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546" w:right="0" w:firstLine="0"/>
        <w:jc w:val="left"/>
      </w:pPr>
      <w:r>
        <w:rPr/>
        <w:drawing>
          <wp:inline distT="0" distB="0" distL="0" distR="0">
            <wp:extent cx="615477" cy="691515"/>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615477" cy="691515"/>
                    </a:xfrm>
                    <a:prstGeom prst="rect">
                      <a:avLst/>
                    </a:prstGeom>
                  </pic:spPr>
                </pic:pic>
              </a:graphicData>
            </a:graphic>
          </wp:inline>
        </w:drawing>
      </w:r>
      <w:r>
        <w:rPr/>
      </w:r>
    </w:p>
    <w:p>
      <w:pPr>
        <w:pStyle w:val="BodyText"/>
        <w:spacing w:before="2"/>
        <w:ind w:left="0" w:right="0" w:firstLine="0"/>
        <w:jc w:val="left"/>
        <w:rPr>
          <w:sz w:val="17"/>
        </w:rPr>
      </w:pPr>
    </w:p>
    <w:tbl>
      <w:tblPr>
        <w:tblW w:w="0" w:type="auto"/>
        <w:jc w:val="left"/>
        <w:tblInd w:w="1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35"/>
        <w:gridCol w:w="4936"/>
      </w:tblGrid>
      <w:tr>
        <w:trPr>
          <w:trHeight w:val="3171" w:hRule="atLeast"/>
        </w:trPr>
        <w:tc>
          <w:tcPr>
            <w:tcW w:w="4635" w:type="dxa"/>
          </w:tcPr>
          <w:p>
            <w:pPr>
              <w:pStyle w:val="TableParagraph"/>
              <w:spacing w:line="264" w:lineRule="auto" w:before="39"/>
              <w:ind w:left="117" w:right="1060"/>
              <w:jc w:val="center"/>
              <w:rPr>
                <w:b/>
                <w:sz w:val="20"/>
              </w:rPr>
            </w:pPr>
            <w:r>
              <w:rPr>
                <w:b/>
                <w:sz w:val="20"/>
              </w:rPr>
              <w:t>МИНИСТЕРСТВО</w:t>
            </w:r>
            <w:r>
              <w:rPr>
                <w:b/>
                <w:spacing w:val="-13"/>
                <w:sz w:val="20"/>
              </w:rPr>
              <w:t> </w:t>
            </w:r>
            <w:r>
              <w:rPr>
                <w:b/>
                <w:sz w:val="20"/>
              </w:rPr>
              <w:t>ПРОСВЕЩЕНИЯ РОССИЙСКОЙ ФЕДЕРАЦИИ</w:t>
            </w:r>
          </w:p>
          <w:p>
            <w:pPr>
              <w:pStyle w:val="TableParagraph"/>
              <w:spacing w:before="49"/>
              <w:ind w:right="943"/>
              <w:jc w:val="center"/>
              <w:rPr>
                <w:b/>
                <w:sz w:val="20"/>
              </w:rPr>
            </w:pPr>
            <w:r>
              <w:rPr>
                <w:b/>
                <w:spacing w:val="-2"/>
                <w:sz w:val="20"/>
              </w:rPr>
              <w:t>(МИНПРОСВЕЩЕНИЯ</w:t>
            </w:r>
            <w:r>
              <w:rPr>
                <w:b/>
                <w:spacing w:val="5"/>
                <w:sz w:val="20"/>
              </w:rPr>
              <w:t> </w:t>
            </w:r>
            <w:r>
              <w:rPr>
                <w:b/>
                <w:spacing w:val="-2"/>
                <w:sz w:val="20"/>
              </w:rPr>
              <w:t>РОССИИ)</w:t>
            </w:r>
          </w:p>
          <w:p>
            <w:pPr>
              <w:pStyle w:val="TableParagraph"/>
              <w:spacing w:before="40"/>
              <w:rPr>
                <w:sz w:val="20"/>
              </w:rPr>
            </w:pPr>
          </w:p>
          <w:p>
            <w:pPr>
              <w:pStyle w:val="TableParagraph"/>
              <w:spacing w:line="208" w:lineRule="auto"/>
              <w:ind w:left="127" w:right="1069" w:hanging="1"/>
              <w:jc w:val="center"/>
              <w:rPr>
                <w:b/>
                <w:sz w:val="24"/>
              </w:rPr>
            </w:pPr>
            <w:r>
              <w:rPr>
                <w:b/>
                <w:sz w:val="24"/>
              </w:rPr>
              <w:t>Департамент государственной политики</w:t>
            </w:r>
            <w:r>
              <w:rPr>
                <w:b/>
                <w:spacing w:val="-10"/>
                <w:sz w:val="24"/>
              </w:rPr>
              <w:t> </w:t>
            </w:r>
            <w:r>
              <w:rPr>
                <w:b/>
                <w:sz w:val="24"/>
              </w:rPr>
              <w:t>в</w:t>
            </w:r>
            <w:r>
              <w:rPr>
                <w:b/>
                <w:spacing w:val="-10"/>
                <w:sz w:val="24"/>
              </w:rPr>
              <w:t> </w:t>
            </w:r>
            <w:r>
              <w:rPr>
                <w:b/>
                <w:sz w:val="24"/>
              </w:rPr>
              <w:t>сфере</w:t>
            </w:r>
            <w:r>
              <w:rPr>
                <w:b/>
                <w:spacing w:val="-9"/>
                <w:sz w:val="24"/>
              </w:rPr>
              <w:t> </w:t>
            </w:r>
            <w:r>
              <w:rPr>
                <w:b/>
                <w:sz w:val="24"/>
              </w:rPr>
              <w:t>защиты</w:t>
            </w:r>
            <w:r>
              <w:rPr>
                <w:b/>
                <w:spacing w:val="-12"/>
                <w:sz w:val="24"/>
              </w:rPr>
              <w:t> </w:t>
            </w:r>
            <w:r>
              <w:rPr>
                <w:b/>
                <w:sz w:val="24"/>
              </w:rPr>
              <w:t>прав </w:t>
            </w:r>
            <w:r>
              <w:rPr>
                <w:b/>
                <w:spacing w:val="-2"/>
                <w:sz w:val="24"/>
              </w:rPr>
              <w:t>детей</w:t>
            </w:r>
          </w:p>
          <w:p>
            <w:pPr>
              <w:pStyle w:val="TableParagraph"/>
              <w:spacing w:before="236"/>
              <w:ind w:right="938"/>
              <w:jc w:val="center"/>
              <w:rPr>
                <w:sz w:val="20"/>
              </w:rPr>
            </w:pPr>
            <w:r>
              <w:rPr>
                <w:sz w:val="20"/>
              </w:rPr>
              <w:t>Каретный</w:t>
            </w:r>
            <w:r>
              <w:rPr>
                <w:spacing w:val="-8"/>
                <w:sz w:val="20"/>
              </w:rPr>
              <w:t> </w:t>
            </w:r>
            <w:r>
              <w:rPr>
                <w:sz w:val="20"/>
              </w:rPr>
              <w:t>Ряд,</w:t>
            </w:r>
            <w:r>
              <w:rPr>
                <w:spacing w:val="-5"/>
                <w:sz w:val="20"/>
              </w:rPr>
              <w:t> </w:t>
            </w:r>
            <w:r>
              <w:rPr>
                <w:sz w:val="20"/>
              </w:rPr>
              <w:t>д.</w:t>
            </w:r>
            <w:r>
              <w:rPr>
                <w:spacing w:val="-5"/>
                <w:sz w:val="20"/>
              </w:rPr>
              <w:t> </w:t>
            </w:r>
            <w:r>
              <w:rPr>
                <w:sz w:val="20"/>
              </w:rPr>
              <w:t>2,</w:t>
            </w:r>
            <w:r>
              <w:rPr>
                <w:spacing w:val="-5"/>
                <w:sz w:val="20"/>
              </w:rPr>
              <w:t> </w:t>
            </w:r>
            <w:r>
              <w:rPr>
                <w:sz w:val="20"/>
              </w:rPr>
              <w:t>Москва,</w:t>
            </w:r>
            <w:r>
              <w:rPr>
                <w:spacing w:val="-3"/>
                <w:sz w:val="20"/>
              </w:rPr>
              <w:t> </w:t>
            </w:r>
            <w:r>
              <w:rPr>
                <w:spacing w:val="-2"/>
                <w:sz w:val="20"/>
              </w:rPr>
              <w:t>127006</w:t>
            </w:r>
          </w:p>
          <w:p>
            <w:pPr>
              <w:pStyle w:val="TableParagraph"/>
              <w:spacing w:line="229" w:lineRule="exact" w:before="1"/>
              <w:ind w:right="942"/>
              <w:jc w:val="center"/>
              <w:rPr>
                <w:sz w:val="20"/>
              </w:rPr>
            </w:pPr>
            <w:r>
              <w:rPr>
                <w:sz w:val="20"/>
              </w:rPr>
              <w:t>Тел.</w:t>
            </w:r>
            <w:r>
              <w:rPr>
                <w:spacing w:val="-3"/>
                <w:sz w:val="20"/>
              </w:rPr>
              <w:t> </w:t>
            </w:r>
            <w:r>
              <w:rPr>
                <w:sz w:val="20"/>
              </w:rPr>
              <w:t>(495)</w:t>
            </w:r>
            <w:r>
              <w:rPr>
                <w:spacing w:val="-6"/>
                <w:sz w:val="20"/>
              </w:rPr>
              <w:t> </w:t>
            </w:r>
            <w:r>
              <w:rPr>
                <w:sz w:val="20"/>
              </w:rPr>
              <w:t>587-01-10,</w:t>
            </w:r>
            <w:r>
              <w:rPr>
                <w:spacing w:val="-5"/>
                <w:sz w:val="20"/>
              </w:rPr>
              <w:t> </w:t>
            </w:r>
            <w:r>
              <w:rPr>
                <w:sz w:val="20"/>
              </w:rPr>
              <w:t>доб.</w:t>
            </w:r>
            <w:r>
              <w:rPr>
                <w:spacing w:val="-4"/>
                <w:sz w:val="20"/>
              </w:rPr>
              <w:t> 3450</w:t>
            </w:r>
          </w:p>
          <w:p>
            <w:pPr>
              <w:pStyle w:val="TableParagraph"/>
              <w:spacing w:line="229" w:lineRule="exact"/>
              <w:ind w:right="939"/>
              <w:jc w:val="center"/>
              <w:rPr>
                <w:sz w:val="20"/>
              </w:rPr>
            </w:pPr>
            <w:r>
              <w:rPr>
                <w:sz w:val="20"/>
              </w:rPr>
              <w:t>E-mail:</w:t>
            </w:r>
            <w:r>
              <w:rPr>
                <w:spacing w:val="-9"/>
                <w:sz w:val="20"/>
              </w:rPr>
              <w:t> </w:t>
            </w:r>
            <w:hyperlink r:id="rId7">
              <w:r>
                <w:rPr>
                  <w:spacing w:val="-2"/>
                  <w:sz w:val="20"/>
                </w:rPr>
                <w:t>d07@edu.gov.ru</w:t>
              </w:r>
            </w:hyperlink>
          </w:p>
          <w:p>
            <w:pPr>
              <w:pStyle w:val="TableParagraph"/>
              <w:tabs>
                <w:tab w:pos="1845" w:val="left" w:leader="none"/>
                <w:tab w:pos="3638" w:val="left" w:leader="none"/>
              </w:tabs>
              <w:spacing w:line="210" w:lineRule="exact" w:before="202"/>
              <w:ind w:right="894"/>
              <w:jc w:val="center"/>
              <w:rPr>
                <w:sz w:val="20"/>
              </w:rPr>
            </w:pPr>
            <w:r>
              <w:rPr>
                <w:sz w:val="20"/>
              </w:rPr>
              <mc:AlternateContent>
                <mc:Choice Requires="wps">
                  <w:drawing>
                    <wp:anchor distT="0" distB="0" distL="0" distR="0" allowOverlap="1" layoutInCell="1" locked="0" behindDoc="0" simplePos="0" relativeHeight="15728640">
                      <wp:simplePos x="0" y="0"/>
                      <wp:positionH relativeFrom="column">
                        <wp:posOffset>-100538</wp:posOffset>
                      </wp:positionH>
                      <wp:positionV relativeFrom="paragraph">
                        <wp:posOffset>123273</wp:posOffset>
                      </wp:positionV>
                      <wp:extent cx="2520315" cy="18034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2520315" cy="180340"/>
                                <a:chExt cx="2520315" cy="180340"/>
                              </a:xfrm>
                            </wpg:grpSpPr>
                            <pic:pic>
                              <pic:nvPicPr>
                                <pic:cNvPr id="4" name="Image 4"/>
                                <pic:cNvPicPr/>
                              </pic:nvPicPr>
                              <pic:blipFill>
                                <a:blip r:embed="rId8" cstate="print"/>
                                <a:stretch>
                                  <a:fillRect/>
                                </a:stretch>
                              </pic:blipFill>
                              <pic:spPr>
                                <a:xfrm>
                                  <a:off x="0" y="0"/>
                                  <a:ext cx="2520000" cy="180000"/>
                                </a:xfrm>
                                <a:prstGeom prst="rect">
                                  <a:avLst/>
                                </a:prstGeom>
                              </pic:spPr>
                            </pic:pic>
                          </wpg:wgp>
                        </a:graphicData>
                      </a:graphic>
                    </wp:anchor>
                  </w:drawing>
                </mc:Choice>
                <mc:Fallback>
                  <w:pict>
                    <v:group style="position:absolute;margin-left:-7.91638pt;margin-top:9.706558pt;width:198.45pt;height:14.2pt;mso-position-horizontal-relative:column;mso-position-vertical-relative:paragraph;z-index:15728640" id="docshapegroup2" coordorigin="-158,194" coordsize="3969,284">
                      <v:shape style="position:absolute;left:-159;top:194;width:3969;height:284" type="#_x0000_t75" id="docshape3" stroked="false">
                        <v:imagedata r:id="rId8" o:title=""/>
                      </v:shape>
                      <w10:wrap type="none"/>
                    </v:group>
                  </w:pict>
                </mc:Fallback>
              </mc:AlternateContent>
            </w:r>
            <w:r>
              <w:rPr>
                <w:sz w:val="20"/>
                <w:u w:val="single"/>
              </w:rPr>
              <w:tab/>
            </w:r>
            <w:r>
              <w:rPr>
                <w:sz w:val="20"/>
              </w:rPr>
              <w:t>№ </w:t>
            </w:r>
            <w:r>
              <w:rPr>
                <w:sz w:val="20"/>
                <w:u w:val="single"/>
              </w:rPr>
              <w:tab/>
            </w:r>
          </w:p>
        </w:tc>
        <w:tc>
          <w:tcPr>
            <w:tcW w:w="4936" w:type="dxa"/>
          </w:tcPr>
          <w:p>
            <w:pPr>
              <w:pStyle w:val="TableParagraph"/>
              <w:ind w:left="991"/>
              <w:rPr>
                <w:sz w:val="28"/>
              </w:rPr>
            </w:pPr>
            <w:r>
              <w:rPr>
                <w:sz w:val="28"/>
              </w:rPr>
              <w:t>Руководителям</w:t>
            </w:r>
            <w:r>
              <w:rPr>
                <w:spacing w:val="-18"/>
                <w:sz w:val="28"/>
              </w:rPr>
              <w:t> </w:t>
            </w:r>
            <w:r>
              <w:rPr>
                <w:sz w:val="28"/>
              </w:rPr>
              <w:t>исполнительных органов субъектов Российской Федерации, осуществляющих государственное управление</w:t>
            </w:r>
          </w:p>
          <w:p>
            <w:pPr>
              <w:pStyle w:val="TableParagraph"/>
              <w:spacing w:line="320" w:lineRule="exact"/>
              <w:ind w:left="991"/>
              <w:rPr>
                <w:sz w:val="28"/>
              </w:rPr>
            </w:pPr>
            <w:r>
              <w:rPr>
                <w:sz w:val="28"/>
              </w:rPr>
              <w:t>в</w:t>
            </w:r>
            <w:r>
              <w:rPr>
                <w:spacing w:val="-1"/>
                <w:sz w:val="28"/>
              </w:rPr>
              <w:t> </w:t>
            </w:r>
            <w:r>
              <w:rPr>
                <w:sz w:val="28"/>
              </w:rPr>
              <w:t>сфере</w:t>
            </w:r>
            <w:r>
              <w:rPr>
                <w:spacing w:val="-2"/>
                <w:sz w:val="28"/>
              </w:rPr>
              <w:t> образования</w:t>
            </w:r>
          </w:p>
        </w:tc>
      </w:tr>
    </w:tbl>
    <w:p>
      <w:pPr>
        <w:pStyle w:val="Heading4"/>
        <w:spacing w:before="281"/>
        <w:ind w:left="1132"/>
        <w:jc w:val="left"/>
      </w:pPr>
      <w:r>
        <w:rPr/>
        <w:t>О</w:t>
      </w:r>
      <w:r>
        <w:rPr>
          <w:spacing w:val="-7"/>
        </w:rPr>
        <w:t> </w:t>
      </w:r>
      <w:r>
        <w:rPr/>
        <w:t>направлении</w:t>
      </w:r>
      <w:r>
        <w:rPr>
          <w:spacing w:val="-6"/>
        </w:rPr>
        <w:t> </w:t>
      </w:r>
      <w:r>
        <w:rPr>
          <w:spacing w:val="-2"/>
        </w:rPr>
        <w:t>рекомендаций</w:t>
      </w:r>
    </w:p>
    <w:p>
      <w:pPr>
        <w:pStyle w:val="BodyText"/>
        <w:ind w:left="0" w:right="0" w:firstLine="0"/>
        <w:jc w:val="left"/>
        <w:rPr>
          <w:sz w:val="28"/>
        </w:rPr>
      </w:pPr>
    </w:p>
    <w:p>
      <w:pPr>
        <w:pStyle w:val="BodyText"/>
        <w:spacing w:before="241"/>
        <w:ind w:left="0" w:right="0" w:firstLine="0"/>
        <w:jc w:val="left"/>
        <w:rPr>
          <w:sz w:val="28"/>
        </w:rPr>
      </w:pPr>
    </w:p>
    <w:p>
      <w:pPr>
        <w:pStyle w:val="Heading4"/>
        <w:spacing w:line="360" w:lineRule="auto" w:before="1"/>
        <w:ind w:left="1132" w:right="563" w:firstLine="708"/>
      </w:pPr>
      <w:r>
        <w:rPr/>
        <w:t>Департамент государственной политики в сфере защиты прав детей Минпросвещения</w:t>
      </w:r>
      <w:r>
        <w:rPr>
          <w:spacing w:val="40"/>
        </w:rPr>
        <w:t>  </w:t>
      </w:r>
      <w:r>
        <w:rPr/>
        <w:t>России</w:t>
      </w:r>
      <w:r>
        <w:rPr>
          <w:spacing w:val="65"/>
        </w:rPr>
        <w:t>  </w:t>
      </w:r>
      <w:r>
        <w:rPr/>
        <w:t>в</w:t>
      </w:r>
      <w:r>
        <w:rPr>
          <w:spacing w:val="40"/>
        </w:rPr>
        <w:t>  </w:t>
      </w:r>
      <w:r>
        <w:rPr/>
        <w:t>рамках</w:t>
      </w:r>
      <w:r>
        <w:rPr>
          <w:spacing w:val="40"/>
        </w:rPr>
        <w:t>  </w:t>
      </w:r>
      <w:r>
        <w:rPr/>
        <w:t>исполнения</w:t>
      </w:r>
      <w:r>
        <w:rPr>
          <w:spacing w:val="40"/>
        </w:rPr>
        <w:t>  </w:t>
      </w:r>
      <w:r>
        <w:rPr/>
        <w:t>пункта</w:t>
      </w:r>
      <w:r>
        <w:rPr>
          <w:spacing w:val="40"/>
        </w:rPr>
        <w:t>  </w:t>
      </w:r>
      <w:r>
        <w:rPr/>
        <w:t>2</w:t>
      </w:r>
      <w:r>
        <w:rPr>
          <w:spacing w:val="40"/>
        </w:rPr>
        <w:t>  </w:t>
      </w:r>
      <w:r>
        <w:rPr/>
        <w:t>Комплекса</w:t>
      </w:r>
      <w:r>
        <w:rPr>
          <w:spacing w:val="40"/>
        </w:rPr>
        <w:t>  </w:t>
      </w:r>
      <w:r>
        <w:rPr/>
        <w:t>мер</w:t>
      </w:r>
      <w:r>
        <w:rPr>
          <w:spacing w:val="40"/>
        </w:rPr>
        <w:t> </w:t>
      </w:r>
      <w:r>
        <w:rPr/>
        <w:t>по социализации и психологической адаптации несовершеннолетних иностранных граждан, подлежащих обучению по образовательным программам дошкольного, начального общего, основного общего и среднего общего образования, среднего профессионального образования, высшего образования, на период до 2025 года, утвержденного</w:t>
      </w:r>
      <w:r>
        <w:rPr>
          <w:spacing w:val="80"/>
          <w:w w:val="150"/>
        </w:rPr>
        <w:t>  </w:t>
      </w:r>
      <w:r>
        <w:rPr/>
        <w:t>Минпросвещения</w:t>
      </w:r>
      <w:r>
        <w:rPr>
          <w:spacing w:val="80"/>
          <w:w w:val="150"/>
        </w:rPr>
        <w:t>  </w:t>
      </w:r>
      <w:r>
        <w:rPr/>
        <w:t>России,</w:t>
      </w:r>
      <w:r>
        <w:rPr>
          <w:spacing w:val="80"/>
          <w:w w:val="150"/>
        </w:rPr>
        <w:t>  </w:t>
      </w:r>
      <w:r>
        <w:rPr/>
        <w:t>Минобрнауки</w:t>
      </w:r>
      <w:r>
        <w:rPr>
          <w:spacing w:val="80"/>
          <w:w w:val="150"/>
        </w:rPr>
        <w:t>  </w:t>
      </w:r>
      <w:r>
        <w:rPr/>
        <w:t>России,</w:t>
      </w:r>
      <w:r>
        <w:rPr>
          <w:spacing w:val="80"/>
          <w:w w:val="150"/>
        </w:rPr>
        <w:t>  </w:t>
      </w:r>
      <w:r>
        <w:rPr/>
        <w:t>ФАДН в апреле 2022 г., направляет для использования в работе общеобразовательных </w:t>
      </w:r>
      <w:r>
        <w:rPr>
          <w:spacing w:val="-2"/>
        </w:rPr>
        <w:t>организаций:</w:t>
      </w:r>
    </w:p>
    <w:p>
      <w:pPr>
        <w:pStyle w:val="Heading4"/>
        <w:spacing w:line="360" w:lineRule="auto"/>
        <w:ind w:left="1132" w:right="563" w:firstLine="708"/>
      </w:pPr>
      <w:r>
        <w:rPr/>
        <w:t>программу оценки особых образовательных потребностей детей – иностранных граждан в сферах психологического благополучия, социальных навыков и культурной адаптации (далее – программа);</w:t>
      </w:r>
    </w:p>
    <w:p>
      <w:pPr>
        <w:pStyle w:val="Heading4"/>
        <w:spacing w:line="360" w:lineRule="auto" w:before="1"/>
        <w:ind w:left="1132" w:right="562" w:firstLine="708"/>
      </w:pPr>
      <w:r>
        <w:rPr/>
        <w:t>методические рекомендации по проведению программы психолого- педагогического</w:t>
      </w:r>
      <w:r>
        <w:rPr>
          <w:spacing w:val="40"/>
        </w:rPr>
        <w:t>  </w:t>
      </w:r>
      <w:r>
        <w:rPr/>
        <w:t>сопровождения</w:t>
      </w:r>
      <w:r>
        <w:rPr>
          <w:spacing w:val="40"/>
        </w:rPr>
        <w:t>  </w:t>
      </w:r>
      <w:r>
        <w:rPr/>
        <w:t>процессов</w:t>
      </w:r>
      <w:r>
        <w:rPr>
          <w:spacing w:val="40"/>
        </w:rPr>
        <w:t>  </w:t>
      </w:r>
      <w:r>
        <w:rPr/>
        <w:t>обучения,</w:t>
      </w:r>
      <w:r>
        <w:rPr>
          <w:spacing w:val="40"/>
        </w:rPr>
        <w:t>  </w:t>
      </w:r>
      <w:r>
        <w:rPr/>
        <w:t>социальной,</w:t>
      </w:r>
      <w:r>
        <w:rPr>
          <w:spacing w:val="40"/>
        </w:rPr>
        <w:t>  </w:t>
      </w:r>
      <w:r>
        <w:rPr/>
        <w:t>языковой</w:t>
      </w:r>
      <w:r>
        <w:rPr>
          <w:spacing w:val="80"/>
          <w:w w:val="150"/>
        </w:rPr>
        <w:t> </w:t>
      </w:r>
      <w:r>
        <w:rPr/>
        <w:t>и культурной адаптации детей иностранных граждан (далее – методические </w:t>
      </w:r>
      <w:r>
        <w:rPr>
          <w:spacing w:val="-2"/>
        </w:rPr>
        <w:t>рекомендации);</w:t>
      </w:r>
    </w:p>
    <w:p>
      <w:pPr>
        <w:pStyle w:val="Heading4"/>
        <w:spacing w:before="1"/>
        <w:ind w:left="1841"/>
      </w:pPr>
      <w:r>
        <w:rPr/>
        <w:t>пакет</w:t>
      </w:r>
      <w:r>
        <w:rPr>
          <w:spacing w:val="10"/>
        </w:rPr>
        <w:t> </w:t>
      </w:r>
      <w:r>
        <w:rPr/>
        <w:t>инструментария</w:t>
      </w:r>
      <w:r>
        <w:rPr>
          <w:spacing w:val="14"/>
        </w:rPr>
        <w:t> </w:t>
      </w:r>
      <w:r>
        <w:rPr/>
        <w:t>программы</w:t>
      </w:r>
      <w:r>
        <w:rPr>
          <w:spacing w:val="17"/>
        </w:rPr>
        <w:t> </w:t>
      </w:r>
      <w:r>
        <w:rPr/>
        <w:t>психолого-педагогического</w:t>
      </w:r>
      <w:r>
        <w:rPr>
          <w:spacing w:val="15"/>
        </w:rPr>
        <w:t> </w:t>
      </w:r>
      <w:r>
        <w:rPr>
          <w:spacing w:val="-2"/>
        </w:rPr>
        <w:t>сопровождения</w:t>
      </w:r>
    </w:p>
    <w:p>
      <w:pPr>
        <w:pStyle w:val="Heading4"/>
        <w:spacing w:after="0"/>
        <w:sectPr>
          <w:footerReference w:type="default" r:id="rId5"/>
          <w:type w:val="continuous"/>
          <w:pgSz w:w="11910" w:h="16840"/>
          <w:pgMar w:header="0" w:footer="548" w:top="1260" w:bottom="740" w:left="0" w:right="0"/>
          <w:pgNumType w:start="1"/>
        </w:sectPr>
      </w:pPr>
    </w:p>
    <w:p>
      <w:pPr>
        <w:spacing w:before="60"/>
        <w:ind w:left="854" w:right="289" w:firstLine="0"/>
        <w:jc w:val="center"/>
        <w:rPr>
          <w:sz w:val="24"/>
        </w:rPr>
      </w:pPr>
      <w:r>
        <w:rPr>
          <w:spacing w:val="-10"/>
          <w:sz w:val="24"/>
        </w:rPr>
        <w:t>2</w:t>
      </w:r>
    </w:p>
    <w:p>
      <w:pPr>
        <w:pStyle w:val="BodyText"/>
        <w:spacing w:before="15"/>
        <w:ind w:left="0" w:right="0" w:firstLine="0"/>
        <w:jc w:val="left"/>
        <w:rPr>
          <w:sz w:val="24"/>
        </w:rPr>
      </w:pPr>
    </w:p>
    <w:p>
      <w:pPr>
        <w:pStyle w:val="Heading4"/>
        <w:spacing w:line="362" w:lineRule="auto"/>
        <w:ind w:left="1132" w:right="575"/>
      </w:pPr>
      <w:r>
        <w:rPr/>
        <w:t>процессов обучения, социальной, языковой и культурной адаптации детей иностранных граждан (далее – пакет инструментария).</w:t>
      </w:r>
    </w:p>
    <w:p>
      <w:pPr>
        <w:pStyle w:val="Heading4"/>
        <w:spacing w:line="360" w:lineRule="auto"/>
        <w:ind w:left="1132" w:right="567" w:firstLine="708"/>
      </w:pPr>
      <w:r>
        <w:rPr/>
        <w:t>Указанные материалы подготовлены федеральным государственным бюджетным образовательным учреждением высшего образования «Московский государственный психолого-педагогический университет».</w:t>
      </w:r>
    </w:p>
    <w:p>
      <w:pPr>
        <w:pStyle w:val="Heading4"/>
        <w:spacing w:line="360" w:lineRule="auto"/>
        <w:ind w:left="1132" w:right="565" w:firstLine="708"/>
      </w:pPr>
      <w:r>
        <w:rPr/>
        <w:t>Дополнительно</w:t>
      </w:r>
      <w:r>
        <w:rPr>
          <w:spacing w:val="80"/>
        </w:rPr>
        <w:t>   </w:t>
      </w:r>
      <w:r>
        <w:rPr/>
        <w:t>сообщаем,</w:t>
      </w:r>
      <w:r>
        <w:rPr>
          <w:spacing w:val="80"/>
        </w:rPr>
        <w:t>   </w:t>
      </w:r>
      <w:r>
        <w:rPr/>
        <w:t>что</w:t>
      </w:r>
      <w:r>
        <w:rPr>
          <w:spacing w:val="80"/>
        </w:rPr>
        <w:t>   </w:t>
      </w:r>
      <w:r>
        <w:rPr/>
        <w:t>данные</w:t>
      </w:r>
      <w:r>
        <w:rPr>
          <w:spacing w:val="80"/>
        </w:rPr>
        <w:t>   </w:t>
      </w:r>
      <w:r>
        <w:rPr/>
        <w:t>материалы</w:t>
      </w:r>
      <w:r>
        <w:rPr>
          <w:spacing w:val="80"/>
        </w:rPr>
        <w:t>   </w:t>
      </w:r>
      <w:r>
        <w:rPr/>
        <w:t>размещены на портале психологических изданий PsyJournals.ru по ссылкам:</w:t>
      </w:r>
    </w:p>
    <w:p>
      <w:pPr>
        <w:pStyle w:val="Heading4"/>
        <w:spacing w:line="360" w:lineRule="auto"/>
        <w:ind w:left="1841" w:right="691"/>
        <w:jc w:val="left"/>
      </w:pPr>
      <w:r>
        <w:rPr/>
        <w:t>программа: </w:t>
      </w:r>
      <w:hyperlink r:id="rId9">
        <w:r>
          <w:rPr/>
          <w:t>https://psyjournals.ru/nonserialpublications/apsencfcpwssca2022</w:t>
        </w:r>
      </w:hyperlink>
      <w:r>
        <w:rPr/>
        <w:t>; </w:t>
      </w:r>
      <w:r>
        <w:rPr>
          <w:spacing w:val="-12"/>
        </w:rPr>
        <w:t>методические</w:t>
      </w:r>
      <w:r>
        <w:rPr>
          <w:spacing w:val="-1"/>
        </w:rPr>
        <w:t> </w:t>
      </w:r>
      <w:r>
        <w:rPr>
          <w:spacing w:val="-12"/>
        </w:rPr>
        <w:t>рекомендации:</w:t>
      </w:r>
      <w:r>
        <w:rPr/>
        <w:t> </w:t>
      </w:r>
      <w:hyperlink r:id="rId10">
        <w:r>
          <w:rPr>
            <w:spacing w:val="-12"/>
          </w:rPr>
          <w:t>https://psyjournals.ru/nonserialpublications/slcac2022</w:t>
        </w:r>
      </w:hyperlink>
      <w:r>
        <w:rPr>
          <w:spacing w:val="-12"/>
        </w:rPr>
        <w:t>; </w:t>
      </w:r>
      <w:r>
        <w:rPr/>
        <w:t>пакет</w:t>
      </w:r>
      <w:r>
        <w:rPr>
          <w:spacing w:val="-17"/>
        </w:rPr>
        <w:t> </w:t>
      </w:r>
      <w:r>
        <w:rPr/>
        <w:t>инструментария:</w:t>
      </w:r>
      <w:r>
        <w:rPr>
          <w:spacing w:val="-13"/>
        </w:rPr>
        <w:t> </w:t>
      </w:r>
      <w:hyperlink r:id="rId11">
        <w:r>
          <w:rPr/>
          <w:t>https://psyjournals.ru/nonserialpublications/tp_slcac2022</w:t>
        </w:r>
      </w:hyperlink>
      <w:r>
        <w:rPr/>
        <w:t>.</w:t>
      </w:r>
    </w:p>
    <w:p>
      <w:pPr>
        <w:pStyle w:val="Heading4"/>
        <w:spacing w:before="318"/>
        <w:ind w:left="1132"/>
      </w:pPr>
      <w:r>
        <w:rPr/>
        <w:drawing>
          <wp:anchor distT="0" distB="0" distL="0" distR="0" allowOverlap="1" layoutInCell="1" locked="0" behindDoc="0" simplePos="0" relativeHeight="15729152">
            <wp:simplePos x="0" y="0"/>
            <wp:positionH relativeFrom="page">
              <wp:posOffset>3239999</wp:posOffset>
            </wp:positionH>
            <wp:positionV relativeFrom="paragraph">
              <wp:posOffset>786522</wp:posOffset>
            </wp:positionV>
            <wp:extent cx="2520000" cy="899999"/>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2" cstate="print"/>
                    <a:stretch>
                      <a:fillRect/>
                    </a:stretch>
                  </pic:blipFill>
                  <pic:spPr>
                    <a:xfrm>
                      <a:off x="0" y="0"/>
                      <a:ext cx="2520000" cy="899999"/>
                    </a:xfrm>
                    <a:prstGeom prst="rect">
                      <a:avLst/>
                    </a:prstGeom>
                  </pic:spPr>
                </pic:pic>
              </a:graphicData>
            </a:graphic>
          </wp:anchor>
        </w:drawing>
      </w:r>
      <w:r>
        <w:rPr/>
        <w:t>Приложение:</w:t>
      </w:r>
      <w:r>
        <w:rPr>
          <w:spacing w:val="-2"/>
        </w:rPr>
        <w:t> </w:t>
      </w:r>
      <w:r>
        <w:rPr/>
        <w:t>на</w:t>
      </w:r>
      <w:r>
        <w:rPr>
          <w:spacing w:val="-2"/>
        </w:rPr>
        <w:t> </w:t>
      </w:r>
      <w:r>
        <w:rPr/>
        <w:t>627</w:t>
      </w:r>
      <w:r>
        <w:rPr>
          <w:spacing w:val="-4"/>
        </w:rPr>
        <w:t> </w:t>
      </w:r>
      <w:r>
        <w:rPr/>
        <w:t>л.</w:t>
      </w:r>
      <w:r>
        <w:rPr>
          <w:spacing w:val="-3"/>
        </w:rPr>
        <w:t> </w:t>
      </w:r>
      <w:r>
        <w:rPr/>
        <w:t>в</w:t>
      </w:r>
      <w:r>
        <w:rPr>
          <w:spacing w:val="-4"/>
        </w:rPr>
        <w:t> </w:t>
      </w:r>
      <w:r>
        <w:rPr/>
        <w:t>1</w:t>
      </w:r>
      <w:r>
        <w:rPr>
          <w:spacing w:val="-1"/>
        </w:rPr>
        <w:t> </w:t>
      </w:r>
      <w:r>
        <w:rPr>
          <w:spacing w:val="-4"/>
        </w:rPr>
        <w:t>экз.</w:t>
      </w:r>
    </w:p>
    <w:p>
      <w:pPr>
        <w:pStyle w:val="BodyText"/>
        <w:ind w:left="0" w:right="0" w:firstLine="0"/>
        <w:jc w:val="left"/>
      </w:pPr>
    </w:p>
    <w:p>
      <w:pPr>
        <w:pStyle w:val="BodyText"/>
        <w:ind w:left="0" w:right="0" w:firstLine="0"/>
        <w:jc w:val="left"/>
      </w:pPr>
    </w:p>
    <w:p>
      <w:pPr>
        <w:pStyle w:val="BodyText"/>
        <w:spacing w:before="107"/>
        <w:ind w:left="0" w:right="0" w:firstLine="0"/>
        <w:jc w:val="left"/>
      </w:pPr>
    </w:p>
    <w:tbl>
      <w:tblPr>
        <w:tblW w:w="0" w:type="auto"/>
        <w:jc w:val="left"/>
        <w:tblInd w:w="1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69"/>
        <w:gridCol w:w="2860"/>
        <w:gridCol w:w="3539"/>
      </w:tblGrid>
      <w:tr>
        <w:trPr>
          <w:trHeight w:val="674" w:hRule="atLeast"/>
        </w:trPr>
        <w:tc>
          <w:tcPr>
            <w:tcW w:w="3869" w:type="dxa"/>
          </w:tcPr>
          <w:p>
            <w:pPr>
              <w:pStyle w:val="TableParagraph"/>
              <w:spacing w:before="30"/>
              <w:rPr>
                <w:sz w:val="28"/>
              </w:rPr>
            </w:pPr>
          </w:p>
          <w:p>
            <w:pPr>
              <w:pStyle w:val="TableParagraph"/>
              <w:spacing w:line="302" w:lineRule="exact"/>
              <w:ind w:left="50"/>
              <w:rPr>
                <w:sz w:val="28"/>
              </w:rPr>
            </w:pPr>
            <w:r>
              <w:rPr>
                <w:sz w:val="28"/>
              </w:rPr>
              <w:t>Директор</w:t>
            </w:r>
            <w:r>
              <w:rPr>
                <w:spacing w:val="-8"/>
                <w:sz w:val="28"/>
              </w:rPr>
              <w:t> </w:t>
            </w:r>
            <w:r>
              <w:rPr>
                <w:spacing w:val="-2"/>
                <w:sz w:val="28"/>
              </w:rPr>
              <w:t>департамента</w:t>
            </w:r>
          </w:p>
        </w:tc>
        <w:tc>
          <w:tcPr>
            <w:tcW w:w="2860" w:type="dxa"/>
          </w:tcPr>
          <w:p>
            <w:pPr>
              <w:pStyle w:val="TableParagraph"/>
              <w:spacing w:line="178" w:lineRule="exact"/>
              <w:ind w:right="370"/>
              <w:jc w:val="center"/>
              <w:rPr>
                <w:sz w:val="16"/>
              </w:rPr>
            </w:pPr>
            <w:r>
              <w:rPr>
                <w:spacing w:val="-4"/>
                <w:sz w:val="16"/>
              </w:rPr>
              <w:t>МШЭП</w:t>
            </w:r>
          </w:p>
        </w:tc>
        <w:tc>
          <w:tcPr>
            <w:tcW w:w="3539" w:type="dxa"/>
          </w:tcPr>
          <w:p>
            <w:pPr>
              <w:pStyle w:val="TableParagraph"/>
              <w:spacing w:before="30"/>
              <w:rPr>
                <w:sz w:val="28"/>
              </w:rPr>
            </w:pPr>
          </w:p>
          <w:p>
            <w:pPr>
              <w:pStyle w:val="TableParagraph"/>
              <w:spacing w:line="302" w:lineRule="exact"/>
              <w:ind w:left="1350"/>
              <w:rPr>
                <w:sz w:val="28"/>
              </w:rPr>
            </w:pPr>
            <w:r>
              <w:rPr>
                <w:sz w:val="28"/>
              </w:rPr>
              <w:t>Л.П.</w:t>
            </w:r>
            <w:r>
              <w:rPr>
                <w:spacing w:val="-5"/>
                <w:sz w:val="28"/>
              </w:rPr>
              <w:t> </w:t>
            </w:r>
            <w:r>
              <w:rPr>
                <w:spacing w:val="-2"/>
                <w:sz w:val="28"/>
              </w:rPr>
              <w:t>Фальковская</w:t>
            </w:r>
          </w:p>
        </w:tc>
      </w:tr>
    </w:tbl>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spacing w:before="248"/>
        <w:ind w:left="0" w:right="0" w:firstLine="0"/>
        <w:jc w:val="left"/>
        <w:rPr>
          <w:sz w:val="28"/>
        </w:rPr>
      </w:pPr>
    </w:p>
    <w:p>
      <w:pPr>
        <w:pStyle w:val="BodyText"/>
        <w:ind w:left="1132" w:right="0" w:firstLine="0"/>
      </w:pPr>
      <w:r>
        <w:rPr/>
        <w:t>Хвостова</w:t>
      </w:r>
      <w:r>
        <w:rPr>
          <w:spacing w:val="-9"/>
        </w:rPr>
        <w:t> </w:t>
      </w:r>
      <w:r>
        <w:rPr>
          <w:spacing w:val="-4"/>
        </w:rPr>
        <w:t>Т.Н.</w:t>
      </w:r>
    </w:p>
    <w:p>
      <w:pPr>
        <w:pStyle w:val="BodyText"/>
        <w:ind w:left="1132" w:right="0" w:firstLine="0"/>
        <w:jc w:val="left"/>
      </w:pPr>
      <w:r>
        <w:rPr/>
        <w:t>(495)</w:t>
      </w:r>
      <w:r>
        <w:rPr>
          <w:spacing w:val="-6"/>
        </w:rPr>
        <w:t> </w:t>
      </w:r>
      <w:r>
        <w:rPr/>
        <w:t>587-01-10,</w:t>
      </w:r>
      <w:r>
        <w:rPr>
          <w:spacing w:val="-4"/>
        </w:rPr>
        <w:t> </w:t>
      </w:r>
      <w:r>
        <w:rPr/>
        <w:t>доб.</w:t>
      </w:r>
      <w:r>
        <w:rPr>
          <w:spacing w:val="-4"/>
        </w:rPr>
        <w:t> 3488</w:t>
      </w:r>
    </w:p>
    <w:p>
      <w:pPr>
        <w:pStyle w:val="BodyText"/>
        <w:spacing w:after="0"/>
        <w:jc w:val="left"/>
        <w:sectPr>
          <w:pgSz w:w="11910" w:h="16840"/>
          <w:pgMar w:header="0" w:footer="548" w:top="480" w:bottom="740" w:left="0" w:right="0"/>
        </w:sectPr>
      </w:pPr>
    </w:p>
    <w:p>
      <w:pPr>
        <w:pStyle w:val="BodyText"/>
        <w:ind w:left="1269" w:right="0" w:firstLine="0"/>
        <w:jc w:val="left"/>
      </w:pPr>
      <w:r>
        <w:rPr/>
        <w:drawing>
          <wp:inline distT="0" distB="0" distL="0" distR="0">
            <wp:extent cx="5957991" cy="1472183"/>
            <wp:effectExtent l="0" t="0" r="0" b="0"/>
            <wp:docPr id="6" name="Image 6"/>
            <wp:cNvGraphicFramePr>
              <a:graphicFrameLocks/>
            </wp:cNvGraphicFramePr>
            <a:graphic>
              <a:graphicData uri="http://schemas.openxmlformats.org/drawingml/2006/picture">
                <pic:pic>
                  <pic:nvPicPr>
                    <pic:cNvPr id="6" name="Image 6"/>
                    <pic:cNvPicPr/>
                  </pic:nvPicPr>
                  <pic:blipFill>
                    <a:blip r:embed="rId14" cstate="print"/>
                    <a:stretch>
                      <a:fillRect/>
                    </a:stretch>
                  </pic:blipFill>
                  <pic:spPr>
                    <a:xfrm>
                      <a:off x="0" y="0"/>
                      <a:ext cx="5957991" cy="1472183"/>
                    </a:xfrm>
                    <a:prstGeom prst="rect">
                      <a:avLst/>
                    </a:prstGeom>
                  </pic:spPr>
                </pic:pic>
              </a:graphicData>
            </a:graphic>
          </wp:inline>
        </w:drawing>
      </w:r>
      <w:r>
        <w:rPr/>
      </w:r>
    </w:p>
    <w:p>
      <w:pPr>
        <w:spacing w:line="276" w:lineRule="auto" w:before="225"/>
        <w:ind w:left="1898" w:right="0" w:firstLine="1271"/>
        <w:jc w:val="left"/>
        <w:rPr>
          <w:sz w:val="56"/>
        </w:rPr>
      </w:pPr>
      <w:r>
        <w:rPr>
          <w:sz w:val="56"/>
        </w:rPr>
        <w:t>Программа оценки особых образовательных</w:t>
      </w:r>
      <w:r>
        <w:rPr>
          <w:spacing w:val="-19"/>
          <w:sz w:val="56"/>
        </w:rPr>
        <w:t> </w:t>
      </w:r>
      <w:r>
        <w:rPr>
          <w:sz w:val="56"/>
        </w:rPr>
        <w:t>потребностей</w:t>
      </w:r>
      <w:r>
        <w:rPr>
          <w:spacing w:val="-19"/>
          <w:sz w:val="56"/>
        </w:rPr>
        <w:t> </w:t>
      </w:r>
      <w:r>
        <w:rPr>
          <w:sz w:val="56"/>
        </w:rPr>
        <w:t>детей</w:t>
      </w:r>
    </w:p>
    <w:p>
      <w:pPr>
        <w:spacing w:line="276" w:lineRule="auto" w:before="0"/>
        <w:ind w:left="3101" w:right="2259" w:firstLine="290"/>
        <w:jc w:val="left"/>
        <w:rPr>
          <w:sz w:val="56"/>
        </w:rPr>
      </w:pPr>
      <w:r>
        <w:rPr>
          <w:sz w:val="56"/>
        </w:rPr>
        <w:t>— иностранных граждан в</w:t>
      </w:r>
      <w:r>
        <w:rPr>
          <w:spacing w:val="-21"/>
          <w:sz w:val="56"/>
        </w:rPr>
        <w:t> </w:t>
      </w:r>
      <w:r>
        <w:rPr>
          <w:sz w:val="56"/>
        </w:rPr>
        <w:t>сферах</w:t>
      </w:r>
      <w:r>
        <w:rPr>
          <w:spacing w:val="-18"/>
          <w:sz w:val="56"/>
        </w:rPr>
        <w:t> </w:t>
      </w:r>
      <w:r>
        <w:rPr>
          <w:sz w:val="56"/>
        </w:rPr>
        <w:t>психологического</w:t>
      </w:r>
    </w:p>
    <w:p>
      <w:pPr>
        <w:spacing w:line="276" w:lineRule="auto" w:before="0"/>
        <w:ind w:left="3466" w:right="1054" w:hanging="1385"/>
        <w:jc w:val="left"/>
        <w:rPr>
          <w:sz w:val="56"/>
        </w:rPr>
      </w:pPr>
      <w:r>
        <w:rPr>
          <w:sz w:val="56"/>
        </w:rPr>
        <w:t>благополучия,</w:t>
      </w:r>
      <w:r>
        <w:rPr>
          <w:spacing w:val="-22"/>
          <w:sz w:val="56"/>
        </w:rPr>
        <w:t> </w:t>
      </w:r>
      <w:r>
        <w:rPr>
          <w:sz w:val="56"/>
        </w:rPr>
        <w:t>социальных</w:t>
      </w:r>
      <w:r>
        <w:rPr>
          <w:spacing w:val="-19"/>
          <w:sz w:val="56"/>
        </w:rPr>
        <w:t> </w:t>
      </w:r>
      <w:r>
        <w:rPr>
          <w:sz w:val="56"/>
        </w:rPr>
        <w:t>навыков и культурной адаптации</w:t>
      </w:r>
    </w:p>
    <w:p>
      <w:pPr>
        <w:pStyle w:val="BodyText"/>
        <w:spacing w:before="8"/>
        <w:ind w:left="0" w:right="0" w:firstLine="0"/>
        <w:jc w:val="left"/>
        <w:rPr>
          <w:sz w:val="15"/>
        </w:rPr>
      </w:pPr>
      <w:r>
        <w:rPr>
          <w:sz w:val="15"/>
        </w:rPr>
        <w:drawing>
          <wp:anchor distT="0" distB="0" distL="0" distR="0" allowOverlap="1" layoutInCell="1" locked="0" behindDoc="1" simplePos="0" relativeHeight="487588864">
            <wp:simplePos x="0" y="0"/>
            <wp:positionH relativeFrom="page">
              <wp:posOffset>0</wp:posOffset>
            </wp:positionH>
            <wp:positionV relativeFrom="paragraph">
              <wp:posOffset>130033</wp:posOffset>
            </wp:positionV>
            <wp:extent cx="7490873" cy="4704873"/>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15" cstate="print"/>
                    <a:stretch>
                      <a:fillRect/>
                    </a:stretch>
                  </pic:blipFill>
                  <pic:spPr>
                    <a:xfrm>
                      <a:off x="0" y="0"/>
                      <a:ext cx="7490873" cy="4704873"/>
                    </a:xfrm>
                    <a:prstGeom prst="rect">
                      <a:avLst/>
                    </a:prstGeom>
                  </pic:spPr>
                </pic:pic>
              </a:graphicData>
            </a:graphic>
          </wp:anchor>
        </w:drawing>
      </w:r>
    </w:p>
    <w:p>
      <w:pPr>
        <w:pStyle w:val="BodyText"/>
        <w:spacing w:after="0"/>
        <w:jc w:val="left"/>
        <w:rPr>
          <w:sz w:val="15"/>
        </w:rPr>
        <w:sectPr>
          <w:footerReference w:type="default" r:id="rId13"/>
          <w:pgSz w:w="11910" w:h="16840"/>
          <w:pgMar w:header="0" w:footer="0" w:top="1120" w:bottom="280" w:left="0" w:right="0"/>
        </w:sectPr>
      </w:pPr>
    </w:p>
    <w:p>
      <w:pPr>
        <w:pStyle w:val="BodyText"/>
        <w:ind w:left="1677" w:right="0" w:firstLine="0"/>
        <w:jc w:val="left"/>
      </w:pPr>
      <w:r>
        <w:rPr/>
        <w:drawing>
          <wp:inline distT="0" distB="0" distL="0" distR="0">
            <wp:extent cx="5553807" cy="768096"/>
            <wp:effectExtent l="0" t="0" r="0" b="0"/>
            <wp:docPr id="8" name="Image 8" descr="F:\работа верстка\19-20\Мымрина А.Н\Приказ_распоряжение_СЗ.jpg"/>
            <wp:cNvGraphicFramePr>
              <a:graphicFrameLocks/>
            </wp:cNvGraphicFramePr>
            <a:graphic>
              <a:graphicData uri="http://schemas.openxmlformats.org/drawingml/2006/picture">
                <pic:pic>
                  <pic:nvPicPr>
                    <pic:cNvPr id="8" name="Image 8" descr="F:\работа верстка\19-20\Мымрина А.Н\Приказ_распоряжение_СЗ.jpg"/>
                    <pic:cNvPicPr/>
                  </pic:nvPicPr>
                  <pic:blipFill>
                    <a:blip r:embed="rId17" cstate="print"/>
                    <a:stretch>
                      <a:fillRect/>
                    </a:stretch>
                  </pic:blipFill>
                  <pic:spPr>
                    <a:xfrm>
                      <a:off x="0" y="0"/>
                      <a:ext cx="5553807" cy="768096"/>
                    </a:xfrm>
                    <a:prstGeom prst="rect">
                      <a:avLst/>
                    </a:prstGeom>
                  </pic:spPr>
                </pic:pic>
              </a:graphicData>
            </a:graphic>
          </wp:inline>
        </w:drawing>
      </w:r>
      <w:r>
        <w:rPr/>
      </w:r>
    </w:p>
    <w:p>
      <w:pPr>
        <w:pStyle w:val="BodyText"/>
        <w:ind w:left="0" w:right="0" w:firstLine="0"/>
        <w:jc w:val="left"/>
        <w:rPr>
          <w:sz w:val="56"/>
        </w:rPr>
      </w:pPr>
    </w:p>
    <w:p>
      <w:pPr>
        <w:pStyle w:val="BodyText"/>
        <w:spacing w:before="492"/>
        <w:ind w:left="0" w:right="0" w:firstLine="0"/>
        <w:jc w:val="left"/>
        <w:rPr>
          <w:sz w:val="56"/>
        </w:rPr>
      </w:pPr>
    </w:p>
    <w:p>
      <w:pPr>
        <w:spacing w:line="276" w:lineRule="auto" w:before="0"/>
        <w:ind w:left="1209" w:right="0" w:firstLine="1332"/>
        <w:jc w:val="left"/>
        <w:rPr>
          <w:b/>
          <w:sz w:val="56"/>
        </w:rPr>
      </w:pPr>
      <w:r>
        <w:rPr>
          <w:b/>
          <w:sz w:val="56"/>
        </w:rPr>
        <w:t>Программа оценки особых образовательных</w:t>
      </w:r>
      <w:r>
        <w:rPr>
          <w:b/>
          <w:spacing w:val="-20"/>
          <w:sz w:val="56"/>
        </w:rPr>
        <w:t> </w:t>
      </w:r>
      <w:r>
        <w:rPr>
          <w:b/>
          <w:sz w:val="56"/>
        </w:rPr>
        <w:t>потребностей</w:t>
      </w:r>
      <w:r>
        <w:rPr>
          <w:b/>
          <w:spacing w:val="-21"/>
          <w:sz w:val="56"/>
        </w:rPr>
        <w:t> </w:t>
      </w:r>
      <w:r>
        <w:rPr>
          <w:b/>
          <w:sz w:val="56"/>
        </w:rPr>
        <w:t>детей</w:t>
      </w:r>
    </w:p>
    <w:p>
      <w:pPr>
        <w:spacing w:line="276" w:lineRule="auto" w:before="0"/>
        <w:ind w:left="2496" w:right="2486" w:firstLine="264"/>
        <w:jc w:val="left"/>
        <w:rPr>
          <w:b/>
          <w:sz w:val="56"/>
        </w:rPr>
      </w:pPr>
      <w:r>
        <w:rPr>
          <w:b/>
          <w:sz w:val="56"/>
        </w:rPr>
        <w:t>— иностранных граждан в</w:t>
      </w:r>
      <w:r>
        <w:rPr>
          <w:b/>
          <w:spacing w:val="-20"/>
          <w:sz w:val="56"/>
        </w:rPr>
        <w:t> </w:t>
      </w:r>
      <w:r>
        <w:rPr>
          <w:b/>
          <w:sz w:val="56"/>
        </w:rPr>
        <w:t>сферах</w:t>
      </w:r>
      <w:r>
        <w:rPr>
          <w:b/>
          <w:spacing w:val="-20"/>
          <w:sz w:val="56"/>
        </w:rPr>
        <w:t> </w:t>
      </w:r>
      <w:r>
        <w:rPr>
          <w:b/>
          <w:sz w:val="56"/>
        </w:rPr>
        <w:t>психологического</w:t>
      </w:r>
    </w:p>
    <w:p>
      <w:pPr>
        <w:spacing w:line="276" w:lineRule="auto" w:before="0"/>
        <w:ind w:left="2803" w:right="1054" w:hanging="1510"/>
        <w:jc w:val="left"/>
        <w:rPr>
          <w:b/>
          <w:sz w:val="56"/>
        </w:rPr>
      </w:pPr>
      <w:r>
        <w:rPr>
          <w:b/>
          <w:sz w:val="56"/>
        </w:rPr>
        <w:t>благополучия,</w:t>
      </w:r>
      <w:r>
        <w:rPr>
          <w:b/>
          <w:spacing w:val="-21"/>
          <w:sz w:val="56"/>
        </w:rPr>
        <w:t> </w:t>
      </w:r>
      <w:r>
        <w:rPr>
          <w:b/>
          <w:sz w:val="56"/>
        </w:rPr>
        <w:t>социальных</w:t>
      </w:r>
      <w:r>
        <w:rPr>
          <w:b/>
          <w:spacing w:val="-15"/>
          <w:sz w:val="56"/>
        </w:rPr>
        <w:t> </w:t>
      </w:r>
      <w:r>
        <w:rPr>
          <w:b/>
          <w:sz w:val="56"/>
        </w:rPr>
        <w:t>навыков и культурной адаптации</w:t>
      </w:r>
    </w:p>
    <w:p>
      <w:pPr>
        <w:pStyle w:val="BodyText"/>
        <w:ind w:left="0" w:right="0" w:firstLine="0"/>
        <w:jc w:val="left"/>
        <w:rPr>
          <w:b/>
          <w:sz w:val="56"/>
        </w:rPr>
      </w:pPr>
    </w:p>
    <w:p>
      <w:pPr>
        <w:pStyle w:val="BodyText"/>
        <w:ind w:left="0" w:right="0" w:firstLine="0"/>
        <w:jc w:val="left"/>
        <w:rPr>
          <w:b/>
          <w:sz w:val="56"/>
        </w:rPr>
      </w:pPr>
    </w:p>
    <w:p>
      <w:pPr>
        <w:pStyle w:val="BodyText"/>
        <w:spacing w:before="146"/>
        <w:ind w:left="0" w:right="0" w:firstLine="0"/>
        <w:jc w:val="left"/>
        <w:rPr>
          <w:b/>
          <w:sz w:val="56"/>
        </w:rPr>
      </w:pPr>
    </w:p>
    <w:p>
      <w:pPr>
        <w:spacing w:line="276" w:lineRule="auto" w:before="1"/>
        <w:ind w:left="1906" w:right="1063" w:firstLine="6"/>
        <w:jc w:val="center"/>
        <w:rPr>
          <w:b/>
          <w:sz w:val="28"/>
        </w:rPr>
      </w:pPr>
      <w:r>
        <w:rPr>
          <w:b/>
          <w:sz w:val="28"/>
        </w:rPr>
        <w:t>Рекомендовано к публикации Ученым советом Федерального государственного</w:t>
      </w:r>
      <w:r>
        <w:rPr>
          <w:b/>
          <w:spacing w:val="-12"/>
          <w:sz w:val="28"/>
        </w:rPr>
        <w:t> </w:t>
      </w:r>
      <w:r>
        <w:rPr>
          <w:b/>
          <w:sz w:val="28"/>
        </w:rPr>
        <w:t>бюджетного</w:t>
      </w:r>
      <w:r>
        <w:rPr>
          <w:b/>
          <w:spacing w:val="-12"/>
          <w:sz w:val="28"/>
        </w:rPr>
        <w:t> </w:t>
      </w:r>
      <w:r>
        <w:rPr>
          <w:b/>
          <w:sz w:val="28"/>
        </w:rPr>
        <w:t>образовательного</w:t>
      </w:r>
      <w:r>
        <w:rPr>
          <w:b/>
          <w:spacing w:val="-9"/>
          <w:sz w:val="28"/>
        </w:rPr>
        <w:t> </w:t>
      </w:r>
      <w:r>
        <w:rPr>
          <w:b/>
          <w:sz w:val="28"/>
        </w:rPr>
        <w:t>учреждения</w:t>
      </w:r>
      <w:r>
        <w:rPr>
          <w:b/>
          <w:spacing w:val="-11"/>
          <w:sz w:val="28"/>
        </w:rPr>
        <w:t> </w:t>
      </w:r>
      <w:r>
        <w:rPr>
          <w:b/>
          <w:sz w:val="28"/>
        </w:rPr>
        <w:t>высшего образования «Московский государственный психолого- педагогический университет»</w:t>
      </w:r>
    </w:p>
    <w:p>
      <w:pPr>
        <w:pStyle w:val="BodyText"/>
        <w:ind w:left="0" w:right="0" w:firstLine="0"/>
        <w:jc w:val="left"/>
        <w:rPr>
          <w:b/>
          <w:sz w:val="28"/>
        </w:rPr>
      </w:pPr>
    </w:p>
    <w:p>
      <w:pPr>
        <w:pStyle w:val="BodyText"/>
        <w:ind w:left="0" w:right="0" w:firstLine="0"/>
        <w:jc w:val="left"/>
        <w:rPr>
          <w:b/>
          <w:sz w:val="28"/>
        </w:rPr>
      </w:pPr>
    </w:p>
    <w:p>
      <w:pPr>
        <w:pStyle w:val="BodyText"/>
        <w:ind w:left="0" w:right="0" w:firstLine="0"/>
        <w:jc w:val="left"/>
        <w:rPr>
          <w:b/>
          <w:sz w:val="28"/>
        </w:rPr>
      </w:pPr>
    </w:p>
    <w:p>
      <w:pPr>
        <w:pStyle w:val="BodyText"/>
        <w:ind w:left="0" w:right="0" w:firstLine="0"/>
        <w:jc w:val="left"/>
        <w:rPr>
          <w:b/>
          <w:sz w:val="28"/>
        </w:rPr>
      </w:pPr>
    </w:p>
    <w:p>
      <w:pPr>
        <w:pStyle w:val="BodyText"/>
        <w:ind w:left="0" w:right="0" w:firstLine="0"/>
        <w:jc w:val="left"/>
        <w:rPr>
          <w:b/>
          <w:sz w:val="28"/>
        </w:rPr>
      </w:pPr>
    </w:p>
    <w:p>
      <w:pPr>
        <w:pStyle w:val="BodyText"/>
        <w:spacing w:before="152"/>
        <w:ind w:left="0" w:right="0" w:firstLine="0"/>
        <w:jc w:val="left"/>
        <w:rPr>
          <w:b/>
          <w:sz w:val="28"/>
        </w:rPr>
      </w:pPr>
    </w:p>
    <w:p>
      <w:pPr>
        <w:spacing w:before="0"/>
        <w:ind w:left="854" w:right="854" w:firstLine="0"/>
        <w:jc w:val="center"/>
        <w:rPr>
          <w:b/>
          <w:sz w:val="32"/>
        </w:rPr>
      </w:pPr>
      <w:r>
        <w:rPr>
          <w:b/>
          <w:sz w:val="32"/>
        </w:rPr>
        <mc:AlternateContent>
          <mc:Choice Requires="wps">
            <w:drawing>
              <wp:anchor distT="0" distB="0" distL="0" distR="0" allowOverlap="1" layoutInCell="1" locked="0" behindDoc="1" simplePos="0" relativeHeight="474509824">
                <wp:simplePos x="0" y="0"/>
                <wp:positionH relativeFrom="page">
                  <wp:posOffset>6950709</wp:posOffset>
                </wp:positionH>
                <wp:positionV relativeFrom="paragraph">
                  <wp:posOffset>417057</wp:posOffset>
                </wp:positionV>
                <wp:extent cx="70485" cy="15557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70485" cy="155575"/>
                        </a:xfrm>
                        <a:prstGeom prst="rect">
                          <a:avLst/>
                        </a:prstGeom>
                      </wps:spPr>
                      <wps:txbx>
                        <w:txbxContent>
                          <w:p>
                            <w:pPr>
                              <w:spacing w:line="244" w:lineRule="exact" w:before="0"/>
                              <w:ind w:left="0" w:right="0" w:firstLine="0"/>
                              <w:jc w:val="left"/>
                              <w:rPr>
                                <w:sz w:val="22"/>
                              </w:rPr>
                            </w:pPr>
                            <w:r>
                              <w:rPr>
                                <w:spacing w:val="-10"/>
                                <w:sz w:val="22"/>
                              </w:rPr>
                              <w:t>2</w:t>
                            </w:r>
                          </w:p>
                        </w:txbxContent>
                      </wps:txbx>
                      <wps:bodyPr wrap="square" lIns="0" tIns="0" rIns="0" bIns="0" rtlCol="0">
                        <a:noAutofit/>
                      </wps:bodyPr>
                    </wps:wsp>
                  </a:graphicData>
                </a:graphic>
              </wp:anchor>
            </w:drawing>
          </mc:Choice>
          <mc:Fallback>
            <w:pict>
              <v:shape style="position:absolute;margin-left:547.299988pt;margin-top:32.839142pt;width:5.55pt;height:12.25pt;mso-position-horizontal-relative:page;mso-position-vertical-relative:paragraph;z-index:-28806656" type="#_x0000_t202" id="docshape4" filled="false" stroked="false">
                <v:textbox inset="0,0,0,0">
                  <w:txbxContent>
                    <w:p>
                      <w:pPr>
                        <w:spacing w:line="244" w:lineRule="exact" w:before="0"/>
                        <w:ind w:left="0" w:right="0" w:firstLine="0"/>
                        <w:jc w:val="left"/>
                        <w:rPr>
                          <w:sz w:val="22"/>
                        </w:rPr>
                      </w:pPr>
                      <w:r>
                        <w:rPr>
                          <w:spacing w:val="-10"/>
                          <w:sz w:val="22"/>
                        </w:rPr>
                        <w:t>2</w:t>
                      </w:r>
                    </w:p>
                  </w:txbxContent>
                </v:textbox>
                <w10:wrap type="none"/>
              </v:shape>
            </w:pict>
          </mc:Fallback>
        </mc:AlternateContent>
      </w:r>
      <w:r>
        <w:rPr>
          <w:b/>
          <w:sz w:val="32"/>
        </w:rPr>
        <w:t>Москва,</w:t>
      </w:r>
      <w:r>
        <w:rPr>
          <w:b/>
          <w:spacing w:val="-16"/>
          <w:sz w:val="32"/>
        </w:rPr>
        <w:t> </w:t>
      </w:r>
      <w:r>
        <w:rPr>
          <w:b/>
          <w:spacing w:val="-4"/>
          <w:sz w:val="32"/>
        </w:rPr>
        <w:t>2022</w:t>
      </w:r>
    </w:p>
    <w:p>
      <w:pPr>
        <w:pStyle w:val="BodyText"/>
        <w:spacing w:before="6"/>
        <w:ind w:left="0" w:right="0" w:firstLine="0"/>
        <w:jc w:val="left"/>
        <w:rPr>
          <w:b/>
          <w:sz w:val="16"/>
        </w:rPr>
      </w:pPr>
      <w:r>
        <w:rPr>
          <w:b/>
          <w:sz w:val="16"/>
        </w:rPr>
        <mc:AlternateContent>
          <mc:Choice Requires="wps">
            <w:drawing>
              <wp:anchor distT="0" distB="0" distL="0" distR="0" allowOverlap="1" layoutInCell="1" locked="0" behindDoc="1" simplePos="0" relativeHeight="487589376">
                <wp:simplePos x="0" y="0"/>
                <wp:positionH relativeFrom="page">
                  <wp:posOffset>6510528</wp:posOffset>
                </wp:positionH>
                <wp:positionV relativeFrom="paragraph">
                  <wp:posOffset>135880</wp:posOffset>
                </wp:positionV>
                <wp:extent cx="820419" cy="405765"/>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820419" cy="405765"/>
                        </a:xfrm>
                        <a:custGeom>
                          <a:avLst/>
                          <a:gdLst/>
                          <a:ahLst/>
                          <a:cxnLst/>
                          <a:rect l="l" t="t" r="r" b="b"/>
                          <a:pathLst>
                            <a:path w="820419" h="405765">
                              <a:moveTo>
                                <a:pt x="819912" y="0"/>
                              </a:moveTo>
                              <a:lnTo>
                                <a:pt x="0" y="0"/>
                              </a:lnTo>
                              <a:lnTo>
                                <a:pt x="0" y="405383"/>
                              </a:lnTo>
                              <a:lnTo>
                                <a:pt x="819912" y="405383"/>
                              </a:lnTo>
                              <a:lnTo>
                                <a:pt x="81991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512.640015pt;margin-top:10.699219pt;width:64.56pt;height:31.92pt;mso-position-horizontal-relative:page;mso-position-vertical-relative:paragraph;z-index:-15727104;mso-wrap-distance-left:0;mso-wrap-distance-right:0" id="docshape5" filled="true" fillcolor="#ffffff" stroked="false">
                <v:fill type="solid"/>
                <w10:wrap type="topAndBottom"/>
              </v:rect>
            </w:pict>
          </mc:Fallback>
        </mc:AlternateContent>
      </w:r>
    </w:p>
    <w:p>
      <w:pPr>
        <w:pStyle w:val="BodyText"/>
        <w:spacing w:after="0"/>
        <w:jc w:val="left"/>
        <w:rPr>
          <w:b/>
          <w:sz w:val="16"/>
        </w:rPr>
        <w:sectPr>
          <w:footerReference w:type="default" r:id="rId16"/>
          <w:pgSz w:w="11910" w:h="16840"/>
          <w:pgMar w:header="0" w:footer="0" w:top="1860" w:bottom="280" w:left="0" w:right="0"/>
        </w:sectPr>
      </w:pPr>
    </w:p>
    <w:p>
      <w:pPr>
        <w:spacing w:before="72"/>
        <w:ind w:left="1702" w:right="0" w:firstLine="0"/>
        <w:jc w:val="left"/>
        <w:rPr>
          <w:b/>
          <w:sz w:val="28"/>
        </w:rPr>
      </w:pPr>
      <w:r>
        <w:rPr>
          <w:b/>
          <w:sz w:val="28"/>
        </w:rPr>
        <mc:AlternateContent>
          <mc:Choice Requires="wps">
            <w:drawing>
              <wp:anchor distT="0" distB="0" distL="0" distR="0" allowOverlap="1" layoutInCell="1" locked="0" behindDoc="1" simplePos="0" relativeHeight="474510848">
                <wp:simplePos x="0" y="0"/>
                <wp:positionH relativeFrom="page">
                  <wp:posOffset>6950709</wp:posOffset>
                </wp:positionH>
                <wp:positionV relativeFrom="page">
                  <wp:posOffset>9913646</wp:posOffset>
                </wp:positionV>
                <wp:extent cx="70485" cy="15557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70485" cy="155575"/>
                        </a:xfrm>
                        <a:prstGeom prst="rect">
                          <a:avLst/>
                        </a:prstGeom>
                      </wps:spPr>
                      <wps:txbx>
                        <w:txbxContent>
                          <w:p>
                            <w:pPr>
                              <w:spacing w:line="244" w:lineRule="exact" w:before="0"/>
                              <w:ind w:left="0" w:right="0" w:firstLine="0"/>
                              <w:jc w:val="left"/>
                              <w:rPr>
                                <w:sz w:val="22"/>
                              </w:rPr>
                            </w:pPr>
                            <w:r>
                              <w:rPr>
                                <w:spacing w:val="-10"/>
                                <w:sz w:val="22"/>
                              </w:rPr>
                              <w:t>3</w:t>
                            </w:r>
                          </w:p>
                        </w:txbxContent>
                      </wps:txbx>
                      <wps:bodyPr wrap="square" lIns="0" tIns="0" rIns="0" bIns="0" rtlCol="0">
                        <a:noAutofit/>
                      </wps:bodyPr>
                    </wps:wsp>
                  </a:graphicData>
                </a:graphic>
              </wp:anchor>
            </w:drawing>
          </mc:Choice>
          <mc:Fallback>
            <w:pict>
              <v:shape style="position:absolute;margin-left:547.299988pt;margin-top:780.602112pt;width:5.55pt;height:12.25pt;mso-position-horizontal-relative:page;mso-position-vertical-relative:page;z-index:-28805632" type="#_x0000_t202" id="docshape6" filled="false" stroked="false">
                <v:textbox inset="0,0,0,0">
                  <w:txbxContent>
                    <w:p>
                      <w:pPr>
                        <w:spacing w:line="244" w:lineRule="exact" w:before="0"/>
                        <w:ind w:left="0" w:right="0" w:firstLine="0"/>
                        <w:jc w:val="left"/>
                        <w:rPr>
                          <w:sz w:val="22"/>
                        </w:rPr>
                      </w:pPr>
                      <w:r>
                        <w:rPr>
                          <w:spacing w:val="-10"/>
                          <w:sz w:val="22"/>
                        </w:rPr>
                        <w:t>3</w:t>
                      </w:r>
                    </w:p>
                  </w:txbxContent>
                </v:textbox>
                <w10:wrap type="none"/>
              </v:shape>
            </w:pict>
          </mc:Fallback>
        </mc:AlternateContent>
      </w:r>
      <w:r>
        <w:rPr>
          <w:b/>
          <w:sz w:val="28"/>
        </w:rPr>
        <w:t>УДК</w:t>
      </w:r>
      <w:r>
        <w:rPr>
          <w:b/>
          <w:spacing w:val="-1"/>
          <w:sz w:val="28"/>
        </w:rPr>
        <w:t> </w:t>
      </w:r>
      <w:r>
        <w:rPr>
          <w:b/>
          <w:spacing w:val="-2"/>
          <w:sz w:val="28"/>
        </w:rPr>
        <w:t>159.99</w:t>
      </w:r>
    </w:p>
    <w:p>
      <w:pPr>
        <w:spacing w:before="250"/>
        <w:ind w:left="1702" w:right="0" w:firstLine="0"/>
        <w:jc w:val="left"/>
        <w:rPr>
          <w:b/>
          <w:sz w:val="28"/>
        </w:rPr>
      </w:pPr>
      <w:r>
        <w:rPr>
          <w:b/>
          <w:sz w:val="28"/>
        </w:rPr>
        <w:t>ББК</w:t>
      </w:r>
      <w:r>
        <w:rPr>
          <w:b/>
          <w:spacing w:val="-3"/>
          <w:sz w:val="28"/>
        </w:rPr>
        <w:t> </w:t>
      </w:r>
      <w:r>
        <w:rPr>
          <w:b/>
          <w:spacing w:val="-4"/>
          <w:sz w:val="28"/>
        </w:rPr>
        <w:t>88.9</w:t>
      </w:r>
    </w:p>
    <w:p>
      <w:pPr>
        <w:spacing w:before="249"/>
        <w:ind w:left="2410" w:right="0" w:firstLine="0"/>
        <w:jc w:val="left"/>
        <w:rPr>
          <w:b/>
          <w:sz w:val="28"/>
        </w:rPr>
      </w:pPr>
      <w:r>
        <w:rPr>
          <w:b/>
          <w:spacing w:val="-5"/>
          <w:sz w:val="28"/>
        </w:rPr>
        <w:t>М54</w:t>
      </w:r>
    </w:p>
    <w:p>
      <w:pPr>
        <w:spacing w:before="241"/>
        <w:ind w:left="3439" w:right="1054" w:hanging="663"/>
        <w:jc w:val="left"/>
        <w:rPr>
          <w:sz w:val="24"/>
        </w:rPr>
      </w:pPr>
      <w:r>
        <w:rPr>
          <w:sz w:val="24"/>
        </w:rPr>
        <w:t>Рецензенты:</w:t>
      </w:r>
      <w:r>
        <w:rPr>
          <w:spacing w:val="-6"/>
          <w:sz w:val="24"/>
        </w:rPr>
        <w:t> </w:t>
      </w:r>
      <w:r>
        <w:rPr>
          <w:sz w:val="24"/>
        </w:rPr>
        <w:t>доктор</w:t>
      </w:r>
      <w:r>
        <w:rPr>
          <w:spacing w:val="-8"/>
          <w:sz w:val="24"/>
        </w:rPr>
        <w:t> </w:t>
      </w:r>
      <w:r>
        <w:rPr>
          <w:sz w:val="24"/>
        </w:rPr>
        <w:t>психологических</w:t>
      </w:r>
      <w:r>
        <w:rPr>
          <w:spacing w:val="-7"/>
          <w:sz w:val="24"/>
        </w:rPr>
        <w:t> </w:t>
      </w:r>
      <w:r>
        <w:rPr>
          <w:sz w:val="24"/>
        </w:rPr>
        <w:t>наук,</w:t>
      </w:r>
      <w:r>
        <w:rPr>
          <w:spacing w:val="-6"/>
          <w:sz w:val="24"/>
        </w:rPr>
        <w:t> </w:t>
      </w:r>
      <w:r>
        <w:rPr>
          <w:sz w:val="24"/>
        </w:rPr>
        <w:t>профессор</w:t>
      </w:r>
      <w:r>
        <w:rPr>
          <w:spacing w:val="-4"/>
          <w:sz w:val="24"/>
        </w:rPr>
        <w:t> </w:t>
      </w:r>
      <w:r>
        <w:rPr>
          <w:sz w:val="24"/>
        </w:rPr>
        <w:t>В.В.</w:t>
      </w:r>
      <w:r>
        <w:rPr>
          <w:spacing w:val="-6"/>
          <w:sz w:val="24"/>
        </w:rPr>
        <w:t> </w:t>
      </w:r>
      <w:r>
        <w:rPr>
          <w:sz w:val="24"/>
        </w:rPr>
        <w:t>Гриценко, кандидат психологических наук, профессор Р.Х. Ганиева</w:t>
      </w:r>
    </w:p>
    <w:p>
      <w:pPr>
        <w:pStyle w:val="BodyText"/>
        <w:spacing w:before="7"/>
        <w:ind w:left="0" w:right="0" w:firstLine="0"/>
        <w:jc w:val="left"/>
        <w:rPr>
          <w:sz w:val="24"/>
        </w:rPr>
      </w:pPr>
    </w:p>
    <w:p>
      <w:pPr>
        <w:spacing w:line="237" w:lineRule="auto" w:before="0"/>
        <w:ind w:left="1702" w:right="846" w:firstLine="0"/>
        <w:jc w:val="both"/>
        <w:rPr>
          <w:sz w:val="24"/>
        </w:rPr>
      </w:pPr>
      <w:r>
        <w:rPr>
          <w:b/>
          <w:sz w:val="24"/>
        </w:rPr>
        <w:t>Программа оценки особых образовательных потребностей детей — иностранных граждан</w:t>
      </w:r>
      <w:r>
        <w:rPr>
          <w:b/>
          <w:spacing w:val="80"/>
          <w:sz w:val="24"/>
        </w:rPr>
        <w:t>  </w:t>
      </w:r>
      <w:r>
        <w:rPr>
          <w:b/>
          <w:sz w:val="24"/>
        </w:rPr>
        <w:t>в</w:t>
      </w:r>
      <w:r>
        <w:rPr>
          <w:b/>
          <w:spacing w:val="80"/>
          <w:sz w:val="24"/>
        </w:rPr>
        <w:t>  </w:t>
      </w:r>
      <w:r>
        <w:rPr>
          <w:b/>
          <w:sz w:val="24"/>
        </w:rPr>
        <w:t>сферах</w:t>
      </w:r>
      <w:r>
        <w:rPr>
          <w:b/>
          <w:spacing w:val="80"/>
          <w:sz w:val="24"/>
        </w:rPr>
        <w:t>  </w:t>
      </w:r>
      <w:r>
        <w:rPr>
          <w:b/>
          <w:sz w:val="24"/>
        </w:rPr>
        <w:t>психологического</w:t>
      </w:r>
      <w:r>
        <w:rPr>
          <w:b/>
          <w:spacing w:val="80"/>
          <w:sz w:val="24"/>
        </w:rPr>
        <w:t>  </w:t>
      </w:r>
      <w:r>
        <w:rPr>
          <w:b/>
          <w:sz w:val="24"/>
        </w:rPr>
        <w:t>благополучия,</w:t>
      </w:r>
      <w:r>
        <w:rPr>
          <w:b/>
          <w:spacing w:val="80"/>
          <w:sz w:val="24"/>
        </w:rPr>
        <w:t>  </w:t>
      </w:r>
      <w:r>
        <w:rPr>
          <w:b/>
          <w:sz w:val="24"/>
        </w:rPr>
        <w:t>социальных</w:t>
      </w:r>
      <w:r>
        <w:rPr>
          <w:b/>
          <w:spacing w:val="79"/>
          <w:sz w:val="24"/>
        </w:rPr>
        <w:t>  </w:t>
      </w:r>
      <w:r>
        <w:rPr>
          <w:b/>
          <w:sz w:val="24"/>
        </w:rPr>
        <w:t>навыков и культурной адаптации </w:t>
      </w:r>
      <w:r>
        <w:rPr>
          <w:sz w:val="24"/>
        </w:rPr>
        <w:t>/</w:t>
      </w:r>
      <w:r>
        <w:rPr>
          <w:spacing w:val="-2"/>
          <w:sz w:val="24"/>
        </w:rPr>
        <w:t> </w:t>
      </w:r>
      <w:r>
        <w:rPr>
          <w:sz w:val="24"/>
        </w:rPr>
        <w:t>Под ред. О.Е. Хухлаева, М.Ю. Чибисовой</w:t>
      </w:r>
      <w:r>
        <w:rPr>
          <w:spacing w:val="-2"/>
          <w:sz w:val="24"/>
        </w:rPr>
        <w:t> </w:t>
      </w:r>
      <w:r>
        <w:rPr>
          <w:sz w:val="24"/>
        </w:rPr>
        <w:t>и Н.В. Ткаченко М.: ФГБОУ ВО МГППУ, 2022. – 238 с.</w:t>
      </w:r>
    </w:p>
    <w:p>
      <w:pPr>
        <w:pStyle w:val="BodyText"/>
        <w:spacing w:before="4"/>
        <w:ind w:left="0" w:right="0" w:firstLine="0"/>
        <w:jc w:val="left"/>
        <w:rPr>
          <w:sz w:val="24"/>
        </w:rPr>
      </w:pPr>
    </w:p>
    <w:p>
      <w:pPr>
        <w:tabs>
          <w:tab w:pos="3707" w:val="left" w:leader="none"/>
          <w:tab w:pos="6184" w:val="left" w:leader="none"/>
          <w:tab w:pos="9684" w:val="left" w:leader="none"/>
        </w:tabs>
        <w:spacing w:before="1"/>
        <w:ind w:left="1702" w:right="845" w:firstLine="0"/>
        <w:jc w:val="both"/>
        <w:rPr>
          <w:sz w:val="24"/>
        </w:rPr>
      </w:pPr>
      <w:r>
        <w:rPr>
          <w:sz w:val="24"/>
        </w:rPr>
        <w:t>Настоящие методические рекомендации подготовлены коллективом специалистов </w:t>
      </w:r>
      <w:r>
        <w:rPr>
          <w:spacing w:val="-2"/>
          <w:sz w:val="24"/>
        </w:rPr>
        <w:t>Московского</w:t>
      </w:r>
      <w:r>
        <w:rPr>
          <w:sz w:val="24"/>
        </w:rPr>
        <w:tab/>
      </w:r>
      <w:r>
        <w:rPr>
          <w:spacing w:val="-2"/>
          <w:sz w:val="24"/>
        </w:rPr>
        <w:t>государственного</w:t>
      </w:r>
      <w:r>
        <w:rPr>
          <w:sz w:val="24"/>
        </w:rPr>
        <w:tab/>
      </w:r>
      <w:r>
        <w:rPr>
          <w:spacing w:val="-2"/>
          <w:sz w:val="24"/>
        </w:rPr>
        <w:t>психолого-педагогического</w:t>
      </w:r>
      <w:r>
        <w:rPr>
          <w:sz w:val="24"/>
        </w:rPr>
        <w:tab/>
      </w:r>
      <w:r>
        <w:rPr>
          <w:spacing w:val="-2"/>
          <w:sz w:val="24"/>
        </w:rPr>
        <w:t>университета </w:t>
      </w:r>
      <w:r>
        <w:rPr>
          <w:sz w:val="24"/>
        </w:rPr>
        <w:t>по государственному заданию Министерства Просвещения РФ, реализованному в 2022 году. Рег. № НИОКТР 122031500193-7</w:t>
      </w:r>
    </w:p>
    <w:p>
      <w:pPr>
        <w:spacing w:before="0"/>
        <w:ind w:left="1702" w:right="0" w:firstLine="0"/>
        <w:jc w:val="both"/>
        <w:rPr>
          <w:sz w:val="24"/>
        </w:rPr>
      </w:pPr>
      <w:r>
        <w:rPr>
          <w:sz w:val="24"/>
        </w:rPr>
        <w:t>Настоящие</w:t>
      </w:r>
      <w:r>
        <w:rPr>
          <w:spacing w:val="-3"/>
          <w:sz w:val="24"/>
        </w:rPr>
        <w:t> </w:t>
      </w:r>
      <w:r>
        <w:rPr>
          <w:sz w:val="24"/>
        </w:rPr>
        <w:t>методические</w:t>
      </w:r>
      <w:r>
        <w:rPr>
          <w:spacing w:val="-3"/>
          <w:sz w:val="24"/>
        </w:rPr>
        <w:t> </w:t>
      </w:r>
      <w:r>
        <w:rPr>
          <w:sz w:val="24"/>
        </w:rPr>
        <w:t>рекомендации</w:t>
      </w:r>
      <w:r>
        <w:rPr>
          <w:spacing w:val="-1"/>
          <w:sz w:val="24"/>
        </w:rPr>
        <w:t> </w:t>
      </w:r>
      <w:r>
        <w:rPr>
          <w:sz w:val="24"/>
        </w:rPr>
        <w:t>состоят</w:t>
      </w:r>
      <w:r>
        <w:rPr>
          <w:spacing w:val="-2"/>
          <w:sz w:val="24"/>
        </w:rPr>
        <w:t> </w:t>
      </w:r>
      <w:r>
        <w:rPr>
          <w:sz w:val="24"/>
        </w:rPr>
        <w:t>из</w:t>
      </w:r>
      <w:r>
        <w:rPr>
          <w:spacing w:val="-2"/>
          <w:sz w:val="24"/>
        </w:rPr>
        <w:t> </w:t>
      </w:r>
      <w:r>
        <w:rPr>
          <w:sz w:val="24"/>
        </w:rPr>
        <w:t>трех</w:t>
      </w:r>
      <w:r>
        <w:rPr>
          <w:spacing w:val="1"/>
          <w:sz w:val="24"/>
        </w:rPr>
        <w:t> </w:t>
      </w:r>
      <w:r>
        <w:rPr>
          <w:spacing w:val="-2"/>
          <w:sz w:val="24"/>
        </w:rPr>
        <w:t>частей.</w:t>
      </w:r>
    </w:p>
    <w:p>
      <w:pPr>
        <w:spacing w:before="0"/>
        <w:ind w:left="1702" w:right="847" w:firstLine="0"/>
        <w:jc w:val="both"/>
        <w:rPr>
          <w:sz w:val="24"/>
        </w:rPr>
      </w:pPr>
      <w:r>
        <w:rPr>
          <w:sz w:val="24"/>
        </w:rPr>
        <w:t>Первая</w:t>
      </w:r>
      <w:r>
        <w:rPr>
          <w:spacing w:val="-7"/>
          <w:sz w:val="24"/>
        </w:rPr>
        <w:t> </w:t>
      </w:r>
      <w:r>
        <w:rPr>
          <w:sz w:val="24"/>
        </w:rPr>
        <w:t>часть:</w:t>
      </w:r>
      <w:r>
        <w:rPr>
          <w:spacing w:val="-7"/>
          <w:sz w:val="24"/>
        </w:rPr>
        <w:t> </w:t>
      </w:r>
      <w:r>
        <w:rPr>
          <w:sz w:val="24"/>
        </w:rPr>
        <w:t>Научно-методологическая</w:t>
      </w:r>
      <w:r>
        <w:rPr>
          <w:spacing w:val="-7"/>
          <w:sz w:val="24"/>
        </w:rPr>
        <w:t> </w:t>
      </w:r>
      <w:r>
        <w:rPr>
          <w:sz w:val="24"/>
        </w:rPr>
        <w:t>концепция</w:t>
      </w:r>
      <w:r>
        <w:rPr>
          <w:spacing w:val="-10"/>
          <w:sz w:val="24"/>
        </w:rPr>
        <w:t> </w:t>
      </w:r>
      <w:r>
        <w:rPr>
          <w:sz w:val="24"/>
        </w:rPr>
        <w:t>программы</w:t>
      </w:r>
      <w:r>
        <w:rPr>
          <w:spacing w:val="-7"/>
          <w:sz w:val="24"/>
        </w:rPr>
        <w:t> </w:t>
      </w:r>
      <w:r>
        <w:rPr>
          <w:sz w:val="24"/>
        </w:rPr>
        <w:t>психолого-педагогической оценки особых образовательных потребностей ребенка-мигранта в областях психологического благополучия, социальных навыков и культурной адаптации.</w:t>
      </w:r>
    </w:p>
    <w:p>
      <w:pPr>
        <w:spacing w:before="0"/>
        <w:ind w:left="1702" w:right="850" w:firstLine="0"/>
        <w:jc w:val="both"/>
        <w:rPr>
          <w:sz w:val="24"/>
        </w:rPr>
      </w:pPr>
      <w:r>
        <w:rPr>
          <w:sz w:val="24"/>
        </w:rPr>
        <w:t>Вторая часть: Методические рекомендации по проведению психолого-педагогической оценки особых образовательных потребностей детей иностранных граждан.</w:t>
      </w:r>
    </w:p>
    <w:p>
      <w:pPr>
        <w:spacing w:before="0"/>
        <w:ind w:left="1702" w:right="845" w:firstLine="0"/>
        <w:jc w:val="both"/>
        <w:rPr>
          <w:sz w:val="24"/>
        </w:rPr>
      </w:pPr>
      <w:r>
        <w:rPr>
          <w:sz w:val="24"/>
        </w:rPr>
        <w:t>Третья часть: Инструментарий оценки особых образовательных потребностей детей — иностранных</w:t>
      </w:r>
      <w:r>
        <w:rPr>
          <w:spacing w:val="40"/>
          <w:sz w:val="24"/>
        </w:rPr>
        <w:t> </w:t>
      </w:r>
      <w:r>
        <w:rPr>
          <w:sz w:val="24"/>
        </w:rPr>
        <w:t>граждан</w:t>
      </w:r>
      <w:r>
        <w:rPr>
          <w:spacing w:val="40"/>
          <w:sz w:val="24"/>
        </w:rPr>
        <w:t> </w:t>
      </w:r>
      <w:r>
        <w:rPr>
          <w:sz w:val="24"/>
        </w:rPr>
        <w:t>в</w:t>
      </w:r>
      <w:r>
        <w:rPr>
          <w:spacing w:val="40"/>
          <w:sz w:val="24"/>
        </w:rPr>
        <w:t> </w:t>
      </w:r>
      <w:r>
        <w:rPr>
          <w:sz w:val="24"/>
        </w:rPr>
        <w:t>сферах</w:t>
      </w:r>
      <w:r>
        <w:rPr>
          <w:spacing w:val="40"/>
          <w:sz w:val="24"/>
        </w:rPr>
        <w:t> </w:t>
      </w:r>
      <w:r>
        <w:rPr>
          <w:sz w:val="24"/>
        </w:rPr>
        <w:t>психологического</w:t>
      </w:r>
      <w:r>
        <w:rPr>
          <w:spacing w:val="40"/>
          <w:sz w:val="24"/>
        </w:rPr>
        <w:t> </w:t>
      </w:r>
      <w:r>
        <w:rPr>
          <w:sz w:val="24"/>
        </w:rPr>
        <w:t>благополучия,</w:t>
      </w:r>
      <w:r>
        <w:rPr>
          <w:spacing w:val="40"/>
          <w:sz w:val="24"/>
        </w:rPr>
        <w:t> </w:t>
      </w:r>
      <w:r>
        <w:rPr>
          <w:sz w:val="24"/>
        </w:rPr>
        <w:t>социальных</w:t>
      </w:r>
      <w:r>
        <w:rPr>
          <w:spacing w:val="40"/>
          <w:sz w:val="24"/>
        </w:rPr>
        <w:t> </w:t>
      </w:r>
      <w:r>
        <w:rPr>
          <w:sz w:val="24"/>
        </w:rPr>
        <w:t>навыков</w:t>
      </w:r>
      <w:r>
        <w:rPr>
          <w:spacing w:val="80"/>
          <w:sz w:val="24"/>
        </w:rPr>
        <w:t> </w:t>
      </w:r>
      <w:r>
        <w:rPr>
          <w:sz w:val="24"/>
        </w:rPr>
        <w:t>и культурной адаптации.</w:t>
      </w:r>
    </w:p>
    <w:p>
      <w:pPr>
        <w:pStyle w:val="BodyText"/>
        <w:ind w:left="0" w:right="0" w:firstLine="0"/>
        <w:jc w:val="left"/>
        <w:rPr>
          <w:sz w:val="24"/>
        </w:rPr>
      </w:pPr>
    </w:p>
    <w:p>
      <w:pPr>
        <w:spacing w:before="0"/>
        <w:ind w:left="1702" w:right="849" w:firstLine="0"/>
        <w:jc w:val="both"/>
        <w:rPr>
          <w:sz w:val="24"/>
        </w:rPr>
      </w:pPr>
      <w:r>
        <w:rPr>
          <w:sz w:val="24"/>
        </w:rPr>
        <w:t>Все</w:t>
      </w:r>
      <w:r>
        <w:rPr>
          <w:spacing w:val="-6"/>
          <w:sz w:val="24"/>
        </w:rPr>
        <w:t> </w:t>
      </w:r>
      <w:r>
        <w:rPr>
          <w:sz w:val="24"/>
        </w:rPr>
        <w:t>материалы</w:t>
      </w:r>
      <w:r>
        <w:rPr>
          <w:spacing w:val="-5"/>
          <w:sz w:val="24"/>
        </w:rPr>
        <w:t> </w:t>
      </w:r>
      <w:r>
        <w:rPr>
          <w:sz w:val="24"/>
        </w:rPr>
        <w:t>методических</w:t>
      </w:r>
      <w:r>
        <w:rPr>
          <w:spacing w:val="-6"/>
          <w:sz w:val="24"/>
        </w:rPr>
        <w:t> </w:t>
      </w:r>
      <w:r>
        <w:rPr>
          <w:sz w:val="24"/>
        </w:rPr>
        <w:t>рекомендаций</w:t>
      </w:r>
      <w:r>
        <w:rPr>
          <w:spacing w:val="-9"/>
          <w:sz w:val="24"/>
        </w:rPr>
        <w:t> </w:t>
      </w:r>
      <w:r>
        <w:rPr>
          <w:sz w:val="24"/>
        </w:rPr>
        <w:t>носят</w:t>
      </w:r>
      <w:r>
        <w:rPr>
          <w:spacing w:val="-7"/>
          <w:sz w:val="24"/>
        </w:rPr>
        <w:t> </w:t>
      </w:r>
      <w:r>
        <w:rPr>
          <w:sz w:val="24"/>
        </w:rPr>
        <w:t>практический</w:t>
      </w:r>
      <w:r>
        <w:rPr>
          <w:spacing w:val="-9"/>
          <w:sz w:val="24"/>
        </w:rPr>
        <w:t> </w:t>
      </w:r>
      <w:r>
        <w:rPr>
          <w:sz w:val="24"/>
        </w:rPr>
        <w:t>характер</w:t>
      </w:r>
      <w:r>
        <w:rPr>
          <w:spacing w:val="-8"/>
          <w:sz w:val="24"/>
        </w:rPr>
        <w:t> </w:t>
      </w:r>
      <w:r>
        <w:rPr>
          <w:sz w:val="24"/>
        </w:rPr>
        <w:t>и</w:t>
      </w:r>
      <w:r>
        <w:rPr>
          <w:spacing w:val="-7"/>
          <w:sz w:val="24"/>
        </w:rPr>
        <w:t> </w:t>
      </w:r>
      <w:r>
        <w:rPr>
          <w:sz w:val="24"/>
        </w:rPr>
        <w:t>будут</w:t>
      </w:r>
      <w:r>
        <w:rPr>
          <w:spacing w:val="-7"/>
          <w:sz w:val="24"/>
        </w:rPr>
        <w:t> </w:t>
      </w:r>
      <w:r>
        <w:rPr>
          <w:sz w:val="24"/>
        </w:rPr>
        <w:t>полезны психологам, педагогам, учителям, и всем заинтересованным специалистам, чья деятельность связана с работой с детьми — иностранных граждан в сферах психологического благополучия, социальных навыков и культурной адаптации.</w:t>
      </w:r>
    </w:p>
    <w:p>
      <w:pPr>
        <w:pStyle w:val="Heading9"/>
        <w:spacing w:before="260"/>
        <w:ind w:left="1702" w:firstLine="0"/>
      </w:pPr>
      <w:r>
        <w:rPr/>
        <w:t>ISBN</w:t>
      </w:r>
      <w:r>
        <w:rPr>
          <w:spacing w:val="-3"/>
        </w:rPr>
        <w:t> </w:t>
      </w:r>
      <w:r>
        <w:rPr/>
        <w:t>978-5-94051-284-</w:t>
      </w:r>
      <w:r>
        <w:rPr>
          <w:spacing w:val="-10"/>
        </w:rPr>
        <w:t>4</w:t>
      </w:r>
    </w:p>
    <w:p>
      <w:pPr>
        <w:pStyle w:val="Heading9"/>
        <w:spacing w:before="242"/>
        <w:ind w:left="0" w:right="849" w:firstLine="0"/>
        <w:jc w:val="right"/>
      </w:pPr>
      <w:r>
        <w:rPr/>
        <w:t>©</w:t>
      </w:r>
      <w:r>
        <w:rPr>
          <w:spacing w:val="-1"/>
        </w:rPr>
        <w:t> </w:t>
      </w:r>
      <w:r>
        <w:rPr/>
        <w:t>ФГБОУ</w:t>
      </w:r>
      <w:r>
        <w:rPr>
          <w:spacing w:val="-1"/>
        </w:rPr>
        <w:t> </w:t>
      </w:r>
      <w:r>
        <w:rPr/>
        <w:t>ВО</w:t>
      </w:r>
      <w:r>
        <w:rPr>
          <w:spacing w:val="-1"/>
        </w:rPr>
        <w:t> </w:t>
      </w:r>
      <w:r>
        <w:rPr/>
        <w:t>МГППУ,</w:t>
      </w:r>
      <w:r>
        <w:rPr>
          <w:spacing w:val="-1"/>
        </w:rPr>
        <w:t> </w:t>
      </w:r>
      <w:r>
        <w:rPr>
          <w:spacing w:val="-4"/>
        </w:rPr>
        <w:t>2022</w:t>
      </w: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spacing w:before="206"/>
        <w:ind w:left="0" w:right="0" w:firstLine="0"/>
        <w:jc w:val="left"/>
        <w:rPr>
          <w:b/>
        </w:rPr>
      </w:pPr>
      <w:r>
        <w:rPr>
          <w:b/>
        </w:rPr>
        <mc:AlternateContent>
          <mc:Choice Requires="wps">
            <w:drawing>
              <wp:anchor distT="0" distB="0" distL="0" distR="0" allowOverlap="1" layoutInCell="1" locked="0" behindDoc="1" simplePos="0" relativeHeight="487590400">
                <wp:simplePos x="0" y="0"/>
                <wp:positionH relativeFrom="page">
                  <wp:posOffset>6589776</wp:posOffset>
                </wp:positionH>
                <wp:positionV relativeFrom="paragraph">
                  <wp:posOffset>292087</wp:posOffset>
                </wp:positionV>
                <wp:extent cx="818515" cy="405765"/>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818515" cy="405765"/>
                        </a:xfrm>
                        <a:custGeom>
                          <a:avLst/>
                          <a:gdLst/>
                          <a:ahLst/>
                          <a:cxnLst/>
                          <a:rect l="l" t="t" r="r" b="b"/>
                          <a:pathLst>
                            <a:path w="818515" h="405765">
                              <a:moveTo>
                                <a:pt x="818387" y="0"/>
                              </a:moveTo>
                              <a:lnTo>
                                <a:pt x="0" y="0"/>
                              </a:lnTo>
                              <a:lnTo>
                                <a:pt x="0" y="405384"/>
                              </a:lnTo>
                              <a:lnTo>
                                <a:pt x="818387" y="405384"/>
                              </a:lnTo>
                              <a:lnTo>
                                <a:pt x="81838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518.880005pt;margin-top:22.999023pt;width:64.44pt;height:31.92pt;mso-position-horizontal-relative:page;mso-position-vertical-relative:paragraph;z-index:-15726080;mso-wrap-distance-left:0;mso-wrap-distance-right:0" id="docshape7" filled="true" fillcolor="#ffffff" stroked="false">
                <v:fill type="solid"/>
                <w10:wrap type="topAndBottom"/>
              </v:rect>
            </w:pict>
          </mc:Fallback>
        </mc:AlternateContent>
      </w:r>
    </w:p>
    <w:p>
      <w:pPr>
        <w:pStyle w:val="BodyText"/>
        <w:spacing w:after="0"/>
        <w:jc w:val="left"/>
        <w:rPr>
          <w:b/>
        </w:rPr>
        <w:sectPr>
          <w:footerReference w:type="default" r:id="rId18"/>
          <w:pgSz w:w="11910" w:h="16840"/>
          <w:pgMar w:header="0" w:footer="0" w:top="1040" w:bottom="280" w:left="0" w:right="0"/>
        </w:sectPr>
      </w:pPr>
    </w:p>
    <w:sdt>
      <w:sdtPr>
        <w:docPartObj>
          <w:docPartGallery w:val="Table of Contents"/>
          <w:docPartUnique/>
        </w:docPartObj>
      </w:sdtPr>
      <w:sdtEndPr/>
      <w:sdtContent>
        <w:p>
          <w:pPr>
            <w:pStyle w:val="TOC2"/>
            <w:tabs>
              <w:tab w:pos="10911" w:val="left" w:leader="dot"/>
            </w:tabs>
            <w:spacing w:before="72"/>
            <w:ind w:right="843"/>
            <w:jc w:val="both"/>
          </w:pPr>
          <w:r>
            <w:rPr>
              <w:u w:val="single"/>
            </w:rPr>
            <w:t>Часть 1</w:t>
          </w:r>
          <w:r>
            <w:rPr/>
            <w:t> Научно-методологическая концепция программы психолого- педагогической оценки особых образовательных потребностей ребенка- мигранта в областях психологического благополучия, социальных навыков</w:t>
          </w:r>
          <w:r>
            <w:rPr>
              <w:spacing w:val="-13"/>
            </w:rPr>
            <w:t> </w:t>
          </w:r>
          <w:r>
            <w:rPr/>
            <w:t>и</w:t>
          </w:r>
          <w:r>
            <w:rPr>
              <w:spacing w:val="-14"/>
            </w:rPr>
            <w:t> </w:t>
          </w:r>
          <w:r>
            <w:rPr/>
            <w:t>культурной</w:t>
          </w:r>
          <w:r>
            <w:rPr>
              <w:spacing w:val="-13"/>
            </w:rPr>
            <w:t> </w:t>
          </w:r>
          <w:r>
            <w:rPr>
              <w:spacing w:val="-2"/>
            </w:rPr>
            <w:t>адаптации</w:t>
          </w:r>
          <w:r>
            <w:rPr>
              <w:b w:val="0"/>
            </w:rPr>
            <w:tab/>
          </w:r>
          <w:r>
            <w:rPr>
              <w:spacing w:val="-10"/>
            </w:rPr>
            <w:t>6</w:t>
          </w:r>
        </w:p>
        <w:p>
          <w:pPr>
            <w:pStyle w:val="TOC2"/>
            <w:tabs>
              <w:tab w:pos="10854" w:val="left" w:leader="dot"/>
            </w:tabs>
            <w:spacing w:before="1"/>
            <w:jc w:val="both"/>
          </w:pPr>
          <w:hyperlink w:history="true" w:anchor="_TOC_250000">
            <w:r>
              <w:rPr>
                <w:spacing w:val="-2"/>
              </w:rPr>
              <w:t>Введение</w:t>
            </w:r>
            <w:r>
              <w:rPr>
                <w:b w:val="0"/>
              </w:rPr>
              <w:tab/>
            </w:r>
            <w:r>
              <w:rPr>
                <w:spacing w:val="-10"/>
              </w:rPr>
              <w:t>7</w:t>
            </w:r>
          </w:hyperlink>
        </w:p>
        <w:p>
          <w:pPr>
            <w:pStyle w:val="TOC2"/>
            <w:tabs>
              <w:tab w:pos="10765" w:val="left" w:leader="dot"/>
            </w:tabs>
            <w:spacing w:before="199"/>
            <w:jc w:val="both"/>
          </w:pPr>
          <w:hyperlink w:history="true" w:anchor="_bookmark0">
            <w:r>
              <w:rPr/>
              <w:t>Глава</w:t>
            </w:r>
            <w:r>
              <w:rPr>
                <w:spacing w:val="-7"/>
              </w:rPr>
              <w:t> </w:t>
            </w:r>
            <w:r>
              <w:rPr/>
              <w:t>1.</w:t>
            </w:r>
            <w:r>
              <w:rPr>
                <w:spacing w:val="-5"/>
              </w:rPr>
              <w:t> </w:t>
            </w:r>
            <w:r>
              <w:rPr/>
              <w:t>Социально-инклюзивный</w:t>
            </w:r>
            <w:r>
              <w:rPr>
                <w:spacing w:val="-6"/>
              </w:rPr>
              <w:t> </w:t>
            </w:r>
            <w:r>
              <w:rPr/>
              <w:t>подход</w:t>
            </w:r>
            <w:r>
              <w:rPr>
                <w:spacing w:val="-6"/>
              </w:rPr>
              <w:t> </w:t>
            </w:r>
            <w:r>
              <w:rPr/>
              <w:t>и</w:t>
            </w:r>
            <w:r>
              <w:rPr>
                <w:spacing w:val="-5"/>
              </w:rPr>
              <w:t> </w:t>
            </w:r>
            <w:r>
              <w:rPr>
                <w:spacing w:val="-2"/>
              </w:rPr>
              <w:t>интеграция</w:t>
            </w:r>
            <w:r>
              <w:rPr>
                <w:b w:val="0"/>
              </w:rPr>
              <w:tab/>
            </w:r>
            <w:r>
              <w:rPr>
                <w:spacing w:val="-5"/>
              </w:rPr>
              <w:t>10</w:t>
            </w:r>
          </w:hyperlink>
        </w:p>
        <w:p>
          <w:pPr>
            <w:pStyle w:val="TOC2"/>
            <w:tabs>
              <w:tab w:pos="10765" w:val="left" w:leader="dot"/>
            </w:tabs>
            <w:spacing w:before="98"/>
            <w:jc w:val="both"/>
          </w:pPr>
          <w:hyperlink w:history="true" w:anchor="_bookmark1">
            <w:r>
              <w:rPr/>
              <w:t>детей-мигрантов</w:t>
            </w:r>
            <w:r>
              <w:rPr>
                <w:spacing w:val="-11"/>
              </w:rPr>
              <w:t> </w:t>
            </w:r>
            <w:r>
              <w:rPr/>
              <w:t>в</w:t>
            </w:r>
            <w:r>
              <w:rPr>
                <w:spacing w:val="-12"/>
              </w:rPr>
              <w:t> </w:t>
            </w:r>
            <w:r>
              <w:rPr/>
              <w:t>образовательной</w:t>
            </w:r>
            <w:r>
              <w:rPr>
                <w:spacing w:val="-10"/>
              </w:rPr>
              <w:t> </w:t>
            </w:r>
            <w:r>
              <w:rPr>
                <w:spacing w:val="-4"/>
              </w:rPr>
              <w:t>среде</w:t>
            </w:r>
            <w:r>
              <w:rPr>
                <w:b w:val="0"/>
              </w:rPr>
              <w:tab/>
            </w:r>
            <w:r>
              <w:rPr>
                <w:spacing w:val="-5"/>
              </w:rPr>
              <w:t>10</w:t>
            </w:r>
          </w:hyperlink>
        </w:p>
        <w:p>
          <w:pPr>
            <w:pStyle w:val="TOC2"/>
            <w:tabs>
              <w:tab w:pos="10765" w:val="left" w:leader="dot"/>
            </w:tabs>
            <w:spacing w:line="237" w:lineRule="auto" w:before="105"/>
            <w:ind w:right="851"/>
            <w:jc w:val="both"/>
          </w:pPr>
          <w:hyperlink w:history="true" w:anchor="_bookmark2">
            <w:r>
              <w:rPr/>
              <w:t>Глава 2. Социально-инклюзивный подход к анализу особых</w:t>
            </w:r>
          </w:hyperlink>
          <w:r>
            <w:rPr/>
            <w:t> </w:t>
          </w:r>
          <w:hyperlink w:history="true" w:anchor="_bookmark2">
            <w:r>
              <w:rPr/>
              <w:t>образовательных</w:t>
            </w:r>
            <w:r>
              <w:rPr>
                <w:spacing w:val="-16"/>
              </w:rPr>
              <w:t> </w:t>
            </w:r>
            <w:r>
              <w:rPr/>
              <w:t>потребностей</w:t>
            </w:r>
            <w:r>
              <w:rPr>
                <w:spacing w:val="-16"/>
              </w:rPr>
              <w:t> </w:t>
            </w:r>
            <w:r>
              <w:rPr/>
              <w:t>детей-</w:t>
            </w:r>
            <w:r>
              <w:rPr>
                <w:spacing w:val="-2"/>
              </w:rPr>
              <w:t>мигрантов</w:t>
            </w:r>
            <w:r>
              <w:rPr>
                <w:b w:val="0"/>
              </w:rPr>
              <w:tab/>
            </w:r>
            <w:r>
              <w:rPr>
                <w:spacing w:val="-5"/>
              </w:rPr>
              <w:t>18</w:t>
            </w:r>
          </w:hyperlink>
        </w:p>
        <w:p>
          <w:pPr>
            <w:pStyle w:val="TOC2"/>
            <w:tabs>
              <w:tab w:pos="10765" w:val="left" w:leader="dot"/>
            </w:tabs>
            <w:spacing w:before="105"/>
            <w:ind w:right="843"/>
            <w:jc w:val="both"/>
          </w:pPr>
          <w:hyperlink w:history="true" w:anchor="_bookmark3">
            <w:r>
              <w:rPr/>
              <w:t>Глава 3. Оценка особых образовательных потребностей ребенка-</w:t>
            </w:r>
          </w:hyperlink>
          <w:r>
            <w:rPr/>
            <w:t> </w:t>
          </w:r>
          <w:hyperlink w:history="true" w:anchor="_bookmark3">
            <w:r>
              <w:rPr/>
              <w:t>мигранта в областях психологического благополучия, социальных</w:t>
            </w:r>
          </w:hyperlink>
          <w:r>
            <w:rPr/>
            <w:t> </w:t>
          </w:r>
          <w:hyperlink w:history="true" w:anchor="_bookmark3">
            <w:r>
              <w:rPr/>
              <w:t>навыков</w:t>
            </w:r>
            <w:r>
              <w:rPr>
                <w:spacing w:val="-7"/>
              </w:rPr>
              <w:t> </w:t>
            </w:r>
            <w:r>
              <w:rPr/>
              <w:t>и</w:t>
            </w:r>
            <w:r>
              <w:rPr>
                <w:spacing w:val="-6"/>
              </w:rPr>
              <w:t> </w:t>
            </w:r>
            <w:r>
              <w:rPr/>
              <w:t>культурной</w:t>
            </w:r>
            <w:r>
              <w:rPr>
                <w:spacing w:val="-6"/>
              </w:rPr>
              <w:t> </w:t>
            </w:r>
            <w:r>
              <w:rPr>
                <w:spacing w:val="-2"/>
              </w:rPr>
              <w:t>адаптации</w:t>
            </w:r>
            <w:r>
              <w:rPr>
                <w:b w:val="0"/>
              </w:rPr>
              <w:tab/>
            </w:r>
            <w:r>
              <w:rPr>
                <w:spacing w:val="-5"/>
              </w:rPr>
              <w:t>25</w:t>
            </w:r>
          </w:hyperlink>
        </w:p>
        <w:p>
          <w:pPr>
            <w:pStyle w:val="TOC2"/>
            <w:tabs>
              <w:tab w:pos="10765" w:val="left" w:leader="dot"/>
            </w:tabs>
            <w:spacing w:before="97"/>
            <w:jc w:val="both"/>
          </w:pPr>
          <w:hyperlink w:history="true" w:anchor="_bookmark4">
            <w:r>
              <w:rPr>
                <w:spacing w:val="-2"/>
              </w:rPr>
              <w:t>Библиография</w:t>
            </w:r>
            <w:r>
              <w:rPr>
                <w:b w:val="0"/>
              </w:rPr>
              <w:tab/>
            </w:r>
            <w:r>
              <w:rPr>
                <w:spacing w:val="-5"/>
              </w:rPr>
              <w:t>33</w:t>
            </w:r>
          </w:hyperlink>
        </w:p>
        <w:p>
          <w:pPr>
            <w:pStyle w:val="TOC2"/>
            <w:tabs>
              <w:tab w:pos="10765" w:val="left" w:leader="dot"/>
            </w:tabs>
            <w:spacing w:before="571"/>
            <w:ind w:right="843"/>
            <w:jc w:val="both"/>
          </w:pPr>
          <w:r>
            <w:rPr>
              <w:u w:val="single"/>
            </w:rPr>
            <w:t>Часть 2</w:t>
          </w:r>
          <w:r>
            <w:rPr/>
            <w:t> Методические рекомендации по проведению психолого- педагогической оценки особых образовательных потребностей детей иностранных</w:t>
          </w:r>
          <w:r>
            <w:rPr>
              <w:spacing w:val="-9"/>
            </w:rPr>
            <w:t> </w:t>
          </w:r>
          <w:r>
            <w:rPr>
              <w:spacing w:val="-2"/>
            </w:rPr>
            <w:t>граждан</w:t>
          </w:r>
          <w:r>
            <w:rPr>
              <w:b w:val="0"/>
            </w:rPr>
            <w:tab/>
          </w:r>
          <w:r>
            <w:rPr>
              <w:spacing w:val="-5"/>
            </w:rPr>
            <w:t>42</w:t>
          </w:r>
        </w:p>
        <w:p>
          <w:pPr>
            <w:pStyle w:val="TOC2"/>
            <w:tabs>
              <w:tab w:pos="10765" w:val="left" w:leader="dot"/>
            </w:tabs>
            <w:spacing w:before="198"/>
            <w:jc w:val="both"/>
          </w:pPr>
          <w:hyperlink w:history="true" w:anchor="_bookmark5">
            <w:r>
              <w:rPr>
                <w:spacing w:val="-2"/>
              </w:rPr>
              <w:t>Аннотация</w:t>
            </w:r>
            <w:r>
              <w:rPr>
                <w:b w:val="0"/>
              </w:rPr>
              <w:tab/>
            </w:r>
            <w:r>
              <w:rPr>
                <w:spacing w:val="-5"/>
              </w:rPr>
              <w:t>43</w:t>
            </w:r>
          </w:hyperlink>
        </w:p>
        <w:p>
          <w:pPr>
            <w:pStyle w:val="TOC2"/>
            <w:tabs>
              <w:tab w:pos="10765" w:val="left" w:leader="dot"/>
            </w:tabs>
            <w:spacing w:before="103"/>
            <w:ind w:right="843"/>
            <w:jc w:val="both"/>
          </w:pPr>
          <w:hyperlink w:history="true" w:anchor="_bookmark6">
            <w:r>
              <w:rPr/>
              <w:t>Глава 1. Принципы организации и логистика проведения психолого-</w:t>
            </w:r>
          </w:hyperlink>
          <w:r>
            <w:rPr/>
            <w:t> </w:t>
          </w:r>
          <w:hyperlink w:history="true" w:anchor="_bookmark6">
            <w:r>
              <w:rPr/>
              <w:t>педагогической оценки особых образовательных потребностей</w:t>
            </w:r>
          </w:hyperlink>
          <w:r>
            <w:rPr/>
            <w:t> </w:t>
          </w:r>
          <w:hyperlink w:history="true" w:anchor="_bookmark6">
            <w:r>
              <w:rPr/>
              <w:t>несовершеннолетних иностранных граждан в области психологического</w:t>
            </w:r>
          </w:hyperlink>
          <w:r>
            <w:rPr/>
            <w:t> </w:t>
          </w:r>
          <w:hyperlink w:history="true" w:anchor="_bookmark6">
            <w:r>
              <w:rPr/>
              <w:t>благополучия,</w:t>
            </w:r>
            <w:r>
              <w:rPr>
                <w:spacing w:val="-11"/>
              </w:rPr>
              <w:t> </w:t>
            </w:r>
            <w:r>
              <w:rPr/>
              <w:t>социальных</w:t>
            </w:r>
            <w:r>
              <w:rPr>
                <w:spacing w:val="-6"/>
              </w:rPr>
              <w:t> </w:t>
            </w:r>
            <w:r>
              <w:rPr/>
              <w:t>навыков</w:t>
            </w:r>
            <w:r>
              <w:rPr>
                <w:spacing w:val="-10"/>
              </w:rPr>
              <w:t> </w:t>
            </w:r>
            <w:r>
              <w:rPr/>
              <w:t>и</w:t>
            </w:r>
            <w:r>
              <w:rPr>
                <w:spacing w:val="-8"/>
              </w:rPr>
              <w:t> </w:t>
            </w:r>
            <w:r>
              <w:rPr/>
              <w:t>культурной</w:t>
            </w:r>
            <w:r>
              <w:rPr>
                <w:spacing w:val="-7"/>
              </w:rPr>
              <w:t> </w:t>
            </w:r>
            <w:r>
              <w:rPr>
                <w:spacing w:val="-2"/>
              </w:rPr>
              <w:t>адаптации</w:t>
            </w:r>
            <w:r>
              <w:rPr>
                <w:b w:val="0"/>
              </w:rPr>
              <w:tab/>
            </w:r>
            <w:r>
              <w:rPr>
                <w:spacing w:val="-5"/>
              </w:rPr>
              <w:t>44</w:t>
            </w:r>
          </w:hyperlink>
        </w:p>
        <w:p>
          <w:pPr>
            <w:pStyle w:val="TOC2"/>
            <w:tabs>
              <w:tab w:pos="10765" w:val="left" w:leader="dot"/>
            </w:tabs>
            <w:spacing w:before="100"/>
            <w:ind w:right="847"/>
            <w:jc w:val="both"/>
          </w:pPr>
          <w:hyperlink w:history="true" w:anchor="_bookmark7">
            <w:r>
              <w:rPr/>
              <w:t>Глава 2. Психолого-педагогическая оценка особых образовательных</w:t>
            </w:r>
          </w:hyperlink>
          <w:r>
            <w:rPr/>
            <w:t> </w:t>
          </w:r>
          <w:hyperlink w:history="true" w:anchor="_bookmark7">
            <w:r>
              <w:rPr/>
              <w:t>потребностей ребенка-иностранного гражданина в сфере культурной</w:t>
            </w:r>
          </w:hyperlink>
          <w:r>
            <w:rPr/>
            <w:t> </w:t>
          </w:r>
          <w:hyperlink w:history="true" w:anchor="_bookmark7">
            <w:r>
              <w:rPr>
                <w:spacing w:val="-2"/>
              </w:rPr>
              <w:t>адаптации</w:t>
            </w:r>
            <w:r>
              <w:rPr>
                <w:b w:val="0"/>
              </w:rPr>
              <w:tab/>
            </w:r>
            <w:r>
              <w:rPr>
                <w:spacing w:val="-5"/>
              </w:rPr>
              <w:t>50</w:t>
            </w:r>
          </w:hyperlink>
        </w:p>
        <w:p>
          <w:pPr>
            <w:pStyle w:val="TOC2"/>
            <w:tabs>
              <w:tab w:pos="10765" w:val="left" w:leader="dot"/>
            </w:tabs>
            <w:spacing w:before="99"/>
            <w:ind w:right="849"/>
            <w:jc w:val="both"/>
          </w:pPr>
          <w:hyperlink w:history="true" w:anchor="_bookmark8">
            <w:r>
              <w:rPr/>
              <w:t>Глава 3. Психолого-педагогическая оценка особых образовательных</w:t>
            </w:r>
          </w:hyperlink>
          <w:r>
            <w:rPr/>
            <w:t> </w:t>
          </w:r>
          <w:hyperlink w:history="true" w:anchor="_bookmark8">
            <w:r>
              <w:rPr/>
              <w:t>потребностей ребенка-иностранного гражданина в сфере социальных</w:t>
            </w:r>
          </w:hyperlink>
          <w:r>
            <w:rPr/>
            <w:t> </w:t>
          </w:r>
          <w:hyperlink w:history="true" w:anchor="_bookmark8">
            <w:r>
              <w:rPr>
                <w:spacing w:val="-2"/>
              </w:rPr>
              <w:t>навыков</w:t>
            </w:r>
            <w:r>
              <w:rPr>
                <w:b w:val="0"/>
              </w:rPr>
              <w:tab/>
            </w:r>
            <w:r>
              <w:rPr>
                <w:spacing w:val="-5"/>
              </w:rPr>
              <w:t>61</w:t>
            </w:r>
          </w:hyperlink>
        </w:p>
        <w:p>
          <w:pPr>
            <w:pStyle w:val="TOC2"/>
            <w:tabs>
              <w:tab w:pos="10765" w:val="left" w:leader="dot"/>
            </w:tabs>
            <w:spacing w:before="103"/>
            <w:ind w:right="849"/>
            <w:jc w:val="both"/>
          </w:pPr>
          <w:hyperlink w:history="true" w:anchor="_bookmark9">
            <w:r>
              <w:rPr/>
              <w:t>Глава 4. Психолого-педагогическая оценка особых образовательных</w:t>
            </w:r>
          </w:hyperlink>
          <w:r>
            <w:rPr/>
            <w:t> </w:t>
          </w:r>
          <w:hyperlink w:history="true" w:anchor="_bookmark9">
            <w:r>
              <w:rPr/>
              <w:t>потребностей ребенка-иностранного гражданина в сфере</w:t>
            </w:r>
          </w:hyperlink>
          <w:r>
            <w:rPr/>
            <w:t> </w:t>
          </w:r>
          <w:hyperlink w:history="true" w:anchor="_bookmark9">
            <w:r>
              <w:rPr/>
              <w:t>психологического</w:t>
            </w:r>
            <w:r>
              <w:rPr>
                <w:spacing w:val="-16"/>
              </w:rPr>
              <w:t> </w:t>
            </w:r>
            <w:r>
              <w:rPr>
                <w:spacing w:val="-2"/>
              </w:rPr>
              <w:t>благополучия</w:t>
            </w:r>
            <w:r>
              <w:rPr>
                <w:b w:val="0"/>
              </w:rPr>
              <w:tab/>
            </w:r>
            <w:r>
              <w:rPr>
                <w:spacing w:val="-5"/>
              </w:rPr>
              <w:t>65</w:t>
            </w:r>
          </w:hyperlink>
        </w:p>
        <w:p>
          <w:pPr>
            <w:pStyle w:val="TOC1"/>
            <w:tabs>
              <w:tab w:pos="10765" w:val="left" w:leader="dot"/>
            </w:tabs>
            <w:spacing w:before="100"/>
            <w:ind w:right="849"/>
            <w:jc w:val="both"/>
          </w:pPr>
          <w:hyperlink w:history="true" w:anchor="_bookmark11">
            <w:r>
              <w:rPr/>
              <w:t>Глава 5. Анализ результатов оценки особых образовательных</w:t>
            </w:r>
          </w:hyperlink>
          <w:r>
            <w:rPr/>
            <w:t> </w:t>
          </w:r>
          <w:hyperlink w:history="true" w:anchor="_bookmark11">
            <w:r>
              <w:rPr/>
              <w:t>потребностей ребенка-мигранта в сферах психологического</w:t>
            </w:r>
          </w:hyperlink>
          <w:r>
            <w:rPr/>
            <w:t> </w:t>
          </w:r>
          <w:hyperlink w:history="true" w:anchor="_bookmark11">
            <w:r>
              <w:rPr/>
              <w:t>благополучия,</w:t>
            </w:r>
            <w:r>
              <w:rPr>
                <w:spacing w:val="-11"/>
              </w:rPr>
              <w:t> </w:t>
            </w:r>
            <w:r>
              <w:rPr/>
              <w:t>социальных</w:t>
            </w:r>
            <w:r>
              <w:rPr>
                <w:spacing w:val="-6"/>
              </w:rPr>
              <w:t> </w:t>
            </w:r>
            <w:r>
              <w:rPr/>
              <w:t>навыков</w:t>
            </w:r>
            <w:r>
              <w:rPr>
                <w:spacing w:val="-10"/>
              </w:rPr>
              <w:t> </w:t>
            </w:r>
            <w:r>
              <w:rPr/>
              <w:t>и</w:t>
            </w:r>
            <w:r>
              <w:rPr>
                <w:spacing w:val="-8"/>
              </w:rPr>
              <w:t> </w:t>
            </w:r>
            <w:r>
              <w:rPr/>
              <w:t>культурной</w:t>
            </w:r>
            <w:r>
              <w:rPr>
                <w:spacing w:val="-7"/>
              </w:rPr>
              <w:t> </w:t>
            </w:r>
            <w:r>
              <w:rPr>
                <w:spacing w:val="-2"/>
              </w:rPr>
              <w:t>адаптации</w:t>
            </w:r>
            <w:r>
              <w:rPr>
                <w:b w:val="0"/>
              </w:rPr>
              <w:tab/>
            </w:r>
            <w:r>
              <w:rPr>
                <w:spacing w:val="-5"/>
              </w:rPr>
              <w:t>77</w:t>
            </w:r>
          </w:hyperlink>
        </w:p>
        <w:p>
          <w:pPr>
            <w:pStyle w:val="TOC2"/>
            <w:tabs>
              <w:tab w:pos="10767" w:val="left" w:leader="dot"/>
            </w:tabs>
            <w:spacing w:before="522"/>
            <w:ind w:right="846"/>
            <w:jc w:val="both"/>
          </w:pPr>
          <w:r>
            <w:rPr>
              <w:u w:val="single"/>
            </w:rPr>
            <w:t>Часть 3</w:t>
          </w:r>
          <w:r>
            <w:rPr/>
            <w:t> Инструментарий оценки особых образовательных потребностей детей</w:t>
          </w:r>
          <w:r>
            <w:rPr>
              <w:spacing w:val="-11"/>
            </w:rPr>
            <w:t> </w:t>
          </w:r>
          <w:r>
            <w:rPr/>
            <w:t>—</w:t>
          </w:r>
          <w:r>
            <w:rPr>
              <w:spacing w:val="-11"/>
            </w:rPr>
            <w:t> </w:t>
          </w:r>
          <w:r>
            <w:rPr/>
            <w:t>иностранных</w:t>
          </w:r>
          <w:r>
            <w:rPr>
              <w:spacing w:val="-10"/>
            </w:rPr>
            <w:t> </w:t>
          </w:r>
          <w:r>
            <w:rPr/>
            <w:t>граждан</w:t>
          </w:r>
          <w:r>
            <w:rPr>
              <w:spacing w:val="-11"/>
            </w:rPr>
            <w:t> </w:t>
          </w:r>
          <w:r>
            <w:rPr/>
            <w:t>в</w:t>
          </w:r>
          <w:r>
            <w:rPr>
              <w:spacing w:val="-11"/>
            </w:rPr>
            <w:t> </w:t>
          </w:r>
          <w:r>
            <w:rPr/>
            <w:t>сферах</w:t>
          </w:r>
          <w:r>
            <w:rPr>
              <w:spacing w:val="-10"/>
            </w:rPr>
            <w:t> </w:t>
          </w:r>
          <w:r>
            <w:rPr/>
            <w:t>психологического</w:t>
          </w:r>
          <w:r>
            <w:rPr>
              <w:spacing w:val="-10"/>
            </w:rPr>
            <w:t> </w:t>
          </w:r>
          <w:r>
            <w:rPr/>
            <w:t>благополучия, социальных</w:t>
          </w:r>
          <w:r>
            <w:rPr>
              <w:spacing w:val="-13"/>
            </w:rPr>
            <w:t> </w:t>
          </w:r>
          <w:r>
            <w:rPr/>
            <w:t>навыков</w:t>
          </w:r>
          <w:r>
            <w:rPr>
              <w:spacing w:val="-13"/>
            </w:rPr>
            <w:t> </w:t>
          </w:r>
          <w:r>
            <w:rPr/>
            <w:t>и</w:t>
          </w:r>
          <w:r>
            <w:rPr>
              <w:spacing w:val="-14"/>
            </w:rPr>
            <w:t> </w:t>
          </w:r>
          <w:r>
            <w:rPr/>
            <w:t>культурной</w:t>
          </w:r>
          <w:r>
            <w:rPr>
              <w:spacing w:val="-13"/>
            </w:rPr>
            <w:t> </w:t>
          </w:r>
          <w:r>
            <w:rPr>
              <w:spacing w:val="-2"/>
            </w:rPr>
            <w:t>адаптации</w:t>
          </w:r>
          <w:r>
            <w:rPr>
              <w:b w:val="0"/>
            </w:rPr>
            <w:tab/>
          </w:r>
          <w:r>
            <w:rPr>
              <w:spacing w:val="-5"/>
            </w:rPr>
            <w:t>90</w:t>
          </w:r>
        </w:p>
        <w:p>
          <w:pPr>
            <w:pStyle w:val="TOC2"/>
            <w:tabs>
              <w:tab w:pos="10765" w:val="left" w:leader="dot"/>
            </w:tabs>
            <w:spacing w:before="98" w:after="20"/>
            <w:jc w:val="both"/>
          </w:pPr>
          <w:hyperlink w:history="true" w:anchor="_bookmark12">
            <w:r>
              <w:rPr>
                <w:spacing w:val="-2"/>
              </w:rPr>
              <w:t>Аннотация</w:t>
            </w:r>
            <w:r>
              <w:rPr>
                <w:b w:val="0"/>
              </w:rPr>
              <w:tab/>
            </w:r>
            <w:r>
              <w:rPr>
                <w:spacing w:val="-5"/>
              </w:rPr>
              <w:t>91</w:t>
            </w:r>
          </w:hyperlink>
        </w:p>
        <w:p>
          <w:pPr>
            <w:pStyle w:val="TOC2"/>
            <w:tabs>
              <w:tab w:pos="10765" w:val="left" w:leader="dot"/>
            </w:tabs>
            <w:spacing w:before="71"/>
          </w:pPr>
          <w:hyperlink w:history="true" w:anchor="_bookmark13">
            <w:r>
              <w:rPr/>
              <w:t>Общая</w:t>
            </w:r>
            <w:r>
              <w:rPr>
                <w:spacing w:val="-6"/>
              </w:rPr>
              <w:t> </w:t>
            </w:r>
            <w:r>
              <w:rPr/>
              <w:t>схема</w:t>
            </w:r>
            <w:r>
              <w:rPr>
                <w:spacing w:val="-3"/>
              </w:rPr>
              <w:t> </w:t>
            </w:r>
            <w:r>
              <w:rPr>
                <w:spacing w:val="-2"/>
              </w:rPr>
              <w:t>инструментария</w:t>
            </w:r>
            <w:r>
              <w:rPr>
                <w:b w:val="0"/>
              </w:rPr>
              <w:tab/>
            </w:r>
            <w:r>
              <w:rPr>
                <w:spacing w:val="-5"/>
              </w:rPr>
              <w:t>92</w:t>
            </w:r>
          </w:hyperlink>
        </w:p>
        <w:p>
          <w:pPr>
            <w:pStyle w:val="TOC2"/>
            <w:numPr>
              <w:ilvl w:val="0"/>
              <w:numId w:val="1"/>
            </w:numPr>
            <w:tabs>
              <w:tab w:pos="1981" w:val="left" w:leader="none"/>
              <w:tab w:pos="10765" w:val="left" w:leader="dot"/>
            </w:tabs>
            <w:spacing w:line="240" w:lineRule="auto" w:before="101" w:after="0"/>
            <w:ind w:left="1981" w:right="0" w:hanging="279"/>
            <w:jc w:val="left"/>
          </w:pPr>
          <w:hyperlink w:history="true" w:anchor="_bookmark14">
            <w:r>
              <w:rPr/>
              <w:t>Карта</w:t>
            </w:r>
            <w:r>
              <w:rPr>
                <w:spacing w:val="-12"/>
              </w:rPr>
              <w:t> </w:t>
            </w:r>
            <w:r>
              <w:rPr/>
              <w:t>наблюдения</w:t>
            </w:r>
            <w:r>
              <w:rPr>
                <w:spacing w:val="-12"/>
              </w:rPr>
              <w:t> </w:t>
            </w:r>
            <w:r>
              <w:rPr/>
              <w:t>«Психологические</w:t>
            </w:r>
            <w:r>
              <w:rPr>
                <w:spacing w:val="-10"/>
              </w:rPr>
              <w:t> </w:t>
            </w:r>
            <w:r>
              <w:rPr>
                <w:spacing w:val="-2"/>
              </w:rPr>
              <w:t>трудности»</w:t>
            </w:r>
            <w:r>
              <w:rPr>
                <w:b w:val="0"/>
              </w:rPr>
              <w:tab/>
            </w:r>
            <w:r>
              <w:rPr>
                <w:spacing w:val="-5"/>
              </w:rPr>
              <w:t>94</w:t>
            </w:r>
          </w:hyperlink>
        </w:p>
        <w:p>
          <w:pPr>
            <w:pStyle w:val="TOC2"/>
            <w:numPr>
              <w:ilvl w:val="0"/>
              <w:numId w:val="1"/>
            </w:numPr>
            <w:tabs>
              <w:tab w:pos="2172" w:val="left" w:leader="none"/>
              <w:tab w:pos="10626" w:val="left" w:leader="dot"/>
            </w:tabs>
            <w:spacing w:line="237" w:lineRule="auto" w:before="106" w:after="0"/>
            <w:ind w:left="1702" w:right="843" w:firstLine="0"/>
            <w:jc w:val="left"/>
          </w:pPr>
          <w:hyperlink w:history="true" w:anchor="_bookmark15">
            <w:r>
              <w:rPr/>
              <w:t>Рисуночная</w:t>
            </w:r>
            <w:r>
              <w:rPr>
                <w:spacing w:val="80"/>
                <w:w w:val="150"/>
              </w:rPr>
              <w:t> </w:t>
            </w:r>
            <w:r>
              <w:rPr/>
              <w:t>диагностика</w:t>
            </w:r>
            <w:r>
              <w:rPr>
                <w:spacing w:val="80"/>
                <w:w w:val="150"/>
              </w:rPr>
              <w:t> </w:t>
            </w:r>
            <w:r>
              <w:rPr/>
              <w:t>субъективного</w:t>
            </w:r>
            <w:r>
              <w:rPr>
                <w:spacing w:val="80"/>
                <w:w w:val="150"/>
              </w:rPr>
              <w:t> </w:t>
            </w:r>
            <w:r>
              <w:rPr/>
              <w:t>благополучия</w:t>
            </w:r>
            <w:r>
              <w:rPr>
                <w:spacing w:val="80"/>
                <w:w w:val="150"/>
              </w:rPr>
              <w:t> </w:t>
            </w:r>
            <w:r>
              <w:rPr/>
              <w:t>ребенка-</w:t>
            </w:r>
          </w:hyperlink>
          <w:r>
            <w:rPr>
              <w:spacing w:val="80"/>
            </w:rPr>
            <w:t> </w:t>
          </w:r>
          <w:hyperlink w:history="true" w:anchor="_bookmark15">
            <w:r>
              <w:rPr/>
              <w:t>мигранта (РДСБ)</w:t>
            </w:r>
            <w:r>
              <w:rPr>
                <w:b w:val="0"/>
              </w:rPr>
              <w:tab/>
            </w:r>
            <w:r>
              <w:rPr>
                <w:spacing w:val="-4"/>
              </w:rPr>
              <w:t>102</w:t>
            </w:r>
          </w:hyperlink>
        </w:p>
        <w:p>
          <w:pPr>
            <w:pStyle w:val="TOC2"/>
            <w:numPr>
              <w:ilvl w:val="0"/>
              <w:numId w:val="1"/>
            </w:numPr>
            <w:tabs>
              <w:tab w:pos="1981" w:val="left" w:leader="none"/>
              <w:tab w:pos="10626" w:val="left" w:leader="dot"/>
            </w:tabs>
            <w:spacing w:line="240" w:lineRule="auto" w:before="101" w:after="0"/>
            <w:ind w:left="1981" w:right="0" w:hanging="279"/>
            <w:jc w:val="left"/>
          </w:pPr>
          <w:hyperlink w:history="true" w:anchor="_bookmark16">
            <w:r>
              <w:rPr/>
              <w:t>Шкала</w:t>
            </w:r>
            <w:r>
              <w:rPr>
                <w:spacing w:val="-13"/>
              </w:rPr>
              <w:t> </w:t>
            </w:r>
            <w:r>
              <w:rPr/>
              <w:t>психологического</w:t>
            </w:r>
            <w:r>
              <w:rPr>
                <w:spacing w:val="-11"/>
              </w:rPr>
              <w:t> </w:t>
            </w:r>
            <w:r>
              <w:rPr/>
              <w:t>благополучия</w:t>
            </w:r>
            <w:r>
              <w:rPr>
                <w:spacing w:val="-13"/>
              </w:rPr>
              <w:t> </w:t>
            </w:r>
            <w:r>
              <w:rPr>
                <w:spacing w:val="-2"/>
              </w:rPr>
              <w:t>Уорик–Эдинбург</w:t>
            </w:r>
            <w:r>
              <w:rPr>
                <w:b w:val="0"/>
              </w:rPr>
              <w:tab/>
            </w:r>
            <w:r>
              <w:rPr>
                <w:spacing w:val="-5"/>
              </w:rPr>
              <w:t>106</w:t>
            </w:r>
          </w:hyperlink>
        </w:p>
        <w:p>
          <w:pPr>
            <w:pStyle w:val="TOC2"/>
            <w:numPr>
              <w:ilvl w:val="0"/>
              <w:numId w:val="1"/>
            </w:numPr>
            <w:tabs>
              <w:tab w:pos="1981" w:val="left" w:leader="none"/>
              <w:tab w:pos="10626" w:val="left" w:leader="dot"/>
            </w:tabs>
            <w:spacing w:line="240" w:lineRule="auto" w:before="101" w:after="0"/>
            <w:ind w:left="1981" w:right="0" w:hanging="279"/>
            <w:jc w:val="left"/>
          </w:pPr>
          <w:hyperlink w:history="true" w:anchor="_bookmark17">
            <w:r>
              <w:rPr/>
              <w:t>Опросник</w:t>
            </w:r>
            <w:r>
              <w:rPr>
                <w:spacing w:val="-14"/>
              </w:rPr>
              <w:t> </w:t>
            </w:r>
            <w:r>
              <w:rPr/>
              <w:t>психологического</w:t>
            </w:r>
            <w:r>
              <w:rPr>
                <w:spacing w:val="-9"/>
              </w:rPr>
              <w:t> </w:t>
            </w:r>
            <w:r>
              <w:rPr/>
              <w:t>здоровья</w:t>
            </w:r>
            <w:r>
              <w:rPr>
                <w:spacing w:val="-11"/>
              </w:rPr>
              <w:t> </w:t>
            </w:r>
            <w:r>
              <w:rPr>
                <w:spacing w:val="-2"/>
              </w:rPr>
              <w:t>мигрантов</w:t>
            </w:r>
            <w:r>
              <w:rPr>
                <w:b w:val="0"/>
              </w:rPr>
              <w:tab/>
            </w:r>
            <w:r>
              <w:rPr>
                <w:spacing w:val="-5"/>
              </w:rPr>
              <w:t>111</w:t>
            </w:r>
          </w:hyperlink>
        </w:p>
        <w:p>
          <w:pPr>
            <w:pStyle w:val="TOC2"/>
            <w:numPr>
              <w:ilvl w:val="0"/>
              <w:numId w:val="1"/>
            </w:numPr>
            <w:tabs>
              <w:tab w:pos="1981" w:val="left" w:leader="none"/>
              <w:tab w:pos="10626" w:val="left" w:leader="dot"/>
            </w:tabs>
            <w:spacing w:line="240" w:lineRule="auto" w:before="100" w:after="0"/>
            <w:ind w:left="1981" w:right="0" w:hanging="279"/>
            <w:jc w:val="left"/>
          </w:pPr>
          <w:hyperlink w:history="true" w:anchor="_bookmark18">
            <w:r>
              <w:rPr/>
              <w:t>Опросник</w:t>
            </w:r>
            <w:r>
              <w:rPr>
                <w:spacing w:val="-8"/>
              </w:rPr>
              <w:t> </w:t>
            </w:r>
            <w:r>
              <w:rPr>
                <w:spacing w:val="-2"/>
              </w:rPr>
              <w:t>Ахенбаха</w:t>
            </w:r>
            <w:r>
              <w:rPr>
                <w:b w:val="0"/>
              </w:rPr>
              <w:tab/>
            </w:r>
            <w:r>
              <w:rPr>
                <w:spacing w:val="-5"/>
              </w:rPr>
              <w:t>117</w:t>
            </w:r>
          </w:hyperlink>
        </w:p>
        <w:p>
          <w:pPr>
            <w:pStyle w:val="TOC2"/>
            <w:numPr>
              <w:ilvl w:val="0"/>
              <w:numId w:val="1"/>
            </w:numPr>
            <w:tabs>
              <w:tab w:pos="1981" w:val="left" w:leader="none"/>
              <w:tab w:pos="10626" w:val="left" w:leader="dot"/>
            </w:tabs>
            <w:spacing w:line="240" w:lineRule="auto" w:before="101" w:after="0"/>
            <w:ind w:left="1981" w:right="0" w:hanging="279"/>
            <w:jc w:val="left"/>
          </w:pPr>
          <w:hyperlink w:history="true" w:anchor="_bookmark19">
            <w:r>
              <w:rPr/>
              <w:t>Многомерная</w:t>
            </w:r>
            <w:r>
              <w:rPr>
                <w:spacing w:val="-14"/>
              </w:rPr>
              <w:t> </w:t>
            </w:r>
            <w:r>
              <w:rPr/>
              <w:t>шкала</w:t>
            </w:r>
            <w:r>
              <w:rPr>
                <w:spacing w:val="-9"/>
              </w:rPr>
              <w:t> </w:t>
            </w:r>
            <w:r>
              <w:rPr/>
              <w:t>удовлетворенности</w:t>
            </w:r>
            <w:r>
              <w:rPr>
                <w:spacing w:val="-10"/>
              </w:rPr>
              <w:t> </w:t>
            </w:r>
            <w:r>
              <w:rPr/>
              <w:t>жизнью</w:t>
            </w:r>
            <w:r>
              <w:rPr>
                <w:spacing w:val="-11"/>
              </w:rPr>
              <w:t> </w:t>
            </w:r>
            <w:r>
              <w:rPr>
                <w:spacing w:val="-2"/>
              </w:rPr>
              <w:t>школьников</w:t>
            </w:r>
            <w:r>
              <w:rPr>
                <w:b w:val="0"/>
              </w:rPr>
              <w:tab/>
            </w:r>
            <w:r>
              <w:rPr>
                <w:spacing w:val="-5"/>
              </w:rPr>
              <w:t>130</w:t>
            </w:r>
          </w:hyperlink>
        </w:p>
        <w:p>
          <w:pPr>
            <w:pStyle w:val="TOC2"/>
            <w:numPr>
              <w:ilvl w:val="0"/>
              <w:numId w:val="1"/>
            </w:numPr>
            <w:tabs>
              <w:tab w:pos="1981" w:val="left" w:leader="none"/>
              <w:tab w:pos="10626" w:val="left" w:leader="dot"/>
            </w:tabs>
            <w:spacing w:line="240" w:lineRule="auto" w:before="98" w:after="0"/>
            <w:ind w:left="1981" w:right="0" w:hanging="279"/>
            <w:jc w:val="left"/>
          </w:pPr>
          <w:hyperlink w:history="true" w:anchor="_bookmark20">
            <w:r>
              <w:rPr/>
              <w:t>Детский</w:t>
            </w:r>
            <w:r>
              <w:rPr>
                <w:spacing w:val="-13"/>
              </w:rPr>
              <w:t> </w:t>
            </w:r>
            <w:r>
              <w:rPr/>
              <w:t>тест</w:t>
            </w:r>
            <w:r>
              <w:rPr>
                <w:spacing w:val="-9"/>
              </w:rPr>
              <w:t> </w:t>
            </w:r>
            <w:r>
              <w:rPr/>
              <w:t>психологической</w:t>
            </w:r>
            <w:r>
              <w:rPr>
                <w:spacing w:val="-12"/>
              </w:rPr>
              <w:t> </w:t>
            </w:r>
            <w:r>
              <w:rPr>
                <w:spacing w:val="-2"/>
              </w:rPr>
              <w:t>устойчивости</w:t>
            </w:r>
            <w:r>
              <w:rPr>
                <w:b w:val="0"/>
              </w:rPr>
              <w:tab/>
            </w:r>
            <w:r>
              <w:rPr>
                <w:spacing w:val="-5"/>
              </w:rPr>
              <w:t>142</w:t>
            </w:r>
          </w:hyperlink>
        </w:p>
        <w:p>
          <w:pPr>
            <w:pStyle w:val="TOC2"/>
            <w:numPr>
              <w:ilvl w:val="0"/>
              <w:numId w:val="1"/>
            </w:numPr>
            <w:tabs>
              <w:tab w:pos="1981" w:val="left" w:leader="none"/>
              <w:tab w:pos="10626" w:val="left" w:leader="dot"/>
            </w:tabs>
            <w:spacing w:line="240" w:lineRule="auto" w:before="101" w:after="0"/>
            <w:ind w:left="1981" w:right="0" w:hanging="279"/>
            <w:jc w:val="left"/>
          </w:pPr>
          <w:hyperlink w:history="true" w:anchor="_bookmark21">
            <w:r>
              <w:rPr/>
              <w:t>Шкала</w:t>
            </w:r>
            <w:r>
              <w:rPr>
                <w:spacing w:val="-5"/>
              </w:rPr>
              <w:t> </w:t>
            </w:r>
            <w:r>
              <w:rPr/>
              <w:t>социального</w:t>
            </w:r>
            <w:r>
              <w:rPr>
                <w:spacing w:val="-5"/>
              </w:rPr>
              <w:t> </w:t>
            </w:r>
            <w:r>
              <w:rPr/>
              <w:t>избегания</w:t>
            </w:r>
            <w:r>
              <w:rPr>
                <w:spacing w:val="-8"/>
              </w:rPr>
              <w:t> </w:t>
            </w:r>
            <w:r>
              <w:rPr/>
              <w:t>и</w:t>
            </w:r>
            <w:r>
              <w:rPr>
                <w:spacing w:val="-6"/>
              </w:rPr>
              <w:t> </w:t>
            </w:r>
            <w:r>
              <w:rPr>
                <w:spacing w:val="-2"/>
              </w:rPr>
              <w:t>дистресса</w:t>
            </w:r>
            <w:r>
              <w:rPr>
                <w:b w:val="0"/>
              </w:rPr>
              <w:tab/>
            </w:r>
            <w:r>
              <w:rPr>
                <w:spacing w:val="-5"/>
              </w:rPr>
              <w:t>153</w:t>
            </w:r>
          </w:hyperlink>
        </w:p>
        <w:p>
          <w:pPr>
            <w:pStyle w:val="TOC2"/>
            <w:numPr>
              <w:ilvl w:val="0"/>
              <w:numId w:val="1"/>
            </w:numPr>
            <w:tabs>
              <w:tab w:pos="1981" w:val="left" w:leader="none"/>
              <w:tab w:pos="10626" w:val="left" w:leader="dot"/>
            </w:tabs>
            <w:spacing w:line="240" w:lineRule="auto" w:before="100" w:after="0"/>
            <w:ind w:left="1981" w:right="0" w:hanging="279"/>
            <w:jc w:val="left"/>
          </w:pPr>
          <w:hyperlink w:history="true" w:anchor="_bookmark22">
            <w:r>
              <w:rPr/>
              <w:t>Опросник</w:t>
            </w:r>
            <w:r>
              <w:rPr>
                <w:spacing w:val="-8"/>
              </w:rPr>
              <w:t> </w:t>
            </w:r>
            <w:r>
              <w:rPr>
                <w:spacing w:val="-2"/>
              </w:rPr>
              <w:t>депрессивности</w:t>
            </w:r>
            <w:r>
              <w:rPr>
                <w:b w:val="0"/>
              </w:rPr>
              <w:tab/>
            </w:r>
            <w:r>
              <w:rPr>
                <w:spacing w:val="-5"/>
              </w:rPr>
              <w:t>159</w:t>
            </w:r>
          </w:hyperlink>
        </w:p>
        <w:p>
          <w:pPr>
            <w:pStyle w:val="TOC2"/>
            <w:numPr>
              <w:ilvl w:val="0"/>
              <w:numId w:val="1"/>
            </w:numPr>
            <w:tabs>
              <w:tab w:pos="2122" w:val="left" w:leader="none"/>
              <w:tab w:pos="10626" w:val="left" w:leader="dot"/>
            </w:tabs>
            <w:spacing w:line="240" w:lineRule="auto" w:before="100" w:after="0"/>
            <w:ind w:left="2122" w:right="0" w:hanging="420"/>
            <w:jc w:val="left"/>
          </w:pPr>
          <w:hyperlink w:history="true" w:anchor="_bookmark24">
            <w:r>
              <w:rPr/>
              <w:t>Шкала</w:t>
            </w:r>
            <w:r>
              <w:rPr>
                <w:spacing w:val="-8"/>
              </w:rPr>
              <w:t> </w:t>
            </w:r>
            <w:r>
              <w:rPr/>
              <w:t>отношения</w:t>
            </w:r>
            <w:r>
              <w:rPr>
                <w:spacing w:val="-7"/>
              </w:rPr>
              <w:t> </w:t>
            </w:r>
            <w:r>
              <w:rPr/>
              <w:t>к</w:t>
            </w:r>
            <w:r>
              <w:rPr>
                <w:spacing w:val="-4"/>
              </w:rPr>
              <w:t> </w:t>
            </w:r>
            <w:r>
              <w:rPr>
                <w:spacing w:val="-2"/>
              </w:rPr>
              <w:t>школе</w:t>
            </w:r>
            <w:r>
              <w:rPr>
                <w:b w:val="0"/>
              </w:rPr>
              <w:tab/>
            </w:r>
            <w:r>
              <w:rPr>
                <w:spacing w:val="-5"/>
              </w:rPr>
              <w:t>166</w:t>
            </w:r>
          </w:hyperlink>
        </w:p>
        <w:p>
          <w:pPr>
            <w:pStyle w:val="TOC2"/>
            <w:numPr>
              <w:ilvl w:val="0"/>
              <w:numId w:val="1"/>
            </w:numPr>
            <w:tabs>
              <w:tab w:pos="2122" w:val="left" w:leader="none"/>
              <w:tab w:pos="10626" w:val="left" w:leader="dot"/>
            </w:tabs>
            <w:spacing w:line="240" w:lineRule="auto" w:before="101" w:after="0"/>
            <w:ind w:left="2122" w:right="0" w:hanging="420"/>
            <w:jc w:val="left"/>
          </w:pPr>
          <w:hyperlink w:history="true" w:anchor="_bookmark25">
            <w:r>
              <w:rPr/>
              <w:t>Методика</w:t>
            </w:r>
            <w:r>
              <w:rPr>
                <w:spacing w:val="-11"/>
              </w:rPr>
              <w:t> </w:t>
            </w:r>
            <w:r>
              <w:rPr/>
              <w:t>оценки</w:t>
            </w:r>
            <w:r>
              <w:rPr>
                <w:spacing w:val="-11"/>
              </w:rPr>
              <w:t> </w:t>
            </w:r>
            <w:r>
              <w:rPr/>
              <w:t>социальных</w:t>
            </w:r>
            <w:r>
              <w:rPr>
                <w:spacing w:val="-7"/>
              </w:rPr>
              <w:t> </w:t>
            </w:r>
            <w:r>
              <w:rPr/>
              <w:t>навыков</w:t>
            </w:r>
            <w:r>
              <w:rPr>
                <w:spacing w:val="-10"/>
              </w:rPr>
              <w:t> </w:t>
            </w:r>
            <w:r>
              <w:rPr/>
              <w:t>ребенка-</w:t>
            </w:r>
            <w:r>
              <w:rPr>
                <w:spacing w:val="-2"/>
              </w:rPr>
              <w:t>мигранта</w:t>
            </w:r>
            <w:r>
              <w:rPr>
                <w:b w:val="0"/>
              </w:rPr>
              <w:tab/>
            </w:r>
            <w:r>
              <w:rPr>
                <w:spacing w:val="-5"/>
              </w:rPr>
              <w:t>170</w:t>
            </w:r>
          </w:hyperlink>
        </w:p>
        <w:p>
          <w:pPr>
            <w:pStyle w:val="TOC2"/>
            <w:numPr>
              <w:ilvl w:val="0"/>
              <w:numId w:val="1"/>
            </w:numPr>
            <w:tabs>
              <w:tab w:pos="2122" w:val="left" w:leader="none"/>
              <w:tab w:pos="10626" w:val="left" w:leader="dot"/>
            </w:tabs>
            <w:spacing w:line="240" w:lineRule="auto" w:before="100" w:after="0"/>
            <w:ind w:left="2122" w:right="0" w:hanging="420"/>
            <w:jc w:val="left"/>
          </w:pPr>
          <w:hyperlink w:history="true" w:anchor="_bookmark26">
            <w:r>
              <w:rPr>
                <w:spacing w:val="-2"/>
              </w:rPr>
              <w:t>Социометрический</w:t>
            </w:r>
            <w:r>
              <w:rPr>
                <w:spacing w:val="12"/>
              </w:rPr>
              <w:t> </w:t>
            </w:r>
            <w:r>
              <w:rPr>
                <w:spacing w:val="-4"/>
              </w:rPr>
              <w:t>тест</w:t>
            </w:r>
            <w:r>
              <w:rPr>
                <w:b w:val="0"/>
              </w:rPr>
              <w:tab/>
            </w:r>
            <w:r>
              <w:rPr>
                <w:spacing w:val="-5"/>
              </w:rPr>
              <w:t>176</w:t>
            </w:r>
          </w:hyperlink>
        </w:p>
        <w:p>
          <w:pPr>
            <w:pStyle w:val="TOC2"/>
            <w:numPr>
              <w:ilvl w:val="0"/>
              <w:numId w:val="1"/>
            </w:numPr>
            <w:tabs>
              <w:tab w:pos="2122" w:val="left" w:leader="none"/>
              <w:tab w:pos="10626" w:val="left" w:leader="dot"/>
            </w:tabs>
            <w:spacing w:line="240" w:lineRule="auto" w:before="98" w:after="0"/>
            <w:ind w:left="2122" w:right="0" w:hanging="420"/>
            <w:jc w:val="left"/>
          </w:pPr>
          <w:hyperlink w:history="true" w:anchor="_bookmark27">
            <w:r>
              <w:rPr/>
              <w:t>Опросник</w:t>
            </w:r>
            <w:r>
              <w:rPr>
                <w:spacing w:val="-10"/>
              </w:rPr>
              <w:t> </w:t>
            </w:r>
            <w:r>
              <w:rPr/>
              <w:t>аккультурации</w:t>
            </w:r>
            <w:r>
              <w:rPr>
                <w:spacing w:val="-7"/>
              </w:rPr>
              <w:t> </w:t>
            </w:r>
            <w:r>
              <w:rPr/>
              <w:t>для</w:t>
            </w:r>
            <w:r>
              <w:rPr>
                <w:spacing w:val="-8"/>
              </w:rPr>
              <w:t> </w:t>
            </w:r>
            <w:r>
              <w:rPr/>
              <w:t>детей</w:t>
            </w:r>
            <w:r>
              <w:rPr>
                <w:spacing w:val="-7"/>
              </w:rPr>
              <w:t> </w:t>
            </w:r>
            <w:r>
              <w:rPr/>
              <w:t>и</w:t>
            </w:r>
            <w:r>
              <w:rPr>
                <w:spacing w:val="-7"/>
              </w:rPr>
              <w:t> </w:t>
            </w:r>
            <w:r>
              <w:rPr>
                <w:spacing w:val="-2"/>
              </w:rPr>
              <w:t>подростков</w:t>
            </w:r>
            <w:r>
              <w:rPr>
                <w:b w:val="0"/>
              </w:rPr>
              <w:tab/>
            </w:r>
            <w:r>
              <w:rPr>
                <w:spacing w:val="-5"/>
              </w:rPr>
              <w:t>182</w:t>
            </w:r>
          </w:hyperlink>
        </w:p>
        <w:p>
          <w:pPr>
            <w:pStyle w:val="TOC2"/>
            <w:numPr>
              <w:ilvl w:val="0"/>
              <w:numId w:val="1"/>
            </w:numPr>
            <w:tabs>
              <w:tab w:pos="2122" w:val="left" w:leader="none"/>
              <w:tab w:pos="10626" w:val="left" w:leader="dot"/>
            </w:tabs>
            <w:spacing w:line="240" w:lineRule="auto" w:before="101" w:after="0"/>
            <w:ind w:left="2122" w:right="0" w:hanging="420"/>
            <w:jc w:val="left"/>
          </w:pPr>
          <w:hyperlink w:history="true" w:anchor="_bookmark28">
            <w:r>
              <w:rPr/>
              <w:t>Детский</w:t>
            </w:r>
            <w:r>
              <w:rPr>
                <w:spacing w:val="-12"/>
              </w:rPr>
              <w:t> </w:t>
            </w:r>
            <w:r>
              <w:rPr/>
              <w:t>опросник</w:t>
            </w:r>
            <w:r>
              <w:rPr>
                <w:spacing w:val="-10"/>
              </w:rPr>
              <w:t> </w:t>
            </w:r>
            <w:r>
              <w:rPr/>
              <w:t>аккультурационного</w:t>
            </w:r>
            <w:r>
              <w:rPr>
                <w:spacing w:val="-9"/>
              </w:rPr>
              <w:t> </w:t>
            </w:r>
            <w:r>
              <w:rPr>
                <w:spacing w:val="-2"/>
              </w:rPr>
              <w:t>стресса</w:t>
            </w:r>
            <w:r>
              <w:rPr>
                <w:b w:val="0"/>
              </w:rPr>
              <w:tab/>
            </w:r>
            <w:r>
              <w:rPr>
                <w:spacing w:val="-5"/>
              </w:rPr>
              <w:t>194</w:t>
            </w:r>
          </w:hyperlink>
        </w:p>
        <w:p>
          <w:pPr>
            <w:pStyle w:val="TOC2"/>
            <w:numPr>
              <w:ilvl w:val="0"/>
              <w:numId w:val="1"/>
            </w:numPr>
            <w:tabs>
              <w:tab w:pos="2150" w:val="left" w:leader="none"/>
              <w:tab w:pos="10626" w:val="left" w:leader="dot"/>
            </w:tabs>
            <w:spacing w:line="237" w:lineRule="auto" w:before="106" w:after="0"/>
            <w:ind w:left="1702" w:right="852" w:firstLine="0"/>
            <w:jc w:val="left"/>
          </w:pPr>
          <w:hyperlink w:history="true" w:anchor="_bookmark29">
            <w:r>
              <w:rPr/>
              <w:t>Карта стандартизованного наблюдения детей и подростков из семей</w:t>
            </w:r>
          </w:hyperlink>
          <w:r>
            <w:rPr/>
            <w:t> </w:t>
          </w:r>
          <w:hyperlink w:history="true" w:anchor="_bookmark29">
            <w:r>
              <w:rPr/>
              <w:t>мигрантов</w:t>
            </w:r>
            <w:r>
              <w:rPr>
                <w:spacing w:val="-14"/>
              </w:rPr>
              <w:t> </w:t>
            </w:r>
            <w:r>
              <w:rPr/>
              <w:t>«Стратегии</w:t>
            </w:r>
            <w:r>
              <w:rPr>
                <w:spacing w:val="-10"/>
              </w:rPr>
              <w:t> </w:t>
            </w:r>
            <w:r>
              <w:rPr>
                <w:spacing w:val="-2"/>
              </w:rPr>
              <w:t>адаптации»</w:t>
            </w:r>
            <w:r>
              <w:rPr>
                <w:b w:val="0"/>
              </w:rPr>
              <w:tab/>
            </w:r>
            <w:r>
              <w:rPr>
                <w:spacing w:val="-5"/>
              </w:rPr>
              <w:t>201</w:t>
            </w:r>
          </w:hyperlink>
        </w:p>
        <w:p>
          <w:pPr>
            <w:pStyle w:val="TOC2"/>
            <w:numPr>
              <w:ilvl w:val="0"/>
              <w:numId w:val="1"/>
            </w:numPr>
            <w:tabs>
              <w:tab w:pos="2122" w:val="left" w:leader="none"/>
              <w:tab w:pos="10626" w:val="left" w:leader="dot"/>
            </w:tabs>
            <w:spacing w:line="240" w:lineRule="auto" w:before="101" w:after="0"/>
            <w:ind w:left="2122" w:right="0" w:hanging="420"/>
            <w:jc w:val="left"/>
          </w:pPr>
          <w:hyperlink w:history="true" w:anchor="_bookmark30">
            <w:r>
              <w:rPr/>
              <w:t>Краткая</w:t>
            </w:r>
            <w:r>
              <w:rPr>
                <w:spacing w:val="-11"/>
              </w:rPr>
              <w:t> </w:t>
            </w:r>
            <w:r>
              <w:rPr/>
              <w:t>шкала</w:t>
            </w:r>
            <w:r>
              <w:rPr>
                <w:spacing w:val="-10"/>
              </w:rPr>
              <w:t> </w:t>
            </w:r>
            <w:r>
              <w:rPr/>
              <w:t>социокультурной</w:t>
            </w:r>
            <w:r>
              <w:rPr>
                <w:spacing w:val="-12"/>
              </w:rPr>
              <w:t> </w:t>
            </w:r>
            <w:r>
              <w:rPr>
                <w:spacing w:val="-2"/>
              </w:rPr>
              <w:t>дезадаптации</w:t>
            </w:r>
            <w:r>
              <w:rPr>
                <w:b w:val="0"/>
              </w:rPr>
              <w:tab/>
            </w:r>
            <w:r>
              <w:rPr>
                <w:spacing w:val="-5"/>
              </w:rPr>
              <w:t>209</w:t>
            </w:r>
          </w:hyperlink>
        </w:p>
        <w:p>
          <w:pPr>
            <w:pStyle w:val="TOC2"/>
            <w:numPr>
              <w:ilvl w:val="0"/>
              <w:numId w:val="1"/>
            </w:numPr>
            <w:tabs>
              <w:tab w:pos="2291" w:val="left" w:leader="none"/>
              <w:tab w:pos="10626" w:val="left" w:leader="dot"/>
            </w:tabs>
            <w:spacing w:line="237" w:lineRule="auto" w:before="106" w:after="0"/>
            <w:ind w:left="1702" w:right="844" w:firstLine="0"/>
            <w:jc w:val="left"/>
          </w:pPr>
          <w:hyperlink w:history="true" w:anchor="_bookmark31">
            <w:r>
              <w:rPr/>
              <w:t>Методика</w:t>
            </w:r>
            <w:r>
              <w:rPr>
                <w:spacing w:val="80"/>
                <w:w w:val="150"/>
              </w:rPr>
              <w:t> </w:t>
            </w:r>
            <w:r>
              <w:rPr/>
              <w:t>измерения</w:t>
            </w:r>
            <w:r>
              <w:rPr>
                <w:spacing w:val="80"/>
                <w:w w:val="150"/>
              </w:rPr>
              <w:t> </w:t>
            </w:r>
            <w:r>
              <w:rPr/>
              <w:t>гражданской</w:t>
            </w:r>
            <w:r>
              <w:rPr>
                <w:spacing w:val="80"/>
                <w:w w:val="150"/>
              </w:rPr>
              <w:t> </w:t>
            </w:r>
            <w:r>
              <w:rPr/>
              <w:t>идентичности</w:t>
            </w:r>
            <w:r>
              <w:rPr>
                <w:spacing w:val="80"/>
                <w:w w:val="150"/>
              </w:rPr>
              <w:t> </w:t>
            </w:r>
            <w:r>
              <w:rPr/>
              <w:t>для</w:t>
            </w:r>
            <w:r>
              <w:rPr>
                <w:spacing w:val="80"/>
                <w:w w:val="150"/>
              </w:rPr>
              <w:t> </w:t>
            </w:r>
            <w:r>
              <w:rPr/>
              <w:t>детей</w:t>
            </w:r>
            <w:r>
              <w:rPr>
                <w:spacing w:val="80"/>
                <w:w w:val="150"/>
              </w:rPr>
              <w:t> </w:t>
            </w:r>
            <w:r>
              <w:rPr/>
              <w:t>и</w:t>
            </w:r>
          </w:hyperlink>
          <w:r>
            <w:rPr>
              <w:spacing w:val="80"/>
            </w:rPr>
            <w:t> </w:t>
          </w:r>
          <w:hyperlink w:history="true" w:anchor="_bookmark31">
            <w:r>
              <w:rPr>
                <w:spacing w:val="-2"/>
              </w:rPr>
              <w:t>подростков</w:t>
            </w:r>
            <w:r>
              <w:rPr>
                <w:b w:val="0"/>
              </w:rPr>
              <w:tab/>
            </w:r>
            <w:r>
              <w:rPr>
                <w:spacing w:val="-4"/>
              </w:rPr>
              <w:t>213</w:t>
            </w:r>
          </w:hyperlink>
        </w:p>
        <w:p>
          <w:pPr>
            <w:pStyle w:val="TOC2"/>
            <w:numPr>
              <w:ilvl w:val="0"/>
              <w:numId w:val="1"/>
            </w:numPr>
            <w:tabs>
              <w:tab w:pos="2122" w:val="left" w:leader="none"/>
              <w:tab w:pos="10626" w:val="left" w:leader="dot"/>
            </w:tabs>
            <w:spacing w:line="240" w:lineRule="auto" w:before="101" w:after="0"/>
            <w:ind w:left="2122" w:right="0" w:hanging="420"/>
            <w:jc w:val="left"/>
          </w:pPr>
          <w:hyperlink w:history="true" w:anchor="_bookmark32">
            <w:r>
              <w:rPr/>
              <w:t>Опросник</w:t>
            </w:r>
            <w:r>
              <w:rPr>
                <w:spacing w:val="-13"/>
              </w:rPr>
              <w:t> </w:t>
            </w:r>
            <w:r>
              <w:rPr/>
              <w:t>«Интеграция</w:t>
            </w:r>
            <w:r>
              <w:rPr>
                <w:spacing w:val="-12"/>
              </w:rPr>
              <w:t> </w:t>
            </w:r>
            <w:r>
              <w:rPr/>
              <w:t>бикультурной</w:t>
            </w:r>
            <w:r>
              <w:rPr>
                <w:spacing w:val="-10"/>
              </w:rPr>
              <w:t> </w:t>
            </w:r>
            <w:r>
              <w:rPr>
                <w:spacing w:val="-2"/>
              </w:rPr>
              <w:t>идентичности»</w:t>
            </w:r>
            <w:r>
              <w:rPr>
                <w:b w:val="0"/>
              </w:rPr>
              <w:tab/>
            </w:r>
            <w:r>
              <w:rPr>
                <w:spacing w:val="-5"/>
              </w:rPr>
              <w:t>218</w:t>
            </w:r>
          </w:hyperlink>
        </w:p>
        <w:p>
          <w:pPr>
            <w:pStyle w:val="TOC2"/>
            <w:tabs>
              <w:tab w:pos="10626" w:val="left" w:leader="dot"/>
            </w:tabs>
            <w:spacing w:before="100"/>
          </w:pPr>
          <w:hyperlink w:history="true" w:anchor="_bookmark33">
            <w:r>
              <w:rPr>
                <w:spacing w:val="-2"/>
              </w:rPr>
              <w:t>Библиография</w:t>
            </w:r>
            <w:r>
              <w:rPr>
                <w:b w:val="0"/>
              </w:rPr>
              <w:tab/>
            </w:r>
            <w:r>
              <w:rPr>
                <w:spacing w:val="-5"/>
              </w:rPr>
              <w:t>227</w:t>
            </w:r>
          </w:hyperlink>
        </w:p>
      </w:sdtContent>
    </w:sdt>
    <w:p>
      <w:pPr>
        <w:pStyle w:val="TOC2"/>
        <w:spacing w:after="0"/>
        <w:sectPr>
          <w:footerReference w:type="default" r:id="rId19"/>
          <w:pgSz w:w="11910" w:h="16840"/>
          <w:pgMar w:header="0" w:footer="956" w:top="1058" w:bottom="1282" w:left="0" w:right="0"/>
          <w:pgNumType w:start="4"/>
        </w:sectPr>
      </w:pPr>
    </w:p>
    <w:p>
      <w:pPr>
        <w:pStyle w:val="BodyText"/>
        <w:ind w:left="1960" w:right="0" w:firstLine="0"/>
        <w:jc w:val="left"/>
      </w:pPr>
      <w:r>
        <w:rPr/>
        <w:drawing>
          <wp:inline distT="0" distB="0" distL="0" distR="0">
            <wp:extent cx="5553807" cy="768096"/>
            <wp:effectExtent l="0" t="0" r="0" b="0"/>
            <wp:docPr id="14" name="Image 14" descr="F:\работа верстка\19-20\Мымрина А.Н\Приказ_распоряжение_СЗ.jpg"/>
            <wp:cNvGraphicFramePr>
              <a:graphicFrameLocks/>
            </wp:cNvGraphicFramePr>
            <a:graphic>
              <a:graphicData uri="http://schemas.openxmlformats.org/drawingml/2006/picture">
                <pic:pic>
                  <pic:nvPicPr>
                    <pic:cNvPr id="14" name="Image 14" descr="F:\работа верстка\19-20\Мымрина А.Н\Приказ_распоряжение_СЗ.jpg"/>
                    <pic:cNvPicPr/>
                  </pic:nvPicPr>
                  <pic:blipFill>
                    <a:blip r:embed="rId17" cstate="print"/>
                    <a:stretch>
                      <a:fillRect/>
                    </a:stretch>
                  </pic:blipFill>
                  <pic:spPr>
                    <a:xfrm>
                      <a:off x="0" y="0"/>
                      <a:ext cx="5553807" cy="768096"/>
                    </a:xfrm>
                    <a:prstGeom prst="rect">
                      <a:avLst/>
                    </a:prstGeom>
                  </pic:spPr>
                </pic:pic>
              </a:graphicData>
            </a:graphic>
          </wp:inline>
        </w:drawing>
      </w:r>
      <w:r>
        <w:rPr/>
      </w:r>
    </w:p>
    <w:p>
      <w:pPr>
        <w:spacing w:before="438"/>
        <w:ind w:left="3456" w:right="0" w:firstLine="0"/>
        <w:jc w:val="left"/>
        <w:rPr>
          <w:b/>
          <w:i/>
          <w:sz w:val="48"/>
        </w:rPr>
      </w:pPr>
      <w:r>
        <w:rPr>
          <w:b/>
          <w:i/>
          <w:sz w:val="48"/>
        </w:rPr>
        <w:t>О.Е. Хухлаев, М.Ю. </w:t>
      </w:r>
      <w:r>
        <w:rPr>
          <w:b/>
          <w:i/>
          <w:spacing w:val="-2"/>
          <w:sz w:val="48"/>
        </w:rPr>
        <w:t>Чибисова</w:t>
      </w:r>
    </w:p>
    <w:p>
      <w:pPr>
        <w:pStyle w:val="BodyText"/>
        <w:ind w:left="0" w:right="0" w:firstLine="0"/>
        <w:jc w:val="left"/>
        <w:rPr>
          <w:b/>
          <w:i/>
          <w:sz w:val="48"/>
        </w:rPr>
      </w:pPr>
    </w:p>
    <w:p>
      <w:pPr>
        <w:pStyle w:val="BodyText"/>
        <w:spacing w:before="355"/>
        <w:ind w:left="0" w:right="0" w:firstLine="0"/>
        <w:jc w:val="left"/>
        <w:rPr>
          <w:b/>
          <w:i/>
          <w:sz w:val="48"/>
        </w:rPr>
      </w:pPr>
    </w:p>
    <w:p>
      <w:pPr>
        <w:spacing w:line="276" w:lineRule="auto" w:before="1"/>
        <w:ind w:left="1829" w:right="980" w:firstLine="2"/>
        <w:jc w:val="center"/>
        <w:rPr>
          <w:b/>
          <w:sz w:val="56"/>
        </w:rPr>
      </w:pPr>
      <w:r>
        <w:rPr>
          <w:b/>
          <w:spacing w:val="-2"/>
          <w:sz w:val="56"/>
        </w:rPr>
        <w:t>Научно-методологическая </w:t>
      </w:r>
      <w:r>
        <w:rPr>
          <w:b/>
          <w:sz w:val="56"/>
        </w:rPr>
        <w:t>концепция программы психолого- педагогической оценки особых образовательных потребностей ребенка-мигранта в областях психологического благополучия, социальных</w:t>
      </w:r>
      <w:r>
        <w:rPr>
          <w:b/>
          <w:spacing w:val="-13"/>
          <w:sz w:val="56"/>
        </w:rPr>
        <w:t> </w:t>
      </w:r>
      <w:r>
        <w:rPr>
          <w:b/>
          <w:sz w:val="56"/>
        </w:rPr>
        <w:t>навыков</w:t>
      </w:r>
      <w:r>
        <w:rPr>
          <w:b/>
          <w:spacing w:val="-14"/>
          <w:sz w:val="56"/>
        </w:rPr>
        <w:t> </w:t>
      </w:r>
      <w:r>
        <w:rPr>
          <w:b/>
          <w:sz w:val="56"/>
        </w:rPr>
        <w:t>и</w:t>
      </w:r>
      <w:r>
        <w:rPr>
          <w:b/>
          <w:spacing w:val="-13"/>
          <w:sz w:val="56"/>
        </w:rPr>
        <w:t> </w:t>
      </w:r>
      <w:r>
        <w:rPr>
          <w:b/>
          <w:sz w:val="56"/>
        </w:rPr>
        <w:t>культурной </w:t>
      </w:r>
      <w:r>
        <w:rPr>
          <w:b/>
          <w:spacing w:val="-2"/>
          <w:sz w:val="56"/>
        </w:rPr>
        <w:t>адаптации</w:t>
      </w:r>
    </w:p>
    <w:p>
      <w:pPr>
        <w:pStyle w:val="BodyText"/>
        <w:spacing w:before="97"/>
        <w:ind w:left="0" w:right="0" w:firstLine="0"/>
        <w:jc w:val="left"/>
        <w:rPr>
          <w:b/>
          <w:sz w:val="56"/>
        </w:rPr>
      </w:pPr>
    </w:p>
    <w:p>
      <w:pPr>
        <w:spacing w:before="0"/>
        <w:ind w:left="854" w:right="6" w:firstLine="0"/>
        <w:jc w:val="center"/>
        <w:rPr>
          <w:b/>
          <w:sz w:val="56"/>
        </w:rPr>
      </w:pPr>
      <w:r>
        <w:rPr>
          <w:b/>
          <w:sz w:val="56"/>
        </w:rPr>
        <w:t>Часть</w:t>
      </w:r>
      <w:r>
        <w:rPr>
          <w:b/>
          <w:spacing w:val="-17"/>
          <w:sz w:val="56"/>
        </w:rPr>
        <w:t> </w:t>
      </w:r>
      <w:r>
        <w:rPr>
          <w:b/>
          <w:spacing w:val="-10"/>
          <w:sz w:val="56"/>
        </w:rPr>
        <w:t>1</w:t>
      </w:r>
    </w:p>
    <w:p>
      <w:pPr>
        <w:pStyle w:val="BodyText"/>
        <w:ind w:left="0" w:right="0" w:firstLine="0"/>
        <w:jc w:val="left"/>
        <w:rPr>
          <w:b/>
          <w:sz w:val="56"/>
        </w:rPr>
      </w:pPr>
    </w:p>
    <w:p>
      <w:pPr>
        <w:pStyle w:val="BodyText"/>
        <w:ind w:left="0" w:right="0" w:firstLine="0"/>
        <w:jc w:val="left"/>
        <w:rPr>
          <w:b/>
          <w:sz w:val="56"/>
        </w:rPr>
      </w:pPr>
    </w:p>
    <w:p>
      <w:pPr>
        <w:pStyle w:val="BodyText"/>
        <w:spacing w:before="15"/>
        <w:ind w:left="0" w:right="0" w:firstLine="0"/>
        <w:jc w:val="left"/>
        <w:rPr>
          <w:b/>
          <w:sz w:val="56"/>
        </w:rPr>
      </w:pPr>
    </w:p>
    <w:p>
      <w:pPr>
        <w:spacing w:before="0"/>
        <w:ind w:left="854" w:right="0" w:firstLine="0"/>
        <w:jc w:val="center"/>
        <w:rPr>
          <w:b/>
          <w:sz w:val="32"/>
        </w:rPr>
      </w:pPr>
      <w:r>
        <w:rPr>
          <w:b/>
          <w:sz w:val="32"/>
        </w:rPr>
        <w:t>Москва,</w:t>
      </w:r>
      <w:r>
        <w:rPr>
          <w:b/>
          <w:spacing w:val="-15"/>
          <w:sz w:val="32"/>
        </w:rPr>
        <w:t> </w:t>
      </w:r>
      <w:r>
        <w:rPr>
          <w:b/>
          <w:spacing w:val="-4"/>
          <w:sz w:val="32"/>
        </w:rPr>
        <w:t>2022</w:t>
      </w:r>
    </w:p>
    <w:p>
      <w:pPr>
        <w:spacing w:after="0"/>
        <w:jc w:val="center"/>
        <w:rPr>
          <w:b/>
          <w:sz w:val="32"/>
        </w:rPr>
        <w:sectPr>
          <w:pgSz w:w="11910" w:h="16840"/>
          <w:pgMar w:header="0" w:footer="956" w:top="1860" w:bottom="1220" w:left="0" w:right="0"/>
        </w:sectPr>
      </w:pPr>
    </w:p>
    <w:p>
      <w:pPr>
        <w:pStyle w:val="Heading2"/>
        <w:ind w:left="1702"/>
      </w:pPr>
      <w:bookmarkStart w:name="_TOC_250000" w:id="1"/>
      <w:bookmarkEnd w:id="1"/>
      <w:r>
        <w:rPr>
          <w:spacing w:val="-2"/>
        </w:rPr>
        <w:t>Введение</w:t>
      </w:r>
    </w:p>
    <w:p>
      <w:pPr>
        <w:pStyle w:val="BodyText"/>
        <w:spacing w:before="93"/>
        <w:ind w:left="0" w:right="0" w:firstLine="0"/>
        <w:jc w:val="left"/>
        <w:rPr>
          <w:b/>
          <w:sz w:val="28"/>
        </w:rPr>
      </w:pPr>
    </w:p>
    <w:p>
      <w:pPr>
        <w:pStyle w:val="Heading4"/>
        <w:spacing w:line="276" w:lineRule="auto"/>
        <w:ind w:left="1702" w:right="843" w:firstLine="566"/>
      </w:pPr>
      <w:r>
        <w:rPr/>
        <w:t>С социальной точки зрения, дети иностранных граждан не</w:t>
      </w:r>
      <w:r>
        <w:rPr>
          <w:spacing w:val="-1"/>
        </w:rPr>
        <w:t> </w:t>
      </w:r>
      <w:r>
        <w:rPr/>
        <w:t>представляют собой однородную социальную группу, так как очень различаются по социально-экономическому положению семьи, уровню образования, миграционному статусу и другим социодемографическим показателям. Большую часть семей иностранных граждан в России объединяют две характеристики. Первая: принадлежность к этническим, языковым и/или культурным меньшинствам. Вторая: повышенный риск маргинализации и общего</w:t>
      </w:r>
      <w:r>
        <w:rPr>
          <w:spacing w:val="-16"/>
        </w:rPr>
        <w:t> </w:t>
      </w:r>
      <w:r>
        <w:rPr/>
        <w:t>социального</w:t>
      </w:r>
      <w:r>
        <w:rPr>
          <w:spacing w:val="-16"/>
        </w:rPr>
        <w:t> </w:t>
      </w:r>
      <w:r>
        <w:rPr/>
        <w:t>неблагополучия</w:t>
      </w:r>
      <w:r>
        <w:rPr>
          <w:spacing w:val="-17"/>
        </w:rPr>
        <w:t> </w:t>
      </w:r>
      <w:r>
        <w:rPr/>
        <w:t>из-за</w:t>
      </w:r>
      <w:r>
        <w:rPr>
          <w:spacing w:val="-15"/>
        </w:rPr>
        <w:t> </w:t>
      </w:r>
      <w:r>
        <w:rPr/>
        <w:t>совокупности</w:t>
      </w:r>
      <w:r>
        <w:rPr>
          <w:spacing w:val="-16"/>
        </w:rPr>
        <w:t> </w:t>
      </w:r>
      <w:r>
        <w:rPr/>
        <w:t>факторов</w:t>
      </w:r>
      <w:r>
        <w:rPr>
          <w:spacing w:val="-15"/>
        </w:rPr>
        <w:t> </w:t>
      </w:r>
      <w:r>
        <w:rPr/>
        <w:t>социально- экономического и социально-психологического характера. Эти характеристики</w:t>
      </w:r>
      <w:r>
        <w:rPr>
          <w:spacing w:val="-1"/>
        </w:rPr>
        <w:t> </w:t>
      </w:r>
      <w:r>
        <w:rPr/>
        <w:t>требуют</w:t>
      </w:r>
      <w:r>
        <w:rPr>
          <w:spacing w:val="-1"/>
        </w:rPr>
        <w:t> </w:t>
      </w:r>
      <w:r>
        <w:rPr/>
        <w:t>учета</w:t>
      </w:r>
      <w:r>
        <w:rPr>
          <w:spacing w:val="-2"/>
        </w:rPr>
        <w:t> </w:t>
      </w:r>
      <w:r>
        <w:rPr/>
        <w:t>при</w:t>
      </w:r>
      <w:r>
        <w:rPr>
          <w:spacing w:val="-1"/>
        </w:rPr>
        <w:t> </w:t>
      </w:r>
      <w:r>
        <w:rPr/>
        <w:t>организации</w:t>
      </w:r>
      <w:r>
        <w:rPr>
          <w:spacing w:val="-1"/>
        </w:rPr>
        <w:t> </w:t>
      </w:r>
      <w:r>
        <w:rPr/>
        <w:t>языковой</w:t>
      </w:r>
      <w:r>
        <w:rPr>
          <w:spacing w:val="-1"/>
        </w:rPr>
        <w:t> </w:t>
      </w:r>
      <w:r>
        <w:rPr/>
        <w:t>и</w:t>
      </w:r>
      <w:r>
        <w:rPr>
          <w:spacing w:val="-3"/>
        </w:rPr>
        <w:t> </w:t>
      </w:r>
      <w:r>
        <w:rPr/>
        <w:t>социокультурной адаптации детей иностранных граждан.</w:t>
      </w:r>
    </w:p>
    <w:p>
      <w:pPr>
        <w:pStyle w:val="Heading4"/>
        <w:tabs>
          <w:tab w:pos="3550" w:val="left" w:leader="none"/>
          <w:tab w:pos="5699" w:val="left" w:leader="none"/>
          <w:tab w:pos="6623" w:val="left" w:leader="none"/>
          <w:tab w:pos="7839" w:val="left" w:leader="none"/>
          <w:tab w:pos="8180" w:val="left" w:leader="none"/>
          <w:tab w:pos="9099" w:val="left" w:leader="none"/>
        </w:tabs>
        <w:spacing w:line="276" w:lineRule="auto" w:before="1"/>
        <w:ind w:left="1702" w:right="845" w:firstLine="566"/>
        <w:jc w:val="left"/>
      </w:pPr>
      <w:r>
        <w:rPr/>
        <mc:AlternateContent>
          <mc:Choice Requires="wps">
            <w:drawing>
              <wp:anchor distT="0" distB="0" distL="0" distR="0" allowOverlap="1" layoutInCell="1" locked="0" behindDoc="1" simplePos="0" relativeHeight="474511360">
                <wp:simplePos x="0" y="0"/>
                <wp:positionH relativeFrom="page">
                  <wp:posOffset>6586646</wp:posOffset>
                </wp:positionH>
                <wp:positionV relativeFrom="paragraph">
                  <wp:posOffset>2828846</wp:posOffset>
                </wp:positionV>
                <wp:extent cx="427990" cy="19748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427990" cy="197485"/>
                        </a:xfrm>
                        <a:prstGeom prst="rect">
                          <a:avLst/>
                        </a:prstGeom>
                      </wps:spPr>
                      <wps:txbx>
                        <w:txbxContent>
                          <w:p>
                            <w:pPr>
                              <w:spacing w:line="311" w:lineRule="exact" w:before="0"/>
                              <w:ind w:left="0" w:right="0" w:firstLine="0"/>
                              <w:jc w:val="left"/>
                              <w:rPr>
                                <w:sz w:val="28"/>
                              </w:rPr>
                            </w:pPr>
                            <w:r>
                              <w:rPr>
                                <w:spacing w:val="-4"/>
                                <w:sz w:val="28"/>
                              </w:rPr>
                              <w:t>йское</w:t>
                            </w:r>
                          </w:p>
                        </w:txbxContent>
                      </wps:txbx>
                      <wps:bodyPr wrap="square" lIns="0" tIns="0" rIns="0" bIns="0" rtlCol="0">
                        <a:noAutofit/>
                      </wps:bodyPr>
                    </wps:wsp>
                  </a:graphicData>
                </a:graphic>
              </wp:anchor>
            </w:drawing>
          </mc:Choice>
          <mc:Fallback>
            <w:pict>
              <v:shape style="position:absolute;margin-left:518.633606pt;margin-top:222.743805pt;width:33.7pt;height:15.55pt;mso-position-horizontal-relative:page;mso-position-vertical-relative:paragraph;z-index:-28805120" type="#_x0000_t202" id="docshape9" filled="false" stroked="false">
                <v:textbox inset="0,0,0,0">
                  <w:txbxContent>
                    <w:p>
                      <w:pPr>
                        <w:spacing w:line="311" w:lineRule="exact" w:before="0"/>
                        <w:ind w:left="0" w:right="0" w:firstLine="0"/>
                        <w:jc w:val="left"/>
                        <w:rPr>
                          <w:sz w:val="28"/>
                        </w:rPr>
                      </w:pPr>
                      <w:r>
                        <w:rPr>
                          <w:spacing w:val="-4"/>
                          <w:sz w:val="28"/>
                        </w:rPr>
                        <w:t>йское</w:t>
                      </w:r>
                    </w:p>
                  </w:txbxContent>
                </v:textbox>
                <w10:wrap type="none"/>
              </v:shape>
            </w:pict>
          </mc:Fallback>
        </mc:AlternateContent>
      </w:r>
      <w:r>
        <w:rPr/>
        <mc:AlternateContent>
          <mc:Choice Requires="wps">
            <w:drawing>
              <wp:anchor distT="0" distB="0" distL="0" distR="0" allowOverlap="1" layoutInCell="1" locked="0" behindDoc="1" simplePos="0" relativeHeight="474511872">
                <wp:simplePos x="0" y="0"/>
                <wp:positionH relativeFrom="page">
                  <wp:posOffset>6574535</wp:posOffset>
                </wp:positionH>
                <wp:positionV relativeFrom="paragraph">
                  <wp:posOffset>2720149</wp:posOffset>
                </wp:positionV>
                <wp:extent cx="818515" cy="40386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818515" cy="403860"/>
                        </a:xfrm>
                        <a:custGeom>
                          <a:avLst/>
                          <a:gdLst/>
                          <a:ahLst/>
                          <a:cxnLst/>
                          <a:rect l="l" t="t" r="r" b="b"/>
                          <a:pathLst>
                            <a:path w="818515" h="403860">
                              <a:moveTo>
                                <a:pt x="818387" y="0"/>
                              </a:moveTo>
                              <a:lnTo>
                                <a:pt x="0" y="0"/>
                              </a:lnTo>
                              <a:lnTo>
                                <a:pt x="0" y="403860"/>
                              </a:lnTo>
                              <a:lnTo>
                                <a:pt x="818387" y="403860"/>
                              </a:lnTo>
                              <a:lnTo>
                                <a:pt x="81838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517.679993pt;margin-top:214.185028pt;width:64.44pt;height:31.8pt;mso-position-horizontal-relative:page;mso-position-vertical-relative:paragraph;z-index:-28804608" id="docshape10" filled="true" fillcolor="#ffffff" stroked="false">
                <v:fill type="solid"/>
                <w10:wrap type="none"/>
              </v:rect>
            </w:pict>
          </mc:Fallback>
        </mc:AlternateContent>
      </w:r>
      <w:r>
        <w:rPr/>
        <w:t>Большинство таких детей, обучающихся в российских образовательных организациях, составляют дети из семей граждан государств-членов СНГ, в</w:t>
      </w:r>
      <w:r>
        <w:rPr>
          <w:spacing w:val="40"/>
        </w:rPr>
        <w:t> </w:t>
      </w:r>
      <w:r>
        <w:rPr/>
        <w:t>том</w:t>
      </w:r>
      <w:r>
        <w:rPr>
          <w:spacing w:val="80"/>
        </w:rPr>
        <w:t> </w:t>
      </w:r>
      <w:r>
        <w:rPr/>
        <w:t>числе</w:t>
      </w:r>
      <w:r>
        <w:rPr>
          <w:spacing w:val="80"/>
        </w:rPr>
        <w:t> </w:t>
      </w:r>
      <w:r>
        <w:rPr/>
        <w:t>работающих</w:t>
      </w:r>
      <w:r>
        <w:rPr>
          <w:spacing w:val="80"/>
        </w:rPr>
        <w:t> </w:t>
      </w:r>
      <w:r>
        <w:rPr/>
        <w:t>в</w:t>
      </w:r>
      <w:r>
        <w:rPr>
          <w:spacing w:val="80"/>
        </w:rPr>
        <w:t> </w:t>
      </w:r>
      <w:r>
        <w:rPr/>
        <w:t>рамках</w:t>
      </w:r>
      <w:r>
        <w:rPr>
          <w:spacing w:val="80"/>
        </w:rPr>
        <w:t> </w:t>
      </w:r>
      <w:r>
        <w:rPr/>
        <w:t>совместных</w:t>
      </w:r>
      <w:r>
        <w:rPr>
          <w:spacing w:val="80"/>
        </w:rPr>
        <w:t> </w:t>
      </w:r>
      <w:r>
        <w:rPr/>
        <w:t>экономических</w:t>
      </w:r>
      <w:r>
        <w:rPr>
          <w:spacing w:val="80"/>
        </w:rPr>
        <w:t> </w:t>
      </w:r>
      <w:r>
        <w:rPr/>
        <w:t>программ</w:t>
      </w:r>
      <w:r>
        <w:rPr>
          <w:spacing w:val="40"/>
        </w:rPr>
        <w:t> </w:t>
      </w:r>
      <w:r>
        <w:rPr>
          <w:spacing w:val="-2"/>
        </w:rPr>
        <w:t>Евразийского</w:t>
      </w:r>
      <w:r>
        <w:rPr/>
        <w:tab/>
      </w:r>
      <w:r>
        <w:rPr>
          <w:spacing w:val="-2"/>
        </w:rPr>
        <w:t>экономического</w:t>
      </w:r>
      <w:r>
        <w:rPr/>
        <w:tab/>
      </w:r>
      <w:r>
        <w:rPr>
          <w:spacing w:val="-4"/>
        </w:rPr>
        <w:t>союза</w:t>
      </w:r>
      <w:r>
        <w:rPr/>
        <w:tab/>
      </w:r>
      <w:r>
        <w:rPr>
          <w:spacing w:val="-2"/>
        </w:rPr>
        <w:t>(ЕАЭС),</w:t>
      </w:r>
      <w:r>
        <w:rPr/>
        <w:tab/>
      </w:r>
      <w:r>
        <w:rPr>
          <w:spacing w:val="-10"/>
        </w:rPr>
        <w:t>а</w:t>
      </w:r>
      <w:r>
        <w:rPr/>
        <w:tab/>
      </w:r>
      <w:r>
        <w:rPr>
          <w:spacing w:val="-2"/>
        </w:rPr>
        <w:t>также</w:t>
      </w:r>
      <w:r>
        <w:rPr/>
        <w:tab/>
      </w:r>
      <w:r>
        <w:rPr>
          <w:spacing w:val="-2"/>
        </w:rPr>
        <w:t>международных </w:t>
      </w:r>
      <w:r>
        <w:rPr/>
        <w:t>трудовых мигрантов, преимущественно из сопредельных стран. В настоящее время</w:t>
      </w:r>
      <w:r>
        <w:rPr>
          <w:spacing w:val="40"/>
        </w:rPr>
        <w:t> </w:t>
      </w:r>
      <w:r>
        <w:rPr/>
        <w:t>многих</w:t>
      </w:r>
      <w:r>
        <w:rPr>
          <w:spacing w:val="40"/>
        </w:rPr>
        <w:t> </w:t>
      </w:r>
      <w:r>
        <w:rPr/>
        <w:t>детей</w:t>
      </w:r>
      <w:r>
        <w:rPr>
          <w:spacing w:val="40"/>
        </w:rPr>
        <w:t> </w:t>
      </w:r>
      <w:r>
        <w:rPr/>
        <w:t>иностранных</w:t>
      </w:r>
      <w:r>
        <w:rPr>
          <w:spacing w:val="40"/>
        </w:rPr>
        <w:t> </w:t>
      </w:r>
      <w:r>
        <w:rPr/>
        <w:t>граждан</w:t>
      </w:r>
      <w:r>
        <w:rPr>
          <w:spacing w:val="40"/>
        </w:rPr>
        <w:t> </w:t>
      </w:r>
      <w:r>
        <w:rPr/>
        <w:t>можно</w:t>
      </w:r>
      <w:r>
        <w:rPr>
          <w:spacing w:val="40"/>
        </w:rPr>
        <w:t> </w:t>
      </w:r>
      <w:r>
        <w:rPr/>
        <w:t>скорее</w:t>
      </w:r>
      <w:r>
        <w:rPr>
          <w:spacing w:val="40"/>
        </w:rPr>
        <w:t> </w:t>
      </w:r>
      <w:r>
        <w:rPr/>
        <w:t>назвать</w:t>
      </w:r>
      <w:r>
        <w:rPr>
          <w:spacing w:val="40"/>
        </w:rPr>
        <w:t> </w:t>
      </w:r>
      <w:r>
        <w:rPr/>
        <w:t>детьми</w:t>
      </w:r>
      <w:r>
        <w:rPr>
          <w:spacing w:val="40"/>
        </w:rPr>
        <w:t> </w:t>
      </w:r>
      <w:r>
        <w:rPr/>
        <w:t>с миграционной</w:t>
      </w:r>
      <w:r>
        <w:rPr>
          <w:spacing w:val="40"/>
        </w:rPr>
        <w:t> </w:t>
      </w:r>
      <w:r>
        <w:rPr/>
        <w:t>историей:</w:t>
      </w:r>
      <w:r>
        <w:rPr>
          <w:spacing w:val="40"/>
        </w:rPr>
        <w:t> </w:t>
      </w:r>
      <w:r>
        <w:rPr/>
        <w:t>их</w:t>
      </w:r>
      <w:r>
        <w:rPr>
          <w:spacing w:val="40"/>
        </w:rPr>
        <w:t> </w:t>
      </w:r>
      <w:r>
        <w:rPr/>
        <w:t>семьи</w:t>
      </w:r>
      <w:r>
        <w:rPr>
          <w:spacing w:val="40"/>
        </w:rPr>
        <w:t> </w:t>
      </w:r>
      <w:r>
        <w:rPr/>
        <w:t>уже</w:t>
      </w:r>
      <w:r>
        <w:rPr>
          <w:spacing w:val="40"/>
        </w:rPr>
        <w:t> </w:t>
      </w:r>
      <w:r>
        <w:rPr/>
        <w:t>получили</w:t>
      </w:r>
      <w:r>
        <w:rPr>
          <w:spacing w:val="40"/>
        </w:rPr>
        <w:t> </w:t>
      </w:r>
      <w:r>
        <w:rPr/>
        <w:t>российское</w:t>
      </w:r>
      <w:r>
        <w:rPr>
          <w:spacing w:val="40"/>
        </w:rPr>
        <w:t> </w:t>
      </w:r>
      <w:r>
        <w:rPr/>
        <w:t>гражданство (нередки</w:t>
      </w:r>
      <w:r>
        <w:rPr>
          <w:spacing w:val="80"/>
        </w:rPr>
        <w:t> </w:t>
      </w:r>
      <w:r>
        <w:rPr/>
        <w:t>ситуации</w:t>
      </w:r>
      <w:r>
        <w:rPr>
          <w:spacing w:val="80"/>
        </w:rPr>
        <w:t> </w:t>
      </w:r>
      <w:r>
        <w:rPr/>
        <w:t>с</w:t>
      </w:r>
      <w:r>
        <w:rPr>
          <w:spacing w:val="80"/>
        </w:rPr>
        <w:t> </w:t>
      </w:r>
      <w:r>
        <w:rPr/>
        <w:t>двойным</w:t>
      </w:r>
      <w:r>
        <w:rPr>
          <w:spacing w:val="80"/>
        </w:rPr>
        <w:t> </w:t>
      </w:r>
      <w:r>
        <w:rPr/>
        <w:t>гражданством),</w:t>
      </w:r>
      <w:r>
        <w:rPr>
          <w:spacing w:val="80"/>
        </w:rPr>
        <w:t> </w:t>
      </w:r>
      <w:r>
        <w:rPr/>
        <w:t>но</w:t>
      </w:r>
      <w:r>
        <w:rPr>
          <w:spacing w:val="80"/>
        </w:rPr>
        <w:t> </w:t>
      </w:r>
      <w:r>
        <w:rPr/>
        <w:t>по-прежнему</w:t>
      </w:r>
      <w:r>
        <w:rPr>
          <w:spacing w:val="80"/>
        </w:rPr>
        <w:t> </w:t>
      </w:r>
      <w:r>
        <w:rPr/>
        <w:t>остаются недостаточно</w:t>
      </w:r>
      <w:r>
        <w:rPr>
          <w:spacing w:val="-14"/>
        </w:rPr>
        <w:t> </w:t>
      </w:r>
      <w:r>
        <w:rPr/>
        <w:t>интегрированными</w:t>
      </w:r>
      <w:r>
        <w:rPr>
          <w:spacing w:val="-14"/>
        </w:rPr>
        <w:t> </w:t>
      </w:r>
      <w:r>
        <w:rPr/>
        <w:t>в</w:t>
      </w:r>
      <w:r>
        <w:rPr>
          <w:spacing w:val="-15"/>
        </w:rPr>
        <w:t> </w:t>
      </w:r>
      <w:r>
        <w:rPr/>
        <w:t>российскую</w:t>
      </w:r>
      <w:r>
        <w:rPr>
          <w:spacing w:val="-15"/>
        </w:rPr>
        <w:t> </w:t>
      </w:r>
      <w:r>
        <w:rPr/>
        <w:t>среду,</w:t>
      </w:r>
      <w:r>
        <w:rPr>
          <w:spacing w:val="-15"/>
        </w:rPr>
        <w:t> </w:t>
      </w:r>
      <w:r>
        <w:rPr/>
        <w:t>плохо</w:t>
      </w:r>
      <w:r>
        <w:rPr>
          <w:spacing w:val="-14"/>
        </w:rPr>
        <w:t> </w:t>
      </w:r>
      <w:r>
        <w:rPr/>
        <w:t>владеют</w:t>
      </w:r>
      <w:r>
        <w:rPr>
          <w:spacing w:val="-16"/>
        </w:rPr>
        <w:t> </w:t>
      </w:r>
      <w:r>
        <w:rPr/>
        <w:t>русским языком,</w:t>
      </w:r>
      <w:r>
        <w:rPr>
          <w:spacing w:val="80"/>
        </w:rPr>
        <w:t> </w:t>
      </w:r>
      <w:r>
        <w:rPr/>
        <w:t>предпочитая</w:t>
      </w:r>
      <w:r>
        <w:rPr>
          <w:spacing w:val="80"/>
        </w:rPr>
        <w:t> </w:t>
      </w:r>
      <w:r>
        <w:rPr/>
        <w:t>родной</w:t>
      </w:r>
      <w:r>
        <w:rPr>
          <w:spacing w:val="80"/>
        </w:rPr>
        <w:t> </w:t>
      </w:r>
      <w:r>
        <w:rPr/>
        <w:t>язык</w:t>
      </w:r>
      <w:r>
        <w:rPr>
          <w:spacing w:val="80"/>
        </w:rPr>
        <w:t> </w:t>
      </w:r>
      <w:r>
        <w:rPr/>
        <w:t>в</w:t>
      </w:r>
      <w:r>
        <w:rPr>
          <w:spacing w:val="80"/>
        </w:rPr>
        <w:t> </w:t>
      </w:r>
      <w:r>
        <w:rPr/>
        <w:t>домашнем</w:t>
      </w:r>
      <w:r>
        <w:rPr>
          <w:spacing w:val="80"/>
        </w:rPr>
        <w:t> </w:t>
      </w:r>
      <w:r>
        <w:rPr/>
        <w:t>и</w:t>
      </w:r>
      <w:r>
        <w:rPr>
          <w:spacing w:val="80"/>
        </w:rPr>
        <w:t> </w:t>
      </w:r>
      <w:r>
        <w:rPr/>
        <w:t>земляческом</w:t>
      </w:r>
      <w:r>
        <w:rPr>
          <w:spacing w:val="80"/>
        </w:rPr>
        <w:t> </w:t>
      </w:r>
      <w:r>
        <w:rPr/>
        <w:t>общении. Важно, чтобы образовательные организации, проводя работу по адаптации и социализации</w:t>
      </w:r>
      <w:r>
        <w:rPr>
          <w:spacing w:val="-17"/>
        </w:rPr>
        <w:t> </w:t>
      </w:r>
      <w:r>
        <w:rPr/>
        <w:t>детей</w:t>
      </w:r>
      <w:r>
        <w:rPr>
          <w:spacing w:val="-17"/>
        </w:rPr>
        <w:t> </w:t>
      </w:r>
      <w:r>
        <w:rPr/>
        <w:t>иностранных</w:t>
      </w:r>
      <w:r>
        <w:rPr>
          <w:spacing w:val="-14"/>
        </w:rPr>
        <w:t> </w:t>
      </w:r>
      <w:r>
        <w:rPr/>
        <w:t>граждан,</w:t>
      </w:r>
      <w:r>
        <w:rPr>
          <w:spacing w:val="-15"/>
        </w:rPr>
        <w:t> </w:t>
      </w:r>
      <w:r>
        <w:rPr/>
        <w:t>подключали</w:t>
      </w:r>
      <w:r>
        <w:rPr>
          <w:spacing w:val="-14"/>
        </w:rPr>
        <w:t> </w:t>
      </w:r>
      <w:r>
        <w:rPr/>
        <w:t>к</w:t>
      </w:r>
      <w:r>
        <w:rPr>
          <w:spacing w:val="-17"/>
        </w:rPr>
        <w:t> </w:t>
      </w:r>
      <w:r>
        <w:rPr/>
        <w:t>ней</w:t>
      </w:r>
      <w:r>
        <w:rPr>
          <w:spacing w:val="-14"/>
        </w:rPr>
        <w:t> </w:t>
      </w:r>
      <w:r>
        <w:rPr/>
        <w:t>не</w:t>
      </w:r>
      <w:r>
        <w:rPr>
          <w:spacing w:val="-15"/>
        </w:rPr>
        <w:t> </w:t>
      </w:r>
      <w:r>
        <w:rPr/>
        <w:t>только</w:t>
      </w:r>
      <w:r>
        <w:rPr>
          <w:spacing w:val="-16"/>
        </w:rPr>
        <w:t> </w:t>
      </w:r>
      <w:r>
        <w:rPr/>
        <w:t>детей- иностранцев, но и детей с миграционной историей, уже имеющих росси </w:t>
      </w:r>
      <w:r>
        <w:rPr>
          <w:spacing w:val="-2"/>
        </w:rPr>
        <w:t>гражданство.</w:t>
      </w:r>
    </w:p>
    <w:p>
      <w:pPr>
        <w:pStyle w:val="Heading4"/>
        <w:spacing w:line="276" w:lineRule="auto" w:before="1"/>
        <w:ind w:left="1702" w:right="843" w:firstLine="566"/>
      </w:pPr>
      <w:r>
        <w:rPr/>
        <w:t>В дальнейшем тексте концепции будет использоваться термин «дети- мигранты», однако следует учитывать, что имеется в виду вся обширная группа детей иностранных граждан.</w:t>
      </w:r>
    </w:p>
    <w:p>
      <w:pPr>
        <w:pStyle w:val="Heading4"/>
        <w:spacing w:line="276" w:lineRule="auto"/>
        <w:ind w:left="1702" w:right="847" w:firstLine="566"/>
      </w:pPr>
      <w:r>
        <w:rPr/>
        <w:t>Согласно</w:t>
      </w:r>
      <w:r>
        <w:rPr>
          <w:spacing w:val="-8"/>
        </w:rPr>
        <w:t> </w:t>
      </w:r>
      <w:r>
        <w:rPr/>
        <w:t>Конвенции</w:t>
      </w:r>
      <w:r>
        <w:rPr>
          <w:spacing w:val="-8"/>
        </w:rPr>
        <w:t> </w:t>
      </w:r>
      <w:r>
        <w:rPr/>
        <w:t>по</w:t>
      </w:r>
      <w:r>
        <w:rPr>
          <w:spacing w:val="-8"/>
        </w:rPr>
        <w:t> </w:t>
      </w:r>
      <w:r>
        <w:rPr/>
        <w:t>борьбе</w:t>
      </w:r>
      <w:r>
        <w:rPr>
          <w:spacing w:val="-9"/>
        </w:rPr>
        <w:t> </w:t>
      </w:r>
      <w:r>
        <w:rPr/>
        <w:t>с</w:t>
      </w:r>
      <w:r>
        <w:rPr>
          <w:spacing w:val="-9"/>
        </w:rPr>
        <w:t> </w:t>
      </w:r>
      <w:r>
        <w:rPr/>
        <w:t>дискриминацией</w:t>
      </w:r>
      <w:r>
        <w:rPr>
          <w:spacing w:val="-8"/>
        </w:rPr>
        <w:t> </w:t>
      </w:r>
      <w:r>
        <w:rPr/>
        <w:t>в</w:t>
      </w:r>
      <w:r>
        <w:rPr>
          <w:spacing w:val="-9"/>
        </w:rPr>
        <w:t> </w:t>
      </w:r>
      <w:r>
        <w:rPr/>
        <w:t>области</w:t>
      </w:r>
      <w:r>
        <w:rPr>
          <w:spacing w:val="-8"/>
        </w:rPr>
        <w:t> </w:t>
      </w:r>
      <w:r>
        <w:rPr/>
        <w:t>образования ООН от 14.12.1960 г. государство обязуется предоставлять иностранным гражданам,</w:t>
      </w:r>
      <w:r>
        <w:rPr>
          <w:spacing w:val="-16"/>
        </w:rPr>
        <w:t> </w:t>
      </w:r>
      <w:r>
        <w:rPr/>
        <w:t>проживающим</w:t>
      </w:r>
      <w:r>
        <w:rPr>
          <w:spacing w:val="-15"/>
        </w:rPr>
        <w:t> </w:t>
      </w:r>
      <w:r>
        <w:rPr/>
        <w:t>на</w:t>
      </w:r>
      <w:r>
        <w:rPr>
          <w:spacing w:val="-14"/>
        </w:rPr>
        <w:t> </w:t>
      </w:r>
      <w:r>
        <w:rPr/>
        <w:t>его</w:t>
      </w:r>
      <w:r>
        <w:rPr>
          <w:spacing w:val="-15"/>
        </w:rPr>
        <w:t> </w:t>
      </w:r>
      <w:r>
        <w:rPr/>
        <w:t>территории,</w:t>
      </w:r>
      <w:r>
        <w:rPr>
          <w:spacing w:val="-16"/>
        </w:rPr>
        <w:t> </w:t>
      </w:r>
      <w:r>
        <w:rPr/>
        <w:t>такой</w:t>
      </w:r>
      <w:r>
        <w:rPr>
          <w:spacing w:val="-15"/>
        </w:rPr>
        <w:t> </w:t>
      </w:r>
      <w:r>
        <w:rPr/>
        <w:t>же</w:t>
      </w:r>
      <w:r>
        <w:rPr>
          <w:spacing w:val="-15"/>
        </w:rPr>
        <w:t> </w:t>
      </w:r>
      <w:r>
        <w:rPr/>
        <w:t>доступ</w:t>
      </w:r>
      <w:r>
        <w:rPr>
          <w:spacing w:val="-15"/>
        </w:rPr>
        <w:t> </w:t>
      </w:r>
      <w:r>
        <w:rPr/>
        <w:t>к</w:t>
      </w:r>
      <w:r>
        <w:rPr>
          <w:spacing w:val="-13"/>
        </w:rPr>
        <w:t> </w:t>
      </w:r>
      <w:r>
        <w:rPr/>
        <w:t>образованию, как и своим гражданам. При этом согласно Декларации принципов толерантности ООН от 16.11.1995 г. нетерпимость может принимать форму маргинализации наименее социально защищенных групп. Такой социальной группой являются дети иностранных граждан. В Саламанкской декларации о принципах,</w:t>
      </w:r>
      <w:r>
        <w:rPr>
          <w:spacing w:val="-7"/>
        </w:rPr>
        <w:t> </w:t>
      </w:r>
      <w:r>
        <w:rPr/>
        <w:t>политике</w:t>
      </w:r>
      <w:r>
        <w:rPr>
          <w:spacing w:val="-6"/>
        </w:rPr>
        <w:t> </w:t>
      </w:r>
      <w:r>
        <w:rPr/>
        <w:t>и</w:t>
      </w:r>
      <w:r>
        <w:rPr>
          <w:spacing w:val="-6"/>
        </w:rPr>
        <w:t> </w:t>
      </w:r>
      <w:r>
        <w:rPr/>
        <w:t>практической</w:t>
      </w:r>
      <w:r>
        <w:rPr>
          <w:spacing w:val="-6"/>
        </w:rPr>
        <w:t> </w:t>
      </w:r>
      <w:r>
        <w:rPr/>
        <w:t>деятельности</w:t>
      </w:r>
      <w:r>
        <w:rPr>
          <w:spacing w:val="-6"/>
        </w:rPr>
        <w:t> </w:t>
      </w:r>
      <w:r>
        <w:rPr/>
        <w:t>в</w:t>
      </w:r>
      <w:r>
        <w:rPr>
          <w:spacing w:val="-7"/>
        </w:rPr>
        <w:t> </w:t>
      </w:r>
      <w:r>
        <w:rPr/>
        <w:t>сфере</w:t>
      </w:r>
      <w:r>
        <w:rPr>
          <w:spacing w:val="-8"/>
        </w:rPr>
        <w:t> </w:t>
      </w:r>
      <w:r>
        <w:rPr/>
        <w:t>образования</w:t>
      </w:r>
      <w:r>
        <w:rPr>
          <w:spacing w:val="-6"/>
        </w:rPr>
        <w:t> </w:t>
      </w:r>
      <w:r>
        <w:rPr/>
        <w:t>лиц</w:t>
      </w:r>
      <w:r>
        <w:rPr>
          <w:spacing w:val="-6"/>
        </w:rPr>
        <w:t> </w:t>
      </w:r>
      <w:r>
        <w:rPr/>
        <w:t>с особыми</w:t>
      </w:r>
      <w:r>
        <w:rPr>
          <w:spacing w:val="40"/>
        </w:rPr>
        <w:t> </w:t>
      </w:r>
      <w:r>
        <w:rPr/>
        <w:t>потребностями</w:t>
      </w:r>
      <w:r>
        <w:rPr>
          <w:spacing w:val="40"/>
        </w:rPr>
        <w:t> </w:t>
      </w:r>
      <w:r>
        <w:rPr/>
        <w:t>к</w:t>
      </w:r>
      <w:r>
        <w:rPr>
          <w:spacing w:val="40"/>
        </w:rPr>
        <w:t> </w:t>
      </w:r>
      <w:r>
        <w:rPr/>
        <w:t>одной</w:t>
      </w:r>
      <w:r>
        <w:rPr>
          <w:spacing w:val="40"/>
        </w:rPr>
        <w:t> </w:t>
      </w:r>
      <w:r>
        <w:rPr/>
        <w:t>из</w:t>
      </w:r>
      <w:r>
        <w:rPr>
          <w:spacing w:val="40"/>
        </w:rPr>
        <w:t> </w:t>
      </w:r>
      <w:r>
        <w:rPr/>
        <w:t>целевых</w:t>
      </w:r>
      <w:r>
        <w:rPr>
          <w:spacing w:val="40"/>
        </w:rPr>
        <w:t> </w:t>
      </w:r>
      <w:r>
        <w:rPr/>
        <w:t>групп</w:t>
      </w:r>
      <w:r>
        <w:rPr>
          <w:spacing w:val="40"/>
        </w:rPr>
        <w:t> </w:t>
      </w:r>
      <w:r>
        <w:rPr/>
        <w:t>инклюзии</w:t>
      </w:r>
      <w:r>
        <w:rPr>
          <w:spacing w:val="40"/>
        </w:rPr>
        <w:t> </w:t>
      </w:r>
      <w:r>
        <w:rPr/>
        <w:t>причислены</w:t>
      </w:r>
    </w:p>
    <w:p>
      <w:pPr>
        <w:pStyle w:val="Heading4"/>
        <w:spacing w:after="0" w:line="276" w:lineRule="auto"/>
        <w:sectPr>
          <w:pgSz w:w="11910" w:h="16840"/>
          <w:pgMar w:header="0" w:footer="956" w:top="1040" w:bottom="1220" w:left="0" w:right="0"/>
        </w:sectPr>
      </w:pPr>
    </w:p>
    <w:p>
      <w:pPr>
        <w:pStyle w:val="Heading4"/>
        <w:spacing w:line="278" w:lineRule="auto" w:before="67"/>
        <w:ind w:left="1702" w:right="846"/>
      </w:pPr>
      <w:r>
        <w:rPr/>
        <w:t>дети, относящиеся к этническим, языковым и культурным меньшинствам, и дети из маргинализированных групп населения.</w:t>
      </w:r>
    </w:p>
    <w:p>
      <w:pPr>
        <w:pStyle w:val="Heading4"/>
        <w:tabs>
          <w:tab w:pos="2656" w:val="left" w:leader="none"/>
          <w:tab w:pos="3389" w:val="left" w:leader="none"/>
          <w:tab w:pos="4260" w:val="left" w:leader="none"/>
          <w:tab w:pos="4523" w:val="left" w:leader="none"/>
          <w:tab w:pos="5645" w:val="left" w:leader="none"/>
          <w:tab w:pos="5874" w:val="left" w:leader="none"/>
          <w:tab w:pos="6450" w:val="left" w:leader="none"/>
          <w:tab w:pos="7389" w:val="left" w:leader="none"/>
          <w:tab w:pos="7820" w:val="left" w:leader="none"/>
          <w:tab w:pos="8059" w:val="left" w:leader="none"/>
          <w:tab w:pos="9177" w:val="left" w:leader="none"/>
          <w:tab w:pos="9432" w:val="left" w:leader="none"/>
          <w:tab w:pos="9513" w:val="left" w:leader="none"/>
        </w:tabs>
        <w:spacing w:line="276" w:lineRule="auto"/>
        <w:ind w:left="1702" w:right="845" w:firstLine="566"/>
        <w:jc w:val="right"/>
      </w:pPr>
      <w:r>
        <w:rPr/>
        <w:t>В</w:t>
      </w:r>
      <w:r>
        <w:rPr>
          <w:spacing w:val="39"/>
        </w:rPr>
        <w:t> </w:t>
      </w:r>
      <w:r>
        <w:rPr/>
        <w:t>Конвенции</w:t>
      </w:r>
      <w:r>
        <w:rPr>
          <w:spacing w:val="40"/>
        </w:rPr>
        <w:t> </w:t>
      </w:r>
      <w:r>
        <w:rPr/>
        <w:t>о</w:t>
      </w:r>
      <w:r>
        <w:rPr>
          <w:spacing w:val="40"/>
        </w:rPr>
        <w:t> </w:t>
      </w:r>
      <w:r>
        <w:rPr/>
        <w:t>правах</w:t>
      </w:r>
      <w:r>
        <w:rPr>
          <w:spacing w:val="40"/>
        </w:rPr>
        <w:t> </w:t>
      </w:r>
      <w:r>
        <w:rPr/>
        <w:t>ребенка</w:t>
      </w:r>
      <w:r>
        <w:rPr>
          <w:spacing w:val="39"/>
        </w:rPr>
        <w:t> </w:t>
      </w:r>
      <w:r>
        <w:rPr/>
        <w:t>ООН</w:t>
      </w:r>
      <w:r>
        <w:rPr>
          <w:spacing w:val="38"/>
        </w:rPr>
        <w:t> </w:t>
      </w:r>
      <w:r>
        <w:rPr/>
        <w:t>от</w:t>
      </w:r>
      <w:r>
        <w:rPr>
          <w:spacing w:val="39"/>
        </w:rPr>
        <w:t> </w:t>
      </w:r>
      <w:r>
        <w:rPr/>
        <w:t>20.11.1989</w:t>
      </w:r>
      <w:r>
        <w:rPr>
          <w:spacing w:val="40"/>
        </w:rPr>
        <w:t> </w:t>
      </w:r>
      <w:r>
        <w:rPr/>
        <w:t>года</w:t>
      </w:r>
      <w:r>
        <w:rPr>
          <w:spacing w:val="38"/>
        </w:rPr>
        <w:t> </w:t>
      </w:r>
      <w:r>
        <w:rPr/>
        <w:t>отмечено,</w:t>
      </w:r>
      <w:r>
        <w:rPr>
          <w:spacing w:val="39"/>
        </w:rPr>
        <w:t> </w:t>
      </w:r>
      <w:r>
        <w:rPr/>
        <w:t>что </w:t>
      </w:r>
      <w:r>
        <w:rPr>
          <w:spacing w:val="-2"/>
        </w:rPr>
        <w:t>образование</w:t>
      </w:r>
      <w:r>
        <w:rPr/>
        <w:tab/>
      </w:r>
      <w:r>
        <w:rPr>
          <w:spacing w:val="-2"/>
        </w:rPr>
        <w:t>ребенка</w:t>
      </w:r>
      <w:r>
        <w:rPr/>
        <w:tab/>
      </w:r>
      <w:r>
        <w:rPr>
          <w:spacing w:val="-56"/>
        </w:rPr>
        <w:t> </w:t>
      </w:r>
      <w:r>
        <w:rPr/>
        <w:t>должно</w:t>
        <w:tab/>
      </w:r>
      <w:r>
        <w:rPr>
          <w:spacing w:val="-63"/>
        </w:rPr>
        <w:t> </w:t>
      </w:r>
      <w:r>
        <w:rPr>
          <w:spacing w:val="-2"/>
        </w:rPr>
        <w:t>быть</w:t>
      </w:r>
      <w:r>
        <w:rPr/>
        <w:tab/>
      </w:r>
      <w:r>
        <w:rPr>
          <w:spacing w:val="-2"/>
        </w:rPr>
        <w:t>неразрывно</w:t>
      </w:r>
      <w:r>
        <w:rPr/>
        <w:tab/>
      </w:r>
      <w:r>
        <w:rPr>
          <w:spacing w:val="-2"/>
        </w:rPr>
        <w:t>связано</w:t>
      </w:r>
      <w:r>
        <w:rPr/>
        <w:tab/>
      </w:r>
      <w:r>
        <w:rPr>
          <w:spacing w:val="-10"/>
        </w:rPr>
        <w:t>с</w:t>
      </w:r>
      <w:r>
        <w:rPr/>
        <w:tab/>
        <w:tab/>
      </w:r>
      <w:r>
        <w:rPr>
          <w:spacing w:val="-2"/>
        </w:rPr>
        <w:t>воспитанием </w:t>
      </w:r>
      <w:r>
        <w:rPr/>
        <w:t>уважения</w:t>
      </w:r>
      <w:r>
        <w:rPr>
          <w:spacing w:val="80"/>
        </w:rPr>
        <w:t> </w:t>
      </w:r>
      <w:r>
        <w:rPr/>
        <w:t>к</w:t>
      </w:r>
      <w:r>
        <w:rPr>
          <w:spacing w:val="80"/>
        </w:rPr>
        <w:t> </w:t>
      </w:r>
      <w:r>
        <w:rPr/>
        <w:t>родителям</w:t>
      </w:r>
      <w:r>
        <w:rPr>
          <w:spacing w:val="80"/>
        </w:rPr>
        <w:t> </w:t>
      </w:r>
      <w:r>
        <w:rPr/>
        <w:t>ребенка,</w:t>
      </w:r>
      <w:r>
        <w:rPr>
          <w:spacing w:val="80"/>
        </w:rPr>
        <w:t> </w:t>
      </w:r>
      <w:r>
        <w:rPr/>
        <w:t>его</w:t>
      </w:r>
      <w:r>
        <w:rPr>
          <w:spacing w:val="80"/>
        </w:rPr>
        <w:t> </w:t>
      </w:r>
      <w:r>
        <w:rPr/>
        <w:t>культурной</w:t>
      </w:r>
      <w:r>
        <w:rPr>
          <w:spacing w:val="80"/>
        </w:rPr>
        <w:t> </w:t>
      </w:r>
      <w:r>
        <w:rPr/>
        <w:t>самобытности,</w:t>
      </w:r>
      <w:r>
        <w:rPr>
          <w:spacing w:val="80"/>
        </w:rPr>
        <w:t> </w:t>
      </w:r>
      <w:r>
        <w:rPr/>
        <w:t>языку</w:t>
      </w:r>
      <w:r>
        <w:rPr>
          <w:spacing w:val="80"/>
        </w:rPr>
        <w:t> </w:t>
      </w:r>
      <w:r>
        <w:rPr/>
        <w:t>и ценностям страны его происхождения, к национальным ценностям страны, в которой</w:t>
      </w:r>
      <w:r>
        <w:rPr>
          <w:spacing w:val="-7"/>
        </w:rPr>
        <w:t> </w:t>
      </w:r>
      <w:r>
        <w:rPr/>
        <w:t>ребенок</w:t>
      </w:r>
      <w:r>
        <w:rPr>
          <w:spacing w:val="-7"/>
        </w:rPr>
        <w:t> </w:t>
      </w:r>
      <w:r>
        <w:rPr/>
        <w:t>проживает,</w:t>
      </w:r>
      <w:r>
        <w:rPr>
          <w:spacing w:val="-9"/>
        </w:rPr>
        <w:t> </w:t>
      </w:r>
      <w:r>
        <w:rPr/>
        <w:t>и</w:t>
      </w:r>
      <w:r>
        <w:rPr>
          <w:spacing w:val="-7"/>
        </w:rPr>
        <w:t> </w:t>
      </w:r>
      <w:r>
        <w:rPr/>
        <w:t>к</w:t>
      </w:r>
      <w:r>
        <w:rPr>
          <w:spacing w:val="-7"/>
        </w:rPr>
        <w:t> </w:t>
      </w:r>
      <w:r>
        <w:rPr/>
        <w:t>цивилизациям,</w:t>
      </w:r>
      <w:r>
        <w:rPr>
          <w:spacing w:val="-8"/>
        </w:rPr>
        <w:t> </w:t>
      </w:r>
      <w:r>
        <w:rPr/>
        <w:t>отличным</w:t>
      </w:r>
      <w:r>
        <w:rPr>
          <w:spacing w:val="-8"/>
        </w:rPr>
        <w:t> </w:t>
      </w:r>
      <w:r>
        <w:rPr/>
        <w:t>от</w:t>
      </w:r>
      <w:r>
        <w:rPr>
          <w:spacing w:val="-8"/>
        </w:rPr>
        <w:t> </w:t>
      </w:r>
      <w:r>
        <w:rPr/>
        <w:t>его</w:t>
      </w:r>
      <w:r>
        <w:rPr>
          <w:spacing w:val="-7"/>
        </w:rPr>
        <w:t> </w:t>
      </w:r>
      <w:r>
        <w:rPr/>
        <w:t>собственной. </w:t>
      </w:r>
      <w:r>
        <w:rPr>
          <w:spacing w:val="-2"/>
        </w:rPr>
        <w:t>Соответственно,</w:t>
      </w:r>
      <w:r>
        <w:rPr/>
        <w:tab/>
      </w:r>
      <w:r>
        <w:rPr>
          <w:b/>
          <w:spacing w:val="-4"/>
        </w:rPr>
        <w:t>целью</w:t>
      </w:r>
      <w:r>
        <w:rPr>
          <w:b/>
        </w:rPr>
        <w:tab/>
      </w:r>
      <w:r>
        <w:rPr>
          <w:spacing w:val="-2"/>
        </w:rPr>
        <w:t>деятельности</w:t>
      </w:r>
      <w:r>
        <w:rPr/>
        <w:tab/>
        <w:tab/>
      </w:r>
      <w:r>
        <w:rPr>
          <w:spacing w:val="-2"/>
        </w:rPr>
        <w:t>общеобразовательных </w:t>
      </w:r>
      <w:r>
        <w:rPr/>
        <w:t>организаций,</w:t>
      </w:r>
      <w:r>
        <w:rPr>
          <w:spacing w:val="80"/>
        </w:rPr>
        <w:t> </w:t>
      </w:r>
      <w:r>
        <w:rPr/>
        <w:t>осуществляющих</w:t>
      </w:r>
      <w:r>
        <w:rPr>
          <w:spacing w:val="80"/>
        </w:rPr>
        <w:t> </w:t>
      </w:r>
      <w:r>
        <w:rPr/>
        <w:t>языковую</w:t>
      </w:r>
      <w:r>
        <w:rPr>
          <w:spacing w:val="80"/>
        </w:rPr>
        <w:t> </w:t>
      </w:r>
      <w:r>
        <w:rPr/>
        <w:t>и</w:t>
      </w:r>
      <w:r>
        <w:rPr>
          <w:spacing w:val="80"/>
        </w:rPr>
        <w:t> </w:t>
      </w:r>
      <w:r>
        <w:rPr/>
        <w:t>социокультурную</w:t>
      </w:r>
      <w:r>
        <w:rPr>
          <w:spacing w:val="80"/>
        </w:rPr>
        <w:t> </w:t>
      </w:r>
      <w:r>
        <w:rPr/>
        <w:t>адаптацию </w:t>
      </w:r>
      <w:r>
        <w:rPr>
          <w:spacing w:val="-2"/>
        </w:rPr>
        <w:t>детей</w:t>
      </w:r>
      <w:r>
        <w:rPr/>
        <w:tab/>
      </w:r>
      <w:r>
        <w:rPr>
          <w:spacing w:val="-2"/>
        </w:rPr>
        <w:t>иностранных</w:t>
      </w:r>
      <w:r>
        <w:rPr/>
        <w:tab/>
        <w:tab/>
      </w:r>
      <w:r>
        <w:rPr>
          <w:spacing w:val="-2"/>
        </w:rPr>
        <w:t>граждан,</w:t>
      </w:r>
      <w:r>
        <w:rPr/>
        <w:tab/>
        <w:tab/>
      </w:r>
      <w:r>
        <w:rPr>
          <w:spacing w:val="-2"/>
        </w:rPr>
        <w:t>выступает</w:t>
      </w:r>
      <w:r>
        <w:rPr/>
        <w:tab/>
      </w:r>
      <w:r>
        <w:rPr>
          <w:spacing w:val="-2"/>
        </w:rPr>
        <w:t>формирование</w:t>
      </w:r>
      <w:r>
        <w:rPr/>
        <w:tab/>
        <w:tab/>
      </w:r>
      <w:r>
        <w:rPr>
          <w:spacing w:val="-2"/>
        </w:rPr>
        <w:t>инклюзивной </w:t>
      </w:r>
      <w:r>
        <w:rPr/>
        <w:t>образовательной</w:t>
      </w:r>
      <w:r>
        <w:rPr>
          <w:spacing w:val="80"/>
        </w:rPr>
        <w:t> </w:t>
      </w:r>
      <w:r>
        <w:rPr/>
        <w:t>среды,</w:t>
      </w:r>
      <w:r>
        <w:rPr>
          <w:spacing w:val="80"/>
        </w:rPr>
        <w:t> </w:t>
      </w:r>
      <w:r>
        <w:rPr/>
        <w:t>обеспечивающей</w:t>
      </w:r>
      <w:r>
        <w:rPr>
          <w:spacing w:val="80"/>
        </w:rPr>
        <w:t> </w:t>
      </w:r>
      <w:r>
        <w:rPr/>
        <w:t>включение</w:t>
      </w:r>
      <w:r>
        <w:rPr>
          <w:spacing w:val="80"/>
        </w:rPr>
        <w:t> </w:t>
      </w:r>
      <w:r>
        <w:rPr/>
        <w:t>детей</w:t>
      </w:r>
      <w:r>
        <w:rPr>
          <w:spacing w:val="80"/>
        </w:rPr>
        <w:t> </w:t>
      </w:r>
      <w:r>
        <w:rPr/>
        <w:t>иностранных граждан</w:t>
      </w:r>
      <w:r>
        <w:rPr>
          <w:spacing w:val="-7"/>
        </w:rPr>
        <w:t> </w:t>
      </w:r>
      <w:r>
        <w:rPr/>
        <w:t>в</w:t>
      </w:r>
      <w:r>
        <w:rPr>
          <w:spacing w:val="-7"/>
        </w:rPr>
        <w:t> </w:t>
      </w:r>
      <w:r>
        <w:rPr/>
        <w:t>российское</w:t>
      </w:r>
      <w:r>
        <w:rPr>
          <w:spacing w:val="-9"/>
        </w:rPr>
        <w:t> </w:t>
      </w:r>
      <w:r>
        <w:rPr/>
        <w:t>образовательное</w:t>
      </w:r>
      <w:r>
        <w:rPr>
          <w:spacing w:val="-9"/>
        </w:rPr>
        <w:t> </w:t>
      </w:r>
      <w:r>
        <w:rPr/>
        <w:t>пространство</w:t>
      </w:r>
      <w:r>
        <w:rPr>
          <w:spacing w:val="-9"/>
        </w:rPr>
        <w:t> </w:t>
      </w:r>
      <w:r>
        <w:rPr/>
        <w:t>с</w:t>
      </w:r>
      <w:r>
        <w:rPr>
          <w:spacing w:val="-6"/>
        </w:rPr>
        <w:t> </w:t>
      </w:r>
      <w:r>
        <w:rPr/>
        <w:t>сохранением</w:t>
      </w:r>
      <w:r>
        <w:rPr>
          <w:spacing w:val="-9"/>
        </w:rPr>
        <w:t> </w:t>
      </w:r>
      <w:r>
        <w:rPr>
          <w:spacing w:val="-2"/>
        </w:rPr>
        <w:t>культуры</w:t>
      </w:r>
    </w:p>
    <w:p>
      <w:pPr>
        <w:pStyle w:val="Heading4"/>
        <w:ind w:left="1702"/>
      </w:pPr>
      <w:r>
        <w:rPr/>
        <w:t>и</w:t>
      </w:r>
      <w:r>
        <w:rPr>
          <w:spacing w:val="-6"/>
        </w:rPr>
        <w:t> </w:t>
      </w:r>
      <w:r>
        <w:rPr/>
        <w:t>идентичности,</w:t>
      </w:r>
      <w:r>
        <w:rPr>
          <w:spacing w:val="-5"/>
        </w:rPr>
        <w:t> </w:t>
      </w:r>
      <w:r>
        <w:rPr/>
        <w:t>связанных</w:t>
      </w:r>
      <w:r>
        <w:rPr>
          <w:spacing w:val="-5"/>
        </w:rPr>
        <w:t> </w:t>
      </w:r>
      <w:r>
        <w:rPr/>
        <w:t>со</w:t>
      </w:r>
      <w:r>
        <w:rPr>
          <w:spacing w:val="-5"/>
        </w:rPr>
        <w:t> </w:t>
      </w:r>
      <w:r>
        <w:rPr/>
        <w:t>страной</w:t>
      </w:r>
      <w:r>
        <w:rPr>
          <w:spacing w:val="-5"/>
        </w:rPr>
        <w:t> </w:t>
      </w:r>
      <w:r>
        <w:rPr>
          <w:spacing w:val="-2"/>
        </w:rPr>
        <w:t>исхода.</w:t>
      </w:r>
    </w:p>
    <w:p>
      <w:pPr>
        <w:pStyle w:val="Heading4"/>
        <w:spacing w:line="276" w:lineRule="auto" w:before="44"/>
        <w:ind w:left="1702" w:right="846" w:firstLine="566"/>
      </w:pPr>
      <w:r>
        <w:rPr/>
        <w:t>Инклюзивная образовательная среда понимается как совокупность мер, процедур, программ, правил и действий, которые создают школьную культуру, где разнообразие человеческих потребностей и ценностей не мешает, а способствует успеху и воспринимается как норма. Такая среда обеспечивает процесс социальной инклюзии — достижения равных возможностей (независимо от пола, возраста, социального статуса, образования, этнической идентичности) для полноценного и активного участия в образовательном процессе.</w:t>
      </w:r>
    </w:p>
    <w:p>
      <w:pPr>
        <w:pStyle w:val="Heading4"/>
        <w:spacing w:line="276" w:lineRule="auto"/>
        <w:ind w:left="1702" w:right="847" w:firstLine="566"/>
      </w:pPr>
      <w:r>
        <w:rPr/>
        <w:t>В силу особенностей детей иностранных граждан, их потенциальной уязвимости, они сталкиваются с серьезными трудностями при обучении. Характеристики ребенка, которые определяют необходимость организации специальной психолого-педагогической помощи в развитии и обучении, принято называть особыми образовательными потребностями. Особые (дополнительные) образовательные потребности — это потребности в условиях для оптимальной реализации актуальных и потенциальных возможностей ребенка. Они могут быть связаны как с развитием отдельных психических функций ребенка, так и со спецификой его социализации.</w:t>
      </w:r>
    </w:p>
    <w:p>
      <w:pPr>
        <w:pStyle w:val="Heading4"/>
        <w:spacing w:line="276" w:lineRule="auto" w:before="1"/>
        <w:ind w:left="1702" w:right="843" w:firstLine="566"/>
      </w:pPr>
      <w:r>
        <w:rPr/>
        <w:t>Особые (дополнительные) образовательные потребности детей- мигрантов выделяются нами на основе причин возможных образовательных затруднений, которые могут присутствовать у данной группы обучающихся.</w:t>
      </w:r>
    </w:p>
    <w:p>
      <w:pPr>
        <w:pStyle w:val="Heading4"/>
        <w:spacing w:line="276" w:lineRule="auto" w:before="1"/>
        <w:ind w:left="1702" w:right="851" w:firstLine="566"/>
      </w:pPr>
      <w:r>
        <w:rPr/>
        <w:t>Первая — недостаточный уровень владения русским языком, препятствующий успешному освоению образовательной программы и </w:t>
      </w:r>
      <w:r>
        <w:rPr>
          <w:spacing w:val="-2"/>
        </w:rPr>
        <w:t>социализации.</w:t>
      </w:r>
    </w:p>
    <w:p>
      <w:pPr>
        <w:pStyle w:val="Heading4"/>
        <w:spacing w:line="276" w:lineRule="auto" w:before="1"/>
        <w:ind w:left="1702" w:right="847" w:firstLine="566"/>
      </w:pPr>
      <w:r>
        <w:rPr/>
        <w:t>Вторая — несоответствие уровня знаний, полученных в стране исхода, российским образовательным стандартам, несоответствие возраста и уровня знаний из-за разных требований и учебных программ.</w:t>
      </w:r>
    </w:p>
    <w:p>
      <w:pPr>
        <w:pStyle w:val="Heading4"/>
        <w:spacing w:after="0" w:line="276" w:lineRule="auto"/>
        <w:sectPr>
          <w:pgSz w:w="11910" w:h="16840"/>
          <w:pgMar w:header="0" w:footer="956" w:top="1040" w:bottom="1220" w:left="0" w:right="0"/>
        </w:sectPr>
      </w:pPr>
    </w:p>
    <w:p>
      <w:pPr>
        <w:pStyle w:val="Heading4"/>
        <w:spacing w:line="278" w:lineRule="auto" w:before="67"/>
        <w:ind w:left="1702" w:right="851" w:firstLine="566"/>
      </w:pPr>
      <w:r>
        <w:rPr/>
        <w:t>Третья — эмоциональные трудности, вызванные переживанием миграционного стресса.</w:t>
      </w:r>
    </w:p>
    <w:p>
      <w:pPr>
        <w:pStyle w:val="Heading4"/>
        <w:spacing w:line="276" w:lineRule="auto"/>
        <w:ind w:left="1702" w:right="849" w:firstLine="566"/>
      </w:pPr>
      <w:r>
        <w:rPr/>
        <w:t>Четвертая — отсутствие или нехватка социальных навыков, соответствующих</w:t>
      </w:r>
      <w:r>
        <w:rPr>
          <w:spacing w:val="-12"/>
        </w:rPr>
        <w:t> </w:t>
      </w:r>
      <w:r>
        <w:rPr/>
        <w:t>возрасту,</w:t>
      </w:r>
      <w:r>
        <w:rPr>
          <w:spacing w:val="-15"/>
        </w:rPr>
        <w:t> </w:t>
      </w:r>
      <w:r>
        <w:rPr/>
        <w:t>по</w:t>
      </w:r>
      <w:r>
        <w:rPr>
          <w:spacing w:val="-13"/>
        </w:rPr>
        <w:t> </w:t>
      </w:r>
      <w:r>
        <w:rPr/>
        <w:t>умолчанию</w:t>
      </w:r>
      <w:r>
        <w:rPr>
          <w:spacing w:val="-11"/>
        </w:rPr>
        <w:t> </w:t>
      </w:r>
      <w:r>
        <w:rPr/>
        <w:t>наличествующих</w:t>
      </w:r>
      <w:r>
        <w:rPr>
          <w:spacing w:val="-12"/>
        </w:rPr>
        <w:t> </w:t>
      </w:r>
      <w:r>
        <w:rPr/>
        <w:t>у</w:t>
      </w:r>
      <w:r>
        <w:rPr>
          <w:spacing w:val="-17"/>
        </w:rPr>
        <w:t> </w:t>
      </w:r>
      <w:r>
        <w:rPr/>
        <w:t>представителей принимающего общества.</w:t>
      </w:r>
    </w:p>
    <w:p>
      <w:pPr>
        <w:pStyle w:val="Heading4"/>
        <w:spacing w:line="276" w:lineRule="auto"/>
        <w:ind w:left="1702" w:right="853" w:firstLine="566"/>
      </w:pPr>
      <w:r>
        <w:rPr/>
        <w:t>Пятая — ориентация на нормы и правила культуры страны и региона исхода, отличающиеся от принятых в регионе обучения в России.</w:t>
      </w:r>
    </w:p>
    <w:p>
      <w:pPr>
        <w:pStyle w:val="Heading4"/>
        <w:spacing w:line="276" w:lineRule="auto"/>
        <w:ind w:left="1702" w:right="851" w:firstLine="566"/>
      </w:pPr>
      <w:r>
        <w:rPr/>
        <w:t>Эти характеристики по-разному проявлены у каждого конкретного ребенка</w:t>
      </w:r>
      <w:r>
        <w:rPr>
          <w:spacing w:val="-1"/>
        </w:rPr>
        <w:t> </w:t>
      </w:r>
      <w:r>
        <w:rPr/>
        <w:t>и</w:t>
      </w:r>
      <w:r>
        <w:rPr>
          <w:spacing w:val="-1"/>
        </w:rPr>
        <w:t> </w:t>
      </w:r>
      <w:r>
        <w:rPr/>
        <w:t>могут</w:t>
      </w:r>
      <w:r>
        <w:rPr>
          <w:spacing w:val="-2"/>
        </w:rPr>
        <w:t> </w:t>
      </w:r>
      <w:r>
        <w:rPr/>
        <w:t>быть учтены</w:t>
      </w:r>
      <w:r>
        <w:rPr>
          <w:spacing w:val="-1"/>
        </w:rPr>
        <w:t> </w:t>
      </w:r>
      <w:r>
        <w:rPr/>
        <w:t>системой</w:t>
      </w:r>
      <w:r>
        <w:rPr>
          <w:spacing w:val="-1"/>
        </w:rPr>
        <w:t> </w:t>
      </w:r>
      <w:r>
        <w:rPr/>
        <w:t>образования</w:t>
      </w:r>
      <w:r>
        <w:rPr>
          <w:spacing w:val="-1"/>
        </w:rPr>
        <w:t> </w:t>
      </w:r>
      <w:r>
        <w:rPr/>
        <w:t>только</w:t>
      </w:r>
      <w:r>
        <w:rPr>
          <w:spacing w:val="-2"/>
        </w:rPr>
        <w:t> </w:t>
      </w:r>
      <w:r>
        <w:rPr/>
        <w:t>с</w:t>
      </w:r>
      <w:r>
        <w:rPr>
          <w:spacing w:val="-2"/>
        </w:rPr>
        <w:t> </w:t>
      </w:r>
      <w:r>
        <w:rPr/>
        <w:t>использованием социально-инклюзивного подхода.</w:t>
      </w:r>
    </w:p>
    <w:p>
      <w:pPr>
        <w:pStyle w:val="Heading4"/>
        <w:spacing w:line="276" w:lineRule="auto"/>
        <w:ind w:left="1702" w:right="849" w:firstLine="566"/>
      </w:pPr>
      <w:r>
        <w:rPr/>
        <w:t>Таким образом, работу по социализации и языковой адаптации детей иностранных граждан, обучающихся в российских общеобразовательных учреждениях,</w:t>
      </w:r>
      <w:r>
        <w:rPr>
          <w:spacing w:val="6"/>
        </w:rPr>
        <w:t> </w:t>
      </w:r>
      <w:r>
        <w:rPr/>
        <w:t>можно</w:t>
      </w:r>
      <w:r>
        <w:rPr>
          <w:spacing w:val="11"/>
        </w:rPr>
        <w:t> </w:t>
      </w:r>
      <w:r>
        <w:rPr/>
        <w:t>организовывать,</w:t>
      </w:r>
      <w:r>
        <w:rPr>
          <w:spacing w:val="8"/>
        </w:rPr>
        <w:t> </w:t>
      </w:r>
      <w:r>
        <w:rPr/>
        <w:t>с</w:t>
      </w:r>
      <w:r>
        <w:rPr>
          <w:spacing w:val="7"/>
        </w:rPr>
        <w:t> </w:t>
      </w:r>
      <w:r>
        <w:rPr/>
        <w:t>одной</w:t>
      </w:r>
      <w:r>
        <w:rPr>
          <w:spacing w:val="9"/>
        </w:rPr>
        <w:t> </w:t>
      </w:r>
      <w:r>
        <w:rPr/>
        <w:t>стороны,</w:t>
      </w:r>
      <w:r>
        <w:rPr>
          <w:spacing w:val="11"/>
        </w:rPr>
        <w:t> </w:t>
      </w:r>
      <w:r>
        <w:rPr/>
        <w:t>системно,</w:t>
      </w:r>
      <w:r>
        <w:rPr>
          <w:spacing w:val="9"/>
        </w:rPr>
        <w:t> </w:t>
      </w:r>
      <w:r>
        <w:rPr/>
        <w:t>а</w:t>
      </w:r>
      <w:r>
        <w:rPr>
          <w:spacing w:val="9"/>
        </w:rPr>
        <w:t> </w:t>
      </w:r>
      <w:r>
        <w:rPr/>
        <w:t>с</w:t>
      </w:r>
      <w:r>
        <w:rPr>
          <w:spacing w:val="10"/>
        </w:rPr>
        <w:t> </w:t>
      </w:r>
      <w:r>
        <w:rPr>
          <w:spacing w:val="-2"/>
        </w:rPr>
        <w:t>другой</w:t>
      </w:r>
    </w:p>
    <w:p>
      <w:pPr>
        <w:pStyle w:val="Heading4"/>
        <w:spacing w:line="276" w:lineRule="auto"/>
        <w:ind w:left="1702" w:right="851"/>
      </w:pPr>
      <w:r>
        <w:rPr/>
        <w:t>— с учетом индивидуальных особенностей социальной ситуации каждого </w:t>
      </w:r>
      <w:r>
        <w:rPr>
          <w:spacing w:val="-2"/>
        </w:rPr>
        <w:t>ребенка.</w:t>
      </w:r>
    </w:p>
    <w:p>
      <w:pPr>
        <w:pStyle w:val="Heading4"/>
        <w:spacing w:line="276" w:lineRule="auto"/>
        <w:ind w:left="1702" w:right="845" w:firstLine="566"/>
      </w:pPr>
      <w:r>
        <w:rPr/>
        <w:t>В</w:t>
      </w:r>
      <w:r>
        <w:rPr>
          <w:spacing w:val="-16"/>
        </w:rPr>
        <w:t> </w:t>
      </w:r>
      <w:r>
        <w:rPr/>
        <w:t>первой</w:t>
      </w:r>
      <w:r>
        <w:rPr>
          <w:spacing w:val="-15"/>
        </w:rPr>
        <w:t> </w:t>
      </w:r>
      <w:r>
        <w:rPr/>
        <w:t>главе</w:t>
      </w:r>
      <w:r>
        <w:rPr>
          <w:spacing w:val="-16"/>
        </w:rPr>
        <w:t> </w:t>
      </w:r>
      <w:r>
        <w:rPr/>
        <w:t>представлено</w:t>
      </w:r>
      <w:r>
        <w:rPr>
          <w:spacing w:val="-14"/>
        </w:rPr>
        <w:t> </w:t>
      </w:r>
      <w:r>
        <w:rPr/>
        <w:t>описание</w:t>
      </w:r>
      <w:r>
        <w:rPr>
          <w:spacing w:val="-14"/>
        </w:rPr>
        <w:t> </w:t>
      </w:r>
      <w:r>
        <w:rPr/>
        <w:t>социально-инклюзивного</w:t>
      </w:r>
      <w:r>
        <w:rPr>
          <w:spacing w:val="-15"/>
        </w:rPr>
        <w:t> </w:t>
      </w:r>
      <w:r>
        <w:rPr/>
        <w:t>подхода к интеграции детей-мигрантов в образовательной среде, на чем основывается программа психолого-педагогической оценки особых образовательных потребностей ребенка-мигранта.</w:t>
      </w:r>
    </w:p>
    <w:p>
      <w:pPr>
        <w:pStyle w:val="Heading4"/>
        <w:spacing w:line="276" w:lineRule="auto"/>
        <w:ind w:left="1702" w:right="847" w:firstLine="566"/>
      </w:pPr>
      <w:r>
        <w:rPr/>
        <w:t>Во второй главе речь идет о том, как социально-инклюзивный подход применяется к анализу особых (дополнительных) образовательных потребностей детей-мигрантов</w:t>
      </w:r>
    </w:p>
    <w:p>
      <w:pPr>
        <w:pStyle w:val="Heading4"/>
        <w:spacing w:line="276" w:lineRule="auto"/>
        <w:ind w:left="1702" w:right="849" w:firstLine="566"/>
      </w:pPr>
      <w:r>
        <w:rPr/>
        <w:t>В третьей главе развернуто представлен подход к оценке особых образовательных потребностей ребенка-мигранта в областях психологического благополучия, социальных навыков и культурной </w:t>
      </w:r>
      <w:r>
        <w:rPr>
          <w:spacing w:val="-2"/>
        </w:rPr>
        <w:t>адаптации.</w:t>
      </w:r>
    </w:p>
    <w:p>
      <w:pPr>
        <w:pStyle w:val="Heading4"/>
        <w:spacing w:line="276" w:lineRule="auto"/>
        <w:ind w:left="1702" w:right="846" w:firstLine="566"/>
      </w:pPr>
      <w:r>
        <w:rPr/>
        <w:t>Концепция подготовлена в рамках работы по организации Федеральным государственным</w:t>
      </w:r>
      <w:r>
        <w:rPr>
          <w:spacing w:val="66"/>
        </w:rPr>
        <w:t>   </w:t>
      </w:r>
      <w:r>
        <w:rPr/>
        <w:t>бюджетным</w:t>
      </w:r>
      <w:r>
        <w:rPr>
          <w:spacing w:val="68"/>
        </w:rPr>
        <w:t>   </w:t>
      </w:r>
      <w:r>
        <w:rPr/>
        <w:t>учреждением</w:t>
      </w:r>
      <w:r>
        <w:rPr>
          <w:spacing w:val="67"/>
        </w:rPr>
        <w:t>   </w:t>
      </w:r>
      <w:r>
        <w:rPr/>
        <w:t>высшего</w:t>
      </w:r>
      <w:r>
        <w:rPr>
          <w:spacing w:val="67"/>
        </w:rPr>
        <w:t>   </w:t>
      </w:r>
      <w:r>
        <w:rPr>
          <w:spacing w:val="-2"/>
        </w:rPr>
        <w:t>образования</w:t>
      </w:r>
    </w:p>
    <w:p>
      <w:pPr>
        <w:pStyle w:val="Heading4"/>
        <w:spacing w:line="276" w:lineRule="auto"/>
        <w:ind w:left="1702" w:right="847"/>
      </w:pPr>
      <w:r>
        <w:rPr/>
        <w:t>«Московский государственный психолого-педагогический университет» общественно значимых мероприятий в сфере образования, науки и молодежной политики.</w:t>
      </w:r>
    </w:p>
    <w:p>
      <w:pPr>
        <w:pStyle w:val="Heading4"/>
        <w:spacing w:after="0" w:line="276" w:lineRule="auto"/>
        <w:sectPr>
          <w:pgSz w:w="11910" w:h="16840"/>
          <w:pgMar w:header="0" w:footer="956" w:top="1040" w:bottom="1220" w:left="0" w:right="0"/>
        </w:sectPr>
      </w:pPr>
    </w:p>
    <w:p>
      <w:pPr>
        <w:spacing w:line="278" w:lineRule="auto" w:before="72"/>
        <w:ind w:left="3715" w:right="1945" w:hanging="920"/>
        <w:jc w:val="left"/>
        <w:rPr>
          <w:b/>
          <w:sz w:val="28"/>
        </w:rPr>
      </w:pPr>
      <w:bookmarkStart w:name="_bookmark0" w:id="2"/>
      <w:bookmarkEnd w:id="2"/>
      <w:r>
        <w:rPr/>
      </w:r>
      <w:r>
        <w:rPr>
          <w:b/>
          <w:sz w:val="28"/>
        </w:rPr>
        <w:t>Глава</w:t>
      </w:r>
      <w:r>
        <w:rPr>
          <w:b/>
          <w:spacing w:val="-5"/>
          <w:sz w:val="28"/>
        </w:rPr>
        <w:t> </w:t>
      </w:r>
      <w:r>
        <w:rPr>
          <w:b/>
          <w:sz w:val="28"/>
        </w:rPr>
        <w:t>1.</w:t>
      </w:r>
      <w:r>
        <w:rPr>
          <w:b/>
          <w:spacing w:val="-6"/>
          <w:sz w:val="28"/>
        </w:rPr>
        <w:t> </w:t>
      </w:r>
      <w:r>
        <w:rPr>
          <w:b/>
          <w:sz w:val="28"/>
        </w:rPr>
        <w:t>Социально-инклюзивный</w:t>
      </w:r>
      <w:r>
        <w:rPr>
          <w:b/>
          <w:spacing w:val="-7"/>
          <w:sz w:val="28"/>
        </w:rPr>
        <w:t> </w:t>
      </w:r>
      <w:r>
        <w:rPr>
          <w:b/>
          <w:sz w:val="28"/>
        </w:rPr>
        <w:t>подход</w:t>
      </w:r>
      <w:r>
        <w:rPr>
          <w:b/>
          <w:spacing w:val="-7"/>
          <w:sz w:val="28"/>
        </w:rPr>
        <w:t> </w:t>
      </w:r>
      <w:r>
        <w:rPr>
          <w:b/>
          <w:sz w:val="28"/>
        </w:rPr>
        <w:t>и</w:t>
      </w:r>
      <w:r>
        <w:rPr>
          <w:b/>
          <w:spacing w:val="-7"/>
          <w:sz w:val="28"/>
        </w:rPr>
        <w:t> </w:t>
      </w:r>
      <w:r>
        <w:rPr>
          <w:b/>
          <w:sz w:val="28"/>
        </w:rPr>
        <w:t>интеграция </w:t>
      </w:r>
      <w:bookmarkStart w:name="_bookmark1" w:id="3"/>
      <w:bookmarkEnd w:id="3"/>
      <w:r>
        <w:rPr>
          <w:b/>
          <w:sz w:val="28"/>
        </w:rPr>
        <w:t>де</w:t>
      </w:r>
      <w:r>
        <w:rPr>
          <w:b/>
          <w:sz w:val="28"/>
        </w:rPr>
        <w:t>тей-мигрантов в образовательной среде</w:t>
      </w:r>
    </w:p>
    <w:p>
      <w:pPr>
        <w:pStyle w:val="BodyText"/>
        <w:spacing w:before="36"/>
        <w:ind w:left="0" w:right="0" w:firstLine="0"/>
        <w:jc w:val="left"/>
        <w:rPr>
          <w:b/>
          <w:sz w:val="28"/>
        </w:rPr>
      </w:pPr>
    </w:p>
    <w:p>
      <w:pPr>
        <w:spacing w:line="276" w:lineRule="auto" w:before="0"/>
        <w:ind w:left="1702" w:right="849" w:firstLine="566"/>
        <w:jc w:val="both"/>
        <w:rPr>
          <w:sz w:val="28"/>
        </w:rPr>
      </w:pPr>
      <w:r>
        <w:rPr>
          <w:sz w:val="28"/>
        </w:rPr>
        <w:t>В современной психологии </w:t>
      </w:r>
      <w:r>
        <w:rPr>
          <w:sz w:val="32"/>
        </w:rPr>
        <w:t>процесс вхождения в новую культуру обозначен специфическим термином </w:t>
      </w:r>
      <w:r>
        <w:rPr>
          <w:sz w:val="28"/>
        </w:rPr>
        <w:t>– аккультурация.</w:t>
      </w:r>
      <w:r>
        <w:rPr>
          <w:spacing w:val="40"/>
          <w:sz w:val="28"/>
        </w:rPr>
        <w:t> </w:t>
      </w:r>
      <w:r>
        <w:rPr>
          <w:sz w:val="28"/>
        </w:rPr>
        <w:t>Дж. Берри с коллегами описывает особую форму культурной трансмиссии, которую они называют</w:t>
      </w:r>
      <w:r>
        <w:rPr>
          <w:spacing w:val="-18"/>
          <w:sz w:val="28"/>
        </w:rPr>
        <w:t> </w:t>
      </w:r>
      <w:r>
        <w:rPr>
          <w:sz w:val="28"/>
        </w:rPr>
        <w:t>аккультурационной,</w:t>
      </w:r>
      <w:r>
        <w:rPr>
          <w:spacing w:val="-17"/>
          <w:sz w:val="28"/>
        </w:rPr>
        <w:t> </w:t>
      </w:r>
      <w:r>
        <w:rPr>
          <w:sz w:val="28"/>
        </w:rPr>
        <w:t>которая</w:t>
      </w:r>
      <w:r>
        <w:rPr>
          <w:spacing w:val="-18"/>
          <w:sz w:val="28"/>
        </w:rPr>
        <w:t> </w:t>
      </w:r>
      <w:r>
        <w:rPr>
          <w:sz w:val="28"/>
        </w:rPr>
        <w:t>«осуществляется</w:t>
      </w:r>
      <w:r>
        <w:rPr>
          <w:spacing w:val="-17"/>
          <w:sz w:val="28"/>
        </w:rPr>
        <w:t> </w:t>
      </w:r>
      <w:r>
        <w:rPr>
          <w:sz w:val="28"/>
        </w:rPr>
        <w:t>в</w:t>
      </w:r>
      <w:r>
        <w:rPr>
          <w:spacing w:val="-18"/>
          <w:sz w:val="28"/>
        </w:rPr>
        <w:t> </w:t>
      </w:r>
      <w:r>
        <w:rPr>
          <w:sz w:val="28"/>
        </w:rPr>
        <w:t>результате</w:t>
      </w:r>
      <w:r>
        <w:rPr>
          <w:spacing w:val="-17"/>
          <w:sz w:val="28"/>
        </w:rPr>
        <w:t> </w:t>
      </w:r>
      <w:r>
        <w:rPr>
          <w:sz w:val="28"/>
        </w:rPr>
        <w:t>контакта индивида</w:t>
      </w:r>
      <w:r>
        <w:rPr>
          <w:spacing w:val="-14"/>
          <w:sz w:val="28"/>
        </w:rPr>
        <w:t> </w:t>
      </w:r>
      <w:r>
        <w:rPr>
          <w:sz w:val="28"/>
        </w:rPr>
        <w:t>с</w:t>
      </w:r>
      <w:r>
        <w:rPr>
          <w:spacing w:val="-14"/>
          <w:sz w:val="28"/>
        </w:rPr>
        <w:t> </w:t>
      </w:r>
      <w:r>
        <w:rPr>
          <w:sz w:val="28"/>
        </w:rPr>
        <w:t>людьми</w:t>
      </w:r>
      <w:r>
        <w:rPr>
          <w:spacing w:val="-16"/>
          <w:sz w:val="28"/>
        </w:rPr>
        <w:t> </w:t>
      </w:r>
      <w:r>
        <w:rPr>
          <w:sz w:val="28"/>
        </w:rPr>
        <w:t>(институтами),</w:t>
      </w:r>
      <w:r>
        <w:rPr>
          <w:spacing w:val="-14"/>
          <w:sz w:val="28"/>
        </w:rPr>
        <w:t> </w:t>
      </w:r>
      <w:r>
        <w:rPr>
          <w:sz w:val="28"/>
        </w:rPr>
        <w:t>которые</w:t>
      </w:r>
      <w:r>
        <w:rPr>
          <w:spacing w:val="-16"/>
          <w:sz w:val="28"/>
        </w:rPr>
        <w:t> </w:t>
      </w:r>
      <w:r>
        <w:rPr>
          <w:sz w:val="28"/>
        </w:rPr>
        <w:t>принадлежат</w:t>
      </w:r>
      <w:r>
        <w:rPr>
          <w:spacing w:val="-10"/>
          <w:sz w:val="28"/>
        </w:rPr>
        <w:t> </w:t>
      </w:r>
      <w:r>
        <w:rPr>
          <w:sz w:val="28"/>
        </w:rPr>
        <w:t>к</w:t>
      </w:r>
      <w:r>
        <w:rPr>
          <w:spacing w:val="-16"/>
          <w:sz w:val="28"/>
        </w:rPr>
        <w:t> </w:t>
      </w:r>
      <w:r>
        <w:rPr>
          <w:sz w:val="28"/>
        </w:rPr>
        <w:t>другим</w:t>
      </w:r>
      <w:r>
        <w:rPr>
          <w:spacing w:val="-15"/>
          <w:sz w:val="28"/>
        </w:rPr>
        <w:t> </w:t>
      </w:r>
      <w:r>
        <w:rPr>
          <w:sz w:val="28"/>
        </w:rPr>
        <w:t>культурам, отличающимся от его собственной культуры, и находятся под их влиянием» (</w:t>
      </w:r>
      <w:r>
        <w:rPr>
          <w:i/>
          <w:sz w:val="28"/>
        </w:rPr>
        <w:t>Берри</w:t>
      </w:r>
      <w:r>
        <w:rPr>
          <w:sz w:val="28"/>
        </w:rPr>
        <w:t>, </w:t>
      </w:r>
      <w:r>
        <w:rPr>
          <w:i/>
          <w:sz w:val="28"/>
        </w:rPr>
        <w:t>Пуртинга, Сигал, </w:t>
      </w:r>
      <w:r>
        <w:rPr>
          <w:sz w:val="28"/>
        </w:rPr>
        <w:t>2007).</w:t>
      </w:r>
    </w:p>
    <w:p>
      <w:pPr>
        <w:pStyle w:val="Heading4"/>
        <w:spacing w:line="276" w:lineRule="auto" w:before="2"/>
        <w:ind w:left="1702" w:right="846" w:firstLine="566"/>
      </w:pPr>
      <w:r>
        <w:rPr/>
        <w:t>Принято выделять четыре стратегии аккультурации: разных способов взаимодействия мигрантов и принимающего общества: ассимиляция, сепарация, маргинализация и интеграция.</w:t>
      </w:r>
    </w:p>
    <w:p>
      <w:pPr>
        <w:pStyle w:val="Heading4"/>
        <w:spacing w:line="276" w:lineRule="auto" w:before="1"/>
        <w:ind w:left="1702" w:right="846" w:firstLine="566"/>
      </w:pPr>
      <w:r>
        <w:rPr/>
        <w:t>Ассимиляция — это постепенное добровольное или принудительное принятие обычаев, верований, норм принимающего общества, вплоть до полного растворения в нем (</w:t>
      </w:r>
      <w:r>
        <w:rPr>
          <w:i/>
        </w:rPr>
        <w:t>Стефаненко</w:t>
      </w:r>
      <w:r>
        <w:rPr/>
        <w:t>, 2014). Она случается, когда мигранты не желают поддерживать свою культурную идентичность и стремятся к повседневному взаимодействию с культурой страны/региона нового проживания (</w:t>
      </w:r>
      <w:r>
        <w:rPr>
          <w:i/>
        </w:rPr>
        <w:t>Берри, Пуртинга, Сигал</w:t>
      </w:r>
      <w:r>
        <w:rPr/>
        <w:t>, 2007). В этом случае мигрант полностью идентифицируется с новой культурой и отрицает культуру этнического меньшинства, к которому принадлежит (</w:t>
      </w:r>
      <w:r>
        <w:rPr>
          <w:i/>
        </w:rPr>
        <w:t>Лебедева</w:t>
      </w:r>
      <w:r>
        <w:rPr/>
        <w:t>, 2011).</w:t>
      </w:r>
    </w:p>
    <w:p>
      <w:pPr>
        <w:pStyle w:val="Heading4"/>
        <w:tabs>
          <w:tab w:pos="8912" w:val="left" w:leader="none"/>
          <w:tab w:pos="10617" w:val="left" w:leader="none"/>
        </w:tabs>
        <w:spacing w:line="276" w:lineRule="auto"/>
        <w:ind w:left="1702" w:right="845" w:firstLine="566"/>
      </w:pPr>
      <w:r>
        <w:rPr/>
        <w:t>Сепарация — полная противоположность ассимиляции, при которой люди придают значение сохранению своей собственной культуры и в то же время хотят избежать взаимодействия с другими культурами (</w:t>
      </w:r>
      <w:r>
        <w:rPr>
          <w:i/>
        </w:rPr>
        <w:t>Берри, Пуртинга, Сигал, </w:t>
      </w:r>
      <w:r>
        <w:rPr/>
        <w:t>2007). Мигранты отрицают культуру большинства и сохраняют свои этнические особенности (</w:t>
      </w:r>
      <w:r>
        <w:rPr>
          <w:i/>
        </w:rPr>
        <w:t>Лебедева</w:t>
      </w:r>
      <w:r>
        <w:rPr/>
        <w:t>,</w:t>
        <w:tab/>
      </w:r>
      <w:r>
        <w:rPr>
          <w:spacing w:val="-2"/>
        </w:rPr>
        <w:t>2011),</w:t>
      </w:r>
      <w:r>
        <w:rPr/>
        <w:tab/>
      </w:r>
      <w:r>
        <w:rPr>
          <w:spacing w:val="-4"/>
        </w:rPr>
        <w:t>они </w:t>
      </w:r>
      <w:r>
        <w:rPr/>
        <w:t>ориентированы на раздельное, обособленное существование с минимальным контактом с принимающим обществом (</w:t>
      </w:r>
      <w:r>
        <w:rPr>
          <w:i/>
        </w:rPr>
        <w:t>Стефаненко</w:t>
      </w:r>
      <w:r>
        <w:rPr/>
        <w:t>, 2014).</w:t>
      </w:r>
    </w:p>
    <w:p>
      <w:pPr>
        <w:pStyle w:val="Heading4"/>
        <w:spacing w:line="276" w:lineRule="auto"/>
        <w:ind w:left="1702" w:right="852" w:firstLine="566"/>
      </w:pPr>
      <w:r>
        <w:rPr/>
        <w:t>Маргинализация происходит тогда, когда мигранты не идентифицируют себя ни с культурой этнического меньшинства, ни с культурой этнического большинства (</w:t>
      </w:r>
      <w:r>
        <w:rPr>
          <w:i/>
        </w:rPr>
        <w:t>Стефаненко</w:t>
      </w:r>
      <w:r>
        <w:rPr/>
        <w:t>, 2014). При этом у них мало возможностей или заинтересованности в сохранении своей культуры (часто по причине ее вынужденной</w:t>
      </w:r>
      <w:r>
        <w:rPr>
          <w:spacing w:val="-4"/>
        </w:rPr>
        <w:t> </w:t>
      </w:r>
      <w:r>
        <w:rPr/>
        <w:t>потери)</w:t>
      </w:r>
      <w:r>
        <w:rPr>
          <w:spacing w:val="-3"/>
        </w:rPr>
        <w:t> </w:t>
      </w:r>
      <w:r>
        <w:rPr/>
        <w:t>и</w:t>
      </w:r>
      <w:r>
        <w:rPr>
          <w:spacing w:val="-4"/>
        </w:rPr>
        <w:t> </w:t>
      </w:r>
      <w:r>
        <w:rPr/>
        <w:t>незначительная</w:t>
      </w:r>
      <w:r>
        <w:rPr>
          <w:spacing w:val="-5"/>
        </w:rPr>
        <w:t> </w:t>
      </w:r>
      <w:r>
        <w:rPr/>
        <w:t>заинтересованность</w:t>
      </w:r>
      <w:r>
        <w:rPr>
          <w:spacing w:val="-6"/>
        </w:rPr>
        <w:t> </w:t>
      </w:r>
      <w:r>
        <w:rPr/>
        <w:t>во</w:t>
      </w:r>
      <w:r>
        <w:rPr>
          <w:spacing w:val="-2"/>
        </w:rPr>
        <w:t> </w:t>
      </w:r>
      <w:r>
        <w:rPr/>
        <w:t>взаимосвязи</w:t>
      </w:r>
      <w:r>
        <w:rPr>
          <w:spacing w:val="-4"/>
        </w:rPr>
        <w:t> </w:t>
      </w:r>
      <w:r>
        <w:rPr/>
        <w:t>с другими группами (часто по причине исключения или дискриминации) (</w:t>
      </w:r>
      <w:r>
        <w:rPr>
          <w:i/>
        </w:rPr>
        <w:t>Берри, Пуртинга, Сигал</w:t>
      </w:r>
      <w:r>
        <w:rPr/>
        <w:t>, 2007).</w:t>
      </w:r>
    </w:p>
    <w:p>
      <w:pPr>
        <w:pStyle w:val="Heading4"/>
        <w:spacing w:before="1"/>
        <w:ind w:left="1702" w:right="848" w:firstLine="566"/>
      </w:pPr>
      <w:r>
        <w:rPr>
          <w:i/>
        </w:rPr>
        <w:t>Интеграция </w:t>
      </w:r>
      <w:r>
        <w:rPr/>
        <w:t>— стратегия, при которой для человека одинаково важно поддерживать связь и с исходной, и с новой культурой. Он определяет себя в логике бикультурализма и легко устанавливает межкультурные связи (</w:t>
      </w:r>
      <w:r>
        <w:rPr>
          <w:i/>
        </w:rPr>
        <w:t>Лебедева, Татарко, </w:t>
      </w:r>
      <w:r>
        <w:rPr/>
        <w:t>2009).</w:t>
      </w:r>
    </w:p>
    <w:p>
      <w:pPr>
        <w:pStyle w:val="Heading4"/>
        <w:spacing w:after="0"/>
        <w:sectPr>
          <w:pgSz w:w="11910" w:h="16840"/>
          <w:pgMar w:header="0" w:footer="956" w:top="1040" w:bottom="1220" w:left="0" w:right="0"/>
        </w:sectPr>
      </w:pPr>
    </w:p>
    <w:p>
      <w:pPr>
        <w:pStyle w:val="Heading4"/>
        <w:spacing w:line="276" w:lineRule="auto" w:before="67"/>
        <w:ind w:left="1702" w:right="856" w:firstLine="566"/>
      </w:pPr>
      <w:r>
        <w:rPr/>
        <w:t>Интеграция становится выбором для мигрантов, когда существует обоюдная</w:t>
      </w:r>
      <w:r>
        <w:rPr>
          <w:spacing w:val="80"/>
          <w:w w:val="150"/>
        </w:rPr>
        <w:t> </w:t>
      </w:r>
      <w:r>
        <w:rPr/>
        <w:t>заинтересованность</w:t>
      </w:r>
      <w:r>
        <w:rPr>
          <w:spacing w:val="80"/>
          <w:w w:val="150"/>
        </w:rPr>
        <w:t> </w:t>
      </w:r>
      <w:r>
        <w:rPr/>
        <w:t>в</w:t>
      </w:r>
      <w:r>
        <w:rPr>
          <w:spacing w:val="80"/>
          <w:w w:val="150"/>
        </w:rPr>
        <w:t> </w:t>
      </w:r>
      <w:r>
        <w:rPr/>
        <w:t>сохранении</w:t>
      </w:r>
      <w:r>
        <w:rPr>
          <w:spacing w:val="80"/>
          <w:w w:val="150"/>
        </w:rPr>
        <w:t> </w:t>
      </w:r>
      <w:r>
        <w:rPr/>
        <w:t>первоначальной</w:t>
      </w:r>
      <w:r>
        <w:rPr>
          <w:spacing w:val="80"/>
          <w:w w:val="150"/>
        </w:rPr>
        <w:t> </w:t>
      </w:r>
      <w:r>
        <w:rPr/>
        <w:t>культуры</w:t>
      </w:r>
      <w:r>
        <w:rPr>
          <w:spacing w:val="80"/>
          <w:w w:val="150"/>
        </w:rPr>
        <w:t> </w:t>
      </w:r>
      <w:r>
        <w:rPr/>
        <w:t>и включении в принимающее общество (</w:t>
      </w:r>
      <w:r>
        <w:rPr>
          <w:i/>
        </w:rPr>
        <w:t>Берри, Пуртинга, Сигал</w:t>
      </w:r>
      <w:r>
        <w:rPr/>
        <w:t>, 2007).</w:t>
      </w:r>
    </w:p>
    <w:p>
      <w:pPr>
        <w:pStyle w:val="Heading4"/>
        <w:spacing w:line="276" w:lineRule="auto" w:before="1"/>
        <w:ind w:left="1702" w:right="848" w:firstLine="566"/>
      </w:pPr>
      <w:r>
        <w:rPr/>
        <w:t>Интеграция</w:t>
      </w:r>
      <w:r>
        <w:rPr>
          <w:spacing w:val="-18"/>
        </w:rPr>
        <w:t> </w:t>
      </w:r>
      <w:r>
        <w:rPr/>
        <w:t>существенно</w:t>
      </w:r>
      <w:r>
        <w:rPr>
          <w:spacing w:val="-17"/>
        </w:rPr>
        <w:t> </w:t>
      </w:r>
      <w:r>
        <w:rPr/>
        <w:t>отличается</w:t>
      </w:r>
      <w:r>
        <w:rPr>
          <w:spacing w:val="-18"/>
        </w:rPr>
        <w:t> </w:t>
      </w:r>
      <w:r>
        <w:rPr/>
        <w:t>от</w:t>
      </w:r>
      <w:r>
        <w:rPr>
          <w:spacing w:val="-17"/>
        </w:rPr>
        <w:t> </w:t>
      </w:r>
      <w:r>
        <w:rPr/>
        <w:t>других</w:t>
      </w:r>
      <w:r>
        <w:rPr>
          <w:spacing w:val="-18"/>
        </w:rPr>
        <w:t> </w:t>
      </w:r>
      <w:r>
        <w:rPr/>
        <w:t>стратегий</w:t>
      </w:r>
      <w:r>
        <w:rPr>
          <w:spacing w:val="-17"/>
        </w:rPr>
        <w:t> </w:t>
      </w:r>
      <w:r>
        <w:rPr/>
        <w:t>взаимодействия мигрантов и принимающего общества, в той или иной степени снижающих эффективность</w:t>
      </w:r>
      <w:r>
        <w:rPr>
          <w:spacing w:val="80"/>
          <w:w w:val="150"/>
        </w:rPr>
        <w:t>   </w:t>
      </w:r>
      <w:r>
        <w:rPr/>
        <w:t>процесса</w:t>
      </w:r>
      <w:r>
        <w:rPr>
          <w:spacing w:val="80"/>
          <w:w w:val="150"/>
        </w:rPr>
        <w:t>   </w:t>
      </w:r>
      <w:r>
        <w:rPr/>
        <w:t>адаптации:</w:t>
      </w:r>
      <w:r>
        <w:rPr>
          <w:spacing w:val="80"/>
          <w:w w:val="150"/>
        </w:rPr>
        <w:t>   </w:t>
      </w:r>
      <w:r>
        <w:rPr/>
        <w:t>ассимиляции,</w:t>
      </w:r>
      <w:r>
        <w:rPr>
          <w:spacing w:val="80"/>
          <w:w w:val="150"/>
        </w:rPr>
        <w:t>   </w:t>
      </w:r>
      <w:r>
        <w:rPr/>
        <w:t>сепарации и маргинализации.</w:t>
      </w:r>
    </w:p>
    <w:p>
      <w:pPr>
        <w:pStyle w:val="Heading4"/>
        <w:spacing w:line="278" w:lineRule="auto"/>
        <w:ind w:left="1702" w:right="853" w:firstLine="566"/>
      </w:pPr>
      <w:r>
        <w:rPr/>
        <w:t>В</w:t>
      </w:r>
      <w:r>
        <w:rPr>
          <w:spacing w:val="80"/>
        </w:rPr>
        <w:t>  </w:t>
      </w:r>
      <w:r>
        <w:rPr/>
        <w:t>международной</w:t>
      </w:r>
      <w:r>
        <w:rPr>
          <w:spacing w:val="80"/>
        </w:rPr>
        <w:t>  </w:t>
      </w:r>
      <w:r>
        <w:rPr/>
        <w:t>практике</w:t>
      </w:r>
      <w:r>
        <w:rPr>
          <w:spacing w:val="80"/>
        </w:rPr>
        <w:t>  </w:t>
      </w:r>
      <w:r>
        <w:rPr/>
        <w:t>используется</w:t>
      </w:r>
      <w:r>
        <w:rPr>
          <w:spacing w:val="69"/>
          <w:w w:val="150"/>
        </w:rPr>
        <w:t>  </w:t>
      </w:r>
      <w:r>
        <w:rPr/>
        <w:t>следующий</w:t>
      </w:r>
      <w:r>
        <w:rPr>
          <w:spacing w:val="80"/>
        </w:rPr>
        <w:t>  </w:t>
      </w:r>
      <w:r>
        <w:rPr/>
        <w:t>подход</w:t>
      </w:r>
      <w:r>
        <w:rPr>
          <w:spacing w:val="80"/>
        </w:rPr>
        <w:t> </w:t>
      </w:r>
      <w:r>
        <w:rPr/>
        <w:t>к определению интеграции.</w:t>
      </w:r>
    </w:p>
    <w:p>
      <w:pPr>
        <w:pStyle w:val="Heading4"/>
        <w:spacing w:line="276" w:lineRule="auto"/>
        <w:ind w:left="1702" w:right="848" w:firstLine="566"/>
      </w:pPr>
      <w:r>
        <w:rPr/>
        <w:t>«Интеграция должна пониматься как двухсторонний процесс, основанный</w:t>
      </w:r>
      <w:r>
        <w:rPr>
          <w:spacing w:val="-15"/>
        </w:rPr>
        <w:t> </w:t>
      </w:r>
      <w:r>
        <w:rPr/>
        <w:t>на</w:t>
      </w:r>
      <w:r>
        <w:rPr>
          <w:spacing w:val="-17"/>
        </w:rPr>
        <w:t> </w:t>
      </w:r>
      <w:r>
        <w:rPr/>
        <w:t>одинаковых</w:t>
      </w:r>
      <w:r>
        <w:rPr>
          <w:spacing w:val="-14"/>
        </w:rPr>
        <w:t> </w:t>
      </w:r>
      <w:r>
        <w:rPr/>
        <w:t>правах</w:t>
      </w:r>
      <w:r>
        <w:rPr>
          <w:spacing w:val="-15"/>
        </w:rPr>
        <w:t> </w:t>
      </w:r>
      <w:r>
        <w:rPr/>
        <w:t>и</w:t>
      </w:r>
      <w:r>
        <w:rPr>
          <w:spacing w:val="-16"/>
        </w:rPr>
        <w:t> </w:t>
      </w:r>
      <w:r>
        <w:rPr/>
        <w:t>соответствующих</w:t>
      </w:r>
      <w:r>
        <w:rPr>
          <w:spacing w:val="-14"/>
        </w:rPr>
        <w:t> </w:t>
      </w:r>
      <w:r>
        <w:rPr/>
        <w:t>обязательствах</w:t>
      </w:r>
      <w:r>
        <w:rPr>
          <w:spacing w:val="-15"/>
        </w:rPr>
        <w:t> </w:t>
      </w:r>
      <w:r>
        <w:rPr/>
        <w:t>как</w:t>
      </w:r>
      <w:r>
        <w:rPr>
          <w:spacing w:val="-15"/>
        </w:rPr>
        <w:t> </w:t>
      </w:r>
      <w:r>
        <w:rPr/>
        <w:t>для резидентов из третьих стран, так и для принимающих обществ, что обеспечивает полное участие иммигрантов в общественной жизни.</w:t>
      </w:r>
    </w:p>
    <w:p>
      <w:pPr>
        <w:pStyle w:val="Heading4"/>
        <w:spacing w:line="276" w:lineRule="auto"/>
        <w:ind w:left="1702" w:right="854" w:firstLine="566"/>
      </w:pPr>
      <w:r>
        <w:rPr/>
        <w:t>Это предполагает, с одной стороны, ответственность принимающего общества по соблюдению формальных прав иммигрантов: чтобы индивид имел возможность участвовать в экономической, социальной, культурной и гражданской жизни общества.</w:t>
      </w:r>
    </w:p>
    <w:p>
      <w:pPr>
        <w:pStyle w:val="Heading4"/>
        <w:spacing w:line="276" w:lineRule="auto"/>
        <w:ind w:left="1702" w:right="849" w:firstLine="566"/>
      </w:pPr>
      <w:r>
        <w:rPr/>
        <w:t>С</w:t>
      </w:r>
      <w:r>
        <w:rPr>
          <w:spacing w:val="-7"/>
        </w:rPr>
        <w:t> </w:t>
      </w:r>
      <w:r>
        <w:rPr/>
        <w:t>другой</w:t>
      </w:r>
      <w:r>
        <w:rPr>
          <w:spacing w:val="-7"/>
        </w:rPr>
        <w:t> </w:t>
      </w:r>
      <w:r>
        <w:rPr/>
        <w:t>стороны,</w:t>
      </w:r>
      <w:r>
        <w:rPr>
          <w:spacing w:val="-10"/>
        </w:rPr>
        <w:t> </w:t>
      </w:r>
      <w:r>
        <w:rPr/>
        <w:t>это</w:t>
      </w:r>
      <w:r>
        <w:rPr>
          <w:spacing w:val="-7"/>
        </w:rPr>
        <w:t> </w:t>
      </w:r>
      <w:r>
        <w:rPr/>
        <w:t>предполагает</w:t>
      </w:r>
      <w:r>
        <w:rPr>
          <w:spacing w:val="-7"/>
        </w:rPr>
        <w:t> </w:t>
      </w:r>
      <w:r>
        <w:rPr/>
        <w:t>уважение</w:t>
      </w:r>
      <w:r>
        <w:rPr>
          <w:spacing w:val="-7"/>
        </w:rPr>
        <w:t> </w:t>
      </w:r>
      <w:r>
        <w:rPr/>
        <w:t>со</w:t>
      </w:r>
      <w:r>
        <w:rPr>
          <w:spacing w:val="-9"/>
        </w:rPr>
        <w:t> </w:t>
      </w:r>
      <w:r>
        <w:rPr/>
        <w:t>стороны</w:t>
      </w:r>
      <w:r>
        <w:rPr>
          <w:spacing w:val="-9"/>
        </w:rPr>
        <w:t> </w:t>
      </w:r>
      <w:r>
        <w:rPr/>
        <w:t>иммигрантов</w:t>
      </w:r>
      <w:r>
        <w:rPr>
          <w:spacing w:val="-10"/>
        </w:rPr>
        <w:t> </w:t>
      </w:r>
      <w:r>
        <w:rPr/>
        <w:t>к фундаментальным нормам и ценностям принимающего общества и активное участие в интеграционных процессах без ущерба для их собственной идентичности» (Communication from the Commission to the Council, 2003).</w:t>
      </w:r>
    </w:p>
    <w:p>
      <w:pPr>
        <w:pStyle w:val="Heading4"/>
        <w:spacing w:line="276" w:lineRule="auto"/>
        <w:ind w:left="1702" w:right="848" w:firstLine="566"/>
      </w:pPr>
      <w:r>
        <w:rPr/>
        <w:t>Таким образом, сохранение этнической культуры страны (региона) исхода не противоречит логике интеграции детей-мигрантов в принимающее сообщество. В свою очередь, идентификация с новой культурой не приводит с необходимостью к отрицанию культуры этнического меньшинства.</w:t>
      </w:r>
    </w:p>
    <w:p>
      <w:pPr>
        <w:pStyle w:val="Heading4"/>
        <w:spacing w:line="276" w:lineRule="auto"/>
        <w:ind w:left="1702" w:right="845" w:firstLine="566"/>
      </w:pPr>
      <w:r>
        <w:rPr/>
        <w:t>Соответственно, интеграция — это не просто формальное обустройство детей-мигрантов в образовательной среде, обеспечение их экономических и социальных прав в соответствии с существующими законами (</w:t>
      </w:r>
      <w:r>
        <w:rPr>
          <w:i/>
        </w:rPr>
        <w:t>Entzinger, Biezeveld, </w:t>
      </w:r>
      <w:r>
        <w:rPr/>
        <w:t>2003). Это взаимный процесс объединения мигрантов и принимающего населения в новую социально-культурную среду без потери для обеих сторон ключевых параметров исходных социально-культурных идентичностей, чаще всего при доминировании культурной составляющей принимающего сообщества (</w:t>
      </w:r>
      <w:r>
        <w:rPr>
          <w:i/>
        </w:rPr>
        <w:t>Кузнецов</w:t>
      </w:r>
      <w:r>
        <w:rPr/>
        <w:t>, 2008).</w:t>
      </w:r>
    </w:p>
    <w:p>
      <w:pPr>
        <w:pStyle w:val="Heading4"/>
        <w:spacing w:line="276" w:lineRule="auto"/>
        <w:ind w:left="1702" w:right="845" w:firstLine="566"/>
      </w:pPr>
      <w:r>
        <w:rPr/>
        <w:t>Современные</w:t>
      </w:r>
      <w:r>
        <w:rPr>
          <w:spacing w:val="-18"/>
        </w:rPr>
        <w:t> </w:t>
      </w:r>
      <w:r>
        <w:rPr/>
        <w:t>исследования</w:t>
      </w:r>
      <w:r>
        <w:rPr>
          <w:spacing w:val="-17"/>
        </w:rPr>
        <w:t> </w:t>
      </w:r>
      <w:r>
        <w:rPr/>
        <w:t>показывают,</w:t>
      </w:r>
      <w:r>
        <w:rPr>
          <w:spacing w:val="-18"/>
        </w:rPr>
        <w:t> </w:t>
      </w:r>
      <w:r>
        <w:rPr/>
        <w:t>что</w:t>
      </w:r>
      <w:r>
        <w:rPr>
          <w:spacing w:val="-17"/>
        </w:rPr>
        <w:t> </w:t>
      </w:r>
      <w:r>
        <w:rPr/>
        <w:t>именно</w:t>
      </w:r>
      <w:r>
        <w:rPr>
          <w:spacing w:val="-18"/>
        </w:rPr>
        <w:t> </w:t>
      </w:r>
      <w:r>
        <w:rPr/>
        <w:t>интеграция</w:t>
      </w:r>
      <w:r>
        <w:rPr>
          <w:spacing w:val="-17"/>
        </w:rPr>
        <w:t> </w:t>
      </w:r>
      <w:r>
        <w:rPr/>
        <w:t>является наиболее успешным вариантом адаптации в новой культурной среде (</w:t>
      </w:r>
      <w:r>
        <w:rPr>
          <w:i/>
        </w:rPr>
        <w:t>Стефаненко</w:t>
      </w:r>
      <w:r>
        <w:rPr/>
        <w:t>, 2014). Ориентация на интеграцию позволяет индивиду (в том числе и ребенку) формировать ресурсы социальной поддержки в различных сферах,</w:t>
      </w:r>
      <w:r>
        <w:rPr>
          <w:spacing w:val="25"/>
        </w:rPr>
        <w:t>  </w:t>
      </w:r>
      <w:r>
        <w:rPr/>
        <w:t>которые</w:t>
      </w:r>
      <w:r>
        <w:rPr>
          <w:spacing w:val="27"/>
        </w:rPr>
        <w:t>  </w:t>
      </w:r>
      <w:r>
        <w:rPr/>
        <w:t>затем</w:t>
      </w:r>
      <w:r>
        <w:rPr>
          <w:spacing w:val="27"/>
        </w:rPr>
        <w:t>  </w:t>
      </w:r>
      <w:r>
        <w:rPr/>
        <w:t>позволяют</w:t>
      </w:r>
      <w:r>
        <w:rPr>
          <w:spacing w:val="26"/>
        </w:rPr>
        <w:t>  </w:t>
      </w:r>
      <w:r>
        <w:rPr/>
        <w:t>ему</w:t>
      </w:r>
      <w:r>
        <w:rPr>
          <w:spacing w:val="25"/>
        </w:rPr>
        <w:t>  </w:t>
      </w:r>
      <w:r>
        <w:rPr/>
        <w:t>адаптироваться</w:t>
      </w:r>
      <w:r>
        <w:rPr>
          <w:spacing w:val="26"/>
        </w:rPr>
        <w:t>  </w:t>
      </w:r>
      <w:r>
        <w:rPr/>
        <w:t>и</w:t>
      </w:r>
      <w:r>
        <w:rPr>
          <w:spacing w:val="28"/>
        </w:rPr>
        <w:t>  </w:t>
      </w:r>
      <w:r>
        <w:rPr>
          <w:spacing w:val="-2"/>
        </w:rPr>
        <w:t>поддерживать</w:t>
      </w:r>
    </w:p>
    <w:p>
      <w:pPr>
        <w:pStyle w:val="Heading4"/>
        <w:spacing w:after="0" w:line="276" w:lineRule="auto"/>
        <w:sectPr>
          <w:pgSz w:w="11910" w:h="16840"/>
          <w:pgMar w:header="0" w:footer="956" w:top="1040" w:bottom="1220" w:left="0" w:right="0"/>
        </w:sectPr>
      </w:pPr>
    </w:p>
    <w:p>
      <w:pPr>
        <w:pStyle w:val="Heading4"/>
        <w:spacing w:line="278" w:lineRule="auto" w:before="67"/>
        <w:ind w:left="1702" w:right="855"/>
      </w:pPr>
      <w:r>
        <w:rPr/>
        <w:t>высокий уровень субъективного благополучия (Межкультурные отношения на постсоветском пространстве, 2017).</w:t>
      </w:r>
    </w:p>
    <w:p>
      <w:pPr>
        <w:pStyle w:val="Heading4"/>
        <w:spacing w:line="276" w:lineRule="auto"/>
        <w:ind w:left="1702" w:right="846" w:firstLine="566"/>
      </w:pPr>
      <w:r>
        <w:rPr/>
        <w:t>В исследовании пяти тысяч молодых мигрантов (13–18 лет) из 13 стран показано, что и психологическая, и социокультурная адаптация идет гораздо лучше в ситуации выбора интеграционной стратегии. Причем ассимиляция, которая</w:t>
      </w:r>
      <w:r>
        <w:rPr>
          <w:spacing w:val="-5"/>
        </w:rPr>
        <w:t> </w:t>
      </w:r>
      <w:r>
        <w:rPr/>
        <w:t>кажется</w:t>
      </w:r>
      <w:r>
        <w:rPr>
          <w:spacing w:val="-5"/>
        </w:rPr>
        <w:t> </w:t>
      </w:r>
      <w:r>
        <w:rPr/>
        <w:t>выбором,</w:t>
      </w:r>
      <w:r>
        <w:rPr>
          <w:spacing w:val="-8"/>
        </w:rPr>
        <w:t> </w:t>
      </w:r>
      <w:r>
        <w:rPr/>
        <w:t>ориентированным</w:t>
      </w:r>
      <w:r>
        <w:rPr>
          <w:spacing w:val="-7"/>
        </w:rPr>
        <w:t> </w:t>
      </w:r>
      <w:r>
        <w:rPr/>
        <w:t>на</w:t>
      </w:r>
      <w:r>
        <w:rPr>
          <w:spacing w:val="-5"/>
        </w:rPr>
        <w:t> </w:t>
      </w:r>
      <w:r>
        <w:rPr/>
        <w:t>адаптацию,</w:t>
      </w:r>
      <w:r>
        <w:rPr>
          <w:spacing w:val="-7"/>
        </w:rPr>
        <w:t> </w:t>
      </w:r>
      <w:r>
        <w:rPr/>
        <w:t>приносит</w:t>
      </w:r>
      <w:r>
        <w:rPr>
          <w:spacing w:val="-6"/>
        </w:rPr>
        <w:t> </w:t>
      </w:r>
      <w:r>
        <w:rPr/>
        <w:t>гораздо меньшую</w:t>
      </w:r>
      <w:r>
        <w:rPr>
          <w:spacing w:val="-15"/>
        </w:rPr>
        <w:t> </w:t>
      </w:r>
      <w:r>
        <w:rPr/>
        <w:t>пользу.</w:t>
      </w:r>
      <w:r>
        <w:rPr>
          <w:spacing w:val="-13"/>
        </w:rPr>
        <w:t> </w:t>
      </w:r>
      <w:r>
        <w:rPr/>
        <w:t>Подростки,</w:t>
      </w:r>
      <w:r>
        <w:rPr>
          <w:spacing w:val="-15"/>
        </w:rPr>
        <w:t> </w:t>
      </w:r>
      <w:r>
        <w:rPr/>
        <w:t>выбравшие</w:t>
      </w:r>
      <w:r>
        <w:rPr>
          <w:spacing w:val="-14"/>
        </w:rPr>
        <w:t> </w:t>
      </w:r>
      <w:r>
        <w:rPr/>
        <w:t>путь</w:t>
      </w:r>
      <w:r>
        <w:rPr>
          <w:spacing w:val="-16"/>
        </w:rPr>
        <w:t> </w:t>
      </w:r>
      <w:r>
        <w:rPr/>
        <w:t>«растворения»</w:t>
      </w:r>
      <w:r>
        <w:rPr>
          <w:spacing w:val="-16"/>
        </w:rPr>
        <w:t> </w:t>
      </w:r>
      <w:r>
        <w:rPr/>
        <w:t>в</w:t>
      </w:r>
      <w:r>
        <w:rPr>
          <w:spacing w:val="-15"/>
        </w:rPr>
        <w:t> </w:t>
      </w:r>
      <w:r>
        <w:rPr/>
        <w:t>принимающем обществе, хуже адаптированы и отличаются гораздо более низким уровнем психологического благополучия, чем интегрированные (</w:t>
      </w:r>
      <w:r>
        <w:rPr>
          <w:i/>
        </w:rPr>
        <w:t>Berry </w:t>
      </w:r>
      <w:r>
        <w:rPr/>
        <w:t>et al., 2006).</w:t>
      </w:r>
    </w:p>
    <w:p>
      <w:pPr>
        <w:pStyle w:val="Heading4"/>
        <w:spacing w:line="276" w:lineRule="auto"/>
        <w:ind w:left="1702" w:right="845" w:firstLine="566"/>
      </w:pPr>
      <w:r>
        <w:rPr/>
        <w:t>Обучающимся, ориентированным на интеграцию, свойственны лучшие взаимоотношения с учителями и сверстниками (</w:t>
      </w:r>
      <w:r>
        <w:rPr>
          <w:i/>
        </w:rPr>
        <w:t>Makarova, Herzog, </w:t>
      </w:r>
      <w:r>
        <w:rPr/>
        <w:t>2011). Важно, что на поддержку ребенком-мигрантом школьных ценностей позитивно</w:t>
      </w:r>
      <w:r>
        <w:rPr>
          <w:spacing w:val="-10"/>
        </w:rPr>
        <w:t> </w:t>
      </w:r>
      <w:r>
        <w:rPr/>
        <w:t>влияют</w:t>
      </w:r>
      <w:r>
        <w:rPr>
          <w:spacing w:val="-12"/>
        </w:rPr>
        <w:t> </w:t>
      </w:r>
      <w:r>
        <w:rPr/>
        <w:t>как</w:t>
      </w:r>
      <w:r>
        <w:rPr>
          <w:spacing w:val="-8"/>
        </w:rPr>
        <w:t> </w:t>
      </w:r>
      <w:r>
        <w:rPr/>
        <w:t>его</w:t>
      </w:r>
      <w:r>
        <w:rPr>
          <w:spacing w:val="-8"/>
        </w:rPr>
        <w:t> </w:t>
      </w:r>
      <w:r>
        <w:rPr/>
        <w:t>социализация</w:t>
      </w:r>
      <w:r>
        <w:rPr>
          <w:spacing w:val="-11"/>
        </w:rPr>
        <w:t> </w:t>
      </w:r>
      <w:r>
        <w:rPr/>
        <w:t>в</w:t>
      </w:r>
      <w:r>
        <w:rPr>
          <w:spacing w:val="-9"/>
        </w:rPr>
        <w:t> </w:t>
      </w:r>
      <w:r>
        <w:rPr/>
        <w:t>принимающей</w:t>
      </w:r>
      <w:r>
        <w:rPr>
          <w:spacing w:val="-10"/>
        </w:rPr>
        <w:t> </w:t>
      </w:r>
      <w:r>
        <w:rPr/>
        <w:t>культуре,</w:t>
      </w:r>
      <w:r>
        <w:rPr>
          <w:spacing w:val="-9"/>
        </w:rPr>
        <w:t> </w:t>
      </w:r>
      <w:r>
        <w:rPr/>
        <w:t>так</w:t>
      </w:r>
      <w:r>
        <w:rPr>
          <w:spacing w:val="-9"/>
        </w:rPr>
        <w:t> </w:t>
      </w:r>
      <w:r>
        <w:rPr/>
        <w:t>и</w:t>
      </w:r>
      <w:r>
        <w:rPr>
          <w:spacing w:val="-10"/>
        </w:rPr>
        <w:t> </w:t>
      </w:r>
      <w:r>
        <w:rPr/>
        <w:t>связь с</w:t>
      </w:r>
      <w:r>
        <w:rPr>
          <w:spacing w:val="-2"/>
        </w:rPr>
        <w:t> </w:t>
      </w:r>
      <w:r>
        <w:rPr/>
        <w:t>родной</w:t>
      </w:r>
      <w:r>
        <w:rPr>
          <w:spacing w:val="-1"/>
        </w:rPr>
        <w:t> </w:t>
      </w:r>
      <w:r>
        <w:rPr/>
        <w:t>культурой </w:t>
      </w:r>
      <w:r>
        <w:rPr>
          <w:i/>
        </w:rPr>
        <w:t>(Vietze,</w:t>
      </w:r>
      <w:r>
        <w:rPr>
          <w:i/>
          <w:spacing w:val="-2"/>
        </w:rPr>
        <w:t> </w:t>
      </w:r>
      <w:r>
        <w:rPr>
          <w:i/>
        </w:rPr>
        <w:t>Juang,</w:t>
      </w:r>
      <w:r>
        <w:rPr>
          <w:i/>
          <w:spacing w:val="-2"/>
        </w:rPr>
        <w:t> </w:t>
      </w:r>
      <w:r>
        <w:rPr>
          <w:i/>
        </w:rPr>
        <w:t>Schachner,</w:t>
      </w:r>
      <w:r>
        <w:rPr>
          <w:i/>
          <w:spacing w:val="-1"/>
        </w:rPr>
        <w:t> </w:t>
      </w:r>
      <w:r>
        <w:rPr/>
        <w:t>2019).</w:t>
      </w:r>
      <w:r>
        <w:rPr>
          <w:spacing w:val="-2"/>
        </w:rPr>
        <w:t> </w:t>
      </w:r>
      <w:r>
        <w:rPr/>
        <w:t>На</w:t>
      </w:r>
      <w:r>
        <w:rPr>
          <w:spacing w:val="-2"/>
        </w:rPr>
        <w:t> </w:t>
      </w:r>
      <w:r>
        <w:rPr/>
        <w:t>анализе</w:t>
      </w:r>
      <w:r>
        <w:rPr>
          <w:spacing w:val="-2"/>
        </w:rPr>
        <w:t> </w:t>
      </w:r>
      <w:r>
        <w:rPr/>
        <w:t>более</w:t>
      </w:r>
      <w:r>
        <w:rPr>
          <w:spacing w:val="-3"/>
        </w:rPr>
        <w:t> </w:t>
      </w:r>
      <w:r>
        <w:rPr/>
        <w:t>5</w:t>
      </w:r>
      <w:r>
        <w:rPr>
          <w:spacing w:val="-1"/>
        </w:rPr>
        <w:t> </w:t>
      </w:r>
      <w:r>
        <w:rPr/>
        <w:t>тысяч школьников-мигрантов показано, что как ориентация на принимающую культуру,</w:t>
      </w:r>
      <w:r>
        <w:rPr>
          <w:spacing w:val="75"/>
        </w:rPr>
        <w:t> </w:t>
      </w:r>
      <w:r>
        <w:rPr/>
        <w:t>так</w:t>
      </w:r>
      <w:r>
        <w:rPr>
          <w:spacing w:val="76"/>
        </w:rPr>
        <w:t> </w:t>
      </w:r>
      <w:r>
        <w:rPr/>
        <w:t>и</w:t>
      </w:r>
      <w:r>
        <w:rPr>
          <w:spacing w:val="77"/>
        </w:rPr>
        <w:t> </w:t>
      </w:r>
      <w:r>
        <w:rPr/>
        <w:t>ориентация</w:t>
      </w:r>
      <w:r>
        <w:rPr>
          <w:spacing w:val="76"/>
        </w:rPr>
        <w:t> </w:t>
      </w:r>
      <w:r>
        <w:rPr/>
        <w:t>на</w:t>
      </w:r>
      <w:r>
        <w:rPr>
          <w:spacing w:val="76"/>
        </w:rPr>
        <w:t> </w:t>
      </w:r>
      <w:r>
        <w:rPr/>
        <w:t>родную</w:t>
      </w:r>
      <w:r>
        <w:rPr>
          <w:spacing w:val="75"/>
        </w:rPr>
        <w:t> </w:t>
      </w:r>
      <w:r>
        <w:rPr/>
        <w:t>культуру</w:t>
      </w:r>
      <w:r>
        <w:rPr>
          <w:spacing w:val="72"/>
        </w:rPr>
        <w:t> </w:t>
      </w:r>
      <w:r>
        <w:rPr/>
        <w:t>вносят</w:t>
      </w:r>
      <w:r>
        <w:rPr>
          <w:spacing w:val="74"/>
        </w:rPr>
        <w:t> </w:t>
      </w:r>
      <w:r>
        <w:rPr/>
        <w:t>значимый</w:t>
      </w:r>
      <w:r>
        <w:rPr>
          <w:spacing w:val="77"/>
        </w:rPr>
        <w:t> </w:t>
      </w:r>
      <w:r>
        <w:rPr/>
        <w:t>вклад в</w:t>
      </w:r>
      <w:r>
        <w:rPr>
          <w:spacing w:val="-14"/>
        </w:rPr>
        <w:t> </w:t>
      </w:r>
      <w:r>
        <w:rPr/>
        <w:t>ощущение</w:t>
      </w:r>
      <w:r>
        <w:rPr>
          <w:spacing w:val="-13"/>
        </w:rPr>
        <w:t> </w:t>
      </w:r>
      <w:r>
        <w:rPr/>
        <w:t>принадлежности</w:t>
      </w:r>
      <w:r>
        <w:rPr>
          <w:spacing w:val="-13"/>
        </w:rPr>
        <w:t> </w:t>
      </w:r>
      <w:r>
        <w:rPr/>
        <w:t>школе</w:t>
      </w:r>
      <w:r>
        <w:rPr>
          <w:spacing w:val="-11"/>
        </w:rPr>
        <w:t> </w:t>
      </w:r>
      <w:r>
        <w:rPr/>
        <w:t>(</w:t>
      </w:r>
      <w:r>
        <w:rPr>
          <w:i/>
        </w:rPr>
        <w:t>Schachner</w:t>
      </w:r>
      <w:r>
        <w:rPr>
          <w:i/>
          <w:spacing w:val="-12"/>
        </w:rPr>
        <w:t> </w:t>
      </w:r>
      <w:r>
        <w:rPr/>
        <w:t>et</w:t>
      </w:r>
      <w:r>
        <w:rPr>
          <w:spacing w:val="-13"/>
        </w:rPr>
        <w:t> </w:t>
      </w:r>
      <w:r>
        <w:rPr/>
        <w:t>al.,</w:t>
      </w:r>
      <w:r>
        <w:rPr>
          <w:spacing w:val="-15"/>
        </w:rPr>
        <w:t> </w:t>
      </w:r>
      <w:r>
        <w:rPr/>
        <w:t>2017).</w:t>
      </w:r>
      <w:r>
        <w:rPr>
          <w:spacing w:val="-16"/>
        </w:rPr>
        <w:t> </w:t>
      </w:r>
      <w:r>
        <w:rPr/>
        <w:t>Другими</w:t>
      </w:r>
      <w:r>
        <w:rPr>
          <w:spacing w:val="-13"/>
        </w:rPr>
        <w:t> </w:t>
      </w:r>
      <w:r>
        <w:rPr/>
        <w:t>словами, этническая идентичность ребенка-мигранта, его связь с культурой своей родины не только не мешает, но и помогает его адаптации в школьном </w:t>
      </w:r>
      <w:r>
        <w:rPr>
          <w:spacing w:val="-2"/>
        </w:rPr>
        <w:t>коллективе.</w:t>
      </w:r>
    </w:p>
    <w:p>
      <w:pPr>
        <w:pStyle w:val="Heading4"/>
        <w:spacing w:line="276" w:lineRule="auto"/>
        <w:ind w:left="1702" w:right="843" w:firstLine="566"/>
      </w:pPr>
      <w:r>
        <w:rPr/>
        <w:t>Важно, что интеграция может быть свободно выбрана и успешно осуществлена мигрантами только тогда, когда доминирующее общество открыто</w:t>
      </w:r>
      <w:r>
        <w:rPr>
          <w:spacing w:val="-18"/>
        </w:rPr>
        <w:t> </w:t>
      </w:r>
      <w:r>
        <w:rPr/>
        <w:t>и</w:t>
      </w:r>
      <w:r>
        <w:rPr>
          <w:spacing w:val="-17"/>
        </w:rPr>
        <w:t> </w:t>
      </w:r>
      <w:r>
        <w:rPr/>
        <w:t>инклюзивно</w:t>
      </w:r>
      <w:r>
        <w:rPr>
          <w:spacing w:val="-15"/>
        </w:rPr>
        <w:t> </w:t>
      </w:r>
      <w:r>
        <w:rPr/>
        <w:t>в</w:t>
      </w:r>
      <w:r>
        <w:rPr>
          <w:spacing w:val="-18"/>
        </w:rPr>
        <w:t> </w:t>
      </w:r>
      <w:r>
        <w:rPr/>
        <w:t>своей</w:t>
      </w:r>
      <w:r>
        <w:rPr>
          <w:spacing w:val="-17"/>
        </w:rPr>
        <w:t> </w:t>
      </w:r>
      <w:r>
        <w:rPr/>
        <w:t>ориентации</w:t>
      </w:r>
      <w:r>
        <w:rPr>
          <w:spacing w:val="-18"/>
        </w:rPr>
        <w:t> </w:t>
      </w:r>
      <w:r>
        <w:rPr/>
        <w:t>на</w:t>
      </w:r>
      <w:r>
        <w:rPr>
          <w:spacing w:val="-17"/>
        </w:rPr>
        <w:t> </w:t>
      </w:r>
      <w:r>
        <w:rPr/>
        <w:t>культурное</w:t>
      </w:r>
      <w:r>
        <w:rPr>
          <w:spacing w:val="-17"/>
        </w:rPr>
        <w:t> </w:t>
      </w:r>
      <w:r>
        <w:rPr/>
        <w:t>разнообразие</w:t>
      </w:r>
      <w:r>
        <w:rPr>
          <w:spacing w:val="-10"/>
        </w:rPr>
        <w:t> </w:t>
      </w:r>
      <w:r>
        <w:rPr/>
        <w:t>(</w:t>
      </w:r>
      <w:r>
        <w:rPr>
          <w:i/>
        </w:rPr>
        <w:t>Berry</w:t>
      </w:r>
      <w:r>
        <w:rPr/>
        <w:t>, 2005). Таким образом, социальная инклюзия является основным механизмом интеграции мигрантов; если перенести это в сферу обучения, можно сказать, что наиболее эффективной стратегией адаптации является социально- инклюзивный подход к интеграции детей-мигрантов в принимающее </w:t>
      </w:r>
      <w:r>
        <w:rPr>
          <w:spacing w:val="-2"/>
        </w:rPr>
        <w:t>общество.</w:t>
      </w:r>
    </w:p>
    <w:p>
      <w:pPr>
        <w:pStyle w:val="Heading3"/>
        <w:spacing w:before="243"/>
        <w:ind w:left="1702"/>
      </w:pPr>
      <w:r>
        <w:rPr/>
        <w:t>Социальная</w:t>
      </w:r>
      <w:r>
        <w:rPr>
          <w:spacing w:val="-10"/>
        </w:rPr>
        <w:t> </w:t>
      </w:r>
      <w:r>
        <w:rPr/>
        <w:t>инклюзия</w:t>
      </w:r>
      <w:r>
        <w:rPr>
          <w:spacing w:val="-8"/>
        </w:rPr>
        <w:t> </w:t>
      </w:r>
      <w:r>
        <w:rPr/>
        <w:t>как</w:t>
      </w:r>
      <w:r>
        <w:rPr>
          <w:spacing w:val="-7"/>
        </w:rPr>
        <w:t> </w:t>
      </w:r>
      <w:r>
        <w:rPr/>
        <w:t>механизм</w:t>
      </w:r>
      <w:r>
        <w:rPr>
          <w:spacing w:val="-7"/>
        </w:rPr>
        <w:t> </w:t>
      </w:r>
      <w:r>
        <w:rPr/>
        <w:t>интеграции</w:t>
      </w:r>
      <w:r>
        <w:rPr>
          <w:spacing w:val="-6"/>
        </w:rPr>
        <w:t> </w:t>
      </w:r>
      <w:r>
        <w:rPr/>
        <w:t>детей-</w:t>
      </w:r>
      <w:r>
        <w:rPr>
          <w:spacing w:val="-2"/>
        </w:rPr>
        <w:t>мигрантов</w:t>
      </w:r>
    </w:p>
    <w:p>
      <w:pPr>
        <w:pStyle w:val="Heading4"/>
        <w:spacing w:line="276" w:lineRule="auto" w:before="242"/>
        <w:ind w:left="1702" w:right="846" w:firstLine="566"/>
      </w:pPr>
      <w:r>
        <w:rPr/>
        <w:t>Социальная инклюзия является основой интеграции детей-мигрантов в образовательной среде.</w:t>
      </w:r>
    </w:p>
    <w:p>
      <w:pPr>
        <w:pStyle w:val="Heading4"/>
        <w:spacing w:line="278" w:lineRule="auto"/>
        <w:ind w:left="1702" w:right="853" w:firstLine="566"/>
      </w:pPr>
      <w:r>
        <w:rPr/>
        <w:t>Для раскрытия этого положения обратимся к понятию социальной инклюзии, а затем рассмотрим его в контексте интеграции мигрантов.</w:t>
      </w:r>
    </w:p>
    <w:p>
      <w:pPr>
        <w:pStyle w:val="Heading4"/>
        <w:spacing w:line="276" w:lineRule="auto"/>
        <w:ind w:left="1702" w:right="846" w:firstLine="566"/>
      </w:pPr>
      <w:r>
        <w:rPr/>
        <w:t>В максимально широком смысле социальная инклюзия представляет собой «демократическую акцию включения индивида или группы в более широкое сообщество с целью приобщения к определенному действию или культурному</w:t>
      </w:r>
      <w:r>
        <w:rPr>
          <w:spacing w:val="54"/>
          <w:w w:val="150"/>
        </w:rPr>
        <w:t> </w:t>
      </w:r>
      <w:r>
        <w:rPr/>
        <w:t>процессу.</w:t>
      </w:r>
      <w:r>
        <w:rPr>
          <w:spacing w:val="60"/>
          <w:w w:val="150"/>
        </w:rPr>
        <w:t> </w:t>
      </w:r>
      <w:r>
        <w:rPr/>
        <w:t>Инклюзия</w:t>
      </w:r>
      <w:r>
        <w:rPr>
          <w:spacing w:val="61"/>
          <w:w w:val="150"/>
        </w:rPr>
        <w:t> </w:t>
      </w:r>
      <w:r>
        <w:rPr/>
        <w:t>представляет</w:t>
      </w:r>
      <w:r>
        <w:rPr>
          <w:spacing w:val="59"/>
          <w:w w:val="150"/>
        </w:rPr>
        <w:t> </w:t>
      </w:r>
      <w:r>
        <w:rPr/>
        <w:t>собой</w:t>
      </w:r>
      <w:r>
        <w:rPr>
          <w:spacing w:val="61"/>
          <w:w w:val="150"/>
        </w:rPr>
        <w:t> </w:t>
      </w:r>
      <w:r>
        <w:rPr/>
        <w:t>активный</w:t>
      </w:r>
      <w:r>
        <w:rPr>
          <w:spacing w:val="61"/>
          <w:w w:val="150"/>
        </w:rPr>
        <w:t> </w:t>
      </w:r>
      <w:r>
        <w:rPr>
          <w:spacing w:val="-2"/>
        </w:rPr>
        <w:t>процесс</w:t>
      </w:r>
    </w:p>
    <w:p>
      <w:pPr>
        <w:pStyle w:val="Heading4"/>
        <w:spacing w:after="0" w:line="276" w:lineRule="auto"/>
        <w:sectPr>
          <w:pgSz w:w="11910" w:h="16840"/>
          <w:pgMar w:header="0" w:footer="956" w:top="1040" w:bottom="1220" w:left="0" w:right="0"/>
        </w:sectPr>
      </w:pPr>
    </w:p>
    <w:p>
      <w:pPr>
        <w:pStyle w:val="Heading4"/>
        <w:spacing w:line="278" w:lineRule="auto" w:before="67"/>
        <w:ind w:left="1702" w:right="855"/>
      </w:pPr>
      <w:r>
        <w:rPr/>
        <w:t>укрепления чувства принадлежности индивида или группы к сообществу, ведущий к социальной интеграции» (</w:t>
      </w:r>
      <w:r>
        <w:rPr>
          <w:i/>
        </w:rPr>
        <w:t>Астоянц, </w:t>
      </w:r>
      <w:r>
        <w:rPr/>
        <w:t>2009а, с. 23).</w:t>
      </w:r>
    </w:p>
    <w:p>
      <w:pPr>
        <w:pStyle w:val="Heading4"/>
        <w:spacing w:line="276" w:lineRule="auto"/>
        <w:ind w:left="1702" w:right="843" w:firstLine="566"/>
      </w:pPr>
      <w:r>
        <w:rPr/>
        <w:t>Следует подчеркнуть, что «социальная инклюзия нередко определяется как противоположность социальной эксклюзии. &lt;…&gt; Инклюзия рассматривается как желаемый результат или стратегия для борьбы с социальной эксклюзией, в то время как эксклюзия считается проявлением плохой</w:t>
      </w:r>
      <w:r>
        <w:rPr>
          <w:spacing w:val="-4"/>
        </w:rPr>
        <w:t> </w:t>
      </w:r>
      <w:r>
        <w:rPr/>
        <w:t>социальной</w:t>
      </w:r>
      <w:r>
        <w:rPr>
          <w:spacing w:val="-7"/>
        </w:rPr>
        <w:t> </w:t>
      </w:r>
      <w:r>
        <w:rPr/>
        <w:t>сплоченности»</w:t>
      </w:r>
      <w:r>
        <w:rPr>
          <w:spacing w:val="-2"/>
        </w:rPr>
        <w:t> </w:t>
      </w:r>
      <w:r>
        <w:rPr/>
        <w:t>(</w:t>
      </w:r>
      <w:r>
        <w:rPr>
          <w:i/>
        </w:rPr>
        <w:t>Боровикова,</w:t>
      </w:r>
      <w:r>
        <w:rPr>
          <w:i/>
          <w:spacing w:val="-3"/>
        </w:rPr>
        <w:t> </w:t>
      </w:r>
      <w:r>
        <w:rPr/>
        <w:t>2016,</w:t>
      </w:r>
      <w:r>
        <w:rPr>
          <w:spacing w:val="-5"/>
        </w:rPr>
        <w:t> </w:t>
      </w:r>
      <w:r>
        <w:rPr/>
        <w:t>с.</w:t>
      </w:r>
      <w:r>
        <w:rPr>
          <w:spacing w:val="-5"/>
        </w:rPr>
        <w:t> </w:t>
      </w:r>
      <w:r>
        <w:rPr/>
        <w:t>29).</w:t>
      </w:r>
      <w:r>
        <w:rPr>
          <w:spacing w:val="-5"/>
        </w:rPr>
        <w:t> </w:t>
      </w:r>
      <w:r>
        <w:rPr/>
        <w:t>Именно</w:t>
      </w:r>
      <w:r>
        <w:rPr>
          <w:spacing w:val="-3"/>
        </w:rPr>
        <w:t> </w:t>
      </w:r>
      <w:r>
        <w:rPr/>
        <w:t>поэтому к социальной инклюзии относится и преодоление дискриминации по полу, возрасту, здоровью, этничности и каким-либо другим признакам (Инклюзия как принцип современной социальной политики, 2008). Таким образом, социальная инклюзия — это «включение индивида, субкультуры, группы в более широкое сообщество и более широкую идентичность, в общие поля образовательного и трудового процесса преодоления географических неудобств, субкультурных различий» (</w:t>
      </w:r>
      <w:r>
        <w:rPr>
          <w:i/>
        </w:rPr>
        <w:t>Ярская-Смирнова, </w:t>
      </w:r>
      <w:r>
        <w:rPr/>
        <w:t>2010).</w:t>
      </w:r>
    </w:p>
    <w:p>
      <w:pPr>
        <w:pStyle w:val="Heading4"/>
        <w:spacing w:line="276" w:lineRule="auto"/>
        <w:ind w:left="1702" w:right="845" w:firstLine="566"/>
      </w:pPr>
      <w:r>
        <w:rPr/>
        <w:t>Обобщая, можно сказать, что социальная инклюзия включает два ключевых аспекта: наличие социального взаимодействия и участие в сообществе каждого его члена (</w:t>
      </w:r>
      <w:r>
        <w:rPr>
          <w:i/>
        </w:rPr>
        <w:t>McConkey, Collins</w:t>
      </w:r>
      <w:r>
        <w:rPr/>
        <w:t>, 2010a).</w:t>
      </w:r>
    </w:p>
    <w:p>
      <w:pPr>
        <w:pStyle w:val="Heading4"/>
        <w:spacing w:line="276" w:lineRule="auto"/>
        <w:ind w:left="1702" w:right="845" w:firstLine="566"/>
      </w:pPr>
      <w:r>
        <w:rPr/>
        <w:t>Следует отметить, что подходы к определению социальной инклюзии характеризуются</w:t>
      </w:r>
      <w:r>
        <w:rPr>
          <w:spacing w:val="-2"/>
        </w:rPr>
        <w:t> </w:t>
      </w:r>
      <w:r>
        <w:rPr/>
        <w:t>многобразием.</w:t>
      </w:r>
      <w:r>
        <w:rPr>
          <w:spacing w:val="-4"/>
        </w:rPr>
        <w:t> </w:t>
      </w:r>
      <w:r>
        <w:rPr/>
        <w:t>С</w:t>
      </w:r>
      <w:r>
        <w:rPr>
          <w:spacing w:val="-5"/>
        </w:rPr>
        <w:t> </w:t>
      </w:r>
      <w:r>
        <w:rPr/>
        <w:t>нашей</w:t>
      </w:r>
      <w:r>
        <w:rPr>
          <w:spacing w:val="-3"/>
        </w:rPr>
        <w:t> </w:t>
      </w:r>
      <w:r>
        <w:rPr/>
        <w:t>точки</w:t>
      </w:r>
      <w:r>
        <w:rPr>
          <w:spacing w:val="-3"/>
        </w:rPr>
        <w:t> </w:t>
      </w:r>
      <w:r>
        <w:rPr/>
        <w:t>зрения,</w:t>
      </w:r>
      <w:r>
        <w:rPr>
          <w:spacing w:val="-4"/>
        </w:rPr>
        <w:t> </w:t>
      </w:r>
      <w:r>
        <w:rPr/>
        <w:t>наиболее</w:t>
      </w:r>
      <w:r>
        <w:rPr>
          <w:spacing w:val="-4"/>
        </w:rPr>
        <w:t> </w:t>
      </w:r>
      <w:r>
        <w:rPr/>
        <w:t>развернутое и обобщенное определение дано </w:t>
      </w:r>
      <w:r>
        <w:rPr>
          <w:i/>
        </w:rPr>
        <w:t>Cobigo </w:t>
      </w:r>
      <w:r>
        <w:rPr/>
        <w:t>и др. (2012). Авторы рассматривают социальную инклюзию как ряд сложных взаимодействий между факторами окружающей среды и личностными характеристиками индивида, которые предоставляют человеку возможность: (а) иметь доступ к общественным благам и услугам; (б) понимать ценность и общественную значимость своих социальных</w:t>
      </w:r>
      <w:r>
        <w:rPr>
          <w:spacing w:val="-5"/>
        </w:rPr>
        <w:t> </w:t>
      </w:r>
      <w:r>
        <w:rPr/>
        <w:t>ролей,</w:t>
      </w:r>
      <w:r>
        <w:rPr>
          <w:spacing w:val="-7"/>
        </w:rPr>
        <w:t> </w:t>
      </w:r>
      <w:r>
        <w:rPr/>
        <w:t>связанных</w:t>
      </w:r>
      <w:r>
        <w:rPr>
          <w:spacing w:val="-1"/>
        </w:rPr>
        <w:t> </w:t>
      </w:r>
      <w:r>
        <w:rPr/>
        <w:t>с</w:t>
      </w:r>
      <w:r>
        <w:rPr>
          <w:spacing w:val="-6"/>
        </w:rPr>
        <w:t> </w:t>
      </w:r>
      <w:r>
        <w:rPr/>
        <w:t>его/ее</w:t>
      </w:r>
      <w:r>
        <w:rPr>
          <w:spacing w:val="-3"/>
        </w:rPr>
        <w:t> </w:t>
      </w:r>
      <w:r>
        <w:rPr/>
        <w:t>возрастом,</w:t>
      </w:r>
      <w:r>
        <w:rPr>
          <w:spacing w:val="-5"/>
        </w:rPr>
        <w:t> </w:t>
      </w:r>
      <w:r>
        <w:rPr/>
        <w:t>полом</w:t>
      </w:r>
      <w:r>
        <w:rPr>
          <w:spacing w:val="-6"/>
        </w:rPr>
        <w:t> </w:t>
      </w:r>
      <w:r>
        <w:rPr/>
        <w:t>и</w:t>
      </w:r>
      <w:r>
        <w:rPr>
          <w:spacing w:val="-5"/>
        </w:rPr>
        <w:t> </w:t>
      </w:r>
      <w:r>
        <w:rPr/>
        <w:t>культурой;</w:t>
      </w:r>
      <w:r>
        <w:rPr>
          <w:spacing w:val="-5"/>
        </w:rPr>
        <w:t> </w:t>
      </w:r>
      <w:r>
        <w:rPr/>
        <w:t>(в)</w:t>
      </w:r>
      <w:r>
        <w:rPr>
          <w:spacing w:val="-6"/>
        </w:rPr>
        <w:t> </w:t>
      </w:r>
      <w:r>
        <w:rPr/>
        <w:t>быть признанным в качестве компетентного индивида, которому доверяют исполнение социальных ролей в обществе; (г) принадлежать к социальной сети, получать от нее поддержку и вносить в нее свой вклад.</w:t>
      </w:r>
    </w:p>
    <w:p>
      <w:pPr>
        <w:pStyle w:val="Heading4"/>
        <w:spacing w:line="278" w:lineRule="auto"/>
        <w:ind w:left="1702" w:right="855" w:firstLine="566"/>
      </w:pPr>
      <w:r>
        <w:rPr/>
        <w:t>На индивидуальном уровне социальная инклюзия предполагает наличие следующих компонентов:</w:t>
      </w:r>
    </w:p>
    <w:p>
      <w:pPr>
        <w:pStyle w:val="Heading4"/>
        <w:spacing w:line="317" w:lineRule="exact"/>
        <w:ind w:left="2268"/>
      </w:pPr>
      <w:r>
        <w:rPr/>
        <w:t>(а)</w:t>
      </w:r>
      <w:r>
        <w:rPr>
          <w:spacing w:val="-9"/>
        </w:rPr>
        <w:t> </w:t>
      </w:r>
      <w:r>
        <w:rPr/>
        <w:t>объективная</w:t>
      </w:r>
      <w:r>
        <w:rPr>
          <w:spacing w:val="-6"/>
        </w:rPr>
        <w:t> </w:t>
      </w:r>
      <w:r>
        <w:rPr/>
        <w:t>включенность</w:t>
      </w:r>
      <w:r>
        <w:rPr>
          <w:spacing w:val="-6"/>
        </w:rPr>
        <w:t> </w:t>
      </w:r>
      <w:r>
        <w:rPr/>
        <w:t>в</w:t>
      </w:r>
      <w:r>
        <w:rPr>
          <w:spacing w:val="-7"/>
        </w:rPr>
        <w:t> </w:t>
      </w:r>
      <w:r>
        <w:rPr/>
        <w:t>деятельность</w:t>
      </w:r>
      <w:r>
        <w:rPr>
          <w:spacing w:val="-6"/>
        </w:rPr>
        <w:t> </w:t>
      </w:r>
      <w:r>
        <w:rPr>
          <w:spacing w:val="-2"/>
        </w:rPr>
        <w:t>группы,</w:t>
      </w:r>
    </w:p>
    <w:p>
      <w:pPr>
        <w:pStyle w:val="Heading4"/>
        <w:spacing w:line="276" w:lineRule="auto" w:before="44"/>
        <w:ind w:left="2268" w:right="1053"/>
      </w:pPr>
      <w:r>
        <w:rPr/>
        <w:t>(б)</w:t>
      </w:r>
      <w:r>
        <w:rPr>
          <w:spacing w:val="-6"/>
        </w:rPr>
        <w:t> </w:t>
      </w:r>
      <w:r>
        <w:rPr/>
        <w:t>субъективное</w:t>
      </w:r>
      <w:r>
        <w:rPr>
          <w:spacing w:val="-8"/>
        </w:rPr>
        <w:t> </w:t>
      </w:r>
      <w:r>
        <w:rPr/>
        <w:t>ощущение</w:t>
      </w:r>
      <w:r>
        <w:rPr>
          <w:spacing w:val="-5"/>
        </w:rPr>
        <w:t> </w:t>
      </w:r>
      <w:r>
        <w:rPr/>
        <w:t>включенности</w:t>
      </w:r>
      <w:r>
        <w:rPr>
          <w:spacing w:val="-5"/>
        </w:rPr>
        <w:t> </w:t>
      </w:r>
      <w:r>
        <w:rPr/>
        <w:t>и</w:t>
      </w:r>
      <w:r>
        <w:rPr>
          <w:spacing w:val="-4"/>
        </w:rPr>
        <w:t> </w:t>
      </w:r>
      <w:r>
        <w:rPr/>
        <w:t>позитивная</w:t>
      </w:r>
      <w:r>
        <w:rPr>
          <w:spacing w:val="-5"/>
        </w:rPr>
        <w:t> </w:t>
      </w:r>
      <w:r>
        <w:rPr/>
        <w:t>идентичность, (в) эмоциональный контакт с социумом (</w:t>
      </w:r>
      <w:r>
        <w:rPr>
          <w:i/>
        </w:rPr>
        <w:t>Астоянц</w:t>
      </w:r>
      <w:r>
        <w:rPr/>
        <w:t>, 2009b).</w:t>
      </w:r>
    </w:p>
    <w:p>
      <w:pPr>
        <w:pStyle w:val="Heading4"/>
        <w:spacing w:line="276" w:lineRule="auto" w:before="1"/>
        <w:ind w:left="1702" w:right="846" w:firstLine="566"/>
      </w:pPr>
      <w:r>
        <w:rPr/>
        <w:t>В конкретных индивидуально-личностных исследованиях в качестве маркеров социальной инклюзии чаще всего рассматриваются принятие сверстниками и наличие заботящихся друзей (</w:t>
      </w:r>
      <w:r>
        <w:rPr>
          <w:i/>
        </w:rPr>
        <w:t>Fabes, Martin, Hanish</w:t>
      </w:r>
      <w:r>
        <w:rPr/>
        <w:t>, 2018; </w:t>
      </w:r>
      <w:r>
        <w:rPr>
          <w:i/>
        </w:rPr>
        <w:t>Cavicchiolo </w:t>
      </w:r>
      <w:r>
        <w:rPr/>
        <w:t>и др., 2020).</w:t>
      </w:r>
    </w:p>
    <w:p>
      <w:pPr>
        <w:pStyle w:val="Heading4"/>
        <w:spacing w:line="276" w:lineRule="auto"/>
        <w:ind w:left="1702" w:right="845" w:firstLine="566"/>
      </w:pPr>
      <w:r>
        <w:rPr/>
        <w:t>Социальная инклюзия актуальна для всех пространств социального взаимодействия,</w:t>
      </w:r>
      <w:r>
        <w:rPr>
          <w:spacing w:val="34"/>
        </w:rPr>
        <w:t>  </w:t>
      </w:r>
      <w:r>
        <w:rPr/>
        <w:t>в</w:t>
      </w:r>
      <w:r>
        <w:rPr>
          <w:spacing w:val="34"/>
        </w:rPr>
        <w:t>  </w:t>
      </w:r>
      <w:r>
        <w:rPr/>
        <w:t>том</w:t>
      </w:r>
      <w:r>
        <w:rPr>
          <w:spacing w:val="35"/>
        </w:rPr>
        <w:t>  </w:t>
      </w:r>
      <w:r>
        <w:rPr/>
        <w:t>числе</w:t>
      </w:r>
      <w:r>
        <w:rPr>
          <w:spacing w:val="34"/>
        </w:rPr>
        <w:t>  </w:t>
      </w:r>
      <w:r>
        <w:rPr/>
        <w:t>и</w:t>
      </w:r>
      <w:r>
        <w:rPr>
          <w:spacing w:val="35"/>
        </w:rPr>
        <w:t>  </w:t>
      </w:r>
      <w:r>
        <w:rPr/>
        <w:t>для</w:t>
      </w:r>
      <w:r>
        <w:rPr>
          <w:spacing w:val="35"/>
        </w:rPr>
        <w:t>  </w:t>
      </w:r>
      <w:r>
        <w:rPr/>
        <w:t>системы</w:t>
      </w:r>
      <w:r>
        <w:rPr>
          <w:spacing w:val="35"/>
        </w:rPr>
        <w:t>  </w:t>
      </w:r>
      <w:r>
        <w:rPr/>
        <w:t>образования.</w:t>
      </w:r>
      <w:r>
        <w:rPr>
          <w:spacing w:val="38"/>
        </w:rPr>
        <w:t>  </w:t>
      </w:r>
      <w:r>
        <w:rPr/>
        <w:t>Так,</w:t>
      </w:r>
      <w:r>
        <w:rPr>
          <w:spacing w:val="35"/>
        </w:rPr>
        <w:t>  </w:t>
      </w:r>
      <w:r>
        <w:rPr>
          <w:spacing w:val="-4"/>
        </w:rPr>
        <w:t>цели</w:t>
      </w:r>
    </w:p>
    <w:p>
      <w:pPr>
        <w:pStyle w:val="Heading4"/>
        <w:spacing w:after="0" w:line="276" w:lineRule="auto"/>
        <w:sectPr>
          <w:pgSz w:w="11910" w:h="16840"/>
          <w:pgMar w:header="0" w:footer="956" w:top="1040" w:bottom="1220" w:left="0" w:right="0"/>
        </w:sectPr>
      </w:pPr>
    </w:p>
    <w:p>
      <w:pPr>
        <w:pStyle w:val="Heading4"/>
        <w:spacing w:line="276" w:lineRule="auto" w:before="67"/>
        <w:ind w:left="1702" w:right="843"/>
      </w:pPr>
      <w:r>
        <w:rPr/>
        <w:t>устойчивого</w:t>
      </w:r>
      <w:r>
        <w:rPr>
          <w:spacing w:val="-15"/>
        </w:rPr>
        <w:t> </w:t>
      </w:r>
      <w:r>
        <w:rPr/>
        <w:t>развития</w:t>
      </w:r>
      <w:r>
        <w:rPr>
          <w:spacing w:val="-15"/>
        </w:rPr>
        <w:t> </w:t>
      </w:r>
      <w:r>
        <w:rPr/>
        <w:t>на</w:t>
      </w:r>
      <w:r>
        <w:rPr>
          <w:spacing w:val="-13"/>
        </w:rPr>
        <w:t> </w:t>
      </w:r>
      <w:r>
        <w:rPr/>
        <w:t>период</w:t>
      </w:r>
      <w:r>
        <w:rPr>
          <w:spacing w:val="-15"/>
        </w:rPr>
        <w:t> </w:t>
      </w:r>
      <w:r>
        <w:rPr/>
        <w:t>до</w:t>
      </w:r>
      <w:r>
        <w:rPr>
          <w:spacing w:val="-13"/>
        </w:rPr>
        <w:t> </w:t>
      </w:r>
      <w:r>
        <w:rPr/>
        <w:t>2030</w:t>
      </w:r>
      <w:r>
        <w:rPr>
          <w:spacing w:val="-13"/>
        </w:rPr>
        <w:t> </w:t>
      </w:r>
      <w:r>
        <w:rPr/>
        <w:t>года,</w:t>
      </w:r>
      <w:r>
        <w:rPr>
          <w:spacing w:val="-16"/>
        </w:rPr>
        <w:t> </w:t>
      </w:r>
      <w:r>
        <w:rPr/>
        <w:t>принятые</w:t>
      </w:r>
      <w:r>
        <w:rPr>
          <w:spacing w:val="-13"/>
        </w:rPr>
        <w:t> </w:t>
      </w:r>
      <w:r>
        <w:rPr/>
        <w:t>всеми</w:t>
      </w:r>
      <w:r>
        <w:rPr>
          <w:spacing w:val="-13"/>
        </w:rPr>
        <w:t> </w:t>
      </w:r>
      <w:r>
        <w:rPr/>
        <w:t>государствами- членами ООН в 2015 году, направлены на «обеспечение инклюзивного и справедливого качественного образования и поощрение возможностей обучения на протяжении всей жизни для всех». В контексте социальной инклюзии зачастую выделяют образовательную инклюзию как попытку преодолеть социокультурные барьеры на пути обучения обучающихся (</w:t>
      </w:r>
      <w:r>
        <w:rPr>
          <w:i/>
        </w:rPr>
        <w:t>Ainscow</w:t>
      </w:r>
      <w:r>
        <w:rPr/>
        <w:t>, 2005), в результате чего все дети вносят свой вклад в учебную деятельность и получают поддержку, чтобы быть успешными в контакте со своими сверстниками (</w:t>
      </w:r>
      <w:r>
        <w:rPr>
          <w:i/>
        </w:rPr>
        <w:t>Loreman</w:t>
      </w:r>
      <w:r>
        <w:rPr/>
        <w:t>, 2009).</w:t>
      </w:r>
    </w:p>
    <w:p>
      <w:pPr>
        <w:pStyle w:val="Heading4"/>
        <w:spacing w:line="276" w:lineRule="auto" w:before="2"/>
        <w:ind w:left="1702" w:right="845" w:firstLine="566"/>
      </w:pPr>
      <w:r>
        <w:rPr/>
        <w:t>Может быть, так: социальная инклюзия в образовательной среде отражается в переживании обучающимися принадлежности к школьному сообществу.</w:t>
      </w:r>
      <w:r>
        <w:rPr>
          <w:spacing w:val="-10"/>
        </w:rPr>
        <w:t> </w:t>
      </w:r>
      <w:r>
        <w:rPr/>
        <w:t>Это</w:t>
      </w:r>
      <w:r>
        <w:rPr>
          <w:spacing w:val="-9"/>
        </w:rPr>
        <w:t> </w:t>
      </w:r>
      <w:r>
        <w:rPr/>
        <w:t>предполагает</w:t>
      </w:r>
      <w:r>
        <w:rPr>
          <w:spacing w:val="-10"/>
        </w:rPr>
        <w:t> </w:t>
      </w:r>
      <w:r>
        <w:rPr/>
        <w:t>важность</w:t>
      </w:r>
      <w:r>
        <w:rPr>
          <w:spacing w:val="-10"/>
        </w:rPr>
        <w:t> </w:t>
      </w:r>
      <w:r>
        <w:rPr/>
        <w:t>анализа</w:t>
      </w:r>
      <w:r>
        <w:rPr>
          <w:spacing w:val="-10"/>
        </w:rPr>
        <w:t> </w:t>
      </w:r>
      <w:r>
        <w:rPr/>
        <w:t>условий</w:t>
      </w:r>
      <w:r>
        <w:rPr>
          <w:spacing w:val="-8"/>
        </w:rPr>
        <w:t> </w:t>
      </w:r>
      <w:r>
        <w:rPr/>
        <w:t>окружающей</w:t>
      </w:r>
      <w:r>
        <w:rPr>
          <w:spacing w:val="-9"/>
        </w:rPr>
        <w:t> </w:t>
      </w:r>
      <w:r>
        <w:rPr/>
        <w:t>среды, которые являются причиной маргинализации и изоляции обучающихся со стигматизированными внешними признаками (например, с ОВЗ) или идентичностью (например, молодежь из числа этнических меньшинств и иммигрантов) (</w:t>
      </w:r>
      <w:r>
        <w:rPr>
          <w:i/>
        </w:rPr>
        <w:t>Juvonen </w:t>
      </w:r>
      <w:r>
        <w:rPr/>
        <w:t>et al., 2019).</w:t>
      </w:r>
    </w:p>
    <w:p>
      <w:pPr>
        <w:pStyle w:val="Heading4"/>
        <w:spacing w:line="276" w:lineRule="auto"/>
        <w:ind w:left="1702" w:right="847" w:firstLine="566"/>
      </w:pPr>
      <w:r>
        <w:rPr/>
        <w:t>Социальная инклюзия активно применяется как инструмент интеграции и</w:t>
      </w:r>
      <w:r>
        <w:rPr>
          <w:spacing w:val="-15"/>
        </w:rPr>
        <w:t> </w:t>
      </w:r>
      <w:r>
        <w:rPr/>
        <w:t>преодоления</w:t>
      </w:r>
      <w:r>
        <w:rPr>
          <w:spacing w:val="-13"/>
        </w:rPr>
        <w:t> </w:t>
      </w:r>
      <w:r>
        <w:rPr/>
        <w:t>социальной</w:t>
      </w:r>
      <w:r>
        <w:rPr>
          <w:spacing w:val="-13"/>
        </w:rPr>
        <w:t> </w:t>
      </w:r>
      <w:r>
        <w:rPr/>
        <w:t>исключенности</w:t>
      </w:r>
      <w:r>
        <w:rPr>
          <w:spacing w:val="-13"/>
        </w:rPr>
        <w:t> </w:t>
      </w:r>
      <w:r>
        <w:rPr/>
        <w:t>различных</w:t>
      </w:r>
      <w:r>
        <w:rPr>
          <w:spacing w:val="-13"/>
        </w:rPr>
        <w:t> </w:t>
      </w:r>
      <w:r>
        <w:rPr/>
        <w:t>уязвимых</w:t>
      </w:r>
      <w:r>
        <w:rPr>
          <w:spacing w:val="-15"/>
        </w:rPr>
        <w:t> </w:t>
      </w:r>
      <w:r>
        <w:rPr/>
        <w:t>групп.</w:t>
      </w:r>
      <w:r>
        <w:rPr>
          <w:spacing w:val="-16"/>
        </w:rPr>
        <w:t> </w:t>
      </w:r>
      <w:r>
        <w:rPr/>
        <w:t>Это</w:t>
      </w:r>
      <w:r>
        <w:rPr>
          <w:spacing w:val="-15"/>
        </w:rPr>
        <w:t> </w:t>
      </w:r>
      <w:r>
        <w:rPr/>
        <w:t>не только люди с ограниченными возможностями здоровья, но и дети-сироты (</w:t>
      </w:r>
      <w:r>
        <w:rPr>
          <w:i/>
        </w:rPr>
        <w:t>Астоянц, </w:t>
      </w:r>
      <w:r>
        <w:rPr/>
        <w:t>2009a), представители старшего поколения (</w:t>
      </w:r>
      <w:r>
        <w:rPr>
          <w:i/>
        </w:rPr>
        <w:t>Фуряева</w:t>
      </w:r>
      <w:r>
        <w:rPr/>
        <w:t>, 2021), но и дети-мигранты. Рассмотрим последний вопрос подробнее.</w:t>
      </w:r>
    </w:p>
    <w:p>
      <w:pPr>
        <w:pStyle w:val="Heading3"/>
        <w:spacing w:before="247"/>
        <w:ind w:left="1702"/>
      </w:pPr>
      <w:r>
        <w:rPr/>
        <w:t>Социальная</w:t>
      </w:r>
      <w:r>
        <w:rPr>
          <w:spacing w:val="-10"/>
        </w:rPr>
        <w:t> </w:t>
      </w:r>
      <w:r>
        <w:rPr/>
        <w:t>инклюзия</w:t>
      </w:r>
      <w:r>
        <w:rPr>
          <w:spacing w:val="-8"/>
        </w:rPr>
        <w:t> </w:t>
      </w:r>
      <w:r>
        <w:rPr/>
        <w:t>в</w:t>
      </w:r>
      <w:r>
        <w:rPr>
          <w:spacing w:val="-8"/>
        </w:rPr>
        <w:t> </w:t>
      </w:r>
      <w:r>
        <w:rPr/>
        <w:t>образовании</w:t>
      </w:r>
      <w:r>
        <w:rPr>
          <w:spacing w:val="-4"/>
        </w:rPr>
        <w:t> </w:t>
      </w:r>
      <w:r>
        <w:rPr/>
        <w:t>детей-</w:t>
      </w:r>
      <w:r>
        <w:rPr>
          <w:spacing w:val="-2"/>
        </w:rPr>
        <w:t>мигрантов</w:t>
      </w:r>
    </w:p>
    <w:p>
      <w:pPr>
        <w:pStyle w:val="Heading4"/>
        <w:spacing w:line="276" w:lineRule="auto" w:before="242"/>
        <w:ind w:left="1702" w:right="846" w:firstLine="566"/>
      </w:pPr>
      <w:r>
        <w:rPr/>
        <w:t>Использование идей инклюзии в работе с детьми-мигрантами широко распространилось в международной педагогической практике за последние два десятилетия. Так, в Великобритании в 80-е годы прошлого века модель образования мигрантов строилась на идеях мультикультурализма и антирасизма, а с начала XXI века — уже на принципах инклюзивного образования (</w:t>
      </w:r>
      <w:r>
        <w:rPr>
          <w:i/>
        </w:rPr>
        <w:t>Reynolds</w:t>
      </w:r>
      <w:r>
        <w:rPr/>
        <w:t>, 2008).</w:t>
      </w:r>
    </w:p>
    <w:p>
      <w:pPr>
        <w:pStyle w:val="Heading4"/>
        <w:spacing w:line="276" w:lineRule="auto" w:before="1"/>
        <w:ind w:left="1702" w:right="846" w:firstLine="566"/>
      </w:pPr>
      <w:r>
        <w:rPr/>
        <w:t>Считается, что инклюзивное образование для мигрантов и этнических меньшинств</w:t>
      </w:r>
      <w:r>
        <w:rPr>
          <w:spacing w:val="-10"/>
        </w:rPr>
        <w:t> </w:t>
      </w:r>
      <w:r>
        <w:rPr/>
        <w:t>—</w:t>
      </w:r>
      <w:r>
        <w:rPr>
          <w:spacing w:val="-10"/>
        </w:rPr>
        <w:t> </w:t>
      </w:r>
      <w:r>
        <w:rPr/>
        <w:t>ключевой</w:t>
      </w:r>
      <w:r>
        <w:rPr>
          <w:spacing w:val="-10"/>
        </w:rPr>
        <w:t> </w:t>
      </w:r>
      <w:r>
        <w:rPr/>
        <w:t>фактор</w:t>
      </w:r>
      <w:r>
        <w:rPr>
          <w:spacing w:val="-7"/>
        </w:rPr>
        <w:t> </w:t>
      </w:r>
      <w:r>
        <w:rPr/>
        <w:t>при</w:t>
      </w:r>
      <w:r>
        <w:rPr>
          <w:spacing w:val="-9"/>
        </w:rPr>
        <w:t> </w:t>
      </w:r>
      <w:r>
        <w:rPr/>
        <w:t>ответе</w:t>
      </w:r>
      <w:r>
        <w:rPr>
          <w:spacing w:val="-10"/>
        </w:rPr>
        <w:t> </w:t>
      </w:r>
      <w:r>
        <w:rPr/>
        <w:t>на</w:t>
      </w:r>
      <w:r>
        <w:rPr>
          <w:spacing w:val="-10"/>
        </w:rPr>
        <w:t> </w:t>
      </w:r>
      <w:r>
        <w:rPr/>
        <w:t>вызовы,</w:t>
      </w:r>
      <w:r>
        <w:rPr>
          <w:spacing w:val="-11"/>
        </w:rPr>
        <w:t> </w:t>
      </w:r>
      <w:r>
        <w:rPr/>
        <w:t>которые</w:t>
      </w:r>
      <w:r>
        <w:rPr>
          <w:spacing w:val="-10"/>
        </w:rPr>
        <w:t> </w:t>
      </w:r>
      <w:r>
        <w:rPr/>
        <w:t>встают</w:t>
      </w:r>
      <w:r>
        <w:rPr>
          <w:spacing w:val="-10"/>
        </w:rPr>
        <w:t> </w:t>
      </w:r>
      <w:r>
        <w:rPr/>
        <w:t>перед школой в поликультурном социуме. Образование может предоставить возможность для равенства и социальной интеграции детей из числа мигрантов и этнических меньшинств путем создания инклюзивных условий обучения, учитывающих культурные особенности и индивидуальность обучающихся (</w:t>
      </w:r>
      <w:r>
        <w:rPr>
          <w:i/>
        </w:rPr>
        <w:t>Cefai </w:t>
      </w:r>
      <w:r>
        <w:rPr/>
        <w:t>et al., 2015).</w:t>
      </w:r>
    </w:p>
    <w:p>
      <w:pPr>
        <w:pStyle w:val="Heading4"/>
        <w:spacing w:line="276" w:lineRule="auto" w:before="1"/>
        <w:ind w:left="1702" w:right="843" w:firstLine="566"/>
      </w:pPr>
      <w:r>
        <w:rPr/>
        <w:t>По данным исследований, социальная изоляция от сверстников может серьезно подорвать процесс интеграции детей в принимающее общество (</w:t>
      </w:r>
      <w:r>
        <w:rPr>
          <w:i/>
        </w:rPr>
        <w:t>Cavicchiolo </w:t>
      </w:r>
      <w:r>
        <w:rPr/>
        <w:t>и др., 2020). Напротив, в социально инклюзивной среде ребенок-</w:t>
      </w:r>
    </w:p>
    <w:p>
      <w:pPr>
        <w:pStyle w:val="Heading4"/>
        <w:spacing w:after="0" w:line="276" w:lineRule="auto"/>
        <w:sectPr>
          <w:pgSz w:w="11910" w:h="16840"/>
          <w:pgMar w:header="0" w:footer="956" w:top="1040" w:bottom="1160" w:left="0" w:right="0"/>
        </w:sectPr>
      </w:pPr>
    </w:p>
    <w:p>
      <w:pPr>
        <w:pStyle w:val="Heading4"/>
        <w:spacing w:line="276" w:lineRule="auto" w:before="67"/>
        <w:ind w:left="1702" w:right="845"/>
      </w:pPr>
      <w:r>
        <w:rPr/>
        <w:t>мигрант меньше встречается с виктимизацией, предрассудками, дискриминацией и одиночеством, но ощущает принадлежность к группе и безопасность вследствие опыта позитивных межгрупповых взаимодействий (</w:t>
      </w:r>
      <w:r>
        <w:rPr>
          <w:i/>
        </w:rPr>
        <w:t>Adrienne </w:t>
      </w:r>
      <w:r>
        <w:rPr/>
        <w:t>et al., 2019). Социально инклюзивная образовательная среда характеризуется позитивными отношениями между детьми и учителями и межгрупповой гармонией для всех обучающихся, независимо от иммигрантского и этнического происхождения (</w:t>
      </w:r>
      <w:r>
        <w:rPr>
          <w:i/>
        </w:rPr>
        <w:t>Keles, Munthe, Ruud, </w:t>
      </w:r>
      <w:r>
        <w:rPr/>
        <w:t>2021).</w:t>
      </w:r>
    </w:p>
    <w:p>
      <w:pPr>
        <w:pStyle w:val="Heading4"/>
        <w:spacing w:line="276" w:lineRule="auto" w:before="1"/>
        <w:ind w:left="1702" w:right="843" w:firstLine="566"/>
      </w:pPr>
      <w:r>
        <w:rPr/>
        <w:t>В международном исследовании качества образования PISA вопросы инклюзии</w:t>
      </w:r>
      <w:r>
        <w:rPr>
          <w:spacing w:val="-17"/>
        </w:rPr>
        <w:t> </w:t>
      </w:r>
      <w:r>
        <w:rPr/>
        <w:t>детей-мигрантов</w:t>
      </w:r>
      <w:r>
        <w:rPr>
          <w:spacing w:val="-16"/>
        </w:rPr>
        <w:t> </w:t>
      </w:r>
      <w:r>
        <w:rPr/>
        <w:t>рассмотрены</w:t>
      </w:r>
      <w:r>
        <w:rPr>
          <w:spacing w:val="-16"/>
        </w:rPr>
        <w:t> </w:t>
      </w:r>
      <w:r>
        <w:rPr/>
        <w:t>в</w:t>
      </w:r>
      <w:r>
        <w:rPr>
          <w:spacing w:val="-16"/>
        </w:rPr>
        <w:t> </w:t>
      </w:r>
      <w:r>
        <w:rPr/>
        <w:t>контексте</w:t>
      </w:r>
      <w:r>
        <w:rPr>
          <w:spacing w:val="-17"/>
        </w:rPr>
        <w:t> </w:t>
      </w:r>
      <w:r>
        <w:rPr/>
        <w:t>равенства</w:t>
      </w:r>
      <w:r>
        <w:rPr>
          <w:spacing w:val="-15"/>
        </w:rPr>
        <w:t> </w:t>
      </w:r>
      <w:r>
        <w:rPr/>
        <w:t>в</w:t>
      </w:r>
      <w:r>
        <w:rPr>
          <w:spacing w:val="-16"/>
        </w:rPr>
        <w:t> </w:t>
      </w:r>
      <w:r>
        <w:rPr/>
        <w:t>образовании, которое осуществляется через реализацию двух принципов: инклюзия и справедливость. При этом инклюзия означает, что все обучающиеся приобретают необходимые для них базовые навыки. Цель инклюзии — обеспечить для всех обучающихся, особенно из неблагополучных семей или из традиционно маргинализированных групп (в том числе для детей- мигрантов), доступ к высококачественному образованию и достижение минимального уровня квалификации (OECD, 2019).</w:t>
      </w:r>
    </w:p>
    <w:p>
      <w:pPr>
        <w:pStyle w:val="Heading4"/>
        <w:spacing w:before="1"/>
        <w:ind w:left="2268"/>
      </w:pPr>
      <w:r>
        <w:rPr/>
        <w:t>В</w:t>
      </w:r>
      <w:r>
        <w:rPr>
          <w:spacing w:val="41"/>
        </w:rPr>
        <w:t>  </w:t>
      </w:r>
      <w:r>
        <w:rPr/>
        <w:t>настоящее</w:t>
      </w:r>
      <w:r>
        <w:rPr>
          <w:spacing w:val="42"/>
        </w:rPr>
        <w:t>  </w:t>
      </w:r>
      <w:r>
        <w:rPr/>
        <w:t>время</w:t>
      </w:r>
      <w:r>
        <w:rPr>
          <w:spacing w:val="42"/>
        </w:rPr>
        <w:t>  </w:t>
      </w:r>
      <w:r>
        <w:rPr/>
        <w:t>широко</w:t>
      </w:r>
      <w:r>
        <w:rPr>
          <w:spacing w:val="42"/>
        </w:rPr>
        <w:t>  </w:t>
      </w:r>
      <w:r>
        <w:rPr/>
        <w:t>распространены</w:t>
      </w:r>
      <w:r>
        <w:rPr>
          <w:spacing w:val="43"/>
        </w:rPr>
        <w:t>  </w:t>
      </w:r>
      <w:r>
        <w:rPr/>
        <w:t>такие</w:t>
      </w:r>
      <w:r>
        <w:rPr>
          <w:spacing w:val="41"/>
        </w:rPr>
        <w:t>  </w:t>
      </w:r>
      <w:r>
        <w:rPr/>
        <w:t>термины,</w:t>
      </w:r>
      <w:r>
        <w:rPr>
          <w:spacing w:val="41"/>
        </w:rPr>
        <w:t>  </w:t>
      </w:r>
      <w:r>
        <w:rPr>
          <w:spacing w:val="-5"/>
        </w:rPr>
        <w:t>как</w:t>
      </w:r>
    </w:p>
    <w:p>
      <w:pPr>
        <w:spacing w:line="276" w:lineRule="auto" w:before="48"/>
        <w:ind w:left="1702" w:right="845" w:firstLine="0"/>
        <w:jc w:val="both"/>
        <w:rPr>
          <w:sz w:val="28"/>
        </w:rPr>
      </w:pPr>
      <w:r>
        <w:rPr>
          <w:sz w:val="28"/>
        </w:rPr>
        <w:t>«культурно</w:t>
      </w:r>
      <w:r>
        <w:rPr>
          <w:spacing w:val="-3"/>
          <w:sz w:val="28"/>
        </w:rPr>
        <w:t> </w:t>
      </w:r>
      <w:r>
        <w:rPr>
          <w:sz w:val="28"/>
        </w:rPr>
        <w:t>инклюзивная</w:t>
      </w:r>
      <w:r>
        <w:rPr>
          <w:spacing w:val="-3"/>
          <w:sz w:val="28"/>
        </w:rPr>
        <w:t> </w:t>
      </w:r>
      <w:r>
        <w:rPr>
          <w:sz w:val="28"/>
        </w:rPr>
        <w:t>школа»</w:t>
      </w:r>
      <w:r>
        <w:rPr>
          <w:spacing w:val="-5"/>
          <w:sz w:val="28"/>
        </w:rPr>
        <w:t> </w:t>
      </w:r>
      <w:r>
        <w:rPr>
          <w:sz w:val="28"/>
        </w:rPr>
        <w:t>и</w:t>
      </w:r>
      <w:r>
        <w:rPr>
          <w:spacing w:val="-3"/>
          <w:sz w:val="28"/>
        </w:rPr>
        <w:t> </w:t>
      </w:r>
      <w:r>
        <w:rPr>
          <w:sz w:val="28"/>
        </w:rPr>
        <w:t>«культурно</w:t>
      </w:r>
      <w:r>
        <w:rPr>
          <w:spacing w:val="-4"/>
          <w:sz w:val="28"/>
        </w:rPr>
        <w:t> </w:t>
      </w:r>
      <w:r>
        <w:rPr>
          <w:sz w:val="28"/>
        </w:rPr>
        <w:t>инклюзивный</w:t>
      </w:r>
      <w:r>
        <w:rPr>
          <w:spacing w:val="-3"/>
          <w:sz w:val="28"/>
        </w:rPr>
        <w:t> </w:t>
      </w:r>
      <w:r>
        <w:rPr>
          <w:sz w:val="28"/>
        </w:rPr>
        <w:t>учебный</w:t>
      </w:r>
      <w:r>
        <w:rPr>
          <w:spacing w:val="-3"/>
          <w:sz w:val="28"/>
        </w:rPr>
        <w:t> </w:t>
      </w:r>
      <w:r>
        <w:rPr>
          <w:sz w:val="28"/>
        </w:rPr>
        <w:t>план», инклюзивные</w:t>
      </w:r>
      <w:r>
        <w:rPr>
          <w:spacing w:val="-5"/>
          <w:sz w:val="28"/>
        </w:rPr>
        <w:t> </w:t>
      </w:r>
      <w:r>
        <w:rPr>
          <w:sz w:val="28"/>
        </w:rPr>
        <w:t>технологии</w:t>
      </w:r>
      <w:r>
        <w:rPr>
          <w:spacing w:val="-5"/>
          <w:sz w:val="28"/>
        </w:rPr>
        <w:t> </w:t>
      </w:r>
      <w:r>
        <w:rPr>
          <w:sz w:val="28"/>
        </w:rPr>
        <w:t>широко</w:t>
      </w:r>
      <w:r>
        <w:rPr>
          <w:spacing w:val="-4"/>
          <w:sz w:val="28"/>
        </w:rPr>
        <w:t> </w:t>
      </w:r>
      <w:r>
        <w:rPr>
          <w:sz w:val="28"/>
        </w:rPr>
        <w:t>используются</w:t>
      </w:r>
      <w:r>
        <w:rPr>
          <w:spacing w:val="-5"/>
          <w:sz w:val="28"/>
        </w:rPr>
        <w:t> </w:t>
      </w:r>
      <w:r>
        <w:rPr>
          <w:sz w:val="28"/>
        </w:rPr>
        <w:t>в</w:t>
      </w:r>
      <w:r>
        <w:rPr>
          <w:spacing w:val="-6"/>
          <w:sz w:val="28"/>
        </w:rPr>
        <w:t> </w:t>
      </w:r>
      <w:r>
        <w:rPr>
          <w:sz w:val="28"/>
        </w:rPr>
        <w:t>различных</w:t>
      </w:r>
      <w:r>
        <w:rPr>
          <w:spacing w:val="-4"/>
          <w:sz w:val="28"/>
        </w:rPr>
        <w:t> </w:t>
      </w:r>
      <w:r>
        <w:rPr>
          <w:sz w:val="28"/>
        </w:rPr>
        <w:t>странах</w:t>
      </w:r>
      <w:r>
        <w:rPr>
          <w:spacing w:val="-4"/>
          <w:sz w:val="28"/>
        </w:rPr>
        <w:t> </w:t>
      </w:r>
      <w:r>
        <w:rPr>
          <w:sz w:val="28"/>
        </w:rPr>
        <w:t>Европы для образования мигрантов и беженцев (</w:t>
      </w:r>
      <w:r>
        <w:rPr>
          <w:i/>
          <w:sz w:val="28"/>
        </w:rPr>
        <w:t>Guo-Brenna, Guo-Brennan, </w:t>
      </w:r>
      <w:r>
        <w:rPr>
          <w:sz w:val="28"/>
        </w:rPr>
        <w:t>2019; </w:t>
      </w:r>
      <w:r>
        <w:rPr>
          <w:i/>
          <w:sz w:val="28"/>
        </w:rPr>
        <w:t>Mahoney, Siyambalapitiya, </w:t>
      </w:r>
      <w:r>
        <w:rPr>
          <w:sz w:val="28"/>
        </w:rPr>
        <w:t>2017; </w:t>
      </w:r>
      <w:r>
        <w:rPr>
          <w:i/>
          <w:sz w:val="28"/>
        </w:rPr>
        <w:t>Rodriguez-Valls, </w:t>
      </w:r>
      <w:r>
        <w:rPr>
          <w:sz w:val="28"/>
        </w:rPr>
        <w:t>2016; </w:t>
      </w:r>
      <w:r>
        <w:rPr>
          <w:i/>
          <w:sz w:val="28"/>
        </w:rPr>
        <w:t>Tajic, Bunar, </w:t>
      </w:r>
      <w:r>
        <w:rPr>
          <w:sz w:val="28"/>
        </w:rPr>
        <w:t>2020).</w:t>
      </w:r>
    </w:p>
    <w:p>
      <w:pPr>
        <w:pStyle w:val="Heading4"/>
        <w:spacing w:line="276" w:lineRule="auto"/>
        <w:ind w:left="1702" w:right="847" w:firstLine="566"/>
      </w:pPr>
      <w:r>
        <w:rPr/>
        <w:t>Итак, социальная инклюзия детей-мигрантов с помощью образования может считаться основной составляющей успешной интеграции в принимающее общество (</w:t>
      </w:r>
      <w:r>
        <w:rPr>
          <w:i/>
        </w:rPr>
        <w:t>Ortega </w:t>
      </w:r>
      <w:r>
        <w:rPr/>
        <w:t>et al., 2020). Рассмотрим этот процесс в контексте механизмов интеграции в принимающее общество.</w:t>
      </w:r>
    </w:p>
    <w:p>
      <w:pPr>
        <w:pStyle w:val="Heading3"/>
        <w:spacing w:line="278" w:lineRule="auto" w:before="247"/>
        <w:ind w:left="1702" w:right="849"/>
      </w:pPr>
      <w:r>
        <w:rPr/>
        <w:t>Социально-инклюзивный</w:t>
      </w:r>
      <w:r>
        <w:rPr>
          <w:spacing w:val="80"/>
          <w:w w:val="150"/>
        </w:rPr>
        <w:t> </w:t>
      </w:r>
      <w:r>
        <w:rPr/>
        <w:t>подход:</w:t>
      </w:r>
      <w:r>
        <w:rPr>
          <w:spacing w:val="80"/>
          <w:w w:val="150"/>
        </w:rPr>
        <w:t> </w:t>
      </w:r>
      <w:r>
        <w:rPr/>
        <w:t>учет</w:t>
      </w:r>
      <w:r>
        <w:rPr>
          <w:spacing w:val="80"/>
          <w:w w:val="150"/>
        </w:rPr>
        <w:t> </w:t>
      </w:r>
      <w:r>
        <w:rPr/>
        <w:t>«инаковости»</w:t>
      </w:r>
      <w:r>
        <w:rPr>
          <w:spacing w:val="80"/>
          <w:w w:val="150"/>
        </w:rPr>
        <w:t> </w:t>
      </w:r>
      <w:r>
        <w:rPr/>
        <w:t>и</w:t>
      </w:r>
      <w:r>
        <w:rPr>
          <w:spacing w:val="80"/>
          <w:w w:val="150"/>
        </w:rPr>
        <w:t> </w:t>
      </w:r>
      <w:r>
        <w:rPr/>
        <w:t>ориентация на «включение»</w:t>
      </w:r>
    </w:p>
    <w:p>
      <w:pPr>
        <w:pStyle w:val="Heading4"/>
        <w:spacing w:line="276" w:lineRule="auto" w:before="228"/>
        <w:ind w:left="1702" w:right="848" w:firstLine="566"/>
      </w:pPr>
      <w:r>
        <w:rPr/>
        <w:t>Социально-инклюзивный подход к интеграции детей-мигрантов в принимающее общество опирается на поликультурный подход к пониманию отношений между людьми разных культур. Только таким образом мы можем одновременно учитывать культурные различия и обеспечивать включение всех их носителей в общий поток.</w:t>
      </w:r>
    </w:p>
    <w:p>
      <w:pPr>
        <w:pStyle w:val="Heading4"/>
        <w:spacing w:line="276" w:lineRule="auto"/>
        <w:ind w:left="1702" w:right="845" w:firstLine="566"/>
      </w:pPr>
      <w:r>
        <w:rPr/>
        <w:t>Думая, рассуждая, оценивая и организовывая общение людей из разных культурных сред (в том числе детей-мигрантов и принимающего общества), мы вольно или невольно основываемся на одном из четырех нормативных пониманий такого общения. Мы имплицитно выбираем одну из четырех идеологий</w:t>
      </w:r>
      <w:r>
        <w:rPr>
          <w:spacing w:val="6"/>
        </w:rPr>
        <w:t> </w:t>
      </w:r>
      <w:r>
        <w:rPr/>
        <w:t>межгрупповых</w:t>
      </w:r>
      <w:r>
        <w:rPr>
          <w:spacing w:val="7"/>
        </w:rPr>
        <w:t> </w:t>
      </w:r>
      <w:r>
        <w:rPr/>
        <w:t>отношений.</w:t>
      </w:r>
      <w:r>
        <w:rPr>
          <w:spacing w:val="5"/>
        </w:rPr>
        <w:t> </w:t>
      </w:r>
      <w:r>
        <w:rPr/>
        <w:t>Каждая</w:t>
      </w:r>
      <w:r>
        <w:rPr>
          <w:spacing w:val="7"/>
        </w:rPr>
        <w:t> </w:t>
      </w:r>
      <w:r>
        <w:rPr/>
        <w:t>из</w:t>
      </w:r>
      <w:r>
        <w:rPr>
          <w:spacing w:val="8"/>
        </w:rPr>
        <w:t> </w:t>
      </w:r>
      <w:r>
        <w:rPr/>
        <w:t>них</w:t>
      </w:r>
      <w:r>
        <w:rPr>
          <w:spacing w:val="9"/>
        </w:rPr>
        <w:t> </w:t>
      </w:r>
      <w:r>
        <w:rPr/>
        <w:t>отражает</w:t>
      </w:r>
      <w:r>
        <w:rPr>
          <w:spacing w:val="8"/>
        </w:rPr>
        <w:t> </w:t>
      </w:r>
      <w:r>
        <w:rPr>
          <w:spacing w:val="-2"/>
        </w:rPr>
        <w:t>совокупность</w:t>
      </w:r>
    </w:p>
    <w:p>
      <w:pPr>
        <w:pStyle w:val="Heading4"/>
        <w:spacing w:after="0" w:line="276" w:lineRule="auto"/>
        <w:sectPr>
          <w:pgSz w:w="11910" w:h="16840"/>
          <w:pgMar w:header="0" w:footer="956" w:top="1040" w:bottom="1220" w:left="0" w:right="0"/>
        </w:sectPr>
      </w:pPr>
    </w:p>
    <w:p>
      <w:pPr>
        <w:pStyle w:val="Heading4"/>
        <w:spacing w:line="276" w:lineRule="auto" w:before="67"/>
        <w:ind w:left="1702" w:right="846"/>
      </w:pPr>
      <w:r>
        <w:rPr/>
        <w:t>определенных правил и норм относительно не доминирующих в обществе социальных</w:t>
      </w:r>
      <w:r>
        <w:rPr>
          <w:spacing w:val="-18"/>
        </w:rPr>
        <w:t> </w:t>
      </w:r>
      <w:r>
        <w:rPr/>
        <w:t>групп</w:t>
      </w:r>
      <w:r>
        <w:rPr>
          <w:spacing w:val="-17"/>
        </w:rPr>
        <w:t> </w:t>
      </w:r>
      <w:r>
        <w:rPr/>
        <w:t>(в</w:t>
      </w:r>
      <w:r>
        <w:rPr>
          <w:spacing w:val="-18"/>
        </w:rPr>
        <w:t> </w:t>
      </w:r>
      <w:r>
        <w:rPr/>
        <w:t>первую</w:t>
      </w:r>
      <w:r>
        <w:rPr>
          <w:spacing w:val="-17"/>
        </w:rPr>
        <w:t> </w:t>
      </w:r>
      <w:r>
        <w:rPr/>
        <w:t>очередь,</w:t>
      </w:r>
      <w:r>
        <w:rPr>
          <w:spacing w:val="-18"/>
        </w:rPr>
        <w:t> </w:t>
      </w:r>
      <w:r>
        <w:rPr/>
        <w:t>инокультурных</w:t>
      </w:r>
      <w:r>
        <w:rPr>
          <w:spacing w:val="-17"/>
        </w:rPr>
        <w:t> </w:t>
      </w:r>
      <w:r>
        <w:rPr/>
        <w:t>мигрантов).</w:t>
      </w:r>
      <w:r>
        <w:rPr>
          <w:spacing w:val="-18"/>
        </w:rPr>
        <w:t> </w:t>
      </w:r>
      <w:r>
        <w:rPr/>
        <w:t>Рассмотрим этот вопрос подробнее, так как только одна из вышеназванных идеологий обеспечивает социально-инклюзивный подход, остальные ему противоречат.</w:t>
      </w:r>
    </w:p>
    <w:p>
      <w:pPr>
        <w:pStyle w:val="Heading4"/>
        <w:numPr>
          <w:ilvl w:val="0"/>
          <w:numId w:val="2"/>
        </w:numPr>
        <w:tabs>
          <w:tab w:pos="2654" w:val="left" w:leader="none"/>
        </w:tabs>
        <w:spacing w:line="276" w:lineRule="auto" w:before="3" w:after="0"/>
        <w:ind w:left="1702" w:right="851" w:firstLine="566"/>
        <w:jc w:val="both"/>
      </w:pPr>
      <w:r>
        <w:rPr/>
        <w:t>А</w:t>
      </w:r>
      <w:r>
        <w:rPr>
          <w:i/>
        </w:rPr>
        <w:t>ссимиляционизм </w:t>
      </w:r>
      <w:r>
        <w:rPr/>
        <w:t>предполагает наличие в обществе одной общей культурной группы, при этом этнические меньшинства и мигранты должны соответствовать основной части общества, приняв доминирующую культуру и полностью отказавшись от своей собственной.</w:t>
      </w:r>
    </w:p>
    <w:p>
      <w:pPr>
        <w:pStyle w:val="Heading4"/>
        <w:numPr>
          <w:ilvl w:val="0"/>
          <w:numId w:val="2"/>
        </w:numPr>
        <w:tabs>
          <w:tab w:pos="2676" w:val="left" w:leader="none"/>
        </w:tabs>
        <w:spacing w:line="276" w:lineRule="auto" w:before="0" w:after="0"/>
        <w:ind w:left="1702" w:right="850" w:firstLine="566"/>
        <w:jc w:val="both"/>
      </w:pPr>
      <w:r>
        <w:rPr/>
        <w:t>Э</w:t>
      </w:r>
      <w:r>
        <w:rPr>
          <w:i/>
        </w:rPr>
        <w:t>тнический дальтонизм </w:t>
      </w:r>
      <w:r>
        <w:rPr/>
        <w:t>полагает, что межгрупповые отношения могут быть улучшены путем игнорирования различий между группами.</w:t>
      </w:r>
    </w:p>
    <w:p>
      <w:pPr>
        <w:pStyle w:val="Heading4"/>
        <w:numPr>
          <w:ilvl w:val="0"/>
          <w:numId w:val="2"/>
        </w:numPr>
        <w:tabs>
          <w:tab w:pos="2554" w:val="left" w:leader="none"/>
        </w:tabs>
        <w:spacing w:line="278" w:lineRule="auto" w:before="0" w:after="0"/>
        <w:ind w:left="1702" w:right="851" w:firstLine="566"/>
        <w:jc w:val="both"/>
      </w:pPr>
      <w:r>
        <w:rPr>
          <w:i/>
          <w:spacing w:val="-2"/>
        </w:rPr>
        <w:t>Мультикультурализм </w:t>
      </w:r>
      <w:r>
        <w:rPr>
          <w:spacing w:val="-2"/>
        </w:rPr>
        <w:t>признает</w:t>
      </w:r>
      <w:r>
        <w:rPr>
          <w:spacing w:val="-4"/>
        </w:rPr>
        <w:t> </w:t>
      </w:r>
      <w:r>
        <w:rPr>
          <w:spacing w:val="-2"/>
        </w:rPr>
        <w:t>различия между</w:t>
      </w:r>
      <w:r>
        <w:rPr>
          <w:spacing w:val="-5"/>
        </w:rPr>
        <w:t> </w:t>
      </w:r>
      <w:r>
        <w:rPr>
          <w:spacing w:val="-2"/>
        </w:rPr>
        <w:t>этническими группами </w:t>
      </w:r>
      <w:r>
        <w:rPr/>
        <w:t>и предполагает сохранение этого многообразия.</w:t>
      </w:r>
    </w:p>
    <w:p>
      <w:pPr>
        <w:pStyle w:val="ListParagraph"/>
        <w:numPr>
          <w:ilvl w:val="0"/>
          <w:numId w:val="2"/>
        </w:numPr>
        <w:tabs>
          <w:tab w:pos="2590" w:val="left" w:leader="none"/>
        </w:tabs>
        <w:spacing w:line="276" w:lineRule="auto" w:before="0" w:after="0"/>
        <w:ind w:left="1702" w:right="846" w:firstLine="566"/>
        <w:jc w:val="both"/>
        <w:rPr>
          <w:sz w:val="28"/>
        </w:rPr>
      </w:pPr>
      <w:r>
        <w:rPr>
          <w:i/>
          <w:sz w:val="28"/>
        </w:rPr>
        <w:t>Поликультурализм </w:t>
      </w:r>
      <w:r>
        <w:rPr>
          <w:sz w:val="28"/>
        </w:rPr>
        <w:t>подразумевает наличие тесной связи между всеми этническими группами, проживающими в одном обществе, и меньшее значение придает границам между ними (</w:t>
      </w:r>
      <w:r>
        <w:rPr>
          <w:i/>
          <w:sz w:val="28"/>
        </w:rPr>
        <w:t>Григорьев, Батхина, Дубров</w:t>
      </w:r>
      <w:r>
        <w:rPr>
          <w:sz w:val="28"/>
        </w:rPr>
        <w:t>, 2018).</w:t>
      </w:r>
    </w:p>
    <w:p>
      <w:pPr>
        <w:pStyle w:val="Heading4"/>
        <w:spacing w:line="276" w:lineRule="auto"/>
        <w:ind w:left="1702" w:right="843" w:firstLine="566"/>
      </w:pPr>
      <w:r>
        <w:rPr/>
        <w:t>Согласно таксономии межгрупповых идеологий (</w:t>
      </w:r>
      <w:r>
        <w:rPr>
          <w:i/>
        </w:rPr>
        <w:t>Григорьев, Батхина, Дубров</w:t>
      </w:r>
      <w:r>
        <w:rPr/>
        <w:t>, 2018) ассимиляционизм и этнический дальтонизм основаны на отрицании культурного многообразия. Основываясь на них, мы игнорируем культурные различия и соглашаемся с тем, что этнические меньшинства и мигранты должны соответствовать основной части общества, приняв доминирующую культуру, и полностью отказаться от своей собственной. Очевидно, что такое отношение к «инаковости» противоречит социально- инклюзивному подходу.</w:t>
      </w:r>
    </w:p>
    <w:p>
      <w:pPr>
        <w:pStyle w:val="Heading4"/>
        <w:spacing w:line="276" w:lineRule="auto"/>
        <w:ind w:left="1702" w:right="848" w:firstLine="566"/>
      </w:pPr>
      <w:r>
        <w:rPr/>
        <w:t>На этих идеологиях строятся такие модели образования, в процессе реализации которых возникает активная борьба с культурным разнообразием (</w:t>
      </w:r>
      <w:r>
        <w:rPr>
          <w:i/>
        </w:rPr>
        <w:t>Хухлаева</w:t>
      </w:r>
      <w:r>
        <w:rPr>
          <w:i/>
          <w:spacing w:val="61"/>
        </w:rPr>
        <w:t>  </w:t>
      </w:r>
      <w:r>
        <w:rPr/>
        <w:t>и</w:t>
      </w:r>
      <w:r>
        <w:rPr>
          <w:spacing w:val="62"/>
        </w:rPr>
        <w:t>  </w:t>
      </w:r>
      <w:r>
        <w:rPr/>
        <w:t>др.,</w:t>
      </w:r>
      <w:r>
        <w:rPr>
          <w:spacing w:val="61"/>
        </w:rPr>
        <w:t>  </w:t>
      </w:r>
      <w:r>
        <w:rPr/>
        <w:t>2020).</w:t>
      </w:r>
      <w:r>
        <w:rPr>
          <w:spacing w:val="61"/>
        </w:rPr>
        <w:t>  </w:t>
      </w:r>
      <w:r>
        <w:rPr/>
        <w:t>Это</w:t>
      </w:r>
      <w:r>
        <w:rPr>
          <w:spacing w:val="63"/>
        </w:rPr>
        <w:t>  </w:t>
      </w:r>
      <w:r>
        <w:rPr/>
        <w:t>«ассимилятивная»,</w:t>
      </w:r>
      <w:r>
        <w:rPr>
          <w:spacing w:val="61"/>
        </w:rPr>
        <w:t>  </w:t>
      </w:r>
      <w:r>
        <w:rPr/>
        <w:t>«сегрегационная»</w:t>
      </w:r>
      <w:r>
        <w:rPr>
          <w:spacing w:val="60"/>
        </w:rPr>
        <w:t>  </w:t>
      </w:r>
      <w:r>
        <w:rPr>
          <w:spacing w:val="-10"/>
        </w:rPr>
        <w:t>и</w:t>
      </w:r>
    </w:p>
    <w:p>
      <w:pPr>
        <w:pStyle w:val="Heading4"/>
        <w:ind w:left="1702"/>
      </w:pPr>
      <w:r>
        <w:rPr/>
        <w:t>«компенсаторная»</w:t>
      </w:r>
      <w:r>
        <w:rPr>
          <w:spacing w:val="-13"/>
        </w:rPr>
        <w:t> </w:t>
      </w:r>
      <w:r>
        <w:rPr/>
        <w:t>модели</w:t>
      </w:r>
      <w:r>
        <w:rPr>
          <w:spacing w:val="-10"/>
        </w:rPr>
        <w:t> </w:t>
      </w:r>
      <w:r>
        <w:rPr>
          <w:spacing w:val="-2"/>
        </w:rPr>
        <w:t>образования.</w:t>
      </w:r>
    </w:p>
    <w:p>
      <w:pPr>
        <w:pStyle w:val="Heading4"/>
        <w:spacing w:line="276" w:lineRule="auto" w:before="42"/>
        <w:ind w:left="1702" w:right="846" w:firstLine="566"/>
      </w:pPr>
      <w:r>
        <w:rPr/>
        <w:t>«Ассимилятивная» модель предлагает обучающимся — представителям национальных</w:t>
      </w:r>
      <w:r>
        <w:rPr>
          <w:spacing w:val="-14"/>
        </w:rPr>
        <w:t> </w:t>
      </w:r>
      <w:r>
        <w:rPr/>
        <w:t>меньшинств</w:t>
      </w:r>
      <w:r>
        <w:rPr>
          <w:spacing w:val="-14"/>
        </w:rPr>
        <w:t> </w:t>
      </w:r>
      <w:r>
        <w:rPr/>
        <w:t>освободиться</w:t>
      </w:r>
      <w:r>
        <w:rPr>
          <w:spacing w:val="-14"/>
        </w:rPr>
        <w:t> </w:t>
      </w:r>
      <w:r>
        <w:rPr/>
        <w:t>от</w:t>
      </w:r>
      <w:r>
        <w:rPr>
          <w:spacing w:val="-14"/>
        </w:rPr>
        <w:t> </w:t>
      </w:r>
      <w:r>
        <w:rPr/>
        <w:t>своей</w:t>
      </w:r>
      <w:r>
        <w:rPr>
          <w:spacing w:val="-14"/>
        </w:rPr>
        <w:t> </w:t>
      </w:r>
      <w:r>
        <w:rPr/>
        <w:t>этнической</w:t>
      </w:r>
      <w:r>
        <w:rPr>
          <w:spacing w:val="-14"/>
        </w:rPr>
        <w:t> </w:t>
      </w:r>
      <w:r>
        <w:rPr/>
        <w:t>идентичности</w:t>
      </w:r>
      <w:r>
        <w:rPr>
          <w:spacing w:val="-15"/>
        </w:rPr>
        <w:t> </w:t>
      </w:r>
      <w:r>
        <w:rPr/>
        <w:t>и только таким способом включаться в общенациональную культуру. Такой образовательный</w:t>
      </w:r>
      <w:r>
        <w:rPr>
          <w:spacing w:val="-18"/>
        </w:rPr>
        <w:t> </w:t>
      </w:r>
      <w:r>
        <w:rPr/>
        <w:t>процесс</w:t>
      </w:r>
      <w:r>
        <w:rPr>
          <w:spacing w:val="-17"/>
        </w:rPr>
        <w:t> </w:t>
      </w:r>
      <w:r>
        <w:rPr/>
        <w:t>исключает</w:t>
      </w:r>
      <w:r>
        <w:rPr>
          <w:spacing w:val="-18"/>
        </w:rPr>
        <w:t> </w:t>
      </w:r>
      <w:r>
        <w:rPr/>
        <w:t>использование</w:t>
      </w:r>
      <w:r>
        <w:rPr>
          <w:spacing w:val="-17"/>
        </w:rPr>
        <w:t> </w:t>
      </w:r>
      <w:r>
        <w:rPr/>
        <w:t>родного</w:t>
      </w:r>
      <w:r>
        <w:rPr>
          <w:spacing w:val="-18"/>
        </w:rPr>
        <w:t> </w:t>
      </w:r>
      <w:r>
        <w:rPr/>
        <w:t>языка</w:t>
      </w:r>
      <w:r>
        <w:rPr>
          <w:spacing w:val="-17"/>
        </w:rPr>
        <w:t> </w:t>
      </w:r>
      <w:r>
        <w:rPr/>
        <w:t>или</w:t>
      </w:r>
      <w:r>
        <w:rPr>
          <w:spacing w:val="-18"/>
        </w:rPr>
        <w:t> </w:t>
      </w:r>
      <w:r>
        <w:rPr/>
        <w:t>других элементов этнической культуры, признавая их «вредными» для школьной </w:t>
      </w:r>
      <w:r>
        <w:rPr>
          <w:spacing w:val="-2"/>
        </w:rPr>
        <w:t>успеваемости.</w:t>
      </w:r>
    </w:p>
    <w:p>
      <w:pPr>
        <w:pStyle w:val="Heading4"/>
        <w:spacing w:line="276" w:lineRule="auto" w:before="1"/>
        <w:ind w:left="1702" w:right="848" w:firstLine="566"/>
      </w:pPr>
      <w:r>
        <w:rPr/>
        <w:t>«Сегрегационная» модель обосновывает создание специальных этнических школ или классов</w:t>
      </w:r>
      <w:r>
        <w:rPr>
          <w:spacing w:val="-1"/>
        </w:rPr>
        <w:t> </w:t>
      </w:r>
      <w:r>
        <w:rPr/>
        <w:t>для обучающихся групп меньшинств исходя из того, что эти группы имеют специфические генетические и психологические особенности, которые не позволят им осваивать материал вместе с обучающимися</w:t>
      </w:r>
      <w:r>
        <w:rPr>
          <w:spacing w:val="43"/>
          <w:w w:val="150"/>
        </w:rPr>
        <w:t>  </w:t>
      </w:r>
      <w:r>
        <w:rPr/>
        <w:t>группы</w:t>
      </w:r>
      <w:r>
        <w:rPr>
          <w:spacing w:val="46"/>
          <w:w w:val="150"/>
        </w:rPr>
        <w:t>  </w:t>
      </w:r>
      <w:r>
        <w:rPr/>
        <w:t>большинства;</w:t>
      </w:r>
      <w:r>
        <w:rPr>
          <w:spacing w:val="46"/>
          <w:w w:val="150"/>
        </w:rPr>
        <w:t>  </w:t>
      </w:r>
      <w:r>
        <w:rPr/>
        <w:t>только</w:t>
      </w:r>
      <w:r>
        <w:rPr>
          <w:spacing w:val="46"/>
          <w:w w:val="150"/>
        </w:rPr>
        <w:t>  </w:t>
      </w:r>
      <w:r>
        <w:rPr/>
        <w:t>создание</w:t>
      </w:r>
      <w:r>
        <w:rPr>
          <w:spacing w:val="46"/>
          <w:w w:val="150"/>
        </w:rPr>
        <w:t>  </w:t>
      </w:r>
      <w:r>
        <w:rPr>
          <w:spacing w:val="-2"/>
        </w:rPr>
        <w:t>специальных</w:t>
      </w:r>
    </w:p>
    <w:p>
      <w:pPr>
        <w:pStyle w:val="Heading4"/>
        <w:spacing w:after="0" w:line="276" w:lineRule="auto"/>
        <w:sectPr>
          <w:pgSz w:w="11910" w:h="16840"/>
          <w:pgMar w:header="0" w:footer="956" w:top="1040" w:bottom="1220" w:left="0" w:right="0"/>
        </w:sectPr>
      </w:pPr>
    </w:p>
    <w:p>
      <w:pPr>
        <w:pStyle w:val="Heading4"/>
        <w:spacing w:line="278" w:lineRule="auto" w:before="67"/>
        <w:ind w:left="1702" w:right="845"/>
      </w:pPr>
      <w:r>
        <w:rPr/>
        <w:t>коррекционных классов даст возможность обучающмся получить хоть какое- то образование и более или менее хорошую профессию.</w:t>
      </w:r>
    </w:p>
    <w:p>
      <w:pPr>
        <w:pStyle w:val="Heading4"/>
        <w:spacing w:line="276" w:lineRule="auto"/>
        <w:ind w:left="1702" w:right="847" w:firstLine="566"/>
      </w:pPr>
      <w:r>
        <w:rPr/>
        <w:t>«Компенсаторная» образовательная модель предполагает, что образование</w:t>
      </w:r>
      <w:r>
        <w:rPr>
          <w:spacing w:val="80"/>
        </w:rPr>
        <w:t>  </w:t>
      </w:r>
      <w:r>
        <w:rPr/>
        <w:t>должно</w:t>
      </w:r>
      <w:r>
        <w:rPr>
          <w:spacing w:val="80"/>
        </w:rPr>
        <w:t>  </w:t>
      </w:r>
      <w:r>
        <w:rPr/>
        <w:t>компенсировать</w:t>
      </w:r>
      <w:r>
        <w:rPr>
          <w:spacing w:val="80"/>
        </w:rPr>
        <w:t>  </w:t>
      </w:r>
      <w:r>
        <w:rPr/>
        <w:t>коррекционными</w:t>
      </w:r>
      <w:r>
        <w:rPr>
          <w:spacing w:val="80"/>
        </w:rPr>
        <w:t>  </w:t>
      </w:r>
      <w:r>
        <w:rPr/>
        <w:t>программами</w:t>
      </w:r>
    </w:p>
    <w:p>
      <w:pPr>
        <w:pStyle w:val="Heading4"/>
        <w:spacing w:line="276" w:lineRule="auto"/>
        <w:ind w:left="1702" w:right="847"/>
      </w:pPr>
      <w:r>
        <w:rPr/>
        <w:t>«социокультурный дефицит», неизбежно возникающий в семьях и социальном окружении детей определенных этнических групп, например цыган. Этот «дефицит» заключается в недостаточности знаний и культурных навыков для успешного обучения в школе. Модель часто применяется к обучению</w:t>
      </w:r>
      <w:r>
        <w:rPr>
          <w:spacing w:val="40"/>
        </w:rPr>
        <w:t>  </w:t>
      </w:r>
      <w:r>
        <w:rPr/>
        <w:t>детей-мигрантов</w:t>
      </w:r>
      <w:r>
        <w:rPr>
          <w:spacing w:val="40"/>
        </w:rPr>
        <w:t>  </w:t>
      </w:r>
      <w:r>
        <w:rPr/>
        <w:t>тогда,</w:t>
      </w:r>
      <w:r>
        <w:rPr>
          <w:spacing w:val="40"/>
        </w:rPr>
        <w:t>  </w:t>
      </w:r>
      <w:r>
        <w:rPr/>
        <w:t>когда</w:t>
      </w:r>
      <w:r>
        <w:rPr>
          <w:spacing w:val="40"/>
        </w:rPr>
        <w:t>  </w:t>
      </w:r>
      <w:r>
        <w:rPr/>
        <w:t>учителя,</w:t>
      </w:r>
      <w:r>
        <w:rPr>
          <w:spacing w:val="40"/>
        </w:rPr>
        <w:t>  </w:t>
      </w:r>
      <w:r>
        <w:rPr/>
        <w:t>считая</w:t>
      </w:r>
      <w:r>
        <w:rPr>
          <w:spacing w:val="40"/>
        </w:rPr>
        <w:t>  </w:t>
      </w:r>
      <w:r>
        <w:rPr/>
        <w:t>таких</w:t>
      </w:r>
      <w:r>
        <w:rPr>
          <w:spacing w:val="40"/>
        </w:rPr>
        <w:t>  </w:t>
      </w:r>
      <w:r>
        <w:rPr/>
        <w:t>детей</w:t>
      </w:r>
    </w:p>
    <w:p>
      <w:pPr>
        <w:pStyle w:val="Heading4"/>
        <w:spacing w:line="276" w:lineRule="auto"/>
        <w:ind w:left="1702" w:right="845"/>
      </w:pPr>
      <w:r>
        <w:rPr/>
        <w:t>«умственно неполноценными», начинают использовать методики коррекционного обучения и приклеивают им ярлык «неполноценного ученика».</w:t>
      </w:r>
      <w:r>
        <w:rPr>
          <w:spacing w:val="-18"/>
        </w:rPr>
        <w:t> </w:t>
      </w:r>
      <w:r>
        <w:rPr/>
        <w:t>Другой</w:t>
      </w:r>
      <w:r>
        <w:rPr>
          <w:spacing w:val="-17"/>
        </w:rPr>
        <w:t> </w:t>
      </w:r>
      <w:r>
        <w:rPr/>
        <w:t>результат</w:t>
      </w:r>
      <w:r>
        <w:rPr>
          <w:spacing w:val="-18"/>
        </w:rPr>
        <w:t> </w:t>
      </w:r>
      <w:r>
        <w:rPr/>
        <w:t>использования</w:t>
      </w:r>
      <w:r>
        <w:rPr>
          <w:spacing w:val="-17"/>
        </w:rPr>
        <w:t> </w:t>
      </w:r>
      <w:r>
        <w:rPr/>
        <w:t>модели</w:t>
      </w:r>
      <w:r>
        <w:rPr>
          <w:spacing w:val="-18"/>
        </w:rPr>
        <w:t> </w:t>
      </w:r>
      <w:r>
        <w:rPr/>
        <w:t>компенсаторного</w:t>
      </w:r>
      <w:r>
        <w:rPr>
          <w:spacing w:val="-17"/>
        </w:rPr>
        <w:t> </w:t>
      </w:r>
      <w:r>
        <w:rPr/>
        <w:t>обучения состоит в школьном отставании, причина которого приписывается родному языку и культуре ребенка, якобы мешающим лучшей успеваемости его в школе, где используется исключительно доминирующий в обществе язык и более «развитая и продвинутая» культура.</w:t>
      </w:r>
    </w:p>
    <w:p>
      <w:pPr>
        <w:spacing w:line="276" w:lineRule="auto" w:before="0"/>
        <w:ind w:left="1702" w:right="845" w:firstLine="566"/>
        <w:jc w:val="both"/>
        <w:rPr>
          <w:sz w:val="28"/>
        </w:rPr>
      </w:pPr>
      <w:r>
        <w:rPr>
          <w:sz w:val="28"/>
        </w:rPr>
        <w:t>В отличие от </w:t>
      </w:r>
      <w:r>
        <w:rPr>
          <w:i/>
          <w:sz w:val="28"/>
        </w:rPr>
        <w:t>ассимиляционизма </w:t>
      </w:r>
      <w:r>
        <w:rPr>
          <w:sz w:val="28"/>
        </w:rPr>
        <w:t>и </w:t>
      </w:r>
      <w:r>
        <w:rPr>
          <w:i/>
          <w:sz w:val="28"/>
        </w:rPr>
        <w:t>этнического дальтонизма</w:t>
      </w:r>
      <w:r>
        <w:rPr>
          <w:sz w:val="28"/>
        </w:rPr>
        <w:t>, </w:t>
      </w:r>
      <w:r>
        <w:rPr>
          <w:i/>
          <w:sz w:val="28"/>
        </w:rPr>
        <w:t>мультикультурализм </w:t>
      </w:r>
      <w:r>
        <w:rPr>
          <w:sz w:val="28"/>
        </w:rPr>
        <w:t>и </w:t>
      </w:r>
      <w:r>
        <w:rPr>
          <w:i/>
          <w:sz w:val="28"/>
        </w:rPr>
        <w:t>поликультурализм </w:t>
      </w:r>
      <w:r>
        <w:rPr>
          <w:sz w:val="28"/>
        </w:rPr>
        <w:t>— идеологии, основанные на принятии культурного многообразия, они способствуют формированию позитивных межгрупповых отношений (</w:t>
      </w:r>
      <w:r>
        <w:rPr>
          <w:i/>
          <w:sz w:val="28"/>
        </w:rPr>
        <w:t>Григорьев</w:t>
      </w:r>
      <w:r>
        <w:rPr>
          <w:sz w:val="28"/>
        </w:rPr>
        <w:t>, 2017). Они представляют собой когнитивные рамки, обеспечивающие конструктивное межкультурное </w:t>
      </w:r>
      <w:r>
        <w:rPr>
          <w:spacing w:val="-2"/>
          <w:sz w:val="28"/>
        </w:rPr>
        <w:t>общение.</w:t>
      </w:r>
    </w:p>
    <w:p>
      <w:pPr>
        <w:pStyle w:val="Heading4"/>
        <w:ind w:left="2268"/>
      </w:pPr>
      <w:r>
        <w:rPr/>
        <w:t>Мультикультурализм</w:t>
      </w:r>
      <w:r>
        <w:rPr>
          <w:spacing w:val="45"/>
        </w:rPr>
        <w:t>  </w:t>
      </w:r>
      <w:r>
        <w:rPr/>
        <w:t>как</w:t>
      </w:r>
      <w:r>
        <w:rPr>
          <w:spacing w:val="47"/>
        </w:rPr>
        <w:t>  </w:t>
      </w:r>
      <w:r>
        <w:rPr/>
        <w:t>идеология</w:t>
      </w:r>
      <w:r>
        <w:rPr>
          <w:spacing w:val="45"/>
        </w:rPr>
        <w:t>  </w:t>
      </w:r>
      <w:r>
        <w:rPr/>
        <w:t>отражается</w:t>
      </w:r>
      <w:r>
        <w:rPr>
          <w:spacing w:val="46"/>
        </w:rPr>
        <w:t>  </w:t>
      </w:r>
      <w:r>
        <w:rPr/>
        <w:t>в</w:t>
      </w:r>
      <w:r>
        <w:rPr>
          <w:spacing w:val="45"/>
        </w:rPr>
        <w:t>  </w:t>
      </w:r>
      <w:r>
        <w:rPr/>
        <w:t>ориентации</w:t>
      </w:r>
      <w:r>
        <w:rPr>
          <w:spacing w:val="46"/>
        </w:rPr>
        <w:t>  </w:t>
      </w:r>
      <w:r>
        <w:rPr>
          <w:spacing w:val="-5"/>
        </w:rPr>
        <w:t>на</w:t>
      </w:r>
    </w:p>
    <w:p>
      <w:pPr>
        <w:pStyle w:val="Heading4"/>
        <w:spacing w:line="276" w:lineRule="auto" w:before="45"/>
        <w:ind w:left="1702" w:right="843"/>
      </w:pPr>
      <w:r>
        <w:rPr/>
        <w:t>«толерантное образование», которое призвано прививать уважение к представителям групп-меньшинств и межгрупповое принятие. Интолерантность при этом понимается как причина многих образовательных проблем. В результате происходит рост уважения к представителям групп- меньшинств через развитие у обучающихся чувства единства и терпимости, преодолеваются предрассудки относительно разных культур и меняется интолерантное поведение по отношению к представителям групп- меньшинств. Также происходит рост самосознания и повышение самооценки обучающихся-мигрантов через принятие их культурных особенностей педагогами и другими обучающимися. Толерантное образование развивает уважение и чувство достоинства у обучающихся, вооружает их знаниями, способностями и отношениями, необходимыми в современном многокультурном мире. Однако при его реализации возможно увеличение роли стереотипов (</w:t>
      </w:r>
      <w:r>
        <w:rPr>
          <w:i/>
        </w:rPr>
        <w:t>Хухлаева </w:t>
      </w:r>
      <w:r>
        <w:rPr/>
        <w:t>и др., 2020). При этом мультикультурализм фокусируется на различиях и не гарантирует включение ребенка-мигранта в общество</w:t>
      </w:r>
      <w:r>
        <w:rPr>
          <w:spacing w:val="33"/>
        </w:rPr>
        <w:t> </w:t>
      </w:r>
      <w:r>
        <w:rPr/>
        <w:t>сверстников.</w:t>
      </w:r>
      <w:r>
        <w:rPr>
          <w:spacing w:val="34"/>
        </w:rPr>
        <w:t> </w:t>
      </w:r>
      <w:r>
        <w:rPr/>
        <w:t>Таким</w:t>
      </w:r>
      <w:r>
        <w:rPr>
          <w:spacing w:val="33"/>
        </w:rPr>
        <w:t> </w:t>
      </w:r>
      <w:r>
        <w:rPr/>
        <w:t>образом,</w:t>
      </w:r>
      <w:r>
        <w:rPr>
          <w:spacing w:val="30"/>
        </w:rPr>
        <w:t> </w:t>
      </w:r>
      <w:r>
        <w:rPr/>
        <w:t>мультикультурная</w:t>
      </w:r>
      <w:r>
        <w:rPr>
          <w:spacing w:val="33"/>
        </w:rPr>
        <w:t> </w:t>
      </w:r>
      <w:r>
        <w:rPr/>
        <w:t>идеология</w:t>
      </w:r>
      <w:r>
        <w:rPr>
          <w:spacing w:val="33"/>
        </w:rPr>
        <w:t> </w:t>
      </w:r>
      <w:r>
        <w:rPr/>
        <w:t>хоть</w:t>
      </w:r>
      <w:r>
        <w:rPr>
          <w:spacing w:val="32"/>
        </w:rPr>
        <w:t> </w:t>
      </w:r>
      <w:r>
        <w:rPr/>
        <w:t>и</w:t>
      </w:r>
    </w:p>
    <w:p>
      <w:pPr>
        <w:pStyle w:val="Heading4"/>
        <w:spacing w:after="0" w:line="276" w:lineRule="auto"/>
        <w:sectPr>
          <w:pgSz w:w="11910" w:h="16840"/>
          <w:pgMar w:header="0" w:footer="956" w:top="1040" w:bottom="1220" w:left="0" w:right="0"/>
        </w:sectPr>
      </w:pPr>
    </w:p>
    <w:p>
      <w:pPr>
        <w:pStyle w:val="Heading4"/>
        <w:spacing w:line="278" w:lineRule="auto" w:before="67"/>
        <w:ind w:left="1702" w:right="845"/>
      </w:pPr>
      <w:r>
        <w:rPr/>
        <w:t>закладывает основы для социально-инклюзивного подхода, но не может целиком на нем зиждиться.</w:t>
      </w:r>
    </w:p>
    <w:p>
      <w:pPr>
        <w:pStyle w:val="Heading4"/>
        <w:tabs>
          <w:tab w:pos="3069" w:val="left" w:leader="none"/>
          <w:tab w:pos="3491" w:val="left" w:leader="none"/>
          <w:tab w:pos="3723" w:val="left" w:leader="none"/>
          <w:tab w:pos="3858" w:val="left" w:leader="none"/>
          <w:tab w:pos="4203" w:val="left" w:leader="none"/>
          <w:tab w:pos="4823" w:val="left" w:leader="none"/>
          <w:tab w:pos="5973" w:val="left" w:leader="none"/>
          <w:tab w:pos="6319" w:val="left" w:leader="none"/>
          <w:tab w:pos="6656" w:val="left" w:leader="none"/>
          <w:tab w:pos="7463" w:val="left" w:leader="none"/>
          <w:tab w:pos="7589" w:val="left" w:leader="none"/>
          <w:tab w:pos="8434" w:val="left" w:leader="none"/>
          <w:tab w:pos="8892" w:val="left" w:leader="none"/>
          <w:tab w:pos="9852" w:val="left" w:leader="none"/>
        </w:tabs>
        <w:spacing w:line="276" w:lineRule="auto"/>
        <w:ind w:left="1702" w:right="841" w:firstLine="566"/>
        <w:jc w:val="right"/>
      </w:pPr>
      <w:r>
        <w:rPr/>
        <w:t>Поликультурализм,</w:t>
      </w:r>
      <w:r>
        <w:rPr>
          <w:spacing w:val="40"/>
        </w:rPr>
        <w:t> </w:t>
      </w:r>
      <w:r>
        <w:rPr/>
        <w:t>напротив,</w:t>
      </w:r>
      <w:r>
        <w:rPr>
          <w:spacing w:val="40"/>
        </w:rPr>
        <w:t> </w:t>
      </w:r>
      <w:r>
        <w:rPr/>
        <w:t>ориентирован</w:t>
      </w:r>
      <w:r>
        <w:rPr>
          <w:spacing w:val="40"/>
        </w:rPr>
        <w:t> </w:t>
      </w:r>
      <w:r>
        <w:rPr/>
        <w:t>на</w:t>
      </w:r>
      <w:r>
        <w:rPr>
          <w:spacing w:val="40"/>
        </w:rPr>
        <w:t> </w:t>
      </w:r>
      <w:r>
        <w:rPr/>
        <w:t>взаимодействие</w:t>
      </w:r>
      <w:r>
        <w:rPr>
          <w:spacing w:val="40"/>
        </w:rPr>
        <w:t> </w:t>
      </w:r>
      <w:r>
        <w:rPr/>
        <w:t>людей разных</w:t>
      </w:r>
      <w:r>
        <w:rPr>
          <w:spacing w:val="35"/>
        </w:rPr>
        <w:t> </w:t>
      </w:r>
      <w:r>
        <w:rPr/>
        <w:t>культур.</w:t>
      </w:r>
      <w:r>
        <w:rPr>
          <w:spacing w:val="35"/>
        </w:rPr>
        <w:t> </w:t>
      </w:r>
      <w:r>
        <w:rPr/>
        <w:t>Интеграция, основываясь на поликультурном отношении к различиям,</w:t>
      </w:r>
      <w:r>
        <w:rPr>
          <w:spacing w:val="-6"/>
        </w:rPr>
        <w:t> </w:t>
      </w:r>
      <w:r>
        <w:rPr/>
        <w:t>обеспечивается</w:t>
      </w:r>
      <w:r>
        <w:rPr>
          <w:spacing w:val="-5"/>
        </w:rPr>
        <w:t> </w:t>
      </w:r>
      <w:r>
        <w:rPr/>
        <w:t>через</w:t>
      </w:r>
      <w:r>
        <w:rPr>
          <w:spacing w:val="-2"/>
        </w:rPr>
        <w:t> </w:t>
      </w:r>
      <w:r>
        <w:rPr/>
        <w:t>сопряжение разных культур и в содержании </w:t>
      </w:r>
      <w:r>
        <w:rPr>
          <w:spacing w:val="-2"/>
        </w:rPr>
        <w:t>образования,</w:t>
      </w:r>
      <w:r>
        <w:rPr/>
        <w:tab/>
      </w:r>
      <w:r>
        <w:rPr>
          <w:spacing w:val="-10"/>
        </w:rPr>
        <w:t>и</w:t>
      </w:r>
      <w:r>
        <w:rPr/>
        <w:tab/>
        <w:tab/>
      </w:r>
      <w:r>
        <w:rPr>
          <w:spacing w:val="-10"/>
        </w:rPr>
        <w:t>в</w:t>
      </w:r>
      <w:r>
        <w:rPr/>
        <w:tab/>
      </w:r>
      <w:r>
        <w:rPr>
          <w:spacing w:val="-2"/>
        </w:rPr>
        <w:t>педагогических</w:t>
      </w:r>
      <w:r>
        <w:rPr/>
        <w:tab/>
      </w:r>
      <w:r>
        <w:rPr>
          <w:spacing w:val="-2"/>
        </w:rPr>
        <w:t>методах,</w:t>
      </w:r>
      <w:r>
        <w:rPr/>
        <w:tab/>
        <w:tab/>
      </w:r>
      <w:r>
        <w:rPr>
          <w:spacing w:val="-2"/>
        </w:rPr>
        <w:t>приемах,</w:t>
      </w:r>
      <w:r>
        <w:rPr/>
        <w:tab/>
      </w:r>
      <w:r>
        <w:rPr>
          <w:spacing w:val="-2"/>
        </w:rPr>
        <w:t>организационных </w:t>
      </w:r>
      <w:r>
        <w:rPr/>
        <w:t>формах.</w:t>
      </w:r>
      <w:r>
        <w:rPr>
          <w:spacing w:val="80"/>
          <w:w w:val="150"/>
        </w:rPr>
        <w:t> </w:t>
      </w:r>
      <w:r>
        <w:rPr/>
        <w:t>Ни</w:t>
      </w:r>
      <w:r>
        <w:rPr>
          <w:spacing w:val="80"/>
          <w:w w:val="150"/>
        </w:rPr>
        <w:t> </w:t>
      </w:r>
      <w:r>
        <w:rPr/>
        <w:t>одна</w:t>
      </w:r>
      <w:r>
        <w:rPr>
          <w:spacing w:val="80"/>
          <w:w w:val="150"/>
        </w:rPr>
        <w:t> </w:t>
      </w:r>
      <w:r>
        <w:rPr/>
        <w:t>этническая</w:t>
      </w:r>
      <w:r>
        <w:rPr>
          <w:spacing w:val="80"/>
          <w:w w:val="150"/>
        </w:rPr>
        <w:t> </w:t>
      </w:r>
      <w:r>
        <w:rPr/>
        <w:t>или</w:t>
      </w:r>
      <w:r>
        <w:rPr>
          <w:spacing w:val="80"/>
          <w:w w:val="150"/>
        </w:rPr>
        <w:t> </w:t>
      </w:r>
      <w:r>
        <w:rPr/>
        <w:t>религиозная</w:t>
      </w:r>
      <w:r>
        <w:rPr>
          <w:spacing w:val="80"/>
          <w:w w:val="150"/>
        </w:rPr>
        <w:t> </w:t>
      </w:r>
      <w:r>
        <w:rPr/>
        <w:t>культура</w:t>
      </w:r>
      <w:r>
        <w:rPr>
          <w:spacing w:val="80"/>
          <w:w w:val="150"/>
        </w:rPr>
        <w:t> </w:t>
      </w:r>
      <w:r>
        <w:rPr/>
        <w:t>не</w:t>
      </w:r>
      <w:r>
        <w:rPr>
          <w:spacing w:val="80"/>
          <w:w w:val="150"/>
        </w:rPr>
        <w:t> </w:t>
      </w:r>
      <w:r>
        <w:rPr/>
        <w:t>выступает </w:t>
      </w:r>
      <w:r>
        <w:rPr>
          <w:spacing w:val="-2"/>
        </w:rPr>
        <w:t>эталоном</w:t>
      </w:r>
      <w:r>
        <w:rPr/>
        <w:tab/>
      </w:r>
      <w:r>
        <w:rPr>
          <w:spacing w:val="-4"/>
        </w:rPr>
        <w:t>для</w:t>
      </w:r>
      <w:r>
        <w:rPr/>
        <w:tab/>
        <w:tab/>
      </w:r>
      <w:r>
        <w:rPr>
          <w:spacing w:val="-2"/>
        </w:rPr>
        <w:t>оценки</w:t>
      </w:r>
      <w:r>
        <w:rPr/>
        <w:tab/>
      </w:r>
      <w:r>
        <w:rPr>
          <w:spacing w:val="-2"/>
        </w:rPr>
        <w:t>других,</w:t>
      </w:r>
      <w:r>
        <w:rPr/>
        <w:tab/>
      </w:r>
      <w:r>
        <w:rPr>
          <w:spacing w:val="-4"/>
        </w:rPr>
        <w:t>при</w:t>
      </w:r>
      <w:r>
        <w:rPr/>
        <w:tab/>
      </w:r>
      <w:r>
        <w:rPr>
          <w:spacing w:val="-4"/>
        </w:rPr>
        <w:t>этом</w:t>
      </w:r>
      <w:r>
        <w:rPr/>
        <w:tab/>
      </w:r>
      <w:r>
        <w:rPr>
          <w:spacing w:val="-2"/>
        </w:rPr>
        <w:t>много</w:t>
      </w:r>
      <w:r>
        <w:rPr/>
        <w:tab/>
      </w:r>
      <w:r>
        <w:rPr>
          <w:spacing w:val="-2"/>
        </w:rPr>
        <w:t>внимания</w:t>
      </w:r>
      <w:r>
        <w:rPr/>
        <w:tab/>
      </w:r>
      <w:r>
        <w:rPr>
          <w:spacing w:val="-2"/>
        </w:rPr>
        <w:t>уделяется </w:t>
      </w:r>
      <w:r>
        <w:rPr/>
        <w:t>установлению</w:t>
      </w:r>
      <w:r>
        <w:rPr>
          <w:spacing w:val="40"/>
        </w:rPr>
        <w:t> </w:t>
      </w:r>
      <w:r>
        <w:rPr/>
        <w:t>межкультурных</w:t>
      </w:r>
      <w:r>
        <w:rPr>
          <w:spacing w:val="40"/>
        </w:rPr>
        <w:t> </w:t>
      </w:r>
      <w:r>
        <w:rPr/>
        <w:t>взаимосвязей</w:t>
      </w:r>
      <w:r>
        <w:rPr>
          <w:spacing w:val="40"/>
        </w:rPr>
        <w:t> </w:t>
      </w:r>
      <w:r>
        <w:rPr/>
        <w:t>и</w:t>
      </w:r>
      <w:r>
        <w:rPr>
          <w:spacing w:val="40"/>
        </w:rPr>
        <w:t> </w:t>
      </w:r>
      <w:r>
        <w:rPr/>
        <w:t>вкладу</w:t>
      </w:r>
      <w:r>
        <w:rPr>
          <w:spacing w:val="40"/>
        </w:rPr>
        <w:t> </w:t>
      </w:r>
      <w:r>
        <w:rPr/>
        <w:t>каждой</w:t>
      </w:r>
      <w:r>
        <w:rPr>
          <w:spacing w:val="40"/>
        </w:rPr>
        <w:t> </w:t>
      </w:r>
      <w:r>
        <w:rPr/>
        <w:t>культуры</w:t>
      </w:r>
      <w:r>
        <w:rPr>
          <w:spacing w:val="40"/>
        </w:rPr>
        <w:t> </w:t>
      </w:r>
      <w:r>
        <w:rPr/>
        <w:t>в систему общечеловеческих ценностей и в культурно-историческое наследие. Наилучшее</w:t>
      </w:r>
      <w:r>
        <w:rPr>
          <w:spacing w:val="80"/>
        </w:rPr>
        <w:t> </w:t>
      </w:r>
      <w:r>
        <w:rPr/>
        <w:t>воплощение</w:t>
      </w:r>
      <w:r>
        <w:rPr>
          <w:spacing w:val="80"/>
        </w:rPr>
        <w:t> </w:t>
      </w:r>
      <w:r>
        <w:rPr/>
        <w:t>социально-инклюзивный</w:t>
      </w:r>
      <w:r>
        <w:rPr>
          <w:spacing w:val="80"/>
        </w:rPr>
        <w:t> </w:t>
      </w:r>
      <w:r>
        <w:rPr/>
        <w:t>подход</w:t>
      </w:r>
      <w:r>
        <w:rPr>
          <w:spacing w:val="80"/>
        </w:rPr>
        <w:t> </w:t>
      </w:r>
      <w:r>
        <w:rPr/>
        <w:t>к</w:t>
      </w:r>
      <w:r>
        <w:rPr>
          <w:spacing w:val="80"/>
        </w:rPr>
        <w:t> </w:t>
      </w:r>
      <w:r>
        <w:rPr/>
        <w:t>работе</w:t>
      </w:r>
      <w:r>
        <w:rPr>
          <w:spacing w:val="80"/>
        </w:rPr>
        <w:t> </w:t>
      </w:r>
      <w:r>
        <w:rPr/>
        <w:t>с </w:t>
      </w:r>
      <w:r>
        <w:rPr>
          <w:spacing w:val="-2"/>
        </w:rPr>
        <w:t>детьми-мигрантами</w:t>
      </w:r>
      <w:r>
        <w:rPr>
          <w:spacing w:val="-21"/>
        </w:rPr>
        <w:t> </w:t>
      </w:r>
      <w:r>
        <w:rPr>
          <w:spacing w:val="-2"/>
        </w:rPr>
        <w:t>находит</w:t>
      </w:r>
      <w:r>
        <w:rPr>
          <w:spacing w:val="-21"/>
        </w:rPr>
        <w:t> </w:t>
      </w:r>
      <w:r>
        <w:rPr>
          <w:spacing w:val="-2"/>
        </w:rPr>
        <w:t>в</w:t>
      </w:r>
      <w:r>
        <w:rPr>
          <w:spacing w:val="-21"/>
        </w:rPr>
        <w:t> </w:t>
      </w:r>
      <w:r>
        <w:rPr>
          <w:spacing w:val="-2"/>
        </w:rPr>
        <w:t>модели</w:t>
      </w:r>
      <w:r>
        <w:rPr>
          <w:spacing w:val="-19"/>
        </w:rPr>
        <w:t> </w:t>
      </w:r>
      <w:r>
        <w:rPr>
          <w:spacing w:val="-2"/>
        </w:rPr>
        <w:t>«Межкультурного</w:t>
      </w:r>
      <w:r>
        <w:rPr>
          <w:spacing w:val="-19"/>
        </w:rPr>
        <w:t> </w:t>
      </w:r>
      <w:r>
        <w:rPr>
          <w:spacing w:val="-2"/>
        </w:rPr>
        <w:t>образования»,</w:t>
      </w:r>
      <w:r>
        <w:rPr>
          <w:spacing w:val="-21"/>
        </w:rPr>
        <w:t> </w:t>
      </w:r>
      <w:r>
        <w:rPr>
          <w:spacing w:val="-2"/>
        </w:rPr>
        <w:t>которая </w:t>
      </w:r>
      <w:r>
        <w:rPr/>
        <w:t>поддерживает</w:t>
      </w:r>
      <w:r>
        <w:rPr>
          <w:spacing w:val="-10"/>
        </w:rPr>
        <w:t> </w:t>
      </w:r>
      <w:r>
        <w:rPr/>
        <w:t>развитие</w:t>
      </w:r>
      <w:r>
        <w:rPr>
          <w:spacing w:val="-7"/>
        </w:rPr>
        <w:t> </w:t>
      </w:r>
      <w:r>
        <w:rPr/>
        <w:t>у</w:t>
      </w:r>
      <w:r>
        <w:rPr>
          <w:spacing w:val="-12"/>
        </w:rPr>
        <w:t> </w:t>
      </w:r>
      <w:r>
        <w:rPr/>
        <w:t>обучающихся</w:t>
      </w:r>
      <w:r>
        <w:rPr>
          <w:spacing w:val="-9"/>
        </w:rPr>
        <w:t> </w:t>
      </w:r>
      <w:r>
        <w:rPr/>
        <w:t>желание</w:t>
      </w:r>
      <w:r>
        <w:rPr>
          <w:spacing w:val="-10"/>
        </w:rPr>
        <w:t> </w:t>
      </w:r>
      <w:r>
        <w:rPr/>
        <w:t>и</w:t>
      </w:r>
      <w:r>
        <w:rPr>
          <w:spacing w:val="-9"/>
        </w:rPr>
        <w:t> </w:t>
      </w:r>
      <w:r>
        <w:rPr/>
        <w:t>умения</w:t>
      </w:r>
      <w:r>
        <w:rPr>
          <w:spacing w:val="-9"/>
        </w:rPr>
        <w:t> </w:t>
      </w:r>
      <w:r>
        <w:rPr/>
        <w:t>совместно</w:t>
      </w:r>
      <w:r>
        <w:rPr>
          <w:spacing w:val="-9"/>
        </w:rPr>
        <w:t> </w:t>
      </w:r>
      <w:r>
        <w:rPr/>
        <w:t>работать </w:t>
      </w:r>
      <w:r>
        <w:rPr>
          <w:spacing w:val="-2"/>
        </w:rPr>
        <w:t>по</w:t>
      </w:r>
      <w:r>
        <w:rPr>
          <w:spacing w:val="-18"/>
        </w:rPr>
        <w:t> </w:t>
      </w:r>
      <w:r>
        <w:rPr>
          <w:spacing w:val="-2"/>
        </w:rPr>
        <w:t>построению</w:t>
      </w:r>
      <w:r>
        <w:rPr>
          <w:spacing w:val="-20"/>
        </w:rPr>
        <w:t> </w:t>
      </w:r>
      <w:r>
        <w:rPr>
          <w:spacing w:val="-2"/>
        </w:rPr>
        <w:t>такого</w:t>
      </w:r>
      <w:r>
        <w:rPr>
          <w:spacing w:val="-18"/>
        </w:rPr>
        <w:t> </w:t>
      </w:r>
      <w:r>
        <w:rPr>
          <w:spacing w:val="-2"/>
        </w:rPr>
        <w:t>общества,</w:t>
      </w:r>
      <w:r>
        <w:rPr>
          <w:spacing w:val="-20"/>
        </w:rPr>
        <w:t> </w:t>
      </w:r>
      <w:r>
        <w:rPr>
          <w:spacing w:val="-2"/>
        </w:rPr>
        <w:t>где</w:t>
      </w:r>
      <w:r>
        <w:rPr>
          <w:spacing w:val="-19"/>
        </w:rPr>
        <w:t> </w:t>
      </w:r>
      <w:r>
        <w:rPr>
          <w:spacing w:val="-2"/>
        </w:rPr>
        <w:t>культурные</w:t>
      </w:r>
      <w:r>
        <w:rPr>
          <w:spacing w:val="-19"/>
        </w:rPr>
        <w:t> </w:t>
      </w:r>
      <w:r>
        <w:rPr>
          <w:spacing w:val="-2"/>
        </w:rPr>
        <w:t>различия</w:t>
      </w:r>
      <w:r>
        <w:rPr>
          <w:spacing w:val="-19"/>
        </w:rPr>
        <w:t> </w:t>
      </w:r>
      <w:r>
        <w:rPr>
          <w:spacing w:val="-2"/>
        </w:rPr>
        <w:t>рассматриваются</w:t>
      </w:r>
      <w:r>
        <w:rPr>
          <w:spacing w:val="-19"/>
        </w:rPr>
        <w:t> </w:t>
      </w:r>
      <w:r>
        <w:rPr>
          <w:spacing w:val="-2"/>
        </w:rPr>
        <w:t>как </w:t>
      </w:r>
      <w:r>
        <w:rPr/>
        <w:t>общее богатство, а не как фактор обособления (</w:t>
      </w:r>
      <w:r>
        <w:rPr>
          <w:i/>
        </w:rPr>
        <w:t>Хухлаева </w:t>
      </w:r>
      <w:r>
        <w:rPr/>
        <w:t>и др., 2020). Родной язык</w:t>
      </w:r>
      <w:r>
        <w:rPr>
          <w:spacing w:val="40"/>
        </w:rPr>
        <w:t> </w:t>
      </w:r>
      <w:r>
        <w:rPr/>
        <w:t>детей-мигрантов</w:t>
      </w:r>
      <w:r>
        <w:rPr>
          <w:spacing w:val="40"/>
        </w:rPr>
        <w:t> </w:t>
      </w:r>
      <w:r>
        <w:rPr/>
        <w:t>используется</w:t>
      </w:r>
      <w:r>
        <w:rPr>
          <w:spacing w:val="40"/>
        </w:rPr>
        <w:t> </w:t>
      </w:r>
      <w:r>
        <w:rPr/>
        <w:t>здесь</w:t>
      </w:r>
      <w:r>
        <w:rPr>
          <w:spacing w:val="40"/>
        </w:rPr>
        <w:t> </w:t>
      </w:r>
      <w:r>
        <w:rPr/>
        <w:t>в</w:t>
      </w:r>
      <w:r>
        <w:rPr>
          <w:spacing w:val="40"/>
        </w:rPr>
        <w:t> </w:t>
      </w:r>
      <w:r>
        <w:rPr/>
        <w:t>качестве</w:t>
      </w:r>
      <w:r>
        <w:rPr>
          <w:spacing w:val="40"/>
        </w:rPr>
        <w:t> </w:t>
      </w:r>
      <w:r>
        <w:rPr/>
        <w:t>опоры</w:t>
      </w:r>
      <w:r>
        <w:rPr>
          <w:spacing w:val="40"/>
        </w:rPr>
        <w:t> </w:t>
      </w:r>
      <w:r>
        <w:rPr/>
        <w:t>для</w:t>
      </w:r>
      <w:r>
        <w:rPr>
          <w:spacing w:val="40"/>
        </w:rPr>
        <w:t> </w:t>
      </w:r>
      <w:r>
        <w:rPr/>
        <w:t>учебных</w:t>
      </w:r>
      <w:r>
        <w:rPr>
          <w:spacing w:val="80"/>
        </w:rPr>
        <w:t> </w:t>
      </w:r>
      <w:r>
        <w:rPr/>
        <w:t>достижений</w:t>
      </w:r>
      <w:r>
        <w:rPr>
          <w:spacing w:val="35"/>
        </w:rPr>
        <w:t> </w:t>
      </w:r>
      <w:r>
        <w:rPr/>
        <w:t>на</w:t>
      </w:r>
      <w:r>
        <w:rPr>
          <w:spacing w:val="37"/>
        </w:rPr>
        <w:t> </w:t>
      </w:r>
      <w:r>
        <w:rPr/>
        <w:t>протяжении</w:t>
      </w:r>
      <w:r>
        <w:rPr>
          <w:spacing w:val="38"/>
        </w:rPr>
        <w:t> </w:t>
      </w:r>
      <w:r>
        <w:rPr/>
        <w:t>всего</w:t>
      </w:r>
      <w:r>
        <w:rPr>
          <w:spacing w:val="38"/>
        </w:rPr>
        <w:t> </w:t>
      </w:r>
      <w:r>
        <w:rPr/>
        <w:t>школьного</w:t>
      </w:r>
      <w:r>
        <w:rPr>
          <w:spacing w:val="38"/>
        </w:rPr>
        <w:t> </w:t>
      </w:r>
      <w:r>
        <w:rPr/>
        <w:t>обучения,</w:t>
      </w:r>
      <w:r>
        <w:rPr>
          <w:spacing w:val="36"/>
        </w:rPr>
        <w:t> </w:t>
      </w:r>
      <w:r>
        <w:rPr/>
        <w:t>помогая</w:t>
      </w:r>
      <w:r>
        <w:rPr>
          <w:spacing w:val="38"/>
        </w:rPr>
        <w:t> </w:t>
      </w:r>
      <w:r>
        <w:rPr>
          <w:spacing w:val="-2"/>
        </w:rPr>
        <w:t>овладевать</w:t>
      </w:r>
    </w:p>
    <w:p>
      <w:pPr>
        <w:pStyle w:val="Heading4"/>
        <w:spacing w:line="278" w:lineRule="auto"/>
        <w:ind w:left="2268" w:right="840" w:hanging="567"/>
      </w:pPr>
      <w:r>
        <w:rPr/>
        <w:t>государственным языком, являясь стимулом развития, а отнюдь не тормозом. Таким</w:t>
      </w:r>
      <w:r>
        <w:rPr>
          <w:spacing w:val="11"/>
        </w:rPr>
        <w:t> </w:t>
      </w:r>
      <w:r>
        <w:rPr/>
        <w:t>образом,</w:t>
      </w:r>
      <w:r>
        <w:rPr>
          <w:spacing w:val="13"/>
        </w:rPr>
        <w:t> </w:t>
      </w:r>
      <w:r>
        <w:rPr/>
        <w:t>в</w:t>
      </w:r>
      <w:r>
        <w:rPr>
          <w:spacing w:val="14"/>
        </w:rPr>
        <w:t> </w:t>
      </w:r>
      <w:r>
        <w:rPr/>
        <w:t>социально-инклюзивном</w:t>
      </w:r>
      <w:r>
        <w:rPr>
          <w:spacing w:val="13"/>
        </w:rPr>
        <w:t> </w:t>
      </w:r>
      <w:r>
        <w:rPr/>
        <w:t>подходе</w:t>
      </w:r>
      <w:r>
        <w:rPr>
          <w:spacing w:val="14"/>
        </w:rPr>
        <w:t> </w:t>
      </w:r>
      <w:r>
        <w:rPr/>
        <w:t>к</w:t>
      </w:r>
      <w:r>
        <w:rPr>
          <w:spacing w:val="14"/>
        </w:rPr>
        <w:t> </w:t>
      </w:r>
      <w:r>
        <w:rPr/>
        <w:t>интеграции</w:t>
      </w:r>
      <w:r>
        <w:rPr>
          <w:spacing w:val="15"/>
        </w:rPr>
        <w:t> </w:t>
      </w:r>
      <w:r>
        <w:rPr>
          <w:spacing w:val="-2"/>
        </w:rPr>
        <w:t>детей-</w:t>
      </w:r>
    </w:p>
    <w:p>
      <w:pPr>
        <w:pStyle w:val="Heading4"/>
        <w:spacing w:line="276" w:lineRule="auto"/>
        <w:ind w:left="1702" w:right="846"/>
      </w:pPr>
      <w:r>
        <w:rPr/>
        <w:t>мигрантов в образовательную среду основной акцент делается на межкультурном взаимодействии в содержании образования и методах обучения, а организационные формы ориентированы на кооперацию обучающихся, педагогов и родителей в учебно-воспитательном процессе и в управлении</w:t>
      </w:r>
      <w:r>
        <w:rPr>
          <w:spacing w:val="-10"/>
        </w:rPr>
        <w:t> </w:t>
      </w:r>
      <w:r>
        <w:rPr/>
        <w:t>образовательным</w:t>
      </w:r>
      <w:r>
        <w:rPr>
          <w:spacing w:val="-8"/>
        </w:rPr>
        <w:t> </w:t>
      </w:r>
      <w:r>
        <w:rPr/>
        <w:t>учреждением.</w:t>
      </w:r>
      <w:r>
        <w:rPr>
          <w:spacing w:val="-8"/>
        </w:rPr>
        <w:t> </w:t>
      </w:r>
      <w:r>
        <w:rPr/>
        <w:t>В</w:t>
      </w:r>
      <w:r>
        <w:rPr>
          <w:spacing w:val="-13"/>
        </w:rPr>
        <w:t> </w:t>
      </w:r>
      <w:r>
        <w:rPr/>
        <w:t>этом</w:t>
      </w:r>
      <w:r>
        <w:rPr>
          <w:spacing w:val="-12"/>
        </w:rPr>
        <w:t> </w:t>
      </w:r>
      <w:r>
        <w:rPr/>
        <w:t>случае</w:t>
      </w:r>
      <w:r>
        <w:rPr>
          <w:spacing w:val="-10"/>
        </w:rPr>
        <w:t> </w:t>
      </w:r>
      <w:r>
        <w:rPr/>
        <w:t>в</w:t>
      </w:r>
      <w:r>
        <w:rPr>
          <w:spacing w:val="-11"/>
        </w:rPr>
        <w:t> </w:t>
      </w:r>
      <w:r>
        <w:rPr/>
        <w:t>фокусе</w:t>
      </w:r>
      <w:r>
        <w:rPr>
          <w:spacing w:val="-10"/>
        </w:rPr>
        <w:t> </w:t>
      </w:r>
      <w:r>
        <w:rPr/>
        <w:t>внимания оказываются как позитивные отношения между всеми участниками образовательного процесса, так и возможность каждого ученика сохранять и развивать свою идентичность.</w:t>
      </w:r>
    </w:p>
    <w:p>
      <w:pPr>
        <w:pStyle w:val="Heading2"/>
        <w:spacing w:line="276" w:lineRule="auto" w:before="235"/>
        <w:ind w:left="3276" w:right="1691" w:hanging="732"/>
      </w:pPr>
      <w:bookmarkStart w:name="_bookmark2" w:id="4"/>
      <w:bookmarkEnd w:id="4"/>
      <w:r>
        <w:rPr>
          <w:b w:val="0"/>
        </w:rPr>
      </w:r>
      <w:r>
        <w:rPr/>
        <w:t>Глава</w:t>
      </w:r>
      <w:r>
        <w:rPr>
          <w:spacing w:val="-4"/>
        </w:rPr>
        <w:t> </w:t>
      </w:r>
      <w:r>
        <w:rPr/>
        <w:t>2.</w:t>
      </w:r>
      <w:r>
        <w:rPr>
          <w:spacing w:val="-5"/>
        </w:rPr>
        <w:t> </w:t>
      </w:r>
      <w:r>
        <w:rPr/>
        <w:t>Социально-инклюзивный</w:t>
      </w:r>
      <w:r>
        <w:rPr>
          <w:spacing w:val="-6"/>
        </w:rPr>
        <w:t> </w:t>
      </w:r>
      <w:r>
        <w:rPr/>
        <w:t>подход</w:t>
      </w:r>
      <w:r>
        <w:rPr>
          <w:spacing w:val="-6"/>
        </w:rPr>
        <w:t> </w:t>
      </w:r>
      <w:r>
        <w:rPr/>
        <w:t>к</w:t>
      </w:r>
      <w:r>
        <w:rPr>
          <w:spacing w:val="-6"/>
        </w:rPr>
        <w:t> </w:t>
      </w:r>
      <w:r>
        <w:rPr/>
        <w:t>анализу</w:t>
      </w:r>
      <w:r>
        <w:rPr>
          <w:spacing w:val="-3"/>
        </w:rPr>
        <w:t> </w:t>
      </w:r>
      <w:r>
        <w:rPr/>
        <w:t>особых образовательных потребностей детей-мигрантов</w:t>
      </w:r>
    </w:p>
    <w:p>
      <w:pPr>
        <w:pStyle w:val="Heading4"/>
        <w:spacing w:line="276" w:lineRule="auto" w:before="236"/>
        <w:ind w:left="1702" w:right="840" w:firstLine="566"/>
      </w:pPr>
      <w:r>
        <w:rPr/>
        <w:t>Аналитические обзоры показывают, что обучающиеся-мигранты демонстрируют более низкий уровень успеваемости, чем дети из принимающего общества, они чаще преждевременно покидают школу, получают более низкий уровень квалификации и чаще испытывают маргинализацию (</w:t>
      </w:r>
      <w:r>
        <w:rPr>
          <w:i/>
        </w:rPr>
        <w:t>Brind </w:t>
      </w:r>
      <w:r>
        <w:rPr/>
        <w:t>et al., 2008; </w:t>
      </w:r>
      <w:r>
        <w:rPr>
          <w:i/>
        </w:rPr>
        <w:t>Heckmann</w:t>
      </w:r>
      <w:r>
        <w:rPr/>
        <w:t>, 2008; </w:t>
      </w:r>
      <w:r>
        <w:rPr>
          <w:i/>
        </w:rPr>
        <w:t>OECD </w:t>
      </w:r>
      <w:r>
        <w:rPr/>
        <w:t>2010, </w:t>
      </w:r>
      <w:r>
        <w:rPr>
          <w:i/>
        </w:rPr>
        <w:t>Janta &amp; Harte</w:t>
      </w:r>
      <w:r>
        <w:rPr/>
        <w:t>, 2016). Вместе с тем обнаружено, что дети-мигранты могут обладать высокой учебной мотивацией, а по уровню успеваемости и образовательным</w:t>
      </w:r>
    </w:p>
    <w:p>
      <w:pPr>
        <w:pStyle w:val="Heading4"/>
        <w:spacing w:after="0" w:line="276" w:lineRule="auto"/>
        <w:sectPr>
          <w:pgSz w:w="11910" w:h="16840"/>
          <w:pgMar w:header="0" w:footer="956" w:top="1040" w:bottom="1220" w:left="0" w:right="0"/>
        </w:sectPr>
      </w:pPr>
    </w:p>
    <w:p>
      <w:pPr>
        <w:spacing w:line="278" w:lineRule="auto" w:before="67"/>
        <w:ind w:left="1702" w:right="852" w:firstLine="0"/>
        <w:jc w:val="both"/>
        <w:rPr>
          <w:sz w:val="28"/>
        </w:rPr>
      </w:pPr>
      <w:r>
        <w:rPr>
          <w:sz w:val="28"/>
        </w:rPr>
        <w:t>планам не отличаться от сверстников из принимающей культуры (</w:t>
      </w:r>
      <w:r>
        <w:rPr>
          <w:i/>
          <w:sz w:val="28"/>
        </w:rPr>
        <w:t>Александров</w:t>
      </w:r>
      <w:r>
        <w:rPr>
          <w:sz w:val="28"/>
        </w:rPr>
        <w:t>, </w:t>
      </w:r>
      <w:r>
        <w:rPr>
          <w:i/>
          <w:sz w:val="28"/>
        </w:rPr>
        <w:t>Баранова</w:t>
      </w:r>
      <w:r>
        <w:rPr>
          <w:sz w:val="28"/>
        </w:rPr>
        <w:t>, </w:t>
      </w:r>
      <w:r>
        <w:rPr>
          <w:i/>
          <w:sz w:val="28"/>
        </w:rPr>
        <w:t>Иванюшина</w:t>
      </w:r>
      <w:r>
        <w:rPr>
          <w:sz w:val="28"/>
        </w:rPr>
        <w:t>, 2012).</w:t>
      </w:r>
    </w:p>
    <w:p>
      <w:pPr>
        <w:pStyle w:val="Heading4"/>
        <w:spacing w:line="276" w:lineRule="auto"/>
        <w:ind w:left="1702" w:right="844" w:firstLine="566"/>
      </w:pPr>
      <w:r>
        <w:rPr/>
        <w:t>При</w:t>
      </w:r>
      <w:r>
        <w:rPr>
          <w:spacing w:val="-18"/>
        </w:rPr>
        <w:t> </w:t>
      </w:r>
      <w:r>
        <w:rPr/>
        <w:t>обучении</w:t>
      </w:r>
      <w:r>
        <w:rPr>
          <w:spacing w:val="-17"/>
        </w:rPr>
        <w:t> </w:t>
      </w:r>
      <w:r>
        <w:rPr/>
        <w:t>детей-мигрантов</w:t>
      </w:r>
      <w:r>
        <w:rPr>
          <w:spacing w:val="-18"/>
        </w:rPr>
        <w:t> </w:t>
      </w:r>
      <w:r>
        <w:rPr/>
        <w:t>перед</w:t>
      </w:r>
      <w:r>
        <w:rPr>
          <w:spacing w:val="-17"/>
        </w:rPr>
        <w:t> </w:t>
      </w:r>
      <w:r>
        <w:rPr/>
        <w:t>системой</w:t>
      </w:r>
      <w:r>
        <w:rPr>
          <w:spacing w:val="-18"/>
        </w:rPr>
        <w:t> </w:t>
      </w:r>
      <w:r>
        <w:rPr/>
        <w:t>образования</w:t>
      </w:r>
      <w:r>
        <w:rPr>
          <w:spacing w:val="-17"/>
        </w:rPr>
        <w:t> </w:t>
      </w:r>
      <w:r>
        <w:rPr/>
        <w:t>стоят</w:t>
      </w:r>
      <w:r>
        <w:rPr>
          <w:spacing w:val="-18"/>
        </w:rPr>
        <w:t> </w:t>
      </w:r>
      <w:r>
        <w:rPr/>
        <w:t>особые психолого-педагогические задачи, обусловленные ролью школы как транслятора</w:t>
      </w:r>
      <w:r>
        <w:rPr>
          <w:spacing w:val="-18"/>
        </w:rPr>
        <w:t> </w:t>
      </w:r>
      <w:r>
        <w:rPr/>
        <w:t>культуры</w:t>
      </w:r>
      <w:r>
        <w:rPr>
          <w:spacing w:val="-17"/>
        </w:rPr>
        <w:t> </w:t>
      </w:r>
      <w:r>
        <w:rPr/>
        <w:t>принимающего</w:t>
      </w:r>
      <w:r>
        <w:rPr>
          <w:spacing w:val="-18"/>
        </w:rPr>
        <w:t> </w:t>
      </w:r>
      <w:r>
        <w:rPr/>
        <w:t>общества</w:t>
      </w:r>
      <w:r>
        <w:rPr>
          <w:spacing w:val="-17"/>
        </w:rPr>
        <w:t> </w:t>
      </w:r>
      <w:r>
        <w:rPr/>
        <w:t>(</w:t>
      </w:r>
      <w:r>
        <w:rPr>
          <w:i/>
        </w:rPr>
        <w:t>Хухлаев,</w:t>
      </w:r>
      <w:r>
        <w:rPr>
          <w:i/>
          <w:spacing w:val="-18"/>
        </w:rPr>
        <w:t> </w:t>
      </w:r>
      <w:r>
        <w:rPr>
          <w:i/>
        </w:rPr>
        <w:t>Чибисова,</w:t>
      </w:r>
      <w:r>
        <w:rPr>
          <w:i/>
          <w:spacing w:val="-17"/>
        </w:rPr>
        <w:t> </w:t>
      </w:r>
      <w:r>
        <w:rPr>
          <w:i/>
        </w:rPr>
        <w:t>Кузнецов, </w:t>
      </w:r>
      <w:r>
        <w:rPr/>
        <w:t>2014). «Анализ взаимодействия мигрантов со школой показывает, что школа является</w:t>
      </w:r>
      <w:r>
        <w:rPr>
          <w:spacing w:val="-5"/>
        </w:rPr>
        <w:t> </w:t>
      </w:r>
      <w:r>
        <w:rPr/>
        <w:t>важнейшим</w:t>
      </w:r>
      <w:r>
        <w:rPr>
          <w:spacing w:val="-5"/>
        </w:rPr>
        <w:t> </w:t>
      </w:r>
      <w:r>
        <w:rPr/>
        <w:t>механизмом</w:t>
      </w:r>
      <w:r>
        <w:rPr>
          <w:spacing w:val="-8"/>
        </w:rPr>
        <w:t> </w:t>
      </w:r>
      <w:r>
        <w:rPr/>
        <w:t>адаптации</w:t>
      </w:r>
      <w:r>
        <w:rPr>
          <w:spacing w:val="-5"/>
        </w:rPr>
        <w:t> </w:t>
      </w:r>
      <w:r>
        <w:rPr/>
        <w:t>мигрантов.</w:t>
      </w:r>
      <w:r>
        <w:rPr>
          <w:spacing w:val="-6"/>
        </w:rPr>
        <w:t> </w:t>
      </w:r>
      <w:r>
        <w:rPr/>
        <w:t>Механизм</w:t>
      </w:r>
      <w:r>
        <w:rPr>
          <w:spacing w:val="-6"/>
        </w:rPr>
        <w:t> </w:t>
      </w:r>
      <w:r>
        <w:rPr/>
        <w:t>адаптации через</w:t>
      </w:r>
      <w:r>
        <w:rPr>
          <w:spacing w:val="-15"/>
        </w:rPr>
        <w:t> </w:t>
      </w:r>
      <w:r>
        <w:rPr/>
        <w:t>школу</w:t>
      </w:r>
      <w:r>
        <w:rPr>
          <w:spacing w:val="-18"/>
        </w:rPr>
        <w:t> </w:t>
      </w:r>
      <w:r>
        <w:rPr/>
        <w:t>воздействует</w:t>
      </w:r>
      <w:r>
        <w:rPr>
          <w:spacing w:val="-12"/>
        </w:rPr>
        <w:t> </w:t>
      </w:r>
      <w:r>
        <w:rPr/>
        <w:t>не</w:t>
      </w:r>
      <w:r>
        <w:rPr>
          <w:spacing w:val="-15"/>
        </w:rPr>
        <w:t> </w:t>
      </w:r>
      <w:r>
        <w:rPr/>
        <w:t>только</w:t>
      </w:r>
      <w:r>
        <w:rPr>
          <w:spacing w:val="-14"/>
        </w:rPr>
        <w:t> </w:t>
      </w:r>
      <w:r>
        <w:rPr/>
        <w:t>на</w:t>
      </w:r>
      <w:r>
        <w:rPr>
          <w:spacing w:val="-17"/>
        </w:rPr>
        <w:t> </w:t>
      </w:r>
      <w:r>
        <w:rPr/>
        <w:t>детей</w:t>
      </w:r>
      <w:r>
        <w:rPr>
          <w:spacing w:val="-14"/>
        </w:rPr>
        <w:t> </w:t>
      </w:r>
      <w:r>
        <w:rPr/>
        <w:t>из</w:t>
      </w:r>
      <w:r>
        <w:rPr>
          <w:spacing w:val="-15"/>
        </w:rPr>
        <w:t> </w:t>
      </w:r>
      <w:r>
        <w:rPr/>
        <w:t>семей</w:t>
      </w:r>
      <w:r>
        <w:rPr>
          <w:spacing w:val="-14"/>
        </w:rPr>
        <w:t> </w:t>
      </w:r>
      <w:r>
        <w:rPr/>
        <w:t>трудовых</w:t>
      </w:r>
      <w:r>
        <w:rPr>
          <w:spacing w:val="-14"/>
        </w:rPr>
        <w:t> </w:t>
      </w:r>
      <w:r>
        <w:rPr/>
        <w:t>мигрантов,</w:t>
      </w:r>
      <w:r>
        <w:rPr>
          <w:spacing w:val="-16"/>
        </w:rPr>
        <w:t> </w:t>
      </w:r>
      <w:r>
        <w:rPr/>
        <w:t>но и на их родителей, поскольку школа является пространством, в котором мигранты встречаются с «официальным» миром» (Исследование детей- мигрантов в школах</w:t>
      </w:r>
      <w:r>
        <w:rPr>
          <w:i/>
        </w:rPr>
        <w:t>,2011</w:t>
      </w:r>
      <w:r>
        <w:rPr/>
        <w:t>). Бирман и коллеги (</w:t>
      </w:r>
      <w:r>
        <w:rPr>
          <w:i/>
        </w:rPr>
        <w:t>Birman </w:t>
      </w:r>
      <w:r>
        <w:rPr/>
        <w:t>et al., 2007) подчеркивают, что процесс аккультурации обучающихся-мигрантов разворачивается в школьной среде, и поэтому обеспечение им поддержки помогает облегчить социализацию и способствует психологической адаптации и развитию. Согласимся с М. Н. Вандышевым, который утверждает: «Накопленный опыт обучения детей-мигрантов свидетельствует о том, что образовательные учреждения при условии грамотной интеграционной политики позволяют таким детям накопить значительный социальный капитал и тем самым эффективно препятствуют анклавизации городских пространств и сообществ» (</w:t>
      </w:r>
      <w:r>
        <w:rPr>
          <w:i/>
        </w:rPr>
        <w:t>Вандышев</w:t>
      </w:r>
      <w:r>
        <w:rPr/>
        <w:t>, 2019).</w:t>
      </w:r>
    </w:p>
    <w:p>
      <w:pPr>
        <w:pStyle w:val="Heading4"/>
        <w:spacing w:line="276" w:lineRule="auto"/>
        <w:ind w:left="1702" w:right="847" w:firstLine="566"/>
      </w:pPr>
      <w:r>
        <w:rPr/>
        <w:t>Одной из важнейших социальных функций системы образования является «культурная трансмиссия», то есть передача культурных ценностей. Дж.</w:t>
      </w:r>
      <w:r>
        <w:rPr>
          <w:spacing w:val="-5"/>
        </w:rPr>
        <w:t> </w:t>
      </w:r>
      <w:r>
        <w:rPr/>
        <w:t>Берри</w:t>
      </w:r>
      <w:r>
        <w:rPr>
          <w:spacing w:val="-6"/>
        </w:rPr>
        <w:t> </w:t>
      </w:r>
      <w:r>
        <w:rPr/>
        <w:t>и</w:t>
      </w:r>
      <w:r>
        <w:rPr>
          <w:spacing w:val="-6"/>
        </w:rPr>
        <w:t> </w:t>
      </w:r>
      <w:r>
        <w:rPr/>
        <w:t>Л.</w:t>
      </w:r>
      <w:r>
        <w:rPr>
          <w:spacing w:val="-4"/>
        </w:rPr>
        <w:t> </w:t>
      </w:r>
      <w:r>
        <w:rPr/>
        <w:t>Кавалли-Сфорца</w:t>
      </w:r>
      <w:r>
        <w:rPr>
          <w:spacing w:val="-6"/>
        </w:rPr>
        <w:t> </w:t>
      </w:r>
      <w:r>
        <w:rPr/>
        <w:t>выделяют</w:t>
      </w:r>
      <w:r>
        <w:rPr>
          <w:spacing w:val="-7"/>
        </w:rPr>
        <w:t> </w:t>
      </w:r>
      <w:r>
        <w:rPr/>
        <w:t>три</w:t>
      </w:r>
      <w:r>
        <w:rPr>
          <w:spacing w:val="-6"/>
        </w:rPr>
        <w:t> </w:t>
      </w:r>
      <w:r>
        <w:rPr/>
        <w:t>вида</w:t>
      </w:r>
      <w:r>
        <w:rPr>
          <w:spacing w:val="-6"/>
        </w:rPr>
        <w:t> </w:t>
      </w:r>
      <w:r>
        <w:rPr/>
        <w:t>культурной</w:t>
      </w:r>
      <w:r>
        <w:rPr>
          <w:spacing w:val="-6"/>
        </w:rPr>
        <w:t> </w:t>
      </w:r>
      <w:r>
        <w:rPr/>
        <w:t>трансмиссии: вертикальная (от родителей к детям, а также специфическая социализация со стороны</w:t>
      </w:r>
      <w:r>
        <w:rPr>
          <w:spacing w:val="1"/>
        </w:rPr>
        <w:t> </w:t>
      </w:r>
      <w:r>
        <w:rPr/>
        <w:t>сверстников),</w:t>
      </w:r>
      <w:r>
        <w:rPr>
          <w:spacing w:val="3"/>
        </w:rPr>
        <w:t> </w:t>
      </w:r>
      <w:r>
        <w:rPr/>
        <w:t>горизонтальная</w:t>
      </w:r>
      <w:r>
        <w:rPr>
          <w:spacing w:val="3"/>
        </w:rPr>
        <w:t> </w:t>
      </w:r>
      <w:r>
        <w:rPr/>
        <w:t>(со</w:t>
      </w:r>
      <w:r>
        <w:rPr>
          <w:spacing w:val="5"/>
        </w:rPr>
        <w:t> </w:t>
      </w:r>
      <w:r>
        <w:rPr/>
        <w:t>стороны</w:t>
      </w:r>
      <w:r>
        <w:rPr>
          <w:spacing w:val="4"/>
        </w:rPr>
        <w:t> </w:t>
      </w:r>
      <w:r>
        <w:rPr/>
        <w:t>сверстников)</w:t>
      </w:r>
      <w:r>
        <w:rPr>
          <w:spacing w:val="3"/>
        </w:rPr>
        <w:t> </w:t>
      </w:r>
      <w:r>
        <w:rPr/>
        <w:t>и</w:t>
      </w:r>
      <w:r>
        <w:rPr>
          <w:spacing w:val="3"/>
        </w:rPr>
        <w:t> </w:t>
      </w:r>
      <w:r>
        <w:rPr>
          <w:spacing w:val="-2"/>
        </w:rPr>
        <w:t>непрямая:</w:t>
      </w:r>
    </w:p>
    <w:p>
      <w:pPr>
        <w:pStyle w:val="Heading4"/>
        <w:spacing w:line="276" w:lineRule="auto"/>
        <w:ind w:left="1702" w:right="855"/>
      </w:pPr>
      <w:r>
        <w:rPr/>
        <w:t>«При непрямой культурной трансмиссии нас обучают другие взрослые и общественные</w:t>
      </w:r>
      <w:r>
        <w:rPr>
          <w:spacing w:val="-18"/>
        </w:rPr>
        <w:t> </w:t>
      </w:r>
      <w:r>
        <w:rPr/>
        <w:t>институты</w:t>
      </w:r>
      <w:r>
        <w:rPr>
          <w:spacing w:val="-17"/>
        </w:rPr>
        <w:t> </w:t>
      </w:r>
      <w:r>
        <w:rPr/>
        <w:t>(например,</w:t>
      </w:r>
      <w:r>
        <w:rPr>
          <w:spacing w:val="-18"/>
        </w:rPr>
        <w:t> </w:t>
      </w:r>
      <w:r>
        <w:rPr/>
        <w:t>школа),</w:t>
      </w:r>
      <w:r>
        <w:rPr>
          <w:spacing w:val="-17"/>
        </w:rPr>
        <w:t> </w:t>
      </w:r>
      <w:r>
        <w:rPr/>
        <w:t>либо</w:t>
      </w:r>
      <w:r>
        <w:rPr>
          <w:spacing w:val="-18"/>
        </w:rPr>
        <w:t> </w:t>
      </w:r>
      <w:r>
        <w:rPr/>
        <w:t>наша</w:t>
      </w:r>
      <w:r>
        <w:rPr>
          <w:spacing w:val="-17"/>
        </w:rPr>
        <w:t> </w:t>
      </w:r>
      <w:r>
        <w:rPr/>
        <w:t>собственная</w:t>
      </w:r>
      <w:r>
        <w:rPr>
          <w:spacing w:val="-18"/>
        </w:rPr>
        <w:t> </w:t>
      </w:r>
      <w:r>
        <w:rPr/>
        <w:t>культура или же другие культуры» (</w:t>
      </w:r>
      <w:r>
        <w:rPr>
          <w:i/>
        </w:rPr>
        <w:t>Берри</w:t>
      </w:r>
      <w:r>
        <w:rPr/>
        <w:t>, </w:t>
      </w:r>
      <w:r>
        <w:rPr>
          <w:i/>
        </w:rPr>
        <w:t>Пуртинга, Сигал</w:t>
      </w:r>
      <w:r>
        <w:rPr/>
        <w:t>, 2007).</w:t>
      </w:r>
    </w:p>
    <w:p>
      <w:pPr>
        <w:pStyle w:val="Heading4"/>
        <w:spacing w:line="278" w:lineRule="auto"/>
        <w:ind w:left="1702" w:right="848" w:firstLine="566"/>
      </w:pPr>
      <w:r>
        <w:rPr/>
        <w:t>Дж. Берри с коллегами описывает особую форму культурной трансмиссии,</w:t>
      </w:r>
      <w:r>
        <w:rPr>
          <w:spacing w:val="78"/>
        </w:rPr>
        <w:t>   </w:t>
      </w:r>
      <w:r>
        <w:rPr/>
        <w:t>которую</w:t>
      </w:r>
      <w:r>
        <w:rPr>
          <w:spacing w:val="78"/>
        </w:rPr>
        <w:t>   </w:t>
      </w:r>
      <w:r>
        <w:rPr/>
        <w:t>они</w:t>
      </w:r>
      <w:r>
        <w:rPr>
          <w:spacing w:val="78"/>
        </w:rPr>
        <w:t>   </w:t>
      </w:r>
      <w:r>
        <w:rPr/>
        <w:t>называют</w:t>
      </w:r>
      <w:r>
        <w:rPr>
          <w:spacing w:val="78"/>
        </w:rPr>
        <w:t>   </w:t>
      </w:r>
      <w:r>
        <w:rPr/>
        <w:t>аккультурационной:</w:t>
      </w:r>
      <w:r>
        <w:rPr>
          <w:spacing w:val="79"/>
        </w:rPr>
        <w:t>   </w:t>
      </w:r>
      <w:r>
        <w:rPr>
          <w:spacing w:val="-5"/>
        </w:rPr>
        <w:t>она</w:t>
      </w:r>
    </w:p>
    <w:p>
      <w:pPr>
        <w:pStyle w:val="Heading4"/>
        <w:spacing w:line="276" w:lineRule="auto"/>
        <w:ind w:left="1702" w:right="851"/>
      </w:pPr>
      <w:r>
        <w:rPr/>
        <w:t>«осуществляется в результате контакта индивида с людьми (институтами), которые</w:t>
      </w:r>
      <w:r>
        <w:rPr>
          <w:spacing w:val="-10"/>
        </w:rPr>
        <w:t> </w:t>
      </w:r>
      <w:r>
        <w:rPr/>
        <w:t>принадлежат</w:t>
      </w:r>
      <w:r>
        <w:rPr>
          <w:spacing w:val="-7"/>
        </w:rPr>
        <w:t> </w:t>
      </w:r>
      <w:r>
        <w:rPr/>
        <w:t>к</w:t>
      </w:r>
      <w:r>
        <w:rPr>
          <w:spacing w:val="-9"/>
        </w:rPr>
        <w:t> </w:t>
      </w:r>
      <w:r>
        <w:rPr/>
        <w:t>другим</w:t>
      </w:r>
      <w:r>
        <w:rPr>
          <w:spacing w:val="-10"/>
        </w:rPr>
        <w:t> </w:t>
      </w:r>
      <w:r>
        <w:rPr/>
        <w:t>культурам,</w:t>
      </w:r>
      <w:r>
        <w:rPr>
          <w:spacing w:val="-10"/>
        </w:rPr>
        <w:t> </w:t>
      </w:r>
      <w:r>
        <w:rPr/>
        <w:t>отличающимся</w:t>
      </w:r>
      <w:r>
        <w:rPr>
          <w:spacing w:val="-12"/>
        </w:rPr>
        <w:t> </w:t>
      </w:r>
      <w:r>
        <w:rPr/>
        <w:t>от</w:t>
      </w:r>
      <w:r>
        <w:rPr>
          <w:spacing w:val="-10"/>
        </w:rPr>
        <w:t> </w:t>
      </w:r>
      <w:r>
        <w:rPr/>
        <w:t>его</w:t>
      </w:r>
      <w:r>
        <w:rPr>
          <w:spacing w:val="-9"/>
        </w:rPr>
        <w:t> </w:t>
      </w:r>
      <w:r>
        <w:rPr/>
        <w:t>собственной культуры, и находятся под их влиянием» (</w:t>
      </w:r>
      <w:r>
        <w:rPr>
          <w:i/>
        </w:rPr>
        <w:t>Берри</w:t>
      </w:r>
      <w:r>
        <w:rPr/>
        <w:t>, </w:t>
      </w:r>
      <w:r>
        <w:rPr>
          <w:i/>
        </w:rPr>
        <w:t>Пуртинга, Сигал, </w:t>
      </w:r>
      <w:r>
        <w:rPr/>
        <w:t>2007).</w:t>
      </w:r>
    </w:p>
    <w:p>
      <w:pPr>
        <w:pStyle w:val="Heading4"/>
        <w:spacing w:line="276" w:lineRule="auto"/>
        <w:ind w:left="1702" w:right="846" w:firstLine="566"/>
      </w:pPr>
      <w:r>
        <w:rPr/>
        <w:t>Образование можно рассматривать как важнейший институт непрямой культурной трансмиссии. В различных культурах, этнических или национальных</w:t>
      </w:r>
      <w:r>
        <w:rPr>
          <w:spacing w:val="-5"/>
        </w:rPr>
        <w:t> </w:t>
      </w:r>
      <w:r>
        <w:rPr/>
        <w:t>(государственных),</w:t>
      </w:r>
      <w:r>
        <w:rPr>
          <w:spacing w:val="-7"/>
        </w:rPr>
        <w:t> </w:t>
      </w:r>
      <w:r>
        <w:rPr/>
        <w:t>система</w:t>
      </w:r>
      <w:r>
        <w:rPr>
          <w:spacing w:val="-6"/>
        </w:rPr>
        <w:t> </w:t>
      </w:r>
      <w:r>
        <w:rPr/>
        <w:t>образования</w:t>
      </w:r>
      <w:r>
        <w:rPr>
          <w:spacing w:val="-9"/>
        </w:rPr>
        <w:t> </w:t>
      </w:r>
      <w:r>
        <w:rPr/>
        <w:t>имеет</w:t>
      </w:r>
      <w:r>
        <w:rPr>
          <w:spacing w:val="-6"/>
        </w:rPr>
        <w:t> </w:t>
      </w:r>
      <w:r>
        <w:rPr/>
        <w:t>специфические особенности, отражающие различные ценностные предпочтения. Взаимодействие педагога, ребенка и родителя, принадлежащих к различным культурам,</w:t>
      </w:r>
      <w:r>
        <w:rPr>
          <w:spacing w:val="29"/>
        </w:rPr>
        <w:t>  </w:t>
      </w:r>
      <w:r>
        <w:rPr/>
        <w:t>может</w:t>
      </w:r>
      <w:r>
        <w:rPr>
          <w:spacing w:val="28"/>
        </w:rPr>
        <w:t>  </w:t>
      </w:r>
      <w:r>
        <w:rPr/>
        <w:t>осложняться</w:t>
      </w:r>
      <w:r>
        <w:rPr>
          <w:spacing w:val="28"/>
        </w:rPr>
        <w:t>  </w:t>
      </w:r>
      <w:r>
        <w:rPr/>
        <w:t>их</w:t>
      </w:r>
      <w:r>
        <w:rPr>
          <w:spacing w:val="27"/>
        </w:rPr>
        <w:t>  </w:t>
      </w:r>
      <w:r>
        <w:rPr/>
        <w:t>расхождениями</w:t>
      </w:r>
      <w:r>
        <w:rPr>
          <w:spacing w:val="30"/>
        </w:rPr>
        <w:t>  </w:t>
      </w:r>
      <w:r>
        <w:rPr/>
        <w:t>в</w:t>
      </w:r>
      <w:r>
        <w:rPr>
          <w:spacing w:val="27"/>
        </w:rPr>
        <w:t>  </w:t>
      </w:r>
      <w:r>
        <w:rPr/>
        <w:t>понимании</w:t>
      </w:r>
      <w:r>
        <w:rPr>
          <w:spacing w:val="29"/>
        </w:rPr>
        <w:t>  </w:t>
      </w:r>
      <w:r>
        <w:rPr>
          <w:spacing w:val="-2"/>
        </w:rPr>
        <w:t>целей</w:t>
      </w:r>
    </w:p>
    <w:p>
      <w:pPr>
        <w:pStyle w:val="Heading4"/>
        <w:spacing w:after="0" w:line="276" w:lineRule="auto"/>
        <w:sectPr>
          <w:pgSz w:w="11910" w:h="16840"/>
          <w:pgMar w:header="0" w:footer="956" w:top="1040" w:bottom="1220" w:left="0" w:right="0"/>
        </w:sectPr>
      </w:pPr>
    </w:p>
    <w:p>
      <w:pPr>
        <w:pStyle w:val="Heading4"/>
        <w:spacing w:line="276" w:lineRule="auto" w:before="67"/>
        <w:ind w:left="1702" w:right="848"/>
      </w:pPr>
      <w:r>
        <w:rPr/>
        <w:t>образования, в имеющихся ожиданиях друг от друга и от школы вообще. В ситуации обучения детей-мигрантов функции образования становятся двоякими: с одной стороны, оно сохраняет задачи непрямой культурной трансмиссии, а с другой — приобретает функции аккультурационной </w:t>
      </w:r>
      <w:r>
        <w:rPr>
          <w:spacing w:val="-2"/>
        </w:rPr>
        <w:t>трансмиссии.</w:t>
      </w:r>
    </w:p>
    <w:p>
      <w:pPr>
        <w:pStyle w:val="Heading4"/>
        <w:spacing w:line="276" w:lineRule="auto" w:before="2"/>
        <w:ind w:left="1702" w:right="847" w:firstLine="566"/>
      </w:pPr>
      <w:r>
        <w:rPr/>
        <w:t>Выполнение данной функции требует, чтобы дети-мигранты обучались совместно с ровесниками из принимающей культуры.</w:t>
      </w:r>
    </w:p>
    <w:p>
      <w:pPr>
        <w:pStyle w:val="Heading4"/>
        <w:spacing w:line="276" w:lineRule="auto"/>
        <w:ind w:left="1702" w:right="843" w:firstLine="566"/>
      </w:pPr>
      <w:r>
        <w:rPr/>
        <w:t>В мировой образовательной науке и практике в настоящий момент достигнут консенсус относительно нецелесообразности обучения детей- мигрантов отдельно от учеников из принимающего общества. Образовательная сегрегация, как намеренная, так и стихийная, усиливает разрыв</w:t>
      </w:r>
      <w:r>
        <w:rPr>
          <w:spacing w:val="-6"/>
        </w:rPr>
        <w:t> </w:t>
      </w:r>
      <w:r>
        <w:rPr/>
        <w:t>в</w:t>
      </w:r>
      <w:r>
        <w:rPr>
          <w:spacing w:val="-6"/>
        </w:rPr>
        <w:t> </w:t>
      </w:r>
      <w:r>
        <w:rPr/>
        <w:t>образовательных</w:t>
      </w:r>
      <w:r>
        <w:rPr>
          <w:spacing w:val="-7"/>
        </w:rPr>
        <w:t> </w:t>
      </w:r>
      <w:r>
        <w:rPr/>
        <w:t>результатах</w:t>
      </w:r>
      <w:r>
        <w:rPr>
          <w:spacing w:val="-5"/>
        </w:rPr>
        <w:t> </w:t>
      </w:r>
      <w:r>
        <w:rPr/>
        <w:t>(</w:t>
      </w:r>
      <w:r>
        <w:rPr>
          <w:i/>
        </w:rPr>
        <w:t>Janta,</w:t>
      </w:r>
      <w:r>
        <w:rPr>
          <w:i/>
          <w:spacing w:val="-6"/>
        </w:rPr>
        <w:t> </w:t>
      </w:r>
      <w:r>
        <w:rPr>
          <w:i/>
        </w:rPr>
        <w:t>Harte</w:t>
      </w:r>
      <w:r>
        <w:rPr/>
        <w:t>,</w:t>
      </w:r>
      <w:r>
        <w:rPr>
          <w:spacing w:val="-6"/>
        </w:rPr>
        <w:t> </w:t>
      </w:r>
      <w:r>
        <w:rPr/>
        <w:t>2016).</w:t>
      </w:r>
      <w:r>
        <w:rPr>
          <w:spacing w:val="-8"/>
        </w:rPr>
        <w:t> </w:t>
      </w:r>
      <w:r>
        <w:rPr/>
        <w:t>Утверждается,</w:t>
      </w:r>
      <w:r>
        <w:rPr>
          <w:spacing w:val="-5"/>
        </w:rPr>
        <w:t> </w:t>
      </w:r>
      <w:r>
        <w:rPr/>
        <w:t>что образование, построенное на включении всех учеников, имеющих учебные затруднения, в том числе учеников-мигрантов, в наибольшей степени способствует их успешности (</w:t>
      </w:r>
      <w:r>
        <w:rPr>
          <w:i/>
        </w:rPr>
        <w:t>Dumčius </w:t>
      </w:r>
      <w:r>
        <w:rPr/>
        <w:t>et al., 2013). Социальное исключение обучающихся-мигрантов из группы сверстников сопровождается снижением их</w:t>
      </w:r>
      <w:r>
        <w:rPr>
          <w:spacing w:val="-6"/>
        </w:rPr>
        <w:t> </w:t>
      </w:r>
      <w:r>
        <w:rPr/>
        <w:t>учебной</w:t>
      </w:r>
      <w:r>
        <w:rPr>
          <w:spacing w:val="-6"/>
        </w:rPr>
        <w:t> </w:t>
      </w:r>
      <w:r>
        <w:rPr/>
        <w:t>успеваемости</w:t>
      </w:r>
      <w:r>
        <w:rPr>
          <w:spacing w:val="-6"/>
        </w:rPr>
        <w:t> </w:t>
      </w:r>
      <w:r>
        <w:rPr/>
        <w:t>(</w:t>
      </w:r>
      <w:r>
        <w:rPr>
          <w:i/>
        </w:rPr>
        <w:t>Raabe,</w:t>
      </w:r>
      <w:r>
        <w:rPr>
          <w:i/>
          <w:spacing w:val="-9"/>
        </w:rPr>
        <w:t> </w:t>
      </w:r>
      <w:r>
        <w:rPr/>
        <w:t>2019).</w:t>
      </w:r>
      <w:r>
        <w:rPr>
          <w:spacing w:val="-9"/>
        </w:rPr>
        <w:t> </w:t>
      </w:r>
      <w:r>
        <w:rPr/>
        <w:t>Однозначная</w:t>
      </w:r>
      <w:r>
        <w:rPr>
          <w:spacing w:val="-6"/>
        </w:rPr>
        <w:t> </w:t>
      </w:r>
      <w:r>
        <w:rPr/>
        <w:t>маркировка</w:t>
      </w:r>
      <w:r>
        <w:rPr>
          <w:spacing w:val="-6"/>
        </w:rPr>
        <w:t> </w:t>
      </w:r>
      <w:r>
        <w:rPr/>
        <w:t>ребенка</w:t>
      </w:r>
      <w:r>
        <w:rPr>
          <w:spacing w:val="-6"/>
        </w:rPr>
        <w:t> </w:t>
      </w:r>
      <w:r>
        <w:rPr/>
        <w:t>как</w:t>
      </w:r>
    </w:p>
    <w:p>
      <w:pPr>
        <w:pStyle w:val="Heading4"/>
        <w:spacing w:line="276" w:lineRule="auto"/>
        <w:ind w:left="1702" w:right="845"/>
      </w:pPr>
      <w:r>
        <w:rPr/>
        <w:t>«мигранта», «инокультурного» может усиливать стереотипность его восприятия педагогами, что, в свою очередь, вследствие угрозы стереотипа окажет негативное влияние на его учебную успешность (</w:t>
      </w:r>
      <w:r>
        <w:rPr>
          <w:i/>
        </w:rPr>
        <w:t>Appel, Weber, Kronberger</w:t>
      </w:r>
      <w:r>
        <w:rPr/>
        <w:t>, 2015).</w:t>
      </w:r>
    </w:p>
    <w:p>
      <w:pPr>
        <w:pStyle w:val="Heading4"/>
        <w:spacing w:line="276" w:lineRule="auto"/>
        <w:ind w:left="1702" w:right="846" w:firstLine="566"/>
      </w:pPr>
      <w:r>
        <w:rPr/>
        <w:t>Вместе с тем, игнорирование специфического социального опыта, которым обладает ребенок-мигрант, особых трудностей, с которыми он сталкивается в процессе адаптации, также сильно затрудняет успешность его интеграции. Дети-мигранты представляют собой группу, неоднородную по ряду характеристик: по языку, религии, культурной дистанции с принимающей культурой, социальному статусу, длительности пребывания в принимающей культуре и др. Подобное разнообразие детерминирует необходимость</w:t>
      </w:r>
      <w:r>
        <w:rPr>
          <w:spacing w:val="-15"/>
        </w:rPr>
        <w:t> </w:t>
      </w:r>
      <w:r>
        <w:rPr/>
        <w:t>адресной</w:t>
      </w:r>
      <w:r>
        <w:rPr>
          <w:spacing w:val="-16"/>
        </w:rPr>
        <w:t> </w:t>
      </w:r>
      <w:r>
        <w:rPr/>
        <w:t>дифференцированной</w:t>
      </w:r>
      <w:r>
        <w:rPr>
          <w:spacing w:val="-16"/>
        </w:rPr>
        <w:t> </w:t>
      </w:r>
      <w:r>
        <w:rPr/>
        <w:t>поддержки</w:t>
      </w:r>
      <w:r>
        <w:rPr>
          <w:spacing w:val="-14"/>
        </w:rPr>
        <w:t> </w:t>
      </w:r>
      <w:r>
        <w:rPr/>
        <w:t>этих</w:t>
      </w:r>
      <w:r>
        <w:rPr>
          <w:spacing w:val="-10"/>
        </w:rPr>
        <w:t> </w:t>
      </w:r>
      <w:r>
        <w:rPr/>
        <w:t>обучающихся (</w:t>
      </w:r>
      <w:r>
        <w:rPr>
          <w:i/>
        </w:rPr>
        <w:t>Нестерова</w:t>
      </w:r>
      <w:r>
        <w:rPr/>
        <w:t>, 2018).</w:t>
      </w:r>
    </w:p>
    <w:p>
      <w:pPr>
        <w:pStyle w:val="Heading4"/>
        <w:spacing w:line="276" w:lineRule="auto" w:before="2"/>
        <w:ind w:left="1702" w:right="846" w:firstLine="566"/>
      </w:pPr>
      <w:r>
        <w:rPr/>
        <w:t>Разрешить данное противоречие невозможно без обращения к области образовательной практики и теории, которые уже давно столкнулись с необходимостью как дифференциации, так и де-стигматизации, т.е. к инклюзивному образованию.</w:t>
      </w:r>
    </w:p>
    <w:p>
      <w:pPr>
        <w:pStyle w:val="Heading4"/>
        <w:spacing w:line="276" w:lineRule="auto"/>
        <w:ind w:left="1702" w:right="849" w:firstLine="566"/>
      </w:pPr>
      <w:r>
        <w:rPr/>
        <w:t>Модель инклюзивного образования опирается на понятие особых образовательных потребностей, под которыми понимаются «потребности в условиях, необходимых для оптимальной реализации актуальных и потенциальных возможностей (когнитивных, энергетических и эмоционально-волевых,</w:t>
      </w:r>
      <w:r>
        <w:rPr>
          <w:spacing w:val="32"/>
        </w:rPr>
        <w:t> </w:t>
      </w:r>
      <w:r>
        <w:rPr/>
        <w:t>включая</w:t>
      </w:r>
      <w:r>
        <w:rPr>
          <w:spacing w:val="36"/>
        </w:rPr>
        <w:t> </w:t>
      </w:r>
      <w:r>
        <w:rPr/>
        <w:t>мотивационные),</w:t>
      </w:r>
      <w:r>
        <w:rPr>
          <w:spacing w:val="34"/>
        </w:rPr>
        <w:t> </w:t>
      </w:r>
      <w:r>
        <w:rPr/>
        <w:t>которые</w:t>
      </w:r>
      <w:r>
        <w:rPr>
          <w:spacing w:val="36"/>
        </w:rPr>
        <w:t> </w:t>
      </w:r>
      <w:r>
        <w:rPr/>
        <w:t>может</w:t>
      </w:r>
      <w:r>
        <w:rPr>
          <w:spacing w:val="36"/>
        </w:rPr>
        <w:t> </w:t>
      </w:r>
      <w:r>
        <w:rPr>
          <w:spacing w:val="-2"/>
        </w:rPr>
        <w:t>проявить</w:t>
      </w:r>
    </w:p>
    <w:p>
      <w:pPr>
        <w:pStyle w:val="Heading4"/>
        <w:spacing w:after="0" w:line="276" w:lineRule="auto"/>
        <w:sectPr>
          <w:pgSz w:w="11910" w:h="16840"/>
          <w:pgMar w:header="0" w:footer="956" w:top="1040" w:bottom="1220" w:left="0" w:right="0"/>
        </w:sectPr>
      </w:pPr>
    </w:p>
    <w:p>
      <w:pPr>
        <w:pStyle w:val="Heading4"/>
        <w:spacing w:line="276" w:lineRule="auto" w:before="67"/>
        <w:ind w:left="1702" w:right="844"/>
      </w:pPr>
      <w:r>
        <w:rPr/>
        <w:t>ребенок с недостатками развития в процессе обучения» (</w:t>
      </w:r>
      <w:r>
        <w:rPr>
          <w:i/>
        </w:rPr>
        <w:t>Лубовский</w:t>
      </w:r>
      <w:r>
        <w:rPr/>
        <w:t>, 2013). Именно концепция особых образовательных потребностей позволяет дифференцировать стратегию и тактику психолого-педагогической поддержки</w:t>
      </w:r>
      <w:r>
        <w:rPr>
          <w:spacing w:val="-18"/>
        </w:rPr>
        <w:t> </w:t>
      </w:r>
      <w:r>
        <w:rPr/>
        <w:t>обучающихся,</w:t>
      </w:r>
      <w:r>
        <w:rPr>
          <w:spacing w:val="-17"/>
        </w:rPr>
        <w:t> </w:t>
      </w:r>
      <w:r>
        <w:rPr/>
        <w:t>ориентируясь</w:t>
      </w:r>
      <w:r>
        <w:rPr>
          <w:spacing w:val="-18"/>
        </w:rPr>
        <w:t> </w:t>
      </w:r>
      <w:r>
        <w:rPr/>
        <w:t>при</w:t>
      </w:r>
      <w:r>
        <w:rPr>
          <w:spacing w:val="-17"/>
        </w:rPr>
        <w:t> </w:t>
      </w:r>
      <w:r>
        <w:rPr/>
        <w:t>этом</w:t>
      </w:r>
      <w:r>
        <w:rPr>
          <w:spacing w:val="-18"/>
        </w:rPr>
        <w:t> </w:t>
      </w:r>
      <w:r>
        <w:rPr/>
        <w:t>на</w:t>
      </w:r>
      <w:r>
        <w:rPr>
          <w:spacing w:val="-17"/>
        </w:rPr>
        <w:t> </w:t>
      </w:r>
      <w:r>
        <w:rPr/>
        <w:t>возможность</w:t>
      </w:r>
      <w:r>
        <w:rPr>
          <w:spacing w:val="-18"/>
        </w:rPr>
        <w:t> </w:t>
      </w:r>
      <w:r>
        <w:rPr/>
        <w:t>их</w:t>
      </w:r>
      <w:r>
        <w:rPr>
          <w:spacing w:val="-17"/>
        </w:rPr>
        <w:t> </w:t>
      </w:r>
      <w:r>
        <w:rPr/>
        <w:t>обучения в едином образовательном пространстве школы. В одной из первых публикаций по проблемам концепции «потребностей» в образовании отмечалось, что этот термин описывает составляющие, являющиеся необходимыми,</w:t>
      </w:r>
      <w:r>
        <w:rPr>
          <w:spacing w:val="-3"/>
        </w:rPr>
        <w:t> </w:t>
      </w:r>
      <w:r>
        <w:rPr/>
        <w:t>ключевыми,</w:t>
      </w:r>
      <w:r>
        <w:rPr>
          <w:spacing w:val="-1"/>
        </w:rPr>
        <w:t> </w:t>
      </w:r>
      <w:r>
        <w:rPr/>
        <w:t>в</w:t>
      </w:r>
      <w:r>
        <w:rPr>
          <w:spacing w:val="-3"/>
        </w:rPr>
        <w:t> </w:t>
      </w:r>
      <w:r>
        <w:rPr/>
        <w:t>противовес ситуативным</w:t>
      </w:r>
      <w:r>
        <w:rPr>
          <w:spacing w:val="-3"/>
        </w:rPr>
        <w:t> </w:t>
      </w:r>
      <w:r>
        <w:rPr/>
        <w:t>или</w:t>
      </w:r>
      <w:r>
        <w:rPr>
          <w:spacing w:val="-2"/>
        </w:rPr>
        <w:t> </w:t>
      </w:r>
      <w:r>
        <w:rPr/>
        <w:t>несущественным (</w:t>
      </w:r>
      <w:r>
        <w:rPr>
          <w:i/>
        </w:rPr>
        <w:t>Komisar, 1961</w:t>
      </w:r>
      <w:r>
        <w:rPr/>
        <w:t>).</w:t>
      </w:r>
    </w:p>
    <w:p>
      <w:pPr>
        <w:pStyle w:val="Heading4"/>
        <w:spacing w:line="276" w:lineRule="auto" w:before="2"/>
        <w:ind w:left="1702" w:right="846" w:firstLine="566"/>
      </w:pPr>
      <w:r>
        <w:rPr/>
        <w:t>А.Ю. Шеманов выделяет два основных подхода к включению ребенка с особыми образовательными потребностями в учебное пространство интегративного и инклюзивного образования (</w:t>
      </w:r>
      <w:r>
        <w:rPr>
          <w:i/>
        </w:rPr>
        <w:t>Шеманов</w:t>
      </w:r>
      <w:r>
        <w:rPr/>
        <w:t>, 2012).</w:t>
      </w:r>
    </w:p>
    <w:p>
      <w:pPr>
        <w:pStyle w:val="Heading4"/>
        <w:spacing w:line="276" w:lineRule="auto" w:before="1"/>
        <w:ind w:left="1702" w:right="845" w:firstLine="566"/>
      </w:pPr>
      <w:r>
        <w:rPr/>
        <w:t>Интегративная модель предполагает, что задача ребенка — адаптироваться к образовательной системе, и система должна ему в этом помочь. Основная цель при этом, как указывает Шеманов, обеспечить право на включение в общий поток с помощью специальных педагогических приемов, учитывающих особые образовательные потребности.</w:t>
      </w:r>
    </w:p>
    <w:p>
      <w:pPr>
        <w:pStyle w:val="Heading4"/>
        <w:spacing w:line="276" w:lineRule="auto"/>
        <w:ind w:left="1702" w:right="845" w:firstLine="566"/>
      </w:pPr>
      <w:r>
        <w:rPr/>
        <w:t>Инклюзивное образование помещает особого ребенка в некоторую относительно</w:t>
      </w:r>
      <w:r>
        <w:rPr>
          <w:spacing w:val="-15"/>
        </w:rPr>
        <w:t> </w:t>
      </w:r>
      <w:r>
        <w:rPr/>
        <w:t>однородную</w:t>
      </w:r>
      <w:r>
        <w:rPr>
          <w:spacing w:val="-14"/>
        </w:rPr>
        <w:t> </w:t>
      </w:r>
      <w:r>
        <w:rPr/>
        <w:t>среду,</w:t>
      </w:r>
      <w:r>
        <w:rPr>
          <w:spacing w:val="-14"/>
        </w:rPr>
        <w:t> </w:t>
      </w:r>
      <w:r>
        <w:rPr/>
        <w:t>и</w:t>
      </w:r>
      <w:r>
        <w:rPr>
          <w:spacing w:val="-13"/>
        </w:rPr>
        <w:t> </w:t>
      </w:r>
      <w:r>
        <w:rPr/>
        <w:t>для</w:t>
      </w:r>
      <w:r>
        <w:rPr>
          <w:spacing w:val="-13"/>
        </w:rPr>
        <w:t> </w:t>
      </w:r>
      <w:r>
        <w:rPr/>
        <w:t>того</w:t>
      </w:r>
      <w:r>
        <w:rPr>
          <w:spacing w:val="-15"/>
        </w:rPr>
        <w:t> </w:t>
      </w:r>
      <w:r>
        <w:rPr/>
        <w:t>чтобы</w:t>
      </w:r>
      <w:r>
        <w:rPr>
          <w:spacing w:val="-13"/>
        </w:rPr>
        <w:t> </w:t>
      </w:r>
      <w:r>
        <w:rPr/>
        <w:t>эта</w:t>
      </w:r>
      <w:r>
        <w:rPr>
          <w:spacing w:val="-16"/>
        </w:rPr>
        <w:t> </w:t>
      </w:r>
      <w:r>
        <w:rPr/>
        <w:t>среда</w:t>
      </w:r>
      <w:r>
        <w:rPr>
          <w:spacing w:val="-17"/>
        </w:rPr>
        <w:t> </w:t>
      </w:r>
      <w:r>
        <w:rPr/>
        <w:t>его</w:t>
      </w:r>
      <w:r>
        <w:rPr>
          <w:spacing w:val="-15"/>
        </w:rPr>
        <w:t> </w:t>
      </w:r>
      <w:r>
        <w:rPr/>
        <w:t>приняла,</w:t>
      </w:r>
      <w:r>
        <w:rPr>
          <w:spacing w:val="-7"/>
        </w:rPr>
        <w:t> </w:t>
      </w:r>
      <w:r>
        <w:rPr/>
        <w:t>и</w:t>
      </w:r>
      <w:r>
        <w:rPr>
          <w:spacing w:val="-15"/>
        </w:rPr>
        <w:t> </w:t>
      </w:r>
      <w:r>
        <w:rPr/>
        <w:t>он, и среда должны меняться, двигаясь навстречу друг другу. Шеманов подчеркивает, что задача инклюзивного образования — обеспечить право на отличия, что предполагает их выражение и принятие, тогда как изменение навстречу другим опирается на выбор и активное участие. Инклюзивная школа способна принять любого ребенка с учетом его особых образовательных потребностей.</w:t>
      </w:r>
    </w:p>
    <w:p>
      <w:pPr>
        <w:pStyle w:val="Heading4"/>
        <w:spacing w:line="276" w:lineRule="auto"/>
        <w:ind w:left="1702" w:right="845" w:firstLine="566"/>
      </w:pPr>
      <w:r>
        <w:rPr/>
        <w:t>Согласно «организационной парадигме» инклюзии, представленной </w:t>
      </w:r>
      <w:r>
        <w:rPr>
          <w:i/>
        </w:rPr>
        <w:t>E. Avramidis </w:t>
      </w:r>
      <w:r>
        <w:rPr/>
        <w:t>с коллегами, идентификация обучающихся, имеющих особые потребности, не отражает дефициты самих учеников, но скорее недостатки в организации работы школы (</w:t>
      </w:r>
      <w:r>
        <w:rPr>
          <w:i/>
        </w:rPr>
        <w:t>Avramidis, Bayliss, Burden, </w:t>
      </w:r>
      <w:r>
        <w:rPr/>
        <w:t>2002)</w:t>
      </w:r>
    </w:p>
    <w:p>
      <w:pPr>
        <w:pStyle w:val="Heading4"/>
        <w:spacing w:line="276" w:lineRule="auto" w:before="1"/>
        <w:ind w:left="1702" w:right="846" w:firstLine="566"/>
        <w:rPr>
          <w:i/>
        </w:rPr>
      </w:pPr>
      <w:r>
        <w:rPr/>
        <w:t>Изначально концепция особых образовательных потребностей применялась к детям-мигрантам исключительно в контексте недостатков развития (</w:t>
      </w:r>
      <w:r>
        <w:rPr>
          <w:i/>
        </w:rPr>
        <w:t>Caldin, Cinotti, </w:t>
      </w:r>
      <w:r>
        <w:rPr/>
        <w:t>2018). Однако в настоящее время в мировой образовательной практике концепция особых образовательных потребностей уже</w:t>
      </w:r>
      <w:r>
        <w:rPr>
          <w:spacing w:val="-14"/>
        </w:rPr>
        <w:t> </w:t>
      </w:r>
      <w:r>
        <w:rPr/>
        <w:t>не</w:t>
      </w:r>
      <w:r>
        <w:rPr>
          <w:spacing w:val="-14"/>
        </w:rPr>
        <w:t> </w:t>
      </w:r>
      <w:r>
        <w:rPr/>
        <w:t>рассматривается</w:t>
      </w:r>
      <w:r>
        <w:rPr>
          <w:spacing w:val="-14"/>
        </w:rPr>
        <w:t> </w:t>
      </w:r>
      <w:r>
        <w:rPr/>
        <w:t>только</w:t>
      </w:r>
      <w:r>
        <w:rPr>
          <w:spacing w:val="-15"/>
        </w:rPr>
        <w:t> </w:t>
      </w:r>
      <w:r>
        <w:rPr/>
        <w:t>в</w:t>
      </w:r>
      <w:r>
        <w:rPr>
          <w:spacing w:val="-15"/>
        </w:rPr>
        <w:t> </w:t>
      </w:r>
      <w:r>
        <w:rPr/>
        <w:t>клинико-патологическом</w:t>
      </w:r>
      <w:r>
        <w:rPr>
          <w:spacing w:val="-17"/>
        </w:rPr>
        <w:t> </w:t>
      </w:r>
      <w:r>
        <w:rPr/>
        <w:t>ракурсе,</w:t>
      </w:r>
      <w:r>
        <w:rPr>
          <w:spacing w:val="-15"/>
        </w:rPr>
        <w:t> </w:t>
      </w:r>
      <w:r>
        <w:rPr/>
        <w:t>а</w:t>
      </w:r>
      <w:r>
        <w:rPr>
          <w:spacing w:val="-17"/>
        </w:rPr>
        <w:t> </w:t>
      </w:r>
      <w:r>
        <w:rPr/>
        <w:t>начинает трактоваться более широко — как дополнительные образовательные потребности </w:t>
      </w:r>
      <w:r>
        <w:rPr>
          <w:i/>
        </w:rPr>
        <w:t>(additional educational needs).</w:t>
      </w:r>
    </w:p>
    <w:p>
      <w:pPr>
        <w:pStyle w:val="Heading4"/>
        <w:spacing w:line="276" w:lineRule="auto" w:before="1"/>
        <w:ind w:left="1702" w:right="845" w:firstLine="566"/>
      </w:pPr>
      <w:r>
        <w:rPr/>
        <w:t>Так, министерство образования Северной Ирландии предлагает следующее понимание данного термина: «Дополнительные образовательные потребности</w:t>
      </w:r>
      <w:r>
        <w:rPr>
          <w:spacing w:val="1"/>
        </w:rPr>
        <w:t> </w:t>
      </w:r>
      <w:r>
        <w:rPr/>
        <w:t>относятся к разнообразным группам детей</w:t>
      </w:r>
      <w:r>
        <w:rPr>
          <w:spacing w:val="-2"/>
        </w:rPr>
        <w:t> </w:t>
      </w:r>
      <w:r>
        <w:rPr/>
        <w:t>и</w:t>
      </w:r>
      <w:r>
        <w:rPr>
          <w:spacing w:val="-2"/>
        </w:rPr>
        <w:t> </w:t>
      </w:r>
      <w:r>
        <w:rPr/>
        <w:t>молодежи, </w:t>
      </w:r>
      <w:r>
        <w:rPr>
          <w:spacing w:val="-2"/>
        </w:rPr>
        <w:t>которые</w:t>
      </w:r>
    </w:p>
    <w:p>
      <w:pPr>
        <w:pStyle w:val="Heading4"/>
        <w:spacing w:after="0" w:line="276" w:lineRule="auto"/>
        <w:sectPr>
          <w:pgSz w:w="11910" w:h="16840"/>
          <w:pgMar w:header="0" w:footer="956" w:top="1040" w:bottom="1220" w:left="0" w:right="0"/>
        </w:sectPr>
      </w:pPr>
    </w:p>
    <w:p>
      <w:pPr>
        <w:pStyle w:val="Heading4"/>
        <w:spacing w:line="276" w:lineRule="auto" w:before="67"/>
        <w:ind w:left="1702" w:right="853"/>
      </w:pPr>
      <w:r>
        <w:rPr/>
        <w:t>по разным причинам могут сталкиваться с дополнительными барьерами к образованию и обучению»</w:t>
      </w:r>
      <w:r>
        <w:rPr>
          <w:vertAlign w:val="superscript"/>
        </w:rPr>
        <w:t>1</w:t>
      </w:r>
      <w:r>
        <w:rPr>
          <w:vertAlign w:val="baseline"/>
        </w:rPr>
        <w:t>. К числу таких детей относят и недавно прибывших в страну.</w:t>
      </w:r>
    </w:p>
    <w:p>
      <w:pPr>
        <w:pStyle w:val="Heading4"/>
        <w:spacing w:line="276" w:lineRule="auto" w:before="1"/>
        <w:ind w:left="1702" w:right="845" w:firstLine="566"/>
      </w:pPr>
      <w:r>
        <w:rPr/>
        <w:t>Министерство образования провинции Саскачеван (Канада) реализует подход,</w:t>
      </w:r>
      <w:r>
        <w:rPr>
          <w:spacing w:val="-1"/>
        </w:rPr>
        <w:t> </w:t>
      </w:r>
      <w:r>
        <w:rPr/>
        <w:t>основанный</w:t>
      </w:r>
      <w:r>
        <w:rPr>
          <w:spacing w:val="-2"/>
        </w:rPr>
        <w:t> </w:t>
      </w:r>
      <w:r>
        <w:rPr/>
        <w:t>на потребностях обучающихся </w:t>
      </w:r>
      <w:r>
        <w:rPr>
          <w:i/>
        </w:rPr>
        <w:t>(needs-based approach)</w:t>
      </w:r>
      <w:r>
        <w:rPr/>
        <w:t>.</w:t>
      </w:r>
      <w:r>
        <w:rPr>
          <w:spacing w:val="-1"/>
        </w:rPr>
        <w:t> </w:t>
      </w:r>
      <w:r>
        <w:rPr/>
        <w:t>В основе этого подхода лежит идея о том, что обучающиеся имеют различные потребности, которые могут меняться с течением времени. Предполагается, что важнее</w:t>
      </w:r>
      <w:r>
        <w:rPr>
          <w:spacing w:val="-1"/>
        </w:rPr>
        <w:t> </w:t>
      </w:r>
      <w:r>
        <w:rPr/>
        <w:t>ориентироваться именно на</w:t>
      </w:r>
      <w:r>
        <w:rPr>
          <w:spacing w:val="-1"/>
        </w:rPr>
        <w:t> </w:t>
      </w:r>
      <w:r>
        <w:rPr/>
        <w:t>потребности,</w:t>
      </w:r>
      <w:r>
        <w:rPr>
          <w:spacing w:val="-1"/>
        </w:rPr>
        <w:t> </w:t>
      </w:r>
      <w:r>
        <w:rPr/>
        <w:t>а</w:t>
      </w:r>
      <w:r>
        <w:rPr>
          <w:spacing w:val="-1"/>
        </w:rPr>
        <w:t> </w:t>
      </w:r>
      <w:r>
        <w:rPr/>
        <w:t>не</w:t>
      </w:r>
      <w:r>
        <w:rPr>
          <w:spacing w:val="-1"/>
        </w:rPr>
        <w:t> </w:t>
      </w:r>
      <w:r>
        <w:rPr/>
        <w:t>на</w:t>
      </w:r>
      <w:r>
        <w:rPr>
          <w:spacing w:val="-1"/>
        </w:rPr>
        <w:t> </w:t>
      </w:r>
      <w:r>
        <w:rPr/>
        <w:t>диагностические категории. Соответственно поддержка, которую получают ученики, должна быть гибкой, индивидуализированной и откликаться на их нужды. Дети с дополнительными образовательными потребностями получают специализированную поддержку в рамках этой модели.</w:t>
      </w:r>
    </w:p>
    <w:p>
      <w:pPr>
        <w:spacing w:line="276" w:lineRule="auto" w:before="2"/>
        <w:ind w:left="1702" w:right="845" w:firstLine="566"/>
        <w:jc w:val="both"/>
        <w:rPr>
          <w:sz w:val="28"/>
        </w:rPr>
      </w:pPr>
      <w:r>
        <w:rPr>
          <w:sz w:val="28"/>
        </w:rPr>
        <w:t>В Австралии </w:t>
      </w:r>
      <w:r>
        <w:rPr>
          <w:i/>
          <w:sz w:val="28"/>
        </w:rPr>
        <w:t>(https://education.nt.gov.au/support-for-teachers/student- diversity/students-with-additional-needs) </w:t>
      </w:r>
      <w:r>
        <w:rPr>
          <w:sz w:val="28"/>
        </w:rPr>
        <w:t>к ученикам с дополнительными потребностями</w:t>
      </w:r>
      <w:r>
        <w:rPr>
          <w:spacing w:val="-18"/>
          <w:sz w:val="28"/>
        </w:rPr>
        <w:t> </w:t>
      </w:r>
      <w:r>
        <w:rPr>
          <w:i/>
          <w:sz w:val="28"/>
        </w:rPr>
        <w:t>(Students</w:t>
      </w:r>
      <w:r>
        <w:rPr>
          <w:i/>
          <w:spacing w:val="-17"/>
          <w:sz w:val="28"/>
        </w:rPr>
        <w:t> </w:t>
      </w:r>
      <w:r>
        <w:rPr>
          <w:i/>
          <w:sz w:val="28"/>
        </w:rPr>
        <w:t>with</w:t>
      </w:r>
      <w:r>
        <w:rPr>
          <w:i/>
          <w:spacing w:val="-18"/>
          <w:sz w:val="28"/>
        </w:rPr>
        <w:t> </w:t>
      </w:r>
      <w:r>
        <w:rPr>
          <w:i/>
          <w:sz w:val="28"/>
        </w:rPr>
        <w:t>Additional</w:t>
      </w:r>
      <w:r>
        <w:rPr>
          <w:i/>
          <w:spacing w:val="-17"/>
          <w:sz w:val="28"/>
        </w:rPr>
        <w:t> </w:t>
      </w:r>
      <w:r>
        <w:rPr>
          <w:i/>
          <w:sz w:val="28"/>
        </w:rPr>
        <w:t>Needs,</w:t>
      </w:r>
      <w:r>
        <w:rPr>
          <w:i/>
          <w:spacing w:val="-18"/>
          <w:sz w:val="28"/>
        </w:rPr>
        <w:t> </w:t>
      </w:r>
      <w:r>
        <w:rPr>
          <w:i/>
          <w:sz w:val="28"/>
        </w:rPr>
        <w:t>SWAN)</w:t>
      </w:r>
      <w:r>
        <w:rPr>
          <w:i/>
          <w:spacing w:val="-17"/>
          <w:sz w:val="28"/>
        </w:rPr>
        <w:t> </w:t>
      </w:r>
      <w:r>
        <w:rPr>
          <w:sz w:val="28"/>
        </w:rPr>
        <w:t>относят</w:t>
      </w:r>
      <w:r>
        <w:rPr>
          <w:spacing w:val="-18"/>
          <w:sz w:val="28"/>
        </w:rPr>
        <w:t> </w:t>
      </w:r>
      <w:r>
        <w:rPr>
          <w:sz w:val="28"/>
        </w:rPr>
        <w:t>детей,</w:t>
      </w:r>
      <w:r>
        <w:rPr>
          <w:spacing w:val="-17"/>
          <w:sz w:val="28"/>
        </w:rPr>
        <w:t> </w:t>
      </w:r>
      <w:r>
        <w:rPr>
          <w:sz w:val="28"/>
        </w:rPr>
        <w:t>имеющих нарушения развития или заболевания, поведенческие трудности или сложности в области ментального здоровья и благополучия, переживающих травму, одаренных и пр. Эти обучающиеся требуют специфической и/или адресной поддержки, чтобы обучаться наравне со сверстниками. Такая дополнительная потребность может быть постоянной или временной.</w:t>
      </w:r>
    </w:p>
    <w:p>
      <w:pPr>
        <w:pStyle w:val="Heading4"/>
        <w:spacing w:line="276" w:lineRule="auto"/>
        <w:ind w:left="1702" w:right="851" w:firstLine="566"/>
      </w:pPr>
      <w:r>
        <w:rPr/>
        <w:t>В Новой Зеландии выделяют учеников с потребностями в учебной поддержке</w:t>
      </w:r>
      <w:r>
        <w:rPr>
          <w:spacing w:val="-10"/>
        </w:rPr>
        <w:t> </w:t>
      </w:r>
      <w:r>
        <w:rPr>
          <w:i/>
        </w:rPr>
        <w:t>(learning</w:t>
      </w:r>
      <w:r>
        <w:rPr>
          <w:i/>
          <w:spacing w:val="-11"/>
        </w:rPr>
        <w:t> </w:t>
      </w:r>
      <w:r>
        <w:rPr>
          <w:i/>
        </w:rPr>
        <w:t>support</w:t>
      </w:r>
      <w:r>
        <w:rPr>
          <w:i/>
          <w:spacing w:val="-9"/>
        </w:rPr>
        <w:t> </w:t>
      </w:r>
      <w:r>
        <w:rPr>
          <w:i/>
        </w:rPr>
        <w:t>needs)</w:t>
      </w:r>
      <w:r>
        <w:rPr/>
        <w:t>,</w:t>
      </w:r>
      <w:r>
        <w:rPr>
          <w:spacing w:val="-12"/>
        </w:rPr>
        <w:t> </w:t>
      </w:r>
      <w:r>
        <w:rPr/>
        <w:t>к</w:t>
      </w:r>
      <w:r>
        <w:rPr>
          <w:spacing w:val="-11"/>
        </w:rPr>
        <w:t> </w:t>
      </w:r>
      <w:r>
        <w:rPr/>
        <w:t>которым,</w:t>
      </w:r>
      <w:r>
        <w:rPr>
          <w:spacing w:val="-12"/>
        </w:rPr>
        <w:t> </w:t>
      </w:r>
      <w:r>
        <w:rPr/>
        <w:t>помимо</w:t>
      </w:r>
      <w:r>
        <w:rPr>
          <w:spacing w:val="-13"/>
        </w:rPr>
        <w:t> </w:t>
      </w:r>
      <w:r>
        <w:rPr/>
        <w:t>прочего,</w:t>
      </w:r>
      <w:r>
        <w:rPr>
          <w:spacing w:val="-12"/>
        </w:rPr>
        <w:t> </w:t>
      </w:r>
      <w:r>
        <w:rPr/>
        <w:t>относят</w:t>
      </w:r>
      <w:r>
        <w:rPr>
          <w:spacing w:val="-11"/>
        </w:rPr>
        <w:t> </w:t>
      </w:r>
      <w:r>
        <w:rPr/>
        <w:t>детей с дополнительными потребностями в области языка, речи и коммуникации.</w:t>
      </w:r>
    </w:p>
    <w:p>
      <w:pPr>
        <w:pStyle w:val="Heading4"/>
        <w:tabs>
          <w:tab w:pos="3032" w:val="left" w:leader="none"/>
          <w:tab w:pos="3898" w:val="left" w:leader="none"/>
          <w:tab w:pos="3937" w:val="left" w:leader="none"/>
          <w:tab w:pos="4949" w:val="left" w:leader="none"/>
          <w:tab w:pos="5117" w:val="left" w:leader="none"/>
          <w:tab w:pos="5297" w:val="left" w:leader="none"/>
          <w:tab w:pos="6569" w:val="left" w:leader="none"/>
          <w:tab w:pos="6900" w:val="left" w:leader="none"/>
          <w:tab w:pos="7277" w:val="left" w:leader="none"/>
          <w:tab w:pos="7648" w:val="left" w:leader="none"/>
          <w:tab w:pos="8296" w:val="left" w:leader="none"/>
          <w:tab w:pos="9475" w:val="left" w:leader="none"/>
          <w:tab w:pos="10056" w:val="left" w:leader="none"/>
        </w:tabs>
        <w:spacing w:line="276" w:lineRule="auto"/>
        <w:ind w:left="1702" w:right="846" w:firstLine="566"/>
        <w:jc w:val="right"/>
      </w:pPr>
      <w:r>
        <w:rPr/>
        <w:t>В</w:t>
      </w:r>
      <w:r>
        <w:rPr>
          <w:spacing w:val="78"/>
        </w:rPr>
        <w:t> </w:t>
      </w:r>
      <w:r>
        <w:rPr/>
        <w:t>Уэльсе</w:t>
      </w:r>
      <w:r>
        <w:rPr>
          <w:spacing w:val="79"/>
        </w:rPr>
        <w:t> </w:t>
      </w:r>
      <w:r>
        <w:rPr/>
        <w:t>в</w:t>
      </w:r>
      <w:r>
        <w:rPr>
          <w:spacing w:val="78"/>
        </w:rPr>
        <w:t> </w:t>
      </w:r>
      <w:r>
        <w:rPr/>
        <w:t>2021</w:t>
      </w:r>
      <w:r>
        <w:rPr>
          <w:spacing w:val="79"/>
        </w:rPr>
        <w:t> </w:t>
      </w:r>
      <w:r>
        <w:rPr/>
        <w:t>году</w:t>
      </w:r>
      <w:r>
        <w:rPr>
          <w:spacing w:val="78"/>
        </w:rPr>
        <w:t> </w:t>
      </w:r>
      <w:r>
        <w:rPr/>
        <w:t>был</w:t>
      </w:r>
      <w:r>
        <w:rPr>
          <w:spacing w:val="40"/>
        </w:rPr>
        <w:t> </w:t>
      </w:r>
      <w:r>
        <w:rPr/>
        <w:t>принят</w:t>
      </w:r>
      <w:r>
        <w:rPr>
          <w:spacing w:val="40"/>
        </w:rPr>
        <w:t> </w:t>
      </w:r>
      <w:r>
        <w:rPr/>
        <w:t>новый</w:t>
      </w:r>
      <w:r>
        <w:rPr>
          <w:spacing w:val="79"/>
        </w:rPr>
        <w:t> </w:t>
      </w:r>
      <w:r>
        <w:rPr/>
        <w:t>закон,</w:t>
      </w:r>
      <w:r>
        <w:rPr>
          <w:spacing w:val="40"/>
        </w:rPr>
        <w:t> </w:t>
      </w:r>
      <w:r>
        <w:rPr/>
        <w:t>регламентирующий помощь детям и имеющий название «Валлийский кодекс о дополнительных учебных потребностях» (</w:t>
      </w:r>
      <w:r>
        <w:rPr>
          <w:i/>
        </w:rPr>
        <w:t>The Additional Learning Needs Code</w:t>
      </w:r>
      <w:r>
        <w:rPr>
          <w:i/>
          <w:spacing w:val="-1"/>
        </w:rPr>
        <w:t> </w:t>
      </w:r>
      <w:r>
        <w:rPr>
          <w:i/>
        </w:rPr>
        <w:t>for Wales</w:t>
      </w:r>
      <w:r>
        <w:rPr/>
        <w:t>,</w:t>
      </w:r>
      <w:r>
        <w:rPr>
          <w:spacing w:val="-3"/>
        </w:rPr>
        <w:t> </w:t>
      </w:r>
      <w:r>
        <w:rPr/>
        <w:t>2021)</w:t>
      </w:r>
      <w:r>
        <w:rPr>
          <w:vertAlign w:val="superscript"/>
        </w:rPr>
        <w:t>2</w:t>
      </w:r>
      <w:r>
        <w:rPr>
          <w:vertAlign w:val="baseline"/>
        </w:rPr>
        <w:t>. </w:t>
      </w:r>
      <w:r>
        <w:rPr>
          <w:spacing w:val="-2"/>
          <w:vertAlign w:val="baseline"/>
        </w:rPr>
        <w:t>Согласно</w:t>
      </w:r>
      <w:r>
        <w:rPr>
          <w:vertAlign w:val="baseline"/>
        </w:rPr>
        <w:tab/>
      </w:r>
      <w:r>
        <w:rPr>
          <w:spacing w:val="-4"/>
          <w:vertAlign w:val="baseline"/>
        </w:rPr>
        <w:t>этому</w:t>
      </w:r>
      <w:r>
        <w:rPr>
          <w:vertAlign w:val="baseline"/>
        </w:rPr>
        <w:tab/>
        <w:tab/>
      </w:r>
      <w:r>
        <w:rPr>
          <w:spacing w:val="-2"/>
          <w:vertAlign w:val="baseline"/>
        </w:rPr>
        <w:t>закону</w:t>
      </w:r>
      <w:r>
        <w:rPr>
          <w:vertAlign w:val="baseline"/>
        </w:rPr>
        <w:tab/>
      </w:r>
      <w:r>
        <w:rPr>
          <w:spacing w:val="-10"/>
          <w:vertAlign w:val="baseline"/>
        </w:rPr>
        <w:t>у</w:t>
      </w:r>
      <w:r>
        <w:rPr>
          <w:vertAlign w:val="baseline"/>
        </w:rPr>
        <w:tab/>
        <w:tab/>
      </w:r>
      <w:r>
        <w:rPr>
          <w:spacing w:val="-2"/>
          <w:vertAlign w:val="baseline"/>
        </w:rPr>
        <w:t>человека</w:t>
      </w:r>
      <w:r>
        <w:rPr>
          <w:vertAlign w:val="baseline"/>
        </w:rPr>
        <w:tab/>
      </w:r>
      <w:r>
        <w:rPr>
          <w:spacing w:val="-4"/>
          <w:vertAlign w:val="baseline"/>
        </w:rPr>
        <w:t>есть</w:t>
      </w:r>
      <w:r>
        <w:rPr>
          <w:vertAlign w:val="baseline"/>
        </w:rPr>
        <w:tab/>
      </w:r>
      <w:r>
        <w:rPr>
          <w:spacing w:val="-2"/>
          <w:vertAlign w:val="baseline"/>
        </w:rPr>
        <w:t>дополнительные</w:t>
      </w:r>
      <w:r>
        <w:rPr>
          <w:vertAlign w:val="baseline"/>
        </w:rPr>
        <w:tab/>
      </w:r>
      <w:r>
        <w:rPr>
          <w:spacing w:val="-2"/>
          <w:vertAlign w:val="baseline"/>
        </w:rPr>
        <w:t>учебные </w:t>
      </w:r>
      <w:r>
        <w:rPr>
          <w:vertAlign w:val="baseline"/>
        </w:rPr>
        <w:t>потребности,</w:t>
      </w:r>
      <w:r>
        <w:rPr>
          <w:spacing w:val="80"/>
          <w:vertAlign w:val="baseline"/>
        </w:rPr>
        <w:t> </w:t>
      </w:r>
      <w:r>
        <w:rPr>
          <w:vertAlign w:val="baseline"/>
        </w:rPr>
        <w:t>если</w:t>
      </w:r>
      <w:r>
        <w:rPr>
          <w:spacing w:val="80"/>
          <w:vertAlign w:val="baseline"/>
        </w:rPr>
        <w:t> </w:t>
      </w:r>
      <w:r>
        <w:rPr>
          <w:vertAlign w:val="baseline"/>
        </w:rPr>
        <w:t>у</w:t>
      </w:r>
      <w:r>
        <w:rPr>
          <w:spacing w:val="80"/>
          <w:vertAlign w:val="baseline"/>
        </w:rPr>
        <w:t> </w:t>
      </w:r>
      <w:r>
        <w:rPr>
          <w:vertAlign w:val="baseline"/>
        </w:rPr>
        <w:t>него</w:t>
      </w:r>
      <w:r>
        <w:rPr>
          <w:spacing w:val="80"/>
          <w:vertAlign w:val="baseline"/>
        </w:rPr>
        <w:t> </w:t>
      </w:r>
      <w:r>
        <w:rPr>
          <w:vertAlign w:val="baseline"/>
        </w:rPr>
        <w:t>или</w:t>
      </w:r>
      <w:r>
        <w:rPr>
          <w:spacing w:val="80"/>
          <w:vertAlign w:val="baseline"/>
        </w:rPr>
        <w:t> </w:t>
      </w:r>
      <w:r>
        <w:rPr>
          <w:vertAlign w:val="baseline"/>
        </w:rPr>
        <w:t>у</w:t>
      </w:r>
      <w:r>
        <w:rPr>
          <w:spacing w:val="80"/>
          <w:vertAlign w:val="baseline"/>
        </w:rPr>
        <w:t> </w:t>
      </w:r>
      <w:r>
        <w:rPr>
          <w:vertAlign w:val="baseline"/>
        </w:rPr>
        <w:t>нее</w:t>
      </w:r>
      <w:r>
        <w:rPr>
          <w:spacing w:val="80"/>
          <w:vertAlign w:val="baseline"/>
        </w:rPr>
        <w:t> </w:t>
      </w:r>
      <w:r>
        <w:rPr>
          <w:vertAlign w:val="baseline"/>
        </w:rPr>
        <w:t>имеются</w:t>
      </w:r>
      <w:r>
        <w:rPr>
          <w:spacing w:val="80"/>
          <w:vertAlign w:val="baseline"/>
        </w:rPr>
        <w:t> </w:t>
      </w:r>
      <w:r>
        <w:rPr>
          <w:vertAlign w:val="baseline"/>
        </w:rPr>
        <w:t>учебные</w:t>
      </w:r>
      <w:r>
        <w:rPr>
          <w:spacing w:val="80"/>
          <w:vertAlign w:val="baseline"/>
        </w:rPr>
        <w:t> </w:t>
      </w:r>
      <w:r>
        <w:rPr>
          <w:vertAlign w:val="baseline"/>
        </w:rPr>
        <w:t>затруднения</w:t>
      </w:r>
      <w:r>
        <w:rPr>
          <w:spacing w:val="80"/>
          <w:vertAlign w:val="baseline"/>
        </w:rPr>
        <w:t> </w:t>
      </w:r>
      <w:r>
        <w:rPr>
          <w:vertAlign w:val="baseline"/>
        </w:rPr>
        <w:t>или нарушение</w:t>
      </w:r>
      <w:r>
        <w:rPr>
          <w:spacing w:val="-18"/>
          <w:vertAlign w:val="baseline"/>
        </w:rPr>
        <w:t> </w:t>
      </w:r>
      <w:r>
        <w:rPr>
          <w:vertAlign w:val="baseline"/>
        </w:rPr>
        <w:t>(disability),</w:t>
      </w:r>
      <w:r>
        <w:rPr>
          <w:spacing w:val="-18"/>
          <w:vertAlign w:val="baseline"/>
        </w:rPr>
        <w:t> </w:t>
      </w:r>
      <w:r>
        <w:rPr>
          <w:vertAlign w:val="baseline"/>
        </w:rPr>
        <w:t>которое</w:t>
      </w:r>
      <w:r>
        <w:rPr>
          <w:spacing w:val="-18"/>
          <w:vertAlign w:val="baseline"/>
        </w:rPr>
        <w:t> </w:t>
      </w:r>
      <w:r>
        <w:rPr>
          <w:vertAlign w:val="baseline"/>
        </w:rPr>
        <w:t>требует</w:t>
      </w:r>
      <w:r>
        <w:rPr>
          <w:spacing w:val="-18"/>
          <w:vertAlign w:val="baseline"/>
        </w:rPr>
        <w:t> </w:t>
      </w:r>
      <w:r>
        <w:rPr>
          <w:vertAlign w:val="baseline"/>
        </w:rPr>
        <w:t>дополнительных</w:t>
      </w:r>
      <w:r>
        <w:rPr>
          <w:spacing w:val="-19"/>
          <w:vertAlign w:val="baseline"/>
        </w:rPr>
        <w:t> </w:t>
      </w:r>
      <w:r>
        <w:rPr>
          <w:vertAlign w:val="baseline"/>
        </w:rPr>
        <w:t>образовательных</w:t>
      </w:r>
      <w:r>
        <w:rPr>
          <w:spacing w:val="-18"/>
          <w:vertAlign w:val="baseline"/>
        </w:rPr>
        <w:t> </w:t>
      </w:r>
      <w:r>
        <w:rPr>
          <w:vertAlign w:val="baseline"/>
        </w:rPr>
        <w:t>мер. Причем</w:t>
      </w:r>
      <w:r>
        <w:rPr>
          <w:spacing w:val="40"/>
          <w:vertAlign w:val="baseline"/>
        </w:rPr>
        <w:t> </w:t>
      </w:r>
      <w:r>
        <w:rPr>
          <w:vertAlign w:val="baseline"/>
        </w:rPr>
        <w:t>данная</w:t>
      </w:r>
      <w:r>
        <w:rPr>
          <w:spacing w:val="40"/>
          <w:vertAlign w:val="baseline"/>
        </w:rPr>
        <w:t> </w:t>
      </w:r>
      <w:r>
        <w:rPr>
          <w:vertAlign w:val="baseline"/>
        </w:rPr>
        <w:t>ситуация</w:t>
      </w:r>
      <w:r>
        <w:rPr>
          <w:spacing w:val="40"/>
          <w:vertAlign w:val="baseline"/>
        </w:rPr>
        <w:t> </w:t>
      </w:r>
      <w:r>
        <w:rPr>
          <w:vertAlign w:val="baseline"/>
        </w:rPr>
        <w:t>может</w:t>
      </w:r>
      <w:r>
        <w:rPr>
          <w:spacing w:val="40"/>
          <w:vertAlign w:val="baseline"/>
        </w:rPr>
        <w:t> </w:t>
      </w:r>
      <w:r>
        <w:rPr>
          <w:vertAlign w:val="baseline"/>
        </w:rPr>
        <w:t>быть</w:t>
      </w:r>
      <w:r>
        <w:rPr>
          <w:spacing w:val="40"/>
          <w:vertAlign w:val="baseline"/>
        </w:rPr>
        <w:t> </w:t>
      </w:r>
      <w:r>
        <w:rPr>
          <w:vertAlign w:val="baseline"/>
        </w:rPr>
        <w:t>связана</w:t>
      </w:r>
      <w:r>
        <w:rPr>
          <w:spacing w:val="40"/>
          <w:vertAlign w:val="baseline"/>
        </w:rPr>
        <w:t> </w:t>
      </w:r>
      <w:r>
        <w:rPr>
          <w:vertAlign w:val="baseline"/>
        </w:rPr>
        <w:t>с</w:t>
      </w:r>
      <w:r>
        <w:rPr>
          <w:spacing w:val="40"/>
          <w:vertAlign w:val="baseline"/>
        </w:rPr>
        <w:t> </w:t>
      </w:r>
      <w:r>
        <w:rPr>
          <w:vertAlign w:val="baseline"/>
        </w:rPr>
        <w:t>состоянием</w:t>
      </w:r>
      <w:r>
        <w:rPr>
          <w:spacing w:val="40"/>
          <w:vertAlign w:val="baseline"/>
        </w:rPr>
        <w:t> </w:t>
      </w:r>
      <w:r>
        <w:rPr>
          <w:vertAlign w:val="baseline"/>
        </w:rPr>
        <w:t>здоровья</w:t>
      </w:r>
      <w:r>
        <w:rPr>
          <w:spacing w:val="40"/>
          <w:vertAlign w:val="baseline"/>
        </w:rPr>
        <w:t> </w:t>
      </w:r>
      <w:r>
        <w:rPr>
          <w:vertAlign w:val="baseline"/>
        </w:rPr>
        <w:t>или</w:t>
      </w:r>
      <w:r>
        <w:rPr>
          <w:spacing w:val="40"/>
          <w:vertAlign w:val="baseline"/>
        </w:rPr>
        <w:t> </w:t>
      </w:r>
      <w:r>
        <w:rPr>
          <w:vertAlign w:val="baseline"/>
        </w:rPr>
        <w:t>возникать</w:t>
      </w:r>
      <w:r>
        <w:rPr>
          <w:spacing w:val="40"/>
          <w:vertAlign w:val="baseline"/>
        </w:rPr>
        <w:t> </w:t>
      </w:r>
      <w:r>
        <w:rPr>
          <w:vertAlign w:val="baseline"/>
        </w:rPr>
        <w:t>вследствие</w:t>
      </w:r>
      <w:r>
        <w:rPr>
          <w:spacing w:val="40"/>
          <w:vertAlign w:val="baseline"/>
        </w:rPr>
        <w:t> </w:t>
      </w:r>
      <w:r>
        <w:rPr>
          <w:vertAlign w:val="baseline"/>
        </w:rPr>
        <w:t>других</w:t>
      </w:r>
      <w:r>
        <w:rPr>
          <w:spacing w:val="40"/>
          <w:vertAlign w:val="baseline"/>
        </w:rPr>
        <w:t> </w:t>
      </w:r>
      <w:r>
        <w:rPr>
          <w:vertAlign w:val="baseline"/>
        </w:rPr>
        <w:t>причин.</w:t>
      </w:r>
      <w:r>
        <w:rPr>
          <w:spacing w:val="40"/>
          <w:vertAlign w:val="baseline"/>
        </w:rPr>
        <w:t> </w:t>
      </w:r>
      <w:r>
        <w:rPr>
          <w:vertAlign w:val="baseline"/>
        </w:rPr>
        <w:t>Ребенок</w:t>
      </w:r>
      <w:r>
        <w:rPr>
          <w:spacing w:val="40"/>
          <w:vertAlign w:val="baseline"/>
        </w:rPr>
        <w:t> </w:t>
      </w:r>
      <w:r>
        <w:rPr>
          <w:vertAlign w:val="baseline"/>
        </w:rPr>
        <w:t>школьного</w:t>
      </w:r>
      <w:r>
        <w:rPr>
          <w:spacing w:val="40"/>
          <w:vertAlign w:val="baseline"/>
        </w:rPr>
        <w:t> </w:t>
      </w:r>
      <w:r>
        <w:rPr>
          <w:vertAlign w:val="baseline"/>
        </w:rPr>
        <w:t>возраста</w:t>
      </w:r>
      <w:r>
        <w:rPr>
          <w:spacing w:val="40"/>
          <w:vertAlign w:val="baseline"/>
        </w:rPr>
        <w:t> </w:t>
      </w:r>
      <w:r>
        <w:rPr>
          <w:vertAlign w:val="baseline"/>
        </w:rPr>
        <w:t>имеет</w:t>
      </w:r>
      <w:r>
        <w:rPr>
          <w:spacing w:val="80"/>
          <w:vertAlign w:val="baseline"/>
        </w:rPr>
        <w:t> </w:t>
      </w:r>
      <w:r>
        <w:rPr>
          <w:spacing w:val="-2"/>
          <w:vertAlign w:val="baseline"/>
        </w:rPr>
        <w:t>дополнительные</w:t>
      </w:r>
      <w:r>
        <w:rPr>
          <w:vertAlign w:val="baseline"/>
        </w:rPr>
        <w:tab/>
      </w:r>
      <w:r>
        <w:rPr>
          <w:spacing w:val="-2"/>
          <w:vertAlign w:val="baseline"/>
        </w:rPr>
        <w:t>учебные</w:t>
      </w:r>
      <w:r>
        <w:rPr>
          <w:vertAlign w:val="baseline"/>
        </w:rPr>
        <w:tab/>
        <w:tab/>
      </w:r>
      <w:r>
        <w:rPr>
          <w:spacing w:val="-2"/>
          <w:vertAlign w:val="baseline"/>
        </w:rPr>
        <w:t>потребности,</w:t>
      </w:r>
      <w:r>
        <w:rPr>
          <w:vertAlign w:val="baseline"/>
        </w:rPr>
        <w:tab/>
      </w:r>
      <w:r>
        <w:rPr>
          <w:spacing w:val="-4"/>
          <w:vertAlign w:val="baseline"/>
        </w:rPr>
        <w:t>если</w:t>
      </w:r>
      <w:r>
        <w:rPr>
          <w:vertAlign w:val="baseline"/>
        </w:rPr>
        <w:tab/>
      </w:r>
      <w:r>
        <w:rPr>
          <w:spacing w:val="-4"/>
          <w:vertAlign w:val="baseline"/>
        </w:rPr>
        <w:t>ему</w:t>
      </w:r>
      <w:r>
        <w:rPr>
          <w:vertAlign w:val="baseline"/>
        </w:rPr>
        <w:tab/>
      </w:r>
      <w:r>
        <w:rPr>
          <w:spacing w:val="-2"/>
          <w:vertAlign w:val="baseline"/>
        </w:rPr>
        <w:t>существенно</w:t>
      </w:r>
      <w:r>
        <w:rPr>
          <w:vertAlign w:val="baseline"/>
        </w:rPr>
        <w:tab/>
      </w:r>
      <w:r>
        <w:rPr>
          <w:spacing w:val="-2"/>
          <w:vertAlign w:val="baseline"/>
        </w:rPr>
        <w:t>сложнее </w:t>
      </w:r>
      <w:r>
        <w:rPr>
          <w:vertAlign w:val="baseline"/>
        </w:rPr>
        <w:t>учиться,</w:t>
      </w:r>
      <w:r>
        <w:rPr>
          <w:spacing w:val="17"/>
          <w:vertAlign w:val="baseline"/>
        </w:rPr>
        <w:t> </w:t>
      </w:r>
      <w:r>
        <w:rPr>
          <w:vertAlign w:val="baseline"/>
        </w:rPr>
        <w:t>чем</w:t>
      </w:r>
      <w:r>
        <w:rPr>
          <w:spacing w:val="20"/>
          <w:vertAlign w:val="baseline"/>
        </w:rPr>
        <w:t> </w:t>
      </w:r>
      <w:r>
        <w:rPr>
          <w:vertAlign w:val="baseline"/>
        </w:rPr>
        <w:t>большинству</w:t>
      </w:r>
      <w:r>
        <w:rPr>
          <w:spacing w:val="17"/>
          <w:vertAlign w:val="baseline"/>
        </w:rPr>
        <w:t> </w:t>
      </w:r>
      <w:r>
        <w:rPr>
          <w:vertAlign w:val="baseline"/>
        </w:rPr>
        <w:t>детей</w:t>
      </w:r>
      <w:r>
        <w:rPr>
          <w:spacing w:val="20"/>
          <w:vertAlign w:val="baseline"/>
        </w:rPr>
        <w:t> </w:t>
      </w:r>
      <w:r>
        <w:rPr>
          <w:vertAlign w:val="baseline"/>
        </w:rPr>
        <w:t>этого</w:t>
      </w:r>
      <w:r>
        <w:rPr>
          <w:spacing w:val="21"/>
          <w:vertAlign w:val="baseline"/>
        </w:rPr>
        <w:t> </w:t>
      </w:r>
      <w:r>
        <w:rPr>
          <w:vertAlign w:val="baseline"/>
        </w:rPr>
        <w:t>возраста,</w:t>
      </w:r>
      <w:r>
        <w:rPr>
          <w:spacing w:val="19"/>
          <w:vertAlign w:val="baseline"/>
        </w:rPr>
        <w:t> </w:t>
      </w:r>
      <w:r>
        <w:rPr>
          <w:vertAlign w:val="baseline"/>
        </w:rPr>
        <w:t>или</w:t>
      </w:r>
      <w:r>
        <w:rPr>
          <w:spacing w:val="20"/>
          <w:vertAlign w:val="baseline"/>
        </w:rPr>
        <w:t> </w:t>
      </w:r>
      <w:r>
        <w:rPr>
          <w:vertAlign w:val="baseline"/>
        </w:rPr>
        <w:t>по</w:t>
      </w:r>
      <w:r>
        <w:rPr>
          <w:spacing w:val="20"/>
          <w:vertAlign w:val="baseline"/>
        </w:rPr>
        <w:t> </w:t>
      </w:r>
      <w:r>
        <w:rPr>
          <w:vertAlign w:val="baseline"/>
        </w:rPr>
        <w:t>состоянию</w:t>
      </w:r>
      <w:r>
        <w:rPr>
          <w:spacing w:val="20"/>
          <w:vertAlign w:val="baseline"/>
        </w:rPr>
        <w:t> </w:t>
      </w:r>
      <w:r>
        <w:rPr>
          <w:spacing w:val="-2"/>
          <w:vertAlign w:val="baseline"/>
        </w:rPr>
        <w:t>здоровья</w:t>
      </w:r>
    </w:p>
    <w:p>
      <w:pPr>
        <w:pStyle w:val="Heading4"/>
        <w:spacing w:before="1"/>
        <w:ind w:left="1702"/>
      </w:pPr>
      <w:r>
        <w:rPr/>
        <w:t>он</w:t>
      </w:r>
      <w:r>
        <w:rPr>
          <w:spacing w:val="-4"/>
        </w:rPr>
        <w:t> </w:t>
      </w:r>
      <w:r>
        <w:rPr/>
        <w:t>не</w:t>
      </w:r>
      <w:r>
        <w:rPr>
          <w:spacing w:val="-1"/>
        </w:rPr>
        <w:t> </w:t>
      </w:r>
      <w:r>
        <w:rPr/>
        <w:t>может</w:t>
      </w:r>
      <w:r>
        <w:rPr>
          <w:spacing w:val="-4"/>
        </w:rPr>
        <w:t> </w:t>
      </w:r>
      <w:r>
        <w:rPr/>
        <w:t>обучаться</w:t>
      </w:r>
      <w:r>
        <w:rPr>
          <w:spacing w:val="-1"/>
        </w:rPr>
        <w:t> </w:t>
      </w:r>
      <w:r>
        <w:rPr/>
        <w:t>в</w:t>
      </w:r>
      <w:r>
        <w:rPr>
          <w:spacing w:val="-2"/>
        </w:rPr>
        <w:t> </w:t>
      </w:r>
      <w:r>
        <w:rPr/>
        <w:t>тех же </w:t>
      </w:r>
      <w:r>
        <w:rPr>
          <w:spacing w:val="-2"/>
        </w:rPr>
        <w:t>условиях.</w:t>
      </w:r>
    </w:p>
    <w:p>
      <w:pPr>
        <w:pStyle w:val="Heading4"/>
        <w:spacing w:line="276" w:lineRule="auto" w:before="48"/>
        <w:ind w:left="1702" w:right="846" w:firstLine="566"/>
      </w:pPr>
      <w:r>
        <w:rPr/>
        <w:t>С</w:t>
      </w:r>
      <w:r>
        <w:rPr>
          <w:spacing w:val="-15"/>
        </w:rPr>
        <w:t> </w:t>
      </w:r>
      <w:r>
        <w:rPr/>
        <w:t>нашей</w:t>
      </w:r>
      <w:r>
        <w:rPr>
          <w:spacing w:val="-14"/>
        </w:rPr>
        <w:t> </w:t>
      </w:r>
      <w:r>
        <w:rPr/>
        <w:t>точки</w:t>
      </w:r>
      <w:r>
        <w:rPr>
          <w:spacing w:val="-14"/>
        </w:rPr>
        <w:t> </w:t>
      </w:r>
      <w:r>
        <w:rPr/>
        <w:t>зрения,</w:t>
      </w:r>
      <w:r>
        <w:rPr>
          <w:spacing w:val="-15"/>
        </w:rPr>
        <w:t> </w:t>
      </w:r>
      <w:r>
        <w:rPr/>
        <w:t>именно</w:t>
      </w:r>
      <w:r>
        <w:rPr>
          <w:spacing w:val="-16"/>
        </w:rPr>
        <w:t> </w:t>
      </w:r>
      <w:r>
        <w:rPr/>
        <w:t>подобное</w:t>
      </w:r>
      <w:r>
        <w:rPr>
          <w:spacing w:val="-14"/>
        </w:rPr>
        <w:t> </w:t>
      </w:r>
      <w:r>
        <w:rPr/>
        <w:t>расширенное</w:t>
      </w:r>
      <w:r>
        <w:rPr>
          <w:spacing w:val="-14"/>
        </w:rPr>
        <w:t> </w:t>
      </w:r>
      <w:r>
        <w:rPr/>
        <w:t>понимание</w:t>
      </w:r>
      <w:r>
        <w:rPr>
          <w:spacing w:val="-14"/>
        </w:rPr>
        <w:t> </w:t>
      </w:r>
      <w:r>
        <w:rPr/>
        <w:t>особых образовательных потребностей как связанных не только с развитием психических</w:t>
      </w:r>
      <w:r>
        <w:rPr>
          <w:spacing w:val="61"/>
        </w:rPr>
        <w:t> </w:t>
      </w:r>
      <w:r>
        <w:rPr/>
        <w:t>функций,</w:t>
      </w:r>
      <w:r>
        <w:rPr>
          <w:spacing w:val="63"/>
        </w:rPr>
        <w:t> </w:t>
      </w:r>
      <w:r>
        <w:rPr/>
        <w:t>но</w:t>
      </w:r>
      <w:r>
        <w:rPr>
          <w:spacing w:val="63"/>
        </w:rPr>
        <w:t> </w:t>
      </w:r>
      <w:r>
        <w:rPr/>
        <w:t>и</w:t>
      </w:r>
      <w:r>
        <w:rPr>
          <w:spacing w:val="61"/>
        </w:rPr>
        <w:t> </w:t>
      </w:r>
      <w:r>
        <w:rPr/>
        <w:t>с</w:t>
      </w:r>
      <w:r>
        <w:rPr>
          <w:spacing w:val="63"/>
        </w:rPr>
        <w:t> </w:t>
      </w:r>
      <w:r>
        <w:rPr/>
        <w:t>историей</w:t>
      </w:r>
      <w:r>
        <w:rPr>
          <w:spacing w:val="64"/>
        </w:rPr>
        <w:t> </w:t>
      </w:r>
      <w:r>
        <w:rPr/>
        <w:t>социализации</w:t>
      </w:r>
      <w:r>
        <w:rPr>
          <w:spacing w:val="71"/>
        </w:rPr>
        <w:t> </w:t>
      </w:r>
      <w:r>
        <w:rPr/>
        <w:t>позволяет</w:t>
      </w:r>
      <w:r>
        <w:rPr>
          <w:spacing w:val="64"/>
        </w:rPr>
        <w:t> </w:t>
      </w:r>
      <w:r>
        <w:rPr>
          <w:spacing w:val="-2"/>
        </w:rPr>
        <w:t>очертить</w:t>
      </w:r>
    </w:p>
    <w:p>
      <w:pPr>
        <w:pStyle w:val="BodyText"/>
        <w:spacing w:before="8"/>
        <w:ind w:left="0" w:right="0" w:firstLine="0"/>
        <w:jc w:val="left"/>
        <w:rPr>
          <w:sz w:val="15"/>
        </w:rPr>
      </w:pPr>
      <w:r>
        <w:rPr>
          <w:sz w:val="15"/>
        </w:rPr>
        <mc:AlternateContent>
          <mc:Choice Requires="wps">
            <w:drawing>
              <wp:anchor distT="0" distB="0" distL="0" distR="0" allowOverlap="1" layoutInCell="1" locked="0" behindDoc="1" simplePos="0" relativeHeight="487592448">
                <wp:simplePos x="0" y="0"/>
                <wp:positionH relativeFrom="page">
                  <wp:posOffset>1080820</wp:posOffset>
                </wp:positionH>
                <wp:positionV relativeFrom="paragraph">
                  <wp:posOffset>129894</wp:posOffset>
                </wp:positionV>
                <wp:extent cx="1829435" cy="9525"/>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0.227939pt;width:144.020pt;height:.72003pt;mso-position-horizontal-relative:page;mso-position-vertical-relative:paragraph;z-index:-15724032;mso-wrap-distance-left:0;mso-wrap-distance-right:0" id="docshape11" filled="true" fillcolor="#000000" stroked="false">
                <v:fill type="solid"/>
                <w10:wrap type="topAndBottom"/>
              </v:rect>
            </w:pict>
          </mc:Fallback>
        </mc:AlternateContent>
      </w:r>
    </w:p>
    <w:p>
      <w:pPr>
        <w:pStyle w:val="BodyText"/>
        <w:spacing w:before="94"/>
        <w:ind w:left="1702" w:right="0" w:firstLine="0"/>
        <w:jc w:val="left"/>
      </w:pPr>
      <w:r>
        <w:rPr>
          <w:spacing w:val="-2"/>
          <w:vertAlign w:val="superscript"/>
        </w:rPr>
        <w:t>1</w:t>
      </w:r>
      <w:r>
        <w:rPr>
          <w:spacing w:val="42"/>
          <w:vertAlign w:val="baseline"/>
        </w:rPr>
        <w:t> </w:t>
      </w:r>
      <w:r>
        <w:rPr>
          <w:spacing w:val="-2"/>
          <w:vertAlign w:val="baseline"/>
        </w:rPr>
        <w:t>См.</w:t>
      </w:r>
      <w:r>
        <w:rPr>
          <w:spacing w:val="43"/>
          <w:vertAlign w:val="baseline"/>
        </w:rPr>
        <w:t> </w:t>
      </w:r>
      <w:hyperlink r:id="rId20">
        <w:r>
          <w:rPr>
            <w:spacing w:val="-2"/>
            <w:u w:val="single"/>
            <w:vertAlign w:val="baseline"/>
          </w:rPr>
          <w:t>https://www.education-ni.gov.uk/articles/additional-educational-support-</w:t>
        </w:r>
        <w:r>
          <w:rPr>
            <w:spacing w:val="-10"/>
            <w:u w:val="single"/>
            <w:vertAlign w:val="baseline"/>
          </w:rPr>
          <w:t>0</w:t>
        </w:r>
      </w:hyperlink>
    </w:p>
    <w:p>
      <w:pPr>
        <w:pStyle w:val="BodyText"/>
        <w:ind w:left="1702" w:right="0" w:firstLine="0"/>
        <w:jc w:val="left"/>
      </w:pPr>
      <w:r>
        <w:rPr>
          <w:spacing w:val="-2"/>
          <w:vertAlign w:val="superscript"/>
        </w:rPr>
        <w:t>2</w:t>
      </w:r>
      <w:r>
        <w:rPr>
          <w:spacing w:val="75"/>
          <w:vertAlign w:val="baseline"/>
        </w:rPr>
        <w:t> </w:t>
      </w:r>
      <w:hyperlink r:id="rId21">
        <w:r>
          <w:rPr>
            <w:spacing w:val="-2"/>
            <w:u w:val="single"/>
            <w:vertAlign w:val="baseline"/>
          </w:rPr>
          <w:t>https://gov.wales/additional-learning-needs-special-educational-needs</w:t>
        </w:r>
      </w:hyperlink>
    </w:p>
    <w:p>
      <w:pPr>
        <w:pStyle w:val="BodyText"/>
        <w:spacing w:after="0"/>
        <w:jc w:val="left"/>
        <w:sectPr>
          <w:pgSz w:w="11910" w:h="16840"/>
          <w:pgMar w:header="0" w:footer="956" w:top="1040" w:bottom="1140" w:left="0" w:right="0"/>
        </w:sectPr>
      </w:pPr>
    </w:p>
    <w:p>
      <w:pPr>
        <w:pStyle w:val="Heading4"/>
        <w:spacing w:line="276" w:lineRule="auto" w:before="67"/>
        <w:ind w:left="1702" w:right="848"/>
      </w:pPr>
      <w:r>
        <w:rPr/>
        <w:t>специфические характеристики обучающихся – мигрантов. Таким образом, концептуальной основой социально-инклюзивного подхода к интеграции обучающихся-мигрантов выступает трактовка их особых образовательных потребностей как </w:t>
      </w:r>
      <w:r>
        <w:rPr>
          <w:i/>
        </w:rPr>
        <w:t>дополнительных</w:t>
      </w:r>
      <w:r>
        <w:rPr/>
        <w:t>, характеризующих социальную ситуацию и историю развития ребенка и обусловливающих необходимость дифференцированной психолого-педагогической поддержки, а также создания определенных образовательных условий.</w:t>
      </w:r>
    </w:p>
    <w:p>
      <w:pPr>
        <w:pStyle w:val="Heading4"/>
        <w:spacing w:line="276" w:lineRule="auto" w:before="1"/>
        <w:ind w:left="1702" w:right="845" w:firstLine="566"/>
      </w:pPr>
      <w:r>
        <w:rPr/>
        <w:t>Социально-инклюзивный</w:t>
      </w:r>
      <w:r>
        <w:rPr>
          <w:spacing w:val="-18"/>
        </w:rPr>
        <w:t> </w:t>
      </w:r>
      <w:r>
        <w:rPr/>
        <w:t>подход</w:t>
      </w:r>
      <w:r>
        <w:rPr>
          <w:spacing w:val="-17"/>
        </w:rPr>
        <w:t> </w:t>
      </w:r>
      <w:r>
        <w:rPr/>
        <w:t>предполагает</w:t>
      </w:r>
      <w:r>
        <w:rPr>
          <w:spacing w:val="-18"/>
        </w:rPr>
        <w:t> </w:t>
      </w:r>
      <w:r>
        <w:rPr/>
        <w:t>сочетание</w:t>
      </w:r>
      <w:r>
        <w:rPr>
          <w:spacing w:val="-17"/>
        </w:rPr>
        <w:t> </w:t>
      </w:r>
      <w:r>
        <w:rPr/>
        <w:t>двух</w:t>
      </w:r>
      <w:r>
        <w:rPr>
          <w:spacing w:val="-18"/>
        </w:rPr>
        <w:t> </w:t>
      </w:r>
      <w:r>
        <w:rPr/>
        <w:t>стратегий: интегративной (объединяющей, нормативизирующей) и инклюзивной (дифференцирующей). Интегративная стратегия предполагает трансляцию образовательным учреждением культуры принимающего общества и включение детей-мигрантов в общую жизнедеятельность. Инклюзивная стратегия означает необходимость учета дополнительных образовательных потребностей обучающихся-мигрантов и дифференциацию ситуаций, когда к детям-мигрантам требуется особый подход.</w:t>
      </w:r>
    </w:p>
    <w:p>
      <w:pPr>
        <w:pStyle w:val="Heading4"/>
        <w:spacing w:line="276" w:lineRule="auto" w:before="2"/>
        <w:ind w:left="1702" w:right="851" w:firstLine="566"/>
      </w:pPr>
      <w:r>
        <w:rPr/>
        <w:t>Социально-инклюзивный подход опирается на следующие концептуальные идеи:</w:t>
      </w:r>
    </w:p>
    <w:p>
      <w:pPr>
        <w:pStyle w:val="Heading5"/>
        <w:numPr>
          <w:ilvl w:val="1"/>
          <w:numId w:val="2"/>
        </w:numPr>
        <w:tabs>
          <w:tab w:pos="3825" w:val="left" w:leader="none"/>
        </w:tabs>
        <w:spacing w:line="321" w:lineRule="exact" w:before="0" w:after="0"/>
        <w:ind w:left="3825" w:right="0" w:hanging="487"/>
        <w:jc w:val="both"/>
      </w:pPr>
      <w:r>
        <w:rPr/>
        <w:t>Дифференциация</w:t>
      </w:r>
      <w:r>
        <w:rPr>
          <w:spacing w:val="-7"/>
        </w:rPr>
        <w:t> </w:t>
      </w:r>
      <w:r>
        <w:rPr/>
        <w:t>личного</w:t>
      </w:r>
      <w:r>
        <w:rPr>
          <w:spacing w:val="-8"/>
        </w:rPr>
        <w:t> </w:t>
      </w:r>
      <w:r>
        <w:rPr/>
        <w:t>и</w:t>
      </w:r>
      <w:r>
        <w:rPr>
          <w:spacing w:val="-5"/>
        </w:rPr>
        <w:t> </w:t>
      </w:r>
      <w:r>
        <w:rPr>
          <w:spacing w:val="-2"/>
        </w:rPr>
        <w:t>культурного</w:t>
      </w:r>
    </w:p>
    <w:p>
      <w:pPr>
        <w:pStyle w:val="Heading4"/>
        <w:spacing w:line="276" w:lineRule="auto" w:before="50"/>
        <w:ind w:left="1702" w:right="848" w:firstLine="566"/>
      </w:pPr>
      <w:r>
        <w:rPr/>
        <w:t>Идея о сочетании трех составляющих, описывающих универсальные, культурные и личностные характеристики человека, была высказана еще </w:t>
      </w:r>
      <w:r>
        <w:rPr>
          <w:i/>
        </w:rPr>
        <w:t>Kluckhorn и Murray </w:t>
      </w:r>
      <w:r>
        <w:rPr/>
        <w:t>(1953) и в дальнейшем получила подробное описание в работах Г.</w:t>
      </w:r>
      <w:r>
        <w:rPr>
          <w:spacing w:val="-2"/>
        </w:rPr>
        <w:t> </w:t>
      </w:r>
      <w:r>
        <w:rPr/>
        <w:t>Хофстеде (</w:t>
      </w:r>
      <w:r>
        <w:rPr>
          <w:i/>
        </w:rPr>
        <w:t>Hofstede</w:t>
      </w:r>
      <w:r>
        <w:rPr/>
        <w:t>, 2005). Необходимо понимать, что любые поведенческие проявления ребенка-мигранта могут отражать и его личностные характеристики, и универсальные составляющие детского развития, и параметры, являющиеся результатом его социализации в конкретной</w:t>
      </w:r>
      <w:r>
        <w:rPr>
          <w:spacing w:val="-5"/>
        </w:rPr>
        <w:t> </w:t>
      </w:r>
      <w:r>
        <w:rPr/>
        <w:t>этнической</w:t>
      </w:r>
      <w:r>
        <w:rPr>
          <w:spacing w:val="-5"/>
        </w:rPr>
        <w:t> </w:t>
      </w:r>
      <w:r>
        <w:rPr/>
        <w:t>и</w:t>
      </w:r>
      <w:r>
        <w:rPr>
          <w:spacing w:val="-5"/>
        </w:rPr>
        <w:t> </w:t>
      </w:r>
      <w:r>
        <w:rPr/>
        <w:t>культурной</w:t>
      </w:r>
      <w:r>
        <w:rPr>
          <w:spacing w:val="-5"/>
        </w:rPr>
        <w:t> </w:t>
      </w:r>
      <w:r>
        <w:rPr/>
        <w:t>среде,</w:t>
      </w:r>
      <w:r>
        <w:rPr>
          <w:spacing w:val="-6"/>
        </w:rPr>
        <w:t> </w:t>
      </w:r>
      <w:r>
        <w:rPr/>
        <w:t>т.е.</w:t>
      </w:r>
      <w:r>
        <w:rPr>
          <w:spacing w:val="-6"/>
        </w:rPr>
        <w:t> </w:t>
      </w:r>
      <w:r>
        <w:rPr/>
        <w:t>культурные.</w:t>
      </w:r>
      <w:r>
        <w:rPr>
          <w:spacing w:val="-6"/>
        </w:rPr>
        <w:t> </w:t>
      </w:r>
      <w:r>
        <w:rPr/>
        <w:t>В</w:t>
      </w:r>
      <w:r>
        <w:rPr>
          <w:spacing w:val="-5"/>
        </w:rPr>
        <w:t> </w:t>
      </w:r>
      <w:r>
        <w:rPr/>
        <w:t>данном</w:t>
      </w:r>
      <w:r>
        <w:rPr>
          <w:spacing w:val="-5"/>
        </w:rPr>
        <w:t> </w:t>
      </w:r>
      <w:r>
        <w:rPr/>
        <w:t>случае мы</w:t>
      </w:r>
      <w:r>
        <w:rPr>
          <w:spacing w:val="80"/>
        </w:rPr>
        <w:t>   </w:t>
      </w:r>
      <w:r>
        <w:rPr/>
        <w:t>руководствуемся</w:t>
      </w:r>
      <w:r>
        <w:rPr>
          <w:spacing w:val="80"/>
        </w:rPr>
        <w:t>   </w:t>
      </w:r>
      <w:r>
        <w:rPr/>
        <w:t>определением</w:t>
      </w:r>
      <w:r>
        <w:rPr>
          <w:spacing w:val="80"/>
        </w:rPr>
        <w:t>   </w:t>
      </w:r>
      <w:r>
        <w:rPr/>
        <w:t>культуры,</w:t>
      </w:r>
      <w:r>
        <w:rPr>
          <w:spacing w:val="80"/>
        </w:rPr>
        <w:t>   </w:t>
      </w:r>
      <w:r>
        <w:rPr/>
        <w:t>предложенным Н.М.</w:t>
      </w:r>
      <w:r>
        <w:rPr>
          <w:spacing w:val="-6"/>
        </w:rPr>
        <w:t> </w:t>
      </w:r>
      <w:r>
        <w:rPr/>
        <w:t>Лебедевой:</w:t>
      </w:r>
      <w:r>
        <w:rPr>
          <w:spacing w:val="-2"/>
        </w:rPr>
        <w:t> </w:t>
      </w:r>
      <w:r>
        <w:rPr/>
        <w:t>«Культура —</w:t>
      </w:r>
      <w:r>
        <w:rPr>
          <w:spacing w:val="-2"/>
        </w:rPr>
        <w:t> </w:t>
      </w:r>
      <w:r>
        <w:rPr/>
        <w:t>это</w:t>
      </w:r>
      <w:r>
        <w:rPr>
          <w:spacing w:val="-2"/>
        </w:rPr>
        <w:t> </w:t>
      </w:r>
      <w:r>
        <w:rPr/>
        <w:t>совокупность</w:t>
      </w:r>
      <w:r>
        <w:rPr>
          <w:spacing w:val="-4"/>
        </w:rPr>
        <w:t> </w:t>
      </w:r>
      <w:r>
        <w:rPr/>
        <w:t>неосознаваемых</w:t>
      </w:r>
      <w:r>
        <w:rPr>
          <w:spacing w:val="-2"/>
        </w:rPr>
        <w:t> </w:t>
      </w:r>
      <w:r>
        <w:rPr/>
        <w:t>положений, стандартных процедур и способов поведения, которые были усвоены в такой степени, что люди не рассуждают о них» (</w:t>
      </w:r>
      <w:r>
        <w:rPr>
          <w:i/>
        </w:rPr>
        <w:t>Лебедева</w:t>
      </w:r>
      <w:r>
        <w:rPr/>
        <w:t>, 2011).</w:t>
      </w:r>
    </w:p>
    <w:p>
      <w:pPr>
        <w:pStyle w:val="Heading4"/>
        <w:spacing w:line="276" w:lineRule="auto"/>
        <w:ind w:left="1702" w:right="845" w:firstLine="566"/>
      </w:pPr>
      <w:r>
        <w:rPr/>
        <w:t>Анализ дополнительных образовательных потребностей ребенка- мигранта требует дифференцирования тех его характеристик и проявлений, которые</w:t>
      </w:r>
      <w:r>
        <w:rPr>
          <w:spacing w:val="-3"/>
        </w:rPr>
        <w:t> </w:t>
      </w:r>
      <w:r>
        <w:rPr/>
        <w:t>связаны</w:t>
      </w:r>
      <w:r>
        <w:rPr>
          <w:spacing w:val="-3"/>
        </w:rPr>
        <w:t> </w:t>
      </w:r>
      <w:r>
        <w:rPr/>
        <w:t>с</w:t>
      </w:r>
      <w:r>
        <w:rPr>
          <w:spacing w:val="-4"/>
        </w:rPr>
        <w:t> </w:t>
      </w:r>
      <w:r>
        <w:rPr/>
        <w:t>его</w:t>
      </w:r>
      <w:r>
        <w:rPr>
          <w:spacing w:val="-2"/>
        </w:rPr>
        <w:t> </w:t>
      </w:r>
      <w:r>
        <w:rPr/>
        <w:t>этнокультурной</w:t>
      </w:r>
      <w:r>
        <w:rPr>
          <w:spacing w:val="-6"/>
        </w:rPr>
        <w:t> </w:t>
      </w:r>
      <w:r>
        <w:rPr/>
        <w:t>социализацией</w:t>
      </w:r>
      <w:r>
        <w:rPr>
          <w:spacing w:val="-6"/>
        </w:rPr>
        <w:t> </w:t>
      </w:r>
      <w:r>
        <w:rPr/>
        <w:t>и</w:t>
      </w:r>
      <w:r>
        <w:rPr>
          <w:spacing w:val="-3"/>
        </w:rPr>
        <w:t> </w:t>
      </w:r>
      <w:r>
        <w:rPr/>
        <w:t>жизненной</w:t>
      </w:r>
      <w:r>
        <w:rPr>
          <w:spacing w:val="-6"/>
        </w:rPr>
        <w:t> </w:t>
      </w:r>
      <w:r>
        <w:rPr/>
        <w:t>историей. Неприемлемо, с одной стороны, рассматривать любые его затруднения и проявления как результат культурных различий, с другой — игнорировать влияние данных факторов.</w:t>
      </w:r>
    </w:p>
    <w:p>
      <w:pPr>
        <w:pStyle w:val="Heading5"/>
        <w:numPr>
          <w:ilvl w:val="1"/>
          <w:numId w:val="2"/>
        </w:numPr>
        <w:tabs>
          <w:tab w:pos="3825" w:val="left" w:leader="none"/>
        </w:tabs>
        <w:spacing w:line="240" w:lineRule="auto" w:before="1" w:after="0"/>
        <w:ind w:left="3825" w:right="0" w:hanging="487"/>
        <w:jc w:val="both"/>
      </w:pPr>
      <w:r>
        <w:rPr/>
        <w:t>Баланс</w:t>
      </w:r>
      <w:r>
        <w:rPr>
          <w:spacing w:val="-6"/>
        </w:rPr>
        <w:t> </w:t>
      </w:r>
      <w:r>
        <w:rPr/>
        <w:t>сходств</w:t>
      </w:r>
      <w:r>
        <w:rPr>
          <w:spacing w:val="-6"/>
        </w:rPr>
        <w:t> </w:t>
      </w:r>
      <w:r>
        <w:rPr/>
        <w:t>и</w:t>
      </w:r>
      <w:r>
        <w:rPr>
          <w:spacing w:val="-2"/>
        </w:rPr>
        <w:t> различий</w:t>
      </w:r>
    </w:p>
    <w:p>
      <w:pPr>
        <w:pStyle w:val="Heading4"/>
        <w:spacing w:line="276" w:lineRule="auto" w:before="48"/>
        <w:ind w:left="1702" w:right="853" w:firstLine="566"/>
      </w:pPr>
      <w:r>
        <w:rPr/>
        <w:t>В продолжение предыдущей идеи. При анализе образовательных потребностей</w:t>
      </w:r>
      <w:r>
        <w:rPr>
          <w:spacing w:val="63"/>
        </w:rPr>
        <w:t>  </w:t>
      </w:r>
      <w:r>
        <w:rPr/>
        <w:t>ребенка-мигранта</w:t>
      </w:r>
      <w:r>
        <w:rPr>
          <w:spacing w:val="64"/>
        </w:rPr>
        <w:t>  </w:t>
      </w:r>
      <w:r>
        <w:rPr/>
        <w:t>его</w:t>
      </w:r>
      <w:r>
        <w:rPr>
          <w:spacing w:val="64"/>
        </w:rPr>
        <w:t>  </w:t>
      </w:r>
      <w:r>
        <w:rPr/>
        <w:t>миграционный</w:t>
      </w:r>
      <w:r>
        <w:rPr>
          <w:spacing w:val="64"/>
        </w:rPr>
        <w:t>  </w:t>
      </w:r>
      <w:r>
        <w:rPr/>
        <w:t>опыт</w:t>
      </w:r>
      <w:r>
        <w:rPr>
          <w:spacing w:val="65"/>
        </w:rPr>
        <w:t>  </w:t>
      </w:r>
      <w:r>
        <w:rPr/>
        <w:t>не</w:t>
      </w:r>
      <w:r>
        <w:rPr>
          <w:spacing w:val="64"/>
        </w:rPr>
        <w:t>  </w:t>
      </w:r>
      <w:r>
        <w:rPr>
          <w:spacing w:val="-2"/>
        </w:rPr>
        <w:t>должен</w:t>
      </w:r>
    </w:p>
    <w:p>
      <w:pPr>
        <w:pStyle w:val="Heading4"/>
        <w:spacing w:after="0" w:line="276" w:lineRule="auto"/>
        <w:sectPr>
          <w:pgSz w:w="11910" w:h="16840"/>
          <w:pgMar w:header="0" w:footer="956" w:top="1040" w:bottom="1220" w:left="0" w:right="0"/>
        </w:sectPr>
      </w:pPr>
    </w:p>
    <w:p>
      <w:pPr>
        <w:pStyle w:val="Heading4"/>
        <w:spacing w:line="276" w:lineRule="auto" w:before="67"/>
        <w:ind w:left="1702" w:right="845"/>
      </w:pPr>
      <w:r>
        <w:rPr/>
        <w:t>маркировать</w:t>
      </w:r>
      <w:r>
        <w:rPr>
          <w:spacing w:val="-8"/>
        </w:rPr>
        <w:t> </w:t>
      </w:r>
      <w:r>
        <w:rPr/>
        <w:t>его</w:t>
      </w:r>
      <w:r>
        <w:rPr>
          <w:spacing w:val="-6"/>
        </w:rPr>
        <w:t> </w:t>
      </w:r>
      <w:r>
        <w:rPr/>
        <w:t>как</w:t>
      </w:r>
      <w:r>
        <w:rPr>
          <w:spacing w:val="-8"/>
        </w:rPr>
        <w:t> </w:t>
      </w:r>
      <w:r>
        <w:rPr/>
        <w:t>принципиально</w:t>
      </w:r>
      <w:r>
        <w:rPr>
          <w:spacing w:val="-8"/>
        </w:rPr>
        <w:t> </w:t>
      </w:r>
      <w:r>
        <w:rPr/>
        <w:t>отличающегося</w:t>
      </w:r>
      <w:r>
        <w:rPr>
          <w:spacing w:val="-6"/>
        </w:rPr>
        <w:t> </w:t>
      </w:r>
      <w:r>
        <w:rPr/>
        <w:t>от</w:t>
      </w:r>
      <w:r>
        <w:rPr>
          <w:spacing w:val="-9"/>
        </w:rPr>
        <w:t> </w:t>
      </w:r>
      <w:r>
        <w:rPr/>
        <w:t>прочих</w:t>
      </w:r>
      <w:r>
        <w:rPr>
          <w:spacing w:val="-6"/>
        </w:rPr>
        <w:t> </w:t>
      </w:r>
      <w:r>
        <w:rPr/>
        <w:t>обучающихся. Психолого-педагогический анализ любого учащегося имеет комплексный характер, учитывая его учебную успеваемость, семейную ситуацию, личностные характеристики и пр. Необходимо, чтобы обозначение особых (дополнительных)</w:t>
      </w:r>
      <w:r>
        <w:rPr>
          <w:spacing w:val="-18"/>
        </w:rPr>
        <w:t> </w:t>
      </w:r>
      <w:r>
        <w:rPr/>
        <w:t>образовательных</w:t>
      </w:r>
      <w:r>
        <w:rPr>
          <w:spacing w:val="-17"/>
        </w:rPr>
        <w:t> </w:t>
      </w:r>
      <w:r>
        <w:rPr/>
        <w:t>потребностей</w:t>
      </w:r>
      <w:r>
        <w:rPr>
          <w:spacing w:val="-18"/>
        </w:rPr>
        <w:t> </w:t>
      </w:r>
      <w:r>
        <w:rPr/>
        <w:t>обучающихся-мигрантов</w:t>
      </w:r>
      <w:r>
        <w:rPr>
          <w:spacing w:val="-17"/>
        </w:rPr>
        <w:t> </w:t>
      </w:r>
      <w:r>
        <w:rPr/>
        <w:t>не выделяло их в особую группу, а скорее выступало как еще одно измерение, обогащающее и уточняющее системное рассмотрение каждого ученика.</w:t>
      </w:r>
    </w:p>
    <w:p>
      <w:pPr>
        <w:pStyle w:val="Heading4"/>
        <w:spacing w:line="276" w:lineRule="auto" w:before="1"/>
        <w:ind w:left="1702" w:right="843" w:firstLine="566"/>
      </w:pPr>
      <w:r>
        <w:rPr/>
        <w:t>Особые (дополнительные) образовательные потребности детей- мигрантов выделяются нами на основе причин возможных образовательных затруднений, которые могут присутствовать у данной группы обучающихся. (Подчеркнем, что ребенок с миграционным опытом может иметь трудности, причины которых не связаны с миграцией или культурными различиями, и в этом</w:t>
      </w:r>
      <w:r>
        <w:rPr>
          <w:spacing w:val="-16"/>
        </w:rPr>
        <w:t> </w:t>
      </w:r>
      <w:r>
        <w:rPr/>
        <w:t>случае</w:t>
      </w:r>
      <w:r>
        <w:rPr>
          <w:spacing w:val="-15"/>
        </w:rPr>
        <w:t> </w:t>
      </w:r>
      <w:r>
        <w:rPr/>
        <w:t>его</w:t>
      </w:r>
      <w:r>
        <w:rPr>
          <w:spacing w:val="-15"/>
        </w:rPr>
        <w:t> </w:t>
      </w:r>
      <w:r>
        <w:rPr/>
        <w:t>поддержка</w:t>
      </w:r>
      <w:r>
        <w:rPr>
          <w:spacing w:val="-15"/>
        </w:rPr>
        <w:t> </w:t>
      </w:r>
      <w:r>
        <w:rPr/>
        <w:t>может</w:t>
      </w:r>
      <w:r>
        <w:rPr>
          <w:spacing w:val="-16"/>
        </w:rPr>
        <w:t> </w:t>
      </w:r>
      <w:r>
        <w:rPr/>
        <w:t>реализовываться</w:t>
      </w:r>
      <w:r>
        <w:rPr>
          <w:spacing w:val="-15"/>
        </w:rPr>
        <w:t> </w:t>
      </w:r>
      <w:r>
        <w:rPr/>
        <w:t>в</w:t>
      </w:r>
      <w:r>
        <w:rPr>
          <w:spacing w:val="-17"/>
        </w:rPr>
        <w:t> </w:t>
      </w:r>
      <w:r>
        <w:rPr/>
        <w:t>общей</w:t>
      </w:r>
      <w:r>
        <w:rPr>
          <w:spacing w:val="-18"/>
        </w:rPr>
        <w:t> </w:t>
      </w:r>
      <w:r>
        <w:rPr/>
        <w:t>логике</w:t>
      </w:r>
      <w:r>
        <w:rPr>
          <w:spacing w:val="-15"/>
        </w:rPr>
        <w:t> </w:t>
      </w:r>
      <w:r>
        <w:rPr/>
        <w:t>психолого- педагогического сопровождения или инклюзивного образования.)</w:t>
      </w:r>
    </w:p>
    <w:p>
      <w:pPr>
        <w:pStyle w:val="Heading4"/>
        <w:spacing w:line="278" w:lineRule="auto"/>
        <w:ind w:left="1702" w:right="852" w:firstLine="566"/>
      </w:pPr>
      <w:r>
        <w:rPr/>
        <w:t>В этой логике представляется возможным выделить пять таких образовательных потребностей.</w:t>
      </w:r>
    </w:p>
    <w:p>
      <w:pPr>
        <w:pStyle w:val="Heading4"/>
        <w:spacing w:line="276" w:lineRule="auto"/>
        <w:ind w:left="1702" w:right="848" w:firstLine="566"/>
      </w:pPr>
      <w:r>
        <w:rPr>
          <w:i/>
        </w:rPr>
        <w:t>Первая </w:t>
      </w:r>
      <w:r>
        <w:rPr/>
        <w:t>— недостаточный уровень владения русским языком, препятствующий успешному освоению образовательной программы и </w:t>
      </w:r>
      <w:r>
        <w:rPr>
          <w:spacing w:val="-2"/>
        </w:rPr>
        <w:t>социализации.</w:t>
      </w:r>
    </w:p>
    <w:p>
      <w:pPr>
        <w:pStyle w:val="Heading4"/>
        <w:spacing w:line="276" w:lineRule="auto"/>
        <w:ind w:left="1702" w:right="845" w:firstLine="566"/>
      </w:pPr>
      <w:r>
        <w:rPr/>
        <w:t>«Недостаточный уровень владения языком принимающего общества — самый распространенный барьер для интеграции и учебной успешности мигрантов»,</w:t>
      </w:r>
      <w:r>
        <w:rPr>
          <w:spacing w:val="-3"/>
        </w:rPr>
        <w:t> </w:t>
      </w:r>
      <w:r>
        <w:rPr/>
        <w:t>—</w:t>
      </w:r>
      <w:r>
        <w:rPr>
          <w:spacing w:val="-3"/>
        </w:rPr>
        <w:t> </w:t>
      </w:r>
      <w:r>
        <w:rPr/>
        <w:t>отмечают</w:t>
      </w:r>
      <w:r>
        <w:rPr>
          <w:spacing w:val="-3"/>
        </w:rPr>
        <w:t> </w:t>
      </w:r>
      <w:r>
        <w:rPr>
          <w:i/>
        </w:rPr>
        <w:t>Janta &amp;</w:t>
      </w:r>
      <w:r>
        <w:rPr>
          <w:i/>
          <w:spacing w:val="-10"/>
        </w:rPr>
        <w:t> </w:t>
      </w:r>
      <w:r>
        <w:rPr>
          <w:i/>
        </w:rPr>
        <w:t>Harte</w:t>
      </w:r>
      <w:r>
        <w:rPr>
          <w:i/>
          <w:spacing w:val="-1"/>
        </w:rPr>
        <w:t> </w:t>
      </w:r>
      <w:r>
        <w:rPr/>
        <w:t>(2016,</w:t>
      </w:r>
      <w:r>
        <w:rPr>
          <w:spacing w:val="-3"/>
        </w:rPr>
        <w:t> </w:t>
      </w:r>
      <w:r>
        <w:rPr/>
        <w:t>с.</w:t>
      </w:r>
      <w:r>
        <w:rPr>
          <w:spacing w:val="-3"/>
        </w:rPr>
        <w:t> </w:t>
      </w:r>
      <w:r>
        <w:rPr/>
        <w:t>14).</w:t>
      </w:r>
      <w:r>
        <w:rPr>
          <w:spacing w:val="-3"/>
        </w:rPr>
        <w:t> </w:t>
      </w:r>
      <w:r>
        <w:rPr>
          <w:i/>
        </w:rPr>
        <w:t>McBrien</w:t>
      </w:r>
      <w:r>
        <w:rPr>
          <w:i/>
          <w:spacing w:val="-1"/>
        </w:rPr>
        <w:t> </w:t>
      </w:r>
      <w:r>
        <w:rPr/>
        <w:t>(2005)</w:t>
      </w:r>
      <w:r>
        <w:rPr>
          <w:spacing w:val="-2"/>
        </w:rPr>
        <w:t> </w:t>
      </w:r>
      <w:r>
        <w:rPr/>
        <w:t>выделяет две группы образовательных потребностей учащихся-беженцев, одна из которых связана с освоением языка принимающего общества. О важности языка как условия вхождения в принимающее общество пишут и отечественные исследователи (</w:t>
      </w:r>
      <w:r>
        <w:rPr>
          <w:i/>
        </w:rPr>
        <w:t>Баранова</w:t>
      </w:r>
      <w:r>
        <w:rPr/>
        <w:t>, 2012)</w:t>
      </w:r>
    </w:p>
    <w:p>
      <w:pPr>
        <w:pStyle w:val="Heading4"/>
        <w:spacing w:line="276" w:lineRule="auto"/>
        <w:ind w:left="1702" w:right="853" w:firstLine="566"/>
      </w:pPr>
      <w:r>
        <w:rPr>
          <w:i/>
        </w:rPr>
        <w:t>Вторая</w:t>
      </w:r>
      <w:r>
        <w:rPr>
          <w:i/>
          <w:spacing w:val="-7"/>
        </w:rPr>
        <w:t> </w:t>
      </w:r>
      <w:r>
        <w:rPr/>
        <w:t>—</w:t>
      </w:r>
      <w:r>
        <w:rPr>
          <w:spacing w:val="-7"/>
        </w:rPr>
        <w:t> </w:t>
      </w:r>
      <w:r>
        <w:rPr/>
        <w:t>несоответствие</w:t>
      </w:r>
      <w:r>
        <w:rPr>
          <w:spacing w:val="-4"/>
        </w:rPr>
        <w:t> </w:t>
      </w:r>
      <w:r>
        <w:rPr/>
        <w:t>уровня</w:t>
      </w:r>
      <w:r>
        <w:rPr>
          <w:spacing w:val="-4"/>
        </w:rPr>
        <w:t> </w:t>
      </w:r>
      <w:r>
        <w:rPr/>
        <w:t>знаний,</w:t>
      </w:r>
      <w:r>
        <w:rPr>
          <w:spacing w:val="-5"/>
        </w:rPr>
        <w:t> </w:t>
      </w:r>
      <w:r>
        <w:rPr/>
        <w:t>полученных</w:t>
      </w:r>
      <w:r>
        <w:rPr>
          <w:spacing w:val="-3"/>
        </w:rPr>
        <w:t> </w:t>
      </w:r>
      <w:r>
        <w:rPr/>
        <w:t>в</w:t>
      </w:r>
      <w:r>
        <w:rPr>
          <w:spacing w:val="-8"/>
        </w:rPr>
        <w:t> </w:t>
      </w:r>
      <w:r>
        <w:rPr/>
        <w:t>стране</w:t>
      </w:r>
      <w:r>
        <w:rPr>
          <w:spacing w:val="-7"/>
        </w:rPr>
        <w:t> </w:t>
      </w:r>
      <w:r>
        <w:rPr/>
        <w:t>исхода,</w:t>
      </w:r>
      <w:r>
        <w:rPr>
          <w:spacing w:val="-8"/>
        </w:rPr>
        <w:t> </w:t>
      </w:r>
      <w:r>
        <w:rPr/>
        <w:t>с российскими образовательными стандартами, несоответствие возраста и уровня знаний из-за разных требований и учебных программ.</w:t>
      </w:r>
    </w:p>
    <w:p>
      <w:pPr>
        <w:pStyle w:val="Heading4"/>
        <w:spacing w:line="276" w:lineRule="auto"/>
        <w:ind w:left="1702" w:right="845" w:firstLine="566"/>
      </w:pPr>
      <w:r>
        <w:rPr/>
        <w:t>Кросс-культурная вариативность образовательных программ по разным школьным</w:t>
      </w:r>
      <w:r>
        <w:rPr>
          <w:spacing w:val="-17"/>
        </w:rPr>
        <w:t> </w:t>
      </w:r>
      <w:r>
        <w:rPr/>
        <w:t>предметам</w:t>
      </w:r>
      <w:r>
        <w:rPr>
          <w:spacing w:val="-15"/>
        </w:rPr>
        <w:t> </w:t>
      </w:r>
      <w:r>
        <w:rPr/>
        <w:t>отмечается</w:t>
      </w:r>
      <w:r>
        <w:rPr>
          <w:spacing w:val="-14"/>
        </w:rPr>
        <w:t> </w:t>
      </w:r>
      <w:r>
        <w:rPr/>
        <w:t>в</w:t>
      </w:r>
      <w:r>
        <w:rPr>
          <w:spacing w:val="-18"/>
        </w:rPr>
        <w:t> </w:t>
      </w:r>
      <w:r>
        <w:rPr/>
        <w:t>различных</w:t>
      </w:r>
      <w:r>
        <w:rPr>
          <w:spacing w:val="-13"/>
        </w:rPr>
        <w:t> </w:t>
      </w:r>
      <w:r>
        <w:rPr/>
        <w:t>исследованиях</w:t>
      </w:r>
      <w:r>
        <w:rPr>
          <w:spacing w:val="-13"/>
        </w:rPr>
        <w:t> </w:t>
      </w:r>
      <w:r>
        <w:rPr/>
        <w:t>(</w:t>
      </w:r>
      <w:r>
        <w:rPr>
          <w:i/>
        </w:rPr>
        <w:t>Andrews</w:t>
      </w:r>
      <w:r>
        <w:rPr/>
        <w:t>,</w:t>
      </w:r>
      <w:r>
        <w:rPr>
          <w:spacing w:val="-17"/>
        </w:rPr>
        <w:t> </w:t>
      </w:r>
      <w:r>
        <w:rPr/>
        <w:t>2010). </w:t>
      </w:r>
      <w:r>
        <w:rPr>
          <w:i/>
        </w:rPr>
        <w:t>Rong &amp; Preissle </w:t>
      </w:r>
      <w:r>
        <w:rPr/>
        <w:t>(1997) подчеркивали важность академической и психологической подготовки детей-мигрантов для последующего обучения в школе принимающей страны. В исследовании </w:t>
      </w:r>
      <w:r>
        <w:rPr>
          <w:i/>
        </w:rPr>
        <w:t>Jaap Dronkers, Manon de Heus &amp; Mark Levels </w:t>
      </w:r>
      <w:r>
        <w:rPr/>
        <w:t>(2012) показано, что на успешность детей-мигрантов может влиять их опыт обучения в стране исхода, так как образовательные системы разных стран существенно различаются.</w:t>
      </w:r>
    </w:p>
    <w:p>
      <w:pPr>
        <w:pStyle w:val="Heading4"/>
        <w:spacing w:line="276" w:lineRule="auto"/>
        <w:ind w:left="1702" w:right="847" w:firstLine="566"/>
      </w:pPr>
      <w:r>
        <w:rPr>
          <w:i/>
        </w:rPr>
        <w:t>Третья </w:t>
      </w:r>
      <w:r>
        <w:rPr/>
        <w:t>— эмоционально-личностные трудности, вызванные переживанием</w:t>
      </w:r>
      <w:r>
        <w:rPr>
          <w:spacing w:val="76"/>
          <w:w w:val="150"/>
        </w:rPr>
        <w:t>  </w:t>
      </w:r>
      <w:r>
        <w:rPr/>
        <w:t>миграционного</w:t>
      </w:r>
      <w:r>
        <w:rPr>
          <w:spacing w:val="53"/>
        </w:rPr>
        <w:t>   </w:t>
      </w:r>
      <w:r>
        <w:rPr/>
        <w:t>стресса.</w:t>
      </w:r>
      <w:r>
        <w:rPr>
          <w:spacing w:val="54"/>
        </w:rPr>
        <w:t>   </w:t>
      </w:r>
      <w:r>
        <w:rPr>
          <w:i/>
        </w:rPr>
        <w:t>McBrien</w:t>
      </w:r>
      <w:r>
        <w:rPr>
          <w:i/>
          <w:spacing w:val="54"/>
        </w:rPr>
        <w:t>   </w:t>
      </w:r>
      <w:r>
        <w:rPr/>
        <w:t>(2005),</w:t>
      </w:r>
      <w:r>
        <w:rPr>
          <w:spacing w:val="79"/>
          <w:w w:val="150"/>
        </w:rPr>
        <w:t>  </w:t>
      </w:r>
      <w:r>
        <w:rPr>
          <w:spacing w:val="-2"/>
        </w:rPr>
        <w:t>описывая</w:t>
      </w:r>
    </w:p>
    <w:p>
      <w:pPr>
        <w:pStyle w:val="Heading4"/>
        <w:spacing w:after="0" w:line="276" w:lineRule="auto"/>
        <w:sectPr>
          <w:pgSz w:w="11910" w:h="16840"/>
          <w:pgMar w:header="0" w:footer="956" w:top="1040" w:bottom="1220" w:left="0" w:right="0"/>
        </w:sectPr>
      </w:pPr>
    </w:p>
    <w:p>
      <w:pPr>
        <w:pStyle w:val="Heading4"/>
        <w:spacing w:line="276" w:lineRule="auto" w:before="67"/>
        <w:ind w:left="1702" w:right="847"/>
      </w:pPr>
      <w:r>
        <w:rPr/>
        <w:t>образовательные потребности учащихся-беженцев, относит к ним прежде всего психосоциальное благополучие, куда входят ощущение безопасности, чувство Я (идентичность), адаптация к новой культуре при сохранении сопричастности к культуре исхода. </w:t>
      </w:r>
      <w:r>
        <w:rPr>
          <w:i/>
        </w:rPr>
        <w:t>Sinclair </w:t>
      </w:r>
      <w:r>
        <w:rPr/>
        <w:t>(2002) отмечает, что травматический опыт, пережитый детьми-беженцами, сказывается на их способности к обучению. Показано, что дети-мигранты могут переживать стресс в ситуации культурных изменений и аккультурации (</w:t>
      </w:r>
      <w:r>
        <w:rPr>
          <w:i/>
        </w:rPr>
        <w:t>Birman</w:t>
      </w:r>
      <w:r>
        <w:rPr/>
        <w:t>, 2002).</w:t>
      </w:r>
    </w:p>
    <w:p>
      <w:pPr>
        <w:pStyle w:val="Heading4"/>
        <w:spacing w:line="276" w:lineRule="auto" w:before="1"/>
        <w:ind w:left="1702" w:right="850" w:firstLine="566"/>
      </w:pPr>
      <w:r>
        <w:rPr>
          <w:i/>
        </w:rPr>
        <w:t>Четвертая </w:t>
      </w:r>
      <w:r>
        <w:rPr/>
        <w:t>— отсутствие или нехватка социальных навыков, соответствующих</w:t>
      </w:r>
      <w:r>
        <w:rPr>
          <w:spacing w:val="-12"/>
        </w:rPr>
        <w:t> </w:t>
      </w:r>
      <w:r>
        <w:rPr/>
        <w:t>возрасту,</w:t>
      </w:r>
      <w:r>
        <w:rPr>
          <w:spacing w:val="-15"/>
        </w:rPr>
        <w:t> </w:t>
      </w:r>
      <w:r>
        <w:rPr/>
        <w:t>по</w:t>
      </w:r>
      <w:r>
        <w:rPr>
          <w:spacing w:val="-11"/>
        </w:rPr>
        <w:t> </w:t>
      </w:r>
      <w:r>
        <w:rPr/>
        <w:t>умолчанию</w:t>
      </w:r>
      <w:r>
        <w:rPr>
          <w:spacing w:val="-15"/>
        </w:rPr>
        <w:t> </w:t>
      </w:r>
      <w:r>
        <w:rPr/>
        <w:t>присутствующих</w:t>
      </w:r>
      <w:r>
        <w:rPr>
          <w:spacing w:val="-12"/>
        </w:rPr>
        <w:t> </w:t>
      </w:r>
      <w:r>
        <w:rPr/>
        <w:t>у</w:t>
      </w:r>
      <w:r>
        <w:rPr>
          <w:spacing w:val="-15"/>
        </w:rPr>
        <w:t> </w:t>
      </w:r>
      <w:r>
        <w:rPr/>
        <w:t>представителей принимающего общества.</w:t>
      </w:r>
    </w:p>
    <w:p>
      <w:pPr>
        <w:pStyle w:val="Heading4"/>
        <w:spacing w:line="276" w:lineRule="auto" w:before="1"/>
        <w:ind w:left="1702" w:right="845" w:firstLine="566"/>
      </w:pPr>
      <w:r>
        <w:rPr>
          <w:i/>
        </w:rPr>
        <w:t>Cheng </w:t>
      </w:r>
      <w:r>
        <w:rPr/>
        <w:t>(1998) описывает социальные навыки мигрантов из стран Азии в США и показывает существенное влияние культурных различий в коммуникации</w:t>
      </w:r>
      <w:r>
        <w:rPr>
          <w:spacing w:val="-5"/>
        </w:rPr>
        <w:t> </w:t>
      </w:r>
      <w:r>
        <w:rPr/>
        <w:t>на</w:t>
      </w:r>
      <w:r>
        <w:rPr>
          <w:spacing w:val="-3"/>
        </w:rPr>
        <w:t> </w:t>
      </w:r>
      <w:r>
        <w:rPr/>
        <w:t>адаптацию</w:t>
      </w:r>
      <w:r>
        <w:rPr>
          <w:spacing w:val="-5"/>
        </w:rPr>
        <w:t> </w:t>
      </w:r>
      <w:r>
        <w:rPr/>
        <w:t>и</w:t>
      </w:r>
      <w:r>
        <w:rPr>
          <w:spacing w:val="-3"/>
        </w:rPr>
        <w:t> </w:t>
      </w:r>
      <w:r>
        <w:rPr/>
        <w:t>учебную</w:t>
      </w:r>
      <w:r>
        <w:rPr>
          <w:spacing w:val="-5"/>
        </w:rPr>
        <w:t> </w:t>
      </w:r>
      <w:r>
        <w:rPr/>
        <w:t>успешность. </w:t>
      </w:r>
      <w:r>
        <w:rPr>
          <w:i/>
        </w:rPr>
        <w:t>Suarez-Orozco,</w:t>
      </w:r>
      <w:r>
        <w:rPr>
          <w:i/>
          <w:spacing w:val="-4"/>
        </w:rPr>
        <w:t> </w:t>
      </w:r>
      <w:r>
        <w:rPr>
          <w:i/>
        </w:rPr>
        <w:t>Pimentel, &amp; Martin </w:t>
      </w:r>
      <w:r>
        <w:rPr/>
        <w:t>(2009) отмечают, что «успешная адаптация учеников-мигрантов, видимо, связана с качеством отношений, которые они строят в школьной среде… Социальные отношения выполняют ряд защитных функций: чувство сопричастности,</w:t>
      </w:r>
      <w:r>
        <w:rPr>
          <w:spacing w:val="-18"/>
        </w:rPr>
        <w:t> </w:t>
      </w:r>
      <w:r>
        <w:rPr/>
        <w:t>эмоциональная</w:t>
      </w:r>
      <w:r>
        <w:rPr>
          <w:spacing w:val="-17"/>
        </w:rPr>
        <w:t> </w:t>
      </w:r>
      <w:r>
        <w:rPr/>
        <w:t>поддержка,</w:t>
      </w:r>
      <w:r>
        <w:rPr>
          <w:spacing w:val="-18"/>
        </w:rPr>
        <w:t> </w:t>
      </w:r>
      <w:r>
        <w:rPr/>
        <w:t>ощутимая</w:t>
      </w:r>
      <w:r>
        <w:rPr>
          <w:spacing w:val="-17"/>
        </w:rPr>
        <w:t> </w:t>
      </w:r>
      <w:r>
        <w:rPr/>
        <w:t>помощь</w:t>
      </w:r>
      <w:r>
        <w:rPr>
          <w:spacing w:val="-18"/>
        </w:rPr>
        <w:t> </w:t>
      </w:r>
      <w:r>
        <w:rPr/>
        <w:t>и</w:t>
      </w:r>
      <w:r>
        <w:rPr>
          <w:spacing w:val="-17"/>
        </w:rPr>
        <w:t> </w:t>
      </w:r>
      <w:r>
        <w:rPr/>
        <w:t>информация, когнитивное сопровождение и позитивная обратная связь» (p. 717).</w:t>
      </w:r>
    </w:p>
    <w:p>
      <w:pPr>
        <w:pStyle w:val="Heading4"/>
        <w:spacing w:line="276" w:lineRule="auto" w:before="2"/>
        <w:ind w:left="1702" w:right="852" w:firstLine="566"/>
      </w:pPr>
      <w:r>
        <w:rPr>
          <w:i/>
        </w:rPr>
        <w:t>Пятая </w:t>
      </w:r>
      <w:r>
        <w:rPr/>
        <w:t>— ориентация на</w:t>
      </w:r>
      <w:r>
        <w:rPr>
          <w:spacing w:val="-3"/>
        </w:rPr>
        <w:t> </w:t>
      </w:r>
      <w:r>
        <w:rPr/>
        <w:t>нормы и правила культуры страны и региона исхода,</w:t>
      </w:r>
      <w:r>
        <w:rPr>
          <w:spacing w:val="-18"/>
        </w:rPr>
        <w:t> </w:t>
      </w:r>
      <w:r>
        <w:rPr/>
        <w:t>отличающиеся</w:t>
      </w:r>
      <w:r>
        <w:rPr>
          <w:spacing w:val="-17"/>
        </w:rPr>
        <w:t> </w:t>
      </w:r>
      <w:r>
        <w:rPr/>
        <w:t>от</w:t>
      </w:r>
      <w:r>
        <w:rPr>
          <w:spacing w:val="-18"/>
        </w:rPr>
        <w:t> </w:t>
      </w:r>
      <w:r>
        <w:rPr/>
        <w:t>принятых</w:t>
      </w:r>
      <w:r>
        <w:rPr>
          <w:spacing w:val="-17"/>
        </w:rPr>
        <w:t> </w:t>
      </w:r>
      <w:r>
        <w:rPr/>
        <w:t>в</w:t>
      </w:r>
      <w:r>
        <w:rPr>
          <w:spacing w:val="-18"/>
        </w:rPr>
        <w:t> </w:t>
      </w:r>
      <w:r>
        <w:rPr/>
        <w:t>регионе</w:t>
      </w:r>
      <w:r>
        <w:rPr>
          <w:spacing w:val="-17"/>
        </w:rPr>
        <w:t> </w:t>
      </w:r>
      <w:r>
        <w:rPr/>
        <w:t>обучения;</w:t>
      </w:r>
      <w:r>
        <w:rPr>
          <w:spacing w:val="-17"/>
        </w:rPr>
        <w:t> </w:t>
      </w:r>
      <w:r>
        <w:rPr/>
        <w:t>трудности,</w:t>
      </w:r>
      <w:r>
        <w:rPr>
          <w:spacing w:val="-16"/>
        </w:rPr>
        <w:t> </w:t>
      </w:r>
      <w:r>
        <w:rPr/>
        <w:t>связанные с акккультурацией.</w:t>
      </w:r>
    </w:p>
    <w:p>
      <w:pPr>
        <w:pStyle w:val="Heading4"/>
        <w:spacing w:line="276" w:lineRule="auto"/>
        <w:ind w:left="1702" w:right="843" w:firstLine="566"/>
      </w:pPr>
      <w:r>
        <w:rPr/>
        <w:t>В обзоре </w:t>
      </w:r>
      <w:r>
        <w:rPr>
          <w:i/>
        </w:rPr>
        <w:t>Manzoni </w:t>
      </w:r>
      <w:r>
        <w:rPr/>
        <w:t>и </w:t>
      </w:r>
      <w:r>
        <w:rPr>
          <w:i/>
        </w:rPr>
        <w:t>Rolfe </w:t>
      </w:r>
      <w:r>
        <w:rPr/>
        <w:t>(2019) отмечено, что потребности детей- мигрантов и их семей связаны не только с освоением английского как языка принимающей культуры, но и поддержкой в проживании травмы, с адаптацией</w:t>
      </w:r>
      <w:r>
        <w:rPr>
          <w:spacing w:val="-3"/>
        </w:rPr>
        <w:t> </w:t>
      </w:r>
      <w:r>
        <w:rPr/>
        <w:t>к</w:t>
      </w:r>
      <w:r>
        <w:rPr>
          <w:spacing w:val="-7"/>
        </w:rPr>
        <w:t> </w:t>
      </w:r>
      <w:r>
        <w:rPr/>
        <w:t>новой</w:t>
      </w:r>
      <w:r>
        <w:rPr>
          <w:spacing w:val="-6"/>
        </w:rPr>
        <w:t> </w:t>
      </w:r>
      <w:r>
        <w:rPr/>
        <w:t>образовательной</w:t>
      </w:r>
      <w:r>
        <w:rPr>
          <w:spacing w:val="-6"/>
        </w:rPr>
        <w:t> </w:t>
      </w:r>
      <w:r>
        <w:rPr/>
        <w:t>системе,</w:t>
      </w:r>
      <w:r>
        <w:rPr>
          <w:spacing w:val="-5"/>
        </w:rPr>
        <w:t> </w:t>
      </w:r>
      <w:r>
        <w:rPr/>
        <w:t>что</w:t>
      </w:r>
      <w:r>
        <w:rPr>
          <w:spacing w:val="-2"/>
        </w:rPr>
        <w:t> </w:t>
      </w:r>
      <w:r>
        <w:rPr/>
        <w:t>предполагает</w:t>
      </w:r>
      <w:r>
        <w:rPr>
          <w:spacing w:val="-3"/>
        </w:rPr>
        <w:t> </w:t>
      </w:r>
      <w:r>
        <w:rPr/>
        <w:t>понимание</w:t>
      </w:r>
      <w:r>
        <w:rPr>
          <w:spacing w:val="-3"/>
        </w:rPr>
        <w:t> </w:t>
      </w:r>
      <w:r>
        <w:rPr/>
        <w:t>ее культурной специфики и освоение новых навыков.</w:t>
      </w:r>
    </w:p>
    <w:p>
      <w:pPr>
        <w:pStyle w:val="Heading4"/>
        <w:spacing w:line="276" w:lineRule="auto"/>
        <w:ind w:left="1702" w:right="849" w:firstLine="566"/>
      </w:pPr>
      <w:r>
        <w:rPr/>
        <w:t>Необходимо учитывать, что данные образовательные потребности свойственны</w:t>
      </w:r>
      <w:r>
        <w:rPr>
          <w:spacing w:val="-7"/>
        </w:rPr>
        <w:t> </w:t>
      </w:r>
      <w:r>
        <w:rPr/>
        <w:t>обучающимся-мигрантам</w:t>
      </w:r>
      <w:r>
        <w:rPr>
          <w:spacing w:val="-9"/>
        </w:rPr>
        <w:t> </w:t>
      </w:r>
      <w:r>
        <w:rPr/>
        <w:t>как</w:t>
      </w:r>
      <w:r>
        <w:rPr>
          <w:spacing w:val="-5"/>
        </w:rPr>
        <w:t> </w:t>
      </w:r>
      <w:r>
        <w:rPr/>
        <w:t>социальной</w:t>
      </w:r>
      <w:r>
        <w:rPr>
          <w:spacing w:val="-5"/>
        </w:rPr>
        <w:t> </w:t>
      </w:r>
      <w:r>
        <w:rPr/>
        <w:t>группе.</w:t>
      </w:r>
      <w:r>
        <w:rPr>
          <w:spacing w:val="-6"/>
        </w:rPr>
        <w:t> </w:t>
      </w:r>
      <w:r>
        <w:rPr/>
        <w:t>Поскольку</w:t>
      </w:r>
      <w:r>
        <w:rPr>
          <w:spacing w:val="-9"/>
        </w:rPr>
        <w:t> </w:t>
      </w:r>
      <w:r>
        <w:rPr/>
        <w:t>эта группа крайне разнообразна, выраженность потребностей у отдельного учащегося и их значимость для успешного обучения также будут крайне вариативны. Поэтому реализация социально-инклюзивного подхода требует прежде всего оценки образовательных потребностей конкретного учащегося.</w:t>
      </w:r>
    </w:p>
    <w:p>
      <w:pPr>
        <w:pStyle w:val="Heading2"/>
        <w:spacing w:line="276" w:lineRule="auto" w:before="243"/>
        <w:ind w:left="2112" w:right="1264" w:firstLine="6"/>
        <w:jc w:val="center"/>
      </w:pPr>
      <w:bookmarkStart w:name="_bookmark3" w:id="5"/>
      <w:bookmarkEnd w:id="5"/>
      <w:r>
        <w:rPr>
          <w:b w:val="0"/>
        </w:rPr>
      </w:r>
      <w:r>
        <w:rPr/>
        <w:t>Глава 3. Оценка особых образовательных потребностей ребенка- мигранта</w:t>
      </w:r>
      <w:r>
        <w:rPr>
          <w:spacing w:val="-5"/>
        </w:rPr>
        <w:t> </w:t>
      </w:r>
      <w:r>
        <w:rPr/>
        <w:t>в</w:t>
      </w:r>
      <w:r>
        <w:rPr>
          <w:spacing w:val="-11"/>
        </w:rPr>
        <w:t> </w:t>
      </w:r>
      <w:r>
        <w:rPr/>
        <w:t>областях</w:t>
      </w:r>
      <w:r>
        <w:rPr>
          <w:spacing w:val="-6"/>
        </w:rPr>
        <w:t> </w:t>
      </w:r>
      <w:r>
        <w:rPr/>
        <w:t>психологического</w:t>
      </w:r>
      <w:r>
        <w:rPr>
          <w:spacing w:val="-6"/>
        </w:rPr>
        <w:t> </w:t>
      </w:r>
      <w:r>
        <w:rPr/>
        <w:t>благополучия,</w:t>
      </w:r>
      <w:r>
        <w:rPr>
          <w:spacing w:val="-8"/>
        </w:rPr>
        <w:t> </w:t>
      </w:r>
      <w:r>
        <w:rPr/>
        <w:t>социальных навыков и культурной адаптации</w:t>
      </w:r>
    </w:p>
    <w:p>
      <w:pPr>
        <w:pStyle w:val="Heading4"/>
        <w:spacing w:line="278" w:lineRule="auto" w:before="236"/>
        <w:ind w:left="1702" w:right="855" w:firstLine="566"/>
      </w:pPr>
      <w:r>
        <w:rPr/>
        <w:t>В отечественной психологии при разработке методологических и методических</w:t>
      </w:r>
      <w:r>
        <w:rPr>
          <w:spacing w:val="69"/>
        </w:rPr>
        <w:t> </w:t>
      </w:r>
      <w:r>
        <w:rPr/>
        <w:t>подходов</w:t>
      </w:r>
      <w:r>
        <w:rPr>
          <w:spacing w:val="69"/>
        </w:rPr>
        <w:t> </w:t>
      </w:r>
      <w:r>
        <w:rPr/>
        <w:t>к</w:t>
      </w:r>
      <w:r>
        <w:rPr>
          <w:spacing w:val="69"/>
        </w:rPr>
        <w:t> </w:t>
      </w:r>
      <w:r>
        <w:rPr/>
        <w:t>диагностике</w:t>
      </w:r>
      <w:r>
        <w:rPr>
          <w:spacing w:val="70"/>
        </w:rPr>
        <w:t> </w:t>
      </w:r>
      <w:r>
        <w:rPr/>
        <w:t>детского</w:t>
      </w:r>
      <w:r>
        <w:rPr>
          <w:spacing w:val="69"/>
        </w:rPr>
        <w:t> </w:t>
      </w:r>
      <w:r>
        <w:rPr/>
        <w:t>развития</w:t>
      </w:r>
      <w:r>
        <w:rPr>
          <w:spacing w:val="70"/>
        </w:rPr>
        <w:t> </w:t>
      </w:r>
      <w:r>
        <w:rPr/>
        <w:t>были</w:t>
      </w:r>
      <w:r>
        <w:rPr>
          <w:spacing w:val="70"/>
        </w:rPr>
        <w:t> </w:t>
      </w:r>
      <w:r>
        <w:rPr>
          <w:spacing w:val="-2"/>
        </w:rPr>
        <w:t>выделены</w:t>
      </w:r>
    </w:p>
    <w:p>
      <w:pPr>
        <w:pStyle w:val="Heading4"/>
        <w:spacing w:after="0" w:line="278" w:lineRule="auto"/>
        <w:sectPr>
          <w:pgSz w:w="11910" w:h="16840"/>
          <w:pgMar w:header="0" w:footer="956" w:top="1040" w:bottom="1220" w:left="0" w:right="0"/>
        </w:sectPr>
      </w:pPr>
    </w:p>
    <w:p>
      <w:pPr>
        <w:pStyle w:val="Heading4"/>
        <w:spacing w:line="276" w:lineRule="auto" w:before="67"/>
        <w:ind w:left="1702" w:right="845"/>
      </w:pPr>
      <w:r>
        <w:rPr/>
        <w:t>принципы диагностической деятельности практического психолога </w:t>
      </w:r>
      <w:r>
        <w:rPr>
          <w:i/>
        </w:rPr>
        <w:t>(Н. Семаго,</w:t>
      </w:r>
      <w:r>
        <w:rPr>
          <w:i/>
          <w:spacing w:val="-15"/>
        </w:rPr>
        <w:t> </w:t>
      </w:r>
      <w:r>
        <w:rPr>
          <w:i/>
        </w:rPr>
        <w:t>М.</w:t>
      </w:r>
      <w:r>
        <w:rPr>
          <w:i/>
          <w:spacing w:val="-15"/>
        </w:rPr>
        <w:t> </w:t>
      </w:r>
      <w:r>
        <w:rPr>
          <w:i/>
        </w:rPr>
        <w:t>Семаго,</w:t>
      </w:r>
      <w:r>
        <w:rPr>
          <w:i/>
          <w:spacing w:val="-14"/>
        </w:rPr>
        <w:t> </w:t>
      </w:r>
      <w:r>
        <w:rPr/>
        <w:t>2006</w:t>
      </w:r>
      <w:r>
        <w:rPr>
          <w:i/>
        </w:rPr>
        <w:t>)</w:t>
      </w:r>
      <w:r>
        <w:rPr/>
        <w:t>.</w:t>
      </w:r>
      <w:r>
        <w:rPr>
          <w:spacing w:val="-15"/>
        </w:rPr>
        <w:t> </w:t>
      </w:r>
      <w:r>
        <w:rPr/>
        <w:t>Перенести</w:t>
      </w:r>
      <w:r>
        <w:rPr>
          <w:spacing w:val="-14"/>
        </w:rPr>
        <w:t> </w:t>
      </w:r>
      <w:r>
        <w:rPr/>
        <w:t>эти</w:t>
      </w:r>
      <w:r>
        <w:rPr>
          <w:spacing w:val="-15"/>
        </w:rPr>
        <w:t> </w:t>
      </w:r>
      <w:r>
        <w:rPr/>
        <w:t>принципы</w:t>
      </w:r>
      <w:r>
        <w:rPr>
          <w:spacing w:val="-14"/>
        </w:rPr>
        <w:t> </w:t>
      </w:r>
      <w:r>
        <w:rPr/>
        <w:t>на</w:t>
      </w:r>
      <w:r>
        <w:rPr>
          <w:spacing w:val="-15"/>
        </w:rPr>
        <w:t> </w:t>
      </w:r>
      <w:r>
        <w:rPr/>
        <w:t>деятельность</w:t>
      </w:r>
      <w:r>
        <w:rPr>
          <w:spacing w:val="-16"/>
        </w:rPr>
        <w:t> </w:t>
      </w:r>
      <w:r>
        <w:rPr/>
        <w:t>по</w:t>
      </w:r>
      <w:r>
        <w:rPr>
          <w:spacing w:val="-14"/>
        </w:rPr>
        <w:t> </w:t>
      </w:r>
      <w:r>
        <w:rPr/>
        <w:t>оценке образовательных потребностей детей-мигрантов в полной мере не представляется возможным, поскольку в фокусе внимания</w:t>
      </w:r>
      <w:r>
        <w:rPr>
          <w:spacing w:val="-1"/>
        </w:rPr>
        <w:t> </w:t>
      </w:r>
      <w:r>
        <w:rPr/>
        <w:t>авторов</w:t>
      </w:r>
      <w:r>
        <w:rPr>
          <w:spacing w:val="-2"/>
        </w:rPr>
        <w:t> </w:t>
      </w:r>
      <w:r>
        <w:rPr/>
        <w:t>находится нарушенное развитие. Вместе с тем целесообразно, опираясь на данные материалы, сформулировать принципы, которые лежат в основе проектирования и реализации диагностической деятельности по оценке образовательных потребностей детей-мигрантов.</w:t>
      </w:r>
    </w:p>
    <w:p>
      <w:pPr>
        <w:spacing w:line="276" w:lineRule="auto" w:before="2"/>
        <w:ind w:left="1702" w:right="846" w:firstLine="566"/>
        <w:jc w:val="both"/>
        <w:rPr>
          <w:sz w:val="28"/>
        </w:rPr>
      </w:pPr>
      <w:r>
        <w:rPr>
          <w:i/>
          <w:sz w:val="28"/>
        </w:rPr>
        <w:t>Принцип единства методологии и диагностики (Н. и М. Семаго). </w:t>
      </w:r>
      <w:r>
        <w:rPr>
          <w:sz w:val="28"/>
        </w:rPr>
        <w:t>Отбор диагностического инструментария не только отражает концептуальные основы психологии развития, но и опирается на сложившееся в современной психологической науке понимание процессов психологической и социокультурной адаптации мигрантов.</w:t>
      </w:r>
    </w:p>
    <w:p>
      <w:pPr>
        <w:pStyle w:val="Heading4"/>
        <w:spacing w:line="276" w:lineRule="auto"/>
        <w:ind w:left="1702" w:right="847" w:firstLine="566"/>
      </w:pPr>
      <w:r>
        <w:rPr>
          <w:i/>
        </w:rPr>
        <w:t>Принцип</w:t>
      </w:r>
      <w:r>
        <w:rPr>
          <w:i/>
          <w:spacing w:val="-9"/>
        </w:rPr>
        <w:t> </w:t>
      </w:r>
      <w:r>
        <w:rPr>
          <w:i/>
        </w:rPr>
        <w:t>доказательности</w:t>
      </w:r>
      <w:r>
        <w:rPr>
          <w:i/>
          <w:spacing w:val="-9"/>
        </w:rPr>
        <w:t> </w:t>
      </w:r>
      <w:r>
        <w:rPr>
          <w:i/>
        </w:rPr>
        <w:t>(Бусыгина,</w:t>
      </w:r>
      <w:r>
        <w:rPr>
          <w:i/>
          <w:spacing w:val="-8"/>
        </w:rPr>
        <w:t> </w:t>
      </w:r>
      <w:r>
        <w:rPr>
          <w:i/>
        </w:rPr>
        <w:t>Подушкина</w:t>
      </w:r>
      <w:r>
        <w:rPr/>
        <w:t>,</w:t>
      </w:r>
      <w:r>
        <w:rPr>
          <w:spacing w:val="-11"/>
        </w:rPr>
        <w:t> </w:t>
      </w:r>
      <w:r>
        <w:rPr/>
        <w:t>2020</w:t>
      </w:r>
      <w:r>
        <w:rPr>
          <w:i/>
        </w:rPr>
        <w:t>).</w:t>
      </w:r>
      <w:r>
        <w:rPr>
          <w:i/>
          <w:spacing w:val="-11"/>
        </w:rPr>
        <w:t> </w:t>
      </w:r>
      <w:r>
        <w:rPr/>
        <w:t>Доказательный подход рассматривает прикладные исследования как необходимое условие обоснования эффективности психологических инструментов. В соответствии с этим принципом для оценки образовательных потребностей используются диагностические</w:t>
      </w:r>
      <w:r>
        <w:rPr>
          <w:spacing w:val="-10"/>
        </w:rPr>
        <w:t> </w:t>
      </w:r>
      <w:r>
        <w:rPr/>
        <w:t>инструменты</w:t>
      </w:r>
      <w:r>
        <w:rPr>
          <w:spacing w:val="-9"/>
        </w:rPr>
        <w:t> </w:t>
      </w:r>
      <w:r>
        <w:rPr/>
        <w:t>с</w:t>
      </w:r>
      <w:r>
        <w:rPr>
          <w:spacing w:val="-7"/>
        </w:rPr>
        <w:t> </w:t>
      </w:r>
      <w:r>
        <w:rPr/>
        <w:t>высокой</w:t>
      </w:r>
      <w:r>
        <w:rPr>
          <w:spacing w:val="-7"/>
        </w:rPr>
        <w:t> </w:t>
      </w:r>
      <w:r>
        <w:rPr/>
        <w:t>степенью</w:t>
      </w:r>
      <w:r>
        <w:rPr>
          <w:spacing w:val="-8"/>
        </w:rPr>
        <w:t> </w:t>
      </w:r>
      <w:r>
        <w:rPr/>
        <w:t>надежности</w:t>
      </w:r>
      <w:r>
        <w:rPr>
          <w:spacing w:val="-9"/>
        </w:rPr>
        <w:t> </w:t>
      </w:r>
      <w:r>
        <w:rPr/>
        <w:t>и</w:t>
      </w:r>
      <w:r>
        <w:rPr>
          <w:spacing w:val="-7"/>
        </w:rPr>
        <w:t> </w:t>
      </w:r>
      <w:r>
        <w:rPr/>
        <w:t>валидности, что подтверждается исследовательскими данными. Эффективность инструментария для работы с детьми-мигрантами также должна быть эмпирически доказана. Иноязычные методики следует адаптировать для работы на русскоязычной выборке того же возраста.</w:t>
      </w:r>
    </w:p>
    <w:p>
      <w:pPr>
        <w:pStyle w:val="Heading4"/>
        <w:spacing w:line="276" w:lineRule="auto" w:before="2"/>
        <w:ind w:left="1702" w:right="845" w:firstLine="566"/>
      </w:pPr>
      <w:r>
        <w:rPr>
          <w:i/>
        </w:rPr>
        <w:t>Принцип динамического подхода </w:t>
      </w:r>
      <w:r>
        <w:rPr/>
        <w:t>(</w:t>
      </w:r>
      <w:r>
        <w:rPr>
          <w:i/>
        </w:rPr>
        <w:t>Забрамная, Левченко</w:t>
      </w:r>
      <w:r>
        <w:rPr/>
        <w:t>, 2013) предполагает необходимость диагностики ребенка-мигранта с учетом общих возрастных закономерностей развития, событий его персональной истории и его текущего состояния. Важно вести диагностику и анализировать результаты в контексте динамики развития ребенка.</w:t>
      </w:r>
    </w:p>
    <w:p>
      <w:pPr>
        <w:spacing w:line="276" w:lineRule="auto" w:before="0"/>
        <w:ind w:left="1702" w:right="846" w:firstLine="566"/>
        <w:jc w:val="both"/>
        <w:rPr>
          <w:sz w:val="28"/>
        </w:rPr>
      </w:pPr>
      <w:r>
        <w:rPr>
          <w:i/>
          <w:sz w:val="28"/>
        </w:rPr>
        <w:t>Принцип выявления и учета потенциальных возможностей ребенка </w:t>
      </w:r>
      <w:r>
        <w:rPr>
          <w:sz w:val="28"/>
        </w:rPr>
        <w:t>(</w:t>
      </w:r>
      <w:r>
        <w:rPr>
          <w:i/>
          <w:sz w:val="28"/>
        </w:rPr>
        <w:t>Забрамная, Левченко</w:t>
      </w:r>
      <w:r>
        <w:rPr>
          <w:sz w:val="28"/>
        </w:rPr>
        <w:t>, 2013)</w:t>
      </w:r>
      <w:r>
        <w:rPr>
          <w:i/>
          <w:sz w:val="28"/>
        </w:rPr>
        <w:t>. </w:t>
      </w:r>
      <w:r>
        <w:rPr>
          <w:sz w:val="28"/>
        </w:rPr>
        <w:t>Дети-мигранты «приносят с собой большое разнообразие</w:t>
      </w:r>
      <w:r>
        <w:rPr>
          <w:spacing w:val="-9"/>
          <w:sz w:val="28"/>
        </w:rPr>
        <w:t> </w:t>
      </w:r>
      <w:r>
        <w:rPr>
          <w:sz w:val="28"/>
        </w:rPr>
        <w:t>сильных</w:t>
      </w:r>
      <w:r>
        <w:rPr>
          <w:spacing w:val="-8"/>
          <w:sz w:val="28"/>
        </w:rPr>
        <w:t> </w:t>
      </w:r>
      <w:r>
        <w:rPr>
          <w:sz w:val="28"/>
        </w:rPr>
        <w:t>сторон,</w:t>
      </w:r>
      <w:r>
        <w:rPr>
          <w:spacing w:val="-9"/>
          <w:sz w:val="28"/>
        </w:rPr>
        <w:t> </w:t>
      </w:r>
      <w:r>
        <w:rPr>
          <w:sz w:val="28"/>
        </w:rPr>
        <w:t>навыков</w:t>
      </w:r>
      <w:r>
        <w:rPr>
          <w:spacing w:val="-12"/>
          <w:sz w:val="28"/>
        </w:rPr>
        <w:t> </w:t>
      </w:r>
      <w:r>
        <w:rPr>
          <w:sz w:val="28"/>
        </w:rPr>
        <w:t>и</w:t>
      </w:r>
      <w:r>
        <w:rPr>
          <w:spacing w:val="-8"/>
          <w:sz w:val="28"/>
        </w:rPr>
        <w:t> </w:t>
      </w:r>
      <w:r>
        <w:rPr>
          <w:sz w:val="28"/>
        </w:rPr>
        <w:t>ресурсов,</w:t>
      </w:r>
      <w:r>
        <w:rPr>
          <w:spacing w:val="-10"/>
          <w:sz w:val="28"/>
        </w:rPr>
        <w:t> </w:t>
      </w:r>
      <w:r>
        <w:rPr>
          <w:sz w:val="28"/>
        </w:rPr>
        <w:t>выделение</w:t>
      </w:r>
      <w:r>
        <w:rPr>
          <w:spacing w:val="-9"/>
          <w:sz w:val="28"/>
        </w:rPr>
        <w:t> </w:t>
      </w:r>
      <w:r>
        <w:rPr>
          <w:sz w:val="28"/>
        </w:rPr>
        <w:t>которых</w:t>
      </w:r>
      <w:r>
        <w:rPr>
          <w:spacing w:val="-8"/>
          <w:sz w:val="28"/>
        </w:rPr>
        <w:t> </w:t>
      </w:r>
      <w:r>
        <w:rPr>
          <w:sz w:val="28"/>
        </w:rPr>
        <w:t>может сформировать основу для дальнейших интервенций как в образовательной среде, так и в семье» (</w:t>
      </w:r>
      <w:r>
        <w:rPr>
          <w:i/>
          <w:sz w:val="28"/>
        </w:rPr>
        <w:t>Tribe, Patel, Yule, </w:t>
      </w:r>
      <w:r>
        <w:rPr>
          <w:sz w:val="28"/>
        </w:rPr>
        <w:t>2018).</w:t>
      </w:r>
    </w:p>
    <w:p>
      <w:pPr>
        <w:spacing w:line="276" w:lineRule="auto" w:before="0"/>
        <w:ind w:left="1702" w:right="846" w:firstLine="566"/>
        <w:jc w:val="both"/>
        <w:rPr>
          <w:sz w:val="28"/>
        </w:rPr>
      </w:pPr>
      <w:r>
        <w:rPr>
          <w:i/>
          <w:sz w:val="28"/>
        </w:rPr>
        <w:t>Принцип приоритетности образовательных задач (Н. и М. Семаго). </w:t>
      </w:r>
      <w:r>
        <w:rPr>
          <w:sz w:val="28"/>
        </w:rPr>
        <w:t>Анализ ключевых параметров развития и психоэмоционального состояния ребенка осуществляется в контексте его учебной деятельности в рамках образовательной организации. Значимой является оценка </w:t>
      </w:r>
      <w:r>
        <w:rPr>
          <w:i/>
          <w:sz w:val="28"/>
        </w:rPr>
        <w:t>возможности </w:t>
      </w:r>
      <w:r>
        <w:rPr>
          <w:sz w:val="28"/>
        </w:rPr>
        <w:t>ребенка овладеть соответствующими образовательными программами и дальнейшая оптимизация образовательных воздействий, связанных с этой возможностью (</w:t>
      </w:r>
      <w:r>
        <w:rPr>
          <w:i/>
          <w:sz w:val="28"/>
        </w:rPr>
        <w:t>Н. Семаго, М. Семаго, </w:t>
      </w:r>
      <w:r>
        <w:rPr>
          <w:sz w:val="28"/>
        </w:rPr>
        <w:t>2006, с. 24).</w:t>
      </w:r>
    </w:p>
    <w:p>
      <w:pPr>
        <w:spacing w:after="0" w:line="276" w:lineRule="auto"/>
        <w:jc w:val="both"/>
        <w:rPr>
          <w:sz w:val="28"/>
        </w:rPr>
        <w:sectPr>
          <w:pgSz w:w="11910" w:h="16840"/>
          <w:pgMar w:header="0" w:footer="956" w:top="1040" w:bottom="1220" w:left="0" w:right="0"/>
        </w:sectPr>
      </w:pPr>
    </w:p>
    <w:p>
      <w:pPr>
        <w:pStyle w:val="Heading4"/>
        <w:spacing w:line="276" w:lineRule="auto" w:before="67"/>
        <w:ind w:left="1702" w:right="845" w:firstLine="566"/>
      </w:pPr>
      <w:r>
        <w:rPr/>
        <w:t>Для оценивания психологических характеристик детей-мигрантов используются различные диагностические инструменты — как построенные на самоотчете детей, так и предполагающие ответы взрослых (</w:t>
      </w:r>
      <w:r>
        <w:rPr>
          <w:i/>
        </w:rPr>
        <w:t>Birman, Chan, </w:t>
      </w:r>
      <w:r>
        <w:rPr/>
        <w:t>2008). Отмечается необходимость дополнить стандартизованные диагностические инструменты наблюдением за ребенком (</w:t>
      </w:r>
      <w:r>
        <w:rPr>
          <w:i/>
        </w:rPr>
        <w:t>Tribe, Patel, Yule, </w:t>
      </w:r>
      <w:r>
        <w:rPr/>
        <w:t>2018). </w:t>
      </w:r>
      <w:r>
        <w:rPr>
          <w:i/>
        </w:rPr>
        <w:t>Birman </w:t>
      </w:r>
      <w:r>
        <w:rPr/>
        <w:t>и </w:t>
      </w:r>
      <w:r>
        <w:rPr>
          <w:i/>
        </w:rPr>
        <w:t>Chan </w:t>
      </w:r>
      <w:r>
        <w:rPr/>
        <w:t>на основе идей </w:t>
      </w:r>
      <w:r>
        <w:rPr>
          <w:i/>
        </w:rPr>
        <w:t>Levitt </w:t>
      </w:r>
      <w:r>
        <w:rPr/>
        <w:t>(</w:t>
      </w:r>
      <w:r>
        <w:rPr>
          <w:i/>
        </w:rPr>
        <w:t>Levitt </w:t>
      </w:r>
      <w:r>
        <w:rPr/>
        <w:t>et al., 2007) выделяют три основных</w:t>
      </w:r>
      <w:r>
        <w:rPr>
          <w:spacing w:val="-18"/>
        </w:rPr>
        <w:t> </w:t>
      </w:r>
      <w:r>
        <w:rPr/>
        <w:t>вида</w:t>
      </w:r>
      <w:r>
        <w:rPr>
          <w:spacing w:val="-17"/>
        </w:rPr>
        <w:t> </w:t>
      </w:r>
      <w:r>
        <w:rPr/>
        <w:t>диагностических</w:t>
      </w:r>
      <w:r>
        <w:rPr>
          <w:spacing w:val="-18"/>
        </w:rPr>
        <w:t> </w:t>
      </w:r>
      <w:r>
        <w:rPr/>
        <w:t>инструментов,</w:t>
      </w:r>
      <w:r>
        <w:rPr>
          <w:spacing w:val="-17"/>
        </w:rPr>
        <w:t> </w:t>
      </w:r>
      <w:r>
        <w:rPr/>
        <w:t>которые</w:t>
      </w:r>
      <w:r>
        <w:rPr>
          <w:spacing w:val="-18"/>
        </w:rPr>
        <w:t> </w:t>
      </w:r>
      <w:r>
        <w:rPr/>
        <w:t>могут</w:t>
      </w:r>
      <w:r>
        <w:rPr>
          <w:spacing w:val="-17"/>
        </w:rPr>
        <w:t> </w:t>
      </w:r>
      <w:r>
        <w:rPr/>
        <w:t>использоваться в оценке психического состояния детей-мигрантов. Инструменты широкого применения подходят для решения задач мониторинга и скрининга и не позволяют</w:t>
      </w:r>
      <w:r>
        <w:rPr>
          <w:spacing w:val="-16"/>
        </w:rPr>
        <w:t> </w:t>
      </w:r>
      <w:r>
        <w:rPr/>
        <w:t>выделить</w:t>
      </w:r>
      <w:r>
        <w:rPr>
          <w:spacing w:val="-16"/>
        </w:rPr>
        <w:t> </w:t>
      </w:r>
      <w:r>
        <w:rPr/>
        <w:t>специфические</w:t>
      </w:r>
      <w:r>
        <w:rPr>
          <w:spacing w:val="-15"/>
        </w:rPr>
        <w:t> </w:t>
      </w:r>
      <w:r>
        <w:rPr/>
        <w:t>проблемы.</w:t>
      </w:r>
      <w:r>
        <w:rPr>
          <w:spacing w:val="-16"/>
        </w:rPr>
        <w:t> </w:t>
      </w:r>
      <w:r>
        <w:rPr/>
        <w:t>Избирательные</w:t>
      </w:r>
      <w:r>
        <w:rPr>
          <w:spacing w:val="-15"/>
        </w:rPr>
        <w:t> </w:t>
      </w:r>
      <w:r>
        <w:rPr/>
        <w:t>(селективные) инструменты дают возможность оценить степень выраженности признаков эмоциональных и поведенческих нарушений. Адресные инструменты позволяют выявить конкретные расстройства (например, депрессивные).</w:t>
      </w:r>
    </w:p>
    <w:p>
      <w:pPr>
        <w:pStyle w:val="Heading3"/>
        <w:tabs>
          <w:tab w:pos="2933" w:val="left" w:leader="none"/>
          <w:tab w:pos="4120" w:val="left" w:leader="none"/>
          <w:tab w:pos="6749" w:val="left" w:leader="none"/>
          <w:tab w:pos="9151" w:val="left" w:leader="none"/>
        </w:tabs>
        <w:spacing w:line="276" w:lineRule="auto" w:before="249"/>
        <w:ind w:left="1702" w:right="845"/>
        <w:jc w:val="left"/>
      </w:pPr>
      <w:r>
        <w:rPr>
          <w:spacing w:val="-2"/>
        </w:rPr>
        <w:t>Оценка</w:t>
      </w:r>
      <w:r>
        <w:rPr/>
        <w:tab/>
      </w:r>
      <w:r>
        <w:rPr>
          <w:spacing w:val="-2"/>
        </w:rPr>
        <w:t>особых</w:t>
      </w:r>
      <w:r>
        <w:rPr/>
        <w:tab/>
      </w:r>
      <w:r>
        <w:rPr>
          <w:spacing w:val="-2"/>
        </w:rPr>
        <w:t>(дополнительных)</w:t>
      </w:r>
      <w:r>
        <w:rPr/>
        <w:tab/>
      </w:r>
      <w:r>
        <w:rPr>
          <w:spacing w:val="-2"/>
        </w:rPr>
        <w:t>психологических</w:t>
      </w:r>
      <w:r>
        <w:rPr/>
        <w:tab/>
      </w:r>
      <w:r>
        <w:rPr>
          <w:spacing w:val="-2"/>
        </w:rPr>
        <w:t>потребностей, </w:t>
      </w:r>
      <w:r>
        <w:rPr/>
        <w:t>связанных с психологическим благополучием</w:t>
      </w:r>
    </w:p>
    <w:p>
      <w:pPr>
        <w:pStyle w:val="Heading4"/>
        <w:spacing w:line="276" w:lineRule="auto" w:before="193"/>
        <w:ind w:left="1702" w:right="849" w:firstLine="566"/>
      </w:pPr>
      <w:r>
        <w:rPr/>
        <w:t>Психологическое благополучие ребенка-мигранта целесообразно рассматривать с двух сторон: с точки зрения его позитивного состояния и с точки зрения наличия состояний, характеризующих психологический </w:t>
      </w:r>
      <w:r>
        <w:rPr>
          <w:spacing w:val="-2"/>
        </w:rPr>
        <w:t>дискомфорт.</w:t>
      </w:r>
    </w:p>
    <w:p>
      <w:pPr>
        <w:pStyle w:val="Heading4"/>
        <w:spacing w:line="276" w:lineRule="auto"/>
        <w:ind w:left="1702" w:right="854" w:firstLine="566"/>
      </w:pPr>
      <w:r>
        <w:rPr/>
        <w:t>Для описания позитивного состояния ребенка как самостоятельного феномена, а не просто как отсутствия трудностей в психологической науке используются два основных термина: психологическое и субъективное </w:t>
      </w:r>
      <w:r>
        <w:rPr>
          <w:spacing w:val="-2"/>
        </w:rPr>
        <w:t>благополучие.</w:t>
      </w:r>
    </w:p>
    <w:p>
      <w:pPr>
        <w:pStyle w:val="Heading4"/>
        <w:spacing w:line="276" w:lineRule="auto"/>
        <w:ind w:left="1702" w:right="845" w:firstLine="566"/>
      </w:pPr>
      <w:r>
        <w:rPr/>
        <w:t>Психологическое благополучие рассматривается как комбинация позитивного эмоционального состояния (гедонистический подход) и функционирования с оптимальной эффективностью в индивидуальной деятельности и социальном взаимодействии (эвдемонический подход) (</w:t>
      </w:r>
      <w:r>
        <w:rPr>
          <w:i/>
        </w:rPr>
        <w:t>Deci, Ryan, </w:t>
      </w:r>
      <w:r>
        <w:rPr/>
        <w:t>2008).</w:t>
      </w:r>
    </w:p>
    <w:p>
      <w:pPr>
        <w:pStyle w:val="Heading4"/>
        <w:spacing w:line="276" w:lineRule="auto" w:before="2"/>
        <w:ind w:left="1702" w:right="846" w:firstLine="566"/>
      </w:pPr>
      <w:r>
        <w:rPr/>
        <w:t>Наиболее распространенной моделью психологического благополучия является</w:t>
      </w:r>
      <w:r>
        <w:rPr>
          <w:spacing w:val="-19"/>
        </w:rPr>
        <w:t> </w:t>
      </w:r>
      <w:r>
        <w:rPr/>
        <w:t>предложенная</w:t>
      </w:r>
      <w:r>
        <w:rPr>
          <w:spacing w:val="-15"/>
        </w:rPr>
        <w:t> </w:t>
      </w:r>
      <w:r>
        <w:rPr/>
        <w:t>К.</w:t>
      </w:r>
      <w:r>
        <w:rPr>
          <w:spacing w:val="-5"/>
        </w:rPr>
        <w:t> </w:t>
      </w:r>
      <w:r>
        <w:rPr/>
        <w:t>Рифф</w:t>
      </w:r>
      <w:r>
        <w:rPr>
          <w:spacing w:val="-16"/>
        </w:rPr>
        <w:t> </w:t>
      </w:r>
      <w:r>
        <w:rPr/>
        <w:t>концепция,</w:t>
      </w:r>
      <w:r>
        <w:rPr>
          <w:spacing w:val="-16"/>
        </w:rPr>
        <w:t> </w:t>
      </w:r>
      <w:r>
        <w:rPr/>
        <w:t>включающая</w:t>
      </w:r>
      <w:r>
        <w:rPr>
          <w:spacing w:val="-15"/>
        </w:rPr>
        <w:t> </w:t>
      </w:r>
      <w:r>
        <w:rPr/>
        <w:t>шесть</w:t>
      </w:r>
      <w:r>
        <w:rPr>
          <w:spacing w:val="-15"/>
        </w:rPr>
        <w:t> </w:t>
      </w:r>
      <w:r>
        <w:rPr>
          <w:spacing w:val="-2"/>
        </w:rPr>
        <w:t>компонентов:</w:t>
      </w:r>
    </w:p>
    <w:p>
      <w:pPr>
        <w:pStyle w:val="Heading4"/>
        <w:numPr>
          <w:ilvl w:val="0"/>
          <w:numId w:val="3"/>
        </w:numPr>
        <w:tabs>
          <w:tab w:pos="2571" w:val="left" w:leader="none"/>
        </w:tabs>
        <w:spacing w:line="321" w:lineRule="exact" w:before="0" w:after="0"/>
        <w:ind w:left="2571" w:right="0" w:hanging="303"/>
        <w:jc w:val="both"/>
      </w:pPr>
      <w:r>
        <w:rPr/>
        <w:t>позитивное</w:t>
      </w:r>
      <w:r>
        <w:rPr>
          <w:spacing w:val="-8"/>
        </w:rPr>
        <w:t> </w:t>
      </w:r>
      <w:r>
        <w:rPr/>
        <w:t>отношение</w:t>
      </w:r>
      <w:r>
        <w:rPr>
          <w:spacing w:val="-6"/>
        </w:rPr>
        <w:t> </w:t>
      </w:r>
      <w:r>
        <w:rPr/>
        <w:t>к</w:t>
      </w:r>
      <w:r>
        <w:rPr>
          <w:spacing w:val="-5"/>
        </w:rPr>
        <w:t> </w:t>
      </w:r>
      <w:r>
        <w:rPr/>
        <w:t>себе</w:t>
      </w:r>
      <w:r>
        <w:rPr>
          <w:spacing w:val="-6"/>
        </w:rPr>
        <w:t> </w:t>
      </w:r>
      <w:r>
        <w:rPr/>
        <w:t>и</w:t>
      </w:r>
      <w:r>
        <w:rPr>
          <w:spacing w:val="-8"/>
        </w:rPr>
        <w:t> </w:t>
      </w:r>
      <w:r>
        <w:rPr/>
        <w:t>своей</w:t>
      </w:r>
      <w:r>
        <w:rPr>
          <w:spacing w:val="-5"/>
        </w:rPr>
        <w:t> </w:t>
      </w:r>
      <w:r>
        <w:rPr/>
        <w:t>прошлой</w:t>
      </w:r>
      <w:r>
        <w:rPr>
          <w:spacing w:val="-6"/>
        </w:rPr>
        <w:t> </w:t>
      </w:r>
      <w:r>
        <w:rPr/>
        <w:t>жизни</w:t>
      </w:r>
      <w:r>
        <w:rPr>
          <w:spacing w:val="-5"/>
        </w:rPr>
        <w:t> </w:t>
      </w:r>
      <w:r>
        <w:rPr>
          <w:spacing w:val="-2"/>
        </w:rPr>
        <w:t>(самопринятие);</w:t>
      </w:r>
    </w:p>
    <w:p>
      <w:pPr>
        <w:pStyle w:val="Heading4"/>
        <w:numPr>
          <w:ilvl w:val="0"/>
          <w:numId w:val="3"/>
        </w:numPr>
        <w:tabs>
          <w:tab w:pos="2571" w:val="left" w:leader="none"/>
        </w:tabs>
        <w:spacing w:line="240" w:lineRule="auto" w:before="48" w:after="0"/>
        <w:ind w:left="2571" w:right="0" w:hanging="303"/>
        <w:jc w:val="both"/>
      </w:pPr>
      <w:r>
        <w:rPr/>
        <w:t>наличие</w:t>
      </w:r>
      <w:r>
        <w:rPr>
          <w:spacing w:val="-7"/>
        </w:rPr>
        <w:t> </w:t>
      </w:r>
      <w:r>
        <w:rPr/>
        <w:t>целей</w:t>
      </w:r>
      <w:r>
        <w:rPr>
          <w:spacing w:val="-4"/>
        </w:rPr>
        <w:t> </w:t>
      </w:r>
      <w:r>
        <w:rPr/>
        <w:t>и</w:t>
      </w:r>
      <w:r>
        <w:rPr>
          <w:spacing w:val="-4"/>
        </w:rPr>
        <w:t> </w:t>
      </w:r>
      <w:r>
        <w:rPr/>
        <w:t>занятий,</w:t>
      </w:r>
      <w:r>
        <w:rPr>
          <w:spacing w:val="-6"/>
        </w:rPr>
        <w:t> </w:t>
      </w:r>
      <w:r>
        <w:rPr/>
        <w:t>придающих</w:t>
      </w:r>
      <w:r>
        <w:rPr>
          <w:spacing w:val="-7"/>
        </w:rPr>
        <w:t> </w:t>
      </w:r>
      <w:r>
        <w:rPr/>
        <w:t>жизни</w:t>
      </w:r>
      <w:r>
        <w:rPr>
          <w:spacing w:val="-4"/>
        </w:rPr>
        <w:t> </w:t>
      </w:r>
      <w:r>
        <w:rPr/>
        <w:t>смысл</w:t>
      </w:r>
      <w:r>
        <w:rPr>
          <w:spacing w:val="-6"/>
        </w:rPr>
        <w:t> </w:t>
      </w:r>
      <w:r>
        <w:rPr/>
        <w:t>(цели</w:t>
      </w:r>
      <w:r>
        <w:rPr>
          <w:spacing w:val="-7"/>
        </w:rPr>
        <w:t> </w:t>
      </w:r>
      <w:r>
        <w:rPr/>
        <w:t>в</w:t>
      </w:r>
      <w:r>
        <w:rPr>
          <w:spacing w:val="-5"/>
        </w:rPr>
        <w:t> </w:t>
      </w:r>
      <w:r>
        <w:rPr>
          <w:spacing w:val="-2"/>
        </w:rPr>
        <w:t>жизни);</w:t>
      </w:r>
    </w:p>
    <w:p>
      <w:pPr>
        <w:pStyle w:val="Heading4"/>
        <w:numPr>
          <w:ilvl w:val="0"/>
          <w:numId w:val="3"/>
        </w:numPr>
        <w:tabs>
          <w:tab w:pos="2571" w:val="left" w:leader="none"/>
        </w:tabs>
        <w:spacing w:line="276" w:lineRule="auto" w:before="50" w:after="0"/>
        <w:ind w:left="1702" w:right="2525" w:firstLine="566"/>
        <w:jc w:val="left"/>
      </w:pPr>
      <w:r>
        <w:rPr/>
        <w:t>способность</w:t>
      </w:r>
      <w:r>
        <w:rPr>
          <w:spacing w:val="-10"/>
        </w:rPr>
        <w:t> </w:t>
      </w:r>
      <w:r>
        <w:rPr/>
        <w:t>выполнять</w:t>
      </w:r>
      <w:r>
        <w:rPr>
          <w:spacing w:val="-11"/>
        </w:rPr>
        <w:t> </w:t>
      </w:r>
      <w:r>
        <w:rPr/>
        <w:t>требования</w:t>
      </w:r>
      <w:r>
        <w:rPr>
          <w:spacing w:val="-9"/>
        </w:rPr>
        <w:t> </w:t>
      </w:r>
      <w:r>
        <w:rPr/>
        <w:t>повседневной</w:t>
      </w:r>
      <w:r>
        <w:rPr>
          <w:spacing w:val="-9"/>
        </w:rPr>
        <w:t> </w:t>
      </w:r>
      <w:r>
        <w:rPr/>
        <w:t>жизни </w:t>
      </w:r>
      <w:r>
        <w:rPr>
          <w:spacing w:val="-2"/>
        </w:rPr>
        <w:t>(компетентность);</w:t>
      </w:r>
    </w:p>
    <w:p>
      <w:pPr>
        <w:pStyle w:val="Heading4"/>
        <w:numPr>
          <w:ilvl w:val="0"/>
          <w:numId w:val="3"/>
        </w:numPr>
        <w:tabs>
          <w:tab w:pos="2575" w:val="left" w:leader="none"/>
        </w:tabs>
        <w:spacing w:line="278" w:lineRule="auto" w:before="0" w:after="0"/>
        <w:ind w:left="1702" w:right="855" w:firstLine="566"/>
        <w:jc w:val="left"/>
      </w:pPr>
      <w:r>
        <w:rPr/>
        <w:t>чувство</w:t>
      </w:r>
      <w:r>
        <w:rPr>
          <w:spacing w:val="-3"/>
        </w:rPr>
        <w:t> </w:t>
      </w:r>
      <w:r>
        <w:rPr/>
        <w:t>непрекращающегося</w:t>
      </w:r>
      <w:r>
        <w:rPr>
          <w:spacing w:val="-3"/>
        </w:rPr>
        <w:t> </w:t>
      </w:r>
      <w:r>
        <w:rPr/>
        <w:t>развития</w:t>
      </w:r>
      <w:r>
        <w:rPr>
          <w:spacing w:val="-3"/>
        </w:rPr>
        <w:t> </w:t>
      </w:r>
      <w:r>
        <w:rPr/>
        <w:t>и</w:t>
      </w:r>
      <w:r>
        <w:rPr>
          <w:spacing w:val="-3"/>
        </w:rPr>
        <w:t> </w:t>
      </w:r>
      <w:r>
        <w:rPr/>
        <w:t>самореализации</w:t>
      </w:r>
      <w:r>
        <w:rPr>
          <w:spacing w:val="-3"/>
        </w:rPr>
        <w:t> </w:t>
      </w:r>
      <w:r>
        <w:rPr/>
        <w:t>(личностный </w:t>
      </w:r>
      <w:r>
        <w:rPr>
          <w:spacing w:val="-2"/>
        </w:rPr>
        <w:t>рост);</w:t>
      </w:r>
    </w:p>
    <w:p>
      <w:pPr>
        <w:pStyle w:val="Heading4"/>
        <w:numPr>
          <w:ilvl w:val="0"/>
          <w:numId w:val="3"/>
        </w:numPr>
        <w:tabs>
          <w:tab w:pos="2589" w:val="left" w:leader="none"/>
        </w:tabs>
        <w:spacing w:line="276" w:lineRule="auto" w:before="0" w:after="0"/>
        <w:ind w:left="1702" w:right="856" w:firstLine="566"/>
        <w:jc w:val="left"/>
      </w:pPr>
      <w:r>
        <w:rPr/>
        <w:t>отношения с другими, пронизанные заботой и доверием (позитивные отношения с другими);</w:t>
      </w:r>
    </w:p>
    <w:p>
      <w:pPr>
        <w:pStyle w:val="Heading4"/>
        <w:spacing w:after="0" w:line="276" w:lineRule="auto"/>
        <w:jc w:val="left"/>
        <w:sectPr>
          <w:pgSz w:w="11910" w:h="16840"/>
          <w:pgMar w:header="0" w:footer="956" w:top="1040" w:bottom="1160" w:left="0" w:right="0"/>
        </w:sectPr>
      </w:pPr>
    </w:p>
    <w:p>
      <w:pPr>
        <w:pStyle w:val="Heading4"/>
        <w:numPr>
          <w:ilvl w:val="0"/>
          <w:numId w:val="3"/>
        </w:numPr>
        <w:tabs>
          <w:tab w:pos="2702" w:val="left" w:leader="none"/>
        </w:tabs>
        <w:spacing w:line="278" w:lineRule="auto" w:before="67" w:after="0"/>
        <w:ind w:left="1702" w:right="850" w:firstLine="566"/>
        <w:jc w:val="both"/>
      </w:pPr>
      <w:r>
        <w:rPr/>
        <w:t>способность следовать собственным убеждениям (автономность) (</w:t>
      </w:r>
      <w:r>
        <w:rPr>
          <w:i/>
        </w:rPr>
        <w:t>Ахрямкина, Чаус, </w:t>
      </w:r>
      <w:r>
        <w:rPr/>
        <w:t>2012, с. 13).</w:t>
      </w:r>
    </w:p>
    <w:p>
      <w:pPr>
        <w:spacing w:line="276" w:lineRule="auto" w:before="0"/>
        <w:ind w:left="1702" w:right="846" w:firstLine="566"/>
        <w:jc w:val="both"/>
        <w:rPr>
          <w:i/>
          <w:sz w:val="28"/>
        </w:rPr>
      </w:pPr>
      <w:r>
        <w:rPr>
          <w:color w:val="000000"/>
          <w:sz w:val="28"/>
          <w:shd w:fill="FBFBFB" w:color="auto" w:val="clear"/>
        </w:rPr>
        <w:t>Субъективное благополучие означает когнитивную и аффективную</w:t>
      </w:r>
      <w:r>
        <w:rPr>
          <w:color w:val="000000"/>
          <w:sz w:val="28"/>
        </w:rPr>
        <w:t> </w:t>
      </w:r>
      <w:r>
        <w:rPr>
          <w:color w:val="000000"/>
          <w:sz w:val="28"/>
          <w:shd w:fill="FBFBFB" w:color="auto" w:val="clear"/>
        </w:rPr>
        <w:t>оценку человеком его жизни </w:t>
      </w:r>
      <w:r>
        <w:rPr>
          <w:color w:val="000000"/>
          <w:sz w:val="28"/>
        </w:rPr>
        <w:t>(</w:t>
      </w:r>
      <w:r>
        <w:rPr>
          <w:i/>
          <w:color w:val="000000"/>
          <w:sz w:val="28"/>
        </w:rPr>
        <w:t>Diener, Lucas, Oshi, </w:t>
      </w:r>
      <w:r>
        <w:rPr>
          <w:color w:val="000000"/>
          <w:sz w:val="28"/>
        </w:rPr>
        <w:t>2002, p. 63)</w:t>
      </w:r>
      <w:r>
        <w:rPr>
          <w:i/>
          <w:color w:val="000000"/>
          <w:sz w:val="28"/>
        </w:rPr>
        <w:t>. В качестве основных</w:t>
      </w:r>
      <w:r>
        <w:rPr>
          <w:i/>
          <w:color w:val="000000"/>
          <w:spacing w:val="-18"/>
          <w:sz w:val="28"/>
        </w:rPr>
        <w:t> </w:t>
      </w:r>
      <w:r>
        <w:rPr>
          <w:i/>
          <w:color w:val="000000"/>
          <w:sz w:val="28"/>
        </w:rPr>
        <w:t>составляющих</w:t>
      </w:r>
      <w:r>
        <w:rPr>
          <w:i/>
          <w:color w:val="000000"/>
          <w:spacing w:val="-17"/>
          <w:sz w:val="28"/>
        </w:rPr>
        <w:t> </w:t>
      </w:r>
      <w:r>
        <w:rPr>
          <w:i/>
          <w:color w:val="000000"/>
          <w:sz w:val="28"/>
        </w:rPr>
        <w:t>субъективного</w:t>
      </w:r>
      <w:r>
        <w:rPr>
          <w:i/>
          <w:color w:val="000000"/>
          <w:spacing w:val="-18"/>
          <w:sz w:val="28"/>
        </w:rPr>
        <w:t> </w:t>
      </w:r>
      <w:r>
        <w:rPr>
          <w:i/>
          <w:color w:val="000000"/>
          <w:sz w:val="28"/>
        </w:rPr>
        <w:t>благополучия</w:t>
      </w:r>
      <w:r>
        <w:rPr>
          <w:i/>
          <w:color w:val="000000"/>
          <w:spacing w:val="-17"/>
          <w:sz w:val="28"/>
        </w:rPr>
        <w:t> </w:t>
      </w:r>
      <w:r>
        <w:rPr>
          <w:i/>
          <w:color w:val="000000"/>
          <w:sz w:val="28"/>
        </w:rPr>
        <w:t>принято</w:t>
      </w:r>
      <w:r>
        <w:rPr>
          <w:i/>
          <w:color w:val="000000"/>
          <w:spacing w:val="-16"/>
          <w:sz w:val="28"/>
        </w:rPr>
        <w:t> </w:t>
      </w:r>
      <w:r>
        <w:rPr>
          <w:i/>
          <w:color w:val="000000"/>
          <w:sz w:val="28"/>
        </w:rPr>
        <w:t>вслед</w:t>
      </w:r>
      <w:r>
        <w:rPr>
          <w:i/>
          <w:color w:val="000000"/>
          <w:spacing w:val="-17"/>
          <w:sz w:val="28"/>
        </w:rPr>
        <w:t> </w:t>
      </w:r>
      <w:r>
        <w:rPr>
          <w:i/>
          <w:color w:val="000000"/>
          <w:sz w:val="28"/>
        </w:rPr>
        <w:t>за</w:t>
      </w:r>
      <w:r>
        <w:rPr>
          <w:i/>
          <w:color w:val="000000"/>
          <w:spacing w:val="-17"/>
          <w:sz w:val="28"/>
        </w:rPr>
        <w:t> </w:t>
      </w:r>
      <w:r>
        <w:rPr>
          <w:i/>
          <w:color w:val="000000"/>
          <w:sz w:val="28"/>
        </w:rPr>
        <w:t>Diener выделять удовлетворенность жизнью, высокий уровень позитивного эмоционального состояния и низкий уровень негативного эмоционального состояния </w:t>
      </w:r>
      <w:r>
        <w:rPr>
          <w:color w:val="000000"/>
          <w:sz w:val="28"/>
        </w:rPr>
        <w:t>(</w:t>
      </w:r>
      <w:r>
        <w:rPr>
          <w:i/>
          <w:color w:val="000000"/>
          <w:sz w:val="28"/>
        </w:rPr>
        <w:t>Diener, </w:t>
      </w:r>
      <w:r>
        <w:rPr>
          <w:color w:val="000000"/>
          <w:sz w:val="28"/>
        </w:rPr>
        <w:t>1984)</w:t>
      </w:r>
      <w:r>
        <w:rPr>
          <w:i/>
          <w:color w:val="000000"/>
          <w:sz w:val="28"/>
        </w:rPr>
        <w:t>.</w:t>
      </w:r>
    </w:p>
    <w:p>
      <w:pPr>
        <w:pStyle w:val="Heading4"/>
        <w:spacing w:line="276" w:lineRule="auto"/>
        <w:ind w:left="1702" w:right="846" w:firstLine="566"/>
      </w:pPr>
      <w:r>
        <w:rPr>
          <w:i/>
        </w:rPr>
        <w:t>Chen </w:t>
      </w:r>
      <w:r>
        <w:rPr/>
        <w:t>с соавторами показали, что психологическое и субъективное благополучие связаны на уровне общего конструкта, но их отдельные компоненты различны (</w:t>
      </w:r>
      <w:r>
        <w:rPr>
          <w:i/>
        </w:rPr>
        <w:t>Chen </w:t>
      </w:r>
      <w:r>
        <w:rPr/>
        <w:t>et al., 2013).</w:t>
      </w:r>
    </w:p>
    <w:p>
      <w:pPr>
        <w:pStyle w:val="Heading4"/>
        <w:spacing w:line="276" w:lineRule="auto"/>
        <w:ind w:left="1702" w:right="845" w:firstLine="566"/>
      </w:pPr>
      <w:r>
        <w:rPr/>
        <w:t>Д.</w:t>
      </w:r>
      <w:r>
        <w:rPr>
          <w:spacing w:val="-4"/>
        </w:rPr>
        <w:t> </w:t>
      </w:r>
      <w:r>
        <w:rPr/>
        <w:t>А. Леонтьев отмечает: </w:t>
      </w:r>
      <w:r>
        <w:rPr>
          <w:i/>
        </w:rPr>
        <w:t>«</w:t>
      </w:r>
      <w:r>
        <w:rPr/>
        <w:t>Субъективное благополучие определяется оценкой</w:t>
      </w:r>
      <w:r>
        <w:rPr>
          <w:spacing w:val="-18"/>
        </w:rPr>
        <w:t> </w:t>
      </w:r>
      <w:r>
        <w:rPr/>
        <w:t>самими</w:t>
      </w:r>
      <w:r>
        <w:rPr>
          <w:spacing w:val="-16"/>
        </w:rPr>
        <w:t> </w:t>
      </w:r>
      <w:r>
        <w:rPr/>
        <w:t>индивидами</w:t>
      </w:r>
      <w:r>
        <w:rPr>
          <w:spacing w:val="-16"/>
        </w:rPr>
        <w:t> </w:t>
      </w:r>
      <w:r>
        <w:rPr/>
        <w:t>своей</w:t>
      </w:r>
      <w:r>
        <w:rPr>
          <w:spacing w:val="-18"/>
        </w:rPr>
        <w:t> </w:t>
      </w:r>
      <w:r>
        <w:rPr/>
        <w:t>жизни,</w:t>
      </w:r>
      <w:r>
        <w:rPr>
          <w:spacing w:val="-17"/>
        </w:rPr>
        <w:t> </w:t>
      </w:r>
      <w:r>
        <w:rPr/>
        <w:t>определяемой</w:t>
      </w:r>
      <w:r>
        <w:rPr>
          <w:spacing w:val="-18"/>
        </w:rPr>
        <w:t> </w:t>
      </w:r>
      <w:r>
        <w:rPr/>
        <w:t>не</w:t>
      </w:r>
      <w:r>
        <w:rPr>
          <w:spacing w:val="-17"/>
        </w:rPr>
        <w:t> </w:t>
      </w:r>
      <w:r>
        <w:rPr/>
        <w:t>только</w:t>
      </w:r>
      <w:r>
        <w:rPr>
          <w:spacing w:val="-16"/>
        </w:rPr>
        <w:t> </w:t>
      </w:r>
      <w:r>
        <w:rPr/>
        <w:t>условиями удовлетворения базовых потребностей, но и удовлетворенностью индивидуально-специфических потребностей в рамках выбираемого или выстраиваемого стиля жизни, а также восприятием поля возможностей и субъективными критериями оценивания жизни» (</w:t>
      </w:r>
      <w:r>
        <w:rPr>
          <w:i/>
        </w:rPr>
        <w:t>Леонтьев</w:t>
      </w:r>
      <w:r>
        <w:rPr/>
        <w:t>, 2020а, с. 92) Согласимся с позицией Леонтьева, рассматривающего психологическое благополучие как предиктор субъективного, характеризующий «меру зрелости и оптимальности личностных механизмов саморегуляции жизнедеятельности» (</w:t>
      </w:r>
      <w:r>
        <w:rPr>
          <w:i/>
        </w:rPr>
        <w:t>Леонтьев</w:t>
      </w:r>
      <w:r>
        <w:rPr/>
        <w:t>, 2020б).</w:t>
      </w:r>
    </w:p>
    <w:p>
      <w:pPr>
        <w:pStyle w:val="Heading4"/>
        <w:spacing w:line="276" w:lineRule="auto"/>
        <w:ind w:left="1702" w:right="845" w:firstLine="566"/>
      </w:pPr>
      <w:r>
        <w:rPr/>
        <w:t>Ситуация миграции сопряжена с рядом вызовов, и способность с ними справляться также обусловлена личностными характеристиками, ключевую роль среди которых играет психологическая устойчивость (резильентность). Под</w:t>
      </w:r>
      <w:r>
        <w:rPr>
          <w:spacing w:val="-10"/>
        </w:rPr>
        <w:t> </w:t>
      </w:r>
      <w:r>
        <w:rPr/>
        <w:t>этим</w:t>
      </w:r>
      <w:r>
        <w:rPr>
          <w:spacing w:val="-11"/>
        </w:rPr>
        <w:t> </w:t>
      </w:r>
      <w:r>
        <w:rPr/>
        <w:t>мы</w:t>
      </w:r>
      <w:r>
        <w:rPr>
          <w:spacing w:val="-13"/>
        </w:rPr>
        <w:t> </w:t>
      </w:r>
      <w:r>
        <w:rPr/>
        <w:t>будем</w:t>
      </w:r>
      <w:r>
        <w:rPr>
          <w:spacing w:val="-11"/>
        </w:rPr>
        <w:t> </w:t>
      </w:r>
      <w:r>
        <w:rPr/>
        <w:t>понимать</w:t>
      </w:r>
      <w:r>
        <w:rPr>
          <w:spacing w:val="-12"/>
        </w:rPr>
        <w:t> </w:t>
      </w:r>
      <w:r>
        <w:rPr/>
        <w:t>«способность</w:t>
      </w:r>
      <w:r>
        <w:rPr>
          <w:spacing w:val="-12"/>
        </w:rPr>
        <w:t> </w:t>
      </w:r>
      <w:r>
        <w:rPr/>
        <w:t>к</w:t>
      </w:r>
      <w:r>
        <w:rPr>
          <w:spacing w:val="-11"/>
        </w:rPr>
        <w:t> </w:t>
      </w:r>
      <w:r>
        <w:rPr/>
        <w:t>устойчивости</w:t>
      </w:r>
      <w:r>
        <w:rPr>
          <w:spacing w:val="-13"/>
        </w:rPr>
        <w:t> </w:t>
      </w:r>
      <w:r>
        <w:rPr/>
        <w:t>и</w:t>
      </w:r>
      <w:r>
        <w:rPr>
          <w:spacing w:val="-11"/>
        </w:rPr>
        <w:t> </w:t>
      </w:r>
      <w:r>
        <w:rPr/>
        <w:t>восстановлению в ситуации длительного неблагоприятного внешнего влияния, которая развивается благодаря определенным внутренним предпосылкам и внешним социальным факторам… это способность стабильной и последовательной результативной адаптации в сложных жизненных обстоятельствах» (</w:t>
      </w:r>
      <w:r>
        <w:rPr>
          <w:i/>
        </w:rPr>
        <w:t>Хухлаев, Хакимов, Фомичева, </w:t>
      </w:r>
      <w:r>
        <w:rPr/>
        <w:t>2021, с. 118).</w:t>
      </w:r>
    </w:p>
    <w:p>
      <w:pPr>
        <w:pStyle w:val="Heading4"/>
        <w:spacing w:line="276" w:lineRule="auto"/>
        <w:ind w:left="1702" w:right="845" w:firstLine="566"/>
      </w:pPr>
      <w:r>
        <w:rPr/>
        <w:t>Психологическое неблагополучие ребенка-мигранта не может быть операционализировано</w:t>
      </w:r>
      <w:r>
        <w:rPr>
          <w:spacing w:val="-3"/>
        </w:rPr>
        <w:t> </w:t>
      </w:r>
      <w:r>
        <w:rPr/>
        <w:t>одним</w:t>
      </w:r>
      <w:r>
        <w:rPr>
          <w:spacing w:val="-3"/>
        </w:rPr>
        <w:t> </w:t>
      </w:r>
      <w:r>
        <w:rPr/>
        <w:t>понятием</w:t>
      </w:r>
      <w:r>
        <w:rPr>
          <w:spacing w:val="-2"/>
        </w:rPr>
        <w:t> </w:t>
      </w:r>
      <w:r>
        <w:rPr/>
        <w:t>и</w:t>
      </w:r>
      <w:r>
        <w:rPr>
          <w:spacing w:val="-1"/>
        </w:rPr>
        <w:t> </w:t>
      </w:r>
      <w:r>
        <w:rPr/>
        <w:t>в</w:t>
      </w:r>
      <w:r>
        <w:rPr>
          <w:spacing w:val="-2"/>
        </w:rPr>
        <w:t> </w:t>
      </w:r>
      <w:r>
        <w:rPr/>
        <w:t>широком</w:t>
      </w:r>
      <w:r>
        <w:rPr>
          <w:spacing w:val="-3"/>
        </w:rPr>
        <w:t> </w:t>
      </w:r>
      <w:r>
        <w:rPr/>
        <w:t>смысле</w:t>
      </w:r>
      <w:r>
        <w:rPr>
          <w:spacing w:val="-2"/>
        </w:rPr>
        <w:t> </w:t>
      </w:r>
      <w:r>
        <w:rPr/>
        <w:t>включает</w:t>
      </w:r>
      <w:r>
        <w:rPr>
          <w:spacing w:val="-2"/>
        </w:rPr>
        <w:t> </w:t>
      </w:r>
      <w:r>
        <w:rPr/>
        <w:t>в</w:t>
      </w:r>
      <w:r>
        <w:rPr>
          <w:spacing w:val="-2"/>
        </w:rPr>
        <w:t> </w:t>
      </w:r>
      <w:r>
        <w:rPr/>
        <w:t>себя эмоциональные затруднения различной степени выраженности. Сюда входят сниженный фон настроения, отношение к школе и мотивация, соматические трудности психологической природы, агрессивность и др. Особое внимание следует уделить социальной тревожности, которая трактуется как «состояние эмоционального дискомфорта, страха, опасения и беспокойства в отношении социальной ситуации и оценки другими людьми» (</w:t>
      </w:r>
      <w:r>
        <w:rPr>
          <w:i/>
        </w:rPr>
        <w:t>Краснова-Гольева, Холмогорова,</w:t>
      </w:r>
      <w:r>
        <w:rPr>
          <w:i/>
          <w:spacing w:val="76"/>
          <w:w w:val="150"/>
        </w:rPr>
        <w:t> </w:t>
      </w:r>
      <w:r>
        <w:rPr/>
        <w:t>2011,</w:t>
      </w:r>
      <w:r>
        <w:rPr>
          <w:spacing w:val="73"/>
          <w:w w:val="150"/>
        </w:rPr>
        <w:t> </w:t>
      </w:r>
      <w:r>
        <w:rPr/>
        <w:t>с.</w:t>
      </w:r>
      <w:r>
        <w:rPr>
          <w:spacing w:val="74"/>
          <w:w w:val="150"/>
        </w:rPr>
        <w:t> </w:t>
      </w:r>
      <w:r>
        <w:rPr/>
        <w:t>2),</w:t>
      </w:r>
      <w:r>
        <w:rPr>
          <w:spacing w:val="74"/>
          <w:w w:val="150"/>
        </w:rPr>
        <w:t> </w:t>
      </w:r>
      <w:r>
        <w:rPr/>
        <w:t>поскольку</w:t>
      </w:r>
      <w:r>
        <w:rPr>
          <w:spacing w:val="75"/>
          <w:w w:val="150"/>
        </w:rPr>
        <w:t> </w:t>
      </w:r>
      <w:r>
        <w:rPr/>
        <w:t>социальная</w:t>
      </w:r>
      <w:r>
        <w:rPr>
          <w:spacing w:val="76"/>
          <w:w w:val="150"/>
        </w:rPr>
        <w:t> </w:t>
      </w:r>
      <w:r>
        <w:rPr/>
        <w:t>тревожность</w:t>
      </w:r>
      <w:r>
        <w:rPr>
          <w:spacing w:val="77"/>
          <w:w w:val="150"/>
        </w:rPr>
        <w:t> </w:t>
      </w:r>
      <w:r>
        <w:rPr/>
        <w:t>негативно</w:t>
      </w:r>
    </w:p>
    <w:p>
      <w:pPr>
        <w:pStyle w:val="Heading4"/>
        <w:spacing w:after="0" w:line="276" w:lineRule="auto"/>
        <w:sectPr>
          <w:pgSz w:w="11910" w:h="16840"/>
          <w:pgMar w:header="0" w:footer="956" w:top="1040" w:bottom="1220" w:left="0" w:right="0"/>
        </w:sectPr>
      </w:pPr>
    </w:p>
    <w:p>
      <w:pPr>
        <w:pStyle w:val="Heading4"/>
        <w:spacing w:line="278" w:lineRule="auto" w:before="67"/>
        <w:ind w:left="1702" w:right="691"/>
        <w:jc w:val="left"/>
      </w:pPr>
      <w:r>
        <w:rPr/>
        <w:t>сказывается на успешности адаптации в образовательном пространстве </w:t>
      </w:r>
      <w:r>
        <w:rPr>
          <w:i/>
        </w:rPr>
        <w:t>(там </w:t>
      </w:r>
      <w:r>
        <w:rPr>
          <w:i/>
          <w:spacing w:val="-4"/>
        </w:rPr>
        <w:t>же)</w:t>
      </w:r>
      <w:r>
        <w:rPr>
          <w:spacing w:val="-4"/>
        </w:rPr>
        <w:t>.</w:t>
      </w:r>
    </w:p>
    <w:p>
      <w:pPr>
        <w:pStyle w:val="Heading4"/>
        <w:spacing w:line="276" w:lineRule="auto"/>
        <w:ind w:left="1702" w:right="844" w:firstLine="566"/>
      </w:pPr>
      <w:r>
        <w:rPr/>
        <w:t>Для</w:t>
      </w:r>
      <w:r>
        <w:rPr>
          <w:spacing w:val="-18"/>
        </w:rPr>
        <w:t> </w:t>
      </w:r>
      <w:r>
        <w:rPr/>
        <w:t>оценки</w:t>
      </w:r>
      <w:r>
        <w:rPr>
          <w:spacing w:val="-17"/>
        </w:rPr>
        <w:t> </w:t>
      </w:r>
      <w:r>
        <w:rPr/>
        <w:t>психологического</w:t>
      </w:r>
      <w:r>
        <w:rPr>
          <w:spacing w:val="-18"/>
        </w:rPr>
        <w:t> </w:t>
      </w:r>
      <w:r>
        <w:rPr/>
        <w:t>благополучия</w:t>
      </w:r>
      <w:r>
        <w:rPr>
          <w:spacing w:val="-17"/>
        </w:rPr>
        <w:t> </w:t>
      </w:r>
      <w:r>
        <w:rPr/>
        <w:t>детей</w:t>
      </w:r>
      <w:r>
        <w:rPr>
          <w:spacing w:val="-18"/>
        </w:rPr>
        <w:t> </w:t>
      </w:r>
      <w:r>
        <w:rPr/>
        <w:t>используются</w:t>
      </w:r>
      <w:r>
        <w:rPr>
          <w:spacing w:val="-17"/>
        </w:rPr>
        <w:t> </w:t>
      </w:r>
      <w:r>
        <w:rPr/>
        <w:t>два</w:t>
      </w:r>
      <w:r>
        <w:rPr>
          <w:spacing w:val="-18"/>
        </w:rPr>
        <w:t> </w:t>
      </w:r>
      <w:r>
        <w:rPr/>
        <w:t>типа инструментов:</w:t>
      </w:r>
      <w:r>
        <w:rPr>
          <w:spacing w:val="-10"/>
        </w:rPr>
        <w:t> </w:t>
      </w:r>
      <w:r>
        <w:rPr/>
        <w:t>опросники</w:t>
      </w:r>
      <w:r>
        <w:rPr>
          <w:spacing w:val="-10"/>
        </w:rPr>
        <w:t> </w:t>
      </w:r>
      <w:r>
        <w:rPr/>
        <w:t>для</w:t>
      </w:r>
      <w:r>
        <w:rPr>
          <w:spacing w:val="-11"/>
        </w:rPr>
        <w:t> </w:t>
      </w:r>
      <w:r>
        <w:rPr/>
        <w:t>детей,</w:t>
      </w:r>
      <w:r>
        <w:rPr>
          <w:spacing w:val="-12"/>
        </w:rPr>
        <w:t> </w:t>
      </w:r>
      <w:r>
        <w:rPr/>
        <w:t>построенные</w:t>
      </w:r>
      <w:r>
        <w:rPr>
          <w:spacing w:val="-11"/>
        </w:rPr>
        <w:t> </w:t>
      </w:r>
      <w:r>
        <w:rPr/>
        <w:t>на</w:t>
      </w:r>
      <w:r>
        <w:rPr>
          <w:spacing w:val="-9"/>
        </w:rPr>
        <w:t> </w:t>
      </w:r>
      <w:r>
        <w:rPr/>
        <w:t>самоотчете,</w:t>
      </w:r>
      <w:r>
        <w:rPr>
          <w:spacing w:val="-9"/>
        </w:rPr>
        <w:t> </w:t>
      </w:r>
      <w:r>
        <w:rPr/>
        <w:t>и</w:t>
      </w:r>
      <w:r>
        <w:rPr>
          <w:spacing w:val="-10"/>
        </w:rPr>
        <w:t> </w:t>
      </w:r>
      <w:r>
        <w:rPr/>
        <w:t>опросники для взаимодействующих с ними взрослых. Используются одномерные и многомерные шкалы, позволяющие получить различные данные (</w:t>
      </w:r>
      <w:r>
        <w:rPr>
          <w:i/>
        </w:rPr>
        <w:t>Арчакова, </w:t>
      </w:r>
      <w:r>
        <w:rPr>
          <w:spacing w:val="-2"/>
        </w:rPr>
        <w:t>2017).</w:t>
      </w:r>
    </w:p>
    <w:p>
      <w:pPr>
        <w:pStyle w:val="Heading4"/>
        <w:spacing w:line="276" w:lineRule="auto"/>
        <w:ind w:left="1702" w:right="849" w:firstLine="566"/>
      </w:pPr>
      <w:r>
        <w:rPr/>
        <w:t>Хотя валидность опросников самоотчета для детей подвергалась сомнению, есть данные, показывающие, что начиная с 7 лет такие инструменты могут измерять психологическое благополучие детей с достаточной надежностью (</w:t>
      </w:r>
      <w:r>
        <w:rPr>
          <w:i/>
        </w:rPr>
        <w:t>Thompson, Aked, </w:t>
      </w:r>
      <w:r>
        <w:rPr/>
        <w:t>2009). Как справедливо указывают Арчакова и коллеги, накоплен массив данных, показывающих расхождение в оценках психологического благополучия, которые дают сами дети и окружающие их взрослые.</w:t>
      </w:r>
    </w:p>
    <w:p>
      <w:pPr>
        <w:pStyle w:val="Heading4"/>
        <w:spacing w:line="276" w:lineRule="auto"/>
        <w:ind w:left="1702" w:right="850" w:firstLine="566"/>
      </w:pPr>
      <w:r>
        <w:rPr/>
        <w:t>На этом основании представляется целесообразным включить в инструментарий особых (дополнительных) психологических потребностей, связанных с психологическим благополучием, следующие инструменты:</w:t>
      </w:r>
    </w:p>
    <w:p>
      <w:pPr>
        <w:pStyle w:val="Heading4"/>
        <w:numPr>
          <w:ilvl w:val="0"/>
          <w:numId w:val="4"/>
        </w:numPr>
        <w:tabs>
          <w:tab w:pos="2987" w:val="left" w:leader="none"/>
        </w:tabs>
        <w:spacing w:line="343" w:lineRule="exact" w:before="0" w:after="0"/>
        <w:ind w:left="2987" w:right="0" w:hanging="359"/>
        <w:jc w:val="both"/>
      </w:pPr>
      <w:r>
        <w:rPr/>
        <w:t>методики</w:t>
      </w:r>
      <w:r>
        <w:rPr>
          <w:spacing w:val="-6"/>
        </w:rPr>
        <w:t> </w:t>
      </w:r>
      <w:r>
        <w:rPr/>
        <w:t>самоотчета</w:t>
      </w:r>
      <w:r>
        <w:rPr>
          <w:spacing w:val="-4"/>
        </w:rPr>
        <w:t> </w:t>
      </w:r>
      <w:r>
        <w:rPr/>
        <w:t>для</w:t>
      </w:r>
      <w:r>
        <w:rPr>
          <w:spacing w:val="-4"/>
        </w:rPr>
        <w:t> </w:t>
      </w:r>
      <w:r>
        <w:rPr/>
        <w:t>детей</w:t>
      </w:r>
      <w:r>
        <w:rPr>
          <w:spacing w:val="-6"/>
        </w:rPr>
        <w:t> </w:t>
      </w:r>
      <w:r>
        <w:rPr/>
        <w:t>и</w:t>
      </w:r>
      <w:r>
        <w:rPr>
          <w:spacing w:val="-4"/>
        </w:rPr>
        <w:t> </w:t>
      </w:r>
      <w:r>
        <w:rPr/>
        <w:t>опросники</w:t>
      </w:r>
      <w:r>
        <w:rPr>
          <w:spacing w:val="-4"/>
        </w:rPr>
        <w:t> </w:t>
      </w:r>
      <w:r>
        <w:rPr/>
        <w:t>для</w:t>
      </w:r>
      <w:r>
        <w:rPr>
          <w:spacing w:val="-4"/>
        </w:rPr>
        <w:t> </w:t>
      </w:r>
      <w:r>
        <w:rPr>
          <w:spacing w:val="-2"/>
        </w:rPr>
        <w:t>взрослых;</w:t>
      </w:r>
    </w:p>
    <w:p>
      <w:pPr>
        <w:pStyle w:val="Heading4"/>
        <w:numPr>
          <w:ilvl w:val="0"/>
          <w:numId w:val="4"/>
        </w:numPr>
        <w:tabs>
          <w:tab w:pos="2987" w:val="left" w:leader="none"/>
        </w:tabs>
        <w:spacing w:line="240" w:lineRule="auto" w:before="43" w:after="0"/>
        <w:ind w:left="2987" w:right="0" w:hanging="359"/>
        <w:jc w:val="both"/>
      </w:pPr>
      <w:r>
        <w:rPr/>
        <w:t>многомерные</w:t>
      </w:r>
      <w:r>
        <w:rPr>
          <w:spacing w:val="-6"/>
        </w:rPr>
        <w:t> </w:t>
      </w:r>
      <w:r>
        <w:rPr/>
        <w:t>и</w:t>
      </w:r>
      <w:r>
        <w:rPr>
          <w:spacing w:val="-8"/>
        </w:rPr>
        <w:t> </w:t>
      </w:r>
      <w:r>
        <w:rPr/>
        <w:t>одномерные</w:t>
      </w:r>
      <w:r>
        <w:rPr>
          <w:spacing w:val="-5"/>
        </w:rPr>
        <w:t> </w:t>
      </w:r>
      <w:r>
        <w:rPr>
          <w:spacing w:val="-2"/>
        </w:rPr>
        <w:t>методики;</w:t>
      </w:r>
    </w:p>
    <w:p>
      <w:pPr>
        <w:pStyle w:val="Heading4"/>
        <w:numPr>
          <w:ilvl w:val="0"/>
          <w:numId w:val="4"/>
        </w:numPr>
        <w:tabs>
          <w:tab w:pos="2988" w:val="left" w:leader="none"/>
        </w:tabs>
        <w:spacing w:line="273" w:lineRule="auto" w:before="49" w:after="0"/>
        <w:ind w:left="2988" w:right="846" w:hanging="360"/>
        <w:jc w:val="both"/>
      </w:pPr>
      <w:r>
        <w:rPr/>
        <w:t>методики, оценивающие психологическое благополучие и устойчивость (резильентность), а также выраженность психологических затруднений.</w:t>
      </w:r>
    </w:p>
    <w:p>
      <w:pPr>
        <w:pStyle w:val="Heading3"/>
        <w:spacing w:line="276" w:lineRule="auto" w:before="253"/>
        <w:ind w:left="1702" w:right="849"/>
      </w:pPr>
      <w:r>
        <w:rPr/>
        <w:t>Оценка особых (дополнительных) психологических потребностей, связанных с социальными навыками</w:t>
      </w:r>
    </w:p>
    <w:p>
      <w:pPr>
        <w:pStyle w:val="Heading4"/>
        <w:spacing w:line="276" w:lineRule="auto" w:before="193"/>
        <w:ind w:left="1702" w:right="847" w:firstLine="566"/>
      </w:pPr>
      <w:r>
        <w:rPr/>
        <w:t>Под социальными навыками будем понимать «являющееся результатом научения социально приемлемое поведение, которое позволяет взаимодействовать с другими таким образом, чтобы получать позитивную реакцию и избегать негативной» (</w:t>
      </w:r>
      <w:r>
        <w:rPr>
          <w:i/>
        </w:rPr>
        <w:t>Bellini, Peters, </w:t>
      </w:r>
      <w:r>
        <w:rPr/>
        <w:t>2008). </w:t>
      </w:r>
      <w:r>
        <w:rPr>
          <w:i/>
        </w:rPr>
        <w:t>Grover </w:t>
      </w:r>
      <w:r>
        <w:rPr/>
        <w:t>с соавторами выделяют несколько подходов к исследованию социальных навыков (</w:t>
      </w:r>
      <w:r>
        <w:rPr>
          <w:i/>
        </w:rPr>
        <w:t>Grover </w:t>
      </w:r>
      <w:r>
        <w:rPr/>
        <w:t>et</w:t>
      </w:r>
      <w:r>
        <w:rPr>
          <w:spacing w:val="31"/>
        </w:rPr>
        <w:t>  </w:t>
      </w:r>
      <w:r>
        <w:rPr/>
        <w:t>al.,</w:t>
      </w:r>
      <w:r>
        <w:rPr>
          <w:spacing w:val="32"/>
        </w:rPr>
        <w:t>  </w:t>
      </w:r>
      <w:r>
        <w:rPr/>
        <w:t>2020).</w:t>
      </w:r>
      <w:r>
        <w:rPr>
          <w:spacing w:val="32"/>
        </w:rPr>
        <w:t>  </w:t>
      </w:r>
      <w:r>
        <w:rPr/>
        <w:t>Дефинитивные</w:t>
      </w:r>
      <w:r>
        <w:rPr>
          <w:spacing w:val="33"/>
        </w:rPr>
        <w:t>  </w:t>
      </w:r>
      <w:r>
        <w:rPr/>
        <w:t>подходы</w:t>
      </w:r>
      <w:r>
        <w:rPr>
          <w:spacing w:val="33"/>
        </w:rPr>
        <w:t>  </w:t>
      </w:r>
      <w:r>
        <w:rPr/>
        <w:t>описывают</w:t>
      </w:r>
      <w:r>
        <w:rPr>
          <w:spacing w:val="32"/>
        </w:rPr>
        <w:t>  </w:t>
      </w:r>
      <w:r>
        <w:rPr/>
        <w:t>содержание</w:t>
      </w:r>
      <w:r>
        <w:rPr>
          <w:spacing w:val="33"/>
        </w:rPr>
        <w:t>  </w:t>
      </w:r>
      <w:r>
        <w:rPr>
          <w:spacing w:val="-2"/>
        </w:rPr>
        <w:t>понятий</w:t>
      </w:r>
    </w:p>
    <w:p>
      <w:pPr>
        <w:pStyle w:val="Heading4"/>
        <w:spacing w:line="276" w:lineRule="auto"/>
        <w:ind w:left="1702" w:right="850"/>
      </w:pPr>
      <w:r>
        <w:rPr/>
        <w:t>«социальные навыки» и «социальная компетентность» и раскрывают взаимосвязи между ними. Ситуационные подходы предполагают идентификацию конкретных социальных ситуаций и выделение социальных навыков, необходимых для данных ситуаций. Процессуальные подходы рассматривают системное функционирование социальных навыков. Модели набора навыков </w:t>
      </w:r>
      <w:r>
        <w:rPr>
          <w:i/>
        </w:rPr>
        <w:t>(skills sets) </w:t>
      </w:r>
      <w:r>
        <w:rPr/>
        <w:t>выделяют группы навыков, которые позволяют совместно успешно осуществить конкретное социальное взаимодействие.</w:t>
      </w:r>
    </w:p>
    <w:p>
      <w:pPr>
        <w:pStyle w:val="Heading4"/>
        <w:spacing w:after="0" w:line="276" w:lineRule="auto"/>
        <w:sectPr>
          <w:pgSz w:w="11910" w:h="16840"/>
          <w:pgMar w:header="0" w:footer="956" w:top="1040" w:bottom="1220" w:left="0" w:right="0"/>
        </w:sectPr>
      </w:pPr>
    </w:p>
    <w:p>
      <w:pPr>
        <w:pStyle w:val="Heading4"/>
        <w:spacing w:line="276" w:lineRule="auto" w:before="67"/>
        <w:ind w:left="1702" w:right="852" w:firstLine="566"/>
      </w:pPr>
      <w:r>
        <w:rPr/>
        <w:t>Для решения наших задач представляется наиболее релевантным ситуационный подход. Оценивается поведение в ключевых с точки зрения образования</w:t>
      </w:r>
      <w:r>
        <w:rPr>
          <w:spacing w:val="-4"/>
        </w:rPr>
        <w:t> </w:t>
      </w:r>
      <w:r>
        <w:rPr/>
        <w:t>ситуациях:</w:t>
      </w:r>
      <w:r>
        <w:rPr>
          <w:spacing w:val="-6"/>
        </w:rPr>
        <w:t> </w:t>
      </w:r>
      <w:r>
        <w:rPr/>
        <w:t>поведение</w:t>
      </w:r>
      <w:r>
        <w:rPr>
          <w:spacing w:val="-4"/>
        </w:rPr>
        <w:t> </w:t>
      </w:r>
      <w:r>
        <w:rPr/>
        <w:t>в</w:t>
      </w:r>
      <w:r>
        <w:rPr>
          <w:spacing w:val="-5"/>
        </w:rPr>
        <w:t> </w:t>
      </w:r>
      <w:r>
        <w:rPr/>
        <w:t>классе</w:t>
      </w:r>
      <w:r>
        <w:rPr>
          <w:spacing w:val="-4"/>
        </w:rPr>
        <w:t> </w:t>
      </w:r>
      <w:r>
        <w:rPr/>
        <w:t>и</w:t>
      </w:r>
      <w:r>
        <w:rPr>
          <w:spacing w:val="-4"/>
        </w:rPr>
        <w:t> </w:t>
      </w:r>
      <w:r>
        <w:rPr/>
        <w:t>в</w:t>
      </w:r>
      <w:r>
        <w:rPr>
          <w:spacing w:val="-5"/>
        </w:rPr>
        <w:t> </w:t>
      </w:r>
      <w:r>
        <w:rPr/>
        <w:t>школе,</w:t>
      </w:r>
      <w:r>
        <w:rPr>
          <w:spacing w:val="-5"/>
        </w:rPr>
        <w:t> </w:t>
      </w:r>
      <w:r>
        <w:rPr/>
        <w:t>выполнение</w:t>
      </w:r>
      <w:r>
        <w:rPr>
          <w:spacing w:val="-4"/>
        </w:rPr>
        <w:t> </w:t>
      </w:r>
      <w:r>
        <w:rPr/>
        <w:t>домашних заданий, взаимодействие со сверстниками и взрослыми.</w:t>
      </w:r>
    </w:p>
    <w:p>
      <w:pPr>
        <w:pStyle w:val="Heading4"/>
        <w:tabs>
          <w:tab w:pos="3059" w:val="left" w:leader="none"/>
          <w:tab w:pos="4619" w:val="left" w:leader="none"/>
          <w:tab w:pos="6115" w:val="left" w:leader="none"/>
          <w:tab w:pos="7316" w:val="left" w:leader="none"/>
          <w:tab w:pos="8213" w:val="left" w:leader="none"/>
          <w:tab w:pos="9336" w:val="left" w:leader="none"/>
        </w:tabs>
        <w:spacing w:line="276" w:lineRule="auto" w:before="3"/>
        <w:ind w:left="1702" w:right="843" w:firstLine="566"/>
        <w:jc w:val="right"/>
      </w:pPr>
      <w:r>
        <w:rPr>
          <w:i/>
        </w:rPr>
        <w:t>Gresham </w:t>
      </w:r>
      <w:r>
        <w:rPr/>
        <w:t>с соавторами выделяют три типа измерительных инструментов, которые</w:t>
      </w:r>
      <w:r>
        <w:rPr>
          <w:spacing w:val="-6"/>
        </w:rPr>
        <w:t> </w:t>
      </w:r>
      <w:r>
        <w:rPr/>
        <w:t>используются</w:t>
      </w:r>
      <w:r>
        <w:rPr>
          <w:spacing w:val="-4"/>
        </w:rPr>
        <w:t> </w:t>
      </w:r>
      <w:r>
        <w:rPr/>
        <w:t>для</w:t>
      </w:r>
      <w:r>
        <w:rPr>
          <w:spacing w:val="-6"/>
        </w:rPr>
        <w:t> </w:t>
      </w:r>
      <w:r>
        <w:rPr/>
        <w:t>оценки</w:t>
      </w:r>
      <w:r>
        <w:rPr>
          <w:spacing w:val="-5"/>
        </w:rPr>
        <w:t> </w:t>
      </w:r>
      <w:r>
        <w:rPr/>
        <w:t>социальных</w:t>
      </w:r>
      <w:r>
        <w:rPr>
          <w:spacing w:val="-6"/>
        </w:rPr>
        <w:t> </w:t>
      </w:r>
      <w:r>
        <w:rPr/>
        <w:t>навыков</w:t>
      </w:r>
      <w:r>
        <w:rPr>
          <w:spacing w:val="-7"/>
        </w:rPr>
        <w:t> </w:t>
      </w:r>
      <w:r>
        <w:rPr/>
        <w:t>(</w:t>
      </w:r>
      <w:r>
        <w:rPr>
          <w:i/>
        </w:rPr>
        <w:t>Gersham</w:t>
      </w:r>
      <w:r>
        <w:rPr>
          <w:i/>
          <w:spacing w:val="-7"/>
        </w:rPr>
        <w:t> </w:t>
      </w:r>
      <w:r>
        <w:rPr/>
        <w:t>et</w:t>
      </w:r>
      <w:r>
        <w:rPr>
          <w:spacing w:val="-5"/>
        </w:rPr>
        <w:t> </w:t>
      </w:r>
      <w:r>
        <w:rPr/>
        <w:t>al.,</w:t>
      </w:r>
      <w:r>
        <w:rPr>
          <w:spacing w:val="-8"/>
        </w:rPr>
        <w:t> </w:t>
      </w:r>
      <w:r>
        <w:rPr/>
        <w:t>2001). К</w:t>
      </w:r>
      <w:r>
        <w:rPr>
          <w:spacing w:val="40"/>
        </w:rPr>
        <w:t> </w:t>
      </w:r>
      <w:r>
        <w:rPr/>
        <w:t>первому</w:t>
      </w:r>
      <w:r>
        <w:rPr>
          <w:spacing w:val="40"/>
        </w:rPr>
        <w:t> </w:t>
      </w:r>
      <w:r>
        <w:rPr/>
        <w:t>типу</w:t>
      </w:r>
      <w:r>
        <w:rPr>
          <w:spacing w:val="40"/>
        </w:rPr>
        <w:t> </w:t>
      </w:r>
      <w:r>
        <w:rPr/>
        <w:t>относятся</w:t>
      </w:r>
      <w:r>
        <w:rPr>
          <w:spacing w:val="40"/>
        </w:rPr>
        <w:t> </w:t>
      </w:r>
      <w:r>
        <w:rPr/>
        <w:t>построенные</w:t>
      </w:r>
      <w:r>
        <w:rPr>
          <w:spacing w:val="40"/>
        </w:rPr>
        <w:t> </w:t>
      </w:r>
      <w:r>
        <w:rPr/>
        <w:t>на</w:t>
      </w:r>
      <w:r>
        <w:rPr>
          <w:spacing w:val="40"/>
        </w:rPr>
        <w:t> </w:t>
      </w:r>
      <w:r>
        <w:rPr/>
        <w:t>ранжировании</w:t>
      </w:r>
      <w:r>
        <w:rPr>
          <w:spacing w:val="40"/>
        </w:rPr>
        <w:t> </w:t>
      </w:r>
      <w:r>
        <w:rPr/>
        <w:t>шкалы</w:t>
      </w:r>
      <w:r>
        <w:rPr>
          <w:spacing w:val="40"/>
        </w:rPr>
        <w:t> </w:t>
      </w:r>
      <w:r>
        <w:rPr/>
        <w:t>или опросы,</w:t>
      </w:r>
      <w:r>
        <w:rPr>
          <w:spacing w:val="80"/>
        </w:rPr>
        <w:t> </w:t>
      </w:r>
      <w:r>
        <w:rPr/>
        <w:t>оценивающие</w:t>
      </w:r>
      <w:r>
        <w:rPr>
          <w:spacing w:val="80"/>
        </w:rPr>
        <w:t> </w:t>
      </w:r>
      <w:r>
        <w:rPr/>
        <w:t>социальную</w:t>
      </w:r>
      <w:r>
        <w:rPr>
          <w:spacing w:val="80"/>
        </w:rPr>
        <w:t> </w:t>
      </w:r>
      <w:r>
        <w:rPr/>
        <w:t>компетентность</w:t>
      </w:r>
      <w:r>
        <w:rPr>
          <w:spacing w:val="80"/>
        </w:rPr>
        <w:t> </w:t>
      </w:r>
      <w:r>
        <w:rPr/>
        <w:t>(социальные</w:t>
      </w:r>
      <w:r>
        <w:rPr>
          <w:spacing w:val="80"/>
        </w:rPr>
        <w:t> </w:t>
      </w:r>
      <w:r>
        <w:rPr/>
        <w:t>навыки ребенка</w:t>
      </w:r>
      <w:r>
        <w:rPr>
          <w:spacing w:val="-16"/>
        </w:rPr>
        <w:t> </w:t>
      </w:r>
      <w:r>
        <w:rPr/>
        <w:t>характеризуют</w:t>
      </w:r>
      <w:r>
        <w:rPr>
          <w:spacing w:val="-15"/>
        </w:rPr>
        <w:t> </w:t>
      </w:r>
      <w:r>
        <w:rPr/>
        <w:t>взрослые,</w:t>
      </w:r>
      <w:r>
        <w:rPr>
          <w:spacing w:val="-16"/>
        </w:rPr>
        <w:t> </w:t>
      </w:r>
      <w:r>
        <w:rPr/>
        <w:t>регулярно</w:t>
      </w:r>
      <w:r>
        <w:rPr>
          <w:spacing w:val="-14"/>
        </w:rPr>
        <w:t> </w:t>
      </w:r>
      <w:r>
        <w:rPr/>
        <w:t>с</w:t>
      </w:r>
      <w:r>
        <w:rPr>
          <w:spacing w:val="-16"/>
        </w:rPr>
        <w:t> </w:t>
      </w:r>
      <w:r>
        <w:rPr/>
        <w:t>ним</w:t>
      </w:r>
      <w:r>
        <w:rPr>
          <w:spacing w:val="-15"/>
        </w:rPr>
        <w:t> </w:t>
      </w:r>
      <w:r>
        <w:rPr/>
        <w:t>взаимодействующие).</w:t>
      </w:r>
      <w:r>
        <w:rPr>
          <w:spacing w:val="-15"/>
        </w:rPr>
        <w:t> </w:t>
      </w:r>
      <w:r>
        <w:rPr/>
        <w:t>Хотя данные ответы могут быть субъективны, </w:t>
      </w:r>
      <w:r>
        <w:rPr>
          <w:i/>
        </w:rPr>
        <w:t>Bellini </w:t>
      </w:r>
      <w:r>
        <w:rPr/>
        <w:t>и </w:t>
      </w:r>
      <w:r>
        <w:rPr>
          <w:i/>
        </w:rPr>
        <w:t>Peters </w:t>
      </w:r>
      <w:r>
        <w:rPr/>
        <w:t>(</w:t>
      </w:r>
      <w:r>
        <w:rPr>
          <w:i/>
        </w:rPr>
        <w:t>Bellini, Peters, </w:t>
      </w:r>
      <w:r>
        <w:rPr/>
        <w:t>2008) считают их валидными измерительными инструментами именно потому, что </w:t>
      </w:r>
      <w:r>
        <w:rPr>
          <w:spacing w:val="-2"/>
        </w:rPr>
        <w:t>взрослые</w:t>
      </w:r>
      <w:r>
        <w:rPr/>
        <w:tab/>
      </w:r>
      <w:r>
        <w:rPr>
          <w:spacing w:val="-2"/>
        </w:rPr>
        <w:t>оценивают</w:t>
      </w:r>
      <w:r>
        <w:rPr/>
        <w:tab/>
      </w:r>
      <w:r>
        <w:rPr>
          <w:spacing w:val="-2"/>
        </w:rPr>
        <w:t>поведение</w:t>
      </w:r>
      <w:r>
        <w:rPr/>
        <w:tab/>
      </w:r>
      <w:r>
        <w:rPr>
          <w:spacing w:val="-2"/>
        </w:rPr>
        <w:t>ребенка</w:t>
      </w:r>
      <w:r>
        <w:rPr/>
        <w:tab/>
      </w:r>
      <w:r>
        <w:rPr>
          <w:spacing w:val="-2"/>
        </w:rPr>
        <w:t>через</w:t>
      </w:r>
      <w:r>
        <w:rPr/>
        <w:tab/>
      </w:r>
      <w:r>
        <w:rPr>
          <w:spacing w:val="-2"/>
        </w:rPr>
        <w:t>призму</w:t>
      </w:r>
      <w:r>
        <w:rPr/>
        <w:tab/>
      </w:r>
      <w:r>
        <w:rPr>
          <w:spacing w:val="-2"/>
        </w:rPr>
        <w:t>определенных</w:t>
      </w:r>
    </w:p>
    <w:p>
      <w:pPr>
        <w:pStyle w:val="Heading4"/>
        <w:ind w:left="1702"/>
      </w:pPr>
      <w:r>
        <w:rPr/>
        <w:t>социальных</w:t>
      </w:r>
      <w:r>
        <w:rPr>
          <w:spacing w:val="-6"/>
        </w:rPr>
        <w:t> </w:t>
      </w:r>
      <w:r>
        <w:rPr/>
        <w:t>стандартов</w:t>
      </w:r>
      <w:r>
        <w:rPr>
          <w:spacing w:val="-7"/>
        </w:rPr>
        <w:t> </w:t>
      </w:r>
      <w:r>
        <w:rPr/>
        <w:t>и</w:t>
      </w:r>
      <w:r>
        <w:rPr>
          <w:spacing w:val="-6"/>
        </w:rPr>
        <w:t> </w:t>
      </w:r>
      <w:r>
        <w:rPr>
          <w:spacing w:val="-2"/>
        </w:rPr>
        <w:t>норм.</w:t>
      </w:r>
    </w:p>
    <w:p>
      <w:pPr>
        <w:pStyle w:val="Heading4"/>
        <w:spacing w:line="276" w:lineRule="auto" w:before="47"/>
        <w:ind w:left="1702" w:right="854" w:firstLine="566"/>
      </w:pPr>
      <w:r>
        <w:rPr/>
        <w:t>Второй тип предполагает наблюдение за поведением ребенка в конкретной ситуации. Такие инструменты требуют выработки четких поведенческих критериев и довольно трудоемки в реализации.</w:t>
      </w:r>
    </w:p>
    <w:p>
      <w:pPr>
        <w:pStyle w:val="Heading4"/>
        <w:spacing w:line="276" w:lineRule="auto" w:before="1"/>
        <w:ind w:left="1702" w:right="847" w:firstLine="566"/>
      </w:pPr>
      <w:r>
        <w:rPr/>
        <w:t>К третьему типу относятся ролевые игры или дискуссии, которые предлагаются ребенку для оценки его социальных навыков (например, его просят ответить, что он будет делать, когда его дразнят). </w:t>
      </w:r>
      <w:r>
        <w:rPr>
          <w:i/>
        </w:rPr>
        <w:t>Bellini </w:t>
      </w:r>
      <w:r>
        <w:rPr/>
        <w:t>и </w:t>
      </w:r>
      <w:r>
        <w:rPr>
          <w:i/>
        </w:rPr>
        <w:t>Peters </w:t>
      </w:r>
      <w:r>
        <w:rPr/>
        <w:t>отмечают, что подобные инструменты не позволяют оценить поведение ребенка</w:t>
      </w:r>
      <w:r>
        <w:rPr>
          <w:spacing w:val="-8"/>
        </w:rPr>
        <w:t> </w:t>
      </w:r>
      <w:r>
        <w:rPr/>
        <w:t>в</w:t>
      </w:r>
      <w:r>
        <w:rPr>
          <w:spacing w:val="-9"/>
        </w:rPr>
        <w:t> </w:t>
      </w:r>
      <w:r>
        <w:rPr/>
        <w:t>реальной</w:t>
      </w:r>
      <w:r>
        <w:rPr>
          <w:spacing w:val="-8"/>
        </w:rPr>
        <w:t> </w:t>
      </w:r>
      <w:r>
        <w:rPr/>
        <w:t>ситуации</w:t>
      </w:r>
      <w:r>
        <w:rPr>
          <w:spacing w:val="-8"/>
        </w:rPr>
        <w:t> </w:t>
      </w:r>
      <w:r>
        <w:rPr/>
        <w:t>и</w:t>
      </w:r>
      <w:r>
        <w:rPr>
          <w:spacing w:val="-8"/>
        </w:rPr>
        <w:t> </w:t>
      </w:r>
      <w:r>
        <w:rPr/>
        <w:t>вследствие</w:t>
      </w:r>
      <w:r>
        <w:rPr>
          <w:spacing w:val="-8"/>
        </w:rPr>
        <w:t> </w:t>
      </w:r>
      <w:r>
        <w:rPr/>
        <w:t>этого</w:t>
      </w:r>
      <w:r>
        <w:rPr>
          <w:spacing w:val="-8"/>
        </w:rPr>
        <w:t> </w:t>
      </w:r>
      <w:r>
        <w:rPr/>
        <w:t>их</w:t>
      </w:r>
      <w:r>
        <w:rPr>
          <w:spacing w:val="-8"/>
        </w:rPr>
        <w:t> </w:t>
      </w:r>
      <w:r>
        <w:rPr/>
        <w:t>диагностическая</w:t>
      </w:r>
      <w:r>
        <w:rPr>
          <w:spacing w:val="-8"/>
        </w:rPr>
        <w:t> </w:t>
      </w:r>
      <w:r>
        <w:rPr/>
        <w:t>ценность ниже, чем инструментов из первых двух групп (</w:t>
      </w:r>
      <w:r>
        <w:rPr>
          <w:i/>
        </w:rPr>
        <w:t>Bellini, Peters, </w:t>
      </w:r>
      <w:r>
        <w:rPr/>
        <w:t>2008).</w:t>
      </w:r>
    </w:p>
    <w:p>
      <w:pPr>
        <w:pStyle w:val="Heading4"/>
        <w:spacing w:line="276" w:lineRule="auto" w:before="1"/>
        <w:ind w:left="1702" w:right="853" w:firstLine="566"/>
      </w:pPr>
      <w:r>
        <w:rPr/>
        <w:t>Для оценки особых (дополнительных) психологических потребностей, связанных с</w:t>
      </w:r>
      <w:r>
        <w:rPr>
          <w:spacing w:val="-3"/>
        </w:rPr>
        <w:t> </w:t>
      </w:r>
      <w:r>
        <w:rPr/>
        <w:t>социальными навыками,</w:t>
      </w:r>
      <w:r>
        <w:rPr>
          <w:spacing w:val="-1"/>
        </w:rPr>
        <w:t> </w:t>
      </w:r>
      <w:r>
        <w:rPr/>
        <w:t>в</w:t>
      </w:r>
      <w:r>
        <w:rPr>
          <w:spacing w:val="-3"/>
        </w:rPr>
        <w:t> </w:t>
      </w:r>
      <w:r>
        <w:rPr/>
        <w:t>образовательной</w:t>
      </w:r>
      <w:r>
        <w:rPr>
          <w:spacing w:val="-2"/>
        </w:rPr>
        <w:t> </w:t>
      </w:r>
      <w:r>
        <w:rPr/>
        <w:t>среде</w:t>
      </w:r>
      <w:r>
        <w:rPr>
          <w:spacing w:val="-3"/>
        </w:rPr>
        <w:t> </w:t>
      </w:r>
      <w:r>
        <w:rPr/>
        <w:t>оптимальными представляются инструменты первого типа, то есть опросники, предназначенные для заполнения взрослыми (прежде всего педагогами, поскольку именно они наблюдают ребенка в учебной ситуации).</w:t>
      </w:r>
    </w:p>
    <w:p>
      <w:pPr>
        <w:pStyle w:val="Heading3"/>
        <w:spacing w:line="276" w:lineRule="auto" w:before="247"/>
        <w:ind w:left="1702" w:right="847"/>
      </w:pPr>
      <w:r>
        <w:rPr/>
        <w:t>Оценка особых (дополнительных) психологических потребностей, связанных с культурной адаптацией</w:t>
      </w:r>
    </w:p>
    <w:p>
      <w:pPr>
        <w:pStyle w:val="Heading4"/>
        <w:spacing w:line="276" w:lineRule="auto" w:before="193"/>
        <w:ind w:left="1702" w:right="845" w:firstLine="566"/>
      </w:pPr>
      <w:r>
        <w:rPr/>
        <w:t>Базовым понятием при описании культурной адаптации является аккультурация, которая понимается в русле теории </w:t>
      </w:r>
      <w:r>
        <w:rPr>
          <w:i/>
        </w:rPr>
        <w:t>Berry</w:t>
      </w:r>
      <w:r>
        <w:rPr/>
        <w:t>, а именно как процесс культурных и психологических изменений, возникающих в результате контакта между двумя или более культурными группами и их отдельными членами (</w:t>
      </w:r>
      <w:r>
        <w:rPr>
          <w:i/>
        </w:rPr>
        <w:t>Berry</w:t>
      </w:r>
      <w:r>
        <w:rPr/>
        <w:t>, 2015). В контексте сопровождения детей- мигрантов мы фокусируемся на индивидуальном уровне аккультурации, то есть на изменении поведенческого репертуара </w:t>
      </w:r>
      <w:r>
        <w:rPr>
          <w:i/>
        </w:rPr>
        <w:t>(там же)</w:t>
      </w:r>
      <w:r>
        <w:rPr/>
        <w:t>. Результатом аккультурации является адаптация, включающая два аспекта: психологический и социокультурный.</w:t>
      </w:r>
    </w:p>
    <w:p>
      <w:pPr>
        <w:pStyle w:val="Heading4"/>
        <w:spacing w:after="0" w:line="276" w:lineRule="auto"/>
        <w:sectPr>
          <w:pgSz w:w="11910" w:h="16840"/>
          <w:pgMar w:header="0" w:footer="956" w:top="1040" w:bottom="1160" w:left="0" w:right="0"/>
        </w:sectPr>
      </w:pPr>
    </w:p>
    <w:p>
      <w:pPr>
        <w:pStyle w:val="Heading4"/>
        <w:spacing w:line="276" w:lineRule="auto" w:before="67"/>
        <w:ind w:left="1702" w:right="850" w:firstLine="566"/>
      </w:pPr>
      <w:r>
        <w:rPr>
          <w:i/>
        </w:rPr>
        <w:t>Психологическая адаптация </w:t>
      </w:r>
      <w:r>
        <w:rPr/>
        <w:t>означает совокупность внутренних психологических последствий переживания при вхождении в новую культурную среду (</w:t>
      </w:r>
      <w:r>
        <w:rPr>
          <w:i/>
        </w:rPr>
        <w:t>Лебедева, </w:t>
      </w:r>
      <w:r>
        <w:rPr/>
        <w:t>2009). Основные ее критерии (признаки): ясное чувство личной или культурной идентичности; хорошее психологическое здоровье; достижение психологической удовлетворенности и позитивной </w:t>
      </w:r>
      <w:r>
        <w:rPr>
          <w:spacing w:val="-2"/>
        </w:rPr>
        <w:t>самооценки.</w:t>
      </w:r>
    </w:p>
    <w:p>
      <w:pPr>
        <w:pStyle w:val="Heading4"/>
        <w:spacing w:line="276" w:lineRule="auto" w:before="1"/>
        <w:ind w:left="1702" w:right="846" w:firstLine="566"/>
      </w:pPr>
      <w:r>
        <w:rPr>
          <w:i/>
        </w:rPr>
        <w:t>Социокультурная адаптация </w:t>
      </w:r>
      <w:r>
        <w:rPr/>
        <w:t>относится к совокупности внешних поведенческих следствий связи индивидов с их новой средой, включая их способность</w:t>
      </w:r>
      <w:r>
        <w:rPr>
          <w:spacing w:val="-4"/>
        </w:rPr>
        <w:t> </w:t>
      </w:r>
      <w:r>
        <w:rPr/>
        <w:t>решать</w:t>
      </w:r>
      <w:r>
        <w:rPr>
          <w:spacing w:val="-5"/>
        </w:rPr>
        <w:t> </w:t>
      </w:r>
      <w:r>
        <w:rPr/>
        <w:t>ежедневные</w:t>
      </w:r>
      <w:r>
        <w:rPr>
          <w:spacing w:val="-2"/>
        </w:rPr>
        <w:t> </w:t>
      </w:r>
      <w:r>
        <w:rPr/>
        <w:t>социально-культурные</w:t>
      </w:r>
      <w:r>
        <w:rPr>
          <w:spacing w:val="-3"/>
        </w:rPr>
        <w:t> </w:t>
      </w:r>
      <w:r>
        <w:rPr/>
        <w:t>проблемы</w:t>
      </w:r>
      <w:r>
        <w:rPr>
          <w:spacing w:val="-1"/>
        </w:rPr>
        <w:t> </w:t>
      </w:r>
      <w:r>
        <w:rPr/>
        <w:t>(в</w:t>
      </w:r>
      <w:r>
        <w:rPr>
          <w:spacing w:val="-2"/>
        </w:rPr>
        <w:t> </w:t>
      </w:r>
      <w:r>
        <w:rPr/>
        <w:t>семье,</w:t>
      </w:r>
      <w:r>
        <w:rPr>
          <w:spacing w:val="-2"/>
        </w:rPr>
        <w:t> </w:t>
      </w:r>
      <w:r>
        <w:rPr/>
        <w:t>в быту, на работе и в школе). Основные ее критерии (признаки): позитивные установки в отношении базовых правил и норм принимающего общества; преобладание</w:t>
      </w:r>
      <w:r>
        <w:rPr>
          <w:spacing w:val="-11"/>
        </w:rPr>
        <w:t> </w:t>
      </w:r>
      <w:r>
        <w:rPr/>
        <w:t>частоты</w:t>
      </w:r>
      <w:r>
        <w:rPr>
          <w:spacing w:val="-10"/>
        </w:rPr>
        <w:t> </w:t>
      </w:r>
      <w:r>
        <w:rPr/>
        <w:t>контактов</w:t>
      </w:r>
      <w:r>
        <w:rPr>
          <w:spacing w:val="-11"/>
        </w:rPr>
        <w:t> </w:t>
      </w:r>
      <w:r>
        <w:rPr/>
        <w:t>с</w:t>
      </w:r>
      <w:r>
        <w:rPr>
          <w:spacing w:val="-12"/>
        </w:rPr>
        <w:t> </w:t>
      </w:r>
      <w:r>
        <w:rPr/>
        <w:t>представителями</w:t>
      </w:r>
      <w:r>
        <w:rPr>
          <w:spacing w:val="-10"/>
        </w:rPr>
        <w:t> </w:t>
      </w:r>
      <w:r>
        <w:rPr/>
        <w:t>принимающего</w:t>
      </w:r>
      <w:r>
        <w:rPr>
          <w:spacing w:val="-11"/>
        </w:rPr>
        <w:t> </w:t>
      </w:r>
      <w:r>
        <w:rPr/>
        <w:t>общества над</w:t>
      </w:r>
      <w:r>
        <w:rPr>
          <w:spacing w:val="-18"/>
        </w:rPr>
        <w:t> </w:t>
      </w:r>
      <w:r>
        <w:rPr/>
        <w:t>контактами</w:t>
      </w:r>
      <w:r>
        <w:rPr>
          <w:spacing w:val="-17"/>
        </w:rPr>
        <w:t> </w:t>
      </w:r>
      <w:r>
        <w:rPr/>
        <w:t>с</w:t>
      </w:r>
      <w:r>
        <w:rPr>
          <w:spacing w:val="-18"/>
        </w:rPr>
        <w:t> </w:t>
      </w:r>
      <w:r>
        <w:rPr/>
        <w:t>представителями</w:t>
      </w:r>
      <w:r>
        <w:rPr>
          <w:spacing w:val="-17"/>
        </w:rPr>
        <w:t> </w:t>
      </w:r>
      <w:r>
        <w:rPr/>
        <w:t>страны</w:t>
      </w:r>
      <w:r>
        <w:rPr>
          <w:spacing w:val="-18"/>
        </w:rPr>
        <w:t> </w:t>
      </w:r>
      <w:r>
        <w:rPr/>
        <w:t>исхода;</w:t>
      </w:r>
      <w:r>
        <w:rPr>
          <w:spacing w:val="-17"/>
        </w:rPr>
        <w:t> </w:t>
      </w:r>
      <w:r>
        <w:rPr/>
        <w:t>свободное</w:t>
      </w:r>
      <w:r>
        <w:rPr>
          <w:spacing w:val="-18"/>
        </w:rPr>
        <w:t> </w:t>
      </w:r>
      <w:r>
        <w:rPr/>
        <w:t>владение</w:t>
      </w:r>
      <w:r>
        <w:rPr>
          <w:spacing w:val="-17"/>
        </w:rPr>
        <w:t> </w:t>
      </w:r>
      <w:r>
        <w:rPr/>
        <w:t>языком принимающего общества; распространенность «отклоняющегося» (делинквентного) поведения не выше среднего уровня принимающей страны (</w:t>
      </w:r>
      <w:r>
        <w:rPr>
          <w:i/>
        </w:rPr>
        <w:t>Entzinger, Biezeveld, </w:t>
      </w:r>
      <w:r>
        <w:rPr/>
        <w:t>2003).</w:t>
      </w:r>
    </w:p>
    <w:p>
      <w:pPr>
        <w:pStyle w:val="Heading4"/>
        <w:spacing w:line="276" w:lineRule="auto" w:before="1"/>
        <w:ind w:left="1702" w:right="851" w:firstLine="566"/>
      </w:pPr>
      <w:r>
        <w:rPr/>
        <w:t>Согласно теории аккультурации, разработанной Дж. Берри, процесс вхождения</w:t>
      </w:r>
      <w:r>
        <w:rPr>
          <w:spacing w:val="-11"/>
        </w:rPr>
        <w:t> </w:t>
      </w:r>
      <w:r>
        <w:rPr/>
        <w:t>в</w:t>
      </w:r>
      <w:r>
        <w:rPr>
          <w:spacing w:val="-12"/>
        </w:rPr>
        <w:t> </w:t>
      </w:r>
      <w:r>
        <w:rPr/>
        <w:t>новую</w:t>
      </w:r>
      <w:r>
        <w:rPr>
          <w:spacing w:val="-9"/>
        </w:rPr>
        <w:t> </w:t>
      </w:r>
      <w:r>
        <w:rPr/>
        <w:t>культуру</w:t>
      </w:r>
      <w:r>
        <w:rPr>
          <w:spacing w:val="-12"/>
        </w:rPr>
        <w:t> </w:t>
      </w:r>
      <w:r>
        <w:rPr/>
        <w:t>связан</w:t>
      </w:r>
      <w:r>
        <w:rPr>
          <w:spacing w:val="-11"/>
        </w:rPr>
        <w:t> </w:t>
      </w:r>
      <w:r>
        <w:rPr/>
        <w:t>с</w:t>
      </w:r>
      <w:r>
        <w:rPr>
          <w:spacing w:val="-11"/>
        </w:rPr>
        <w:t> </w:t>
      </w:r>
      <w:r>
        <w:rPr/>
        <w:t>двумя</w:t>
      </w:r>
      <w:r>
        <w:rPr>
          <w:spacing w:val="-11"/>
        </w:rPr>
        <w:t> </w:t>
      </w:r>
      <w:r>
        <w:rPr/>
        <w:t>основными</w:t>
      </w:r>
      <w:r>
        <w:rPr>
          <w:spacing w:val="-11"/>
        </w:rPr>
        <w:t> </w:t>
      </w:r>
      <w:r>
        <w:rPr/>
        <w:t>проблемами,</w:t>
      </w:r>
      <w:r>
        <w:rPr>
          <w:spacing w:val="-12"/>
        </w:rPr>
        <w:t> </w:t>
      </w:r>
      <w:r>
        <w:rPr/>
        <w:t>которые решает мигрант: сохранение культуры страны исхода и освоение культуры принимающего общества. В соответствии с этим выделяются четыре стратегии аккультурации, в разной степени отражающие решение этих базовых проблем.</w:t>
      </w:r>
    </w:p>
    <w:p>
      <w:pPr>
        <w:pStyle w:val="Heading4"/>
        <w:spacing w:line="276" w:lineRule="auto" w:before="2"/>
        <w:ind w:left="1702" w:right="849" w:firstLine="566"/>
      </w:pPr>
      <w:r>
        <w:rPr>
          <w:i/>
        </w:rPr>
        <w:t>Ассимиляция </w:t>
      </w:r>
      <w:r>
        <w:rPr/>
        <w:t>— это постепенное добровольное или принудительное принятие обычаев, верований, норм принимающего общества, вплоть до полного растворения в нем (</w:t>
      </w:r>
      <w:r>
        <w:rPr>
          <w:i/>
        </w:rPr>
        <w:t>Стефаненко</w:t>
      </w:r>
      <w:r>
        <w:rPr/>
        <w:t>, 2014). Она случается, когда мигранты не желают поддерживать свою культурную идентичность и стремятся к повседневному взаимодействию с культурой страны/региона нового проживания (Кросс-культурная психология, 2007). В этом случае мигрант</w:t>
      </w:r>
      <w:r>
        <w:rPr>
          <w:spacing w:val="-18"/>
        </w:rPr>
        <w:t> </w:t>
      </w:r>
      <w:r>
        <w:rPr/>
        <w:t>полностью</w:t>
      </w:r>
      <w:r>
        <w:rPr>
          <w:spacing w:val="-17"/>
        </w:rPr>
        <w:t> </w:t>
      </w:r>
      <w:r>
        <w:rPr/>
        <w:t>идентифицируется</w:t>
      </w:r>
      <w:r>
        <w:rPr>
          <w:spacing w:val="-18"/>
        </w:rPr>
        <w:t> </w:t>
      </w:r>
      <w:r>
        <w:rPr/>
        <w:t>с</w:t>
      </w:r>
      <w:r>
        <w:rPr>
          <w:spacing w:val="-17"/>
        </w:rPr>
        <w:t> </w:t>
      </w:r>
      <w:r>
        <w:rPr/>
        <w:t>новой</w:t>
      </w:r>
      <w:r>
        <w:rPr>
          <w:spacing w:val="-18"/>
        </w:rPr>
        <w:t> </w:t>
      </w:r>
      <w:r>
        <w:rPr/>
        <w:t>культурой</w:t>
      </w:r>
      <w:r>
        <w:rPr>
          <w:spacing w:val="-17"/>
        </w:rPr>
        <w:t> </w:t>
      </w:r>
      <w:r>
        <w:rPr/>
        <w:t>и</w:t>
      </w:r>
      <w:r>
        <w:rPr>
          <w:spacing w:val="-18"/>
        </w:rPr>
        <w:t> </w:t>
      </w:r>
      <w:r>
        <w:rPr/>
        <w:t>отрицает</w:t>
      </w:r>
      <w:r>
        <w:rPr>
          <w:spacing w:val="-17"/>
        </w:rPr>
        <w:t> </w:t>
      </w:r>
      <w:r>
        <w:rPr/>
        <w:t>культуру этнического меньшинства, к которому принадлежит (</w:t>
      </w:r>
      <w:r>
        <w:rPr>
          <w:i/>
        </w:rPr>
        <w:t>Лебедева</w:t>
      </w:r>
      <w:r>
        <w:rPr/>
        <w:t>, 2011).</w:t>
      </w:r>
    </w:p>
    <w:p>
      <w:pPr>
        <w:pStyle w:val="Heading4"/>
        <w:spacing w:line="276" w:lineRule="auto"/>
        <w:ind w:left="1702" w:right="845" w:firstLine="566"/>
      </w:pPr>
      <w:r>
        <w:rPr>
          <w:i/>
        </w:rPr>
        <w:t>Сепарация </w:t>
      </w:r>
      <w:r>
        <w:rPr/>
        <w:t>— полная противоположность ассимиляции, при которой люди придают значение сохранению своей собственной культуры и в то же время хотят избежать взаимодействия с другими культурами (</w:t>
      </w:r>
      <w:r>
        <w:rPr>
          <w:i/>
        </w:rPr>
        <w:t>Берри, Пуртинга, Сигал</w:t>
      </w:r>
      <w:r>
        <w:rPr/>
        <w:t>, 2007). Мигранты отрицают культуру большинства и сохраняют</w:t>
      </w:r>
      <w:r>
        <w:rPr>
          <w:spacing w:val="-18"/>
        </w:rPr>
        <w:t> </w:t>
      </w:r>
      <w:r>
        <w:rPr/>
        <w:t>свои</w:t>
      </w:r>
      <w:r>
        <w:rPr>
          <w:spacing w:val="-17"/>
        </w:rPr>
        <w:t> </w:t>
      </w:r>
      <w:r>
        <w:rPr/>
        <w:t>этнические</w:t>
      </w:r>
      <w:r>
        <w:rPr>
          <w:spacing w:val="-18"/>
        </w:rPr>
        <w:t> </w:t>
      </w:r>
      <w:r>
        <w:rPr/>
        <w:t>особенности</w:t>
      </w:r>
      <w:r>
        <w:rPr>
          <w:spacing w:val="-17"/>
        </w:rPr>
        <w:t> </w:t>
      </w:r>
      <w:r>
        <w:rPr/>
        <w:t>(</w:t>
      </w:r>
      <w:r>
        <w:rPr>
          <w:i/>
        </w:rPr>
        <w:t>Лебедева</w:t>
      </w:r>
      <w:r>
        <w:rPr/>
        <w:t>,</w:t>
      </w:r>
      <w:r>
        <w:rPr>
          <w:spacing w:val="-18"/>
        </w:rPr>
        <w:t> </w:t>
      </w:r>
      <w:r>
        <w:rPr/>
        <w:t>2011),</w:t>
      </w:r>
      <w:r>
        <w:rPr>
          <w:spacing w:val="-17"/>
        </w:rPr>
        <w:t> </w:t>
      </w:r>
      <w:r>
        <w:rPr/>
        <w:t>они</w:t>
      </w:r>
      <w:r>
        <w:rPr>
          <w:spacing w:val="-18"/>
        </w:rPr>
        <w:t> </w:t>
      </w:r>
      <w:r>
        <w:rPr/>
        <w:t>ориентированы на раздельное, обособленное существование с минимальным контактом с принимающим обществом (</w:t>
      </w:r>
      <w:r>
        <w:rPr>
          <w:i/>
        </w:rPr>
        <w:t>Стефаненко</w:t>
      </w:r>
      <w:r>
        <w:rPr/>
        <w:t>, 2014).</w:t>
      </w:r>
    </w:p>
    <w:p>
      <w:pPr>
        <w:pStyle w:val="Heading4"/>
        <w:spacing w:line="276" w:lineRule="auto"/>
        <w:ind w:left="1702" w:right="848" w:firstLine="566"/>
      </w:pPr>
      <w:r>
        <w:rPr>
          <w:i/>
        </w:rPr>
        <w:t>Маргинализация </w:t>
      </w:r>
      <w:r>
        <w:rPr/>
        <w:t>происходит тогда, когда мигранты не идентифицируют себя</w:t>
      </w:r>
      <w:r>
        <w:rPr>
          <w:spacing w:val="25"/>
        </w:rPr>
        <w:t> </w:t>
      </w:r>
      <w:r>
        <w:rPr/>
        <w:t>ни</w:t>
      </w:r>
      <w:r>
        <w:rPr>
          <w:spacing w:val="30"/>
        </w:rPr>
        <w:t> </w:t>
      </w:r>
      <w:r>
        <w:rPr/>
        <w:t>с</w:t>
      </w:r>
      <w:r>
        <w:rPr>
          <w:spacing w:val="26"/>
        </w:rPr>
        <w:t> </w:t>
      </w:r>
      <w:r>
        <w:rPr/>
        <w:t>культурой</w:t>
      </w:r>
      <w:r>
        <w:rPr>
          <w:spacing w:val="30"/>
        </w:rPr>
        <w:t> </w:t>
      </w:r>
      <w:r>
        <w:rPr/>
        <w:t>этнического</w:t>
      </w:r>
      <w:r>
        <w:rPr>
          <w:spacing w:val="27"/>
        </w:rPr>
        <w:t> </w:t>
      </w:r>
      <w:r>
        <w:rPr/>
        <w:t>меньшинства,</w:t>
      </w:r>
      <w:r>
        <w:rPr>
          <w:spacing w:val="29"/>
        </w:rPr>
        <w:t> </w:t>
      </w:r>
      <w:r>
        <w:rPr/>
        <w:t>ни</w:t>
      </w:r>
      <w:r>
        <w:rPr>
          <w:spacing w:val="29"/>
        </w:rPr>
        <w:t> </w:t>
      </w:r>
      <w:r>
        <w:rPr/>
        <w:t>с</w:t>
      </w:r>
      <w:r>
        <w:rPr>
          <w:spacing w:val="27"/>
        </w:rPr>
        <w:t> </w:t>
      </w:r>
      <w:r>
        <w:rPr/>
        <w:t>культурой</w:t>
      </w:r>
      <w:r>
        <w:rPr>
          <w:spacing w:val="30"/>
        </w:rPr>
        <w:t> </w:t>
      </w:r>
      <w:r>
        <w:rPr>
          <w:spacing w:val="-2"/>
        </w:rPr>
        <w:t>этнического</w:t>
      </w:r>
    </w:p>
    <w:p>
      <w:pPr>
        <w:pStyle w:val="Heading4"/>
        <w:spacing w:after="0" w:line="276" w:lineRule="auto"/>
        <w:sectPr>
          <w:pgSz w:w="11910" w:h="16840"/>
          <w:pgMar w:header="0" w:footer="956" w:top="1040" w:bottom="1220" w:left="0" w:right="0"/>
        </w:sectPr>
      </w:pPr>
    </w:p>
    <w:p>
      <w:pPr>
        <w:pStyle w:val="Heading4"/>
        <w:spacing w:line="276" w:lineRule="auto" w:before="67"/>
        <w:ind w:left="1702" w:right="851"/>
      </w:pPr>
      <w:r>
        <w:rPr/>
        <w:t>большинства (</w:t>
      </w:r>
      <w:r>
        <w:rPr>
          <w:i/>
        </w:rPr>
        <w:t>Стефаненко</w:t>
      </w:r>
      <w:r>
        <w:rPr/>
        <w:t>, 2014). При этом у них мало возможностей или заинтересованности в сохранении своей культуры (часто по причине ее вынужденной</w:t>
      </w:r>
      <w:r>
        <w:rPr>
          <w:spacing w:val="-4"/>
        </w:rPr>
        <w:t> </w:t>
      </w:r>
      <w:r>
        <w:rPr/>
        <w:t>потери)</w:t>
      </w:r>
      <w:r>
        <w:rPr>
          <w:spacing w:val="-3"/>
        </w:rPr>
        <w:t> </w:t>
      </w:r>
      <w:r>
        <w:rPr/>
        <w:t>и</w:t>
      </w:r>
      <w:r>
        <w:rPr>
          <w:spacing w:val="-4"/>
        </w:rPr>
        <w:t> </w:t>
      </w:r>
      <w:r>
        <w:rPr/>
        <w:t>незначительная</w:t>
      </w:r>
      <w:r>
        <w:rPr>
          <w:spacing w:val="-5"/>
        </w:rPr>
        <w:t> </w:t>
      </w:r>
      <w:r>
        <w:rPr/>
        <w:t>заинтересованность</w:t>
      </w:r>
      <w:r>
        <w:rPr>
          <w:spacing w:val="-6"/>
        </w:rPr>
        <w:t> </w:t>
      </w:r>
      <w:r>
        <w:rPr/>
        <w:t>во</w:t>
      </w:r>
      <w:r>
        <w:rPr>
          <w:spacing w:val="-2"/>
        </w:rPr>
        <w:t> </w:t>
      </w:r>
      <w:r>
        <w:rPr/>
        <w:t>взаимосвязи</w:t>
      </w:r>
      <w:r>
        <w:rPr>
          <w:spacing w:val="-4"/>
        </w:rPr>
        <w:t> </w:t>
      </w:r>
      <w:r>
        <w:rPr/>
        <w:t>с другими группами (часто по причине исключения или дискриминации) (</w:t>
      </w:r>
      <w:r>
        <w:rPr>
          <w:i/>
        </w:rPr>
        <w:t>Берри, Пуртинга, Сигал</w:t>
      </w:r>
      <w:r>
        <w:rPr/>
        <w:t>, 2007).</w:t>
      </w:r>
    </w:p>
    <w:p>
      <w:pPr>
        <w:pStyle w:val="Heading4"/>
        <w:spacing w:line="276" w:lineRule="auto" w:before="2"/>
        <w:ind w:left="1702" w:right="847" w:firstLine="566"/>
      </w:pPr>
      <w:r>
        <w:rPr>
          <w:i/>
        </w:rPr>
        <w:t>Интеграция </w:t>
      </w:r>
      <w:r>
        <w:rPr/>
        <w:t>предполагает сохранение ориентации на нормы культуры исхода и соответствующей идентичности вместе с освоением норм и правил принимающего</w:t>
      </w:r>
      <w:r>
        <w:rPr>
          <w:spacing w:val="-18"/>
        </w:rPr>
        <w:t> </w:t>
      </w:r>
      <w:r>
        <w:rPr/>
        <w:t>общества,</w:t>
      </w:r>
      <w:r>
        <w:rPr>
          <w:spacing w:val="-17"/>
        </w:rPr>
        <w:t> </w:t>
      </w:r>
      <w:r>
        <w:rPr/>
        <w:t>включение</w:t>
      </w:r>
      <w:r>
        <w:rPr>
          <w:spacing w:val="-18"/>
        </w:rPr>
        <w:t> </w:t>
      </w:r>
      <w:r>
        <w:rPr/>
        <w:t>в</w:t>
      </w:r>
      <w:r>
        <w:rPr>
          <w:spacing w:val="-17"/>
        </w:rPr>
        <w:t> </w:t>
      </w:r>
      <w:r>
        <w:rPr/>
        <w:t>культуру</w:t>
      </w:r>
      <w:r>
        <w:rPr>
          <w:spacing w:val="-18"/>
        </w:rPr>
        <w:t> </w:t>
      </w:r>
      <w:r>
        <w:rPr/>
        <w:t>принимающего</w:t>
      </w:r>
      <w:r>
        <w:rPr>
          <w:spacing w:val="-17"/>
        </w:rPr>
        <w:t> </w:t>
      </w:r>
      <w:r>
        <w:rPr/>
        <w:t>общества</w:t>
      </w:r>
      <w:r>
        <w:rPr>
          <w:spacing w:val="-18"/>
        </w:rPr>
        <w:t> </w:t>
      </w:r>
      <w:r>
        <w:rPr/>
        <w:t>при сохранении родной культурной среды; результатом является их объединение (</w:t>
      </w:r>
      <w:r>
        <w:rPr>
          <w:i/>
        </w:rPr>
        <w:t>Берри, Пуртинга, Сигал</w:t>
      </w:r>
      <w:r>
        <w:rPr/>
        <w:t>, 2007).</w:t>
      </w:r>
    </w:p>
    <w:p>
      <w:pPr>
        <w:pStyle w:val="Heading4"/>
        <w:spacing w:line="276" w:lineRule="auto"/>
        <w:ind w:left="1702" w:right="847" w:firstLine="566"/>
      </w:pPr>
      <w:r>
        <w:rPr/>
        <w:t>Проблемы аккультурации тесно связаны с вопросами этнической и гражданской идентичности. Этническая идентичность — представление о себе как о члене этнической группы (</w:t>
      </w:r>
      <w:r>
        <w:rPr>
          <w:i/>
        </w:rPr>
        <w:t>Стефаненко, </w:t>
      </w:r>
      <w:r>
        <w:rPr/>
        <w:t>2014), «представление о своем народе, его языке, культуре, территории, интересах, а также эмоциональное отношение к ним и при определенных условиях готовность действовать во имя этих представлений» (</w:t>
      </w:r>
      <w:r>
        <w:rPr>
          <w:i/>
        </w:rPr>
        <w:t>Дробижева, </w:t>
      </w:r>
      <w:r>
        <w:rPr/>
        <w:t>2008, с. 219). Под гражданской</w:t>
      </w:r>
      <w:r>
        <w:rPr>
          <w:spacing w:val="45"/>
          <w:w w:val="150"/>
        </w:rPr>
        <w:t>  </w:t>
      </w:r>
      <w:r>
        <w:rPr/>
        <w:t>идентичностью</w:t>
      </w:r>
      <w:r>
        <w:rPr>
          <w:spacing w:val="46"/>
          <w:w w:val="150"/>
        </w:rPr>
        <w:t>  </w:t>
      </w:r>
      <w:r>
        <w:rPr/>
        <w:t>мы</w:t>
      </w:r>
      <w:r>
        <w:rPr>
          <w:spacing w:val="47"/>
          <w:w w:val="150"/>
        </w:rPr>
        <w:t>  </w:t>
      </w:r>
      <w:r>
        <w:rPr/>
        <w:t>понимаем,</w:t>
      </w:r>
      <w:r>
        <w:rPr>
          <w:spacing w:val="46"/>
          <w:w w:val="150"/>
        </w:rPr>
        <w:t>  </w:t>
      </w:r>
      <w:r>
        <w:rPr/>
        <w:t>вслед</w:t>
      </w:r>
      <w:r>
        <w:rPr>
          <w:spacing w:val="48"/>
          <w:w w:val="150"/>
        </w:rPr>
        <w:t>  </w:t>
      </w:r>
      <w:r>
        <w:rPr/>
        <w:t>за</w:t>
      </w:r>
      <w:r>
        <w:rPr>
          <w:spacing w:val="47"/>
          <w:w w:val="150"/>
        </w:rPr>
        <w:t>  </w:t>
      </w:r>
      <w:r>
        <w:rPr>
          <w:spacing w:val="-2"/>
        </w:rPr>
        <w:t>Дробижевой,</w:t>
      </w:r>
    </w:p>
    <w:p>
      <w:pPr>
        <w:pStyle w:val="Heading4"/>
        <w:spacing w:line="276" w:lineRule="auto"/>
        <w:ind w:left="1702" w:right="852"/>
      </w:pPr>
      <w:r>
        <w:rPr/>
        <w:t>«отождествление себя с гражданами страны, представления об этом сообществе, ответственность за судьбу страны и переживаемые людьми в связи с этим чувства» (</w:t>
      </w:r>
      <w:r>
        <w:rPr>
          <w:i/>
        </w:rPr>
        <w:t>там же, </w:t>
      </w:r>
      <w:r>
        <w:rPr/>
        <w:t>с. 218).</w:t>
      </w:r>
    </w:p>
    <w:p>
      <w:pPr>
        <w:pStyle w:val="Heading4"/>
        <w:spacing w:line="276" w:lineRule="auto" w:before="1"/>
        <w:ind w:left="1702" w:right="845" w:firstLine="566"/>
      </w:pPr>
      <w:r>
        <w:rPr>
          <w:i/>
        </w:rPr>
        <w:t>Celenk</w:t>
      </w:r>
      <w:r>
        <w:rPr>
          <w:i/>
          <w:spacing w:val="-18"/>
        </w:rPr>
        <w:t> </w:t>
      </w:r>
      <w:r>
        <w:rPr/>
        <w:t>и</w:t>
      </w:r>
      <w:r>
        <w:rPr>
          <w:spacing w:val="-17"/>
        </w:rPr>
        <w:t> </w:t>
      </w:r>
      <w:r>
        <w:rPr>
          <w:i/>
        </w:rPr>
        <w:t>Van</w:t>
      </w:r>
      <w:r>
        <w:rPr>
          <w:i/>
          <w:spacing w:val="-18"/>
        </w:rPr>
        <w:t> </w:t>
      </w:r>
      <w:r>
        <w:rPr>
          <w:i/>
        </w:rPr>
        <w:t>de</w:t>
      </w:r>
      <w:r>
        <w:rPr>
          <w:i/>
          <w:spacing w:val="-17"/>
        </w:rPr>
        <w:t> </w:t>
      </w:r>
      <w:r>
        <w:rPr>
          <w:i/>
        </w:rPr>
        <w:t>Vijver</w:t>
      </w:r>
      <w:r>
        <w:rPr>
          <w:i/>
          <w:spacing w:val="-18"/>
        </w:rPr>
        <w:t> </w:t>
      </w:r>
      <w:r>
        <w:rPr/>
        <w:t>при</w:t>
      </w:r>
      <w:r>
        <w:rPr>
          <w:spacing w:val="-17"/>
        </w:rPr>
        <w:t> </w:t>
      </w:r>
      <w:r>
        <w:rPr/>
        <w:t>оценке</w:t>
      </w:r>
      <w:r>
        <w:rPr>
          <w:spacing w:val="-18"/>
        </w:rPr>
        <w:t> </w:t>
      </w:r>
      <w:r>
        <w:rPr/>
        <w:t>инструментов</w:t>
      </w:r>
      <w:r>
        <w:rPr>
          <w:spacing w:val="-17"/>
        </w:rPr>
        <w:t> </w:t>
      </w:r>
      <w:r>
        <w:rPr/>
        <w:t>измерения</w:t>
      </w:r>
      <w:r>
        <w:rPr>
          <w:spacing w:val="-18"/>
        </w:rPr>
        <w:t> </w:t>
      </w:r>
      <w:r>
        <w:rPr/>
        <w:t>аккультурации уделяют большое внимание их концептуальной основе (</w:t>
      </w:r>
      <w:r>
        <w:rPr>
          <w:i/>
        </w:rPr>
        <w:t>Celenk, Van de Vijver, </w:t>
      </w:r>
      <w:r>
        <w:rPr/>
        <w:t>2011). Отмечается, что при оценке аккультурации могут анализироваться следующие</w:t>
      </w:r>
      <w:r>
        <w:rPr>
          <w:spacing w:val="-10"/>
        </w:rPr>
        <w:t> </w:t>
      </w:r>
      <w:r>
        <w:rPr/>
        <w:t>параметры:</w:t>
      </w:r>
      <w:r>
        <w:rPr>
          <w:spacing w:val="-10"/>
        </w:rPr>
        <w:t> </w:t>
      </w:r>
      <w:r>
        <w:rPr/>
        <w:t>условия</w:t>
      </w:r>
      <w:r>
        <w:rPr>
          <w:spacing w:val="-9"/>
        </w:rPr>
        <w:t> </w:t>
      </w:r>
      <w:r>
        <w:rPr/>
        <w:t>аккультурации</w:t>
      </w:r>
      <w:r>
        <w:rPr>
          <w:spacing w:val="-10"/>
        </w:rPr>
        <w:t> </w:t>
      </w:r>
      <w:r>
        <w:rPr/>
        <w:t>(в</w:t>
      </w:r>
      <w:r>
        <w:rPr>
          <w:spacing w:val="-10"/>
        </w:rPr>
        <w:t> </w:t>
      </w:r>
      <w:r>
        <w:rPr/>
        <w:t>частности,</w:t>
      </w:r>
      <w:r>
        <w:rPr>
          <w:spacing w:val="-10"/>
        </w:rPr>
        <w:t> </w:t>
      </w:r>
      <w:r>
        <w:rPr/>
        <w:t>воспринимаемая дискриминация),</w:t>
      </w:r>
      <w:r>
        <w:rPr>
          <w:spacing w:val="-4"/>
        </w:rPr>
        <w:t> </w:t>
      </w:r>
      <w:r>
        <w:rPr/>
        <w:t>стратегии</w:t>
      </w:r>
      <w:r>
        <w:rPr>
          <w:spacing w:val="-4"/>
        </w:rPr>
        <w:t> </w:t>
      </w:r>
      <w:r>
        <w:rPr/>
        <w:t>аккультурации,</w:t>
      </w:r>
      <w:r>
        <w:rPr>
          <w:spacing w:val="-5"/>
        </w:rPr>
        <w:t> </w:t>
      </w:r>
      <w:r>
        <w:rPr/>
        <w:t>итоги</w:t>
      </w:r>
      <w:r>
        <w:rPr>
          <w:spacing w:val="-4"/>
        </w:rPr>
        <w:t> </w:t>
      </w:r>
      <w:r>
        <w:rPr/>
        <w:t>аккультурации</w:t>
      </w:r>
      <w:r>
        <w:rPr>
          <w:spacing w:val="-4"/>
        </w:rPr>
        <w:t> </w:t>
      </w:r>
      <w:r>
        <w:rPr/>
        <w:t>(в</w:t>
      </w:r>
      <w:r>
        <w:rPr>
          <w:spacing w:val="-5"/>
        </w:rPr>
        <w:t> </w:t>
      </w:r>
      <w:r>
        <w:rPr/>
        <w:t>том</w:t>
      </w:r>
      <w:r>
        <w:rPr>
          <w:spacing w:val="-4"/>
        </w:rPr>
        <w:t> </w:t>
      </w:r>
      <w:r>
        <w:rPr/>
        <w:t>числе аккультурационный стресс), аккультурационное поведение, области аккультурации (показано, что в различных областях социальной практики, например общественной и семейной,</w:t>
      </w:r>
      <w:r>
        <w:rPr>
          <w:spacing w:val="-1"/>
        </w:rPr>
        <w:t> </w:t>
      </w:r>
      <w:r>
        <w:rPr/>
        <w:t>поведение, связанное с аккультурацией, и соответствующие стратегии могут различаться).</w:t>
      </w:r>
    </w:p>
    <w:p>
      <w:pPr>
        <w:pStyle w:val="Heading4"/>
        <w:spacing w:line="276" w:lineRule="auto" w:before="1"/>
        <w:ind w:left="1702" w:right="850" w:firstLine="566"/>
      </w:pPr>
      <w:r>
        <w:rPr/>
        <w:t>Воспринимаемая дискриминация предполагает оценку мигрантами взглядов и поведения представителей принимающего общества как дискриминационных и оказывает большое влияние на выбор стратегии аккультурации (</w:t>
      </w:r>
      <w:r>
        <w:rPr>
          <w:i/>
        </w:rPr>
        <w:t>Лепшокова, Лебедева</w:t>
      </w:r>
      <w:r>
        <w:rPr/>
        <w:t>, 2016).</w:t>
      </w:r>
    </w:p>
    <w:p>
      <w:pPr>
        <w:pStyle w:val="Heading4"/>
        <w:spacing w:line="276" w:lineRule="auto"/>
        <w:ind w:left="1702" w:right="848" w:firstLine="566"/>
      </w:pPr>
      <w:r>
        <w:rPr/>
        <w:t>Аккультурационный стресс означает ухудшение физического и психосоциального здоровья индивидов, которые должны адаптироваться к новой культуре и функционировать в среде, в которой недостает привычных культурных связей, социального статуса и поддержки (</w:t>
      </w:r>
      <w:r>
        <w:rPr>
          <w:i/>
        </w:rPr>
        <w:t>Berry </w:t>
      </w:r>
      <w:r>
        <w:rPr/>
        <w:t>et al., 1987).</w:t>
      </w:r>
    </w:p>
    <w:p>
      <w:pPr>
        <w:pStyle w:val="Heading4"/>
        <w:spacing w:line="276" w:lineRule="auto"/>
        <w:ind w:left="1702" w:right="852" w:firstLine="566"/>
      </w:pPr>
      <w:r>
        <w:rPr/>
        <w:t>Именно полнота рассмотренных параметров позволяет сделать обоснованный</w:t>
      </w:r>
      <w:r>
        <w:rPr>
          <w:spacing w:val="58"/>
          <w:w w:val="150"/>
        </w:rPr>
        <w:t>  </w:t>
      </w:r>
      <w:r>
        <w:rPr/>
        <w:t>вывод</w:t>
      </w:r>
      <w:r>
        <w:rPr>
          <w:spacing w:val="58"/>
          <w:w w:val="150"/>
        </w:rPr>
        <w:t>  </w:t>
      </w:r>
      <w:r>
        <w:rPr/>
        <w:t>об</w:t>
      </w:r>
      <w:r>
        <w:rPr>
          <w:spacing w:val="58"/>
          <w:w w:val="150"/>
        </w:rPr>
        <w:t>  </w:t>
      </w:r>
      <w:r>
        <w:rPr/>
        <w:t>успешности</w:t>
      </w:r>
      <w:r>
        <w:rPr>
          <w:spacing w:val="59"/>
          <w:w w:val="150"/>
        </w:rPr>
        <w:t>  </w:t>
      </w:r>
      <w:r>
        <w:rPr/>
        <w:t>аккультурации.</w:t>
      </w:r>
      <w:r>
        <w:rPr>
          <w:spacing w:val="58"/>
          <w:w w:val="150"/>
        </w:rPr>
        <w:t>  </w:t>
      </w:r>
      <w:r>
        <w:rPr/>
        <w:t>Для</w:t>
      </w:r>
      <w:r>
        <w:rPr>
          <w:spacing w:val="58"/>
          <w:w w:val="150"/>
        </w:rPr>
        <w:t>  </w:t>
      </w:r>
      <w:r>
        <w:rPr>
          <w:spacing w:val="-2"/>
        </w:rPr>
        <w:t>оценки</w:t>
      </w:r>
    </w:p>
    <w:p>
      <w:pPr>
        <w:pStyle w:val="Heading4"/>
        <w:spacing w:after="0" w:line="276" w:lineRule="auto"/>
        <w:sectPr>
          <w:pgSz w:w="11910" w:h="16840"/>
          <w:pgMar w:header="0" w:footer="956" w:top="1040" w:bottom="1220" w:left="0" w:right="0"/>
        </w:sectPr>
      </w:pPr>
    </w:p>
    <w:p>
      <w:pPr>
        <w:pStyle w:val="Heading4"/>
        <w:spacing w:line="276" w:lineRule="auto" w:before="67"/>
        <w:ind w:left="1702" w:right="848"/>
      </w:pPr>
      <w:r>
        <w:rPr/>
        <w:t>аккультурации</w:t>
      </w:r>
      <w:r>
        <w:rPr>
          <w:spacing w:val="-16"/>
        </w:rPr>
        <w:t> </w:t>
      </w:r>
      <w:r>
        <w:rPr/>
        <w:t>используются</w:t>
      </w:r>
      <w:r>
        <w:rPr>
          <w:spacing w:val="-14"/>
        </w:rPr>
        <w:t> </w:t>
      </w:r>
      <w:r>
        <w:rPr/>
        <w:t>стандартизированные</w:t>
      </w:r>
      <w:r>
        <w:rPr>
          <w:spacing w:val="-14"/>
        </w:rPr>
        <w:t> </w:t>
      </w:r>
      <w:r>
        <w:rPr/>
        <w:t>опросники,</w:t>
      </w:r>
      <w:r>
        <w:rPr>
          <w:spacing w:val="-15"/>
        </w:rPr>
        <w:t> </w:t>
      </w:r>
      <w:r>
        <w:rPr/>
        <w:t>текст</w:t>
      </w:r>
      <w:r>
        <w:rPr>
          <w:spacing w:val="-14"/>
        </w:rPr>
        <w:t> </w:t>
      </w:r>
      <w:r>
        <w:rPr/>
        <w:t>которых уточняется для конкретной группы мигрантов с учетом страны исхода и принимающей культуры (</w:t>
      </w:r>
      <w:r>
        <w:rPr>
          <w:i/>
        </w:rPr>
        <w:t>Celenk </w:t>
      </w:r>
      <w:r>
        <w:rPr/>
        <w:t>&amp; </w:t>
      </w:r>
      <w:r>
        <w:rPr>
          <w:i/>
        </w:rPr>
        <w:t>Van de Vijver, </w:t>
      </w:r>
      <w:r>
        <w:rPr/>
        <w:t>2011).</w:t>
      </w:r>
    </w:p>
    <w:p>
      <w:pPr>
        <w:pStyle w:val="Heading4"/>
        <w:spacing w:line="276" w:lineRule="auto" w:before="1"/>
        <w:ind w:left="1702" w:right="845" w:firstLine="566"/>
      </w:pPr>
      <w:r>
        <w:rPr/>
        <w:t>Таким образом, оценка особых (дополнительных) психологических потребностей, связанных с культурной адаптацией, осуществляется посредством</w:t>
      </w:r>
      <w:r>
        <w:rPr>
          <w:spacing w:val="-3"/>
        </w:rPr>
        <w:t> </w:t>
      </w:r>
      <w:r>
        <w:rPr/>
        <w:t>опросников,</w:t>
      </w:r>
      <w:r>
        <w:rPr>
          <w:spacing w:val="-1"/>
        </w:rPr>
        <w:t> </w:t>
      </w:r>
      <w:r>
        <w:rPr/>
        <w:t>измеряющих</w:t>
      </w:r>
      <w:r>
        <w:rPr>
          <w:spacing w:val="-2"/>
        </w:rPr>
        <w:t> </w:t>
      </w:r>
      <w:r>
        <w:rPr/>
        <w:t>ориентацию</w:t>
      </w:r>
      <w:r>
        <w:rPr>
          <w:spacing w:val="-1"/>
        </w:rPr>
        <w:t> </w:t>
      </w:r>
      <w:r>
        <w:rPr/>
        <w:t>на нормы принимающего общества (российского) и страны исхода, этническую и гражданскую идентичность, аккультурационный стресс и воспринимаемую дискриминацию, причем формулировка всех пунктов должна уточняться, чтобы отражать адаптацию мигрантов именно в российское общество.</w:t>
      </w:r>
    </w:p>
    <w:p>
      <w:pPr>
        <w:pStyle w:val="Heading2"/>
        <w:spacing w:before="245"/>
        <w:ind w:left="1702"/>
      </w:pPr>
      <w:bookmarkStart w:name="_bookmark4" w:id="6"/>
      <w:bookmarkEnd w:id="6"/>
      <w:r>
        <w:rPr>
          <w:b w:val="0"/>
        </w:rPr>
      </w:r>
      <w:r>
        <w:rPr>
          <w:spacing w:val="-2"/>
        </w:rPr>
        <w:t>Библиография</w:t>
      </w:r>
    </w:p>
    <w:p>
      <w:pPr>
        <w:pStyle w:val="Heading4"/>
        <w:numPr>
          <w:ilvl w:val="0"/>
          <w:numId w:val="5"/>
        </w:numPr>
        <w:tabs>
          <w:tab w:pos="2422" w:val="left" w:leader="none"/>
        </w:tabs>
        <w:spacing w:line="276" w:lineRule="auto" w:before="286" w:after="0"/>
        <w:ind w:left="2422" w:right="843" w:hanging="360"/>
        <w:jc w:val="both"/>
      </w:pPr>
      <w:r>
        <w:rPr/>
        <w:t>Александров Д.</w:t>
      </w:r>
      <w:r>
        <w:rPr>
          <w:spacing w:val="-1"/>
        </w:rPr>
        <w:t> </w:t>
      </w:r>
      <w:r>
        <w:rPr/>
        <w:t>А., Баранова В.</w:t>
      </w:r>
      <w:r>
        <w:rPr>
          <w:spacing w:val="-1"/>
        </w:rPr>
        <w:t> </w:t>
      </w:r>
      <w:r>
        <w:rPr/>
        <w:t>В., Иванюшина В.</w:t>
      </w:r>
      <w:r>
        <w:rPr>
          <w:spacing w:val="-1"/>
        </w:rPr>
        <w:t> </w:t>
      </w:r>
      <w:r>
        <w:rPr/>
        <w:t>А. Дети и родители- мигранты во взаимодействии с</w:t>
      </w:r>
      <w:r>
        <w:rPr>
          <w:spacing w:val="-1"/>
        </w:rPr>
        <w:t> </w:t>
      </w:r>
      <w:r>
        <w:rPr/>
        <w:t>российской школой // Вопросы образования</w:t>
      </w:r>
      <w:r>
        <w:rPr>
          <w:spacing w:val="-17"/>
        </w:rPr>
        <w:t> </w:t>
      </w:r>
      <w:r>
        <w:rPr/>
        <w:t>/</w:t>
      </w:r>
      <w:r>
        <w:rPr>
          <w:spacing w:val="-14"/>
        </w:rPr>
        <w:t> </w:t>
      </w:r>
      <w:r>
        <w:rPr/>
        <w:t>Educational</w:t>
      </w:r>
      <w:r>
        <w:rPr>
          <w:spacing w:val="-14"/>
        </w:rPr>
        <w:t> </w:t>
      </w:r>
      <w:r>
        <w:rPr/>
        <w:t>Studies</w:t>
      </w:r>
      <w:r>
        <w:rPr>
          <w:spacing w:val="-16"/>
        </w:rPr>
        <w:t> </w:t>
      </w:r>
      <w:r>
        <w:rPr/>
        <w:t>Moscow.</w:t>
      </w:r>
      <w:r>
        <w:rPr>
          <w:spacing w:val="-16"/>
        </w:rPr>
        <w:t> </w:t>
      </w:r>
      <w:r>
        <w:rPr/>
        <w:t>—</w:t>
      </w:r>
      <w:r>
        <w:rPr>
          <w:spacing w:val="-15"/>
        </w:rPr>
        <w:t> </w:t>
      </w:r>
      <w:r>
        <w:rPr/>
        <w:t>2012.</w:t>
      </w:r>
      <w:r>
        <w:rPr>
          <w:spacing w:val="-15"/>
        </w:rPr>
        <w:t> </w:t>
      </w:r>
      <w:r>
        <w:rPr/>
        <w:t>—</w:t>
      </w:r>
      <w:r>
        <w:rPr>
          <w:spacing w:val="-17"/>
        </w:rPr>
        <w:t> </w:t>
      </w:r>
      <w:r>
        <w:rPr/>
        <w:t>№</w:t>
      </w:r>
      <w:r>
        <w:rPr>
          <w:spacing w:val="-17"/>
        </w:rPr>
        <w:t> </w:t>
      </w:r>
      <w:r>
        <w:rPr/>
        <w:t>1.</w:t>
      </w:r>
      <w:r>
        <w:rPr>
          <w:spacing w:val="-17"/>
        </w:rPr>
        <w:t> </w:t>
      </w:r>
      <w:r>
        <w:rPr/>
        <w:t>—</w:t>
      </w:r>
      <w:r>
        <w:rPr>
          <w:spacing w:val="-15"/>
        </w:rPr>
        <w:t> </w:t>
      </w:r>
      <w:r>
        <w:rPr/>
        <w:t>c.</w:t>
      </w:r>
      <w:r>
        <w:rPr>
          <w:spacing w:val="-15"/>
        </w:rPr>
        <w:t> </w:t>
      </w:r>
      <w:r>
        <w:rPr/>
        <w:t>176–199. doi: 10.17323/1814-9545-2012-1-176-199.</w:t>
      </w:r>
    </w:p>
    <w:p>
      <w:pPr>
        <w:pStyle w:val="Heading4"/>
        <w:numPr>
          <w:ilvl w:val="0"/>
          <w:numId w:val="5"/>
        </w:numPr>
        <w:tabs>
          <w:tab w:pos="2422" w:val="left" w:leader="none"/>
        </w:tabs>
        <w:spacing w:line="276" w:lineRule="auto" w:before="0" w:after="0"/>
        <w:ind w:left="2422" w:right="844" w:hanging="360"/>
        <w:jc w:val="both"/>
      </w:pPr>
      <w:r>
        <w:rPr/>
        <w:t>Арчакова</w:t>
      </w:r>
      <w:r>
        <w:rPr>
          <w:spacing w:val="40"/>
        </w:rPr>
        <w:t> </w:t>
      </w:r>
      <w:r>
        <w:rPr/>
        <w:t>Т.</w:t>
      </w:r>
      <w:r>
        <w:rPr>
          <w:spacing w:val="-1"/>
        </w:rPr>
        <w:t> </w:t>
      </w:r>
      <w:r>
        <w:rPr/>
        <w:t>О.,</w:t>
      </w:r>
      <w:r>
        <w:rPr>
          <w:spacing w:val="40"/>
        </w:rPr>
        <w:t> </w:t>
      </w:r>
      <w:r>
        <w:rPr/>
        <w:t>Веракса</w:t>
      </w:r>
      <w:r>
        <w:rPr>
          <w:spacing w:val="40"/>
        </w:rPr>
        <w:t> </w:t>
      </w:r>
      <w:r>
        <w:rPr/>
        <w:t>А.</w:t>
      </w:r>
      <w:r>
        <w:rPr>
          <w:spacing w:val="-2"/>
        </w:rPr>
        <w:t> </w:t>
      </w:r>
      <w:r>
        <w:rPr/>
        <w:t>Н.,</w:t>
      </w:r>
      <w:r>
        <w:rPr>
          <w:spacing w:val="40"/>
        </w:rPr>
        <w:t> </w:t>
      </w:r>
      <w:r>
        <w:rPr/>
        <w:t>Зотова</w:t>
      </w:r>
      <w:r>
        <w:rPr>
          <w:spacing w:val="40"/>
        </w:rPr>
        <w:t> </w:t>
      </w:r>
      <w:r>
        <w:rPr/>
        <w:t>О.</w:t>
      </w:r>
      <w:r>
        <w:rPr>
          <w:spacing w:val="-1"/>
        </w:rPr>
        <w:t> </w:t>
      </w:r>
      <w:r>
        <w:rPr/>
        <w:t>Ю.,</w:t>
      </w:r>
      <w:r>
        <w:rPr>
          <w:spacing w:val="40"/>
        </w:rPr>
        <w:t> </w:t>
      </w:r>
      <w:r>
        <w:rPr/>
        <w:t>Перелыгина</w:t>
      </w:r>
      <w:r>
        <w:rPr>
          <w:spacing w:val="40"/>
        </w:rPr>
        <w:t> </w:t>
      </w:r>
      <w:r>
        <w:rPr/>
        <w:t>Е.</w:t>
      </w:r>
      <w:r>
        <w:rPr>
          <w:spacing w:val="-1"/>
        </w:rPr>
        <w:t> </w:t>
      </w:r>
      <w:r>
        <w:rPr/>
        <w:t>Б. Субъективное благополучие у детей: инструменты измерения и возрастная динамика // Психологическая наука и образование. — 2017. Том 22. — № 6. — c. 68–76. doi:10.17759/pse.2017220606</w:t>
      </w:r>
    </w:p>
    <w:p>
      <w:pPr>
        <w:pStyle w:val="Heading4"/>
        <w:numPr>
          <w:ilvl w:val="0"/>
          <w:numId w:val="5"/>
        </w:numPr>
        <w:tabs>
          <w:tab w:pos="2422" w:val="left" w:leader="none"/>
        </w:tabs>
        <w:spacing w:line="276" w:lineRule="auto" w:before="0" w:after="0"/>
        <w:ind w:left="2422" w:right="845" w:hanging="360"/>
        <w:jc w:val="both"/>
      </w:pPr>
      <w:r>
        <w:rPr/>
        <w:t>Астоянц М.</w:t>
      </w:r>
      <w:r>
        <w:rPr>
          <w:spacing w:val="-2"/>
        </w:rPr>
        <w:t> </w:t>
      </w:r>
      <w:r>
        <w:rPr/>
        <w:t>С. Социальная инклюзия детей-сирот: проблемы и перспективы российской социальной политики // Известия Южного федерального</w:t>
      </w:r>
      <w:r>
        <w:rPr>
          <w:spacing w:val="-13"/>
        </w:rPr>
        <w:t> </w:t>
      </w:r>
      <w:r>
        <w:rPr/>
        <w:t>университета.</w:t>
      </w:r>
      <w:r>
        <w:rPr>
          <w:spacing w:val="-14"/>
        </w:rPr>
        <w:t> </w:t>
      </w:r>
      <w:r>
        <w:rPr/>
        <w:t>Педагогические</w:t>
      </w:r>
      <w:r>
        <w:rPr>
          <w:spacing w:val="-16"/>
        </w:rPr>
        <w:t> </w:t>
      </w:r>
      <w:r>
        <w:rPr/>
        <w:t>науки.</w:t>
      </w:r>
      <w:r>
        <w:rPr>
          <w:spacing w:val="-8"/>
        </w:rPr>
        <w:t> </w:t>
      </w:r>
      <w:r>
        <w:rPr/>
        <w:t>—</w:t>
      </w:r>
      <w:r>
        <w:rPr>
          <w:spacing w:val="-13"/>
        </w:rPr>
        <w:t> </w:t>
      </w:r>
      <w:r>
        <w:rPr/>
        <w:t>2009.</w:t>
      </w:r>
      <w:r>
        <w:rPr>
          <w:spacing w:val="-16"/>
        </w:rPr>
        <w:t> </w:t>
      </w:r>
      <w:r>
        <w:rPr/>
        <w:t>—</w:t>
      </w:r>
      <w:r>
        <w:rPr>
          <w:spacing w:val="-13"/>
        </w:rPr>
        <w:t> </w:t>
      </w:r>
      <w:r>
        <w:rPr/>
        <w:t>№</w:t>
      </w:r>
      <w:r>
        <w:rPr>
          <w:spacing w:val="-13"/>
        </w:rPr>
        <w:t> </w:t>
      </w:r>
      <w:r>
        <w:rPr/>
        <w:t>11.</w:t>
      </w:r>
      <w:r>
        <w:rPr>
          <w:spacing w:val="-16"/>
        </w:rPr>
        <w:t> </w:t>
      </w:r>
      <w:r>
        <w:rPr/>
        <w:t>—</w:t>
      </w:r>
    </w:p>
    <w:p>
      <w:pPr>
        <w:pStyle w:val="Heading4"/>
        <w:ind w:left="2422"/>
      </w:pPr>
      <w:r>
        <w:rPr/>
        <w:t>c.</w:t>
      </w:r>
      <w:r>
        <w:rPr>
          <w:spacing w:val="-1"/>
        </w:rPr>
        <w:t> </w:t>
      </w:r>
      <w:r>
        <w:rPr>
          <w:spacing w:val="-2"/>
        </w:rPr>
        <w:t>23–31.</w:t>
      </w:r>
    </w:p>
    <w:p>
      <w:pPr>
        <w:pStyle w:val="Heading4"/>
        <w:numPr>
          <w:ilvl w:val="0"/>
          <w:numId w:val="5"/>
        </w:numPr>
        <w:tabs>
          <w:tab w:pos="2422" w:val="left" w:leader="none"/>
        </w:tabs>
        <w:spacing w:line="276" w:lineRule="auto" w:before="48" w:after="0"/>
        <w:ind w:left="2422" w:right="854" w:hanging="360"/>
        <w:jc w:val="both"/>
      </w:pPr>
      <w:r>
        <w:rPr/>
        <w:t>Астоянц М.</w:t>
      </w:r>
      <w:r>
        <w:rPr>
          <w:spacing w:val="-2"/>
        </w:rPr>
        <w:t> </w:t>
      </w:r>
      <w:r>
        <w:rPr/>
        <w:t>С. Социальная инклюзия: попытка концептуализации и операционализации понятия // Известия Южного федерального университета. Педагогические науки. 2009. — Т. 12. — c. 51–58.</w:t>
      </w:r>
    </w:p>
    <w:p>
      <w:pPr>
        <w:pStyle w:val="Heading4"/>
        <w:numPr>
          <w:ilvl w:val="0"/>
          <w:numId w:val="5"/>
        </w:numPr>
        <w:tabs>
          <w:tab w:pos="2422" w:val="left" w:leader="none"/>
        </w:tabs>
        <w:spacing w:line="276" w:lineRule="auto" w:before="1" w:after="0"/>
        <w:ind w:left="2422" w:right="847" w:hanging="360"/>
        <w:jc w:val="both"/>
      </w:pPr>
      <w:r>
        <w:rPr/>
        <w:t>Ахрямкина</w:t>
      </w:r>
      <w:r>
        <w:rPr>
          <w:spacing w:val="-11"/>
        </w:rPr>
        <w:t> </w:t>
      </w:r>
      <w:r>
        <w:rPr/>
        <w:t>Т.</w:t>
      </w:r>
      <w:r>
        <w:rPr>
          <w:spacing w:val="-4"/>
        </w:rPr>
        <w:t> </w:t>
      </w:r>
      <w:r>
        <w:rPr/>
        <w:t>А.,</w:t>
      </w:r>
      <w:r>
        <w:rPr>
          <w:spacing w:val="-18"/>
        </w:rPr>
        <w:t> </w:t>
      </w:r>
      <w:r>
        <w:rPr/>
        <w:t>Чаус</w:t>
      </w:r>
      <w:r>
        <w:rPr>
          <w:spacing w:val="-2"/>
        </w:rPr>
        <w:t> </w:t>
      </w:r>
      <w:r>
        <w:rPr/>
        <w:t>И.</w:t>
      </w:r>
      <w:r>
        <w:rPr>
          <w:spacing w:val="-6"/>
        </w:rPr>
        <w:t> </w:t>
      </w:r>
      <w:r>
        <w:rPr/>
        <w:t>Н.</w:t>
      </w:r>
      <w:r>
        <w:rPr>
          <w:spacing w:val="-16"/>
        </w:rPr>
        <w:t> </w:t>
      </w:r>
      <w:r>
        <w:rPr/>
        <w:t>Психологическое</w:t>
      </w:r>
      <w:r>
        <w:rPr>
          <w:spacing w:val="-18"/>
        </w:rPr>
        <w:t> </w:t>
      </w:r>
      <w:r>
        <w:rPr/>
        <w:t>благополучие</w:t>
      </w:r>
      <w:r>
        <w:rPr>
          <w:spacing w:val="-17"/>
        </w:rPr>
        <w:t> </w:t>
      </w:r>
      <w:r>
        <w:rPr/>
        <w:t>учащихся</w:t>
      </w:r>
      <w:r>
        <w:rPr>
          <w:spacing w:val="-18"/>
        </w:rPr>
        <w:t> </w:t>
      </w:r>
      <w:r>
        <w:rPr/>
        <w:t>в образовательной</w:t>
      </w:r>
      <w:r>
        <w:rPr>
          <w:spacing w:val="-8"/>
        </w:rPr>
        <w:t> </w:t>
      </w:r>
      <w:r>
        <w:rPr/>
        <w:t>среде:</w:t>
      </w:r>
      <w:r>
        <w:rPr>
          <w:spacing w:val="-5"/>
        </w:rPr>
        <w:t> </w:t>
      </w:r>
      <w:r>
        <w:rPr/>
        <w:t>монография.</w:t>
      </w:r>
      <w:r>
        <w:rPr>
          <w:spacing w:val="-3"/>
        </w:rPr>
        <w:t> </w:t>
      </w:r>
      <w:r>
        <w:rPr/>
        <w:t>—</w:t>
      </w:r>
      <w:r>
        <w:rPr>
          <w:spacing w:val="-9"/>
        </w:rPr>
        <w:t> </w:t>
      </w:r>
      <w:r>
        <w:rPr/>
        <w:t>Самара:</w:t>
      </w:r>
      <w:r>
        <w:rPr>
          <w:spacing w:val="-5"/>
        </w:rPr>
        <w:t> </w:t>
      </w:r>
      <w:r>
        <w:rPr/>
        <w:t>СФ</w:t>
      </w:r>
      <w:r>
        <w:rPr>
          <w:spacing w:val="-10"/>
        </w:rPr>
        <w:t> </w:t>
      </w:r>
      <w:r>
        <w:rPr/>
        <w:t>ГБОУ</w:t>
      </w:r>
      <w:r>
        <w:rPr>
          <w:spacing w:val="-8"/>
        </w:rPr>
        <w:t> </w:t>
      </w:r>
      <w:r>
        <w:rPr/>
        <w:t>ВПО</w:t>
      </w:r>
      <w:r>
        <w:rPr>
          <w:spacing w:val="-8"/>
        </w:rPr>
        <w:t> </w:t>
      </w:r>
      <w:r>
        <w:rPr/>
        <w:t>МГПУ.</w:t>
      </w:r>
    </w:p>
    <w:p>
      <w:pPr>
        <w:pStyle w:val="Heading4"/>
        <w:spacing w:line="321" w:lineRule="exact"/>
        <w:ind w:left="2422"/>
      </w:pPr>
      <w:r>
        <w:rPr/>
        <w:t>—</w:t>
      </w:r>
      <w:r>
        <w:rPr>
          <w:spacing w:val="-5"/>
        </w:rPr>
        <w:t> </w:t>
      </w:r>
      <w:r>
        <w:rPr/>
        <w:t>2012.</w:t>
      </w:r>
      <w:r>
        <w:rPr>
          <w:spacing w:val="-3"/>
        </w:rPr>
        <w:t> </w:t>
      </w:r>
      <w:r>
        <w:rPr/>
        <w:t>—</w:t>
      </w:r>
      <w:r>
        <w:rPr>
          <w:spacing w:val="-2"/>
        </w:rPr>
        <w:t> </w:t>
      </w:r>
      <w:r>
        <w:rPr/>
        <w:t>104</w:t>
      </w:r>
      <w:r>
        <w:rPr>
          <w:spacing w:val="-1"/>
        </w:rPr>
        <w:t> </w:t>
      </w:r>
      <w:r>
        <w:rPr>
          <w:spacing w:val="-5"/>
        </w:rPr>
        <w:t>с.</w:t>
      </w:r>
    </w:p>
    <w:p>
      <w:pPr>
        <w:pStyle w:val="Heading4"/>
        <w:numPr>
          <w:ilvl w:val="0"/>
          <w:numId w:val="5"/>
        </w:numPr>
        <w:tabs>
          <w:tab w:pos="2422" w:val="left" w:leader="none"/>
        </w:tabs>
        <w:spacing w:line="276" w:lineRule="auto" w:before="50" w:after="0"/>
        <w:ind w:left="2422" w:right="848" w:hanging="360"/>
        <w:jc w:val="both"/>
      </w:pPr>
      <w:r>
        <w:rPr/>
        <w:t>Баранова В. Языковая социализация детей-мигрантов // </w:t>
      </w:r>
      <w:hyperlink r:id="rId22">
        <w:r>
          <w:rPr>
            <w:u w:val="single"/>
          </w:rPr>
          <w:t>Антропологический форум</w:t>
        </w:r>
      </w:hyperlink>
      <w:r>
        <w:rPr/>
        <w:t>. — 2012. — № 17. — c. 157–172.</w:t>
      </w:r>
    </w:p>
    <w:p>
      <w:pPr>
        <w:pStyle w:val="Heading4"/>
        <w:numPr>
          <w:ilvl w:val="0"/>
          <w:numId w:val="5"/>
        </w:numPr>
        <w:tabs>
          <w:tab w:pos="2422" w:val="left" w:leader="none"/>
        </w:tabs>
        <w:spacing w:line="276" w:lineRule="auto" w:before="0" w:after="0"/>
        <w:ind w:left="2422" w:right="846" w:hanging="360"/>
        <w:jc w:val="both"/>
      </w:pPr>
      <w:r>
        <w:rPr/>
        <w:t>Берри</w:t>
      </w:r>
      <w:r>
        <w:rPr>
          <w:spacing w:val="40"/>
        </w:rPr>
        <w:t> </w:t>
      </w:r>
      <w:r>
        <w:rPr/>
        <w:t>Дж В.,</w:t>
      </w:r>
      <w:r>
        <w:rPr>
          <w:spacing w:val="40"/>
        </w:rPr>
        <w:t> </w:t>
      </w:r>
      <w:r>
        <w:rPr/>
        <w:t>Пуртинга</w:t>
      </w:r>
      <w:r>
        <w:rPr>
          <w:spacing w:val="40"/>
        </w:rPr>
        <w:t> </w:t>
      </w:r>
      <w:r>
        <w:rPr/>
        <w:t>А.</w:t>
      </w:r>
      <w:r>
        <w:rPr>
          <w:spacing w:val="-1"/>
        </w:rPr>
        <w:t> </w:t>
      </w:r>
      <w:r>
        <w:rPr/>
        <w:t>Х.,</w:t>
      </w:r>
      <w:r>
        <w:rPr>
          <w:spacing w:val="40"/>
        </w:rPr>
        <w:t> </w:t>
      </w:r>
      <w:r>
        <w:rPr/>
        <w:t>Сигал</w:t>
      </w:r>
      <w:r>
        <w:rPr>
          <w:spacing w:val="40"/>
        </w:rPr>
        <w:t> </w:t>
      </w:r>
      <w:r>
        <w:rPr/>
        <w:t>М.</w:t>
      </w:r>
      <w:r>
        <w:rPr>
          <w:spacing w:val="-1"/>
        </w:rPr>
        <w:t> </w:t>
      </w:r>
      <w:r>
        <w:rPr/>
        <w:t>Х.</w:t>
      </w:r>
      <w:r>
        <w:rPr>
          <w:spacing w:val="40"/>
        </w:rPr>
        <w:t> </w:t>
      </w:r>
      <w:r>
        <w:rPr/>
        <w:t>Кросс-культурная психология. Исследование и применение. Харьков: Изд-во Гуманитарный центр. — 2007. — 560 с.</w:t>
      </w:r>
    </w:p>
    <w:p>
      <w:pPr>
        <w:pStyle w:val="Heading4"/>
        <w:numPr>
          <w:ilvl w:val="0"/>
          <w:numId w:val="5"/>
        </w:numPr>
        <w:tabs>
          <w:tab w:pos="2422" w:val="left" w:leader="none"/>
        </w:tabs>
        <w:spacing w:line="276" w:lineRule="auto" w:before="0" w:after="0"/>
        <w:ind w:left="2422" w:right="845" w:hanging="360"/>
        <w:jc w:val="both"/>
      </w:pPr>
      <w:r>
        <w:rPr/>
        <w:t>Боровикова</w:t>
      </w:r>
      <w:r>
        <w:rPr>
          <w:spacing w:val="-3"/>
        </w:rPr>
        <w:t> </w:t>
      </w:r>
      <w:r>
        <w:rPr/>
        <w:t>И.</w:t>
      </w:r>
      <w:r>
        <w:rPr>
          <w:spacing w:val="-3"/>
        </w:rPr>
        <w:t> </w:t>
      </w:r>
      <w:r>
        <w:rPr/>
        <w:t>В.</w:t>
      </w:r>
      <w:r>
        <w:rPr>
          <w:spacing w:val="-5"/>
        </w:rPr>
        <w:t> </w:t>
      </w:r>
      <w:r>
        <w:rPr/>
        <w:t>Нормоцентризм,</w:t>
      </w:r>
      <w:r>
        <w:rPr>
          <w:spacing w:val="-4"/>
        </w:rPr>
        <w:t> </w:t>
      </w:r>
      <w:r>
        <w:rPr/>
        <w:t>социальная</w:t>
      </w:r>
      <w:r>
        <w:rPr>
          <w:spacing w:val="-3"/>
        </w:rPr>
        <w:t> </w:t>
      </w:r>
      <w:r>
        <w:rPr/>
        <w:t>интеграция</w:t>
      </w:r>
      <w:r>
        <w:rPr>
          <w:spacing w:val="-3"/>
        </w:rPr>
        <w:t> </w:t>
      </w:r>
      <w:r>
        <w:rPr/>
        <w:t>и</w:t>
      </w:r>
      <w:r>
        <w:rPr>
          <w:spacing w:val="-5"/>
        </w:rPr>
        <w:t> </w:t>
      </w:r>
      <w:r>
        <w:rPr/>
        <w:t>социальная инклюзия инвалидов // Общество: философия, история, культура. — 2016. — Т. 2. — c. 27–29.</w:t>
      </w:r>
    </w:p>
    <w:p>
      <w:pPr>
        <w:pStyle w:val="Heading4"/>
        <w:spacing w:after="0" w:line="276" w:lineRule="auto"/>
        <w:jc w:val="both"/>
        <w:sectPr>
          <w:pgSz w:w="11910" w:h="16840"/>
          <w:pgMar w:header="0" w:footer="956" w:top="1040" w:bottom="1220" w:left="0" w:right="0"/>
        </w:sectPr>
      </w:pPr>
    </w:p>
    <w:p>
      <w:pPr>
        <w:pStyle w:val="Heading4"/>
        <w:numPr>
          <w:ilvl w:val="0"/>
          <w:numId w:val="5"/>
        </w:numPr>
        <w:tabs>
          <w:tab w:pos="2422" w:val="left" w:leader="none"/>
        </w:tabs>
        <w:spacing w:line="276" w:lineRule="auto" w:before="67" w:after="0"/>
        <w:ind w:left="2422" w:right="850" w:hanging="360"/>
        <w:jc w:val="both"/>
      </w:pPr>
      <w:r>
        <w:rPr/>
        <w:t>Бусыгина</w:t>
      </w:r>
      <w:r>
        <w:rPr>
          <w:spacing w:val="-3"/>
        </w:rPr>
        <w:t> </w:t>
      </w:r>
      <w:r>
        <w:rPr/>
        <w:t>Н.</w:t>
      </w:r>
      <w:r>
        <w:rPr>
          <w:spacing w:val="-4"/>
        </w:rPr>
        <w:t> </w:t>
      </w:r>
      <w:r>
        <w:rPr/>
        <w:t>П.,</w:t>
      </w:r>
      <w:r>
        <w:rPr>
          <w:spacing w:val="40"/>
        </w:rPr>
        <w:t> </w:t>
      </w:r>
      <w:r>
        <w:rPr/>
        <w:t>ПодушкинаТ.</w:t>
      </w:r>
      <w:r>
        <w:rPr>
          <w:spacing w:val="-3"/>
        </w:rPr>
        <w:t> </w:t>
      </w:r>
      <w:r>
        <w:rPr/>
        <w:t>Г.,</w:t>
      </w:r>
      <w:r>
        <w:rPr>
          <w:spacing w:val="40"/>
        </w:rPr>
        <w:t> </w:t>
      </w:r>
      <w:r>
        <w:rPr/>
        <w:t>Станилевский</w:t>
      </w:r>
      <w:r>
        <w:rPr>
          <w:spacing w:val="40"/>
        </w:rPr>
        <w:t> </w:t>
      </w:r>
      <w:r>
        <w:rPr/>
        <w:t>В.В. Доказательный подход в социальной сфере: основные понятия и принципы, история, перспективы [Электронный ресурс] // Социальные науки и детство. 2020. — Том 1. — № 1. — c. 8–26. doi:10.17759/ssc.2020010101</w:t>
      </w:r>
    </w:p>
    <w:p>
      <w:pPr>
        <w:pStyle w:val="Heading4"/>
        <w:numPr>
          <w:ilvl w:val="0"/>
          <w:numId w:val="5"/>
        </w:numPr>
        <w:tabs>
          <w:tab w:pos="2422" w:val="left" w:leader="none"/>
        </w:tabs>
        <w:spacing w:line="276" w:lineRule="auto" w:before="3" w:after="0"/>
        <w:ind w:left="2422" w:right="845" w:hanging="360"/>
        <w:jc w:val="both"/>
      </w:pPr>
      <w:r>
        <w:rPr/>
        <w:t>Вандышев</w:t>
      </w:r>
      <w:r>
        <w:rPr>
          <w:spacing w:val="-11"/>
        </w:rPr>
        <w:t> </w:t>
      </w:r>
      <w:r>
        <w:rPr/>
        <w:t>М.</w:t>
      </w:r>
      <w:r>
        <w:rPr>
          <w:spacing w:val="-4"/>
        </w:rPr>
        <w:t> </w:t>
      </w:r>
      <w:r>
        <w:rPr/>
        <w:t>Н.</w:t>
      </w:r>
      <w:r>
        <w:rPr>
          <w:spacing w:val="-6"/>
        </w:rPr>
        <w:t> </w:t>
      </w:r>
      <w:r>
        <w:rPr/>
        <w:t>Как</w:t>
      </w:r>
      <w:r>
        <w:rPr>
          <w:spacing w:val="-11"/>
        </w:rPr>
        <w:t> </w:t>
      </w:r>
      <w:r>
        <w:rPr/>
        <w:t>обучать</w:t>
      </w:r>
      <w:r>
        <w:rPr>
          <w:spacing w:val="-12"/>
        </w:rPr>
        <w:t> </w:t>
      </w:r>
      <w:r>
        <w:rPr/>
        <w:t>детей</w:t>
      </w:r>
      <w:r>
        <w:rPr>
          <w:spacing w:val="-11"/>
        </w:rPr>
        <w:t> </w:t>
      </w:r>
      <w:r>
        <w:rPr/>
        <w:t>мигрантов</w:t>
      </w:r>
      <w:r>
        <w:rPr>
          <w:spacing w:val="-11"/>
        </w:rPr>
        <w:t> </w:t>
      </w:r>
      <w:r>
        <w:rPr/>
        <w:t>—</w:t>
      </w:r>
      <w:r>
        <w:rPr>
          <w:spacing w:val="-11"/>
        </w:rPr>
        <w:t> </w:t>
      </w:r>
      <w:r>
        <w:rPr/>
        <w:t>вместе</w:t>
      </w:r>
      <w:r>
        <w:rPr>
          <w:spacing w:val="-11"/>
        </w:rPr>
        <w:t> </w:t>
      </w:r>
      <w:r>
        <w:rPr/>
        <w:t>или</w:t>
      </w:r>
      <w:r>
        <w:rPr>
          <w:spacing w:val="-13"/>
        </w:rPr>
        <w:t> </w:t>
      </w:r>
      <w:r>
        <w:rPr/>
        <w:t>раздельно? Опыт</w:t>
      </w:r>
      <w:r>
        <w:rPr>
          <w:spacing w:val="-17"/>
        </w:rPr>
        <w:t> </w:t>
      </w:r>
      <w:r>
        <w:rPr/>
        <w:t>педагогов</w:t>
      </w:r>
      <w:r>
        <w:rPr>
          <w:spacing w:val="-18"/>
        </w:rPr>
        <w:t> </w:t>
      </w:r>
      <w:r>
        <w:rPr/>
        <w:t>Свердловской</w:t>
      </w:r>
      <w:r>
        <w:rPr>
          <w:spacing w:val="-17"/>
        </w:rPr>
        <w:t> </w:t>
      </w:r>
      <w:r>
        <w:rPr/>
        <w:t>области</w:t>
      </w:r>
      <w:r>
        <w:rPr>
          <w:spacing w:val="-16"/>
        </w:rPr>
        <w:t> </w:t>
      </w:r>
      <w:r>
        <w:rPr/>
        <w:t>//</w:t>
      </w:r>
      <w:r>
        <w:rPr>
          <w:spacing w:val="-16"/>
        </w:rPr>
        <w:t> </w:t>
      </w:r>
      <w:r>
        <w:rPr/>
        <w:t>Вопросы</w:t>
      </w:r>
      <w:r>
        <w:rPr>
          <w:spacing w:val="-16"/>
        </w:rPr>
        <w:t> </w:t>
      </w:r>
      <w:r>
        <w:rPr/>
        <w:t>образования.</w:t>
      </w:r>
      <w:r>
        <w:rPr>
          <w:spacing w:val="-8"/>
        </w:rPr>
        <w:t> </w:t>
      </w:r>
      <w:r>
        <w:rPr/>
        <w:t>—</w:t>
      </w:r>
      <w:r>
        <w:rPr>
          <w:spacing w:val="-17"/>
        </w:rPr>
        <w:t> </w:t>
      </w:r>
      <w:r>
        <w:rPr/>
        <w:t>2019.</w:t>
      </w:r>
    </w:p>
    <w:p>
      <w:pPr>
        <w:pStyle w:val="Heading4"/>
        <w:spacing w:line="321" w:lineRule="exact"/>
        <w:ind w:left="2422"/>
      </w:pPr>
      <w:r>
        <w:rPr/>
        <w:t>—</w:t>
      </w:r>
      <w:r>
        <w:rPr>
          <w:spacing w:val="-8"/>
        </w:rPr>
        <w:t> </w:t>
      </w:r>
      <w:r>
        <w:rPr/>
        <w:t>№</w:t>
      </w:r>
      <w:r>
        <w:rPr>
          <w:spacing w:val="-8"/>
        </w:rPr>
        <w:t> </w:t>
      </w:r>
      <w:r>
        <w:rPr/>
        <w:t>2.</w:t>
      </w:r>
      <w:r>
        <w:rPr>
          <w:spacing w:val="-7"/>
        </w:rPr>
        <w:t> </w:t>
      </w:r>
      <w:r>
        <w:rPr/>
        <w:t>—</w:t>
      </w:r>
      <w:r>
        <w:rPr>
          <w:spacing w:val="-8"/>
        </w:rPr>
        <w:t> </w:t>
      </w:r>
      <w:r>
        <w:rPr/>
        <w:t>c.</w:t>
      </w:r>
      <w:r>
        <w:rPr>
          <w:spacing w:val="-8"/>
        </w:rPr>
        <w:t> </w:t>
      </w:r>
      <w:r>
        <w:rPr/>
        <w:t>179198:</w:t>
      </w:r>
      <w:r>
        <w:rPr>
          <w:spacing w:val="-7"/>
        </w:rPr>
        <w:t> </w:t>
      </w:r>
      <w:r>
        <w:rPr/>
        <w:t>табл.</w:t>
      </w:r>
      <w:r>
        <w:rPr>
          <w:spacing w:val="-7"/>
        </w:rPr>
        <w:t> </w:t>
      </w:r>
      <w:r>
        <w:rPr/>
        <w:t>-—</w:t>
      </w:r>
      <w:r>
        <w:rPr>
          <w:spacing w:val="-8"/>
        </w:rPr>
        <w:t> </w:t>
      </w:r>
      <w:r>
        <w:rPr/>
        <w:t>DOI:</w:t>
      </w:r>
      <w:r>
        <w:rPr>
          <w:spacing w:val="-7"/>
        </w:rPr>
        <w:t> </w:t>
      </w:r>
      <w:r>
        <w:rPr/>
        <w:t>10.17323/1814-9545-2019-2-179-</w:t>
      </w:r>
      <w:r>
        <w:rPr>
          <w:spacing w:val="-4"/>
        </w:rPr>
        <w:t>198.</w:t>
      </w:r>
    </w:p>
    <w:p>
      <w:pPr>
        <w:pStyle w:val="Heading4"/>
        <w:numPr>
          <w:ilvl w:val="0"/>
          <w:numId w:val="5"/>
        </w:numPr>
        <w:tabs>
          <w:tab w:pos="2422" w:val="left" w:leader="none"/>
        </w:tabs>
        <w:spacing w:line="276" w:lineRule="auto" w:before="47" w:after="0"/>
        <w:ind w:left="2422" w:right="845" w:hanging="360"/>
        <w:jc w:val="both"/>
      </w:pPr>
      <w:r>
        <w:rPr/>
        <w:t>Григорьев</w:t>
      </w:r>
      <w:r>
        <w:rPr>
          <w:spacing w:val="-3"/>
        </w:rPr>
        <w:t> </w:t>
      </w:r>
      <w:r>
        <w:rPr/>
        <w:t>Д.</w:t>
      </w:r>
      <w:r>
        <w:rPr>
          <w:spacing w:val="-3"/>
        </w:rPr>
        <w:t> </w:t>
      </w:r>
      <w:r>
        <w:rPr/>
        <w:t>С. Дискриминация мигрантов в социоэкономической сфере: роль межгрупповых установок принимающего населения // Социальная психология и общество. — 2017. — Том 8. № 3. С. 63–84. doi:10.17759 / sps. 2017080306</w:t>
      </w:r>
    </w:p>
    <w:p>
      <w:pPr>
        <w:pStyle w:val="Heading4"/>
        <w:numPr>
          <w:ilvl w:val="0"/>
          <w:numId w:val="5"/>
        </w:numPr>
        <w:tabs>
          <w:tab w:pos="2422" w:val="left" w:leader="none"/>
        </w:tabs>
        <w:spacing w:line="276" w:lineRule="auto" w:before="3" w:after="0"/>
        <w:ind w:left="2422" w:right="845" w:hanging="360"/>
        <w:jc w:val="both"/>
      </w:pPr>
      <w:r>
        <w:rPr/>
        <w:t>Григорьев</w:t>
      </w:r>
      <w:r>
        <w:rPr>
          <w:spacing w:val="-1"/>
        </w:rPr>
        <w:t> </w:t>
      </w:r>
      <w:r>
        <w:rPr/>
        <w:t>Д.</w:t>
      </w:r>
      <w:r>
        <w:rPr>
          <w:spacing w:val="-2"/>
        </w:rPr>
        <w:t> </w:t>
      </w:r>
      <w:r>
        <w:rPr/>
        <w:t>С.,</w:t>
      </w:r>
      <w:r>
        <w:rPr>
          <w:spacing w:val="80"/>
        </w:rPr>
        <w:t> </w:t>
      </w:r>
      <w:r>
        <w:rPr/>
        <w:t>Батхина</w:t>
      </w:r>
      <w:r>
        <w:rPr>
          <w:spacing w:val="-1"/>
        </w:rPr>
        <w:t> </w:t>
      </w:r>
      <w:r>
        <w:rPr/>
        <w:t>А.</w:t>
      </w:r>
      <w:r>
        <w:rPr>
          <w:spacing w:val="-3"/>
        </w:rPr>
        <w:t> </w:t>
      </w:r>
      <w:r>
        <w:rPr/>
        <w:t>А.,</w:t>
      </w:r>
      <w:r>
        <w:rPr>
          <w:spacing w:val="80"/>
        </w:rPr>
        <w:t> </w:t>
      </w:r>
      <w:r>
        <w:rPr/>
        <w:t>Дубров</w:t>
      </w:r>
      <w:r>
        <w:rPr>
          <w:spacing w:val="-1"/>
        </w:rPr>
        <w:t> </w:t>
      </w:r>
      <w:r>
        <w:rPr/>
        <w:t>Д.</w:t>
      </w:r>
      <w:r>
        <w:rPr>
          <w:spacing w:val="-3"/>
        </w:rPr>
        <w:t> </w:t>
      </w:r>
      <w:r>
        <w:rPr/>
        <w:t>И.</w:t>
      </w:r>
      <w:r>
        <w:rPr>
          <w:spacing w:val="80"/>
        </w:rPr>
        <w:t> </w:t>
      </w:r>
      <w:r>
        <w:rPr/>
        <w:t>Ассимиляционизм, мультикультурализм, этнический дальтонизм и поликультурализм в российском контексте // Культурно-историческая психология. — 2018.</w:t>
      </w:r>
    </w:p>
    <w:p>
      <w:pPr>
        <w:pStyle w:val="Heading4"/>
        <w:spacing w:line="320" w:lineRule="exact"/>
        <w:ind w:left="2422"/>
      </w:pPr>
      <w:r>
        <w:rPr/>
        <w:t>—</w:t>
      </w:r>
      <w:r>
        <w:rPr>
          <w:spacing w:val="-5"/>
        </w:rPr>
        <w:t> </w:t>
      </w:r>
      <w:r>
        <w:rPr/>
        <w:t>Т.</w:t>
      </w:r>
      <w:r>
        <w:rPr>
          <w:spacing w:val="-2"/>
        </w:rPr>
        <w:t> </w:t>
      </w:r>
      <w:r>
        <w:rPr/>
        <w:t>14.</w:t>
      </w:r>
      <w:r>
        <w:rPr>
          <w:spacing w:val="-2"/>
        </w:rPr>
        <w:t> </w:t>
      </w:r>
      <w:r>
        <w:rPr/>
        <w:t>—</w:t>
      </w:r>
      <w:r>
        <w:rPr>
          <w:spacing w:val="-2"/>
        </w:rPr>
        <w:t> </w:t>
      </w:r>
      <w:r>
        <w:rPr/>
        <w:t>№</w:t>
      </w:r>
      <w:r>
        <w:rPr>
          <w:spacing w:val="-4"/>
        </w:rPr>
        <w:t> </w:t>
      </w:r>
      <w:r>
        <w:rPr/>
        <w:t>2.</w:t>
      </w:r>
      <w:r>
        <w:rPr>
          <w:spacing w:val="-2"/>
        </w:rPr>
        <w:t> </w:t>
      </w:r>
      <w:r>
        <w:rPr/>
        <w:t>—</w:t>
      </w:r>
      <w:r>
        <w:rPr>
          <w:spacing w:val="-5"/>
        </w:rPr>
        <w:t> </w:t>
      </w:r>
      <w:r>
        <w:rPr/>
        <w:t>c.</w:t>
      </w:r>
      <w:r>
        <w:rPr>
          <w:spacing w:val="-2"/>
        </w:rPr>
        <w:t> </w:t>
      </w:r>
      <w:r>
        <w:rPr/>
        <w:t>53–65.</w:t>
      </w:r>
      <w:r>
        <w:rPr>
          <w:spacing w:val="-5"/>
        </w:rPr>
        <w:t> </w:t>
      </w:r>
      <w:r>
        <w:rPr/>
        <w:t>doi:</w:t>
      </w:r>
      <w:r>
        <w:rPr>
          <w:spacing w:val="-5"/>
        </w:rPr>
        <w:t> </w:t>
      </w:r>
      <w:r>
        <w:rPr/>
        <w:t>10.17759</w:t>
      </w:r>
      <w:r>
        <w:rPr>
          <w:spacing w:val="-4"/>
        </w:rPr>
        <w:t> </w:t>
      </w:r>
      <w:r>
        <w:rPr/>
        <w:t>/ chp.</w:t>
      </w:r>
      <w:r>
        <w:rPr>
          <w:spacing w:val="-2"/>
        </w:rPr>
        <w:t> 2018140206</w:t>
      </w:r>
    </w:p>
    <w:p>
      <w:pPr>
        <w:pStyle w:val="Heading4"/>
        <w:numPr>
          <w:ilvl w:val="0"/>
          <w:numId w:val="5"/>
        </w:numPr>
        <w:tabs>
          <w:tab w:pos="2422" w:val="left" w:leader="none"/>
          <w:tab w:pos="8666" w:val="left" w:leader="none"/>
          <w:tab w:pos="9736" w:val="left" w:leader="none"/>
        </w:tabs>
        <w:spacing w:line="276" w:lineRule="auto" w:before="50" w:after="0"/>
        <w:ind w:left="2422" w:right="845" w:hanging="360"/>
        <w:jc w:val="both"/>
      </w:pPr>
      <w:hyperlink r:id="rId23">
        <w:r>
          <w:rPr/>
          <w:t>Дробижева Л. М.</w:t>
        </w:r>
      </w:hyperlink>
      <w:r>
        <w:rPr/>
        <w:t> Национально-гражданская</w:t>
        <w:tab/>
      </w:r>
      <w:r>
        <w:rPr>
          <w:spacing w:val="-10"/>
        </w:rPr>
        <w:t>и</w:t>
      </w:r>
      <w:r>
        <w:rPr/>
        <w:tab/>
      </w:r>
      <w:r>
        <w:rPr>
          <w:spacing w:val="-2"/>
        </w:rPr>
        <w:t>этническая </w:t>
      </w:r>
      <w:r>
        <w:rPr/>
        <w:t>идентичность: проблемы позитивной совместимости // Россия реформирующаяся. Ежегодник /Отв. Ред. М.К. Горшков. — Вып.7. — М.: Институт социологии РАН. — 2008. — c. 214–228.</w:t>
      </w:r>
    </w:p>
    <w:p>
      <w:pPr>
        <w:pStyle w:val="Heading4"/>
        <w:numPr>
          <w:ilvl w:val="0"/>
          <w:numId w:val="5"/>
        </w:numPr>
        <w:tabs>
          <w:tab w:pos="2422" w:val="left" w:leader="none"/>
        </w:tabs>
        <w:spacing w:line="276" w:lineRule="auto" w:before="0" w:after="0"/>
        <w:ind w:left="2422" w:right="843" w:hanging="360"/>
        <w:jc w:val="both"/>
      </w:pPr>
      <w:r>
        <w:rPr/>
        <w:t>Инклюзия как принцип современной социальной политики в сфере образования:</w:t>
      </w:r>
      <w:r>
        <w:rPr>
          <w:spacing w:val="-10"/>
        </w:rPr>
        <w:t> </w:t>
      </w:r>
      <w:r>
        <w:rPr/>
        <w:t>механизмы</w:t>
      </w:r>
      <w:r>
        <w:rPr>
          <w:spacing w:val="-13"/>
        </w:rPr>
        <w:t> </w:t>
      </w:r>
      <w:r>
        <w:rPr/>
        <w:t>реализации</w:t>
      </w:r>
      <w:r>
        <w:rPr>
          <w:spacing w:val="-13"/>
        </w:rPr>
        <w:t> </w:t>
      </w:r>
      <w:r>
        <w:rPr/>
        <w:t>//</w:t>
      </w:r>
      <w:r>
        <w:rPr>
          <w:spacing w:val="-13"/>
        </w:rPr>
        <w:t> </w:t>
      </w:r>
      <w:r>
        <w:rPr/>
        <w:t>Под</w:t>
      </w:r>
      <w:r>
        <w:rPr>
          <w:spacing w:val="-12"/>
        </w:rPr>
        <w:t> </w:t>
      </w:r>
      <w:r>
        <w:rPr/>
        <w:t>ред.</w:t>
      </w:r>
      <w:r>
        <w:rPr>
          <w:spacing w:val="-12"/>
        </w:rPr>
        <w:t> </w:t>
      </w:r>
      <w:r>
        <w:rPr/>
        <w:t>П.</w:t>
      </w:r>
      <w:r>
        <w:rPr>
          <w:spacing w:val="-12"/>
        </w:rPr>
        <w:t> </w:t>
      </w:r>
      <w:r>
        <w:rPr/>
        <w:t>Романова,</w:t>
      </w:r>
      <w:r>
        <w:rPr>
          <w:spacing w:val="-11"/>
        </w:rPr>
        <w:t> </w:t>
      </w:r>
      <w:r>
        <w:rPr/>
        <w:t>Е.</w:t>
      </w:r>
      <w:r>
        <w:rPr>
          <w:spacing w:val="-12"/>
        </w:rPr>
        <w:t> </w:t>
      </w:r>
      <w:r>
        <w:rPr/>
        <w:t>Ярской- Смирновой. М. — 2008.</w:t>
      </w:r>
    </w:p>
    <w:p>
      <w:pPr>
        <w:pStyle w:val="Heading4"/>
        <w:numPr>
          <w:ilvl w:val="0"/>
          <w:numId w:val="5"/>
        </w:numPr>
        <w:tabs>
          <w:tab w:pos="2422" w:val="left" w:leader="none"/>
        </w:tabs>
        <w:spacing w:line="276" w:lineRule="auto" w:before="1" w:after="0"/>
        <w:ind w:left="2422" w:right="843" w:hanging="360"/>
        <w:jc w:val="both"/>
      </w:pPr>
      <w:r>
        <w:rPr/>
        <w:t>Исследование</w:t>
      </w:r>
      <w:r>
        <w:rPr>
          <w:spacing w:val="-1"/>
        </w:rPr>
        <w:t> </w:t>
      </w:r>
      <w:r>
        <w:rPr/>
        <w:t>детей-мигрантов в</w:t>
      </w:r>
      <w:r>
        <w:rPr>
          <w:spacing w:val="-2"/>
        </w:rPr>
        <w:t> </w:t>
      </w:r>
      <w:r>
        <w:rPr/>
        <w:t>школах. Предварительные</w:t>
      </w:r>
      <w:r>
        <w:rPr>
          <w:spacing w:val="-1"/>
        </w:rPr>
        <w:t> </w:t>
      </w:r>
      <w:r>
        <w:rPr/>
        <w:t>результаты проекта. — 2011. </w:t>
      </w:r>
      <w:hyperlink r:id="rId24">
        <w:r>
          <w:rPr>
            <w:u w:val="single"/>
          </w:rPr>
          <w:t>https://slon.hse.ru/issledovanija-detej-migrantov-v-</w:t>
        </w:r>
      </w:hyperlink>
      <w:r>
        <w:rPr/>
        <w:t> </w:t>
      </w:r>
      <w:hyperlink r:id="rId24">
        <w:r>
          <w:rPr>
            <w:spacing w:val="-2"/>
            <w:u w:val="single"/>
          </w:rPr>
          <w:t>shkolax</w:t>
        </w:r>
      </w:hyperlink>
    </w:p>
    <w:p>
      <w:pPr>
        <w:pStyle w:val="Heading4"/>
        <w:numPr>
          <w:ilvl w:val="0"/>
          <w:numId w:val="5"/>
        </w:numPr>
        <w:tabs>
          <w:tab w:pos="2422" w:val="left" w:leader="none"/>
        </w:tabs>
        <w:spacing w:line="276" w:lineRule="auto" w:before="0" w:after="0"/>
        <w:ind w:left="2422" w:right="847" w:hanging="360"/>
        <w:jc w:val="both"/>
      </w:pPr>
      <w:r>
        <w:rPr/>
        <w:t>Краснова-Гольева В.</w:t>
      </w:r>
      <w:r>
        <w:rPr>
          <w:spacing w:val="-2"/>
        </w:rPr>
        <w:t> </w:t>
      </w:r>
      <w:r>
        <w:rPr/>
        <w:t>В., Холмогорова А.</w:t>
      </w:r>
      <w:r>
        <w:rPr>
          <w:spacing w:val="-1"/>
        </w:rPr>
        <w:t> </w:t>
      </w:r>
      <w:r>
        <w:rPr/>
        <w:t>Б. Социальная тревожность и студенческая дезадаптация [Электронный ресурс] // Психологическая наука и образование psyedu.ru. — 2011. — Том 3. — № 1. URL: </w:t>
      </w:r>
      <w:hyperlink r:id="rId25">
        <w:r>
          <w:rPr>
            <w:spacing w:val="-2"/>
            <w:u w:val="single"/>
          </w:rPr>
          <w:t>https://psyjournals.ru/psyedu_ru/2011/n1/39944.shtml</w:t>
        </w:r>
      </w:hyperlink>
    </w:p>
    <w:p>
      <w:pPr>
        <w:pStyle w:val="Heading4"/>
        <w:numPr>
          <w:ilvl w:val="0"/>
          <w:numId w:val="5"/>
        </w:numPr>
        <w:tabs>
          <w:tab w:pos="2422" w:val="left" w:leader="none"/>
        </w:tabs>
        <w:spacing w:line="276" w:lineRule="auto" w:before="0" w:after="0"/>
        <w:ind w:left="2422" w:right="845" w:hanging="360"/>
        <w:jc w:val="both"/>
      </w:pPr>
      <w:r>
        <w:rPr/>
        <w:t>Кузнецов И.</w:t>
      </w:r>
      <w:r>
        <w:rPr>
          <w:spacing w:val="-3"/>
        </w:rPr>
        <w:t> </w:t>
      </w:r>
      <w:r>
        <w:rPr/>
        <w:t>М. Мигранты в мегаполисе и провинции: вариативность реализации интеграционного потенциала // Россия реформирующаяся. Ежегодник / Отв. ред. М. К. Горшков. Вып. 7. М.: ИС РАН. — 2008. —</w:t>
      </w:r>
    </w:p>
    <w:p>
      <w:pPr>
        <w:pStyle w:val="Heading4"/>
        <w:spacing w:line="320" w:lineRule="exact"/>
        <w:ind w:left="2422"/>
      </w:pPr>
      <w:r>
        <w:rPr/>
        <w:t>c.</w:t>
      </w:r>
      <w:r>
        <w:rPr>
          <w:spacing w:val="-3"/>
        </w:rPr>
        <w:t> </w:t>
      </w:r>
      <w:r>
        <w:rPr>
          <w:spacing w:val="-2"/>
        </w:rPr>
        <w:t>270–275.</w:t>
      </w:r>
    </w:p>
    <w:p>
      <w:pPr>
        <w:pStyle w:val="Heading4"/>
        <w:numPr>
          <w:ilvl w:val="0"/>
          <w:numId w:val="5"/>
        </w:numPr>
        <w:tabs>
          <w:tab w:pos="2422" w:val="left" w:leader="none"/>
        </w:tabs>
        <w:spacing w:line="276" w:lineRule="auto" w:before="50" w:after="0"/>
        <w:ind w:left="2422" w:right="845" w:hanging="360"/>
        <w:jc w:val="both"/>
      </w:pPr>
      <w:r>
        <w:rPr/>
        <w:t>Лебедева Н.</w:t>
      </w:r>
      <w:r>
        <w:rPr>
          <w:spacing w:val="-2"/>
        </w:rPr>
        <w:t> </w:t>
      </w:r>
      <w:r>
        <w:rPr/>
        <w:t>М. Теоретические подходы к исследованию взаимных установок и стратегий межкультурного взаимодействия мигрантов и населения России // Стратегии межкультурного взаимодействия мигрантов и населения России / Сб. статей под ред. Н. М. Лебедевой,</w:t>
      </w:r>
      <w:r>
        <w:rPr>
          <w:spacing w:val="40"/>
        </w:rPr>
        <w:t> </w:t>
      </w:r>
      <w:r>
        <w:rPr/>
        <w:t>А. Н. Татарко. М.: Изд-во РУДН. — 2009. — c.10–64.</w:t>
      </w:r>
    </w:p>
    <w:p>
      <w:pPr>
        <w:pStyle w:val="Heading4"/>
        <w:spacing w:after="0" w:line="276" w:lineRule="auto"/>
        <w:jc w:val="both"/>
        <w:sectPr>
          <w:pgSz w:w="11910" w:h="16840"/>
          <w:pgMar w:header="0" w:footer="956" w:top="1040" w:bottom="1220" w:left="0" w:right="0"/>
        </w:sectPr>
      </w:pPr>
    </w:p>
    <w:p>
      <w:pPr>
        <w:pStyle w:val="Heading4"/>
        <w:numPr>
          <w:ilvl w:val="0"/>
          <w:numId w:val="5"/>
        </w:numPr>
        <w:tabs>
          <w:tab w:pos="2422" w:val="left" w:leader="none"/>
        </w:tabs>
        <w:spacing w:line="278" w:lineRule="auto" w:before="67" w:after="0"/>
        <w:ind w:left="2422" w:right="846" w:hanging="360"/>
        <w:jc w:val="both"/>
      </w:pPr>
      <w:r>
        <w:rPr/>
        <w:t>Лебедева</w:t>
      </w:r>
      <w:r>
        <w:rPr>
          <w:spacing w:val="-4"/>
        </w:rPr>
        <w:t> </w:t>
      </w:r>
      <w:r>
        <w:rPr/>
        <w:t>Н.</w:t>
      </w:r>
      <w:r>
        <w:rPr>
          <w:spacing w:val="-4"/>
        </w:rPr>
        <w:t> </w:t>
      </w:r>
      <w:r>
        <w:rPr/>
        <w:t>М. Этническая и</w:t>
      </w:r>
      <w:r>
        <w:rPr>
          <w:spacing w:val="-2"/>
        </w:rPr>
        <w:t> </w:t>
      </w:r>
      <w:r>
        <w:rPr/>
        <w:t>кросс-культурная психология: Учебник для высших учебных заведений. М.: МАКС Пресс. — 2011.</w:t>
      </w:r>
    </w:p>
    <w:p>
      <w:pPr>
        <w:pStyle w:val="Heading4"/>
        <w:numPr>
          <w:ilvl w:val="0"/>
          <w:numId w:val="5"/>
        </w:numPr>
        <w:tabs>
          <w:tab w:pos="2422" w:val="left" w:leader="none"/>
        </w:tabs>
        <w:spacing w:line="276" w:lineRule="auto" w:before="0" w:after="0"/>
        <w:ind w:left="2422" w:right="848" w:hanging="360"/>
        <w:jc w:val="both"/>
      </w:pPr>
      <w:r>
        <w:rPr/>
        <w:t>Левченко И.</w:t>
      </w:r>
      <w:r>
        <w:rPr>
          <w:spacing w:val="-2"/>
        </w:rPr>
        <w:t> </w:t>
      </w:r>
      <w:r>
        <w:rPr/>
        <w:t>Ю., Забрамная С.</w:t>
      </w:r>
      <w:r>
        <w:rPr>
          <w:spacing w:val="-5"/>
        </w:rPr>
        <w:t> </w:t>
      </w:r>
      <w:r>
        <w:rPr/>
        <w:t>Д. и др. Психолого-педагогическая диагностика развития лиц с ограниченными возможностями здоровья: учебник</w:t>
      </w:r>
      <w:r>
        <w:rPr>
          <w:spacing w:val="-12"/>
        </w:rPr>
        <w:t> </w:t>
      </w:r>
      <w:r>
        <w:rPr/>
        <w:t>для</w:t>
      </w:r>
      <w:r>
        <w:rPr>
          <w:spacing w:val="-12"/>
        </w:rPr>
        <w:t> </w:t>
      </w:r>
      <w:r>
        <w:rPr/>
        <w:t>студ.</w:t>
      </w:r>
      <w:r>
        <w:rPr>
          <w:spacing w:val="-11"/>
        </w:rPr>
        <w:t> </w:t>
      </w:r>
      <w:r>
        <w:rPr/>
        <w:t>учреждений</w:t>
      </w:r>
      <w:r>
        <w:rPr>
          <w:spacing w:val="-12"/>
        </w:rPr>
        <w:t> </w:t>
      </w:r>
      <w:r>
        <w:rPr/>
        <w:t>высш.</w:t>
      </w:r>
      <w:r>
        <w:rPr>
          <w:spacing w:val="-13"/>
        </w:rPr>
        <w:t> </w:t>
      </w:r>
      <w:r>
        <w:rPr/>
        <w:t>проф.</w:t>
      </w:r>
      <w:r>
        <w:rPr>
          <w:spacing w:val="-13"/>
        </w:rPr>
        <w:t> </w:t>
      </w:r>
      <w:r>
        <w:rPr/>
        <w:t>образования</w:t>
      </w:r>
      <w:r>
        <w:rPr>
          <w:spacing w:val="-12"/>
        </w:rPr>
        <w:t> </w:t>
      </w:r>
      <w:r>
        <w:rPr/>
        <w:t>/</w:t>
      </w:r>
      <w:r>
        <w:rPr>
          <w:spacing w:val="-12"/>
        </w:rPr>
        <w:t> </w:t>
      </w:r>
      <w:r>
        <w:rPr/>
        <w:t>под</w:t>
      </w:r>
      <w:r>
        <w:rPr>
          <w:spacing w:val="-11"/>
        </w:rPr>
        <w:t> </w:t>
      </w:r>
      <w:r>
        <w:rPr/>
        <w:t>ред.</w:t>
      </w:r>
      <w:r>
        <w:rPr>
          <w:spacing w:val="-13"/>
        </w:rPr>
        <w:t> </w:t>
      </w:r>
      <w:r>
        <w:rPr/>
        <w:t>И.</w:t>
      </w:r>
      <w:r>
        <w:rPr>
          <w:spacing w:val="-13"/>
        </w:rPr>
        <w:t> </w:t>
      </w:r>
      <w:r>
        <w:rPr/>
        <w:t>Ю. Левченко,</w:t>
      </w:r>
      <w:r>
        <w:rPr>
          <w:spacing w:val="-3"/>
        </w:rPr>
        <w:t> </w:t>
      </w:r>
      <w:r>
        <w:rPr/>
        <w:t>С.</w:t>
      </w:r>
      <w:r>
        <w:rPr>
          <w:spacing w:val="-4"/>
        </w:rPr>
        <w:t> </w:t>
      </w:r>
      <w:r>
        <w:rPr/>
        <w:t>Д.</w:t>
      </w:r>
      <w:r>
        <w:rPr>
          <w:spacing w:val="-2"/>
        </w:rPr>
        <w:t> </w:t>
      </w:r>
      <w:r>
        <w:rPr/>
        <w:t>Забрамной.</w:t>
      </w:r>
      <w:r>
        <w:rPr>
          <w:spacing w:val="-1"/>
        </w:rPr>
        <w:t> </w:t>
      </w:r>
      <w:r>
        <w:rPr/>
        <w:t>—</w:t>
      </w:r>
      <w:r>
        <w:rPr>
          <w:spacing w:val="-3"/>
        </w:rPr>
        <w:t> </w:t>
      </w:r>
      <w:r>
        <w:rPr/>
        <w:t>7-е</w:t>
      </w:r>
      <w:r>
        <w:rPr>
          <w:spacing w:val="-5"/>
        </w:rPr>
        <w:t> </w:t>
      </w:r>
      <w:r>
        <w:rPr/>
        <w:t>изд.,</w:t>
      </w:r>
      <w:r>
        <w:rPr>
          <w:spacing w:val="-6"/>
        </w:rPr>
        <w:t> </w:t>
      </w:r>
      <w:r>
        <w:rPr/>
        <w:t>стер.</w:t>
      </w:r>
      <w:r>
        <w:rPr>
          <w:spacing w:val="-3"/>
        </w:rPr>
        <w:t> </w:t>
      </w:r>
      <w:r>
        <w:rPr/>
        <w:t>—</w:t>
      </w:r>
      <w:r>
        <w:rPr>
          <w:spacing w:val="-3"/>
        </w:rPr>
        <w:t> </w:t>
      </w:r>
      <w:r>
        <w:rPr/>
        <w:t>М.:</w:t>
      </w:r>
      <w:r>
        <w:rPr>
          <w:spacing w:val="-2"/>
        </w:rPr>
        <w:t> </w:t>
      </w:r>
      <w:r>
        <w:rPr/>
        <w:t>Издательский</w:t>
      </w:r>
      <w:r>
        <w:rPr>
          <w:spacing w:val="-5"/>
        </w:rPr>
        <w:t> </w:t>
      </w:r>
      <w:r>
        <w:rPr/>
        <w:t>центр</w:t>
      </w:r>
    </w:p>
    <w:p>
      <w:pPr>
        <w:pStyle w:val="Heading4"/>
        <w:spacing w:line="322" w:lineRule="exact"/>
        <w:ind w:left="2422"/>
      </w:pPr>
      <w:r>
        <w:rPr/>
        <w:t>«Академия».</w:t>
      </w:r>
      <w:r>
        <w:rPr>
          <w:spacing w:val="-4"/>
        </w:rPr>
        <w:t> </w:t>
      </w:r>
      <w:r>
        <w:rPr/>
        <w:t>—</w:t>
      </w:r>
      <w:r>
        <w:rPr>
          <w:spacing w:val="-3"/>
        </w:rPr>
        <w:t> </w:t>
      </w:r>
      <w:r>
        <w:rPr/>
        <w:t>2013.</w:t>
      </w:r>
      <w:r>
        <w:rPr>
          <w:spacing w:val="-4"/>
        </w:rPr>
        <w:t> </w:t>
      </w:r>
      <w:r>
        <w:rPr/>
        <w:t>—</w:t>
      </w:r>
      <w:r>
        <w:rPr>
          <w:spacing w:val="-3"/>
        </w:rPr>
        <w:t> </w:t>
      </w:r>
      <w:r>
        <w:rPr/>
        <w:t>336</w:t>
      </w:r>
      <w:r>
        <w:rPr>
          <w:spacing w:val="-5"/>
        </w:rPr>
        <w:t> с.</w:t>
      </w:r>
    </w:p>
    <w:p>
      <w:pPr>
        <w:pStyle w:val="Heading4"/>
        <w:numPr>
          <w:ilvl w:val="0"/>
          <w:numId w:val="5"/>
        </w:numPr>
        <w:tabs>
          <w:tab w:pos="2422" w:val="left" w:leader="none"/>
        </w:tabs>
        <w:spacing w:line="276" w:lineRule="auto" w:before="43" w:after="0"/>
        <w:ind w:left="2422" w:right="845" w:hanging="360"/>
        <w:jc w:val="both"/>
      </w:pPr>
      <w:r>
        <w:rPr/>
        <w:t>Леонтьев Д.</w:t>
      </w:r>
      <w:r>
        <w:rPr>
          <w:spacing w:val="-1"/>
        </w:rPr>
        <w:t> </w:t>
      </w:r>
      <w:r>
        <w:rPr/>
        <w:t>А. Качество жизни и благополучие: объективные, субъективные и субъектные аспекты // Психологический журнал — 2020а. — Tом 41. — № 6. — c. 86-95. [Электронный ресурс]. URL: </w:t>
      </w:r>
      <w:hyperlink r:id="rId26">
        <w:r>
          <w:rPr>
            <w:spacing w:val="-2"/>
          </w:rPr>
          <w:t>http://ras.jes.su/psy/s020595920012592-7-1</w:t>
        </w:r>
      </w:hyperlink>
    </w:p>
    <w:p>
      <w:pPr>
        <w:pStyle w:val="Heading4"/>
        <w:numPr>
          <w:ilvl w:val="0"/>
          <w:numId w:val="5"/>
        </w:numPr>
        <w:tabs>
          <w:tab w:pos="2422" w:val="left" w:leader="none"/>
        </w:tabs>
        <w:spacing w:line="276" w:lineRule="auto" w:before="2" w:after="0"/>
        <w:ind w:left="2422" w:right="845" w:hanging="360"/>
        <w:jc w:val="both"/>
      </w:pPr>
      <w:r>
        <w:rPr/>
        <w:t>Леонтьев</w:t>
      </w:r>
      <w:r>
        <w:rPr>
          <w:spacing w:val="-2"/>
        </w:rPr>
        <w:t> </w:t>
      </w:r>
      <w:r>
        <w:rPr/>
        <w:t>Д.</w:t>
      </w:r>
      <w:r>
        <w:rPr>
          <w:spacing w:val="-2"/>
        </w:rPr>
        <w:t> </w:t>
      </w:r>
      <w:r>
        <w:rPr/>
        <w:t>А. Счастье и субъективное благополучие: к конструированию понятийного поля //Мониторинг общественного мнения:</w:t>
      </w:r>
      <w:r>
        <w:rPr>
          <w:spacing w:val="40"/>
        </w:rPr>
        <w:t> </w:t>
      </w:r>
      <w:r>
        <w:rPr/>
        <w:t>Экономические</w:t>
      </w:r>
      <w:r>
        <w:rPr>
          <w:spacing w:val="37"/>
        </w:rPr>
        <w:t> </w:t>
      </w:r>
      <w:r>
        <w:rPr/>
        <w:t>и социальные</w:t>
      </w:r>
      <w:r>
        <w:rPr>
          <w:spacing w:val="37"/>
        </w:rPr>
        <w:t> </w:t>
      </w:r>
      <w:r>
        <w:rPr/>
        <w:t>перемены.</w:t>
      </w:r>
      <w:r>
        <w:rPr>
          <w:spacing w:val="39"/>
        </w:rPr>
        <w:t> </w:t>
      </w:r>
      <w:r>
        <w:rPr/>
        <w:t>—</w:t>
      </w:r>
      <w:r>
        <w:rPr>
          <w:spacing w:val="38"/>
        </w:rPr>
        <w:t> </w:t>
      </w:r>
      <w:r>
        <w:rPr/>
        <w:t>2020.</w:t>
      </w:r>
      <w:r>
        <w:rPr>
          <w:spacing w:val="39"/>
        </w:rPr>
        <w:t> </w:t>
      </w:r>
      <w:r>
        <w:rPr/>
        <w:t>—</w:t>
      </w:r>
      <w:r>
        <w:rPr>
          <w:spacing w:val="37"/>
        </w:rPr>
        <w:t> </w:t>
      </w:r>
      <w:r>
        <w:rPr/>
        <w:t>№</w:t>
      </w:r>
      <w:r>
        <w:rPr>
          <w:spacing w:val="-2"/>
        </w:rPr>
        <w:t> </w:t>
      </w:r>
      <w:r>
        <w:rPr/>
        <w:t>1.</w:t>
      </w:r>
      <w:r>
        <w:rPr>
          <w:spacing w:val="34"/>
        </w:rPr>
        <w:t> </w:t>
      </w:r>
      <w:r>
        <w:rPr/>
        <w:t>—</w:t>
      </w:r>
    </w:p>
    <w:p>
      <w:pPr>
        <w:pStyle w:val="Heading4"/>
        <w:spacing w:line="320" w:lineRule="exact"/>
        <w:ind w:left="2422"/>
      </w:pPr>
      <w:r>
        <w:rPr/>
        <w:t>c.</w:t>
      </w:r>
      <w:r>
        <w:rPr>
          <w:spacing w:val="-2"/>
        </w:rPr>
        <w:t> </w:t>
      </w:r>
      <w:r>
        <w:rPr/>
        <w:t>14—</w:t>
      </w:r>
      <w:r>
        <w:rPr>
          <w:spacing w:val="-5"/>
        </w:rPr>
        <w:t>37.</w:t>
      </w:r>
    </w:p>
    <w:p>
      <w:pPr>
        <w:pStyle w:val="Heading4"/>
        <w:numPr>
          <w:ilvl w:val="0"/>
          <w:numId w:val="5"/>
        </w:numPr>
        <w:tabs>
          <w:tab w:pos="2422" w:val="left" w:leader="none"/>
        </w:tabs>
        <w:spacing w:line="276" w:lineRule="auto" w:before="50" w:after="0"/>
        <w:ind w:left="2422" w:right="850" w:hanging="360"/>
        <w:jc w:val="both"/>
      </w:pPr>
      <w:r>
        <w:rPr/>
        <w:t>Лепшокова З.</w:t>
      </w:r>
      <w:r>
        <w:rPr>
          <w:spacing w:val="-2"/>
        </w:rPr>
        <w:t> </w:t>
      </w:r>
      <w:r>
        <w:rPr/>
        <w:t>Х., Лебедева Н.</w:t>
      </w:r>
      <w:r>
        <w:rPr>
          <w:spacing w:val="-2"/>
        </w:rPr>
        <w:t> </w:t>
      </w:r>
      <w:r>
        <w:rPr/>
        <w:t>М. Воспринимаемая дискриминация и аккультурация русских на Северном Кавказе (несовместимость этнической и региональной идентичностей) // Общественные науки и современность. — 2016. — № 6. — c. 125-138.</w:t>
      </w:r>
    </w:p>
    <w:p>
      <w:pPr>
        <w:pStyle w:val="Heading4"/>
        <w:numPr>
          <w:ilvl w:val="0"/>
          <w:numId w:val="5"/>
        </w:numPr>
        <w:tabs>
          <w:tab w:pos="2422" w:val="left" w:leader="none"/>
        </w:tabs>
        <w:spacing w:line="276" w:lineRule="auto" w:before="1" w:after="0"/>
        <w:ind w:left="2422" w:right="845" w:hanging="360"/>
        <w:jc w:val="both"/>
      </w:pPr>
      <w:r>
        <w:rPr/>
        <w:t>Лубовский В.</w:t>
      </w:r>
      <w:r>
        <w:rPr>
          <w:spacing w:val="-2"/>
        </w:rPr>
        <w:t> </w:t>
      </w:r>
      <w:r>
        <w:rPr/>
        <w:t>И. Особые образовательные потребности [Электронный ресурс] // Психологическая наука и образование psyedu.ru. — 2013. — Том 5. — № 5.</w:t>
      </w:r>
    </w:p>
    <w:p>
      <w:pPr>
        <w:pStyle w:val="Heading4"/>
        <w:ind w:left="2422"/>
      </w:pPr>
      <w:r>
        <w:rPr/>
        <w:t>URL:</w:t>
      </w:r>
      <w:r>
        <w:rPr>
          <w:spacing w:val="-3"/>
        </w:rPr>
        <w:t> </w:t>
      </w:r>
      <w:r>
        <w:rPr>
          <w:spacing w:val="-2"/>
        </w:rPr>
        <w:t>https://psyjournals.ru/psyedu_ru/2013/n5/Lubovskiy.shtml</w:t>
      </w:r>
    </w:p>
    <w:p>
      <w:pPr>
        <w:pStyle w:val="Heading4"/>
        <w:numPr>
          <w:ilvl w:val="0"/>
          <w:numId w:val="5"/>
        </w:numPr>
        <w:tabs>
          <w:tab w:pos="2422" w:val="left" w:leader="none"/>
        </w:tabs>
        <w:spacing w:line="276" w:lineRule="auto" w:before="48" w:after="0"/>
        <w:ind w:left="2422" w:right="855" w:hanging="360"/>
        <w:jc w:val="both"/>
      </w:pPr>
      <w:r>
        <w:rPr/>
        <w:t>Межкультурные отношения на постсоветском пространстве / Под ред. Н. М. Лебедевой. — 2017.</w:t>
      </w:r>
    </w:p>
    <w:p>
      <w:pPr>
        <w:pStyle w:val="Heading4"/>
        <w:numPr>
          <w:ilvl w:val="0"/>
          <w:numId w:val="5"/>
        </w:numPr>
        <w:tabs>
          <w:tab w:pos="2422" w:val="left" w:leader="none"/>
        </w:tabs>
        <w:spacing w:line="276" w:lineRule="auto" w:before="0" w:after="0"/>
        <w:ind w:left="2422" w:right="846" w:hanging="360"/>
        <w:jc w:val="both"/>
      </w:pPr>
      <w:r>
        <w:rPr/>
        <w:t>Нестерова</w:t>
      </w:r>
      <w:r>
        <w:rPr>
          <w:spacing w:val="-2"/>
        </w:rPr>
        <w:t> </w:t>
      </w:r>
      <w:r>
        <w:rPr/>
        <w:t>А. Дети, охваченные миграционными процессами: разнообразие,</w:t>
      </w:r>
      <w:r>
        <w:rPr>
          <w:spacing w:val="-3"/>
        </w:rPr>
        <w:t> </w:t>
      </w:r>
      <w:r>
        <w:rPr/>
        <w:t>вызовы</w:t>
      </w:r>
      <w:r>
        <w:rPr>
          <w:spacing w:val="-3"/>
        </w:rPr>
        <w:t> </w:t>
      </w:r>
      <w:r>
        <w:rPr/>
        <w:t>и</w:t>
      </w:r>
      <w:r>
        <w:rPr>
          <w:spacing w:val="-2"/>
        </w:rPr>
        <w:t> </w:t>
      </w:r>
      <w:r>
        <w:rPr/>
        <w:t>диверсификации</w:t>
      </w:r>
      <w:r>
        <w:rPr>
          <w:spacing w:val="-3"/>
        </w:rPr>
        <w:t> </w:t>
      </w:r>
      <w:r>
        <w:rPr/>
        <w:t>моделей</w:t>
      </w:r>
      <w:r>
        <w:rPr>
          <w:spacing w:val="-4"/>
        </w:rPr>
        <w:t> </w:t>
      </w:r>
      <w:r>
        <w:rPr/>
        <w:t>поддержки</w:t>
      </w:r>
      <w:r>
        <w:rPr>
          <w:spacing w:val="-3"/>
        </w:rPr>
        <w:t> </w:t>
      </w:r>
      <w:r>
        <w:rPr/>
        <w:t>//</w:t>
      </w:r>
      <w:r>
        <w:rPr>
          <w:spacing w:val="-3"/>
        </w:rPr>
        <w:t> </w:t>
      </w:r>
      <w:r>
        <w:rPr/>
        <w:t>Журнал исследований</w:t>
      </w:r>
      <w:r>
        <w:rPr>
          <w:spacing w:val="-12"/>
        </w:rPr>
        <w:t> </w:t>
      </w:r>
      <w:r>
        <w:rPr/>
        <w:t>социальной</w:t>
      </w:r>
      <w:r>
        <w:rPr>
          <w:spacing w:val="-12"/>
        </w:rPr>
        <w:t> </w:t>
      </w:r>
      <w:r>
        <w:rPr/>
        <w:t>политики.</w:t>
      </w:r>
      <w:r>
        <w:rPr>
          <w:spacing w:val="-8"/>
        </w:rPr>
        <w:t> </w:t>
      </w:r>
      <w:r>
        <w:rPr/>
        <w:t>—</w:t>
      </w:r>
      <w:r>
        <w:rPr>
          <w:spacing w:val="-12"/>
        </w:rPr>
        <w:t> </w:t>
      </w:r>
      <w:r>
        <w:rPr/>
        <w:t>2018.</w:t>
      </w:r>
      <w:r>
        <w:rPr>
          <w:spacing w:val="-13"/>
        </w:rPr>
        <w:t> </w:t>
      </w:r>
      <w:r>
        <w:rPr/>
        <w:t>—</w:t>
      </w:r>
      <w:r>
        <w:rPr>
          <w:spacing w:val="-12"/>
        </w:rPr>
        <w:t> </w:t>
      </w:r>
      <w:r>
        <w:rPr/>
        <w:t>Т.</w:t>
      </w:r>
      <w:r>
        <w:rPr>
          <w:spacing w:val="-13"/>
        </w:rPr>
        <w:t> </w:t>
      </w:r>
      <w:r>
        <w:rPr/>
        <w:t>16.</w:t>
      </w:r>
      <w:r>
        <w:rPr>
          <w:spacing w:val="-12"/>
        </w:rPr>
        <w:t> </w:t>
      </w:r>
      <w:r>
        <w:rPr/>
        <w:t>—</w:t>
      </w:r>
      <w:r>
        <w:rPr>
          <w:spacing w:val="-12"/>
        </w:rPr>
        <w:t> </w:t>
      </w:r>
      <w:r>
        <w:rPr/>
        <w:t>№</w:t>
      </w:r>
      <w:r>
        <w:rPr>
          <w:spacing w:val="-10"/>
        </w:rPr>
        <w:t> </w:t>
      </w:r>
      <w:r>
        <w:rPr/>
        <w:t>4.</w:t>
      </w:r>
      <w:r>
        <w:rPr>
          <w:spacing w:val="-12"/>
        </w:rPr>
        <w:t> </w:t>
      </w:r>
      <w:r>
        <w:rPr/>
        <w:t>—</w:t>
      </w:r>
      <w:r>
        <w:rPr>
          <w:spacing w:val="-12"/>
        </w:rPr>
        <w:t> </w:t>
      </w:r>
      <w:r>
        <w:rPr/>
        <w:t>c.</w:t>
      </w:r>
      <w:r>
        <w:rPr>
          <w:spacing w:val="-3"/>
        </w:rPr>
        <w:t> </w:t>
      </w:r>
      <w:r>
        <w:rPr/>
        <w:t>645– 660. doi: 10.17323/727-0634-2018-16-4-645-660.</w:t>
      </w:r>
    </w:p>
    <w:p>
      <w:pPr>
        <w:pStyle w:val="Heading4"/>
        <w:numPr>
          <w:ilvl w:val="0"/>
          <w:numId w:val="5"/>
        </w:numPr>
        <w:tabs>
          <w:tab w:pos="2422" w:val="left" w:leader="none"/>
        </w:tabs>
        <w:spacing w:line="276" w:lineRule="auto" w:before="1" w:after="0"/>
        <w:ind w:left="2422" w:right="847" w:hanging="360"/>
        <w:jc w:val="both"/>
      </w:pPr>
      <w:r>
        <w:rPr/>
        <w:t>Семаго</w:t>
      </w:r>
      <w:r>
        <w:rPr>
          <w:spacing w:val="-1"/>
        </w:rPr>
        <w:t> </w:t>
      </w:r>
      <w:r>
        <w:rPr/>
        <w:t>Н.</w:t>
      </w:r>
      <w:r>
        <w:rPr>
          <w:spacing w:val="-4"/>
        </w:rPr>
        <w:t> </w:t>
      </w:r>
      <w:r>
        <w:rPr/>
        <w:t>Я., Семаго</w:t>
      </w:r>
      <w:r>
        <w:rPr>
          <w:spacing w:val="-1"/>
        </w:rPr>
        <w:t> </w:t>
      </w:r>
      <w:r>
        <w:rPr/>
        <w:t>М.</w:t>
      </w:r>
      <w:r>
        <w:rPr>
          <w:spacing w:val="-4"/>
        </w:rPr>
        <w:t> </w:t>
      </w:r>
      <w:r>
        <w:rPr/>
        <w:t>М. Теория и практика оценки психического развития ребенка. Дошкольный и младший школьный возраст. — Спб.: Речь. — 2006. — 384 с.</w:t>
      </w:r>
    </w:p>
    <w:p>
      <w:pPr>
        <w:pStyle w:val="Heading4"/>
        <w:numPr>
          <w:ilvl w:val="0"/>
          <w:numId w:val="5"/>
        </w:numPr>
        <w:tabs>
          <w:tab w:pos="2421" w:val="left" w:leader="none"/>
        </w:tabs>
        <w:spacing w:line="320" w:lineRule="exact" w:before="0" w:after="0"/>
        <w:ind w:left="2421" w:right="0" w:hanging="359"/>
        <w:jc w:val="both"/>
      </w:pPr>
      <w:r>
        <w:rPr/>
        <w:t>Стефаненко</w:t>
      </w:r>
      <w:r>
        <w:rPr>
          <w:spacing w:val="-2"/>
        </w:rPr>
        <w:t> </w:t>
      </w:r>
      <w:r>
        <w:rPr/>
        <w:t>Т.</w:t>
      </w:r>
      <w:r>
        <w:rPr>
          <w:spacing w:val="-4"/>
        </w:rPr>
        <w:t> </w:t>
      </w:r>
      <w:r>
        <w:rPr/>
        <w:t>Г.</w:t>
      </w:r>
      <w:r>
        <w:rPr>
          <w:spacing w:val="-6"/>
        </w:rPr>
        <w:t> </w:t>
      </w:r>
      <w:r>
        <w:rPr/>
        <w:t>Этнопсихология.</w:t>
      </w:r>
      <w:r>
        <w:rPr>
          <w:spacing w:val="-3"/>
        </w:rPr>
        <w:t> </w:t>
      </w:r>
      <w:r>
        <w:rPr/>
        <w:t>М.</w:t>
      </w:r>
      <w:r>
        <w:rPr>
          <w:spacing w:val="-6"/>
        </w:rPr>
        <w:t> </w:t>
      </w:r>
      <w:r>
        <w:rPr/>
        <w:t>—</w:t>
      </w:r>
      <w:r>
        <w:rPr>
          <w:spacing w:val="-4"/>
        </w:rPr>
        <w:t> </w:t>
      </w:r>
      <w:r>
        <w:rPr/>
        <w:t>2014.</w:t>
      </w:r>
      <w:r>
        <w:rPr>
          <w:spacing w:val="-5"/>
        </w:rPr>
        <w:t> </w:t>
      </w:r>
      <w:r>
        <w:rPr/>
        <w:t>—</w:t>
      </w:r>
      <w:r>
        <w:rPr>
          <w:spacing w:val="-4"/>
        </w:rPr>
        <w:t> </w:t>
      </w:r>
      <w:r>
        <w:rPr/>
        <w:t>352</w:t>
      </w:r>
      <w:r>
        <w:rPr>
          <w:spacing w:val="-2"/>
        </w:rPr>
        <w:t> </w:t>
      </w:r>
      <w:r>
        <w:rPr>
          <w:spacing w:val="-5"/>
        </w:rPr>
        <w:t>с.</w:t>
      </w:r>
    </w:p>
    <w:p>
      <w:pPr>
        <w:pStyle w:val="Heading4"/>
        <w:numPr>
          <w:ilvl w:val="0"/>
          <w:numId w:val="5"/>
        </w:numPr>
        <w:tabs>
          <w:tab w:pos="2422" w:val="left" w:leader="none"/>
        </w:tabs>
        <w:spacing w:line="276" w:lineRule="auto" w:before="50" w:after="0"/>
        <w:ind w:left="2422" w:right="851" w:hanging="360"/>
        <w:jc w:val="left"/>
      </w:pPr>
      <w:r>
        <w:rPr/>
        <w:t>Фуряева</w:t>
      </w:r>
      <w:r>
        <w:rPr>
          <w:spacing w:val="-2"/>
        </w:rPr>
        <w:t> </w:t>
      </w:r>
      <w:r>
        <w:rPr/>
        <w:t>Т.</w:t>
      </w:r>
      <w:r>
        <w:rPr>
          <w:spacing w:val="-3"/>
        </w:rPr>
        <w:t> </w:t>
      </w:r>
      <w:r>
        <w:rPr/>
        <w:t>В.</w:t>
      </w:r>
      <w:r>
        <w:rPr>
          <w:spacing w:val="39"/>
        </w:rPr>
        <w:t> </w:t>
      </w:r>
      <w:hyperlink r:id="rId27">
        <w:r>
          <w:rPr/>
          <w:t>Социальная</w:t>
        </w:r>
        <w:r>
          <w:rPr>
            <w:spacing w:val="40"/>
          </w:rPr>
          <w:t> </w:t>
        </w:r>
        <w:r>
          <w:rPr/>
          <w:t>инклюзия</w:t>
        </w:r>
      </w:hyperlink>
      <w:r>
        <w:rPr/>
        <w:t>.</w:t>
      </w:r>
      <w:r>
        <w:rPr>
          <w:spacing w:val="36"/>
        </w:rPr>
        <w:t> </w:t>
      </w:r>
      <w:r>
        <w:rPr/>
        <w:t>Учебное</w:t>
      </w:r>
      <w:r>
        <w:rPr>
          <w:spacing w:val="39"/>
        </w:rPr>
        <w:t> </w:t>
      </w:r>
      <w:r>
        <w:rPr/>
        <w:t>пособие</w:t>
      </w:r>
      <w:r>
        <w:rPr>
          <w:spacing w:val="39"/>
        </w:rPr>
        <w:t> </w:t>
      </w:r>
      <w:r>
        <w:rPr/>
        <w:t>для</w:t>
      </w:r>
      <w:r>
        <w:rPr>
          <w:spacing w:val="39"/>
        </w:rPr>
        <w:t> </w:t>
      </w:r>
      <w:r>
        <w:rPr/>
        <w:t>вузов.</w:t>
      </w:r>
      <w:r>
        <w:rPr>
          <w:spacing w:val="39"/>
        </w:rPr>
        <w:t> </w:t>
      </w:r>
      <w:r>
        <w:rPr/>
        <w:t>М.: Юрайт. — 2021. — 189 с.</w:t>
      </w:r>
    </w:p>
    <w:p>
      <w:pPr>
        <w:pStyle w:val="Heading4"/>
        <w:numPr>
          <w:ilvl w:val="0"/>
          <w:numId w:val="5"/>
        </w:numPr>
        <w:tabs>
          <w:tab w:pos="2422" w:val="left" w:leader="none"/>
          <w:tab w:pos="3726" w:val="left" w:leader="none"/>
          <w:tab w:pos="4684" w:val="left" w:leader="none"/>
          <w:tab w:pos="6049" w:val="left" w:leader="none"/>
          <w:tab w:pos="6975" w:val="left" w:leader="none"/>
          <w:tab w:pos="8488" w:val="left" w:leader="none"/>
          <w:tab w:pos="9375" w:val="left" w:leader="none"/>
        </w:tabs>
        <w:spacing w:line="278" w:lineRule="auto" w:before="0" w:after="0"/>
        <w:ind w:left="2422" w:right="847" w:hanging="360"/>
        <w:jc w:val="left"/>
      </w:pPr>
      <w:r>
        <w:rPr>
          <w:spacing w:val="-2"/>
        </w:rPr>
        <w:t>Хухлаев</w:t>
      </w:r>
      <w:r>
        <w:rPr/>
        <w:tab/>
        <w:t>О. Е.,</w:t>
        <w:tab/>
      </w:r>
      <w:r>
        <w:rPr>
          <w:spacing w:val="-2"/>
        </w:rPr>
        <w:t>Хакимов</w:t>
      </w:r>
      <w:r>
        <w:rPr/>
        <w:tab/>
        <w:t>Э. Р.,</w:t>
        <w:tab/>
      </w:r>
      <w:r>
        <w:rPr>
          <w:spacing w:val="-2"/>
        </w:rPr>
        <w:t>Фомичева</w:t>
      </w:r>
      <w:r>
        <w:rPr/>
        <w:tab/>
        <w:t>А. Е.</w:t>
        <w:tab/>
      </w:r>
      <w:r>
        <w:rPr>
          <w:spacing w:val="-2"/>
        </w:rPr>
        <w:t>Исследования </w:t>
      </w:r>
      <w:r>
        <w:rPr/>
        <w:t>академической резильентности детей-мигрантов: анализ и перспективы</w:t>
      </w:r>
    </w:p>
    <w:p>
      <w:pPr>
        <w:pStyle w:val="Heading4"/>
        <w:spacing w:line="276" w:lineRule="auto"/>
        <w:ind w:left="2422" w:right="691"/>
        <w:jc w:val="left"/>
      </w:pPr>
      <w:r>
        <w:rPr/>
        <w:t>//</w:t>
      </w:r>
      <w:r>
        <w:rPr>
          <w:spacing w:val="-7"/>
        </w:rPr>
        <w:t> </w:t>
      </w:r>
      <w:r>
        <w:rPr/>
        <w:t>Культурно-историческая</w:t>
      </w:r>
      <w:r>
        <w:rPr>
          <w:spacing w:val="-7"/>
        </w:rPr>
        <w:t> </w:t>
      </w:r>
      <w:r>
        <w:rPr/>
        <w:t>психология.</w:t>
      </w:r>
      <w:r>
        <w:rPr>
          <w:spacing w:val="-8"/>
        </w:rPr>
        <w:t> </w:t>
      </w:r>
      <w:r>
        <w:rPr/>
        <w:t>—</w:t>
      </w:r>
      <w:r>
        <w:rPr>
          <w:spacing w:val="-8"/>
        </w:rPr>
        <w:t> </w:t>
      </w:r>
      <w:r>
        <w:rPr/>
        <w:t>2021.</w:t>
      </w:r>
      <w:r>
        <w:rPr>
          <w:spacing w:val="-8"/>
        </w:rPr>
        <w:t> </w:t>
      </w:r>
      <w:r>
        <w:rPr/>
        <w:t>—</w:t>
      </w:r>
      <w:r>
        <w:rPr>
          <w:spacing w:val="-8"/>
        </w:rPr>
        <w:t> </w:t>
      </w:r>
      <w:r>
        <w:rPr/>
        <w:t>Том</w:t>
      </w:r>
      <w:r>
        <w:rPr>
          <w:spacing w:val="-8"/>
        </w:rPr>
        <w:t> </w:t>
      </w:r>
      <w:r>
        <w:rPr/>
        <w:t>17.</w:t>
      </w:r>
      <w:r>
        <w:rPr>
          <w:spacing w:val="-8"/>
        </w:rPr>
        <w:t> </w:t>
      </w:r>
      <w:r>
        <w:rPr/>
        <w:t>—</w:t>
      </w:r>
      <w:r>
        <w:rPr>
          <w:spacing w:val="-8"/>
        </w:rPr>
        <w:t> </w:t>
      </w:r>
      <w:r>
        <w:rPr/>
        <w:t>№</w:t>
      </w:r>
      <w:r>
        <w:rPr>
          <w:spacing w:val="-7"/>
        </w:rPr>
        <w:t> </w:t>
      </w:r>
      <w:r>
        <w:rPr/>
        <w:t>4.</w:t>
      </w:r>
      <w:r>
        <w:rPr>
          <w:spacing w:val="-8"/>
        </w:rPr>
        <w:t> </w:t>
      </w:r>
      <w:r>
        <w:rPr/>
        <w:t>—</w:t>
      </w:r>
      <w:r>
        <w:rPr>
          <w:spacing w:val="-8"/>
        </w:rPr>
        <w:t> </w:t>
      </w:r>
      <w:r>
        <w:rPr/>
        <w:t>c. 117—127. DOI: https://doi.org/10.17759/chp.2021170413</w:t>
      </w:r>
    </w:p>
    <w:p>
      <w:pPr>
        <w:pStyle w:val="Heading4"/>
        <w:spacing w:after="0" w:line="276" w:lineRule="auto"/>
        <w:jc w:val="left"/>
        <w:sectPr>
          <w:pgSz w:w="11910" w:h="16840"/>
          <w:pgMar w:header="0" w:footer="956" w:top="1040" w:bottom="1220" w:left="0" w:right="0"/>
        </w:sectPr>
      </w:pPr>
    </w:p>
    <w:p>
      <w:pPr>
        <w:pStyle w:val="Heading4"/>
        <w:numPr>
          <w:ilvl w:val="0"/>
          <w:numId w:val="5"/>
        </w:numPr>
        <w:tabs>
          <w:tab w:pos="2422" w:val="left" w:leader="none"/>
        </w:tabs>
        <w:spacing w:line="276" w:lineRule="auto" w:before="67" w:after="0"/>
        <w:ind w:left="2422" w:right="845" w:hanging="360"/>
        <w:jc w:val="both"/>
      </w:pPr>
      <w:r>
        <w:rPr/>
        <w:t>Хухлаев</w:t>
      </w:r>
      <w:r>
        <w:rPr>
          <w:spacing w:val="-2"/>
        </w:rPr>
        <w:t> </w:t>
      </w:r>
      <w:r>
        <w:rPr/>
        <w:t>О.</w:t>
      </w:r>
      <w:r>
        <w:rPr>
          <w:spacing w:val="-3"/>
        </w:rPr>
        <w:t> </w:t>
      </w:r>
      <w:r>
        <w:rPr/>
        <w:t>Е., Чибисова</w:t>
      </w:r>
      <w:r>
        <w:rPr>
          <w:spacing w:val="-2"/>
        </w:rPr>
        <w:t> </w:t>
      </w:r>
      <w:r>
        <w:rPr/>
        <w:t>М.</w:t>
      </w:r>
      <w:r>
        <w:rPr>
          <w:spacing w:val="-4"/>
        </w:rPr>
        <w:t> </w:t>
      </w:r>
      <w:r>
        <w:rPr/>
        <w:t>Ю., Кузнецов</w:t>
      </w:r>
      <w:r>
        <w:rPr>
          <w:spacing w:val="-2"/>
        </w:rPr>
        <w:t> </w:t>
      </w:r>
      <w:r>
        <w:rPr/>
        <w:t>И.</w:t>
      </w:r>
      <w:r>
        <w:rPr>
          <w:spacing w:val="-4"/>
        </w:rPr>
        <w:t> </w:t>
      </w:r>
      <w:r>
        <w:rPr/>
        <w:t>М. Школа как транслятор культуры принимающего общества: интеграция детей-мигрантов в образовательной среде // Культурно-историческая психология. — 2014.</w:t>
      </w:r>
    </w:p>
    <w:p>
      <w:pPr>
        <w:pStyle w:val="Heading4"/>
        <w:spacing w:before="1"/>
        <w:ind w:left="2422"/>
      </w:pPr>
      <w:r>
        <w:rPr/>
        <w:t>—</w:t>
      </w:r>
      <w:r>
        <w:rPr>
          <w:spacing w:val="-2"/>
        </w:rPr>
        <w:t> </w:t>
      </w:r>
      <w:r>
        <w:rPr/>
        <w:t>Том</w:t>
      </w:r>
      <w:r>
        <w:rPr>
          <w:spacing w:val="-1"/>
        </w:rPr>
        <w:t> </w:t>
      </w:r>
      <w:r>
        <w:rPr/>
        <w:t>10.</w:t>
      </w:r>
      <w:r>
        <w:rPr>
          <w:spacing w:val="-1"/>
        </w:rPr>
        <w:t> </w:t>
      </w:r>
      <w:r>
        <w:rPr/>
        <w:t>—</w:t>
      </w:r>
      <w:r>
        <w:rPr>
          <w:spacing w:val="-1"/>
        </w:rPr>
        <w:t> </w:t>
      </w:r>
      <w:r>
        <w:rPr/>
        <w:t>№</w:t>
      </w:r>
      <w:r>
        <w:rPr>
          <w:spacing w:val="-3"/>
        </w:rPr>
        <w:t> </w:t>
      </w:r>
      <w:r>
        <w:rPr/>
        <w:t>1.</w:t>
      </w:r>
      <w:r>
        <w:rPr>
          <w:spacing w:val="-3"/>
        </w:rPr>
        <w:t> </w:t>
      </w:r>
      <w:r>
        <w:rPr/>
        <w:t>—</w:t>
      </w:r>
      <w:r>
        <w:rPr>
          <w:spacing w:val="-2"/>
        </w:rPr>
        <w:t> </w:t>
      </w:r>
      <w:r>
        <w:rPr/>
        <w:t>c.</w:t>
      </w:r>
      <w:r>
        <w:rPr>
          <w:spacing w:val="-1"/>
        </w:rPr>
        <w:t> </w:t>
      </w:r>
      <w:r>
        <w:rPr>
          <w:spacing w:val="-2"/>
        </w:rPr>
        <w:t>95–103.</w:t>
      </w:r>
    </w:p>
    <w:p>
      <w:pPr>
        <w:pStyle w:val="Heading4"/>
        <w:numPr>
          <w:ilvl w:val="0"/>
          <w:numId w:val="5"/>
        </w:numPr>
        <w:tabs>
          <w:tab w:pos="2422" w:val="left" w:leader="none"/>
        </w:tabs>
        <w:spacing w:line="276" w:lineRule="auto" w:before="50" w:after="0"/>
        <w:ind w:left="2422" w:right="848" w:hanging="360"/>
        <w:jc w:val="both"/>
      </w:pPr>
      <w:r>
        <w:rPr/>
        <w:t>Хухлаева</w:t>
      </w:r>
      <w:r>
        <w:rPr>
          <w:spacing w:val="-2"/>
        </w:rPr>
        <w:t> </w:t>
      </w:r>
      <w:r>
        <w:rPr/>
        <w:t>О.</w:t>
      </w:r>
      <w:r>
        <w:rPr>
          <w:spacing w:val="-3"/>
        </w:rPr>
        <w:t> </w:t>
      </w:r>
      <w:r>
        <w:rPr/>
        <w:t>В.,</w:t>
      </w:r>
      <w:r>
        <w:rPr>
          <w:spacing w:val="80"/>
        </w:rPr>
        <w:t> </w:t>
      </w:r>
      <w:r>
        <w:rPr/>
        <w:t>Хакимов</w:t>
      </w:r>
      <w:r>
        <w:rPr>
          <w:spacing w:val="-2"/>
        </w:rPr>
        <w:t> </w:t>
      </w:r>
      <w:r>
        <w:rPr/>
        <w:t>Э.</w:t>
      </w:r>
      <w:r>
        <w:rPr>
          <w:spacing w:val="-4"/>
        </w:rPr>
        <w:t> </w:t>
      </w:r>
      <w:r>
        <w:rPr/>
        <w:t>Р.,</w:t>
      </w:r>
      <w:r>
        <w:rPr>
          <w:spacing w:val="80"/>
        </w:rPr>
        <w:t> </w:t>
      </w:r>
      <w:r>
        <w:rPr/>
        <w:t>Хухлаев</w:t>
      </w:r>
      <w:r>
        <w:rPr>
          <w:spacing w:val="-2"/>
        </w:rPr>
        <w:t> </w:t>
      </w:r>
      <w:r>
        <w:rPr/>
        <w:t>О.</w:t>
      </w:r>
      <w:r>
        <w:rPr>
          <w:spacing w:val="-1"/>
        </w:rPr>
        <w:t> </w:t>
      </w:r>
      <w:r>
        <w:rPr/>
        <w:t>Е.</w:t>
      </w:r>
      <w:r>
        <w:rPr>
          <w:spacing w:val="80"/>
        </w:rPr>
        <w:t> </w:t>
      </w:r>
      <w:r>
        <w:rPr/>
        <w:t>Поликультурное образование. // М. — 2020. — 283 с.</w:t>
      </w:r>
    </w:p>
    <w:p>
      <w:pPr>
        <w:pStyle w:val="Heading4"/>
        <w:numPr>
          <w:ilvl w:val="0"/>
          <w:numId w:val="5"/>
        </w:numPr>
        <w:tabs>
          <w:tab w:pos="2422" w:val="left" w:leader="none"/>
        </w:tabs>
        <w:spacing w:line="276" w:lineRule="auto" w:before="0" w:after="0"/>
        <w:ind w:left="2422" w:right="852" w:hanging="360"/>
        <w:jc w:val="both"/>
      </w:pPr>
      <w:r>
        <w:rPr/>
        <w:t>Шеманов А.</w:t>
      </w:r>
      <w:r>
        <w:rPr>
          <w:spacing w:val="-2"/>
        </w:rPr>
        <w:t> </w:t>
      </w:r>
      <w:r>
        <w:rPr/>
        <w:t>Ю. Философские и культурологические проблемы инклюзии. Доклад на семинаре «Философские и культурологические основы инклюзивного образования» из серии «Инклюзия в образовании», Москва, ИПОИ МГППУ. — 27.02.2012.</w:t>
      </w:r>
    </w:p>
    <w:p>
      <w:pPr>
        <w:pStyle w:val="Heading4"/>
        <w:numPr>
          <w:ilvl w:val="0"/>
          <w:numId w:val="5"/>
        </w:numPr>
        <w:tabs>
          <w:tab w:pos="2422" w:val="left" w:leader="none"/>
        </w:tabs>
        <w:spacing w:line="276" w:lineRule="auto" w:before="0" w:after="0"/>
        <w:ind w:left="2422" w:right="844" w:hanging="360"/>
        <w:jc w:val="both"/>
      </w:pPr>
      <w:r>
        <w:rPr/>
        <w:t>Ярская-Смирнова</w:t>
      </w:r>
      <w:r>
        <w:rPr>
          <w:spacing w:val="-15"/>
        </w:rPr>
        <w:t> </w:t>
      </w:r>
      <w:r>
        <w:rPr/>
        <w:t>В.</w:t>
      </w:r>
      <w:r>
        <w:rPr>
          <w:spacing w:val="-6"/>
        </w:rPr>
        <w:t> </w:t>
      </w:r>
      <w:r>
        <w:rPr/>
        <w:t>Н.</w:t>
      </w:r>
      <w:r>
        <w:rPr>
          <w:spacing w:val="-16"/>
        </w:rPr>
        <w:t> </w:t>
      </w:r>
      <w:r>
        <w:rPr/>
        <w:t>Социальная</w:t>
      </w:r>
      <w:r>
        <w:rPr>
          <w:spacing w:val="-14"/>
        </w:rPr>
        <w:t> </w:t>
      </w:r>
      <w:r>
        <w:rPr/>
        <w:t>инклюзия</w:t>
      </w:r>
      <w:r>
        <w:rPr>
          <w:spacing w:val="-14"/>
        </w:rPr>
        <w:t> </w:t>
      </w:r>
      <w:r>
        <w:rPr/>
        <w:t>в</w:t>
      </w:r>
      <w:r>
        <w:rPr>
          <w:spacing w:val="-16"/>
        </w:rPr>
        <w:t> </w:t>
      </w:r>
      <w:r>
        <w:rPr/>
        <w:t>молодежной</w:t>
      </w:r>
      <w:r>
        <w:rPr>
          <w:spacing w:val="-17"/>
        </w:rPr>
        <w:t> </w:t>
      </w:r>
      <w:r>
        <w:rPr/>
        <w:t>политике</w:t>
      </w:r>
      <w:r>
        <w:rPr>
          <w:spacing w:val="-15"/>
        </w:rPr>
        <w:t> </w:t>
      </w:r>
      <w:r>
        <w:rPr/>
        <w:t>// Поволжский</w:t>
      </w:r>
      <w:r>
        <w:rPr>
          <w:spacing w:val="-5"/>
        </w:rPr>
        <w:t> </w:t>
      </w:r>
      <w:r>
        <w:rPr/>
        <w:t>торгово-экономический</w:t>
      </w:r>
      <w:r>
        <w:rPr>
          <w:spacing w:val="-5"/>
        </w:rPr>
        <w:t> </w:t>
      </w:r>
      <w:r>
        <w:rPr/>
        <w:t>журнал.</w:t>
      </w:r>
      <w:r>
        <w:rPr>
          <w:spacing w:val="-4"/>
        </w:rPr>
        <w:t> </w:t>
      </w:r>
      <w:r>
        <w:rPr/>
        <w:t>—</w:t>
      </w:r>
      <w:r>
        <w:rPr>
          <w:spacing w:val="-5"/>
        </w:rPr>
        <w:t> </w:t>
      </w:r>
      <w:r>
        <w:rPr/>
        <w:t>2010.</w:t>
      </w:r>
      <w:r>
        <w:rPr>
          <w:spacing w:val="-4"/>
        </w:rPr>
        <w:t> </w:t>
      </w:r>
      <w:r>
        <w:rPr/>
        <w:t>—</w:t>
      </w:r>
      <w:r>
        <w:rPr>
          <w:spacing w:val="-5"/>
        </w:rPr>
        <w:t> </w:t>
      </w:r>
      <w:r>
        <w:rPr/>
        <w:t>№</w:t>
      </w:r>
      <w:r>
        <w:rPr>
          <w:spacing w:val="-5"/>
        </w:rPr>
        <w:t> </w:t>
      </w:r>
      <w:r>
        <w:rPr/>
        <w:t>1.</w:t>
      </w:r>
      <w:r>
        <w:rPr>
          <w:spacing w:val="-5"/>
        </w:rPr>
        <w:t> </w:t>
      </w:r>
      <w:r>
        <w:rPr/>
        <w:t>—</w:t>
      </w:r>
      <w:r>
        <w:rPr>
          <w:spacing w:val="-5"/>
        </w:rPr>
        <w:t> </w:t>
      </w:r>
      <w:r>
        <w:rPr/>
        <w:t>С.</w:t>
      </w:r>
      <w:r>
        <w:rPr>
          <w:spacing w:val="-6"/>
        </w:rPr>
        <w:t> </w:t>
      </w:r>
      <w:r>
        <w:rPr/>
        <w:t>63– </w:t>
      </w:r>
      <w:r>
        <w:rPr>
          <w:spacing w:val="-4"/>
        </w:rPr>
        <w:t>73.</w:t>
      </w:r>
    </w:p>
    <w:p>
      <w:pPr>
        <w:pStyle w:val="Heading4"/>
        <w:numPr>
          <w:ilvl w:val="0"/>
          <w:numId w:val="5"/>
        </w:numPr>
        <w:tabs>
          <w:tab w:pos="2422" w:val="left" w:leader="none"/>
        </w:tabs>
        <w:spacing w:line="276" w:lineRule="auto" w:before="0" w:after="0"/>
        <w:ind w:left="2422" w:right="845" w:hanging="360"/>
        <w:jc w:val="both"/>
      </w:pPr>
      <w:r>
        <w:rPr/>
        <w:t>Adrienne</w:t>
      </w:r>
      <w:r>
        <w:rPr>
          <w:spacing w:val="-2"/>
        </w:rPr>
        <w:t> </w:t>
      </w:r>
      <w:r>
        <w:rPr/>
        <w:t>N., Lewis J.</w:t>
      </w:r>
      <w:r>
        <w:rPr>
          <w:spacing w:val="-3"/>
        </w:rPr>
        <w:t> </w:t>
      </w:r>
      <w:r>
        <w:rPr/>
        <w:t>A., Bellmore</w:t>
      </w:r>
      <w:r>
        <w:rPr>
          <w:spacing w:val="-1"/>
        </w:rPr>
        <w:t> </w:t>
      </w:r>
      <w:r>
        <w:rPr/>
        <w:t>A., Witkow M.</w:t>
      </w:r>
      <w:r>
        <w:rPr>
          <w:spacing w:val="-2"/>
        </w:rPr>
        <w:t> </w:t>
      </w:r>
      <w:r>
        <w:rPr/>
        <w:t>R. Ethnic Diversity and Inclusive</w:t>
      </w:r>
      <w:r>
        <w:rPr>
          <w:spacing w:val="37"/>
        </w:rPr>
        <w:t> </w:t>
      </w:r>
      <w:r>
        <w:rPr/>
        <w:t>School</w:t>
      </w:r>
      <w:r>
        <w:rPr>
          <w:spacing w:val="37"/>
        </w:rPr>
        <w:t> </w:t>
      </w:r>
      <w:r>
        <w:rPr/>
        <w:t>Environments</w:t>
      </w:r>
      <w:r>
        <w:rPr>
          <w:spacing w:val="37"/>
        </w:rPr>
        <w:t> </w:t>
      </w:r>
      <w:r>
        <w:rPr/>
        <w:t>/</w:t>
      </w:r>
      <w:r>
        <w:rPr>
          <w:spacing w:val="35"/>
        </w:rPr>
        <w:t> </w:t>
      </w:r>
      <w:r>
        <w:rPr/>
        <w:t>//</w:t>
      </w:r>
      <w:r>
        <w:rPr>
          <w:spacing w:val="37"/>
        </w:rPr>
        <w:t> </w:t>
      </w:r>
      <w:r>
        <w:rPr/>
        <w:t>Educational</w:t>
      </w:r>
      <w:r>
        <w:rPr>
          <w:spacing w:val="37"/>
        </w:rPr>
        <w:t> </w:t>
      </w:r>
      <w:r>
        <w:rPr/>
        <w:t>Psychologist.</w:t>
      </w:r>
      <w:r>
        <w:rPr>
          <w:spacing w:val="34"/>
        </w:rPr>
        <w:t> </w:t>
      </w:r>
      <w:r>
        <w:rPr/>
        <w:t>—</w:t>
      </w:r>
      <w:r>
        <w:rPr>
          <w:spacing w:val="37"/>
        </w:rPr>
        <w:t> </w:t>
      </w:r>
      <w:r>
        <w:rPr/>
        <w:t>2019.</w:t>
      </w:r>
      <w:r>
        <w:rPr>
          <w:spacing w:val="37"/>
        </w:rPr>
        <w:t> </w:t>
      </w:r>
      <w:r>
        <w:rPr/>
        <w:t>—</w:t>
      </w:r>
    </w:p>
    <w:p>
      <w:pPr>
        <w:pStyle w:val="Heading4"/>
        <w:ind w:left="2422"/>
      </w:pPr>
      <w:r>
        <w:rPr/>
        <w:t>54(4).</w:t>
      </w:r>
      <w:r>
        <w:rPr>
          <w:spacing w:val="-1"/>
        </w:rPr>
        <w:t> </w:t>
      </w:r>
      <w:r>
        <w:rPr/>
        <w:t>—</w:t>
      </w:r>
      <w:r>
        <w:rPr>
          <w:spacing w:val="-3"/>
        </w:rPr>
        <w:t> </w:t>
      </w:r>
      <w:r>
        <w:rPr/>
        <w:t>pp.</w:t>
      </w:r>
      <w:r>
        <w:rPr>
          <w:spacing w:val="-4"/>
        </w:rPr>
        <w:t> </w:t>
      </w:r>
      <w:r>
        <w:rPr>
          <w:spacing w:val="-2"/>
        </w:rPr>
        <w:t>306–321.</w:t>
      </w:r>
    </w:p>
    <w:p>
      <w:pPr>
        <w:pStyle w:val="Heading4"/>
        <w:numPr>
          <w:ilvl w:val="0"/>
          <w:numId w:val="5"/>
        </w:numPr>
        <w:tabs>
          <w:tab w:pos="2422" w:val="left" w:leader="none"/>
        </w:tabs>
        <w:spacing w:line="276" w:lineRule="auto" w:before="48" w:after="0"/>
        <w:ind w:left="2422" w:right="854" w:hanging="360"/>
        <w:jc w:val="both"/>
      </w:pPr>
      <w:r>
        <w:rPr/>
        <w:t>Ainscow</w:t>
      </w:r>
      <w:r>
        <w:rPr>
          <w:spacing w:val="-4"/>
        </w:rPr>
        <w:t> </w:t>
      </w:r>
      <w:r>
        <w:rPr/>
        <w:t>M. (2005). Developing inclusive education systems: What are the levers for change? Journal of Educational Change. — 6(2). — pp.109–124.</w:t>
      </w:r>
    </w:p>
    <w:p>
      <w:pPr>
        <w:pStyle w:val="Heading4"/>
        <w:numPr>
          <w:ilvl w:val="0"/>
          <w:numId w:val="5"/>
        </w:numPr>
        <w:tabs>
          <w:tab w:pos="2422" w:val="left" w:leader="none"/>
        </w:tabs>
        <w:spacing w:line="276" w:lineRule="auto" w:before="1" w:after="0"/>
        <w:ind w:left="2422" w:right="845" w:hanging="360"/>
        <w:jc w:val="both"/>
      </w:pPr>
      <w:r>
        <w:rPr/>
        <w:t>Andrews P. The importance of acknowledging the cultural dimension in mathematics</w:t>
      </w:r>
      <w:r>
        <w:rPr>
          <w:spacing w:val="-10"/>
        </w:rPr>
        <w:t> </w:t>
      </w:r>
      <w:r>
        <w:rPr/>
        <w:t>and</w:t>
      </w:r>
      <w:r>
        <w:rPr>
          <w:spacing w:val="-10"/>
        </w:rPr>
        <w:t> </w:t>
      </w:r>
      <w:r>
        <w:rPr/>
        <w:t>learning</w:t>
      </w:r>
      <w:r>
        <w:rPr>
          <w:spacing w:val="-8"/>
        </w:rPr>
        <w:t> </w:t>
      </w:r>
      <w:r>
        <w:rPr/>
        <w:t>research</w:t>
      </w:r>
      <w:r>
        <w:rPr>
          <w:spacing w:val="-10"/>
        </w:rPr>
        <w:t> </w:t>
      </w:r>
      <w:r>
        <w:rPr/>
        <w:t>//</w:t>
      </w:r>
      <w:r>
        <w:rPr>
          <w:spacing w:val="-8"/>
        </w:rPr>
        <w:t> </w:t>
      </w:r>
      <w:r>
        <w:rPr/>
        <w:t>Acta</w:t>
      </w:r>
      <w:r>
        <w:rPr>
          <w:spacing w:val="-11"/>
        </w:rPr>
        <w:t> </w:t>
      </w:r>
      <w:r>
        <w:rPr/>
        <w:t>Didactica</w:t>
      </w:r>
      <w:r>
        <w:rPr>
          <w:spacing w:val="-8"/>
        </w:rPr>
        <w:t> </w:t>
      </w:r>
      <w:r>
        <w:rPr/>
        <w:t>Napocensia.</w:t>
      </w:r>
      <w:r>
        <w:rPr>
          <w:spacing w:val="-9"/>
        </w:rPr>
        <w:t> </w:t>
      </w:r>
      <w:r>
        <w:rPr/>
        <w:t>—</w:t>
      </w:r>
      <w:r>
        <w:rPr>
          <w:spacing w:val="-9"/>
        </w:rPr>
        <w:t> </w:t>
      </w:r>
      <w:r>
        <w:rPr/>
        <w:t>2010.</w:t>
      </w:r>
      <w:r>
        <w:rPr>
          <w:spacing w:val="-11"/>
        </w:rPr>
        <w:t> </w:t>
      </w:r>
      <w:r>
        <w:rPr/>
        <w:t>— Vol. 3. — No 2. — pp. 3–15.</w:t>
      </w:r>
    </w:p>
    <w:p>
      <w:pPr>
        <w:pStyle w:val="Heading4"/>
        <w:numPr>
          <w:ilvl w:val="0"/>
          <w:numId w:val="5"/>
        </w:numPr>
        <w:tabs>
          <w:tab w:pos="2422" w:val="left" w:leader="none"/>
        </w:tabs>
        <w:spacing w:line="278" w:lineRule="auto" w:before="0" w:after="0"/>
        <w:ind w:left="2422" w:right="845" w:hanging="360"/>
        <w:jc w:val="both"/>
      </w:pPr>
      <w:r>
        <w:rPr/>
        <w:t>Appel</w:t>
      </w:r>
      <w:r>
        <w:rPr>
          <w:spacing w:val="-1"/>
        </w:rPr>
        <w:t> </w:t>
      </w:r>
      <w:r>
        <w:rPr/>
        <w:t>M., Weber</w:t>
      </w:r>
      <w:r>
        <w:rPr>
          <w:spacing w:val="-2"/>
        </w:rPr>
        <w:t> </w:t>
      </w:r>
      <w:r>
        <w:rPr/>
        <w:t>S., Kronberger</w:t>
      </w:r>
      <w:r>
        <w:rPr>
          <w:spacing w:val="-2"/>
        </w:rPr>
        <w:t> </w:t>
      </w:r>
      <w:r>
        <w:rPr/>
        <w:t>N. The influence of stereotype threat on immigrants: review and meta-analysis.</w:t>
      </w:r>
      <w:r>
        <w:rPr>
          <w:spacing w:val="-3"/>
        </w:rPr>
        <w:t> </w:t>
      </w:r>
      <w:r>
        <w:rPr/>
        <w:t>Frontiers in psychology. — 2015. —</w:t>
      </w:r>
    </w:p>
    <w:p>
      <w:pPr>
        <w:pStyle w:val="Heading4"/>
        <w:spacing w:line="317" w:lineRule="exact"/>
        <w:ind w:left="2422"/>
      </w:pPr>
      <w:r>
        <w:rPr/>
        <w:t>6.</w:t>
      </w:r>
      <w:r>
        <w:rPr>
          <w:spacing w:val="-3"/>
        </w:rPr>
        <w:t> </w:t>
      </w:r>
      <w:r>
        <w:rPr/>
        <w:t>—</w:t>
      </w:r>
      <w:r>
        <w:rPr>
          <w:spacing w:val="-1"/>
        </w:rPr>
        <w:t> </w:t>
      </w:r>
      <w:r>
        <w:rPr/>
        <w:t>900</w:t>
      </w:r>
      <w:r>
        <w:rPr>
          <w:spacing w:val="-2"/>
        </w:rPr>
        <w:t> </w:t>
      </w:r>
      <w:r>
        <w:rPr/>
        <w:t>p.</w:t>
      </w:r>
      <w:r>
        <w:rPr>
          <w:spacing w:val="-1"/>
        </w:rPr>
        <w:t> </w:t>
      </w:r>
      <w:hyperlink r:id="rId28">
        <w:r>
          <w:rPr>
            <w:spacing w:val="-2"/>
            <w:u w:val="single"/>
          </w:rPr>
          <w:t>https://doi.org/10.3389/fpsyg.2015.00900</w:t>
        </w:r>
      </w:hyperlink>
    </w:p>
    <w:p>
      <w:pPr>
        <w:pStyle w:val="Heading4"/>
        <w:numPr>
          <w:ilvl w:val="0"/>
          <w:numId w:val="5"/>
        </w:numPr>
        <w:tabs>
          <w:tab w:pos="2422" w:val="left" w:leader="none"/>
        </w:tabs>
        <w:spacing w:line="276" w:lineRule="auto" w:before="46" w:after="0"/>
        <w:ind w:left="2422" w:right="844" w:hanging="360"/>
        <w:jc w:val="both"/>
      </w:pPr>
      <w:r>
        <w:rPr/>
        <w:t>Avramidis</w:t>
      </w:r>
      <w:r>
        <w:rPr>
          <w:spacing w:val="-1"/>
        </w:rPr>
        <w:t> </w:t>
      </w:r>
      <w:r>
        <w:rPr/>
        <w:t>E., Bayliss</w:t>
      </w:r>
      <w:r>
        <w:rPr>
          <w:spacing w:val="-1"/>
        </w:rPr>
        <w:t> </w:t>
      </w:r>
      <w:r>
        <w:rPr/>
        <w:t>P., Burden</w:t>
      </w:r>
      <w:r>
        <w:rPr>
          <w:spacing w:val="-2"/>
        </w:rPr>
        <w:t> </w:t>
      </w:r>
      <w:r>
        <w:rPr/>
        <w:t>R. Inclusion in Action: an in-Depth Case Study of an Effective Inclusive Secondary School in the South-West of England.</w:t>
      </w:r>
      <w:r>
        <w:rPr>
          <w:spacing w:val="-13"/>
        </w:rPr>
        <w:t> </w:t>
      </w:r>
      <w:r>
        <w:rPr/>
        <w:t>//</w:t>
      </w:r>
      <w:r>
        <w:rPr>
          <w:spacing w:val="-12"/>
        </w:rPr>
        <w:t> </w:t>
      </w:r>
      <w:r>
        <w:rPr/>
        <w:t>International</w:t>
      </w:r>
      <w:r>
        <w:rPr>
          <w:spacing w:val="-14"/>
        </w:rPr>
        <w:t> </w:t>
      </w:r>
      <w:r>
        <w:rPr/>
        <w:t>Journal</w:t>
      </w:r>
      <w:r>
        <w:rPr>
          <w:spacing w:val="-12"/>
        </w:rPr>
        <w:t> </w:t>
      </w:r>
      <w:r>
        <w:rPr/>
        <w:t>of</w:t>
      </w:r>
      <w:r>
        <w:rPr>
          <w:spacing w:val="-12"/>
        </w:rPr>
        <w:t> </w:t>
      </w:r>
      <w:r>
        <w:rPr/>
        <w:t>Inclusive</w:t>
      </w:r>
      <w:r>
        <w:rPr>
          <w:spacing w:val="-12"/>
        </w:rPr>
        <w:t> </w:t>
      </w:r>
      <w:r>
        <w:rPr/>
        <w:t>Education.</w:t>
      </w:r>
      <w:r>
        <w:rPr>
          <w:spacing w:val="-13"/>
        </w:rPr>
        <w:t> </w:t>
      </w:r>
      <w:r>
        <w:rPr/>
        <w:t>—</w:t>
      </w:r>
      <w:r>
        <w:rPr>
          <w:spacing w:val="-12"/>
        </w:rPr>
        <w:t> </w:t>
      </w:r>
      <w:r>
        <w:rPr/>
        <w:t>2002.</w:t>
      </w:r>
      <w:r>
        <w:rPr>
          <w:spacing w:val="-13"/>
        </w:rPr>
        <w:t> </w:t>
      </w:r>
      <w:r>
        <w:rPr/>
        <w:t>—</w:t>
      </w:r>
      <w:r>
        <w:rPr>
          <w:spacing w:val="-12"/>
        </w:rPr>
        <w:t> </w:t>
      </w:r>
      <w:r>
        <w:rPr/>
        <w:t>6.</w:t>
      </w:r>
      <w:r>
        <w:rPr>
          <w:spacing w:val="-13"/>
        </w:rPr>
        <w:t> </w:t>
      </w:r>
      <w:r>
        <w:rPr/>
        <w:t>—</w:t>
      </w:r>
      <w:r>
        <w:rPr>
          <w:spacing w:val="-12"/>
        </w:rPr>
        <w:t> </w:t>
      </w:r>
      <w:r>
        <w:rPr/>
        <w:t>pp. </w:t>
      </w:r>
      <w:r>
        <w:rPr>
          <w:spacing w:val="-2"/>
        </w:rPr>
        <w:t>143–163.</w:t>
      </w:r>
    </w:p>
    <w:p>
      <w:pPr>
        <w:pStyle w:val="Heading4"/>
        <w:numPr>
          <w:ilvl w:val="0"/>
          <w:numId w:val="5"/>
        </w:numPr>
        <w:tabs>
          <w:tab w:pos="2422" w:val="left" w:leader="none"/>
        </w:tabs>
        <w:spacing w:line="276" w:lineRule="auto" w:before="0" w:after="0"/>
        <w:ind w:left="2422" w:right="845" w:hanging="360"/>
        <w:jc w:val="both"/>
      </w:pPr>
      <w:r>
        <w:rPr/>
        <w:t>Bellini S., Peters</w:t>
      </w:r>
      <w:r>
        <w:rPr>
          <w:spacing w:val="-2"/>
        </w:rPr>
        <w:t> </w:t>
      </w:r>
      <w:r>
        <w:rPr/>
        <w:t>J. Social skills training for youth with autism spectrum disorders. Child and Adolescent Psychiatric Clinics of North America. — 2008. — 17. — pp. 857-873.</w:t>
      </w:r>
    </w:p>
    <w:p>
      <w:pPr>
        <w:pStyle w:val="Heading4"/>
        <w:numPr>
          <w:ilvl w:val="0"/>
          <w:numId w:val="5"/>
        </w:numPr>
        <w:tabs>
          <w:tab w:pos="2422" w:val="left" w:leader="none"/>
        </w:tabs>
        <w:spacing w:line="276" w:lineRule="auto" w:before="1" w:after="0"/>
        <w:ind w:left="2422" w:right="845" w:hanging="360"/>
        <w:jc w:val="both"/>
      </w:pPr>
      <w:r>
        <w:rPr/>
        <w:t>Berry</w:t>
      </w:r>
      <w:r>
        <w:rPr>
          <w:spacing w:val="-6"/>
        </w:rPr>
        <w:t> </w:t>
      </w:r>
      <w:r>
        <w:rPr/>
        <w:t>J.</w:t>
      </w:r>
      <w:r>
        <w:rPr>
          <w:spacing w:val="-1"/>
        </w:rPr>
        <w:t> </w:t>
      </w:r>
      <w:r>
        <w:rPr/>
        <w:t>W.</w:t>
      </w:r>
      <w:r>
        <w:rPr>
          <w:spacing w:val="-13"/>
        </w:rPr>
        <w:t> </w:t>
      </w:r>
      <w:r>
        <w:rPr/>
        <w:t>Acculturation.</w:t>
      </w:r>
      <w:r>
        <w:rPr>
          <w:spacing w:val="-15"/>
        </w:rPr>
        <w:t> </w:t>
      </w:r>
      <w:r>
        <w:rPr/>
        <w:t>In</w:t>
      </w:r>
      <w:r>
        <w:rPr>
          <w:spacing w:val="-14"/>
        </w:rPr>
        <w:t> </w:t>
      </w:r>
      <w:r>
        <w:rPr/>
        <w:t>J.</w:t>
      </w:r>
      <w:r>
        <w:rPr>
          <w:spacing w:val="-1"/>
        </w:rPr>
        <w:t> </w:t>
      </w:r>
      <w:r>
        <w:rPr/>
        <w:t>E.</w:t>
      </w:r>
      <w:r>
        <w:rPr>
          <w:spacing w:val="-15"/>
        </w:rPr>
        <w:t> </w:t>
      </w:r>
      <w:r>
        <w:rPr/>
        <w:t>Grusec</w:t>
      </w:r>
      <w:r>
        <w:rPr>
          <w:spacing w:val="-17"/>
        </w:rPr>
        <w:t> </w:t>
      </w:r>
      <w:r>
        <w:rPr/>
        <w:t>&amp;</w:t>
      </w:r>
      <w:r>
        <w:rPr>
          <w:spacing w:val="-15"/>
        </w:rPr>
        <w:t> </w:t>
      </w:r>
      <w:r>
        <w:rPr/>
        <w:t>P.</w:t>
      </w:r>
      <w:r>
        <w:rPr>
          <w:spacing w:val="-3"/>
        </w:rPr>
        <w:t> </w:t>
      </w:r>
      <w:r>
        <w:rPr/>
        <w:t>D.</w:t>
      </w:r>
      <w:r>
        <w:rPr>
          <w:spacing w:val="-13"/>
        </w:rPr>
        <w:t> </w:t>
      </w:r>
      <w:r>
        <w:rPr/>
        <w:t>Hastings</w:t>
      </w:r>
      <w:r>
        <w:rPr>
          <w:spacing w:val="-14"/>
        </w:rPr>
        <w:t> </w:t>
      </w:r>
      <w:r>
        <w:rPr/>
        <w:t>(Eds.),</w:t>
      </w:r>
      <w:r>
        <w:rPr>
          <w:spacing w:val="-3"/>
        </w:rPr>
        <w:t> </w:t>
      </w:r>
      <w:r>
        <w:rPr/>
        <w:t>Handbook of socialization: Theory and research. The Guilford Press. — 2015. — pp. </w:t>
      </w:r>
      <w:r>
        <w:rPr>
          <w:spacing w:val="-2"/>
        </w:rPr>
        <w:t>520–538.</w:t>
      </w:r>
    </w:p>
    <w:p>
      <w:pPr>
        <w:pStyle w:val="Heading4"/>
        <w:numPr>
          <w:ilvl w:val="0"/>
          <w:numId w:val="5"/>
        </w:numPr>
        <w:tabs>
          <w:tab w:pos="2422" w:val="left" w:leader="none"/>
        </w:tabs>
        <w:spacing w:line="276" w:lineRule="auto" w:before="0" w:after="0"/>
        <w:ind w:left="2422" w:right="855" w:hanging="360"/>
        <w:jc w:val="both"/>
      </w:pPr>
      <w:r>
        <w:rPr/>
        <w:t>Berry</w:t>
      </w:r>
      <w:r>
        <w:rPr>
          <w:spacing w:val="-6"/>
        </w:rPr>
        <w:t> </w:t>
      </w:r>
      <w:r>
        <w:rPr/>
        <w:t>J.</w:t>
      </w:r>
      <w:r>
        <w:rPr>
          <w:spacing w:val="-1"/>
        </w:rPr>
        <w:t> </w:t>
      </w:r>
      <w:r>
        <w:rPr/>
        <w:t>W. Acculturation: Living successfully in two cultures // Int. J. Intercult. Relations. 2005. V. 29. № 6 SPEC. ISS. Р. 697–712.</w:t>
      </w:r>
    </w:p>
    <w:p>
      <w:pPr>
        <w:pStyle w:val="Heading4"/>
        <w:numPr>
          <w:ilvl w:val="0"/>
          <w:numId w:val="5"/>
        </w:numPr>
        <w:tabs>
          <w:tab w:pos="2422" w:val="left" w:leader="none"/>
        </w:tabs>
        <w:spacing w:line="276" w:lineRule="auto" w:before="2" w:after="0"/>
        <w:ind w:left="2422" w:right="857" w:hanging="360"/>
        <w:jc w:val="both"/>
      </w:pPr>
      <w:r>
        <w:rPr/>
        <w:t>Berry</w:t>
      </w:r>
      <w:r>
        <w:rPr>
          <w:spacing w:val="-6"/>
        </w:rPr>
        <w:t> </w:t>
      </w:r>
      <w:r>
        <w:rPr/>
        <w:t>J.</w:t>
      </w:r>
      <w:r>
        <w:rPr>
          <w:spacing w:val="-1"/>
        </w:rPr>
        <w:t> </w:t>
      </w:r>
      <w:r>
        <w:rPr/>
        <w:t>W. et al. Immigrant youth: Aculturation, identity and adaptation // Appl. Psychol. AN Int. Rev. — 2006. — V. 35. — № 3. — Р. 303–332.</w:t>
      </w:r>
    </w:p>
    <w:p>
      <w:pPr>
        <w:pStyle w:val="Heading4"/>
        <w:spacing w:after="0" w:line="276" w:lineRule="auto"/>
        <w:jc w:val="both"/>
        <w:sectPr>
          <w:pgSz w:w="11910" w:h="16840"/>
          <w:pgMar w:header="0" w:footer="956" w:top="1040" w:bottom="1220" w:left="0" w:right="0"/>
        </w:sectPr>
      </w:pPr>
    </w:p>
    <w:p>
      <w:pPr>
        <w:pStyle w:val="Heading4"/>
        <w:numPr>
          <w:ilvl w:val="0"/>
          <w:numId w:val="5"/>
        </w:numPr>
        <w:tabs>
          <w:tab w:pos="2422" w:val="left" w:leader="none"/>
        </w:tabs>
        <w:spacing w:line="276" w:lineRule="auto" w:before="67" w:after="0"/>
        <w:ind w:left="2422" w:right="845" w:hanging="360"/>
        <w:jc w:val="both"/>
      </w:pPr>
      <w:r>
        <w:rPr/>
        <w:t>Berry</w:t>
      </w:r>
      <w:r>
        <w:rPr>
          <w:spacing w:val="-6"/>
        </w:rPr>
        <w:t> </w:t>
      </w:r>
      <w:r>
        <w:rPr/>
        <w:t>J.</w:t>
      </w:r>
      <w:r>
        <w:rPr>
          <w:spacing w:val="-1"/>
        </w:rPr>
        <w:t> </w:t>
      </w:r>
      <w:r>
        <w:rPr/>
        <w:t>W.,</w:t>
      </w:r>
      <w:r>
        <w:rPr>
          <w:spacing w:val="-3"/>
        </w:rPr>
        <w:t> </w:t>
      </w:r>
      <w:r>
        <w:rPr/>
        <w:t>Kim</w:t>
      </w:r>
      <w:r>
        <w:rPr>
          <w:spacing w:val="-7"/>
        </w:rPr>
        <w:t> </w:t>
      </w:r>
      <w:r>
        <w:rPr/>
        <w:t>U.,</w:t>
      </w:r>
      <w:r>
        <w:rPr>
          <w:spacing w:val="-3"/>
        </w:rPr>
        <w:t> </w:t>
      </w:r>
      <w:r>
        <w:rPr/>
        <w:t>Minde</w:t>
      </w:r>
      <w:r>
        <w:rPr>
          <w:spacing w:val="-2"/>
        </w:rPr>
        <w:t> </w:t>
      </w:r>
      <w:r>
        <w:rPr/>
        <w:t>T.,</w:t>
      </w:r>
      <w:r>
        <w:rPr>
          <w:spacing w:val="-7"/>
        </w:rPr>
        <w:t> </w:t>
      </w:r>
      <w:r>
        <w:rPr/>
        <w:t>Mok</w:t>
      </w:r>
      <w:r>
        <w:rPr>
          <w:spacing w:val="-1"/>
        </w:rPr>
        <w:t> </w:t>
      </w:r>
      <w:r>
        <w:rPr/>
        <w:t>D.</w:t>
      </w:r>
      <w:r>
        <w:rPr>
          <w:spacing w:val="-6"/>
        </w:rPr>
        <w:t> </w:t>
      </w:r>
      <w:r>
        <w:rPr/>
        <w:t>Comparative</w:t>
      </w:r>
      <w:r>
        <w:rPr>
          <w:spacing w:val="-5"/>
        </w:rPr>
        <w:t> </w:t>
      </w:r>
      <w:r>
        <w:rPr/>
        <w:t>studies</w:t>
      </w:r>
      <w:r>
        <w:rPr>
          <w:spacing w:val="-5"/>
        </w:rPr>
        <w:t> </w:t>
      </w:r>
      <w:r>
        <w:rPr/>
        <w:t>of</w:t>
      </w:r>
      <w:r>
        <w:rPr>
          <w:spacing w:val="-8"/>
        </w:rPr>
        <w:t> </w:t>
      </w:r>
      <w:r>
        <w:rPr/>
        <w:t>acculturative stress. International Migration Review. — 1987. — 21(3). — pp. 491–511. doi: 10.2307/2546607</w:t>
      </w:r>
    </w:p>
    <w:p>
      <w:pPr>
        <w:pStyle w:val="Heading4"/>
        <w:numPr>
          <w:ilvl w:val="0"/>
          <w:numId w:val="5"/>
        </w:numPr>
        <w:tabs>
          <w:tab w:pos="2421" w:val="left" w:leader="none"/>
        </w:tabs>
        <w:spacing w:line="240" w:lineRule="auto" w:before="1" w:after="0"/>
        <w:ind w:left="2421" w:right="0" w:hanging="359"/>
        <w:jc w:val="both"/>
      </w:pPr>
      <w:r>
        <w:rPr/>
        <w:t>Birman</w:t>
      </w:r>
      <w:r>
        <w:rPr>
          <w:spacing w:val="-5"/>
        </w:rPr>
        <w:t> </w:t>
      </w:r>
      <w:r>
        <w:rPr/>
        <w:t>D.</w:t>
      </w:r>
      <w:r>
        <w:rPr>
          <w:spacing w:val="-14"/>
        </w:rPr>
        <w:t> </w:t>
      </w:r>
      <w:r>
        <w:rPr/>
        <w:t>Mental</w:t>
      </w:r>
      <w:r>
        <w:rPr>
          <w:spacing w:val="-14"/>
        </w:rPr>
        <w:t> </w:t>
      </w:r>
      <w:r>
        <w:rPr/>
        <w:t>Health</w:t>
      </w:r>
      <w:r>
        <w:rPr>
          <w:spacing w:val="-15"/>
        </w:rPr>
        <w:t> </w:t>
      </w:r>
      <w:r>
        <w:rPr/>
        <w:t>of</w:t>
      </w:r>
      <w:r>
        <w:rPr>
          <w:spacing w:val="-13"/>
        </w:rPr>
        <w:t> </w:t>
      </w:r>
      <w:r>
        <w:rPr/>
        <w:t>Refugee</w:t>
      </w:r>
      <w:r>
        <w:rPr>
          <w:spacing w:val="-13"/>
        </w:rPr>
        <w:t> </w:t>
      </w:r>
      <w:r>
        <w:rPr/>
        <w:t>Children:</w:t>
      </w:r>
      <w:r>
        <w:rPr>
          <w:spacing w:val="-13"/>
        </w:rPr>
        <w:t> </w:t>
      </w:r>
      <w:r>
        <w:rPr/>
        <w:t>A</w:t>
      </w:r>
      <w:r>
        <w:rPr>
          <w:spacing w:val="-15"/>
        </w:rPr>
        <w:t> </w:t>
      </w:r>
      <w:r>
        <w:rPr/>
        <w:t>Guide</w:t>
      </w:r>
      <w:r>
        <w:rPr>
          <w:spacing w:val="-13"/>
        </w:rPr>
        <w:t> </w:t>
      </w:r>
      <w:r>
        <w:rPr/>
        <w:t>for</w:t>
      </w:r>
      <w:r>
        <w:rPr>
          <w:spacing w:val="-13"/>
        </w:rPr>
        <w:t> </w:t>
      </w:r>
      <w:r>
        <w:rPr/>
        <w:t>the</w:t>
      </w:r>
      <w:r>
        <w:rPr>
          <w:spacing w:val="-16"/>
        </w:rPr>
        <w:t> </w:t>
      </w:r>
      <w:r>
        <w:rPr/>
        <w:t>ESL</w:t>
      </w:r>
      <w:r>
        <w:rPr>
          <w:spacing w:val="-15"/>
        </w:rPr>
        <w:t> </w:t>
      </w:r>
      <w:r>
        <w:rPr>
          <w:spacing w:val="-2"/>
        </w:rPr>
        <w:t>Teacher.</w:t>
      </w:r>
    </w:p>
    <w:p>
      <w:pPr>
        <w:pStyle w:val="Heading4"/>
        <w:spacing w:before="50"/>
        <w:ind w:left="2422"/>
      </w:pPr>
      <w:r>
        <w:rPr/>
        <w:t>—</w:t>
      </w:r>
      <w:r>
        <w:rPr>
          <w:spacing w:val="-1"/>
        </w:rPr>
        <w:t> </w:t>
      </w:r>
      <w:r>
        <w:rPr>
          <w:spacing w:val="-2"/>
        </w:rPr>
        <w:t>2002.</w:t>
      </w:r>
    </w:p>
    <w:p>
      <w:pPr>
        <w:pStyle w:val="Heading4"/>
        <w:numPr>
          <w:ilvl w:val="0"/>
          <w:numId w:val="5"/>
        </w:numPr>
        <w:tabs>
          <w:tab w:pos="2422" w:val="left" w:leader="none"/>
        </w:tabs>
        <w:spacing w:line="276" w:lineRule="auto" w:before="48" w:after="0"/>
        <w:ind w:left="2422" w:right="851" w:hanging="360"/>
        <w:jc w:val="both"/>
      </w:pPr>
      <w:r>
        <w:rPr/>
        <w:t>Birman</w:t>
      </w:r>
      <w:r>
        <w:rPr>
          <w:spacing w:val="-3"/>
        </w:rPr>
        <w:t> </w:t>
      </w:r>
      <w:r>
        <w:rPr/>
        <w:t>D.,</w:t>
      </w:r>
      <w:r>
        <w:rPr>
          <w:spacing w:val="-11"/>
        </w:rPr>
        <w:t> </w:t>
      </w:r>
      <w:r>
        <w:rPr/>
        <w:t>Chan</w:t>
      </w:r>
      <w:r>
        <w:rPr>
          <w:spacing w:val="-3"/>
        </w:rPr>
        <w:t> </w:t>
      </w:r>
      <w:r>
        <w:rPr/>
        <w:t>W.</w:t>
      </w:r>
      <w:r>
        <w:rPr>
          <w:spacing w:val="-8"/>
        </w:rPr>
        <w:t> </w:t>
      </w:r>
      <w:r>
        <w:rPr/>
        <w:t>Screening</w:t>
      </w:r>
      <w:r>
        <w:rPr>
          <w:spacing w:val="-9"/>
        </w:rPr>
        <w:t> </w:t>
      </w:r>
      <w:r>
        <w:rPr/>
        <w:t>and</w:t>
      </w:r>
      <w:r>
        <w:rPr>
          <w:spacing w:val="-9"/>
        </w:rPr>
        <w:t> </w:t>
      </w:r>
      <w:r>
        <w:rPr/>
        <w:t>Assessing</w:t>
      </w:r>
      <w:r>
        <w:rPr>
          <w:spacing w:val="-9"/>
        </w:rPr>
        <w:t> </w:t>
      </w:r>
      <w:r>
        <w:rPr/>
        <w:t>Immigrant</w:t>
      </w:r>
      <w:r>
        <w:rPr>
          <w:spacing w:val="-9"/>
        </w:rPr>
        <w:t> </w:t>
      </w:r>
      <w:r>
        <w:rPr/>
        <w:t>and</w:t>
      </w:r>
      <w:r>
        <w:rPr>
          <w:spacing w:val="-9"/>
        </w:rPr>
        <w:t> </w:t>
      </w:r>
      <w:r>
        <w:rPr/>
        <w:t>Refugee</w:t>
      </w:r>
      <w:r>
        <w:rPr>
          <w:spacing w:val="-9"/>
        </w:rPr>
        <w:t> </w:t>
      </w:r>
      <w:r>
        <w:rPr/>
        <w:t>Youth in School-Based Mental Health Programs. Center for Health and Healthcare in Schools. — 2008. — pp. 1-18.</w:t>
      </w:r>
    </w:p>
    <w:p>
      <w:pPr>
        <w:pStyle w:val="Heading4"/>
        <w:numPr>
          <w:ilvl w:val="0"/>
          <w:numId w:val="5"/>
        </w:numPr>
        <w:tabs>
          <w:tab w:pos="2422" w:val="left" w:leader="none"/>
        </w:tabs>
        <w:spacing w:line="276" w:lineRule="auto" w:before="0" w:after="0"/>
        <w:ind w:left="2422" w:right="846" w:hanging="360"/>
        <w:jc w:val="both"/>
      </w:pPr>
      <w:r>
        <w:rPr/>
        <w:t>Birman</w:t>
      </w:r>
      <w:r>
        <w:rPr>
          <w:spacing w:val="-1"/>
        </w:rPr>
        <w:t> </w:t>
      </w:r>
      <w:r>
        <w:rPr/>
        <w:t>D., Weinstein T., Chan</w:t>
      </w:r>
      <w:r>
        <w:rPr>
          <w:spacing w:val="-1"/>
        </w:rPr>
        <w:t> </w:t>
      </w:r>
      <w:r>
        <w:rPr/>
        <w:t>W., Beehler</w:t>
      </w:r>
      <w:r>
        <w:rPr>
          <w:spacing w:val="-2"/>
        </w:rPr>
        <w:t> </w:t>
      </w:r>
      <w:r>
        <w:rPr/>
        <w:t>S. () Immigrant youth in U.S. schools: Opportunities for</w:t>
      </w:r>
      <w:r>
        <w:rPr>
          <w:spacing w:val="-1"/>
        </w:rPr>
        <w:t> </w:t>
      </w:r>
      <w:r>
        <w:rPr/>
        <w:t>prevention.</w:t>
      </w:r>
      <w:r>
        <w:rPr>
          <w:spacing w:val="-1"/>
        </w:rPr>
        <w:t> </w:t>
      </w:r>
      <w:r>
        <w:rPr/>
        <w:t>Prev</w:t>
      </w:r>
      <w:r>
        <w:rPr>
          <w:spacing w:val="-2"/>
        </w:rPr>
        <w:t> </w:t>
      </w:r>
      <w:r>
        <w:rPr/>
        <w:t>Research.</w:t>
      </w:r>
      <w:r>
        <w:rPr>
          <w:spacing w:val="-1"/>
        </w:rPr>
        <w:t> </w:t>
      </w:r>
      <w:r>
        <w:rPr/>
        <w:t>— 2007.</w:t>
      </w:r>
      <w:r>
        <w:rPr>
          <w:spacing w:val="-1"/>
        </w:rPr>
        <w:t> </w:t>
      </w:r>
      <w:r>
        <w:rPr/>
        <w:t>— 14.</w:t>
      </w:r>
      <w:r>
        <w:rPr>
          <w:spacing w:val="-1"/>
        </w:rPr>
        <w:t> </w:t>
      </w:r>
      <w:r>
        <w:rPr/>
        <w:t>— pp. </w:t>
      </w:r>
      <w:r>
        <w:rPr>
          <w:spacing w:val="-2"/>
        </w:rPr>
        <w:t>14–17.</w:t>
      </w:r>
    </w:p>
    <w:p>
      <w:pPr>
        <w:pStyle w:val="Heading4"/>
        <w:numPr>
          <w:ilvl w:val="0"/>
          <w:numId w:val="5"/>
        </w:numPr>
        <w:tabs>
          <w:tab w:pos="2422" w:val="left" w:leader="none"/>
          <w:tab w:pos="3583" w:val="left" w:leader="none"/>
          <w:tab w:pos="3667" w:val="left" w:leader="none"/>
          <w:tab w:pos="4392" w:val="left" w:leader="none"/>
          <w:tab w:pos="5066" w:val="left" w:leader="none"/>
          <w:tab w:pos="5203" w:val="left" w:leader="none"/>
          <w:tab w:pos="6382" w:val="left" w:leader="none"/>
          <w:tab w:pos="6671" w:val="left" w:leader="none"/>
          <w:tab w:pos="7513" w:val="left" w:leader="none"/>
          <w:tab w:pos="7743" w:val="left" w:leader="none"/>
          <w:tab w:pos="8276" w:val="left" w:leader="none"/>
          <w:tab w:pos="9086" w:val="left" w:leader="none"/>
          <w:tab w:pos="9459" w:val="left" w:leader="none"/>
          <w:tab w:pos="10425" w:val="left" w:leader="none"/>
          <w:tab w:pos="10645" w:val="left" w:leader="none"/>
        </w:tabs>
        <w:spacing w:line="276" w:lineRule="auto" w:before="1" w:after="0"/>
        <w:ind w:left="2422" w:right="845" w:hanging="360"/>
        <w:jc w:val="left"/>
      </w:pPr>
      <w:r>
        <w:rPr/>
        <w:t>Brind T.,</w:t>
        <w:tab/>
        <w:tab/>
        <w:t>Harper C.,</w:t>
        <w:tab/>
        <w:t>Moore K.</w:t>
        <w:tab/>
      </w:r>
      <w:r>
        <w:rPr>
          <w:spacing w:val="-2"/>
        </w:rPr>
        <w:t>Education</w:t>
      </w:r>
      <w:r>
        <w:rPr/>
        <w:tab/>
      </w:r>
      <w:r>
        <w:rPr>
          <w:spacing w:val="-4"/>
        </w:rPr>
        <w:t>for</w:t>
      </w:r>
      <w:r>
        <w:rPr/>
        <w:tab/>
      </w:r>
      <w:r>
        <w:rPr>
          <w:spacing w:val="-52"/>
        </w:rPr>
        <w:t> </w:t>
      </w:r>
      <w:r>
        <w:rPr/>
        <w:t>migrant,</w:t>
        <w:tab/>
      </w:r>
      <w:r>
        <w:rPr>
          <w:spacing w:val="-2"/>
        </w:rPr>
        <w:t>minority</w:t>
      </w:r>
      <w:r>
        <w:rPr/>
        <w:tab/>
        <w:tab/>
      </w:r>
      <w:r>
        <w:rPr>
          <w:spacing w:val="-4"/>
        </w:rPr>
        <w:t>and </w:t>
      </w:r>
      <w:r>
        <w:rPr/>
        <w:t>marginalised</w:t>
      </w:r>
      <w:r>
        <w:rPr>
          <w:spacing w:val="-12"/>
        </w:rPr>
        <w:t> </w:t>
      </w:r>
      <w:r>
        <w:rPr/>
        <w:t>children</w:t>
      </w:r>
      <w:r>
        <w:rPr>
          <w:spacing w:val="-12"/>
        </w:rPr>
        <w:t> </w:t>
      </w:r>
      <w:r>
        <w:rPr/>
        <w:t>in</w:t>
      </w:r>
      <w:r>
        <w:rPr>
          <w:spacing w:val="-10"/>
        </w:rPr>
        <w:t> </w:t>
      </w:r>
      <w:r>
        <w:rPr/>
        <w:t>Europe.</w:t>
      </w:r>
      <w:r>
        <w:rPr>
          <w:spacing w:val="-11"/>
        </w:rPr>
        <w:t> </w:t>
      </w:r>
      <w:r>
        <w:rPr/>
        <w:t>A</w:t>
      </w:r>
      <w:r>
        <w:rPr>
          <w:spacing w:val="-12"/>
        </w:rPr>
        <w:t> </w:t>
      </w:r>
      <w:r>
        <w:rPr/>
        <w:t>report</w:t>
      </w:r>
      <w:r>
        <w:rPr>
          <w:spacing w:val="-12"/>
        </w:rPr>
        <w:t> </w:t>
      </w:r>
      <w:r>
        <w:rPr/>
        <w:t>commissioned</w:t>
      </w:r>
      <w:r>
        <w:rPr>
          <w:spacing w:val="-13"/>
        </w:rPr>
        <w:t> </w:t>
      </w:r>
      <w:r>
        <w:rPr/>
        <w:t>by</w:t>
      </w:r>
      <w:r>
        <w:rPr>
          <w:spacing w:val="-15"/>
        </w:rPr>
        <w:t> </w:t>
      </w:r>
      <w:r>
        <w:rPr/>
        <w:t>the</w:t>
      </w:r>
      <w:r>
        <w:rPr>
          <w:spacing w:val="-13"/>
        </w:rPr>
        <w:t> </w:t>
      </w:r>
      <w:r>
        <w:rPr/>
        <w:t>Open</w:t>
      </w:r>
      <w:r>
        <w:rPr>
          <w:spacing w:val="-12"/>
        </w:rPr>
        <w:t> </w:t>
      </w:r>
      <w:r>
        <w:rPr/>
        <w:t>Society Institute’s</w:t>
      </w:r>
      <w:r>
        <w:rPr>
          <w:spacing w:val="40"/>
        </w:rPr>
        <w:t> </w:t>
      </w:r>
      <w:r>
        <w:rPr/>
        <w:t>Education</w:t>
      </w:r>
      <w:r>
        <w:rPr>
          <w:spacing w:val="40"/>
        </w:rPr>
        <w:t> </w:t>
      </w:r>
      <w:r>
        <w:rPr/>
        <w:t>Support</w:t>
      </w:r>
      <w:r>
        <w:rPr>
          <w:spacing w:val="40"/>
        </w:rPr>
        <w:t> </w:t>
      </w:r>
      <w:r>
        <w:rPr/>
        <w:t>Programme.</w:t>
      </w:r>
      <w:r>
        <w:rPr>
          <w:spacing w:val="40"/>
        </w:rPr>
        <w:t> </w:t>
      </w:r>
      <w:r>
        <w:rPr/>
        <w:t>Open</w:t>
      </w:r>
      <w:r>
        <w:rPr>
          <w:spacing w:val="40"/>
        </w:rPr>
        <w:t> </w:t>
      </w:r>
      <w:r>
        <w:rPr/>
        <w:t>Society</w:t>
      </w:r>
      <w:r>
        <w:rPr>
          <w:spacing w:val="40"/>
        </w:rPr>
        <w:t> </w:t>
      </w:r>
      <w:r>
        <w:rPr/>
        <w:t>Foundations.</w:t>
      </w:r>
      <w:r>
        <w:rPr>
          <w:spacing w:val="40"/>
        </w:rPr>
        <w:t> </w:t>
      </w:r>
      <w:r>
        <w:rPr/>
        <w:t>— </w:t>
      </w:r>
      <w:r>
        <w:rPr>
          <w:spacing w:val="-4"/>
        </w:rPr>
        <w:t>2008.</w:t>
      </w:r>
      <w:r>
        <w:rPr/>
        <w:tab/>
      </w:r>
      <w:r>
        <w:rPr>
          <w:spacing w:val="-10"/>
        </w:rPr>
        <w:t>—</w:t>
      </w:r>
      <w:r>
        <w:rPr/>
        <w:tab/>
      </w:r>
      <w:r>
        <w:rPr>
          <w:spacing w:val="-6"/>
        </w:rPr>
        <w:t>31</w:t>
      </w:r>
      <w:r>
        <w:rPr/>
        <w:tab/>
        <w:tab/>
      </w:r>
      <w:r>
        <w:rPr>
          <w:spacing w:val="-2"/>
        </w:rPr>
        <w:t>January.</w:t>
      </w:r>
      <w:r>
        <w:rPr/>
        <w:tab/>
        <w:tab/>
      </w:r>
      <w:r>
        <w:rPr>
          <w:spacing w:val="-6"/>
        </w:rPr>
        <w:t>As</w:t>
      </w:r>
      <w:r>
        <w:rPr/>
        <w:tab/>
      </w:r>
      <w:r>
        <w:rPr>
          <w:spacing w:val="-6"/>
        </w:rPr>
        <w:t>of</w:t>
      </w:r>
      <w:r>
        <w:rPr/>
        <w:tab/>
        <w:tab/>
      </w:r>
      <w:r>
        <w:rPr>
          <w:spacing w:val="-6"/>
        </w:rPr>
        <w:t>26</w:t>
      </w:r>
      <w:r>
        <w:rPr/>
        <w:tab/>
      </w:r>
      <w:r>
        <w:rPr>
          <w:spacing w:val="-2"/>
        </w:rPr>
        <w:t>August</w:t>
      </w:r>
      <w:r>
        <w:rPr/>
        <w:tab/>
      </w:r>
      <w:r>
        <w:rPr>
          <w:spacing w:val="-2"/>
        </w:rPr>
        <w:t>2016. https://</w:t>
      </w:r>
      <w:hyperlink r:id="rId29">
        <w:r>
          <w:rPr>
            <w:spacing w:val="-2"/>
          </w:rPr>
          <w:t>www.opensocietyfoundations.org/sites/default/files/review_2008013</w:t>
        </w:r>
      </w:hyperlink>
      <w:r>
        <w:rPr>
          <w:spacing w:val="-2"/>
        </w:rPr>
        <w:t> </w:t>
      </w:r>
      <w:r>
        <w:rPr>
          <w:spacing w:val="-4"/>
        </w:rPr>
        <w:t>1.pdf</w:t>
      </w:r>
    </w:p>
    <w:p>
      <w:pPr>
        <w:pStyle w:val="Heading4"/>
        <w:numPr>
          <w:ilvl w:val="0"/>
          <w:numId w:val="5"/>
        </w:numPr>
        <w:tabs>
          <w:tab w:pos="2422" w:val="left" w:leader="none"/>
        </w:tabs>
        <w:spacing w:line="276" w:lineRule="auto" w:before="0" w:after="0"/>
        <w:ind w:left="2422" w:right="845" w:hanging="360"/>
        <w:jc w:val="both"/>
      </w:pPr>
      <w:r>
        <w:rPr/>
        <w:t>Caldin</w:t>
      </w:r>
      <w:r>
        <w:rPr>
          <w:spacing w:val="-2"/>
        </w:rPr>
        <w:t> </w:t>
      </w:r>
      <w:r>
        <w:rPr/>
        <w:t>R., Cinotti</w:t>
      </w:r>
      <w:r>
        <w:rPr>
          <w:spacing w:val="-1"/>
        </w:rPr>
        <w:t> </w:t>
      </w:r>
      <w:r>
        <w:rPr/>
        <w:t>A. Migrant families with disabilities. Social participation, school</w:t>
      </w:r>
      <w:r>
        <w:rPr>
          <w:spacing w:val="-11"/>
        </w:rPr>
        <w:t> </w:t>
      </w:r>
      <w:r>
        <w:rPr/>
        <w:t>and</w:t>
      </w:r>
      <w:r>
        <w:rPr>
          <w:spacing w:val="-11"/>
        </w:rPr>
        <w:t> </w:t>
      </w:r>
      <w:r>
        <w:rPr/>
        <w:t>inclusion.</w:t>
      </w:r>
      <w:r>
        <w:rPr>
          <w:spacing w:val="-10"/>
        </w:rPr>
        <w:t> </w:t>
      </w:r>
      <w:r>
        <w:rPr/>
        <w:t>Interdisciplinary</w:t>
      </w:r>
      <w:r>
        <w:rPr>
          <w:spacing w:val="-14"/>
        </w:rPr>
        <w:t> </w:t>
      </w:r>
      <w:r>
        <w:rPr/>
        <w:t>Journal</w:t>
      </w:r>
      <w:r>
        <w:rPr>
          <w:spacing w:val="-11"/>
        </w:rPr>
        <w:t> </w:t>
      </w:r>
      <w:r>
        <w:rPr/>
        <w:t>of</w:t>
      </w:r>
      <w:r>
        <w:rPr>
          <w:spacing w:val="-10"/>
        </w:rPr>
        <w:t> </w:t>
      </w:r>
      <w:r>
        <w:rPr/>
        <w:t>Family</w:t>
      </w:r>
      <w:r>
        <w:rPr>
          <w:spacing w:val="-14"/>
        </w:rPr>
        <w:t> </w:t>
      </w:r>
      <w:r>
        <w:rPr/>
        <w:t>Studies.</w:t>
      </w:r>
      <w:r>
        <w:rPr>
          <w:spacing w:val="-13"/>
        </w:rPr>
        <w:t> </w:t>
      </w:r>
      <w:r>
        <w:rPr/>
        <w:t>—</w:t>
      </w:r>
      <w:r>
        <w:rPr>
          <w:spacing w:val="-12"/>
        </w:rPr>
        <w:t> </w:t>
      </w:r>
      <w:r>
        <w:rPr/>
        <w:t>2018.</w:t>
      </w:r>
      <w:r>
        <w:rPr>
          <w:spacing w:val="-13"/>
        </w:rPr>
        <w:t> </w:t>
      </w:r>
      <w:r>
        <w:rPr/>
        <w:t>— </w:t>
      </w:r>
      <w:r>
        <w:rPr>
          <w:spacing w:val="-4"/>
        </w:rPr>
        <w:t>23.</w:t>
      </w:r>
    </w:p>
    <w:p>
      <w:pPr>
        <w:pStyle w:val="Heading4"/>
        <w:numPr>
          <w:ilvl w:val="0"/>
          <w:numId w:val="5"/>
        </w:numPr>
        <w:tabs>
          <w:tab w:pos="2422" w:val="left" w:leader="none"/>
        </w:tabs>
        <w:spacing w:line="276" w:lineRule="auto" w:before="0" w:after="0"/>
        <w:ind w:left="2422" w:right="846" w:hanging="360"/>
        <w:jc w:val="both"/>
      </w:pPr>
      <w:r>
        <w:rPr/>
        <w:t>Cavicchiolo E. et al. Social inclusion of immigrant children at school: the impact of group, family and individual characteristics, and the role of proficiency</w:t>
      </w:r>
      <w:r>
        <w:rPr>
          <w:spacing w:val="-3"/>
        </w:rPr>
        <w:t> </w:t>
      </w:r>
      <w:r>
        <w:rPr/>
        <w:t>in the</w:t>
      </w:r>
      <w:r>
        <w:rPr>
          <w:spacing w:val="-1"/>
        </w:rPr>
        <w:t> </w:t>
      </w:r>
      <w:r>
        <w:rPr/>
        <w:t>national language // Int.</w:t>
      </w:r>
      <w:r>
        <w:rPr>
          <w:spacing w:val="-2"/>
        </w:rPr>
        <w:t> </w:t>
      </w:r>
      <w:r>
        <w:rPr/>
        <w:t>J. Incl. Educ.</w:t>
      </w:r>
      <w:r>
        <w:rPr>
          <w:spacing w:val="-2"/>
        </w:rPr>
        <w:t> </w:t>
      </w:r>
      <w:r>
        <w:rPr/>
        <w:t>2020. — V. 0. —</w:t>
      </w:r>
      <w:r>
        <w:rPr>
          <w:spacing w:val="-2"/>
        </w:rPr>
        <w:t> </w:t>
      </w:r>
      <w:r>
        <w:rPr/>
        <w:t>№</w:t>
      </w:r>
    </w:p>
    <w:p>
      <w:pPr>
        <w:pStyle w:val="Heading4"/>
        <w:ind w:left="2422"/>
      </w:pPr>
      <w:r>
        <w:rPr/>
        <w:t>0.</w:t>
      </w:r>
      <w:r>
        <w:rPr>
          <w:spacing w:val="-4"/>
        </w:rPr>
        <w:t> </w:t>
      </w:r>
      <w:r>
        <w:rPr/>
        <w:t>—</w:t>
      </w:r>
      <w:r>
        <w:rPr>
          <w:spacing w:val="-1"/>
        </w:rPr>
        <w:t> </w:t>
      </w:r>
      <w:r>
        <w:rPr/>
        <w:t>pp.</w:t>
      </w:r>
      <w:r>
        <w:rPr>
          <w:spacing w:val="-1"/>
        </w:rPr>
        <w:t> </w:t>
      </w:r>
      <w:r>
        <w:rPr>
          <w:spacing w:val="-4"/>
        </w:rPr>
        <w:t>1–21.</w:t>
      </w:r>
    </w:p>
    <w:p>
      <w:pPr>
        <w:pStyle w:val="Heading4"/>
        <w:numPr>
          <w:ilvl w:val="0"/>
          <w:numId w:val="5"/>
        </w:numPr>
        <w:tabs>
          <w:tab w:pos="2422" w:val="left" w:leader="none"/>
        </w:tabs>
        <w:spacing w:line="276" w:lineRule="auto" w:before="47" w:after="0"/>
        <w:ind w:left="2422" w:right="844" w:hanging="360"/>
        <w:jc w:val="both"/>
      </w:pPr>
      <w:r>
        <w:rPr/>
        <w:t>Cefai</w:t>
      </w:r>
      <w:r>
        <w:rPr>
          <w:spacing w:val="-2"/>
        </w:rPr>
        <w:t> </w:t>
      </w:r>
      <w:r>
        <w:rPr/>
        <w:t>C., Cavioni</w:t>
      </w:r>
      <w:r>
        <w:rPr>
          <w:spacing w:val="-2"/>
        </w:rPr>
        <w:t> </w:t>
      </w:r>
      <w:r>
        <w:rPr/>
        <w:t>V., Bartolo</w:t>
      </w:r>
      <w:r>
        <w:rPr>
          <w:spacing w:val="-2"/>
        </w:rPr>
        <w:t> </w:t>
      </w:r>
      <w:r>
        <w:rPr/>
        <w:t>P., Simoes</w:t>
      </w:r>
      <w:r>
        <w:rPr>
          <w:spacing w:val="-1"/>
        </w:rPr>
        <w:t> </w:t>
      </w:r>
      <w:r>
        <w:rPr/>
        <w:t>C., Miljevic-Ridicki</w:t>
      </w:r>
      <w:r>
        <w:rPr>
          <w:spacing w:val="-1"/>
        </w:rPr>
        <w:t> </w:t>
      </w:r>
      <w:r>
        <w:rPr/>
        <w:t>R., Bouilet</w:t>
      </w:r>
      <w:r>
        <w:rPr>
          <w:spacing w:val="-2"/>
        </w:rPr>
        <w:t> </w:t>
      </w:r>
      <w:r>
        <w:rPr/>
        <w:t>D., Ivanec</w:t>
      </w:r>
      <w:r>
        <w:rPr>
          <w:spacing w:val="-1"/>
        </w:rPr>
        <w:t> </w:t>
      </w:r>
      <w:r>
        <w:rPr/>
        <w:t>T.</w:t>
      </w:r>
      <w:r>
        <w:rPr>
          <w:spacing w:val="-2"/>
        </w:rPr>
        <w:t> </w:t>
      </w:r>
      <w:r>
        <w:rPr/>
        <w:t>P., et al. Social Inclusion and Social Justice: A Resilience Curriculum</w:t>
      </w:r>
      <w:r>
        <w:rPr>
          <w:spacing w:val="-2"/>
        </w:rPr>
        <w:t> </w:t>
      </w:r>
      <w:r>
        <w:rPr/>
        <w:t>for Early Years and Elementary Schools in Europe // Journal for Multicultural</w:t>
      </w:r>
      <w:r>
        <w:rPr>
          <w:spacing w:val="70"/>
        </w:rPr>
        <w:t>  </w:t>
      </w:r>
      <w:r>
        <w:rPr/>
        <w:t>Education.</w:t>
      </w:r>
      <w:r>
        <w:rPr>
          <w:spacing w:val="69"/>
        </w:rPr>
        <w:t>  </w:t>
      </w:r>
      <w:r>
        <w:rPr/>
        <w:t>—</w:t>
      </w:r>
      <w:r>
        <w:rPr>
          <w:spacing w:val="68"/>
        </w:rPr>
        <w:t>  </w:t>
      </w:r>
      <w:r>
        <w:rPr/>
        <w:t>2015.</w:t>
      </w:r>
      <w:r>
        <w:rPr>
          <w:spacing w:val="69"/>
        </w:rPr>
        <w:t>  </w:t>
      </w:r>
      <w:r>
        <w:rPr/>
        <w:t>—</w:t>
      </w:r>
      <w:r>
        <w:rPr>
          <w:spacing w:val="70"/>
        </w:rPr>
        <w:t>  </w:t>
      </w:r>
      <w:r>
        <w:rPr/>
        <w:t>9</w:t>
      </w:r>
      <w:r>
        <w:rPr>
          <w:spacing w:val="70"/>
        </w:rPr>
        <w:t>  </w:t>
      </w:r>
      <w:r>
        <w:rPr/>
        <w:t>(3).</w:t>
      </w:r>
      <w:r>
        <w:rPr>
          <w:spacing w:val="69"/>
        </w:rPr>
        <w:t>  </w:t>
      </w:r>
      <w:r>
        <w:rPr/>
        <w:t>—</w:t>
      </w:r>
      <w:r>
        <w:rPr>
          <w:spacing w:val="70"/>
        </w:rPr>
        <w:t>  </w:t>
      </w:r>
      <w:r>
        <w:rPr/>
        <w:t>pp.</w:t>
      </w:r>
      <w:r>
        <w:rPr>
          <w:spacing w:val="69"/>
        </w:rPr>
        <w:t>  </w:t>
      </w:r>
      <w:r>
        <w:rPr/>
        <w:t>122–139.</w:t>
      </w:r>
    </w:p>
    <w:p>
      <w:pPr>
        <w:pStyle w:val="Heading4"/>
        <w:ind w:left="2422"/>
      </w:pPr>
      <w:r>
        <w:rPr>
          <w:spacing w:val="-2"/>
        </w:rPr>
        <w:t>doi:10.1108/JME-01—</w:t>
      </w:r>
      <w:r>
        <w:rPr>
          <w:spacing w:val="23"/>
        </w:rPr>
        <w:t> </w:t>
      </w:r>
      <w:r>
        <w:rPr>
          <w:spacing w:val="-2"/>
        </w:rPr>
        <w:t>2015-</w:t>
      </w:r>
      <w:r>
        <w:rPr>
          <w:spacing w:val="-4"/>
        </w:rPr>
        <w:t>0002</w:t>
      </w:r>
    </w:p>
    <w:p>
      <w:pPr>
        <w:pStyle w:val="Heading4"/>
        <w:numPr>
          <w:ilvl w:val="0"/>
          <w:numId w:val="5"/>
        </w:numPr>
        <w:tabs>
          <w:tab w:pos="2422" w:val="left" w:leader="none"/>
        </w:tabs>
        <w:spacing w:line="276" w:lineRule="auto" w:before="50" w:after="0"/>
        <w:ind w:left="2422" w:right="845" w:hanging="360"/>
        <w:jc w:val="both"/>
      </w:pPr>
      <w:r>
        <w:rPr/>
        <w:t>Celenk O., Van de Vijver F. Assessment of Acculturation: Issues and Overview</w:t>
      </w:r>
      <w:r>
        <w:rPr>
          <w:spacing w:val="-16"/>
        </w:rPr>
        <w:t> </w:t>
      </w:r>
      <w:r>
        <w:rPr/>
        <w:t>of</w:t>
      </w:r>
      <w:r>
        <w:rPr>
          <w:spacing w:val="-12"/>
        </w:rPr>
        <w:t> </w:t>
      </w:r>
      <w:r>
        <w:rPr/>
        <w:t>Measures.</w:t>
      </w:r>
      <w:r>
        <w:rPr>
          <w:spacing w:val="-13"/>
        </w:rPr>
        <w:t> </w:t>
      </w:r>
      <w:r>
        <w:rPr/>
        <w:t>Online</w:t>
      </w:r>
      <w:r>
        <w:rPr>
          <w:spacing w:val="-12"/>
        </w:rPr>
        <w:t> </w:t>
      </w:r>
      <w:r>
        <w:rPr/>
        <w:t>Readings</w:t>
      </w:r>
      <w:r>
        <w:rPr>
          <w:spacing w:val="-12"/>
        </w:rPr>
        <w:t> </w:t>
      </w:r>
      <w:r>
        <w:rPr/>
        <w:t>in</w:t>
      </w:r>
      <w:r>
        <w:rPr>
          <w:spacing w:val="-14"/>
        </w:rPr>
        <w:t> </w:t>
      </w:r>
      <w:r>
        <w:rPr/>
        <w:t>Psychology</w:t>
      </w:r>
      <w:r>
        <w:rPr>
          <w:spacing w:val="-16"/>
        </w:rPr>
        <w:t> </w:t>
      </w:r>
      <w:r>
        <w:rPr/>
        <w:t>and</w:t>
      </w:r>
      <w:r>
        <w:rPr>
          <w:spacing w:val="-12"/>
        </w:rPr>
        <w:t> </w:t>
      </w:r>
      <w:r>
        <w:rPr/>
        <w:t>Culture.</w:t>
      </w:r>
      <w:r>
        <w:rPr>
          <w:spacing w:val="-13"/>
        </w:rPr>
        <w:t> </w:t>
      </w:r>
      <w:r>
        <w:rPr/>
        <w:t>—</w:t>
      </w:r>
      <w:r>
        <w:rPr>
          <w:spacing w:val="-12"/>
        </w:rPr>
        <w:t> </w:t>
      </w:r>
      <w:r>
        <w:rPr/>
        <w:t>2011.</w:t>
      </w:r>
    </w:p>
    <w:p>
      <w:pPr>
        <w:pStyle w:val="Heading4"/>
        <w:spacing w:line="321" w:lineRule="exact"/>
        <w:ind w:left="2422"/>
      </w:pPr>
      <w:r>
        <w:rPr/>
        <w:t>—</w:t>
      </w:r>
      <w:r>
        <w:rPr>
          <w:spacing w:val="-13"/>
        </w:rPr>
        <w:t> </w:t>
      </w:r>
      <w:r>
        <w:rPr/>
        <w:t>8(1).</w:t>
      </w:r>
      <w:r>
        <w:rPr>
          <w:spacing w:val="-12"/>
        </w:rPr>
        <w:t> </w:t>
      </w:r>
      <w:r>
        <w:rPr/>
        <w:t>https://doi.org/10.9707/</w:t>
      </w:r>
      <w:r>
        <w:rPr>
          <w:spacing w:val="-10"/>
        </w:rPr>
        <w:t> </w:t>
      </w:r>
      <w:r>
        <w:rPr/>
        <w:t>2307-</w:t>
      </w:r>
      <w:r>
        <w:rPr>
          <w:spacing w:val="-2"/>
        </w:rPr>
        <w:t>0919.1105</w:t>
      </w:r>
    </w:p>
    <w:p>
      <w:pPr>
        <w:pStyle w:val="Heading4"/>
        <w:numPr>
          <w:ilvl w:val="0"/>
          <w:numId w:val="5"/>
        </w:numPr>
        <w:tabs>
          <w:tab w:pos="2422" w:val="left" w:leader="none"/>
        </w:tabs>
        <w:spacing w:line="276" w:lineRule="auto" w:before="48" w:after="0"/>
        <w:ind w:left="2422" w:right="845" w:hanging="360"/>
        <w:jc w:val="both"/>
      </w:pPr>
      <w:r>
        <w:rPr/>
        <w:t>Chen</w:t>
      </w:r>
      <w:r>
        <w:rPr>
          <w:spacing w:val="-1"/>
        </w:rPr>
        <w:t> </w:t>
      </w:r>
      <w:r>
        <w:rPr/>
        <w:t>F.</w:t>
      </w:r>
      <w:r>
        <w:rPr>
          <w:spacing w:val="-4"/>
        </w:rPr>
        <w:t> </w:t>
      </w:r>
      <w:r>
        <w:rPr/>
        <w:t>F.,</w:t>
      </w:r>
      <w:r>
        <w:rPr>
          <w:spacing w:val="-14"/>
        </w:rPr>
        <w:t> </w:t>
      </w:r>
      <w:r>
        <w:rPr/>
        <w:t>Jing</w:t>
      </w:r>
      <w:r>
        <w:rPr>
          <w:spacing w:val="-1"/>
        </w:rPr>
        <w:t> </w:t>
      </w:r>
      <w:r>
        <w:rPr/>
        <w:t>Y.,</w:t>
      </w:r>
      <w:r>
        <w:rPr>
          <w:spacing w:val="-14"/>
        </w:rPr>
        <w:t> </w:t>
      </w:r>
      <w:r>
        <w:rPr/>
        <w:t>Hayes</w:t>
      </w:r>
      <w:r>
        <w:rPr>
          <w:spacing w:val="-2"/>
        </w:rPr>
        <w:t> </w:t>
      </w:r>
      <w:r>
        <w:rPr/>
        <w:t>A.,</w:t>
      </w:r>
      <w:r>
        <w:rPr>
          <w:spacing w:val="-11"/>
        </w:rPr>
        <w:t> </w:t>
      </w:r>
      <w:r>
        <w:rPr/>
        <w:t>Lee</w:t>
      </w:r>
      <w:r>
        <w:rPr>
          <w:spacing w:val="-2"/>
        </w:rPr>
        <w:t> </w:t>
      </w:r>
      <w:r>
        <w:rPr/>
        <w:t>J.</w:t>
      </w:r>
      <w:r>
        <w:rPr>
          <w:spacing w:val="-4"/>
        </w:rPr>
        <w:t> </w:t>
      </w:r>
      <w:r>
        <w:rPr/>
        <w:t>M.</w:t>
      </w:r>
      <w:r>
        <w:rPr>
          <w:spacing w:val="-13"/>
        </w:rPr>
        <w:t> </w:t>
      </w:r>
      <w:r>
        <w:rPr/>
        <w:t>().</w:t>
      </w:r>
      <w:r>
        <w:rPr>
          <w:spacing w:val="-10"/>
        </w:rPr>
        <w:t> </w:t>
      </w:r>
      <w:r>
        <w:rPr/>
        <w:t>Two</w:t>
      </w:r>
      <w:r>
        <w:rPr>
          <w:spacing w:val="-12"/>
        </w:rPr>
        <w:t> </w:t>
      </w:r>
      <w:r>
        <w:rPr/>
        <w:t>concepts</w:t>
      </w:r>
      <w:r>
        <w:rPr>
          <w:spacing w:val="-12"/>
        </w:rPr>
        <w:t> </w:t>
      </w:r>
      <w:r>
        <w:rPr/>
        <w:t>or</w:t>
      </w:r>
      <w:r>
        <w:rPr>
          <w:spacing w:val="-12"/>
        </w:rPr>
        <w:t> </w:t>
      </w:r>
      <w:r>
        <w:rPr/>
        <w:t>two</w:t>
      </w:r>
      <w:r>
        <w:rPr>
          <w:spacing w:val="-12"/>
        </w:rPr>
        <w:t> </w:t>
      </w:r>
      <w:r>
        <w:rPr/>
        <w:t>approaches? A bifactor analysis of psychological and subjective well-being.</w:t>
      </w:r>
      <w:r>
        <w:rPr>
          <w:spacing w:val="-3"/>
        </w:rPr>
        <w:t> </w:t>
      </w:r>
      <w:r>
        <w:rPr/>
        <w:t>Journal of Happiness Studies: An Interdisciplinary Forum on Subjective Well-Being. 2013.</w:t>
      </w:r>
      <w:r>
        <w:rPr>
          <w:spacing w:val="-15"/>
        </w:rPr>
        <w:t> </w:t>
      </w:r>
      <w:r>
        <w:rPr/>
        <w:t>—</w:t>
      </w:r>
      <w:r>
        <w:rPr>
          <w:spacing w:val="-14"/>
        </w:rPr>
        <w:t> </w:t>
      </w:r>
      <w:r>
        <w:rPr/>
        <w:t>14(3).</w:t>
      </w:r>
      <w:r>
        <w:rPr>
          <w:spacing w:val="-15"/>
        </w:rPr>
        <w:t> </w:t>
      </w:r>
      <w:r>
        <w:rPr/>
        <w:t>—</w:t>
      </w:r>
      <w:r>
        <w:rPr>
          <w:spacing w:val="-14"/>
        </w:rPr>
        <w:t> </w:t>
      </w:r>
      <w:r>
        <w:rPr/>
        <w:t>pp.</w:t>
      </w:r>
      <w:r>
        <w:rPr>
          <w:spacing w:val="-15"/>
        </w:rPr>
        <w:t> </w:t>
      </w:r>
      <w:r>
        <w:rPr/>
        <w:t>1033–1068.</w:t>
      </w:r>
      <w:r>
        <w:rPr>
          <w:spacing w:val="-7"/>
        </w:rPr>
        <w:t> </w:t>
      </w:r>
      <w:hyperlink r:id="rId30">
        <w:r>
          <w:rPr>
            <w:u w:val="single"/>
          </w:rPr>
          <w:t>https://doi.org/10.1007/s10902-012-9367-</w:t>
        </w:r>
      </w:hyperlink>
    </w:p>
    <w:p>
      <w:pPr>
        <w:pStyle w:val="Heading4"/>
        <w:spacing w:before="3"/>
        <w:ind w:left="2422"/>
        <w:jc w:val="left"/>
      </w:pPr>
      <w:hyperlink r:id="rId30">
        <w:r>
          <w:rPr>
            <w:spacing w:val="-10"/>
            <w:u w:val="single"/>
          </w:rPr>
          <w:t>x</w:t>
        </w:r>
      </w:hyperlink>
    </w:p>
    <w:p>
      <w:pPr>
        <w:pStyle w:val="Heading4"/>
        <w:numPr>
          <w:ilvl w:val="0"/>
          <w:numId w:val="5"/>
        </w:numPr>
        <w:tabs>
          <w:tab w:pos="2422" w:val="left" w:leader="none"/>
        </w:tabs>
        <w:spacing w:line="276" w:lineRule="auto" w:before="47" w:after="0"/>
        <w:ind w:left="2422" w:right="848" w:hanging="360"/>
        <w:jc w:val="left"/>
      </w:pPr>
      <w:r>
        <w:rPr/>
        <w:t>Cheng</w:t>
      </w:r>
      <w:r>
        <w:rPr>
          <w:spacing w:val="-2"/>
        </w:rPr>
        <w:t> </w:t>
      </w:r>
      <w:r>
        <w:rPr/>
        <w:t>L. (). Enhancing the Communication Skills of Newly-Arrived Asian American Students. ERIC/CUE Digest. — 1998. — No. 136.</w:t>
      </w:r>
    </w:p>
    <w:p>
      <w:pPr>
        <w:pStyle w:val="Heading4"/>
        <w:spacing w:after="0" w:line="276" w:lineRule="auto"/>
        <w:jc w:val="left"/>
        <w:sectPr>
          <w:pgSz w:w="11910" w:h="16840"/>
          <w:pgMar w:header="0" w:footer="956" w:top="1040" w:bottom="1220" w:left="0" w:right="0"/>
        </w:sectPr>
      </w:pPr>
    </w:p>
    <w:p>
      <w:pPr>
        <w:pStyle w:val="Heading4"/>
        <w:numPr>
          <w:ilvl w:val="0"/>
          <w:numId w:val="5"/>
        </w:numPr>
        <w:tabs>
          <w:tab w:pos="2422" w:val="left" w:leader="none"/>
        </w:tabs>
        <w:spacing w:line="278" w:lineRule="auto" w:before="67" w:after="0"/>
        <w:ind w:left="2422" w:right="859" w:hanging="360"/>
        <w:jc w:val="both"/>
      </w:pPr>
      <w:r>
        <w:rPr/>
        <w:t>Cobigo</w:t>
      </w:r>
      <w:r>
        <w:rPr>
          <w:spacing w:val="-3"/>
        </w:rPr>
        <w:t> </w:t>
      </w:r>
      <w:r>
        <w:rPr/>
        <w:t>V. et al. Shifting our conceptualization of social inclusion // Stigma Res. Action. — 2012. — V. 2. — № 2.</w:t>
      </w:r>
    </w:p>
    <w:p>
      <w:pPr>
        <w:pStyle w:val="Heading4"/>
        <w:numPr>
          <w:ilvl w:val="0"/>
          <w:numId w:val="5"/>
        </w:numPr>
        <w:tabs>
          <w:tab w:pos="2422" w:val="left" w:leader="none"/>
          <w:tab w:pos="9937" w:val="left" w:leader="none"/>
        </w:tabs>
        <w:spacing w:line="276" w:lineRule="auto" w:before="0" w:after="0"/>
        <w:ind w:left="2422" w:right="843" w:hanging="360"/>
        <w:jc w:val="both"/>
      </w:pPr>
      <w:r>
        <w:rPr/>
        <w:t>Communication from the Commission to the Council, the European Parliament, the European Economic and Social Committee and the Committee of the Regions on Immigration, Integration and Employment [Электронный ресурс]. Brussels: Commission of the European. — 2003. </w:t>
      </w:r>
      <w:hyperlink r:id="rId31">
        <w:r>
          <w:rPr>
            <w:spacing w:val="-4"/>
          </w:rPr>
          <w:t>URL:</w:t>
        </w:r>
        <w:r>
          <w:rPr/>
          <w:tab/>
        </w:r>
        <w:r>
          <w:rPr>
            <w:spacing w:val="-2"/>
          </w:rPr>
          <w:t>http://eur-</w:t>
        </w:r>
      </w:hyperlink>
    </w:p>
    <w:p>
      <w:pPr>
        <w:pStyle w:val="Heading4"/>
        <w:spacing w:line="278" w:lineRule="auto"/>
        <w:ind w:left="2422" w:right="691"/>
        <w:jc w:val="left"/>
      </w:pPr>
      <w:hyperlink r:id="rId31">
        <w:r>
          <w:rPr>
            <w:spacing w:val="-2"/>
          </w:rPr>
          <w:t>lex.europa.eu/LexUriServ/LexUriServ.do?uri=CELEX:52003DC0336:EN:N</w:t>
        </w:r>
      </w:hyperlink>
      <w:r>
        <w:rPr>
          <w:spacing w:val="-2"/>
        </w:rPr>
        <w:t> </w:t>
      </w:r>
      <w:hyperlink r:id="rId31">
        <w:r>
          <w:rPr>
            <w:spacing w:val="-6"/>
          </w:rPr>
          <w:t>OT</w:t>
        </w:r>
      </w:hyperlink>
    </w:p>
    <w:p>
      <w:pPr>
        <w:pStyle w:val="Heading4"/>
        <w:numPr>
          <w:ilvl w:val="0"/>
          <w:numId w:val="5"/>
        </w:numPr>
        <w:tabs>
          <w:tab w:pos="2422" w:val="left" w:leader="none"/>
        </w:tabs>
        <w:spacing w:line="276" w:lineRule="auto" w:before="0" w:after="0"/>
        <w:ind w:left="2422" w:right="845" w:hanging="360"/>
        <w:jc w:val="both"/>
      </w:pPr>
      <w:r>
        <w:rPr>
          <w:color w:val="000000"/>
          <w:shd w:fill="FBFBFB" w:color="auto" w:val="clear"/>
        </w:rPr>
        <w:t>Deci E.</w:t>
      </w:r>
      <w:r>
        <w:rPr>
          <w:color w:val="000000"/>
          <w:spacing w:val="-2"/>
          <w:shd w:fill="FBFBFB" w:color="auto" w:val="clear"/>
        </w:rPr>
        <w:t> </w:t>
      </w:r>
      <w:r>
        <w:rPr>
          <w:color w:val="000000"/>
          <w:shd w:fill="FBFBFB" w:color="auto" w:val="clear"/>
        </w:rPr>
        <w:t>L.,</w:t>
      </w:r>
      <w:r>
        <w:rPr>
          <w:color w:val="000000"/>
          <w:spacing w:val="40"/>
          <w:shd w:fill="FBFBFB" w:color="auto" w:val="clear"/>
        </w:rPr>
        <w:t> </w:t>
      </w:r>
      <w:r>
        <w:rPr>
          <w:color w:val="000000"/>
          <w:shd w:fill="FBFBFB" w:color="auto" w:val="clear"/>
        </w:rPr>
        <w:t>Ryan R.</w:t>
      </w:r>
      <w:r>
        <w:rPr>
          <w:color w:val="000000"/>
          <w:spacing w:val="-2"/>
          <w:shd w:fill="FBFBFB" w:color="auto" w:val="clear"/>
        </w:rPr>
        <w:t> </w:t>
      </w:r>
      <w:r>
        <w:rPr>
          <w:color w:val="000000"/>
          <w:shd w:fill="FBFBFB" w:color="auto" w:val="clear"/>
        </w:rPr>
        <w:t>M:</w:t>
      </w:r>
      <w:r>
        <w:rPr>
          <w:color w:val="000000"/>
          <w:spacing w:val="-1"/>
          <w:shd w:fill="FBFBFB" w:color="auto" w:val="clear"/>
        </w:rPr>
        <w:t> </w:t>
      </w:r>
      <w:r>
        <w:rPr>
          <w:color w:val="000000"/>
          <w:shd w:fill="FBFBFB" w:color="auto" w:val="clear"/>
        </w:rPr>
        <w:t>Hedonia,</w:t>
      </w:r>
      <w:r>
        <w:rPr>
          <w:color w:val="000000"/>
          <w:spacing w:val="40"/>
          <w:shd w:fill="FBFBFB" w:color="auto" w:val="clear"/>
        </w:rPr>
        <w:t> </w:t>
      </w:r>
      <w:r>
        <w:rPr>
          <w:color w:val="000000"/>
          <w:shd w:fill="FBFBFB" w:color="auto" w:val="clear"/>
        </w:rPr>
        <w:t>eudaimonia,</w:t>
      </w:r>
      <w:r>
        <w:rPr>
          <w:color w:val="000000"/>
          <w:spacing w:val="40"/>
          <w:shd w:fill="FBFBFB" w:color="auto" w:val="clear"/>
        </w:rPr>
        <w:t> </w:t>
      </w:r>
      <w:r>
        <w:rPr>
          <w:color w:val="000000"/>
          <w:shd w:fill="FBFBFB" w:color="auto" w:val="clear"/>
        </w:rPr>
        <w:t>and</w:t>
      </w:r>
      <w:r>
        <w:rPr>
          <w:color w:val="000000"/>
          <w:spacing w:val="40"/>
          <w:shd w:fill="FBFBFB" w:color="auto" w:val="clear"/>
        </w:rPr>
        <w:t> </w:t>
      </w:r>
      <w:r>
        <w:rPr>
          <w:color w:val="000000"/>
          <w:shd w:fill="FBFBFB" w:color="auto" w:val="clear"/>
        </w:rPr>
        <w:t>well-being:</w:t>
      </w:r>
      <w:r>
        <w:rPr>
          <w:color w:val="000000"/>
          <w:spacing w:val="40"/>
          <w:shd w:fill="FBFBFB" w:color="auto" w:val="clear"/>
        </w:rPr>
        <w:t> </w:t>
      </w:r>
      <w:r>
        <w:rPr>
          <w:color w:val="000000"/>
          <w:shd w:fill="FBFBFB" w:color="auto" w:val="clear"/>
        </w:rPr>
        <w:t>An</w:t>
      </w:r>
      <w:r>
        <w:rPr>
          <w:color w:val="000000"/>
        </w:rPr>
        <w:t> </w:t>
      </w:r>
      <w:r>
        <w:rPr>
          <w:color w:val="000000"/>
          <w:shd w:fill="FBFBFB" w:color="auto" w:val="clear"/>
        </w:rPr>
        <w:t>introduction. Journal of Happiness Studies. </w:t>
      </w:r>
      <w:r>
        <w:rPr>
          <w:color w:val="000000"/>
        </w:rPr>
        <w:t>— </w:t>
      </w:r>
      <w:r>
        <w:rPr>
          <w:color w:val="000000"/>
          <w:shd w:fill="FBFBFB" w:color="auto" w:val="clear"/>
        </w:rPr>
        <w:t>2008.</w:t>
      </w:r>
      <w:r>
        <w:rPr>
          <w:color w:val="000000"/>
        </w:rPr>
        <w:t> — </w:t>
      </w:r>
      <w:r>
        <w:rPr>
          <w:color w:val="000000"/>
          <w:shd w:fill="FBFBFB" w:color="auto" w:val="clear"/>
        </w:rPr>
        <w:t>9.</w:t>
      </w:r>
      <w:r>
        <w:rPr>
          <w:color w:val="000000"/>
        </w:rPr>
        <w:t> — pp. </w:t>
      </w:r>
      <w:r>
        <w:rPr>
          <w:color w:val="000000"/>
          <w:shd w:fill="FBFBFB" w:color="auto" w:val="clear"/>
        </w:rPr>
        <w:t>1–11.</w:t>
      </w:r>
      <w:r>
        <w:rPr>
          <w:color w:val="000000"/>
        </w:rPr>
        <w:t> </w:t>
      </w:r>
      <w:r>
        <w:rPr>
          <w:color w:val="000000"/>
          <w:spacing w:val="-2"/>
          <w:shd w:fill="FBFBFB" w:color="auto" w:val="clear"/>
        </w:rPr>
        <w:t>10.1007/s10902-006-9018-1</w:t>
      </w:r>
    </w:p>
    <w:p>
      <w:pPr>
        <w:pStyle w:val="Heading4"/>
        <w:numPr>
          <w:ilvl w:val="0"/>
          <w:numId w:val="5"/>
        </w:numPr>
        <w:tabs>
          <w:tab w:pos="2421" w:val="left" w:leader="none"/>
        </w:tabs>
        <w:spacing w:line="240" w:lineRule="auto" w:before="0" w:after="0"/>
        <w:ind w:left="2421" w:right="0" w:hanging="359"/>
        <w:jc w:val="both"/>
      </w:pPr>
      <w:r>
        <w:rPr/>
        <w:t>Diener</w:t>
      </w:r>
      <w:r>
        <w:rPr>
          <w:spacing w:val="-3"/>
        </w:rPr>
        <w:t> </w:t>
      </w:r>
      <w:r>
        <w:rPr/>
        <w:t>E.</w:t>
      </w:r>
      <w:r>
        <w:rPr>
          <w:spacing w:val="6"/>
        </w:rPr>
        <w:t> </w:t>
      </w:r>
      <w:r>
        <w:rPr/>
        <w:t>Subjective</w:t>
      </w:r>
      <w:r>
        <w:rPr>
          <w:spacing w:val="8"/>
        </w:rPr>
        <w:t> </w:t>
      </w:r>
      <w:r>
        <w:rPr/>
        <w:t>well-being.</w:t>
      </w:r>
      <w:r>
        <w:rPr>
          <w:spacing w:val="7"/>
        </w:rPr>
        <w:t> </w:t>
      </w:r>
      <w:r>
        <w:rPr/>
        <w:t>Psychological</w:t>
      </w:r>
      <w:r>
        <w:rPr>
          <w:spacing w:val="9"/>
        </w:rPr>
        <w:t> </w:t>
      </w:r>
      <w:r>
        <w:rPr/>
        <w:t>Bulletin.</w:t>
      </w:r>
      <w:r>
        <w:rPr>
          <w:spacing w:val="7"/>
        </w:rPr>
        <w:t> </w:t>
      </w:r>
      <w:r>
        <w:rPr/>
        <w:t>—</w:t>
      </w:r>
      <w:r>
        <w:rPr>
          <w:spacing w:val="8"/>
        </w:rPr>
        <w:t> </w:t>
      </w:r>
      <w:r>
        <w:rPr/>
        <w:t>1984.</w:t>
      </w:r>
      <w:r>
        <w:rPr>
          <w:spacing w:val="9"/>
        </w:rPr>
        <w:t> </w:t>
      </w:r>
      <w:r>
        <w:rPr/>
        <w:t>—</w:t>
      </w:r>
      <w:r>
        <w:rPr>
          <w:spacing w:val="8"/>
        </w:rPr>
        <w:t> </w:t>
      </w:r>
      <w:r>
        <w:rPr/>
        <w:t>95.</w:t>
      </w:r>
      <w:r>
        <w:rPr>
          <w:spacing w:val="5"/>
        </w:rPr>
        <w:t> </w:t>
      </w:r>
      <w:r>
        <w:rPr>
          <w:spacing w:val="-10"/>
        </w:rPr>
        <w:t>—</w:t>
      </w:r>
    </w:p>
    <w:p>
      <w:pPr>
        <w:pStyle w:val="Heading4"/>
        <w:spacing w:before="37"/>
        <w:ind w:left="2422"/>
      </w:pPr>
      <w:r>
        <w:rPr/>
        <w:t>pp.</w:t>
      </w:r>
      <w:r>
        <w:rPr>
          <w:spacing w:val="-7"/>
        </w:rPr>
        <w:t> </w:t>
      </w:r>
      <w:r>
        <w:rPr/>
        <w:t>542-</w:t>
      </w:r>
      <w:r>
        <w:rPr>
          <w:spacing w:val="-4"/>
        </w:rPr>
        <w:t>575.</w:t>
      </w:r>
    </w:p>
    <w:p>
      <w:pPr>
        <w:pStyle w:val="Heading4"/>
        <w:numPr>
          <w:ilvl w:val="0"/>
          <w:numId w:val="5"/>
        </w:numPr>
        <w:tabs>
          <w:tab w:pos="2422" w:val="left" w:leader="none"/>
        </w:tabs>
        <w:spacing w:line="276" w:lineRule="auto" w:before="48" w:after="0"/>
        <w:ind w:left="2422" w:right="845" w:hanging="360"/>
        <w:jc w:val="both"/>
      </w:pPr>
      <w:r>
        <w:rPr/>
        <w:t>Diener</w:t>
      </w:r>
      <w:r>
        <w:rPr>
          <w:spacing w:val="-2"/>
        </w:rPr>
        <w:t> </w:t>
      </w:r>
      <w:r>
        <w:rPr/>
        <w:t>E., Oishi S., Lucas</w:t>
      </w:r>
      <w:r>
        <w:rPr>
          <w:spacing w:val="-1"/>
        </w:rPr>
        <w:t> </w:t>
      </w:r>
      <w:r>
        <w:rPr/>
        <w:t>R.</w:t>
      </w:r>
      <w:r>
        <w:rPr>
          <w:spacing w:val="-3"/>
        </w:rPr>
        <w:t> </w:t>
      </w:r>
      <w:r>
        <w:rPr/>
        <w:t>E. Subjective well-being: The science of happiness</w:t>
      </w:r>
      <w:r>
        <w:rPr>
          <w:spacing w:val="-5"/>
        </w:rPr>
        <w:t> </w:t>
      </w:r>
      <w:r>
        <w:rPr/>
        <w:t>and</w:t>
      </w:r>
      <w:r>
        <w:rPr>
          <w:spacing w:val="-7"/>
        </w:rPr>
        <w:t> </w:t>
      </w:r>
      <w:r>
        <w:rPr/>
        <w:t>life</w:t>
      </w:r>
      <w:r>
        <w:rPr>
          <w:spacing w:val="-5"/>
        </w:rPr>
        <w:t> </w:t>
      </w:r>
      <w:r>
        <w:rPr/>
        <w:t>satisfaction.</w:t>
      </w:r>
      <w:r>
        <w:rPr>
          <w:spacing w:val="-6"/>
        </w:rPr>
        <w:t> </w:t>
      </w:r>
      <w:r>
        <w:rPr/>
        <w:t>In</w:t>
      </w:r>
      <w:r>
        <w:rPr>
          <w:spacing w:val="-5"/>
        </w:rPr>
        <w:t> </w:t>
      </w:r>
      <w:r>
        <w:rPr/>
        <w:t>C.R.</w:t>
      </w:r>
      <w:r>
        <w:rPr>
          <w:spacing w:val="-7"/>
        </w:rPr>
        <w:t> </w:t>
      </w:r>
      <w:r>
        <w:rPr/>
        <w:t>Snyder</w:t>
      </w:r>
      <w:r>
        <w:rPr>
          <w:spacing w:val="-5"/>
        </w:rPr>
        <w:t> </w:t>
      </w:r>
      <w:r>
        <w:rPr/>
        <w:t>&amp;</w:t>
      </w:r>
      <w:r>
        <w:rPr>
          <w:spacing w:val="-5"/>
        </w:rPr>
        <w:t> </w:t>
      </w:r>
      <w:r>
        <w:rPr/>
        <w:t>S.J.</w:t>
      </w:r>
      <w:r>
        <w:rPr>
          <w:spacing w:val="-6"/>
        </w:rPr>
        <w:t> </w:t>
      </w:r>
      <w:r>
        <w:rPr/>
        <w:t>Lopez</w:t>
      </w:r>
      <w:r>
        <w:rPr>
          <w:spacing w:val="-5"/>
        </w:rPr>
        <w:t> </w:t>
      </w:r>
      <w:r>
        <w:rPr/>
        <w:t>(Ed.),</w:t>
      </w:r>
      <w:r>
        <w:rPr>
          <w:spacing w:val="-6"/>
        </w:rPr>
        <w:t> </w:t>
      </w:r>
      <w:r>
        <w:rPr/>
        <w:t>Handbook of Positive Psychology. Oxford and New York: Oxford University Press. — </w:t>
      </w:r>
      <w:r>
        <w:rPr>
          <w:spacing w:val="-4"/>
        </w:rPr>
        <w:t>2002.</w:t>
      </w:r>
    </w:p>
    <w:p>
      <w:pPr>
        <w:pStyle w:val="Heading4"/>
        <w:numPr>
          <w:ilvl w:val="0"/>
          <w:numId w:val="5"/>
        </w:numPr>
        <w:tabs>
          <w:tab w:pos="2422" w:val="left" w:leader="none"/>
        </w:tabs>
        <w:spacing w:line="276" w:lineRule="auto" w:before="3" w:after="0"/>
        <w:ind w:left="2422" w:right="847" w:hanging="360"/>
        <w:jc w:val="both"/>
      </w:pPr>
      <w:r>
        <w:rPr/>
        <w:t>Dronkers J.,</w:t>
      </w:r>
      <w:r>
        <w:rPr>
          <w:spacing w:val="40"/>
        </w:rPr>
        <w:t> </w:t>
      </w:r>
      <w:r>
        <w:rPr/>
        <w:t>de</w:t>
      </w:r>
      <w:r>
        <w:rPr>
          <w:spacing w:val="40"/>
        </w:rPr>
        <w:t> </w:t>
      </w:r>
      <w:r>
        <w:rPr/>
        <w:t>Heus</w:t>
      </w:r>
      <w:r>
        <w:rPr>
          <w:spacing w:val="-1"/>
        </w:rPr>
        <w:t> </w:t>
      </w:r>
      <w:r>
        <w:rPr/>
        <w:t>M.,</w:t>
      </w:r>
      <w:r>
        <w:rPr>
          <w:spacing w:val="40"/>
        </w:rPr>
        <w:t> </w:t>
      </w:r>
      <w:r>
        <w:rPr/>
        <w:t>Levels M. Immigrant</w:t>
      </w:r>
      <w:r>
        <w:rPr>
          <w:spacing w:val="40"/>
        </w:rPr>
        <w:t> </w:t>
      </w:r>
      <w:r>
        <w:rPr/>
        <w:t>Pupils'</w:t>
      </w:r>
      <w:r>
        <w:rPr>
          <w:spacing w:val="40"/>
        </w:rPr>
        <w:t> </w:t>
      </w:r>
      <w:r>
        <w:rPr/>
        <w:t>Scientific Performance: The Influence of Educational System Features of Origin and Destination Countries,</w:t>
      </w:r>
      <w:r>
        <w:rPr>
          <w:spacing w:val="-3"/>
        </w:rPr>
        <w:t> </w:t>
      </w:r>
      <w:r>
        <w:rPr/>
        <w:t>CReAM Discussion Paper Series 1212, Centre for Research and Analysis of Migration (CReAM), Department of Economics, University College London. — 2012.</w:t>
      </w:r>
    </w:p>
    <w:p>
      <w:pPr>
        <w:pStyle w:val="Heading4"/>
        <w:numPr>
          <w:ilvl w:val="0"/>
          <w:numId w:val="5"/>
        </w:numPr>
        <w:tabs>
          <w:tab w:pos="2422" w:val="left" w:leader="none"/>
        </w:tabs>
        <w:spacing w:line="276" w:lineRule="auto" w:before="0" w:after="0"/>
        <w:ind w:left="2422" w:right="847" w:hanging="360"/>
        <w:jc w:val="both"/>
      </w:pPr>
      <w:r>
        <w:rPr/>
        <w:t>Dumčius R.,</w:t>
      </w:r>
      <w:r>
        <w:rPr>
          <w:spacing w:val="40"/>
        </w:rPr>
        <w:t> </w:t>
      </w:r>
      <w:r>
        <w:rPr/>
        <w:t>Siarova H.,</w:t>
      </w:r>
      <w:r>
        <w:rPr>
          <w:spacing w:val="40"/>
        </w:rPr>
        <w:t> </w:t>
      </w:r>
      <w:r>
        <w:rPr/>
        <w:t>Nicaise</w:t>
      </w:r>
      <w:r>
        <w:rPr>
          <w:spacing w:val="-1"/>
        </w:rPr>
        <w:t> </w:t>
      </w:r>
      <w:r>
        <w:rPr/>
        <w:t>I.,</w:t>
      </w:r>
      <w:r>
        <w:rPr>
          <w:spacing w:val="40"/>
        </w:rPr>
        <w:t> </w:t>
      </w:r>
      <w:r>
        <w:rPr/>
        <w:t>Huttova</w:t>
      </w:r>
      <w:r>
        <w:rPr>
          <w:spacing w:val="-3"/>
        </w:rPr>
        <w:t> </w:t>
      </w:r>
      <w:r>
        <w:rPr/>
        <w:t>J.,</w:t>
      </w:r>
      <w:r>
        <w:rPr>
          <w:spacing w:val="40"/>
        </w:rPr>
        <w:t> </w:t>
      </w:r>
      <w:r>
        <w:rPr/>
        <w:t>Balčaitė I.</w:t>
      </w:r>
      <w:r>
        <w:rPr>
          <w:spacing w:val="40"/>
        </w:rPr>
        <w:t> </w:t>
      </w:r>
      <w:r>
        <w:rPr/>
        <w:t>Study</w:t>
      </w:r>
      <w:r>
        <w:rPr>
          <w:spacing w:val="40"/>
        </w:rPr>
        <w:t> </w:t>
      </w:r>
      <w:r>
        <w:rPr/>
        <w:t>on educational support for newly arrived migrant children. Luxembourg: Publications Office of the European Union. — 2013.</w:t>
      </w:r>
    </w:p>
    <w:p>
      <w:pPr>
        <w:pStyle w:val="Heading4"/>
        <w:numPr>
          <w:ilvl w:val="0"/>
          <w:numId w:val="5"/>
        </w:numPr>
        <w:tabs>
          <w:tab w:pos="2422" w:val="left" w:leader="none"/>
        </w:tabs>
        <w:spacing w:line="276" w:lineRule="auto" w:before="0" w:after="0"/>
        <w:ind w:left="2422" w:right="847" w:hanging="360"/>
        <w:jc w:val="both"/>
      </w:pPr>
      <w:r>
        <w:rPr/>
        <w:t>Entzinger</w:t>
      </w:r>
      <w:r>
        <w:rPr>
          <w:spacing w:val="-3"/>
        </w:rPr>
        <w:t> </w:t>
      </w:r>
      <w:r>
        <w:rPr/>
        <w:t>H., Biezeveld</w:t>
      </w:r>
      <w:r>
        <w:rPr>
          <w:spacing w:val="-2"/>
        </w:rPr>
        <w:t> </w:t>
      </w:r>
      <w:r>
        <w:rPr/>
        <w:t>R. Benchmarking in Immigrant Integration. Report for the European Commission. Rotterdam: European Research Centre on Migration and Ethnic Relations (ERCOMER). — 2003. — 53 p.</w:t>
      </w:r>
    </w:p>
    <w:p>
      <w:pPr>
        <w:pStyle w:val="Heading4"/>
        <w:numPr>
          <w:ilvl w:val="0"/>
          <w:numId w:val="5"/>
        </w:numPr>
        <w:tabs>
          <w:tab w:pos="2422" w:val="left" w:leader="none"/>
        </w:tabs>
        <w:spacing w:line="276" w:lineRule="auto" w:before="0" w:after="0"/>
        <w:ind w:left="2422" w:right="844" w:hanging="360"/>
        <w:jc w:val="both"/>
      </w:pPr>
      <w:r>
        <w:rPr/>
        <w:t>Fabes R.</w:t>
      </w:r>
      <w:r>
        <w:rPr>
          <w:spacing w:val="-2"/>
        </w:rPr>
        <w:t> </w:t>
      </w:r>
      <w:r>
        <w:rPr/>
        <w:t>A., Martin</w:t>
      </w:r>
      <w:r>
        <w:rPr>
          <w:spacing w:val="-2"/>
        </w:rPr>
        <w:t> </w:t>
      </w:r>
      <w:r>
        <w:rPr/>
        <w:t>C.</w:t>
      </w:r>
      <w:r>
        <w:rPr>
          <w:spacing w:val="-2"/>
        </w:rPr>
        <w:t> </w:t>
      </w:r>
      <w:r>
        <w:rPr/>
        <w:t>L., Hanish L.</w:t>
      </w:r>
      <w:r>
        <w:rPr>
          <w:spacing w:val="-2"/>
        </w:rPr>
        <w:t> </w:t>
      </w:r>
      <w:r>
        <w:rPr/>
        <w:t>D. Children and youth in a diverse world: Applied developmental perspectives on diversity and inclusion. Journal of Applied Developmental Psychology. — 2018. — 59. — pp. 1–4. doi:10.1016 / j.appdev. 2018.11.003</w:t>
      </w:r>
    </w:p>
    <w:p>
      <w:pPr>
        <w:pStyle w:val="Heading4"/>
        <w:numPr>
          <w:ilvl w:val="0"/>
          <w:numId w:val="5"/>
        </w:numPr>
        <w:tabs>
          <w:tab w:pos="2422" w:val="left" w:leader="none"/>
        </w:tabs>
        <w:spacing w:line="276" w:lineRule="auto" w:before="0" w:after="0"/>
        <w:ind w:left="2422" w:right="845" w:hanging="360"/>
        <w:jc w:val="both"/>
      </w:pPr>
      <w:r>
        <w:rPr/>
        <w:t>Gresham</w:t>
      </w:r>
      <w:r>
        <w:rPr>
          <w:spacing w:val="-7"/>
        </w:rPr>
        <w:t> </w:t>
      </w:r>
      <w:r>
        <w:rPr/>
        <w:t>F. M., Sugai G., Horner</w:t>
      </w:r>
      <w:r>
        <w:rPr>
          <w:spacing w:val="-2"/>
        </w:rPr>
        <w:t> </w:t>
      </w:r>
      <w:r>
        <w:rPr/>
        <w:t>R.H. Interpreting outcomes of social skills training for students with high-incidence disabilities. Exceptional Children.</w:t>
      </w:r>
    </w:p>
    <w:p>
      <w:pPr>
        <w:pStyle w:val="Heading4"/>
        <w:spacing w:line="321" w:lineRule="exact"/>
        <w:ind w:left="2422"/>
      </w:pPr>
      <w:r>
        <w:rPr/>
        <w:t>—</w:t>
      </w:r>
      <w:r>
        <w:rPr>
          <w:spacing w:val="-3"/>
        </w:rPr>
        <w:t> </w:t>
      </w:r>
      <w:r>
        <w:rPr/>
        <w:t>2001.</w:t>
      </w:r>
      <w:r>
        <w:rPr>
          <w:spacing w:val="-3"/>
        </w:rPr>
        <w:t> </w:t>
      </w:r>
      <w:r>
        <w:rPr/>
        <w:t>—</w:t>
      </w:r>
      <w:r>
        <w:rPr>
          <w:spacing w:val="-2"/>
        </w:rPr>
        <w:t> </w:t>
      </w:r>
      <w:r>
        <w:rPr/>
        <w:t>67.</w:t>
      </w:r>
      <w:r>
        <w:rPr>
          <w:spacing w:val="-3"/>
        </w:rPr>
        <w:t> </w:t>
      </w:r>
      <w:r>
        <w:rPr/>
        <w:t>—</w:t>
      </w:r>
      <w:r>
        <w:rPr>
          <w:spacing w:val="-3"/>
        </w:rPr>
        <w:t> </w:t>
      </w:r>
      <w:r>
        <w:rPr/>
        <w:t>pp.331—</w:t>
      </w:r>
      <w:r>
        <w:rPr>
          <w:spacing w:val="-4"/>
        </w:rPr>
        <w:t> 344.</w:t>
      </w:r>
    </w:p>
    <w:p>
      <w:pPr>
        <w:pStyle w:val="Heading4"/>
        <w:numPr>
          <w:ilvl w:val="0"/>
          <w:numId w:val="5"/>
        </w:numPr>
        <w:tabs>
          <w:tab w:pos="2422" w:val="left" w:leader="none"/>
        </w:tabs>
        <w:spacing w:line="276" w:lineRule="auto" w:before="50" w:after="0"/>
        <w:ind w:left="2422" w:right="851" w:hanging="360"/>
        <w:jc w:val="both"/>
      </w:pPr>
      <w:r>
        <w:rPr/>
        <w:t>Grover</w:t>
      </w:r>
      <w:r>
        <w:rPr>
          <w:spacing w:val="-2"/>
        </w:rPr>
        <w:t> </w:t>
      </w:r>
      <w:r>
        <w:rPr/>
        <w:t>R.,</w:t>
      </w:r>
      <w:r>
        <w:rPr>
          <w:spacing w:val="-7"/>
        </w:rPr>
        <w:t> </w:t>
      </w:r>
      <w:r>
        <w:rPr/>
        <w:t>Nangle</w:t>
      </w:r>
      <w:r>
        <w:rPr>
          <w:spacing w:val="-1"/>
        </w:rPr>
        <w:t> </w:t>
      </w:r>
      <w:r>
        <w:rPr/>
        <w:t>D.,</w:t>
      </w:r>
      <w:r>
        <w:rPr>
          <w:spacing w:val="-7"/>
        </w:rPr>
        <w:t> </w:t>
      </w:r>
      <w:r>
        <w:rPr/>
        <w:t>Buffie</w:t>
      </w:r>
      <w:r>
        <w:rPr>
          <w:spacing w:val="-2"/>
        </w:rPr>
        <w:t> </w:t>
      </w:r>
      <w:r>
        <w:rPr/>
        <w:t>M.,</w:t>
      </w:r>
      <w:r>
        <w:rPr>
          <w:spacing w:val="-7"/>
        </w:rPr>
        <w:t> </w:t>
      </w:r>
      <w:r>
        <w:rPr/>
        <w:t>Andrews</w:t>
      </w:r>
      <w:r>
        <w:rPr>
          <w:spacing w:val="-4"/>
        </w:rPr>
        <w:t> </w:t>
      </w:r>
      <w:r>
        <w:rPr/>
        <w:t>L.</w:t>
      </w:r>
      <w:r>
        <w:rPr>
          <w:spacing w:val="-6"/>
        </w:rPr>
        <w:t> </w:t>
      </w:r>
      <w:r>
        <w:rPr/>
        <w:t>Defining</w:t>
      </w:r>
      <w:r>
        <w:rPr>
          <w:spacing w:val="-5"/>
        </w:rPr>
        <w:t> </w:t>
      </w:r>
      <w:r>
        <w:rPr/>
        <w:t>social</w:t>
      </w:r>
      <w:r>
        <w:rPr>
          <w:spacing w:val="-5"/>
        </w:rPr>
        <w:t> </w:t>
      </w:r>
      <w:r>
        <w:rPr/>
        <w:t>skills.</w:t>
      </w:r>
      <w:r>
        <w:rPr>
          <w:spacing w:val="-6"/>
        </w:rPr>
        <w:t> </w:t>
      </w:r>
      <w:r>
        <w:rPr/>
        <w:t>In</w:t>
      </w:r>
      <w:r>
        <w:rPr>
          <w:spacing w:val="-5"/>
        </w:rPr>
        <w:t> </w:t>
      </w:r>
      <w:r>
        <w:rPr/>
        <w:t>book: Social Skills Across the Life Span. — 2020. — pp. 3-24.</w:t>
      </w:r>
    </w:p>
    <w:p>
      <w:pPr>
        <w:pStyle w:val="Heading4"/>
        <w:spacing w:after="0" w:line="276" w:lineRule="auto"/>
        <w:jc w:val="both"/>
        <w:sectPr>
          <w:pgSz w:w="11910" w:h="16840"/>
          <w:pgMar w:header="0" w:footer="956" w:top="1040" w:bottom="1220" w:left="0" w:right="0"/>
        </w:sectPr>
      </w:pPr>
    </w:p>
    <w:p>
      <w:pPr>
        <w:pStyle w:val="Heading4"/>
        <w:numPr>
          <w:ilvl w:val="0"/>
          <w:numId w:val="5"/>
        </w:numPr>
        <w:tabs>
          <w:tab w:pos="2422" w:val="left" w:leader="none"/>
        </w:tabs>
        <w:spacing w:line="276" w:lineRule="auto" w:before="67" w:after="0"/>
        <w:ind w:left="2422" w:right="852" w:hanging="360"/>
        <w:jc w:val="both"/>
      </w:pPr>
      <w:r>
        <w:rPr/>
        <w:t>Guo-Brenna</w:t>
      </w:r>
      <w:r>
        <w:rPr>
          <w:spacing w:val="-5"/>
        </w:rPr>
        <w:t> </w:t>
      </w:r>
      <w:r>
        <w:rPr/>
        <w:t>L.,</w:t>
      </w:r>
      <w:r>
        <w:rPr>
          <w:spacing w:val="-18"/>
        </w:rPr>
        <w:t> </w:t>
      </w:r>
      <w:r>
        <w:rPr/>
        <w:t>Guo-Brennan</w:t>
      </w:r>
      <w:r>
        <w:rPr>
          <w:spacing w:val="-3"/>
        </w:rPr>
        <w:t> </w:t>
      </w:r>
      <w:r>
        <w:rPr/>
        <w:t>M.</w:t>
      </w:r>
      <w:r>
        <w:rPr>
          <w:spacing w:val="-18"/>
        </w:rPr>
        <w:t> </w:t>
      </w:r>
      <w:r>
        <w:rPr/>
        <w:t>Building</w:t>
      </w:r>
      <w:r>
        <w:rPr>
          <w:spacing w:val="-16"/>
        </w:rPr>
        <w:t> </w:t>
      </w:r>
      <w:r>
        <w:rPr/>
        <w:t>Welcoming</w:t>
      </w:r>
      <w:r>
        <w:rPr>
          <w:spacing w:val="-16"/>
        </w:rPr>
        <w:t> </w:t>
      </w:r>
      <w:r>
        <w:rPr/>
        <w:t>and</w:t>
      </w:r>
      <w:r>
        <w:rPr>
          <w:spacing w:val="-16"/>
        </w:rPr>
        <w:t> </w:t>
      </w:r>
      <w:r>
        <w:rPr/>
        <w:t>Inclusive</w:t>
      </w:r>
      <w:r>
        <w:rPr>
          <w:spacing w:val="-17"/>
        </w:rPr>
        <w:t> </w:t>
      </w:r>
      <w:r>
        <w:rPr/>
        <w:t>Schools for Immigrant and Refugee Students: Policy, Framework and Promising Praxis // Educ. Immigr. Migr. — 2019. — pp. 73–93.</w:t>
      </w:r>
    </w:p>
    <w:p>
      <w:pPr>
        <w:pStyle w:val="Heading4"/>
        <w:numPr>
          <w:ilvl w:val="0"/>
          <w:numId w:val="5"/>
        </w:numPr>
        <w:tabs>
          <w:tab w:pos="2422" w:val="left" w:leader="none"/>
          <w:tab w:pos="3947" w:val="left" w:leader="none"/>
          <w:tab w:pos="6823" w:val="left" w:leader="none"/>
          <w:tab w:pos="8949" w:val="left" w:leader="none"/>
          <w:tab w:pos="10429" w:val="left" w:leader="none"/>
        </w:tabs>
        <w:spacing w:line="276" w:lineRule="auto" w:before="1" w:after="0"/>
        <w:ind w:left="2422" w:right="845" w:hanging="360"/>
        <w:jc w:val="both"/>
      </w:pPr>
      <w:r>
        <w:rPr/>
        <w:t>Heckmann</w:t>
      </w:r>
      <w:r>
        <w:rPr>
          <w:spacing w:val="-2"/>
        </w:rPr>
        <w:t> </w:t>
      </w:r>
      <w:r>
        <w:rPr/>
        <w:t>F. Education and migration: Strategies for integrating migrant children in European schools and societies: A synthesis of research findings </w:t>
      </w:r>
      <w:r>
        <w:rPr>
          <w:spacing w:val="-4"/>
        </w:rPr>
        <w:t>for</w:t>
      </w:r>
      <w:r>
        <w:rPr/>
        <w:tab/>
      </w:r>
      <w:r>
        <w:rPr>
          <w:spacing w:val="-2"/>
        </w:rPr>
        <w:t>policy-makers.</w:t>
      </w:r>
      <w:r>
        <w:rPr/>
        <w:tab/>
      </w:r>
      <w:r>
        <w:rPr>
          <w:spacing w:val="-2"/>
        </w:rPr>
        <w:t>NESSE.</w:t>
      </w:r>
      <w:r>
        <w:rPr/>
        <w:tab/>
      </w:r>
      <w:r>
        <w:rPr>
          <w:spacing w:val="-10"/>
        </w:rPr>
        <w:t>—</w:t>
      </w:r>
      <w:r>
        <w:rPr/>
        <w:tab/>
      </w:r>
      <w:r>
        <w:rPr>
          <w:spacing w:val="-2"/>
        </w:rPr>
        <w:t>2008.</w:t>
      </w:r>
    </w:p>
    <w:p>
      <w:pPr>
        <w:pStyle w:val="Heading4"/>
        <w:spacing w:line="276" w:lineRule="auto"/>
        <w:ind w:left="2422" w:right="941"/>
        <w:jc w:val="left"/>
      </w:pPr>
      <w:hyperlink r:id="rId32">
        <w:r>
          <w:rPr>
            <w:spacing w:val="-2"/>
            <w:u w:val="single"/>
          </w:rPr>
          <w:t>http://www.nesse.fr/nesse/activities/reports/activities/reports/education-and-</w:t>
        </w:r>
      </w:hyperlink>
      <w:r>
        <w:rPr>
          <w:spacing w:val="-2"/>
        </w:rPr>
        <w:t> </w:t>
      </w:r>
      <w:hyperlink r:id="rId32">
        <w:r>
          <w:rPr>
            <w:spacing w:val="-2"/>
            <w:u w:val="single"/>
          </w:rPr>
          <w:t>migration-pdf</w:t>
        </w:r>
      </w:hyperlink>
    </w:p>
    <w:p>
      <w:pPr>
        <w:pStyle w:val="Heading4"/>
        <w:numPr>
          <w:ilvl w:val="0"/>
          <w:numId w:val="5"/>
        </w:numPr>
        <w:tabs>
          <w:tab w:pos="2422" w:val="left" w:leader="none"/>
        </w:tabs>
        <w:spacing w:line="276" w:lineRule="auto" w:before="1" w:after="0"/>
        <w:ind w:left="2422" w:right="851" w:hanging="360"/>
        <w:jc w:val="both"/>
      </w:pPr>
      <w:r>
        <w:rPr/>
        <w:t>Hofstede</w:t>
      </w:r>
      <w:r>
        <w:rPr>
          <w:spacing w:val="-2"/>
        </w:rPr>
        <w:t> </w:t>
      </w:r>
      <w:r>
        <w:rPr/>
        <w:t>G., Hofstede</w:t>
      </w:r>
      <w:r>
        <w:rPr>
          <w:spacing w:val="-2"/>
        </w:rPr>
        <w:t> </w:t>
      </w:r>
      <w:r>
        <w:rPr/>
        <w:t>G.</w:t>
      </w:r>
      <w:r>
        <w:rPr>
          <w:spacing w:val="-4"/>
        </w:rPr>
        <w:t> </w:t>
      </w:r>
      <w:r>
        <w:rPr/>
        <w:t>J. Cultures and Organizations: Software of the Mind. New York: McGraw-Hill. — 2005.</w:t>
      </w:r>
    </w:p>
    <w:p>
      <w:pPr>
        <w:pStyle w:val="Heading4"/>
        <w:numPr>
          <w:ilvl w:val="0"/>
          <w:numId w:val="5"/>
        </w:numPr>
        <w:tabs>
          <w:tab w:pos="2422" w:val="left" w:leader="none"/>
        </w:tabs>
        <w:spacing w:line="276" w:lineRule="auto" w:before="0" w:after="0"/>
        <w:ind w:left="2422" w:right="845" w:hanging="360"/>
        <w:jc w:val="both"/>
      </w:pPr>
      <w:r>
        <w:rPr/>
        <w:t>Janta</w:t>
      </w:r>
      <w:r>
        <w:rPr>
          <w:spacing w:val="-1"/>
        </w:rPr>
        <w:t> </w:t>
      </w:r>
      <w:r>
        <w:rPr/>
        <w:t>B., Harte E.</w:t>
      </w:r>
      <w:r>
        <w:rPr>
          <w:spacing w:val="-2"/>
        </w:rPr>
        <w:t> </w:t>
      </w:r>
      <w:r>
        <w:rPr/>
        <w:t>C. Education of migrant children: Education policy responses for the inclusion of migrant children in Europe. — 2016. </w:t>
      </w:r>
      <w:hyperlink r:id="rId33">
        <w:r>
          <w:rPr>
            <w:spacing w:val="-2"/>
            <w:u w:val="single"/>
          </w:rPr>
          <w:t>https://www.rand.org/pubs/research_reports/RR1655.html</w:t>
        </w:r>
      </w:hyperlink>
    </w:p>
    <w:p>
      <w:pPr>
        <w:pStyle w:val="Heading4"/>
        <w:numPr>
          <w:ilvl w:val="0"/>
          <w:numId w:val="5"/>
        </w:numPr>
        <w:tabs>
          <w:tab w:pos="2422" w:val="left" w:leader="none"/>
        </w:tabs>
        <w:spacing w:line="276" w:lineRule="auto" w:before="0" w:after="0"/>
        <w:ind w:left="2422" w:right="845" w:hanging="360"/>
        <w:jc w:val="both"/>
      </w:pPr>
      <w:r>
        <w:rPr/>
        <w:t>Juvonen</w:t>
      </w:r>
      <w:r>
        <w:rPr>
          <w:spacing w:val="-3"/>
        </w:rPr>
        <w:t> </w:t>
      </w:r>
      <w:r>
        <w:rPr/>
        <w:t>J. et al. Promoting Social Inclusion in Educational Settings: Challenges and Opportunities // Educ. Psychol.</w:t>
      </w:r>
      <w:r>
        <w:rPr>
          <w:spacing w:val="20"/>
        </w:rPr>
        <w:t> </w:t>
      </w:r>
      <w:r>
        <w:rPr/>
        <w:t>— 2019. — V. 54. — № 4.</w:t>
      </w:r>
    </w:p>
    <w:p>
      <w:pPr>
        <w:pStyle w:val="Heading4"/>
        <w:spacing w:before="1"/>
        <w:ind w:left="2422"/>
      </w:pPr>
      <w:r>
        <w:rPr/>
        <w:t>—</w:t>
      </w:r>
      <w:r>
        <w:rPr>
          <w:spacing w:val="-1"/>
        </w:rPr>
        <w:t> </w:t>
      </w:r>
      <w:r>
        <w:rPr/>
        <w:t>P.</w:t>
      </w:r>
      <w:r>
        <w:rPr>
          <w:spacing w:val="-2"/>
        </w:rPr>
        <w:t> 250–270.</w:t>
      </w:r>
    </w:p>
    <w:p>
      <w:pPr>
        <w:pStyle w:val="Heading4"/>
        <w:numPr>
          <w:ilvl w:val="0"/>
          <w:numId w:val="5"/>
        </w:numPr>
        <w:tabs>
          <w:tab w:pos="2422" w:val="left" w:leader="none"/>
        </w:tabs>
        <w:spacing w:line="276" w:lineRule="auto" w:before="48" w:after="0"/>
        <w:ind w:left="2422" w:right="852" w:hanging="360"/>
        <w:jc w:val="both"/>
      </w:pPr>
      <w:r>
        <w:rPr/>
        <w:t>Keles</w:t>
      </w:r>
      <w:r>
        <w:rPr>
          <w:spacing w:val="-5"/>
        </w:rPr>
        <w:t> </w:t>
      </w:r>
      <w:r>
        <w:rPr/>
        <w:t>S.,</w:t>
      </w:r>
      <w:r>
        <w:rPr>
          <w:spacing w:val="-18"/>
        </w:rPr>
        <w:t> </w:t>
      </w:r>
      <w:r>
        <w:rPr/>
        <w:t>Munthe</w:t>
      </w:r>
      <w:r>
        <w:rPr>
          <w:spacing w:val="-2"/>
        </w:rPr>
        <w:t> </w:t>
      </w:r>
      <w:r>
        <w:rPr/>
        <w:t>E.,</w:t>
      </w:r>
      <w:r>
        <w:rPr>
          <w:spacing w:val="-18"/>
        </w:rPr>
        <w:t> </w:t>
      </w:r>
      <w:r>
        <w:rPr/>
        <w:t>Ruud</w:t>
      </w:r>
      <w:r>
        <w:rPr>
          <w:spacing w:val="-1"/>
        </w:rPr>
        <w:t> </w:t>
      </w:r>
      <w:r>
        <w:rPr/>
        <w:t>E.</w:t>
      </w:r>
      <w:r>
        <w:rPr>
          <w:spacing w:val="-18"/>
        </w:rPr>
        <w:t> </w:t>
      </w:r>
      <w:r>
        <w:rPr/>
        <w:t>A</w:t>
      </w:r>
      <w:r>
        <w:rPr>
          <w:spacing w:val="-17"/>
        </w:rPr>
        <w:t> </w:t>
      </w:r>
      <w:r>
        <w:rPr/>
        <w:t>systematic</w:t>
      </w:r>
      <w:r>
        <w:rPr>
          <w:spacing w:val="-18"/>
        </w:rPr>
        <w:t> </w:t>
      </w:r>
      <w:r>
        <w:rPr/>
        <w:t>review</w:t>
      </w:r>
      <w:r>
        <w:rPr>
          <w:spacing w:val="-17"/>
        </w:rPr>
        <w:t> </w:t>
      </w:r>
      <w:r>
        <w:rPr/>
        <w:t>of</w:t>
      </w:r>
      <w:r>
        <w:rPr>
          <w:spacing w:val="-17"/>
        </w:rPr>
        <w:t> </w:t>
      </w:r>
      <w:r>
        <w:rPr/>
        <w:t>interventions</w:t>
      </w:r>
      <w:r>
        <w:rPr>
          <w:spacing w:val="-16"/>
        </w:rPr>
        <w:t> </w:t>
      </w:r>
      <w:r>
        <w:rPr/>
        <w:t>promoting social</w:t>
      </w:r>
      <w:r>
        <w:rPr>
          <w:spacing w:val="-2"/>
        </w:rPr>
        <w:t> </w:t>
      </w:r>
      <w:r>
        <w:rPr/>
        <w:t>inclusion</w:t>
      </w:r>
      <w:r>
        <w:rPr>
          <w:spacing w:val="-2"/>
        </w:rPr>
        <w:t> </w:t>
      </w:r>
      <w:r>
        <w:rPr/>
        <w:t>of</w:t>
      </w:r>
      <w:r>
        <w:rPr>
          <w:spacing w:val="-3"/>
        </w:rPr>
        <w:t> </w:t>
      </w:r>
      <w:r>
        <w:rPr/>
        <w:t>immigrant</w:t>
      </w:r>
      <w:r>
        <w:rPr>
          <w:spacing w:val="-2"/>
        </w:rPr>
        <w:t> </w:t>
      </w:r>
      <w:r>
        <w:rPr/>
        <w:t>and</w:t>
      </w:r>
      <w:r>
        <w:rPr>
          <w:spacing w:val="-2"/>
        </w:rPr>
        <w:t> </w:t>
      </w:r>
      <w:r>
        <w:rPr/>
        <w:t>ethnic</w:t>
      </w:r>
      <w:r>
        <w:rPr>
          <w:spacing w:val="-3"/>
        </w:rPr>
        <w:t> </w:t>
      </w:r>
      <w:r>
        <w:rPr/>
        <w:t>minority</w:t>
      </w:r>
      <w:r>
        <w:rPr>
          <w:spacing w:val="-7"/>
        </w:rPr>
        <w:t> </w:t>
      </w:r>
      <w:r>
        <w:rPr/>
        <w:t>preschool</w:t>
      </w:r>
      <w:r>
        <w:rPr>
          <w:spacing w:val="-2"/>
        </w:rPr>
        <w:t> </w:t>
      </w:r>
      <w:r>
        <w:rPr/>
        <w:t>children</w:t>
      </w:r>
      <w:r>
        <w:rPr>
          <w:spacing w:val="-2"/>
        </w:rPr>
        <w:t> </w:t>
      </w:r>
      <w:r>
        <w:rPr/>
        <w:t>//</w:t>
      </w:r>
      <w:r>
        <w:rPr>
          <w:spacing w:val="-2"/>
        </w:rPr>
        <w:t> </w:t>
      </w:r>
      <w:r>
        <w:rPr/>
        <w:t>Int.</w:t>
      </w:r>
      <w:r>
        <w:rPr>
          <w:spacing w:val="-4"/>
        </w:rPr>
        <w:t> </w:t>
      </w:r>
      <w:r>
        <w:rPr/>
        <w:t>J. Incl. Educ. — 2021. — V. 0. — № 0. — pp. 1–16.</w:t>
      </w:r>
    </w:p>
    <w:p>
      <w:pPr>
        <w:pStyle w:val="Heading4"/>
        <w:numPr>
          <w:ilvl w:val="0"/>
          <w:numId w:val="5"/>
        </w:numPr>
        <w:tabs>
          <w:tab w:pos="2422" w:val="left" w:leader="none"/>
        </w:tabs>
        <w:spacing w:line="276" w:lineRule="auto" w:before="0" w:after="0"/>
        <w:ind w:left="2422" w:right="850" w:hanging="360"/>
        <w:jc w:val="both"/>
      </w:pPr>
      <w:r>
        <w:rPr/>
        <w:t>Kluckhohn C., Murray H.A. Personality: In nature, society, and culture (2nd ed.) — 1953.</w:t>
      </w:r>
    </w:p>
    <w:p>
      <w:pPr>
        <w:pStyle w:val="Heading4"/>
        <w:numPr>
          <w:ilvl w:val="0"/>
          <w:numId w:val="5"/>
        </w:numPr>
        <w:tabs>
          <w:tab w:pos="2422" w:val="left" w:leader="none"/>
        </w:tabs>
        <w:spacing w:line="276" w:lineRule="auto" w:before="0" w:after="0"/>
        <w:ind w:left="2422" w:right="846" w:hanging="360"/>
        <w:jc w:val="both"/>
      </w:pPr>
      <w:r>
        <w:rPr/>
        <w:t>Komisar</w:t>
      </w:r>
      <w:r>
        <w:rPr>
          <w:spacing w:val="-2"/>
        </w:rPr>
        <w:t> </w:t>
      </w:r>
      <w:r>
        <w:rPr/>
        <w:t>B.</w:t>
      </w:r>
      <w:r>
        <w:rPr>
          <w:spacing w:val="-3"/>
        </w:rPr>
        <w:t> </w:t>
      </w:r>
      <w:r>
        <w:rPr/>
        <w:t>P. 'Need' and the Needs-Curriculum. In Language and Concepts in Education . Edited by B. O. Smith and R. H. Ennis. Chicago:</w:t>
      </w:r>
      <w:r>
        <w:rPr>
          <w:spacing w:val="-1"/>
        </w:rPr>
        <w:t> </w:t>
      </w:r>
      <w:r>
        <w:rPr/>
        <w:t>Rand McNally and Co. — 1961. — pp. 24–42.</w:t>
      </w:r>
    </w:p>
    <w:p>
      <w:pPr>
        <w:pStyle w:val="Heading4"/>
        <w:numPr>
          <w:ilvl w:val="0"/>
          <w:numId w:val="5"/>
        </w:numPr>
        <w:tabs>
          <w:tab w:pos="2422" w:val="left" w:leader="none"/>
        </w:tabs>
        <w:spacing w:line="276" w:lineRule="auto" w:before="0" w:after="0"/>
        <w:ind w:left="2422" w:right="848" w:hanging="360"/>
        <w:jc w:val="both"/>
      </w:pPr>
      <w:r>
        <w:rPr/>
        <w:t>Levitt</w:t>
      </w:r>
      <w:r>
        <w:rPr>
          <w:spacing w:val="-5"/>
        </w:rPr>
        <w:t> </w:t>
      </w:r>
      <w:r>
        <w:rPr/>
        <w:t>J.</w:t>
      </w:r>
      <w:r>
        <w:rPr>
          <w:spacing w:val="-5"/>
        </w:rPr>
        <w:t> </w:t>
      </w:r>
      <w:r>
        <w:rPr/>
        <w:t>M., Saka</w:t>
      </w:r>
      <w:r>
        <w:rPr>
          <w:spacing w:val="-3"/>
        </w:rPr>
        <w:t> </w:t>
      </w:r>
      <w:r>
        <w:rPr/>
        <w:t>N., Romanelli</w:t>
      </w:r>
      <w:r>
        <w:rPr>
          <w:spacing w:val="-2"/>
        </w:rPr>
        <w:t> </w:t>
      </w:r>
      <w:r>
        <w:rPr/>
        <w:t>L.</w:t>
      </w:r>
      <w:r>
        <w:rPr>
          <w:spacing w:val="-4"/>
        </w:rPr>
        <w:t> </w:t>
      </w:r>
      <w:r>
        <w:rPr/>
        <w:t>H., Hoagwood</w:t>
      </w:r>
      <w:r>
        <w:rPr>
          <w:spacing w:val="-2"/>
        </w:rPr>
        <w:t> </w:t>
      </w:r>
      <w:r>
        <w:rPr/>
        <w:t>K. Early identification of mental health problems in schools: the status of instrumentation. Journal of School Psychology. — 2007. — 45. — pp. 163–191.</w:t>
      </w:r>
    </w:p>
    <w:p>
      <w:pPr>
        <w:pStyle w:val="Heading4"/>
        <w:numPr>
          <w:ilvl w:val="0"/>
          <w:numId w:val="5"/>
        </w:numPr>
        <w:tabs>
          <w:tab w:pos="2422" w:val="left" w:leader="none"/>
        </w:tabs>
        <w:spacing w:line="276" w:lineRule="auto" w:before="1" w:after="0"/>
        <w:ind w:left="2422" w:right="853" w:hanging="360"/>
        <w:jc w:val="both"/>
      </w:pPr>
      <w:r>
        <w:rPr/>
        <w:t>Loreman</w:t>
      </w:r>
      <w:r>
        <w:rPr>
          <w:spacing w:val="-1"/>
        </w:rPr>
        <w:t> </w:t>
      </w:r>
      <w:r>
        <w:rPr/>
        <w:t>T. Straight talk about inclusive education. Spring: CASS Connections. — 2009.</w:t>
      </w:r>
    </w:p>
    <w:p>
      <w:pPr>
        <w:pStyle w:val="Heading4"/>
        <w:numPr>
          <w:ilvl w:val="0"/>
          <w:numId w:val="5"/>
        </w:numPr>
        <w:tabs>
          <w:tab w:pos="2422" w:val="left" w:leader="none"/>
        </w:tabs>
        <w:spacing w:line="276" w:lineRule="auto" w:before="1" w:after="0"/>
        <w:ind w:left="2422" w:right="849" w:hanging="360"/>
        <w:jc w:val="both"/>
      </w:pPr>
      <w:r>
        <w:rPr/>
        <w:t>Mahoney</w:t>
      </w:r>
      <w:r>
        <w:rPr>
          <w:spacing w:val="-6"/>
        </w:rPr>
        <w:t> </w:t>
      </w:r>
      <w:r>
        <w:rPr/>
        <w:t>D.,</w:t>
      </w:r>
      <w:r>
        <w:rPr>
          <w:spacing w:val="40"/>
        </w:rPr>
        <w:t> </w:t>
      </w:r>
      <w:r>
        <w:rPr/>
        <w:t>Siyambalapitiya S.</w:t>
      </w:r>
      <w:r>
        <w:rPr>
          <w:spacing w:val="40"/>
        </w:rPr>
        <w:t> </w:t>
      </w:r>
      <w:r>
        <w:rPr/>
        <w:t>Community-based</w:t>
      </w:r>
      <w:r>
        <w:rPr>
          <w:spacing w:val="40"/>
        </w:rPr>
        <w:t> </w:t>
      </w:r>
      <w:r>
        <w:rPr/>
        <w:t>interventions</w:t>
      </w:r>
      <w:r>
        <w:rPr>
          <w:spacing w:val="40"/>
        </w:rPr>
        <w:t> </w:t>
      </w:r>
      <w:r>
        <w:rPr/>
        <w:t>for building social inclusion of refugees and asylum seekers in Australia: A systematic review // J. Soc. Incl. — 2017. — V. 8. — № 2. — 66 p.</w:t>
      </w:r>
    </w:p>
    <w:p>
      <w:pPr>
        <w:pStyle w:val="Heading4"/>
        <w:numPr>
          <w:ilvl w:val="0"/>
          <w:numId w:val="5"/>
        </w:numPr>
        <w:tabs>
          <w:tab w:pos="2422" w:val="left" w:leader="none"/>
        </w:tabs>
        <w:spacing w:line="278" w:lineRule="auto" w:before="0" w:after="0"/>
        <w:ind w:left="2422" w:right="847" w:hanging="360"/>
        <w:jc w:val="both"/>
      </w:pPr>
      <w:r>
        <w:rPr/>
        <w:t>Makarova</w:t>
      </w:r>
      <w:r>
        <w:rPr>
          <w:spacing w:val="-3"/>
        </w:rPr>
        <w:t> </w:t>
      </w:r>
      <w:r>
        <w:rPr/>
        <w:t>E., Herzog</w:t>
      </w:r>
      <w:r>
        <w:rPr>
          <w:spacing w:val="-4"/>
        </w:rPr>
        <w:t> </w:t>
      </w:r>
      <w:r>
        <w:rPr/>
        <w:t>W. The integration of immigrant youth into the school context // Probl. Educ. 21st Century. — 2011. — V. 32. — P. — pp. 86–97.</w:t>
      </w:r>
    </w:p>
    <w:p>
      <w:pPr>
        <w:pStyle w:val="Heading4"/>
        <w:numPr>
          <w:ilvl w:val="0"/>
          <w:numId w:val="5"/>
        </w:numPr>
        <w:tabs>
          <w:tab w:pos="2422" w:val="left" w:leader="none"/>
        </w:tabs>
        <w:spacing w:line="276" w:lineRule="auto" w:before="0" w:after="0"/>
        <w:ind w:left="2422" w:right="854" w:hanging="360"/>
        <w:jc w:val="both"/>
      </w:pPr>
      <w:r>
        <w:rPr/>
        <w:t>Manzoni</w:t>
      </w:r>
      <w:r>
        <w:rPr>
          <w:spacing w:val="-2"/>
        </w:rPr>
        <w:t> </w:t>
      </w:r>
      <w:r>
        <w:rPr/>
        <w:t>C.</w:t>
      </w:r>
      <w:r>
        <w:rPr>
          <w:spacing w:val="-2"/>
        </w:rPr>
        <w:t> </w:t>
      </w:r>
      <w:r>
        <w:rPr/>
        <w:t>Rolfe</w:t>
      </w:r>
      <w:r>
        <w:rPr>
          <w:spacing w:val="-2"/>
        </w:rPr>
        <w:t> </w:t>
      </w:r>
      <w:r>
        <w:rPr/>
        <w:t>H.</w:t>
      </w:r>
      <w:r>
        <w:rPr>
          <w:spacing w:val="-2"/>
        </w:rPr>
        <w:t> </w:t>
      </w:r>
      <w:r>
        <w:rPr/>
        <w:t>How</w:t>
      </w:r>
      <w:r>
        <w:rPr>
          <w:spacing w:val="-3"/>
        </w:rPr>
        <w:t> </w:t>
      </w:r>
      <w:r>
        <w:rPr/>
        <w:t>Schools</w:t>
      </w:r>
      <w:r>
        <w:rPr>
          <w:spacing w:val="-1"/>
        </w:rPr>
        <w:t> </w:t>
      </w:r>
      <w:r>
        <w:rPr/>
        <w:t>Are</w:t>
      </w:r>
      <w:r>
        <w:rPr>
          <w:spacing w:val="-2"/>
        </w:rPr>
        <w:t> </w:t>
      </w:r>
      <w:r>
        <w:rPr/>
        <w:t>Integrating</w:t>
      </w:r>
      <w:r>
        <w:rPr>
          <w:spacing w:val="-1"/>
        </w:rPr>
        <w:t> </w:t>
      </w:r>
      <w:r>
        <w:rPr/>
        <w:t>New</w:t>
      </w:r>
      <w:r>
        <w:rPr>
          <w:spacing w:val="-3"/>
        </w:rPr>
        <w:t> </w:t>
      </w:r>
      <w:r>
        <w:rPr/>
        <w:t>Migrant</w:t>
      </w:r>
      <w:r>
        <w:rPr>
          <w:spacing w:val="-1"/>
        </w:rPr>
        <w:t> </w:t>
      </w:r>
      <w:r>
        <w:rPr/>
        <w:t>Pupils</w:t>
      </w:r>
      <w:r>
        <w:rPr>
          <w:spacing w:val="-1"/>
        </w:rPr>
        <w:t> </w:t>
      </w:r>
      <w:r>
        <w:rPr/>
        <w:t>And Their Families. — 2019. 10.13140/RG.2.2.19657.80488.</w:t>
      </w:r>
    </w:p>
    <w:p>
      <w:pPr>
        <w:pStyle w:val="Heading4"/>
        <w:numPr>
          <w:ilvl w:val="0"/>
          <w:numId w:val="5"/>
        </w:numPr>
        <w:tabs>
          <w:tab w:pos="2422" w:val="left" w:leader="none"/>
        </w:tabs>
        <w:spacing w:line="276" w:lineRule="auto" w:before="0" w:after="0"/>
        <w:ind w:left="2422" w:right="845" w:hanging="360"/>
        <w:jc w:val="both"/>
      </w:pPr>
      <w:r>
        <w:rPr/>
        <w:t>McBrien</w:t>
      </w:r>
      <w:r>
        <w:rPr>
          <w:spacing w:val="-4"/>
        </w:rPr>
        <w:t> </w:t>
      </w:r>
      <w:r>
        <w:rPr/>
        <w:t>J.</w:t>
      </w:r>
      <w:r>
        <w:rPr>
          <w:spacing w:val="-4"/>
        </w:rPr>
        <w:t> </w:t>
      </w:r>
      <w:r>
        <w:rPr/>
        <w:t>L. Educational Needs and Barriers for Refugee Students in the United States: A Review of the Literature. Review of Educational Research.</w:t>
      </w:r>
    </w:p>
    <w:p>
      <w:pPr>
        <w:pStyle w:val="Heading4"/>
        <w:spacing w:line="321" w:lineRule="exact"/>
        <w:ind w:left="2422"/>
      </w:pPr>
      <w:r>
        <w:rPr/>
        <w:t>—</w:t>
      </w:r>
      <w:r>
        <w:rPr>
          <w:spacing w:val="-6"/>
        </w:rPr>
        <w:t> </w:t>
      </w:r>
      <w:r>
        <w:rPr/>
        <w:t>2005.</w:t>
      </w:r>
      <w:r>
        <w:rPr>
          <w:spacing w:val="-3"/>
        </w:rPr>
        <w:t> </w:t>
      </w:r>
      <w:r>
        <w:rPr/>
        <w:t>—</w:t>
      </w:r>
      <w:r>
        <w:rPr>
          <w:spacing w:val="-2"/>
        </w:rPr>
        <w:t> </w:t>
      </w:r>
      <w:r>
        <w:rPr/>
        <w:t>75(3).</w:t>
      </w:r>
      <w:r>
        <w:rPr>
          <w:spacing w:val="-3"/>
        </w:rPr>
        <w:t> </w:t>
      </w:r>
      <w:r>
        <w:rPr/>
        <w:t>—</w:t>
      </w:r>
      <w:r>
        <w:rPr>
          <w:spacing w:val="-5"/>
        </w:rPr>
        <w:t> </w:t>
      </w:r>
      <w:r>
        <w:rPr/>
        <w:t>pp.</w:t>
      </w:r>
      <w:r>
        <w:rPr>
          <w:spacing w:val="-3"/>
        </w:rPr>
        <w:t> </w:t>
      </w:r>
      <w:r>
        <w:rPr/>
        <w:t>329–364.</w:t>
      </w:r>
      <w:r>
        <w:rPr>
          <w:spacing w:val="-6"/>
        </w:rPr>
        <w:t> </w:t>
      </w:r>
      <w:r>
        <w:rPr>
          <w:spacing w:val="-2"/>
        </w:rPr>
        <w:t>doi:</w:t>
      </w:r>
      <w:hyperlink r:id="rId34">
        <w:r>
          <w:rPr>
            <w:spacing w:val="-2"/>
            <w:u w:val="single"/>
          </w:rPr>
          <w:t>10.3102/00346543075003329</w:t>
        </w:r>
      </w:hyperlink>
    </w:p>
    <w:p>
      <w:pPr>
        <w:pStyle w:val="Heading4"/>
        <w:spacing w:after="0" w:line="321" w:lineRule="exact"/>
        <w:sectPr>
          <w:pgSz w:w="11910" w:h="16840"/>
          <w:pgMar w:header="0" w:footer="956" w:top="1040" w:bottom="1220" w:left="0" w:right="0"/>
        </w:sectPr>
      </w:pPr>
    </w:p>
    <w:p>
      <w:pPr>
        <w:pStyle w:val="Heading4"/>
        <w:numPr>
          <w:ilvl w:val="0"/>
          <w:numId w:val="5"/>
        </w:numPr>
        <w:tabs>
          <w:tab w:pos="2422" w:val="left" w:leader="none"/>
        </w:tabs>
        <w:spacing w:line="276" w:lineRule="auto" w:before="67" w:after="0"/>
        <w:ind w:left="2422" w:right="853" w:hanging="360"/>
        <w:jc w:val="both"/>
      </w:pPr>
      <w:r>
        <w:rPr/>
        <w:t>McConkey</w:t>
      </w:r>
      <w:r>
        <w:rPr>
          <w:spacing w:val="-6"/>
        </w:rPr>
        <w:t> </w:t>
      </w:r>
      <w:r>
        <w:rPr/>
        <w:t>R., Collins S. The role of support staff in promoting the social inclusion of persons with an intellectual disability. Journal of Intellectual Disability Research. — 2010. — 54. — pp. 691–700.</w:t>
      </w:r>
    </w:p>
    <w:p>
      <w:pPr>
        <w:pStyle w:val="Heading4"/>
        <w:numPr>
          <w:ilvl w:val="0"/>
          <w:numId w:val="5"/>
        </w:numPr>
        <w:tabs>
          <w:tab w:pos="2422" w:val="left" w:leader="none"/>
        </w:tabs>
        <w:spacing w:line="276" w:lineRule="auto" w:before="1" w:after="0"/>
        <w:ind w:left="2422" w:right="843" w:hanging="360"/>
        <w:jc w:val="both"/>
      </w:pPr>
      <w:r>
        <w:rPr/>
        <w:t>OECD (2019), PISA 2018 Results (Volume II): Where All Students Can Succeed, PISA, OECD Publishing, Paris, </w:t>
      </w:r>
      <w:hyperlink r:id="rId35">
        <w:r>
          <w:rPr>
            <w:u w:val="single"/>
          </w:rPr>
          <w:t>https://doi.org/10.1787/b5fd1b8f-</w:t>
        </w:r>
      </w:hyperlink>
      <w:r>
        <w:rPr/>
        <w:t> </w:t>
      </w:r>
      <w:hyperlink r:id="rId35">
        <w:r>
          <w:rPr>
            <w:u w:val="single"/>
          </w:rPr>
          <w:t>en. p 42</w:t>
        </w:r>
      </w:hyperlink>
      <w:r>
        <w:rPr/>
        <w:t>)</w:t>
      </w:r>
    </w:p>
    <w:p>
      <w:pPr>
        <w:pStyle w:val="Heading4"/>
        <w:numPr>
          <w:ilvl w:val="0"/>
          <w:numId w:val="5"/>
        </w:numPr>
        <w:tabs>
          <w:tab w:pos="2422" w:val="left" w:leader="none"/>
        </w:tabs>
        <w:spacing w:line="276" w:lineRule="auto" w:before="0" w:after="0"/>
        <w:ind w:left="2422" w:right="845" w:hanging="360"/>
        <w:jc w:val="both"/>
      </w:pPr>
      <w:r>
        <w:rPr/>
        <w:t>OECD. 2010. Equal opportunities? The labour market integration of the children of immigrants. OECD. — 12 May. As of 26 August 2016</w:t>
      </w:r>
    </w:p>
    <w:p>
      <w:pPr>
        <w:pStyle w:val="Heading4"/>
        <w:numPr>
          <w:ilvl w:val="0"/>
          <w:numId w:val="5"/>
        </w:numPr>
        <w:tabs>
          <w:tab w:pos="2422" w:val="left" w:leader="none"/>
        </w:tabs>
        <w:spacing w:line="276" w:lineRule="auto" w:before="1" w:after="0"/>
        <w:ind w:left="2422" w:right="846" w:hanging="360"/>
        <w:jc w:val="both"/>
      </w:pPr>
      <w:r>
        <w:rPr/>
        <w:t>Ortega</w:t>
      </w:r>
      <w:r>
        <w:rPr>
          <w:spacing w:val="-2"/>
        </w:rPr>
        <w:t> </w:t>
      </w:r>
      <w:r>
        <w:rPr/>
        <w:t>L. et al. The centrality of immigrant students within teacher–student interaction</w:t>
      </w:r>
      <w:r>
        <w:rPr>
          <w:spacing w:val="-8"/>
        </w:rPr>
        <w:t> </w:t>
      </w:r>
      <w:r>
        <w:rPr/>
        <w:t>networks:</w:t>
      </w:r>
      <w:r>
        <w:rPr>
          <w:spacing w:val="-8"/>
        </w:rPr>
        <w:t> </w:t>
      </w:r>
      <w:r>
        <w:rPr/>
        <w:t>A</w:t>
      </w:r>
      <w:r>
        <w:rPr>
          <w:spacing w:val="-8"/>
        </w:rPr>
        <w:t> </w:t>
      </w:r>
      <w:r>
        <w:rPr/>
        <w:t>relational</w:t>
      </w:r>
      <w:r>
        <w:rPr>
          <w:spacing w:val="-8"/>
        </w:rPr>
        <w:t> </w:t>
      </w:r>
      <w:r>
        <w:rPr/>
        <w:t>approach</w:t>
      </w:r>
      <w:r>
        <w:rPr>
          <w:spacing w:val="-8"/>
        </w:rPr>
        <w:t> </w:t>
      </w:r>
      <w:r>
        <w:rPr/>
        <w:t>to</w:t>
      </w:r>
      <w:r>
        <w:rPr>
          <w:spacing w:val="-8"/>
        </w:rPr>
        <w:t> </w:t>
      </w:r>
      <w:r>
        <w:rPr/>
        <w:t>educational</w:t>
      </w:r>
      <w:r>
        <w:rPr>
          <w:spacing w:val="-6"/>
        </w:rPr>
        <w:t> </w:t>
      </w:r>
      <w:r>
        <w:rPr/>
        <w:t>inclusion</w:t>
      </w:r>
      <w:r>
        <w:rPr>
          <w:spacing w:val="-8"/>
        </w:rPr>
        <w:t> </w:t>
      </w:r>
      <w:r>
        <w:rPr/>
        <w:t>//</w:t>
      </w:r>
      <w:r>
        <w:rPr>
          <w:spacing w:val="-6"/>
        </w:rPr>
        <w:t> </w:t>
      </w:r>
      <w:r>
        <w:rPr/>
        <w:t>Teach. Educ. — 2020. — V. 95.</w:t>
      </w:r>
    </w:p>
    <w:p>
      <w:pPr>
        <w:pStyle w:val="Heading4"/>
        <w:numPr>
          <w:ilvl w:val="0"/>
          <w:numId w:val="5"/>
        </w:numPr>
        <w:tabs>
          <w:tab w:pos="2422" w:val="left" w:leader="none"/>
        </w:tabs>
        <w:spacing w:line="276" w:lineRule="auto" w:before="1" w:after="0"/>
        <w:ind w:left="2422" w:right="856" w:hanging="360"/>
        <w:jc w:val="both"/>
      </w:pPr>
      <w:r>
        <w:rPr/>
        <w:t>Raabe</w:t>
      </w:r>
      <w:r>
        <w:rPr>
          <w:spacing w:val="-2"/>
        </w:rPr>
        <w:t> </w:t>
      </w:r>
      <w:r>
        <w:rPr/>
        <w:t>I. (2019) Social Exclusion and School Achievement: Children of Immigrants and Children of Natives in Three European Countries. Child Indicators Research. — 35. — pp. 1–20. 10.1007/s12187-018-9565-0.</w:t>
      </w:r>
    </w:p>
    <w:p>
      <w:pPr>
        <w:pStyle w:val="Heading4"/>
        <w:numPr>
          <w:ilvl w:val="0"/>
          <w:numId w:val="5"/>
        </w:numPr>
        <w:tabs>
          <w:tab w:pos="2422" w:val="left" w:leader="none"/>
        </w:tabs>
        <w:spacing w:line="276" w:lineRule="auto" w:before="0" w:after="0"/>
        <w:ind w:left="2422" w:right="847" w:hanging="360"/>
        <w:jc w:val="both"/>
      </w:pPr>
      <w:r>
        <w:rPr/>
        <w:t>Reynolds</w:t>
      </w:r>
      <w:r>
        <w:rPr>
          <w:spacing w:val="-1"/>
        </w:rPr>
        <w:t> </w:t>
      </w:r>
      <w:r>
        <w:rPr/>
        <w:t>G. The Impacts and Experiences of Migrant Children in UK Secondary Schools. University of Sussex. Sussex Centre for Migration Research. Working Paper. — 2008. — no. 47. — 34 p.</w:t>
      </w:r>
    </w:p>
    <w:p>
      <w:pPr>
        <w:pStyle w:val="Heading4"/>
        <w:numPr>
          <w:ilvl w:val="0"/>
          <w:numId w:val="5"/>
        </w:numPr>
        <w:tabs>
          <w:tab w:pos="2422" w:val="left" w:leader="none"/>
        </w:tabs>
        <w:spacing w:line="278" w:lineRule="auto" w:before="0" w:after="0"/>
        <w:ind w:left="2422" w:right="853" w:hanging="360"/>
        <w:jc w:val="both"/>
      </w:pPr>
      <w:r>
        <w:rPr/>
        <w:t>Rodriguez-Valls</w:t>
      </w:r>
      <w:r>
        <w:rPr>
          <w:spacing w:val="-3"/>
        </w:rPr>
        <w:t> </w:t>
      </w:r>
      <w:r>
        <w:rPr/>
        <w:t>F. Pedagogy</w:t>
      </w:r>
      <w:r>
        <w:rPr>
          <w:spacing w:val="-1"/>
        </w:rPr>
        <w:t> </w:t>
      </w:r>
      <w:r>
        <w:rPr/>
        <w:t>of the immigrant: A journey</w:t>
      </w:r>
      <w:r>
        <w:rPr>
          <w:spacing w:val="-1"/>
        </w:rPr>
        <w:t> </w:t>
      </w:r>
      <w:r>
        <w:rPr/>
        <w:t>towards inclusive classrooms // Teach. Curric. — 2016. — V. 16. — № 1. — pp. 41–48.</w:t>
      </w:r>
    </w:p>
    <w:p>
      <w:pPr>
        <w:pStyle w:val="Heading4"/>
        <w:numPr>
          <w:ilvl w:val="0"/>
          <w:numId w:val="5"/>
        </w:numPr>
        <w:tabs>
          <w:tab w:pos="2422" w:val="left" w:leader="none"/>
        </w:tabs>
        <w:spacing w:line="276" w:lineRule="auto" w:before="0" w:after="0"/>
        <w:ind w:left="2422" w:right="847" w:hanging="360"/>
        <w:jc w:val="both"/>
      </w:pPr>
      <w:r>
        <w:rPr/>
        <w:t>Rong</w:t>
      </w:r>
      <w:r>
        <w:rPr>
          <w:spacing w:val="-1"/>
        </w:rPr>
        <w:t> </w:t>
      </w:r>
      <w:r>
        <w:rPr/>
        <w:t>X.</w:t>
      </w:r>
      <w:r>
        <w:rPr>
          <w:spacing w:val="-4"/>
        </w:rPr>
        <w:t> </w:t>
      </w:r>
      <w:r>
        <w:rPr/>
        <w:t>L., Preissle</w:t>
      </w:r>
      <w:r>
        <w:rPr>
          <w:spacing w:val="-1"/>
        </w:rPr>
        <w:t> </w:t>
      </w:r>
      <w:r>
        <w:rPr/>
        <w:t>J. Educating Immigrant Students: What We Need To Know To Meet The Challenges. — 1997.</w:t>
      </w:r>
    </w:p>
    <w:p>
      <w:pPr>
        <w:pStyle w:val="Heading4"/>
        <w:numPr>
          <w:ilvl w:val="0"/>
          <w:numId w:val="5"/>
        </w:numPr>
        <w:tabs>
          <w:tab w:pos="2422" w:val="left" w:leader="none"/>
        </w:tabs>
        <w:spacing w:line="276" w:lineRule="auto" w:before="0" w:after="0"/>
        <w:ind w:left="2422" w:right="844" w:hanging="360"/>
        <w:jc w:val="both"/>
      </w:pPr>
      <w:r>
        <w:rPr/>
        <w:t>Schachner</w:t>
      </w:r>
      <w:r>
        <w:rPr>
          <w:spacing w:val="-2"/>
        </w:rPr>
        <w:t> </w:t>
      </w:r>
      <w:r>
        <w:rPr/>
        <w:t>M.</w:t>
      </w:r>
      <w:r>
        <w:rPr>
          <w:spacing w:val="-3"/>
        </w:rPr>
        <w:t> </w:t>
      </w:r>
      <w:r>
        <w:rPr/>
        <w:t>K. et al. Acculturation and school adjustment of immigrant youth in six European countries: Findings from the Programme for International</w:t>
      </w:r>
      <w:r>
        <w:rPr>
          <w:spacing w:val="-2"/>
        </w:rPr>
        <w:t> </w:t>
      </w:r>
      <w:r>
        <w:rPr/>
        <w:t>Student</w:t>
      </w:r>
      <w:r>
        <w:rPr>
          <w:spacing w:val="-6"/>
        </w:rPr>
        <w:t> </w:t>
      </w:r>
      <w:r>
        <w:rPr/>
        <w:t>Assessment</w:t>
      </w:r>
      <w:r>
        <w:rPr>
          <w:spacing w:val="-2"/>
        </w:rPr>
        <w:t> </w:t>
      </w:r>
      <w:r>
        <w:rPr/>
        <w:t>(PISA)</w:t>
      </w:r>
      <w:r>
        <w:rPr>
          <w:spacing w:val="-6"/>
        </w:rPr>
        <w:t> </w:t>
      </w:r>
      <w:r>
        <w:rPr/>
        <w:t>//</w:t>
      </w:r>
      <w:r>
        <w:rPr>
          <w:spacing w:val="-4"/>
        </w:rPr>
        <w:t> </w:t>
      </w:r>
      <w:r>
        <w:rPr/>
        <w:t>Front.</w:t>
      </w:r>
      <w:r>
        <w:rPr>
          <w:spacing w:val="-3"/>
        </w:rPr>
        <w:t> </w:t>
      </w:r>
      <w:r>
        <w:rPr/>
        <w:t>Psychol. —</w:t>
      </w:r>
      <w:r>
        <w:rPr>
          <w:spacing w:val="-4"/>
        </w:rPr>
        <w:t> </w:t>
      </w:r>
      <w:r>
        <w:rPr/>
        <w:t>2017.</w:t>
      </w:r>
      <w:r>
        <w:rPr>
          <w:spacing w:val="-4"/>
        </w:rPr>
        <w:t> </w:t>
      </w:r>
      <w:r>
        <w:rPr/>
        <w:t>—</w:t>
      </w:r>
      <w:r>
        <w:rPr>
          <w:spacing w:val="-4"/>
        </w:rPr>
        <w:t> </w:t>
      </w:r>
      <w:r>
        <w:rPr/>
        <w:t>V.</w:t>
      </w:r>
      <w:r>
        <w:rPr>
          <w:spacing w:val="-5"/>
        </w:rPr>
        <w:t> </w:t>
      </w:r>
      <w:r>
        <w:rPr/>
        <w:t>8.</w:t>
      </w:r>
    </w:p>
    <w:p>
      <w:pPr>
        <w:pStyle w:val="Heading4"/>
        <w:ind w:left="2422"/>
      </w:pPr>
      <w:r>
        <w:rPr/>
        <w:t>№</w:t>
      </w:r>
      <w:r>
        <w:rPr>
          <w:spacing w:val="-3"/>
        </w:rPr>
        <w:t> </w:t>
      </w:r>
      <w:r>
        <w:rPr/>
        <w:t>May.</w:t>
      </w:r>
      <w:r>
        <w:rPr>
          <w:spacing w:val="-2"/>
        </w:rPr>
        <w:t> </w:t>
      </w:r>
      <w:r>
        <w:rPr/>
        <w:t>—</w:t>
      </w:r>
      <w:r>
        <w:rPr>
          <w:spacing w:val="-2"/>
        </w:rPr>
        <w:t> </w:t>
      </w:r>
      <w:r>
        <w:rPr/>
        <w:t>pp.</w:t>
      </w:r>
      <w:r>
        <w:rPr>
          <w:spacing w:val="-1"/>
        </w:rPr>
        <w:t> </w:t>
      </w:r>
      <w:r>
        <w:rPr>
          <w:spacing w:val="-4"/>
        </w:rPr>
        <w:t>1–11.</w:t>
      </w:r>
    </w:p>
    <w:p>
      <w:pPr>
        <w:pStyle w:val="Heading4"/>
        <w:numPr>
          <w:ilvl w:val="0"/>
          <w:numId w:val="5"/>
        </w:numPr>
        <w:tabs>
          <w:tab w:pos="2422" w:val="left" w:leader="none"/>
        </w:tabs>
        <w:spacing w:line="278" w:lineRule="auto" w:before="40" w:after="0"/>
        <w:ind w:left="2422" w:right="855" w:hanging="360"/>
        <w:jc w:val="both"/>
      </w:pPr>
      <w:r>
        <w:rPr/>
        <w:t>Sinclair</w:t>
      </w:r>
      <w:r>
        <w:rPr>
          <w:spacing w:val="-3"/>
        </w:rPr>
        <w:t> </w:t>
      </w:r>
      <w:r>
        <w:rPr/>
        <w:t>M. Planning education in and after emergencies (Fundamentals of educational planning, no. 73). Paris: IIEP-UNESCO. — 2002.</w:t>
      </w:r>
    </w:p>
    <w:p>
      <w:pPr>
        <w:pStyle w:val="Heading4"/>
        <w:numPr>
          <w:ilvl w:val="0"/>
          <w:numId w:val="5"/>
        </w:numPr>
        <w:tabs>
          <w:tab w:pos="2422" w:val="left" w:leader="none"/>
        </w:tabs>
        <w:spacing w:line="276" w:lineRule="auto" w:before="0" w:after="0"/>
        <w:ind w:left="2422" w:right="844" w:hanging="360"/>
        <w:jc w:val="both"/>
      </w:pPr>
      <w:r>
        <w:rPr/>
        <w:t>Suárez-Orozco C., Pimentel A.,</w:t>
      </w:r>
      <w:r>
        <w:rPr>
          <w:spacing w:val="40"/>
        </w:rPr>
        <w:t> </w:t>
      </w:r>
      <w:r>
        <w:rPr/>
        <w:t>&amp;</w:t>
      </w:r>
      <w:r>
        <w:rPr>
          <w:spacing w:val="40"/>
        </w:rPr>
        <w:t> </w:t>
      </w:r>
      <w:r>
        <w:rPr/>
        <w:t>Martin</w:t>
      </w:r>
      <w:r>
        <w:rPr>
          <w:spacing w:val="-2"/>
        </w:rPr>
        <w:t> </w:t>
      </w:r>
      <w:r>
        <w:rPr/>
        <w:t>M.</w:t>
      </w:r>
      <w:r>
        <w:rPr>
          <w:spacing w:val="40"/>
        </w:rPr>
        <w:t> </w:t>
      </w:r>
      <w:r>
        <w:rPr/>
        <w:t>The</w:t>
      </w:r>
      <w:r>
        <w:rPr>
          <w:spacing w:val="40"/>
        </w:rPr>
        <w:t> </w:t>
      </w:r>
      <w:r>
        <w:rPr/>
        <w:t>significance</w:t>
      </w:r>
      <w:r>
        <w:rPr>
          <w:spacing w:val="40"/>
        </w:rPr>
        <w:t> </w:t>
      </w:r>
      <w:r>
        <w:rPr/>
        <w:t>of relationships: Academic engagement and achievement among newcomer immigrant youth.</w:t>
      </w:r>
      <w:r>
        <w:rPr>
          <w:spacing w:val="-1"/>
        </w:rPr>
        <w:t> </w:t>
      </w:r>
      <w:r>
        <w:rPr/>
        <w:t>Teachers College</w:t>
      </w:r>
      <w:r>
        <w:rPr>
          <w:spacing w:val="-1"/>
        </w:rPr>
        <w:t> </w:t>
      </w:r>
      <w:r>
        <w:rPr/>
        <w:t>Record.</w:t>
      </w:r>
      <w:r>
        <w:rPr>
          <w:spacing w:val="-1"/>
        </w:rPr>
        <w:t> </w:t>
      </w:r>
      <w:r>
        <w:rPr/>
        <w:t>— 2009. — 111(3).</w:t>
      </w:r>
      <w:r>
        <w:rPr>
          <w:spacing w:val="-3"/>
        </w:rPr>
        <w:t> </w:t>
      </w:r>
      <w:r>
        <w:rPr/>
        <w:t>— pp. 712– </w:t>
      </w:r>
      <w:r>
        <w:rPr>
          <w:spacing w:val="-4"/>
        </w:rPr>
        <w:t>749.</w:t>
      </w:r>
    </w:p>
    <w:p>
      <w:pPr>
        <w:pStyle w:val="Heading4"/>
        <w:numPr>
          <w:ilvl w:val="0"/>
          <w:numId w:val="5"/>
        </w:numPr>
        <w:tabs>
          <w:tab w:pos="2422" w:val="left" w:leader="none"/>
        </w:tabs>
        <w:spacing w:line="276" w:lineRule="auto" w:before="0" w:after="0"/>
        <w:ind w:left="2422" w:right="845" w:hanging="360"/>
        <w:jc w:val="both"/>
      </w:pPr>
      <w:r>
        <w:rPr/>
        <w:t>Tajic</w:t>
      </w:r>
      <w:r>
        <w:rPr>
          <w:spacing w:val="-2"/>
        </w:rPr>
        <w:t> </w:t>
      </w:r>
      <w:r>
        <w:rPr/>
        <w:t>D., Bunar</w:t>
      </w:r>
      <w:r>
        <w:rPr>
          <w:spacing w:val="-1"/>
        </w:rPr>
        <w:t> </w:t>
      </w:r>
      <w:r>
        <w:rPr/>
        <w:t>N. Do both ‘get it right’? Inclusion of</w:t>
      </w:r>
      <w:r>
        <w:rPr>
          <w:spacing w:val="-1"/>
        </w:rPr>
        <w:t> </w:t>
      </w:r>
      <w:r>
        <w:rPr/>
        <w:t>newly</w:t>
      </w:r>
      <w:r>
        <w:rPr>
          <w:spacing w:val="-2"/>
        </w:rPr>
        <w:t> </w:t>
      </w:r>
      <w:r>
        <w:rPr/>
        <w:t>arrived migrant students</w:t>
      </w:r>
      <w:r>
        <w:rPr>
          <w:spacing w:val="-5"/>
        </w:rPr>
        <w:t> </w:t>
      </w:r>
      <w:r>
        <w:rPr/>
        <w:t>in</w:t>
      </w:r>
      <w:r>
        <w:rPr>
          <w:spacing w:val="-5"/>
        </w:rPr>
        <w:t> </w:t>
      </w:r>
      <w:r>
        <w:rPr/>
        <w:t>Swedish</w:t>
      </w:r>
      <w:r>
        <w:rPr>
          <w:spacing w:val="-5"/>
        </w:rPr>
        <w:t> </w:t>
      </w:r>
      <w:r>
        <w:rPr/>
        <w:t>primary</w:t>
      </w:r>
      <w:r>
        <w:rPr>
          <w:spacing w:val="-9"/>
        </w:rPr>
        <w:t> </w:t>
      </w:r>
      <w:r>
        <w:rPr/>
        <w:t>schools</w:t>
      </w:r>
      <w:r>
        <w:rPr>
          <w:spacing w:val="-7"/>
        </w:rPr>
        <w:t> </w:t>
      </w:r>
      <w:r>
        <w:rPr/>
        <w:t>//</w:t>
      </w:r>
      <w:r>
        <w:rPr>
          <w:spacing w:val="-7"/>
        </w:rPr>
        <w:t> </w:t>
      </w:r>
      <w:r>
        <w:rPr/>
        <w:t>Int.</w:t>
      </w:r>
      <w:r>
        <w:rPr>
          <w:spacing w:val="-8"/>
        </w:rPr>
        <w:t> </w:t>
      </w:r>
      <w:r>
        <w:rPr/>
        <w:t>J.</w:t>
      </w:r>
      <w:r>
        <w:rPr>
          <w:spacing w:val="-6"/>
        </w:rPr>
        <w:t> </w:t>
      </w:r>
      <w:r>
        <w:rPr/>
        <w:t>Incl.</w:t>
      </w:r>
      <w:r>
        <w:rPr>
          <w:spacing w:val="-6"/>
        </w:rPr>
        <w:t> </w:t>
      </w:r>
      <w:r>
        <w:rPr/>
        <w:t>Educ.</w:t>
      </w:r>
      <w:r>
        <w:rPr>
          <w:spacing w:val="-2"/>
        </w:rPr>
        <w:t> </w:t>
      </w:r>
      <w:r>
        <w:rPr/>
        <w:t>—</w:t>
      </w:r>
      <w:r>
        <w:rPr>
          <w:spacing w:val="-5"/>
        </w:rPr>
        <w:t> </w:t>
      </w:r>
      <w:r>
        <w:rPr/>
        <w:t>2020.</w:t>
      </w:r>
      <w:r>
        <w:rPr>
          <w:spacing w:val="-6"/>
        </w:rPr>
        <w:t> </w:t>
      </w:r>
      <w:r>
        <w:rPr/>
        <w:t>—</w:t>
      </w:r>
      <w:r>
        <w:rPr>
          <w:spacing w:val="-5"/>
        </w:rPr>
        <w:t> </w:t>
      </w:r>
      <w:r>
        <w:rPr/>
        <w:t>V.</w:t>
      </w:r>
      <w:r>
        <w:rPr>
          <w:spacing w:val="-6"/>
        </w:rPr>
        <w:t> </w:t>
      </w:r>
      <w:r>
        <w:rPr/>
        <w:t>0.</w:t>
      </w:r>
      <w:r>
        <w:rPr>
          <w:spacing w:val="-8"/>
        </w:rPr>
        <w:t> </w:t>
      </w:r>
      <w:r>
        <w:rPr/>
        <w:t>—</w:t>
      </w:r>
    </w:p>
    <w:p>
      <w:pPr>
        <w:pStyle w:val="Heading4"/>
        <w:ind w:left="2422"/>
      </w:pPr>
      <w:r>
        <w:rPr/>
        <w:t>№ 0. —</w:t>
      </w:r>
      <w:r>
        <w:rPr>
          <w:spacing w:val="-3"/>
        </w:rPr>
        <w:t> </w:t>
      </w:r>
      <w:r>
        <w:rPr/>
        <w:t>pp.</w:t>
      </w:r>
      <w:r>
        <w:rPr>
          <w:spacing w:val="-3"/>
        </w:rPr>
        <w:t> </w:t>
      </w:r>
      <w:r>
        <w:rPr>
          <w:spacing w:val="-2"/>
        </w:rPr>
        <w:t>1–15.</w:t>
      </w:r>
    </w:p>
    <w:p>
      <w:pPr>
        <w:pStyle w:val="Heading4"/>
        <w:numPr>
          <w:ilvl w:val="0"/>
          <w:numId w:val="5"/>
        </w:numPr>
        <w:tabs>
          <w:tab w:pos="2422" w:val="left" w:leader="none"/>
        </w:tabs>
        <w:spacing w:line="276" w:lineRule="auto" w:before="44" w:after="0"/>
        <w:ind w:left="2422" w:right="844" w:hanging="360"/>
        <w:jc w:val="both"/>
      </w:pPr>
      <w:r>
        <w:rPr/>
        <w:t>Thompson</w:t>
      </w:r>
      <w:r>
        <w:rPr>
          <w:spacing w:val="-17"/>
        </w:rPr>
        <w:t> </w:t>
      </w:r>
      <w:r>
        <w:rPr/>
        <w:t>S., Aked</w:t>
      </w:r>
      <w:r>
        <w:rPr>
          <w:spacing w:val="-18"/>
        </w:rPr>
        <w:t> </w:t>
      </w:r>
      <w:r>
        <w:rPr/>
        <w:t>J. A guide to measuring children's well-being/ New Economics Foundation, London. — 2009.</w:t>
      </w:r>
    </w:p>
    <w:p>
      <w:pPr>
        <w:pStyle w:val="Heading4"/>
        <w:numPr>
          <w:ilvl w:val="0"/>
          <w:numId w:val="5"/>
        </w:numPr>
        <w:tabs>
          <w:tab w:pos="2422" w:val="left" w:leader="none"/>
        </w:tabs>
        <w:spacing w:line="276" w:lineRule="auto" w:before="2" w:after="0"/>
        <w:ind w:left="2422" w:right="845" w:hanging="360"/>
        <w:jc w:val="both"/>
      </w:pPr>
      <w:r>
        <w:rPr/>
        <w:t>Tribe</w:t>
      </w:r>
      <w:r>
        <w:rPr>
          <w:spacing w:val="-1"/>
        </w:rPr>
        <w:t> </w:t>
      </w:r>
      <w:r>
        <w:rPr/>
        <w:t>R., Patel N., Yule</w:t>
      </w:r>
      <w:r>
        <w:rPr>
          <w:spacing w:val="-1"/>
        </w:rPr>
        <w:t> </w:t>
      </w:r>
      <w:r>
        <w:rPr/>
        <w:t>W. Guidelines for Psychologists working with Refugees and Asylum-seekers in the UK: Extended version (eds). — 2018. </w:t>
      </w:r>
      <w:r>
        <w:rPr>
          <w:spacing w:val="-2"/>
        </w:rPr>
        <w:t>10.13140/RG.2.2.36313.01126.</w:t>
      </w:r>
    </w:p>
    <w:p>
      <w:pPr>
        <w:pStyle w:val="Heading4"/>
        <w:spacing w:after="0" w:line="276" w:lineRule="auto"/>
        <w:jc w:val="both"/>
        <w:sectPr>
          <w:pgSz w:w="11910" w:h="16840"/>
          <w:pgMar w:header="0" w:footer="956" w:top="1040" w:bottom="1220" w:left="0" w:right="0"/>
        </w:sectPr>
      </w:pPr>
    </w:p>
    <w:p>
      <w:pPr>
        <w:pStyle w:val="Heading4"/>
        <w:numPr>
          <w:ilvl w:val="0"/>
          <w:numId w:val="5"/>
        </w:numPr>
        <w:tabs>
          <w:tab w:pos="2422" w:val="left" w:leader="none"/>
        </w:tabs>
        <w:spacing w:line="276" w:lineRule="auto" w:before="67" w:after="0"/>
        <w:ind w:left="2422" w:right="849" w:hanging="360"/>
        <w:jc w:val="both"/>
      </w:pPr>
      <w:r>
        <w:rPr/>
        <w:t>Vietze</w:t>
      </w:r>
      <w:r>
        <w:rPr>
          <w:spacing w:val="-3"/>
        </w:rPr>
        <w:t> </w:t>
      </w:r>
      <w:r>
        <w:rPr/>
        <w:t>J.,</w:t>
      </w:r>
      <w:r>
        <w:rPr>
          <w:spacing w:val="-10"/>
        </w:rPr>
        <w:t> </w:t>
      </w:r>
      <w:r>
        <w:rPr/>
        <w:t>Juang</w:t>
      </w:r>
      <w:r>
        <w:rPr>
          <w:spacing w:val="-1"/>
        </w:rPr>
        <w:t> </w:t>
      </w:r>
      <w:r>
        <w:rPr/>
        <w:t>L.</w:t>
      </w:r>
      <w:r>
        <w:rPr>
          <w:spacing w:val="-4"/>
        </w:rPr>
        <w:t> </w:t>
      </w:r>
      <w:r>
        <w:rPr/>
        <w:t>P.,</w:t>
      </w:r>
      <w:r>
        <w:rPr>
          <w:spacing w:val="-10"/>
        </w:rPr>
        <w:t> </w:t>
      </w:r>
      <w:r>
        <w:rPr/>
        <w:t>Schachner</w:t>
      </w:r>
      <w:r>
        <w:rPr>
          <w:spacing w:val="-3"/>
        </w:rPr>
        <w:t> </w:t>
      </w:r>
      <w:r>
        <w:rPr/>
        <w:t>M.</w:t>
      </w:r>
      <w:r>
        <w:rPr>
          <w:spacing w:val="-4"/>
        </w:rPr>
        <w:t> </w:t>
      </w:r>
      <w:r>
        <w:rPr/>
        <w:t>K.</w:t>
      </w:r>
      <w:r>
        <w:rPr>
          <w:spacing w:val="-9"/>
        </w:rPr>
        <w:t> </w:t>
      </w:r>
      <w:r>
        <w:rPr/>
        <w:t>Peer</w:t>
      </w:r>
      <w:r>
        <w:rPr>
          <w:spacing w:val="-9"/>
        </w:rPr>
        <w:t> </w:t>
      </w:r>
      <w:r>
        <w:rPr/>
        <w:t>cultural</w:t>
      </w:r>
      <w:r>
        <w:rPr>
          <w:spacing w:val="-8"/>
        </w:rPr>
        <w:t> </w:t>
      </w:r>
      <w:r>
        <w:rPr/>
        <w:t>socialisation:</w:t>
      </w:r>
      <w:r>
        <w:rPr>
          <w:spacing w:val="-8"/>
        </w:rPr>
        <w:t> </w:t>
      </w:r>
      <w:r>
        <w:rPr/>
        <w:t>a</w:t>
      </w:r>
      <w:r>
        <w:rPr>
          <w:spacing w:val="-11"/>
        </w:rPr>
        <w:t> </w:t>
      </w:r>
      <w:r>
        <w:rPr/>
        <w:t>resource for minority students’ cultural identity, life satisfaction, and school values // Intercult. Educ. — 2019. — V. 30. — № 5. — pp. 579–598.</w:t>
      </w:r>
    </w:p>
    <w:p>
      <w:pPr>
        <w:pStyle w:val="Heading4"/>
        <w:spacing w:after="0" w:line="276" w:lineRule="auto"/>
        <w:jc w:val="both"/>
        <w:sectPr>
          <w:pgSz w:w="11910" w:h="16840"/>
          <w:pgMar w:header="0" w:footer="956" w:top="1040" w:bottom="1220" w:left="0" w:right="0"/>
        </w:sectPr>
      </w:pPr>
    </w:p>
    <w:p>
      <w:pPr>
        <w:pStyle w:val="BodyText"/>
        <w:ind w:left="1958" w:right="0" w:firstLine="0"/>
        <w:jc w:val="left"/>
      </w:pPr>
      <w:r>
        <w:rPr/>
        <w:drawing>
          <wp:inline distT="0" distB="0" distL="0" distR="0">
            <wp:extent cx="5602486" cy="786383"/>
            <wp:effectExtent l="0" t="0" r="0" b="0"/>
            <wp:docPr id="18" name="Image 18" descr="F:\работа верстка\19-20\Мымрина А.Н\Приказ_распоряжение_СЗ.jpg"/>
            <wp:cNvGraphicFramePr>
              <a:graphicFrameLocks/>
            </wp:cNvGraphicFramePr>
            <a:graphic>
              <a:graphicData uri="http://schemas.openxmlformats.org/drawingml/2006/picture">
                <pic:pic>
                  <pic:nvPicPr>
                    <pic:cNvPr id="18" name="Image 18" descr="F:\работа верстка\19-20\Мымрина А.Н\Приказ_распоряжение_СЗ.jpg"/>
                    <pic:cNvPicPr/>
                  </pic:nvPicPr>
                  <pic:blipFill>
                    <a:blip r:embed="rId36" cstate="print"/>
                    <a:stretch>
                      <a:fillRect/>
                    </a:stretch>
                  </pic:blipFill>
                  <pic:spPr>
                    <a:xfrm>
                      <a:off x="0" y="0"/>
                      <a:ext cx="5602486" cy="786383"/>
                    </a:xfrm>
                    <a:prstGeom prst="rect">
                      <a:avLst/>
                    </a:prstGeom>
                  </pic:spPr>
                </pic:pic>
              </a:graphicData>
            </a:graphic>
          </wp:inline>
        </w:drawing>
      </w:r>
      <w:r>
        <w:rPr/>
      </w:r>
    </w:p>
    <w:p>
      <w:pPr>
        <w:pStyle w:val="BodyText"/>
        <w:ind w:left="0" w:right="0" w:firstLine="0"/>
        <w:jc w:val="left"/>
        <w:rPr>
          <w:sz w:val="48"/>
        </w:rPr>
      </w:pPr>
    </w:p>
    <w:p>
      <w:pPr>
        <w:pStyle w:val="BodyText"/>
        <w:spacing w:before="338"/>
        <w:ind w:left="0" w:right="0" w:firstLine="0"/>
        <w:jc w:val="left"/>
        <w:rPr>
          <w:sz w:val="48"/>
        </w:rPr>
      </w:pPr>
    </w:p>
    <w:p>
      <w:pPr>
        <w:spacing w:before="0"/>
        <w:ind w:left="854" w:right="125" w:firstLine="0"/>
        <w:jc w:val="center"/>
        <w:rPr>
          <w:b/>
          <w:i/>
          <w:sz w:val="48"/>
        </w:rPr>
      </w:pPr>
      <w:r>
        <w:rPr>
          <w:b/>
          <w:i/>
          <w:sz w:val="48"/>
        </w:rPr>
        <w:t>О.Е. Хухлаев, М.</w:t>
      </w:r>
      <w:r>
        <w:rPr>
          <w:b/>
          <w:i/>
          <w:spacing w:val="1"/>
          <w:sz w:val="48"/>
        </w:rPr>
        <w:t> </w:t>
      </w:r>
      <w:r>
        <w:rPr>
          <w:b/>
          <w:i/>
          <w:sz w:val="48"/>
        </w:rPr>
        <w:t>Ю. </w:t>
      </w:r>
      <w:r>
        <w:rPr>
          <w:b/>
          <w:i/>
          <w:spacing w:val="-2"/>
          <w:sz w:val="48"/>
        </w:rPr>
        <w:t>Чибисова</w:t>
      </w:r>
    </w:p>
    <w:p>
      <w:pPr>
        <w:pStyle w:val="BodyText"/>
        <w:ind w:left="0" w:right="0" w:firstLine="0"/>
        <w:jc w:val="left"/>
        <w:rPr>
          <w:b/>
          <w:i/>
          <w:sz w:val="48"/>
        </w:rPr>
      </w:pPr>
    </w:p>
    <w:p>
      <w:pPr>
        <w:pStyle w:val="BodyText"/>
        <w:ind w:left="0" w:right="0" w:firstLine="0"/>
        <w:jc w:val="left"/>
        <w:rPr>
          <w:b/>
          <w:i/>
          <w:sz w:val="48"/>
        </w:rPr>
      </w:pPr>
    </w:p>
    <w:p>
      <w:pPr>
        <w:pStyle w:val="BodyText"/>
        <w:spacing w:before="401"/>
        <w:ind w:left="0" w:right="0" w:firstLine="0"/>
        <w:jc w:val="left"/>
        <w:rPr>
          <w:b/>
          <w:i/>
          <w:sz w:val="48"/>
        </w:rPr>
      </w:pPr>
    </w:p>
    <w:p>
      <w:pPr>
        <w:spacing w:before="0"/>
        <w:ind w:left="854" w:right="11" w:firstLine="0"/>
        <w:jc w:val="center"/>
        <w:rPr>
          <w:b/>
          <w:sz w:val="56"/>
        </w:rPr>
      </w:pPr>
      <w:r>
        <w:rPr>
          <w:b/>
          <w:spacing w:val="-2"/>
          <w:sz w:val="56"/>
        </w:rPr>
        <w:t>Методические</w:t>
      </w:r>
      <w:r>
        <w:rPr>
          <w:b/>
          <w:spacing w:val="-19"/>
          <w:sz w:val="56"/>
        </w:rPr>
        <w:t> </w:t>
      </w:r>
      <w:r>
        <w:rPr>
          <w:b/>
          <w:spacing w:val="-2"/>
          <w:sz w:val="56"/>
        </w:rPr>
        <w:t>рекомендации</w:t>
      </w:r>
    </w:p>
    <w:p>
      <w:pPr>
        <w:spacing w:line="276" w:lineRule="auto" w:before="297"/>
        <w:ind w:left="2393" w:right="1548" w:firstLine="10"/>
        <w:jc w:val="center"/>
        <w:rPr>
          <w:b/>
          <w:sz w:val="54"/>
        </w:rPr>
      </w:pPr>
      <w:r>
        <w:rPr>
          <w:b/>
          <w:sz w:val="56"/>
        </w:rPr>
        <w:t>по проведению психолого- педагогической оценки особых образовательных</w:t>
      </w:r>
      <w:r>
        <w:rPr>
          <w:b/>
          <w:spacing w:val="-35"/>
          <w:sz w:val="56"/>
        </w:rPr>
        <w:t> </w:t>
      </w:r>
      <w:r>
        <w:rPr>
          <w:b/>
          <w:sz w:val="56"/>
        </w:rPr>
        <w:t>потребностей </w:t>
      </w:r>
      <w:r>
        <w:rPr>
          <w:b/>
          <w:sz w:val="54"/>
        </w:rPr>
        <w:t>детей иностранных граждан</w:t>
      </w:r>
    </w:p>
    <w:p>
      <w:pPr>
        <w:pStyle w:val="BodyText"/>
        <w:spacing w:before="391"/>
        <w:ind w:left="0" w:right="0" w:firstLine="0"/>
        <w:jc w:val="left"/>
        <w:rPr>
          <w:b/>
          <w:sz w:val="56"/>
        </w:rPr>
      </w:pPr>
    </w:p>
    <w:p>
      <w:pPr>
        <w:spacing w:before="0"/>
        <w:ind w:left="854" w:right="6" w:firstLine="0"/>
        <w:jc w:val="center"/>
        <w:rPr>
          <w:b/>
          <w:sz w:val="56"/>
        </w:rPr>
      </w:pPr>
      <w:r>
        <w:rPr>
          <w:b/>
          <w:sz w:val="56"/>
        </w:rPr>
        <w:t>Часть</w:t>
      </w:r>
      <w:r>
        <w:rPr>
          <w:b/>
          <w:spacing w:val="-17"/>
          <w:sz w:val="56"/>
        </w:rPr>
        <w:t> </w:t>
      </w:r>
      <w:r>
        <w:rPr>
          <w:b/>
          <w:spacing w:val="-10"/>
          <w:sz w:val="56"/>
        </w:rPr>
        <w:t>2</w:t>
      </w:r>
    </w:p>
    <w:p>
      <w:pPr>
        <w:pStyle w:val="BodyText"/>
        <w:ind w:left="0" w:right="0" w:firstLine="0"/>
        <w:jc w:val="left"/>
        <w:rPr>
          <w:b/>
          <w:sz w:val="56"/>
        </w:rPr>
      </w:pPr>
    </w:p>
    <w:p>
      <w:pPr>
        <w:pStyle w:val="BodyText"/>
        <w:ind w:left="0" w:right="0" w:firstLine="0"/>
        <w:jc w:val="left"/>
        <w:rPr>
          <w:b/>
          <w:sz w:val="56"/>
        </w:rPr>
      </w:pPr>
    </w:p>
    <w:p>
      <w:pPr>
        <w:pStyle w:val="BodyText"/>
        <w:spacing w:before="245"/>
        <w:ind w:left="0" w:right="0" w:firstLine="0"/>
        <w:jc w:val="left"/>
        <w:rPr>
          <w:b/>
          <w:sz w:val="56"/>
        </w:rPr>
      </w:pPr>
    </w:p>
    <w:p>
      <w:pPr>
        <w:spacing w:before="0"/>
        <w:ind w:left="854" w:right="4" w:firstLine="0"/>
        <w:jc w:val="center"/>
        <w:rPr>
          <w:b/>
          <w:sz w:val="32"/>
        </w:rPr>
      </w:pPr>
      <w:r>
        <w:rPr>
          <w:b/>
          <w:sz w:val="32"/>
        </w:rPr>
        <w:t>Москва,</w:t>
      </w:r>
      <w:r>
        <w:rPr>
          <w:b/>
          <w:spacing w:val="-17"/>
          <w:sz w:val="32"/>
        </w:rPr>
        <w:t> </w:t>
      </w:r>
      <w:r>
        <w:rPr>
          <w:b/>
          <w:spacing w:val="-4"/>
          <w:sz w:val="32"/>
        </w:rPr>
        <w:t>2022</w:t>
      </w:r>
    </w:p>
    <w:p>
      <w:pPr>
        <w:spacing w:after="0"/>
        <w:jc w:val="center"/>
        <w:rPr>
          <w:b/>
          <w:sz w:val="32"/>
        </w:rPr>
        <w:sectPr>
          <w:pgSz w:w="11910" w:h="16840"/>
          <w:pgMar w:header="0" w:footer="956" w:top="1300" w:bottom="1220" w:left="0" w:right="0"/>
        </w:sectPr>
      </w:pPr>
    </w:p>
    <w:p>
      <w:pPr>
        <w:pStyle w:val="Heading2"/>
        <w:spacing w:before="70"/>
        <w:ind w:left="1702"/>
      </w:pPr>
      <w:bookmarkStart w:name="_bookmark5" w:id="7"/>
      <w:bookmarkEnd w:id="7"/>
      <w:r>
        <w:rPr>
          <w:b w:val="0"/>
        </w:rPr>
      </w:r>
      <w:r>
        <w:rPr>
          <w:spacing w:val="-2"/>
        </w:rPr>
        <w:t>Аннотация</w:t>
      </w:r>
    </w:p>
    <w:p>
      <w:pPr>
        <w:pStyle w:val="Heading4"/>
        <w:spacing w:line="276" w:lineRule="auto" w:before="46"/>
        <w:ind w:left="1702" w:right="840" w:firstLine="566"/>
      </w:pPr>
      <w:r>
        <w:rPr/>
        <w:t>Методические рекомендации посвящены вопросам проведения психолого-педагогической оценки особых образовательных потребностей ребенка-мигранта. В первой главе описаны принципы организации и логистика проведения психолого-педагогической оценки особых (дополнительных) образовательных потребностей ребенка-мигранта. Во второй главе раскрывается психолого-педагогическая оценка особых образовательных потребностей ребенка-иностранного гражданина ребенка- иностранного гражданина в сфере культурной адаптации. В третьей главе представлена психолого-педагогическая оценка особых образовательных потребностей ребенка-иностранного гражданина в области социальных навыков. Четвертая глава рассматривает проведение психолого- педагогической оценки особых (дополнительных) образовательных потребностей ребенка-иностранного гражданина с точки зрения психологического благополучия. Пятая глава описывает подход к комплексному анализу результатов оценки особых образовательных потребностей ребенка-мигранта в сферах психологического благополучия, социальных навыков и культурной адаптации.</w:t>
      </w:r>
    </w:p>
    <w:p>
      <w:pPr>
        <w:pStyle w:val="Heading4"/>
        <w:spacing w:line="276" w:lineRule="auto" w:before="2"/>
        <w:ind w:left="1702" w:right="844" w:firstLine="566"/>
      </w:pPr>
      <w:r>
        <w:rPr/>
        <w:t>В тексте подробно проанализирован состав базового и расширенного наборов диагностики, а также специфика диагностики для начального (1-4 классы),</w:t>
      </w:r>
      <w:r>
        <w:rPr>
          <w:spacing w:val="-18"/>
        </w:rPr>
        <w:t> </w:t>
      </w:r>
      <w:r>
        <w:rPr/>
        <w:t>основного</w:t>
      </w:r>
      <w:r>
        <w:rPr>
          <w:spacing w:val="-17"/>
        </w:rPr>
        <w:t> </w:t>
      </w:r>
      <w:r>
        <w:rPr/>
        <w:t>(5-9</w:t>
      </w:r>
      <w:r>
        <w:rPr>
          <w:spacing w:val="-18"/>
        </w:rPr>
        <w:t> </w:t>
      </w:r>
      <w:r>
        <w:rPr/>
        <w:t>классы)</w:t>
      </w:r>
      <w:r>
        <w:rPr>
          <w:spacing w:val="-17"/>
        </w:rPr>
        <w:t> </w:t>
      </w:r>
      <w:r>
        <w:rPr/>
        <w:t>и</w:t>
      </w:r>
      <w:r>
        <w:rPr>
          <w:spacing w:val="-18"/>
        </w:rPr>
        <w:t> </w:t>
      </w:r>
      <w:r>
        <w:rPr/>
        <w:t>среднего</w:t>
      </w:r>
      <w:r>
        <w:rPr>
          <w:spacing w:val="-17"/>
        </w:rPr>
        <w:t> </w:t>
      </w:r>
      <w:r>
        <w:rPr/>
        <w:t>(10-11</w:t>
      </w:r>
      <w:r>
        <w:rPr>
          <w:spacing w:val="-18"/>
        </w:rPr>
        <w:t> </w:t>
      </w:r>
      <w:r>
        <w:rPr/>
        <w:t>классы)</w:t>
      </w:r>
      <w:r>
        <w:rPr>
          <w:spacing w:val="-17"/>
        </w:rPr>
        <w:t> </w:t>
      </w:r>
      <w:r>
        <w:rPr/>
        <w:t>общего</w:t>
      </w:r>
      <w:r>
        <w:rPr>
          <w:spacing w:val="-18"/>
        </w:rPr>
        <w:t> </w:t>
      </w:r>
      <w:r>
        <w:rPr/>
        <w:t>образования (далее по тексту – начальной, средней и старшей школы). Работа с данными рекомендациями должна сопровождаться знакомством с инструментарием оценки особых образовательных потребностей ребенка-иностранного гражданина</w:t>
      </w:r>
      <w:r>
        <w:rPr>
          <w:spacing w:val="-3"/>
        </w:rPr>
        <w:t> </w:t>
      </w:r>
      <w:r>
        <w:rPr/>
        <w:t>в</w:t>
      </w:r>
      <w:r>
        <w:rPr>
          <w:spacing w:val="-6"/>
        </w:rPr>
        <w:t> </w:t>
      </w:r>
      <w:r>
        <w:rPr/>
        <w:t>сферах</w:t>
      </w:r>
      <w:r>
        <w:rPr>
          <w:spacing w:val="-2"/>
        </w:rPr>
        <w:t> </w:t>
      </w:r>
      <w:r>
        <w:rPr/>
        <w:t>психологического</w:t>
      </w:r>
      <w:r>
        <w:rPr>
          <w:spacing w:val="-3"/>
        </w:rPr>
        <w:t> </w:t>
      </w:r>
      <w:r>
        <w:rPr/>
        <w:t>благополучия,</w:t>
      </w:r>
      <w:r>
        <w:rPr>
          <w:spacing w:val="-3"/>
        </w:rPr>
        <w:t> </w:t>
      </w:r>
      <w:r>
        <w:rPr/>
        <w:t>социальных</w:t>
      </w:r>
      <w:r>
        <w:rPr>
          <w:spacing w:val="-2"/>
        </w:rPr>
        <w:t> </w:t>
      </w:r>
      <w:r>
        <w:rPr/>
        <w:t>навыков</w:t>
      </w:r>
      <w:r>
        <w:rPr>
          <w:spacing w:val="-7"/>
        </w:rPr>
        <w:t> </w:t>
      </w:r>
      <w:r>
        <w:rPr/>
        <w:t>и культурной адаптации.</w:t>
      </w:r>
    </w:p>
    <w:p>
      <w:pPr>
        <w:pStyle w:val="Heading6"/>
        <w:spacing w:line="276" w:lineRule="auto"/>
        <w:rPr>
          <w:rFonts w:ascii="Calibri" w:hAnsi="Calibri"/>
        </w:rPr>
      </w:pPr>
      <w:r>
        <w:rPr/>
        <w:t>Методические</w:t>
      </w:r>
      <w:r>
        <w:rPr>
          <w:spacing w:val="-17"/>
        </w:rPr>
        <w:t> </w:t>
      </w:r>
      <w:r>
        <w:rPr/>
        <w:t>рекомендации</w:t>
      </w:r>
      <w:r>
        <w:rPr>
          <w:spacing w:val="-17"/>
        </w:rPr>
        <w:t> </w:t>
      </w:r>
      <w:r>
        <w:rPr/>
        <w:t>подготовлены</w:t>
      </w:r>
      <w:r>
        <w:rPr>
          <w:spacing w:val="-17"/>
        </w:rPr>
        <w:t> </w:t>
      </w:r>
      <w:r>
        <w:rPr/>
        <w:t>в</w:t>
      </w:r>
      <w:r>
        <w:rPr>
          <w:spacing w:val="-17"/>
        </w:rPr>
        <w:t> </w:t>
      </w:r>
      <w:r>
        <w:rPr/>
        <w:t>рамках</w:t>
      </w:r>
      <w:r>
        <w:rPr>
          <w:spacing w:val="-17"/>
        </w:rPr>
        <w:t> </w:t>
      </w:r>
      <w:r>
        <w:rPr/>
        <w:t>работы</w:t>
      </w:r>
      <w:r>
        <w:rPr>
          <w:spacing w:val="-17"/>
        </w:rPr>
        <w:t> </w:t>
      </w:r>
      <w:r>
        <w:rPr/>
        <w:t>по</w:t>
      </w:r>
      <w:r>
        <w:rPr>
          <w:spacing w:val="-17"/>
        </w:rPr>
        <w:t> </w:t>
      </w:r>
      <w:r>
        <w:rPr/>
        <w:t>организации ФГБОУ ВО МГППУ общественно значимых мероприятий в сфере образования, науки</w:t>
      </w:r>
      <w:r>
        <w:rPr>
          <w:spacing w:val="-4"/>
        </w:rPr>
        <w:t> </w:t>
      </w:r>
      <w:r>
        <w:rPr/>
        <w:t>и</w:t>
      </w:r>
      <w:r>
        <w:rPr>
          <w:spacing w:val="-5"/>
        </w:rPr>
        <w:t> </w:t>
      </w:r>
      <w:r>
        <w:rPr/>
        <w:t>молодежной</w:t>
      </w:r>
      <w:r>
        <w:rPr>
          <w:spacing w:val="-4"/>
        </w:rPr>
        <w:t> </w:t>
      </w:r>
      <w:r>
        <w:rPr/>
        <w:t>политики</w:t>
      </w:r>
      <w:r>
        <w:rPr>
          <w:spacing w:val="-4"/>
        </w:rPr>
        <w:t> </w:t>
      </w:r>
      <w:r>
        <w:rPr/>
        <w:t>в</w:t>
      </w:r>
      <w:r>
        <w:rPr>
          <w:spacing w:val="-5"/>
        </w:rPr>
        <w:t> </w:t>
      </w:r>
      <w:r>
        <w:rPr/>
        <w:t>2021</w:t>
      </w:r>
      <w:r>
        <w:rPr>
          <w:spacing w:val="-2"/>
        </w:rPr>
        <w:t> </w:t>
      </w:r>
      <w:r>
        <w:rPr/>
        <w:t>г.</w:t>
      </w:r>
      <w:r>
        <w:rPr>
          <w:spacing w:val="-4"/>
        </w:rPr>
        <w:t> </w:t>
      </w:r>
      <w:r>
        <w:rPr/>
        <w:t>Апробация</w:t>
      </w:r>
      <w:r>
        <w:rPr>
          <w:spacing w:val="-3"/>
        </w:rPr>
        <w:t> </w:t>
      </w:r>
      <w:r>
        <w:rPr/>
        <w:t>методических</w:t>
      </w:r>
      <w:r>
        <w:rPr>
          <w:spacing w:val="-2"/>
        </w:rPr>
        <w:t> </w:t>
      </w:r>
      <w:r>
        <w:rPr/>
        <w:t>рекомендаций осуществлена в 2022 г. в рамках НИР «Научно-методическая разработка и апробация системы выявления особых образовательных потребностей несовершеннолетних иностранных граждан и необходимого психолого- педагогического сопровождения процессов их обучения, социальной и культурной адаптации», выполняемого в рамках государственного задания ФГБОУ</w:t>
      </w:r>
      <w:r>
        <w:rPr>
          <w:spacing w:val="-11"/>
        </w:rPr>
        <w:t> </w:t>
      </w:r>
      <w:r>
        <w:rPr/>
        <w:t>ВО</w:t>
      </w:r>
      <w:r>
        <w:rPr>
          <w:spacing w:val="-11"/>
        </w:rPr>
        <w:t> </w:t>
      </w:r>
      <w:r>
        <w:rPr/>
        <w:t>МГППУ</w:t>
      </w:r>
      <w:r>
        <w:rPr>
          <w:spacing w:val="-11"/>
        </w:rPr>
        <w:t> </w:t>
      </w:r>
      <w:r>
        <w:rPr/>
        <w:t>на</w:t>
      </w:r>
      <w:r>
        <w:rPr>
          <w:spacing w:val="-12"/>
        </w:rPr>
        <w:t> </w:t>
      </w:r>
      <w:r>
        <w:rPr/>
        <w:t>2022</w:t>
      </w:r>
      <w:r>
        <w:rPr>
          <w:spacing w:val="-11"/>
        </w:rPr>
        <w:t> </w:t>
      </w:r>
      <w:r>
        <w:rPr/>
        <w:t>г.</w:t>
      </w:r>
      <w:r>
        <w:rPr>
          <w:spacing w:val="-13"/>
        </w:rPr>
        <w:t> </w:t>
      </w:r>
      <w:r>
        <w:rPr/>
        <w:t>(приказ</w:t>
      </w:r>
      <w:r>
        <w:rPr>
          <w:spacing w:val="-11"/>
        </w:rPr>
        <w:t> </w:t>
      </w:r>
      <w:r>
        <w:rPr/>
        <w:t>Министерства</w:t>
      </w:r>
      <w:r>
        <w:rPr>
          <w:spacing w:val="-12"/>
        </w:rPr>
        <w:t> </w:t>
      </w:r>
      <w:r>
        <w:rPr/>
        <w:t>просвещения</w:t>
      </w:r>
      <w:r>
        <w:rPr>
          <w:spacing w:val="-11"/>
        </w:rPr>
        <w:t> </w:t>
      </w:r>
      <w:r>
        <w:rPr/>
        <w:t>РФ</w:t>
      </w:r>
      <w:r>
        <w:rPr>
          <w:spacing w:val="-12"/>
        </w:rPr>
        <w:t> </w:t>
      </w:r>
      <w:r>
        <w:rPr/>
        <w:t>№1021</w:t>
      </w:r>
      <w:r>
        <w:rPr>
          <w:spacing w:val="-11"/>
        </w:rPr>
        <w:t> </w:t>
      </w:r>
      <w:r>
        <w:rPr/>
        <w:t>от 27.12.2021) в том числе посредством проведения программы дополнительного профессионального образования «Психолого-педагогическая оценка особых образовательных потребностей детей иностранных граждан в сферах психологического</w:t>
      </w:r>
      <w:r>
        <w:rPr>
          <w:spacing w:val="-9"/>
        </w:rPr>
        <w:t> </w:t>
      </w:r>
      <w:r>
        <w:rPr/>
        <w:t>благополучия,</w:t>
      </w:r>
      <w:r>
        <w:rPr>
          <w:spacing w:val="-11"/>
        </w:rPr>
        <w:t> </w:t>
      </w:r>
      <w:r>
        <w:rPr/>
        <w:t>социальных</w:t>
      </w:r>
      <w:r>
        <w:rPr>
          <w:spacing w:val="-9"/>
        </w:rPr>
        <w:t> </w:t>
      </w:r>
      <w:r>
        <w:rPr/>
        <w:t>навыков</w:t>
      </w:r>
      <w:r>
        <w:rPr>
          <w:spacing w:val="-10"/>
        </w:rPr>
        <w:t> </w:t>
      </w:r>
      <w:r>
        <w:rPr/>
        <w:t>и</w:t>
      </w:r>
      <w:r>
        <w:rPr>
          <w:spacing w:val="-11"/>
        </w:rPr>
        <w:t> </w:t>
      </w:r>
      <w:r>
        <w:rPr/>
        <w:t>культурной</w:t>
      </w:r>
      <w:r>
        <w:rPr>
          <w:spacing w:val="-11"/>
        </w:rPr>
        <w:t> </w:t>
      </w:r>
      <w:r>
        <w:rPr/>
        <w:t>адаптации</w:t>
      </w:r>
      <w:r>
        <w:rPr>
          <w:rFonts w:ascii="Calibri" w:hAnsi="Calibri"/>
        </w:rPr>
        <w:t>».</w:t>
      </w:r>
    </w:p>
    <w:p>
      <w:pPr>
        <w:pStyle w:val="Heading6"/>
        <w:spacing w:after="0" w:line="276" w:lineRule="auto"/>
        <w:rPr>
          <w:rFonts w:ascii="Calibri" w:hAnsi="Calibri"/>
        </w:rPr>
        <w:sectPr>
          <w:pgSz w:w="11910" w:h="16840"/>
          <w:pgMar w:header="0" w:footer="956" w:top="1080" w:bottom="1220" w:left="0" w:right="0"/>
        </w:sectPr>
      </w:pPr>
    </w:p>
    <w:p>
      <w:pPr>
        <w:pStyle w:val="Heading2"/>
        <w:spacing w:line="276" w:lineRule="auto"/>
        <w:ind w:left="1702" w:right="843"/>
        <w:jc w:val="both"/>
      </w:pPr>
      <w:bookmarkStart w:name="_bookmark6" w:id="8"/>
      <w:bookmarkEnd w:id="8"/>
      <w:r>
        <w:rPr>
          <w:b w:val="0"/>
        </w:rPr>
      </w:r>
      <w:r>
        <w:rPr/>
        <w:t>Глава 1. Принципы организации и логистика проведения психолого- педагогической оценки особых образовательных потребностей несовершеннолетних иностранных граждан в области психологического благополучия, социальных навыков и культурной адаптации</w:t>
      </w:r>
    </w:p>
    <w:p>
      <w:pPr>
        <w:pStyle w:val="Heading4"/>
        <w:tabs>
          <w:tab w:pos="2635" w:val="left" w:leader="none"/>
          <w:tab w:pos="3954" w:val="left" w:leader="none"/>
          <w:tab w:pos="4074" w:val="left" w:leader="none"/>
          <w:tab w:pos="4112" w:val="left" w:leader="none"/>
          <w:tab w:pos="5861" w:val="left" w:leader="none"/>
          <w:tab w:pos="6472" w:val="left" w:leader="none"/>
          <w:tab w:pos="6657" w:val="left" w:leader="none"/>
          <w:tab w:pos="7662" w:val="left" w:leader="none"/>
          <w:tab w:pos="7847" w:val="left" w:leader="none"/>
          <w:tab w:pos="8644" w:val="left" w:leader="none"/>
          <w:tab w:pos="9583" w:val="left" w:leader="none"/>
          <w:tab w:pos="10364" w:val="left" w:leader="none"/>
        </w:tabs>
        <w:spacing w:line="276" w:lineRule="auto" w:before="238"/>
        <w:ind w:left="1702" w:right="843" w:firstLine="566"/>
        <w:jc w:val="right"/>
      </w:pPr>
      <w:r>
        <w:rPr/>
        <w:t>Оценка особых (дополнительных) образовательных потребностей детей- иностранных</w:t>
      </w:r>
      <w:r>
        <w:rPr>
          <w:spacing w:val="40"/>
        </w:rPr>
        <w:t> </w:t>
      </w:r>
      <w:r>
        <w:rPr/>
        <w:t>граждан</w:t>
      </w:r>
      <w:r>
        <w:rPr>
          <w:spacing w:val="40"/>
        </w:rPr>
        <w:t> </w:t>
      </w:r>
      <w:r>
        <w:rPr/>
        <w:t>является</w:t>
      </w:r>
      <w:r>
        <w:rPr>
          <w:spacing w:val="40"/>
        </w:rPr>
        <w:t> </w:t>
      </w:r>
      <w:r>
        <w:rPr/>
        <w:t>основой</w:t>
      </w:r>
      <w:r>
        <w:rPr>
          <w:spacing w:val="40"/>
        </w:rPr>
        <w:t> </w:t>
      </w:r>
      <w:r>
        <w:rPr/>
        <w:t>для</w:t>
      </w:r>
      <w:r>
        <w:rPr>
          <w:spacing w:val="40"/>
        </w:rPr>
        <w:t> </w:t>
      </w:r>
      <w:r>
        <w:rPr/>
        <w:t>создания</w:t>
      </w:r>
      <w:r>
        <w:rPr>
          <w:spacing w:val="40"/>
        </w:rPr>
        <w:t> </w:t>
      </w:r>
      <w:r>
        <w:rPr/>
        <w:t>их</w:t>
      </w:r>
      <w:r>
        <w:rPr>
          <w:spacing w:val="40"/>
        </w:rPr>
        <w:t> </w:t>
      </w:r>
      <w:r>
        <w:rPr/>
        <w:t>индивидуальной </w:t>
      </w:r>
      <w:r>
        <w:rPr>
          <w:spacing w:val="-2"/>
        </w:rPr>
        <w:t>образовательной</w:t>
      </w:r>
      <w:r>
        <w:rPr/>
        <w:tab/>
        <w:tab/>
      </w:r>
      <w:r>
        <w:rPr>
          <w:spacing w:val="-2"/>
        </w:rPr>
        <w:t>траектории.</w:t>
      </w:r>
      <w:r>
        <w:rPr/>
        <w:tab/>
      </w:r>
      <w:r>
        <w:rPr>
          <w:spacing w:val="-4"/>
        </w:rPr>
        <w:t>Эта</w:t>
      </w:r>
      <w:r>
        <w:rPr/>
        <w:tab/>
        <w:tab/>
      </w:r>
      <w:r>
        <w:rPr>
          <w:spacing w:val="-2"/>
        </w:rPr>
        <w:t>оценка</w:t>
      </w:r>
      <w:r>
        <w:rPr/>
        <w:tab/>
        <w:tab/>
      </w:r>
      <w:r>
        <w:rPr>
          <w:spacing w:val="-2"/>
        </w:rPr>
        <w:t>проводится</w:t>
      </w:r>
      <w:r>
        <w:rPr/>
        <w:tab/>
      </w:r>
      <w:r>
        <w:rPr>
          <w:spacing w:val="-2"/>
        </w:rPr>
        <w:t>различными </w:t>
      </w:r>
      <w:r>
        <w:rPr/>
        <w:t>специалистами.</w:t>
      </w:r>
      <w:r>
        <w:rPr>
          <w:spacing w:val="40"/>
        </w:rPr>
        <w:t> </w:t>
      </w:r>
      <w:r>
        <w:rPr/>
        <w:t>Первая</w:t>
      </w:r>
      <w:r>
        <w:rPr>
          <w:spacing w:val="40"/>
        </w:rPr>
        <w:t> </w:t>
      </w:r>
      <w:r>
        <w:rPr/>
        <w:t>группа</w:t>
      </w:r>
      <w:r>
        <w:rPr>
          <w:spacing w:val="40"/>
        </w:rPr>
        <w:t> </w:t>
      </w:r>
      <w:r>
        <w:rPr/>
        <w:t>потребностей,</w:t>
      </w:r>
      <w:r>
        <w:rPr>
          <w:spacing w:val="40"/>
        </w:rPr>
        <w:t> </w:t>
      </w:r>
      <w:r>
        <w:rPr/>
        <w:t>связанных</w:t>
      </w:r>
      <w:r>
        <w:rPr>
          <w:spacing w:val="40"/>
        </w:rPr>
        <w:t> </w:t>
      </w:r>
      <w:r>
        <w:rPr/>
        <w:t>с</w:t>
      </w:r>
      <w:r>
        <w:rPr>
          <w:spacing w:val="40"/>
        </w:rPr>
        <w:t> </w:t>
      </w:r>
      <w:r>
        <w:rPr/>
        <w:t>недостаточным уровнем</w:t>
      </w:r>
      <w:r>
        <w:rPr>
          <w:spacing w:val="40"/>
        </w:rPr>
        <w:t> </w:t>
      </w:r>
      <w:r>
        <w:rPr/>
        <w:t>владения</w:t>
      </w:r>
      <w:r>
        <w:rPr>
          <w:spacing w:val="40"/>
        </w:rPr>
        <w:t> </w:t>
      </w:r>
      <w:r>
        <w:rPr/>
        <w:t>русским</w:t>
      </w:r>
      <w:r>
        <w:rPr>
          <w:spacing w:val="40"/>
        </w:rPr>
        <w:t> </w:t>
      </w:r>
      <w:r>
        <w:rPr/>
        <w:t>языком,</w:t>
      </w:r>
      <w:r>
        <w:rPr>
          <w:spacing w:val="40"/>
        </w:rPr>
        <w:t> </w:t>
      </w:r>
      <w:r>
        <w:rPr/>
        <w:t>оценивается</w:t>
      </w:r>
      <w:r>
        <w:rPr>
          <w:spacing w:val="40"/>
        </w:rPr>
        <w:t> </w:t>
      </w:r>
      <w:r>
        <w:rPr/>
        <w:t>специалистами</w:t>
      </w:r>
      <w:r>
        <w:rPr>
          <w:spacing w:val="40"/>
        </w:rPr>
        <w:t> </w:t>
      </w:r>
      <w:r>
        <w:rPr/>
        <w:t>в</w:t>
      </w:r>
      <w:r>
        <w:rPr>
          <w:spacing w:val="40"/>
        </w:rPr>
        <w:t> </w:t>
      </w:r>
      <w:r>
        <w:rPr/>
        <w:t>области русского языка как иностранного. Вторая группа потребностей,</w:t>
      </w:r>
      <w:r>
        <w:rPr>
          <w:spacing w:val="39"/>
        </w:rPr>
        <w:t> </w:t>
      </w:r>
      <w:r>
        <w:rPr/>
        <w:t>связанная с несоответствием</w:t>
      </w:r>
      <w:r>
        <w:rPr>
          <w:spacing w:val="40"/>
        </w:rPr>
        <w:t> </w:t>
      </w:r>
      <w:r>
        <w:rPr/>
        <w:t>уровня</w:t>
      </w:r>
      <w:r>
        <w:rPr>
          <w:spacing w:val="40"/>
        </w:rPr>
        <w:t> </w:t>
      </w:r>
      <w:r>
        <w:rPr/>
        <w:t>знаний,</w:t>
      </w:r>
      <w:r>
        <w:rPr>
          <w:spacing w:val="40"/>
        </w:rPr>
        <w:t> </w:t>
      </w:r>
      <w:r>
        <w:rPr/>
        <w:t>полученных</w:t>
      </w:r>
      <w:r>
        <w:rPr>
          <w:spacing w:val="40"/>
        </w:rPr>
        <w:t> </w:t>
      </w:r>
      <w:r>
        <w:rPr/>
        <w:t>в</w:t>
      </w:r>
      <w:r>
        <w:rPr>
          <w:spacing w:val="40"/>
        </w:rPr>
        <w:t> </w:t>
      </w:r>
      <w:r>
        <w:rPr/>
        <w:t>стране</w:t>
      </w:r>
      <w:r>
        <w:rPr>
          <w:spacing w:val="40"/>
        </w:rPr>
        <w:t> </w:t>
      </w:r>
      <w:r>
        <w:rPr/>
        <w:t>исхода,</w:t>
      </w:r>
      <w:r>
        <w:rPr>
          <w:spacing w:val="40"/>
        </w:rPr>
        <w:t> </w:t>
      </w:r>
      <w:r>
        <w:rPr/>
        <w:t>российским </w:t>
      </w:r>
      <w:r>
        <w:rPr>
          <w:spacing w:val="-2"/>
        </w:rPr>
        <w:t>образовательным</w:t>
      </w:r>
      <w:r>
        <w:rPr/>
        <w:tab/>
        <w:tab/>
        <w:tab/>
      </w:r>
      <w:r>
        <w:rPr>
          <w:spacing w:val="-2"/>
        </w:rPr>
        <w:t>стандартам,</w:t>
      </w:r>
      <w:r>
        <w:rPr/>
        <w:tab/>
      </w:r>
      <w:r>
        <w:rPr>
          <w:spacing w:val="-69"/>
        </w:rPr>
        <w:t> </w:t>
      </w:r>
      <w:r>
        <w:rPr>
          <w:spacing w:val="-2"/>
        </w:rPr>
        <w:t>оценивается</w:t>
      </w:r>
      <w:r>
        <w:rPr/>
        <w:tab/>
      </w:r>
      <w:r>
        <w:rPr>
          <w:spacing w:val="-2"/>
        </w:rPr>
        <w:t>педагогами-предметниками. </w:t>
      </w:r>
      <w:r>
        <w:rPr/>
        <w:t>Образовательные</w:t>
      </w:r>
      <w:r>
        <w:rPr>
          <w:spacing w:val="-11"/>
        </w:rPr>
        <w:t> </w:t>
      </w:r>
      <w:r>
        <w:rPr/>
        <w:t>потребности,</w:t>
      </w:r>
      <w:r>
        <w:rPr>
          <w:spacing w:val="-9"/>
        </w:rPr>
        <w:t> </w:t>
      </w:r>
      <w:r>
        <w:rPr/>
        <w:t>связанные</w:t>
      </w:r>
      <w:r>
        <w:rPr>
          <w:spacing w:val="-8"/>
        </w:rPr>
        <w:t> </w:t>
      </w:r>
      <w:r>
        <w:rPr/>
        <w:t>с</w:t>
      </w:r>
      <w:r>
        <w:rPr>
          <w:spacing w:val="-8"/>
        </w:rPr>
        <w:t> </w:t>
      </w:r>
      <w:r>
        <w:rPr/>
        <w:t>психологическим</w:t>
      </w:r>
      <w:r>
        <w:rPr>
          <w:spacing w:val="-8"/>
        </w:rPr>
        <w:t> </w:t>
      </w:r>
      <w:r>
        <w:rPr/>
        <w:t>благополучием, социальными</w:t>
      </w:r>
      <w:r>
        <w:rPr>
          <w:spacing w:val="40"/>
        </w:rPr>
        <w:t> </w:t>
      </w:r>
      <w:r>
        <w:rPr/>
        <w:t>навыками</w:t>
      </w:r>
      <w:r>
        <w:rPr>
          <w:spacing w:val="40"/>
        </w:rPr>
        <w:t> </w:t>
      </w:r>
      <w:r>
        <w:rPr/>
        <w:t>и</w:t>
      </w:r>
      <w:r>
        <w:rPr>
          <w:spacing w:val="40"/>
        </w:rPr>
        <w:t> </w:t>
      </w:r>
      <w:r>
        <w:rPr/>
        <w:t>культурной</w:t>
      </w:r>
      <w:r>
        <w:rPr>
          <w:spacing w:val="40"/>
        </w:rPr>
        <w:t> </w:t>
      </w:r>
      <w:r>
        <w:rPr/>
        <w:t>адаптацией,</w:t>
      </w:r>
      <w:r>
        <w:rPr>
          <w:spacing w:val="40"/>
        </w:rPr>
        <w:t> </w:t>
      </w:r>
      <w:r>
        <w:rPr/>
        <w:t>оцениваются</w:t>
      </w:r>
      <w:r>
        <w:rPr>
          <w:spacing w:val="40"/>
        </w:rPr>
        <w:t> </w:t>
      </w:r>
      <w:r>
        <w:rPr/>
        <w:t>педагогом- психологом,</w:t>
      </w:r>
      <w:r>
        <w:rPr>
          <w:spacing w:val="80"/>
        </w:rPr>
        <w:t> </w:t>
      </w:r>
      <w:r>
        <w:rPr/>
        <w:t>в</w:t>
      </w:r>
      <w:r>
        <w:rPr>
          <w:spacing w:val="80"/>
        </w:rPr>
        <w:t> </w:t>
      </w:r>
      <w:r>
        <w:rPr/>
        <w:t>отдельных</w:t>
      </w:r>
      <w:r>
        <w:rPr>
          <w:spacing w:val="80"/>
        </w:rPr>
        <w:t> </w:t>
      </w:r>
      <w:r>
        <w:rPr/>
        <w:t>случаях</w:t>
      </w:r>
      <w:r>
        <w:rPr>
          <w:spacing w:val="80"/>
        </w:rPr>
        <w:t> </w:t>
      </w:r>
      <w:r>
        <w:rPr/>
        <w:t>—</w:t>
      </w:r>
      <w:r>
        <w:rPr>
          <w:spacing w:val="80"/>
        </w:rPr>
        <w:t> </w:t>
      </w:r>
      <w:r>
        <w:rPr/>
        <w:t>социальным</w:t>
      </w:r>
      <w:r>
        <w:rPr>
          <w:spacing w:val="80"/>
        </w:rPr>
        <w:t> </w:t>
      </w:r>
      <w:r>
        <w:rPr/>
        <w:t>педагогом,</w:t>
      </w:r>
      <w:r>
        <w:rPr>
          <w:spacing w:val="80"/>
        </w:rPr>
        <w:t> </w:t>
      </w:r>
      <w:r>
        <w:rPr/>
        <w:t>имеющим соответствующую</w:t>
      </w:r>
      <w:r>
        <w:rPr>
          <w:spacing w:val="40"/>
        </w:rPr>
        <w:t> </w:t>
      </w:r>
      <w:r>
        <w:rPr/>
        <w:t>подготовку</w:t>
      </w:r>
      <w:r>
        <w:rPr>
          <w:spacing w:val="40"/>
        </w:rPr>
        <w:t> </w:t>
      </w:r>
      <w:r>
        <w:rPr/>
        <w:t>в</w:t>
      </w:r>
      <w:r>
        <w:rPr>
          <w:spacing w:val="40"/>
        </w:rPr>
        <w:t> </w:t>
      </w:r>
      <w:r>
        <w:rPr/>
        <w:t>рамках</w:t>
      </w:r>
      <w:r>
        <w:rPr>
          <w:spacing w:val="40"/>
        </w:rPr>
        <w:t> </w:t>
      </w:r>
      <w:r>
        <w:rPr/>
        <w:t>повышения</w:t>
      </w:r>
      <w:r>
        <w:rPr>
          <w:spacing w:val="40"/>
        </w:rPr>
        <w:t> </w:t>
      </w:r>
      <w:r>
        <w:rPr/>
        <w:t>квалификации.</w:t>
      </w:r>
      <w:r>
        <w:rPr>
          <w:spacing w:val="40"/>
        </w:rPr>
        <w:t> </w:t>
      </w:r>
      <w:r>
        <w:rPr/>
        <w:t>Именно данной</w:t>
      </w:r>
      <w:r>
        <w:rPr>
          <w:spacing w:val="-3"/>
        </w:rPr>
        <w:t> </w:t>
      </w:r>
      <w:r>
        <w:rPr/>
        <w:t>диагностике</w:t>
      </w:r>
      <w:r>
        <w:rPr>
          <w:spacing w:val="-2"/>
        </w:rPr>
        <w:t> </w:t>
      </w:r>
      <w:r>
        <w:rPr/>
        <w:t>посвящен текст настоящим методических</w:t>
      </w:r>
      <w:r>
        <w:rPr>
          <w:spacing w:val="-3"/>
        </w:rPr>
        <w:t> </w:t>
      </w:r>
      <w:r>
        <w:rPr/>
        <w:t>рекомендаций. </w:t>
      </w:r>
      <w:r>
        <w:rPr>
          <w:spacing w:val="-4"/>
        </w:rPr>
        <w:t>Для</w:t>
      </w:r>
      <w:r>
        <w:rPr/>
        <w:tab/>
      </w:r>
      <w:r>
        <w:rPr>
          <w:spacing w:val="-2"/>
        </w:rPr>
        <w:t>оценки</w:t>
      </w:r>
      <w:r>
        <w:rPr/>
        <w:tab/>
      </w:r>
      <w:r>
        <w:rPr>
          <w:spacing w:val="-2"/>
        </w:rPr>
        <w:t>образовательных</w:t>
      </w:r>
      <w:r>
        <w:rPr/>
        <w:tab/>
      </w:r>
      <w:r>
        <w:rPr>
          <w:spacing w:val="-2"/>
        </w:rPr>
        <w:t>потребностей,</w:t>
      </w:r>
      <w:r>
        <w:rPr/>
        <w:tab/>
      </w:r>
      <w:r>
        <w:rPr>
          <w:spacing w:val="-2"/>
        </w:rPr>
        <w:t>связанных</w:t>
      </w:r>
      <w:r>
        <w:rPr/>
        <w:tab/>
      </w:r>
      <w:r>
        <w:rPr>
          <w:spacing w:val="-10"/>
        </w:rPr>
        <w:t>с </w:t>
      </w:r>
      <w:r>
        <w:rPr/>
        <w:t>психологическим благополучием и культурной адаптацией, разработано два набора</w:t>
      </w:r>
      <w:r>
        <w:rPr>
          <w:spacing w:val="44"/>
        </w:rPr>
        <w:t> </w:t>
      </w:r>
      <w:r>
        <w:rPr/>
        <w:t>методик,</w:t>
      </w:r>
      <w:r>
        <w:rPr>
          <w:spacing w:val="45"/>
        </w:rPr>
        <w:t> </w:t>
      </w:r>
      <w:r>
        <w:rPr/>
        <w:t>составляющих</w:t>
      </w:r>
      <w:r>
        <w:rPr>
          <w:spacing w:val="47"/>
        </w:rPr>
        <w:t> </w:t>
      </w:r>
      <w:r>
        <w:rPr/>
        <w:t>базовый</w:t>
      </w:r>
      <w:r>
        <w:rPr>
          <w:spacing w:val="46"/>
        </w:rPr>
        <w:t> </w:t>
      </w:r>
      <w:r>
        <w:rPr/>
        <w:t>и</w:t>
      </w:r>
      <w:r>
        <w:rPr>
          <w:spacing w:val="46"/>
        </w:rPr>
        <w:t> </w:t>
      </w:r>
      <w:r>
        <w:rPr/>
        <w:t>расширенный</w:t>
      </w:r>
      <w:r>
        <w:rPr>
          <w:spacing w:val="46"/>
        </w:rPr>
        <w:t> </w:t>
      </w:r>
      <w:r>
        <w:rPr/>
        <w:t>наборы</w:t>
      </w:r>
      <w:r>
        <w:rPr>
          <w:spacing w:val="46"/>
        </w:rPr>
        <w:t> </w:t>
      </w:r>
      <w:r>
        <w:rPr/>
        <w:t>оценки,</w:t>
      </w:r>
      <w:r>
        <w:rPr>
          <w:spacing w:val="46"/>
        </w:rPr>
        <w:t> </w:t>
      </w:r>
      <w:r>
        <w:rPr>
          <w:spacing w:val="-10"/>
        </w:rPr>
        <w:t>в</w:t>
      </w:r>
    </w:p>
    <w:p>
      <w:pPr>
        <w:pStyle w:val="Heading4"/>
        <w:ind w:left="1702"/>
      </w:pPr>
      <w:r>
        <w:rPr/>
        <w:t>трех</w:t>
      </w:r>
      <w:r>
        <w:rPr>
          <w:spacing w:val="-4"/>
        </w:rPr>
        <w:t> </w:t>
      </w:r>
      <w:r>
        <w:rPr/>
        <w:t>вариантах</w:t>
      </w:r>
      <w:r>
        <w:rPr>
          <w:spacing w:val="-8"/>
        </w:rPr>
        <w:t> </w:t>
      </w:r>
      <w:r>
        <w:rPr/>
        <w:t>каждый:</w:t>
      </w:r>
      <w:r>
        <w:rPr>
          <w:spacing w:val="-6"/>
        </w:rPr>
        <w:t> </w:t>
      </w:r>
      <w:r>
        <w:rPr/>
        <w:t>для</w:t>
      </w:r>
      <w:r>
        <w:rPr>
          <w:spacing w:val="-5"/>
        </w:rPr>
        <w:t> </w:t>
      </w:r>
      <w:r>
        <w:rPr/>
        <w:t>начальной,</w:t>
      </w:r>
      <w:r>
        <w:rPr>
          <w:spacing w:val="-7"/>
        </w:rPr>
        <w:t> </w:t>
      </w:r>
      <w:r>
        <w:rPr/>
        <w:t>средней</w:t>
      </w:r>
      <w:r>
        <w:rPr>
          <w:spacing w:val="-5"/>
        </w:rPr>
        <w:t> </w:t>
      </w:r>
      <w:r>
        <w:rPr/>
        <w:t>и</w:t>
      </w:r>
      <w:r>
        <w:rPr>
          <w:spacing w:val="-4"/>
        </w:rPr>
        <w:t> </w:t>
      </w:r>
      <w:r>
        <w:rPr/>
        <w:t>старшей</w:t>
      </w:r>
      <w:r>
        <w:rPr>
          <w:spacing w:val="-7"/>
        </w:rPr>
        <w:t> </w:t>
      </w:r>
      <w:r>
        <w:rPr>
          <w:spacing w:val="-2"/>
        </w:rPr>
        <w:t>школы.</w:t>
      </w:r>
    </w:p>
    <w:p>
      <w:pPr>
        <w:pStyle w:val="Heading4"/>
        <w:spacing w:line="276" w:lineRule="auto" w:before="47"/>
        <w:ind w:left="1702" w:right="850" w:firstLine="566"/>
      </w:pPr>
      <w:r>
        <w:rPr/>
        <w:t>Для оценки образовательных потребностей, связанных с социальными навыками, в базовом наборе для всех трех ступеней используется единый инструмент, который в расширенном наборе дополняется наблюдением и </w:t>
      </w:r>
      <w:r>
        <w:rPr>
          <w:spacing w:val="-2"/>
        </w:rPr>
        <w:t>интервьюированием.</w:t>
      </w:r>
    </w:p>
    <w:p>
      <w:pPr>
        <w:pStyle w:val="Heading4"/>
        <w:spacing w:line="276" w:lineRule="auto"/>
        <w:ind w:left="1702" w:right="843" w:firstLine="566"/>
      </w:pPr>
      <w:r>
        <w:rPr/>
        <w:t>Базовый набор подходит для скрининговой диагностики, которая позволяет из группы обследованных выделить тех, кто с высокой долей вероятности испытывает затруднения в области адаптации.</w:t>
      </w:r>
      <w:r>
        <w:rPr>
          <w:spacing w:val="40"/>
        </w:rPr>
        <w:t> </w:t>
      </w:r>
      <w:r>
        <w:rPr/>
        <w:t>Он включает методики, проведение и обработка которых возможны в короткие сроки. Базовый набор позволяет сделать обоснованный вывод о психологическом благополучии, социальных навыках и культурной адаптации ребенка- мигранта. Рекомендуется для каждого ребенка-иностранного гражданина применять полный комплект методик базового набора из соответствующего перечня (см. ниже), поскольку это позволит в полной мере охарактеризовать его образовательные потребности в соответствующих областях.</w:t>
      </w:r>
    </w:p>
    <w:p>
      <w:pPr>
        <w:pStyle w:val="Heading4"/>
        <w:spacing w:line="276" w:lineRule="auto" w:before="1"/>
        <w:ind w:left="1702" w:right="850" w:firstLine="566"/>
      </w:pPr>
      <w:r>
        <w:rPr/>
        <w:t>В случае выявления у ребенка трудностей в ходе применения базового набора рекомендуется дополнить диагностику методиками из расширенного набора,</w:t>
      </w:r>
      <w:r>
        <w:rPr>
          <w:spacing w:val="45"/>
          <w:w w:val="150"/>
        </w:rPr>
        <w:t>  </w:t>
      </w:r>
      <w:r>
        <w:rPr/>
        <w:t>предоставляющего</w:t>
      </w:r>
      <w:r>
        <w:rPr>
          <w:spacing w:val="48"/>
          <w:w w:val="150"/>
        </w:rPr>
        <w:t>  </w:t>
      </w:r>
      <w:r>
        <w:rPr/>
        <w:t>возможность</w:t>
      </w:r>
      <w:r>
        <w:rPr>
          <w:spacing w:val="46"/>
          <w:w w:val="150"/>
        </w:rPr>
        <w:t>  </w:t>
      </w:r>
      <w:r>
        <w:rPr/>
        <w:t>для</w:t>
      </w:r>
      <w:r>
        <w:rPr>
          <w:spacing w:val="47"/>
          <w:w w:val="150"/>
        </w:rPr>
        <w:t>  </w:t>
      </w:r>
      <w:r>
        <w:rPr/>
        <w:t>более</w:t>
      </w:r>
      <w:r>
        <w:rPr>
          <w:spacing w:val="46"/>
          <w:w w:val="150"/>
        </w:rPr>
        <w:t>  </w:t>
      </w:r>
      <w:r>
        <w:rPr/>
        <w:t>углубленной</w:t>
      </w:r>
      <w:r>
        <w:rPr>
          <w:spacing w:val="47"/>
          <w:w w:val="150"/>
        </w:rPr>
        <w:t>  </w:t>
      </w:r>
      <w:r>
        <w:rPr>
          <w:spacing w:val="-10"/>
        </w:rPr>
        <w:t>и</w:t>
      </w:r>
    </w:p>
    <w:p>
      <w:pPr>
        <w:pStyle w:val="Heading4"/>
        <w:spacing w:after="0" w:line="276" w:lineRule="auto"/>
        <w:sectPr>
          <w:pgSz w:w="11910" w:h="16840"/>
          <w:pgMar w:header="0" w:footer="956" w:top="1040" w:bottom="1220" w:left="0" w:right="0"/>
        </w:sectPr>
      </w:pPr>
    </w:p>
    <w:p>
      <w:pPr>
        <w:pStyle w:val="Heading4"/>
        <w:spacing w:line="276" w:lineRule="auto" w:before="67"/>
        <w:ind w:left="1702" w:right="846"/>
      </w:pPr>
      <w:r>
        <w:rPr/>
        <w:t>дифференцированной оценки образовательных потребностей. Методики из расширенного набора могут применяться по отдельности в зависимости от того, какой именно параметр следует рассмотреть более детально и какие задачи</w:t>
      </w:r>
      <w:r>
        <w:rPr>
          <w:spacing w:val="-6"/>
        </w:rPr>
        <w:t> </w:t>
      </w:r>
      <w:r>
        <w:rPr/>
        <w:t>поставлены</w:t>
      </w:r>
      <w:r>
        <w:rPr>
          <w:spacing w:val="-9"/>
        </w:rPr>
        <w:t> </w:t>
      </w:r>
      <w:r>
        <w:rPr/>
        <w:t>психологом</w:t>
      </w:r>
      <w:r>
        <w:rPr>
          <w:spacing w:val="-6"/>
        </w:rPr>
        <w:t> </w:t>
      </w:r>
      <w:r>
        <w:rPr/>
        <w:t>(или</w:t>
      </w:r>
      <w:r>
        <w:rPr>
          <w:spacing w:val="-6"/>
        </w:rPr>
        <w:t> </w:t>
      </w:r>
      <w:r>
        <w:rPr/>
        <w:t>психолого-педагогическим</w:t>
      </w:r>
      <w:r>
        <w:rPr>
          <w:spacing w:val="-6"/>
        </w:rPr>
        <w:t> </w:t>
      </w:r>
      <w:r>
        <w:rPr/>
        <w:t>консилиумом перед проведением расширенной диагностики.</w:t>
      </w:r>
    </w:p>
    <w:p>
      <w:pPr>
        <w:pStyle w:val="Heading4"/>
        <w:spacing w:line="276" w:lineRule="auto" w:before="2"/>
        <w:ind w:left="1702" w:right="845" w:firstLine="566"/>
      </w:pPr>
      <w:r>
        <w:rPr/>
        <w:t>При оценке образовательных потребностей ребенка-иностранного гражданина необходимо выбирать методики, предназначенные для данного возрастного этапа. Если ребенок недостаточно владеет русским языком, можно</w:t>
      </w:r>
      <w:r>
        <w:rPr>
          <w:spacing w:val="-5"/>
        </w:rPr>
        <w:t> </w:t>
      </w:r>
      <w:r>
        <w:rPr/>
        <w:t>использовать</w:t>
      </w:r>
      <w:r>
        <w:rPr>
          <w:spacing w:val="-5"/>
        </w:rPr>
        <w:t> </w:t>
      </w:r>
      <w:r>
        <w:rPr/>
        <w:t>отдельные</w:t>
      </w:r>
      <w:r>
        <w:rPr>
          <w:spacing w:val="-5"/>
        </w:rPr>
        <w:t> </w:t>
      </w:r>
      <w:r>
        <w:rPr/>
        <w:t>методики,</w:t>
      </w:r>
      <w:r>
        <w:rPr>
          <w:spacing w:val="-8"/>
        </w:rPr>
        <w:t> </w:t>
      </w:r>
      <w:r>
        <w:rPr/>
        <w:t>предназначенные</w:t>
      </w:r>
      <w:r>
        <w:rPr>
          <w:spacing w:val="-5"/>
        </w:rPr>
        <w:t> </w:t>
      </w:r>
      <w:r>
        <w:rPr/>
        <w:t>для</w:t>
      </w:r>
      <w:r>
        <w:rPr>
          <w:spacing w:val="-7"/>
        </w:rPr>
        <w:t> </w:t>
      </w:r>
      <w:r>
        <w:rPr/>
        <w:t>более</w:t>
      </w:r>
      <w:r>
        <w:rPr>
          <w:spacing w:val="-7"/>
        </w:rPr>
        <w:t> </w:t>
      </w:r>
      <w:r>
        <w:rPr/>
        <w:t>ранней возрастной ступени. Даже в этом случае недопустимо упрощать формулировки или менять форму проведения диагностических методик, поскольку это часто становится причиной получения недостоверных сведений. В отдельных случаях имеет смысл воспользоваться помощью переводчика (специалиста или волонтера) при условии, что он не является членом семьи ребенка. В такой ситуации следует провести подробный инструктаж о правилах поведения при диагностике.</w:t>
      </w:r>
    </w:p>
    <w:p>
      <w:pPr>
        <w:pStyle w:val="Heading4"/>
        <w:spacing w:line="276" w:lineRule="auto"/>
        <w:ind w:left="1702" w:right="851" w:firstLine="566"/>
      </w:pPr>
      <w:r>
        <w:rPr/>
        <w:t>Проведение методики, входящих в базовый и расширенный наборы, описаны в главах 2-4 методических рекомендаций. Обращаем внимание, что сами методики, а также инструкции по их обработке приведены в </w:t>
      </w:r>
      <w:r>
        <w:rPr>
          <w:spacing w:val="-2"/>
        </w:rPr>
        <w:t>Инструментарии.</w:t>
      </w:r>
    </w:p>
    <w:p>
      <w:pPr>
        <w:pStyle w:val="Heading4"/>
        <w:spacing w:line="276" w:lineRule="auto" w:before="1"/>
        <w:ind w:left="1702" w:right="846" w:firstLine="566"/>
      </w:pPr>
      <w:r>
        <w:rPr/>
        <w:t>В главе 5 представлен подход к комплексному анализу результатов оценки особых образовательных потребностей ребенка-мигранта в сферах психологического благополучия, социальных навыков и культурной адаптации. Он построен на концепции уровневого анализа и по результатам диагностики позволяет отнести ребенка-иностранного гражданина к одному из профилей выраженности особых образовательных потребностей психологического благополучия, социальных навыков и культурной адаптации: дезадаптивному, смешанному и интеграционному.</w:t>
      </w:r>
    </w:p>
    <w:p>
      <w:pPr>
        <w:pStyle w:val="BodyText"/>
        <w:spacing w:before="49"/>
        <w:ind w:left="0" w:right="0" w:firstLine="0"/>
        <w:jc w:val="left"/>
        <w:rPr>
          <w:sz w:val="28"/>
        </w:rPr>
      </w:pPr>
    </w:p>
    <w:p>
      <w:pPr>
        <w:pStyle w:val="Heading4"/>
        <w:spacing w:line="276" w:lineRule="auto" w:before="1"/>
        <w:ind w:left="1702" w:right="846" w:firstLine="566"/>
      </w:pPr>
      <w:r>
        <w:rPr/>
        <w:t>При оценке особых (дополнительных) образовательных потребностей детей-иностранных граждан используются психодиагностические инструменты, которые применимы в работе как с самим ребенком, так и со взрослыми: педагогами и родителями. Диагностические мероприятия с ребенком проводятся в индивидуальной форме, об их организации сказано ниже.</w:t>
      </w:r>
      <w:r>
        <w:rPr>
          <w:spacing w:val="-18"/>
        </w:rPr>
        <w:t> </w:t>
      </w:r>
      <w:r>
        <w:rPr/>
        <w:t>Работу</w:t>
      </w:r>
      <w:r>
        <w:rPr>
          <w:spacing w:val="-17"/>
        </w:rPr>
        <w:t> </w:t>
      </w:r>
      <w:r>
        <w:rPr/>
        <w:t>с</w:t>
      </w:r>
      <w:r>
        <w:rPr>
          <w:spacing w:val="-18"/>
        </w:rPr>
        <w:t> </w:t>
      </w:r>
      <w:r>
        <w:rPr/>
        <w:t>методиками</w:t>
      </w:r>
      <w:r>
        <w:rPr>
          <w:spacing w:val="-17"/>
        </w:rPr>
        <w:t> </w:t>
      </w:r>
      <w:r>
        <w:rPr/>
        <w:t>базового</w:t>
      </w:r>
      <w:r>
        <w:rPr>
          <w:spacing w:val="-18"/>
        </w:rPr>
        <w:t> </w:t>
      </w:r>
      <w:r>
        <w:rPr/>
        <w:t>набора</w:t>
      </w:r>
      <w:r>
        <w:rPr>
          <w:spacing w:val="-17"/>
        </w:rPr>
        <w:t> </w:t>
      </w:r>
      <w:r>
        <w:rPr/>
        <w:t>можно</w:t>
      </w:r>
      <w:r>
        <w:rPr>
          <w:spacing w:val="-18"/>
        </w:rPr>
        <w:t> </w:t>
      </w:r>
      <w:r>
        <w:rPr/>
        <w:t>ограничить</w:t>
      </w:r>
      <w:r>
        <w:rPr>
          <w:spacing w:val="-17"/>
        </w:rPr>
        <w:t> </w:t>
      </w:r>
      <w:r>
        <w:rPr/>
        <w:t>рамками</w:t>
      </w:r>
      <w:r>
        <w:rPr>
          <w:spacing w:val="-18"/>
        </w:rPr>
        <w:t> </w:t>
      </w:r>
      <w:r>
        <w:rPr/>
        <w:t>одной встречи с ребенком. При необходимости использовать инструменты из расширенного набора нужно организовать вторую встречу.</w:t>
      </w:r>
    </w:p>
    <w:p>
      <w:pPr>
        <w:pStyle w:val="Heading4"/>
        <w:spacing w:line="276" w:lineRule="auto"/>
        <w:ind w:left="1702" w:right="853" w:firstLine="566"/>
      </w:pPr>
      <w:r>
        <w:rPr/>
        <w:t>Рассматривая кандидатуры педагогов, которые будут выступать в качестве</w:t>
      </w:r>
      <w:r>
        <w:rPr>
          <w:spacing w:val="22"/>
        </w:rPr>
        <w:t>  </w:t>
      </w:r>
      <w:r>
        <w:rPr/>
        <w:t>экспертов</w:t>
      </w:r>
      <w:r>
        <w:rPr>
          <w:spacing w:val="24"/>
        </w:rPr>
        <w:t>  </w:t>
      </w:r>
      <w:r>
        <w:rPr/>
        <w:t>при</w:t>
      </w:r>
      <w:r>
        <w:rPr>
          <w:spacing w:val="24"/>
        </w:rPr>
        <w:t>  </w:t>
      </w:r>
      <w:r>
        <w:rPr/>
        <w:t>оценке</w:t>
      </w:r>
      <w:r>
        <w:rPr>
          <w:spacing w:val="23"/>
        </w:rPr>
        <w:t>  </w:t>
      </w:r>
      <w:r>
        <w:rPr/>
        <w:t>образовательных</w:t>
      </w:r>
      <w:r>
        <w:rPr>
          <w:spacing w:val="25"/>
        </w:rPr>
        <w:t>  </w:t>
      </w:r>
      <w:r>
        <w:rPr/>
        <w:t>потребностей</w:t>
      </w:r>
      <w:r>
        <w:rPr>
          <w:spacing w:val="26"/>
        </w:rPr>
        <w:t>  </w:t>
      </w:r>
      <w:r>
        <w:rPr>
          <w:spacing w:val="-2"/>
        </w:rPr>
        <w:t>ребенка,</w:t>
      </w:r>
    </w:p>
    <w:p>
      <w:pPr>
        <w:pStyle w:val="Heading4"/>
        <w:spacing w:after="0" w:line="276" w:lineRule="auto"/>
        <w:sectPr>
          <w:pgSz w:w="11910" w:h="16840"/>
          <w:pgMar w:header="0" w:footer="956" w:top="1040" w:bottom="1220" w:left="0" w:right="0"/>
        </w:sectPr>
      </w:pPr>
    </w:p>
    <w:p>
      <w:pPr>
        <w:pStyle w:val="Heading4"/>
        <w:spacing w:line="276" w:lineRule="auto" w:before="67"/>
        <w:ind w:left="1702" w:right="849"/>
      </w:pPr>
      <w:r>
        <w:rPr/>
        <w:t>следует ориентироваться на частоту их взаимодействия с учеником. Для начальной школы это скорее всего классный руководитель (основной педагог), для средней и старшей — классный руководитель, учителя математики, русского языка и литературы. Для базовой оценки достаточно одного-двух педагогов, для расширенной желательно привлечь от двух до четырех специалистов.</w:t>
      </w:r>
    </w:p>
    <w:p>
      <w:pPr>
        <w:pStyle w:val="Heading4"/>
        <w:spacing w:line="276" w:lineRule="auto" w:before="1"/>
        <w:ind w:left="1702" w:right="840" w:firstLine="566"/>
      </w:pPr>
      <w:r>
        <w:rPr/>
        <w:t>Основным механизмом выработки и реализации индивидуальной стратегии сопровождения детей-иностранных граждан является психолого- педагогический консилиум, важной составляющей которого и становится оценка основных (дополнительных) потребностей ребенка. Рекомендуется в течение</w:t>
      </w:r>
      <w:r>
        <w:rPr>
          <w:spacing w:val="-18"/>
        </w:rPr>
        <w:t> </w:t>
      </w:r>
      <w:r>
        <w:rPr/>
        <w:t>учебного</w:t>
      </w:r>
      <w:r>
        <w:rPr>
          <w:spacing w:val="-16"/>
        </w:rPr>
        <w:t> </w:t>
      </w:r>
      <w:r>
        <w:rPr/>
        <w:t>года</w:t>
      </w:r>
      <w:r>
        <w:rPr>
          <w:spacing w:val="-17"/>
        </w:rPr>
        <w:t> </w:t>
      </w:r>
      <w:r>
        <w:rPr/>
        <w:t>провести</w:t>
      </w:r>
      <w:r>
        <w:rPr>
          <w:spacing w:val="-17"/>
        </w:rPr>
        <w:t> </w:t>
      </w:r>
      <w:r>
        <w:rPr/>
        <w:t>три</w:t>
      </w:r>
      <w:r>
        <w:rPr>
          <w:spacing w:val="-17"/>
        </w:rPr>
        <w:t> </w:t>
      </w:r>
      <w:r>
        <w:rPr/>
        <w:t>таких</w:t>
      </w:r>
      <w:r>
        <w:rPr>
          <w:spacing w:val="-16"/>
        </w:rPr>
        <w:t> </w:t>
      </w:r>
      <w:r>
        <w:rPr/>
        <w:t>консилиума.</w:t>
      </w:r>
      <w:r>
        <w:rPr>
          <w:spacing w:val="-18"/>
        </w:rPr>
        <w:t> </w:t>
      </w:r>
      <w:r>
        <w:rPr/>
        <w:t>Первичный</w:t>
      </w:r>
      <w:r>
        <w:rPr>
          <w:spacing w:val="-17"/>
        </w:rPr>
        <w:t> </w:t>
      </w:r>
      <w:r>
        <w:rPr/>
        <w:t>консилиум целесообразно проводить не ранее второй-третьей недели сентября и не позднее второй недели октября.</w:t>
      </w:r>
    </w:p>
    <w:p>
      <w:pPr>
        <w:pStyle w:val="Heading4"/>
        <w:spacing w:line="276" w:lineRule="auto" w:before="1"/>
        <w:ind w:left="1702" w:right="843" w:firstLine="566"/>
      </w:pPr>
      <w:r>
        <w:rPr/>
        <w:t>Первичный консилиум предполагает общий анализ особых образовательных</w:t>
      </w:r>
      <w:r>
        <w:rPr>
          <w:spacing w:val="-18"/>
        </w:rPr>
        <w:t> </w:t>
      </w:r>
      <w:r>
        <w:rPr/>
        <w:t>потребностей</w:t>
      </w:r>
      <w:r>
        <w:rPr>
          <w:spacing w:val="-17"/>
        </w:rPr>
        <w:t> </w:t>
      </w:r>
      <w:r>
        <w:rPr/>
        <w:t>детей-иностранных</w:t>
      </w:r>
      <w:r>
        <w:rPr>
          <w:spacing w:val="-18"/>
        </w:rPr>
        <w:t> </w:t>
      </w:r>
      <w:r>
        <w:rPr/>
        <w:t>граждан,</w:t>
      </w:r>
      <w:r>
        <w:rPr>
          <w:spacing w:val="-17"/>
        </w:rPr>
        <w:t> </w:t>
      </w:r>
      <w:r>
        <w:rPr/>
        <w:t>выявление</w:t>
      </w:r>
      <w:r>
        <w:rPr>
          <w:spacing w:val="-18"/>
        </w:rPr>
        <w:t> </w:t>
      </w:r>
      <w:r>
        <w:rPr/>
        <w:t>детей, нуждающихся в адресной поддержке, и выработку общей стратегии индивидуального сопровождения каждого такого учащегося. Список обучающихся</w:t>
      </w:r>
      <w:r>
        <w:rPr>
          <w:spacing w:val="-11"/>
        </w:rPr>
        <w:t> </w:t>
      </w:r>
      <w:r>
        <w:rPr/>
        <w:t>для</w:t>
      </w:r>
      <w:r>
        <w:rPr>
          <w:spacing w:val="-8"/>
        </w:rPr>
        <w:t> </w:t>
      </w:r>
      <w:r>
        <w:rPr/>
        <w:t>обсуждения</w:t>
      </w:r>
      <w:r>
        <w:rPr>
          <w:spacing w:val="-11"/>
        </w:rPr>
        <w:t> </w:t>
      </w:r>
      <w:r>
        <w:rPr/>
        <w:t>на</w:t>
      </w:r>
      <w:r>
        <w:rPr>
          <w:spacing w:val="-9"/>
        </w:rPr>
        <w:t> </w:t>
      </w:r>
      <w:r>
        <w:rPr/>
        <w:t>консилиуме</w:t>
      </w:r>
      <w:r>
        <w:rPr>
          <w:spacing w:val="-9"/>
        </w:rPr>
        <w:t> </w:t>
      </w:r>
      <w:r>
        <w:rPr/>
        <w:t>готовит</w:t>
      </w:r>
      <w:r>
        <w:rPr>
          <w:spacing w:val="-9"/>
        </w:rPr>
        <w:t> </w:t>
      </w:r>
      <w:r>
        <w:rPr/>
        <w:t>классный</w:t>
      </w:r>
      <w:r>
        <w:rPr>
          <w:spacing w:val="-8"/>
        </w:rPr>
        <w:t> </w:t>
      </w:r>
      <w:r>
        <w:rPr/>
        <w:t>руководитель совместно с социальным педагогом и педагогом-психологом под руководством представителя администрации. Туда могут входить недавно прибывшие</w:t>
      </w:r>
      <w:r>
        <w:rPr>
          <w:spacing w:val="-18"/>
        </w:rPr>
        <w:t> </w:t>
      </w:r>
      <w:r>
        <w:rPr/>
        <w:t>или</w:t>
      </w:r>
      <w:r>
        <w:rPr>
          <w:spacing w:val="-17"/>
        </w:rPr>
        <w:t> </w:t>
      </w:r>
      <w:r>
        <w:rPr/>
        <w:t>только</w:t>
      </w:r>
      <w:r>
        <w:rPr>
          <w:spacing w:val="-18"/>
        </w:rPr>
        <w:t> </w:t>
      </w:r>
      <w:r>
        <w:rPr/>
        <w:t>поступившие</w:t>
      </w:r>
      <w:r>
        <w:rPr>
          <w:spacing w:val="-17"/>
        </w:rPr>
        <w:t> </w:t>
      </w:r>
      <w:r>
        <w:rPr/>
        <w:t>в</w:t>
      </w:r>
      <w:r>
        <w:rPr>
          <w:spacing w:val="-18"/>
        </w:rPr>
        <w:t> </w:t>
      </w:r>
      <w:r>
        <w:rPr/>
        <w:t>школу</w:t>
      </w:r>
      <w:r>
        <w:rPr>
          <w:spacing w:val="-17"/>
        </w:rPr>
        <w:t> </w:t>
      </w:r>
      <w:r>
        <w:rPr/>
        <w:t>обучающиеся-мигранты,</w:t>
      </w:r>
      <w:r>
        <w:rPr>
          <w:spacing w:val="-18"/>
        </w:rPr>
        <w:t> </w:t>
      </w:r>
      <w:r>
        <w:rPr/>
        <w:t>а</w:t>
      </w:r>
      <w:r>
        <w:rPr>
          <w:spacing w:val="-17"/>
        </w:rPr>
        <w:t> </w:t>
      </w:r>
      <w:r>
        <w:rPr/>
        <w:t>также те, кто уже обучается в школе, но демонстрирует недостаточную учебную успешность или имеет поведенческие трудности.</w:t>
      </w:r>
    </w:p>
    <w:p>
      <w:pPr>
        <w:pStyle w:val="Heading4"/>
        <w:spacing w:before="1"/>
        <w:ind w:left="2268"/>
      </w:pPr>
      <w:r>
        <w:rPr/>
        <w:t>Итак,</w:t>
      </w:r>
      <w:r>
        <w:rPr>
          <w:spacing w:val="-7"/>
        </w:rPr>
        <w:t> </w:t>
      </w:r>
      <w:r>
        <w:rPr/>
        <w:t>в</w:t>
      </w:r>
      <w:r>
        <w:rPr>
          <w:spacing w:val="-5"/>
        </w:rPr>
        <w:t> </w:t>
      </w:r>
      <w:r>
        <w:rPr/>
        <w:t>консилиуме</w:t>
      </w:r>
      <w:r>
        <w:rPr>
          <w:spacing w:val="-4"/>
        </w:rPr>
        <w:t> </w:t>
      </w:r>
      <w:r>
        <w:rPr/>
        <w:t>принимают</w:t>
      </w:r>
      <w:r>
        <w:rPr>
          <w:spacing w:val="-4"/>
        </w:rPr>
        <w:t> </w:t>
      </w:r>
      <w:r>
        <w:rPr>
          <w:spacing w:val="-2"/>
        </w:rPr>
        <w:t>участие:</w:t>
      </w:r>
    </w:p>
    <w:p>
      <w:pPr>
        <w:pStyle w:val="Heading4"/>
        <w:numPr>
          <w:ilvl w:val="0"/>
          <w:numId w:val="6"/>
        </w:numPr>
        <w:tabs>
          <w:tab w:pos="3402" w:val="left" w:leader="none"/>
        </w:tabs>
        <w:spacing w:line="240" w:lineRule="auto" w:before="47" w:after="0"/>
        <w:ind w:left="3402" w:right="0" w:hanging="359"/>
        <w:jc w:val="left"/>
      </w:pPr>
      <w:r>
        <w:rPr/>
        <w:t>представитель</w:t>
      </w:r>
      <w:r>
        <w:rPr>
          <w:spacing w:val="-14"/>
        </w:rPr>
        <w:t> </w:t>
      </w:r>
      <w:r>
        <w:rPr>
          <w:spacing w:val="-2"/>
        </w:rPr>
        <w:t>администрации;</w:t>
      </w:r>
    </w:p>
    <w:p>
      <w:pPr>
        <w:pStyle w:val="Heading4"/>
        <w:numPr>
          <w:ilvl w:val="0"/>
          <w:numId w:val="6"/>
        </w:numPr>
        <w:tabs>
          <w:tab w:pos="3402" w:val="left" w:leader="none"/>
        </w:tabs>
        <w:spacing w:line="240" w:lineRule="auto" w:before="35" w:after="0"/>
        <w:ind w:left="3402" w:right="0" w:hanging="359"/>
        <w:jc w:val="left"/>
      </w:pPr>
      <w:r>
        <w:rPr/>
        <w:t>классный</w:t>
      </w:r>
      <w:r>
        <w:rPr>
          <w:spacing w:val="-10"/>
        </w:rPr>
        <w:t> </w:t>
      </w:r>
      <w:r>
        <w:rPr>
          <w:spacing w:val="-2"/>
        </w:rPr>
        <w:t>руководитель;</w:t>
      </w:r>
    </w:p>
    <w:p>
      <w:pPr>
        <w:pStyle w:val="Heading4"/>
        <w:numPr>
          <w:ilvl w:val="0"/>
          <w:numId w:val="6"/>
        </w:numPr>
        <w:tabs>
          <w:tab w:pos="3402" w:val="left" w:leader="none"/>
        </w:tabs>
        <w:spacing w:line="240" w:lineRule="auto" w:before="33" w:after="0"/>
        <w:ind w:left="3402" w:right="0" w:hanging="359"/>
        <w:jc w:val="left"/>
      </w:pPr>
      <w:r>
        <w:rPr/>
        <w:t>учителя-предметники,</w:t>
      </w:r>
      <w:r>
        <w:rPr>
          <w:spacing w:val="-8"/>
        </w:rPr>
        <w:t> </w:t>
      </w:r>
      <w:r>
        <w:rPr/>
        <w:t>учитель</w:t>
      </w:r>
      <w:r>
        <w:rPr>
          <w:spacing w:val="-7"/>
        </w:rPr>
        <w:t> </w:t>
      </w:r>
      <w:r>
        <w:rPr/>
        <w:t>русского</w:t>
      </w:r>
      <w:r>
        <w:rPr>
          <w:spacing w:val="-7"/>
        </w:rPr>
        <w:t> </w:t>
      </w:r>
      <w:r>
        <w:rPr/>
        <w:t>языка,</w:t>
      </w:r>
      <w:r>
        <w:rPr>
          <w:spacing w:val="-7"/>
        </w:rPr>
        <w:t> </w:t>
      </w:r>
      <w:r>
        <w:rPr/>
        <w:t>учитель</w:t>
      </w:r>
      <w:r>
        <w:rPr>
          <w:spacing w:val="-7"/>
        </w:rPr>
        <w:t> </w:t>
      </w:r>
      <w:r>
        <w:rPr>
          <w:spacing w:val="-4"/>
        </w:rPr>
        <w:t>РКИ;</w:t>
      </w:r>
    </w:p>
    <w:p>
      <w:pPr>
        <w:pStyle w:val="Heading4"/>
        <w:numPr>
          <w:ilvl w:val="0"/>
          <w:numId w:val="6"/>
        </w:numPr>
        <w:tabs>
          <w:tab w:pos="3402" w:val="left" w:leader="none"/>
        </w:tabs>
        <w:spacing w:line="240" w:lineRule="auto" w:before="35" w:after="0"/>
        <w:ind w:left="3402" w:right="0" w:hanging="359"/>
        <w:jc w:val="left"/>
      </w:pPr>
      <w:r>
        <w:rPr/>
        <w:t>педагог-психолог</w:t>
      </w:r>
      <w:r>
        <w:rPr>
          <w:spacing w:val="-8"/>
        </w:rPr>
        <w:t> </w:t>
      </w:r>
      <w:r>
        <w:rPr/>
        <w:t>и</w:t>
      </w:r>
      <w:r>
        <w:rPr>
          <w:spacing w:val="-9"/>
        </w:rPr>
        <w:t> </w:t>
      </w:r>
      <w:r>
        <w:rPr/>
        <w:t>социальный</w:t>
      </w:r>
      <w:r>
        <w:rPr>
          <w:spacing w:val="-7"/>
        </w:rPr>
        <w:t> </w:t>
      </w:r>
      <w:r>
        <w:rPr>
          <w:spacing w:val="-2"/>
        </w:rPr>
        <w:t>педагог.</w:t>
      </w:r>
    </w:p>
    <w:p>
      <w:pPr>
        <w:pStyle w:val="Heading4"/>
        <w:spacing w:line="276" w:lineRule="auto" w:before="33"/>
        <w:ind w:left="1702" w:right="846" w:firstLine="566"/>
      </w:pPr>
      <w:r>
        <w:rPr/>
        <w:t>Для</w:t>
      </w:r>
      <w:r>
        <w:rPr>
          <w:spacing w:val="-17"/>
        </w:rPr>
        <w:t> </w:t>
      </w:r>
      <w:r>
        <w:rPr/>
        <w:t>подготовки</w:t>
      </w:r>
      <w:r>
        <w:rPr>
          <w:spacing w:val="-16"/>
        </w:rPr>
        <w:t> </w:t>
      </w:r>
      <w:r>
        <w:rPr/>
        <w:t>к</w:t>
      </w:r>
      <w:r>
        <w:rPr>
          <w:spacing w:val="-17"/>
        </w:rPr>
        <w:t> </w:t>
      </w:r>
      <w:r>
        <w:rPr/>
        <w:t>консилиуму</w:t>
      </w:r>
      <w:r>
        <w:rPr>
          <w:spacing w:val="-18"/>
        </w:rPr>
        <w:t> </w:t>
      </w:r>
      <w:r>
        <w:rPr/>
        <w:t>учителя-предметники</w:t>
      </w:r>
      <w:r>
        <w:rPr>
          <w:spacing w:val="-16"/>
        </w:rPr>
        <w:t> </w:t>
      </w:r>
      <w:r>
        <w:rPr/>
        <w:t>анализируют</w:t>
      </w:r>
      <w:r>
        <w:rPr>
          <w:spacing w:val="-17"/>
        </w:rPr>
        <w:t> </w:t>
      </w:r>
      <w:r>
        <w:rPr/>
        <w:t>особые (дополнительные) образовательные потребности ребенка, связанные с русским языком и уровнем знаний; классный руководитель и социальный педагог собирают общую информацию о семейной ситуации и истории развития. Педагог-психолог проводит оценку особых (дополнительных) образовательных потребностей ребенка, связанных с психологическим благополучием, социальными навыками и культурной адаптацией.</w:t>
      </w:r>
    </w:p>
    <w:p>
      <w:pPr>
        <w:pStyle w:val="Heading4"/>
        <w:spacing w:line="276" w:lineRule="auto" w:before="1"/>
        <w:ind w:left="1702" w:right="844" w:firstLine="566"/>
      </w:pPr>
      <w:r>
        <w:rPr/>
        <w:t>В ходе консилиума проводится обсуждение образовательных потребностей каждого ребенка. По итогам консилиума составляется список детей-иностранных граждан, нуждающихся в индивидуальном сопровождении,</w:t>
      </w:r>
      <w:r>
        <w:rPr>
          <w:spacing w:val="78"/>
        </w:rPr>
        <w:t>  </w:t>
      </w:r>
      <w:r>
        <w:rPr/>
        <w:t>и</w:t>
      </w:r>
      <w:r>
        <w:rPr>
          <w:spacing w:val="78"/>
        </w:rPr>
        <w:t>  </w:t>
      </w:r>
      <w:r>
        <w:rPr/>
        <w:t>разрабатывается</w:t>
      </w:r>
      <w:r>
        <w:rPr>
          <w:spacing w:val="78"/>
        </w:rPr>
        <w:t>  </w:t>
      </w:r>
      <w:r>
        <w:rPr/>
        <w:t>план</w:t>
      </w:r>
      <w:r>
        <w:rPr>
          <w:spacing w:val="45"/>
          <w:w w:val="150"/>
        </w:rPr>
        <w:t>  </w:t>
      </w:r>
      <w:r>
        <w:rPr/>
        <w:t>такого</w:t>
      </w:r>
      <w:r>
        <w:rPr>
          <w:spacing w:val="79"/>
        </w:rPr>
        <w:t>  </w:t>
      </w:r>
      <w:r>
        <w:rPr/>
        <w:t>сопровождения.</w:t>
      </w:r>
      <w:r>
        <w:rPr>
          <w:spacing w:val="45"/>
          <w:w w:val="150"/>
        </w:rPr>
        <w:t>  </w:t>
      </w:r>
      <w:r>
        <w:rPr>
          <w:spacing w:val="-10"/>
        </w:rPr>
        <w:t>В</w:t>
      </w:r>
    </w:p>
    <w:p>
      <w:pPr>
        <w:pStyle w:val="Heading4"/>
        <w:spacing w:after="0" w:line="276" w:lineRule="auto"/>
        <w:sectPr>
          <w:pgSz w:w="11910" w:h="16840"/>
          <w:pgMar w:header="0" w:footer="956" w:top="1040" w:bottom="1200" w:left="0" w:right="0"/>
        </w:sectPr>
      </w:pPr>
    </w:p>
    <w:p>
      <w:pPr>
        <w:pStyle w:val="Heading4"/>
        <w:spacing w:line="276" w:lineRule="auto" w:before="67"/>
        <w:ind w:left="1702" w:right="844"/>
      </w:pPr>
      <w:r>
        <w:rPr/>
        <w:t>зависимости от количества детей-иностранных граждан в образовательной организации может проводиться как один подобный консилиум, так и несколько (например, по различным ступеням обучения).</w:t>
      </w:r>
    </w:p>
    <w:p>
      <w:pPr>
        <w:pStyle w:val="Heading4"/>
        <w:spacing w:line="276" w:lineRule="auto" w:before="1"/>
        <w:ind w:left="1702" w:right="852" w:firstLine="566"/>
      </w:pPr>
      <w:r>
        <w:rPr/>
        <w:t>Второй консилиум целесообразно провести в конце декабря. Он предназначен для анализа текущей работы и внесения необходимых </w:t>
      </w:r>
      <w:r>
        <w:rPr>
          <w:spacing w:val="-2"/>
        </w:rPr>
        <w:t>корректировок.</w:t>
      </w:r>
    </w:p>
    <w:p>
      <w:pPr>
        <w:pStyle w:val="Heading4"/>
        <w:spacing w:line="276" w:lineRule="auto"/>
        <w:ind w:left="1702" w:right="855" w:firstLine="566"/>
      </w:pPr>
      <w:r>
        <w:rPr/>
        <w:t>Третий консилиум проводится в конце учебного года и предполагает анализ проделанной работы и оценку ее эффективности.</w:t>
      </w:r>
    </w:p>
    <w:p>
      <w:pPr>
        <w:pStyle w:val="Heading4"/>
        <w:spacing w:line="276" w:lineRule="auto" w:before="1"/>
        <w:ind w:left="1702" w:right="844" w:firstLine="566"/>
      </w:pPr>
      <w:r>
        <w:rPr/>
        <w:t>Подготовка ко второму и третьему консилиуму включает мониторинг удовлетворенности</w:t>
      </w:r>
      <w:r>
        <w:rPr>
          <w:spacing w:val="-4"/>
        </w:rPr>
        <w:t> </w:t>
      </w:r>
      <w:r>
        <w:rPr/>
        <w:t>особых</w:t>
      </w:r>
      <w:r>
        <w:rPr>
          <w:spacing w:val="-3"/>
        </w:rPr>
        <w:t> </w:t>
      </w:r>
      <w:r>
        <w:rPr/>
        <w:t>(дополнительных)</w:t>
      </w:r>
      <w:r>
        <w:rPr>
          <w:spacing w:val="-3"/>
        </w:rPr>
        <w:t> </w:t>
      </w:r>
      <w:r>
        <w:rPr/>
        <w:t>образовательных</w:t>
      </w:r>
      <w:r>
        <w:rPr>
          <w:spacing w:val="-3"/>
        </w:rPr>
        <w:t> </w:t>
      </w:r>
      <w:r>
        <w:rPr/>
        <w:t>потребностей </w:t>
      </w:r>
      <w:r>
        <w:rPr>
          <w:spacing w:val="-2"/>
        </w:rPr>
        <w:t>ребенка.</w:t>
      </w:r>
    </w:p>
    <w:p>
      <w:pPr>
        <w:pStyle w:val="BodyText"/>
        <w:spacing w:before="49"/>
        <w:ind w:left="0" w:right="0" w:firstLine="0"/>
        <w:jc w:val="left"/>
        <w:rPr>
          <w:sz w:val="28"/>
        </w:rPr>
      </w:pPr>
    </w:p>
    <w:p>
      <w:pPr>
        <w:pStyle w:val="Heading4"/>
        <w:spacing w:line="276" w:lineRule="auto"/>
        <w:ind w:left="1702" w:right="853" w:firstLine="566"/>
      </w:pPr>
      <w:r>
        <w:rPr/>
        <w:t>Организация диагностической встречи с ребенком имеет ряд методических особенностей.</w:t>
      </w:r>
    </w:p>
    <w:p>
      <w:pPr>
        <w:pStyle w:val="Heading4"/>
        <w:spacing w:line="276" w:lineRule="auto"/>
        <w:ind w:left="1702" w:right="848" w:firstLine="566"/>
      </w:pPr>
      <w:r>
        <w:rPr/>
        <w:t>Установление контакта с ребенком является важным условием эффективности и первым этапом диагностического обследования. Оно имеет две цели: повысить мотивацию ребенка на обследование и снизить тревожность. Установление контакта предполагает знакомство психолога с ребенком и беседу с ним в начале диагностической встречи.</w:t>
      </w:r>
    </w:p>
    <w:p>
      <w:pPr>
        <w:pStyle w:val="Heading4"/>
        <w:spacing w:line="276" w:lineRule="auto"/>
        <w:ind w:left="1702" w:right="840" w:firstLine="566"/>
      </w:pPr>
      <w:r>
        <w:rPr/>
        <w:t>Педагогу-психологу крайне желательно познакомиться с ребенком- мигрантом заблаговременно. При первичном знакомстве с ребенком и его семьей рекомендуется узнать:</w:t>
      </w:r>
    </w:p>
    <w:p>
      <w:pPr>
        <w:pStyle w:val="Heading4"/>
        <w:numPr>
          <w:ilvl w:val="0"/>
          <w:numId w:val="6"/>
        </w:numPr>
        <w:tabs>
          <w:tab w:pos="3402" w:val="left" w:leader="none"/>
        </w:tabs>
        <w:spacing w:line="240" w:lineRule="auto" w:before="0" w:after="0"/>
        <w:ind w:left="3402" w:right="0" w:hanging="359"/>
        <w:jc w:val="both"/>
      </w:pPr>
      <w:r>
        <w:rPr>
          <w:spacing w:val="-2"/>
        </w:rPr>
        <w:t>Как</w:t>
      </w:r>
      <w:r>
        <w:rPr>
          <w:spacing w:val="-10"/>
        </w:rPr>
        <w:t> </w:t>
      </w:r>
      <w:r>
        <w:rPr>
          <w:spacing w:val="-2"/>
        </w:rPr>
        <w:t>правильно</w:t>
      </w:r>
      <w:r>
        <w:rPr>
          <w:spacing w:val="-11"/>
        </w:rPr>
        <w:t> </w:t>
      </w:r>
      <w:r>
        <w:rPr>
          <w:spacing w:val="-2"/>
        </w:rPr>
        <w:t>произносить</w:t>
      </w:r>
      <w:r>
        <w:rPr>
          <w:spacing w:val="-9"/>
        </w:rPr>
        <w:t> </w:t>
      </w:r>
      <w:r>
        <w:rPr>
          <w:spacing w:val="-2"/>
        </w:rPr>
        <w:t>имя</w:t>
      </w:r>
      <w:r>
        <w:rPr>
          <w:spacing w:val="-10"/>
        </w:rPr>
        <w:t> </w:t>
      </w:r>
      <w:r>
        <w:rPr>
          <w:spacing w:val="-2"/>
        </w:rPr>
        <w:t>ребенка</w:t>
      </w:r>
      <w:r>
        <w:rPr>
          <w:spacing w:val="-10"/>
        </w:rPr>
        <w:t> </w:t>
      </w:r>
      <w:r>
        <w:rPr>
          <w:spacing w:val="-2"/>
        </w:rPr>
        <w:t>и</w:t>
      </w:r>
      <w:r>
        <w:rPr>
          <w:spacing w:val="-8"/>
        </w:rPr>
        <w:t> </w:t>
      </w:r>
      <w:r>
        <w:rPr>
          <w:spacing w:val="-2"/>
        </w:rPr>
        <w:t>имена</w:t>
      </w:r>
      <w:r>
        <w:rPr>
          <w:spacing w:val="-11"/>
        </w:rPr>
        <w:t> </w:t>
      </w:r>
      <w:r>
        <w:rPr>
          <w:spacing w:val="-2"/>
        </w:rPr>
        <w:t>его</w:t>
      </w:r>
      <w:r>
        <w:rPr>
          <w:spacing w:val="-10"/>
        </w:rPr>
        <w:t> </w:t>
      </w:r>
      <w:r>
        <w:rPr>
          <w:spacing w:val="-2"/>
        </w:rPr>
        <w:t>родителей?</w:t>
      </w:r>
    </w:p>
    <w:p>
      <w:pPr>
        <w:pStyle w:val="Heading4"/>
        <w:numPr>
          <w:ilvl w:val="0"/>
          <w:numId w:val="6"/>
        </w:numPr>
        <w:tabs>
          <w:tab w:pos="3403" w:val="left" w:leader="none"/>
        </w:tabs>
        <w:spacing w:line="264" w:lineRule="auto" w:before="33" w:after="0"/>
        <w:ind w:left="3403" w:right="851" w:hanging="360"/>
        <w:jc w:val="both"/>
      </w:pPr>
      <w:r>
        <w:rPr/>
        <w:t>Какими языками ребенок владеет и каков уровень его владения этими языками?</w:t>
      </w:r>
    </w:p>
    <w:p>
      <w:pPr>
        <w:pStyle w:val="Heading4"/>
        <w:numPr>
          <w:ilvl w:val="0"/>
          <w:numId w:val="6"/>
        </w:numPr>
        <w:tabs>
          <w:tab w:pos="3403" w:val="left" w:leader="none"/>
        </w:tabs>
        <w:spacing w:line="264" w:lineRule="auto" w:before="16" w:after="0"/>
        <w:ind w:left="3403" w:right="843" w:hanging="360"/>
        <w:jc w:val="both"/>
      </w:pPr>
      <w:r>
        <w:rPr/>
        <w:t>Какова миграционная история семьи: где ребенок родился, в каком возрасте переехал в регион нынешнего пребывания?</w:t>
      </w:r>
    </w:p>
    <w:p>
      <w:pPr>
        <w:pStyle w:val="BodyText"/>
        <w:spacing w:before="65"/>
        <w:ind w:left="0" w:right="0" w:firstLine="0"/>
        <w:jc w:val="left"/>
        <w:rPr>
          <w:sz w:val="28"/>
        </w:rPr>
      </w:pPr>
    </w:p>
    <w:p>
      <w:pPr>
        <w:pStyle w:val="Heading4"/>
        <w:spacing w:line="276" w:lineRule="auto"/>
        <w:ind w:left="1702" w:right="846" w:firstLine="566"/>
      </w:pPr>
      <w:r>
        <w:rPr/>
        <w:t>Прежде всего, диагностическое обследование требует обеспечения условий для диагностики: подготовку тестового материала и необходимого оборудования, а также устранение возможных помех и постороннего вмешательства. Диагностическую встречу следует запланировать таким образом, чтобы и у ребенка, и у психолога был достаточный ресурс времени. Очень важно обеспечить конфиденциальность общения и изолированность того помещения, где проводится диагностика: предупредить коллег по необходимости</w:t>
      </w:r>
      <w:r>
        <w:rPr>
          <w:spacing w:val="-18"/>
        </w:rPr>
        <w:t> </w:t>
      </w:r>
      <w:r>
        <w:rPr/>
        <w:t>повесить</w:t>
      </w:r>
      <w:r>
        <w:rPr>
          <w:spacing w:val="-17"/>
        </w:rPr>
        <w:t> </w:t>
      </w:r>
      <w:r>
        <w:rPr/>
        <w:t>на</w:t>
      </w:r>
      <w:r>
        <w:rPr>
          <w:spacing w:val="-18"/>
        </w:rPr>
        <w:t> </w:t>
      </w:r>
      <w:r>
        <w:rPr/>
        <w:t>дверь</w:t>
      </w:r>
      <w:r>
        <w:rPr>
          <w:spacing w:val="-17"/>
        </w:rPr>
        <w:t> </w:t>
      </w:r>
      <w:r>
        <w:rPr/>
        <w:t>табличку</w:t>
      </w:r>
      <w:r>
        <w:rPr>
          <w:spacing w:val="-18"/>
        </w:rPr>
        <w:t> </w:t>
      </w:r>
      <w:r>
        <w:rPr/>
        <w:t>«Спасибо,</w:t>
      </w:r>
      <w:r>
        <w:rPr>
          <w:spacing w:val="-17"/>
        </w:rPr>
        <w:t> </w:t>
      </w:r>
      <w:r>
        <w:rPr/>
        <w:t>что</w:t>
      </w:r>
      <w:r>
        <w:rPr>
          <w:spacing w:val="-18"/>
        </w:rPr>
        <w:t> </w:t>
      </w:r>
      <w:r>
        <w:rPr/>
        <w:t>вы</w:t>
      </w:r>
      <w:r>
        <w:rPr>
          <w:spacing w:val="-17"/>
        </w:rPr>
        <w:t> </w:t>
      </w:r>
      <w:r>
        <w:rPr/>
        <w:t>не</w:t>
      </w:r>
      <w:r>
        <w:rPr>
          <w:spacing w:val="-18"/>
        </w:rPr>
        <w:t> </w:t>
      </w:r>
      <w:r>
        <w:rPr/>
        <w:t>мешаете:</w:t>
      </w:r>
      <w:r>
        <w:rPr>
          <w:spacing w:val="-17"/>
        </w:rPr>
        <w:t> </w:t>
      </w:r>
      <w:r>
        <w:rPr/>
        <w:t>идет консультация» и пр. Внимание к подобным деталям значительно повышает точность диагностики.</w:t>
      </w:r>
    </w:p>
    <w:p>
      <w:pPr>
        <w:pStyle w:val="Heading4"/>
        <w:spacing w:after="0" w:line="276" w:lineRule="auto"/>
        <w:sectPr>
          <w:pgSz w:w="11910" w:h="16840"/>
          <w:pgMar w:header="0" w:footer="956" w:top="1040" w:bottom="1220" w:left="0" w:right="0"/>
        </w:sectPr>
      </w:pPr>
    </w:p>
    <w:p>
      <w:pPr>
        <w:pStyle w:val="Heading4"/>
        <w:spacing w:line="276" w:lineRule="auto" w:before="67"/>
        <w:ind w:left="1702" w:right="844" w:firstLine="566"/>
      </w:pPr>
      <w:r>
        <w:rPr/>
        <w:t>Ребенка надо предупредить о диагностической встрече заранее. Если о встрече с психологом ребенку скажет родитель или педагог, то следует согласовать, что именно они скажут. Когда психолог приглашает ребенка на диагностическую встречу, важным условием контакта является возможность для ребенка «сохранить лицо» (не приглашать его в присутствии одноклассников, не делать это публично и т.п.).</w:t>
      </w:r>
    </w:p>
    <w:p>
      <w:pPr>
        <w:pStyle w:val="Heading4"/>
        <w:spacing w:line="276" w:lineRule="auto" w:before="1"/>
        <w:ind w:left="1702" w:right="854" w:firstLine="566"/>
      </w:pPr>
      <w:r>
        <w:rPr/>
        <w:t>В</w:t>
      </w:r>
      <w:r>
        <w:rPr>
          <w:spacing w:val="-14"/>
        </w:rPr>
        <w:t> </w:t>
      </w:r>
      <w:r>
        <w:rPr/>
        <w:t>начале</w:t>
      </w:r>
      <w:r>
        <w:rPr>
          <w:spacing w:val="-14"/>
        </w:rPr>
        <w:t> </w:t>
      </w:r>
      <w:r>
        <w:rPr/>
        <w:t>диагностической</w:t>
      </w:r>
      <w:r>
        <w:rPr>
          <w:spacing w:val="-13"/>
        </w:rPr>
        <w:t> </w:t>
      </w:r>
      <w:r>
        <w:rPr/>
        <w:t>встречи</w:t>
      </w:r>
      <w:r>
        <w:rPr>
          <w:spacing w:val="-13"/>
        </w:rPr>
        <w:t> </w:t>
      </w:r>
      <w:r>
        <w:rPr/>
        <w:t>в</w:t>
      </w:r>
      <w:r>
        <w:rPr>
          <w:spacing w:val="-14"/>
        </w:rPr>
        <w:t> </w:t>
      </w:r>
      <w:r>
        <w:rPr/>
        <w:t>доступной</w:t>
      </w:r>
      <w:r>
        <w:rPr>
          <w:spacing w:val="-13"/>
        </w:rPr>
        <w:t> </w:t>
      </w:r>
      <w:r>
        <w:rPr/>
        <w:t>для</w:t>
      </w:r>
      <w:r>
        <w:rPr>
          <w:spacing w:val="-15"/>
        </w:rPr>
        <w:t> </w:t>
      </w:r>
      <w:r>
        <w:rPr/>
        <w:t>ребенка</w:t>
      </w:r>
      <w:r>
        <w:rPr>
          <w:spacing w:val="-16"/>
        </w:rPr>
        <w:t> </w:t>
      </w:r>
      <w:r>
        <w:rPr/>
        <w:t>форме</w:t>
      </w:r>
      <w:r>
        <w:rPr>
          <w:spacing w:val="-13"/>
        </w:rPr>
        <w:t> </w:t>
      </w:r>
      <w:r>
        <w:rPr/>
        <w:t>нужно сообщить следующую информацию:</w:t>
      </w:r>
    </w:p>
    <w:p>
      <w:pPr>
        <w:pStyle w:val="Heading4"/>
        <w:numPr>
          <w:ilvl w:val="0"/>
          <w:numId w:val="7"/>
        </w:numPr>
        <w:tabs>
          <w:tab w:pos="2268" w:val="left" w:leader="none"/>
        </w:tabs>
        <w:spacing w:line="276" w:lineRule="auto" w:before="1" w:after="0"/>
        <w:ind w:left="2268" w:right="851" w:hanging="360"/>
        <w:jc w:val="both"/>
      </w:pPr>
      <w:r>
        <w:rPr/>
        <w:t>Цели обследования. Категорически не следует говорить ребенку, что необходимость индивидуальной работы с ним связана с его миграционным статусом во избежание угрозы стереотипа. Необходимо нормализовать ситуацию и сказать ребенку, что очень многие ученики приходят</w:t>
      </w:r>
      <w:r>
        <w:rPr>
          <w:spacing w:val="-18"/>
        </w:rPr>
        <w:t> </w:t>
      </w:r>
      <w:r>
        <w:rPr/>
        <w:t>к</w:t>
      </w:r>
      <w:r>
        <w:rPr>
          <w:spacing w:val="-17"/>
        </w:rPr>
        <w:t> </w:t>
      </w:r>
      <w:r>
        <w:rPr/>
        <w:t>психологу</w:t>
      </w:r>
      <w:r>
        <w:rPr>
          <w:spacing w:val="-18"/>
        </w:rPr>
        <w:t> </w:t>
      </w:r>
      <w:r>
        <w:rPr/>
        <w:t>для</w:t>
      </w:r>
      <w:r>
        <w:rPr>
          <w:spacing w:val="-15"/>
        </w:rPr>
        <w:t> </w:t>
      </w:r>
      <w:r>
        <w:rPr/>
        <w:t>индивидуальной</w:t>
      </w:r>
      <w:r>
        <w:rPr>
          <w:spacing w:val="-15"/>
        </w:rPr>
        <w:t> </w:t>
      </w:r>
      <w:r>
        <w:rPr/>
        <w:t>работы.</w:t>
      </w:r>
      <w:r>
        <w:rPr>
          <w:spacing w:val="-16"/>
        </w:rPr>
        <w:t> </w:t>
      </w:r>
      <w:r>
        <w:rPr/>
        <w:t>Если</w:t>
      </w:r>
      <w:r>
        <w:rPr>
          <w:spacing w:val="-18"/>
        </w:rPr>
        <w:t> </w:t>
      </w:r>
      <w:r>
        <w:rPr/>
        <w:t>ребенок</w:t>
      </w:r>
      <w:r>
        <w:rPr>
          <w:spacing w:val="-17"/>
        </w:rPr>
        <w:t> </w:t>
      </w:r>
      <w:r>
        <w:rPr/>
        <w:t>приехал или поступил в школу относительно недавно, можно объяснить необходимость подобной работы тем, что все новые ученики проходят такую же диагностику.</w:t>
      </w:r>
    </w:p>
    <w:p>
      <w:pPr>
        <w:pStyle w:val="Heading4"/>
        <w:numPr>
          <w:ilvl w:val="0"/>
          <w:numId w:val="7"/>
        </w:numPr>
        <w:tabs>
          <w:tab w:pos="2268" w:val="left" w:leader="none"/>
        </w:tabs>
        <w:spacing w:line="276" w:lineRule="auto" w:before="0" w:after="0"/>
        <w:ind w:left="2268" w:right="851" w:hanging="360"/>
        <w:jc w:val="both"/>
      </w:pPr>
      <w:r>
        <w:rPr/>
        <w:t>Возможное</w:t>
      </w:r>
      <w:r>
        <w:rPr>
          <w:spacing w:val="-7"/>
        </w:rPr>
        <w:t> </w:t>
      </w:r>
      <w:r>
        <w:rPr/>
        <w:t>использование</w:t>
      </w:r>
      <w:r>
        <w:rPr>
          <w:spacing w:val="-7"/>
        </w:rPr>
        <w:t> </w:t>
      </w:r>
      <w:r>
        <w:rPr/>
        <w:t>результатов:</w:t>
      </w:r>
      <w:r>
        <w:rPr>
          <w:spacing w:val="-3"/>
        </w:rPr>
        <w:t> </w:t>
      </w:r>
      <w:r>
        <w:rPr/>
        <w:t>узнают</w:t>
      </w:r>
      <w:r>
        <w:rPr>
          <w:spacing w:val="-6"/>
        </w:rPr>
        <w:t> </w:t>
      </w:r>
      <w:r>
        <w:rPr/>
        <w:t>ли</w:t>
      </w:r>
      <w:r>
        <w:rPr>
          <w:spacing w:val="-4"/>
        </w:rPr>
        <w:t> </w:t>
      </w:r>
      <w:r>
        <w:rPr/>
        <w:t>родители</w:t>
      </w:r>
      <w:r>
        <w:rPr>
          <w:spacing w:val="-4"/>
        </w:rPr>
        <w:t> </w:t>
      </w:r>
      <w:r>
        <w:rPr/>
        <w:t>и</w:t>
      </w:r>
      <w:r>
        <w:rPr>
          <w:spacing w:val="-7"/>
        </w:rPr>
        <w:t> </w:t>
      </w:r>
      <w:r>
        <w:rPr/>
        <w:t>педагоги</w:t>
      </w:r>
      <w:r>
        <w:rPr>
          <w:spacing w:val="-7"/>
        </w:rPr>
        <w:t> </w:t>
      </w:r>
      <w:r>
        <w:rPr/>
        <w:t>о том, что говорится и делается в ходе обследования.</w:t>
      </w:r>
    </w:p>
    <w:p>
      <w:pPr>
        <w:pStyle w:val="Heading4"/>
        <w:numPr>
          <w:ilvl w:val="0"/>
          <w:numId w:val="7"/>
        </w:numPr>
        <w:tabs>
          <w:tab w:pos="2268" w:val="left" w:leader="none"/>
        </w:tabs>
        <w:spacing w:line="276" w:lineRule="auto" w:before="2" w:after="0"/>
        <w:ind w:left="2268" w:right="849" w:hanging="360"/>
        <w:jc w:val="both"/>
      </w:pPr>
      <w:r>
        <w:rPr/>
        <w:t>Подросткам</w:t>
      </w:r>
      <w:r>
        <w:rPr>
          <w:spacing w:val="-12"/>
        </w:rPr>
        <w:t> </w:t>
      </w:r>
      <w:r>
        <w:rPr/>
        <w:t>сообщить</w:t>
      </w:r>
      <w:r>
        <w:rPr>
          <w:spacing w:val="-13"/>
        </w:rPr>
        <w:t> </w:t>
      </w:r>
      <w:r>
        <w:rPr/>
        <w:t>о</w:t>
      </w:r>
      <w:r>
        <w:rPr>
          <w:spacing w:val="-11"/>
        </w:rPr>
        <w:t> </w:t>
      </w:r>
      <w:r>
        <w:rPr/>
        <w:t>возможном</w:t>
      </w:r>
      <w:r>
        <w:rPr>
          <w:spacing w:val="-15"/>
        </w:rPr>
        <w:t> </w:t>
      </w:r>
      <w:r>
        <w:rPr/>
        <w:t>ознакомлении</w:t>
      </w:r>
      <w:r>
        <w:rPr>
          <w:spacing w:val="-12"/>
        </w:rPr>
        <w:t> </w:t>
      </w:r>
      <w:r>
        <w:rPr/>
        <w:t>с</w:t>
      </w:r>
      <w:r>
        <w:rPr>
          <w:spacing w:val="-14"/>
        </w:rPr>
        <w:t> </w:t>
      </w:r>
      <w:r>
        <w:rPr/>
        <w:t>результатами</w:t>
      </w:r>
      <w:r>
        <w:rPr>
          <w:spacing w:val="-11"/>
        </w:rPr>
        <w:t> </w:t>
      </w:r>
      <w:r>
        <w:rPr/>
        <w:t>(«Если тебе интересны результаты, я тебе расскажу сразу или через некоторое </w:t>
      </w:r>
      <w:r>
        <w:rPr>
          <w:spacing w:val="-2"/>
        </w:rPr>
        <w:t>время»).</w:t>
      </w:r>
    </w:p>
    <w:p>
      <w:pPr>
        <w:pStyle w:val="Heading4"/>
        <w:spacing w:line="278" w:lineRule="auto"/>
        <w:ind w:left="1702" w:right="853" w:firstLine="566"/>
      </w:pPr>
      <w:r>
        <w:rPr/>
        <w:t>В процессе обследования рекомендуется вести протокол, включающий следующие наборы:</w:t>
      </w:r>
    </w:p>
    <w:p>
      <w:pPr>
        <w:pStyle w:val="Heading4"/>
        <w:numPr>
          <w:ilvl w:val="1"/>
          <w:numId w:val="7"/>
        </w:numPr>
        <w:tabs>
          <w:tab w:pos="3402" w:val="left" w:leader="none"/>
        </w:tabs>
        <w:spacing w:line="336" w:lineRule="exact" w:before="0" w:after="0"/>
        <w:ind w:left="3402" w:right="0" w:hanging="359"/>
        <w:jc w:val="both"/>
      </w:pPr>
      <w:r>
        <w:rPr/>
        <w:t>дата</w:t>
      </w:r>
      <w:r>
        <w:rPr>
          <w:spacing w:val="-3"/>
        </w:rPr>
        <w:t> </w:t>
      </w:r>
      <w:r>
        <w:rPr/>
        <w:t>и</w:t>
      </w:r>
      <w:r>
        <w:rPr>
          <w:spacing w:val="-2"/>
        </w:rPr>
        <w:t> </w:t>
      </w:r>
      <w:r>
        <w:rPr/>
        <w:t>время</w:t>
      </w:r>
      <w:r>
        <w:rPr>
          <w:spacing w:val="-2"/>
        </w:rPr>
        <w:t> обследования;</w:t>
      </w:r>
    </w:p>
    <w:p>
      <w:pPr>
        <w:pStyle w:val="Heading4"/>
        <w:numPr>
          <w:ilvl w:val="1"/>
          <w:numId w:val="7"/>
        </w:numPr>
        <w:tabs>
          <w:tab w:pos="3402" w:val="left" w:leader="none"/>
        </w:tabs>
        <w:spacing w:line="240" w:lineRule="auto" w:before="30" w:after="0"/>
        <w:ind w:left="3402" w:right="0" w:hanging="359"/>
        <w:jc w:val="both"/>
      </w:pPr>
      <w:r>
        <w:rPr/>
        <w:t>фамилия,</w:t>
      </w:r>
      <w:r>
        <w:rPr>
          <w:spacing w:val="-6"/>
        </w:rPr>
        <w:t> </w:t>
      </w:r>
      <w:r>
        <w:rPr/>
        <w:t>имя,</w:t>
      </w:r>
      <w:r>
        <w:rPr>
          <w:spacing w:val="-6"/>
        </w:rPr>
        <w:t> </w:t>
      </w:r>
      <w:r>
        <w:rPr/>
        <w:t>возраст</w:t>
      </w:r>
      <w:r>
        <w:rPr>
          <w:spacing w:val="-5"/>
        </w:rPr>
        <w:t> </w:t>
      </w:r>
      <w:r>
        <w:rPr>
          <w:spacing w:val="-2"/>
        </w:rPr>
        <w:t>испытуемого;</w:t>
      </w:r>
    </w:p>
    <w:p>
      <w:pPr>
        <w:pStyle w:val="Heading4"/>
        <w:numPr>
          <w:ilvl w:val="1"/>
          <w:numId w:val="7"/>
        </w:numPr>
        <w:tabs>
          <w:tab w:pos="3403" w:val="left" w:leader="none"/>
        </w:tabs>
        <w:spacing w:line="264" w:lineRule="auto" w:before="35" w:after="0"/>
        <w:ind w:left="3403" w:right="849" w:hanging="360"/>
        <w:jc w:val="both"/>
      </w:pPr>
      <w:r>
        <w:rPr/>
        <w:t>наблюдения</w:t>
      </w:r>
      <w:r>
        <w:rPr>
          <w:spacing w:val="-18"/>
        </w:rPr>
        <w:t> </w:t>
      </w:r>
      <w:r>
        <w:rPr/>
        <w:t>психолога</w:t>
      </w:r>
      <w:r>
        <w:rPr>
          <w:spacing w:val="-17"/>
        </w:rPr>
        <w:t> </w:t>
      </w:r>
      <w:r>
        <w:rPr/>
        <w:t>(как</w:t>
      </w:r>
      <w:r>
        <w:rPr>
          <w:spacing w:val="-18"/>
        </w:rPr>
        <w:t> </w:t>
      </w:r>
      <w:r>
        <w:rPr/>
        <w:t>ребенок</w:t>
      </w:r>
      <w:r>
        <w:rPr>
          <w:spacing w:val="-17"/>
        </w:rPr>
        <w:t> </w:t>
      </w:r>
      <w:r>
        <w:rPr/>
        <w:t>себя</w:t>
      </w:r>
      <w:r>
        <w:rPr>
          <w:spacing w:val="-18"/>
        </w:rPr>
        <w:t> </w:t>
      </w:r>
      <w:r>
        <w:rPr/>
        <w:t>ведет,</w:t>
      </w:r>
      <w:r>
        <w:rPr>
          <w:spacing w:val="-17"/>
        </w:rPr>
        <w:t> </w:t>
      </w:r>
      <w:r>
        <w:rPr/>
        <w:t>как</w:t>
      </w:r>
      <w:r>
        <w:rPr>
          <w:spacing w:val="-18"/>
        </w:rPr>
        <w:t> </w:t>
      </w:r>
      <w:r>
        <w:rPr/>
        <w:t>реагирует</w:t>
      </w:r>
      <w:r>
        <w:rPr>
          <w:spacing w:val="-17"/>
        </w:rPr>
        <w:t> </w:t>
      </w:r>
      <w:r>
        <w:rPr/>
        <w:t>на удачи и неудачи и др.);</w:t>
      </w:r>
    </w:p>
    <w:p>
      <w:pPr>
        <w:pStyle w:val="Heading4"/>
        <w:numPr>
          <w:ilvl w:val="1"/>
          <w:numId w:val="7"/>
        </w:numPr>
        <w:tabs>
          <w:tab w:pos="3403" w:val="left" w:leader="none"/>
        </w:tabs>
        <w:spacing w:line="264" w:lineRule="auto" w:before="17" w:after="0"/>
        <w:ind w:left="3403" w:right="849" w:hanging="360"/>
        <w:jc w:val="both"/>
      </w:pPr>
      <w:r>
        <w:rPr/>
        <w:t>суждения ребенка, имеющие значение для оценки образовательных потребностей.</w:t>
      </w:r>
    </w:p>
    <w:p>
      <w:pPr>
        <w:pStyle w:val="Heading4"/>
        <w:spacing w:line="278" w:lineRule="auto" w:before="15"/>
        <w:ind w:left="1702" w:right="844" w:firstLine="566"/>
      </w:pPr>
      <w:r>
        <w:rPr/>
        <w:t>Пример протокола для сбора социально-демографических данных приведен в приложении 1.</w:t>
      </w:r>
    </w:p>
    <w:p>
      <w:pPr>
        <w:pStyle w:val="Heading4"/>
        <w:spacing w:line="276" w:lineRule="auto"/>
        <w:ind w:left="1702" w:right="843" w:firstLine="566"/>
      </w:pPr>
      <w:r>
        <w:rPr/>
        <w:t>Для точности диагностики большую роль играет предъявление инструкции. Крайне важно максимально точно воспроизвести инструкцию к методике</w:t>
      </w:r>
      <w:r>
        <w:rPr>
          <w:spacing w:val="-7"/>
        </w:rPr>
        <w:t> </w:t>
      </w:r>
      <w:r>
        <w:rPr/>
        <w:t>и</w:t>
      </w:r>
      <w:r>
        <w:rPr>
          <w:spacing w:val="-7"/>
        </w:rPr>
        <w:t> </w:t>
      </w:r>
      <w:r>
        <w:rPr/>
        <w:t>условия</w:t>
      </w:r>
      <w:r>
        <w:rPr>
          <w:spacing w:val="-8"/>
        </w:rPr>
        <w:t> </w:t>
      </w:r>
      <w:r>
        <w:rPr/>
        <w:t>ее</w:t>
      </w:r>
      <w:r>
        <w:rPr>
          <w:spacing w:val="-7"/>
        </w:rPr>
        <w:t> </w:t>
      </w:r>
      <w:r>
        <w:rPr/>
        <w:t>проведения.</w:t>
      </w:r>
      <w:r>
        <w:rPr>
          <w:spacing w:val="-7"/>
        </w:rPr>
        <w:t> </w:t>
      </w:r>
      <w:r>
        <w:rPr/>
        <w:t>Любая</w:t>
      </w:r>
      <w:r>
        <w:rPr>
          <w:spacing w:val="-7"/>
        </w:rPr>
        <w:t> </w:t>
      </w:r>
      <w:r>
        <w:rPr/>
        <w:t>психодиагностическая</w:t>
      </w:r>
      <w:r>
        <w:rPr>
          <w:spacing w:val="-7"/>
        </w:rPr>
        <w:t> </w:t>
      </w:r>
      <w:r>
        <w:rPr/>
        <w:t>методика</w:t>
      </w:r>
      <w:r>
        <w:rPr>
          <w:spacing w:val="-1"/>
        </w:rPr>
        <w:t> </w:t>
      </w:r>
      <w:r>
        <w:rPr/>
        <w:t>— это прежде всего измерительный инструмент, и всякая небрежность в обращении с ним значительно снижает точность измерения.</w:t>
      </w:r>
    </w:p>
    <w:p>
      <w:pPr>
        <w:pStyle w:val="Heading4"/>
        <w:spacing w:line="276" w:lineRule="auto"/>
        <w:ind w:left="1702" w:right="854" w:firstLine="566"/>
      </w:pPr>
      <w:r>
        <w:rPr/>
        <w:t>При диагностике ребенка младшего школьного возраста очень важно подчеркнуть неучебный характер диагностики и создать для ребенка ситуацию успеха.</w:t>
      </w:r>
    </w:p>
    <w:p>
      <w:pPr>
        <w:pStyle w:val="Heading4"/>
        <w:spacing w:after="0" w:line="276" w:lineRule="auto"/>
        <w:sectPr>
          <w:pgSz w:w="11910" w:h="16840"/>
          <w:pgMar w:header="0" w:footer="956" w:top="1040" w:bottom="1200" w:left="0" w:right="0"/>
        </w:sectPr>
      </w:pPr>
    </w:p>
    <w:p>
      <w:pPr>
        <w:pStyle w:val="Heading4"/>
        <w:spacing w:line="276" w:lineRule="auto" w:before="67"/>
        <w:ind w:left="1702" w:right="847" w:firstLine="566"/>
      </w:pPr>
      <w:r>
        <w:rPr/>
        <w:t>В</w:t>
      </w:r>
      <w:r>
        <w:rPr>
          <w:spacing w:val="-11"/>
        </w:rPr>
        <w:t> </w:t>
      </w:r>
      <w:r>
        <w:rPr/>
        <w:t>работе</w:t>
      </w:r>
      <w:r>
        <w:rPr>
          <w:spacing w:val="-11"/>
        </w:rPr>
        <w:t> </w:t>
      </w:r>
      <w:r>
        <w:rPr/>
        <w:t>с</w:t>
      </w:r>
      <w:r>
        <w:rPr>
          <w:spacing w:val="-11"/>
        </w:rPr>
        <w:t> </w:t>
      </w:r>
      <w:r>
        <w:rPr/>
        <w:t>подростками</w:t>
      </w:r>
      <w:r>
        <w:rPr>
          <w:spacing w:val="-11"/>
        </w:rPr>
        <w:t> </w:t>
      </w:r>
      <w:r>
        <w:rPr/>
        <w:t>в</w:t>
      </w:r>
      <w:r>
        <w:rPr>
          <w:spacing w:val="-12"/>
        </w:rPr>
        <w:t> </w:t>
      </w:r>
      <w:r>
        <w:rPr/>
        <w:t>данном</w:t>
      </w:r>
      <w:r>
        <w:rPr>
          <w:spacing w:val="-11"/>
        </w:rPr>
        <w:t> </w:t>
      </w:r>
      <w:r>
        <w:rPr/>
        <w:t>случае</w:t>
      </w:r>
      <w:r>
        <w:rPr>
          <w:spacing w:val="-11"/>
        </w:rPr>
        <w:t> </w:t>
      </w:r>
      <w:r>
        <w:rPr/>
        <w:t>принципиальное</w:t>
      </w:r>
      <w:r>
        <w:rPr>
          <w:spacing w:val="-11"/>
        </w:rPr>
        <w:t> </w:t>
      </w:r>
      <w:r>
        <w:rPr/>
        <w:t>значение</w:t>
      </w:r>
      <w:r>
        <w:rPr>
          <w:spacing w:val="-13"/>
        </w:rPr>
        <w:t> </w:t>
      </w:r>
      <w:r>
        <w:rPr/>
        <w:t>имеет мотивация подростка участвовать в диагностических процессах. При ее отсутствии результаты могут не совсем точно отражать реальность.</w:t>
      </w:r>
    </w:p>
    <w:p>
      <w:pPr>
        <w:pStyle w:val="Heading4"/>
        <w:spacing w:line="276" w:lineRule="auto" w:before="1"/>
        <w:ind w:left="1702" w:right="843" w:firstLine="566"/>
      </w:pPr>
      <w:r>
        <w:rPr/>
        <w:t>По</w:t>
      </w:r>
      <w:r>
        <w:rPr>
          <w:spacing w:val="-9"/>
        </w:rPr>
        <w:t> </w:t>
      </w:r>
      <w:r>
        <w:rPr/>
        <w:t>итогам</w:t>
      </w:r>
      <w:r>
        <w:rPr>
          <w:spacing w:val="-10"/>
        </w:rPr>
        <w:t> </w:t>
      </w:r>
      <w:r>
        <w:rPr/>
        <w:t>диагностики</w:t>
      </w:r>
      <w:r>
        <w:rPr>
          <w:spacing w:val="-9"/>
        </w:rPr>
        <w:t> </w:t>
      </w:r>
      <w:r>
        <w:rPr/>
        <w:t>следует</w:t>
      </w:r>
      <w:r>
        <w:rPr>
          <w:spacing w:val="-10"/>
        </w:rPr>
        <w:t> </w:t>
      </w:r>
      <w:r>
        <w:rPr/>
        <w:t>спросить</w:t>
      </w:r>
      <w:r>
        <w:rPr>
          <w:spacing w:val="-11"/>
        </w:rPr>
        <w:t> </w:t>
      </w:r>
      <w:r>
        <w:rPr/>
        <w:t>подростка:</w:t>
      </w:r>
      <w:r>
        <w:rPr>
          <w:spacing w:val="-9"/>
        </w:rPr>
        <w:t> </w:t>
      </w:r>
      <w:r>
        <w:rPr/>
        <w:t>«Что</w:t>
      </w:r>
      <w:r>
        <w:rPr>
          <w:spacing w:val="-9"/>
        </w:rPr>
        <w:t> </w:t>
      </w:r>
      <w:r>
        <w:rPr/>
        <w:t>из</w:t>
      </w:r>
      <w:r>
        <w:rPr>
          <w:spacing w:val="-11"/>
        </w:rPr>
        <w:t> </w:t>
      </w:r>
      <w:r>
        <w:rPr/>
        <w:t>этого</w:t>
      </w:r>
      <w:r>
        <w:rPr>
          <w:spacing w:val="-9"/>
        </w:rPr>
        <w:t> </w:t>
      </w:r>
      <w:r>
        <w:rPr/>
        <w:t>я</w:t>
      </w:r>
      <w:r>
        <w:rPr>
          <w:spacing w:val="-10"/>
        </w:rPr>
        <w:t> </w:t>
      </w:r>
      <w:r>
        <w:rPr/>
        <w:t>могу показать/рассказать твоей маме/учительнице?» Если есть какой-то материал, который подросток категорически не хочет показывать, психолог может сообщить взрослым общую информацию и выводы, не пересказывая конкретных формулировок.</w:t>
      </w:r>
    </w:p>
    <w:p>
      <w:pPr>
        <w:pStyle w:val="Heading4"/>
        <w:spacing w:after="0" w:line="276" w:lineRule="auto"/>
        <w:sectPr>
          <w:pgSz w:w="11910" w:h="16840"/>
          <w:pgMar w:header="0" w:footer="956" w:top="1040" w:bottom="1220" w:left="0" w:right="0"/>
        </w:sectPr>
      </w:pPr>
    </w:p>
    <w:p>
      <w:pPr>
        <w:pStyle w:val="Heading2"/>
        <w:spacing w:line="276" w:lineRule="auto"/>
        <w:ind w:left="1702" w:right="846"/>
        <w:jc w:val="both"/>
      </w:pPr>
      <w:bookmarkStart w:name="_bookmark7" w:id="9"/>
      <w:bookmarkEnd w:id="9"/>
      <w:r>
        <w:rPr>
          <w:b w:val="0"/>
        </w:rPr>
      </w:r>
      <w:r>
        <w:rPr/>
        <w:t>Глава 2. Психолого-педагогическая оценка особых образовательных потребностей ребенка-иностранного гражданина в сфере культурной </w:t>
      </w:r>
      <w:r>
        <w:rPr>
          <w:spacing w:val="-2"/>
        </w:rPr>
        <w:t>адаптации</w:t>
      </w:r>
    </w:p>
    <w:p>
      <w:pPr>
        <w:pStyle w:val="Heading4"/>
        <w:spacing w:line="276" w:lineRule="auto" w:before="236"/>
        <w:ind w:left="1702" w:right="850" w:firstLine="566"/>
      </w:pPr>
      <w:r>
        <w:rPr/>
        <w:t>Психолого-педагогическая оценка особых образовательных потребностей ребенка-иностранного гражданина в сфере культурной адаптации состоит из базового и расширенного наборов и различается для начальной, средней и старшей школы.</w:t>
      </w:r>
    </w:p>
    <w:p>
      <w:pPr>
        <w:pStyle w:val="Heading4"/>
        <w:spacing w:line="276" w:lineRule="auto"/>
        <w:ind w:left="1702" w:right="847" w:firstLine="566"/>
      </w:pPr>
      <w:r>
        <w:rPr/>
        <w:t>Ниже перечислены инструменты психологической диагностики и описана</w:t>
      </w:r>
      <w:r>
        <w:rPr>
          <w:spacing w:val="-18"/>
        </w:rPr>
        <w:t> </w:t>
      </w:r>
      <w:r>
        <w:rPr/>
        <w:t>специфика</w:t>
      </w:r>
      <w:r>
        <w:rPr>
          <w:spacing w:val="-17"/>
        </w:rPr>
        <w:t> </w:t>
      </w:r>
      <w:r>
        <w:rPr/>
        <w:t>ее</w:t>
      </w:r>
      <w:r>
        <w:rPr>
          <w:spacing w:val="-18"/>
        </w:rPr>
        <w:t> </w:t>
      </w:r>
      <w:r>
        <w:rPr/>
        <w:t>проведения.</w:t>
      </w:r>
      <w:r>
        <w:rPr>
          <w:spacing w:val="-17"/>
        </w:rPr>
        <w:t> </w:t>
      </w:r>
      <w:r>
        <w:rPr/>
        <w:t>Подробное</w:t>
      </w:r>
      <w:r>
        <w:rPr>
          <w:spacing w:val="-18"/>
        </w:rPr>
        <w:t> </w:t>
      </w:r>
      <w:r>
        <w:rPr/>
        <w:t>описание</w:t>
      </w:r>
      <w:r>
        <w:rPr>
          <w:spacing w:val="-17"/>
        </w:rPr>
        <w:t> </w:t>
      </w:r>
      <w:r>
        <w:rPr/>
        <w:t>каждого</w:t>
      </w:r>
      <w:r>
        <w:rPr>
          <w:spacing w:val="-18"/>
        </w:rPr>
        <w:t> </w:t>
      </w:r>
      <w:r>
        <w:rPr/>
        <w:t>инструмента, включающее</w:t>
      </w:r>
      <w:r>
        <w:rPr>
          <w:spacing w:val="15"/>
        </w:rPr>
        <w:t> </w:t>
      </w:r>
      <w:r>
        <w:rPr/>
        <w:t>бланк</w:t>
      </w:r>
      <w:r>
        <w:rPr>
          <w:spacing w:val="19"/>
        </w:rPr>
        <w:t> </w:t>
      </w:r>
      <w:r>
        <w:rPr/>
        <w:t>методики</w:t>
      </w:r>
      <w:r>
        <w:rPr>
          <w:spacing w:val="20"/>
        </w:rPr>
        <w:t> </w:t>
      </w:r>
      <w:r>
        <w:rPr/>
        <w:t>и</w:t>
      </w:r>
      <w:r>
        <w:rPr>
          <w:spacing w:val="19"/>
        </w:rPr>
        <w:t> </w:t>
      </w:r>
      <w:r>
        <w:rPr/>
        <w:t>алгоритм</w:t>
      </w:r>
      <w:r>
        <w:rPr>
          <w:spacing w:val="19"/>
        </w:rPr>
        <w:t> </w:t>
      </w:r>
      <w:r>
        <w:rPr/>
        <w:t>обработки,</w:t>
      </w:r>
      <w:r>
        <w:rPr>
          <w:spacing w:val="18"/>
        </w:rPr>
        <w:t> </w:t>
      </w:r>
      <w:r>
        <w:rPr/>
        <w:t>приведено</w:t>
      </w:r>
      <w:r>
        <w:rPr>
          <w:spacing w:val="20"/>
        </w:rPr>
        <w:t> </w:t>
      </w:r>
      <w:r>
        <w:rPr/>
        <w:t>в</w:t>
      </w:r>
      <w:r>
        <w:rPr>
          <w:spacing w:val="18"/>
        </w:rPr>
        <w:t> </w:t>
      </w:r>
      <w:r>
        <w:rPr>
          <w:spacing w:val="-2"/>
        </w:rPr>
        <w:t>документе</w:t>
      </w:r>
    </w:p>
    <w:p>
      <w:pPr>
        <w:pStyle w:val="Heading5"/>
        <w:spacing w:line="276" w:lineRule="auto" w:before="1"/>
        <w:ind w:left="1702" w:right="851"/>
        <w:jc w:val="both"/>
        <w:rPr>
          <w:i w:val="0"/>
        </w:rPr>
      </w:pPr>
      <w:r>
        <w:rPr>
          <w:i w:val="0"/>
        </w:rPr>
        <w:t>«</w:t>
      </w:r>
      <w:r>
        <w:rPr/>
        <w:t>Инструментарий оценки особых образовательных потребностей несовершеннолетних иностранных гражданин в сферах психологического благополучия, социальных навыков и культурной адаптации</w:t>
      </w:r>
      <w:r>
        <w:rPr>
          <w:i w:val="0"/>
        </w:rPr>
        <w:t>».</w:t>
      </w:r>
    </w:p>
    <w:p>
      <w:pPr>
        <w:pStyle w:val="Heading3"/>
        <w:spacing w:before="247"/>
        <w:ind w:left="1702"/>
      </w:pPr>
      <w:r>
        <w:rPr/>
        <w:t>Начальная</w:t>
      </w:r>
      <w:r>
        <w:rPr>
          <w:spacing w:val="-8"/>
        </w:rPr>
        <w:t> </w:t>
      </w:r>
      <w:r>
        <w:rPr>
          <w:spacing w:val="-4"/>
        </w:rPr>
        <w:t>школа</w:t>
      </w:r>
    </w:p>
    <w:p>
      <w:pPr>
        <w:spacing w:before="242"/>
        <w:ind w:left="2268" w:right="0" w:firstLine="0"/>
        <w:jc w:val="left"/>
        <w:rPr>
          <w:sz w:val="28"/>
        </w:rPr>
      </w:pPr>
      <w:r>
        <w:rPr>
          <w:sz w:val="28"/>
        </w:rPr>
        <w:t>В</w:t>
      </w:r>
      <w:r>
        <w:rPr>
          <w:spacing w:val="-6"/>
          <w:sz w:val="28"/>
        </w:rPr>
        <w:t> </w:t>
      </w:r>
      <w:r>
        <w:rPr>
          <w:b/>
          <w:sz w:val="28"/>
        </w:rPr>
        <w:t>базовый</w:t>
      </w:r>
      <w:r>
        <w:rPr>
          <w:b/>
          <w:spacing w:val="-6"/>
          <w:sz w:val="28"/>
        </w:rPr>
        <w:t> </w:t>
      </w:r>
      <w:r>
        <w:rPr>
          <w:b/>
          <w:sz w:val="28"/>
        </w:rPr>
        <w:t>набор</w:t>
      </w:r>
      <w:r>
        <w:rPr>
          <w:b/>
          <w:spacing w:val="-6"/>
          <w:sz w:val="28"/>
        </w:rPr>
        <w:t> </w:t>
      </w:r>
      <w:r>
        <w:rPr>
          <w:sz w:val="28"/>
        </w:rPr>
        <w:t>диагностики</w:t>
      </w:r>
      <w:r>
        <w:rPr>
          <w:spacing w:val="-4"/>
          <w:sz w:val="28"/>
        </w:rPr>
        <w:t> </w:t>
      </w:r>
      <w:r>
        <w:rPr>
          <w:sz w:val="28"/>
        </w:rPr>
        <w:t>для</w:t>
      </w:r>
      <w:r>
        <w:rPr>
          <w:spacing w:val="-8"/>
          <w:sz w:val="28"/>
        </w:rPr>
        <w:t> </w:t>
      </w:r>
      <w:r>
        <w:rPr>
          <w:sz w:val="28"/>
        </w:rPr>
        <w:t>начальной</w:t>
      </w:r>
      <w:r>
        <w:rPr>
          <w:spacing w:val="-5"/>
          <w:sz w:val="28"/>
        </w:rPr>
        <w:t> </w:t>
      </w:r>
      <w:r>
        <w:rPr>
          <w:sz w:val="28"/>
        </w:rPr>
        <w:t>школы</w:t>
      </w:r>
      <w:r>
        <w:rPr>
          <w:spacing w:val="-4"/>
          <w:sz w:val="28"/>
        </w:rPr>
        <w:t> </w:t>
      </w:r>
      <w:r>
        <w:rPr>
          <w:spacing w:val="-2"/>
          <w:sz w:val="28"/>
        </w:rPr>
        <w:t>входят:</w:t>
      </w:r>
    </w:p>
    <w:p>
      <w:pPr>
        <w:pStyle w:val="Heading4"/>
        <w:numPr>
          <w:ilvl w:val="1"/>
          <w:numId w:val="7"/>
        </w:numPr>
        <w:tabs>
          <w:tab w:pos="3402" w:val="left" w:leader="none"/>
        </w:tabs>
        <w:spacing w:line="240" w:lineRule="auto" w:before="47" w:after="0"/>
        <w:ind w:left="3402" w:right="0" w:hanging="359"/>
        <w:jc w:val="left"/>
      </w:pPr>
      <w:r>
        <w:rPr/>
        <w:t>Опросник</w:t>
      </w:r>
      <w:r>
        <w:rPr>
          <w:spacing w:val="-7"/>
        </w:rPr>
        <w:t> </w:t>
      </w:r>
      <w:r>
        <w:rPr/>
        <w:t>аккультурации</w:t>
      </w:r>
      <w:r>
        <w:rPr>
          <w:spacing w:val="-5"/>
        </w:rPr>
        <w:t> </w:t>
      </w:r>
      <w:r>
        <w:rPr/>
        <w:t>для</w:t>
      </w:r>
      <w:r>
        <w:rPr>
          <w:spacing w:val="-8"/>
        </w:rPr>
        <w:t> </w:t>
      </w:r>
      <w:r>
        <w:rPr/>
        <w:t>детей</w:t>
      </w:r>
      <w:r>
        <w:rPr>
          <w:spacing w:val="-5"/>
        </w:rPr>
        <w:t> </w:t>
      </w:r>
      <w:r>
        <w:rPr/>
        <w:t>и</w:t>
      </w:r>
      <w:r>
        <w:rPr>
          <w:spacing w:val="-4"/>
        </w:rPr>
        <w:t> </w:t>
      </w:r>
      <w:r>
        <w:rPr>
          <w:spacing w:val="-2"/>
        </w:rPr>
        <w:t>подростков.</w:t>
      </w:r>
    </w:p>
    <w:p>
      <w:pPr>
        <w:pStyle w:val="Heading4"/>
        <w:numPr>
          <w:ilvl w:val="1"/>
          <w:numId w:val="7"/>
        </w:numPr>
        <w:tabs>
          <w:tab w:pos="3402" w:val="left" w:leader="none"/>
        </w:tabs>
        <w:spacing w:line="240" w:lineRule="auto" w:before="33" w:after="0"/>
        <w:ind w:left="3402" w:right="0" w:hanging="359"/>
        <w:jc w:val="left"/>
      </w:pPr>
      <w:r>
        <w:rPr/>
        <w:t>Социометрический</w:t>
      </w:r>
      <w:r>
        <w:rPr>
          <w:spacing w:val="-14"/>
        </w:rPr>
        <w:t> </w:t>
      </w:r>
      <w:r>
        <w:rPr>
          <w:spacing w:val="-2"/>
        </w:rPr>
        <w:t>тест.</w:t>
      </w:r>
    </w:p>
    <w:p>
      <w:pPr>
        <w:pStyle w:val="Heading4"/>
        <w:spacing w:line="276" w:lineRule="auto" w:before="235"/>
        <w:ind w:left="1702" w:right="847" w:firstLine="566"/>
      </w:pPr>
      <w:r>
        <w:rPr/>
        <w:t>Основным инструментом для базовой диагностики детей-иностранных граждан,</w:t>
      </w:r>
      <w:r>
        <w:rPr>
          <w:spacing w:val="-13"/>
        </w:rPr>
        <w:t> </w:t>
      </w:r>
      <w:r>
        <w:rPr/>
        <w:t>обучающихся</w:t>
      </w:r>
      <w:r>
        <w:rPr>
          <w:spacing w:val="-12"/>
        </w:rPr>
        <w:t> </w:t>
      </w:r>
      <w:r>
        <w:rPr/>
        <w:t>в</w:t>
      </w:r>
      <w:r>
        <w:rPr>
          <w:spacing w:val="-11"/>
        </w:rPr>
        <w:t> </w:t>
      </w:r>
      <w:r>
        <w:rPr/>
        <w:t>начальной</w:t>
      </w:r>
      <w:r>
        <w:rPr>
          <w:spacing w:val="-12"/>
        </w:rPr>
        <w:t> </w:t>
      </w:r>
      <w:r>
        <w:rPr/>
        <w:t>школе,</w:t>
      </w:r>
      <w:r>
        <w:rPr>
          <w:spacing w:val="-11"/>
        </w:rPr>
        <w:t> </w:t>
      </w:r>
      <w:r>
        <w:rPr/>
        <w:t>является</w:t>
      </w:r>
      <w:r>
        <w:rPr>
          <w:spacing w:val="-8"/>
        </w:rPr>
        <w:t> </w:t>
      </w:r>
      <w:r>
        <w:rPr>
          <w:i/>
        </w:rPr>
        <w:t>Опросник</w:t>
      </w:r>
      <w:r>
        <w:rPr>
          <w:i/>
          <w:spacing w:val="-12"/>
        </w:rPr>
        <w:t> </w:t>
      </w:r>
      <w:r>
        <w:rPr>
          <w:i/>
        </w:rPr>
        <w:t>аккультурации для детей и подростков</w:t>
      </w:r>
      <w:r>
        <w:rPr/>
        <w:t>. Для детей данного возраста он предлагается в краткой форме — 8 вопросов.</w:t>
      </w:r>
    </w:p>
    <w:p>
      <w:pPr>
        <w:pStyle w:val="Heading4"/>
        <w:spacing w:line="276" w:lineRule="auto"/>
        <w:ind w:left="1702" w:right="847" w:firstLine="566"/>
      </w:pPr>
      <w:r>
        <w:rPr/>
        <w:t>В результате психолог получает информацию, насколько ребенок настроен на сохранение родной культурной среды и в какой степени он включается в культуру принимающего общества. По сочетанию этих двух параметров определяется одна из четырех предпочитаемых ребенком стратегий аккультурации:</w:t>
      </w:r>
    </w:p>
    <w:p>
      <w:pPr>
        <w:pStyle w:val="Heading4"/>
        <w:numPr>
          <w:ilvl w:val="0"/>
          <w:numId w:val="7"/>
        </w:numPr>
        <w:tabs>
          <w:tab w:pos="2268" w:val="left" w:leader="none"/>
        </w:tabs>
        <w:spacing w:line="276" w:lineRule="auto" w:before="2" w:after="0"/>
        <w:ind w:left="2268" w:right="849" w:hanging="360"/>
        <w:jc w:val="both"/>
      </w:pPr>
      <w:r>
        <w:rPr>
          <w:i/>
        </w:rPr>
        <w:t>Интеграция </w:t>
      </w:r>
      <w:r>
        <w:rPr/>
        <w:t>— включение в культуру принимающего общества при сохранении родной культурной среды; результатом является их </w:t>
      </w:r>
      <w:r>
        <w:rPr>
          <w:spacing w:val="-2"/>
        </w:rPr>
        <w:t>объединение.</w:t>
      </w:r>
    </w:p>
    <w:p>
      <w:pPr>
        <w:pStyle w:val="Heading4"/>
        <w:numPr>
          <w:ilvl w:val="0"/>
          <w:numId w:val="7"/>
        </w:numPr>
        <w:tabs>
          <w:tab w:pos="2268" w:val="left" w:leader="none"/>
        </w:tabs>
        <w:spacing w:line="276" w:lineRule="auto" w:before="0" w:after="0"/>
        <w:ind w:left="2268" w:right="852" w:hanging="360"/>
        <w:jc w:val="both"/>
      </w:pPr>
      <w:r>
        <w:rPr>
          <w:i/>
        </w:rPr>
        <w:t>Ассимиляция </w:t>
      </w:r>
      <w:r>
        <w:rPr/>
        <w:t>— постепенное добровольное или принудительное принятие обычаев, верований, норм принимающего общества, вплоть до полного растворения в нем.</w:t>
      </w:r>
    </w:p>
    <w:p>
      <w:pPr>
        <w:pStyle w:val="Heading4"/>
        <w:numPr>
          <w:ilvl w:val="0"/>
          <w:numId w:val="7"/>
        </w:numPr>
        <w:tabs>
          <w:tab w:pos="2268" w:val="left" w:leader="none"/>
        </w:tabs>
        <w:spacing w:line="276" w:lineRule="auto" w:before="0" w:after="0"/>
        <w:ind w:left="2268" w:right="850" w:hanging="360"/>
        <w:jc w:val="both"/>
      </w:pPr>
      <w:r>
        <w:rPr>
          <w:i/>
        </w:rPr>
        <w:t>Сепарация </w:t>
      </w:r>
      <w:r>
        <w:rPr/>
        <w:t>— полная противоположность ассимиляции, при которой люди придают значение сохранению своей собственной культуры и в то же время хотят избежать взаимодействия с другими культурами.</w:t>
      </w:r>
    </w:p>
    <w:p>
      <w:pPr>
        <w:pStyle w:val="Heading4"/>
        <w:spacing w:after="0" w:line="276" w:lineRule="auto"/>
        <w:jc w:val="both"/>
        <w:sectPr>
          <w:pgSz w:w="11910" w:h="16840"/>
          <w:pgMar w:header="0" w:footer="956" w:top="1040" w:bottom="1220" w:left="0" w:right="0"/>
        </w:sectPr>
      </w:pPr>
    </w:p>
    <w:p>
      <w:pPr>
        <w:pStyle w:val="Heading4"/>
        <w:numPr>
          <w:ilvl w:val="0"/>
          <w:numId w:val="7"/>
        </w:numPr>
        <w:tabs>
          <w:tab w:pos="2268" w:val="left" w:leader="none"/>
          <w:tab w:pos="3011" w:val="left" w:leader="none"/>
          <w:tab w:pos="3337" w:val="left" w:leader="none"/>
          <w:tab w:pos="4004" w:val="left" w:leader="none"/>
          <w:tab w:pos="4833" w:val="left" w:leader="none"/>
          <w:tab w:pos="5169" w:val="left" w:leader="none"/>
          <w:tab w:pos="5819" w:val="left" w:leader="none"/>
          <w:tab w:pos="6765" w:val="left" w:leader="none"/>
          <w:tab w:pos="7392" w:val="left" w:leader="none"/>
          <w:tab w:pos="7647" w:val="left" w:leader="none"/>
          <w:tab w:pos="8083" w:val="left" w:leader="none"/>
          <w:tab w:pos="9052" w:val="left" w:leader="none"/>
          <w:tab w:pos="9667" w:val="left" w:leader="none"/>
        </w:tabs>
        <w:spacing w:line="276" w:lineRule="auto" w:before="67" w:after="0"/>
        <w:ind w:left="1702" w:right="843" w:firstLine="206"/>
        <w:jc w:val="right"/>
      </w:pPr>
      <w:r>
        <w:rPr>
          <w:i/>
        </w:rPr>
        <w:t>Маргинализация</w:t>
      </w:r>
      <w:r>
        <w:rPr>
          <w:i/>
          <w:spacing w:val="38"/>
        </w:rPr>
        <w:t> </w:t>
      </w:r>
      <w:r>
        <w:rPr/>
        <w:t>—</w:t>
      </w:r>
      <w:r>
        <w:rPr>
          <w:spacing w:val="34"/>
        </w:rPr>
        <w:t> </w:t>
      </w:r>
      <w:r>
        <w:rPr/>
        <w:t>потеря</w:t>
      </w:r>
      <w:r>
        <w:rPr>
          <w:spacing w:val="34"/>
        </w:rPr>
        <w:t> </w:t>
      </w:r>
      <w:r>
        <w:rPr/>
        <w:t>культурной</w:t>
      </w:r>
      <w:r>
        <w:rPr>
          <w:spacing w:val="34"/>
        </w:rPr>
        <w:t> </w:t>
      </w:r>
      <w:r>
        <w:rPr/>
        <w:t>опоры;</w:t>
      </w:r>
      <w:r>
        <w:rPr>
          <w:spacing w:val="36"/>
        </w:rPr>
        <w:t> </w:t>
      </w:r>
      <w:r>
        <w:rPr/>
        <w:t>отсутствие</w:t>
      </w:r>
      <w:r>
        <w:rPr>
          <w:spacing w:val="36"/>
        </w:rPr>
        <w:t> </w:t>
      </w:r>
      <w:r>
        <w:rPr/>
        <w:t>включения</w:t>
      </w:r>
      <w:r>
        <w:rPr>
          <w:spacing w:val="36"/>
        </w:rPr>
        <w:t> </w:t>
      </w:r>
      <w:r>
        <w:rPr/>
        <w:t>в культуру принимающего общества при потере родной культурной среды. Потенциально</w:t>
      </w:r>
      <w:r>
        <w:rPr>
          <w:spacing w:val="40"/>
        </w:rPr>
        <w:t> </w:t>
      </w:r>
      <w:r>
        <w:rPr/>
        <w:t>рискованным</w:t>
      </w:r>
      <w:r>
        <w:rPr>
          <w:spacing w:val="40"/>
        </w:rPr>
        <w:t> </w:t>
      </w:r>
      <w:r>
        <w:rPr/>
        <w:t>для</w:t>
      </w:r>
      <w:r>
        <w:rPr>
          <w:spacing w:val="40"/>
        </w:rPr>
        <w:t> </w:t>
      </w:r>
      <w:r>
        <w:rPr/>
        <w:t>адаптации</w:t>
      </w:r>
      <w:r>
        <w:rPr>
          <w:spacing w:val="40"/>
        </w:rPr>
        <w:t> </w:t>
      </w:r>
      <w:r>
        <w:rPr/>
        <w:t>является</w:t>
      </w:r>
      <w:r>
        <w:rPr>
          <w:spacing w:val="40"/>
        </w:rPr>
        <w:t> </w:t>
      </w:r>
      <w:r>
        <w:rPr/>
        <w:t>любая</w:t>
      </w:r>
      <w:r>
        <w:rPr>
          <w:spacing w:val="40"/>
        </w:rPr>
        <w:t> </w:t>
      </w:r>
      <w:r>
        <w:rPr/>
        <w:t>стратегия, кроме</w:t>
      </w:r>
      <w:r>
        <w:rPr>
          <w:spacing w:val="38"/>
        </w:rPr>
        <w:t> </w:t>
      </w:r>
      <w:r>
        <w:rPr/>
        <w:t>интеграции.</w:t>
      </w:r>
      <w:r>
        <w:rPr>
          <w:spacing w:val="38"/>
        </w:rPr>
        <w:t> </w:t>
      </w:r>
      <w:r>
        <w:rPr/>
        <w:t>Сепарация</w:t>
      </w:r>
      <w:r>
        <w:rPr>
          <w:spacing w:val="38"/>
        </w:rPr>
        <w:t> </w:t>
      </w:r>
      <w:r>
        <w:rPr/>
        <w:t>и</w:t>
      </w:r>
      <w:r>
        <w:rPr>
          <w:spacing w:val="40"/>
        </w:rPr>
        <w:t> </w:t>
      </w:r>
      <w:r>
        <w:rPr/>
        <w:t>ассимиляция</w:t>
      </w:r>
      <w:r>
        <w:rPr>
          <w:spacing w:val="40"/>
        </w:rPr>
        <w:t> </w:t>
      </w:r>
      <w:r>
        <w:rPr/>
        <w:t>являются</w:t>
      </w:r>
      <w:r>
        <w:rPr>
          <w:spacing w:val="40"/>
        </w:rPr>
        <w:t> </w:t>
      </w:r>
      <w:r>
        <w:rPr/>
        <w:t>«промежуточными» стратегиями.</w:t>
      </w:r>
      <w:r>
        <w:rPr>
          <w:spacing w:val="80"/>
        </w:rPr>
        <w:t> </w:t>
      </w:r>
      <w:r>
        <w:rPr/>
        <w:t>В</w:t>
      </w:r>
      <w:r>
        <w:rPr>
          <w:spacing w:val="80"/>
        </w:rPr>
        <w:t> </w:t>
      </w:r>
      <w:r>
        <w:rPr/>
        <w:t>случае</w:t>
      </w:r>
      <w:r>
        <w:rPr>
          <w:spacing w:val="80"/>
        </w:rPr>
        <w:t> </w:t>
      </w:r>
      <w:r>
        <w:rPr/>
        <w:t>сепарации</w:t>
      </w:r>
      <w:r>
        <w:rPr>
          <w:spacing w:val="80"/>
        </w:rPr>
        <w:t> </w:t>
      </w:r>
      <w:r>
        <w:rPr/>
        <w:t>ребенку-мигранту</w:t>
      </w:r>
      <w:r>
        <w:rPr>
          <w:spacing w:val="80"/>
        </w:rPr>
        <w:t> </w:t>
      </w:r>
      <w:r>
        <w:rPr/>
        <w:t>нужна</w:t>
      </w:r>
      <w:r>
        <w:rPr>
          <w:spacing w:val="80"/>
        </w:rPr>
        <w:t> </w:t>
      </w:r>
      <w:r>
        <w:rPr/>
        <w:t>поддержка</w:t>
      </w:r>
      <w:r>
        <w:rPr>
          <w:spacing w:val="80"/>
        </w:rPr>
        <w:t> </w:t>
      </w:r>
      <w:r>
        <w:rPr/>
        <w:t>в освоении</w:t>
      </w:r>
      <w:r>
        <w:rPr>
          <w:spacing w:val="40"/>
        </w:rPr>
        <w:t> </w:t>
      </w:r>
      <w:r>
        <w:rPr/>
        <w:t>российской</w:t>
      </w:r>
      <w:r>
        <w:rPr>
          <w:spacing w:val="40"/>
        </w:rPr>
        <w:t> </w:t>
      </w:r>
      <w:r>
        <w:rPr/>
        <w:t>культуры.</w:t>
      </w:r>
      <w:r>
        <w:rPr>
          <w:spacing w:val="40"/>
        </w:rPr>
        <w:t> </w:t>
      </w:r>
      <w:r>
        <w:rPr/>
        <w:t>В</w:t>
      </w:r>
      <w:r>
        <w:rPr>
          <w:spacing w:val="40"/>
        </w:rPr>
        <w:t> </w:t>
      </w:r>
      <w:r>
        <w:rPr/>
        <w:t>случае</w:t>
      </w:r>
      <w:r>
        <w:rPr>
          <w:spacing w:val="40"/>
        </w:rPr>
        <w:t> </w:t>
      </w:r>
      <w:r>
        <w:rPr/>
        <w:t>ассимиляции</w:t>
      </w:r>
      <w:r>
        <w:rPr>
          <w:spacing w:val="40"/>
        </w:rPr>
        <w:t> </w:t>
      </w:r>
      <w:r>
        <w:rPr/>
        <w:t>ребенку-мигранту</w:t>
      </w:r>
      <w:r>
        <w:rPr>
          <w:spacing w:val="40"/>
        </w:rPr>
        <w:t> </w:t>
      </w:r>
      <w:r>
        <w:rPr>
          <w:spacing w:val="-2"/>
        </w:rPr>
        <w:t>необходима</w:t>
      </w:r>
      <w:r>
        <w:rPr/>
        <w:tab/>
      </w:r>
      <w:r>
        <w:rPr>
          <w:spacing w:val="-2"/>
        </w:rPr>
        <w:t>поддержка</w:t>
      </w:r>
      <w:r>
        <w:rPr/>
        <w:tab/>
      </w:r>
      <w:r>
        <w:rPr>
          <w:spacing w:val="-10"/>
        </w:rPr>
        <w:t>в</w:t>
      </w:r>
      <w:r>
        <w:rPr/>
        <w:tab/>
      </w:r>
      <w:r>
        <w:rPr>
          <w:spacing w:val="-2"/>
        </w:rPr>
        <w:t>сохранении</w:t>
      </w:r>
      <w:r>
        <w:rPr/>
        <w:tab/>
      </w:r>
      <w:r>
        <w:rPr>
          <w:spacing w:val="-2"/>
        </w:rPr>
        <w:t>своей</w:t>
      </w:r>
      <w:r>
        <w:rPr/>
        <w:tab/>
      </w:r>
      <w:r>
        <w:rPr>
          <w:spacing w:val="-2"/>
        </w:rPr>
        <w:t>культуры.</w:t>
      </w:r>
      <w:r>
        <w:rPr/>
        <w:tab/>
      </w:r>
      <w:r>
        <w:rPr>
          <w:spacing w:val="-2"/>
        </w:rPr>
        <w:t>Маргинализация является</w:t>
      </w:r>
      <w:r>
        <w:rPr/>
        <w:tab/>
      </w:r>
      <w:r>
        <w:rPr>
          <w:spacing w:val="-4"/>
        </w:rPr>
        <w:t>самой</w:t>
      </w:r>
      <w:r>
        <w:rPr/>
        <w:tab/>
      </w:r>
      <w:r>
        <w:rPr>
          <w:spacing w:val="-2"/>
        </w:rPr>
        <w:t>рискованной</w:t>
      </w:r>
      <w:r>
        <w:rPr/>
        <w:tab/>
      </w:r>
      <w:r>
        <w:rPr>
          <w:spacing w:val="-2"/>
        </w:rPr>
        <w:t>стратегией</w:t>
      </w:r>
      <w:r>
        <w:rPr/>
        <w:tab/>
      </w:r>
      <w:r>
        <w:rPr>
          <w:spacing w:val="-5"/>
        </w:rPr>
        <w:t>для</w:t>
      </w:r>
      <w:r>
        <w:rPr/>
        <w:tab/>
      </w:r>
      <w:r>
        <w:rPr>
          <w:spacing w:val="-2"/>
        </w:rPr>
        <w:t>адаптации,</w:t>
      </w:r>
      <w:r>
        <w:rPr/>
        <w:tab/>
      </w:r>
      <w:r>
        <w:rPr>
          <w:spacing w:val="-2"/>
        </w:rPr>
        <w:t>однозначно</w:t>
      </w:r>
    </w:p>
    <w:p>
      <w:pPr>
        <w:pStyle w:val="Heading4"/>
        <w:spacing w:before="2"/>
        <w:ind w:left="1702"/>
      </w:pPr>
      <w:r>
        <w:rPr/>
        <w:t>приносящей</w:t>
      </w:r>
      <w:r>
        <w:rPr>
          <w:spacing w:val="-10"/>
        </w:rPr>
        <w:t> </w:t>
      </w:r>
      <w:r>
        <w:rPr/>
        <w:t>негативные</w:t>
      </w:r>
      <w:r>
        <w:rPr>
          <w:spacing w:val="-9"/>
        </w:rPr>
        <w:t> </w:t>
      </w:r>
      <w:r>
        <w:rPr>
          <w:spacing w:val="-2"/>
        </w:rPr>
        <w:t>последствия.</w:t>
      </w:r>
    </w:p>
    <w:p>
      <w:pPr>
        <w:pStyle w:val="Heading4"/>
        <w:spacing w:line="276" w:lineRule="auto" w:before="48"/>
        <w:ind w:left="1702" w:right="846" w:firstLine="566"/>
      </w:pPr>
      <w:r>
        <w:rPr/>
        <w:t>Кроме количественного анализа, в ситуации выбора всех стратегий, кроме интеграции, следует предпринять качественный анализ ответов. Следует посмотреть, с чем именно связаны затруднения ребенка (невысокие баллы): с языковой, коммуникативной (друзья) или символической (где нравится жить) аккультурацией. Дальнейшую работу с ребенком нужно строить в тех направлениях, которые он отметил как «проблемные». Например, если ребенок смотрит ТВ и пр. на русском языке (идет языковая аккультурация), но ему не нравится жить в России и у него нет российских друзей, именно в этом направлении должна строиться работа по поддержке культурной адаптации.</w:t>
      </w:r>
    </w:p>
    <w:p>
      <w:pPr>
        <w:pStyle w:val="Heading4"/>
        <w:spacing w:line="276" w:lineRule="auto" w:before="1"/>
        <w:ind w:left="1702" w:right="840" w:firstLine="566"/>
      </w:pPr>
      <w:r>
        <w:rPr>
          <w:i/>
        </w:rPr>
        <w:t>Социометрический</w:t>
      </w:r>
      <w:r>
        <w:rPr>
          <w:i/>
          <w:spacing w:val="-18"/>
        </w:rPr>
        <w:t> </w:t>
      </w:r>
      <w:r>
        <w:rPr>
          <w:i/>
        </w:rPr>
        <w:t>тест</w:t>
      </w:r>
      <w:r>
        <w:rPr>
          <w:i/>
          <w:spacing w:val="-17"/>
        </w:rPr>
        <w:t> </w:t>
      </w:r>
      <w:r>
        <w:rPr/>
        <w:t>используется</w:t>
      </w:r>
      <w:r>
        <w:rPr>
          <w:spacing w:val="-18"/>
        </w:rPr>
        <w:t> </w:t>
      </w:r>
      <w:r>
        <w:rPr/>
        <w:t>для</w:t>
      </w:r>
      <w:r>
        <w:rPr>
          <w:spacing w:val="-17"/>
        </w:rPr>
        <w:t> </w:t>
      </w:r>
      <w:r>
        <w:rPr/>
        <w:t>изучения</w:t>
      </w:r>
      <w:r>
        <w:rPr>
          <w:spacing w:val="-18"/>
        </w:rPr>
        <w:t> </w:t>
      </w:r>
      <w:r>
        <w:rPr/>
        <w:t>социального</w:t>
      </w:r>
      <w:r>
        <w:rPr>
          <w:spacing w:val="-17"/>
        </w:rPr>
        <w:t> </w:t>
      </w:r>
      <w:r>
        <w:rPr/>
        <w:t>статуса ребенка-мигранта.</w:t>
      </w:r>
      <w:r>
        <w:rPr>
          <w:spacing w:val="-15"/>
        </w:rPr>
        <w:t> </w:t>
      </w:r>
      <w:r>
        <w:rPr/>
        <w:t>Социальный</w:t>
      </w:r>
      <w:r>
        <w:rPr>
          <w:spacing w:val="-14"/>
        </w:rPr>
        <w:t> </w:t>
      </w:r>
      <w:r>
        <w:rPr/>
        <w:t>статус</w:t>
      </w:r>
      <w:r>
        <w:rPr>
          <w:spacing w:val="-12"/>
        </w:rPr>
        <w:t> </w:t>
      </w:r>
      <w:r>
        <w:rPr/>
        <w:t>является</w:t>
      </w:r>
      <w:r>
        <w:rPr>
          <w:spacing w:val="-11"/>
        </w:rPr>
        <w:t> </w:t>
      </w:r>
      <w:r>
        <w:rPr/>
        <w:t>мерой</w:t>
      </w:r>
      <w:r>
        <w:rPr>
          <w:spacing w:val="-14"/>
        </w:rPr>
        <w:t> </w:t>
      </w:r>
      <w:r>
        <w:rPr/>
        <w:t>включенности</w:t>
      </w:r>
      <w:r>
        <w:rPr>
          <w:spacing w:val="-14"/>
        </w:rPr>
        <w:t> </w:t>
      </w:r>
      <w:r>
        <w:rPr/>
        <w:t>ребенка- иностранного гражданина в принимающее общество; в данном случае — в среду российских одноклассников.</w:t>
      </w:r>
    </w:p>
    <w:p>
      <w:pPr>
        <w:pStyle w:val="Heading4"/>
        <w:spacing w:line="276" w:lineRule="auto"/>
        <w:ind w:left="1702" w:right="844" w:firstLine="566"/>
      </w:pPr>
      <w:r>
        <w:rPr/>
        <w:t>Методика достаточно популярна и широко известна, инструкция к ней проста. Однако она не дает достоверных результатов при работе с недавно образованными группами, поскольку социальные связи в них неустойчивы. Поэтому ее нельзя применять в классах, образованных менее чем за полгода до проведения диагностики. Также нельзя ее применять к ребенку-мигранту, пришедшему в класс менее чем за полгода до диагностики.</w:t>
      </w:r>
    </w:p>
    <w:p>
      <w:pPr>
        <w:pStyle w:val="Heading4"/>
        <w:spacing w:line="276" w:lineRule="auto" w:before="2"/>
        <w:ind w:left="1702" w:right="845" w:firstLine="566"/>
      </w:pPr>
      <w:r>
        <w:rPr/>
        <w:t>На результаты социометрического теста может оказывать влияние социальная желательность, поэтому психологу необходимо как можно более внимательно следить за тем, чтобы во время диагностики ученики работали самостоятельно и никто не знал, кто кого выбирает.</w:t>
      </w:r>
    </w:p>
    <w:p>
      <w:pPr>
        <w:pStyle w:val="Heading4"/>
        <w:spacing w:line="276" w:lineRule="auto"/>
        <w:ind w:left="1702" w:right="844" w:firstLine="566"/>
      </w:pPr>
      <w:r>
        <w:rPr/>
        <w:t>Если</w:t>
      </w:r>
      <w:r>
        <w:rPr>
          <w:spacing w:val="-13"/>
        </w:rPr>
        <w:t> </w:t>
      </w:r>
      <w:r>
        <w:rPr/>
        <w:t>ребенок-мигрант</w:t>
      </w:r>
      <w:r>
        <w:rPr>
          <w:spacing w:val="-14"/>
        </w:rPr>
        <w:t> </w:t>
      </w:r>
      <w:r>
        <w:rPr/>
        <w:t>попал</w:t>
      </w:r>
      <w:r>
        <w:rPr>
          <w:spacing w:val="-14"/>
        </w:rPr>
        <w:t> </w:t>
      </w:r>
      <w:r>
        <w:rPr/>
        <w:t>в</w:t>
      </w:r>
      <w:r>
        <w:rPr>
          <w:spacing w:val="-14"/>
        </w:rPr>
        <w:t> </w:t>
      </w:r>
      <w:r>
        <w:rPr/>
        <w:t>категорию</w:t>
      </w:r>
      <w:r>
        <w:rPr>
          <w:spacing w:val="-14"/>
        </w:rPr>
        <w:t> </w:t>
      </w:r>
      <w:r>
        <w:rPr/>
        <w:t>отвергаемых</w:t>
      </w:r>
      <w:r>
        <w:rPr>
          <w:spacing w:val="-15"/>
        </w:rPr>
        <w:t> </w:t>
      </w:r>
      <w:r>
        <w:rPr/>
        <w:t>или</w:t>
      </w:r>
      <w:r>
        <w:rPr>
          <w:spacing w:val="-17"/>
        </w:rPr>
        <w:t> </w:t>
      </w:r>
      <w:r>
        <w:rPr/>
        <w:t>не</w:t>
      </w:r>
      <w:r>
        <w:rPr>
          <w:spacing w:val="-13"/>
        </w:rPr>
        <w:t> </w:t>
      </w:r>
      <w:r>
        <w:rPr/>
        <w:t>получил</w:t>
      </w:r>
      <w:r>
        <w:rPr>
          <w:spacing w:val="-14"/>
        </w:rPr>
        <w:t> </w:t>
      </w:r>
      <w:r>
        <w:rPr/>
        <w:t>ни одного</w:t>
      </w:r>
      <w:r>
        <w:rPr>
          <w:spacing w:val="-15"/>
        </w:rPr>
        <w:t> </w:t>
      </w:r>
      <w:r>
        <w:rPr/>
        <w:t>выбора</w:t>
      </w:r>
      <w:r>
        <w:rPr>
          <w:spacing w:val="-15"/>
        </w:rPr>
        <w:t> </w:t>
      </w:r>
      <w:r>
        <w:rPr/>
        <w:t>(как</w:t>
      </w:r>
      <w:r>
        <w:rPr>
          <w:spacing w:val="-17"/>
        </w:rPr>
        <w:t> </w:t>
      </w:r>
      <w:r>
        <w:rPr/>
        <w:t>положительного,</w:t>
      </w:r>
      <w:r>
        <w:rPr>
          <w:spacing w:val="-15"/>
        </w:rPr>
        <w:t> </w:t>
      </w:r>
      <w:r>
        <w:rPr/>
        <w:t>так</w:t>
      </w:r>
      <w:r>
        <w:rPr>
          <w:spacing w:val="-15"/>
        </w:rPr>
        <w:t> </w:t>
      </w:r>
      <w:r>
        <w:rPr/>
        <w:t>и</w:t>
      </w:r>
      <w:r>
        <w:rPr>
          <w:spacing w:val="-15"/>
        </w:rPr>
        <w:t> </w:t>
      </w:r>
      <w:r>
        <w:rPr/>
        <w:t>отрицательного),</w:t>
      </w:r>
      <w:r>
        <w:rPr>
          <w:spacing w:val="-18"/>
        </w:rPr>
        <w:t> </w:t>
      </w:r>
      <w:r>
        <w:rPr/>
        <w:t>это</w:t>
      </w:r>
      <w:r>
        <w:rPr>
          <w:spacing w:val="-14"/>
        </w:rPr>
        <w:t> </w:t>
      </w:r>
      <w:r>
        <w:rPr/>
        <w:t>говорит</w:t>
      </w:r>
      <w:r>
        <w:rPr>
          <w:spacing w:val="-18"/>
        </w:rPr>
        <w:t> </w:t>
      </w:r>
      <w:r>
        <w:rPr/>
        <w:t>о</w:t>
      </w:r>
      <w:r>
        <w:rPr>
          <w:spacing w:val="-14"/>
        </w:rPr>
        <w:t> </w:t>
      </w:r>
      <w:r>
        <w:rPr/>
        <w:t>том, что он плохо включен в сообщество одноклассников. Это может быть следствием затруднений в культурной адаптации, связанных с ведущей для школьника культурной средой — школой. Следует подчеркнуть, что данный</w:t>
      </w:r>
    </w:p>
    <w:p>
      <w:pPr>
        <w:pStyle w:val="Heading4"/>
        <w:spacing w:after="0" w:line="276" w:lineRule="auto"/>
        <w:sectPr>
          <w:pgSz w:w="11910" w:h="16840"/>
          <w:pgMar w:header="0" w:footer="956" w:top="1040" w:bottom="1220" w:left="0" w:right="0"/>
        </w:sectPr>
      </w:pPr>
    </w:p>
    <w:p>
      <w:pPr>
        <w:pStyle w:val="Heading4"/>
        <w:spacing w:line="278" w:lineRule="auto" w:before="67"/>
        <w:ind w:left="1702" w:right="851"/>
      </w:pPr>
      <w:r>
        <w:rPr/>
        <w:t>вывод может являться только предварительным и требует дополнительной </w:t>
      </w:r>
      <w:r>
        <w:rPr>
          <w:spacing w:val="-2"/>
        </w:rPr>
        <w:t>проверки.</w:t>
      </w:r>
    </w:p>
    <w:p>
      <w:pPr>
        <w:pStyle w:val="Heading4"/>
        <w:spacing w:line="276" w:lineRule="auto"/>
        <w:ind w:left="1702" w:right="843" w:firstLine="566"/>
      </w:pPr>
      <w:r>
        <w:rPr/>
        <w:t>Если ученик-мигрант попал в «низкостатусные», это нужно анализировать дополнительно. Например, ученик может быть причислен к группе «низкостатусных» как потому, что его никто не выбрал, так и потому, что одноклассники выбирали его в равной степени положительно и отрицательно. Это требует качественного анализа. При наличии в классе других детей с миграционным опытом психолог анализирует — есть ли у ребенка-иностранного гражданина выбор между ним и детьми без миграционного</w:t>
      </w:r>
      <w:r>
        <w:rPr>
          <w:spacing w:val="-12"/>
        </w:rPr>
        <w:t> </w:t>
      </w:r>
      <w:r>
        <w:rPr/>
        <w:t>опыта.</w:t>
      </w:r>
      <w:r>
        <w:rPr>
          <w:spacing w:val="-13"/>
        </w:rPr>
        <w:t> </w:t>
      </w:r>
      <w:r>
        <w:rPr/>
        <w:t>Именно</w:t>
      </w:r>
      <w:r>
        <w:rPr>
          <w:spacing w:val="-12"/>
        </w:rPr>
        <w:t> </w:t>
      </w:r>
      <w:r>
        <w:rPr/>
        <w:t>они</w:t>
      </w:r>
      <w:r>
        <w:rPr>
          <w:spacing w:val="-12"/>
        </w:rPr>
        <w:t> </w:t>
      </w:r>
      <w:r>
        <w:rPr/>
        <w:t>могут</w:t>
      </w:r>
      <w:r>
        <w:rPr>
          <w:spacing w:val="-13"/>
        </w:rPr>
        <w:t> </w:t>
      </w:r>
      <w:r>
        <w:rPr/>
        <w:t>быть</w:t>
      </w:r>
      <w:r>
        <w:rPr>
          <w:spacing w:val="-14"/>
        </w:rPr>
        <w:t> </w:t>
      </w:r>
      <w:r>
        <w:rPr/>
        <w:t>учтены</w:t>
      </w:r>
      <w:r>
        <w:rPr>
          <w:spacing w:val="-12"/>
        </w:rPr>
        <w:t> </w:t>
      </w:r>
      <w:r>
        <w:rPr/>
        <w:t>при</w:t>
      </w:r>
      <w:r>
        <w:rPr>
          <w:spacing w:val="-14"/>
        </w:rPr>
        <w:t> </w:t>
      </w:r>
      <w:r>
        <w:rPr/>
        <w:t>оценке</w:t>
      </w:r>
      <w:r>
        <w:rPr>
          <w:spacing w:val="-12"/>
        </w:rPr>
        <w:t> </w:t>
      </w:r>
      <w:r>
        <w:rPr/>
        <w:t>культурной </w:t>
      </w:r>
      <w:r>
        <w:rPr>
          <w:spacing w:val="-2"/>
        </w:rPr>
        <w:t>адаптации.</w:t>
      </w:r>
    </w:p>
    <w:p>
      <w:pPr>
        <w:pStyle w:val="Heading4"/>
        <w:spacing w:line="276" w:lineRule="auto"/>
        <w:ind w:left="1702" w:right="847" w:firstLine="566"/>
      </w:pPr>
      <w:r>
        <w:rPr/>
        <w:t>В ситуации, когда диагностика проводится в классе с высокой долей обучающихся-мигрантов</w:t>
      </w:r>
      <w:r>
        <w:rPr>
          <w:spacing w:val="-13"/>
        </w:rPr>
        <w:t> </w:t>
      </w:r>
      <w:r>
        <w:rPr/>
        <w:t>(более</w:t>
      </w:r>
      <w:r>
        <w:rPr>
          <w:spacing w:val="-15"/>
        </w:rPr>
        <w:t> </w:t>
      </w:r>
      <w:r>
        <w:rPr/>
        <w:t>20%),</w:t>
      </w:r>
      <w:r>
        <w:rPr>
          <w:spacing w:val="-13"/>
        </w:rPr>
        <w:t> </w:t>
      </w:r>
      <w:r>
        <w:rPr/>
        <w:t>сам</w:t>
      </w:r>
      <w:r>
        <w:rPr>
          <w:spacing w:val="-13"/>
        </w:rPr>
        <w:t> </w:t>
      </w:r>
      <w:r>
        <w:rPr/>
        <w:t>по</w:t>
      </w:r>
      <w:r>
        <w:rPr>
          <w:spacing w:val="-12"/>
        </w:rPr>
        <w:t> </w:t>
      </w:r>
      <w:r>
        <w:rPr/>
        <w:t>себе</w:t>
      </w:r>
      <w:r>
        <w:rPr>
          <w:spacing w:val="-12"/>
        </w:rPr>
        <w:t> </w:t>
      </w:r>
      <w:r>
        <w:rPr/>
        <w:t>«статус»</w:t>
      </w:r>
      <w:r>
        <w:rPr>
          <w:spacing w:val="-14"/>
        </w:rPr>
        <w:t> </w:t>
      </w:r>
      <w:r>
        <w:rPr/>
        <w:t>может</w:t>
      </w:r>
      <w:r>
        <w:rPr>
          <w:spacing w:val="-12"/>
        </w:rPr>
        <w:t> </w:t>
      </w:r>
      <w:r>
        <w:rPr/>
        <w:t>не</w:t>
      </w:r>
      <w:r>
        <w:rPr>
          <w:spacing w:val="-12"/>
        </w:rPr>
        <w:t> </w:t>
      </w:r>
      <w:r>
        <w:rPr/>
        <w:t>говорить об уровне культурной адаптации. В этом случае показателем культурной адаптации может являться количество выборов, которые дети-мигранты получают от одноклассников без миграционного опыта.</w:t>
      </w:r>
    </w:p>
    <w:p>
      <w:pPr>
        <w:spacing w:line="276" w:lineRule="auto" w:before="236"/>
        <w:ind w:left="1702" w:right="843" w:firstLine="566"/>
        <w:jc w:val="both"/>
        <w:rPr>
          <w:i/>
          <w:sz w:val="28"/>
        </w:rPr>
      </w:pPr>
      <w:r>
        <w:rPr>
          <w:sz w:val="28"/>
        </w:rPr>
        <w:t>В</w:t>
      </w:r>
      <w:r>
        <w:rPr>
          <w:spacing w:val="-11"/>
          <w:sz w:val="28"/>
        </w:rPr>
        <w:t> </w:t>
      </w:r>
      <w:r>
        <w:rPr>
          <w:b/>
          <w:sz w:val="28"/>
        </w:rPr>
        <w:t>расширенный</w:t>
      </w:r>
      <w:r>
        <w:rPr>
          <w:b/>
          <w:spacing w:val="-12"/>
          <w:sz w:val="28"/>
        </w:rPr>
        <w:t> </w:t>
      </w:r>
      <w:r>
        <w:rPr>
          <w:b/>
          <w:sz w:val="28"/>
        </w:rPr>
        <w:t>набор</w:t>
      </w:r>
      <w:r>
        <w:rPr>
          <w:b/>
          <w:spacing w:val="-12"/>
          <w:sz w:val="28"/>
        </w:rPr>
        <w:t> </w:t>
      </w:r>
      <w:r>
        <w:rPr>
          <w:sz w:val="28"/>
        </w:rPr>
        <w:t>диагностики</w:t>
      </w:r>
      <w:r>
        <w:rPr>
          <w:spacing w:val="-11"/>
          <w:sz w:val="28"/>
        </w:rPr>
        <w:t> </w:t>
      </w:r>
      <w:r>
        <w:rPr>
          <w:sz w:val="28"/>
        </w:rPr>
        <w:t>для</w:t>
      </w:r>
      <w:r>
        <w:rPr>
          <w:spacing w:val="-11"/>
          <w:sz w:val="28"/>
        </w:rPr>
        <w:t> </w:t>
      </w:r>
      <w:r>
        <w:rPr>
          <w:sz w:val="28"/>
        </w:rPr>
        <w:t>начальной</w:t>
      </w:r>
      <w:r>
        <w:rPr>
          <w:spacing w:val="-11"/>
          <w:sz w:val="28"/>
        </w:rPr>
        <w:t> </w:t>
      </w:r>
      <w:r>
        <w:rPr>
          <w:sz w:val="28"/>
        </w:rPr>
        <w:t>школы</w:t>
      </w:r>
      <w:r>
        <w:rPr>
          <w:spacing w:val="-13"/>
          <w:sz w:val="28"/>
        </w:rPr>
        <w:t> </w:t>
      </w:r>
      <w:r>
        <w:rPr>
          <w:sz w:val="28"/>
        </w:rPr>
        <w:t>входит</w:t>
      </w:r>
      <w:r>
        <w:rPr>
          <w:spacing w:val="-9"/>
          <w:sz w:val="28"/>
        </w:rPr>
        <w:t> </w:t>
      </w:r>
      <w:r>
        <w:rPr>
          <w:i/>
          <w:sz w:val="28"/>
        </w:rPr>
        <w:t>карта стандартизованного</w:t>
      </w:r>
      <w:r>
        <w:rPr>
          <w:i/>
          <w:spacing w:val="40"/>
          <w:sz w:val="28"/>
        </w:rPr>
        <w:t> </w:t>
      </w:r>
      <w:r>
        <w:rPr>
          <w:i/>
          <w:sz w:val="28"/>
        </w:rPr>
        <w:t>наблюдения</w:t>
      </w:r>
      <w:r>
        <w:rPr>
          <w:i/>
          <w:spacing w:val="40"/>
          <w:sz w:val="28"/>
        </w:rPr>
        <w:t> </w:t>
      </w:r>
      <w:r>
        <w:rPr>
          <w:i/>
          <w:sz w:val="28"/>
        </w:rPr>
        <w:t>детей</w:t>
      </w:r>
      <w:r>
        <w:rPr>
          <w:i/>
          <w:spacing w:val="40"/>
          <w:sz w:val="28"/>
        </w:rPr>
        <w:t> </w:t>
      </w:r>
      <w:r>
        <w:rPr>
          <w:i/>
          <w:sz w:val="28"/>
        </w:rPr>
        <w:t>и</w:t>
      </w:r>
      <w:r>
        <w:rPr>
          <w:i/>
          <w:spacing w:val="40"/>
          <w:sz w:val="28"/>
        </w:rPr>
        <w:t> </w:t>
      </w:r>
      <w:r>
        <w:rPr>
          <w:i/>
          <w:sz w:val="28"/>
        </w:rPr>
        <w:t>подростков</w:t>
      </w:r>
      <w:r>
        <w:rPr>
          <w:i/>
          <w:spacing w:val="40"/>
          <w:sz w:val="28"/>
        </w:rPr>
        <w:t> </w:t>
      </w:r>
      <w:r>
        <w:rPr>
          <w:i/>
          <w:sz w:val="28"/>
        </w:rPr>
        <w:t>из</w:t>
      </w:r>
      <w:r>
        <w:rPr>
          <w:i/>
          <w:spacing w:val="40"/>
          <w:sz w:val="28"/>
        </w:rPr>
        <w:t> </w:t>
      </w:r>
      <w:r>
        <w:rPr>
          <w:i/>
          <w:sz w:val="28"/>
        </w:rPr>
        <w:t>семей</w:t>
      </w:r>
      <w:r>
        <w:rPr>
          <w:i/>
          <w:spacing w:val="40"/>
          <w:sz w:val="28"/>
        </w:rPr>
        <w:t> </w:t>
      </w:r>
      <w:r>
        <w:rPr>
          <w:i/>
          <w:sz w:val="28"/>
        </w:rPr>
        <w:t>мигрантов</w:t>
      </w:r>
    </w:p>
    <w:p>
      <w:pPr>
        <w:pStyle w:val="Heading5"/>
        <w:spacing w:before="1"/>
        <w:ind w:left="1702"/>
        <w:jc w:val="both"/>
      </w:pPr>
      <w:r>
        <w:rPr/>
        <w:t>«Стратегии</w:t>
      </w:r>
      <w:r>
        <w:rPr>
          <w:spacing w:val="-11"/>
        </w:rPr>
        <w:t> </w:t>
      </w:r>
      <w:r>
        <w:rPr>
          <w:spacing w:val="-2"/>
        </w:rPr>
        <w:t>адаптации».</w:t>
      </w:r>
    </w:p>
    <w:p>
      <w:pPr>
        <w:pStyle w:val="Heading4"/>
        <w:spacing w:line="276" w:lineRule="auto" w:before="48"/>
        <w:ind w:left="1702" w:right="845" w:firstLine="566"/>
      </w:pPr>
      <w:r>
        <w:rPr/>
        <w:t>Она предлагается для заполнения классному руководителю после того, как</w:t>
      </w:r>
      <w:r>
        <w:rPr>
          <w:spacing w:val="-3"/>
        </w:rPr>
        <w:t> </w:t>
      </w:r>
      <w:r>
        <w:rPr/>
        <w:t>ребенок-мигрант</w:t>
      </w:r>
      <w:r>
        <w:rPr>
          <w:spacing w:val="-3"/>
        </w:rPr>
        <w:t> </w:t>
      </w:r>
      <w:r>
        <w:rPr/>
        <w:t>проучился</w:t>
      </w:r>
      <w:r>
        <w:rPr>
          <w:spacing w:val="-3"/>
        </w:rPr>
        <w:t> </w:t>
      </w:r>
      <w:r>
        <w:rPr/>
        <w:t>в</w:t>
      </w:r>
      <w:r>
        <w:rPr>
          <w:spacing w:val="-3"/>
        </w:rPr>
        <w:t> </w:t>
      </w:r>
      <w:r>
        <w:rPr/>
        <w:t>классе</w:t>
      </w:r>
      <w:r>
        <w:rPr>
          <w:spacing w:val="-3"/>
        </w:rPr>
        <w:t> </w:t>
      </w:r>
      <w:r>
        <w:rPr/>
        <w:t>не</w:t>
      </w:r>
      <w:r>
        <w:rPr>
          <w:spacing w:val="-3"/>
        </w:rPr>
        <w:t> </w:t>
      </w:r>
      <w:r>
        <w:rPr/>
        <w:t>менее</w:t>
      </w:r>
      <w:r>
        <w:rPr>
          <w:spacing w:val="-3"/>
        </w:rPr>
        <w:t> </w:t>
      </w:r>
      <w:r>
        <w:rPr/>
        <w:t>месяца.</w:t>
      </w:r>
      <w:r>
        <w:rPr>
          <w:spacing w:val="-6"/>
        </w:rPr>
        <w:t> </w:t>
      </w:r>
      <w:r>
        <w:rPr/>
        <w:t>Психолог</w:t>
      </w:r>
      <w:r>
        <w:rPr>
          <w:spacing w:val="-3"/>
        </w:rPr>
        <w:t> </w:t>
      </w:r>
      <w:r>
        <w:rPr/>
        <w:t>знакомит педагога с содержанием карты наблюдения, отвечает на вопросы педагога, проясняет непонятные моменты. Далее рекомендуется, чтобы педагог понаблюдал за ребенком минимум неделю, ориентируясь на пункты карты наблюдения, как бы держа ее перед глазами, и только потом приступил к ее </w:t>
      </w:r>
      <w:r>
        <w:rPr>
          <w:spacing w:val="-2"/>
        </w:rPr>
        <w:t>заполнению.</w:t>
      </w:r>
    </w:p>
    <w:p>
      <w:pPr>
        <w:pStyle w:val="Heading4"/>
        <w:spacing w:line="276" w:lineRule="auto" w:before="1"/>
        <w:ind w:left="1702" w:right="851" w:firstLine="566"/>
      </w:pPr>
      <w:r>
        <w:rPr/>
        <w:t>В результате обработки данных психолог получает информацию о степени</w:t>
      </w:r>
      <w:r>
        <w:rPr>
          <w:spacing w:val="-4"/>
        </w:rPr>
        <w:t> </w:t>
      </w:r>
      <w:r>
        <w:rPr/>
        <w:t>выраженности</w:t>
      </w:r>
      <w:r>
        <w:rPr>
          <w:spacing w:val="-4"/>
        </w:rPr>
        <w:t> </w:t>
      </w:r>
      <w:r>
        <w:rPr/>
        <w:t>трех</w:t>
      </w:r>
      <w:r>
        <w:rPr>
          <w:spacing w:val="-4"/>
        </w:rPr>
        <w:t> </w:t>
      </w:r>
      <w:r>
        <w:rPr/>
        <w:t>стратегий</w:t>
      </w:r>
      <w:r>
        <w:rPr>
          <w:spacing w:val="-4"/>
        </w:rPr>
        <w:t> </w:t>
      </w:r>
      <w:r>
        <w:rPr/>
        <w:t>аккультурации:</w:t>
      </w:r>
      <w:r>
        <w:rPr>
          <w:spacing w:val="-4"/>
        </w:rPr>
        <w:t> </w:t>
      </w:r>
      <w:r>
        <w:rPr/>
        <w:t>интеграции,</w:t>
      </w:r>
      <w:r>
        <w:rPr>
          <w:spacing w:val="-5"/>
        </w:rPr>
        <w:t> </w:t>
      </w:r>
      <w:r>
        <w:rPr/>
        <w:t>сепарации и маргинализации. Диагностика ассимиляции с использованием данной методики не рекомендована так как по результатам психометрического анализа результатов апробации она показывает низкую (недостаточную) </w:t>
      </w:r>
      <w:r>
        <w:rPr>
          <w:spacing w:val="-2"/>
        </w:rPr>
        <w:t>надежность.</w:t>
      </w:r>
    </w:p>
    <w:p>
      <w:pPr>
        <w:pStyle w:val="Heading4"/>
        <w:spacing w:line="276" w:lineRule="auto"/>
        <w:ind w:left="1702" w:right="843" w:firstLine="566"/>
      </w:pPr>
      <w:r>
        <w:rPr/>
        <w:t>Вначале эти данные нужно соотнести с результатами «Опросника аккультурации для детей и подростков». Если они сильно противоречат друг другу (например, по данным опросника, ребенок предпочитает стратегию сепарации, а карта наблюдения «Стратегии адаптации» свидетельствует, что сепарация</w:t>
      </w:r>
      <w:r>
        <w:rPr>
          <w:spacing w:val="-2"/>
        </w:rPr>
        <w:t> </w:t>
      </w:r>
      <w:r>
        <w:rPr/>
        <w:t>—</w:t>
      </w:r>
      <w:r>
        <w:rPr>
          <w:spacing w:val="-5"/>
        </w:rPr>
        <w:t> </w:t>
      </w:r>
      <w:r>
        <w:rPr/>
        <w:t>наименее</w:t>
      </w:r>
      <w:r>
        <w:rPr>
          <w:spacing w:val="-3"/>
        </w:rPr>
        <w:t> </w:t>
      </w:r>
      <w:r>
        <w:rPr/>
        <w:t>выраженная</w:t>
      </w:r>
      <w:r>
        <w:rPr>
          <w:spacing w:val="-2"/>
        </w:rPr>
        <w:t> </w:t>
      </w:r>
      <w:r>
        <w:rPr/>
        <w:t>стратегия),</w:t>
      </w:r>
      <w:r>
        <w:rPr>
          <w:spacing w:val="-3"/>
        </w:rPr>
        <w:t> </w:t>
      </w:r>
      <w:r>
        <w:rPr/>
        <w:t>то</w:t>
      </w:r>
      <w:r>
        <w:rPr>
          <w:spacing w:val="-4"/>
        </w:rPr>
        <w:t> </w:t>
      </w:r>
      <w:r>
        <w:rPr/>
        <w:t>рекомендуется</w:t>
      </w:r>
      <w:r>
        <w:rPr>
          <w:spacing w:val="-2"/>
        </w:rPr>
        <w:t> </w:t>
      </w:r>
      <w:r>
        <w:rPr/>
        <w:t>предложить</w:t>
      </w:r>
    </w:p>
    <w:p>
      <w:pPr>
        <w:pStyle w:val="Heading4"/>
        <w:spacing w:after="0" w:line="276" w:lineRule="auto"/>
        <w:sectPr>
          <w:pgSz w:w="11910" w:h="16840"/>
          <w:pgMar w:header="0" w:footer="956" w:top="1040" w:bottom="1220" w:left="0" w:right="0"/>
        </w:sectPr>
      </w:pPr>
    </w:p>
    <w:p>
      <w:pPr>
        <w:pStyle w:val="Heading4"/>
        <w:spacing w:line="278" w:lineRule="auto" w:before="67"/>
        <w:ind w:left="1702" w:right="853"/>
      </w:pPr>
      <w:r>
        <w:rPr/>
        <w:t>ребенку еще раз ответить на вопросы опросника и дополнительно понаблюдать за ребенком, обращая внимание на спорные моменты.</w:t>
      </w:r>
    </w:p>
    <w:p>
      <w:pPr>
        <w:pStyle w:val="Heading4"/>
        <w:spacing w:line="276" w:lineRule="auto"/>
        <w:ind w:left="1702" w:right="843" w:firstLine="566"/>
      </w:pPr>
      <w:r>
        <w:rPr/>
        <w:t>В случае если острых противоречий нет, различия между опросником и картой</w:t>
      </w:r>
      <w:r>
        <w:rPr>
          <w:spacing w:val="-8"/>
        </w:rPr>
        <w:t> </w:t>
      </w:r>
      <w:r>
        <w:rPr/>
        <w:t>наблюдений</w:t>
      </w:r>
      <w:r>
        <w:rPr>
          <w:spacing w:val="-11"/>
        </w:rPr>
        <w:t> </w:t>
      </w:r>
      <w:r>
        <w:rPr/>
        <w:t>следует</w:t>
      </w:r>
      <w:r>
        <w:rPr>
          <w:spacing w:val="-9"/>
        </w:rPr>
        <w:t> </w:t>
      </w:r>
      <w:r>
        <w:rPr/>
        <w:t>трактовать</w:t>
      </w:r>
      <w:r>
        <w:rPr>
          <w:spacing w:val="-10"/>
        </w:rPr>
        <w:t> </w:t>
      </w:r>
      <w:r>
        <w:rPr/>
        <w:t>следующим</w:t>
      </w:r>
      <w:r>
        <w:rPr>
          <w:spacing w:val="-8"/>
        </w:rPr>
        <w:t> </w:t>
      </w:r>
      <w:r>
        <w:rPr/>
        <w:t>образом.</w:t>
      </w:r>
      <w:r>
        <w:rPr>
          <w:spacing w:val="-9"/>
        </w:rPr>
        <w:t> </w:t>
      </w:r>
      <w:r>
        <w:rPr/>
        <w:t>Опросник</w:t>
      </w:r>
      <w:r>
        <w:rPr>
          <w:spacing w:val="-1"/>
        </w:rPr>
        <w:t> </w:t>
      </w:r>
      <w:r>
        <w:rPr/>
        <w:t>—</w:t>
      </w:r>
      <w:r>
        <w:rPr>
          <w:spacing w:val="-9"/>
        </w:rPr>
        <w:t> </w:t>
      </w:r>
      <w:r>
        <w:rPr/>
        <w:t>это то, как сам ребенок видит ситуацию. Карта наблюдения — то, как ее видит классный руководитель. Эти два взгляда не обязательно должны совпадать, однако их совпадение позволяет с большей уверенностью сделать диагностический вывод про стратегию аккультурации.</w:t>
      </w:r>
    </w:p>
    <w:p>
      <w:pPr>
        <w:pStyle w:val="Heading4"/>
        <w:spacing w:line="276" w:lineRule="auto"/>
        <w:ind w:left="1702" w:right="851" w:firstLine="566"/>
      </w:pPr>
      <w:r>
        <w:rPr/>
        <w:t>Далее</w:t>
      </w:r>
      <w:r>
        <w:rPr>
          <w:spacing w:val="-16"/>
        </w:rPr>
        <w:t> </w:t>
      </w:r>
      <w:r>
        <w:rPr/>
        <w:t>баллы,</w:t>
      </w:r>
      <w:r>
        <w:rPr>
          <w:spacing w:val="-16"/>
        </w:rPr>
        <w:t> </w:t>
      </w:r>
      <w:r>
        <w:rPr/>
        <w:t>набранные</w:t>
      </w:r>
      <w:r>
        <w:rPr>
          <w:spacing w:val="-16"/>
        </w:rPr>
        <w:t> </w:t>
      </w:r>
      <w:r>
        <w:rPr/>
        <w:t>по</w:t>
      </w:r>
      <w:r>
        <w:rPr>
          <w:spacing w:val="-15"/>
        </w:rPr>
        <w:t> </w:t>
      </w:r>
      <w:r>
        <w:rPr/>
        <w:t>шкале</w:t>
      </w:r>
      <w:r>
        <w:rPr>
          <w:spacing w:val="-16"/>
        </w:rPr>
        <w:t> </w:t>
      </w:r>
      <w:r>
        <w:rPr/>
        <w:t>«интеграция»,</w:t>
      </w:r>
      <w:r>
        <w:rPr>
          <w:spacing w:val="-17"/>
        </w:rPr>
        <w:t> </w:t>
      </w:r>
      <w:r>
        <w:rPr/>
        <w:t>сравниваются</w:t>
      </w:r>
      <w:r>
        <w:rPr>
          <w:spacing w:val="-16"/>
        </w:rPr>
        <w:t> </w:t>
      </w:r>
      <w:r>
        <w:rPr/>
        <w:t>с</w:t>
      </w:r>
      <w:r>
        <w:rPr>
          <w:spacing w:val="-16"/>
        </w:rPr>
        <w:t> </w:t>
      </w:r>
      <w:r>
        <w:rPr/>
        <w:t>баллами по</w:t>
      </w:r>
      <w:r>
        <w:rPr>
          <w:spacing w:val="-3"/>
        </w:rPr>
        <w:t> </w:t>
      </w:r>
      <w:r>
        <w:rPr/>
        <w:t>другим</w:t>
      </w:r>
      <w:r>
        <w:rPr>
          <w:spacing w:val="-3"/>
        </w:rPr>
        <w:t> </w:t>
      </w:r>
      <w:r>
        <w:rPr/>
        <w:t>шкалам.</w:t>
      </w:r>
      <w:r>
        <w:rPr>
          <w:spacing w:val="-5"/>
        </w:rPr>
        <w:t> </w:t>
      </w:r>
      <w:r>
        <w:rPr/>
        <w:t>Целью</w:t>
      </w:r>
      <w:r>
        <w:rPr>
          <w:spacing w:val="-4"/>
        </w:rPr>
        <w:t> </w:t>
      </w:r>
      <w:r>
        <w:rPr/>
        <w:t>психологической</w:t>
      </w:r>
      <w:r>
        <w:rPr>
          <w:spacing w:val="-3"/>
        </w:rPr>
        <w:t> </w:t>
      </w:r>
      <w:r>
        <w:rPr/>
        <w:t>работы</w:t>
      </w:r>
      <w:r>
        <w:rPr>
          <w:spacing w:val="-4"/>
        </w:rPr>
        <w:t> </w:t>
      </w:r>
      <w:r>
        <w:rPr/>
        <w:t>по</w:t>
      </w:r>
      <w:r>
        <w:rPr>
          <w:spacing w:val="-2"/>
        </w:rPr>
        <w:t> </w:t>
      </w:r>
      <w:r>
        <w:rPr/>
        <w:t>культурной</w:t>
      </w:r>
      <w:r>
        <w:rPr>
          <w:spacing w:val="-2"/>
        </w:rPr>
        <w:t> </w:t>
      </w:r>
      <w:r>
        <w:rPr/>
        <w:t>адаптации будет являться достижение выраженной стратегии интеграции и слабой выраженности маргинализации. Достижение этих показателей может свидетельствовать об успешной культурной адаптации.</w:t>
      </w:r>
    </w:p>
    <w:p>
      <w:pPr>
        <w:pStyle w:val="Heading4"/>
        <w:spacing w:line="276" w:lineRule="auto"/>
        <w:ind w:left="1702" w:right="850" w:firstLine="566"/>
      </w:pPr>
      <w:r>
        <w:rPr/>
        <w:t>Выраженность стратегий аккультурации может меняться в процессе культурной адаптации.</w:t>
      </w:r>
    </w:p>
    <w:p>
      <w:pPr>
        <w:pStyle w:val="Heading4"/>
        <w:spacing w:line="276" w:lineRule="auto"/>
        <w:ind w:left="1702" w:right="847" w:firstLine="566"/>
      </w:pPr>
      <w:r>
        <w:rPr/>
        <w:t>Также</w:t>
      </w:r>
      <w:r>
        <w:rPr>
          <w:spacing w:val="-9"/>
        </w:rPr>
        <w:t> </w:t>
      </w:r>
      <w:r>
        <w:rPr/>
        <w:t>данные</w:t>
      </w:r>
      <w:r>
        <w:rPr>
          <w:spacing w:val="-10"/>
        </w:rPr>
        <w:t> </w:t>
      </w:r>
      <w:r>
        <w:rPr/>
        <w:t>карты</w:t>
      </w:r>
      <w:r>
        <w:rPr>
          <w:spacing w:val="-7"/>
        </w:rPr>
        <w:t> </w:t>
      </w:r>
      <w:r>
        <w:rPr/>
        <w:t>наблюдения</w:t>
      </w:r>
      <w:r>
        <w:rPr>
          <w:spacing w:val="-9"/>
        </w:rPr>
        <w:t> </w:t>
      </w:r>
      <w:r>
        <w:rPr/>
        <w:t>можно</w:t>
      </w:r>
      <w:r>
        <w:rPr>
          <w:spacing w:val="-9"/>
        </w:rPr>
        <w:t> </w:t>
      </w:r>
      <w:r>
        <w:rPr/>
        <w:t>использовать</w:t>
      </w:r>
      <w:r>
        <w:rPr>
          <w:spacing w:val="-10"/>
        </w:rPr>
        <w:t> </w:t>
      </w:r>
      <w:r>
        <w:rPr/>
        <w:t>для</w:t>
      </w:r>
      <w:r>
        <w:rPr>
          <w:spacing w:val="-9"/>
        </w:rPr>
        <w:t> </w:t>
      </w:r>
      <w:r>
        <w:rPr/>
        <w:t>качественного анализа:</w:t>
      </w:r>
      <w:r>
        <w:rPr>
          <w:spacing w:val="-15"/>
        </w:rPr>
        <w:t> </w:t>
      </w:r>
      <w:r>
        <w:rPr/>
        <w:t>она</w:t>
      </w:r>
      <w:r>
        <w:rPr>
          <w:spacing w:val="-16"/>
        </w:rPr>
        <w:t> </w:t>
      </w:r>
      <w:r>
        <w:rPr/>
        <w:t>позволяет</w:t>
      </w:r>
      <w:r>
        <w:rPr>
          <w:spacing w:val="-14"/>
        </w:rPr>
        <w:t> </w:t>
      </w:r>
      <w:r>
        <w:rPr/>
        <w:t>определить</w:t>
      </w:r>
      <w:r>
        <w:rPr>
          <w:spacing w:val="-15"/>
        </w:rPr>
        <w:t> </w:t>
      </w:r>
      <w:r>
        <w:rPr/>
        <w:t>проблемные</w:t>
      </w:r>
      <w:r>
        <w:rPr>
          <w:spacing w:val="-14"/>
        </w:rPr>
        <w:t> </w:t>
      </w:r>
      <w:r>
        <w:rPr/>
        <w:t>зоны</w:t>
      </w:r>
      <w:r>
        <w:rPr>
          <w:spacing w:val="-14"/>
        </w:rPr>
        <w:t> </w:t>
      </w:r>
      <w:r>
        <w:rPr/>
        <w:t>с</w:t>
      </w:r>
      <w:r>
        <w:rPr>
          <w:spacing w:val="-14"/>
        </w:rPr>
        <w:t> </w:t>
      </w:r>
      <w:r>
        <w:rPr/>
        <w:t>точки</w:t>
      </w:r>
      <w:r>
        <w:rPr>
          <w:spacing w:val="-14"/>
        </w:rPr>
        <w:t> </w:t>
      </w:r>
      <w:r>
        <w:rPr/>
        <w:t>зрения</w:t>
      </w:r>
      <w:r>
        <w:rPr>
          <w:spacing w:val="-14"/>
        </w:rPr>
        <w:t> </w:t>
      </w:r>
      <w:r>
        <w:rPr/>
        <w:t>движения от</w:t>
      </w:r>
      <w:r>
        <w:rPr>
          <w:spacing w:val="-3"/>
        </w:rPr>
        <w:t> </w:t>
      </w:r>
      <w:r>
        <w:rPr/>
        <w:t>маргинализации</w:t>
      </w:r>
      <w:r>
        <w:rPr>
          <w:spacing w:val="-4"/>
        </w:rPr>
        <w:t> </w:t>
      </w:r>
      <w:r>
        <w:rPr/>
        <w:t>к</w:t>
      </w:r>
      <w:r>
        <w:rPr>
          <w:spacing w:val="-3"/>
        </w:rPr>
        <w:t> </w:t>
      </w:r>
      <w:r>
        <w:rPr/>
        <w:t>интеграции</w:t>
      </w:r>
      <w:r>
        <w:rPr>
          <w:spacing w:val="-4"/>
        </w:rPr>
        <w:t> </w:t>
      </w:r>
      <w:r>
        <w:rPr/>
        <w:t>и</w:t>
      </w:r>
      <w:r>
        <w:rPr>
          <w:spacing w:val="-2"/>
        </w:rPr>
        <w:t> </w:t>
      </w:r>
      <w:r>
        <w:rPr/>
        <w:t>сосредоточить работу</w:t>
      </w:r>
      <w:r>
        <w:rPr>
          <w:spacing w:val="-7"/>
        </w:rPr>
        <w:t> </w:t>
      </w:r>
      <w:r>
        <w:rPr/>
        <w:t>по</w:t>
      </w:r>
      <w:r>
        <w:rPr>
          <w:spacing w:val="-4"/>
        </w:rPr>
        <w:t> </w:t>
      </w:r>
      <w:r>
        <w:rPr/>
        <w:t>психологической поддержке</w:t>
      </w:r>
      <w:r>
        <w:rPr>
          <w:spacing w:val="60"/>
          <w:w w:val="150"/>
        </w:rPr>
        <w:t> </w:t>
      </w:r>
      <w:r>
        <w:rPr/>
        <w:t>именно</w:t>
      </w:r>
      <w:r>
        <w:rPr>
          <w:spacing w:val="61"/>
          <w:w w:val="150"/>
        </w:rPr>
        <w:t> </w:t>
      </w:r>
      <w:r>
        <w:rPr/>
        <w:t>на</w:t>
      </w:r>
      <w:r>
        <w:rPr>
          <w:spacing w:val="61"/>
          <w:w w:val="150"/>
        </w:rPr>
        <w:t> </w:t>
      </w:r>
      <w:r>
        <w:rPr/>
        <w:t>этих</w:t>
      </w:r>
      <w:r>
        <w:rPr>
          <w:spacing w:val="63"/>
          <w:w w:val="150"/>
        </w:rPr>
        <w:t> </w:t>
      </w:r>
      <w:r>
        <w:rPr/>
        <w:t>зонах.</w:t>
      </w:r>
      <w:r>
        <w:rPr>
          <w:spacing w:val="61"/>
          <w:w w:val="150"/>
        </w:rPr>
        <w:t> </w:t>
      </w:r>
      <w:r>
        <w:rPr/>
        <w:t>Так,</w:t>
      </w:r>
      <w:r>
        <w:rPr>
          <w:spacing w:val="60"/>
          <w:w w:val="150"/>
        </w:rPr>
        <w:t> </w:t>
      </w:r>
      <w:r>
        <w:rPr/>
        <w:t>например,</w:t>
      </w:r>
      <w:r>
        <w:rPr>
          <w:spacing w:val="61"/>
          <w:w w:val="150"/>
        </w:rPr>
        <w:t> </w:t>
      </w:r>
      <w:r>
        <w:rPr/>
        <w:t>если</w:t>
      </w:r>
      <w:r>
        <w:rPr>
          <w:spacing w:val="60"/>
          <w:w w:val="150"/>
        </w:rPr>
        <w:t> </w:t>
      </w:r>
      <w:r>
        <w:rPr/>
        <w:t>на</w:t>
      </w:r>
      <w:r>
        <w:rPr>
          <w:spacing w:val="62"/>
          <w:w w:val="150"/>
        </w:rPr>
        <w:t> </w:t>
      </w:r>
      <w:r>
        <w:rPr>
          <w:spacing w:val="-2"/>
        </w:rPr>
        <w:t>утверждения</w:t>
      </w:r>
    </w:p>
    <w:p>
      <w:pPr>
        <w:pStyle w:val="Heading4"/>
        <w:spacing w:line="276" w:lineRule="auto"/>
        <w:ind w:left="1702" w:right="851"/>
      </w:pPr>
      <w:r>
        <w:rPr/>
        <w:t>«Угощает одноклассников блюдами национальной кухни» и «Учит одноклассников</w:t>
      </w:r>
      <w:r>
        <w:rPr>
          <w:spacing w:val="-18"/>
        </w:rPr>
        <w:t> </w:t>
      </w:r>
      <w:r>
        <w:rPr/>
        <w:t>играм</w:t>
      </w:r>
      <w:r>
        <w:rPr>
          <w:spacing w:val="-17"/>
        </w:rPr>
        <w:t> </w:t>
      </w:r>
      <w:r>
        <w:rPr/>
        <w:t>своего</w:t>
      </w:r>
      <w:r>
        <w:rPr>
          <w:spacing w:val="-18"/>
        </w:rPr>
        <w:t> </w:t>
      </w:r>
      <w:r>
        <w:rPr/>
        <w:t>народа»</w:t>
      </w:r>
      <w:r>
        <w:rPr>
          <w:spacing w:val="-17"/>
        </w:rPr>
        <w:t> </w:t>
      </w:r>
      <w:r>
        <w:rPr/>
        <w:t>классный</w:t>
      </w:r>
      <w:r>
        <w:rPr>
          <w:spacing w:val="-18"/>
        </w:rPr>
        <w:t> </w:t>
      </w:r>
      <w:r>
        <w:rPr/>
        <w:t>руководитель</w:t>
      </w:r>
      <w:r>
        <w:rPr>
          <w:spacing w:val="-17"/>
        </w:rPr>
        <w:t> </w:t>
      </w:r>
      <w:r>
        <w:rPr/>
        <w:t>поставил</w:t>
      </w:r>
      <w:r>
        <w:rPr>
          <w:spacing w:val="-18"/>
        </w:rPr>
        <w:t> </w:t>
      </w:r>
      <w:r>
        <w:rPr/>
        <w:t>минус (отсутствует), то можно предложить это организовать самому учителю.</w:t>
      </w:r>
    </w:p>
    <w:p>
      <w:pPr>
        <w:pStyle w:val="Heading3"/>
        <w:spacing w:before="244"/>
        <w:ind w:left="1702"/>
      </w:pPr>
      <w:r>
        <w:rPr/>
        <w:t>Средняя</w:t>
      </w:r>
      <w:r>
        <w:rPr>
          <w:spacing w:val="-7"/>
        </w:rPr>
        <w:t> </w:t>
      </w:r>
      <w:r>
        <w:rPr>
          <w:spacing w:val="-4"/>
        </w:rPr>
        <w:t>школа</w:t>
      </w:r>
    </w:p>
    <w:p>
      <w:pPr>
        <w:spacing w:before="240"/>
        <w:ind w:left="2268" w:right="0" w:firstLine="0"/>
        <w:jc w:val="left"/>
        <w:rPr>
          <w:sz w:val="28"/>
        </w:rPr>
      </w:pPr>
      <w:r>
        <w:rPr>
          <w:sz w:val="28"/>
        </w:rPr>
        <w:t>В</w:t>
      </w:r>
      <w:r>
        <w:rPr>
          <w:spacing w:val="-9"/>
          <w:sz w:val="28"/>
        </w:rPr>
        <w:t> </w:t>
      </w:r>
      <w:r>
        <w:rPr>
          <w:b/>
          <w:sz w:val="28"/>
        </w:rPr>
        <w:t>базовый</w:t>
      </w:r>
      <w:r>
        <w:rPr>
          <w:b/>
          <w:spacing w:val="-6"/>
          <w:sz w:val="28"/>
        </w:rPr>
        <w:t> </w:t>
      </w:r>
      <w:r>
        <w:rPr>
          <w:b/>
          <w:sz w:val="28"/>
        </w:rPr>
        <w:t>набор</w:t>
      </w:r>
      <w:r>
        <w:rPr>
          <w:b/>
          <w:spacing w:val="-6"/>
          <w:sz w:val="28"/>
        </w:rPr>
        <w:t> </w:t>
      </w:r>
      <w:r>
        <w:rPr>
          <w:sz w:val="28"/>
        </w:rPr>
        <w:t>диагностики</w:t>
      </w:r>
      <w:r>
        <w:rPr>
          <w:spacing w:val="-5"/>
          <w:sz w:val="28"/>
        </w:rPr>
        <w:t> </w:t>
      </w:r>
      <w:r>
        <w:rPr>
          <w:sz w:val="28"/>
        </w:rPr>
        <w:t>для</w:t>
      </w:r>
      <w:r>
        <w:rPr>
          <w:spacing w:val="-5"/>
          <w:sz w:val="28"/>
        </w:rPr>
        <w:t> </w:t>
      </w:r>
      <w:r>
        <w:rPr>
          <w:sz w:val="28"/>
        </w:rPr>
        <w:t>средней</w:t>
      </w:r>
      <w:r>
        <w:rPr>
          <w:spacing w:val="-4"/>
          <w:sz w:val="28"/>
        </w:rPr>
        <w:t> </w:t>
      </w:r>
      <w:r>
        <w:rPr>
          <w:sz w:val="28"/>
        </w:rPr>
        <w:t>школы</w:t>
      </w:r>
      <w:r>
        <w:rPr>
          <w:spacing w:val="-5"/>
          <w:sz w:val="28"/>
        </w:rPr>
        <w:t> </w:t>
      </w:r>
      <w:r>
        <w:rPr>
          <w:spacing w:val="-2"/>
          <w:sz w:val="28"/>
        </w:rPr>
        <w:t>входят:</w:t>
      </w:r>
    </w:p>
    <w:p>
      <w:pPr>
        <w:pStyle w:val="Heading4"/>
        <w:numPr>
          <w:ilvl w:val="1"/>
          <w:numId w:val="7"/>
        </w:numPr>
        <w:tabs>
          <w:tab w:pos="3402" w:val="left" w:leader="none"/>
        </w:tabs>
        <w:spacing w:line="240" w:lineRule="auto" w:before="50" w:after="0"/>
        <w:ind w:left="3402" w:right="0" w:hanging="359"/>
        <w:jc w:val="left"/>
      </w:pPr>
      <w:r>
        <w:rPr/>
        <w:t>Опросник</w:t>
      </w:r>
      <w:r>
        <w:rPr>
          <w:spacing w:val="-7"/>
        </w:rPr>
        <w:t> </w:t>
      </w:r>
      <w:r>
        <w:rPr/>
        <w:t>аккультурации</w:t>
      </w:r>
      <w:r>
        <w:rPr>
          <w:spacing w:val="-5"/>
        </w:rPr>
        <w:t> </w:t>
      </w:r>
      <w:r>
        <w:rPr/>
        <w:t>для</w:t>
      </w:r>
      <w:r>
        <w:rPr>
          <w:spacing w:val="-8"/>
        </w:rPr>
        <w:t> </w:t>
      </w:r>
      <w:r>
        <w:rPr/>
        <w:t>детей</w:t>
      </w:r>
      <w:r>
        <w:rPr>
          <w:spacing w:val="-5"/>
        </w:rPr>
        <w:t> </w:t>
      </w:r>
      <w:r>
        <w:rPr/>
        <w:t>и</w:t>
      </w:r>
      <w:r>
        <w:rPr>
          <w:spacing w:val="-4"/>
        </w:rPr>
        <w:t> </w:t>
      </w:r>
      <w:r>
        <w:rPr>
          <w:spacing w:val="-2"/>
        </w:rPr>
        <w:t>подростков.</w:t>
      </w:r>
    </w:p>
    <w:p>
      <w:pPr>
        <w:pStyle w:val="Heading4"/>
        <w:numPr>
          <w:ilvl w:val="1"/>
          <w:numId w:val="7"/>
        </w:numPr>
        <w:tabs>
          <w:tab w:pos="3402" w:val="left" w:leader="none"/>
        </w:tabs>
        <w:spacing w:line="240" w:lineRule="auto" w:before="32" w:after="0"/>
        <w:ind w:left="3402" w:right="0" w:hanging="359"/>
        <w:jc w:val="left"/>
      </w:pPr>
      <w:r>
        <w:rPr/>
        <w:t>Социометрический</w:t>
      </w:r>
      <w:r>
        <w:rPr>
          <w:spacing w:val="-14"/>
        </w:rPr>
        <w:t> </w:t>
      </w:r>
      <w:r>
        <w:rPr>
          <w:spacing w:val="-2"/>
        </w:rPr>
        <w:t>тест.</w:t>
      </w:r>
    </w:p>
    <w:p>
      <w:pPr>
        <w:pStyle w:val="Heading4"/>
        <w:numPr>
          <w:ilvl w:val="1"/>
          <w:numId w:val="7"/>
        </w:numPr>
        <w:tabs>
          <w:tab w:pos="3402" w:val="left" w:leader="none"/>
        </w:tabs>
        <w:spacing w:line="240" w:lineRule="auto" w:before="33" w:after="0"/>
        <w:ind w:left="3402" w:right="0" w:hanging="359"/>
        <w:jc w:val="left"/>
      </w:pPr>
      <w:r>
        <w:rPr/>
        <w:t>Детский</w:t>
      </w:r>
      <w:r>
        <w:rPr>
          <w:spacing w:val="-13"/>
        </w:rPr>
        <w:t> </w:t>
      </w:r>
      <w:r>
        <w:rPr/>
        <w:t>опросник</w:t>
      </w:r>
      <w:r>
        <w:rPr>
          <w:spacing w:val="-9"/>
        </w:rPr>
        <w:t> </w:t>
      </w:r>
      <w:r>
        <w:rPr/>
        <w:t>аккультурационного</w:t>
      </w:r>
      <w:r>
        <w:rPr>
          <w:spacing w:val="-12"/>
        </w:rPr>
        <w:t> </w:t>
      </w:r>
      <w:r>
        <w:rPr>
          <w:spacing w:val="-2"/>
        </w:rPr>
        <w:t>стресса.</w:t>
      </w:r>
    </w:p>
    <w:p>
      <w:pPr>
        <w:pStyle w:val="Heading4"/>
        <w:spacing w:line="276" w:lineRule="auto" w:before="276"/>
        <w:ind w:left="1702" w:right="843" w:firstLine="566"/>
      </w:pPr>
      <w:r>
        <w:rPr>
          <w:i/>
        </w:rPr>
        <w:t>Опросник аккультурации для детей и подростков </w:t>
      </w:r>
      <w:r>
        <w:rPr/>
        <w:t>предлагается в более развернутой (по сравнению с начальной школой) форме — 14 вопросов. Работа</w:t>
      </w:r>
      <w:r>
        <w:rPr>
          <w:spacing w:val="-14"/>
        </w:rPr>
        <w:t> </w:t>
      </w:r>
      <w:r>
        <w:rPr/>
        <w:t>с</w:t>
      </w:r>
      <w:r>
        <w:rPr>
          <w:spacing w:val="-14"/>
        </w:rPr>
        <w:t> </w:t>
      </w:r>
      <w:r>
        <w:rPr/>
        <w:t>ним</w:t>
      </w:r>
      <w:r>
        <w:rPr>
          <w:spacing w:val="-14"/>
        </w:rPr>
        <w:t> </w:t>
      </w:r>
      <w:r>
        <w:rPr/>
        <w:t>аналогична</w:t>
      </w:r>
      <w:r>
        <w:rPr>
          <w:spacing w:val="-14"/>
        </w:rPr>
        <w:t> </w:t>
      </w:r>
      <w:r>
        <w:rPr/>
        <w:t>работе</w:t>
      </w:r>
      <w:r>
        <w:rPr>
          <w:spacing w:val="-14"/>
        </w:rPr>
        <w:t> </w:t>
      </w:r>
      <w:r>
        <w:rPr/>
        <w:t>с</w:t>
      </w:r>
      <w:r>
        <w:rPr>
          <w:spacing w:val="-14"/>
        </w:rPr>
        <w:t> </w:t>
      </w:r>
      <w:r>
        <w:rPr/>
        <w:t>вариантом</w:t>
      </w:r>
      <w:r>
        <w:rPr>
          <w:spacing w:val="-16"/>
        </w:rPr>
        <w:t> </w:t>
      </w:r>
      <w:r>
        <w:rPr/>
        <w:t>для</w:t>
      </w:r>
      <w:r>
        <w:rPr>
          <w:spacing w:val="-13"/>
        </w:rPr>
        <w:t> </w:t>
      </w:r>
      <w:r>
        <w:rPr/>
        <w:t>начальной</w:t>
      </w:r>
      <w:r>
        <w:rPr>
          <w:spacing w:val="-16"/>
        </w:rPr>
        <w:t> </w:t>
      </w:r>
      <w:r>
        <w:rPr/>
        <w:t>школы</w:t>
      </w:r>
      <w:r>
        <w:rPr>
          <w:spacing w:val="-13"/>
        </w:rPr>
        <w:t> </w:t>
      </w:r>
      <w:r>
        <w:rPr/>
        <w:t>(см.</w:t>
      </w:r>
      <w:r>
        <w:rPr>
          <w:spacing w:val="-14"/>
        </w:rPr>
        <w:t> </w:t>
      </w:r>
      <w:r>
        <w:rPr/>
        <w:t>выше). Его отличие заключается только в том, что утверждений в нем больше. В остальном проведение данной методики и анализ результатов аналогичны с опросником для начальной школы.</w:t>
      </w:r>
    </w:p>
    <w:p>
      <w:pPr>
        <w:pStyle w:val="Heading4"/>
        <w:spacing w:line="276" w:lineRule="auto" w:before="1"/>
        <w:ind w:left="1702" w:right="850" w:firstLine="566"/>
      </w:pPr>
      <w:r>
        <w:rPr>
          <w:i/>
        </w:rPr>
        <w:t>Социометрический тест, </w:t>
      </w:r>
      <w:r>
        <w:rPr/>
        <w:t>используемый для изучения социального статуса ребенка-мигранта, также не отличается по проведению и обработке данных от варианта для начальной школы (см. выше).</w:t>
      </w:r>
    </w:p>
    <w:p>
      <w:pPr>
        <w:pStyle w:val="Heading4"/>
        <w:spacing w:after="0" w:line="276" w:lineRule="auto"/>
        <w:sectPr>
          <w:pgSz w:w="11910" w:h="16840"/>
          <w:pgMar w:header="0" w:footer="956" w:top="1040" w:bottom="1220" w:left="0" w:right="0"/>
        </w:sectPr>
      </w:pPr>
    </w:p>
    <w:p>
      <w:pPr>
        <w:pStyle w:val="Heading4"/>
        <w:spacing w:line="276" w:lineRule="auto" w:before="67"/>
        <w:ind w:left="1702" w:right="843" w:firstLine="566"/>
      </w:pPr>
      <w:r>
        <w:rPr>
          <w:i/>
        </w:rPr>
        <w:t>Детский опросник аккультурационного стресса </w:t>
      </w:r>
      <w:r>
        <w:rPr/>
        <w:t>нацелен на измерение двух проявлений стресса аккультурации, которые мешают культурной адаптации</w:t>
      </w:r>
      <w:r>
        <w:rPr>
          <w:i/>
        </w:rPr>
        <w:t>. </w:t>
      </w:r>
      <w:r>
        <w:rPr/>
        <w:t>Первое — воспринимаемая дискриминация: насколько ребенок ощущает негативное отношение к себе окружающих (или кажущееся ему таковым)</w:t>
      </w:r>
      <w:r>
        <w:rPr>
          <w:spacing w:val="-14"/>
        </w:rPr>
        <w:t> </w:t>
      </w:r>
      <w:r>
        <w:rPr/>
        <w:t>из-за</w:t>
      </w:r>
      <w:r>
        <w:rPr>
          <w:spacing w:val="-11"/>
        </w:rPr>
        <w:t> </w:t>
      </w:r>
      <w:r>
        <w:rPr/>
        <w:t>его</w:t>
      </w:r>
      <w:r>
        <w:rPr>
          <w:spacing w:val="-13"/>
        </w:rPr>
        <w:t> </w:t>
      </w:r>
      <w:r>
        <w:rPr/>
        <w:t>национальности.</w:t>
      </w:r>
      <w:r>
        <w:rPr>
          <w:spacing w:val="-11"/>
        </w:rPr>
        <w:t> </w:t>
      </w:r>
      <w:r>
        <w:rPr/>
        <w:t>Второе</w:t>
      </w:r>
      <w:r>
        <w:rPr>
          <w:spacing w:val="-8"/>
        </w:rPr>
        <w:t> </w:t>
      </w:r>
      <w:r>
        <w:rPr/>
        <w:t>—</w:t>
      </w:r>
      <w:r>
        <w:rPr>
          <w:spacing w:val="-11"/>
        </w:rPr>
        <w:t> </w:t>
      </w:r>
      <w:r>
        <w:rPr/>
        <w:t>стресс,</w:t>
      </w:r>
      <w:r>
        <w:rPr>
          <w:spacing w:val="-11"/>
        </w:rPr>
        <w:t> </w:t>
      </w:r>
      <w:r>
        <w:rPr/>
        <w:t>связанный</w:t>
      </w:r>
      <w:r>
        <w:rPr>
          <w:spacing w:val="-13"/>
        </w:rPr>
        <w:t> </w:t>
      </w:r>
      <w:r>
        <w:rPr/>
        <w:t>с</w:t>
      </w:r>
      <w:r>
        <w:rPr>
          <w:spacing w:val="-11"/>
        </w:rPr>
        <w:t> </w:t>
      </w:r>
      <w:r>
        <w:rPr/>
        <w:t>миграцией: переживание сложностей вхождения в культуру новой группы. Отсутствие воспринимаемой дискриминации и низкий уровень негативных переживаний являются признаками успешной культурной адаптации. Острое переживание дискриминации в сочетании с ощущением сложности жизни в России свидетельствуют о неуспешной культурной адаптации. Более того, именно переживание дискриминации зачастую является серьезным барьером на пути к культурной адаптации.</w:t>
      </w:r>
    </w:p>
    <w:p>
      <w:pPr>
        <w:pStyle w:val="Heading4"/>
        <w:spacing w:line="276" w:lineRule="auto" w:before="3"/>
        <w:ind w:left="1702" w:right="850" w:firstLine="566"/>
      </w:pPr>
      <w:r>
        <w:rPr/>
        <w:t>По</w:t>
      </w:r>
      <w:r>
        <w:rPr>
          <w:spacing w:val="-15"/>
        </w:rPr>
        <w:t> </w:t>
      </w:r>
      <w:r>
        <w:rPr/>
        <w:t>результатам</w:t>
      </w:r>
      <w:r>
        <w:rPr>
          <w:spacing w:val="-16"/>
        </w:rPr>
        <w:t> </w:t>
      </w:r>
      <w:r>
        <w:rPr/>
        <w:t>обработки</w:t>
      </w:r>
      <w:r>
        <w:rPr>
          <w:spacing w:val="-15"/>
        </w:rPr>
        <w:t> </w:t>
      </w:r>
      <w:r>
        <w:rPr/>
        <w:t>методики</w:t>
      </w:r>
      <w:r>
        <w:rPr>
          <w:spacing w:val="-15"/>
        </w:rPr>
        <w:t> </w:t>
      </w:r>
      <w:r>
        <w:rPr/>
        <w:t>психолог</w:t>
      </w:r>
      <w:r>
        <w:rPr>
          <w:spacing w:val="-16"/>
        </w:rPr>
        <w:t> </w:t>
      </w:r>
      <w:r>
        <w:rPr/>
        <w:t>получает</w:t>
      </w:r>
      <w:r>
        <w:rPr>
          <w:spacing w:val="-16"/>
        </w:rPr>
        <w:t> </w:t>
      </w:r>
      <w:r>
        <w:rPr/>
        <w:t>данные</w:t>
      </w:r>
      <w:r>
        <w:rPr>
          <w:spacing w:val="-16"/>
        </w:rPr>
        <w:t> </w:t>
      </w:r>
      <w:r>
        <w:rPr/>
        <w:t>об</w:t>
      </w:r>
      <w:r>
        <w:rPr>
          <w:spacing w:val="-15"/>
        </w:rPr>
        <w:t> </w:t>
      </w:r>
      <w:r>
        <w:rPr/>
        <w:t>общем уровне аккультурационного стресса. Этот показатель является основой для отнесения ребенка в группу риска и принятия решения о необходимости дальнейшей углубленной диагностики.</w:t>
      </w:r>
    </w:p>
    <w:p>
      <w:pPr>
        <w:pStyle w:val="Heading4"/>
        <w:spacing w:line="276" w:lineRule="auto"/>
        <w:ind w:left="1702" w:right="849" w:firstLine="566"/>
      </w:pPr>
      <w:r>
        <w:rPr/>
        <w:t>Для построения работы по психологическому сопровождению психолог может использовать результаты по отдельным шкалам методики. В случае, например, если стрессовые переживания (вторая шкала) невелики, а более ярко выражено переживание дискриминации, то именно его снижение является главной задачей психологической помощи в области культурной </w:t>
      </w:r>
      <w:r>
        <w:rPr>
          <w:spacing w:val="-2"/>
        </w:rPr>
        <w:t>адаптации.</w:t>
      </w:r>
    </w:p>
    <w:p>
      <w:pPr>
        <w:spacing w:before="241"/>
        <w:ind w:left="2268" w:right="0" w:firstLine="0"/>
        <w:jc w:val="left"/>
        <w:rPr>
          <w:sz w:val="28"/>
        </w:rPr>
      </w:pPr>
      <w:r>
        <w:rPr>
          <w:sz w:val="28"/>
        </w:rPr>
        <w:t>В</w:t>
      </w:r>
      <w:r>
        <w:rPr>
          <w:spacing w:val="-9"/>
          <w:sz w:val="28"/>
        </w:rPr>
        <w:t> </w:t>
      </w:r>
      <w:r>
        <w:rPr>
          <w:b/>
          <w:sz w:val="28"/>
        </w:rPr>
        <w:t>расширенный</w:t>
      </w:r>
      <w:r>
        <w:rPr>
          <w:b/>
          <w:spacing w:val="-6"/>
          <w:sz w:val="28"/>
        </w:rPr>
        <w:t> </w:t>
      </w:r>
      <w:r>
        <w:rPr>
          <w:b/>
          <w:sz w:val="28"/>
        </w:rPr>
        <w:t>набор</w:t>
      </w:r>
      <w:r>
        <w:rPr>
          <w:b/>
          <w:spacing w:val="-7"/>
          <w:sz w:val="28"/>
        </w:rPr>
        <w:t> </w:t>
      </w:r>
      <w:r>
        <w:rPr>
          <w:sz w:val="28"/>
        </w:rPr>
        <w:t>диагностики</w:t>
      </w:r>
      <w:r>
        <w:rPr>
          <w:spacing w:val="-5"/>
          <w:sz w:val="28"/>
        </w:rPr>
        <w:t> </w:t>
      </w:r>
      <w:r>
        <w:rPr>
          <w:sz w:val="28"/>
        </w:rPr>
        <w:t>для</w:t>
      </w:r>
      <w:r>
        <w:rPr>
          <w:spacing w:val="-6"/>
          <w:sz w:val="28"/>
        </w:rPr>
        <w:t> </w:t>
      </w:r>
      <w:r>
        <w:rPr>
          <w:sz w:val="28"/>
        </w:rPr>
        <w:t>средней</w:t>
      </w:r>
      <w:r>
        <w:rPr>
          <w:spacing w:val="-4"/>
          <w:sz w:val="28"/>
        </w:rPr>
        <w:t> </w:t>
      </w:r>
      <w:r>
        <w:rPr>
          <w:sz w:val="28"/>
        </w:rPr>
        <w:t>школы</w:t>
      </w:r>
      <w:r>
        <w:rPr>
          <w:spacing w:val="-5"/>
          <w:sz w:val="28"/>
        </w:rPr>
        <w:t> </w:t>
      </w:r>
      <w:r>
        <w:rPr>
          <w:spacing w:val="-2"/>
          <w:sz w:val="28"/>
        </w:rPr>
        <w:t>входят:</w:t>
      </w:r>
    </w:p>
    <w:p>
      <w:pPr>
        <w:pStyle w:val="Heading4"/>
        <w:numPr>
          <w:ilvl w:val="1"/>
          <w:numId w:val="7"/>
        </w:numPr>
        <w:tabs>
          <w:tab w:pos="3403" w:val="left" w:leader="none"/>
        </w:tabs>
        <w:spacing w:line="264" w:lineRule="auto" w:before="47" w:after="0"/>
        <w:ind w:left="3403" w:right="851" w:hanging="360"/>
        <w:jc w:val="left"/>
      </w:pPr>
      <w:r>
        <w:rPr/>
        <w:t>Карта стандартизованного</w:t>
      </w:r>
      <w:r>
        <w:rPr>
          <w:spacing w:val="33"/>
        </w:rPr>
        <w:t> </w:t>
      </w:r>
      <w:r>
        <w:rPr/>
        <w:t>наблюдения детей</w:t>
      </w:r>
      <w:r>
        <w:rPr>
          <w:spacing w:val="33"/>
        </w:rPr>
        <w:t> </w:t>
      </w:r>
      <w:r>
        <w:rPr/>
        <w:t>и подростков из семей мигрантов «Стратегии адаптации».</w:t>
      </w:r>
    </w:p>
    <w:p>
      <w:pPr>
        <w:pStyle w:val="Heading4"/>
        <w:numPr>
          <w:ilvl w:val="1"/>
          <w:numId w:val="7"/>
        </w:numPr>
        <w:tabs>
          <w:tab w:pos="3402" w:val="left" w:leader="none"/>
        </w:tabs>
        <w:spacing w:line="240" w:lineRule="auto" w:before="16" w:after="0"/>
        <w:ind w:left="3402" w:right="0" w:hanging="359"/>
        <w:jc w:val="left"/>
      </w:pPr>
      <w:r>
        <w:rPr/>
        <w:t>Краткая</w:t>
      </w:r>
      <w:r>
        <w:rPr>
          <w:spacing w:val="-7"/>
        </w:rPr>
        <w:t> </w:t>
      </w:r>
      <w:r>
        <w:rPr/>
        <w:t>шкала</w:t>
      </w:r>
      <w:r>
        <w:rPr>
          <w:spacing w:val="-7"/>
        </w:rPr>
        <w:t> </w:t>
      </w:r>
      <w:r>
        <w:rPr/>
        <w:t>социокультурной</w:t>
      </w:r>
      <w:r>
        <w:rPr>
          <w:spacing w:val="-9"/>
        </w:rPr>
        <w:t> </w:t>
      </w:r>
      <w:r>
        <w:rPr>
          <w:spacing w:val="-2"/>
        </w:rPr>
        <w:t>дезадаптации.</w:t>
      </w:r>
    </w:p>
    <w:p>
      <w:pPr>
        <w:pStyle w:val="Heading4"/>
        <w:numPr>
          <w:ilvl w:val="1"/>
          <w:numId w:val="7"/>
        </w:numPr>
        <w:tabs>
          <w:tab w:pos="3403" w:val="left" w:leader="none"/>
        </w:tabs>
        <w:spacing w:line="264" w:lineRule="auto" w:before="33" w:after="0"/>
        <w:ind w:left="3403" w:right="851" w:hanging="360"/>
        <w:jc w:val="left"/>
      </w:pPr>
      <w:r>
        <w:rPr/>
        <w:t>Методика</w:t>
      </w:r>
      <w:r>
        <w:rPr>
          <w:spacing w:val="40"/>
        </w:rPr>
        <w:t> </w:t>
      </w:r>
      <w:r>
        <w:rPr/>
        <w:t>измерения</w:t>
      </w:r>
      <w:r>
        <w:rPr>
          <w:spacing w:val="40"/>
        </w:rPr>
        <w:t> </w:t>
      </w:r>
      <w:r>
        <w:rPr/>
        <w:t>гражданской</w:t>
      </w:r>
      <w:r>
        <w:rPr>
          <w:spacing w:val="40"/>
        </w:rPr>
        <w:t> </w:t>
      </w:r>
      <w:r>
        <w:rPr/>
        <w:t>идентичности</w:t>
      </w:r>
      <w:r>
        <w:rPr>
          <w:spacing w:val="40"/>
        </w:rPr>
        <w:t> </w:t>
      </w:r>
      <w:r>
        <w:rPr/>
        <w:t>для</w:t>
      </w:r>
      <w:r>
        <w:rPr>
          <w:spacing w:val="40"/>
        </w:rPr>
        <w:t> </w:t>
      </w:r>
      <w:r>
        <w:rPr/>
        <w:t>детей</w:t>
      </w:r>
      <w:r>
        <w:rPr>
          <w:spacing w:val="40"/>
        </w:rPr>
        <w:t> </w:t>
      </w:r>
      <w:r>
        <w:rPr/>
        <w:t>и </w:t>
      </w:r>
      <w:r>
        <w:rPr>
          <w:spacing w:val="-2"/>
        </w:rPr>
        <w:t>подростков.</w:t>
      </w:r>
    </w:p>
    <w:p>
      <w:pPr>
        <w:spacing w:line="276" w:lineRule="auto" w:before="257"/>
        <w:ind w:left="1702" w:right="848" w:firstLine="566"/>
        <w:jc w:val="both"/>
        <w:rPr>
          <w:sz w:val="28"/>
        </w:rPr>
      </w:pPr>
      <w:r>
        <w:rPr>
          <w:i/>
          <w:sz w:val="28"/>
        </w:rPr>
        <w:t>Карта стандартизованного наблюдения детей и подростков из семей мигрантов «Стратегии адаптации» </w:t>
      </w:r>
      <w:r>
        <w:rPr>
          <w:sz w:val="28"/>
        </w:rPr>
        <w:t>используется для оценки степени выраженности трех стратегий аккультурации: интеграции, сепарации и маргинализации. Ее применение не отличается по проведению и обработке данных от варианта для начальной школы (см. выше).</w:t>
      </w:r>
    </w:p>
    <w:p>
      <w:pPr>
        <w:spacing w:line="276" w:lineRule="auto" w:before="0"/>
        <w:ind w:left="1702" w:right="845" w:firstLine="566"/>
        <w:jc w:val="both"/>
        <w:rPr>
          <w:sz w:val="28"/>
        </w:rPr>
      </w:pPr>
      <w:r>
        <w:rPr>
          <w:sz w:val="28"/>
        </w:rPr>
        <w:t>По результатам методики «</w:t>
      </w:r>
      <w:r>
        <w:rPr>
          <w:i/>
          <w:sz w:val="28"/>
        </w:rPr>
        <w:t>Краткая шкала социокультурной дезадаптации</w:t>
      </w:r>
      <w:r>
        <w:rPr>
          <w:sz w:val="28"/>
        </w:rPr>
        <w:t>» можно сделать вывод об уровне социальной дезадаптации у ребенка.</w:t>
      </w:r>
      <w:r>
        <w:rPr>
          <w:spacing w:val="73"/>
          <w:sz w:val="28"/>
        </w:rPr>
        <w:t> </w:t>
      </w:r>
      <w:r>
        <w:rPr>
          <w:sz w:val="28"/>
        </w:rPr>
        <w:t>Каждое</w:t>
      </w:r>
      <w:r>
        <w:rPr>
          <w:spacing w:val="74"/>
          <w:sz w:val="28"/>
        </w:rPr>
        <w:t> </w:t>
      </w:r>
      <w:r>
        <w:rPr>
          <w:sz w:val="28"/>
        </w:rPr>
        <w:t>из</w:t>
      </w:r>
      <w:r>
        <w:rPr>
          <w:spacing w:val="73"/>
          <w:sz w:val="28"/>
        </w:rPr>
        <w:t> </w:t>
      </w:r>
      <w:r>
        <w:rPr>
          <w:sz w:val="28"/>
        </w:rPr>
        <w:t>11</w:t>
      </w:r>
      <w:r>
        <w:rPr>
          <w:spacing w:val="74"/>
          <w:sz w:val="28"/>
        </w:rPr>
        <w:t> </w:t>
      </w:r>
      <w:r>
        <w:rPr>
          <w:sz w:val="28"/>
        </w:rPr>
        <w:t>утверждений</w:t>
      </w:r>
      <w:r>
        <w:rPr>
          <w:spacing w:val="72"/>
          <w:sz w:val="28"/>
        </w:rPr>
        <w:t> </w:t>
      </w:r>
      <w:r>
        <w:rPr>
          <w:sz w:val="28"/>
        </w:rPr>
        <w:t>опросника</w:t>
      </w:r>
      <w:r>
        <w:rPr>
          <w:spacing w:val="72"/>
          <w:sz w:val="28"/>
        </w:rPr>
        <w:t> </w:t>
      </w:r>
      <w:r>
        <w:rPr>
          <w:sz w:val="28"/>
        </w:rPr>
        <w:t>описывает</w:t>
      </w:r>
      <w:r>
        <w:rPr>
          <w:spacing w:val="74"/>
          <w:sz w:val="28"/>
        </w:rPr>
        <w:t> </w:t>
      </w:r>
      <w:r>
        <w:rPr>
          <w:sz w:val="28"/>
        </w:rPr>
        <w:t>какой-то</w:t>
      </w:r>
      <w:r>
        <w:rPr>
          <w:spacing w:val="72"/>
          <w:sz w:val="28"/>
        </w:rPr>
        <w:t> </w:t>
      </w:r>
      <w:r>
        <w:rPr>
          <w:spacing w:val="-4"/>
          <w:sz w:val="28"/>
        </w:rPr>
        <w:t>один</w:t>
      </w:r>
    </w:p>
    <w:p>
      <w:pPr>
        <w:spacing w:after="0" w:line="276" w:lineRule="auto"/>
        <w:jc w:val="both"/>
        <w:rPr>
          <w:sz w:val="28"/>
        </w:rPr>
        <w:sectPr>
          <w:pgSz w:w="11910" w:h="16840"/>
          <w:pgMar w:header="0" w:footer="956" w:top="1040" w:bottom="1220" w:left="0" w:right="0"/>
        </w:sectPr>
      </w:pPr>
    </w:p>
    <w:p>
      <w:pPr>
        <w:pStyle w:val="Heading4"/>
        <w:spacing w:line="278" w:lineRule="auto" w:before="67"/>
        <w:ind w:left="1702" w:right="846"/>
      </w:pPr>
      <w:r>
        <w:rPr/>
        <w:t>аспект сложностей, с которыми сталкивается обучающийся-мигрант в повседневной жизни на новом месте.</w:t>
      </w:r>
    </w:p>
    <w:p>
      <w:pPr>
        <w:pStyle w:val="Heading4"/>
        <w:spacing w:line="276" w:lineRule="auto"/>
        <w:ind w:left="1702" w:right="846" w:firstLine="566"/>
      </w:pPr>
      <w:r>
        <w:rPr/>
        <w:t>Методика проста, при ее проведении не должно возникать трудностей, связанных с пониманием, за исключением фразы «Добиваться понимания от других людей». Ее можно дополнительно расшифровать: «Насколько тебе трудно делать так, чтобы другие люди в России (одноклассники, учителя, продавцы в магазине) тебя понимали».</w:t>
      </w:r>
    </w:p>
    <w:p>
      <w:pPr>
        <w:pStyle w:val="Heading4"/>
        <w:spacing w:line="276" w:lineRule="auto"/>
        <w:ind w:left="1702" w:right="852" w:firstLine="566"/>
      </w:pPr>
      <w:r>
        <w:rPr/>
        <w:t>Если, прочитав утверждение «Соблюдать свою религию», ребенок говорит, что он не религиозен, ответ на этот вопрос обозначается как «очень </w:t>
      </w:r>
      <w:r>
        <w:rPr>
          <w:spacing w:val="-2"/>
        </w:rPr>
        <w:t>легко».</w:t>
      </w:r>
    </w:p>
    <w:p>
      <w:pPr>
        <w:pStyle w:val="Heading4"/>
        <w:spacing w:line="276" w:lineRule="auto"/>
        <w:ind w:left="1702" w:right="844" w:firstLine="566"/>
      </w:pPr>
      <w:r>
        <w:rPr/>
        <w:t>Кроме общей оценки дезадаптации для психолога имеет значение качественный анализ. По каждому из пунктов, где ребенок отметил «очень трудно»</w:t>
      </w:r>
      <w:r>
        <w:rPr>
          <w:spacing w:val="-15"/>
        </w:rPr>
        <w:t> </w:t>
      </w:r>
      <w:r>
        <w:rPr/>
        <w:t>или</w:t>
      </w:r>
      <w:r>
        <w:rPr>
          <w:spacing w:val="-11"/>
        </w:rPr>
        <w:t> </w:t>
      </w:r>
      <w:r>
        <w:rPr/>
        <w:t>«трудно»,</w:t>
      </w:r>
      <w:r>
        <w:rPr>
          <w:spacing w:val="-12"/>
        </w:rPr>
        <w:t> </w:t>
      </w:r>
      <w:r>
        <w:rPr/>
        <w:t>необходимо</w:t>
      </w:r>
      <w:r>
        <w:rPr>
          <w:spacing w:val="-13"/>
        </w:rPr>
        <w:t> </w:t>
      </w:r>
      <w:r>
        <w:rPr/>
        <w:t>попросить:</w:t>
      </w:r>
      <w:r>
        <w:rPr>
          <w:spacing w:val="-12"/>
        </w:rPr>
        <w:t> </w:t>
      </w:r>
      <w:r>
        <w:rPr/>
        <w:t>«Приведи</w:t>
      </w:r>
      <w:r>
        <w:rPr>
          <w:spacing w:val="-13"/>
        </w:rPr>
        <w:t> </w:t>
      </w:r>
      <w:r>
        <w:rPr/>
        <w:t>примеры</w:t>
      </w:r>
      <w:r>
        <w:rPr>
          <w:spacing w:val="-11"/>
        </w:rPr>
        <w:t> </w:t>
      </w:r>
      <w:r>
        <w:rPr/>
        <w:t>того,</w:t>
      </w:r>
      <w:r>
        <w:rPr>
          <w:spacing w:val="-12"/>
        </w:rPr>
        <w:t> </w:t>
      </w:r>
      <w:r>
        <w:rPr/>
        <w:t>когда тебе было трудно в последнее время» (называется конкретная трудность из опросника,</w:t>
      </w:r>
      <w:r>
        <w:rPr>
          <w:spacing w:val="-1"/>
        </w:rPr>
        <w:t> </w:t>
      </w:r>
      <w:r>
        <w:rPr/>
        <w:t>например, делать</w:t>
      </w:r>
      <w:r>
        <w:rPr>
          <w:spacing w:val="-1"/>
        </w:rPr>
        <w:t> </w:t>
      </w:r>
      <w:r>
        <w:rPr/>
        <w:t>покупки или общаться с одноклассниками). Это позволит получить информацию о контексте, в котором проявляются трудности в адаптации, и выстроить работу, направленную на решение конкретных проблем конкретного ребенка.</w:t>
      </w:r>
    </w:p>
    <w:p>
      <w:pPr>
        <w:pStyle w:val="Heading4"/>
        <w:spacing w:line="276" w:lineRule="auto"/>
        <w:ind w:left="1702" w:right="851" w:firstLine="566"/>
      </w:pPr>
      <w:r>
        <w:rPr/>
        <w:t>Также важно, чтобы ребенок ответил, насколько его волнует каждая из этих трудностей (где он отметил «очень трудно» или «трудно») и почему. В первую очередь помощь ребенку должна идти в тех направлениях дезадаптации, которые больше беспокоят его самого</w:t>
      </w:r>
    </w:p>
    <w:p>
      <w:pPr>
        <w:pStyle w:val="Heading4"/>
        <w:spacing w:line="276" w:lineRule="auto"/>
        <w:ind w:left="1702" w:right="850" w:firstLine="566"/>
      </w:pPr>
      <w:r>
        <w:rPr/>
        <w:t>Если позволяет владение языком, можно попросить ответить на вопрос, из-за чего, по мнению ребенка, эти трудности возникают. Это позволит определить локус контроля: насколько ребенок считает эти трудности зависящими от него.</w:t>
      </w:r>
    </w:p>
    <w:p>
      <w:pPr>
        <w:pStyle w:val="Heading4"/>
        <w:spacing w:line="276" w:lineRule="auto"/>
        <w:ind w:left="1702" w:right="844" w:firstLine="566"/>
      </w:pPr>
      <w:r>
        <w:rPr>
          <w:i/>
        </w:rPr>
        <w:t>Методика измерения гражданской идентичности для детей и подростков </w:t>
      </w:r>
      <w:r>
        <w:rPr/>
        <w:t>применяется для измерения российской гражданской идентичности школьников и их идентичности со страной исхода. Под российской гражданской идентичностью в данном случае понимается ощущение связи со страной, куда переехала семья ребенка — Россией. Под идентичностью со страной исхода — переживание тождества со страной исхода (родиной).</w:t>
      </w:r>
    </w:p>
    <w:p>
      <w:pPr>
        <w:pStyle w:val="Heading4"/>
        <w:spacing w:line="276" w:lineRule="auto"/>
        <w:ind w:left="1702" w:right="850" w:firstLine="566"/>
      </w:pPr>
      <w:r>
        <w:rPr/>
        <w:t>В результате психолог получает данные, насколько ребенок ощущает связь со своей родиной, привязан к ней, а также о том, насколько данная идентичность связана с позитивными эмоциями. Как низкая, так и высокая выраженность идентичности со страной исхода не являются сами по себе маркерами психологических проблем. Однако в случае высокой выраженности</w:t>
      </w:r>
      <w:r>
        <w:rPr>
          <w:spacing w:val="74"/>
        </w:rPr>
        <w:t> </w:t>
      </w:r>
      <w:r>
        <w:rPr/>
        <w:t>с</w:t>
      </w:r>
      <w:r>
        <w:rPr>
          <w:spacing w:val="76"/>
        </w:rPr>
        <w:t> </w:t>
      </w:r>
      <w:r>
        <w:rPr/>
        <w:t>родиной</w:t>
      </w:r>
      <w:r>
        <w:rPr>
          <w:spacing w:val="74"/>
        </w:rPr>
        <w:t> </w:t>
      </w:r>
      <w:r>
        <w:rPr/>
        <w:t>она</w:t>
      </w:r>
      <w:r>
        <w:rPr>
          <w:spacing w:val="73"/>
        </w:rPr>
        <w:t> </w:t>
      </w:r>
      <w:r>
        <w:rPr/>
        <w:t>становится</w:t>
      </w:r>
      <w:r>
        <w:rPr>
          <w:spacing w:val="76"/>
        </w:rPr>
        <w:t> </w:t>
      </w:r>
      <w:r>
        <w:rPr/>
        <w:t>ресурсом</w:t>
      </w:r>
      <w:r>
        <w:rPr>
          <w:spacing w:val="73"/>
        </w:rPr>
        <w:t> </w:t>
      </w:r>
      <w:r>
        <w:rPr/>
        <w:t>для</w:t>
      </w:r>
      <w:r>
        <w:rPr>
          <w:spacing w:val="74"/>
        </w:rPr>
        <w:t> </w:t>
      </w:r>
      <w:r>
        <w:rPr>
          <w:spacing w:val="-2"/>
        </w:rPr>
        <w:t>психологического</w:t>
      </w:r>
    </w:p>
    <w:p>
      <w:pPr>
        <w:pStyle w:val="Heading4"/>
        <w:spacing w:after="0" w:line="276" w:lineRule="auto"/>
        <w:sectPr>
          <w:pgSz w:w="11910" w:h="16840"/>
          <w:pgMar w:header="0" w:footer="956" w:top="1040" w:bottom="1220" w:left="0" w:right="0"/>
        </w:sectPr>
      </w:pPr>
    </w:p>
    <w:p>
      <w:pPr>
        <w:pStyle w:val="Heading4"/>
        <w:spacing w:line="276" w:lineRule="auto" w:before="67"/>
        <w:ind w:left="1702" w:right="853"/>
      </w:pPr>
      <w:r>
        <w:rPr/>
        <w:t>благополучия, без которого, в свою очередь, невозможна успешная культурная адаптация. И наоборот, слабая идентичность со страной исхода сильно связана с выраженностью различных параметров психологического </w:t>
      </w:r>
      <w:r>
        <w:rPr>
          <w:spacing w:val="-2"/>
        </w:rPr>
        <w:t>неблагополучия.</w:t>
      </w:r>
    </w:p>
    <w:p>
      <w:pPr>
        <w:pStyle w:val="Heading4"/>
        <w:spacing w:line="276" w:lineRule="auto" w:before="3"/>
        <w:ind w:left="1702" w:right="844" w:firstLine="566"/>
      </w:pPr>
      <w:r>
        <w:rPr/>
        <w:t>Высокая выраженность российской гражданской идентичности является признаком успешной культурной адаптации. При этом низкая выраженность российской</w:t>
      </w:r>
      <w:r>
        <w:rPr>
          <w:spacing w:val="-3"/>
        </w:rPr>
        <w:t> </w:t>
      </w:r>
      <w:r>
        <w:rPr/>
        <w:t>идентичности</w:t>
      </w:r>
      <w:r>
        <w:rPr>
          <w:spacing w:val="-3"/>
        </w:rPr>
        <w:t> </w:t>
      </w:r>
      <w:r>
        <w:rPr/>
        <w:t>не</w:t>
      </w:r>
      <w:r>
        <w:rPr>
          <w:spacing w:val="-6"/>
        </w:rPr>
        <w:t> </w:t>
      </w:r>
      <w:r>
        <w:rPr/>
        <w:t>обязательно</w:t>
      </w:r>
      <w:r>
        <w:rPr>
          <w:spacing w:val="-3"/>
        </w:rPr>
        <w:t> </w:t>
      </w:r>
      <w:r>
        <w:rPr/>
        <w:t>является</w:t>
      </w:r>
      <w:r>
        <w:rPr>
          <w:spacing w:val="-6"/>
        </w:rPr>
        <w:t> </w:t>
      </w:r>
      <w:r>
        <w:rPr/>
        <w:t>проблемой.</w:t>
      </w:r>
      <w:r>
        <w:rPr>
          <w:spacing w:val="-4"/>
        </w:rPr>
        <w:t> </w:t>
      </w:r>
      <w:r>
        <w:rPr/>
        <w:t>Возможно,</w:t>
      </w:r>
      <w:r>
        <w:rPr>
          <w:spacing w:val="-4"/>
        </w:rPr>
        <w:t> </w:t>
      </w:r>
      <w:r>
        <w:rPr/>
        <w:t>это отражение</w:t>
      </w:r>
      <w:r>
        <w:rPr>
          <w:spacing w:val="-18"/>
        </w:rPr>
        <w:t> </w:t>
      </w:r>
      <w:r>
        <w:rPr/>
        <w:t>жизненных</w:t>
      </w:r>
      <w:r>
        <w:rPr>
          <w:spacing w:val="-17"/>
        </w:rPr>
        <w:t> </w:t>
      </w:r>
      <w:r>
        <w:rPr/>
        <w:t>планов</w:t>
      </w:r>
      <w:r>
        <w:rPr>
          <w:spacing w:val="-18"/>
        </w:rPr>
        <w:t> </w:t>
      </w:r>
      <w:r>
        <w:rPr/>
        <w:t>семьи,</w:t>
      </w:r>
      <w:r>
        <w:rPr>
          <w:spacing w:val="-17"/>
        </w:rPr>
        <w:t> </w:t>
      </w:r>
      <w:r>
        <w:rPr/>
        <w:t>ориентированной</w:t>
      </w:r>
      <w:r>
        <w:rPr>
          <w:spacing w:val="-18"/>
        </w:rPr>
        <w:t> </w:t>
      </w:r>
      <w:r>
        <w:rPr/>
        <w:t>на</w:t>
      </w:r>
      <w:r>
        <w:rPr>
          <w:spacing w:val="-17"/>
        </w:rPr>
        <w:t> </w:t>
      </w:r>
      <w:r>
        <w:rPr/>
        <w:t>скорое</w:t>
      </w:r>
      <w:r>
        <w:rPr>
          <w:spacing w:val="-18"/>
        </w:rPr>
        <w:t> </w:t>
      </w:r>
      <w:r>
        <w:rPr/>
        <w:t>возвращение на родину. Также это может быть связано с небольшим сроком проживания в стране. Однако в ситуации, когда семья ориентирована на долгосрочное проживание в России и ребенок провел здесь не менее года, низкая выраженность российской идентичности является барьером на пути культурной адаптации.</w:t>
      </w:r>
    </w:p>
    <w:p>
      <w:pPr>
        <w:pStyle w:val="Heading3"/>
        <w:spacing w:before="246"/>
        <w:ind w:left="1702"/>
      </w:pPr>
      <w:r>
        <w:rPr/>
        <w:t>Старшая</w:t>
      </w:r>
      <w:r>
        <w:rPr>
          <w:spacing w:val="-6"/>
        </w:rPr>
        <w:t> </w:t>
      </w:r>
      <w:r>
        <w:rPr>
          <w:spacing w:val="-4"/>
        </w:rPr>
        <w:t>школа</w:t>
      </w:r>
    </w:p>
    <w:p>
      <w:pPr>
        <w:spacing w:before="242"/>
        <w:ind w:left="2268" w:right="0" w:firstLine="0"/>
        <w:jc w:val="left"/>
        <w:rPr>
          <w:sz w:val="28"/>
        </w:rPr>
      </w:pPr>
      <w:r>
        <w:rPr>
          <w:sz w:val="28"/>
        </w:rPr>
        <w:t>В</w:t>
      </w:r>
      <w:r>
        <w:rPr>
          <w:spacing w:val="-8"/>
          <w:sz w:val="28"/>
        </w:rPr>
        <w:t> </w:t>
      </w:r>
      <w:r>
        <w:rPr>
          <w:b/>
          <w:sz w:val="28"/>
        </w:rPr>
        <w:t>базовый</w:t>
      </w:r>
      <w:r>
        <w:rPr>
          <w:b/>
          <w:spacing w:val="-5"/>
          <w:sz w:val="28"/>
        </w:rPr>
        <w:t> </w:t>
      </w:r>
      <w:r>
        <w:rPr>
          <w:b/>
          <w:sz w:val="28"/>
        </w:rPr>
        <w:t>набор</w:t>
      </w:r>
      <w:r>
        <w:rPr>
          <w:b/>
          <w:spacing w:val="-5"/>
          <w:sz w:val="28"/>
        </w:rPr>
        <w:t> </w:t>
      </w:r>
      <w:r>
        <w:rPr>
          <w:sz w:val="28"/>
        </w:rPr>
        <w:t>диагностики</w:t>
      </w:r>
      <w:r>
        <w:rPr>
          <w:spacing w:val="-5"/>
          <w:sz w:val="28"/>
        </w:rPr>
        <w:t> </w:t>
      </w:r>
      <w:r>
        <w:rPr>
          <w:sz w:val="28"/>
        </w:rPr>
        <w:t>для</w:t>
      </w:r>
      <w:r>
        <w:rPr>
          <w:spacing w:val="-4"/>
          <w:sz w:val="28"/>
        </w:rPr>
        <w:t> </w:t>
      </w:r>
      <w:r>
        <w:rPr>
          <w:sz w:val="28"/>
        </w:rPr>
        <w:t>старшей</w:t>
      </w:r>
      <w:r>
        <w:rPr>
          <w:spacing w:val="-4"/>
          <w:sz w:val="28"/>
        </w:rPr>
        <w:t> </w:t>
      </w:r>
      <w:r>
        <w:rPr>
          <w:sz w:val="28"/>
        </w:rPr>
        <w:t>школы</w:t>
      </w:r>
      <w:r>
        <w:rPr>
          <w:spacing w:val="-4"/>
          <w:sz w:val="28"/>
        </w:rPr>
        <w:t> </w:t>
      </w:r>
      <w:r>
        <w:rPr>
          <w:spacing w:val="-2"/>
          <w:sz w:val="28"/>
        </w:rPr>
        <w:t>входят:</w:t>
      </w:r>
    </w:p>
    <w:p>
      <w:pPr>
        <w:pStyle w:val="Heading4"/>
        <w:numPr>
          <w:ilvl w:val="1"/>
          <w:numId w:val="7"/>
        </w:numPr>
        <w:tabs>
          <w:tab w:pos="3402" w:val="left" w:leader="none"/>
        </w:tabs>
        <w:spacing w:line="240" w:lineRule="auto" w:before="47" w:after="0"/>
        <w:ind w:left="3402" w:right="0" w:hanging="359"/>
        <w:jc w:val="left"/>
      </w:pPr>
      <w:r>
        <w:rPr/>
        <w:t>Опросник</w:t>
      </w:r>
      <w:r>
        <w:rPr>
          <w:spacing w:val="-7"/>
        </w:rPr>
        <w:t> </w:t>
      </w:r>
      <w:r>
        <w:rPr/>
        <w:t>аккультурации</w:t>
      </w:r>
      <w:r>
        <w:rPr>
          <w:spacing w:val="-5"/>
        </w:rPr>
        <w:t> </w:t>
      </w:r>
      <w:r>
        <w:rPr/>
        <w:t>для</w:t>
      </w:r>
      <w:r>
        <w:rPr>
          <w:spacing w:val="-8"/>
        </w:rPr>
        <w:t> </w:t>
      </w:r>
      <w:r>
        <w:rPr/>
        <w:t>детей</w:t>
      </w:r>
      <w:r>
        <w:rPr>
          <w:spacing w:val="-5"/>
        </w:rPr>
        <w:t> </w:t>
      </w:r>
      <w:r>
        <w:rPr/>
        <w:t>и</w:t>
      </w:r>
      <w:r>
        <w:rPr>
          <w:spacing w:val="-4"/>
        </w:rPr>
        <w:t> </w:t>
      </w:r>
      <w:r>
        <w:rPr>
          <w:spacing w:val="-2"/>
        </w:rPr>
        <w:t>подростков.</w:t>
      </w:r>
    </w:p>
    <w:p>
      <w:pPr>
        <w:pStyle w:val="Heading4"/>
        <w:numPr>
          <w:ilvl w:val="1"/>
          <w:numId w:val="7"/>
        </w:numPr>
        <w:tabs>
          <w:tab w:pos="3402" w:val="left" w:leader="none"/>
        </w:tabs>
        <w:spacing w:line="240" w:lineRule="auto" w:before="33" w:after="0"/>
        <w:ind w:left="3402" w:right="0" w:hanging="359"/>
        <w:jc w:val="left"/>
      </w:pPr>
      <w:r>
        <w:rPr/>
        <w:t>Социометрический</w:t>
      </w:r>
      <w:r>
        <w:rPr>
          <w:spacing w:val="-14"/>
        </w:rPr>
        <w:t> </w:t>
      </w:r>
      <w:r>
        <w:rPr>
          <w:spacing w:val="-2"/>
        </w:rPr>
        <w:t>тест.</w:t>
      </w:r>
    </w:p>
    <w:p>
      <w:pPr>
        <w:pStyle w:val="Heading4"/>
        <w:numPr>
          <w:ilvl w:val="1"/>
          <w:numId w:val="7"/>
        </w:numPr>
        <w:tabs>
          <w:tab w:pos="3402" w:val="left" w:leader="none"/>
        </w:tabs>
        <w:spacing w:line="240" w:lineRule="auto" w:before="35" w:after="0"/>
        <w:ind w:left="3402" w:right="0" w:hanging="359"/>
        <w:jc w:val="left"/>
      </w:pPr>
      <w:r>
        <w:rPr/>
        <w:t>Детский</w:t>
      </w:r>
      <w:r>
        <w:rPr>
          <w:spacing w:val="-13"/>
        </w:rPr>
        <w:t> </w:t>
      </w:r>
      <w:r>
        <w:rPr/>
        <w:t>опросник</w:t>
      </w:r>
      <w:r>
        <w:rPr>
          <w:spacing w:val="-9"/>
        </w:rPr>
        <w:t> </w:t>
      </w:r>
      <w:r>
        <w:rPr/>
        <w:t>аккультурационного</w:t>
      </w:r>
      <w:r>
        <w:rPr>
          <w:spacing w:val="-12"/>
        </w:rPr>
        <w:t> </w:t>
      </w:r>
      <w:r>
        <w:rPr>
          <w:spacing w:val="-2"/>
        </w:rPr>
        <w:t>стресса.</w:t>
      </w:r>
    </w:p>
    <w:p>
      <w:pPr>
        <w:spacing w:line="276" w:lineRule="auto" w:before="273"/>
        <w:ind w:left="1702" w:right="844" w:firstLine="566"/>
        <w:jc w:val="both"/>
        <w:rPr>
          <w:sz w:val="28"/>
        </w:rPr>
      </w:pPr>
      <w:r>
        <w:rPr>
          <w:i/>
          <w:sz w:val="28"/>
        </w:rPr>
        <w:t>Опросник аккультурации для детей и подростков </w:t>
      </w:r>
      <w:r>
        <w:rPr>
          <w:sz w:val="28"/>
        </w:rPr>
        <w:t>старшего возраста предлагается</w:t>
      </w:r>
      <w:r>
        <w:rPr>
          <w:spacing w:val="-5"/>
          <w:sz w:val="28"/>
        </w:rPr>
        <w:t> </w:t>
      </w:r>
      <w:r>
        <w:rPr>
          <w:sz w:val="28"/>
        </w:rPr>
        <w:t>в</w:t>
      </w:r>
      <w:r>
        <w:rPr>
          <w:spacing w:val="-6"/>
          <w:sz w:val="28"/>
        </w:rPr>
        <w:t> </w:t>
      </w:r>
      <w:r>
        <w:rPr>
          <w:sz w:val="28"/>
        </w:rPr>
        <w:t>полной</w:t>
      </w:r>
      <w:r>
        <w:rPr>
          <w:spacing w:val="-7"/>
          <w:sz w:val="28"/>
        </w:rPr>
        <w:t> </w:t>
      </w:r>
      <w:r>
        <w:rPr>
          <w:sz w:val="28"/>
        </w:rPr>
        <w:t>форме</w:t>
      </w:r>
      <w:r>
        <w:rPr>
          <w:spacing w:val="-3"/>
          <w:sz w:val="28"/>
        </w:rPr>
        <w:t> </w:t>
      </w:r>
      <w:r>
        <w:rPr>
          <w:sz w:val="28"/>
        </w:rPr>
        <w:t>—</w:t>
      </w:r>
      <w:r>
        <w:rPr>
          <w:spacing w:val="-8"/>
          <w:sz w:val="28"/>
        </w:rPr>
        <w:t> </w:t>
      </w:r>
      <w:r>
        <w:rPr>
          <w:sz w:val="28"/>
        </w:rPr>
        <w:t>28</w:t>
      </w:r>
      <w:r>
        <w:rPr>
          <w:spacing w:val="-5"/>
          <w:sz w:val="28"/>
        </w:rPr>
        <w:t> </w:t>
      </w:r>
      <w:r>
        <w:rPr>
          <w:sz w:val="28"/>
        </w:rPr>
        <w:t>вопросов.</w:t>
      </w:r>
      <w:r>
        <w:rPr>
          <w:spacing w:val="-7"/>
          <w:sz w:val="28"/>
        </w:rPr>
        <w:t> </w:t>
      </w:r>
      <w:r>
        <w:rPr>
          <w:sz w:val="28"/>
        </w:rPr>
        <w:t>Работа</w:t>
      </w:r>
      <w:r>
        <w:rPr>
          <w:spacing w:val="-5"/>
          <w:sz w:val="28"/>
        </w:rPr>
        <w:t> </w:t>
      </w:r>
      <w:r>
        <w:rPr>
          <w:sz w:val="28"/>
        </w:rPr>
        <w:t>с</w:t>
      </w:r>
      <w:r>
        <w:rPr>
          <w:spacing w:val="-8"/>
          <w:sz w:val="28"/>
        </w:rPr>
        <w:t> </w:t>
      </w:r>
      <w:r>
        <w:rPr>
          <w:sz w:val="28"/>
        </w:rPr>
        <w:t>ним</w:t>
      </w:r>
      <w:r>
        <w:rPr>
          <w:spacing w:val="-8"/>
          <w:sz w:val="28"/>
        </w:rPr>
        <w:t> </w:t>
      </w:r>
      <w:r>
        <w:rPr>
          <w:sz w:val="28"/>
        </w:rPr>
        <w:t>аналогична</w:t>
      </w:r>
      <w:r>
        <w:rPr>
          <w:spacing w:val="-8"/>
          <w:sz w:val="28"/>
        </w:rPr>
        <w:t> </w:t>
      </w:r>
      <w:r>
        <w:rPr>
          <w:sz w:val="28"/>
        </w:rPr>
        <w:t>работе с вариантом для начальной школы (см. выше).</w:t>
      </w:r>
    </w:p>
    <w:p>
      <w:pPr>
        <w:pStyle w:val="Heading4"/>
        <w:spacing w:line="276" w:lineRule="auto" w:before="1"/>
        <w:ind w:left="1702" w:right="850" w:firstLine="566"/>
      </w:pPr>
      <w:r>
        <w:rPr>
          <w:i/>
        </w:rPr>
        <w:t>Социометрический тест, </w:t>
      </w:r>
      <w:r>
        <w:rPr/>
        <w:t>используемый для изучения социального статуса ребенка-мигранта, также не отличается по проведению и обработке данных от варианта для начальной школы (см. выше).</w:t>
      </w:r>
    </w:p>
    <w:p>
      <w:pPr>
        <w:spacing w:line="276" w:lineRule="auto" w:before="0"/>
        <w:ind w:left="1702" w:right="847" w:firstLine="566"/>
        <w:jc w:val="both"/>
        <w:rPr>
          <w:sz w:val="28"/>
        </w:rPr>
      </w:pPr>
      <w:r>
        <w:rPr>
          <w:i/>
          <w:sz w:val="28"/>
        </w:rPr>
        <w:t>Детский опросник аккультурационного стресса </w:t>
      </w:r>
      <w:r>
        <w:rPr>
          <w:sz w:val="28"/>
        </w:rPr>
        <w:t>нацелен на измерение двух проявлений стресса аккультурации. Работа с ней аналогична работе с вариантом для средней школы (см. выше).</w:t>
      </w:r>
    </w:p>
    <w:p>
      <w:pPr>
        <w:spacing w:before="241"/>
        <w:ind w:left="2268" w:right="0" w:firstLine="0"/>
        <w:jc w:val="left"/>
        <w:rPr>
          <w:sz w:val="28"/>
        </w:rPr>
      </w:pPr>
      <w:r>
        <w:rPr>
          <w:sz w:val="28"/>
        </w:rPr>
        <w:t>В</w:t>
      </w:r>
      <w:r>
        <w:rPr>
          <w:spacing w:val="-7"/>
          <w:sz w:val="28"/>
        </w:rPr>
        <w:t> </w:t>
      </w:r>
      <w:r>
        <w:rPr>
          <w:b/>
          <w:sz w:val="28"/>
        </w:rPr>
        <w:t>расширенный</w:t>
      </w:r>
      <w:r>
        <w:rPr>
          <w:b/>
          <w:spacing w:val="-6"/>
          <w:sz w:val="28"/>
        </w:rPr>
        <w:t> </w:t>
      </w:r>
      <w:r>
        <w:rPr>
          <w:b/>
          <w:sz w:val="28"/>
        </w:rPr>
        <w:t>набор</w:t>
      </w:r>
      <w:r>
        <w:rPr>
          <w:b/>
          <w:spacing w:val="-7"/>
          <w:sz w:val="28"/>
        </w:rPr>
        <w:t> </w:t>
      </w:r>
      <w:r>
        <w:rPr>
          <w:sz w:val="28"/>
        </w:rPr>
        <w:t>диагностики</w:t>
      </w:r>
      <w:r>
        <w:rPr>
          <w:spacing w:val="-5"/>
          <w:sz w:val="28"/>
        </w:rPr>
        <w:t> </w:t>
      </w:r>
      <w:r>
        <w:rPr>
          <w:sz w:val="28"/>
        </w:rPr>
        <w:t>для</w:t>
      </w:r>
      <w:r>
        <w:rPr>
          <w:spacing w:val="-5"/>
          <w:sz w:val="28"/>
        </w:rPr>
        <w:t> </w:t>
      </w:r>
      <w:r>
        <w:rPr>
          <w:sz w:val="28"/>
        </w:rPr>
        <w:t>старшей</w:t>
      </w:r>
      <w:r>
        <w:rPr>
          <w:spacing w:val="-4"/>
          <w:sz w:val="28"/>
        </w:rPr>
        <w:t> </w:t>
      </w:r>
      <w:r>
        <w:rPr>
          <w:sz w:val="28"/>
        </w:rPr>
        <w:t>школы</w:t>
      </w:r>
      <w:r>
        <w:rPr>
          <w:spacing w:val="-5"/>
          <w:sz w:val="28"/>
        </w:rPr>
        <w:t> </w:t>
      </w:r>
      <w:r>
        <w:rPr>
          <w:spacing w:val="-2"/>
          <w:sz w:val="28"/>
        </w:rPr>
        <w:t>входят:</w:t>
      </w:r>
    </w:p>
    <w:p>
      <w:pPr>
        <w:pStyle w:val="Heading4"/>
        <w:numPr>
          <w:ilvl w:val="1"/>
          <w:numId w:val="7"/>
        </w:numPr>
        <w:tabs>
          <w:tab w:pos="3403" w:val="left" w:leader="none"/>
        </w:tabs>
        <w:spacing w:line="264" w:lineRule="auto" w:before="47" w:after="0"/>
        <w:ind w:left="3403" w:right="846" w:hanging="360"/>
        <w:jc w:val="left"/>
      </w:pPr>
      <w:r>
        <w:rPr/>
        <w:t>Карта стандартизованного</w:t>
      </w:r>
      <w:r>
        <w:rPr>
          <w:spacing w:val="34"/>
        </w:rPr>
        <w:t> </w:t>
      </w:r>
      <w:r>
        <w:rPr/>
        <w:t>наблюдения детей</w:t>
      </w:r>
      <w:r>
        <w:rPr>
          <w:spacing w:val="34"/>
        </w:rPr>
        <w:t> </w:t>
      </w:r>
      <w:r>
        <w:rPr/>
        <w:t>и подростков из семей мигрантов «Стратегии адаптации».</w:t>
      </w:r>
    </w:p>
    <w:p>
      <w:pPr>
        <w:pStyle w:val="Heading4"/>
        <w:numPr>
          <w:ilvl w:val="1"/>
          <w:numId w:val="7"/>
        </w:numPr>
        <w:tabs>
          <w:tab w:pos="3402" w:val="left" w:leader="none"/>
        </w:tabs>
        <w:spacing w:line="240" w:lineRule="auto" w:before="17" w:after="0"/>
        <w:ind w:left="3402" w:right="0" w:hanging="359"/>
        <w:jc w:val="left"/>
      </w:pPr>
      <w:r>
        <w:rPr/>
        <w:t>Краткая</w:t>
      </w:r>
      <w:r>
        <w:rPr>
          <w:spacing w:val="-7"/>
        </w:rPr>
        <w:t> </w:t>
      </w:r>
      <w:r>
        <w:rPr/>
        <w:t>шкала</w:t>
      </w:r>
      <w:r>
        <w:rPr>
          <w:spacing w:val="-7"/>
        </w:rPr>
        <w:t> </w:t>
      </w:r>
      <w:r>
        <w:rPr/>
        <w:t>социокультурной</w:t>
      </w:r>
      <w:r>
        <w:rPr>
          <w:spacing w:val="-9"/>
        </w:rPr>
        <w:t> </w:t>
      </w:r>
      <w:r>
        <w:rPr>
          <w:spacing w:val="-2"/>
        </w:rPr>
        <w:t>дезадаптации.</w:t>
      </w:r>
    </w:p>
    <w:p>
      <w:pPr>
        <w:pStyle w:val="Heading4"/>
        <w:numPr>
          <w:ilvl w:val="1"/>
          <w:numId w:val="7"/>
        </w:numPr>
        <w:tabs>
          <w:tab w:pos="3403" w:val="left" w:leader="none"/>
        </w:tabs>
        <w:spacing w:line="264" w:lineRule="auto" w:before="32" w:after="0"/>
        <w:ind w:left="3403" w:right="847" w:hanging="360"/>
        <w:jc w:val="left"/>
      </w:pPr>
      <w:r>
        <w:rPr/>
        <w:t>Методика</w:t>
      </w:r>
      <w:r>
        <w:rPr>
          <w:spacing w:val="40"/>
        </w:rPr>
        <w:t> </w:t>
      </w:r>
      <w:r>
        <w:rPr/>
        <w:t>измерения</w:t>
      </w:r>
      <w:r>
        <w:rPr>
          <w:spacing w:val="40"/>
        </w:rPr>
        <w:t> </w:t>
      </w:r>
      <w:r>
        <w:rPr/>
        <w:t>гражданской</w:t>
      </w:r>
      <w:r>
        <w:rPr>
          <w:spacing w:val="40"/>
        </w:rPr>
        <w:t> </w:t>
      </w:r>
      <w:r>
        <w:rPr/>
        <w:t>идентичности</w:t>
      </w:r>
      <w:r>
        <w:rPr>
          <w:spacing w:val="40"/>
        </w:rPr>
        <w:t> </w:t>
      </w:r>
      <w:r>
        <w:rPr/>
        <w:t>для</w:t>
      </w:r>
      <w:r>
        <w:rPr>
          <w:spacing w:val="40"/>
        </w:rPr>
        <w:t> </w:t>
      </w:r>
      <w:r>
        <w:rPr/>
        <w:t>детей</w:t>
      </w:r>
      <w:r>
        <w:rPr>
          <w:spacing w:val="40"/>
        </w:rPr>
        <w:t> </w:t>
      </w:r>
      <w:r>
        <w:rPr/>
        <w:t>и </w:t>
      </w:r>
      <w:r>
        <w:rPr>
          <w:spacing w:val="-2"/>
        </w:rPr>
        <w:t>подростков.</w:t>
      </w:r>
    </w:p>
    <w:p>
      <w:pPr>
        <w:pStyle w:val="Heading4"/>
        <w:numPr>
          <w:ilvl w:val="1"/>
          <w:numId w:val="7"/>
        </w:numPr>
        <w:tabs>
          <w:tab w:pos="3402" w:val="left" w:leader="none"/>
        </w:tabs>
        <w:spacing w:line="240" w:lineRule="auto" w:before="17" w:after="0"/>
        <w:ind w:left="3402" w:right="0" w:hanging="359"/>
        <w:jc w:val="left"/>
      </w:pPr>
      <w:r>
        <w:rPr/>
        <w:t>Опросник</w:t>
      </w:r>
      <w:r>
        <w:rPr>
          <w:spacing w:val="-11"/>
        </w:rPr>
        <w:t> </w:t>
      </w:r>
      <w:r>
        <w:rPr/>
        <w:t>«Интеграция</w:t>
      </w:r>
      <w:r>
        <w:rPr>
          <w:spacing w:val="-13"/>
        </w:rPr>
        <w:t> </w:t>
      </w:r>
      <w:r>
        <w:rPr/>
        <w:t>бикультурной</w:t>
      </w:r>
      <w:r>
        <w:rPr>
          <w:spacing w:val="-12"/>
        </w:rPr>
        <w:t> </w:t>
      </w:r>
      <w:r>
        <w:rPr>
          <w:spacing w:val="-2"/>
        </w:rPr>
        <w:t>идентичности».</w:t>
      </w:r>
    </w:p>
    <w:p>
      <w:pPr>
        <w:pStyle w:val="Heading4"/>
        <w:spacing w:after="0" w:line="240" w:lineRule="auto"/>
        <w:jc w:val="left"/>
        <w:sectPr>
          <w:pgSz w:w="11910" w:h="16840"/>
          <w:pgMar w:header="0" w:footer="956" w:top="1040" w:bottom="1220" w:left="0" w:right="0"/>
        </w:sectPr>
      </w:pPr>
    </w:p>
    <w:p>
      <w:pPr>
        <w:spacing w:line="276" w:lineRule="auto" w:before="67"/>
        <w:ind w:left="1702" w:right="848" w:firstLine="566"/>
        <w:jc w:val="both"/>
        <w:rPr>
          <w:sz w:val="28"/>
        </w:rPr>
      </w:pPr>
      <w:r>
        <w:rPr>
          <w:i/>
          <w:sz w:val="28"/>
        </w:rPr>
        <w:t>Карта стандартизованного наблюдения детей и подростков из семей мигрантов «Стратегии адаптации» </w:t>
      </w:r>
      <w:r>
        <w:rPr>
          <w:sz w:val="28"/>
        </w:rPr>
        <w:t>используется для оценки степени </w:t>
      </w:r>
      <w:r>
        <w:rPr>
          <w:spacing w:val="-2"/>
          <w:sz w:val="28"/>
        </w:rPr>
        <w:t>выраженности стратегий аккультурации: интеграции, ассимиляции, сепарации </w:t>
      </w:r>
      <w:r>
        <w:rPr>
          <w:sz w:val="28"/>
        </w:rPr>
        <w:t>и маргинализации. Работа с ней аналогична работе с вариантом для средней школы (см. выше).</w:t>
      </w:r>
    </w:p>
    <w:p>
      <w:pPr>
        <w:spacing w:line="276" w:lineRule="auto" w:before="2"/>
        <w:ind w:left="1702" w:right="848" w:firstLine="566"/>
        <w:jc w:val="both"/>
        <w:rPr>
          <w:sz w:val="28"/>
        </w:rPr>
      </w:pPr>
      <w:r>
        <w:rPr>
          <w:sz w:val="28"/>
        </w:rPr>
        <w:t>По результатам методики «</w:t>
      </w:r>
      <w:r>
        <w:rPr>
          <w:i/>
          <w:sz w:val="28"/>
        </w:rPr>
        <w:t>Краткая шкала социокультурной дезадаптации</w:t>
      </w:r>
      <w:r>
        <w:rPr>
          <w:sz w:val="28"/>
        </w:rPr>
        <w:t>» можно сделать вывод об уровне социальной дезадаптации у ребенка.</w:t>
      </w:r>
      <w:r>
        <w:rPr>
          <w:spacing w:val="-1"/>
          <w:sz w:val="28"/>
        </w:rPr>
        <w:t> </w:t>
      </w:r>
      <w:r>
        <w:rPr>
          <w:sz w:val="28"/>
        </w:rPr>
        <w:t>Работа</w:t>
      </w:r>
      <w:r>
        <w:rPr>
          <w:spacing w:val="-1"/>
          <w:sz w:val="28"/>
        </w:rPr>
        <w:t> </w:t>
      </w:r>
      <w:r>
        <w:rPr>
          <w:sz w:val="28"/>
        </w:rPr>
        <w:t>с</w:t>
      </w:r>
      <w:r>
        <w:rPr>
          <w:spacing w:val="-1"/>
          <w:sz w:val="28"/>
        </w:rPr>
        <w:t> </w:t>
      </w:r>
      <w:r>
        <w:rPr>
          <w:sz w:val="28"/>
        </w:rPr>
        <w:t>ней аналогична</w:t>
      </w:r>
      <w:r>
        <w:rPr>
          <w:spacing w:val="-2"/>
          <w:sz w:val="28"/>
        </w:rPr>
        <w:t> </w:t>
      </w:r>
      <w:r>
        <w:rPr>
          <w:sz w:val="28"/>
        </w:rPr>
        <w:t>работе</w:t>
      </w:r>
      <w:r>
        <w:rPr>
          <w:spacing w:val="-3"/>
          <w:sz w:val="28"/>
        </w:rPr>
        <w:t> </w:t>
      </w:r>
      <w:r>
        <w:rPr>
          <w:sz w:val="28"/>
        </w:rPr>
        <w:t>с</w:t>
      </w:r>
      <w:r>
        <w:rPr>
          <w:spacing w:val="-1"/>
          <w:sz w:val="28"/>
        </w:rPr>
        <w:t> </w:t>
      </w:r>
      <w:r>
        <w:rPr>
          <w:sz w:val="28"/>
        </w:rPr>
        <w:t>вариантом</w:t>
      </w:r>
      <w:r>
        <w:rPr>
          <w:spacing w:val="-2"/>
          <w:sz w:val="28"/>
        </w:rPr>
        <w:t> </w:t>
      </w:r>
      <w:r>
        <w:rPr>
          <w:sz w:val="28"/>
        </w:rPr>
        <w:t>для</w:t>
      </w:r>
      <w:r>
        <w:rPr>
          <w:spacing w:val="-1"/>
          <w:sz w:val="28"/>
        </w:rPr>
        <w:t> </w:t>
      </w:r>
      <w:r>
        <w:rPr>
          <w:sz w:val="28"/>
        </w:rPr>
        <w:t>средней школы (см. </w:t>
      </w:r>
      <w:r>
        <w:rPr>
          <w:spacing w:val="-2"/>
          <w:sz w:val="28"/>
        </w:rPr>
        <w:t>выше).</w:t>
      </w:r>
    </w:p>
    <w:p>
      <w:pPr>
        <w:spacing w:line="276" w:lineRule="auto" w:before="0"/>
        <w:ind w:left="1702" w:right="845" w:firstLine="566"/>
        <w:jc w:val="both"/>
        <w:rPr>
          <w:sz w:val="28"/>
        </w:rPr>
      </w:pPr>
      <w:r>
        <w:rPr>
          <w:i/>
          <w:sz w:val="28"/>
        </w:rPr>
        <w:t>Методика измерения гражданской идентичности для детей и подростков </w:t>
      </w:r>
      <w:r>
        <w:rPr>
          <w:sz w:val="28"/>
        </w:rPr>
        <w:t>применяется для измерения гражданской идентичности школьников. Работа</w:t>
      </w:r>
      <w:r>
        <w:rPr>
          <w:spacing w:val="-1"/>
          <w:sz w:val="28"/>
        </w:rPr>
        <w:t> </w:t>
      </w:r>
      <w:r>
        <w:rPr>
          <w:sz w:val="28"/>
        </w:rPr>
        <w:t>с ней аналогична</w:t>
      </w:r>
      <w:r>
        <w:rPr>
          <w:spacing w:val="-1"/>
          <w:sz w:val="28"/>
        </w:rPr>
        <w:t> </w:t>
      </w:r>
      <w:r>
        <w:rPr>
          <w:sz w:val="28"/>
        </w:rPr>
        <w:t>работе с вариантом</w:t>
      </w:r>
      <w:r>
        <w:rPr>
          <w:spacing w:val="-1"/>
          <w:sz w:val="28"/>
        </w:rPr>
        <w:t> </w:t>
      </w:r>
      <w:r>
        <w:rPr>
          <w:sz w:val="28"/>
        </w:rPr>
        <w:t>для средней школы (см. выше).</w:t>
      </w:r>
    </w:p>
    <w:p>
      <w:pPr>
        <w:pStyle w:val="Heading4"/>
        <w:spacing w:line="276" w:lineRule="auto"/>
        <w:ind w:left="1702" w:right="847" w:firstLine="566"/>
      </w:pPr>
      <w:r>
        <w:rPr>
          <w:i/>
        </w:rPr>
        <w:t>Опросник «Интеграция бикультурной идентичности» </w:t>
      </w:r>
      <w:r>
        <w:rPr/>
        <w:t>используется для диагностики при двух условиях. Первое условие: он применим только к тем старшим подросткам, которые ощущают себя носителями минимум двух культур (например, русской и таджикской). У таких подростков он измеряет особенности бикультурной идентичности — степень ее интеграции. Второе условие: опросник</w:t>
      </w:r>
      <w:r>
        <w:rPr>
          <w:spacing w:val="-2"/>
        </w:rPr>
        <w:t> </w:t>
      </w:r>
      <w:r>
        <w:rPr/>
        <w:t>нужно использовать,</w:t>
      </w:r>
      <w:r>
        <w:rPr>
          <w:spacing w:val="-1"/>
        </w:rPr>
        <w:t> </w:t>
      </w:r>
      <w:r>
        <w:rPr/>
        <w:t>только если психолог предполагает</w:t>
      </w:r>
      <w:r>
        <w:rPr>
          <w:spacing w:val="-3"/>
        </w:rPr>
        <w:t> </w:t>
      </w:r>
      <w:r>
        <w:rPr/>
        <w:t>в дальнейшем индивидуальную работу по психологической поддержке несовершеннолетнего-иностранного гражданина.</w:t>
      </w:r>
    </w:p>
    <w:p>
      <w:pPr>
        <w:pStyle w:val="Heading4"/>
        <w:spacing w:line="276" w:lineRule="auto"/>
        <w:ind w:left="1702" w:right="849" w:firstLine="566"/>
      </w:pPr>
      <w:r>
        <w:rPr/>
        <w:t>Опросник измеряет успешность или затруднения на пути интеграции бикультурной идентичности. Интеграция бикультурной идентичности, измеряемая опросником, может идти двумя путями одновременно. Первый путь — обретение культурной гармонии. В случае неудачи подросток ощущает конфликт культур. Второй путь — смешение культур. В случае </w:t>
      </w:r>
      <w:r>
        <w:rPr>
          <w:spacing w:val="-2"/>
        </w:rPr>
        <w:t>неудачи</w:t>
      </w:r>
      <w:r>
        <w:rPr>
          <w:spacing w:val="-4"/>
        </w:rPr>
        <w:t> </w:t>
      </w:r>
      <w:r>
        <w:rPr>
          <w:spacing w:val="-2"/>
        </w:rPr>
        <w:t>подросток ощущает культурную разобщенность, «отдаленность»</w:t>
      </w:r>
      <w:r>
        <w:rPr>
          <w:spacing w:val="-4"/>
        </w:rPr>
        <w:t> </w:t>
      </w:r>
      <w:r>
        <w:rPr>
          <w:spacing w:val="-2"/>
        </w:rPr>
        <w:t>друг </w:t>
      </w:r>
      <w:r>
        <w:rPr/>
        <w:t>от друга культурных идентичностей.</w:t>
      </w:r>
    </w:p>
    <w:p>
      <w:pPr>
        <w:pStyle w:val="Heading4"/>
        <w:spacing w:line="276" w:lineRule="auto" w:before="1"/>
        <w:ind w:left="1702" w:right="845" w:firstLine="566"/>
      </w:pPr>
      <w:r>
        <w:rPr/>
        <w:t>В</w:t>
      </w:r>
      <w:r>
        <w:rPr>
          <w:spacing w:val="-12"/>
        </w:rPr>
        <w:t> </w:t>
      </w:r>
      <w:r>
        <w:rPr/>
        <w:t>опроснике</w:t>
      </w:r>
      <w:r>
        <w:rPr>
          <w:spacing w:val="-12"/>
        </w:rPr>
        <w:t> </w:t>
      </w:r>
      <w:r>
        <w:rPr/>
        <w:t>две</w:t>
      </w:r>
      <w:r>
        <w:rPr>
          <w:spacing w:val="-15"/>
        </w:rPr>
        <w:t> </w:t>
      </w:r>
      <w:r>
        <w:rPr/>
        <w:t>шкалы.</w:t>
      </w:r>
      <w:r>
        <w:rPr>
          <w:spacing w:val="-13"/>
        </w:rPr>
        <w:t> </w:t>
      </w:r>
      <w:r>
        <w:rPr/>
        <w:t>Первая</w:t>
      </w:r>
      <w:r>
        <w:rPr>
          <w:spacing w:val="-9"/>
        </w:rPr>
        <w:t> </w:t>
      </w:r>
      <w:r>
        <w:rPr/>
        <w:t>—</w:t>
      </w:r>
      <w:r>
        <w:rPr>
          <w:spacing w:val="-12"/>
        </w:rPr>
        <w:t> </w:t>
      </w:r>
      <w:r>
        <w:rPr/>
        <w:t>«Культурная</w:t>
      </w:r>
      <w:r>
        <w:rPr>
          <w:spacing w:val="-12"/>
        </w:rPr>
        <w:t> </w:t>
      </w:r>
      <w:r>
        <w:rPr/>
        <w:t>гармония</w:t>
      </w:r>
      <w:r>
        <w:rPr>
          <w:spacing w:val="-9"/>
        </w:rPr>
        <w:t> </w:t>
      </w:r>
      <w:r>
        <w:rPr>
          <w:i/>
        </w:rPr>
        <w:t>vs</w:t>
      </w:r>
      <w:r>
        <w:rPr>
          <w:i/>
          <w:spacing w:val="-13"/>
        </w:rPr>
        <w:t> </w:t>
      </w:r>
      <w:r>
        <w:rPr/>
        <w:t>Культурный конфликт».</w:t>
      </w:r>
      <w:r>
        <w:rPr>
          <w:spacing w:val="-9"/>
        </w:rPr>
        <w:t> </w:t>
      </w:r>
      <w:r>
        <w:rPr/>
        <w:t>Вторая</w:t>
      </w:r>
      <w:r>
        <w:rPr>
          <w:spacing w:val="-9"/>
        </w:rPr>
        <w:t> </w:t>
      </w:r>
      <w:r>
        <w:rPr/>
        <w:t>—</w:t>
      </w:r>
      <w:r>
        <w:rPr>
          <w:spacing w:val="-8"/>
        </w:rPr>
        <w:t> </w:t>
      </w:r>
      <w:r>
        <w:rPr/>
        <w:t>«Культурное</w:t>
      </w:r>
      <w:r>
        <w:rPr>
          <w:spacing w:val="-8"/>
        </w:rPr>
        <w:t> </w:t>
      </w:r>
      <w:r>
        <w:rPr/>
        <w:t>смешение</w:t>
      </w:r>
      <w:r>
        <w:rPr>
          <w:spacing w:val="-6"/>
        </w:rPr>
        <w:t> </w:t>
      </w:r>
      <w:r>
        <w:rPr>
          <w:i/>
        </w:rPr>
        <w:t>vs</w:t>
      </w:r>
      <w:r>
        <w:rPr>
          <w:i/>
          <w:spacing w:val="-7"/>
        </w:rPr>
        <w:t> </w:t>
      </w:r>
      <w:r>
        <w:rPr/>
        <w:t>Культурная</w:t>
      </w:r>
      <w:r>
        <w:rPr>
          <w:spacing w:val="-8"/>
        </w:rPr>
        <w:t> </w:t>
      </w:r>
      <w:r>
        <w:rPr/>
        <w:t>разобщенность». Если общие показатели по каждой из шкал являются высокими, то бикультурная идентичность человека будет характеризоваться культурной гармонией и культурным смешением, если же показатели низкие, то речь будет идти о культурной разобщенности и культурном конфликте.</w:t>
      </w:r>
    </w:p>
    <w:p>
      <w:pPr>
        <w:pStyle w:val="Heading4"/>
        <w:spacing w:line="276" w:lineRule="auto"/>
        <w:ind w:left="1702" w:right="851" w:firstLine="566"/>
      </w:pPr>
      <w:r>
        <w:rPr/>
        <w:t>По результатам опросника психолог может определить, какие трудности на пути обретения бикультурной интегративной идентичности испытывает подросток—иностранный гражданин, и построить свою работу, направленную</w:t>
      </w:r>
      <w:r>
        <w:rPr>
          <w:spacing w:val="79"/>
          <w:w w:val="150"/>
        </w:rPr>
        <w:t>  </w:t>
      </w:r>
      <w:r>
        <w:rPr/>
        <w:t>на</w:t>
      </w:r>
      <w:r>
        <w:rPr>
          <w:spacing w:val="53"/>
        </w:rPr>
        <w:t>   </w:t>
      </w:r>
      <w:r>
        <w:rPr/>
        <w:t>их</w:t>
      </w:r>
      <w:r>
        <w:rPr>
          <w:spacing w:val="54"/>
        </w:rPr>
        <w:t>   </w:t>
      </w:r>
      <w:r>
        <w:rPr/>
        <w:t>коррекцию.</w:t>
      </w:r>
      <w:r>
        <w:rPr>
          <w:spacing w:val="53"/>
        </w:rPr>
        <w:t>   </w:t>
      </w:r>
      <w:r>
        <w:rPr/>
        <w:t>При</w:t>
      </w:r>
      <w:r>
        <w:rPr>
          <w:spacing w:val="54"/>
        </w:rPr>
        <w:t>   </w:t>
      </w:r>
      <w:r>
        <w:rPr/>
        <w:t>отсутствии</w:t>
      </w:r>
      <w:r>
        <w:rPr>
          <w:spacing w:val="53"/>
        </w:rPr>
        <w:t>   </w:t>
      </w:r>
      <w:r>
        <w:rPr>
          <w:spacing w:val="-2"/>
        </w:rPr>
        <w:t>возможности</w:t>
      </w:r>
    </w:p>
    <w:p>
      <w:pPr>
        <w:pStyle w:val="Heading4"/>
        <w:spacing w:after="0" w:line="276" w:lineRule="auto"/>
        <w:sectPr>
          <w:pgSz w:w="11910" w:h="16840"/>
          <w:pgMar w:header="0" w:footer="956" w:top="1040" w:bottom="1220" w:left="0" w:right="0"/>
        </w:sectPr>
      </w:pPr>
    </w:p>
    <w:p>
      <w:pPr>
        <w:pStyle w:val="Heading4"/>
        <w:spacing w:line="278" w:lineRule="auto" w:before="67"/>
        <w:ind w:left="1702"/>
        <w:jc w:val="left"/>
      </w:pPr>
      <w:r>
        <w:rPr/>
        <w:t>индивидуальной психологической работы данные, полученные в результате использования этого опросника, будут излишними.</w:t>
      </w:r>
    </w:p>
    <w:p>
      <w:pPr>
        <w:pStyle w:val="Heading4"/>
        <w:spacing w:after="0" w:line="278" w:lineRule="auto"/>
        <w:jc w:val="left"/>
        <w:sectPr>
          <w:pgSz w:w="11910" w:h="16840"/>
          <w:pgMar w:header="0" w:footer="956" w:top="1040" w:bottom="1220" w:left="0" w:right="0"/>
        </w:sectPr>
      </w:pPr>
    </w:p>
    <w:p>
      <w:pPr>
        <w:pStyle w:val="BodyText"/>
        <w:spacing w:before="33"/>
        <w:ind w:left="0" w:right="0" w:firstLine="0"/>
        <w:jc w:val="left"/>
        <w:rPr>
          <w:sz w:val="28"/>
        </w:rPr>
      </w:pPr>
    </w:p>
    <w:p>
      <w:pPr>
        <w:pStyle w:val="Heading3"/>
        <w:spacing w:before="1"/>
        <w:ind w:left="13458"/>
        <w:jc w:val="left"/>
      </w:pPr>
      <w:r>
        <w:rPr/>
        <w:t>Таблица</w:t>
      </w:r>
      <w:r>
        <w:rPr>
          <w:spacing w:val="-6"/>
        </w:rPr>
        <w:t> </w:t>
      </w:r>
      <w:r>
        <w:rPr>
          <w:spacing w:val="-10"/>
        </w:rPr>
        <w:t>1</w:t>
      </w:r>
    </w:p>
    <w:p>
      <w:pPr>
        <w:spacing w:line="276" w:lineRule="auto" w:before="45"/>
        <w:ind w:left="6753" w:right="0" w:hanging="6285"/>
        <w:jc w:val="left"/>
        <w:rPr>
          <w:b/>
          <w:sz w:val="28"/>
        </w:rPr>
      </w:pPr>
      <w:r>
        <w:rPr>
          <w:b/>
          <w:sz w:val="28"/>
        </w:rPr>
        <w:t>Схема</w:t>
      </w:r>
      <w:r>
        <w:rPr>
          <w:b/>
          <w:spacing w:val="-3"/>
          <w:sz w:val="28"/>
        </w:rPr>
        <w:t> </w:t>
      </w:r>
      <w:r>
        <w:rPr>
          <w:b/>
          <w:sz w:val="28"/>
        </w:rPr>
        <w:t>оценки</w:t>
      </w:r>
      <w:r>
        <w:rPr>
          <w:b/>
          <w:spacing w:val="-5"/>
          <w:sz w:val="28"/>
        </w:rPr>
        <w:t> </w:t>
      </w:r>
      <w:r>
        <w:rPr>
          <w:b/>
          <w:sz w:val="28"/>
        </w:rPr>
        <w:t>особых</w:t>
      </w:r>
      <w:r>
        <w:rPr>
          <w:b/>
          <w:spacing w:val="-3"/>
          <w:sz w:val="28"/>
        </w:rPr>
        <w:t> </w:t>
      </w:r>
      <w:r>
        <w:rPr>
          <w:b/>
          <w:sz w:val="28"/>
        </w:rPr>
        <w:t>образовательных</w:t>
      </w:r>
      <w:r>
        <w:rPr>
          <w:b/>
          <w:spacing w:val="-3"/>
          <w:sz w:val="28"/>
        </w:rPr>
        <w:t> </w:t>
      </w:r>
      <w:r>
        <w:rPr>
          <w:b/>
          <w:sz w:val="28"/>
        </w:rPr>
        <w:t>потребностей</w:t>
      </w:r>
      <w:r>
        <w:rPr>
          <w:b/>
          <w:spacing w:val="-6"/>
          <w:sz w:val="28"/>
        </w:rPr>
        <w:t> </w:t>
      </w:r>
      <w:r>
        <w:rPr>
          <w:b/>
          <w:sz w:val="28"/>
        </w:rPr>
        <w:t>ребенка-иностранного</w:t>
      </w:r>
      <w:r>
        <w:rPr>
          <w:b/>
          <w:spacing w:val="-4"/>
          <w:sz w:val="28"/>
        </w:rPr>
        <w:t> </w:t>
      </w:r>
      <w:r>
        <w:rPr>
          <w:b/>
          <w:sz w:val="28"/>
        </w:rPr>
        <w:t>гражданина</w:t>
      </w:r>
      <w:r>
        <w:rPr>
          <w:b/>
          <w:spacing w:val="-3"/>
          <w:sz w:val="28"/>
        </w:rPr>
        <w:t> </w:t>
      </w:r>
      <w:r>
        <w:rPr>
          <w:b/>
          <w:sz w:val="28"/>
        </w:rPr>
        <w:t>в</w:t>
      </w:r>
      <w:r>
        <w:rPr>
          <w:b/>
          <w:spacing w:val="-5"/>
          <w:sz w:val="28"/>
        </w:rPr>
        <w:t> </w:t>
      </w:r>
      <w:r>
        <w:rPr>
          <w:b/>
          <w:sz w:val="28"/>
        </w:rPr>
        <w:t>сфере</w:t>
      </w:r>
      <w:r>
        <w:rPr>
          <w:b/>
          <w:spacing w:val="-4"/>
          <w:sz w:val="28"/>
        </w:rPr>
        <w:t> </w:t>
      </w:r>
      <w:r>
        <w:rPr>
          <w:b/>
          <w:sz w:val="28"/>
        </w:rPr>
        <w:t>культурной </w:t>
      </w:r>
      <w:r>
        <w:rPr>
          <w:b/>
          <w:spacing w:val="-2"/>
          <w:sz w:val="28"/>
        </w:rPr>
        <w:t>адаптации</w:t>
      </w:r>
    </w:p>
    <w:p>
      <w:pPr>
        <w:pStyle w:val="BodyText"/>
        <w:spacing w:before="7"/>
        <w:ind w:left="0" w:right="0" w:firstLine="0"/>
        <w:jc w:val="left"/>
        <w:rPr>
          <w:b/>
          <w:sz w:val="17"/>
        </w:rPr>
      </w:pPr>
    </w:p>
    <w:tbl>
      <w:tblPr>
        <w:tblW w:w="0" w:type="auto"/>
        <w:jc w:val="left"/>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37"/>
        <w:gridCol w:w="1745"/>
        <w:gridCol w:w="1798"/>
        <w:gridCol w:w="1855"/>
        <w:gridCol w:w="1625"/>
        <w:gridCol w:w="4034"/>
      </w:tblGrid>
      <w:tr>
        <w:trPr>
          <w:trHeight w:val="518" w:hRule="atLeast"/>
        </w:trPr>
        <w:tc>
          <w:tcPr>
            <w:tcW w:w="3937" w:type="dxa"/>
            <w:vMerge w:val="restart"/>
          </w:tcPr>
          <w:p>
            <w:pPr>
              <w:pStyle w:val="TableParagraph"/>
              <w:rPr>
                <w:b/>
                <w:sz w:val="24"/>
              </w:rPr>
            </w:pPr>
          </w:p>
          <w:p>
            <w:pPr>
              <w:pStyle w:val="TableParagraph"/>
              <w:spacing w:before="124"/>
              <w:rPr>
                <w:b/>
                <w:sz w:val="24"/>
              </w:rPr>
            </w:pPr>
          </w:p>
          <w:p>
            <w:pPr>
              <w:pStyle w:val="TableParagraph"/>
              <w:ind w:left="110"/>
              <w:rPr>
                <w:b/>
                <w:sz w:val="24"/>
              </w:rPr>
            </w:pPr>
            <w:r>
              <w:rPr>
                <w:b/>
                <w:sz w:val="24"/>
              </w:rPr>
              <w:t>Название</w:t>
            </w:r>
            <w:r>
              <w:rPr>
                <w:b/>
                <w:spacing w:val="-6"/>
                <w:sz w:val="24"/>
              </w:rPr>
              <w:t> </w:t>
            </w:r>
            <w:r>
              <w:rPr>
                <w:b/>
                <w:spacing w:val="-2"/>
                <w:sz w:val="24"/>
              </w:rPr>
              <w:t>методики</w:t>
            </w:r>
          </w:p>
        </w:tc>
        <w:tc>
          <w:tcPr>
            <w:tcW w:w="1745" w:type="dxa"/>
            <w:vMerge w:val="restart"/>
          </w:tcPr>
          <w:p>
            <w:pPr>
              <w:pStyle w:val="TableParagraph"/>
              <w:spacing w:line="275" w:lineRule="exact"/>
              <w:ind w:left="110"/>
              <w:rPr>
                <w:b/>
                <w:sz w:val="24"/>
              </w:rPr>
            </w:pPr>
            <w:r>
              <w:rPr>
                <w:b/>
                <w:spacing w:val="-2"/>
                <w:sz w:val="24"/>
              </w:rPr>
              <w:t>Набор:</w:t>
            </w:r>
          </w:p>
          <w:p>
            <w:pPr>
              <w:pStyle w:val="TableParagraph"/>
              <w:spacing w:line="516" w:lineRule="exact" w:before="49"/>
              <w:ind w:left="110" w:right="197"/>
              <w:rPr>
                <w:sz w:val="24"/>
              </w:rPr>
            </w:pPr>
            <w:r>
              <w:rPr>
                <w:sz w:val="24"/>
              </w:rPr>
              <w:t>Б</w:t>
            </w:r>
            <w:r>
              <w:rPr>
                <w:spacing w:val="-15"/>
                <w:sz w:val="24"/>
              </w:rPr>
              <w:t> </w:t>
            </w:r>
            <w:r>
              <w:rPr>
                <w:sz w:val="24"/>
              </w:rPr>
              <w:t>—</w:t>
            </w:r>
            <w:r>
              <w:rPr>
                <w:spacing w:val="-15"/>
                <w:sz w:val="24"/>
              </w:rPr>
              <w:t> </w:t>
            </w:r>
            <w:r>
              <w:rPr>
                <w:sz w:val="24"/>
              </w:rPr>
              <w:t>базовый Р —</w:t>
            </w:r>
          </w:p>
          <w:p>
            <w:pPr>
              <w:pStyle w:val="TableParagraph"/>
              <w:spacing w:line="266" w:lineRule="exact"/>
              <w:ind w:left="110"/>
              <w:rPr>
                <w:sz w:val="24"/>
              </w:rPr>
            </w:pPr>
            <w:r>
              <w:rPr>
                <w:spacing w:val="-2"/>
                <w:sz w:val="24"/>
              </w:rPr>
              <w:t>расширенный</w:t>
            </w:r>
          </w:p>
        </w:tc>
        <w:tc>
          <w:tcPr>
            <w:tcW w:w="5278" w:type="dxa"/>
            <w:gridSpan w:val="3"/>
          </w:tcPr>
          <w:p>
            <w:pPr>
              <w:pStyle w:val="TableParagraph"/>
              <w:spacing w:line="275" w:lineRule="exact"/>
              <w:ind w:left="376"/>
              <w:rPr>
                <w:b/>
                <w:sz w:val="24"/>
              </w:rPr>
            </w:pPr>
            <w:r>
              <w:rPr>
                <w:b/>
                <w:sz w:val="24"/>
              </w:rPr>
              <w:t>Уровень</w:t>
            </w:r>
            <w:r>
              <w:rPr>
                <w:b/>
                <w:spacing w:val="-3"/>
                <w:sz w:val="24"/>
              </w:rPr>
              <w:t> </w:t>
            </w:r>
            <w:r>
              <w:rPr>
                <w:b/>
                <w:sz w:val="24"/>
              </w:rPr>
              <w:t>образования</w:t>
            </w:r>
            <w:r>
              <w:rPr>
                <w:b/>
                <w:spacing w:val="-4"/>
                <w:sz w:val="24"/>
              </w:rPr>
              <w:t> </w:t>
            </w:r>
            <w:r>
              <w:rPr>
                <w:b/>
                <w:sz w:val="24"/>
              </w:rPr>
              <w:t>—</w:t>
            </w:r>
            <w:r>
              <w:rPr>
                <w:b/>
                <w:spacing w:val="-3"/>
                <w:sz w:val="24"/>
              </w:rPr>
              <w:t> </w:t>
            </w:r>
            <w:r>
              <w:rPr>
                <w:b/>
                <w:sz w:val="24"/>
              </w:rPr>
              <w:t>где</w:t>
            </w:r>
            <w:r>
              <w:rPr>
                <w:b/>
                <w:spacing w:val="-3"/>
                <w:sz w:val="24"/>
              </w:rPr>
              <w:t> </w:t>
            </w:r>
            <w:r>
              <w:rPr>
                <w:b/>
                <w:spacing w:val="-2"/>
                <w:sz w:val="24"/>
              </w:rPr>
              <w:t>применяется</w:t>
            </w:r>
          </w:p>
        </w:tc>
        <w:tc>
          <w:tcPr>
            <w:tcW w:w="4034" w:type="dxa"/>
            <w:vMerge w:val="restart"/>
          </w:tcPr>
          <w:p>
            <w:pPr>
              <w:pStyle w:val="TableParagraph"/>
              <w:rPr>
                <w:b/>
                <w:sz w:val="24"/>
              </w:rPr>
            </w:pPr>
          </w:p>
          <w:p>
            <w:pPr>
              <w:pStyle w:val="TableParagraph"/>
              <w:spacing w:before="124"/>
              <w:rPr>
                <w:b/>
                <w:sz w:val="24"/>
              </w:rPr>
            </w:pPr>
          </w:p>
          <w:p>
            <w:pPr>
              <w:pStyle w:val="TableParagraph"/>
              <w:ind w:left="1284"/>
              <w:rPr>
                <w:b/>
                <w:sz w:val="24"/>
              </w:rPr>
            </w:pPr>
            <w:r>
              <w:rPr>
                <w:b/>
                <w:sz w:val="24"/>
              </w:rPr>
              <w:t>Что </w:t>
            </w:r>
            <w:r>
              <w:rPr>
                <w:b/>
                <w:spacing w:val="-2"/>
                <w:sz w:val="24"/>
              </w:rPr>
              <w:t>измеряет</w:t>
            </w:r>
          </w:p>
        </w:tc>
      </w:tr>
      <w:tr>
        <w:trPr>
          <w:trHeight w:val="1341" w:hRule="atLeast"/>
        </w:trPr>
        <w:tc>
          <w:tcPr>
            <w:tcW w:w="3937" w:type="dxa"/>
            <w:vMerge/>
            <w:tcBorders>
              <w:top w:val="nil"/>
            </w:tcBorders>
          </w:tcPr>
          <w:p>
            <w:pPr>
              <w:rPr>
                <w:sz w:val="2"/>
                <w:szCs w:val="2"/>
              </w:rPr>
            </w:pPr>
          </w:p>
        </w:tc>
        <w:tc>
          <w:tcPr>
            <w:tcW w:w="1745" w:type="dxa"/>
            <w:vMerge/>
            <w:tcBorders>
              <w:top w:val="nil"/>
            </w:tcBorders>
          </w:tcPr>
          <w:p>
            <w:pPr>
              <w:rPr>
                <w:sz w:val="2"/>
                <w:szCs w:val="2"/>
              </w:rPr>
            </w:pPr>
          </w:p>
        </w:tc>
        <w:tc>
          <w:tcPr>
            <w:tcW w:w="1798" w:type="dxa"/>
          </w:tcPr>
          <w:p>
            <w:pPr>
              <w:pStyle w:val="TableParagraph"/>
              <w:spacing w:line="276" w:lineRule="auto"/>
              <w:ind w:left="107" w:right="597"/>
              <w:rPr>
                <w:sz w:val="24"/>
              </w:rPr>
            </w:pPr>
            <w:r>
              <w:rPr>
                <w:spacing w:val="-2"/>
                <w:sz w:val="24"/>
              </w:rPr>
              <w:t>Начальная школа</w:t>
            </w:r>
          </w:p>
        </w:tc>
        <w:tc>
          <w:tcPr>
            <w:tcW w:w="1855" w:type="dxa"/>
          </w:tcPr>
          <w:p>
            <w:pPr>
              <w:pStyle w:val="TableParagraph"/>
              <w:spacing w:line="270" w:lineRule="exact"/>
              <w:ind w:left="11" w:right="66"/>
              <w:jc w:val="center"/>
              <w:rPr>
                <w:sz w:val="24"/>
              </w:rPr>
            </w:pPr>
            <w:r>
              <w:rPr>
                <w:sz w:val="24"/>
              </w:rPr>
              <w:t>Средняя</w:t>
            </w:r>
            <w:r>
              <w:rPr>
                <w:spacing w:val="-1"/>
                <w:sz w:val="24"/>
              </w:rPr>
              <w:t> </w:t>
            </w:r>
            <w:r>
              <w:rPr>
                <w:spacing w:val="-2"/>
                <w:sz w:val="24"/>
              </w:rPr>
              <w:t>школа</w:t>
            </w:r>
          </w:p>
        </w:tc>
        <w:tc>
          <w:tcPr>
            <w:tcW w:w="1625" w:type="dxa"/>
          </w:tcPr>
          <w:p>
            <w:pPr>
              <w:pStyle w:val="TableParagraph"/>
              <w:spacing w:line="276" w:lineRule="auto"/>
              <w:ind w:left="110" w:right="605"/>
              <w:rPr>
                <w:sz w:val="24"/>
              </w:rPr>
            </w:pPr>
            <w:r>
              <w:rPr>
                <w:spacing w:val="-2"/>
                <w:sz w:val="24"/>
              </w:rPr>
              <w:t>Старшая школа</w:t>
            </w:r>
          </w:p>
        </w:tc>
        <w:tc>
          <w:tcPr>
            <w:tcW w:w="4034" w:type="dxa"/>
            <w:vMerge/>
            <w:tcBorders>
              <w:top w:val="nil"/>
            </w:tcBorders>
          </w:tcPr>
          <w:p>
            <w:pPr>
              <w:rPr>
                <w:sz w:val="2"/>
                <w:szCs w:val="2"/>
              </w:rPr>
            </w:pPr>
          </w:p>
        </w:tc>
      </w:tr>
      <w:tr>
        <w:trPr>
          <w:trHeight w:val="834" w:hRule="atLeast"/>
        </w:trPr>
        <w:tc>
          <w:tcPr>
            <w:tcW w:w="3937" w:type="dxa"/>
          </w:tcPr>
          <w:p>
            <w:pPr>
              <w:pStyle w:val="TableParagraph"/>
              <w:spacing w:before="152"/>
              <w:ind w:left="110"/>
              <w:rPr>
                <w:sz w:val="24"/>
              </w:rPr>
            </w:pPr>
            <w:r>
              <w:rPr>
                <w:sz w:val="24"/>
              </w:rPr>
              <w:t>Социометрический</w:t>
            </w:r>
            <w:r>
              <w:rPr>
                <w:spacing w:val="-9"/>
                <w:sz w:val="24"/>
              </w:rPr>
              <w:t> </w:t>
            </w:r>
            <w:r>
              <w:rPr>
                <w:spacing w:val="-4"/>
                <w:sz w:val="24"/>
              </w:rPr>
              <w:t>тест</w:t>
            </w:r>
          </w:p>
        </w:tc>
        <w:tc>
          <w:tcPr>
            <w:tcW w:w="1745" w:type="dxa"/>
          </w:tcPr>
          <w:p>
            <w:pPr>
              <w:pStyle w:val="TableParagraph"/>
              <w:spacing w:before="152"/>
              <w:ind w:left="15"/>
              <w:jc w:val="center"/>
              <w:rPr>
                <w:sz w:val="24"/>
              </w:rPr>
            </w:pPr>
            <w:r>
              <w:rPr>
                <w:spacing w:val="-10"/>
                <w:sz w:val="24"/>
              </w:rPr>
              <w:t>Б</w:t>
            </w:r>
          </w:p>
        </w:tc>
        <w:tc>
          <w:tcPr>
            <w:tcW w:w="1798" w:type="dxa"/>
          </w:tcPr>
          <w:p>
            <w:pPr>
              <w:pStyle w:val="TableParagraph"/>
              <w:spacing w:before="152"/>
              <w:ind w:left="11"/>
              <w:jc w:val="center"/>
              <w:rPr>
                <w:sz w:val="24"/>
              </w:rPr>
            </w:pPr>
            <w:r>
              <w:rPr>
                <w:spacing w:val="-10"/>
                <w:sz w:val="24"/>
              </w:rPr>
              <w:t>*</w:t>
            </w:r>
          </w:p>
        </w:tc>
        <w:tc>
          <w:tcPr>
            <w:tcW w:w="1855" w:type="dxa"/>
          </w:tcPr>
          <w:p>
            <w:pPr>
              <w:pStyle w:val="TableParagraph"/>
              <w:spacing w:before="152"/>
              <w:ind w:left="66" w:right="55"/>
              <w:jc w:val="center"/>
              <w:rPr>
                <w:sz w:val="24"/>
              </w:rPr>
            </w:pPr>
            <w:r>
              <w:rPr>
                <w:spacing w:val="-10"/>
                <w:sz w:val="24"/>
              </w:rPr>
              <w:t>*</w:t>
            </w:r>
          </w:p>
        </w:tc>
        <w:tc>
          <w:tcPr>
            <w:tcW w:w="1625" w:type="dxa"/>
          </w:tcPr>
          <w:p>
            <w:pPr>
              <w:pStyle w:val="TableParagraph"/>
              <w:spacing w:before="152"/>
              <w:ind w:left="11"/>
              <w:jc w:val="center"/>
              <w:rPr>
                <w:sz w:val="24"/>
              </w:rPr>
            </w:pPr>
            <w:r>
              <w:rPr>
                <w:spacing w:val="-10"/>
                <w:sz w:val="24"/>
              </w:rPr>
              <w:t>*</w:t>
            </w:r>
          </w:p>
        </w:tc>
        <w:tc>
          <w:tcPr>
            <w:tcW w:w="4034" w:type="dxa"/>
          </w:tcPr>
          <w:p>
            <w:pPr>
              <w:pStyle w:val="TableParagraph"/>
              <w:spacing w:line="276" w:lineRule="auto"/>
              <w:ind w:left="110"/>
              <w:rPr>
                <w:sz w:val="24"/>
              </w:rPr>
            </w:pPr>
            <w:r>
              <w:rPr>
                <w:sz w:val="24"/>
              </w:rPr>
              <w:t>Включенность</w:t>
            </w:r>
            <w:r>
              <w:rPr>
                <w:spacing w:val="-13"/>
                <w:sz w:val="24"/>
              </w:rPr>
              <w:t> </w:t>
            </w:r>
            <w:r>
              <w:rPr>
                <w:sz w:val="24"/>
              </w:rPr>
              <w:t>ребенка</w:t>
            </w:r>
            <w:r>
              <w:rPr>
                <w:spacing w:val="-15"/>
                <w:sz w:val="24"/>
              </w:rPr>
              <w:t> </w:t>
            </w:r>
            <w:r>
              <w:rPr>
                <w:sz w:val="24"/>
              </w:rPr>
              <w:t>в</w:t>
            </w:r>
            <w:r>
              <w:rPr>
                <w:spacing w:val="-15"/>
                <w:sz w:val="24"/>
              </w:rPr>
              <w:t> </w:t>
            </w:r>
            <w:r>
              <w:rPr>
                <w:sz w:val="24"/>
              </w:rPr>
              <w:t>сообщество </w:t>
            </w:r>
            <w:r>
              <w:rPr>
                <w:spacing w:val="-2"/>
                <w:sz w:val="24"/>
              </w:rPr>
              <w:t>одноклассников</w:t>
            </w:r>
          </w:p>
        </w:tc>
      </w:tr>
      <w:tr>
        <w:trPr>
          <w:trHeight w:val="2505" w:hRule="atLeast"/>
        </w:trPr>
        <w:tc>
          <w:tcPr>
            <w:tcW w:w="3937" w:type="dxa"/>
          </w:tcPr>
          <w:p>
            <w:pPr>
              <w:pStyle w:val="TableParagraph"/>
              <w:rPr>
                <w:b/>
                <w:sz w:val="24"/>
              </w:rPr>
            </w:pPr>
          </w:p>
          <w:p>
            <w:pPr>
              <w:pStyle w:val="TableParagraph"/>
              <w:rPr>
                <w:b/>
                <w:sz w:val="24"/>
              </w:rPr>
            </w:pPr>
          </w:p>
          <w:p>
            <w:pPr>
              <w:pStyle w:val="TableParagraph"/>
              <w:spacing w:before="1"/>
              <w:rPr>
                <w:b/>
                <w:sz w:val="24"/>
              </w:rPr>
            </w:pPr>
          </w:p>
          <w:p>
            <w:pPr>
              <w:pStyle w:val="TableParagraph"/>
              <w:spacing w:line="276" w:lineRule="auto" w:before="1"/>
              <w:ind w:left="110" w:right="102"/>
              <w:rPr>
                <w:sz w:val="24"/>
              </w:rPr>
            </w:pPr>
            <w:r>
              <w:rPr>
                <w:sz w:val="24"/>
              </w:rPr>
              <w:t>Опросник</w:t>
            </w:r>
            <w:r>
              <w:rPr>
                <w:spacing w:val="-14"/>
                <w:sz w:val="24"/>
              </w:rPr>
              <w:t> </w:t>
            </w:r>
            <w:r>
              <w:rPr>
                <w:sz w:val="24"/>
              </w:rPr>
              <w:t>аккультурации</w:t>
            </w:r>
            <w:r>
              <w:rPr>
                <w:spacing w:val="-14"/>
                <w:sz w:val="24"/>
              </w:rPr>
              <w:t> </w:t>
            </w:r>
            <w:r>
              <w:rPr>
                <w:sz w:val="24"/>
              </w:rPr>
              <w:t>для</w:t>
            </w:r>
            <w:r>
              <w:rPr>
                <w:spacing w:val="-14"/>
                <w:sz w:val="24"/>
              </w:rPr>
              <w:t> </w:t>
            </w:r>
            <w:r>
              <w:rPr>
                <w:sz w:val="24"/>
              </w:rPr>
              <w:t>детей и подростков</w:t>
            </w:r>
          </w:p>
        </w:tc>
        <w:tc>
          <w:tcPr>
            <w:tcW w:w="1745" w:type="dxa"/>
          </w:tcPr>
          <w:p>
            <w:pPr>
              <w:pStyle w:val="TableParagraph"/>
              <w:rPr>
                <w:b/>
                <w:sz w:val="24"/>
              </w:rPr>
            </w:pPr>
          </w:p>
          <w:p>
            <w:pPr>
              <w:pStyle w:val="TableParagraph"/>
              <w:rPr>
                <w:b/>
                <w:sz w:val="24"/>
              </w:rPr>
            </w:pPr>
          </w:p>
          <w:p>
            <w:pPr>
              <w:pStyle w:val="TableParagraph"/>
              <w:spacing w:before="160"/>
              <w:rPr>
                <w:b/>
                <w:sz w:val="24"/>
              </w:rPr>
            </w:pPr>
          </w:p>
          <w:p>
            <w:pPr>
              <w:pStyle w:val="TableParagraph"/>
              <w:ind w:left="15"/>
              <w:jc w:val="center"/>
              <w:rPr>
                <w:sz w:val="24"/>
              </w:rPr>
            </w:pPr>
            <w:r>
              <w:rPr>
                <w:spacing w:val="-10"/>
                <w:sz w:val="24"/>
              </w:rPr>
              <w:t>Б</w:t>
            </w:r>
          </w:p>
        </w:tc>
        <w:tc>
          <w:tcPr>
            <w:tcW w:w="1798" w:type="dxa"/>
          </w:tcPr>
          <w:p>
            <w:pPr>
              <w:pStyle w:val="TableParagraph"/>
              <w:rPr>
                <w:b/>
                <w:sz w:val="24"/>
              </w:rPr>
            </w:pPr>
          </w:p>
          <w:p>
            <w:pPr>
              <w:pStyle w:val="TableParagraph"/>
              <w:rPr>
                <w:b/>
                <w:sz w:val="24"/>
              </w:rPr>
            </w:pPr>
          </w:p>
          <w:p>
            <w:pPr>
              <w:pStyle w:val="TableParagraph"/>
              <w:spacing w:before="160"/>
              <w:rPr>
                <w:b/>
                <w:sz w:val="24"/>
              </w:rPr>
            </w:pPr>
          </w:p>
          <w:p>
            <w:pPr>
              <w:pStyle w:val="TableParagraph"/>
              <w:ind w:left="11"/>
              <w:jc w:val="center"/>
              <w:rPr>
                <w:sz w:val="24"/>
              </w:rPr>
            </w:pPr>
            <w:r>
              <w:rPr>
                <w:spacing w:val="-10"/>
                <w:sz w:val="24"/>
              </w:rPr>
              <w:t>*</w:t>
            </w:r>
          </w:p>
        </w:tc>
        <w:tc>
          <w:tcPr>
            <w:tcW w:w="1855" w:type="dxa"/>
          </w:tcPr>
          <w:p>
            <w:pPr>
              <w:pStyle w:val="TableParagraph"/>
              <w:rPr>
                <w:b/>
                <w:sz w:val="24"/>
              </w:rPr>
            </w:pPr>
          </w:p>
          <w:p>
            <w:pPr>
              <w:pStyle w:val="TableParagraph"/>
              <w:rPr>
                <w:b/>
                <w:sz w:val="24"/>
              </w:rPr>
            </w:pPr>
          </w:p>
          <w:p>
            <w:pPr>
              <w:pStyle w:val="TableParagraph"/>
              <w:spacing w:before="160"/>
              <w:rPr>
                <w:b/>
                <w:sz w:val="24"/>
              </w:rPr>
            </w:pPr>
          </w:p>
          <w:p>
            <w:pPr>
              <w:pStyle w:val="TableParagraph"/>
              <w:ind w:left="66" w:right="55"/>
              <w:jc w:val="center"/>
              <w:rPr>
                <w:sz w:val="24"/>
              </w:rPr>
            </w:pPr>
            <w:r>
              <w:rPr>
                <w:spacing w:val="-10"/>
                <w:sz w:val="24"/>
              </w:rPr>
              <w:t>*</w:t>
            </w:r>
          </w:p>
        </w:tc>
        <w:tc>
          <w:tcPr>
            <w:tcW w:w="1625" w:type="dxa"/>
          </w:tcPr>
          <w:p>
            <w:pPr>
              <w:pStyle w:val="TableParagraph"/>
              <w:rPr>
                <w:b/>
                <w:sz w:val="24"/>
              </w:rPr>
            </w:pPr>
          </w:p>
          <w:p>
            <w:pPr>
              <w:pStyle w:val="TableParagraph"/>
              <w:rPr>
                <w:b/>
                <w:sz w:val="24"/>
              </w:rPr>
            </w:pPr>
          </w:p>
          <w:p>
            <w:pPr>
              <w:pStyle w:val="TableParagraph"/>
              <w:spacing w:before="160"/>
              <w:rPr>
                <w:b/>
                <w:sz w:val="24"/>
              </w:rPr>
            </w:pPr>
          </w:p>
          <w:p>
            <w:pPr>
              <w:pStyle w:val="TableParagraph"/>
              <w:ind w:left="11"/>
              <w:jc w:val="center"/>
              <w:rPr>
                <w:sz w:val="24"/>
              </w:rPr>
            </w:pPr>
            <w:r>
              <w:rPr>
                <w:spacing w:val="-10"/>
                <w:sz w:val="24"/>
              </w:rPr>
              <w:t>*</w:t>
            </w:r>
          </w:p>
        </w:tc>
        <w:tc>
          <w:tcPr>
            <w:tcW w:w="4034" w:type="dxa"/>
          </w:tcPr>
          <w:p>
            <w:pPr>
              <w:pStyle w:val="TableParagraph"/>
              <w:tabs>
                <w:tab w:pos="1669" w:val="left" w:leader="none"/>
                <w:tab w:pos="2739" w:val="left" w:leader="none"/>
              </w:tabs>
              <w:spacing w:line="276" w:lineRule="auto"/>
              <w:ind w:left="110" w:right="99"/>
              <w:rPr>
                <w:sz w:val="24"/>
              </w:rPr>
            </w:pPr>
            <w:r>
              <w:rPr>
                <w:spacing w:val="-2"/>
                <w:sz w:val="24"/>
              </w:rPr>
              <w:t>Сохранение</w:t>
            </w:r>
            <w:r>
              <w:rPr>
                <w:sz w:val="24"/>
              </w:rPr>
              <w:tab/>
            </w:r>
            <w:r>
              <w:rPr>
                <w:spacing w:val="-2"/>
                <w:sz w:val="24"/>
              </w:rPr>
              <w:t>родной</w:t>
            </w:r>
            <w:r>
              <w:rPr>
                <w:sz w:val="24"/>
              </w:rPr>
              <w:tab/>
            </w:r>
            <w:r>
              <w:rPr>
                <w:spacing w:val="-2"/>
                <w:sz w:val="24"/>
              </w:rPr>
              <w:t>культурной среды.</w:t>
            </w:r>
          </w:p>
          <w:p>
            <w:pPr>
              <w:pStyle w:val="TableParagraph"/>
              <w:spacing w:line="276" w:lineRule="auto" w:before="195"/>
              <w:ind w:left="110"/>
              <w:rPr>
                <w:sz w:val="24"/>
              </w:rPr>
            </w:pPr>
            <w:r>
              <w:rPr>
                <w:sz w:val="24"/>
              </w:rPr>
              <w:t>Включенность</w:t>
            </w:r>
            <w:r>
              <w:rPr>
                <w:spacing w:val="-15"/>
                <w:sz w:val="24"/>
              </w:rPr>
              <w:t> </w:t>
            </w:r>
            <w:r>
              <w:rPr>
                <w:sz w:val="24"/>
              </w:rPr>
              <w:t>в</w:t>
            </w:r>
            <w:r>
              <w:rPr>
                <w:spacing w:val="-15"/>
                <w:sz w:val="24"/>
              </w:rPr>
              <w:t> </w:t>
            </w:r>
            <w:r>
              <w:rPr>
                <w:sz w:val="24"/>
              </w:rPr>
              <w:t>культуру принимающего</w:t>
            </w:r>
            <w:r>
              <w:rPr>
                <w:spacing w:val="-6"/>
                <w:sz w:val="24"/>
              </w:rPr>
              <w:t> </w:t>
            </w:r>
            <w:r>
              <w:rPr>
                <w:spacing w:val="-2"/>
                <w:sz w:val="24"/>
              </w:rPr>
              <w:t>общества.</w:t>
            </w:r>
          </w:p>
          <w:p>
            <w:pPr>
              <w:pStyle w:val="TableParagraph"/>
              <w:spacing w:line="276" w:lineRule="auto" w:before="200"/>
              <w:ind w:left="110" w:right="1156"/>
              <w:rPr>
                <w:sz w:val="24"/>
              </w:rPr>
            </w:pPr>
            <w:r>
              <w:rPr>
                <w:sz w:val="24"/>
              </w:rPr>
              <w:t>Предпочитаемая</w:t>
            </w:r>
            <w:r>
              <w:rPr>
                <w:spacing w:val="-15"/>
                <w:sz w:val="24"/>
              </w:rPr>
              <w:t> </w:t>
            </w:r>
            <w:r>
              <w:rPr>
                <w:sz w:val="24"/>
              </w:rPr>
              <w:t>стратегия </w:t>
            </w:r>
            <w:r>
              <w:rPr>
                <w:spacing w:val="-2"/>
                <w:sz w:val="24"/>
              </w:rPr>
              <w:t>аккультурации</w:t>
            </w:r>
          </w:p>
        </w:tc>
      </w:tr>
      <w:tr>
        <w:trPr>
          <w:trHeight w:val="2186" w:hRule="atLeast"/>
        </w:trPr>
        <w:tc>
          <w:tcPr>
            <w:tcW w:w="3937" w:type="dxa"/>
          </w:tcPr>
          <w:p>
            <w:pPr>
              <w:pStyle w:val="TableParagraph"/>
              <w:rPr>
                <w:b/>
                <w:sz w:val="24"/>
              </w:rPr>
            </w:pPr>
          </w:p>
          <w:p>
            <w:pPr>
              <w:pStyle w:val="TableParagraph"/>
              <w:spacing w:before="117"/>
              <w:rPr>
                <w:b/>
                <w:sz w:val="24"/>
              </w:rPr>
            </w:pPr>
          </w:p>
          <w:p>
            <w:pPr>
              <w:pStyle w:val="TableParagraph"/>
              <w:spacing w:line="278" w:lineRule="auto"/>
              <w:ind w:left="110" w:right="881"/>
              <w:rPr>
                <w:sz w:val="24"/>
              </w:rPr>
            </w:pPr>
            <w:r>
              <w:rPr>
                <w:sz w:val="24"/>
              </w:rPr>
              <w:t>Детский опросник аккультурационного</w:t>
            </w:r>
            <w:r>
              <w:rPr>
                <w:spacing w:val="-15"/>
                <w:sz w:val="24"/>
              </w:rPr>
              <w:t> </w:t>
            </w:r>
            <w:r>
              <w:rPr>
                <w:sz w:val="24"/>
              </w:rPr>
              <w:t>стресса</w:t>
            </w:r>
          </w:p>
        </w:tc>
        <w:tc>
          <w:tcPr>
            <w:tcW w:w="1745" w:type="dxa"/>
          </w:tcPr>
          <w:p>
            <w:pPr>
              <w:pStyle w:val="TableParagraph"/>
              <w:rPr>
                <w:b/>
                <w:sz w:val="24"/>
              </w:rPr>
            </w:pPr>
          </w:p>
          <w:p>
            <w:pPr>
              <w:pStyle w:val="TableParagraph"/>
              <w:rPr>
                <w:b/>
                <w:sz w:val="24"/>
              </w:rPr>
            </w:pPr>
          </w:p>
          <w:p>
            <w:pPr>
              <w:pStyle w:val="TableParagraph"/>
              <w:spacing w:before="2"/>
              <w:rPr>
                <w:b/>
                <w:sz w:val="24"/>
              </w:rPr>
            </w:pPr>
          </w:p>
          <w:p>
            <w:pPr>
              <w:pStyle w:val="TableParagraph"/>
              <w:ind w:left="15"/>
              <w:jc w:val="center"/>
              <w:rPr>
                <w:sz w:val="24"/>
              </w:rPr>
            </w:pPr>
            <w:r>
              <w:rPr>
                <w:spacing w:val="-10"/>
                <w:sz w:val="24"/>
              </w:rPr>
              <w:t>Б</w:t>
            </w:r>
          </w:p>
        </w:tc>
        <w:tc>
          <w:tcPr>
            <w:tcW w:w="1798" w:type="dxa"/>
          </w:tcPr>
          <w:p>
            <w:pPr>
              <w:pStyle w:val="TableParagraph"/>
              <w:rPr>
                <w:sz w:val="24"/>
              </w:rPr>
            </w:pPr>
          </w:p>
        </w:tc>
        <w:tc>
          <w:tcPr>
            <w:tcW w:w="1855" w:type="dxa"/>
          </w:tcPr>
          <w:p>
            <w:pPr>
              <w:pStyle w:val="TableParagraph"/>
              <w:rPr>
                <w:b/>
                <w:sz w:val="24"/>
              </w:rPr>
            </w:pPr>
          </w:p>
          <w:p>
            <w:pPr>
              <w:pStyle w:val="TableParagraph"/>
              <w:rPr>
                <w:b/>
                <w:sz w:val="24"/>
              </w:rPr>
            </w:pPr>
          </w:p>
          <w:p>
            <w:pPr>
              <w:pStyle w:val="TableParagraph"/>
              <w:spacing w:before="2"/>
              <w:rPr>
                <w:b/>
                <w:sz w:val="24"/>
              </w:rPr>
            </w:pPr>
          </w:p>
          <w:p>
            <w:pPr>
              <w:pStyle w:val="TableParagraph"/>
              <w:ind w:left="66" w:right="55"/>
              <w:jc w:val="center"/>
              <w:rPr>
                <w:sz w:val="24"/>
              </w:rPr>
            </w:pPr>
            <w:r>
              <w:rPr>
                <w:spacing w:val="-10"/>
                <w:sz w:val="24"/>
              </w:rPr>
              <w:t>*</w:t>
            </w:r>
          </w:p>
        </w:tc>
        <w:tc>
          <w:tcPr>
            <w:tcW w:w="1625" w:type="dxa"/>
          </w:tcPr>
          <w:p>
            <w:pPr>
              <w:pStyle w:val="TableParagraph"/>
              <w:rPr>
                <w:b/>
                <w:sz w:val="24"/>
              </w:rPr>
            </w:pPr>
          </w:p>
          <w:p>
            <w:pPr>
              <w:pStyle w:val="TableParagraph"/>
              <w:rPr>
                <w:b/>
                <w:sz w:val="24"/>
              </w:rPr>
            </w:pPr>
          </w:p>
          <w:p>
            <w:pPr>
              <w:pStyle w:val="TableParagraph"/>
              <w:spacing w:before="2"/>
              <w:rPr>
                <w:b/>
                <w:sz w:val="24"/>
              </w:rPr>
            </w:pPr>
          </w:p>
          <w:p>
            <w:pPr>
              <w:pStyle w:val="TableParagraph"/>
              <w:ind w:left="11"/>
              <w:jc w:val="center"/>
              <w:rPr>
                <w:sz w:val="24"/>
              </w:rPr>
            </w:pPr>
            <w:r>
              <w:rPr>
                <w:spacing w:val="-10"/>
                <w:sz w:val="24"/>
              </w:rPr>
              <w:t>*</w:t>
            </w:r>
          </w:p>
        </w:tc>
        <w:tc>
          <w:tcPr>
            <w:tcW w:w="4034" w:type="dxa"/>
          </w:tcPr>
          <w:p>
            <w:pPr>
              <w:pStyle w:val="TableParagraph"/>
              <w:spacing w:line="276" w:lineRule="auto"/>
              <w:ind w:left="110"/>
              <w:rPr>
                <w:sz w:val="24"/>
              </w:rPr>
            </w:pPr>
            <w:r>
              <w:rPr>
                <w:sz w:val="24"/>
              </w:rPr>
              <w:t>Общий</w:t>
            </w:r>
            <w:r>
              <w:rPr>
                <w:spacing w:val="-15"/>
                <w:sz w:val="24"/>
              </w:rPr>
              <w:t> </w:t>
            </w:r>
            <w:r>
              <w:rPr>
                <w:sz w:val="24"/>
              </w:rPr>
              <w:t>уровень</w:t>
            </w:r>
            <w:r>
              <w:rPr>
                <w:spacing w:val="-15"/>
                <w:sz w:val="24"/>
              </w:rPr>
              <w:t> </w:t>
            </w:r>
            <w:r>
              <w:rPr>
                <w:sz w:val="24"/>
              </w:rPr>
              <w:t>аккультурационного </w:t>
            </w:r>
            <w:r>
              <w:rPr>
                <w:spacing w:val="-2"/>
                <w:sz w:val="24"/>
              </w:rPr>
              <w:t>стресса.</w:t>
            </w:r>
          </w:p>
          <w:p>
            <w:pPr>
              <w:pStyle w:val="TableParagraph"/>
              <w:spacing w:before="195"/>
              <w:ind w:left="110"/>
              <w:rPr>
                <w:sz w:val="24"/>
              </w:rPr>
            </w:pPr>
            <w:r>
              <w:rPr>
                <w:sz w:val="24"/>
              </w:rPr>
              <w:t>Воспринимаемая</w:t>
            </w:r>
            <w:r>
              <w:rPr>
                <w:spacing w:val="-9"/>
                <w:sz w:val="24"/>
              </w:rPr>
              <w:t> </w:t>
            </w:r>
            <w:r>
              <w:rPr>
                <w:spacing w:val="-2"/>
                <w:sz w:val="24"/>
              </w:rPr>
              <w:t>дискриминация.</w:t>
            </w:r>
          </w:p>
          <w:p>
            <w:pPr>
              <w:pStyle w:val="TableParagraph"/>
              <w:spacing w:line="276" w:lineRule="auto" w:before="240"/>
              <w:ind w:left="110"/>
              <w:rPr>
                <w:sz w:val="24"/>
              </w:rPr>
            </w:pPr>
            <w:r>
              <w:rPr>
                <w:sz w:val="24"/>
              </w:rPr>
              <w:t>Сложности</w:t>
            </w:r>
            <w:r>
              <w:rPr>
                <w:spacing w:val="-13"/>
                <w:sz w:val="24"/>
              </w:rPr>
              <w:t> </w:t>
            </w:r>
            <w:r>
              <w:rPr>
                <w:sz w:val="24"/>
              </w:rPr>
              <w:t>вхождения</w:t>
            </w:r>
            <w:r>
              <w:rPr>
                <w:spacing w:val="-15"/>
                <w:sz w:val="24"/>
              </w:rPr>
              <w:t> </w:t>
            </w:r>
            <w:r>
              <w:rPr>
                <w:sz w:val="24"/>
              </w:rPr>
              <w:t>в</w:t>
            </w:r>
            <w:r>
              <w:rPr>
                <w:spacing w:val="-14"/>
                <w:sz w:val="24"/>
              </w:rPr>
              <w:t> </w:t>
            </w:r>
            <w:r>
              <w:rPr>
                <w:sz w:val="24"/>
              </w:rPr>
              <w:t>российскую </w:t>
            </w:r>
            <w:r>
              <w:rPr>
                <w:spacing w:val="-2"/>
                <w:sz w:val="24"/>
              </w:rPr>
              <w:t>культуру</w:t>
            </w:r>
          </w:p>
        </w:tc>
      </w:tr>
    </w:tbl>
    <w:p>
      <w:pPr>
        <w:pStyle w:val="TableParagraph"/>
        <w:spacing w:after="0" w:line="276" w:lineRule="auto"/>
        <w:rPr>
          <w:sz w:val="24"/>
        </w:rPr>
        <w:sectPr>
          <w:footerReference w:type="default" r:id="rId37"/>
          <w:pgSz w:w="16840" w:h="11910" w:orient="landscape"/>
          <w:pgMar w:header="0" w:footer="1024" w:top="1340" w:bottom="1220" w:left="992" w:right="708"/>
        </w:sectPr>
      </w:pPr>
    </w:p>
    <w:p>
      <w:pPr>
        <w:pStyle w:val="BodyText"/>
        <w:spacing w:before="125"/>
        <w:ind w:left="0" w:right="0" w:firstLine="0"/>
        <w:jc w:val="left"/>
        <w:rPr>
          <w:b/>
        </w:rPr>
      </w:pPr>
    </w:p>
    <w:tbl>
      <w:tblPr>
        <w:tblW w:w="0" w:type="auto"/>
        <w:jc w:val="left"/>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37"/>
        <w:gridCol w:w="1745"/>
        <w:gridCol w:w="1798"/>
        <w:gridCol w:w="1855"/>
        <w:gridCol w:w="1625"/>
        <w:gridCol w:w="4034"/>
      </w:tblGrid>
      <w:tr>
        <w:trPr>
          <w:trHeight w:val="1468" w:hRule="atLeast"/>
        </w:trPr>
        <w:tc>
          <w:tcPr>
            <w:tcW w:w="3937" w:type="dxa"/>
          </w:tcPr>
          <w:p>
            <w:pPr>
              <w:pStyle w:val="TableParagraph"/>
              <w:spacing w:line="276" w:lineRule="auto"/>
              <w:ind w:left="110"/>
              <w:rPr>
                <w:sz w:val="24"/>
              </w:rPr>
            </w:pPr>
            <w:r>
              <w:rPr>
                <w:sz w:val="24"/>
              </w:rPr>
              <w:t>Карта стандартизованного наблюдения</w:t>
            </w:r>
            <w:r>
              <w:rPr>
                <w:spacing w:val="-9"/>
                <w:sz w:val="24"/>
              </w:rPr>
              <w:t> </w:t>
            </w:r>
            <w:r>
              <w:rPr>
                <w:sz w:val="24"/>
              </w:rPr>
              <w:t>детей</w:t>
            </w:r>
            <w:r>
              <w:rPr>
                <w:spacing w:val="-11"/>
                <w:sz w:val="24"/>
              </w:rPr>
              <w:t> </w:t>
            </w:r>
            <w:r>
              <w:rPr>
                <w:sz w:val="24"/>
              </w:rPr>
              <w:t>и</w:t>
            </w:r>
            <w:r>
              <w:rPr>
                <w:spacing w:val="-9"/>
                <w:sz w:val="24"/>
              </w:rPr>
              <w:t> </w:t>
            </w:r>
            <w:r>
              <w:rPr>
                <w:sz w:val="24"/>
              </w:rPr>
              <w:t>подростков</w:t>
            </w:r>
            <w:r>
              <w:rPr>
                <w:spacing w:val="-10"/>
                <w:sz w:val="24"/>
              </w:rPr>
              <w:t> </w:t>
            </w:r>
            <w:r>
              <w:rPr>
                <w:sz w:val="24"/>
              </w:rPr>
              <w:t>из семей мигрантов «Стратегии </w:t>
            </w:r>
            <w:r>
              <w:rPr>
                <w:spacing w:val="-2"/>
                <w:sz w:val="24"/>
              </w:rPr>
              <w:t>адаптации»</w:t>
            </w:r>
          </w:p>
        </w:tc>
        <w:tc>
          <w:tcPr>
            <w:tcW w:w="1745" w:type="dxa"/>
          </w:tcPr>
          <w:p>
            <w:pPr>
              <w:pStyle w:val="TableParagraph"/>
              <w:spacing w:before="193"/>
              <w:rPr>
                <w:b/>
                <w:sz w:val="24"/>
              </w:rPr>
            </w:pPr>
          </w:p>
          <w:p>
            <w:pPr>
              <w:pStyle w:val="TableParagraph"/>
              <w:ind w:left="15" w:right="5"/>
              <w:jc w:val="center"/>
              <w:rPr>
                <w:sz w:val="24"/>
              </w:rPr>
            </w:pPr>
            <w:r>
              <w:rPr>
                <w:spacing w:val="-10"/>
                <w:sz w:val="24"/>
              </w:rPr>
              <w:t>Р</w:t>
            </w:r>
          </w:p>
        </w:tc>
        <w:tc>
          <w:tcPr>
            <w:tcW w:w="1798" w:type="dxa"/>
          </w:tcPr>
          <w:p>
            <w:pPr>
              <w:pStyle w:val="TableParagraph"/>
              <w:spacing w:before="193"/>
              <w:rPr>
                <w:b/>
                <w:sz w:val="24"/>
              </w:rPr>
            </w:pPr>
          </w:p>
          <w:p>
            <w:pPr>
              <w:pStyle w:val="TableParagraph"/>
              <w:ind w:left="11"/>
              <w:jc w:val="center"/>
              <w:rPr>
                <w:sz w:val="24"/>
              </w:rPr>
            </w:pPr>
            <w:r>
              <w:rPr>
                <w:spacing w:val="-10"/>
                <w:sz w:val="24"/>
              </w:rPr>
              <w:t>*</w:t>
            </w:r>
          </w:p>
        </w:tc>
        <w:tc>
          <w:tcPr>
            <w:tcW w:w="1855" w:type="dxa"/>
          </w:tcPr>
          <w:p>
            <w:pPr>
              <w:pStyle w:val="TableParagraph"/>
              <w:spacing w:before="193"/>
              <w:rPr>
                <w:b/>
                <w:sz w:val="24"/>
              </w:rPr>
            </w:pPr>
          </w:p>
          <w:p>
            <w:pPr>
              <w:pStyle w:val="TableParagraph"/>
              <w:ind w:left="66" w:right="55"/>
              <w:jc w:val="center"/>
              <w:rPr>
                <w:sz w:val="24"/>
              </w:rPr>
            </w:pPr>
            <w:r>
              <w:rPr>
                <w:spacing w:val="-10"/>
                <w:sz w:val="24"/>
              </w:rPr>
              <w:t>*</w:t>
            </w:r>
          </w:p>
        </w:tc>
        <w:tc>
          <w:tcPr>
            <w:tcW w:w="1625" w:type="dxa"/>
          </w:tcPr>
          <w:p>
            <w:pPr>
              <w:pStyle w:val="TableParagraph"/>
              <w:spacing w:before="193"/>
              <w:rPr>
                <w:b/>
                <w:sz w:val="24"/>
              </w:rPr>
            </w:pPr>
          </w:p>
          <w:p>
            <w:pPr>
              <w:pStyle w:val="TableParagraph"/>
              <w:ind w:left="11"/>
              <w:jc w:val="center"/>
              <w:rPr>
                <w:sz w:val="24"/>
              </w:rPr>
            </w:pPr>
            <w:r>
              <w:rPr>
                <w:spacing w:val="-10"/>
                <w:sz w:val="24"/>
              </w:rPr>
              <w:t>*</w:t>
            </w:r>
          </w:p>
        </w:tc>
        <w:tc>
          <w:tcPr>
            <w:tcW w:w="4034" w:type="dxa"/>
          </w:tcPr>
          <w:p>
            <w:pPr>
              <w:pStyle w:val="TableParagraph"/>
              <w:spacing w:before="34"/>
              <w:rPr>
                <w:b/>
                <w:sz w:val="24"/>
              </w:rPr>
            </w:pPr>
          </w:p>
          <w:p>
            <w:pPr>
              <w:pStyle w:val="TableParagraph"/>
              <w:spacing w:line="276" w:lineRule="auto" w:before="1"/>
              <w:ind w:left="110" w:right="1326"/>
              <w:rPr>
                <w:sz w:val="24"/>
              </w:rPr>
            </w:pPr>
            <w:r>
              <w:rPr>
                <w:sz w:val="24"/>
              </w:rPr>
              <w:t>Выраженность</w:t>
            </w:r>
            <w:r>
              <w:rPr>
                <w:spacing w:val="-15"/>
                <w:sz w:val="24"/>
              </w:rPr>
              <w:t> </w:t>
            </w:r>
            <w:r>
              <w:rPr>
                <w:sz w:val="24"/>
              </w:rPr>
              <w:t>стратегий </w:t>
            </w:r>
            <w:r>
              <w:rPr>
                <w:spacing w:val="-2"/>
                <w:sz w:val="24"/>
              </w:rPr>
              <w:t>аккультурации</w:t>
            </w:r>
          </w:p>
        </w:tc>
      </w:tr>
      <w:tr>
        <w:trPr>
          <w:trHeight w:val="835" w:hRule="atLeast"/>
        </w:trPr>
        <w:tc>
          <w:tcPr>
            <w:tcW w:w="3937" w:type="dxa"/>
          </w:tcPr>
          <w:p>
            <w:pPr>
              <w:pStyle w:val="TableParagraph"/>
              <w:spacing w:line="278" w:lineRule="auto"/>
              <w:ind w:left="110"/>
              <w:rPr>
                <w:sz w:val="24"/>
              </w:rPr>
            </w:pPr>
            <w:r>
              <w:rPr>
                <w:sz w:val="24"/>
              </w:rPr>
              <w:t>Краткая</w:t>
            </w:r>
            <w:r>
              <w:rPr>
                <w:spacing w:val="-15"/>
                <w:sz w:val="24"/>
              </w:rPr>
              <w:t> </w:t>
            </w:r>
            <w:r>
              <w:rPr>
                <w:sz w:val="24"/>
              </w:rPr>
              <w:t>шкала</w:t>
            </w:r>
            <w:r>
              <w:rPr>
                <w:spacing w:val="-15"/>
                <w:sz w:val="24"/>
              </w:rPr>
              <w:t> </w:t>
            </w:r>
            <w:r>
              <w:rPr>
                <w:sz w:val="24"/>
              </w:rPr>
              <w:t>социокультурной </w:t>
            </w:r>
            <w:r>
              <w:rPr>
                <w:spacing w:val="-2"/>
                <w:sz w:val="24"/>
              </w:rPr>
              <w:t>дезадаптации</w:t>
            </w:r>
          </w:p>
        </w:tc>
        <w:tc>
          <w:tcPr>
            <w:tcW w:w="1745" w:type="dxa"/>
          </w:tcPr>
          <w:p>
            <w:pPr>
              <w:pStyle w:val="TableParagraph"/>
              <w:spacing w:before="152"/>
              <w:ind w:left="15" w:right="5"/>
              <w:jc w:val="center"/>
              <w:rPr>
                <w:sz w:val="24"/>
              </w:rPr>
            </w:pPr>
            <w:r>
              <w:rPr>
                <w:spacing w:val="-10"/>
                <w:sz w:val="24"/>
              </w:rPr>
              <w:t>Р</w:t>
            </w:r>
          </w:p>
        </w:tc>
        <w:tc>
          <w:tcPr>
            <w:tcW w:w="1798" w:type="dxa"/>
          </w:tcPr>
          <w:p>
            <w:pPr>
              <w:pStyle w:val="TableParagraph"/>
              <w:rPr>
                <w:sz w:val="24"/>
              </w:rPr>
            </w:pPr>
          </w:p>
        </w:tc>
        <w:tc>
          <w:tcPr>
            <w:tcW w:w="1855" w:type="dxa"/>
          </w:tcPr>
          <w:p>
            <w:pPr>
              <w:pStyle w:val="TableParagraph"/>
              <w:spacing w:before="152"/>
              <w:ind w:left="66" w:right="55"/>
              <w:jc w:val="center"/>
              <w:rPr>
                <w:sz w:val="24"/>
              </w:rPr>
            </w:pPr>
            <w:r>
              <w:rPr>
                <w:spacing w:val="-10"/>
                <w:sz w:val="24"/>
              </w:rPr>
              <w:t>*</w:t>
            </w:r>
          </w:p>
        </w:tc>
        <w:tc>
          <w:tcPr>
            <w:tcW w:w="1625" w:type="dxa"/>
          </w:tcPr>
          <w:p>
            <w:pPr>
              <w:pStyle w:val="TableParagraph"/>
              <w:spacing w:before="152"/>
              <w:ind w:left="11"/>
              <w:jc w:val="center"/>
              <w:rPr>
                <w:sz w:val="24"/>
              </w:rPr>
            </w:pPr>
            <w:r>
              <w:rPr>
                <w:spacing w:val="-10"/>
                <w:sz w:val="24"/>
              </w:rPr>
              <w:t>*</w:t>
            </w:r>
          </w:p>
        </w:tc>
        <w:tc>
          <w:tcPr>
            <w:tcW w:w="4034" w:type="dxa"/>
          </w:tcPr>
          <w:p>
            <w:pPr>
              <w:pStyle w:val="TableParagraph"/>
              <w:spacing w:line="278" w:lineRule="auto"/>
              <w:ind w:left="110"/>
              <w:rPr>
                <w:sz w:val="24"/>
              </w:rPr>
            </w:pPr>
            <w:r>
              <w:rPr>
                <w:sz w:val="24"/>
              </w:rPr>
              <w:t>Сложности</w:t>
            </w:r>
            <w:r>
              <w:rPr>
                <w:spacing w:val="-8"/>
                <w:sz w:val="24"/>
              </w:rPr>
              <w:t> </w:t>
            </w:r>
            <w:r>
              <w:rPr>
                <w:sz w:val="24"/>
              </w:rPr>
              <w:t>в</w:t>
            </w:r>
            <w:r>
              <w:rPr>
                <w:spacing w:val="-10"/>
                <w:sz w:val="24"/>
              </w:rPr>
              <w:t> </w:t>
            </w:r>
            <w:r>
              <w:rPr>
                <w:sz w:val="24"/>
              </w:rPr>
              <w:t>адаптации</w:t>
            </w:r>
            <w:r>
              <w:rPr>
                <w:spacing w:val="-10"/>
                <w:sz w:val="24"/>
              </w:rPr>
              <w:t> </w:t>
            </w:r>
            <w:r>
              <w:rPr>
                <w:sz w:val="24"/>
              </w:rPr>
              <w:t>к</w:t>
            </w:r>
            <w:r>
              <w:rPr>
                <w:spacing w:val="-9"/>
                <w:sz w:val="24"/>
              </w:rPr>
              <w:t> </w:t>
            </w:r>
            <w:r>
              <w:rPr>
                <w:sz w:val="24"/>
              </w:rPr>
              <w:t>новой </w:t>
            </w:r>
            <w:r>
              <w:rPr>
                <w:spacing w:val="-2"/>
                <w:sz w:val="24"/>
              </w:rPr>
              <w:t>культуре</w:t>
            </w:r>
          </w:p>
        </w:tc>
      </w:tr>
      <w:tr>
        <w:trPr>
          <w:trHeight w:val="1670" w:hRule="atLeast"/>
        </w:trPr>
        <w:tc>
          <w:tcPr>
            <w:tcW w:w="3937" w:type="dxa"/>
          </w:tcPr>
          <w:p>
            <w:pPr>
              <w:pStyle w:val="TableParagraph"/>
              <w:spacing w:line="276" w:lineRule="auto" w:before="253"/>
              <w:ind w:left="110" w:right="102"/>
              <w:rPr>
                <w:sz w:val="24"/>
              </w:rPr>
            </w:pPr>
            <w:r>
              <w:rPr>
                <w:sz w:val="24"/>
              </w:rPr>
              <w:t>Методика</w:t>
            </w:r>
            <w:r>
              <w:rPr>
                <w:spacing w:val="-15"/>
                <w:sz w:val="24"/>
              </w:rPr>
              <w:t> </w:t>
            </w:r>
            <w:r>
              <w:rPr>
                <w:sz w:val="24"/>
              </w:rPr>
              <w:t>измерения</w:t>
            </w:r>
            <w:r>
              <w:rPr>
                <w:spacing w:val="-15"/>
                <w:sz w:val="24"/>
              </w:rPr>
              <w:t> </w:t>
            </w:r>
            <w:r>
              <w:rPr>
                <w:sz w:val="24"/>
              </w:rPr>
              <w:t>гражданской идентичности для детей и </w:t>
            </w:r>
            <w:r>
              <w:rPr>
                <w:spacing w:val="-2"/>
                <w:sz w:val="24"/>
              </w:rPr>
              <w:t>подростков</w:t>
            </w:r>
          </w:p>
        </w:tc>
        <w:tc>
          <w:tcPr>
            <w:tcW w:w="1745" w:type="dxa"/>
          </w:tcPr>
          <w:p>
            <w:pPr>
              <w:pStyle w:val="TableParagraph"/>
              <w:rPr>
                <w:b/>
                <w:sz w:val="24"/>
              </w:rPr>
            </w:pPr>
          </w:p>
          <w:p>
            <w:pPr>
              <w:pStyle w:val="TableParagraph"/>
              <w:spacing w:before="18"/>
              <w:rPr>
                <w:b/>
                <w:sz w:val="24"/>
              </w:rPr>
            </w:pPr>
          </w:p>
          <w:p>
            <w:pPr>
              <w:pStyle w:val="TableParagraph"/>
              <w:ind w:left="15" w:right="5"/>
              <w:jc w:val="center"/>
              <w:rPr>
                <w:sz w:val="24"/>
              </w:rPr>
            </w:pPr>
            <w:r>
              <w:rPr>
                <w:spacing w:val="-10"/>
                <w:sz w:val="24"/>
              </w:rPr>
              <w:t>Р</w:t>
            </w:r>
          </w:p>
        </w:tc>
        <w:tc>
          <w:tcPr>
            <w:tcW w:w="1798" w:type="dxa"/>
          </w:tcPr>
          <w:p>
            <w:pPr>
              <w:pStyle w:val="TableParagraph"/>
              <w:rPr>
                <w:sz w:val="24"/>
              </w:rPr>
            </w:pPr>
          </w:p>
        </w:tc>
        <w:tc>
          <w:tcPr>
            <w:tcW w:w="1855" w:type="dxa"/>
          </w:tcPr>
          <w:p>
            <w:pPr>
              <w:pStyle w:val="TableParagraph"/>
              <w:rPr>
                <w:b/>
                <w:sz w:val="24"/>
              </w:rPr>
            </w:pPr>
          </w:p>
          <w:p>
            <w:pPr>
              <w:pStyle w:val="TableParagraph"/>
              <w:spacing w:before="18"/>
              <w:rPr>
                <w:b/>
                <w:sz w:val="24"/>
              </w:rPr>
            </w:pPr>
          </w:p>
          <w:p>
            <w:pPr>
              <w:pStyle w:val="TableParagraph"/>
              <w:ind w:left="66" w:right="55"/>
              <w:jc w:val="center"/>
              <w:rPr>
                <w:sz w:val="24"/>
              </w:rPr>
            </w:pPr>
            <w:r>
              <w:rPr>
                <w:spacing w:val="-10"/>
                <w:sz w:val="24"/>
              </w:rPr>
              <w:t>*</w:t>
            </w:r>
          </w:p>
        </w:tc>
        <w:tc>
          <w:tcPr>
            <w:tcW w:w="1625" w:type="dxa"/>
          </w:tcPr>
          <w:p>
            <w:pPr>
              <w:pStyle w:val="TableParagraph"/>
              <w:rPr>
                <w:b/>
                <w:sz w:val="24"/>
              </w:rPr>
            </w:pPr>
          </w:p>
          <w:p>
            <w:pPr>
              <w:pStyle w:val="TableParagraph"/>
              <w:spacing w:before="18"/>
              <w:rPr>
                <w:b/>
                <w:sz w:val="24"/>
              </w:rPr>
            </w:pPr>
          </w:p>
          <w:p>
            <w:pPr>
              <w:pStyle w:val="TableParagraph"/>
              <w:ind w:left="11"/>
              <w:jc w:val="center"/>
              <w:rPr>
                <w:sz w:val="24"/>
              </w:rPr>
            </w:pPr>
            <w:r>
              <w:rPr>
                <w:spacing w:val="-10"/>
                <w:sz w:val="24"/>
              </w:rPr>
              <w:t>*</w:t>
            </w:r>
          </w:p>
        </w:tc>
        <w:tc>
          <w:tcPr>
            <w:tcW w:w="4034" w:type="dxa"/>
          </w:tcPr>
          <w:p>
            <w:pPr>
              <w:pStyle w:val="TableParagraph"/>
              <w:spacing w:line="278" w:lineRule="auto"/>
              <w:ind w:left="110"/>
              <w:rPr>
                <w:sz w:val="24"/>
              </w:rPr>
            </w:pPr>
            <w:r>
              <w:rPr>
                <w:sz w:val="24"/>
              </w:rPr>
              <w:t>Идентичность</w:t>
            </w:r>
            <w:r>
              <w:rPr>
                <w:spacing w:val="-13"/>
                <w:sz w:val="24"/>
              </w:rPr>
              <w:t> </w:t>
            </w:r>
            <w:r>
              <w:rPr>
                <w:sz w:val="24"/>
              </w:rPr>
              <w:t>со</w:t>
            </w:r>
            <w:r>
              <w:rPr>
                <w:spacing w:val="-13"/>
                <w:sz w:val="24"/>
              </w:rPr>
              <w:t> </w:t>
            </w:r>
            <w:r>
              <w:rPr>
                <w:sz w:val="24"/>
              </w:rPr>
              <w:t>страной</w:t>
            </w:r>
            <w:r>
              <w:rPr>
                <w:spacing w:val="-13"/>
                <w:sz w:val="24"/>
              </w:rPr>
              <w:t> </w:t>
            </w:r>
            <w:r>
              <w:rPr>
                <w:sz w:val="24"/>
              </w:rPr>
              <w:t>исхода </w:t>
            </w:r>
            <w:r>
              <w:rPr>
                <w:spacing w:val="-2"/>
                <w:sz w:val="24"/>
              </w:rPr>
              <w:t>(родиной).</w:t>
            </w:r>
          </w:p>
          <w:p>
            <w:pPr>
              <w:pStyle w:val="TableParagraph"/>
              <w:spacing w:line="276" w:lineRule="auto" w:before="189"/>
              <w:ind w:left="110" w:right="1397"/>
              <w:rPr>
                <w:sz w:val="24"/>
              </w:rPr>
            </w:pPr>
            <w:r>
              <w:rPr>
                <w:sz w:val="24"/>
              </w:rPr>
              <w:t>Российская</w:t>
            </w:r>
            <w:r>
              <w:rPr>
                <w:spacing w:val="-15"/>
                <w:sz w:val="24"/>
              </w:rPr>
              <w:t> </w:t>
            </w:r>
            <w:r>
              <w:rPr>
                <w:sz w:val="24"/>
              </w:rPr>
              <w:t>гражданская </w:t>
            </w:r>
            <w:r>
              <w:rPr>
                <w:spacing w:val="-2"/>
                <w:sz w:val="24"/>
              </w:rPr>
              <w:t>идентичность</w:t>
            </w:r>
          </w:p>
        </w:tc>
      </w:tr>
      <w:tr>
        <w:trPr>
          <w:trHeight w:val="2623" w:hRule="atLeast"/>
        </w:trPr>
        <w:tc>
          <w:tcPr>
            <w:tcW w:w="3937" w:type="dxa"/>
          </w:tcPr>
          <w:p>
            <w:pPr>
              <w:pStyle w:val="TableParagraph"/>
              <w:rPr>
                <w:b/>
                <w:sz w:val="24"/>
              </w:rPr>
            </w:pPr>
          </w:p>
          <w:p>
            <w:pPr>
              <w:pStyle w:val="TableParagraph"/>
              <w:rPr>
                <w:b/>
                <w:sz w:val="24"/>
              </w:rPr>
            </w:pPr>
          </w:p>
          <w:p>
            <w:pPr>
              <w:pStyle w:val="TableParagraph"/>
              <w:spacing w:before="59"/>
              <w:rPr>
                <w:b/>
                <w:sz w:val="24"/>
              </w:rPr>
            </w:pPr>
          </w:p>
          <w:p>
            <w:pPr>
              <w:pStyle w:val="TableParagraph"/>
              <w:spacing w:line="278" w:lineRule="auto"/>
              <w:ind w:left="110" w:right="766"/>
              <w:rPr>
                <w:sz w:val="24"/>
              </w:rPr>
            </w:pPr>
            <w:r>
              <w:rPr>
                <w:sz w:val="24"/>
              </w:rPr>
              <w:t>Опросник «Интеграция бикультурной</w:t>
            </w:r>
            <w:r>
              <w:rPr>
                <w:spacing w:val="-15"/>
                <w:sz w:val="24"/>
              </w:rPr>
              <w:t> </w:t>
            </w:r>
            <w:r>
              <w:rPr>
                <w:sz w:val="24"/>
              </w:rPr>
              <w:t>идентичности»</w:t>
            </w:r>
          </w:p>
        </w:tc>
        <w:tc>
          <w:tcPr>
            <w:tcW w:w="1745" w:type="dxa"/>
          </w:tcPr>
          <w:p>
            <w:pPr>
              <w:pStyle w:val="TableParagraph"/>
              <w:rPr>
                <w:b/>
                <w:sz w:val="24"/>
              </w:rPr>
            </w:pPr>
          </w:p>
          <w:p>
            <w:pPr>
              <w:pStyle w:val="TableParagraph"/>
              <w:rPr>
                <w:b/>
                <w:sz w:val="24"/>
              </w:rPr>
            </w:pPr>
          </w:p>
          <w:p>
            <w:pPr>
              <w:pStyle w:val="TableParagraph"/>
              <w:spacing w:before="220"/>
              <w:rPr>
                <w:b/>
                <w:sz w:val="24"/>
              </w:rPr>
            </w:pPr>
          </w:p>
          <w:p>
            <w:pPr>
              <w:pStyle w:val="TableParagraph"/>
              <w:ind w:left="15" w:right="5"/>
              <w:jc w:val="center"/>
              <w:rPr>
                <w:sz w:val="24"/>
              </w:rPr>
            </w:pPr>
            <w:r>
              <w:rPr>
                <w:spacing w:val="-10"/>
                <w:sz w:val="24"/>
              </w:rPr>
              <w:t>Р</w:t>
            </w:r>
          </w:p>
        </w:tc>
        <w:tc>
          <w:tcPr>
            <w:tcW w:w="1798" w:type="dxa"/>
          </w:tcPr>
          <w:p>
            <w:pPr>
              <w:pStyle w:val="TableParagraph"/>
              <w:rPr>
                <w:sz w:val="24"/>
              </w:rPr>
            </w:pPr>
          </w:p>
        </w:tc>
        <w:tc>
          <w:tcPr>
            <w:tcW w:w="1855" w:type="dxa"/>
          </w:tcPr>
          <w:p>
            <w:pPr>
              <w:pStyle w:val="TableParagraph"/>
              <w:rPr>
                <w:sz w:val="24"/>
              </w:rPr>
            </w:pPr>
          </w:p>
        </w:tc>
        <w:tc>
          <w:tcPr>
            <w:tcW w:w="1625" w:type="dxa"/>
          </w:tcPr>
          <w:p>
            <w:pPr>
              <w:pStyle w:val="TableParagraph"/>
              <w:rPr>
                <w:b/>
                <w:sz w:val="24"/>
              </w:rPr>
            </w:pPr>
          </w:p>
          <w:p>
            <w:pPr>
              <w:pStyle w:val="TableParagraph"/>
              <w:rPr>
                <w:b/>
                <w:sz w:val="24"/>
              </w:rPr>
            </w:pPr>
          </w:p>
          <w:p>
            <w:pPr>
              <w:pStyle w:val="TableParagraph"/>
              <w:spacing w:before="220"/>
              <w:rPr>
                <w:b/>
                <w:sz w:val="24"/>
              </w:rPr>
            </w:pPr>
          </w:p>
          <w:p>
            <w:pPr>
              <w:pStyle w:val="TableParagraph"/>
              <w:ind w:left="11"/>
              <w:jc w:val="center"/>
              <w:rPr>
                <w:sz w:val="24"/>
              </w:rPr>
            </w:pPr>
            <w:r>
              <w:rPr>
                <w:spacing w:val="-10"/>
                <w:sz w:val="24"/>
              </w:rPr>
              <w:t>*</w:t>
            </w:r>
          </w:p>
        </w:tc>
        <w:tc>
          <w:tcPr>
            <w:tcW w:w="4034" w:type="dxa"/>
          </w:tcPr>
          <w:p>
            <w:pPr>
              <w:pStyle w:val="TableParagraph"/>
              <w:spacing w:line="276" w:lineRule="auto"/>
              <w:ind w:left="110" w:right="99"/>
              <w:rPr>
                <w:sz w:val="24"/>
              </w:rPr>
            </w:pPr>
            <w:r>
              <w:rPr>
                <w:sz w:val="24"/>
              </w:rPr>
              <w:t>Интеграция бикультурной идентичности: «Культурная гармония</w:t>
            </w:r>
            <w:r>
              <w:rPr>
                <w:spacing w:val="-14"/>
                <w:sz w:val="24"/>
              </w:rPr>
              <w:t> </w:t>
            </w:r>
            <w:r>
              <w:rPr>
                <w:i/>
                <w:sz w:val="24"/>
              </w:rPr>
              <w:t>vs</w:t>
            </w:r>
            <w:r>
              <w:rPr>
                <w:i/>
                <w:spacing w:val="-14"/>
                <w:sz w:val="24"/>
              </w:rPr>
              <w:t> </w:t>
            </w:r>
            <w:r>
              <w:rPr>
                <w:sz w:val="24"/>
              </w:rPr>
              <w:t>Культурный</w:t>
            </w:r>
            <w:r>
              <w:rPr>
                <w:spacing w:val="-14"/>
                <w:sz w:val="24"/>
              </w:rPr>
              <w:t> </w:t>
            </w:r>
            <w:r>
              <w:rPr>
                <w:sz w:val="24"/>
              </w:rPr>
              <w:t>конфликт».</w:t>
            </w:r>
          </w:p>
          <w:p>
            <w:pPr>
              <w:pStyle w:val="TableParagraph"/>
              <w:spacing w:line="276" w:lineRule="auto" w:before="194"/>
              <w:ind w:left="110" w:right="1025"/>
              <w:rPr>
                <w:sz w:val="24"/>
              </w:rPr>
            </w:pPr>
            <w:r>
              <w:rPr>
                <w:sz w:val="24"/>
              </w:rPr>
              <w:t>Интеграция бикультурной идентичности:</w:t>
            </w:r>
            <w:r>
              <w:rPr>
                <w:spacing w:val="-15"/>
                <w:sz w:val="24"/>
              </w:rPr>
              <w:t> </w:t>
            </w:r>
            <w:r>
              <w:rPr>
                <w:sz w:val="24"/>
              </w:rPr>
              <w:t>«Культурное смешение </w:t>
            </w:r>
            <w:r>
              <w:rPr>
                <w:i/>
                <w:sz w:val="24"/>
              </w:rPr>
              <w:t>vs </w:t>
            </w:r>
            <w:r>
              <w:rPr>
                <w:sz w:val="24"/>
              </w:rPr>
              <w:t>Культурная </w:t>
            </w:r>
            <w:r>
              <w:rPr>
                <w:spacing w:val="-2"/>
                <w:sz w:val="24"/>
              </w:rPr>
              <w:t>разобщенность»</w:t>
            </w:r>
          </w:p>
        </w:tc>
      </w:tr>
    </w:tbl>
    <w:p>
      <w:pPr>
        <w:pStyle w:val="TableParagraph"/>
        <w:spacing w:after="0" w:line="276" w:lineRule="auto"/>
        <w:rPr>
          <w:sz w:val="24"/>
        </w:rPr>
        <w:sectPr>
          <w:pgSz w:w="16840" w:h="11910" w:orient="landscape"/>
          <w:pgMar w:header="0" w:footer="1024" w:top="1340" w:bottom="1220" w:left="992" w:right="708"/>
        </w:sectPr>
      </w:pPr>
    </w:p>
    <w:p>
      <w:pPr>
        <w:pStyle w:val="Heading2"/>
        <w:spacing w:line="278" w:lineRule="auto" w:before="70"/>
        <w:ind w:left="2" w:right="136"/>
        <w:jc w:val="both"/>
      </w:pPr>
      <w:bookmarkStart w:name="_bookmark8" w:id="10"/>
      <w:bookmarkEnd w:id="10"/>
      <w:r>
        <w:rPr>
          <w:b w:val="0"/>
        </w:rPr>
      </w:r>
      <w:r>
        <w:rPr/>
        <w:t>Глава 3. Психолого-педагогическая оценка особых образовательных потребностей ребенка-иностранного гражданина в сфере социальных </w:t>
      </w:r>
      <w:r>
        <w:rPr>
          <w:spacing w:val="-2"/>
        </w:rPr>
        <w:t>навыков</w:t>
      </w:r>
    </w:p>
    <w:p>
      <w:pPr>
        <w:pStyle w:val="Heading4"/>
        <w:spacing w:line="276" w:lineRule="auto" w:before="229"/>
        <w:ind w:left="2" w:right="137" w:firstLine="566"/>
      </w:pPr>
      <w:r>
        <w:rPr/>
        <w:t>Базовый набор психолого-педагогической оценки социальных навыков детей-иностранных граждан на всех ступенях обучения предполагает использование </w:t>
      </w:r>
      <w:r>
        <w:rPr>
          <w:i/>
        </w:rPr>
        <w:t>методики оценки социальных навыков ребенка-мигранта (далее – МОСН)</w:t>
      </w:r>
      <w:r>
        <w:rPr/>
        <w:t>. Расширенный набор включает различные формы деятельности по уточнению и углублению полученных данных. Поскольку использование опросных методов для изучения социальных навыков ребенка не позволяет получить надежные результаты, следует сфокусироваться на анализе экспертных оценок педагогов и наблюдении за ребенком.</w:t>
      </w:r>
    </w:p>
    <w:p>
      <w:pPr>
        <w:spacing w:line="276" w:lineRule="auto" w:before="0"/>
        <w:ind w:left="2" w:right="139" w:firstLine="566"/>
        <w:jc w:val="both"/>
        <w:rPr>
          <w:sz w:val="28"/>
        </w:rPr>
      </w:pPr>
      <w:r>
        <w:rPr>
          <w:sz w:val="28"/>
        </w:rPr>
        <w:t>Подробное описание инструмента, включающее бланк методики и алгоритм обработки, приведено в документе «</w:t>
      </w:r>
      <w:r>
        <w:rPr>
          <w:i/>
          <w:sz w:val="28"/>
        </w:rPr>
        <w:t>Инструментарий оценки особых</w:t>
      </w:r>
      <w:r>
        <w:rPr>
          <w:i/>
          <w:spacing w:val="-16"/>
          <w:sz w:val="28"/>
        </w:rPr>
        <w:t> </w:t>
      </w:r>
      <w:r>
        <w:rPr>
          <w:i/>
          <w:sz w:val="28"/>
        </w:rPr>
        <w:t>образовательных</w:t>
      </w:r>
      <w:r>
        <w:rPr>
          <w:i/>
          <w:spacing w:val="-16"/>
          <w:sz w:val="28"/>
        </w:rPr>
        <w:t> </w:t>
      </w:r>
      <w:r>
        <w:rPr>
          <w:i/>
          <w:sz w:val="28"/>
        </w:rPr>
        <w:t>потребностей</w:t>
      </w:r>
      <w:r>
        <w:rPr>
          <w:i/>
          <w:spacing w:val="-18"/>
          <w:sz w:val="28"/>
        </w:rPr>
        <w:t> </w:t>
      </w:r>
      <w:r>
        <w:rPr>
          <w:i/>
          <w:sz w:val="28"/>
        </w:rPr>
        <w:t>ребенка-иностранного</w:t>
      </w:r>
      <w:r>
        <w:rPr>
          <w:i/>
          <w:spacing w:val="-16"/>
          <w:sz w:val="28"/>
        </w:rPr>
        <w:t> </w:t>
      </w:r>
      <w:r>
        <w:rPr>
          <w:i/>
          <w:sz w:val="28"/>
        </w:rPr>
        <w:t>гражданина</w:t>
      </w:r>
      <w:r>
        <w:rPr>
          <w:i/>
          <w:spacing w:val="-18"/>
          <w:sz w:val="28"/>
        </w:rPr>
        <w:t> </w:t>
      </w:r>
      <w:r>
        <w:rPr>
          <w:i/>
          <w:sz w:val="28"/>
        </w:rPr>
        <w:t>в сферах психологического благополучия, социальных навыков и культурной </w:t>
      </w:r>
      <w:r>
        <w:rPr>
          <w:i/>
          <w:spacing w:val="-2"/>
          <w:sz w:val="28"/>
        </w:rPr>
        <w:t>адаптации</w:t>
      </w:r>
      <w:r>
        <w:rPr>
          <w:spacing w:val="-2"/>
          <w:sz w:val="28"/>
        </w:rPr>
        <w:t>».</w:t>
      </w:r>
    </w:p>
    <w:p>
      <w:pPr>
        <w:pStyle w:val="Heading4"/>
        <w:spacing w:line="276" w:lineRule="auto" w:before="2"/>
        <w:ind w:left="2" w:right="137" w:firstLine="566"/>
      </w:pPr>
      <w:r>
        <w:rPr/>
        <w:t>В базовом варианте МОСН заполняют один-два педагога. О принципах выбора педагогов для экспертного оценивания см. раздел 1 методических рекомендаций. Если кто-то из них поставил низкие оценки по одной или по всем шкалам методики, необходимо реализовать действия расширенного </w:t>
      </w:r>
      <w:r>
        <w:rPr>
          <w:spacing w:val="-2"/>
        </w:rPr>
        <w:t>набора.</w:t>
      </w:r>
    </w:p>
    <w:p>
      <w:pPr>
        <w:pStyle w:val="Heading4"/>
        <w:spacing w:line="276" w:lineRule="auto"/>
        <w:ind w:left="2" w:right="137" w:firstLine="566"/>
      </w:pPr>
      <w:r>
        <w:rPr/>
        <w:t>Вне зависимости от общих оценок, если получены комментарии по дополнительному</w:t>
      </w:r>
      <w:r>
        <w:rPr>
          <w:spacing w:val="-14"/>
        </w:rPr>
        <w:t> </w:t>
      </w:r>
      <w:r>
        <w:rPr/>
        <w:t>вопросу:</w:t>
      </w:r>
      <w:r>
        <w:rPr>
          <w:spacing w:val="-9"/>
        </w:rPr>
        <w:t> </w:t>
      </w:r>
      <w:r>
        <w:rPr/>
        <w:t>«Ведет</w:t>
      </w:r>
      <w:r>
        <w:rPr>
          <w:spacing w:val="-10"/>
        </w:rPr>
        <w:t> </w:t>
      </w:r>
      <w:r>
        <w:rPr/>
        <w:t>или</w:t>
      </w:r>
      <w:r>
        <w:rPr>
          <w:spacing w:val="-12"/>
        </w:rPr>
        <w:t> </w:t>
      </w:r>
      <w:r>
        <w:rPr/>
        <w:t>проявляет</w:t>
      </w:r>
      <w:r>
        <w:rPr>
          <w:spacing w:val="-10"/>
        </w:rPr>
        <w:t> </w:t>
      </w:r>
      <w:r>
        <w:rPr/>
        <w:t>себя</w:t>
      </w:r>
      <w:r>
        <w:rPr>
          <w:spacing w:val="-10"/>
        </w:rPr>
        <w:t> </w:t>
      </w:r>
      <w:r>
        <w:rPr/>
        <w:t>не</w:t>
      </w:r>
      <w:r>
        <w:rPr>
          <w:spacing w:val="-10"/>
        </w:rPr>
        <w:t> </w:t>
      </w:r>
      <w:r>
        <w:rPr/>
        <w:t>так,</w:t>
      </w:r>
      <w:r>
        <w:rPr>
          <w:spacing w:val="-10"/>
        </w:rPr>
        <w:t> </w:t>
      </w:r>
      <w:r>
        <w:rPr/>
        <w:t>как</w:t>
      </w:r>
      <w:r>
        <w:rPr>
          <w:spacing w:val="-9"/>
        </w:rPr>
        <w:t> </w:t>
      </w:r>
      <w:r>
        <w:rPr/>
        <w:t>другие</w:t>
      </w:r>
      <w:r>
        <w:rPr>
          <w:spacing w:val="-10"/>
        </w:rPr>
        <w:t> </w:t>
      </w:r>
      <w:r>
        <w:rPr/>
        <w:t>дети. В чем именно это проявляется? Приведите примеры» — нужно проговорить эти выводы с педагогом. Следует обсудить приведенные примеры и по необходимости дополнить методику наблюдениями других педагогов или беседой с ними.</w:t>
      </w:r>
    </w:p>
    <w:p>
      <w:pPr>
        <w:pStyle w:val="Heading4"/>
        <w:spacing w:line="276" w:lineRule="auto"/>
        <w:ind w:left="2" w:right="142" w:firstLine="566"/>
      </w:pPr>
      <w:r>
        <w:rPr/>
        <w:t>Формирование навыков, которые педагогики оценивают низко, становится</w:t>
      </w:r>
      <w:r>
        <w:rPr>
          <w:spacing w:val="-18"/>
        </w:rPr>
        <w:t> </w:t>
      </w:r>
      <w:r>
        <w:rPr/>
        <w:t>одной</w:t>
      </w:r>
      <w:r>
        <w:rPr>
          <w:spacing w:val="-17"/>
        </w:rPr>
        <w:t> </w:t>
      </w:r>
      <w:r>
        <w:rPr/>
        <w:t>из</w:t>
      </w:r>
      <w:r>
        <w:rPr>
          <w:spacing w:val="-18"/>
        </w:rPr>
        <w:t> </w:t>
      </w:r>
      <w:r>
        <w:rPr/>
        <w:t>задач</w:t>
      </w:r>
      <w:r>
        <w:rPr>
          <w:spacing w:val="-18"/>
        </w:rPr>
        <w:t> </w:t>
      </w:r>
      <w:r>
        <w:rPr/>
        <w:t>индивидуальной</w:t>
      </w:r>
      <w:r>
        <w:rPr>
          <w:spacing w:val="-17"/>
        </w:rPr>
        <w:t> </w:t>
      </w:r>
      <w:r>
        <w:rPr/>
        <w:t>стратегии</w:t>
      </w:r>
      <w:r>
        <w:rPr>
          <w:spacing w:val="-18"/>
        </w:rPr>
        <w:t> </w:t>
      </w:r>
      <w:r>
        <w:rPr/>
        <w:t>сопровождения</w:t>
      </w:r>
      <w:r>
        <w:rPr>
          <w:spacing w:val="-17"/>
        </w:rPr>
        <w:t> </w:t>
      </w:r>
      <w:r>
        <w:rPr/>
        <w:t>ребенка.</w:t>
      </w:r>
    </w:p>
    <w:p>
      <w:pPr>
        <w:spacing w:line="278" w:lineRule="auto" w:before="239"/>
        <w:ind w:left="2" w:right="132" w:firstLine="566"/>
        <w:jc w:val="both"/>
        <w:rPr>
          <w:sz w:val="28"/>
        </w:rPr>
      </w:pPr>
      <w:r>
        <w:rPr>
          <w:b/>
          <w:sz w:val="28"/>
        </w:rPr>
        <w:t>Расширенный набор </w:t>
      </w:r>
      <w:r>
        <w:rPr>
          <w:sz w:val="28"/>
        </w:rPr>
        <w:t>включает следующие действия педагога- </w:t>
      </w:r>
      <w:r>
        <w:rPr>
          <w:spacing w:val="-2"/>
          <w:sz w:val="28"/>
        </w:rPr>
        <w:t>психолога:</w:t>
      </w:r>
    </w:p>
    <w:p>
      <w:pPr>
        <w:pStyle w:val="Heading4"/>
        <w:numPr>
          <w:ilvl w:val="0"/>
          <w:numId w:val="8"/>
        </w:numPr>
        <w:tabs>
          <w:tab w:pos="568" w:val="left" w:leader="none"/>
        </w:tabs>
        <w:spacing w:line="276" w:lineRule="auto" w:before="0" w:after="0"/>
        <w:ind w:left="568" w:right="140" w:hanging="360"/>
        <w:jc w:val="both"/>
      </w:pPr>
      <w:r>
        <w:rPr/>
        <w:t>Проведение методики МОСН другими педагогами, взаимодействующими с данным ребенком. Достаточно дополнить базовый вариант двумя-тремя оценками. Необходимо выяснить, насколько</w:t>
      </w:r>
      <w:r>
        <w:rPr>
          <w:spacing w:val="-4"/>
        </w:rPr>
        <w:t> </w:t>
      </w:r>
      <w:r>
        <w:rPr/>
        <w:t>учителя</w:t>
      </w:r>
      <w:r>
        <w:rPr>
          <w:spacing w:val="-5"/>
        </w:rPr>
        <w:t> </w:t>
      </w:r>
      <w:r>
        <w:rPr/>
        <w:t>совпадут</w:t>
      </w:r>
      <w:r>
        <w:rPr>
          <w:spacing w:val="-6"/>
        </w:rPr>
        <w:t> </w:t>
      </w:r>
      <w:r>
        <w:rPr/>
        <w:t>в</w:t>
      </w:r>
      <w:r>
        <w:rPr>
          <w:spacing w:val="-6"/>
        </w:rPr>
        <w:t> </w:t>
      </w:r>
      <w:r>
        <w:rPr/>
        <w:t>оценке</w:t>
      </w:r>
      <w:r>
        <w:rPr>
          <w:spacing w:val="-5"/>
        </w:rPr>
        <w:t> </w:t>
      </w:r>
      <w:r>
        <w:rPr/>
        <w:t>социальных</w:t>
      </w:r>
      <w:r>
        <w:rPr>
          <w:spacing w:val="-4"/>
        </w:rPr>
        <w:t> </w:t>
      </w:r>
      <w:r>
        <w:rPr/>
        <w:t>навыков</w:t>
      </w:r>
      <w:r>
        <w:rPr>
          <w:spacing w:val="-6"/>
        </w:rPr>
        <w:t> </w:t>
      </w:r>
      <w:r>
        <w:rPr/>
        <w:t>ребенка.</w:t>
      </w:r>
      <w:r>
        <w:rPr>
          <w:spacing w:val="-5"/>
        </w:rPr>
        <w:t> </w:t>
      </w:r>
      <w:r>
        <w:rPr/>
        <w:t>Если обнаружится,</w:t>
      </w:r>
      <w:r>
        <w:rPr>
          <w:spacing w:val="-4"/>
        </w:rPr>
        <w:t> </w:t>
      </w:r>
      <w:r>
        <w:rPr/>
        <w:t>что</w:t>
      </w:r>
      <w:r>
        <w:rPr>
          <w:spacing w:val="-2"/>
        </w:rPr>
        <w:t> </w:t>
      </w:r>
      <w:r>
        <w:rPr/>
        <w:t>в</w:t>
      </w:r>
      <w:r>
        <w:rPr>
          <w:spacing w:val="-4"/>
        </w:rPr>
        <w:t> </w:t>
      </w:r>
      <w:r>
        <w:rPr/>
        <w:t>целом</w:t>
      </w:r>
      <w:r>
        <w:rPr>
          <w:spacing w:val="-3"/>
        </w:rPr>
        <w:t> </w:t>
      </w:r>
      <w:r>
        <w:rPr/>
        <w:t>оценки</w:t>
      </w:r>
      <w:r>
        <w:rPr>
          <w:spacing w:val="-3"/>
        </w:rPr>
        <w:t> </w:t>
      </w:r>
      <w:r>
        <w:rPr/>
        <w:t>низкие,</w:t>
      </w:r>
      <w:r>
        <w:rPr>
          <w:spacing w:val="-4"/>
        </w:rPr>
        <w:t> </w:t>
      </w:r>
      <w:r>
        <w:rPr/>
        <w:t>можно</w:t>
      </w:r>
      <w:r>
        <w:rPr>
          <w:spacing w:val="-2"/>
        </w:rPr>
        <w:t> </w:t>
      </w:r>
      <w:r>
        <w:rPr/>
        <w:t>сделать</w:t>
      </w:r>
      <w:r>
        <w:rPr>
          <w:spacing w:val="-4"/>
        </w:rPr>
        <w:t> </w:t>
      </w:r>
      <w:r>
        <w:rPr/>
        <w:t>вывод</w:t>
      </w:r>
      <w:r>
        <w:rPr>
          <w:spacing w:val="-2"/>
        </w:rPr>
        <w:t> </w:t>
      </w:r>
      <w:r>
        <w:rPr/>
        <w:t>о</w:t>
      </w:r>
      <w:r>
        <w:rPr>
          <w:spacing w:val="-3"/>
        </w:rPr>
        <w:t> </w:t>
      </w:r>
      <w:r>
        <w:rPr/>
        <w:t>низком уровне</w:t>
      </w:r>
      <w:r>
        <w:rPr>
          <w:spacing w:val="36"/>
        </w:rPr>
        <w:t> </w:t>
      </w:r>
      <w:r>
        <w:rPr/>
        <w:t>социальных</w:t>
      </w:r>
      <w:r>
        <w:rPr>
          <w:spacing w:val="34"/>
        </w:rPr>
        <w:t> </w:t>
      </w:r>
      <w:r>
        <w:rPr/>
        <w:t>навыков.</w:t>
      </w:r>
      <w:r>
        <w:rPr>
          <w:spacing w:val="34"/>
        </w:rPr>
        <w:t> </w:t>
      </w:r>
      <w:r>
        <w:rPr/>
        <w:t>Если</w:t>
      </w:r>
      <w:r>
        <w:rPr>
          <w:spacing w:val="35"/>
        </w:rPr>
        <w:t> </w:t>
      </w:r>
      <w:r>
        <w:rPr/>
        <w:t>же</w:t>
      </w:r>
      <w:r>
        <w:rPr>
          <w:spacing w:val="36"/>
        </w:rPr>
        <w:t> </w:t>
      </w:r>
      <w:r>
        <w:rPr/>
        <w:t>низкие</w:t>
      </w:r>
      <w:r>
        <w:rPr>
          <w:spacing w:val="35"/>
        </w:rPr>
        <w:t> </w:t>
      </w:r>
      <w:r>
        <w:rPr/>
        <w:t>оценки</w:t>
      </w:r>
      <w:r>
        <w:rPr>
          <w:spacing w:val="36"/>
        </w:rPr>
        <w:t> </w:t>
      </w:r>
      <w:r>
        <w:rPr/>
        <w:t>дает</w:t>
      </w:r>
      <w:r>
        <w:rPr>
          <w:spacing w:val="33"/>
        </w:rPr>
        <w:t> </w:t>
      </w:r>
      <w:r>
        <w:rPr/>
        <w:t>только</w:t>
      </w:r>
      <w:r>
        <w:rPr>
          <w:spacing w:val="36"/>
        </w:rPr>
        <w:t> </w:t>
      </w:r>
      <w:r>
        <w:rPr/>
        <w:t>один</w:t>
      </w:r>
    </w:p>
    <w:p>
      <w:pPr>
        <w:pStyle w:val="Heading4"/>
        <w:spacing w:after="0" w:line="276" w:lineRule="auto"/>
        <w:jc w:val="both"/>
        <w:sectPr>
          <w:footerReference w:type="default" r:id="rId38"/>
          <w:pgSz w:w="11910" w:h="16840"/>
          <w:pgMar w:header="0" w:footer="954" w:top="1080" w:bottom="1140" w:left="1700" w:right="708"/>
        </w:sectPr>
      </w:pPr>
    </w:p>
    <w:p>
      <w:pPr>
        <w:pStyle w:val="Heading4"/>
        <w:spacing w:line="276" w:lineRule="auto" w:before="67"/>
        <w:ind w:left="568" w:right="139"/>
      </w:pPr>
      <w:r>
        <w:rPr/>
        <w:t>педагог, целесообразно провести с ним уточняющую беседу по тексту опросника (см. ниже). Если беседа покажет высокую выраженность стереотипных установок и недостаточную обоснованность экспертных оценок данного педагога, можно не рассматривать их в качестве надежных и опираться на данные, предоставленные другими </w:t>
      </w:r>
      <w:r>
        <w:rPr>
          <w:spacing w:val="-2"/>
        </w:rPr>
        <w:t>специалистами.</w:t>
      </w:r>
    </w:p>
    <w:p>
      <w:pPr>
        <w:pStyle w:val="Heading4"/>
        <w:numPr>
          <w:ilvl w:val="0"/>
          <w:numId w:val="8"/>
        </w:numPr>
        <w:tabs>
          <w:tab w:pos="568" w:val="left" w:leader="none"/>
        </w:tabs>
        <w:spacing w:line="276" w:lineRule="auto" w:before="1" w:after="0"/>
        <w:ind w:left="568" w:right="142" w:hanging="360"/>
        <w:jc w:val="both"/>
      </w:pPr>
      <w:r>
        <w:rPr/>
        <w:t>Наблюдение за поведением ребенка на уроке и во внеурочной ситуации. В качестве критериев для наблюдения за поведением ученика рекомендуется использовать перечень навыков из методики МОСН или из нижеприведенного расширенного перечня социальных навыков.</w:t>
      </w:r>
    </w:p>
    <w:p>
      <w:pPr>
        <w:pStyle w:val="Heading4"/>
        <w:numPr>
          <w:ilvl w:val="0"/>
          <w:numId w:val="8"/>
        </w:numPr>
        <w:tabs>
          <w:tab w:pos="568" w:val="left" w:leader="none"/>
        </w:tabs>
        <w:spacing w:line="276" w:lineRule="auto" w:before="1" w:after="0"/>
        <w:ind w:left="568" w:right="141" w:hanging="360"/>
        <w:jc w:val="both"/>
      </w:pPr>
      <w:r>
        <w:rPr/>
        <w:t>Беседа с педагогом по расширенному перечню навыков (см. ниже). Следует попросить педагога проиллюстрировать его выводы конкретными</w:t>
      </w:r>
      <w:r>
        <w:rPr>
          <w:spacing w:val="-18"/>
        </w:rPr>
        <w:t> </w:t>
      </w:r>
      <w:r>
        <w:rPr/>
        <w:t>примерами.</w:t>
      </w:r>
      <w:r>
        <w:rPr>
          <w:spacing w:val="-17"/>
        </w:rPr>
        <w:t> </w:t>
      </w:r>
      <w:r>
        <w:rPr/>
        <w:t>Поскольку</w:t>
      </w:r>
      <w:r>
        <w:rPr>
          <w:spacing w:val="-18"/>
        </w:rPr>
        <w:t> </w:t>
      </w:r>
      <w:r>
        <w:rPr/>
        <w:t>детальное</w:t>
      </w:r>
      <w:r>
        <w:rPr>
          <w:spacing w:val="-17"/>
        </w:rPr>
        <w:t> </w:t>
      </w:r>
      <w:r>
        <w:rPr/>
        <w:t>обсуждение</w:t>
      </w:r>
      <w:r>
        <w:rPr>
          <w:spacing w:val="-18"/>
        </w:rPr>
        <w:t> </w:t>
      </w:r>
      <w:r>
        <w:rPr/>
        <w:t>всех</w:t>
      </w:r>
      <w:r>
        <w:rPr>
          <w:spacing w:val="-17"/>
        </w:rPr>
        <w:t> </w:t>
      </w:r>
      <w:r>
        <w:rPr/>
        <w:t>навыков будет</w:t>
      </w:r>
      <w:r>
        <w:rPr>
          <w:spacing w:val="-18"/>
        </w:rPr>
        <w:t> </w:t>
      </w:r>
      <w:r>
        <w:rPr/>
        <w:t>крайне</w:t>
      </w:r>
      <w:r>
        <w:rPr>
          <w:spacing w:val="-17"/>
        </w:rPr>
        <w:t> </w:t>
      </w:r>
      <w:r>
        <w:rPr/>
        <w:t>трудозатратным,</w:t>
      </w:r>
      <w:r>
        <w:rPr>
          <w:spacing w:val="-18"/>
        </w:rPr>
        <w:t> </w:t>
      </w:r>
      <w:r>
        <w:rPr/>
        <w:t>имеет</w:t>
      </w:r>
      <w:r>
        <w:rPr>
          <w:spacing w:val="-17"/>
        </w:rPr>
        <w:t> </w:t>
      </w:r>
      <w:r>
        <w:rPr/>
        <w:t>смысл</w:t>
      </w:r>
      <w:r>
        <w:rPr>
          <w:spacing w:val="-18"/>
        </w:rPr>
        <w:t> </w:t>
      </w:r>
      <w:r>
        <w:rPr/>
        <w:t>подробно</w:t>
      </w:r>
      <w:r>
        <w:rPr>
          <w:spacing w:val="-17"/>
        </w:rPr>
        <w:t> </w:t>
      </w:r>
      <w:r>
        <w:rPr/>
        <w:t>остановиться</w:t>
      </w:r>
      <w:r>
        <w:rPr>
          <w:spacing w:val="-18"/>
        </w:rPr>
        <w:t> </w:t>
      </w:r>
      <w:r>
        <w:rPr/>
        <w:t>на</w:t>
      </w:r>
      <w:r>
        <w:rPr>
          <w:spacing w:val="-17"/>
        </w:rPr>
        <w:t> </w:t>
      </w:r>
      <w:r>
        <w:rPr/>
        <w:t>тех навыках, которые оцениваются низко и очень низко, а также на сформированных навыках в качестве ресурсов.</w:t>
      </w:r>
    </w:p>
    <w:p>
      <w:pPr>
        <w:pStyle w:val="Heading4"/>
        <w:spacing w:before="240"/>
        <w:ind w:left="568"/>
        <w:jc w:val="left"/>
      </w:pPr>
      <w:r>
        <w:rPr/>
        <w:t>Расширенный</w:t>
      </w:r>
      <w:r>
        <w:rPr>
          <w:spacing w:val="-12"/>
        </w:rPr>
        <w:t> </w:t>
      </w:r>
      <w:r>
        <w:rPr/>
        <w:t>перечень</w:t>
      </w:r>
      <w:r>
        <w:rPr>
          <w:spacing w:val="-8"/>
        </w:rPr>
        <w:t> </w:t>
      </w:r>
      <w:r>
        <w:rPr/>
        <w:t>социальных</w:t>
      </w:r>
      <w:r>
        <w:rPr>
          <w:spacing w:val="-5"/>
        </w:rPr>
        <w:t> </w:t>
      </w:r>
      <w:r>
        <w:rPr/>
        <w:t>навыков</w:t>
      </w:r>
      <w:r>
        <w:rPr>
          <w:spacing w:val="-8"/>
        </w:rPr>
        <w:t> </w:t>
      </w:r>
      <w:r>
        <w:rPr/>
        <w:t>включает</w:t>
      </w:r>
      <w:r>
        <w:rPr>
          <w:spacing w:val="-7"/>
        </w:rPr>
        <w:t> </w:t>
      </w:r>
      <w:r>
        <w:rPr/>
        <w:t>45</w:t>
      </w:r>
      <w:r>
        <w:rPr>
          <w:spacing w:val="-5"/>
        </w:rPr>
        <w:t> </w:t>
      </w:r>
      <w:r>
        <w:rPr>
          <w:spacing w:val="-2"/>
        </w:rPr>
        <w:t>пунктов.</w:t>
      </w:r>
    </w:p>
    <w:p>
      <w:pPr>
        <w:pStyle w:val="Heading5"/>
        <w:spacing w:before="288"/>
        <w:ind w:left="710"/>
      </w:pPr>
      <w:r>
        <w:rPr/>
        <w:t>Поведение</w:t>
      </w:r>
      <w:r>
        <w:rPr>
          <w:spacing w:val="-2"/>
        </w:rPr>
        <w:t> </w:t>
      </w:r>
      <w:r>
        <w:rPr/>
        <w:t>в</w:t>
      </w:r>
      <w:r>
        <w:rPr>
          <w:spacing w:val="-5"/>
        </w:rPr>
        <w:t> </w:t>
      </w:r>
      <w:r>
        <w:rPr/>
        <w:t>классе</w:t>
      </w:r>
      <w:r>
        <w:rPr>
          <w:spacing w:val="-2"/>
        </w:rPr>
        <w:t> </w:t>
      </w:r>
      <w:r>
        <w:rPr/>
        <w:t>/</w:t>
      </w:r>
      <w:r>
        <w:rPr>
          <w:spacing w:val="-3"/>
        </w:rPr>
        <w:t> </w:t>
      </w:r>
      <w:r>
        <w:rPr/>
        <w:t>на</w:t>
      </w:r>
      <w:r>
        <w:rPr>
          <w:spacing w:val="-2"/>
        </w:rPr>
        <w:t> </w:t>
      </w:r>
      <w:r>
        <w:rPr/>
        <w:t>уроке</w:t>
      </w:r>
      <w:r>
        <w:rPr>
          <w:spacing w:val="-1"/>
        </w:rPr>
        <w:t> </w:t>
      </w:r>
      <w:r>
        <w:rPr/>
        <w:t>/</w:t>
      </w:r>
      <w:r>
        <w:rPr>
          <w:spacing w:val="-2"/>
        </w:rPr>
        <w:t> </w:t>
      </w:r>
      <w:r>
        <w:rPr/>
        <w:t>в</w:t>
      </w:r>
      <w:r>
        <w:rPr>
          <w:spacing w:val="-1"/>
        </w:rPr>
        <w:t> </w:t>
      </w:r>
      <w:r>
        <w:rPr>
          <w:spacing w:val="-4"/>
        </w:rPr>
        <w:t>школе</w:t>
      </w:r>
    </w:p>
    <w:p>
      <w:pPr>
        <w:pStyle w:val="Heading4"/>
        <w:numPr>
          <w:ilvl w:val="1"/>
          <w:numId w:val="8"/>
        </w:numPr>
        <w:tabs>
          <w:tab w:pos="1417" w:val="left" w:leader="none"/>
        </w:tabs>
        <w:spacing w:line="240" w:lineRule="auto" w:before="250" w:after="0"/>
        <w:ind w:left="1417" w:right="0" w:hanging="707"/>
        <w:jc w:val="left"/>
      </w:pPr>
      <w:r>
        <w:rPr/>
        <w:t>Отвечает</w:t>
      </w:r>
      <w:r>
        <w:rPr>
          <w:spacing w:val="-5"/>
        </w:rPr>
        <w:t> </w:t>
      </w:r>
      <w:r>
        <w:rPr/>
        <w:t>на</w:t>
      </w:r>
      <w:r>
        <w:rPr>
          <w:spacing w:val="-5"/>
        </w:rPr>
        <w:t> </w:t>
      </w:r>
      <w:r>
        <w:rPr/>
        <w:t>вопросы</w:t>
      </w:r>
      <w:r>
        <w:rPr>
          <w:spacing w:val="-4"/>
        </w:rPr>
        <w:t> </w:t>
      </w:r>
      <w:r>
        <w:rPr>
          <w:spacing w:val="-2"/>
        </w:rPr>
        <w:t>учителя.</w:t>
      </w:r>
    </w:p>
    <w:p>
      <w:pPr>
        <w:pStyle w:val="Heading4"/>
        <w:numPr>
          <w:ilvl w:val="1"/>
          <w:numId w:val="8"/>
        </w:numPr>
        <w:tabs>
          <w:tab w:pos="1417" w:val="left" w:leader="none"/>
        </w:tabs>
        <w:spacing w:line="240" w:lineRule="auto" w:before="47" w:after="0"/>
        <w:ind w:left="1417" w:right="0" w:hanging="707"/>
        <w:jc w:val="left"/>
      </w:pPr>
      <w:r>
        <w:rPr/>
        <w:t>Слушает</w:t>
      </w:r>
      <w:r>
        <w:rPr>
          <w:spacing w:val="-3"/>
        </w:rPr>
        <w:t> </w:t>
      </w:r>
      <w:r>
        <w:rPr/>
        <w:t>учителя</w:t>
      </w:r>
      <w:r>
        <w:rPr>
          <w:spacing w:val="-3"/>
        </w:rPr>
        <w:t> </w:t>
      </w:r>
      <w:r>
        <w:rPr/>
        <w:t>во</w:t>
      </w:r>
      <w:r>
        <w:rPr>
          <w:spacing w:val="-3"/>
        </w:rPr>
        <w:t> </w:t>
      </w:r>
      <w:r>
        <w:rPr/>
        <w:t>время</w:t>
      </w:r>
      <w:r>
        <w:rPr>
          <w:spacing w:val="-2"/>
        </w:rPr>
        <w:t> урока.</w:t>
      </w:r>
    </w:p>
    <w:p>
      <w:pPr>
        <w:pStyle w:val="Heading4"/>
        <w:numPr>
          <w:ilvl w:val="1"/>
          <w:numId w:val="8"/>
        </w:numPr>
        <w:tabs>
          <w:tab w:pos="1417" w:val="left" w:leader="none"/>
        </w:tabs>
        <w:spacing w:line="240" w:lineRule="auto" w:before="48" w:after="0"/>
        <w:ind w:left="1417" w:right="0" w:hanging="707"/>
        <w:jc w:val="left"/>
      </w:pPr>
      <w:r>
        <w:rPr/>
        <w:t>Соблюдает</w:t>
      </w:r>
      <w:r>
        <w:rPr>
          <w:spacing w:val="-8"/>
        </w:rPr>
        <w:t> </w:t>
      </w:r>
      <w:r>
        <w:rPr/>
        <w:t>правила</w:t>
      </w:r>
      <w:r>
        <w:rPr>
          <w:spacing w:val="-7"/>
        </w:rPr>
        <w:t> </w:t>
      </w:r>
      <w:r>
        <w:rPr/>
        <w:t>поведения</w:t>
      </w:r>
      <w:r>
        <w:rPr>
          <w:spacing w:val="-5"/>
        </w:rPr>
        <w:t> </w:t>
      </w:r>
      <w:r>
        <w:rPr/>
        <w:t>в</w:t>
      </w:r>
      <w:r>
        <w:rPr>
          <w:spacing w:val="-6"/>
        </w:rPr>
        <w:t> </w:t>
      </w:r>
      <w:r>
        <w:rPr>
          <w:spacing w:val="-2"/>
        </w:rPr>
        <w:t>классе.</w:t>
      </w:r>
    </w:p>
    <w:p>
      <w:pPr>
        <w:pStyle w:val="Heading4"/>
        <w:numPr>
          <w:ilvl w:val="1"/>
          <w:numId w:val="8"/>
        </w:numPr>
        <w:tabs>
          <w:tab w:pos="1417" w:val="left" w:leader="none"/>
        </w:tabs>
        <w:spacing w:line="276" w:lineRule="auto" w:before="50" w:after="0"/>
        <w:ind w:left="710" w:right="144" w:firstLine="0"/>
        <w:jc w:val="left"/>
      </w:pPr>
      <w:r>
        <w:rPr/>
        <w:t>Делает</w:t>
      </w:r>
      <w:r>
        <w:rPr>
          <w:spacing w:val="40"/>
        </w:rPr>
        <w:t> </w:t>
      </w:r>
      <w:r>
        <w:rPr/>
        <w:t>уместные</w:t>
      </w:r>
      <w:r>
        <w:rPr>
          <w:spacing w:val="40"/>
        </w:rPr>
        <w:t> </w:t>
      </w:r>
      <w:r>
        <w:rPr/>
        <w:t>высказывания</w:t>
      </w:r>
      <w:r>
        <w:rPr>
          <w:spacing w:val="40"/>
        </w:rPr>
        <w:t> </w:t>
      </w:r>
      <w:r>
        <w:rPr/>
        <w:t>при</w:t>
      </w:r>
      <w:r>
        <w:rPr>
          <w:spacing w:val="40"/>
        </w:rPr>
        <w:t> </w:t>
      </w:r>
      <w:r>
        <w:rPr/>
        <w:t>опросе</w:t>
      </w:r>
      <w:r>
        <w:rPr>
          <w:spacing w:val="40"/>
        </w:rPr>
        <w:t> </w:t>
      </w:r>
      <w:r>
        <w:rPr/>
        <w:t>или</w:t>
      </w:r>
      <w:r>
        <w:rPr>
          <w:spacing w:val="40"/>
        </w:rPr>
        <w:t> </w:t>
      </w:r>
      <w:r>
        <w:rPr/>
        <w:t>дискуссии</w:t>
      </w:r>
      <w:r>
        <w:rPr>
          <w:spacing w:val="40"/>
        </w:rPr>
        <w:t> </w:t>
      </w:r>
      <w:r>
        <w:rPr/>
        <w:t>на</w:t>
      </w:r>
      <w:r>
        <w:rPr>
          <w:spacing w:val="40"/>
        </w:rPr>
        <w:t> </w:t>
      </w:r>
      <w:r>
        <w:rPr>
          <w:spacing w:val="-2"/>
        </w:rPr>
        <w:t>уроке.</w:t>
      </w:r>
    </w:p>
    <w:p>
      <w:pPr>
        <w:pStyle w:val="Heading4"/>
        <w:numPr>
          <w:ilvl w:val="1"/>
          <w:numId w:val="8"/>
        </w:numPr>
        <w:tabs>
          <w:tab w:pos="1417" w:val="left" w:leader="none"/>
        </w:tabs>
        <w:spacing w:line="321" w:lineRule="exact" w:before="0" w:after="0"/>
        <w:ind w:left="1417" w:right="0" w:hanging="707"/>
        <w:jc w:val="left"/>
      </w:pPr>
      <w:r>
        <w:rPr/>
        <w:t>Соблюдает</w:t>
      </w:r>
      <w:r>
        <w:rPr>
          <w:spacing w:val="-8"/>
        </w:rPr>
        <w:t> </w:t>
      </w:r>
      <w:r>
        <w:rPr/>
        <w:t>правила</w:t>
      </w:r>
      <w:r>
        <w:rPr>
          <w:spacing w:val="-8"/>
        </w:rPr>
        <w:t> </w:t>
      </w:r>
      <w:r>
        <w:rPr/>
        <w:t>поддержания</w:t>
      </w:r>
      <w:r>
        <w:rPr>
          <w:spacing w:val="-8"/>
        </w:rPr>
        <w:t> </w:t>
      </w:r>
      <w:r>
        <w:rPr/>
        <w:t>порядка</w:t>
      </w:r>
      <w:r>
        <w:rPr>
          <w:spacing w:val="-5"/>
        </w:rPr>
        <w:t> </w:t>
      </w:r>
      <w:r>
        <w:rPr/>
        <w:t>в</w:t>
      </w:r>
      <w:r>
        <w:rPr>
          <w:spacing w:val="-6"/>
        </w:rPr>
        <w:t> </w:t>
      </w:r>
      <w:r>
        <w:rPr>
          <w:spacing w:val="-2"/>
        </w:rPr>
        <w:t>классе.</w:t>
      </w:r>
    </w:p>
    <w:p>
      <w:pPr>
        <w:pStyle w:val="Heading4"/>
        <w:numPr>
          <w:ilvl w:val="1"/>
          <w:numId w:val="8"/>
        </w:numPr>
        <w:tabs>
          <w:tab w:pos="1417" w:val="left" w:leader="none"/>
        </w:tabs>
        <w:spacing w:line="240" w:lineRule="auto" w:before="50" w:after="0"/>
        <w:ind w:left="1417" w:right="0" w:hanging="707"/>
        <w:jc w:val="left"/>
      </w:pPr>
      <w:r>
        <w:rPr/>
        <w:t>Завершает</w:t>
      </w:r>
      <w:r>
        <w:rPr>
          <w:spacing w:val="-7"/>
        </w:rPr>
        <w:t> </w:t>
      </w:r>
      <w:r>
        <w:rPr/>
        <w:t>работу</w:t>
      </w:r>
      <w:r>
        <w:rPr>
          <w:spacing w:val="-6"/>
        </w:rPr>
        <w:t> </w:t>
      </w:r>
      <w:r>
        <w:rPr>
          <w:spacing w:val="-2"/>
        </w:rPr>
        <w:t>вовремя.</w:t>
      </w:r>
    </w:p>
    <w:p>
      <w:pPr>
        <w:pStyle w:val="Heading4"/>
        <w:numPr>
          <w:ilvl w:val="1"/>
          <w:numId w:val="8"/>
        </w:numPr>
        <w:tabs>
          <w:tab w:pos="1417" w:val="left" w:leader="none"/>
        </w:tabs>
        <w:spacing w:line="240" w:lineRule="auto" w:before="48" w:after="0"/>
        <w:ind w:left="1417" w:right="0" w:hanging="707"/>
        <w:jc w:val="left"/>
      </w:pPr>
      <w:r>
        <w:rPr/>
        <w:t>Выполняет</w:t>
      </w:r>
      <w:r>
        <w:rPr>
          <w:spacing w:val="-6"/>
        </w:rPr>
        <w:t> </w:t>
      </w:r>
      <w:r>
        <w:rPr/>
        <w:t>устные</w:t>
      </w:r>
      <w:r>
        <w:rPr>
          <w:spacing w:val="-7"/>
        </w:rPr>
        <w:t> </w:t>
      </w:r>
      <w:r>
        <w:rPr/>
        <w:t>указания</w:t>
      </w:r>
      <w:r>
        <w:rPr>
          <w:spacing w:val="-5"/>
        </w:rPr>
        <w:t> </w:t>
      </w:r>
      <w:r>
        <w:rPr>
          <w:spacing w:val="-2"/>
        </w:rPr>
        <w:t>учителя.</w:t>
      </w:r>
    </w:p>
    <w:p>
      <w:pPr>
        <w:pStyle w:val="Heading4"/>
        <w:numPr>
          <w:ilvl w:val="1"/>
          <w:numId w:val="8"/>
        </w:numPr>
        <w:tabs>
          <w:tab w:pos="1417" w:val="left" w:leader="none"/>
        </w:tabs>
        <w:spacing w:line="240" w:lineRule="auto" w:before="48" w:after="0"/>
        <w:ind w:left="1417" w:right="0" w:hanging="707"/>
        <w:jc w:val="left"/>
      </w:pPr>
      <w:r>
        <w:rPr/>
        <w:t>Выполняет</w:t>
      </w:r>
      <w:r>
        <w:rPr>
          <w:spacing w:val="-8"/>
        </w:rPr>
        <w:t> </w:t>
      </w:r>
      <w:r>
        <w:rPr/>
        <w:t>письменные</w:t>
      </w:r>
      <w:r>
        <w:rPr>
          <w:spacing w:val="-7"/>
        </w:rPr>
        <w:t> </w:t>
      </w:r>
      <w:r>
        <w:rPr>
          <w:spacing w:val="-2"/>
        </w:rPr>
        <w:t>указания.</w:t>
      </w:r>
    </w:p>
    <w:p>
      <w:pPr>
        <w:pStyle w:val="Heading4"/>
        <w:numPr>
          <w:ilvl w:val="1"/>
          <w:numId w:val="8"/>
        </w:numPr>
        <w:tabs>
          <w:tab w:pos="1417" w:val="left" w:leader="none"/>
        </w:tabs>
        <w:spacing w:line="240" w:lineRule="auto" w:before="47" w:after="0"/>
        <w:ind w:left="1417" w:right="0" w:hanging="707"/>
        <w:jc w:val="left"/>
      </w:pPr>
      <w:r>
        <w:rPr/>
        <w:t>Самостоятельно</w:t>
      </w:r>
      <w:r>
        <w:rPr>
          <w:spacing w:val="-9"/>
        </w:rPr>
        <w:t> </w:t>
      </w:r>
      <w:r>
        <w:rPr/>
        <w:t>работает</w:t>
      </w:r>
      <w:r>
        <w:rPr>
          <w:spacing w:val="-8"/>
        </w:rPr>
        <w:t> </w:t>
      </w:r>
      <w:r>
        <w:rPr/>
        <w:t>в</w:t>
      </w:r>
      <w:r>
        <w:rPr>
          <w:spacing w:val="-10"/>
        </w:rPr>
        <w:t> </w:t>
      </w:r>
      <w:r>
        <w:rPr/>
        <w:t>соответствии</w:t>
      </w:r>
      <w:r>
        <w:rPr>
          <w:spacing w:val="-7"/>
        </w:rPr>
        <w:t> </w:t>
      </w:r>
      <w:r>
        <w:rPr/>
        <w:t>с</w:t>
      </w:r>
      <w:r>
        <w:rPr>
          <w:spacing w:val="-8"/>
        </w:rPr>
        <w:t> </w:t>
      </w:r>
      <w:r>
        <w:rPr/>
        <w:t>требованиями</w:t>
      </w:r>
      <w:r>
        <w:rPr>
          <w:spacing w:val="-7"/>
        </w:rPr>
        <w:t> </w:t>
      </w:r>
      <w:r>
        <w:rPr>
          <w:spacing w:val="-2"/>
        </w:rPr>
        <w:t>учителя.</w:t>
      </w:r>
    </w:p>
    <w:p>
      <w:pPr>
        <w:pStyle w:val="Heading4"/>
        <w:numPr>
          <w:ilvl w:val="1"/>
          <w:numId w:val="8"/>
        </w:numPr>
        <w:tabs>
          <w:tab w:pos="1417" w:val="left" w:leader="none"/>
        </w:tabs>
        <w:spacing w:line="240" w:lineRule="auto" w:before="50" w:after="0"/>
        <w:ind w:left="1417" w:right="0" w:hanging="707"/>
        <w:jc w:val="left"/>
      </w:pPr>
      <w:r>
        <w:rPr/>
        <w:t>Ставит</w:t>
      </w:r>
      <w:r>
        <w:rPr>
          <w:spacing w:val="-4"/>
        </w:rPr>
        <w:t> </w:t>
      </w:r>
      <w:r>
        <w:rPr/>
        <w:t>перед</w:t>
      </w:r>
      <w:r>
        <w:rPr>
          <w:spacing w:val="-4"/>
        </w:rPr>
        <w:t> </w:t>
      </w:r>
      <w:r>
        <w:rPr/>
        <w:t>собой</w:t>
      </w:r>
      <w:r>
        <w:rPr>
          <w:spacing w:val="-4"/>
        </w:rPr>
        <w:t> </w:t>
      </w:r>
      <w:r>
        <w:rPr/>
        <w:t>цели</w:t>
      </w:r>
      <w:r>
        <w:rPr>
          <w:spacing w:val="-4"/>
        </w:rPr>
        <w:t> </w:t>
      </w:r>
      <w:r>
        <w:rPr/>
        <w:t>(старшая</w:t>
      </w:r>
      <w:r>
        <w:rPr>
          <w:spacing w:val="-3"/>
        </w:rPr>
        <w:t> </w:t>
      </w:r>
      <w:r>
        <w:rPr>
          <w:spacing w:val="-2"/>
        </w:rPr>
        <w:t>школа).</w:t>
      </w:r>
    </w:p>
    <w:p>
      <w:pPr>
        <w:pStyle w:val="Heading4"/>
        <w:numPr>
          <w:ilvl w:val="1"/>
          <w:numId w:val="8"/>
        </w:numPr>
        <w:tabs>
          <w:tab w:pos="1417" w:val="left" w:leader="none"/>
          <w:tab w:pos="2967" w:val="left" w:leader="none"/>
          <w:tab w:pos="4144" w:val="left" w:leader="none"/>
          <w:tab w:pos="5604" w:val="left" w:leader="none"/>
          <w:tab w:pos="5955" w:val="left" w:leader="none"/>
          <w:tab w:pos="7408" w:val="left" w:leader="none"/>
          <w:tab w:pos="9125" w:val="left" w:leader="none"/>
        </w:tabs>
        <w:spacing w:line="276" w:lineRule="auto" w:before="48" w:after="0"/>
        <w:ind w:left="710" w:right="144" w:firstLine="0"/>
        <w:jc w:val="left"/>
      </w:pPr>
      <w:r>
        <w:rPr>
          <w:spacing w:val="-2"/>
        </w:rPr>
        <w:t>Соблюдает</w:t>
      </w:r>
      <w:r>
        <w:rPr/>
        <w:tab/>
      </w:r>
      <w:r>
        <w:rPr>
          <w:spacing w:val="-2"/>
        </w:rPr>
        <w:t>правила</w:t>
      </w:r>
      <w:r>
        <w:rPr/>
        <w:tab/>
      </w:r>
      <w:r>
        <w:rPr>
          <w:spacing w:val="-2"/>
        </w:rPr>
        <w:t>поведения</w:t>
      </w:r>
      <w:r>
        <w:rPr/>
        <w:tab/>
      </w:r>
      <w:r>
        <w:rPr>
          <w:spacing w:val="-10"/>
        </w:rPr>
        <w:t>в</w:t>
      </w:r>
      <w:r>
        <w:rPr/>
        <w:tab/>
      </w:r>
      <w:r>
        <w:rPr>
          <w:spacing w:val="-2"/>
        </w:rPr>
        <w:t>школьных</w:t>
      </w:r>
      <w:r>
        <w:rPr/>
        <w:tab/>
      </w:r>
      <w:r>
        <w:rPr>
          <w:spacing w:val="-2"/>
        </w:rPr>
        <w:t>помещениях</w:t>
      </w:r>
      <w:r>
        <w:rPr/>
        <w:tab/>
      </w:r>
      <w:r>
        <w:rPr>
          <w:spacing w:val="-6"/>
        </w:rPr>
        <w:t>(в </w:t>
      </w:r>
      <w:r>
        <w:rPr/>
        <w:t>столовой, раздевалке и пр.).</w:t>
      </w:r>
    </w:p>
    <w:p>
      <w:pPr>
        <w:pStyle w:val="Heading4"/>
        <w:numPr>
          <w:ilvl w:val="1"/>
          <w:numId w:val="8"/>
        </w:numPr>
        <w:tabs>
          <w:tab w:pos="1417" w:val="left" w:leader="none"/>
        </w:tabs>
        <w:spacing w:line="321" w:lineRule="exact" w:before="0" w:after="0"/>
        <w:ind w:left="1417" w:right="0" w:hanging="707"/>
        <w:jc w:val="left"/>
      </w:pPr>
      <w:r>
        <w:rPr/>
        <w:t>Сохраняет</w:t>
      </w:r>
      <w:r>
        <w:rPr>
          <w:spacing w:val="-9"/>
        </w:rPr>
        <w:t> </w:t>
      </w:r>
      <w:r>
        <w:rPr/>
        <w:t>аккуратный</w:t>
      </w:r>
      <w:r>
        <w:rPr>
          <w:spacing w:val="-6"/>
        </w:rPr>
        <w:t> </w:t>
      </w:r>
      <w:r>
        <w:rPr>
          <w:spacing w:val="-4"/>
        </w:rPr>
        <w:t>вид.</w:t>
      </w:r>
    </w:p>
    <w:p>
      <w:pPr>
        <w:pStyle w:val="Heading4"/>
        <w:numPr>
          <w:ilvl w:val="1"/>
          <w:numId w:val="8"/>
        </w:numPr>
        <w:tabs>
          <w:tab w:pos="1417" w:val="left" w:leader="none"/>
        </w:tabs>
        <w:spacing w:line="240" w:lineRule="auto" w:before="50" w:after="0"/>
        <w:ind w:left="1417" w:right="0" w:hanging="707"/>
        <w:jc w:val="left"/>
      </w:pPr>
      <w:r>
        <w:rPr/>
        <w:t>Соблюдает</w:t>
      </w:r>
      <w:r>
        <w:rPr>
          <w:spacing w:val="-8"/>
        </w:rPr>
        <w:t> </w:t>
      </w:r>
      <w:r>
        <w:rPr/>
        <w:t>правила</w:t>
      </w:r>
      <w:r>
        <w:rPr>
          <w:spacing w:val="-8"/>
        </w:rPr>
        <w:t> </w:t>
      </w:r>
      <w:r>
        <w:rPr>
          <w:spacing w:val="-2"/>
        </w:rPr>
        <w:t>гигиены.</w:t>
      </w:r>
    </w:p>
    <w:p>
      <w:pPr>
        <w:pStyle w:val="Heading4"/>
        <w:numPr>
          <w:ilvl w:val="1"/>
          <w:numId w:val="8"/>
        </w:numPr>
        <w:tabs>
          <w:tab w:pos="1417" w:val="left" w:leader="none"/>
        </w:tabs>
        <w:spacing w:line="240" w:lineRule="auto" w:before="48" w:after="0"/>
        <w:ind w:left="1417" w:right="0" w:hanging="707"/>
        <w:jc w:val="left"/>
      </w:pPr>
      <w:r>
        <w:rPr/>
        <w:t>Одет</w:t>
      </w:r>
      <w:r>
        <w:rPr>
          <w:spacing w:val="-8"/>
        </w:rPr>
        <w:t> </w:t>
      </w:r>
      <w:r>
        <w:rPr/>
        <w:t>подобающим</w:t>
      </w:r>
      <w:r>
        <w:rPr>
          <w:spacing w:val="-5"/>
        </w:rPr>
        <w:t> </w:t>
      </w:r>
      <w:r>
        <w:rPr/>
        <w:t>обстановке</w:t>
      </w:r>
      <w:r>
        <w:rPr>
          <w:spacing w:val="-8"/>
        </w:rPr>
        <w:t> </w:t>
      </w:r>
      <w:r>
        <w:rPr/>
        <w:t>и</w:t>
      </w:r>
      <w:r>
        <w:rPr>
          <w:spacing w:val="-5"/>
        </w:rPr>
        <w:t> </w:t>
      </w:r>
      <w:r>
        <w:rPr/>
        <w:t>ситуации</w:t>
      </w:r>
      <w:r>
        <w:rPr>
          <w:spacing w:val="-8"/>
        </w:rPr>
        <w:t> </w:t>
      </w:r>
      <w:r>
        <w:rPr>
          <w:spacing w:val="-2"/>
        </w:rPr>
        <w:t>образом.</w:t>
      </w:r>
    </w:p>
    <w:p>
      <w:pPr>
        <w:pStyle w:val="Heading5"/>
        <w:spacing w:before="288"/>
        <w:ind w:left="710"/>
      </w:pPr>
      <w:r>
        <w:rPr/>
        <w:t>Домашнее</w:t>
      </w:r>
      <w:r>
        <w:rPr>
          <w:spacing w:val="-6"/>
        </w:rPr>
        <w:t> </w:t>
      </w:r>
      <w:r>
        <w:rPr>
          <w:spacing w:val="-2"/>
        </w:rPr>
        <w:t>задание</w:t>
      </w:r>
    </w:p>
    <w:p>
      <w:pPr>
        <w:pStyle w:val="Heading4"/>
        <w:numPr>
          <w:ilvl w:val="0"/>
          <w:numId w:val="9"/>
        </w:numPr>
        <w:tabs>
          <w:tab w:pos="1417" w:val="left" w:leader="none"/>
        </w:tabs>
        <w:spacing w:line="240" w:lineRule="auto" w:before="249" w:after="0"/>
        <w:ind w:left="1417" w:right="0" w:hanging="707"/>
        <w:jc w:val="left"/>
      </w:pPr>
      <w:r>
        <w:rPr/>
        <w:t>Выполняет</w:t>
      </w:r>
      <w:r>
        <w:rPr>
          <w:spacing w:val="-9"/>
        </w:rPr>
        <w:t> </w:t>
      </w:r>
      <w:r>
        <w:rPr/>
        <w:t>домашнее</w:t>
      </w:r>
      <w:r>
        <w:rPr>
          <w:spacing w:val="-7"/>
        </w:rPr>
        <w:t> </w:t>
      </w:r>
      <w:r>
        <w:rPr/>
        <w:t>задание</w:t>
      </w:r>
      <w:r>
        <w:rPr>
          <w:spacing w:val="-7"/>
        </w:rPr>
        <w:t> </w:t>
      </w:r>
      <w:r>
        <w:rPr>
          <w:spacing w:val="-2"/>
        </w:rPr>
        <w:t>вовремя.</w:t>
      </w:r>
    </w:p>
    <w:p>
      <w:pPr>
        <w:pStyle w:val="Heading4"/>
        <w:spacing w:after="0" w:line="240" w:lineRule="auto"/>
        <w:jc w:val="left"/>
        <w:sectPr>
          <w:pgSz w:w="11910" w:h="16840"/>
          <w:pgMar w:header="0" w:footer="954" w:top="1040" w:bottom="1220" w:left="1700" w:right="708"/>
        </w:sectPr>
      </w:pPr>
    </w:p>
    <w:p>
      <w:pPr>
        <w:pStyle w:val="Heading4"/>
        <w:numPr>
          <w:ilvl w:val="0"/>
          <w:numId w:val="9"/>
        </w:numPr>
        <w:tabs>
          <w:tab w:pos="1417" w:val="left" w:leader="none"/>
        </w:tabs>
        <w:spacing w:line="240" w:lineRule="auto" w:before="67" w:after="0"/>
        <w:ind w:left="1417" w:right="0" w:hanging="707"/>
        <w:jc w:val="left"/>
      </w:pPr>
      <w:r>
        <w:rPr/>
        <w:t>Выполняет</w:t>
      </w:r>
      <w:r>
        <w:rPr>
          <w:spacing w:val="-8"/>
        </w:rPr>
        <w:t> </w:t>
      </w:r>
      <w:r>
        <w:rPr/>
        <w:t>домашнее</w:t>
      </w:r>
      <w:r>
        <w:rPr>
          <w:spacing w:val="-5"/>
        </w:rPr>
        <w:t> </w:t>
      </w:r>
      <w:r>
        <w:rPr/>
        <w:t>задание</w:t>
      </w:r>
      <w:r>
        <w:rPr>
          <w:spacing w:val="-6"/>
        </w:rPr>
        <w:t> </w:t>
      </w:r>
      <w:r>
        <w:rPr/>
        <w:t>в</w:t>
      </w:r>
      <w:r>
        <w:rPr>
          <w:spacing w:val="-6"/>
        </w:rPr>
        <w:t> </w:t>
      </w:r>
      <w:r>
        <w:rPr/>
        <w:t>соответствии</w:t>
      </w:r>
      <w:r>
        <w:rPr>
          <w:spacing w:val="-4"/>
        </w:rPr>
        <w:t> </w:t>
      </w:r>
      <w:r>
        <w:rPr/>
        <w:t>с</w:t>
      </w:r>
      <w:r>
        <w:rPr>
          <w:spacing w:val="-6"/>
        </w:rPr>
        <w:t> </w:t>
      </w:r>
      <w:r>
        <w:rPr>
          <w:spacing w:val="-2"/>
        </w:rPr>
        <w:t>требованиями.</w:t>
      </w:r>
    </w:p>
    <w:p>
      <w:pPr>
        <w:pStyle w:val="Heading4"/>
        <w:numPr>
          <w:ilvl w:val="0"/>
          <w:numId w:val="9"/>
        </w:numPr>
        <w:tabs>
          <w:tab w:pos="709" w:val="left" w:leader="none"/>
        </w:tabs>
        <w:spacing w:line="240" w:lineRule="auto" w:before="51" w:after="0"/>
        <w:ind w:left="709" w:right="0" w:hanging="707"/>
        <w:jc w:val="left"/>
      </w:pPr>
      <w:r>
        <w:rPr/>
        <w:t>Выполняет</w:t>
      </w:r>
      <w:r>
        <w:rPr>
          <w:spacing w:val="-8"/>
        </w:rPr>
        <w:t> </w:t>
      </w:r>
      <w:r>
        <w:rPr/>
        <w:t>творческие</w:t>
      </w:r>
      <w:r>
        <w:rPr>
          <w:spacing w:val="-7"/>
        </w:rPr>
        <w:t> </w:t>
      </w:r>
      <w:r>
        <w:rPr/>
        <w:t>задания</w:t>
      </w:r>
      <w:r>
        <w:rPr>
          <w:spacing w:val="-7"/>
        </w:rPr>
        <w:t> </w:t>
      </w:r>
      <w:r>
        <w:rPr/>
        <w:t>(проекты</w:t>
      </w:r>
      <w:r>
        <w:rPr>
          <w:spacing w:val="-7"/>
        </w:rPr>
        <w:t> </w:t>
      </w:r>
      <w:r>
        <w:rPr/>
        <w:t>и</w:t>
      </w:r>
      <w:r>
        <w:rPr>
          <w:spacing w:val="-7"/>
        </w:rPr>
        <w:t> </w:t>
      </w:r>
      <w:r>
        <w:rPr>
          <w:spacing w:val="-2"/>
        </w:rPr>
        <w:t>др.).</w:t>
      </w:r>
    </w:p>
    <w:p>
      <w:pPr>
        <w:pStyle w:val="Heading5"/>
        <w:spacing w:before="287"/>
        <w:ind w:left="710"/>
      </w:pPr>
      <w:r>
        <w:rPr/>
        <w:t>Взаимодействие</w:t>
      </w:r>
      <w:r>
        <w:rPr>
          <w:spacing w:val="-8"/>
        </w:rPr>
        <w:t> </w:t>
      </w:r>
      <w:r>
        <w:rPr/>
        <w:t>с</w:t>
      </w:r>
      <w:r>
        <w:rPr>
          <w:spacing w:val="-7"/>
        </w:rPr>
        <w:t> </w:t>
      </w:r>
      <w:r>
        <w:rPr>
          <w:spacing w:val="-2"/>
        </w:rPr>
        <w:t>ровесниками</w:t>
      </w:r>
    </w:p>
    <w:p>
      <w:pPr>
        <w:pStyle w:val="Heading4"/>
        <w:numPr>
          <w:ilvl w:val="1"/>
          <w:numId w:val="9"/>
        </w:numPr>
        <w:tabs>
          <w:tab w:pos="1417" w:val="left" w:leader="none"/>
        </w:tabs>
        <w:spacing w:line="276" w:lineRule="auto" w:before="249" w:after="0"/>
        <w:ind w:left="710" w:right="146" w:firstLine="0"/>
        <w:jc w:val="left"/>
      </w:pPr>
      <w:r>
        <w:rPr/>
        <w:t>Сотрудничает</w:t>
      </w:r>
      <w:r>
        <w:rPr>
          <w:spacing w:val="40"/>
        </w:rPr>
        <w:t> </w:t>
      </w:r>
      <w:r>
        <w:rPr/>
        <w:t>с</w:t>
      </w:r>
      <w:r>
        <w:rPr>
          <w:spacing w:val="40"/>
        </w:rPr>
        <w:t> </w:t>
      </w:r>
      <w:r>
        <w:rPr/>
        <w:t>одноклассниками</w:t>
      </w:r>
      <w:r>
        <w:rPr>
          <w:spacing w:val="40"/>
        </w:rPr>
        <w:t> </w:t>
      </w:r>
      <w:r>
        <w:rPr/>
        <w:t>при</w:t>
      </w:r>
      <w:r>
        <w:rPr>
          <w:spacing w:val="40"/>
        </w:rPr>
        <w:t> </w:t>
      </w:r>
      <w:r>
        <w:rPr/>
        <w:t>выполнении</w:t>
      </w:r>
      <w:r>
        <w:rPr>
          <w:spacing w:val="40"/>
        </w:rPr>
        <w:t> </w:t>
      </w:r>
      <w:r>
        <w:rPr/>
        <w:t>групповых</w:t>
      </w:r>
      <w:r>
        <w:rPr>
          <w:spacing w:val="40"/>
        </w:rPr>
        <w:t> </w:t>
      </w:r>
      <w:r>
        <w:rPr>
          <w:spacing w:val="-2"/>
        </w:rPr>
        <w:t>заданий.</w:t>
      </w:r>
    </w:p>
    <w:p>
      <w:pPr>
        <w:pStyle w:val="Heading4"/>
        <w:numPr>
          <w:ilvl w:val="1"/>
          <w:numId w:val="9"/>
        </w:numPr>
        <w:tabs>
          <w:tab w:pos="1417" w:val="left" w:leader="none"/>
        </w:tabs>
        <w:spacing w:line="321" w:lineRule="exact" w:before="0" w:after="0"/>
        <w:ind w:left="1417" w:right="0" w:hanging="707"/>
        <w:jc w:val="left"/>
      </w:pPr>
      <w:r>
        <w:rPr/>
        <w:t>Здоровается</w:t>
      </w:r>
      <w:r>
        <w:rPr>
          <w:spacing w:val="-4"/>
        </w:rPr>
        <w:t> </w:t>
      </w:r>
      <w:r>
        <w:rPr/>
        <w:t>с</w:t>
      </w:r>
      <w:r>
        <w:rPr>
          <w:spacing w:val="-6"/>
        </w:rPr>
        <w:t> </w:t>
      </w:r>
      <w:r>
        <w:rPr>
          <w:spacing w:val="-2"/>
        </w:rPr>
        <w:t>ровесниками.</w:t>
      </w:r>
    </w:p>
    <w:p>
      <w:pPr>
        <w:pStyle w:val="Heading4"/>
        <w:numPr>
          <w:ilvl w:val="1"/>
          <w:numId w:val="9"/>
        </w:numPr>
        <w:tabs>
          <w:tab w:pos="1417" w:val="left" w:leader="none"/>
          <w:tab w:pos="2508" w:val="left" w:leader="none"/>
          <w:tab w:pos="3340" w:val="left" w:leader="none"/>
          <w:tab w:pos="4652" w:val="left" w:leader="none"/>
          <w:tab w:pos="6933" w:val="left" w:leader="none"/>
          <w:tab w:pos="8190" w:val="left" w:leader="none"/>
          <w:tab w:pos="8549" w:val="left" w:leader="none"/>
          <w:tab w:pos="9213" w:val="left" w:leader="none"/>
        </w:tabs>
        <w:spacing w:line="276" w:lineRule="auto" w:before="50" w:after="0"/>
        <w:ind w:left="710" w:right="143" w:firstLine="0"/>
        <w:jc w:val="left"/>
      </w:pPr>
      <w:r>
        <w:rPr>
          <w:spacing w:val="-2"/>
        </w:rPr>
        <w:t>Просит</w:t>
      </w:r>
      <w:r>
        <w:rPr/>
        <w:tab/>
      </w:r>
      <w:r>
        <w:rPr>
          <w:spacing w:val="-4"/>
        </w:rPr>
        <w:t>вещи</w:t>
      </w:r>
      <w:r>
        <w:rPr/>
        <w:tab/>
      </w:r>
      <w:r>
        <w:rPr>
          <w:spacing w:val="-2"/>
        </w:rPr>
        <w:t>(учебные</w:t>
      </w:r>
      <w:r>
        <w:rPr/>
        <w:tab/>
      </w:r>
      <w:r>
        <w:rPr>
          <w:spacing w:val="-2"/>
        </w:rPr>
        <w:t>принадлежности,</w:t>
      </w:r>
      <w:r>
        <w:rPr/>
        <w:tab/>
      </w:r>
      <w:r>
        <w:rPr>
          <w:spacing w:val="-2"/>
        </w:rPr>
        <w:t>игрушки</w:t>
      </w:r>
      <w:r>
        <w:rPr/>
        <w:tab/>
      </w:r>
      <w:r>
        <w:rPr>
          <w:spacing w:val="-10"/>
        </w:rPr>
        <w:t>и</w:t>
      </w:r>
      <w:r>
        <w:rPr/>
        <w:tab/>
      </w:r>
      <w:r>
        <w:rPr>
          <w:spacing w:val="-4"/>
        </w:rPr>
        <w:t>пр.)</w:t>
      </w:r>
      <w:r>
        <w:rPr/>
        <w:tab/>
      </w:r>
      <w:r>
        <w:rPr>
          <w:spacing w:val="-10"/>
        </w:rPr>
        <w:t>у </w:t>
      </w:r>
      <w:r>
        <w:rPr>
          <w:spacing w:val="-2"/>
        </w:rPr>
        <w:t>одноклассников.</w:t>
      </w:r>
    </w:p>
    <w:p>
      <w:pPr>
        <w:pStyle w:val="Heading4"/>
        <w:numPr>
          <w:ilvl w:val="1"/>
          <w:numId w:val="9"/>
        </w:numPr>
        <w:tabs>
          <w:tab w:pos="1417" w:val="left" w:leader="none"/>
        </w:tabs>
        <w:spacing w:line="321" w:lineRule="exact" w:before="0" w:after="0"/>
        <w:ind w:left="1417" w:right="0" w:hanging="707"/>
        <w:jc w:val="left"/>
      </w:pPr>
      <w:r>
        <w:rPr/>
        <w:t>Обращается</w:t>
      </w:r>
      <w:r>
        <w:rPr>
          <w:spacing w:val="-7"/>
        </w:rPr>
        <w:t> </w:t>
      </w:r>
      <w:r>
        <w:rPr/>
        <w:t>к</w:t>
      </w:r>
      <w:r>
        <w:rPr>
          <w:spacing w:val="-3"/>
        </w:rPr>
        <w:t> </w:t>
      </w:r>
      <w:r>
        <w:rPr/>
        <w:t>ровесникам</w:t>
      </w:r>
      <w:r>
        <w:rPr>
          <w:spacing w:val="-4"/>
        </w:rPr>
        <w:t> </w:t>
      </w:r>
      <w:r>
        <w:rPr/>
        <w:t>за</w:t>
      </w:r>
      <w:r>
        <w:rPr>
          <w:spacing w:val="-3"/>
        </w:rPr>
        <w:t> </w:t>
      </w:r>
      <w:r>
        <w:rPr>
          <w:spacing w:val="-2"/>
        </w:rPr>
        <w:t>помощью.</w:t>
      </w:r>
    </w:p>
    <w:p>
      <w:pPr>
        <w:pStyle w:val="Heading4"/>
        <w:numPr>
          <w:ilvl w:val="1"/>
          <w:numId w:val="9"/>
        </w:numPr>
        <w:tabs>
          <w:tab w:pos="1417" w:val="left" w:leader="none"/>
        </w:tabs>
        <w:spacing w:line="240" w:lineRule="auto" w:before="48" w:after="0"/>
        <w:ind w:left="1417" w:right="0" w:hanging="707"/>
        <w:jc w:val="left"/>
      </w:pPr>
      <w:r>
        <w:rPr/>
        <w:t>Выражает</w:t>
      </w:r>
      <w:r>
        <w:rPr>
          <w:spacing w:val="-9"/>
        </w:rPr>
        <w:t> </w:t>
      </w:r>
      <w:r>
        <w:rPr/>
        <w:t>сочувствие</w:t>
      </w:r>
      <w:r>
        <w:rPr>
          <w:spacing w:val="-5"/>
        </w:rPr>
        <w:t> </w:t>
      </w:r>
      <w:r>
        <w:rPr/>
        <w:t>другим</w:t>
      </w:r>
      <w:r>
        <w:rPr>
          <w:spacing w:val="-5"/>
        </w:rPr>
        <w:t> </w:t>
      </w:r>
      <w:r>
        <w:rPr>
          <w:spacing w:val="-2"/>
        </w:rPr>
        <w:t>детям.</w:t>
      </w:r>
    </w:p>
    <w:p>
      <w:pPr>
        <w:pStyle w:val="Heading4"/>
        <w:numPr>
          <w:ilvl w:val="1"/>
          <w:numId w:val="9"/>
        </w:numPr>
        <w:tabs>
          <w:tab w:pos="1417" w:val="left" w:leader="none"/>
        </w:tabs>
        <w:spacing w:line="240" w:lineRule="auto" w:before="50" w:after="0"/>
        <w:ind w:left="1417" w:right="0" w:hanging="707"/>
        <w:jc w:val="left"/>
      </w:pPr>
      <w:r>
        <w:rPr/>
        <w:t>Начинает</w:t>
      </w:r>
      <w:r>
        <w:rPr>
          <w:spacing w:val="-5"/>
        </w:rPr>
        <w:t> </w:t>
      </w:r>
      <w:r>
        <w:rPr/>
        <w:t>разговоры</w:t>
      </w:r>
      <w:r>
        <w:rPr>
          <w:spacing w:val="-4"/>
        </w:rPr>
        <w:t> </w:t>
      </w:r>
      <w:r>
        <w:rPr/>
        <w:t>с</w:t>
      </w:r>
      <w:r>
        <w:rPr>
          <w:spacing w:val="-4"/>
        </w:rPr>
        <w:t> </w:t>
      </w:r>
      <w:r>
        <w:rPr>
          <w:spacing w:val="-2"/>
        </w:rPr>
        <w:t>ровесниками.</w:t>
      </w:r>
    </w:p>
    <w:p>
      <w:pPr>
        <w:pStyle w:val="Heading4"/>
        <w:numPr>
          <w:ilvl w:val="1"/>
          <w:numId w:val="9"/>
        </w:numPr>
        <w:tabs>
          <w:tab w:pos="1417" w:val="left" w:leader="none"/>
        </w:tabs>
        <w:spacing w:line="240" w:lineRule="auto" w:before="48" w:after="0"/>
        <w:ind w:left="1417" w:right="0" w:hanging="707"/>
        <w:jc w:val="left"/>
      </w:pPr>
      <w:r>
        <w:rPr/>
        <w:t>Поддерживает</w:t>
      </w:r>
      <w:r>
        <w:rPr>
          <w:spacing w:val="-5"/>
        </w:rPr>
        <w:t> </w:t>
      </w:r>
      <w:r>
        <w:rPr/>
        <w:t>разговор</w:t>
      </w:r>
      <w:r>
        <w:rPr>
          <w:spacing w:val="-4"/>
        </w:rPr>
        <w:t> </w:t>
      </w:r>
      <w:r>
        <w:rPr/>
        <w:t>с</w:t>
      </w:r>
      <w:r>
        <w:rPr>
          <w:spacing w:val="-8"/>
        </w:rPr>
        <w:t> </w:t>
      </w:r>
      <w:r>
        <w:rPr>
          <w:spacing w:val="-2"/>
        </w:rPr>
        <w:t>ровесниками.</w:t>
      </w:r>
    </w:p>
    <w:p>
      <w:pPr>
        <w:pStyle w:val="Heading4"/>
        <w:numPr>
          <w:ilvl w:val="1"/>
          <w:numId w:val="9"/>
        </w:numPr>
        <w:tabs>
          <w:tab w:pos="1417" w:val="left" w:leader="none"/>
        </w:tabs>
        <w:spacing w:line="240" w:lineRule="auto" w:before="47" w:after="0"/>
        <w:ind w:left="1417" w:right="0" w:hanging="707"/>
        <w:jc w:val="left"/>
      </w:pPr>
      <w:r>
        <w:rPr/>
        <w:t>Предлагает</w:t>
      </w:r>
      <w:r>
        <w:rPr>
          <w:spacing w:val="-9"/>
        </w:rPr>
        <w:t> </w:t>
      </w:r>
      <w:r>
        <w:rPr/>
        <w:t>другим</w:t>
      </w:r>
      <w:r>
        <w:rPr>
          <w:spacing w:val="-7"/>
        </w:rPr>
        <w:t> </w:t>
      </w:r>
      <w:r>
        <w:rPr/>
        <w:t>детям</w:t>
      </w:r>
      <w:r>
        <w:rPr>
          <w:spacing w:val="-9"/>
        </w:rPr>
        <w:t> </w:t>
      </w:r>
      <w:r>
        <w:rPr/>
        <w:t>разные</w:t>
      </w:r>
      <w:r>
        <w:rPr>
          <w:spacing w:val="-6"/>
        </w:rPr>
        <w:t> </w:t>
      </w:r>
      <w:r>
        <w:rPr/>
        <w:t>активности</w:t>
      </w:r>
      <w:r>
        <w:rPr>
          <w:spacing w:val="-7"/>
        </w:rPr>
        <w:t> </w:t>
      </w:r>
      <w:r>
        <w:rPr/>
        <w:t>(начальная</w:t>
      </w:r>
      <w:r>
        <w:rPr>
          <w:spacing w:val="-6"/>
        </w:rPr>
        <w:t> </w:t>
      </w:r>
      <w:r>
        <w:rPr>
          <w:spacing w:val="-2"/>
        </w:rPr>
        <w:t>школа).</w:t>
      </w:r>
    </w:p>
    <w:p>
      <w:pPr>
        <w:pStyle w:val="Heading4"/>
        <w:numPr>
          <w:ilvl w:val="1"/>
          <w:numId w:val="9"/>
        </w:numPr>
        <w:tabs>
          <w:tab w:pos="1417" w:val="left" w:leader="none"/>
        </w:tabs>
        <w:spacing w:line="278" w:lineRule="auto" w:before="48" w:after="0"/>
        <w:ind w:left="710" w:right="144" w:firstLine="0"/>
        <w:jc w:val="left"/>
      </w:pPr>
      <w:r>
        <w:rPr/>
        <w:t>Сам присоединяется к общим активностям других детей (играм, разговорам и пр.).</w:t>
      </w:r>
    </w:p>
    <w:p>
      <w:pPr>
        <w:pStyle w:val="Heading4"/>
        <w:numPr>
          <w:ilvl w:val="1"/>
          <w:numId w:val="9"/>
        </w:numPr>
        <w:tabs>
          <w:tab w:pos="1417" w:val="left" w:leader="none"/>
        </w:tabs>
        <w:spacing w:line="317" w:lineRule="exact" w:before="0" w:after="0"/>
        <w:ind w:left="1417" w:right="0" w:hanging="707"/>
        <w:jc w:val="left"/>
      </w:pPr>
      <w:r>
        <w:rPr/>
        <w:t>Принимает</w:t>
      </w:r>
      <w:r>
        <w:rPr>
          <w:spacing w:val="-7"/>
        </w:rPr>
        <w:t> </w:t>
      </w:r>
      <w:r>
        <w:rPr/>
        <w:t>участие</w:t>
      </w:r>
      <w:r>
        <w:rPr>
          <w:spacing w:val="-7"/>
        </w:rPr>
        <w:t> </w:t>
      </w:r>
      <w:r>
        <w:rPr/>
        <w:t>в</w:t>
      </w:r>
      <w:r>
        <w:rPr>
          <w:spacing w:val="-5"/>
        </w:rPr>
        <w:t> </w:t>
      </w:r>
      <w:r>
        <w:rPr/>
        <w:t>активностях</w:t>
      </w:r>
      <w:r>
        <w:rPr>
          <w:spacing w:val="-3"/>
        </w:rPr>
        <w:t> </w:t>
      </w:r>
      <w:r>
        <w:rPr/>
        <w:t>(играх</w:t>
      </w:r>
      <w:r>
        <w:rPr>
          <w:spacing w:val="-3"/>
        </w:rPr>
        <w:t> </w:t>
      </w:r>
      <w:r>
        <w:rPr/>
        <w:t>и</w:t>
      </w:r>
      <w:r>
        <w:rPr>
          <w:spacing w:val="-7"/>
        </w:rPr>
        <w:t> </w:t>
      </w:r>
      <w:r>
        <w:rPr/>
        <w:t>др.)</w:t>
      </w:r>
      <w:r>
        <w:rPr>
          <w:spacing w:val="-5"/>
        </w:rPr>
        <w:t> </w:t>
      </w:r>
      <w:r>
        <w:rPr/>
        <w:t>с</w:t>
      </w:r>
      <w:r>
        <w:rPr>
          <w:spacing w:val="-7"/>
        </w:rPr>
        <w:t> </w:t>
      </w:r>
      <w:r>
        <w:rPr>
          <w:spacing w:val="-2"/>
        </w:rPr>
        <w:t>ровесниками.</w:t>
      </w:r>
    </w:p>
    <w:p>
      <w:pPr>
        <w:pStyle w:val="Heading4"/>
        <w:numPr>
          <w:ilvl w:val="1"/>
          <w:numId w:val="9"/>
        </w:numPr>
        <w:tabs>
          <w:tab w:pos="1417" w:val="left" w:leader="none"/>
        </w:tabs>
        <w:spacing w:line="240" w:lineRule="auto" w:before="48" w:after="0"/>
        <w:ind w:left="1417" w:right="0" w:hanging="707"/>
        <w:jc w:val="left"/>
      </w:pPr>
      <w:r>
        <w:rPr/>
        <w:t>Поздравляет</w:t>
      </w:r>
      <w:r>
        <w:rPr>
          <w:spacing w:val="-7"/>
        </w:rPr>
        <w:t> </w:t>
      </w:r>
      <w:r>
        <w:rPr/>
        <w:t>других</w:t>
      </w:r>
      <w:r>
        <w:rPr>
          <w:spacing w:val="-4"/>
        </w:rPr>
        <w:t> </w:t>
      </w:r>
      <w:r>
        <w:rPr/>
        <w:t>детей</w:t>
      </w:r>
      <w:r>
        <w:rPr>
          <w:spacing w:val="-6"/>
        </w:rPr>
        <w:t> </w:t>
      </w:r>
      <w:r>
        <w:rPr/>
        <w:t>с</w:t>
      </w:r>
      <w:r>
        <w:rPr>
          <w:spacing w:val="-3"/>
        </w:rPr>
        <w:t> </w:t>
      </w:r>
      <w:r>
        <w:rPr>
          <w:spacing w:val="-2"/>
        </w:rPr>
        <w:t>праздниками.</w:t>
      </w:r>
    </w:p>
    <w:p>
      <w:pPr>
        <w:pStyle w:val="Heading4"/>
        <w:numPr>
          <w:ilvl w:val="1"/>
          <w:numId w:val="9"/>
        </w:numPr>
        <w:tabs>
          <w:tab w:pos="1417" w:val="left" w:leader="none"/>
        </w:tabs>
        <w:spacing w:line="240" w:lineRule="auto" w:before="50" w:after="0"/>
        <w:ind w:left="1417" w:right="0" w:hanging="707"/>
        <w:jc w:val="left"/>
      </w:pPr>
      <w:r>
        <w:rPr/>
        <w:t>Извиняется</w:t>
      </w:r>
      <w:r>
        <w:rPr>
          <w:spacing w:val="-7"/>
        </w:rPr>
        <w:t> </w:t>
      </w:r>
      <w:r>
        <w:rPr/>
        <w:t>перед</w:t>
      </w:r>
      <w:r>
        <w:rPr>
          <w:spacing w:val="-6"/>
        </w:rPr>
        <w:t> </w:t>
      </w:r>
      <w:r>
        <w:rPr/>
        <w:t>другими</w:t>
      </w:r>
      <w:r>
        <w:rPr>
          <w:spacing w:val="-6"/>
        </w:rPr>
        <w:t> </w:t>
      </w:r>
      <w:r>
        <w:rPr>
          <w:spacing w:val="-2"/>
        </w:rPr>
        <w:t>детьми.</w:t>
      </w:r>
    </w:p>
    <w:p>
      <w:pPr>
        <w:pStyle w:val="Heading4"/>
        <w:numPr>
          <w:ilvl w:val="1"/>
          <w:numId w:val="9"/>
        </w:numPr>
        <w:tabs>
          <w:tab w:pos="1417" w:val="left" w:leader="none"/>
        </w:tabs>
        <w:spacing w:line="240" w:lineRule="auto" w:before="48" w:after="0"/>
        <w:ind w:left="1417" w:right="0" w:hanging="707"/>
        <w:jc w:val="left"/>
      </w:pPr>
      <w:r>
        <w:rPr/>
        <w:t>Может</w:t>
      </w:r>
      <w:r>
        <w:rPr>
          <w:spacing w:val="-4"/>
        </w:rPr>
        <w:t> </w:t>
      </w:r>
      <w:r>
        <w:rPr/>
        <w:t>сказать</w:t>
      </w:r>
      <w:r>
        <w:rPr>
          <w:spacing w:val="-3"/>
        </w:rPr>
        <w:t> </w:t>
      </w:r>
      <w:r>
        <w:rPr/>
        <w:t>«нет»</w:t>
      </w:r>
      <w:r>
        <w:rPr>
          <w:spacing w:val="-4"/>
        </w:rPr>
        <w:t> </w:t>
      </w:r>
      <w:r>
        <w:rPr/>
        <w:t>или</w:t>
      </w:r>
      <w:r>
        <w:rPr>
          <w:spacing w:val="-4"/>
        </w:rPr>
        <w:t> </w:t>
      </w:r>
      <w:r>
        <w:rPr/>
        <w:t>отказать</w:t>
      </w:r>
      <w:r>
        <w:rPr>
          <w:spacing w:val="-3"/>
        </w:rPr>
        <w:t> </w:t>
      </w:r>
      <w:r>
        <w:rPr>
          <w:spacing w:val="-2"/>
        </w:rPr>
        <w:t>ровесникам.</w:t>
      </w:r>
    </w:p>
    <w:p>
      <w:pPr>
        <w:pStyle w:val="Heading4"/>
        <w:numPr>
          <w:ilvl w:val="1"/>
          <w:numId w:val="9"/>
        </w:numPr>
        <w:tabs>
          <w:tab w:pos="1417" w:val="left" w:leader="none"/>
        </w:tabs>
        <w:spacing w:line="240" w:lineRule="auto" w:before="47" w:after="0"/>
        <w:ind w:left="1417" w:right="0" w:hanging="707"/>
        <w:jc w:val="left"/>
      </w:pPr>
      <w:r>
        <w:rPr/>
        <w:t>Слушает,</w:t>
      </w:r>
      <w:r>
        <w:rPr>
          <w:spacing w:val="-6"/>
        </w:rPr>
        <w:t> </w:t>
      </w:r>
      <w:r>
        <w:rPr/>
        <w:t>когда</w:t>
      </w:r>
      <w:r>
        <w:rPr>
          <w:spacing w:val="-4"/>
        </w:rPr>
        <w:t> </w:t>
      </w:r>
      <w:r>
        <w:rPr/>
        <w:t>говорит</w:t>
      </w:r>
      <w:r>
        <w:rPr>
          <w:spacing w:val="-8"/>
        </w:rPr>
        <w:t> </w:t>
      </w:r>
      <w:r>
        <w:rPr>
          <w:spacing w:val="-2"/>
        </w:rPr>
        <w:t>ровесник.</w:t>
      </w:r>
    </w:p>
    <w:p>
      <w:pPr>
        <w:pStyle w:val="Heading4"/>
        <w:numPr>
          <w:ilvl w:val="1"/>
          <w:numId w:val="9"/>
        </w:numPr>
        <w:tabs>
          <w:tab w:pos="1417" w:val="left" w:leader="none"/>
        </w:tabs>
        <w:spacing w:line="240" w:lineRule="auto" w:before="48" w:after="0"/>
        <w:ind w:left="1417" w:right="0" w:hanging="707"/>
        <w:jc w:val="left"/>
      </w:pPr>
      <w:r>
        <w:rPr/>
        <w:t>Помогает</w:t>
      </w:r>
      <w:r>
        <w:rPr>
          <w:spacing w:val="-4"/>
        </w:rPr>
        <w:t> </w:t>
      </w:r>
      <w:r>
        <w:rPr/>
        <w:t>другим</w:t>
      </w:r>
      <w:r>
        <w:rPr>
          <w:spacing w:val="-4"/>
        </w:rPr>
        <w:t> </w:t>
      </w:r>
      <w:r>
        <w:rPr/>
        <w:t>детям,</w:t>
      </w:r>
      <w:r>
        <w:rPr>
          <w:spacing w:val="-5"/>
        </w:rPr>
        <w:t> </w:t>
      </w:r>
      <w:r>
        <w:rPr/>
        <w:t>когда</w:t>
      </w:r>
      <w:r>
        <w:rPr>
          <w:spacing w:val="-3"/>
        </w:rPr>
        <w:t> </w:t>
      </w:r>
      <w:r>
        <w:rPr/>
        <w:t>его</w:t>
      </w:r>
      <w:r>
        <w:rPr>
          <w:spacing w:val="-3"/>
        </w:rPr>
        <w:t> </w:t>
      </w:r>
      <w:r>
        <w:rPr/>
        <w:t>просят</w:t>
      </w:r>
      <w:r>
        <w:rPr>
          <w:spacing w:val="-5"/>
        </w:rPr>
        <w:t> </w:t>
      </w:r>
      <w:r>
        <w:rPr/>
        <w:t>о</w:t>
      </w:r>
      <w:r>
        <w:rPr>
          <w:spacing w:val="-2"/>
        </w:rPr>
        <w:t> помощи.</w:t>
      </w:r>
    </w:p>
    <w:p>
      <w:pPr>
        <w:pStyle w:val="Heading4"/>
        <w:numPr>
          <w:ilvl w:val="1"/>
          <w:numId w:val="9"/>
        </w:numPr>
        <w:tabs>
          <w:tab w:pos="1417" w:val="left" w:leader="none"/>
        </w:tabs>
        <w:spacing w:line="240" w:lineRule="auto" w:before="50" w:after="0"/>
        <w:ind w:left="1417" w:right="0" w:hanging="707"/>
        <w:jc w:val="left"/>
      </w:pPr>
      <w:r>
        <w:rPr/>
        <w:t>Дожидается</w:t>
      </w:r>
      <w:r>
        <w:rPr>
          <w:spacing w:val="-6"/>
        </w:rPr>
        <w:t> </w:t>
      </w:r>
      <w:r>
        <w:rPr/>
        <w:t>своей</w:t>
      </w:r>
      <w:r>
        <w:rPr>
          <w:spacing w:val="-7"/>
        </w:rPr>
        <w:t> </w:t>
      </w:r>
      <w:r>
        <w:rPr/>
        <w:t>очереди</w:t>
      </w:r>
      <w:r>
        <w:rPr>
          <w:spacing w:val="-4"/>
        </w:rPr>
        <w:t> </w:t>
      </w:r>
      <w:r>
        <w:rPr/>
        <w:t>в</w:t>
      </w:r>
      <w:r>
        <w:rPr>
          <w:spacing w:val="-5"/>
        </w:rPr>
        <w:t> </w:t>
      </w:r>
      <w:r>
        <w:rPr/>
        <w:t>общих</w:t>
      </w:r>
      <w:r>
        <w:rPr>
          <w:spacing w:val="-3"/>
        </w:rPr>
        <w:t> </w:t>
      </w:r>
      <w:r>
        <w:rPr/>
        <w:t>активностях</w:t>
      </w:r>
      <w:r>
        <w:rPr>
          <w:spacing w:val="-3"/>
        </w:rPr>
        <w:t> </w:t>
      </w:r>
      <w:r>
        <w:rPr/>
        <w:t>(играх</w:t>
      </w:r>
      <w:r>
        <w:rPr>
          <w:spacing w:val="-7"/>
        </w:rPr>
        <w:t> </w:t>
      </w:r>
      <w:r>
        <w:rPr/>
        <w:t>и</w:t>
      </w:r>
      <w:r>
        <w:rPr>
          <w:spacing w:val="-3"/>
        </w:rPr>
        <w:t> </w:t>
      </w:r>
      <w:r>
        <w:rPr>
          <w:spacing w:val="-2"/>
        </w:rPr>
        <w:t>др.).</w:t>
      </w:r>
    </w:p>
    <w:p>
      <w:pPr>
        <w:pStyle w:val="Heading4"/>
        <w:numPr>
          <w:ilvl w:val="1"/>
          <w:numId w:val="9"/>
        </w:numPr>
        <w:tabs>
          <w:tab w:pos="1417" w:val="left" w:leader="none"/>
        </w:tabs>
        <w:spacing w:line="240" w:lineRule="auto" w:before="48" w:after="0"/>
        <w:ind w:left="1417" w:right="0" w:hanging="707"/>
        <w:jc w:val="left"/>
      </w:pPr>
      <w:r>
        <w:rPr/>
        <w:t>Выражает</w:t>
      </w:r>
      <w:r>
        <w:rPr>
          <w:spacing w:val="-5"/>
        </w:rPr>
        <w:t> </w:t>
      </w:r>
      <w:r>
        <w:rPr/>
        <w:t>гнев</w:t>
      </w:r>
      <w:r>
        <w:rPr>
          <w:spacing w:val="-9"/>
        </w:rPr>
        <w:t> </w:t>
      </w:r>
      <w:r>
        <w:rPr/>
        <w:t>и</w:t>
      </w:r>
      <w:r>
        <w:rPr>
          <w:spacing w:val="-4"/>
        </w:rPr>
        <w:t> </w:t>
      </w:r>
      <w:r>
        <w:rPr/>
        <w:t>раздражение</w:t>
      </w:r>
      <w:r>
        <w:rPr>
          <w:spacing w:val="-8"/>
        </w:rPr>
        <w:t> </w:t>
      </w:r>
      <w:r>
        <w:rPr/>
        <w:t>неагрессивным</w:t>
      </w:r>
      <w:r>
        <w:rPr>
          <w:spacing w:val="-4"/>
        </w:rPr>
        <w:t> </w:t>
      </w:r>
      <w:r>
        <w:rPr>
          <w:spacing w:val="-2"/>
        </w:rPr>
        <w:t>образом.</w:t>
      </w:r>
    </w:p>
    <w:p>
      <w:pPr>
        <w:pStyle w:val="Heading4"/>
        <w:numPr>
          <w:ilvl w:val="1"/>
          <w:numId w:val="9"/>
        </w:numPr>
        <w:tabs>
          <w:tab w:pos="1417" w:val="left" w:leader="none"/>
        </w:tabs>
        <w:spacing w:line="278" w:lineRule="auto" w:before="47" w:after="0"/>
        <w:ind w:left="710" w:right="143" w:firstLine="0"/>
        <w:jc w:val="left"/>
      </w:pPr>
      <w:r>
        <w:rPr/>
        <w:t>Принимает</w:t>
      </w:r>
      <w:r>
        <w:rPr>
          <w:spacing w:val="40"/>
        </w:rPr>
        <w:t> </w:t>
      </w:r>
      <w:r>
        <w:rPr/>
        <w:t>идеи,</w:t>
      </w:r>
      <w:r>
        <w:rPr>
          <w:spacing w:val="40"/>
        </w:rPr>
        <w:t> </w:t>
      </w:r>
      <w:r>
        <w:rPr/>
        <w:t>отличающиеся</w:t>
      </w:r>
      <w:r>
        <w:rPr>
          <w:spacing w:val="40"/>
        </w:rPr>
        <w:t> </w:t>
      </w:r>
      <w:r>
        <w:rPr/>
        <w:t>от</w:t>
      </w:r>
      <w:r>
        <w:rPr>
          <w:spacing w:val="40"/>
        </w:rPr>
        <w:t> </w:t>
      </w:r>
      <w:r>
        <w:rPr/>
        <w:t>его</w:t>
      </w:r>
      <w:r>
        <w:rPr>
          <w:spacing w:val="40"/>
        </w:rPr>
        <w:t> </w:t>
      </w:r>
      <w:r>
        <w:rPr/>
        <w:t>собственных</w:t>
      </w:r>
      <w:r>
        <w:rPr>
          <w:spacing w:val="40"/>
        </w:rPr>
        <w:t> </w:t>
      </w:r>
      <w:r>
        <w:rPr/>
        <w:t>(старшая</w:t>
      </w:r>
      <w:r>
        <w:rPr>
          <w:spacing w:val="40"/>
        </w:rPr>
        <w:t> </w:t>
      </w:r>
      <w:r>
        <w:rPr>
          <w:spacing w:val="-2"/>
        </w:rPr>
        <w:t>школа).</w:t>
      </w:r>
    </w:p>
    <w:p>
      <w:pPr>
        <w:pStyle w:val="Heading5"/>
        <w:spacing w:before="235"/>
        <w:ind w:left="710"/>
      </w:pPr>
      <w:r>
        <w:rPr/>
        <w:t>Взаимодействие</w:t>
      </w:r>
      <w:r>
        <w:rPr>
          <w:spacing w:val="-6"/>
        </w:rPr>
        <w:t> </w:t>
      </w:r>
      <w:r>
        <w:rPr/>
        <w:t>со</w:t>
      </w:r>
      <w:r>
        <w:rPr>
          <w:spacing w:val="-9"/>
        </w:rPr>
        <w:t> </w:t>
      </w:r>
      <w:r>
        <w:rPr/>
        <w:t>взрослыми</w:t>
      </w:r>
      <w:r>
        <w:rPr>
          <w:spacing w:val="-5"/>
        </w:rPr>
        <w:t> </w:t>
      </w:r>
      <w:r>
        <w:rPr/>
        <w:t>в</w:t>
      </w:r>
      <w:r>
        <w:rPr>
          <w:spacing w:val="-5"/>
        </w:rPr>
        <w:t> </w:t>
      </w:r>
      <w:r>
        <w:rPr>
          <w:spacing w:val="-2"/>
        </w:rPr>
        <w:t>школе</w:t>
      </w:r>
    </w:p>
    <w:p>
      <w:pPr>
        <w:pStyle w:val="Heading4"/>
        <w:numPr>
          <w:ilvl w:val="0"/>
          <w:numId w:val="10"/>
        </w:numPr>
        <w:tabs>
          <w:tab w:pos="1417" w:val="left" w:leader="none"/>
        </w:tabs>
        <w:spacing w:line="278" w:lineRule="auto" w:before="247" w:after="0"/>
        <w:ind w:left="710" w:right="144" w:firstLine="0"/>
        <w:jc w:val="left"/>
      </w:pPr>
      <w:r>
        <w:rPr/>
        <w:t>Обращается</w:t>
      </w:r>
      <w:r>
        <w:rPr>
          <w:spacing w:val="-2"/>
        </w:rPr>
        <w:t> </w:t>
      </w:r>
      <w:r>
        <w:rPr/>
        <w:t>к учителю</w:t>
      </w:r>
      <w:r>
        <w:rPr>
          <w:spacing w:val="-1"/>
        </w:rPr>
        <w:t> </w:t>
      </w:r>
      <w:r>
        <w:rPr/>
        <w:t>с вопросом</w:t>
      </w:r>
      <w:r>
        <w:rPr>
          <w:spacing w:val="-1"/>
        </w:rPr>
        <w:t> </w:t>
      </w:r>
      <w:r>
        <w:rPr/>
        <w:t>или</w:t>
      </w:r>
      <w:r>
        <w:rPr>
          <w:spacing w:val="-2"/>
        </w:rPr>
        <w:t> </w:t>
      </w:r>
      <w:r>
        <w:rPr/>
        <w:t>за</w:t>
      </w:r>
      <w:r>
        <w:rPr>
          <w:spacing w:val="-1"/>
        </w:rPr>
        <w:t> </w:t>
      </w:r>
      <w:r>
        <w:rPr/>
        <w:t>помощью</w:t>
      </w:r>
      <w:r>
        <w:rPr>
          <w:spacing w:val="-1"/>
        </w:rPr>
        <w:t> </w:t>
      </w:r>
      <w:r>
        <w:rPr/>
        <w:t>(на уроке или на перемене).</w:t>
      </w:r>
    </w:p>
    <w:p>
      <w:pPr>
        <w:pStyle w:val="Heading4"/>
        <w:numPr>
          <w:ilvl w:val="0"/>
          <w:numId w:val="10"/>
        </w:numPr>
        <w:tabs>
          <w:tab w:pos="1417" w:val="left" w:leader="none"/>
        </w:tabs>
        <w:spacing w:line="317" w:lineRule="exact" w:before="0" w:after="0"/>
        <w:ind w:left="1417" w:right="0" w:hanging="707"/>
        <w:jc w:val="left"/>
      </w:pPr>
      <w:r>
        <w:rPr/>
        <w:t>Поддерживает</w:t>
      </w:r>
      <w:r>
        <w:rPr>
          <w:spacing w:val="-6"/>
        </w:rPr>
        <w:t> </w:t>
      </w:r>
      <w:r>
        <w:rPr/>
        <w:t>разговор</w:t>
      </w:r>
      <w:r>
        <w:rPr>
          <w:spacing w:val="-5"/>
        </w:rPr>
        <w:t> </w:t>
      </w:r>
      <w:r>
        <w:rPr/>
        <w:t>со</w:t>
      </w:r>
      <w:r>
        <w:rPr>
          <w:spacing w:val="-4"/>
        </w:rPr>
        <w:t> </w:t>
      </w:r>
      <w:r>
        <w:rPr>
          <w:spacing w:val="-2"/>
        </w:rPr>
        <w:t>взрослым.</w:t>
      </w:r>
    </w:p>
    <w:p>
      <w:pPr>
        <w:pStyle w:val="Heading4"/>
        <w:numPr>
          <w:ilvl w:val="0"/>
          <w:numId w:val="10"/>
        </w:numPr>
        <w:tabs>
          <w:tab w:pos="1417" w:val="left" w:leader="none"/>
        </w:tabs>
        <w:spacing w:line="240" w:lineRule="auto" w:before="48" w:after="0"/>
        <w:ind w:left="1417" w:right="0" w:hanging="707"/>
        <w:jc w:val="left"/>
      </w:pPr>
      <w:r>
        <w:rPr/>
        <w:t>Здоровается</w:t>
      </w:r>
      <w:r>
        <w:rPr>
          <w:spacing w:val="-9"/>
        </w:rPr>
        <w:t> </w:t>
      </w:r>
      <w:r>
        <w:rPr/>
        <w:t>с</w:t>
      </w:r>
      <w:r>
        <w:rPr>
          <w:spacing w:val="-6"/>
        </w:rPr>
        <w:t> </w:t>
      </w:r>
      <w:r>
        <w:rPr/>
        <w:t>учителями</w:t>
      </w:r>
      <w:r>
        <w:rPr>
          <w:spacing w:val="-5"/>
        </w:rPr>
        <w:t> </w:t>
      </w:r>
      <w:r>
        <w:rPr/>
        <w:t>и</w:t>
      </w:r>
      <w:r>
        <w:rPr>
          <w:spacing w:val="-9"/>
        </w:rPr>
        <w:t> </w:t>
      </w:r>
      <w:r>
        <w:rPr/>
        <w:t>другими</w:t>
      </w:r>
      <w:r>
        <w:rPr>
          <w:spacing w:val="-6"/>
        </w:rPr>
        <w:t> </w:t>
      </w:r>
      <w:r>
        <w:rPr/>
        <w:t>сотрудниками</w:t>
      </w:r>
      <w:r>
        <w:rPr>
          <w:spacing w:val="-6"/>
        </w:rPr>
        <w:t> </w:t>
      </w:r>
      <w:r>
        <w:rPr>
          <w:spacing w:val="-2"/>
        </w:rPr>
        <w:t>школы.</w:t>
      </w:r>
    </w:p>
    <w:p>
      <w:pPr>
        <w:pStyle w:val="Heading4"/>
        <w:numPr>
          <w:ilvl w:val="0"/>
          <w:numId w:val="10"/>
        </w:numPr>
        <w:tabs>
          <w:tab w:pos="1417" w:val="left" w:leader="none"/>
        </w:tabs>
        <w:spacing w:line="240" w:lineRule="auto" w:before="50" w:after="0"/>
        <w:ind w:left="1417" w:right="0" w:hanging="707"/>
        <w:jc w:val="left"/>
      </w:pPr>
      <w:r>
        <w:rPr/>
        <w:t>Поздравляет</w:t>
      </w:r>
      <w:r>
        <w:rPr>
          <w:spacing w:val="-5"/>
        </w:rPr>
        <w:t> </w:t>
      </w:r>
      <w:r>
        <w:rPr/>
        <w:t>учителей</w:t>
      </w:r>
      <w:r>
        <w:rPr>
          <w:spacing w:val="-3"/>
        </w:rPr>
        <w:t> </w:t>
      </w:r>
      <w:r>
        <w:rPr/>
        <w:t>с</w:t>
      </w:r>
      <w:r>
        <w:rPr>
          <w:spacing w:val="-5"/>
        </w:rPr>
        <w:t> </w:t>
      </w:r>
      <w:r>
        <w:rPr>
          <w:spacing w:val="-2"/>
        </w:rPr>
        <w:t>праздниками.</w:t>
      </w:r>
    </w:p>
    <w:p>
      <w:pPr>
        <w:pStyle w:val="Heading4"/>
        <w:numPr>
          <w:ilvl w:val="0"/>
          <w:numId w:val="10"/>
        </w:numPr>
        <w:tabs>
          <w:tab w:pos="1417" w:val="left" w:leader="none"/>
        </w:tabs>
        <w:spacing w:line="240" w:lineRule="auto" w:before="47" w:after="0"/>
        <w:ind w:left="1417" w:right="0" w:hanging="707"/>
        <w:jc w:val="left"/>
      </w:pPr>
      <w:r>
        <w:rPr/>
        <w:t>Извиняется</w:t>
      </w:r>
      <w:r>
        <w:rPr>
          <w:spacing w:val="-6"/>
        </w:rPr>
        <w:t> </w:t>
      </w:r>
      <w:r>
        <w:rPr/>
        <w:t>перед</w:t>
      </w:r>
      <w:r>
        <w:rPr>
          <w:spacing w:val="-5"/>
        </w:rPr>
        <w:t> </w:t>
      </w:r>
      <w:r>
        <w:rPr>
          <w:spacing w:val="-2"/>
        </w:rPr>
        <w:t>взрослым.</w:t>
      </w:r>
    </w:p>
    <w:p>
      <w:pPr>
        <w:pStyle w:val="Heading4"/>
        <w:numPr>
          <w:ilvl w:val="0"/>
          <w:numId w:val="10"/>
        </w:numPr>
        <w:tabs>
          <w:tab w:pos="1417" w:val="left" w:leader="none"/>
        </w:tabs>
        <w:spacing w:line="240" w:lineRule="auto" w:before="48" w:after="0"/>
        <w:ind w:left="1417" w:right="0" w:hanging="707"/>
        <w:jc w:val="left"/>
      </w:pPr>
      <w:r>
        <w:rPr/>
        <w:t>Слушает,</w:t>
      </w:r>
      <w:r>
        <w:rPr>
          <w:spacing w:val="-8"/>
        </w:rPr>
        <w:t> </w:t>
      </w:r>
      <w:r>
        <w:rPr/>
        <w:t>когда</w:t>
      </w:r>
      <w:r>
        <w:rPr>
          <w:spacing w:val="-4"/>
        </w:rPr>
        <w:t> </w:t>
      </w:r>
      <w:r>
        <w:rPr/>
        <w:t>говорит</w:t>
      </w:r>
      <w:r>
        <w:rPr>
          <w:spacing w:val="-5"/>
        </w:rPr>
        <w:t> </w:t>
      </w:r>
      <w:r>
        <w:rPr>
          <w:spacing w:val="-2"/>
        </w:rPr>
        <w:t>взрослый.</w:t>
      </w:r>
    </w:p>
    <w:p>
      <w:pPr>
        <w:pStyle w:val="Heading4"/>
        <w:numPr>
          <w:ilvl w:val="0"/>
          <w:numId w:val="10"/>
        </w:numPr>
        <w:tabs>
          <w:tab w:pos="1417" w:val="left" w:leader="none"/>
        </w:tabs>
        <w:spacing w:line="240" w:lineRule="auto" w:before="48" w:after="0"/>
        <w:ind w:left="1417" w:right="0" w:hanging="707"/>
        <w:jc w:val="left"/>
      </w:pPr>
      <w:r>
        <w:rPr/>
        <w:t>Выполняет</w:t>
      </w:r>
      <w:r>
        <w:rPr>
          <w:spacing w:val="-7"/>
        </w:rPr>
        <w:t> </w:t>
      </w:r>
      <w:r>
        <w:rPr/>
        <w:t>просьбы</w:t>
      </w:r>
      <w:r>
        <w:rPr>
          <w:spacing w:val="-6"/>
        </w:rPr>
        <w:t> </w:t>
      </w:r>
      <w:r>
        <w:rPr>
          <w:spacing w:val="-2"/>
        </w:rPr>
        <w:t>учителя.</w:t>
      </w:r>
    </w:p>
    <w:p>
      <w:pPr>
        <w:pStyle w:val="Heading4"/>
        <w:numPr>
          <w:ilvl w:val="0"/>
          <w:numId w:val="10"/>
        </w:numPr>
        <w:tabs>
          <w:tab w:pos="1417" w:val="left" w:leader="none"/>
        </w:tabs>
        <w:spacing w:line="276" w:lineRule="auto" w:before="50" w:after="0"/>
        <w:ind w:left="710" w:right="145" w:firstLine="0"/>
        <w:jc w:val="left"/>
      </w:pPr>
      <w:r>
        <w:rPr/>
        <w:t>Улыбается или иначе демонстрирует, что ему приятно, когда его </w:t>
      </w:r>
      <w:r>
        <w:rPr>
          <w:spacing w:val="-2"/>
        </w:rPr>
        <w:t>хвалят.</w:t>
      </w:r>
    </w:p>
    <w:p>
      <w:pPr>
        <w:pStyle w:val="Heading4"/>
        <w:spacing w:after="0" w:line="276" w:lineRule="auto"/>
        <w:jc w:val="left"/>
        <w:sectPr>
          <w:pgSz w:w="11910" w:h="16840"/>
          <w:pgMar w:header="0" w:footer="954" w:top="1040" w:bottom="1220" w:left="1700" w:right="708"/>
        </w:sectPr>
      </w:pPr>
    </w:p>
    <w:p>
      <w:pPr>
        <w:pStyle w:val="Heading4"/>
        <w:numPr>
          <w:ilvl w:val="0"/>
          <w:numId w:val="10"/>
        </w:numPr>
        <w:tabs>
          <w:tab w:pos="1417" w:val="left" w:leader="none"/>
          <w:tab w:pos="3065" w:val="left" w:leader="none"/>
          <w:tab w:pos="4522" w:val="left" w:leader="none"/>
          <w:tab w:pos="5453" w:val="left" w:leader="none"/>
          <w:tab w:pos="6160" w:val="left" w:leader="none"/>
          <w:tab w:pos="7502" w:val="left" w:leader="none"/>
        </w:tabs>
        <w:spacing w:line="240" w:lineRule="auto" w:before="67" w:after="0"/>
        <w:ind w:left="1417" w:right="0" w:hanging="707"/>
        <w:jc w:val="left"/>
      </w:pPr>
      <w:r>
        <w:rPr>
          <w:spacing w:val="-2"/>
        </w:rPr>
        <w:t>Использует</w:t>
      </w:r>
      <w:r>
        <w:rPr/>
        <w:tab/>
      </w:r>
      <w:r>
        <w:rPr>
          <w:spacing w:val="-2"/>
        </w:rPr>
        <w:t>вежливые</w:t>
      </w:r>
      <w:r>
        <w:rPr/>
        <w:tab/>
      </w:r>
      <w:r>
        <w:rPr>
          <w:spacing w:val="-2"/>
        </w:rPr>
        <w:t>слова</w:t>
      </w:r>
      <w:r>
        <w:rPr/>
        <w:tab/>
      </w:r>
      <w:r>
        <w:rPr>
          <w:spacing w:val="-5"/>
        </w:rPr>
        <w:t>при</w:t>
      </w:r>
      <w:r>
        <w:rPr/>
        <w:tab/>
      </w:r>
      <w:r>
        <w:rPr>
          <w:spacing w:val="-2"/>
        </w:rPr>
        <w:t>общении</w:t>
      </w:r>
      <w:r>
        <w:rPr/>
        <w:tab/>
      </w:r>
      <w:r>
        <w:rPr>
          <w:spacing w:val="-2"/>
        </w:rPr>
        <w:t>(«пожалуйста»,</w:t>
      </w:r>
    </w:p>
    <w:p>
      <w:pPr>
        <w:pStyle w:val="Heading4"/>
        <w:spacing w:before="51"/>
        <w:ind w:left="710"/>
        <w:jc w:val="left"/>
      </w:pPr>
      <w:r>
        <w:rPr/>
        <w:t>«спасибо»</w:t>
      </w:r>
      <w:r>
        <w:rPr>
          <w:spacing w:val="-6"/>
        </w:rPr>
        <w:t> </w:t>
      </w:r>
      <w:r>
        <w:rPr/>
        <w:t>и</w:t>
      </w:r>
      <w:r>
        <w:rPr>
          <w:spacing w:val="-4"/>
        </w:rPr>
        <w:t> </w:t>
      </w:r>
      <w:r>
        <w:rPr>
          <w:spacing w:val="-2"/>
        </w:rPr>
        <w:t>др.).</w:t>
      </w:r>
    </w:p>
    <w:p>
      <w:pPr>
        <w:pStyle w:val="Heading4"/>
        <w:numPr>
          <w:ilvl w:val="0"/>
          <w:numId w:val="10"/>
        </w:numPr>
        <w:tabs>
          <w:tab w:pos="1417" w:val="left" w:leader="none"/>
        </w:tabs>
        <w:spacing w:line="240" w:lineRule="auto" w:before="47" w:after="0"/>
        <w:ind w:left="1417" w:right="0" w:hanging="707"/>
        <w:jc w:val="left"/>
      </w:pPr>
      <w:r>
        <w:rPr/>
        <w:t>Соблюдает</w:t>
      </w:r>
      <w:r>
        <w:rPr>
          <w:spacing w:val="-10"/>
        </w:rPr>
        <w:t> </w:t>
      </w:r>
      <w:r>
        <w:rPr/>
        <w:t>требования</w:t>
      </w:r>
      <w:r>
        <w:rPr>
          <w:spacing w:val="-8"/>
        </w:rPr>
        <w:t> </w:t>
      </w:r>
      <w:r>
        <w:rPr/>
        <w:t>школьной</w:t>
      </w:r>
      <w:r>
        <w:rPr>
          <w:spacing w:val="-8"/>
        </w:rPr>
        <w:t> </w:t>
      </w:r>
      <w:r>
        <w:rPr>
          <w:spacing w:val="-2"/>
        </w:rPr>
        <w:t>администрации.</w:t>
      </w:r>
    </w:p>
    <w:p>
      <w:pPr>
        <w:pStyle w:val="Heading4"/>
        <w:spacing w:after="0" w:line="240" w:lineRule="auto"/>
        <w:jc w:val="left"/>
        <w:sectPr>
          <w:pgSz w:w="11910" w:h="16840"/>
          <w:pgMar w:header="0" w:footer="954" w:top="1040" w:bottom="1220" w:left="1700" w:right="708"/>
        </w:sectPr>
      </w:pPr>
    </w:p>
    <w:p>
      <w:pPr>
        <w:pStyle w:val="Heading2"/>
        <w:spacing w:line="276" w:lineRule="auto"/>
        <w:ind w:left="2" w:right="139"/>
        <w:jc w:val="both"/>
      </w:pPr>
      <w:bookmarkStart w:name="_bookmark9" w:id="11"/>
      <w:bookmarkEnd w:id="11"/>
      <w:r>
        <w:rPr>
          <w:b w:val="0"/>
        </w:rPr>
      </w:r>
      <w:r>
        <w:rPr/>
        <w:t>Глава 4. Психолого-педагогическая оценка особых образовательных потребностей ребенка-иностранного гражданина в сфере психологического благополучия</w:t>
      </w:r>
    </w:p>
    <w:p>
      <w:pPr>
        <w:pStyle w:val="Heading4"/>
        <w:spacing w:line="276" w:lineRule="auto" w:before="236"/>
        <w:ind w:left="2" w:right="142" w:firstLine="707"/>
      </w:pPr>
      <w:r>
        <w:rPr/>
        <w:t>Психолого-педагогическая оценка особых образовательных потребностей ребенка-иностранного гражданина в сфере психологического благополучия</w:t>
      </w:r>
      <w:r>
        <w:rPr>
          <w:spacing w:val="-1"/>
        </w:rPr>
        <w:t> </w:t>
      </w:r>
      <w:r>
        <w:rPr/>
        <w:t>состоит</w:t>
      </w:r>
      <w:r>
        <w:rPr>
          <w:spacing w:val="-2"/>
        </w:rPr>
        <w:t> </w:t>
      </w:r>
      <w:r>
        <w:rPr/>
        <w:t>из</w:t>
      </w:r>
      <w:r>
        <w:rPr>
          <w:spacing w:val="-2"/>
        </w:rPr>
        <w:t> </w:t>
      </w:r>
      <w:r>
        <w:rPr/>
        <w:t>базового</w:t>
      </w:r>
      <w:r>
        <w:rPr>
          <w:spacing w:val="-1"/>
        </w:rPr>
        <w:t> </w:t>
      </w:r>
      <w:r>
        <w:rPr/>
        <w:t>и</w:t>
      </w:r>
      <w:r>
        <w:rPr>
          <w:spacing w:val="-3"/>
        </w:rPr>
        <w:t> </w:t>
      </w:r>
      <w:r>
        <w:rPr/>
        <w:t>расширенного</w:t>
      </w:r>
      <w:r>
        <w:rPr>
          <w:spacing w:val="-1"/>
        </w:rPr>
        <w:t> </w:t>
      </w:r>
      <w:r>
        <w:rPr/>
        <w:t>наборов</w:t>
      </w:r>
      <w:r>
        <w:rPr>
          <w:spacing w:val="-4"/>
        </w:rPr>
        <w:t> </w:t>
      </w:r>
      <w:r>
        <w:rPr/>
        <w:t>и</w:t>
      </w:r>
      <w:r>
        <w:rPr>
          <w:spacing w:val="-1"/>
        </w:rPr>
        <w:t> </w:t>
      </w:r>
      <w:r>
        <w:rPr/>
        <w:t>различается</w:t>
      </w:r>
      <w:r>
        <w:rPr>
          <w:spacing w:val="-1"/>
        </w:rPr>
        <w:t> </w:t>
      </w:r>
      <w:r>
        <w:rPr/>
        <w:t>для начальной, средней и старшей школы.</w:t>
      </w:r>
    </w:p>
    <w:p>
      <w:pPr>
        <w:pStyle w:val="Heading4"/>
        <w:spacing w:line="276" w:lineRule="auto"/>
        <w:ind w:left="2" w:right="144" w:firstLine="707"/>
      </w:pPr>
      <w:r>
        <w:rPr/>
        <w:t>Ниже перечислены инструменты психологической диагностики и описана</w:t>
      </w:r>
      <w:r>
        <w:rPr>
          <w:spacing w:val="-18"/>
        </w:rPr>
        <w:t> </w:t>
      </w:r>
      <w:r>
        <w:rPr/>
        <w:t>специфика</w:t>
      </w:r>
      <w:r>
        <w:rPr>
          <w:spacing w:val="-17"/>
        </w:rPr>
        <w:t> </w:t>
      </w:r>
      <w:r>
        <w:rPr/>
        <w:t>ее</w:t>
      </w:r>
      <w:r>
        <w:rPr>
          <w:spacing w:val="-18"/>
        </w:rPr>
        <w:t> </w:t>
      </w:r>
      <w:r>
        <w:rPr/>
        <w:t>проведения.</w:t>
      </w:r>
      <w:r>
        <w:rPr>
          <w:spacing w:val="-17"/>
        </w:rPr>
        <w:t> </w:t>
      </w:r>
      <w:r>
        <w:rPr/>
        <w:t>Подробное</w:t>
      </w:r>
      <w:r>
        <w:rPr>
          <w:spacing w:val="-18"/>
        </w:rPr>
        <w:t> </w:t>
      </w:r>
      <w:r>
        <w:rPr/>
        <w:t>описание</w:t>
      </w:r>
      <w:r>
        <w:rPr>
          <w:spacing w:val="-17"/>
        </w:rPr>
        <w:t> </w:t>
      </w:r>
      <w:r>
        <w:rPr/>
        <w:t>каждого</w:t>
      </w:r>
      <w:r>
        <w:rPr>
          <w:spacing w:val="-18"/>
        </w:rPr>
        <w:t> </w:t>
      </w:r>
      <w:r>
        <w:rPr/>
        <w:t>инструмента, включающее</w:t>
      </w:r>
      <w:r>
        <w:rPr>
          <w:spacing w:val="15"/>
        </w:rPr>
        <w:t> </w:t>
      </w:r>
      <w:r>
        <w:rPr/>
        <w:t>бланк</w:t>
      </w:r>
      <w:r>
        <w:rPr>
          <w:spacing w:val="18"/>
        </w:rPr>
        <w:t> </w:t>
      </w:r>
      <w:r>
        <w:rPr/>
        <w:t>методики</w:t>
      </w:r>
      <w:r>
        <w:rPr>
          <w:spacing w:val="19"/>
        </w:rPr>
        <w:t> </w:t>
      </w:r>
      <w:r>
        <w:rPr/>
        <w:t>и</w:t>
      </w:r>
      <w:r>
        <w:rPr>
          <w:spacing w:val="18"/>
        </w:rPr>
        <w:t> </w:t>
      </w:r>
      <w:r>
        <w:rPr/>
        <w:t>алгоритм</w:t>
      </w:r>
      <w:r>
        <w:rPr>
          <w:spacing w:val="19"/>
        </w:rPr>
        <w:t> </w:t>
      </w:r>
      <w:r>
        <w:rPr/>
        <w:t>обработки,</w:t>
      </w:r>
      <w:r>
        <w:rPr>
          <w:spacing w:val="17"/>
        </w:rPr>
        <w:t> </w:t>
      </w:r>
      <w:r>
        <w:rPr/>
        <w:t>приведено</w:t>
      </w:r>
      <w:r>
        <w:rPr>
          <w:spacing w:val="19"/>
        </w:rPr>
        <w:t> </w:t>
      </w:r>
      <w:r>
        <w:rPr/>
        <w:t>в</w:t>
      </w:r>
      <w:r>
        <w:rPr>
          <w:spacing w:val="18"/>
        </w:rPr>
        <w:t> </w:t>
      </w:r>
      <w:r>
        <w:rPr>
          <w:spacing w:val="-2"/>
        </w:rPr>
        <w:t>документе</w:t>
      </w:r>
    </w:p>
    <w:p>
      <w:pPr>
        <w:pStyle w:val="Heading5"/>
        <w:spacing w:line="276" w:lineRule="auto" w:before="1"/>
        <w:ind w:left="2" w:right="135"/>
        <w:jc w:val="both"/>
        <w:rPr>
          <w:i w:val="0"/>
        </w:rPr>
      </w:pPr>
      <w:r>
        <w:rPr>
          <w:i w:val="0"/>
        </w:rPr>
        <w:t>«</w:t>
      </w:r>
      <w:r>
        <w:rPr/>
        <w:t>Инструментарий оценки особых образовательных потребностей ребенка- иностранного гражданина в сферах психологического благополучия, социальных навыков и культурной адаптации</w:t>
      </w:r>
      <w:r>
        <w:rPr>
          <w:i w:val="0"/>
        </w:rPr>
        <w:t>».</w:t>
      </w:r>
    </w:p>
    <w:p>
      <w:pPr>
        <w:pStyle w:val="Heading3"/>
        <w:spacing w:before="247"/>
        <w:ind w:left="2"/>
      </w:pPr>
      <w:r>
        <w:rPr/>
        <w:t>Начальная</w:t>
      </w:r>
      <w:r>
        <w:rPr>
          <w:spacing w:val="-8"/>
        </w:rPr>
        <w:t> </w:t>
      </w:r>
      <w:r>
        <w:rPr>
          <w:spacing w:val="-4"/>
        </w:rPr>
        <w:t>школа</w:t>
      </w:r>
    </w:p>
    <w:p>
      <w:pPr>
        <w:spacing w:before="242"/>
        <w:ind w:left="710" w:right="0" w:firstLine="0"/>
        <w:jc w:val="left"/>
        <w:rPr>
          <w:sz w:val="28"/>
        </w:rPr>
      </w:pPr>
      <w:r>
        <w:rPr>
          <w:sz w:val="28"/>
        </w:rPr>
        <w:t>В</w:t>
      </w:r>
      <w:r>
        <w:rPr>
          <w:spacing w:val="-6"/>
          <w:sz w:val="28"/>
        </w:rPr>
        <w:t> </w:t>
      </w:r>
      <w:r>
        <w:rPr>
          <w:b/>
          <w:sz w:val="28"/>
        </w:rPr>
        <w:t>базовый</w:t>
      </w:r>
      <w:r>
        <w:rPr>
          <w:b/>
          <w:spacing w:val="-6"/>
          <w:sz w:val="28"/>
        </w:rPr>
        <w:t> </w:t>
      </w:r>
      <w:r>
        <w:rPr>
          <w:b/>
          <w:sz w:val="28"/>
        </w:rPr>
        <w:t>набор</w:t>
      </w:r>
      <w:r>
        <w:rPr>
          <w:b/>
          <w:spacing w:val="-6"/>
          <w:sz w:val="28"/>
        </w:rPr>
        <w:t> </w:t>
      </w:r>
      <w:r>
        <w:rPr>
          <w:sz w:val="28"/>
        </w:rPr>
        <w:t>диагностики</w:t>
      </w:r>
      <w:r>
        <w:rPr>
          <w:spacing w:val="-5"/>
          <w:sz w:val="28"/>
        </w:rPr>
        <w:t> </w:t>
      </w:r>
      <w:r>
        <w:rPr>
          <w:sz w:val="28"/>
        </w:rPr>
        <w:t>для</w:t>
      </w:r>
      <w:r>
        <w:rPr>
          <w:spacing w:val="-8"/>
          <w:sz w:val="28"/>
        </w:rPr>
        <w:t> </w:t>
      </w:r>
      <w:r>
        <w:rPr>
          <w:sz w:val="28"/>
        </w:rPr>
        <w:t>начальной</w:t>
      </w:r>
      <w:r>
        <w:rPr>
          <w:spacing w:val="-5"/>
          <w:sz w:val="28"/>
        </w:rPr>
        <w:t> </w:t>
      </w:r>
      <w:r>
        <w:rPr>
          <w:sz w:val="28"/>
        </w:rPr>
        <w:t>школы</w:t>
      </w:r>
      <w:r>
        <w:rPr>
          <w:spacing w:val="-4"/>
          <w:sz w:val="28"/>
        </w:rPr>
        <w:t> </w:t>
      </w:r>
      <w:r>
        <w:rPr>
          <w:spacing w:val="-2"/>
          <w:sz w:val="28"/>
        </w:rPr>
        <w:t>входят:</w:t>
      </w:r>
    </w:p>
    <w:p>
      <w:pPr>
        <w:pStyle w:val="Heading4"/>
        <w:numPr>
          <w:ilvl w:val="0"/>
          <w:numId w:val="11"/>
        </w:numPr>
        <w:tabs>
          <w:tab w:pos="1702" w:val="left" w:leader="none"/>
        </w:tabs>
        <w:spacing w:line="240" w:lineRule="auto" w:before="47" w:after="0"/>
        <w:ind w:left="1702" w:right="0" w:hanging="359"/>
        <w:jc w:val="left"/>
      </w:pPr>
      <w:r>
        <w:rPr/>
        <w:t>Карта</w:t>
      </w:r>
      <w:r>
        <w:rPr>
          <w:spacing w:val="-12"/>
        </w:rPr>
        <w:t> </w:t>
      </w:r>
      <w:r>
        <w:rPr/>
        <w:t>наблюдения</w:t>
      </w:r>
      <w:r>
        <w:rPr>
          <w:spacing w:val="-8"/>
        </w:rPr>
        <w:t> </w:t>
      </w:r>
      <w:r>
        <w:rPr/>
        <w:t>«Психологические</w:t>
      </w:r>
      <w:r>
        <w:rPr>
          <w:spacing w:val="-8"/>
        </w:rPr>
        <w:t> </w:t>
      </w:r>
      <w:r>
        <w:rPr>
          <w:spacing w:val="-2"/>
        </w:rPr>
        <w:t>трудности».</w:t>
      </w:r>
    </w:p>
    <w:p>
      <w:pPr>
        <w:pStyle w:val="Heading4"/>
        <w:numPr>
          <w:ilvl w:val="0"/>
          <w:numId w:val="11"/>
        </w:numPr>
        <w:tabs>
          <w:tab w:pos="1703" w:val="left" w:leader="none"/>
        </w:tabs>
        <w:spacing w:line="264" w:lineRule="auto" w:before="33" w:after="0"/>
        <w:ind w:left="1703" w:right="132" w:hanging="360"/>
        <w:jc w:val="left"/>
      </w:pPr>
      <w:r>
        <w:rPr/>
        <w:t>Рисуночная диагностика субъективного благополучия ребенка- </w:t>
      </w:r>
      <w:r>
        <w:rPr>
          <w:spacing w:val="-2"/>
        </w:rPr>
        <w:t>мигранта.</w:t>
      </w:r>
    </w:p>
    <w:p>
      <w:pPr>
        <w:pStyle w:val="Heading4"/>
        <w:spacing w:line="276" w:lineRule="auto" w:before="257"/>
        <w:ind w:left="2" w:right="135" w:firstLine="707"/>
      </w:pPr>
      <w:r>
        <w:rPr/>
        <w:t>Базовый набор диагностики психологического благополучия для начальной школы построен с учетом представления, что языковые навыки у новоприбывшего ребенка-иностранного гражданина данного возраста могут быть крайне ограничены. Карта наблюдения «Психологические трудности» заполняется классным руководителем, а рисуночная диагностика субъективного благополучия ребенка-иностранного гражданина не требует высокого уровня владения русским</w:t>
      </w:r>
      <w:r>
        <w:rPr>
          <w:spacing w:val="-1"/>
        </w:rPr>
        <w:t> </w:t>
      </w:r>
      <w:r>
        <w:rPr/>
        <w:t>языком.</w:t>
      </w:r>
      <w:r>
        <w:rPr>
          <w:spacing w:val="-1"/>
        </w:rPr>
        <w:t> </w:t>
      </w:r>
      <w:r>
        <w:rPr/>
        <w:t>Таким</w:t>
      </w:r>
      <w:r>
        <w:rPr>
          <w:spacing w:val="-3"/>
        </w:rPr>
        <w:t> </w:t>
      </w:r>
      <w:r>
        <w:rPr/>
        <w:t>образом,</w:t>
      </w:r>
      <w:r>
        <w:rPr>
          <w:spacing w:val="-1"/>
        </w:rPr>
        <w:t> </w:t>
      </w:r>
      <w:r>
        <w:rPr/>
        <w:t>эти инструменты потенциально пригодны для большинства новоприбывших детей- иностранных граждан, ранее не изучавших русский язык.</w:t>
      </w:r>
    </w:p>
    <w:p>
      <w:pPr>
        <w:pStyle w:val="Heading4"/>
        <w:spacing w:line="276" w:lineRule="auto" w:before="2"/>
        <w:ind w:left="2" w:right="135" w:firstLine="707"/>
      </w:pPr>
      <w:r>
        <w:rPr>
          <w:i/>
        </w:rPr>
        <w:t>Карта наблюдения </w:t>
      </w:r>
      <w:r>
        <w:rPr/>
        <w:t>«</w:t>
      </w:r>
      <w:r>
        <w:rPr>
          <w:i/>
        </w:rPr>
        <w:t>Психологические трудности</w:t>
      </w:r>
      <w:r>
        <w:rPr/>
        <w:t>» предназначена для оценки педагогом психологических трудностей ребенка. В начальной школе она</w:t>
      </w:r>
      <w:r>
        <w:rPr>
          <w:spacing w:val="-15"/>
        </w:rPr>
        <w:t> </w:t>
      </w:r>
      <w:r>
        <w:rPr/>
        <w:t>заполняется</w:t>
      </w:r>
      <w:r>
        <w:rPr>
          <w:spacing w:val="-14"/>
        </w:rPr>
        <w:t> </w:t>
      </w:r>
      <w:r>
        <w:rPr/>
        <w:t>классным</w:t>
      </w:r>
      <w:r>
        <w:rPr>
          <w:spacing w:val="-15"/>
        </w:rPr>
        <w:t> </w:t>
      </w:r>
      <w:r>
        <w:rPr/>
        <w:t>руководителем.</w:t>
      </w:r>
      <w:r>
        <w:rPr>
          <w:spacing w:val="-16"/>
        </w:rPr>
        <w:t> </w:t>
      </w:r>
      <w:r>
        <w:rPr/>
        <w:t>Так</w:t>
      </w:r>
      <w:r>
        <w:rPr>
          <w:spacing w:val="-14"/>
        </w:rPr>
        <w:t> </w:t>
      </w:r>
      <w:r>
        <w:rPr/>
        <w:t>как</w:t>
      </w:r>
      <w:r>
        <w:rPr>
          <w:spacing w:val="-14"/>
        </w:rPr>
        <w:t> </w:t>
      </w:r>
      <w:r>
        <w:rPr/>
        <w:t>часть</w:t>
      </w:r>
      <w:r>
        <w:rPr>
          <w:spacing w:val="-16"/>
        </w:rPr>
        <w:t> </w:t>
      </w:r>
      <w:r>
        <w:rPr/>
        <w:t>вопросов</w:t>
      </w:r>
      <w:r>
        <w:rPr>
          <w:spacing w:val="-15"/>
        </w:rPr>
        <w:t> </w:t>
      </w:r>
      <w:r>
        <w:rPr/>
        <w:t>нацелена</w:t>
      </w:r>
      <w:r>
        <w:rPr>
          <w:spacing w:val="-15"/>
        </w:rPr>
        <w:t> </w:t>
      </w:r>
      <w:r>
        <w:rPr/>
        <w:t>на оценку</w:t>
      </w:r>
      <w:r>
        <w:rPr>
          <w:spacing w:val="-4"/>
        </w:rPr>
        <w:t> </w:t>
      </w:r>
      <w:r>
        <w:rPr/>
        <w:t>повторяющихся</w:t>
      </w:r>
      <w:r>
        <w:rPr>
          <w:spacing w:val="-2"/>
        </w:rPr>
        <w:t> </w:t>
      </w:r>
      <w:r>
        <w:rPr/>
        <w:t>поведенческих</w:t>
      </w:r>
      <w:r>
        <w:rPr>
          <w:spacing w:val="-4"/>
        </w:rPr>
        <w:t> </w:t>
      </w:r>
      <w:r>
        <w:rPr/>
        <w:t>проявлений,</w:t>
      </w:r>
      <w:r>
        <w:rPr>
          <w:spacing w:val="-1"/>
        </w:rPr>
        <w:t> </w:t>
      </w:r>
      <w:r>
        <w:rPr/>
        <w:t>классному</w:t>
      </w:r>
      <w:r>
        <w:rPr>
          <w:spacing w:val="-4"/>
        </w:rPr>
        <w:t> </w:t>
      </w:r>
      <w:r>
        <w:rPr/>
        <w:t>руководителю следует заполнять карту наблюдения «Психологические трудности» (далее - Карта)</w:t>
      </w:r>
      <w:r>
        <w:rPr>
          <w:spacing w:val="-9"/>
        </w:rPr>
        <w:t> </w:t>
      </w:r>
      <w:r>
        <w:rPr/>
        <w:t>не</w:t>
      </w:r>
      <w:r>
        <w:rPr>
          <w:spacing w:val="-9"/>
        </w:rPr>
        <w:t> </w:t>
      </w:r>
      <w:r>
        <w:rPr/>
        <w:t>ранее</w:t>
      </w:r>
      <w:r>
        <w:rPr>
          <w:spacing w:val="-9"/>
        </w:rPr>
        <w:t> </w:t>
      </w:r>
      <w:r>
        <w:rPr/>
        <w:t>чем</w:t>
      </w:r>
      <w:r>
        <w:rPr>
          <w:spacing w:val="-11"/>
        </w:rPr>
        <w:t> </w:t>
      </w:r>
      <w:r>
        <w:rPr/>
        <w:t>через</w:t>
      </w:r>
      <w:r>
        <w:rPr>
          <w:spacing w:val="-9"/>
        </w:rPr>
        <w:t> </w:t>
      </w:r>
      <w:r>
        <w:rPr/>
        <w:t>1</w:t>
      </w:r>
      <w:r>
        <w:rPr>
          <w:spacing w:val="-8"/>
        </w:rPr>
        <w:t> </w:t>
      </w:r>
      <w:r>
        <w:rPr/>
        <w:t>месяц</w:t>
      </w:r>
      <w:r>
        <w:rPr>
          <w:spacing w:val="-9"/>
        </w:rPr>
        <w:t> </w:t>
      </w:r>
      <w:r>
        <w:rPr/>
        <w:t>после</w:t>
      </w:r>
      <w:r>
        <w:rPr>
          <w:spacing w:val="-12"/>
        </w:rPr>
        <w:t> </w:t>
      </w:r>
      <w:r>
        <w:rPr/>
        <w:t>зачисления</w:t>
      </w:r>
      <w:r>
        <w:rPr>
          <w:spacing w:val="-9"/>
        </w:rPr>
        <w:t> </w:t>
      </w:r>
      <w:r>
        <w:rPr/>
        <w:t>ребенка</w:t>
      </w:r>
      <w:r>
        <w:rPr>
          <w:spacing w:val="-9"/>
        </w:rPr>
        <w:t> </w:t>
      </w:r>
      <w:r>
        <w:rPr/>
        <w:t>в</w:t>
      </w:r>
      <w:r>
        <w:rPr>
          <w:spacing w:val="-7"/>
        </w:rPr>
        <w:t> </w:t>
      </w:r>
      <w:r>
        <w:rPr/>
        <w:t>класс.</w:t>
      </w:r>
      <w:r>
        <w:rPr>
          <w:spacing w:val="-7"/>
        </w:rPr>
        <w:t> </w:t>
      </w:r>
      <w:r>
        <w:rPr/>
        <w:t>При</w:t>
      </w:r>
      <w:r>
        <w:rPr>
          <w:spacing w:val="-6"/>
        </w:rPr>
        <w:t> </w:t>
      </w:r>
      <w:r>
        <w:rPr/>
        <w:t>этом рекомендуется заранее познакомить учителя с пунктами Карты, сориентировав</w:t>
      </w:r>
      <w:r>
        <w:rPr>
          <w:spacing w:val="80"/>
        </w:rPr>
        <w:t> </w:t>
      </w:r>
      <w:r>
        <w:rPr/>
        <w:t>его</w:t>
      </w:r>
      <w:r>
        <w:rPr>
          <w:spacing w:val="80"/>
        </w:rPr>
        <w:t> </w:t>
      </w:r>
      <w:r>
        <w:rPr/>
        <w:t>на</w:t>
      </w:r>
      <w:r>
        <w:rPr>
          <w:spacing w:val="80"/>
        </w:rPr>
        <w:t> </w:t>
      </w:r>
      <w:r>
        <w:rPr/>
        <w:t>внимательное</w:t>
      </w:r>
      <w:r>
        <w:rPr>
          <w:spacing w:val="80"/>
        </w:rPr>
        <w:t> </w:t>
      </w:r>
      <w:r>
        <w:rPr/>
        <w:t>наблюдения</w:t>
      </w:r>
      <w:r>
        <w:rPr>
          <w:spacing w:val="80"/>
        </w:rPr>
        <w:t> </w:t>
      </w:r>
      <w:r>
        <w:rPr/>
        <w:t>за</w:t>
      </w:r>
      <w:r>
        <w:rPr>
          <w:spacing w:val="80"/>
        </w:rPr>
        <w:t> </w:t>
      </w:r>
      <w:r>
        <w:rPr/>
        <w:t>ребенком.</w:t>
      </w:r>
      <w:r>
        <w:rPr>
          <w:spacing w:val="80"/>
        </w:rPr>
        <w:t> </w:t>
      </w:r>
      <w:r>
        <w:rPr/>
        <w:t>На</w:t>
      </w:r>
      <w:r>
        <w:rPr>
          <w:spacing w:val="80"/>
        </w:rPr>
        <w:t> </w:t>
      </w:r>
      <w:r>
        <w:rPr/>
        <w:t>этапе</w:t>
      </w:r>
    </w:p>
    <w:p>
      <w:pPr>
        <w:pStyle w:val="Heading4"/>
        <w:spacing w:after="0" w:line="276" w:lineRule="auto"/>
        <w:sectPr>
          <w:pgSz w:w="11910" w:h="16840"/>
          <w:pgMar w:header="0" w:footer="954" w:top="1040" w:bottom="1220" w:left="1700" w:right="708"/>
        </w:sectPr>
      </w:pPr>
    </w:p>
    <w:p>
      <w:pPr>
        <w:pStyle w:val="Heading4"/>
        <w:spacing w:line="278" w:lineRule="auto" w:before="67"/>
        <w:ind w:left="2" w:right="143"/>
      </w:pPr>
      <w:r>
        <w:rPr/>
        <w:t>первичного знакомства учителя с Картой можно разъяснить смысл вопросов, в ней содержащихся.</w:t>
      </w:r>
    </w:p>
    <w:p>
      <w:pPr>
        <w:pStyle w:val="Heading4"/>
        <w:spacing w:line="276" w:lineRule="auto"/>
        <w:ind w:left="2" w:right="136" w:firstLine="707"/>
      </w:pPr>
      <w:r>
        <w:rPr/>
        <w:t>По результатам оценивается, в какую группу по выраженности психологических трудностей попадает ребенок. Главным параметром является общий балл</w:t>
      </w:r>
      <w:r>
        <w:rPr>
          <w:spacing w:val="-3"/>
        </w:rPr>
        <w:t> </w:t>
      </w:r>
      <w:r>
        <w:rPr/>
        <w:t>психологических</w:t>
      </w:r>
      <w:r>
        <w:rPr>
          <w:spacing w:val="-1"/>
        </w:rPr>
        <w:t> </w:t>
      </w:r>
      <w:r>
        <w:rPr/>
        <w:t>трудностей.</w:t>
      </w:r>
      <w:r>
        <w:rPr>
          <w:spacing w:val="-1"/>
        </w:rPr>
        <w:t> </w:t>
      </w:r>
      <w:r>
        <w:rPr/>
        <w:t>На</w:t>
      </w:r>
      <w:r>
        <w:rPr>
          <w:spacing w:val="-1"/>
        </w:rPr>
        <w:t> </w:t>
      </w:r>
      <w:r>
        <w:rPr/>
        <w:t>его основании ребенка можно отнести к группе риска (10% популяции) по выраженности психологических трудностей, в «пограничную» группу или в группу нормы. Выделение крайних показателей 10% популяции основывается на подходе автора</w:t>
      </w:r>
      <w:r>
        <w:rPr>
          <w:spacing w:val="-7"/>
        </w:rPr>
        <w:t> </w:t>
      </w:r>
      <w:r>
        <w:rPr/>
        <w:t>методики</w:t>
      </w:r>
      <w:r>
        <w:rPr>
          <w:spacing w:val="-6"/>
        </w:rPr>
        <w:t> </w:t>
      </w:r>
      <w:r>
        <w:rPr/>
        <w:t>Р.</w:t>
      </w:r>
      <w:r>
        <w:rPr>
          <w:spacing w:val="-4"/>
        </w:rPr>
        <w:t> </w:t>
      </w:r>
      <w:r>
        <w:rPr/>
        <w:t>Гудмана,</w:t>
      </w:r>
      <w:r>
        <w:rPr>
          <w:spacing w:val="-7"/>
        </w:rPr>
        <w:t> </w:t>
      </w:r>
      <w:r>
        <w:rPr/>
        <w:t>по</w:t>
      </w:r>
      <w:r>
        <w:rPr>
          <w:spacing w:val="-6"/>
        </w:rPr>
        <w:t> </w:t>
      </w:r>
      <w:r>
        <w:rPr/>
        <w:t>данным</w:t>
      </w:r>
      <w:r>
        <w:rPr>
          <w:spacing w:val="-9"/>
        </w:rPr>
        <w:t> </w:t>
      </w:r>
      <w:r>
        <w:rPr/>
        <w:t>которого</w:t>
      </w:r>
      <w:r>
        <w:rPr>
          <w:spacing w:val="-6"/>
        </w:rPr>
        <w:t> </w:t>
      </w:r>
      <w:r>
        <w:rPr/>
        <w:t>у</w:t>
      </w:r>
      <w:r>
        <w:rPr>
          <w:spacing w:val="-10"/>
        </w:rPr>
        <w:t> </w:t>
      </w:r>
      <w:r>
        <w:rPr/>
        <w:t>детей</w:t>
      </w:r>
      <w:r>
        <w:rPr>
          <w:spacing w:val="-6"/>
        </w:rPr>
        <w:t> </w:t>
      </w:r>
      <w:r>
        <w:rPr/>
        <w:t>данной</w:t>
      </w:r>
      <w:r>
        <w:rPr>
          <w:spacing w:val="-6"/>
        </w:rPr>
        <w:t> </w:t>
      </w:r>
      <w:r>
        <w:rPr/>
        <w:t>группы</w:t>
      </w:r>
      <w:r>
        <w:rPr>
          <w:spacing w:val="-6"/>
        </w:rPr>
        <w:t> </w:t>
      </w:r>
      <w:r>
        <w:rPr/>
        <w:t>в</w:t>
      </w:r>
      <w:r>
        <w:rPr>
          <w:spacing w:val="-7"/>
        </w:rPr>
        <w:t> </w:t>
      </w:r>
      <w:r>
        <w:rPr/>
        <w:t>5,5 раз выше вероятность наличия подтвержденного психического расстройства. Далее таким же образом оцениваются по отдельности эмоциональные проблемы, проблемы с поведением и гиперактивность. Эта оценка нужна для приоритезации мишеней для психологической помощи. Кроме того, выраженность психологических трудностей у ребенка, попавшего в группу риска по общему показателю, будет тем выше, чем больше проблем по отдельным показателям.</w:t>
      </w:r>
    </w:p>
    <w:p>
      <w:pPr>
        <w:spacing w:line="276" w:lineRule="auto" w:before="0"/>
        <w:ind w:left="2" w:right="137" w:firstLine="707"/>
        <w:jc w:val="both"/>
        <w:rPr>
          <w:sz w:val="28"/>
        </w:rPr>
      </w:pPr>
      <w:r>
        <w:rPr>
          <w:i/>
          <w:sz w:val="28"/>
        </w:rPr>
        <w:t>Рисуночная диагностика субъективного благополучия ребенка- иностранного гражданина </w:t>
      </w:r>
      <w:r>
        <w:rPr>
          <w:sz w:val="28"/>
        </w:rPr>
        <w:t>предназначена для скрининговой оценки субъективного благополучия ребенка, плохо владеющего русским языком. Она представляет собой набор вопросов, которые психолог задает ребенку, и последовательность</w:t>
      </w:r>
      <w:r>
        <w:rPr>
          <w:spacing w:val="80"/>
          <w:sz w:val="28"/>
        </w:rPr>
        <w:t> </w:t>
      </w:r>
      <w:r>
        <w:rPr>
          <w:sz w:val="28"/>
        </w:rPr>
        <w:t>из</w:t>
      </w:r>
      <w:r>
        <w:rPr>
          <w:spacing w:val="80"/>
          <w:sz w:val="28"/>
        </w:rPr>
        <w:t> </w:t>
      </w:r>
      <w:r>
        <w:rPr>
          <w:sz w:val="28"/>
        </w:rPr>
        <w:t>четырех</w:t>
      </w:r>
      <w:r>
        <w:rPr>
          <w:spacing w:val="80"/>
          <w:sz w:val="28"/>
        </w:rPr>
        <w:t> </w:t>
      </w:r>
      <w:r>
        <w:rPr>
          <w:sz w:val="28"/>
        </w:rPr>
        <w:t>картинок</w:t>
      </w:r>
      <w:r>
        <w:rPr>
          <w:spacing w:val="80"/>
          <w:sz w:val="28"/>
        </w:rPr>
        <w:t> </w:t>
      </w:r>
      <w:r>
        <w:rPr>
          <w:sz w:val="28"/>
        </w:rPr>
        <w:t>с</w:t>
      </w:r>
      <w:r>
        <w:rPr>
          <w:spacing w:val="80"/>
          <w:sz w:val="28"/>
        </w:rPr>
        <w:t> </w:t>
      </w:r>
      <w:r>
        <w:rPr>
          <w:sz w:val="28"/>
        </w:rPr>
        <w:t>изображением</w:t>
      </w:r>
      <w:r>
        <w:rPr>
          <w:spacing w:val="80"/>
          <w:sz w:val="28"/>
        </w:rPr>
        <w:t> </w:t>
      </w:r>
      <w:r>
        <w:rPr>
          <w:sz w:val="28"/>
        </w:rPr>
        <w:t>лиц:</w:t>
      </w:r>
      <w:r>
        <w:rPr>
          <w:spacing w:val="80"/>
          <w:sz w:val="28"/>
        </w:rPr>
        <w:t> </w:t>
      </w:r>
      <w:r>
        <w:rPr>
          <w:sz w:val="28"/>
        </w:rPr>
        <w:t>от</w:t>
      </w:r>
      <w:r>
        <w:rPr>
          <w:spacing w:val="80"/>
          <w:sz w:val="28"/>
        </w:rPr>
        <w:t> </w:t>
      </w:r>
      <w:r>
        <w:rPr>
          <w:sz w:val="28"/>
        </w:rPr>
        <w:t>более</w:t>
      </w:r>
    </w:p>
    <w:p>
      <w:pPr>
        <w:pStyle w:val="Heading4"/>
        <w:spacing w:line="321" w:lineRule="exact"/>
        <w:ind w:left="2"/>
      </w:pPr>
      <w:r>
        <w:rPr/>
        <w:t>«грустного»</w:t>
      </w:r>
      <w:r>
        <w:rPr>
          <w:spacing w:val="-4"/>
        </w:rPr>
        <w:t> </w:t>
      </w:r>
      <w:r>
        <w:rPr/>
        <w:t>к</w:t>
      </w:r>
      <w:r>
        <w:rPr>
          <w:spacing w:val="-6"/>
        </w:rPr>
        <w:t> </w:t>
      </w:r>
      <w:r>
        <w:rPr/>
        <w:t>более</w:t>
      </w:r>
      <w:r>
        <w:rPr>
          <w:spacing w:val="-4"/>
        </w:rPr>
        <w:t> </w:t>
      </w:r>
      <w:r>
        <w:rPr>
          <w:spacing w:val="-2"/>
        </w:rPr>
        <w:t>«веселому».</w:t>
      </w:r>
    </w:p>
    <w:p>
      <w:pPr>
        <w:pStyle w:val="Heading4"/>
        <w:spacing w:line="276" w:lineRule="auto" w:before="46"/>
        <w:ind w:left="2" w:right="136" w:firstLine="707"/>
      </w:pPr>
      <w:r>
        <w:rPr/>
        <w:t>Вопросы исключительно простые и могут быть понятны даже при крайне слабом владении русским языком. Если все же знания русского языка у ребенка недостаточно, можно привлечь человека, владеющего как русским, так и родным языком мигранта, или воспользоваться онлайн-переводчиком с возможностью озвучивания перевода.</w:t>
      </w:r>
    </w:p>
    <w:p>
      <w:pPr>
        <w:pStyle w:val="Heading4"/>
        <w:spacing w:line="276" w:lineRule="auto"/>
        <w:ind w:left="2" w:right="135" w:firstLine="707"/>
      </w:pPr>
      <w:r>
        <w:rPr/>
        <w:t>Для</w:t>
      </w:r>
      <w:r>
        <w:rPr>
          <w:spacing w:val="-6"/>
        </w:rPr>
        <w:t> </w:t>
      </w:r>
      <w:r>
        <w:rPr/>
        <w:t>построения</w:t>
      </w:r>
      <w:r>
        <w:rPr>
          <w:spacing w:val="-6"/>
        </w:rPr>
        <w:t> </w:t>
      </w:r>
      <w:r>
        <w:rPr/>
        <w:t>работы</w:t>
      </w:r>
      <w:r>
        <w:rPr>
          <w:spacing w:val="-8"/>
        </w:rPr>
        <w:t> </w:t>
      </w:r>
      <w:r>
        <w:rPr/>
        <w:t>по</w:t>
      </w:r>
      <w:r>
        <w:rPr>
          <w:spacing w:val="-8"/>
        </w:rPr>
        <w:t> </w:t>
      </w:r>
      <w:r>
        <w:rPr/>
        <w:t>психологическому</w:t>
      </w:r>
      <w:r>
        <w:rPr>
          <w:spacing w:val="-10"/>
        </w:rPr>
        <w:t> </w:t>
      </w:r>
      <w:r>
        <w:rPr/>
        <w:t>сопровождению</w:t>
      </w:r>
      <w:r>
        <w:rPr>
          <w:spacing w:val="-7"/>
        </w:rPr>
        <w:t> </w:t>
      </w:r>
      <w:r>
        <w:rPr/>
        <w:t>психолог может использовать ответы по отдельным вопросам методики. Особенно это важно,</w:t>
      </w:r>
      <w:r>
        <w:rPr>
          <w:spacing w:val="-8"/>
        </w:rPr>
        <w:t> </w:t>
      </w:r>
      <w:r>
        <w:rPr/>
        <w:t>когда</w:t>
      </w:r>
      <w:r>
        <w:rPr>
          <w:spacing w:val="-8"/>
        </w:rPr>
        <w:t> </w:t>
      </w:r>
      <w:r>
        <w:rPr/>
        <w:t>ребенок</w:t>
      </w:r>
      <w:r>
        <w:rPr>
          <w:spacing w:val="-7"/>
        </w:rPr>
        <w:t> </w:t>
      </w:r>
      <w:r>
        <w:rPr/>
        <w:t>плохо</w:t>
      </w:r>
      <w:r>
        <w:rPr>
          <w:spacing w:val="-7"/>
        </w:rPr>
        <w:t> </w:t>
      </w:r>
      <w:r>
        <w:rPr/>
        <w:t>говорит</w:t>
      </w:r>
      <w:r>
        <w:rPr>
          <w:spacing w:val="-8"/>
        </w:rPr>
        <w:t> </w:t>
      </w:r>
      <w:r>
        <w:rPr/>
        <w:t>по-русски</w:t>
      </w:r>
      <w:r>
        <w:rPr>
          <w:spacing w:val="-6"/>
        </w:rPr>
        <w:t> </w:t>
      </w:r>
      <w:r>
        <w:rPr/>
        <w:t>и</w:t>
      </w:r>
      <w:r>
        <w:rPr>
          <w:spacing w:val="-7"/>
        </w:rPr>
        <w:t> </w:t>
      </w:r>
      <w:r>
        <w:rPr/>
        <w:t>социально</w:t>
      </w:r>
      <w:r>
        <w:rPr>
          <w:spacing w:val="-9"/>
        </w:rPr>
        <w:t> </w:t>
      </w:r>
      <w:r>
        <w:rPr/>
        <w:t>неактивен.</w:t>
      </w:r>
      <w:r>
        <w:rPr>
          <w:spacing w:val="-8"/>
        </w:rPr>
        <w:t> </w:t>
      </w:r>
      <w:r>
        <w:rPr/>
        <w:t>В</w:t>
      </w:r>
      <w:r>
        <w:rPr>
          <w:spacing w:val="-8"/>
        </w:rPr>
        <w:t> </w:t>
      </w:r>
      <w:r>
        <w:rPr/>
        <w:t>этом случае получить от него обратную связь об эмоциональном состоянии затруднительно. Конечно, выбор грустного лица в ответ на вопрос «Как ты себя чувствуешь в школе на перемене?» может быть связан с ситуативными причинами. Однако на это необходимо обратить внимание и понаблюдать за ребенком в течение как минимум ближайших двух недель. Также рекомендуется через одну-две недели повторить работу с опросником и обратить внимание на сходство и различия ответов.</w:t>
      </w:r>
    </w:p>
    <w:p>
      <w:pPr>
        <w:spacing w:before="241"/>
        <w:ind w:left="710" w:right="0" w:firstLine="0"/>
        <w:jc w:val="left"/>
        <w:rPr>
          <w:sz w:val="28"/>
        </w:rPr>
      </w:pPr>
      <w:r>
        <w:rPr>
          <w:sz w:val="28"/>
        </w:rPr>
        <w:t>В</w:t>
      </w:r>
      <w:r>
        <w:rPr>
          <w:spacing w:val="-7"/>
          <w:sz w:val="28"/>
        </w:rPr>
        <w:t> </w:t>
      </w:r>
      <w:r>
        <w:rPr>
          <w:b/>
          <w:sz w:val="28"/>
        </w:rPr>
        <w:t>расширенный</w:t>
      </w:r>
      <w:r>
        <w:rPr>
          <w:b/>
          <w:spacing w:val="-6"/>
          <w:sz w:val="28"/>
        </w:rPr>
        <w:t> </w:t>
      </w:r>
      <w:r>
        <w:rPr>
          <w:b/>
          <w:sz w:val="28"/>
        </w:rPr>
        <w:t>набор</w:t>
      </w:r>
      <w:r>
        <w:rPr>
          <w:b/>
          <w:spacing w:val="-8"/>
          <w:sz w:val="28"/>
        </w:rPr>
        <w:t> </w:t>
      </w:r>
      <w:r>
        <w:rPr>
          <w:sz w:val="28"/>
        </w:rPr>
        <w:t>диагностики</w:t>
      </w:r>
      <w:r>
        <w:rPr>
          <w:spacing w:val="-5"/>
          <w:sz w:val="28"/>
        </w:rPr>
        <w:t> </w:t>
      </w:r>
      <w:r>
        <w:rPr>
          <w:sz w:val="28"/>
        </w:rPr>
        <w:t>для</w:t>
      </w:r>
      <w:r>
        <w:rPr>
          <w:spacing w:val="-6"/>
          <w:sz w:val="28"/>
        </w:rPr>
        <w:t> </w:t>
      </w:r>
      <w:r>
        <w:rPr>
          <w:sz w:val="28"/>
        </w:rPr>
        <w:t>начальной</w:t>
      </w:r>
      <w:r>
        <w:rPr>
          <w:spacing w:val="-5"/>
          <w:sz w:val="28"/>
        </w:rPr>
        <w:t> </w:t>
      </w:r>
      <w:r>
        <w:rPr>
          <w:sz w:val="28"/>
        </w:rPr>
        <w:t>школы</w:t>
      </w:r>
      <w:r>
        <w:rPr>
          <w:spacing w:val="-8"/>
          <w:sz w:val="28"/>
        </w:rPr>
        <w:t> </w:t>
      </w:r>
      <w:r>
        <w:rPr>
          <w:spacing w:val="-2"/>
          <w:sz w:val="28"/>
        </w:rPr>
        <w:t>входят:</w:t>
      </w:r>
    </w:p>
    <w:p>
      <w:pPr>
        <w:spacing w:after="0"/>
        <w:jc w:val="left"/>
        <w:rPr>
          <w:sz w:val="28"/>
        </w:rPr>
        <w:sectPr>
          <w:pgSz w:w="11910" w:h="16840"/>
          <w:pgMar w:header="0" w:footer="954" w:top="1040" w:bottom="1220" w:left="1700" w:right="708"/>
        </w:sectPr>
      </w:pPr>
    </w:p>
    <w:p>
      <w:pPr>
        <w:pStyle w:val="Heading4"/>
        <w:numPr>
          <w:ilvl w:val="0"/>
          <w:numId w:val="11"/>
        </w:numPr>
        <w:tabs>
          <w:tab w:pos="1702" w:val="left" w:leader="none"/>
        </w:tabs>
        <w:spacing w:line="240" w:lineRule="auto" w:before="67" w:after="0"/>
        <w:ind w:left="1702" w:right="0" w:hanging="359"/>
        <w:jc w:val="left"/>
      </w:pPr>
      <w:r>
        <w:rPr/>
        <w:t>Опросник</w:t>
      </w:r>
      <w:r>
        <w:rPr>
          <w:spacing w:val="-5"/>
        </w:rPr>
        <w:t> </w:t>
      </w:r>
      <w:r>
        <w:rPr>
          <w:spacing w:val="-2"/>
        </w:rPr>
        <w:t>Ахенбаха.</w:t>
      </w:r>
    </w:p>
    <w:p>
      <w:pPr>
        <w:pStyle w:val="Heading4"/>
        <w:numPr>
          <w:ilvl w:val="0"/>
          <w:numId w:val="11"/>
        </w:numPr>
        <w:tabs>
          <w:tab w:pos="1702" w:val="left" w:leader="none"/>
        </w:tabs>
        <w:spacing w:line="240" w:lineRule="auto" w:before="35" w:after="0"/>
        <w:ind w:left="1702" w:right="0" w:hanging="359"/>
        <w:jc w:val="left"/>
      </w:pPr>
      <w:r>
        <w:rPr/>
        <w:t>Многомерная</w:t>
      </w:r>
      <w:r>
        <w:rPr>
          <w:spacing w:val="-10"/>
        </w:rPr>
        <w:t> </w:t>
      </w:r>
      <w:r>
        <w:rPr/>
        <w:t>шкала</w:t>
      </w:r>
      <w:r>
        <w:rPr>
          <w:spacing w:val="-9"/>
        </w:rPr>
        <w:t> </w:t>
      </w:r>
      <w:r>
        <w:rPr/>
        <w:t>удовлетворенности</w:t>
      </w:r>
      <w:r>
        <w:rPr>
          <w:spacing w:val="-10"/>
        </w:rPr>
        <w:t> </w:t>
      </w:r>
      <w:r>
        <w:rPr/>
        <w:t>жизнью</w:t>
      </w:r>
      <w:r>
        <w:rPr>
          <w:spacing w:val="-9"/>
        </w:rPr>
        <w:t> </w:t>
      </w:r>
      <w:r>
        <w:rPr>
          <w:spacing w:val="-2"/>
        </w:rPr>
        <w:t>школьников.</w:t>
      </w:r>
    </w:p>
    <w:p>
      <w:pPr>
        <w:pStyle w:val="Heading4"/>
        <w:numPr>
          <w:ilvl w:val="0"/>
          <w:numId w:val="11"/>
        </w:numPr>
        <w:tabs>
          <w:tab w:pos="1702" w:val="left" w:leader="none"/>
        </w:tabs>
        <w:spacing w:line="240" w:lineRule="auto" w:before="33" w:after="0"/>
        <w:ind w:left="1702" w:right="0" w:hanging="359"/>
        <w:jc w:val="left"/>
      </w:pPr>
      <w:r>
        <w:rPr/>
        <w:t>Детский</w:t>
      </w:r>
      <w:r>
        <w:rPr>
          <w:spacing w:val="-6"/>
        </w:rPr>
        <w:t> </w:t>
      </w:r>
      <w:r>
        <w:rPr/>
        <w:t>тест</w:t>
      </w:r>
      <w:r>
        <w:rPr>
          <w:spacing w:val="-6"/>
        </w:rPr>
        <w:t> </w:t>
      </w:r>
      <w:r>
        <w:rPr/>
        <w:t>психологической</w:t>
      </w:r>
      <w:r>
        <w:rPr>
          <w:spacing w:val="-6"/>
        </w:rPr>
        <w:t> </w:t>
      </w:r>
      <w:r>
        <w:rPr>
          <w:spacing w:val="-2"/>
        </w:rPr>
        <w:t>устойчивости.</w:t>
      </w:r>
    </w:p>
    <w:p>
      <w:pPr>
        <w:spacing w:line="276" w:lineRule="auto" w:before="234"/>
        <w:ind w:left="2" w:right="136" w:firstLine="707"/>
        <w:jc w:val="both"/>
        <w:rPr>
          <w:sz w:val="28"/>
        </w:rPr>
      </w:pPr>
      <w:r>
        <w:rPr>
          <w:i/>
          <w:sz w:val="28"/>
        </w:rPr>
        <w:t>Многомерная</w:t>
      </w:r>
      <w:r>
        <w:rPr>
          <w:i/>
          <w:spacing w:val="-18"/>
          <w:sz w:val="28"/>
        </w:rPr>
        <w:t> </w:t>
      </w:r>
      <w:r>
        <w:rPr>
          <w:i/>
          <w:sz w:val="28"/>
        </w:rPr>
        <w:t>шкала</w:t>
      </w:r>
      <w:r>
        <w:rPr>
          <w:i/>
          <w:spacing w:val="-17"/>
          <w:sz w:val="28"/>
        </w:rPr>
        <w:t> </w:t>
      </w:r>
      <w:r>
        <w:rPr>
          <w:i/>
          <w:sz w:val="28"/>
        </w:rPr>
        <w:t>удовлетворенности</w:t>
      </w:r>
      <w:r>
        <w:rPr>
          <w:i/>
          <w:spacing w:val="-18"/>
          <w:sz w:val="28"/>
        </w:rPr>
        <w:t> </w:t>
      </w:r>
      <w:r>
        <w:rPr>
          <w:i/>
          <w:sz w:val="28"/>
        </w:rPr>
        <w:t>жизнью</w:t>
      </w:r>
      <w:r>
        <w:rPr>
          <w:i/>
          <w:spacing w:val="-17"/>
          <w:sz w:val="28"/>
        </w:rPr>
        <w:t> </w:t>
      </w:r>
      <w:r>
        <w:rPr>
          <w:i/>
          <w:sz w:val="28"/>
        </w:rPr>
        <w:t>школьников</w:t>
      </w:r>
      <w:r>
        <w:rPr>
          <w:i/>
          <w:spacing w:val="-18"/>
          <w:sz w:val="28"/>
        </w:rPr>
        <w:t> </w:t>
      </w:r>
      <w:r>
        <w:rPr>
          <w:sz w:val="28"/>
        </w:rPr>
        <w:t>и</w:t>
      </w:r>
      <w:r>
        <w:rPr>
          <w:spacing w:val="-17"/>
          <w:sz w:val="28"/>
        </w:rPr>
        <w:t> </w:t>
      </w:r>
      <w:r>
        <w:rPr>
          <w:i/>
          <w:sz w:val="28"/>
        </w:rPr>
        <w:t>Детский тест психологической устойчивости </w:t>
      </w:r>
      <w:r>
        <w:rPr>
          <w:sz w:val="28"/>
        </w:rPr>
        <w:t>требуют определенного уровня владения русским языком, поэтому они не могут быть рекомендованы для диагностики новоприбывшего ребенка-иностранного гражданина с отсутствием языковых навыков. Их проведение необходимо согласовать с педагогом по русскому языку (при наличии в школе — с учителем русского языка как иностранного).</w:t>
      </w:r>
    </w:p>
    <w:p>
      <w:pPr>
        <w:pStyle w:val="Heading4"/>
        <w:spacing w:line="276" w:lineRule="auto" w:before="1"/>
        <w:ind w:left="2" w:right="138" w:firstLine="707"/>
      </w:pPr>
      <w:r>
        <w:rPr>
          <w:i/>
        </w:rPr>
        <w:t>Опросник Ахенбаха </w:t>
      </w:r>
      <w:r>
        <w:rPr/>
        <w:t>— это форма отчета-наблюдения за ребенком. Он предлагается</w:t>
      </w:r>
      <w:r>
        <w:rPr>
          <w:spacing w:val="-14"/>
        </w:rPr>
        <w:t> </w:t>
      </w:r>
      <w:r>
        <w:rPr/>
        <w:t>для</w:t>
      </w:r>
      <w:r>
        <w:rPr>
          <w:spacing w:val="-12"/>
        </w:rPr>
        <w:t> </w:t>
      </w:r>
      <w:r>
        <w:rPr/>
        <w:t>заполнения</w:t>
      </w:r>
      <w:r>
        <w:rPr>
          <w:spacing w:val="-14"/>
        </w:rPr>
        <w:t> </w:t>
      </w:r>
      <w:r>
        <w:rPr/>
        <w:t>классному</w:t>
      </w:r>
      <w:r>
        <w:rPr>
          <w:spacing w:val="-14"/>
        </w:rPr>
        <w:t> </w:t>
      </w:r>
      <w:r>
        <w:rPr/>
        <w:t>руководителю,</w:t>
      </w:r>
      <w:r>
        <w:rPr>
          <w:spacing w:val="-13"/>
        </w:rPr>
        <w:t> </w:t>
      </w:r>
      <w:r>
        <w:rPr/>
        <w:t>его</w:t>
      </w:r>
      <w:r>
        <w:rPr>
          <w:spacing w:val="-16"/>
        </w:rPr>
        <w:t> </w:t>
      </w:r>
      <w:r>
        <w:rPr/>
        <w:t>вопросы</w:t>
      </w:r>
      <w:r>
        <w:rPr>
          <w:spacing w:val="-14"/>
        </w:rPr>
        <w:t> </w:t>
      </w:r>
      <w:r>
        <w:rPr/>
        <w:t>нацелены на оценку повторяющихся поведенческих проявлений. Классному руководителю следует заполнять опросник не ранее чем через 1 месяц после зачисления ребенка в класс. Как и при работе с Картой, опросник Ахенбаха рекомендуется заранее показать классному</w:t>
      </w:r>
      <w:r>
        <w:rPr>
          <w:spacing w:val="-1"/>
        </w:rPr>
        <w:t> </w:t>
      </w:r>
      <w:r>
        <w:rPr/>
        <w:t>руководителю,</w:t>
      </w:r>
      <w:r>
        <w:rPr>
          <w:spacing w:val="-1"/>
        </w:rPr>
        <w:t> </w:t>
      </w:r>
      <w:r>
        <w:rPr/>
        <w:t>сориентировав его на</w:t>
      </w:r>
      <w:r>
        <w:rPr>
          <w:spacing w:val="-11"/>
        </w:rPr>
        <w:t> </w:t>
      </w:r>
      <w:r>
        <w:rPr/>
        <w:t>внимательное</w:t>
      </w:r>
      <w:r>
        <w:rPr>
          <w:spacing w:val="-11"/>
        </w:rPr>
        <w:t> </w:t>
      </w:r>
      <w:r>
        <w:rPr/>
        <w:t>наблюдение</w:t>
      </w:r>
      <w:r>
        <w:rPr>
          <w:spacing w:val="-11"/>
        </w:rPr>
        <w:t> </w:t>
      </w:r>
      <w:r>
        <w:rPr/>
        <w:t>за</w:t>
      </w:r>
      <w:r>
        <w:rPr>
          <w:spacing w:val="-11"/>
        </w:rPr>
        <w:t> </w:t>
      </w:r>
      <w:r>
        <w:rPr/>
        <w:t>ребенком.</w:t>
      </w:r>
      <w:r>
        <w:rPr>
          <w:spacing w:val="-11"/>
        </w:rPr>
        <w:t> </w:t>
      </w:r>
      <w:r>
        <w:rPr/>
        <w:t>Опросник</w:t>
      </w:r>
      <w:r>
        <w:rPr>
          <w:spacing w:val="-11"/>
        </w:rPr>
        <w:t> </w:t>
      </w:r>
      <w:r>
        <w:rPr/>
        <w:t>включен</w:t>
      </w:r>
      <w:r>
        <w:rPr>
          <w:spacing w:val="-10"/>
        </w:rPr>
        <w:t> </w:t>
      </w:r>
      <w:r>
        <w:rPr/>
        <w:t>в</w:t>
      </w:r>
      <w:r>
        <w:rPr>
          <w:spacing w:val="-11"/>
        </w:rPr>
        <w:t> </w:t>
      </w:r>
      <w:r>
        <w:rPr/>
        <w:t>расширенный набор, он используется после завершения базовой диагностики при необходимости углубленного анализа. Таким образом, классный руководитель получает для заполнения опросник Ахенбаха, уже имея опыт работы с аналогичной методикой — картой наблюдения «Психологические трудности». Так как опросник Ахенбаха содержит большое количество вопросов, с педагогом необходимо провести мотивационную беседу о важности углубленной диагностики именно с этим ребенком и значимости наблюдений педагога.</w:t>
      </w:r>
    </w:p>
    <w:p>
      <w:pPr>
        <w:pStyle w:val="Heading4"/>
        <w:spacing w:line="276" w:lineRule="auto"/>
        <w:ind w:left="2" w:right="136" w:firstLine="707"/>
      </w:pPr>
      <w:r>
        <w:rPr/>
        <w:t>Опросник нацелен на измерение общей выраженности поведенческих и эмоциональных проблем и позволяет их оценить с высокой степенью точности. Дополнительно он позволяет измерить следующие параметры: замкнутость,</w:t>
      </w:r>
      <w:r>
        <w:rPr>
          <w:spacing w:val="-18"/>
        </w:rPr>
        <w:t> </w:t>
      </w:r>
      <w:r>
        <w:rPr/>
        <w:t>наличие</w:t>
      </w:r>
      <w:r>
        <w:rPr>
          <w:spacing w:val="-17"/>
        </w:rPr>
        <w:t> </w:t>
      </w:r>
      <w:r>
        <w:rPr/>
        <w:t>соматических</w:t>
      </w:r>
      <w:r>
        <w:rPr>
          <w:spacing w:val="-17"/>
        </w:rPr>
        <w:t> </w:t>
      </w:r>
      <w:r>
        <w:rPr/>
        <w:t>проблем,</w:t>
      </w:r>
      <w:r>
        <w:rPr>
          <w:spacing w:val="-18"/>
        </w:rPr>
        <w:t> </w:t>
      </w:r>
      <w:r>
        <w:rPr/>
        <w:t>тревожность</w:t>
      </w:r>
      <w:r>
        <w:rPr>
          <w:spacing w:val="-14"/>
        </w:rPr>
        <w:t> </w:t>
      </w:r>
      <w:r>
        <w:rPr/>
        <w:t>—</w:t>
      </w:r>
      <w:r>
        <w:rPr>
          <w:spacing w:val="-17"/>
        </w:rPr>
        <w:t> </w:t>
      </w:r>
      <w:r>
        <w:rPr/>
        <w:t>депрессивность, социальные трудности, трудности мышления, трудности внимания, делинквентность и агрессивность. Это необходимо для построения дальнейшей коррекционной работы и уточнения направления психологической помощи ребенку-мигранту. При этом важно соотносить данные результаты с показателями диагностики культурной адаптации. Например,</w:t>
      </w:r>
      <w:r>
        <w:rPr>
          <w:spacing w:val="-1"/>
        </w:rPr>
        <w:t> </w:t>
      </w:r>
      <w:r>
        <w:rPr/>
        <w:t>замкнутость</w:t>
      </w:r>
      <w:r>
        <w:rPr>
          <w:spacing w:val="-2"/>
        </w:rPr>
        <w:t> </w:t>
      </w:r>
      <w:r>
        <w:rPr/>
        <w:t>может</w:t>
      </w:r>
      <w:r>
        <w:rPr>
          <w:spacing w:val="-1"/>
        </w:rPr>
        <w:t> </w:t>
      </w:r>
      <w:r>
        <w:rPr/>
        <w:t>быть</w:t>
      </w:r>
      <w:r>
        <w:rPr>
          <w:spacing w:val="-2"/>
        </w:rPr>
        <w:t> </w:t>
      </w:r>
      <w:r>
        <w:rPr/>
        <w:t>связана</w:t>
      </w:r>
      <w:r>
        <w:rPr>
          <w:spacing w:val="-1"/>
        </w:rPr>
        <w:t> </w:t>
      </w:r>
      <w:r>
        <w:rPr/>
        <w:t>с</w:t>
      </w:r>
      <w:r>
        <w:rPr>
          <w:spacing w:val="-1"/>
        </w:rPr>
        <w:t> </w:t>
      </w:r>
      <w:r>
        <w:rPr/>
        <w:t>сепарацией в</w:t>
      </w:r>
      <w:r>
        <w:rPr>
          <w:spacing w:val="-3"/>
        </w:rPr>
        <w:t> </w:t>
      </w:r>
      <w:r>
        <w:rPr/>
        <w:t>новой культурной среде и трудностями контакта с русскоязычными одноклассниками, а соматические проблемы — являться следствием стресса аккультурации. В то же</w:t>
      </w:r>
      <w:r>
        <w:rPr>
          <w:spacing w:val="72"/>
        </w:rPr>
        <w:t> </w:t>
      </w:r>
      <w:r>
        <w:rPr/>
        <w:t>время</w:t>
      </w:r>
      <w:r>
        <w:rPr>
          <w:spacing w:val="72"/>
        </w:rPr>
        <w:t> </w:t>
      </w:r>
      <w:r>
        <w:rPr/>
        <w:t>данные</w:t>
      </w:r>
      <w:r>
        <w:rPr>
          <w:spacing w:val="71"/>
        </w:rPr>
        <w:t> </w:t>
      </w:r>
      <w:r>
        <w:rPr/>
        <w:t>трудности</w:t>
      </w:r>
      <w:r>
        <w:rPr>
          <w:spacing w:val="72"/>
        </w:rPr>
        <w:t> </w:t>
      </w:r>
      <w:r>
        <w:rPr/>
        <w:t>могут</w:t>
      </w:r>
      <w:r>
        <w:rPr>
          <w:spacing w:val="71"/>
        </w:rPr>
        <w:t> </w:t>
      </w:r>
      <w:r>
        <w:rPr/>
        <w:t>носить</w:t>
      </w:r>
      <w:r>
        <w:rPr>
          <w:spacing w:val="70"/>
        </w:rPr>
        <w:t> </w:t>
      </w:r>
      <w:r>
        <w:rPr/>
        <w:t>и</w:t>
      </w:r>
      <w:r>
        <w:rPr>
          <w:spacing w:val="72"/>
        </w:rPr>
        <w:t> </w:t>
      </w:r>
      <w:r>
        <w:rPr/>
        <w:t>универсальный</w:t>
      </w:r>
      <w:r>
        <w:rPr>
          <w:spacing w:val="72"/>
        </w:rPr>
        <w:t> </w:t>
      </w:r>
      <w:r>
        <w:rPr/>
        <w:t>характер:</w:t>
      </w:r>
      <w:r>
        <w:rPr>
          <w:spacing w:val="72"/>
        </w:rPr>
        <w:t> </w:t>
      </w:r>
      <w:r>
        <w:rPr/>
        <w:t>их</w:t>
      </w:r>
    </w:p>
    <w:p>
      <w:pPr>
        <w:pStyle w:val="Heading4"/>
        <w:spacing w:after="0" w:line="276" w:lineRule="auto"/>
        <w:sectPr>
          <w:pgSz w:w="11910" w:h="16840"/>
          <w:pgMar w:header="0" w:footer="954" w:top="1040" w:bottom="1220" w:left="1700" w:right="708"/>
        </w:sectPr>
      </w:pPr>
    </w:p>
    <w:p>
      <w:pPr>
        <w:pStyle w:val="Heading4"/>
        <w:spacing w:line="278" w:lineRule="auto" w:before="67"/>
        <w:ind w:left="2" w:right="142"/>
      </w:pPr>
      <w:r>
        <w:rPr/>
        <w:t>причинами у ребенка-иностранного гражданина могут стать и нарушения развития, и текущая семейная ситуация, и многое другое.</w:t>
      </w:r>
    </w:p>
    <w:p>
      <w:pPr>
        <w:pStyle w:val="Heading4"/>
        <w:spacing w:line="276" w:lineRule="auto"/>
        <w:ind w:left="2" w:right="144" w:firstLine="707"/>
      </w:pPr>
      <w:r>
        <w:rPr/>
        <w:t>Показатели «Выраженность внутренних проблем» и «Выраженность внешних проблем»</w:t>
      </w:r>
      <w:r>
        <w:rPr>
          <w:spacing w:val="-1"/>
        </w:rPr>
        <w:t> </w:t>
      </w:r>
      <w:r>
        <w:rPr/>
        <w:t>являются вспомогательными. Их можно использовать для оценки того, в какой области лежит наибольшее количество трудностей ребенка: во внутренних переживаниях или в сфере взаимодействия с окружающим миром.</w:t>
      </w:r>
    </w:p>
    <w:p>
      <w:pPr>
        <w:pStyle w:val="Heading4"/>
        <w:spacing w:line="276" w:lineRule="auto"/>
        <w:ind w:left="2" w:right="137" w:firstLine="707"/>
      </w:pPr>
      <w:r>
        <w:rPr/>
        <w:t>Методика «</w:t>
      </w:r>
      <w:r>
        <w:rPr>
          <w:i/>
        </w:rPr>
        <w:t>Многомерная шкала удовлетворенности жизнью школьников</w:t>
      </w:r>
      <w:r>
        <w:rPr/>
        <w:t>» проводится только с ребенком-иностранным гражданином, в достаточной степени владеющим русским языком. При наличии у психолога сомнений</w:t>
      </w:r>
      <w:r>
        <w:rPr>
          <w:spacing w:val="-18"/>
        </w:rPr>
        <w:t> </w:t>
      </w:r>
      <w:r>
        <w:rPr/>
        <w:t>в</w:t>
      </w:r>
      <w:r>
        <w:rPr>
          <w:spacing w:val="-17"/>
        </w:rPr>
        <w:t> </w:t>
      </w:r>
      <w:r>
        <w:rPr/>
        <w:t>этом</w:t>
      </w:r>
      <w:r>
        <w:rPr>
          <w:spacing w:val="-18"/>
        </w:rPr>
        <w:t> </w:t>
      </w:r>
      <w:r>
        <w:rPr/>
        <w:t>вопросе</w:t>
      </w:r>
      <w:r>
        <w:rPr>
          <w:spacing w:val="-17"/>
        </w:rPr>
        <w:t> </w:t>
      </w:r>
      <w:r>
        <w:rPr/>
        <w:t>рекомендуется</w:t>
      </w:r>
      <w:r>
        <w:rPr>
          <w:spacing w:val="-18"/>
        </w:rPr>
        <w:t> </w:t>
      </w:r>
      <w:r>
        <w:rPr/>
        <w:t>проконсультироваться</w:t>
      </w:r>
      <w:r>
        <w:rPr>
          <w:spacing w:val="-17"/>
        </w:rPr>
        <w:t> </w:t>
      </w:r>
      <w:r>
        <w:rPr/>
        <w:t>с</w:t>
      </w:r>
      <w:r>
        <w:rPr>
          <w:spacing w:val="-18"/>
        </w:rPr>
        <w:t> </w:t>
      </w:r>
      <w:r>
        <w:rPr/>
        <w:t>педагогом</w:t>
      </w:r>
      <w:r>
        <w:rPr>
          <w:spacing w:val="-17"/>
        </w:rPr>
        <w:t> </w:t>
      </w:r>
      <w:r>
        <w:rPr/>
        <w:t>по русскому языку. Результатом проведения методики является показатель общего уровня удовлетворенности жизнью, а также профиль удовлетворенности различными жизненными сферами. Таким образом, методика</w:t>
      </w:r>
      <w:r>
        <w:rPr>
          <w:spacing w:val="-18"/>
        </w:rPr>
        <w:t> </w:t>
      </w:r>
      <w:r>
        <w:rPr/>
        <w:t>направлена</w:t>
      </w:r>
      <w:r>
        <w:rPr>
          <w:spacing w:val="-14"/>
        </w:rPr>
        <w:t> </w:t>
      </w:r>
      <w:r>
        <w:rPr/>
        <w:t>на</w:t>
      </w:r>
      <w:r>
        <w:rPr>
          <w:spacing w:val="-15"/>
        </w:rPr>
        <w:t> </w:t>
      </w:r>
      <w:r>
        <w:rPr/>
        <w:t>углубленную</w:t>
      </w:r>
      <w:r>
        <w:rPr>
          <w:spacing w:val="-16"/>
        </w:rPr>
        <w:t> </w:t>
      </w:r>
      <w:r>
        <w:rPr/>
        <w:t>оценку</w:t>
      </w:r>
      <w:r>
        <w:rPr>
          <w:spacing w:val="-18"/>
        </w:rPr>
        <w:t> </w:t>
      </w:r>
      <w:r>
        <w:rPr/>
        <w:t>психологического</w:t>
      </w:r>
      <w:r>
        <w:rPr>
          <w:spacing w:val="-16"/>
        </w:rPr>
        <w:t> </w:t>
      </w:r>
      <w:r>
        <w:rPr/>
        <w:t>благополучия ребенка-мигранта. Данные, полученные на этапе базовой диагностики с помощью методики «Рисуночная диагностика психологического благополучия</w:t>
      </w:r>
      <w:r>
        <w:rPr>
          <w:spacing w:val="49"/>
          <w:w w:val="150"/>
        </w:rPr>
        <w:t> </w:t>
      </w:r>
      <w:r>
        <w:rPr/>
        <w:t>ребенка-мигранта»,</w:t>
      </w:r>
      <w:r>
        <w:rPr>
          <w:spacing w:val="50"/>
          <w:w w:val="150"/>
        </w:rPr>
        <w:t> </w:t>
      </w:r>
      <w:r>
        <w:rPr/>
        <w:t>сравниваются</w:t>
      </w:r>
      <w:r>
        <w:rPr>
          <w:spacing w:val="52"/>
          <w:w w:val="150"/>
        </w:rPr>
        <w:t> </w:t>
      </w:r>
      <w:r>
        <w:rPr/>
        <w:t>с</w:t>
      </w:r>
      <w:r>
        <w:rPr>
          <w:spacing w:val="49"/>
          <w:w w:val="150"/>
        </w:rPr>
        <w:t> </w:t>
      </w:r>
      <w:r>
        <w:rPr/>
        <w:t>результатами</w:t>
      </w:r>
      <w:r>
        <w:rPr>
          <w:spacing w:val="52"/>
          <w:w w:val="150"/>
        </w:rPr>
        <w:t> </w:t>
      </w:r>
      <w:r>
        <w:rPr>
          <w:spacing w:val="-2"/>
        </w:rPr>
        <w:t>методики</w:t>
      </w:r>
    </w:p>
    <w:p>
      <w:pPr>
        <w:pStyle w:val="Heading4"/>
        <w:spacing w:line="276" w:lineRule="auto"/>
        <w:ind w:left="2" w:right="139"/>
      </w:pPr>
      <w:r>
        <w:rPr/>
        <w:t>«Многомерная шкала удовлетворенности жизнью школьников», в результате чего осуществляется более точная диагностика выраженности </w:t>
      </w:r>
      <w:r>
        <w:rPr>
          <w:spacing w:val="-2"/>
        </w:rPr>
        <w:t>неблагополучия.</w:t>
      </w:r>
    </w:p>
    <w:p>
      <w:pPr>
        <w:pStyle w:val="Heading4"/>
        <w:spacing w:line="320" w:lineRule="exact"/>
        <w:ind w:left="710"/>
      </w:pPr>
      <w:r>
        <w:rPr/>
        <w:t>Кроме</w:t>
      </w:r>
      <w:r>
        <w:rPr>
          <w:spacing w:val="-6"/>
        </w:rPr>
        <w:t> </w:t>
      </w:r>
      <w:r>
        <w:rPr/>
        <w:t>общей</w:t>
      </w:r>
      <w:r>
        <w:rPr>
          <w:spacing w:val="-3"/>
        </w:rPr>
        <w:t> </w:t>
      </w:r>
      <w:r>
        <w:rPr/>
        <w:t>оценки,</w:t>
      </w:r>
      <w:r>
        <w:rPr>
          <w:spacing w:val="-4"/>
        </w:rPr>
        <w:t> </w:t>
      </w:r>
      <w:r>
        <w:rPr/>
        <w:t>методика</w:t>
      </w:r>
      <w:r>
        <w:rPr>
          <w:spacing w:val="-3"/>
        </w:rPr>
        <w:t> </w:t>
      </w:r>
      <w:r>
        <w:rPr/>
        <w:t>включает</w:t>
      </w:r>
      <w:r>
        <w:rPr>
          <w:spacing w:val="-3"/>
        </w:rPr>
        <w:t> </w:t>
      </w:r>
      <w:r>
        <w:rPr/>
        <w:t>в</w:t>
      </w:r>
      <w:r>
        <w:rPr>
          <w:spacing w:val="-5"/>
        </w:rPr>
        <w:t> </w:t>
      </w:r>
      <w:r>
        <w:rPr/>
        <w:t>себя</w:t>
      </w:r>
      <w:r>
        <w:rPr>
          <w:spacing w:val="-6"/>
        </w:rPr>
        <w:t> </w:t>
      </w:r>
      <w:r>
        <w:rPr/>
        <w:t>пять</w:t>
      </w:r>
      <w:r>
        <w:rPr>
          <w:spacing w:val="-5"/>
        </w:rPr>
        <w:t> </w:t>
      </w:r>
      <w:r>
        <w:rPr>
          <w:spacing w:val="-2"/>
        </w:rPr>
        <w:t>шкал:</w:t>
      </w:r>
    </w:p>
    <w:p>
      <w:pPr>
        <w:pStyle w:val="Heading4"/>
        <w:numPr>
          <w:ilvl w:val="0"/>
          <w:numId w:val="12"/>
        </w:numPr>
        <w:tabs>
          <w:tab w:pos="995" w:val="left" w:leader="none"/>
        </w:tabs>
        <w:spacing w:line="276" w:lineRule="auto" w:before="47" w:after="0"/>
        <w:ind w:left="995" w:right="141" w:hanging="360"/>
        <w:jc w:val="left"/>
      </w:pPr>
      <w:r>
        <w:rPr/>
        <w:t>«Семья»</w:t>
      </w:r>
      <w:r>
        <w:rPr>
          <w:spacing w:val="-18"/>
        </w:rPr>
        <w:t> </w:t>
      </w:r>
      <w:r>
        <w:rPr/>
        <w:t>—</w:t>
      </w:r>
      <w:r>
        <w:rPr>
          <w:spacing w:val="-17"/>
        </w:rPr>
        <w:t> </w:t>
      </w:r>
      <w:r>
        <w:rPr/>
        <w:t>удовлетворенность</w:t>
      </w:r>
      <w:r>
        <w:rPr>
          <w:spacing w:val="-18"/>
        </w:rPr>
        <w:t> </w:t>
      </w:r>
      <w:r>
        <w:rPr/>
        <w:t>респондентов</w:t>
      </w:r>
      <w:r>
        <w:rPr>
          <w:spacing w:val="-17"/>
        </w:rPr>
        <w:t> </w:t>
      </w:r>
      <w:r>
        <w:rPr/>
        <w:t>отношениями</w:t>
      </w:r>
      <w:r>
        <w:rPr>
          <w:spacing w:val="-18"/>
        </w:rPr>
        <w:t> </w:t>
      </w:r>
      <w:r>
        <w:rPr/>
        <w:t>с</w:t>
      </w:r>
      <w:r>
        <w:rPr>
          <w:spacing w:val="-17"/>
        </w:rPr>
        <w:t> </w:t>
      </w:r>
      <w:r>
        <w:rPr/>
        <w:t>членами </w:t>
      </w:r>
      <w:r>
        <w:rPr>
          <w:spacing w:val="-2"/>
        </w:rPr>
        <w:t>семьи.</w:t>
      </w:r>
    </w:p>
    <w:p>
      <w:pPr>
        <w:pStyle w:val="Heading4"/>
        <w:numPr>
          <w:ilvl w:val="0"/>
          <w:numId w:val="12"/>
        </w:numPr>
        <w:tabs>
          <w:tab w:pos="995" w:val="left" w:leader="none"/>
        </w:tabs>
        <w:spacing w:line="276" w:lineRule="auto" w:before="0" w:after="0"/>
        <w:ind w:left="995" w:right="141" w:hanging="360"/>
        <w:jc w:val="left"/>
      </w:pPr>
      <w:r>
        <w:rPr/>
        <w:t>«Школа» — удовлетворенность учащихся школьной жизнью, общее отношение к школе и учебной деятельности.</w:t>
      </w:r>
    </w:p>
    <w:p>
      <w:pPr>
        <w:pStyle w:val="Heading4"/>
        <w:numPr>
          <w:ilvl w:val="0"/>
          <w:numId w:val="12"/>
        </w:numPr>
        <w:tabs>
          <w:tab w:pos="995" w:val="left" w:leader="none"/>
        </w:tabs>
        <w:spacing w:line="240" w:lineRule="auto" w:before="0" w:after="0"/>
        <w:ind w:left="995" w:right="0" w:hanging="360"/>
        <w:jc w:val="left"/>
      </w:pPr>
      <w:r>
        <w:rPr/>
        <w:t>«Друзья»</w:t>
      </w:r>
      <w:r>
        <w:rPr>
          <w:spacing w:val="-8"/>
        </w:rPr>
        <w:t> </w:t>
      </w:r>
      <w:r>
        <w:rPr/>
        <w:t>—</w:t>
      </w:r>
      <w:r>
        <w:rPr>
          <w:spacing w:val="-4"/>
        </w:rPr>
        <w:t> </w:t>
      </w:r>
      <w:r>
        <w:rPr/>
        <w:t>удовлетворенность</w:t>
      </w:r>
      <w:r>
        <w:rPr>
          <w:spacing w:val="-11"/>
        </w:rPr>
        <w:t> </w:t>
      </w:r>
      <w:r>
        <w:rPr/>
        <w:t>отношениями</w:t>
      </w:r>
      <w:r>
        <w:rPr>
          <w:spacing w:val="-6"/>
        </w:rPr>
        <w:t> </w:t>
      </w:r>
      <w:r>
        <w:rPr/>
        <w:t>со</w:t>
      </w:r>
      <w:r>
        <w:rPr>
          <w:spacing w:val="-5"/>
        </w:rPr>
        <w:t> </w:t>
      </w:r>
      <w:r>
        <w:rPr>
          <w:spacing w:val="-2"/>
        </w:rPr>
        <w:t>сверстниками.</w:t>
      </w:r>
    </w:p>
    <w:p>
      <w:pPr>
        <w:pStyle w:val="Heading4"/>
        <w:numPr>
          <w:ilvl w:val="0"/>
          <w:numId w:val="12"/>
        </w:numPr>
        <w:tabs>
          <w:tab w:pos="995" w:val="left" w:leader="none"/>
        </w:tabs>
        <w:spacing w:line="276" w:lineRule="auto" w:before="48" w:after="0"/>
        <w:ind w:left="995" w:right="143" w:hanging="360"/>
        <w:jc w:val="left"/>
      </w:pPr>
      <w:r>
        <w:rPr/>
        <w:t>«Я</w:t>
      </w:r>
      <w:r>
        <w:rPr>
          <w:spacing w:val="40"/>
        </w:rPr>
        <w:t> </w:t>
      </w:r>
      <w:r>
        <w:rPr/>
        <w:t>сам»</w:t>
      </w:r>
      <w:r>
        <w:rPr>
          <w:spacing w:val="40"/>
        </w:rPr>
        <w:t> </w:t>
      </w:r>
      <w:r>
        <w:rPr/>
        <w:t>—</w:t>
      </w:r>
      <w:r>
        <w:rPr>
          <w:spacing w:val="40"/>
        </w:rPr>
        <w:t> </w:t>
      </w:r>
      <w:r>
        <w:rPr/>
        <w:t>удовлетворенность</w:t>
      </w:r>
      <w:r>
        <w:rPr>
          <w:spacing w:val="40"/>
        </w:rPr>
        <w:t> </w:t>
      </w:r>
      <w:r>
        <w:rPr/>
        <w:t>самим</w:t>
      </w:r>
      <w:r>
        <w:rPr>
          <w:spacing w:val="40"/>
        </w:rPr>
        <w:t> </w:t>
      </w:r>
      <w:r>
        <w:rPr/>
        <w:t>собой,</w:t>
      </w:r>
      <w:r>
        <w:rPr>
          <w:spacing w:val="40"/>
        </w:rPr>
        <w:t> </w:t>
      </w:r>
      <w:r>
        <w:rPr/>
        <w:t>уровнем</w:t>
      </w:r>
      <w:r>
        <w:rPr>
          <w:spacing w:val="40"/>
        </w:rPr>
        <w:t> </w:t>
      </w:r>
      <w:r>
        <w:rPr/>
        <w:t>позитивного отношения к себе, мнением других людей о себе.</w:t>
      </w:r>
    </w:p>
    <w:p>
      <w:pPr>
        <w:pStyle w:val="Heading4"/>
        <w:numPr>
          <w:ilvl w:val="0"/>
          <w:numId w:val="12"/>
        </w:numPr>
        <w:tabs>
          <w:tab w:pos="995" w:val="left" w:leader="none"/>
        </w:tabs>
        <w:spacing w:line="276" w:lineRule="auto" w:before="1" w:after="0"/>
        <w:ind w:left="2" w:right="140" w:firstLine="633"/>
        <w:jc w:val="right"/>
      </w:pPr>
      <w:r>
        <w:rPr/>
        <w:t>«Учителя»</w:t>
      </w:r>
      <w:r>
        <w:rPr>
          <w:spacing w:val="-2"/>
        </w:rPr>
        <w:t> </w:t>
      </w:r>
      <w:r>
        <w:rPr/>
        <w:t>—</w:t>
      </w:r>
      <w:r>
        <w:rPr>
          <w:spacing w:val="-2"/>
        </w:rPr>
        <w:t> </w:t>
      </w:r>
      <w:r>
        <w:rPr/>
        <w:t>удовлетворенность</w:t>
      </w:r>
      <w:r>
        <w:rPr>
          <w:spacing w:val="-2"/>
        </w:rPr>
        <w:t> </w:t>
      </w:r>
      <w:r>
        <w:rPr/>
        <w:t>ребенка</w:t>
      </w:r>
      <w:r>
        <w:rPr>
          <w:spacing w:val="-1"/>
        </w:rPr>
        <w:t> </w:t>
      </w:r>
      <w:r>
        <w:rPr/>
        <w:t>отношениями</w:t>
      </w:r>
      <w:r>
        <w:rPr>
          <w:spacing w:val="-1"/>
        </w:rPr>
        <w:t> </w:t>
      </w:r>
      <w:r>
        <w:rPr/>
        <w:t>с</w:t>
      </w:r>
      <w:r>
        <w:rPr>
          <w:spacing w:val="-2"/>
        </w:rPr>
        <w:t> </w:t>
      </w:r>
      <w:r>
        <w:rPr/>
        <w:t>учителями. Каждая из шкал дает понимание направления коррекционной работы по улучшению</w:t>
      </w:r>
      <w:r>
        <w:rPr>
          <w:spacing w:val="36"/>
        </w:rPr>
        <w:t> </w:t>
      </w:r>
      <w:r>
        <w:rPr/>
        <w:t>психологического</w:t>
      </w:r>
      <w:r>
        <w:rPr>
          <w:spacing w:val="38"/>
        </w:rPr>
        <w:t> </w:t>
      </w:r>
      <w:r>
        <w:rPr/>
        <w:t>благополучия.</w:t>
      </w:r>
      <w:r>
        <w:rPr>
          <w:spacing w:val="37"/>
        </w:rPr>
        <w:t> </w:t>
      </w:r>
      <w:r>
        <w:rPr/>
        <w:t>Например,</w:t>
      </w:r>
      <w:r>
        <w:rPr>
          <w:spacing w:val="37"/>
        </w:rPr>
        <w:t> </w:t>
      </w:r>
      <w:r>
        <w:rPr/>
        <w:t>если</w:t>
      </w:r>
      <w:r>
        <w:rPr>
          <w:spacing w:val="37"/>
        </w:rPr>
        <w:t> </w:t>
      </w:r>
      <w:r>
        <w:rPr/>
        <w:t>самые</w:t>
      </w:r>
      <w:r>
        <w:rPr>
          <w:spacing w:val="37"/>
        </w:rPr>
        <w:t> </w:t>
      </w:r>
      <w:r>
        <w:rPr/>
        <w:t>низкие баллы у ребенка-иностранного гражданина по шкале «Школа» и «Учителя», это</w:t>
      </w:r>
      <w:r>
        <w:rPr>
          <w:spacing w:val="-18"/>
        </w:rPr>
        <w:t> </w:t>
      </w:r>
      <w:r>
        <w:rPr/>
        <w:t>говорит</w:t>
      </w:r>
      <w:r>
        <w:rPr>
          <w:spacing w:val="-18"/>
        </w:rPr>
        <w:t> </w:t>
      </w:r>
      <w:r>
        <w:rPr/>
        <w:t>о</w:t>
      </w:r>
      <w:r>
        <w:rPr>
          <w:spacing w:val="-17"/>
        </w:rPr>
        <w:t> </w:t>
      </w:r>
      <w:r>
        <w:rPr/>
        <w:t>необходимости</w:t>
      </w:r>
      <w:r>
        <w:rPr>
          <w:spacing w:val="-19"/>
        </w:rPr>
        <w:t> </w:t>
      </w:r>
      <w:r>
        <w:rPr/>
        <w:t>работы</w:t>
      </w:r>
      <w:r>
        <w:rPr>
          <w:spacing w:val="-18"/>
        </w:rPr>
        <w:t> </w:t>
      </w:r>
      <w:r>
        <w:rPr/>
        <w:t>по</w:t>
      </w:r>
      <w:r>
        <w:rPr>
          <w:spacing w:val="-19"/>
        </w:rPr>
        <w:t> </w:t>
      </w:r>
      <w:r>
        <w:rPr/>
        <w:t>поддержке</w:t>
      </w:r>
      <w:r>
        <w:rPr>
          <w:spacing w:val="-17"/>
        </w:rPr>
        <w:t> </w:t>
      </w:r>
      <w:r>
        <w:rPr/>
        <w:t>адаптации</w:t>
      </w:r>
      <w:r>
        <w:rPr>
          <w:spacing w:val="-18"/>
        </w:rPr>
        <w:t> </w:t>
      </w:r>
      <w:r>
        <w:rPr/>
        <w:t>в</w:t>
      </w:r>
      <w:r>
        <w:rPr>
          <w:spacing w:val="-18"/>
        </w:rPr>
        <w:t> </w:t>
      </w:r>
      <w:r>
        <w:rPr/>
        <w:t>школе.</w:t>
      </w:r>
      <w:r>
        <w:rPr>
          <w:spacing w:val="-18"/>
        </w:rPr>
        <w:t> </w:t>
      </w:r>
      <w:r>
        <w:rPr/>
        <w:t>Низкие баллы</w:t>
      </w:r>
      <w:r>
        <w:rPr>
          <w:spacing w:val="-12"/>
        </w:rPr>
        <w:t> </w:t>
      </w:r>
      <w:r>
        <w:rPr/>
        <w:t>по</w:t>
      </w:r>
      <w:r>
        <w:rPr>
          <w:spacing w:val="-9"/>
        </w:rPr>
        <w:t> </w:t>
      </w:r>
      <w:r>
        <w:rPr/>
        <w:t>шкале</w:t>
      </w:r>
      <w:r>
        <w:rPr>
          <w:spacing w:val="-9"/>
        </w:rPr>
        <w:t> </w:t>
      </w:r>
      <w:r>
        <w:rPr/>
        <w:t>«Я</w:t>
      </w:r>
      <w:r>
        <w:rPr>
          <w:spacing w:val="-8"/>
        </w:rPr>
        <w:t> </w:t>
      </w:r>
      <w:r>
        <w:rPr/>
        <w:t>сам»</w:t>
      </w:r>
      <w:r>
        <w:rPr>
          <w:spacing w:val="-10"/>
        </w:rPr>
        <w:t> </w:t>
      </w:r>
      <w:r>
        <w:rPr/>
        <w:t>говорят</w:t>
      </w:r>
      <w:r>
        <w:rPr>
          <w:spacing w:val="-10"/>
        </w:rPr>
        <w:t> </w:t>
      </w:r>
      <w:r>
        <w:rPr/>
        <w:t>о</w:t>
      </w:r>
      <w:r>
        <w:rPr>
          <w:spacing w:val="-9"/>
        </w:rPr>
        <w:t> </w:t>
      </w:r>
      <w:r>
        <w:rPr/>
        <w:t>необходимости</w:t>
      </w:r>
      <w:r>
        <w:rPr>
          <w:spacing w:val="-9"/>
        </w:rPr>
        <w:t> </w:t>
      </w:r>
      <w:r>
        <w:rPr/>
        <w:t>индивидуальной</w:t>
      </w:r>
      <w:r>
        <w:rPr>
          <w:spacing w:val="-9"/>
        </w:rPr>
        <w:t> </w:t>
      </w:r>
      <w:r>
        <w:rPr/>
        <w:t>работы</w:t>
      </w:r>
      <w:r>
        <w:rPr>
          <w:spacing w:val="-9"/>
        </w:rPr>
        <w:t> </w:t>
      </w:r>
      <w:r>
        <w:rPr>
          <w:spacing w:val="-5"/>
        </w:rPr>
        <w:t>по</w:t>
      </w:r>
    </w:p>
    <w:p>
      <w:pPr>
        <w:pStyle w:val="Heading4"/>
        <w:spacing w:line="321" w:lineRule="exact"/>
        <w:ind w:left="2"/>
      </w:pPr>
      <w:r>
        <w:rPr/>
        <w:t>развитию</w:t>
      </w:r>
      <w:r>
        <w:rPr>
          <w:spacing w:val="-7"/>
        </w:rPr>
        <w:t> </w:t>
      </w:r>
      <w:r>
        <w:rPr>
          <w:spacing w:val="-2"/>
        </w:rPr>
        <w:t>самопринятия.</w:t>
      </w:r>
    </w:p>
    <w:p>
      <w:pPr>
        <w:spacing w:line="276" w:lineRule="auto" w:before="50"/>
        <w:ind w:left="2" w:right="136" w:firstLine="707"/>
        <w:jc w:val="both"/>
        <w:rPr>
          <w:sz w:val="28"/>
        </w:rPr>
      </w:pPr>
      <w:r>
        <w:rPr>
          <w:i/>
          <w:sz w:val="28"/>
        </w:rPr>
        <w:t>Детский тест психологической устойчивости </w:t>
      </w:r>
      <w:r>
        <w:rPr>
          <w:sz w:val="28"/>
        </w:rPr>
        <w:t>— дополнительная методика в расширенном наборе. Если целью является только точное определение</w:t>
      </w:r>
      <w:r>
        <w:rPr>
          <w:spacing w:val="80"/>
          <w:w w:val="150"/>
          <w:sz w:val="28"/>
        </w:rPr>
        <w:t>  </w:t>
      </w:r>
      <w:r>
        <w:rPr>
          <w:sz w:val="28"/>
        </w:rPr>
        <w:t>уровня</w:t>
      </w:r>
      <w:r>
        <w:rPr>
          <w:spacing w:val="80"/>
          <w:w w:val="150"/>
          <w:sz w:val="28"/>
        </w:rPr>
        <w:t>  </w:t>
      </w:r>
      <w:r>
        <w:rPr>
          <w:sz w:val="28"/>
        </w:rPr>
        <w:t>психологического</w:t>
      </w:r>
      <w:r>
        <w:rPr>
          <w:spacing w:val="80"/>
          <w:w w:val="150"/>
          <w:sz w:val="28"/>
        </w:rPr>
        <w:t>  </w:t>
      </w:r>
      <w:r>
        <w:rPr>
          <w:sz w:val="28"/>
        </w:rPr>
        <w:t>благополучия/неблагополучия</w:t>
      </w:r>
    </w:p>
    <w:p>
      <w:pPr>
        <w:spacing w:after="0" w:line="276" w:lineRule="auto"/>
        <w:jc w:val="both"/>
        <w:rPr>
          <w:sz w:val="28"/>
        </w:rPr>
        <w:sectPr>
          <w:pgSz w:w="11910" w:h="16840"/>
          <w:pgMar w:header="0" w:footer="954" w:top="1040" w:bottom="1220" w:left="1700" w:right="708"/>
        </w:sectPr>
      </w:pPr>
    </w:p>
    <w:p>
      <w:pPr>
        <w:pStyle w:val="Heading4"/>
        <w:spacing w:before="67"/>
        <w:ind w:left="2"/>
      </w:pPr>
      <w:r>
        <w:rPr/>
        <w:t>ребенка,</w:t>
      </w:r>
      <w:r>
        <w:rPr>
          <w:spacing w:val="47"/>
        </w:rPr>
        <w:t> </w:t>
      </w:r>
      <w:r>
        <w:rPr/>
        <w:t>эту</w:t>
      </w:r>
      <w:r>
        <w:rPr>
          <w:spacing w:val="44"/>
        </w:rPr>
        <w:t> </w:t>
      </w:r>
      <w:r>
        <w:rPr/>
        <w:t>методику</w:t>
      </w:r>
      <w:r>
        <w:rPr>
          <w:spacing w:val="45"/>
        </w:rPr>
        <w:t> </w:t>
      </w:r>
      <w:r>
        <w:rPr/>
        <w:t>проводить</w:t>
      </w:r>
      <w:r>
        <w:rPr>
          <w:spacing w:val="48"/>
        </w:rPr>
        <w:t> </w:t>
      </w:r>
      <w:r>
        <w:rPr/>
        <w:t>не</w:t>
      </w:r>
      <w:r>
        <w:rPr>
          <w:spacing w:val="46"/>
        </w:rPr>
        <w:t> </w:t>
      </w:r>
      <w:r>
        <w:rPr/>
        <w:t>нужно.</w:t>
      </w:r>
      <w:r>
        <w:rPr>
          <w:spacing w:val="47"/>
        </w:rPr>
        <w:t> </w:t>
      </w:r>
      <w:r>
        <w:rPr/>
        <w:t>Она</w:t>
      </w:r>
      <w:r>
        <w:rPr>
          <w:spacing w:val="49"/>
        </w:rPr>
        <w:t> </w:t>
      </w:r>
      <w:r>
        <w:rPr/>
        <w:t>направлена</w:t>
      </w:r>
      <w:r>
        <w:rPr>
          <w:spacing w:val="49"/>
        </w:rPr>
        <w:t> </w:t>
      </w:r>
      <w:r>
        <w:rPr/>
        <w:t>на</w:t>
      </w:r>
      <w:r>
        <w:rPr>
          <w:spacing w:val="49"/>
        </w:rPr>
        <w:t> </w:t>
      </w:r>
      <w:r>
        <w:rPr>
          <w:spacing w:val="-2"/>
        </w:rPr>
        <w:t>измерение</w:t>
      </w:r>
    </w:p>
    <w:p>
      <w:pPr>
        <w:pStyle w:val="Heading4"/>
        <w:spacing w:line="276" w:lineRule="auto" w:before="51"/>
        <w:ind w:left="2" w:right="134"/>
      </w:pPr>
      <w:r>
        <w:rPr/>
        <w:t>«социально-экологической устойчивости»</w:t>
      </w:r>
      <w:r>
        <w:rPr>
          <w:vertAlign w:val="superscript"/>
        </w:rPr>
        <w:t>3</w:t>
      </w:r>
      <w:r>
        <w:rPr>
          <w:vertAlign w:val="baseline"/>
        </w:rPr>
        <w:t>. Методика позволяет измерить способность ребенка к эффективному социальному взаимодействию с целью получения</w:t>
      </w:r>
      <w:r>
        <w:rPr>
          <w:spacing w:val="-1"/>
          <w:vertAlign w:val="baseline"/>
        </w:rPr>
        <w:t> </w:t>
      </w:r>
      <w:r>
        <w:rPr>
          <w:vertAlign w:val="baseline"/>
        </w:rPr>
        <w:t>значимых</w:t>
      </w:r>
      <w:r>
        <w:rPr>
          <w:spacing w:val="-1"/>
          <w:vertAlign w:val="baseline"/>
        </w:rPr>
        <w:t> </w:t>
      </w:r>
      <w:r>
        <w:rPr>
          <w:vertAlign w:val="baseline"/>
        </w:rPr>
        <w:t>для</w:t>
      </w:r>
      <w:r>
        <w:rPr>
          <w:spacing w:val="-4"/>
          <w:vertAlign w:val="baseline"/>
        </w:rPr>
        <w:t> </w:t>
      </w:r>
      <w:r>
        <w:rPr>
          <w:vertAlign w:val="baseline"/>
        </w:rPr>
        <w:t>него</w:t>
      </w:r>
      <w:r>
        <w:rPr>
          <w:spacing w:val="-2"/>
          <w:vertAlign w:val="baseline"/>
        </w:rPr>
        <w:t> </w:t>
      </w:r>
      <w:r>
        <w:rPr>
          <w:vertAlign w:val="baseline"/>
        </w:rPr>
        <w:t>ресурсов</w:t>
      </w:r>
      <w:r>
        <w:rPr>
          <w:spacing w:val="-4"/>
          <w:vertAlign w:val="baseline"/>
        </w:rPr>
        <w:t> </w:t>
      </w:r>
      <w:r>
        <w:rPr>
          <w:vertAlign w:val="baseline"/>
        </w:rPr>
        <w:t>и</w:t>
      </w:r>
      <w:r>
        <w:rPr>
          <w:spacing w:val="-1"/>
          <w:vertAlign w:val="baseline"/>
        </w:rPr>
        <w:t> </w:t>
      </w:r>
      <w:r>
        <w:rPr>
          <w:vertAlign w:val="baseline"/>
        </w:rPr>
        <w:t>поддержки</w:t>
      </w:r>
      <w:r>
        <w:rPr>
          <w:spacing w:val="-1"/>
          <w:vertAlign w:val="baseline"/>
        </w:rPr>
        <w:t> </w:t>
      </w:r>
      <w:r>
        <w:rPr>
          <w:vertAlign w:val="baseline"/>
        </w:rPr>
        <w:t>в</w:t>
      </w:r>
      <w:r>
        <w:rPr>
          <w:spacing w:val="-2"/>
          <w:vertAlign w:val="baseline"/>
        </w:rPr>
        <w:t> </w:t>
      </w:r>
      <w:r>
        <w:rPr>
          <w:vertAlign w:val="baseline"/>
        </w:rPr>
        <w:t>стрессовых</w:t>
      </w:r>
      <w:r>
        <w:rPr>
          <w:spacing w:val="-1"/>
          <w:vertAlign w:val="baseline"/>
        </w:rPr>
        <w:t> </w:t>
      </w:r>
      <w:r>
        <w:rPr>
          <w:vertAlign w:val="baseline"/>
        </w:rPr>
        <w:t>ситуациях. Ребенок, обладающий высокими показателями устойчивости, способен к успешному поиску психологических ресурсов и управлению ценными для него ресурсами, полученными от социального окружения.</w:t>
      </w:r>
    </w:p>
    <w:p>
      <w:pPr>
        <w:pStyle w:val="Heading4"/>
        <w:spacing w:line="276" w:lineRule="auto"/>
        <w:ind w:left="2" w:right="138" w:firstLine="707"/>
      </w:pPr>
      <w:r>
        <w:rPr/>
        <w:t>Данная методика рекомендуется к использованию для оценки эффективности психологического сопровождения в области психологического благополучия. Дело в том, что текущая диагностика удовлетворенности жизнью сильно зависит от характеристики ситуации. Более</w:t>
      </w:r>
      <w:r>
        <w:rPr>
          <w:spacing w:val="-18"/>
        </w:rPr>
        <w:t> </w:t>
      </w:r>
      <w:r>
        <w:rPr/>
        <w:t>того,</w:t>
      </w:r>
      <w:r>
        <w:rPr>
          <w:spacing w:val="-17"/>
        </w:rPr>
        <w:t> </w:t>
      </w:r>
      <w:r>
        <w:rPr/>
        <w:t>ощущение</w:t>
      </w:r>
      <w:r>
        <w:rPr>
          <w:spacing w:val="-18"/>
        </w:rPr>
        <w:t> </w:t>
      </w:r>
      <w:r>
        <w:rPr/>
        <w:t>неудовлетворенности</w:t>
      </w:r>
      <w:r>
        <w:rPr>
          <w:spacing w:val="-17"/>
        </w:rPr>
        <w:t> </w:t>
      </w:r>
      <w:r>
        <w:rPr/>
        <w:t>определенными</w:t>
      </w:r>
      <w:r>
        <w:rPr>
          <w:spacing w:val="-18"/>
        </w:rPr>
        <w:t> </w:t>
      </w:r>
      <w:r>
        <w:rPr/>
        <w:t>аспектами</w:t>
      </w:r>
      <w:r>
        <w:rPr>
          <w:spacing w:val="-17"/>
        </w:rPr>
        <w:t> </w:t>
      </w:r>
      <w:r>
        <w:rPr/>
        <w:t>жизни является вполне нормативным. Для обеспечения психического здоровья ребенка</w:t>
      </w:r>
      <w:r>
        <w:rPr>
          <w:spacing w:val="-18"/>
        </w:rPr>
        <w:t> </w:t>
      </w:r>
      <w:r>
        <w:rPr/>
        <w:t>важнее</w:t>
      </w:r>
      <w:r>
        <w:rPr>
          <w:spacing w:val="-17"/>
        </w:rPr>
        <w:t> </w:t>
      </w:r>
      <w:r>
        <w:rPr/>
        <w:t>наличие</w:t>
      </w:r>
      <w:r>
        <w:rPr>
          <w:spacing w:val="-18"/>
        </w:rPr>
        <w:t> </w:t>
      </w:r>
      <w:r>
        <w:rPr/>
        <w:t>у</w:t>
      </w:r>
      <w:r>
        <w:rPr>
          <w:spacing w:val="-17"/>
        </w:rPr>
        <w:t> </w:t>
      </w:r>
      <w:r>
        <w:rPr/>
        <w:t>него</w:t>
      </w:r>
      <w:r>
        <w:rPr>
          <w:spacing w:val="-17"/>
        </w:rPr>
        <w:t> </w:t>
      </w:r>
      <w:r>
        <w:rPr/>
        <w:t>способностей</w:t>
      </w:r>
      <w:r>
        <w:rPr>
          <w:spacing w:val="-17"/>
        </w:rPr>
        <w:t> </w:t>
      </w:r>
      <w:r>
        <w:rPr/>
        <w:t>совладать</w:t>
      </w:r>
      <w:r>
        <w:rPr>
          <w:spacing w:val="-18"/>
        </w:rPr>
        <w:t> </w:t>
      </w:r>
      <w:r>
        <w:rPr/>
        <w:t>с</w:t>
      </w:r>
      <w:r>
        <w:rPr>
          <w:spacing w:val="-17"/>
        </w:rPr>
        <w:t> </w:t>
      </w:r>
      <w:r>
        <w:rPr/>
        <w:t>ситуациями,</w:t>
      </w:r>
      <w:r>
        <w:rPr>
          <w:spacing w:val="-17"/>
        </w:rPr>
        <w:t> </w:t>
      </w:r>
      <w:r>
        <w:rPr/>
        <w:t>которые могут оказывать неблагоприятное воздействие на психологическое благополучие. Ключевым фактором здесь является психологическая устойчивость.</w:t>
      </w:r>
      <w:r>
        <w:rPr>
          <w:spacing w:val="-18"/>
        </w:rPr>
        <w:t> </w:t>
      </w:r>
      <w:r>
        <w:rPr/>
        <w:t>Соответственно,</w:t>
      </w:r>
      <w:r>
        <w:rPr>
          <w:spacing w:val="-17"/>
        </w:rPr>
        <w:t> </w:t>
      </w:r>
      <w:r>
        <w:rPr/>
        <w:t>эффективное</w:t>
      </w:r>
      <w:r>
        <w:rPr>
          <w:spacing w:val="-18"/>
        </w:rPr>
        <w:t> </w:t>
      </w:r>
      <w:r>
        <w:rPr/>
        <w:t>психологическое</w:t>
      </w:r>
      <w:r>
        <w:rPr>
          <w:spacing w:val="-17"/>
        </w:rPr>
        <w:t> </w:t>
      </w:r>
      <w:r>
        <w:rPr/>
        <w:t>сопровождение ребенка-иностранного гражданина должно развивать его психологическую устойчивость. Главная цель работы психологической службы в этом направлении — достижение каждым ребенком-иностранным гражданином высокого показателя устойчивости.</w:t>
      </w:r>
    </w:p>
    <w:p>
      <w:pPr>
        <w:pStyle w:val="Heading3"/>
        <w:spacing w:before="246"/>
        <w:ind w:left="2"/>
      </w:pPr>
      <w:r>
        <w:rPr/>
        <w:t>Средняя</w:t>
      </w:r>
      <w:r>
        <w:rPr>
          <w:spacing w:val="-7"/>
        </w:rPr>
        <w:t> </w:t>
      </w:r>
      <w:r>
        <w:rPr>
          <w:spacing w:val="-4"/>
        </w:rPr>
        <w:t>школа</w:t>
      </w:r>
    </w:p>
    <w:p>
      <w:pPr>
        <w:spacing w:before="242"/>
        <w:ind w:left="710" w:right="0" w:firstLine="0"/>
        <w:jc w:val="left"/>
        <w:rPr>
          <w:sz w:val="28"/>
        </w:rPr>
      </w:pPr>
      <w:r>
        <w:rPr>
          <w:sz w:val="28"/>
        </w:rPr>
        <w:t>В</w:t>
      </w:r>
      <w:r>
        <w:rPr>
          <w:spacing w:val="-9"/>
          <w:sz w:val="28"/>
        </w:rPr>
        <w:t> </w:t>
      </w:r>
      <w:r>
        <w:rPr>
          <w:b/>
          <w:sz w:val="28"/>
        </w:rPr>
        <w:t>базовый</w:t>
      </w:r>
      <w:r>
        <w:rPr>
          <w:b/>
          <w:spacing w:val="-6"/>
          <w:sz w:val="28"/>
        </w:rPr>
        <w:t> </w:t>
      </w:r>
      <w:r>
        <w:rPr>
          <w:b/>
          <w:sz w:val="28"/>
        </w:rPr>
        <w:t>набор</w:t>
      </w:r>
      <w:r>
        <w:rPr>
          <w:b/>
          <w:spacing w:val="-6"/>
          <w:sz w:val="28"/>
        </w:rPr>
        <w:t> </w:t>
      </w:r>
      <w:r>
        <w:rPr>
          <w:sz w:val="28"/>
        </w:rPr>
        <w:t>диагностики</w:t>
      </w:r>
      <w:r>
        <w:rPr>
          <w:spacing w:val="-5"/>
          <w:sz w:val="28"/>
        </w:rPr>
        <w:t> </w:t>
      </w:r>
      <w:r>
        <w:rPr>
          <w:sz w:val="28"/>
        </w:rPr>
        <w:t>для</w:t>
      </w:r>
      <w:r>
        <w:rPr>
          <w:spacing w:val="-5"/>
          <w:sz w:val="28"/>
        </w:rPr>
        <w:t> </w:t>
      </w:r>
      <w:r>
        <w:rPr>
          <w:sz w:val="28"/>
        </w:rPr>
        <w:t>средней</w:t>
      </w:r>
      <w:r>
        <w:rPr>
          <w:spacing w:val="-4"/>
          <w:sz w:val="28"/>
        </w:rPr>
        <w:t> </w:t>
      </w:r>
      <w:r>
        <w:rPr>
          <w:sz w:val="28"/>
        </w:rPr>
        <w:t>школы</w:t>
      </w:r>
      <w:r>
        <w:rPr>
          <w:spacing w:val="-5"/>
          <w:sz w:val="28"/>
        </w:rPr>
        <w:t> </w:t>
      </w:r>
      <w:r>
        <w:rPr>
          <w:spacing w:val="-2"/>
          <w:sz w:val="28"/>
        </w:rPr>
        <w:t>входят:</w:t>
      </w:r>
    </w:p>
    <w:p>
      <w:pPr>
        <w:pStyle w:val="Heading4"/>
        <w:numPr>
          <w:ilvl w:val="1"/>
          <w:numId w:val="12"/>
        </w:numPr>
        <w:tabs>
          <w:tab w:pos="1702" w:val="left" w:leader="none"/>
        </w:tabs>
        <w:spacing w:line="240" w:lineRule="auto" w:before="48" w:after="0"/>
        <w:ind w:left="1702" w:right="0" w:hanging="359"/>
        <w:jc w:val="left"/>
      </w:pPr>
      <w:r>
        <w:rPr/>
        <w:t>Карта</w:t>
      </w:r>
      <w:r>
        <w:rPr>
          <w:spacing w:val="-12"/>
        </w:rPr>
        <w:t> </w:t>
      </w:r>
      <w:r>
        <w:rPr/>
        <w:t>наблюдения</w:t>
      </w:r>
      <w:r>
        <w:rPr>
          <w:spacing w:val="-8"/>
        </w:rPr>
        <w:t> </w:t>
      </w:r>
      <w:r>
        <w:rPr/>
        <w:t>«Психологические</w:t>
      </w:r>
      <w:r>
        <w:rPr>
          <w:spacing w:val="-8"/>
        </w:rPr>
        <w:t> </w:t>
      </w:r>
      <w:r>
        <w:rPr>
          <w:spacing w:val="-2"/>
        </w:rPr>
        <w:t>трудности».</w:t>
      </w:r>
    </w:p>
    <w:p>
      <w:pPr>
        <w:pStyle w:val="Heading4"/>
        <w:numPr>
          <w:ilvl w:val="1"/>
          <w:numId w:val="12"/>
        </w:numPr>
        <w:tabs>
          <w:tab w:pos="1703" w:val="left" w:leader="none"/>
        </w:tabs>
        <w:spacing w:line="264" w:lineRule="auto" w:before="35" w:after="0"/>
        <w:ind w:left="1703" w:right="137" w:hanging="360"/>
        <w:jc w:val="left"/>
      </w:pPr>
      <w:r>
        <w:rPr/>
        <w:t>Шкала</w:t>
      </w:r>
      <w:r>
        <w:rPr>
          <w:spacing w:val="40"/>
        </w:rPr>
        <w:t> </w:t>
      </w:r>
      <w:r>
        <w:rPr/>
        <w:t>психологического</w:t>
      </w:r>
      <w:r>
        <w:rPr>
          <w:spacing w:val="40"/>
        </w:rPr>
        <w:t> </w:t>
      </w:r>
      <w:r>
        <w:rPr/>
        <w:t>благополучия</w:t>
      </w:r>
      <w:r>
        <w:rPr>
          <w:spacing w:val="40"/>
        </w:rPr>
        <w:t> </w:t>
      </w:r>
      <w:r>
        <w:rPr/>
        <w:t>Уорик–Эдинбург</w:t>
      </w:r>
      <w:r>
        <w:rPr>
          <w:spacing w:val="40"/>
        </w:rPr>
        <w:t> </w:t>
      </w:r>
      <w:r>
        <w:rPr/>
        <w:t>или Рисуночная диагностика субъективного благополучия.</w:t>
      </w:r>
    </w:p>
    <w:p>
      <w:pPr>
        <w:pStyle w:val="Heading4"/>
        <w:spacing w:line="276" w:lineRule="auto" w:before="254"/>
        <w:ind w:left="2" w:right="139" w:firstLine="707"/>
      </w:pPr>
      <w:r>
        <w:rPr/>
        <w:t>Базовый набор диагностики психологического благополучия для средней</w:t>
      </w:r>
      <w:r>
        <w:rPr>
          <w:spacing w:val="-17"/>
        </w:rPr>
        <w:t> </w:t>
      </w:r>
      <w:r>
        <w:rPr/>
        <w:t>школы</w:t>
      </w:r>
      <w:r>
        <w:rPr>
          <w:spacing w:val="-17"/>
        </w:rPr>
        <w:t> </w:t>
      </w:r>
      <w:r>
        <w:rPr/>
        <w:t>построен</w:t>
      </w:r>
      <w:r>
        <w:rPr>
          <w:spacing w:val="-16"/>
        </w:rPr>
        <w:t> </w:t>
      </w:r>
      <w:r>
        <w:rPr/>
        <w:t>на</w:t>
      </w:r>
      <w:r>
        <w:rPr>
          <w:spacing w:val="-16"/>
        </w:rPr>
        <w:t> </w:t>
      </w:r>
      <w:r>
        <w:rPr/>
        <w:t>представлении,</w:t>
      </w:r>
      <w:r>
        <w:rPr>
          <w:spacing w:val="-16"/>
        </w:rPr>
        <w:t> </w:t>
      </w:r>
      <w:r>
        <w:rPr/>
        <w:t>что</w:t>
      </w:r>
      <w:r>
        <w:rPr>
          <w:spacing w:val="-15"/>
        </w:rPr>
        <w:t> </w:t>
      </w:r>
      <w:r>
        <w:rPr/>
        <w:t>языковые</w:t>
      </w:r>
      <w:r>
        <w:rPr>
          <w:spacing w:val="-18"/>
        </w:rPr>
        <w:t> </w:t>
      </w:r>
      <w:r>
        <w:rPr/>
        <w:t>навыки</w:t>
      </w:r>
      <w:r>
        <w:rPr>
          <w:spacing w:val="-14"/>
        </w:rPr>
        <w:t> </w:t>
      </w:r>
      <w:r>
        <w:rPr/>
        <w:t>у</w:t>
      </w:r>
      <w:r>
        <w:rPr>
          <w:spacing w:val="-18"/>
        </w:rPr>
        <w:t> </w:t>
      </w:r>
      <w:r>
        <w:rPr/>
        <w:t>некоторых детей-иностранных</w:t>
      </w:r>
      <w:r>
        <w:rPr>
          <w:spacing w:val="-11"/>
        </w:rPr>
        <w:t> </w:t>
      </w:r>
      <w:r>
        <w:rPr/>
        <w:t>граждан</w:t>
      </w:r>
      <w:r>
        <w:rPr>
          <w:spacing w:val="-9"/>
        </w:rPr>
        <w:t> </w:t>
      </w:r>
      <w:r>
        <w:rPr/>
        <w:t>данного</w:t>
      </w:r>
      <w:r>
        <w:rPr>
          <w:spacing w:val="-9"/>
        </w:rPr>
        <w:t> </w:t>
      </w:r>
      <w:r>
        <w:rPr/>
        <w:t>возраста</w:t>
      </w:r>
      <w:r>
        <w:rPr>
          <w:spacing w:val="-10"/>
        </w:rPr>
        <w:t> </w:t>
      </w:r>
      <w:r>
        <w:rPr/>
        <w:t>могут</w:t>
      </w:r>
      <w:r>
        <w:rPr>
          <w:spacing w:val="-10"/>
        </w:rPr>
        <w:t> </w:t>
      </w:r>
      <w:r>
        <w:rPr/>
        <w:t>быть</w:t>
      </w:r>
      <w:r>
        <w:rPr>
          <w:spacing w:val="-11"/>
        </w:rPr>
        <w:t> </w:t>
      </w:r>
      <w:r>
        <w:rPr/>
        <w:t>крайне</w:t>
      </w:r>
      <w:r>
        <w:rPr>
          <w:spacing w:val="-10"/>
        </w:rPr>
        <w:t> </w:t>
      </w:r>
      <w:r>
        <w:rPr/>
        <w:t>ограничены, а у других — достаточно развиты.</w:t>
      </w:r>
    </w:p>
    <w:p>
      <w:pPr>
        <w:pStyle w:val="Heading4"/>
        <w:spacing w:line="276" w:lineRule="auto" w:before="3"/>
        <w:ind w:left="2" w:right="141" w:firstLine="707"/>
      </w:pPr>
      <w:r>
        <w:rPr/>
        <w:t>Карта</w:t>
      </w:r>
      <w:r>
        <w:rPr>
          <w:spacing w:val="-18"/>
        </w:rPr>
        <w:t> </w:t>
      </w:r>
      <w:r>
        <w:rPr/>
        <w:t>наблюдения</w:t>
      </w:r>
      <w:r>
        <w:rPr>
          <w:spacing w:val="-17"/>
        </w:rPr>
        <w:t> </w:t>
      </w:r>
      <w:r>
        <w:rPr/>
        <w:t>«Психологические</w:t>
      </w:r>
      <w:r>
        <w:rPr>
          <w:spacing w:val="-18"/>
        </w:rPr>
        <w:t> </w:t>
      </w:r>
      <w:r>
        <w:rPr/>
        <w:t>трудности»</w:t>
      </w:r>
      <w:r>
        <w:rPr>
          <w:spacing w:val="-17"/>
        </w:rPr>
        <w:t> </w:t>
      </w:r>
      <w:r>
        <w:rPr/>
        <w:t>заполняется</w:t>
      </w:r>
      <w:r>
        <w:rPr>
          <w:spacing w:val="-18"/>
        </w:rPr>
        <w:t> </w:t>
      </w:r>
      <w:r>
        <w:rPr/>
        <w:t>классным руководителем. Вторая методика выбирается в зависимости от владения русским языком. Рисуночная диагностика психологического благополучия ребенка-иностранного</w:t>
      </w:r>
      <w:r>
        <w:rPr>
          <w:spacing w:val="58"/>
          <w:w w:val="150"/>
        </w:rPr>
        <w:t> </w:t>
      </w:r>
      <w:r>
        <w:rPr/>
        <w:t>гражданина</w:t>
      </w:r>
      <w:r>
        <w:rPr>
          <w:spacing w:val="61"/>
          <w:w w:val="150"/>
        </w:rPr>
        <w:t> </w:t>
      </w:r>
      <w:r>
        <w:rPr/>
        <w:t>не</w:t>
      </w:r>
      <w:r>
        <w:rPr>
          <w:spacing w:val="58"/>
          <w:w w:val="150"/>
        </w:rPr>
        <w:t> </w:t>
      </w:r>
      <w:r>
        <w:rPr/>
        <w:t>требует</w:t>
      </w:r>
      <w:r>
        <w:rPr>
          <w:spacing w:val="59"/>
          <w:w w:val="150"/>
        </w:rPr>
        <w:t> </w:t>
      </w:r>
      <w:r>
        <w:rPr/>
        <w:t>высокого</w:t>
      </w:r>
      <w:r>
        <w:rPr>
          <w:spacing w:val="59"/>
          <w:w w:val="150"/>
        </w:rPr>
        <w:t> </w:t>
      </w:r>
      <w:r>
        <w:rPr/>
        <w:t>уровня</w:t>
      </w:r>
      <w:r>
        <w:rPr>
          <w:spacing w:val="60"/>
          <w:w w:val="150"/>
        </w:rPr>
        <w:t> </w:t>
      </w:r>
      <w:r>
        <w:rPr>
          <w:spacing w:val="-2"/>
        </w:rPr>
        <w:t>владения</w:t>
      </w:r>
    </w:p>
    <w:p>
      <w:pPr>
        <w:pStyle w:val="BodyText"/>
        <w:ind w:left="0" w:right="0" w:firstLine="0"/>
        <w:jc w:val="left"/>
      </w:pPr>
    </w:p>
    <w:p>
      <w:pPr>
        <w:pStyle w:val="BodyText"/>
        <w:ind w:left="0" w:right="0" w:firstLine="0"/>
        <w:jc w:val="left"/>
      </w:pPr>
    </w:p>
    <w:p>
      <w:pPr>
        <w:pStyle w:val="BodyText"/>
        <w:spacing w:before="140"/>
        <w:ind w:left="0" w:right="0" w:firstLine="0"/>
        <w:jc w:val="left"/>
      </w:pPr>
      <w:r>
        <w:rPr/>
        <mc:AlternateContent>
          <mc:Choice Requires="wps">
            <w:drawing>
              <wp:anchor distT="0" distB="0" distL="0" distR="0" allowOverlap="1" layoutInCell="1" locked="0" behindDoc="1" simplePos="0" relativeHeight="487592960">
                <wp:simplePos x="0" y="0"/>
                <wp:positionH relativeFrom="page">
                  <wp:posOffset>1080820</wp:posOffset>
                </wp:positionH>
                <wp:positionV relativeFrom="paragraph">
                  <wp:posOffset>250354</wp:posOffset>
                </wp:positionV>
                <wp:extent cx="1829435" cy="9525"/>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9.71294pt;width:144.020pt;height:.71997pt;mso-position-horizontal-relative:page;mso-position-vertical-relative:paragraph;z-index:-15723520;mso-wrap-distance-left:0;mso-wrap-distance-right:0" id="docshape14" filled="true" fillcolor="#000000" stroked="false">
                <v:fill type="solid"/>
                <w10:wrap type="topAndBottom"/>
              </v:rect>
            </w:pict>
          </mc:Fallback>
        </mc:AlternateContent>
      </w:r>
    </w:p>
    <w:p>
      <w:pPr>
        <w:pStyle w:val="BodyText"/>
        <w:spacing w:before="96"/>
        <w:ind w:left="2" w:right="0" w:firstLine="0"/>
        <w:jc w:val="left"/>
      </w:pPr>
      <w:r>
        <w:rPr>
          <w:vertAlign w:val="superscript"/>
        </w:rPr>
        <w:t>3</w:t>
      </w:r>
      <w:r>
        <w:rPr>
          <w:spacing w:val="-9"/>
          <w:vertAlign w:val="baseline"/>
        </w:rPr>
        <w:t> </w:t>
      </w:r>
      <w:r>
        <w:rPr>
          <w:vertAlign w:val="baseline"/>
        </w:rPr>
        <w:t>Жизнестойкости,</w:t>
      </w:r>
      <w:r>
        <w:rPr>
          <w:spacing w:val="-7"/>
          <w:vertAlign w:val="baseline"/>
        </w:rPr>
        <w:t> </w:t>
      </w:r>
      <w:r>
        <w:rPr>
          <w:vertAlign w:val="baseline"/>
        </w:rPr>
        <w:t>или</w:t>
      </w:r>
      <w:r>
        <w:rPr>
          <w:spacing w:val="-9"/>
          <w:vertAlign w:val="baseline"/>
        </w:rPr>
        <w:t> </w:t>
      </w:r>
      <w:r>
        <w:rPr>
          <w:spacing w:val="-2"/>
          <w:vertAlign w:val="baseline"/>
        </w:rPr>
        <w:t>резильентности.</w:t>
      </w:r>
    </w:p>
    <w:p>
      <w:pPr>
        <w:pStyle w:val="BodyText"/>
        <w:spacing w:after="0"/>
        <w:jc w:val="left"/>
        <w:sectPr>
          <w:pgSz w:w="11910" w:h="16840"/>
          <w:pgMar w:header="0" w:footer="954" w:top="1040" w:bottom="1140" w:left="1700" w:right="708"/>
        </w:sectPr>
      </w:pPr>
    </w:p>
    <w:p>
      <w:pPr>
        <w:pStyle w:val="Heading4"/>
        <w:spacing w:before="67"/>
        <w:ind w:left="2"/>
      </w:pPr>
      <w:r>
        <w:rPr/>
        <w:t>русским</w:t>
      </w:r>
      <w:r>
        <w:rPr>
          <w:spacing w:val="77"/>
          <w:w w:val="150"/>
        </w:rPr>
        <w:t> </w:t>
      </w:r>
      <w:r>
        <w:rPr/>
        <w:t>языком.</w:t>
      </w:r>
      <w:r>
        <w:rPr>
          <w:spacing w:val="74"/>
          <w:w w:val="150"/>
        </w:rPr>
        <w:t> </w:t>
      </w:r>
      <w:r>
        <w:rPr/>
        <w:t>Для</w:t>
      </w:r>
      <w:r>
        <w:rPr>
          <w:spacing w:val="78"/>
          <w:w w:val="150"/>
        </w:rPr>
        <w:t> </w:t>
      </w:r>
      <w:r>
        <w:rPr/>
        <w:t>детей,</w:t>
      </w:r>
      <w:r>
        <w:rPr>
          <w:spacing w:val="78"/>
          <w:w w:val="150"/>
        </w:rPr>
        <w:t> </w:t>
      </w:r>
      <w:r>
        <w:rPr/>
        <w:t>владеющих</w:t>
      </w:r>
      <w:r>
        <w:rPr>
          <w:spacing w:val="77"/>
          <w:w w:val="150"/>
        </w:rPr>
        <w:t> </w:t>
      </w:r>
      <w:r>
        <w:rPr/>
        <w:t>русским</w:t>
      </w:r>
      <w:r>
        <w:rPr>
          <w:spacing w:val="77"/>
          <w:w w:val="150"/>
        </w:rPr>
        <w:t> </w:t>
      </w:r>
      <w:r>
        <w:rPr/>
        <w:t>языком,</w:t>
      </w:r>
      <w:r>
        <w:rPr>
          <w:spacing w:val="78"/>
          <w:w w:val="150"/>
        </w:rPr>
        <w:t> </w:t>
      </w:r>
      <w:r>
        <w:rPr>
          <w:spacing w:val="-2"/>
        </w:rPr>
        <w:t>используется</w:t>
      </w:r>
    </w:p>
    <w:p>
      <w:pPr>
        <w:pStyle w:val="Heading4"/>
        <w:spacing w:before="51"/>
        <w:ind w:left="2"/>
      </w:pPr>
      <w:r>
        <w:rPr/>
        <w:t>«Шкала</w:t>
      </w:r>
      <w:r>
        <w:rPr>
          <w:spacing w:val="-11"/>
        </w:rPr>
        <w:t> </w:t>
      </w:r>
      <w:r>
        <w:rPr/>
        <w:t>психологического</w:t>
      </w:r>
      <w:r>
        <w:rPr>
          <w:spacing w:val="-11"/>
        </w:rPr>
        <w:t> </w:t>
      </w:r>
      <w:r>
        <w:rPr/>
        <w:t>благополучия</w:t>
      </w:r>
      <w:r>
        <w:rPr>
          <w:spacing w:val="-7"/>
        </w:rPr>
        <w:t> </w:t>
      </w:r>
      <w:r>
        <w:rPr>
          <w:spacing w:val="-2"/>
        </w:rPr>
        <w:t>Уорик–Эдинбург».</w:t>
      </w:r>
    </w:p>
    <w:p>
      <w:pPr>
        <w:pStyle w:val="Heading4"/>
        <w:spacing w:line="276" w:lineRule="auto" w:before="47"/>
        <w:ind w:left="2" w:right="138" w:firstLine="707"/>
      </w:pPr>
      <w:r>
        <w:rPr>
          <w:i/>
        </w:rPr>
        <w:t>Карта наблюдения «Психологические трудности</w:t>
      </w:r>
      <w:r>
        <w:rPr/>
        <w:t>» предназначена для оценки</w:t>
      </w:r>
      <w:r>
        <w:rPr>
          <w:spacing w:val="-8"/>
        </w:rPr>
        <w:t> </w:t>
      </w:r>
      <w:r>
        <w:rPr/>
        <w:t>педагогом</w:t>
      </w:r>
      <w:r>
        <w:rPr>
          <w:spacing w:val="-9"/>
        </w:rPr>
        <w:t> </w:t>
      </w:r>
      <w:r>
        <w:rPr/>
        <w:t>психологических</w:t>
      </w:r>
      <w:r>
        <w:rPr>
          <w:spacing w:val="-6"/>
        </w:rPr>
        <w:t> </w:t>
      </w:r>
      <w:r>
        <w:rPr/>
        <w:t>трудностей</w:t>
      </w:r>
      <w:r>
        <w:rPr>
          <w:spacing w:val="-8"/>
        </w:rPr>
        <w:t> </w:t>
      </w:r>
      <w:r>
        <w:rPr/>
        <w:t>ребенка.</w:t>
      </w:r>
      <w:r>
        <w:rPr>
          <w:spacing w:val="-6"/>
        </w:rPr>
        <w:t> </w:t>
      </w:r>
      <w:r>
        <w:rPr/>
        <w:t>В</w:t>
      </w:r>
      <w:r>
        <w:rPr>
          <w:spacing w:val="-9"/>
        </w:rPr>
        <w:t> </w:t>
      </w:r>
      <w:r>
        <w:rPr/>
        <w:t>средней</w:t>
      </w:r>
      <w:r>
        <w:rPr>
          <w:spacing w:val="-6"/>
        </w:rPr>
        <w:t> </w:t>
      </w:r>
      <w:r>
        <w:rPr/>
        <w:t>школе</w:t>
      </w:r>
      <w:r>
        <w:rPr>
          <w:spacing w:val="-9"/>
        </w:rPr>
        <w:t> </w:t>
      </w:r>
      <w:r>
        <w:rPr/>
        <w:t>она заполняется классным руководителем. Работа с ней аналогична работе с вариантом для начальной школы (см. выше).</w:t>
      </w:r>
    </w:p>
    <w:p>
      <w:pPr>
        <w:pStyle w:val="Heading4"/>
        <w:spacing w:line="276" w:lineRule="auto"/>
        <w:ind w:left="2" w:right="138" w:firstLine="707"/>
      </w:pPr>
      <w:r>
        <w:rPr>
          <w:i/>
        </w:rPr>
        <w:t>Шкала психологического благополучия Уорик–Эдинбург </w:t>
      </w:r>
      <w:r>
        <w:rPr/>
        <w:t>используется, как уже было сказано, для диагностики детей-иностранных граждан, владеющих</w:t>
      </w:r>
      <w:r>
        <w:rPr>
          <w:spacing w:val="-16"/>
        </w:rPr>
        <w:t> </w:t>
      </w:r>
      <w:r>
        <w:rPr/>
        <w:t>русским</w:t>
      </w:r>
      <w:r>
        <w:rPr>
          <w:spacing w:val="-17"/>
        </w:rPr>
        <w:t> </w:t>
      </w:r>
      <w:r>
        <w:rPr/>
        <w:t>языком.</w:t>
      </w:r>
      <w:r>
        <w:rPr>
          <w:spacing w:val="-15"/>
        </w:rPr>
        <w:t> </w:t>
      </w:r>
      <w:r>
        <w:rPr/>
        <w:t>При</w:t>
      </w:r>
      <w:r>
        <w:rPr>
          <w:spacing w:val="-14"/>
        </w:rPr>
        <w:t> </w:t>
      </w:r>
      <w:r>
        <w:rPr/>
        <w:t>этом</w:t>
      </w:r>
      <w:r>
        <w:rPr>
          <w:spacing w:val="-15"/>
        </w:rPr>
        <w:t> </w:t>
      </w:r>
      <w:r>
        <w:rPr/>
        <w:t>уровень</w:t>
      </w:r>
      <w:r>
        <w:rPr>
          <w:spacing w:val="-15"/>
        </w:rPr>
        <w:t> </w:t>
      </w:r>
      <w:r>
        <w:rPr/>
        <w:t>языковых</w:t>
      </w:r>
      <w:r>
        <w:rPr>
          <w:spacing w:val="-14"/>
        </w:rPr>
        <w:t> </w:t>
      </w:r>
      <w:r>
        <w:rPr/>
        <w:t>способностей</w:t>
      </w:r>
      <w:r>
        <w:rPr>
          <w:spacing w:val="-16"/>
        </w:rPr>
        <w:t> </w:t>
      </w:r>
      <w:r>
        <w:rPr/>
        <w:t>может быть не очень высоким, так как формулировки опросника достаточно просты и понятны. Методика диагностирует психологическое благополучие в широком смысле слова, включающее переживание удовольствия и счастья, оптимизм, удовлетворенность отношениями с людьми и позитивное </w:t>
      </w:r>
      <w:r>
        <w:rPr>
          <w:spacing w:val="-2"/>
        </w:rPr>
        <w:t>функционирование.</w:t>
      </w:r>
    </w:p>
    <w:p>
      <w:pPr>
        <w:pStyle w:val="Heading4"/>
        <w:spacing w:line="276" w:lineRule="auto"/>
        <w:ind w:left="2" w:right="137" w:firstLine="707"/>
      </w:pPr>
      <w:r>
        <w:rPr/>
        <w:t>Шкала включает 14 пунктов, описывающих индивидуальное состояние психологического</w:t>
      </w:r>
      <w:r>
        <w:rPr>
          <w:spacing w:val="-2"/>
        </w:rPr>
        <w:t> </w:t>
      </w:r>
      <w:r>
        <w:rPr/>
        <w:t>благополучия (мысли</w:t>
      </w:r>
      <w:r>
        <w:rPr>
          <w:spacing w:val="-2"/>
        </w:rPr>
        <w:t> </w:t>
      </w:r>
      <w:r>
        <w:rPr/>
        <w:t>и чувства) на протяжении</w:t>
      </w:r>
      <w:r>
        <w:rPr>
          <w:spacing w:val="-2"/>
        </w:rPr>
        <w:t> </w:t>
      </w:r>
      <w:r>
        <w:rPr/>
        <w:t>последних двух недель. Методика заполняется ребенком-мигрантом самостоятельно. Набранный по результатам методики балл психологического благополучия сравнивается с демографической нормой по детям-мигрантам в России. Он будет доступен после апробации методики на детях-мигрантах в Российской Федерации (на сегодняшний день можно ориентироваться на демографическую норму по Великобритании). По результатам делается оценка,</w:t>
      </w:r>
      <w:r>
        <w:rPr>
          <w:spacing w:val="-18"/>
        </w:rPr>
        <w:t> </w:t>
      </w:r>
      <w:r>
        <w:rPr/>
        <w:t>находится</w:t>
      </w:r>
      <w:r>
        <w:rPr>
          <w:spacing w:val="-16"/>
        </w:rPr>
        <w:t> </w:t>
      </w:r>
      <w:r>
        <w:rPr/>
        <w:t>ли</w:t>
      </w:r>
      <w:r>
        <w:rPr>
          <w:spacing w:val="-16"/>
        </w:rPr>
        <w:t> </w:t>
      </w:r>
      <w:r>
        <w:rPr/>
        <w:t>уровень</w:t>
      </w:r>
      <w:r>
        <w:rPr>
          <w:spacing w:val="-18"/>
        </w:rPr>
        <w:t> </w:t>
      </w:r>
      <w:r>
        <w:rPr/>
        <w:t>психологического</w:t>
      </w:r>
      <w:r>
        <w:rPr>
          <w:spacing w:val="-17"/>
        </w:rPr>
        <w:t> </w:t>
      </w:r>
      <w:r>
        <w:rPr/>
        <w:t>благополучия</w:t>
      </w:r>
      <w:r>
        <w:rPr>
          <w:spacing w:val="-16"/>
        </w:rPr>
        <w:t> </w:t>
      </w:r>
      <w:r>
        <w:rPr/>
        <w:t>выше</w:t>
      </w:r>
      <w:r>
        <w:rPr>
          <w:spacing w:val="-18"/>
        </w:rPr>
        <w:t> </w:t>
      </w:r>
      <w:r>
        <w:rPr/>
        <w:t>или</w:t>
      </w:r>
      <w:r>
        <w:rPr>
          <w:spacing w:val="-17"/>
        </w:rPr>
        <w:t> </w:t>
      </w:r>
      <w:r>
        <w:rPr/>
        <w:t>ниже среднего</w:t>
      </w:r>
      <w:r>
        <w:rPr>
          <w:spacing w:val="-9"/>
        </w:rPr>
        <w:t> </w:t>
      </w:r>
      <w:r>
        <w:rPr/>
        <w:t>уровня.</w:t>
      </w:r>
      <w:r>
        <w:rPr>
          <w:spacing w:val="-10"/>
        </w:rPr>
        <w:t> </w:t>
      </w:r>
      <w:r>
        <w:rPr/>
        <w:t>Результаты</w:t>
      </w:r>
      <w:r>
        <w:rPr>
          <w:spacing w:val="-10"/>
        </w:rPr>
        <w:t> </w:t>
      </w:r>
      <w:r>
        <w:rPr/>
        <w:t>ниже</w:t>
      </w:r>
      <w:r>
        <w:rPr>
          <w:spacing w:val="-10"/>
        </w:rPr>
        <w:t> </w:t>
      </w:r>
      <w:r>
        <w:rPr/>
        <w:t>среднего</w:t>
      </w:r>
      <w:r>
        <w:rPr>
          <w:spacing w:val="-9"/>
        </w:rPr>
        <w:t> </w:t>
      </w:r>
      <w:r>
        <w:rPr/>
        <w:t>говорят</w:t>
      </w:r>
      <w:r>
        <w:rPr>
          <w:spacing w:val="-12"/>
        </w:rPr>
        <w:t> </w:t>
      </w:r>
      <w:r>
        <w:rPr/>
        <w:t>о</w:t>
      </w:r>
      <w:r>
        <w:rPr>
          <w:spacing w:val="-9"/>
        </w:rPr>
        <w:t> </w:t>
      </w:r>
      <w:r>
        <w:rPr/>
        <w:t>наличии</w:t>
      </w:r>
      <w:r>
        <w:rPr>
          <w:spacing w:val="-12"/>
        </w:rPr>
        <w:t> </w:t>
      </w:r>
      <w:r>
        <w:rPr/>
        <w:t>риска</w:t>
      </w:r>
      <w:r>
        <w:rPr>
          <w:spacing w:val="-10"/>
        </w:rPr>
        <w:t> </w:t>
      </w:r>
      <w:r>
        <w:rPr/>
        <w:t>в</w:t>
      </w:r>
      <w:r>
        <w:rPr>
          <w:spacing w:val="-11"/>
        </w:rPr>
        <w:t> </w:t>
      </w:r>
      <w:r>
        <w:rPr/>
        <w:t>данной </w:t>
      </w:r>
      <w:r>
        <w:rPr>
          <w:spacing w:val="-2"/>
        </w:rPr>
        <w:t>области.</w:t>
      </w:r>
    </w:p>
    <w:p>
      <w:pPr>
        <w:pStyle w:val="Heading4"/>
        <w:spacing w:line="276" w:lineRule="auto"/>
        <w:ind w:left="2" w:right="135" w:firstLine="707"/>
      </w:pPr>
      <w:r>
        <w:rPr>
          <w:i/>
        </w:rPr>
        <w:t>Рисуночная диагностика субъективного благополучия </w:t>
      </w:r>
      <w:r>
        <w:rPr/>
        <w:t>предназначена для скрининговой оценки субъективного благополучия ребенка-мигранта, плохо владеющего русским языком. Работа с ней аналогична работе с вариантом для начальной школы (см. выше). Она применяется только для диагностики новоприбывших детей-иностранных граждан, ранее не изучавших русский язык или изучавших его в незначительном объеме.</w:t>
      </w:r>
    </w:p>
    <w:p>
      <w:pPr>
        <w:pStyle w:val="BodyText"/>
        <w:spacing w:before="289"/>
        <w:ind w:left="0" w:right="0" w:firstLine="0"/>
        <w:jc w:val="left"/>
        <w:rPr>
          <w:sz w:val="28"/>
        </w:rPr>
      </w:pPr>
    </w:p>
    <w:p>
      <w:pPr>
        <w:spacing w:before="0"/>
        <w:ind w:left="710" w:right="0" w:firstLine="0"/>
        <w:jc w:val="left"/>
        <w:rPr>
          <w:sz w:val="28"/>
        </w:rPr>
      </w:pPr>
      <w:r>
        <w:rPr>
          <w:sz w:val="28"/>
        </w:rPr>
        <w:t>В</w:t>
      </w:r>
      <w:r>
        <w:rPr>
          <w:spacing w:val="-9"/>
          <w:sz w:val="28"/>
        </w:rPr>
        <w:t> </w:t>
      </w:r>
      <w:r>
        <w:rPr>
          <w:b/>
          <w:sz w:val="28"/>
        </w:rPr>
        <w:t>расширенный</w:t>
      </w:r>
      <w:r>
        <w:rPr>
          <w:b/>
          <w:spacing w:val="-6"/>
          <w:sz w:val="28"/>
        </w:rPr>
        <w:t> </w:t>
      </w:r>
      <w:r>
        <w:rPr>
          <w:b/>
          <w:sz w:val="28"/>
        </w:rPr>
        <w:t>набор</w:t>
      </w:r>
      <w:r>
        <w:rPr>
          <w:b/>
          <w:spacing w:val="-7"/>
          <w:sz w:val="28"/>
        </w:rPr>
        <w:t> </w:t>
      </w:r>
      <w:r>
        <w:rPr>
          <w:sz w:val="28"/>
        </w:rPr>
        <w:t>диагностики</w:t>
      </w:r>
      <w:r>
        <w:rPr>
          <w:spacing w:val="-5"/>
          <w:sz w:val="28"/>
        </w:rPr>
        <w:t> </w:t>
      </w:r>
      <w:r>
        <w:rPr>
          <w:sz w:val="28"/>
        </w:rPr>
        <w:t>для</w:t>
      </w:r>
      <w:r>
        <w:rPr>
          <w:spacing w:val="-6"/>
          <w:sz w:val="28"/>
        </w:rPr>
        <w:t> </w:t>
      </w:r>
      <w:r>
        <w:rPr>
          <w:sz w:val="28"/>
        </w:rPr>
        <w:t>средней</w:t>
      </w:r>
      <w:r>
        <w:rPr>
          <w:spacing w:val="-4"/>
          <w:sz w:val="28"/>
        </w:rPr>
        <w:t> </w:t>
      </w:r>
      <w:r>
        <w:rPr>
          <w:sz w:val="28"/>
        </w:rPr>
        <w:t>школы</w:t>
      </w:r>
      <w:r>
        <w:rPr>
          <w:spacing w:val="-5"/>
          <w:sz w:val="28"/>
        </w:rPr>
        <w:t> </w:t>
      </w:r>
      <w:r>
        <w:rPr>
          <w:spacing w:val="-2"/>
          <w:sz w:val="28"/>
        </w:rPr>
        <w:t>входят:</w:t>
      </w:r>
    </w:p>
    <w:p>
      <w:pPr>
        <w:pStyle w:val="Heading4"/>
        <w:numPr>
          <w:ilvl w:val="1"/>
          <w:numId w:val="12"/>
        </w:numPr>
        <w:tabs>
          <w:tab w:pos="1702" w:val="left" w:leader="none"/>
        </w:tabs>
        <w:spacing w:line="240" w:lineRule="auto" w:before="50" w:after="0"/>
        <w:ind w:left="1702" w:right="0" w:hanging="359"/>
        <w:jc w:val="left"/>
      </w:pPr>
      <w:r>
        <w:rPr/>
        <w:t>Опросник</w:t>
      </w:r>
      <w:r>
        <w:rPr>
          <w:spacing w:val="-7"/>
        </w:rPr>
        <w:t> </w:t>
      </w:r>
      <w:r>
        <w:rPr>
          <w:spacing w:val="-2"/>
        </w:rPr>
        <w:t>Ахенбаха.</w:t>
      </w:r>
    </w:p>
    <w:p>
      <w:pPr>
        <w:pStyle w:val="Heading4"/>
        <w:numPr>
          <w:ilvl w:val="1"/>
          <w:numId w:val="12"/>
        </w:numPr>
        <w:tabs>
          <w:tab w:pos="1702" w:val="left" w:leader="none"/>
        </w:tabs>
        <w:spacing w:line="240" w:lineRule="auto" w:before="32" w:after="0"/>
        <w:ind w:left="1702" w:right="0" w:hanging="359"/>
        <w:jc w:val="left"/>
      </w:pPr>
      <w:r>
        <w:rPr/>
        <w:t>Многомерная</w:t>
      </w:r>
      <w:r>
        <w:rPr>
          <w:spacing w:val="-10"/>
        </w:rPr>
        <w:t> </w:t>
      </w:r>
      <w:r>
        <w:rPr/>
        <w:t>шкала</w:t>
      </w:r>
      <w:r>
        <w:rPr>
          <w:spacing w:val="-9"/>
        </w:rPr>
        <w:t> </w:t>
      </w:r>
      <w:r>
        <w:rPr/>
        <w:t>удовлетворенности</w:t>
      </w:r>
      <w:r>
        <w:rPr>
          <w:spacing w:val="-10"/>
        </w:rPr>
        <w:t> </w:t>
      </w:r>
      <w:r>
        <w:rPr/>
        <w:t>жизнью</w:t>
      </w:r>
      <w:r>
        <w:rPr>
          <w:spacing w:val="-9"/>
        </w:rPr>
        <w:t> </w:t>
      </w:r>
      <w:r>
        <w:rPr>
          <w:spacing w:val="-2"/>
        </w:rPr>
        <w:t>школьников.</w:t>
      </w:r>
    </w:p>
    <w:p>
      <w:pPr>
        <w:pStyle w:val="Heading4"/>
        <w:numPr>
          <w:ilvl w:val="1"/>
          <w:numId w:val="12"/>
        </w:numPr>
        <w:tabs>
          <w:tab w:pos="1702" w:val="left" w:leader="none"/>
        </w:tabs>
        <w:spacing w:line="240" w:lineRule="auto" w:before="36" w:after="0"/>
        <w:ind w:left="1702" w:right="0" w:hanging="359"/>
        <w:jc w:val="left"/>
      </w:pPr>
      <w:r>
        <w:rPr/>
        <w:t>Шкала</w:t>
      </w:r>
      <w:r>
        <w:rPr>
          <w:spacing w:val="-6"/>
        </w:rPr>
        <w:t> </w:t>
      </w:r>
      <w:r>
        <w:rPr/>
        <w:t>социального</w:t>
      </w:r>
      <w:r>
        <w:rPr>
          <w:spacing w:val="-7"/>
        </w:rPr>
        <w:t> </w:t>
      </w:r>
      <w:r>
        <w:rPr/>
        <w:t>избегания</w:t>
      </w:r>
      <w:r>
        <w:rPr>
          <w:spacing w:val="-8"/>
        </w:rPr>
        <w:t> </w:t>
      </w:r>
      <w:r>
        <w:rPr/>
        <w:t>и</w:t>
      </w:r>
      <w:r>
        <w:rPr>
          <w:spacing w:val="-4"/>
        </w:rPr>
        <w:t> </w:t>
      </w:r>
      <w:r>
        <w:rPr>
          <w:spacing w:val="-2"/>
        </w:rPr>
        <w:t>дистресса.</w:t>
      </w:r>
    </w:p>
    <w:p>
      <w:pPr>
        <w:pStyle w:val="Heading4"/>
        <w:numPr>
          <w:ilvl w:val="1"/>
          <w:numId w:val="12"/>
        </w:numPr>
        <w:tabs>
          <w:tab w:pos="1702" w:val="left" w:leader="none"/>
        </w:tabs>
        <w:spacing w:line="240" w:lineRule="auto" w:before="32" w:after="0"/>
        <w:ind w:left="1702" w:right="0" w:hanging="359"/>
        <w:jc w:val="left"/>
      </w:pPr>
      <w:r>
        <w:rPr/>
        <w:t>Опросник</w:t>
      </w:r>
      <w:r>
        <w:rPr>
          <w:spacing w:val="-10"/>
        </w:rPr>
        <w:t> </w:t>
      </w:r>
      <w:r>
        <w:rPr>
          <w:spacing w:val="-2"/>
        </w:rPr>
        <w:t>депрессивности.</w:t>
      </w:r>
    </w:p>
    <w:p>
      <w:pPr>
        <w:pStyle w:val="Heading4"/>
        <w:numPr>
          <w:ilvl w:val="1"/>
          <w:numId w:val="12"/>
        </w:numPr>
        <w:tabs>
          <w:tab w:pos="1702" w:val="left" w:leader="none"/>
        </w:tabs>
        <w:spacing w:line="240" w:lineRule="auto" w:before="33" w:after="0"/>
        <w:ind w:left="1702" w:right="0" w:hanging="359"/>
        <w:jc w:val="left"/>
      </w:pPr>
      <w:r>
        <w:rPr/>
        <w:t>Шкала</w:t>
      </w:r>
      <w:r>
        <w:rPr>
          <w:spacing w:val="-5"/>
        </w:rPr>
        <w:t> </w:t>
      </w:r>
      <w:r>
        <w:rPr/>
        <w:t>отношения</w:t>
      </w:r>
      <w:r>
        <w:rPr>
          <w:spacing w:val="-5"/>
        </w:rPr>
        <w:t> </w:t>
      </w:r>
      <w:r>
        <w:rPr/>
        <w:t>к</w:t>
      </w:r>
      <w:r>
        <w:rPr>
          <w:spacing w:val="-5"/>
        </w:rPr>
        <w:t> </w:t>
      </w:r>
      <w:r>
        <w:rPr>
          <w:spacing w:val="-2"/>
        </w:rPr>
        <w:t>школе.</w:t>
      </w:r>
    </w:p>
    <w:p>
      <w:pPr>
        <w:pStyle w:val="Heading4"/>
        <w:spacing w:after="0" w:line="240" w:lineRule="auto"/>
        <w:jc w:val="left"/>
        <w:sectPr>
          <w:pgSz w:w="11910" w:h="16840"/>
          <w:pgMar w:header="0" w:footer="954" w:top="1040" w:bottom="1220" w:left="1700" w:right="708"/>
        </w:sectPr>
      </w:pPr>
    </w:p>
    <w:p>
      <w:pPr>
        <w:pStyle w:val="Heading4"/>
        <w:numPr>
          <w:ilvl w:val="1"/>
          <w:numId w:val="12"/>
        </w:numPr>
        <w:tabs>
          <w:tab w:pos="1702" w:val="left" w:leader="none"/>
        </w:tabs>
        <w:spacing w:line="240" w:lineRule="auto" w:before="67" w:after="0"/>
        <w:ind w:left="1702" w:right="0" w:hanging="359"/>
        <w:jc w:val="left"/>
      </w:pPr>
      <w:r>
        <w:rPr/>
        <w:t>Детский</w:t>
      </w:r>
      <w:r>
        <w:rPr>
          <w:spacing w:val="-6"/>
        </w:rPr>
        <w:t> </w:t>
      </w:r>
      <w:r>
        <w:rPr/>
        <w:t>тест</w:t>
      </w:r>
      <w:r>
        <w:rPr>
          <w:spacing w:val="-6"/>
        </w:rPr>
        <w:t> </w:t>
      </w:r>
      <w:r>
        <w:rPr/>
        <w:t>психологической</w:t>
      </w:r>
      <w:r>
        <w:rPr>
          <w:spacing w:val="-6"/>
        </w:rPr>
        <w:t> </w:t>
      </w:r>
      <w:r>
        <w:rPr>
          <w:spacing w:val="-2"/>
        </w:rPr>
        <w:t>устойчивости.</w:t>
      </w:r>
    </w:p>
    <w:p>
      <w:pPr>
        <w:pStyle w:val="Heading4"/>
        <w:spacing w:line="276" w:lineRule="auto" w:before="275"/>
        <w:ind w:left="2" w:right="136" w:firstLine="707"/>
      </w:pPr>
      <w:r>
        <w:rPr/>
        <w:t>Все методики, кроме опросника Ахенбаха, требуют определенного уровня владения</w:t>
      </w:r>
      <w:r>
        <w:rPr>
          <w:spacing w:val="-2"/>
        </w:rPr>
        <w:t> </w:t>
      </w:r>
      <w:r>
        <w:rPr/>
        <w:t>русским</w:t>
      </w:r>
      <w:r>
        <w:rPr>
          <w:spacing w:val="-3"/>
        </w:rPr>
        <w:t> </w:t>
      </w:r>
      <w:r>
        <w:rPr/>
        <w:t>языком,</w:t>
      </w:r>
      <w:r>
        <w:rPr>
          <w:spacing w:val="-1"/>
        </w:rPr>
        <w:t> </w:t>
      </w:r>
      <w:r>
        <w:rPr/>
        <w:t>поэтому</w:t>
      </w:r>
      <w:r>
        <w:rPr>
          <w:spacing w:val="-5"/>
        </w:rPr>
        <w:t> </w:t>
      </w:r>
      <w:r>
        <w:rPr/>
        <w:t>они</w:t>
      </w:r>
      <w:r>
        <w:rPr>
          <w:spacing w:val="-2"/>
        </w:rPr>
        <w:t> </w:t>
      </w:r>
      <w:r>
        <w:rPr/>
        <w:t>не</w:t>
      </w:r>
      <w:r>
        <w:rPr>
          <w:spacing w:val="-3"/>
        </w:rPr>
        <w:t> </w:t>
      </w:r>
      <w:r>
        <w:rPr/>
        <w:t>могут</w:t>
      </w:r>
      <w:r>
        <w:rPr>
          <w:spacing w:val="-1"/>
        </w:rPr>
        <w:t> </w:t>
      </w:r>
      <w:r>
        <w:rPr/>
        <w:t>быть</w:t>
      </w:r>
      <w:r>
        <w:rPr>
          <w:spacing w:val="-2"/>
        </w:rPr>
        <w:t> </w:t>
      </w:r>
      <w:r>
        <w:rPr/>
        <w:t>рекомендованы для диагностики новоприбывшего ребенка-иностранного гражданинас отсутствием языковых навыков. Их проведение необходимо согласовать с педагогом по русскому языку (при наличии в школе — с учителем русского языка как иностранного).</w:t>
      </w:r>
    </w:p>
    <w:p>
      <w:pPr>
        <w:pStyle w:val="Heading4"/>
        <w:spacing w:line="276" w:lineRule="auto" w:before="1"/>
        <w:ind w:left="2" w:right="139" w:firstLine="707"/>
      </w:pPr>
      <w:r>
        <w:rPr>
          <w:i/>
        </w:rPr>
        <w:t>Опросник Ахенбаха </w:t>
      </w:r>
      <w:r>
        <w:rPr/>
        <w:t>— это форма отчета-наблюдения за ребенком. Он предлагается для заполнения классному руководителю. Его применение не отличается по проведению и обработке данных от варианта для начальной школы (см. выше).</w:t>
      </w:r>
    </w:p>
    <w:p>
      <w:pPr>
        <w:pStyle w:val="Heading4"/>
        <w:spacing w:line="276" w:lineRule="auto" w:before="1"/>
        <w:ind w:left="2" w:right="136" w:firstLine="707"/>
      </w:pPr>
      <w:r>
        <w:rPr>
          <w:i/>
        </w:rPr>
        <w:t>Многомерная шкала удовлетворенности жизнью школьников </w:t>
      </w:r>
      <w:r>
        <w:rPr/>
        <w:t>нацелена на диагностику общего уровня удовлетворенности жизнью, а также построение профиля удовлетворенности различными жизненными сферами ребенка-мигранта. Ее применение не отличается по проведению и обработке данных от варианта для начальной школы (см. выше).</w:t>
      </w:r>
    </w:p>
    <w:p>
      <w:pPr>
        <w:pStyle w:val="Heading4"/>
        <w:tabs>
          <w:tab w:pos="1275" w:val="left" w:leader="none"/>
          <w:tab w:pos="1668" w:val="left" w:leader="none"/>
          <w:tab w:pos="1759" w:val="left" w:leader="none"/>
          <w:tab w:pos="1848" w:val="left" w:leader="none"/>
          <w:tab w:pos="2275" w:val="left" w:leader="none"/>
          <w:tab w:pos="2426" w:val="left" w:leader="none"/>
          <w:tab w:pos="2470" w:val="left" w:leader="none"/>
          <w:tab w:pos="2878" w:val="left" w:leader="none"/>
          <w:tab w:pos="3320" w:val="left" w:leader="none"/>
          <w:tab w:pos="3860" w:val="left" w:leader="none"/>
          <w:tab w:pos="4255" w:val="left" w:leader="none"/>
          <w:tab w:pos="4378" w:val="left" w:leader="none"/>
          <w:tab w:pos="4707" w:val="left" w:leader="none"/>
          <w:tab w:pos="5196" w:val="left" w:leader="none"/>
          <w:tab w:pos="5531" w:val="left" w:leader="none"/>
          <w:tab w:pos="6025" w:val="left" w:leader="none"/>
          <w:tab w:pos="6663" w:val="left" w:leader="none"/>
          <w:tab w:pos="6773" w:val="left" w:leader="none"/>
          <w:tab w:pos="6939" w:val="left" w:leader="none"/>
          <w:tab w:pos="7196" w:val="left" w:leader="none"/>
          <w:tab w:pos="7292" w:val="left" w:leader="none"/>
          <w:tab w:pos="7367" w:val="left" w:leader="none"/>
          <w:tab w:pos="8679" w:val="left" w:leader="none"/>
          <w:tab w:pos="9201" w:val="left" w:leader="none"/>
        </w:tabs>
        <w:spacing w:line="276" w:lineRule="auto"/>
        <w:ind w:left="2" w:right="135" w:firstLine="707"/>
        <w:jc w:val="right"/>
      </w:pPr>
      <w:r>
        <w:rPr>
          <w:i/>
        </w:rPr>
        <w:t>Шкала</w:t>
      </w:r>
      <w:r>
        <w:rPr>
          <w:i/>
          <w:spacing w:val="80"/>
        </w:rPr>
        <w:t> </w:t>
      </w:r>
      <w:r>
        <w:rPr>
          <w:i/>
        </w:rPr>
        <w:t>социального</w:t>
      </w:r>
      <w:r>
        <w:rPr>
          <w:i/>
          <w:spacing w:val="80"/>
        </w:rPr>
        <w:t> </w:t>
      </w:r>
      <w:r>
        <w:rPr>
          <w:i/>
        </w:rPr>
        <w:t>избегания</w:t>
      </w:r>
      <w:r>
        <w:rPr>
          <w:i/>
          <w:spacing w:val="80"/>
        </w:rPr>
        <w:t> </w:t>
      </w:r>
      <w:r>
        <w:rPr>
          <w:i/>
        </w:rPr>
        <w:t>и</w:t>
      </w:r>
      <w:r>
        <w:rPr>
          <w:i/>
          <w:spacing w:val="80"/>
        </w:rPr>
        <w:t> </w:t>
      </w:r>
      <w:r>
        <w:rPr>
          <w:i/>
        </w:rPr>
        <w:t>дистресса</w:t>
      </w:r>
      <w:r>
        <w:rPr>
          <w:i/>
          <w:spacing w:val="80"/>
        </w:rPr>
        <w:t> </w:t>
      </w:r>
      <w:r>
        <w:rPr/>
        <w:t>позволяет</w:t>
      </w:r>
      <w:r>
        <w:rPr>
          <w:spacing w:val="80"/>
        </w:rPr>
        <w:t> </w:t>
      </w:r>
      <w:r>
        <w:rPr/>
        <w:t>оценить</w:t>
      </w:r>
      <w:r>
        <w:rPr>
          <w:spacing w:val="80"/>
        </w:rPr>
        <w:t> </w:t>
      </w:r>
      <w:r>
        <w:rPr/>
        <w:t>два </w:t>
      </w:r>
      <w:r>
        <w:rPr>
          <w:spacing w:val="-2"/>
        </w:rPr>
        <w:t>связанных</w:t>
      </w:r>
      <w:r>
        <w:rPr/>
        <w:tab/>
        <w:tab/>
      </w:r>
      <w:r>
        <w:rPr>
          <w:spacing w:val="-2"/>
        </w:rPr>
        <w:t>набора</w:t>
      </w:r>
      <w:r>
        <w:rPr/>
        <w:tab/>
      </w:r>
      <w:r>
        <w:rPr>
          <w:spacing w:val="-43"/>
        </w:rPr>
        <w:t> </w:t>
      </w:r>
      <w:r>
        <w:rPr/>
        <w:t>социальной</w:t>
        <w:tab/>
        <w:tab/>
      </w:r>
      <w:r>
        <w:rPr>
          <w:spacing w:val="-59"/>
        </w:rPr>
        <w:t> </w:t>
      </w:r>
      <w:r>
        <w:rPr/>
        <w:t>тревожности</w:t>
        <w:tab/>
      </w:r>
      <w:r>
        <w:rPr>
          <w:spacing w:val="-58"/>
        </w:rPr>
        <w:t> </w:t>
      </w:r>
      <w:r>
        <w:rPr/>
        <w:t>ребенка-иностранного гражданина:</w:t>
      </w:r>
      <w:r>
        <w:rPr>
          <w:spacing w:val="80"/>
        </w:rPr>
        <w:t> </w:t>
      </w:r>
      <w:r>
        <w:rPr/>
        <w:t>социальный</w:t>
      </w:r>
      <w:r>
        <w:rPr>
          <w:spacing w:val="80"/>
        </w:rPr>
        <w:t> </w:t>
      </w:r>
      <w:r>
        <w:rPr/>
        <w:t>дистресс</w:t>
      </w:r>
      <w:r>
        <w:rPr>
          <w:spacing w:val="80"/>
        </w:rPr>
        <w:t> </w:t>
      </w:r>
      <w:r>
        <w:rPr/>
        <w:t>и</w:t>
      </w:r>
      <w:r>
        <w:rPr>
          <w:spacing w:val="80"/>
        </w:rPr>
        <w:t> </w:t>
      </w:r>
      <w:r>
        <w:rPr/>
        <w:t>социальное</w:t>
      </w:r>
      <w:r>
        <w:rPr>
          <w:spacing w:val="80"/>
        </w:rPr>
        <w:t> </w:t>
      </w:r>
      <w:r>
        <w:rPr/>
        <w:t>избегание.</w:t>
      </w:r>
      <w:r>
        <w:rPr>
          <w:spacing w:val="80"/>
        </w:rPr>
        <w:t> </w:t>
      </w:r>
      <w:r>
        <w:rPr/>
        <w:t>Социальная </w:t>
      </w:r>
      <w:r>
        <w:rPr>
          <w:spacing w:val="-2"/>
        </w:rPr>
        <w:t>тревожность</w:t>
      </w:r>
      <w:r>
        <w:rPr/>
        <w:tab/>
        <w:tab/>
      </w:r>
      <w:r>
        <w:rPr>
          <w:spacing w:val="-6"/>
        </w:rPr>
        <w:t>не</w:t>
      </w:r>
      <w:r>
        <w:rPr/>
        <w:tab/>
      </w:r>
      <w:r>
        <w:rPr>
          <w:spacing w:val="-2"/>
        </w:rPr>
        <w:t>только</w:t>
      </w:r>
      <w:r>
        <w:rPr/>
        <w:tab/>
      </w:r>
      <w:r>
        <w:rPr>
          <w:spacing w:val="-2"/>
        </w:rPr>
        <w:t>вносит</w:t>
      </w:r>
      <w:r>
        <w:rPr/>
        <w:tab/>
        <w:tab/>
      </w:r>
      <w:r>
        <w:rPr>
          <w:spacing w:val="-2"/>
        </w:rPr>
        <w:t>негативный</w:t>
      </w:r>
      <w:r>
        <w:rPr/>
        <w:tab/>
      </w:r>
      <w:r>
        <w:rPr>
          <w:spacing w:val="-2"/>
        </w:rPr>
        <w:t>вклад</w:t>
      </w:r>
      <w:r>
        <w:rPr/>
        <w:tab/>
        <w:tab/>
      </w:r>
      <w:r>
        <w:rPr>
          <w:spacing w:val="-10"/>
        </w:rPr>
        <w:t>в</w:t>
      </w:r>
      <w:r>
        <w:rPr/>
        <w:tab/>
        <w:tab/>
      </w:r>
      <w:r>
        <w:rPr>
          <w:spacing w:val="-52"/>
        </w:rPr>
        <w:t> </w:t>
      </w:r>
      <w:r>
        <w:rPr/>
        <w:t>психологическое благополучие,</w:t>
      </w:r>
      <w:r>
        <w:rPr>
          <w:spacing w:val="40"/>
        </w:rPr>
        <w:t> </w:t>
      </w:r>
      <w:r>
        <w:rPr/>
        <w:t>но</w:t>
      </w:r>
      <w:r>
        <w:rPr>
          <w:spacing w:val="40"/>
        </w:rPr>
        <w:t> </w:t>
      </w:r>
      <w:r>
        <w:rPr/>
        <w:t>и</w:t>
      </w:r>
      <w:r>
        <w:rPr>
          <w:spacing w:val="40"/>
        </w:rPr>
        <w:t> </w:t>
      </w:r>
      <w:r>
        <w:rPr/>
        <w:t>блокирует</w:t>
      </w:r>
      <w:r>
        <w:rPr>
          <w:spacing w:val="40"/>
        </w:rPr>
        <w:t> </w:t>
      </w:r>
      <w:r>
        <w:rPr/>
        <w:t>культурную</w:t>
      </w:r>
      <w:r>
        <w:rPr>
          <w:spacing w:val="40"/>
        </w:rPr>
        <w:t> </w:t>
      </w:r>
      <w:r>
        <w:rPr/>
        <w:t>адаптацию</w:t>
      </w:r>
      <w:r>
        <w:rPr>
          <w:spacing w:val="40"/>
        </w:rPr>
        <w:t> </w:t>
      </w:r>
      <w:r>
        <w:rPr/>
        <w:t>ребенка-мигранта.</w:t>
      </w:r>
      <w:r>
        <w:rPr>
          <w:spacing w:val="80"/>
          <w:w w:val="150"/>
        </w:rPr>
        <w:t> </w:t>
      </w:r>
      <w:r>
        <w:rPr/>
        <w:t>Зачастую трудности</w:t>
      </w:r>
      <w:r>
        <w:rPr>
          <w:spacing w:val="-1"/>
        </w:rPr>
        <w:t> </w:t>
      </w:r>
      <w:r>
        <w:rPr/>
        <w:t>в адаптации могут быть вызваны</w:t>
      </w:r>
      <w:r>
        <w:rPr>
          <w:spacing w:val="-1"/>
        </w:rPr>
        <w:t> </w:t>
      </w:r>
      <w:r>
        <w:rPr/>
        <w:t>именно этой причиной. Поэтому</w:t>
      </w:r>
      <w:r>
        <w:rPr>
          <w:spacing w:val="40"/>
        </w:rPr>
        <w:t> </w:t>
      </w:r>
      <w:r>
        <w:rPr/>
        <w:t>необходима</w:t>
      </w:r>
      <w:r>
        <w:rPr>
          <w:spacing w:val="40"/>
        </w:rPr>
        <w:t> </w:t>
      </w:r>
      <w:r>
        <w:rPr/>
        <w:t>оценка</w:t>
      </w:r>
      <w:r>
        <w:rPr>
          <w:spacing w:val="40"/>
        </w:rPr>
        <w:t> </w:t>
      </w:r>
      <w:r>
        <w:rPr/>
        <w:t>социальной</w:t>
      </w:r>
      <w:r>
        <w:rPr>
          <w:spacing w:val="40"/>
        </w:rPr>
        <w:t> </w:t>
      </w:r>
      <w:r>
        <w:rPr/>
        <w:t>тревожности</w:t>
      </w:r>
      <w:r>
        <w:rPr>
          <w:spacing w:val="40"/>
        </w:rPr>
        <w:t> </w:t>
      </w:r>
      <w:r>
        <w:rPr/>
        <w:t>у</w:t>
      </w:r>
      <w:r>
        <w:rPr>
          <w:spacing w:val="40"/>
        </w:rPr>
        <w:t> </w:t>
      </w:r>
      <w:r>
        <w:rPr/>
        <w:t>ребенка-мигранта, </w:t>
      </w:r>
      <w:r>
        <w:rPr>
          <w:spacing w:val="-2"/>
        </w:rPr>
        <w:t>показавшего</w:t>
      </w:r>
      <w:r>
        <w:rPr/>
        <w:tab/>
        <w:tab/>
        <w:tab/>
      </w:r>
      <w:r>
        <w:rPr>
          <w:spacing w:val="-6"/>
        </w:rPr>
        <w:t>по</w:t>
      </w:r>
      <w:r>
        <w:rPr/>
        <w:tab/>
        <w:tab/>
        <w:tab/>
      </w:r>
      <w:r>
        <w:rPr>
          <w:spacing w:val="-2"/>
        </w:rPr>
        <w:t>результатам</w:t>
      </w:r>
      <w:r>
        <w:rPr/>
        <w:tab/>
      </w:r>
      <w:r>
        <w:rPr>
          <w:spacing w:val="-2"/>
        </w:rPr>
        <w:t>базовой</w:t>
      </w:r>
      <w:r>
        <w:rPr/>
        <w:tab/>
        <w:tab/>
      </w:r>
      <w:r>
        <w:rPr>
          <w:spacing w:val="-2"/>
        </w:rPr>
        <w:t>диагностики</w:t>
      </w:r>
      <w:r>
        <w:rPr/>
        <w:tab/>
        <w:tab/>
        <w:tab/>
      </w:r>
      <w:r>
        <w:rPr>
          <w:spacing w:val="-2"/>
        </w:rPr>
        <w:t>наличие</w:t>
      </w:r>
      <w:r>
        <w:rPr/>
        <w:tab/>
      </w:r>
      <w:r>
        <w:rPr>
          <w:spacing w:val="-2"/>
        </w:rPr>
        <w:t>риска </w:t>
      </w:r>
      <w:r>
        <w:rPr/>
        <w:t>психологического</w:t>
      </w:r>
      <w:r>
        <w:rPr>
          <w:spacing w:val="-6"/>
        </w:rPr>
        <w:t> </w:t>
      </w:r>
      <w:r>
        <w:rPr/>
        <w:t>неблагополучия,</w:t>
      </w:r>
      <w:r>
        <w:rPr>
          <w:spacing w:val="-4"/>
        </w:rPr>
        <w:t> </w:t>
      </w:r>
      <w:r>
        <w:rPr/>
        <w:t>и</w:t>
      </w:r>
      <w:r>
        <w:rPr>
          <w:spacing w:val="-4"/>
        </w:rPr>
        <w:t> </w:t>
      </w:r>
      <w:r>
        <w:rPr/>
        <w:t>последующая</w:t>
      </w:r>
      <w:r>
        <w:rPr>
          <w:spacing w:val="-4"/>
        </w:rPr>
        <w:t> </w:t>
      </w:r>
      <w:r>
        <w:rPr/>
        <w:t>углубленная</w:t>
      </w:r>
      <w:r>
        <w:rPr>
          <w:spacing w:val="-4"/>
        </w:rPr>
        <w:t> </w:t>
      </w:r>
      <w:r>
        <w:rPr/>
        <w:t>диагностика. </w:t>
      </w:r>
      <w:r>
        <w:rPr>
          <w:spacing w:val="-2"/>
        </w:rPr>
        <w:t>Высокая</w:t>
      </w:r>
      <w:r>
        <w:rPr/>
        <w:tab/>
      </w:r>
      <w:r>
        <w:rPr>
          <w:spacing w:val="-2"/>
        </w:rPr>
        <w:t>социальная</w:t>
      </w:r>
      <w:r>
        <w:rPr/>
        <w:tab/>
      </w:r>
      <w:r>
        <w:rPr>
          <w:spacing w:val="-2"/>
        </w:rPr>
        <w:t>тревожность,</w:t>
      </w:r>
      <w:r>
        <w:rPr/>
        <w:tab/>
      </w:r>
      <w:r>
        <w:rPr>
          <w:spacing w:val="-2"/>
        </w:rPr>
        <w:t>обнаруженная</w:t>
      </w:r>
      <w:r>
        <w:rPr/>
        <w:tab/>
      </w:r>
      <w:r>
        <w:rPr>
          <w:spacing w:val="-6"/>
        </w:rPr>
        <w:t>по</w:t>
      </w:r>
      <w:r>
        <w:rPr/>
        <w:tab/>
      </w:r>
      <w:r>
        <w:rPr>
          <w:spacing w:val="-2"/>
        </w:rPr>
        <w:t>результатам </w:t>
      </w:r>
      <w:r>
        <w:rPr/>
        <w:t>методики,</w:t>
      </w:r>
      <w:r>
        <w:rPr>
          <w:spacing w:val="40"/>
        </w:rPr>
        <w:t> </w:t>
      </w:r>
      <w:r>
        <w:rPr/>
        <w:t>говорит</w:t>
      </w:r>
      <w:r>
        <w:rPr>
          <w:spacing w:val="40"/>
        </w:rPr>
        <w:t> </w:t>
      </w:r>
      <w:r>
        <w:rPr/>
        <w:t>о</w:t>
      </w:r>
      <w:r>
        <w:rPr>
          <w:spacing w:val="40"/>
        </w:rPr>
        <w:t> </w:t>
      </w:r>
      <w:r>
        <w:rPr/>
        <w:t>необходимости</w:t>
      </w:r>
      <w:r>
        <w:rPr>
          <w:spacing w:val="40"/>
        </w:rPr>
        <w:t> </w:t>
      </w:r>
      <w:r>
        <w:rPr/>
        <w:t>оперативной</w:t>
      </w:r>
      <w:r>
        <w:rPr>
          <w:spacing w:val="40"/>
        </w:rPr>
        <w:t> </w:t>
      </w:r>
      <w:r>
        <w:rPr/>
        <w:t>коррекционной</w:t>
      </w:r>
      <w:r>
        <w:rPr>
          <w:spacing w:val="40"/>
        </w:rPr>
        <w:t> </w:t>
      </w:r>
      <w:r>
        <w:rPr/>
        <w:t>работы</w:t>
      </w:r>
      <w:r>
        <w:rPr>
          <w:spacing w:val="40"/>
        </w:rPr>
        <w:t> </w:t>
      </w:r>
      <w:r>
        <w:rPr/>
        <w:t>в этом</w:t>
      </w:r>
      <w:r>
        <w:rPr>
          <w:spacing w:val="40"/>
        </w:rPr>
        <w:t> </w:t>
      </w:r>
      <w:r>
        <w:rPr/>
        <w:t>направлении.</w:t>
      </w:r>
      <w:r>
        <w:rPr>
          <w:spacing w:val="40"/>
        </w:rPr>
        <w:t> </w:t>
      </w:r>
      <w:r>
        <w:rPr/>
        <w:t>Средняя</w:t>
      </w:r>
      <w:r>
        <w:rPr>
          <w:spacing w:val="40"/>
        </w:rPr>
        <w:t> </w:t>
      </w:r>
      <w:r>
        <w:rPr/>
        <w:t>социальная</w:t>
      </w:r>
      <w:r>
        <w:rPr>
          <w:spacing w:val="40"/>
        </w:rPr>
        <w:t> </w:t>
      </w:r>
      <w:r>
        <w:rPr/>
        <w:t>тревожность</w:t>
      </w:r>
      <w:r>
        <w:rPr>
          <w:spacing w:val="40"/>
        </w:rPr>
        <w:t> </w:t>
      </w:r>
      <w:r>
        <w:rPr/>
        <w:t>может</w:t>
      </w:r>
      <w:r>
        <w:rPr>
          <w:spacing w:val="40"/>
        </w:rPr>
        <w:t> </w:t>
      </w:r>
      <w:r>
        <w:rPr/>
        <w:t>не</w:t>
      </w:r>
      <w:r>
        <w:rPr>
          <w:spacing w:val="40"/>
        </w:rPr>
        <w:t> </w:t>
      </w:r>
      <w:r>
        <w:rPr/>
        <w:t>требовать</w:t>
      </w:r>
      <w:r>
        <w:rPr>
          <w:spacing w:val="80"/>
        </w:rPr>
        <w:t> </w:t>
      </w:r>
      <w:r>
        <w:rPr/>
        <w:t>оперативного</w:t>
      </w:r>
      <w:r>
        <w:rPr>
          <w:spacing w:val="80"/>
        </w:rPr>
        <w:t> </w:t>
      </w:r>
      <w:r>
        <w:rPr/>
        <w:t>вмешательства,</w:t>
      </w:r>
      <w:r>
        <w:rPr>
          <w:spacing w:val="80"/>
        </w:rPr>
        <w:t> </w:t>
      </w:r>
      <w:r>
        <w:rPr/>
        <w:t>а</w:t>
      </w:r>
      <w:r>
        <w:rPr>
          <w:spacing w:val="80"/>
        </w:rPr>
        <w:t> </w:t>
      </w:r>
      <w:r>
        <w:rPr/>
        <w:t>рассматриваться</w:t>
      </w:r>
      <w:r>
        <w:rPr>
          <w:spacing w:val="80"/>
        </w:rPr>
        <w:t> </w:t>
      </w:r>
      <w:r>
        <w:rPr/>
        <w:t>в</w:t>
      </w:r>
      <w:r>
        <w:rPr>
          <w:spacing w:val="80"/>
        </w:rPr>
        <w:t> </w:t>
      </w:r>
      <w:r>
        <w:rPr/>
        <w:t>комплексе</w:t>
      </w:r>
      <w:r>
        <w:rPr>
          <w:spacing w:val="80"/>
        </w:rPr>
        <w:t> </w:t>
      </w:r>
      <w:r>
        <w:rPr/>
        <w:t>с</w:t>
      </w:r>
      <w:r>
        <w:rPr>
          <w:spacing w:val="80"/>
        </w:rPr>
        <w:t> </w:t>
      </w:r>
      <w:r>
        <w:rPr/>
        <w:t>другими особенностями</w:t>
      </w:r>
      <w:r>
        <w:rPr>
          <w:spacing w:val="-17"/>
        </w:rPr>
        <w:t> </w:t>
      </w:r>
      <w:r>
        <w:rPr/>
        <w:t>ребенка.</w:t>
      </w:r>
      <w:r>
        <w:rPr>
          <w:spacing w:val="-16"/>
        </w:rPr>
        <w:t> </w:t>
      </w:r>
      <w:r>
        <w:rPr/>
        <w:t>Например,</w:t>
      </w:r>
      <w:r>
        <w:rPr>
          <w:spacing w:val="-16"/>
        </w:rPr>
        <w:t> </w:t>
      </w:r>
      <w:r>
        <w:rPr/>
        <w:t>их</w:t>
      </w:r>
      <w:r>
        <w:rPr>
          <w:spacing w:val="-15"/>
        </w:rPr>
        <w:t> </w:t>
      </w:r>
      <w:r>
        <w:rPr/>
        <w:t>нужно</w:t>
      </w:r>
      <w:r>
        <w:rPr>
          <w:spacing w:val="-15"/>
        </w:rPr>
        <w:t> </w:t>
      </w:r>
      <w:r>
        <w:rPr/>
        <w:t>оценить</w:t>
      </w:r>
      <w:r>
        <w:rPr>
          <w:spacing w:val="-17"/>
        </w:rPr>
        <w:t> </w:t>
      </w:r>
      <w:r>
        <w:rPr/>
        <w:t>в</w:t>
      </w:r>
      <w:r>
        <w:rPr>
          <w:spacing w:val="-17"/>
        </w:rPr>
        <w:t> </w:t>
      </w:r>
      <w:r>
        <w:rPr/>
        <w:t>контексте</w:t>
      </w:r>
      <w:r>
        <w:rPr>
          <w:spacing w:val="-15"/>
        </w:rPr>
        <w:t> </w:t>
      </w:r>
      <w:r>
        <w:rPr/>
        <w:t>показателей по «Многомерной шкале удовлетворенности жизнью школьников». Если по данной методике самые низкие баллы у ребенка-иностранного гражданинапо шкале</w:t>
      </w:r>
      <w:r>
        <w:rPr>
          <w:spacing w:val="40"/>
        </w:rPr>
        <w:t> </w:t>
      </w:r>
      <w:r>
        <w:rPr/>
        <w:t>«Школа»</w:t>
      </w:r>
      <w:r>
        <w:rPr>
          <w:spacing w:val="40"/>
        </w:rPr>
        <w:t> </w:t>
      </w:r>
      <w:r>
        <w:rPr/>
        <w:t>и</w:t>
      </w:r>
      <w:r>
        <w:rPr>
          <w:spacing w:val="40"/>
        </w:rPr>
        <w:t> </w:t>
      </w:r>
      <w:r>
        <w:rPr/>
        <w:t>«Учителя»,</w:t>
      </w:r>
      <w:r>
        <w:rPr>
          <w:spacing w:val="40"/>
        </w:rPr>
        <w:t> </w:t>
      </w:r>
      <w:r>
        <w:rPr/>
        <w:t>то</w:t>
      </w:r>
      <w:r>
        <w:rPr>
          <w:spacing w:val="40"/>
        </w:rPr>
        <w:t> </w:t>
      </w:r>
      <w:r>
        <w:rPr/>
        <w:t>социальная</w:t>
      </w:r>
      <w:r>
        <w:rPr>
          <w:spacing w:val="40"/>
        </w:rPr>
        <w:t> </w:t>
      </w:r>
      <w:r>
        <w:rPr/>
        <w:t>тревожность</w:t>
      </w:r>
      <w:r>
        <w:rPr>
          <w:spacing w:val="40"/>
        </w:rPr>
        <w:t> </w:t>
      </w:r>
      <w:r>
        <w:rPr/>
        <w:t>ребенка</w:t>
      </w:r>
      <w:r>
        <w:rPr>
          <w:spacing w:val="40"/>
        </w:rPr>
        <w:t> </w:t>
      </w:r>
      <w:r>
        <w:rPr/>
        <w:t>вполне может быть вызвана трудностями</w:t>
      </w:r>
      <w:r>
        <w:rPr>
          <w:spacing w:val="35"/>
        </w:rPr>
        <w:t> </w:t>
      </w:r>
      <w:r>
        <w:rPr/>
        <w:t>адаптации в школе. В ряде случаев, если</w:t>
      </w:r>
      <w:r>
        <w:rPr>
          <w:spacing w:val="80"/>
        </w:rPr>
        <w:t> </w:t>
      </w:r>
      <w:r>
        <w:rPr>
          <w:spacing w:val="-2"/>
        </w:rPr>
        <w:t>ребенку-мигранту</w:t>
      </w:r>
      <w:r>
        <w:rPr/>
        <w:tab/>
        <w:tab/>
      </w:r>
      <w:r>
        <w:rPr>
          <w:spacing w:val="-2"/>
        </w:rPr>
        <w:t>помогают</w:t>
      </w:r>
      <w:r>
        <w:rPr/>
        <w:tab/>
      </w:r>
      <w:r>
        <w:rPr>
          <w:spacing w:val="-2"/>
        </w:rPr>
        <w:t>наладить</w:t>
      </w:r>
      <w:r>
        <w:rPr/>
        <w:tab/>
      </w:r>
      <w:r>
        <w:rPr>
          <w:spacing w:val="-2"/>
        </w:rPr>
        <w:t>отношения</w:t>
      </w:r>
      <w:r>
        <w:rPr/>
        <w:tab/>
        <w:tab/>
      </w:r>
      <w:r>
        <w:rPr>
          <w:spacing w:val="-5"/>
        </w:rPr>
        <w:t>со</w:t>
      </w:r>
      <w:r>
        <w:rPr/>
        <w:tab/>
        <w:tab/>
      </w:r>
      <w:r>
        <w:rPr>
          <w:spacing w:val="-2"/>
        </w:rPr>
        <w:t>сверстниками</w:t>
      </w:r>
      <w:r>
        <w:rPr/>
        <w:tab/>
      </w:r>
      <w:r>
        <w:rPr>
          <w:spacing w:val="-10"/>
        </w:rPr>
        <w:t>и</w:t>
      </w:r>
    </w:p>
    <w:p>
      <w:pPr>
        <w:pStyle w:val="Heading4"/>
        <w:ind w:left="2"/>
        <w:jc w:val="left"/>
      </w:pPr>
      <w:r>
        <w:rPr/>
        <w:t>педагогом,</w:t>
      </w:r>
      <w:r>
        <w:rPr>
          <w:spacing w:val="-9"/>
        </w:rPr>
        <w:t> </w:t>
      </w:r>
      <w:r>
        <w:rPr/>
        <w:t>это</w:t>
      </w:r>
      <w:r>
        <w:rPr>
          <w:spacing w:val="-4"/>
        </w:rPr>
        <w:t> </w:t>
      </w:r>
      <w:r>
        <w:rPr/>
        <w:t>сказывается</w:t>
      </w:r>
      <w:r>
        <w:rPr>
          <w:spacing w:val="-4"/>
        </w:rPr>
        <w:t> </w:t>
      </w:r>
      <w:r>
        <w:rPr/>
        <w:t>и</w:t>
      </w:r>
      <w:r>
        <w:rPr>
          <w:spacing w:val="-5"/>
        </w:rPr>
        <w:t> </w:t>
      </w:r>
      <w:r>
        <w:rPr/>
        <w:t>на</w:t>
      </w:r>
      <w:r>
        <w:rPr>
          <w:spacing w:val="-4"/>
        </w:rPr>
        <w:t> </w:t>
      </w:r>
      <w:r>
        <w:rPr/>
        <w:t>снижении</w:t>
      </w:r>
      <w:r>
        <w:rPr>
          <w:spacing w:val="-5"/>
        </w:rPr>
        <w:t> </w:t>
      </w:r>
      <w:r>
        <w:rPr/>
        <w:t>социальной</w:t>
      </w:r>
      <w:r>
        <w:rPr>
          <w:spacing w:val="-4"/>
        </w:rPr>
        <w:t> </w:t>
      </w:r>
      <w:r>
        <w:rPr>
          <w:spacing w:val="-2"/>
        </w:rPr>
        <w:t>тревожности.</w:t>
      </w:r>
    </w:p>
    <w:p>
      <w:pPr>
        <w:pStyle w:val="Heading4"/>
        <w:spacing w:line="276" w:lineRule="auto" w:before="49"/>
        <w:ind w:left="2" w:right="135" w:firstLine="707"/>
      </w:pPr>
      <w:r>
        <w:rPr>
          <w:i/>
        </w:rPr>
        <w:t>Опросник депрессивности </w:t>
      </w:r>
      <w:r>
        <w:rPr/>
        <w:t>предназначен для скринингового выявления депрессивного</w:t>
      </w:r>
      <w:r>
        <w:rPr>
          <w:spacing w:val="77"/>
          <w:w w:val="150"/>
        </w:rPr>
        <w:t> </w:t>
      </w:r>
      <w:r>
        <w:rPr/>
        <w:t>расстройства</w:t>
      </w:r>
      <w:r>
        <w:rPr>
          <w:spacing w:val="75"/>
          <w:w w:val="150"/>
        </w:rPr>
        <w:t> </w:t>
      </w:r>
      <w:r>
        <w:rPr/>
        <w:t>и</w:t>
      </w:r>
      <w:r>
        <w:rPr>
          <w:spacing w:val="77"/>
          <w:w w:val="150"/>
        </w:rPr>
        <w:t> </w:t>
      </w:r>
      <w:r>
        <w:rPr/>
        <w:t>состоит</w:t>
      </w:r>
      <w:r>
        <w:rPr>
          <w:spacing w:val="76"/>
          <w:w w:val="150"/>
        </w:rPr>
        <w:t> </w:t>
      </w:r>
      <w:r>
        <w:rPr/>
        <w:t>из</w:t>
      </w:r>
      <w:r>
        <w:rPr>
          <w:spacing w:val="75"/>
          <w:w w:val="150"/>
        </w:rPr>
        <w:t> </w:t>
      </w:r>
      <w:r>
        <w:rPr/>
        <w:t>20</w:t>
      </w:r>
      <w:r>
        <w:rPr>
          <w:spacing w:val="77"/>
          <w:w w:val="150"/>
        </w:rPr>
        <w:t> </w:t>
      </w:r>
      <w:r>
        <w:rPr/>
        <w:t>утверждений,</w:t>
      </w:r>
      <w:r>
        <w:rPr>
          <w:spacing w:val="75"/>
          <w:w w:val="150"/>
        </w:rPr>
        <w:t> </w:t>
      </w:r>
      <w:r>
        <w:rPr/>
        <w:t>касающихся</w:t>
      </w:r>
    </w:p>
    <w:p>
      <w:pPr>
        <w:pStyle w:val="Heading4"/>
        <w:spacing w:after="0" w:line="276" w:lineRule="auto"/>
        <w:sectPr>
          <w:pgSz w:w="11910" w:h="16840"/>
          <w:pgMar w:header="0" w:footer="954" w:top="1040" w:bottom="1220" w:left="1700" w:right="708"/>
        </w:sectPr>
      </w:pPr>
    </w:p>
    <w:p>
      <w:pPr>
        <w:pStyle w:val="Heading4"/>
        <w:spacing w:line="278" w:lineRule="auto" w:before="67"/>
        <w:ind w:left="2" w:right="144"/>
      </w:pPr>
      <w:r>
        <w:rPr/>
        <w:t>эмоционального состояния, уровня активности и самочувствия </w:t>
      </w:r>
      <w:r>
        <w:rPr>
          <w:spacing w:val="-2"/>
        </w:rPr>
        <w:t>опрашиваемых.</w:t>
      </w:r>
    </w:p>
    <w:p>
      <w:pPr>
        <w:pStyle w:val="Heading4"/>
        <w:spacing w:line="276" w:lineRule="auto"/>
        <w:ind w:left="2" w:right="137" w:firstLine="707"/>
      </w:pPr>
      <w:r>
        <w:rPr/>
        <w:t>В популяционных исследованиях методика используется в целях скрининга среди людей из группы риска. Дети-иностранные граждане, без сомнения, находятся в группе риска по возникновению депрессивных расстройств. По данным многочисленных исследований, частота выявления таких расстройств среди мигрантов существенно выше, чем у местного населения. Одна из значимых причин — общая неудовлетворенность ситуацией миграции. Несмотря на то что депрессивные расстройства встречаются у 5–10% детей-иностранных граждан, их своевременное обнаружение является важной задачей. При результате диагностики, превышающем норму, ребенок должен быть немедленно направлен на углубленную диагностику клиническим психологом и психиатром для последующей постановки диагноза и оценки необходимости лечения.</w:t>
      </w:r>
    </w:p>
    <w:p>
      <w:pPr>
        <w:pStyle w:val="Heading4"/>
        <w:spacing w:line="276" w:lineRule="auto"/>
        <w:ind w:left="2" w:right="135" w:firstLine="707"/>
      </w:pPr>
      <w:r>
        <w:rPr/>
        <w:t>Методика «</w:t>
      </w:r>
      <w:r>
        <w:rPr>
          <w:i/>
        </w:rPr>
        <w:t>Шкала отношения к школе</w:t>
      </w:r>
      <w:r>
        <w:rPr/>
        <w:t>» позволяет оценить уровень внутренней школьной мотивации и отношения к школе. Она является дополнительной методикой в углубленном блоке диагностики. По ее результатам можно понять, насколько ребенку нравится школа, в какой мере он</w:t>
      </w:r>
      <w:r>
        <w:rPr>
          <w:spacing w:val="-14"/>
        </w:rPr>
        <w:t> </w:t>
      </w:r>
      <w:r>
        <w:rPr/>
        <w:t>считает</w:t>
      </w:r>
      <w:r>
        <w:rPr>
          <w:spacing w:val="-15"/>
        </w:rPr>
        <w:t> </w:t>
      </w:r>
      <w:r>
        <w:rPr/>
        <w:t>учебу</w:t>
      </w:r>
      <w:r>
        <w:rPr>
          <w:spacing w:val="-18"/>
        </w:rPr>
        <w:t> </w:t>
      </w:r>
      <w:r>
        <w:rPr/>
        <w:t>в</w:t>
      </w:r>
      <w:r>
        <w:rPr>
          <w:spacing w:val="-10"/>
        </w:rPr>
        <w:t> </w:t>
      </w:r>
      <w:r>
        <w:rPr/>
        <w:t>школе</w:t>
      </w:r>
      <w:r>
        <w:rPr>
          <w:spacing w:val="-15"/>
        </w:rPr>
        <w:t> </w:t>
      </w:r>
      <w:r>
        <w:rPr/>
        <w:t>полезной</w:t>
      </w:r>
      <w:r>
        <w:rPr>
          <w:spacing w:val="-14"/>
        </w:rPr>
        <w:t> </w:t>
      </w:r>
      <w:r>
        <w:rPr/>
        <w:t>и</w:t>
      </w:r>
      <w:r>
        <w:rPr>
          <w:spacing w:val="-14"/>
        </w:rPr>
        <w:t> </w:t>
      </w:r>
      <w:r>
        <w:rPr/>
        <w:t>является</w:t>
      </w:r>
      <w:r>
        <w:rPr>
          <w:spacing w:val="-14"/>
        </w:rPr>
        <w:t> </w:t>
      </w:r>
      <w:r>
        <w:rPr/>
        <w:t>ли</w:t>
      </w:r>
      <w:r>
        <w:rPr>
          <w:spacing w:val="-14"/>
        </w:rPr>
        <w:t> </w:t>
      </w:r>
      <w:r>
        <w:rPr/>
        <w:t>для</w:t>
      </w:r>
      <w:r>
        <w:rPr>
          <w:spacing w:val="-14"/>
        </w:rPr>
        <w:t> </w:t>
      </w:r>
      <w:r>
        <w:rPr/>
        <w:t>него</w:t>
      </w:r>
      <w:r>
        <w:rPr>
          <w:spacing w:val="-14"/>
        </w:rPr>
        <w:t> </w:t>
      </w:r>
      <w:r>
        <w:rPr/>
        <w:t>успешность</w:t>
      </w:r>
      <w:r>
        <w:rPr>
          <w:spacing w:val="-15"/>
        </w:rPr>
        <w:t> </w:t>
      </w:r>
      <w:r>
        <w:rPr/>
        <w:t>в</w:t>
      </w:r>
      <w:r>
        <w:rPr>
          <w:spacing w:val="-16"/>
        </w:rPr>
        <w:t> </w:t>
      </w:r>
      <w:r>
        <w:rPr/>
        <w:t>школе важной. Методику рекомендуется проводить в случае низкой академической успешности ребенка-иностранного гражданина для изучения одной из потенциальных ее причин. Следует подчеркнуть, что низкая мотивация, ощущение незначимости и бесполезности учебы в школе не должны рассматриваться как негативная характеристика ребенка. Наоборот, они сигнализируют о трудностях школьной среды, о том, что учеба в школе не решает задачи формирования учебной мотивации ребенка-мигранта.</w:t>
      </w:r>
    </w:p>
    <w:p>
      <w:pPr>
        <w:pStyle w:val="Heading4"/>
        <w:spacing w:line="276" w:lineRule="auto"/>
        <w:ind w:left="2" w:right="137" w:firstLine="707"/>
      </w:pPr>
      <w:r>
        <w:rPr>
          <w:i/>
        </w:rPr>
        <w:t>Детский тест психологической устойчивости </w:t>
      </w:r>
      <w:r>
        <w:rPr>
          <w:color w:val="000000"/>
          <w:shd w:fill="FAFAFA" w:color="auto" w:val="clear"/>
        </w:rPr>
        <w:t>рекомендуется к</w:t>
      </w:r>
      <w:r>
        <w:rPr>
          <w:color w:val="000000"/>
        </w:rPr>
        <w:t> </w:t>
      </w:r>
      <w:r>
        <w:rPr>
          <w:color w:val="000000"/>
          <w:shd w:fill="FAFAFA" w:color="auto" w:val="clear"/>
        </w:rPr>
        <w:t>использованию для оценки эффективности психологического сопровождения</w:t>
      </w:r>
      <w:r>
        <w:rPr>
          <w:color w:val="000000"/>
        </w:rPr>
        <w:t> </w:t>
      </w:r>
      <w:r>
        <w:rPr>
          <w:color w:val="000000"/>
          <w:shd w:fill="FAFAFA" w:color="auto" w:val="clear"/>
        </w:rPr>
        <w:t>в области психологического благополучия. </w:t>
      </w:r>
      <w:r>
        <w:rPr>
          <w:color w:val="000000"/>
        </w:rPr>
        <w:t>Его применение не отличается по проведению</w:t>
      </w:r>
      <w:r>
        <w:rPr>
          <w:color w:val="000000"/>
          <w:spacing w:val="-18"/>
        </w:rPr>
        <w:t> </w:t>
      </w:r>
      <w:r>
        <w:rPr>
          <w:color w:val="000000"/>
        </w:rPr>
        <w:t>и</w:t>
      </w:r>
      <w:r>
        <w:rPr>
          <w:color w:val="000000"/>
          <w:spacing w:val="-17"/>
        </w:rPr>
        <w:t> </w:t>
      </w:r>
      <w:r>
        <w:rPr>
          <w:color w:val="000000"/>
        </w:rPr>
        <w:t>обработке</w:t>
      </w:r>
      <w:r>
        <w:rPr>
          <w:color w:val="000000"/>
          <w:spacing w:val="-18"/>
        </w:rPr>
        <w:t> </w:t>
      </w:r>
      <w:r>
        <w:rPr>
          <w:color w:val="000000"/>
        </w:rPr>
        <w:t>данных</w:t>
      </w:r>
      <w:r>
        <w:rPr>
          <w:color w:val="000000"/>
          <w:spacing w:val="-17"/>
        </w:rPr>
        <w:t> </w:t>
      </w:r>
      <w:r>
        <w:rPr>
          <w:color w:val="000000"/>
        </w:rPr>
        <w:t>от</w:t>
      </w:r>
      <w:r>
        <w:rPr>
          <w:color w:val="000000"/>
          <w:spacing w:val="-18"/>
        </w:rPr>
        <w:t> </w:t>
      </w:r>
      <w:r>
        <w:rPr>
          <w:color w:val="000000"/>
        </w:rPr>
        <w:t>варианта</w:t>
      </w:r>
      <w:r>
        <w:rPr>
          <w:color w:val="000000"/>
          <w:spacing w:val="-17"/>
        </w:rPr>
        <w:t> </w:t>
      </w:r>
      <w:r>
        <w:rPr>
          <w:color w:val="000000"/>
        </w:rPr>
        <w:t>для</w:t>
      </w:r>
      <w:r>
        <w:rPr>
          <w:color w:val="000000"/>
          <w:spacing w:val="-18"/>
        </w:rPr>
        <w:t> </w:t>
      </w:r>
      <w:r>
        <w:rPr>
          <w:color w:val="000000"/>
        </w:rPr>
        <w:t>начальной</w:t>
      </w:r>
      <w:r>
        <w:rPr>
          <w:color w:val="000000"/>
          <w:spacing w:val="-17"/>
        </w:rPr>
        <w:t> </w:t>
      </w:r>
      <w:r>
        <w:rPr>
          <w:color w:val="000000"/>
        </w:rPr>
        <w:t>школы</w:t>
      </w:r>
      <w:r>
        <w:rPr>
          <w:color w:val="000000"/>
          <w:spacing w:val="-18"/>
        </w:rPr>
        <w:t> </w:t>
      </w:r>
      <w:r>
        <w:rPr>
          <w:color w:val="000000"/>
        </w:rPr>
        <w:t>(см.</w:t>
      </w:r>
      <w:r>
        <w:rPr>
          <w:color w:val="000000"/>
          <w:spacing w:val="-17"/>
        </w:rPr>
        <w:t> </w:t>
      </w:r>
      <w:r>
        <w:rPr>
          <w:color w:val="000000"/>
        </w:rPr>
        <w:t>выше), за исключением того, что в средней школе используется другой бланк для </w:t>
      </w:r>
      <w:r>
        <w:rPr>
          <w:color w:val="000000"/>
          <w:spacing w:val="-2"/>
        </w:rPr>
        <w:t>диагностики.</w:t>
      </w:r>
    </w:p>
    <w:p>
      <w:pPr>
        <w:pStyle w:val="Heading3"/>
        <w:spacing w:before="243"/>
        <w:ind w:left="2"/>
      </w:pPr>
      <w:r>
        <w:rPr/>
        <w:t>Старшая</w:t>
      </w:r>
      <w:r>
        <w:rPr>
          <w:spacing w:val="-6"/>
        </w:rPr>
        <w:t> </w:t>
      </w:r>
      <w:r>
        <w:rPr>
          <w:spacing w:val="-4"/>
        </w:rPr>
        <w:t>школа</w:t>
      </w:r>
    </w:p>
    <w:p>
      <w:pPr>
        <w:spacing w:before="242"/>
        <w:ind w:left="710" w:right="0" w:firstLine="0"/>
        <w:jc w:val="left"/>
        <w:rPr>
          <w:sz w:val="28"/>
        </w:rPr>
      </w:pPr>
      <w:r>
        <w:rPr>
          <w:sz w:val="28"/>
        </w:rPr>
        <w:t>В</w:t>
      </w:r>
      <w:r>
        <w:rPr>
          <w:spacing w:val="-8"/>
          <w:sz w:val="28"/>
        </w:rPr>
        <w:t> </w:t>
      </w:r>
      <w:r>
        <w:rPr>
          <w:b/>
          <w:sz w:val="28"/>
        </w:rPr>
        <w:t>базовый</w:t>
      </w:r>
      <w:r>
        <w:rPr>
          <w:b/>
          <w:spacing w:val="-6"/>
          <w:sz w:val="28"/>
        </w:rPr>
        <w:t> </w:t>
      </w:r>
      <w:r>
        <w:rPr>
          <w:b/>
          <w:sz w:val="28"/>
        </w:rPr>
        <w:t>набор</w:t>
      </w:r>
      <w:r>
        <w:rPr>
          <w:b/>
          <w:spacing w:val="-5"/>
          <w:sz w:val="28"/>
        </w:rPr>
        <w:t> </w:t>
      </w:r>
      <w:r>
        <w:rPr>
          <w:sz w:val="28"/>
        </w:rPr>
        <w:t>диагностики</w:t>
      </w:r>
      <w:r>
        <w:rPr>
          <w:spacing w:val="-5"/>
          <w:sz w:val="28"/>
        </w:rPr>
        <w:t> </w:t>
      </w:r>
      <w:r>
        <w:rPr>
          <w:sz w:val="28"/>
        </w:rPr>
        <w:t>для</w:t>
      </w:r>
      <w:r>
        <w:rPr>
          <w:spacing w:val="-4"/>
          <w:sz w:val="28"/>
        </w:rPr>
        <w:t> </w:t>
      </w:r>
      <w:r>
        <w:rPr>
          <w:sz w:val="28"/>
        </w:rPr>
        <w:t>старшей</w:t>
      </w:r>
      <w:r>
        <w:rPr>
          <w:spacing w:val="-5"/>
          <w:sz w:val="28"/>
        </w:rPr>
        <w:t> </w:t>
      </w:r>
      <w:r>
        <w:rPr>
          <w:sz w:val="28"/>
        </w:rPr>
        <w:t>школы</w:t>
      </w:r>
      <w:r>
        <w:rPr>
          <w:spacing w:val="-4"/>
          <w:sz w:val="28"/>
        </w:rPr>
        <w:t> </w:t>
      </w:r>
      <w:r>
        <w:rPr>
          <w:spacing w:val="-2"/>
          <w:sz w:val="28"/>
        </w:rPr>
        <w:t>входят:</w:t>
      </w:r>
    </w:p>
    <w:p>
      <w:pPr>
        <w:pStyle w:val="Heading4"/>
        <w:numPr>
          <w:ilvl w:val="1"/>
          <w:numId w:val="12"/>
        </w:numPr>
        <w:tabs>
          <w:tab w:pos="1702" w:val="left" w:leader="none"/>
        </w:tabs>
        <w:spacing w:line="240" w:lineRule="auto" w:before="48" w:after="0"/>
        <w:ind w:left="1702" w:right="0" w:hanging="359"/>
        <w:jc w:val="left"/>
      </w:pPr>
      <w:r>
        <w:rPr/>
        <w:t>Шкала</w:t>
      </w:r>
      <w:r>
        <w:rPr>
          <w:spacing w:val="-12"/>
        </w:rPr>
        <w:t> </w:t>
      </w:r>
      <w:r>
        <w:rPr/>
        <w:t>психологического</w:t>
      </w:r>
      <w:r>
        <w:rPr>
          <w:spacing w:val="-8"/>
        </w:rPr>
        <w:t> </w:t>
      </w:r>
      <w:r>
        <w:rPr/>
        <w:t>благополучия</w:t>
      </w:r>
      <w:r>
        <w:rPr>
          <w:spacing w:val="-11"/>
        </w:rPr>
        <w:t> </w:t>
      </w:r>
      <w:r>
        <w:rPr>
          <w:spacing w:val="-2"/>
        </w:rPr>
        <w:t>Уорик–Эдинбург.</w:t>
      </w:r>
    </w:p>
    <w:p>
      <w:pPr>
        <w:pStyle w:val="Heading4"/>
        <w:numPr>
          <w:ilvl w:val="1"/>
          <w:numId w:val="12"/>
        </w:numPr>
        <w:tabs>
          <w:tab w:pos="1702" w:val="left" w:leader="none"/>
        </w:tabs>
        <w:spacing w:line="240" w:lineRule="auto" w:before="35" w:after="0"/>
        <w:ind w:left="1702" w:right="0" w:hanging="359"/>
        <w:jc w:val="left"/>
      </w:pPr>
      <w:r>
        <w:rPr/>
        <w:t>Опросник</w:t>
      </w:r>
      <w:r>
        <w:rPr>
          <w:spacing w:val="-15"/>
        </w:rPr>
        <w:t> </w:t>
      </w:r>
      <w:r>
        <w:rPr/>
        <w:t>психологического</w:t>
      </w:r>
      <w:r>
        <w:rPr>
          <w:spacing w:val="-9"/>
        </w:rPr>
        <w:t> </w:t>
      </w:r>
      <w:r>
        <w:rPr/>
        <w:t>здоровья</w:t>
      </w:r>
      <w:r>
        <w:rPr>
          <w:spacing w:val="-9"/>
        </w:rPr>
        <w:t> </w:t>
      </w:r>
      <w:r>
        <w:rPr>
          <w:spacing w:val="-2"/>
        </w:rPr>
        <w:t>мигрантов.</w:t>
      </w:r>
    </w:p>
    <w:p>
      <w:pPr>
        <w:pStyle w:val="Heading4"/>
        <w:spacing w:after="0" w:line="240" w:lineRule="auto"/>
        <w:jc w:val="left"/>
        <w:sectPr>
          <w:pgSz w:w="11910" w:h="16840"/>
          <w:pgMar w:header="0" w:footer="954" w:top="1040" w:bottom="1220" w:left="1700" w:right="708"/>
        </w:sectPr>
      </w:pPr>
    </w:p>
    <w:p>
      <w:pPr>
        <w:pStyle w:val="Heading4"/>
        <w:spacing w:line="276" w:lineRule="auto" w:before="67"/>
        <w:ind w:left="2" w:right="138" w:firstLine="707"/>
      </w:pPr>
      <w:r>
        <w:rPr>
          <w:i/>
        </w:rPr>
        <w:t>Шкала психологического благополучия Уорик–Эдинбург </w:t>
      </w:r>
      <w:r>
        <w:rPr/>
        <w:t>используется для диагностики психологического благополучия в широком смысле слова: переживание удовольствия и счастья, оптимизм, удовлетворенность отношениями с людьми и позитивное функционирование. Работа с этой шкалой аналогична работе с вариантом для средней школы (см. выше).</w:t>
      </w:r>
    </w:p>
    <w:p>
      <w:pPr>
        <w:pStyle w:val="Heading4"/>
        <w:spacing w:line="276" w:lineRule="auto" w:before="2"/>
        <w:ind w:left="2" w:right="137" w:firstLine="707"/>
      </w:pPr>
      <w:r>
        <w:rPr>
          <w:i/>
        </w:rPr>
        <w:t>Опросник психологического здоровья мигрантов </w:t>
      </w:r>
      <w:r>
        <w:rPr/>
        <w:t>предназначен для скрининга психического и психологического состояния мигрантов: соматических и психологических проявлений тревожности и депрессии, связанных</w:t>
      </w:r>
      <w:r>
        <w:rPr>
          <w:spacing w:val="-11"/>
        </w:rPr>
        <w:t> </w:t>
      </w:r>
      <w:r>
        <w:rPr/>
        <w:t>с</w:t>
      </w:r>
      <w:r>
        <w:rPr>
          <w:spacing w:val="-12"/>
        </w:rPr>
        <w:t> </w:t>
      </w:r>
      <w:r>
        <w:rPr/>
        <w:t>возможными</w:t>
      </w:r>
      <w:r>
        <w:rPr>
          <w:spacing w:val="-12"/>
        </w:rPr>
        <w:t> </w:t>
      </w:r>
      <w:r>
        <w:rPr/>
        <w:t>травматическими</w:t>
      </w:r>
      <w:r>
        <w:rPr>
          <w:spacing w:val="-11"/>
        </w:rPr>
        <w:t> </w:t>
      </w:r>
      <w:r>
        <w:rPr/>
        <w:t>событиями,</w:t>
      </w:r>
      <w:r>
        <w:rPr>
          <w:spacing w:val="-13"/>
        </w:rPr>
        <w:t> </w:t>
      </w:r>
      <w:r>
        <w:rPr/>
        <w:t>пережитыми</w:t>
      </w:r>
      <w:r>
        <w:rPr>
          <w:spacing w:val="-12"/>
        </w:rPr>
        <w:t> </w:t>
      </w:r>
      <w:r>
        <w:rPr/>
        <w:t>во</w:t>
      </w:r>
      <w:r>
        <w:rPr>
          <w:spacing w:val="-11"/>
        </w:rPr>
        <w:t> </w:t>
      </w:r>
      <w:r>
        <w:rPr/>
        <w:t>время войны,</w:t>
      </w:r>
      <w:r>
        <w:rPr>
          <w:spacing w:val="-18"/>
        </w:rPr>
        <w:t> </w:t>
      </w:r>
      <w:r>
        <w:rPr/>
        <w:t>в</w:t>
      </w:r>
      <w:r>
        <w:rPr>
          <w:spacing w:val="-17"/>
        </w:rPr>
        <w:t> </w:t>
      </w:r>
      <w:r>
        <w:rPr/>
        <w:t>результате</w:t>
      </w:r>
      <w:r>
        <w:rPr>
          <w:spacing w:val="-18"/>
        </w:rPr>
        <w:t> </w:t>
      </w:r>
      <w:r>
        <w:rPr/>
        <w:t>религиозных/политических</w:t>
      </w:r>
      <w:r>
        <w:rPr>
          <w:spacing w:val="-17"/>
        </w:rPr>
        <w:t> </w:t>
      </w:r>
      <w:r>
        <w:rPr/>
        <w:t>преследований</w:t>
      </w:r>
      <w:r>
        <w:rPr>
          <w:spacing w:val="-18"/>
        </w:rPr>
        <w:t> </w:t>
      </w:r>
      <w:r>
        <w:rPr/>
        <w:t>или</w:t>
      </w:r>
      <w:r>
        <w:rPr>
          <w:spacing w:val="-17"/>
        </w:rPr>
        <w:t> </w:t>
      </w:r>
      <w:r>
        <w:rPr/>
        <w:t>в</w:t>
      </w:r>
      <w:r>
        <w:rPr>
          <w:spacing w:val="-18"/>
        </w:rPr>
        <w:t> </w:t>
      </w:r>
      <w:r>
        <w:rPr/>
        <w:t>процессе переселения из одной страны в другую.</w:t>
      </w:r>
    </w:p>
    <w:p>
      <w:pPr>
        <w:pStyle w:val="Heading4"/>
        <w:spacing w:line="276" w:lineRule="auto" w:before="1"/>
        <w:ind w:left="2" w:right="138" w:firstLine="707"/>
      </w:pPr>
      <w:r>
        <w:rPr/>
        <w:t>По сумме ответов на вопросы можно сделать вывод о вероятности наличия эмоциональных или психических расстройств и оценить степень необходимости соответствующей помощи. Методика достаточно проста для понимания даже теми, кто плохо владеет русским языком. Психолог может объяснить</w:t>
      </w:r>
      <w:r>
        <w:rPr>
          <w:spacing w:val="-12"/>
        </w:rPr>
        <w:t> </w:t>
      </w:r>
      <w:r>
        <w:rPr/>
        <w:t>подростку-мигранту</w:t>
      </w:r>
      <w:r>
        <w:rPr>
          <w:spacing w:val="-15"/>
        </w:rPr>
        <w:t> </w:t>
      </w:r>
      <w:r>
        <w:rPr/>
        <w:t>содержание</w:t>
      </w:r>
      <w:r>
        <w:rPr>
          <w:spacing w:val="-11"/>
        </w:rPr>
        <w:t> </w:t>
      </w:r>
      <w:r>
        <w:rPr/>
        <w:t>вопросов.</w:t>
      </w:r>
      <w:r>
        <w:rPr>
          <w:spacing w:val="-12"/>
        </w:rPr>
        <w:t> </w:t>
      </w:r>
      <w:r>
        <w:rPr/>
        <w:t>В</w:t>
      </w:r>
      <w:r>
        <w:rPr>
          <w:spacing w:val="-11"/>
        </w:rPr>
        <w:t> </w:t>
      </w:r>
      <w:r>
        <w:rPr/>
        <w:t>этом</w:t>
      </w:r>
      <w:r>
        <w:rPr>
          <w:spacing w:val="-11"/>
        </w:rPr>
        <w:t> </w:t>
      </w:r>
      <w:r>
        <w:rPr/>
        <w:t>случае</w:t>
      </w:r>
      <w:r>
        <w:rPr>
          <w:spacing w:val="-11"/>
        </w:rPr>
        <w:t> </w:t>
      </w:r>
      <w:r>
        <w:rPr/>
        <w:t>методика заполняется в процессе индивидуальной беседы, при необходимости с использованием онлайн-переводчика в смартфоне.</w:t>
      </w:r>
    </w:p>
    <w:p>
      <w:pPr>
        <w:spacing w:before="241"/>
        <w:ind w:left="710" w:right="0" w:firstLine="0"/>
        <w:jc w:val="left"/>
        <w:rPr>
          <w:sz w:val="28"/>
        </w:rPr>
      </w:pPr>
      <w:r>
        <w:rPr>
          <w:sz w:val="28"/>
        </w:rPr>
        <w:t>В</w:t>
      </w:r>
      <w:r>
        <w:rPr>
          <w:spacing w:val="-7"/>
          <w:sz w:val="28"/>
        </w:rPr>
        <w:t> </w:t>
      </w:r>
      <w:r>
        <w:rPr>
          <w:b/>
          <w:sz w:val="28"/>
        </w:rPr>
        <w:t>расширенный</w:t>
      </w:r>
      <w:r>
        <w:rPr>
          <w:b/>
          <w:spacing w:val="-6"/>
          <w:sz w:val="28"/>
        </w:rPr>
        <w:t> </w:t>
      </w:r>
      <w:r>
        <w:rPr>
          <w:b/>
          <w:sz w:val="28"/>
        </w:rPr>
        <w:t>набор</w:t>
      </w:r>
      <w:r>
        <w:rPr>
          <w:b/>
          <w:spacing w:val="-7"/>
          <w:sz w:val="28"/>
        </w:rPr>
        <w:t> </w:t>
      </w:r>
      <w:r>
        <w:rPr>
          <w:sz w:val="28"/>
        </w:rPr>
        <w:t>диагностики</w:t>
      </w:r>
      <w:r>
        <w:rPr>
          <w:spacing w:val="-5"/>
          <w:sz w:val="28"/>
        </w:rPr>
        <w:t> </w:t>
      </w:r>
      <w:r>
        <w:rPr>
          <w:sz w:val="28"/>
        </w:rPr>
        <w:t>для</w:t>
      </w:r>
      <w:r>
        <w:rPr>
          <w:spacing w:val="-5"/>
          <w:sz w:val="28"/>
        </w:rPr>
        <w:t> </w:t>
      </w:r>
      <w:r>
        <w:rPr>
          <w:sz w:val="28"/>
        </w:rPr>
        <w:t>старшей</w:t>
      </w:r>
      <w:r>
        <w:rPr>
          <w:spacing w:val="-4"/>
          <w:sz w:val="28"/>
        </w:rPr>
        <w:t> </w:t>
      </w:r>
      <w:r>
        <w:rPr>
          <w:sz w:val="28"/>
        </w:rPr>
        <w:t>школы</w:t>
      </w:r>
      <w:r>
        <w:rPr>
          <w:spacing w:val="-5"/>
          <w:sz w:val="28"/>
        </w:rPr>
        <w:t> </w:t>
      </w:r>
      <w:r>
        <w:rPr>
          <w:spacing w:val="-2"/>
          <w:sz w:val="28"/>
        </w:rPr>
        <w:t>входят:</w:t>
      </w:r>
    </w:p>
    <w:p>
      <w:pPr>
        <w:pStyle w:val="Heading4"/>
        <w:numPr>
          <w:ilvl w:val="1"/>
          <w:numId w:val="12"/>
        </w:numPr>
        <w:tabs>
          <w:tab w:pos="1702" w:val="left" w:leader="none"/>
        </w:tabs>
        <w:spacing w:line="240" w:lineRule="auto" w:before="47" w:after="0"/>
        <w:ind w:left="1702" w:right="0" w:hanging="359"/>
        <w:jc w:val="left"/>
      </w:pPr>
      <w:r>
        <w:rPr/>
        <w:t>Многомерная</w:t>
      </w:r>
      <w:r>
        <w:rPr>
          <w:spacing w:val="-10"/>
        </w:rPr>
        <w:t> </w:t>
      </w:r>
      <w:r>
        <w:rPr/>
        <w:t>шкала</w:t>
      </w:r>
      <w:r>
        <w:rPr>
          <w:spacing w:val="-9"/>
        </w:rPr>
        <w:t> </w:t>
      </w:r>
      <w:r>
        <w:rPr/>
        <w:t>удовлетворенности</w:t>
      </w:r>
      <w:r>
        <w:rPr>
          <w:spacing w:val="-10"/>
        </w:rPr>
        <w:t> </w:t>
      </w:r>
      <w:r>
        <w:rPr/>
        <w:t>жизнью</w:t>
      </w:r>
      <w:r>
        <w:rPr>
          <w:spacing w:val="-9"/>
        </w:rPr>
        <w:t> </w:t>
      </w:r>
      <w:r>
        <w:rPr>
          <w:spacing w:val="-2"/>
        </w:rPr>
        <w:t>школьников.</w:t>
      </w:r>
    </w:p>
    <w:p>
      <w:pPr>
        <w:pStyle w:val="Heading4"/>
        <w:numPr>
          <w:ilvl w:val="1"/>
          <w:numId w:val="12"/>
        </w:numPr>
        <w:tabs>
          <w:tab w:pos="1702" w:val="left" w:leader="none"/>
        </w:tabs>
        <w:spacing w:line="240" w:lineRule="auto" w:before="33" w:after="0"/>
        <w:ind w:left="1702" w:right="0" w:hanging="359"/>
        <w:jc w:val="left"/>
      </w:pPr>
      <w:r>
        <w:rPr/>
        <w:t>Шкала</w:t>
      </w:r>
      <w:r>
        <w:rPr>
          <w:spacing w:val="-6"/>
        </w:rPr>
        <w:t> </w:t>
      </w:r>
      <w:r>
        <w:rPr/>
        <w:t>социального</w:t>
      </w:r>
      <w:r>
        <w:rPr>
          <w:spacing w:val="-7"/>
        </w:rPr>
        <w:t> </w:t>
      </w:r>
      <w:r>
        <w:rPr/>
        <w:t>избегания</w:t>
      </w:r>
      <w:r>
        <w:rPr>
          <w:spacing w:val="-8"/>
        </w:rPr>
        <w:t> </w:t>
      </w:r>
      <w:r>
        <w:rPr/>
        <w:t>и</w:t>
      </w:r>
      <w:r>
        <w:rPr>
          <w:spacing w:val="-4"/>
        </w:rPr>
        <w:t> </w:t>
      </w:r>
      <w:r>
        <w:rPr>
          <w:spacing w:val="-2"/>
        </w:rPr>
        <w:t>дистресса.</w:t>
      </w:r>
    </w:p>
    <w:p>
      <w:pPr>
        <w:pStyle w:val="Heading4"/>
        <w:numPr>
          <w:ilvl w:val="1"/>
          <w:numId w:val="12"/>
        </w:numPr>
        <w:tabs>
          <w:tab w:pos="1702" w:val="left" w:leader="none"/>
        </w:tabs>
        <w:spacing w:line="240" w:lineRule="auto" w:before="35" w:after="0"/>
        <w:ind w:left="1702" w:right="0" w:hanging="359"/>
        <w:jc w:val="left"/>
      </w:pPr>
      <w:r>
        <w:rPr/>
        <w:t>Опросник</w:t>
      </w:r>
      <w:r>
        <w:rPr>
          <w:spacing w:val="-8"/>
        </w:rPr>
        <w:t> </w:t>
      </w:r>
      <w:r>
        <w:rPr>
          <w:spacing w:val="-2"/>
        </w:rPr>
        <w:t>депрессивности.</w:t>
      </w:r>
    </w:p>
    <w:p>
      <w:pPr>
        <w:pStyle w:val="Heading4"/>
        <w:numPr>
          <w:ilvl w:val="1"/>
          <w:numId w:val="12"/>
        </w:numPr>
        <w:tabs>
          <w:tab w:pos="1702" w:val="left" w:leader="none"/>
        </w:tabs>
        <w:spacing w:line="240" w:lineRule="auto" w:before="32" w:after="0"/>
        <w:ind w:left="1702" w:right="0" w:hanging="359"/>
        <w:jc w:val="left"/>
      </w:pPr>
      <w:r>
        <w:rPr/>
        <w:t>Шкала</w:t>
      </w:r>
      <w:r>
        <w:rPr>
          <w:spacing w:val="-5"/>
        </w:rPr>
        <w:t> </w:t>
      </w:r>
      <w:r>
        <w:rPr/>
        <w:t>отношения</w:t>
      </w:r>
      <w:r>
        <w:rPr>
          <w:spacing w:val="-5"/>
        </w:rPr>
        <w:t> </w:t>
      </w:r>
      <w:r>
        <w:rPr/>
        <w:t>к</w:t>
      </w:r>
      <w:r>
        <w:rPr>
          <w:spacing w:val="-5"/>
        </w:rPr>
        <w:t> </w:t>
      </w:r>
      <w:r>
        <w:rPr>
          <w:spacing w:val="-2"/>
        </w:rPr>
        <w:t>школе.</w:t>
      </w:r>
    </w:p>
    <w:p>
      <w:pPr>
        <w:pStyle w:val="Heading4"/>
        <w:numPr>
          <w:ilvl w:val="1"/>
          <w:numId w:val="12"/>
        </w:numPr>
        <w:tabs>
          <w:tab w:pos="1702" w:val="left" w:leader="none"/>
        </w:tabs>
        <w:spacing w:line="240" w:lineRule="auto" w:before="35" w:after="0"/>
        <w:ind w:left="1702" w:right="0" w:hanging="359"/>
        <w:jc w:val="left"/>
      </w:pPr>
      <w:r>
        <w:rPr/>
        <w:t>Детский</w:t>
      </w:r>
      <w:r>
        <w:rPr>
          <w:spacing w:val="-6"/>
        </w:rPr>
        <w:t> </w:t>
      </w:r>
      <w:r>
        <w:rPr/>
        <w:t>тест</w:t>
      </w:r>
      <w:r>
        <w:rPr>
          <w:spacing w:val="-6"/>
        </w:rPr>
        <w:t> </w:t>
      </w:r>
      <w:r>
        <w:rPr/>
        <w:t>психологической</w:t>
      </w:r>
      <w:r>
        <w:rPr>
          <w:spacing w:val="-6"/>
        </w:rPr>
        <w:t> </w:t>
      </w:r>
      <w:r>
        <w:rPr>
          <w:spacing w:val="-2"/>
        </w:rPr>
        <w:t>устойчивости.</w:t>
      </w:r>
    </w:p>
    <w:p>
      <w:pPr>
        <w:pStyle w:val="Heading4"/>
        <w:spacing w:line="276" w:lineRule="auto" w:before="273"/>
        <w:ind w:left="2" w:right="147" w:firstLine="707"/>
      </w:pPr>
      <w:r>
        <w:rPr/>
        <w:t>Сами методики и работа с ними аналогичны работе с расширенным набором диагностики для средней школы (см. выше).</w:t>
      </w:r>
    </w:p>
    <w:p>
      <w:pPr>
        <w:pStyle w:val="Heading4"/>
        <w:spacing w:after="0" w:line="276" w:lineRule="auto"/>
        <w:sectPr>
          <w:pgSz w:w="11910" w:h="16840"/>
          <w:pgMar w:header="0" w:footer="954" w:top="1040" w:bottom="1220" w:left="1700" w:right="708"/>
        </w:sectPr>
      </w:pPr>
    </w:p>
    <w:p>
      <w:pPr>
        <w:pStyle w:val="BodyText"/>
        <w:spacing w:before="33"/>
        <w:ind w:left="0" w:right="0" w:firstLine="0"/>
        <w:jc w:val="left"/>
        <w:rPr>
          <w:sz w:val="28"/>
        </w:rPr>
      </w:pPr>
    </w:p>
    <w:p>
      <w:pPr>
        <w:pStyle w:val="Heading3"/>
        <w:spacing w:before="1"/>
        <w:ind w:left="13458"/>
        <w:jc w:val="left"/>
      </w:pPr>
      <w:r>
        <w:rPr/>
        <w:t>Таблица</w:t>
      </w:r>
      <w:r>
        <w:rPr>
          <w:spacing w:val="-6"/>
        </w:rPr>
        <w:t> </w:t>
      </w:r>
      <w:r>
        <w:rPr>
          <w:spacing w:val="-10"/>
        </w:rPr>
        <w:t>2</w:t>
      </w:r>
    </w:p>
    <w:p>
      <w:pPr>
        <w:spacing w:line="276" w:lineRule="auto" w:before="45"/>
        <w:ind w:left="5361" w:right="0" w:hanging="4105"/>
        <w:jc w:val="left"/>
        <w:rPr>
          <w:b/>
          <w:sz w:val="28"/>
        </w:rPr>
      </w:pPr>
      <w:r>
        <w:rPr>
          <w:b/>
          <w:sz w:val="28"/>
        </w:rPr>
        <w:t>Схема</w:t>
      </w:r>
      <w:r>
        <w:rPr>
          <w:b/>
          <w:spacing w:val="-4"/>
          <w:sz w:val="28"/>
        </w:rPr>
        <w:t> </w:t>
      </w:r>
      <w:r>
        <w:rPr>
          <w:b/>
          <w:sz w:val="28"/>
        </w:rPr>
        <w:t>оценки</w:t>
      </w:r>
      <w:r>
        <w:rPr>
          <w:b/>
          <w:spacing w:val="-6"/>
          <w:sz w:val="28"/>
        </w:rPr>
        <w:t> </w:t>
      </w:r>
      <w:r>
        <w:rPr>
          <w:b/>
          <w:sz w:val="28"/>
        </w:rPr>
        <w:t>особых</w:t>
      </w:r>
      <w:r>
        <w:rPr>
          <w:b/>
          <w:spacing w:val="-4"/>
          <w:sz w:val="28"/>
        </w:rPr>
        <w:t> </w:t>
      </w:r>
      <w:r>
        <w:rPr>
          <w:b/>
          <w:sz w:val="28"/>
        </w:rPr>
        <w:t>образовательных</w:t>
      </w:r>
      <w:r>
        <w:rPr>
          <w:b/>
          <w:spacing w:val="-4"/>
          <w:sz w:val="28"/>
        </w:rPr>
        <w:t> </w:t>
      </w:r>
      <w:r>
        <w:rPr>
          <w:b/>
          <w:sz w:val="28"/>
        </w:rPr>
        <w:t>потребностей</w:t>
      </w:r>
      <w:r>
        <w:rPr>
          <w:b/>
          <w:spacing w:val="-7"/>
          <w:sz w:val="28"/>
        </w:rPr>
        <w:t> </w:t>
      </w:r>
      <w:r>
        <w:rPr>
          <w:b/>
          <w:sz w:val="28"/>
        </w:rPr>
        <w:t>ребенка-иностранного</w:t>
      </w:r>
      <w:r>
        <w:rPr>
          <w:b/>
          <w:spacing w:val="-5"/>
          <w:sz w:val="28"/>
        </w:rPr>
        <w:t> </w:t>
      </w:r>
      <w:r>
        <w:rPr>
          <w:b/>
          <w:sz w:val="28"/>
        </w:rPr>
        <w:t>гражданина</w:t>
      </w:r>
      <w:r>
        <w:rPr>
          <w:b/>
          <w:spacing w:val="-4"/>
          <w:sz w:val="28"/>
        </w:rPr>
        <w:t> </w:t>
      </w:r>
      <w:r>
        <w:rPr>
          <w:b/>
          <w:sz w:val="28"/>
        </w:rPr>
        <w:t>в</w:t>
      </w:r>
      <w:r>
        <w:rPr>
          <w:b/>
          <w:spacing w:val="-6"/>
          <w:sz w:val="28"/>
        </w:rPr>
        <w:t> </w:t>
      </w:r>
      <w:r>
        <w:rPr>
          <w:b/>
          <w:sz w:val="28"/>
        </w:rPr>
        <w:t>сфере психологического благополучия</w:t>
      </w:r>
    </w:p>
    <w:p>
      <w:pPr>
        <w:pStyle w:val="BodyText"/>
        <w:spacing w:before="7"/>
        <w:ind w:left="0" w:right="0" w:firstLine="0"/>
        <w:jc w:val="left"/>
        <w:rPr>
          <w:b/>
          <w:sz w:val="17"/>
        </w:rPr>
      </w:pPr>
    </w:p>
    <w:tbl>
      <w:tblPr>
        <w:tblW w:w="0" w:type="auto"/>
        <w:jc w:val="left"/>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37"/>
        <w:gridCol w:w="2014"/>
        <w:gridCol w:w="1530"/>
        <w:gridCol w:w="1856"/>
        <w:gridCol w:w="1626"/>
        <w:gridCol w:w="4035"/>
      </w:tblGrid>
      <w:tr>
        <w:trPr>
          <w:trHeight w:val="953" w:hRule="atLeast"/>
        </w:trPr>
        <w:tc>
          <w:tcPr>
            <w:tcW w:w="3937" w:type="dxa"/>
            <w:vMerge w:val="restart"/>
          </w:tcPr>
          <w:p>
            <w:pPr>
              <w:pStyle w:val="TableParagraph"/>
              <w:rPr>
                <w:b/>
                <w:sz w:val="24"/>
              </w:rPr>
            </w:pPr>
          </w:p>
          <w:p>
            <w:pPr>
              <w:pStyle w:val="TableParagraph"/>
              <w:spacing w:before="66"/>
              <w:rPr>
                <w:b/>
                <w:sz w:val="24"/>
              </w:rPr>
            </w:pPr>
          </w:p>
          <w:p>
            <w:pPr>
              <w:pStyle w:val="TableParagraph"/>
              <w:ind w:left="900"/>
              <w:rPr>
                <w:b/>
                <w:sz w:val="24"/>
              </w:rPr>
            </w:pPr>
            <w:r>
              <w:rPr>
                <w:b/>
                <w:sz w:val="24"/>
              </w:rPr>
              <w:t>Название</w:t>
            </w:r>
            <w:r>
              <w:rPr>
                <w:b/>
                <w:spacing w:val="-6"/>
                <w:sz w:val="24"/>
              </w:rPr>
              <w:t> </w:t>
            </w:r>
            <w:r>
              <w:rPr>
                <w:b/>
                <w:spacing w:val="-2"/>
                <w:sz w:val="24"/>
              </w:rPr>
              <w:t>методики</w:t>
            </w:r>
          </w:p>
        </w:tc>
        <w:tc>
          <w:tcPr>
            <w:tcW w:w="2014" w:type="dxa"/>
            <w:vMerge w:val="restart"/>
          </w:tcPr>
          <w:p>
            <w:pPr>
              <w:pStyle w:val="TableParagraph"/>
              <w:spacing w:before="3"/>
              <w:ind w:left="628"/>
              <w:rPr>
                <w:b/>
                <w:sz w:val="24"/>
              </w:rPr>
            </w:pPr>
            <w:r>
              <w:rPr>
                <w:b/>
                <w:spacing w:val="-2"/>
                <w:sz w:val="24"/>
              </w:rPr>
              <w:t>Набор:</w:t>
            </w:r>
          </w:p>
          <w:p>
            <w:pPr>
              <w:pStyle w:val="TableParagraph"/>
              <w:spacing w:line="476" w:lineRule="exact" w:before="38"/>
              <w:ind w:left="110" w:right="466"/>
              <w:rPr>
                <w:sz w:val="24"/>
              </w:rPr>
            </w:pPr>
            <w:r>
              <w:rPr>
                <w:sz w:val="24"/>
              </w:rPr>
              <w:t>Б</w:t>
            </w:r>
            <w:r>
              <w:rPr>
                <w:spacing w:val="-15"/>
                <w:sz w:val="24"/>
              </w:rPr>
              <w:t> </w:t>
            </w:r>
            <w:r>
              <w:rPr>
                <w:sz w:val="24"/>
              </w:rPr>
              <w:t>—</w:t>
            </w:r>
            <w:r>
              <w:rPr>
                <w:spacing w:val="-15"/>
                <w:sz w:val="24"/>
              </w:rPr>
              <w:t> </w:t>
            </w:r>
            <w:r>
              <w:rPr>
                <w:sz w:val="24"/>
              </w:rPr>
              <w:t>базовый Р —</w:t>
            </w:r>
          </w:p>
          <w:p>
            <w:pPr>
              <w:pStyle w:val="TableParagraph"/>
              <w:spacing w:line="235" w:lineRule="exact"/>
              <w:ind w:left="110"/>
              <w:rPr>
                <w:sz w:val="24"/>
              </w:rPr>
            </w:pPr>
            <w:r>
              <w:rPr>
                <w:spacing w:val="-2"/>
                <w:sz w:val="24"/>
              </w:rPr>
              <w:t>расширенный</w:t>
            </w:r>
          </w:p>
        </w:tc>
        <w:tc>
          <w:tcPr>
            <w:tcW w:w="5012" w:type="dxa"/>
            <w:gridSpan w:val="3"/>
          </w:tcPr>
          <w:p>
            <w:pPr>
              <w:pStyle w:val="TableParagraph"/>
              <w:spacing w:line="275" w:lineRule="exact"/>
              <w:ind w:left="6" w:right="1"/>
              <w:jc w:val="center"/>
              <w:rPr>
                <w:b/>
                <w:sz w:val="24"/>
              </w:rPr>
            </w:pPr>
            <w:r>
              <w:rPr>
                <w:b/>
                <w:sz w:val="24"/>
              </w:rPr>
              <w:t>Где</w:t>
            </w:r>
            <w:r>
              <w:rPr>
                <w:b/>
                <w:spacing w:val="-1"/>
                <w:sz w:val="24"/>
              </w:rPr>
              <w:t> </w:t>
            </w:r>
            <w:r>
              <w:rPr>
                <w:b/>
                <w:spacing w:val="-2"/>
                <w:sz w:val="24"/>
              </w:rPr>
              <w:t>применяется</w:t>
            </w:r>
          </w:p>
          <w:p>
            <w:pPr>
              <w:pStyle w:val="TableParagraph"/>
              <w:spacing w:before="199"/>
              <w:ind w:left="6"/>
              <w:jc w:val="center"/>
              <w:rPr>
                <w:b/>
                <w:sz w:val="24"/>
              </w:rPr>
            </w:pPr>
            <w:r>
              <w:rPr>
                <w:b/>
                <w:sz w:val="24"/>
              </w:rPr>
              <w:t>(уровень </w:t>
            </w:r>
            <w:r>
              <w:rPr>
                <w:b/>
                <w:spacing w:val="-2"/>
                <w:sz w:val="24"/>
              </w:rPr>
              <w:t>образования)</w:t>
            </w:r>
          </w:p>
        </w:tc>
        <w:tc>
          <w:tcPr>
            <w:tcW w:w="4035" w:type="dxa"/>
            <w:vMerge w:val="restart"/>
          </w:tcPr>
          <w:p>
            <w:pPr>
              <w:pStyle w:val="TableParagraph"/>
              <w:rPr>
                <w:b/>
                <w:sz w:val="24"/>
              </w:rPr>
            </w:pPr>
          </w:p>
          <w:p>
            <w:pPr>
              <w:pStyle w:val="TableParagraph"/>
              <w:spacing w:before="66"/>
              <w:rPr>
                <w:b/>
                <w:sz w:val="24"/>
              </w:rPr>
            </w:pPr>
          </w:p>
          <w:p>
            <w:pPr>
              <w:pStyle w:val="TableParagraph"/>
              <w:ind w:left="1281"/>
              <w:rPr>
                <w:b/>
                <w:sz w:val="24"/>
              </w:rPr>
            </w:pPr>
            <w:r>
              <w:rPr>
                <w:b/>
                <w:sz w:val="24"/>
              </w:rPr>
              <w:t>Что </w:t>
            </w:r>
            <w:r>
              <w:rPr>
                <w:b/>
                <w:spacing w:val="-2"/>
                <w:sz w:val="24"/>
              </w:rPr>
              <w:t>измеряет</w:t>
            </w:r>
          </w:p>
        </w:tc>
      </w:tr>
      <w:tr>
        <w:trPr>
          <w:trHeight w:val="750" w:hRule="atLeast"/>
        </w:trPr>
        <w:tc>
          <w:tcPr>
            <w:tcW w:w="3937" w:type="dxa"/>
            <w:vMerge/>
            <w:tcBorders>
              <w:top w:val="nil"/>
            </w:tcBorders>
          </w:tcPr>
          <w:p>
            <w:pPr>
              <w:rPr>
                <w:sz w:val="2"/>
                <w:szCs w:val="2"/>
              </w:rPr>
            </w:pPr>
          </w:p>
        </w:tc>
        <w:tc>
          <w:tcPr>
            <w:tcW w:w="2014" w:type="dxa"/>
            <w:vMerge/>
            <w:tcBorders>
              <w:top w:val="nil"/>
            </w:tcBorders>
          </w:tcPr>
          <w:p>
            <w:pPr>
              <w:rPr>
                <w:sz w:val="2"/>
                <w:szCs w:val="2"/>
              </w:rPr>
            </w:pPr>
          </w:p>
        </w:tc>
        <w:tc>
          <w:tcPr>
            <w:tcW w:w="1530" w:type="dxa"/>
          </w:tcPr>
          <w:p>
            <w:pPr>
              <w:pStyle w:val="TableParagraph"/>
              <w:spacing w:line="242" w:lineRule="auto"/>
              <w:ind w:left="438" w:right="214" w:hanging="216"/>
              <w:rPr>
                <w:sz w:val="24"/>
              </w:rPr>
            </w:pPr>
            <w:r>
              <w:rPr>
                <w:spacing w:val="-2"/>
                <w:sz w:val="24"/>
              </w:rPr>
              <w:t>Начальная школа</w:t>
            </w:r>
          </w:p>
        </w:tc>
        <w:tc>
          <w:tcPr>
            <w:tcW w:w="1856" w:type="dxa"/>
          </w:tcPr>
          <w:p>
            <w:pPr>
              <w:pStyle w:val="TableParagraph"/>
              <w:spacing w:before="131"/>
              <w:ind w:left="11"/>
              <w:jc w:val="center"/>
              <w:rPr>
                <w:sz w:val="24"/>
              </w:rPr>
            </w:pPr>
            <w:r>
              <w:rPr>
                <w:sz w:val="24"/>
              </w:rPr>
              <w:t>Средняя</w:t>
            </w:r>
            <w:r>
              <w:rPr>
                <w:spacing w:val="-1"/>
                <w:sz w:val="24"/>
              </w:rPr>
              <w:t> </w:t>
            </w:r>
            <w:r>
              <w:rPr>
                <w:spacing w:val="-2"/>
                <w:sz w:val="24"/>
              </w:rPr>
              <w:t>школа</w:t>
            </w:r>
          </w:p>
        </w:tc>
        <w:tc>
          <w:tcPr>
            <w:tcW w:w="1626" w:type="dxa"/>
          </w:tcPr>
          <w:p>
            <w:pPr>
              <w:pStyle w:val="TableParagraph"/>
              <w:spacing w:line="242" w:lineRule="auto"/>
              <w:ind w:left="487" w:right="352" w:hanging="123"/>
              <w:rPr>
                <w:sz w:val="24"/>
              </w:rPr>
            </w:pPr>
            <w:r>
              <w:rPr>
                <w:spacing w:val="-2"/>
                <w:sz w:val="24"/>
              </w:rPr>
              <w:t>Старшая школа</w:t>
            </w:r>
          </w:p>
        </w:tc>
        <w:tc>
          <w:tcPr>
            <w:tcW w:w="4035" w:type="dxa"/>
            <w:vMerge/>
            <w:tcBorders>
              <w:top w:val="nil"/>
            </w:tcBorders>
          </w:tcPr>
          <w:p>
            <w:pPr>
              <w:rPr>
                <w:sz w:val="2"/>
                <w:szCs w:val="2"/>
              </w:rPr>
            </w:pPr>
          </w:p>
        </w:tc>
      </w:tr>
      <w:tr>
        <w:trPr>
          <w:trHeight w:val="2181" w:hRule="atLeast"/>
        </w:trPr>
        <w:tc>
          <w:tcPr>
            <w:tcW w:w="3937" w:type="dxa"/>
          </w:tcPr>
          <w:p>
            <w:pPr>
              <w:pStyle w:val="TableParagraph"/>
              <w:rPr>
                <w:b/>
                <w:sz w:val="24"/>
              </w:rPr>
            </w:pPr>
          </w:p>
          <w:p>
            <w:pPr>
              <w:pStyle w:val="TableParagraph"/>
              <w:spacing w:before="154"/>
              <w:rPr>
                <w:b/>
                <w:sz w:val="24"/>
              </w:rPr>
            </w:pPr>
          </w:p>
          <w:p>
            <w:pPr>
              <w:pStyle w:val="TableParagraph"/>
              <w:spacing w:before="1"/>
              <w:ind w:left="110"/>
              <w:rPr>
                <w:sz w:val="24"/>
              </w:rPr>
            </w:pPr>
            <w:bookmarkStart w:name="_bookmark10" w:id="12"/>
            <w:bookmarkEnd w:id="12"/>
            <w:r>
              <w:rPr/>
            </w:r>
            <w:r>
              <w:rPr>
                <w:sz w:val="24"/>
              </w:rPr>
              <w:t>Карта</w:t>
            </w:r>
            <w:r>
              <w:rPr>
                <w:spacing w:val="-1"/>
                <w:sz w:val="24"/>
              </w:rPr>
              <w:t> </w:t>
            </w:r>
            <w:r>
              <w:rPr>
                <w:spacing w:val="-2"/>
                <w:sz w:val="24"/>
              </w:rPr>
              <w:t>наблюдения</w:t>
            </w:r>
          </w:p>
          <w:p>
            <w:pPr>
              <w:pStyle w:val="TableParagraph"/>
              <w:spacing w:before="2"/>
              <w:ind w:left="110"/>
              <w:rPr>
                <w:sz w:val="24"/>
              </w:rPr>
            </w:pPr>
            <w:r>
              <w:rPr>
                <w:sz w:val="24"/>
              </w:rPr>
              <w:t>«Психологические</w:t>
            </w:r>
            <w:r>
              <w:rPr>
                <w:spacing w:val="-9"/>
                <w:sz w:val="24"/>
              </w:rPr>
              <w:t> </w:t>
            </w:r>
            <w:r>
              <w:rPr>
                <w:spacing w:val="-2"/>
                <w:sz w:val="24"/>
              </w:rPr>
              <w:t>трудности»</w:t>
            </w:r>
          </w:p>
        </w:tc>
        <w:tc>
          <w:tcPr>
            <w:tcW w:w="2014" w:type="dxa"/>
          </w:tcPr>
          <w:p>
            <w:pPr>
              <w:pStyle w:val="TableParagraph"/>
              <w:rPr>
                <w:b/>
                <w:sz w:val="24"/>
              </w:rPr>
            </w:pPr>
          </w:p>
          <w:p>
            <w:pPr>
              <w:pStyle w:val="TableParagraph"/>
              <w:rPr>
                <w:b/>
                <w:sz w:val="24"/>
              </w:rPr>
            </w:pPr>
          </w:p>
          <w:p>
            <w:pPr>
              <w:pStyle w:val="TableParagraph"/>
              <w:spacing w:before="18"/>
              <w:rPr>
                <w:b/>
                <w:sz w:val="24"/>
              </w:rPr>
            </w:pPr>
          </w:p>
          <w:p>
            <w:pPr>
              <w:pStyle w:val="TableParagraph"/>
              <w:ind w:left="15"/>
              <w:jc w:val="center"/>
              <w:rPr>
                <w:sz w:val="24"/>
              </w:rPr>
            </w:pPr>
            <w:r>
              <w:rPr>
                <w:spacing w:val="-10"/>
                <w:sz w:val="24"/>
              </w:rPr>
              <w:t>Б</w:t>
            </w:r>
          </w:p>
        </w:tc>
        <w:tc>
          <w:tcPr>
            <w:tcW w:w="1530" w:type="dxa"/>
          </w:tcPr>
          <w:p>
            <w:pPr>
              <w:pStyle w:val="TableParagraph"/>
              <w:rPr>
                <w:b/>
                <w:sz w:val="24"/>
              </w:rPr>
            </w:pPr>
          </w:p>
          <w:p>
            <w:pPr>
              <w:pStyle w:val="TableParagraph"/>
              <w:rPr>
                <w:b/>
                <w:sz w:val="24"/>
              </w:rPr>
            </w:pPr>
          </w:p>
          <w:p>
            <w:pPr>
              <w:pStyle w:val="TableParagraph"/>
              <w:spacing w:before="18"/>
              <w:rPr>
                <w:b/>
                <w:sz w:val="24"/>
              </w:rPr>
            </w:pPr>
          </w:p>
          <w:p>
            <w:pPr>
              <w:pStyle w:val="TableParagraph"/>
              <w:ind w:left="5"/>
              <w:jc w:val="center"/>
              <w:rPr>
                <w:sz w:val="24"/>
              </w:rPr>
            </w:pPr>
            <w:r>
              <w:rPr>
                <w:spacing w:val="-10"/>
                <w:sz w:val="24"/>
              </w:rPr>
              <w:t>*</w:t>
            </w:r>
          </w:p>
        </w:tc>
        <w:tc>
          <w:tcPr>
            <w:tcW w:w="1856" w:type="dxa"/>
          </w:tcPr>
          <w:p>
            <w:pPr>
              <w:pStyle w:val="TableParagraph"/>
              <w:rPr>
                <w:b/>
                <w:sz w:val="24"/>
              </w:rPr>
            </w:pPr>
          </w:p>
          <w:p>
            <w:pPr>
              <w:pStyle w:val="TableParagraph"/>
              <w:rPr>
                <w:b/>
                <w:sz w:val="24"/>
              </w:rPr>
            </w:pPr>
          </w:p>
          <w:p>
            <w:pPr>
              <w:pStyle w:val="TableParagraph"/>
              <w:spacing w:before="18"/>
              <w:rPr>
                <w:b/>
                <w:sz w:val="24"/>
              </w:rPr>
            </w:pPr>
          </w:p>
          <w:p>
            <w:pPr>
              <w:pStyle w:val="TableParagraph"/>
              <w:ind w:left="11" w:right="3"/>
              <w:jc w:val="center"/>
              <w:rPr>
                <w:sz w:val="24"/>
              </w:rPr>
            </w:pPr>
            <w:r>
              <w:rPr>
                <w:spacing w:val="-10"/>
                <w:sz w:val="24"/>
              </w:rPr>
              <w:t>*</w:t>
            </w:r>
          </w:p>
        </w:tc>
        <w:tc>
          <w:tcPr>
            <w:tcW w:w="1626" w:type="dxa"/>
          </w:tcPr>
          <w:p>
            <w:pPr>
              <w:pStyle w:val="TableParagraph"/>
              <w:rPr>
                <w:sz w:val="24"/>
              </w:rPr>
            </w:pPr>
          </w:p>
        </w:tc>
        <w:tc>
          <w:tcPr>
            <w:tcW w:w="4035" w:type="dxa"/>
          </w:tcPr>
          <w:p>
            <w:pPr>
              <w:pStyle w:val="TableParagraph"/>
              <w:spacing w:line="242" w:lineRule="auto"/>
              <w:ind w:left="107"/>
              <w:rPr>
                <w:sz w:val="24"/>
              </w:rPr>
            </w:pPr>
            <w:r>
              <w:rPr>
                <w:sz w:val="24"/>
              </w:rPr>
              <w:t>Общий</w:t>
            </w:r>
            <w:r>
              <w:rPr>
                <w:spacing w:val="-15"/>
                <w:sz w:val="24"/>
              </w:rPr>
              <w:t> </w:t>
            </w:r>
            <w:r>
              <w:rPr>
                <w:sz w:val="24"/>
              </w:rPr>
              <w:t>балл</w:t>
            </w:r>
            <w:r>
              <w:rPr>
                <w:spacing w:val="-15"/>
                <w:sz w:val="24"/>
              </w:rPr>
              <w:t> </w:t>
            </w:r>
            <w:r>
              <w:rPr>
                <w:sz w:val="24"/>
              </w:rPr>
              <w:t>психологических </w:t>
            </w:r>
            <w:r>
              <w:rPr>
                <w:spacing w:val="-2"/>
                <w:sz w:val="24"/>
              </w:rPr>
              <w:t>трудностей.</w:t>
            </w:r>
          </w:p>
          <w:p>
            <w:pPr>
              <w:pStyle w:val="TableParagraph"/>
              <w:spacing w:line="412" w:lineRule="auto" w:before="190"/>
              <w:ind w:left="107" w:right="1095"/>
              <w:rPr>
                <w:sz w:val="24"/>
              </w:rPr>
            </w:pPr>
            <w:r>
              <w:rPr>
                <w:spacing w:val="-2"/>
                <w:sz w:val="24"/>
              </w:rPr>
              <w:t>Гиперактивность. </w:t>
            </w:r>
            <w:r>
              <w:rPr>
                <w:sz w:val="24"/>
              </w:rPr>
              <w:t>Эмоциональные</w:t>
            </w:r>
            <w:r>
              <w:rPr>
                <w:spacing w:val="-15"/>
                <w:sz w:val="24"/>
              </w:rPr>
              <w:t> </w:t>
            </w:r>
            <w:r>
              <w:rPr>
                <w:sz w:val="24"/>
              </w:rPr>
              <w:t>проблемы.</w:t>
            </w:r>
          </w:p>
          <w:p>
            <w:pPr>
              <w:pStyle w:val="TableParagraph"/>
              <w:spacing w:before="1"/>
              <w:ind w:left="107"/>
              <w:rPr>
                <w:sz w:val="24"/>
              </w:rPr>
            </w:pPr>
            <w:r>
              <w:rPr>
                <w:sz w:val="24"/>
              </w:rPr>
              <w:t>Проблемы</w:t>
            </w:r>
            <w:r>
              <w:rPr>
                <w:spacing w:val="-2"/>
                <w:sz w:val="24"/>
              </w:rPr>
              <w:t> </w:t>
            </w:r>
            <w:r>
              <w:rPr>
                <w:sz w:val="24"/>
              </w:rPr>
              <w:t>с</w:t>
            </w:r>
            <w:r>
              <w:rPr>
                <w:spacing w:val="-2"/>
                <w:sz w:val="24"/>
              </w:rPr>
              <w:t> поведением</w:t>
            </w:r>
          </w:p>
        </w:tc>
      </w:tr>
      <w:tr>
        <w:trPr>
          <w:trHeight w:val="1026" w:hRule="atLeast"/>
        </w:trPr>
        <w:tc>
          <w:tcPr>
            <w:tcW w:w="3937" w:type="dxa"/>
          </w:tcPr>
          <w:p>
            <w:pPr>
              <w:pStyle w:val="TableParagraph"/>
              <w:ind w:left="110" w:right="846"/>
              <w:rPr>
                <w:sz w:val="24"/>
              </w:rPr>
            </w:pPr>
            <w:r>
              <w:rPr>
                <w:sz w:val="24"/>
              </w:rPr>
              <w:t>Рисуночная диагностика субьективного</w:t>
            </w:r>
            <w:r>
              <w:rPr>
                <w:spacing w:val="-15"/>
                <w:sz w:val="24"/>
              </w:rPr>
              <w:t> </w:t>
            </w:r>
            <w:r>
              <w:rPr>
                <w:sz w:val="24"/>
              </w:rPr>
              <w:t>благополучия </w:t>
            </w:r>
            <w:r>
              <w:rPr>
                <w:spacing w:val="-2"/>
                <w:sz w:val="24"/>
              </w:rPr>
              <w:t>ребенка-мигранта</w:t>
            </w:r>
          </w:p>
        </w:tc>
        <w:tc>
          <w:tcPr>
            <w:tcW w:w="2014" w:type="dxa"/>
          </w:tcPr>
          <w:p>
            <w:pPr>
              <w:pStyle w:val="TableParagraph"/>
              <w:spacing w:before="270"/>
              <w:ind w:left="15"/>
              <w:jc w:val="center"/>
              <w:rPr>
                <w:sz w:val="24"/>
              </w:rPr>
            </w:pPr>
            <w:r>
              <w:rPr>
                <w:spacing w:val="-10"/>
                <w:sz w:val="24"/>
              </w:rPr>
              <w:t>Б</w:t>
            </w:r>
          </w:p>
        </w:tc>
        <w:tc>
          <w:tcPr>
            <w:tcW w:w="1530" w:type="dxa"/>
          </w:tcPr>
          <w:p>
            <w:pPr>
              <w:pStyle w:val="TableParagraph"/>
              <w:spacing w:before="270"/>
              <w:ind w:left="5"/>
              <w:jc w:val="center"/>
              <w:rPr>
                <w:sz w:val="24"/>
              </w:rPr>
            </w:pPr>
            <w:r>
              <w:rPr>
                <w:spacing w:val="-10"/>
                <w:sz w:val="24"/>
              </w:rPr>
              <w:t>*</w:t>
            </w:r>
          </w:p>
        </w:tc>
        <w:tc>
          <w:tcPr>
            <w:tcW w:w="1856" w:type="dxa"/>
          </w:tcPr>
          <w:p>
            <w:pPr>
              <w:pStyle w:val="TableParagraph"/>
              <w:spacing w:before="270"/>
              <w:ind w:left="11" w:right="3"/>
              <w:jc w:val="center"/>
              <w:rPr>
                <w:sz w:val="24"/>
              </w:rPr>
            </w:pPr>
            <w:r>
              <w:rPr>
                <w:spacing w:val="-10"/>
                <w:sz w:val="24"/>
              </w:rPr>
              <w:t>*</w:t>
            </w:r>
          </w:p>
        </w:tc>
        <w:tc>
          <w:tcPr>
            <w:tcW w:w="1626" w:type="dxa"/>
          </w:tcPr>
          <w:p>
            <w:pPr>
              <w:pStyle w:val="TableParagraph"/>
              <w:rPr>
                <w:sz w:val="24"/>
              </w:rPr>
            </w:pPr>
          </w:p>
        </w:tc>
        <w:tc>
          <w:tcPr>
            <w:tcW w:w="4035" w:type="dxa"/>
          </w:tcPr>
          <w:p>
            <w:pPr>
              <w:pStyle w:val="TableParagraph"/>
              <w:spacing w:before="270"/>
              <w:ind w:left="107"/>
              <w:rPr>
                <w:sz w:val="24"/>
              </w:rPr>
            </w:pPr>
            <w:r>
              <w:rPr>
                <w:sz w:val="24"/>
              </w:rPr>
              <w:t>Субъективное</w:t>
            </w:r>
            <w:r>
              <w:rPr>
                <w:spacing w:val="-7"/>
                <w:sz w:val="24"/>
              </w:rPr>
              <w:t> </w:t>
            </w:r>
            <w:r>
              <w:rPr>
                <w:spacing w:val="-2"/>
                <w:sz w:val="24"/>
              </w:rPr>
              <w:t>благополучие</w:t>
            </w:r>
          </w:p>
        </w:tc>
      </w:tr>
      <w:tr>
        <w:trPr>
          <w:trHeight w:val="753" w:hRule="atLeast"/>
        </w:trPr>
        <w:tc>
          <w:tcPr>
            <w:tcW w:w="3937" w:type="dxa"/>
          </w:tcPr>
          <w:p>
            <w:pPr>
              <w:pStyle w:val="TableParagraph"/>
              <w:spacing w:line="242" w:lineRule="auto"/>
              <w:ind w:left="110" w:right="564"/>
              <w:rPr>
                <w:sz w:val="24"/>
              </w:rPr>
            </w:pPr>
            <w:r>
              <w:rPr>
                <w:sz w:val="24"/>
              </w:rPr>
              <w:t>Шкала психологического благополучия</w:t>
            </w:r>
            <w:r>
              <w:rPr>
                <w:spacing w:val="-15"/>
                <w:sz w:val="24"/>
              </w:rPr>
              <w:t> </w:t>
            </w:r>
            <w:r>
              <w:rPr>
                <w:sz w:val="24"/>
              </w:rPr>
              <w:t>Уорик–Эдинбург</w:t>
            </w:r>
          </w:p>
        </w:tc>
        <w:tc>
          <w:tcPr>
            <w:tcW w:w="2014" w:type="dxa"/>
          </w:tcPr>
          <w:p>
            <w:pPr>
              <w:pStyle w:val="TableParagraph"/>
              <w:spacing w:before="133"/>
              <w:ind w:left="15"/>
              <w:jc w:val="center"/>
              <w:rPr>
                <w:sz w:val="24"/>
              </w:rPr>
            </w:pPr>
            <w:r>
              <w:rPr>
                <w:spacing w:val="-10"/>
                <w:sz w:val="24"/>
              </w:rPr>
              <w:t>Б</w:t>
            </w:r>
          </w:p>
        </w:tc>
        <w:tc>
          <w:tcPr>
            <w:tcW w:w="1530" w:type="dxa"/>
          </w:tcPr>
          <w:p>
            <w:pPr>
              <w:pStyle w:val="TableParagraph"/>
              <w:rPr>
                <w:sz w:val="24"/>
              </w:rPr>
            </w:pPr>
          </w:p>
        </w:tc>
        <w:tc>
          <w:tcPr>
            <w:tcW w:w="1856" w:type="dxa"/>
          </w:tcPr>
          <w:p>
            <w:pPr>
              <w:pStyle w:val="TableParagraph"/>
              <w:spacing w:before="133"/>
              <w:ind w:left="11" w:right="3"/>
              <w:jc w:val="center"/>
              <w:rPr>
                <w:sz w:val="24"/>
              </w:rPr>
            </w:pPr>
            <w:r>
              <w:rPr>
                <w:spacing w:val="-10"/>
                <w:sz w:val="24"/>
              </w:rPr>
              <w:t>*</w:t>
            </w:r>
          </w:p>
        </w:tc>
        <w:tc>
          <w:tcPr>
            <w:tcW w:w="1626" w:type="dxa"/>
          </w:tcPr>
          <w:p>
            <w:pPr>
              <w:pStyle w:val="TableParagraph"/>
              <w:spacing w:before="133"/>
              <w:ind w:left="6"/>
              <w:jc w:val="center"/>
              <w:rPr>
                <w:sz w:val="24"/>
              </w:rPr>
            </w:pPr>
            <w:r>
              <w:rPr>
                <w:spacing w:val="-10"/>
                <w:sz w:val="24"/>
              </w:rPr>
              <w:t>*</w:t>
            </w:r>
          </w:p>
        </w:tc>
        <w:tc>
          <w:tcPr>
            <w:tcW w:w="4035" w:type="dxa"/>
          </w:tcPr>
          <w:p>
            <w:pPr>
              <w:pStyle w:val="TableParagraph"/>
              <w:spacing w:before="133"/>
              <w:ind w:left="107"/>
              <w:rPr>
                <w:sz w:val="24"/>
              </w:rPr>
            </w:pPr>
            <w:r>
              <w:rPr>
                <w:sz w:val="24"/>
              </w:rPr>
              <w:t>Психологическое</w:t>
            </w:r>
            <w:r>
              <w:rPr>
                <w:spacing w:val="-7"/>
                <w:sz w:val="24"/>
              </w:rPr>
              <w:t> </w:t>
            </w:r>
            <w:r>
              <w:rPr>
                <w:spacing w:val="-2"/>
                <w:sz w:val="24"/>
              </w:rPr>
              <w:t>благополучие</w:t>
            </w:r>
          </w:p>
        </w:tc>
      </w:tr>
      <w:tr>
        <w:trPr>
          <w:trHeight w:val="1027" w:hRule="atLeast"/>
        </w:trPr>
        <w:tc>
          <w:tcPr>
            <w:tcW w:w="3937" w:type="dxa"/>
          </w:tcPr>
          <w:p>
            <w:pPr>
              <w:pStyle w:val="TableParagraph"/>
              <w:spacing w:line="242" w:lineRule="auto" w:before="129"/>
              <w:ind w:left="110" w:right="871"/>
              <w:rPr>
                <w:sz w:val="24"/>
              </w:rPr>
            </w:pPr>
            <w:r>
              <w:rPr>
                <w:sz w:val="24"/>
              </w:rPr>
              <w:t>Опросник</w:t>
            </w:r>
            <w:r>
              <w:rPr>
                <w:spacing w:val="-15"/>
                <w:sz w:val="24"/>
              </w:rPr>
              <w:t> </w:t>
            </w:r>
            <w:r>
              <w:rPr>
                <w:sz w:val="24"/>
              </w:rPr>
              <w:t>психологического здоровья мигрантов</w:t>
            </w:r>
          </w:p>
        </w:tc>
        <w:tc>
          <w:tcPr>
            <w:tcW w:w="2014" w:type="dxa"/>
          </w:tcPr>
          <w:p>
            <w:pPr>
              <w:pStyle w:val="TableParagraph"/>
              <w:spacing w:before="270"/>
              <w:ind w:left="15"/>
              <w:jc w:val="center"/>
              <w:rPr>
                <w:sz w:val="24"/>
              </w:rPr>
            </w:pPr>
            <w:r>
              <w:rPr>
                <w:spacing w:val="-10"/>
                <w:sz w:val="24"/>
              </w:rPr>
              <w:t>Б</w:t>
            </w:r>
          </w:p>
        </w:tc>
        <w:tc>
          <w:tcPr>
            <w:tcW w:w="1530" w:type="dxa"/>
          </w:tcPr>
          <w:p>
            <w:pPr>
              <w:pStyle w:val="TableParagraph"/>
              <w:rPr>
                <w:sz w:val="24"/>
              </w:rPr>
            </w:pPr>
          </w:p>
        </w:tc>
        <w:tc>
          <w:tcPr>
            <w:tcW w:w="1856" w:type="dxa"/>
          </w:tcPr>
          <w:p>
            <w:pPr>
              <w:pStyle w:val="TableParagraph"/>
              <w:rPr>
                <w:sz w:val="24"/>
              </w:rPr>
            </w:pPr>
          </w:p>
        </w:tc>
        <w:tc>
          <w:tcPr>
            <w:tcW w:w="1626" w:type="dxa"/>
          </w:tcPr>
          <w:p>
            <w:pPr>
              <w:pStyle w:val="TableParagraph"/>
              <w:spacing w:before="270"/>
              <w:ind w:left="6"/>
              <w:jc w:val="center"/>
              <w:rPr>
                <w:sz w:val="24"/>
              </w:rPr>
            </w:pPr>
            <w:r>
              <w:rPr>
                <w:spacing w:val="-10"/>
                <w:sz w:val="24"/>
              </w:rPr>
              <w:t>*</w:t>
            </w:r>
          </w:p>
        </w:tc>
        <w:tc>
          <w:tcPr>
            <w:tcW w:w="4035" w:type="dxa"/>
          </w:tcPr>
          <w:p>
            <w:pPr>
              <w:pStyle w:val="TableParagraph"/>
              <w:ind w:left="107" w:right="118"/>
              <w:rPr>
                <w:sz w:val="24"/>
              </w:rPr>
            </w:pPr>
            <w:r>
              <w:rPr>
                <w:sz w:val="24"/>
              </w:rPr>
              <w:t>Вероятность наличия эмоциональных</w:t>
            </w:r>
            <w:r>
              <w:rPr>
                <w:spacing w:val="-15"/>
                <w:sz w:val="24"/>
              </w:rPr>
              <w:t> </w:t>
            </w:r>
            <w:r>
              <w:rPr>
                <w:sz w:val="24"/>
              </w:rPr>
              <w:t>или</w:t>
            </w:r>
            <w:r>
              <w:rPr>
                <w:spacing w:val="-15"/>
                <w:sz w:val="24"/>
              </w:rPr>
              <w:t> </w:t>
            </w:r>
            <w:r>
              <w:rPr>
                <w:sz w:val="24"/>
              </w:rPr>
              <w:t>психических </w:t>
            </w:r>
            <w:r>
              <w:rPr>
                <w:spacing w:val="-2"/>
                <w:sz w:val="24"/>
              </w:rPr>
              <w:t>расстройств</w:t>
            </w:r>
          </w:p>
        </w:tc>
      </w:tr>
      <w:tr>
        <w:trPr>
          <w:trHeight w:val="753" w:hRule="atLeast"/>
        </w:trPr>
        <w:tc>
          <w:tcPr>
            <w:tcW w:w="3937" w:type="dxa"/>
          </w:tcPr>
          <w:p>
            <w:pPr>
              <w:pStyle w:val="TableParagraph"/>
              <w:spacing w:before="133"/>
              <w:ind w:left="110"/>
              <w:rPr>
                <w:sz w:val="24"/>
              </w:rPr>
            </w:pPr>
            <w:r>
              <w:rPr>
                <w:sz w:val="24"/>
              </w:rPr>
              <w:t>Опросник</w:t>
            </w:r>
            <w:r>
              <w:rPr>
                <w:spacing w:val="-2"/>
                <w:sz w:val="24"/>
              </w:rPr>
              <w:t> Ахенбаха</w:t>
            </w:r>
          </w:p>
        </w:tc>
        <w:tc>
          <w:tcPr>
            <w:tcW w:w="2014" w:type="dxa"/>
          </w:tcPr>
          <w:p>
            <w:pPr>
              <w:pStyle w:val="TableParagraph"/>
              <w:spacing w:before="133"/>
              <w:ind w:left="15" w:right="5"/>
              <w:jc w:val="center"/>
              <w:rPr>
                <w:sz w:val="24"/>
              </w:rPr>
            </w:pPr>
            <w:r>
              <w:rPr>
                <w:spacing w:val="-10"/>
                <w:sz w:val="24"/>
              </w:rPr>
              <w:t>Р</w:t>
            </w:r>
          </w:p>
        </w:tc>
        <w:tc>
          <w:tcPr>
            <w:tcW w:w="1530" w:type="dxa"/>
          </w:tcPr>
          <w:p>
            <w:pPr>
              <w:pStyle w:val="TableParagraph"/>
              <w:spacing w:before="133"/>
              <w:ind w:left="5"/>
              <w:jc w:val="center"/>
              <w:rPr>
                <w:sz w:val="24"/>
              </w:rPr>
            </w:pPr>
            <w:r>
              <w:rPr>
                <w:spacing w:val="-10"/>
                <w:sz w:val="24"/>
              </w:rPr>
              <w:t>*</w:t>
            </w:r>
          </w:p>
        </w:tc>
        <w:tc>
          <w:tcPr>
            <w:tcW w:w="1856" w:type="dxa"/>
          </w:tcPr>
          <w:p>
            <w:pPr>
              <w:pStyle w:val="TableParagraph"/>
              <w:spacing w:before="133"/>
              <w:ind w:left="11" w:right="3"/>
              <w:jc w:val="center"/>
              <w:rPr>
                <w:sz w:val="24"/>
              </w:rPr>
            </w:pPr>
            <w:r>
              <w:rPr>
                <w:spacing w:val="-10"/>
                <w:sz w:val="24"/>
              </w:rPr>
              <w:t>*</w:t>
            </w:r>
          </w:p>
        </w:tc>
        <w:tc>
          <w:tcPr>
            <w:tcW w:w="1626" w:type="dxa"/>
          </w:tcPr>
          <w:p>
            <w:pPr>
              <w:pStyle w:val="TableParagraph"/>
              <w:rPr>
                <w:sz w:val="24"/>
              </w:rPr>
            </w:pPr>
          </w:p>
        </w:tc>
        <w:tc>
          <w:tcPr>
            <w:tcW w:w="4035" w:type="dxa"/>
          </w:tcPr>
          <w:p>
            <w:pPr>
              <w:pStyle w:val="TableParagraph"/>
              <w:spacing w:line="242" w:lineRule="auto"/>
              <w:ind w:left="107" w:right="27"/>
              <w:rPr>
                <w:sz w:val="24"/>
              </w:rPr>
            </w:pPr>
            <w:r>
              <w:rPr>
                <w:sz w:val="24"/>
              </w:rPr>
              <w:t>Общая</w:t>
            </w:r>
            <w:r>
              <w:rPr>
                <w:spacing w:val="-15"/>
                <w:sz w:val="24"/>
              </w:rPr>
              <w:t> </w:t>
            </w:r>
            <w:r>
              <w:rPr>
                <w:sz w:val="24"/>
              </w:rPr>
              <w:t>выраженность</w:t>
            </w:r>
            <w:r>
              <w:rPr>
                <w:spacing w:val="-15"/>
                <w:sz w:val="24"/>
              </w:rPr>
              <w:t> </w:t>
            </w:r>
            <w:r>
              <w:rPr>
                <w:sz w:val="24"/>
              </w:rPr>
              <w:t>поведенческих и эмоциональных проблем.</w:t>
            </w:r>
          </w:p>
        </w:tc>
      </w:tr>
    </w:tbl>
    <w:p>
      <w:pPr>
        <w:pStyle w:val="TableParagraph"/>
        <w:spacing w:after="0" w:line="242" w:lineRule="auto"/>
        <w:rPr>
          <w:sz w:val="24"/>
        </w:rPr>
        <w:sectPr>
          <w:footerReference w:type="default" r:id="rId39"/>
          <w:pgSz w:w="16840" w:h="11910" w:orient="landscape"/>
          <w:pgMar w:header="0" w:footer="0" w:top="1340" w:bottom="280" w:left="992" w:right="708"/>
        </w:sectPr>
      </w:pPr>
    </w:p>
    <w:p>
      <w:pPr>
        <w:pStyle w:val="BodyText"/>
        <w:spacing w:before="125"/>
        <w:ind w:left="0" w:right="0" w:firstLine="0"/>
        <w:jc w:val="left"/>
        <w:rPr>
          <w:b/>
        </w:rPr>
      </w:pPr>
    </w:p>
    <w:tbl>
      <w:tblPr>
        <w:tblW w:w="0" w:type="auto"/>
        <w:jc w:val="left"/>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37"/>
        <w:gridCol w:w="2014"/>
        <w:gridCol w:w="1530"/>
        <w:gridCol w:w="1856"/>
        <w:gridCol w:w="1626"/>
        <w:gridCol w:w="4035"/>
      </w:tblGrid>
      <w:tr>
        <w:trPr>
          <w:trHeight w:val="4759" w:hRule="atLeast"/>
        </w:trPr>
        <w:tc>
          <w:tcPr>
            <w:tcW w:w="3937" w:type="dxa"/>
          </w:tcPr>
          <w:p>
            <w:pPr>
              <w:pStyle w:val="TableParagraph"/>
              <w:rPr>
                <w:sz w:val="24"/>
              </w:rPr>
            </w:pPr>
          </w:p>
        </w:tc>
        <w:tc>
          <w:tcPr>
            <w:tcW w:w="2014" w:type="dxa"/>
          </w:tcPr>
          <w:p>
            <w:pPr>
              <w:pStyle w:val="TableParagraph"/>
              <w:rPr>
                <w:sz w:val="24"/>
              </w:rPr>
            </w:pPr>
          </w:p>
        </w:tc>
        <w:tc>
          <w:tcPr>
            <w:tcW w:w="1530" w:type="dxa"/>
          </w:tcPr>
          <w:p>
            <w:pPr>
              <w:pStyle w:val="TableParagraph"/>
              <w:rPr>
                <w:sz w:val="24"/>
              </w:rPr>
            </w:pPr>
          </w:p>
        </w:tc>
        <w:tc>
          <w:tcPr>
            <w:tcW w:w="1856" w:type="dxa"/>
          </w:tcPr>
          <w:p>
            <w:pPr>
              <w:pStyle w:val="TableParagraph"/>
              <w:rPr>
                <w:sz w:val="24"/>
              </w:rPr>
            </w:pPr>
          </w:p>
        </w:tc>
        <w:tc>
          <w:tcPr>
            <w:tcW w:w="1626" w:type="dxa"/>
          </w:tcPr>
          <w:p>
            <w:pPr>
              <w:pStyle w:val="TableParagraph"/>
              <w:rPr>
                <w:sz w:val="24"/>
              </w:rPr>
            </w:pPr>
          </w:p>
        </w:tc>
        <w:tc>
          <w:tcPr>
            <w:tcW w:w="4035" w:type="dxa"/>
          </w:tcPr>
          <w:p>
            <w:pPr>
              <w:pStyle w:val="TableParagraph"/>
              <w:spacing w:line="412" w:lineRule="auto"/>
              <w:ind w:left="107"/>
              <w:rPr>
                <w:sz w:val="24"/>
              </w:rPr>
            </w:pPr>
            <w:r>
              <w:rPr>
                <w:sz w:val="24"/>
              </w:rPr>
              <w:t>Выраженность</w:t>
            </w:r>
            <w:r>
              <w:rPr>
                <w:spacing w:val="-15"/>
                <w:sz w:val="24"/>
              </w:rPr>
              <w:t> </w:t>
            </w:r>
            <w:r>
              <w:rPr>
                <w:sz w:val="24"/>
              </w:rPr>
              <w:t>внутренних</w:t>
            </w:r>
            <w:r>
              <w:rPr>
                <w:spacing w:val="-15"/>
                <w:sz w:val="24"/>
              </w:rPr>
              <w:t> </w:t>
            </w:r>
            <w:r>
              <w:rPr>
                <w:sz w:val="24"/>
              </w:rPr>
              <w:t>проблем. Выраженность внешних проблем.</w:t>
            </w:r>
          </w:p>
          <w:p>
            <w:pPr>
              <w:pStyle w:val="TableParagraph"/>
              <w:ind w:left="107"/>
              <w:rPr>
                <w:sz w:val="24"/>
              </w:rPr>
            </w:pPr>
            <w:r>
              <w:rPr>
                <w:spacing w:val="-2"/>
                <w:sz w:val="24"/>
              </w:rPr>
              <w:t>Замкнутость.</w:t>
            </w:r>
          </w:p>
          <w:p>
            <w:pPr>
              <w:pStyle w:val="TableParagraph"/>
              <w:spacing w:line="415" w:lineRule="auto" w:before="197"/>
              <w:ind w:left="107" w:right="544"/>
              <w:jc w:val="both"/>
              <w:rPr>
                <w:sz w:val="24"/>
              </w:rPr>
            </w:pPr>
            <w:r>
              <w:rPr>
                <w:sz w:val="24"/>
              </w:rPr>
              <w:t>Наличие</w:t>
            </w:r>
            <w:r>
              <w:rPr>
                <w:spacing w:val="-8"/>
                <w:sz w:val="24"/>
              </w:rPr>
              <w:t> </w:t>
            </w:r>
            <w:r>
              <w:rPr>
                <w:sz w:val="24"/>
              </w:rPr>
              <w:t>соматических</w:t>
            </w:r>
            <w:r>
              <w:rPr>
                <w:spacing w:val="-8"/>
                <w:sz w:val="24"/>
              </w:rPr>
              <w:t> </w:t>
            </w:r>
            <w:r>
              <w:rPr>
                <w:sz w:val="24"/>
              </w:rPr>
              <w:t>проблем. Тревожность</w:t>
            </w:r>
            <w:r>
              <w:rPr>
                <w:spacing w:val="-15"/>
                <w:sz w:val="24"/>
              </w:rPr>
              <w:t> </w:t>
            </w:r>
            <w:r>
              <w:rPr>
                <w:sz w:val="24"/>
              </w:rPr>
              <w:t>—</w:t>
            </w:r>
            <w:r>
              <w:rPr>
                <w:spacing w:val="-15"/>
                <w:sz w:val="24"/>
              </w:rPr>
              <w:t> </w:t>
            </w:r>
            <w:r>
              <w:rPr>
                <w:sz w:val="24"/>
              </w:rPr>
              <w:t>депрессивность. Социальные трудности.</w:t>
            </w:r>
          </w:p>
          <w:p>
            <w:pPr>
              <w:pStyle w:val="TableParagraph"/>
              <w:spacing w:line="415" w:lineRule="auto"/>
              <w:ind w:left="107" w:right="1604"/>
              <w:rPr>
                <w:sz w:val="24"/>
              </w:rPr>
            </w:pPr>
            <w:r>
              <w:rPr>
                <w:sz w:val="24"/>
              </w:rPr>
              <w:t>Трудности</w:t>
            </w:r>
            <w:r>
              <w:rPr>
                <w:spacing w:val="-15"/>
                <w:sz w:val="24"/>
              </w:rPr>
              <w:t> </w:t>
            </w:r>
            <w:r>
              <w:rPr>
                <w:sz w:val="24"/>
              </w:rPr>
              <w:t>мышления. Трудности внимания. </w:t>
            </w:r>
            <w:r>
              <w:rPr>
                <w:spacing w:val="-2"/>
                <w:sz w:val="24"/>
              </w:rPr>
              <w:t>Делинквентность.</w:t>
            </w:r>
          </w:p>
          <w:p>
            <w:pPr>
              <w:pStyle w:val="TableParagraph"/>
              <w:spacing w:line="272" w:lineRule="exact"/>
              <w:ind w:left="107"/>
              <w:rPr>
                <w:sz w:val="24"/>
              </w:rPr>
            </w:pPr>
            <w:r>
              <w:rPr>
                <w:spacing w:val="-2"/>
                <w:sz w:val="24"/>
              </w:rPr>
              <w:t>Агрессивность</w:t>
            </w:r>
          </w:p>
        </w:tc>
      </w:tr>
      <w:tr>
        <w:trPr>
          <w:trHeight w:val="2609" w:hRule="atLeast"/>
        </w:trPr>
        <w:tc>
          <w:tcPr>
            <w:tcW w:w="3937" w:type="dxa"/>
          </w:tcPr>
          <w:p>
            <w:pPr>
              <w:pStyle w:val="TableParagraph"/>
              <w:rPr>
                <w:b/>
                <w:sz w:val="24"/>
              </w:rPr>
            </w:pPr>
          </w:p>
          <w:p>
            <w:pPr>
              <w:pStyle w:val="TableParagraph"/>
              <w:spacing w:before="229"/>
              <w:rPr>
                <w:b/>
                <w:sz w:val="24"/>
              </w:rPr>
            </w:pPr>
          </w:p>
          <w:p>
            <w:pPr>
              <w:pStyle w:val="TableParagraph"/>
              <w:ind w:left="110" w:right="962"/>
              <w:rPr>
                <w:sz w:val="24"/>
              </w:rPr>
            </w:pPr>
            <w:r>
              <w:rPr>
                <w:sz w:val="24"/>
              </w:rPr>
              <w:t>Многомерная шкала удовлетворенности</w:t>
            </w:r>
            <w:r>
              <w:rPr>
                <w:spacing w:val="-15"/>
                <w:sz w:val="24"/>
              </w:rPr>
              <w:t> </w:t>
            </w:r>
            <w:r>
              <w:rPr>
                <w:sz w:val="24"/>
              </w:rPr>
              <w:t>жизнью </w:t>
            </w:r>
            <w:r>
              <w:rPr>
                <w:spacing w:val="-2"/>
                <w:sz w:val="24"/>
              </w:rPr>
              <w:t>школьников</w:t>
            </w:r>
          </w:p>
        </w:tc>
        <w:tc>
          <w:tcPr>
            <w:tcW w:w="2014" w:type="dxa"/>
          </w:tcPr>
          <w:p>
            <w:pPr>
              <w:pStyle w:val="TableParagraph"/>
              <w:rPr>
                <w:b/>
                <w:sz w:val="24"/>
              </w:rPr>
            </w:pPr>
          </w:p>
          <w:p>
            <w:pPr>
              <w:pStyle w:val="TableParagraph"/>
              <w:rPr>
                <w:b/>
                <w:sz w:val="24"/>
              </w:rPr>
            </w:pPr>
          </w:p>
          <w:p>
            <w:pPr>
              <w:pStyle w:val="TableParagraph"/>
              <w:spacing w:before="231"/>
              <w:rPr>
                <w:b/>
                <w:sz w:val="24"/>
              </w:rPr>
            </w:pPr>
          </w:p>
          <w:p>
            <w:pPr>
              <w:pStyle w:val="TableParagraph"/>
              <w:spacing w:before="1"/>
              <w:ind w:left="15" w:right="5"/>
              <w:jc w:val="center"/>
              <w:rPr>
                <w:sz w:val="24"/>
              </w:rPr>
            </w:pPr>
            <w:r>
              <w:rPr>
                <w:spacing w:val="-10"/>
                <w:sz w:val="24"/>
              </w:rPr>
              <w:t>Р</w:t>
            </w:r>
          </w:p>
        </w:tc>
        <w:tc>
          <w:tcPr>
            <w:tcW w:w="1530" w:type="dxa"/>
          </w:tcPr>
          <w:p>
            <w:pPr>
              <w:pStyle w:val="TableParagraph"/>
              <w:rPr>
                <w:b/>
                <w:sz w:val="24"/>
              </w:rPr>
            </w:pPr>
          </w:p>
          <w:p>
            <w:pPr>
              <w:pStyle w:val="TableParagraph"/>
              <w:rPr>
                <w:b/>
                <w:sz w:val="24"/>
              </w:rPr>
            </w:pPr>
          </w:p>
          <w:p>
            <w:pPr>
              <w:pStyle w:val="TableParagraph"/>
              <w:spacing w:before="231"/>
              <w:rPr>
                <w:b/>
                <w:sz w:val="24"/>
              </w:rPr>
            </w:pPr>
          </w:p>
          <w:p>
            <w:pPr>
              <w:pStyle w:val="TableParagraph"/>
              <w:spacing w:before="1"/>
              <w:ind w:left="5"/>
              <w:jc w:val="center"/>
              <w:rPr>
                <w:sz w:val="24"/>
              </w:rPr>
            </w:pPr>
            <w:r>
              <w:rPr>
                <w:spacing w:val="-10"/>
                <w:sz w:val="24"/>
              </w:rPr>
              <w:t>*</w:t>
            </w:r>
          </w:p>
        </w:tc>
        <w:tc>
          <w:tcPr>
            <w:tcW w:w="1856" w:type="dxa"/>
          </w:tcPr>
          <w:p>
            <w:pPr>
              <w:pStyle w:val="TableParagraph"/>
              <w:rPr>
                <w:b/>
                <w:sz w:val="24"/>
              </w:rPr>
            </w:pPr>
          </w:p>
          <w:p>
            <w:pPr>
              <w:pStyle w:val="TableParagraph"/>
              <w:rPr>
                <w:b/>
                <w:sz w:val="24"/>
              </w:rPr>
            </w:pPr>
          </w:p>
          <w:p>
            <w:pPr>
              <w:pStyle w:val="TableParagraph"/>
              <w:spacing w:before="231"/>
              <w:rPr>
                <w:b/>
                <w:sz w:val="24"/>
              </w:rPr>
            </w:pPr>
          </w:p>
          <w:p>
            <w:pPr>
              <w:pStyle w:val="TableParagraph"/>
              <w:spacing w:before="1"/>
              <w:ind w:left="11" w:right="3"/>
              <w:jc w:val="center"/>
              <w:rPr>
                <w:sz w:val="24"/>
              </w:rPr>
            </w:pPr>
            <w:r>
              <w:rPr>
                <w:spacing w:val="-10"/>
                <w:sz w:val="24"/>
              </w:rPr>
              <w:t>*</w:t>
            </w:r>
          </w:p>
        </w:tc>
        <w:tc>
          <w:tcPr>
            <w:tcW w:w="1626" w:type="dxa"/>
          </w:tcPr>
          <w:p>
            <w:pPr>
              <w:pStyle w:val="TableParagraph"/>
              <w:rPr>
                <w:b/>
                <w:sz w:val="24"/>
              </w:rPr>
            </w:pPr>
          </w:p>
          <w:p>
            <w:pPr>
              <w:pStyle w:val="TableParagraph"/>
              <w:rPr>
                <w:b/>
                <w:sz w:val="24"/>
              </w:rPr>
            </w:pPr>
          </w:p>
          <w:p>
            <w:pPr>
              <w:pStyle w:val="TableParagraph"/>
              <w:spacing w:before="231"/>
              <w:rPr>
                <w:b/>
                <w:sz w:val="24"/>
              </w:rPr>
            </w:pPr>
          </w:p>
          <w:p>
            <w:pPr>
              <w:pStyle w:val="TableParagraph"/>
              <w:spacing w:before="1"/>
              <w:ind w:left="6"/>
              <w:jc w:val="center"/>
              <w:rPr>
                <w:sz w:val="24"/>
              </w:rPr>
            </w:pPr>
            <w:r>
              <w:rPr>
                <w:spacing w:val="-10"/>
                <w:sz w:val="24"/>
              </w:rPr>
              <w:t>*</w:t>
            </w:r>
          </w:p>
        </w:tc>
        <w:tc>
          <w:tcPr>
            <w:tcW w:w="4035" w:type="dxa"/>
          </w:tcPr>
          <w:p>
            <w:pPr>
              <w:pStyle w:val="TableParagraph"/>
              <w:spacing w:line="242" w:lineRule="auto"/>
              <w:ind w:left="107"/>
              <w:rPr>
                <w:sz w:val="24"/>
              </w:rPr>
            </w:pPr>
            <w:r>
              <w:rPr>
                <w:sz w:val="24"/>
              </w:rPr>
              <w:t>Общий</w:t>
            </w:r>
            <w:r>
              <w:rPr>
                <w:spacing w:val="-15"/>
                <w:sz w:val="24"/>
              </w:rPr>
              <w:t> </w:t>
            </w:r>
            <w:r>
              <w:rPr>
                <w:sz w:val="24"/>
              </w:rPr>
              <w:t>уровень</w:t>
            </w:r>
            <w:r>
              <w:rPr>
                <w:spacing w:val="-15"/>
                <w:sz w:val="24"/>
              </w:rPr>
              <w:t> </w:t>
            </w:r>
            <w:r>
              <w:rPr>
                <w:sz w:val="24"/>
              </w:rPr>
              <w:t>удовлетворенности </w:t>
            </w:r>
            <w:r>
              <w:rPr>
                <w:spacing w:val="-2"/>
                <w:sz w:val="24"/>
              </w:rPr>
              <w:t>жизнью.</w:t>
            </w:r>
          </w:p>
          <w:p>
            <w:pPr>
              <w:pStyle w:val="TableParagraph"/>
              <w:spacing w:before="188"/>
              <w:ind w:left="107" w:right="118"/>
              <w:rPr>
                <w:sz w:val="24"/>
              </w:rPr>
            </w:pPr>
            <w:r>
              <w:rPr>
                <w:sz w:val="24"/>
              </w:rPr>
              <w:t>Профиль удовлетворенности различными сферами: отношениями с</w:t>
            </w:r>
            <w:r>
              <w:rPr>
                <w:spacing w:val="-11"/>
                <w:sz w:val="24"/>
              </w:rPr>
              <w:t> </w:t>
            </w:r>
            <w:r>
              <w:rPr>
                <w:sz w:val="24"/>
              </w:rPr>
              <w:t>членами</w:t>
            </w:r>
            <w:r>
              <w:rPr>
                <w:spacing w:val="-10"/>
                <w:sz w:val="24"/>
              </w:rPr>
              <w:t> </w:t>
            </w:r>
            <w:r>
              <w:rPr>
                <w:sz w:val="24"/>
              </w:rPr>
              <w:t>семьи;</w:t>
            </w:r>
            <w:r>
              <w:rPr>
                <w:spacing w:val="-10"/>
                <w:sz w:val="24"/>
              </w:rPr>
              <w:t> </w:t>
            </w:r>
            <w:r>
              <w:rPr>
                <w:sz w:val="24"/>
              </w:rPr>
              <w:t>школьной</w:t>
            </w:r>
            <w:r>
              <w:rPr>
                <w:spacing w:val="-10"/>
                <w:sz w:val="24"/>
              </w:rPr>
              <w:t> </w:t>
            </w:r>
            <w:r>
              <w:rPr>
                <w:sz w:val="24"/>
              </w:rPr>
              <w:t>жизнью; отношениями со сверстниками; самим собой; отношением с </w:t>
            </w:r>
            <w:r>
              <w:rPr>
                <w:spacing w:val="-2"/>
                <w:sz w:val="24"/>
              </w:rPr>
              <w:t>учителями</w:t>
            </w:r>
          </w:p>
        </w:tc>
      </w:tr>
      <w:tr>
        <w:trPr>
          <w:trHeight w:val="827" w:hRule="atLeast"/>
        </w:trPr>
        <w:tc>
          <w:tcPr>
            <w:tcW w:w="3937" w:type="dxa"/>
          </w:tcPr>
          <w:p>
            <w:pPr>
              <w:pStyle w:val="TableParagraph"/>
              <w:spacing w:line="242" w:lineRule="auto" w:before="30"/>
              <w:ind w:left="110"/>
              <w:rPr>
                <w:sz w:val="24"/>
              </w:rPr>
            </w:pPr>
            <w:r>
              <w:rPr>
                <w:sz w:val="24"/>
              </w:rPr>
              <w:t>Детский</w:t>
            </w:r>
            <w:r>
              <w:rPr>
                <w:spacing w:val="-15"/>
                <w:sz w:val="24"/>
              </w:rPr>
              <w:t> </w:t>
            </w:r>
            <w:r>
              <w:rPr>
                <w:sz w:val="24"/>
              </w:rPr>
              <w:t>тест</w:t>
            </w:r>
            <w:r>
              <w:rPr>
                <w:spacing w:val="-15"/>
                <w:sz w:val="24"/>
              </w:rPr>
              <w:t> </w:t>
            </w:r>
            <w:r>
              <w:rPr>
                <w:sz w:val="24"/>
              </w:rPr>
              <w:t>психологической </w:t>
            </w:r>
            <w:r>
              <w:rPr>
                <w:spacing w:val="-2"/>
                <w:sz w:val="24"/>
              </w:rPr>
              <w:t>устойчивости</w:t>
            </w:r>
          </w:p>
        </w:tc>
        <w:tc>
          <w:tcPr>
            <w:tcW w:w="2014" w:type="dxa"/>
          </w:tcPr>
          <w:p>
            <w:pPr>
              <w:pStyle w:val="TableParagraph"/>
              <w:spacing w:before="169"/>
              <w:ind w:left="15" w:right="5"/>
              <w:jc w:val="center"/>
              <w:rPr>
                <w:sz w:val="24"/>
              </w:rPr>
            </w:pPr>
            <w:r>
              <w:rPr>
                <w:spacing w:val="-10"/>
                <w:sz w:val="24"/>
              </w:rPr>
              <w:t>Р</w:t>
            </w:r>
          </w:p>
        </w:tc>
        <w:tc>
          <w:tcPr>
            <w:tcW w:w="1530" w:type="dxa"/>
          </w:tcPr>
          <w:p>
            <w:pPr>
              <w:pStyle w:val="TableParagraph"/>
              <w:spacing w:before="169"/>
              <w:ind w:left="5"/>
              <w:jc w:val="center"/>
              <w:rPr>
                <w:sz w:val="24"/>
              </w:rPr>
            </w:pPr>
            <w:r>
              <w:rPr>
                <w:spacing w:val="-10"/>
                <w:sz w:val="24"/>
              </w:rPr>
              <w:t>*</w:t>
            </w:r>
          </w:p>
        </w:tc>
        <w:tc>
          <w:tcPr>
            <w:tcW w:w="1856" w:type="dxa"/>
          </w:tcPr>
          <w:p>
            <w:pPr>
              <w:pStyle w:val="TableParagraph"/>
              <w:spacing w:before="169"/>
              <w:ind w:left="11" w:right="3"/>
              <w:jc w:val="center"/>
              <w:rPr>
                <w:sz w:val="24"/>
              </w:rPr>
            </w:pPr>
            <w:r>
              <w:rPr>
                <w:spacing w:val="-10"/>
                <w:sz w:val="24"/>
              </w:rPr>
              <w:t>*</w:t>
            </w:r>
          </w:p>
        </w:tc>
        <w:tc>
          <w:tcPr>
            <w:tcW w:w="1626" w:type="dxa"/>
          </w:tcPr>
          <w:p>
            <w:pPr>
              <w:pStyle w:val="TableParagraph"/>
              <w:spacing w:before="169"/>
              <w:ind w:left="6"/>
              <w:jc w:val="center"/>
              <w:rPr>
                <w:sz w:val="24"/>
              </w:rPr>
            </w:pPr>
            <w:r>
              <w:rPr>
                <w:spacing w:val="-10"/>
                <w:sz w:val="24"/>
              </w:rPr>
              <w:t>*</w:t>
            </w:r>
          </w:p>
        </w:tc>
        <w:tc>
          <w:tcPr>
            <w:tcW w:w="4035" w:type="dxa"/>
          </w:tcPr>
          <w:p>
            <w:pPr>
              <w:pStyle w:val="TableParagraph"/>
              <w:spacing w:line="268" w:lineRule="exact"/>
              <w:ind w:left="107"/>
              <w:rPr>
                <w:sz w:val="24"/>
              </w:rPr>
            </w:pPr>
            <w:r>
              <w:rPr>
                <w:sz w:val="24"/>
              </w:rPr>
              <w:t>Способность</w:t>
            </w:r>
            <w:r>
              <w:rPr>
                <w:spacing w:val="-3"/>
                <w:sz w:val="24"/>
              </w:rPr>
              <w:t> </w:t>
            </w:r>
            <w:r>
              <w:rPr>
                <w:sz w:val="24"/>
              </w:rPr>
              <w:t>ребенка</w:t>
            </w:r>
            <w:r>
              <w:rPr>
                <w:spacing w:val="-6"/>
                <w:sz w:val="24"/>
              </w:rPr>
              <w:t> </w:t>
            </w:r>
            <w:r>
              <w:rPr>
                <w:spacing w:val="-10"/>
                <w:sz w:val="24"/>
              </w:rPr>
              <w:t>к</w:t>
            </w:r>
          </w:p>
          <w:p>
            <w:pPr>
              <w:pStyle w:val="TableParagraph"/>
              <w:spacing w:line="270" w:lineRule="atLeast"/>
              <w:ind w:left="107"/>
              <w:rPr>
                <w:sz w:val="24"/>
              </w:rPr>
            </w:pPr>
            <w:r>
              <w:rPr>
                <w:sz w:val="24"/>
              </w:rPr>
              <w:t>эффективному социальному взаимодействию</w:t>
            </w:r>
            <w:r>
              <w:rPr>
                <w:spacing w:val="-13"/>
                <w:sz w:val="24"/>
              </w:rPr>
              <w:t> </w:t>
            </w:r>
            <w:r>
              <w:rPr>
                <w:sz w:val="24"/>
              </w:rPr>
              <w:t>с</w:t>
            </w:r>
            <w:r>
              <w:rPr>
                <w:spacing w:val="-14"/>
                <w:sz w:val="24"/>
              </w:rPr>
              <w:t> </w:t>
            </w:r>
            <w:r>
              <w:rPr>
                <w:sz w:val="24"/>
              </w:rPr>
              <w:t>целью</w:t>
            </w:r>
            <w:r>
              <w:rPr>
                <w:spacing w:val="-13"/>
                <w:sz w:val="24"/>
              </w:rPr>
              <w:t> </w:t>
            </w:r>
            <w:r>
              <w:rPr>
                <w:sz w:val="24"/>
              </w:rPr>
              <w:t>получения</w:t>
            </w:r>
          </w:p>
        </w:tc>
      </w:tr>
    </w:tbl>
    <w:p>
      <w:pPr>
        <w:pStyle w:val="TableParagraph"/>
        <w:spacing w:after="0" w:line="270" w:lineRule="atLeast"/>
        <w:rPr>
          <w:sz w:val="24"/>
        </w:rPr>
        <w:sectPr>
          <w:footerReference w:type="default" r:id="rId40"/>
          <w:pgSz w:w="16840" w:h="11910" w:orient="landscape"/>
          <w:pgMar w:header="0" w:footer="1024" w:top="1340" w:bottom="1220" w:left="992" w:right="708"/>
          <w:pgNumType w:start="75"/>
        </w:sectPr>
      </w:pPr>
    </w:p>
    <w:p>
      <w:pPr>
        <w:pStyle w:val="BodyText"/>
        <w:spacing w:before="125"/>
        <w:ind w:left="0" w:right="0" w:firstLine="0"/>
        <w:jc w:val="left"/>
        <w:rPr>
          <w:b/>
        </w:rPr>
      </w:pPr>
    </w:p>
    <w:tbl>
      <w:tblPr>
        <w:tblW w:w="0" w:type="auto"/>
        <w:jc w:val="left"/>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37"/>
        <w:gridCol w:w="2014"/>
        <w:gridCol w:w="1530"/>
        <w:gridCol w:w="1856"/>
        <w:gridCol w:w="1626"/>
        <w:gridCol w:w="4035"/>
      </w:tblGrid>
      <w:tr>
        <w:trPr>
          <w:trHeight w:val="750" w:hRule="atLeast"/>
        </w:trPr>
        <w:tc>
          <w:tcPr>
            <w:tcW w:w="3937" w:type="dxa"/>
          </w:tcPr>
          <w:p>
            <w:pPr>
              <w:pStyle w:val="TableParagraph"/>
              <w:rPr>
                <w:sz w:val="22"/>
              </w:rPr>
            </w:pPr>
          </w:p>
        </w:tc>
        <w:tc>
          <w:tcPr>
            <w:tcW w:w="2014" w:type="dxa"/>
          </w:tcPr>
          <w:p>
            <w:pPr>
              <w:pStyle w:val="TableParagraph"/>
              <w:rPr>
                <w:sz w:val="22"/>
              </w:rPr>
            </w:pPr>
          </w:p>
        </w:tc>
        <w:tc>
          <w:tcPr>
            <w:tcW w:w="1530" w:type="dxa"/>
          </w:tcPr>
          <w:p>
            <w:pPr>
              <w:pStyle w:val="TableParagraph"/>
              <w:rPr>
                <w:sz w:val="22"/>
              </w:rPr>
            </w:pPr>
          </w:p>
        </w:tc>
        <w:tc>
          <w:tcPr>
            <w:tcW w:w="1856" w:type="dxa"/>
          </w:tcPr>
          <w:p>
            <w:pPr>
              <w:pStyle w:val="TableParagraph"/>
              <w:rPr>
                <w:sz w:val="22"/>
              </w:rPr>
            </w:pPr>
          </w:p>
        </w:tc>
        <w:tc>
          <w:tcPr>
            <w:tcW w:w="1626" w:type="dxa"/>
          </w:tcPr>
          <w:p>
            <w:pPr>
              <w:pStyle w:val="TableParagraph"/>
              <w:rPr>
                <w:sz w:val="22"/>
              </w:rPr>
            </w:pPr>
          </w:p>
        </w:tc>
        <w:tc>
          <w:tcPr>
            <w:tcW w:w="4035" w:type="dxa"/>
          </w:tcPr>
          <w:p>
            <w:pPr>
              <w:pStyle w:val="TableParagraph"/>
              <w:spacing w:line="242" w:lineRule="auto"/>
              <w:ind w:left="107"/>
              <w:rPr>
                <w:sz w:val="24"/>
              </w:rPr>
            </w:pPr>
            <w:r>
              <w:rPr>
                <w:sz w:val="24"/>
              </w:rPr>
              <w:t>значимых для него ресурсов и поддержки</w:t>
            </w:r>
            <w:r>
              <w:rPr>
                <w:spacing w:val="-14"/>
                <w:sz w:val="24"/>
              </w:rPr>
              <w:t> </w:t>
            </w:r>
            <w:r>
              <w:rPr>
                <w:sz w:val="24"/>
              </w:rPr>
              <w:t>в</w:t>
            </w:r>
            <w:r>
              <w:rPr>
                <w:spacing w:val="-14"/>
                <w:sz w:val="24"/>
              </w:rPr>
              <w:t> </w:t>
            </w:r>
            <w:r>
              <w:rPr>
                <w:sz w:val="24"/>
              </w:rPr>
              <w:t>стрессовых</w:t>
            </w:r>
            <w:r>
              <w:rPr>
                <w:spacing w:val="-12"/>
                <w:sz w:val="24"/>
              </w:rPr>
              <w:t> </w:t>
            </w:r>
            <w:r>
              <w:rPr>
                <w:sz w:val="24"/>
              </w:rPr>
              <w:t>ситуациях</w:t>
            </w:r>
          </w:p>
        </w:tc>
      </w:tr>
      <w:tr>
        <w:trPr>
          <w:trHeight w:val="1029" w:hRule="atLeast"/>
        </w:trPr>
        <w:tc>
          <w:tcPr>
            <w:tcW w:w="3937" w:type="dxa"/>
          </w:tcPr>
          <w:p>
            <w:pPr>
              <w:pStyle w:val="TableParagraph"/>
              <w:spacing w:line="242" w:lineRule="auto" w:before="131"/>
              <w:ind w:left="110"/>
              <w:rPr>
                <w:sz w:val="24"/>
              </w:rPr>
            </w:pPr>
            <w:r>
              <w:rPr>
                <w:sz w:val="24"/>
              </w:rPr>
              <w:t>Шкала</w:t>
            </w:r>
            <w:r>
              <w:rPr>
                <w:spacing w:val="-14"/>
                <w:sz w:val="24"/>
              </w:rPr>
              <w:t> </w:t>
            </w:r>
            <w:r>
              <w:rPr>
                <w:sz w:val="24"/>
              </w:rPr>
              <w:t>социального</w:t>
            </w:r>
            <w:r>
              <w:rPr>
                <w:spacing w:val="-13"/>
                <w:sz w:val="24"/>
              </w:rPr>
              <w:t> </w:t>
            </w:r>
            <w:r>
              <w:rPr>
                <w:sz w:val="24"/>
              </w:rPr>
              <w:t>избегания</w:t>
            </w:r>
            <w:r>
              <w:rPr>
                <w:spacing w:val="-13"/>
                <w:sz w:val="24"/>
              </w:rPr>
              <w:t> </w:t>
            </w:r>
            <w:r>
              <w:rPr>
                <w:sz w:val="24"/>
              </w:rPr>
              <w:t>и </w:t>
            </w:r>
            <w:r>
              <w:rPr>
                <w:spacing w:val="-2"/>
                <w:sz w:val="24"/>
              </w:rPr>
              <w:t>дистресса</w:t>
            </w:r>
          </w:p>
        </w:tc>
        <w:tc>
          <w:tcPr>
            <w:tcW w:w="2014" w:type="dxa"/>
          </w:tcPr>
          <w:p>
            <w:pPr>
              <w:pStyle w:val="TableParagraph"/>
              <w:spacing w:before="270"/>
              <w:ind w:left="15" w:right="5"/>
              <w:jc w:val="center"/>
              <w:rPr>
                <w:sz w:val="24"/>
              </w:rPr>
            </w:pPr>
            <w:r>
              <w:rPr>
                <w:spacing w:val="-10"/>
                <w:sz w:val="24"/>
              </w:rPr>
              <w:t>Р</w:t>
            </w:r>
          </w:p>
        </w:tc>
        <w:tc>
          <w:tcPr>
            <w:tcW w:w="1530" w:type="dxa"/>
          </w:tcPr>
          <w:p>
            <w:pPr>
              <w:pStyle w:val="TableParagraph"/>
              <w:rPr>
                <w:sz w:val="22"/>
              </w:rPr>
            </w:pPr>
          </w:p>
        </w:tc>
        <w:tc>
          <w:tcPr>
            <w:tcW w:w="1856" w:type="dxa"/>
          </w:tcPr>
          <w:p>
            <w:pPr>
              <w:pStyle w:val="TableParagraph"/>
              <w:spacing w:before="270"/>
              <w:ind w:left="11" w:right="3"/>
              <w:jc w:val="center"/>
              <w:rPr>
                <w:sz w:val="24"/>
              </w:rPr>
            </w:pPr>
            <w:r>
              <w:rPr>
                <w:spacing w:val="-10"/>
                <w:sz w:val="24"/>
              </w:rPr>
              <w:t>*</w:t>
            </w:r>
          </w:p>
        </w:tc>
        <w:tc>
          <w:tcPr>
            <w:tcW w:w="1626" w:type="dxa"/>
          </w:tcPr>
          <w:p>
            <w:pPr>
              <w:pStyle w:val="TableParagraph"/>
              <w:spacing w:before="270"/>
              <w:ind w:left="6"/>
              <w:jc w:val="center"/>
              <w:rPr>
                <w:sz w:val="24"/>
              </w:rPr>
            </w:pPr>
            <w:r>
              <w:rPr>
                <w:spacing w:val="-10"/>
                <w:sz w:val="24"/>
              </w:rPr>
              <w:t>*</w:t>
            </w:r>
          </w:p>
        </w:tc>
        <w:tc>
          <w:tcPr>
            <w:tcW w:w="4035" w:type="dxa"/>
          </w:tcPr>
          <w:p>
            <w:pPr>
              <w:pStyle w:val="TableParagraph"/>
              <w:ind w:left="107" w:right="195"/>
              <w:rPr>
                <w:sz w:val="24"/>
              </w:rPr>
            </w:pPr>
            <w:r>
              <w:rPr>
                <w:sz w:val="24"/>
              </w:rPr>
              <w:t>Два набора социальной тревожности:</w:t>
            </w:r>
            <w:r>
              <w:rPr>
                <w:spacing w:val="-15"/>
                <w:sz w:val="24"/>
              </w:rPr>
              <w:t> </w:t>
            </w:r>
            <w:r>
              <w:rPr>
                <w:sz w:val="24"/>
              </w:rPr>
              <w:t>социальный</w:t>
            </w:r>
            <w:r>
              <w:rPr>
                <w:spacing w:val="-15"/>
                <w:sz w:val="24"/>
              </w:rPr>
              <w:t> </w:t>
            </w:r>
            <w:r>
              <w:rPr>
                <w:sz w:val="24"/>
              </w:rPr>
              <w:t>дистресс и социальное избегание</w:t>
            </w:r>
          </w:p>
        </w:tc>
      </w:tr>
      <w:tr>
        <w:trPr>
          <w:trHeight w:val="751" w:hRule="atLeast"/>
        </w:trPr>
        <w:tc>
          <w:tcPr>
            <w:tcW w:w="3937" w:type="dxa"/>
          </w:tcPr>
          <w:p>
            <w:pPr>
              <w:pStyle w:val="TableParagraph"/>
              <w:spacing w:before="131"/>
              <w:ind w:left="110"/>
              <w:rPr>
                <w:sz w:val="24"/>
              </w:rPr>
            </w:pPr>
            <w:r>
              <w:rPr>
                <w:sz w:val="24"/>
              </w:rPr>
              <w:t>Опросник</w:t>
            </w:r>
            <w:r>
              <w:rPr>
                <w:spacing w:val="-2"/>
                <w:sz w:val="24"/>
              </w:rPr>
              <w:t> депрессивности</w:t>
            </w:r>
          </w:p>
        </w:tc>
        <w:tc>
          <w:tcPr>
            <w:tcW w:w="2014" w:type="dxa"/>
          </w:tcPr>
          <w:p>
            <w:pPr>
              <w:pStyle w:val="TableParagraph"/>
              <w:spacing w:before="131"/>
              <w:ind w:left="15" w:right="5"/>
              <w:jc w:val="center"/>
              <w:rPr>
                <w:sz w:val="24"/>
              </w:rPr>
            </w:pPr>
            <w:r>
              <w:rPr>
                <w:spacing w:val="-10"/>
                <w:sz w:val="24"/>
              </w:rPr>
              <w:t>Р</w:t>
            </w:r>
          </w:p>
        </w:tc>
        <w:tc>
          <w:tcPr>
            <w:tcW w:w="1530" w:type="dxa"/>
          </w:tcPr>
          <w:p>
            <w:pPr>
              <w:pStyle w:val="TableParagraph"/>
              <w:rPr>
                <w:sz w:val="22"/>
              </w:rPr>
            </w:pPr>
          </w:p>
        </w:tc>
        <w:tc>
          <w:tcPr>
            <w:tcW w:w="1856" w:type="dxa"/>
          </w:tcPr>
          <w:p>
            <w:pPr>
              <w:pStyle w:val="TableParagraph"/>
              <w:spacing w:before="131"/>
              <w:ind w:left="11" w:right="3"/>
              <w:jc w:val="center"/>
              <w:rPr>
                <w:sz w:val="24"/>
              </w:rPr>
            </w:pPr>
            <w:r>
              <w:rPr>
                <w:spacing w:val="-10"/>
                <w:sz w:val="24"/>
              </w:rPr>
              <w:t>*</w:t>
            </w:r>
          </w:p>
        </w:tc>
        <w:tc>
          <w:tcPr>
            <w:tcW w:w="1626" w:type="dxa"/>
          </w:tcPr>
          <w:p>
            <w:pPr>
              <w:pStyle w:val="TableParagraph"/>
              <w:spacing w:before="131"/>
              <w:ind w:left="6"/>
              <w:jc w:val="center"/>
              <w:rPr>
                <w:sz w:val="24"/>
              </w:rPr>
            </w:pPr>
            <w:r>
              <w:rPr>
                <w:spacing w:val="-10"/>
                <w:sz w:val="24"/>
              </w:rPr>
              <w:t>*</w:t>
            </w:r>
          </w:p>
        </w:tc>
        <w:tc>
          <w:tcPr>
            <w:tcW w:w="4035" w:type="dxa"/>
          </w:tcPr>
          <w:p>
            <w:pPr>
              <w:pStyle w:val="TableParagraph"/>
              <w:spacing w:line="242" w:lineRule="auto"/>
              <w:ind w:left="107" w:right="1338"/>
              <w:rPr>
                <w:sz w:val="24"/>
              </w:rPr>
            </w:pPr>
            <w:r>
              <w:rPr>
                <w:sz w:val="24"/>
              </w:rPr>
              <w:t>Скрининг</w:t>
            </w:r>
            <w:r>
              <w:rPr>
                <w:spacing w:val="-15"/>
                <w:sz w:val="24"/>
              </w:rPr>
              <w:t> </w:t>
            </w:r>
            <w:r>
              <w:rPr>
                <w:sz w:val="24"/>
              </w:rPr>
              <w:t>депрессивного </w:t>
            </w:r>
            <w:r>
              <w:rPr>
                <w:spacing w:val="-2"/>
                <w:sz w:val="24"/>
              </w:rPr>
              <w:t>расстройства</w:t>
            </w:r>
          </w:p>
        </w:tc>
      </w:tr>
      <w:tr>
        <w:trPr>
          <w:trHeight w:val="753" w:hRule="atLeast"/>
        </w:trPr>
        <w:tc>
          <w:tcPr>
            <w:tcW w:w="3937" w:type="dxa"/>
          </w:tcPr>
          <w:p>
            <w:pPr>
              <w:pStyle w:val="TableParagraph"/>
              <w:spacing w:before="133"/>
              <w:ind w:left="110"/>
              <w:rPr>
                <w:sz w:val="24"/>
              </w:rPr>
            </w:pPr>
            <w:r>
              <w:rPr>
                <w:sz w:val="24"/>
              </w:rPr>
              <w:t>Шкала</w:t>
            </w:r>
            <w:r>
              <w:rPr>
                <w:spacing w:val="-4"/>
                <w:sz w:val="24"/>
              </w:rPr>
              <w:t> </w:t>
            </w:r>
            <w:r>
              <w:rPr>
                <w:sz w:val="24"/>
              </w:rPr>
              <w:t>отношения</w:t>
            </w:r>
            <w:r>
              <w:rPr>
                <w:spacing w:val="-4"/>
                <w:sz w:val="24"/>
              </w:rPr>
              <w:t> </w:t>
            </w:r>
            <w:r>
              <w:rPr>
                <w:sz w:val="24"/>
              </w:rPr>
              <w:t>к </w:t>
            </w:r>
            <w:r>
              <w:rPr>
                <w:spacing w:val="-2"/>
                <w:sz w:val="24"/>
              </w:rPr>
              <w:t>школе</w:t>
            </w:r>
          </w:p>
        </w:tc>
        <w:tc>
          <w:tcPr>
            <w:tcW w:w="2014" w:type="dxa"/>
          </w:tcPr>
          <w:p>
            <w:pPr>
              <w:pStyle w:val="TableParagraph"/>
              <w:spacing w:before="133"/>
              <w:ind w:left="15" w:right="5"/>
              <w:jc w:val="center"/>
              <w:rPr>
                <w:sz w:val="24"/>
              </w:rPr>
            </w:pPr>
            <w:r>
              <w:rPr>
                <w:spacing w:val="-10"/>
                <w:sz w:val="24"/>
              </w:rPr>
              <w:t>Р</w:t>
            </w:r>
          </w:p>
        </w:tc>
        <w:tc>
          <w:tcPr>
            <w:tcW w:w="1530" w:type="dxa"/>
          </w:tcPr>
          <w:p>
            <w:pPr>
              <w:pStyle w:val="TableParagraph"/>
              <w:rPr>
                <w:sz w:val="22"/>
              </w:rPr>
            </w:pPr>
          </w:p>
        </w:tc>
        <w:tc>
          <w:tcPr>
            <w:tcW w:w="1856" w:type="dxa"/>
          </w:tcPr>
          <w:p>
            <w:pPr>
              <w:pStyle w:val="TableParagraph"/>
              <w:spacing w:before="133"/>
              <w:ind w:left="11" w:right="3"/>
              <w:jc w:val="center"/>
              <w:rPr>
                <w:sz w:val="24"/>
              </w:rPr>
            </w:pPr>
            <w:r>
              <w:rPr>
                <w:spacing w:val="-10"/>
                <w:sz w:val="24"/>
              </w:rPr>
              <w:t>*</w:t>
            </w:r>
          </w:p>
        </w:tc>
        <w:tc>
          <w:tcPr>
            <w:tcW w:w="1626" w:type="dxa"/>
          </w:tcPr>
          <w:p>
            <w:pPr>
              <w:pStyle w:val="TableParagraph"/>
              <w:spacing w:before="133"/>
              <w:ind w:left="6"/>
              <w:jc w:val="center"/>
              <w:rPr>
                <w:sz w:val="24"/>
              </w:rPr>
            </w:pPr>
            <w:r>
              <w:rPr>
                <w:spacing w:val="-10"/>
                <w:sz w:val="24"/>
              </w:rPr>
              <w:t>*</w:t>
            </w:r>
          </w:p>
        </w:tc>
        <w:tc>
          <w:tcPr>
            <w:tcW w:w="4035" w:type="dxa"/>
          </w:tcPr>
          <w:p>
            <w:pPr>
              <w:pStyle w:val="TableParagraph"/>
              <w:spacing w:line="242" w:lineRule="auto"/>
              <w:ind w:left="107"/>
              <w:rPr>
                <w:sz w:val="24"/>
              </w:rPr>
            </w:pPr>
            <w:r>
              <w:rPr>
                <w:sz w:val="24"/>
              </w:rPr>
              <w:t>Уровень внутренней школьной мотивации</w:t>
            </w:r>
            <w:r>
              <w:rPr>
                <w:spacing w:val="-11"/>
                <w:sz w:val="24"/>
              </w:rPr>
              <w:t> </w:t>
            </w:r>
            <w:r>
              <w:rPr>
                <w:sz w:val="24"/>
              </w:rPr>
              <w:t>и</w:t>
            </w:r>
            <w:r>
              <w:rPr>
                <w:spacing w:val="-9"/>
                <w:sz w:val="24"/>
              </w:rPr>
              <w:t> </w:t>
            </w:r>
            <w:r>
              <w:rPr>
                <w:sz w:val="24"/>
              </w:rPr>
              <w:t>отношения</w:t>
            </w:r>
            <w:r>
              <w:rPr>
                <w:spacing w:val="-9"/>
                <w:sz w:val="24"/>
              </w:rPr>
              <w:t> </w:t>
            </w:r>
            <w:r>
              <w:rPr>
                <w:sz w:val="24"/>
              </w:rPr>
              <w:t>к</w:t>
            </w:r>
            <w:r>
              <w:rPr>
                <w:spacing w:val="-9"/>
                <w:sz w:val="24"/>
              </w:rPr>
              <w:t> </w:t>
            </w:r>
            <w:r>
              <w:rPr>
                <w:sz w:val="24"/>
              </w:rPr>
              <w:t>школе</w:t>
            </w:r>
          </w:p>
        </w:tc>
      </w:tr>
    </w:tbl>
    <w:p>
      <w:pPr>
        <w:pStyle w:val="TableParagraph"/>
        <w:spacing w:after="0" w:line="242" w:lineRule="auto"/>
        <w:rPr>
          <w:sz w:val="24"/>
        </w:rPr>
        <w:sectPr>
          <w:pgSz w:w="16840" w:h="11910" w:orient="landscape"/>
          <w:pgMar w:header="0" w:footer="1024" w:top="1340" w:bottom="1220" w:left="992" w:right="708"/>
        </w:sectPr>
      </w:pPr>
    </w:p>
    <w:p>
      <w:pPr>
        <w:pStyle w:val="Heading1"/>
        <w:spacing w:line="276" w:lineRule="auto" w:before="71"/>
        <w:ind w:left="285" w:right="563"/>
        <w:jc w:val="both"/>
      </w:pPr>
      <w:bookmarkStart w:name="_bookmark11" w:id="13"/>
      <w:bookmarkEnd w:id="13"/>
      <w:r>
        <w:rPr>
          <w:b w:val="0"/>
        </w:rPr>
      </w:r>
      <w:r>
        <w:rPr/>
        <w:t>Глава 5. Анализ результатов оценки особых образовательных потребностей ребенка-мигранта в сферах психологического благополучия, социальных навыков и культурной адаптации.</w:t>
      </w:r>
    </w:p>
    <w:p>
      <w:pPr>
        <w:pStyle w:val="Heading4"/>
        <w:ind w:right="565" w:firstLine="707"/>
      </w:pPr>
      <w:r>
        <w:rPr/>
        <w:t>По результатам апробации</w:t>
      </w:r>
      <w:r>
        <w:rPr>
          <w:spacing w:val="-1"/>
        </w:rPr>
        <w:t> </w:t>
      </w:r>
      <w:r>
        <w:rPr/>
        <w:t>программы оценки</w:t>
      </w:r>
      <w:r>
        <w:rPr>
          <w:spacing w:val="-1"/>
        </w:rPr>
        <w:t> </w:t>
      </w:r>
      <w:r>
        <w:rPr/>
        <w:t>особых образовательных потребностей ребенка-мигранта в сферах психологического благополучия, социальных навыков и культурной адаптации в 2022 г. в 12 регионах РФ (N=786) с помощью математически-статистического анализа осуществлено распределение показателей по всем методикам, входящим в программу и показавшим соответствие критериям внешней и внутренней валидности.</w:t>
      </w:r>
    </w:p>
    <w:p>
      <w:pPr>
        <w:pStyle w:val="Heading4"/>
        <w:ind w:right="563" w:firstLine="707"/>
      </w:pPr>
      <w:r>
        <w:rPr/>
        <w:t>Первый этап анализа данных по результатам</w:t>
      </w:r>
      <w:r>
        <w:rPr>
          <w:spacing w:val="-1"/>
        </w:rPr>
        <w:t> </w:t>
      </w:r>
      <w:r>
        <w:rPr/>
        <w:t>диагностики предполагает соотнесение показателей диагностики ребенка-иностранного гражданина с нормативными показателями, основанными на анализе средних значений по соответствующей выборке.</w:t>
      </w:r>
    </w:p>
    <w:p>
      <w:pPr>
        <w:pStyle w:val="Heading4"/>
        <w:ind w:right="561" w:firstLine="707"/>
      </w:pPr>
      <w:r>
        <w:rPr/>
        <w:t>По каждой методике выделены показатели соответствия трем уровням выраженности каждой шкалы: ниже среднего, средний, выше среднего. Обращаем внимание, что данные показатели основаны на распределении соответствующих признаков среди детей-иностранных граждан, включенных в выборку исследования. Их также имеет смысл соотносить с данными по выраженности той или иной шкалы (критериям оценки), полученным на общероссийской выборке (если имеется) и в других странах (если имеются данные). Соответствующие показатели по каждой методике представлены в </w:t>
      </w:r>
      <w:r>
        <w:rPr>
          <w:spacing w:val="-2"/>
        </w:rPr>
        <w:t>инструментарии.</w:t>
      </w:r>
    </w:p>
    <w:p>
      <w:pPr>
        <w:pStyle w:val="Heading4"/>
        <w:ind w:right="557" w:firstLine="707"/>
      </w:pPr>
      <w:r>
        <w:rPr/>
        <w:t>При</w:t>
      </w:r>
      <w:r>
        <w:rPr>
          <w:spacing w:val="-18"/>
        </w:rPr>
        <w:t> </w:t>
      </w:r>
      <w:r>
        <w:rPr/>
        <w:t>первичной</w:t>
      </w:r>
      <w:r>
        <w:rPr>
          <w:spacing w:val="-17"/>
        </w:rPr>
        <w:t> </w:t>
      </w:r>
      <w:r>
        <w:rPr/>
        <w:t>обработке</w:t>
      </w:r>
      <w:r>
        <w:rPr>
          <w:spacing w:val="-18"/>
        </w:rPr>
        <w:t> </w:t>
      </w:r>
      <w:r>
        <w:rPr/>
        <w:t>данных</w:t>
      </w:r>
      <w:r>
        <w:rPr>
          <w:spacing w:val="-17"/>
        </w:rPr>
        <w:t> </w:t>
      </w:r>
      <w:r>
        <w:rPr/>
        <w:t>педагогу-психологу</w:t>
      </w:r>
      <w:r>
        <w:rPr>
          <w:spacing w:val="-18"/>
        </w:rPr>
        <w:t> </w:t>
      </w:r>
      <w:r>
        <w:rPr/>
        <w:t>рекомендуется</w:t>
      </w:r>
      <w:r>
        <w:rPr>
          <w:spacing w:val="-17"/>
        </w:rPr>
        <w:t> </w:t>
      </w:r>
      <w:r>
        <w:rPr/>
        <w:t>по каждой проведенной методике оценить полученные результаты ребенка- иностранного гражданина по уровням выраженности каждого измеренного показателя (шкалы): ниже среднего, средний, выше среднего.</w:t>
      </w:r>
    </w:p>
    <w:p>
      <w:pPr>
        <w:pStyle w:val="Heading4"/>
        <w:spacing w:before="321"/>
        <w:ind w:right="568" w:firstLine="707"/>
      </w:pPr>
      <w:r>
        <w:rPr/>
        <w:t>На</w:t>
      </w:r>
      <w:r>
        <w:rPr>
          <w:spacing w:val="-17"/>
        </w:rPr>
        <w:t> </w:t>
      </w:r>
      <w:r>
        <w:rPr/>
        <w:t>следующей</w:t>
      </w:r>
      <w:r>
        <w:rPr>
          <w:spacing w:val="-16"/>
        </w:rPr>
        <w:t> </w:t>
      </w:r>
      <w:r>
        <w:rPr/>
        <w:t>ступени</w:t>
      </w:r>
      <w:r>
        <w:rPr>
          <w:spacing w:val="-16"/>
        </w:rPr>
        <w:t> </w:t>
      </w:r>
      <w:r>
        <w:rPr/>
        <w:t>анализа</w:t>
      </w:r>
      <w:r>
        <w:rPr>
          <w:spacing w:val="-17"/>
        </w:rPr>
        <w:t> </w:t>
      </w:r>
      <w:r>
        <w:rPr/>
        <w:t>результатов</w:t>
      </w:r>
      <w:r>
        <w:rPr>
          <w:spacing w:val="-17"/>
        </w:rPr>
        <w:t> </w:t>
      </w:r>
      <w:r>
        <w:rPr/>
        <w:t>диагностики</w:t>
      </w:r>
      <w:r>
        <w:rPr>
          <w:spacing w:val="-16"/>
        </w:rPr>
        <w:t> </w:t>
      </w:r>
      <w:r>
        <w:rPr/>
        <w:t>мы</w:t>
      </w:r>
      <w:r>
        <w:rPr>
          <w:spacing w:val="-16"/>
        </w:rPr>
        <w:t> </w:t>
      </w:r>
      <w:r>
        <w:rPr/>
        <w:t>предлагаем использовать модель профилей аккультурации, также выделенных на основании анализа результатов исследования.</w:t>
      </w:r>
    </w:p>
    <w:p>
      <w:pPr>
        <w:pStyle w:val="Heading4"/>
        <w:ind w:right="561" w:firstLine="707"/>
      </w:pPr>
      <w:r>
        <w:rPr/>
        <w:t>Мы выделили три профиля аккультурации учащегося-иностранного гражданина. Данные профили построены на математико-статистическом анализе данных по выраженности трех из пяти особых (дополнительных) образовательных потребностей детей-иностранных граждан, в области: а) психологического благополучия; б) социальных навыков и в) культурной </w:t>
      </w:r>
      <w:r>
        <w:rPr>
          <w:spacing w:val="-2"/>
        </w:rPr>
        <w:t>адаптации.</w:t>
      </w:r>
    </w:p>
    <w:p>
      <w:pPr>
        <w:pStyle w:val="Heading4"/>
        <w:ind w:right="564" w:firstLine="707"/>
      </w:pPr>
      <w:r>
        <w:rPr/>
        <w:t>Процедура</w:t>
      </w:r>
      <w:r>
        <w:rPr>
          <w:spacing w:val="-7"/>
        </w:rPr>
        <w:t> </w:t>
      </w:r>
      <w:r>
        <w:rPr/>
        <w:t>апробации,</w:t>
      </w:r>
      <w:r>
        <w:rPr>
          <w:spacing w:val="-8"/>
        </w:rPr>
        <w:t> </w:t>
      </w:r>
      <w:r>
        <w:rPr/>
        <w:t>используемые</w:t>
      </w:r>
      <w:r>
        <w:rPr>
          <w:spacing w:val="-7"/>
        </w:rPr>
        <w:t> </w:t>
      </w:r>
      <w:r>
        <w:rPr/>
        <w:t>методы,</w:t>
      </w:r>
      <w:r>
        <w:rPr>
          <w:spacing w:val="-8"/>
        </w:rPr>
        <w:t> </w:t>
      </w:r>
      <w:r>
        <w:rPr/>
        <w:t>полученные</w:t>
      </w:r>
      <w:r>
        <w:rPr>
          <w:spacing w:val="-10"/>
        </w:rPr>
        <w:t> </w:t>
      </w:r>
      <w:r>
        <w:rPr/>
        <w:t>результаты</w:t>
      </w:r>
      <w:r>
        <w:rPr>
          <w:spacing w:val="-7"/>
        </w:rPr>
        <w:t> </w:t>
      </w:r>
      <w:r>
        <w:rPr/>
        <w:t>и все данные, обеспечивающие доказательность выводов подробно описаны в соответствующей публикации</w:t>
      </w:r>
      <w:r>
        <w:rPr>
          <w:vertAlign w:val="superscript"/>
        </w:rPr>
        <w:t>4</w:t>
      </w:r>
      <w:r>
        <w:rPr>
          <w:vertAlign w:val="baseline"/>
        </w:rPr>
        <w:t>. В настоящем тексте представлено общее описание профилей и их ключевые числовые показатели.</w:t>
      </w:r>
    </w:p>
    <w:p>
      <w:pPr>
        <w:spacing w:before="6"/>
        <w:ind w:left="993" w:right="0" w:firstLine="0"/>
        <w:jc w:val="both"/>
        <w:rPr>
          <w:b/>
          <w:sz w:val="28"/>
        </w:rPr>
      </w:pPr>
      <w:r>
        <w:rPr>
          <w:b/>
          <w:sz w:val="28"/>
        </w:rPr>
        <w:t>Младшая</w:t>
      </w:r>
      <w:r>
        <w:rPr>
          <w:b/>
          <w:spacing w:val="-11"/>
          <w:sz w:val="28"/>
        </w:rPr>
        <w:t> </w:t>
      </w:r>
      <w:r>
        <w:rPr>
          <w:b/>
          <w:sz w:val="28"/>
        </w:rPr>
        <w:t>школа:</w:t>
      </w:r>
      <w:r>
        <w:rPr>
          <w:b/>
          <w:spacing w:val="-12"/>
          <w:sz w:val="28"/>
        </w:rPr>
        <w:t> </w:t>
      </w:r>
      <w:r>
        <w:rPr>
          <w:b/>
          <w:sz w:val="28"/>
        </w:rPr>
        <w:t>аккультурационные</w:t>
      </w:r>
      <w:r>
        <w:rPr>
          <w:b/>
          <w:spacing w:val="-9"/>
          <w:sz w:val="28"/>
        </w:rPr>
        <w:t> </w:t>
      </w:r>
      <w:r>
        <w:rPr>
          <w:b/>
          <w:spacing w:val="-2"/>
          <w:sz w:val="28"/>
        </w:rPr>
        <w:t>профили</w:t>
      </w:r>
    </w:p>
    <w:p>
      <w:pPr>
        <w:pStyle w:val="BodyText"/>
        <w:spacing w:before="8"/>
        <w:ind w:left="0" w:right="0" w:firstLine="0"/>
        <w:jc w:val="left"/>
        <w:rPr>
          <w:b/>
          <w:sz w:val="13"/>
        </w:rPr>
      </w:pPr>
      <w:r>
        <w:rPr>
          <w:b/>
          <w:sz w:val="13"/>
        </w:rPr>
        <mc:AlternateContent>
          <mc:Choice Requires="wps">
            <w:drawing>
              <wp:anchor distT="0" distB="0" distL="0" distR="0" allowOverlap="1" layoutInCell="1" locked="0" behindDoc="1" simplePos="0" relativeHeight="487593472">
                <wp:simplePos x="0" y="0"/>
                <wp:positionH relativeFrom="page">
                  <wp:posOffset>1080820</wp:posOffset>
                </wp:positionH>
                <wp:positionV relativeFrom="paragraph">
                  <wp:posOffset>115518</wp:posOffset>
                </wp:positionV>
                <wp:extent cx="1829435" cy="9525"/>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9.095946pt;width:144.020pt;height:.72003pt;mso-position-horizontal-relative:page;mso-position-vertical-relative:paragraph;z-index:-15723008;mso-wrap-distance-left:0;mso-wrap-distance-right:0" id="docshape16" filled="true" fillcolor="#000000" stroked="false">
                <v:fill type="solid"/>
                <w10:wrap type="topAndBottom"/>
              </v:rect>
            </w:pict>
          </mc:Fallback>
        </mc:AlternateContent>
      </w:r>
    </w:p>
    <w:p>
      <w:pPr>
        <w:pStyle w:val="BodyText"/>
        <w:spacing w:before="119"/>
        <w:ind w:left="285" w:right="564" w:firstLine="0"/>
      </w:pPr>
      <w:r>
        <w:rPr>
          <w:rFonts w:ascii="Calibri" w:hAnsi="Calibri"/>
          <w:vertAlign w:val="superscript"/>
        </w:rPr>
        <w:t>4</w:t>
      </w:r>
      <w:r>
        <w:rPr>
          <w:rFonts w:ascii="Calibri" w:hAnsi="Calibri"/>
          <w:vertAlign w:val="baseline"/>
        </w:rPr>
        <w:t> </w:t>
      </w:r>
      <w:r>
        <w:rPr>
          <w:vertAlign w:val="baseline"/>
        </w:rPr>
        <w:t>Апробация программы психолого-педагогической оценки особых образовательных потребностей детей иностранных</w:t>
      </w:r>
      <w:r>
        <w:rPr>
          <w:spacing w:val="-3"/>
          <w:vertAlign w:val="baseline"/>
        </w:rPr>
        <w:t> </w:t>
      </w:r>
      <w:r>
        <w:rPr>
          <w:vertAlign w:val="baseline"/>
        </w:rPr>
        <w:t>граждан</w:t>
      </w:r>
      <w:r>
        <w:rPr>
          <w:spacing w:val="-3"/>
          <w:vertAlign w:val="baseline"/>
        </w:rPr>
        <w:t> </w:t>
      </w:r>
      <w:r>
        <w:rPr>
          <w:vertAlign w:val="baseline"/>
        </w:rPr>
        <w:t>/</w:t>
      </w:r>
      <w:r>
        <w:rPr>
          <w:spacing w:val="-2"/>
          <w:vertAlign w:val="baseline"/>
        </w:rPr>
        <w:t> </w:t>
      </w:r>
      <w:r>
        <w:rPr>
          <w:vertAlign w:val="baseline"/>
        </w:rPr>
        <w:t>ред.</w:t>
      </w:r>
      <w:r>
        <w:rPr>
          <w:spacing w:val="-2"/>
          <w:vertAlign w:val="baseline"/>
        </w:rPr>
        <w:t> </w:t>
      </w:r>
      <w:r>
        <w:rPr>
          <w:vertAlign w:val="baseline"/>
        </w:rPr>
        <w:t>О.Е.Хухлаева,</w:t>
      </w:r>
      <w:r>
        <w:rPr>
          <w:spacing w:val="-1"/>
          <w:vertAlign w:val="baseline"/>
        </w:rPr>
        <w:t> </w:t>
      </w:r>
      <w:r>
        <w:rPr>
          <w:vertAlign w:val="baseline"/>
        </w:rPr>
        <w:t>Н.В.Ткаченко</w:t>
      </w:r>
      <w:r>
        <w:rPr>
          <w:spacing w:val="-1"/>
          <w:vertAlign w:val="baseline"/>
        </w:rPr>
        <w:t> </w:t>
      </w:r>
      <w:r>
        <w:rPr>
          <w:vertAlign w:val="baseline"/>
        </w:rPr>
        <w:t>и</w:t>
      </w:r>
      <w:r>
        <w:rPr>
          <w:spacing w:val="-3"/>
          <w:vertAlign w:val="baseline"/>
        </w:rPr>
        <w:t> </w:t>
      </w:r>
      <w:r>
        <w:rPr>
          <w:vertAlign w:val="baseline"/>
        </w:rPr>
        <w:t>М.Ю.Чибисовой.</w:t>
      </w:r>
      <w:r>
        <w:rPr>
          <w:spacing w:val="-2"/>
          <w:vertAlign w:val="baseline"/>
        </w:rPr>
        <w:t> </w:t>
      </w:r>
      <w:r>
        <w:rPr>
          <w:vertAlign w:val="baseline"/>
        </w:rPr>
        <w:t>М.:</w:t>
      </w:r>
      <w:r>
        <w:rPr>
          <w:spacing w:val="-2"/>
          <w:vertAlign w:val="baseline"/>
        </w:rPr>
        <w:t> </w:t>
      </w:r>
      <w:r>
        <w:rPr>
          <w:vertAlign w:val="baseline"/>
        </w:rPr>
        <w:t>МГППУ,</w:t>
      </w:r>
      <w:r>
        <w:rPr>
          <w:spacing w:val="-1"/>
          <w:vertAlign w:val="baseline"/>
        </w:rPr>
        <w:t> </w:t>
      </w:r>
      <w:r>
        <w:rPr>
          <w:vertAlign w:val="baseline"/>
        </w:rPr>
        <w:t>2022</w:t>
      </w:r>
      <w:r>
        <w:rPr>
          <w:spacing w:val="-1"/>
          <w:vertAlign w:val="baseline"/>
        </w:rPr>
        <w:t> </w:t>
      </w:r>
      <w:r>
        <w:rPr>
          <w:vertAlign w:val="baseline"/>
        </w:rPr>
        <w:t>(электронная </w:t>
      </w:r>
      <w:r>
        <w:rPr>
          <w:spacing w:val="-2"/>
          <w:vertAlign w:val="baseline"/>
        </w:rPr>
        <w:t>публикация)</w:t>
      </w:r>
    </w:p>
    <w:p>
      <w:pPr>
        <w:pStyle w:val="BodyText"/>
        <w:spacing w:after="0"/>
        <w:sectPr>
          <w:footerReference w:type="default" r:id="rId41"/>
          <w:pgSz w:w="11910" w:h="16840"/>
          <w:pgMar w:header="0" w:footer="0" w:top="1080" w:bottom="280" w:left="1417" w:right="283"/>
        </w:sectPr>
      </w:pPr>
    </w:p>
    <w:p>
      <w:pPr>
        <w:pStyle w:val="Heading4"/>
        <w:numPr>
          <w:ilvl w:val="0"/>
          <w:numId w:val="13"/>
        </w:numPr>
        <w:tabs>
          <w:tab w:pos="1364" w:val="left" w:leader="none"/>
        </w:tabs>
        <w:spacing w:line="240" w:lineRule="auto" w:before="71" w:after="0"/>
        <w:ind w:left="285" w:right="564" w:firstLine="707"/>
        <w:jc w:val="both"/>
      </w:pPr>
      <w:r>
        <w:rPr>
          <w:b/>
        </w:rPr>
        <w:t>Интеграционный профиль. </w:t>
      </w:r>
      <w:r>
        <w:rPr/>
        <w:t>Отличается высокими показателями культурной адаптации, психологического благополучия и сформированности социальных навыков.</w:t>
      </w:r>
    </w:p>
    <w:p>
      <w:pPr>
        <w:pStyle w:val="Heading4"/>
        <w:numPr>
          <w:ilvl w:val="0"/>
          <w:numId w:val="13"/>
        </w:numPr>
        <w:tabs>
          <w:tab w:pos="1472" w:val="left" w:leader="none"/>
        </w:tabs>
        <w:spacing w:line="240" w:lineRule="auto" w:before="0" w:after="0"/>
        <w:ind w:left="285" w:right="563" w:firstLine="707"/>
        <w:jc w:val="both"/>
      </w:pPr>
      <w:r>
        <w:rPr>
          <w:b/>
        </w:rPr>
        <w:t>Смешанный профиль. </w:t>
      </w:r>
      <w:r>
        <w:rPr/>
        <w:t>В целом показатели хуже, чем у интеграционного</w:t>
      </w:r>
      <w:r>
        <w:rPr>
          <w:spacing w:val="-3"/>
        </w:rPr>
        <w:t> </w:t>
      </w:r>
      <w:r>
        <w:rPr/>
        <w:t>профиля,</w:t>
      </w:r>
      <w:r>
        <w:rPr>
          <w:spacing w:val="-4"/>
        </w:rPr>
        <w:t> </w:t>
      </w:r>
      <w:r>
        <w:rPr/>
        <w:t>но</w:t>
      </w:r>
      <w:r>
        <w:rPr>
          <w:spacing w:val="-3"/>
        </w:rPr>
        <w:t> </w:t>
      </w:r>
      <w:r>
        <w:rPr/>
        <w:t>по</w:t>
      </w:r>
      <w:r>
        <w:rPr>
          <w:spacing w:val="-3"/>
        </w:rPr>
        <w:t> </w:t>
      </w:r>
      <w:r>
        <w:rPr/>
        <w:t>некоторым</w:t>
      </w:r>
      <w:r>
        <w:rPr>
          <w:spacing w:val="-7"/>
        </w:rPr>
        <w:t> </w:t>
      </w:r>
      <w:r>
        <w:rPr/>
        <w:t>нет</w:t>
      </w:r>
      <w:r>
        <w:rPr>
          <w:spacing w:val="-4"/>
        </w:rPr>
        <w:t> </w:t>
      </w:r>
      <w:r>
        <w:rPr/>
        <w:t>значимых</w:t>
      </w:r>
      <w:r>
        <w:rPr>
          <w:spacing w:val="-7"/>
        </w:rPr>
        <w:t> </w:t>
      </w:r>
      <w:r>
        <w:rPr/>
        <w:t>различий.</w:t>
      </w:r>
      <w:r>
        <w:rPr>
          <w:spacing w:val="-5"/>
        </w:rPr>
        <w:t> </w:t>
      </w:r>
      <w:r>
        <w:rPr/>
        <w:t>В</w:t>
      </w:r>
      <w:r>
        <w:rPr>
          <w:spacing w:val="-4"/>
        </w:rPr>
        <w:t> </w:t>
      </w:r>
      <w:r>
        <w:rPr/>
        <w:t>целом показатели лучше, чем у дезадаптивного профиля, но по некоторым нет значимых</w:t>
      </w:r>
      <w:r>
        <w:rPr>
          <w:spacing w:val="-18"/>
        </w:rPr>
        <w:t> </w:t>
      </w:r>
      <w:r>
        <w:rPr/>
        <w:t>различий.</w:t>
      </w:r>
      <w:r>
        <w:rPr>
          <w:spacing w:val="-17"/>
        </w:rPr>
        <w:t> </w:t>
      </w:r>
      <w:r>
        <w:rPr/>
        <w:t>У</w:t>
      </w:r>
      <w:r>
        <w:rPr>
          <w:spacing w:val="-18"/>
        </w:rPr>
        <w:t> </w:t>
      </w:r>
      <w:r>
        <w:rPr/>
        <w:t>обучающихся</w:t>
      </w:r>
      <w:r>
        <w:rPr>
          <w:spacing w:val="-17"/>
        </w:rPr>
        <w:t> </w:t>
      </w:r>
      <w:r>
        <w:rPr/>
        <w:t>соответствующих</w:t>
      </w:r>
      <w:r>
        <w:rPr>
          <w:spacing w:val="-18"/>
        </w:rPr>
        <w:t> </w:t>
      </w:r>
      <w:r>
        <w:rPr/>
        <w:t>данному</w:t>
      </w:r>
      <w:r>
        <w:rPr>
          <w:spacing w:val="-17"/>
        </w:rPr>
        <w:t> </w:t>
      </w:r>
      <w:r>
        <w:rPr/>
        <w:t>профилю</w:t>
      </w:r>
      <w:r>
        <w:rPr>
          <w:spacing w:val="-18"/>
        </w:rPr>
        <w:t> </w:t>
      </w:r>
      <w:r>
        <w:rPr/>
        <w:t>есть как риск дезаптации так и возможность интеграции.</w:t>
      </w:r>
    </w:p>
    <w:p>
      <w:pPr>
        <w:pStyle w:val="Heading4"/>
        <w:numPr>
          <w:ilvl w:val="0"/>
          <w:numId w:val="13"/>
        </w:numPr>
        <w:tabs>
          <w:tab w:pos="1443" w:val="left" w:leader="none"/>
        </w:tabs>
        <w:spacing w:line="240" w:lineRule="auto" w:before="0" w:after="0"/>
        <w:ind w:left="285" w:right="564" w:firstLine="707"/>
        <w:jc w:val="both"/>
      </w:pPr>
      <w:r>
        <w:rPr>
          <w:b/>
        </w:rPr>
        <w:t>Дезадаптивный профиль. </w:t>
      </w:r>
      <w:r>
        <w:rPr/>
        <w:t>Отличается низкими показателями культурной адаптации, психологического благополучия и социальных </w:t>
      </w:r>
      <w:r>
        <w:rPr>
          <w:spacing w:val="-2"/>
        </w:rPr>
        <w:t>навыков</w:t>
      </w:r>
    </w:p>
    <w:p>
      <w:pPr>
        <w:pStyle w:val="Heading4"/>
        <w:spacing w:line="242" w:lineRule="auto"/>
        <w:ind w:right="561" w:firstLine="707"/>
      </w:pPr>
      <w:r>
        <w:rPr/>
        <w:t>Следует отметить, что по параметру «Сохранение ребенком-мигрантом родной культурной среды» профили в младшей школе не отличаются.</w:t>
      </w:r>
    </w:p>
    <w:p>
      <w:pPr>
        <w:pStyle w:val="Heading4"/>
        <w:ind w:right="562" w:firstLine="707"/>
      </w:pPr>
      <w:r>
        <w:rPr/>
        <w:t>На основании дисперсионного анализа с помощью post-hoc парного критерия различий Шеффе были определены статистически значимые различия между профилями. На основании анализа 95% доверительного интервала для среднего значения выделены числовые маркеры профилей. Представлены те параметры, по которым 95% доверительный интервал не имеет пересечений с промежуточным (т.е. смешанным) профилем.</w:t>
      </w:r>
    </w:p>
    <w:p>
      <w:pPr>
        <w:pStyle w:val="Heading4"/>
        <w:ind w:right="569" w:firstLine="707"/>
      </w:pPr>
      <w:r>
        <w:rPr/>
        <w:t>Основываясь на эти числовые показатели можно определить насколько данные конкретного ребенка соответствуют Интеграционному или Дезадаптивному профилю.</w:t>
      </w:r>
    </w:p>
    <w:p>
      <w:pPr>
        <w:pStyle w:val="Heading4"/>
        <w:ind w:right="560" w:firstLine="707"/>
      </w:pPr>
      <w:r>
        <w:rPr/>
        <w:t>Следует</w:t>
      </w:r>
      <w:r>
        <w:rPr>
          <w:spacing w:val="-10"/>
        </w:rPr>
        <w:t> </w:t>
      </w:r>
      <w:r>
        <w:rPr/>
        <w:t>подчеркнуть,</w:t>
      </w:r>
      <w:r>
        <w:rPr>
          <w:spacing w:val="-11"/>
        </w:rPr>
        <w:t> </w:t>
      </w:r>
      <w:r>
        <w:rPr/>
        <w:t>что</w:t>
      </w:r>
      <w:r>
        <w:rPr>
          <w:spacing w:val="-9"/>
        </w:rPr>
        <w:t> </w:t>
      </w:r>
      <w:r>
        <w:rPr/>
        <w:t>не</w:t>
      </w:r>
      <w:r>
        <w:rPr>
          <w:spacing w:val="-12"/>
        </w:rPr>
        <w:t> </w:t>
      </w:r>
      <w:r>
        <w:rPr/>
        <w:t>по</w:t>
      </w:r>
      <w:r>
        <w:rPr>
          <w:spacing w:val="-9"/>
        </w:rPr>
        <w:t> </w:t>
      </w:r>
      <w:r>
        <w:rPr/>
        <w:t>всем</w:t>
      </w:r>
      <w:r>
        <w:rPr>
          <w:spacing w:val="-10"/>
        </w:rPr>
        <w:t> </w:t>
      </w:r>
      <w:r>
        <w:rPr/>
        <w:t>методикам</w:t>
      </w:r>
      <w:r>
        <w:rPr>
          <w:spacing w:val="-10"/>
        </w:rPr>
        <w:t> </w:t>
      </w:r>
      <w:r>
        <w:rPr/>
        <w:t>и</w:t>
      </w:r>
      <w:r>
        <w:rPr>
          <w:spacing w:val="-12"/>
        </w:rPr>
        <w:t> </w:t>
      </w:r>
      <w:r>
        <w:rPr/>
        <w:t>отдельным</w:t>
      </w:r>
      <w:r>
        <w:rPr>
          <w:spacing w:val="-10"/>
        </w:rPr>
        <w:t> </w:t>
      </w:r>
      <w:r>
        <w:rPr/>
        <w:t>шкалам</w:t>
      </w:r>
      <w:r>
        <w:rPr>
          <w:spacing w:val="-11"/>
        </w:rPr>
        <w:t> </w:t>
      </w:r>
      <w:r>
        <w:rPr/>
        <w:t>из рекомендованных наборов представлены числовые данные о соответствии профилям в связи с тем, что по данным математико-статистического анализа полученные</w:t>
      </w:r>
      <w:r>
        <w:rPr>
          <w:spacing w:val="-13"/>
        </w:rPr>
        <w:t> </w:t>
      </w:r>
      <w:r>
        <w:rPr/>
        <w:t>на</w:t>
      </w:r>
      <w:r>
        <w:rPr>
          <w:spacing w:val="-8"/>
        </w:rPr>
        <w:t> </w:t>
      </w:r>
      <w:r>
        <w:rPr/>
        <w:t>апробационной</w:t>
      </w:r>
      <w:r>
        <w:rPr>
          <w:spacing w:val="-8"/>
        </w:rPr>
        <w:t> </w:t>
      </w:r>
      <w:r>
        <w:rPr/>
        <w:t>выборке</w:t>
      </w:r>
      <w:r>
        <w:rPr>
          <w:spacing w:val="-10"/>
        </w:rPr>
        <w:t> </w:t>
      </w:r>
      <w:r>
        <w:rPr/>
        <w:t>результаты</w:t>
      </w:r>
      <w:r>
        <w:rPr>
          <w:spacing w:val="-8"/>
        </w:rPr>
        <w:t> </w:t>
      </w:r>
      <w:r>
        <w:rPr/>
        <w:t>не</w:t>
      </w:r>
      <w:r>
        <w:rPr>
          <w:spacing w:val="-8"/>
        </w:rPr>
        <w:t> </w:t>
      </w:r>
      <w:r>
        <w:rPr/>
        <w:t>позволяют</w:t>
      </w:r>
      <w:r>
        <w:rPr>
          <w:spacing w:val="-9"/>
        </w:rPr>
        <w:t> </w:t>
      </w:r>
      <w:r>
        <w:rPr/>
        <w:t>это</w:t>
      </w:r>
      <w:r>
        <w:rPr>
          <w:spacing w:val="-8"/>
        </w:rPr>
        <w:t> </w:t>
      </w:r>
      <w:r>
        <w:rPr>
          <w:spacing w:val="-2"/>
        </w:rPr>
        <w:t>сделать.</w:t>
      </w:r>
    </w:p>
    <w:p>
      <w:pPr>
        <w:pStyle w:val="Heading4"/>
        <w:spacing w:after="0"/>
        <w:sectPr>
          <w:footerReference w:type="default" r:id="rId42"/>
          <w:pgSz w:w="11910" w:h="16840"/>
          <w:pgMar w:header="0" w:footer="970" w:top="1360" w:bottom="1160" w:left="1417" w:right="283"/>
          <w:pgNumType w:start="78"/>
        </w:sectPr>
      </w:pPr>
    </w:p>
    <w:p>
      <w:pPr>
        <w:pStyle w:val="Heading3"/>
        <w:ind w:left="0" w:right="561"/>
        <w:jc w:val="right"/>
      </w:pPr>
      <w:r>
        <w:rPr/>
        <w:t>Таблица</w:t>
      </w:r>
      <w:r>
        <w:rPr>
          <w:spacing w:val="-6"/>
        </w:rPr>
        <w:t> </w:t>
      </w:r>
      <w:r>
        <w:rPr>
          <w:spacing w:val="-10"/>
        </w:rPr>
        <w:t>3</w:t>
      </w:r>
    </w:p>
    <w:p>
      <w:pPr>
        <w:spacing w:before="248"/>
        <w:ind w:left="808" w:right="0" w:firstLine="0"/>
        <w:jc w:val="left"/>
        <w:rPr>
          <w:b/>
          <w:sz w:val="28"/>
        </w:rPr>
      </w:pPr>
      <w:r>
        <w:rPr>
          <w:b/>
          <w:sz w:val="28"/>
        </w:rPr>
        <w:t>Числовые</w:t>
      </w:r>
      <w:r>
        <w:rPr>
          <w:b/>
          <w:spacing w:val="-10"/>
          <w:sz w:val="28"/>
        </w:rPr>
        <w:t> </w:t>
      </w:r>
      <w:r>
        <w:rPr>
          <w:b/>
          <w:sz w:val="28"/>
        </w:rPr>
        <w:t>маркеры</w:t>
      </w:r>
      <w:r>
        <w:rPr>
          <w:b/>
          <w:spacing w:val="-9"/>
          <w:sz w:val="28"/>
        </w:rPr>
        <w:t> </w:t>
      </w:r>
      <w:r>
        <w:rPr>
          <w:b/>
          <w:sz w:val="28"/>
        </w:rPr>
        <w:t>Дезадаптивного</w:t>
      </w:r>
      <w:r>
        <w:rPr>
          <w:b/>
          <w:spacing w:val="-10"/>
          <w:sz w:val="28"/>
        </w:rPr>
        <w:t> </w:t>
      </w:r>
      <w:r>
        <w:rPr>
          <w:b/>
          <w:sz w:val="28"/>
        </w:rPr>
        <w:t>профиля</w:t>
      </w:r>
      <w:r>
        <w:rPr>
          <w:b/>
          <w:spacing w:val="-9"/>
          <w:sz w:val="28"/>
        </w:rPr>
        <w:t> </w:t>
      </w:r>
      <w:r>
        <w:rPr>
          <w:b/>
          <w:sz w:val="28"/>
        </w:rPr>
        <w:t>(начальная</w:t>
      </w:r>
      <w:r>
        <w:rPr>
          <w:b/>
          <w:spacing w:val="-9"/>
          <w:sz w:val="28"/>
        </w:rPr>
        <w:t> </w:t>
      </w:r>
      <w:r>
        <w:rPr>
          <w:b/>
          <w:spacing w:val="-2"/>
          <w:sz w:val="28"/>
        </w:rPr>
        <w:t>школа)</w:t>
      </w:r>
    </w:p>
    <w:p>
      <w:pPr>
        <w:pStyle w:val="BodyText"/>
        <w:spacing w:before="21"/>
        <w:ind w:left="0" w:right="0" w:firstLine="0"/>
        <w:jc w:val="left"/>
        <w:rPr>
          <w:b/>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7"/>
        <w:gridCol w:w="3254"/>
        <w:gridCol w:w="1646"/>
        <w:gridCol w:w="1648"/>
      </w:tblGrid>
      <w:tr>
        <w:trPr>
          <w:trHeight w:val="515" w:hRule="atLeast"/>
        </w:trPr>
        <w:tc>
          <w:tcPr>
            <w:tcW w:w="3257" w:type="dxa"/>
          </w:tcPr>
          <w:p>
            <w:pPr>
              <w:pStyle w:val="TableParagraph"/>
              <w:spacing w:line="275" w:lineRule="exact"/>
              <w:ind w:left="107"/>
              <w:rPr>
                <w:b/>
                <w:sz w:val="24"/>
              </w:rPr>
            </w:pPr>
            <w:r>
              <w:rPr>
                <w:b/>
                <w:spacing w:val="-2"/>
                <w:sz w:val="24"/>
              </w:rPr>
              <w:t>Методика</w:t>
            </w:r>
          </w:p>
        </w:tc>
        <w:tc>
          <w:tcPr>
            <w:tcW w:w="3254" w:type="dxa"/>
          </w:tcPr>
          <w:p>
            <w:pPr>
              <w:pStyle w:val="TableParagraph"/>
              <w:spacing w:line="275" w:lineRule="exact"/>
              <w:ind w:left="105"/>
              <w:rPr>
                <w:b/>
                <w:sz w:val="24"/>
              </w:rPr>
            </w:pPr>
            <w:r>
              <w:rPr>
                <w:b/>
                <w:sz w:val="24"/>
              </w:rPr>
              <w:t>Показатель</w:t>
            </w:r>
            <w:r>
              <w:rPr>
                <w:b/>
                <w:spacing w:val="-4"/>
                <w:sz w:val="24"/>
              </w:rPr>
              <w:t> </w:t>
            </w:r>
            <w:r>
              <w:rPr>
                <w:b/>
                <w:spacing w:val="-2"/>
                <w:sz w:val="24"/>
              </w:rPr>
              <w:t>(шкала)</w:t>
            </w:r>
          </w:p>
        </w:tc>
        <w:tc>
          <w:tcPr>
            <w:tcW w:w="1646" w:type="dxa"/>
          </w:tcPr>
          <w:p>
            <w:pPr>
              <w:pStyle w:val="TableParagraph"/>
              <w:spacing w:line="275" w:lineRule="exact"/>
              <w:ind w:left="108"/>
              <w:rPr>
                <w:b/>
                <w:sz w:val="24"/>
              </w:rPr>
            </w:pPr>
            <w:r>
              <w:rPr>
                <w:b/>
                <w:spacing w:val="-4"/>
                <w:sz w:val="24"/>
              </w:rPr>
              <w:t>Балл</w:t>
            </w:r>
          </w:p>
        </w:tc>
        <w:tc>
          <w:tcPr>
            <w:tcW w:w="1648" w:type="dxa"/>
          </w:tcPr>
          <w:p>
            <w:pPr>
              <w:pStyle w:val="TableParagraph"/>
              <w:spacing w:line="275" w:lineRule="exact"/>
              <w:ind w:left="109"/>
              <w:rPr>
                <w:b/>
                <w:sz w:val="24"/>
              </w:rPr>
            </w:pPr>
            <w:r>
              <w:rPr>
                <w:b/>
                <w:spacing w:val="-2"/>
                <w:sz w:val="24"/>
              </w:rPr>
              <w:t>Компонент</w:t>
            </w:r>
          </w:p>
        </w:tc>
      </w:tr>
      <w:tr>
        <w:trPr>
          <w:trHeight w:val="1074" w:hRule="atLeast"/>
        </w:trPr>
        <w:tc>
          <w:tcPr>
            <w:tcW w:w="3257" w:type="dxa"/>
          </w:tcPr>
          <w:p>
            <w:pPr>
              <w:pStyle w:val="TableParagraph"/>
              <w:spacing w:line="276" w:lineRule="auto"/>
              <w:ind w:left="107" w:right="359"/>
              <w:rPr>
                <w:sz w:val="22"/>
              </w:rPr>
            </w:pPr>
            <w:r>
              <w:rPr>
                <w:sz w:val="22"/>
              </w:rPr>
              <w:t>Рисуночная диагностика субьективного</w:t>
            </w:r>
            <w:r>
              <w:rPr>
                <w:spacing w:val="18"/>
                <w:sz w:val="22"/>
              </w:rPr>
              <w:t> </w:t>
            </w:r>
            <w:r>
              <w:rPr>
                <w:sz w:val="22"/>
              </w:rPr>
              <w:t>благополучия </w:t>
            </w:r>
            <w:r>
              <w:rPr>
                <w:spacing w:val="-2"/>
                <w:sz w:val="22"/>
              </w:rPr>
              <w:t>ребенка-мигранта</w:t>
            </w:r>
          </w:p>
        </w:tc>
        <w:tc>
          <w:tcPr>
            <w:tcW w:w="3254" w:type="dxa"/>
          </w:tcPr>
          <w:p>
            <w:pPr>
              <w:pStyle w:val="TableParagraph"/>
              <w:spacing w:line="249" w:lineRule="exact"/>
              <w:ind w:left="105"/>
              <w:rPr>
                <w:sz w:val="22"/>
              </w:rPr>
            </w:pPr>
            <w:r>
              <w:rPr>
                <w:sz w:val="22"/>
              </w:rPr>
              <w:t>Субъективное</w:t>
            </w:r>
            <w:r>
              <w:rPr>
                <w:spacing w:val="-9"/>
                <w:sz w:val="22"/>
              </w:rPr>
              <w:t> </w:t>
            </w:r>
            <w:r>
              <w:rPr>
                <w:spacing w:val="-2"/>
                <w:sz w:val="22"/>
              </w:rPr>
              <w:t>благополучие</w:t>
            </w:r>
          </w:p>
        </w:tc>
        <w:tc>
          <w:tcPr>
            <w:tcW w:w="1646" w:type="dxa"/>
          </w:tcPr>
          <w:p>
            <w:pPr>
              <w:pStyle w:val="TableParagraph"/>
              <w:spacing w:line="273" w:lineRule="exact"/>
              <w:ind w:left="108"/>
              <w:rPr>
                <w:sz w:val="24"/>
              </w:rPr>
            </w:pPr>
            <w:r>
              <w:rPr>
                <w:sz w:val="24"/>
              </w:rPr>
              <w:t>3 и </w:t>
            </w:r>
            <w:r>
              <w:rPr>
                <w:spacing w:val="-4"/>
                <w:sz w:val="24"/>
              </w:rPr>
              <w:t>ниже</w:t>
            </w:r>
          </w:p>
        </w:tc>
        <w:tc>
          <w:tcPr>
            <w:tcW w:w="1648" w:type="dxa"/>
            <w:vMerge w:val="restart"/>
          </w:tcPr>
          <w:p>
            <w:pPr>
              <w:pStyle w:val="TableParagraph"/>
              <w:spacing w:line="273" w:lineRule="exact"/>
              <w:ind w:left="109"/>
              <w:rPr>
                <w:sz w:val="24"/>
              </w:rPr>
            </w:pPr>
            <w:r>
              <w:rPr>
                <w:spacing w:val="-2"/>
                <w:sz w:val="24"/>
              </w:rPr>
              <w:t>Базовый</w:t>
            </w:r>
          </w:p>
        </w:tc>
      </w:tr>
      <w:tr>
        <w:trPr>
          <w:trHeight w:val="782" w:hRule="atLeast"/>
        </w:trPr>
        <w:tc>
          <w:tcPr>
            <w:tcW w:w="3257" w:type="dxa"/>
          </w:tcPr>
          <w:p>
            <w:pPr>
              <w:pStyle w:val="TableParagraph"/>
              <w:spacing w:line="247" w:lineRule="exact"/>
              <w:ind w:left="107"/>
              <w:rPr>
                <w:sz w:val="22"/>
              </w:rPr>
            </w:pPr>
            <w:r>
              <w:rPr>
                <w:sz w:val="22"/>
              </w:rPr>
              <w:t>Карта</w:t>
            </w:r>
            <w:r>
              <w:rPr>
                <w:spacing w:val="-1"/>
                <w:sz w:val="22"/>
              </w:rPr>
              <w:t> </w:t>
            </w:r>
            <w:r>
              <w:rPr>
                <w:spacing w:val="-2"/>
                <w:sz w:val="22"/>
              </w:rPr>
              <w:t>наблюдения</w:t>
            </w:r>
          </w:p>
          <w:p>
            <w:pPr>
              <w:pStyle w:val="TableParagraph"/>
              <w:spacing w:before="37"/>
              <w:ind w:left="107"/>
              <w:rPr>
                <w:sz w:val="22"/>
              </w:rPr>
            </w:pPr>
            <w:r>
              <w:rPr>
                <w:spacing w:val="-2"/>
                <w:sz w:val="22"/>
              </w:rPr>
              <w:t>«Психологические</w:t>
            </w:r>
            <w:r>
              <w:rPr>
                <w:spacing w:val="16"/>
                <w:sz w:val="22"/>
              </w:rPr>
              <w:t> </w:t>
            </w:r>
            <w:r>
              <w:rPr>
                <w:spacing w:val="-2"/>
                <w:sz w:val="22"/>
              </w:rPr>
              <w:t>трудности»</w:t>
            </w:r>
          </w:p>
        </w:tc>
        <w:tc>
          <w:tcPr>
            <w:tcW w:w="3254" w:type="dxa"/>
          </w:tcPr>
          <w:p>
            <w:pPr>
              <w:pStyle w:val="TableParagraph"/>
              <w:spacing w:line="270" w:lineRule="exact"/>
              <w:ind w:left="105"/>
              <w:rPr>
                <w:sz w:val="24"/>
              </w:rPr>
            </w:pPr>
            <w:r>
              <w:rPr>
                <w:sz w:val="24"/>
              </w:rPr>
              <w:t>Проблемы</w:t>
            </w:r>
            <w:r>
              <w:rPr>
                <w:spacing w:val="-2"/>
                <w:sz w:val="24"/>
              </w:rPr>
              <w:t> </w:t>
            </w:r>
            <w:r>
              <w:rPr>
                <w:sz w:val="24"/>
              </w:rPr>
              <w:t>с</w:t>
            </w:r>
            <w:r>
              <w:rPr>
                <w:spacing w:val="-2"/>
                <w:sz w:val="24"/>
              </w:rPr>
              <w:t> поведением</w:t>
            </w:r>
          </w:p>
        </w:tc>
        <w:tc>
          <w:tcPr>
            <w:tcW w:w="1646" w:type="dxa"/>
          </w:tcPr>
          <w:p>
            <w:pPr>
              <w:pStyle w:val="TableParagraph"/>
              <w:spacing w:line="270" w:lineRule="exact"/>
              <w:ind w:left="108"/>
              <w:rPr>
                <w:sz w:val="24"/>
              </w:rPr>
            </w:pPr>
            <w:r>
              <w:rPr>
                <w:sz w:val="24"/>
              </w:rPr>
              <w:t>Ниже</w:t>
            </w:r>
            <w:r>
              <w:rPr>
                <w:spacing w:val="-5"/>
                <w:sz w:val="24"/>
              </w:rPr>
              <w:t> 2.3</w:t>
            </w:r>
          </w:p>
        </w:tc>
        <w:tc>
          <w:tcPr>
            <w:tcW w:w="1648" w:type="dxa"/>
            <w:vMerge/>
            <w:tcBorders>
              <w:top w:val="nil"/>
            </w:tcBorders>
          </w:tcPr>
          <w:p>
            <w:pPr>
              <w:rPr>
                <w:sz w:val="2"/>
                <w:szCs w:val="2"/>
              </w:rPr>
            </w:pPr>
          </w:p>
        </w:tc>
      </w:tr>
      <w:tr>
        <w:trPr>
          <w:trHeight w:val="835" w:hRule="atLeast"/>
        </w:trPr>
        <w:tc>
          <w:tcPr>
            <w:tcW w:w="3257" w:type="dxa"/>
          </w:tcPr>
          <w:p>
            <w:pPr>
              <w:pStyle w:val="TableParagraph"/>
              <w:spacing w:line="276" w:lineRule="auto"/>
              <w:ind w:left="107"/>
              <w:rPr>
                <w:sz w:val="22"/>
              </w:rPr>
            </w:pPr>
            <w:r>
              <w:rPr>
                <w:sz w:val="22"/>
              </w:rPr>
              <w:t>Опросник</w:t>
            </w:r>
            <w:r>
              <w:rPr>
                <w:spacing w:val="-14"/>
                <w:sz w:val="22"/>
              </w:rPr>
              <w:t> </w:t>
            </w:r>
            <w:r>
              <w:rPr>
                <w:sz w:val="22"/>
              </w:rPr>
              <w:t>аккультурации</w:t>
            </w:r>
            <w:r>
              <w:rPr>
                <w:spacing w:val="-14"/>
                <w:sz w:val="22"/>
              </w:rPr>
              <w:t> </w:t>
            </w:r>
            <w:r>
              <w:rPr>
                <w:sz w:val="22"/>
              </w:rPr>
              <w:t>для детей и подростков</w:t>
            </w:r>
          </w:p>
        </w:tc>
        <w:tc>
          <w:tcPr>
            <w:tcW w:w="3254" w:type="dxa"/>
          </w:tcPr>
          <w:p>
            <w:pPr>
              <w:pStyle w:val="TableParagraph"/>
              <w:spacing w:line="276" w:lineRule="auto"/>
              <w:ind w:left="105"/>
              <w:rPr>
                <w:sz w:val="24"/>
              </w:rPr>
            </w:pPr>
            <w:r>
              <w:rPr>
                <w:sz w:val="24"/>
              </w:rPr>
              <w:t>Включенность</w:t>
            </w:r>
            <w:r>
              <w:rPr>
                <w:spacing w:val="-15"/>
                <w:sz w:val="24"/>
              </w:rPr>
              <w:t> </w:t>
            </w:r>
            <w:r>
              <w:rPr>
                <w:sz w:val="24"/>
              </w:rPr>
              <w:t>в</w:t>
            </w:r>
            <w:r>
              <w:rPr>
                <w:spacing w:val="-15"/>
                <w:sz w:val="24"/>
              </w:rPr>
              <w:t> </w:t>
            </w:r>
            <w:r>
              <w:rPr>
                <w:sz w:val="24"/>
              </w:rPr>
              <w:t>культуру принимающего</w:t>
            </w:r>
            <w:r>
              <w:rPr>
                <w:spacing w:val="-6"/>
                <w:sz w:val="24"/>
              </w:rPr>
              <w:t> </w:t>
            </w:r>
            <w:r>
              <w:rPr>
                <w:spacing w:val="-2"/>
                <w:sz w:val="24"/>
              </w:rPr>
              <w:t>общества.</w:t>
            </w:r>
          </w:p>
        </w:tc>
        <w:tc>
          <w:tcPr>
            <w:tcW w:w="1646" w:type="dxa"/>
          </w:tcPr>
          <w:p>
            <w:pPr>
              <w:pStyle w:val="TableParagraph"/>
              <w:spacing w:line="271" w:lineRule="exact"/>
              <w:ind w:left="108"/>
              <w:rPr>
                <w:sz w:val="24"/>
              </w:rPr>
            </w:pPr>
            <w:r>
              <w:rPr>
                <w:sz w:val="24"/>
              </w:rPr>
              <w:t>0.5 и </w:t>
            </w:r>
            <w:r>
              <w:rPr>
                <w:spacing w:val="-4"/>
                <w:sz w:val="24"/>
              </w:rPr>
              <w:t>ниже</w:t>
            </w:r>
          </w:p>
        </w:tc>
        <w:tc>
          <w:tcPr>
            <w:tcW w:w="1648" w:type="dxa"/>
            <w:vMerge/>
            <w:tcBorders>
              <w:top w:val="nil"/>
            </w:tcBorders>
          </w:tcPr>
          <w:p>
            <w:pPr>
              <w:rPr>
                <w:sz w:val="2"/>
                <w:szCs w:val="2"/>
              </w:rPr>
            </w:pPr>
          </w:p>
        </w:tc>
      </w:tr>
      <w:tr>
        <w:trPr>
          <w:trHeight w:val="515" w:hRule="atLeast"/>
        </w:trPr>
        <w:tc>
          <w:tcPr>
            <w:tcW w:w="3257" w:type="dxa"/>
            <w:vMerge w:val="restart"/>
          </w:tcPr>
          <w:p>
            <w:pPr>
              <w:pStyle w:val="TableParagraph"/>
              <w:spacing w:line="276" w:lineRule="auto"/>
              <w:ind w:left="107"/>
              <w:rPr>
                <w:sz w:val="22"/>
              </w:rPr>
            </w:pPr>
            <w:r>
              <w:rPr>
                <w:sz w:val="22"/>
              </w:rPr>
              <w:t>Карта стандартизованного наблюдения</w:t>
            </w:r>
            <w:r>
              <w:rPr>
                <w:spacing w:val="-12"/>
                <w:sz w:val="22"/>
              </w:rPr>
              <w:t> </w:t>
            </w:r>
            <w:r>
              <w:rPr>
                <w:sz w:val="22"/>
              </w:rPr>
              <w:t>детей</w:t>
            </w:r>
            <w:r>
              <w:rPr>
                <w:spacing w:val="-11"/>
                <w:sz w:val="22"/>
              </w:rPr>
              <w:t> </w:t>
            </w:r>
            <w:r>
              <w:rPr>
                <w:sz w:val="22"/>
              </w:rPr>
              <w:t>и</w:t>
            </w:r>
            <w:r>
              <w:rPr>
                <w:spacing w:val="-12"/>
                <w:sz w:val="22"/>
              </w:rPr>
              <w:t> </w:t>
            </w:r>
            <w:r>
              <w:rPr>
                <w:sz w:val="22"/>
              </w:rPr>
              <w:t>подростков из семей мигрантов «Стратегии </w:t>
            </w:r>
            <w:r>
              <w:rPr>
                <w:spacing w:val="-2"/>
                <w:sz w:val="22"/>
              </w:rPr>
              <w:t>адаптации»</w:t>
            </w:r>
          </w:p>
        </w:tc>
        <w:tc>
          <w:tcPr>
            <w:tcW w:w="3254" w:type="dxa"/>
          </w:tcPr>
          <w:p>
            <w:pPr>
              <w:pStyle w:val="TableParagraph"/>
              <w:spacing w:line="270" w:lineRule="exact"/>
              <w:ind w:left="105"/>
              <w:rPr>
                <w:sz w:val="24"/>
              </w:rPr>
            </w:pPr>
            <w:r>
              <w:rPr>
                <w:spacing w:val="-2"/>
                <w:sz w:val="24"/>
              </w:rPr>
              <w:t>Сепарация</w:t>
            </w:r>
          </w:p>
        </w:tc>
        <w:tc>
          <w:tcPr>
            <w:tcW w:w="1646" w:type="dxa"/>
          </w:tcPr>
          <w:p>
            <w:pPr>
              <w:pStyle w:val="TableParagraph"/>
              <w:spacing w:line="270" w:lineRule="exact"/>
              <w:ind w:left="108"/>
              <w:rPr>
                <w:sz w:val="24"/>
              </w:rPr>
            </w:pPr>
            <w:r>
              <w:rPr>
                <w:sz w:val="24"/>
              </w:rPr>
              <w:t>8.3 и </w:t>
            </w:r>
            <w:r>
              <w:rPr>
                <w:spacing w:val="-4"/>
                <w:sz w:val="24"/>
              </w:rPr>
              <w:t>выше</w:t>
            </w:r>
          </w:p>
        </w:tc>
        <w:tc>
          <w:tcPr>
            <w:tcW w:w="1648" w:type="dxa"/>
            <w:vMerge w:val="restart"/>
          </w:tcPr>
          <w:p>
            <w:pPr>
              <w:pStyle w:val="TableParagraph"/>
              <w:spacing w:line="270" w:lineRule="exact"/>
              <w:ind w:left="109"/>
              <w:rPr>
                <w:sz w:val="24"/>
              </w:rPr>
            </w:pPr>
            <w:r>
              <w:rPr>
                <w:spacing w:val="-2"/>
                <w:sz w:val="24"/>
              </w:rPr>
              <w:t>Расширенный</w:t>
            </w:r>
          </w:p>
        </w:tc>
      </w:tr>
      <w:tr>
        <w:trPr>
          <w:trHeight w:val="837" w:hRule="atLeast"/>
        </w:trPr>
        <w:tc>
          <w:tcPr>
            <w:tcW w:w="3257" w:type="dxa"/>
            <w:vMerge/>
            <w:tcBorders>
              <w:top w:val="nil"/>
            </w:tcBorders>
          </w:tcPr>
          <w:p>
            <w:pPr>
              <w:rPr>
                <w:sz w:val="2"/>
                <w:szCs w:val="2"/>
              </w:rPr>
            </w:pPr>
          </w:p>
        </w:tc>
        <w:tc>
          <w:tcPr>
            <w:tcW w:w="3254" w:type="dxa"/>
          </w:tcPr>
          <w:p>
            <w:pPr>
              <w:pStyle w:val="TableParagraph"/>
              <w:spacing w:line="270" w:lineRule="exact"/>
              <w:ind w:left="105"/>
              <w:rPr>
                <w:sz w:val="24"/>
              </w:rPr>
            </w:pPr>
            <w:r>
              <w:rPr>
                <w:spacing w:val="-2"/>
                <w:sz w:val="24"/>
              </w:rPr>
              <w:t>Маргинализация</w:t>
            </w:r>
          </w:p>
        </w:tc>
        <w:tc>
          <w:tcPr>
            <w:tcW w:w="1646" w:type="dxa"/>
          </w:tcPr>
          <w:p>
            <w:pPr>
              <w:pStyle w:val="TableParagraph"/>
              <w:spacing w:line="270" w:lineRule="exact"/>
              <w:ind w:left="168"/>
              <w:rPr>
                <w:sz w:val="24"/>
              </w:rPr>
            </w:pPr>
            <w:r>
              <w:rPr>
                <w:sz w:val="24"/>
              </w:rPr>
              <w:t>3.8 и </w:t>
            </w:r>
            <w:r>
              <w:rPr>
                <w:spacing w:val="-4"/>
                <w:sz w:val="24"/>
              </w:rPr>
              <w:t>выше</w:t>
            </w:r>
          </w:p>
        </w:tc>
        <w:tc>
          <w:tcPr>
            <w:tcW w:w="1648" w:type="dxa"/>
            <w:vMerge/>
            <w:tcBorders>
              <w:top w:val="nil"/>
            </w:tcBorders>
          </w:tcPr>
          <w:p>
            <w:pPr>
              <w:rPr>
                <w:sz w:val="2"/>
                <w:szCs w:val="2"/>
              </w:rPr>
            </w:pPr>
          </w:p>
        </w:tc>
      </w:tr>
      <w:tr>
        <w:trPr>
          <w:trHeight w:val="517" w:hRule="atLeast"/>
        </w:trPr>
        <w:tc>
          <w:tcPr>
            <w:tcW w:w="3257" w:type="dxa"/>
            <w:vMerge w:val="restart"/>
          </w:tcPr>
          <w:p>
            <w:pPr>
              <w:pStyle w:val="TableParagraph"/>
              <w:spacing w:line="247" w:lineRule="exact"/>
              <w:ind w:left="107"/>
              <w:rPr>
                <w:sz w:val="22"/>
              </w:rPr>
            </w:pPr>
            <w:r>
              <w:rPr>
                <w:sz w:val="22"/>
              </w:rPr>
              <w:t>Опросник</w:t>
            </w:r>
            <w:r>
              <w:rPr>
                <w:spacing w:val="-7"/>
                <w:sz w:val="22"/>
              </w:rPr>
              <w:t> </w:t>
            </w:r>
            <w:r>
              <w:rPr>
                <w:spacing w:val="-2"/>
                <w:sz w:val="22"/>
              </w:rPr>
              <w:t>Ахенбаха</w:t>
            </w:r>
          </w:p>
        </w:tc>
        <w:tc>
          <w:tcPr>
            <w:tcW w:w="3254" w:type="dxa"/>
          </w:tcPr>
          <w:p>
            <w:pPr>
              <w:pStyle w:val="TableParagraph"/>
              <w:spacing w:line="270" w:lineRule="exact"/>
              <w:ind w:left="105"/>
              <w:rPr>
                <w:sz w:val="24"/>
              </w:rPr>
            </w:pPr>
            <w:r>
              <w:rPr>
                <w:sz w:val="24"/>
              </w:rPr>
              <w:t>Проблемы</w:t>
            </w:r>
            <w:r>
              <w:rPr>
                <w:spacing w:val="-2"/>
                <w:sz w:val="24"/>
              </w:rPr>
              <w:t> интернализации</w:t>
            </w:r>
          </w:p>
        </w:tc>
        <w:tc>
          <w:tcPr>
            <w:tcW w:w="1646" w:type="dxa"/>
          </w:tcPr>
          <w:p>
            <w:pPr>
              <w:pStyle w:val="TableParagraph"/>
              <w:spacing w:line="270" w:lineRule="exact"/>
              <w:ind w:left="108"/>
              <w:rPr>
                <w:sz w:val="24"/>
              </w:rPr>
            </w:pPr>
            <w:r>
              <w:rPr>
                <w:sz w:val="24"/>
              </w:rPr>
              <w:t>14.5</w:t>
            </w:r>
            <w:r>
              <w:rPr>
                <w:spacing w:val="-2"/>
                <w:sz w:val="24"/>
              </w:rPr>
              <w:t> </w:t>
            </w:r>
            <w:r>
              <w:rPr>
                <w:sz w:val="24"/>
              </w:rPr>
              <w:t>и </w:t>
            </w:r>
            <w:r>
              <w:rPr>
                <w:spacing w:val="-4"/>
                <w:sz w:val="24"/>
              </w:rPr>
              <w:t>выше</w:t>
            </w:r>
          </w:p>
        </w:tc>
        <w:tc>
          <w:tcPr>
            <w:tcW w:w="1648" w:type="dxa"/>
            <w:vMerge/>
            <w:tcBorders>
              <w:top w:val="nil"/>
            </w:tcBorders>
          </w:tcPr>
          <w:p>
            <w:pPr>
              <w:rPr>
                <w:sz w:val="2"/>
                <w:szCs w:val="2"/>
              </w:rPr>
            </w:pPr>
          </w:p>
        </w:tc>
      </w:tr>
      <w:tr>
        <w:trPr>
          <w:trHeight w:val="515" w:hRule="atLeast"/>
        </w:trPr>
        <w:tc>
          <w:tcPr>
            <w:tcW w:w="3257" w:type="dxa"/>
            <w:vMerge/>
            <w:tcBorders>
              <w:top w:val="nil"/>
            </w:tcBorders>
          </w:tcPr>
          <w:p>
            <w:pPr>
              <w:rPr>
                <w:sz w:val="2"/>
                <w:szCs w:val="2"/>
              </w:rPr>
            </w:pPr>
          </w:p>
        </w:tc>
        <w:tc>
          <w:tcPr>
            <w:tcW w:w="3254" w:type="dxa"/>
          </w:tcPr>
          <w:p>
            <w:pPr>
              <w:pStyle w:val="TableParagraph"/>
              <w:spacing w:line="270" w:lineRule="exact"/>
              <w:ind w:left="105"/>
              <w:rPr>
                <w:sz w:val="24"/>
              </w:rPr>
            </w:pPr>
            <w:r>
              <w:rPr>
                <w:sz w:val="24"/>
              </w:rPr>
              <w:t>Проблемы</w:t>
            </w:r>
            <w:r>
              <w:rPr>
                <w:spacing w:val="-2"/>
                <w:sz w:val="24"/>
              </w:rPr>
              <w:t> экстернализации</w:t>
            </w:r>
          </w:p>
        </w:tc>
        <w:tc>
          <w:tcPr>
            <w:tcW w:w="1646" w:type="dxa"/>
          </w:tcPr>
          <w:p>
            <w:pPr>
              <w:pStyle w:val="TableParagraph"/>
              <w:spacing w:line="270" w:lineRule="exact"/>
              <w:ind w:left="108"/>
              <w:rPr>
                <w:sz w:val="24"/>
              </w:rPr>
            </w:pPr>
            <w:r>
              <w:rPr>
                <w:sz w:val="24"/>
              </w:rPr>
              <w:t>23 и </w:t>
            </w:r>
            <w:r>
              <w:rPr>
                <w:spacing w:val="-4"/>
                <w:sz w:val="24"/>
              </w:rPr>
              <w:t>выше</w:t>
            </w:r>
          </w:p>
        </w:tc>
        <w:tc>
          <w:tcPr>
            <w:tcW w:w="1648" w:type="dxa"/>
            <w:vMerge/>
            <w:tcBorders>
              <w:top w:val="nil"/>
            </w:tcBorders>
          </w:tcPr>
          <w:p>
            <w:pPr>
              <w:rPr>
                <w:sz w:val="2"/>
                <w:szCs w:val="2"/>
              </w:rPr>
            </w:pPr>
          </w:p>
        </w:tc>
      </w:tr>
      <w:tr>
        <w:trPr>
          <w:trHeight w:val="1153" w:hRule="atLeast"/>
        </w:trPr>
        <w:tc>
          <w:tcPr>
            <w:tcW w:w="3257" w:type="dxa"/>
          </w:tcPr>
          <w:p>
            <w:pPr>
              <w:pStyle w:val="TableParagraph"/>
              <w:spacing w:line="276" w:lineRule="auto"/>
              <w:ind w:left="107"/>
              <w:rPr>
                <w:sz w:val="22"/>
              </w:rPr>
            </w:pPr>
            <w:r>
              <w:rPr>
                <w:sz w:val="22"/>
              </w:rPr>
              <w:t>Детский</w:t>
            </w:r>
            <w:r>
              <w:rPr>
                <w:spacing w:val="-14"/>
                <w:sz w:val="22"/>
              </w:rPr>
              <w:t> </w:t>
            </w:r>
            <w:r>
              <w:rPr>
                <w:sz w:val="22"/>
              </w:rPr>
              <w:t>тест</w:t>
            </w:r>
            <w:r>
              <w:rPr>
                <w:spacing w:val="-14"/>
                <w:sz w:val="22"/>
              </w:rPr>
              <w:t> </w:t>
            </w:r>
            <w:r>
              <w:rPr>
                <w:sz w:val="22"/>
              </w:rPr>
              <w:t>психологической </w:t>
            </w:r>
            <w:r>
              <w:rPr>
                <w:spacing w:val="-2"/>
                <w:sz w:val="22"/>
              </w:rPr>
              <w:t>устойчивости</w:t>
            </w:r>
          </w:p>
        </w:tc>
        <w:tc>
          <w:tcPr>
            <w:tcW w:w="3254" w:type="dxa"/>
          </w:tcPr>
          <w:p>
            <w:pPr>
              <w:pStyle w:val="TableParagraph"/>
              <w:spacing w:line="276" w:lineRule="auto"/>
              <w:ind w:left="105" w:right="927"/>
              <w:rPr>
                <w:sz w:val="24"/>
              </w:rPr>
            </w:pPr>
            <w:r>
              <w:rPr>
                <w:spacing w:val="-2"/>
                <w:sz w:val="24"/>
              </w:rPr>
              <w:t>Психологическая </w:t>
            </w:r>
            <w:r>
              <w:rPr>
                <w:sz w:val="24"/>
              </w:rPr>
              <w:t>устойчивость</w:t>
            </w:r>
            <w:r>
              <w:rPr>
                <w:spacing w:val="-15"/>
                <w:sz w:val="24"/>
              </w:rPr>
              <w:t> </w:t>
            </w:r>
            <w:r>
              <w:rPr>
                <w:sz w:val="24"/>
              </w:rPr>
              <w:t>(общий </w:t>
            </w:r>
            <w:r>
              <w:rPr>
                <w:spacing w:val="-2"/>
                <w:sz w:val="24"/>
              </w:rPr>
              <w:t>показатель)</w:t>
            </w:r>
          </w:p>
        </w:tc>
        <w:tc>
          <w:tcPr>
            <w:tcW w:w="1646" w:type="dxa"/>
          </w:tcPr>
          <w:p>
            <w:pPr>
              <w:pStyle w:val="TableParagraph"/>
              <w:spacing w:line="273" w:lineRule="exact"/>
              <w:ind w:left="108"/>
              <w:rPr>
                <w:sz w:val="24"/>
              </w:rPr>
            </w:pPr>
            <w:r>
              <w:rPr>
                <w:sz w:val="24"/>
              </w:rPr>
              <w:t>69 и </w:t>
            </w:r>
            <w:r>
              <w:rPr>
                <w:spacing w:val="-4"/>
                <w:sz w:val="24"/>
              </w:rPr>
              <w:t>ниже</w:t>
            </w:r>
          </w:p>
        </w:tc>
        <w:tc>
          <w:tcPr>
            <w:tcW w:w="1648" w:type="dxa"/>
            <w:vMerge/>
            <w:tcBorders>
              <w:top w:val="nil"/>
            </w:tcBorders>
          </w:tcPr>
          <w:p>
            <w:pPr>
              <w:rPr>
                <w:sz w:val="2"/>
                <w:szCs w:val="2"/>
              </w:rPr>
            </w:pPr>
          </w:p>
        </w:tc>
      </w:tr>
    </w:tbl>
    <w:p>
      <w:pPr>
        <w:pStyle w:val="BodyText"/>
        <w:ind w:left="0" w:right="0" w:firstLine="0"/>
        <w:jc w:val="left"/>
        <w:rPr>
          <w:b/>
          <w:sz w:val="28"/>
        </w:rPr>
      </w:pPr>
    </w:p>
    <w:p>
      <w:pPr>
        <w:pStyle w:val="BodyText"/>
        <w:ind w:left="0" w:right="0" w:firstLine="0"/>
        <w:jc w:val="left"/>
        <w:rPr>
          <w:b/>
          <w:sz w:val="28"/>
        </w:rPr>
      </w:pPr>
    </w:p>
    <w:p>
      <w:pPr>
        <w:pStyle w:val="BodyText"/>
        <w:spacing w:before="72"/>
        <w:ind w:left="0" w:right="0" w:firstLine="0"/>
        <w:jc w:val="left"/>
        <w:rPr>
          <w:b/>
          <w:sz w:val="28"/>
        </w:rPr>
      </w:pPr>
    </w:p>
    <w:p>
      <w:pPr>
        <w:spacing w:before="0"/>
        <w:ind w:left="0" w:right="566" w:firstLine="0"/>
        <w:jc w:val="right"/>
        <w:rPr>
          <w:b/>
          <w:i/>
          <w:sz w:val="32"/>
        </w:rPr>
      </w:pPr>
      <w:r>
        <w:rPr>
          <w:b/>
          <w:i/>
          <w:sz w:val="32"/>
        </w:rPr>
        <w:t>Таблица</w:t>
      </w:r>
      <w:r>
        <w:rPr>
          <w:b/>
          <w:i/>
          <w:spacing w:val="-13"/>
          <w:sz w:val="32"/>
        </w:rPr>
        <w:t> </w:t>
      </w:r>
      <w:r>
        <w:rPr>
          <w:b/>
          <w:i/>
          <w:spacing w:val="-10"/>
          <w:sz w:val="32"/>
        </w:rPr>
        <w:t>4</w:t>
      </w:r>
    </w:p>
    <w:p>
      <w:pPr>
        <w:spacing w:before="255"/>
        <w:ind w:left="695" w:right="0" w:firstLine="0"/>
        <w:jc w:val="left"/>
        <w:rPr>
          <w:b/>
          <w:sz w:val="28"/>
        </w:rPr>
      </w:pPr>
      <w:r>
        <w:rPr>
          <w:b/>
          <w:sz w:val="28"/>
        </w:rPr>
        <w:t>Числовые</w:t>
      </w:r>
      <w:r>
        <w:rPr>
          <w:b/>
          <w:spacing w:val="-11"/>
          <w:sz w:val="28"/>
        </w:rPr>
        <w:t> </w:t>
      </w:r>
      <w:r>
        <w:rPr>
          <w:b/>
          <w:sz w:val="28"/>
        </w:rPr>
        <w:t>маркеры</w:t>
      </w:r>
      <w:r>
        <w:rPr>
          <w:b/>
          <w:spacing w:val="-9"/>
          <w:sz w:val="28"/>
        </w:rPr>
        <w:t> </w:t>
      </w:r>
      <w:r>
        <w:rPr>
          <w:b/>
          <w:sz w:val="28"/>
        </w:rPr>
        <w:t>Интеграционного</w:t>
      </w:r>
      <w:r>
        <w:rPr>
          <w:b/>
          <w:spacing w:val="-8"/>
          <w:sz w:val="28"/>
        </w:rPr>
        <w:t> </w:t>
      </w:r>
      <w:r>
        <w:rPr>
          <w:b/>
          <w:sz w:val="28"/>
        </w:rPr>
        <w:t>профиля</w:t>
      </w:r>
      <w:r>
        <w:rPr>
          <w:b/>
          <w:spacing w:val="-10"/>
          <w:sz w:val="28"/>
        </w:rPr>
        <w:t> </w:t>
      </w:r>
      <w:r>
        <w:rPr>
          <w:b/>
          <w:sz w:val="28"/>
        </w:rPr>
        <w:t>(начальная</w:t>
      </w:r>
      <w:r>
        <w:rPr>
          <w:b/>
          <w:spacing w:val="-10"/>
          <w:sz w:val="28"/>
        </w:rPr>
        <w:t> </w:t>
      </w:r>
      <w:r>
        <w:rPr>
          <w:b/>
          <w:spacing w:val="-2"/>
          <w:sz w:val="28"/>
        </w:rPr>
        <w:t>школа)</w:t>
      </w:r>
    </w:p>
    <w:p>
      <w:pPr>
        <w:pStyle w:val="BodyText"/>
        <w:spacing w:before="20"/>
        <w:ind w:left="0" w:right="0" w:firstLine="0"/>
        <w:jc w:val="left"/>
        <w:rPr>
          <w:b/>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3113"/>
        <w:gridCol w:w="1721"/>
        <w:gridCol w:w="1648"/>
      </w:tblGrid>
      <w:tr>
        <w:trPr>
          <w:trHeight w:val="518" w:hRule="atLeast"/>
        </w:trPr>
        <w:tc>
          <w:tcPr>
            <w:tcW w:w="3116" w:type="dxa"/>
          </w:tcPr>
          <w:p>
            <w:pPr>
              <w:pStyle w:val="TableParagraph"/>
              <w:spacing w:line="275" w:lineRule="exact"/>
              <w:ind w:left="107"/>
              <w:rPr>
                <w:b/>
                <w:sz w:val="24"/>
              </w:rPr>
            </w:pPr>
            <w:r>
              <w:rPr>
                <w:b/>
                <w:spacing w:val="-2"/>
                <w:sz w:val="24"/>
              </w:rPr>
              <w:t>Методика</w:t>
            </w:r>
          </w:p>
        </w:tc>
        <w:tc>
          <w:tcPr>
            <w:tcW w:w="3113" w:type="dxa"/>
          </w:tcPr>
          <w:p>
            <w:pPr>
              <w:pStyle w:val="TableParagraph"/>
              <w:spacing w:line="275" w:lineRule="exact"/>
              <w:ind w:left="105"/>
              <w:rPr>
                <w:b/>
                <w:sz w:val="24"/>
              </w:rPr>
            </w:pPr>
            <w:r>
              <w:rPr>
                <w:b/>
                <w:sz w:val="24"/>
              </w:rPr>
              <w:t>Показатель</w:t>
            </w:r>
            <w:r>
              <w:rPr>
                <w:b/>
                <w:spacing w:val="-4"/>
                <w:sz w:val="24"/>
              </w:rPr>
              <w:t> </w:t>
            </w:r>
            <w:r>
              <w:rPr>
                <w:b/>
                <w:spacing w:val="-2"/>
                <w:sz w:val="24"/>
              </w:rPr>
              <w:t>(шкала)</w:t>
            </w:r>
          </w:p>
        </w:tc>
        <w:tc>
          <w:tcPr>
            <w:tcW w:w="1721" w:type="dxa"/>
          </w:tcPr>
          <w:p>
            <w:pPr>
              <w:pStyle w:val="TableParagraph"/>
              <w:spacing w:line="275" w:lineRule="exact"/>
              <w:ind w:left="107"/>
              <w:rPr>
                <w:b/>
                <w:sz w:val="24"/>
              </w:rPr>
            </w:pPr>
            <w:r>
              <w:rPr>
                <w:b/>
                <w:spacing w:val="-4"/>
                <w:sz w:val="24"/>
              </w:rPr>
              <w:t>Балл</w:t>
            </w:r>
          </w:p>
        </w:tc>
        <w:tc>
          <w:tcPr>
            <w:tcW w:w="1648" w:type="dxa"/>
          </w:tcPr>
          <w:p>
            <w:pPr>
              <w:pStyle w:val="TableParagraph"/>
              <w:spacing w:line="275" w:lineRule="exact"/>
              <w:ind w:left="105"/>
              <w:rPr>
                <w:b/>
                <w:sz w:val="24"/>
              </w:rPr>
            </w:pPr>
            <w:r>
              <w:rPr>
                <w:b/>
                <w:spacing w:val="-2"/>
                <w:sz w:val="24"/>
              </w:rPr>
              <w:t>Компонент</w:t>
            </w:r>
          </w:p>
        </w:tc>
      </w:tr>
      <w:tr>
        <w:trPr>
          <w:trHeight w:val="1151" w:hRule="atLeast"/>
        </w:trPr>
        <w:tc>
          <w:tcPr>
            <w:tcW w:w="3116" w:type="dxa"/>
          </w:tcPr>
          <w:p>
            <w:pPr>
              <w:pStyle w:val="TableParagraph"/>
              <w:spacing w:line="270" w:lineRule="exact"/>
              <w:ind w:left="107"/>
              <w:rPr>
                <w:sz w:val="24"/>
              </w:rPr>
            </w:pPr>
            <w:r>
              <w:rPr>
                <w:sz w:val="24"/>
              </w:rPr>
              <w:t>Социометрический</w:t>
            </w:r>
            <w:r>
              <w:rPr>
                <w:spacing w:val="-9"/>
                <w:sz w:val="24"/>
              </w:rPr>
              <w:t> </w:t>
            </w:r>
            <w:r>
              <w:rPr>
                <w:spacing w:val="-4"/>
                <w:sz w:val="24"/>
              </w:rPr>
              <w:t>тест</w:t>
            </w:r>
          </w:p>
        </w:tc>
        <w:tc>
          <w:tcPr>
            <w:tcW w:w="3113" w:type="dxa"/>
          </w:tcPr>
          <w:p>
            <w:pPr>
              <w:pStyle w:val="TableParagraph"/>
              <w:spacing w:line="270" w:lineRule="exact"/>
              <w:ind w:left="105"/>
              <w:rPr>
                <w:sz w:val="24"/>
              </w:rPr>
            </w:pPr>
            <w:r>
              <w:rPr>
                <w:sz w:val="24"/>
              </w:rPr>
              <w:t>Статус</w:t>
            </w:r>
            <w:r>
              <w:rPr>
                <w:spacing w:val="-4"/>
                <w:sz w:val="24"/>
              </w:rPr>
              <w:t> </w:t>
            </w:r>
            <w:r>
              <w:rPr>
                <w:spacing w:val="-2"/>
                <w:sz w:val="24"/>
              </w:rPr>
              <w:t>ребенка</w:t>
            </w:r>
          </w:p>
        </w:tc>
        <w:tc>
          <w:tcPr>
            <w:tcW w:w="1721" w:type="dxa"/>
          </w:tcPr>
          <w:p>
            <w:pPr>
              <w:pStyle w:val="TableParagraph"/>
              <w:spacing w:line="276" w:lineRule="auto"/>
              <w:ind w:left="107" w:right="381"/>
              <w:rPr>
                <w:sz w:val="24"/>
              </w:rPr>
            </w:pPr>
            <w:r>
              <w:rPr>
                <w:sz w:val="24"/>
              </w:rPr>
              <w:t>Высоко</w:t>
            </w:r>
            <w:r>
              <w:rPr>
                <w:spacing w:val="-15"/>
                <w:sz w:val="24"/>
              </w:rPr>
              <w:t> </w:t>
            </w:r>
            <w:r>
              <w:rPr>
                <w:sz w:val="24"/>
              </w:rPr>
              <w:t>или </w:t>
            </w:r>
            <w:r>
              <w:rPr>
                <w:spacing w:val="-2"/>
                <w:sz w:val="24"/>
              </w:rPr>
              <w:t>средне- статусный</w:t>
            </w:r>
          </w:p>
        </w:tc>
        <w:tc>
          <w:tcPr>
            <w:tcW w:w="1648" w:type="dxa"/>
            <w:vMerge w:val="restart"/>
          </w:tcPr>
          <w:p>
            <w:pPr>
              <w:pStyle w:val="TableParagraph"/>
              <w:spacing w:line="270" w:lineRule="exact"/>
              <w:ind w:left="105"/>
              <w:rPr>
                <w:sz w:val="24"/>
              </w:rPr>
            </w:pPr>
            <w:r>
              <w:rPr>
                <w:spacing w:val="-2"/>
                <w:sz w:val="24"/>
              </w:rPr>
              <w:t>Базовый</w:t>
            </w:r>
          </w:p>
        </w:tc>
      </w:tr>
      <w:tr>
        <w:trPr>
          <w:trHeight w:val="1353" w:hRule="atLeast"/>
        </w:trPr>
        <w:tc>
          <w:tcPr>
            <w:tcW w:w="3116" w:type="dxa"/>
          </w:tcPr>
          <w:p>
            <w:pPr>
              <w:pStyle w:val="TableParagraph"/>
              <w:spacing w:line="278" w:lineRule="auto"/>
              <w:ind w:left="107"/>
              <w:rPr>
                <w:sz w:val="22"/>
              </w:rPr>
            </w:pPr>
            <w:r>
              <w:rPr>
                <w:sz w:val="22"/>
              </w:rPr>
              <w:t>Опросник</w:t>
            </w:r>
            <w:r>
              <w:rPr>
                <w:spacing w:val="-14"/>
                <w:sz w:val="22"/>
              </w:rPr>
              <w:t> </w:t>
            </w:r>
            <w:r>
              <w:rPr>
                <w:sz w:val="22"/>
              </w:rPr>
              <w:t>аккультурации</w:t>
            </w:r>
            <w:r>
              <w:rPr>
                <w:spacing w:val="-14"/>
                <w:sz w:val="22"/>
              </w:rPr>
              <w:t> </w:t>
            </w:r>
            <w:r>
              <w:rPr>
                <w:sz w:val="22"/>
              </w:rPr>
              <w:t>для детей и подростков</w:t>
            </w:r>
          </w:p>
        </w:tc>
        <w:tc>
          <w:tcPr>
            <w:tcW w:w="3113" w:type="dxa"/>
          </w:tcPr>
          <w:p>
            <w:pPr>
              <w:pStyle w:val="TableParagraph"/>
              <w:spacing w:line="278" w:lineRule="auto"/>
              <w:ind w:left="105"/>
              <w:rPr>
                <w:sz w:val="24"/>
              </w:rPr>
            </w:pPr>
            <w:r>
              <w:rPr>
                <w:sz w:val="24"/>
              </w:rPr>
              <w:t>Включенность</w:t>
            </w:r>
            <w:r>
              <w:rPr>
                <w:spacing w:val="-15"/>
                <w:sz w:val="24"/>
              </w:rPr>
              <w:t> </w:t>
            </w:r>
            <w:r>
              <w:rPr>
                <w:sz w:val="24"/>
              </w:rPr>
              <w:t>в</w:t>
            </w:r>
            <w:r>
              <w:rPr>
                <w:spacing w:val="-15"/>
                <w:sz w:val="24"/>
              </w:rPr>
              <w:t> </w:t>
            </w:r>
            <w:r>
              <w:rPr>
                <w:sz w:val="24"/>
              </w:rPr>
              <w:t>культуру принимающего</w:t>
            </w:r>
            <w:r>
              <w:rPr>
                <w:spacing w:val="-6"/>
                <w:sz w:val="24"/>
              </w:rPr>
              <w:t> </w:t>
            </w:r>
            <w:r>
              <w:rPr>
                <w:spacing w:val="-2"/>
                <w:sz w:val="24"/>
              </w:rPr>
              <w:t>общества.</w:t>
            </w:r>
          </w:p>
        </w:tc>
        <w:tc>
          <w:tcPr>
            <w:tcW w:w="1721" w:type="dxa"/>
          </w:tcPr>
          <w:p>
            <w:pPr>
              <w:pStyle w:val="TableParagraph"/>
              <w:spacing w:line="270" w:lineRule="exact"/>
              <w:ind w:left="107"/>
              <w:rPr>
                <w:sz w:val="24"/>
              </w:rPr>
            </w:pPr>
            <w:r>
              <w:rPr>
                <w:sz w:val="24"/>
              </w:rPr>
              <w:t>1.25</w:t>
            </w:r>
            <w:r>
              <w:rPr>
                <w:spacing w:val="-2"/>
                <w:sz w:val="24"/>
              </w:rPr>
              <w:t> </w:t>
            </w:r>
            <w:r>
              <w:rPr>
                <w:sz w:val="24"/>
              </w:rPr>
              <w:t>и </w:t>
            </w:r>
            <w:r>
              <w:rPr>
                <w:spacing w:val="-4"/>
                <w:sz w:val="24"/>
              </w:rPr>
              <w:t>выше</w:t>
            </w:r>
          </w:p>
        </w:tc>
        <w:tc>
          <w:tcPr>
            <w:tcW w:w="1648" w:type="dxa"/>
            <w:vMerge/>
            <w:tcBorders>
              <w:top w:val="nil"/>
            </w:tcBorders>
          </w:tcPr>
          <w:p>
            <w:pPr>
              <w:rPr>
                <w:sz w:val="2"/>
                <w:szCs w:val="2"/>
              </w:rPr>
            </w:pPr>
          </w:p>
        </w:tc>
      </w:tr>
      <w:tr>
        <w:trPr>
          <w:trHeight w:val="1072" w:hRule="atLeast"/>
        </w:trPr>
        <w:tc>
          <w:tcPr>
            <w:tcW w:w="3116" w:type="dxa"/>
          </w:tcPr>
          <w:p>
            <w:pPr>
              <w:pStyle w:val="TableParagraph"/>
              <w:spacing w:line="276" w:lineRule="auto"/>
              <w:ind w:left="107" w:right="273"/>
              <w:rPr>
                <w:sz w:val="22"/>
              </w:rPr>
            </w:pPr>
            <w:r>
              <w:rPr>
                <w:sz w:val="22"/>
              </w:rPr>
              <w:t>Рисуночная диагностика субьективного</w:t>
            </w:r>
            <w:r>
              <w:rPr>
                <w:spacing w:val="-14"/>
                <w:sz w:val="22"/>
              </w:rPr>
              <w:t> </w:t>
            </w:r>
            <w:r>
              <w:rPr>
                <w:sz w:val="22"/>
              </w:rPr>
              <w:t>благополучия </w:t>
            </w:r>
            <w:r>
              <w:rPr>
                <w:spacing w:val="-2"/>
                <w:sz w:val="22"/>
              </w:rPr>
              <w:t>ребенка-мигранта</w:t>
            </w:r>
          </w:p>
        </w:tc>
        <w:tc>
          <w:tcPr>
            <w:tcW w:w="3113" w:type="dxa"/>
          </w:tcPr>
          <w:p>
            <w:pPr>
              <w:pStyle w:val="TableParagraph"/>
              <w:spacing w:line="247" w:lineRule="exact"/>
              <w:ind w:left="105"/>
              <w:rPr>
                <w:sz w:val="22"/>
              </w:rPr>
            </w:pPr>
            <w:r>
              <w:rPr>
                <w:sz w:val="22"/>
              </w:rPr>
              <w:t>Субъективное</w:t>
            </w:r>
            <w:r>
              <w:rPr>
                <w:spacing w:val="-9"/>
                <w:sz w:val="22"/>
              </w:rPr>
              <w:t> </w:t>
            </w:r>
            <w:r>
              <w:rPr>
                <w:spacing w:val="-2"/>
                <w:sz w:val="22"/>
              </w:rPr>
              <w:t>благополучие</w:t>
            </w:r>
          </w:p>
        </w:tc>
        <w:tc>
          <w:tcPr>
            <w:tcW w:w="1721" w:type="dxa"/>
          </w:tcPr>
          <w:p>
            <w:pPr>
              <w:pStyle w:val="TableParagraph"/>
              <w:spacing w:line="270" w:lineRule="exact"/>
              <w:ind w:left="107"/>
              <w:rPr>
                <w:sz w:val="24"/>
              </w:rPr>
            </w:pPr>
            <w:r>
              <w:rPr>
                <w:sz w:val="24"/>
              </w:rPr>
              <w:t>3.3.</w:t>
            </w:r>
            <w:r>
              <w:rPr>
                <w:spacing w:val="-2"/>
                <w:sz w:val="24"/>
              </w:rPr>
              <w:t> </w:t>
            </w:r>
            <w:r>
              <w:rPr>
                <w:sz w:val="24"/>
              </w:rPr>
              <w:t>и </w:t>
            </w:r>
            <w:r>
              <w:rPr>
                <w:spacing w:val="-4"/>
                <w:sz w:val="24"/>
              </w:rPr>
              <w:t>выше</w:t>
            </w:r>
          </w:p>
        </w:tc>
        <w:tc>
          <w:tcPr>
            <w:tcW w:w="1648" w:type="dxa"/>
            <w:vMerge/>
            <w:tcBorders>
              <w:top w:val="nil"/>
            </w:tcBorders>
          </w:tcPr>
          <w:p>
            <w:pPr>
              <w:rPr>
                <w:sz w:val="2"/>
                <w:szCs w:val="2"/>
              </w:rPr>
            </w:pPr>
          </w:p>
        </w:tc>
      </w:tr>
    </w:tbl>
    <w:p>
      <w:pPr>
        <w:spacing w:after="0"/>
        <w:rPr>
          <w:sz w:val="2"/>
          <w:szCs w:val="2"/>
        </w:rPr>
        <w:sectPr>
          <w:pgSz w:w="11910" w:h="16840"/>
          <w:pgMar w:header="0" w:footer="970" w:top="1040" w:bottom="1220" w:left="1417" w:right="283"/>
        </w:sect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3113"/>
        <w:gridCol w:w="1721"/>
        <w:gridCol w:w="1648"/>
      </w:tblGrid>
      <w:tr>
        <w:trPr>
          <w:trHeight w:val="518" w:hRule="atLeast"/>
        </w:trPr>
        <w:tc>
          <w:tcPr>
            <w:tcW w:w="3116" w:type="dxa"/>
            <w:vMerge w:val="restart"/>
          </w:tcPr>
          <w:p>
            <w:pPr>
              <w:pStyle w:val="TableParagraph"/>
              <w:spacing w:line="273" w:lineRule="exact"/>
              <w:ind w:left="107"/>
              <w:rPr>
                <w:sz w:val="24"/>
              </w:rPr>
            </w:pPr>
            <w:r>
              <w:rPr>
                <w:sz w:val="24"/>
              </w:rPr>
              <w:t>Карта</w:t>
            </w:r>
            <w:r>
              <w:rPr>
                <w:spacing w:val="-1"/>
                <w:sz w:val="24"/>
              </w:rPr>
              <w:t> </w:t>
            </w:r>
            <w:r>
              <w:rPr>
                <w:spacing w:val="-2"/>
                <w:sz w:val="24"/>
              </w:rPr>
              <w:t>наблюдения</w:t>
            </w:r>
          </w:p>
          <w:p>
            <w:pPr>
              <w:pStyle w:val="TableParagraph"/>
              <w:spacing w:line="276" w:lineRule="auto" w:before="41"/>
              <w:ind w:left="107"/>
              <w:rPr>
                <w:sz w:val="24"/>
              </w:rPr>
            </w:pPr>
            <w:r>
              <w:rPr>
                <w:spacing w:val="-2"/>
                <w:sz w:val="24"/>
              </w:rPr>
              <w:t>«Психологические трудности»</w:t>
            </w:r>
          </w:p>
        </w:tc>
        <w:tc>
          <w:tcPr>
            <w:tcW w:w="3113" w:type="dxa"/>
          </w:tcPr>
          <w:p>
            <w:pPr>
              <w:pStyle w:val="TableParagraph"/>
              <w:spacing w:line="273" w:lineRule="exact"/>
              <w:ind w:left="105"/>
              <w:rPr>
                <w:sz w:val="24"/>
              </w:rPr>
            </w:pPr>
            <w:r>
              <w:rPr>
                <w:sz w:val="24"/>
              </w:rPr>
              <w:t>Эмоциональные</w:t>
            </w:r>
            <w:r>
              <w:rPr>
                <w:spacing w:val="-9"/>
                <w:sz w:val="24"/>
              </w:rPr>
              <w:t> </w:t>
            </w:r>
            <w:r>
              <w:rPr>
                <w:spacing w:val="-2"/>
                <w:sz w:val="24"/>
              </w:rPr>
              <w:t>проблемы</w:t>
            </w:r>
          </w:p>
        </w:tc>
        <w:tc>
          <w:tcPr>
            <w:tcW w:w="1721" w:type="dxa"/>
          </w:tcPr>
          <w:p>
            <w:pPr>
              <w:pStyle w:val="TableParagraph"/>
              <w:spacing w:line="273" w:lineRule="exact"/>
              <w:ind w:left="107"/>
              <w:rPr>
                <w:sz w:val="24"/>
              </w:rPr>
            </w:pPr>
            <w:r>
              <w:rPr>
                <w:sz w:val="24"/>
              </w:rPr>
              <w:t>1,3 и </w:t>
            </w:r>
            <w:r>
              <w:rPr>
                <w:spacing w:val="-4"/>
                <w:sz w:val="24"/>
              </w:rPr>
              <w:t>ниже</w:t>
            </w:r>
          </w:p>
        </w:tc>
        <w:tc>
          <w:tcPr>
            <w:tcW w:w="1648" w:type="dxa"/>
            <w:vMerge w:val="restart"/>
          </w:tcPr>
          <w:p>
            <w:pPr>
              <w:pStyle w:val="TableParagraph"/>
              <w:rPr>
                <w:sz w:val="26"/>
              </w:rPr>
            </w:pPr>
          </w:p>
        </w:tc>
      </w:tr>
      <w:tr>
        <w:trPr>
          <w:trHeight w:val="517" w:hRule="atLeast"/>
        </w:trPr>
        <w:tc>
          <w:tcPr>
            <w:tcW w:w="3116" w:type="dxa"/>
            <w:vMerge/>
            <w:tcBorders>
              <w:top w:val="nil"/>
            </w:tcBorders>
          </w:tcPr>
          <w:p>
            <w:pPr>
              <w:rPr>
                <w:sz w:val="2"/>
                <w:szCs w:val="2"/>
              </w:rPr>
            </w:pPr>
          </w:p>
        </w:tc>
        <w:tc>
          <w:tcPr>
            <w:tcW w:w="3113" w:type="dxa"/>
          </w:tcPr>
          <w:p>
            <w:pPr>
              <w:pStyle w:val="TableParagraph"/>
              <w:spacing w:line="270" w:lineRule="exact"/>
              <w:ind w:left="105"/>
              <w:rPr>
                <w:sz w:val="24"/>
              </w:rPr>
            </w:pPr>
            <w:r>
              <w:rPr>
                <w:sz w:val="24"/>
              </w:rPr>
              <w:t>Проблемы</w:t>
            </w:r>
            <w:r>
              <w:rPr>
                <w:spacing w:val="-2"/>
                <w:sz w:val="24"/>
              </w:rPr>
              <w:t> </w:t>
            </w:r>
            <w:r>
              <w:rPr>
                <w:sz w:val="24"/>
              </w:rPr>
              <w:t>с</w:t>
            </w:r>
            <w:r>
              <w:rPr>
                <w:spacing w:val="-2"/>
                <w:sz w:val="24"/>
              </w:rPr>
              <w:t> поведением</w:t>
            </w:r>
          </w:p>
        </w:tc>
        <w:tc>
          <w:tcPr>
            <w:tcW w:w="1721" w:type="dxa"/>
          </w:tcPr>
          <w:p>
            <w:pPr>
              <w:pStyle w:val="TableParagraph"/>
              <w:spacing w:line="270" w:lineRule="exact"/>
              <w:ind w:left="107"/>
              <w:rPr>
                <w:sz w:val="24"/>
              </w:rPr>
            </w:pPr>
            <w:r>
              <w:rPr>
                <w:sz w:val="24"/>
              </w:rPr>
              <w:t>1,4 и </w:t>
            </w:r>
            <w:r>
              <w:rPr>
                <w:spacing w:val="-4"/>
                <w:sz w:val="24"/>
              </w:rPr>
              <w:t>ниже</w:t>
            </w:r>
          </w:p>
        </w:tc>
        <w:tc>
          <w:tcPr>
            <w:tcW w:w="1648" w:type="dxa"/>
            <w:vMerge/>
            <w:tcBorders>
              <w:top w:val="nil"/>
            </w:tcBorders>
          </w:tcPr>
          <w:p>
            <w:pPr>
              <w:rPr>
                <w:sz w:val="2"/>
                <w:szCs w:val="2"/>
              </w:rPr>
            </w:pPr>
          </w:p>
        </w:tc>
      </w:tr>
      <w:tr>
        <w:trPr>
          <w:trHeight w:val="517" w:hRule="atLeast"/>
        </w:trPr>
        <w:tc>
          <w:tcPr>
            <w:tcW w:w="3116" w:type="dxa"/>
            <w:vMerge/>
            <w:tcBorders>
              <w:top w:val="nil"/>
            </w:tcBorders>
          </w:tcPr>
          <w:p>
            <w:pPr>
              <w:rPr>
                <w:sz w:val="2"/>
                <w:szCs w:val="2"/>
              </w:rPr>
            </w:pPr>
          </w:p>
        </w:tc>
        <w:tc>
          <w:tcPr>
            <w:tcW w:w="3113" w:type="dxa"/>
          </w:tcPr>
          <w:p>
            <w:pPr>
              <w:pStyle w:val="TableParagraph"/>
              <w:spacing w:line="270" w:lineRule="exact"/>
              <w:ind w:left="105"/>
              <w:rPr>
                <w:sz w:val="24"/>
              </w:rPr>
            </w:pPr>
            <w:r>
              <w:rPr>
                <w:sz w:val="24"/>
              </w:rPr>
              <w:t>Шкала</w:t>
            </w:r>
            <w:r>
              <w:rPr>
                <w:spacing w:val="-1"/>
                <w:sz w:val="24"/>
              </w:rPr>
              <w:t> </w:t>
            </w:r>
            <w:r>
              <w:rPr>
                <w:spacing w:val="-2"/>
                <w:sz w:val="24"/>
              </w:rPr>
              <w:t>гиперактивности</w:t>
            </w:r>
          </w:p>
        </w:tc>
        <w:tc>
          <w:tcPr>
            <w:tcW w:w="1721" w:type="dxa"/>
          </w:tcPr>
          <w:p>
            <w:pPr>
              <w:pStyle w:val="TableParagraph"/>
              <w:spacing w:line="270" w:lineRule="exact"/>
              <w:ind w:left="107"/>
              <w:rPr>
                <w:sz w:val="24"/>
              </w:rPr>
            </w:pPr>
            <w:r>
              <w:rPr>
                <w:sz w:val="24"/>
              </w:rPr>
              <w:t>3,8 и </w:t>
            </w:r>
            <w:r>
              <w:rPr>
                <w:spacing w:val="-4"/>
                <w:sz w:val="24"/>
              </w:rPr>
              <w:t>ниже</w:t>
            </w:r>
          </w:p>
        </w:tc>
        <w:tc>
          <w:tcPr>
            <w:tcW w:w="1648" w:type="dxa"/>
            <w:vMerge/>
            <w:tcBorders>
              <w:top w:val="nil"/>
            </w:tcBorders>
          </w:tcPr>
          <w:p>
            <w:pPr>
              <w:rPr>
                <w:sz w:val="2"/>
                <w:szCs w:val="2"/>
              </w:rPr>
            </w:pPr>
          </w:p>
        </w:tc>
      </w:tr>
      <w:tr>
        <w:trPr>
          <w:trHeight w:val="515" w:hRule="atLeast"/>
        </w:trPr>
        <w:tc>
          <w:tcPr>
            <w:tcW w:w="3116" w:type="dxa"/>
            <w:vMerge w:val="restart"/>
          </w:tcPr>
          <w:p>
            <w:pPr>
              <w:pStyle w:val="TableParagraph"/>
              <w:spacing w:line="276" w:lineRule="auto"/>
              <w:ind w:left="107" w:right="503"/>
              <w:rPr>
                <w:sz w:val="22"/>
              </w:rPr>
            </w:pPr>
            <w:r>
              <w:rPr>
                <w:sz w:val="22"/>
              </w:rPr>
              <w:t>Карта</w:t>
            </w:r>
            <w:r>
              <w:rPr>
                <w:spacing w:val="-14"/>
                <w:sz w:val="22"/>
              </w:rPr>
              <w:t> </w:t>
            </w:r>
            <w:r>
              <w:rPr>
                <w:sz w:val="22"/>
              </w:rPr>
              <w:t>стандартизованного наблюдения детей и подростков из семей мигрантов «Стратегии </w:t>
            </w:r>
            <w:r>
              <w:rPr>
                <w:spacing w:val="-2"/>
                <w:sz w:val="22"/>
              </w:rPr>
              <w:t>адаптации»</w:t>
            </w:r>
          </w:p>
        </w:tc>
        <w:tc>
          <w:tcPr>
            <w:tcW w:w="3113" w:type="dxa"/>
          </w:tcPr>
          <w:p>
            <w:pPr>
              <w:pStyle w:val="TableParagraph"/>
              <w:spacing w:line="270" w:lineRule="exact"/>
              <w:ind w:left="105"/>
              <w:rPr>
                <w:sz w:val="24"/>
              </w:rPr>
            </w:pPr>
            <w:r>
              <w:rPr>
                <w:spacing w:val="-2"/>
                <w:sz w:val="24"/>
              </w:rPr>
              <w:t>Сепарация</w:t>
            </w:r>
          </w:p>
        </w:tc>
        <w:tc>
          <w:tcPr>
            <w:tcW w:w="1721" w:type="dxa"/>
          </w:tcPr>
          <w:p>
            <w:pPr>
              <w:pStyle w:val="TableParagraph"/>
              <w:spacing w:line="270" w:lineRule="exact"/>
              <w:ind w:left="107"/>
              <w:rPr>
                <w:sz w:val="24"/>
              </w:rPr>
            </w:pPr>
            <w:r>
              <w:rPr>
                <w:sz w:val="24"/>
              </w:rPr>
              <w:t>0.6</w:t>
            </w:r>
            <w:r>
              <w:rPr>
                <w:spacing w:val="-2"/>
                <w:sz w:val="24"/>
              </w:rPr>
              <w:t> </w:t>
            </w:r>
            <w:r>
              <w:rPr>
                <w:sz w:val="24"/>
              </w:rPr>
              <w:t>и </w:t>
            </w:r>
            <w:r>
              <w:rPr>
                <w:spacing w:val="-2"/>
                <w:sz w:val="24"/>
              </w:rPr>
              <w:t>менее</w:t>
            </w:r>
          </w:p>
        </w:tc>
        <w:tc>
          <w:tcPr>
            <w:tcW w:w="1648" w:type="dxa"/>
            <w:vMerge w:val="restart"/>
          </w:tcPr>
          <w:p>
            <w:pPr>
              <w:pStyle w:val="TableParagraph"/>
              <w:spacing w:line="270" w:lineRule="exact"/>
              <w:ind w:left="105"/>
              <w:rPr>
                <w:sz w:val="24"/>
              </w:rPr>
            </w:pPr>
            <w:r>
              <w:rPr>
                <w:spacing w:val="-2"/>
                <w:sz w:val="24"/>
              </w:rPr>
              <w:t>Расширенный</w:t>
            </w:r>
          </w:p>
        </w:tc>
      </w:tr>
      <w:tr>
        <w:trPr>
          <w:trHeight w:val="518" w:hRule="atLeast"/>
        </w:trPr>
        <w:tc>
          <w:tcPr>
            <w:tcW w:w="3116" w:type="dxa"/>
            <w:vMerge/>
            <w:tcBorders>
              <w:top w:val="nil"/>
            </w:tcBorders>
          </w:tcPr>
          <w:p>
            <w:pPr>
              <w:rPr>
                <w:sz w:val="2"/>
                <w:szCs w:val="2"/>
              </w:rPr>
            </w:pPr>
          </w:p>
        </w:tc>
        <w:tc>
          <w:tcPr>
            <w:tcW w:w="3113" w:type="dxa"/>
          </w:tcPr>
          <w:p>
            <w:pPr>
              <w:pStyle w:val="TableParagraph"/>
              <w:spacing w:line="273" w:lineRule="exact"/>
              <w:ind w:left="105"/>
              <w:rPr>
                <w:sz w:val="24"/>
              </w:rPr>
            </w:pPr>
            <w:r>
              <w:rPr>
                <w:spacing w:val="-2"/>
                <w:sz w:val="24"/>
              </w:rPr>
              <w:t>Интеграция</w:t>
            </w:r>
          </w:p>
        </w:tc>
        <w:tc>
          <w:tcPr>
            <w:tcW w:w="1721" w:type="dxa"/>
          </w:tcPr>
          <w:p>
            <w:pPr>
              <w:pStyle w:val="TableParagraph"/>
              <w:spacing w:line="273" w:lineRule="exact"/>
              <w:ind w:left="107"/>
              <w:rPr>
                <w:sz w:val="24"/>
              </w:rPr>
            </w:pPr>
            <w:r>
              <w:rPr>
                <w:sz w:val="24"/>
              </w:rPr>
              <w:t>10.5</w:t>
            </w:r>
            <w:r>
              <w:rPr>
                <w:spacing w:val="-2"/>
                <w:sz w:val="24"/>
              </w:rPr>
              <w:t> </w:t>
            </w:r>
            <w:r>
              <w:rPr>
                <w:sz w:val="24"/>
              </w:rPr>
              <w:t>и </w:t>
            </w:r>
            <w:r>
              <w:rPr>
                <w:spacing w:val="-4"/>
                <w:sz w:val="24"/>
              </w:rPr>
              <w:t>выше</w:t>
            </w:r>
          </w:p>
        </w:tc>
        <w:tc>
          <w:tcPr>
            <w:tcW w:w="1648" w:type="dxa"/>
            <w:vMerge/>
            <w:tcBorders>
              <w:top w:val="nil"/>
            </w:tcBorders>
          </w:tcPr>
          <w:p>
            <w:pPr>
              <w:rPr>
                <w:sz w:val="2"/>
                <w:szCs w:val="2"/>
              </w:rPr>
            </w:pPr>
          </w:p>
        </w:tc>
      </w:tr>
      <w:tr>
        <w:trPr>
          <w:trHeight w:val="599" w:hRule="atLeast"/>
        </w:trPr>
        <w:tc>
          <w:tcPr>
            <w:tcW w:w="3116" w:type="dxa"/>
            <w:vMerge/>
            <w:tcBorders>
              <w:top w:val="nil"/>
            </w:tcBorders>
          </w:tcPr>
          <w:p>
            <w:pPr>
              <w:rPr>
                <w:sz w:val="2"/>
                <w:szCs w:val="2"/>
              </w:rPr>
            </w:pPr>
          </w:p>
        </w:tc>
        <w:tc>
          <w:tcPr>
            <w:tcW w:w="3113" w:type="dxa"/>
          </w:tcPr>
          <w:p>
            <w:pPr>
              <w:pStyle w:val="TableParagraph"/>
              <w:spacing w:line="270" w:lineRule="exact"/>
              <w:ind w:left="105"/>
              <w:rPr>
                <w:sz w:val="24"/>
              </w:rPr>
            </w:pPr>
            <w:r>
              <w:rPr>
                <w:spacing w:val="-2"/>
                <w:sz w:val="24"/>
              </w:rPr>
              <w:t>Маргинализация</w:t>
            </w:r>
          </w:p>
        </w:tc>
        <w:tc>
          <w:tcPr>
            <w:tcW w:w="1721" w:type="dxa"/>
          </w:tcPr>
          <w:p>
            <w:pPr>
              <w:pStyle w:val="TableParagraph"/>
              <w:spacing w:line="270" w:lineRule="exact"/>
              <w:ind w:left="107"/>
              <w:rPr>
                <w:sz w:val="24"/>
              </w:rPr>
            </w:pPr>
            <w:r>
              <w:rPr>
                <w:sz w:val="24"/>
              </w:rPr>
              <w:t>0.5</w:t>
            </w:r>
            <w:r>
              <w:rPr>
                <w:spacing w:val="-2"/>
                <w:sz w:val="24"/>
              </w:rPr>
              <w:t> </w:t>
            </w:r>
            <w:r>
              <w:rPr>
                <w:sz w:val="24"/>
              </w:rPr>
              <w:t>и </w:t>
            </w:r>
            <w:r>
              <w:rPr>
                <w:spacing w:val="-2"/>
                <w:sz w:val="24"/>
              </w:rPr>
              <w:t>менее</w:t>
            </w:r>
          </w:p>
        </w:tc>
        <w:tc>
          <w:tcPr>
            <w:tcW w:w="1648" w:type="dxa"/>
            <w:vMerge/>
            <w:tcBorders>
              <w:top w:val="nil"/>
            </w:tcBorders>
          </w:tcPr>
          <w:p>
            <w:pPr>
              <w:rPr>
                <w:sz w:val="2"/>
                <w:szCs w:val="2"/>
              </w:rPr>
            </w:pPr>
          </w:p>
        </w:tc>
      </w:tr>
      <w:tr>
        <w:trPr>
          <w:trHeight w:val="835" w:hRule="atLeast"/>
        </w:trPr>
        <w:tc>
          <w:tcPr>
            <w:tcW w:w="3116" w:type="dxa"/>
            <w:vMerge w:val="restart"/>
          </w:tcPr>
          <w:p>
            <w:pPr>
              <w:pStyle w:val="TableParagraph"/>
              <w:spacing w:line="278" w:lineRule="auto"/>
              <w:ind w:left="107" w:right="845"/>
              <w:rPr>
                <w:sz w:val="24"/>
              </w:rPr>
            </w:pPr>
            <w:r>
              <w:rPr>
                <w:sz w:val="24"/>
              </w:rPr>
              <w:t>Методика оценки социальных</w:t>
            </w:r>
            <w:r>
              <w:rPr>
                <w:spacing w:val="-15"/>
                <w:sz w:val="24"/>
              </w:rPr>
              <w:t> </w:t>
            </w:r>
            <w:r>
              <w:rPr>
                <w:sz w:val="24"/>
              </w:rPr>
              <w:t>навыков</w:t>
            </w:r>
          </w:p>
        </w:tc>
        <w:tc>
          <w:tcPr>
            <w:tcW w:w="3113" w:type="dxa"/>
          </w:tcPr>
          <w:p>
            <w:pPr>
              <w:pStyle w:val="TableParagraph"/>
              <w:spacing w:line="278" w:lineRule="auto"/>
              <w:ind w:left="105"/>
              <w:rPr>
                <w:sz w:val="24"/>
              </w:rPr>
            </w:pPr>
            <w:r>
              <w:rPr>
                <w:sz w:val="24"/>
              </w:rPr>
              <w:t>Поведение</w:t>
            </w:r>
            <w:r>
              <w:rPr>
                <w:spacing w:val="-15"/>
                <w:sz w:val="24"/>
              </w:rPr>
              <w:t> </w:t>
            </w:r>
            <w:r>
              <w:rPr>
                <w:sz w:val="24"/>
              </w:rPr>
              <w:t>в</w:t>
            </w:r>
            <w:r>
              <w:rPr>
                <w:spacing w:val="-15"/>
                <w:sz w:val="24"/>
              </w:rPr>
              <w:t> </w:t>
            </w:r>
            <w:r>
              <w:rPr>
                <w:sz w:val="24"/>
              </w:rPr>
              <w:t>учебной </w:t>
            </w:r>
            <w:r>
              <w:rPr>
                <w:spacing w:val="-2"/>
                <w:sz w:val="24"/>
              </w:rPr>
              <w:t>ситуации</w:t>
            </w:r>
          </w:p>
        </w:tc>
        <w:tc>
          <w:tcPr>
            <w:tcW w:w="1721" w:type="dxa"/>
          </w:tcPr>
          <w:p>
            <w:pPr>
              <w:pStyle w:val="TableParagraph"/>
              <w:spacing w:line="270" w:lineRule="exact"/>
              <w:ind w:left="107"/>
              <w:rPr>
                <w:sz w:val="24"/>
              </w:rPr>
            </w:pPr>
            <w:r>
              <w:rPr>
                <w:sz w:val="24"/>
              </w:rPr>
              <w:t>2,2 и </w:t>
            </w:r>
            <w:r>
              <w:rPr>
                <w:spacing w:val="-4"/>
                <w:sz w:val="24"/>
              </w:rPr>
              <w:t>выше</w:t>
            </w:r>
          </w:p>
        </w:tc>
        <w:tc>
          <w:tcPr>
            <w:tcW w:w="1648" w:type="dxa"/>
            <w:vMerge/>
            <w:tcBorders>
              <w:top w:val="nil"/>
            </w:tcBorders>
          </w:tcPr>
          <w:p>
            <w:pPr>
              <w:rPr>
                <w:sz w:val="2"/>
                <w:szCs w:val="2"/>
              </w:rPr>
            </w:pPr>
          </w:p>
        </w:tc>
      </w:tr>
      <w:tr>
        <w:trPr>
          <w:trHeight w:val="834" w:hRule="atLeast"/>
        </w:trPr>
        <w:tc>
          <w:tcPr>
            <w:tcW w:w="3116" w:type="dxa"/>
            <w:vMerge/>
            <w:tcBorders>
              <w:top w:val="nil"/>
            </w:tcBorders>
          </w:tcPr>
          <w:p>
            <w:pPr>
              <w:rPr>
                <w:sz w:val="2"/>
                <w:szCs w:val="2"/>
              </w:rPr>
            </w:pPr>
          </w:p>
        </w:tc>
        <w:tc>
          <w:tcPr>
            <w:tcW w:w="3113" w:type="dxa"/>
          </w:tcPr>
          <w:p>
            <w:pPr>
              <w:pStyle w:val="TableParagraph"/>
              <w:spacing w:line="278" w:lineRule="auto"/>
              <w:ind w:left="105" w:right="1148"/>
              <w:rPr>
                <w:sz w:val="24"/>
              </w:rPr>
            </w:pPr>
            <w:r>
              <w:rPr>
                <w:sz w:val="24"/>
              </w:rPr>
              <w:t>Взаимодействие</w:t>
            </w:r>
            <w:r>
              <w:rPr>
                <w:spacing w:val="-15"/>
                <w:sz w:val="24"/>
              </w:rPr>
              <w:t> </w:t>
            </w:r>
            <w:r>
              <w:rPr>
                <w:sz w:val="24"/>
              </w:rPr>
              <w:t>с </w:t>
            </w:r>
            <w:r>
              <w:rPr>
                <w:spacing w:val="-2"/>
                <w:sz w:val="24"/>
              </w:rPr>
              <w:t>ровесниками</w:t>
            </w:r>
          </w:p>
        </w:tc>
        <w:tc>
          <w:tcPr>
            <w:tcW w:w="1721" w:type="dxa"/>
          </w:tcPr>
          <w:p>
            <w:pPr>
              <w:pStyle w:val="TableParagraph"/>
              <w:spacing w:line="270" w:lineRule="exact"/>
              <w:ind w:left="107"/>
              <w:rPr>
                <w:sz w:val="24"/>
              </w:rPr>
            </w:pPr>
            <w:r>
              <w:rPr>
                <w:sz w:val="24"/>
              </w:rPr>
              <w:t>2,2 и </w:t>
            </w:r>
            <w:r>
              <w:rPr>
                <w:spacing w:val="-4"/>
                <w:sz w:val="24"/>
              </w:rPr>
              <w:t>выше</w:t>
            </w:r>
          </w:p>
        </w:tc>
        <w:tc>
          <w:tcPr>
            <w:tcW w:w="1648" w:type="dxa"/>
            <w:vMerge/>
            <w:tcBorders>
              <w:top w:val="nil"/>
            </w:tcBorders>
          </w:tcPr>
          <w:p>
            <w:pPr>
              <w:rPr>
                <w:sz w:val="2"/>
                <w:szCs w:val="2"/>
              </w:rPr>
            </w:pPr>
          </w:p>
        </w:tc>
      </w:tr>
      <w:tr>
        <w:trPr>
          <w:trHeight w:val="834" w:hRule="atLeast"/>
        </w:trPr>
        <w:tc>
          <w:tcPr>
            <w:tcW w:w="3116" w:type="dxa"/>
            <w:vMerge/>
            <w:tcBorders>
              <w:top w:val="nil"/>
            </w:tcBorders>
          </w:tcPr>
          <w:p>
            <w:pPr>
              <w:rPr>
                <w:sz w:val="2"/>
                <w:szCs w:val="2"/>
              </w:rPr>
            </w:pPr>
          </w:p>
        </w:tc>
        <w:tc>
          <w:tcPr>
            <w:tcW w:w="3113" w:type="dxa"/>
          </w:tcPr>
          <w:p>
            <w:pPr>
              <w:pStyle w:val="TableParagraph"/>
              <w:spacing w:line="278" w:lineRule="auto"/>
              <w:ind w:left="105" w:right="994"/>
              <w:rPr>
                <w:sz w:val="24"/>
              </w:rPr>
            </w:pPr>
            <w:r>
              <w:rPr>
                <w:sz w:val="24"/>
              </w:rPr>
              <w:t>Взаимодействие</w:t>
            </w:r>
            <w:r>
              <w:rPr>
                <w:spacing w:val="-6"/>
                <w:sz w:val="24"/>
              </w:rPr>
              <w:t> </w:t>
            </w:r>
            <w:r>
              <w:rPr>
                <w:sz w:val="24"/>
              </w:rPr>
              <w:t>со взрослыми</w:t>
            </w:r>
            <w:r>
              <w:rPr>
                <w:spacing w:val="-1"/>
                <w:sz w:val="24"/>
              </w:rPr>
              <w:t> </w:t>
            </w:r>
            <w:r>
              <w:rPr>
                <w:sz w:val="24"/>
              </w:rPr>
              <w:t>в</w:t>
            </w:r>
            <w:r>
              <w:rPr>
                <w:spacing w:val="-2"/>
                <w:sz w:val="24"/>
              </w:rPr>
              <w:t> </w:t>
            </w:r>
            <w:r>
              <w:rPr>
                <w:spacing w:val="-2"/>
                <w:sz w:val="24"/>
              </w:rPr>
              <w:t>школе</w:t>
            </w:r>
          </w:p>
        </w:tc>
        <w:tc>
          <w:tcPr>
            <w:tcW w:w="1721" w:type="dxa"/>
          </w:tcPr>
          <w:p>
            <w:pPr>
              <w:pStyle w:val="TableParagraph"/>
              <w:spacing w:line="270" w:lineRule="exact"/>
              <w:ind w:left="107"/>
              <w:rPr>
                <w:sz w:val="24"/>
              </w:rPr>
            </w:pPr>
            <w:r>
              <w:rPr>
                <w:sz w:val="24"/>
              </w:rPr>
              <w:t>2,5 и </w:t>
            </w:r>
            <w:r>
              <w:rPr>
                <w:spacing w:val="-4"/>
                <w:sz w:val="24"/>
              </w:rPr>
              <w:t>выше</w:t>
            </w:r>
          </w:p>
        </w:tc>
        <w:tc>
          <w:tcPr>
            <w:tcW w:w="1648" w:type="dxa"/>
            <w:vMerge/>
            <w:tcBorders>
              <w:top w:val="nil"/>
            </w:tcBorders>
          </w:tcPr>
          <w:p>
            <w:pPr>
              <w:rPr>
                <w:sz w:val="2"/>
                <w:szCs w:val="2"/>
              </w:rPr>
            </w:pPr>
          </w:p>
        </w:tc>
      </w:tr>
      <w:tr>
        <w:trPr>
          <w:trHeight w:val="518" w:hRule="atLeast"/>
        </w:trPr>
        <w:tc>
          <w:tcPr>
            <w:tcW w:w="3116" w:type="dxa"/>
          </w:tcPr>
          <w:p>
            <w:pPr>
              <w:pStyle w:val="TableParagraph"/>
              <w:spacing w:line="247" w:lineRule="exact"/>
              <w:ind w:left="107"/>
              <w:rPr>
                <w:sz w:val="22"/>
              </w:rPr>
            </w:pPr>
            <w:r>
              <w:rPr>
                <w:sz w:val="22"/>
              </w:rPr>
              <w:t>Опросник</w:t>
            </w:r>
            <w:r>
              <w:rPr>
                <w:spacing w:val="-6"/>
                <w:sz w:val="22"/>
              </w:rPr>
              <w:t> </w:t>
            </w:r>
            <w:r>
              <w:rPr>
                <w:spacing w:val="-2"/>
                <w:sz w:val="22"/>
              </w:rPr>
              <w:t>Ахенбаха</w:t>
            </w:r>
          </w:p>
        </w:tc>
        <w:tc>
          <w:tcPr>
            <w:tcW w:w="3113" w:type="dxa"/>
          </w:tcPr>
          <w:p>
            <w:pPr>
              <w:pStyle w:val="TableParagraph"/>
              <w:spacing w:line="270" w:lineRule="exact"/>
              <w:ind w:left="105"/>
              <w:rPr>
                <w:sz w:val="24"/>
              </w:rPr>
            </w:pPr>
            <w:r>
              <w:rPr>
                <w:sz w:val="24"/>
              </w:rPr>
              <w:t>Проблемы</w:t>
            </w:r>
            <w:r>
              <w:rPr>
                <w:spacing w:val="-2"/>
                <w:sz w:val="24"/>
              </w:rPr>
              <w:t> интернализации</w:t>
            </w:r>
          </w:p>
        </w:tc>
        <w:tc>
          <w:tcPr>
            <w:tcW w:w="1721" w:type="dxa"/>
          </w:tcPr>
          <w:p>
            <w:pPr>
              <w:pStyle w:val="TableParagraph"/>
              <w:spacing w:line="270" w:lineRule="exact"/>
              <w:ind w:left="107"/>
              <w:rPr>
                <w:sz w:val="24"/>
              </w:rPr>
            </w:pPr>
            <w:r>
              <w:rPr>
                <w:sz w:val="24"/>
              </w:rPr>
              <w:t>7 и </w:t>
            </w:r>
            <w:r>
              <w:rPr>
                <w:spacing w:val="-4"/>
                <w:sz w:val="24"/>
              </w:rPr>
              <w:t>ниже</w:t>
            </w:r>
          </w:p>
        </w:tc>
        <w:tc>
          <w:tcPr>
            <w:tcW w:w="1648" w:type="dxa"/>
            <w:vMerge/>
            <w:tcBorders>
              <w:top w:val="nil"/>
            </w:tcBorders>
          </w:tcPr>
          <w:p>
            <w:pPr>
              <w:rPr>
                <w:sz w:val="2"/>
                <w:szCs w:val="2"/>
              </w:rPr>
            </w:pPr>
          </w:p>
        </w:tc>
      </w:tr>
      <w:tr>
        <w:trPr>
          <w:trHeight w:val="1151" w:hRule="atLeast"/>
        </w:trPr>
        <w:tc>
          <w:tcPr>
            <w:tcW w:w="3116" w:type="dxa"/>
          </w:tcPr>
          <w:p>
            <w:pPr>
              <w:pStyle w:val="TableParagraph"/>
              <w:spacing w:line="276" w:lineRule="auto"/>
              <w:ind w:left="107" w:right="144"/>
              <w:rPr>
                <w:sz w:val="24"/>
              </w:rPr>
            </w:pPr>
            <w:r>
              <w:rPr>
                <w:sz w:val="24"/>
              </w:rPr>
              <w:t>Многомерная шкала удовлетворенности</w:t>
            </w:r>
            <w:r>
              <w:rPr>
                <w:spacing w:val="-15"/>
                <w:sz w:val="24"/>
              </w:rPr>
              <w:t> </w:t>
            </w:r>
            <w:r>
              <w:rPr>
                <w:sz w:val="24"/>
              </w:rPr>
              <w:t>жизнью школьников ШУДЖИ</w:t>
            </w:r>
          </w:p>
        </w:tc>
        <w:tc>
          <w:tcPr>
            <w:tcW w:w="3113" w:type="dxa"/>
          </w:tcPr>
          <w:p>
            <w:pPr>
              <w:pStyle w:val="TableParagraph"/>
              <w:spacing w:line="276" w:lineRule="auto"/>
              <w:ind w:left="105" w:right="112"/>
              <w:rPr>
                <w:sz w:val="24"/>
              </w:rPr>
            </w:pPr>
            <w:r>
              <w:rPr>
                <w:sz w:val="24"/>
              </w:rPr>
              <w:t>Удовлетворенность</w:t>
            </w:r>
            <w:r>
              <w:rPr>
                <w:spacing w:val="-15"/>
                <w:sz w:val="24"/>
              </w:rPr>
              <w:t> </w:t>
            </w:r>
            <w:r>
              <w:rPr>
                <w:sz w:val="24"/>
              </w:rPr>
              <w:t>жизнью (общий показатель)</w:t>
            </w:r>
          </w:p>
        </w:tc>
        <w:tc>
          <w:tcPr>
            <w:tcW w:w="1721" w:type="dxa"/>
          </w:tcPr>
          <w:p>
            <w:pPr>
              <w:pStyle w:val="TableParagraph"/>
              <w:spacing w:line="270" w:lineRule="exact"/>
              <w:ind w:left="107"/>
              <w:rPr>
                <w:sz w:val="24"/>
              </w:rPr>
            </w:pPr>
            <w:r>
              <w:rPr>
                <w:sz w:val="24"/>
              </w:rPr>
              <w:t>122</w:t>
            </w:r>
            <w:r>
              <w:rPr>
                <w:spacing w:val="-2"/>
                <w:sz w:val="24"/>
              </w:rPr>
              <w:t> </w:t>
            </w:r>
            <w:r>
              <w:rPr>
                <w:sz w:val="24"/>
              </w:rPr>
              <w:t>и </w:t>
            </w:r>
            <w:r>
              <w:rPr>
                <w:spacing w:val="-4"/>
                <w:sz w:val="24"/>
              </w:rPr>
              <w:t>выше</w:t>
            </w:r>
          </w:p>
        </w:tc>
        <w:tc>
          <w:tcPr>
            <w:tcW w:w="1648" w:type="dxa"/>
            <w:vMerge/>
            <w:tcBorders>
              <w:top w:val="nil"/>
            </w:tcBorders>
          </w:tcPr>
          <w:p>
            <w:pPr>
              <w:rPr>
                <w:sz w:val="2"/>
                <w:szCs w:val="2"/>
              </w:rPr>
            </w:pPr>
          </w:p>
        </w:tc>
      </w:tr>
      <w:tr>
        <w:trPr>
          <w:trHeight w:val="1154" w:hRule="atLeast"/>
        </w:trPr>
        <w:tc>
          <w:tcPr>
            <w:tcW w:w="3116" w:type="dxa"/>
          </w:tcPr>
          <w:p>
            <w:pPr>
              <w:pStyle w:val="TableParagraph"/>
              <w:spacing w:line="276" w:lineRule="auto"/>
              <w:ind w:left="107"/>
              <w:rPr>
                <w:sz w:val="24"/>
              </w:rPr>
            </w:pPr>
            <w:r>
              <w:rPr>
                <w:sz w:val="24"/>
              </w:rPr>
              <w:t>Детский тест </w:t>
            </w:r>
            <w:r>
              <w:rPr>
                <w:spacing w:val="-2"/>
                <w:sz w:val="24"/>
              </w:rPr>
              <w:t>психологической устойчивости</w:t>
            </w:r>
          </w:p>
        </w:tc>
        <w:tc>
          <w:tcPr>
            <w:tcW w:w="3113" w:type="dxa"/>
          </w:tcPr>
          <w:p>
            <w:pPr>
              <w:pStyle w:val="TableParagraph"/>
              <w:spacing w:line="276" w:lineRule="auto"/>
              <w:ind w:left="105" w:right="786"/>
              <w:rPr>
                <w:sz w:val="24"/>
              </w:rPr>
            </w:pPr>
            <w:r>
              <w:rPr>
                <w:spacing w:val="-2"/>
                <w:sz w:val="24"/>
              </w:rPr>
              <w:t>Психологическая </w:t>
            </w:r>
            <w:r>
              <w:rPr>
                <w:sz w:val="24"/>
              </w:rPr>
              <w:t>устойчивость</w:t>
            </w:r>
            <w:r>
              <w:rPr>
                <w:spacing w:val="-15"/>
                <w:sz w:val="24"/>
              </w:rPr>
              <w:t> </w:t>
            </w:r>
            <w:r>
              <w:rPr>
                <w:sz w:val="24"/>
              </w:rPr>
              <w:t>(общий </w:t>
            </w:r>
            <w:r>
              <w:rPr>
                <w:spacing w:val="-2"/>
                <w:sz w:val="24"/>
              </w:rPr>
              <w:t>показатель)</w:t>
            </w:r>
          </w:p>
        </w:tc>
        <w:tc>
          <w:tcPr>
            <w:tcW w:w="1721" w:type="dxa"/>
          </w:tcPr>
          <w:p>
            <w:pPr>
              <w:pStyle w:val="TableParagraph"/>
              <w:spacing w:line="270" w:lineRule="exact"/>
              <w:ind w:left="107"/>
              <w:rPr>
                <w:sz w:val="24"/>
              </w:rPr>
            </w:pPr>
            <w:r>
              <w:rPr>
                <w:sz w:val="24"/>
              </w:rPr>
              <w:t>75 и </w:t>
            </w:r>
            <w:r>
              <w:rPr>
                <w:spacing w:val="-4"/>
                <w:sz w:val="24"/>
              </w:rPr>
              <w:t>выше</w:t>
            </w:r>
          </w:p>
        </w:tc>
        <w:tc>
          <w:tcPr>
            <w:tcW w:w="1648" w:type="dxa"/>
            <w:vMerge/>
            <w:tcBorders>
              <w:top w:val="nil"/>
            </w:tcBorders>
          </w:tcPr>
          <w:p>
            <w:pPr>
              <w:rPr>
                <w:sz w:val="2"/>
                <w:szCs w:val="2"/>
              </w:rPr>
            </w:pPr>
          </w:p>
        </w:tc>
      </w:tr>
    </w:tbl>
    <w:p>
      <w:pPr>
        <w:pStyle w:val="BodyText"/>
        <w:spacing w:before="207"/>
        <w:ind w:left="0" w:right="0" w:firstLine="0"/>
        <w:jc w:val="left"/>
        <w:rPr>
          <w:b/>
          <w:sz w:val="28"/>
        </w:rPr>
      </w:pPr>
    </w:p>
    <w:p>
      <w:pPr>
        <w:pStyle w:val="Heading4"/>
        <w:ind w:right="563" w:firstLine="707"/>
      </w:pPr>
      <w:r>
        <w:rPr/>
        <w:t>Психолог может сопоставить результаты диагностики ребенка (полученные согласно инструкциям в инструментарии) и числовые маркеры профилей из таблиц выше. Все данные которые находятся между показателями</w:t>
      </w:r>
      <w:r>
        <w:rPr>
          <w:spacing w:val="-18"/>
        </w:rPr>
        <w:t> </w:t>
      </w:r>
      <w:r>
        <w:rPr/>
        <w:t>Интеграционного</w:t>
      </w:r>
      <w:r>
        <w:rPr>
          <w:spacing w:val="-17"/>
        </w:rPr>
        <w:t> </w:t>
      </w:r>
      <w:r>
        <w:rPr/>
        <w:t>и</w:t>
      </w:r>
      <w:r>
        <w:rPr>
          <w:spacing w:val="-18"/>
        </w:rPr>
        <w:t> </w:t>
      </w:r>
      <w:r>
        <w:rPr/>
        <w:t>Дезадаптивного</w:t>
      </w:r>
      <w:r>
        <w:rPr>
          <w:spacing w:val="-17"/>
        </w:rPr>
        <w:t> </w:t>
      </w:r>
      <w:r>
        <w:rPr/>
        <w:t>профиля</w:t>
      </w:r>
      <w:r>
        <w:rPr>
          <w:spacing w:val="-18"/>
        </w:rPr>
        <w:t> </w:t>
      </w:r>
      <w:r>
        <w:rPr/>
        <w:t>интерпретируются как соответствие Смешанному профилю.</w:t>
      </w:r>
    </w:p>
    <w:p>
      <w:pPr>
        <w:pStyle w:val="Heading4"/>
        <w:spacing w:before="1"/>
        <w:ind w:right="569" w:firstLine="707"/>
      </w:pPr>
      <w:r>
        <w:rPr/>
        <w:t>Таким образом психолог может сделать вывод о том, насколько </w:t>
      </w:r>
      <w:r>
        <w:rPr>
          <w:spacing w:val="-2"/>
        </w:rPr>
        <w:t>результаты</w:t>
      </w:r>
      <w:r>
        <w:rPr>
          <w:spacing w:val="-3"/>
        </w:rPr>
        <w:t> </w:t>
      </w:r>
      <w:r>
        <w:rPr>
          <w:spacing w:val="-2"/>
        </w:rPr>
        <w:t>диагностики</w:t>
      </w:r>
      <w:r>
        <w:rPr>
          <w:spacing w:val="-7"/>
        </w:rPr>
        <w:t> </w:t>
      </w:r>
      <w:r>
        <w:rPr>
          <w:spacing w:val="-2"/>
        </w:rPr>
        <w:t>ребенка</w:t>
      </w:r>
      <w:r>
        <w:rPr>
          <w:spacing w:val="-3"/>
        </w:rPr>
        <w:t> </w:t>
      </w:r>
      <w:r>
        <w:rPr>
          <w:spacing w:val="-2"/>
        </w:rPr>
        <w:t>соответствуют средним</w:t>
      </w:r>
      <w:r>
        <w:rPr>
          <w:spacing w:val="-7"/>
        </w:rPr>
        <w:t> </w:t>
      </w:r>
      <w:r>
        <w:rPr>
          <w:spacing w:val="-2"/>
        </w:rPr>
        <w:t>показателям</w:t>
      </w:r>
      <w:r>
        <w:rPr>
          <w:spacing w:val="-3"/>
        </w:rPr>
        <w:t> </w:t>
      </w:r>
      <w:r>
        <w:rPr>
          <w:spacing w:val="-2"/>
        </w:rPr>
        <w:t>того</w:t>
      </w:r>
      <w:r>
        <w:rPr>
          <w:spacing w:val="-5"/>
        </w:rPr>
        <w:t> </w:t>
      </w:r>
      <w:r>
        <w:rPr>
          <w:spacing w:val="-2"/>
        </w:rPr>
        <w:t>или </w:t>
      </w:r>
      <w:r>
        <w:rPr/>
        <w:t>иного профиля.</w:t>
      </w:r>
    </w:p>
    <w:p>
      <w:pPr>
        <w:pStyle w:val="Heading4"/>
        <w:ind w:right="561" w:firstLine="707"/>
      </w:pPr>
      <w:r>
        <w:rPr/>
        <w:t>Если по результатам диагностики с помощью базового компонента ребенок показал как минимум 1 соответствие дезадаптивному профилю, в этом случае показана углублённая диагностика с помощью расширенного </w:t>
      </w:r>
      <w:r>
        <w:rPr>
          <w:spacing w:val="-2"/>
        </w:rPr>
        <w:t>пакета.</w:t>
      </w:r>
    </w:p>
    <w:p>
      <w:pPr>
        <w:pStyle w:val="Heading4"/>
        <w:spacing w:before="1"/>
        <w:ind w:right="564" w:firstLine="707"/>
      </w:pPr>
      <w:r>
        <w:rPr/>
        <w:t>По ее результатам, даже если большинство показателей ребенка находятся</w:t>
      </w:r>
      <w:r>
        <w:rPr>
          <w:spacing w:val="-1"/>
        </w:rPr>
        <w:t> </w:t>
      </w:r>
      <w:r>
        <w:rPr/>
        <w:t>на</w:t>
      </w:r>
      <w:r>
        <w:rPr>
          <w:spacing w:val="-3"/>
        </w:rPr>
        <w:t> </w:t>
      </w:r>
      <w:r>
        <w:rPr/>
        <w:t>среднем</w:t>
      </w:r>
      <w:r>
        <w:rPr>
          <w:spacing w:val="-2"/>
        </w:rPr>
        <w:t> </w:t>
      </w:r>
      <w:r>
        <w:rPr/>
        <w:t>уровне</w:t>
      </w:r>
      <w:r>
        <w:rPr>
          <w:spacing w:val="-1"/>
        </w:rPr>
        <w:t> </w:t>
      </w:r>
      <w:r>
        <w:rPr/>
        <w:t>(см.</w:t>
      </w:r>
      <w:r>
        <w:rPr>
          <w:spacing w:val="-4"/>
        </w:rPr>
        <w:t> </w:t>
      </w:r>
      <w:r>
        <w:rPr/>
        <w:t>показатели</w:t>
      </w:r>
      <w:r>
        <w:rPr>
          <w:spacing w:val="-2"/>
        </w:rPr>
        <w:t> </w:t>
      </w:r>
      <w:r>
        <w:rPr/>
        <w:t>обработки</w:t>
      </w:r>
      <w:r>
        <w:rPr>
          <w:spacing w:val="-2"/>
        </w:rPr>
        <w:t> </w:t>
      </w:r>
      <w:r>
        <w:rPr/>
        <w:t>отдельных</w:t>
      </w:r>
      <w:r>
        <w:rPr>
          <w:spacing w:val="-1"/>
        </w:rPr>
        <w:t> </w:t>
      </w:r>
      <w:r>
        <w:rPr/>
        <w:t>методик</w:t>
      </w:r>
      <w:r>
        <w:rPr>
          <w:spacing w:val="-1"/>
        </w:rPr>
        <w:t> </w:t>
      </w:r>
      <w:r>
        <w:rPr/>
        <w:t>в инструментарии)</w:t>
      </w:r>
      <w:r>
        <w:rPr>
          <w:spacing w:val="-15"/>
        </w:rPr>
        <w:t> </w:t>
      </w:r>
      <w:r>
        <w:rPr/>
        <w:t>но</w:t>
      </w:r>
      <w:r>
        <w:rPr>
          <w:spacing w:val="-13"/>
        </w:rPr>
        <w:t> </w:t>
      </w:r>
      <w:r>
        <w:rPr/>
        <w:t>соответствуют</w:t>
      </w:r>
      <w:r>
        <w:rPr>
          <w:spacing w:val="-13"/>
        </w:rPr>
        <w:t> </w:t>
      </w:r>
      <w:r>
        <w:rPr/>
        <w:t>6</w:t>
      </w:r>
      <w:r>
        <w:rPr>
          <w:spacing w:val="-11"/>
        </w:rPr>
        <w:t> </w:t>
      </w:r>
      <w:r>
        <w:rPr/>
        <w:t>из</w:t>
      </w:r>
      <w:r>
        <w:rPr>
          <w:spacing w:val="-11"/>
        </w:rPr>
        <w:t> </w:t>
      </w:r>
      <w:r>
        <w:rPr/>
        <w:t>8</w:t>
      </w:r>
      <w:r>
        <w:rPr>
          <w:spacing w:val="-12"/>
        </w:rPr>
        <w:t> </w:t>
      </w:r>
      <w:r>
        <w:rPr/>
        <w:t>числовым</w:t>
      </w:r>
      <w:r>
        <w:rPr>
          <w:spacing w:val="-12"/>
        </w:rPr>
        <w:t> </w:t>
      </w:r>
      <w:r>
        <w:rPr/>
        <w:t>маркерам</w:t>
      </w:r>
      <w:r>
        <w:rPr>
          <w:spacing w:val="-12"/>
        </w:rPr>
        <w:t> </w:t>
      </w:r>
      <w:r>
        <w:rPr>
          <w:spacing w:val="-2"/>
        </w:rPr>
        <w:t>дезадаптивного</w:t>
      </w:r>
    </w:p>
    <w:p>
      <w:pPr>
        <w:pStyle w:val="Heading4"/>
        <w:spacing w:after="0"/>
        <w:sectPr>
          <w:type w:val="continuous"/>
          <w:pgSz w:w="11910" w:h="16840"/>
          <w:pgMar w:header="0" w:footer="970" w:top="1100" w:bottom="1220" w:left="1417" w:right="283"/>
        </w:sectPr>
      </w:pPr>
    </w:p>
    <w:p>
      <w:pPr>
        <w:pStyle w:val="Heading4"/>
        <w:spacing w:line="242" w:lineRule="auto" w:before="67"/>
        <w:ind w:right="560"/>
      </w:pPr>
      <w:r>
        <w:rPr/>
        <w:t>профиля – необходима углубленная работа по психолого-педагогическому сопровождению ребенка.</w:t>
      </w:r>
    </w:p>
    <w:p>
      <w:pPr>
        <w:pStyle w:val="Heading4"/>
        <w:ind w:right="559" w:firstLine="707"/>
      </w:pPr>
      <w:r>
        <w:rPr/>
        <w:t>В то же время, достижение большинства показателей -маркеров интеграционно-адаптивного профиля является критерием успешной адаптации ребенка-иностранного гражданина в образовательной среде.</w:t>
      </w:r>
    </w:p>
    <w:p>
      <w:pPr>
        <w:spacing w:line="640" w:lineRule="atLeast" w:before="253"/>
        <w:ind w:left="993" w:right="564" w:firstLine="0"/>
        <w:jc w:val="both"/>
        <w:rPr>
          <w:sz w:val="28"/>
        </w:rPr>
      </w:pPr>
      <w:r>
        <w:rPr>
          <w:b/>
          <w:sz w:val="28"/>
        </w:rPr>
        <w:t>Старшая и средняя школа: аккультурационные профили 1.Интеграционный</w:t>
      </w:r>
      <w:r>
        <w:rPr>
          <w:b/>
          <w:spacing w:val="54"/>
          <w:sz w:val="28"/>
        </w:rPr>
        <w:t> </w:t>
      </w:r>
      <w:r>
        <w:rPr>
          <w:b/>
          <w:sz w:val="28"/>
        </w:rPr>
        <w:t>профиль.</w:t>
      </w:r>
      <w:r>
        <w:rPr>
          <w:b/>
          <w:spacing w:val="60"/>
          <w:sz w:val="28"/>
        </w:rPr>
        <w:t> </w:t>
      </w:r>
      <w:r>
        <w:rPr>
          <w:sz w:val="28"/>
        </w:rPr>
        <w:t>Обучающиеся,</w:t>
      </w:r>
      <w:r>
        <w:rPr>
          <w:spacing w:val="57"/>
          <w:sz w:val="28"/>
        </w:rPr>
        <w:t> </w:t>
      </w:r>
      <w:r>
        <w:rPr>
          <w:sz w:val="28"/>
        </w:rPr>
        <w:t>относящиеся</w:t>
      </w:r>
      <w:r>
        <w:rPr>
          <w:spacing w:val="59"/>
          <w:sz w:val="28"/>
        </w:rPr>
        <w:t> </w:t>
      </w:r>
      <w:r>
        <w:rPr>
          <w:sz w:val="28"/>
        </w:rPr>
        <w:t>к</w:t>
      </w:r>
      <w:r>
        <w:rPr>
          <w:spacing w:val="58"/>
          <w:sz w:val="28"/>
        </w:rPr>
        <w:t> </w:t>
      </w:r>
      <w:r>
        <w:rPr>
          <w:spacing w:val="-2"/>
          <w:sz w:val="28"/>
        </w:rPr>
        <w:t>данном</w:t>
      </w:r>
    </w:p>
    <w:p>
      <w:pPr>
        <w:pStyle w:val="Heading4"/>
        <w:spacing w:line="320" w:lineRule="exact"/>
      </w:pPr>
      <w:r>
        <w:rPr/>
        <w:t>профилю</w:t>
      </w:r>
      <w:r>
        <w:rPr>
          <w:spacing w:val="-6"/>
        </w:rPr>
        <w:t> </w:t>
      </w:r>
      <w:r>
        <w:rPr>
          <w:spacing w:val="-2"/>
        </w:rPr>
        <w:t>характеризуются:</w:t>
      </w:r>
    </w:p>
    <w:p>
      <w:pPr>
        <w:pStyle w:val="Heading4"/>
        <w:tabs>
          <w:tab w:pos="3100" w:val="left" w:leader="none"/>
          <w:tab w:pos="5561" w:val="left" w:leader="none"/>
          <w:tab w:pos="8626" w:val="left" w:leader="none"/>
        </w:tabs>
        <w:spacing w:before="2"/>
        <w:ind w:right="567" w:firstLine="707"/>
      </w:pPr>
      <w:r>
        <w:rPr/>
        <w:t>А) По отношению к остальным профилям (Смешанному и Дезадаптивному): более высокими показателями культурной адаптации, </w:t>
      </w:r>
      <w:r>
        <w:rPr>
          <w:spacing w:val="-2"/>
        </w:rPr>
        <w:t>психологической</w:t>
      </w:r>
      <w:r>
        <w:rPr/>
        <w:tab/>
      </w:r>
      <w:r>
        <w:rPr>
          <w:spacing w:val="-2"/>
        </w:rPr>
        <w:t>устойчивости,</w:t>
      </w:r>
      <w:r>
        <w:rPr/>
        <w:tab/>
      </w:r>
      <w:r>
        <w:rPr>
          <w:spacing w:val="-2"/>
        </w:rPr>
        <w:t>удовлетворенности</w:t>
      </w:r>
      <w:r>
        <w:rPr/>
        <w:tab/>
      </w:r>
      <w:r>
        <w:rPr>
          <w:spacing w:val="-2"/>
        </w:rPr>
        <w:t>жизнью, </w:t>
      </w:r>
      <w:r>
        <w:rPr/>
        <w:t>сформированности социальных навыков в учебной ситуации и во взаимодействии со взрослыми в школе. Также они наиболее позитивно относятся к школе чем школьники других профилей.</w:t>
      </w:r>
    </w:p>
    <w:p>
      <w:pPr>
        <w:pStyle w:val="Heading4"/>
        <w:ind w:right="565" w:firstLine="707"/>
      </w:pPr>
      <w:r>
        <w:rPr/>
        <w:t>Б) Только по отношению к Смешанному профилю: более высокими показателями сохранения родной культуры и менее выраженной </w:t>
      </w:r>
      <w:r>
        <w:rPr>
          <w:spacing w:val="-2"/>
        </w:rPr>
        <w:t>гиперактивностью.</w:t>
      </w:r>
    </w:p>
    <w:p>
      <w:pPr>
        <w:pStyle w:val="Heading4"/>
        <w:ind w:right="562" w:firstLine="707"/>
      </w:pPr>
      <w:r>
        <w:rPr/>
        <w:t>В) Только по отношению к Дезадаптивному профилю: более высокими показателями выраженности психологического благополучия и сформированности социальных навыков во взаимодействии с ровесниками. Более низкими показателями сохранения родной культуры, выраженности социальной тревожности, депрессивности, эмоциональных проблем, внутренних и внешних психологических проблем.</w:t>
      </w:r>
    </w:p>
    <w:p>
      <w:pPr>
        <w:pStyle w:val="Heading4"/>
        <w:ind w:right="560" w:firstLine="707"/>
      </w:pPr>
      <w:r>
        <w:rPr/>
        <w:t>В целом интеграционный профиль характерен обучающимся- иностранным</w:t>
      </w:r>
      <w:r>
        <w:rPr>
          <w:spacing w:val="-18"/>
        </w:rPr>
        <w:t> </w:t>
      </w:r>
      <w:r>
        <w:rPr/>
        <w:t>гражданам,</w:t>
      </w:r>
      <w:r>
        <w:rPr>
          <w:spacing w:val="-17"/>
        </w:rPr>
        <w:t> </w:t>
      </w:r>
      <w:r>
        <w:rPr/>
        <w:t>успешно</w:t>
      </w:r>
      <w:r>
        <w:rPr>
          <w:spacing w:val="-18"/>
        </w:rPr>
        <w:t> </w:t>
      </w:r>
      <w:r>
        <w:rPr/>
        <w:t>адаптирующимся</w:t>
      </w:r>
      <w:r>
        <w:rPr>
          <w:spacing w:val="-17"/>
        </w:rPr>
        <w:t> </w:t>
      </w:r>
      <w:r>
        <w:rPr/>
        <w:t>в</w:t>
      </w:r>
      <w:r>
        <w:rPr>
          <w:spacing w:val="-18"/>
        </w:rPr>
        <w:t> </w:t>
      </w:r>
      <w:r>
        <w:rPr/>
        <w:t>российской</w:t>
      </w:r>
      <w:r>
        <w:rPr>
          <w:spacing w:val="-17"/>
        </w:rPr>
        <w:t> </w:t>
      </w:r>
      <w:r>
        <w:rPr/>
        <w:t>культурной </w:t>
      </w:r>
      <w:r>
        <w:rPr>
          <w:spacing w:val="-2"/>
        </w:rPr>
        <w:t>среде.</w:t>
      </w:r>
    </w:p>
    <w:p>
      <w:pPr>
        <w:pStyle w:val="ListParagraph"/>
        <w:numPr>
          <w:ilvl w:val="0"/>
          <w:numId w:val="14"/>
        </w:numPr>
        <w:tabs>
          <w:tab w:pos="1419" w:val="left" w:leader="none"/>
        </w:tabs>
        <w:spacing w:line="240" w:lineRule="auto" w:before="0" w:after="0"/>
        <w:ind w:left="285" w:right="565" w:firstLine="707"/>
        <w:jc w:val="both"/>
        <w:rPr>
          <w:sz w:val="28"/>
        </w:rPr>
      </w:pPr>
      <w:r>
        <w:rPr>
          <w:b/>
          <w:sz w:val="28"/>
        </w:rPr>
        <w:t>Смешанный профиль. </w:t>
      </w:r>
      <w:r>
        <w:rPr>
          <w:sz w:val="28"/>
        </w:rPr>
        <w:t>Обучающиеся, относящиеся к данном профилю характеризуются:</w:t>
      </w:r>
    </w:p>
    <w:p>
      <w:pPr>
        <w:pStyle w:val="Heading4"/>
        <w:spacing w:before="1"/>
        <w:ind w:right="563" w:firstLine="707"/>
      </w:pPr>
      <w:r>
        <w:rPr/>
        <w:t>А) По отношению к остальным профилям (Интеграционному и Дезадаптивному): более низкими показателями выраженности сохранения родной культуры.</w:t>
      </w:r>
    </w:p>
    <w:p>
      <w:pPr>
        <w:pStyle w:val="Heading4"/>
        <w:ind w:right="563" w:firstLine="707"/>
      </w:pPr>
      <w:r>
        <w:rPr/>
        <w:t>Б) Только по отношению к Интеграционному профилю: более низкими показателями культурной адаптации и психологической устойчивости, у них ниже</w:t>
      </w:r>
      <w:r>
        <w:rPr>
          <w:spacing w:val="-8"/>
        </w:rPr>
        <w:t> </w:t>
      </w:r>
      <w:r>
        <w:rPr/>
        <w:t>удовлетворенность</w:t>
      </w:r>
      <w:r>
        <w:rPr>
          <w:spacing w:val="-10"/>
        </w:rPr>
        <w:t> </w:t>
      </w:r>
      <w:r>
        <w:rPr/>
        <w:t>жизнью,</w:t>
      </w:r>
      <w:r>
        <w:rPr>
          <w:spacing w:val="-9"/>
        </w:rPr>
        <w:t> </w:t>
      </w:r>
      <w:r>
        <w:rPr/>
        <w:t>больше</w:t>
      </w:r>
      <w:r>
        <w:rPr>
          <w:spacing w:val="-8"/>
        </w:rPr>
        <w:t> </w:t>
      </w:r>
      <w:r>
        <w:rPr/>
        <w:t>внешних</w:t>
      </w:r>
      <w:r>
        <w:rPr>
          <w:spacing w:val="-8"/>
        </w:rPr>
        <w:t> </w:t>
      </w:r>
      <w:r>
        <w:rPr/>
        <w:t>психологических</w:t>
      </w:r>
      <w:r>
        <w:rPr>
          <w:spacing w:val="-8"/>
        </w:rPr>
        <w:t> </w:t>
      </w:r>
      <w:r>
        <w:rPr/>
        <w:t>проблем и проблем с гиперактивностью, а также хуже отношение к школе. У данных детей хуже сформированы социальные навыки в учебной ситуации и во взаимодействии со взрослыми в школе.</w:t>
      </w:r>
    </w:p>
    <w:p>
      <w:pPr>
        <w:pStyle w:val="Heading4"/>
        <w:ind w:right="569" w:firstLine="707"/>
      </w:pPr>
      <w:r>
        <w:rPr/>
        <w:t>В) Только по отношению к Дезадаптивному профилю: более высокими показателями культурной адаптации и сформированности навыков взаимодействия с ровесниками. Они менее подвержены социальной тревожности и депрессивности, у них меньше внутренних психологических </w:t>
      </w:r>
      <w:r>
        <w:rPr>
          <w:spacing w:val="-2"/>
        </w:rPr>
        <w:t>проблем.</w:t>
      </w:r>
    </w:p>
    <w:p>
      <w:pPr>
        <w:pStyle w:val="Heading4"/>
        <w:spacing w:after="0"/>
        <w:sectPr>
          <w:pgSz w:w="11910" w:h="16840"/>
          <w:pgMar w:header="0" w:footer="970" w:top="1040" w:bottom="1200" w:left="1417" w:right="283"/>
        </w:sectPr>
      </w:pPr>
    </w:p>
    <w:p>
      <w:pPr>
        <w:pStyle w:val="Heading4"/>
        <w:spacing w:before="67"/>
        <w:ind w:right="561" w:firstLine="707"/>
      </w:pPr>
      <w:r>
        <w:rPr/>
        <w:t>В целом смешанный профиль характерен обучающимся-иностранным гражданам адаптирующимся в российской культурной среде менее успешно, чем школьники с интеграционным профилем и испытывающим при этом процессе психологические трудности.</w:t>
      </w:r>
    </w:p>
    <w:p>
      <w:pPr>
        <w:pStyle w:val="ListParagraph"/>
        <w:numPr>
          <w:ilvl w:val="0"/>
          <w:numId w:val="14"/>
        </w:numPr>
        <w:tabs>
          <w:tab w:pos="1202" w:val="left" w:leader="none"/>
        </w:tabs>
        <w:spacing w:line="240" w:lineRule="auto" w:before="1" w:after="0"/>
        <w:ind w:left="285" w:right="563" w:firstLine="707"/>
        <w:jc w:val="both"/>
        <w:rPr>
          <w:sz w:val="28"/>
        </w:rPr>
      </w:pPr>
      <w:r>
        <w:rPr>
          <w:b/>
          <w:sz w:val="28"/>
        </w:rPr>
        <w:t>Дезадаптивный профиль. </w:t>
      </w:r>
      <w:r>
        <w:rPr>
          <w:sz w:val="28"/>
        </w:rPr>
        <w:t>Обучающиеся, относящиеся к данном профилю характеризуются:</w:t>
      </w:r>
    </w:p>
    <w:p>
      <w:pPr>
        <w:pStyle w:val="Heading4"/>
        <w:ind w:right="561" w:firstLine="707"/>
      </w:pPr>
      <w:r>
        <w:rPr/>
        <w:t>А) По отношению к остальным профилям (Интеграционному и Смешанному): наибольшей выраженностью сохранения родной культуры, низкой сформированностью навыков взаимодействия с ровесниками, слабой культурной адаптацией. Они наиболее подвержены социальной тревожности и депрессивности, у них более выражены внутренние психологические </w:t>
      </w:r>
      <w:r>
        <w:rPr>
          <w:spacing w:val="-2"/>
        </w:rPr>
        <w:t>проблемы.</w:t>
      </w:r>
    </w:p>
    <w:p>
      <w:pPr>
        <w:pStyle w:val="Heading4"/>
        <w:ind w:right="565" w:firstLine="707"/>
      </w:pPr>
      <w:r>
        <w:rPr/>
        <w:t>Б) Только по отношению к Интеграционному профилю: более низкими показателями психологического благополучия, психологической устойчивости и удовлетворенность жизнью. Они более подвержены социальной тревожности, депрессивности у них больше эмоциональных психологических проблем и хуже отношение к школе. Также у них хуже сформированы</w:t>
      </w:r>
      <w:r>
        <w:rPr>
          <w:spacing w:val="-11"/>
        </w:rPr>
        <w:t> </w:t>
      </w:r>
      <w:r>
        <w:rPr/>
        <w:t>социальные</w:t>
      </w:r>
      <w:r>
        <w:rPr>
          <w:spacing w:val="-13"/>
        </w:rPr>
        <w:t> </w:t>
      </w:r>
      <w:r>
        <w:rPr/>
        <w:t>навыки</w:t>
      </w:r>
      <w:r>
        <w:rPr>
          <w:spacing w:val="-10"/>
        </w:rPr>
        <w:t> </w:t>
      </w:r>
      <w:r>
        <w:rPr/>
        <w:t>в</w:t>
      </w:r>
      <w:r>
        <w:rPr>
          <w:spacing w:val="-12"/>
        </w:rPr>
        <w:t> </w:t>
      </w:r>
      <w:r>
        <w:rPr/>
        <w:t>учебной</w:t>
      </w:r>
      <w:r>
        <w:rPr>
          <w:spacing w:val="-11"/>
        </w:rPr>
        <w:t> </w:t>
      </w:r>
      <w:r>
        <w:rPr/>
        <w:t>ситуации</w:t>
      </w:r>
      <w:r>
        <w:rPr>
          <w:spacing w:val="-11"/>
        </w:rPr>
        <w:t> </w:t>
      </w:r>
      <w:r>
        <w:rPr/>
        <w:t>и</w:t>
      </w:r>
      <w:r>
        <w:rPr>
          <w:spacing w:val="-11"/>
        </w:rPr>
        <w:t> </w:t>
      </w:r>
      <w:r>
        <w:rPr/>
        <w:t>во</w:t>
      </w:r>
      <w:r>
        <w:rPr>
          <w:spacing w:val="-12"/>
        </w:rPr>
        <w:t> </w:t>
      </w:r>
      <w:r>
        <w:rPr/>
        <w:t>взаимодействии</w:t>
      </w:r>
      <w:r>
        <w:rPr>
          <w:spacing w:val="-11"/>
        </w:rPr>
        <w:t> </w:t>
      </w:r>
      <w:r>
        <w:rPr/>
        <w:t>с </w:t>
      </w:r>
      <w:r>
        <w:rPr>
          <w:spacing w:val="-2"/>
        </w:rPr>
        <w:t>ровесниками.</w:t>
      </w:r>
    </w:p>
    <w:p>
      <w:pPr>
        <w:pStyle w:val="Heading4"/>
        <w:ind w:right="560" w:firstLine="777"/>
      </w:pPr>
      <w:r>
        <w:rPr/>
        <w:t>В целом дезадаптивный профиль характерен обучающимся- иностранным</w:t>
      </w:r>
      <w:r>
        <w:rPr>
          <w:spacing w:val="-18"/>
        </w:rPr>
        <w:t> </w:t>
      </w:r>
      <w:r>
        <w:rPr/>
        <w:t>гражданам,</w:t>
      </w:r>
      <w:r>
        <w:rPr>
          <w:spacing w:val="-17"/>
        </w:rPr>
        <w:t> </w:t>
      </w:r>
      <w:r>
        <w:rPr/>
        <w:t>с</w:t>
      </w:r>
      <w:r>
        <w:rPr>
          <w:spacing w:val="-18"/>
        </w:rPr>
        <w:t> </w:t>
      </w:r>
      <w:r>
        <w:rPr/>
        <w:t>трудом</w:t>
      </w:r>
      <w:r>
        <w:rPr>
          <w:spacing w:val="-17"/>
        </w:rPr>
        <w:t> </w:t>
      </w:r>
      <w:r>
        <w:rPr/>
        <w:t>адаптирующимся</w:t>
      </w:r>
      <w:r>
        <w:rPr>
          <w:spacing w:val="-18"/>
        </w:rPr>
        <w:t> </w:t>
      </w:r>
      <w:r>
        <w:rPr/>
        <w:t>в</w:t>
      </w:r>
      <w:r>
        <w:rPr>
          <w:spacing w:val="-17"/>
        </w:rPr>
        <w:t> </w:t>
      </w:r>
      <w:r>
        <w:rPr/>
        <w:t>российской</w:t>
      </w:r>
      <w:r>
        <w:rPr>
          <w:spacing w:val="-17"/>
        </w:rPr>
        <w:t> </w:t>
      </w:r>
      <w:r>
        <w:rPr/>
        <w:t>культурной среде, и испытывающим при этом процессе наибольшие психологические </w:t>
      </w:r>
      <w:r>
        <w:rPr>
          <w:spacing w:val="-2"/>
        </w:rPr>
        <w:t>трудности.</w:t>
      </w:r>
    </w:p>
    <w:p>
      <w:pPr>
        <w:pStyle w:val="BodyText"/>
        <w:spacing w:before="1"/>
        <w:ind w:left="0" w:right="0" w:firstLine="0"/>
        <w:jc w:val="left"/>
        <w:rPr>
          <w:sz w:val="28"/>
        </w:rPr>
      </w:pPr>
    </w:p>
    <w:p>
      <w:pPr>
        <w:pStyle w:val="Heading4"/>
        <w:ind w:right="562" w:firstLine="707"/>
      </w:pPr>
      <w:r>
        <w:rPr/>
        <w:t>На основании дисперсионного анализа с помощью post-hoc парного критерия различий Шеффе были определены статистически значимые различия между профилями. На основании анализа 95% доверительного интервала для среднего значения выделены числовые маркеры профилей. Представлены те параметры, по которым 95% доверительный интервал не имеет пересечений с промежуточным (т.е. смешанным) профилем.</w:t>
      </w:r>
    </w:p>
    <w:p>
      <w:pPr>
        <w:pStyle w:val="Heading4"/>
        <w:ind w:right="563" w:firstLine="707"/>
      </w:pPr>
      <w:r>
        <w:rPr/>
        <w:t>Основываясь на эти числовые показатели можно определить насколько данные конкретного ребенка соответствуют Интеграционному, Смешанному или Дезадаптивному профилю.</w:t>
      </w:r>
    </w:p>
    <w:p>
      <w:pPr>
        <w:pStyle w:val="Heading4"/>
        <w:spacing w:before="2"/>
        <w:ind w:right="565" w:firstLine="707"/>
      </w:pPr>
      <w:r>
        <w:rPr/>
        <w:t>Следует</w:t>
      </w:r>
      <w:r>
        <w:rPr>
          <w:spacing w:val="-11"/>
        </w:rPr>
        <w:t> </w:t>
      </w:r>
      <w:r>
        <w:rPr/>
        <w:t>подчеркнуть,</w:t>
      </w:r>
      <w:r>
        <w:rPr>
          <w:spacing w:val="-12"/>
        </w:rPr>
        <w:t> </w:t>
      </w:r>
      <w:r>
        <w:rPr/>
        <w:t>что</w:t>
      </w:r>
      <w:r>
        <w:rPr>
          <w:spacing w:val="-10"/>
        </w:rPr>
        <w:t> </w:t>
      </w:r>
      <w:r>
        <w:rPr/>
        <w:t>не</w:t>
      </w:r>
      <w:r>
        <w:rPr>
          <w:spacing w:val="-13"/>
        </w:rPr>
        <w:t> </w:t>
      </w:r>
      <w:r>
        <w:rPr/>
        <w:t>по</w:t>
      </w:r>
      <w:r>
        <w:rPr>
          <w:spacing w:val="-10"/>
        </w:rPr>
        <w:t> </w:t>
      </w:r>
      <w:r>
        <w:rPr/>
        <w:t>всем</w:t>
      </w:r>
      <w:r>
        <w:rPr>
          <w:spacing w:val="-11"/>
        </w:rPr>
        <w:t> </w:t>
      </w:r>
      <w:r>
        <w:rPr/>
        <w:t>методикам</w:t>
      </w:r>
      <w:r>
        <w:rPr>
          <w:spacing w:val="-11"/>
        </w:rPr>
        <w:t> </w:t>
      </w:r>
      <w:r>
        <w:rPr/>
        <w:t>и</w:t>
      </w:r>
      <w:r>
        <w:rPr>
          <w:spacing w:val="-13"/>
        </w:rPr>
        <w:t> </w:t>
      </w:r>
      <w:r>
        <w:rPr/>
        <w:t>отдельным</w:t>
      </w:r>
      <w:r>
        <w:rPr>
          <w:spacing w:val="-11"/>
        </w:rPr>
        <w:t> </w:t>
      </w:r>
      <w:r>
        <w:rPr/>
        <w:t>шкалам</w:t>
      </w:r>
      <w:r>
        <w:rPr>
          <w:spacing w:val="-12"/>
        </w:rPr>
        <w:t> </w:t>
      </w:r>
      <w:r>
        <w:rPr/>
        <w:t>из рекомендованных наборов представлены числовые данные о соответствии профилям в связи с тем, что по данным математико-статистического анализа полученные</w:t>
      </w:r>
      <w:r>
        <w:rPr>
          <w:spacing w:val="-14"/>
        </w:rPr>
        <w:t> </w:t>
      </w:r>
      <w:r>
        <w:rPr/>
        <w:t>на</w:t>
      </w:r>
      <w:r>
        <w:rPr>
          <w:spacing w:val="-9"/>
        </w:rPr>
        <w:t> </w:t>
      </w:r>
      <w:r>
        <w:rPr/>
        <w:t>апробационной</w:t>
      </w:r>
      <w:r>
        <w:rPr>
          <w:spacing w:val="-8"/>
        </w:rPr>
        <w:t> </w:t>
      </w:r>
      <w:r>
        <w:rPr/>
        <w:t>выборке</w:t>
      </w:r>
      <w:r>
        <w:rPr>
          <w:spacing w:val="-11"/>
        </w:rPr>
        <w:t> </w:t>
      </w:r>
      <w:r>
        <w:rPr/>
        <w:t>результаты</w:t>
      </w:r>
      <w:r>
        <w:rPr>
          <w:spacing w:val="-9"/>
        </w:rPr>
        <w:t> </w:t>
      </w:r>
      <w:r>
        <w:rPr/>
        <w:t>не</w:t>
      </w:r>
      <w:r>
        <w:rPr>
          <w:spacing w:val="-8"/>
        </w:rPr>
        <w:t> </w:t>
      </w:r>
      <w:r>
        <w:rPr/>
        <w:t>позволяют</w:t>
      </w:r>
      <w:r>
        <w:rPr>
          <w:spacing w:val="-10"/>
        </w:rPr>
        <w:t> </w:t>
      </w:r>
      <w:r>
        <w:rPr/>
        <w:t>это</w:t>
      </w:r>
      <w:r>
        <w:rPr>
          <w:spacing w:val="-8"/>
        </w:rPr>
        <w:t> </w:t>
      </w:r>
      <w:r>
        <w:rPr>
          <w:spacing w:val="-2"/>
        </w:rPr>
        <w:t>сделать.</w:t>
      </w:r>
    </w:p>
    <w:p>
      <w:pPr>
        <w:pStyle w:val="Heading4"/>
        <w:spacing w:after="0"/>
        <w:sectPr>
          <w:pgSz w:w="11910" w:h="16840"/>
          <w:pgMar w:header="0" w:footer="970" w:top="1040" w:bottom="1220" w:left="1417" w:right="283"/>
        </w:sectPr>
      </w:pPr>
    </w:p>
    <w:p>
      <w:pPr>
        <w:spacing w:before="73"/>
        <w:ind w:left="0" w:right="566" w:firstLine="0"/>
        <w:jc w:val="right"/>
        <w:rPr>
          <w:b/>
          <w:i/>
          <w:sz w:val="32"/>
        </w:rPr>
      </w:pPr>
      <w:r>
        <w:rPr>
          <w:b/>
          <w:i/>
          <w:sz w:val="32"/>
        </w:rPr>
        <w:t>Таблица</w:t>
      </w:r>
      <w:r>
        <w:rPr>
          <w:b/>
          <w:i/>
          <w:spacing w:val="-13"/>
          <w:sz w:val="32"/>
        </w:rPr>
        <w:t> </w:t>
      </w:r>
      <w:r>
        <w:rPr>
          <w:b/>
          <w:i/>
          <w:spacing w:val="-10"/>
          <w:sz w:val="32"/>
        </w:rPr>
        <w:t>5</w:t>
      </w:r>
    </w:p>
    <w:p>
      <w:pPr>
        <w:spacing w:line="276" w:lineRule="auto" w:before="255"/>
        <w:ind w:left="4497" w:right="560" w:hanging="3824"/>
        <w:jc w:val="left"/>
        <w:rPr>
          <w:b/>
          <w:sz w:val="28"/>
        </w:rPr>
      </w:pPr>
      <w:r>
        <w:rPr>
          <w:b/>
          <w:sz w:val="28"/>
        </w:rPr>
        <w:t>Числовые</w:t>
      </w:r>
      <w:r>
        <w:rPr>
          <w:b/>
          <w:spacing w:val="-6"/>
          <w:sz w:val="28"/>
        </w:rPr>
        <w:t> </w:t>
      </w:r>
      <w:r>
        <w:rPr>
          <w:b/>
          <w:sz w:val="28"/>
        </w:rPr>
        <w:t>маркеры</w:t>
      </w:r>
      <w:r>
        <w:rPr>
          <w:b/>
          <w:spacing w:val="-6"/>
          <w:sz w:val="28"/>
        </w:rPr>
        <w:t> </w:t>
      </w:r>
      <w:r>
        <w:rPr>
          <w:b/>
          <w:sz w:val="28"/>
        </w:rPr>
        <w:t>Интеграционного</w:t>
      </w:r>
      <w:r>
        <w:rPr>
          <w:b/>
          <w:spacing w:val="-5"/>
          <w:sz w:val="28"/>
        </w:rPr>
        <w:t> </w:t>
      </w:r>
      <w:r>
        <w:rPr>
          <w:b/>
          <w:sz w:val="28"/>
        </w:rPr>
        <w:t>профиля</w:t>
      </w:r>
      <w:r>
        <w:rPr>
          <w:b/>
          <w:spacing w:val="-7"/>
          <w:sz w:val="28"/>
        </w:rPr>
        <w:t> </w:t>
      </w:r>
      <w:r>
        <w:rPr>
          <w:b/>
          <w:sz w:val="28"/>
        </w:rPr>
        <w:t>(средняя</w:t>
      </w:r>
      <w:r>
        <w:rPr>
          <w:b/>
          <w:spacing w:val="-7"/>
          <w:sz w:val="28"/>
        </w:rPr>
        <w:t> </w:t>
      </w:r>
      <w:r>
        <w:rPr>
          <w:b/>
          <w:sz w:val="28"/>
        </w:rPr>
        <w:t>и</w:t>
      </w:r>
      <w:r>
        <w:rPr>
          <w:b/>
          <w:spacing w:val="-6"/>
          <w:sz w:val="28"/>
        </w:rPr>
        <w:t> </w:t>
      </w:r>
      <w:r>
        <w:rPr>
          <w:b/>
          <w:sz w:val="28"/>
        </w:rPr>
        <w:t>старшая </w:t>
      </w:r>
      <w:r>
        <w:rPr>
          <w:b/>
          <w:spacing w:val="-2"/>
          <w:sz w:val="28"/>
        </w:rPr>
        <w:t>школа)</w:t>
      </w:r>
    </w:p>
    <w:p>
      <w:pPr>
        <w:pStyle w:val="BodyText"/>
        <w:spacing w:before="7"/>
        <w:ind w:left="0" w:right="0" w:firstLine="0"/>
        <w:jc w:val="left"/>
        <w:rPr>
          <w:b/>
          <w:sz w:val="17"/>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71"/>
        <w:gridCol w:w="3629"/>
        <w:gridCol w:w="1136"/>
        <w:gridCol w:w="1807"/>
      </w:tblGrid>
      <w:tr>
        <w:trPr>
          <w:trHeight w:val="517" w:hRule="atLeast"/>
        </w:trPr>
        <w:tc>
          <w:tcPr>
            <w:tcW w:w="3171" w:type="dxa"/>
          </w:tcPr>
          <w:p>
            <w:pPr>
              <w:pStyle w:val="TableParagraph"/>
              <w:spacing w:line="275" w:lineRule="exact"/>
              <w:ind w:left="107"/>
              <w:rPr>
                <w:b/>
                <w:sz w:val="24"/>
              </w:rPr>
            </w:pPr>
            <w:r>
              <w:rPr>
                <w:b/>
                <w:spacing w:val="-2"/>
                <w:sz w:val="24"/>
              </w:rPr>
              <w:t>Методика</w:t>
            </w:r>
          </w:p>
        </w:tc>
        <w:tc>
          <w:tcPr>
            <w:tcW w:w="3629" w:type="dxa"/>
          </w:tcPr>
          <w:p>
            <w:pPr>
              <w:pStyle w:val="TableParagraph"/>
              <w:spacing w:line="275" w:lineRule="exact"/>
              <w:ind w:left="107"/>
              <w:rPr>
                <w:b/>
                <w:sz w:val="24"/>
              </w:rPr>
            </w:pPr>
            <w:r>
              <w:rPr>
                <w:b/>
                <w:sz w:val="24"/>
              </w:rPr>
              <w:t>Показатель</w:t>
            </w:r>
            <w:r>
              <w:rPr>
                <w:b/>
                <w:spacing w:val="-4"/>
                <w:sz w:val="24"/>
              </w:rPr>
              <w:t> </w:t>
            </w:r>
            <w:r>
              <w:rPr>
                <w:b/>
                <w:spacing w:val="-2"/>
                <w:sz w:val="24"/>
              </w:rPr>
              <w:t>(шкала)</w:t>
            </w:r>
          </w:p>
        </w:tc>
        <w:tc>
          <w:tcPr>
            <w:tcW w:w="1136" w:type="dxa"/>
          </w:tcPr>
          <w:p>
            <w:pPr>
              <w:pStyle w:val="TableParagraph"/>
              <w:spacing w:line="275" w:lineRule="exact"/>
              <w:ind w:left="107"/>
              <w:rPr>
                <w:b/>
                <w:sz w:val="24"/>
              </w:rPr>
            </w:pPr>
            <w:r>
              <w:rPr>
                <w:b/>
                <w:spacing w:val="-4"/>
                <w:sz w:val="24"/>
              </w:rPr>
              <w:t>Балл</w:t>
            </w:r>
          </w:p>
        </w:tc>
        <w:tc>
          <w:tcPr>
            <w:tcW w:w="1807" w:type="dxa"/>
          </w:tcPr>
          <w:p>
            <w:pPr>
              <w:pStyle w:val="TableParagraph"/>
              <w:spacing w:line="275" w:lineRule="exact"/>
              <w:ind w:left="105"/>
              <w:rPr>
                <w:b/>
                <w:sz w:val="24"/>
              </w:rPr>
            </w:pPr>
            <w:r>
              <w:rPr>
                <w:b/>
                <w:spacing w:val="-2"/>
                <w:sz w:val="24"/>
              </w:rPr>
              <w:t>Компонент</w:t>
            </w:r>
          </w:p>
        </w:tc>
      </w:tr>
      <w:tr>
        <w:trPr>
          <w:trHeight w:val="1151" w:hRule="atLeast"/>
        </w:trPr>
        <w:tc>
          <w:tcPr>
            <w:tcW w:w="3171" w:type="dxa"/>
          </w:tcPr>
          <w:p>
            <w:pPr>
              <w:pStyle w:val="TableParagraph"/>
              <w:spacing w:line="276" w:lineRule="auto"/>
              <w:ind w:left="107" w:right="438"/>
              <w:rPr>
                <w:sz w:val="24"/>
              </w:rPr>
            </w:pPr>
            <w:r>
              <w:rPr>
                <w:sz w:val="24"/>
              </w:rPr>
              <w:t>Шкала</w:t>
            </w:r>
            <w:r>
              <w:rPr>
                <w:spacing w:val="-15"/>
                <w:sz w:val="24"/>
              </w:rPr>
              <w:t> </w:t>
            </w:r>
            <w:r>
              <w:rPr>
                <w:sz w:val="24"/>
              </w:rPr>
              <w:t>психологического благополучия Уорик– </w:t>
            </w:r>
            <w:r>
              <w:rPr>
                <w:spacing w:val="-2"/>
                <w:sz w:val="24"/>
              </w:rPr>
              <w:t>Эдинбург</w:t>
            </w:r>
          </w:p>
        </w:tc>
        <w:tc>
          <w:tcPr>
            <w:tcW w:w="3629" w:type="dxa"/>
          </w:tcPr>
          <w:p>
            <w:pPr>
              <w:pStyle w:val="TableParagraph"/>
              <w:spacing w:line="270" w:lineRule="exact"/>
              <w:ind w:left="107"/>
              <w:rPr>
                <w:sz w:val="24"/>
              </w:rPr>
            </w:pPr>
            <w:r>
              <w:rPr>
                <w:sz w:val="24"/>
              </w:rPr>
              <w:t>Психологическое</w:t>
            </w:r>
            <w:r>
              <w:rPr>
                <w:spacing w:val="-7"/>
                <w:sz w:val="24"/>
              </w:rPr>
              <w:t> </w:t>
            </w:r>
            <w:r>
              <w:rPr>
                <w:spacing w:val="-2"/>
                <w:sz w:val="24"/>
              </w:rPr>
              <w:t>благополучие</w:t>
            </w:r>
          </w:p>
        </w:tc>
        <w:tc>
          <w:tcPr>
            <w:tcW w:w="1136" w:type="dxa"/>
          </w:tcPr>
          <w:p>
            <w:pPr>
              <w:pStyle w:val="TableParagraph"/>
              <w:spacing w:line="276" w:lineRule="auto"/>
              <w:ind w:left="107" w:right="449"/>
              <w:rPr>
                <w:sz w:val="24"/>
              </w:rPr>
            </w:pPr>
            <w:r>
              <w:rPr>
                <w:sz w:val="24"/>
              </w:rPr>
              <w:t>56 и </w:t>
            </w:r>
            <w:r>
              <w:rPr>
                <w:spacing w:val="-4"/>
                <w:sz w:val="24"/>
              </w:rPr>
              <w:t>выше</w:t>
            </w:r>
          </w:p>
        </w:tc>
        <w:tc>
          <w:tcPr>
            <w:tcW w:w="1807" w:type="dxa"/>
            <w:vMerge w:val="restart"/>
          </w:tcPr>
          <w:p>
            <w:pPr>
              <w:pStyle w:val="TableParagraph"/>
              <w:spacing w:line="270" w:lineRule="exact"/>
              <w:ind w:left="105"/>
              <w:rPr>
                <w:sz w:val="24"/>
              </w:rPr>
            </w:pPr>
            <w:r>
              <w:rPr>
                <w:spacing w:val="-2"/>
                <w:sz w:val="24"/>
              </w:rPr>
              <w:t>базовый</w:t>
            </w:r>
          </w:p>
        </w:tc>
      </w:tr>
      <w:tr>
        <w:trPr>
          <w:trHeight w:val="1152" w:hRule="atLeast"/>
        </w:trPr>
        <w:tc>
          <w:tcPr>
            <w:tcW w:w="3171" w:type="dxa"/>
          </w:tcPr>
          <w:p>
            <w:pPr>
              <w:pStyle w:val="TableParagraph"/>
              <w:spacing w:line="270" w:lineRule="exact"/>
              <w:ind w:left="107"/>
              <w:rPr>
                <w:sz w:val="24"/>
              </w:rPr>
            </w:pPr>
            <w:r>
              <w:rPr>
                <w:sz w:val="24"/>
              </w:rPr>
              <w:t>Карта</w:t>
            </w:r>
            <w:r>
              <w:rPr>
                <w:spacing w:val="-1"/>
                <w:sz w:val="24"/>
              </w:rPr>
              <w:t> </w:t>
            </w:r>
            <w:r>
              <w:rPr>
                <w:spacing w:val="-2"/>
                <w:sz w:val="24"/>
              </w:rPr>
              <w:t>наблюдения</w:t>
            </w:r>
          </w:p>
          <w:p>
            <w:pPr>
              <w:pStyle w:val="TableParagraph"/>
              <w:spacing w:line="278" w:lineRule="auto" w:before="41"/>
              <w:ind w:left="107" w:right="438"/>
              <w:rPr>
                <w:sz w:val="24"/>
              </w:rPr>
            </w:pPr>
            <w:r>
              <w:rPr>
                <w:spacing w:val="-2"/>
                <w:sz w:val="24"/>
              </w:rPr>
              <w:t>«Психологические трудности»</w:t>
            </w:r>
          </w:p>
        </w:tc>
        <w:tc>
          <w:tcPr>
            <w:tcW w:w="3629" w:type="dxa"/>
          </w:tcPr>
          <w:p>
            <w:pPr>
              <w:pStyle w:val="TableParagraph"/>
              <w:spacing w:line="270" w:lineRule="exact"/>
              <w:ind w:left="107"/>
              <w:rPr>
                <w:sz w:val="24"/>
              </w:rPr>
            </w:pPr>
            <w:r>
              <w:rPr>
                <w:sz w:val="24"/>
              </w:rPr>
              <w:t>Эмоциональные</w:t>
            </w:r>
            <w:r>
              <w:rPr>
                <w:spacing w:val="-9"/>
                <w:sz w:val="24"/>
              </w:rPr>
              <w:t> </w:t>
            </w:r>
            <w:r>
              <w:rPr>
                <w:spacing w:val="-2"/>
                <w:sz w:val="24"/>
              </w:rPr>
              <w:t>проблемы</w:t>
            </w:r>
          </w:p>
        </w:tc>
        <w:tc>
          <w:tcPr>
            <w:tcW w:w="1136" w:type="dxa"/>
          </w:tcPr>
          <w:p>
            <w:pPr>
              <w:pStyle w:val="TableParagraph"/>
              <w:spacing w:line="270" w:lineRule="exact"/>
              <w:ind w:left="107"/>
              <w:rPr>
                <w:sz w:val="24"/>
              </w:rPr>
            </w:pPr>
            <w:r>
              <w:rPr>
                <w:sz w:val="24"/>
              </w:rPr>
              <w:t>1.3 </w:t>
            </w:r>
            <w:r>
              <w:rPr>
                <w:spacing w:val="-10"/>
                <w:sz w:val="24"/>
              </w:rPr>
              <w:t>и</w:t>
            </w:r>
          </w:p>
          <w:p>
            <w:pPr>
              <w:pStyle w:val="TableParagraph"/>
              <w:spacing w:before="41"/>
              <w:ind w:left="107"/>
              <w:rPr>
                <w:sz w:val="24"/>
              </w:rPr>
            </w:pPr>
            <w:r>
              <w:rPr>
                <w:spacing w:val="-2"/>
                <w:sz w:val="24"/>
              </w:rPr>
              <w:t>менее</w:t>
            </w:r>
          </w:p>
        </w:tc>
        <w:tc>
          <w:tcPr>
            <w:tcW w:w="1807" w:type="dxa"/>
            <w:vMerge/>
            <w:tcBorders>
              <w:top w:val="nil"/>
            </w:tcBorders>
          </w:tcPr>
          <w:p>
            <w:pPr>
              <w:rPr>
                <w:sz w:val="2"/>
                <w:szCs w:val="2"/>
              </w:rPr>
            </w:pPr>
          </w:p>
        </w:tc>
      </w:tr>
      <w:tr>
        <w:trPr>
          <w:trHeight w:val="834" w:hRule="atLeast"/>
        </w:trPr>
        <w:tc>
          <w:tcPr>
            <w:tcW w:w="3171" w:type="dxa"/>
            <w:vMerge w:val="restart"/>
          </w:tcPr>
          <w:p>
            <w:pPr>
              <w:pStyle w:val="TableParagraph"/>
              <w:spacing w:line="278" w:lineRule="auto"/>
              <w:ind w:left="107" w:right="900"/>
              <w:rPr>
                <w:sz w:val="24"/>
              </w:rPr>
            </w:pPr>
            <w:r>
              <w:rPr>
                <w:sz w:val="24"/>
              </w:rPr>
              <w:t>Методика оценки социальных</w:t>
            </w:r>
            <w:r>
              <w:rPr>
                <w:spacing w:val="-15"/>
                <w:sz w:val="24"/>
              </w:rPr>
              <w:t> </w:t>
            </w:r>
            <w:r>
              <w:rPr>
                <w:sz w:val="24"/>
              </w:rPr>
              <w:t>навыков</w:t>
            </w:r>
          </w:p>
        </w:tc>
        <w:tc>
          <w:tcPr>
            <w:tcW w:w="3629" w:type="dxa"/>
          </w:tcPr>
          <w:p>
            <w:pPr>
              <w:pStyle w:val="TableParagraph"/>
              <w:spacing w:line="270" w:lineRule="exact"/>
              <w:ind w:left="107"/>
              <w:rPr>
                <w:sz w:val="24"/>
              </w:rPr>
            </w:pPr>
            <w:r>
              <w:rPr>
                <w:sz w:val="24"/>
              </w:rPr>
              <w:t>Поведение</w:t>
            </w:r>
            <w:r>
              <w:rPr>
                <w:spacing w:val="-6"/>
                <w:sz w:val="24"/>
              </w:rPr>
              <w:t> </w:t>
            </w:r>
            <w:r>
              <w:rPr>
                <w:sz w:val="24"/>
              </w:rPr>
              <w:t>в учебной</w:t>
            </w:r>
            <w:r>
              <w:rPr>
                <w:spacing w:val="-4"/>
                <w:sz w:val="24"/>
              </w:rPr>
              <w:t> </w:t>
            </w:r>
            <w:r>
              <w:rPr>
                <w:spacing w:val="-2"/>
                <w:sz w:val="24"/>
              </w:rPr>
              <w:t>ситуации</w:t>
            </w:r>
          </w:p>
        </w:tc>
        <w:tc>
          <w:tcPr>
            <w:tcW w:w="1136" w:type="dxa"/>
          </w:tcPr>
          <w:p>
            <w:pPr>
              <w:pStyle w:val="TableParagraph"/>
              <w:spacing w:line="270" w:lineRule="exact"/>
              <w:ind w:left="107"/>
              <w:rPr>
                <w:sz w:val="24"/>
              </w:rPr>
            </w:pPr>
            <w:r>
              <w:rPr>
                <w:sz w:val="24"/>
              </w:rPr>
              <w:t>2.3 </w:t>
            </w:r>
            <w:r>
              <w:rPr>
                <w:spacing w:val="-10"/>
                <w:sz w:val="24"/>
              </w:rPr>
              <w:t>и</w:t>
            </w:r>
          </w:p>
          <w:p>
            <w:pPr>
              <w:pStyle w:val="TableParagraph"/>
              <w:spacing w:before="43"/>
              <w:ind w:left="107"/>
              <w:rPr>
                <w:sz w:val="24"/>
              </w:rPr>
            </w:pPr>
            <w:r>
              <w:rPr>
                <w:spacing w:val="-2"/>
                <w:sz w:val="24"/>
              </w:rPr>
              <w:t>более</w:t>
            </w:r>
          </w:p>
        </w:tc>
        <w:tc>
          <w:tcPr>
            <w:tcW w:w="1807" w:type="dxa"/>
            <w:vMerge/>
            <w:tcBorders>
              <w:top w:val="nil"/>
            </w:tcBorders>
          </w:tcPr>
          <w:p>
            <w:pPr>
              <w:rPr>
                <w:sz w:val="2"/>
                <w:szCs w:val="2"/>
              </w:rPr>
            </w:pPr>
          </w:p>
        </w:tc>
      </w:tr>
      <w:tr>
        <w:trPr>
          <w:trHeight w:val="834" w:hRule="atLeast"/>
        </w:trPr>
        <w:tc>
          <w:tcPr>
            <w:tcW w:w="3171" w:type="dxa"/>
            <w:vMerge/>
            <w:tcBorders>
              <w:top w:val="nil"/>
            </w:tcBorders>
          </w:tcPr>
          <w:p>
            <w:pPr>
              <w:rPr>
                <w:sz w:val="2"/>
                <w:szCs w:val="2"/>
              </w:rPr>
            </w:pPr>
          </w:p>
        </w:tc>
        <w:tc>
          <w:tcPr>
            <w:tcW w:w="3629" w:type="dxa"/>
          </w:tcPr>
          <w:p>
            <w:pPr>
              <w:pStyle w:val="TableParagraph"/>
              <w:spacing w:line="270" w:lineRule="exact"/>
              <w:ind w:left="107"/>
              <w:rPr>
                <w:sz w:val="24"/>
              </w:rPr>
            </w:pPr>
            <w:r>
              <w:rPr>
                <w:sz w:val="24"/>
              </w:rPr>
              <w:t>Взаимодействие</w:t>
            </w:r>
            <w:r>
              <w:rPr>
                <w:spacing w:val="-4"/>
                <w:sz w:val="24"/>
              </w:rPr>
              <w:t> </w:t>
            </w:r>
            <w:r>
              <w:rPr>
                <w:sz w:val="24"/>
              </w:rPr>
              <w:t>с</w:t>
            </w:r>
            <w:r>
              <w:rPr>
                <w:spacing w:val="-4"/>
                <w:sz w:val="24"/>
              </w:rPr>
              <w:t> </w:t>
            </w:r>
            <w:r>
              <w:rPr>
                <w:spacing w:val="-2"/>
                <w:sz w:val="24"/>
              </w:rPr>
              <w:t>ровесниками</w:t>
            </w:r>
          </w:p>
        </w:tc>
        <w:tc>
          <w:tcPr>
            <w:tcW w:w="1136" w:type="dxa"/>
          </w:tcPr>
          <w:p>
            <w:pPr>
              <w:pStyle w:val="TableParagraph"/>
              <w:spacing w:line="270" w:lineRule="exact"/>
              <w:ind w:left="107"/>
              <w:rPr>
                <w:sz w:val="24"/>
              </w:rPr>
            </w:pPr>
            <w:r>
              <w:rPr>
                <w:sz w:val="24"/>
              </w:rPr>
              <w:t>2.3 </w:t>
            </w:r>
            <w:r>
              <w:rPr>
                <w:spacing w:val="-10"/>
                <w:sz w:val="24"/>
              </w:rPr>
              <w:t>и</w:t>
            </w:r>
          </w:p>
          <w:p>
            <w:pPr>
              <w:pStyle w:val="TableParagraph"/>
              <w:spacing w:before="43"/>
              <w:ind w:left="107"/>
              <w:rPr>
                <w:sz w:val="24"/>
              </w:rPr>
            </w:pPr>
            <w:r>
              <w:rPr>
                <w:spacing w:val="-2"/>
                <w:sz w:val="24"/>
              </w:rPr>
              <w:t>более</w:t>
            </w:r>
          </w:p>
        </w:tc>
        <w:tc>
          <w:tcPr>
            <w:tcW w:w="1807" w:type="dxa"/>
            <w:vMerge/>
            <w:tcBorders>
              <w:top w:val="nil"/>
            </w:tcBorders>
          </w:tcPr>
          <w:p>
            <w:pPr>
              <w:rPr>
                <w:sz w:val="2"/>
                <w:szCs w:val="2"/>
              </w:rPr>
            </w:pPr>
          </w:p>
        </w:tc>
      </w:tr>
      <w:tr>
        <w:trPr>
          <w:trHeight w:val="835" w:hRule="atLeast"/>
        </w:trPr>
        <w:tc>
          <w:tcPr>
            <w:tcW w:w="3171" w:type="dxa"/>
            <w:vMerge/>
            <w:tcBorders>
              <w:top w:val="nil"/>
            </w:tcBorders>
          </w:tcPr>
          <w:p>
            <w:pPr>
              <w:rPr>
                <w:sz w:val="2"/>
                <w:szCs w:val="2"/>
              </w:rPr>
            </w:pPr>
          </w:p>
        </w:tc>
        <w:tc>
          <w:tcPr>
            <w:tcW w:w="3629" w:type="dxa"/>
          </w:tcPr>
          <w:p>
            <w:pPr>
              <w:pStyle w:val="TableParagraph"/>
              <w:spacing w:line="278" w:lineRule="auto"/>
              <w:ind w:left="107"/>
              <w:rPr>
                <w:sz w:val="24"/>
              </w:rPr>
            </w:pPr>
            <w:r>
              <w:rPr>
                <w:sz w:val="24"/>
              </w:rPr>
              <w:t>Взаимодействие</w:t>
            </w:r>
            <w:r>
              <w:rPr>
                <w:spacing w:val="-14"/>
                <w:sz w:val="24"/>
              </w:rPr>
              <w:t> </w:t>
            </w:r>
            <w:r>
              <w:rPr>
                <w:sz w:val="24"/>
              </w:rPr>
              <w:t>со</w:t>
            </w:r>
            <w:r>
              <w:rPr>
                <w:spacing w:val="-13"/>
                <w:sz w:val="24"/>
              </w:rPr>
              <w:t> </w:t>
            </w:r>
            <w:r>
              <w:rPr>
                <w:sz w:val="24"/>
              </w:rPr>
              <w:t>взрослыми</w:t>
            </w:r>
            <w:r>
              <w:rPr>
                <w:spacing w:val="-13"/>
                <w:sz w:val="24"/>
              </w:rPr>
              <w:t> </w:t>
            </w:r>
            <w:r>
              <w:rPr>
                <w:sz w:val="24"/>
              </w:rPr>
              <w:t>в </w:t>
            </w:r>
            <w:r>
              <w:rPr>
                <w:spacing w:val="-2"/>
                <w:sz w:val="24"/>
              </w:rPr>
              <w:t>школе</w:t>
            </w:r>
          </w:p>
        </w:tc>
        <w:tc>
          <w:tcPr>
            <w:tcW w:w="1136" w:type="dxa"/>
          </w:tcPr>
          <w:p>
            <w:pPr>
              <w:pStyle w:val="TableParagraph"/>
              <w:spacing w:line="270" w:lineRule="exact"/>
              <w:ind w:left="107"/>
              <w:rPr>
                <w:sz w:val="24"/>
              </w:rPr>
            </w:pPr>
            <w:r>
              <w:rPr>
                <w:sz w:val="24"/>
              </w:rPr>
              <w:t>2.7 </w:t>
            </w:r>
            <w:r>
              <w:rPr>
                <w:spacing w:val="-10"/>
                <w:sz w:val="24"/>
              </w:rPr>
              <w:t>и</w:t>
            </w:r>
          </w:p>
          <w:p>
            <w:pPr>
              <w:pStyle w:val="TableParagraph"/>
              <w:spacing w:before="43"/>
              <w:ind w:left="107"/>
              <w:rPr>
                <w:sz w:val="24"/>
              </w:rPr>
            </w:pPr>
            <w:r>
              <w:rPr>
                <w:spacing w:val="-2"/>
                <w:sz w:val="24"/>
              </w:rPr>
              <w:t>более</w:t>
            </w:r>
          </w:p>
        </w:tc>
        <w:tc>
          <w:tcPr>
            <w:tcW w:w="1807" w:type="dxa"/>
            <w:vMerge/>
            <w:tcBorders>
              <w:top w:val="nil"/>
            </w:tcBorders>
          </w:tcPr>
          <w:p>
            <w:pPr>
              <w:rPr>
                <w:sz w:val="2"/>
                <w:szCs w:val="2"/>
              </w:rPr>
            </w:pPr>
          </w:p>
        </w:tc>
      </w:tr>
      <w:tr>
        <w:trPr>
          <w:trHeight w:val="834" w:hRule="atLeast"/>
        </w:trPr>
        <w:tc>
          <w:tcPr>
            <w:tcW w:w="3171" w:type="dxa"/>
            <w:vMerge w:val="restart"/>
          </w:tcPr>
          <w:p>
            <w:pPr>
              <w:pStyle w:val="TableParagraph"/>
              <w:spacing w:line="278" w:lineRule="auto"/>
              <w:ind w:left="107" w:right="441"/>
              <w:rPr>
                <w:sz w:val="24"/>
              </w:rPr>
            </w:pPr>
            <w:r>
              <w:rPr>
                <w:sz w:val="24"/>
              </w:rPr>
              <w:t>Опросник</w:t>
            </w:r>
            <w:r>
              <w:rPr>
                <w:spacing w:val="-15"/>
                <w:sz w:val="24"/>
              </w:rPr>
              <w:t> </w:t>
            </w:r>
            <w:r>
              <w:rPr>
                <w:sz w:val="24"/>
              </w:rPr>
              <w:t>аккультурации для детей и подростков</w:t>
            </w:r>
          </w:p>
        </w:tc>
        <w:tc>
          <w:tcPr>
            <w:tcW w:w="3629" w:type="dxa"/>
          </w:tcPr>
          <w:p>
            <w:pPr>
              <w:pStyle w:val="TableParagraph"/>
              <w:spacing w:line="278" w:lineRule="auto"/>
              <w:ind w:left="107"/>
              <w:rPr>
                <w:sz w:val="24"/>
              </w:rPr>
            </w:pPr>
            <w:r>
              <w:rPr>
                <w:sz w:val="24"/>
              </w:rPr>
              <w:t>Сохранение</w:t>
            </w:r>
            <w:r>
              <w:rPr>
                <w:spacing w:val="-15"/>
                <w:sz w:val="24"/>
              </w:rPr>
              <w:t> </w:t>
            </w:r>
            <w:r>
              <w:rPr>
                <w:sz w:val="24"/>
              </w:rPr>
              <w:t>родной</w:t>
            </w:r>
            <w:r>
              <w:rPr>
                <w:spacing w:val="-15"/>
                <w:sz w:val="24"/>
              </w:rPr>
              <w:t> </w:t>
            </w:r>
            <w:r>
              <w:rPr>
                <w:sz w:val="24"/>
              </w:rPr>
              <w:t>культурной </w:t>
            </w:r>
            <w:r>
              <w:rPr>
                <w:spacing w:val="-4"/>
                <w:sz w:val="24"/>
              </w:rPr>
              <w:t>среды</w:t>
            </w:r>
          </w:p>
        </w:tc>
        <w:tc>
          <w:tcPr>
            <w:tcW w:w="1136" w:type="dxa"/>
          </w:tcPr>
          <w:p>
            <w:pPr>
              <w:pStyle w:val="TableParagraph"/>
              <w:spacing w:line="270" w:lineRule="exact"/>
              <w:ind w:left="107"/>
              <w:rPr>
                <w:sz w:val="24"/>
              </w:rPr>
            </w:pPr>
            <w:r>
              <w:rPr>
                <w:sz w:val="24"/>
              </w:rPr>
              <w:t>0.3 </w:t>
            </w:r>
            <w:r>
              <w:rPr>
                <w:spacing w:val="-10"/>
                <w:sz w:val="24"/>
              </w:rPr>
              <w:t>и</w:t>
            </w:r>
          </w:p>
          <w:p>
            <w:pPr>
              <w:pStyle w:val="TableParagraph"/>
              <w:spacing w:before="43"/>
              <w:ind w:left="107"/>
              <w:rPr>
                <w:sz w:val="24"/>
              </w:rPr>
            </w:pPr>
            <w:r>
              <w:rPr>
                <w:spacing w:val="-4"/>
                <w:sz w:val="24"/>
              </w:rPr>
              <w:t>выше</w:t>
            </w:r>
          </w:p>
        </w:tc>
        <w:tc>
          <w:tcPr>
            <w:tcW w:w="1807" w:type="dxa"/>
            <w:vMerge/>
            <w:tcBorders>
              <w:top w:val="nil"/>
            </w:tcBorders>
          </w:tcPr>
          <w:p>
            <w:pPr>
              <w:rPr>
                <w:sz w:val="2"/>
                <w:szCs w:val="2"/>
              </w:rPr>
            </w:pPr>
          </w:p>
        </w:tc>
      </w:tr>
      <w:tr>
        <w:trPr>
          <w:trHeight w:val="834" w:hRule="atLeast"/>
        </w:trPr>
        <w:tc>
          <w:tcPr>
            <w:tcW w:w="3171" w:type="dxa"/>
            <w:vMerge/>
            <w:tcBorders>
              <w:top w:val="nil"/>
            </w:tcBorders>
          </w:tcPr>
          <w:p>
            <w:pPr>
              <w:rPr>
                <w:sz w:val="2"/>
                <w:szCs w:val="2"/>
              </w:rPr>
            </w:pPr>
          </w:p>
        </w:tc>
        <w:tc>
          <w:tcPr>
            <w:tcW w:w="3629" w:type="dxa"/>
          </w:tcPr>
          <w:p>
            <w:pPr>
              <w:pStyle w:val="TableParagraph"/>
              <w:spacing w:line="278" w:lineRule="auto"/>
              <w:ind w:left="107"/>
              <w:rPr>
                <w:sz w:val="24"/>
              </w:rPr>
            </w:pPr>
            <w:r>
              <w:rPr>
                <w:sz w:val="24"/>
              </w:rPr>
              <w:t>Включенность</w:t>
            </w:r>
            <w:r>
              <w:rPr>
                <w:spacing w:val="-15"/>
                <w:sz w:val="24"/>
              </w:rPr>
              <w:t> </w:t>
            </w:r>
            <w:r>
              <w:rPr>
                <w:sz w:val="24"/>
              </w:rPr>
              <w:t>в</w:t>
            </w:r>
            <w:r>
              <w:rPr>
                <w:spacing w:val="-15"/>
                <w:sz w:val="24"/>
              </w:rPr>
              <w:t> </w:t>
            </w:r>
            <w:r>
              <w:rPr>
                <w:sz w:val="24"/>
              </w:rPr>
              <w:t>культуру принимающего</w:t>
            </w:r>
            <w:r>
              <w:rPr>
                <w:spacing w:val="-6"/>
                <w:sz w:val="24"/>
              </w:rPr>
              <w:t> </w:t>
            </w:r>
            <w:r>
              <w:rPr>
                <w:spacing w:val="-2"/>
                <w:sz w:val="24"/>
              </w:rPr>
              <w:t>общества.</w:t>
            </w:r>
          </w:p>
        </w:tc>
        <w:tc>
          <w:tcPr>
            <w:tcW w:w="1136" w:type="dxa"/>
          </w:tcPr>
          <w:p>
            <w:pPr>
              <w:pStyle w:val="TableParagraph"/>
              <w:spacing w:line="270" w:lineRule="exact"/>
              <w:ind w:left="107"/>
              <w:rPr>
                <w:sz w:val="24"/>
              </w:rPr>
            </w:pPr>
            <w:r>
              <w:rPr>
                <w:sz w:val="24"/>
              </w:rPr>
              <w:t>1.4 </w:t>
            </w:r>
            <w:r>
              <w:rPr>
                <w:spacing w:val="-10"/>
                <w:sz w:val="24"/>
              </w:rPr>
              <w:t>и</w:t>
            </w:r>
          </w:p>
          <w:p>
            <w:pPr>
              <w:pStyle w:val="TableParagraph"/>
              <w:spacing w:before="43"/>
              <w:ind w:left="107"/>
              <w:rPr>
                <w:sz w:val="24"/>
              </w:rPr>
            </w:pPr>
            <w:r>
              <w:rPr>
                <w:spacing w:val="-4"/>
                <w:sz w:val="24"/>
              </w:rPr>
              <w:t>выше</w:t>
            </w:r>
          </w:p>
        </w:tc>
        <w:tc>
          <w:tcPr>
            <w:tcW w:w="1807" w:type="dxa"/>
            <w:vMerge/>
            <w:tcBorders>
              <w:top w:val="nil"/>
            </w:tcBorders>
          </w:tcPr>
          <w:p>
            <w:pPr>
              <w:rPr>
                <w:sz w:val="2"/>
                <w:szCs w:val="2"/>
              </w:rPr>
            </w:pPr>
          </w:p>
        </w:tc>
      </w:tr>
      <w:tr>
        <w:trPr>
          <w:trHeight w:val="834" w:hRule="atLeast"/>
        </w:trPr>
        <w:tc>
          <w:tcPr>
            <w:tcW w:w="3171" w:type="dxa"/>
          </w:tcPr>
          <w:p>
            <w:pPr>
              <w:pStyle w:val="TableParagraph"/>
              <w:spacing w:line="278" w:lineRule="auto"/>
              <w:ind w:left="107" w:right="118"/>
              <w:rPr>
                <w:sz w:val="24"/>
              </w:rPr>
            </w:pPr>
            <w:r>
              <w:rPr>
                <w:sz w:val="24"/>
              </w:rPr>
              <w:t>Детский опросник аккультурационного</w:t>
            </w:r>
            <w:r>
              <w:rPr>
                <w:spacing w:val="-15"/>
                <w:sz w:val="24"/>
              </w:rPr>
              <w:t> </w:t>
            </w:r>
            <w:r>
              <w:rPr>
                <w:sz w:val="24"/>
              </w:rPr>
              <w:t>стресса</w:t>
            </w:r>
          </w:p>
        </w:tc>
        <w:tc>
          <w:tcPr>
            <w:tcW w:w="3629" w:type="dxa"/>
          </w:tcPr>
          <w:p>
            <w:pPr>
              <w:pStyle w:val="TableParagraph"/>
              <w:spacing w:line="278" w:lineRule="auto"/>
              <w:ind w:left="107" w:right="516"/>
              <w:rPr>
                <w:sz w:val="24"/>
              </w:rPr>
            </w:pPr>
            <w:r>
              <w:rPr>
                <w:sz w:val="24"/>
              </w:rPr>
              <w:t>Общий уровень аккультурационного</w:t>
            </w:r>
            <w:r>
              <w:rPr>
                <w:spacing w:val="-15"/>
                <w:sz w:val="24"/>
              </w:rPr>
              <w:t> </w:t>
            </w:r>
            <w:r>
              <w:rPr>
                <w:sz w:val="24"/>
              </w:rPr>
              <w:t>стресса.</w:t>
            </w:r>
          </w:p>
        </w:tc>
        <w:tc>
          <w:tcPr>
            <w:tcW w:w="1136" w:type="dxa"/>
          </w:tcPr>
          <w:p>
            <w:pPr>
              <w:pStyle w:val="TableParagraph"/>
              <w:spacing w:line="278" w:lineRule="auto"/>
              <w:ind w:left="107" w:right="449"/>
              <w:rPr>
                <w:sz w:val="24"/>
              </w:rPr>
            </w:pPr>
            <w:r>
              <w:rPr>
                <w:sz w:val="24"/>
              </w:rPr>
              <w:t>13 и </w:t>
            </w:r>
            <w:r>
              <w:rPr>
                <w:spacing w:val="-4"/>
                <w:sz w:val="24"/>
              </w:rPr>
              <w:t>ниже</w:t>
            </w:r>
          </w:p>
        </w:tc>
        <w:tc>
          <w:tcPr>
            <w:tcW w:w="1807" w:type="dxa"/>
            <w:vMerge/>
            <w:tcBorders>
              <w:top w:val="nil"/>
            </w:tcBorders>
          </w:tcPr>
          <w:p>
            <w:pPr>
              <w:rPr>
                <w:sz w:val="2"/>
                <w:szCs w:val="2"/>
              </w:rPr>
            </w:pPr>
          </w:p>
        </w:tc>
      </w:tr>
      <w:tr>
        <w:trPr>
          <w:trHeight w:val="518" w:hRule="atLeast"/>
        </w:trPr>
        <w:tc>
          <w:tcPr>
            <w:tcW w:w="3171" w:type="dxa"/>
          </w:tcPr>
          <w:p>
            <w:pPr>
              <w:pStyle w:val="TableParagraph"/>
              <w:spacing w:line="270" w:lineRule="exact"/>
              <w:ind w:left="107"/>
              <w:rPr>
                <w:sz w:val="24"/>
              </w:rPr>
            </w:pPr>
            <w:r>
              <w:rPr>
                <w:sz w:val="24"/>
              </w:rPr>
              <w:t>Опросник</w:t>
            </w:r>
            <w:r>
              <w:rPr>
                <w:spacing w:val="-2"/>
                <w:sz w:val="24"/>
              </w:rPr>
              <w:t> Ахенбаха</w:t>
            </w:r>
          </w:p>
        </w:tc>
        <w:tc>
          <w:tcPr>
            <w:tcW w:w="3629" w:type="dxa"/>
          </w:tcPr>
          <w:p>
            <w:pPr>
              <w:pStyle w:val="TableParagraph"/>
              <w:spacing w:line="270" w:lineRule="exact"/>
              <w:ind w:left="107"/>
              <w:rPr>
                <w:sz w:val="24"/>
              </w:rPr>
            </w:pPr>
            <w:r>
              <w:rPr>
                <w:sz w:val="24"/>
              </w:rPr>
              <w:t>Проблемы</w:t>
            </w:r>
            <w:r>
              <w:rPr>
                <w:spacing w:val="-2"/>
                <w:sz w:val="24"/>
              </w:rPr>
              <w:t> интернализации</w:t>
            </w:r>
          </w:p>
        </w:tc>
        <w:tc>
          <w:tcPr>
            <w:tcW w:w="1136" w:type="dxa"/>
          </w:tcPr>
          <w:p>
            <w:pPr>
              <w:pStyle w:val="TableParagraph"/>
              <w:spacing w:line="270" w:lineRule="exact"/>
              <w:ind w:left="107"/>
              <w:rPr>
                <w:sz w:val="24"/>
              </w:rPr>
            </w:pPr>
            <w:r>
              <w:rPr>
                <w:sz w:val="24"/>
              </w:rPr>
              <w:t>6 и </w:t>
            </w:r>
            <w:r>
              <w:rPr>
                <w:spacing w:val="-4"/>
                <w:sz w:val="24"/>
              </w:rPr>
              <w:t>ниже</w:t>
            </w:r>
          </w:p>
        </w:tc>
        <w:tc>
          <w:tcPr>
            <w:tcW w:w="1807" w:type="dxa"/>
            <w:vMerge w:val="restart"/>
          </w:tcPr>
          <w:p>
            <w:pPr>
              <w:pStyle w:val="TableParagraph"/>
              <w:spacing w:line="270" w:lineRule="exact"/>
              <w:ind w:left="105"/>
              <w:rPr>
                <w:sz w:val="24"/>
              </w:rPr>
            </w:pPr>
            <w:r>
              <w:rPr>
                <w:spacing w:val="-2"/>
                <w:sz w:val="24"/>
              </w:rPr>
              <w:t>расширенный</w:t>
            </w:r>
          </w:p>
        </w:tc>
      </w:tr>
      <w:tr>
        <w:trPr>
          <w:trHeight w:val="1151" w:hRule="atLeast"/>
        </w:trPr>
        <w:tc>
          <w:tcPr>
            <w:tcW w:w="3171" w:type="dxa"/>
          </w:tcPr>
          <w:p>
            <w:pPr>
              <w:pStyle w:val="TableParagraph"/>
              <w:spacing w:line="276" w:lineRule="auto"/>
              <w:ind w:left="107" w:right="199"/>
              <w:rPr>
                <w:sz w:val="24"/>
              </w:rPr>
            </w:pPr>
            <w:r>
              <w:rPr>
                <w:sz w:val="24"/>
              </w:rPr>
              <w:t>Многомерная шкала удовлетворенности</w:t>
            </w:r>
            <w:r>
              <w:rPr>
                <w:spacing w:val="-15"/>
                <w:sz w:val="24"/>
              </w:rPr>
              <w:t> </w:t>
            </w:r>
            <w:r>
              <w:rPr>
                <w:sz w:val="24"/>
              </w:rPr>
              <w:t>жизнью школьников ШУДЖИ</w:t>
            </w:r>
          </w:p>
        </w:tc>
        <w:tc>
          <w:tcPr>
            <w:tcW w:w="3629" w:type="dxa"/>
          </w:tcPr>
          <w:p>
            <w:pPr>
              <w:pStyle w:val="TableParagraph"/>
              <w:spacing w:line="276" w:lineRule="auto"/>
              <w:ind w:left="107" w:right="839"/>
              <w:rPr>
                <w:sz w:val="24"/>
              </w:rPr>
            </w:pPr>
            <w:r>
              <w:rPr>
                <w:sz w:val="24"/>
              </w:rPr>
              <w:t>общая</w:t>
            </w:r>
            <w:r>
              <w:rPr>
                <w:spacing w:val="-15"/>
                <w:sz w:val="24"/>
              </w:rPr>
              <w:t> </w:t>
            </w:r>
            <w:r>
              <w:rPr>
                <w:sz w:val="24"/>
              </w:rPr>
              <w:t>удовлетворенность </w:t>
            </w:r>
            <w:r>
              <w:rPr>
                <w:spacing w:val="-2"/>
                <w:sz w:val="24"/>
              </w:rPr>
              <w:t>жизнью</w:t>
            </w:r>
          </w:p>
        </w:tc>
        <w:tc>
          <w:tcPr>
            <w:tcW w:w="1136" w:type="dxa"/>
          </w:tcPr>
          <w:p>
            <w:pPr>
              <w:pStyle w:val="TableParagraph"/>
              <w:spacing w:line="270" w:lineRule="exact"/>
              <w:ind w:left="107"/>
              <w:rPr>
                <w:sz w:val="24"/>
              </w:rPr>
            </w:pPr>
            <w:r>
              <w:rPr>
                <w:sz w:val="24"/>
              </w:rPr>
              <w:t>126 </w:t>
            </w:r>
            <w:r>
              <w:rPr>
                <w:spacing w:val="-10"/>
                <w:sz w:val="24"/>
              </w:rPr>
              <w:t>и</w:t>
            </w:r>
          </w:p>
          <w:p>
            <w:pPr>
              <w:pStyle w:val="TableParagraph"/>
              <w:spacing w:before="41"/>
              <w:ind w:left="107"/>
              <w:rPr>
                <w:sz w:val="24"/>
              </w:rPr>
            </w:pPr>
            <w:r>
              <w:rPr>
                <w:spacing w:val="-4"/>
                <w:sz w:val="24"/>
              </w:rPr>
              <w:t>выше</w:t>
            </w:r>
          </w:p>
        </w:tc>
        <w:tc>
          <w:tcPr>
            <w:tcW w:w="1807" w:type="dxa"/>
            <w:vMerge/>
            <w:tcBorders>
              <w:top w:val="nil"/>
            </w:tcBorders>
          </w:tcPr>
          <w:p>
            <w:pPr>
              <w:rPr>
                <w:sz w:val="2"/>
                <w:szCs w:val="2"/>
              </w:rPr>
            </w:pPr>
          </w:p>
        </w:tc>
      </w:tr>
      <w:tr>
        <w:trPr>
          <w:trHeight w:val="1151" w:hRule="atLeast"/>
        </w:trPr>
        <w:tc>
          <w:tcPr>
            <w:tcW w:w="3171" w:type="dxa"/>
          </w:tcPr>
          <w:p>
            <w:pPr>
              <w:pStyle w:val="TableParagraph"/>
              <w:spacing w:line="276" w:lineRule="auto"/>
              <w:ind w:left="107"/>
              <w:rPr>
                <w:sz w:val="24"/>
              </w:rPr>
            </w:pPr>
            <w:r>
              <w:rPr>
                <w:sz w:val="24"/>
              </w:rPr>
              <w:t>Детский тест </w:t>
            </w:r>
            <w:r>
              <w:rPr>
                <w:spacing w:val="-2"/>
                <w:sz w:val="24"/>
              </w:rPr>
              <w:t>психологической устойчивости</w:t>
            </w:r>
          </w:p>
        </w:tc>
        <w:tc>
          <w:tcPr>
            <w:tcW w:w="3629" w:type="dxa"/>
          </w:tcPr>
          <w:p>
            <w:pPr>
              <w:pStyle w:val="TableParagraph"/>
              <w:spacing w:line="276" w:lineRule="auto"/>
              <w:ind w:left="107" w:right="967"/>
              <w:rPr>
                <w:sz w:val="24"/>
              </w:rPr>
            </w:pPr>
            <w:r>
              <w:rPr>
                <w:sz w:val="24"/>
              </w:rPr>
              <w:t>Общая</w:t>
            </w:r>
            <w:r>
              <w:rPr>
                <w:spacing w:val="-15"/>
                <w:sz w:val="24"/>
              </w:rPr>
              <w:t> </w:t>
            </w:r>
            <w:r>
              <w:rPr>
                <w:sz w:val="24"/>
              </w:rPr>
              <w:t>Психологическая </w:t>
            </w:r>
            <w:r>
              <w:rPr>
                <w:spacing w:val="-2"/>
                <w:sz w:val="24"/>
              </w:rPr>
              <w:t>устойчивость</w:t>
            </w:r>
          </w:p>
        </w:tc>
        <w:tc>
          <w:tcPr>
            <w:tcW w:w="1136" w:type="dxa"/>
          </w:tcPr>
          <w:p>
            <w:pPr>
              <w:pStyle w:val="TableParagraph"/>
              <w:spacing w:line="276" w:lineRule="auto"/>
              <w:ind w:left="107" w:right="449"/>
              <w:rPr>
                <w:sz w:val="24"/>
              </w:rPr>
            </w:pPr>
            <w:r>
              <w:rPr>
                <w:sz w:val="24"/>
              </w:rPr>
              <w:t>76 и </w:t>
            </w:r>
            <w:r>
              <w:rPr>
                <w:spacing w:val="-4"/>
                <w:sz w:val="24"/>
              </w:rPr>
              <w:t>выше</w:t>
            </w:r>
          </w:p>
        </w:tc>
        <w:tc>
          <w:tcPr>
            <w:tcW w:w="1807" w:type="dxa"/>
            <w:vMerge/>
            <w:tcBorders>
              <w:top w:val="nil"/>
            </w:tcBorders>
          </w:tcPr>
          <w:p>
            <w:pPr>
              <w:rPr>
                <w:sz w:val="2"/>
                <w:szCs w:val="2"/>
              </w:rPr>
            </w:pPr>
          </w:p>
        </w:tc>
      </w:tr>
      <w:tr>
        <w:trPr>
          <w:trHeight w:val="835" w:hRule="atLeast"/>
        </w:trPr>
        <w:tc>
          <w:tcPr>
            <w:tcW w:w="3171" w:type="dxa"/>
          </w:tcPr>
          <w:p>
            <w:pPr>
              <w:pStyle w:val="TableParagraph"/>
              <w:spacing w:line="278" w:lineRule="auto"/>
              <w:ind w:left="107" w:right="438"/>
              <w:rPr>
                <w:sz w:val="24"/>
              </w:rPr>
            </w:pPr>
            <w:r>
              <w:rPr>
                <w:sz w:val="24"/>
              </w:rPr>
              <w:t>Шкала социального избегания</w:t>
            </w:r>
            <w:r>
              <w:rPr>
                <w:spacing w:val="-15"/>
                <w:sz w:val="24"/>
              </w:rPr>
              <w:t> </w:t>
            </w:r>
            <w:r>
              <w:rPr>
                <w:sz w:val="24"/>
              </w:rPr>
              <w:t>и</w:t>
            </w:r>
            <w:r>
              <w:rPr>
                <w:spacing w:val="-15"/>
                <w:sz w:val="24"/>
              </w:rPr>
              <w:t> </w:t>
            </w:r>
            <w:r>
              <w:rPr>
                <w:sz w:val="24"/>
              </w:rPr>
              <w:t>дистресса</w:t>
            </w:r>
          </w:p>
        </w:tc>
        <w:tc>
          <w:tcPr>
            <w:tcW w:w="3629" w:type="dxa"/>
          </w:tcPr>
          <w:p>
            <w:pPr>
              <w:pStyle w:val="TableParagraph"/>
              <w:spacing w:line="270" w:lineRule="exact"/>
              <w:ind w:left="107"/>
              <w:rPr>
                <w:sz w:val="24"/>
              </w:rPr>
            </w:pPr>
            <w:r>
              <w:rPr>
                <w:sz w:val="24"/>
              </w:rPr>
              <w:t>Социальная</w:t>
            </w:r>
            <w:r>
              <w:rPr>
                <w:spacing w:val="-6"/>
                <w:sz w:val="24"/>
              </w:rPr>
              <w:t> </w:t>
            </w:r>
            <w:r>
              <w:rPr>
                <w:spacing w:val="-2"/>
                <w:sz w:val="24"/>
              </w:rPr>
              <w:t>тревожность</w:t>
            </w:r>
          </w:p>
        </w:tc>
        <w:tc>
          <w:tcPr>
            <w:tcW w:w="1136" w:type="dxa"/>
          </w:tcPr>
          <w:p>
            <w:pPr>
              <w:pStyle w:val="TableParagraph"/>
              <w:spacing w:line="270" w:lineRule="exact"/>
              <w:ind w:left="107"/>
              <w:rPr>
                <w:sz w:val="24"/>
              </w:rPr>
            </w:pPr>
            <w:r>
              <w:rPr>
                <w:sz w:val="24"/>
              </w:rPr>
              <w:t>7 и </w:t>
            </w:r>
            <w:r>
              <w:rPr>
                <w:spacing w:val="-4"/>
                <w:sz w:val="24"/>
              </w:rPr>
              <w:t>ниже</w:t>
            </w:r>
          </w:p>
        </w:tc>
        <w:tc>
          <w:tcPr>
            <w:tcW w:w="1807" w:type="dxa"/>
            <w:vMerge/>
            <w:tcBorders>
              <w:top w:val="nil"/>
            </w:tcBorders>
          </w:tcPr>
          <w:p>
            <w:pPr>
              <w:rPr>
                <w:sz w:val="2"/>
                <w:szCs w:val="2"/>
              </w:rPr>
            </w:pPr>
          </w:p>
        </w:tc>
      </w:tr>
      <w:tr>
        <w:trPr>
          <w:trHeight w:val="834" w:hRule="atLeast"/>
        </w:trPr>
        <w:tc>
          <w:tcPr>
            <w:tcW w:w="3171" w:type="dxa"/>
          </w:tcPr>
          <w:p>
            <w:pPr>
              <w:pStyle w:val="TableParagraph"/>
              <w:spacing w:line="270" w:lineRule="exact"/>
              <w:ind w:left="107"/>
              <w:rPr>
                <w:sz w:val="24"/>
              </w:rPr>
            </w:pPr>
            <w:r>
              <w:rPr>
                <w:sz w:val="24"/>
              </w:rPr>
              <w:t>Опросник</w:t>
            </w:r>
            <w:r>
              <w:rPr>
                <w:spacing w:val="-2"/>
                <w:sz w:val="24"/>
              </w:rPr>
              <w:t> депрессивности</w:t>
            </w:r>
          </w:p>
        </w:tc>
        <w:tc>
          <w:tcPr>
            <w:tcW w:w="3629" w:type="dxa"/>
          </w:tcPr>
          <w:p>
            <w:pPr>
              <w:pStyle w:val="TableParagraph"/>
              <w:spacing w:line="270" w:lineRule="exact"/>
              <w:ind w:left="107"/>
              <w:rPr>
                <w:sz w:val="24"/>
              </w:rPr>
            </w:pPr>
            <w:r>
              <w:rPr>
                <w:spacing w:val="-2"/>
                <w:sz w:val="24"/>
              </w:rPr>
              <w:t>Депрессивность</w:t>
            </w:r>
          </w:p>
        </w:tc>
        <w:tc>
          <w:tcPr>
            <w:tcW w:w="1136" w:type="dxa"/>
          </w:tcPr>
          <w:p>
            <w:pPr>
              <w:pStyle w:val="TableParagraph"/>
              <w:spacing w:line="278" w:lineRule="auto"/>
              <w:ind w:left="107" w:right="449"/>
              <w:rPr>
                <w:sz w:val="24"/>
              </w:rPr>
            </w:pPr>
            <w:r>
              <w:rPr>
                <w:sz w:val="24"/>
              </w:rPr>
              <w:t>14 и </w:t>
            </w:r>
            <w:r>
              <w:rPr>
                <w:spacing w:val="-4"/>
                <w:sz w:val="24"/>
              </w:rPr>
              <w:t>ниже</w:t>
            </w:r>
          </w:p>
        </w:tc>
        <w:tc>
          <w:tcPr>
            <w:tcW w:w="1807" w:type="dxa"/>
            <w:vMerge/>
            <w:tcBorders>
              <w:top w:val="nil"/>
            </w:tcBorders>
          </w:tcPr>
          <w:p>
            <w:pPr>
              <w:rPr>
                <w:sz w:val="2"/>
                <w:szCs w:val="2"/>
              </w:rPr>
            </w:pPr>
          </w:p>
        </w:tc>
      </w:tr>
    </w:tbl>
    <w:p>
      <w:pPr>
        <w:spacing w:after="0"/>
        <w:rPr>
          <w:sz w:val="2"/>
          <w:szCs w:val="2"/>
        </w:rPr>
        <w:sectPr>
          <w:pgSz w:w="11910" w:h="16840"/>
          <w:pgMar w:header="0" w:footer="970" w:top="1040" w:bottom="1220" w:left="1417" w:right="283"/>
        </w:sect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71"/>
        <w:gridCol w:w="3629"/>
        <w:gridCol w:w="1136"/>
        <w:gridCol w:w="1807"/>
      </w:tblGrid>
      <w:tr>
        <w:trPr>
          <w:trHeight w:val="835" w:hRule="atLeast"/>
        </w:trPr>
        <w:tc>
          <w:tcPr>
            <w:tcW w:w="3171" w:type="dxa"/>
          </w:tcPr>
          <w:p>
            <w:pPr>
              <w:pStyle w:val="TableParagraph"/>
              <w:spacing w:line="273" w:lineRule="exact"/>
              <w:ind w:left="107"/>
              <w:rPr>
                <w:sz w:val="24"/>
              </w:rPr>
            </w:pPr>
            <w:r>
              <w:rPr>
                <w:sz w:val="24"/>
              </w:rPr>
              <w:t>Шкала</w:t>
            </w:r>
            <w:r>
              <w:rPr>
                <w:spacing w:val="-4"/>
                <w:sz w:val="24"/>
              </w:rPr>
              <w:t> </w:t>
            </w:r>
            <w:r>
              <w:rPr>
                <w:sz w:val="24"/>
              </w:rPr>
              <w:t>отношения</w:t>
            </w:r>
            <w:r>
              <w:rPr>
                <w:spacing w:val="-4"/>
                <w:sz w:val="24"/>
              </w:rPr>
              <w:t> </w:t>
            </w:r>
            <w:r>
              <w:rPr>
                <w:sz w:val="24"/>
              </w:rPr>
              <w:t>к </w:t>
            </w:r>
            <w:r>
              <w:rPr>
                <w:spacing w:val="-2"/>
                <w:sz w:val="24"/>
              </w:rPr>
              <w:t>школе</w:t>
            </w:r>
          </w:p>
        </w:tc>
        <w:tc>
          <w:tcPr>
            <w:tcW w:w="3629" w:type="dxa"/>
          </w:tcPr>
          <w:p>
            <w:pPr>
              <w:pStyle w:val="TableParagraph"/>
              <w:spacing w:line="276" w:lineRule="auto"/>
              <w:ind w:left="107"/>
              <w:rPr>
                <w:sz w:val="24"/>
              </w:rPr>
            </w:pPr>
            <w:r>
              <w:rPr>
                <w:sz w:val="24"/>
              </w:rPr>
              <w:t>Уровень внутренней школьной мотивации</w:t>
            </w:r>
            <w:r>
              <w:rPr>
                <w:spacing w:val="-11"/>
                <w:sz w:val="24"/>
              </w:rPr>
              <w:t> </w:t>
            </w:r>
            <w:r>
              <w:rPr>
                <w:sz w:val="24"/>
              </w:rPr>
              <w:t>и</w:t>
            </w:r>
            <w:r>
              <w:rPr>
                <w:spacing w:val="-9"/>
                <w:sz w:val="24"/>
              </w:rPr>
              <w:t> </w:t>
            </w:r>
            <w:r>
              <w:rPr>
                <w:sz w:val="24"/>
              </w:rPr>
              <w:t>отношения</w:t>
            </w:r>
            <w:r>
              <w:rPr>
                <w:spacing w:val="-9"/>
                <w:sz w:val="24"/>
              </w:rPr>
              <w:t> </w:t>
            </w:r>
            <w:r>
              <w:rPr>
                <w:sz w:val="24"/>
              </w:rPr>
              <w:t>к</w:t>
            </w:r>
            <w:r>
              <w:rPr>
                <w:spacing w:val="-9"/>
                <w:sz w:val="24"/>
              </w:rPr>
              <w:t> </w:t>
            </w:r>
            <w:r>
              <w:rPr>
                <w:sz w:val="24"/>
              </w:rPr>
              <w:t>школе</w:t>
            </w:r>
          </w:p>
        </w:tc>
        <w:tc>
          <w:tcPr>
            <w:tcW w:w="1136" w:type="dxa"/>
          </w:tcPr>
          <w:p>
            <w:pPr>
              <w:pStyle w:val="TableParagraph"/>
              <w:spacing w:line="276" w:lineRule="auto"/>
              <w:ind w:left="107" w:right="449"/>
              <w:rPr>
                <w:sz w:val="24"/>
              </w:rPr>
            </w:pPr>
            <w:r>
              <w:rPr>
                <w:sz w:val="24"/>
              </w:rPr>
              <w:t>29 и </w:t>
            </w:r>
            <w:r>
              <w:rPr>
                <w:spacing w:val="-4"/>
                <w:sz w:val="24"/>
              </w:rPr>
              <w:t>выше</w:t>
            </w:r>
          </w:p>
        </w:tc>
        <w:tc>
          <w:tcPr>
            <w:tcW w:w="1807" w:type="dxa"/>
            <w:vMerge w:val="restart"/>
          </w:tcPr>
          <w:p>
            <w:pPr>
              <w:pStyle w:val="TableParagraph"/>
              <w:rPr>
                <w:sz w:val="22"/>
              </w:rPr>
            </w:pPr>
          </w:p>
        </w:tc>
      </w:tr>
      <w:tr>
        <w:trPr>
          <w:trHeight w:val="834" w:hRule="atLeast"/>
        </w:trPr>
        <w:tc>
          <w:tcPr>
            <w:tcW w:w="3171" w:type="dxa"/>
            <w:vMerge w:val="restart"/>
          </w:tcPr>
          <w:p>
            <w:pPr>
              <w:pStyle w:val="TableParagraph"/>
              <w:spacing w:line="276" w:lineRule="auto"/>
              <w:ind w:left="107" w:right="241"/>
              <w:rPr>
                <w:sz w:val="24"/>
              </w:rPr>
            </w:pPr>
            <w:r>
              <w:rPr>
                <w:sz w:val="24"/>
              </w:rPr>
              <w:t>Методика измерения гражданской</w:t>
            </w:r>
            <w:r>
              <w:rPr>
                <w:spacing w:val="-15"/>
                <w:sz w:val="24"/>
              </w:rPr>
              <w:t> </w:t>
            </w:r>
            <w:r>
              <w:rPr>
                <w:sz w:val="24"/>
              </w:rPr>
              <w:t>идентичности для детей и подростков</w:t>
            </w:r>
          </w:p>
        </w:tc>
        <w:tc>
          <w:tcPr>
            <w:tcW w:w="3629" w:type="dxa"/>
          </w:tcPr>
          <w:p>
            <w:pPr>
              <w:pStyle w:val="TableParagraph"/>
              <w:spacing w:line="276" w:lineRule="auto"/>
              <w:ind w:left="107" w:right="657"/>
              <w:rPr>
                <w:sz w:val="24"/>
              </w:rPr>
            </w:pPr>
            <w:r>
              <w:rPr>
                <w:sz w:val="24"/>
              </w:rPr>
              <w:t>Национальная</w:t>
            </w:r>
            <w:r>
              <w:rPr>
                <w:spacing w:val="-15"/>
                <w:sz w:val="24"/>
              </w:rPr>
              <w:t> </w:t>
            </w:r>
            <w:r>
              <w:rPr>
                <w:sz w:val="24"/>
              </w:rPr>
              <w:t>(Pоссийская) </w:t>
            </w:r>
            <w:r>
              <w:rPr>
                <w:spacing w:val="-2"/>
                <w:sz w:val="24"/>
              </w:rPr>
              <w:t>идентичность</w:t>
            </w:r>
          </w:p>
        </w:tc>
        <w:tc>
          <w:tcPr>
            <w:tcW w:w="1136" w:type="dxa"/>
          </w:tcPr>
          <w:p>
            <w:pPr>
              <w:pStyle w:val="TableParagraph"/>
              <w:spacing w:line="276" w:lineRule="auto"/>
              <w:ind w:left="107" w:right="449"/>
              <w:rPr>
                <w:sz w:val="24"/>
              </w:rPr>
            </w:pPr>
            <w:r>
              <w:rPr>
                <w:sz w:val="24"/>
              </w:rPr>
              <w:t>24 и </w:t>
            </w:r>
            <w:r>
              <w:rPr>
                <w:spacing w:val="-4"/>
                <w:sz w:val="24"/>
              </w:rPr>
              <w:t>выше</w:t>
            </w:r>
          </w:p>
        </w:tc>
        <w:tc>
          <w:tcPr>
            <w:tcW w:w="1807" w:type="dxa"/>
            <w:vMerge/>
            <w:tcBorders>
              <w:top w:val="nil"/>
            </w:tcBorders>
          </w:tcPr>
          <w:p>
            <w:pPr>
              <w:rPr>
                <w:sz w:val="2"/>
                <w:szCs w:val="2"/>
              </w:rPr>
            </w:pPr>
          </w:p>
        </w:tc>
      </w:tr>
      <w:tr>
        <w:trPr>
          <w:trHeight w:val="834" w:hRule="atLeast"/>
        </w:trPr>
        <w:tc>
          <w:tcPr>
            <w:tcW w:w="3171" w:type="dxa"/>
            <w:vMerge/>
            <w:tcBorders>
              <w:top w:val="nil"/>
            </w:tcBorders>
          </w:tcPr>
          <w:p>
            <w:pPr>
              <w:rPr>
                <w:sz w:val="2"/>
                <w:szCs w:val="2"/>
              </w:rPr>
            </w:pPr>
          </w:p>
        </w:tc>
        <w:tc>
          <w:tcPr>
            <w:tcW w:w="3629" w:type="dxa"/>
          </w:tcPr>
          <w:p>
            <w:pPr>
              <w:pStyle w:val="TableParagraph"/>
              <w:spacing w:line="273" w:lineRule="exact"/>
              <w:ind w:left="107"/>
              <w:rPr>
                <w:sz w:val="24"/>
              </w:rPr>
            </w:pPr>
            <w:r>
              <w:rPr>
                <w:sz w:val="24"/>
              </w:rPr>
              <w:t>Этническая</w:t>
            </w:r>
            <w:r>
              <w:rPr>
                <w:spacing w:val="-4"/>
                <w:sz w:val="24"/>
              </w:rPr>
              <w:t> </w:t>
            </w:r>
            <w:r>
              <w:rPr>
                <w:spacing w:val="-2"/>
                <w:sz w:val="24"/>
              </w:rPr>
              <w:t>идентичность</w:t>
            </w:r>
          </w:p>
        </w:tc>
        <w:tc>
          <w:tcPr>
            <w:tcW w:w="1136" w:type="dxa"/>
          </w:tcPr>
          <w:p>
            <w:pPr>
              <w:pStyle w:val="TableParagraph"/>
              <w:spacing w:line="276" w:lineRule="auto"/>
              <w:ind w:left="107" w:right="449"/>
              <w:rPr>
                <w:sz w:val="24"/>
              </w:rPr>
            </w:pPr>
            <w:r>
              <w:rPr>
                <w:sz w:val="24"/>
              </w:rPr>
              <w:t>24 и </w:t>
            </w:r>
            <w:r>
              <w:rPr>
                <w:spacing w:val="-4"/>
                <w:sz w:val="24"/>
              </w:rPr>
              <w:t>выше</w:t>
            </w:r>
          </w:p>
        </w:tc>
        <w:tc>
          <w:tcPr>
            <w:tcW w:w="1807" w:type="dxa"/>
            <w:vMerge/>
            <w:tcBorders>
              <w:top w:val="nil"/>
            </w:tcBorders>
          </w:tcPr>
          <w:p>
            <w:pPr>
              <w:rPr>
                <w:sz w:val="2"/>
                <w:szCs w:val="2"/>
              </w:rPr>
            </w:pPr>
          </w:p>
        </w:tc>
      </w:tr>
      <w:tr>
        <w:trPr>
          <w:trHeight w:val="1154" w:hRule="atLeast"/>
        </w:trPr>
        <w:tc>
          <w:tcPr>
            <w:tcW w:w="3171" w:type="dxa"/>
          </w:tcPr>
          <w:p>
            <w:pPr>
              <w:pStyle w:val="TableParagraph"/>
              <w:spacing w:line="276" w:lineRule="auto"/>
              <w:ind w:left="107"/>
              <w:rPr>
                <w:sz w:val="24"/>
              </w:rPr>
            </w:pPr>
            <w:r>
              <w:rPr>
                <w:sz w:val="24"/>
              </w:rPr>
              <w:t>Краткая шкала </w:t>
            </w:r>
            <w:r>
              <w:rPr>
                <w:spacing w:val="-2"/>
                <w:sz w:val="24"/>
              </w:rPr>
              <w:t>социокультурной дезадаптации</w:t>
            </w:r>
          </w:p>
        </w:tc>
        <w:tc>
          <w:tcPr>
            <w:tcW w:w="3629" w:type="dxa"/>
          </w:tcPr>
          <w:p>
            <w:pPr>
              <w:pStyle w:val="TableParagraph"/>
              <w:spacing w:line="273" w:lineRule="exact"/>
              <w:ind w:left="107"/>
              <w:rPr>
                <w:sz w:val="24"/>
              </w:rPr>
            </w:pPr>
            <w:r>
              <w:rPr>
                <w:sz w:val="24"/>
              </w:rPr>
              <w:t>Социокультурная</w:t>
            </w:r>
            <w:r>
              <w:rPr>
                <w:spacing w:val="-11"/>
                <w:sz w:val="24"/>
              </w:rPr>
              <w:t> </w:t>
            </w:r>
            <w:r>
              <w:rPr>
                <w:spacing w:val="-2"/>
                <w:sz w:val="24"/>
              </w:rPr>
              <w:t>дезадаптация</w:t>
            </w:r>
          </w:p>
        </w:tc>
        <w:tc>
          <w:tcPr>
            <w:tcW w:w="1136" w:type="dxa"/>
          </w:tcPr>
          <w:p>
            <w:pPr>
              <w:pStyle w:val="TableParagraph"/>
              <w:spacing w:line="276" w:lineRule="auto"/>
              <w:ind w:left="107" w:right="449"/>
              <w:rPr>
                <w:sz w:val="24"/>
              </w:rPr>
            </w:pPr>
            <w:r>
              <w:rPr>
                <w:sz w:val="24"/>
              </w:rPr>
              <w:t>19 и </w:t>
            </w:r>
            <w:r>
              <w:rPr>
                <w:spacing w:val="-4"/>
                <w:sz w:val="24"/>
              </w:rPr>
              <w:t>ниже</w:t>
            </w:r>
          </w:p>
        </w:tc>
        <w:tc>
          <w:tcPr>
            <w:tcW w:w="1807" w:type="dxa"/>
            <w:vMerge/>
            <w:tcBorders>
              <w:top w:val="nil"/>
            </w:tcBorders>
          </w:tcPr>
          <w:p>
            <w:pPr>
              <w:rPr>
                <w:sz w:val="2"/>
                <w:szCs w:val="2"/>
              </w:rPr>
            </w:pPr>
          </w:p>
        </w:tc>
      </w:tr>
      <w:tr>
        <w:trPr>
          <w:trHeight w:val="1785" w:hRule="atLeast"/>
        </w:trPr>
        <w:tc>
          <w:tcPr>
            <w:tcW w:w="3171" w:type="dxa"/>
          </w:tcPr>
          <w:p>
            <w:pPr>
              <w:pStyle w:val="TableParagraph"/>
              <w:spacing w:line="276" w:lineRule="auto"/>
              <w:ind w:left="107" w:right="332"/>
              <w:rPr>
                <w:sz w:val="24"/>
              </w:rPr>
            </w:pPr>
            <w:r>
              <w:rPr>
                <w:sz w:val="24"/>
              </w:rPr>
              <w:t>Карта</w:t>
            </w:r>
            <w:r>
              <w:rPr>
                <w:spacing w:val="-15"/>
                <w:sz w:val="24"/>
              </w:rPr>
              <w:t> </w:t>
            </w:r>
            <w:r>
              <w:rPr>
                <w:sz w:val="24"/>
              </w:rPr>
              <w:t>стандартизованного наблюдения детей и подростков из семей мигрантов «Стратегии </w:t>
            </w:r>
            <w:r>
              <w:rPr>
                <w:spacing w:val="-2"/>
                <w:sz w:val="24"/>
              </w:rPr>
              <w:t>адаптации»</w:t>
            </w:r>
          </w:p>
        </w:tc>
        <w:tc>
          <w:tcPr>
            <w:tcW w:w="3629" w:type="dxa"/>
          </w:tcPr>
          <w:p>
            <w:pPr>
              <w:pStyle w:val="TableParagraph"/>
              <w:spacing w:line="270" w:lineRule="exact"/>
              <w:ind w:left="107"/>
              <w:rPr>
                <w:sz w:val="24"/>
              </w:rPr>
            </w:pPr>
            <w:r>
              <w:rPr>
                <w:spacing w:val="-2"/>
                <w:sz w:val="24"/>
              </w:rPr>
              <w:t>Интеграция</w:t>
            </w:r>
          </w:p>
        </w:tc>
        <w:tc>
          <w:tcPr>
            <w:tcW w:w="1136" w:type="dxa"/>
          </w:tcPr>
          <w:p>
            <w:pPr>
              <w:pStyle w:val="TableParagraph"/>
              <w:spacing w:line="270" w:lineRule="exact"/>
              <w:ind w:left="107"/>
              <w:rPr>
                <w:sz w:val="24"/>
              </w:rPr>
            </w:pPr>
            <w:r>
              <w:rPr>
                <w:sz w:val="24"/>
              </w:rPr>
              <w:t>9.5 </w:t>
            </w:r>
            <w:r>
              <w:rPr>
                <w:spacing w:val="-10"/>
                <w:sz w:val="24"/>
              </w:rPr>
              <w:t>и</w:t>
            </w:r>
          </w:p>
          <w:p>
            <w:pPr>
              <w:pStyle w:val="TableParagraph"/>
              <w:spacing w:before="41"/>
              <w:ind w:left="107"/>
              <w:rPr>
                <w:sz w:val="24"/>
              </w:rPr>
            </w:pPr>
            <w:r>
              <w:rPr>
                <w:spacing w:val="-4"/>
                <w:sz w:val="24"/>
              </w:rPr>
              <w:t>выше</w:t>
            </w:r>
          </w:p>
        </w:tc>
        <w:tc>
          <w:tcPr>
            <w:tcW w:w="1807" w:type="dxa"/>
            <w:vMerge/>
            <w:tcBorders>
              <w:top w:val="nil"/>
            </w:tcBorders>
          </w:tcPr>
          <w:p>
            <w:pPr>
              <w:rPr>
                <w:sz w:val="2"/>
                <w:szCs w:val="2"/>
              </w:rPr>
            </w:pPr>
          </w:p>
        </w:tc>
      </w:tr>
      <w:tr>
        <w:trPr>
          <w:trHeight w:val="1153" w:hRule="atLeast"/>
        </w:trPr>
        <w:tc>
          <w:tcPr>
            <w:tcW w:w="3171" w:type="dxa"/>
          </w:tcPr>
          <w:p>
            <w:pPr>
              <w:pStyle w:val="TableParagraph"/>
              <w:spacing w:line="276" w:lineRule="auto"/>
              <w:ind w:left="107" w:right="641"/>
              <w:rPr>
                <w:sz w:val="24"/>
              </w:rPr>
            </w:pPr>
            <w:r>
              <w:rPr>
                <w:sz w:val="24"/>
              </w:rPr>
              <w:t>Опросник</w:t>
            </w:r>
            <w:r>
              <w:rPr>
                <w:spacing w:val="-15"/>
                <w:sz w:val="24"/>
              </w:rPr>
              <w:t> </w:t>
            </w:r>
            <w:r>
              <w:rPr>
                <w:sz w:val="24"/>
              </w:rPr>
              <w:t>«Интеграция </w:t>
            </w:r>
            <w:r>
              <w:rPr>
                <w:spacing w:val="-2"/>
                <w:sz w:val="24"/>
              </w:rPr>
              <w:t>бикультурной идентичности»</w:t>
            </w:r>
          </w:p>
        </w:tc>
        <w:tc>
          <w:tcPr>
            <w:tcW w:w="3629" w:type="dxa"/>
          </w:tcPr>
          <w:p>
            <w:pPr>
              <w:pStyle w:val="TableParagraph"/>
              <w:spacing w:line="276" w:lineRule="auto"/>
              <w:ind w:left="107" w:right="694"/>
              <w:rPr>
                <w:sz w:val="24"/>
              </w:rPr>
            </w:pPr>
            <w:r>
              <w:rPr>
                <w:sz w:val="24"/>
              </w:rPr>
              <w:t>Культурное смешение vs Культурная</w:t>
            </w:r>
            <w:r>
              <w:rPr>
                <w:spacing w:val="-15"/>
                <w:sz w:val="24"/>
              </w:rPr>
              <w:t> </w:t>
            </w:r>
            <w:r>
              <w:rPr>
                <w:sz w:val="24"/>
              </w:rPr>
              <w:t>разобщенность</w:t>
            </w:r>
          </w:p>
        </w:tc>
        <w:tc>
          <w:tcPr>
            <w:tcW w:w="1136" w:type="dxa"/>
          </w:tcPr>
          <w:p>
            <w:pPr>
              <w:pStyle w:val="TableParagraph"/>
              <w:spacing w:line="276" w:lineRule="auto"/>
              <w:ind w:left="107" w:right="449"/>
              <w:rPr>
                <w:sz w:val="24"/>
              </w:rPr>
            </w:pPr>
            <w:r>
              <w:rPr>
                <w:sz w:val="24"/>
              </w:rPr>
              <w:t>21 и </w:t>
            </w:r>
            <w:r>
              <w:rPr>
                <w:spacing w:val="-4"/>
                <w:sz w:val="24"/>
              </w:rPr>
              <w:t>выше</w:t>
            </w:r>
          </w:p>
        </w:tc>
        <w:tc>
          <w:tcPr>
            <w:tcW w:w="1807" w:type="dxa"/>
            <w:vMerge/>
            <w:tcBorders>
              <w:top w:val="nil"/>
            </w:tcBorders>
          </w:tcPr>
          <w:p>
            <w:pPr>
              <w:rPr>
                <w:sz w:val="2"/>
                <w:szCs w:val="2"/>
              </w:rPr>
            </w:pPr>
          </w:p>
        </w:tc>
      </w:tr>
    </w:tbl>
    <w:p>
      <w:pPr>
        <w:pStyle w:val="BodyText"/>
        <w:ind w:left="0" w:right="0" w:firstLine="0"/>
        <w:jc w:val="left"/>
        <w:rPr>
          <w:b/>
          <w:sz w:val="28"/>
        </w:rPr>
      </w:pPr>
    </w:p>
    <w:p>
      <w:pPr>
        <w:pStyle w:val="BodyText"/>
        <w:ind w:left="0" w:right="0" w:firstLine="0"/>
        <w:jc w:val="left"/>
        <w:rPr>
          <w:b/>
          <w:sz w:val="28"/>
        </w:rPr>
      </w:pPr>
    </w:p>
    <w:p>
      <w:pPr>
        <w:pStyle w:val="BodyText"/>
        <w:spacing w:before="86"/>
        <w:ind w:left="0" w:right="0" w:firstLine="0"/>
        <w:jc w:val="left"/>
        <w:rPr>
          <w:b/>
          <w:sz w:val="28"/>
        </w:rPr>
      </w:pPr>
    </w:p>
    <w:p>
      <w:pPr>
        <w:pStyle w:val="Heading3"/>
        <w:spacing w:before="0"/>
        <w:ind w:left="0" w:right="561"/>
        <w:jc w:val="right"/>
      </w:pPr>
      <w:r>
        <w:rPr/>
        <w:t>Таблица</w:t>
      </w:r>
      <w:r>
        <w:rPr>
          <w:spacing w:val="-6"/>
        </w:rPr>
        <w:t> </w:t>
      </w:r>
      <w:r>
        <w:rPr>
          <w:spacing w:val="-10"/>
        </w:rPr>
        <w:t>6</w:t>
      </w:r>
    </w:p>
    <w:p>
      <w:pPr>
        <w:spacing w:before="245"/>
        <w:ind w:left="491" w:right="0" w:firstLine="0"/>
        <w:jc w:val="left"/>
        <w:rPr>
          <w:b/>
          <w:sz w:val="28"/>
        </w:rPr>
      </w:pPr>
      <w:r>
        <w:rPr>
          <w:b/>
          <w:sz w:val="28"/>
        </w:rPr>
        <w:t>Числовые</w:t>
      </w:r>
      <w:r>
        <w:rPr>
          <w:b/>
          <w:spacing w:val="-9"/>
          <w:sz w:val="28"/>
        </w:rPr>
        <w:t> </w:t>
      </w:r>
      <w:r>
        <w:rPr>
          <w:b/>
          <w:sz w:val="28"/>
        </w:rPr>
        <w:t>маркеры</w:t>
      </w:r>
      <w:r>
        <w:rPr>
          <w:b/>
          <w:spacing w:val="-7"/>
          <w:sz w:val="28"/>
        </w:rPr>
        <w:t> </w:t>
      </w:r>
      <w:r>
        <w:rPr>
          <w:b/>
          <w:sz w:val="28"/>
        </w:rPr>
        <w:t>Смешанного</w:t>
      </w:r>
      <w:r>
        <w:rPr>
          <w:b/>
          <w:spacing w:val="-6"/>
          <w:sz w:val="28"/>
        </w:rPr>
        <w:t> </w:t>
      </w:r>
      <w:r>
        <w:rPr>
          <w:b/>
          <w:sz w:val="28"/>
        </w:rPr>
        <w:t>профиля</w:t>
      </w:r>
      <w:r>
        <w:rPr>
          <w:b/>
          <w:spacing w:val="-8"/>
          <w:sz w:val="28"/>
        </w:rPr>
        <w:t> </w:t>
      </w:r>
      <w:r>
        <w:rPr>
          <w:b/>
          <w:sz w:val="28"/>
        </w:rPr>
        <w:t>(средняя</w:t>
      </w:r>
      <w:r>
        <w:rPr>
          <w:b/>
          <w:spacing w:val="-8"/>
          <w:sz w:val="28"/>
        </w:rPr>
        <w:t> </w:t>
      </w:r>
      <w:r>
        <w:rPr>
          <w:b/>
          <w:sz w:val="28"/>
        </w:rPr>
        <w:t>и</w:t>
      </w:r>
      <w:r>
        <w:rPr>
          <w:b/>
          <w:spacing w:val="-8"/>
          <w:sz w:val="28"/>
        </w:rPr>
        <w:t> </w:t>
      </w:r>
      <w:r>
        <w:rPr>
          <w:b/>
          <w:sz w:val="28"/>
        </w:rPr>
        <w:t>старшая</w:t>
      </w:r>
      <w:r>
        <w:rPr>
          <w:b/>
          <w:spacing w:val="-7"/>
          <w:sz w:val="28"/>
        </w:rPr>
        <w:t> </w:t>
      </w:r>
      <w:r>
        <w:rPr>
          <w:b/>
          <w:spacing w:val="-2"/>
          <w:sz w:val="28"/>
        </w:rPr>
        <w:t>школа)</w:t>
      </w:r>
    </w:p>
    <w:p>
      <w:pPr>
        <w:pStyle w:val="BodyText"/>
        <w:spacing w:before="21"/>
        <w:ind w:left="0" w:right="0" w:firstLine="0"/>
        <w:jc w:val="left"/>
        <w:rPr>
          <w:b/>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51"/>
        <w:gridCol w:w="3276"/>
        <w:gridCol w:w="1371"/>
        <w:gridCol w:w="2045"/>
      </w:tblGrid>
      <w:tr>
        <w:trPr>
          <w:trHeight w:val="518" w:hRule="atLeast"/>
        </w:trPr>
        <w:tc>
          <w:tcPr>
            <w:tcW w:w="3051" w:type="dxa"/>
          </w:tcPr>
          <w:p>
            <w:pPr>
              <w:pStyle w:val="TableParagraph"/>
              <w:spacing w:line="275" w:lineRule="exact"/>
              <w:ind w:left="107"/>
              <w:rPr>
                <w:b/>
                <w:sz w:val="24"/>
              </w:rPr>
            </w:pPr>
            <w:r>
              <w:rPr>
                <w:b/>
                <w:spacing w:val="-2"/>
                <w:sz w:val="24"/>
              </w:rPr>
              <w:t>Методика</w:t>
            </w:r>
          </w:p>
        </w:tc>
        <w:tc>
          <w:tcPr>
            <w:tcW w:w="3276" w:type="dxa"/>
          </w:tcPr>
          <w:p>
            <w:pPr>
              <w:pStyle w:val="TableParagraph"/>
              <w:spacing w:line="275" w:lineRule="exact"/>
              <w:ind w:left="107"/>
              <w:rPr>
                <w:b/>
                <w:sz w:val="24"/>
              </w:rPr>
            </w:pPr>
            <w:r>
              <w:rPr>
                <w:b/>
                <w:sz w:val="24"/>
              </w:rPr>
              <w:t>Показатель</w:t>
            </w:r>
            <w:r>
              <w:rPr>
                <w:b/>
                <w:spacing w:val="-4"/>
                <w:sz w:val="24"/>
              </w:rPr>
              <w:t> </w:t>
            </w:r>
            <w:r>
              <w:rPr>
                <w:b/>
                <w:spacing w:val="-2"/>
                <w:sz w:val="24"/>
              </w:rPr>
              <w:t>(шкала)</w:t>
            </w:r>
          </w:p>
        </w:tc>
        <w:tc>
          <w:tcPr>
            <w:tcW w:w="1371" w:type="dxa"/>
          </w:tcPr>
          <w:p>
            <w:pPr>
              <w:pStyle w:val="TableParagraph"/>
              <w:spacing w:line="275" w:lineRule="exact"/>
              <w:ind w:left="105"/>
              <w:rPr>
                <w:b/>
                <w:sz w:val="24"/>
              </w:rPr>
            </w:pPr>
            <w:r>
              <w:rPr>
                <w:b/>
                <w:spacing w:val="-4"/>
                <w:sz w:val="24"/>
              </w:rPr>
              <w:t>Балл</w:t>
            </w:r>
          </w:p>
        </w:tc>
        <w:tc>
          <w:tcPr>
            <w:tcW w:w="2045" w:type="dxa"/>
          </w:tcPr>
          <w:p>
            <w:pPr>
              <w:pStyle w:val="TableParagraph"/>
              <w:spacing w:line="275" w:lineRule="exact"/>
              <w:ind w:left="105"/>
              <w:rPr>
                <w:b/>
                <w:sz w:val="24"/>
              </w:rPr>
            </w:pPr>
            <w:r>
              <w:rPr>
                <w:b/>
                <w:spacing w:val="-2"/>
                <w:sz w:val="24"/>
              </w:rPr>
              <w:t>Компонент</w:t>
            </w:r>
          </w:p>
        </w:tc>
      </w:tr>
      <w:tr>
        <w:trPr>
          <w:trHeight w:val="1072" w:hRule="atLeast"/>
        </w:trPr>
        <w:tc>
          <w:tcPr>
            <w:tcW w:w="3051" w:type="dxa"/>
          </w:tcPr>
          <w:p>
            <w:pPr>
              <w:pStyle w:val="TableParagraph"/>
              <w:spacing w:line="276" w:lineRule="auto"/>
              <w:ind w:left="107" w:right="535"/>
              <w:rPr>
                <w:sz w:val="22"/>
              </w:rPr>
            </w:pPr>
            <w:r>
              <w:rPr>
                <w:sz w:val="22"/>
              </w:rPr>
              <w:t>Шкала</w:t>
            </w:r>
            <w:r>
              <w:rPr>
                <w:spacing w:val="-14"/>
                <w:sz w:val="22"/>
              </w:rPr>
              <w:t> </w:t>
            </w:r>
            <w:r>
              <w:rPr>
                <w:sz w:val="22"/>
              </w:rPr>
              <w:t>психологического благополучия Уорик– </w:t>
            </w:r>
            <w:r>
              <w:rPr>
                <w:spacing w:val="-2"/>
                <w:sz w:val="22"/>
              </w:rPr>
              <w:t>Эдинбург</w:t>
            </w:r>
          </w:p>
        </w:tc>
        <w:tc>
          <w:tcPr>
            <w:tcW w:w="3276" w:type="dxa"/>
          </w:tcPr>
          <w:p>
            <w:pPr>
              <w:pStyle w:val="TableParagraph"/>
              <w:spacing w:line="247" w:lineRule="exact"/>
              <w:ind w:left="107"/>
              <w:rPr>
                <w:sz w:val="22"/>
              </w:rPr>
            </w:pPr>
            <w:r>
              <w:rPr>
                <w:spacing w:val="-2"/>
                <w:sz w:val="22"/>
              </w:rPr>
              <w:t>Психологическое</w:t>
            </w:r>
            <w:r>
              <w:rPr>
                <w:spacing w:val="15"/>
                <w:sz w:val="22"/>
              </w:rPr>
              <w:t> </w:t>
            </w:r>
            <w:r>
              <w:rPr>
                <w:spacing w:val="-2"/>
                <w:sz w:val="22"/>
              </w:rPr>
              <w:t>благополучие</w:t>
            </w:r>
          </w:p>
        </w:tc>
        <w:tc>
          <w:tcPr>
            <w:tcW w:w="1371" w:type="dxa"/>
          </w:tcPr>
          <w:p>
            <w:pPr>
              <w:pStyle w:val="TableParagraph"/>
              <w:spacing w:line="247" w:lineRule="exact"/>
              <w:ind w:left="105"/>
              <w:rPr>
                <w:sz w:val="22"/>
              </w:rPr>
            </w:pPr>
            <w:r>
              <w:rPr>
                <w:sz w:val="22"/>
              </w:rPr>
              <w:t>Ниже</w:t>
            </w:r>
            <w:r>
              <w:rPr>
                <w:spacing w:val="-2"/>
                <w:sz w:val="22"/>
              </w:rPr>
              <w:t> </w:t>
            </w:r>
            <w:r>
              <w:rPr>
                <w:spacing w:val="-5"/>
                <w:sz w:val="22"/>
              </w:rPr>
              <w:t>56</w:t>
            </w:r>
          </w:p>
        </w:tc>
        <w:tc>
          <w:tcPr>
            <w:tcW w:w="2045" w:type="dxa"/>
            <w:vMerge w:val="restart"/>
          </w:tcPr>
          <w:p>
            <w:pPr>
              <w:pStyle w:val="TableParagraph"/>
              <w:spacing w:line="270" w:lineRule="exact"/>
              <w:ind w:left="105"/>
              <w:rPr>
                <w:sz w:val="24"/>
              </w:rPr>
            </w:pPr>
            <w:r>
              <w:rPr>
                <w:spacing w:val="-2"/>
                <w:sz w:val="24"/>
              </w:rPr>
              <w:t>базовый</w:t>
            </w:r>
          </w:p>
        </w:tc>
      </w:tr>
      <w:tr>
        <w:trPr>
          <w:trHeight w:val="491" w:hRule="atLeast"/>
        </w:trPr>
        <w:tc>
          <w:tcPr>
            <w:tcW w:w="3051" w:type="dxa"/>
            <w:vMerge w:val="restart"/>
          </w:tcPr>
          <w:p>
            <w:pPr>
              <w:pStyle w:val="TableParagraph"/>
              <w:spacing w:line="276" w:lineRule="auto"/>
              <w:ind w:left="107" w:right="958"/>
              <w:rPr>
                <w:sz w:val="22"/>
              </w:rPr>
            </w:pPr>
            <w:r>
              <w:rPr>
                <w:sz w:val="22"/>
              </w:rPr>
              <w:t>Методика оценки социальных</w:t>
            </w:r>
            <w:r>
              <w:rPr>
                <w:spacing w:val="-14"/>
                <w:sz w:val="22"/>
              </w:rPr>
              <w:t> </w:t>
            </w:r>
            <w:r>
              <w:rPr>
                <w:sz w:val="22"/>
              </w:rPr>
              <w:t>навыков</w:t>
            </w:r>
          </w:p>
        </w:tc>
        <w:tc>
          <w:tcPr>
            <w:tcW w:w="3276" w:type="dxa"/>
          </w:tcPr>
          <w:p>
            <w:pPr>
              <w:pStyle w:val="TableParagraph"/>
              <w:spacing w:line="247" w:lineRule="exact"/>
              <w:ind w:left="107"/>
              <w:rPr>
                <w:sz w:val="22"/>
              </w:rPr>
            </w:pPr>
            <w:r>
              <w:rPr>
                <w:sz w:val="22"/>
              </w:rPr>
              <w:t>Поведение</w:t>
            </w:r>
            <w:r>
              <w:rPr>
                <w:spacing w:val="-6"/>
                <w:sz w:val="22"/>
              </w:rPr>
              <w:t> </w:t>
            </w:r>
            <w:r>
              <w:rPr>
                <w:sz w:val="22"/>
              </w:rPr>
              <w:t>в</w:t>
            </w:r>
            <w:r>
              <w:rPr>
                <w:spacing w:val="-5"/>
                <w:sz w:val="22"/>
              </w:rPr>
              <w:t> </w:t>
            </w:r>
            <w:r>
              <w:rPr>
                <w:sz w:val="22"/>
              </w:rPr>
              <w:t>учебной</w:t>
            </w:r>
            <w:r>
              <w:rPr>
                <w:spacing w:val="-5"/>
                <w:sz w:val="22"/>
              </w:rPr>
              <w:t> </w:t>
            </w:r>
            <w:r>
              <w:rPr>
                <w:spacing w:val="-2"/>
                <w:sz w:val="22"/>
              </w:rPr>
              <w:t>ситуации</w:t>
            </w:r>
          </w:p>
        </w:tc>
        <w:tc>
          <w:tcPr>
            <w:tcW w:w="1371" w:type="dxa"/>
          </w:tcPr>
          <w:p>
            <w:pPr>
              <w:pStyle w:val="TableParagraph"/>
              <w:spacing w:line="247" w:lineRule="exact"/>
              <w:ind w:left="105"/>
              <w:rPr>
                <w:sz w:val="22"/>
              </w:rPr>
            </w:pPr>
            <w:r>
              <w:rPr>
                <w:sz w:val="22"/>
              </w:rPr>
              <w:t>2.3 и </w:t>
            </w:r>
            <w:r>
              <w:rPr>
                <w:spacing w:val="-2"/>
                <w:sz w:val="22"/>
              </w:rPr>
              <w:t>менее</w:t>
            </w:r>
          </w:p>
        </w:tc>
        <w:tc>
          <w:tcPr>
            <w:tcW w:w="2045" w:type="dxa"/>
            <w:vMerge/>
            <w:tcBorders>
              <w:top w:val="nil"/>
            </w:tcBorders>
          </w:tcPr>
          <w:p>
            <w:pPr>
              <w:rPr>
                <w:sz w:val="2"/>
                <w:szCs w:val="2"/>
              </w:rPr>
            </w:pPr>
          </w:p>
        </w:tc>
      </w:tr>
      <w:tr>
        <w:trPr>
          <w:trHeight w:val="489" w:hRule="atLeast"/>
        </w:trPr>
        <w:tc>
          <w:tcPr>
            <w:tcW w:w="3051" w:type="dxa"/>
            <w:vMerge/>
            <w:tcBorders>
              <w:top w:val="nil"/>
            </w:tcBorders>
          </w:tcPr>
          <w:p>
            <w:pPr>
              <w:rPr>
                <w:sz w:val="2"/>
                <w:szCs w:val="2"/>
              </w:rPr>
            </w:pPr>
          </w:p>
        </w:tc>
        <w:tc>
          <w:tcPr>
            <w:tcW w:w="3276" w:type="dxa"/>
          </w:tcPr>
          <w:p>
            <w:pPr>
              <w:pStyle w:val="TableParagraph"/>
              <w:spacing w:line="247" w:lineRule="exact"/>
              <w:ind w:left="107"/>
              <w:rPr>
                <w:sz w:val="22"/>
              </w:rPr>
            </w:pPr>
            <w:r>
              <w:rPr>
                <w:sz w:val="22"/>
              </w:rPr>
              <w:t>Взаимодействие</w:t>
            </w:r>
            <w:r>
              <w:rPr>
                <w:spacing w:val="-5"/>
                <w:sz w:val="22"/>
              </w:rPr>
              <w:t> </w:t>
            </w:r>
            <w:r>
              <w:rPr>
                <w:sz w:val="22"/>
              </w:rPr>
              <w:t>с</w:t>
            </w:r>
            <w:r>
              <w:rPr>
                <w:spacing w:val="-5"/>
                <w:sz w:val="22"/>
              </w:rPr>
              <w:t> </w:t>
            </w:r>
            <w:r>
              <w:rPr>
                <w:spacing w:val="-2"/>
                <w:sz w:val="22"/>
              </w:rPr>
              <w:t>ровесниками</w:t>
            </w:r>
          </w:p>
        </w:tc>
        <w:tc>
          <w:tcPr>
            <w:tcW w:w="1371" w:type="dxa"/>
          </w:tcPr>
          <w:p>
            <w:pPr>
              <w:pStyle w:val="TableParagraph"/>
              <w:spacing w:line="247" w:lineRule="exact"/>
              <w:ind w:left="105"/>
              <w:rPr>
                <w:sz w:val="22"/>
              </w:rPr>
            </w:pPr>
            <w:r>
              <w:rPr>
                <w:sz w:val="22"/>
              </w:rPr>
              <w:t>2.0 и </w:t>
            </w:r>
            <w:r>
              <w:rPr>
                <w:spacing w:val="-2"/>
                <w:sz w:val="22"/>
              </w:rPr>
              <w:t>более</w:t>
            </w:r>
          </w:p>
        </w:tc>
        <w:tc>
          <w:tcPr>
            <w:tcW w:w="2045" w:type="dxa"/>
            <w:vMerge/>
            <w:tcBorders>
              <w:top w:val="nil"/>
            </w:tcBorders>
          </w:tcPr>
          <w:p>
            <w:pPr>
              <w:rPr>
                <w:sz w:val="2"/>
                <w:szCs w:val="2"/>
              </w:rPr>
            </w:pPr>
          </w:p>
        </w:tc>
      </w:tr>
      <w:tr>
        <w:trPr>
          <w:trHeight w:val="782" w:hRule="atLeast"/>
        </w:trPr>
        <w:tc>
          <w:tcPr>
            <w:tcW w:w="3051" w:type="dxa"/>
            <w:vMerge/>
            <w:tcBorders>
              <w:top w:val="nil"/>
            </w:tcBorders>
          </w:tcPr>
          <w:p>
            <w:pPr>
              <w:rPr>
                <w:sz w:val="2"/>
                <w:szCs w:val="2"/>
              </w:rPr>
            </w:pPr>
          </w:p>
        </w:tc>
        <w:tc>
          <w:tcPr>
            <w:tcW w:w="3276" w:type="dxa"/>
          </w:tcPr>
          <w:p>
            <w:pPr>
              <w:pStyle w:val="TableParagraph"/>
              <w:spacing w:line="276" w:lineRule="auto"/>
              <w:ind w:left="107"/>
              <w:rPr>
                <w:sz w:val="22"/>
              </w:rPr>
            </w:pPr>
            <w:r>
              <w:rPr>
                <w:sz w:val="22"/>
              </w:rPr>
              <w:t>Взаимодействие</w:t>
            </w:r>
            <w:r>
              <w:rPr>
                <w:spacing w:val="-12"/>
                <w:sz w:val="22"/>
              </w:rPr>
              <w:t> </w:t>
            </w:r>
            <w:r>
              <w:rPr>
                <w:sz w:val="22"/>
              </w:rPr>
              <w:t>со</w:t>
            </w:r>
            <w:r>
              <w:rPr>
                <w:spacing w:val="-13"/>
                <w:sz w:val="22"/>
              </w:rPr>
              <w:t> </w:t>
            </w:r>
            <w:r>
              <w:rPr>
                <w:sz w:val="22"/>
              </w:rPr>
              <w:t>взрослыми</w:t>
            </w:r>
            <w:r>
              <w:rPr>
                <w:spacing w:val="-12"/>
                <w:sz w:val="22"/>
              </w:rPr>
              <w:t> </w:t>
            </w:r>
            <w:r>
              <w:rPr>
                <w:sz w:val="22"/>
              </w:rPr>
              <w:t>в </w:t>
            </w:r>
            <w:r>
              <w:rPr>
                <w:spacing w:val="-2"/>
                <w:sz w:val="22"/>
              </w:rPr>
              <w:t>школе</w:t>
            </w:r>
          </w:p>
        </w:tc>
        <w:tc>
          <w:tcPr>
            <w:tcW w:w="1371" w:type="dxa"/>
          </w:tcPr>
          <w:p>
            <w:pPr>
              <w:pStyle w:val="TableParagraph"/>
              <w:spacing w:line="249" w:lineRule="exact"/>
              <w:ind w:left="105"/>
              <w:rPr>
                <w:sz w:val="22"/>
              </w:rPr>
            </w:pPr>
            <w:r>
              <w:rPr>
                <w:sz w:val="22"/>
              </w:rPr>
              <w:t>2.6.</w:t>
            </w:r>
            <w:r>
              <w:rPr>
                <w:spacing w:val="-2"/>
                <w:sz w:val="22"/>
              </w:rPr>
              <w:t> </w:t>
            </w:r>
            <w:r>
              <w:rPr>
                <w:sz w:val="22"/>
              </w:rPr>
              <w:t>и </w:t>
            </w:r>
            <w:r>
              <w:rPr>
                <w:spacing w:val="-4"/>
                <w:sz w:val="22"/>
              </w:rPr>
              <w:t>ниже</w:t>
            </w:r>
          </w:p>
        </w:tc>
        <w:tc>
          <w:tcPr>
            <w:tcW w:w="2045" w:type="dxa"/>
            <w:vMerge/>
            <w:tcBorders>
              <w:top w:val="nil"/>
            </w:tcBorders>
          </w:tcPr>
          <w:p>
            <w:pPr>
              <w:rPr>
                <w:sz w:val="2"/>
                <w:szCs w:val="2"/>
              </w:rPr>
            </w:pPr>
          </w:p>
        </w:tc>
      </w:tr>
      <w:tr>
        <w:trPr>
          <w:trHeight w:val="781" w:hRule="atLeast"/>
        </w:trPr>
        <w:tc>
          <w:tcPr>
            <w:tcW w:w="3051" w:type="dxa"/>
            <w:vMerge w:val="restart"/>
          </w:tcPr>
          <w:p>
            <w:pPr>
              <w:pStyle w:val="TableParagraph"/>
              <w:spacing w:line="276" w:lineRule="auto"/>
              <w:ind w:left="107"/>
              <w:rPr>
                <w:sz w:val="22"/>
              </w:rPr>
            </w:pPr>
            <w:r>
              <w:rPr>
                <w:sz w:val="22"/>
              </w:rPr>
              <w:t>Опросник</w:t>
            </w:r>
            <w:r>
              <w:rPr>
                <w:spacing w:val="-14"/>
                <w:sz w:val="22"/>
              </w:rPr>
              <w:t> </w:t>
            </w:r>
            <w:r>
              <w:rPr>
                <w:sz w:val="22"/>
              </w:rPr>
              <w:t>аккультурации</w:t>
            </w:r>
            <w:r>
              <w:rPr>
                <w:spacing w:val="-14"/>
                <w:sz w:val="22"/>
              </w:rPr>
              <w:t> </w:t>
            </w:r>
            <w:r>
              <w:rPr>
                <w:sz w:val="22"/>
              </w:rPr>
              <w:t>для детей и подростков</w:t>
            </w:r>
          </w:p>
        </w:tc>
        <w:tc>
          <w:tcPr>
            <w:tcW w:w="3276" w:type="dxa"/>
          </w:tcPr>
          <w:p>
            <w:pPr>
              <w:pStyle w:val="TableParagraph"/>
              <w:spacing w:line="276" w:lineRule="auto"/>
              <w:ind w:left="107"/>
              <w:rPr>
                <w:sz w:val="22"/>
              </w:rPr>
            </w:pPr>
            <w:r>
              <w:rPr>
                <w:sz w:val="22"/>
              </w:rPr>
              <w:t>Сохранение</w:t>
            </w:r>
            <w:r>
              <w:rPr>
                <w:spacing w:val="-14"/>
                <w:sz w:val="22"/>
              </w:rPr>
              <w:t> </w:t>
            </w:r>
            <w:r>
              <w:rPr>
                <w:sz w:val="22"/>
              </w:rPr>
              <w:t>родной</w:t>
            </w:r>
            <w:r>
              <w:rPr>
                <w:spacing w:val="-14"/>
                <w:sz w:val="22"/>
              </w:rPr>
              <w:t> </w:t>
            </w:r>
            <w:r>
              <w:rPr>
                <w:sz w:val="22"/>
              </w:rPr>
              <w:t>культурной </w:t>
            </w:r>
            <w:r>
              <w:rPr>
                <w:spacing w:val="-2"/>
                <w:sz w:val="22"/>
              </w:rPr>
              <w:t>среды</w:t>
            </w:r>
          </w:p>
        </w:tc>
        <w:tc>
          <w:tcPr>
            <w:tcW w:w="1371" w:type="dxa"/>
          </w:tcPr>
          <w:p>
            <w:pPr>
              <w:pStyle w:val="TableParagraph"/>
              <w:spacing w:line="249" w:lineRule="exact"/>
              <w:ind w:left="105"/>
              <w:rPr>
                <w:sz w:val="22"/>
              </w:rPr>
            </w:pPr>
            <w:r>
              <w:rPr>
                <w:sz w:val="22"/>
              </w:rPr>
              <w:t>-0.1</w:t>
            </w:r>
            <w:r>
              <w:rPr>
                <w:spacing w:val="-2"/>
                <w:sz w:val="22"/>
              </w:rPr>
              <w:t> </w:t>
            </w:r>
            <w:r>
              <w:rPr>
                <w:sz w:val="22"/>
              </w:rPr>
              <w:t>и</w:t>
            </w:r>
            <w:r>
              <w:rPr>
                <w:spacing w:val="-2"/>
                <w:sz w:val="22"/>
              </w:rPr>
              <w:t> </w:t>
            </w:r>
            <w:r>
              <w:rPr>
                <w:spacing w:val="-4"/>
                <w:sz w:val="22"/>
              </w:rPr>
              <w:t>ниже</w:t>
            </w:r>
          </w:p>
        </w:tc>
        <w:tc>
          <w:tcPr>
            <w:tcW w:w="2045" w:type="dxa"/>
            <w:vMerge/>
            <w:tcBorders>
              <w:top w:val="nil"/>
            </w:tcBorders>
          </w:tcPr>
          <w:p>
            <w:pPr>
              <w:rPr>
                <w:sz w:val="2"/>
                <w:szCs w:val="2"/>
              </w:rPr>
            </w:pPr>
          </w:p>
        </w:tc>
      </w:tr>
      <w:tr>
        <w:trPr>
          <w:trHeight w:val="782" w:hRule="atLeast"/>
        </w:trPr>
        <w:tc>
          <w:tcPr>
            <w:tcW w:w="3051" w:type="dxa"/>
            <w:vMerge/>
            <w:tcBorders>
              <w:top w:val="nil"/>
            </w:tcBorders>
          </w:tcPr>
          <w:p>
            <w:pPr>
              <w:rPr>
                <w:sz w:val="2"/>
                <w:szCs w:val="2"/>
              </w:rPr>
            </w:pPr>
          </w:p>
        </w:tc>
        <w:tc>
          <w:tcPr>
            <w:tcW w:w="3276" w:type="dxa"/>
          </w:tcPr>
          <w:p>
            <w:pPr>
              <w:pStyle w:val="TableParagraph"/>
              <w:spacing w:line="278" w:lineRule="auto"/>
              <w:ind w:left="107"/>
              <w:rPr>
                <w:sz w:val="22"/>
              </w:rPr>
            </w:pPr>
            <w:r>
              <w:rPr>
                <w:sz w:val="22"/>
              </w:rPr>
              <w:t>Включенность</w:t>
            </w:r>
            <w:r>
              <w:rPr>
                <w:spacing w:val="-14"/>
                <w:sz w:val="22"/>
              </w:rPr>
              <w:t> </w:t>
            </w:r>
            <w:r>
              <w:rPr>
                <w:sz w:val="22"/>
              </w:rPr>
              <w:t>в</w:t>
            </w:r>
            <w:r>
              <w:rPr>
                <w:spacing w:val="-14"/>
                <w:sz w:val="22"/>
              </w:rPr>
              <w:t> </w:t>
            </w:r>
            <w:r>
              <w:rPr>
                <w:sz w:val="22"/>
              </w:rPr>
              <w:t>культуру принимающего</w:t>
            </w:r>
            <w:r>
              <w:rPr>
                <w:spacing w:val="-9"/>
                <w:sz w:val="22"/>
              </w:rPr>
              <w:t> </w:t>
            </w:r>
            <w:r>
              <w:rPr>
                <w:spacing w:val="-2"/>
                <w:sz w:val="22"/>
              </w:rPr>
              <w:t>общества.</w:t>
            </w:r>
          </w:p>
        </w:tc>
        <w:tc>
          <w:tcPr>
            <w:tcW w:w="1371" w:type="dxa"/>
          </w:tcPr>
          <w:p>
            <w:pPr>
              <w:pStyle w:val="TableParagraph"/>
              <w:spacing w:line="247" w:lineRule="exact"/>
              <w:ind w:left="105"/>
              <w:rPr>
                <w:sz w:val="22"/>
              </w:rPr>
            </w:pPr>
            <w:r>
              <w:rPr>
                <w:sz w:val="22"/>
              </w:rPr>
              <w:t>1.4 и </w:t>
            </w:r>
            <w:r>
              <w:rPr>
                <w:spacing w:val="-4"/>
                <w:sz w:val="22"/>
              </w:rPr>
              <w:t>выше</w:t>
            </w:r>
          </w:p>
        </w:tc>
        <w:tc>
          <w:tcPr>
            <w:tcW w:w="2045" w:type="dxa"/>
            <w:vMerge/>
            <w:tcBorders>
              <w:top w:val="nil"/>
            </w:tcBorders>
          </w:tcPr>
          <w:p>
            <w:pPr>
              <w:rPr>
                <w:sz w:val="2"/>
                <w:szCs w:val="2"/>
              </w:rPr>
            </w:pPr>
          </w:p>
        </w:tc>
      </w:tr>
    </w:tbl>
    <w:p>
      <w:pPr>
        <w:spacing w:after="0"/>
        <w:rPr>
          <w:sz w:val="2"/>
          <w:szCs w:val="2"/>
        </w:rPr>
        <w:sectPr>
          <w:type w:val="continuous"/>
          <w:pgSz w:w="11910" w:h="16840"/>
          <w:pgMar w:header="0" w:footer="970" w:top="1100" w:bottom="1496" w:left="1417" w:right="283"/>
        </w:sect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51"/>
        <w:gridCol w:w="3276"/>
        <w:gridCol w:w="1371"/>
        <w:gridCol w:w="2045"/>
      </w:tblGrid>
      <w:tr>
        <w:trPr>
          <w:trHeight w:val="782" w:hRule="atLeast"/>
        </w:trPr>
        <w:tc>
          <w:tcPr>
            <w:tcW w:w="3051" w:type="dxa"/>
          </w:tcPr>
          <w:p>
            <w:pPr>
              <w:pStyle w:val="TableParagraph"/>
              <w:spacing w:line="276" w:lineRule="auto"/>
              <w:ind w:left="107" w:right="242"/>
              <w:rPr>
                <w:sz w:val="22"/>
              </w:rPr>
            </w:pPr>
            <w:r>
              <w:rPr>
                <w:sz w:val="22"/>
              </w:rPr>
              <w:t>Детский опросник аккультурационного</w:t>
            </w:r>
            <w:r>
              <w:rPr>
                <w:spacing w:val="-14"/>
                <w:sz w:val="22"/>
              </w:rPr>
              <w:t> </w:t>
            </w:r>
            <w:r>
              <w:rPr>
                <w:sz w:val="22"/>
              </w:rPr>
              <w:t>стресса</w:t>
            </w:r>
          </w:p>
        </w:tc>
        <w:tc>
          <w:tcPr>
            <w:tcW w:w="3276" w:type="dxa"/>
          </w:tcPr>
          <w:p>
            <w:pPr>
              <w:pStyle w:val="TableParagraph"/>
              <w:spacing w:line="276" w:lineRule="auto"/>
              <w:ind w:left="107" w:right="412"/>
              <w:rPr>
                <w:sz w:val="22"/>
              </w:rPr>
            </w:pPr>
            <w:r>
              <w:rPr>
                <w:sz w:val="22"/>
              </w:rPr>
              <w:t>Общий уровень аккультурационного</w:t>
            </w:r>
            <w:r>
              <w:rPr>
                <w:spacing w:val="-14"/>
                <w:sz w:val="22"/>
              </w:rPr>
              <w:t> </w:t>
            </w:r>
            <w:r>
              <w:rPr>
                <w:sz w:val="22"/>
              </w:rPr>
              <w:t>стресса.</w:t>
            </w:r>
          </w:p>
        </w:tc>
        <w:tc>
          <w:tcPr>
            <w:tcW w:w="1371" w:type="dxa"/>
          </w:tcPr>
          <w:p>
            <w:pPr>
              <w:pStyle w:val="TableParagraph"/>
              <w:spacing w:line="249" w:lineRule="exact"/>
              <w:ind w:left="105"/>
              <w:rPr>
                <w:sz w:val="22"/>
              </w:rPr>
            </w:pPr>
            <w:r>
              <w:rPr>
                <w:sz w:val="22"/>
              </w:rPr>
              <w:t>14 и </w:t>
            </w:r>
            <w:r>
              <w:rPr>
                <w:spacing w:val="-4"/>
                <w:sz w:val="22"/>
              </w:rPr>
              <w:t>ниже</w:t>
            </w:r>
          </w:p>
        </w:tc>
        <w:tc>
          <w:tcPr>
            <w:tcW w:w="2045" w:type="dxa"/>
          </w:tcPr>
          <w:p>
            <w:pPr>
              <w:pStyle w:val="TableParagraph"/>
              <w:rPr>
                <w:sz w:val="22"/>
              </w:rPr>
            </w:pPr>
          </w:p>
        </w:tc>
      </w:tr>
      <w:tr>
        <w:trPr>
          <w:trHeight w:val="491" w:hRule="atLeast"/>
        </w:trPr>
        <w:tc>
          <w:tcPr>
            <w:tcW w:w="3051" w:type="dxa"/>
          </w:tcPr>
          <w:p>
            <w:pPr>
              <w:pStyle w:val="TableParagraph"/>
              <w:spacing w:line="249" w:lineRule="exact"/>
              <w:ind w:left="107"/>
              <w:rPr>
                <w:sz w:val="22"/>
              </w:rPr>
            </w:pPr>
            <w:r>
              <w:rPr>
                <w:sz w:val="22"/>
              </w:rPr>
              <w:t>Опросник</w:t>
            </w:r>
            <w:r>
              <w:rPr>
                <w:spacing w:val="-7"/>
                <w:sz w:val="22"/>
              </w:rPr>
              <w:t> </w:t>
            </w:r>
            <w:r>
              <w:rPr>
                <w:spacing w:val="-2"/>
                <w:sz w:val="22"/>
              </w:rPr>
              <w:t>Ахенбаха</w:t>
            </w:r>
          </w:p>
        </w:tc>
        <w:tc>
          <w:tcPr>
            <w:tcW w:w="3276" w:type="dxa"/>
          </w:tcPr>
          <w:p>
            <w:pPr>
              <w:pStyle w:val="TableParagraph"/>
              <w:spacing w:line="249" w:lineRule="exact"/>
              <w:ind w:left="107"/>
              <w:rPr>
                <w:sz w:val="22"/>
              </w:rPr>
            </w:pPr>
            <w:r>
              <w:rPr>
                <w:sz w:val="22"/>
              </w:rPr>
              <w:t>Проблемы</w:t>
            </w:r>
            <w:r>
              <w:rPr>
                <w:spacing w:val="-5"/>
                <w:sz w:val="22"/>
              </w:rPr>
              <w:t> </w:t>
            </w:r>
            <w:r>
              <w:rPr>
                <w:spacing w:val="-2"/>
                <w:sz w:val="22"/>
              </w:rPr>
              <w:t>интернализации</w:t>
            </w:r>
          </w:p>
        </w:tc>
        <w:tc>
          <w:tcPr>
            <w:tcW w:w="1371" w:type="dxa"/>
          </w:tcPr>
          <w:p>
            <w:pPr>
              <w:pStyle w:val="TableParagraph"/>
              <w:spacing w:line="249" w:lineRule="exact"/>
              <w:ind w:left="105"/>
              <w:rPr>
                <w:sz w:val="22"/>
              </w:rPr>
            </w:pPr>
            <w:r>
              <w:rPr>
                <w:sz w:val="22"/>
              </w:rPr>
              <w:t>7 и </w:t>
            </w:r>
            <w:r>
              <w:rPr>
                <w:spacing w:val="-4"/>
                <w:sz w:val="22"/>
              </w:rPr>
              <w:t>ниже</w:t>
            </w:r>
          </w:p>
        </w:tc>
        <w:tc>
          <w:tcPr>
            <w:tcW w:w="2045" w:type="dxa"/>
            <w:vMerge w:val="restart"/>
          </w:tcPr>
          <w:p>
            <w:pPr>
              <w:pStyle w:val="TableParagraph"/>
              <w:spacing w:line="273" w:lineRule="exact"/>
              <w:ind w:left="105"/>
              <w:rPr>
                <w:sz w:val="24"/>
              </w:rPr>
            </w:pPr>
            <w:r>
              <w:rPr>
                <w:spacing w:val="-2"/>
                <w:sz w:val="24"/>
              </w:rPr>
              <w:t>расширенный</w:t>
            </w:r>
          </w:p>
        </w:tc>
      </w:tr>
      <w:tr>
        <w:trPr>
          <w:trHeight w:val="782" w:hRule="atLeast"/>
        </w:trPr>
        <w:tc>
          <w:tcPr>
            <w:tcW w:w="3051" w:type="dxa"/>
          </w:tcPr>
          <w:p>
            <w:pPr>
              <w:pStyle w:val="TableParagraph"/>
              <w:spacing w:line="278" w:lineRule="auto"/>
              <w:ind w:left="107" w:right="535"/>
              <w:rPr>
                <w:sz w:val="22"/>
              </w:rPr>
            </w:pPr>
            <w:r>
              <w:rPr>
                <w:sz w:val="22"/>
              </w:rPr>
              <w:t>Шкала социального избегания</w:t>
            </w:r>
            <w:r>
              <w:rPr>
                <w:spacing w:val="-14"/>
                <w:sz w:val="22"/>
              </w:rPr>
              <w:t> </w:t>
            </w:r>
            <w:r>
              <w:rPr>
                <w:sz w:val="22"/>
              </w:rPr>
              <w:t>и</w:t>
            </w:r>
            <w:r>
              <w:rPr>
                <w:spacing w:val="-14"/>
                <w:sz w:val="22"/>
              </w:rPr>
              <w:t> </w:t>
            </w:r>
            <w:r>
              <w:rPr>
                <w:sz w:val="22"/>
              </w:rPr>
              <w:t>дистресса</w:t>
            </w:r>
          </w:p>
        </w:tc>
        <w:tc>
          <w:tcPr>
            <w:tcW w:w="3276" w:type="dxa"/>
          </w:tcPr>
          <w:p>
            <w:pPr>
              <w:pStyle w:val="TableParagraph"/>
              <w:spacing w:line="247" w:lineRule="exact"/>
              <w:ind w:left="107"/>
              <w:rPr>
                <w:sz w:val="22"/>
              </w:rPr>
            </w:pPr>
            <w:r>
              <w:rPr>
                <w:sz w:val="22"/>
              </w:rPr>
              <w:t>Социальная</w:t>
            </w:r>
            <w:r>
              <w:rPr>
                <w:spacing w:val="-8"/>
                <w:sz w:val="22"/>
              </w:rPr>
              <w:t> </w:t>
            </w:r>
            <w:r>
              <w:rPr>
                <w:spacing w:val="-2"/>
                <w:sz w:val="22"/>
              </w:rPr>
              <w:t>тревожность</w:t>
            </w:r>
          </w:p>
        </w:tc>
        <w:tc>
          <w:tcPr>
            <w:tcW w:w="1371" w:type="dxa"/>
          </w:tcPr>
          <w:p>
            <w:pPr>
              <w:pStyle w:val="TableParagraph"/>
              <w:spacing w:line="247" w:lineRule="exact"/>
              <w:ind w:left="105"/>
              <w:rPr>
                <w:sz w:val="22"/>
              </w:rPr>
            </w:pPr>
            <w:r>
              <w:rPr>
                <w:sz w:val="22"/>
              </w:rPr>
              <w:t>10 и </w:t>
            </w:r>
            <w:r>
              <w:rPr>
                <w:spacing w:val="-4"/>
                <w:sz w:val="22"/>
              </w:rPr>
              <w:t>ниже</w:t>
            </w:r>
          </w:p>
        </w:tc>
        <w:tc>
          <w:tcPr>
            <w:tcW w:w="2045" w:type="dxa"/>
            <w:vMerge/>
            <w:tcBorders>
              <w:top w:val="nil"/>
            </w:tcBorders>
          </w:tcPr>
          <w:p>
            <w:pPr>
              <w:rPr>
                <w:sz w:val="2"/>
                <w:szCs w:val="2"/>
              </w:rPr>
            </w:pPr>
          </w:p>
        </w:tc>
      </w:tr>
      <w:tr>
        <w:trPr>
          <w:trHeight w:val="491" w:hRule="atLeast"/>
        </w:trPr>
        <w:tc>
          <w:tcPr>
            <w:tcW w:w="3051" w:type="dxa"/>
          </w:tcPr>
          <w:p>
            <w:pPr>
              <w:pStyle w:val="TableParagraph"/>
              <w:spacing w:line="247" w:lineRule="exact"/>
              <w:ind w:left="107"/>
              <w:rPr>
                <w:sz w:val="22"/>
              </w:rPr>
            </w:pPr>
            <w:r>
              <w:rPr>
                <w:sz w:val="22"/>
              </w:rPr>
              <w:t>Опросник</w:t>
            </w:r>
            <w:r>
              <w:rPr>
                <w:spacing w:val="-7"/>
                <w:sz w:val="22"/>
              </w:rPr>
              <w:t> </w:t>
            </w:r>
            <w:r>
              <w:rPr>
                <w:spacing w:val="-2"/>
                <w:sz w:val="22"/>
              </w:rPr>
              <w:t>депрессивности</w:t>
            </w:r>
          </w:p>
        </w:tc>
        <w:tc>
          <w:tcPr>
            <w:tcW w:w="3276" w:type="dxa"/>
          </w:tcPr>
          <w:p>
            <w:pPr>
              <w:pStyle w:val="TableParagraph"/>
              <w:spacing w:line="247" w:lineRule="exact"/>
              <w:ind w:left="107"/>
              <w:rPr>
                <w:sz w:val="22"/>
              </w:rPr>
            </w:pPr>
            <w:r>
              <w:rPr>
                <w:spacing w:val="-2"/>
                <w:sz w:val="22"/>
              </w:rPr>
              <w:t>Депрессивность</w:t>
            </w:r>
          </w:p>
        </w:tc>
        <w:tc>
          <w:tcPr>
            <w:tcW w:w="1371" w:type="dxa"/>
          </w:tcPr>
          <w:p>
            <w:pPr>
              <w:pStyle w:val="TableParagraph"/>
              <w:spacing w:line="247" w:lineRule="exact"/>
              <w:ind w:left="105"/>
              <w:rPr>
                <w:sz w:val="22"/>
              </w:rPr>
            </w:pPr>
            <w:r>
              <w:rPr>
                <w:sz w:val="22"/>
              </w:rPr>
              <w:t>14 и </w:t>
            </w:r>
            <w:r>
              <w:rPr>
                <w:spacing w:val="-4"/>
                <w:sz w:val="22"/>
              </w:rPr>
              <w:t>ниже</w:t>
            </w:r>
          </w:p>
        </w:tc>
        <w:tc>
          <w:tcPr>
            <w:tcW w:w="2045" w:type="dxa"/>
            <w:vMerge/>
            <w:tcBorders>
              <w:top w:val="nil"/>
            </w:tcBorders>
          </w:tcPr>
          <w:p>
            <w:pPr>
              <w:rPr>
                <w:sz w:val="2"/>
                <w:szCs w:val="2"/>
              </w:rPr>
            </w:pPr>
          </w:p>
        </w:tc>
      </w:tr>
      <w:tr>
        <w:trPr>
          <w:trHeight w:val="1072" w:hRule="atLeast"/>
        </w:trPr>
        <w:tc>
          <w:tcPr>
            <w:tcW w:w="3051" w:type="dxa"/>
          </w:tcPr>
          <w:p>
            <w:pPr>
              <w:pStyle w:val="TableParagraph"/>
              <w:spacing w:line="247" w:lineRule="exact"/>
              <w:ind w:left="107"/>
              <w:rPr>
                <w:sz w:val="22"/>
              </w:rPr>
            </w:pPr>
            <w:r>
              <w:rPr>
                <w:sz w:val="22"/>
              </w:rPr>
              <w:t>Шкала</w:t>
            </w:r>
            <w:r>
              <w:rPr>
                <w:spacing w:val="-3"/>
                <w:sz w:val="22"/>
              </w:rPr>
              <w:t> </w:t>
            </w:r>
            <w:r>
              <w:rPr>
                <w:sz w:val="22"/>
              </w:rPr>
              <w:t>отношения</w:t>
            </w:r>
            <w:r>
              <w:rPr>
                <w:spacing w:val="-4"/>
                <w:sz w:val="22"/>
              </w:rPr>
              <w:t> </w:t>
            </w:r>
            <w:r>
              <w:rPr>
                <w:sz w:val="22"/>
              </w:rPr>
              <w:t>к</w:t>
            </w:r>
            <w:r>
              <w:rPr>
                <w:spacing w:val="-4"/>
                <w:sz w:val="22"/>
              </w:rPr>
              <w:t> школе</w:t>
            </w:r>
          </w:p>
        </w:tc>
        <w:tc>
          <w:tcPr>
            <w:tcW w:w="3276" w:type="dxa"/>
          </w:tcPr>
          <w:p>
            <w:pPr>
              <w:pStyle w:val="TableParagraph"/>
              <w:spacing w:line="276" w:lineRule="auto"/>
              <w:ind w:left="107" w:right="150"/>
              <w:rPr>
                <w:sz w:val="22"/>
              </w:rPr>
            </w:pPr>
            <w:r>
              <w:rPr>
                <w:sz w:val="22"/>
              </w:rPr>
              <w:t>Уровень</w:t>
            </w:r>
            <w:r>
              <w:rPr>
                <w:spacing w:val="-14"/>
                <w:sz w:val="22"/>
              </w:rPr>
              <w:t> </w:t>
            </w:r>
            <w:r>
              <w:rPr>
                <w:sz w:val="22"/>
              </w:rPr>
              <w:t>внутренней</w:t>
            </w:r>
            <w:r>
              <w:rPr>
                <w:spacing w:val="-14"/>
                <w:sz w:val="22"/>
              </w:rPr>
              <w:t> </w:t>
            </w:r>
            <w:r>
              <w:rPr>
                <w:sz w:val="22"/>
              </w:rPr>
              <w:t>школьной мотивации и отношения к </w:t>
            </w:r>
            <w:r>
              <w:rPr>
                <w:spacing w:val="-2"/>
                <w:sz w:val="22"/>
              </w:rPr>
              <w:t>школе</w:t>
            </w:r>
          </w:p>
        </w:tc>
        <w:tc>
          <w:tcPr>
            <w:tcW w:w="1371" w:type="dxa"/>
          </w:tcPr>
          <w:p>
            <w:pPr>
              <w:pStyle w:val="TableParagraph"/>
              <w:spacing w:line="247" w:lineRule="exact"/>
              <w:ind w:left="105"/>
              <w:rPr>
                <w:sz w:val="22"/>
              </w:rPr>
            </w:pPr>
            <w:r>
              <w:rPr>
                <w:sz w:val="22"/>
              </w:rPr>
              <w:t>25 и </w:t>
            </w:r>
            <w:r>
              <w:rPr>
                <w:spacing w:val="-4"/>
                <w:sz w:val="22"/>
              </w:rPr>
              <w:t>ниже</w:t>
            </w:r>
          </w:p>
        </w:tc>
        <w:tc>
          <w:tcPr>
            <w:tcW w:w="2045" w:type="dxa"/>
            <w:vMerge/>
            <w:tcBorders>
              <w:top w:val="nil"/>
            </w:tcBorders>
          </w:tcPr>
          <w:p>
            <w:pPr>
              <w:rPr>
                <w:sz w:val="2"/>
                <w:szCs w:val="2"/>
              </w:rPr>
            </w:pPr>
          </w:p>
        </w:tc>
      </w:tr>
      <w:tr>
        <w:trPr>
          <w:trHeight w:val="781" w:hRule="atLeast"/>
        </w:trPr>
        <w:tc>
          <w:tcPr>
            <w:tcW w:w="3051" w:type="dxa"/>
            <w:vMerge w:val="restart"/>
          </w:tcPr>
          <w:p>
            <w:pPr>
              <w:pStyle w:val="TableParagraph"/>
              <w:spacing w:line="276" w:lineRule="auto"/>
              <w:ind w:left="107" w:right="354"/>
              <w:rPr>
                <w:sz w:val="22"/>
              </w:rPr>
            </w:pPr>
            <w:r>
              <w:rPr>
                <w:sz w:val="22"/>
              </w:rPr>
              <w:t>Методика измерения гражданской</w:t>
            </w:r>
            <w:r>
              <w:rPr>
                <w:spacing w:val="-14"/>
                <w:sz w:val="22"/>
              </w:rPr>
              <w:t> </w:t>
            </w:r>
            <w:r>
              <w:rPr>
                <w:sz w:val="22"/>
              </w:rPr>
              <w:t>идентичности для детей и подростков</w:t>
            </w:r>
          </w:p>
        </w:tc>
        <w:tc>
          <w:tcPr>
            <w:tcW w:w="3276" w:type="dxa"/>
          </w:tcPr>
          <w:p>
            <w:pPr>
              <w:pStyle w:val="TableParagraph"/>
              <w:spacing w:line="276" w:lineRule="auto"/>
              <w:ind w:left="107" w:right="540"/>
              <w:rPr>
                <w:sz w:val="22"/>
              </w:rPr>
            </w:pPr>
            <w:r>
              <w:rPr>
                <w:sz w:val="22"/>
              </w:rPr>
              <w:t>Национальная</w:t>
            </w:r>
            <w:r>
              <w:rPr>
                <w:spacing w:val="-14"/>
                <w:sz w:val="22"/>
              </w:rPr>
              <w:t> </w:t>
            </w:r>
            <w:r>
              <w:rPr>
                <w:sz w:val="22"/>
              </w:rPr>
              <w:t>(Pоссийская) </w:t>
            </w:r>
            <w:r>
              <w:rPr>
                <w:spacing w:val="-2"/>
                <w:sz w:val="22"/>
              </w:rPr>
              <w:t>идентичность</w:t>
            </w:r>
          </w:p>
        </w:tc>
        <w:tc>
          <w:tcPr>
            <w:tcW w:w="1371" w:type="dxa"/>
          </w:tcPr>
          <w:p>
            <w:pPr>
              <w:pStyle w:val="TableParagraph"/>
              <w:spacing w:line="247" w:lineRule="exact"/>
              <w:ind w:left="105"/>
              <w:rPr>
                <w:sz w:val="22"/>
              </w:rPr>
            </w:pPr>
            <w:r>
              <w:rPr>
                <w:sz w:val="22"/>
              </w:rPr>
              <w:t>22 и </w:t>
            </w:r>
            <w:r>
              <w:rPr>
                <w:spacing w:val="-4"/>
                <w:sz w:val="22"/>
              </w:rPr>
              <w:t>ниже</w:t>
            </w:r>
          </w:p>
        </w:tc>
        <w:tc>
          <w:tcPr>
            <w:tcW w:w="2045" w:type="dxa"/>
            <w:vMerge/>
            <w:tcBorders>
              <w:top w:val="nil"/>
            </w:tcBorders>
          </w:tcPr>
          <w:p>
            <w:pPr>
              <w:rPr>
                <w:sz w:val="2"/>
                <w:szCs w:val="2"/>
              </w:rPr>
            </w:pPr>
          </w:p>
        </w:tc>
      </w:tr>
      <w:tr>
        <w:trPr>
          <w:trHeight w:val="491" w:hRule="atLeast"/>
        </w:trPr>
        <w:tc>
          <w:tcPr>
            <w:tcW w:w="3051" w:type="dxa"/>
            <w:vMerge/>
            <w:tcBorders>
              <w:top w:val="nil"/>
            </w:tcBorders>
          </w:tcPr>
          <w:p>
            <w:pPr>
              <w:rPr>
                <w:sz w:val="2"/>
                <w:szCs w:val="2"/>
              </w:rPr>
            </w:pPr>
          </w:p>
        </w:tc>
        <w:tc>
          <w:tcPr>
            <w:tcW w:w="3276" w:type="dxa"/>
          </w:tcPr>
          <w:p>
            <w:pPr>
              <w:pStyle w:val="TableParagraph"/>
              <w:spacing w:line="247" w:lineRule="exact"/>
              <w:ind w:left="107"/>
              <w:rPr>
                <w:sz w:val="22"/>
              </w:rPr>
            </w:pPr>
            <w:r>
              <w:rPr>
                <w:sz w:val="22"/>
              </w:rPr>
              <w:t>Этническая</w:t>
            </w:r>
            <w:r>
              <w:rPr>
                <w:spacing w:val="-7"/>
                <w:sz w:val="22"/>
              </w:rPr>
              <w:t> </w:t>
            </w:r>
            <w:r>
              <w:rPr>
                <w:spacing w:val="-2"/>
                <w:sz w:val="22"/>
              </w:rPr>
              <w:t>идентичность</w:t>
            </w:r>
          </w:p>
        </w:tc>
        <w:tc>
          <w:tcPr>
            <w:tcW w:w="1371" w:type="dxa"/>
          </w:tcPr>
          <w:p>
            <w:pPr>
              <w:pStyle w:val="TableParagraph"/>
              <w:spacing w:line="247" w:lineRule="exact"/>
              <w:ind w:left="105"/>
              <w:rPr>
                <w:sz w:val="22"/>
              </w:rPr>
            </w:pPr>
            <w:r>
              <w:rPr>
                <w:sz w:val="22"/>
              </w:rPr>
              <w:t>21 и </w:t>
            </w:r>
            <w:r>
              <w:rPr>
                <w:spacing w:val="-4"/>
                <w:sz w:val="22"/>
              </w:rPr>
              <w:t>ниже</w:t>
            </w:r>
          </w:p>
        </w:tc>
        <w:tc>
          <w:tcPr>
            <w:tcW w:w="2045" w:type="dxa"/>
            <w:vMerge/>
            <w:tcBorders>
              <w:top w:val="nil"/>
            </w:tcBorders>
          </w:tcPr>
          <w:p>
            <w:pPr>
              <w:rPr>
                <w:sz w:val="2"/>
                <w:szCs w:val="2"/>
              </w:rPr>
            </w:pPr>
          </w:p>
        </w:tc>
      </w:tr>
      <w:tr>
        <w:trPr>
          <w:trHeight w:val="1072" w:hRule="atLeast"/>
        </w:trPr>
        <w:tc>
          <w:tcPr>
            <w:tcW w:w="3051" w:type="dxa"/>
          </w:tcPr>
          <w:p>
            <w:pPr>
              <w:pStyle w:val="TableParagraph"/>
              <w:spacing w:line="276" w:lineRule="auto"/>
              <w:ind w:left="107" w:right="535"/>
              <w:rPr>
                <w:sz w:val="22"/>
              </w:rPr>
            </w:pPr>
            <w:r>
              <w:rPr>
                <w:sz w:val="22"/>
              </w:rPr>
              <w:t>Краткая шкала </w:t>
            </w:r>
            <w:r>
              <w:rPr>
                <w:spacing w:val="-2"/>
                <w:sz w:val="22"/>
              </w:rPr>
              <w:t>социокультурной дезадаптации</w:t>
            </w:r>
          </w:p>
        </w:tc>
        <w:tc>
          <w:tcPr>
            <w:tcW w:w="3276" w:type="dxa"/>
          </w:tcPr>
          <w:p>
            <w:pPr>
              <w:pStyle w:val="TableParagraph"/>
              <w:spacing w:line="247" w:lineRule="exact"/>
              <w:ind w:left="107"/>
              <w:rPr>
                <w:sz w:val="22"/>
              </w:rPr>
            </w:pPr>
            <w:r>
              <w:rPr>
                <w:sz w:val="22"/>
              </w:rPr>
              <w:t>Социокультурная</w:t>
            </w:r>
            <w:r>
              <w:rPr>
                <w:spacing w:val="-12"/>
                <w:sz w:val="22"/>
              </w:rPr>
              <w:t> </w:t>
            </w:r>
            <w:r>
              <w:rPr>
                <w:spacing w:val="-2"/>
                <w:sz w:val="22"/>
              </w:rPr>
              <w:t>дезадаптация</w:t>
            </w:r>
          </w:p>
        </w:tc>
        <w:tc>
          <w:tcPr>
            <w:tcW w:w="1371" w:type="dxa"/>
          </w:tcPr>
          <w:p>
            <w:pPr>
              <w:pStyle w:val="TableParagraph"/>
              <w:spacing w:line="247" w:lineRule="exact"/>
              <w:ind w:left="105"/>
              <w:rPr>
                <w:sz w:val="22"/>
              </w:rPr>
            </w:pPr>
            <w:r>
              <w:rPr>
                <w:spacing w:val="-2"/>
                <w:sz w:val="22"/>
              </w:rPr>
              <w:t>20-</w:t>
            </w:r>
            <w:r>
              <w:rPr>
                <w:spacing w:val="-7"/>
                <w:sz w:val="22"/>
              </w:rPr>
              <w:t>23</w:t>
            </w:r>
          </w:p>
        </w:tc>
        <w:tc>
          <w:tcPr>
            <w:tcW w:w="2045" w:type="dxa"/>
            <w:vMerge/>
            <w:tcBorders>
              <w:top w:val="nil"/>
            </w:tcBorders>
          </w:tcPr>
          <w:p>
            <w:pPr>
              <w:rPr>
                <w:sz w:val="2"/>
                <w:szCs w:val="2"/>
              </w:rPr>
            </w:pPr>
          </w:p>
        </w:tc>
      </w:tr>
    </w:tbl>
    <w:p>
      <w:pPr>
        <w:spacing w:after="0"/>
        <w:rPr>
          <w:sz w:val="2"/>
          <w:szCs w:val="2"/>
        </w:rPr>
        <w:sectPr>
          <w:type w:val="continuous"/>
          <w:pgSz w:w="11910" w:h="16840"/>
          <w:pgMar w:header="0" w:footer="970" w:top="1100" w:bottom="1220" w:left="1417" w:right="283"/>
        </w:sectPr>
      </w:pPr>
    </w:p>
    <w:p>
      <w:pPr>
        <w:pStyle w:val="Heading3"/>
        <w:ind w:left="0" w:right="561"/>
        <w:jc w:val="right"/>
      </w:pPr>
      <w:r>
        <w:rPr/>
        <w:t>Таблица</w:t>
      </w:r>
      <w:r>
        <w:rPr>
          <w:spacing w:val="-6"/>
        </w:rPr>
        <w:t> </w:t>
      </w:r>
      <w:r>
        <w:rPr>
          <w:spacing w:val="-10"/>
        </w:rPr>
        <w:t>7</w:t>
      </w:r>
    </w:p>
    <w:p>
      <w:pPr>
        <w:spacing w:before="248"/>
        <w:ind w:left="0" w:right="568" w:firstLine="0"/>
        <w:jc w:val="right"/>
        <w:rPr>
          <w:b/>
          <w:sz w:val="28"/>
        </w:rPr>
      </w:pPr>
      <w:r>
        <w:rPr>
          <w:b/>
          <w:sz w:val="28"/>
        </w:rPr>
        <w:t>Числовые</w:t>
      </w:r>
      <w:r>
        <w:rPr>
          <w:b/>
          <w:spacing w:val="-8"/>
          <w:sz w:val="28"/>
        </w:rPr>
        <w:t> </w:t>
      </w:r>
      <w:r>
        <w:rPr>
          <w:b/>
          <w:sz w:val="28"/>
        </w:rPr>
        <w:t>маркеры</w:t>
      </w:r>
      <w:r>
        <w:rPr>
          <w:b/>
          <w:spacing w:val="-7"/>
          <w:sz w:val="28"/>
        </w:rPr>
        <w:t> </w:t>
      </w:r>
      <w:r>
        <w:rPr>
          <w:b/>
          <w:sz w:val="28"/>
        </w:rPr>
        <w:t>Дезадаптивного</w:t>
      </w:r>
      <w:r>
        <w:rPr>
          <w:b/>
          <w:spacing w:val="-9"/>
          <w:sz w:val="28"/>
        </w:rPr>
        <w:t> </w:t>
      </w:r>
      <w:r>
        <w:rPr>
          <w:b/>
          <w:sz w:val="28"/>
        </w:rPr>
        <w:t>профиля</w:t>
      </w:r>
      <w:r>
        <w:rPr>
          <w:b/>
          <w:spacing w:val="-7"/>
          <w:sz w:val="28"/>
        </w:rPr>
        <w:t> </w:t>
      </w:r>
      <w:r>
        <w:rPr>
          <w:b/>
          <w:sz w:val="28"/>
        </w:rPr>
        <w:t>(средняя</w:t>
      </w:r>
      <w:r>
        <w:rPr>
          <w:b/>
          <w:spacing w:val="-8"/>
          <w:sz w:val="28"/>
        </w:rPr>
        <w:t> </w:t>
      </w:r>
      <w:r>
        <w:rPr>
          <w:b/>
          <w:sz w:val="28"/>
        </w:rPr>
        <w:t>и</w:t>
      </w:r>
      <w:r>
        <w:rPr>
          <w:b/>
          <w:spacing w:val="-8"/>
          <w:sz w:val="28"/>
        </w:rPr>
        <w:t> </w:t>
      </w:r>
      <w:r>
        <w:rPr>
          <w:b/>
          <w:sz w:val="28"/>
        </w:rPr>
        <w:t>старшая</w:t>
      </w:r>
      <w:r>
        <w:rPr>
          <w:b/>
          <w:spacing w:val="-7"/>
          <w:sz w:val="28"/>
        </w:rPr>
        <w:t> </w:t>
      </w:r>
      <w:r>
        <w:rPr>
          <w:b/>
          <w:spacing w:val="-2"/>
          <w:sz w:val="28"/>
        </w:rPr>
        <w:t>школа)</w:t>
      </w:r>
    </w:p>
    <w:p>
      <w:pPr>
        <w:pStyle w:val="BodyText"/>
        <w:spacing w:before="21"/>
        <w:ind w:left="0" w:right="0" w:firstLine="0"/>
        <w:jc w:val="left"/>
        <w:rPr>
          <w:b/>
        </w:rPr>
      </w:pPr>
    </w:p>
    <w:tbl>
      <w:tblPr>
        <w:tblW w:w="0" w:type="auto"/>
        <w:jc w:val="left"/>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8"/>
        <w:gridCol w:w="3262"/>
        <w:gridCol w:w="1561"/>
        <w:gridCol w:w="1810"/>
      </w:tblGrid>
      <w:tr>
        <w:trPr>
          <w:trHeight w:val="515" w:hRule="atLeast"/>
        </w:trPr>
        <w:tc>
          <w:tcPr>
            <w:tcW w:w="3118" w:type="dxa"/>
          </w:tcPr>
          <w:p>
            <w:pPr>
              <w:pStyle w:val="TableParagraph"/>
              <w:spacing w:line="275" w:lineRule="exact"/>
              <w:ind w:left="107"/>
              <w:rPr>
                <w:b/>
                <w:sz w:val="24"/>
              </w:rPr>
            </w:pPr>
            <w:r>
              <w:rPr>
                <w:b/>
                <w:spacing w:val="-2"/>
                <w:sz w:val="24"/>
              </w:rPr>
              <w:t>Методика</w:t>
            </w:r>
          </w:p>
        </w:tc>
        <w:tc>
          <w:tcPr>
            <w:tcW w:w="3262" w:type="dxa"/>
          </w:tcPr>
          <w:p>
            <w:pPr>
              <w:pStyle w:val="TableParagraph"/>
              <w:spacing w:line="275" w:lineRule="exact"/>
              <w:ind w:left="107"/>
              <w:rPr>
                <w:b/>
                <w:sz w:val="24"/>
              </w:rPr>
            </w:pPr>
            <w:r>
              <w:rPr>
                <w:b/>
                <w:sz w:val="24"/>
              </w:rPr>
              <w:t>Показатель</w:t>
            </w:r>
            <w:r>
              <w:rPr>
                <w:b/>
                <w:spacing w:val="-4"/>
                <w:sz w:val="24"/>
              </w:rPr>
              <w:t> </w:t>
            </w:r>
            <w:r>
              <w:rPr>
                <w:b/>
                <w:spacing w:val="-2"/>
                <w:sz w:val="24"/>
              </w:rPr>
              <w:t>(шкала)</w:t>
            </w:r>
          </w:p>
        </w:tc>
        <w:tc>
          <w:tcPr>
            <w:tcW w:w="1561" w:type="dxa"/>
          </w:tcPr>
          <w:p>
            <w:pPr>
              <w:pStyle w:val="TableParagraph"/>
              <w:spacing w:line="275" w:lineRule="exact"/>
              <w:ind w:left="105"/>
              <w:rPr>
                <w:b/>
                <w:sz w:val="24"/>
              </w:rPr>
            </w:pPr>
            <w:r>
              <w:rPr>
                <w:b/>
                <w:spacing w:val="-4"/>
                <w:sz w:val="24"/>
              </w:rPr>
              <w:t>Балл</w:t>
            </w:r>
          </w:p>
        </w:tc>
        <w:tc>
          <w:tcPr>
            <w:tcW w:w="1810" w:type="dxa"/>
          </w:tcPr>
          <w:p>
            <w:pPr>
              <w:pStyle w:val="TableParagraph"/>
              <w:spacing w:line="275" w:lineRule="exact"/>
              <w:ind w:left="105"/>
              <w:rPr>
                <w:b/>
                <w:sz w:val="24"/>
              </w:rPr>
            </w:pPr>
            <w:r>
              <w:rPr>
                <w:b/>
                <w:spacing w:val="-2"/>
                <w:sz w:val="24"/>
              </w:rPr>
              <w:t>Компонент</w:t>
            </w:r>
          </w:p>
        </w:tc>
      </w:tr>
      <w:tr>
        <w:trPr>
          <w:trHeight w:val="1074" w:hRule="atLeast"/>
        </w:trPr>
        <w:tc>
          <w:tcPr>
            <w:tcW w:w="3118" w:type="dxa"/>
          </w:tcPr>
          <w:p>
            <w:pPr>
              <w:pStyle w:val="TableParagraph"/>
              <w:spacing w:line="276" w:lineRule="auto"/>
              <w:ind w:left="107" w:right="602"/>
              <w:rPr>
                <w:sz w:val="22"/>
              </w:rPr>
            </w:pPr>
            <w:r>
              <w:rPr>
                <w:sz w:val="22"/>
              </w:rPr>
              <w:t>Шкала</w:t>
            </w:r>
            <w:r>
              <w:rPr>
                <w:spacing w:val="-14"/>
                <w:sz w:val="22"/>
              </w:rPr>
              <w:t> </w:t>
            </w:r>
            <w:r>
              <w:rPr>
                <w:sz w:val="22"/>
              </w:rPr>
              <w:t>психологического благополучия Уорик– </w:t>
            </w:r>
            <w:r>
              <w:rPr>
                <w:spacing w:val="-2"/>
                <w:sz w:val="22"/>
              </w:rPr>
              <w:t>Эдинбург</w:t>
            </w:r>
          </w:p>
        </w:tc>
        <w:tc>
          <w:tcPr>
            <w:tcW w:w="3262" w:type="dxa"/>
          </w:tcPr>
          <w:p>
            <w:pPr>
              <w:pStyle w:val="TableParagraph"/>
              <w:spacing w:line="249" w:lineRule="exact"/>
              <w:ind w:left="107"/>
              <w:rPr>
                <w:sz w:val="22"/>
              </w:rPr>
            </w:pPr>
            <w:r>
              <w:rPr>
                <w:spacing w:val="-2"/>
                <w:sz w:val="22"/>
              </w:rPr>
              <w:t>Психологическое</w:t>
            </w:r>
            <w:r>
              <w:rPr>
                <w:spacing w:val="15"/>
                <w:sz w:val="22"/>
              </w:rPr>
              <w:t> </w:t>
            </w:r>
            <w:r>
              <w:rPr>
                <w:spacing w:val="-2"/>
                <w:sz w:val="22"/>
              </w:rPr>
              <w:t>благополучие</w:t>
            </w:r>
          </w:p>
        </w:tc>
        <w:tc>
          <w:tcPr>
            <w:tcW w:w="1561" w:type="dxa"/>
          </w:tcPr>
          <w:p>
            <w:pPr>
              <w:pStyle w:val="TableParagraph"/>
              <w:spacing w:line="249" w:lineRule="exact"/>
              <w:ind w:left="105"/>
              <w:rPr>
                <w:sz w:val="22"/>
              </w:rPr>
            </w:pPr>
            <w:r>
              <w:rPr>
                <w:sz w:val="22"/>
              </w:rPr>
              <w:t>Ниже</w:t>
            </w:r>
            <w:r>
              <w:rPr>
                <w:spacing w:val="-2"/>
                <w:sz w:val="22"/>
              </w:rPr>
              <w:t> </w:t>
            </w:r>
            <w:r>
              <w:rPr>
                <w:spacing w:val="-5"/>
                <w:sz w:val="22"/>
              </w:rPr>
              <w:t>56</w:t>
            </w:r>
          </w:p>
        </w:tc>
        <w:tc>
          <w:tcPr>
            <w:tcW w:w="1810" w:type="dxa"/>
            <w:vMerge w:val="restart"/>
          </w:tcPr>
          <w:p>
            <w:pPr>
              <w:pStyle w:val="TableParagraph"/>
              <w:spacing w:line="249" w:lineRule="exact"/>
              <w:ind w:left="105"/>
              <w:rPr>
                <w:sz w:val="22"/>
              </w:rPr>
            </w:pPr>
            <w:r>
              <w:rPr>
                <w:spacing w:val="-2"/>
                <w:sz w:val="22"/>
              </w:rPr>
              <w:t>базовый</w:t>
            </w:r>
          </w:p>
        </w:tc>
      </w:tr>
      <w:tr>
        <w:trPr>
          <w:trHeight w:val="489" w:hRule="atLeast"/>
        </w:trPr>
        <w:tc>
          <w:tcPr>
            <w:tcW w:w="3118" w:type="dxa"/>
            <w:vMerge w:val="restart"/>
          </w:tcPr>
          <w:p>
            <w:pPr>
              <w:pStyle w:val="TableParagraph"/>
              <w:spacing w:line="276" w:lineRule="auto"/>
              <w:ind w:left="107"/>
              <w:rPr>
                <w:sz w:val="22"/>
              </w:rPr>
            </w:pPr>
            <w:r>
              <w:rPr>
                <w:sz w:val="22"/>
              </w:rPr>
              <w:t>Методика</w:t>
            </w:r>
            <w:r>
              <w:rPr>
                <w:spacing w:val="-14"/>
                <w:sz w:val="22"/>
              </w:rPr>
              <w:t> </w:t>
            </w:r>
            <w:r>
              <w:rPr>
                <w:sz w:val="22"/>
              </w:rPr>
              <w:t>оценки</w:t>
            </w:r>
            <w:r>
              <w:rPr>
                <w:spacing w:val="-14"/>
                <w:sz w:val="22"/>
              </w:rPr>
              <w:t> </w:t>
            </w:r>
            <w:r>
              <w:rPr>
                <w:sz w:val="22"/>
              </w:rPr>
              <w:t>социальных </w:t>
            </w:r>
            <w:r>
              <w:rPr>
                <w:spacing w:val="-2"/>
                <w:sz w:val="22"/>
              </w:rPr>
              <w:t>навыков</w:t>
            </w:r>
          </w:p>
        </w:tc>
        <w:tc>
          <w:tcPr>
            <w:tcW w:w="3262" w:type="dxa"/>
          </w:tcPr>
          <w:p>
            <w:pPr>
              <w:pStyle w:val="TableParagraph"/>
              <w:spacing w:line="247" w:lineRule="exact"/>
              <w:ind w:left="107"/>
              <w:rPr>
                <w:sz w:val="22"/>
              </w:rPr>
            </w:pPr>
            <w:r>
              <w:rPr>
                <w:sz w:val="22"/>
              </w:rPr>
              <w:t>Поведение</w:t>
            </w:r>
            <w:r>
              <w:rPr>
                <w:spacing w:val="-6"/>
                <w:sz w:val="22"/>
              </w:rPr>
              <w:t> </w:t>
            </w:r>
            <w:r>
              <w:rPr>
                <w:sz w:val="22"/>
              </w:rPr>
              <w:t>в</w:t>
            </w:r>
            <w:r>
              <w:rPr>
                <w:spacing w:val="-5"/>
                <w:sz w:val="22"/>
              </w:rPr>
              <w:t> </w:t>
            </w:r>
            <w:r>
              <w:rPr>
                <w:sz w:val="22"/>
              </w:rPr>
              <w:t>учебной</w:t>
            </w:r>
            <w:r>
              <w:rPr>
                <w:spacing w:val="-5"/>
                <w:sz w:val="22"/>
              </w:rPr>
              <w:t> </w:t>
            </w:r>
            <w:r>
              <w:rPr>
                <w:spacing w:val="-2"/>
                <w:sz w:val="22"/>
              </w:rPr>
              <w:t>ситуации</w:t>
            </w:r>
          </w:p>
        </w:tc>
        <w:tc>
          <w:tcPr>
            <w:tcW w:w="1561" w:type="dxa"/>
          </w:tcPr>
          <w:p>
            <w:pPr>
              <w:pStyle w:val="TableParagraph"/>
              <w:spacing w:line="247" w:lineRule="exact"/>
              <w:ind w:left="105"/>
              <w:rPr>
                <w:sz w:val="22"/>
              </w:rPr>
            </w:pPr>
            <w:r>
              <w:rPr>
                <w:sz w:val="22"/>
              </w:rPr>
              <w:t>2.0. и </w:t>
            </w:r>
            <w:r>
              <w:rPr>
                <w:spacing w:val="-2"/>
                <w:sz w:val="22"/>
              </w:rPr>
              <w:t>менее</w:t>
            </w:r>
          </w:p>
        </w:tc>
        <w:tc>
          <w:tcPr>
            <w:tcW w:w="1810" w:type="dxa"/>
            <w:vMerge/>
            <w:tcBorders>
              <w:top w:val="nil"/>
            </w:tcBorders>
          </w:tcPr>
          <w:p>
            <w:pPr>
              <w:rPr>
                <w:sz w:val="2"/>
                <w:szCs w:val="2"/>
              </w:rPr>
            </w:pPr>
          </w:p>
        </w:tc>
      </w:tr>
      <w:tr>
        <w:trPr>
          <w:trHeight w:val="492" w:hRule="atLeast"/>
        </w:trPr>
        <w:tc>
          <w:tcPr>
            <w:tcW w:w="3118" w:type="dxa"/>
            <w:vMerge/>
            <w:tcBorders>
              <w:top w:val="nil"/>
            </w:tcBorders>
          </w:tcPr>
          <w:p>
            <w:pPr>
              <w:rPr>
                <w:sz w:val="2"/>
                <w:szCs w:val="2"/>
              </w:rPr>
            </w:pPr>
          </w:p>
        </w:tc>
        <w:tc>
          <w:tcPr>
            <w:tcW w:w="3262" w:type="dxa"/>
          </w:tcPr>
          <w:p>
            <w:pPr>
              <w:pStyle w:val="TableParagraph"/>
              <w:spacing w:line="249" w:lineRule="exact"/>
              <w:ind w:left="107"/>
              <w:rPr>
                <w:sz w:val="22"/>
              </w:rPr>
            </w:pPr>
            <w:r>
              <w:rPr>
                <w:sz w:val="22"/>
              </w:rPr>
              <w:t>Взаимодействие</w:t>
            </w:r>
            <w:r>
              <w:rPr>
                <w:spacing w:val="-5"/>
                <w:sz w:val="22"/>
              </w:rPr>
              <w:t> </w:t>
            </w:r>
            <w:r>
              <w:rPr>
                <w:sz w:val="22"/>
              </w:rPr>
              <w:t>с</w:t>
            </w:r>
            <w:r>
              <w:rPr>
                <w:spacing w:val="-5"/>
                <w:sz w:val="22"/>
              </w:rPr>
              <w:t> </w:t>
            </w:r>
            <w:r>
              <w:rPr>
                <w:spacing w:val="-2"/>
                <w:sz w:val="22"/>
              </w:rPr>
              <w:t>ровесниками</w:t>
            </w:r>
          </w:p>
        </w:tc>
        <w:tc>
          <w:tcPr>
            <w:tcW w:w="1561" w:type="dxa"/>
          </w:tcPr>
          <w:p>
            <w:pPr>
              <w:pStyle w:val="TableParagraph"/>
              <w:spacing w:line="249" w:lineRule="exact"/>
              <w:ind w:left="105"/>
              <w:rPr>
                <w:sz w:val="22"/>
              </w:rPr>
            </w:pPr>
            <w:r>
              <w:rPr>
                <w:sz w:val="22"/>
              </w:rPr>
              <w:t>1.9. и </w:t>
            </w:r>
            <w:r>
              <w:rPr>
                <w:spacing w:val="-2"/>
                <w:sz w:val="22"/>
              </w:rPr>
              <w:t>менее</w:t>
            </w:r>
          </w:p>
        </w:tc>
        <w:tc>
          <w:tcPr>
            <w:tcW w:w="1810" w:type="dxa"/>
            <w:vMerge/>
            <w:tcBorders>
              <w:top w:val="nil"/>
            </w:tcBorders>
          </w:tcPr>
          <w:p>
            <w:pPr>
              <w:rPr>
                <w:sz w:val="2"/>
                <w:szCs w:val="2"/>
              </w:rPr>
            </w:pPr>
          </w:p>
        </w:tc>
      </w:tr>
      <w:tr>
        <w:trPr>
          <w:trHeight w:val="782" w:hRule="atLeast"/>
        </w:trPr>
        <w:tc>
          <w:tcPr>
            <w:tcW w:w="3118" w:type="dxa"/>
            <w:vMerge/>
            <w:tcBorders>
              <w:top w:val="nil"/>
            </w:tcBorders>
          </w:tcPr>
          <w:p>
            <w:pPr>
              <w:rPr>
                <w:sz w:val="2"/>
                <w:szCs w:val="2"/>
              </w:rPr>
            </w:pPr>
          </w:p>
        </w:tc>
        <w:tc>
          <w:tcPr>
            <w:tcW w:w="3262" w:type="dxa"/>
          </w:tcPr>
          <w:p>
            <w:pPr>
              <w:pStyle w:val="TableParagraph"/>
              <w:spacing w:line="276" w:lineRule="auto"/>
              <w:ind w:left="107"/>
              <w:rPr>
                <w:sz w:val="22"/>
              </w:rPr>
            </w:pPr>
            <w:r>
              <w:rPr>
                <w:sz w:val="22"/>
              </w:rPr>
              <w:t>Взаимодействие</w:t>
            </w:r>
            <w:r>
              <w:rPr>
                <w:spacing w:val="-11"/>
                <w:sz w:val="22"/>
              </w:rPr>
              <w:t> </w:t>
            </w:r>
            <w:r>
              <w:rPr>
                <w:sz w:val="22"/>
              </w:rPr>
              <w:t>со</w:t>
            </w:r>
            <w:r>
              <w:rPr>
                <w:spacing w:val="-13"/>
                <w:sz w:val="22"/>
              </w:rPr>
              <w:t> </w:t>
            </w:r>
            <w:r>
              <w:rPr>
                <w:sz w:val="22"/>
              </w:rPr>
              <w:t>взрослыми</w:t>
            </w:r>
            <w:r>
              <w:rPr>
                <w:spacing w:val="-11"/>
                <w:sz w:val="22"/>
              </w:rPr>
              <w:t> </w:t>
            </w:r>
            <w:r>
              <w:rPr>
                <w:sz w:val="22"/>
              </w:rPr>
              <w:t>в </w:t>
            </w:r>
            <w:r>
              <w:rPr>
                <w:spacing w:val="-2"/>
                <w:sz w:val="22"/>
              </w:rPr>
              <w:t>школе</w:t>
            </w:r>
          </w:p>
        </w:tc>
        <w:tc>
          <w:tcPr>
            <w:tcW w:w="1561" w:type="dxa"/>
          </w:tcPr>
          <w:p>
            <w:pPr>
              <w:pStyle w:val="TableParagraph"/>
              <w:spacing w:line="247" w:lineRule="exact"/>
              <w:ind w:left="105"/>
              <w:rPr>
                <w:sz w:val="22"/>
              </w:rPr>
            </w:pPr>
            <w:r>
              <w:rPr>
                <w:sz w:val="22"/>
              </w:rPr>
              <w:t>2.6.</w:t>
            </w:r>
            <w:r>
              <w:rPr>
                <w:spacing w:val="-2"/>
                <w:sz w:val="22"/>
              </w:rPr>
              <w:t> </w:t>
            </w:r>
            <w:r>
              <w:rPr>
                <w:sz w:val="22"/>
              </w:rPr>
              <w:t>и </w:t>
            </w:r>
            <w:r>
              <w:rPr>
                <w:spacing w:val="-4"/>
                <w:sz w:val="22"/>
              </w:rPr>
              <w:t>ниже</w:t>
            </w:r>
          </w:p>
        </w:tc>
        <w:tc>
          <w:tcPr>
            <w:tcW w:w="1810" w:type="dxa"/>
            <w:vMerge/>
            <w:tcBorders>
              <w:top w:val="nil"/>
            </w:tcBorders>
          </w:tcPr>
          <w:p>
            <w:pPr>
              <w:rPr>
                <w:sz w:val="2"/>
                <w:szCs w:val="2"/>
              </w:rPr>
            </w:pPr>
          </w:p>
        </w:tc>
      </w:tr>
      <w:tr>
        <w:trPr>
          <w:trHeight w:val="781" w:hRule="atLeast"/>
        </w:trPr>
        <w:tc>
          <w:tcPr>
            <w:tcW w:w="3118" w:type="dxa"/>
            <w:vMerge w:val="restart"/>
          </w:tcPr>
          <w:p>
            <w:pPr>
              <w:pStyle w:val="TableParagraph"/>
              <w:spacing w:line="276" w:lineRule="auto"/>
              <w:ind w:left="107"/>
              <w:rPr>
                <w:sz w:val="22"/>
              </w:rPr>
            </w:pPr>
            <w:r>
              <w:rPr>
                <w:sz w:val="22"/>
              </w:rPr>
              <w:t>Опросник</w:t>
            </w:r>
            <w:r>
              <w:rPr>
                <w:spacing w:val="-14"/>
                <w:sz w:val="22"/>
              </w:rPr>
              <w:t> </w:t>
            </w:r>
            <w:r>
              <w:rPr>
                <w:sz w:val="22"/>
              </w:rPr>
              <w:t>аккультурации</w:t>
            </w:r>
            <w:r>
              <w:rPr>
                <w:spacing w:val="-14"/>
                <w:sz w:val="22"/>
              </w:rPr>
              <w:t> </w:t>
            </w:r>
            <w:r>
              <w:rPr>
                <w:sz w:val="22"/>
              </w:rPr>
              <w:t>для детей и подростков</w:t>
            </w:r>
          </w:p>
        </w:tc>
        <w:tc>
          <w:tcPr>
            <w:tcW w:w="3262" w:type="dxa"/>
          </w:tcPr>
          <w:p>
            <w:pPr>
              <w:pStyle w:val="TableParagraph"/>
              <w:spacing w:line="276" w:lineRule="auto"/>
              <w:ind w:left="107"/>
              <w:rPr>
                <w:sz w:val="22"/>
              </w:rPr>
            </w:pPr>
            <w:r>
              <w:rPr>
                <w:sz w:val="22"/>
              </w:rPr>
              <w:t>Сохранение</w:t>
            </w:r>
            <w:r>
              <w:rPr>
                <w:spacing w:val="-14"/>
                <w:sz w:val="22"/>
              </w:rPr>
              <w:t> </w:t>
            </w:r>
            <w:r>
              <w:rPr>
                <w:sz w:val="22"/>
              </w:rPr>
              <w:t>родной</w:t>
            </w:r>
            <w:r>
              <w:rPr>
                <w:spacing w:val="-14"/>
                <w:sz w:val="22"/>
              </w:rPr>
              <w:t> </w:t>
            </w:r>
            <w:r>
              <w:rPr>
                <w:sz w:val="22"/>
              </w:rPr>
              <w:t>культурной </w:t>
            </w:r>
            <w:r>
              <w:rPr>
                <w:spacing w:val="-2"/>
                <w:sz w:val="22"/>
              </w:rPr>
              <w:t>среды</w:t>
            </w:r>
          </w:p>
        </w:tc>
        <w:tc>
          <w:tcPr>
            <w:tcW w:w="1561" w:type="dxa"/>
          </w:tcPr>
          <w:p>
            <w:pPr>
              <w:pStyle w:val="TableParagraph"/>
              <w:spacing w:line="247" w:lineRule="exact"/>
              <w:ind w:left="105"/>
              <w:rPr>
                <w:sz w:val="22"/>
              </w:rPr>
            </w:pPr>
            <w:r>
              <w:rPr>
                <w:sz w:val="22"/>
              </w:rPr>
              <w:t>0.4 и </w:t>
            </w:r>
            <w:r>
              <w:rPr>
                <w:spacing w:val="-4"/>
                <w:sz w:val="22"/>
              </w:rPr>
              <w:t>выше</w:t>
            </w:r>
          </w:p>
        </w:tc>
        <w:tc>
          <w:tcPr>
            <w:tcW w:w="1810" w:type="dxa"/>
            <w:vMerge/>
            <w:tcBorders>
              <w:top w:val="nil"/>
            </w:tcBorders>
          </w:tcPr>
          <w:p>
            <w:pPr>
              <w:rPr>
                <w:sz w:val="2"/>
                <w:szCs w:val="2"/>
              </w:rPr>
            </w:pPr>
          </w:p>
        </w:tc>
      </w:tr>
      <w:tr>
        <w:trPr>
          <w:trHeight w:val="782" w:hRule="atLeast"/>
        </w:trPr>
        <w:tc>
          <w:tcPr>
            <w:tcW w:w="3118" w:type="dxa"/>
            <w:vMerge/>
            <w:tcBorders>
              <w:top w:val="nil"/>
            </w:tcBorders>
          </w:tcPr>
          <w:p>
            <w:pPr>
              <w:rPr>
                <w:sz w:val="2"/>
                <w:szCs w:val="2"/>
              </w:rPr>
            </w:pPr>
          </w:p>
        </w:tc>
        <w:tc>
          <w:tcPr>
            <w:tcW w:w="3262" w:type="dxa"/>
          </w:tcPr>
          <w:p>
            <w:pPr>
              <w:pStyle w:val="TableParagraph"/>
              <w:spacing w:line="276" w:lineRule="auto"/>
              <w:ind w:left="107"/>
              <w:rPr>
                <w:sz w:val="22"/>
              </w:rPr>
            </w:pPr>
            <w:r>
              <w:rPr>
                <w:sz w:val="22"/>
              </w:rPr>
              <w:t>Включенность</w:t>
            </w:r>
            <w:r>
              <w:rPr>
                <w:spacing w:val="-14"/>
                <w:sz w:val="22"/>
              </w:rPr>
              <w:t> </w:t>
            </w:r>
            <w:r>
              <w:rPr>
                <w:sz w:val="22"/>
              </w:rPr>
              <w:t>в</w:t>
            </w:r>
            <w:r>
              <w:rPr>
                <w:spacing w:val="-14"/>
                <w:sz w:val="22"/>
              </w:rPr>
              <w:t> </w:t>
            </w:r>
            <w:r>
              <w:rPr>
                <w:sz w:val="22"/>
              </w:rPr>
              <w:t>культуру принимающего</w:t>
            </w:r>
            <w:r>
              <w:rPr>
                <w:spacing w:val="-9"/>
                <w:sz w:val="22"/>
              </w:rPr>
              <w:t> </w:t>
            </w:r>
            <w:r>
              <w:rPr>
                <w:spacing w:val="-2"/>
                <w:sz w:val="22"/>
              </w:rPr>
              <w:t>общества.</w:t>
            </w:r>
          </w:p>
        </w:tc>
        <w:tc>
          <w:tcPr>
            <w:tcW w:w="1561" w:type="dxa"/>
          </w:tcPr>
          <w:p>
            <w:pPr>
              <w:pStyle w:val="TableParagraph"/>
              <w:spacing w:line="247" w:lineRule="exact"/>
              <w:ind w:left="105"/>
              <w:rPr>
                <w:sz w:val="22"/>
              </w:rPr>
            </w:pPr>
            <w:r>
              <w:rPr>
                <w:sz w:val="22"/>
              </w:rPr>
              <w:t>1.0 и </w:t>
            </w:r>
            <w:r>
              <w:rPr>
                <w:spacing w:val="-4"/>
                <w:sz w:val="22"/>
              </w:rPr>
              <w:t>ниже</w:t>
            </w:r>
          </w:p>
        </w:tc>
        <w:tc>
          <w:tcPr>
            <w:tcW w:w="1810" w:type="dxa"/>
            <w:vMerge/>
            <w:tcBorders>
              <w:top w:val="nil"/>
            </w:tcBorders>
          </w:tcPr>
          <w:p>
            <w:pPr>
              <w:rPr>
                <w:sz w:val="2"/>
                <w:szCs w:val="2"/>
              </w:rPr>
            </w:pPr>
          </w:p>
        </w:tc>
      </w:tr>
      <w:tr>
        <w:trPr>
          <w:trHeight w:val="782" w:hRule="atLeast"/>
        </w:trPr>
        <w:tc>
          <w:tcPr>
            <w:tcW w:w="3118" w:type="dxa"/>
          </w:tcPr>
          <w:p>
            <w:pPr>
              <w:pStyle w:val="TableParagraph"/>
              <w:spacing w:line="276" w:lineRule="auto"/>
              <w:ind w:left="107" w:right="309"/>
              <w:rPr>
                <w:sz w:val="22"/>
              </w:rPr>
            </w:pPr>
            <w:r>
              <w:rPr>
                <w:sz w:val="22"/>
              </w:rPr>
              <w:t>Детский опросник аккультурационного</w:t>
            </w:r>
            <w:r>
              <w:rPr>
                <w:spacing w:val="-14"/>
                <w:sz w:val="22"/>
              </w:rPr>
              <w:t> </w:t>
            </w:r>
            <w:r>
              <w:rPr>
                <w:sz w:val="22"/>
              </w:rPr>
              <w:t>стресса</w:t>
            </w:r>
          </w:p>
        </w:tc>
        <w:tc>
          <w:tcPr>
            <w:tcW w:w="3262" w:type="dxa"/>
          </w:tcPr>
          <w:p>
            <w:pPr>
              <w:pStyle w:val="TableParagraph"/>
              <w:spacing w:line="276" w:lineRule="auto"/>
              <w:ind w:left="107" w:right="398"/>
              <w:rPr>
                <w:sz w:val="22"/>
              </w:rPr>
            </w:pPr>
            <w:r>
              <w:rPr>
                <w:sz w:val="22"/>
              </w:rPr>
              <w:t>Общий уровень аккультурационного</w:t>
            </w:r>
            <w:r>
              <w:rPr>
                <w:spacing w:val="-14"/>
                <w:sz w:val="22"/>
              </w:rPr>
              <w:t> </w:t>
            </w:r>
            <w:r>
              <w:rPr>
                <w:sz w:val="22"/>
              </w:rPr>
              <w:t>стресса.</w:t>
            </w:r>
          </w:p>
        </w:tc>
        <w:tc>
          <w:tcPr>
            <w:tcW w:w="1561" w:type="dxa"/>
          </w:tcPr>
          <w:p>
            <w:pPr>
              <w:pStyle w:val="TableParagraph"/>
              <w:spacing w:line="276" w:lineRule="auto"/>
              <w:ind w:left="105"/>
              <w:rPr>
                <w:sz w:val="22"/>
              </w:rPr>
            </w:pPr>
            <w:r>
              <w:rPr>
                <w:sz w:val="22"/>
              </w:rPr>
              <w:t>20</w:t>
            </w:r>
            <w:r>
              <w:rPr>
                <w:spacing w:val="-14"/>
                <w:sz w:val="22"/>
              </w:rPr>
              <w:t> </w:t>
            </w:r>
            <w:r>
              <w:rPr>
                <w:sz w:val="22"/>
              </w:rPr>
              <w:t>баллов</w:t>
            </w:r>
            <w:r>
              <w:rPr>
                <w:spacing w:val="-14"/>
                <w:sz w:val="22"/>
              </w:rPr>
              <w:t> </w:t>
            </w:r>
            <w:r>
              <w:rPr>
                <w:sz w:val="22"/>
              </w:rPr>
              <w:t>и </w:t>
            </w:r>
            <w:r>
              <w:rPr>
                <w:spacing w:val="-4"/>
                <w:sz w:val="22"/>
              </w:rPr>
              <w:t>выше</w:t>
            </w:r>
          </w:p>
        </w:tc>
        <w:tc>
          <w:tcPr>
            <w:tcW w:w="1810" w:type="dxa"/>
            <w:vMerge/>
            <w:tcBorders>
              <w:top w:val="nil"/>
            </w:tcBorders>
          </w:tcPr>
          <w:p>
            <w:pPr>
              <w:rPr>
                <w:sz w:val="2"/>
                <w:szCs w:val="2"/>
              </w:rPr>
            </w:pPr>
          </w:p>
        </w:tc>
      </w:tr>
      <w:tr>
        <w:trPr>
          <w:trHeight w:val="491" w:hRule="atLeast"/>
        </w:trPr>
        <w:tc>
          <w:tcPr>
            <w:tcW w:w="3118" w:type="dxa"/>
          </w:tcPr>
          <w:p>
            <w:pPr>
              <w:pStyle w:val="TableParagraph"/>
              <w:spacing w:line="247" w:lineRule="exact"/>
              <w:ind w:left="107"/>
              <w:rPr>
                <w:sz w:val="22"/>
              </w:rPr>
            </w:pPr>
            <w:r>
              <w:rPr>
                <w:sz w:val="22"/>
              </w:rPr>
              <w:t>Опросник</w:t>
            </w:r>
            <w:r>
              <w:rPr>
                <w:spacing w:val="-7"/>
                <w:sz w:val="22"/>
              </w:rPr>
              <w:t> </w:t>
            </w:r>
            <w:r>
              <w:rPr>
                <w:spacing w:val="-2"/>
                <w:sz w:val="22"/>
              </w:rPr>
              <w:t>Ахенбаха</w:t>
            </w:r>
          </w:p>
        </w:tc>
        <w:tc>
          <w:tcPr>
            <w:tcW w:w="3262" w:type="dxa"/>
          </w:tcPr>
          <w:p>
            <w:pPr>
              <w:pStyle w:val="TableParagraph"/>
              <w:spacing w:line="247" w:lineRule="exact"/>
              <w:ind w:left="107"/>
              <w:rPr>
                <w:sz w:val="22"/>
              </w:rPr>
            </w:pPr>
            <w:r>
              <w:rPr>
                <w:sz w:val="22"/>
              </w:rPr>
              <w:t>Проблемы</w:t>
            </w:r>
            <w:r>
              <w:rPr>
                <w:spacing w:val="-5"/>
                <w:sz w:val="22"/>
              </w:rPr>
              <w:t> </w:t>
            </w:r>
            <w:r>
              <w:rPr>
                <w:spacing w:val="-2"/>
                <w:sz w:val="22"/>
              </w:rPr>
              <w:t>интернализации</w:t>
            </w:r>
          </w:p>
        </w:tc>
        <w:tc>
          <w:tcPr>
            <w:tcW w:w="1561" w:type="dxa"/>
          </w:tcPr>
          <w:p>
            <w:pPr>
              <w:pStyle w:val="TableParagraph"/>
              <w:spacing w:line="247" w:lineRule="exact"/>
              <w:ind w:left="105"/>
              <w:rPr>
                <w:sz w:val="22"/>
              </w:rPr>
            </w:pPr>
            <w:r>
              <w:rPr>
                <w:sz w:val="22"/>
              </w:rPr>
              <w:t>10 и </w:t>
            </w:r>
            <w:r>
              <w:rPr>
                <w:spacing w:val="-4"/>
                <w:sz w:val="22"/>
              </w:rPr>
              <w:t>выше</w:t>
            </w:r>
          </w:p>
        </w:tc>
        <w:tc>
          <w:tcPr>
            <w:tcW w:w="1810" w:type="dxa"/>
            <w:vMerge w:val="restart"/>
          </w:tcPr>
          <w:p>
            <w:pPr>
              <w:pStyle w:val="TableParagraph"/>
              <w:spacing w:line="247" w:lineRule="exact"/>
              <w:ind w:left="105"/>
              <w:rPr>
                <w:sz w:val="22"/>
              </w:rPr>
            </w:pPr>
            <w:r>
              <w:rPr>
                <w:spacing w:val="-2"/>
                <w:sz w:val="22"/>
              </w:rPr>
              <w:t>расширенный</w:t>
            </w:r>
          </w:p>
        </w:tc>
      </w:tr>
      <w:tr>
        <w:trPr>
          <w:trHeight w:val="834" w:hRule="atLeast"/>
        </w:trPr>
        <w:tc>
          <w:tcPr>
            <w:tcW w:w="3118" w:type="dxa"/>
          </w:tcPr>
          <w:p>
            <w:pPr>
              <w:pStyle w:val="TableParagraph"/>
              <w:spacing w:line="276" w:lineRule="auto"/>
              <w:ind w:left="107"/>
              <w:rPr>
                <w:sz w:val="24"/>
              </w:rPr>
            </w:pPr>
            <w:r>
              <w:rPr>
                <w:sz w:val="24"/>
              </w:rPr>
              <w:t>Шкала социального избегания</w:t>
            </w:r>
            <w:r>
              <w:rPr>
                <w:spacing w:val="-15"/>
                <w:sz w:val="24"/>
              </w:rPr>
              <w:t> </w:t>
            </w:r>
            <w:r>
              <w:rPr>
                <w:sz w:val="24"/>
              </w:rPr>
              <w:t>и</w:t>
            </w:r>
            <w:r>
              <w:rPr>
                <w:spacing w:val="-15"/>
                <w:sz w:val="24"/>
              </w:rPr>
              <w:t> </w:t>
            </w:r>
            <w:r>
              <w:rPr>
                <w:sz w:val="24"/>
              </w:rPr>
              <w:t>дистресса</w:t>
            </w:r>
          </w:p>
        </w:tc>
        <w:tc>
          <w:tcPr>
            <w:tcW w:w="3262" w:type="dxa"/>
          </w:tcPr>
          <w:p>
            <w:pPr>
              <w:pStyle w:val="TableParagraph"/>
              <w:spacing w:line="270" w:lineRule="exact"/>
              <w:ind w:left="107"/>
              <w:rPr>
                <w:sz w:val="24"/>
              </w:rPr>
            </w:pPr>
            <w:r>
              <w:rPr>
                <w:sz w:val="24"/>
              </w:rPr>
              <w:t>Социальная</w:t>
            </w:r>
            <w:r>
              <w:rPr>
                <w:spacing w:val="-6"/>
                <w:sz w:val="24"/>
              </w:rPr>
              <w:t> </w:t>
            </w:r>
            <w:r>
              <w:rPr>
                <w:spacing w:val="-2"/>
                <w:sz w:val="24"/>
              </w:rPr>
              <w:t>тревожность</w:t>
            </w:r>
          </w:p>
        </w:tc>
        <w:tc>
          <w:tcPr>
            <w:tcW w:w="1561" w:type="dxa"/>
          </w:tcPr>
          <w:p>
            <w:pPr>
              <w:pStyle w:val="TableParagraph"/>
              <w:spacing w:line="270" w:lineRule="exact"/>
              <w:ind w:left="105"/>
              <w:rPr>
                <w:sz w:val="24"/>
              </w:rPr>
            </w:pPr>
            <w:r>
              <w:rPr>
                <w:sz w:val="24"/>
              </w:rPr>
              <w:t>13 и </w:t>
            </w:r>
            <w:r>
              <w:rPr>
                <w:spacing w:val="-4"/>
                <w:sz w:val="24"/>
              </w:rPr>
              <w:t>выше</w:t>
            </w:r>
          </w:p>
        </w:tc>
        <w:tc>
          <w:tcPr>
            <w:tcW w:w="1810" w:type="dxa"/>
            <w:vMerge/>
            <w:tcBorders>
              <w:top w:val="nil"/>
            </w:tcBorders>
          </w:tcPr>
          <w:p>
            <w:pPr>
              <w:rPr>
                <w:sz w:val="2"/>
                <w:szCs w:val="2"/>
              </w:rPr>
            </w:pPr>
          </w:p>
        </w:tc>
      </w:tr>
      <w:tr>
        <w:trPr>
          <w:trHeight w:val="515" w:hRule="atLeast"/>
        </w:trPr>
        <w:tc>
          <w:tcPr>
            <w:tcW w:w="3118" w:type="dxa"/>
          </w:tcPr>
          <w:p>
            <w:pPr>
              <w:pStyle w:val="TableParagraph"/>
              <w:spacing w:line="270" w:lineRule="exact"/>
              <w:ind w:left="107"/>
              <w:rPr>
                <w:sz w:val="24"/>
              </w:rPr>
            </w:pPr>
            <w:r>
              <w:rPr>
                <w:sz w:val="24"/>
              </w:rPr>
              <w:t>Опросник</w:t>
            </w:r>
            <w:r>
              <w:rPr>
                <w:spacing w:val="-2"/>
                <w:sz w:val="24"/>
              </w:rPr>
              <w:t> депрессивности</w:t>
            </w:r>
          </w:p>
        </w:tc>
        <w:tc>
          <w:tcPr>
            <w:tcW w:w="3262" w:type="dxa"/>
          </w:tcPr>
          <w:p>
            <w:pPr>
              <w:pStyle w:val="TableParagraph"/>
              <w:spacing w:line="270" w:lineRule="exact"/>
              <w:ind w:left="107"/>
              <w:rPr>
                <w:sz w:val="24"/>
              </w:rPr>
            </w:pPr>
            <w:r>
              <w:rPr>
                <w:spacing w:val="-2"/>
                <w:sz w:val="24"/>
              </w:rPr>
              <w:t>Депрессивность</w:t>
            </w:r>
          </w:p>
        </w:tc>
        <w:tc>
          <w:tcPr>
            <w:tcW w:w="1561" w:type="dxa"/>
          </w:tcPr>
          <w:p>
            <w:pPr>
              <w:pStyle w:val="TableParagraph"/>
              <w:spacing w:line="270" w:lineRule="exact"/>
              <w:ind w:left="105"/>
              <w:rPr>
                <w:sz w:val="24"/>
              </w:rPr>
            </w:pPr>
            <w:r>
              <w:rPr>
                <w:sz w:val="24"/>
              </w:rPr>
              <w:t>24 и </w:t>
            </w:r>
            <w:r>
              <w:rPr>
                <w:spacing w:val="-4"/>
                <w:sz w:val="24"/>
              </w:rPr>
              <w:t>выше</w:t>
            </w:r>
          </w:p>
        </w:tc>
        <w:tc>
          <w:tcPr>
            <w:tcW w:w="1810" w:type="dxa"/>
            <w:vMerge/>
            <w:tcBorders>
              <w:top w:val="nil"/>
            </w:tcBorders>
          </w:tcPr>
          <w:p>
            <w:pPr>
              <w:rPr>
                <w:sz w:val="2"/>
                <w:szCs w:val="2"/>
              </w:rPr>
            </w:pPr>
          </w:p>
        </w:tc>
      </w:tr>
      <w:tr>
        <w:trPr>
          <w:trHeight w:val="1151" w:hRule="atLeast"/>
        </w:trPr>
        <w:tc>
          <w:tcPr>
            <w:tcW w:w="3118" w:type="dxa"/>
          </w:tcPr>
          <w:p>
            <w:pPr>
              <w:pStyle w:val="TableParagraph"/>
              <w:spacing w:line="270" w:lineRule="exact"/>
              <w:ind w:left="107"/>
              <w:rPr>
                <w:sz w:val="24"/>
              </w:rPr>
            </w:pPr>
            <w:r>
              <w:rPr>
                <w:sz w:val="24"/>
              </w:rPr>
              <w:t>Шкала</w:t>
            </w:r>
            <w:r>
              <w:rPr>
                <w:spacing w:val="-4"/>
                <w:sz w:val="24"/>
              </w:rPr>
              <w:t> </w:t>
            </w:r>
            <w:r>
              <w:rPr>
                <w:sz w:val="24"/>
              </w:rPr>
              <w:t>отношения</w:t>
            </w:r>
            <w:r>
              <w:rPr>
                <w:spacing w:val="-4"/>
                <w:sz w:val="24"/>
              </w:rPr>
              <w:t> </w:t>
            </w:r>
            <w:r>
              <w:rPr>
                <w:sz w:val="24"/>
              </w:rPr>
              <w:t>к </w:t>
            </w:r>
            <w:r>
              <w:rPr>
                <w:spacing w:val="-2"/>
                <w:sz w:val="24"/>
              </w:rPr>
              <w:t>школе</w:t>
            </w:r>
          </w:p>
        </w:tc>
        <w:tc>
          <w:tcPr>
            <w:tcW w:w="3262" w:type="dxa"/>
          </w:tcPr>
          <w:p>
            <w:pPr>
              <w:pStyle w:val="TableParagraph"/>
              <w:spacing w:line="276" w:lineRule="auto"/>
              <w:ind w:left="107" w:right="398"/>
              <w:rPr>
                <w:sz w:val="24"/>
              </w:rPr>
            </w:pPr>
            <w:r>
              <w:rPr>
                <w:sz w:val="24"/>
              </w:rPr>
              <w:t>Уровень внутренней школьной</w:t>
            </w:r>
            <w:r>
              <w:rPr>
                <w:spacing w:val="-15"/>
                <w:sz w:val="24"/>
              </w:rPr>
              <w:t> </w:t>
            </w:r>
            <w:r>
              <w:rPr>
                <w:sz w:val="24"/>
              </w:rPr>
              <w:t>мотивации</w:t>
            </w:r>
            <w:r>
              <w:rPr>
                <w:spacing w:val="-15"/>
                <w:sz w:val="24"/>
              </w:rPr>
              <w:t> </w:t>
            </w:r>
            <w:r>
              <w:rPr>
                <w:sz w:val="24"/>
              </w:rPr>
              <w:t>и отношения к школе</w:t>
            </w:r>
          </w:p>
        </w:tc>
        <w:tc>
          <w:tcPr>
            <w:tcW w:w="1561" w:type="dxa"/>
          </w:tcPr>
          <w:p>
            <w:pPr>
              <w:pStyle w:val="TableParagraph"/>
              <w:spacing w:line="270" w:lineRule="exact"/>
              <w:ind w:left="105"/>
              <w:rPr>
                <w:sz w:val="24"/>
              </w:rPr>
            </w:pPr>
            <w:r>
              <w:rPr>
                <w:sz w:val="24"/>
              </w:rPr>
              <w:t>26 и </w:t>
            </w:r>
            <w:r>
              <w:rPr>
                <w:spacing w:val="-4"/>
                <w:sz w:val="24"/>
              </w:rPr>
              <w:t>ниже</w:t>
            </w:r>
          </w:p>
        </w:tc>
        <w:tc>
          <w:tcPr>
            <w:tcW w:w="1810" w:type="dxa"/>
            <w:vMerge/>
            <w:tcBorders>
              <w:top w:val="nil"/>
            </w:tcBorders>
          </w:tcPr>
          <w:p>
            <w:pPr>
              <w:rPr>
                <w:sz w:val="2"/>
                <w:szCs w:val="2"/>
              </w:rPr>
            </w:pPr>
          </w:p>
        </w:tc>
      </w:tr>
      <w:tr>
        <w:trPr>
          <w:trHeight w:val="835" w:hRule="atLeast"/>
        </w:trPr>
        <w:tc>
          <w:tcPr>
            <w:tcW w:w="3118" w:type="dxa"/>
            <w:vMerge w:val="restart"/>
          </w:tcPr>
          <w:p>
            <w:pPr>
              <w:pStyle w:val="TableParagraph"/>
              <w:spacing w:line="276" w:lineRule="auto"/>
              <w:ind w:left="107" w:right="188"/>
              <w:rPr>
                <w:sz w:val="24"/>
              </w:rPr>
            </w:pPr>
            <w:r>
              <w:rPr>
                <w:sz w:val="24"/>
              </w:rPr>
              <w:t>Методика измерения гражданской</w:t>
            </w:r>
            <w:r>
              <w:rPr>
                <w:spacing w:val="-15"/>
                <w:sz w:val="24"/>
              </w:rPr>
              <w:t> </w:t>
            </w:r>
            <w:r>
              <w:rPr>
                <w:sz w:val="24"/>
              </w:rPr>
              <w:t>идентичности для детей и подростков</w:t>
            </w:r>
          </w:p>
        </w:tc>
        <w:tc>
          <w:tcPr>
            <w:tcW w:w="3262" w:type="dxa"/>
          </w:tcPr>
          <w:p>
            <w:pPr>
              <w:pStyle w:val="TableParagraph"/>
              <w:spacing w:line="276" w:lineRule="auto"/>
              <w:ind w:left="107" w:right="290"/>
              <w:rPr>
                <w:sz w:val="24"/>
              </w:rPr>
            </w:pPr>
            <w:r>
              <w:rPr>
                <w:sz w:val="24"/>
              </w:rPr>
              <w:t>Национальная</w:t>
            </w:r>
            <w:r>
              <w:rPr>
                <w:spacing w:val="-15"/>
                <w:sz w:val="24"/>
              </w:rPr>
              <w:t> </w:t>
            </w:r>
            <w:r>
              <w:rPr>
                <w:sz w:val="24"/>
              </w:rPr>
              <w:t>(Pоссийская) </w:t>
            </w:r>
            <w:r>
              <w:rPr>
                <w:spacing w:val="-2"/>
                <w:sz w:val="24"/>
              </w:rPr>
              <w:t>идентичность</w:t>
            </w:r>
          </w:p>
        </w:tc>
        <w:tc>
          <w:tcPr>
            <w:tcW w:w="1561" w:type="dxa"/>
          </w:tcPr>
          <w:p>
            <w:pPr>
              <w:pStyle w:val="TableParagraph"/>
              <w:spacing w:line="273" w:lineRule="exact"/>
              <w:ind w:left="105"/>
              <w:rPr>
                <w:sz w:val="24"/>
              </w:rPr>
            </w:pPr>
            <w:r>
              <w:rPr>
                <w:sz w:val="24"/>
              </w:rPr>
              <w:t>22 и </w:t>
            </w:r>
            <w:r>
              <w:rPr>
                <w:spacing w:val="-4"/>
                <w:sz w:val="24"/>
              </w:rPr>
              <w:t>ниже</w:t>
            </w:r>
          </w:p>
        </w:tc>
        <w:tc>
          <w:tcPr>
            <w:tcW w:w="1810" w:type="dxa"/>
            <w:vMerge/>
            <w:tcBorders>
              <w:top w:val="nil"/>
            </w:tcBorders>
          </w:tcPr>
          <w:p>
            <w:pPr>
              <w:rPr>
                <w:sz w:val="2"/>
                <w:szCs w:val="2"/>
              </w:rPr>
            </w:pPr>
          </w:p>
        </w:tc>
      </w:tr>
      <w:tr>
        <w:trPr>
          <w:trHeight w:val="517" w:hRule="atLeast"/>
        </w:trPr>
        <w:tc>
          <w:tcPr>
            <w:tcW w:w="3118" w:type="dxa"/>
            <w:vMerge/>
            <w:tcBorders>
              <w:top w:val="nil"/>
            </w:tcBorders>
          </w:tcPr>
          <w:p>
            <w:pPr>
              <w:rPr>
                <w:sz w:val="2"/>
                <w:szCs w:val="2"/>
              </w:rPr>
            </w:pPr>
          </w:p>
        </w:tc>
        <w:tc>
          <w:tcPr>
            <w:tcW w:w="3262" w:type="dxa"/>
          </w:tcPr>
          <w:p>
            <w:pPr>
              <w:pStyle w:val="TableParagraph"/>
              <w:spacing w:line="273" w:lineRule="exact"/>
              <w:ind w:left="107"/>
              <w:rPr>
                <w:sz w:val="24"/>
              </w:rPr>
            </w:pPr>
            <w:r>
              <w:rPr>
                <w:sz w:val="24"/>
              </w:rPr>
              <w:t>Этническая</w:t>
            </w:r>
            <w:r>
              <w:rPr>
                <w:spacing w:val="-4"/>
                <w:sz w:val="24"/>
              </w:rPr>
              <w:t> </w:t>
            </w:r>
            <w:r>
              <w:rPr>
                <w:spacing w:val="-2"/>
                <w:sz w:val="24"/>
              </w:rPr>
              <w:t>идентичность</w:t>
            </w:r>
          </w:p>
        </w:tc>
        <w:tc>
          <w:tcPr>
            <w:tcW w:w="1561" w:type="dxa"/>
          </w:tcPr>
          <w:p>
            <w:pPr>
              <w:pStyle w:val="TableParagraph"/>
              <w:spacing w:line="273" w:lineRule="exact"/>
              <w:ind w:left="105"/>
              <w:rPr>
                <w:sz w:val="24"/>
              </w:rPr>
            </w:pPr>
            <w:r>
              <w:rPr>
                <w:sz w:val="24"/>
              </w:rPr>
              <w:t>24 и </w:t>
            </w:r>
            <w:r>
              <w:rPr>
                <w:spacing w:val="-4"/>
                <w:sz w:val="24"/>
              </w:rPr>
              <w:t>выше</w:t>
            </w:r>
          </w:p>
        </w:tc>
        <w:tc>
          <w:tcPr>
            <w:tcW w:w="1810" w:type="dxa"/>
            <w:vMerge/>
            <w:tcBorders>
              <w:top w:val="nil"/>
            </w:tcBorders>
          </w:tcPr>
          <w:p>
            <w:pPr>
              <w:rPr>
                <w:sz w:val="2"/>
                <w:szCs w:val="2"/>
              </w:rPr>
            </w:pPr>
          </w:p>
        </w:tc>
      </w:tr>
      <w:tr>
        <w:trPr>
          <w:trHeight w:val="1154" w:hRule="atLeast"/>
        </w:trPr>
        <w:tc>
          <w:tcPr>
            <w:tcW w:w="3118" w:type="dxa"/>
          </w:tcPr>
          <w:p>
            <w:pPr>
              <w:pStyle w:val="TableParagraph"/>
              <w:spacing w:line="276" w:lineRule="auto"/>
              <w:ind w:left="107"/>
              <w:rPr>
                <w:sz w:val="24"/>
              </w:rPr>
            </w:pPr>
            <w:r>
              <w:rPr>
                <w:sz w:val="24"/>
              </w:rPr>
              <w:t>Краткая шкала </w:t>
            </w:r>
            <w:r>
              <w:rPr>
                <w:spacing w:val="-2"/>
                <w:sz w:val="24"/>
              </w:rPr>
              <w:t>социокультурной дезадаптации</w:t>
            </w:r>
          </w:p>
        </w:tc>
        <w:tc>
          <w:tcPr>
            <w:tcW w:w="3262" w:type="dxa"/>
          </w:tcPr>
          <w:p>
            <w:pPr>
              <w:pStyle w:val="TableParagraph"/>
              <w:spacing w:line="278" w:lineRule="auto"/>
              <w:ind w:left="107" w:right="398"/>
              <w:rPr>
                <w:sz w:val="24"/>
              </w:rPr>
            </w:pPr>
            <w:r>
              <w:rPr>
                <w:spacing w:val="-2"/>
                <w:sz w:val="24"/>
              </w:rPr>
              <w:t>Социокультурная дезадаптация</w:t>
            </w:r>
          </w:p>
        </w:tc>
        <w:tc>
          <w:tcPr>
            <w:tcW w:w="1561" w:type="dxa"/>
          </w:tcPr>
          <w:p>
            <w:pPr>
              <w:pStyle w:val="TableParagraph"/>
              <w:spacing w:line="270" w:lineRule="exact"/>
              <w:ind w:left="105"/>
              <w:rPr>
                <w:sz w:val="24"/>
              </w:rPr>
            </w:pPr>
            <w:r>
              <w:rPr>
                <w:sz w:val="24"/>
              </w:rPr>
              <w:t>24 и </w:t>
            </w:r>
            <w:r>
              <w:rPr>
                <w:spacing w:val="-4"/>
                <w:sz w:val="24"/>
              </w:rPr>
              <w:t>выше</w:t>
            </w:r>
          </w:p>
        </w:tc>
        <w:tc>
          <w:tcPr>
            <w:tcW w:w="1810" w:type="dxa"/>
            <w:vMerge/>
            <w:tcBorders>
              <w:top w:val="nil"/>
            </w:tcBorders>
          </w:tcPr>
          <w:p>
            <w:pPr>
              <w:rPr>
                <w:sz w:val="2"/>
                <w:szCs w:val="2"/>
              </w:rPr>
            </w:pPr>
          </w:p>
        </w:tc>
      </w:tr>
    </w:tbl>
    <w:p>
      <w:pPr>
        <w:pStyle w:val="BodyText"/>
        <w:spacing w:before="194"/>
        <w:ind w:left="0" w:right="0" w:firstLine="0"/>
        <w:jc w:val="left"/>
        <w:rPr>
          <w:b/>
          <w:sz w:val="28"/>
        </w:rPr>
      </w:pPr>
    </w:p>
    <w:p>
      <w:pPr>
        <w:pStyle w:val="Heading4"/>
        <w:ind w:right="567" w:firstLine="707"/>
      </w:pPr>
      <w:r>
        <w:rPr/>
        <w:t>Психолог может сопоставить результаты диагностики ребенка (полученные согласно инструкциям в инструментарии) и числовые маркеры профилей из таблиц выше. Таким образом психолог может сделать вывод о том,</w:t>
      </w:r>
      <w:r>
        <w:rPr>
          <w:spacing w:val="53"/>
        </w:rPr>
        <w:t>  </w:t>
      </w:r>
      <w:r>
        <w:rPr/>
        <w:t>насколько</w:t>
      </w:r>
      <w:r>
        <w:rPr>
          <w:spacing w:val="54"/>
        </w:rPr>
        <w:t>  </w:t>
      </w:r>
      <w:r>
        <w:rPr/>
        <w:t>данные</w:t>
      </w:r>
      <w:r>
        <w:rPr>
          <w:spacing w:val="53"/>
        </w:rPr>
        <w:t>  </w:t>
      </w:r>
      <w:r>
        <w:rPr/>
        <w:t>диагностики</w:t>
      </w:r>
      <w:r>
        <w:rPr>
          <w:spacing w:val="55"/>
        </w:rPr>
        <w:t>  </w:t>
      </w:r>
      <w:r>
        <w:rPr/>
        <w:t>ребенка</w:t>
      </w:r>
      <w:r>
        <w:rPr>
          <w:spacing w:val="53"/>
        </w:rPr>
        <w:t>  </w:t>
      </w:r>
      <w:r>
        <w:rPr/>
        <w:t>соответствуют</w:t>
      </w:r>
      <w:r>
        <w:rPr>
          <w:spacing w:val="55"/>
        </w:rPr>
        <w:t>  </w:t>
      </w:r>
      <w:r>
        <w:rPr>
          <w:spacing w:val="-2"/>
        </w:rPr>
        <w:t>средним</w:t>
      </w:r>
    </w:p>
    <w:p>
      <w:pPr>
        <w:pStyle w:val="Heading4"/>
        <w:spacing w:after="0"/>
        <w:sectPr>
          <w:pgSz w:w="11910" w:h="16840"/>
          <w:pgMar w:header="0" w:footer="970" w:top="1040" w:bottom="1220" w:left="1417" w:right="283"/>
        </w:sectPr>
      </w:pPr>
    </w:p>
    <w:p>
      <w:pPr>
        <w:pStyle w:val="Heading4"/>
        <w:spacing w:before="67"/>
        <w:ind w:right="559"/>
      </w:pPr>
      <w:r>
        <w:rPr/>
        <w:t>показателям того или иного профиля. Подчеркнем, что по некоторым параметрам данные ребенка могут соответствовать нескольким профилям. Результаты диагностики следует рассматривать в-целом, как вероятность отнесения ребенка к тому или иному профилю по результатам обследования.</w:t>
      </w:r>
    </w:p>
    <w:p>
      <w:pPr>
        <w:pStyle w:val="Heading4"/>
        <w:spacing w:before="1"/>
        <w:ind w:right="563" w:firstLine="707"/>
      </w:pPr>
      <w:r>
        <w:rPr/>
        <w:t>Если по результатам диагностики с помощью базового компонента ребенок показал как минимум 1 соответствие дезадаптивному профилю, в этом случае показана углублённая диагностика с помощью расширенного </w:t>
      </w:r>
      <w:r>
        <w:rPr>
          <w:spacing w:val="-2"/>
        </w:rPr>
        <w:t>пакета.</w:t>
      </w:r>
    </w:p>
    <w:p>
      <w:pPr>
        <w:pStyle w:val="Heading4"/>
        <w:spacing w:before="1"/>
        <w:ind w:right="560" w:firstLine="707"/>
      </w:pPr>
      <w:r>
        <w:rPr/>
        <w:t>По ее результатам, даже если большинство показателей ребенка находятся</w:t>
      </w:r>
      <w:r>
        <w:rPr>
          <w:spacing w:val="-1"/>
        </w:rPr>
        <w:t> </w:t>
      </w:r>
      <w:r>
        <w:rPr/>
        <w:t>на</w:t>
      </w:r>
      <w:r>
        <w:rPr>
          <w:spacing w:val="-3"/>
        </w:rPr>
        <w:t> </w:t>
      </w:r>
      <w:r>
        <w:rPr/>
        <w:t>среднем</w:t>
      </w:r>
      <w:r>
        <w:rPr>
          <w:spacing w:val="-2"/>
        </w:rPr>
        <w:t> </w:t>
      </w:r>
      <w:r>
        <w:rPr/>
        <w:t>уровне</w:t>
      </w:r>
      <w:r>
        <w:rPr>
          <w:spacing w:val="-1"/>
        </w:rPr>
        <w:t> </w:t>
      </w:r>
      <w:r>
        <w:rPr/>
        <w:t>(см.</w:t>
      </w:r>
      <w:r>
        <w:rPr>
          <w:spacing w:val="-4"/>
        </w:rPr>
        <w:t> </w:t>
      </w:r>
      <w:r>
        <w:rPr/>
        <w:t>показатели</w:t>
      </w:r>
      <w:r>
        <w:rPr>
          <w:spacing w:val="-1"/>
        </w:rPr>
        <w:t> </w:t>
      </w:r>
      <w:r>
        <w:rPr/>
        <w:t>обработки</w:t>
      </w:r>
      <w:r>
        <w:rPr>
          <w:spacing w:val="-2"/>
        </w:rPr>
        <w:t> </w:t>
      </w:r>
      <w:r>
        <w:rPr/>
        <w:t>отдельных</w:t>
      </w:r>
      <w:r>
        <w:rPr>
          <w:spacing w:val="-1"/>
        </w:rPr>
        <w:t> </w:t>
      </w:r>
      <w:r>
        <w:rPr/>
        <w:t>методик</w:t>
      </w:r>
      <w:r>
        <w:rPr>
          <w:spacing w:val="-1"/>
        </w:rPr>
        <w:t> </w:t>
      </w:r>
      <w:r>
        <w:rPr/>
        <w:t>в инструментарии),</w:t>
      </w:r>
      <w:r>
        <w:rPr>
          <w:spacing w:val="-12"/>
        </w:rPr>
        <w:t> </w:t>
      </w:r>
      <w:r>
        <w:rPr/>
        <w:t>но</w:t>
      </w:r>
      <w:r>
        <w:rPr>
          <w:spacing w:val="-10"/>
        </w:rPr>
        <w:t> </w:t>
      </w:r>
      <w:r>
        <w:rPr/>
        <w:t>соответствуют</w:t>
      </w:r>
      <w:r>
        <w:rPr>
          <w:spacing w:val="-11"/>
        </w:rPr>
        <w:t> </w:t>
      </w:r>
      <w:r>
        <w:rPr/>
        <w:t>5</w:t>
      </w:r>
      <w:r>
        <w:rPr>
          <w:spacing w:val="-10"/>
        </w:rPr>
        <w:t> </w:t>
      </w:r>
      <w:r>
        <w:rPr/>
        <w:t>из</w:t>
      </w:r>
      <w:r>
        <w:rPr>
          <w:spacing w:val="-12"/>
        </w:rPr>
        <w:t> </w:t>
      </w:r>
      <w:r>
        <w:rPr/>
        <w:t>7</w:t>
      </w:r>
      <w:r>
        <w:rPr>
          <w:spacing w:val="-10"/>
        </w:rPr>
        <w:t> </w:t>
      </w:r>
      <w:r>
        <w:rPr/>
        <w:t>числовых</w:t>
      </w:r>
      <w:r>
        <w:rPr>
          <w:spacing w:val="-10"/>
        </w:rPr>
        <w:t> </w:t>
      </w:r>
      <w:r>
        <w:rPr/>
        <w:t>маркеров</w:t>
      </w:r>
      <w:r>
        <w:rPr>
          <w:spacing w:val="-12"/>
        </w:rPr>
        <w:t> </w:t>
      </w:r>
      <w:r>
        <w:rPr/>
        <w:t>дезадаптивного профиля – необходима углубленная работа по психолого-педагогическому сопровождению ребенка.</w:t>
      </w:r>
    </w:p>
    <w:p>
      <w:pPr>
        <w:pStyle w:val="Heading4"/>
        <w:spacing w:before="1"/>
        <w:ind w:right="560" w:firstLine="707"/>
      </w:pPr>
      <w:r>
        <w:rPr/>
        <w:t>В то же время, достижение большинства показателей -маркеров интеграционного профиля является критерием успешной адаптации ребенка- иностранного гражданина в образовательной среде.</w:t>
      </w:r>
    </w:p>
    <w:p>
      <w:pPr>
        <w:pStyle w:val="Heading4"/>
        <w:spacing w:after="0"/>
        <w:sectPr>
          <w:pgSz w:w="11910" w:h="16840"/>
          <w:pgMar w:header="0" w:footer="970" w:top="1040" w:bottom="1220" w:left="1417" w:right="283"/>
        </w:sectPr>
      </w:pPr>
    </w:p>
    <w:p>
      <w:pPr>
        <w:tabs>
          <w:tab w:pos="3226" w:val="left" w:leader="none"/>
          <w:tab w:pos="3694" w:val="left" w:leader="none"/>
          <w:tab w:pos="4958" w:val="left" w:leader="none"/>
          <w:tab w:pos="6548" w:val="left" w:leader="none"/>
          <w:tab w:pos="7253" w:val="left" w:leader="none"/>
          <w:tab w:pos="8207" w:val="left" w:leader="none"/>
        </w:tabs>
        <w:spacing w:line="278" w:lineRule="auto" w:before="72"/>
        <w:ind w:left="285" w:right="560" w:firstLine="566"/>
        <w:jc w:val="left"/>
        <w:rPr>
          <w:b/>
          <w:sz w:val="28"/>
        </w:rPr>
      </w:pPr>
      <w:r>
        <w:rPr>
          <w:b/>
          <w:spacing w:val="-2"/>
          <w:sz w:val="28"/>
        </w:rPr>
        <w:t>ПРИЛОЖЕНИЕ</w:t>
      </w:r>
      <w:r>
        <w:rPr>
          <w:b/>
          <w:sz w:val="28"/>
        </w:rPr>
        <w:tab/>
      </w:r>
      <w:r>
        <w:rPr>
          <w:b/>
          <w:spacing w:val="-6"/>
          <w:sz w:val="28"/>
        </w:rPr>
        <w:t>1.</w:t>
      </w:r>
      <w:r>
        <w:rPr>
          <w:b/>
          <w:sz w:val="28"/>
        </w:rPr>
        <w:tab/>
      </w:r>
      <w:r>
        <w:rPr>
          <w:b/>
          <w:spacing w:val="-2"/>
          <w:sz w:val="28"/>
        </w:rPr>
        <w:t>Пример</w:t>
      </w:r>
      <w:r>
        <w:rPr>
          <w:b/>
          <w:sz w:val="28"/>
        </w:rPr>
        <w:tab/>
      </w:r>
      <w:r>
        <w:rPr>
          <w:b/>
          <w:spacing w:val="-2"/>
          <w:sz w:val="28"/>
        </w:rPr>
        <w:t>протокола</w:t>
      </w:r>
      <w:r>
        <w:rPr>
          <w:b/>
          <w:sz w:val="28"/>
        </w:rPr>
        <w:tab/>
      </w:r>
      <w:r>
        <w:rPr>
          <w:b/>
          <w:spacing w:val="-4"/>
          <w:sz w:val="28"/>
        </w:rPr>
        <w:t>для</w:t>
      </w:r>
      <w:r>
        <w:rPr>
          <w:b/>
          <w:sz w:val="28"/>
        </w:rPr>
        <w:tab/>
      </w:r>
      <w:r>
        <w:rPr>
          <w:b/>
          <w:spacing w:val="-2"/>
          <w:sz w:val="28"/>
        </w:rPr>
        <w:t>сбора</w:t>
      </w:r>
      <w:r>
        <w:rPr>
          <w:b/>
          <w:sz w:val="28"/>
        </w:rPr>
        <w:tab/>
      </w:r>
      <w:r>
        <w:rPr>
          <w:b/>
          <w:spacing w:val="-2"/>
          <w:sz w:val="28"/>
        </w:rPr>
        <w:t>социально- </w:t>
      </w:r>
      <w:r>
        <w:rPr>
          <w:b/>
          <w:sz w:val="28"/>
        </w:rPr>
        <w:t>демографических данных</w:t>
      </w: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55"/>
        <w:gridCol w:w="6018"/>
      </w:tblGrid>
      <w:tr>
        <w:trPr>
          <w:trHeight w:val="518" w:hRule="atLeast"/>
        </w:trPr>
        <w:tc>
          <w:tcPr>
            <w:tcW w:w="3555" w:type="dxa"/>
          </w:tcPr>
          <w:p>
            <w:pPr>
              <w:pStyle w:val="TableParagraph"/>
              <w:spacing w:line="268" w:lineRule="exact"/>
              <w:ind w:left="107"/>
              <w:rPr>
                <w:sz w:val="24"/>
              </w:rPr>
            </w:pPr>
            <w:r>
              <w:rPr>
                <w:sz w:val="24"/>
              </w:rPr>
              <w:t>Пол</w:t>
            </w:r>
            <w:r>
              <w:rPr>
                <w:spacing w:val="-3"/>
                <w:sz w:val="24"/>
              </w:rPr>
              <w:t> </w:t>
            </w:r>
            <w:r>
              <w:rPr>
                <w:sz w:val="24"/>
              </w:rPr>
              <w:t>(обвести</w:t>
            </w:r>
            <w:r>
              <w:rPr>
                <w:spacing w:val="-1"/>
                <w:sz w:val="24"/>
              </w:rPr>
              <w:t> </w:t>
            </w:r>
            <w:r>
              <w:rPr>
                <w:spacing w:val="-2"/>
                <w:sz w:val="24"/>
              </w:rPr>
              <w:t>цифру)</w:t>
            </w:r>
          </w:p>
        </w:tc>
        <w:tc>
          <w:tcPr>
            <w:tcW w:w="6018" w:type="dxa"/>
          </w:tcPr>
          <w:p>
            <w:pPr>
              <w:pStyle w:val="TableParagraph"/>
              <w:tabs>
                <w:tab w:pos="2940" w:val="left" w:leader="none"/>
              </w:tabs>
              <w:spacing w:line="268" w:lineRule="exact"/>
              <w:ind w:left="813"/>
              <w:rPr>
                <w:sz w:val="24"/>
              </w:rPr>
            </w:pPr>
            <w:r>
              <w:rPr>
                <w:sz w:val="24"/>
              </w:rPr>
              <w:t>1</w:t>
            </w:r>
            <w:r>
              <w:rPr>
                <w:spacing w:val="-2"/>
                <w:sz w:val="24"/>
              </w:rPr>
              <w:t> </w:t>
            </w:r>
            <w:r>
              <w:rPr>
                <w:sz w:val="24"/>
              </w:rPr>
              <w:t>-</w:t>
            </w:r>
            <w:r>
              <w:rPr>
                <w:spacing w:val="-1"/>
                <w:sz w:val="24"/>
              </w:rPr>
              <w:t> </w:t>
            </w:r>
            <w:r>
              <w:rPr>
                <w:spacing w:val="-2"/>
                <w:sz w:val="24"/>
              </w:rPr>
              <w:t>мужской</w:t>
            </w:r>
            <w:r>
              <w:rPr>
                <w:sz w:val="24"/>
              </w:rPr>
              <w:tab/>
              <w:t>2 -</w:t>
            </w:r>
            <w:r>
              <w:rPr>
                <w:spacing w:val="-1"/>
                <w:sz w:val="24"/>
              </w:rPr>
              <w:t> </w:t>
            </w:r>
            <w:r>
              <w:rPr>
                <w:spacing w:val="-2"/>
                <w:sz w:val="24"/>
              </w:rPr>
              <w:t>женский</w:t>
            </w:r>
          </w:p>
        </w:tc>
      </w:tr>
      <w:tr>
        <w:trPr>
          <w:trHeight w:val="517" w:hRule="atLeast"/>
        </w:trPr>
        <w:tc>
          <w:tcPr>
            <w:tcW w:w="3555" w:type="dxa"/>
          </w:tcPr>
          <w:p>
            <w:pPr>
              <w:pStyle w:val="TableParagraph"/>
              <w:spacing w:line="268" w:lineRule="exact"/>
              <w:ind w:left="107"/>
              <w:rPr>
                <w:sz w:val="24"/>
              </w:rPr>
            </w:pPr>
            <w:r>
              <w:rPr>
                <w:spacing w:val="-2"/>
                <w:sz w:val="24"/>
              </w:rPr>
              <w:t>Возраст</w:t>
            </w:r>
          </w:p>
        </w:tc>
        <w:tc>
          <w:tcPr>
            <w:tcW w:w="6018" w:type="dxa"/>
          </w:tcPr>
          <w:p>
            <w:pPr>
              <w:pStyle w:val="TableParagraph"/>
              <w:rPr>
                <w:sz w:val="24"/>
              </w:rPr>
            </w:pPr>
          </w:p>
        </w:tc>
      </w:tr>
      <w:tr>
        <w:trPr>
          <w:trHeight w:val="515" w:hRule="atLeast"/>
        </w:trPr>
        <w:tc>
          <w:tcPr>
            <w:tcW w:w="3555" w:type="dxa"/>
          </w:tcPr>
          <w:p>
            <w:pPr>
              <w:pStyle w:val="TableParagraph"/>
              <w:spacing w:line="268" w:lineRule="exact"/>
              <w:ind w:left="107"/>
              <w:rPr>
                <w:sz w:val="24"/>
              </w:rPr>
            </w:pPr>
            <w:r>
              <w:rPr>
                <w:sz w:val="24"/>
              </w:rPr>
              <w:t>Страна</w:t>
            </w:r>
            <w:r>
              <w:rPr>
                <w:spacing w:val="-2"/>
                <w:sz w:val="24"/>
              </w:rPr>
              <w:t> </w:t>
            </w:r>
            <w:r>
              <w:rPr>
                <w:sz w:val="24"/>
              </w:rPr>
              <w:t>исхода</w:t>
            </w:r>
            <w:r>
              <w:rPr>
                <w:spacing w:val="-2"/>
                <w:sz w:val="24"/>
              </w:rPr>
              <w:t> (Родина)</w:t>
            </w:r>
          </w:p>
        </w:tc>
        <w:tc>
          <w:tcPr>
            <w:tcW w:w="6018" w:type="dxa"/>
          </w:tcPr>
          <w:p>
            <w:pPr>
              <w:pStyle w:val="TableParagraph"/>
              <w:rPr>
                <w:sz w:val="24"/>
              </w:rPr>
            </w:pPr>
          </w:p>
        </w:tc>
      </w:tr>
      <w:tr>
        <w:trPr>
          <w:trHeight w:val="517" w:hRule="atLeast"/>
        </w:trPr>
        <w:tc>
          <w:tcPr>
            <w:tcW w:w="3555" w:type="dxa"/>
          </w:tcPr>
          <w:p>
            <w:pPr>
              <w:pStyle w:val="TableParagraph"/>
              <w:spacing w:line="268" w:lineRule="exact"/>
              <w:ind w:left="107"/>
              <w:rPr>
                <w:sz w:val="24"/>
              </w:rPr>
            </w:pPr>
            <w:r>
              <w:rPr>
                <w:sz w:val="24"/>
              </w:rPr>
              <w:t>Родной</w:t>
            </w:r>
            <w:r>
              <w:rPr>
                <w:spacing w:val="-2"/>
                <w:sz w:val="24"/>
              </w:rPr>
              <w:t> </w:t>
            </w:r>
            <w:r>
              <w:rPr>
                <w:spacing w:val="-4"/>
                <w:sz w:val="24"/>
              </w:rPr>
              <w:t>язык</w:t>
            </w:r>
          </w:p>
        </w:tc>
        <w:tc>
          <w:tcPr>
            <w:tcW w:w="6018" w:type="dxa"/>
          </w:tcPr>
          <w:p>
            <w:pPr>
              <w:pStyle w:val="TableParagraph"/>
              <w:rPr>
                <w:sz w:val="24"/>
              </w:rPr>
            </w:pPr>
          </w:p>
        </w:tc>
      </w:tr>
      <w:tr>
        <w:trPr>
          <w:trHeight w:val="835" w:hRule="atLeast"/>
        </w:trPr>
        <w:tc>
          <w:tcPr>
            <w:tcW w:w="3555" w:type="dxa"/>
          </w:tcPr>
          <w:p>
            <w:pPr>
              <w:pStyle w:val="TableParagraph"/>
              <w:spacing w:line="276" w:lineRule="auto"/>
              <w:ind w:left="107"/>
              <w:rPr>
                <w:sz w:val="24"/>
              </w:rPr>
            </w:pPr>
            <w:r>
              <w:rPr>
                <w:sz w:val="24"/>
              </w:rPr>
              <w:t>Регион/место</w:t>
            </w:r>
            <w:r>
              <w:rPr>
                <w:spacing w:val="-15"/>
                <w:sz w:val="24"/>
              </w:rPr>
              <w:t> </w:t>
            </w:r>
            <w:r>
              <w:rPr>
                <w:sz w:val="24"/>
              </w:rPr>
              <w:t>проживания</w:t>
            </w:r>
            <w:r>
              <w:rPr>
                <w:spacing w:val="-15"/>
                <w:sz w:val="24"/>
              </w:rPr>
              <w:t> </w:t>
            </w:r>
            <w:r>
              <w:rPr>
                <w:sz w:val="24"/>
              </w:rPr>
              <w:t>в </w:t>
            </w:r>
            <w:r>
              <w:rPr>
                <w:spacing w:val="-2"/>
                <w:sz w:val="24"/>
              </w:rPr>
              <w:t>России</w:t>
            </w:r>
          </w:p>
        </w:tc>
        <w:tc>
          <w:tcPr>
            <w:tcW w:w="6018" w:type="dxa"/>
          </w:tcPr>
          <w:p>
            <w:pPr>
              <w:pStyle w:val="TableParagraph"/>
              <w:rPr>
                <w:sz w:val="24"/>
              </w:rPr>
            </w:pPr>
          </w:p>
        </w:tc>
      </w:tr>
      <w:tr>
        <w:trPr>
          <w:trHeight w:val="834" w:hRule="atLeast"/>
        </w:trPr>
        <w:tc>
          <w:tcPr>
            <w:tcW w:w="3555" w:type="dxa"/>
          </w:tcPr>
          <w:p>
            <w:pPr>
              <w:pStyle w:val="TableParagraph"/>
              <w:spacing w:line="276" w:lineRule="auto"/>
              <w:ind w:left="107"/>
              <w:rPr>
                <w:sz w:val="24"/>
              </w:rPr>
            </w:pPr>
            <w:r>
              <w:rPr>
                <w:sz w:val="24"/>
              </w:rPr>
              <w:t>Сколько</w:t>
            </w:r>
            <w:r>
              <w:rPr>
                <w:spacing w:val="-10"/>
                <w:sz w:val="24"/>
              </w:rPr>
              <w:t> </w:t>
            </w:r>
            <w:r>
              <w:rPr>
                <w:sz w:val="24"/>
              </w:rPr>
              <w:t>лет</w:t>
            </w:r>
            <w:r>
              <w:rPr>
                <w:spacing w:val="-10"/>
                <w:sz w:val="24"/>
              </w:rPr>
              <w:t> </w:t>
            </w:r>
            <w:r>
              <w:rPr>
                <w:sz w:val="24"/>
              </w:rPr>
              <w:t>ребенок</w:t>
            </w:r>
            <w:r>
              <w:rPr>
                <w:spacing w:val="-10"/>
                <w:sz w:val="24"/>
              </w:rPr>
              <w:t> </w:t>
            </w:r>
            <w:r>
              <w:rPr>
                <w:sz w:val="24"/>
              </w:rPr>
              <w:t>живет</w:t>
            </w:r>
            <w:r>
              <w:rPr>
                <w:spacing w:val="-10"/>
                <w:sz w:val="24"/>
              </w:rPr>
              <w:t> </w:t>
            </w:r>
            <w:r>
              <w:rPr>
                <w:sz w:val="24"/>
              </w:rPr>
              <w:t>в </w:t>
            </w:r>
            <w:r>
              <w:rPr>
                <w:spacing w:val="-2"/>
                <w:sz w:val="24"/>
              </w:rPr>
              <w:t>России?</w:t>
            </w:r>
          </w:p>
        </w:tc>
        <w:tc>
          <w:tcPr>
            <w:tcW w:w="6018" w:type="dxa"/>
          </w:tcPr>
          <w:p>
            <w:pPr>
              <w:pStyle w:val="TableParagraph"/>
              <w:rPr>
                <w:sz w:val="24"/>
              </w:rPr>
            </w:pPr>
          </w:p>
        </w:tc>
      </w:tr>
      <w:tr>
        <w:trPr>
          <w:trHeight w:val="1034" w:hRule="atLeast"/>
        </w:trPr>
        <w:tc>
          <w:tcPr>
            <w:tcW w:w="3555" w:type="dxa"/>
          </w:tcPr>
          <w:p>
            <w:pPr>
              <w:pStyle w:val="TableParagraph"/>
              <w:spacing w:line="276" w:lineRule="auto" w:before="92"/>
              <w:ind w:left="107"/>
              <w:rPr>
                <w:sz w:val="24"/>
              </w:rPr>
            </w:pPr>
            <w:r>
              <w:rPr>
                <w:sz w:val="24"/>
              </w:rPr>
              <w:t>Уровень</w:t>
            </w:r>
            <w:r>
              <w:rPr>
                <w:spacing w:val="-13"/>
                <w:sz w:val="24"/>
              </w:rPr>
              <w:t> </w:t>
            </w:r>
            <w:r>
              <w:rPr>
                <w:sz w:val="24"/>
              </w:rPr>
              <w:t>знания</w:t>
            </w:r>
            <w:r>
              <w:rPr>
                <w:spacing w:val="-13"/>
                <w:sz w:val="24"/>
              </w:rPr>
              <w:t> </w:t>
            </w:r>
            <w:r>
              <w:rPr>
                <w:sz w:val="24"/>
              </w:rPr>
              <w:t>русского</w:t>
            </w:r>
            <w:r>
              <w:rPr>
                <w:spacing w:val="-13"/>
                <w:sz w:val="24"/>
              </w:rPr>
              <w:t> </w:t>
            </w:r>
            <w:r>
              <w:rPr>
                <w:sz w:val="24"/>
              </w:rPr>
              <w:t>языка (обвести цифру)</w:t>
            </w:r>
          </w:p>
        </w:tc>
        <w:tc>
          <w:tcPr>
            <w:tcW w:w="6018" w:type="dxa"/>
          </w:tcPr>
          <w:p>
            <w:pPr>
              <w:pStyle w:val="TableParagraph"/>
              <w:tabs>
                <w:tab w:pos="2297" w:val="left" w:leader="none"/>
              </w:tabs>
              <w:spacing w:line="268" w:lineRule="exact"/>
              <w:ind w:left="107"/>
              <w:rPr>
                <w:sz w:val="24"/>
              </w:rPr>
            </w:pPr>
            <w:r>
              <w:rPr>
                <w:sz w:val="24"/>
              </w:rPr>
              <w:t>1 – </w:t>
            </w:r>
            <w:r>
              <w:rPr>
                <w:spacing w:val="-2"/>
                <w:sz w:val="24"/>
              </w:rPr>
              <w:t>начальный,</w:t>
            </w:r>
            <w:r>
              <w:rPr>
                <w:sz w:val="24"/>
              </w:rPr>
              <w:tab/>
              <w:t>2</w:t>
            </w:r>
            <w:r>
              <w:rPr>
                <w:spacing w:val="-1"/>
                <w:sz w:val="24"/>
              </w:rPr>
              <w:t> </w:t>
            </w:r>
            <w:r>
              <w:rPr>
                <w:sz w:val="24"/>
              </w:rPr>
              <w:t>– </w:t>
            </w:r>
            <w:r>
              <w:rPr>
                <w:spacing w:val="-2"/>
                <w:sz w:val="24"/>
              </w:rPr>
              <w:t>средний,</w:t>
            </w:r>
          </w:p>
          <w:p>
            <w:pPr>
              <w:pStyle w:val="TableParagraph"/>
              <w:tabs>
                <w:tab w:pos="2231" w:val="left" w:leader="none"/>
              </w:tabs>
              <w:spacing w:before="242"/>
              <w:ind w:left="107"/>
              <w:rPr>
                <w:sz w:val="24"/>
              </w:rPr>
            </w:pPr>
            <w:r>
              <w:rPr>
                <w:sz w:val="24"/>
              </w:rPr>
              <w:t>3 – </w:t>
            </w:r>
            <w:r>
              <w:rPr>
                <w:spacing w:val="-2"/>
                <w:sz w:val="24"/>
              </w:rPr>
              <w:t>хороший,</w:t>
            </w:r>
            <w:r>
              <w:rPr>
                <w:sz w:val="24"/>
              </w:rPr>
              <w:tab/>
              <w:t>4</w:t>
            </w:r>
            <w:r>
              <w:rPr>
                <w:spacing w:val="1"/>
                <w:sz w:val="24"/>
              </w:rPr>
              <w:t> </w:t>
            </w:r>
            <w:r>
              <w:rPr>
                <w:sz w:val="24"/>
              </w:rPr>
              <w:t>–</w:t>
            </w:r>
            <w:r>
              <w:rPr>
                <w:spacing w:val="-3"/>
                <w:sz w:val="24"/>
              </w:rPr>
              <w:t> </w:t>
            </w:r>
            <w:r>
              <w:rPr>
                <w:spacing w:val="-2"/>
                <w:sz w:val="24"/>
              </w:rPr>
              <w:t>отличный.</w:t>
            </w:r>
          </w:p>
        </w:tc>
      </w:tr>
      <w:tr>
        <w:trPr>
          <w:trHeight w:val="517" w:hRule="atLeast"/>
        </w:trPr>
        <w:tc>
          <w:tcPr>
            <w:tcW w:w="3555" w:type="dxa"/>
          </w:tcPr>
          <w:p>
            <w:pPr>
              <w:pStyle w:val="TableParagraph"/>
              <w:spacing w:line="268" w:lineRule="exact"/>
              <w:ind w:left="107"/>
              <w:rPr>
                <w:sz w:val="24"/>
              </w:rPr>
            </w:pPr>
            <w:r>
              <w:rPr>
                <w:sz w:val="24"/>
              </w:rPr>
              <w:t>В</w:t>
            </w:r>
            <w:r>
              <w:rPr>
                <w:spacing w:val="-4"/>
                <w:sz w:val="24"/>
              </w:rPr>
              <w:t> </w:t>
            </w:r>
            <w:r>
              <w:rPr>
                <w:sz w:val="24"/>
              </w:rPr>
              <w:t>каком</w:t>
            </w:r>
            <w:r>
              <w:rPr>
                <w:spacing w:val="-3"/>
                <w:sz w:val="24"/>
              </w:rPr>
              <w:t> </w:t>
            </w:r>
            <w:r>
              <w:rPr>
                <w:sz w:val="24"/>
              </w:rPr>
              <w:t>классе</w:t>
            </w:r>
            <w:r>
              <w:rPr>
                <w:spacing w:val="1"/>
                <w:sz w:val="24"/>
              </w:rPr>
              <w:t> </w:t>
            </w:r>
            <w:r>
              <w:rPr>
                <w:sz w:val="24"/>
              </w:rPr>
              <w:t>учится</w:t>
            </w:r>
            <w:r>
              <w:rPr>
                <w:spacing w:val="-1"/>
                <w:sz w:val="24"/>
              </w:rPr>
              <w:t> </w:t>
            </w:r>
            <w:r>
              <w:rPr>
                <w:spacing w:val="-2"/>
                <w:sz w:val="24"/>
              </w:rPr>
              <w:t>сейчас</w:t>
            </w:r>
          </w:p>
        </w:tc>
        <w:tc>
          <w:tcPr>
            <w:tcW w:w="6018" w:type="dxa"/>
          </w:tcPr>
          <w:p>
            <w:pPr>
              <w:pStyle w:val="TableParagraph"/>
              <w:rPr>
                <w:sz w:val="24"/>
              </w:rPr>
            </w:pPr>
          </w:p>
        </w:tc>
      </w:tr>
      <w:tr>
        <w:trPr>
          <w:trHeight w:val="835" w:hRule="atLeast"/>
        </w:trPr>
        <w:tc>
          <w:tcPr>
            <w:tcW w:w="3555" w:type="dxa"/>
          </w:tcPr>
          <w:p>
            <w:pPr>
              <w:pStyle w:val="TableParagraph"/>
              <w:spacing w:line="276" w:lineRule="auto"/>
              <w:ind w:left="107"/>
              <w:rPr>
                <w:sz w:val="24"/>
              </w:rPr>
            </w:pPr>
            <w:r>
              <w:rPr>
                <w:sz w:val="24"/>
              </w:rPr>
              <w:t>Сколько</w:t>
            </w:r>
            <w:r>
              <w:rPr>
                <w:spacing w:val="-13"/>
                <w:sz w:val="24"/>
              </w:rPr>
              <w:t> </w:t>
            </w:r>
            <w:r>
              <w:rPr>
                <w:sz w:val="24"/>
              </w:rPr>
              <w:t>лет/месяцев</w:t>
            </w:r>
            <w:r>
              <w:rPr>
                <w:spacing w:val="-12"/>
                <w:sz w:val="24"/>
              </w:rPr>
              <w:t> </w:t>
            </w:r>
            <w:r>
              <w:rPr>
                <w:sz w:val="24"/>
              </w:rPr>
              <w:t>учится</w:t>
            </w:r>
            <w:r>
              <w:rPr>
                <w:spacing w:val="-13"/>
                <w:sz w:val="24"/>
              </w:rPr>
              <w:t> </w:t>
            </w:r>
            <w:r>
              <w:rPr>
                <w:sz w:val="24"/>
              </w:rPr>
              <w:t>в вашей школе</w:t>
            </w:r>
          </w:p>
        </w:tc>
        <w:tc>
          <w:tcPr>
            <w:tcW w:w="6018" w:type="dxa"/>
          </w:tcPr>
          <w:p>
            <w:pPr>
              <w:pStyle w:val="TableParagraph"/>
              <w:rPr>
                <w:sz w:val="24"/>
              </w:rPr>
            </w:pPr>
          </w:p>
        </w:tc>
      </w:tr>
      <w:tr>
        <w:trPr>
          <w:trHeight w:val="1151" w:hRule="atLeast"/>
        </w:trPr>
        <w:tc>
          <w:tcPr>
            <w:tcW w:w="3555" w:type="dxa"/>
          </w:tcPr>
          <w:p>
            <w:pPr>
              <w:pStyle w:val="TableParagraph"/>
              <w:spacing w:line="276" w:lineRule="auto"/>
              <w:ind w:left="107" w:right="539"/>
              <w:jc w:val="both"/>
              <w:rPr>
                <w:sz w:val="24"/>
              </w:rPr>
            </w:pPr>
            <w:r>
              <w:rPr>
                <w:sz w:val="24"/>
              </w:rPr>
              <w:t>Учился</w:t>
            </w:r>
            <w:r>
              <w:rPr>
                <w:spacing w:val="-6"/>
                <w:sz w:val="24"/>
              </w:rPr>
              <w:t> </w:t>
            </w:r>
            <w:r>
              <w:rPr>
                <w:sz w:val="24"/>
              </w:rPr>
              <w:t>ли</w:t>
            </w:r>
            <w:r>
              <w:rPr>
                <w:spacing w:val="-5"/>
                <w:sz w:val="24"/>
              </w:rPr>
              <w:t> </w:t>
            </w:r>
            <w:r>
              <w:rPr>
                <w:sz w:val="24"/>
              </w:rPr>
              <w:t>в</w:t>
            </w:r>
            <w:r>
              <w:rPr>
                <w:spacing w:val="-7"/>
                <w:sz w:val="24"/>
              </w:rPr>
              <w:t> </w:t>
            </w:r>
            <w:r>
              <w:rPr>
                <w:sz w:val="24"/>
              </w:rPr>
              <w:t>другой</w:t>
            </w:r>
            <w:r>
              <w:rPr>
                <w:spacing w:val="-6"/>
                <w:sz w:val="24"/>
              </w:rPr>
              <w:t> </w:t>
            </w:r>
            <w:r>
              <w:rPr>
                <w:sz w:val="24"/>
              </w:rPr>
              <w:t>школе</w:t>
            </w:r>
            <w:r>
              <w:rPr>
                <w:spacing w:val="-7"/>
                <w:sz w:val="24"/>
              </w:rPr>
              <w:t> </w:t>
            </w:r>
            <w:r>
              <w:rPr>
                <w:sz w:val="24"/>
              </w:rPr>
              <w:t>в России?</w:t>
            </w:r>
            <w:r>
              <w:rPr>
                <w:spacing w:val="-8"/>
                <w:sz w:val="24"/>
              </w:rPr>
              <w:t> </w:t>
            </w:r>
            <w:r>
              <w:rPr>
                <w:sz w:val="24"/>
              </w:rPr>
              <w:t>Если</w:t>
            </w:r>
            <w:r>
              <w:rPr>
                <w:spacing w:val="-9"/>
                <w:sz w:val="24"/>
              </w:rPr>
              <w:t> </w:t>
            </w:r>
            <w:r>
              <w:rPr>
                <w:sz w:val="24"/>
              </w:rPr>
              <w:t>да,</w:t>
            </w:r>
            <w:r>
              <w:rPr>
                <w:spacing w:val="-10"/>
                <w:sz w:val="24"/>
              </w:rPr>
              <w:t> </w:t>
            </w:r>
            <w:r>
              <w:rPr>
                <w:sz w:val="24"/>
              </w:rPr>
              <w:t>то</w:t>
            </w:r>
            <w:r>
              <w:rPr>
                <w:spacing w:val="-10"/>
                <w:sz w:val="24"/>
              </w:rPr>
              <w:t> </w:t>
            </w:r>
            <w:r>
              <w:rPr>
                <w:sz w:val="24"/>
              </w:rPr>
              <w:t>сколько времени (если известно)?</w:t>
            </w:r>
          </w:p>
        </w:tc>
        <w:tc>
          <w:tcPr>
            <w:tcW w:w="6018" w:type="dxa"/>
          </w:tcPr>
          <w:p>
            <w:pPr>
              <w:pStyle w:val="TableParagraph"/>
              <w:rPr>
                <w:sz w:val="24"/>
              </w:rPr>
            </w:pPr>
          </w:p>
        </w:tc>
      </w:tr>
      <w:tr>
        <w:trPr>
          <w:trHeight w:val="1151" w:hRule="atLeast"/>
        </w:trPr>
        <w:tc>
          <w:tcPr>
            <w:tcW w:w="3555" w:type="dxa"/>
          </w:tcPr>
          <w:p>
            <w:pPr>
              <w:pStyle w:val="TableParagraph"/>
              <w:spacing w:line="276" w:lineRule="auto"/>
              <w:ind w:left="107" w:right="158"/>
              <w:rPr>
                <w:sz w:val="24"/>
              </w:rPr>
            </w:pPr>
            <w:r>
              <w:rPr>
                <w:sz w:val="24"/>
              </w:rPr>
              <w:t>Миграционные намерения семьи</w:t>
            </w:r>
            <w:r>
              <w:rPr>
                <w:spacing w:val="-14"/>
                <w:sz w:val="24"/>
              </w:rPr>
              <w:t> </w:t>
            </w:r>
            <w:r>
              <w:rPr>
                <w:sz w:val="24"/>
              </w:rPr>
              <w:t>(если</w:t>
            </w:r>
            <w:r>
              <w:rPr>
                <w:spacing w:val="-13"/>
                <w:sz w:val="24"/>
              </w:rPr>
              <w:t> </w:t>
            </w:r>
            <w:r>
              <w:rPr>
                <w:sz w:val="24"/>
              </w:rPr>
              <w:t>известно,</w:t>
            </w:r>
            <w:r>
              <w:rPr>
                <w:spacing w:val="-13"/>
                <w:sz w:val="24"/>
              </w:rPr>
              <w:t> </w:t>
            </w:r>
            <w:r>
              <w:rPr>
                <w:sz w:val="24"/>
              </w:rPr>
              <w:t>обвести </w:t>
            </w:r>
            <w:r>
              <w:rPr>
                <w:spacing w:val="-2"/>
                <w:sz w:val="24"/>
              </w:rPr>
              <w:t>цифру)</w:t>
            </w:r>
          </w:p>
        </w:tc>
        <w:tc>
          <w:tcPr>
            <w:tcW w:w="6018" w:type="dxa"/>
          </w:tcPr>
          <w:p>
            <w:pPr>
              <w:pStyle w:val="TableParagraph"/>
              <w:tabs>
                <w:tab w:pos="3140" w:val="left" w:leader="none"/>
              </w:tabs>
              <w:spacing w:line="448" w:lineRule="auto" w:before="51"/>
              <w:ind w:left="107" w:right="327"/>
              <w:rPr>
                <w:sz w:val="24"/>
              </w:rPr>
            </w:pPr>
            <w:r>
              <w:rPr>
                <w:sz w:val="24"/>
              </w:rPr>
              <w:t>1 – остаться в России;</w:t>
              <w:tab/>
              <w:t>2</w:t>
            </w:r>
            <w:r>
              <w:rPr>
                <w:spacing w:val="-9"/>
                <w:sz w:val="24"/>
              </w:rPr>
              <w:t> </w:t>
            </w:r>
            <w:r>
              <w:rPr>
                <w:sz w:val="24"/>
              </w:rPr>
              <w:t>–</w:t>
            </w:r>
            <w:r>
              <w:rPr>
                <w:spacing w:val="-10"/>
                <w:sz w:val="24"/>
              </w:rPr>
              <w:t> </w:t>
            </w:r>
            <w:r>
              <w:rPr>
                <w:sz w:val="24"/>
              </w:rPr>
              <w:t>вернуться</w:t>
            </w:r>
            <w:r>
              <w:rPr>
                <w:spacing w:val="-10"/>
                <w:sz w:val="24"/>
              </w:rPr>
              <w:t> </w:t>
            </w:r>
            <w:r>
              <w:rPr>
                <w:sz w:val="24"/>
              </w:rPr>
              <w:t>на</w:t>
            </w:r>
            <w:r>
              <w:rPr>
                <w:spacing w:val="-11"/>
                <w:sz w:val="24"/>
              </w:rPr>
              <w:t> </w:t>
            </w:r>
            <w:r>
              <w:rPr>
                <w:sz w:val="24"/>
              </w:rPr>
              <w:t>родину; 3 – уехать в третью страну;</w:t>
              <w:tab/>
            </w:r>
            <w:r>
              <w:rPr>
                <w:spacing w:val="-54"/>
                <w:sz w:val="24"/>
              </w:rPr>
              <w:t> </w:t>
            </w:r>
            <w:r>
              <w:rPr>
                <w:sz w:val="24"/>
              </w:rPr>
              <w:t>4 – неопределенные.</w:t>
            </w:r>
          </w:p>
        </w:tc>
      </w:tr>
      <w:tr>
        <w:trPr>
          <w:trHeight w:val="1037" w:hRule="atLeast"/>
        </w:trPr>
        <w:tc>
          <w:tcPr>
            <w:tcW w:w="3555" w:type="dxa"/>
          </w:tcPr>
          <w:p>
            <w:pPr>
              <w:pStyle w:val="TableParagraph"/>
              <w:spacing w:line="276" w:lineRule="auto" w:before="92"/>
              <w:ind w:left="107"/>
              <w:rPr>
                <w:sz w:val="24"/>
              </w:rPr>
            </w:pPr>
            <w:r>
              <w:rPr>
                <w:sz w:val="24"/>
              </w:rPr>
              <w:t>Как</w:t>
            </w:r>
            <w:r>
              <w:rPr>
                <w:spacing w:val="-10"/>
                <w:sz w:val="24"/>
              </w:rPr>
              <w:t> </w:t>
            </w:r>
            <w:r>
              <w:rPr>
                <w:sz w:val="24"/>
              </w:rPr>
              <w:t>часто</w:t>
            </w:r>
            <w:r>
              <w:rPr>
                <w:spacing w:val="-10"/>
                <w:sz w:val="24"/>
              </w:rPr>
              <w:t> </w:t>
            </w:r>
            <w:r>
              <w:rPr>
                <w:sz w:val="24"/>
              </w:rPr>
              <w:t>ребенок</w:t>
            </w:r>
            <w:r>
              <w:rPr>
                <w:spacing w:val="-10"/>
                <w:sz w:val="24"/>
              </w:rPr>
              <w:t> </w:t>
            </w:r>
            <w:r>
              <w:rPr>
                <w:sz w:val="24"/>
              </w:rPr>
              <w:t>бывает</w:t>
            </w:r>
            <w:r>
              <w:rPr>
                <w:spacing w:val="-10"/>
                <w:sz w:val="24"/>
              </w:rPr>
              <w:t> </w:t>
            </w:r>
            <w:r>
              <w:rPr>
                <w:sz w:val="24"/>
              </w:rPr>
              <w:t>на родине? (обвести цифру)</w:t>
            </w:r>
          </w:p>
        </w:tc>
        <w:tc>
          <w:tcPr>
            <w:tcW w:w="6018" w:type="dxa"/>
          </w:tcPr>
          <w:p>
            <w:pPr>
              <w:pStyle w:val="TableParagraph"/>
              <w:tabs>
                <w:tab w:pos="2436" w:val="left" w:leader="none"/>
              </w:tabs>
              <w:spacing w:line="270" w:lineRule="exact"/>
              <w:ind w:left="107"/>
              <w:rPr>
                <w:sz w:val="24"/>
              </w:rPr>
            </w:pPr>
            <w:r>
              <w:rPr>
                <w:sz w:val="24"/>
              </w:rPr>
              <w:t>1</w:t>
            </w:r>
            <w:r>
              <w:rPr>
                <w:spacing w:val="-3"/>
                <w:sz w:val="24"/>
              </w:rPr>
              <w:t> </w:t>
            </w:r>
            <w:r>
              <w:rPr>
                <w:sz w:val="24"/>
              </w:rPr>
              <w:t>– раз в</w:t>
            </w:r>
            <w:r>
              <w:rPr>
                <w:spacing w:val="-1"/>
                <w:sz w:val="24"/>
              </w:rPr>
              <w:t> </w:t>
            </w:r>
            <w:r>
              <w:rPr>
                <w:sz w:val="24"/>
              </w:rPr>
              <w:t>год и </w:t>
            </w:r>
            <w:r>
              <w:rPr>
                <w:spacing w:val="-4"/>
                <w:sz w:val="24"/>
              </w:rPr>
              <w:t>чаще;</w:t>
            </w:r>
            <w:r>
              <w:rPr>
                <w:sz w:val="24"/>
              </w:rPr>
              <w:tab/>
              <w:t>2</w:t>
            </w:r>
            <w:r>
              <w:rPr>
                <w:spacing w:val="-2"/>
                <w:sz w:val="24"/>
              </w:rPr>
              <w:t> </w:t>
            </w:r>
            <w:r>
              <w:rPr>
                <w:sz w:val="24"/>
              </w:rPr>
              <w:t>–</w:t>
            </w:r>
            <w:r>
              <w:rPr>
                <w:spacing w:val="-1"/>
                <w:sz w:val="24"/>
              </w:rPr>
              <w:t> </w:t>
            </w:r>
            <w:r>
              <w:rPr>
                <w:sz w:val="24"/>
              </w:rPr>
              <w:t>один</w:t>
            </w:r>
            <w:r>
              <w:rPr>
                <w:spacing w:val="-1"/>
                <w:sz w:val="24"/>
              </w:rPr>
              <w:t> </w:t>
            </w:r>
            <w:r>
              <w:rPr>
                <w:sz w:val="24"/>
              </w:rPr>
              <w:t>раз</w:t>
            </w:r>
            <w:r>
              <w:rPr>
                <w:spacing w:val="-1"/>
                <w:sz w:val="24"/>
              </w:rPr>
              <w:t> </w:t>
            </w:r>
            <w:r>
              <w:rPr>
                <w:sz w:val="24"/>
              </w:rPr>
              <w:t>в</w:t>
            </w:r>
            <w:r>
              <w:rPr>
                <w:spacing w:val="-2"/>
                <w:sz w:val="24"/>
              </w:rPr>
              <w:t> </w:t>
            </w:r>
            <w:r>
              <w:rPr>
                <w:sz w:val="24"/>
              </w:rPr>
              <w:t>несколько</w:t>
            </w:r>
            <w:r>
              <w:rPr>
                <w:spacing w:val="-4"/>
                <w:sz w:val="24"/>
              </w:rPr>
              <w:t> лет;</w:t>
            </w:r>
          </w:p>
          <w:p>
            <w:pPr>
              <w:pStyle w:val="TableParagraph"/>
              <w:spacing w:before="240"/>
              <w:ind w:left="107"/>
              <w:rPr>
                <w:sz w:val="24"/>
              </w:rPr>
            </w:pPr>
            <w:r>
              <w:rPr>
                <w:sz w:val="24"/>
              </w:rPr>
              <w:t>3</w:t>
            </w:r>
            <w:r>
              <w:rPr>
                <w:spacing w:val="-1"/>
                <w:sz w:val="24"/>
              </w:rPr>
              <w:t> </w:t>
            </w:r>
            <w:r>
              <w:rPr>
                <w:sz w:val="24"/>
              </w:rPr>
              <w:t>– давно</w:t>
            </w:r>
            <w:r>
              <w:rPr>
                <w:spacing w:val="-1"/>
                <w:sz w:val="24"/>
              </w:rPr>
              <w:t> </w:t>
            </w:r>
            <w:r>
              <w:rPr>
                <w:sz w:val="24"/>
              </w:rPr>
              <w:t>не</w:t>
            </w:r>
            <w:r>
              <w:rPr>
                <w:spacing w:val="-1"/>
                <w:sz w:val="24"/>
              </w:rPr>
              <w:t> </w:t>
            </w:r>
            <w:r>
              <w:rPr>
                <w:spacing w:val="-2"/>
                <w:sz w:val="24"/>
              </w:rPr>
              <w:t>был(а).</w:t>
            </w:r>
          </w:p>
        </w:tc>
      </w:tr>
      <w:tr>
        <w:trPr>
          <w:trHeight w:val="1033" w:hRule="atLeast"/>
        </w:trPr>
        <w:tc>
          <w:tcPr>
            <w:tcW w:w="3555" w:type="dxa"/>
          </w:tcPr>
          <w:p>
            <w:pPr>
              <w:pStyle w:val="TableParagraph"/>
              <w:spacing w:before="250"/>
              <w:ind w:left="107"/>
              <w:rPr>
                <w:sz w:val="24"/>
              </w:rPr>
            </w:pPr>
            <w:r>
              <w:rPr>
                <w:sz w:val="24"/>
              </w:rPr>
              <w:t>На</w:t>
            </w:r>
            <w:r>
              <w:rPr>
                <w:spacing w:val="-3"/>
                <w:sz w:val="24"/>
              </w:rPr>
              <w:t> </w:t>
            </w:r>
            <w:r>
              <w:rPr>
                <w:sz w:val="24"/>
              </w:rPr>
              <w:t>каком</w:t>
            </w:r>
            <w:r>
              <w:rPr>
                <w:spacing w:val="-2"/>
                <w:sz w:val="24"/>
              </w:rPr>
              <w:t> </w:t>
            </w:r>
            <w:r>
              <w:rPr>
                <w:sz w:val="24"/>
              </w:rPr>
              <w:t>языке</w:t>
            </w:r>
            <w:r>
              <w:rPr>
                <w:spacing w:val="-1"/>
                <w:sz w:val="24"/>
              </w:rPr>
              <w:t> </w:t>
            </w:r>
            <w:r>
              <w:rPr>
                <w:sz w:val="24"/>
              </w:rPr>
              <w:t>говорят</w:t>
            </w:r>
            <w:r>
              <w:rPr>
                <w:spacing w:val="-1"/>
                <w:sz w:val="24"/>
              </w:rPr>
              <w:t> </w:t>
            </w:r>
            <w:r>
              <w:rPr>
                <w:spacing w:val="-2"/>
                <w:sz w:val="24"/>
              </w:rPr>
              <w:t>дома?</w:t>
            </w:r>
          </w:p>
        </w:tc>
        <w:tc>
          <w:tcPr>
            <w:tcW w:w="6018" w:type="dxa"/>
          </w:tcPr>
          <w:p>
            <w:pPr>
              <w:pStyle w:val="TableParagraph"/>
              <w:tabs>
                <w:tab w:pos="2580" w:val="left" w:leader="none"/>
              </w:tabs>
              <w:spacing w:line="268" w:lineRule="exact"/>
              <w:ind w:left="107"/>
              <w:rPr>
                <w:sz w:val="24"/>
              </w:rPr>
            </w:pPr>
            <w:r>
              <w:rPr>
                <w:sz w:val="24"/>
              </w:rPr>
              <w:t>1 – только</w:t>
            </w:r>
            <w:r>
              <w:rPr>
                <w:spacing w:val="-3"/>
                <w:sz w:val="24"/>
              </w:rPr>
              <w:t> </w:t>
            </w:r>
            <w:r>
              <w:rPr>
                <w:sz w:val="24"/>
              </w:rPr>
              <w:t>на</w:t>
            </w:r>
            <w:r>
              <w:rPr>
                <w:spacing w:val="-1"/>
                <w:sz w:val="24"/>
              </w:rPr>
              <w:t> </w:t>
            </w:r>
            <w:r>
              <w:rPr>
                <w:spacing w:val="-2"/>
                <w:sz w:val="24"/>
              </w:rPr>
              <w:t>родном;</w:t>
            </w:r>
            <w:r>
              <w:rPr>
                <w:sz w:val="24"/>
              </w:rPr>
              <w:tab/>
              <w:t>2 –</w:t>
            </w:r>
            <w:r>
              <w:rPr>
                <w:spacing w:val="-1"/>
                <w:sz w:val="24"/>
              </w:rPr>
              <w:t> </w:t>
            </w:r>
            <w:r>
              <w:rPr>
                <w:sz w:val="24"/>
              </w:rPr>
              <w:t>на</w:t>
            </w:r>
            <w:r>
              <w:rPr>
                <w:spacing w:val="-1"/>
                <w:sz w:val="24"/>
              </w:rPr>
              <w:t> </w:t>
            </w:r>
            <w:r>
              <w:rPr>
                <w:sz w:val="24"/>
              </w:rPr>
              <w:t>русском</w:t>
            </w:r>
            <w:r>
              <w:rPr>
                <w:spacing w:val="-2"/>
                <w:sz w:val="24"/>
              </w:rPr>
              <w:t> </w:t>
            </w:r>
            <w:r>
              <w:rPr>
                <w:sz w:val="24"/>
              </w:rPr>
              <w:t>и </w:t>
            </w:r>
            <w:r>
              <w:rPr>
                <w:spacing w:val="-2"/>
                <w:sz w:val="24"/>
              </w:rPr>
              <w:t>родном;</w:t>
            </w:r>
          </w:p>
          <w:p>
            <w:pPr>
              <w:pStyle w:val="TableParagraph"/>
              <w:spacing w:before="240"/>
              <w:ind w:left="107"/>
              <w:rPr>
                <w:sz w:val="24"/>
              </w:rPr>
            </w:pPr>
            <w:r>
              <w:rPr>
                <w:sz w:val="24"/>
              </w:rPr>
              <w:t>3–</w:t>
            </w:r>
            <w:r>
              <w:rPr>
                <w:spacing w:val="60"/>
                <w:sz w:val="24"/>
              </w:rPr>
              <w:t> </w:t>
            </w:r>
            <w:r>
              <w:rPr>
                <w:sz w:val="24"/>
              </w:rPr>
              <w:t>только</w:t>
            </w:r>
            <w:r>
              <w:rPr>
                <w:spacing w:val="-3"/>
                <w:sz w:val="24"/>
              </w:rPr>
              <w:t> </w:t>
            </w:r>
            <w:r>
              <w:rPr>
                <w:sz w:val="24"/>
              </w:rPr>
              <w:t>на</w:t>
            </w:r>
            <w:r>
              <w:rPr>
                <w:spacing w:val="-1"/>
                <w:sz w:val="24"/>
              </w:rPr>
              <w:t> </w:t>
            </w:r>
            <w:r>
              <w:rPr>
                <w:spacing w:val="-2"/>
                <w:sz w:val="24"/>
              </w:rPr>
              <w:t>русском</w:t>
            </w:r>
          </w:p>
        </w:tc>
      </w:tr>
      <w:tr>
        <w:trPr>
          <w:trHeight w:val="834" w:hRule="atLeast"/>
        </w:trPr>
        <w:tc>
          <w:tcPr>
            <w:tcW w:w="3555" w:type="dxa"/>
          </w:tcPr>
          <w:p>
            <w:pPr>
              <w:pStyle w:val="TableParagraph"/>
              <w:spacing w:line="276" w:lineRule="auto"/>
              <w:ind w:left="107" w:right="158"/>
              <w:rPr>
                <w:sz w:val="24"/>
              </w:rPr>
            </w:pPr>
            <w:r>
              <w:rPr>
                <w:sz w:val="24"/>
              </w:rPr>
              <w:t>Сколько</w:t>
            </w:r>
            <w:r>
              <w:rPr>
                <w:spacing w:val="-13"/>
                <w:sz w:val="24"/>
              </w:rPr>
              <w:t> </w:t>
            </w:r>
            <w:r>
              <w:rPr>
                <w:sz w:val="24"/>
              </w:rPr>
              <w:t>человек</w:t>
            </w:r>
            <w:r>
              <w:rPr>
                <w:spacing w:val="-13"/>
                <w:sz w:val="24"/>
              </w:rPr>
              <w:t> </w:t>
            </w:r>
            <w:r>
              <w:rPr>
                <w:sz w:val="24"/>
              </w:rPr>
              <w:t>в</w:t>
            </w:r>
            <w:r>
              <w:rPr>
                <w:spacing w:val="-14"/>
                <w:sz w:val="24"/>
              </w:rPr>
              <w:t> </w:t>
            </w:r>
            <w:r>
              <w:rPr>
                <w:sz w:val="24"/>
              </w:rPr>
              <w:t>семье </w:t>
            </w:r>
            <w:r>
              <w:rPr>
                <w:spacing w:val="-2"/>
                <w:sz w:val="24"/>
              </w:rPr>
              <w:t>(цифрой)</w:t>
            </w:r>
          </w:p>
        </w:tc>
        <w:tc>
          <w:tcPr>
            <w:tcW w:w="6018" w:type="dxa"/>
          </w:tcPr>
          <w:p>
            <w:pPr>
              <w:pStyle w:val="TableParagraph"/>
              <w:rPr>
                <w:sz w:val="24"/>
              </w:rPr>
            </w:pPr>
          </w:p>
        </w:tc>
      </w:tr>
      <w:tr>
        <w:trPr>
          <w:trHeight w:val="518" w:hRule="atLeast"/>
        </w:trPr>
        <w:tc>
          <w:tcPr>
            <w:tcW w:w="3555" w:type="dxa"/>
          </w:tcPr>
          <w:p>
            <w:pPr>
              <w:pStyle w:val="TableParagraph"/>
              <w:spacing w:line="268" w:lineRule="exact"/>
              <w:ind w:left="107"/>
              <w:rPr>
                <w:sz w:val="24"/>
              </w:rPr>
            </w:pPr>
            <w:r>
              <w:rPr>
                <w:sz w:val="24"/>
              </w:rPr>
              <w:t>Семья</w:t>
            </w:r>
            <w:r>
              <w:rPr>
                <w:spacing w:val="-5"/>
                <w:sz w:val="24"/>
              </w:rPr>
              <w:t> </w:t>
            </w:r>
            <w:r>
              <w:rPr>
                <w:sz w:val="24"/>
              </w:rPr>
              <w:t>(обвести</w:t>
            </w:r>
            <w:r>
              <w:rPr>
                <w:spacing w:val="-3"/>
                <w:sz w:val="24"/>
              </w:rPr>
              <w:t> </w:t>
            </w:r>
            <w:r>
              <w:rPr>
                <w:spacing w:val="-2"/>
                <w:sz w:val="24"/>
              </w:rPr>
              <w:t>цифру)</w:t>
            </w:r>
          </w:p>
        </w:tc>
        <w:tc>
          <w:tcPr>
            <w:tcW w:w="6018" w:type="dxa"/>
          </w:tcPr>
          <w:p>
            <w:pPr>
              <w:pStyle w:val="TableParagraph"/>
              <w:tabs>
                <w:tab w:pos="3747" w:val="left" w:leader="none"/>
              </w:tabs>
              <w:spacing w:line="268" w:lineRule="exact"/>
              <w:ind w:left="1274"/>
              <w:rPr>
                <w:sz w:val="24"/>
              </w:rPr>
            </w:pPr>
            <w:r>
              <w:rPr>
                <w:sz w:val="24"/>
              </w:rPr>
              <w:t>1 – </w:t>
            </w:r>
            <w:r>
              <w:rPr>
                <w:spacing w:val="-2"/>
                <w:sz w:val="24"/>
              </w:rPr>
              <w:t>Полная</w:t>
            </w:r>
            <w:r>
              <w:rPr>
                <w:sz w:val="24"/>
              </w:rPr>
              <w:tab/>
              <w:t>2 – </w:t>
            </w:r>
            <w:r>
              <w:rPr>
                <w:spacing w:val="-2"/>
                <w:sz w:val="24"/>
              </w:rPr>
              <w:t>Неполная</w:t>
            </w:r>
          </w:p>
        </w:tc>
      </w:tr>
      <w:tr>
        <w:trPr>
          <w:trHeight w:val="835" w:hRule="atLeast"/>
        </w:trPr>
        <w:tc>
          <w:tcPr>
            <w:tcW w:w="3555" w:type="dxa"/>
          </w:tcPr>
          <w:p>
            <w:pPr>
              <w:pStyle w:val="TableParagraph"/>
              <w:spacing w:line="276" w:lineRule="auto"/>
              <w:ind w:left="107"/>
              <w:rPr>
                <w:sz w:val="24"/>
              </w:rPr>
            </w:pPr>
            <w:r>
              <w:rPr>
                <w:sz w:val="24"/>
              </w:rPr>
              <w:t>Сколько</w:t>
            </w:r>
            <w:r>
              <w:rPr>
                <w:spacing w:val="-10"/>
                <w:sz w:val="24"/>
              </w:rPr>
              <w:t> </w:t>
            </w:r>
            <w:r>
              <w:rPr>
                <w:sz w:val="24"/>
              </w:rPr>
              <w:t>братьев</w:t>
            </w:r>
            <w:r>
              <w:rPr>
                <w:spacing w:val="-11"/>
                <w:sz w:val="24"/>
              </w:rPr>
              <w:t> </w:t>
            </w:r>
            <w:r>
              <w:rPr>
                <w:sz w:val="24"/>
              </w:rPr>
              <w:t>и/или</w:t>
            </w:r>
            <w:r>
              <w:rPr>
                <w:spacing w:val="-11"/>
                <w:sz w:val="24"/>
              </w:rPr>
              <w:t> </w:t>
            </w:r>
            <w:r>
              <w:rPr>
                <w:sz w:val="24"/>
              </w:rPr>
              <w:t>сестер</w:t>
            </w:r>
            <w:r>
              <w:rPr>
                <w:spacing w:val="-9"/>
                <w:sz w:val="24"/>
              </w:rPr>
              <w:t> </w:t>
            </w:r>
            <w:r>
              <w:rPr>
                <w:sz w:val="24"/>
              </w:rPr>
              <w:t>в семье (цифрой)</w:t>
            </w:r>
          </w:p>
        </w:tc>
        <w:tc>
          <w:tcPr>
            <w:tcW w:w="6018" w:type="dxa"/>
          </w:tcPr>
          <w:p>
            <w:pPr>
              <w:pStyle w:val="TableParagraph"/>
              <w:rPr>
                <w:sz w:val="24"/>
              </w:rPr>
            </w:pPr>
          </w:p>
        </w:tc>
      </w:tr>
      <w:tr>
        <w:trPr>
          <w:trHeight w:val="678" w:hRule="atLeast"/>
        </w:trPr>
        <w:tc>
          <w:tcPr>
            <w:tcW w:w="3555" w:type="dxa"/>
          </w:tcPr>
          <w:p>
            <w:pPr>
              <w:pStyle w:val="TableParagraph"/>
              <w:spacing w:before="73"/>
              <w:ind w:left="107"/>
              <w:rPr>
                <w:sz w:val="24"/>
              </w:rPr>
            </w:pPr>
            <w:r>
              <w:rPr>
                <w:sz w:val="24"/>
              </w:rPr>
              <w:t>Статус</w:t>
            </w:r>
            <w:r>
              <w:rPr>
                <w:spacing w:val="-3"/>
                <w:sz w:val="24"/>
              </w:rPr>
              <w:t> </w:t>
            </w:r>
            <w:r>
              <w:rPr>
                <w:sz w:val="24"/>
              </w:rPr>
              <w:t>в</w:t>
            </w:r>
            <w:r>
              <w:rPr>
                <w:spacing w:val="-1"/>
                <w:sz w:val="24"/>
              </w:rPr>
              <w:t> </w:t>
            </w:r>
            <w:r>
              <w:rPr>
                <w:sz w:val="24"/>
              </w:rPr>
              <w:t>семье</w:t>
            </w:r>
            <w:r>
              <w:rPr>
                <w:spacing w:val="-2"/>
                <w:sz w:val="24"/>
              </w:rPr>
              <w:t> </w:t>
            </w:r>
            <w:r>
              <w:rPr>
                <w:sz w:val="24"/>
              </w:rPr>
              <w:t>(обвести</w:t>
            </w:r>
            <w:r>
              <w:rPr>
                <w:spacing w:val="-1"/>
                <w:sz w:val="24"/>
              </w:rPr>
              <w:t> </w:t>
            </w:r>
            <w:r>
              <w:rPr>
                <w:spacing w:val="-2"/>
                <w:sz w:val="24"/>
              </w:rPr>
              <w:t>цифру)</w:t>
            </w:r>
          </w:p>
        </w:tc>
        <w:tc>
          <w:tcPr>
            <w:tcW w:w="6018" w:type="dxa"/>
          </w:tcPr>
          <w:p>
            <w:pPr>
              <w:pStyle w:val="TableParagraph"/>
              <w:tabs>
                <w:tab w:pos="3177" w:val="left" w:leader="none"/>
              </w:tabs>
              <w:spacing w:before="73"/>
              <w:ind w:left="107"/>
              <w:rPr>
                <w:sz w:val="24"/>
              </w:rPr>
            </w:pPr>
            <w:r>
              <w:rPr>
                <w:sz w:val="24"/>
              </w:rPr>
              <w:t>1</w:t>
            </w:r>
            <w:r>
              <w:rPr>
                <w:spacing w:val="-2"/>
                <w:sz w:val="24"/>
              </w:rPr>
              <w:t> </w:t>
            </w:r>
            <w:r>
              <w:rPr>
                <w:sz w:val="24"/>
              </w:rPr>
              <w:t>–</w:t>
            </w:r>
            <w:r>
              <w:rPr>
                <w:spacing w:val="-1"/>
                <w:sz w:val="24"/>
              </w:rPr>
              <w:t> </w:t>
            </w:r>
            <w:r>
              <w:rPr>
                <w:sz w:val="24"/>
              </w:rPr>
              <w:t>единственный</w:t>
            </w:r>
            <w:r>
              <w:rPr>
                <w:spacing w:val="-1"/>
                <w:sz w:val="24"/>
              </w:rPr>
              <w:t> </w:t>
            </w:r>
            <w:r>
              <w:rPr>
                <w:spacing w:val="-2"/>
                <w:sz w:val="24"/>
              </w:rPr>
              <w:t>ребенок;</w:t>
            </w:r>
            <w:r>
              <w:rPr>
                <w:sz w:val="24"/>
              </w:rPr>
              <w:tab/>
              <w:t>2</w:t>
            </w:r>
            <w:r>
              <w:rPr>
                <w:spacing w:val="2"/>
                <w:sz w:val="24"/>
              </w:rPr>
              <w:t> </w:t>
            </w:r>
            <w:r>
              <w:rPr>
                <w:sz w:val="24"/>
              </w:rPr>
              <w:t>– </w:t>
            </w:r>
            <w:r>
              <w:rPr>
                <w:spacing w:val="-2"/>
                <w:sz w:val="24"/>
              </w:rPr>
              <w:t>младший;</w:t>
            </w:r>
          </w:p>
        </w:tc>
      </w:tr>
    </w:tbl>
    <w:p>
      <w:pPr>
        <w:pStyle w:val="TableParagraph"/>
        <w:spacing w:after="0"/>
        <w:rPr>
          <w:sz w:val="24"/>
        </w:rPr>
        <w:sectPr>
          <w:pgSz w:w="11910" w:h="16840"/>
          <w:pgMar w:header="0" w:footer="970" w:top="1040" w:bottom="1220" w:left="1417" w:right="283"/>
        </w:sect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55"/>
        <w:gridCol w:w="1572"/>
        <w:gridCol w:w="2261"/>
        <w:gridCol w:w="2184"/>
      </w:tblGrid>
      <w:tr>
        <w:trPr>
          <w:trHeight w:val="681" w:hRule="atLeast"/>
        </w:trPr>
        <w:tc>
          <w:tcPr>
            <w:tcW w:w="3555" w:type="dxa"/>
          </w:tcPr>
          <w:p>
            <w:pPr>
              <w:pStyle w:val="TableParagraph"/>
              <w:rPr>
                <w:sz w:val="22"/>
              </w:rPr>
            </w:pPr>
          </w:p>
        </w:tc>
        <w:tc>
          <w:tcPr>
            <w:tcW w:w="6017" w:type="dxa"/>
            <w:gridSpan w:val="3"/>
          </w:tcPr>
          <w:p>
            <w:pPr>
              <w:pStyle w:val="TableParagraph"/>
              <w:tabs>
                <w:tab w:pos="3174" w:val="left" w:leader="none"/>
              </w:tabs>
              <w:spacing w:line="273" w:lineRule="exact"/>
              <w:ind w:left="107"/>
              <w:rPr>
                <w:sz w:val="24"/>
              </w:rPr>
            </w:pPr>
            <w:r>
              <w:rPr>
                <w:sz w:val="24"/>
              </w:rPr>
              <w:t>3</w:t>
            </w:r>
            <w:r>
              <w:rPr>
                <w:spacing w:val="-2"/>
                <w:sz w:val="24"/>
              </w:rPr>
              <w:t> </w:t>
            </w:r>
            <w:r>
              <w:rPr>
                <w:sz w:val="24"/>
              </w:rPr>
              <w:t>– </w:t>
            </w:r>
            <w:r>
              <w:rPr>
                <w:spacing w:val="-2"/>
                <w:sz w:val="24"/>
              </w:rPr>
              <w:t>средний;</w:t>
            </w:r>
            <w:r>
              <w:rPr>
                <w:sz w:val="24"/>
              </w:rPr>
              <w:tab/>
              <w:t>4</w:t>
            </w:r>
            <w:r>
              <w:rPr>
                <w:spacing w:val="1"/>
                <w:sz w:val="24"/>
              </w:rPr>
              <w:t> </w:t>
            </w:r>
            <w:r>
              <w:rPr>
                <w:sz w:val="24"/>
              </w:rPr>
              <w:t>– </w:t>
            </w:r>
            <w:r>
              <w:rPr>
                <w:spacing w:val="-2"/>
                <w:sz w:val="24"/>
              </w:rPr>
              <w:t>старший.</w:t>
            </w:r>
          </w:p>
        </w:tc>
      </w:tr>
      <w:tr>
        <w:trPr>
          <w:trHeight w:val="1033" w:hRule="atLeast"/>
        </w:trPr>
        <w:tc>
          <w:tcPr>
            <w:tcW w:w="3555" w:type="dxa"/>
          </w:tcPr>
          <w:p>
            <w:pPr>
              <w:pStyle w:val="TableParagraph"/>
              <w:spacing w:line="276" w:lineRule="auto" w:before="95"/>
              <w:ind w:left="107"/>
              <w:rPr>
                <w:sz w:val="24"/>
              </w:rPr>
            </w:pPr>
            <w:r>
              <w:rPr>
                <w:sz w:val="24"/>
              </w:rPr>
              <w:t>Успеваемость</w:t>
            </w:r>
            <w:r>
              <w:rPr>
                <w:spacing w:val="-15"/>
                <w:sz w:val="24"/>
              </w:rPr>
              <w:t> </w:t>
            </w:r>
            <w:r>
              <w:rPr>
                <w:sz w:val="24"/>
              </w:rPr>
              <w:t>(в-целом,</w:t>
            </w:r>
            <w:r>
              <w:rPr>
                <w:spacing w:val="-15"/>
                <w:sz w:val="24"/>
              </w:rPr>
              <w:t> </w:t>
            </w:r>
            <w:r>
              <w:rPr>
                <w:sz w:val="24"/>
              </w:rPr>
              <w:t>если известно, обвести цифру)</w:t>
            </w:r>
          </w:p>
        </w:tc>
        <w:tc>
          <w:tcPr>
            <w:tcW w:w="6017" w:type="dxa"/>
            <w:gridSpan w:val="3"/>
          </w:tcPr>
          <w:p>
            <w:pPr>
              <w:pStyle w:val="TableParagraph"/>
              <w:tabs>
                <w:tab w:pos="3081" w:val="left" w:leader="none"/>
              </w:tabs>
              <w:spacing w:line="270" w:lineRule="exact"/>
              <w:ind w:left="107"/>
              <w:rPr>
                <w:sz w:val="24"/>
              </w:rPr>
            </w:pPr>
            <w:r>
              <w:rPr>
                <w:sz w:val="24"/>
              </w:rPr>
              <w:t>1</w:t>
            </w:r>
            <w:r>
              <w:rPr>
                <w:spacing w:val="-2"/>
                <w:sz w:val="24"/>
              </w:rPr>
              <w:t> </w:t>
            </w:r>
            <w:r>
              <w:rPr>
                <w:sz w:val="24"/>
              </w:rPr>
              <w:t>– </w:t>
            </w:r>
            <w:r>
              <w:rPr>
                <w:spacing w:val="-2"/>
                <w:sz w:val="24"/>
              </w:rPr>
              <w:t>неудовлетворительная;</w:t>
            </w:r>
            <w:r>
              <w:rPr>
                <w:sz w:val="24"/>
              </w:rPr>
              <w:tab/>
              <w:t>2 –</w:t>
            </w:r>
            <w:r>
              <w:rPr>
                <w:spacing w:val="2"/>
                <w:sz w:val="24"/>
              </w:rPr>
              <w:t> </w:t>
            </w:r>
            <w:r>
              <w:rPr>
                <w:spacing w:val="-2"/>
                <w:sz w:val="24"/>
              </w:rPr>
              <w:t>удовлетворительна;</w:t>
            </w:r>
          </w:p>
          <w:p>
            <w:pPr>
              <w:pStyle w:val="TableParagraph"/>
              <w:tabs>
                <w:tab w:pos="3095" w:val="left" w:leader="none"/>
              </w:tabs>
              <w:spacing w:before="242"/>
              <w:ind w:left="107"/>
              <w:rPr>
                <w:sz w:val="24"/>
              </w:rPr>
            </w:pPr>
            <w:r>
              <w:rPr>
                <w:sz w:val="24"/>
              </w:rPr>
              <w:t>3 – </w:t>
            </w:r>
            <w:r>
              <w:rPr>
                <w:spacing w:val="-2"/>
                <w:sz w:val="24"/>
              </w:rPr>
              <w:t>хорошая;</w:t>
            </w:r>
            <w:r>
              <w:rPr>
                <w:sz w:val="24"/>
              </w:rPr>
              <w:tab/>
              <w:t>4 – </w:t>
            </w:r>
            <w:r>
              <w:rPr>
                <w:spacing w:val="-2"/>
                <w:sz w:val="24"/>
              </w:rPr>
              <w:t>отличная.</w:t>
            </w:r>
          </w:p>
        </w:tc>
      </w:tr>
      <w:tr>
        <w:trPr>
          <w:trHeight w:val="1154" w:hRule="atLeast"/>
        </w:trPr>
        <w:tc>
          <w:tcPr>
            <w:tcW w:w="3555" w:type="dxa"/>
          </w:tcPr>
          <w:p>
            <w:pPr>
              <w:pStyle w:val="TableParagraph"/>
              <w:spacing w:line="276" w:lineRule="auto"/>
              <w:ind w:left="107" w:right="158"/>
              <w:rPr>
                <w:sz w:val="24"/>
              </w:rPr>
            </w:pPr>
            <w:r>
              <w:rPr>
                <w:sz w:val="24"/>
              </w:rPr>
              <w:t>Кто</w:t>
            </w:r>
            <w:r>
              <w:rPr>
                <w:spacing w:val="-13"/>
                <w:sz w:val="24"/>
              </w:rPr>
              <w:t> </w:t>
            </w:r>
            <w:r>
              <w:rPr>
                <w:sz w:val="24"/>
              </w:rPr>
              <w:t>помогает</w:t>
            </w:r>
            <w:r>
              <w:rPr>
                <w:spacing w:val="-13"/>
                <w:sz w:val="24"/>
              </w:rPr>
              <w:t> </w:t>
            </w:r>
            <w:r>
              <w:rPr>
                <w:sz w:val="24"/>
              </w:rPr>
              <w:t>делать</w:t>
            </w:r>
            <w:r>
              <w:rPr>
                <w:spacing w:val="-11"/>
                <w:sz w:val="24"/>
              </w:rPr>
              <w:t> </w:t>
            </w:r>
            <w:r>
              <w:rPr>
                <w:sz w:val="24"/>
              </w:rPr>
              <w:t>уроки (возможно несколько </w:t>
            </w:r>
            <w:r>
              <w:rPr>
                <w:spacing w:val="-2"/>
                <w:sz w:val="24"/>
              </w:rPr>
              <w:t>вариантов)</w:t>
            </w:r>
          </w:p>
        </w:tc>
        <w:tc>
          <w:tcPr>
            <w:tcW w:w="6017" w:type="dxa"/>
            <w:gridSpan w:val="3"/>
          </w:tcPr>
          <w:p>
            <w:pPr>
              <w:pStyle w:val="TableParagraph"/>
              <w:tabs>
                <w:tab w:pos="2086" w:val="left" w:leader="none"/>
              </w:tabs>
              <w:spacing w:before="54"/>
              <w:ind w:left="107"/>
              <w:rPr>
                <w:sz w:val="24"/>
              </w:rPr>
            </w:pPr>
            <w:r>
              <w:rPr>
                <w:sz w:val="24"/>
              </w:rPr>
              <w:t>1 – </w:t>
            </w:r>
            <w:r>
              <w:rPr>
                <w:spacing w:val="-2"/>
                <w:sz w:val="24"/>
              </w:rPr>
              <w:t>родители;</w:t>
            </w:r>
            <w:r>
              <w:rPr>
                <w:sz w:val="24"/>
              </w:rPr>
              <w:tab/>
              <w:t>2</w:t>
            </w:r>
            <w:r>
              <w:rPr>
                <w:spacing w:val="-1"/>
                <w:sz w:val="24"/>
              </w:rPr>
              <w:t> </w:t>
            </w:r>
            <w:r>
              <w:rPr>
                <w:sz w:val="24"/>
              </w:rPr>
              <w:t>–</w:t>
            </w:r>
            <w:r>
              <w:rPr>
                <w:spacing w:val="-3"/>
                <w:sz w:val="24"/>
              </w:rPr>
              <w:t> </w:t>
            </w:r>
            <w:r>
              <w:rPr>
                <w:spacing w:val="-2"/>
                <w:sz w:val="24"/>
              </w:rPr>
              <w:t>братья/сестры;</w:t>
            </w:r>
          </w:p>
          <w:p>
            <w:pPr>
              <w:pStyle w:val="TableParagraph"/>
              <w:tabs>
                <w:tab w:pos="4205" w:val="left" w:leader="none"/>
              </w:tabs>
              <w:spacing w:before="242"/>
              <w:ind w:left="107"/>
              <w:rPr>
                <w:sz w:val="24"/>
              </w:rPr>
            </w:pPr>
            <w:r>
              <w:rPr>
                <w:sz w:val="24"/>
              </w:rPr>
              <w:t>3</w:t>
            </w:r>
            <w:r>
              <w:rPr>
                <w:spacing w:val="-1"/>
                <w:sz w:val="24"/>
              </w:rPr>
              <w:t> </w:t>
            </w:r>
            <w:r>
              <w:rPr>
                <w:sz w:val="24"/>
              </w:rPr>
              <w:t>–</w:t>
            </w:r>
            <w:r>
              <w:rPr>
                <w:spacing w:val="-1"/>
                <w:sz w:val="24"/>
              </w:rPr>
              <w:t> </w:t>
            </w:r>
            <w:r>
              <w:rPr>
                <w:sz w:val="24"/>
              </w:rPr>
              <w:t>родственники;</w:t>
            </w:r>
            <w:r>
              <w:rPr>
                <w:spacing w:val="59"/>
                <w:sz w:val="24"/>
              </w:rPr>
              <w:t> </w:t>
            </w:r>
            <w:r>
              <w:rPr>
                <w:sz w:val="24"/>
              </w:rPr>
              <w:t>4 – </w:t>
            </w:r>
            <w:r>
              <w:rPr>
                <w:spacing w:val="-2"/>
                <w:sz w:val="24"/>
              </w:rPr>
              <w:t>сверстники;</w:t>
            </w:r>
            <w:r>
              <w:rPr>
                <w:sz w:val="24"/>
              </w:rPr>
              <w:tab/>
              <w:t>5</w:t>
            </w:r>
            <w:r>
              <w:rPr>
                <w:spacing w:val="1"/>
                <w:sz w:val="24"/>
              </w:rPr>
              <w:t> </w:t>
            </w:r>
            <w:r>
              <w:rPr>
                <w:sz w:val="24"/>
              </w:rPr>
              <w:t>–</w:t>
            </w:r>
            <w:r>
              <w:rPr>
                <w:spacing w:val="-3"/>
                <w:sz w:val="24"/>
              </w:rPr>
              <w:t> </w:t>
            </w:r>
            <w:r>
              <w:rPr>
                <w:spacing w:val="-2"/>
                <w:sz w:val="24"/>
              </w:rPr>
              <w:t>никто.</w:t>
            </w:r>
          </w:p>
        </w:tc>
      </w:tr>
      <w:tr>
        <w:trPr>
          <w:trHeight w:val="678" w:hRule="atLeast"/>
        </w:trPr>
        <w:tc>
          <w:tcPr>
            <w:tcW w:w="3555" w:type="dxa"/>
          </w:tcPr>
          <w:p>
            <w:pPr>
              <w:pStyle w:val="TableParagraph"/>
              <w:spacing w:before="75"/>
              <w:ind w:left="107"/>
              <w:rPr>
                <w:sz w:val="24"/>
              </w:rPr>
            </w:pPr>
            <w:r>
              <w:rPr>
                <w:sz w:val="24"/>
              </w:rPr>
              <w:t>Сколько</w:t>
            </w:r>
            <w:r>
              <w:rPr>
                <w:spacing w:val="-3"/>
                <w:sz w:val="24"/>
              </w:rPr>
              <w:t> </w:t>
            </w:r>
            <w:r>
              <w:rPr>
                <w:sz w:val="24"/>
              </w:rPr>
              <w:t>детей</w:t>
            </w:r>
            <w:r>
              <w:rPr>
                <w:spacing w:val="-2"/>
                <w:sz w:val="24"/>
              </w:rPr>
              <w:t> </w:t>
            </w:r>
            <w:r>
              <w:rPr>
                <w:sz w:val="24"/>
              </w:rPr>
              <w:t>в</w:t>
            </w:r>
            <w:r>
              <w:rPr>
                <w:spacing w:val="-3"/>
                <w:sz w:val="24"/>
              </w:rPr>
              <w:t> </w:t>
            </w:r>
            <w:r>
              <w:rPr>
                <w:spacing w:val="-2"/>
                <w:sz w:val="24"/>
              </w:rPr>
              <w:t>классе</w:t>
            </w:r>
          </w:p>
        </w:tc>
        <w:tc>
          <w:tcPr>
            <w:tcW w:w="1572" w:type="dxa"/>
          </w:tcPr>
          <w:p>
            <w:pPr>
              <w:pStyle w:val="TableParagraph"/>
              <w:tabs>
                <w:tab w:pos="1233" w:val="left" w:leader="none"/>
              </w:tabs>
              <w:spacing w:before="75"/>
              <w:ind w:left="107"/>
              <w:rPr>
                <w:sz w:val="24"/>
              </w:rPr>
            </w:pPr>
            <w:r>
              <w:rPr>
                <w:spacing w:val="-2"/>
                <w:sz w:val="24"/>
              </w:rPr>
              <w:t>Всего</w:t>
            </w:r>
            <w:r>
              <w:rPr>
                <w:sz w:val="24"/>
                <w:u w:val="single"/>
              </w:rPr>
              <w:tab/>
            </w:r>
          </w:p>
        </w:tc>
        <w:tc>
          <w:tcPr>
            <w:tcW w:w="2261" w:type="dxa"/>
          </w:tcPr>
          <w:p>
            <w:pPr>
              <w:pStyle w:val="TableParagraph"/>
              <w:tabs>
                <w:tab w:pos="2063" w:val="left" w:leader="none"/>
              </w:tabs>
              <w:spacing w:before="75"/>
              <w:ind w:left="108"/>
              <w:rPr>
                <w:sz w:val="24"/>
              </w:rPr>
            </w:pPr>
            <w:r>
              <w:rPr>
                <w:spacing w:val="-2"/>
                <w:sz w:val="24"/>
              </w:rPr>
              <w:t>Иностр.граждан</w:t>
            </w:r>
            <w:r>
              <w:rPr>
                <w:sz w:val="24"/>
                <w:u w:val="single"/>
              </w:rPr>
              <w:tab/>
            </w:r>
          </w:p>
        </w:tc>
        <w:tc>
          <w:tcPr>
            <w:tcW w:w="2184" w:type="dxa"/>
          </w:tcPr>
          <w:p>
            <w:pPr>
              <w:pStyle w:val="TableParagraph"/>
              <w:tabs>
                <w:tab w:pos="1970" w:val="left" w:leader="none"/>
              </w:tabs>
              <w:spacing w:before="75"/>
              <w:ind w:left="108"/>
              <w:rPr>
                <w:sz w:val="24"/>
              </w:rPr>
            </w:pPr>
            <w:r>
              <w:rPr>
                <w:sz w:val="24"/>
              </w:rPr>
              <w:t>С </w:t>
            </w:r>
            <w:r>
              <w:rPr>
                <w:spacing w:val="-2"/>
                <w:sz w:val="24"/>
              </w:rPr>
              <w:t>мигр.опытом</w:t>
            </w:r>
            <w:r>
              <w:rPr>
                <w:sz w:val="24"/>
                <w:u w:val="single"/>
              </w:rPr>
              <w:tab/>
            </w:r>
          </w:p>
        </w:tc>
      </w:tr>
    </w:tbl>
    <w:p>
      <w:pPr>
        <w:pStyle w:val="TableParagraph"/>
        <w:spacing w:after="0"/>
        <w:rPr>
          <w:sz w:val="24"/>
        </w:rPr>
        <w:sectPr>
          <w:type w:val="continuous"/>
          <w:pgSz w:w="11910" w:h="16840"/>
          <w:pgMar w:header="0" w:footer="970" w:top="1100" w:bottom="1220" w:left="1417" w:right="283"/>
        </w:sectPr>
      </w:pPr>
    </w:p>
    <w:p>
      <w:pPr>
        <w:pStyle w:val="BodyText"/>
        <w:ind w:left="515" w:right="0" w:firstLine="0"/>
        <w:jc w:val="left"/>
      </w:pPr>
      <w:r>
        <w:rPr/>
        <w:drawing>
          <wp:inline distT="0" distB="0" distL="0" distR="0">
            <wp:extent cx="5603932" cy="786383"/>
            <wp:effectExtent l="0" t="0" r="0" b="0"/>
            <wp:docPr id="25" name="Image 25" descr="F:\работа верстка\19-20\Мымрина А.Н\Приказ_распоряжение_СЗ.jpg"/>
            <wp:cNvGraphicFramePr>
              <a:graphicFrameLocks/>
            </wp:cNvGraphicFramePr>
            <a:graphic>
              <a:graphicData uri="http://schemas.openxmlformats.org/drawingml/2006/picture">
                <pic:pic>
                  <pic:nvPicPr>
                    <pic:cNvPr id="25" name="Image 25" descr="F:\работа верстка\19-20\Мымрина А.Н\Приказ_распоряжение_СЗ.jpg"/>
                    <pic:cNvPicPr/>
                  </pic:nvPicPr>
                  <pic:blipFill>
                    <a:blip r:embed="rId36" cstate="print"/>
                    <a:stretch>
                      <a:fillRect/>
                    </a:stretch>
                  </pic:blipFill>
                  <pic:spPr>
                    <a:xfrm>
                      <a:off x="0" y="0"/>
                      <a:ext cx="5603932" cy="786383"/>
                    </a:xfrm>
                    <a:prstGeom prst="rect">
                      <a:avLst/>
                    </a:prstGeom>
                  </pic:spPr>
                </pic:pic>
              </a:graphicData>
            </a:graphic>
          </wp:inline>
        </w:drawing>
      </w:r>
      <w:r>
        <w:rPr/>
      </w:r>
    </w:p>
    <w:p>
      <w:pPr>
        <w:spacing w:before="537"/>
        <w:ind w:left="791" w:right="1072" w:hanging="7"/>
        <w:jc w:val="center"/>
        <w:rPr>
          <w:b/>
          <w:sz w:val="56"/>
        </w:rPr>
      </w:pPr>
      <w:r>
        <w:rPr>
          <w:b/>
          <w:sz w:val="56"/>
        </w:rPr>
        <w:t>Инструментарий оценки особых образовательных потребностей </w:t>
      </w:r>
      <w:r>
        <w:rPr>
          <w:b/>
          <w:sz w:val="60"/>
        </w:rPr>
        <w:t>детей</w:t>
      </w:r>
      <w:r>
        <w:rPr>
          <w:b/>
          <w:spacing w:val="-21"/>
          <w:sz w:val="60"/>
        </w:rPr>
        <w:t> </w:t>
      </w:r>
      <w:r>
        <w:rPr>
          <w:b/>
          <w:sz w:val="56"/>
        </w:rPr>
        <w:t>—</w:t>
      </w:r>
      <w:r>
        <w:rPr>
          <w:b/>
          <w:spacing w:val="-71"/>
          <w:sz w:val="56"/>
        </w:rPr>
        <w:t> </w:t>
      </w:r>
      <w:r>
        <w:rPr>
          <w:b/>
          <w:sz w:val="60"/>
        </w:rPr>
        <w:t>иностранных</w:t>
      </w:r>
      <w:r>
        <w:rPr>
          <w:b/>
          <w:spacing w:val="-15"/>
          <w:sz w:val="60"/>
        </w:rPr>
        <w:t> </w:t>
      </w:r>
      <w:r>
        <w:rPr>
          <w:b/>
          <w:sz w:val="60"/>
        </w:rPr>
        <w:t>граждан </w:t>
      </w:r>
      <w:r>
        <w:rPr>
          <w:b/>
          <w:sz w:val="56"/>
        </w:rPr>
        <w:t>в сферах психологического</w:t>
      </w:r>
    </w:p>
    <w:p>
      <w:pPr>
        <w:spacing w:before="2"/>
        <w:ind w:left="284" w:right="567" w:firstLine="0"/>
        <w:jc w:val="center"/>
        <w:rPr>
          <w:b/>
          <w:sz w:val="56"/>
        </w:rPr>
      </w:pPr>
      <w:r>
        <w:rPr>
          <w:b/>
          <w:sz w:val="56"/>
        </w:rPr>
        <w:t>благополучия,</w:t>
      </w:r>
      <w:r>
        <w:rPr>
          <w:b/>
          <w:spacing w:val="-21"/>
          <w:sz w:val="56"/>
        </w:rPr>
        <w:t> </w:t>
      </w:r>
      <w:r>
        <w:rPr>
          <w:b/>
          <w:sz w:val="56"/>
        </w:rPr>
        <w:t>социальных</w:t>
      </w:r>
      <w:r>
        <w:rPr>
          <w:b/>
          <w:spacing w:val="-19"/>
          <w:sz w:val="56"/>
        </w:rPr>
        <w:t> </w:t>
      </w:r>
      <w:r>
        <w:rPr>
          <w:b/>
          <w:sz w:val="56"/>
        </w:rPr>
        <w:t>навыков и культурной адаптации</w:t>
      </w:r>
    </w:p>
    <w:p>
      <w:pPr>
        <w:pStyle w:val="BodyText"/>
        <w:spacing w:before="105"/>
        <w:ind w:left="0" w:right="0" w:firstLine="0"/>
        <w:jc w:val="left"/>
        <w:rPr>
          <w:b/>
          <w:sz w:val="56"/>
        </w:rPr>
      </w:pPr>
    </w:p>
    <w:p>
      <w:pPr>
        <w:spacing w:before="0"/>
        <w:ind w:left="284" w:right="570" w:firstLine="0"/>
        <w:jc w:val="center"/>
        <w:rPr>
          <w:b/>
          <w:i/>
          <w:sz w:val="44"/>
        </w:rPr>
      </w:pPr>
      <w:r>
        <w:rPr>
          <w:b/>
          <w:i/>
          <w:sz w:val="44"/>
        </w:rPr>
        <w:t>Под</w:t>
      </w:r>
      <w:r>
        <w:rPr>
          <w:b/>
          <w:i/>
          <w:spacing w:val="-7"/>
          <w:sz w:val="44"/>
        </w:rPr>
        <w:t> </w:t>
      </w:r>
      <w:r>
        <w:rPr>
          <w:b/>
          <w:i/>
          <w:sz w:val="44"/>
        </w:rPr>
        <w:t>ред.</w:t>
      </w:r>
      <w:r>
        <w:rPr>
          <w:b/>
          <w:i/>
          <w:spacing w:val="-4"/>
          <w:sz w:val="44"/>
        </w:rPr>
        <w:t> </w:t>
      </w:r>
      <w:r>
        <w:rPr>
          <w:b/>
          <w:i/>
          <w:sz w:val="44"/>
        </w:rPr>
        <w:t>О.Е.</w:t>
      </w:r>
      <w:r>
        <w:rPr>
          <w:b/>
          <w:i/>
          <w:spacing w:val="-7"/>
          <w:sz w:val="44"/>
        </w:rPr>
        <w:t> </w:t>
      </w:r>
      <w:r>
        <w:rPr>
          <w:b/>
          <w:i/>
          <w:sz w:val="44"/>
        </w:rPr>
        <w:t>Хухлаева,</w:t>
      </w:r>
      <w:r>
        <w:rPr>
          <w:b/>
          <w:i/>
          <w:spacing w:val="-6"/>
          <w:sz w:val="44"/>
        </w:rPr>
        <w:t> </w:t>
      </w:r>
      <w:r>
        <w:rPr>
          <w:b/>
          <w:i/>
          <w:sz w:val="44"/>
        </w:rPr>
        <w:t>М.Ю.</w:t>
      </w:r>
      <w:r>
        <w:rPr>
          <w:b/>
          <w:i/>
          <w:spacing w:val="-8"/>
          <w:sz w:val="44"/>
        </w:rPr>
        <w:t> </w:t>
      </w:r>
      <w:r>
        <w:rPr>
          <w:b/>
          <w:i/>
          <w:sz w:val="44"/>
        </w:rPr>
        <w:t>Чибисовой</w:t>
      </w:r>
      <w:r>
        <w:rPr>
          <w:b/>
          <w:i/>
          <w:spacing w:val="-8"/>
          <w:sz w:val="44"/>
        </w:rPr>
        <w:t> </w:t>
      </w:r>
      <w:r>
        <w:rPr>
          <w:b/>
          <w:i/>
          <w:sz w:val="44"/>
        </w:rPr>
        <w:t>и </w:t>
      </w:r>
      <w:r>
        <w:rPr>
          <w:b/>
          <w:i/>
          <w:spacing w:val="-2"/>
          <w:sz w:val="44"/>
        </w:rPr>
        <w:t>Н.В.Ткаченко</w:t>
      </w:r>
    </w:p>
    <w:p>
      <w:pPr>
        <w:pStyle w:val="BodyText"/>
        <w:ind w:left="0" w:right="0" w:firstLine="0"/>
        <w:jc w:val="left"/>
        <w:rPr>
          <w:b/>
          <w:i/>
          <w:sz w:val="44"/>
        </w:rPr>
      </w:pPr>
    </w:p>
    <w:p>
      <w:pPr>
        <w:pStyle w:val="BodyText"/>
        <w:ind w:left="0" w:right="0" w:firstLine="0"/>
        <w:jc w:val="left"/>
        <w:rPr>
          <w:b/>
          <w:i/>
          <w:sz w:val="44"/>
        </w:rPr>
      </w:pPr>
    </w:p>
    <w:p>
      <w:pPr>
        <w:pStyle w:val="BodyText"/>
        <w:spacing w:before="372"/>
        <w:ind w:left="0" w:right="0" w:firstLine="0"/>
        <w:jc w:val="left"/>
        <w:rPr>
          <w:b/>
          <w:i/>
          <w:sz w:val="44"/>
        </w:rPr>
      </w:pPr>
    </w:p>
    <w:p>
      <w:pPr>
        <w:spacing w:before="0"/>
        <w:ind w:left="0" w:right="278" w:firstLine="0"/>
        <w:jc w:val="center"/>
        <w:rPr>
          <w:b/>
          <w:sz w:val="52"/>
        </w:rPr>
      </w:pPr>
      <w:r>
        <w:rPr>
          <w:b/>
          <w:sz w:val="52"/>
        </w:rPr>
        <w:t>Часть</w:t>
      </w:r>
      <w:r>
        <w:rPr>
          <w:b/>
          <w:spacing w:val="-2"/>
          <w:sz w:val="52"/>
        </w:rPr>
        <w:t> </w:t>
      </w:r>
      <w:r>
        <w:rPr>
          <w:b/>
          <w:spacing w:val="-10"/>
          <w:sz w:val="52"/>
        </w:rPr>
        <w:t>3</w:t>
      </w:r>
    </w:p>
    <w:p>
      <w:pPr>
        <w:pStyle w:val="BodyText"/>
        <w:spacing w:before="445"/>
        <w:ind w:left="0" w:right="0" w:firstLine="0"/>
        <w:jc w:val="left"/>
        <w:rPr>
          <w:b/>
          <w:sz w:val="52"/>
        </w:rPr>
      </w:pPr>
    </w:p>
    <w:p>
      <w:pPr>
        <w:spacing w:before="0"/>
        <w:ind w:left="285" w:right="566" w:firstLine="0"/>
        <w:jc w:val="center"/>
        <w:rPr>
          <w:b/>
          <w:sz w:val="32"/>
        </w:rPr>
      </w:pPr>
      <w:r>
        <w:rPr>
          <w:b/>
          <w:sz w:val="32"/>
        </w:rPr>
        <w:t>Москва,</w:t>
      </w:r>
      <w:r>
        <w:rPr>
          <w:b/>
          <w:spacing w:val="-17"/>
          <w:sz w:val="32"/>
        </w:rPr>
        <w:t> </w:t>
      </w:r>
      <w:r>
        <w:rPr>
          <w:b/>
          <w:spacing w:val="-4"/>
          <w:sz w:val="32"/>
        </w:rPr>
        <w:t>2022</w:t>
      </w:r>
    </w:p>
    <w:p>
      <w:pPr>
        <w:spacing w:after="0"/>
        <w:jc w:val="center"/>
        <w:rPr>
          <w:b/>
          <w:sz w:val="32"/>
        </w:rPr>
        <w:sectPr>
          <w:pgSz w:w="11910" w:h="16840"/>
          <w:pgMar w:header="0" w:footer="970" w:top="1300" w:bottom="1220" w:left="1417" w:right="283"/>
        </w:sectPr>
      </w:pPr>
    </w:p>
    <w:p>
      <w:pPr>
        <w:pStyle w:val="Heading2"/>
        <w:ind w:left="285"/>
      </w:pPr>
      <w:bookmarkStart w:name="_bookmark12" w:id="14"/>
      <w:bookmarkEnd w:id="14"/>
      <w:r>
        <w:rPr>
          <w:b w:val="0"/>
        </w:rPr>
      </w:r>
      <w:r>
        <w:rPr>
          <w:spacing w:val="-2"/>
        </w:rPr>
        <w:t>Аннотация</w:t>
      </w:r>
    </w:p>
    <w:p>
      <w:pPr>
        <w:pStyle w:val="BodyText"/>
        <w:spacing w:before="45"/>
        <w:ind w:left="0" w:right="0" w:firstLine="0"/>
        <w:jc w:val="left"/>
        <w:rPr>
          <w:b/>
          <w:sz w:val="28"/>
        </w:rPr>
      </w:pPr>
    </w:p>
    <w:p>
      <w:pPr>
        <w:pStyle w:val="Heading4"/>
        <w:ind w:right="560" w:firstLine="566"/>
      </w:pPr>
      <w:r>
        <w:rPr/>
        <w:t>Инструментарий оценки особых образовательных потребностей </w:t>
      </w:r>
      <w:r>
        <w:rPr>
          <w:sz w:val="26"/>
        </w:rPr>
        <w:t>детей </w:t>
      </w:r>
      <w:r>
        <w:rPr/>
        <w:t>— </w:t>
      </w:r>
      <w:r>
        <w:rPr>
          <w:sz w:val="26"/>
        </w:rPr>
        <w:t>иностранных граждан </w:t>
      </w:r>
      <w:r>
        <w:rPr/>
        <w:t>в сферах психологического благополучия, социальных навыков и культурной адаптации включает в себя подробное описание диагностических методик. Детально представлен каждый инструмент, в том числе инструкция, бланк методики и алгоритм обработки. Проведение методики и оценка результатов изложены таким образом, чтобы обеспечить психологу возможность самостоятельной работы с инструментарием. Психометрические</w:t>
      </w:r>
      <w:r>
        <w:rPr>
          <w:spacing w:val="-18"/>
        </w:rPr>
        <w:t> </w:t>
      </w:r>
      <w:r>
        <w:rPr/>
        <w:t>характеристики</w:t>
      </w:r>
      <w:r>
        <w:rPr>
          <w:spacing w:val="-17"/>
        </w:rPr>
        <w:t> </w:t>
      </w:r>
      <w:r>
        <w:rPr/>
        <w:t>методики</w:t>
      </w:r>
      <w:r>
        <w:rPr>
          <w:spacing w:val="-18"/>
        </w:rPr>
        <w:t> </w:t>
      </w:r>
      <w:r>
        <w:rPr/>
        <w:t>демонстрируют</w:t>
      </w:r>
      <w:r>
        <w:rPr>
          <w:spacing w:val="-17"/>
        </w:rPr>
        <w:t> </w:t>
      </w:r>
      <w:r>
        <w:rPr/>
        <w:t>доказательность инструментария; приводится алгоритм его использования для диагностики в культурно разнообразных средах.</w:t>
      </w:r>
      <w:r>
        <w:rPr>
          <w:spacing w:val="-1"/>
        </w:rPr>
        <w:t> </w:t>
      </w:r>
      <w:r>
        <w:rPr/>
        <w:t>Описан также процесс адаптации методики на русском языке, приведены психометрические характеристики (при наличии), полученные на российской выборке.</w:t>
      </w:r>
    </w:p>
    <w:p>
      <w:pPr>
        <w:pStyle w:val="Heading4"/>
        <w:spacing w:before="1"/>
        <w:ind w:right="561" w:firstLine="566"/>
        <w:rPr>
          <w:sz w:val="30"/>
        </w:rPr>
      </w:pPr>
      <w:r>
        <w:rPr/>
        <w:t>Работа</w:t>
      </w:r>
      <w:r>
        <w:rPr>
          <w:spacing w:val="-1"/>
        </w:rPr>
        <w:t> </w:t>
      </w:r>
      <w:r>
        <w:rPr/>
        <w:t>с данным</w:t>
      </w:r>
      <w:r>
        <w:rPr>
          <w:spacing w:val="-1"/>
        </w:rPr>
        <w:t> </w:t>
      </w:r>
      <w:r>
        <w:rPr/>
        <w:t>инструментарием должна сопровождаться знакомством с методическими рекомендациями по проведению психолого-педагогической оценки особых (дополнительных) образовательных потребностей </w:t>
      </w:r>
      <w:r>
        <w:rPr>
          <w:sz w:val="26"/>
        </w:rPr>
        <w:t>детей </w:t>
      </w:r>
      <w:r>
        <w:rPr/>
        <w:t>— </w:t>
      </w:r>
      <w:r>
        <w:rPr>
          <w:sz w:val="26"/>
        </w:rPr>
        <w:t>иностранных граждан</w:t>
      </w:r>
      <w:r>
        <w:rPr>
          <w:sz w:val="30"/>
        </w:rPr>
        <w:t>.</w:t>
      </w:r>
    </w:p>
    <w:p>
      <w:pPr>
        <w:pStyle w:val="Heading4"/>
        <w:ind w:right="561" w:firstLine="566"/>
      </w:pPr>
      <w:r>
        <w:rPr/>
        <w:t>Инструментарий подготовлен в 2021 г. в рамках работы по организации Федеральным государственным бюджетным учреждением высшего образования «Московский государственный психолого-педагогический университет» общественно значимых мероприятий в сфере образования, науки и молодежной политики.</w:t>
      </w:r>
      <w:r>
        <w:rPr>
          <w:spacing w:val="40"/>
        </w:rPr>
        <w:t> </w:t>
      </w:r>
      <w:r>
        <w:rPr/>
        <w:t>Апробация инструментария осуществлена в 2022</w:t>
      </w:r>
      <w:r>
        <w:rPr>
          <w:spacing w:val="-13"/>
        </w:rPr>
        <w:t> </w:t>
      </w:r>
      <w:r>
        <w:rPr/>
        <w:t>г.</w:t>
      </w:r>
      <w:r>
        <w:rPr>
          <w:spacing w:val="40"/>
        </w:rPr>
        <w:t> </w:t>
      </w:r>
      <w:r>
        <w:rPr/>
        <w:t>в</w:t>
      </w:r>
      <w:r>
        <w:rPr>
          <w:spacing w:val="-17"/>
        </w:rPr>
        <w:t> </w:t>
      </w:r>
      <w:r>
        <w:rPr/>
        <w:t>рамках</w:t>
      </w:r>
      <w:r>
        <w:rPr>
          <w:spacing w:val="-12"/>
        </w:rPr>
        <w:t> </w:t>
      </w:r>
      <w:r>
        <w:rPr/>
        <w:t>НИР</w:t>
      </w:r>
      <w:r>
        <w:rPr>
          <w:spacing w:val="-14"/>
        </w:rPr>
        <w:t> </w:t>
      </w:r>
      <w:r>
        <w:rPr/>
        <w:t>«Научно-методическая</w:t>
      </w:r>
      <w:r>
        <w:rPr>
          <w:spacing w:val="-15"/>
        </w:rPr>
        <w:t> </w:t>
      </w:r>
      <w:r>
        <w:rPr/>
        <w:t>разработка</w:t>
      </w:r>
      <w:r>
        <w:rPr>
          <w:spacing w:val="-15"/>
        </w:rPr>
        <w:t> </w:t>
      </w:r>
      <w:r>
        <w:rPr/>
        <w:t>и</w:t>
      </w:r>
      <w:r>
        <w:rPr>
          <w:spacing w:val="-13"/>
        </w:rPr>
        <w:t> </w:t>
      </w:r>
      <w:r>
        <w:rPr/>
        <w:t>апробация</w:t>
      </w:r>
      <w:r>
        <w:rPr>
          <w:spacing w:val="-15"/>
        </w:rPr>
        <w:t> </w:t>
      </w:r>
      <w:r>
        <w:rPr/>
        <w:t>системы выявления особых образовательных потребностей несовершеннолетних иностранных граждан и необходимого психолого-педагогического сопровождения</w:t>
      </w:r>
      <w:r>
        <w:rPr>
          <w:spacing w:val="-18"/>
        </w:rPr>
        <w:t> </w:t>
      </w:r>
      <w:r>
        <w:rPr/>
        <w:t>процессов</w:t>
      </w:r>
      <w:r>
        <w:rPr>
          <w:spacing w:val="-17"/>
        </w:rPr>
        <w:t> </w:t>
      </w:r>
      <w:r>
        <w:rPr/>
        <w:t>их</w:t>
      </w:r>
      <w:r>
        <w:rPr>
          <w:spacing w:val="-18"/>
        </w:rPr>
        <w:t> </w:t>
      </w:r>
      <w:r>
        <w:rPr/>
        <w:t>обучения,</w:t>
      </w:r>
      <w:r>
        <w:rPr>
          <w:spacing w:val="-17"/>
        </w:rPr>
        <w:t> </w:t>
      </w:r>
      <w:r>
        <w:rPr/>
        <w:t>социальной</w:t>
      </w:r>
      <w:r>
        <w:rPr>
          <w:spacing w:val="5"/>
        </w:rPr>
        <w:t> </w:t>
      </w:r>
      <w:r>
        <w:rPr/>
        <w:t>и</w:t>
      </w:r>
      <w:r>
        <w:rPr>
          <w:spacing w:val="-18"/>
        </w:rPr>
        <w:t> </w:t>
      </w:r>
      <w:r>
        <w:rPr/>
        <w:t>культурной</w:t>
      </w:r>
      <w:r>
        <w:rPr>
          <w:spacing w:val="-17"/>
        </w:rPr>
        <w:t> </w:t>
      </w:r>
      <w:r>
        <w:rPr/>
        <w:t>адаптации», выполняемого в рамках государственного задания ФГБОУ ВО МГППУ на 2022 г. (приказ Министерства просвещения РФ № 1021 от 27.12.2021) в том числе посредством проведения программы дополнительного профессионального образования «Психолого-педагогическая оценка особых образовательных потребностей детей — иностранных граждан в сферах психологического благополучия, социальных навыков и культурной </w:t>
      </w:r>
      <w:r>
        <w:rPr>
          <w:spacing w:val="-2"/>
        </w:rPr>
        <w:t>адаптации».</w:t>
      </w:r>
    </w:p>
    <w:p>
      <w:pPr>
        <w:pStyle w:val="Heading4"/>
        <w:spacing w:after="0"/>
        <w:sectPr>
          <w:pgSz w:w="11910" w:h="16840"/>
          <w:pgMar w:header="0" w:footer="970" w:top="1040" w:bottom="1220" w:left="1417" w:right="283"/>
        </w:sectPr>
      </w:pPr>
    </w:p>
    <w:p>
      <w:pPr>
        <w:pStyle w:val="Heading2"/>
        <w:ind w:left="285"/>
      </w:pPr>
      <w:bookmarkStart w:name="_bookmark13" w:id="15"/>
      <w:bookmarkEnd w:id="15"/>
      <w:r>
        <w:rPr>
          <w:b w:val="0"/>
        </w:rPr>
      </w:r>
      <w:r>
        <w:rPr/>
        <w:t>Общая</w:t>
      </w:r>
      <w:r>
        <w:rPr>
          <w:spacing w:val="-6"/>
        </w:rPr>
        <w:t> </w:t>
      </w:r>
      <w:r>
        <w:rPr/>
        <w:t>схема</w:t>
      </w:r>
      <w:r>
        <w:rPr>
          <w:spacing w:val="-3"/>
        </w:rPr>
        <w:t> </w:t>
      </w:r>
      <w:r>
        <w:rPr>
          <w:spacing w:val="-2"/>
        </w:rPr>
        <w:t>инструментария</w:t>
      </w:r>
    </w:p>
    <w:p>
      <w:pPr>
        <w:pStyle w:val="BodyText"/>
        <w:ind w:left="0" w:right="0" w:firstLine="0"/>
        <w:jc w:val="left"/>
        <w:rPr>
          <w:b/>
        </w:rPr>
      </w:pPr>
    </w:p>
    <w:p>
      <w:pPr>
        <w:pStyle w:val="BodyText"/>
        <w:spacing w:before="101"/>
        <w:ind w:left="0" w:right="0" w:firstLine="0"/>
        <w:jc w:val="left"/>
        <w:rPr>
          <w:b/>
        </w:rPr>
      </w:pPr>
    </w:p>
    <w:tbl>
      <w:tblPr>
        <w:tblW w:w="0" w:type="auto"/>
        <w:jc w:val="left"/>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5"/>
        <w:gridCol w:w="4537"/>
        <w:gridCol w:w="4676"/>
      </w:tblGrid>
      <w:tr>
        <w:trPr>
          <w:trHeight w:val="697" w:hRule="atLeast"/>
        </w:trPr>
        <w:tc>
          <w:tcPr>
            <w:tcW w:w="535" w:type="dxa"/>
          </w:tcPr>
          <w:p>
            <w:pPr>
              <w:pStyle w:val="TableParagraph"/>
              <w:spacing w:before="94"/>
              <w:ind w:left="107" w:firstLine="48"/>
              <w:rPr>
                <w:b/>
                <w:sz w:val="22"/>
              </w:rPr>
            </w:pPr>
            <w:r>
              <w:rPr>
                <w:b/>
                <w:spacing w:val="-10"/>
                <w:sz w:val="22"/>
              </w:rPr>
              <w:t>№ </w:t>
            </w:r>
            <w:r>
              <w:rPr>
                <w:b/>
                <w:spacing w:val="-5"/>
                <w:sz w:val="22"/>
              </w:rPr>
              <w:t>п/п</w:t>
            </w:r>
          </w:p>
        </w:tc>
        <w:tc>
          <w:tcPr>
            <w:tcW w:w="4537" w:type="dxa"/>
          </w:tcPr>
          <w:p>
            <w:pPr>
              <w:pStyle w:val="TableParagraph"/>
              <w:spacing w:before="187"/>
              <w:ind w:left="1017"/>
              <w:rPr>
                <w:b/>
                <w:sz w:val="28"/>
              </w:rPr>
            </w:pPr>
            <w:r>
              <w:rPr>
                <w:b/>
                <w:sz w:val="28"/>
              </w:rPr>
              <w:t>Название</w:t>
            </w:r>
            <w:r>
              <w:rPr>
                <w:b/>
                <w:spacing w:val="-6"/>
                <w:sz w:val="28"/>
              </w:rPr>
              <w:t> </w:t>
            </w:r>
            <w:r>
              <w:rPr>
                <w:b/>
                <w:spacing w:val="-2"/>
                <w:sz w:val="28"/>
              </w:rPr>
              <w:t>методики</w:t>
            </w:r>
          </w:p>
        </w:tc>
        <w:tc>
          <w:tcPr>
            <w:tcW w:w="4676" w:type="dxa"/>
          </w:tcPr>
          <w:p>
            <w:pPr>
              <w:pStyle w:val="TableParagraph"/>
              <w:spacing w:before="187"/>
              <w:ind w:left="220"/>
              <w:rPr>
                <w:b/>
                <w:sz w:val="28"/>
              </w:rPr>
            </w:pPr>
            <w:r>
              <w:rPr>
                <w:b/>
                <w:sz w:val="28"/>
              </w:rPr>
              <w:t>Что</w:t>
            </w:r>
            <w:r>
              <w:rPr>
                <w:b/>
                <w:spacing w:val="-5"/>
                <w:sz w:val="28"/>
              </w:rPr>
              <w:t> </w:t>
            </w:r>
            <w:r>
              <w:rPr>
                <w:b/>
                <w:sz w:val="28"/>
              </w:rPr>
              <w:t>измеряет</w:t>
            </w:r>
            <w:r>
              <w:rPr>
                <w:b/>
                <w:spacing w:val="-3"/>
                <w:sz w:val="28"/>
              </w:rPr>
              <w:t> </w:t>
            </w:r>
            <w:r>
              <w:rPr>
                <w:b/>
                <w:sz w:val="28"/>
              </w:rPr>
              <w:t>(краткое</w:t>
            </w:r>
            <w:r>
              <w:rPr>
                <w:b/>
                <w:spacing w:val="-7"/>
                <w:sz w:val="28"/>
              </w:rPr>
              <w:t> </w:t>
            </w:r>
            <w:r>
              <w:rPr>
                <w:b/>
                <w:spacing w:val="-2"/>
                <w:sz w:val="28"/>
              </w:rPr>
              <w:t>описание)</w:t>
            </w:r>
          </w:p>
        </w:tc>
      </w:tr>
      <w:tr>
        <w:trPr>
          <w:trHeight w:val="777" w:hRule="atLeast"/>
        </w:trPr>
        <w:tc>
          <w:tcPr>
            <w:tcW w:w="9748" w:type="dxa"/>
            <w:gridSpan w:val="3"/>
          </w:tcPr>
          <w:p>
            <w:pPr>
              <w:pStyle w:val="TableParagraph"/>
              <w:spacing w:before="228"/>
              <w:ind w:left="7"/>
              <w:jc w:val="center"/>
              <w:rPr>
                <w:b/>
                <w:i/>
                <w:sz w:val="28"/>
              </w:rPr>
            </w:pPr>
            <w:r>
              <w:rPr>
                <w:b/>
                <w:i/>
                <w:sz w:val="28"/>
              </w:rPr>
              <w:t>Психологическое</w:t>
            </w:r>
            <w:r>
              <w:rPr>
                <w:b/>
                <w:i/>
                <w:spacing w:val="-9"/>
                <w:sz w:val="28"/>
              </w:rPr>
              <w:t> </w:t>
            </w:r>
            <w:r>
              <w:rPr>
                <w:b/>
                <w:i/>
                <w:spacing w:val="-2"/>
                <w:sz w:val="28"/>
              </w:rPr>
              <w:t>благополучие</w:t>
            </w:r>
          </w:p>
        </w:tc>
      </w:tr>
      <w:tr>
        <w:trPr>
          <w:trHeight w:val="964" w:hRule="atLeast"/>
        </w:trPr>
        <w:tc>
          <w:tcPr>
            <w:tcW w:w="535" w:type="dxa"/>
          </w:tcPr>
          <w:p>
            <w:pPr>
              <w:pStyle w:val="TableParagraph"/>
              <w:spacing w:before="314"/>
              <w:ind w:left="107"/>
              <w:rPr>
                <w:sz w:val="28"/>
              </w:rPr>
            </w:pPr>
            <w:r>
              <w:rPr>
                <w:spacing w:val="-10"/>
                <w:sz w:val="28"/>
              </w:rPr>
              <w:t>1</w:t>
            </w:r>
          </w:p>
        </w:tc>
        <w:tc>
          <w:tcPr>
            <w:tcW w:w="4537" w:type="dxa"/>
          </w:tcPr>
          <w:p>
            <w:pPr>
              <w:pStyle w:val="TableParagraph"/>
              <w:spacing w:line="322" w:lineRule="exact" w:before="153"/>
              <w:ind w:left="105"/>
              <w:rPr>
                <w:sz w:val="28"/>
              </w:rPr>
            </w:pPr>
            <w:r>
              <w:rPr>
                <w:sz w:val="28"/>
                <w:u w:val="single"/>
              </w:rPr>
              <w:t>Карта</w:t>
            </w:r>
            <w:r>
              <w:rPr>
                <w:spacing w:val="-3"/>
                <w:sz w:val="28"/>
                <w:u w:val="single"/>
              </w:rPr>
              <w:t> </w:t>
            </w:r>
            <w:r>
              <w:rPr>
                <w:spacing w:val="-2"/>
                <w:sz w:val="28"/>
                <w:u w:val="single"/>
              </w:rPr>
              <w:t>наблюдения</w:t>
            </w:r>
          </w:p>
          <w:p>
            <w:pPr>
              <w:pStyle w:val="TableParagraph"/>
              <w:ind w:left="105"/>
              <w:rPr>
                <w:sz w:val="28"/>
              </w:rPr>
            </w:pPr>
            <w:r>
              <w:rPr>
                <w:sz w:val="28"/>
                <w:u w:val="single"/>
              </w:rPr>
              <w:t>«Психологические</w:t>
            </w:r>
            <w:r>
              <w:rPr>
                <w:spacing w:val="-13"/>
                <w:sz w:val="28"/>
                <w:u w:val="single"/>
              </w:rPr>
              <w:t> </w:t>
            </w:r>
            <w:r>
              <w:rPr>
                <w:spacing w:val="-2"/>
                <w:sz w:val="28"/>
                <w:u w:val="single"/>
              </w:rPr>
              <w:t>трудности»</w:t>
            </w:r>
          </w:p>
        </w:tc>
        <w:tc>
          <w:tcPr>
            <w:tcW w:w="4676" w:type="dxa"/>
          </w:tcPr>
          <w:p>
            <w:pPr>
              <w:pStyle w:val="TableParagraph"/>
              <w:ind w:left="105"/>
              <w:rPr>
                <w:sz w:val="28"/>
              </w:rPr>
            </w:pPr>
            <w:r>
              <w:rPr>
                <w:sz w:val="28"/>
              </w:rPr>
              <w:t>Психологические трудности: гиперактивность,</w:t>
            </w:r>
            <w:r>
              <w:rPr>
                <w:spacing w:val="-18"/>
                <w:sz w:val="28"/>
              </w:rPr>
              <w:t> </w:t>
            </w:r>
            <w:r>
              <w:rPr>
                <w:sz w:val="28"/>
              </w:rPr>
              <w:t>эмоциональные</w:t>
            </w:r>
          </w:p>
          <w:p>
            <w:pPr>
              <w:pStyle w:val="TableParagraph"/>
              <w:spacing w:line="308" w:lineRule="exact"/>
              <w:ind w:left="105"/>
              <w:rPr>
                <w:sz w:val="28"/>
              </w:rPr>
            </w:pPr>
            <w:r>
              <w:rPr>
                <w:sz w:val="28"/>
              </w:rPr>
              <w:t>проблемы,</w:t>
            </w:r>
            <w:r>
              <w:rPr>
                <w:spacing w:val="-9"/>
                <w:sz w:val="28"/>
              </w:rPr>
              <w:t> </w:t>
            </w:r>
            <w:r>
              <w:rPr>
                <w:sz w:val="28"/>
              </w:rPr>
              <w:t>проблемы</w:t>
            </w:r>
            <w:r>
              <w:rPr>
                <w:spacing w:val="-5"/>
                <w:sz w:val="28"/>
              </w:rPr>
              <w:t> </w:t>
            </w:r>
            <w:r>
              <w:rPr>
                <w:sz w:val="28"/>
              </w:rPr>
              <w:t>с</w:t>
            </w:r>
            <w:r>
              <w:rPr>
                <w:spacing w:val="-5"/>
                <w:sz w:val="28"/>
              </w:rPr>
              <w:t> </w:t>
            </w:r>
            <w:r>
              <w:rPr>
                <w:spacing w:val="-2"/>
                <w:sz w:val="28"/>
              </w:rPr>
              <w:t>поведением</w:t>
            </w:r>
          </w:p>
        </w:tc>
      </w:tr>
      <w:tr>
        <w:trPr>
          <w:trHeight w:val="967" w:hRule="atLeast"/>
        </w:trPr>
        <w:tc>
          <w:tcPr>
            <w:tcW w:w="535" w:type="dxa"/>
          </w:tcPr>
          <w:p>
            <w:pPr>
              <w:pStyle w:val="TableParagraph"/>
              <w:spacing w:before="317"/>
              <w:ind w:left="107"/>
              <w:rPr>
                <w:sz w:val="28"/>
              </w:rPr>
            </w:pPr>
            <w:r>
              <w:rPr>
                <w:spacing w:val="-10"/>
                <w:sz w:val="28"/>
              </w:rPr>
              <w:t>2</w:t>
            </w:r>
          </w:p>
        </w:tc>
        <w:tc>
          <w:tcPr>
            <w:tcW w:w="4537" w:type="dxa"/>
          </w:tcPr>
          <w:p>
            <w:pPr>
              <w:pStyle w:val="TableParagraph"/>
              <w:spacing w:line="317" w:lineRule="exact"/>
              <w:ind w:left="105"/>
              <w:rPr>
                <w:sz w:val="28"/>
              </w:rPr>
            </w:pPr>
            <w:r>
              <w:rPr>
                <w:sz w:val="28"/>
                <w:u w:val="single"/>
              </w:rPr>
              <w:t>Рисуночная</w:t>
            </w:r>
            <w:r>
              <w:rPr>
                <w:spacing w:val="-10"/>
                <w:sz w:val="28"/>
                <w:u w:val="single"/>
              </w:rPr>
              <w:t> </w:t>
            </w:r>
            <w:r>
              <w:rPr>
                <w:spacing w:val="-2"/>
                <w:sz w:val="28"/>
                <w:u w:val="single"/>
              </w:rPr>
              <w:t>диагностика</w:t>
            </w:r>
          </w:p>
          <w:p>
            <w:pPr>
              <w:pStyle w:val="TableParagraph"/>
              <w:spacing w:line="322" w:lineRule="exact"/>
              <w:ind w:left="105" w:right="939"/>
              <w:rPr>
                <w:sz w:val="28"/>
              </w:rPr>
            </w:pPr>
            <w:r>
              <w:rPr>
                <w:sz w:val="28"/>
                <w:u w:val="single"/>
              </w:rPr>
              <w:t>субъективного</w:t>
            </w:r>
            <w:r>
              <w:rPr>
                <w:spacing w:val="-18"/>
                <w:sz w:val="28"/>
                <w:u w:val="single"/>
              </w:rPr>
              <w:t> </w:t>
            </w:r>
            <w:r>
              <w:rPr>
                <w:sz w:val="28"/>
                <w:u w:val="single"/>
              </w:rPr>
              <w:t>благополучия</w:t>
            </w:r>
            <w:r>
              <w:rPr>
                <w:sz w:val="28"/>
              </w:rPr>
              <w:t> </w:t>
            </w:r>
            <w:r>
              <w:rPr>
                <w:spacing w:val="-2"/>
                <w:sz w:val="28"/>
                <w:u w:val="single"/>
              </w:rPr>
              <w:t>ребенка-мигранта</w:t>
            </w:r>
          </w:p>
        </w:tc>
        <w:tc>
          <w:tcPr>
            <w:tcW w:w="4676" w:type="dxa"/>
          </w:tcPr>
          <w:p>
            <w:pPr>
              <w:pStyle w:val="TableParagraph"/>
              <w:spacing w:before="317"/>
              <w:ind w:left="105"/>
              <w:rPr>
                <w:sz w:val="28"/>
              </w:rPr>
            </w:pPr>
            <w:r>
              <w:rPr>
                <w:sz w:val="28"/>
              </w:rPr>
              <w:t>Субъективное</w:t>
            </w:r>
            <w:r>
              <w:rPr>
                <w:spacing w:val="-10"/>
                <w:sz w:val="28"/>
              </w:rPr>
              <w:t> </w:t>
            </w:r>
            <w:r>
              <w:rPr>
                <w:spacing w:val="-2"/>
                <w:sz w:val="28"/>
              </w:rPr>
              <w:t>благополучие</w:t>
            </w:r>
          </w:p>
        </w:tc>
      </w:tr>
      <w:tr>
        <w:trPr>
          <w:trHeight w:val="642" w:hRule="atLeast"/>
        </w:trPr>
        <w:tc>
          <w:tcPr>
            <w:tcW w:w="535" w:type="dxa"/>
          </w:tcPr>
          <w:p>
            <w:pPr>
              <w:pStyle w:val="TableParagraph"/>
              <w:spacing w:before="153"/>
              <w:ind w:left="107"/>
              <w:rPr>
                <w:sz w:val="28"/>
              </w:rPr>
            </w:pPr>
            <w:r>
              <w:rPr>
                <w:spacing w:val="-10"/>
                <w:sz w:val="28"/>
              </w:rPr>
              <w:t>3</w:t>
            </w:r>
          </w:p>
        </w:tc>
        <w:tc>
          <w:tcPr>
            <w:tcW w:w="4537" w:type="dxa"/>
          </w:tcPr>
          <w:p>
            <w:pPr>
              <w:pStyle w:val="TableParagraph"/>
              <w:spacing w:line="315" w:lineRule="exact"/>
              <w:ind w:left="105"/>
              <w:rPr>
                <w:sz w:val="28"/>
              </w:rPr>
            </w:pPr>
            <w:hyperlink w:history="true" w:anchor="_bookmark10">
              <w:r>
                <w:rPr>
                  <w:sz w:val="28"/>
                  <w:u w:val="single"/>
                </w:rPr>
                <w:t>Шкала</w:t>
              </w:r>
              <w:r>
                <w:rPr>
                  <w:spacing w:val="-1"/>
                  <w:sz w:val="28"/>
                  <w:u w:val="single"/>
                </w:rPr>
                <w:t> </w:t>
              </w:r>
              <w:r>
                <w:rPr>
                  <w:spacing w:val="-2"/>
                  <w:sz w:val="28"/>
                  <w:u w:val="single"/>
                </w:rPr>
                <w:t>психологического</w:t>
              </w:r>
            </w:hyperlink>
          </w:p>
          <w:p>
            <w:pPr>
              <w:pStyle w:val="TableParagraph"/>
              <w:spacing w:line="308" w:lineRule="exact"/>
              <w:ind w:left="105"/>
              <w:rPr>
                <w:sz w:val="28"/>
              </w:rPr>
            </w:pPr>
            <w:hyperlink w:history="true" w:anchor="_bookmark10">
              <w:r>
                <w:rPr>
                  <w:sz w:val="28"/>
                  <w:u w:val="single"/>
                </w:rPr>
                <w:t>благополучия</w:t>
              </w:r>
              <w:r>
                <w:rPr>
                  <w:spacing w:val="-10"/>
                  <w:sz w:val="28"/>
                  <w:u w:val="single"/>
                </w:rPr>
                <w:t> </w:t>
              </w:r>
              <w:r>
                <w:rPr>
                  <w:spacing w:val="-2"/>
                  <w:sz w:val="28"/>
                  <w:u w:val="single"/>
                </w:rPr>
                <w:t>Уорик–Эдинбург</w:t>
              </w:r>
            </w:hyperlink>
          </w:p>
        </w:tc>
        <w:tc>
          <w:tcPr>
            <w:tcW w:w="4676" w:type="dxa"/>
          </w:tcPr>
          <w:p>
            <w:pPr>
              <w:pStyle w:val="TableParagraph"/>
              <w:spacing w:before="153"/>
              <w:ind w:left="105"/>
              <w:rPr>
                <w:sz w:val="28"/>
              </w:rPr>
            </w:pPr>
            <w:r>
              <w:rPr>
                <w:sz w:val="28"/>
              </w:rPr>
              <w:t>Психологическое</w:t>
            </w:r>
            <w:r>
              <w:rPr>
                <w:spacing w:val="-13"/>
                <w:sz w:val="28"/>
              </w:rPr>
              <w:t> </w:t>
            </w:r>
            <w:r>
              <w:rPr>
                <w:spacing w:val="-2"/>
                <w:sz w:val="28"/>
              </w:rPr>
              <w:t>благополучие</w:t>
            </w:r>
          </w:p>
        </w:tc>
      </w:tr>
      <w:tr>
        <w:trPr>
          <w:trHeight w:val="966" w:hRule="atLeast"/>
        </w:trPr>
        <w:tc>
          <w:tcPr>
            <w:tcW w:w="535" w:type="dxa"/>
          </w:tcPr>
          <w:p>
            <w:pPr>
              <w:pStyle w:val="TableParagraph"/>
              <w:spacing w:before="316"/>
              <w:ind w:left="107"/>
              <w:rPr>
                <w:sz w:val="28"/>
              </w:rPr>
            </w:pPr>
            <w:r>
              <w:rPr>
                <w:spacing w:val="-10"/>
                <w:sz w:val="28"/>
              </w:rPr>
              <w:t>4</w:t>
            </w:r>
          </w:p>
        </w:tc>
        <w:tc>
          <w:tcPr>
            <w:tcW w:w="4537" w:type="dxa"/>
          </w:tcPr>
          <w:p>
            <w:pPr>
              <w:pStyle w:val="TableParagraph"/>
              <w:spacing w:before="156"/>
              <w:ind w:left="105" w:right="939"/>
              <w:rPr>
                <w:sz w:val="28"/>
              </w:rPr>
            </w:pPr>
            <w:r>
              <w:rPr>
                <w:sz w:val="28"/>
                <w:u w:val="single"/>
              </w:rPr>
              <w:t>Опросник</w:t>
            </w:r>
            <w:r>
              <w:rPr>
                <w:spacing w:val="-18"/>
                <w:sz w:val="28"/>
                <w:u w:val="single"/>
              </w:rPr>
              <w:t> </w:t>
            </w:r>
            <w:r>
              <w:rPr>
                <w:sz w:val="28"/>
                <w:u w:val="single"/>
              </w:rPr>
              <w:t>психологического</w:t>
            </w:r>
            <w:r>
              <w:rPr>
                <w:sz w:val="28"/>
              </w:rPr>
              <w:t> </w:t>
            </w:r>
            <w:r>
              <w:rPr>
                <w:sz w:val="28"/>
                <w:u w:val="single"/>
              </w:rPr>
              <w:t>здоровья мигрантов</w:t>
            </w:r>
          </w:p>
        </w:tc>
        <w:tc>
          <w:tcPr>
            <w:tcW w:w="4676" w:type="dxa"/>
          </w:tcPr>
          <w:p>
            <w:pPr>
              <w:pStyle w:val="TableParagraph"/>
              <w:ind w:left="105" w:right="124"/>
              <w:rPr>
                <w:sz w:val="28"/>
              </w:rPr>
            </w:pPr>
            <w:r>
              <w:rPr>
                <w:sz w:val="28"/>
              </w:rPr>
              <w:t>Вероятность наличия эмоциональных</w:t>
            </w:r>
            <w:r>
              <w:rPr>
                <w:spacing w:val="-18"/>
                <w:sz w:val="28"/>
              </w:rPr>
              <w:t> </w:t>
            </w:r>
            <w:r>
              <w:rPr>
                <w:sz w:val="28"/>
              </w:rPr>
              <w:t>или</w:t>
            </w:r>
            <w:r>
              <w:rPr>
                <w:spacing w:val="-17"/>
                <w:sz w:val="28"/>
              </w:rPr>
              <w:t> </w:t>
            </w:r>
            <w:r>
              <w:rPr>
                <w:sz w:val="28"/>
              </w:rPr>
              <w:t>психических</w:t>
            </w:r>
          </w:p>
          <w:p>
            <w:pPr>
              <w:pStyle w:val="TableParagraph"/>
              <w:spacing w:line="308" w:lineRule="exact"/>
              <w:ind w:left="105"/>
              <w:rPr>
                <w:sz w:val="28"/>
              </w:rPr>
            </w:pPr>
            <w:r>
              <w:rPr>
                <w:spacing w:val="-2"/>
                <w:sz w:val="28"/>
              </w:rPr>
              <w:t>расстройств</w:t>
            </w:r>
          </w:p>
        </w:tc>
      </w:tr>
      <w:tr>
        <w:trPr>
          <w:trHeight w:val="645" w:hRule="atLeast"/>
        </w:trPr>
        <w:tc>
          <w:tcPr>
            <w:tcW w:w="535" w:type="dxa"/>
          </w:tcPr>
          <w:p>
            <w:pPr>
              <w:pStyle w:val="TableParagraph"/>
              <w:spacing w:before="153"/>
              <w:ind w:left="107"/>
              <w:rPr>
                <w:sz w:val="28"/>
              </w:rPr>
            </w:pPr>
            <w:r>
              <w:rPr>
                <w:spacing w:val="-10"/>
                <w:sz w:val="28"/>
              </w:rPr>
              <w:t>5</w:t>
            </w:r>
          </w:p>
        </w:tc>
        <w:tc>
          <w:tcPr>
            <w:tcW w:w="4537" w:type="dxa"/>
          </w:tcPr>
          <w:p>
            <w:pPr>
              <w:pStyle w:val="TableParagraph"/>
              <w:spacing w:before="153"/>
              <w:ind w:left="105"/>
              <w:rPr>
                <w:sz w:val="28"/>
              </w:rPr>
            </w:pPr>
            <w:r>
              <w:rPr>
                <w:sz w:val="28"/>
                <w:u w:val="single"/>
              </w:rPr>
              <w:t>Опросник</w:t>
            </w:r>
            <w:r>
              <w:rPr>
                <w:spacing w:val="-7"/>
                <w:sz w:val="28"/>
                <w:u w:val="single"/>
              </w:rPr>
              <w:t> </w:t>
            </w:r>
            <w:r>
              <w:rPr>
                <w:spacing w:val="-2"/>
                <w:sz w:val="28"/>
                <w:u w:val="single"/>
              </w:rPr>
              <w:t>Ахенбаха</w:t>
            </w:r>
          </w:p>
        </w:tc>
        <w:tc>
          <w:tcPr>
            <w:tcW w:w="4676" w:type="dxa"/>
          </w:tcPr>
          <w:p>
            <w:pPr>
              <w:pStyle w:val="TableParagraph"/>
              <w:spacing w:line="315" w:lineRule="exact"/>
              <w:ind w:left="105"/>
              <w:rPr>
                <w:sz w:val="28"/>
              </w:rPr>
            </w:pPr>
            <w:r>
              <w:rPr>
                <w:sz w:val="28"/>
              </w:rPr>
              <w:t>Выраженность</w:t>
            </w:r>
            <w:r>
              <w:rPr>
                <w:spacing w:val="-9"/>
                <w:sz w:val="28"/>
              </w:rPr>
              <w:t> </w:t>
            </w:r>
            <w:r>
              <w:rPr>
                <w:sz w:val="28"/>
              </w:rPr>
              <w:t>поведенческих</w:t>
            </w:r>
            <w:r>
              <w:rPr>
                <w:spacing w:val="-7"/>
                <w:sz w:val="28"/>
              </w:rPr>
              <w:t> </w:t>
            </w:r>
            <w:r>
              <w:rPr>
                <w:spacing w:val="-10"/>
                <w:sz w:val="28"/>
              </w:rPr>
              <w:t>и</w:t>
            </w:r>
          </w:p>
          <w:p>
            <w:pPr>
              <w:pStyle w:val="TableParagraph"/>
              <w:spacing w:line="311" w:lineRule="exact"/>
              <w:ind w:left="105"/>
              <w:rPr>
                <w:sz w:val="28"/>
              </w:rPr>
            </w:pPr>
            <w:r>
              <w:rPr>
                <w:sz w:val="28"/>
              </w:rPr>
              <w:t>эмоциональных</w:t>
            </w:r>
            <w:r>
              <w:rPr>
                <w:spacing w:val="-14"/>
                <w:sz w:val="28"/>
              </w:rPr>
              <w:t> </w:t>
            </w:r>
            <w:r>
              <w:rPr>
                <w:spacing w:val="-2"/>
                <w:sz w:val="28"/>
              </w:rPr>
              <w:t>проблем</w:t>
            </w:r>
          </w:p>
        </w:tc>
      </w:tr>
      <w:tr>
        <w:trPr>
          <w:trHeight w:val="964" w:hRule="atLeast"/>
        </w:trPr>
        <w:tc>
          <w:tcPr>
            <w:tcW w:w="535" w:type="dxa"/>
          </w:tcPr>
          <w:p>
            <w:pPr>
              <w:pStyle w:val="TableParagraph"/>
              <w:spacing w:before="314"/>
              <w:ind w:left="107"/>
              <w:rPr>
                <w:sz w:val="28"/>
              </w:rPr>
            </w:pPr>
            <w:r>
              <w:rPr>
                <w:spacing w:val="-10"/>
                <w:sz w:val="28"/>
              </w:rPr>
              <w:t>6</w:t>
            </w:r>
          </w:p>
        </w:tc>
        <w:tc>
          <w:tcPr>
            <w:tcW w:w="4537" w:type="dxa"/>
          </w:tcPr>
          <w:p>
            <w:pPr>
              <w:pStyle w:val="TableParagraph"/>
              <w:spacing w:line="315" w:lineRule="exact"/>
              <w:ind w:left="105"/>
              <w:rPr>
                <w:sz w:val="28"/>
              </w:rPr>
            </w:pPr>
            <w:r>
              <w:rPr>
                <w:sz w:val="28"/>
                <w:u w:val="single"/>
              </w:rPr>
              <w:t>Многомерная</w:t>
            </w:r>
            <w:r>
              <w:rPr>
                <w:spacing w:val="-7"/>
                <w:sz w:val="28"/>
                <w:u w:val="single"/>
              </w:rPr>
              <w:t> </w:t>
            </w:r>
            <w:r>
              <w:rPr>
                <w:spacing w:val="-2"/>
                <w:sz w:val="28"/>
                <w:u w:val="single"/>
              </w:rPr>
              <w:t>шкала</w:t>
            </w:r>
          </w:p>
          <w:p>
            <w:pPr>
              <w:pStyle w:val="TableParagraph"/>
              <w:spacing w:line="322" w:lineRule="exact"/>
              <w:ind w:left="105" w:right="939"/>
              <w:rPr>
                <w:sz w:val="28"/>
              </w:rPr>
            </w:pPr>
            <w:r>
              <w:rPr>
                <w:sz w:val="28"/>
                <w:u w:val="single"/>
              </w:rPr>
              <w:t>удовлетворенности</w:t>
            </w:r>
            <w:r>
              <w:rPr>
                <w:spacing w:val="-18"/>
                <w:sz w:val="28"/>
                <w:u w:val="single"/>
              </w:rPr>
              <w:t> </w:t>
            </w:r>
            <w:r>
              <w:rPr>
                <w:sz w:val="28"/>
                <w:u w:val="single"/>
              </w:rPr>
              <w:t>жизнью</w:t>
            </w:r>
            <w:r>
              <w:rPr>
                <w:sz w:val="28"/>
              </w:rPr>
              <w:t> </w:t>
            </w:r>
            <w:r>
              <w:rPr>
                <w:spacing w:val="-2"/>
                <w:sz w:val="28"/>
                <w:u w:val="single"/>
              </w:rPr>
              <w:t>школьников</w:t>
            </w:r>
          </w:p>
        </w:tc>
        <w:tc>
          <w:tcPr>
            <w:tcW w:w="4676" w:type="dxa"/>
          </w:tcPr>
          <w:p>
            <w:pPr>
              <w:pStyle w:val="TableParagraph"/>
              <w:spacing w:before="154"/>
              <w:ind w:left="105" w:right="124"/>
              <w:rPr>
                <w:sz w:val="28"/>
              </w:rPr>
            </w:pPr>
            <w:r>
              <w:rPr>
                <w:sz w:val="28"/>
              </w:rPr>
              <w:t>Уровень</w:t>
            </w:r>
            <w:r>
              <w:rPr>
                <w:spacing w:val="-18"/>
                <w:sz w:val="28"/>
              </w:rPr>
              <w:t> </w:t>
            </w:r>
            <w:r>
              <w:rPr>
                <w:sz w:val="28"/>
              </w:rPr>
              <w:t>удовлетворенности</w:t>
            </w:r>
            <w:r>
              <w:rPr>
                <w:spacing w:val="-17"/>
                <w:sz w:val="28"/>
              </w:rPr>
              <w:t> </w:t>
            </w:r>
            <w:r>
              <w:rPr>
                <w:sz w:val="28"/>
              </w:rPr>
              <w:t>жизнью в различных сферах</w:t>
            </w:r>
          </w:p>
        </w:tc>
      </w:tr>
      <w:tr>
        <w:trPr>
          <w:trHeight w:val="1288" w:hRule="atLeast"/>
        </w:trPr>
        <w:tc>
          <w:tcPr>
            <w:tcW w:w="535" w:type="dxa"/>
          </w:tcPr>
          <w:p>
            <w:pPr>
              <w:pStyle w:val="TableParagraph"/>
              <w:spacing w:before="155"/>
              <w:rPr>
                <w:b/>
                <w:sz w:val="28"/>
              </w:rPr>
            </w:pPr>
          </w:p>
          <w:p>
            <w:pPr>
              <w:pStyle w:val="TableParagraph"/>
              <w:ind w:left="107"/>
              <w:rPr>
                <w:sz w:val="28"/>
              </w:rPr>
            </w:pPr>
            <w:r>
              <w:rPr>
                <w:spacing w:val="-10"/>
                <w:sz w:val="28"/>
              </w:rPr>
              <w:t>7</w:t>
            </w:r>
          </w:p>
        </w:tc>
        <w:tc>
          <w:tcPr>
            <w:tcW w:w="4537" w:type="dxa"/>
          </w:tcPr>
          <w:p>
            <w:pPr>
              <w:pStyle w:val="TableParagraph"/>
              <w:spacing w:before="316"/>
              <w:ind w:left="105"/>
              <w:rPr>
                <w:sz w:val="28"/>
              </w:rPr>
            </w:pPr>
            <w:r>
              <w:rPr>
                <w:sz w:val="28"/>
                <w:u w:val="single"/>
              </w:rPr>
              <w:t>Детский</w:t>
            </w:r>
            <w:r>
              <w:rPr>
                <w:spacing w:val="-18"/>
                <w:sz w:val="28"/>
                <w:u w:val="single"/>
              </w:rPr>
              <w:t> </w:t>
            </w:r>
            <w:r>
              <w:rPr>
                <w:sz w:val="28"/>
                <w:u w:val="single"/>
              </w:rPr>
              <w:t>тест</w:t>
            </w:r>
            <w:r>
              <w:rPr>
                <w:spacing w:val="-17"/>
                <w:sz w:val="28"/>
                <w:u w:val="single"/>
              </w:rPr>
              <w:t> </w:t>
            </w:r>
            <w:r>
              <w:rPr>
                <w:sz w:val="28"/>
                <w:u w:val="single"/>
              </w:rPr>
              <w:t>психологической</w:t>
            </w:r>
            <w:r>
              <w:rPr>
                <w:sz w:val="28"/>
              </w:rPr>
              <w:t> </w:t>
            </w:r>
            <w:r>
              <w:rPr>
                <w:spacing w:val="-2"/>
                <w:sz w:val="28"/>
                <w:u w:val="single"/>
              </w:rPr>
              <w:t>устойчивости</w:t>
            </w:r>
          </w:p>
        </w:tc>
        <w:tc>
          <w:tcPr>
            <w:tcW w:w="4676" w:type="dxa"/>
          </w:tcPr>
          <w:p>
            <w:pPr>
              <w:pStyle w:val="TableParagraph"/>
              <w:ind w:left="105" w:right="124"/>
              <w:rPr>
                <w:sz w:val="28"/>
              </w:rPr>
            </w:pPr>
            <w:r>
              <w:rPr>
                <w:sz w:val="28"/>
              </w:rPr>
              <w:t>Способность к эффективному социальному</w:t>
            </w:r>
            <w:r>
              <w:rPr>
                <w:spacing w:val="-18"/>
                <w:sz w:val="28"/>
              </w:rPr>
              <w:t> </w:t>
            </w:r>
            <w:r>
              <w:rPr>
                <w:sz w:val="28"/>
              </w:rPr>
              <w:t>взаимодействию</w:t>
            </w:r>
            <w:r>
              <w:rPr>
                <w:spacing w:val="-17"/>
                <w:sz w:val="28"/>
              </w:rPr>
              <w:t> </w:t>
            </w:r>
            <w:r>
              <w:rPr>
                <w:sz w:val="28"/>
              </w:rPr>
              <w:t>с целью получения ресурсов и</w:t>
            </w:r>
          </w:p>
          <w:p>
            <w:pPr>
              <w:pStyle w:val="TableParagraph"/>
              <w:spacing w:line="308" w:lineRule="exact"/>
              <w:ind w:left="105"/>
              <w:rPr>
                <w:sz w:val="28"/>
              </w:rPr>
            </w:pPr>
            <w:r>
              <w:rPr>
                <w:spacing w:val="-2"/>
                <w:sz w:val="28"/>
              </w:rPr>
              <w:t>поддержки</w:t>
            </w:r>
          </w:p>
        </w:tc>
      </w:tr>
      <w:tr>
        <w:trPr>
          <w:trHeight w:val="1289" w:hRule="atLeast"/>
        </w:trPr>
        <w:tc>
          <w:tcPr>
            <w:tcW w:w="535" w:type="dxa"/>
          </w:tcPr>
          <w:p>
            <w:pPr>
              <w:pStyle w:val="TableParagraph"/>
              <w:spacing w:before="153"/>
              <w:rPr>
                <w:b/>
                <w:sz w:val="28"/>
              </w:rPr>
            </w:pPr>
          </w:p>
          <w:p>
            <w:pPr>
              <w:pStyle w:val="TableParagraph"/>
              <w:ind w:left="107"/>
              <w:rPr>
                <w:sz w:val="28"/>
              </w:rPr>
            </w:pPr>
            <w:r>
              <w:rPr>
                <w:spacing w:val="-10"/>
                <w:sz w:val="28"/>
              </w:rPr>
              <w:t>8</w:t>
            </w:r>
          </w:p>
        </w:tc>
        <w:tc>
          <w:tcPr>
            <w:tcW w:w="4537" w:type="dxa"/>
          </w:tcPr>
          <w:p>
            <w:pPr>
              <w:pStyle w:val="TableParagraph"/>
              <w:spacing w:before="314"/>
              <w:ind w:left="105"/>
              <w:rPr>
                <w:sz w:val="28"/>
              </w:rPr>
            </w:pPr>
            <w:r>
              <w:rPr>
                <w:sz w:val="28"/>
                <w:u w:val="single"/>
              </w:rPr>
              <w:t>Шкала</w:t>
            </w:r>
            <w:r>
              <w:rPr>
                <w:spacing w:val="-13"/>
                <w:sz w:val="28"/>
                <w:u w:val="single"/>
              </w:rPr>
              <w:t> </w:t>
            </w:r>
            <w:r>
              <w:rPr>
                <w:sz w:val="28"/>
                <w:u w:val="single"/>
              </w:rPr>
              <w:t>социального</w:t>
            </w:r>
            <w:r>
              <w:rPr>
                <w:spacing w:val="-13"/>
                <w:sz w:val="28"/>
                <w:u w:val="single"/>
              </w:rPr>
              <w:t> </w:t>
            </w:r>
            <w:r>
              <w:rPr>
                <w:sz w:val="28"/>
                <w:u w:val="single"/>
              </w:rPr>
              <w:t>избегания</w:t>
            </w:r>
            <w:r>
              <w:rPr>
                <w:spacing w:val="-14"/>
                <w:sz w:val="28"/>
                <w:u w:val="single"/>
              </w:rPr>
              <w:t> </w:t>
            </w:r>
            <w:r>
              <w:rPr>
                <w:sz w:val="28"/>
                <w:u w:val="single"/>
              </w:rPr>
              <w:t>и</w:t>
            </w:r>
            <w:r>
              <w:rPr>
                <w:sz w:val="28"/>
              </w:rPr>
              <w:t> </w:t>
            </w:r>
            <w:r>
              <w:rPr>
                <w:spacing w:val="-2"/>
                <w:sz w:val="28"/>
                <w:u w:val="single"/>
              </w:rPr>
              <w:t>дистресса</w:t>
            </w:r>
          </w:p>
        </w:tc>
        <w:tc>
          <w:tcPr>
            <w:tcW w:w="4676" w:type="dxa"/>
          </w:tcPr>
          <w:p>
            <w:pPr>
              <w:pStyle w:val="TableParagraph"/>
              <w:ind w:left="105" w:right="214"/>
              <w:rPr>
                <w:sz w:val="28"/>
              </w:rPr>
            </w:pPr>
            <w:r>
              <w:rPr>
                <w:sz w:val="28"/>
              </w:rPr>
              <w:t>Два компонента социальной тревожности:</w:t>
            </w:r>
            <w:r>
              <w:rPr>
                <w:spacing w:val="-18"/>
                <w:sz w:val="28"/>
              </w:rPr>
              <w:t> </w:t>
            </w:r>
            <w:r>
              <w:rPr>
                <w:sz w:val="28"/>
              </w:rPr>
              <w:t>социальный</w:t>
            </w:r>
            <w:r>
              <w:rPr>
                <w:spacing w:val="-17"/>
                <w:sz w:val="28"/>
              </w:rPr>
              <w:t> </w:t>
            </w:r>
            <w:r>
              <w:rPr>
                <w:sz w:val="28"/>
              </w:rPr>
              <w:t>дистресс и социальное избегание</w:t>
            </w:r>
          </w:p>
        </w:tc>
      </w:tr>
      <w:tr>
        <w:trPr>
          <w:trHeight w:val="642" w:hRule="atLeast"/>
        </w:trPr>
        <w:tc>
          <w:tcPr>
            <w:tcW w:w="535" w:type="dxa"/>
          </w:tcPr>
          <w:p>
            <w:pPr>
              <w:pStyle w:val="TableParagraph"/>
              <w:spacing w:before="153"/>
              <w:ind w:left="107"/>
              <w:rPr>
                <w:sz w:val="28"/>
              </w:rPr>
            </w:pPr>
            <w:r>
              <w:rPr>
                <w:spacing w:val="-10"/>
                <w:sz w:val="28"/>
              </w:rPr>
              <w:t>9</w:t>
            </w:r>
          </w:p>
        </w:tc>
        <w:tc>
          <w:tcPr>
            <w:tcW w:w="4537" w:type="dxa"/>
          </w:tcPr>
          <w:p>
            <w:pPr>
              <w:pStyle w:val="TableParagraph"/>
              <w:spacing w:before="153"/>
              <w:ind w:left="105"/>
              <w:rPr>
                <w:sz w:val="28"/>
              </w:rPr>
            </w:pPr>
            <w:r>
              <w:rPr>
                <w:sz w:val="28"/>
                <w:u w:val="single"/>
              </w:rPr>
              <w:t>Опросник</w:t>
            </w:r>
            <w:r>
              <w:rPr>
                <w:spacing w:val="-10"/>
                <w:sz w:val="28"/>
                <w:u w:val="single"/>
              </w:rPr>
              <w:t> </w:t>
            </w:r>
            <w:r>
              <w:rPr>
                <w:spacing w:val="-2"/>
                <w:sz w:val="28"/>
                <w:u w:val="single"/>
              </w:rPr>
              <w:t>депрессивности</w:t>
            </w:r>
          </w:p>
        </w:tc>
        <w:tc>
          <w:tcPr>
            <w:tcW w:w="4676" w:type="dxa"/>
          </w:tcPr>
          <w:p>
            <w:pPr>
              <w:pStyle w:val="TableParagraph"/>
              <w:spacing w:line="315" w:lineRule="exact"/>
              <w:ind w:left="105"/>
              <w:rPr>
                <w:sz w:val="28"/>
              </w:rPr>
            </w:pPr>
            <w:r>
              <w:rPr>
                <w:sz w:val="28"/>
              </w:rPr>
              <w:t>Наличие</w:t>
            </w:r>
            <w:r>
              <w:rPr>
                <w:spacing w:val="-6"/>
                <w:sz w:val="28"/>
              </w:rPr>
              <w:t> </w:t>
            </w:r>
            <w:r>
              <w:rPr>
                <w:spacing w:val="-2"/>
                <w:sz w:val="28"/>
              </w:rPr>
              <w:t>депрессивного</w:t>
            </w:r>
          </w:p>
          <w:p>
            <w:pPr>
              <w:pStyle w:val="TableParagraph"/>
              <w:spacing w:line="308" w:lineRule="exact"/>
              <w:ind w:left="105"/>
              <w:rPr>
                <w:sz w:val="28"/>
              </w:rPr>
            </w:pPr>
            <w:r>
              <w:rPr>
                <w:spacing w:val="-2"/>
                <w:sz w:val="28"/>
              </w:rPr>
              <w:t>расстройства</w:t>
            </w:r>
          </w:p>
        </w:tc>
      </w:tr>
      <w:tr>
        <w:trPr>
          <w:trHeight w:val="966" w:hRule="atLeast"/>
        </w:trPr>
        <w:tc>
          <w:tcPr>
            <w:tcW w:w="535" w:type="dxa"/>
          </w:tcPr>
          <w:p>
            <w:pPr>
              <w:pStyle w:val="TableParagraph"/>
              <w:spacing w:before="316"/>
              <w:ind w:left="107"/>
              <w:rPr>
                <w:sz w:val="28"/>
              </w:rPr>
            </w:pPr>
            <w:r>
              <w:rPr>
                <w:spacing w:val="-5"/>
                <w:sz w:val="28"/>
              </w:rPr>
              <w:t>10</w:t>
            </w:r>
          </w:p>
        </w:tc>
        <w:tc>
          <w:tcPr>
            <w:tcW w:w="4537" w:type="dxa"/>
          </w:tcPr>
          <w:p>
            <w:pPr>
              <w:pStyle w:val="TableParagraph"/>
              <w:spacing w:before="316"/>
              <w:ind w:left="105"/>
              <w:rPr>
                <w:sz w:val="28"/>
              </w:rPr>
            </w:pPr>
            <w:hyperlink w:history="true" w:anchor="_bookmark23">
              <w:r>
                <w:rPr>
                  <w:sz w:val="28"/>
                  <w:u w:val="single"/>
                </w:rPr>
                <w:t>Шкала</w:t>
              </w:r>
              <w:r>
                <w:rPr>
                  <w:spacing w:val="-5"/>
                  <w:sz w:val="28"/>
                  <w:u w:val="single"/>
                </w:rPr>
                <w:t> </w:t>
              </w:r>
              <w:r>
                <w:rPr>
                  <w:sz w:val="28"/>
                  <w:u w:val="single"/>
                </w:rPr>
                <w:t>отношения</w:t>
              </w:r>
              <w:r>
                <w:rPr>
                  <w:spacing w:val="-5"/>
                  <w:sz w:val="28"/>
                  <w:u w:val="single"/>
                </w:rPr>
                <w:t> </w:t>
              </w:r>
              <w:r>
                <w:rPr>
                  <w:sz w:val="28"/>
                  <w:u w:val="single"/>
                </w:rPr>
                <w:t>к</w:t>
              </w:r>
              <w:r>
                <w:rPr>
                  <w:spacing w:val="-5"/>
                  <w:sz w:val="28"/>
                  <w:u w:val="single"/>
                </w:rPr>
                <w:t> </w:t>
              </w:r>
              <w:r>
                <w:rPr>
                  <w:spacing w:val="-2"/>
                  <w:sz w:val="28"/>
                  <w:u w:val="single"/>
                </w:rPr>
                <w:t>школе</w:t>
              </w:r>
            </w:hyperlink>
          </w:p>
        </w:tc>
        <w:tc>
          <w:tcPr>
            <w:tcW w:w="4676" w:type="dxa"/>
          </w:tcPr>
          <w:p>
            <w:pPr>
              <w:pStyle w:val="TableParagraph"/>
              <w:spacing w:line="242" w:lineRule="auto"/>
              <w:ind w:left="105"/>
              <w:rPr>
                <w:sz w:val="28"/>
              </w:rPr>
            </w:pPr>
            <w:r>
              <w:rPr>
                <w:sz w:val="28"/>
              </w:rPr>
              <w:t>Уровень внутренней школьной мотивации</w:t>
            </w:r>
            <w:r>
              <w:rPr>
                <w:spacing w:val="-12"/>
                <w:sz w:val="28"/>
              </w:rPr>
              <w:t> </w:t>
            </w:r>
            <w:r>
              <w:rPr>
                <w:sz w:val="28"/>
              </w:rPr>
              <w:t>и</w:t>
            </w:r>
            <w:r>
              <w:rPr>
                <w:spacing w:val="-9"/>
                <w:sz w:val="28"/>
              </w:rPr>
              <w:t> </w:t>
            </w:r>
            <w:r>
              <w:rPr>
                <w:sz w:val="28"/>
              </w:rPr>
              <w:t>отношения</w:t>
            </w:r>
            <w:r>
              <w:rPr>
                <w:spacing w:val="-9"/>
                <w:sz w:val="28"/>
              </w:rPr>
              <w:t> </w:t>
            </w:r>
            <w:r>
              <w:rPr>
                <w:sz w:val="28"/>
              </w:rPr>
              <w:t>к</w:t>
            </w:r>
            <w:r>
              <w:rPr>
                <w:spacing w:val="-9"/>
                <w:sz w:val="28"/>
              </w:rPr>
              <w:t> </w:t>
            </w:r>
            <w:r>
              <w:rPr>
                <w:sz w:val="28"/>
              </w:rPr>
              <w:t>школе</w:t>
            </w:r>
          </w:p>
        </w:tc>
      </w:tr>
      <w:tr>
        <w:trPr>
          <w:trHeight w:val="798" w:hRule="atLeast"/>
        </w:trPr>
        <w:tc>
          <w:tcPr>
            <w:tcW w:w="9748" w:type="dxa"/>
            <w:gridSpan w:val="3"/>
          </w:tcPr>
          <w:p>
            <w:pPr>
              <w:pStyle w:val="TableParagraph"/>
              <w:spacing w:before="237"/>
              <w:ind w:left="7" w:right="1"/>
              <w:jc w:val="center"/>
              <w:rPr>
                <w:b/>
                <w:i/>
                <w:sz w:val="28"/>
              </w:rPr>
            </w:pPr>
            <w:r>
              <w:rPr>
                <w:b/>
                <w:i/>
                <w:sz w:val="28"/>
              </w:rPr>
              <w:t>Социальные</w:t>
            </w:r>
            <w:r>
              <w:rPr>
                <w:b/>
                <w:i/>
                <w:spacing w:val="-6"/>
                <w:sz w:val="28"/>
              </w:rPr>
              <w:t> </w:t>
            </w:r>
            <w:r>
              <w:rPr>
                <w:b/>
                <w:i/>
                <w:spacing w:val="-2"/>
                <w:sz w:val="28"/>
              </w:rPr>
              <w:t>навыки</w:t>
            </w:r>
          </w:p>
        </w:tc>
      </w:tr>
      <w:tr>
        <w:trPr>
          <w:trHeight w:val="1288" w:hRule="atLeast"/>
        </w:trPr>
        <w:tc>
          <w:tcPr>
            <w:tcW w:w="535" w:type="dxa"/>
          </w:tcPr>
          <w:p>
            <w:pPr>
              <w:pStyle w:val="TableParagraph"/>
              <w:spacing w:before="153"/>
              <w:rPr>
                <w:b/>
                <w:sz w:val="28"/>
              </w:rPr>
            </w:pPr>
          </w:p>
          <w:p>
            <w:pPr>
              <w:pStyle w:val="TableParagraph"/>
              <w:ind w:left="107"/>
              <w:rPr>
                <w:sz w:val="28"/>
              </w:rPr>
            </w:pPr>
            <w:r>
              <w:rPr>
                <w:spacing w:val="-5"/>
                <w:sz w:val="28"/>
              </w:rPr>
              <w:t>11</w:t>
            </w:r>
          </w:p>
        </w:tc>
        <w:tc>
          <w:tcPr>
            <w:tcW w:w="4537" w:type="dxa"/>
          </w:tcPr>
          <w:p>
            <w:pPr>
              <w:pStyle w:val="TableParagraph"/>
              <w:spacing w:before="314"/>
              <w:ind w:left="105"/>
              <w:rPr>
                <w:sz w:val="28"/>
              </w:rPr>
            </w:pPr>
            <w:hyperlink w:history="true" w:anchor="_bookmark25">
              <w:r>
                <w:rPr>
                  <w:sz w:val="28"/>
                  <w:u w:val="single"/>
                </w:rPr>
                <w:t>Методика</w:t>
              </w:r>
              <w:r>
                <w:rPr>
                  <w:spacing w:val="-18"/>
                  <w:sz w:val="28"/>
                  <w:u w:val="single"/>
                </w:rPr>
                <w:t> </w:t>
              </w:r>
              <w:r>
                <w:rPr>
                  <w:sz w:val="28"/>
                  <w:u w:val="single"/>
                </w:rPr>
                <w:t>оценки</w:t>
              </w:r>
              <w:r>
                <w:rPr>
                  <w:spacing w:val="-17"/>
                  <w:sz w:val="28"/>
                  <w:u w:val="single"/>
                </w:rPr>
                <w:t> </w:t>
              </w:r>
              <w:r>
                <w:rPr>
                  <w:sz w:val="28"/>
                  <w:u w:val="single"/>
                </w:rPr>
                <w:t>социальных</w:t>
              </w:r>
            </w:hyperlink>
            <w:r>
              <w:rPr>
                <w:sz w:val="28"/>
              </w:rPr>
              <w:t> </w:t>
            </w:r>
            <w:hyperlink w:history="true" w:anchor="_bookmark25">
              <w:r>
                <w:rPr>
                  <w:sz w:val="28"/>
                  <w:u w:val="single"/>
                </w:rPr>
                <w:t>навыков ребенка-мигранта</w:t>
              </w:r>
            </w:hyperlink>
          </w:p>
        </w:tc>
        <w:tc>
          <w:tcPr>
            <w:tcW w:w="4676" w:type="dxa"/>
          </w:tcPr>
          <w:p>
            <w:pPr>
              <w:pStyle w:val="TableParagraph"/>
              <w:ind w:left="105" w:right="846"/>
              <w:jc w:val="both"/>
              <w:rPr>
                <w:sz w:val="28"/>
              </w:rPr>
            </w:pPr>
            <w:r>
              <w:rPr>
                <w:sz w:val="28"/>
              </w:rPr>
              <w:t>Навыки</w:t>
            </w:r>
            <w:r>
              <w:rPr>
                <w:spacing w:val="-8"/>
                <w:sz w:val="28"/>
              </w:rPr>
              <w:t> </w:t>
            </w:r>
            <w:r>
              <w:rPr>
                <w:sz w:val="28"/>
              </w:rPr>
              <w:t>поведения</w:t>
            </w:r>
            <w:r>
              <w:rPr>
                <w:spacing w:val="-7"/>
                <w:sz w:val="28"/>
              </w:rPr>
              <w:t> </w:t>
            </w:r>
            <w:r>
              <w:rPr>
                <w:sz w:val="28"/>
              </w:rPr>
              <w:t>в</w:t>
            </w:r>
            <w:r>
              <w:rPr>
                <w:spacing w:val="-10"/>
                <w:sz w:val="28"/>
              </w:rPr>
              <w:t> </w:t>
            </w:r>
            <w:r>
              <w:rPr>
                <w:sz w:val="28"/>
              </w:rPr>
              <w:t>классе</w:t>
            </w:r>
            <w:r>
              <w:rPr>
                <w:spacing w:val="-7"/>
                <w:sz w:val="28"/>
              </w:rPr>
              <w:t> </w:t>
            </w:r>
            <w:r>
              <w:rPr>
                <w:sz w:val="28"/>
              </w:rPr>
              <w:t>и</w:t>
            </w:r>
            <w:r>
              <w:rPr>
                <w:spacing w:val="-7"/>
                <w:sz w:val="28"/>
              </w:rPr>
              <w:t> </w:t>
            </w:r>
            <w:r>
              <w:rPr>
                <w:sz w:val="28"/>
              </w:rPr>
              <w:t>в школе, выполнения домашних заданий, взаимодействия со</w:t>
            </w:r>
          </w:p>
          <w:p>
            <w:pPr>
              <w:pStyle w:val="TableParagraph"/>
              <w:spacing w:line="308" w:lineRule="exact"/>
              <w:ind w:left="105"/>
              <w:jc w:val="both"/>
              <w:rPr>
                <w:sz w:val="28"/>
              </w:rPr>
            </w:pPr>
            <w:r>
              <w:rPr>
                <w:sz w:val="28"/>
              </w:rPr>
              <w:t>сверстниками</w:t>
            </w:r>
            <w:r>
              <w:rPr>
                <w:spacing w:val="-4"/>
                <w:sz w:val="28"/>
              </w:rPr>
              <w:t> </w:t>
            </w:r>
            <w:r>
              <w:rPr>
                <w:sz w:val="28"/>
              </w:rPr>
              <w:t>и</w:t>
            </w:r>
            <w:r>
              <w:rPr>
                <w:spacing w:val="-3"/>
                <w:sz w:val="28"/>
              </w:rPr>
              <w:t> </w:t>
            </w:r>
            <w:r>
              <w:rPr>
                <w:spacing w:val="-2"/>
                <w:sz w:val="28"/>
              </w:rPr>
              <w:t>взрослыми</w:t>
            </w:r>
          </w:p>
        </w:tc>
      </w:tr>
    </w:tbl>
    <w:p>
      <w:pPr>
        <w:pStyle w:val="TableParagraph"/>
        <w:spacing w:after="0" w:line="308" w:lineRule="exact"/>
        <w:jc w:val="both"/>
        <w:rPr>
          <w:sz w:val="28"/>
        </w:rPr>
        <w:sectPr>
          <w:pgSz w:w="11910" w:h="16840"/>
          <w:pgMar w:header="0" w:footer="970" w:top="1040" w:bottom="1439" w:left="1417" w:right="283"/>
        </w:sectPr>
      </w:pPr>
    </w:p>
    <w:tbl>
      <w:tblPr>
        <w:tblW w:w="0" w:type="auto"/>
        <w:jc w:val="left"/>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5"/>
        <w:gridCol w:w="4537"/>
        <w:gridCol w:w="4676"/>
      </w:tblGrid>
      <w:tr>
        <w:trPr>
          <w:trHeight w:val="724" w:hRule="atLeast"/>
        </w:trPr>
        <w:tc>
          <w:tcPr>
            <w:tcW w:w="9748" w:type="dxa"/>
            <w:gridSpan w:val="3"/>
          </w:tcPr>
          <w:p>
            <w:pPr>
              <w:pStyle w:val="TableParagraph"/>
              <w:spacing w:before="202"/>
              <w:ind w:left="7"/>
              <w:jc w:val="center"/>
              <w:rPr>
                <w:b/>
                <w:i/>
                <w:sz w:val="28"/>
              </w:rPr>
            </w:pPr>
            <w:r>
              <w:rPr>
                <w:b/>
                <w:i/>
                <w:sz w:val="28"/>
              </w:rPr>
              <w:t>Культурная</w:t>
            </w:r>
            <w:r>
              <w:rPr>
                <w:b/>
                <w:i/>
                <w:spacing w:val="-8"/>
                <w:sz w:val="28"/>
              </w:rPr>
              <w:t> </w:t>
            </w:r>
            <w:r>
              <w:rPr>
                <w:b/>
                <w:i/>
                <w:spacing w:val="-2"/>
                <w:sz w:val="28"/>
              </w:rPr>
              <w:t>адаптация</w:t>
            </w:r>
          </w:p>
        </w:tc>
      </w:tr>
      <w:tr>
        <w:trPr>
          <w:trHeight w:val="642" w:hRule="atLeast"/>
        </w:trPr>
        <w:tc>
          <w:tcPr>
            <w:tcW w:w="535" w:type="dxa"/>
          </w:tcPr>
          <w:p>
            <w:pPr>
              <w:pStyle w:val="TableParagraph"/>
              <w:spacing w:before="153"/>
              <w:ind w:right="24"/>
              <w:jc w:val="center"/>
              <w:rPr>
                <w:sz w:val="28"/>
              </w:rPr>
            </w:pPr>
            <w:r>
              <w:rPr>
                <w:spacing w:val="-5"/>
                <w:sz w:val="28"/>
              </w:rPr>
              <w:t>12</w:t>
            </w:r>
          </w:p>
        </w:tc>
        <w:tc>
          <w:tcPr>
            <w:tcW w:w="4537" w:type="dxa"/>
          </w:tcPr>
          <w:p>
            <w:pPr>
              <w:pStyle w:val="TableParagraph"/>
              <w:spacing w:before="153"/>
              <w:ind w:left="105"/>
              <w:rPr>
                <w:sz w:val="28"/>
              </w:rPr>
            </w:pPr>
            <w:hyperlink w:history="true" w:anchor="_bookmark26">
              <w:r>
                <w:rPr>
                  <w:sz w:val="28"/>
                  <w:u w:val="single"/>
                </w:rPr>
                <w:t>Социометрический</w:t>
              </w:r>
              <w:r>
                <w:rPr>
                  <w:spacing w:val="-14"/>
                  <w:sz w:val="28"/>
                  <w:u w:val="single"/>
                </w:rPr>
                <w:t> </w:t>
              </w:r>
              <w:r>
                <w:rPr>
                  <w:spacing w:val="-4"/>
                  <w:sz w:val="28"/>
                  <w:u w:val="single"/>
                </w:rPr>
                <w:t>тест</w:t>
              </w:r>
            </w:hyperlink>
          </w:p>
        </w:tc>
        <w:tc>
          <w:tcPr>
            <w:tcW w:w="4676" w:type="dxa"/>
          </w:tcPr>
          <w:p>
            <w:pPr>
              <w:pStyle w:val="TableParagraph"/>
              <w:spacing w:line="315" w:lineRule="exact"/>
              <w:ind w:left="105"/>
              <w:rPr>
                <w:sz w:val="28"/>
              </w:rPr>
            </w:pPr>
            <w:r>
              <w:rPr>
                <w:sz w:val="28"/>
              </w:rPr>
              <w:t>Включенность</w:t>
            </w:r>
            <w:r>
              <w:rPr>
                <w:spacing w:val="-7"/>
                <w:sz w:val="28"/>
              </w:rPr>
              <w:t> </w:t>
            </w:r>
            <w:r>
              <w:rPr>
                <w:sz w:val="28"/>
              </w:rPr>
              <w:t>ребенка</w:t>
            </w:r>
            <w:r>
              <w:rPr>
                <w:spacing w:val="-6"/>
                <w:sz w:val="28"/>
              </w:rPr>
              <w:t> </w:t>
            </w:r>
            <w:r>
              <w:rPr>
                <w:sz w:val="28"/>
              </w:rPr>
              <w:t>в</w:t>
            </w:r>
            <w:r>
              <w:rPr>
                <w:spacing w:val="-7"/>
                <w:sz w:val="28"/>
              </w:rPr>
              <w:t> </w:t>
            </w:r>
            <w:r>
              <w:rPr>
                <w:spacing w:val="-2"/>
                <w:sz w:val="28"/>
              </w:rPr>
              <w:t>сообщество</w:t>
            </w:r>
          </w:p>
          <w:p>
            <w:pPr>
              <w:pStyle w:val="TableParagraph"/>
              <w:spacing w:line="308" w:lineRule="exact"/>
              <w:ind w:left="105"/>
              <w:rPr>
                <w:sz w:val="28"/>
              </w:rPr>
            </w:pPr>
            <w:r>
              <w:rPr>
                <w:spacing w:val="-2"/>
                <w:sz w:val="28"/>
              </w:rPr>
              <w:t>одноклассников</w:t>
            </w:r>
          </w:p>
        </w:tc>
      </w:tr>
      <w:tr>
        <w:trPr>
          <w:trHeight w:val="642" w:hRule="atLeast"/>
        </w:trPr>
        <w:tc>
          <w:tcPr>
            <w:tcW w:w="535" w:type="dxa"/>
          </w:tcPr>
          <w:p>
            <w:pPr>
              <w:pStyle w:val="TableParagraph"/>
              <w:spacing w:before="153"/>
              <w:ind w:right="24"/>
              <w:jc w:val="center"/>
              <w:rPr>
                <w:sz w:val="28"/>
              </w:rPr>
            </w:pPr>
            <w:r>
              <w:rPr>
                <w:spacing w:val="-5"/>
                <w:sz w:val="28"/>
              </w:rPr>
              <w:t>13</w:t>
            </w:r>
          </w:p>
        </w:tc>
        <w:tc>
          <w:tcPr>
            <w:tcW w:w="4537" w:type="dxa"/>
          </w:tcPr>
          <w:p>
            <w:pPr>
              <w:pStyle w:val="TableParagraph"/>
              <w:spacing w:line="315" w:lineRule="exact"/>
              <w:ind w:left="105"/>
              <w:rPr>
                <w:sz w:val="28"/>
              </w:rPr>
            </w:pPr>
            <w:r>
              <w:rPr>
                <w:sz w:val="28"/>
                <w:u w:val="single"/>
              </w:rPr>
              <w:t>Опросник</w:t>
            </w:r>
            <w:r>
              <w:rPr>
                <w:spacing w:val="-8"/>
                <w:sz w:val="28"/>
                <w:u w:val="single"/>
              </w:rPr>
              <w:t> </w:t>
            </w:r>
            <w:r>
              <w:rPr>
                <w:sz w:val="28"/>
                <w:u w:val="single"/>
              </w:rPr>
              <w:t>аккультурации</w:t>
            </w:r>
            <w:r>
              <w:rPr>
                <w:spacing w:val="-7"/>
                <w:sz w:val="28"/>
                <w:u w:val="single"/>
              </w:rPr>
              <w:t> </w:t>
            </w:r>
            <w:r>
              <w:rPr>
                <w:sz w:val="28"/>
                <w:u w:val="single"/>
              </w:rPr>
              <w:t>для</w:t>
            </w:r>
            <w:r>
              <w:rPr>
                <w:spacing w:val="-9"/>
                <w:sz w:val="28"/>
                <w:u w:val="single"/>
              </w:rPr>
              <w:t> </w:t>
            </w:r>
            <w:r>
              <w:rPr>
                <w:spacing w:val="-2"/>
                <w:sz w:val="28"/>
                <w:u w:val="single"/>
              </w:rPr>
              <w:t>детей</w:t>
            </w:r>
          </w:p>
          <w:p>
            <w:pPr>
              <w:pStyle w:val="TableParagraph"/>
              <w:spacing w:line="308" w:lineRule="exact"/>
              <w:ind w:left="105"/>
              <w:rPr>
                <w:sz w:val="28"/>
              </w:rPr>
            </w:pPr>
            <w:r>
              <w:rPr>
                <w:sz w:val="28"/>
                <w:u w:val="single"/>
              </w:rPr>
              <w:t>и </w:t>
            </w:r>
            <w:r>
              <w:rPr>
                <w:spacing w:val="-2"/>
                <w:sz w:val="28"/>
                <w:u w:val="single"/>
              </w:rPr>
              <w:t>подростков</w:t>
            </w:r>
          </w:p>
        </w:tc>
        <w:tc>
          <w:tcPr>
            <w:tcW w:w="4676" w:type="dxa"/>
          </w:tcPr>
          <w:p>
            <w:pPr>
              <w:pStyle w:val="TableParagraph"/>
              <w:spacing w:line="315" w:lineRule="exact"/>
              <w:ind w:left="105"/>
              <w:rPr>
                <w:sz w:val="28"/>
              </w:rPr>
            </w:pPr>
            <w:r>
              <w:rPr>
                <w:sz w:val="28"/>
              </w:rPr>
              <w:t>Предпочитаемая</w:t>
            </w:r>
            <w:r>
              <w:rPr>
                <w:spacing w:val="-12"/>
                <w:sz w:val="28"/>
              </w:rPr>
              <w:t> </w:t>
            </w:r>
            <w:r>
              <w:rPr>
                <w:spacing w:val="-2"/>
                <w:sz w:val="28"/>
              </w:rPr>
              <w:t>стратегия</w:t>
            </w:r>
          </w:p>
          <w:p>
            <w:pPr>
              <w:pStyle w:val="TableParagraph"/>
              <w:spacing w:line="308" w:lineRule="exact"/>
              <w:ind w:left="105"/>
              <w:rPr>
                <w:sz w:val="28"/>
              </w:rPr>
            </w:pPr>
            <w:r>
              <w:rPr>
                <w:spacing w:val="-2"/>
                <w:sz w:val="28"/>
              </w:rPr>
              <w:t>аккультурации</w:t>
            </w:r>
          </w:p>
        </w:tc>
      </w:tr>
      <w:tr>
        <w:trPr>
          <w:trHeight w:val="966" w:hRule="atLeast"/>
        </w:trPr>
        <w:tc>
          <w:tcPr>
            <w:tcW w:w="535" w:type="dxa"/>
          </w:tcPr>
          <w:p>
            <w:pPr>
              <w:pStyle w:val="TableParagraph"/>
              <w:spacing w:before="316"/>
              <w:ind w:right="24"/>
              <w:jc w:val="center"/>
              <w:rPr>
                <w:sz w:val="28"/>
              </w:rPr>
            </w:pPr>
            <w:r>
              <w:rPr>
                <w:spacing w:val="-5"/>
                <w:sz w:val="28"/>
              </w:rPr>
              <w:t>14</w:t>
            </w:r>
          </w:p>
        </w:tc>
        <w:tc>
          <w:tcPr>
            <w:tcW w:w="4537" w:type="dxa"/>
          </w:tcPr>
          <w:p>
            <w:pPr>
              <w:pStyle w:val="TableParagraph"/>
              <w:spacing w:before="156"/>
              <w:ind w:left="105"/>
              <w:rPr>
                <w:sz w:val="28"/>
              </w:rPr>
            </w:pPr>
            <w:r>
              <w:rPr>
                <w:sz w:val="28"/>
                <w:u w:val="single"/>
              </w:rPr>
              <w:t>Детский опросник</w:t>
            </w:r>
            <w:r>
              <w:rPr>
                <w:sz w:val="28"/>
              </w:rPr>
              <w:t> </w:t>
            </w:r>
            <w:r>
              <w:rPr>
                <w:sz w:val="28"/>
                <w:u w:val="single"/>
              </w:rPr>
              <w:t>аккультурационного</w:t>
            </w:r>
            <w:r>
              <w:rPr>
                <w:spacing w:val="-18"/>
                <w:sz w:val="28"/>
                <w:u w:val="single"/>
              </w:rPr>
              <w:t> </w:t>
            </w:r>
            <w:r>
              <w:rPr>
                <w:sz w:val="28"/>
                <w:u w:val="single"/>
              </w:rPr>
              <w:t>стресса</w:t>
            </w:r>
          </w:p>
        </w:tc>
        <w:tc>
          <w:tcPr>
            <w:tcW w:w="4676" w:type="dxa"/>
          </w:tcPr>
          <w:p>
            <w:pPr>
              <w:pStyle w:val="TableParagraph"/>
              <w:spacing w:line="317" w:lineRule="exact"/>
              <w:ind w:left="105"/>
              <w:rPr>
                <w:sz w:val="28"/>
              </w:rPr>
            </w:pPr>
            <w:r>
              <w:rPr>
                <w:sz w:val="28"/>
              </w:rPr>
              <w:t>Воспринимаемая</w:t>
            </w:r>
            <w:r>
              <w:rPr>
                <w:spacing w:val="-15"/>
                <w:sz w:val="28"/>
              </w:rPr>
              <w:t> </w:t>
            </w:r>
            <w:r>
              <w:rPr>
                <w:sz w:val="28"/>
              </w:rPr>
              <w:t>дискриминация</w:t>
            </w:r>
            <w:r>
              <w:rPr>
                <w:spacing w:val="-12"/>
                <w:sz w:val="28"/>
              </w:rPr>
              <w:t> </w:t>
            </w:r>
            <w:r>
              <w:rPr>
                <w:spacing w:val="-10"/>
                <w:sz w:val="28"/>
              </w:rPr>
              <w:t>и</w:t>
            </w:r>
          </w:p>
          <w:p>
            <w:pPr>
              <w:pStyle w:val="TableParagraph"/>
              <w:spacing w:line="322" w:lineRule="exact"/>
              <w:ind w:left="105"/>
              <w:rPr>
                <w:sz w:val="28"/>
              </w:rPr>
            </w:pPr>
            <w:r>
              <w:rPr>
                <w:sz w:val="28"/>
              </w:rPr>
              <w:t>сложности</w:t>
            </w:r>
            <w:r>
              <w:rPr>
                <w:spacing w:val="-14"/>
                <w:sz w:val="28"/>
              </w:rPr>
              <w:t> </w:t>
            </w:r>
            <w:r>
              <w:rPr>
                <w:sz w:val="28"/>
              </w:rPr>
              <w:t>вхождения</w:t>
            </w:r>
            <w:r>
              <w:rPr>
                <w:spacing w:val="-14"/>
                <w:sz w:val="28"/>
              </w:rPr>
              <w:t> </w:t>
            </w:r>
            <w:r>
              <w:rPr>
                <w:sz w:val="28"/>
              </w:rPr>
              <w:t>в</w:t>
            </w:r>
            <w:r>
              <w:rPr>
                <w:spacing w:val="-15"/>
                <w:sz w:val="28"/>
              </w:rPr>
              <w:t> </w:t>
            </w:r>
            <w:r>
              <w:rPr>
                <w:sz w:val="28"/>
              </w:rPr>
              <w:t>российскую </w:t>
            </w:r>
            <w:r>
              <w:rPr>
                <w:spacing w:val="-2"/>
                <w:sz w:val="28"/>
              </w:rPr>
              <w:t>культуру</w:t>
            </w:r>
          </w:p>
        </w:tc>
      </w:tr>
      <w:tr>
        <w:trPr>
          <w:trHeight w:val="1289" w:hRule="atLeast"/>
        </w:trPr>
        <w:tc>
          <w:tcPr>
            <w:tcW w:w="535" w:type="dxa"/>
          </w:tcPr>
          <w:p>
            <w:pPr>
              <w:pStyle w:val="TableParagraph"/>
              <w:spacing w:before="153"/>
              <w:rPr>
                <w:b/>
                <w:sz w:val="28"/>
              </w:rPr>
            </w:pPr>
          </w:p>
          <w:p>
            <w:pPr>
              <w:pStyle w:val="TableParagraph"/>
              <w:spacing w:before="1"/>
              <w:ind w:right="24"/>
              <w:jc w:val="center"/>
              <w:rPr>
                <w:sz w:val="28"/>
              </w:rPr>
            </w:pPr>
            <w:r>
              <w:rPr>
                <w:spacing w:val="-5"/>
                <w:sz w:val="28"/>
              </w:rPr>
              <w:t>15</w:t>
            </w:r>
          </w:p>
        </w:tc>
        <w:tc>
          <w:tcPr>
            <w:tcW w:w="4537" w:type="dxa"/>
          </w:tcPr>
          <w:p>
            <w:pPr>
              <w:pStyle w:val="TableParagraph"/>
              <w:ind w:left="105"/>
              <w:rPr>
                <w:sz w:val="28"/>
              </w:rPr>
            </w:pPr>
            <w:r>
              <w:rPr>
                <w:sz w:val="28"/>
                <w:u w:val="single"/>
              </w:rPr>
              <w:t>Карта стандартизованного</w:t>
            </w:r>
            <w:r>
              <w:rPr>
                <w:sz w:val="28"/>
              </w:rPr>
              <w:t> </w:t>
            </w:r>
            <w:r>
              <w:rPr>
                <w:sz w:val="28"/>
                <w:u w:val="single"/>
              </w:rPr>
              <w:t>наблюдения</w:t>
            </w:r>
            <w:r>
              <w:rPr>
                <w:spacing w:val="-11"/>
                <w:sz w:val="28"/>
                <w:u w:val="single"/>
              </w:rPr>
              <w:t> </w:t>
            </w:r>
            <w:r>
              <w:rPr>
                <w:sz w:val="28"/>
                <w:u w:val="single"/>
              </w:rPr>
              <w:t>детей</w:t>
            </w:r>
            <w:r>
              <w:rPr>
                <w:spacing w:val="-8"/>
                <w:sz w:val="28"/>
                <w:u w:val="single"/>
              </w:rPr>
              <w:t> </w:t>
            </w:r>
            <w:r>
              <w:rPr>
                <w:sz w:val="28"/>
                <w:u w:val="single"/>
              </w:rPr>
              <w:t>и</w:t>
            </w:r>
            <w:r>
              <w:rPr>
                <w:spacing w:val="-10"/>
                <w:sz w:val="28"/>
                <w:u w:val="single"/>
              </w:rPr>
              <w:t> </w:t>
            </w:r>
            <w:r>
              <w:rPr>
                <w:sz w:val="28"/>
                <w:u w:val="single"/>
              </w:rPr>
              <w:t>подростков</w:t>
            </w:r>
            <w:r>
              <w:rPr>
                <w:spacing w:val="-11"/>
                <w:sz w:val="28"/>
                <w:u w:val="single"/>
              </w:rPr>
              <w:t> </w:t>
            </w:r>
            <w:r>
              <w:rPr>
                <w:sz w:val="28"/>
                <w:u w:val="single"/>
              </w:rPr>
              <w:t>из</w:t>
            </w:r>
            <w:r>
              <w:rPr>
                <w:sz w:val="28"/>
              </w:rPr>
              <w:t> </w:t>
            </w:r>
            <w:r>
              <w:rPr>
                <w:sz w:val="28"/>
                <w:u w:val="single"/>
              </w:rPr>
              <w:t>семей мигрантов «Стратегии</w:t>
            </w:r>
          </w:p>
          <w:p>
            <w:pPr>
              <w:pStyle w:val="TableParagraph"/>
              <w:spacing w:line="308" w:lineRule="exact"/>
              <w:ind w:left="105"/>
              <w:rPr>
                <w:sz w:val="28"/>
              </w:rPr>
            </w:pPr>
            <w:r>
              <w:rPr>
                <w:spacing w:val="-2"/>
                <w:sz w:val="28"/>
                <w:u w:val="single"/>
              </w:rPr>
              <w:t>адаптации»</w:t>
            </w:r>
          </w:p>
        </w:tc>
        <w:tc>
          <w:tcPr>
            <w:tcW w:w="4676" w:type="dxa"/>
          </w:tcPr>
          <w:p>
            <w:pPr>
              <w:pStyle w:val="TableParagraph"/>
              <w:spacing w:line="242" w:lineRule="auto" w:before="314"/>
              <w:ind w:left="105"/>
              <w:rPr>
                <w:sz w:val="28"/>
              </w:rPr>
            </w:pPr>
            <w:r>
              <w:rPr>
                <w:sz w:val="28"/>
              </w:rPr>
              <w:t>Выраженность</w:t>
            </w:r>
            <w:r>
              <w:rPr>
                <w:spacing w:val="-18"/>
                <w:sz w:val="28"/>
              </w:rPr>
              <w:t> </w:t>
            </w:r>
            <w:r>
              <w:rPr>
                <w:sz w:val="28"/>
              </w:rPr>
              <w:t>стратегий </w:t>
            </w:r>
            <w:r>
              <w:rPr>
                <w:spacing w:val="-2"/>
                <w:sz w:val="28"/>
              </w:rPr>
              <w:t>аккультурации</w:t>
            </w:r>
          </w:p>
        </w:tc>
      </w:tr>
      <w:tr>
        <w:trPr>
          <w:trHeight w:val="642" w:hRule="atLeast"/>
        </w:trPr>
        <w:tc>
          <w:tcPr>
            <w:tcW w:w="535" w:type="dxa"/>
          </w:tcPr>
          <w:p>
            <w:pPr>
              <w:pStyle w:val="TableParagraph"/>
              <w:spacing w:before="153"/>
              <w:ind w:right="24"/>
              <w:jc w:val="center"/>
              <w:rPr>
                <w:sz w:val="28"/>
              </w:rPr>
            </w:pPr>
            <w:r>
              <w:rPr>
                <w:spacing w:val="-5"/>
                <w:sz w:val="28"/>
              </w:rPr>
              <w:t>16</w:t>
            </w:r>
          </w:p>
        </w:tc>
        <w:tc>
          <w:tcPr>
            <w:tcW w:w="4537" w:type="dxa"/>
          </w:tcPr>
          <w:p>
            <w:pPr>
              <w:pStyle w:val="TableParagraph"/>
              <w:spacing w:line="315" w:lineRule="exact"/>
              <w:ind w:left="105"/>
              <w:rPr>
                <w:sz w:val="28"/>
              </w:rPr>
            </w:pPr>
            <w:r>
              <w:rPr>
                <w:sz w:val="28"/>
                <w:u w:val="single"/>
              </w:rPr>
              <w:t>Краткая</w:t>
            </w:r>
            <w:r>
              <w:rPr>
                <w:spacing w:val="-2"/>
                <w:sz w:val="28"/>
                <w:u w:val="single"/>
              </w:rPr>
              <w:t> </w:t>
            </w:r>
            <w:r>
              <w:rPr>
                <w:sz w:val="28"/>
                <w:u w:val="single"/>
              </w:rPr>
              <w:t>шкала</w:t>
            </w:r>
            <w:r>
              <w:rPr>
                <w:spacing w:val="-2"/>
                <w:sz w:val="28"/>
                <w:u w:val="single"/>
              </w:rPr>
              <w:t> социокультурной</w:t>
            </w:r>
          </w:p>
          <w:p>
            <w:pPr>
              <w:pStyle w:val="TableParagraph"/>
              <w:spacing w:line="308" w:lineRule="exact"/>
              <w:ind w:left="105"/>
              <w:rPr>
                <w:sz w:val="28"/>
              </w:rPr>
            </w:pPr>
            <w:r>
              <w:rPr>
                <w:spacing w:val="-2"/>
                <w:sz w:val="28"/>
                <w:u w:val="single"/>
              </w:rPr>
              <w:t>дезадаптации</w:t>
            </w:r>
          </w:p>
        </w:tc>
        <w:tc>
          <w:tcPr>
            <w:tcW w:w="4676" w:type="dxa"/>
          </w:tcPr>
          <w:p>
            <w:pPr>
              <w:pStyle w:val="TableParagraph"/>
              <w:spacing w:line="315" w:lineRule="exact"/>
              <w:ind w:left="105"/>
              <w:rPr>
                <w:sz w:val="28"/>
              </w:rPr>
            </w:pPr>
            <w:r>
              <w:rPr>
                <w:sz w:val="28"/>
              </w:rPr>
              <w:t>Сложности</w:t>
            </w:r>
            <w:r>
              <w:rPr>
                <w:spacing w:val="-4"/>
                <w:sz w:val="28"/>
              </w:rPr>
              <w:t> </w:t>
            </w:r>
            <w:r>
              <w:rPr>
                <w:sz w:val="28"/>
              </w:rPr>
              <w:t>в</w:t>
            </w:r>
            <w:r>
              <w:rPr>
                <w:spacing w:val="-5"/>
                <w:sz w:val="28"/>
              </w:rPr>
              <w:t> </w:t>
            </w:r>
            <w:r>
              <w:rPr>
                <w:sz w:val="28"/>
              </w:rPr>
              <w:t>адаптации</w:t>
            </w:r>
            <w:r>
              <w:rPr>
                <w:spacing w:val="-4"/>
                <w:sz w:val="28"/>
              </w:rPr>
              <w:t> </w:t>
            </w:r>
            <w:r>
              <w:rPr>
                <w:sz w:val="28"/>
              </w:rPr>
              <w:t>к</w:t>
            </w:r>
            <w:r>
              <w:rPr>
                <w:spacing w:val="-4"/>
                <w:sz w:val="28"/>
              </w:rPr>
              <w:t> новой</w:t>
            </w:r>
          </w:p>
          <w:p>
            <w:pPr>
              <w:pStyle w:val="TableParagraph"/>
              <w:spacing w:line="308" w:lineRule="exact"/>
              <w:ind w:left="105"/>
              <w:rPr>
                <w:sz w:val="28"/>
              </w:rPr>
            </w:pPr>
            <w:r>
              <w:rPr>
                <w:spacing w:val="-2"/>
                <w:sz w:val="28"/>
              </w:rPr>
              <w:t>культуре</w:t>
            </w:r>
          </w:p>
        </w:tc>
      </w:tr>
      <w:tr>
        <w:trPr>
          <w:trHeight w:val="1288" w:hRule="atLeast"/>
        </w:trPr>
        <w:tc>
          <w:tcPr>
            <w:tcW w:w="535" w:type="dxa"/>
          </w:tcPr>
          <w:p>
            <w:pPr>
              <w:pStyle w:val="TableParagraph"/>
              <w:spacing w:before="155"/>
              <w:rPr>
                <w:b/>
                <w:sz w:val="28"/>
              </w:rPr>
            </w:pPr>
          </w:p>
          <w:p>
            <w:pPr>
              <w:pStyle w:val="TableParagraph"/>
              <w:ind w:right="24"/>
              <w:jc w:val="center"/>
              <w:rPr>
                <w:sz w:val="28"/>
              </w:rPr>
            </w:pPr>
            <w:r>
              <w:rPr>
                <w:spacing w:val="-5"/>
                <w:sz w:val="28"/>
              </w:rPr>
              <w:t>17</w:t>
            </w:r>
          </w:p>
        </w:tc>
        <w:tc>
          <w:tcPr>
            <w:tcW w:w="4537" w:type="dxa"/>
          </w:tcPr>
          <w:p>
            <w:pPr>
              <w:pStyle w:val="TableParagraph"/>
              <w:spacing w:before="156"/>
              <w:ind w:left="105"/>
              <w:rPr>
                <w:sz w:val="28"/>
              </w:rPr>
            </w:pPr>
            <w:r>
              <w:rPr>
                <w:sz w:val="28"/>
                <w:u w:val="single"/>
              </w:rPr>
              <w:t>Методика</w:t>
            </w:r>
            <w:r>
              <w:rPr>
                <w:spacing w:val="-18"/>
                <w:sz w:val="28"/>
                <w:u w:val="single"/>
              </w:rPr>
              <w:t> </w:t>
            </w:r>
            <w:r>
              <w:rPr>
                <w:sz w:val="28"/>
                <w:u w:val="single"/>
              </w:rPr>
              <w:t>измерения</w:t>
            </w:r>
            <w:r>
              <w:rPr>
                <w:spacing w:val="-17"/>
                <w:sz w:val="28"/>
                <w:u w:val="single"/>
              </w:rPr>
              <w:t> </w:t>
            </w:r>
            <w:r>
              <w:rPr>
                <w:sz w:val="28"/>
                <w:u w:val="single"/>
              </w:rPr>
              <w:t>гражданской</w:t>
            </w:r>
            <w:r>
              <w:rPr>
                <w:sz w:val="28"/>
              </w:rPr>
              <w:t> </w:t>
            </w:r>
            <w:r>
              <w:rPr>
                <w:sz w:val="28"/>
                <w:u w:val="single"/>
              </w:rPr>
              <w:t>идентичности для детей и</w:t>
            </w:r>
            <w:r>
              <w:rPr>
                <w:sz w:val="28"/>
              </w:rPr>
              <w:t> </w:t>
            </w:r>
            <w:r>
              <w:rPr>
                <w:spacing w:val="-2"/>
                <w:sz w:val="28"/>
                <w:u w:val="single"/>
              </w:rPr>
              <w:t>подростков</w:t>
            </w:r>
          </w:p>
        </w:tc>
        <w:tc>
          <w:tcPr>
            <w:tcW w:w="4676" w:type="dxa"/>
          </w:tcPr>
          <w:p>
            <w:pPr>
              <w:pStyle w:val="TableParagraph"/>
              <w:ind w:left="105"/>
              <w:rPr>
                <w:sz w:val="28"/>
              </w:rPr>
            </w:pPr>
            <w:r>
              <w:rPr>
                <w:sz w:val="28"/>
              </w:rPr>
              <w:t>Идентичность</w:t>
            </w:r>
            <w:r>
              <w:rPr>
                <w:spacing w:val="-14"/>
                <w:sz w:val="28"/>
              </w:rPr>
              <w:t> </w:t>
            </w:r>
            <w:r>
              <w:rPr>
                <w:sz w:val="28"/>
              </w:rPr>
              <w:t>со</w:t>
            </w:r>
            <w:r>
              <w:rPr>
                <w:spacing w:val="-12"/>
                <w:sz w:val="28"/>
              </w:rPr>
              <w:t> </w:t>
            </w:r>
            <w:r>
              <w:rPr>
                <w:sz w:val="28"/>
              </w:rPr>
              <w:t>страной</w:t>
            </w:r>
            <w:r>
              <w:rPr>
                <w:spacing w:val="-13"/>
                <w:sz w:val="28"/>
              </w:rPr>
              <w:t> </w:t>
            </w:r>
            <w:r>
              <w:rPr>
                <w:sz w:val="28"/>
              </w:rPr>
              <w:t>исхода </w:t>
            </w:r>
            <w:r>
              <w:rPr>
                <w:spacing w:val="-2"/>
                <w:sz w:val="28"/>
              </w:rPr>
              <w:t>(родиной).</w:t>
            </w:r>
          </w:p>
          <w:p>
            <w:pPr>
              <w:pStyle w:val="TableParagraph"/>
              <w:spacing w:line="322" w:lineRule="exact"/>
              <w:ind w:left="105" w:right="124"/>
              <w:rPr>
                <w:sz w:val="28"/>
              </w:rPr>
            </w:pPr>
            <w:r>
              <w:rPr>
                <w:sz w:val="28"/>
              </w:rPr>
              <w:t>Российская</w:t>
            </w:r>
            <w:r>
              <w:rPr>
                <w:spacing w:val="-18"/>
                <w:sz w:val="28"/>
              </w:rPr>
              <w:t> </w:t>
            </w:r>
            <w:r>
              <w:rPr>
                <w:sz w:val="28"/>
              </w:rPr>
              <w:t>гражданская </w:t>
            </w:r>
            <w:r>
              <w:rPr>
                <w:spacing w:val="-2"/>
                <w:sz w:val="28"/>
              </w:rPr>
              <w:t>идентичность</w:t>
            </w:r>
          </w:p>
        </w:tc>
      </w:tr>
      <w:tr>
        <w:trPr>
          <w:trHeight w:val="1288" w:hRule="atLeast"/>
        </w:trPr>
        <w:tc>
          <w:tcPr>
            <w:tcW w:w="535" w:type="dxa"/>
          </w:tcPr>
          <w:p>
            <w:pPr>
              <w:pStyle w:val="TableParagraph"/>
              <w:spacing w:before="156"/>
              <w:rPr>
                <w:b/>
                <w:sz w:val="28"/>
              </w:rPr>
            </w:pPr>
          </w:p>
          <w:p>
            <w:pPr>
              <w:pStyle w:val="TableParagraph"/>
              <w:ind w:right="24"/>
              <w:jc w:val="center"/>
              <w:rPr>
                <w:sz w:val="28"/>
              </w:rPr>
            </w:pPr>
            <w:r>
              <w:rPr>
                <w:spacing w:val="-5"/>
                <w:sz w:val="28"/>
              </w:rPr>
              <w:t>18</w:t>
            </w:r>
          </w:p>
        </w:tc>
        <w:tc>
          <w:tcPr>
            <w:tcW w:w="4537" w:type="dxa"/>
          </w:tcPr>
          <w:p>
            <w:pPr>
              <w:pStyle w:val="TableParagraph"/>
              <w:spacing w:line="242" w:lineRule="auto" w:before="314"/>
              <w:ind w:left="105" w:right="866"/>
              <w:rPr>
                <w:sz w:val="28"/>
              </w:rPr>
            </w:pPr>
            <w:r>
              <w:rPr>
                <w:sz w:val="28"/>
                <w:u w:val="single"/>
              </w:rPr>
              <w:t>Опросник «Интеграция</w:t>
            </w:r>
            <w:r>
              <w:rPr>
                <w:sz w:val="28"/>
              </w:rPr>
              <w:t> </w:t>
            </w:r>
            <w:r>
              <w:rPr>
                <w:sz w:val="28"/>
                <w:u w:val="single"/>
              </w:rPr>
              <w:t>бикультурной</w:t>
            </w:r>
            <w:r>
              <w:rPr>
                <w:spacing w:val="-18"/>
                <w:sz w:val="28"/>
                <w:u w:val="single"/>
              </w:rPr>
              <w:t> </w:t>
            </w:r>
            <w:r>
              <w:rPr>
                <w:sz w:val="28"/>
                <w:u w:val="single"/>
              </w:rPr>
              <w:t>идентичности»</w:t>
            </w:r>
          </w:p>
        </w:tc>
        <w:tc>
          <w:tcPr>
            <w:tcW w:w="4676" w:type="dxa"/>
          </w:tcPr>
          <w:p>
            <w:pPr>
              <w:pStyle w:val="TableParagraph"/>
              <w:ind w:left="105"/>
              <w:rPr>
                <w:sz w:val="28"/>
              </w:rPr>
            </w:pPr>
            <w:r>
              <w:rPr>
                <w:sz w:val="28"/>
              </w:rPr>
              <w:t>Культурная</w:t>
            </w:r>
            <w:r>
              <w:rPr>
                <w:spacing w:val="-13"/>
                <w:sz w:val="28"/>
              </w:rPr>
              <w:t> </w:t>
            </w:r>
            <w:r>
              <w:rPr>
                <w:sz w:val="28"/>
              </w:rPr>
              <w:t>гармония</w:t>
            </w:r>
            <w:r>
              <w:rPr>
                <w:spacing w:val="-11"/>
                <w:sz w:val="28"/>
              </w:rPr>
              <w:t> </w:t>
            </w:r>
            <w:r>
              <w:rPr>
                <w:i/>
                <w:sz w:val="28"/>
              </w:rPr>
              <w:t>vs</w:t>
            </w:r>
            <w:r>
              <w:rPr>
                <w:i/>
                <w:spacing w:val="-13"/>
                <w:sz w:val="28"/>
              </w:rPr>
              <w:t> </w:t>
            </w:r>
            <w:r>
              <w:rPr>
                <w:sz w:val="28"/>
              </w:rPr>
              <w:t>Культурный </w:t>
            </w:r>
            <w:r>
              <w:rPr>
                <w:spacing w:val="-2"/>
                <w:sz w:val="28"/>
              </w:rPr>
              <w:t>конфликт.</w:t>
            </w:r>
          </w:p>
          <w:p>
            <w:pPr>
              <w:pStyle w:val="TableParagraph"/>
              <w:spacing w:line="322" w:lineRule="exact"/>
              <w:ind w:left="105"/>
              <w:rPr>
                <w:sz w:val="28"/>
              </w:rPr>
            </w:pPr>
            <w:r>
              <w:rPr>
                <w:sz w:val="28"/>
              </w:rPr>
              <w:t>Культурное</w:t>
            </w:r>
            <w:r>
              <w:rPr>
                <w:spacing w:val="-13"/>
                <w:sz w:val="28"/>
              </w:rPr>
              <w:t> </w:t>
            </w:r>
            <w:r>
              <w:rPr>
                <w:sz w:val="28"/>
              </w:rPr>
              <w:t>смешение</w:t>
            </w:r>
            <w:r>
              <w:rPr>
                <w:spacing w:val="-11"/>
                <w:sz w:val="28"/>
              </w:rPr>
              <w:t> </w:t>
            </w:r>
            <w:r>
              <w:rPr>
                <w:i/>
                <w:sz w:val="28"/>
              </w:rPr>
              <w:t>vs</w:t>
            </w:r>
            <w:r>
              <w:rPr>
                <w:i/>
                <w:spacing w:val="-13"/>
                <w:sz w:val="28"/>
              </w:rPr>
              <w:t> </w:t>
            </w:r>
            <w:r>
              <w:rPr>
                <w:sz w:val="28"/>
              </w:rPr>
              <w:t>Культурная </w:t>
            </w:r>
            <w:r>
              <w:rPr>
                <w:spacing w:val="-2"/>
                <w:sz w:val="28"/>
              </w:rPr>
              <w:t>разобщенность</w:t>
            </w:r>
          </w:p>
        </w:tc>
      </w:tr>
    </w:tbl>
    <w:p>
      <w:pPr>
        <w:pStyle w:val="TableParagraph"/>
        <w:spacing w:after="0" w:line="322" w:lineRule="exact"/>
        <w:rPr>
          <w:sz w:val="28"/>
        </w:rPr>
        <w:sectPr>
          <w:type w:val="continuous"/>
          <w:pgSz w:w="11910" w:h="16840"/>
          <w:pgMar w:header="0" w:footer="970" w:top="1100" w:bottom="1220" w:left="1417" w:right="283"/>
        </w:sectPr>
      </w:pPr>
    </w:p>
    <w:p>
      <w:pPr>
        <w:pStyle w:val="Heading2"/>
        <w:numPr>
          <w:ilvl w:val="0"/>
          <w:numId w:val="15"/>
        </w:numPr>
        <w:tabs>
          <w:tab w:pos="564" w:val="left" w:leader="none"/>
        </w:tabs>
        <w:spacing w:line="240" w:lineRule="auto" w:before="72" w:after="0"/>
        <w:ind w:left="564" w:right="0" w:hanging="279"/>
        <w:jc w:val="left"/>
      </w:pPr>
      <w:bookmarkStart w:name="_bookmark14" w:id="16"/>
      <w:bookmarkEnd w:id="16"/>
      <w:r>
        <w:rPr>
          <w:b w:val="0"/>
        </w:rPr>
      </w:r>
      <w:r>
        <w:rPr/>
        <w:t>Карта</w:t>
      </w:r>
      <w:r>
        <w:rPr>
          <w:spacing w:val="-12"/>
        </w:rPr>
        <w:t> </w:t>
      </w:r>
      <w:r>
        <w:rPr/>
        <w:t>наблюдения</w:t>
      </w:r>
      <w:r>
        <w:rPr>
          <w:spacing w:val="-12"/>
        </w:rPr>
        <w:t> </w:t>
      </w:r>
      <w:r>
        <w:rPr/>
        <w:t>«Психологические</w:t>
      </w:r>
      <w:r>
        <w:rPr>
          <w:spacing w:val="-10"/>
        </w:rPr>
        <w:t> </w:t>
      </w:r>
      <w:r>
        <w:rPr>
          <w:spacing w:val="-2"/>
        </w:rPr>
        <w:t>трудности»</w:t>
      </w:r>
    </w:p>
    <w:p>
      <w:pPr>
        <w:pStyle w:val="Heading3"/>
        <w:spacing w:before="290"/>
        <w:jc w:val="left"/>
      </w:pPr>
      <w:r>
        <w:rPr/>
        <w:t>Описание</w:t>
      </w:r>
      <w:r>
        <w:rPr>
          <w:spacing w:val="-2"/>
        </w:rPr>
        <w:t> методики</w:t>
      </w:r>
    </w:p>
    <w:p>
      <w:pPr>
        <w:pStyle w:val="Heading4"/>
        <w:spacing w:before="235"/>
        <w:jc w:val="left"/>
      </w:pPr>
      <w:r>
        <w:rPr/>
        <w:t>Методика предназначена для оценки педагогом психологических трудностей ребенка. Применяется в работе с учащимися любого возраста.</w:t>
      </w:r>
    </w:p>
    <w:p>
      <w:pPr>
        <w:pStyle w:val="Heading4"/>
        <w:spacing w:before="239"/>
        <w:ind w:right="567"/>
      </w:pPr>
      <w:r>
        <w:rPr/>
        <w:t>Методика представляет собой 15 утверждений, которые распределяются по трем шкалам: гиперактивности, эмоциональных проблем и проблем с </w:t>
      </w:r>
      <w:r>
        <w:rPr>
          <w:spacing w:val="-2"/>
        </w:rPr>
        <w:t>поведением.</w:t>
      </w:r>
    </w:p>
    <w:p>
      <w:pPr>
        <w:pStyle w:val="Heading4"/>
        <w:numPr>
          <w:ilvl w:val="0"/>
          <w:numId w:val="16"/>
        </w:numPr>
        <w:tabs>
          <w:tab w:pos="742" w:val="left" w:leader="none"/>
        </w:tabs>
        <w:spacing w:line="240" w:lineRule="auto" w:before="242" w:after="0"/>
        <w:ind w:left="565" w:right="566" w:firstLine="0"/>
        <w:jc w:val="both"/>
      </w:pPr>
      <w:r>
        <w:rPr/>
        <w:t>Шкала гиперактивности измеряет состояние беспокойства, активности, неспособность</w:t>
      </w:r>
      <w:r>
        <w:rPr>
          <w:spacing w:val="-15"/>
        </w:rPr>
        <w:t> </w:t>
      </w:r>
      <w:r>
        <w:rPr/>
        <w:t>усидеть</w:t>
      </w:r>
      <w:r>
        <w:rPr>
          <w:spacing w:val="-15"/>
        </w:rPr>
        <w:t> </w:t>
      </w:r>
      <w:r>
        <w:rPr/>
        <w:t>на</w:t>
      </w:r>
      <w:r>
        <w:rPr>
          <w:spacing w:val="-13"/>
        </w:rPr>
        <w:t> </w:t>
      </w:r>
      <w:r>
        <w:rPr/>
        <w:t>одном</w:t>
      </w:r>
      <w:r>
        <w:rPr>
          <w:spacing w:val="-14"/>
        </w:rPr>
        <w:t> </w:t>
      </w:r>
      <w:r>
        <w:rPr/>
        <w:t>месте,</w:t>
      </w:r>
      <w:r>
        <w:rPr>
          <w:spacing w:val="-14"/>
        </w:rPr>
        <w:t> </w:t>
      </w:r>
      <w:r>
        <w:rPr/>
        <w:t>быструю</w:t>
      </w:r>
      <w:r>
        <w:rPr>
          <w:spacing w:val="-14"/>
        </w:rPr>
        <w:t> </w:t>
      </w:r>
      <w:r>
        <w:rPr/>
        <w:t>отвлекаемость,</w:t>
      </w:r>
      <w:r>
        <w:rPr>
          <w:spacing w:val="-14"/>
        </w:rPr>
        <w:t> </w:t>
      </w:r>
      <w:r>
        <w:rPr/>
        <w:t>нарушение концентрации внимания.</w:t>
      </w:r>
    </w:p>
    <w:p>
      <w:pPr>
        <w:pStyle w:val="Heading4"/>
        <w:numPr>
          <w:ilvl w:val="0"/>
          <w:numId w:val="16"/>
        </w:numPr>
        <w:tabs>
          <w:tab w:pos="859" w:val="left" w:leader="none"/>
        </w:tabs>
        <w:spacing w:line="240" w:lineRule="auto" w:before="239" w:after="0"/>
        <w:ind w:left="565" w:right="568" w:firstLine="0"/>
        <w:jc w:val="both"/>
      </w:pPr>
      <w:r>
        <w:rPr/>
        <w:t>Шкала эмоциональных проблем измеряет состояние физического дискомфорта (боль в животе, тошнота, головокружение), состояние волнения,</w:t>
      </w:r>
      <w:r>
        <w:rPr>
          <w:spacing w:val="-3"/>
        </w:rPr>
        <w:t> </w:t>
      </w:r>
      <w:r>
        <w:rPr/>
        <w:t>чувство</w:t>
      </w:r>
      <w:r>
        <w:rPr>
          <w:spacing w:val="-2"/>
        </w:rPr>
        <w:t> </w:t>
      </w:r>
      <w:r>
        <w:rPr/>
        <w:t>печали,</w:t>
      </w:r>
      <w:r>
        <w:rPr>
          <w:spacing w:val="-4"/>
        </w:rPr>
        <w:t> </w:t>
      </w:r>
      <w:r>
        <w:rPr/>
        <w:t>отсутствие</w:t>
      </w:r>
      <w:r>
        <w:rPr>
          <w:spacing w:val="-3"/>
        </w:rPr>
        <w:t> </w:t>
      </w:r>
      <w:r>
        <w:rPr/>
        <w:t>уверенности</w:t>
      </w:r>
      <w:r>
        <w:rPr>
          <w:spacing w:val="-3"/>
        </w:rPr>
        <w:t> </w:t>
      </w:r>
      <w:r>
        <w:rPr/>
        <w:t>в</w:t>
      </w:r>
      <w:r>
        <w:rPr>
          <w:spacing w:val="-4"/>
        </w:rPr>
        <w:t> </w:t>
      </w:r>
      <w:r>
        <w:rPr/>
        <w:t>себе,</w:t>
      </w:r>
      <w:r>
        <w:rPr>
          <w:spacing w:val="-7"/>
        </w:rPr>
        <w:t> </w:t>
      </w:r>
      <w:r>
        <w:rPr/>
        <w:t>наличие</w:t>
      </w:r>
      <w:r>
        <w:rPr>
          <w:spacing w:val="-3"/>
        </w:rPr>
        <w:t> </w:t>
      </w:r>
      <w:r>
        <w:rPr/>
        <w:t>страхов.</w:t>
      </w:r>
    </w:p>
    <w:p>
      <w:pPr>
        <w:pStyle w:val="Heading4"/>
        <w:spacing w:before="241"/>
        <w:ind w:left="565" w:right="567"/>
      </w:pPr>
      <w:r>
        <w:rPr>
          <w:spacing w:val="-2"/>
        </w:rPr>
        <w:t>·</w:t>
      </w:r>
      <w:r>
        <w:rPr>
          <w:spacing w:val="-16"/>
        </w:rPr>
        <w:t> </w:t>
      </w:r>
      <w:r>
        <w:rPr>
          <w:spacing w:val="-2"/>
        </w:rPr>
        <w:t>Шкала</w:t>
      </w:r>
      <w:r>
        <w:rPr>
          <w:spacing w:val="-15"/>
        </w:rPr>
        <w:t> </w:t>
      </w:r>
      <w:r>
        <w:rPr>
          <w:spacing w:val="-2"/>
        </w:rPr>
        <w:t>проблем</w:t>
      </w:r>
      <w:r>
        <w:rPr>
          <w:spacing w:val="-11"/>
        </w:rPr>
        <w:t> </w:t>
      </w:r>
      <w:r>
        <w:rPr>
          <w:spacing w:val="-2"/>
        </w:rPr>
        <w:t>с</w:t>
      </w:r>
      <w:r>
        <w:rPr>
          <w:spacing w:val="-4"/>
        </w:rPr>
        <w:t> </w:t>
      </w:r>
      <w:r>
        <w:rPr>
          <w:spacing w:val="-2"/>
        </w:rPr>
        <w:t>поведением</w:t>
      </w:r>
      <w:r>
        <w:rPr>
          <w:spacing w:val="-4"/>
        </w:rPr>
        <w:t> </w:t>
      </w:r>
      <w:r>
        <w:rPr>
          <w:spacing w:val="-2"/>
        </w:rPr>
        <w:t>измеряет</w:t>
      </w:r>
      <w:r>
        <w:rPr>
          <w:spacing w:val="-4"/>
        </w:rPr>
        <w:t> </w:t>
      </w:r>
      <w:r>
        <w:rPr>
          <w:spacing w:val="-2"/>
        </w:rPr>
        <w:t>частоту</w:t>
      </w:r>
      <w:r>
        <w:rPr>
          <w:spacing w:val="-9"/>
        </w:rPr>
        <w:t> </w:t>
      </w:r>
      <w:r>
        <w:rPr>
          <w:spacing w:val="-2"/>
        </w:rPr>
        <w:t>проявлений</w:t>
      </w:r>
      <w:r>
        <w:rPr>
          <w:spacing w:val="-7"/>
        </w:rPr>
        <w:t> </w:t>
      </w:r>
      <w:r>
        <w:rPr>
          <w:spacing w:val="-2"/>
        </w:rPr>
        <w:t>вспыльчивости </w:t>
      </w:r>
      <w:r>
        <w:rPr/>
        <w:t>и непослушания, случаи издевательств по отношению к окружающим, случаи обмана и др.</w:t>
      </w:r>
    </w:p>
    <w:p>
      <w:pPr>
        <w:pStyle w:val="Heading4"/>
        <w:spacing w:before="240"/>
        <w:ind w:right="567"/>
      </w:pPr>
      <w:r>
        <w:rPr/>
        <w:t>Таким образом, методика позволяет получить как общую оценку психологических трудностей ребенка, так и их конкретизацию в отдельных областях: гиперактивность, эмоциональные проблемы, проблемы с </w:t>
      </w:r>
      <w:r>
        <w:rPr>
          <w:spacing w:val="-2"/>
        </w:rPr>
        <w:t>поведением.</w:t>
      </w:r>
    </w:p>
    <w:p>
      <w:pPr>
        <w:pStyle w:val="Heading4"/>
        <w:spacing w:before="241"/>
        <w:ind w:right="569"/>
        <w:jc w:val="left"/>
      </w:pPr>
      <w:r>
        <w:rPr/>
        <w:t>Ниже</w:t>
      </w:r>
      <w:r>
        <w:rPr>
          <w:spacing w:val="40"/>
        </w:rPr>
        <w:t> </w:t>
      </w:r>
      <w:r>
        <w:rPr/>
        <w:t>представлено</w:t>
      </w:r>
      <w:r>
        <w:rPr>
          <w:spacing w:val="40"/>
        </w:rPr>
        <w:t> </w:t>
      </w:r>
      <w:r>
        <w:rPr/>
        <w:t>более</w:t>
      </w:r>
      <w:r>
        <w:rPr>
          <w:spacing w:val="40"/>
        </w:rPr>
        <w:t> </w:t>
      </w:r>
      <w:r>
        <w:rPr/>
        <w:t>подробное</w:t>
      </w:r>
      <w:r>
        <w:rPr>
          <w:spacing w:val="40"/>
        </w:rPr>
        <w:t> </w:t>
      </w:r>
      <w:r>
        <w:rPr/>
        <w:t>описание</w:t>
      </w:r>
      <w:r>
        <w:rPr>
          <w:spacing w:val="40"/>
        </w:rPr>
        <w:t> </w:t>
      </w:r>
      <w:r>
        <w:rPr/>
        <w:t>каждой</w:t>
      </w:r>
      <w:r>
        <w:rPr>
          <w:spacing w:val="40"/>
        </w:rPr>
        <w:t> </w:t>
      </w:r>
      <w:r>
        <w:rPr/>
        <w:t>шкалы</w:t>
      </w:r>
      <w:r>
        <w:rPr>
          <w:spacing w:val="40"/>
        </w:rPr>
        <w:t> </w:t>
      </w:r>
      <w:r>
        <w:rPr/>
        <w:t>(</w:t>
      </w:r>
      <w:r>
        <w:rPr>
          <w:i/>
        </w:rPr>
        <w:t>Goodman</w:t>
      </w:r>
      <w:r>
        <w:rPr/>
        <w:t>,</w:t>
      </w:r>
      <w:r>
        <w:rPr>
          <w:spacing w:val="40"/>
        </w:rPr>
        <w:t> </w:t>
      </w:r>
      <w:r>
        <w:rPr>
          <w:spacing w:val="-2"/>
        </w:rPr>
        <w:t>1997).</w:t>
      </w:r>
    </w:p>
    <w:p>
      <w:pPr>
        <w:pStyle w:val="Heading3"/>
        <w:spacing w:before="246"/>
        <w:jc w:val="left"/>
      </w:pPr>
      <w:r>
        <w:rPr/>
        <w:t>Проведение</w:t>
      </w:r>
      <w:r>
        <w:rPr>
          <w:spacing w:val="-10"/>
        </w:rPr>
        <w:t> </w:t>
      </w:r>
      <w:r>
        <w:rPr>
          <w:spacing w:val="-2"/>
        </w:rPr>
        <w:t>методики</w:t>
      </w:r>
    </w:p>
    <w:p>
      <w:pPr>
        <w:pStyle w:val="Heading4"/>
        <w:spacing w:before="233"/>
        <w:ind w:right="559"/>
      </w:pPr>
      <w:r>
        <w:rPr/>
        <w:t>Учитель получает бланк с набором из 15 утверждений (см. </w:t>
      </w:r>
      <w:r>
        <w:rPr>
          <w:i/>
        </w:rPr>
        <w:t>Приложение 1</w:t>
      </w:r>
      <w:r>
        <w:rPr/>
        <w:t>). Ему предлагается сделать отметку по каждому утверждению в соответствующем квадратике: «Неверно», «Отчасти верно» или «Верно». Учителя просят постараться ответить на каждый вопрос, даже если он не вполне уверен в ответе или вопрос кажется ему странным. В своих ответах учителя просят основываться на поведении ребенка в течение последних шести месяцев или текущего учебного года. В случае если учитель знает ребенка меньшее время, он основывается на всем опыте общения с ним.</w:t>
      </w:r>
    </w:p>
    <w:p>
      <w:pPr>
        <w:pStyle w:val="Heading4"/>
        <w:spacing w:line="242" w:lineRule="auto" w:before="240"/>
        <w:ind w:right="564"/>
      </w:pPr>
      <w:r>
        <w:rPr/>
        <w:t>Ответы на вопросы оцениваются в соответствии с таблицей-ключом и суммируются по каждой шкале.</w:t>
      </w:r>
    </w:p>
    <w:p>
      <w:pPr>
        <w:pStyle w:val="Heading4"/>
        <w:spacing w:after="0" w:line="242" w:lineRule="auto"/>
        <w:sectPr>
          <w:pgSz w:w="11910" w:h="16840"/>
          <w:pgMar w:header="0" w:footer="970" w:top="1040" w:bottom="1220" w:left="1417" w:right="283"/>
        </w:sectPr>
      </w:pPr>
    </w:p>
    <w:p>
      <w:pPr>
        <w:pStyle w:val="Heading3"/>
        <w:ind w:left="0" w:right="561"/>
        <w:jc w:val="right"/>
      </w:pPr>
      <w:r>
        <w:rPr/>
        <w:t>Таблица</w:t>
      </w:r>
      <w:r>
        <w:rPr>
          <w:spacing w:val="-6"/>
        </w:rPr>
        <w:t> </w:t>
      </w:r>
      <w:r>
        <w:rPr>
          <w:spacing w:val="-10"/>
        </w:rPr>
        <w:t>1</w:t>
      </w:r>
    </w:p>
    <w:p>
      <w:pPr>
        <w:spacing w:before="240"/>
        <w:ind w:left="0" w:right="566" w:firstLine="0"/>
        <w:jc w:val="right"/>
        <w:rPr>
          <w:b/>
          <w:sz w:val="28"/>
        </w:rPr>
      </w:pPr>
      <w:r>
        <w:rPr>
          <w:b/>
          <w:sz w:val="28"/>
        </w:rPr>
        <w:t>Ключ</w:t>
      </w:r>
      <w:r>
        <w:rPr>
          <w:b/>
          <w:spacing w:val="-9"/>
          <w:sz w:val="28"/>
        </w:rPr>
        <w:t> </w:t>
      </w:r>
      <w:r>
        <w:rPr>
          <w:b/>
          <w:sz w:val="28"/>
        </w:rPr>
        <w:t>к</w:t>
      </w:r>
      <w:r>
        <w:rPr>
          <w:b/>
          <w:spacing w:val="-9"/>
          <w:sz w:val="28"/>
        </w:rPr>
        <w:t> </w:t>
      </w:r>
      <w:r>
        <w:rPr>
          <w:b/>
          <w:sz w:val="28"/>
        </w:rPr>
        <w:t>обработке</w:t>
      </w:r>
      <w:r>
        <w:rPr>
          <w:b/>
          <w:spacing w:val="-7"/>
          <w:sz w:val="28"/>
        </w:rPr>
        <w:t> </w:t>
      </w:r>
      <w:r>
        <w:rPr>
          <w:b/>
          <w:sz w:val="28"/>
        </w:rPr>
        <w:t>карты</w:t>
      </w:r>
      <w:r>
        <w:rPr>
          <w:b/>
          <w:spacing w:val="-8"/>
          <w:sz w:val="28"/>
        </w:rPr>
        <w:t> </w:t>
      </w:r>
      <w:r>
        <w:rPr>
          <w:b/>
          <w:sz w:val="28"/>
        </w:rPr>
        <w:t>наблюдения</w:t>
      </w:r>
      <w:r>
        <w:rPr>
          <w:b/>
          <w:spacing w:val="-9"/>
          <w:sz w:val="28"/>
        </w:rPr>
        <w:t> </w:t>
      </w:r>
      <w:r>
        <w:rPr>
          <w:b/>
          <w:sz w:val="28"/>
        </w:rPr>
        <w:t>«Психологические</w:t>
      </w:r>
      <w:r>
        <w:rPr>
          <w:b/>
          <w:spacing w:val="-6"/>
          <w:sz w:val="28"/>
        </w:rPr>
        <w:t> </w:t>
      </w:r>
      <w:r>
        <w:rPr>
          <w:b/>
          <w:spacing w:val="-2"/>
          <w:sz w:val="28"/>
        </w:rPr>
        <w:t>трудности»</w:t>
      </w:r>
    </w:p>
    <w:p>
      <w:pPr>
        <w:pStyle w:val="BodyText"/>
        <w:spacing w:before="12"/>
        <w:ind w:left="0" w:right="0" w:firstLine="0"/>
        <w:jc w:val="left"/>
        <w:rPr>
          <w:b/>
        </w:r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63"/>
        <w:gridCol w:w="1560"/>
        <w:gridCol w:w="1561"/>
        <w:gridCol w:w="1416"/>
      </w:tblGrid>
      <w:tr>
        <w:trPr>
          <w:trHeight w:val="1084" w:hRule="atLeast"/>
        </w:trPr>
        <w:tc>
          <w:tcPr>
            <w:tcW w:w="5063" w:type="dxa"/>
          </w:tcPr>
          <w:p>
            <w:pPr>
              <w:pStyle w:val="TableParagraph"/>
              <w:spacing w:before="16"/>
              <w:rPr>
                <w:b/>
                <w:sz w:val="28"/>
              </w:rPr>
            </w:pPr>
          </w:p>
          <w:p>
            <w:pPr>
              <w:pStyle w:val="TableParagraph"/>
              <w:ind w:left="13"/>
              <w:jc w:val="center"/>
              <w:rPr>
                <w:b/>
                <w:sz w:val="28"/>
              </w:rPr>
            </w:pPr>
            <w:r>
              <w:rPr>
                <w:b/>
                <w:spacing w:val="-2"/>
                <w:sz w:val="28"/>
              </w:rPr>
              <w:t>Шкалы</w:t>
            </w:r>
          </w:p>
        </w:tc>
        <w:tc>
          <w:tcPr>
            <w:tcW w:w="1560" w:type="dxa"/>
          </w:tcPr>
          <w:p>
            <w:pPr>
              <w:pStyle w:val="TableParagraph"/>
              <w:spacing w:before="16"/>
              <w:rPr>
                <w:b/>
                <w:sz w:val="28"/>
              </w:rPr>
            </w:pPr>
          </w:p>
          <w:p>
            <w:pPr>
              <w:pStyle w:val="TableParagraph"/>
              <w:ind w:left="9"/>
              <w:jc w:val="center"/>
              <w:rPr>
                <w:b/>
                <w:sz w:val="28"/>
              </w:rPr>
            </w:pPr>
            <w:r>
              <w:rPr>
                <w:b/>
                <w:spacing w:val="-2"/>
                <w:sz w:val="28"/>
              </w:rPr>
              <w:t>Неверно</w:t>
            </w:r>
          </w:p>
        </w:tc>
        <w:tc>
          <w:tcPr>
            <w:tcW w:w="1561" w:type="dxa"/>
          </w:tcPr>
          <w:p>
            <w:pPr>
              <w:pStyle w:val="TableParagraph"/>
              <w:spacing w:before="16"/>
              <w:rPr>
                <w:b/>
                <w:sz w:val="28"/>
              </w:rPr>
            </w:pPr>
          </w:p>
          <w:p>
            <w:pPr>
              <w:pStyle w:val="TableParagraph"/>
              <w:ind w:left="409" w:right="232" w:hanging="173"/>
              <w:rPr>
                <w:b/>
                <w:sz w:val="28"/>
              </w:rPr>
            </w:pPr>
            <w:r>
              <w:rPr>
                <w:b/>
                <w:spacing w:val="-2"/>
                <w:sz w:val="28"/>
              </w:rPr>
              <w:t>Отчасти верно</w:t>
            </w:r>
          </w:p>
        </w:tc>
        <w:tc>
          <w:tcPr>
            <w:tcW w:w="1416" w:type="dxa"/>
          </w:tcPr>
          <w:p>
            <w:pPr>
              <w:pStyle w:val="TableParagraph"/>
              <w:spacing w:before="16"/>
              <w:rPr>
                <w:b/>
                <w:sz w:val="28"/>
              </w:rPr>
            </w:pPr>
          </w:p>
          <w:p>
            <w:pPr>
              <w:pStyle w:val="TableParagraph"/>
              <w:ind w:left="4"/>
              <w:jc w:val="center"/>
              <w:rPr>
                <w:b/>
                <w:sz w:val="28"/>
              </w:rPr>
            </w:pPr>
            <w:r>
              <w:rPr>
                <w:b/>
                <w:spacing w:val="-2"/>
                <w:sz w:val="28"/>
              </w:rPr>
              <w:t>Верно</w:t>
            </w:r>
          </w:p>
        </w:tc>
      </w:tr>
      <w:tr>
        <w:trPr>
          <w:trHeight w:val="760" w:hRule="atLeast"/>
        </w:trPr>
        <w:tc>
          <w:tcPr>
            <w:tcW w:w="5063" w:type="dxa"/>
          </w:tcPr>
          <w:p>
            <w:pPr>
              <w:pStyle w:val="TableParagraph"/>
              <w:spacing w:before="16"/>
              <w:rPr>
                <w:b/>
                <w:sz w:val="28"/>
              </w:rPr>
            </w:pPr>
          </w:p>
          <w:p>
            <w:pPr>
              <w:pStyle w:val="TableParagraph"/>
              <w:ind w:left="525"/>
              <w:rPr>
                <w:b/>
                <w:i/>
                <w:sz w:val="28"/>
              </w:rPr>
            </w:pPr>
            <w:r>
              <w:rPr>
                <w:b/>
                <w:i/>
                <w:sz w:val="28"/>
              </w:rPr>
              <w:t>Шкала</w:t>
            </w:r>
            <w:r>
              <w:rPr>
                <w:b/>
                <w:i/>
                <w:spacing w:val="-11"/>
                <w:sz w:val="28"/>
              </w:rPr>
              <w:t> </w:t>
            </w:r>
            <w:r>
              <w:rPr>
                <w:b/>
                <w:i/>
                <w:sz w:val="28"/>
              </w:rPr>
              <w:t>эмоциональных</w:t>
            </w:r>
            <w:r>
              <w:rPr>
                <w:b/>
                <w:i/>
                <w:spacing w:val="-8"/>
                <w:sz w:val="28"/>
              </w:rPr>
              <w:t> </w:t>
            </w:r>
            <w:r>
              <w:rPr>
                <w:b/>
                <w:i/>
                <w:spacing w:val="-2"/>
                <w:sz w:val="28"/>
              </w:rPr>
              <w:t>проблем</w:t>
            </w:r>
          </w:p>
        </w:tc>
        <w:tc>
          <w:tcPr>
            <w:tcW w:w="1560" w:type="dxa"/>
          </w:tcPr>
          <w:p>
            <w:pPr>
              <w:pStyle w:val="TableParagraph"/>
              <w:rPr>
                <w:sz w:val="28"/>
              </w:rPr>
            </w:pPr>
          </w:p>
        </w:tc>
        <w:tc>
          <w:tcPr>
            <w:tcW w:w="1561" w:type="dxa"/>
          </w:tcPr>
          <w:p>
            <w:pPr>
              <w:pStyle w:val="TableParagraph"/>
              <w:rPr>
                <w:sz w:val="28"/>
              </w:rPr>
            </w:pPr>
          </w:p>
        </w:tc>
        <w:tc>
          <w:tcPr>
            <w:tcW w:w="1416" w:type="dxa"/>
          </w:tcPr>
          <w:p>
            <w:pPr>
              <w:pStyle w:val="TableParagraph"/>
              <w:rPr>
                <w:sz w:val="28"/>
              </w:rPr>
            </w:pPr>
          </w:p>
        </w:tc>
      </w:tr>
      <w:tr>
        <w:trPr>
          <w:trHeight w:val="1085" w:hRule="atLeast"/>
        </w:trPr>
        <w:tc>
          <w:tcPr>
            <w:tcW w:w="5063" w:type="dxa"/>
          </w:tcPr>
          <w:p>
            <w:pPr>
              <w:pStyle w:val="TableParagraph"/>
              <w:spacing w:before="11"/>
              <w:rPr>
                <w:b/>
                <w:sz w:val="28"/>
              </w:rPr>
            </w:pPr>
          </w:p>
          <w:p>
            <w:pPr>
              <w:pStyle w:val="TableParagraph"/>
              <w:ind w:left="100" w:right="182"/>
              <w:rPr>
                <w:sz w:val="28"/>
              </w:rPr>
            </w:pPr>
            <w:r>
              <w:rPr>
                <w:sz w:val="28"/>
              </w:rPr>
              <w:t>2.</w:t>
            </w:r>
            <w:r>
              <w:rPr>
                <w:spacing w:val="-9"/>
                <w:sz w:val="28"/>
              </w:rPr>
              <w:t> </w:t>
            </w:r>
            <w:r>
              <w:rPr>
                <w:sz w:val="28"/>
              </w:rPr>
              <w:t>Часто</w:t>
            </w:r>
            <w:r>
              <w:rPr>
                <w:spacing w:val="-7"/>
                <w:sz w:val="28"/>
              </w:rPr>
              <w:t> </w:t>
            </w:r>
            <w:r>
              <w:rPr>
                <w:sz w:val="28"/>
              </w:rPr>
              <w:t>жалуется</w:t>
            </w:r>
            <w:r>
              <w:rPr>
                <w:spacing w:val="-8"/>
                <w:sz w:val="28"/>
              </w:rPr>
              <w:t> </w:t>
            </w:r>
            <w:r>
              <w:rPr>
                <w:sz w:val="28"/>
              </w:rPr>
              <w:t>на</w:t>
            </w:r>
            <w:r>
              <w:rPr>
                <w:spacing w:val="-8"/>
                <w:sz w:val="28"/>
              </w:rPr>
              <w:t> </w:t>
            </w:r>
            <w:r>
              <w:rPr>
                <w:sz w:val="28"/>
              </w:rPr>
              <w:t>головные</w:t>
            </w:r>
            <w:r>
              <w:rPr>
                <w:spacing w:val="-8"/>
                <w:sz w:val="28"/>
              </w:rPr>
              <w:t> </w:t>
            </w:r>
            <w:r>
              <w:rPr>
                <w:sz w:val="28"/>
              </w:rPr>
              <w:t>боли, боли в животе, тошноту</w:t>
            </w:r>
          </w:p>
        </w:tc>
        <w:tc>
          <w:tcPr>
            <w:tcW w:w="1560" w:type="dxa"/>
          </w:tcPr>
          <w:p>
            <w:pPr>
              <w:pStyle w:val="TableParagraph"/>
              <w:spacing w:before="11"/>
              <w:rPr>
                <w:b/>
                <w:sz w:val="28"/>
              </w:rPr>
            </w:pPr>
          </w:p>
          <w:p>
            <w:pPr>
              <w:pStyle w:val="TableParagraph"/>
              <w:ind w:left="9"/>
              <w:jc w:val="center"/>
              <w:rPr>
                <w:sz w:val="28"/>
              </w:rPr>
            </w:pPr>
            <w:r>
              <w:rPr>
                <w:spacing w:val="-10"/>
                <w:sz w:val="28"/>
              </w:rPr>
              <w:t>0</w:t>
            </w:r>
          </w:p>
        </w:tc>
        <w:tc>
          <w:tcPr>
            <w:tcW w:w="1561" w:type="dxa"/>
          </w:tcPr>
          <w:p>
            <w:pPr>
              <w:pStyle w:val="TableParagraph"/>
              <w:spacing w:before="11"/>
              <w:rPr>
                <w:b/>
                <w:sz w:val="28"/>
              </w:rPr>
            </w:pPr>
          </w:p>
          <w:p>
            <w:pPr>
              <w:pStyle w:val="TableParagraph"/>
              <w:ind w:left="5"/>
              <w:jc w:val="center"/>
              <w:rPr>
                <w:sz w:val="28"/>
              </w:rPr>
            </w:pPr>
            <w:r>
              <w:rPr>
                <w:spacing w:val="-10"/>
                <w:sz w:val="28"/>
              </w:rPr>
              <w:t>1</w:t>
            </w:r>
          </w:p>
        </w:tc>
        <w:tc>
          <w:tcPr>
            <w:tcW w:w="1416" w:type="dxa"/>
          </w:tcPr>
          <w:p>
            <w:pPr>
              <w:pStyle w:val="TableParagraph"/>
              <w:spacing w:before="11"/>
              <w:rPr>
                <w:b/>
                <w:sz w:val="28"/>
              </w:rPr>
            </w:pPr>
          </w:p>
          <w:p>
            <w:pPr>
              <w:pStyle w:val="TableParagraph"/>
              <w:ind w:left="4"/>
              <w:jc w:val="center"/>
              <w:rPr>
                <w:sz w:val="28"/>
              </w:rPr>
            </w:pPr>
            <w:r>
              <w:rPr>
                <w:spacing w:val="-10"/>
                <w:sz w:val="28"/>
              </w:rPr>
              <w:t>2</w:t>
            </w:r>
          </w:p>
        </w:tc>
      </w:tr>
      <w:tr>
        <w:trPr>
          <w:trHeight w:val="1084" w:hRule="atLeast"/>
        </w:trPr>
        <w:tc>
          <w:tcPr>
            <w:tcW w:w="5063" w:type="dxa"/>
          </w:tcPr>
          <w:p>
            <w:pPr>
              <w:pStyle w:val="TableParagraph"/>
              <w:spacing w:before="11"/>
              <w:rPr>
                <w:b/>
                <w:sz w:val="28"/>
              </w:rPr>
            </w:pPr>
          </w:p>
          <w:p>
            <w:pPr>
              <w:pStyle w:val="TableParagraph"/>
              <w:ind w:left="100"/>
              <w:rPr>
                <w:sz w:val="28"/>
              </w:rPr>
            </w:pPr>
            <w:r>
              <w:rPr>
                <w:sz w:val="28"/>
              </w:rPr>
              <w:t>5.</w:t>
            </w:r>
            <w:r>
              <w:rPr>
                <w:spacing w:val="-13"/>
                <w:sz w:val="28"/>
              </w:rPr>
              <w:t> </w:t>
            </w:r>
            <w:r>
              <w:rPr>
                <w:sz w:val="28"/>
              </w:rPr>
              <w:t>Часто</w:t>
            </w:r>
            <w:r>
              <w:rPr>
                <w:spacing w:val="-11"/>
                <w:sz w:val="28"/>
              </w:rPr>
              <w:t> </w:t>
            </w:r>
            <w:r>
              <w:rPr>
                <w:sz w:val="28"/>
              </w:rPr>
              <w:t>выглядит</w:t>
            </w:r>
            <w:r>
              <w:rPr>
                <w:spacing w:val="-15"/>
                <w:sz w:val="28"/>
              </w:rPr>
              <w:t> </w:t>
            </w:r>
            <w:r>
              <w:rPr>
                <w:sz w:val="28"/>
              </w:rPr>
              <w:t>беспокойным/ой, </w:t>
            </w:r>
            <w:r>
              <w:rPr>
                <w:spacing w:val="-2"/>
                <w:sz w:val="28"/>
              </w:rPr>
              <w:t>озабоченным/ой</w:t>
            </w:r>
          </w:p>
        </w:tc>
        <w:tc>
          <w:tcPr>
            <w:tcW w:w="1560" w:type="dxa"/>
          </w:tcPr>
          <w:p>
            <w:pPr>
              <w:pStyle w:val="TableParagraph"/>
              <w:spacing w:before="11"/>
              <w:rPr>
                <w:b/>
                <w:sz w:val="28"/>
              </w:rPr>
            </w:pPr>
          </w:p>
          <w:p>
            <w:pPr>
              <w:pStyle w:val="TableParagraph"/>
              <w:ind w:left="9"/>
              <w:jc w:val="center"/>
              <w:rPr>
                <w:sz w:val="28"/>
              </w:rPr>
            </w:pPr>
            <w:r>
              <w:rPr>
                <w:spacing w:val="-10"/>
                <w:sz w:val="28"/>
              </w:rPr>
              <w:t>0</w:t>
            </w:r>
          </w:p>
        </w:tc>
        <w:tc>
          <w:tcPr>
            <w:tcW w:w="1561" w:type="dxa"/>
          </w:tcPr>
          <w:p>
            <w:pPr>
              <w:pStyle w:val="TableParagraph"/>
              <w:spacing w:before="11"/>
              <w:rPr>
                <w:b/>
                <w:sz w:val="28"/>
              </w:rPr>
            </w:pPr>
          </w:p>
          <w:p>
            <w:pPr>
              <w:pStyle w:val="TableParagraph"/>
              <w:ind w:left="5"/>
              <w:jc w:val="center"/>
              <w:rPr>
                <w:sz w:val="28"/>
              </w:rPr>
            </w:pPr>
            <w:r>
              <w:rPr>
                <w:spacing w:val="-10"/>
                <w:sz w:val="28"/>
              </w:rPr>
              <w:t>1</w:t>
            </w:r>
          </w:p>
        </w:tc>
        <w:tc>
          <w:tcPr>
            <w:tcW w:w="1416" w:type="dxa"/>
          </w:tcPr>
          <w:p>
            <w:pPr>
              <w:pStyle w:val="TableParagraph"/>
              <w:spacing w:before="11"/>
              <w:rPr>
                <w:b/>
                <w:sz w:val="28"/>
              </w:rPr>
            </w:pPr>
          </w:p>
          <w:p>
            <w:pPr>
              <w:pStyle w:val="TableParagraph"/>
              <w:ind w:left="4"/>
              <w:jc w:val="center"/>
              <w:rPr>
                <w:sz w:val="28"/>
              </w:rPr>
            </w:pPr>
            <w:r>
              <w:rPr>
                <w:spacing w:val="-10"/>
                <w:sz w:val="28"/>
              </w:rPr>
              <w:t>2</w:t>
            </w:r>
          </w:p>
        </w:tc>
      </w:tr>
      <w:tr>
        <w:trPr>
          <w:trHeight w:val="1084" w:hRule="atLeast"/>
        </w:trPr>
        <w:tc>
          <w:tcPr>
            <w:tcW w:w="5063" w:type="dxa"/>
          </w:tcPr>
          <w:p>
            <w:pPr>
              <w:pStyle w:val="TableParagraph"/>
              <w:spacing w:before="11"/>
              <w:rPr>
                <w:b/>
                <w:sz w:val="28"/>
              </w:rPr>
            </w:pPr>
          </w:p>
          <w:p>
            <w:pPr>
              <w:pStyle w:val="TableParagraph"/>
              <w:ind w:left="100"/>
              <w:rPr>
                <w:sz w:val="28"/>
              </w:rPr>
            </w:pPr>
            <w:r>
              <w:rPr>
                <w:sz w:val="28"/>
              </w:rPr>
              <w:t>8.</w:t>
            </w:r>
            <w:r>
              <w:rPr>
                <w:spacing w:val="-10"/>
                <w:sz w:val="28"/>
              </w:rPr>
              <w:t> </w:t>
            </w:r>
            <w:r>
              <w:rPr>
                <w:sz w:val="28"/>
              </w:rPr>
              <w:t>Часто</w:t>
            </w:r>
            <w:r>
              <w:rPr>
                <w:spacing w:val="-8"/>
                <w:sz w:val="28"/>
              </w:rPr>
              <w:t> </w:t>
            </w:r>
            <w:r>
              <w:rPr>
                <w:sz w:val="28"/>
              </w:rPr>
              <w:t>чувствует</w:t>
            </w:r>
            <w:r>
              <w:rPr>
                <w:spacing w:val="-9"/>
                <w:sz w:val="28"/>
              </w:rPr>
              <w:t> </w:t>
            </w:r>
            <w:r>
              <w:rPr>
                <w:sz w:val="28"/>
              </w:rPr>
              <w:t>себя</w:t>
            </w:r>
            <w:r>
              <w:rPr>
                <w:spacing w:val="-12"/>
                <w:sz w:val="28"/>
              </w:rPr>
              <w:t> </w:t>
            </w:r>
            <w:r>
              <w:rPr>
                <w:sz w:val="28"/>
              </w:rPr>
              <w:t>несчастным/ой, грустит, готов/а расплакаться</w:t>
            </w:r>
          </w:p>
        </w:tc>
        <w:tc>
          <w:tcPr>
            <w:tcW w:w="1560" w:type="dxa"/>
          </w:tcPr>
          <w:p>
            <w:pPr>
              <w:pStyle w:val="TableParagraph"/>
              <w:spacing w:before="11"/>
              <w:rPr>
                <w:b/>
                <w:sz w:val="28"/>
              </w:rPr>
            </w:pPr>
          </w:p>
          <w:p>
            <w:pPr>
              <w:pStyle w:val="TableParagraph"/>
              <w:ind w:left="9"/>
              <w:jc w:val="center"/>
              <w:rPr>
                <w:sz w:val="28"/>
              </w:rPr>
            </w:pPr>
            <w:r>
              <w:rPr>
                <w:spacing w:val="-10"/>
                <w:sz w:val="28"/>
              </w:rPr>
              <w:t>0</w:t>
            </w:r>
          </w:p>
        </w:tc>
        <w:tc>
          <w:tcPr>
            <w:tcW w:w="1561" w:type="dxa"/>
          </w:tcPr>
          <w:p>
            <w:pPr>
              <w:pStyle w:val="TableParagraph"/>
              <w:spacing w:before="11"/>
              <w:rPr>
                <w:b/>
                <w:sz w:val="28"/>
              </w:rPr>
            </w:pPr>
          </w:p>
          <w:p>
            <w:pPr>
              <w:pStyle w:val="TableParagraph"/>
              <w:ind w:left="5"/>
              <w:jc w:val="center"/>
              <w:rPr>
                <w:sz w:val="28"/>
              </w:rPr>
            </w:pPr>
            <w:r>
              <w:rPr>
                <w:spacing w:val="-10"/>
                <w:sz w:val="28"/>
              </w:rPr>
              <w:t>1</w:t>
            </w:r>
          </w:p>
        </w:tc>
        <w:tc>
          <w:tcPr>
            <w:tcW w:w="1416" w:type="dxa"/>
          </w:tcPr>
          <w:p>
            <w:pPr>
              <w:pStyle w:val="TableParagraph"/>
              <w:spacing w:before="11"/>
              <w:rPr>
                <w:b/>
                <w:sz w:val="28"/>
              </w:rPr>
            </w:pPr>
          </w:p>
          <w:p>
            <w:pPr>
              <w:pStyle w:val="TableParagraph"/>
              <w:ind w:left="4"/>
              <w:jc w:val="center"/>
              <w:rPr>
                <w:sz w:val="28"/>
              </w:rPr>
            </w:pPr>
            <w:r>
              <w:rPr>
                <w:spacing w:val="-10"/>
                <w:sz w:val="28"/>
              </w:rPr>
              <w:t>2</w:t>
            </w:r>
          </w:p>
        </w:tc>
      </w:tr>
      <w:tr>
        <w:trPr>
          <w:trHeight w:val="1389" w:hRule="atLeast"/>
        </w:trPr>
        <w:tc>
          <w:tcPr>
            <w:tcW w:w="5063" w:type="dxa"/>
          </w:tcPr>
          <w:p>
            <w:pPr>
              <w:pStyle w:val="TableParagraph"/>
              <w:spacing w:before="12"/>
              <w:rPr>
                <w:b/>
                <w:sz w:val="28"/>
              </w:rPr>
            </w:pPr>
          </w:p>
          <w:p>
            <w:pPr>
              <w:pStyle w:val="TableParagraph"/>
              <w:ind w:left="100"/>
              <w:rPr>
                <w:sz w:val="28"/>
              </w:rPr>
            </w:pPr>
            <w:r>
              <w:rPr>
                <w:sz w:val="28"/>
              </w:rPr>
              <w:t>10. В новой обстановке нервозен/на, надоедлив/а,</w:t>
            </w:r>
            <w:r>
              <w:rPr>
                <w:spacing w:val="-14"/>
                <w:sz w:val="28"/>
              </w:rPr>
              <w:t> </w:t>
            </w:r>
            <w:r>
              <w:rPr>
                <w:sz w:val="28"/>
              </w:rPr>
              <w:t>легко</w:t>
            </w:r>
            <w:r>
              <w:rPr>
                <w:spacing w:val="-12"/>
                <w:sz w:val="28"/>
              </w:rPr>
              <w:t> </w:t>
            </w:r>
            <w:r>
              <w:rPr>
                <w:sz w:val="28"/>
              </w:rPr>
              <w:t>теряет</w:t>
            </w:r>
            <w:r>
              <w:rPr>
                <w:spacing w:val="-13"/>
                <w:sz w:val="28"/>
              </w:rPr>
              <w:t> </w:t>
            </w:r>
            <w:r>
              <w:rPr>
                <w:sz w:val="28"/>
              </w:rPr>
              <w:t>уверенность</w:t>
            </w:r>
          </w:p>
        </w:tc>
        <w:tc>
          <w:tcPr>
            <w:tcW w:w="1560" w:type="dxa"/>
          </w:tcPr>
          <w:p>
            <w:pPr>
              <w:pStyle w:val="TableParagraph"/>
              <w:spacing w:before="12"/>
              <w:rPr>
                <w:b/>
                <w:sz w:val="28"/>
              </w:rPr>
            </w:pPr>
          </w:p>
          <w:p>
            <w:pPr>
              <w:pStyle w:val="TableParagraph"/>
              <w:ind w:left="9"/>
              <w:jc w:val="center"/>
              <w:rPr>
                <w:sz w:val="28"/>
              </w:rPr>
            </w:pPr>
            <w:r>
              <w:rPr>
                <w:spacing w:val="-10"/>
                <w:sz w:val="28"/>
              </w:rPr>
              <w:t>0</w:t>
            </w:r>
          </w:p>
        </w:tc>
        <w:tc>
          <w:tcPr>
            <w:tcW w:w="1561" w:type="dxa"/>
          </w:tcPr>
          <w:p>
            <w:pPr>
              <w:pStyle w:val="TableParagraph"/>
              <w:spacing w:before="12"/>
              <w:rPr>
                <w:b/>
                <w:sz w:val="28"/>
              </w:rPr>
            </w:pPr>
          </w:p>
          <w:p>
            <w:pPr>
              <w:pStyle w:val="TableParagraph"/>
              <w:ind w:left="5"/>
              <w:jc w:val="center"/>
              <w:rPr>
                <w:sz w:val="28"/>
              </w:rPr>
            </w:pPr>
            <w:r>
              <w:rPr>
                <w:spacing w:val="-10"/>
                <w:sz w:val="28"/>
              </w:rPr>
              <w:t>1</w:t>
            </w:r>
          </w:p>
        </w:tc>
        <w:tc>
          <w:tcPr>
            <w:tcW w:w="1416" w:type="dxa"/>
          </w:tcPr>
          <w:p>
            <w:pPr>
              <w:pStyle w:val="TableParagraph"/>
              <w:spacing w:before="12"/>
              <w:rPr>
                <w:b/>
                <w:sz w:val="28"/>
              </w:rPr>
            </w:pPr>
          </w:p>
          <w:p>
            <w:pPr>
              <w:pStyle w:val="TableParagraph"/>
              <w:ind w:left="4"/>
              <w:jc w:val="center"/>
              <w:rPr>
                <w:sz w:val="28"/>
              </w:rPr>
            </w:pPr>
            <w:r>
              <w:rPr>
                <w:spacing w:val="-10"/>
                <w:sz w:val="28"/>
              </w:rPr>
              <w:t>2</w:t>
            </w:r>
          </w:p>
        </w:tc>
      </w:tr>
      <w:tr>
        <w:trPr>
          <w:trHeight w:val="1060" w:hRule="atLeast"/>
        </w:trPr>
        <w:tc>
          <w:tcPr>
            <w:tcW w:w="5063" w:type="dxa"/>
          </w:tcPr>
          <w:p>
            <w:pPr>
              <w:pStyle w:val="TableParagraph"/>
              <w:spacing w:before="11"/>
              <w:rPr>
                <w:b/>
                <w:sz w:val="28"/>
              </w:rPr>
            </w:pPr>
          </w:p>
          <w:p>
            <w:pPr>
              <w:pStyle w:val="TableParagraph"/>
              <w:ind w:left="100"/>
              <w:rPr>
                <w:sz w:val="28"/>
              </w:rPr>
            </w:pPr>
            <w:r>
              <w:rPr>
                <w:sz w:val="28"/>
              </w:rPr>
              <w:t>14.</w:t>
            </w:r>
            <w:r>
              <w:rPr>
                <w:spacing w:val="-6"/>
                <w:sz w:val="28"/>
              </w:rPr>
              <w:t> </w:t>
            </w:r>
            <w:r>
              <w:rPr>
                <w:sz w:val="28"/>
              </w:rPr>
              <w:t>Характерны</w:t>
            </w:r>
            <w:r>
              <w:rPr>
                <w:spacing w:val="-5"/>
                <w:sz w:val="28"/>
              </w:rPr>
              <w:t> </w:t>
            </w:r>
            <w:r>
              <w:rPr>
                <w:sz w:val="28"/>
              </w:rPr>
              <w:t>страхи,</w:t>
            </w:r>
            <w:r>
              <w:rPr>
                <w:spacing w:val="-6"/>
                <w:sz w:val="28"/>
              </w:rPr>
              <w:t> </w:t>
            </w:r>
            <w:r>
              <w:rPr>
                <w:sz w:val="28"/>
              </w:rPr>
              <w:t>легко</w:t>
            </w:r>
            <w:r>
              <w:rPr>
                <w:spacing w:val="-4"/>
                <w:sz w:val="28"/>
              </w:rPr>
              <w:t> </w:t>
            </w:r>
            <w:r>
              <w:rPr>
                <w:spacing w:val="-2"/>
                <w:sz w:val="28"/>
              </w:rPr>
              <w:t>пугается</w:t>
            </w:r>
          </w:p>
        </w:tc>
        <w:tc>
          <w:tcPr>
            <w:tcW w:w="1560" w:type="dxa"/>
          </w:tcPr>
          <w:p>
            <w:pPr>
              <w:pStyle w:val="TableParagraph"/>
              <w:spacing w:before="11"/>
              <w:rPr>
                <w:b/>
                <w:sz w:val="28"/>
              </w:rPr>
            </w:pPr>
          </w:p>
          <w:p>
            <w:pPr>
              <w:pStyle w:val="TableParagraph"/>
              <w:ind w:left="9"/>
              <w:jc w:val="center"/>
              <w:rPr>
                <w:sz w:val="28"/>
              </w:rPr>
            </w:pPr>
            <w:r>
              <w:rPr>
                <w:spacing w:val="-10"/>
                <w:sz w:val="28"/>
              </w:rPr>
              <w:t>0</w:t>
            </w:r>
          </w:p>
        </w:tc>
        <w:tc>
          <w:tcPr>
            <w:tcW w:w="1561" w:type="dxa"/>
          </w:tcPr>
          <w:p>
            <w:pPr>
              <w:pStyle w:val="TableParagraph"/>
              <w:spacing w:before="11"/>
              <w:rPr>
                <w:b/>
                <w:sz w:val="28"/>
              </w:rPr>
            </w:pPr>
          </w:p>
          <w:p>
            <w:pPr>
              <w:pStyle w:val="TableParagraph"/>
              <w:ind w:left="5"/>
              <w:jc w:val="center"/>
              <w:rPr>
                <w:sz w:val="28"/>
              </w:rPr>
            </w:pPr>
            <w:r>
              <w:rPr>
                <w:spacing w:val="-10"/>
                <w:sz w:val="28"/>
              </w:rPr>
              <w:t>1</w:t>
            </w:r>
          </w:p>
        </w:tc>
        <w:tc>
          <w:tcPr>
            <w:tcW w:w="1416" w:type="dxa"/>
          </w:tcPr>
          <w:p>
            <w:pPr>
              <w:pStyle w:val="TableParagraph"/>
              <w:spacing w:before="11"/>
              <w:rPr>
                <w:b/>
                <w:sz w:val="28"/>
              </w:rPr>
            </w:pPr>
          </w:p>
          <w:p>
            <w:pPr>
              <w:pStyle w:val="TableParagraph"/>
              <w:ind w:left="4"/>
              <w:jc w:val="center"/>
              <w:rPr>
                <w:sz w:val="28"/>
              </w:rPr>
            </w:pPr>
            <w:r>
              <w:rPr>
                <w:spacing w:val="-10"/>
                <w:sz w:val="28"/>
              </w:rPr>
              <w:t>2</w:t>
            </w:r>
          </w:p>
        </w:tc>
      </w:tr>
      <w:tr>
        <w:trPr>
          <w:trHeight w:val="762" w:hRule="atLeast"/>
        </w:trPr>
        <w:tc>
          <w:tcPr>
            <w:tcW w:w="5063" w:type="dxa"/>
          </w:tcPr>
          <w:p>
            <w:pPr>
              <w:pStyle w:val="TableParagraph"/>
              <w:spacing w:before="18"/>
              <w:rPr>
                <w:b/>
                <w:sz w:val="28"/>
              </w:rPr>
            </w:pPr>
          </w:p>
          <w:p>
            <w:pPr>
              <w:pStyle w:val="TableParagraph"/>
              <w:spacing w:before="1"/>
              <w:ind w:left="688"/>
              <w:rPr>
                <w:b/>
                <w:i/>
                <w:sz w:val="28"/>
              </w:rPr>
            </w:pPr>
            <w:r>
              <w:rPr>
                <w:b/>
                <w:i/>
                <w:sz w:val="28"/>
              </w:rPr>
              <w:t>Шкала</w:t>
            </w:r>
            <w:r>
              <w:rPr>
                <w:b/>
                <w:i/>
                <w:spacing w:val="-3"/>
                <w:sz w:val="28"/>
              </w:rPr>
              <w:t> </w:t>
            </w:r>
            <w:r>
              <w:rPr>
                <w:b/>
                <w:i/>
                <w:sz w:val="28"/>
              </w:rPr>
              <w:t>проблем</w:t>
            </w:r>
            <w:r>
              <w:rPr>
                <w:b/>
                <w:i/>
                <w:spacing w:val="-4"/>
                <w:sz w:val="28"/>
              </w:rPr>
              <w:t> </w:t>
            </w:r>
            <w:r>
              <w:rPr>
                <w:b/>
                <w:i/>
                <w:sz w:val="28"/>
              </w:rPr>
              <w:t>с</w:t>
            </w:r>
            <w:r>
              <w:rPr>
                <w:b/>
                <w:i/>
                <w:spacing w:val="-3"/>
                <w:sz w:val="28"/>
              </w:rPr>
              <w:t> </w:t>
            </w:r>
            <w:r>
              <w:rPr>
                <w:b/>
                <w:i/>
                <w:spacing w:val="-2"/>
                <w:sz w:val="28"/>
              </w:rPr>
              <w:t>поведением</w:t>
            </w:r>
          </w:p>
        </w:tc>
        <w:tc>
          <w:tcPr>
            <w:tcW w:w="1560" w:type="dxa"/>
          </w:tcPr>
          <w:p>
            <w:pPr>
              <w:pStyle w:val="TableParagraph"/>
              <w:rPr>
                <w:sz w:val="28"/>
              </w:rPr>
            </w:pPr>
          </w:p>
        </w:tc>
        <w:tc>
          <w:tcPr>
            <w:tcW w:w="1561" w:type="dxa"/>
          </w:tcPr>
          <w:p>
            <w:pPr>
              <w:pStyle w:val="TableParagraph"/>
              <w:rPr>
                <w:sz w:val="28"/>
              </w:rPr>
            </w:pPr>
          </w:p>
        </w:tc>
        <w:tc>
          <w:tcPr>
            <w:tcW w:w="1416" w:type="dxa"/>
          </w:tcPr>
          <w:p>
            <w:pPr>
              <w:pStyle w:val="TableParagraph"/>
              <w:rPr>
                <w:sz w:val="28"/>
              </w:rPr>
            </w:pPr>
          </w:p>
        </w:tc>
      </w:tr>
      <w:tr>
        <w:trPr>
          <w:trHeight w:val="1082" w:hRule="atLeast"/>
        </w:trPr>
        <w:tc>
          <w:tcPr>
            <w:tcW w:w="5063" w:type="dxa"/>
          </w:tcPr>
          <w:p>
            <w:pPr>
              <w:pStyle w:val="TableParagraph"/>
              <w:spacing w:before="9"/>
              <w:rPr>
                <w:b/>
                <w:sz w:val="28"/>
              </w:rPr>
            </w:pPr>
          </w:p>
          <w:p>
            <w:pPr>
              <w:pStyle w:val="TableParagraph"/>
              <w:spacing w:line="242" w:lineRule="auto" w:before="1"/>
              <w:ind w:left="100" w:right="182"/>
              <w:rPr>
                <w:sz w:val="28"/>
              </w:rPr>
            </w:pPr>
            <w:r>
              <w:rPr>
                <w:sz w:val="28"/>
              </w:rPr>
              <w:t>3.</w:t>
            </w:r>
            <w:r>
              <w:rPr>
                <w:spacing w:val="-13"/>
                <w:sz w:val="28"/>
              </w:rPr>
              <w:t> </w:t>
            </w:r>
            <w:r>
              <w:rPr>
                <w:sz w:val="28"/>
              </w:rPr>
              <w:t>Часто</w:t>
            </w:r>
            <w:r>
              <w:rPr>
                <w:spacing w:val="-12"/>
                <w:sz w:val="28"/>
              </w:rPr>
              <w:t> </w:t>
            </w:r>
            <w:r>
              <w:rPr>
                <w:sz w:val="28"/>
              </w:rPr>
              <w:t>испытывает</w:t>
            </w:r>
            <w:r>
              <w:rPr>
                <w:spacing w:val="-13"/>
                <w:sz w:val="28"/>
              </w:rPr>
              <w:t> </w:t>
            </w:r>
            <w:r>
              <w:rPr>
                <w:sz w:val="28"/>
              </w:rPr>
              <w:t>состояние сильного раздражения, гнева</w:t>
            </w:r>
          </w:p>
        </w:tc>
        <w:tc>
          <w:tcPr>
            <w:tcW w:w="1560" w:type="dxa"/>
          </w:tcPr>
          <w:p>
            <w:pPr>
              <w:pStyle w:val="TableParagraph"/>
              <w:spacing w:before="9"/>
              <w:rPr>
                <w:b/>
                <w:sz w:val="28"/>
              </w:rPr>
            </w:pPr>
          </w:p>
          <w:p>
            <w:pPr>
              <w:pStyle w:val="TableParagraph"/>
              <w:spacing w:before="1"/>
              <w:ind w:left="9"/>
              <w:jc w:val="center"/>
              <w:rPr>
                <w:sz w:val="28"/>
              </w:rPr>
            </w:pPr>
            <w:r>
              <w:rPr>
                <w:spacing w:val="-10"/>
                <w:sz w:val="28"/>
              </w:rPr>
              <w:t>0</w:t>
            </w:r>
          </w:p>
        </w:tc>
        <w:tc>
          <w:tcPr>
            <w:tcW w:w="1561" w:type="dxa"/>
          </w:tcPr>
          <w:p>
            <w:pPr>
              <w:pStyle w:val="TableParagraph"/>
              <w:spacing w:before="9"/>
              <w:rPr>
                <w:b/>
                <w:sz w:val="28"/>
              </w:rPr>
            </w:pPr>
          </w:p>
          <w:p>
            <w:pPr>
              <w:pStyle w:val="TableParagraph"/>
              <w:spacing w:before="1"/>
              <w:ind w:left="5"/>
              <w:jc w:val="center"/>
              <w:rPr>
                <w:sz w:val="28"/>
              </w:rPr>
            </w:pPr>
            <w:r>
              <w:rPr>
                <w:spacing w:val="-10"/>
                <w:sz w:val="28"/>
              </w:rPr>
              <w:t>1</w:t>
            </w:r>
          </w:p>
        </w:tc>
        <w:tc>
          <w:tcPr>
            <w:tcW w:w="1416" w:type="dxa"/>
          </w:tcPr>
          <w:p>
            <w:pPr>
              <w:pStyle w:val="TableParagraph"/>
              <w:spacing w:before="9"/>
              <w:rPr>
                <w:b/>
                <w:sz w:val="28"/>
              </w:rPr>
            </w:pPr>
          </w:p>
          <w:p>
            <w:pPr>
              <w:pStyle w:val="TableParagraph"/>
              <w:spacing w:before="1"/>
              <w:ind w:left="4"/>
              <w:jc w:val="center"/>
              <w:rPr>
                <w:sz w:val="28"/>
              </w:rPr>
            </w:pPr>
            <w:r>
              <w:rPr>
                <w:spacing w:val="-10"/>
                <w:sz w:val="28"/>
              </w:rPr>
              <w:t>2</w:t>
            </w:r>
          </w:p>
        </w:tc>
      </w:tr>
      <w:tr>
        <w:trPr>
          <w:trHeight w:val="1084" w:hRule="atLeast"/>
        </w:trPr>
        <w:tc>
          <w:tcPr>
            <w:tcW w:w="5063" w:type="dxa"/>
          </w:tcPr>
          <w:p>
            <w:pPr>
              <w:pStyle w:val="TableParagraph"/>
              <w:spacing w:before="11"/>
              <w:rPr>
                <w:b/>
                <w:sz w:val="28"/>
              </w:rPr>
            </w:pPr>
          </w:p>
          <w:p>
            <w:pPr>
              <w:pStyle w:val="TableParagraph"/>
              <w:ind w:left="100"/>
              <w:rPr>
                <w:sz w:val="28"/>
              </w:rPr>
            </w:pPr>
            <w:r>
              <w:rPr>
                <w:sz w:val="28"/>
              </w:rPr>
              <w:t>4.</w:t>
            </w:r>
            <w:r>
              <w:rPr>
                <w:spacing w:val="-14"/>
                <w:sz w:val="28"/>
              </w:rPr>
              <w:t> </w:t>
            </w:r>
            <w:r>
              <w:rPr>
                <w:sz w:val="28"/>
              </w:rPr>
              <w:t>Обычно</w:t>
            </w:r>
            <w:r>
              <w:rPr>
                <w:spacing w:val="-12"/>
                <w:sz w:val="28"/>
              </w:rPr>
              <w:t> </w:t>
            </w:r>
            <w:r>
              <w:rPr>
                <w:sz w:val="28"/>
              </w:rPr>
              <w:t>послушен/на,</w:t>
            </w:r>
            <w:r>
              <w:rPr>
                <w:spacing w:val="-14"/>
                <w:sz w:val="28"/>
              </w:rPr>
              <w:t> </w:t>
            </w:r>
            <w:r>
              <w:rPr>
                <w:sz w:val="28"/>
              </w:rPr>
              <w:t>подчиняется требованиям взрослых</w:t>
            </w:r>
          </w:p>
        </w:tc>
        <w:tc>
          <w:tcPr>
            <w:tcW w:w="1560" w:type="dxa"/>
          </w:tcPr>
          <w:p>
            <w:pPr>
              <w:pStyle w:val="TableParagraph"/>
              <w:spacing w:before="11"/>
              <w:rPr>
                <w:b/>
                <w:sz w:val="28"/>
              </w:rPr>
            </w:pPr>
          </w:p>
          <w:p>
            <w:pPr>
              <w:pStyle w:val="TableParagraph"/>
              <w:ind w:left="9"/>
              <w:jc w:val="center"/>
              <w:rPr>
                <w:sz w:val="28"/>
              </w:rPr>
            </w:pPr>
            <w:r>
              <w:rPr>
                <w:spacing w:val="-10"/>
                <w:sz w:val="28"/>
              </w:rPr>
              <w:t>2</w:t>
            </w:r>
          </w:p>
        </w:tc>
        <w:tc>
          <w:tcPr>
            <w:tcW w:w="1561" w:type="dxa"/>
          </w:tcPr>
          <w:p>
            <w:pPr>
              <w:pStyle w:val="TableParagraph"/>
              <w:spacing w:before="11"/>
              <w:rPr>
                <w:b/>
                <w:sz w:val="28"/>
              </w:rPr>
            </w:pPr>
          </w:p>
          <w:p>
            <w:pPr>
              <w:pStyle w:val="TableParagraph"/>
              <w:ind w:left="5"/>
              <w:jc w:val="center"/>
              <w:rPr>
                <w:sz w:val="28"/>
              </w:rPr>
            </w:pPr>
            <w:r>
              <w:rPr>
                <w:spacing w:val="-10"/>
                <w:sz w:val="28"/>
              </w:rPr>
              <w:t>1</w:t>
            </w:r>
          </w:p>
        </w:tc>
        <w:tc>
          <w:tcPr>
            <w:tcW w:w="1416" w:type="dxa"/>
          </w:tcPr>
          <w:p>
            <w:pPr>
              <w:pStyle w:val="TableParagraph"/>
              <w:spacing w:before="11"/>
              <w:rPr>
                <w:b/>
                <w:sz w:val="28"/>
              </w:rPr>
            </w:pPr>
          </w:p>
          <w:p>
            <w:pPr>
              <w:pStyle w:val="TableParagraph"/>
              <w:ind w:left="4"/>
              <w:jc w:val="center"/>
              <w:rPr>
                <w:sz w:val="28"/>
              </w:rPr>
            </w:pPr>
            <w:r>
              <w:rPr>
                <w:spacing w:val="-10"/>
                <w:sz w:val="28"/>
              </w:rPr>
              <w:t>0</w:t>
            </w:r>
          </w:p>
        </w:tc>
      </w:tr>
      <w:tr>
        <w:trPr>
          <w:trHeight w:val="1084" w:hRule="atLeast"/>
        </w:trPr>
        <w:tc>
          <w:tcPr>
            <w:tcW w:w="5063" w:type="dxa"/>
          </w:tcPr>
          <w:p>
            <w:pPr>
              <w:pStyle w:val="TableParagraph"/>
              <w:spacing w:before="11"/>
              <w:rPr>
                <w:b/>
                <w:sz w:val="28"/>
              </w:rPr>
            </w:pPr>
          </w:p>
          <w:p>
            <w:pPr>
              <w:pStyle w:val="TableParagraph"/>
              <w:ind w:left="100"/>
              <w:rPr>
                <w:sz w:val="28"/>
              </w:rPr>
            </w:pPr>
            <w:r>
              <w:rPr>
                <w:sz w:val="28"/>
              </w:rPr>
              <w:t>7.</w:t>
            </w:r>
            <w:r>
              <w:rPr>
                <w:spacing w:val="-8"/>
                <w:sz w:val="28"/>
              </w:rPr>
              <w:t> </w:t>
            </w:r>
            <w:r>
              <w:rPr>
                <w:sz w:val="28"/>
              </w:rPr>
              <w:t>Часто</w:t>
            </w:r>
            <w:r>
              <w:rPr>
                <w:spacing w:val="-6"/>
                <w:sz w:val="28"/>
              </w:rPr>
              <w:t> </w:t>
            </w:r>
            <w:r>
              <w:rPr>
                <w:sz w:val="28"/>
              </w:rPr>
              <w:t>дерется</w:t>
            </w:r>
            <w:r>
              <w:rPr>
                <w:spacing w:val="-7"/>
                <w:sz w:val="28"/>
              </w:rPr>
              <w:t> </w:t>
            </w:r>
            <w:r>
              <w:rPr>
                <w:sz w:val="28"/>
              </w:rPr>
              <w:t>с</w:t>
            </w:r>
            <w:r>
              <w:rPr>
                <w:spacing w:val="-7"/>
                <w:sz w:val="28"/>
              </w:rPr>
              <w:t> </w:t>
            </w:r>
            <w:r>
              <w:rPr>
                <w:sz w:val="28"/>
              </w:rPr>
              <w:t>другими</w:t>
            </w:r>
            <w:r>
              <w:rPr>
                <w:spacing w:val="-7"/>
                <w:sz w:val="28"/>
              </w:rPr>
              <w:t> </w:t>
            </w:r>
            <w:r>
              <w:rPr>
                <w:sz w:val="28"/>
              </w:rPr>
              <w:t>детьми</w:t>
            </w:r>
            <w:r>
              <w:rPr>
                <w:spacing w:val="-7"/>
                <w:sz w:val="28"/>
              </w:rPr>
              <w:t> </w:t>
            </w:r>
            <w:r>
              <w:rPr>
                <w:sz w:val="28"/>
              </w:rPr>
              <w:t>или задирает их</w:t>
            </w:r>
          </w:p>
        </w:tc>
        <w:tc>
          <w:tcPr>
            <w:tcW w:w="1560" w:type="dxa"/>
          </w:tcPr>
          <w:p>
            <w:pPr>
              <w:pStyle w:val="TableParagraph"/>
              <w:spacing w:before="11"/>
              <w:rPr>
                <w:b/>
                <w:sz w:val="28"/>
              </w:rPr>
            </w:pPr>
          </w:p>
          <w:p>
            <w:pPr>
              <w:pStyle w:val="TableParagraph"/>
              <w:ind w:left="9"/>
              <w:jc w:val="center"/>
              <w:rPr>
                <w:sz w:val="28"/>
              </w:rPr>
            </w:pPr>
            <w:r>
              <w:rPr>
                <w:spacing w:val="-10"/>
                <w:sz w:val="28"/>
              </w:rPr>
              <w:t>0</w:t>
            </w:r>
          </w:p>
        </w:tc>
        <w:tc>
          <w:tcPr>
            <w:tcW w:w="1561" w:type="dxa"/>
          </w:tcPr>
          <w:p>
            <w:pPr>
              <w:pStyle w:val="TableParagraph"/>
              <w:spacing w:before="11"/>
              <w:rPr>
                <w:b/>
                <w:sz w:val="28"/>
              </w:rPr>
            </w:pPr>
          </w:p>
          <w:p>
            <w:pPr>
              <w:pStyle w:val="TableParagraph"/>
              <w:ind w:left="5"/>
              <w:jc w:val="center"/>
              <w:rPr>
                <w:sz w:val="28"/>
              </w:rPr>
            </w:pPr>
            <w:r>
              <w:rPr>
                <w:spacing w:val="-10"/>
                <w:sz w:val="28"/>
              </w:rPr>
              <w:t>1</w:t>
            </w:r>
          </w:p>
        </w:tc>
        <w:tc>
          <w:tcPr>
            <w:tcW w:w="1416" w:type="dxa"/>
          </w:tcPr>
          <w:p>
            <w:pPr>
              <w:pStyle w:val="TableParagraph"/>
              <w:spacing w:before="11"/>
              <w:rPr>
                <w:b/>
                <w:sz w:val="28"/>
              </w:rPr>
            </w:pPr>
          </w:p>
          <w:p>
            <w:pPr>
              <w:pStyle w:val="TableParagraph"/>
              <w:ind w:left="4"/>
              <w:jc w:val="center"/>
              <w:rPr>
                <w:sz w:val="28"/>
              </w:rPr>
            </w:pPr>
            <w:r>
              <w:rPr>
                <w:spacing w:val="-10"/>
                <w:sz w:val="28"/>
              </w:rPr>
              <w:t>2</w:t>
            </w:r>
          </w:p>
        </w:tc>
      </w:tr>
      <w:tr>
        <w:trPr>
          <w:trHeight w:val="763" w:hRule="atLeast"/>
        </w:trPr>
        <w:tc>
          <w:tcPr>
            <w:tcW w:w="5063" w:type="dxa"/>
          </w:tcPr>
          <w:p>
            <w:pPr>
              <w:pStyle w:val="TableParagraph"/>
              <w:spacing w:before="12"/>
              <w:rPr>
                <w:b/>
                <w:sz w:val="28"/>
              </w:rPr>
            </w:pPr>
          </w:p>
          <w:p>
            <w:pPr>
              <w:pStyle w:val="TableParagraph"/>
              <w:ind w:left="100"/>
              <w:rPr>
                <w:sz w:val="28"/>
              </w:rPr>
            </w:pPr>
            <w:r>
              <w:rPr>
                <w:sz w:val="28"/>
              </w:rPr>
              <w:t>11.</w:t>
            </w:r>
            <w:r>
              <w:rPr>
                <w:spacing w:val="-4"/>
                <w:sz w:val="28"/>
              </w:rPr>
              <w:t> </w:t>
            </w:r>
            <w:r>
              <w:rPr>
                <w:sz w:val="28"/>
              </w:rPr>
              <w:t>Часто</w:t>
            </w:r>
            <w:r>
              <w:rPr>
                <w:spacing w:val="-1"/>
                <w:sz w:val="28"/>
              </w:rPr>
              <w:t> </w:t>
            </w:r>
            <w:r>
              <w:rPr>
                <w:sz w:val="28"/>
              </w:rPr>
              <w:t>врет,</w:t>
            </w:r>
            <w:r>
              <w:rPr>
                <w:spacing w:val="-4"/>
                <w:sz w:val="28"/>
              </w:rPr>
              <w:t> </w:t>
            </w:r>
            <w:r>
              <w:rPr>
                <w:spacing w:val="-2"/>
                <w:sz w:val="28"/>
              </w:rPr>
              <w:t>обманывает</w:t>
            </w:r>
          </w:p>
        </w:tc>
        <w:tc>
          <w:tcPr>
            <w:tcW w:w="1560" w:type="dxa"/>
          </w:tcPr>
          <w:p>
            <w:pPr>
              <w:pStyle w:val="TableParagraph"/>
              <w:spacing w:before="12"/>
              <w:rPr>
                <w:b/>
                <w:sz w:val="28"/>
              </w:rPr>
            </w:pPr>
          </w:p>
          <w:p>
            <w:pPr>
              <w:pStyle w:val="TableParagraph"/>
              <w:ind w:left="9"/>
              <w:jc w:val="center"/>
              <w:rPr>
                <w:sz w:val="28"/>
              </w:rPr>
            </w:pPr>
            <w:r>
              <w:rPr>
                <w:spacing w:val="-10"/>
                <w:sz w:val="28"/>
              </w:rPr>
              <w:t>0</w:t>
            </w:r>
          </w:p>
        </w:tc>
        <w:tc>
          <w:tcPr>
            <w:tcW w:w="1561" w:type="dxa"/>
          </w:tcPr>
          <w:p>
            <w:pPr>
              <w:pStyle w:val="TableParagraph"/>
              <w:spacing w:before="12"/>
              <w:rPr>
                <w:b/>
                <w:sz w:val="28"/>
              </w:rPr>
            </w:pPr>
          </w:p>
          <w:p>
            <w:pPr>
              <w:pStyle w:val="TableParagraph"/>
              <w:ind w:left="5"/>
              <w:jc w:val="center"/>
              <w:rPr>
                <w:sz w:val="28"/>
              </w:rPr>
            </w:pPr>
            <w:r>
              <w:rPr>
                <w:spacing w:val="-10"/>
                <w:sz w:val="28"/>
              </w:rPr>
              <w:t>1</w:t>
            </w:r>
          </w:p>
        </w:tc>
        <w:tc>
          <w:tcPr>
            <w:tcW w:w="1416" w:type="dxa"/>
          </w:tcPr>
          <w:p>
            <w:pPr>
              <w:pStyle w:val="TableParagraph"/>
              <w:spacing w:before="12"/>
              <w:rPr>
                <w:b/>
                <w:sz w:val="28"/>
              </w:rPr>
            </w:pPr>
          </w:p>
          <w:p>
            <w:pPr>
              <w:pStyle w:val="TableParagraph"/>
              <w:ind w:left="4"/>
              <w:jc w:val="center"/>
              <w:rPr>
                <w:sz w:val="28"/>
              </w:rPr>
            </w:pPr>
            <w:r>
              <w:rPr>
                <w:spacing w:val="-10"/>
                <w:sz w:val="28"/>
              </w:rPr>
              <w:t>2</w:t>
            </w:r>
          </w:p>
        </w:tc>
      </w:tr>
    </w:tbl>
    <w:p>
      <w:pPr>
        <w:pStyle w:val="TableParagraph"/>
        <w:spacing w:after="0"/>
        <w:jc w:val="center"/>
        <w:rPr>
          <w:sz w:val="28"/>
        </w:rPr>
        <w:sectPr>
          <w:pgSz w:w="11910" w:h="16840"/>
          <w:pgMar w:header="0" w:footer="970" w:top="1040" w:bottom="1606" w:left="1417" w:right="283"/>
        </w:sect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63"/>
        <w:gridCol w:w="1560"/>
        <w:gridCol w:w="1561"/>
        <w:gridCol w:w="1416"/>
      </w:tblGrid>
      <w:tr>
        <w:trPr>
          <w:trHeight w:val="1084" w:hRule="atLeast"/>
        </w:trPr>
        <w:tc>
          <w:tcPr>
            <w:tcW w:w="5063" w:type="dxa"/>
          </w:tcPr>
          <w:p>
            <w:pPr>
              <w:pStyle w:val="TableParagraph"/>
              <w:spacing w:before="12"/>
              <w:rPr>
                <w:b/>
                <w:sz w:val="28"/>
              </w:rPr>
            </w:pPr>
          </w:p>
          <w:p>
            <w:pPr>
              <w:pStyle w:val="TableParagraph"/>
              <w:ind w:left="100"/>
              <w:rPr>
                <w:sz w:val="28"/>
              </w:rPr>
            </w:pPr>
            <w:r>
              <w:rPr>
                <w:sz w:val="28"/>
              </w:rPr>
              <w:t>13.</w:t>
            </w:r>
            <w:r>
              <w:rPr>
                <w:spacing w:val="-6"/>
                <w:sz w:val="28"/>
              </w:rPr>
              <w:t> </w:t>
            </w:r>
            <w:r>
              <w:rPr>
                <w:sz w:val="28"/>
              </w:rPr>
              <w:t>Крадет</w:t>
            </w:r>
            <w:r>
              <w:rPr>
                <w:spacing w:val="-5"/>
                <w:sz w:val="28"/>
              </w:rPr>
              <w:t> </w:t>
            </w:r>
            <w:r>
              <w:rPr>
                <w:sz w:val="28"/>
              </w:rPr>
              <w:t>вещи</w:t>
            </w:r>
            <w:r>
              <w:rPr>
                <w:spacing w:val="-5"/>
                <w:sz w:val="28"/>
              </w:rPr>
              <w:t> </w:t>
            </w:r>
            <w:r>
              <w:rPr>
                <w:sz w:val="28"/>
              </w:rPr>
              <w:t>из</w:t>
            </w:r>
            <w:r>
              <w:rPr>
                <w:spacing w:val="-8"/>
                <w:sz w:val="28"/>
              </w:rPr>
              <w:t> </w:t>
            </w:r>
            <w:r>
              <w:rPr>
                <w:sz w:val="28"/>
              </w:rPr>
              <w:t>дома,</w:t>
            </w:r>
            <w:r>
              <w:rPr>
                <w:spacing w:val="-6"/>
                <w:sz w:val="28"/>
              </w:rPr>
              <w:t> </w:t>
            </w:r>
            <w:r>
              <w:rPr>
                <w:sz w:val="28"/>
              </w:rPr>
              <w:t>из</w:t>
            </w:r>
            <w:r>
              <w:rPr>
                <w:spacing w:val="-6"/>
                <w:sz w:val="28"/>
              </w:rPr>
              <w:t> </w:t>
            </w:r>
            <w:r>
              <w:rPr>
                <w:sz w:val="28"/>
              </w:rPr>
              <w:t>школы,</w:t>
            </w:r>
            <w:r>
              <w:rPr>
                <w:spacing w:val="-6"/>
                <w:sz w:val="28"/>
              </w:rPr>
              <w:t> </w:t>
            </w:r>
            <w:r>
              <w:rPr>
                <w:sz w:val="28"/>
              </w:rPr>
              <w:t>из других мест</w:t>
            </w:r>
          </w:p>
        </w:tc>
        <w:tc>
          <w:tcPr>
            <w:tcW w:w="1560" w:type="dxa"/>
          </w:tcPr>
          <w:p>
            <w:pPr>
              <w:pStyle w:val="TableParagraph"/>
              <w:spacing w:before="12"/>
              <w:rPr>
                <w:b/>
                <w:sz w:val="28"/>
              </w:rPr>
            </w:pPr>
          </w:p>
          <w:p>
            <w:pPr>
              <w:pStyle w:val="TableParagraph"/>
              <w:ind w:left="9"/>
              <w:jc w:val="center"/>
              <w:rPr>
                <w:sz w:val="28"/>
              </w:rPr>
            </w:pPr>
            <w:r>
              <w:rPr>
                <w:spacing w:val="-10"/>
                <w:sz w:val="28"/>
              </w:rPr>
              <w:t>0</w:t>
            </w:r>
          </w:p>
        </w:tc>
        <w:tc>
          <w:tcPr>
            <w:tcW w:w="1561" w:type="dxa"/>
          </w:tcPr>
          <w:p>
            <w:pPr>
              <w:pStyle w:val="TableParagraph"/>
              <w:spacing w:before="12"/>
              <w:rPr>
                <w:b/>
                <w:sz w:val="28"/>
              </w:rPr>
            </w:pPr>
          </w:p>
          <w:p>
            <w:pPr>
              <w:pStyle w:val="TableParagraph"/>
              <w:ind w:left="5"/>
              <w:jc w:val="center"/>
              <w:rPr>
                <w:sz w:val="28"/>
              </w:rPr>
            </w:pPr>
            <w:r>
              <w:rPr>
                <w:spacing w:val="-10"/>
                <w:sz w:val="28"/>
              </w:rPr>
              <w:t>1</w:t>
            </w:r>
          </w:p>
        </w:tc>
        <w:tc>
          <w:tcPr>
            <w:tcW w:w="1416" w:type="dxa"/>
          </w:tcPr>
          <w:p>
            <w:pPr>
              <w:pStyle w:val="TableParagraph"/>
              <w:spacing w:before="12"/>
              <w:rPr>
                <w:b/>
                <w:sz w:val="28"/>
              </w:rPr>
            </w:pPr>
          </w:p>
          <w:p>
            <w:pPr>
              <w:pStyle w:val="TableParagraph"/>
              <w:ind w:left="4"/>
              <w:jc w:val="center"/>
              <w:rPr>
                <w:sz w:val="28"/>
              </w:rPr>
            </w:pPr>
            <w:r>
              <w:rPr>
                <w:spacing w:val="-10"/>
                <w:sz w:val="28"/>
              </w:rPr>
              <w:t>2</w:t>
            </w:r>
          </w:p>
        </w:tc>
      </w:tr>
      <w:tr>
        <w:trPr>
          <w:trHeight w:val="762" w:hRule="atLeast"/>
        </w:trPr>
        <w:tc>
          <w:tcPr>
            <w:tcW w:w="5063" w:type="dxa"/>
          </w:tcPr>
          <w:p>
            <w:pPr>
              <w:pStyle w:val="TableParagraph"/>
              <w:spacing w:before="18"/>
              <w:rPr>
                <w:b/>
                <w:sz w:val="28"/>
              </w:rPr>
            </w:pPr>
          </w:p>
          <w:p>
            <w:pPr>
              <w:pStyle w:val="TableParagraph"/>
              <w:spacing w:before="1"/>
              <w:ind w:left="928"/>
              <w:rPr>
                <w:b/>
                <w:i/>
                <w:sz w:val="28"/>
              </w:rPr>
            </w:pPr>
            <w:r>
              <w:rPr>
                <w:b/>
                <w:i/>
                <w:sz w:val="28"/>
              </w:rPr>
              <w:t>Шкала</w:t>
            </w:r>
            <w:r>
              <w:rPr>
                <w:b/>
                <w:i/>
                <w:spacing w:val="-2"/>
                <w:sz w:val="28"/>
              </w:rPr>
              <w:t> гиперактивности</w:t>
            </w:r>
          </w:p>
        </w:tc>
        <w:tc>
          <w:tcPr>
            <w:tcW w:w="1560" w:type="dxa"/>
          </w:tcPr>
          <w:p>
            <w:pPr>
              <w:pStyle w:val="TableParagraph"/>
              <w:rPr>
                <w:sz w:val="28"/>
              </w:rPr>
            </w:pPr>
          </w:p>
        </w:tc>
        <w:tc>
          <w:tcPr>
            <w:tcW w:w="1561" w:type="dxa"/>
          </w:tcPr>
          <w:p>
            <w:pPr>
              <w:pStyle w:val="TableParagraph"/>
              <w:rPr>
                <w:sz w:val="28"/>
              </w:rPr>
            </w:pPr>
          </w:p>
        </w:tc>
        <w:tc>
          <w:tcPr>
            <w:tcW w:w="1416" w:type="dxa"/>
          </w:tcPr>
          <w:p>
            <w:pPr>
              <w:pStyle w:val="TableParagraph"/>
              <w:rPr>
                <w:sz w:val="28"/>
              </w:rPr>
            </w:pPr>
          </w:p>
        </w:tc>
      </w:tr>
      <w:tr>
        <w:trPr>
          <w:trHeight w:val="1405" w:hRule="atLeast"/>
        </w:trPr>
        <w:tc>
          <w:tcPr>
            <w:tcW w:w="5063" w:type="dxa"/>
          </w:tcPr>
          <w:p>
            <w:pPr>
              <w:pStyle w:val="TableParagraph"/>
              <w:spacing w:before="11"/>
              <w:rPr>
                <w:b/>
                <w:sz w:val="28"/>
              </w:rPr>
            </w:pPr>
          </w:p>
          <w:p>
            <w:pPr>
              <w:pStyle w:val="TableParagraph"/>
              <w:ind w:left="100"/>
              <w:rPr>
                <w:sz w:val="28"/>
              </w:rPr>
            </w:pPr>
            <w:r>
              <w:rPr>
                <w:sz w:val="28"/>
              </w:rPr>
              <w:t>1. Неугомонный/ая, слишком активный/ая,</w:t>
            </w:r>
            <w:r>
              <w:rPr>
                <w:spacing w:val="-9"/>
                <w:sz w:val="28"/>
              </w:rPr>
              <w:t> </w:t>
            </w:r>
            <w:r>
              <w:rPr>
                <w:sz w:val="28"/>
              </w:rPr>
              <w:t>не</w:t>
            </w:r>
            <w:r>
              <w:rPr>
                <w:spacing w:val="-9"/>
                <w:sz w:val="28"/>
              </w:rPr>
              <w:t> </w:t>
            </w:r>
            <w:r>
              <w:rPr>
                <w:sz w:val="28"/>
              </w:rPr>
              <w:t>может</w:t>
            </w:r>
            <w:r>
              <w:rPr>
                <w:spacing w:val="-9"/>
                <w:sz w:val="28"/>
              </w:rPr>
              <w:t> </w:t>
            </w:r>
            <w:r>
              <w:rPr>
                <w:sz w:val="28"/>
              </w:rPr>
              <w:t>долго</w:t>
            </w:r>
            <w:r>
              <w:rPr>
                <w:spacing w:val="-11"/>
                <w:sz w:val="28"/>
              </w:rPr>
              <w:t> </w:t>
            </w:r>
            <w:r>
              <w:rPr>
                <w:sz w:val="28"/>
              </w:rPr>
              <w:t>оставаться </w:t>
            </w:r>
            <w:r>
              <w:rPr>
                <w:spacing w:val="-2"/>
                <w:sz w:val="28"/>
              </w:rPr>
              <w:t>спокойным/ой</w:t>
            </w:r>
          </w:p>
        </w:tc>
        <w:tc>
          <w:tcPr>
            <w:tcW w:w="1560" w:type="dxa"/>
          </w:tcPr>
          <w:p>
            <w:pPr>
              <w:pStyle w:val="TableParagraph"/>
              <w:spacing w:before="11"/>
              <w:rPr>
                <w:b/>
                <w:sz w:val="28"/>
              </w:rPr>
            </w:pPr>
          </w:p>
          <w:p>
            <w:pPr>
              <w:pStyle w:val="TableParagraph"/>
              <w:ind w:left="9"/>
              <w:jc w:val="center"/>
              <w:rPr>
                <w:sz w:val="28"/>
              </w:rPr>
            </w:pPr>
            <w:r>
              <w:rPr>
                <w:spacing w:val="-10"/>
                <w:sz w:val="28"/>
              </w:rPr>
              <w:t>0</w:t>
            </w:r>
          </w:p>
        </w:tc>
        <w:tc>
          <w:tcPr>
            <w:tcW w:w="1561" w:type="dxa"/>
          </w:tcPr>
          <w:p>
            <w:pPr>
              <w:pStyle w:val="TableParagraph"/>
              <w:spacing w:before="11"/>
              <w:rPr>
                <w:b/>
                <w:sz w:val="28"/>
              </w:rPr>
            </w:pPr>
          </w:p>
          <w:p>
            <w:pPr>
              <w:pStyle w:val="TableParagraph"/>
              <w:ind w:left="5"/>
              <w:jc w:val="center"/>
              <w:rPr>
                <w:sz w:val="28"/>
              </w:rPr>
            </w:pPr>
            <w:r>
              <w:rPr>
                <w:spacing w:val="-10"/>
                <w:sz w:val="28"/>
              </w:rPr>
              <w:t>1</w:t>
            </w:r>
          </w:p>
        </w:tc>
        <w:tc>
          <w:tcPr>
            <w:tcW w:w="1416" w:type="dxa"/>
          </w:tcPr>
          <w:p>
            <w:pPr>
              <w:pStyle w:val="TableParagraph"/>
              <w:spacing w:before="11"/>
              <w:rPr>
                <w:b/>
                <w:sz w:val="28"/>
              </w:rPr>
            </w:pPr>
          </w:p>
          <w:p>
            <w:pPr>
              <w:pStyle w:val="TableParagraph"/>
              <w:ind w:left="4"/>
              <w:jc w:val="center"/>
              <w:rPr>
                <w:sz w:val="28"/>
              </w:rPr>
            </w:pPr>
            <w:r>
              <w:rPr>
                <w:spacing w:val="-10"/>
                <w:sz w:val="28"/>
              </w:rPr>
              <w:t>2</w:t>
            </w:r>
          </w:p>
        </w:tc>
      </w:tr>
      <w:tr>
        <w:trPr>
          <w:trHeight w:val="763" w:hRule="atLeast"/>
        </w:trPr>
        <w:tc>
          <w:tcPr>
            <w:tcW w:w="5063" w:type="dxa"/>
          </w:tcPr>
          <w:p>
            <w:pPr>
              <w:pStyle w:val="TableParagraph"/>
              <w:spacing w:before="12"/>
              <w:rPr>
                <w:b/>
                <w:sz w:val="28"/>
              </w:rPr>
            </w:pPr>
          </w:p>
          <w:p>
            <w:pPr>
              <w:pStyle w:val="TableParagraph"/>
              <w:ind w:left="100"/>
              <w:rPr>
                <w:sz w:val="28"/>
              </w:rPr>
            </w:pPr>
            <w:r>
              <w:rPr>
                <w:sz w:val="28"/>
              </w:rPr>
              <w:t>6.</w:t>
            </w:r>
            <w:r>
              <w:rPr>
                <w:spacing w:val="-4"/>
                <w:sz w:val="28"/>
              </w:rPr>
              <w:t> </w:t>
            </w:r>
            <w:r>
              <w:rPr>
                <w:sz w:val="28"/>
              </w:rPr>
              <w:t>Постоянно</w:t>
            </w:r>
            <w:r>
              <w:rPr>
                <w:spacing w:val="-3"/>
                <w:sz w:val="28"/>
              </w:rPr>
              <w:t> </w:t>
            </w:r>
            <w:r>
              <w:rPr>
                <w:sz w:val="28"/>
              </w:rPr>
              <w:t>ерзает</w:t>
            </w:r>
            <w:r>
              <w:rPr>
                <w:spacing w:val="-5"/>
                <w:sz w:val="28"/>
              </w:rPr>
              <w:t> </w:t>
            </w:r>
            <w:r>
              <w:rPr>
                <w:sz w:val="28"/>
              </w:rPr>
              <w:t>и</w:t>
            </w:r>
            <w:r>
              <w:rPr>
                <w:spacing w:val="-3"/>
                <w:sz w:val="28"/>
              </w:rPr>
              <w:t> </w:t>
            </w:r>
            <w:r>
              <w:rPr>
                <w:spacing w:val="-2"/>
                <w:sz w:val="28"/>
              </w:rPr>
              <w:t>вертится</w:t>
            </w:r>
          </w:p>
        </w:tc>
        <w:tc>
          <w:tcPr>
            <w:tcW w:w="1560" w:type="dxa"/>
          </w:tcPr>
          <w:p>
            <w:pPr>
              <w:pStyle w:val="TableParagraph"/>
              <w:spacing w:before="12"/>
              <w:rPr>
                <w:b/>
                <w:sz w:val="28"/>
              </w:rPr>
            </w:pPr>
          </w:p>
          <w:p>
            <w:pPr>
              <w:pStyle w:val="TableParagraph"/>
              <w:ind w:left="9"/>
              <w:jc w:val="center"/>
              <w:rPr>
                <w:sz w:val="28"/>
              </w:rPr>
            </w:pPr>
            <w:r>
              <w:rPr>
                <w:spacing w:val="-10"/>
                <w:sz w:val="28"/>
              </w:rPr>
              <w:t>0</w:t>
            </w:r>
          </w:p>
        </w:tc>
        <w:tc>
          <w:tcPr>
            <w:tcW w:w="1561" w:type="dxa"/>
          </w:tcPr>
          <w:p>
            <w:pPr>
              <w:pStyle w:val="TableParagraph"/>
              <w:spacing w:before="12"/>
              <w:rPr>
                <w:b/>
                <w:sz w:val="28"/>
              </w:rPr>
            </w:pPr>
          </w:p>
          <w:p>
            <w:pPr>
              <w:pStyle w:val="TableParagraph"/>
              <w:ind w:left="5"/>
              <w:jc w:val="center"/>
              <w:rPr>
                <w:sz w:val="28"/>
              </w:rPr>
            </w:pPr>
            <w:r>
              <w:rPr>
                <w:spacing w:val="-10"/>
                <w:sz w:val="28"/>
              </w:rPr>
              <w:t>1</w:t>
            </w:r>
          </w:p>
        </w:tc>
        <w:tc>
          <w:tcPr>
            <w:tcW w:w="1416" w:type="dxa"/>
          </w:tcPr>
          <w:p>
            <w:pPr>
              <w:pStyle w:val="TableParagraph"/>
              <w:spacing w:before="12"/>
              <w:rPr>
                <w:b/>
                <w:sz w:val="28"/>
              </w:rPr>
            </w:pPr>
          </w:p>
          <w:p>
            <w:pPr>
              <w:pStyle w:val="TableParagraph"/>
              <w:ind w:left="4"/>
              <w:jc w:val="center"/>
              <w:rPr>
                <w:sz w:val="28"/>
              </w:rPr>
            </w:pPr>
            <w:r>
              <w:rPr>
                <w:spacing w:val="-10"/>
                <w:sz w:val="28"/>
              </w:rPr>
              <w:t>2</w:t>
            </w:r>
          </w:p>
        </w:tc>
      </w:tr>
      <w:tr>
        <w:trPr>
          <w:trHeight w:val="1082" w:hRule="atLeast"/>
        </w:trPr>
        <w:tc>
          <w:tcPr>
            <w:tcW w:w="5063" w:type="dxa"/>
          </w:tcPr>
          <w:p>
            <w:pPr>
              <w:pStyle w:val="TableParagraph"/>
              <w:spacing w:before="9"/>
              <w:rPr>
                <w:b/>
                <w:sz w:val="28"/>
              </w:rPr>
            </w:pPr>
          </w:p>
          <w:p>
            <w:pPr>
              <w:pStyle w:val="TableParagraph"/>
              <w:spacing w:line="242" w:lineRule="auto"/>
              <w:ind w:left="100"/>
              <w:rPr>
                <w:sz w:val="28"/>
              </w:rPr>
            </w:pPr>
            <w:r>
              <w:rPr>
                <w:sz w:val="28"/>
              </w:rPr>
              <w:t>9.</w:t>
            </w:r>
            <w:r>
              <w:rPr>
                <w:spacing w:val="-14"/>
                <w:sz w:val="28"/>
              </w:rPr>
              <w:t> </w:t>
            </w:r>
            <w:r>
              <w:rPr>
                <w:sz w:val="28"/>
              </w:rPr>
              <w:t>Легко</w:t>
            </w:r>
            <w:r>
              <w:rPr>
                <w:spacing w:val="-12"/>
                <w:sz w:val="28"/>
              </w:rPr>
              <w:t> </w:t>
            </w:r>
            <w:r>
              <w:rPr>
                <w:sz w:val="28"/>
              </w:rPr>
              <w:t>отвлекается,</w:t>
            </w:r>
            <w:r>
              <w:rPr>
                <w:spacing w:val="-13"/>
                <w:sz w:val="28"/>
              </w:rPr>
              <w:t> </w:t>
            </w:r>
            <w:r>
              <w:rPr>
                <w:sz w:val="28"/>
              </w:rPr>
              <w:t>внимание </w:t>
            </w:r>
            <w:r>
              <w:rPr>
                <w:spacing w:val="-2"/>
                <w:sz w:val="28"/>
              </w:rPr>
              <w:t>рассеянное</w:t>
            </w:r>
          </w:p>
        </w:tc>
        <w:tc>
          <w:tcPr>
            <w:tcW w:w="1560" w:type="dxa"/>
          </w:tcPr>
          <w:p>
            <w:pPr>
              <w:pStyle w:val="TableParagraph"/>
              <w:spacing w:before="9"/>
              <w:rPr>
                <w:b/>
                <w:sz w:val="28"/>
              </w:rPr>
            </w:pPr>
          </w:p>
          <w:p>
            <w:pPr>
              <w:pStyle w:val="TableParagraph"/>
              <w:ind w:left="9"/>
              <w:jc w:val="center"/>
              <w:rPr>
                <w:sz w:val="28"/>
              </w:rPr>
            </w:pPr>
            <w:r>
              <w:rPr>
                <w:spacing w:val="-10"/>
                <w:sz w:val="28"/>
              </w:rPr>
              <w:t>0</w:t>
            </w:r>
          </w:p>
        </w:tc>
        <w:tc>
          <w:tcPr>
            <w:tcW w:w="1561" w:type="dxa"/>
          </w:tcPr>
          <w:p>
            <w:pPr>
              <w:pStyle w:val="TableParagraph"/>
              <w:spacing w:before="9"/>
              <w:rPr>
                <w:b/>
                <w:sz w:val="28"/>
              </w:rPr>
            </w:pPr>
          </w:p>
          <w:p>
            <w:pPr>
              <w:pStyle w:val="TableParagraph"/>
              <w:ind w:left="5"/>
              <w:jc w:val="center"/>
              <w:rPr>
                <w:sz w:val="28"/>
              </w:rPr>
            </w:pPr>
            <w:r>
              <w:rPr>
                <w:spacing w:val="-10"/>
                <w:sz w:val="28"/>
              </w:rPr>
              <w:t>1</w:t>
            </w:r>
          </w:p>
        </w:tc>
        <w:tc>
          <w:tcPr>
            <w:tcW w:w="1416" w:type="dxa"/>
          </w:tcPr>
          <w:p>
            <w:pPr>
              <w:pStyle w:val="TableParagraph"/>
              <w:spacing w:before="9"/>
              <w:rPr>
                <w:b/>
                <w:sz w:val="28"/>
              </w:rPr>
            </w:pPr>
          </w:p>
          <w:p>
            <w:pPr>
              <w:pStyle w:val="TableParagraph"/>
              <w:ind w:left="4"/>
              <w:jc w:val="center"/>
              <w:rPr>
                <w:sz w:val="28"/>
              </w:rPr>
            </w:pPr>
            <w:r>
              <w:rPr>
                <w:spacing w:val="-10"/>
                <w:sz w:val="28"/>
              </w:rPr>
              <w:t>2</w:t>
            </w:r>
          </w:p>
        </w:tc>
      </w:tr>
      <w:tr>
        <w:trPr>
          <w:trHeight w:val="1084" w:hRule="atLeast"/>
        </w:trPr>
        <w:tc>
          <w:tcPr>
            <w:tcW w:w="5063" w:type="dxa"/>
          </w:tcPr>
          <w:p>
            <w:pPr>
              <w:pStyle w:val="TableParagraph"/>
              <w:spacing w:before="11"/>
              <w:rPr>
                <w:b/>
                <w:sz w:val="28"/>
              </w:rPr>
            </w:pPr>
          </w:p>
          <w:p>
            <w:pPr>
              <w:pStyle w:val="TableParagraph"/>
              <w:ind w:left="100"/>
              <w:rPr>
                <w:sz w:val="28"/>
              </w:rPr>
            </w:pPr>
            <w:r>
              <w:rPr>
                <w:sz w:val="28"/>
              </w:rPr>
              <w:t>12.</w:t>
            </w:r>
            <w:r>
              <w:rPr>
                <w:spacing w:val="-9"/>
                <w:sz w:val="28"/>
              </w:rPr>
              <w:t> </w:t>
            </w:r>
            <w:r>
              <w:rPr>
                <w:sz w:val="28"/>
              </w:rPr>
              <w:t>Хорошенько</w:t>
            </w:r>
            <w:r>
              <w:rPr>
                <w:spacing w:val="-10"/>
                <w:sz w:val="28"/>
              </w:rPr>
              <w:t> </w:t>
            </w:r>
            <w:r>
              <w:rPr>
                <w:sz w:val="28"/>
              </w:rPr>
              <w:t>подумает,</w:t>
            </w:r>
            <w:r>
              <w:rPr>
                <w:spacing w:val="-10"/>
                <w:sz w:val="28"/>
              </w:rPr>
              <w:t> </w:t>
            </w:r>
            <w:r>
              <w:rPr>
                <w:sz w:val="28"/>
              </w:rPr>
              <w:t>прежде</w:t>
            </w:r>
            <w:r>
              <w:rPr>
                <w:spacing w:val="-10"/>
                <w:sz w:val="28"/>
              </w:rPr>
              <w:t> </w:t>
            </w:r>
            <w:r>
              <w:rPr>
                <w:sz w:val="28"/>
              </w:rPr>
              <w:t>чем </w:t>
            </w:r>
            <w:r>
              <w:rPr>
                <w:spacing w:val="-2"/>
                <w:sz w:val="28"/>
              </w:rPr>
              <w:t>действовать</w:t>
            </w:r>
          </w:p>
        </w:tc>
        <w:tc>
          <w:tcPr>
            <w:tcW w:w="1560" w:type="dxa"/>
          </w:tcPr>
          <w:p>
            <w:pPr>
              <w:pStyle w:val="TableParagraph"/>
              <w:spacing w:before="11"/>
              <w:rPr>
                <w:b/>
                <w:sz w:val="28"/>
              </w:rPr>
            </w:pPr>
          </w:p>
          <w:p>
            <w:pPr>
              <w:pStyle w:val="TableParagraph"/>
              <w:ind w:left="9"/>
              <w:jc w:val="center"/>
              <w:rPr>
                <w:sz w:val="28"/>
              </w:rPr>
            </w:pPr>
            <w:r>
              <w:rPr>
                <w:spacing w:val="-10"/>
                <w:sz w:val="28"/>
              </w:rPr>
              <w:t>2</w:t>
            </w:r>
          </w:p>
        </w:tc>
        <w:tc>
          <w:tcPr>
            <w:tcW w:w="1561" w:type="dxa"/>
          </w:tcPr>
          <w:p>
            <w:pPr>
              <w:pStyle w:val="TableParagraph"/>
              <w:spacing w:before="11"/>
              <w:rPr>
                <w:b/>
                <w:sz w:val="28"/>
              </w:rPr>
            </w:pPr>
          </w:p>
          <w:p>
            <w:pPr>
              <w:pStyle w:val="TableParagraph"/>
              <w:ind w:left="5"/>
              <w:jc w:val="center"/>
              <w:rPr>
                <w:sz w:val="28"/>
              </w:rPr>
            </w:pPr>
            <w:r>
              <w:rPr>
                <w:spacing w:val="-10"/>
                <w:sz w:val="28"/>
              </w:rPr>
              <w:t>1</w:t>
            </w:r>
          </w:p>
        </w:tc>
        <w:tc>
          <w:tcPr>
            <w:tcW w:w="1416" w:type="dxa"/>
          </w:tcPr>
          <w:p>
            <w:pPr>
              <w:pStyle w:val="TableParagraph"/>
              <w:spacing w:before="11"/>
              <w:rPr>
                <w:b/>
                <w:sz w:val="28"/>
              </w:rPr>
            </w:pPr>
          </w:p>
          <w:p>
            <w:pPr>
              <w:pStyle w:val="TableParagraph"/>
              <w:ind w:left="4"/>
              <w:jc w:val="center"/>
              <w:rPr>
                <w:sz w:val="28"/>
              </w:rPr>
            </w:pPr>
            <w:r>
              <w:rPr>
                <w:spacing w:val="-10"/>
                <w:sz w:val="28"/>
              </w:rPr>
              <w:t>0</w:t>
            </w:r>
          </w:p>
        </w:tc>
      </w:tr>
      <w:tr>
        <w:trPr>
          <w:trHeight w:val="1392" w:hRule="atLeast"/>
        </w:trPr>
        <w:tc>
          <w:tcPr>
            <w:tcW w:w="5063" w:type="dxa"/>
          </w:tcPr>
          <w:p>
            <w:pPr>
              <w:pStyle w:val="TableParagraph"/>
              <w:spacing w:before="12"/>
              <w:rPr>
                <w:b/>
                <w:sz w:val="28"/>
              </w:rPr>
            </w:pPr>
          </w:p>
          <w:p>
            <w:pPr>
              <w:pStyle w:val="TableParagraph"/>
              <w:ind w:left="100"/>
              <w:rPr>
                <w:sz w:val="28"/>
              </w:rPr>
            </w:pPr>
            <w:r>
              <w:rPr>
                <w:sz w:val="28"/>
              </w:rPr>
              <w:t>15. Выполняет задания от начала до конца,</w:t>
            </w:r>
            <w:r>
              <w:rPr>
                <w:spacing w:val="-14"/>
                <w:sz w:val="28"/>
              </w:rPr>
              <w:t> </w:t>
            </w:r>
            <w:r>
              <w:rPr>
                <w:sz w:val="28"/>
              </w:rPr>
              <w:t>внимателен/на</w:t>
            </w:r>
            <w:r>
              <w:rPr>
                <w:spacing w:val="-13"/>
                <w:sz w:val="28"/>
              </w:rPr>
              <w:t> </w:t>
            </w:r>
            <w:r>
              <w:rPr>
                <w:sz w:val="28"/>
              </w:rPr>
              <w:t>и</w:t>
            </w:r>
            <w:r>
              <w:rPr>
                <w:spacing w:val="-13"/>
                <w:sz w:val="28"/>
              </w:rPr>
              <w:t> </w:t>
            </w:r>
            <w:r>
              <w:rPr>
                <w:sz w:val="28"/>
              </w:rPr>
              <w:t>сосредоточен/а</w:t>
            </w:r>
          </w:p>
        </w:tc>
        <w:tc>
          <w:tcPr>
            <w:tcW w:w="1560" w:type="dxa"/>
          </w:tcPr>
          <w:p>
            <w:pPr>
              <w:pStyle w:val="TableParagraph"/>
              <w:spacing w:before="12"/>
              <w:rPr>
                <w:b/>
                <w:sz w:val="28"/>
              </w:rPr>
            </w:pPr>
          </w:p>
          <w:p>
            <w:pPr>
              <w:pStyle w:val="TableParagraph"/>
              <w:ind w:left="9"/>
              <w:jc w:val="center"/>
              <w:rPr>
                <w:sz w:val="28"/>
              </w:rPr>
            </w:pPr>
            <w:r>
              <w:rPr>
                <w:spacing w:val="-10"/>
                <w:sz w:val="28"/>
              </w:rPr>
              <w:t>2</w:t>
            </w:r>
          </w:p>
        </w:tc>
        <w:tc>
          <w:tcPr>
            <w:tcW w:w="1561" w:type="dxa"/>
          </w:tcPr>
          <w:p>
            <w:pPr>
              <w:pStyle w:val="TableParagraph"/>
              <w:spacing w:before="12"/>
              <w:rPr>
                <w:b/>
                <w:sz w:val="28"/>
              </w:rPr>
            </w:pPr>
          </w:p>
          <w:p>
            <w:pPr>
              <w:pStyle w:val="TableParagraph"/>
              <w:ind w:left="5"/>
              <w:jc w:val="center"/>
              <w:rPr>
                <w:sz w:val="28"/>
              </w:rPr>
            </w:pPr>
            <w:r>
              <w:rPr>
                <w:spacing w:val="-10"/>
                <w:sz w:val="28"/>
              </w:rPr>
              <w:t>1</w:t>
            </w:r>
          </w:p>
        </w:tc>
        <w:tc>
          <w:tcPr>
            <w:tcW w:w="1416" w:type="dxa"/>
          </w:tcPr>
          <w:p>
            <w:pPr>
              <w:pStyle w:val="TableParagraph"/>
              <w:spacing w:before="12"/>
              <w:rPr>
                <w:b/>
                <w:sz w:val="28"/>
              </w:rPr>
            </w:pPr>
          </w:p>
          <w:p>
            <w:pPr>
              <w:pStyle w:val="TableParagraph"/>
              <w:ind w:left="4"/>
              <w:jc w:val="center"/>
              <w:rPr>
                <w:sz w:val="28"/>
              </w:rPr>
            </w:pPr>
            <w:r>
              <w:rPr>
                <w:spacing w:val="-10"/>
                <w:sz w:val="28"/>
              </w:rPr>
              <w:t>0</w:t>
            </w:r>
          </w:p>
        </w:tc>
      </w:tr>
    </w:tbl>
    <w:p>
      <w:pPr>
        <w:pStyle w:val="BodyText"/>
        <w:ind w:left="0" w:right="0" w:firstLine="0"/>
        <w:jc w:val="left"/>
        <w:rPr>
          <w:b/>
          <w:sz w:val="28"/>
        </w:rPr>
      </w:pPr>
    </w:p>
    <w:p>
      <w:pPr>
        <w:pStyle w:val="BodyText"/>
        <w:spacing w:before="168"/>
        <w:ind w:left="0" w:right="0" w:firstLine="0"/>
        <w:jc w:val="left"/>
        <w:rPr>
          <w:b/>
          <w:sz w:val="28"/>
        </w:rPr>
      </w:pPr>
    </w:p>
    <w:p>
      <w:pPr>
        <w:pStyle w:val="Heading4"/>
        <w:ind w:right="559"/>
      </w:pPr>
      <w:r>
        <w:rPr/>
        <w:t>Если</w:t>
      </w:r>
      <w:r>
        <w:rPr>
          <w:spacing w:val="-2"/>
        </w:rPr>
        <w:t> </w:t>
      </w:r>
      <w:r>
        <w:rPr/>
        <w:t>все</w:t>
      </w:r>
      <w:r>
        <w:rPr>
          <w:spacing w:val="-2"/>
        </w:rPr>
        <w:t> </w:t>
      </w:r>
      <w:r>
        <w:rPr/>
        <w:t>пункты</w:t>
      </w:r>
      <w:r>
        <w:rPr>
          <w:spacing w:val="-2"/>
        </w:rPr>
        <w:t> </w:t>
      </w:r>
      <w:r>
        <w:rPr/>
        <w:t>заполнены,</w:t>
      </w:r>
      <w:r>
        <w:rPr>
          <w:spacing w:val="-3"/>
        </w:rPr>
        <w:t> </w:t>
      </w:r>
      <w:r>
        <w:rPr/>
        <w:t>то</w:t>
      </w:r>
      <w:r>
        <w:rPr>
          <w:spacing w:val="-5"/>
        </w:rPr>
        <w:t> </w:t>
      </w:r>
      <w:r>
        <w:rPr/>
        <w:t>по</w:t>
      </w:r>
      <w:r>
        <w:rPr>
          <w:spacing w:val="-3"/>
        </w:rPr>
        <w:t> </w:t>
      </w:r>
      <w:r>
        <w:rPr/>
        <w:t>каждой</w:t>
      </w:r>
      <w:r>
        <w:rPr>
          <w:spacing w:val="-5"/>
        </w:rPr>
        <w:t> </w:t>
      </w:r>
      <w:r>
        <w:rPr/>
        <w:t>из</w:t>
      </w:r>
      <w:r>
        <w:rPr>
          <w:spacing w:val="-3"/>
        </w:rPr>
        <w:t> </w:t>
      </w:r>
      <w:r>
        <w:rPr/>
        <w:t>шкал</w:t>
      </w:r>
      <w:r>
        <w:rPr>
          <w:spacing w:val="-4"/>
        </w:rPr>
        <w:t> </w:t>
      </w:r>
      <w:r>
        <w:rPr/>
        <w:t>оценка</w:t>
      </w:r>
      <w:r>
        <w:rPr>
          <w:spacing w:val="-2"/>
        </w:rPr>
        <w:t> </w:t>
      </w:r>
      <w:r>
        <w:rPr/>
        <w:t>может</w:t>
      </w:r>
      <w:r>
        <w:rPr>
          <w:spacing w:val="-5"/>
        </w:rPr>
        <w:t> </w:t>
      </w:r>
      <w:r>
        <w:rPr/>
        <w:t>составить</w:t>
      </w:r>
      <w:r>
        <w:rPr>
          <w:spacing w:val="-6"/>
        </w:rPr>
        <w:t> </w:t>
      </w:r>
      <w:r>
        <w:rPr/>
        <w:t>от 0 до 10. Если не все пункты заполнены, но получены ответы не менее чем на три вопроса в шкале, оценка по ней может быть пропорционально увеличена. Например,</w:t>
      </w:r>
      <w:r>
        <w:rPr>
          <w:spacing w:val="-7"/>
        </w:rPr>
        <w:t> </w:t>
      </w:r>
      <w:r>
        <w:rPr/>
        <w:t>полученные</w:t>
      </w:r>
      <w:r>
        <w:rPr>
          <w:spacing w:val="-6"/>
        </w:rPr>
        <w:t> </w:t>
      </w:r>
      <w:r>
        <w:rPr/>
        <w:t>в</w:t>
      </w:r>
      <w:r>
        <w:rPr>
          <w:spacing w:val="-7"/>
        </w:rPr>
        <w:t> </w:t>
      </w:r>
      <w:r>
        <w:rPr/>
        <w:t>шкале</w:t>
      </w:r>
      <w:r>
        <w:rPr>
          <w:spacing w:val="-9"/>
        </w:rPr>
        <w:t> </w:t>
      </w:r>
      <w:r>
        <w:rPr/>
        <w:t>4</w:t>
      </w:r>
      <w:r>
        <w:rPr>
          <w:spacing w:val="-6"/>
        </w:rPr>
        <w:t> </w:t>
      </w:r>
      <w:r>
        <w:rPr/>
        <w:t>балла</w:t>
      </w:r>
      <w:r>
        <w:rPr>
          <w:spacing w:val="-6"/>
        </w:rPr>
        <w:t> </w:t>
      </w:r>
      <w:r>
        <w:rPr/>
        <w:t>на</w:t>
      </w:r>
      <w:r>
        <w:rPr>
          <w:spacing w:val="-6"/>
        </w:rPr>
        <w:t> </w:t>
      </w:r>
      <w:r>
        <w:rPr/>
        <w:t>основе</w:t>
      </w:r>
      <w:r>
        <w:rPr>
          <w:spacing w:val="-7"/>
        </w:rPr>
        <w:t> </w:t>
      </w:r>
      <w:r>
        <w:rPr/>
        <w:t>трех</w:t>
      </w:r>
      <w:r>
        <w:rPr>
          <w:spacing w:val="-6"/>
        </w:rPr>
        <w:t> </w:t>
      </w:r>
      <w:r>
        <w:rPr/>
        <w:t>заполненных</w:t>
      </w:r>
      <w:r>
        <w:rPr>
          <w:spacing w:val="-6"/>
        </w:rPr>
        <w:t> </w:t>
      </w:r>
      <w:r>
        <w:rPr/>
        <w:t>вопросов могут быть увеличены до 7: (4/3) х 5 = 6,67 балла с округлением в большую </w:t>
      </w:r>
      <w:r>
        <w:rPr>
          <w:spacing w:val="-2"/>
        </w:rPr>
        <w:t>сторону.</w:t>
      </w:r>
    </w:p>
    <w:p>
      <w:pPr>
        <w:pStyle w:val="Heading4"/>
        <w:spacing w:before="241"/>
        <w:ind w:right="560"/>
      </w:pPr>
      <w:r>
        <w:rPr/>
        <w:t>Общий балл психологических трудностей создается путем суммирования баллов</w:t>
      </w:r>
      <w:r>
        <w:rPr>
          <w:spacing w:val="-7"/>
        </w:rPr>
        <w:t> </w:t>
      </w:r>
      <w:r>
        <w:rPr/>
        <w:t>по</w:t>
      </w:r>
      <w:r>
        <w:rPr>
          <w:spacing w:val="-6"/>
        </w:rPr>
        <w:t> </w:t>
      </w:r>
      <w:r>
        <w:rPr/>
        <w:t>всем</w:t>
      </w:r>
      <w:r>
        <w:rPr>
          <w:spacing w:val="-7"/>
        </w:rPr>
        <w:t> </w:t>
      </w:r>
      <w:r>
        <w:rPr/>
        <w:t>шкалам.</w:t>
      </w:r>
      <w:r>
        <w:rPr>
          <w:spacing w:val="-7"/>
        </w:rPr>
        <w:t> </w:t>
      </w:r>
      <w:r>
        <w:rPr/>
        <w:t>Сумма</w:t>
      </w:r>
      <w:r>
        <w:rPr>
          <w:spacing w:val="-7"/>
        </w:rPr>
        <w:t> </w:t>
      </w:r>
      <w:r>
        <w:rPr/>
        <w:t>баллов</w:t>
      </w:r>
      <w:r>
        <w:rPr>
          <w:spacing w:val="-7"/>
        </w:rPr>
        <w:t> </w:t>
      </w:r>
      <w:r>
        <w:rPr/>
        <w:t>варьируется</w:t>
      </w:r>
      <w:r>
        <w:rPr>
          <w:spacing w:val="-6"/>
        </w:rPr>
        <w:t> </w:t>
      </w:r>
      <w:r>
        <w:rPr/>
        <w:t>от</w:t>
      </w:r>
      <w:r>
        <w:rPr>
          <w:spacing w:val="-7"/>
        </w:rPr>
        <w:t> </w:t>
      </w:r>
      <w:r>
        <w:rPr/>
        <w:t>0</w:t>
      </w:r>
      <w:r>
        <w:rPr>
          <w:spacing w:val="-6"/>
        </w:rPr>
        <w:t> </w:t>
      </w:r>
      <w:r>
        <w:rPr/>
        <w:t>до</w:t>
      </w:r>
      <w:r>
        <w:rPr>
          <w:spacing w:val="-8"/>
        </w:rPr>
        <w:t> </w:t>
      </w:r>
      <w:r>
        <w:rPr/>
        <w:t>30.</w:t>
      </w:r>
      <w:r>
        <w:rPr>
          <w:spacing w:val="-7"/>
        </w:rPr>
        <w:t> </w:t>
      </w:r>
      <w:r>
        <w:rPr/>
        <w:t>По</w:t>
      </w:r>
      <w:r>
        <w:rPr>
          <w:spacing w:val="-6"/>
        </w:rPr>
        <w:t> </w:t>
      </w:r>
      <w:r>
        <w:rPr/>
        <w:t>результатам оценивается, в какую группу по выраженности психологических трудностей попадает ребенок. Нормой считается показатель, не превышающий 80% от популяции в целом. Следующие 10% детей (по выраженности трудностей) относятся к «пограничной» группе. Оставшиеся 10% — «группа риска». Выделение крайних показателей 10% популяции основывается на подходе автора методики Р. Гудмана, по данным которого у детей данной группы вероятность подтвержденного психического расстройства в 5,5 раз выше по сравнению с нормой: 45% — для «группы риска» и 8% — для «нормы» (</w:t>
      </w:r>
      <w:r>
        <w:rPr>
          <w:i/>
        </w:rPr>
        <w:t>Goodman</w:t>
      </w:r>
      <w:r>
        <w:rPr/>
        <w:t>, 2001).</w:t>
      </w:r>
    </w:p>
    <w:p>
      <w:pPr>
        <w:pStyle w:val="Heading4"/>
        <w:spacing w:after="0"/>
        <w:sectPr>
          <w:type w:val="continuous"/>
          <w:pgSz w:w="11910" w:h="16840"/>
          <w:pgMar w:header="0" w:footer="970" w:top="1100" w:bottom="1220" w:left="1417" w:right="283"/>
        </w:sectPr>
      </w:pPr>
    </w:p>
    <w:p>
      <w:pPr>
        <w:pStyle w:val="Heading4"/>
        <w:spacing w:before="67"/>
        <w:ind w:right="561"/>
      </w:pPr>
      <w:r>
        <w:rPr/>
        <w:t>По результатам апробации в 2022 г.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w:t>
      </w:r>
      <w:r>
        <w:rPr>
          <w:spacing w:val="-5"/>
        </w:rPr>
        <w:t> </w:t>
      </w:r>
      <w:r>
        <w:rPr/>
        <w:t>на</w:t>
      </w:r>
      <w:r>
        <w:rPr>
          <w:spacing w:val="-4"/>
        </w:rPr>
        <w:t> </w:t>
      </w:r>
      <w:r>
        <w:rPr/>
        <w:t>основании</w:t>
      </w:r>
      <w:r>
        <w:rPr>
          <w:spacing w:val="-4"/>
        </w:rPr>
        <w:t> </w:t>
      </w:r>
      <w:r>
        <w:rPr/>
        <w:t>статистического</w:t>
      </w:r>
      <w:r>
        <w:rPr>
          <w:spacing w:val="-4"/>
        </w:rPr>
        <w:t> </w:t>
      </w:r>
      <w:r>
        <w:rPr/>
        <w:t>анализа</w:t>
      </w:r>
      <w:r>
        <w:rPr>
          <w:spacing w:val="-5"/>
        </w:rPr>
        <w:t> </w:t>
      </w:r>
      <w:r>
        <w:rPr/>
        <w:t>распределения</w:t>
      </w:r>
      <w:r>
        <w:rPr>
          <w:spacing w:val="-7"/>
        </w:rPr>
        <w:t> </w:t>
      </w:r>
      <w:r>
        <w:rPr/>
        <w:t>показателей у</w:t>
      </w:r>
      <w:r>
        <w:rPr>
          <w:spacing w:val="-17"/>
        </w:rPr>
        <w:t> </w:t>
      </w:r>
      <w:r>
        <w:rPr/>
        <w:t>детей</w:t>
      </w:r>
      <w:r>
        <w:rPr>
          <w:spacing w:val="-15"/>
        </w:rPr>
        <w:t> </w:t>
      </w:r>
      <w:r>
        <w:rPr/>
        <w:t>—</w:t>
      </w:r>
      <w:r>
        <w:rPr>
          <w:spacing w:val="-16"/>
        </w:rPr>
        <w:t> </w:t>
      </w:r>
      <w:r>
        <w:rPr/>
        <w:t>иностранных</w:t>
      </w:r>
      <w:r>
        <w:rPr>
          <w:spacing w:val="-15"/>
        </w:rPr>
        <w:t> </w:t>
      </w:r>
      <w:r>
        <w:rPr/>
        <w:t>граждан,</w:t>
      </w:r>
      <w:r>
        <w:rPr>
          <w:spacing w:val="-16"/>
        </w:rPr>
        <w:t> </w:t>
      </w:r>
      <w:r>
        <w:rPr/>
        <w:t>выделены</w:t>
      </w:r>
      <w:r>
        <w:rPr>
          <w:spacing w:val="-15"/>
        </w:rPr>
        <w:t> </w:t>
      </w:r>
      <w:r>
        <w:rPr/>
        <w:t>следующие</w:t>
      </w:r>
      <w:r>
        <w:rPr>
          <w:spacing w:val="-15"/>
        </w:rPr>
        <w:t> </w:t>
      </w:r>
      <w:r>
        <w:rPr/>
        <w:t>нормативы</w:t>
      </w:r>
      <w:r>
        <w:rPr>
          <w:color w:val="FF0000"/>
        </w:rPr>
        <w:t>.</w:t>
      </w:r>
      <w:r>
        <w:rPr>
          <w:color w:val="FF0000"/>
          <w:spacing w:val="-16"/>
        </w:rPr>
        <w:t> </w:t>
      </w:r>
      <w:r>
        <w:rPr/>
        <w:t>В</w:t>
      </w:r>
      <w:r>
        <w:rPr>
          <w:spacing w:val="-16"/>
        </w:rPr>
        <w:t> </w:t>
      </w:r>
      <w:r>
        <w:rPr/>
        <w:t>отличие от</w:t>
      </w:r>
      <w:r>
        <w:rPr>
          <w:spacing w:val="-9"/>
        </w:rPr>
        <w:t> </w:t>
      </w:r>
      <w:r>
        <w:rPr/>
        <w:t>нормативов</w:t>
      </w:r>
      <w:r>
        <w:rPr>
          <w:spacing w:val="-9"/>
        </w:rPr>
        <w:t> </w:t>
      </w:r>
      <w:r>
        <w:rPr/>
        <w:t>в</w:t>
      </w:r>
      <w:r>
        <w:rPr>
          <w:spacing w:val="-9"/>
        </w:rPr>
        <w:t> </w:t>
      </w:r>
      <w:r>
        <w:rPr/>
        <w:t>последующих</w:t>
      </w:r>
      <w:r>
        <w:rPr>
          <w:spacing w:val="-7"/>
        </w:rPr>
        <w:t> </w:t>
      </w:r>
      <w:r>
        <w:rPr/>
        <w:t>методиках,</w:t>
      </w:r>
      <w:r>
        <w:rPr>
          <w:spacing w:val="-9"/>
        </w:rPr>
        <w:t> </w:t>
      </w:r>
      <w:r>
        <w:rPr/>
        <w:t>в</w:t>
      </w:r>
      <w:r>
        <w:rPr>
          <w:spacing w:val="-9"/>
        </w:rPr>
        <w:t> </w:t>
      </w:r>
      <w:r>
        <w:rPr/>
        <w:t>данном</w:t>
      </w:r>
      <w:r>
        <w:rPr>
          <w:spacing w:val="-9"/>
        </w:rPr>
        <w:t> </w:t>
      </w:r>
      <w:r>
        <w:rPr/>
        <w:t>случае</w:t>
      </w:r>
      <w:r>
        <w:rPr>
          <w:spacing w:val="-8"/>
        </w:rPr>
        <w:t> </w:t>
      </w:r>
      <w:r>
        <w:rPr/>
        <w:t>они</w:t>
      </w:r>
      <w:r>
        <w:rPr>
          <w:spacing w:val="-11"/>
        </w:rPr>
        <w:t> </w:t>
      </w:r>
      <w:r>
        <w:rPr/>
        <w:t>основываются на оригинальном подходе Гудмана (см. выше), связанном с выделением % в популяции и определением «группы риска» и «пограничной» группы.</w:t>
      </w:r>
    </w:p>
    <w:p>
      <w:pPr>
        <w:pStyle w:val="Heading3"/>
        <w:spacing w:before="250"/>
        <w:ind w:left="0" w:right="561"/>
        <w:jc w:val="right"/>
      </w:pPr>
      <w:r>
        <w:rPr/>
        <w:t>Таблица</w:t>
      </w:r>
      <w:r>
        <w:rPr>
          <w:spacing w:val="-3"/>
        </w:rPr>
        <w:t> </w:t>
      </w:r>
      <w:r>
        <w:rPr>
          <w:spacing w:val="-10"/>
        </w:rPr>
        <w:t>2</w:t>
      </w:r>
    </w:p>
    <w:p>
      <w:pPr>
        <w:spacing w:before="237"/>
        <w:ind w:left="1021" w:right="0" w:hanging="188"/>
        <w:jc w:val="left"/>
        <w:rPr>
          <w:b/>
          <w:sz w:val="28"/>
        </w:rPr>
      </w:pPr>
      <w:r>
        <w:rPr>
          <w:b/>
          <w:sz w:val="28"/>
        </w:rPr>
        <w:t>Пересмотренные</w:t>
      </w:r>
      <w:r>
        <w:rPr>
          <w:b/>
          <w:spacing w:val="-4"/>
          <w:sz w:val="28"/>
        </w:rPr>
        <w:t> </w:t>
      </w:r>
      <w:r>
        <w:rPr>
          <w:b/>
          <w:sz w:val="28"/>
        </w:rPr>
        <w:t>критерии</w:t>
      </w:r>
      <w:r>
        <w:rPr>
          <w:b/>
          <w:spacing w:val="-5"/>
          <w:sz w:val="28"/>
        </w:rPr>
        <w:t> </w:t>
      </w:r>
      <w:r>
        <w:rPr>
          <w:b/>
          <w:sz w:val="28"/>
        </w:rPr>
        <w:t>оценки</w:t>
      </w:r>
      <w:r>
        <w:rPr>
          <w:b/>
          <w:spacing w:val="-5"/>
          <w:sz w:val="28"/>
        </w:rPr>
        <w:t> </w:t>
      </w:r>
      <w:r>
        <w:rPr>
          <w:b/>
          <w:sz w:val="28"/>
        </w:rPr>
        <w:t>по</w:t>
      </w:r>
      <w:r>
        <w:rPr>
          <w:b/>
          <w:spacing w:val="-5"/>
          <w:sz w:val="28"/>
        </w:rPr>
        <w:t> </w:t>
      </w:r>
      <w:r>
        <w:rPr>
          <w:b/>
          <w:sz w:val="28"/>
        </w:rPr>
        <w:t>общей</w:t>
      </w:r>
      <w:r>
        <w:rPr>
          <w:b/>
          <w:spacing w:val="-6"/>
          <w:sz w:val="28"/>
        </w:rPr>
        <w:t> </w:t>
      </w:r>
      <w:r>
        <w:rPr>
          <w:b/>
          <w:sz w:val="28"/>
        </w:rPr>
        <w:t>шкале</w:t>
      </w:r>
      <w:r>
        <w:rPr>
          <w:b/>
          <w:spacing w:val="-4"/>
          <w:sz w:val="28"/>
        </w:rPr>
        <w:t> </w:t>
      </w:r>
      <w:r>
        <w:rPr>
          <w:b/>
          <w:sz w:val="28"/>
        </w:rPr>
        <w:t>на</w:t>
      </w:r>
      <w:r>
        <w:rPr>
          <w:b/>
          <w:spacing w:val="-3"/>
          <w:sz w:val="28"/>
        </w:rPr>
        <w:t> </w:t>
      </w:r>
      <w:r>
        <w:rPr>
          <w:b/>
          <w:sz w:val="28"/>
        </w:rPr>
        <w:t>выборках несовершеннолетних детей — иностранных граждан в России</w:t>
      </w:r>
    </w:p>
    <w:p>
      <w:pPr>
        <w:pStyle w:val="BodyText"/>
        <w:ind w:left="0" w:right="0" w:firstLine="0"/>
        <w:jc w:val="left"/>
        <w:rPr>
          <w:b/>
        </w:rPr>
      </w:pPr>
    </w:p>
    <w:p>
      <w:pPr>
        <w:pStyle w:val="BodyText"/>
        <w:ind w:left="0" w:right="0" w:firstLine="0"/>
        <w:jc w:val="left"/>
        <w:rPr>
          <w:b/>
        </w:rPr>
      </w:pPr>
    </w:p>
    <w:p>
      <w:pPr>
        <w:pStyle w:val="BodyText"/>
        <w:spacing w:before="34"/>
        <w:ind w:left="0" w:right="0" w:firstLine="0"/>
        <w:jc w:val="left"/>
        <w:rPr>
          <w:b/>
        </w:r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97"/>
        <w:gridCol w:w="1915"/>
        <w:gridCol w:w="1843"/>
        <w:gridCol w:w="1702"/>
        <w:gridCol w:w="1841"/>
      </w:tblGrid>
      <w:tr>
        <w:trPr>
          <w:trHeight w:val="957" w:hRule="atLeast"/>
        </w:trPr>
        <w:tc>
          <w:tcPr>
            <w:tcW w:w="9598" w:type="dxa"/>
            <w:gridSpan w:val="5"/>
          </w:tcPr>
          <w:p>
            <w:pPr>
              <w:pStyle w:val="TableParagraph"/>
              <w:spacing w:before="61"/>
              <w:rPr>
                <w:b/>
                <w:sz w:val="24"/>
              </w:rPr>
            </w:pPr>
          </w:p>
          <w:p>
            <w:pPr>
              <w:pStyle w:val="TableParagraph"/>
              <w:ind w:left="6"/>
              <w:jc w:val="center"/>
              <w:rPr>
                <w:b/>
                <w:sz w:val="24"/>
              </w:rPr>
            </w:pPr>
            <w:r>
              <w:rPr>
                <w:b/>
                <w:sz w:val="24"/>
              </w:rPr>
              <w:t>Общий</w:t>
            </w:r>
            <w:r>
              <w:rPr>
                <w:b/>
                <w:spacing w:val="-7"/>
                <w:sz w:val="24"/>
              </w:rPr>
              <w:t> </w:t>
            </w:r>
            <w:r>
              <w:rPr>
                <w:b/>
                <w:sz w:val="24"/>
              </w:rPr>
              <w:t>показатель</w:t>
            </w:r>
            <w:r>
              <w:rPr>
                <w:b/>
                <w:spacing w:val="-7"/>
                <w:sz w:val="24"/>
              </w:rPr>
              <w:t> </w:t>
            </w:r>
            <w:r>
              <w:rPr>
                <w:b/>
                <w:sz w:val="24"/>
              </w:rPr>
              <w:t>психологических</w:t>
            </w:r>
            <w:r>
              <w:rPr>
                <w:b/>
                <w:spacing w:val="-7"/>
                <w:sz w:val="24"/>
              </w:rPr>
              <w:t> </w:t>
            </w:r>
            <w:r>
              <w:rPr>
                <w:b/>
                <w:spacing w:val="-2"/>
                <w:sz w:val="24"/>
              </w:rPr>
              <w:t>трудностей</w:t>
            </w:r>
          </w:p>
        </w:tc>
      </w:tr>
      <w:tr>
        <w:trPr>
          <w:trHeight w:val="954" w:hRule="atLeast"/>
        </w:trPr>
        <w:tc>
          <w:tcPr>
            <w:tcW w:w="2297" w:type="dxa"/>
            <w:vMerge w:val="restart"/>
          </w:tcPr>
          <w:p>
            <w:pPr>
              <w:pStyle w:val="TableParagraph"/>
              <w:spacing w:before="58"/>
              <w:rPr>
                <w:b/>
                <w:sz w:val="24"/>
              </w:rPr>
            </w:pPr>
          </w:p>
          <w:p>
            <w:pPr>
              <w:pStyle w:val="TableParagraph"/>
              <w:spacing w:before="1"/>
              <w:ind w:left="729"/>
              <w:rPr>
                <w:b/>
                <w:sz w:val="24"/>
              </w:rPr>
            </w:pPr>
            <w:r>
              <w:rPr>
                <w:b/>
                <w:spacing w:val="-2"/>
                <w:sz w:val="24"/>
              </w:rPr>
              <w:t>Уровни</w:t>
            </w:r>
          </w:p>
        </w:tc>
        <w:tc>
          <w:tcPr>
            <w:tcW w:w="3758" w:type="dxa"/>
            <w:gridSpan w:val="2"/>
          </w:tcPr>
          <w:p>
            <w:pPr>
              <w:pStyle w:val="TableParagraph"/>
              <w:spacing w:before="58"/>
              <w:rPr>
                <w:b/>
                <w:sz w:val="24"/>
              </w:rPr>
            </w:pPr>
          </w:p>
          <w:p>
            <w:pPr>
              <w:pStyle w:val="TableParagraph"/>
              <w:spacing w:before="1"/>
              <w:ind w:left="883"/>
              <w:rPr>
                <w:b/>
                <w:sz w:val="24"/>
              </w:rPr>
            </w:pPr>
            <w:r>
              <w:rPr>
                <w:b/>
                <w:sz w:val="24"/>
              </w:rPr>
              <w:t>Начальная</w:t>
            </w:r>
            <w:r>
              <w:rPr>
                <w:b/>
                <w:spacing w:val="-3"/>
                <w:sz w:val="24"/>
              </w:rPr>
              <w:t> </w:t>
            </w:r>
            <w:r>
              <w:rPr>
                <w:b/>
                <w:spacing w:val="-2"/>
                <w:sz w:val="24"/>
              </w:rPr>
              <w:t>школа</w:t>
            </w:r>
          </w:p>
        </w:tc>
        <w:tc>
          <w:tcPr>
            <w:tcW w:w="3543" w:type="dxa"/>
            <w:gridSpan w:val="2"/>
          </w:tcPr>
          <w:p>
            <w:pPr>
              <w:pStyle w:val="TableParagraph"/>
              <w:spacing w:before="58"/>
              <w:rPr>
                <w:b/>
                <w:sz w:val="24"/>
              </w:rPr>
            </w:pPr>
          </w:p>
          <w:p>
            <w:pPr>
              <w:pStyle w:val="TableParagraph"/>
              <w:spacing w:before="1"/>
              <w:ind w:left="322"/>
              <w:rPr>
                <w:b/>
                <w:sz w:val="24"/>
              </w:rPr>
            </w:pPr>
            <w:r>
              <w:rPr>
                <w:b/>
                <w:sz w:val="24"/>
              </w:rPr>
              <w:t>Средняя</w:t>
            </w:r>
            <w:r>
              <w:rPr>
                <w:b/>
                <w:spacing w:val="-3"/>
                <w:sz w:val="24"/>
              </w:rPr>
              <w:t> </w:t>
            </w:r>
            <w:r>
              <w:rPr>
                <w:b/>
                <w:sz w:val="24"/>
              </w:rPr>
              <w:t>и</w:t>
            </w:r>
            <w:r>
              <w:rPr>
                <w:b/>
                <w:spacing w:val="-4"/>
                <w:sz w:val="24"/>
              </w:rPr>
              <w:t> </w:t>
            </w:r>
            <w:r>
              <w:rPr>
                <w:b/>
                <w:sz w:val="24"/>
              </w:rPr>
              <w:t>старшая</w:t>
            </w:r>
            <w:r>
              <w:rPr>
                <w:b/>
                <w:spacing w:val="-2"/>
                <w:sz w:val="24"/>
              </w:rPr>
              <w:t> школа</w:t>
            </w:r>
          </w:p>
        </w:tc>
      </w:tr>
      <w:tr>
        <w:trPr>
          <w:trHeight w:val="1471" w:hRule="atLeast"/>
        </w:trPr>
        <w:tc>
          <w:tcPr>
            <w:tcW w:w="2297" w:type="dxa"/>
            <w:vMerge/>
            <w:tcBorders>
              <w:top w:val="nil"/>
            </w:tcBorders>
          </w:tcPr>
          <w:p>
            <w:pPr>
              <w:rPr>
                <w:sz w:val="2"/>
                <w:szCs w:val="2"/>
              </w:rPr>
            </w:pPr>
          </w:p>
        </w:tc>
        <w:tc>
          <w:tcPr>
            <w:tcW w:w="1915" w:type="dxa"/>
          </w:tcPr>
          <w:p>
            <w:pPr>
              <w:pStyle w:val="TableParagraph"/>
              <w:spacing w:before="61"/>
              <w:rPr>
                <w:b/>
                <w:sz w:val="24"/>
              </w:rPr>
            </w:pPr>
          </w:p>
          <w:p>
            <w:pPr>
              <w:pStyle w:val="TableParagraph"/>
              <w:spacing w:line="448" w:lineRule="auto"/>
              <w:ind w:left="571" w:right="366" w:hanging="195"/>
              <w:rPr>
                <w:b/>
                <w:sz w:val="24"/>
              </w:rPr>
            </w:pPr>
            <w:r>
              <w:rPr>
                <w:b/>
                <w:spacing w:val="-2"/>
                <w:sz w:val="24"/>
              </w:rPr>
              <w:t>Мальчики (N=180)</w:t>
            </w:r>
          </w:p>
        </w:tc>
        <w:tc>
          <w:tcPr>
            <w:tcW w:w="1843" w:type="dxa"/>
          </w:tcPr>
          <w:p>
            <w:pPr>
              <w:pStyle w:val="TableParagraph"/>
              <w:spacing w:before="61"/>
              <w:rPr>
                <w:b/>
                <w:sz w:val="24"/>
              </w:rPr>
            </w:pPr>
          </w:p>
          <w:p>
            <w:pPr>
              <w:pStyle w:val="TableParagraph"/>
              <w:spacing w:line="448" w:lineRule="auto"/>
              <w:ind w:left="504" w:right="440" w:hanging="51"/>
              <w:rPr>
                <w:b/>
                <w:sz w:val="24"/>
              </w:rPr>
            </w:pPr>
            <w:r>
              <w:rPr>
                <w:b/>
                <w:spacing w:val="-2"/>
                <w:sz w:val="24"/>
              </w:rPr>
              <w:t>Девочки (N=147)</w:t>
            </w:r>
          </w:p>
        </w:tc>
        <w:tc>
          <w:tcPr>
            <w:tcW w:w="1702" w:type="dxa"/>
          </w:tcPr>
          <w:p>
            <w:pPr>
              <w:pStyle w:val="TableParagraph"/>
              <w:spacing w:before="61"/>
              <w:rPr>
                <w:b/>
                <w:sz w:val="24"/>
              </w:rPr>
            </w:pPr>
          </w:p>
          <w:p>
            <w:pPr>
              <w:pStyle w:val="TableParagraph"/>
              <w:spacing w:line="448" w:lineRule="auto"/>
              <w:ind w:left="432" w:right="262" w:hanging="164"/>
              <w:rPr>
                <w:b/>
                <w:sz w:val="24"/>
              </w:rPr>
            </w:pPr>
            <w:r>
              <w:rPr>
                <w:b/>
                <w:spacing w:val="-2"/>
                <w:sz w:val="24"/>
              </w:rPr>
              <w:t>Мальчики (N=195)</w:t>
            </w:r>
          </w:p>
        </w:tc>
        <w:tc>
          <w:tcPr>
            <w:tcW w:w="1841" w:type="dxa"/>
          </w:tcPr>
          <w:p>
            <w:pPr>
              <w:pStyle w:val="TableParagraph"/>
              <w:spacing w:before="61"/>
              <w:rPr>
                <w:b/>
                <w:sz w:val="24"/>
              </w:rPr>
            </w:pPr>
          </w:p>
          <w:p>
            <w:pPr>
              <w:pStyle w:val="TableParagraph"/>
              <w:spacing w:line="448" w:lineRule="auto"/>
              <w:ind w:left="505" w:right="437" w:hanging="51"/>
              <w:rPr>
                <w:b/>
                <w:sz w:val="24"/>
              </w:rPr>
            </w:pPr>
            <w:r>
              <w:rPr>
                <w:b/>
                <w:spacing w:val="-2"/>
                <w:sz w:val="24"/>
              </w:rPr>
              <w:t>Девочки (N=146)</w:t>
            </w:r>
          </w:p>
        </w:tc>
      </w:tr>
      <w:tr>
        <w:trPr>
          <w:trHeight w:val="957" w:hRule="atLeast"/>
        </w:trPr>
        <w:tc>
          <w:tcPr>
            <w:tcW w:w="2297" w:type="dxa"/>
          </w:tcPr>
          <w:p>
            <w:pPr>
              <w:pStyle w:val="TableParagraph"/>
              <w:spacing w:before="56"/>
              <w:rPr>
                <w:b/>
                <w:sz w:val="24"/>
              </w:rPr>
            </w:pPr>
          </w:p>
          <w:p>
            <w:pPr>
              <w:pStyle w:val="TableParagraph"/>
              <w:ind w:left="100"/>
              <w:rPr>
                <w:sz w:val="24"/>
              </w:rPr>
            </w:pPr>
            <w:r>
              <w:rPr>
                <w:spacing w:val="-2"/>
                <w:sz w:val="24"/>
              </w:rPr>
              <w:t>Норма</w:t>
            </w:r>
          </w:p>
        </w:tc>
        <w:tc>
          <w:tcPr>
            <w:tcW w:w="1915" w:type="dxa"/>
          </w:tcPr>
          <w:p>
            <w:pPr>
              <w:pStyle w:val="TableParagraph"/>
              <w:spacing w:before="56"/>
              <w:rPr>
                <w:b/>
                <w:sz w:val="24"/>
              </w:rPr>
            </w:pPr>
          </w:p>
          <w:p>
            <w:pPr>
              <w:pStyle w:val="TableParagraph"/>
              <w:ind w:left="8" w:right="3"/>
              <w:jc w:val="center"/>
              <w:rPr>
                <w:sz w:val="24"/>
              </w:rPr>
            </w:pPr>
            <w:r>
              <w:rPr>
                <w:spacing w:val="-4"/>
                <w:sz w:val="24"/>
              </w:rPr>
              <w:t>0–12</w:t>
            </w:r>
          </w:p>
        </w:tc>
        <w:tc>
          <w:tcPr>
            <w:tcW w:w="1843" w:type="dxa"/>
          </w:tcPr>
          <w:p>
            <w:pPr>
              <w:pStyle w:val="TableParagraph"/>
              <w:spacing w:before="56"/>
              <w:rPr>
                <w:b/>
                <w:sz w:val="24"/>
              </w:rPr>
            </w:pPr>
          </w:p>
          <w:p>
            <w:pPr>
              <w:pStyle w:val="TableParagraph"/>
              <w:ind w:left="9" w:right="3"/>
              <w:jc w:val="center"/>
              <w:rPr>
                <w:sz w:val="24"/>
              </w:rPr>
            </w:pPr>
            <w:r>
              <w:rPr>
                <w:spacing w:val="-5"/>
                <w:sz w:val="24"/>
              </w:rPr>
              <w:t>0–8</w:t>
            </w:r>
          </w:p>
        </w:tc>
        <w:tc>
          <w:tcPr>
            <w:tcW w:w="1702" w:type="dxa"/>
          </w:tcPr>
          <w:p>
            <w:pPr>
              <w:pStyle w:val="TableParagraph"/>
              <w:spacing w:before="56"/>
              <w:rPr>
                <w:b/>
                <w:sz w:val="24"/>
              </w:rPr>
            </w:pPr>
          </w:p>
          <w:p>
            <w:pPr>
              <w:pStyle w:val="TableParagraph"/>
              <w:ind w:left="6" w:right="2"/>
              <w:jc w:val="center"/>
              <w:rPr>
                <w:sz w:val="24"/>
              </w:rPr>
            </w:pPr>
            <w:r>
              <w:rPr>
                <w:spacing w:val="-5"/>
                <w:sz w:val="24"/>
              </w:rPr>
              <w:t>0–8</w:t>
            </w:r>
          </w:p>
        </w:tc>
        <w:tc>
          <w:tcPr>
            <w:tcW w:w="1841" w:type="dxa"/>
          </w:tcPr>
          <w:p>
            <w:pPr>
              <w:pStyle w:val="TableParagraph"/>
              <w:spacing w:before="56"/>
              <w:rPr>
                <w:b/>
                <w:sz w:val="24"/>
              </w:rPr>
            </w:pPr>
          </w:p>
          <w:p>
            <w:pPr>
              <w:pStyle w:val="TableParagraph"/>
              <w:ind w:left="12" w:right="3"/>
              <w:jc w:val="center"/>
              <w:rPr>
                <w:sz w:val="24"/>
              </w:rPr>
            </w:pPr>
            <w:r>
              <w:rPr>
                <w:spacing w:val="-5"/>
                <w:sz w:val="24"/>
              </w:rPr>
              <w:t>0–7</w:t>
            </w:r>
          </w:p>
        </w:tc>
      </w:tr>
      <w:tr>
        <w:trPr>
          <w:trHeight w:val="955" w:hRule="atLeast"/>
        </w:trPr>
        <w:tc>
          <w:tcPr>
            <w:tcW w:w="2297" w:type="dxa"/>
          </w:tcPr>
          <w:p>
            <w:pPr>
              <w:pStyle w:val="TableParagraph"/>
              <w:spacing w:before="56"/>
              <w:rPr>
                <w:b/>
                <w:sz w:val="24"/>
              </w:rPr>
            </w:pPr>
          </w:p>
          <w:p>
            <w:pPr>
              <w:pStyle w:val="TableParagraph"/>
              <w:ind w:left="100"/>
              <w:rPr>
                <w:sz w:val="24"/>
              </w:rPr>
            </w:pPr>
            <w:r>
              <w:rPr>
                <w:sz w:val="24"/>
              </w:rPr>
              <w:t>Пограничная</w:t>
            </w:r>
            <w:r>
              <w:rPr>
                <w:spacing w:val="-12"/>
                <w:sz w:val="24"/>
              </w:rPr>
              <w:t> </w:t>
            </w:r>
            <w:r>
              <w:rPr>
                <w:spacing w:val="-2"/>
                <w:sz w:val="24"/>
              </w:rPr>
              <w:t>группа</w:t>
            </w:r>
          </w:p>
        </w:tc>
        <w:tc>
          <w:tcPr>
            <w:tcW w:w="1915" w:type="dxa"/>
          </w:tcPr>
          <w:p>
            <w:pPr>
              <w:pStyle w:val="TableParagraph"/>
              <w:spacing w:before="56"/>
              <w:rPr>
                <w:b/>
                <w:sz w:val="24"/>
              </w:rPr>
            </w:pPr>
          </w:p>
          <w:p>
            <w:pPr>
              <w:pStyle w:val="TableParagraph"/>
              <w:ind w:left="8" w:right="3"/>
              <w:jc w:val="center"/>
              <w:rPr>
                <w:sz w:val="24"/>
              </w:rPr>
            </w:pPr>
            <w:r>
              <w:rPr>
                <w:spacing w:val="-2"/>
                <w:sz w:val="24"/>
              </w:rPr>
              <w:t>13–14</w:t>
            </w:r>
          </w:p>
        </w:tc>
        <w:tc>
          <w:tcPr>
            <w:tcW w:w="1843" w:type="dxa"/>
          </w:tcPr>
          <w:p>
            <w:pPr>
              <w:pStyle w:val="TableParagraph"/>
              <w:spacing w:before="56"/>
              <w:rPr>
                <w:b/>
                <w:sz w:val="24"/>
              </w:rPr>
            </w:pPr>
          </w:p>
          <w:p>
            <w:pPr>
              <w:pStyle w:val="TableParagraph"/>
              <w:ind w:left="9" w:right="3"/>
              <w:jc w:val="center"/>
              <w:rPr>
                <w:sz w:val="24"/>
              </w:rPr>
            </w:pPr>
            <w:r>
              <w:rPr>
                <w:spacing w:val="-4"/>
                <w:sz w:val="24"/>
              </w:rPr>
              <w:t>9–12</w:t>
            </w:r>
          </w:p>
        </w:tc>
        <w:tc>
          <w:tcPr>
            <w:tcW w:w="1702" w:type="dxa"/>
          </w:tcPr>
          <w:p>
            <w:pPr>
              <w:pStyle w:val="TableParagraph"/>
              <w:spacing w:before="56"/>
              <w:rPr>
                <w:b/>
                <w:sz w:val="24"/>
              </w:rPr>
            </w:pPr>
          </w:p>
          <w:p>
            <w:pPr>
              <w:pStyle w:val="TableParagraph"/>
              <w:ind w:left="6" w:right="2"/>
              <w:jc w:val="center"/>
              <w:rPr>
                <w:sz w:val="24"/>
              </w:rPr>
            </w:pPr>
            <w:r>
              <w:rPr>
                <w:spacing w:val="-4"/>
                <w:sz w:val="24"/>
              </w:rPr>
              <w:t>9–12</w:t>
            </w:r>
          </w:p>
        </w:tc>
        <w:tc>
          <w:tcPr>
            <w:tcW w:w="1841" w:type="dxa"/>
          </w:tcPr>
          <w:p>
            <w:pPr>
              <w:pStyle w:val="TableParagraph"/>
              <w:spacing w:before="56"/>
              <w:rPr>
                <w:b/>
                <w:sz w:val="24"/>
              </w:rPr>
            </w:pPr>
          </w:p>
          <w:p>
            <w:pPr>
              <w:pStyle w:val="TableParagraph"/>
              <w:ind w:left="12"/>
              <w:jc w:val="center"/>
              <w:rPr>
                <w:sz w:val="24"/>
              </w:rPr>
            </w:pPr>
            <w:r>
              <w:rPr>
                <w:spacing w:val="-2"/>
                <w:sz w:val="24"/>
              </w:rPr>
              <w:t>8–10,5</w:t>
            </w:r>
          </w:p>
        </w:tc>
      </w:tr>
      <w:tr>
        <w:trPr>
          <w:trHeight w:val="961" w:hRule="atLeast"/>
        </w:trPr>
        <w:tc>
          <w:tcPr>
            <w:tcW w:w="2297" w:type="dxa"/>
          </w:tcPr>
          <w:p>
            <w:pPr>
              <w:pStyle w:val="TableParagraph"/>
              <w:spacing w:before="56"/>
              <w:rPr>
                <w:b/>
                <w:sz w:val="24"/>
              </w:rPr>
            </w:pPr>
          </w:p>
          <w:p>
            <w:pPr>
              <w:pStyle w:val="TableParagraph"/>
              <w:ind w:left="100"/>
              <w:rPr>
                <w:sz w:val="24"/>
              </w:rPr>
            </w:pPr>
            <w:r>
              <w:rPr>
                <w:sz w:val="24"/>
              </w:rPr>
              <w:t>Группа</w:t>
            </w:r>
            <w:r>
              <w:rPr>
                <w:spacing w:val="-7"/>
                <w:sz w:val="24"/>
              </w:rPr>
              <w:t> </w:t>
            </w:r>
            <w:r>
              <w:rPr>
                <w:spacing w:val="-2"/>
                <w:sz w:val="24"/>
              </w:rPr>
              <w:t>риска</w:t>
            </w:r>
          </w:p>
        </w:tc>
        <w:tc>
          <w:tcPr>
            <w:tcW w:w="1915" w:type="dxa"/>
          </w:tcPr>
          <w:p>
            <w:pPr>
              <w:pStyle w:val="TableParagraph"/>
              <w:spacing w:before="59"/>
              <w:rPr>
                <w:b/>
                <w:sz w:val="24"/>
              </w:rPr>
            </w:pPr>
          </w:p>
          <w:p>
            <w:pPr>
              <w:pStyle w:val="TableParagraph"/>
              <w:ind w:left="8"/>
              <w:jc w:val="center"/>
              <w:rPr>
                <w:sz w:val="24"/>
              </w:rPr>
            </w:pPr>
            <w:r>
              <w:rPr>
                <w:rFonts w:ascii="Cambria Math" w:hAnsi="Cambria Math"/>
                <w:spacing w:val="-5"/>
                <w:sz w:val="24"/>
              </w:rPr>
              <w:t>≧</w:t>
            </w:r>
            <w:r>
              <w:rPr>
                <w:spacing w:val="-5"/>
                <w:sz w:val="24"/>
              </w:rPr>
              <w:t>15</w:t>
            </w:r>
          </w:p>
        </w:tc>
        <w:tc>
          <w:tcPr>
            <w:tcW w:w="1843" w:type="dxa"/>
          </w:tcPr>
          <w:p>
            <w:pPr>
              <w:pStyle w:val="TableParagraph"/>
              <w:spacing w:before="59"/>
              <w:rPr>
                <w:b/>
                <w:sz w:val="24"/>
              </w:rPr>
            </w:pPr>
          </w:p>
          <w:p>
            <w:pPr>
              <w:pStyle w:val="TableParagraph"/>
              <w:ind w:left="9"/>
              <w:jc w:val="center"/>
              <w:rPr>
                <w:sz w:val="24"/>
              </w:rPr>
            </w:pPr>
            <w:r>
              <w:rPr>
                <w:rFonts w:ascii="Cambria Math" w:hAnsi="Cambria Math"/>
                <w:spacing w:val="-5"/>
                <w:sz w:val="24"/>
              </w:rPr>
              <w:t>≧</w:t>
            </w:r>
            <w:r>
              <w:rPr>
                <w:spacing w:val="-5"/>
                <w:sz w:val="24"/>
              </w:rPr>
              <w:t>13</w:t>
            </w:r>
          </w:p>
        </w:tc>
        <w:tc>
          <w:tcPr>
            <w:tcW w:w="1702" w:type="dxa"/>
          </w:tcPr>
          <w:p>
            <w:pPr>
              <w:pStyle w:val="TableParagraph"/>
              <w:spacing w:before="59"/>
              <w:rPr>
                <w:b/>
                <w:sz w:val="24"/>
              </w:rPr>
            </w:pPr>
          </w:p>
          <w:p>
            <w:pPr>
              <w:pStyle w:val="TableParagraph"/>
              <w:ind w:left="8" w:right="2"/>
              <w:jc w:val="center"/>
              <w:rPr>
                <w:sz w:val="24"/>
              </w:rPr>
            </w:pPr>
            <w:r>
              <w:rPr>
                <w:rFonts w:ascii="Cambria Math" w:hAnsi="Cambria Math"/>
                <w:spacing w:val="-5"/>
                <w:sz w:val="24"/>
              </w:rPr>
              <w:t>≧</w:t>
            </w:r>
            <w:r>
              <w:rPr>
                <w:spacing w:val="-5"/>
                <w:sz w:val="24"/>
              </w:rPr>
              <w:t>13</w:t>
            </w:r>
          </w:p>
        </w:tc>
        <w:tc>
          <w:tcPr>
            <w:tcW w:w="1841" w:type="dxa"/>
          </w:tcPr>
          <w:p>
            <w:pPr>
              <w:pStyle w:val="TableParagraph"/>
              <w:spacing w:before="59"/>
              <w:rPr>
                <w:b/>
                <w:sz w:val="24"/>
              </w:rPr>
            </w:pPr>
          </w:p>
          <w:p>
            <w:pPr>
              <w:pStyle w:val="TableParagraph"/>
              <w:ind w:left="12" w:right="3"/>
              <w:jc w:val="center"/>
              <w:rPr>
                <w:sz w:val="24"/>
              </w:rPr>
            </w:pPr>
            <w:r>
              <w:rPr>
                <w:rFonts w:ascii="Cambria Math" w:hAnsi="Cambria Math"/>
                <w:spacing w:val="-2"/>
                <w:sz w:val="24"/>
              </w:rPr>
              <w:t>≧</w:t>
            </w:r>
            <w:r>
              <w:rPr>
                <w:spacing w:val="-2"/>
                <w:sz w:val="24"/>
              </w:rPr>
              <w:t>10,5</w:t>
            </w:r>
          </w:p>
        </w:tc>
      </w:tr>
    </w:tbl>
    <w:p>
      <w:pPr>
        <w:pStyle w:val="BodyText"/>
        <w:ind w:left="0" w:right="0" w:firstLine="0"/>
        <w:jc w:val="left"/>
        <w:rPr>
          <w:b/>
          <w:sz w:val="28"/>
        </w:rPr>
      </w:pPr>
    </w:p>
    <w:p>
      <w:pPr>
        <w:pStyle w:val="BodyText"/>
        <w:spacing w:before="160"/>
        <w:ind w:left="0" w:right="0" w:firstLine="0"/>
        <w:jc w:val="left"/>
        <w:rPr>
          <w:b/>
          <w:sz w:val="28"/>
        </w:rPr>
      </w:pPr>
    </w:p>
    <w:p>
      <w:pPr>
        <w:pStyle w:val="Heading3"/>
        <w:spacing w:before="0"/>
      </w:pPr>
      <w:r>
        <w:rPr/>
        <w:t>Психометрические</w:t>
      </w:r>
      <w:r>
        <w:rPr>
          <w:spacing w:val="-16"/>
        </w:rPr>
        <w:t> </w:t>
      </w:r>
      <w:r>
        <w:rPr/>
        <w:t>характеристики</w:t>
      </w:r>
      <w:r>
        <w:rPr>
          <w:spacing w:val="-14"/>
        </w:rPr>
        <w:t> </w:t>
      </w:r>
      <w:r>
        <w:rPr>
          <w:spacing w:val="-2"/>
        </w:rPr>
        <w:t>методики</w:t>
      </w:r>
    </w:p>
    <w:p>
      <w:pPr>
        <w:pStyle w:val="Heading4"/>
        <w:spacing w:before="232"/>
        <w:ind w:right="564"/>
      </w:pPr>
      <w:r>
        <w:rPr/>
        <w:t>Оценка валидности опросника «Сильные стороны и трудности» — ССТ, сокращенной</w:t>
      </w:r>
      <w:r>
        <w:rPr>
          <w:spacing w:val="-15"/>
        </w:rPr>
        <w:t> </w:t>
      </w:r>
      <w:r>
        <w:rPr/>
        <w:t>версией</w:t>
      </w:r>
      <w:r>
        <w:rPr>
          <w:spacing w:val="-15"/>
        </w:rPr>
        <w:t> </w:t>
      </w:r>
      <w:r>
        <w:rPr/>
        <w:t>которого</w:t>
      </w:r>
      <w:r>
        <w:rPr>
          <w:spacing w:val="-15"/>
        </w:rPr>
        <w:t> </w:t>
      </w:r>
      <w:r>
        <w:rPr/>
        <w:t>является</w:t>
      </w:r>
      <w:r>
        <w:rPr>
          <w:spacing w:val="-15"/>
        </w:rPr>
        <w:t> </w:t>
      </w:r>
      <w:r>
        <w:rPr/>
        <w:t>карта</w:t>
      </w:r>
      <w:r>
        <w:rPr>
          <w:spacing w:val="-18"/>
        </w:rPr>
        <w:t> </w:t>
      </w:r>
      <w:r>
        <w:rPr/>
        <w:t>наблюдения</w:t>
      </w:r>
      <w:r>
        <w:rPr>
          <w:spacing w:val="-14"/>
        </w:rPr>
        <w:t> </w:t>
      </w:r>
      <w:r>
        <w:rPr/>
        <w:t>«Психологические трудности»,</w:t>
      </w:r>
      <w:r>
        <w:rPr>
          <w:spacing w:val="-15"/>
        </w:rPr>
        <w:t> </w:t>
      </w:r>
      <w:r>
        <w:rPr/>
        <w:t>была</w:t>
      </w:r>
      <w:r>
        <w:rPr>
          <w:spacing w:val="-15"/>
        </w:rPr>
        <w:t> </w:t>
      </w:r>
      <w:r>
        <w:rPr/>
        <w:t>произведена</w:t>
      </w:r>
      <w:r>
        <w:rPr>
          <w:spacing w:val="-15"/>
        </w:rPr>
        <w:t> </w:t>
      </w:r>
      <w:r>
        <w:rPr/>
        <w:t>Р.</w:t>
      </w:r>
      <w:r>
        <w:rPr>
          <w:spacing w:val="-15"/>
        </w:rPr>
        <w:t> </w:t>
      </w:r>
      <w:r>
        <w:rPr/>
        <w:t>Гудманом</w:t>
      </w:r>
      <w:r>
        <w:rPr>
          <w:spacing w:val="-15"/>
        </w:rPr>
        <w:t> </w:t>
      </w:r>
      <w:r>
        <w:rPr/>
        <w:t>с</w:t>
      </w:r>
      <w:r>
        <w:rPr>
          <w:spacing w:val="-15"/>
        </w:rPr>
        <w:t> </w:t>
      </w:r>
      <w:r>
        <w:rPr/>
        <w:t>помощью</w:t>
      </w:r>
      <w:r>
        <w:rPr>
          <w:spacing w:val="-16"/>
        </w:rPr>
        <w:t> </w:t>
      </w:r>
      <w:r>
        <w:rPr/>
        <w:t>методов</w:t>
      </w:r>
      <w:r>
        <w:rPr>
          <w:spacing w:val="-16"/>
        </w:rPr>
        <w:t> </w:t>
      </w:r>
      <w:r>
        <w:rPr/>
        <w:t>сравнения</w:t>
      </w:r>
      <w:r>
        <w:rPr>
          <w:spacing w:val="-15"/>
        </w:rPr>
        <w:t> </w:t>
      </w:r>
      <w:r>
        <w:rPr/>
        <w:t>его результатов с данными по методике Раттера[1] на выборке данных 403 детей в</w:t>
      </w:r>
      <w:r>
        <w:rPr>
          <w:spacing w:val="-11"/>
        </w:rPr>
        <w:t> </w:t>
      </w:r>
      <w:r>
        <w:rPr/>
        <w:t>возрасте</w:t>
      </w:r>
      <w:r>
        <w:rPr>
          <w:spacing w:val="-12"/>
        </w:rPr>
        <w:t> </w:t>
      </w:r>
      <w:r>
        <w:rPr/>
        <w:t>от</w:t>
      </w:r>
      <w:r>
        <w:rPr>
          <w:spacing w:val="-10"/>
        </w:rPr>
        <w:t> </w:t>
      </w:r>
      <w:r>
        <w:rPr/>
        <w:t>4</w:t>
      </w:r>
      <w:r>
        <w:rPr>
          <w:spacing w:val="-12"/>
        </w:rPr>
        <w:t> </w:t>
      </w:r>
      <w:r>
        <w:rPr/>
        <w:t>до</w:t>
      </w:r>
      <w:r>
        <w:rPr>
          <w:spacing w:val="-12"/>
        </w:rPr>
        <w:t> </w:t>
      </w:r>
      <w:r>
        <w:rPr/>
        <w:t>16</w:t>
      </w:r>
      <w:r>
        <w:rPr>
          <w:spacing w:val="-11"/>
        </w:rPr>
        <w:t> </w:t>
      </w:r>
      <w:r>
        <w:rPr/>
        <w:t>лет</w:t>
      </w:r>
      <w:r>
        <w:rPr>
          <w:spacing w:val="-9"/>
        </w:rPr>
        <w:t> </w:t>
      </w:r>
      <w:r>
        <w:rPr/>
        <w:t>(</w:t>
      </w:r>
      <w:r>
        <w:rPr>
          <w:i/>
        </w:rPr>
        <w:t>Goodman</w:t>
      </w:r>
      <w:r>
        <w:rPr/>
        <w:t>,</w:t>
      </w:r>
      <w:r>
        <w:rPr>
          <w:spacing w:val="-13"/>
        </w:rPr>
        <w:t> </w:t>
      </w:r>
      <w:r>
        <w:rPr/>
        <w:t>1997).</w:t>
      </w:r>
      <w:r>
        <w:rPr>
          <w:spacing w:val="-11"/>
        </w:rPr>
        <w:t> </w:t>
      </w:r>
      <w:r>
        <w:rPr/>
        <w:t>Опросники</w:t>
      </w:r>
      <w:r>
        <w:rPr>
          <w:spacing w:val="-10"/>
        </w:rPr>
        <w:t> </w:t>
      </w:r>
      <w:r>
        <w:rPr/>
        <w:t>раздавались</w:t>
      </w:r>
      <w:r>
        <w:rPr>
          <w:spacing w:val="-11"/>
        </w:rPr>
        <w:t> </w:t>
      </w:r>
      <w:r>
        <w:rPr/>
        <w:t>участникам</w:t>
      </w:r>
    </w:p>
    <w:p>
      <w:pPr>
        <w:pStyle w:val="Heading4"/>
        <w:spacing w:after="0"/>
        <w:sectPr>
          <w:pgSz w:w="11910" w:h="16840"/>
          <w:pgMar w:header="0" w:footer="970" w:top="1040" w:bottom="1220" w:left="1417" w:right="283"/>
        </w:sectPr>
      </w:pPr>
    </w:p>
    <w:p>
      <w:pPr>
        <w:pStyle w:val="Heading4"/>
        <w:spacing w:before="67"/>
      </w:pPr>
      <w:r>
        <w:rPr/>
        <w:t>исследования,</w:t>
      </w:r>
      <w:r>
        <w:rPr>
          <w:spacing w:val="-3"/>
        </w:rPr>
        <w:t> </w:t>
      </w:r>
      <w:r>
        <w:rPr/>
        <w:t>в</w:t>
      </w:r>
      <w:r>
        <w:rPr>
          <w:spacing w:val="-1"/>
        </w:rPr>
        <w:t> </w:t>
      </w:r>
      <w:r>
        <w:rPr/>
        <w:t>итоге</w:t>
      </w:r>
      <w:r>
        <w:rPr>
          <w:spacing w:val="1"/>
        </w:rPr>
        <w:t> </w:t>
      </w:r>
      <w:r>
        <w:rPr/>
        <w:t>родителями</w:t>
      </w:r>
      <w:r>
        <w:rPr>
          <w:spacing w:val="-2"/>
        </w:rPr>
        <w:t> </w:t>
      </w:r>
      <w:r>
        <w:rPr/>
        <w:t>были</w:t>
      </w:r>
      <w:r>
        <w:rPr>
          <w:spacing w:val="-1"/>
        </w:rPr>
        <w:t> </w:t>
      </w:r>
      <w:r>
        <w:rPr/>
        <w:t>заполнены 346</w:t>
      </w:r>
      <w:r>
        <w:rPr>
          <w:spacing w:val="1"/>
        </w:rPr>
        <w:t> </w:t>
      </w:r>
      <w:r>
        <w:rPr/>
        <w:t>методик,</w:t>
      </w:r>
      <w:r>
        <w:rPr>
          <w:spacing w:val="-1"/>
        </w:rPr>
        <w:t> </w:t>
      </w:r>
      <w:r>
        <w:rPr/>
        <w:t>а</w:t>
      </w:r>
      <w:r>
        <w:rPr>
          <w:spacing w:val="1"/>
        </w:rPr>
        <w:t> </w:t>
      </w:r>
      <w:r>
        <w:rPr>
          <w:spacing w:val="-2"/>
        </w:rPr>
        <w:t>учителями</w:t>
      </w:r>
    </w:p>
    <w:p>
      <w:pPr>
        <w:pStyle w:val="Heading4"/>
        <w:spacing w:before="3"/>
      </w:pPr>
      <w:r>
        <w:rPr/>
        <w:t>—</w:t>
      </w:r>
      <w:r>
        <w:rPr>
          <w:spacing w:val="-2"/>
        </w:rPr>
        <w:t> </w:t>
      </w:r>
      <w:r>
        <w:rPr/>
        <w:t>185 </w:t>
      </w:r>
      <w:r>
        <w:rPr>
          <w:spacing w:val="-2"/>
        </w:rPr>
        <w:t>методик.</w:t>
      </w:r>
    </w:p>
    <w:p>
      <w:pPr>
        <w:pStyle w:val="Heading4"/>
        <w:spacing w:before="239"/>
        <w:ind w:right="560"/>
      </w:pPr>
      <w:r>
        <w:rPr/>
        <w:t>В дальнейшем Р. Гудман и С. Скотт сравнили данные опросника ССТ с методикой</w:t>
      </w:r>
      <w:r>
        <w:rPr>
          <w:spacing w:val="-15"/>
        </w:rPr>
        <w:t> </w:t>
      </w:r>
      <w:r>
        <w:rPr>
          <w:i/>
        </w:rPr>
        <w:t>CBCL</w:t>
      </w:r>
      <w:r>
        <w:rPr>
          <w:i/>
          <w:spacing w:val="-16"/>
        </w:rPr>
        <w:t> </w:t>
      </w:r>
      <w:r>
        <w:rPr/>
        <w:t>—</w:t>
      </w:r>
      <w:r>
        <w:rPr>
          <w:spacing w:val="-18"/>
        </w:rPr>
        <w:t> </w:t>
      </w:r>
      <w:r>
        <w:rPr/>
        <w:t>Контрольным</w:t>
      </w:r>
      <w:r>
        <w:rPr>
          <w:spacing w:val="-16"/>
        </w:rPr>
        <w:t> </w:t>
      </w:r>
      <w:r>
        <w:rPr/>
        <w:t>списком</w:t>
      </w:r>
      <w:r>
        <w:rPr>
          <w:spacing w:val="-16"/>
        </w:rPr>
        <w:t> </w:t>
      </w:r>
      <w:r>
        <w:rPr/>
        <w:t>поведения</w:t>
      </w:r>
      <w:r>
        <w:rPr>
          <w:spacing w:val="-18"/>
        </w:rPr>
        <w:t> </w:t>
      </w:r>
      <w:r>
        <w:rPr/>
        <w:t>детей</w:t>
      </w:r>
      <w:r>
        <w:rPr>
          <w:spacing w:val="-13"/>
        </w:rPr>
        <w:t> </w:t>
      </w:r>
      <w:r>
        <w:rPr/>
        <w:t>(</w:t>
      </w:r>
      <w:r>
        <w:rPr>
          <w:i/>
        </w:rPr>
        <w:t>Achenbach</w:t>
      </w:r>
      <w:r>
        <w:rPr/>
        <w:t>,</w:t>
      </w:r>
      <w:r>
        <w:rPr>
          <w:spacing w:val="-16"/>
        </w:rPr>
        <w:t> </w:t>
      </w:r>
      <w:r>
        <w:rPr/>
        <w:t>1991) на выборке из 132 детей в возрасте от 4 до 7 лет с использованием методов корреляционного анализа и ROC-кривых[2] (</w:t>
      </w:r>
      <w:r>
        <w:rPr>
          <w:i/>
        </w:rPr>
        <w:t>Goodman, Scott, </w:t>
      </w:r>
      <w:r>
        <w:rPr/>
        <w:t>1999). При сравнении было также отмечено преимущество в выборе опросника ССТ по сравнению с опросником CBCL. Корреляции между шкалами опросников варьировались в диапазоне от .59 до .87. Авторы отмечают, что ССТ и CBCL сопоставимы, однако ССТ, в силу общего размера методики, очень упрощает процедуру проведения скрининга и обработку результатов.</w:t>
      </w:r>
    </w:p>
    <w:p>
      <w:pPr>
        <w:pStyle w:val="Heading4"/>
        <w:spacing w:before="240"/>
        <w:ind w:right="559"/>
      </w:pPr>
      <w:r>
        <w:rPr/>
        <w:t>Впоследствии опросник ССТ прошел проверку на больших выборках: например, 10 438 детей в возрасте 5–15 лет в Великобритании (</w:t>
      </w:r>
      <w:r>
        <w:rPr>
          <w:i/>
        </w:rPr>
        <w:t>Goodman</w:t>
      </w:r>
      <w:r>
        <w:rPr/>
        <w:t>, 2001). Исследовательский факторный анализ подтвердил выделение пятифакторной структуры (шкалы: эмоциональная, поведенческая, гиперактивности, проблем со сверстниками и просоциальная). Внутренняя согласованность опросника подтверждается средним показателем альфа Кронбаха .73. Стабильность показателей повторного тестировании через 4–6 месяцев достаточно высока (коэффициент корреляции .62).</w:t>
      </w:r>
    </w:p>
    <w:p>
      <w:pPr>
        <w:pStyle w:val="Heading4"/>
        <w:tabs>
          <w:tab w:pos="2645" w:val="left" w:leader="none"/>
          <w:tab w:pos="4976" w:val="left" w:leader="none"/>
          <w:tab w:pos="6676" w:val="left" w:leader="none"/>
          <w:tab w:pos="8209" w:val="left" w:leader="none"/>
        </w:tabs>
        <w:spacing w:before="240"/>
        <w:ind w:right="560"/>
      </w:pPr>
      <w:r>
        <w:rPr/>
        <w:t>Методика активно использовалась для исследований в культурно разнообразных средах, в том числе при изучении детей-мигрантов. В исследовании распространенности эмоциональных и поведенческих трудностей, суицидальных мыслей и попыток самоубийства среди подростков-мигрантов и их сверстников без миграционного опыта, проведенном на выборке из 11 057 подростков среднего возраста 14.8 лет в Европе с помощью методики ССТ (</w:t>
      </w:r>
      <w:r>
        <w:rPr>
          <w:i/>
        </w:rPr>
        <w:t>McMahon </w:t>
      </w:r>
      <w:r>
        <w:rPr/>
        <w:t>et al.</w:t>
      </w:r>
      <w:r>
        <w:rPr>
          <w:i/>
        </w:rPr>
        <w:t>, </w:t>
      </w:r>
      <w:r>
        <w:rPr/>
        <w:t>2017), было обнаружено, что у неевропейских мигрантов, как в первом, так и во втором поколении, </w:t>
      </w:r>
      <w:r>
        <w:rPr>
          <w:spacing w:val="-2"/>
        </w:rPr>
        <w:t>наблюдаются</w:t>
      </w:r>
      <w:r>
        <w:rPr/>
        <w:tab/>
      </w:r>
      <w:r>
        <w:rPr>
          <w:spacing w:val="-2"/>
        </w:rPr>
        <w:t>повышенный</w:t>
      </w:r>
      <w:r>
        <w:rPr/>
        <w:tab/>
      </w:r>
      <w:r>
        <w:rPr>
          <w:spacing w:val="-2"/>
        </w:rPr>
        <w:t>уровень</w:t>
      </w:r>
      <w:r>
        <w:rPr/>
        <w:tab/>
      </w:r>
      <w:r>
        <w:rPr>
          <w:spacing w:val="-2"/>
        </w:rPr>
        <w:t>общих</w:t>
      </w:r>
      <w:r>
        <w:rPr/>
        <w:tab/>
      </w:r>
      <w:r>
        <w:rPr>
          <w:spacing w:val="-2"/>
        </w:rPr>
        <w:t>трудностей, </w:t>
      </w:r>
      <w:r>
        <w:rPr/>
        <w:t>гиперактивности/невнимательности и проблем с поведением. Кроме того, мигранты в первом поколении как европейского, так и неевропейского происхождения</w:t>
      </w:r>
      <w:r>
        <w:rPr>
          <w:spacing w:val="-7"/>
        </w:rPr>
        <w:t> </w:t>
      </w:r>
      <w:r>
        <w:rPr/>
        <w:t>имели</w:t>
      </w:r>
      <w:r>
        <w:rPr>
          <w:spacing w:val="-7"/>
        </w:rPr>
        <w:t> </w:t>
      </w:r>
      <w:r>
        <w:rPr/>
        <w:t>значительно</w:t>
      </w:r>
      <w:r>
        <w:rPr>
          <w:spacing w:val="-7"/>
        </w:rPr>
        <w:t> </w:t>
      </w:r>
      <w:r>
        <w:rPr/>
        <w:t>больше</w:t>
      </w:r>
      <w:r>
        <w:rPr>
          <w:spacing w:val="-7"/>
        </w:rPr>
        <w:t> </w:t>
      </w:r>
      <w:r>
        <w:rPr/>
        <w:t>проблем</w:t>
      </w:r>
      <w:r>
        <w:rPr>
          <w:spacing w:val="-7"/>
        </w:rPr>
        <w:t> </w:t>
      </w:r>
      <w:r>
        <w:rPr/>
        <w:t>со</w:t>
      </w:r>
      <w:r>
        <w:rPr>
          <w:spacing w:val="-6"/>
        </w:rPr>
        <w:t> </w:t>
      </w:r>
      <w:r>
        <w:rPr/>
        <w:t>сверстниками.</w:t>
      </w:r>
      <w:r>
        <w:rPr>
          <w:spacing w:val="-8"/>
        </w:rPr>
        <w:t> </w:t>
      </w:r>
      <w:r>
        <w:rPr/>
        <w:t>Однако не было обнаружено существенных различий между мигрантами и не мигрантами с точки зрения эмоциональных симптомов. Уровень межгрупповых различий был зафиксирован с высокой степенью надежности (p&lt;0.0005, кроме шкалы проблем со сверстниками, где p = 0.013).</w:t>
      </w:r>
    </w:p>
    <w:p>
      <w:pPr>
        <w:pStyle w:val="Heading4"/>
        <w:spacing w:before="241"/>
        <w:ind w:right="562"/>
      </w:pPr>
      <w:r>
        <w:rPr/>
        <w:t>Методика переведена на многие языки, в том числе на русский, и рекомендована для оценки эффективности проводимых в школе программ по профилактике и восстановлению психического здоровья детей-мигрантов и беженцев (</w:t>
      </w:r>
      <w:r>
        <w:rPr>
          <w:i/>
        </w:rPr>
        <w:t>Birman, Chan, </w:t>
      </w:r>
      <w:r>
        <w:rPr/>
        <w:t>2008).</w:t>
      </w:r>
    </w:p>
    <w:p>
      <w:pPr>
        <w:pStyle w:val="Heading4"/>
        <w:spacing w:after="0"/>
        <w:sectPr>
          <w:pgSz w:w="11910" w:h="16840"/>
          <w:pgMar w:header="0" w:footer="970" w:top="1040" w:bottom="1220" w:left="1417" w:right="283"/>
        </w:sectPr>
      </w:pPr>
    </w:p>
    <w:p>
      <w:pPr>
        <w:pStyle w:val="Heading3"/>
      </w:pPr>
      <w:r>
        <w:rPr/>
        <w:t>Адаптация</w:t>
      </w:r>
      <w:r>
        <w:rPr>
          <w:spacing w:val="-6"/>
        </w:rPr>
        <w:t> </w:t>
      </w:r>
      <w:r>
        <w:rPr/>
        <w:t>методики</w:t>
      </w:r>
      <w:r>
        <w:rPr>
          <w:spacing w:val="-4"/>
        </w:rPr>
        <w:t> </w:t>
      </w:r>
      <w:r>
        <w:rPr/>
        <w:t>на</w:t>
      </w:r>
      <w:r>
        <w:rPr>
          <w:spacing w:val="-5"/>
        </w:rPr>
        <w:t> </w:t>
      </w:r>
      <w:r>
        <w:rPr/>
        <w:t>русском</w:t>
      </w:r>
      <w:r>
        <w:rPr>
          <w:spacing w:val="-5"/>
        </w:rPr>
        <w:t> </w:t>
      </w:r>
      <w:r>
        <w:rPr>
          <w:spacing w:val="-4"/>
        </w:rPr>
        <w:t>языке</w:t>
      </w:r>
    </w:p>
    <w:p>
      <w:pPr>
        <w:pStyle w:val="Heading4"/>
        <w:spacing w:before="236"/>
        <w:ind w:right="564"/>
      </w:pPr>
      <w:r>
        <w:rPr/>
        <w:t>Информативность и обоснованность русскоязычной версии опросника обеспечена сравнительным исследованием, посвященным изучению психического здоровья школьников Новосибирска во взаимосвязи с социально-экономическим положением семьи в сравнении с учащимися Британии (</w:t>
      </w:r>
      <w:r>
        <w:rPr>
          <w:i/>
        </w:rPr>
        <w:t>Сафронова, Слободская, Гудман, Савина, </w:t>
      </w:r>
      <w:r>
        <w:rPr/>
        <w:t>2003).</w:t>
      </w:r>
    </w:p>
    <w:p>
      <w:pPr>
        <w:pStyle w:val="Heading4"/>
        <w:spacing w:before="238"/>
        <w:ind w:right="562"/>
      </w:pPr>
      <w:r>
        <w:rPr/>
        <w:t>Исследование</w:t>
      </w:r>
      <w:r>
        <w:rPr>
          <w:spacing w:val="-2"/>
        </w:rPr>
        <w:t> </w:t>
      </w:r>
      <w:r>
        <w:rPr/>
        <w:t>2005</w:t>
      </w:r>
      <w:r>
        <w:rPr>
          <w:spacing w:val="-2"/>
        </w:rPr>
        <w:t> </w:t>
      </w:r>
      <w:r>
        <w:rPr/>
        <w:t>года</w:t>
      </w:r>
      <w:r>
        <w:rPr>
          <w:spacing w:val="-2"/>
        </w:rPr>
        <w:t> </w:t>
      </w:r>
      <w:r>
        <w:rPr/>
        <w:t>(</w:t>
      </w:r>
      <w:r>
        <w:rPr>
          <w:i/>
        </w:rPr>
        <w:t>Goodman,</w:t>
      </w:r>
      <w:r>
        <w:rPr>
          <w:i/>
          <w:spacing w:val="-2"/>
        </w:rPr>
        <w:t> </w:t>
      </w:r>
      <w:r>
        <w:rPr>
          <w:i/>
        </w:rPr>
        <w:t>Slobodskaya,</w:t>
      </w:r>
      <w:r>
        <w:rPr>
          <w:i/>
          <w:spacing w:val="-2"/>
        </w:rPr>
        <w:t> </w:t>
      </w:r>
      <w:r>
        <w:rPr>
          <w:i/>
        </w:rPr>
        <w:t>Knyazev, </w:t>
      </w:r>
      <w:r>
        <w:rPr/>
        <w:t>2005)</w:t>
      </w:r>
      <w:r>
        <w:rPr>
          <w:spacing w:val="-2"/>
        </w:rPr>
        <w:t> </w:t>
      </w:r>
      <w:r>
        <w:rPr/>
        <w:t>подтверждает надежность и валидность ССТ, но авторы предупреждают об ограничениях исследования в связи с особенностями выборки, которые связаны с участниками исследования, принадлежащими к разным социальным стратам.</w:t>
      </w:r>
    </w:p>
    <w:p>
      <w:pPr>
        <w:pStyle w:val="Heading4"/>
        <w:spacing w:before="241"/>
        <w:ind w:right="560"/>
      </w:pPr>
      <w:r>
        <w:rPr/>
        <w:t>Дальнейшие исследования с применением данной методики позволили, с одной стороны, добирать данные по этой методике, увеличивая общий объем выборки участников тестирования, что в дальнейшем упростило процедуру определения границ нормы по методике ССТ для российской выборки (</w:t>
      </w:r>
      <w:r>
        <w:rPr>
          <w:i/>
        </w:rPr>
        <w:t>Слободская, Гудман, Рябиченко, </w:t>
      </w:r>
      <w:r>
        <w:rPr/>
        <w:t>2006), и, с другой стороны, использовать данные шкалы в контексте исследования региональных особенностей психического здоровья детей и подростков в Республике Саха (</w:t>
      </w:r>
      <w:r>
        <w:rPr>
          <w:i/>
        </w:rPr>
        <w:t>Семенова, Мартынова, </w:t>
      </w:r>
      <w:r>
        <w:rPr/>
        <w:t>2012).</w:t>
      </w:r>
    </w:p>
    <w:p>
      <w:pPr>
        <w:pStyle w:val="Heading4"/>
        <w:spacing w:before="240"/>
        <w:ind w:right="563"/>
      </w:pPr>
      <w:r>
        <w:rPr/>
        <w:t>В 2022 г. методика была адаптирована для детей — иностранных граждан в рамках апробации в 12 регионах РФ программы оценки особых образовательных потребностей ребенка-мигранта в сферах психологического </w:t>
      </w:r>
      <w:r>
        <w:rPr>
          <w:spacing w:val="-2"/>
        </w:rPr>
        <w:t>благополучия,</w:t>
      </w:r>
      <w:r>
        <w:rPr>
          <w:spacing w:val="-4"/>
        </w:rPr>
        <w:t> </w:t>
      </w:r>
      <w:r>
        <w:rPr>
          <w:spacing w:val="-2"/>
        </w:rPr>
        <w:t>социальных</w:t>
      </w:r>
      <w:r>
        <w:rPr>
          <w:spacing w:val="-3"/>
        </w:rPr>
        <w:t> </w:t>
      </w:r>
      <w:r>
        <w:rPr>
          <w:spacing w:val="-2"/>
        </w:rPr>
        <w:t>навыков</w:t>
      </w:r>
      <w:r>
        <w:rPr>
          <w:spacing w:val="-8"/>
        </w:rPr>
        <w:t> </w:t>
      </w:r>
      <w:r>
        <w:rPr>
          <w:spacing w:val="-2"/>
        </w:rPr>
        <w:t>и</w:t>
      </w:r>
      <w:r>
        <w:rPr>
          <w:spacing w:val="-3"/>
        </w:rPr>
        <w:t> </w:t>
      </w:r>
      <w:r>
        <w:rPr>
          <w:spacing w:val="-2"/>
        </w:rPr>
        <w:t>культурной</w:t>
      </w:r>
      <w:r>
        <w:rPr>
          <w:spacing w:val="-3"/>
        </w:rPr>
        <w:t> </w:t>
      </w:r>
      <w:r>
        <w:rPr>
          <w:spacing w:val="-2"/>
        </w:rPr>
        <w:t>адаптации</w:t>
      </w:r>
      <w:r>
        <w:rPr>
          <w:spacing w:val="-7"/>
        </w:rPr>
        <w:t> </w:t>
      </w:r>
      <w:r>
        <w:rPr>
          <w:spacing w:val="-2"/>
        </w:rPr>
        <w:t>(начальная</w:t>
      </w:r>
      <w:r>
        <w:rPr>
          <w:spacing w:val="-3"/>
        </w:rPr>
        <w:t> </w:t>
      </w:r>
      <w:r>
        <w:rPr>
          <w:spacing w:val="-2"/>
        </w:rPr>
        <w:t>школа </w:t>
      </w:r>
      <w:r>
        <w:rPr/>
        <w:t>N = 327; старшая и средняя школа N = 341). Шкалы методики показали достаточную степень внутренней согласованности (альфа Кронбаха).</w:t>
      </w:r>
    </w:p>
    <w:p>
      <w:pPr>
        <w:pStyle w:val="Heading3"/>
        <w:spacing w:before="247"/>
        <w:ind w:left="0" w:right="564"/>
        <w:jc w:val="right"/>
      </w:pPr>
      <w:r>
        <w:rPr/>
        <w:t>Таблица</w:t>
      </w:r>
      <w:r>
        <w:rPr>
          <w:spacing w:val="-6"/>
        </w:rPr>
        <w:t> </w:t>
      </w:r>
      <w:r>
        <w:rPr>
          <w:spacing w:val="-10"/>
        </w:rPr>
        <w:t>3</w:t>
      </w:r>
    </w:p>
    <w:p>
      <w:pPr>
        <w:spacing w:before="238"/>
        <w:ind w:left="286" w:right="566" w:firstLine="0"/>
        <w:jc w:val="center"/>
        <w:rPr>
          <w:b/>
          <w:sz w:val="28"/>
        </w:rPr>
      </w:pPr>
      <w:r>
        <w:rPr>
          <w:b/>
          <w:sz w:val="28"/>
        </w:rPr>
        <w:t>Значения</w:t>
      </w:r>
      <w:r>
        <w:rPr>
          <w:b/>
          <w:spacing w:val="-7"/>
          <w:sz w:val="28"/>
        </w:rPr>
        <w:t> </w:t>
      </w:r>
      <w:r>
        <w:rPr>
          <w:b/>
          <w:sz w:val="28"/>
        </w:rPr>
        <w:t>альфа</w:t>
      </w:r>
      <w:r>
        <w:rPr>
          <w:b/>
          <w:spacing w:val="-3"/>
          <w:sz w:val="28"/>
        </w:rPr>
        <w:t> </w:t>
      </w:r>
      <w:r>
        <w:rPr>
          <w:b/>
          <w:sz w:val="28"/>
        </w:rPr>
        <w:t>Кронбаха</w:t>
      </w:r>
      <w:r>
        <w:rPr>
          <w:b/>
          <w:spacing w:val="-3"/>
          <w:sz w:val="28"/>
        </w:rPr>
        <w:t> </w:t>
      </w:r>
      <w:r>
        <w:rPr>
          <w:b/>
          <w:sz w:val="28"/>
        </w:rPr>
        <w:t>для</w:t>
      </w:r>
      <w:r>
        <w:rPr>
          <w:b/>
          <w:spacing w:val="-6"/>
          <w:sz w:val="28"/>
        </w:rPr>
        <w:t> </w:t>
      </w:r>
      <w:r>
        <w:rPr>
          <w:b/>
          <w:sz w:val="28"/>
        </w:rPr>
        <w:t>шкал</w:t>
      </w:r>
      <w:r>
        <w:rPr>
          <w:b/>
          <w:spacing w:val="-7"/>
          <w:sz w:val="28"/>
        </w:rPr>
        <w:t> </w:t>
      </w:r>
      <w:r>
        <w:rPr>
          <w:b/>
          <w:spacing w:val="-2"/>
          <w:sz w:val="28"/>
        </w:rPr>
        <w:t>методики</w:t>
      </w:r>
    </w:p>
    <w:p>
      <w:pPr>
        <w:pStyle w:val="BodyText"/>
        <w:spacing w:before="14"/>
        <w:ind w:left="0" w:right="0" w:firstLine="0"/>
        <w:jc w:val="left"/>
        <w:rPr>
          <w:b/>
        </w:r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37"/>
        <w:gridCol w:w="3202"/>
        <w:gridCol w:w="3401"/>
      </w:tblGrid>
      <w:tr>
        <w:trPr>
          <w:trHeight w:val="714" w:hRule="atLeast"/>
        </w:trPr>
        <w:tc>
          <w:tcPr>
            <w:tcW w:w="3137" w:type="dxa"/>
          </w:tcPr>
          <w:p>
            <w:pPr>
              <w:pStyle w:val="TableParagraph"/>
              <w:spacing w:before="58"/>
              <w:rPr>
                <w:b/>
                <w:sz w:val="24"/>
              </w:rPr>
            </w:pPr>
          </w:p>
          <w:p>
            <w:pPr>
              <w:pStyle w:val="TableParagraph"/>
              <w:spacing w:before="1"/>
              <w:ind w:left="6"/>
              <w:jc w:val="center"/>
              <w:rPr>
                <w:b/>
                <w:sz w:val="24"/>
              </w:rPr>
            </w:pPr>
            <w:r>
              <w:rPr>
                <w:b/>
                <w:spacing w:val="-2"/>
                <w:sz w:val="24"/>
              </w:rPr>
              <w:t>Шкала</w:t>
            </w:r>
          </w:p>
        </w:tc>
        <w:tc>
          <w:tcPr>
            <w:tcW w:w="3202" w:type="dxa"/>
          </w:tcPr>
          <w:p>
            <w:pPr>
              <w:pStyle w:val="TableParagraph"/>
              <w:spacing w:before="58"/>
              <w:rPr>
                <w:b/>
                <w:sz w:val="24"/>
              </w:rPr>
            </w:pPr>
          </w:p>
          <w:p>
            <w:pPr>
              <w:pStyle w:val="TableParagraph"/>
              <w:spacing w:before="1"/>
              <w:ind w:left="7" w:right="6"/>
              <w:jc w:val="center"/>
              <w:rPr>
                <w:b/>
                <w:sz w:val="24"/>
              </w:rPr>
            </w:pPr>
            <w:r>
              <w:rPr>
                <w:b/>
                <w:sz w:val="24"/>
              </w:rPr>
              <w:t>Начальная</w:t>
            </w:r>
            <w:r>
              <w:rPr>
                <w:b/>
                <w:spacing w:val="-3"/>
                <w:sz w:val="24"/>
              </w:rPr>
              <w:t> </w:t>
            </w:r>
            <w:r>
              <w:rPr>
                <w:b/>
                <w:spacing w:val="-2"/>
                <w:sz w:val="24"/>
              </w:rPr>
              <w:t>школа</w:t>
            </w:r>
          </w:p>
        </w:tc>
        <w:tc>
          <w:tcPr>
            <w:tcW w:w="3401" w:type="dxa"/>
          </w:tcPr>
          <w:p>
            <w:pPr>
              <w:pStyle w:val="TableParagraph"/>
              <w:spacing w:before="58"/>
              <w:rPr>
                <w:b/>
                <w:sz w:val="24"/>
              </w:rPr>
            </w:pPr>
          </w:p>
          <w:p>
            <w:pPr>
              <w:pStyle w:val="TableParagraph"/>
              <w:spacing w:before="1"/>
              <w:ind w:left="6" w:right="2"/>
              <w:jc w:val="center"/>
              <w:rPr>
                <w:b/>
                <w:sz w:val="24"/>
              </w:rPr>
            </w:pPr>
            <w:r>
              <w:rPr>
                <w:b/>
                <w:sz w:val="24"/>
              </w:rPr>
              <w:t>Средняя</w:t>
            </w:r>
            <w:r>
              <w:rPr>
                <w:b/>
                <w:spacing w:val="-3"/>
                <w:sz w:val="24"/>
              </w:rPr>
              <w:t> </w:t>
            </w:r>
            <w:r>
              <w:rPr>
                <w:b/>
                <w:sz w:val="24"/>
              </w:rPr>
              <w:t>и</w:t>
            </w:r>
            <w:r>
              <w:rPr>
                <w:b/>
                <w:spacing w:val="-4"/>
                <w:sz w:val="24"/>
              </w:rPr>
              <w:t> </w:t>
            </w:r>
            <w:r>
              <w:rPr>
                <w:b/>
                <w:sz w:val="24"/>
              </w:rPr>
              <w:t>старшая</w:t>
            </w:r>
            <w:r>
              <w:rPr>
                <w:b/>
                <w:spacing w:val="-2"/>
                <w:sz w:val="24"/>
              </w:rPr>
              <w:t> школа</w:t>
            </w:r>
          </w:p>
        </w:tc>
      </w:tr>
      <w:tr>
        <w:trPr>
          <w:trHeight w:val="1266" w:hRule="atLeast"/>
        </w:trPr>
        <w:tc>
          <w:tcPr>
            <w:tcW w:w="3137" w:type="dxa"/>
          </w:tcPr>
          <w:p>
            <w:pPr>
              <w:pStyle w:val="TableParagraph"/>
              <w:spacing w:before="56"/>
              <w:rPr>
                <w:b/>
                <w:sz w:val="24"/>
              </w:rPr>
            </w:pPr>
          </w:p>
          <w:p>
            <w:pPr>
              <w:pStyle w:val="TableParagraph"/>
              <w:ind w:left="100" w:right="1111"/>
              <w:rPr>
                <w:sz w:val="24"/>
              </w:rPr>
            </w:pPr>
            <w:r>
              <w:rPr>
                <w:sz w:val="24"/>
              </w:rPr>
              <w:t>Общий</w:t>
            </w:r>
            <w:r>
              <w:rPr>
                <w:spacing w:val="-15"/>
                <w:sz w:val="24"/>
              </w:rPr>
              <w:t> </w:t>
            </w:r>
            <w:r>
              <w:rPr>
                <w:sz w:val="24"/>
              </w:rPr>
              <w:t>показатель </w:t>
            </w:r>
            <w:r>
              <w:rPr>
                <w:spacing w:val="-2"/>
                <w:sz w:val="24"/>
              </w:rPr>
              <w:t>психологических трудностей</w:t>
            </w:r>
          </w:p>
        </w:tc>
        <w:tc>
          <w:tcPr>
            <w:tcW w:w="3202" w:type="dxa"/>
          </w:tcPr>
          <w:p>
            <w:pPr>
              <w:pStyle w:val="TableParagraph"/>
              <w:spacing w:before="56"/>
              <w:rPr>
                <w:b/>
                <w:sz w:val="24"/>
              </w:rPr>
            </w:pPr>
          </w:p>
          <w:p>
            <w:pPr>
              <w:pStyle w:val="TableParagraph"/>
              <w:ind w:left="7"/>
              <w:jc w:val="center"/>
              <w:rPr>
                <w:i/>
                <w:sz w:val="24"/>
              </w:rPr>
            </w:pPr>
            <w:r>
              <w:rPr>
                <w:i/>
                <w:spacing w:val="-2"/>
                <w:sz w:val="24"/>
              </w:rPr>
              <w:t>0,845</w:t>
            </w:r>
          </w:p>
        </w:tc>
        <w:tc>
          <w:tcPr>
            <w:tcW w:w="3401" w:type="dxa"/>
          </w:tcPr>
          <w:p>
            <w:pPr>
              <w:pStyle w:val="TableParagraph"/>
              <w:spacing w:before="56"/>
              <w:rPr>
                <w:b/>
                <w:sz w:val="24"/>
              </w:rPr>
            </w:pPr>
          </w:p>
          <w:p>
            <w:pPr>
              <w:pStyle w:val="TableParagraph"/>
              <w:ind w:left="6"/>
              <w:jc w:val="center"/>
              <w:rPr>
                <w:i/>
                <w:sz w:val="24"/>
              </w:rPr>
            </w:pPr>
            <w:r>
              <w:rPr>
                <w:i/>
                <w:spacing w:val="-2"/>
                <w:sz w:val="24"/>
              </w:rPr>
              <w:t>0,838</w:t>
            </w:r>
          </w:p>
        </w:tc>
      </w:tr>
      <w:tr>
        <w:trPr>
          <w:trHeight w:val="993" w:hRule="atLeast"/>
        </w:trPr>
        <w:tc>
          <w:tcPr>
            <w:tcW w:w="3137" w:type="dxa"/>
          </w:tcPr>
          <w:p>
            <w:pPr>
              <w:pStyle w:val="TableParagraph"/>
              <w:spacing w:before="56"/>
              <w:rPr>
                <w:b/>
                <w:sz w:val="24"/>
              </w:rPr>
            </w:pPr>
          </w:p>
          <w:p>
            <w:pPr>
              <w:pStyle w:val="TableParagraph"/>
              <w:tabs>
                <w:tab w:pos="1408" w:val="left" w:leader="none"/>
              </w:tabs>
              <w:ind w:left="100" w:right="90"/>
              <w:rPr>
                <w:sz w:val="24"/>
              </w:rPr>
            </w:pPr>
            <w:r>
              <w:rPr>
                <w:spacing w:val="-2"/>
                <w:sz w:val="24"/>
              </w:rPr>
              <w:t>Шкала</w:t>
            </w:r>
            <w:r>
              <w:rPr>
                <w:sz w:val="24"/>
              </w:rPr>
              <w:tab/>
            </w:r>
            <w:r>
              <w:rPr>
                <w:spacing w:val="-2"/>
                <w:sz w:val="24"/>
              </w:rPr>
              <w:t>эмоциональных проблем</w:t>
            </w:r>
          </w:p>
        </w:tc>
        <w:tc>
          <w:tcPr>
            <w:tcW w:w="3202" w:type="dxa"/>
          </w:tcPr>
          <w:p>
            <w:pPr>
              <w:pStyle w:val="TableParagraph"/>
              <w:spacing w:before="56"/>
              <w:rPr>
                <w:b/>
                <w:sz w:val="24"/>
              </w:rPr>
            </w:pPr>
          </w:p>
          <w:p>
            <w:pPr>
              <w:pStyle w:val="TableParagraph"/>
              <w:ind w:left="7"/>
              <w:jc w:val="center"/>
              <w:rPr>
                <w:i/>
                <w:sz w:val="24"/>
              </w:rPr>
            </w:pPr>
            <w:r>
              <w:rPr>
                <w:i/>
                <w:spacing w:val="-2"/>
                <w:sz w:val="24"/>
              </w:rPr>
              <w:t>0,680</w:t>
            </w:r>
          </w:p>
        </w:tc>
        <w:tc>
          <w:tcPr>
            <w:tcW w:w="3401" w:type="dxa"/>
          </w:tcPr>
          <w:p>
            <w:pPr>
              <w:pStyle w:val="TableParagraph"/>
              <w:spacing w:before="56"/>
              <w:rPr>
                <w:b/>
                <w:sz w:val="24"/>
              </w:rPr>
            </w:pPr>
          </w:p>
          <w:p>
            <w:pPr>
              <w:pStyle w:val="TableParagraph"/>
              <w:ind w:left="6"/>
              <w:jc w:val="center"/>
              <w:rPr>
                <w:i/>
                <w:sz w:val="24"/>
              </w:rPr>
            </w:pPr>
            <w:r>
              <w:rPr>
                <w:i/>
                <w:spacing w:val="-2"/>
                <w:sz w:val="24"/>
              </w:rPr>
              <w:t>0,705</w:t>
            </w:r>
          </w:p>
        </w:tc>
      </w:tr>
      <w:tr>
        <w:trPr>
          <w:trHeight w:val="717" w:hRule="atLeast"/>
        </w:trPr>
        <w:tc>
          <w:tcPr>
            <w:tcW w:w="3137" w:type="dxa"/>
          </w:tcPr>
          <w:p>
            <w:pPr>
              <w:pStyle w:val="TableParagraph"/>
              <w:spacing w:before="56"/>
              <w:rPr>
                <w:b/>
                <w:sz w:val="24"/>
              </w:rPr>
            </w:pPr>
          </w:p>
          <w:p>
            <w:pPr>
              <w:pStyle w:val="TableParagraph"/>
              <w:spacing w:before="1"/>
              <w:ind w:left="100"/>
              <w:rPr>
                <w:sz w:val="24"/>
              </w:rPr>
            </w:pPr>
            <w:r>
              <w:rPr>
                <w:sz w:val="24"/>
              </w:rPr>
              <w:t>Шкала</w:t>
            </w:r>
            <w:r>
              <w:rPr>
                <w:spacing w:val="-1"/>
                <w:sz w:val="24"/>
              </w:rPr>
              <w:t> </w:t>
            </w:r>
            <w:r>
              <w:rPr>
                <w:spacing w:val="-2"/>
                <w:sz w:val="24"/>
              </w:rPr>
              <w:t>гиперактивности</w:t>
            </w:r>
          </w:p>
        </w:tc>
        <w:tc>
          <w:tcPr>
            <w:tcW w:w="3202" w:type="dxa"/>
          </w:tcPr>
          <w:p>
            <w:pPr>
              <w:pStyle w:val="TableParagraph"/>
              <w:spacing w:before="56"/>
              <w:rPr>
                <w:b/>
                <w:sz w:val="24"/>
              </w:rPr>
            </w:pPr>
          </w:p>
          <w:p>
            <w:pPr>
              <w:pStyle w:val="TableParagraph"/>
              <w:spacing w:before="1"/>
              <w:ind w:left="7"/>
              <w:jc w:val="center"/>
              <w:rPr>
                <w:i/>
                <w:sz w:val="24"/>
              </w:rPr>
            </w:pPr>
            <w:r>
              <w:rPr>
                <w:i/>
                <w:spacing w:val="-2"/>
                <w:sz w:val="24"/>
              </w:rPr>
              <w:t>0,720</w:t>
            </w:r>
          </w:p>
        </w:tc>
        <w:tc>
          <w:tcPr>
            <w:tcW w:w="3401" w:type="dxa"/>
          </w:tcPr>
          <w:p>
            <w:pPr>
              <w:pStyle w:val="TableParagraph"/>
              <w:spacing w:before="56"/>
              <w:rPr>
                <w:b/>
                <w:sz w:val="24"/>
              </w:rPr>
            </w:pPr>
          </w:p>
          <w:p>
            <w:pPr>
              <w:pStyle w:val="TableParagraph"/>
              <w:spacing w:before="1"/>
              <w:ind w:left="6"/>
              <w:jc w:val="center"/>
              <w:rPr>
                <w:i/>
                <w:sz w:val="24"/>
              </w:rPr>
            </w:pPr>
            <w:r>
              <w:rPr>
                <w:i/>
                <w:spacing w:val="-2"/>
                <w:sz w:val="24"/>
              </w:rPr>
              <w:t>0,706</w:t>
            </w:r>
          </w:p>
        </w:tc>
      </w:tr>
    </w:tbl>
    <w:p>
      <w:pPr>
        <w:pStyle w:val="TableParagraph"/>
        <w:spacing w:after="0"/>
        <w:jc w:val="center"/>
        <w:rPr>
          <w:i/>
          <w:sz w:val="24"/>
        </w:rPr>
        <w:sectPr>
          <w:pgSz w:w="11910" w:h="16840"/>
          <w:pgMar w:header="0" w:footer="970" w:top="1040" w:bottom="1220" w:left="1417" w:right="283"/>
        </w:sectPr>
      </w:pPr>
    </w:p>
    <w:p>
      <w:pPr>
        <w:pStyle w:val="Heading4"/>
        <w:spacing w:before="67"/>
        <w:ind w:right="563" w:firstLine="719"/>
      </w:pPr>
      <w:r>
        <w:rPr/>
        <w:t>В исследовании обнаружены предсказуемые корреляции со шкалами иных методик: значимые корреляции с субшкалами опросника Ахенбаха, очевидные взаимосвязи с субшкалами «Трудности внимания» (0,769, P&lt;0.01) и «Агрессивность» (0,700, P&lt;0.01); у опросника «Психологическое здоровье мигрантов» — взаимосвязь со Шкалой эмоциональных проблем (0,307, P&lt;0.01).</w:t>
      </w:r>
      <w:r>
        <w:rPr>
          <w:spacing w:val="-16"/>
        </w:rPr>
        <w:t> </w:t>
      </w:r>
      <w:r>
        <w:rPr/>
        <w:t>Приведенные</w:t>
      </w:r>
      <w:r>
        <w:rPr>
          <w:spacing w:val="-16"/>
        </w:rPr>
        <w:t> </w:t>
      </w:r>
      <w:r>
        <w:rPr/>
        <w:t>данные</w:t>
      </w:r>
      <w:r>
        <w:rPr>
          <w:spacing w:val="-16"/>
        </w:rPr>
        <w:t> </w:t>
      </w:r>
      <w:r>
        <w:rPr/>
        <w:t>доказывает</w:t>
      </w:r>
      <w:r>
        <w:rPr>
          <w:spacing w:val="-16"/>
        </w:rPr>
        <w:t> </w:t>
      </w:r>
      <w:r>
        <w:rPr/>
        <w:t>внешнюю</w:t>
      </w:r>
      <w:r>
        <w:rPr>
          <w:spacing w:val="-17"/>
        </w:rPr>
        <w:t> </w:t>
      </w:r>
      <w:r>
        <w:rPr/>
        <w:t>валидность</w:t>
      </w:r>
      <w:r>
        <w:rPr>
          <w:spacing w:val="-17"/>
        </w:rPr>
        <w:t> </w:t>
      </w:r>
      <w:r>
        <w:rPr/>
        <w:t>методики</w:t>
      </w:r>
      <w:r>
        <w:rPr>
          <w:spacing w:val="-15"/>
        </w:rPr>
        <w:t> </w:t>
      </w:r>
      <w:r>
        <w:rPr/>
        <w:t>при диагностике детей — иностранных граждан.</w:t>
      </w:r>
    </w:p>
    <w:p>
      <w:pPr>
        <w:pStyle w:val="BodyText"/>
        <w:ind w:left="0" w:right="0" w:firstLine="0"/>
        <w:jc w:val="left"/>
      </w:pPr>
    </w:p>
    <w:p>
      <w:pPr>
        <w:pStyle w:val="BodyText"/>
        <w:ind w:left="0" w:right="0" w:firstLine="0"/>
        <w:jc w:val="left"/>
      </w:pPr>
    </w:p>
    <w:p>
      <w:pPr>
        <w:pStyle w:val="BodyText"/>
        <w:spacing w:before="54"/>
        <w:ind w:left="0" w:right="0" w:firstLine="0"/>
        <w:jc w:val="left"/>
      </w:pPr>
      <w:r>
        <w:rPr/>
        <mc:AlternateContent>
          <mc:Choice Requires="wps">
            <w:drawing>
              <wp:anchor distT="0" distB="0" distL="0" distR="0" allowOverlap="1" layoutInCell="1" locked="0" behindDoc="1" simplePos="0" relativeHeight="487593984">
                <wp:simplePos x="0" y="0"/>
                <wp:positionH relativeFrom="page">
                  <wp:posOffset>1080820</wp:posOffset>
                </wp:positionH>
                <wp:positionV relativeFrom="paragraph">
                  <wp:posOffset>195852</wp:posOffset>
                </wp:positionV>
                <wp:extent cx="5941695" cy="635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5941695" cy="6350"/>
                        </a:xfrm>
                        <a:custGeom>
                          <a:avLst/>
                          <a:gdLst/>
                          <a:ahLst/>
                          <a:cxnLst/>
                          <a:rect l="l" t="t" r="r" b="b"/>
                          <a:pathLst>
                            <a:path w="5941695" h="6350">
                              <a:moveTo>
                                <a:pt x="5938393" y="3060"/>
                              </a:moveTo>
                              <a:lnTo>
                                <a:pt x="3048" y="3060"/>
                              </a:lnTo>
                              <a:lnTo>
                                <a:pt x="0" y="3060"/>
                              </a:lnTo>
                              <a:lnTo>
                                <a:pt x="0" y="6096"/>
                              </a:lnTo>
                              <a:lnTo>
                                <a:pt x="3048" y="6096"/>
                              </a:lnTo>
                              <a:lnTo>
                                <a:pt x="5938393" y="6096"/>
                              </a:lnTo>
                              <a:lnTo>
                                <a:pt x="5938393" y="3060"/>
                              </a:lnTo>
                              <a:close/>
                            </a:path>
                            <a:path w="5941695" h="6350">
                              <a:moveTo>
                                <a:pt x="5938393" y="0"/>
                              </a:moveTo>
                              <a:lnTo>
                                <a:pt x="3048" y="0"/>
                              </a:lnTo>
                              <a:lnTo>
                                <a:pt x="0" y="0"/>
                              </a:lnTo>
                              <a:lnTo>
                                <a:pt x="0" y="3048"/>
                              </a:lnTo>
                              <a:lnTo>
                                <a:pt x="3048" y="3048"/>
                              </a:lnTo>
                              <a:lnTo>
                                <a:pt x="5938393" y="3048"/>
                              </a:lnTo>
                              <a:lnTo>
                                <a:pt x="5938393" y="0"/>
                              </a:lnTo>
                              <a:close/>
                            </a:path>
                            <a:path w="5941695" h="6350">
                              <a:moveTo>
                                <a:pt x="5941517" y="3060"/>
                              </a:moveTo>
                              <a:lnTo>
                                <a:pt x="5938469" y="3060"/>
                              </a:lnTo>
                              <a:lnTo>
                                <a:pt x="5938469" y="6096"/>
                              </a:lnTo>
                              <a:lnTo>
                                <a:pt x="5941517" y="6096"/>
                              </a:lnTo>
                              <a:lnTo>
                                <a:pt x="5941517" y="3060"/>
                              </a:lnTo>
                              <a:close/>
                            </a:path>
                            <a:path w="5941695" h="6350">
                              <a:moveTo>
                                <a:pt x="5941517" y="0"/>
                              </a:moveTo>
                              <a:lnTo>
                                <a:pt x="5938469" y="0"/>
                              </a:lnTo>
                              <a:lnTo>
                                <a:pt x="5938469" y="3048"/>
                              </a:lnTo>
                              <a:lnTo>
                                <a:pt x="5941517" y="3048"/>
                              </a:lnTo>
                              <a:lnTo>
                                <a:pt x="5941517"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style="position:absolute;margin-left:85.104004pt;margin-top:15.421494pt;width:467.85pt;height:.5pt;mso-position-horizontal-relative:page;mso-position-vertical-relative:paragraph;z-index:-15722496;mso-wrap-distance-left:0;mso-wrap-distance-right:0" id="docshape18" coordorigin="1702,308" coordsize="9357,10" path="m11054,313l1707,313,1702,313,1702,318,1707,318,11054,318,11054,313xm11054,308l1707,308,1702,308,1702,313,1707,313,11054,313,11054,308xm11059,313l11054,313,11054,318,11059,318,11059,313xm11059,308l11054,308,11054,313,11059,313,11059,308xe" filled="true" fillcolor="#9f9f9f" stroked="false">
                <v:path arrowok="t"/>
                <v:fill type="solid"/>
                <w10:wrap type="topAndBottom"/>
              </v:shape>
            </w:pict>
          </mc:Fallback>
        </mc:AlternateContent>
      </w:r>
    </w:p>
    <w:p>
      <w:pPr>
        <w:pStyle w:val="BodyText"/>
        <w:spacing w:before="48"/>
        <w:ind w:left="0" w:right="0" w:firstLine="0"/>
        <w:jc w:val="left"/>
      </w:pPr>
    </w:p>
    <w:p>
      <w:pPr>
        <w:pStyle w:val="ListParagraph"/>
        <w:numPr>
          <w:ilvl w:val="0"/>
          <w:numId w:val="17"/>
        </w:numPr>
        <w:tabs>
          <w:tab w:pos="587" w:val="left" w:leader="none"/>
        </w:tabs>
        <w:spacing w:line="240" w:lineRule="auto" w:before="1" w:after="0"/>
        <w:ind w:left="285" w:right="564" w:firstLine="0"/>
        <w:jc w:val="both"/>
        <w:rPr>
          <w:sz w:val="20"/>
        </w:rPr>
      </w:pPr>
      <w:r>
        <w:rPr>
          <w:sz w:val="20"/>
        </w:rPr>
        <w:t>Методика Раттера </w:t>
      </w:r>
      <w:r>
        <w:rPr>
          <w:i/>
          <w:sz w:val="20"/>
        </w:rPr>
        <w:t>A children’s behavior questionnaire </w:t>
      </w:r>
      <w:r>
        <w:rPr>
          <w:sz w:val="20"/>
        </w:rPr>
        <w:t>представляет собой опросник, который заполняют родители; он является, так же как ССТ, картой наблюдения. Опросник позволяет оценить уровень невротичности (волнение, состояние угнетенности, беспокойства) и антисоциальности (лживость, способность к краже, способность к разрушениям) по предложенным артериальным шкалам (</w:t>
      </w:r>
      <w:r>
        <w:rPr>
          <w:i/>
          <w:sz w:val="20"/>
        </w:rPr>
        <w:t>Rutter</w:t>
      </w:r>
      <w:r>
        <w:rPr>
          <w:sz w:val="20"/>
        </w:rPr>
        <w:t>, 1967).</w:t>
      </w:r>
    </w:p>
    <w:p>
      <w:pPr>
        <w:pStyle w:val="BodyText"/>
        <w:spacing w:before="9"/>
        <w:ind w:left="0" w:right="0" w:firstLine="0"/>
        <w:jc w:val="left"/>
      </w:pPr>
    </w:p>
    <w:p>
      <w:pPr>
        <w:pStyle w:val="ListParagraph"/>
        <w:numPr>
          <w:ilvl w:val="0"/>
          <w:numId w:val="17"/>
        </w:numPr>
        <w:tabs>
          <w:tab w:pos="638" w:val="left" w:leader="none"/>
        </w:tabs>
        <w:spacing w:line="240" w:lineRule="auto" w:before="0" w:after="0"/>
        <w:ind w:left="285" w:right="569" w:firstLine="0"/>
        <w:jc w:val="both"/>
        <w:rPr>
          <w:sz w:val="20"/>
        </w:rPr>
      </w:pPr>
      <w:r>
        <w:rPr>
          <w:sz w:val="20"/>
        </w:rPr>
        <w:t>Показатель, отображающий соотношение между долей объектов от общего количества носителей признака,</w:t>
      </w:r>
      <w:r>
        <w:rPr>
          <w:spacing w:val="-13"/>
          <w:sz w:val="20"/>
        </w:rPr>
        <w:t> </w:t>
      </w:r>
      <w:r>
        <w:rPr>
          <w:sz w:val="20"/>
        </w:rPr>
        <w:t>верно</w:t>
      </w:r>
      <w:r>
        <w:rPr>
          <w:spacing w:val="-12"/>
          <w:sz w:val="20"/>
        </w:rPr>
        <w:t> </w:t>
      </w:r>
      <w:r>
        <w:rPr>
          <w:sz w:val="20"/>
        </w:rPr>
        <w:t>классифицированных</w:t>
      </w:r>
      <w:r>
        <w:rPr>
          <w:spacing w:val="-13"/>
          <w:sz w:val="20"/>
        </w:rPr>
        <w:t> </w:t>
      </w:r>
      <w:r>
        <w:rPr>
          <w:sz w:val="20"/>
        </w:rPr>
        <w:t>как</w:t>
      </w:r>
      <w:r>
        <w:rPr>
          <w:spacing w:val="-12"/>
          <w:sz w:val="20"/>
        </w:rPr>
        <w:t> </w:t>
      </w:r>
      <w:r>
        <w:rPr>
          <w:sz w:val="20"/>
        </w:rPr>
        <w:t>несущие</w:t>
      </w:r>
      <w:r>
        <w:rPr>
          <w:spacing w:val="-13"/>
          <w:sz w:val="20"/>
        </w:rPr>
        <w:t> </w:t>
      </w:r>
      <w:r>
        <w:rPr>
          <w:sz w:val="20"/>
        </w:rPr>
        <w:t>признак,</w:t>
      </w:r>
      <w:r>
        <w:rPr>
          <w:spacing w:val="-12"/>
          <w:sz w:val="20"/>
        </w:rPr>
        <w:t> </w:t>
      </w:r>
      <w:r>
        <w:rPr>
          <w:sz w:val="20"/>
        </w:rPr>
        <w:t>и</w:t>
      </w:r>
      <w:r>
        <w:rPr>
          <w:spacing w:val="-13"/>
          <w:sz w:val="20"/>
        </w:rPr>
        <w:t> </w:t>
      </w:r>
      <w:r>
        <w:rPr>
          <w:sz w:val="20"/>
        </w:rPr>
        <w:t>долей</w:t>
      </w:r>
      <w:r>
        <w:rPr>
          <w:spacing w:val="-12"/>
          <w:sz w:val="20"/>
        </w:rPr>
        <w:t> </w:t>
      </w:r>
      <w:r>
        <w:rPr>
          <w:sz w:val="20"/>
        </w:rPr>
        <w:t>объектов</w:t>
      </w:r>
      <w:r>
        <w:rPr>
          <w:spacing w:val="-13"/>
          <w:sz w:val="20"/>
        </w:rPr>
        <w:t> </w:t>
      </w:r>
      <w:r>
        <w:rPr>
          <w:sz w:val="20"/>
        </w:rPr>
        <w:t>от</w:t>
      </w:r>
      <w:r>
        <w:rPr>
          <w:spacing w:val="-12"/>
          <w:sz w:val="20"/>
        </w:rPr>
        <w:t> </w:t>
      </w:r>
      <w:r>
        <w:rPr>
          <w:sz w:val="20"/>
        </w:rPr>
        <w:t>общего</w:t>
      </w:r>
      <w:r>
        <w:rPr>
          <w:spacing w:val="-13"/>
          <w:sz w:val="20"/>
        </w:rPr>
        <w:t> </w:t>
      </w:r>
      <w:r>
        <w:rPr>
          <w:sz w:val="20"/>
        </w:rPr>
        <w:t>количества</w:t>
      </w:r>
      <w:r>
        <w:rPr>
          <w:spacing w:val="-12"/>
          <w:sz w:val="20"/>
        </w:rPr>
        <w:t> </w:t>
      </w:r>
      <w:r>
        <w:rPr>
          <w:sz w:val="20"/>
        </w:rPr>
        <w:t>объектов, не несущих признак, ошибочно классифицированных как несущие признак.</w:t>
      </w:r>
    </w:p>
    <w:p>
      <w:pPr>
        <w:pStyle w:val="ListParagraph"/>
        <w:spacing w:after="0" w:line="240" w:lineRule="auto"/>
        <w:jc w:val="both"/>
        <w:rPr>
          <w:sz w:val="20"/>
        </w:rPr>
        <w:sectPr>
          <w:pgSz w:w="11910" w:h="16840"/>
          <w:pgMar w:header="0" w:footer="970" w:top="1040" w:bottom="1220" w:left="1417" w:right="283"/>
        </w:sectPr>
      </w:pPr>
    </w:p>
    <w:p>
      <w:pPr>
        <w:pStyle w:val="Heading3"/>
        <w:ind w:left="5570"/>
        <w:jc w:val="left"/>
      </w:pPr>
      <w:r>
        <w:rPr/>
        <w:t>Приложение</w:t>
      </w:r>
      <w:r>
        <w:rPr>
          <w:spacing w:val="-6"/>
        </w:rPr>
        <w:t> </w:t>
      </w:r>
      <w:r>
        <w:rPr/>
        <w:t>1.</w:t>
      </w:r>
      <w:r>
        <w:rPr>
          <w:spacing w:val="-3"/>
        </w:rPr>
        <w:t> </w:t>
      </w:r>
      <w:r>
        <w:rPr/>
        <w:t>Бланк</w:t>
      </w:r>
      <w:r>
        <w:rPr>
          <w:spacing w:val="-3"/>
        </w:rPr>
        <w:t> </w:t>
      </w:r>
      <w:r>
        <w:rPr>
          <w:spacing w:val="-2"/>
        </w:rPr>
        <w:t>методики</w:t>
      </w:r>
    </w:p>
    <w:p>
      <w:pPr>
        <w:spacing w:line="240" w:lineRule="auto" w:before="194"/>
        <w:ind w:left="285" w:right="566" w:firstLine="0"/>
        <w:jc w:val="both"/>
        <w:rPr>
          <w:i/>
          <w:sz w:val="24"/>
        </w:rPr>
      </w:pPr>
      <w:r>
        <w:rPr>
          <w:i/>
          <w:sz w:val="24"/>
        </w:rPr>
        <w:t>Пожалуйста, по каждому утверждению сделайте отметку в соответствующем квадратике: «Неверно», «Отчасти верно» или «Верно». Постарайтесь ответить на каждый вопрос, даже если Вы не полностью уверены в ответе или вопрос кажется Вам странным. В своих ответах основывайтесь на поведении ребенка в течение последних шести месяцев или текущего учебного года.</w:t>
      </w:r>
    </w:p>
    <w:p>
      <w:pPr>
        <w:pStyle w:val="BodyText"/>
        <w:ind w:left="0" w:right="0" w:firstLine="0"/>
        <w:jc w:val="left"/>
        <w:rPr>
          <w:i/>
          <w:sz w:val="18"/>
        </w:rPr>
      </w:pPr>
    </w:p>
    <w:tbl>
      <w:tblPr>
        <w:tblW w:w="0" w:type="auto"/>
        <w:jc w:val="left"/>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3"/>
        <w:gridCol w:w="1227"/>
        <w:gridCol w:w="1230"/>
        <w:gridCol w:w="1229"/>
      </w:tblGrid>
      <w:tr>
        <w:trPr>
          <w:trHeight w:val="753" w:hRule="atLeast"/>
        </w:trPr>
        <w:tc>
          <w:tcPr>
            <w:tcW w:w="5663" w:type="dxa"/>
          </w:tcPr>
          <w:p>
            <w:pPr>
              <w:pStyle w:val="TableParagraph"/>
              <w:rPr>
                <w:sz w:val="24"/>
              </w:rPr>
            </w:pPr>
          </w:p>
        </w:tc>
        <w:tc>
          <w:tcPr>
            <w:tcW w:w="1227" w:type="dxa"/>
          </w:tcPr>
          <w:p>
            <w:pPr>
              <w:pStyle w:val="TableParagraph"/>
              <w:spacing w:before="138"/>
              <w:ind w:left="6" w:right="1"/>
              <w:jc w:val="center"/>
              <w:rPr>
                <w:b/>
                <w:sz w:val="24"/>
              </w:rPr>
            </w:pPr>
            <w:r>
              <w:rPr>
                <w:b/>
                <w:spacing w:val="-2"/>
                <w:sz w:val="24"/>
              </w:rPr>
              <w:t>Неверно</w:t>
            </w:r>
          </w:p>
        </w:tc>
        <w:tc>
          <w:tcPr>
            <w:tcW w:w="1230" w:type="dxa"/>
          </w:tcPr>
          <w:p>
            <w:pPr>
              <w:pStyle w:val="TableParagraph"/>
              <w:spacing w:line="242" w:lineRule="auto"/>
              <w:ind w:left="298" w:right="145" w:hanging="149"/>
              <w:rPr>
                <w:b/>
                <w:sz w:val="24"/>
              </w:rPr>
            </w:pPr>
            <w:r>
              <w:rPr>
                <w:b/>
                <w:spacing w:val="-2"/>
                <w:sz w:val="24"/>
              </w:rPr>
              <w:t>Отчасти верно</w:t>
            </w:r>
          </w:p>
        </w:tc>
        <w:tc>
          <w:tcPr>
            <w:tcW w:w="1229" w:type="dxa"/>
          </w:tcPr>
          <w:p>
            <w:pPr>
              <w:pStyle w:val="TableParagraph"/>
              <w:spacing w:before="138"/>
              <w:ind w:left="7"/>
              <w:jc w:val="center"/>
              <w:rPr>
                <w:b/>
                <w:sz w:val="24"/>
              </w:rPr>
            </w:pPr>
            <w:r>
              <w:rPr>
                <w:b/>
                <w:spacing w:val="-2"/>
                <w:sz w:val="24"/>
              </w:rPr>
              <w:t>Верно</w:t>
            </w:r>
          </w:p>
        </w:tc>
      </w:tr>
      <w:tr>
        <w:trPr>
          <w:trHeight w:val="751" w:hRule="atLeast"/>
        </w:trPr>
        <w:tc>
          <w:tcPr>
            <w:tcW w:w="5663" w:type="dxa"/>
          </w:tcPr>
          <w:p>
            <w:pPr>
              <w:pStyle w:val="TableParagraph"/>
              <w:spacing w:line="242" w:lineRule="auto"/>
              <w:ind w:left="107" w:right="37"/>
              <w:rPr>
                <w:sz w:val="24"/>
              </w:rPr>
            </w:pPr>
            <w:r>
              <w:rPr>
                <w:sz w:val="24"/>
              </w:rPr>
              <w:t>1.</w:t>
            </w:r>
            <w:r>
              <w:rPr>
                <w:spacing w:val="-8"/>
                <w:sz w:val="24"/>
              </w:rPr>
              <w:t> </w:t>
            </w:r>
            <w:r>
              <w:rPr>
                <w:sz w:val="24"/>
              </w:rPr>
              <w:t>Неугомонный/ая,</w:t>
            </w:r>
            <w:r>
              <w:rPr>
                <w:spacing w:val="-8"/>
                <w:sz w:val="24"/>
              </w:rPr>
              <w:t> </w:t>
            </w:r>
            <w:r>
              <w:rPr>
                <w:sz w:val="24"/>
              </w:rPr>
              <w:t>слишком</w:t>
            </w:r>
            <w:r>
              <w:rPr>
                <w:spacing w:val="-9"/>
                <w:sz w:val="24"/>
              </w:rPr>
              <w:t> </w:t>
            </w:r>
            <w:r>
              <w:rPr>
                <w:sz w:val="24"/>
              </w:rPr>
              <w:t>активный/ая,</w:t>
            </w:r>
            <w:r>
              <w:rPr>
                <w:spacing w:val="-8"/>
                <w:sz w:val="24"/>
              </w:rPr>
              <w:t> </w:t>
            </w:r>
            <w:r>
              <w:rPr>
                <w:sz w:val="24"/>
              </w:rPr>
              <w:t>не</w:t>
            </w:r>
            <w:r>
              <w:rPr>
                <w:spacing w:val="-9"/>
                <w:sz w:val="24"/>
              </w:rPr>
              <w:t> </w:t>
            </w:r>
            <w:r>
              <w:rPr>
                <w:sz w:val="24"/>
              </w:rPr>
              <w:t>может долго оставаться спокойным/ой</w:t>
            </w:r>
          </w:p>
        </w:tc>
        <w:tc>
          <w:tcPr>
            <w:tcW w:w="1227" w:type="dxa"/>
          </w:tcPr>
          <w:p>
            <w:pPr>
              <w:pStyle w:val="TableParagraph"/>
              <w:spacing w:before="108"/>
              <w:ind w:left="6"/>
              <w:jc w:val="center"/>
              <w:rPr>
                <w:sz w:val="28"/>
              </w:rPr>
            </w:pPr>
            <w:r>
              <w:rPr>
                <w:spacing w:val="-10"/>
                <w:sz w:val="28"/>
              </w:rPr>
              <w:t>1</w:t>
            </w:r>
          </w:p>
        </w:tc>
        <w:tc>
          <w:tcPr>
            <w:tcW w:w="1230" w:type="dxa"/>
          </w:tcPr>
          <w:p>
            <w:pPr>
              <w:pStyle w:val="TableParagraph"/>
              <w:spacing w:before="108"/>
              <w:ind w:left="8"/>
              <w:jc w:val="center"/>
              <w:rPr>
                <w:sz w:val="28"/>
              </w:rPr>
            </w:pPr>
            <w:r>
              <w:rPr>
                <w:spacing w:val="-10"/>
                <w:sz w:val="28"/>
              </w:rPr>
              <w:t>2</w:t>
            </w:r>
          </w:p>
        </w:tc>
        <w:tc>
          <w:tcPr>
            <w:tcW w:w="1229" w:type="dxa"/>
          </w:tcPr>
          <w:p>
            <w:pPr>
              <w:pStyle w:val="TableParagraph"/>
              <w:spacing w:before="108"/>
              <w:ind w:left="7"/>
              <w:jc w:val="center"/>
              <w:rPr>
                <w:sz w:val="28"/>
              </w:rPr>
            </w:pPr>
            <w:r>
              <w:rPr>
                <w:spacing w:val="-10"/>
                <w:sz w:val="28"/>
              </w:rPr>
              <w:t>3</w:t>
            </w:r>
          </w:p>
        </w:tc>
      </w:tr>
      <w:tr>
        <w:trPr>
          <w:trHeight w:val="753" w:hRule="atLeast"/>
        </w:trPr>
        <w:tc>
          <w:tcPr>
            <w:tcW w:w="5663" w:type="dxa"/>
          </w:tcPr>
          <w:p>
            <w:pPr>
              <w:pStyle w:val="TableParagraph"/>
              <w:spacing w:line="242" w:lineRule="auto"/>
              <w:ind w:left="107" w:right="37"/>
              <w:rPr>
                <w:sz w:val="24"/>
              </w:rPr>
            </w:pPr>
            <w:r>
              <w:rPr>
                <w:sz w:val="24"/>
              </w:rPr>
              <w:t>2.</w:t>
            </w:r>
            <w:r>
              <w:rPr>
                <w:spacing w:val="-5"/>
                <w:sz w:val="24"/>
              </w:rPr>
              <w:t> </w:t>
            </w:r>
            <w:r>
              <w:rPr>
                <w:sz w:val="24"/>
              </w:rPr>
              <w:t>Часто</w:t>
            </w:r>
            <w:r>
              <w:rPr>
                <w:spacing w:val="-5"/>
                <w:sz w:val="24"/>
              </w:rPr>
              <w:t> </w:t>
            </w:r>
            <w:r>
              <w:rPr>
                <w:sz w:val="24"/>
              </w:rPr>
              <w:t>жалуется</w:t>
            </w:r>
            <w:r>
              <w:rPr>
                <w:spacing w:val="-5"/>
                <w:sz w:val="24"/>
              </w:rPr>
              <w:t> </w:t>
            </w:r>
            <w:r>
              <w:rPr>
                <w:sz w:val="24"/>
              </w:rPr>
              <w:t>на</w:t>
            </w:r>
            <w:r>
              <w:rPr>
                <w:spacing w:val="-6"/>
                <w:sz w:val="24"/>
              </w:rPr>
              <w:t> </w:t>
            </w:r>
            <w:r>
              <w:rPr>
                <w:sz w:val="24"/>
              </w:rPr>
              <w:t>головные</w:t>
            </w:r>
            <w:r>
              <w:rPr>
                <w:spacing w:val="-7"/>
                <w:sz w:val="24"/>
              </w:rPr>
              <w:t> </w:t>
            </w:r>
            <w:r>
              <w:rPr>
                <w:sz w:val="24"/>
              </w:rPr>
              <w:t>боли,</w:t>
            </w:r>
            <w:r>
              <w:rPr>
                <w:spacing w:val="-5"/>
                <w:sz w:val="24"/>
              </w:rPr>
              <w:t> </w:t>
            </w:r>
            <w:r>
              <w:rPr>
                <w:sz w:val="24"/>
              </w:rPr>
              <w:t>боли</w:t>
            </w:r>
            <w:r>
              <w:rPr>
                <w:spacing w:val="-4"/>
                <w:sz w:val="24"/>
              </w:rPr>
              <w:t> </w:t>
            </w:r>
            <w:r>
              <w:rPr>
                <w:sz w:val="24"/>
              </w:rPr>
              <w:t>в</w:t>
            </w:r>
            <w:r>
              <w:rPr>
                <w:spacing w:val="-6"/>
                <w:sz w:val="24"/>
              </w:rPr>
              <w:t> </w:t>
            </w:r>
            <w:r>
              <w:rPr>
                <w:sz w:val="24"/>
              </w:rPr>
              <w:t>животе, </w:t>
            </w:r>
            <w:r>
              <w:rPr>
                <w:spacing w:val="-2"/>
                <w:sz w:val="24"/>
              </w:rPr>
              <w:t>тошноту</w:t>
            </w:r>
          </w:p>
        </w:tc>
        <w:tc>
          <w:tcPr>
            <w:tcW w:w="1227" w:type="dxa"/>
          </w:tcPr>
          <w:p>
            <w:pPr>
              <w:pStyle w:val="TableParagraph"/>
              <w:spacing w:before="108"/>
              <w:ind w:left="6"/>
              <w:jc w:val="center"/>
              <w:rPr>
                <w:sz w:val="28"/>
              </w:rPr>
            </w:pPr>
            <w:r>
              <w:rPr>
                <w:spacing w:val="-10"/>
                <w:sz w:val="28"/>
              </w:rPr>
              <w:t>1</w:t>
            </w:r>
          </w:p>
        </w:tc>
        <w:tc>
          <w:tcPr>
            <w:tcW w:w="1230" w:type="dxa"/>
          </w:tcPr>
          <w:p>
            <w:pPr>
              <w:pStyle w:val="TableParagraph"/>
              <w:spacing w:before="108"/>
              <w:ind w:left="8"/>
              <w:jc w:val="center"/>
              <w:rPr>
                <w:sz w:val="28"/>
              </w:rPr>
            </w:pPr>
            <w:r>
              <w:rPr>
                <w:spacing w:val="-10"/>
                <w:sz w:val="28"/>
              </w:rPr>
              <w:t>2</w:t>
            </w:r>
          </w:p>
        </w:tc>
        <w:tc>
          <w:tcPr>
            <w:tcW w:w="1229" w:type="dxa"/>
          </w:tcPr>
          <w:p>
            <w:pPr>
              <w:pStyle w:val="TableParagraph"/>
              <w:spacing w:before="108"/>
              <w:ind w:left="7"/>
              <w:jc w:val="center"/>
              <w:rPr>
                <w:sz w:val="28"/>
              </w:rPr>
            </w:pPr>
            <w:r>
              <w:rPr>
                <w:spacing w:val="-10"/>
                <w:sz w:val="28"/>
              </w:rPr>
              <w:t>3</w:t>
            </w:r>
          </w:p>
        </w:tc>
      </w:tr>
      <w:tr>
        <w:trPr>
          <w:trHeight w:val="750" w:hRule="atLeast"/>
        </w:trPr>
        <w:tc>
          <w:tcPr>
            <w:tcW w:w="5663" w:type="dxa"/>
          </w:tcPr>
          <w:p>
            <w:pPr>
              <w:pStyle w:val="TableParagraph"/>
              <w:spacing w:line="242" w:lineRule="auto"/>
              <w:ind w:left="107" w:right="37"/>
              <w:rPr>
                <w:sz w:val="24"/>
              </w:rPr>
            </w:pPr>
            <w:r>
              <w:rPr>
                <w:sz w:val="24"/>
              </w:rPr>
              <w:t>3.</w:t>
            </w:r>
            <w:r>
              <w:rPr>
                <w:spacing w:val="-10"/>
                <w:sz w:val="24"/>
              </w:rPr>
              <w:t> </w:t>
            </w:r>
            <w:r>
              <w:rPr>
                <w:sz w:val="24"/>
              </w:rPr>
              <w:t>Часто</w:t>
            </w:r>
            <w:r>
              <w:rPr>
                <w:spacing w:val="-10"/>
                <w:sz w:val="24"/>
              </w:rPr>
              <w:t> </w:t>
            </w:r>
            <w:r>
              <w:rPr>
                <w:sz w:val="24"/>
              </w:rPr>
              <w:t>испытывает</w:t>
            </w:r>
            <w:r>
              <w:rPr>
                <w:spacing w:val="-10"/>
                <w:sz w:val="24"/>
              </w:rPr>
              <w:t> </w:t>
            </w:r>
            <w:r>
              <w:rPr>
                <w:sz w:val="24"/>
              </w:rPr>
              <w:t>состояние</w:t>
            </w:r>
            <w:r>
              <w:rPr>
                <w:spacing w:val="-10"/>
                <w:sz w:val="24"/>
              </w:rPr>
              <w:t> </w:t>
            </w:r>
            <w:r>
              <w:rPr>
                <w:sz w:val="24"/>
              </w:rPr>
              <w:t>сильного раздражения, гнев</w:t>
            </w:r>
          </w:p>
        </w:tc>
        <w:tc>
          <w:tcPr>
            <w:tcW w:w="1227" w:type="dxa"/>
          </w:tcPr>
          <w:p>
            <w:pPr>
              <w:pStyle w:val="TableParagraph"/>
              <w:spacing w:before="108"/>
              <w:ind w:left="6"/>
              <w:jc w:val="center"/>
              <w:rPr>
                <w:sz w:val="28"/>
              </w:rPr>
            </w:pPr>
            <w:r>
              <w:rPr>
                <w:spacing w:val="-10"/>
                <w:sz w:val="28"/>
              </w:rPr>
              <w:t>1</w:t>
            </w:r>
          </w:p>
        </w:tc>
        <w:tc>
          <w:tcPr>
            <w:tcW w:w="1230" w:type="dxa"/>
          </w:tcPr>
          <w:p>
            <w:pPr>
              <w:pStyle w:val="TableParagraph"/>
              <w:spacing w:before="108"/>
              <w:ind w:left="8"/>
              <w:jc w:val="center"/>
              <w:rPr>
                <w:sz w:val="28"/>
              </w:rPr>
            </w:pPr>
            <w:r>
              <w:rPr>
                <w:spacing w:val="-10"/>
                <w:sz w:val="28"/>
              </w:rPr>
              <w:t>2</w:t>
            </w:r>
          </w:p>
        </w:tc>
        <w:tc>
          <w:tcPr>
            <w:tcW w:w="1229" w:type="dxa"/>
          </w:tcPr>
          <w:p>
            <w:pPr>
              <w:pStyle w:val="TableParagraph"/>
              <w:spacing w:before="108"/>
              <w:ind w:left="7"/>
              <w:jc w:val="center"/>
              <w:rPr>
                <w:sz w:val="28"/>
              </w:rPr>
            </w:pPr>
            <w:r>
              <w:rPr>
                <w:spacing w:val="-10"/>
                <w:sz w:val="28"/>
              </w:rPr>
              <w:t>3</w:t>
            </w:r>
          </w:p>
        </w:tc>
      </w:tr>
      <w:tr>
        <w:trPr>
          <w:trHeight w:val="753" w:hRule="atLeast"/>
        </w:trPr>
        <w:tc>
          <w:tcPr>
            <w:tcW w:w="5663" w:type="dxa"/>
          </w:tcPr>
          <w:p>
            <w:pPr>
              <w:pStyle w:val="TableParagraph"/>
              <w:spacing w:line="242" w:lineRule="auto"/>
              <w:ind w:left="107" w:right="37"/>
              <w:rPr>
                <w:sz w:val="24"/>
              </w:rPr>
            </w:pPr>
            <w:r>
              <w:rPr>
                <w:sz w:val="24"/>
              </w:rPr>
              <w:t>4.</w:t>
            </w:r>
            <w:r>
              <w:rPr>
                <w:spacing w:val="-10"/>
                <w:sz w:val="24"/>
              </w:rPr>
              <w:t> </w:t>
            </w:r>
            <w:r>
              <w:rPr>
                <w:sz w:val="24"/>
              </w:rPr>
              <w:t>Обычно</w:t>
            </w:r>
            <w:r>
              <w:rPr>
                <w:spacing w:val="-10"/>
                <w:sz w:val="24"/>
              </w:rPr>
              <w:t> </w:t>
            </w:r>
            <w:r>
              <w:rPr>
                <w:sz w:val="24"/>
              </w:rPr>
              <w:t>послушен/на,</w:t>
            </w:r>
            <w:r>
              <w:rPr>
                <w:spacing w:val="-10"/>
                <w:sz w:val="24"/>
              </w:rPr>
              <w:t> </w:t>
            </w:r>
            <w:r>
              <w:rPr>
                <w:sz w:val="24"/>
              </w:rPr>
              <w:t>подчиняется</w:t>
            </w:r>
            <w:r>
              <w:rPr>
                <w:spacing w:val="-10"/>
                <w:sz w:val="24"/>
              </w:rPr>
              <w:t> </w:t>
            </w:r>
            <w:r>
              <w:rPr>
                <w:sz w:val="24"/>
              </w:rPr>
              <w:t>требованиям </w:t>
            </w:r>
            <w:r>
              <w:rPr>
                <w:spacing w:val="-2"/>
                <w:sz w:val="24"/>
              </w:rPr>
              <w:t>взрослых</w:t>
            </w:r>
          </w:p>
        </w:tc>
        <w:tc>
          <w:tcPr>
            <w:tcW w:w="1227" w:type="dxa"/>
          </w:tcPr>
          <w:p>
            <w:pPr>
              <w:pStyle w:val="TableParagraph"/>
              <w:spacing w:before="108"/>
              <w:ind w:left="6"/>
              <w:jc w:val="center"/>
              <w:rPr>
                <w:sz w:val="28"/>
              </w:rPr>
            </w:pPr>
            <w:r>
              <w:rPr>
                <w:spacing w:val="-10"/>
                <w:sz w:val="28"/>
              </w:rPr>
              <w:t>1</w:t>
            </w:r>
          </w:p>
        </w:tc>
        <w:tc>
          <w:tcPr>
            <w:tcW w:w="1230" w:type="dxa"/>
          </w:tcPr>
          <w:p>
            <w:pPr>
              <w:pStyle w:val="TableParagraph"/>
              <w:spacing w:before="108"/>
              <w:ind w:left="8"/>
              <w:jc w:val="center"/>
              <w:rPr>
                <w:sz w:val="28"/>
              </w:rPr>
            </w:pPr>
            <w:r>
              <w:rPr>
                <w:spacing w:val="-10"/>
                <w:sz w:val="28"/>
              </w:rPr>
              <w:t>2</w:t>
            </w:r>
          </w:p>
        </w:tc>
        <w:tc>
          <w:tcPr>
            <w:tcW w:w="1229" w:type="dxa"/>
          </w:tcPr>
          <w:p>
            <w:pPr>
              <w:pStyle w:val="TableParagraph"/>
              <w:spacing w:before="108"/>
              <w:ind w:left="7"/>
              <w:jc w:val="center"/>
              <w:rPr>
                <w:sz w:val="28"/>
              </w:rPr>
            </w:pPr>
            <w:r>
              <w:rPr>
                <w:spacing w:val="-10"/>
                <w:sz w:val="28"/>
              </w:rPr>
              <w:t>3</w:t>
            </w:r>
          </w:p>
        </w:tc>
      </w:tr>
      <w:tr>
        <w:trPr>
          <w:trHeight w:val="520" w:hRule="atLeast"/>
        </w:trPr>
        <w:tc>
          <w:tcPr>
            <w:tcW w:w="5663" w:type="dxa"/>
          </w:tcPr>
          <w:p>
            <w:pPr>
              <w:pStyle w:val="TableParagraph"/>
              <w:spacing w:line="270" w:lineRule="exact"/>
              <w:ind w:left="107"/>
              <w:rPr>
                <w:sz w:val="24"/>
              </w:rPr>
            </w:pPr>
            <w:r>
              <w:rPr>
                <w:sz w:val="24"/>
              </w:rPr>
              <w:t>5.</w:t>
            </w:r>
            <w:r>
              <w:rPr>
                <w:spacing w:val="-3"/>
                <w:sz w:val="24"/>
              </w:rPr>
              <w:t> </w:t>
            </w:r>
            <w:r>
              <w:rPr>
                <w:sz w:val="24"/>
              </w:rPr>
              <w:t>Часто</w:t>
            </w:r>
            <w:r>
              <w:rPr>
                <w:spacing w:val="-3"/>
                <w:sz w:val="24"/>
              </w:rPr>
              <w:t> </w:t>
            </w:r>
            <w:r>
              <w:rPr>
                <w:sz w:val="24"/>
              </w:rPr>
              <w:t>выглядит</w:t>
            </w:r>
            <w:r>
              <w:rPr>
                <w:spacing w:val="-3"/>
                <w:sz w:val="24"/>
              </w:rPr>
              <w:t> </w:t>
            </w:r>
            <w:r>
              <w:rPr>
                <w:sz w:val="24"/>
              </w:rPr>
              <w:t>беспокойным/ой,</w:t>
            </w:r>
            <w:r>
              <w:rPr>
                <w:spacing w:val="-2"/>
                <w:sz w:val="24"/>
              </w:rPr>
              <w:t> озабоченным/ой</w:t>
            </w:r>
          </w:p>
        </w:tc>
        <w:tc>
          <w:tcPr>
            <w:tcW w:w="1227" w:type="dxa"/>
          </w:tcPr>
          <w:p>
            <w:pPr>
              <w:pStyle w:val="TableParagraph"/>
              <w:spacing w:line="315" w:lineRule="exact"/>
              <w:ind w:left="6"/>
              <w:jc w:val="center"/>
              <w:rPr>
                <w:sz w:val="28"/>
              </w:rPr>
            </w:pPr>
            <w:r>
              <w:rPr>
                <w:spacing w:val="-10"/>
                <w:sz w:val="28"/>
              </w:rPr>
              <w:t>1</w:t>
            </w:r>
          </w:p>
        </w:tc>
        <w:tc>
          <w:tcPr>
            <w:tcW w:w="1230" w:type="dxa"/>
          </w:tcPr>
          <w:p>
            <w:pPr>
              <w:pStyle w:val="TableParagraph"/>
              <w:spacing w:line="315" w:lineRule="exact"/>
              <w:ind w:left="8"/>
              <w:jc w:val="center"/>
              <w:rPr>
                <w:sz w:val="28"/>
              </w:rPr>
            </w:pPr>
            <w:r>
              <w:rPr>
                <w:spacing w:val="-10"/>
                <w:sz w:val="28"/>
              </w:rPr>
              <w:t>2</w:t>
            </w:r>
          </w:p>
        </w:tc>
        <w:tc>
          <w:tcPr>
            <w:tcW w:w="1229" w:type="dxa"/>
          </w:tcPr>
          <w:p>
            <w:pPr>
              <w:pStyle w:val="TableParagraph"/>
              <w:spacing w:line="315" w:lineRule="exact"/>
              <w:ind w:left="7"/>
              <w:jc w:val="center"/>
              <w:rPr>
                <w:sz w:val="28"/>
              </w:rPr>
            </w:pPr>
            <w:r>
              <w:rPr>
                <w:spacing w:val="-10"/>
                <w:sz w:val="28"/>
              </w:rPr>
              <w:t>3</w:t>
            </w:r>
          </w:p>
        </w:tc>
      </w:tr>
      <w:tr>
        <w:trPr>
          <w:trHeight w:val="523" w:hRule="atLeast"/>
        </w:trPr>
        <w:tc>
          <w:tcPr>
            <w:tcW w:w="5663" w:type="dxa"/>
          </w:tcPr>
          <w:p>
            <w:pPr>
              <w:pStyle w:val="TableParagraph"/>
              <w:spacing w:before="18"/>
              <w:ind w:left="107"/>
              <w:rPr>
                <w:sz w:val="24"/>
              </w:rPr>
            </w:pPr>
            <w:r>
              <w:rPr>
                <w:sz w:val="24"/>
              </w:rPr>
              <w:t>6.</w:t>
            </w:r>
            <w:r>
              <w:rPr>
                <w:spacing w:val="-2"/>
                <w:sz w:val="24"/>
              </w:rPr>
              <w:t> </w:t>
            </w:r>
            <w:r>
              <w:rPr>
                <w:sz w:val="24"/>
              </w:rPr>
              <w:t>Постоянно</w:t>
            </w:r>
            <w:r>
              <w:rPr>
                <w:spacing w:val="-2"/>
                <w:sz w:val="24"/>
              </w:rPr>
              <w:t> </w:t>
            </w:r>
            <w:r>
              <w:rPr>
                <w:sz w:val="24"/>
              </w:rPr>
              <w:t>ерзает</w:t>
            </w:r>
            <w:r>
              <w:rPr>
                <w:spacing w:val="-2"/>
                <w:sz w:val="24"/>
              </w:rPr>
              <w:t> </w:t>
            </w:r>
            <w:r>
              <w:rPr>
                <w:sz w:val="24"/>
              </w:rPr>
              <w:t>и </w:t>
            </w:r>
            <w:r>
              <w:rPr>
                <w:spacing w:val="-2"/>
                <w:sz w:val="24"/>
              </w:rPr>
              <w:t>вертится</w:t>
            </w:r>
          </w:p>
        </w:tc>
        <w:tc>
          <w:tcPr>
            <w:tcW w:w="1227" w:type="dxa"/>
          </w:tcPr>
          <w:p>
            <w:pPr>
              <w:pStyle w:val="TableParagraph"/>
              <w:spacing w:line="315" w:lineRule="exact"/>
              <w:ind w:left="6"/>
              <w:jc w:val="center"/>
              <w:rPr>
                <w:sz w:val="28"/>
              </w:rPr>
            </w:pPr>
            <w:r>
              <w:rPr>
                <w:spacing w:val="-10"/>
                <w:sz w:val="28"/>
              </w:rPr>
              <w:t>1</w:t>
            </w:r>
          </w:p>
        </w:tc>
        <w:tc>
          <w:tcPr>
            <w:tcW w:w="1230" w:type="dxa"/>
          </w:tcPr>
          <w:p>
            <w:pPr>
              <w:pStyle w:val="TableParagraph"/>
              <w:spacing w:line="315" w:lineRule="exact"/>
              <w:ind w:left="8"/>
              <w:jc w:val="center"/>
              <w:rPr>
                <w:sz w:val="28"/>
              </w:rPr>
            </w:pPr>
            <w:r>
              <w:rPr>
                <w:spacing w:val="-10"/>
                <w:sz w:val="28"/>
              </w:rPr>
              <w:t>2</w:t>
            </w:r>
          </w:p>
        </w:tc>
        <w:tc>
          <w:tcPr>
            <w:tcW w:w="1229" w:type="dxa"/>
          </w:tcPr>
          <w:p>
            <w:pPr>
              <w:pStyle w:val="TableParagraph"/>
              <w:spacing w:line="315" w:lineRule="exact"/>
              <w:ind w:left="7"/>
              <w:jc w:val="center"/>
              <w:rPr>
                <w:sz w:val="28"/>
              </w:rPr>
            </w:pPr>
            <w:r>
              <w:rPr>
                <w:spacing w:val="-10"/>
                <w:sz w:val="28"/>
              </w:rPr>
              <w:t>3</w:t>
            </w:r>
          </w:p>
        </w:tc>
      </w:tr>
      <w:tr>
        <w:trPr>
          <w:trHeight w:val="522" w:hRule="atLeast"/>
        </w:trPr>
        <w:tc>
          <w:tcPr>
            <w:tcW w:w="5663" w:type="dxa"/>
          </w:tcPr>
          <w:p>
            <w:pPr>
              <w:pStyle w:val="TableParagraph"/>
              <w:spacing w:line="270" w:lineRule="exact"/>
              <w:ind w:left="107"/>
              <w:rPr>
                <w:sz w:val="24"/>
              </w:rPr>
            </w:pPr>
            <w:r>
              <w:rPr>
                <w:sz w:val="24"/>
              </w:rPr>
              <w:t>7.</w:t>
            </w:r>
            <w:r>
              <w:rPr>
                <w:spacing w:val="-2"/>
                <w:sz w:val="24"/>
              </w:rPr>
              <w:t> </w:t>
            </w:r>
            <w:r>
              <w:rPr>
                <w:sz w:val="24"/>
              </w:rPr>
              <w:t>Часто</w:t>
            </w:r>
            <w:r>
              <w:rPr>
                <w:spacing w:val="-2"/>
                <w:sz w:val="24"/>
              </w:rPr>
              <w:t> </w:t>
            </w:r>
            <w:r>
              <w:rPr>
                <w:sz w:val="24"/>
              </w:rPr>
              <w:t>дерется с</w:t>
            </w:r>
            <w:r>
              <w:rPr>
                <w:spacing w:val="-3"/>
                <w:sz w:val="24"/>
              </w:rPr>
              <w:t> </w:t>
            </w:r>
            <w:r>
              <w:rPr>
                <w:sz w:val="24"/>
              </w:rPr>
              <w:t>другими</w:t>
            </w:r>
            <w:r>
              <w:rPr>
                <w:spacing w:val="-2"/>
                <w:sz w:val="24"/>
              </w:rPr>
              <w:t> </w:t>
            </w:r>
            <w:r>
              <w:rPr>
                <w:sz w:val="24"/>
              </w:rPr>
              <w:t>детьми</w:t>
            </w:r>
            <w:r>
              <w:rPr>
                <w:spacing w:val="-3"/>
                <w:sz w:val="24"/>
              </w:rPr>
              <w:t> </w:t>
            </w:r>
            <w:r>
              <w:rPr>
                <w:sz w:val="24"/>
              </w:rPr>
              <w:t>или</w:t>
            </w:r>
            <w:r>
              <w:rPr>
                <w:spacing w:val="-4"/>
                <w:sz w:val="24"/>
              </w:rPr>
              <w:t> </w:t>
            </w:r>
            <w:r>
              <w:rPr>
                <w:sz w:val="24"/>
              </w:rPr>
              <w:t>задирает</w:t>
            </w:r>
            <w:r>
              <w:rPr>
                <w:spacing w:val="-1"/>
                <w:sz w:val="24"/>
              </w:rPr>
              <w:t> </w:t>
            </w:r>
            <w:r>
              <w:rPr>
                <w:spacing w:val="-5"/>
                <w:sz w:val="24"/>
              </w:rPr>
              <w:t>их</w:t>
            </w:r>
          </w:p>
        </w:tc>
        <w:tc>
          <w:tcPr>
            <w:tcW w:w="1227" w:type="dxa"/>
          </w:tcPr>
          <w:p>
            <w:pPr>
              <w:pStyle w:val="TableParagraph"/>
              <w:spacing w:line="315" w:lineRule="exact"/>
              <w:ind w:left="6"/>
              <w:jc w:val="center"/>
              <w:rPr>
                <w:sz w:val="28"/>
              </w:rPr>
            </w:pPr>
            <w:r>
              <w:rPr>
                <w:spacing w:val="-10"/>
                <w:sz w:val="28"/>
              </w:rPr>
              <w:t>1</w:t>
            </w:r>
          </w:p>
        </w:tc>
        <w:tc>
          <w:tcPr>
            <w:tcW w:w="1230" w:type="dxa"/>
          </w:tcPr>
          <w:p>
            <w:pPr>
              <w:pStyle w:val="TableParagraph"/>
              <w:spacing w:line="315" w:lineRule="exact"/>
              <w:ind w:left="8"/>
              <w:jc w:val="center"/>
              <w:rPr>
                <w:sz w:val="28"/>
              </w:rPr>
            </w:pPr>
            <w:r>
              <w:rPr>
                <w:spacing w:val="-10"/>
                <w:sz w:val="28"/>
              </w:rPr>
              <w:t>2</w:t>
            </w:r>
          </w:p>
        </w:tc>
        <w:tc>
          <w:tcPr>
            <w:tcW w:w="1229" w:type="dxa"/>
          </w:tcPr>
          <w:p>
            <w:pPr>
              <w:pStyle w:val="TableParagraph"/>
              <w:spacing w:line="315" w:lineRule="exact"/>
              <w:ind w:left="7"/>
              <w:jc w:val="center"/>
              <w:rPr>
                <w:sz w:val="28"/>
              </w:rPr>
            </w:pPr>
            <w:r>
              <w:rPr>
                <w:spacing w:val="-10"/>
                <w:sz w:val="28"/>
              </w:rPr>
              <w:t>3</w:t>
            </w:r>
          </w:p>
        </w:tc>
      </w:tr>
      <w:tr>
        <w:trPr>
          <w:trHeight w:val="750" w:hRule="atLeast"/>
        </w:trPr>
        <w:tc>
          <w:tcPr>
            <w:tcW w:w="5663" w:type="dxa"/>
          </w:tcPr>
          <w:p>
            <w:pPr>
              <w:pStyle w:val="TableParagraph"/>
              <w:spacing w:line="242" w:lineRule="auto"/>
              <w:ind w:left="107" w:right="37"/>
              <w:rPr>
                <w:sz w:val="24"/>
              </w:rPr>
            </w:pPr>
            <w:r>
              <w:rPr>
                <w:sz w:val="24"/>
              </w:rPr>
              <w:t>8.</w:t>
            </w:r>
            <w:r>
              <w:rPr>
                <w:spacing w:val="-9"/>
                <w:sz w:val="24"/>
              </w:rPr>
              <w:t> </w:t>
            </w:r>
            <w:r>
              <w:rPr>
                <w:sz w:val="24"/>
              </w:rPr>
              <w:t>Часто</w:t>
            </w:r>
            <w:r>
              <w:rPr>
                <w:spacing w:val="-9"/>
                <w:sz w:val="24"/>
              </w:rPr>
              <w:t> </w:t>
            </w:r>
            <w:r>
              <w:rPr>
                <w:sz w:val="24"/>
              </w:rPr>
              <w:t>чувствует</w:t>
            </w:r>
            <w:r>
              <w:rPr>
                <w:spacing w:val="-7"/>
                <w:sz w:val="24"/>
              </w:rPr>
              <w:t> </w:t>
            </w:r>
            <w:r>
              <w:rPr>
                <w:sz w:val="24"/>
              </w:rPr>
              <w:t>себя</w:t>
            </w:r>
            <w:r>
              <w:rPr>
                <w:spacing w:val="-7"/>
                <w:sz w:val="24"/>
              </w:rPr>
              <w:t> </w:t>
            </w:r>
            <w:r>
              <w:rPr>
                <w:sz w:val="24"/>
              </w:rPr>
              <w:t>несчастным/ой,</w:t>
            </w:r>
            <w:r>
              <w:rPr>
                <w:spacing w:val="-9"/>
                <w:sz w:val="24"/>
              </w:rPr>
              <w:t> </w:t>
            </w:r>
            <w:r>
              <w:rPr>
                <w:sz w:val="24"/>
              </w:rPr>
              <w:t>грустит, готов/а расплакаться</w:t>
            </w:r>
          </w:p>
        </w:tc>
        <w:tc>
          <w:tcPr>
            <w:tcW w:w="1227" w:type="dxa"/>
          </w:tcPr>
          <w:p>
            <w:pPr>
              <w:pStyle w:val="TableParagraph"/>
              <w:spacing w:before="108"/>
              <w:ind w:left="6"/>
              <w:jc w:val="center"/>
              <w:rPr>
                <w:sz w:val="28"/>
              </w:rPr>
            </w:pPr>
            <w:r>
              <w:rPr>
                <w:spacing w:val="-10"/>
                <w:sz w:val="28"/>
              </w:rPr>
              <w:t>1</w:t>
            </w:r>
          </w:p>
        </w:tc>
        <w:tc>
          <w:tcPr>
            <w:tcW w:w="1230" w:type="dxa"/>
          </w:tcPr>
          <w:p>
            <w:pPr>
              <w:pStyle w:val="TableParagraph"/>
              <w:spacing w:before="108"/>
              <w:ind w:left="8"/>
              <w:jc w:val="center"/>
              <w:rPr>
                <w:sz w:val="28"/>
              </w:rPr>
            </w:pPr>
            <w:r>
              <w:rPr>
                <w:spacing w:val="-10"/>
                <w:sz w:val="28"/>
              </w:rPr>
              <w:t>2</w:t>
            </w:r>
          </w:p>
        </w:tc>
        <w:tc>
          <w:tcPr>
            <w:tcW w:w="1229" w:type="dxa"/>
          </w:tcPr>
          <w:p>
            <w:pPr>
              <w:pStyle w:val="TableParagraph"/>
              <w:spacing w:before="108"/>
              <w:ind w:left="7"/>
              <w:jc w:val="center"/>
              <w:rPr>
                <w:sz w:val="28"/>
              </w:rPr>
            </w:pPr>
            <w:r>
              <w:rPr>
                <w:spacing w:val="-10"/>
                <w:sz w:val="28"/>
              </w:rPr>
              <w:t>3</w:t>
            </w:r>
          </w:p>
        </w:tc>
      </w:tr>
      <w:tr>
        <w:trPr>
          <w:trHeight w:val="522" w:hRule="atLeast"/>
        </w:trPr>
        <w:tc>
          <w:tcPr>
            <w:tcW w:w="5663" w:type="dxa"/>
          </w:tcPr>
          <w:p>
            <w:pPr>
              <w:pStyle w:val="TableParagraph"/>
              <w:spacing w:line="270" w:lineRule="exact"/>
              <w:ind w:left="107"/>
              <w:rPr>
                <w:sz w:val="24"/>
              </w:rPr>
            </w:pPr>
            <w:r>
              <w:rPr>
                <w:sz w:val="24"/>
              </w:rPr>
              <w:t>9.</w:t>
            </w:r>
            <w:r>
              <w:rPr>
                <w:spacing w:val="-2"/>
                <w:sz w:val="24"/>
              </w:rPr>
              <w:t> </w:t>
            </w:r>
            <w:r>
              <w:rPr>
                <w:sz w:val="24"/>
              </w:rPr>
              <w:t>Легко</w:t>
            </w:r>
            <w:r>
              <w:rPr>
                <w:spacing w:val="-1"/>
                <w:sz w:val="24"/>
              </w:rPr>
              <w:t> </w:t>
            </w:r>
            <w:r>
              <w:rPr>
                <w:sz w:val="24"/>
              </w:rPr>
              <w:t>отвлекается,</w:t>
            </w:r>
            <w:r>
              <w:rPr>
                <w:spacing w:val="-1"/>
                <w:sz w:val="24"/>
              </w:rPr>
              <w:t> </w:t>
            </w:r>
            <w:r>
              <w:rPr>
                <w:sz w:val="24"/>
              </w:rPr>
              <w:t>внимание</w:t>
            </w:r>
            <w:r>
              <w:rPr>
                <w:spacing w:val="-2"/>
                <w:sz w:val="24"/>
              </w:rPr>
              <w:t> рассеянное</w:t>
            </w:r>
          </w:p>
        </w:tc>
        <w:tc>
          <w:tcPr>
            <w:tcW w:w="1227" w:type="dxa"/>
          </w:tcPr>
          <w:p>
            <w:pPr>
              <w:pStyle w:val="TableParagraph"/>
              <w:spacing w:line="315" w:lineRule="exact"/>
              <w:ind w:left="6"/>
              <w:jc w:val="center"/>
              <w:rPr>
                <w:sz w:val="28"/>
              </w:rPr>
            </w:pPr>
            <w:r>
              <w:rPr>
                <w:spacing w:val="-10"/>
                <w:sz w:val="28"/>
              </w:rPr>
              <w:t>1</w:t>
            </w:r>
          </w:p>
        </w:tc>
        <w:tc>
          <w:tcPr>
            <w:tcW w:w="1230" w:type="dxa"/>
          </w:tcPr>
          <w:p>
            <w:pPr>
              <w:pStyle w:val="TableParagraph"/>
              <w:spacing w:line="315" w:lineRule="exact"/>
              <w:ind w:left="8"/>
              <w:jc w:val="center"/>
              <w:rPr>
                <w:sz w:val="28"/>
              </w:rPr>
            </w:pPr>
            <w:r>
              <w:rPr>
                <w:spacing w:val="-10"/>
                <w:sz w:val="28"/>
              </w:rPr>
              <w:t>2</w:t>
            </w:r>
          </w:p>
        </w:tc>
        <w:tc>
          <w:tcPr>
            <w:tcW w:w="1229" w:type="dxa"/>
          </w:tcPr>
          <w:p>
            <w:pPr>
              <w:pStyle w:val="TableParagraph"/>
              <w:spacing w:line="315" w:lineRule="exact"/>
              <w:ind w:left="7"/>
              <w:jc w:val="center"/>
              <w:rPr>
                <w:sz w:val="28"/>
              </w:rPr>
            </w:pPr>
            <w:r>
              <w:rPr>
                <w:spacing w:val="-10"/>
                <w:sz w:val="28"/>
              </w:rPr>
              <w:t>3</w:t>
            </w:r>
          </w:p>
        </w:tc>
      </w:tr>
      <w:tr>
        <w:trPr>
          <w:trHeight w:val="750" w:hRule="atLeast"/>
        </w:trPr>
        <w:tc>
          <w:tcPr>
            <w:tcW w:w="5663" w:type="dxa"/>
          </w:tcPr>
          <w:p>
            <w:pPr>
              <w:pStyle w:val="TableParagraph"/>
              <w:spacing w:line="242" w:lineRule="auto"/>
              <w:ind w:left="107" w:right="37"/>
              <w:rPr>
                <w:sz w:val="24"/>
              </w:rPr>
            </w:pPr>
            <w:r>
              <w:rPr>
                <w:sz w:val="24"/>
              </w:rPr>
              <w:t>10.</w:t>
            </w:r>
            <w:r>
              <w:rPr>
                <w:spacing w:val="-8"/>
                <w:sz w:val="24"/>
              </w:rPr>
              <w:t> </w:t>
            </w:r>
            <w:r>
              <w:rPr>
                <w:sz w:val="24"/>
              </w:rPr>
              <w:t>В</w:t>
            </w:r>
            <w:r>
              <w:rPr>
                <w:spacing w:val="-10"/>
                <w:sz w:val="24"/>
              </w:rPr>
              <w:t> </w:t>
            </w:r>
            <w:r>
              <w:rPr>
                <w:sz w:val="24"/>
              </w:rPr>
              <w:t>новой</w:t>
            </w:r>
            <w:r>
              <w:rPr>
                <w:spacing w:val="-8"/>
                <w:sz w:val="24"/>
              </w:rPr>
              <w:t> </w:t>
            </w:r>
            <w:r>
              <w:rPr>
                <w:sz w:val="24"/>
              </w:rPr>
              <w:t>обстановке</w:t>
            </w:r>
            <w:r>
              <w:rPr>
                <w:spacing w:val="-8"/>
                <w:sz w:val="24"/>
              </w:rPr>
              <w:t> </w:t>
            </w:r>
            <w:r>
              <w:rPr>
                <w:sz w:val="24"/>
              </w:rPr>
              <w:t>нервозен/на,</w:t>
            </w:r>
            <w:r>
              <w:rPr>
                <w:spacing w:val="-8"/>
                <w:sz w:val="24"/>
              </w:rPr>
              <w:t> </w:t>
            </w:r>
            <w:r>
              <w:rPr>
                <w:sz w:val="24"/>
              </w:rPr>
              <w:t>надоедлив/а, легко теряет уверенность</w:t>
            </w:r>
          </w:p>
        </w:tc>
        <w:tc>
          <w:tcPr>
            <w:tcW w:w="1227" w:type="dxa"/>
          </w:tcPr>
          <w:p>
            <w:pPr>
              <w:pStyle w:val="TableParagraph"/>
              <w:spacing w:before="108"/>
              <w:ind w:left="6"/>
              <w:jc w:val="center"/>
              <w:rPr>
                <w:sz w:val="28"/>
              </w:rPr>
            </w:pPr>
            <w:r>
              <w:rPr>
                <w:spacing w:val="-10"/>
                <w:sz w:val="28"/>
              </w:rPr>
              <w:t>1</w:t>
            </w:r>
          </w:p>
        </w:tc>
        <w:tc>
          <w:tcPr>
            <w:tcW w:w="1230" w:type="dxa"/>
          </w:tcPr>
          <w:p>
            <w:pPr>
              <w:pStyle w:val="TableParagraph"/>
              <w:spacing w:before="108"/>
              <w:ind w:left="8"/>
              <w:jc w:val="center"/>
              <w:rPr>
                <w:sz w:val="28"/>
              </w:rPr>
            </w:pPr>
            <w:r>
              <w:rPr>
                <w:spacing w:val="-10"/>
                <w:sz w:val="28"/>
              </w:rPr>
              <w:t>2</w:t>
            </w:r>
          </w:p>
        </w:tc>
        <w:tc>
          <w:tcPr>
            <w:tcW w:w="1229" w:type="dxa"/>
          </w:tcPr>
          <w:p>
            <w:pPr>
              <w:pStyle w:val="TableParagraph"/>
              <w:spacing w:before="108"/>
              <w:ind w:left="7"/>
              <w:jc w:val="center"/>
              <w:rPr>
                <w:sz w:val="28"/>
              </w:rPr>
            </w:pPr>
            <w:r>
              <w:rPr>
                <w:spacing w:val="-10"/>
                <w:sz w:val="28"/>
              </w:rPr>
              <w:t>3</w:t>
            </w:r>
          </w:p>
        </w:tc>
      </w:tr>
      <w:tr>
        <w:trPr>
          <w:trHeight w:val="523" w:hRule="atLeast"/>
        </w:trPr>
        <w:tc>
          <w:tcPr>
            <w:tcW w:w="5663" w:type="dxa"/>
          </w:tcPr>
          <w:p>
            <w:pPr>
              <w:pStyle w:val="TableParagraph"/>
              <w:spacing w:line="270" w:lineRule="exact"/>
              <w:ind w:left="107"/>
              <w:rPr>
                <w:sz w:val="24"/>
              </w:rPr>
            </w:pPr>
            <w:r>
              <w:rPr>
                <w:sz w:val="24"/>
              </w:rPr>
              <w:t>11.</w:t>
            </w:r>
            <w:r>
              <w:rPr>
                <w:spacing w:val="-1"/>
                <w:sz w:val="24"/>
              </w:rPr>
              <w:t> </w:t>
            </w:r>
            <w:r>
              <w:rPr>
                <w:sz w:val="24"/>
              </w:rPr>
              <w:t>Часто</w:t>
            </w:r>
            <w:r>
              <w:rPr>
                <w:spacing w:val="-1"/>
                <w:sz w:val="24"/>
              </w:rPr>
              <w:t> </w:t>
            </w:r>
            <w:r>
              <w:rPr>
                <w:sz w:val="24"/>
              </w:rPr>
              <w:t>врет,</w:t>
            </w:r>
            <w:r>
              <w:rPr>
                <w:spacing w:val="-1"/>
                <w:sz w:val="24"/>
              </w:rPr>
              <w:t> </w:t>
            </w:r>
            <w:r>
              <w:rPr>
                <w:spacing w:val="-2"/>
                <w:sz w:val="24"/>
              </w:rPr>
              <w:t>обманывает</w:t>
            </w:r>
          </w:p>
        </w:tc>
        <w:tc>
          <w:tcPr>
            <w:tcW w:w="1227" w:type="dxa"/>
          </w:tcPr>
          <w:p>
            <w:pPr>
              <w:pStyle w:val="TableParagraph"/>
              <w:spacing w:line="315" w:lineRule="exact"/>
              <w:ind w:left="6"/>
              <w:jc w:val="center"/>
              <w:rPr>
                <w:sz w:val="28"/>
              </w:rPr>
            </w:pPr>
            <w:r>
              <w:rPr>
                <w:spacing w:val="-10"/>
                <w:sz w:val="28"/>
              </w:rPr>
              <w:t>1</w:t>
            </w:r>
          </w:p>
        </w:tc>
        <w:tc>
          <w:tcPr>
            <w:tcW w:w="1230" w:type="dxa"/>
          </w:tcPr>
          <w:p>
            <w:pPr>
              <w:pStyle w:val="TableParagraph"/>
              <w:spacing w:line="315" w:lineRule="exact"/>
              <w:ind w:left="8"/>
              <w:jc w:val="center"/>
              <w:rPr>
                <w:sz w:val="28"/>
              </w:rPr>
            </w:pPr>
            <w:r>
              <w:rPr>
                <w:spacing w:val="-10"/>
                <w:sz w:val="28"/>
              </w:rPr>
              <w:t>2</w:t>
            </w:r>
          </w:p>
        </w:tc>
        <w:tc>
          <w:tcPr>
            <w:tcW w:w="1229" w:type="dxa"/>
          </w:tcPr>
          <w:p>
            <w:pPr>
              <w:pStyle w:val="TableParagraph"/>
              <w:spacing w:line="315" w:lineRule="exact"/>
              <w:ind w:left="7"/>
              <w:jc w:val="center"/>
              <w:rPr>
                <w:sz w:val="28"/>
              </w:rPr>
            </w:pPr>
            <w:r>
              <w:rPr>
                <w:spacing w:val="-10"/>
                <w:sz w:val="28"/>
              </w:rPr>
              <w:t>3</w:t>
            </w:r>
          </w:p>
        </w:tc>
      </w:tr>
      <w:tr>
        <w:trPr>
          <w:trHeight w:val="522" w:hRule="atLeast"/>
        </w:trPr>
        <w:tc>
          <w:tcPr>
            <w:tcW w:w="5663" w:type="dxa"/>
          </w:tcPr>
          <w:p>
            <w:pPr>
              <w:pStyle w:val="TableParagraph"/>
              <w:spacing w:line="270" w:lineRule="exact"/>
              <w:ind w:left="107"/>
              <w:rPr>
                <w:sz w:val="24"/>
              </w:rPr>
            </w:pPr>
            <w:r>
              <w:rPr>
                <w:sz w:val="24"/>
              </w:rPr>
              <w:t>12.</w:t>
            </w:r>
            <w:r>
              <w:rPr>
                <w:spacing w:val="-2"/>
                <w:sz w:val="24"/>
              </w:rPr>
              <w:t> </w:t>
            </w:r>
            <w:r>
              <w:rPr>
                <w:sz w:val="24"/>
              </w:rPr>
              <w:t>Хорошенько</w:t>
            </w:r>
            <w:r>
              <w:rPr>
                <w:spacing w:val="-2"/>
                <w:sz w:val="24"/>
              </w:rPr>
              <w:t> </w:t>
            </w:r>
            <w:r>
              <w:rPr>
                <w:sz w:val="24"/>
              </w:rPr>
              <w:t>подумает,</w:t>
            </w:r>
            <w:r>
              <w:rPr>
                <w:spacing w:val="-2"/>
                <w:sz w:val="24"/>
              </w:rPr>
              <w:t> </w:t>
            </w:r>
            <w:r>
              <w:rPr>
                <w:sz w:val="24"/>
              </w:rPr>
              <w:t>прежде</w:t>
            </w:r>
            <w:r>
              <w:rPr>
                <w:spacing w:val="-3"/>
                <w:sz w:val="24"/>
              </w:rPr>
              <w:t> </w:t>
            </w:r>
            <w:r>
              <w:rPr>
                <w:sz w:val="24"/>
              </w:rPr>
              <w:t>чем</w:t>
            </w:r>
            <w:r>
              <w:rPr>
                <w:spacing w:val="-2"/>
                <w:sz w:val="24"/>
              </w:rPr>
              <w:t> действовать</w:t>
            </w:r>
          </w:p>
        </w:tc>
        <w:tc>
          <w:tcPr>
            <w:tcW w:w="1227" w:type="dxa"/>
          </w:tcPr>
          <w:p>
            <w:pPr>
              <w:pStyle w:val="TableParagraph"/>
              <w:spacing w:line="315" w:lineRule="exact"/>
              <w:ind w:left="6"/>
              <w:jc w:val="center"/>
              <w:rPr>
                <w:sz w:val="28"/>
              </w:rPr>
            </w:pPr>
            <w:r>
              <w:rPr>
                <w:spacing w:val="-10"/>
                <w:sz w:val="28"/>
              </w:rPr>
              <w:t>1</w:t>
            </w:r>
          </w:p>
        </w:tc>
        <w:tc>
          <w:tcPr>
            <w:tcW w:w="1230" w:type="dxa"/>
          </w:tcPr>
          <w:p>
            <w:pPr>
              <w:pStyle w:val="TableParagraph"/>
              <w:spacing w:line="315" w:lineRule="exact"/>
              <w:ind w:left="8"/>
              <w:jc w:val="center"/>
              <w:rPr>
                <w:sz w:val="28"/>
              </w:rPr>
            </w:pPr>
            <w:r>
              <w:rPr>
                <w:spacing w:val="-10"/>
                <w:sz w:val="28"/>
              </w:rPr>
              <w:t>2</w:t>
            </w:r>
          </w:p>
        </w:tc>
        <w:tc>
          <w:tcPr>
            <w:tcW w:w="1229" w:type="dxa"/>
          </w:tcPr>
          <w:p>
            <w:pPr>
              <w:pStyle w:val="TableParagraph"/>
              <w:spacing w:line="315" w:lineRule="exact"/>
              <w:ind w:left="7"/>
              <w:jc w:val="center"/>
              <w:rPr>
                <w:sz w:val="28"/>
              </w:rPr>
            </w:pPr>
            <w:r>
              <w:rPr>
                <w:spacing w:val="-10"/>
                <w:sz w:val="28"/>
              </w:rPr>
              <w:t>3</w:t>
            </w:r>
          </w:p>
        </w:tc>
      </w:tr>
      <w:tr>
        <w:trPr>
          <w:trHeight w:val="520" w:hRule="atLeast"/>
        </w:trPr>
        <w:tc>
          <w:tcPr>
            <w:tcW w:w="5663" w:type="dxa"/>
          </w:tcPr>
          <w:p>
            <w:pPr>
              <w:pStyle w:val="TableParagraph"/>
              <w:spacing w:line="270" w:lineRule="exact"/>
              <w:ind w:left="107"/>
              <w:rPr>
                <w:sz w:val="24"/>
              </w:rPr>
            </w:pPr>
            <w:r>
              <w:rPr>
                <w:sz w:val="24"/>
              </w:rPr>
              <w:t>13.</w:t>
            </w:r>
            <w:r>
              <w:rPr>
                <w:spacing w:val="-2"/>
                <w:sz w:val="24"/>
              </w:rPr>
              <w:t> </w:t>
            </w:r>
            <w:r>
              <w:rPr>
                <w:sz w:val="24"/>
              </w:rPr>
              <w:t>Крадет</w:t>
            </w:r>
            <w:r>
              <w:rPr>
                <w:spacing w:val="-2"/>
                <w:sz w:val="24"/>
              </w:rPr>
              <w:t> </w:t>
            </w:r>
            <w:r>
              <w:rPr>
                <w:sz w:val="24"/>
              </w:rPr>
              <w:t>вещи</w:t>
            </w:r>
            <w:r>
              <w:rPr>
                <w:spacing w:val="-2"/>
                <w:sz w:val="24"/>
              </w:rPr>
              <w:t> </w:t>
            </w:r>
            <w:r>
              <w:rPr>
                <w:sz w:val="24"/>
              </w:rPr>
              <w:t>из</w:t>
            </w:r>
            <w:r>
              <w:rPr>
                <w:spacing w:val="-2"/>
                <w:sz w:val="24"/>
              </w:rPr>
              <w:t> </w:t>
            </w:r>
            <w:r>
              <w:rPr>
                <w:sz w:val="24"/>
              </w:rPr>
              <w:t>дома,</w:t>
            </w:r>
            <w:r>
              <w:rPr>
                <w:spacing w:val="-2"/>
                <w:sz w:val="24"/>
              </w:rPr>
              <w:t> </w:t>
            </w:r>
            <w:r>
              <w:rPr>
                <w:sz w:val="24"/>
              </w:rPr>
              <w:t>из</w:t>
            </w:r>
            <w:r>
              <w:rPr>
                <w:spacing w:val="-2"/>
                <w:sz w:val="24"/>
              </w:rPr>
              <w:t> </w:t>
            </w:r>
            <w:r>
              <w:rPr>
                <w:sz w:val="24"/>
              </w:rPr>
              <w:t>школы,</w:t>
            </w:r>
            <w:r>
              <w:rPr>
                <w:spacing w:val="-2"/>
                <w:sz w:val="24"/>
              </w:rPr>
              <w:t> </w:t>
            </w:r>
            <w:r>
              <w:rPr>
                <w:sz w:val="24"/>
              </w:rPr>
              <w:t>из</w:t>
            </w:r>
            <w:r>
              <w:rPr>
                <w:spacing w:val="-2"/>
                <w:sz w:val="24"/>
              </w:rPr>
              <w:t> </w:t>
            </w:r>
            <w:r>
              <w:rPr>
                <w:sz w:val="24"/>
              </w:rPr>
              <w:t>других</w:t>
            </w:r>
            <w:r>
              <w:rPr>
                <w:spacing w:val="1"/>
                <w:sz w:val="24"/>
              </w:rPr>
              <w:t> </w:t>
            </w:r>
            <w:r>
              <w:rPr>
                <w:spacing w:val="-4"/>
                <w:sz w:val="24"/>
              </w:rPr>
              <w:t>мест</w:t>
            </w:r>
          </w:p>
        </w:tc>
        <w:tc>
          <w:tcPr>
            <w:tcW w:w="1227" w:type="dxa"/>
          </w:tcPr>
          <w:p>
            <w:pPr>
              <w:pStyle w:val="TableParagraph"/>
              <w:spacing w:line="315" w:lineRule="exact"/>
              <w:ind w:left="6"/>
              <w:jc w:val="center"/>
              <w:rPr>
                <w:sz w:val="28"/>
              </w:rPr>
            </w:pPr>
            <w:r>
              <w:rPr>
                <w:spacing w:val="-10"/>
                <w:sz w:val="28"/>
              </w:rPr>
              <w:t>1</w:t>
            </w:r>
          </w:p>
        </w:tc>
        <w:tc>
          <w:tcPr>
            <w:tcW w:w="1230" w:type="dxa"/>
          </w:tcPr>
          <w:p>
            <w:pPr>
              <w:pStyle w:val="TableParagraph"/>
              <w:spacing w:line="315" w:lineRule="exact"/>
              <w:ind w:left="8"/>
              <w:jc w:val="center"/>
              <w:rPr>
                <w:sz w:val="28"/>
              </w:rPr>
            </w:pPr>
            <w:r>
              <w:rPr>
                <w:spacing w:val="-10"/>
                <w:sz w:val="28"/>
              </w:rPr>
              <w:t>2</w:t>
            </w:r>
          </w:p>
        </w:tc>
        <w:tc>
          <w:tcPr>
            <w:tcW w:w="1229" w:type="dxa"/>
          </w:tcPr>
          <w:p>
            <w:pPr>
              <w:pStyle w:val="TableParagraph"/>
              <w:spacing w:line="315" w:lineRule="exact"/>
              <w:ind w:left="7"/>
              <w:jc w:val="center"/>
              <w:rPr>
                <w:sz w:val="28"/>
              </w:rPr>
            </w:pPr>
            <w:r>
              <w:rPr>
                <w:spacing w:val="-10"/>
                <w:sz w:val="28"/>
              </w:rPr>
              <w:t>3</w:t>
            </w:r>
          </w:p>
        </w:tc>
      </w:tr>
      <w:tr>
        <w:trPr>
          <w:trHeight w:val="522" w:hRule="atLeast"/>
        </w:trPr>
        <w:tc>
          <w:tcPr>
            <w:tcW w:w="5663" w:type="dxa"/>
          </w:tcPr>
          <w:p>
            <w:pPr>
              <w:pStyle w:val="TableParagraph"/>
              <w:spacing w:line="270" w:lineRule="exact"/>
              <w:ind w:left="107"/>
              <w:rPr>
                <w:sz w:val="24"/>
              </w:rPr>
            </w:pPr>
            <w:r>
              <w:rPr>
                <w:sz w:val="24"/>
              </w:rPr>
              <w:t>14.</w:t>
            </w:r>
            <w:r>
              <w:rPr>
                <w:spacing w:val="-5"/>
                <w:sz w:val="24"/>
              </w:rPr>
              <w:t> </w:t>
            </w:r>
            <w:r>
              <w:rPr>
                <w:sz w:val="24"/>
              </w:rPr>
              <w:t>Характерны</w:t>
            </w:r>
            <w:r>
              <w:rPr>
                <w:spacing w:val="-2"/>
                <w:sz w:val="24"/>
              </w:rPr>
              <w:t> </w:t>
            </w:r>
            <w:r>
              <w:rPr>
                <w:sz w:val="24"/>
              </w:rPr>
              <w:t>страхи,</w:t>
            </w:r>
            <w:r>
              <w:rPr>
                <w:spacing w:val="-4"/>
                <w:sz w:val="24"/>
              </w:rPr>
              <w:t> </w:t>
            </w:r>
            <w:r>
              <w:rPr>
                <w:sz w:val="24"/>
              </w:rPr>
              <w:t>легко</w:t>
            </w:r>
            <w:r>
              <w:rPr>
                <w:spacing w:val="-2"/>
                <w:sz w:val="24"/>
              </w:rPr>
              <w:t> пугается</w:t>
            </w:r>
          </w:p>
        </w:tc>
        <w:tc>
          <w:tcPr>
            <w:tcW w:w="1227" w:type="dxa"/>
          </w:tcPr>
          <w:p>
            <w:pPr>
              <w:pStyle w:val="TableParagraph"/>
              <w:spacing w:line="315" w:lineRule="exact"/>
              <w:ind w:left="6"/>
              <w:jc w:val="center"/>
              <w:rPr>
                <w:sz w:val="28"/>
              </w:rPr>
            </w:pPr>
            <w:r>
              <w:rPr>
                <w:spacing w:val="-10"/>
                <w:sz w:val="28"/>
              </w:rPr>
              <w:t>1</w:t>
            </w:r>
          </w:p>
        </w:tc>
        <w:tc>
          <w:tcPr>
            <w:tcW w:w="1230" w:type="dxa"/>
          </w:tcPr>
          <w:p>
            <w:pPr>
              <w:pStyle w:val="TableParagraph"/>
              <w:spacing w:line="315" w:lineRule="exact"/>
              <w:ind w:left="8"/>
              <w:jc w:val="center"/>
              <w:rPr>
                <w:sz w:val="28"/>
              </w:rPr>
            </w:pPr>
            <w:r>
              <w:rPr>
                <w:spacing w:val="-10"/>
                <w:sz w:val="28"/>
              </w:rPr>
              <w:t>2</w:t>
            </w:r>
          </w:p>
        </w:tc>
        <w:tc>
          <w:tcPr>
            <w:tcW w:w="1229" w:type="dxa"/>
          </w:tcPr>
          <w:p>
            <w:pPr>
              <w:pStyle w:val="TableParagraph"/>
              <w:spacing w:line="315" w:lineRule="exact"/>
              <w:ind w:left="7"/>
              <w:jc w:val="center"/>
              <w:rPr>
                <w:sz w:val="28"/>
              </w:rPr>
            </w:pPr>
            <w:r>
              <w:rPr>
                <w:spacing w:val="-10"/>
                <w:sz w:val="28"/>
              </w:rPr>
              <w:t>3</w:t>
            </w:r>
          </w:p>
        </w:tc>
      </w:tr>
      <w:tr>
        <w:trPr>
          <w:trHeight w:val="753" w:hRule="atLeast"/>
        </w:trPr>
        <w:tc>
          <w:tcPr>
            <w:tcW w:w="5663" w:type="dxa"/>
          </w:tcPr>
          <w:p>
            <w:pPr>
              <w:pStyle w:val="TableParagraph"/>
              <w:spacing w:line="242" w:lineRule="auto"/>
              <w:ind w:left="107" w:right="37"/>
              <w:rPr>
                <w:sz w:val="24"/>
              </w:rPr>
            </w:pPr>
            <w:r>
              <w:rPr>
                <w:sz w:val="24"/>
              </w:rPr>
              <w:t>15.</w:t>
            </w:r>
            <w:r>
              <w:rPr>
                <w:spacing w:val="-6"/>
                <w:sz w:val="24"/>
              </w:rPr>
              <w:t> </w:t>
            </w:r>
            <w:r>
              <w:rPr>
                <w:sz w:val="24"/>
              </w:rPr>
              <w:t>Выполняет</w:t>
            </w:r>
            <w:r>
              <w:rPr>
                <w:spacing w:val="-6"/>
                <w:sz w:val="24"/>
              </w:rPr>
              <w:t> </w:t>
            </w:r>
            <w:r>
              <w:rPr>
                <w:sz w:val="24"/>
              </w:rPr>
              <w:t>задания</w:t>
            </w:r>
            <w:r>
              <w:rPr>
                <w:spacing w:val="-9"/>
                <w:sz w:val="24"/>
              </w:rPr>
              <w:t> </w:t>
            </w:r>
            <w:r>
              <w:rPr>
                <w:sz w:val="24"/>
              </w:rPr>
              <w:t>от</w:t>
            </w:r>
            <w:r>
              <w:rPr>
                <w:spacing w:val="-6"/>
                <w:sz w:val="24"/>
              </w:rPr>
              <w:t> </w:t>
            </w:r>
            <w:r>
              <w:rPr>
                <w:sz w:val="24"/>
              </w:rPr>
              <w:t>начала</w:t>
            </w:r>
            <w:r>
              <w:rPr>
                <w:spacing w:val="-7"/>
                <w:sz w:val="24"/>
              </w:rPr>
              <w:t> </w:t>
            </w:r>
            <w:r>
              <w:rPr>
                <w:sz w:val="24"/>
              </w:rPr>
              <w:t>до</w:t>
            </w:r>
            <w:r>
              <w:rPr>
                <w:spacing w:val="-6"/>
                <w:sz w:val="24"/>
              </w:rPr>
              <w:t> </w:t>
            </w:r>
            <w:r>
              <w:rPr>
                <w:sz w:val="24"/>
              </w:rPr>
              <w:t>конца, внимателен/на и сосредоточен/а</w:t>
            </w:r>
          </w:p>
        </w:tc>
        <w:tc>
          <w:tcPr>
            <w:tcW w:w="1227" w:type="dxa"/>
          </w:tcPr>
          <w:p>
            <w:pPr>
              <w:pStyle w:val="TableParagraph"/>
              <w:spacing w:before="108"/>
              <w:ind w:left="6"/>
              <w:jc w:val="center"/>
              <w:rPr>
                <w:sz w:val="28"/>
              </w:rPr>
            </w:pPr>
            <w:r>
              <w:rPr>
                <w:spacing w:val="-10"/>
                <w:sz w:val="28"/>
              </w:rPr>
              <w:t>1</w:t>
            </w:r>
          </w:p>
        </w:tc>
        <w:tc>
          <w:tcPr>
            <w:tcW w:w="1230" w:type="dxa"/>
          </w:tcPr>
          <w:p>
            <w:pPr>
              <w:pStyle w:val="TableParagraph"/>
              <w:spacing w:before="108"/>
              <w:ind w:left="8"/>
              <w:jc w:val="center"/>
              <w:rPr>
                <w:sz w:val="28"/>
              </w:rPr>
            </w:pPr>
            <w:r>
              <w:rPr>
                <w:spacing w:val="-10"/>
                <w:sz w:val="28"/>
              </w:rPr>
              <w:t>2</w:t>
            </w:r>
          </w:p>
        </w:tc>
        <w:tc>
          <w:tcPr>
            <w:tcW w:w="1229" w:type="dxa"/>
          </w:tcPr>
          <w:p>
            <w:pPr>
              <w:pStyle w:val="TableParagraph"/>
              <w:spacing w:before="108"/>
              <w:ind w:left="7"/>
              <w:jc w:val="center"/>
              <w:rPr>
                <w:sz w:val="28"/>
              </w:rPr>
            </w:pPr>
            <w:r>
              <w:rPr>
                <w:spacing w:val="-10"/>
                <w:sz w:val="28"/>
              </w:rPr>
              <w:t>3</w:t>
            </w:r>
          </w:p>
        </w:tc>
      </w:tr>
    </w:tbl>
    <w:p>
      <w:pPr>
        <w:pStyle w:val="TableParagraph"/>
        <w:spacing w:after="0"/>
        <w:jc w:val="center"/>
        <w:rPr>
          <w:sz w:val="28"/>
        </w:rPr>
        <w:sectPr>
          <w:pgSz w:w="11910" w:h="16840"/>
          <w:pgMar w:header="0" w:footer="970" w:top="1040" w:bottom="1220" w:left="1417" w:right="283"/>
        </w:sectPr>
      </w:pPr>
    </w:p>
    <w:p>
      <w:pPr>
        <w:pStyle w:val="Heading2"/>
        <w:numPr>
          <w:ilvl w:val="0"/>
          <w:numId w:val="15"/>
        </w:numPr>
        <w:tabs>
          <w:tab w:pos="755" w:val="left" w:leader="none"/>
          <w:tab w:pos="2523" w:val="left" w:leader="none"/>
          <w:tab w:pos="4377" w:val="left" w:leader="none"/>
          <w:tab w:pos="6505" w:val="left" w:leader="none"/>
          <w:tab w:pos="8538" w:val="left" w:leader="none"/>
        </w:tabs>
        <w:spacing w:line="278" w:lineRule="auto" w:before="72" w:after="0"/>
        <w:ind w:left="285" w:right="560" w:firstLine="0"/>
        <w:jc w:val="left"/>
      </w:pPr>
      <w:bookmarkStart w:name="_bookmark15" w:id="17"/>
      <w:bookmarkEnd w:id="17"/>
      <w:r>
        <w:rPr>
          <w:b w:val="0"/>
        </w:rPr>
      </w:r>
      <w:r>
        <w:rPr>
          <w:spacing w:val="-2"/>
        </w:rPr>
        <w:t>Рисуночная</w:t>
      </w:r>
      <w:r>
        <w:rPr/>
        <w:tab/>
      </w:r>
      <w:r>
        <w:rPr>
          <w:spacing w:val="-2"/>
        </w:rPr>
        <w:t>диагностика</w:t>
      </w:r>
      <w:r>
        <w:rPr/>
        <w:tab/>
      </w:r>
      <w:r>
        <w:rPr>
          <w:spacing w:val="-2"/>
        </w:rPr>
        <w:t>субъективного</w:t>
      </w:r>
      <w:r>
        <w:rPr/>
        <w:tab/>
      </w:r>
      <w:r>
        <w:rPr>
          <w:spacing w:val="-2"/>
        </w:rPr>
        <w:t>благополучия</w:t>
      </w:r>
      <w:r>
        <w:rPr/>
        <w:tab/>
      </w:r>
      <w:r>
        <w:rPr>
          <w:spacing w:val="-2"/>
        </w:rPr>
        <w:t>ребенка- </w:t>
      </w:r>
      <w:r>
        <w:rPr/>
        <w:t>мигранта (РДСБ)</w:t>
      </w:r>
    </w:p>
    <w:p>
      <w:pPr>
        <w:pStyle w:val="Heading3"/>
        <w:spacing w:before="237"/>
      </w:pPr>
      <w:r>
        <w:rPr/>
        <w:t>Описание</w:t>
      </w:r>
      <w:r>
        <w:rPr>
          <w:spacing w:val="-2"/>
        </w:rPr>
        <w:t> методики</w:t>
      </w:r>
    </w:p>
    <w:p>
      <w:pPr>
        <w:pStyle w:val="Heading4"/>
        <w:spacing w:before="233"/>
        <w:ind w:right="560"/>
      </w:pPr>
      <w:r>
        <w:rPr/>
        <w:t>Методика разработана О.Е. Хухлаевым и М.Ю. Чибисовой и предназначена для скрининговой оценки психологического благополучия ребенка-мигранта, плохо владеющего русским языком. Применяется в работе с учащимися начальной и старшей школы, в случае если они слабо владеют русским </w:t>
      </w:r>
      <w:r>
        <w:rPr>
          <w:spacing w:val="-2"/>
        </w:rPr>
        <w:t>языком.</w:t>
      </w:r>
    </w:p>
    <w:p>
      <w:pPr>
        <w:pStyle w:val="Heading4"/>
        <w:spacing w:before="241"/>
        <w:ind w:right="559"/>
      </w:pPr>
      <w:r>
        <w:rPr/>
        <w:t>Под субъективным благополучием в данной методике понимается субъективная оценка качества жизни.</w:t>
      </w:r>
    </w:p>
    <w:p>
      <w:pPr>
        <w:pStyle w:val="Heading4"/>
        <w:spacing w:before="239"/>
        <w:ind w:right="568"/>
      </w:pPr>
      <w:r>
        <w:rPr/>
        <w:t>Методика представляет собой набор вопросов, которые психолог задает ребенку, и последовательность из четырех картинок с изображением лиц: от более «грустного» к более «веселому» (см. </w:t>
      </w:r>
      <w:r>
        <w:rPr>
          <w:i/>
        </w:rPr>
        <w:t>Приложение 2</w:t>
      </w:r>
      <w:r>
        <w:rPr/>
        <w:t>).</w:t>
      </w:r>
    </w:p>
    <w:p>
      <w:pPr>
        <w:pStyle w:val="Heading3"/>
        <w:spacing w:before="249"/>
      </w:pPr>
      <w:r>
        <w:rPr/>
        <w:t>Проведение</w:t>
      </w:r>
      <w:r>
        <w:rPr>
          <w:spacing w:val="-9"/>
        </w:rPr>
        <w:t> </w:t>
      </w:r>
      <w:r>
        <w:rPr>
          <w:spacing w:val="-2"/>
        </w:rPr>
        <w:t>методики</w:t>
      </w:r>
    </w:p>
    <w:p>
      <w:pPr>
        <w:pStyle w:val="Heading4"/>
        <w:spacing w:before="232"/>
        <w:ind w:right="569"/>
      </w:pPr>
      <w:r>
        <w:rPr/>
        <w:t>Методика разделена на две части: вводную и основную. Во вводной части психолог дает следующую инструкцию:</w:t>
      </w:r>
    </w:p>
    <w:p>
      <w:pPr>
        <w:spacing w:line="240" w:lineRule="auto" w:before="240"/>
        <w:ind w:left="285" w:right="559" w:firstLine="0"/>
        <w:jc w:val="both"/>
        <w:rPr>
          <w:i/>
          <w:sz w:val="28"/>
        </w:rPr>
      </w:pPr>
      <w:r>
        <w:rPr>
          <w:i/>
          <w:sz w:val="28"/>
        </w:rPr>
        <w:t>«Иногда</w:t>
      </w:r>
      <w:r>
        <w:rPr>
          <w:i/>
          <w:spacing w:val="-5"/>
          <w:sz w:val="28"/>
        </w:rPr>
        <w:t> </w:t>
      </w:r>
      <w:r>
        <w:rPr>
          <w:i/>
          <w:sz w:val="28"/>
        </w:rPr>
        <w:t>мы</w:t>
      </w:r>
      <w:r>
        <w:rPr>
          <w:i/>
          <w:spacing w:val="-8"/>
          <w:sz w:val="28"/>
        </w:rPr>
        <w:t> </w:t>
      </w:r>
      <w:r>
        <w:rPr>
          <w:i/>
          <w:sz w:val="28"/>
        </w:rPr>
        <w:t>очень</w:t>
      </w:r>
      <w:r>
        <w:rPr>
          <w:i/>
          <w:spacing w:val="-5"/>
          <w:sz w:val="28"/>
        </w:rPr>
        <w:t> </w:t>
      </w:r>
      <w:r>
        <w:rPr>
          <w:i/>
          <w:sz w:val="28"/>
        </w:rPr>
        <w:t>печалимся,</w:t>
      </w:r>
      <w:r>
        <w:rPr>
          <w:i/>
          <w:spacing w:val="-6"/>
          <w:sz w:val="28"/>
        </w:rPr>
        <w:t> </w:t>
      </w:r>
      <w:r>
        <w:rPr>
          <w:i/>
          <w:sz w:val="28"/>
        </w:rPr>
        <w:t>чувствуем</w:t>
      </w:r>
      <w:r>
        <w:rPr>
          <w:i/>
          <w:spacing w:val="-5"/>
          <w:sz w:val="28"/>
        </w:rPr>
        <w:t> </w:t>
      </w:r>
      <w:r>
        <w:rPr>
          <w:i/>
          <w:sz w:val="28"/>
        </w:rPr>
        <w:t>себя</w:t>
      </w:r>
      <w:r>
        <w:rPr>
          <w:i/>
          <w:spacing w:val="-6"/>
          <w:sz w:val="28"/>
        </w:rPr>
        <w:t> </w:t>
      </w:r>
      <w:r>
        <w:rPr>
          <w:i/>
          <w:sz w:val="28"/>
        </w:rPr>
        <w:t>плохо,</w:t>
      </w:r>
      <w:r>
        <w:rPr>
          <w:i/>
          <w:spacing w:val="-6"/>
          <w:sz w:val="28"/>
        </w:rPr>
        <w:t> </w:t>
      </w:r>
      <w:r>
        <w:rPr>
          <w:i/>
          <w:sz w:val="28"/>
        </w:rPr>
        <w:t>нам</w:t>
      </w:r>
      <w:r>
        <w:rPr>
          <w:i/>
          <w:spacing w:val="-5"/>
          <w:sz w:val="28"/>
        </w:rPr>
        <w:t> </w:t>
      </w:r>
      <w:r>
        <w:rPr>
          <w:i/>
          <w:sz w:val="28"/>
        </w:rPr>
        <w:t>грустно </w:t>
      </w:r>
      <w:r>
        <w:rPr>
          <w:sz w:val="28"/>
        </w:rPr>
        <w:t>(показывает на «грустное» лицо). </w:t>
      </w:r>
      <w:r>
        <w:rPr>
          <w:i/>
          <w:sz w:val="28"/>
        </w:rPr>
        <w:t>Иногда мы очень радуемся, чувствуем себя очень хорошо,</w:t>
      </w:r>
      <w:r>
        <w:rPr>
          <w:i/>
          <w:spacing w:val="-16"/>
          <w:sz w:val="28"/>
        </w:rPr>
        <w:t> </w:t>
      </w:r>
      <w:r>
        <w:rPr>
          <w:i/>
          <w:sz w:val="28"/>
        </w:rPr>
        <w:t>нам</w:t>
      </w:r>
      <w:r>
        <w:rPr>
          <w:i/>
          <w:spacing w:val="-15"/>
          <w:sz w:val="28"/>
        </w:rPr>
        <w:t> </w:t>
      </w:r>
      <w:r>
        <w:rPr>
          <w:i/>
          <w:sz w:val="28"/>
        </w:rPr>
        <w:t>весело</w:t>
      </w:r>
      <w:r>
        <w:rPr>
          <w:i/>
          <w:spacing w:val="-13"/>
          <w:sz w:val="28"/>
        </w:rPr>
        <w:t> </w:t>
      </w:r>
      <w:r>
        <w:rPr>
          <w:sz w:val="28"/>
        </w:rPr>
        <w:t>(показывает</w:t>
      </w:r>
      <w:r>
        <w:rPr>
          <w:spacing w:val="-16"/>
          <w:sz w:val="28"/>
        </w:rPr>
        <w:t> </w:t>
      </w:r>
      <w:r>
        <w:rPr>
          <w:sz w:val="28"/>
        </w:rPr>
        <w:t>на</w:t>
      </w:r>
      <w:r>
        <w:rPr>
          <w:spacing w:val="-16"/>
          <w:sz w:val="28"/>
        </w:rPr>
        <w:t> </w:t>
      </w:r>
      <w:r>
        <w:rPr>
          <w:sz w:val="28"/>
        </w:rPr>
        <w:t>«веселое»</w:t>
      </w:r>
      <w:r>
        <w:rPr>
          <w:spacing w:val="-17"/>
          <w:sz w:val="28"/>
        </w:rPr>
        <w:t> </w:t>
      </w:r>
      <w:r>
        <w:rPr>
          <w:sz w:val="28"/>
        </w:rPr>
        <w:t>лицо).</w:t>
      </w:r>
      <w:r>
        <w:rPr>
          <w:spacing w:val="-14"/>
          <w:sz w:val="28"/>
        </w:rPr>
        <w:t> </w:t>
      </w:r>
      <w:r>
        <w:rPr>
          <w:i/>
          <w:sz w:val="28"/>
        </w:rPr>
        <w:t>Расскажи,</w:t>
      </w:r>
      <w:r>
        <w:rPr>
          <w:i/>
          <w:spacing w:val="-16"/>
          <w:sz w:val="28"/>
        </w:rPr>
        <w:t> </w:t>
      </w:r>
      <w:r>
        <w:rPr>
          <w:i/>
          <w:sz w:val="28"/>
        </w:rPr>
        <w:t>когда</w:t>
      </w:r>
      <w:r>
        <w:rPr>
          <w:i/>
          <w:spacing w:val="-15"/>
          <w:sz w:val="28"/>
        </w:rPr>
        <w:t> </w:t>
      </w:r>
      <w:r>
        <w:rPr>
          <w:i/>
          <w:sz w:val="28"/>
        </w:rPr>
        <w:t>и</w:t>
      </w:r>
      <w:r>
        <w:rPr>
          <w:i/>
          <w:spacing w:val="-17"/>
          <w:sz w:val="28"/>
        </w:rPr>
        <w:t> </w:t>
      </w:r>
      <w:r>
        <w:rPr>
          <w:i/>
          <w:sz w:val="28"/>
        </w:rPr>
        <w:t>почему это бывает у тебя?»</w:t>
      </w:r>
    </w:p>
    <w:p>
      <w:pPr>
        <w:spacing w:before="241"/>
        <w:ind w:left="285" w:right="562" w:firstLine="0"/>
        <w:jc w:val="both"/>
        <w:rPr>
          <w:i/>
          <w:sz w:val="28"/>
        </w:rPr>
      </w:pPr>
      <w:r>
        <w:rPr>
          <w:i/>
          <w:sz w:val="28"/>
        </w:rPr>
        <w:t>«Иногда</w:t>
      </w:r>
      <w:r>
        <w:rPr>
          <w:i/>
          <w:spacing w:val="-18"/>
          <w:sz w:val="28"/>
        </w:rPr>
        <w:t> </w:t>
      </w:r>
      <w:r>
        <w:rPr>
          <w:i/>
          <w:sz w:val="28"/>
        </w:rPr>
        <w:t>мы</w:t>
      </w:r>
      <w:r>
        <w:rPr>
          <w:i/>
          <w:spacing w:val="-17"/>
          <w:sz w:val="28"/>
        </w:rPr>
        <w:t> </w:t>
      </w:r>
      <w:r>
        <w:rPr>
          <w:i/>
          <w:sz w:val="28"/>
        </w:rPr>
        <w:t>чуть-чуть</w:t>
      </w:r>
      <w:r>
        <w:rPr>
          <w:i/>
          <w:spacing w:val="-18"/>
          <w:sz w:val="28"/>
        </w:rPr>
        <w:t> </w:t>
      </w:r>
      <w:r>
        <w:rPr>
          <w:i/>
          <w:sz w:val="28"/>
        </w:rPr>
        <w:t>печалимся,</w:t>
      </w:r>
      <w:r>
        <w:rPr>
          <w:i/>
          <w:spacing w:val="-17"/>
          <w:sz w:val="28"/>
        </w:rPr>
        <w:t> </w:t>
      </w:r>
      <w:r>
        <w:rPr>
          <w:i/>
          <w:sz w:val="28"/>
        </w:rPr>
        <w:t>нам</w:t>
      </w:r>
      <w:r>
        <w:rPr>
          <w:i/>
          <w:spacing w:val="-18"/>
          <w:sz w:val="28"/>
        </w:rPr>
        <w:t> </w:t>
      </w:r>
      <w:r>
        <w:rPr>
          <w:i/>
          <w:sz w:val="28"/>
        </w:rPr>
        <w:t>немного</w:t>
      </w:r>
      <w:r>
        <w:rPr>
          <w:i/>
          <w:spacing w:val="-16"/>
          <w:sz w:val="28"/>
        </w:rPr>
        <w:t> </w:t>
      </w:r>
      <w:r>
        <w:rPr>
          <w:i/>
          <w:sz w:val="28"/>
        </w:rPr>
        <w:t>грустно</w:t>
      </w:r>
      <w:r>
        <w:rPr>
          <w:i/>
          <w:spacing w:val="-12"/>
          <w:sz w:val="28"/>
        </w:rPr>
        <w:t> </w:t>
      </w:r>
      <w:r>
        <w:rPr>
          <w:sz w:val="28"/>
        </w:rPr>
        <w:t>(показывает</w:t>
      </w:r>
      <w:r>
        <w:rPr>
          <w:spacing w:val="-18"/>
          <w:sz w:val="28"/>
        </w:rPr>
        <w:t> </w:t>
      </w:r>
      <w:r>
        <w:rPr>
          <w:sz w:val="28"/>
        </w:rPr>
        <w:t>на</w:t>
      </w:r>
      <w:r>
        <w:rPr>
          <w:spacing w:val="-16"/>
          <w:sz w:val="28"/>
        </w:rPr>
        <w:t> </w:t>
      </w:r>
      <w:r>
        <w:rPr>
          <w:sz w:val="28"/>
        </w:rPr>
        <w:t>«чуть- чуть грустное» лицо). </w:t>
      </w:r>
      <w:r>
        <w:rPr>
          <w:i/>
          <w:sz w:val="28"/>
        </w:rPr>
        <w:t>Иногда мы немного радуемся, нам чуть-чуть весело </w:t>
      </w:r>
      <w:r>
        <w:rPr>
          <w:sz w:val="28"/>
        </w:rPr>
        <w:t>(показывает на «чуть-чуть веселое» лицо). </w:t>
      </w:r>
      <w:r>
        <w:rPr>
          <w:i/>
          <w:sz w:val="28"/>
        </w:rPr>
        <w:t>Расскажи, когда и почему это бывает у тебя?»</w:t>
      </w:r>
    </w:p>
    <w:p>
      <w:pPr>
        <w:pStyle w:val="Heading4"/>
        <w:spacing w:before="239"/>
        <w:ind w:right="562"/>
      </w:pPr>
      <w:r>
        <w:rPr/>
        <w:t>Если ребенок почти не говорит на русском языке, можно попросить его нарисовать</w:t>
      </w:r>
      <w:r>
        <w:rPr>
          <w:spacing w:val="-18"/>
        </w:rPr>
        <w:t> </w:t>
      </w:r>
      <w:r>
        <w:rPr/>
        <w:t>грустный</w:t>
      </w:r>
      <w:r>
        <w:rPr>
          <w:spacing w:val="-16"/>
        </w:rPr>
        <w:t> </w:t>
      </w:r>
      <w:r>
        <w:rPr/>
        <w:t>и</w:t>
      </w:r>
      <w:r>
        <w:rPr>
          <w:spacing w:val="-15"/>
        </w:rPr>
        <w:t> </w:t>
      </w:r>
      <w:r>
        <w:rPr/>
        <w:t>радостный</w:t>
      </w:r>
      <w:r>
        <w:rPr>
          <w:spacing w:val="-15"/>
        </w:rPr>
        <w:t> </w:t>
      </w:r>
      <w:r>
        <w:rPr/>
        <w:t>рисунок.</w:t>
      </w:r>
      <w:r>
        <w:rPr>
          <w:spacing w:val="-16"/>
        </w:rPr>
        <w:t> </w:t>
      </w:r>
      <w:r>
        <w:rPr/>
        <w:t>Главное</w:t>
      </w:r>
      <w:r>
        <w:rPr>
          <w:spacing w:val="-11"/>
        </w:rPr>
        <w:t> </w:t>
      </w:r>
      <w:r>
        <w:rPr/>
        <w:t>—</w:t>
      </w:r>
      <w:r>
        <w:rPr>
          <w:spacing w:val="-16"/>
        </w:rPr>
        <w:t> </w:t>
      </w:r>
      <w:r>
        <w:rPr/>
        <w:t>убедиться,</w:t>
      </w:r>
      <w:r>
        <w:rPr>
          <w:spacing w:val="-16"/>
        </w:rPr>
        <w:t> </w:t>
      </w:r>
      <w:r>
        <w:rPr/>
        <w:t>что</w:t>
      </w:r>
      <w:r>
        <w:rPr>
          <w:spacing w:val="-15"/>
        </w:rPr>
        <w:t> </w:t>
      </w:r>
      <w:r>
        <w:rPr/>
        <w:t>ребенок понимает различия между эмоциональными состояниями и адекватно соотносит их с «лицами» на бланке методики.</w:t>
      </w:r>
    </w:p>
    <w:p>
      <w:pPr>
        <w:spacing w:line="240" w:lineRule="auto" w:before="241"/>
        <w:ind w:left="285" w:right="560" w:firstLine="0"/>
        <w:jc w:val="both"/>
        <w:rPr>
          <w:sz w:val="28"/>
        </w:rPr>
      </w:pPr>
      <w:r>
        <w:rPr>
          <w:sz w:val="28"/>
        </w:rPr>
        <w:t>Затем ребенку по очереди задают вопросы </w:t>
      </w:r>
      <w:r>
        <w:rPr>
          <w:i/>
          <w:sz w:val="28"/>
        </w:rPr>
        <w:t>«Как ты себя чувствуешь, когда смотришь мультфильмы?» </w:t>
      </w:r>
      <w:r>
        <w:rPr>
          <w:sz w:val="28"/>
        </w:rPr>
        <w:t>и </w:t>
      </w:r>
      <w:r>
        <w:rPr>
          <w:i/>
          <w:sz w:val="28"/>
        </w:rPr>
        <w:t>«Как ты себя чувствуешь, когда играешь в любимые</w:t>
      </w:r>
      <w:r>
        <w:rPr>
          <w:i/>
          <w:spacing w:val="-11"/>
          <w:sz w:val="28"/>
        </w:rPr>
        <w:t> </w:t>
      </w:r>
      <w:r>
        <w:rPr>
          <w:i/>
          <w:sz w:val="28"/>
        </w:rPr>
        <w:t>игры?»</w:t>
      </w:r>
      <w:r>
        <w:rPr>
          <w:sz w:val="28"/>
        </w:rPr>
        <w:t>,</w:t>
      </w:r>
      <w:r>
        <w:rPr>
          <w:spacing w:val="-12"/>
          <w:sz w:val="28"/>
        </w:rPr>
        <w:t> </w:t>
      </w:r>
      <w:r>
        <w:rPr>
          <w:sz w:val="28"/>
        </w:rPr>
        <w:t>предлагая</w:t>
      </w:r>
      <w:r>
        <w:rPr>
          <w:spacing w:val="-11"/>
          <w:sz w:val="28"/>
        </w:rPr>
        <w:t> </w:t>
      </w:r>
      <w:r>
        <w:rPr>
          <w:sz w:val="28"/>
        </w:rPr>
        <w:t>выбрать</w:t>
      </w:r>
      <w:r>
        <w:rPr>
          <w:spacing w:val="-12"/>
          <w:sz w:val="28"/>
        </w:rPr>
        <w:t> </w:t>
      </w:r>
      <w:r>
        <w:rPr>
          <w:sz w:val="28"/>
        </w:rPr>
        <w:t>лицо,</w:t>
      </w:r>
      <w:r>
        <w:rPr>
          <w:spacing w:val="-12"/>
          <w:sz w:val="28"/>
        </w:rPr>
        <w:t> </w:t>
      </w:r>
      <w:r>
        <w:rPr>
          <w:sz w:val="28"/>
        </w:rPr>
        <w:t>соответствующее</w:t>
      </w:r>
      <w:r>
        <w:rPr>
          <w:spacing w:val="-11"/>
          <w:sz w:val="28"/>
        </w:rPr>
        <w:t> </w:t>
      </w:r>
      <w:r>
        <w:rPr>
          <w:sz w:val="28"/>
        </w:rPr>
        <w:t>ответу.</w:t>
      </w:r>
      <w:r>
        <w:rPr>
          <w:spacing w:val="-12"/>
          <w:sz w:val="28"/>
        </w:rPr>
        <w:t> </w:t>
      </w:r>
      <w:r>
        <w:rPr>
          <w:sz w:val="28"/>
        </w:rPr>
        <w:t>Эта</w:t>
      </w:r>
      <w:r>
        <w:rPr>
          <w:spacing w:val="-12"/>
          <w:sz w:val="28"/>
        </w:rPr>
        <w:t> </w:t>
      </w:r>
      <w:r>
        <w:rPr>
          <w:sz w:val="28"/>
        </w:rPr>
        <w:t>часть нужна для обучения ребенка работе с методикой и повторной проверки понимания инструкции.</w:t>
      </w:r>
    </w:p>
    <w:p>
      <w:pPr>
        <w:pStyle w:val="Heading4"/>
        <w:spacing w:before="241"/>
        <w:ind w:right="562"/>
      </w:pPr>
      <w:r>
        <w:rPr/>
        <w:t>В основной части ребенку задают по очереди шесть вопросов о том, как он себя</w:t>
      </w:r>
      <w:r>
        <w:rPr>
          <w:spacing w:val="-18"/>
        </w:rPr>
        <w:t> </w:t>
      </w:r>
      <w:r>
        <w:rPr/>
        <w:t>чувствует</w:t>
      </w:r>
      <w:r>
        <w:rPr>
          <w:spacing w:val="-17"/>
        </w:rPr>
        <w:t> </w:t>
      </w:r>
      <w:r>
        <w:rPr/>
        <w:t>в</w:t>
      </w:r>
      <w:r>
        <w:rPr>
          <w:spacing w:val="-18"/>
        </w:rPr>
        <w:t> </w:t>
      </w:r>
      <w:r>
        <w:rPr/>
        <w:t>разных</w:t>
      </w:r>
      <w:r>
        <w:rPr>
          <w:spacing w:val="-15"/>
        </w:rPr>
        <w:t> </w:t>
      </w:r>
      <w:r>
        <w:rPr/>
        <w:t>ситуациях,</w:t>
      </w:r>
      <w:r>
        <w:rPr>
          <w:spacing w:val="-16"/>
        </w:rPr>
        <w:t> </w:t>
      </w:r>
      <w:r>
        <w:rPr/>
        <w:t>предлагая</w:t>
      </w:r>
      <w:r>
        <w:rPr>
          <w:spacing w:val="-16"/>
        </w:rPr>
        <w:t> </w:t>
      </w:r>
      <w:r>
        <w:rPr/>
        <w:t>выбрать</w:t>
      </w:r>
      <w:r>
        <w:rPr>
          <w:spacing w:val="-17"/>
        </w:rPr>
        <w:t> </w:t>
      </w:r>
      <w:r>
        <w:rPr/>
        <w:t>лицо,</w:t>
      </w:r>
      <w:r>
        <w:rPr>
          <w:spacing w:val="-18"/>
        </w:rPr>
        <w:t> </w:t>
      </w:r>
      <w:r>
        <w:rPr/>
        <w:t>соответствующее </w:t>
      </w:r>
      <w:r>
        <w:rPr>
          <w:spacing w:val="-2"/>
        </w:rPr>
        <w:t>ответу.</w:t>
      </w:r>
    </w:p>
    <w:p>
      <w:pPr>
        <w:pStyle w:val="Heading4"/>
        <w:spacing w:after="0"/>
        <w:sectPr>
          <w:pgSz w:w="11910" w:h="16840"/>
          <w:pgMar w:header="0" w:footer="970" w:top="1040" w:bottom="1220" w:left="1417" w:right="283"/>
        </w:sectPr>
      </w:pPr>
    </w:p>
    <w:p>
      <w:pPr>
        <w:pStyle w:val="Heading4"/>
        <w:spacing w:before="67"/>
        <w:ind w:right="561"/>
      </w:pPr>
      <w:r>
        <w:rPr/>
        <w:t>Варианты</w:t>
      </w:r>
      <w:r>
        <w:rPr>
          <w:spacing w:val="-15"/>
        </w:rPr>
        <w:t> </w:t>
      </w:r>
      <w:r>
        <w:rPr/>
        <w:t>ответов</w:t>
      </w:r>
      <w:r>
        <w:rPr>
          <w:spacing w:val="-16"/>
        </w:rPr>
        <w:t> </w:t>
      </w:r>
      <w:r>
        <w:rPr/>
        <w:t>переводятся</w:t>
      </w:r>
      <w:r>
        <w:rPr>
          <w:spacing w:val="-13"/>
        </w:rPr>
        <w:t> </w:t>
      </w:r>
      <w:r>
        <w:rPr/>
        <w:t>в</w:t>
      </w:r>
      <w:r>
        <w:rPr>
          <w:spacing w:val="-16"/>
        </w:rPr>
        <w:t> </w:t>
      </w:r>
      <w:r>
        <w:rPr/>
        <w:t>баллы:</w:t>
      </w:r>
      <w:r>
        <w:rPr>
          <w:spacing w:val="-15"/>
        </w:rPr>
        <w:t> </w:t>
      </w:r>
      <w:r>
        <w:rPr/>
        <w:t>«грустное»</w:t>
      </w:r>
      <w:r>
        <w:rPr>
          <w:spacing w:val="-15"/>
        </w:rPr>
        <w:t> </w:t>
      </w:r>
      <w:r>
        <w:rPr/>
        <w:t>лицо</w:t>
      </w:r>
      <w:r>
        <w:rPr>
          <w:spacing w:val="-7"/>
        </w:rPr>
        <w:t> </w:t>
      </w:r>
      <w:r>
        <w:rPr/>
        <w:t>—</w:t>
      </w:r>
      <w:r>
        <w:rPr>
          <w:spacing w:val="-15"/>
        </w:rPr>
        <w:t> </w:t>
      </w:r>
      <w:r>
        <w:rPr/>
        <w:t>1</w:t>
      </w:r>
      <w:r>
        <w:rPr>
          <w:spacing w:val="-13"/>
        </w:rPr>
        <w:t> </w:t>
      </w:r>
      <w:r>
        <w:rPr/>
        <w:t>балл;</w:t>
      </w:r>
      <w:r>
        <w:rPr>
          <w:spacing w:val="-13"/>
        </w:rPr>
        <w:t> </w:t>
      </w:r>
      <w:r>
        <w:rPr/>
        <w:t>«чуть-чуть грустное» лицо — 2 балла; «чуть-чуть веселое» лицо — 3 балла; «веселое» лицо — 4 балла. Подсчитывается средний балл по шести вопросам основной части. Этот балл отражает уровень субъективного благополучия ребенка.</w:t>
      </w:r>
    </w:p>
    <w:p>
      <w:pPr>
        <w:pStyle w:val="Heading4"/>
        <w:spacing w:before="241"/>
        <w:ind w:right="565"/>
      </w:pPr>
      <w:r>
        <w:rPr/>
        <w:t>По результатам апробации в 2022 г.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w:t>
      </w:r>
      <w:r>
        <w:rPr>
          <w:spacing w:val="-6"/>
        </w:rPr>
        <w:t> </w:t>
      </w:r>
      <w:r>
        <w:rPr/>
        <w:t>на</w:t>
      </w:r>
      <w:r>
        <w:rPr>
          <w:spacing w:val="-5"/>
        </w:rPr>
        <w:t> </w:t>
      </w:r>
      <w:r>
        <w:rPr/>
        <w:t>основании</w:t>
      </w:r>
      <w:r>
        <w:rPr>
          <w:spacing w:val="-5"/>
        </w:rPr>
        <w:t> </w:t>
      </w:r>
      <w:r>
        <w:rPr/>
        <w:t>статистического</w:t>
      </w:r>
      <w:r>
        <w:rPr>
          <w:spacing w:val="-4"/>
        </w:rPr>
        <w:t> </w:t>
      </w:r>
      <w:r>
        <w:rPr/>
        <w:t>анализа</w:t>
      </w:r>
      <w:r>
        <w:rPr>
          <w:spacing w:val="-6"/>
        </w:rPr>
        <w:t> </w:t>
      </w:r>
      <w:r>
        <w:rPr/>
        <w:t>распределения</w:t>
      </w:r>
      <w:r>
        <w:rPr>
          <w:spacing w:val="-8"/>
        </w:rPr>
        <w:t> </w:t>
      </w:r>
      <w:r>
        <w:rPr/>
        <w:t>показателей у детей — иностранных граждан, выделены следующие нормативы.</w:t>
      </w:r>
    </w:p>
    <w:p>
      <w:pPr>
        <w:pStyle w:val="Heading3"/>
        <w:spacing w:before="249"/>
        <w:ind w:left="0" w:right="561"/>
        <w:jc w:val="right"/>
      </w:pPr>
      <w:r>
        <w:rPr/>
        <w:t>Таблица</w:t>
      </w:r>
      <w:r>
        <w:rPr>
          <w:spacing w:val="-6"/>
        </w:rPr>
        <w:t> </w:t>
      </w:r>
      <w:r>
        <w:rPr>
          <w:spacing w:val="-10"/>
        </w:rPr>
        <w:t>4</w:t>
      </w:r>
    </w:p>
    <w:p>
      <w:pPr>
        <w:spacing w:line="235" w:lineRule="auto" w:before="242"/>
        <w:ind w:left="1021" w:right="0" w:hanging="188"/>
        <w:jc w:val="left"/>
        <w:rPr>
          <w:b/>
          <w:sz w:val="28"/>
        </w:rPr>
      </w:pPr>
      <w:r>
        <w:rPr>
          <w:b/>
          <w:sz w:val="28"/>
        </w:rPr>
        <w:t>Пересмотренные</w:t>
      </w:r>
      <w:r>
        <w:rPr>
          <w:b/>
          <w:spacing w:val="-4"/>
          <w:sz w:val="28"/>
        </w:rPr>
        <w:t> </w:t>
      </w:r>
      <w:r>
        <w:rPr>
          <w:b/>
          <w:sz w:val="28"/>
        </w:rPr>
        <w:t>критерии</w:t>
      </w:r>
      <w:r>
        <w:rPr>
          <w:b/>
          <w:spacing w:val="-5"/>
          <w:sz w:val="28"/>
        </w:rPr>
        <w:t> </w:t>
      </w:r>
      <w:r>
        <w:rPr>
          <w:b/>
          <w:sz w:val="28"/>
        </w:rPr>
        <w:t>оценки</w:t>
      </w:r>
      <w:r>
        <w:rPr>
          <w:b/>
          <w:spacing w:val="-5"/>
          <w:sz w:val="28"/>
        </w:rPr>
        <w:t> </w:t>
      </w:r>
      <w:r>
        <w:rPr>
          <w:b/>
          <w:sz w:val="28"/>
        </w:rPr>
        <w:t>по</w:t>
      </w:r>
      <w:r>
        <w:rPr>
          <w:b/>
          <w:spacing w:val="-5"/>
          <w:sz w:val="28"/>
        </w:rPr>
        <w:t> </w:t>
      </w:r>
      <w:r>
        <w:rPr>
          <w:b/>
          <w:sz w:val="28"/>
        </w:rPr>
        <w:t>общей</w:t>
      </w:r>
      <w:r>
        <w:rPr>
          <w:b/>
          <w:spacing w:val="-6"/>
          <w:sz w:val="28"/>
        </w:rPr>
        <w:t> </w:t>
      </w:r>
      <w:r>
        <w:rPr>
          <w:b/>
          <w:sz w:val="28"/>
        </w:rPr>
        <w:t>шкале</w:t>
      </w:r>
      <w:r>
        <w:rPr>
          <w:b/>
          <w:spacing w:val="-4"/>
          <w:sz w:val="28"/>
        </w:rPr>
        <w:t> </w:t>
      </w:r>
      <w:r>
        <w:rPr>
          <w:b/>
          <w:sz w:val="28"/>
        </w:rPr>
        <w:t>на</w:t>
      </w:r>
      <w:r>
        <w:rPr>
          <w:b/>
          <w:spacing w:val="-3"/>
          <w:sz w:val="28"/>
        </w:rPr>
        <w:t> </w:t>
      </w:r>
      <w:r>
        <w:rPr>
          <w:b/>
          <w:sz w:val="28"/>
        </w:rPr>
        <w:t>выборках несовершеннолетних детей </w:t>
      </w:r>
      <w:r>
        <w:rPr>
          <w:sz w:val="28"/>
        </w:rPr>
        <w:t>— </w:t>
      </w:r>
      <w:r>
        <w:rPr>
          <w:b/>
          <w:sz w:val="28"/>
        </w:rPr>
        <w:t>иностранных граждан в России</w:t>
      </w:r>
    </w:p>
    <w:p>
      <w:pPr>
        <w:pStyle w:val="BodyText"/>
        <w:ind w:left="0" w:right="0" w:firstLine="0"/>
        <w:jc w:val="left"/>
        <w:rPr>
          <w:b/>
        </w:rPr>
      </w:pPr>
    </w:p>
    <w:p>
      <w:pPr>
        <w:pStyle w:val="BodyText"/>
        <w:spacing w:before="113"/>
        <w:ind w:left="0" w:right="0" w:firstLine="0"/>
        <w:jc w:val="left"/>
        <w:rPr>
          <w:b/>
        </w:rPr>
      </w:pPr>
    </w:p>
    <w:tbl>
      <w:tblPr>
        <w:tblW w:w="0" w:type="auto"/>
        <w:jc w:val="left"/>
        <w:tblInd w:w="9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961"/>
        <w:gridCol w:w="3992"/>
      </w:tblGrid>
      <w:tr>
        <w:trPr>
          <w:trHeight w:val="1000" w:hRule="atLeast"/>
        </w:trPr>
        <w:tc>
          <w:tcPr>
            <w:tcW w:w="3961" w:type="dxa"/>
          </w:tcPr>
          <w:p>
            <w:pPr>
              <w:pStyle w:val="TableParagraph"/>
              <w:spacing w:before="16"/>
              <w:rPr>
                <w:b/>
                <w:sz w:val="28"/>
              </w:rPr>
            </w:pPr>
          </w:p>
          <w:p>
            <w:pPr>
              <w:pStyle w:val="TableParagraph"/>
              <w:ind w:left="22"/>
              <w:jc w:val="center"/>
              <w:rPr>
                <w:b/>
                <w:sz w:val="28"/>
              </w:rPr>
            </w:pPr>
            <w:r>
              <w:rPr>
                <w:b/>
                <w:spacing w:val="-2"/>
                <w:sz w:val="28"/>
              </w:rPr>
              <w:t>Уровни</w:t>
            </w:r>
          </w:p>
        </w:tc>
        <w:tc>
          <w:tcPr>
            <w:tcW w:w="3992" w:type="dxa"/>
          </w:tcPr>
          <w:p>
            <w:pPr>
              <w:pStyle w:val="TableParagraph"/>
              <w:spacing w:before="16"/>
              <w:rPr>
                <w:b/>
                <w:sz w:val="28"/>
              </w:rPr>
            </w:pPr>
          </w:p>
          <w:p>
            <w:pPr>
              <w:pStyle w:val="TableParagraph"/>
              <w:ind w:left="18"/>
              <w:jc w:val="center"/>
              <w:rPr>
                <w:b/>
                <w:sz w:val="28"/>
              </w:rPr>
            </w:pPr>
            <w:r>
              <w:rPr>
                <w:b/>
                <w:sz w:val="28"/>
              </w:rPr>
              <w:t>Начальная</w:t>
            </w:r>
            <w:r>
              <w:rPr>
                <w:b/>
                <w:spacing w:val="-8"/>
                <w:sz w:val="28"/>
              </w:rPr>
              <w:t> </w:t>
            </w:r>
            <w:r>
              <w:rPr>
                <w:b/>
                <w:sz w:val="28"/>
              </w:rPr>
              <w:t>школа</w:t>
            </w:r>
            <w:r>
              <w:rPr>
                <w:b/>
                <w:spacing w:val="-7"/>
                <w:sz w:val="28"/>
              </w:rPr>
              <w:t> </w:t>
            </w:r>
            <w:r>
              <w:rPr>
                <w:b/>
                <w:spacing w:val="-2"/>
                <w:sz w:val="28"/>
              </w:rPr>
              <w:t>(N=327)</w:t>
            </w:r>
          </w:p>
        </w:tc>
      </w:tr>
      <w:tr>
        <w:trPr>
          <w:trHeight w:val="983" w:hRule="atLeast"/>
        </w:trPr>
        <w:tc>
          <w:tcPr>
            <w:tcW w:w="3961" w:type="dxa"/>
          </w:tcPr>
          <w:p>
            <w:pPr>
              <w:pStyle w:val="TableParagraph"/>
              <w:spacing w:before="314"/>
              <w:ind w:left="100"/>
              <w:rPr>
                <w:sz w:val="28"/>
              </w:rPr>
            </w:pPr>
            <w:r>
              <w:rPr>
                <w:sz w:val="28"/>
              </w:rPr>
              <w:t>Ниже</w:t>
            </w:r>
            <w:r>
              <w:rPr>
                <w:spacing w:val="-2"/>
                <w:sz w:val="28"/>
              </w:rPr>
              <w:t> среднего</w:t>
            </w:r>
          </w:p>
        </w:tc>
        <w:tc>
          <w:tcPr>
            <w:tcW w:w="3992" w:type="dxa"/>
          </w:tcPr>
          <w:p>
            <w:pPr>
              <w:pStyle w:val="TableParagraph"/>
              <w:spacing w:before="314"/>
              <w:ind w:left="18" w:right="2"/>
              <w:jc w:val="center"/>
              <w:rPr>
                <w:sz w:val="28"/>
              </w:rPr>
            </w:pPr>
            <w:r>
              <w:rPr>
                <w:spacing w:val="-2"/>
                <w:sz w:val="28"/>
              </w:rPr>
              <w:t>&lt;2.93</w:t>
            </w:r>
          </w:p>
        </w:tc>
      </w:tr>
      <w:tr>
        <w:trPr>
          <w:trHeight w:val="980" w:hRule="atLeast"/>
        </w:trPr>
        <w:tc>
          <w:tcPr>
            <w:tcW w:w="3961" w:type="dxa"/>
          </w:tcPr>
          <w:p>
            <w:pPr>
              <w:pStyle w:val="TableParagraph"/>
              <w:spacing w:before="311"/>
              <w:ind w:left="100"/>
              <w:rPr>
                <w:sz w:val="28"/>
              </w:rPr>
            </w:pPr>
            <w:r>
              <w:rPr>
                <w:spacing w:val="-2"/>
                <w:sz w:val="28"/>
              </w:rPr>
              <w:t>Средний</w:t>
            </w:r>
          </w:p>
        </w:tc>
        <w:tc>
          <w:tcPr>
            <w:tcW w:w="3992" w:type="dxa"/>
          </w:tcPr>
          <w:p>
            <w:pPr>
              <w:pStyle w:val="TableParagraph"/>
              <w:spacing w:before="311"/>
              <w:ind w:left="1365"/>
              <w:rPr>
                <w:sz w:val="28"/>
              </w:rPr>
            </w:pPr>
            <w:r>
              <w:rPr>
                <w:sz w:val="28"/>
              </w:rPr>
              <w:t>2.93</w:t>
            </w:r>
            <w:r>
              <w:rPr>
                <w:spacing w:val="-1"/>
                <w:sz w:val="28"/>
              </w:rPr>
              <w:t> </w:t>
            </w:r>
            <w:r>
              <w:rPr>
                <w:sz w:val="28"/>
              </w:rPr>
              <w:t>–</w:t>
            </w:r>
            <w:r>
              <w:rPr>
                <w:spacing w:val="-2"/>
                <w:sz w:val="28"/>
              </w:rPr>
              <w:t> </w:t>
            </w:r>
            <w:r>
              <w:rPr>
                <w:spacing w:val="-4"/>
                <w:sz w:val="28"/>
              </w:rPr>
              <w:t>3.69</w:t>
            </w:r>
          </w:p>
        </w:tc>
      </w:tr>
      <w:tr>
        <w:trPr>
          <w:trHeight w:val="983" w:hRule="atLeast"/>
        </w:trPr>
        <w:tc>
          <w:tcPr>
            <w:tcW w:w="3961" w:type="dxa"/>
          </w:tcPr>
          <w:p>
            <w:pPr>
              <w:pStyle w:val="TableParagraph"/>
              <w:spacing w:before="314"/>
              <w:ind w:left="100"/>
              <w:rPr>
                <w:sz w:val="28"/>
              </w:rPr>
            </w:pPr>
            <w:r>
              <w:rPr>
                <w:sz w:val="28"/>
              </w:rPr>
              <w:t>Выше </w:t>
            </w:r>
            <w:r>
              <w:rPr>
                <w:spacing w:val="-2"/>
                <w:sz w:val="28"/>
              </w:rPr>
              <w:t>среднего</w:t>
            </w:r>
          </w:p>
        </w:tc>
        <w:tc>
          <w:tcPr>
            <w:tcW w:w="3992" w:type="dxa"/>
          </w:tcPr>
          <w:p>
            <w:pPr>
              <w:pStyle w:val="TableParagraph"/>
              <w:spacing w:before="314"/>
              <w:ind w:left="18" w:right="2"/>
              <w:jc w:val="center"/>
              <w:rPr>
                <w:sz w:val="28"/>
              </w:rPr>
            </w:pPr>
            <w:r>
              <w:rPr>
                <w:spacing w:val="-2"/>
                <w:sz w:val="28"/>
              </w:rPr>
              <w:t>&gt;3.69</w:t>
            </w:r>
          </w:p>
        </w:tc>
      </w:tr>
    </w:tbl>
    <w:p>
      <w:pPr>
        <w:spacing w:before="232"/>
        <w:ind w:left="285" w:right="0" w:firstLine="0"/>
        <w:jc w:val="left"/>
        <w:rPr>
          <w:sz w:val="24"/>
        </w:rPr>
      </w:pPr>
      <w:r>
        <w:rPr>
          <w:i/>
          <w:sz w:val="24"/>
        </w:rPr>
        <w:t>Примечание</w:t>
      </w:r>
      <w:r>
        <w:rPr>
          <w:sz w:val="24"/>
        </w:rPr>
        <w:t>.</w:t>
      </w:r>
      <w:r>
        <w:rPr>
          <w:spacing w:val="80"/>
          <w:w w:val="150"/>
          <w:sz w:val="24"/>
        </w:rPr>
        <w:t> </w:t>
      </w:r>
      <w:r>
        <w:rPr>
          <w:sz w:val="24"/>
        </w:rPr>
        <w:t>Значимых</w:t>
      </w:r>
      <w:r>
        <w:rPr>
          <w:spacing w:val="80"/>
          <w:w w:val="150"/>
          <w:sz w:val="24"/>
        </w:rPr>
        <w:t> </w:t>
      </w:r>
      <w:r>
        <w:rPr>
          <w:sz w:val="24"/>
        </w:rPr>
        <w:t>гендерных</w:t>
      </w:r>
      <w:r>
        <w:rPr>
          <w:spacing w:val="80"/>
          <w:w w:val="150"/>
          <w:sz w:val="24"/>
        </w:rPr>
        <w:t> </w:t>
      </w:r>
      <w:r>
        <w:rPr>
          <w:sz w:val="24"/>
        </w:rPr>
        <w:t>различий</w:t>
      </w:r>
      <w:r>
        <w:rPr>
          <w:spacing w:val="80"/>
          <w:w w:val="150"/>
          <w:sz w:val="24"/>
        </w:rPr>
        <w:t> </w:t>
      </w:r>
      <w:r>
        <w:rPr>
          <w:sz w:val="24"/>
        </w:rPr>
        <w:t>не</w:t>
      </w:r>
      <w:r>
        <w:rPr>
          <w:spacing w:val="80"/>
          <w:w w:val="150"/>
          <w:sz w:val="24"/>
        </w:rPr>
        <w:t> </w:t>
      </w:r>
      <w:r>
        <w:rPr>
          <w:sz w:val="24"/>
        </w:rPr>
        <w:t>выявлено,</w:t>
      </w:r>
      <w:r>
        <w:rPr>
          <w:spacing w:val="80"/>
          <w:w w:val="150"/>
          <w:sz w:val="24"/>
        </w:rPr>
        <w:t> </w:t>
      </w:r>
      <w:r>
        <w:rPr>
          <w:sz w:val="24"/>
        </w:rPr>
        <w:t>в</w:t>
      </w:r>
      <w:r>
        <w:rPr>
          <w:spacing w:val="80"/>
          <w:w w:val="150"/>
          <w:sz w:val="24"/>
        </w:rPr>
        <w:t> </w:t>
      </w:r>
      <w:r>
        <w:rPr>
          <w:sz w:val="24"/>
        </w:rPr>
        <w:t>связи</w:t>
      </w:r>
      <w:r>
        <w:rPr>
          <w:spacing w:val="80"/>
          <w:w w:val="150"/>
          <w:sz w:val="24"/>
        </w:rPr>
        <w:t> </w:t>
      </w:r>
      <w:r>
        <w:rPr>
          <w:sz w:val="24"/>
        </w:rPr>
        <w:t>с</w:t>
      </w:r>
      <w:r>
        <w:rPr>
          <w:spacing w:val="80"/>
          <w:w w:val="150"/>
          <w:sz w:val="24"/>
        </w:rPr>
        <w:t> </w:t>
      </w:r>
      <w:r>
        <w:rPr>
          <w:sz w:val="24"/>
        </w:rPr>
        <w:t>чем</w:t>
      </w:r>
      <w:r>
        <w:rPr>
          <w:spacing w:val="80"/>
          <w:w w:val="150"/>
          <w:sz w:val="24"/>
        </w:rPr>
        <w:t> </w:t>
      </w:r>
      <w:r>
        <w:rPr>
          <w:sz w:val="24"/>
        </w:rPr>
        <w:t>оценка производится без учета пола ребенка (t-критерий Стьюдента для независимых выборок).</w:t>
      </w:r>
    </w:p>
    <w:p>
      <w:pPr>
        <w:pStyle w:val="Heading3"/>
        <w:spacing w:before="249"/>
        <w:jc w:val="left"/>
      </w:pPr>
      <w:r>
        <w:rPr/>
        <w:t>Психометрические</w:t>
      </w:r>
      <w:r>
        <w:rPr>
          <w:spacing w:val="-11"/>
        </w:rPr>
        <w:t> </w:t>
      </w:r>
      <w:r>
        <w:rPr/>
        <w:t>характеристики</w:t>
      </w:r>
      <w:r>
        <w:rPr>
          <w:spacing w:val="-9"/>
        </w:rPr>
        <w:t> </w:t>
      </w:r>
      <w:r>
        <w:rPr/>
        <w:t>методики</w:t>
      </w:r>
      <w:r>
        <w:rPr>
          <w:spacing w:val="-6"/>
        </w:rPr>
        <w:t> </w:t>
      </w:r>
      <w:r>
        <w:rPr/>
        <w:t>и</w:t>
      </w:r>
      <w:r>
        <w:rPr>
          <w:spacing w:val="-7"/>
        </w:rPr>
        <w:t> </w:t>
      </w:r>
      <w:r>
        <w:rPr/>
        <w:t>процесс</w:t>
      </w:r>
      <w:r>
        <w:rPr>
          <w:spacing w:val="-6"/>
        </w:rPr>
        <w:t> </w:t>
      </w:r>
      <w:r>
        <w:rPr/>
        <w:t>ее</w:t>
      </w:r>
      <w:r>
        <w:rPr>
          <w:spacing w:val="-6"/>
        </w:rPr>
        <w:t> </w:t>
      </w:r>
      <w:r>
        <w:rPr>
          <w:spacing w:val="-2"/>
        </w:rPr>
        <w:t>разработки</w:t>
      </w:r>
    </w:p>
    <w:p>
      <w:pPr>
        <w:pStyle w:val="Heading4"/>
        <w:spacing w:before="233"/>
        <w:ind w:right="561"/>
      </w:pPr>
      <w:r>
        <w:rPr/>
        <w:t>Методика создана на базе идеи, предложенной французскими специалистами С.</w:t>
      </w:r>
      <w:r>
        <w:rPr>
          <w:spacing w:val="-18"/>
        </w:rPr>
        <w:t> </w:t>
      </w:r>
      <w:r>
        <w:rPr/>
        <w:t>Манификат</w:t>
      </w:r>
      <w:r>
        <w:rPr>
          <w:spacing w:val="-17"/>
        </w:rPr>
        <w:t> </w:t>
      </w:r>
      <w:r>
        <w:rPr/>
        <w:t>и</w:t>
      </w:r>
      <w:r>
        <w:rPr>
          <w:spacing w:val="-18"/>
        </w:rPr>
        <w:t> </w:t>
      </w:r>
      <w:r>
        <w:rPr/>
        <w:t>А.</w:t>
      </w:r>
      <w:r>
        <w:rPr>
          <w:spacing w:val="-17"/>
        </w:rPr>
        <w:t> </w:t>
      </w:r>
      <w:r>
        <w:rPr/>
        <w:t>Дазорд</w:t>
      </w:r>
      <w:r>
        <w:rPr>
          <w:spacing w:val="-18"/>
        </w:rPr>
        <w:t> </w:t>
      </w:r>
      <w:r>
        <w:rPr/>
        <w:t>(1997,</w:t>
      </w:r>
      <w:r>
        <w:rPr>
          <w:spacing w:val="-17"/>
        </w:rPr>
        <w:t> </w:t>
      </w:r>
      <w:r>
        <w:rPr/>
        <w:t>2000,</w:t>
      </w:r>
      <w:r>
        <w:rPr>
          <w:spacing w:val="-18"/>
        </w:rPr>
        <w:t> </w:t>
      </w:r>
      <w:r>
        <w:rPr/>
        <w:t>2002)</w:t>
      </w:r>
      <w:r>
        <w:rPr>
          <w:spacing w:val="-17"/>
        </w:rPr>
        <w:t> </w:t>
      </w:r>
      <w:r>
        <w:rPr/>
        <w:t>в</w:t>
      </w:r>
      <w:r>
        <w:rPr>
          <w:spacing w:val="-18"/>
        </w:rPr>
        <w:t> </w:t>
      </w:r>
      <w:r>
        <w:rPr/>
        <w:t>рамках</w:t>
      </w:r>
      <w:r>
        <w:rPr>
          <w:spacing w:val="-17"/>
        </w:rPr>
        <w:t> </w:t>
      </w:r>
      <w:r>
        <w:rPr/>
        <w:t>разработки</w:t>
      </w:r>
      <w:r>
        <w:rPr>
          <w:spacing w:val="-18"/>
        </w:rPr>
        <w:t> </w:t>
      </w:r>
      <w:r>
        <w:rPr/>
        <w:t>рисуночного опросника</w:t>
      </w:r>
      <w:r>
        <w:rPr>
          <w:spacing w:val="-1"/>
        </w:rPr>
        <w:t> </w:t>
      </w:r>
      <w:r>
        <w:rPr/>
        <w:t>самодиагностики</w:t>
      </w:r>
      <w:r>
        <w:rPr>
          <w:spacing w:val="-1"/>
        </w:rPr>
        <w:t> </w:t>
      </w:r>
      <w:r>
        <w:rPr/>
        <w:t>качества</w:t>
      </w:r>
      <w:r>
        <w:rPr>
          <w:spacing w:val="-2"/>
        </w:rPr>
        <w:t> </w:t>
      </w:r>
      <w:r>
        <w:rPr/>
        <w:t>жизни</w:t>
      </w:r>
      <w:r>
        <w:rPr>
          <w:spacing w:val="-1"/>
        </w:rPr>
        <w:t> </w:t>
      </w:r>
      <w:r>
        <w:rPr/>
        <w:t>у</w:t>
      </w:r>
      <w:r>
        <w:rPr>
          <w:spacing w:val="-6"/>
        </w:rPr>
        <w:t> </w:t>
      </w:r>
      <w:r>
        <w:rPr/>
        <w:t>детей</w:t>
      </w:r>
      <w:r>
        <w:rPr>
          <w:spacing w:val="-1"/>
        </w:rPr>
        <w:t> </w:t>
      </w:r>
      <w:r>
        <w:rPr/>
        <w:t>3–11</w:t>
      </w:r>
      <w:r>
        <w:rPr>
          <w:spacing w:val="-1"/>
        </w:rPr>
        <w:t> </w:t>
      </w:r>
      <w:r>
        <w:rPr/>
        <w:t>лет </w:t>
      </w:r>
      <w:r>
        <w:rPr>
          <w:i/>
        </w:rPr>
        <w:t>(Pictured</w:t>
      </w:r>
      <w:r>
        <w:rPr>
          <w:i/>
          <w:spacing w:val="-1"/>
        </w:rPr>
        <w:t> </w:t>
      </w:r>
      <w:r>
        <w:rPr>
          <w:i/>
        </w:rPr>
        <w:t>Child's Quality of Life Self Questionnaire — AUQUEI)</w:t>
      </w:r>
      <w:r>
        <w:rPr/>
        <w:t>. Данный опросник получил распространение в Европе, он адаптирован во Франции и Испании (</w:t>
      </w:r>
      <w:r>
        <w:rPr>
          <w:i/>
        </w:rPr>
        <w:t>Garcia </w:t>
      </w:r>
      <w:r>
        <w:rPr/>
        <w:t>et al., 1998). В его основе лежит концепция измерения качества жизни через субъективные самоотчеты (</w:t>
      </w:r>
      <w:r>
        <w:rPr>
          <w:i/>
        </w:rPr>
        <w:t>Gerin </w:t>
      </w:r>
      <w:r>
        <w:rPr/>
        <w:t>et al.,1992), подчеркивающая значимость внутренних переживаний для субъективного благополучия.</w:t>
      </w:r>
    </w:p>
    <w:p>
      <w:pPr>
        <w:pStyle w:val="Heading4"/>
        <w:spacing w:before="242"/>
        <w:jc w:val="left"/>
      </w:pPr>
      <w:r>
        <w:rPr/>
        <w:t>Авторы</w:t>
      </w:r>
      <w:r>
        <w:rPr>
          <w:spacing w:val="-11"/>
        </w:rPr>
        <w:t> </w:t>
      </w:r>
      <w:r>
        <w:rPr/>
        <w:t>методики</w:t>
      </w:r>
      <w:r>
        <w:rPr>
          <w:spacing w:val="-10"/>
        </w:rPr>
        <w:t> </w:t>
      </w:r>
      <w:r>
        <w:rPr/>
        <w:t>РДСБ</w:t>
      </w:r>
      <w:r>
        <w:rPr>
          <w:spacing w:val="-11"/>
        </w:rPr>
        <w:t> </w:t>
      </w:r>
      <w:r>
        <w:rPr/>
        <w:t>подготовили</w:t>
      </w:r>
      <w:r>
        <w:rPr>
          <w:spacing w:val="-11"/>
        </w:rPr>
        <w:t> </w:t>
      </w:r>
      <w:r>
        <w:rPr/>
        <w:t>рисунки,</w:t>
      </w:r>
      <w:r>
        <w:rPr>
          <w:spacing w:val="-12"/>
        </w:rPr>
        <w:t> </w:t>
      </w:r>
      <w:r>
        <w:rPr/>
        <w:t>соответствующие</w:t>
      </w:r>
      <w:r>
        <w:rPr>
          <w:spacing w:val="-11"/>
        </w:rPr>
        <w:t> </w:t>
      </w:r>
      <w:r>
        <w:rPr/>
        <w:t>контексту</w:t>
      </w:r>
      <w:r>
        <w:rPr>
          <w:spacing w:val="-15"/>
        </w:rPr>
        <w:t> </w:t>
      </w:r>
      <w:r>
        <w:rPr/>
        <w:t>ее применения</w:t>
      </w:r>
      <w:r>
        <w:rPr>
          <w:spacing w:val="24"/>
        </w:rPr>
        <w:t> </w:t>
      </w:r>
      <w:r>
        <w:rPr/>
        <w:t>с</w:t>
      </w:r>
      <w:r>
        <w:rPr>
          <w:spacing w:val="25"/>
        </w:rPr>
        <w:t> </w:t>
      </w:r>
      <w:r>
        <w:rPr/>
        <w:t>детьми-мигрантами</w:t>
      </w:r>
      <w:r>
        <w:rPr>
          <w:spacing w:val="27"/>
        </w:rPr>
        <w:t> </w:t>
      </w:r>
      <w:r>
        <w:rPr/>
        <w:t>в</w:t>
      </w:r>
      <w:r>
        <w:rPr>
          <w:spacing w:val="24"/>
        </w:rPr>
        <w:t> </w:t>
      </w:r>
      <w:r>
        <w:rPr/>
        <w:t>России,</w:t>
      </w:r>
      <w:r>
        <w:rPr>
          <w:spacing w:val="24"/>
        </w:rPr>
        <w:t> </w:t>
      </w:r>
      <w:r>
        <w:rPr/>
        <w:t>а</w:t>
      </w:r>
      <w:r>
        <w:rPr>
          <w:spacing w:val="26"/>
        </w:rPr>
        <w:t> </w:t>
      </w:r>
      <w:r>
        <w:rPr/>
        <w:t>также</w:t>
      </w:r>
      <w:r>
        <w:rPr>
          <w:spacing w:val="26"/>
        </w:rPr>
        <w:t> </w:t>
      </w:r>
      <w:r>
        <w:rPr/>
        <w:t>сформулировали</w:t>
      </w:r>
      <w:r>
        <w:rPr>
          <w:spacing w:val="27"/>
        </w:rPr>
        <w:t> </w:t>
      </w:r>
      <w:r>
        <w:rPr>
          <w:spacing w:val="-2"/>
        </w:rPr>
        <w:t>шесть</w:t>
      </w:r>
    </w:p>
    <w:p>
      <w:pPr>
        <w:pStyle w:val="Heading4"/>
        <w:spacing w:after="0"/>
        <w:jc w:val="left"/>
        <w:sectPr>
          <w:pgSz w:w="11910" w:h="16840"/>
          <w:pgMar w:header="0" w:footer="970" w:top="1040" w:bottom="1220" w:left="1417" w:right="283"/>
        </w:sectPr>
      </w:pPr>
    </w:p>
    <w:p>
      <w:pPr>
        <w:pStyle w:val="Heading4"/>
        <w:spacing w:line="242" w:lineRule="auto" w:before="67"/>
        <w:ind w:right="566"/>
      </w:pPr>
      <w:r>
        <w:rPr/>
        <w:t>утверждений, наиболее релевантных ее задачам, учитывая скрининговый характер диагностики.</w:t>
      </w:r>
    </w:p>
    <w:p>
      <w:pPr>
        <w:pStyle w:val="Heading4"/>
        <w:spacing w:before="236"/>
        <w:ind w:right="571"/>
      </w:pPr>
      <w:r>
        <w:rPr/>
        <w:t>Методика изначально разработана для использования в русскоязычном контексте, поэтому не требует специальной лингвистической адаптации.</w:t>
      </w:r>
    </w:p>
    <w:p>
      <w:pPr>
        <w:pStyle w:val="Heading4"/>
        <w:spacing w:before="239"/>
        <w:ind w:right="563"/>
      </w:pPr>
      <w:r>
        <w:rPr/>
        <w:t>В 2022 г. методика была адаптирована для детей — иностранных граждан в рамках апробации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 (N = 327). Методика показала достаточную степень внутренней согласованности (альфа Кронбаха 0.622).</w:t>
      </w:r>
    </w:p>
    <w:p>
      <w:pPr>
        <w:pStyle w:val="Heading4"/>
        <w:spacing w:before="241"/>
        <w:ind w:right="560"/>
      </w:pPr>
      <w:r>
        <w:rPr/>
        <w:t>В исследовании обнаружены предсказуемые корреляции со следующими шкалами иных методик: с многомерной шкалой удовлетворенности жизнью школьников — методика ШУДЖИ (0.594, P&lt;0.01); значимые отрицательные корреляции с опросником Ахенбаха, а именно с такими субшкалами, как Проблемы интернализации (-0.381, P&lt;0.01), Тревожность-депрессивность (- 0.375, P&lt;0.01) и делинквентность (-0.375, P&lt;0.01). Приведенные данные доказывают внешнюю валидность методики при диагностике детей — иностранных граждан.</w:t>
      </w:r>
    </w:p>
    <w:p>
      <w:pPr>
        <w:pStyle w:val="Heading4"/>
        <w:spacing w:after="0"/>
        <w:sectPr>
          <w:pgSz w:w="11910" w:h="16840"/>
          <w:pgMar w:header="0" w:footer="970" w:top="1040" w:bottom="1220" w:left="1417" w:right="283"/>
        </w:sectPr>
      </w:pPr>
    </w:p>
    <w:p>
      <w:pPr>
        <w:pStyle w:val="Heading3"/>
        <w:ind w:left="5299"/>
        <w:jc w:val="left"/>
      </w:pPr>
      <w:r>
        <w:rPr/>
        <w:t>Приложение</w:t>
      </w:r>
      <w:r>
        <w:rPr>
          <w:spacing w:val="-7"/>
        </w:rPr>
        <w:t> </w:t>
      </w:r>
      <w:r>
        <w:rPr/>
        <w:t>2.</w:t>
      </w:r>
      <w:r>
        <w:rPr>
          <w:spacing w:val="-4"/>
        </w:rPr>
        <w:t> </w:t>
      </w:r>
      <w:r>
        <w:rPr/>
        <w:t>Бланк-</w:t>
      </w:r>
      <w:r>
        <w:rPr>
          <w:spacing w:val="-2"/>
        </w:rPr>
        <w:t>инструкция</w:t>
      </w:r>
    </w:p>
    <w:p>
      <w:pPr>
        <w:pStyle w:val="BodyText"/>
        <w:ind w:left="0" w:right="0" w:firstLine="0"/>
        <w:jc w:val="left"/>
        <w:rPr>
          <w:b/>
          <w:i/>
          <w:sz w:val="28"/>
        </w:rPr>
      </w:pPr>
    </w:p>
    <w:p>
      <w:pPr>
        <w:pStyle w:val="BodyText"/>
        <w:spacing w:before="71"/>
        <w:ind w:left="0" w:right="0" w:firstLine="0"/>
        <w:jc w:val="left"/>
        <w:rPr>
          <w:b/>
          <w:i/>
          <w:sz w:val="28"/>
        </w:rPr>
      </w:pPr>
    </w:p>
    <w:p>
      <w:pPr>
        <w:spacing w:before="1"/>
        <w:ind w:left="285" w:right="0" w:firstLine="0"/>
        <w:jc w:val="left"/>
        <w:rPr>
          <w:b/>
          <w:sz w:val="28"/>
        </w:rPr>
      </w:pPr>
      <w:r>
        <w:rPr>
          <w:b/>
          <w:sz w:val="28"/>
        </w:rPr>
        <w:t>Заполняется</w:t>
      </w:r>
      <w:r>
        <w:rPr>
          <w:b/>
          <w:spacing w:val="-7"/>
          <w:sz w:val="28"/>
        </w:rPr>
        <w:t> </w:t>
      </w:r>
      <w:r>
        <w:rPr>
          <w:b/>
          <w:sz w:val="28"/>
        </w:rPr>
        <w:t>психологом</w:t>
      </w:r>
      <w:r>
        <w:rPr>
          <w:b/>
          <w:spacing w:val="-4"/>
          <w:sz w:val="28"/>
        </w:rPr>
        <w:t> </w:t>
      </w:r>
      <w:r>
        <w:rPr>
          <w:b/>
          <w:sz w:val="28"/>
        </w:rPr>
        <w:t>в</w:t>
      </w:r>
      <w:r>
        <w:rPr>
          <w:b/>
          <w:spacing w:val="-7"/>
          <w:sz w:val="28"/>
        </w:rPr>
        <w:t> </w:t>
      </w:r>
      <w:r>
        <w:rPr>
          <w:b/>
          <w:sz w:val="28"/>
        </w:rPr>
        <w:t>беседе</w:t>
      </w:r>
      <w:r>
        <w:rPr>
          <w:b/>
          <w:spacing w:val="-4"/>
          <w:sz w:val="28"/>
        </w:rPr>
        <w:t> </w:t>
      </w:r>
      <w:r>
        <w:rPr>
          <w:b/>
          <w:sz w:val="28"/>
        </w:rPr>
        <w:t>с</w:t>
      </w:r>
      <w:r>
        <w:rPr>
          <w:b/>
          <w:spacing w:val="-4"/>
          <w:sz w:val="28"/>
        </w:rPr>
        <w:t> </w:t>
      </w:r>
      <w:r>
        <w:rPr>
          <w:b/>
          <w:spacing w:val="-2"/>
          <w:sz w:val="28"/>
        </w:rPr>
        <w:t>ребенком</w:t>
      </w: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spacing w:before="114"/>
        <w:ind w:left="0" w:right="0" w:firstLine="0"/>
        <w:jc w:val="left"/>
        <w:rPr>
          <w:b/>
        </w:rPr>
      </w:pPr>
      <w:r>
        <w:rPr>
          <w:b/>
        </w:rPr>
        <w:drawing>
          <wp:anchor distT="0" distB="0" distL="0" distR="0" allowOverlap="1" layoutInCell="1" locked="0" behindDoc="1" simplePos="0" relativeHeight="487594496">
            <wp:simplePos x="0" y="0"/>
            <wp:positionH relativeFrom="page">
              <wp:posOffset>1291507</wp:posOffset>
            </wp:positionH>
            <wp:positionV relativeFrom="paragraph">
              <wp:posOffset>233694</wp:posOffset>
            </wp:positionV>
            <wp:extent cx="5716450" cy="960691"/>
            <wp:effectExtent l="0" t="0" r="0" b="0"/>
            <wp:wrapTopAndBottom/>
            <wp:docPr id="27" name="Image 27"/>
            <wp:cNvGraphicFramePr>
              <a:graphicFrameLocks/>
            </wp:cNvGraphicFramePr>
            <a:graphic>
              <a:graphicData uri="http://schemas.openxmlformats.org/drawingml/2006/picture">
                <pic:pic>
                  <pic:nvPicPr>
                    <pic:cNvPr id="27" name="Image 27"/>
                    <pic:cNvPicPr/>
                  </pic:nvPicPr>
                  <pic:blipFill>
                    <a:blip r:embed="rId43" cstate="print"/>
                    <a:stretch>
                      <a:fillRect/>
                    </a:stretch>
                  </pic:blipFill>
                  <pic:spPr>
                    <a:xfrm>
                      <a:off x="0" y="0"/>
                      <a:ext cx="5716450" cy="960691"/>
                    </a:xfrm>
                    <a:prstGeom prst="rect">
                      <a:avLst/>
                    </a:prstGeom>
                  </pic:spPr>
                </pic:pic>
              </a:graphicData>
            </a:graphic>
          </wp:anchor>
        </w:drawing>
      </w:r>
    </w:p>
    <w:p>
      <w:pPr>
        <w:pStyle w:val="BodyText"/>
        <w:spacing w:before="196"/>
        <w:ind w:left="0" w:right="0" w:firstLine="0"/>
        <w:jc w:val="left"/>
        <w:rPr>
          <w:b/>
        </w:rPr>
      </w:pPr>
    </w:p>
    <w:tbl>
      <w:tblPr>
        <w:tblW w:w="0" w:type="auto"/>
        <w:jc w:val="left"/>
        <w:tblInd w:w="1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85"/>
        <w:gridCol w:w="2330"/>
        <w:gridCol w:w="2347"/>
        <w:gridCol w:w="1302"/>
      </w:tblGrid>
      <w:tr>
        <w:trPr>
          <w:trHeight w:val="313" w:hRule="atLeast"/>
        </w:trPr>
        <w:tc>
          <w:tcPr>
            <w:tcW w:w="1285" w:type="dxa"/>
          </w:tcPr>
          <w:p>
            <w:pPr>
              <w:pStyle w:val="TableParagraph"/>
              <w:spacing w:line="293" w:lineRule="exact"/>
              <w:ind w:left="50"/>
              <w:rPr>
                <w:b/>
                <w:sz w:val="28"/>
              </w:rPr>
            </w:pPr>
            <w:r>
              <w:rPr>
                <w:b/>
                <w:spacing w:val="-10"/>
                <w:sz w:val="28"/>
              </w:rPr>
              <w:t>1</w:t>
            </w:r>
          </w:p>
        </w:tc>
        <w:tc>
          <w:tcPr>
            <w:tcW w:w="2330" w:type="dxa"/>
          </w:tcPr>
          <w:p>
            <w:pPr>
              <w:pStyle w:val="TableParagraph"/>
              <w:spacing w:line="293" w:lineRule="exact"/>
              <w:jc w:val="center"/>
              <w:rPr>
                <w:b/>
                <w:i/>
                <w:sz w:val="28"/>
              </w:rPr>
            </w:pPr>
            <w:r>
              <w:rPr>
                <w:b/>
                <w:i/>
                <w:spacing w:val="-10"/>
                <w:sz w:val="28"/>
              </w:rPr>
              <w:t>2</w:t>
            </w:r>
          </w:p>
        </w:tc>
        <w:tc>
          <w:tcPr>
            <w:tcW w:w="2347" w:type="dxa"/>
          </w:tcPr>
          <w:p>
            <w:pPr>
              <w:pStyle w:val="TableParagraph"/>
              <w:spacing w:line="293" w:lineRule="exact"/>
              <w:ind w:right="15"/>
              <w:jc w:val="center"/>
              <w:rPr>
                <w:b/>
                <w:i/>
                <w:sz w:val="28"/>
              </w:rPr>
            </w:pPr>
            <w:r>
              <w:rPr>
                <w:b/>
                <w:i/>
                <w:spacing w:val="-10"/>
                <w:sz w:val="28"/>
              </w:rPr>
              <w:t>3</w:t>
            </w:r>
          </w:p>
        </w:tc>
        <w:tc>
          <w:tcPr>
            <w:tcW w:w="1302" w:type="dxa"/>
          </w:tcPr>
          <w:p>
            <w:pPr>
              <w:pStyle w:val="TableParagraph"/>
              <w:spacing w:line="293" w:lineRule="exact"/>
              <w:ind w:right="51"/>
              <w:jc w:val="right"/>
              <w:rPr>
                <w:b/>
                <w:i/>
                <w:sz w:val="28"/>
              </w:rPr>
            </w:pPr>
            <w:r>
              <w:rPr>
                <w:b/>
                <w:i/>
                <w:spacing w:val="-10"/>
                <w:sz w:val="28"/>
              </w:rPr>
              <w:t>4</w:t>
            </w:r>
          </w:p>
        </w:tc>
      </w:tr>
    </w:tbl>
    <w:p>
      <w:pPr>
        <w:pStyle w:val="ListParagraph"/>
        <w:numPr>
          <w:ilvl w:val="0"/>
          <w:numId w:val="18"/>
        </w:numPr>
        <w:tabs>
          <w:tab w:pos="645" w:val="left" w:leader="none"/>
        </w:tabs>
        <w:spacing w:line="240" w:lineRule="auto" w:before="226" w:after="0"/>
        <w:ind w:left="645" w:right="565" w:hanging="360"/>
        <w:jc w:val="both"/>
        <w:rPr>
          <w:i/>
          <w:sz w:val="24"/>
        </w:rPr>
      </w:pPr>
      <w:r>
        <w:rPr>
          <w:i/>
          <w:sz w:val="24"/>
        </w:rPr>
        <w:t>Иногда мы очень печалимся, чувствуем себя плохо, нам грустно </w:t>
      </w:r>
      <w:r>
        <w:rPr>
          <w:sz w:val="24"/>
        </w:rPr>
        <w:t>(ведущий показывает на «грустное» лицо). </w:t>
      </w:r>
      <w:r>
        <w:rPr>
          <w:i/>
          <w:sz w:val="24"/>
        </w:rPr>
        <w:t>Иногда мы очень радуемся, чувствуем себя очень хорошо, нам весело </w:t>
      </w:r>
      <w:r>
        <w:rPr>
          <w:sz w:val="24"/>
        </w:rPr>
        <w:t>(показывает на «веселое»</w:t>
      </w:r>
      <w:r>
        <w:rPr>
          <w:spacing w:val="-5"/>
          <w:sz w:val="24"/>
        </w:rPr>
        <w:t> </w:t>
      </w:r>
      <w:r>
        <w:rPr>
          <w:sz w:val="24"/>
        </w:rPr>
        <w:t>лицо)</w:t>
      </w:r>
      <w:r>
        <w:rPr>
          <w:i/>
          <w:sz w:val="24"/>
        </w:rPr>
        <w:t>. Расскажи, когда и почему это бывает у тебя?</w:t>
      </w:r>
    </w:p>
    <w:p>
      <w:pPr>
        <w:pStyle w:val="ListParagraph"/>
        <w:numPr>
          <w:ilvl w:val="0"/>
          <w:numId w:val="18"/>
        </w:numPr>
        <w:tabs>
          <w:tab w:pos="645" w:val="left" w:leader="none"/>
        </w:tabs>
        <w:spacing w:line="237" w:lineRule="auto" w:before="17" w:after="0"/>
        <w:ind w:left="645" w:right="559" w:hanging="360"/>
        <w:jc w:val="both"/>
        <w:rPr>
          <w:sz w:val="24"/>
        </w:rPr>
      </w:pPr>
      <w:r>
        <w:rPr>
          <w:i/>
          <w:sz w:val="24"/>
        </w:rPr>
        <w:t>Иногда мы чуть-чуть печальны, нам немного грустно </w:t>
      </w:r>
      <w:r>
        <w:rPr>
          <w:sz w:val="24"/>
        </w:rPr>
        <w:t>(показывает на «чуть-чуть грустное»</w:t>
      </w:r>
      <w:r>
        <w:rPr>
          <w:spacing w:val="-11"/>
          <w:sz w:val="24"/>
        </w:rPr>
        <w:t> </w:t>
      </w:r>
      <w:r>
        <w:rPr>
          <w:sz w:val="24"/>
        </w:rPr>
        <w:t>лицо)</w:t>
      </w:r>
      <w:r>
        <w:rPr>
          <w:i/>
          <w:sz w:val="24"/>
        </w:rPr>
        <w:t>.</w:t>
      </w:r>
      <w:r>
        <w:rPr>
          <w:i/>
          <w:spacing w:val="-6"/>
          <w:sz w:val="24"/>
        </w:rPr>
        <w:t> </w:t>
      </w:r>
      <w:r>
        <w:rPr>
          <w:i/>
          <w:sz w:val="24"/>
        </w:rPr>
        <w:t>Иногда</w:t>
      </w:r>
      <w:r>
        <w:rPr>
          <w:i/>
          <w:spacing w:val="-6"/>
          <w:sz w:val="24"/>
        </w:rPr>
        <w:t> </w:t>
      </w:r>
      <w:r>
        <w:rPr>
          <w:i/>
          <w:sz w:val="24"/>
        </w:rPr>
        <w:t>мы</w:t>
      </w:r>
      <w:r>
        <w:rPr>
          <w:i/>
          <w:spacing w:val="-5"/>
          <w:sz w:val="24"/>
        </w:rPr>
        <w:t> </w:t>
      </w:r>
      <w:r>
        <w:rPr>
          <w:i/>
          <w:sz w:val="24"/>
        </w:rPr>
        <w:t>чуть-чуть</w:t>
      </w:r>
      <w:r>
        <w:rPr>
          <w:i/>
          <w:spacing w:val="-5"/>
          <w:sz w:val="24"/>
        </w:rPr>
        <w:t> </w:t>
      </w:r>
      <w:r>
        <w:rPr>
          <w:i/>
          <w:sz w:val="24"/>
        </w:rPr>
        <w:t>радуемся,</w:t>
      </w:r>
      <w:r>
        <w:rPr>
          <w:i/>
          <w:spacing w:val="-6"/>
          <w:sz w:val="24"/>
        </w:rPr>
        <w:t> </w:t>
      </w:r>
      <w:r>
        <w:rPr>
          <w:i/>
          <w:sz w:val="24"/>
        </w:rPr>
        <w:t>нам</w:t>
      </w:r>
      <w:r>
        <w:rPr>
          <w:i/>
          <w:spacing w:val="-5"/>
          <w:sz w:val="24"/>
        </w:rPr>
        <w:t> </w:t>
      </w:r>
      <w:r>
        <w:rPr>
          <w:i/>
          <w:sz w:val="24"/>
        </w:rPr>
        <w:t>чуть-чуть</w:t>
      </w:r>
      <w:r>
        <w:rPr>
          <w:i/>
          <w:spacing w:val="-5"/>
          <w:sz w:val="24"/>
        </w:rPr>
        <w:t> </w:t>
      </w:r>
      <w:r>
        <w:rPr>
          <w:i/>
          <w:sz w:val="24"/>
        </w:rPr>
        <w:t>весело</w:t>
      </w:r>
      <w:r>
        <w:rPr>
          <w:i/>
          <w:spacing w:val="-6"/>
          <w:sz w:val="24"/>
        </w:rPr>
        <w:t> </w:t>
      </w:r>
      <w:r>
        <w:rPr>
          <w:sz w:val="24"/>
        </w:rPr>
        <w:t>(показывает</w:t>
      </w:r>
      <w:r>
        <w:rPr>
          <w:spacing w:val="-5"/>
          <w:sz w:val="24"/>
        </w:rPr>
        <w:t> </w:t>
      </w:r>
      <w:r>
        <w:rPr>
          <w:sz w:val="24"/>
        </w:rPr>
        <w:t>на</w:t>
      </w:r>
    </w:p>
    <w:p>
      <w:pPr>
        <w:spacing w:before="1"/>
        <w:ind w:left="645" w:right="0" w:firstLine="0"/>
        <w:jc w:val="both"/>
        <w:rPr>
          <w:i/>
          <w:sz w:val="24"/>
        </w:rPr>
      </w:pPr>
      <w:r>
        <w:rPr>
          <w:sz w:val="24"/>
        </w:rPr>
        <w:t>«чуть-чуть</w:t>
      </w:r>
      <w:r>
        <w:rPr>
          <w:spacing w:val="-3"/>
          <w:sz w:val="24"/>
        </w:rPr>
        <w:t> </w:t>
      </w:r>
      <w:r>
        <w:rPr>
          <w:sz w:val="24"/>
        </w:rPr>
        <w:t>веселое»</w:t>
      </w:r>
      <w:r>
        <w:rPr>
          <w:spacing w:val="-7"/>
          <w:sz w:val="24"/>
        </w:rPr>
        <w:t> </w:t>
      </w:r>
      <w:r>
        <w:rPr>
          <w:sz w:val="24"/>
        </w:rPr>
        <w:t>лицо)</w:t>
      </w:r>
      <w:r>
        <w:rPr>
          <w:i/>
          <w:sz w:val="24"/>
        </w:rPr>
        <w:t>.</w:t>
      </w:r>
      <w:r>
        <w:rPr>
          <w:i/>
          <w:spacing w:val="-1"/>
          <w:sz w:val="24"/>
        </w:rPr>
        <w:t> </w:t>
      </w:r>
      <w:r>
        <w:rPr>
          <w:i/>
          <w:sz w:val="24"/>
        </w:rPr>
        <w:t>Расскажи,</w:t>
      </w:r>
      <w:r>
        <w:rPr>
          <w:i/>
          <w:spacing w:val="-2"/>
          <w:sz w:val="24"/>
        </w:rPr>
        <w:t> </w:t>
      </w:r>
      <w:r>
        <w:rPr>
          <w:i/>
          <w:sz w:val="24"/>
        </w:rPr>
        <w:t>когда</w:t>
      </w:r>
      <w:r>
        <w:rPr>
          <w:i/>
          <w:spacing w:val="-1"/>
          <w:sz w:val="24"/>
        </w:rPr>
        <w:t> </w:t>
      </w:r>
      <w:r>
        <w:rPr>
          <w:i/>
          <w:sz w:val="24"/>
        </w:rPr>
        <w:t>и</w:t>
      </w:r>
      <w:r>
        <w:rPr>
          <w:i/>
          <w:spacing w:val="-1"/>
          <w:sz w:val="24"/>
        </w:rPr>
        <w:t> </w:t>
      </w:r>
      <w:r>
        <w:rPr>
          <w:i/>
          <w:sz w:val="24"/>
        </w:rPr>
        <w:t>почему</w:t>
      </w:r>
      <w:r>
        <w:rPr>
          <w:i/>
          <w:spacing w:val="-2"/>
          <w:sz w:val="24"/>
        </w:rPr>
        <w:t> </w:t>
      </w:r>
      <w:r>
        <w:rPr>
          <w:i/>
          <w:sz w:val="24"/>
        </w:rPr>
        <w:t>это</w:t>
      </w:r>
      <w:r>
        <w:rPr>
          <w:i/>
          <w:spacing w:val="-1"/>
          <w:sz w:val="24"/>
        </w:rPr>
        <w:t> </w:t>
      </w:r>
      <w:r>
        <w:rPr>
          <w:i/>
          <w:sz w:val="24"/>
        </w:rPr>
        <w:t>бывает</w:t>
      </w:r>
      <w:r>
        <w:rPr>
          <w:i/>
          <w:spacing w:val="-2"/>
          <w:sz w:val="24"/>
        </w:rPr>
        <w:t> </w:t>
      </w:r>
      <w:r>
        <w:rPr>
          <w:i/>
          <w:sz w:val="24"/>
        </w:rPr>
        <w:t>у</w:t>
      </w:r>
      <w:r>
        <w:rPr>
          <w:i/>
          <w:spacing w:val="-3"/>
          <w:sz w:val="24"/>
        </w:rPr>
        <w:t> </w:t>
      </w:r>
      <w:r>
        <w:rPr>
          <w:i/>
          <w:spacing w:val="-2"/>
          <w:sz w:val="24"/>
        </w:rPr>
        <w:t>тебя?</w:t>
      </w:r>
    </w:p>
    <w:p>
      <w:pPr>
        <w:numPr>
          <w:ilvl w:val="0"/>
          <w:numId w:val="18"/>
        </w:numPr>
        <w:tabs>
          <w:tab w:pos="644" w:val="left" w:leader="none"/>
        </w:tabs>
        <w:spacing w:before="17"/>
        <w:ind w:left="644" w:right="0" w:hanging="359"/>
        <w:jc w:val="both"/>
        <w:rPr>
          <w:sz w:val="24"/>
        </w:rPr>
      </w:pPr>
      <w:r>
        <w:rPr>
          <w:sz w:val="24"/>
        </w:rPr>
        <w:t>Как</w:t>
      </w:r>
      <w:r>
        <w:rPr>
          <w:spacing w:val="-4"/>
          <w:sz w:val="24"/>
        </w:rPr>
        <w:t> </w:t>
      </w:r>
      <w:r>
        <w:rPr>
          <w:sz w:val="24"/>
        </w:rPr>
        <w:t>ты</w:t>
      </w:r>
      <w:r>
        <w:rPr>
          <w:spacing w:val="-3"/>
          <w:sz w:val="24"/>
        </w:rPr>
        <w:t> </w:t>
      </w:r>
      <w:r>
        <w:rPr>
          <w:sz w:val="24"/>
        </w:rPr>
        <w:t>себя</w:t>
      </w:r>
      <w:r>
        <w:rPr>
          <w:spacing w:val="-2"/>
          <w:sz w:val="24"/>
        </w:rPr>
        <w:t> </w:t>
      </w:r>
      <w:r>
        <w:rPr>
          <w:sz w:val="24"/>
        </w:rPr>
        <w:t>чувствуешь,</w:t>
      </w:r>
      <w:r>
        <w:rPr>
          <w:spacing w:val="-2"/>
          <w:sz w:val="24"/>
        </w:rPr>
        <w:t> </w:t>
      </w:r>
      <w:r>
        <w:rPr>
          <w:sz w:val="24"/>
        </w:rPr>
        <w:t>когда</w:t>
      </w:r>
      <w:r>
        <w:rPr>
          <w:spacing w:val="-2"/>
          <w:sz w:val="24"/>
        </w:rPr>
        <w:t> </w:t>
      </w:r>
      <w:r>
        <w:rPr>
          <w:sz w:val="24"/>
        </w:rPr>
        <w:t>смотришь</w:t>
      </w:r>
      <w:r>
        <w:rPr>
          <w:spacing w:val="-2"/>
          <w:sz w:val="24"/>
        </w:rPr>
        <w:t> мультфильмы?</w:t>
      </w:r>
    </w:p>
    <w:p>
      <w:pPr>
        <w:numPr>
          <w:ilvl w:val="0"/>
          <w:numId w:val="18"/>
        </w:numPr>
        <w:tabs>
          <w:tab w:pos="644" w:val="left" w:leader="none"/>
        </w:tabs>
        <w:spacing w:before="15"/>
        <w:ind w:left="644" w:right="0" w:hanging="359"/>
        <w:jc w:val="both"/>
        <w:rPr>
          <w:sz w:val="24"/>
        </w:rPr>
      </w:pPr>
      <w:r>
        <w:rPr>
          <w:sz w:val="24"/>
        </w:rPr>
        <w:t>Как</w:t>
      </w:r>
      <w:r>
        <w:rPr>
          <w:spacing w:val="-2"/>
          <w:sz w:val="24"/>
        </w:rPr>
        <w:t> </w:t>
      </w:r>
      <w:r>
        <w:rPr>
          <w:sz w:val="24"/>
        </w:rPr>
        <w:t>ты</w:t>
      </w:r>
      <w:r>
        <w:rPr>
          <w:spacing w:val="-2"/>
          <w:sz w:val="24"/>
        </w:rPr>
        <w:t> </w:t>
      </w:r>
      <w:r>
        <w:rPr>
          <w:sz w:val="24"/>
        </w:rPr>
        <w:t>себя</w:t>
      </w:r>
      <w:r>
        <w:rPr>
          <w:spacing w:val="-1"/>
          <w:sz w:val="24"/>
        </w:rPr>
        <w:t> </w:t>
      </w:r>
      <w:r>
        <w:rPr>
          <w:sz w:val="24"/>
        </w:rPr>
        <w:t>чувствуешь,</w:t>
      </w:r>
      <w:r>
        <w:rPr>
          <w:spacing w:val="-2"/>
          <w:sz w:val="24"/>
        </w:rPr>
        <w:t> </w:t>
      </w:r>
      <w:r>
        <w:rPr>
          <w:sz w:val="24"/>
        </w:rPr>
        <w:t>когда</w:t>
      </w:r>
      <w:r>
        <w:rPr>
          <w:spacing w:val="-3"/>
          <w:sz w:val="24"/>
        </w:rPr>
        <w:t> </w:t>
      </w:r>
      <w:r>
        <w:rPr>
          <w:sz w:val="24"/>
        </w:rPr>
        <w:t>играешь</w:t>
      </w:r>
      <w:r>
        <w:rPr>
          <w:spacing w:val="-1"/>
          <w:sz w:val="24"/>
        </w:rPr>
        <w:t> </w:t>
      </w:r>
      <w:r>
        <w:rPr>
          <w:sz w:val="24"/>
        </w:rPr>
        <w:t>в</w:t>
      </w:r>
      <w:r>
        <w:rPr>
          <w:spacing w:val="-3"/>
          <w:sz w:val="24"/>
        </w:rPr>
        <w:t> </w:t>
      </w:r>
      <w:r>
        <w:rPr>
          <w:sz w:val="24"/>
        </w:rPr>
        <w:t>любимые</w:t>
      </w:r>
      <w:r>
        <w:rPr>
          <w:spacing w:val="-3"/>
          <w:sz w:val="24"/>
        </w:rPr>
        <w:t> </w:t>
      </w:r>
      <w:r>
        <w:rPr>
          <w:spacing w:val="-2"/>
          <w:sz w:val="24"/>
        </w:rPr>
        <w:t>игры?</w:t>
      </w:r>
    </w:p>
    <w:p>
      <w:pPr>
        <w:pStyle w:val="BodyText"/>
        <w:spacing w:before="51"/>
        <w:ind w:left="0" w:right="0" w:firstLine="0"/>
        <w:jc w:val="left"/>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39"/>
        <w:gridCol w:w="1277"/>
        <w:gridCol w:w="1277"/>
        <w:gridCol w:w="1278"/>
        <w:gridCol w:w="1277"/>
      </w:tblGrid>
      <w:tr>
        <w:trPr>
          <w:trHeight w:val="755" w:hRule="atLeast"/>
        </w:trPr>
        <w:tc>
          <w:tcPr>
            <w:tcW w:w="4539" w:type="dxa"/>
          </w:tcPr>
          <w:p>
            <w:pPr>
              <w:pStyle w:val="TableParagraph"/>
              <w:rPr>
                <w:sz w:val="24"/>
              </w:rPr>
            </w:pPr>
          </w:p>
        </w:tc>
        <w:tc>
          <w:tcPr>
            <w:tcW w:w="5109" w:type="dxa"/>
            <w:gridSpan w:val="4"/>
          </w:tcPr>
          <w:p>
            <w:pPr>
              <w:pStyle w:val="TableParagraph"/>
              <w:spacing w:before="99"/>
              <w:ind w:left="1123" w:right="713" w:hanging="411"/>
              <w:rPr>
                <w:b/>
                <w:sz w:val="24"/>
              </w:rPr>
            </w:pPr>
            <w:r>
              <w:rPr>
                <w:b/>
                <w:sz w:val="24"/>
              </w:rPr>
              <w:t>Обводим</w:t>
            </w:r>
            <w:r>
              <w:rPr>
                <w:b/>
                <w:spacing w:val="-13"/>
                <w:sz w:val="24"/>
              </w:rPr>
              <w:t> </w:t>
            </w:r>
            <w:r>
              <w:rPr>
                <w:b/>
                <w:sz w:val="24"/>
              </w:rPr>
              <w:t>номер</w:t>
            </w:r>
            <w:r>
              <w:rPr>
                <w:b/>
                <w:spacing w:val="-12"/>
                <w:sz w:val="24"/>
              </w:rPr>
              <w:t> </w:t>
            </w:r>
            <w:r>
              <w:rPr>
                <w:b/>
                <w:sz w:val="24"/>
              </w:rPr>
              <w:t>выбранного</w:t>
            </w:r>
            <w:r>
              <w:rPr>
                <w:b/>
                <w:spacing w:val="-12"/>
                <w:sz w:val="24"/>
              </w:rPr>
              <w:t> </w:t>
            </w:r>
            <w:r>
              <w:rPr>
                <w:b/>
                <w:sz w:val="24"/>
              </w:rPr>
              <w:t>лица в ответ на каждый вопрос</w:t>
            </w:r>
          </w:p>
        </w:tc>
      </w:tr>
      <w:tr>
        <w:trPr>
          <w:trHeight w:val="625" w:hRule="atLeast"/>
        </w:trPr>
        <w:tc>
          <w:tcPr>
            <w:tcW w:w="4539" w:type="dxa"/>
          </w:tcPr>
          <w:p>
            <w:pPr>
              <w:pStyle w:val="TableParagraph"/>
              <w:spacing w:before="30"/>
              <w:ind w:left="103" w:right="161"/>
              <w:rPr>
                <w:sz w:val="24"/>
              </w:rPr>
            </w:pPr>
            <w:r>
              <w:rPr>
                <w:sz w:val="24"/>
              </w:rPr>
              <w:t>Как</w:t>
            </w:r>
            <w:r>
              <w:rPr>
                <w:spacing w:val="-7"/>
                <w:sz w:val="24"/>
              </w:rPr>
              <w:t> </w:t>
            </w:r>
            <w:r>
              <w:rPr>
                <w:sz w:val="24"/>
              </w:rPr>
              <w:t>ты</w:t>
            </w:r>
            <w:r>
              <w:rPr>
                <w:spacing w:val="-7"/>
                <w:sz w:val="24"/>
              </w:rPr>
              <w:t> </w:t>
            </w:r>
            <w:r>
              <w:rPr>
                <w:sz w:val="24"/>
              </w:rPr>
              <w:t>себя</w:t>
            </w:r>
            <w:r>
              <w:rPr>
                <w:spacing w:val="-7"/>
                <w:sz w:val="24"/>
              </w:rPr>
              <w:t> </w:t>
            </w:r>
            <w:r>
              <w:rPr>
                <w:sz w:val="24"/>
              </w:rPr>
              <w:t>чувствуешь,</w:t>
            </w:r>
            <w:r>
              <w:rPr>
                <w:spacing w:val="-7"/>
                <w:sz w:val="24"/>
              </w:rPr>
              <w:t> </w:t>
            </w:r>
            <w:r>
              <w:rPr>
                <w:sz w:val="24"/>
              </w:rPr>
              <w:t>когда</w:t>
            </w:r>
            <w:r>
              <w:rPr>
                <w:spacing w:val="-8"/>
                <w:sz w:val="24"/>
              </w:rPr>
              <w:t> </w:t>
            </w:r>
            <w:r>
              <w:rPr>
                <w:sz w:val="24"/>
              </w:rPr>
              <w:t>ты</w:t>
            </w:r>
            <w:r>
              <w:rPr>
                <w:spacing w:val="-7"/>
                <w:sz w:val="24"/>
              </w:rPr>
              <w:t> </w:t>
            </w:r>
            <w:r>
              <w:rPr>
                <w:sz w:val="24"/>
              </w:rPr>
              <w:t>с </w:t>
            </w:r>
            <w:r>
              <w:rPr>
                <w:spacing w:val="-2"/>
                <w:sz w:val="24"/>
              </w:rPr>
              <w:t>друзьями?</w:t>
            </w:r>
          </w:p>
        </w:tc>
        <w:tc>
          <w:tcPr>
            <w:tcW w:w="1277" w:type="dxa"/>
          </w:tcPr>
          <w:p>
            <w:pPr>
              <w:pStyle w:val="TableParagraph"/>
              <w:spacing w:before="167"/>
              <w:ind w:left="148" w:right="148"/>
              <w:jc w:val="center"/>
              <w:rPr>
                <w:sz w:val="24"/>
              </w:rPr>
            </w:pPr>
            <w:r>
              <w:rPr>
                <w:spacing w:val="-10"/>
                <w:sz w:val="24"/>
              </w:rPr>
              <w:t>1</w:t>
            </w:r>
          </w:p>
        </w:tc>
        <w:tc>
          <w:tcPr>
            <w:tcW w:w="1277" w:type="dxa"/>
          </w:tcPr>
          <w:p>
            <w:pPr>
              <w:pStyle w:val="TableParagraph"/>
              <w:spacing w:before="167"/>
              <w:ind w:left="148" w:right="148"/>
              <w:jc w:val="center"/>
              <w:rPr>
                <w:sz w:val="24"/>
              </w:rPr>
            </w:pPr>
            <w:r>
              <w:rPr>
                <w:spacing w:val="-10"/>
                <w:sz w:val="24"/>
              </w:rPr>
              <w:t>2</w:t>
            </w:r>
          </w:p>
        </w:tc>
        <w:tc>
          <w:tcPr>
            <w:tcW w:w="1278" w:type="dxa"/>
          </w:tcPr>
          <w:p>
            <w:pPr>
              <w:pStyle w:val="TableParagraph"/>
              <w:spacing w:before="167"/>
              <w:jc w:val="center"/>
              <w:rPr>
                <w:sz w:val="24"/>
              </w:rPr>
            </w:pPr>
            <w:r>
              <w:rPr>
                <w:spacing w:val="-10"/>
                <w:sz w:val="24"/>
              </w:rPr>
              <w:t>3</w:t>
            </w:r>
          </w:p>
        </w:tc>
        <w:tc>
          <w:tcPr>
            <w:tcW w:w="1277" w:type="dxa"/>
          </w:tcPr>
          <w:p>
            <w:pPr>
              <w:pStyle w:val="TableParagraph"/>
              <w:spacing w:before="167"/>
              <w:ind w:right="1"/>
              <w:jc w:val="center"/>
              <w:rPr>
                <w:sz w:val="24"/>
              </w:rPr>
            </w:pPr>
            <w:r>
              <w:rPr>
                <w:spacing w:val="-10"/>
                <w:sz w:val="24"/>
              </w:rPr>
              <w:t>4</w:t>
            </w:r>
          </w:p>
        </w:tc>
      </w:tr>
      <w:tr>
        <w:trPr>
          <w:trHeight w:val="623" w:hRule="atLeast"/>
        </w:trPr>
        <w:tc>
          <w:tcPr>
            <w:tcW w:w="4539" w:type="dxa"/>
          </w:tcPr>
          <w:p>
            <w:pPr>
              <w:pStyle w:val="TableParagraph"/>
              <w:spacing w:before="27"/>
              <w:ind w:left="103" w:right="161"/>
              <w:rPr>
                <w:sz w:val="24"/>
              </w:rPr>
            </w:pPr>
            <w:r>
              <w:rPr>
                <w:sz w:val="24"/>
              </w:rPr>
              <w:t>Как</w:t>
            </w:r>
            <w:r>
              <w:rPr>
                <w:spacing w:val="-9"/>
                <w:sz w:val="24"/>
              </w:rPr>
              <w:t> </w:t>
            </w:r>
            <w:r>
              <w:rPr>
                <w:sz w:val="24"/>
              </w:rPr>
              <w:t>ты</w:t>
            </w:r>
            <w:r>
              <w:rPr>
                <w:spacing w:val="-9"/>
                <w:sz w:val="24"/>
              </w:rPr>
              <w:t> </w:t>
            </w:r>
            <w:r>
              <w:rPr>
                <w:sz w:val="24"/>
              </w:rPr>
              <w:t>себя</w:t>
            </w:r>
            <w:r>
              <w:rPr>
                <w:spacing w:val="-9"/>
                <w:sz w:val="24"/>
              </w:rPr>
              <w:t> </w:t>
            </w:r>
            <w:r>
              <w:rPr>
                <w:sz w:val="24"/>
              </w:rPr>
              <w:t>чувствуешь,</w:t>
            </w:r>
            <w:r>
              <w:rPr>
                <w:spacing w:val="-9"/>
                <w:sz w:val="24"/>
              </w:rPr>
              <w:t> </w:t>
            </w:r>
            <w:r>
              <w:rPr>
                <w:sz w:val="24"/>
              </w:rPr>
              <w:t>когда</w:t>
            </w:r>
            <w:r>
              <w:rPr>
                <w:spacing w:val="-8"/>
                <w:sz w:val="24"/>
              </w:rPr>
              <w:t> </w:t>
            </w:r>
            <w:r>
              <w:rPr>
                <w:sz w:val="24"/>
              </w:rPr>
              <w:t>учитель тебя о чем-то спрашивает?</w:t>
            </w:r>
          </w:p>
        </w:tc>
        <w:tc>
          <w:tcPr>
            <w:tcW w:w="1277" w:type="dxa"/>
          </w:tcPr>
          <w:p>
            <w:pPr>
              <w:pStyle w:val="TableParagraph"/>
              <w:spacing w:before="164"/>
              <w:ind w:left="148" w:right="148"/>
              <w:jc w:val="center"/>
              <w:rPr>
                <w:sz w:val="24"/>
              </w:rPr>
            </w:pPr>
            <w:r>
              <w:rPr>
                <w:spacing w:val="-10"/>
                <w:sz w:val="24"/>
              </w:rPr>
              <w:t>1</w:t>
            </w:r>
          </w:p>
        </w:tc>
        <w:tc>
          <w:tcPr>
            <w:tcW w:w="1277" w:type="dxa"/>
          </w:tcPr>
          <w:p>
            <w:pPr>
              <w:pStyle w:val="TableParagraph"/>
              <w:spacing w:before="164"/>
              <w:ind w:left="148" w:right="148"/>
              <w:jc w:val="center"/>
              <w:rPr>
                <w:sz w:val="24"/>
              </w:rPr>
            </w:pPr>
            <w:r>
              <w:rPr>
                <w:spacing w:val="-10"/>
                <w:sz w:val="24"/>
              </w:rPr>
              <w:t>2</w:t>
            </w:r>
          </w:p>
        </w:tc>
        <w:tc>
          <w:tcPr>
            <w:tcW w:w="1278" w:type="dxa"/>
          </w:tcPr>
          <w:p>
            <w:pPr>
              <w:pStyle w:val="TableParagraph"/>
              <w:spacing w:before="164"/>
              <w:jc w:val="center"/>
              <w:rPr>
                <w:sz w:val="24"/>
              </w:rPr>
            </w:pPr>
            <w:r>
              <w:rPr>
                <w:spacing w:val="-10"/>
                <w:sz w:val="24"/>
              </w:rPr>
              <w:t>3</w:t>
            </w:r>
          </w:p>
        </w:tc>
        <w:tc>
          <w:tcPr>
            <w:tcW w:w="1277" w:type="dxa"/>
          </w:tcPr>
          <w:p>
            <w:pPr>
              <w:pStyle w:val="TableParagraph"/>
              <w:spacing w:before="164"/>
              <w:ind w:right="1"/>
              <w:jc w:val="center"/>
              <w:rPr>
                <w:sz w:val="24"/>
              </w:rPr>
            </w:pPr>
            <w:r>
              <w:rPr>
                <w:spacing w:val="-10"/>
                <w:sz w:val="24"/>
              </w:rPr>
              <w:t>4</w:t>
            </w:r>
          </w:p>
        </w:tc>
      </w:tr>
      <w:tr>
        <w:trPr>
          <w:trHeight w:val="624" w:hRule="atLeast"/>
        </w:trPr>
        <w:tc>
          <w:tcPr>
            <w:tcW w:w="4539" w:type="dxa"/>
          </w:tcPr>
          <w:p>
            <w:pPr>
              <w:pStyle w:val="TableParagraph"/>
              <w:spacing w:before="27"/>
              <w:ind w:left="103" w:right="161"/>
              <w:rPr>
                <w:sz w:val="24"/>
              </w:rPr>
            </w:pPr>
            <w:r>
              <w:rPr>
                <w:sz w:val="24"/>
              </w:rPr>
              <w:t>Как</w:t>
            </w:r>
            <w:r>
              <w:rPr>
                <w:spacing w:val="-7"/>
                <w:sz w:val="24"/>
              </w:rPr>
              <w:t> </w:t>
            </w:r>
            <w:r>
              <w:rPr>
                <w:sz w:val="24"/>
              </w:rPr>
              <w:t>ты</w:t>
            </w:r>
            <w:r>
              <w:rPr>
                <w:spacing w:val="-7"/>
                <w:sz w:val="24"/>
              </w:rPr>
              <w:t> </w:t>
            </w:r>
            <w:r>
              <w:rPr>
                <w:sz w:val="24"/>
              </w:rPr>
              <w:t>себя</w:t>
            </w:r>
            <w:r>
              <w:rPr>
                <w:spacing w:val="-7"/>
                <w:sz w:val="24"/>
              </w:rPr>
              <w:t> </w:t>
            </w:r>
            <w:r>
              <w:rPr>
                <w:sz w:val="24"/>
              </w:rPr>
              <w:t>чувствуешь,</w:t>
            </w:r>
            <w:r>
              <w:rPr>
                <w:spacing w:val="-7"/>
                <w:sz w:val="24"/>
              </w:rPr>
              <w:t> </w:t>
            </w:r>
            <w:r>
              <w:rPr>
                <w:sz w:val="24"/>
              </w:rPr>
              <w:t>когда</w:t>
            </w:r>
            <w:r>
              <w:rPr>
                <w:spacing w:val="-8"/>
                <w:sz w:val="24"/>
              </w:rPr>
              <w:t> </w:t>
            </w:r>
            <w:r>
              <w:rPr>
                <w:sz w:val="24"/>
              </w:rPr>
              <w:t>ты</w:t>
            </w:r>
            <w:r>
              <w:rPr>
                <w:spacing w:val="-7"/>
                <w:sz w:val="24"/>
              </w:rPr>
              <w:t> </w:t>
            </w:r>
            <w:r>
              <w:rPr>
                <w:sz w:val="24"/>
              </w:rPr>
              <w:t>вместе с мамой и/или папой?</w:t>
            </w:r>
          </w:p>
        </w:tc>
        <w:tc>
          <w:tcPr>
            <w:tcW w:w="1277" w:type="dxa"/>
          </w:tcPr>
          <w:p>
            <w:pPr>
              <w:pStyle w:val="TableParagraph"/>
              <w:spacing w:before="165"/>
              <w:ind w:left="148" w:right="148"/>
              <w:jc w:val="center"/>
              <w:rPr>
                <w:sz w:val="24"/>
              </w:rPr>
            </w:pPr>
            <w:r>
              <w:rPr>
                <w:spacing w:val="-10"/>
                <w:sz w:val="24"/>
              </w:rPr>
              <w:t>1</w:t>
            </w:r>
          </w:p>
        </w:tc>
        <w:tc>
          <w:tcPr>
            <w:tcW w:w="1277" w:type="dxa"/>
          </w:tcPr>
          <w:p>
            <w:pPr>
              <w:pStyle w:val="TableParagraph"/>
              <w:spacing w:before="165"/>
              <w:ind w:left="148" w:right="148"/>
              <w:jc w:val="center"/>
              <w:rPr>
                <w:sz w:val="24"/>
              </w:rPr>
            </w:pPr>
            <w:r>
              <w:rPr>
                <w:spacing w:val="-10"/>
                <w:sz w:val="24"/>
              </w:rPr>
              <w:t>2</w:t>
            </w:r>
          </w:p>
        </w:tc>
        <w:tc>
          <w:tcPr>
            <w:tcW w:w="1278" w:type="dxa"/>
          </w:tcPr>
          <w:p>
            <w:pPr>
              <w:pStyle w:val="TableParagraph"/>
              <w:spacing w:before="165"/>
              <w:jc w:val="center"/>
              <w:rPr>
                <w:sz w:val="24"/>
              </w:rPr>
            </w:pPr>
            <w:r>
              <w:rPr>
                <w:spacing w:val="-10"/>
                <w:sz w:val="24"/>
              </w:rPr>
              <w:t>3</w:t>
            </w:r>
          </w:p>
        </w:tc>
        <w:tc>
          <w:tcPr>
            <w:tcW w:w="1277" w:type="dxa"/>
          </w:tcPr>
          <w:p>
            <w:pPr>
              <w:pStyle w:val="TableParagraph"/>
              <w:spacing w:before="165"/>
              <w:ind w:right="1"/>
              <w:jc w:val="center"/>
              <w:rPr>
                <w:sz w:val="24"/>
              </w:rPr>
            </w:pPr>
            <w:r>
              <w:rPr>
                <w:spacing w:val="-10"/>
                <w:sz w:val="24"/>
              </w:rPr>
              <w:t>4</w:t>
            </w:r>
          </w:p>
        </w:tc>
      </w:tr>
      <w:tr>
        <w:trPr>
          <w:trHeight w:val="623" w:hRule="atLeast"/>
        </w:trPr>
        <w:tc>
          <w:tcPr>
            <w:tcW w:w="4539" w:type="dxa"/>
          </w:tcPr>
          <w:p>
            <w:pPr>
              <w:pStyle w:val="TableParagraph"/>
              <w:spacing w:before="27"/>
              <w:ind w:left="103" w:right="161"/>
              <w:rPr>
                <w:sz w:val="24"/>
              </w:rPr>
            </w:pPr>
            <w:r>
              <w:rPr>
                <w:sz w:val="24"/>
              </w:rPr>
              <w:t>Как</w:t>
            </w:r>
            <w:r>
              <w:rPr>
                <w:spacing w:val="-7"/>
                <w:sz w:val="24"/>
              </w:rPr>
              <w:t> </w:t>
            </w:r>
            <w:r>
              <w:rPr>
                <w:sz w:val="24"/>
              </w:rPr>
              <w:t>ты</w:t>
            </w:r>
            <w:r>
              <w:rPr>
                <w:spacing w:val="-7"/>
                <w:sz w:val="24"/>
              </w:rPr>
              <w:t> </w:t>
            </w:r>
            <w:r>
              <w:rPr>
                <w:sz w:val="24"/>
              </w:rPr>
              <w:t>себя</w:t>
            </w:r>
            <w:r>
              <w:rPr>
                <w:spacing w:val="-7"/>
                <w:sz w:val="24"/>
              </w:rPr>
              <w:t> </w:t>
            </w:r>
            <w:r>
              <w:rPr>
                <w:sz w:val="24"/>
              </w:rPr>
              <w:t>чувствуешь</w:t>
            </w:r>
            <w:r>
              <w:rPr>
                <w:spacing w:val="-7"/>
                <w:sz w:val="24"/>
              </w:rPr>
              <w:t> </w:t>
            </w:r>
            <w:r>
              <w:rPr>
                <w:sz w:val="24"/>
              </w:rPr>
              <w:t>в</w:t>
            </w:r>
            <w:r>
              <w:rPr>
                <w:spacing w:val="-8"/>
                <w:sz w:val="24"/>
              </w:rPr>
              <w:t> </w:t>
            </w:r>
            <w:r>
              <w:rPr>
                <w:sz w:val="24"/>
              </w:rPr>
              <w:t>школе</w:t>
            </w:r>
            <w:r>
              <w:rPr>
                <w:spacing w:val="-8"/>
                <w:sz w:val="24"/>
              </w:rPr>
              <w:t> </w:t>
            </w:r>
            <w:r>
              <w:rPr>
                <w:sz w:val="24"/>
              </w:rPr>
              <w:t>на </w:t>
            </w:r>
            <w:r>
              <w:rPr>
                <w:spacing w:val="-2"/>
                <w:sz w:val="24"/>
              </w:rPr>
              <w:t>перемене?</w:t>
            </w:r>
          </w:p>
        </w:tc>
        <w:tc>
          <w:tcPr>
            <w:tcW w:w="1277" w:type="dxa"/>
          </w:tcPr>
          <w:p>
            <w:pPr>
              <w:pStyle w:val="TableParagraph"/>
              <w:spacing w:before="167"/>
              <w:ind w:left="148" w:right="148"/>
              <w:jc w:val="center"/>
              <w:rPr>
                <w:sz w:val="24"/>
              </w:rPr>
            </w:pPr>
            <w:r>
              <w:rPr>
                <w:spacing w:val="-10"/>
                <w:sz w:val="24"/>
              </w:rPr>
              <w:t>1</w:t>
            </w:r>
          </w:p>
        </w:tc>
        <w:tc>
          <w:tcPr>
            <w:tcW w:w="1277" w:type="dxa"/>
          </w:tcPr>
          <w:p>
            <w:pPr>
              <w:pStyle w:val="TableParagraph"/>
              <w:spacing w:before="167"/>
              <w:ind w:left="148" w:right="148"/>
              <w:jc w:val="center"/>
              <w:rPr>
                <w:sz w:val="24"/>
              </w:rPr>
            </w:pPr>
            <w:r>
              <w:rPr>
                <w:spacing w:val="-10"/>
                <w:sz w:val="24"/>
              </w:rPr>
              <w:t>2</w:t>
            </w:r>
          </w:p>
        </w:tc>
        <w:tc>
          <w:tcPr>
            <w:tcW w:w="1278" w:type="dxa"/>
          </w:tcPr>
          <w:p>
            <w:pPr>
              <w:pStyle w:val="TableParagraph"/>
              <w:spacing w:before="167"/>
              <w:jc w:val="center"/>
              <w:rPr>
                <w:sz w:val="24"/>
              </w:rPr>
            </w:pPr>
            <w:r>
              <w:rPr>
                <w:spacing w:val="-10"/>
                <w:sz w:val="24"/>
              </w:rPr>
              <w:t>3</w:t>
            </w:r>
          </w:p>
        </w:tc>
        <w:tc>
          <w:tcPr>
            <w:tcW w:w="1277" w:type="dxa"/>
          </w:tcPr>
          <w:p>
            <w:pPr>
              <w:pStyle w:val="TableParagraph"/>
              <w:spacing w:before="167"/>
              <w:ind w:right="1"/>
              <w:jc w:val="center"/>
              <w:rPr>
                <w:sz w:val="24"/>
              </w:rPr>
            </w:pPr>
            <w:r>
              <w:rPr>
                <w:spacing w:val="-10"/>
                <w:sz w:val="24"/>
              </w:rPr>
              <w:t>4</w:t>
            </w:r>
          </w:p>
        </w:tc>
      </w:tr>
      <w:tr>
        <w:trPr>
          <w:trHeight w:val="623" w:hRule="atLeast"/>
        </w:trPr>
        <w:tc>
          <w:tcPr>
            <w:tcW w:w="4539" w:type="dxa"/>
          </w:tcPr>
          <w:p>
            <w:pPr>
              <w:pStyle w:val="TableParagraph"/>
              <w:spacing w:before="6"/>
              <w:ind w:left="103"/>
              <w:rPr>
                <w:sz w:val="24"/>
              </w:rPr>
            </w:pPr>
            <w:r>
              <w:rPr>
                <w:sz w:val="24"/>
              </w:rPr>
              <w:t>Как</w:t>
            </w:r>
            <w:r>
              <w:rPr>
                <w:spacing w:val="-2"/>
                <w:sz w:val="24"/>
              </w:rPr>
              <w:t> </w:t>
            </w:r>
            <w:r>
              <w:rPr>
                <w:sz w:val="24"/>
              </w:rPr>
              <w:t>ты</w:t>
            </w:r>
            <w:r>
              <w:rPr>
                <w:spacing w:val="-2"/>
                <w:sz w:val="24"/>
              </w:rPr>
              <w:t> </w:t>
            </w:r>
            <w:r>
              <w:rPr>
                <w:sz w:val="24"/>
              </w:rPr>
              <w:t>себя</w:t>
            </w:r>
            <w:r>
              <w:rPr>
                <w:spacing w:val="-2"/>
                <w:sz w:val="24"/>
              </w:rPr>
              <w:t> </w:t>
            </w:r>
            <w:r>
              <w:rPr>
                <w:sz w:val="24"/>
              </w:rPr>
              <w:t>чувствуешь</w:t>
            </w:r>
            <w:r>
              <w:rPr>
                <w:spacing w:val="-1"/>
                <w:sz w:val="24"/>
              </w:rPr>
              <w:t> </w:t>
            </w:r>
            <w:r>
              <w:rPr>
                <w:spacing w:val="-2"/>
                <w:sz w:val="24"/>
              </w:rPr>
              <w:t>дома?</w:t>
            </w:r>
          </w:p>
        </w:tc>
        <w:tc>
          <w:tcPr>
            <w:tcW w:w="1277" w:type="dxa"/>
          </w:tcPr>
          <w:p>
            <w:pPr>
              <w:pStyle w:val="TableParagraph"/>
              <w:spacing w:before="167"/>
              <w:ind w:left="148" w:right="148"/>
              <w:jc w:val="center"/>
              <w:rPr>
                <w:sz w:val="24"/>
              </w:rPr>
            </w:pPr>
            <w:r>
              <w:rPr>
                <w:spacing w:val="-10"/>
                <w:sz w:val="24"/>
              </w:rPr>
              <w:t>1</w:t>
            </w:r>
          </w:p>
        </w:tc>
        <w:tc>
          <w:tcPr>
            <w:tcW w:w="1277" w:type="dxa"/>
          </w:tcPr>
          <w:p>
            <w:pPr>
              <w:pStyle w:val="TableParagraph"/>
              <w:spacing w:before="167"/>
              <w:ind w:left="148" w:right="148"/>
              <w:jc w:val="center"/>
              <w:rPr>
                <w:sz w:val="24"/>
              </w:rPr>
            </w:pPr>
            <w:r>
              <w:rPr>
                <w:spacing w:val="-10"/>
                <w:sz w:val="24"/>
              </w:rPr>
              <w:t>2</w:t>
            </w:r>
          </w:p>
        </w:tc>
        <w:tc>
          <w:tcPr>
            <w:tcW w:w="1278" w:type="dxa"/>
          </w:tcPr>
          <w:p>
            <w:pPr>
              <w:pStyle w:val="TableParagraph"/>
              <w:spacing w:before="167"/>
              <w:jc w:val="center"/>
              <w:rPr>
                <w:sz w:val="24"/>
              </w:rPr>
            </w:pPr>
            <w:r>
              <w:rPr>
                <w:spacing w:val="-10"/>
                <w:sz w:val="24"/>
              </w:rPr>
              <w:t>3</w:t>
            </w:r>
          </w:p>
        </w:tc>
        <w:tc>
          <w:tcPr>
            <w:tcW w:w="1277" w:type="dxa"/>
          </w:tcPr>
          <w:p>
            <w:pPr>
              <w:pStyle w:val="TableParagraph"/>
              <w:spacing w:before="167"/>
              <w:ind w:right="1"/>
              <w:jc w:val="center"/>
              <w:rPr>
                <w:sz w:val="24"/>
              </w:rPr>
            </w:pPr>
            <w:r>
              <w:rPr>
                <w:spacing w:val="-10"/>
                <w:sz w:val="24"/>
              </w:rPr>
              <w:t>4</w:t>
            </w:r>
          </w:p>
        </w:tc>
      </w:tr>
      <w:tr>
        <w:trPr>
          <w:trHeight w:val="875" w:hRule="atLeast"/>
        </w:trPr>
        <w:tc>
          <w:tcPr>
            <w:tcW w:w="4539" w:type="dxa"/>
          </w:tcPr>
          <w:p>
            <w:pPr>
              <w:pStyle w:val="TableParagraph"/>
              <w:ind w:left="103" w:right="161"/>
              <w:rPr>
                <w:sz w:val="24"/>
              </w:rPr>
            </w:pPr>
            <w:r>
              <w:rPr>
                <w:sz w:val="24"/>
              </w:rPr>
              <w:t>Как</w:t>
            </w:r>
            <w:r>
              <w:rPr>
                <w:spacing w:val="-7"/>
                <w:sz w:val="24"/>
              </w:rPr>
              <w:t> </w:t>
            </w:r>
            <w:r>
              <w:rPr>
                <w:sz w:val="24"/>
              </w:rPr>
              <w:t>ты</w:t>
            </w:r>
            <w:r>
              <w:rPr>
                <w:spacing w:val="-7"/>
                <w:sz w:val="24"/>
              </w:rPr>
              <w:t> </w:t>
            </w:r>
            <w:r>
              <w:rPr>
                <w:sz w:val="24"/>
              </w:rPr>
              <w:t>себя</w:t>
            </w:r>
            <w:r>
              <w:rPr>
                <w:spacing w:val="-8"/>
                <w:sz w:val="24"/>
              </w:rPr>
              <w:t> </w:t>
            </w:r>
            <w:r>
              <w:rPr>
                <w:sz w:val="24"/>
              </w:rPr>
              <w:t>чувствуешь</w:t>
            </w:r>
            <w:r>
              <w:rPr>
                <w:spacing w:val="-7"/>
                <w:sz w:val="24"/>
              </w:rPr>
              <w:t> </w:t>
            </w:r>
            <w:r>
              <w:rPr>
                <w:sz w:val="24"/>
              </w:rPr>
              <w:t>на</w:t>
            </w:r>
            <w:r>
              <w:rPr>
                <w:spacing w:val="-7"/>
                <w:sz w:val="24"/>
              </w:rPr>
              <w:t> </w:t>
            </w:r>
            <w:r>
              <w:rPr>
                <w:sz w:val="24"/>
              </w:rPr>
              <w:t>уроке</w:t>
            </w:r>
            <w:r>
              <w:rPr>
                <w:spacing w:val="-8"/>
                <w:sz w:val="24"/>
              </w:rPr>
              <w:t> </w:t>
            </w:r>
            <w:r>
              <w:rPr>
                <w:sz w:val="24"/>
              </w:rPr>
              <w:t>в </w:t>
            </w:r>
            <w:r>
              <w:rPr>
                <w:spacing w:val="-2"/>
                <w:sz w:val="24"/>
              </w:rPr>
              <w:t>школе?</w:t>
            </w:r>
          </w:p>
        </w:tc>
        <w:tc>
          <w:tcPr>
            <w:tcW w:w="1277" w:type="dxa"/>
          </w:tcPr>
          <w:p>
            <w:pPr>
              <w:pStyle w:val="TableParagraph"/>
              <w:spacing w:before="15"/>
              <w:rPr>
                <w:sz w:val="24"/>
              </w:rPr>
            </w:pPr>
          </w:p>
          <w:p>
            <w:pPr>
              <w:pStyle w:val="TableParagraph"/>
              <w:ind w:left="148" w:right="148"/>
              <w:jc w:val="center"/>
              <w:rPr>
                <w:sz w:val="24"/>
              </w:rPr>
            </w:pPr>
            <w:r>
              <w:rPr>
                <w:spacing w:val="-10"/>
                <w:sz w:val="24"/>
              </w:rPr>
              <w:t>1</w:t>
            </w:r>
          </w:p>
        </w:tc>
        <w:tc>
          <w:tcPr>
            <w:tcW w:w="1277" w:type="dxa"/>
          </w:tcPr>
          <w:p>
            <w:pPr>
              <w:pStyle w:val="TableParagraph"/>
              <w:spacing w:before="15"/>
              <w:rPr>
                <w:sz w:val="24"/>
              </w:rPr>
            </w:pPr>
          </w:p>
          <w:p>
            <w:pPr>
              <w:pStyle w:val="TableParagraph"/>
              <w:ind w:left="148" w:right="148"/>
              <w:jc w:val="center"/>
              <w:rPr>
                <w:sz w:val="24"/>
              </w:rPr>
            </w:pPr>
            <w:r>
              <w:rPr>
                <w:spacing w:val="-10"/>
                <w:sz w:val="24"/>
              </w:rPr>
              <w:t>2</w:t>
            </w:r>
          </w:p>
        </w:tc>
        <w:tc>
          <w:tcPr>
            <w:tcW w:w="1278" w:type="dxa"/>
          </w:tcPr>
          <w:p>
            <w:pPr>
              <w:pStyle w:val="TableParagraph"/>
              <w:spacing w:before="15"/>
              <w:rPr>
                <w:sz w:val="24"/>
              </w:rPr>
            </w:pPr>
          </w:p>
          <w:p>
            <w:pPr>
              <w:pStyle w:val="TableParagraph"/>
              <w:jc w:val="center"/>
              <w:rPr>
                <w:sz w:val="24"/>
              </w:rPr>
            </w:pPr>
            <w:r>
              <w:rPr>
                <w:spacing w:val="-10"/>
                <w:sz w:val="24"/>
              </w:rPr>
              <w:t>3</w:t>
            </w:r>
          </w:p>
        </w:tc>
        <w:tc>
          <w:tcPr>
            <w:tcW w:w="1277" w:type="dxa"/>
          </w:tcPr>
          <w:p>
            <w:pPr>
              <w:pStyle w:val="TableParagraph"/>
              <w:spacing w:before="15"/>
              <w:rPr>
                <w:sz w:val="24"/>
              </w:rPr>
            </w:pPr>
          </w:p>
          <w:p>
            <w:pPr>
              <w:pStyle w:val="TableParagraph"/>
              <w:ind w:right="1"/>
              <w:jc w:val="center"/>
              <w:rPr>
                <w:sz w:val="24"/>
              </w:rPr>
            </w:pPr>
            <w:r>
              <w:rPr>
                <w:spacing w:val="-10"/>
                <w:sz w:val="24"/>
              </w:rPr>
              <w:t>4</w:t>
            </w:r>
          </w:p>
        </w:tc>
      </w:tr>
    </w:tbl>
    <w:p>
      <w:pPr>
        <w:pStyle w:val="TableParagraph"/>
        <w:spacing w:after="0"/>
        <w:jc w:val="center"/>
        <w:rPr>
          <w:sz w:val="24"/>
        </w:rPr>
        <w:sectPr>
          <w:pgSz w:w="11910" w:h="16840"/>
          <w:pgMar w:header="0" w:footer="970" w:top="1040" w:bottom="1220" w:left="1417" w:right="283"/>
        </w:sectPr>
      </w:pPr>
    </w:p>
    <w:p>
      <w:pPr>
        <w:pStyle w:val="Heading2"/>
        <w:numPr>
          <w:ilvl w:val="0"/>
          <w:numId w:val="15"/>
        </w:numPr>
        <w:tabs>
          <w:tab w:pos="564" w:val="left" w:leader="none"/>
        </w:tabs>
        <w:spacing w:line="240" w:lineRule="auto" w:before="72" w:after="0"/>
        <w:ind w:left="564" w:right="0" w:hanging="279"/>
        <w:jc w:val="left"/>
      </w:pPr>
      <w:bookmarkStart w:name="_bookmark16" w:id="18"/>
      <w:bookmarkEnd w:id="18"/>
      <w:r>
        <w:rPr>
          <w:b w:val="0"/>
        </w:rPr>
      </w:r>
      <w:r>
        <w:rPr/>
        <w:t>Шкала</w:t>
      </w:r>
      <w:r>
        <w:rPr>
          <w:spacing w:val="-13"/>
        </w:rPr>
        <w:t> </w:t>
      </w:r>
      <w:r>
        <w:rPr/>
        <w:t>психологического</w:t>
      </w:r>
      <w:r>
        <w:rPr>
          <w:spacing w:val="-11"/>
        </w:rPr>
        <w:t> </w:t>
      </w:r>
      <w:r>
        <w:rPr/>
        <w:t>благополучия</w:t>
      </w:r>
      <w:r>
        <w:rPr>
          <w:spacing w:val="-13"/>
        </w:rPr>
        <w:t> </w:t>
      </w:r>
      <w:r>
        <w:rPr>
          <w:spacing w:val="-2"/>
        </w:rPr>
        <w:t>Уорик–Эдинбург</w:t>
      </w:r>
    </w:p>
    <w:p>
      <w:pPr>
        <w:pStyle w:val="Heading3"/>
        <w:spacing w:before="293"/>
      </w:pPr>
      <w:r>
        <w:rPr/>
        <w:t>Описание</w:t>
      </w:r>
      <w:r>
        <w:rPr>
          <w:spacing w:val="-2"/>
        </w:rPr>
        <w:t> методики</w:t>
      </w:r>
    </w:p>
    <w:p>
      <w:pPr>
        <w:pStyle w:val="Heading4"/>
        <w:spacing w:before="232"/>
        <w:ind w:right="560"/>
      </w:pPr>
      <w:r>
        <w:rPr/>
        <w:t>Данный метод предназначен для оценки психологического благополучия. Шкала была разработана Р. Теннант с коллегами для совместного исследования в университетах Уорика и Эдинбурга (</w:t>
      </w:r>
      <w:r>
        <w:rPr>
          <w:i/>
        </w:rPr>
        <w:t>Tennant</w:t>
      </w:r>
      <w:r>
        <w:rPr/>
        <w:t>, 2006). Отправной точкой исследования стала существовавшая ранее шкала под названием «Аффектометр-2», разработанная в Новой Зеландии.</w:t>
      </w:r>
    </w:p>
    <w:p>
      <w:pPr>
        <w:pStyle w:val="Heading4"/>
        <w:spacing w:before="241"/>
        <w:ind w:right="563"/>
      </w:pPr>
      <w:r>
        <w:rPr/>
        <w:t>Методика диагностирует психологическое благополучие в широком смысле слова, включающее переживание удовольствия и счастья, оптимизм, удовлетворенность</w:t>
      </w:r>
      <w:r>
        <w:rPr>
          <w:spacing w:val="-5"/>
        </w:rPr>
        <w:t> </w:t>
      </w:r>
      <w:r>
        <w:rPr/>
        <w:t>отношениями с</w:t>
      </w:r>
      <w:r>
        <w:rPr>
          <w:spacing w:val="-1"/>
        </w:rPr>
        <w:t> </w:t>
      </w:r>
      <w:r>
        <w:rPr/>
        <w:t>людьми и позитивное</w:t>
      </w:r>
      <w:r>
        <w:rPr>
          <w:spacing w:val="-3"/>
        </w:rPr>
        <w:t> </w:t>
      </w:r>
      <w:r>
        <w:rPr/>
        <w:t>функционирование.</w:t>
      </w:r>
    </w:p>
    <w:p>
      <w:pPr>
        <w:pStyle w:val="Heading4"/>
        <w:spacing w:before="239"/>
        <w:ind w:right="560"/>
      </w:pPr>
      <w:r>
        <w:rPr/>
        <w:t>Шкала психологического благополучия Уорик–Эдинбург (</w:t>
      </w:r>
      <w:r>
        <w:rPr>
          <w:i/>
        </w:rPr>
        <w:t>WEMWBS</w:t>
      </w:r>
      <w:r>
        <w:rPr/>
        <w:t>) включает 14 пунктов, описывающих индивидуальное состояние психологического благополучия человека (мысли и чувства) на протяжении последних</w:t>
      </w:r>
      <w:r>
        <w:rPr>
          <w:spacing w:val="-9"/>
        </w:rPr>
        <w:t> </w:t>
      </w:r>
      <w:r>
        <w:rPr/>
        <w:t>двух</w:t>
      </w:r>
      <w:r>
        <w:rPr>
          <w:spacing w:val="-5"/>
        </w:rPr>
        <w:t> </w:t>
      </w:r>
      <w:r>
        <w:rPr/>
        <w:t>недель.</w:t>
      </w:r>
      <w:r>
        <w:rPr>
          <w:spacing w:val="-10"/>
        </w:rPr>
        <w:t> </w:t>
      </w:r>
      <w:r>
        <w:rPr/>
        <w:t>Ответы</w:t>
      </w:r>
      <w:r>
        <w:rPr>
          <w:spacing w:val="-6"/>
        </w:rPr>
        <w:t> </w:t>
      </w:r>
      <w:r>
        <w:rPr/>
        <w:t>представлены</w:t>
      </w:r>
      <w:r>
        <w:rPr>
          <w:spacing w:val="-6"/>
        </w:rPr>
        <w:t> </w:t>
      </w:r>
      <w:r>
        <w:rPr/>
        <w:t>в</w:t>
      </w:r>
      <w:r>
        <w:rPr>
          <w:spacing w:val="-10"/>
        </w:rPr>
        <w:t> </w:t>
      </w:r>
      <w:r>
        <w:rPr/>
        <w:t>виде</w:t>
      </w:r>
      <w:r>
        <w:rPr>
          <w:spacing w:val="-9"/>
        </w:rPr>
        <w:t> </w:t>
      </w:r>
      <w:r>
        <w:rPr/>
        <w:t>пятибалльной</w:t>
      </w:r>
      <w:r>
        <w:rPr>
          <w:spacing w:val="-9"/>
        </w:rPr>
        <w:t> </w:t>
      </w:r>
      <w:r>
        <w:rPr/>
        <w:t>шкалы:</w:t>
      </w:r>
      <w:r>
        <w:rPr>
          <w:spacing w:val="-7"/>
        </w:rPr>
        <w:t> </w:t>
      </w:r>
      <w:r>
        <w:rPr>
          <w:spacing w:val="-5"/>
        </w:rPr>
        <w:t>от</w:t>
      </w:r>
    </w:p>
    <w:p>
      <w:pPr>
        <w:pStyle w:val="Heading4"/>
        <w:spacing w:before="1"/>
        <w:ind w:right="566"/>
      </w:pPr>
      <w:r>
        <w:rPr/>
        <w:t>«никогда»</w:t>
      </w:r>
      <w:r>
        <w:rPr>
          <w:spacing w:val="-2"/>
        </w:rPr>
        <w:t> </w:t>
      </w:r>
      <w:r>
        <w:rPr/>
        <w:t>до «все</w:t>
      </w:r>
      <w:r>
        <w:rPr>
          <w:spacing w:val="-1"/>
        </w:rPr>
        <w:t> </w:t>
      </w:r>
      <w:r>
        <w:rPr/>
        <w:t>время».</w:t>
      </w:r>
      <w:r>
        <w:rPr>
          <w:spacing w:val="-2"/>
        </w:rPr>
        <w:t> </w:t>
      </w:r>
      <w:r>
        <w:rPr/>
        <w:t>Все</w:t>
      </w:r>
      <w:r>
        <w:rPr>
          <w:spacing w:val="-1"/>
        </w:rPr>
        <w:t> </w:t>
      </w:r>
      <w:r>
        <w:rPr/>
        <w:t>утверждения прямые,</w:t>
      </w:r>
      <w:r>
        <w:rPr>
          <w:spacing w:val="-1"/>
        </w:rPr>
        <w:t> </w:t>
      </w:r>
      <w:r>
        <w:rPr/>
        <w:t>и в</w:t>
      </w:r>
      <w:r>
        <w:rPr>
          <w:spacing w:val="-1"/>
        </w:rPr>
        <w:t> </w:t>
      </w:r>
      <w:r>
        <w:rPr/>
        <w:t>сумме</w:t>
      </w:r>
      <w:r>
        <w:rPr>
          <w:spacing w:val="-1"/>
        </w:rPr>
        <w:t> </w:t>
      </w:r>
      <w:r>
        <w:rPr/>
        <w:t>они отражают практически все аспекты психологического благополучия человека, за исключением духовности и жизненных целей.</w:t>
      </w:r>
    </w:p>
    <w:p>
      <w:pPr>
        <w:pStyle w:val="Heading4"/>
        <w:spacing w:before="239"/>
        <w:ind w:right="559"/>
      </w:pPr>
      <w:r>
        <w:rPr/>
        <w:t>Авторами также была разработана краткая версия опросника </w:t>
      </w:r>
      <w:r>
        <w:rPr>
          <w:i/>
        </w:rPr>
        <w:t>SWEMWEBS</w:t>
      </w:r>
      <w:r>
        <w:rPr/>
        <w:t>, включающая 7 утверждений (</w:t>
      </w:r>
      <w:r>
        <w:rPr>
          <w:i/>
        </w:rPr>
        <w:t>Tennant </w:t>
      </w:r>
      <w:r>
        <w:rPr/>
        <w:t>et al, 2007).</w:t>
      </w:r>
    </w:p>
    <w:p>
      <w:pPr>
        <w:pStyle w:val="Heading3"/>
        <w:spacing w:before="249"/>
      </w:pPr>
      <w:r>
        <w:rPr/>
        <w:t>Проведение</w:t>
      </w:r>
      <w:r>
        <w:rPr>
          <w:spacing w:val="-10"/>
        </w:rPr>
        <w:t> </w:t>
      </w:r>
      <w:r>
        <w:rPr>
          <w:spacing w:val="-2"/>
        </w:rPr>
        <w:t>методики</w:t>
      </w:r>
    </w:p>
    <w:p>
      <w:pPr>
        <w:pStyle w:val="Heading4"/>
        <w:spacing w:before="233"/>
        <w:ind w:right="561"/>
      </w:pPr>
      <w:r>
        <w:rPr/>
        <w:t>Опросник </w:t>
      </w:r>
      <w:r>
        <w:rPr>
          <w:i/>
        </w:rPr>
        <w:t>WEMWBS </w:t>
      </w:r>
      <w:r>
        <w:rPr/>
        <w:t>заполняется испытуемым самостоятельно. Это может быть</w:t>
      </w:r>
      <w:r>
        <w:rPr>
          <w:spacing w:val="-18"/>
        </w:rPr>
        <w:t> </w:t>
      </w:r>
      <w:r>
        <w:rPr/>
        <w:t>формат</w:t>
      </w:r>
      <w:r>
        <w:rPr>
          <w:spacing w:val="-17"/>
        </w:rPr>
        <w:t> </w:t>
      </w:r>
      <w:r>
        <w:rPr/>
        <w:t>компьютерного</w:t>
      </w:r>
      <w:r>
        <w:rPr>
          <w:spacing w:val="-18"/>
        </w:rPr>
        <w:t> </w:t>
      </w:r>
      <w:r>
        <w:rPr/>
        <w:t>самоинтервью,</w:t>
      </w:r>
      <w:r>
        <w:rPr>
          <w:spacing w:val="-17"/>
        </w:rPr>
        <w:t> </w:t>
      </w:r>
      <w:r>
        <w:rPr/>
        <w:t>когда</w:t>
      </w:r>
      <w:r>
        <w:rPr>
          <w:spacing w:val="-18"/>
        </w:rPr>
        <w:t> </w:t>
      </w:r>
      <w:r>
        <w:rPr/>
        <w:t>респондентам</w:t>
      </w:r>
      <w:r>
        <w:rPr>
          <w:spacing w:val="-17"/>
        </w:rPr>
        <w:t> </w:t>
      </w:r>
      <w:r>
        <w:rPr/>
        <w:t>предлагается ввести свои ответы непосредственно в компьютер или самостоятельно заполнить бумажный вариант шкалы (см. </w:t>
      </w:r>
      <w:r>
        <w:rPr>
          <w:i/>
        </w:rPr>
        <w:t>Приложение 3</w:t>
      </w:r>
      <w:r>
        <w:rPr/>
        <w:t>). Авторы полагают, что</w:t>
      </w:r>
      <w:r>
        <w:rPr>
          <w:spacing w:val="-6"/>
        </w:rPr>
        <w:t> </w:t>
      </w:r>
      <w:r>
        <w:rPr>
          <w:i/>
        </w:rPr>
        <w:t>WEMWBS</w:t>
      </w:r>
      <w:r>
        <w:rPr>
          <w:i/>
          <w:spacing w:val="-6"/>
        </w:rPr>
        <w:t> </w:t>
      </w:r>
      <w:r>
        <w:rPr/>
        <w:t>является</w:t>
      </w:r>
      <w:r>
        <w:rPr>
          <w:spacing w:val="-7"/>
        </w:rPr>
        <w:t> </w:t>
      </w:r>
      <w:r>
        <w:rPr/>
        <w:t>надежным</w:t>
      </w:r>
      <w:r>
        <w:rPr>
          <w:spacing w:val="-7"/>
        </w:rPr>
        <w:t> </w:t>
      </w:r>
      <w:r>
        <w:rPr/>
        <w:t>в</w:t>
      </w:r>
      <w:r>
        <w:rPr>
          <w:spacing w:val="-8"/>
        </w:rPr>
        <w:t> </w:t>
      </w:r>
      <w:r>
        <w:rPr/>
        <w:t>обоих</w:t>
      </w:r>
      <w:r>
        <w:rPr>
          <w:spacing w:val="-7"/>
        </w:rPr>
        <w:t> </w:t>
      </w:r>
      <w:r>
        <w:rPr/>
        <w:t>случаях.</w:t>
      </w:r>
      <w:r>
        <w:rPr>
          <w:spacing w:val="-4"/>
        </w:rPr>
        <w:t> </w:t>
      </w:r>
      <w:r>
        <w:rPr>
          <w:i/>
        </w:rPr>
        <w:t>WEMWBS</w:t>
      </w:r>
      <w:r>
        <w:rPr>
          <w:i/>
          <w:spacing w:val="-5"/>
        </w:rPr>
        <w:t> </w:t>
      </w:r>
      <w:r>
        <w:rPr/>
        <w:t>не</w:t>
      </w:r>
      <w:r>
        <w:rPr>
          <w:spacing w:val="-7"/>
        </w:rPr>
        <w:t> </w:t>
      </w:r>
      <w:r>
        <w:rPr/>
        <w:t>тестировался в ситуациях собеседования, когда интервьюер зачитывает вопросы респондентам и заполняет ответы за них. Поэтому неизвестно, надежен ли опросник в таких случаях.</w:t>
      </w:r>
    </w:p>
    <w:p>
      <w:pPr>
        <w:pStyle w:val="Heading4"/>
        <w:spacing w:before="240"/>
        <w:ind w:right="564"/>
      </w:pPr>
      <w:r>
        <w:rPr/>
        <w:t>Показатели</w:t>
      </w:r>
      <w:r>
        <w:rPr>
          <w:spacing w:val="-18"/>
        </w:rPr>
        <w:t> </w:t>
      </w:r>
      <w:r>
        <w:rPr/>
        <w:t>по</w:t>
      </w:r>
      <w:r>
        <w:rPr>
          <w:spacing w:val="-17"/>
        </w:rPr>
        <w:t> </w:t>
      </w:r>
      <w:r>
        <w:rPr/>
        <w:t>опроснику</w:t>
      </w:r>
      <w:r>
        <w:rPr>
          <w:spacing w:val="-18"/>
        </w:rPr>
        <w:t> </w:t>
      </w:r>
      <w:r>
        <w:rPr/>
        <w:t>получаются</w:t>
      </w:r>
      <w:r>
        <w:rPr>
          <w:spacing w:val="-17"/>
        </w:rPr>
        <w:t> </w:t>
      </w:r>
      <w:r>
        <w:rPr/>
        <w:t>путем</w:t>
      </w:r>
      <w:r>
        <w:rPr>
          <w:spacing w:val="-18"/>
        </w:rPr>
        <w:t> </w:t>
      </w:r>
      <w:r>
        <w:rPr/>
        <w:t>суммирования</w:t>
      </w:r>
      <w:r>
        <w:rPr>
          <w:spacing w:val="-17"/>
        </w:rPr>
        <w:t> </w:t>
      </w:r>
      <w:r>
        <w:rPr/>
        <w:t>ответов</w:t>
      </w:r>
      <w:r>
        <w:rPr>
          <w:spacing w:val="-18"/>
        </w:rPr>
        <w:t> </w:t>
      </w:r>
      <w:r>
        <w:rPr/>
        <w:t>на</w:t>
      </w:r>
      <w:r>
        <w:rPr>
          <w:spacing w:val="-17"/>
        </w:rPr>
        <w:t> </w:t>
      </w:r>
      <w:r>
        <w:rPr/>
        <w:t>каждый пункт по шкале Лайкерта от 1 до 5. Минимальный балл по шкале составляет 14, максимальный — 70.</w:t>
      </w:r>
    </w:p>
    <w:p>
      <w:pPr>
        <w:pStyle w:val="Heading4"/>
        <w:spacing w:before="239"/>
        <w:ind w:right="561"/>
      </w:pPr>
      <w:r>
        <w:rPr/>
        <w:t>Результаты </w:t>
      </w:r>
      <w:r>
        <w:rPr>
          <w:i/>
        </w:rPr>
        <w:t>WEMWBS </w:t>
      </w:r>
      <w:r>
        <w:rPr/>
        <w:t>должны быть представлены в виде среднего балла для интересующей исследователя популяции/группы либо со стандартным отклонением,</w:t>
      </w:r>
      <w:r>
        <w:rPr>
          <w:spacing w:val="-18"/>
        </w:rPr>
        <w:t> </w:t>
      </w:r>
      <w:r>
        <w:rPr/>
        <w:t>либо</w:t>
      </w:r>
      <w:r>
        <w:rPr>
          <w:spacing w:val="-17"/>
        </w:rPr>
        <w:t> </w:t>
      </w:r>
      <w:r>
        <w:rPr/>
        <w:t>с</w:t>
      </w:r>
      <w:r>
        <w:rPr>
          <w:spacing w:val="-18"/>
        </w:rPr>
        <w:t> </w:t>
      </w:r>
      <w:r>
        <w:rPr/>
        <w:t>95%-ным</w:t>
      </w:r>
      <w:r>
        <w:rPr>
          <w:spacing w:val="-17"/>
        </w:rPr>
        <w:t> </w:t>
      </w:r>
      <w:r>
        <w:rPr/>
        <w:t>доверительным</w:t>
      </w:r>
      <w:r>
        <w:rPr>
          <w:spacing w:val="-18"/>
        </w:rPr>
        <w:t> </w:t>
      </w:r>
      <w:r>
        <w:rPr/>
        <w:t>интервалом.</w:t>
      </w:r>
      <w:r>
        <w:rPr>
          <w:spacing w:val="-17"/>
        </w:rPr>
        <w:t> </w:t>
      </w:r>
      <w:r>
        <w:rPr/>
        <w:t>В</w:t>
      </w:r>
      <w:r>
        <w:rPr>
          <w:spacing w:val="-18"/>
        </w:rPr>
        <w:t> </w:t>
      </w:r>
      <w:r>
        <w:rPr/>
        <w:t>Великобритании средний</w:t>
      </w:r>
      <w:r>
        <w:rPr>
          <w:spacing w:val="-1"/>
        </w:rPr>
        <w:t> </w:t>
      </w:r>
      <w:r>
        <w:rPr/>
        <w:t>балл</w:t>
      </w:r>
      <w:r>
        <w:rPr>
          <w:spacing w:val="-1"/>
        </w:rPr>
        <w:t> </w:t>
      </w:r>
      <w:r>
        <w:rPr/>
        <w:t>в популяции составляет около 51, но он разнится в зависимости от исследуемой группы населения. Авторы рекомендуют сравнивать средний балл</w:t>
      </w:r>
      <w:r>
        <w:rPr>
          <w:spacing w:val="25"/>
        </w:rPr>
        <w:t>  </w:t>
      </w:r>
      <w:r>
        <w:rPr/>
        <w:t>исследуемой</w:t>
      </w:r>
      <w:r>
        <w:rPr>
          <w:spacing w:val="28"/>
        </w:rPr>
        <w:t>  </w:t>
      </w:r>
      <w:r>
        <w:rPr/>
        <w:t>группы</w:t>
      </w:r>
      <w:r>
        <w:rPr>
          <w:spacing w:val="28"/>
        </w:rPr>
        <w:t>  </w:t>
      </w:r>
      <w:r>
        <w:rPr/>
        <w:t>с</w:t>
      </w:r>
      <w:r>
        <w:rPr>
          <w:spacing w:val="30"/>
        </w:rPr>
        <w:t>  </w:t>
      </w:r>
      <w:r>
        <w:rPr/>
        <w:t>демографической</w:t>
      </w:r>
      <w:r>
        <w:rPr>
          <w:spacing w:val="29"/>
        </w:rPr>
        <w:t>  </w:t>
      </w:r>
      <w:r>
        <w:rPr/>
        <w:t>нормой,</w:t>
      </w:r>
      <w:r>
        <w:rPr>
          <w:spacing w:val="27"/>
        </w:rPr>
        <w:t>  </w:t>
      </w:r>
      <w:r>
        <w:rPr/>
        <w:t>чтобы</w:t>
      </w:r>
      <w:r>
        <w:rPr>
          <w:spacing w:val="29"/>
        </w:rPr>
        <w:t>  </w:t>
      </w:r>
      <w:r>
        <w:rPr>
          <w:spacing w:val="-2"/>
        </w:rPr>
        <w:t>оценить,</w:t>
      </w:r>
    </w:p>
    <w:p>
      <w:pPr>
        <w:pStyle w:val="Heading4"/>
        <w:spacing w:after="0"/>
        <w:sectPr>
          <w:pgSz w:w="11910" w:h="16840"/>
          <w:pgMar w:header="0" w:footer="970" w:top="1040" w:bottom="1220" w:left="1417" w:right="283"/>
        </w:sectPr>
      </w:pPr>
    </w:p>
    <w:p>
      <w:pPr>
        <w:pStyle w:val="Heading4"/>
        <w:spacing w:line="242" w:lineRule="auto" w:before="67"/>
        <w:ind w:right="572"/>
      </w:pPr>
      <w:r>
        <w:rPr/>
        <w:t>находится ли уровень психологического благополучия выше или ниже этого </w:t>
      </w:r>
      <w:r>
        <w:rPr>
          <w:spacing w:val="-2"/>
        </w:rPr>
        <w:t>уровня.</w:t>
      </w:r>
    </w:p>
    <w:p>
      <w:pPr>
        <w:pStyle w:val="Heading4"/>
        <w:spacing w:before="236"/>
        <w:ind w:right="562"/>
      </w:pPr>
      <w:r>
        <w:rPr/>
        <w:t>В 2022 г. методика была адаптирована для детей — иностранных граждан в рамках апробации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 На основании статистического анализа распределения показателей у детей — иностранных граждан (N=232) выделены следующие нормативы.</w:t>
      </w:r>
    </w:p>
    <w:p>
      <w:pPr>
        <w:pStyle w:val="Heading3"/>
        <w:spacing w:before="245"/>
        <w:ind w:left="0" w:right="561"/>
        <w:jc w:val="right"/>
      </w:pPr>
      <w:r>
        <w:rPr/>
        <w:t>Таблица</w:t>
      </w:r>
      <w:r>
        <w:rPr>
          <w:spacing w:val="-6"/>
        </w:rPr>
        <w:t> </w:t>
      </w:r>
      <w:r>
        <w:rPr>
          <w:spacing w:val="-10"/>
        </w:rPr>
        <w:t>5</w:t>
      </w:r>
    </w:p>
    <w:p>
      <w:pPr>
        <w:spacing w:line="235" w:lineRule="auto" w:before="245"/>
        <w:ind w:left="1021" w:right="0" w:hanging="188"/>
        <w:jc w:val="left"/>
        <w:rPr>
          <w:b/>
          <w:sz w:val="28"/>
        </w:rPr>
      </w:pPr>
      <w:r>
        <w:rPr>
          <w:b/>
          <w:sz w:val="28"/>
        </w:rPr>
        <w:t>Пересмотренные</w:t>
      </w:r>
      <w:r>
        <w:rPr>
          <w:b/>
          <w:spacing w:val="-4"/>
          <w:sz w:val="28"/>
        </w:rPr>
        <w:t> </w:t>
      </w:r>
      <w:r>
        <w:rPr>
          <w:b/>
          <w:sz w:val="28"/>
        </w:rPr>
        <w:t>критерии</w:t>
      </w:r>
      <w:r>
        <w:rPr>
          <w:b/>
          <w:spacing w:val="-5"/>
          <w:sz w:val="28"/>
        </w:rPr>
        <w:t> </w:t>
      </w:r>
      <w:r>
        <w:rPr>
          <w:b/>
          <w:sz w:val="28"/>
        </w:rPr>
        <w:t>оценки</w:t>
      </w:r>
      <w:r>
        <w:rPr>
          <w:b/>
          <w:spacing w:val="-5"/>
          <w:sz w:val="28"/>
        </w:rPr>
        <w:t> </w:t>
      </w:r>
      <w:r>
        <w:rPr>
          <w:b/>
          <w:sz w:val="28"/>
        </w:rPr>
        <w:t>по</w:t>
      </w:r>
      <w:r>
        <w:rPr>
          <w:b/>
          <w:spacing w:val="-5"/>
          <w:sz w:val="28"/>
        </w:rPr>
        <w:t> </w:t>
      </w:r>
      <w:r>
        <w:rPr>
          <w:b/>
          <w:sz w:val="28"/>
        </w:rPr>
        <w:t>общей</w:t>
      </w:r>
      <w:r>
        <w:rPr>
          <w:b/>
          <w:spacing w:val="-6"/>
          <w:sz w:val="28"/>
        </w:rPr>
        <w:t> </w:t>
      </w:r>
      <w:r>
        <w:rPr>
          <w:b/>
          <w:sz w:val="28"/>
        </w:rPr>
        <w:t>шкале</w:t>
      </w:r>
      <w:r>
        <w:rPr>
          <w:b/>
          <w:spacing w:val="-4"/>
          <w:sz w:val="28"/>
        </w:rPr>
        <w:t> </w:t>
      </w:r>
      <w:r>
        <w:rPr>
          <w:b/>
          <w:sz w:val="28"/>
        </w:rPr>
        <w:t>на</w:t>
      </w:r>
      <w:r>
        <w:rPr>
          <w:b/>
          <w:spacing w:val="-3"/>
          <w:sz w:val="28"/>
        </w:rPr>
        <w:t> </w:t>
      </w:r>
      <w:r>
        <w:rPr>
          <w:b/>
          <w:sz w:val="28"/>
        </w:rPr>
        <w:t>выборках несовершеннолетних детей </w:t>
      </w:r>
      <w:r>
        <w:rPr>
          <w:sz w:val="28"/>
        </w:rPr>
        <w:t>— </w:t>
      </w:r>
      <w:r>
        <w:rPr>
          <w:b/>
          <w:sz w:val="28"/>
        </w:rPr>
        <w:t>иностранных граждан в России</w:t>
      </w:r>
    </w:p>
    <w:p>
      <w:pPr>
        <w:pStyle w:val="BodyText"/>
        <w:ind w:left="0" w:right="0" w:firstLine="0"/>
        <w:jc w:val="left"/>
        <w:rPr>
          <w:b/>
        </w:rPr>
      </w:pPr>
    </w:p>
    <w:p>
      <w:pPr>
        <w:pStyle w:val="BodyText"/>
        <w:ind w:left="0" w:right="0" w:firstLine="0"/>
        <w:jc w:val="left"/>
        <w:rPr>
          <w:b/>
        </w:rPr>
      </w:pPr>
    </w:p>
    <w:p>
      <w:pPr>
        <w:pStyle w:val="BodyText"/>
        <w:spacing w:before="42"/>
        <w:ind w:left="0" w:right="0" w:firstLine="0"/>
        <w:jc w:val="left"/>
        <w:rPr>
          <w:b/>
        </w:rPr>
      </w:pPr>
    </w:p>
    <w:tbl>
      <w:tblPr>
        <w:tblW w:w="0" w:type="auto"/>
        <w:jc w:val="left"/>
        <w:tblInd w:w="9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975"/>
        <w:gridCol w:w="3977"/>
      </w:tblGrid>
      <w:tr>
        <w:trPr>
          <w:trHeight w:val="1232" w:hRule="atLeast"/>
        </w:trPr>
        <w:tc>
          <w:tcPr>
            <w:tcW w:w="3975" w:type="dxa"/>
          </w:tcPr>
          <w:p>
            <w:pPr>
              <w:pStyle w:val="TableParagraph"/>
              <w:spacing w:before="61"/>
              <w:rPr>
                <w:b/>
                <w:sz w:val="24"/>
              </w:rPr>
            </w:pPr>
          </w:p>
          <w:p>
            <w:pPr>
              <w:pStyle w:val="TableParagraph"/>
              <w:ind w:left="20"/>
              <w:jc w:val="center"/>
              <w:rPr>
                <w:b/>
                <w:sz w:val="24"/>
              </w:rPr>
            </w:pPr>
            <w:r>
              <w:rPr>
                <w:b/>
                <w:spacing w:val="-2"/>
                <w:sz w:val="24"/>
              </w:rPr>
              <w:t>Уровни</w:t>
            </w:r>
          </w:p>
        </w:tc>
        <w:tc>
          <w:tcPr>
            <w:tcW w:w="3977" w:type="dxa"/>
          </w:tcPr>
          <w:p>
            <w:pPr>
              <w:pStyle w:val="TableParagraph"/>
              <w:spacing w:before="61"/>
              <w:rPr>
                <w:b/>
                <w:sz w:val="24"/>
              </w:rPr>
            </w:pPr>
          </w:p>
          <w:p>
            <w:pPr>
              <w:pStyle w:val="TableParagraph"/>
              <w:ind w:left="1572" w:hanging="1032"/>
              <w:rPr>
                <w:b/>
                <w:sz w:val="24"/>
              </w:rPr>
            </w:pPr>
            <w:r>
              <w:rPr>
                <w:b/>
                <w:sz w:val="24"/>
              </w:rPr>
              <w:t>Средняя</w:t>
            </w:r>
            <w:r>
              <w:rPr>
                <w:b/>
                <w:spacing w:val="-14"/>
                <w:sz w:val="24"/>
              </w:rPr>
              <w:t> </w:t>
            </w:r>
            <w:r>
              <w:rPr>
                <w:b/>
                <w:sz w:val="24"/>
              </w:rPr>
              <w:t>и</w:t>
            </w:r>
            <w:r>
              <w:rPr>
                <w:b/>
                <w:spacing w:val="-14"/>
                <w:sz w:val="24"/>
              </w:rPr>
              <w:t> </w:t>
            </w:r>
            <w:r>
              <w:rPr>
                <w:b/>
                <w:sz w:val="24"/>
              </w:rPr>
              <w:t>старшая</w:t>
            </w:r>
            <w:r>
              <w:rPr>
                <w:b/>
                <w:spacing w:val="-13"/>
                <w:sz w:val="24"/>
              </w:rPr>
              <w:t> </w:t>
            </w:r>
            <w:r>
              <w:rPr>
                <w:b/>
                <w:sz w:val="24"/>
              </w:rPr>
              <w:t>школа </w:t>
            </w:r>
            <w:r>
              <w:rPr>
                <w:b/>
                <w:spacing w:val="-2"/>
                <w:sz w:val="24"/>
              </w:rPr>
              <w:t>(N=232)</w:t>
            </w:r>
          </w:p>
        </w:tc>
      </w:tr>
      <w:tr>
        <w:trPr>
          <w:trHeight w:val="935" w:hRule="atLeast"/>
        </w:trPr>
        <w:tc>
          <w:tcPr>
            <w:tcW w:w="3975" w:type="dxa"/>
          </w:tcPr>
          <w:p>
            <w:pPr>
              <w:pStyle w:val="TableParagraph"/>
              <w:spacing w:before="34"/>
              <w:rPr>
                <w:b/>
                <w:sz w:val="24"/>
              </w:rPr>
            </w:pPr>
          </w:p>
          <w:p>
            <w:pPr>
              <w:pStyle w:val="TableParagraph"/>
              <w:ind w:left="100"/>
              <w:rPr>
                <w:sz w:val="24"/>
              </w:rPr>
            </w:pPr>
            <w:r>
              <w:rPr>
                <w:sz w:val="24"/>
              </w:rPr>
              <w:t>Ниже</w:t>
            </w:r>
            <w:r>
              <w:rPr>
                <w:spacing w:val="-5"/>
                <w:sz w:val="24"/>
              </w:rPr>
              <w:t> </w:t>
            </w:r>
            <w:r>
              <w:rPr>
                <w:spacing w:val="-2"/>
                <w:sz w:val="24"/>
              </w:rPr>
              <w:t>среднего</w:t>
            </w:r>
          </w:p>
        </w:tc>
        <w:tc>
          <w:tcPr>
            <w:tcW w:w="3977" w:type="dxa"/>
          </w:tcPr>
          <w:p>
            <w:pPr>
              <w:pStyle w:val="TableParagraph"/>
              <w:spacing w:before="34"/>
              <w:rPr>
                <w:b/>
                <w:sz w:val="24"/>
              </w:rPr>
            </w:pPr>
          </w:p>
          <w:p>
            <w:pPr>
              <w:pStyle w:val="TableParagraph"/>
              <w:ind w:left="17"/>
              <w:jc w:val="center"/>
              <w:rPr>
                <w:sz w:val="24"/>
              </w:rPr>
            </w:pPr>
            <w:r>
              <w:rPr>
                <w:sz w:val="24"/>
              </w:rPr>
              <w:t>&lt;</w:t>
            </w:r>
            <w:r>
              <w:rPr>
                <w:spacing w:val="-1"/>
                <w:sz w:val="24"/>
              </w:rPr>
              <w:t> </w:t>
            </w:r>
            <w:r>
              <w:rPr>
                <w:spacing w:val="-4"/>
                <w:sz w:val="24"/>
              </w:rPr>
              <w:t>44.0</w:t>
            </w:r>
          </w:p>
        </w:tc>
      </w:tr>
      <w:tr>
        <w:trPr>
          <w:trHeight w:val="935" w:hRule="atLeast"/>
        </w:trPr>
        <w:tc>
          <w:tcPr>
            <w:tcW w:w="3975" w:type="dxa"/>
          </w:tcPr>
          <w:p>
            <w:pPr>
              <w:pStyle w:val="TableParagraph"/>
              <w:spacing w:before="37"/>
              <w:rPr>
                <w:b/>
                <w:sz w:val="24"/>
              </w:rPr>
            </w:pPr>
          </w:p>
          <w:p>
            <w:pPr>
              <w:pStyle w:val="TableParagraph"/>
              <w:ind w:left="100"/>
              <w:rPr>
                <w:sz w:val="24"/>
              </w:rPr>
            </w:pPr>
            <w:r>
              <w:rPr>
                <w:spacing w:val="-2"/>
                <w:sz w:val="24"/>
              </w:rPr>
              <w:t>Средний</w:t>
            </w:r>
          </w:p>
        </w:tc>
        <w:tc>
          <w:tcPr>
            <w:tcW w:w="3977" w:type="dxa"/>
          </w:tcPr>
          <w:p>
            <w:pPr>
              <w:pStyle w:val="TableParagraph"/>
              <w:spacing w:before="37"/>
              <w:rPr>
                <w:b/>
                <w:sz w:val="24"/>
              </w:rPr>
            </w:pPr>
          </w:p>
          <w:p>
            <w:pPr>
              <w:pStyle w:val="TableParagraph"/>
              <w:ind w:left="1447"/>
              <w:rPr>
                <w:sz w:val="24"/>
              </w:rPr>
            </w:pPr>
            <w:r>
              <w:rPr>
                <w:sz w:val="24"/>
              </w:rPr>
              <w:t>44.0 – </w:t>
            </w:r>
            <w:r>
              <w:rPr>
                <w:spacing w:val="-4"/>
                <w:sz w:val="24"/>
              </w:rPr>
              <w:t>62.3</w:t>
            </w:r>
          </w:p>
        </w:tc>
      </w:tr>
      <w:tr>
        <w:trPr>
          <w:trHeight w:val="937" w:hRule="atLeast"/>
        </w:trPr>
        <w:tc>
          <w:tcPr>
            <w:tcW w:w="3975" w:type="dxa"/>
          </w:tcPr>
          <w:p>
            <w:pPr>
              <w:pStyle w:val="TableParagraph"/>
              <w:spacing w:before="37"/>
              <w:rPr>
                <w:b/>
                <w:sz w:val="24"/>
              </w:rPr>
            </w:pPr>
          </w:p>
          <w:p>
            <w:pPr>
              <w:pStyle w:val="TableParagraph"/>
              <w:ind w:left="100"/>
              <w:rPr>
                <w:sz w:val="24"/>
              </w:rPr>
            </w:pPr>
            <w:r>
              <w:rPr>
                <w:sz w:val="24"/>
              </w:rPr>
              <w:t>Выше</w:t>
            </w:r>
            <w:r>
              <w:rPr>
                <w:spacing w:val="-2"/>
                <w:sz w:val="24"/>
              </w:rPr>
              <w:t> среднего</w:t>
            </w:r>
          </w:p>
        </w:tc>
        <w:tc>
          <w:tcPr>
            <w:tcW w:w="3977" w:type="dxa"/>
          </w:tcPr>
          <w:p>
            <w:pPr>
              <w:pStyle w:val="TableParagraph"/>
              <w:spacing w:before="37"/>
              <w:rPr>
                <w:b/>
                <w:sz w:val="24"/>
              </w:rPr>
            </w:pPr>
          </w:p>
          <w:p>
            <w:pPr>
              <w:pStyle w:val="TableParagraph"/>
              <w:ind w:left="17"/>
              <w:jc w:val="center"/>
              <w:rPr>
                <w:sz w:val="24"/>
              </w:rPr>
            </w:pPr>
            <w:r>
              <w:rPr>
                <w:sz w:val="24"/>
              </w:rPr>
              <w:t>&gt;</w:t>
            </w:r>
            <w:r>
              <w:rPr>
                <w:spacing w:val="-1"/>
                <w:sz w:val="24"/>
              </w:rPr>
              <w:t> </w:t>
            </w:r>
            <w:r>
              <w:rPr>
                <w:spacing w:val="-4"/>
                <w:sz w:val="24"/>
              </w:rPr>
              <w:t>62.3</w:t>
            </w:r>
          </w:p>
        </w:tc>
      </w:tr>
    </w:tbl>
    <w:p>
      <w:pPr>
        <w:spacing w:before="233"/>
        <w:ind w:left="285" w:right="563" w:firstLine="0"/>
        <w:jc w:val="both"/>
        <w:rPr>
          <w:sz w:val="24"/>
        </w:rPr>
      </w:pPr>
      <w:r>
        <w:rPr>
          <w:i/>
          <w:sz w:val="24"/>
        </w:rPr>
        <w:t>Примечание</w:t>
      </w:r>
      <w:r>
        <w:rPr>
          <w:sz w:val="24"/>
        </w:rPr>
        <w:t>. Значимых гендерных различий не выявлено (t-критерий Стьюдента для независимых выборок).</w:t>
      </w:r>
    </w:p>
    <w:p>
      <w:pPr>
        <w:pStyle w:val="Heading3"/>
        <w:spacing w:before="249"/>
      </w:pPr>
      <w:r>
        <w:rPr/>
        <w:t>Психометрические</w:t>
      </w:r>
      <w:r>
        <w:rPr>
          <w:spacing w:val="-16"/>
        </w:rPr>
        <w:t> </w:t>
      </w:r>
      <w:r>
        <w:rPr/>
        <w:t>характеристики</w:t>
      </w:r>
      <w:r>
        <w:rPr>
          <w:spacing w:val="-14"/>
        </w:rPr>
        <w:t> </w:t>
      </w:r>
      <w:r>
        <w:rPr>
          <w:spacing w:val="-2"/>
        </w:rPr>
        <w:t>методики</w:t>
      </w:r>
    </w:p>
    <w:p>
      <w:pPr>
        <w:pStyle w:val="Heading4"/>
        <w:spacing w:before="232"/>
        <w:ind w:right="560"/>
      </w:pPr>
      <w:r>
        <w:rPr/>
        <w:t>Шкала психологического благополучия Уорик–Эдинбург (</w:t>
      </w:r>
      <w:r>
        <w:rPr>
          <w:i/>
        </w:rPr>
        <w:t>WEMWBS</w:t>
      </w:r>
      <w:r>
        <w:rPr/>
        <w:t>) одобрена для респондентов в возрасте от 11 лет и старше и переведена более чем на 30 языков.</w:t>
      </w:r>
    </w:p>
    <w:p>
      <w:pPr>
        <w:pStyle w:val="Heading4"/>
        <w:spacing w:before="242"/>
        <w:ind w:right="560"/>
      </w:pPr>
      <w:r>
        <w:rPr/>
        <w:t>В проверке методики в Великобритании участвовали как выборки учащихся (</w:t>
      </w:r>
      <w:r>
        <w:rPr>
          <w:i/>
        </w:rPr>
        <w:t>Anthony</w:t>
      </w:r>
      <w:r>
        <w:rPr>
          <w:i/>
          <w:spacing w:val="-11"/>
        </w:rPr>
        <w:t> </w:t>
      </w:r>
      <w:r>
        <w:rPr/>
        <w:t>et</w:t>
      </w:r>
      <w:r>
        <w:rPr>
          <w:spacing w:val="-9"/>
        </w:rPr>
        <w:t> </w:t>
      </w:r>
      <w:r>
        <w:rPr/>
        <w:t>al,</w:t>
      </w:r>
      <w:r>
        <w:rPr>
          <w:spacing w:val="-13"/>
        </w:rPr>
        <w:t> </w:t>
      </w:r>
      <w:r>
        <w:rPr/>
        <w:t>2021),</w:t>
      </w:r>
      <w:r>
        <w:rPr>
          <w:spacing w:val="-13"/>
        </w:rPr>
        <w:t> </w:t>
      </w:r>
      <w:r>
        <w:rPr/>
        <w:t>так</w:t>
      </w:r>
      <w:r>
        <w:rPr>
          <w:spacing w:val="-10"/>
        </w:rPr>
        <w:t> </w:t>
      </w:r>
      <w:r>
        <w:rPr/>
        <w:t>и</w:t>
      </w:r>
      <w:r>
        <w:rPr>
          <w:spacing w:val="-10"/>
        </w:rPr>
        <w:t> </w:t>
      </w:r>
      <w:r>
        <w:rPr/>
        <w:t>выборки</w:t>
      </w:r>
      <w:r>
        <w:rPr>
          <w:spacing w:val="-10"/>
        </w:rPr>
        <w:t> </w:t>
      </w:r>
      <w:r>
        <w:rPr/>
        <w:t>населения</w:t>
      </w:r>
      <w:r>
        <w:rPr>
          <w:spacing w:val="-12"/>
        </w:rPr>
        <w:t> </w:t>
      </w:r>
      <w:r>
        <w:rPr/>
        <w:t>в</w:t>
      </w:r>
      <w:r>
        <w:rPr>
          <w:spacing w:val="-11"/>
        </w:rPr>
        <w:t> </w:t>
      </w:r>
      <w:r>
        <w:rPr/>
        <w:t>целом</w:t>
      </w:r>
      <w:r>
        <w:rPr>
          <w:spacing w:val="-10"/>
        </w:rPr>
        <w:t> </w:t>
      </w:r>
      <w:r>
        <w:rPr/>
        <w:t>(</w:t>
      </w:r>
      <w:r>
        <w:rPr>
          <w:i/>
        </w:rPr>
        <w:t>McKay,</w:t>
      </w:r>
      <w:r>
        <w:rPr>
          <w:i/>
          <w:spacing w:val="-10"/>
        </w:rPr>
        <w:t> </w:t>
      </w:r>
      <w:r>
        <w:rPr>
          <w:i/>
        </w:rPr>
        <w:t>Andretta,</w:t>
      </w:r>
      <w:r>
        <w:rPr>
          <w:i/>
          <w:spacing w:val="-11"/>
        </w:rPr>
        <w:t> </w:t>
      </w:r>
      <w:r>
        <w:rPr/>
        <w:t>2017), а также фокус-группы. Факторный анализ подтверждает наличие одного фактора, интерпретируемого как психологическое благополучие. Оценки </w:t>
      </w:r>
      <w:r>
        <w:rPr>
          <w:i/>
        </w:rPr>
        <w:t>WEMWBS </w:t>
      </w:r>
      <w:r>
        <w:rPr/>
        <w:t>свидетельствуют о высокой надежности, внутренней согласованности и стабильности при повторном тестировании, и эти оценки ожидаемо</w:t>
      </w:r>
      <w:r>
        <w:rPr>
          <w:spacing w:val="53"/>
          <w:w w:val="150"/>
        </w:rPr>
        <w:t>  </w:t>
      </w:r>
      <w:r>
        <w:rPr/>
        <w:t>коррелируют</w:t>
      </w:r>
      <w:r>
        <w:rPr>
          <w:spacing w:val="52"/>
          <w:w w:val="150"/>
        </w:rPr>
        <w:t>  </w:t>
      </w:r>
      <w:r>
        <w:rPr/>
        <w:t>с</w:t>
      </w:r>
      <w:r>
        <w:rPr>
          <w:spacing w:val="52"/>
          <w:w w:val="150"/>
        </w:rPr>
        <w:t>  </w:t>
      </w:r>
      <w:r>
        <w:rPr/>
        <w:t>оценками</w:t>
      </w:r>
      <w:r>
        <w:rPr>
          <w:spacing w:val="53"/>
          <w:w w:val="150"/>
        </w:rPr>
        <w:t>  </w:t>
      </w:r>
      <w:r>
        <w:rPr/>
        <w:t>по</w:t>
      </w:r>
      <w:r>
        <w:rPr>
          <w:spacing w:val="53"/>
          <w:w w:val="150"/>
        </w:rPr>
        <w:t>  </w:t>
      </w:r>
      <w:r>
        <w:rPr/>
        <w:t>независимым</w:t>
      </w:r>
      <w:r>
        <w:rPr>
          <w:spacing w:val="53"/>
          <w:w w:val="150"/>
        </w:rPr>
        <w:t>  </w:t>
      </w:r>
      <w:r>
        <w:rPr>
          <w:spacing w:val="-2"/>
        </w:rPr>
        <w:t>показателям</w:t>
      </w:r>
    </w:p>
    <w:p>
      <w:pPr>
        <w:pStyle w:val="Heading4"/>
        <w:spacing w:after="0"/>
        <w:sectPr>
          <w:pgSz w:w="11910" w:h="16840"/>
          <w:pgMar w:header="0" w:footer="970" w:top="1040" w:bottom="1220" w:left="1417" w:right="283"/>
        </w:sectPr>
      </w:pPr>
    </w:p>
    <w:p>
      <w:pPr>
        <w:pStyle w:val="Heading4"/>
        <w:spacing w:line="242" w:lineRule="auto" w:before="67"/>
        <w:ind w:right="568"/>
      </w:pPr>
      <w:r>
        <w:rPr/>
        <w:t>эмоционального интеллекта, положительного и отрицательного влияния и удовлетворенности жизнью (</w:t>
      </w:r>
      <w:r>
        <w:rPr>
          <w:i/>
        </w:rPr>
        <w:t>Stewart-Brown </w:t>
      </w:r>
      <w:r>
        <w:rPr/>
        <w:t>et al., 2009).</w:t>
      </w:r>
    </w:p>
    <w:p>
      <w:pPr>
        <w:pStyle w:val="Heading4"/>
        <w:spacing w:before="236"/>
        <w:ind w:right="561"/>
      </w:pPr>
      <w:r>
        <w:rPr/>
        <w:t>Были обнаружены умеренно высокие корреляции между </w:t>
      </w:r>
      <w:r>
        <w:rPr>
          <w:i/>
        </w:rPr>
        <w:t>WEMWBS </w:t>
      </w:r>
      <w:r>
        <w:rPr/>
        <w:t>и рядом других</w:t>
      </w:r>
      <w:r>
        <w:rPr>
          <w:spacing w:val="55"/>
          <w:w w:val="150"/>
        </w:rPr>
        <w:t> </w:t>
      </w:r>
      <w:r>
        <w:rPr/>
        <w:t>шкал</w:t>
      </w:r>
      <w:r>
        <w:rPr>
          <w:vertAlign w:val="superscript"/>
        </w:rPr>
        <w:t>[3]</w:t>
      </w:r>
      <w:r>
        <w:rPr>
          <w:spacing w:val="59"/>
          <w:w w:val="150"/>
          <w:vertAlign w:val="baseline"/>
        </w:rPr>
        <w:t> </w:t>
      </w:r>
      <w:r>
        <w:rPr>
          <w:vertAlign w:val="baseline"/>
        </w:rPr>
        <w:t>Эти</w:t>
      </w:r>
      <w:r>
        <w:rPr>
          <w:spacing w:val="54"/>
          <w:w w:val="150"/>
          <w:vertAlign w:val="baseline"/>
        </w:rPr>
        <w:t> </w:t>
      </w:r>
      <w:r>
        <w:rPr>
          <w:vertAlign w:val="baseline"/>
        </w:rPr>
        <w:t>результаты</w:t>
      </w:r>
      <w:r>
        <w:rPr>
          <w:spacing w:val="57"/>
          <w:w w:val="150"/>
          <w:vertAlign w:val="baseline"/>
        </w:rPr>
        <w:t> </w:t>
      </w:r>
      <w:r>
        <w:rPr>
          <w:vertAlign w:val="baseline"/>
        </w:rPr>
        <w:t>аналогичны</w:t>
      </w:r>
      <w:r>
        <w:rPr>
          <w:spacing w:val="54"/>
          <w:w w:val="150"/>
          <w:vertAlign w:val="baseline"/>
        </w:rPr>
        <w:t> </w:t>
      </w:r>
      <w:r>
        <w:rPr>
          <w:vertAlign w:val="baseline"/>
        </w:rPr>
        <w:t>результатам,</w:t>
      </w:r>
      <w:r>
        <w:rPr>
          <w:spacing w:val="55"/>
          <w:w w:val="150"/>
          <w:vertAlign w:val="baseline"/>
        </w:rPr>
        <w:t> </w:t>
      </w:r>
      <w:r>
        <w:rPr>
          <w:vertAlign w:val="baseline"/>
        </w:rPr>
        <w:t>полученным</w:t>
      </w:r>
      <w:r>
        <w:rPr>
          <w:spacing w:val="55"/>
          <w:w w:val="150"/>
          <w:vertAlign w:val="baseline"/>
        </w:rPr>
        <w:t> </w:t>
      </w:r>
      <w:r>
        <w:rPr>
          <w:spacing w:val="-5"/>
          <w:vertAlign w:val="baseline"/>
        </w:rPr>
        <w:t>по</w:t>
      </w:r>
    </w:p>
    <w:p>
      <w:pPr>
        <w:pStyle w:val="Heading4"/>
        <w:spacing w:line="321" w:lineRule="exact"/>
      </w:pPr>
      <w:r>
        <w:rPr/>
        <w:t>«Аффектометру-2»</w:t>
      </w:r>
      <w:r>
        <w:rPr>
          <w:spacing w:val="21"/>
        </w:rPr>
        <w:t> </w:t>
      </w:r>
      <w:r>
        <w:rPr/>
        <w:t>и</w:t>
      </w:r>
      <w:r>
        <w:rPr>
          <w:spacing w:val="24"/>
        </w:rPr>
        <w:t> </w:t>
      </w:r>
      <w:r>
        <w:rPr/>
        <w:t>другим</w:t>
      </w:r>
      <w:r>
        <w:rPr>
          <w:spacing w:val="24"/>
        </w:rPr>
        <w:t> </w:t>
      </w:r>
      <w:r>
        <w:rPr/>
        <w:t>методикам,</w:t>
      </w:r>
      <w:r>
        <w:rPr>
          <w:spacing w:val="23"/>
        </w:rPr>
        <w:t> </w:t>
      </w:r>
      <w:r>
        <w:rPr/>
        <w:t>что</w:t>
      </w:r>
      <w:r>
        <w:rPr>
          <w:spacing w:val="24"/>
        </w:rPr>
        <w:t> </w:t>
      </w:r>
      <w:r>
        <w:rPr/>
        <w:t>было</w:t>
      </w:r>
      <w:r>
        <w:rPr>
          <w:spacing w:val="24"/>
        </w:rPr>
        <w:t> </w:t>
      </w:r>
      <w:r>
        <w:rPr/>
        <w:t>ожидаемо,</w:t>
      </w:r>
      <w:r>
        <w:rPr>
          <w:spacing w:val="23"/>
        </w:rPr>
        <w:t> </w:t>
      </w:r>
      <w:r>
        <w:rPr/>
        <w:t>учитывая,</w:t>
      </w:r>
      <w:r>
        <w:rPr>
          <w:spacing w:val="24"/>
        </w:rPr>
        <w:t> </w:t>
      </w:r>
      <w:r>
        <w:rPr>
          <w:spacing w:val="-5"/>
        </w:rPr>
        <w:t>что</w:t>
      </w:r>
    </w:p>
    <w:p>
      <w:pPr>
        <w:pStyle w:val="Heading4"/>
        <w:ind w:right="561"/>
      </w:pPr>
      <w:r>
        <w:rPr/>
        <w:t>«Аффектометр-2» был отправной точкой для исследований по шкале </w:t>
      </w:r>
      <w:r>
        <w:rPr>
          <w:i/>
        </w:rPr>
        <w:t>WEMWBS</w:t>
      </w:r>
      <w:r>
        <w:rPr/>
        <w:t>. То есть можно сделать вывод, что </w:t>
      </w:r>
      <w:r>
        <w:rPr>
          <w:i/>
        </w:rPr>
        <w:t>WEMWBS </w:t>
      </w:r>
      <w:r>
        <w:rPr/>
        <w:t>действительно охватывает как гедонистические, так и эвдемонические аспекты психологического благополучия.</w:t>
      </w:r>
    </w:p>
    <w:p>
      <w:pPr>
        <w:spacing w:before="240"/>
        <w:ind w:left="285" w:right="559" w:firstLine="0"/>
        <w:jc w:val="both"/>
        <w:rPr>
          <w:i/>
          <w:sz w:val="28"/>
        </w:rPr>
      </w:pPr>
      <w:r>
        <w:rPr>
          <w:i/>
          <w:sz w:val="28"/>
        </w:rPr>
        <w:t>WEMWBS </w:t>
      </w:r>
      <w:r>
        <w:rPr>
          <w:sz w:val="28"/>
        </w:rPr>
        <w:t>показал умеренную или низкую корреляцию со шкалой </w:t>
      </w:r>
      <w:r>
        <w:rPr>
          <w:i/>
          <w:sz w:val="28"/>
        </w:rPr>
        <w:t>EQ-5D Thermometr </w:t>
      </w:r>
      <w:r>
        <w:rPr>
          <w:sz w:val="28"/>
        </w:rPr>
        <w:t>(показателем общего физического и эмоционального здоровья) и шкалой эмоционального интеллекта (</w:t>
      </w:r>
      <w:r>
        <w:rPr>
          <w:i/>
          <w:sz w:val="28"/>
        </w:rPr>
        <w:t>Emotional Intelligence Scale</w:t>
      </w:r>
      <w:r>
        <w:rPr>
          <w:sz w:val="28"/>
        </w:rPr>
        <w:t>)</w:t>
      </w:r>
      <w:r>
        <w:rPr>
          <w:i/>
          <w:sz w:val="28"/>
        </w:rPr>
        <w:t>.</w:t>
      </w:r>
    </w:p>
    <w:p>
      <w:pPr>
        <w:pStyle w:val="Heading4"/>
        <w:spacing w:line="242" w:lineRule="auto" w:before="240"/>
        <w:ind w:right="562"/>
      </w:pPr>
      <w:r>
        <w:rPr/>
        <w:t>На выборке студентов (N=348) и на более широкой выборке респондентов от 16</w:t>
      </w:r>
      <w:r>
        <w:rPr>
          <w:spacing w:val="-15"/>
        </w:rPr>
        <w:t> </w:t>
      </w:r>
      <w:r>
        <w:rPr/>
        <w:t>до</w:t>
      </w:r>
      <w:r>
        <w:rPr>
          <w:spacing w:val="-15"/>
        </w:rPr>
        <w:t> </w:t>
      </w:r>
      <w:r>
        <w:rPr/>
        <w:t>74</w:t>
      </w:r>
      <w:r>
        <w:rPr>
          <w:spacing w:val="-15"/>
        </w:rPr>
        <w:t> </w:t>
      </w:r>
      <w:r>
        <w:rPr/>
        <w:t>лет</w:t>
      </w:r>
      <w:r>
        <w:rPr>
          <w:spacing w:val="-14"/>
        </w:rPr>
        <w:t> </w:t>
      </w:r>
      <w:r>
        <w:rPr/>
        <w:t>(N=1749)</w:t>
      </w:r>
      <w:r>
        <w:rPr>
          <w:spacing w:val="-16"/>
        </w:rPr>
        <w:t> </w:t>
      </w:r>
      <w:r>
        <w:rPr/>
        <w:t>были</w:t>
      </w:r>
      <w:r>
        <w:rPr>
          <w:spacing w:val="-13"/>
        </w:rPr>
        <w:t> </w:t>
      </w:r>
      <w:r>
        <w:rPr/>
        <w:t>получены</w:t>
      </w:r>
      <w:r>
        <w:rPr>
          <w:spacing w:val="-15"/>
        </w:rPr>
        <w:t> </w:t>
      </w:r>
      <w:r>
        <w:rPr/>
        <w:t>высокие</w:t>
      </w:r>
      <w:r>
        <w:rPr>
          <w:spacing w:val="-13"/>
        </w:rPr>
        <w:t> </w:t>
      </w:r>
      <w:r>
        <w:rPr/>
        <w:t>коэффициенты</w:t>
      </w:r>
      <w:r>
        <w:rPr>
          <w:spacing w:val="-13"/>
        </w:rPr>
        <w:t> </w:t>
      </w:r>
      <w:r>
        <w:rPr/>
        <w:t>альфа</w:t>
      </w:r>
      <w:r>
        <w:rPr>
          <w:spacing w:val="-15"/>
        </w:rPr>
        <w:t> </w:t>
      </w:r>
      <w:r>
        <w:rPr/>
        <w:t>Кронбаха</w:t>
      </w:r>
    </w:p>
    <w:p>
      <w:pPr>
        <w:pStyle w:val="Heading4"/>
        <w:ind w:right="567"/>
      </w:pPr>
      <w:r>
        <w:rPr/>
        <w:t>— .89 и .91 соответственно. Данный факт свидетельствует о хорошем уровне внутренней</w:t>
      </w:r>
      <w:r>
        <w:rPr>
          <w:spacing w:val="-13"/>
        </w:rPr>
        <w:t> </w:t>
      </w:r>
      <w:r>
        <w:rPr/>
        <w:t>согласованности,</w:t>
      </w:r>
      <w:r>
        <w:rPr>
          <w:spacing w:val="-14"/>
        </w:rPr>
        <w:t> </w:t>
      </w:r>
      <w:r>
        <w:rPr/>
        <w:t>а</w:t>
      </w:r>
      <w:r>
        <w:rPr>
          <w:spacing w:val="-13"/>
        </w:rPr>
        <w:t> </w:t>
      </w:r>
      <w:r>
        <w:rPr/>
        <w:t>также</w:t>
      </w:r>
      <w:r>
        <w:rPr>
          <w:spacing w:val="-15"/>
        </w:rPr>
        <w:t> </w:t>
      </w:r>
      <w:r>
        <w:rPr/>
        <w:t>о</w:t>
      </w:r>
      <w:r>
        <w:rPr>
          <w:spacing w:val="-13"/>
        </w:rPr>
        <w:t> </w:t>
      </w:r>
      <w:r>
        <w:rPr/>
        <w:t>том,</w:t>
      </w:r>
      <w:r>
        <w:rPr>
          <w:spacing w:val="-14"/>
        </w:rPr>
        <w:t> </w:t>
      </w:r>
      <w:r>
        <w:rPr/>
        <w:t>что</w:t>
      </w:r>
      <w:r>
        <w:rPr>
          <w:spacing w:val="-13"/>
        </w:rPr>
        <w:t> </w:t>
      </w:r>
      <w:r>
        <w:rPr/>
        <w:t>могут</w:t>
      </w:r>
      <w:r>
        <w:rPr>
          <w:spacing w:val="-14"/>
        </w:rPr>
        <w:t> </w:t>
      </w:r>
      <w:r>
        <w:rPr/>
        <w:t>появиться</w:t>
      </w:r>
      <w:r>
        <w:rPr>
          <w:spacing w:val="-13"/>
        </w:rPr>
        <w:t> </w:t>
      </w:r>
      <w:r>
        <w:rPr/>
        <w:t>возможности для дальнейшего сокращения количества пунктов в шкале.</w:t>
      </w:r>
    </w:p>
    <w:p>
      <w:pPr>
        <w:pStyle w:val="Heading4"/>
        <w:spacing w:before="234"/>
        <w:ind w:right="568"/>
      </w:pPr>
      <w:r>
        <w:rPr/>
        <w:t>Методика демонстрирует достаточно высокий уровень ретестовой надежности</w:t>
      </w:r>
      <w:r>
        <w:rPr>
          <w:spacing w:val="9"/>
        </w:rPr>
        <w:t> </w:t>
      </w:r>
      <w:r>
        <w:rPr/>
        <w:t>при</w:t>
      </w:r>
      <w:r>
        <w:rPr>
          <w:spacing w:val="12"/>
        </w:rPr>
        <w:t> </w:t>
      </w:r>
      <w:r>
        <w:rPr/>
        <w:t>сравнении</w:t>
      </w:r>
      <w:r>
        <w:rPr>
          <w:spacing w:val="10"/>
        </w:rPr>
        <w:t> </w:t>
      </w:r>
      <w:r>
        <w:rPr/>
        <w:t>ответов</w:t>
      </w:r>
      <w:r>
        <w:rPr>
          <w:spacing w:val="9"/>
        </w:rPr>
        <w:t> </w:t>
      </w:r>
      <w:r>
        <w:rPr/>
        <w:t>одних</w:t>
      </w:r>
      <w:r>
        <w:rPr>
          <w:spacing w:val="13"/>
        </w:rPr>
        <w:t> </w:t>
      </w:r>
      <w:r>
        <w:rPr/>
        <w:t>и</w:t>
      </w:r>
      <w:r>
        <w:rPr>
          <w:spacing w:val="12"/>
        </w:rPr>
        <w:t> </w:t>
      </w:r>
      <w:r>
        <w:rPr/>
        <w:t>тех</w:t>
      </w:r>
      <w:r>
        <w:rPr>
          <w:spacing w:val="13"/>
        </w:rPr>
        <w:t> </w:t>
      </w:r>
      <w:r>
        <w:rPr/>
        <w:t>же</w:t>
      </w:r>
      <w:r>
        <w:rPr>
          <w:spacing w:val="12"/>
        </w:rPr>
        <w:t> </w:t>
      </w:r>
      <w:r>
        <w:rPr/>
        <w:t>испытуемых</w:t>
      </w:r>
      <w:r>
        <w:rPr>
          <w:spacing w:val="13"/>
        </w:rPr>
        <w:t> </w:t>
      </w:r>
      <w:r>
        <w:rPr>
          <w:spacing w:val="-2"/>
        </w:rPr>
        <w:t>(корреляция</w:t>
      </w:r>
    </w:p>
    <w:p>
      <w:pPr>
        <w:pStyle w:val="Heading4"/>
        <w:ind w:right="561"/>
      </w:pPr>
      <w:r>
        <w:rPr/>
        <w:t>.83</w:t>
      </w:r>
      <w:r>
        <w:rPr>
          <w:spacing w:val="-9"/>
        </w:rPr>
        <w:t> </w:t>
      </w:r>
      <w:r>
        <w:rPr/>
        <w:t>через</w:t>
      </w:r>
      <w:r>
        <w:rPr>
          <w:spacing w:val="-10"/>
        </w:rPr>
        <w:t> </w:t>
      </w:r>
      <w:r>
        <w:rPr/>
        <w:t>одну</w:t>
      </w:r>
      <w:r>
        <w:rPr>
          <w:spacing w:val="-11"/>
        </w:rPr>
        <w:t> </w:t>
      </w:r>
      <w:r>
        <w:rPr/>
        <w:t>неделю,</w:t>
      </w:r>
      <w:r>
        <w:rPr>
          <w:spacing w:val="-8"/>
        </w:rPr>
        <w:t> </w:t>
      </w:r>
      <w:r>
        <w:rPr/>
        <w:t>N</w:t>
      </w:r>
      <w:r>
        <w:rPr>
          <w:spacing w:val="-9"/>
        </w:rPr>
        <w:t> </w:t>
      </w:r>
      <w:r>
        <w:rPr/>
        <w:t>=</w:t>
      </w:r>
      <w:r>
        <w:rPr>
          <w:spacing w:val="-8"/>
        </w:rPr>
        <w:t> </w:t>
      </w:r>
      <w:r>
        <w:rPr/>
        <w:t>124).</w:t>
      </w:r>
      <w:r>
        <w:rPr>
          <w:spacing w:val="-8"/>
        </w:rPr>
        <w:t> </w:t>
      </w:r>
      <w:r>
        <w:rPr/>
        <w:t>Это</w:t>
      </w:r>
      <w:r>
        <w:rPr>
          <w:spacing w:val="-9"/>
        </w:rPr>
        <w:t> </w:t>
      </w:r>
      <w:r>
        <w:rPr/>
        <w:t>говорит</w:t>
      </w:r>
      <w:r>
        <w:rPr>
          <w:spacing w:val="-10"/>
        </w:rPr>
        <w:t> </w:t>
      </w:r>
      <w:r>
        <w:rPr/>
        <w:t>о</w:t>
      </w:r>
      <w:r>
        <w:rPr>
          <w:spacing w:val="-7"/>
        </w:rPr>
        <w:t> </w:t>
      </w:r>
      <w:r>
        <w:rPr/>
        <w:t>том,</w:t>
      </w:r>
      <w:r>
        <w:rPr>
          <w:spacing w:val="-8"/>
        </w:rPr>
        <w:t> </w:t>
      </w:r>
      <w:r>
        <w:rPr/>
        <w:t>что</w:t>
      </w:r>
      <w:r>
        <w:rPr>
          <w:spacing w:val="-7"/>
        </w:rPr>
        <w:t> </w:t>
      </w:r>
      <w:r>
        <w:rPr/>
        <w:t>временные</w:t>
      </w:r>
      <w:r>
        <w:rPr>
          <w:spacing w:val="-10"/>
        </w:rPr>
        <w:t> </w:t>
      </w:r>
      <w:r>
        <w:rPr/>
        <w:t>колебания, которые человек может испытывать день ото дня, не отражаются на оценках, и эти оценки остаются устойчивыми в течение некоторого времени.</w:t>
      </w:r>
    </w:p>
    <w:p>
      <w:pPr>
        <w:pStyle w:val="Heading3"/>
        <w:spacing w:before="248"/>
      </w:pPr>
      <w:r>
        <w:rPr/>
        <w:t>Адаптация</w:t>
      </w:r>
      <w:r>
        <w:rPr>
          <w:spacing w:val="-6"/>
        </w:rPr>
        <w:t> </w:t>
      </w:r>
      <w:r>
        <w:rPr/>
        <w:t>методики</w:t>
      </w:r>
      <w:r>
        <w:rPr>
          <w:spacing w:val="-4"/>
        </w:rPr>
        <w:t> </w:t>
      </w:r>
      <w:r>
        <w:rPr/>
        <w:t>на</w:t>
      </w:r>
      <w:r>
        <w:rPr>
          <w:spacing w:val="-5"/>
        </w:rPr>
        <w:t> </w:t>
      </w:r>
      <w:r>
        <w:rPr/>
        <w:t>русском</w:t>
      </w:r>
      <w:r>
        <w:rPr>
          <w:spacing w:val="-5"/>
        </w:rPr>
        <w:t> </w:t>
      </w:r>
      <w:r>
        <w:rPr>
          <w:spacing w:val="-4"/>
        </w:rPr>
        <w:t>языке</w:t>
      </w:r>
    </w:p>
    <w:p>
      <w:pPr>
        <w:spacing w:line="240" w:lineRule="auto" w:before="233"/>
        <w:ind w:left="285" w:right="560" w:firstLine="0"/>
        <w:jc w:val="both"/>
        <w:rPr>
          <w:sz w:val="28"/>
        </w:rPr>
      </w:pPr>
      <w:r>
        <w:rPr>
          <w:sz w:val="28"/>
        </w:rPr>
        <w:t>В России методика была адаптирована С.К. Нартовой-Бочавер в 2013 году. Данная</w:t>
      </w:r>
      <w:r>
        <w:rPr>
          <w:spacing w:val="-1"/>
          <w:sz w:val="28"/>
        </w:rPr>
        <w:t> </w:t>
      </w:r>
      <w:r>
        <w:rPr>
          <w:sz w:val="28"/>
        </w:rPr>
        <w:t>методика</w:t>
      </w:r>
      <w:r>
        <w:rPr>
          <w:spacing w:val="-1"/>
          <w:sz w:val="28"/>
        </w:rPr>
        <w:t> </w:t>
      </w:r>
      <w:r>
        <w:rPr>
          <w:sz w:val="28"/>
        </w:rPr>
        <w:t>применялась</w:t>
      </w:r>
      <w:r>
        <w:rPr>
          <w:spacing w:val="-3"/>
          <w:sz w:val="28"/>
        </w:rPr>
        <w:t> </w:t>
      </w:r>
      <w:r>
        <w:rPr>
          <w:sz w:val="28"/>
        </w:rPr>
        <w:t>автором</w:t>
      </w:r>
      <w:r>
        <w:rPr>
          <w:spacing w:val="-3"/>
          <w:sz w:val="28"/>
        </w:rPr>
        <w:t> </w:t>
      </w:r>
      <w:r>
        <w:rPr>
          <w:sz w:val="28"/>
        </w:rPr>
        <w:t>русскоязычной</w:t>
      </w:r>
      <w:r>
        <w:rPr>
          <w:spacing w:val="-1"/>
          <w:sz w:val="28"/>
        </w:rPr>
        <w:t> </w:t>
      </w:r>
      <w:r>
        <w:rPr>
          <w:sz w:val="28"/>
        </w:rPr>
        <w:t>версии</w:t>
      </w:r>
      <w:r>
        <w:rPr>
          <w:spacing w:val="-1"/>
          <w:sz w:val="28"/>
        </w:rPr>
        <w:t> </w:t>
      </w:r>
      <w:r>
        <w:rPr>
          <w:sz w:val="28"/>
        </w:rPr>
        <w:t>и</w:t>
      </w:r>
      <w:r>
        <w:rPr>
          <w:spacing w:val="-1"/>
          <w:sz w:val="28"/>
        </w:rPr>
        <w:t> </w:t>
      </w:r>
      <w:r>
        <w:rPr>
          <w:sz w:val="28"/>
        </w:rPr>
        <w:t>ее</w:t>
      </w:r>
      <w:r>
        <w:rPr>
          <w:spacing w:val="-2"/>
          <w:sz w:val="28"/>
        </w:rPr>
        <w:t> </w:t>
      </w:r>
      <w:r>
        <w:rPr>
          <w:sz w:val="28"/>
        </w:rPr>
        <w:t>коллегами в различных исследованиях при участии взрослых испытуемых, студентов (</w:t>
      </w:r>
      <w:r>
        <w:rPr>
          <w:i/>
          <w:sz w:val="28"/>
        </w:rPr>
        <w:t>Robinson, Lopez, Ramos</w:t>
      </w:r>
      <w:r>
        <w:rPr>
          <w:sz w:val="28"/>
        </w:rPr>
        <w:t>, </w:t>
      </w:r>
      <w:r>
        <w:rPr>
          <w:i/>
          <w:sz w:val="28"/>
        </w:rPr>
        <w:t>Nartova-Bochaver, </w:t>
      </w:r>
      <w:r>
        <w:rPr>
          <w:sz w:val="28"/>
        </w:rPr>
        <w:t>2013)</w:t>
      </w:r>
      <w:r>
        <w:rPr>
          <w:sz w:val="28"/>
          <w:vertAlign w:val="superscript"/>
        </w:rPr>
        <w:t>[4]</w:t>
      </w:r>
      <w:r>
        <w:rPr>
          <w:sz w:val="28"/>
          <w:vertAlign w:val="baseline"/>
        </w:rPr>
        <w:t>, испытуемых юношеского и взрослого возраста (</w:t>
      </w:r>
      <w:r>
        <w:rPr>
          <w:i/>
          <w:sz w:val="28"/>
          <w:vertAlign w:val="baseline"/>
        </w:rPr>
        <w:t>Нартова-Бочавер, Подлипняк, Хохлова, </w:t>
      </w:r>
      <w:r>
        <w:rPr>
          <w:sz w:val="28"/>
          <w:vertAlign w:val="baseline"/>
        </w:rPr>
        <w:t>2013), а также на выборке старших школьников — средний возраст 14.6 (</w:t>
      </w:r>
      <w:r>
        <w:rPr>
          <w:i/>
          <w:sz w:val="28"/>
          <w:vertAlign w:val="baseline"/>
        </w:rPr>
        <w:t>Нартова-Бочавер, Резниченко,</w:t>
      </w:r>
      <w:r>
        <w:rPr>
          <w:i/>
          <w:spacing w:val="-18"/>
          <w:sz w:val="28"/>
          <w:vertAlign w:val="baseline"/>
        </w:rPr>
        <w:t> </w:t>
      </w:r>
      <w:r>
        <w:rPr>
          <w:i/>
          <w:sz w:val="28"/>
          <w:vertAlign w:val="baseline"/>
        </w:rPr>
        <w:t>Дмитриева,</w:t>
      </w:r>
      <w:r>
        <w:rPr>
          <w:i/>
          <w:spacing w:val="-17"/>
          <w:sz w:val="28"/>
          <w:vertAlign w:val="baseline"/>
        </w:rPr>
        <w:t> </w:t>
      </w:r>
      <w:r>
        <w:rPr>
          <w:i/>
          <w:sz w:val="28"/>
          <w:vertAlign w:val="baseline"/>
        </w:rPr>
        <w:t>Кузнецова,</w:t>
      </w:r>
      <w:r>
        <w:rPr>
          <w:i/>
          <w:spacing w:val="-18"/>
          <w:sz w:val="28"/>
          <w:vertAlign w:val="baseline"/>
        </w:rPr>
        <w:t> </w:t>
      </w:r>
      <w:r>
        <w:rPr>
          <w:i/>
          <w:sz w:val="28"/>
          <w:vertAlign w:val="baseline"/>
        </w:rPr>
        <w:t>Брагинец,</w:t>
      </w:r>
      <w:r>
        <w:rPr>
          <w:i/>
          <w:spacing w:val="-17"/>
          <w:sz w:val="28"/>
          <w:vertAlign w:val="baseline"/>
        </w:rPr>
        <w:t> </w:t>
      </w:r>
      <w:r>
        <w:rPr>
          <w:sz w:val="28"/>
          <w:vertAlign w:val="baseline"/>
        </w:rPr>
        <w:t>2015).</w:t>
      </w:r>
      <w:r>
        <w:rPr>
          <w:spacing w:val="-18"/>
          <w:sz w:val="28"/>
          <w:vertAlign w:val="baseline"/>
        </w:rPr>
        <w:t> </w:t>
      </w:r>
      <w:r>
        <w:rPr>
          <w:sz w:val="28"/>
          <w:vertAlign w:val="baseline"/>
        </w:rPr>
        <w:t>Шкала</w:t>
      </w:r>
      <w:r>
        <w:rPr>
          <w:spacing w:val="-17"/>
          <w:sz w:val="28"/>
          <w:vertAlign w:val="baseline"/>
        </w:rPr>
        <w:t> </w:t>
      </w:r>
      <w:r>
        <w:rPr>
          <w:sz w:val="28"/>
          <w:vertAlign w:val="baseline"/>
        </w:rPr>
        <w:t>показала</w:t>
      </w:r>
      <w:r>
        <w:rPr>
          <w:spacing w:val="-18"/>
          <w:sz w:val="28"/>
          <w:vertAlign w:val="baseline"/>
        </w:rPr>
        <w:t> </w:t>
      </w:r>
      <w:r>
        <w:rPr>
          <w:sz w:val="28"/>
          <w:vertAlign w:val="baseline"/>
        </w:rPr>
        <w:t>высокую степень внутренней согласованности — альфа Кронбаха .84.</w:t>
      </w:r>
    </w:p>
    <w:p>
      <w:pPr>
        <w:pStyle w:val="Heading4"/>
        <w:spacing w:before="240"/>
        <w:ind w:right="563"/>
      </w:pPr>
      <w:r>
        <w:rPr/>
        <w:t>В 2022 г. методика была адаптирована для детей — иностранных граждан в рамках апробации в 12 регионах РФ программы оценки особых образовательных потребностей ребенка-мигранта в сферах психологического благополучия,</w:t>
      </w:r>
      <w:r>
        <w:rPr>
          <w:spacing w:val="-16"/>
        </w:rPr>
        <w:t> </w:t>
      </w:r>
      <w:r>
        <w:rPr/>
        <w:t>социальных</w:t>
      </w:r>
      <w:r>
        <w:rPr>
          <w:spacing w:val="-15"/>
        </w:rPr>
        <w:t> </w:t>
      </w:r>
      <w:r>
        <w:rPr/>
        <w:t>навыков</w:t>
      </w:r>
      <w:r>
        <w:rPr>
          <w:spacing w:val="-17"/>
        </w:rPr>
        <w:t> </w:t>
      </w:r>
      <w:r>
        <w:rPr/>
        <w:t>и</w:t>
      </w:r>
      <w:r>
        <w:rPr>
          <w:spacing w:val="-18"/>
        </w:rPr>
        <w:t> </w:t>
      </w:r>
      <w:r>
        <w:rPr/>
        <w:t>культурной</w:t>
      </w:r>
      <w:r>
        <w:rPr>
          <w:spacing w:val="-17"/>
        </w:rPr>
        <w:t> </w:t>
      </w:r>
      <w:r>
        <w:rPr/>
        <w:t>адаптации</w:t>
      </w:r>
      <w:r>
        <w:rPr>
          <w:spacing w:val="-15"/>
        </w:rPr>
        <w:t> </w:t>
      </w:r>
      <w:r>
        <w:rPr/>
        <w:t>(N</w:t>
      </w:r>
      <w:r>
        <w:rPr>
          <w:spacing w:val="-17"/>
        </w:rPr>
        <w:t> </w:t>
      </w:r>
      <w:r>
        <w:rPr/>
        <w:t>=</w:t>
      </w:r>
      <w:r>
        <w:rPr>
          <w:spacing w:val="-16"/>
        </w:rPr>
        <w:t> </w:t>
      </w:r>
      <w:r>
        <w:rPr/>
        <w:t>232).</w:t>
      </w:r>
      <w:r>
        <w:rPr>
          <w:spacing w:val="-16"/>
        </w:rPr>
        <w:t> </w:t>
      </w:r>
      <w:r>
        <w:rPr/>
        <w:t>Шкалы методики показали достаточную степень внутренней согласованности (альфа Кронбаха 0.894).</w:t>
      </w:r>
    </w:p>
    <w:p>
      <w:pPr>
        <w:pStyle w:val="Heading4"/>
        <w:spacing w:after="0"/>
        <w:sectPr>
          <w:pgSz w:w="11910" w:h="16840"/>
          <w:pgMar w:header="0" w:footer="970" w:top="1040" w:bottom="1220" w:left="1417" w:right="283"/>
        </w:sectPr>
      </w:pPr>
    </w:p>
    <w:p>
      <w:pPr>
        <w:pStyle w:val="Heading4"/>
        <w:spacing w:before="67"/>
        <w:ind w:right="560"/>
      </w:pPr>
      <w:r>
        <w:rPr/>
        <w:t>В исследовании обнаружены предсказуемые корреляции со шкалами иных методик: значимая корреляция с многомерной шкалой удовлетворенности жизнью школьников ШУДЖИ (0.505, P&lt;0.01); значимые отрицательные корреляции с опросником Ахенбаха, а именно с такими субшкалами, как проблемы интернализации (-0.424, P&lt;0.01), замкнутость (-0.388, P&lt;0.01), тревожность – депрессивность (-0.366, P&lt;0.01) и делинквентность (- 0.366,P&lt;0.01). Приведенные данные доказывают внешнюю валидность методики при диагностике детей — иностранных граждан.</w:t>
      </w: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spacing w:before="23"/>
        <w:ind w:left="0" w:right="0" w:firstLine="0"/>
        <w:jc w:val="left"/>
      </w:pPr>
      <w:r>
        <w:rPr/>
        <mc:AlternateContent>
          <mc:Choice Requires="wps">
            <w:drawing>
              <wp:anchor distT="0" distB="0" distL="0" distR="0" allowOverlap="1" layoutInCell="1" locked="0" behindDoc="1" simplePos="0" relativeHeight="487595008">
                <wp:simplePos x="0" y="0"/>
                <wp:positionH relativeFrom="page">
                  <wp:posOffset>1080820</wp:posOffset>
                </wp:positionH>
                <wp:positionV relativeFrom="paragraph">
                  <wp:posOffset>176070</wp:posOffset>
                </wp:positionV>
                <wp:extent cx="5941695" cy="6985"/>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5941695" cy="6985"/>
                        </a:xfrm>
                        <a:custGeom>
                          <a:avLst/>
                          <a:gdLst/>
                          <a:ahLst/>
                          <a:cxnLst/>
                          <a:rect l="l" t="t" r="r" b="b"/>
                          <a:pathLst>
                            <a:path w="5941695" h="6985">
                              <a:moveTo>
                                <a:pt x="5938393" y="0"/>
                              </a:moveTo>
                              <a:lnTo>
                                <a:pt x="3048" y="0"/>
                              </a:lnTo>
                              <a:lnTo>
                                <a:pt x="0" y="0"/>
                              </a:lnTo>
                              <a:lnTo>
                                <a:pt x="0" y="3048"/>
                              </a:lnTo>
                              <a:lnTo>
                                <a:pt x="0" y="3429"/>
                              </a:lnTo>
                              <a:lnTo>
                                <a:pt x="0" y="6096"/>
                              </a:lnTo>
                              <a:lnTo>
                                <a:pt x="0" y="6477"/>
                              </a:lnTo>
                              <a:lnTo>
                                <a:pt x="3048" y="6477"/>
                              </a:lnTo>
                              <a:lnTo>
                                <a:pt x="3048" y="6096"/>
                              </a:lnTo>
                              <a:lnTo>
                                <a:pt x="5938393" y="6096"/>
                              </a:lnTo>
                              <a:lnTo>
                                <a:pt x="5938393" y="3048"/>
                              </a:lnTo>
                              <a:lnTo>
                                <a:pt x="5938393" y="0"/>
                              </a:lnTo>
                              <a:close/>
                            </a:path>
                            <a:path w="5941695" h="6985">
                              <a:moveTo>
                                <a:pt x="5941517" y="0"/>
                              </a:moveTo>
                              <a:lnTo>
                                <a:pt x="5938469" y="0"/>
                              </a:lnTo>
                              <a:lnTo>
                                <a:pt x="5938469" y="3048"/>
                              </a:lnTo>
                              <a:lnTo>
                                <a:pt x="5938469" y="6096"/>
                              </a:lnTo>
                              <a:lnTo>
                                <a:pt x="5941517" y="6096"/>
                              </a:lnTo>
                              <a:lnTo>
                                <a:pt x="5941517" y="3048"/>
                              </a:lnTo>
                              <a:lnTo>
                                <a:pt x="5941517"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style="position:absolute;margin-left:85.104004pt;margin-top:13.863838pt;width:467.85pt;height:.550pt;mso-position-horizontal-relative:page;mso-position-vertical-relative:paragraph;z-index:-15721472;mso-wrap-distance-left:0;mso-wrap-distance-right:0" id="docshape19" coordorigin="1702,277" coordsize="9357,11" path="m11054,277l1707,277,1702,277,1702,282,1702,283,1702,287,1702,287,1707,287,1707,287,11054,287,11054,282,11054,277xm11059,277l11054,277,11054,282,11054,287,11059,287,11059,282,11059,277xe" filled="true" fillcolor="#9f9f9f" stroked="false">
                <v:path arrowok="t"/>
                <v:fill type="solid"/>
                <w10:wrap type="topAndBottom"/>
              </v:shape>
            </w:pict>
          </mc:Fallback>
        </mc:AlternateContent>
      </w:r>
    </w:p>
    <w:p>
      <w:pPr>
        <w:pStyle w:val="BodyText"/>
        <w:spacing w:before="51"/>
        <w:ind w:left="0" w:right="0" w:firstLine="0"/>
        <w:jc w:val="left"/>
      </w:pPr>
    </w:p>
    <w:p>
      <w:pPr>
        <w:pStyle w:val="BodyText"/>
        <w:ind w:left="285" w:right="565" w:firstLine="0"/>
      </w:pPr>
      <w:r>
        <w:rPr>
          <w:vertAlign w:val="superscript"/>
        </w:rPr>
        <w:t>[3]</w:t>
      </w:r>
      <w:r>
        <w:rPr>
          <w:vertAlign w:val="baseline"/>
        </w:rPr>
        <w:t> Шкалой психологического благополучия (Scale of Psychological Well-being); Шкалой удовлетворенности жизнью</w:t>
      </w:r>
      <w:r>
        <w:rPr>
          <w:spacing w:val="-5"/>
          <w:vertAlign w:val="baseline"/>
        </w:rPr>
        <w:t> </w:t>
      </w:r>
      <w:r>
        <w:rPr>
          <w:vertAlign w:val="baseline"/>
        </w:rPr>
        <w:t>(Satisfaction</w:t>
      </w:r>
      <w:r>
        <w:rPr>
          <w:spacing w:val="-7"/>
          <w:vertAlign w:val="baseline"/>
        </w:rPr>
        <w:t> </w:t>
      </w:r>
      <w:r>
        <w:rPr>
          <w:vertAlign w:val="baseline"/>
        </w:rPr>
        <w:t>With</w:t>
      </w:r>
      <w:r>
        <w:rPr>
          <w:spacing w:val="-7"/>
          <w:vertAlign w:val="baseline"/>
        </w:rPr>
        <w:t> </w:t>
      </w:r>
      <w:r>
        <w:rPr>
          <w:vertAlign w:val="baseline"/>
        </w:rPr>
        <w:t>Life</w:t>
      </w:r>
      <w:r>
        <w:rPr>
          <w:spacing w:val="-5"/>
          <w:vertAlign w:val="baseline"/>
        </w:rPr>
        <w:t> </w:t>
      </w:r>
      <w:r>
        <w:rPr>
          <w:vertAlign w:val="baseline"/>
        </w:rPr>
        <w:t>Scale);</w:t>
      </w:r>
      <w:r>
        <w:rPr>
          <w:spacing w:val="-6"/>
          <w:vertAlign w:val="baseline"/>
        </w:rPr>
        <w:t> </w:t>
      </w:r>
      <w:r>
        <w:rPr>
          <w:vertAlign w:val="baseline"/>
        </w:rPr>
        <w:t>Краткой</w:t>
      </w:r>
      <w:r>
        <w:rPr>
          <w:spacing w:val="-7"/>
          <w:vertAlign w:val="baseline"/>
        </w:rPr>
        <w:t> </w:t>
      </w:r>
      <w:r>
        <w:rPr>
          <w:vertAlign w:val="baseline"/>
        </w:rPr>
        <w:t>шкалой</w:t>
      </w:r>
      <w:r>
        <w:rPr>
          <w:spacing w:val="-7"/>
          <w:vertAlign w:val="baseline"/>
        </w:rPr>
        <w:t> </w:t>
      </w:r>
      <w:r>
        <w:rPr>
          <w:vertAlign w:val="baseline"/>
        </w:rPr>
        <w:t>депрессии</w:t>
      </w:r>
      <w:r>
        <w:rPr>
          <w:spacing w:val="-5"/>
          <w:vertAlign w:val="baseline"/>
        </w:rPr>
        <w:t> </w:t>
      </w:r>
      <w:r>
        <w:rPr>
          <w:color w:val="FF0000"/>
          <w:vertAlign w:val="baseline"/>
        </w:rPr>
        <w:t>–</w:t>
      </w:r>
      <w:r>
        <w:rPr>
          <w:color w:val="FF0000"/>
          <w:spacing w:val="-4"/>
          <w:vertAlign w:val="baseline"/>
        </w:rPr>
        <w:t> </w:t>
      </w:r>
      <w:r>
        <w:rPr>
          <w:vertAlign w:val="baseline"/>
        </w:rPr>
        <w:t>счастья</w:t>
      </w:r>
      <w:r>
        <w:rPr>
          <w:spacing w:val="-5"/>
          <w:vertAlign w:val="baseline"/>
        </w:rPr>
        <w:t> </w:t>
      </w:r>
      <w:r>
        <w:rPr>
          <w:vertAlign w:val="baseline"/>
        </w:rPr>
        <w:t>(Short</w:t>
      </w:r>
      <w:r>
        <w:rPr>
          <w:spacing w:val="-6"/>
          <w:vertAlign w:val="baseline"/>
        </w:rPr>
        <w:t> </w:t>
      </w:r>
      <w:r>
        <w:rPr>
          <w:vertAlign w:val="baseline"/>
        </w:rPr>
        <w:t>Depression</w:t>
      </w:r>
      <w:r>
        <w:rPr>
          <w:spacing w:val="-7"/>
          <w:vertAlign w:val="baseline"/>
        </w:rPr>
        <w:t> </w:t>
      </w:r>
      <w:r>
        <w:rPr>
          <w:vertAlign w:val="baseline"/>
        </w:rPr>
        <w:t>Happiness</w:t>
      </w:r>
      <w:r>
        <w:rPr>
          <w:spacing w:val="-6"/>
          <w:vertAlign w:val="baseline"/>
        </w:rPr>
        <w:t> </w:t>
      </w:r>
      <w:r>
        <w:rPr>
          <w:vertAlign w:val="baseline"/>
        </w:rPr>
        <w:t>Scale); Шкалой позитивного и негативного влияния — позитивная подшкала (Positive and Negative Affect Scale — Positive Subscale); Индексом благополучия (WHO-Five Well-being Index) и др.</w:t>
      </w:r>
    </w:p>
    <w:p>
      <w:pPr>
        <w:pStyle w:val="BodyText"/>
        <w:spacing w:before="9"/>
        <w:ind w:left="0" w:right="0" w:firstLine="0"/>
        <w:jc w:val="left"/>
      </w:pPr>
    </w:p>
    <w:p>
      <w:pPr>
        <w:pStyle w:val="BodyText"/>
        <w:ind w:left="285" w:right="570" w:firstLine="0"/>
      </w:pPr>
      <w:r>
        <w:rPr>
          <w:vertAlign w:val="superscript"/>
        </w:rPr>
        <w:t>[4]</w:t>
      </w:r>
      <w:r>
        <w:rPr>
          <w:vertAlign w:val="baseline"/>
        </w:rPr>
        <w:t> </w:t>
      </w:r>
      <w:r>
        <w:rPr>
          <w:i/>
          <w:vertAlign w:val="baseline"/>
        </w:rPr>
        <w:t>WEMWBS </w:t>
      </w:r>
      <w:r>
        <w:rPr>
          <w:vertAlign w:val="baseline"/>
        </w:rPr>
        <w:t>была использована в кросс-культурном исследовании взаимосвязей между аутентичностью личности, социальным контекстом и психологическим благополучием на выборке 628 человек из США, Великобритании и России (количество участников из России — 192 человека).</w:t>
      </w:r>
    </w:p>
    <w:p>
      <w:pPr>
        <w:pStyle w:val="BodyText"/>
        <w:spacing w:after="0"/>
        <w:sectPr>
          <w:pgSz w:w="11910" w:h="16840"/>
          <w:pgMar w:header="0" w:footer="970" w:top="1040" w:bottom="1220" w:left="1417" w:right="283"/>
        </w:sectPr>
      </w:pPr>
    </w:p>
    <w:p>
      <w:pPr>
        <w:pStyle w:val="Heading3"/>
        <w:ind w:left="5570"/>
        <w:jc w:val="left"/>
      </w:pPr>
      <w:r>
        <w:rPr/>
        <w:t>Приложение</w:t>
      </w:r>
      <w:r>
        <w:rPr>
          <w:spacing w:val="-6"/>
        </w:rPr>
        <w:t> </w:t>
      </w:r>
      <w:r>
        <w:rPr/>
        <w:t>3.</w:t>
      </w:r>
      <w:r>
        <w:rPr>
          <w:spacing w:val="-3"/>
        </w:rPr>
        <w:t> </w:t>
      </w:r>
      <w:r>
        <w:rPr/>
        <w:t>Бланк</w:t>
      </w:r>
      <w:r>
        <w:rPr>
          <w:spacing w:val="-3"/>
        </w:rPr>
        <w:t> </w:t>
      </w:r>
      <w:r>
        <w:rPr>
          <w:spacing w:val="-2"/>
        </w:rPr>
        <w:t>методики</w:t>
      </w:r>
    </w:p>
    <w:p>
      <w:pPr>
        <w:spacing w:line="240" w:lineRule="auto" w:before="234"/>
        <w:ind w:left="285" w:right="568" w:firstLine="0"/>
        <w:jc w:val="both"/>
        <w:rPr>
          <w:i/>
          <w:sz w:val="24"/>
        </w:rPr>
      </w:pPr>
      <w:r>
        <w:rPr>
          <w:i/>
          <w:sz w:val="24"/>
        </w:rPr>
        <w:t>Ниже приведены утверждения, описывающие Ваши чувства и мысли. Пожалуйста, отметьте</w:t>
      </w:r>
      <w:r>
        <w:rPr>
          <w:i/>
          <w:spacing w:val="-10"/>
          <w:sz w:val="24"/>
        </w:rPr>
        <w:t> </w:t>
      </w:r>
      <w:r>
        <w:rPr>
          <w:i/>
          <w:sz w:val="24"/>
        </w:rPr>
        <w:t>галочкой</w:t>
      </w:r>
      <w:r>
        <w:rPr>
          <w:i/>
          <w:spacing w:val="-9"/>
          <w:sz w:val="24"/>
        </w:rPr>
        <w:t> </w:t>
      </w:r>
      <w:r>
        <w:rPr>
          <w:i/>
          <w:sz w:val="24"/>
        </w:rPr>
        <w:t>ответ,</w:t>
      </w:r>
      <w:r>
        <w:rPr>
          <w:i/>
          <w:spacing w:val="-10"/>
          <w:sz w:val="24"/>
        </w:rPr>
        <w:t> </w:t>
      </w:r>
      <w:r>
        <w:rPr>
          <w:i/>
          <w:sz w:val="24"/>
        </w:rPr>
        <w:t>который</w:t>
      </w:r>
      <w:r>
        <w:rPr>
          <w:i/>
          <w:spacing w:val="-7"/>
          <w:sz w:val="24"/>
        </w:rPr>
        <w:t> </w:t>
      </w:r>
      <w:r>
        <w:rPr>
          <w:i/>
          <w:sz w:val="24"/>
        </w:rPr>
        <w:t>наилучшим</w:t>
      </w:r>
      <w:r>
        <w:rPr>
          <w:i/>
          <w:spacing w:val="-9"/>
          <w:sz w:val="24"/>
        </w:rPr>
        <w:t> </w:t>
      </w:r>
      <w:r>
        <w:rPr>
          <w:i/>
          <w:sz w:val="24"/>
        </w:rPr>
        <w:t>образом</w:t>
      </w:r>
      <w:r>
        <w:rPr>
          <w:i/>
          <w:spacing w:val="-9"/>
          <w:sz w:val="24"/>
        </w:rPr>
        <w:t> </w:t>
      </w:r>
      <w:r>
        <w:rPr>
          <w:i/>
          <w:sz w:val="24"/>
        </w:rPr>
        <w:t>описывает</w:t>
      </w:r>
      <w:r>
        <w:rPr>
          <w:i/>
          <w:spacing w:val="-7"/>
          <w:sz w:val="24"/>
        </w:rPr>
        <w:t> </w:t>
      </w:r>
      <w:r>
        <w:rPr>
          <w:i/>
          <w:sz w:val="24"/>
        </w:rPr>
        <w:t>Ваши</w:t>
      </w:r>
      <w:r>
        <w:rPr>
          <w:i/>
          <w:spacing w:val="-9"/>
          <w:sz w:val="24"/>
        </w:rPr>
        <w:t> </w:t>
      </w:r>
      <w:r>
        <w:rPr>
          <w:i/>
          <w:sz w:val="24"/>
        </w:rPr>
        <w:t>переживания</w:t>
      </w:r>
      <w:r>
        <w:rPr>
          <w:i/>
          <w:spacing w:val="-6"/>
          <w:sz w:val="24"/>
        </w:rPr>
        <w:t> </w:t>
      </w:r>
      <w:r>
        <w:rPr>
          <w:i/>
          <w:sz w:val="24"/>
        </w:rPr>
        <w:t>в течение последних </w:t>
      </w:r>
      <w:r>
        <w:rPr>
          <w:b/>
          <w:i/>
          <w:sz w:val="24"/>
        </w:rPr>
        <w:t>двух недель</w:t>
      </w:r>
      <w:r>
        <w:rPr>
          <w:i/>
          <w:sz w:val="24"/>
        </w:rPr>
        <w:t>.</w:t>
      </w:r>
    </w:p>
    <w:p>
      <w:pPr>
        <w:pStyle w:val="BodyText"/>
        <w:spacing w:before="1"/>
        <w:ind w:left="0" w:right="0" w:firstLine="0"/>
        <w:jc w:val="left"/>
        <w:rPr>
          <w:i/>
          <w:sz w:val="18"/>
        </w:rPr>
      </w:pPr>
    </w:p>
    <w:tbl>
      <w:tblPr>
        <w:tblW w:w="0" w:type="auto"/>
        <w:jc w:val="left"/>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4254"/>
        <w:gridCol w:w="850"/>
        <w:gridCol w:w="850"/>
        <w:gridCol w:w="995"/>
        <w:gridCol w:w="860"/>
        <w:gridCol w:w="978"/>
      </w:tblGrid>
      <w:tr>
        <w:trPr>
          <w:trHeight w:val="666" w:hRule="atLeast"/>
        </w:trPr>
        <w:tc>
          <w:tcPr>
            <w:tcW w:w="569" w:type="dxa"/>
            <w:shd w:val="clear" w:color="auto" w:fill="F1F1F1"/>
          </w:tcPr>
          <w:p>
            <w:pPr>
              <w:pStyle w:val="TableParagraph"/>
              <w:spacing w:before="54"/>
              <w:ind w:left="112" w:right="95" w:firstLine="50"/>
              <w:rPr>
                <w:b/>
                <w:sz w:val="24"/>
              </w:rPr>
            </w:pPr>
            <w:r>
              <w:rPr>
                <w:b/>
                <w:spacing w:val="-10"/>
                <w:sz w:val="24"/>
              </w:rPr>
              <w:t>№ </w:t>
            </w:r>
            <w:r>
              <w:rPr>
                <w:b/>
                <w:spacing w:val="-4"/>
                <w:sz w:val="24"/>
              </w:rPr>
              <w:t>п/п</w:t>
            </w:r>
          </w:p>
        </w:tc>
        <w:tc>
          <w:tcPr>
            <w:tcW w:w="4254" w:type="dxa"/>
            <w:shd w:val="clear" w:color="auto" w:fill="F1F1F1"/>
          </w:tcPr>
          <w:p>
            <w:pPr>
              <w:pStyle w:val="TableParagraph"/>
              <w:spacing w:before="54"/>
              <w:ind w:left="1398"/>
              <w:rPr>
                <w:b/>
                <w:sz w:val="24"/>
              </w:rPr>
            </w:pPr>
            <w:r>
              <w:rPr>
                <w:b/>
                <w:spacing w:val="-2"/>
                <w:sz w:val="24"/>
              </w:rPr>
              <w:t>Утверждение</w:t>
            </w:r>
          </w:p>
        </w:tc>
        <w:tc>
          <w:tcPr>
            <w:tcW w:w="850" w:type="dxa"/>
            <w:shd w:val="clear" w:color="auto" w:fill="F1F1F1"/>
          </w:tcPr>
          <w:p>
            <w:pPr>
              <w:pStyle w:val="TableParagraph"/>
              <w:spacing w:before="54"/>
              <w:ind w:left="186" w:firstLine="72"/>
              <w:rPr>
                <w:b/>
                <w:sz w:val="24"/>
              </w:rPr>
            </w:pPr>
            <w:r>
              <w:rPr>
                <w:b/>
                <w:spacing w:val="-6"/>
                <w:sz w:val="24"/>
              </w:rPr>
              <w:t>Ни </w:t>
            </w:r>
            <w:r>
              <w:rPr>
                <w:b/>
                <w:spacing w:val="-4"/>
                <w:sz w:val="24"/>
              </w:rPr>
              <w:t>разу</w:t>
            </w:r>
          </w:p>
        </w:tc>
        <w:tc>
          <w:tcPr>
            <w:tcW w:w="850" w:type="dxa"/>
            <w:shd w:val="clear" w:color="auto" w:fill="F1F1F1"/>
          </w:tcPr>
          <w:p>
            <w:pPr>
              <w:pStyle w:val="TableParagraph"/>
              <w:spacing w:before="54"/>
              <w:ind w:left="6" w:right="6"/>
              <w:jc w:val="center"/>
              <w:rPr>
                <w:b/>
                <w:sz w:val="24"/>
              </w:rPr>
            </w:pPr>
            <w:r>
              <w:rPr>
                <w:b/>
                <w:spacing w:val="-4"/>
                <w:sz w:val="24"/>
              </w:rPr>
              <w:t>Редко</w:t>
            </w:r>
          </w:p>
        </w:tc>
        <w:tc>
          <w:tcPr>
            <w:tcW w:w="995" w:type="dxa"/>
            <w:shd w:val="clear" w:color="auto" w:fill="F1F1F1"/>
          </w:tcPr>
          <w:p>
            <w:pPr>
              <w:pStyle w:val="TableParagraph"/>
              <w:spacing w:before="54"/>
              <w:ind w:left="5"/>
              <w:jc w:val="center"/>
              <w:rPr>
                <w:b/>
                <w:sz w:val="24"/>
              </w:rPr>
            </w:pPr>
            <w:r>
              <w:rPr>
                <w:b/>
                <w:spacing w:val="-2"/>
                <w:sz w:val="24"/>
              </w:rPr>
              <w:t>Иногда</w:t>
            </w:r>
          </w:p>
        </w:tc>
        <w:tc>
          <w:tcPr>
            <w:tcW w:w="860" w:type="dxa"/>
            <w:shd w:val="clear" w:color="auto" w:fill="F1F1F1"/>
          </w:tcPr>
          <w:p>
            <w:pPr>
              <w:pStyle w:val="TableParagraph"/>
              <w:spacing w:before="54"/>
              <w:jc w:val="center"/>
              <w:rPr>
                <w:b/>
                <w:sz w:val="24"/>
              </w:rPr>
            </w:pPr>
            <w:r>
              <w:rPr>
                <w:b/>
                <w:spacing w:val="-2"/>
                <w:sz w:val="24"/>
              </w:rPr>
              <w:t>Часто</w:t>
            </w:r>
          </w:p>
        </w:tc>
        <w:tc>
          <w:tcPr>
            <w:tcW w:w="978" w:type="dxa"/>
            <w:shd w:val="clear" w:color="auto" w:fill="F1F1F1"/>
          </w:tcPr>
          <w:p>
            <w:pPr>
              <w:pStyle w:val="TableParagraph"/>
              <w:spacing w:before="54"/>
              <w:ind w:left="152" w:right="143" w:firstLine="144"/>
              <w:rPr>
                <w:b/>
                <w:sz w:val="24"/>
              </w:rPr>
            </w:pPr>
            <w:r>
              <w:rPr>
                <w:b/>
                <w:spacing w:val="-4"/>
                <w:sz w:val="24"/>
              </w:rPr>
              <w:t>Все </w:t>
            </w:r>
            <w:r>
              <w:rPr>
                <w:b/>
                <w:spacing w:val="-2"/>
                <w:sz w:val="24"/>
              </w:rPr>
              <w:t>время</w:t>
            </w:r>
          </w:p>
        </w:tc>
      </w:tr>
      <w:tr>
        <w:trPr>
          <w:trHeight w:val="275" w:hRule="atLeast"/>
        </w:trPr>
        <w:tc>
          <w:tcPr>
            <w:tcW w:w="569" w:type="dxa"/>
          </w:tcPr>
          <w:p>
            <w:pPr>
              <w:pStyle w:val="TableParagraph"/>
              <w:spacing w:line="256" w:lineRule="exact"/>
              <w:ind w:left="115"/>
              <w:rPr>
                <w:sz w:val="24"/>
              </w:rPr>
            </w:pPr>
            <w:r>
              <w:rPr>
                <w:spacing w:val="-10"/>
                <w:sz w:val="24"/>
              </w:rPr>
              <w:t>1</w:t>
            </w:r>
          </w:p>
        </w:tc>
        <w:tc>
          <w:tcPr>
            <w:tcW w:w="4254" w:type="dxa"/>
          </w:tcPr>
          <w:p>
            <w:pPr>
              <w:pStyle w:val="TableParagraph"/>
              <w:spacing w:line="256" w:lineRule="exact"/>
              <w:ind w:left="112"/>
              <w:rPr>
                <w:sz w:val="24"/>
              </w:rPr>
            </w:pPr>
            <w:r>
              <w:rPr>
                <w:sz w:val="24"/>
              </w:rPr>
              <w:t>Я</w:t>
            </w:r>
            <w:r>
              <w:rPr>
                <w:spacing w:val="-3"/>
                <w:sz w:val="24"/>
              </w:rPr>
              <w:t> </w:t>
            </w:r>
            <w:r>
              <w:rPr>
                <w:sz w:val="24"/>
              </w:rPr>
              <w:t>с</w:t>
            </w:r>
            <w:r>
              <w:rPr>
                <w:spacing w:val="-2"/>
                <w:sz w:val="24"/>
              </w:rPr>
              <w:t> </w:t>
            </w:r>
            <w:r>
              <w:rPr>
                <w:sz w:val="24"/>
              </w:rPr>
              <w:t>оптимизмом</w:t>
            </w:r>
            <w:r>
              <w:rPr>
                <w:spacing w:val="-3"/>
                <w:sz w:val="24"/>
              </w:rPr>
              <w:t> </w:t>
            </w:r>
            <w:r>
              <w:rPr>
                <w:sz w:val="24"/>
              </w:rPr>
              <w:t>смотрю</w:t>
            </w:r>
            <w:r>
              <w:rPr>
                <w:spacing w:val="-2"/>
                <w:sz w:val="24"/>
              </w:rPr>
              <w:t> </w:t>
            </w:r>
            <w:r>
              <w:rPr>
                <w:sz w:val="24"/>
              </w:rPr>
              <w:t>в</w:t>
            </w:r>
            <w:r>
              <w:rPr>
                <w:spacing w:val="-2"/>
                <w:sz w:val="24"/>
              </w:rPr>
              <w:t> будущее</w:t>
            </w:r>
          </w:p>
        </w:tc>
        <w:tc>
          <w:tcPr>
            <w:tcW w:w="850" w:type="dxa"/>
          </w:tcPr>
          <w:p>
            <w:pPr>
              <w:pStyle w:val="TableParagraph"/>
              <w:spacing w:line="256" w:lineRule="exact"/>
              <w:ind w:left="6" w:right="3"/>
              <w:jc w:val="center"/>
              <w:rPr>
                <w:sz w:val="24"/>
              </w:rPr>
            </w:pPr>
            <w:r>
              <w:rPr>
                <w:spacing w:val="-10"/>
                <w:sz w:val="24"/>
              </w:rPr>
              <w:t>1</w:t>
            </w:r>
          </w:p>
        </w:tc>
        <w:tc>
          <w:tcPr>
            <w:tcW w:w="850" w:type="dxa"/>
          </w:tcPr>
          <w:p>
            <w:pPr>
              <w:pStyle w:val="TableParagraph"/>
              <w:spacing w:line="256" w:lineRule="exact"/>
              <w:ind w:left="6" w:right="4"/>
              <w:jc w:val="center"/>
              <w:rPr>
                <w:sz w:val="24"/>
              </w:rPr>
            </w:pPr>
            <w:r>
              <w:rPr>
                <w:spacing w:val="-10"/>
                <w:sz w:val="24"/>
              </w:rPr>
              <w:t>2</w:t>
            </w:r>
          </w:p>
        </w:tc>
        <w:tc>
          <w:tcPr>
            <w:tcW w:w="995" w:type="dxa"/>
          </w:tcPr>
          <w:p>
            <w:pPr>
              <w:pStyle w:val="TableParagraph"/>
              <w:spacing w:line="256" w:lineRule="exact"/>
              <w:ind w:left="5"/>
              <w:jc w:val="center"/>
              <w:rPr>
                <w:sz w:val="24"/>
              </w:rPr>
            </w:pPr>
            <w:r>
              <w:rPr>
                <w:spacing w:val="-10"/>
                <w:sz w:val="24"/>
              </w:rPr>
              <w:t>3</w:t>
            </w:r>
          </w:p>
        </w:tc>
        <w:tc>
          <w:tcPr>
            <w:tcW w:w="860" w:type="dxa"/>
          </w:tcPr>
          <w:p>
            <w:pPr>
              <w:pStyle w:val="TableParagraph"/>
              <w:spacing w:line="256" w:lineRule="exact"/>
              <w:jc w:val="center"/>
              <w:rPr>
                <w:sz w:val="24"/>
              </w:rPr>
            </w:pPr>
            <w:r>
              <w:rPr>
                <w:spacing w:val="-10"/>
                <w:sz w:val="24"/>
              </w:rPr>
              <w:t>4</w:t>
            </w:r>
          </w:p>
        </w:tc>
        <w:tc>
          <w:tcPr>
            <w:tcW w:w="978" w:type="dxa"/>
          </w:tcPr>
          <w:p>
            <w:pPr>
              <w:pStyle w:val="TableParagraph"/>
              <w:spacing w:line="256" w:lineRule="exact"/>
              <w:ind w:right="2"/>
              <w:jc w:val="center"/>
              <w:rPr>
                <w:sz w:val="24"/>
              </w:rPr>
            </w:pPr>
            <w:r>
              <w:rPr>
                <w:spacing w:val="-10"/>
                <w:sz w:val="24"/>
              </w:rPr>
              <w:t>5</w:t>
            </w:r>
          </w:p>
        </w:tc>
      </w:tr>
      <w:tr>
        <w:trPr>
          <w:trHeight w:val="275" w:hRule="atLeast"/>
        </w:trPr>
        <w:tc>
          <w:tcPr>
            <w:tcW w:w="569" w:type="dxa"/>
          </w:tcPr>
          <w:p>
            <w:pPr>
              <w:pStyle w:val="TableParagraph"/>
              <w:spacing w:line="256" w:lineRule="exact"/>
              <w:ind w:left="115"/>
              <w:rPr>
                <w:sz w:val="24"/>
              </w:rPr>
            </w:pPr>
            <w:r>
              <w:rPr>
                <w:spacing w:val="-10"/>
                <w:sz w:val="24"/>
              </w:rPr>
              <w:t>2</w:t>
            </w:r>
          </w:p>
        </w:tc>
        <w:tc>
          <w:tcPr>
            <w:tcW w:w="4254" w:type="dxa"/>
          </w:tcPr>
          <w:p>
            <w:pPr>
              <w:pStyle w:val="TableParagraph"/>
              <w:spacing w:line="256" w:lineRule="exact"/>
              <w:ind w:left="112"/>
              <w:rPr>
                <w:sz w:val="24"/>
              </w:rPr>
            </w:pPr>
            <w:r>
              <w:rPr>
                <w:sz w:val="24"/>
              </w:rPr>
              <w:t>Я</w:t>
            </w:r>
            <w:r>
              <w:rPr>
                <w:spacing w:val="-4"/>
                <w:sz w:val="24"/>
              </w:rPr>
              <w:t> </w:t>
            </w:r>
            <w:r>
              <w:rPr>
                <w:sz w:val="24"/>
              </w:rPr>
              <w:t>чувствую</w:t>
            </w:r>
            <w:r>
              <w:rPr>
                <w:spacing w:val="-2"/>
                <w:sz w:val="24"/>
              </w:rPr>
              <w:t> </w:t>
            </w:r>
            <w:r>
              <w:rPr>
                <w:sz w:val="24"/>
              </w:rPr>
              <w:t>себя</w:t>
            </w:r>
            <w:r>
              <w:rPr>
                <w:spacing w:val="-3"/>
                <w:sz w:val="24"/>
              </w:rPr>
              <w:t> </w:t>
            </w:r>
            <w:r>
              <w:rPr>
                <w:spacing w:val="-2"/>
                <w:sz w:val="24"/>
              </w:rPr>
              <w:t>полезным/ой</w:t>
            </w:r>
          </w:p>
        </w:tc>
        <w:tc>
          <w:tcPr>
            <w:tcW w:w="850" w:type="dxa"/>
          </w:tcPr>
          <w:p>
            <w:pPr>
              <w:pStyle w:val="TableParagraph"/>
              <w:spacing w:line="256" w:lineRule="exact"/>
              <w:ind w:left="6" w:right="3"/>
              <w:jc w:val="center"/>
              <w:rPr>
                <w:sz w:val="24"/>
              </w:rPr>
            </w:pPr>
            <w:r>
              <w:rPr>
                <w:spacing w:val="-10"/>
                <w:sz w:val="24"/>
              </w:rPr>
              <w:t>1</w:t>
            </w:r>
          </w:p>
        </w:tc>
        <w:tc>
          <w:tcPr>
            <w:tcW w:w="850" w:type="dxa"/>
          </w:tcPr>
          <w:p>
            <w:pPr>
              <w:pStyle w:val="TableParagraph"/>
              <w:spacing w:line="256" w:lineRule="exact"/>
              <w:ind w:left="6" w:right="4"/>
              <w:jc w:val="center"/>
              <w:rPr>
                <w:sz w:val="24"/>
              </w:rPr>
            </w:pPr>
            <w:r>
              <w:rPr>
                <w:spacing w:val="-10"/>
                <w:sz w:val="24"/>
              </w:rPr>
              <w:t>2</w:t>
            </w:r>
          </w:p>
        </w:tc>
        <w:tc>
          <w:tcPr>
            <w:tcW w:w="995" w:type="dxa"/>
          </w:tcPr>
          <w:p>
            <w:pPr>
              <w:pStyle w:val="TableParagraph"/>
              <w:spacing w:line="256" w:lineRule="exact"/>
              <w:ind w:left="5"/>
              <w:jc w:val="center"/>
              <w:rPr>
                <w:sz w:val="24"/>
              </w:rPr>
            </w:pPr>
            <w:r>
              <w:rPr>
                <w:spacing w:val="-10"/>
                <w:sz w:val="24"/>
              </w:rPr>
              <w:t>3</w:t>
            </w:r>
          </w:p>
        </w:tc>
        <w:tc>
          <w:tcPr>
            <w:tcW w:w="860" w:type="dxa"/>
          </w:tcPr>
          <w:p>
            <w:pPr>
              <w:pStyle w:val="TableParagraph"/>
              <w:spacing w:line="256" w:lineRule="exact"/>
              <w:jc w:val="center"/>
              <w:rPr>
                <w:sz w:val="24"/>
              </w:rPr>
            </w:pPr>
            <w:r>
              <w:rPr>
                <w:spacing w:val="-10"/>
                <w:sz w:val="24"/>
              </w:rPr>
              <w:t>4</w:t>
            </w:r>
          </w:p>
        </w:tc>
        <w:tc>
          <w:tcPr>
            <w:tcW w:w="978" w:type="dxa"/>
          </w:tcPr>
          <w:p>
            <w:pPr>
              <w:pStyle w:val="TableParagraph"/>
              <w:spacing w:line="256" w:lineRule="exact"/>
              <w:ind w:right="2"/>
              <w:jc w:val="center"/>
              <w:rPr>
                <w:sz w:val="24"/>
              </w:rPr>
            </w:pPr>
            <w:r>
              <w:rPr>
                <w:spacing w:val="-10"/>
                <w:sz w:val="24"/>
              </w:rPr>
              <w:t>5</w:t>
            </w:r>
          </w:p>
        </w:tc>
      </w:tr>
      <w:tr>
        <w:trPr>
          <w:trHeight w:val="275" w:hRule="atLeast"/>
        </w:trPr>
        <w:tc>
          <w:tcPr>
            <w:tcW w:w="569" w:type="dxa"/>
          </w:tcPr>
          <w:p>
            <w:pPr>
              <w:pStyle w:val="TableParagraph"/>
              <w:spacing w:line="256" w:lineRule="exact"/>
              <w:ind w:left="115"/>
              <w:rPr>
                <w:sz w:val="24"/>
              </w:rPr>
            </w:pPr>
            <w:r>
              <w:rPr>
                <w:spacing w:val="-10"/>
                <w:sz w:val="24"/>
              </w:rPr>
              <w:t>3</w:t>
            </w:r>
          </w:p>
        </w:tc>
        <w:tc>
          <w:tcPr>
            <w:tcW w:w="4254" w:type="dxa"/>
          </w:tcPr>
          <w:p>
            <w:pPr>
              <w:pStyle w:val="TableParagraph"/>
              <w:spacing w:line="256" w:lineRule="exact"/>
              <w:ind w:left="112"/>
              <w:rPr>
                <w:sz w:val="24"/>
              </w:rPr>
            </w:pPr>
            <w:r>
              <w:rPr>
                <w:sz w:val="24"/>
              </w:rPr>
              <w:t>Я </w:t>
            </w:r>
            <w:r>
              <w:rPr>
                <w:spacing w:val="-2"/>
                <w:sz w:val="24"/>
              </w:rPr>
              <w:t>расслаблен/а</w:t>
            </w:r>
          </w:p>
        </w:tc>
        <w:tc>
          <w:tcPr>
            <w:tcW w:w="850" w:type="dxa"/>
          </w:tcPr>
          <w:p>
            <w:pPr>
              <w:pStyle w:val="TableParagraph"/>
              <w:spacing w:line="256" w:lineRule="exact"/>
              <w:ind w:left="6" w:right="3"/>
              <w:jc w:val="center"/>
              <w:rPr>
                <w:sz w:val="24"/>
              </w:rPr>
            </w:pPr>
            <w:r>
              <w:rPr>
                <w:spacing w:val="-10"/>
                <w:sz w:val="24"/>
              </w:rPr>
              <w:t>1</w:t>
            </w:r>
          </w:p>
        </w:tc>
        <w:tc>
          <w:tcPr>
            <w:tcW w:w="850" w:type="dxa"/>
          </w:tcPr>
          <w:p>
            <w:pPr>
              <w:pStyle w:val="TableParagraph"/>
              <w:spacing w:line="256" w:lineRule="exact"/>
              <w:ind w:left="6" w:right="4"/>
              <w:jc w:val="center"/>
              <w:rPr>
                <w:sz w:val="24"/>
              </w:rPr>
            </w:pPr>
            <w:r>
              <w:rPr>
                <w:spacing w:val="-10"/>
                <w:sz w:val="24"/>
              </w:rPr>
              <w:t>2</w:t>
            </w:r>
          </w:p>
        </w:tc>
        <w:tc>
          <w:tcPr>
            <w:tcW w:w="995" w:type="dxa"/>
          </w:tcPr>
          <w:p>
            <w:pPr>
              <w:pStyle w:val="TableParagraph"/>
              <w:spacing w:line="256" w:lineRule="exact"/>
              <w:ind w:left="5"/>
              <w:jc w:val="center"/>
              <w:rPr>
                <w:sz w:val="24"/>
              </w:rPr>
            </w:pPr>
            <w:r>
              <w:rPr>
                <w:spacing w:val="-10"/>
                <w:sz w:val="24"/>
              </w:rPr>
              <w:t>3</w:t>
            </w:r>
          </w:p>
        </w:tc>
        <w:tc>
          <w:tcPr>
            <w:tcW w:w="860" w:type="dxa"/>
          </w:tcPr>
          <w:p>
            <w:pPr>
              <w:pStyle w:val="TableParagraph"/>
              <w:spacing w:line="256" w:lineRule="exact"/>
              <w:jc w:val="center"/>
              <w:rPr>
                <w:sz w:val="24"/>
              </w:rPr>
            </w:pPr>
            <w:r>
              <w:rPr>
                <w:spacing w:val="-10"/>
                <w:sz w:val="24"/>
              </w:rPr>
              <w:t>4</w:t>
            </w:r>
          </w:p>
        </w:tc>
        <w:tc>
          <w:tcPr>
            <w:tcW w:w="978" w:type="dxa"/>
          </w:tcPr>
          <w:p>
            <w:pPr>
              <w:pStyle w:val="TableParagraph"/>
              <w:spacing w:line="256" w:lineRule="exact"/>
              <w:ind w:right="2"/>
              <w:jc w:val="center"/>
              <w:rPr>
                <w:sz w:val="24"/>
              </w:rPr>
            </w:pPr>
            <w:r>
              <w:rPr>
                <w:spacing w:val="-10"/>
                <w:sz w:val="24"/>
              </w:rPr>
              <w:t>5</w:t>
            </w:r>
          </w:p>
        </w:tc>
      </w:tr>
      <w:tr>
        <w:trPr>
          <w:trHeight w:val="275" w:hRule="atLeast"/>
        </w:trPr>
        <w:tc>
          <w:tcPr>
            <w:tcW w:w="569" w:type="dxa"/>
          </w:tcPr>
          <w:p>
            <w:pPr>
              <w:pStyle w:val="TableParagraph"/>
              <w:spacing w:line="256" w:lineRule="exact"/>
              <w:ind w:left="115"/>
              <w:rPr>
                <w:sz w:val="24"/>
              </w:rPr>
            </w:pPr>
            <w:r>
              <w:rPr>
                <w:spacing w:val="-10"/>
                <w:sz w:val="24"/>
              </w:rPr>
              <w:t>4</w:t>
            </w:r>
          </w:p>
        </w:tc>
        <w:tc>
          <w:tcPr>
            <w:tcW w:w="4254" w:type="dxa"/>
          </w:tcPr>
          <w:p>
            <w:pPr>
              <w:pStyle w:val="TableParagraph"/>
              <w:spacing w:line="256" w:lineRule="exact"/>
              <w:ind w:left="112"/>
              <w:rPr>
                <w:sz w:val="24"/>
              </w:rPr>
            </w:pPr>
            <w:r>
              <w:rPr>
                <w:sz w:val="24"/>
              </w:rPr>
              <w:t>Мне</w:t>
            </w:r>
            <w:r>
              <w:rPr>
                <w:spacing w:val="-7"/>
                <w:sz w:val="24"/>
              </w:rPr>
              <w:t> </w:t>
            </w:r>
            <w:r>
              <w:rPr>
                <w:sz w:val="24"/>
              </w:rPr>
              <w:t>интересны</w:t>
            </w:r>
            <w:r>
              <w:rPr>
                <w:spacing w:val="-4"/>
                <w:sz w:val="24"/>
              </w:rPr>
              <w:t> </w:t>
            </w:r>
            <w:r>
              <w:rPr>
                <w:sz w:val="24"/>
              </w:rPr>
              <w:t>другие</w:t>
            </w:r>
            <w:r>
              <w:rPr>
                <w:spacing w:val="-2"/>
                <w:sz w:val="24"/>
              </w:rPr>
              <w:t> </w:t>
            </w:r>
            <w:r>
              <w:rPr>
                <w:spacing w:val="-4"/>
                <w:sz w:val="24"/>
              </w:rPr>
              <w:t>люди</w:t>
            </w:r>
          </w:p>
        </w:tc>
        <w:tc>
          <w:tcPr>
            <w:tcW w:w="850" w:type="dxa"/>
          </w:tcPr>
          <w:p>
            <w:pPr>
              <w:pStyle w:val="TableParagraph"/>
              <w:spacing w:line="256" w:lineRule="exact"/>
              <w:ind w:left="6" w:right="3"/>
              <w:jc w:val="center"/>
              <w:rPr>
                <w:sz w:val="24"/>
              </w:rPr>
            </w:pPr>
            <w:r>
              <w:rPr>
                <w:spacing w:val="-10"/>
                <w:sz w:val="24"/>
              </w:rPr>
              <w:t>1</w:t>
            </w:r>
          </w:p>
        </w:tc>
        <w:tc>
          <w:tcPr>
            <w:tcW w:w="850" w:type="dxa"/>
          </w:tcPr>
          <w:p>
            <w:pPr>
              <w:pStyle w:val="TableParagraph"/>
              <w:spacing w:line="256" w:lineRule="exact"/>
              <w:ind w:left="6" w:right="4"/>
              <w:jc w:val="center"/>
              <w:rPr>
                <w:sz w:val="24"/>
              </w:rPr>
            </w:pPr>
            <w:r>
              <w:rPr>
                <w:spacing w:val="-10"/>
                <w:sz w:val="24"/>
              </w:rPr>
              <w:t>2</w:t>
            </w:r>
          </w:p>
        </w:tc>
        <w:tc>
          <w:tcPr>
            <w:tcW w:w="995" w:type="dxa"/>
          </w:tcPr>
          <w:p>
            <w:pPr>
              <w:pStyle w:val="TableParagraph"/>
              <w:spacing w:line="256" w:lineRule="exact"/>
              <w:ind w:left="5"/>
              <w:jc w:val="center"/>
              <w:rPr>
                <w:sz w:val="24"/>
              </w:rPr>
            </w:pPr>
            <w:r>
              <w:rPr>
                <w:spacing w:val="-10"/>
                <w:sz w:val="24"/>
              </w:rPr>
              <w:t>3</w:t>
            </w:r>
          </w:p>
        </w:tc>
        <w:tc>
          <w:tcPr>
            <w:tcW w:w="860" w:type="dxa"/>
          </w:tcPr>
          <w:p>
            <w:pPr>
              <w:pStyle w:val="TableParagraph"/>
              <w:spacing w:line="256" w:lineRule="exact"/>
              <w:jc w:val="center"/>
              <w:rPr>
                <w:sz w:val="24"/>
              </w:rPr>
            </w:pPr>
            <w:r>
              <w:rPr>
                <w:spacing w:val="-10"/>
                <w:sz w:val="24"/>
              </w:rPr>
              <w:t>4</w:t>
            </w:r>
          </w:p>
        </w:tc>
        <w:tc>
          <w:tcPr>
            <w:tcW w:w="978" w:type="dxa"/>
          </w:tcPr>
          <w:p>
            <w:pPr>
              <w:pStyle w:val="TableParagraph"/>
              <w:spacing w:line="256" w:lineRule="exact"/>
              <w:ind w:right="2"/>
              <w:jc w:val="center"/>
              <w:rPr>
                <w:sz w:val="24"/>
              </w:rPr>
            </w:pPr>
            <w:r>
              <w:rPr>
                <w:spacing w:val="-10"/>
                <w:sz w:val="24"/>
              </w:rPr>
              <w:t>5</w:t>
            </w:r>
          </w:p>
        </w:tc>
      </w:tr>
      <w:tr>
        <w:trPr>
          <w:trHeight w:val="276" w:hRule="atLeast"/>
        </w:trPr>
        <w:tc>
          <w:tcPr>
            <w:tcW w:w="569" w:type="dxa"/>
          </w:tcPr>
          <w:p>
            <w:pPr>
              <w:pStyle w:val="TableParagraph"/>
              <w:spacing w:line="256" w:lineRule="exact"/>
              <w:ind w:left="115"/>
              <w:rPr>
                <w:sz w:val="24"/>
              </w:rPr>
            </w:pPr>
            <w:r>
              <w:rPr>
                <w:spacing w:val="-10"/>
                <w:sz w:val="24"/>
              </w:rPr>
              <w:t>5</w:t>
            </w:r>
          </w:p>
        </w:tc>
        <w:tc>
          <w:tcPr>
            <w:tcW w:w="4254" w:type="dxa"/>
          </w:tcPr>
          <w:p>
            <w:pPr>
              <w:pStyle w:val="TableParagraph"/>
              <w:spacing w:line="256" w:lineRule="exact"/>
              <w:ind w:left="112"/>
              <w:rPr>
                <w:sz w:val="24"/>
              </w:rPr>
            </w:pPr>
            <w:r>
              <w:rPr>
                <w:sz w:val="24"/>
              </w:rPr>
              <w:t>Я </w:t>
            </w:r>
            <w:r>
              <w:rPr>
                <w:spacing w:val="-2"/>
                <w:sz w:val="24"/>
              </w:rPr>
              <w:t>энергичен/на</w:t>
            </w:r>
          </w:p>
        </w:tc>
        <w:tc>
          <w:tcPr>
            <w:tcW w:w="850" w:type="dxa"/>
          </w:tcPr>
          <w:p>
            <w:pPr>
              <w:pStyle w:val="TableParagraph"/>
              <w:spacing w:line="256" w:lineRule="exact"/>
              <w:ind w:left="6" w:right="3"/>
              <w:jc w:val="center"/>
              <w:rPr>
                <w:sz w:val="24"/>
              </w:rPr>
            </w:pPr>
            <w:r>
              <w:rPr>
                <w:spacing w:val="-10"/>
                <w:sz w:val="24"/>
              </w:rPr>
              <w:t>1</w:t>
            </w:r>
          </w:p>
        </w:tc>
        <w:tc>
          <w:tcPr>
            <w:tcW w:w="850" w:type="dxa"/>
          </w:tcPr>
          <w:p>
            <w:pPr>
              <w:pStyle w:val="TableParagraph"/>
              <w:spacing w:line="256" w:lineRule="exact"/>
              <w:ind w:left="6" w:right="4"/>
              <w:jc w:val="center"/>
              <w:rPr>
                <w:sz w:val="24"/>
              </w:rPr>
            </w:pPr>
            <w:r>
              <w:rPr>
                <w:spacing w:val="-10"/>
                <w:sz w:val="24"/>
              </w:rPr>
              <w:t>2</w:t>
            </w:r>
          </w:p>
        </w:tc>
        <w:tc>
          <w:tcPr>
            <w:tcW w:w="995" w:type="dxa"/>
          </w:tcPr>
          <w:p>
            <w:pPr>
              <w:pStyle w:val="TableParagraph"/>
              <w:spacing w:line="256" w:lineRule="exact"/>
              <w:ind w:left="5"/>
              <w:jc w:val="center"/>
              <w:rPr>
                <w:sz w:val="24"/>
              </w:rPr>
            </w:pPr>
            <w:r>
              <w:rPr>
                <w:spacing w:val="-10"/>
                <w:sz w:val="24"/>
              </w:rPr>
              <w:t>3</w:t>
            </w:r>
          </w:p>
        </w:tc>
        <w:tc>
          <w:tcPr>
            <w:tcW w:w="860" w:type="dxa"/>
          </w:tcPr>
          <w:p>
            <w:pPr>
              <w:pStyle w:val="TableParagraph"/>
              <w:spacing w:line="256" w:lineRule="exact"/>
              <w:jc w:val="center"/>
              <w:rPr>
                <w:sz w:val="24"/>
              </w:rPr>
            </w:pPr>
            <w:r>
              <w:rPr>
                <w:spacing w:val="-10"/>
                <w:sz w:val="24"/>
              </w:rPr>
              <w:t>4</w:t>
            </w:r>
          </w:p>
        </w:tc>
        <w:tc>
          <w:tcPr>
            <w:tcW w:w="978" w:type="dxa"/>
          </w:tcPr>
          <w:p>
            <w:pPr>
              <w:pStyle w:val="TableParagraph"/>
              <w:spacing w:line="256" w:lineRule="exact"/>
              <w:ind w:right="2"/>
              <w:jc w:val="center"/>
              <w:rPr>
                <w:sz w:val="24"/>
              </w:rPr>
            </w:pPr>
            <w:r>
              <w:rPr>
                <w:spacing w:val="-10"/>
                <w:sz w:val="24"/>
              </w:rPr>
              <w:t>5</w:t>
            </w:r>
          </w:p>
        </w:tc>
      </w:tr>
      <w:tr>
        <w:trPr>
          <w:trHeight w:val="277" w:hRule="atLeast"/>
        </w:trPr>
        <w:tc>
          <w:tcPr>
            <w:tcW w:w="569" w:type="dxa"/>
          </w:tcPr>
          <w:p>
            <w:pPr>
              <w:pStyle w:val="TableParagraph"/>
              <w:spacing w:line="258" w:lineRule="exact"/>
              <w:ind w:left="115"/>
              <w:rPr>
                <w:sz w:val="24"/>
              </w:rPr>
            </w:pPr>
            <w:r>
              <w:rPr>
                <w:spacing w:val="-10"/>
                <w:sz w:val="24"/>
              </w:rPr>
              <w:t>6</w:t>
            </w:r>
          </w:p>
        </w:tc>
        <w:tc>
          <w:tcPr>
            <w:tcW w:w="4254" w:type="dxa"/>
          </w:tcPr>
          <w:p>
            <w:pPr>
              <w:pStyle w:val="TableParagraph"/>
              <w:spacing w:line="258" w:lineRule="exact"/>
              <w:ind w:left="112"/>
              <w:rPr>
                <w:sz w:val="24"/>
              </w:rPr>
            </w:pPr>
            <w:r>
              <w:rPr>
                <w:sz w:val="24"/>
              </w:rPr>
              <w:t>Я</w:t>
            </w:r>
            <w:r>
              <w:rPr>
                <w:spacing w:val="-2"/>
                <w:sz w:val="24"/>
              </w:rPr>
              <w:t> </w:t>
            </w:r>
            <w:r>
              <w:rPr>
                <w:sz w:val="24"/>
              </w:rPr>
              <w:t>хорошо</w:t>
            </w:r>
            <w:r>
              <w:rPr>
                <w:spacing w:val="-1"/>
                <w:sz w:val="24"/>
              </w:rPr>
              <w:t> </w:t>
            </w:r>
            <w:r>
              <w:rPr>
                <w:sz w:val="24"/>
              </w:rPr>
              <w:t>справляюсь</w:t>
            </w:r>
            <w:r>
              <w:rPr>
                <w:spacing w:val="-2"/>
                <w:sz w:val="24"/>
              </w:rPr>
              <w:t> </w:t>
            </w:r>
            <w:r>
              <w:rPr>
                <w:sz w:val="24"/>
              </w:rPr>
              <w:t>с</w:t>
            </w:r>
            <w:r>
              <w:rPr>
                <w:spacing w:val="-4"/>
                <w:sz w:val="24"/>
              </w:rPr>
              <w:t> </w:t>
            </w:r>
            <w:r>
              <w:rPr>
                <w:spacing w:val="-2"/>
                <w:sz w:val="24"/>
              </w:rPr>
              <w:t>проблемами</w:t>
            </w:r>
          </w:p>
        </w:tc>
        <w:tc>
          <w:tcPr>
            <w:tcW w:w="850" w:type="dxa"/>
          </w:tcPr>
          <w:p>
            <w:pPr>
              <w:pStyle w:val="TableParagraph"/>
              <w:spacing w:line="258" w:lineRule="exact"/>
              <w:ind w:left="6" w:right="3"/>
              <w:jc w:val="center"/>
              <w:rPr>
                <w:sz w:val="24"/>
              </w:rPr>
            </w:pPr>
            <w:r>
              <w:rPr>
                <w:spacing w:val="-10"/>
                <w:sz w:val="24"/>
              </w:rPr>
              <w:t>1</w:t>
            </w:r>
          </w:p>
        </w:tc>
        <w:tc>
          <w:tcPr>
            <w:tcW w:w="850" w:type="dxa"/>
          </w:tcPr>
          <w:p>
            <w:pPr>
              <w:pStyle w:val="TableParagraph"/>
              <w:spacing w:line="258" w:lineRule="exact"/>
              <w:ind w:left="6" w:right="4"/>
              <w:jc w:val="center"/>
              <w:rPr>
                <w:sz w:val="24"/>
              </w:rPr>
            </w:pPr>
            <w:r>
              <w:rPr>
                <w:spacing w:val="-10"/>
                <w:sz w:val="24"/>
              </w:rPr>
              <w:t>2</w:t>
            </w:r>
          </w:p>
        </w:tc>
        <w:tc>
          <w:tcPr>
            <w:tcW w:w="995" w:type="dxa"/>
          </w:tcPr>
          <w:p>
            <w:pPr>
              <w:pStyle w:val="TableParagraph"/>
              <w:spacing w:line="258" w:lineRule="exact"/>
              <w:ind w:left="5"/>
              <w:jc w:val="center"/>
              <w:rPr>
                <w:sz w:val="24"/>
              </w:rPr>
            </w:pPr>
            <w:r>
              <w:rPr>
                <w:spacing w:val="-10"/>
                <w:sz w:val="24"/>
              </w:rPr>
              <w:t>3</w:t>
            </w:r>
          </w:p>
        </w:tc>
        <w:tc>
          <w:tcPr>
            <w:tcW w:w="860" w:type="dxa"/>
          </w:tcPr>
          <w:p>
            <w:pPr>
              <w:pStyle w:val="TableParagraph"/>
              <w:spacing w:line="258" w:lineRule="exact"/>
              <w:jc w:val="center"/>
              <w:rPr>
                <w:sz w:val="24"/>
              </w:rPr>
            </w:pPr>
            <w:r>
              <w:rPr>
                <w:spacing w:val="-10"/>
                <w:sz w:val="24"/>
              </w:rPr>
              <w:t>4</w:t>
            </w:r>
          </w:p>
        </w:tc>
        <w:tc>
          <w:tcPr>
            <w:tcW w:w="978" w:type="dxa"/>
          </w:tcPr>
          <w:p>
            <w:pPr>
              <w:pStyle w:val="TableParagraph"/>
              <w:spacing w:line="258" w:lineRule="exact"/>
              <w:ind w:right="2"/>
              <w:jc w:val="center"/>
              <w:rPr>
                <w:sz w:val="24"/>
              </w:rPr>
            </w:pPr>
            <w:r>
              <w:rPr>
                <w:spacing w:val="-10"/>
                <w:sz w:val="24"/>
              </w:rPr>
              <w:t>5</w:t>
            </w:r>
          </w:p>
        </w:tc>
      </w:tr>
      <w:tr>
        <w:trPr>
          <w:trHeight w:val="275" w:hRule="atLeast"/>
        </w:trPr>
        <w:tc>
          <w:tcPr>
            <w:tcW w:w="569" w:type="dxa"/>
          </w:tcPr>
          <w:p>
            <w:pPr>
              <w:pStyle w:val="TableParagraph"/>
              <w:spacing w:line="256" w:lineRule="exact"/>
              <w:ind w:left="115"/>
              <w:rPr>
                <w:sz w:val="24"/>
              </w:rPr>
            </w:pPr>
            <w:r>
              <w:rPr>
                <w:spacing w:val="-10"/>
                <w:sz w:val="24"/>
              </w:rPr>
              <w:t>7</w:t>
            </w:r>
          </w:p>
        </w:tc>
        <w:tc>
          <w:tcPr>
            <w:tcW w:w="4254" w:type="dxa"/>
          </w:tcPr>
          <w:p>
            <w:pPr>
              <w:pStyle w:val="TableParagraph"/>
              <w:spacing w:line="256" w:lineRule="exact"/>
              <w:ind w:left="112"/>
              <w:rPr>
                <w:sz w:val="24"/>
              </w:rPr>
            </w:pPr>
            <w:r>
              <w:rPr>
                <w:sz w:val="24"/>
              </w:rPr>
              <w:t>Я</w:t>
            </w:r>
            <w:r>
              <w:rPr>
                <w:spacing w:val="-2"/>
                <w:sz w:val="24"/>
              </w:rPr>
              <w:t> </w:t>
            </w:r>
            <w:r>
              <w:rPr>
                <w:sz w:val="24"/>
              </w:rPr>
              <w:t>мыслю</w:t>
            </w:r>
            <w:r>
              <w:rPr>
                <w:spacing w:val="-2"/>
                <w:sz w:val="24"/>
              </w:rPr>
              <w:t> </w:t>
            </w:r>
            <w:r>
              <w:rPr>
                <w:spacing w:val="-4"/>
                <w:sz w:val="24"/>
              </w:rPr>
              <w:t>ясно</w:t>
            </w:r>
          </w:p>
        </w:tc>
        <w:tc>
          <w:tcPr>
            <w:tcW w:w="850" w:type="dxa"/>
          </w:tcPr>
          <w:p>
            <w:pPr>
              <w:pStyle w:val="TableParagraph"/>
              <w:spacing w:line="256" w:lineRule="exact"/>
              <w:ind w:left="6" w:right="3"/>
              <w:jc w:val="center"/>
              <w:rPr>
                <w:sz w:val="24"/>
              </w:rPr>
            </w:pPr>
            <w:r>
              <w:rPr>
                <w:spacing w:val="-10"/>
                <w:sz w:val="24"/>
              </w:rPr>
              <w:t>1</w:t>
            </w:r>
          </w:p>
        </w:tc>
        <w:tc>
          <w:tcPr>
            <w:tcW w:w="850" w:type="dxa"/>
          </w:tcPr>
          <w:p>
            <w:pPr>
              <w:pStyle w:val="TableParagraph"/>
              <w:spacing w:line="256" w:lineRule="exact"/>
              <w:ind w:left="6" w:right="4"/>
              <w:jc w:val="center"/>
              <w:rPr>
                <w:sz w:val="24"/>
              </w:rPr>
            </w:pPr>
            <w:r>
              <w:rPr>
                <w:spacing w:val="-10"/>
                <w:sz w:val="24"/>
              </w:rPr>
              <w:t>2</w:t>
            </w:r>
          </w:p>
        </w:tc>
        <w:tc>
          <w:tcPr>
            <w:tcW w:w="995" w:type="dxa"/>
          </w:tcPr>
          <w:p>
            <w:pPr>
              <w:pStyle w:val="TableParagraph"/>
              <w:spacing w:line="256" w:lineRule="exact"/>
              <w:ind w:left="5"/>
              <w:jc w:val="center"/>
              <w:rPr>
                <w:sz w:val="24"/>
              </w:rPr>
            </w:pPr>
            <w:r>
              <w:rPr>
                <w:spacing w:val="-10"/>
                <w:sz w:val="24"/>
              </w:rPr>
              <w:t>3</w:t>
            </w:r>
          </w:p>
        </w:tc>
        <w:tc>
          <w:tcPr>
            <w:tcW w:w="860" w:type="dxa"/>
          </w:tcPr>
          <w:p>
            <w:pPr>
              <w:pStyle w:val="TableParagraph"/>
              <w:spacing w:line="256" w:lineRule="exact"/>
              <w:jc w:val="center"/>
              <w:rPr>
                <w:sz w:val="24"/>
              </w:rPr>
            </w:pPr>
            <w:r>
              <w:rPr>
                <w:spacing w:val="-10"/>
                <w:sz w:val="24"/>
              </w:rPr>
              <w:t>4</w:t>
            </w:r>
          </w:p>
        </w:tc>
        <w:tc>
          <w:tcPr>
            <w:tcW w:w="978" w:type="dxa"/>
          </w:tcPr>
          <w:p>
            <w:pPr>
              <w:pStyle w:val="TableParagraph"/>
              <w:spacing w:line="256" w:lineRule="exact"/>
              <w:ind w:right="2"/>
              <w:jc w:val="center"/>
              <w:rPr>
                <w:sz w:val="24"/>
              </w:rPr>
            </w:pPr>
            <w:r>
              <w:rPr>
                <w:spacing w:val="-10"/>
                <w:sz w:val="24"/>
              </w:rPr>
              <w:t>5</w:t>
            </w:r>
          </w:p>
        </w:tc>
      </w:tr>
      <w:tr>
        <w:trPr>
          <w:trHeight w:val="275" w:hRule="atLeast"/>
        </w:trPr>
        <w:tc>
          <w:tcPr>
            <w:tcW w:w="569" w:type="dxa"/>
          </w:tcPr>
          <w:p>
            <w:pPr>
              <w:pStyle w:val="TableParagraph"/>
              <w:spacing w:line="256" w:lineRule="exact"/>
              <w:ind w:left="115"/>
              <w:rPr>
                <w:sz w:val="24"/>
              </w:rPr>
            </w:pPr>
            <w:r>
              <w:rPr>
                <w:spacing w:val="-10"/>
                <w:sz w:val="24"/>
              </w:rPr>
              <w:t>8</w:t>
            </w:r>
          </w:p>
        </w:tc>
        <w:tc>
          <w:tcPr>
            <w:tcW w:w="4254" w:type="dxa"/>
          </w:tcPr>
          <w:p>
            <w:pPr>
              <w:pStyle w:val="TableParagraph"/>
              <w:spacing w:line="256" w:lineRule="exact"/>
              <w:ind w:left="112"/>
              <w:rPr>
                <w:sz w:val="24"/>
              </w:rPr>
            </w:pPr>
            <w:r>
              <w:rPr>
                <w:sz w:val="24"/>
              </w:rPr>
              <w:t>Я</w:t>
            </w:r>
            <w:r>
              <w:rPr>
                <w:spacing w:val="-1"/>
                <w:sz w:val="24"/>
              </w:rPr>
              <w:t> </w:t>
            </w:r>
            <w:r>
              <w:rPr>
                <w:sz w:val="24"/>
              </w:rPr>
              <w:t>доволен/на</w:t>
            </w:r>
            <w:r>
              <w:rPr>
                <w:spacing w:val="-1"/>
                <w:sz w:val="24"/>
              </w:rPr>
              <w:t> </w:t>
            </w:r>
            <w:r>
              <w:rPr>
                <w:spacing w:val="-2"/>
                <w:sz w:val="24"/>
              </w:rPr>
              <w:t>собой</w:t>
            </w:r>
          </w:p>
        </w:tc>
        <w:tc>
          <w:tcPr>
            <w:tcW w:w="850" w:type="dxa"/>
          </w:tcPr>
          <w:p>
            <w:pPr>
              <w:pStyle w:val="TableParagraph"/>
              <w:spacing w:line="256" w:lineRule="exact"/>
              <w:ind w:left="6" w:right="3"/>
              <w:jc w:val="center"/>
              <w:rPr>
                <w:sz w:val="24"/>
              </w:rPr>
            </w:pPr>
            <w:r>
              <w:rPr>
                <w:spacing w:val="-10"/>
                <w:sz w:val="24"/>
              </w:rPr>
              <w:t>1</w:t>
            </w:r>
          </w:p>
        </w:tc>
        <w:tc>
          <w:tcPr>
            <w:tcW w:w="850" w:type="dxa"/>
          </w:tcPr>
          <w:p>
            <w:pPr>
              <w:pStyle w:val="TableParagraph"/>
              <w:spacing w:line="256" w:lineRule="exact"/>
              <w:ind w:left="6" w:right="4"/>
              <w:jc w:val="center"/>
              <w:rPr>
                <w:sz w:val="24"/>
              </w:rPr>
            </w:pPr>
            <w:r>
              <w:rPr>
                <w:spacing w:val="-10"/>
                <w:sz w:val="24"/>
              </w:rPr>
              <w:t>2</w:t>
            </w:r>
          </w:p>
        </w:tc>
        <w:tc>
          <w:tcPr>
            <w:tcW w:w="995" w:type="dxa"/>
          </w:tcPr>
          <w:p>
            <w:pPr>
              <w:pStyle w:val="TableParagraph"/>
              <w:spacing w:line="256" w:lineRule="exact"/>
              <w:ind w:left="5"/>
              <w:jc w:val="center"/>
              <w:rPr>
                <w:sz w:val="24"/>
              </w:rPr>
            </w:pPr>
            <w:r>
              <w:rPr>
                <w:spacing w:val="-10"/>
                <w:sz w:val="24"/>
              </w:rPr>
              <w:t>3</w:t>
            </w:r>
          </w:p>
        </w:tc>
        <w:tc>
          <w:tcPr>
            <w:tcW w:w="860" w:type="dxa"/>
          </w:tcPr>
          <w:p>
            <w:pPr>
              <w:pStyle w:val="TableParagraph"/>
              <w:spacing w:line="256" w:lineRule="exact"/>
              <w:jc w:val="center"/>
              <w:rPr>
                <w:sz w:val="24"/>
              </w:rPr>
            </w:pPr>
            <w:r>
              <w:rPr>
                <w:spacing w:val="-10"/>
                <w:sz w:val="24"/>
              </w:rPr>
              <w:t>4</w:t>
            </w:r>
          </w:p>
        </w:tc>
        <w:tc>
          <w:tcPr>
            <w:tcW w:w="978" w:type="dxa"/>
          </w:tcPr>
          <w:p>
            <w:pPr>
              <w:pStyle w:val="TableParagraph"/>
              <w:spacing w:line="256" w:lineRule="exact"/>
              <w:ind w:right="2"/>
              <w:jc w:val="center"/>
              <w:rPr>
                <w:sz w:val="24"/>
              </w:rPr>
            </w:pPr>
            <w:r>
              <w:rPr>
                <w:spacing w:val="-10"/>
                <w:sz w:val="24"/>
              </w:rPr>
              <w:t>5</w:t>
            </w:r>
          </w:p>
        </w:tc>
      </w:tr>
      <w:tr>
        <w:trPr>
          <w:trHeight w:val="551" w:hRule="atLeast"/>
        </w:trPr>
        <w:tc>
          <w:tcPr>
            <w:tcW w:w="569" w:type="dxa"/>
          </w:tcPr>
          <w:p>
            <w:pPr>
              <w:pStyle w:val="TableParagraph"/>
              <w:spacing w:line="268" w:lineRule="exact"/>
              <w:ind w:left="115"/>
              <w:rPr>
                <w:sz w:val="24"/>
              </w:rPr>
            </w:pPr>
            <w:r>
              <w:rPr>
                <w:spacing w:val="-10"/>
                <w:sz w:val="24"/>
              </w:rPr>
              <w:t>9</w:t>
            </w:r>
          </w:p>
        </w:tc>
        <w:tc>
          <w:tcPr>
            <w:tcW w:w="4254" w:type="dxa"/>
          </w:tcPr>
          <w:p>
            <w:pPr>
              <w:pStyle w:val="TableParagraph"/>
              <w:spacing w:line="268" w:lineRule="exact"/>
              <w:ind w:left="112"/>
              <w:rPr>
                <w:sz w:val="24"/>
              </w:rPr>
            </w:pPr>
            <w:r>
              <w:rPr>
                <w:sz w:val="24"/>
              </w:rPr>
              <w:t>Я</w:t>
            </w:r>
            <w:r>
              <w:rPr>
                <w:spacing w:val="-4"/>
                <w:sz w:val="24"/>
              </w:rPr>
              <w:t> </w:t>
            </w:r>
            <w:r>
              <w:rPr>
                <w:sz w:val="24"/>
              </w:rPr>
              <w:t>чувствую</w:t>
            </w:r>
            <w:r>
              <w:rPr>
                <w:spacing w:val="-1"/>
                <w:sz w:val="24"/>
              </w:rPr>
              <w:t> </w:t>
            </w:r>
            <w:r>
              <w:rPr>
                <w:sz w:val="24"/>
              </w:rPr>
              <w:t>свою</w:t>
            </w:r>
            <w:r>
              <w:rPr>
                <w:spacing w:val="-5"/>
                <w:sz w:val="24"/>
              </w:rPr>
              <w:t> </w:t>
            </w:r>
            <w:r>
              <w:rPr>
                <w:sz w:val="24"/>
              </w:rPr>
              <w:t>близость</w:t>
            </w:r>
            <w:r>
              <w:rPr>
                <w:spacing w:val="-2"/>
                <w:sz w:val="24"/>
              </w:rPr>
              <w:t> </w:t>
            </w:r>
            <w:r>
              <w:rPr>
                <w:sz w:val="24"/>
              </w:rPr>
              <w:t>к</w:t>
            </w:r>
            <w:r>
              <w:rPr>
                <w:spacing w:val="-3"/>
                <w:sz w:val="24"/>
              </w:rPr>
              <w:t> </w:t>
            </w:r>
            <w:r>
              <w:rPr>
                <w:spacing w:val="-2"/>
                <w:sz w:val="24"/>
              </w:rPr>
              <w:t>другим</w:t>
            </w:r>
          </w:p>
          <w:p>
            <w:pPr>
              <w:pStyle w:val="TableParagraph"/>
              <w:spacing w:line="264" w:lineRule="exact"/>
              <w:ind w:left="112"/>
              <w:rPr>
                <w:sz w:val="24"/>
              </w:rPr>
            </w:pPr>
            <w:r>
              <w:rPr>
                <w:spacing w:val="-2"/>
                <w:sz w:val="24"/>
              </w:rPr>
              <w:t>людям</w:t>
            </w:r>
          </w:p>
        </w:tc>
        <w:tc>
          <w:tcPr>
            <w:tcW w:w="850" w:type="dxa"/>
          </w:tcPr>
          <w:p>
            <w:pPr>
              <w:pStyle w:val="TableParagraph"/>
              <w:spacing w:before="131"/>
              <w:ind w:left="6" w:right="3"/>
              <w:jc w:val="center"/>
              <w:rPr>
                <w:sz w:val="24"/>
              </w:rPr>
            </w:pPr>
            <w:r>
              <w:rPr>
                <w:spacing w:val="-10"/>
                <w:sz w:val="24"/>
              </w:rPr>
              <w:t>1</w:t>
            </w:r>
          </w:p>
        </w:tc>
        <w:tc>
          <w:tcPr>
            <w:tcW w:w="850" w:type="dxa"/>
          </w:tcPr>
          <w:p>
            <w:pPr>
              <w:pStyle w:val="TableParagraph"/>
              <w:spacing w:before="131"/>
              <w:ind w:left="6" w:right="4"/>
              <w:jc w:val="center"/>
              <w:rPr>
                <w:sz w:val="24"/>
              </w:rPr>
            </w:pPr>
            <w:r>
              <w:rPr>
                <w:spacing w:val="-10"/>
                <w:sz w:val="24"/>
              </w:rPr>
              <w:t>2</w:t>
            </w:r>
          </w:p>
        </w:tc>
        <w:tc>
          <w:tcPr>
            <w:tcW w:w="995" w:type="dxa"/>
          </w:tcPr>
          <w:p>
            <w:pPr>
              <w:pStyle w:val="TableParagraph"/>
              <w:spacing w:before="131"/>
              <w:ind w:left="5"/>
              <w:jc w:val="center"/>
              <w:rPr>
                <w:sz w:val="24"/>
              </w:rPr>
            </w:pPr>
            <w:r>
              <w:rPr>
                <w:spacing w:val="-10"/>
                <w:sz w:val="24"/>
              </w:rPr>
              <w:t>3</w:t>
            </w:r>
          </w:p>
        </w:tc>
        <w:tc>
          <w:tcPr>
            <w:tcW w:w="860" w:type="dxa"/>
          </w:tcPr>
          <w:p>
            <w:pPr>
              <w:pStyle w:val="TableParagraph"/>
              <w:spacing w:before="131"/>
              <w:jc w:val="center"/>
              <w:rPr>
                <w:sz w:val="24"/>
              </w:rPr>
            </w:pPr>
            <w:r>
              <w:rPr>
                <w:spacing w:val="-10"/>
                <w:sz w:val="24"/>
              </w:rPr>
              <w:t>4</w:t>
            </w:r>
          </w:p>
        </w:tc>
        <w:tc>
          <w:tcPr>
            <w:tcW w:w="978" w:type="dxa"/>
          </w:tcPr>
          <w:p>
            <w:pPr>
              <w:pStyle w:val="TableParagraph"/>
              <w:spacing w:before="131"/>
              <w:ind w:right="2"/>
              <w:jc w:val="center"/>
              <w:rPr>
                <w:sz w:val="24"/>
              </w:rPr>
            </w:pPr>
            <w:r>
              <w:rPr>
                <w:spacing w:val="-10"/>
                <w:sz w:val="24"/>
              </w:rPr>
              <w:t>5</w:t>
            </w:r>
          </w:p>
        </w:tc>
      </w:tr>
      <w:tr>
        <w:trPr>
          <w:trHeight w:val="275" w:hRule="atLeast"/>
        </w:trPr>
        <w:tc>
          <w:tcPr>
            <w:tcW w:w="569" w:type="dxa"/>
          </w:tcPr>
          <w:p>
            <w:pPr>
              <w:pStyle w:val="TableParagraph"/>
              <w:spacing w:line="256" w:lineRule="exact"/>
              <w:ind w:left="115"/>
              <w:rPr>
                <w:sz w:val="24"/>
              </w:rPr>
            </w:pPr>
            <w:r>
              <w:rPr>
                <w:spacing w:val="-5"/>
                <w:sz w:val="24"/>
              </w:rPr>
              <w:t>10</w:t>
            </w:r>
          </w:p>
        </w:tc>
        <w:tc>
          <w:tcPr>
            <w:tcW w:w="4254" w:type="dxa"/>
          </w:tcPr>
          <w:p>
            <w:pPr>
              <w:pStyle w:val="TableParagraph"/>
              <w:spacing w:line="256" w:lineRule="exact"/>
              <w:ind w:left="112"/>
              <w:rPr>
                <w:sz w:val="24"/>
              </w:rPr>
            </w:pPr>
            <w:r>
              <w:rPr>
                <w:sz w:val="24"/>
              </w:rPr>
              <w:t>Я</w:t>
            </w:r>
            <w:r>
              <w:rPr>
                <w:spacing w:val="-3"/>
                <w:sz w:val="24"/>
              </w:rPr>
              <w:t> </w:t>
            </w:r>
            <w:r>
              <w:rPr>
                <w:sz w:val="24"/>
              </w:rPr>
              <w:t>уверен/а</w:t>
            </w:r>
            <w:r>
              <w:rPr>
                <w:spacing w:val="-2"/>
                <w:sz w:val="24"/>
              </w:rPr>
              <w:t> </w:t>
            </w:r>
            <w:r>
              <w:rPr>
                <w:sz w:val="24"/>
              </w:rPr>
              <w:t>в</w:t>
            </w:r>
            <w:r>
              <w:rPr>
                <w:spacing w:val="-2"/>
                <w:sz w:val="24"/>
              </w:rPr>
              <w:t> </w:t>
            </w:r>
            <w:r>
              <w:rPr>
                <w:spacing w:val="-4"/>
                <w:sz w:val="24"/>
              </w:rPr>
              <w:t>себе</w:t>
            </w:r>
          </w:p>
        </w:tc>
        <w:tc>
          <w:tcPr>
            <w:tcW w:w="850" w:type="dxa"/>
          </w:tcPr>
          <w:p>
            <w:pPr>
              <w:pStyle w:val="TableParagraph"/>
              <w:spacing w:line="256" w:lineRule="exact"/>
              <w:ind w:left="6" w:right="3"/>
              <w:jc w:val="center"/>
              <w:rPr>
                <w:sz w:val="24"/>
              </w:rPr>
            </w:pPr>
            <w:r>
              <w:rPr>
                <w:spacing w:val="-10"/>
                <w:sz w:val="24"/>
              </w:rPr>
              <w:t>1</w:t>
            </w:r>
          </w:p>
        </w:tc>
        <w:tc>
          <w:tcPr>
            <w:tcW w:w="850" w:type="dxa"/>
          </w:tcPr>
          <w:p>
            <w:pPr>
              <w:pStyle w:val="TableParagraph"/>
              <w:spacing w:line="256" w:lineRule="exact"/>
              <w:ind w:left="6" w:right="4"/>
              <w:jc w:val="center"/>
              <w:rPr>
                <w:sz w:val="24"/>
              </w:rPr>
            </w:pPr>
            <w:r>
              <w:rPr>
                <w:spacing w:val="-10"/>
                <w:sz w:val="24"/>
              </w:rPr>
              <w:t>2</w:t>
            </w:r>
          </w:p>
        </w:tc>
        <w:tc>
          <w:tcPr>
            <w:tcW w:w="995" w:type="dxa"/>
          </w:tcPr>
          <w:p>
            <w:pPr>
              <w:pStyle w:val="TableParagraph"/>
              <w:spacing w:line="256" w:lineRule="exact"/>
              <w:ind w:left="5"/>
              <w:jc w:val="center"/>
              <w:rPr>
                <w:sz w:val="24"/>
              </w:rPr>
            </w:pPr>
            <w:r>
              <w:rPr>
                <w:spacing w:val="-10"/>
                <w:sz w:val="24"/>
              </w:rPr>
              <w:t>3</w:t>
            </w:r>
          </w:p>
        </w:tc>
        <w:tc>
          <w:tcPr>
            <w:tcW w:w="860" w:type="dxa"/>
          </w:tcPr>
          <w:p>
            <w:pPr>
              <w:pStyle w:val="TableParagraph"/>
              <w:spacing w:line="256" w:lineRule="exact"/>
              <w:jc w:val="center"/>
              <w:rPr>
                <w:sz w:val="24"/>
              </w:rPr>
            </w:pPr>
            <w:r>
              <w:rPr>
                <w:spacing w:val="-10"/>
                <w:sz w:val="24"/>
              </w:rPr>
              <w:t>4</w:t>
            </w:r>
          </w:p>
        </w:tc>
        <w:tc>
          <w:tcPr>
            <w:tcW w:w="978" w:type="dxa"/>
          </w:tcPr>
          <w:p>
            <w:pPr>
              <w:pStyle w:val="TableParagraph"/>
              <w:spacing w:line="256" w:lineRule="exact"/>
              <w:ind w:right="2"/>
              <w:jc w:val="center"/>
              <w:rPr>
                <w:sz w:val="24"/>
              </w:rPr>
            </w:pPr>
            <w:r>
              <w:rPr>
                <w:spacing w:val="-10"/>
                <w:sz w:val="24"/>
              </w:rPr>
              <w:t>5</w:t>
            </w:r>
          </w:p>
        </w:tc>
      </w:tr>
      <w:tr>
        <w:trPr>
          <w:trHeight w:val="551" w:hRule="atLeast"/>
        </w:trPr>
        <w:tc>
          <w:tcPr>
            <w:tcW w:w="569" w:type="dxa"/>
          </w:tcPr>
          <w:p>
            <w:pPr>
              <w:pStyle w:val="TableParagraph"/>
              <w:spacing w:line="268" w:lineRule="exact"/>
              <w:ind w:left="115"/>
              <w:rPr>
                <w:sz w:val="24"/>
              </w:rPr>
            </w:pPr>
            <w:r>
              <w:rPr>
                <w:spacing w:val="-5"/>
                <w:sz w:val="24"/>
              </w:rPr>
              <w:t>11</w:t>
            </w:r>
          </w:p>
        </w:tc>
        <w:tc>
          <w:tcPr>
            <w:tcW w:w="4254" w:type="dxa"/>
          </w:tcPr>
          <w:p>
            <w:pPr>
              <w:pStyle w:val="TableParagraph"/>
              <w:spacing w:line="268" w:lineRule="exact"/>
              <w:ind w:left="112"/>
              <w:rPr>
                <w:sz w:val="24"/>
              </w:rPr>
            </w:pPr>
            <w:r>
              <w:rPr>
                <w:sz w:val="24"/>
              </w:rPr>
              <w:t>Я</w:t>
            </w:r>
            <w:r>
              <w:rPr>
                <w:spacing w:val="-3"/>
                <w:sz w:val="24"/>
              </w:rPr>
              <w:t> </w:t>
            </w:r>
            <w:r>
              <w:rPr>
                <w:sz w:val="24"/>
              </w:rPr>
              <w:t>способен/на</w:t>
            </w:r>
            <w:r>
              <w:rPr>
                <w:spacing w:val="-4"/>
                <w:sz w:val="24"/>
              </w:rPr>
              <w:t> </w:t>
            </w:r>
            <w:r>
              <w:rPr>
                <w:sz w:val="24"/>
              </w:rPr>
              <w:t>составить</w:t>
            </w:r>
            <w:r>
              <w:rPr>
                <w:spacing w:val="-2"/>
                <w:sz w:val="24"/>
              </w:rPr>
              <w:t> </w:t>
            </w:r>
            <w:r>
              <w:rPr>
                <w:spacing w:val="-4"/>
                <w:sz w:val="24"/>
              </w:rPr>
              <w:t>свое</w:t>
            </w:r>
          </w:p>
          <w:p>
            <w:pPr>
              <w:pStyle w:val="TableParagraph"/>
              <w:spacing w:line="264" w:lineRule="exact"/>
              <w:ind w:left="112"/>
              <w:rPr>
                <w:sz w:val="24"/>
              </w:rPr>
            </w:pPr>
            <w:r>
              <w:rPr>
                <w:sz w:val="24"/>
              </w:rPr>
              <w:t>собственное</w:t>
            </w:r>
            <w:r>
              <w:rPr>
                <w:spacing w:val="-3"/>
                <w:sz w:val="24"/>
              </w:rPr>
              <w:t> </w:t>
            </w:r>
            <w:r>
              <w:rPr>
                <w:sz w:val="24"/>
              </w:rPr>
              <w:t>мнение</w:t>
            </w:r>
            <w:r>
              <w:rPr>
                <w:spacing w:val="-2"/>
                <w:sz w:val="24"/>
              </w:rPr>
              <w:t> </w:t>
            </w:r>
            <w:r>
              <w:rPr>
                <w:sz w:val="24"/>
              </w:rPr>
              <w:t>о</w:t>
            </w:r>
            <w:r>
              <w:rPr>
                <w:spacing w:val="-2"/>
                <w:sz w:val="24"/>
              </w:rPr>
              <w:t> </w:t>
            </w:r>
            <w:r>
              <w:rPr>
                <w:sz w:val="24"/>
              </w:rPr>
              <w:t>разных </w:t>
            </w:r>
            <w:r>
              <w:rPr>
                <w:spacing w:val="-4"/>
                <w:sz w:val="24"/>
              </w:rPr>
              <w:t>вещах</w:t>
            </w:r>
          </w:p>
        </w:tc>
        <w:tc>
          <w:tcPr>
            <w:tcW w:w="850" w:type="dxa"/>
          </w:tcPr>
          <w:p>
            <w:pPr>
              <w:pStyle w:val="TableParagraph"/>
              <w:spacing w:before="131"/>
              <w:ind w:left="6" w:right="3"/>
              <w:jc w:val="center"/>
              <w:rPr>
                <w:sz w:val="24"/>
              </w:rPr>
            </w:pPr>
            <w:r>
              <w:rPr>
                <w:spacing w:val="-10"/>
                <w:sz w:val="24"/>
              </w:rPr>
              <w:t>1</w:t>
            </w:r>
          </w:p>
        </w:tc>
        <w:tc>
          <w:tcPr>
            <w:tcW w:w="850" w:type="dxa"/>
          </w:tcPr>
          <w:p>
            <w:pPr>
              <w:pStyle w:val="TableParagraph"/>
              <w:spacing w:before="131"/>
              <w:ind w:left="6" w:right="4"/>
              <w:jc w:val="center"/>
              <w:rPr>
                <w:sz w:val="24"/>
              </w:rPr>
            </w:pPr>
            <w:r>
              <w:rPr>
                <w:spacing w:val="-10"/>
                <w:sz w:val="24"/>
              </w:rPr>
              <w:t>2</w:t>
            </w:r>
          </w:p>
        </w:tc>
        <w:tc>
          <w:tcPr>
            <w:tcW w:w="995" w:type="dxa"/>
          </w:tcPr>
          <w:p>
            <w:pPr>
              <w:pStyle w:val="TableParagraph"/>
              <w:spacing w:before="131"/>
              <w:ind w:left="5"/>
              <w:jc w:val="center"/>
              <w:rPr>
                <w:sz w:val="24"/>
              </w:rPr>
            </w:pPr>
            <w:r>
              <w:rPr>
                <w:spacing w:val="-10"/>
                <w:sz w:val="24"/>
              </w:rPr>
              <w:t>3</w:t>
            </w:r>
          </w:p>
        </w:tc>
        <w:tc>
          <w:tcPr>
            <w:tcW w:w="860" w:type="dxa"/>
          </w:tcPr>
          <w:p>
            <w:pPr>
              <w:pStyle w:val="TableParagraph"/>
              <w:spacing w:before="131"/>
              <w:jc w:val="center"/>
              <w:rPr>
                <w:sz w:val="24"/>
              </w:rPr>
            </w:pPr>
            <w:r>
              <w:rPr>
                <w:spacing w:val="-10"/>
                <w:sz w:val="24"/>
              </w:rPr>
              <w:t>4</w:t>
            </w:r>
          </w:p>
        </w:tc>
        <w:tc>
          <w:tcPr>
            <w:tcW w:w="978" w:type="dxa"/>
          </w:tcPr>
          <w:p>
            <w:pPr>
              <w:pStyle w:val="TableParagraph"/>
              <w:spacing w:before="131"/>
              <w:ind w:right="2"/>
              <w:jc w:val="center"/>
              <w:rPr>
                <w:sz w:val="24"/>
              </w:rPr>
            </w:pPr>
            <w:r>
              <w:rPr>
                <w:spacing w:val="-10"/>
                <w:sz w:val="24"/>
              </w:rPr>
              <w:t>5</w:t>
            </w:r>
          </w:p>
        </w:tc>
      </w:tr>
      <w:tr>
        <w:trPr>
          <w:trHeight w:val="275" w:hRule="atLeast"/>
        </w:trPr>
        <w:tc>
          <w:tcPr>
            <w:tcW w:w="569" w:type="dxa"/>
          </w:tcPr>
          <w:p>
            <w:pPr>
              <w:pStyle w:val="TableParagraph"/>
              <w:spacing w:line="256" w:lineRule="exact"/>
              <w:ind w:left="115"/>
              <w:rPr>
                <w:sz w:val="24"/>
              </w:rPr>
            </w:pPr>
            <w:r>
              <w:rPr>
                <w:spacing w:val="-5"/>
                <w:sz w:val="24"/>
              </w:rPr>
              <w:t>12</w:t>
            </w:r>
          </w:p>
        </w:tc>
        <w:tc>
          <w:tcPr>
            <w:tcW w:w="4254" w:type="dxa"/>
          </w:tcPr>
          <w:p>
            <w:pPr>
              <w:pStyle w:val="TableParagraph"/>
              <w:spacing w:line="256" w:lineRule="exact"/>
              <w:ind w:left="112"/>
              <w:rPr>
                <w:sz w:val="24"/>
              </w:rPr>
            </w:pPr>
            <w:r>
              <w:rPr>
                <w:sz w:val="24"/>
              </w:rPr>
              <w:t>Я</w:t>
            </w:r>
            <w:r>
              <w:rPr>
                <w:spacing w:val="-3"/>
                <w:sz w:val="24"/>
              </w:rPr>
              <w:t> </w:t>
            </w:r>
            <w:r>
              <w:rPr>
                <w:sz w:val="24"/>
              </w:rPr>
              <w:t>чувствую,</w:t>
            </w:r>
            <w:r>
              <w:rPr>
                <w:spacing w:val="-1"/>
                <w:sz w:val="24"/>
              </w:rPr>
              <w:t> </w:t>
            </w:r>
            <w:r>
              <w:rPr>
                <w:sz w:val="24"/>
              </w:rPr>
              <w:t>что</w:t>
            </w:r>
            <w:r>
              <w:rPr>
                <w:spacing w:val="-3"/>
                <w:sz w:val="24"/>
              </w:rPr>
              <w:t> </w:t>
            </w:r>
            <w:r>
              <w:rPr>
                <w:sz w:val="24"/>
              </w:rPr>
              <w:t>меня</w:t>
            </w:r>
            <w:r>
              <w:rPr>
                <w:spacing w:val="-2"/>
                <w:sz w:val="24"/>
              </w:rPr>
              <w:t> любят</w:t>
            </w:r>
          </w:p>
        </w:tc>
        <w:tc>
          <w:tcPr>
            <w:tcW w:w="850" w:type="dxa"/>
          </w:tcPr>
          <w:p>
            <w:pPr>
              <w:pStyle w:val="TableParagraph"/>
              <w:spacing w:line="256" w:lineRule="exact"/>
              <w:ind w:left="6" w:right="3"/>
              <w:jc w:val="center"/>
              <w:rPr>
                <w:sz w:val="24"/>
              </w:rPr>
            </w:pPr>
            <w:r>
              <w:rPr>
                <w:spacing w:val="-10"/>
                <w:sz w:val="24"/>
              </w:rPr>
              <w:t>1</w:t>
            </w:r>
          </w:p>
        </w:tc>
        <w:tc>
          <w:tcPr>
            <w:tcW w:w="850" w:type="dxa"/>
          </w:tcPr>
          <w:p>
            <w:pPr>
              <w:pStyle w:val="TableParagraph"/>
              <w:spacing w:line="256" w:lineRule="exact"/>
              <w:ind w:left="6" w:right="4"/>
              <w:jc w:val="center"/>
              <w:rPr>
                <w:sz w:val="24"/>
              </w:rPr>
            </w:pPr>
            <w:r>
              <w:rPr>
                <w:spacing w:val="-10"/>
                <w:sz w:val="24"/>
              </w:rPr>
              <w:t>2</w:t>
            </w:r>
          </w:p>
        </w:tc>
        <w:tc>
          <w:tcPr>
            <w:tcW w:w="995" w:type="dxa"/>
          </w:tcPr>
          <w:p>
            <w:pPr>
              <w:pStyle w:val="TableParagraph"/>
              <w:spacing w:line="256" w:lineRule="exact"/>
              <w:ind w:left="5"/>
              <w:jc w:val="center"/>
              <w:rPr>
                <w:sz w:val="24"/>
              </w:rPr>
            </w:pPr>
            <w:r>
              <w:rPr>
                <w:spacing w:val="-10"/>
                <w:sz w:val="24"/>
              </w:rPr>
              <w:t>3</w:t>
            </w:r>
          </w:p>
        </w:tc>
        <w:tc>
          <w:tcPr>
            <w:tcW w:w="860" w:type="dxa"/>
          </w:tcPr>
          <w:p>
            <w:pPr>
              <w:pStyle w:val="TableParagraph"/>
              <w:spacing w:line="256" w:lineRule="exact"/>
              <w:jc w:val="center"/>
              <w:rPr>
                <w:sz w:val="24"/>
              </w:rPr>
            </w:pPr>
            <w:r>
              <w:rPr>
                <w:spacing w:val="-10"/>
                <w:sz w:val="24"/>
              </w:rPr>
              <w:t>4</w:t>
            </w:r>
          </w:p>
        </w:tc>
        <w:tc>
          <w:tcPr>
            <w:tcW w:w="978" w:type="dxa"/>
          </w:tcPr>
          <w:p>
            <w:pPr>
              <w:pStyle w:val="TableParagraph"/>
              <w:spacing w:line="256" w:lineRule="exact"/>
              <w:ind w:right="2"/>
              <w:jc w:val="center"/>
              <w:rPr>
                <w:sz w:val="24"/>
              </w:rPr>
            </w:pPr>
            <w:r>
              <w:rPr>
                <w:spacing w:val="-10"/>
                <w:sz w:val="24"/>
              </w:rPr>
              <w:t>5</w:t>
            </w:r>
          </w:p>
        </w:tc>
      </w:tr>
      <w:tr>
        <w:trPr>
          <w:trHeight w:val="277" w:hRule="atLeast"/>
        </w:trPr>
        <w:tc>
          <w:tcPr>
            <w:tcW w:w="569" w:type="dxa"/>
          </w:tcPr>
          <w:p>
            <w:pPr>
              <w:pStyle w:val="TableParagraph"/>
              <w:spacing w:line="258" w:lineRule="exact"/>
              <w:ind w:left="115"/>
              <w:rPr>
                <w:sz w:val="24"/>
              </w:rPr>
            </w:pPr>
            <w:r>
              <w:rPr>
                <w:spacing w:val="-5"/>
                <w:sz w:val="24"/>
              </w:rPr>
              <w:t>13</w:t>
            </w:r>
          </w:p>
        </w:tc>
        <w:tc>
          <w:tcPr>
            <w:tcW w:w="4254" w:type="dxa"/>
          </w:tcPr>
          <w:p>
            <w:pPr>
              <w:pStyle w:val="TableParagraph"/>
              <w:spacing w:line="258" w:lineRule="exact"/>
              <w:ind w:left="112"/>
              <w:rPr>
                <w:sz w:val="24"/>
              </w:rPr>
            </w:pPr>
            <w:r>
              <w:rPr>
                <w:sz w:val="24"/>
              </w:rPr>
              <w:t>Мне</w:t>
            </w:r>
            <w:r>
              <w:rPr>
                <w:spacing w:val="-3"/>
                <w:sz w:val="24"/>
              </w:rPr>
              <w:t> </w:t>
            </w:r>
            <w:r>
              <w:rPr>
                <w:sz w:val="24"/>
              </w:rPr>
              <w:t>интересно</w:t>
            </w:r>
            <w:r>
              <w:rPr>
                <w:spacing w:val="-1"/>
                <w:sz w:val="24"/>
              </w:rPr>
              <w:t> </w:t>
            </w:r>
            <w:r>
              <w:rPr>
                <w:spacing w:val="-2"/>
                <w:sz w:val="24"/>
              </w:rPr>
              <w:t>новое</w:t>
            </w:r>
          </w:p>
        </w:tc>
        <w:tc>
          <w:tcPr>
            <w:tcW w:w="850" w:type="dxa"/>
          </w:tcPr>
          <w:p>
            <w:pPr>
              <w:pStyle w:val="TableParagraph"/>
              <w:spacing w:line="258" w:lineRule="exact"/>
              <w:ind w:left="6" w:right="3"/>
              <w:jc w:val="center"/>
              <w:rPr>
                <w:sz w:val="24"/>
              </w:rPr>
            </w:pPr>
            <w:r>
              <w:rPr>
                <w:spacing w:val="-10"/>
                <w:sz w:val="24"/>
              </w:rPr>
              <w:t>1</w:t>
            </w:r>
          </w:p>
        </w:tc>
        <w:tc>
          <w:tcPr>
            <w:tcW w:w="850" w:type="dxa"/>
          </w:tcPr>
          <w:p>
            <w:pPr>
              <w:pStyle w:val="TableParagraph"/>
              <w:spacing w:line="258" w:lineRule="exact"/>
              <w:ind w:left="6" w:right="4"/>
              <w:jc w:val="center"/>
              <w:rPr>
                <w:sz w:val="24"/>
              </w:rPr>
            </w:pPr>
            <w:r>
              <w:rPr>
                <w:spacing w:val="-10"/>
                <w:sz w:val="24"/>
              </w:rPr>
              <w:t>2</w:t>
            </w:r>
          </w:p>
        </w:tc>
        <w:tc>
          <w:tcPr>
            <w:tcW w:w="995" w:type="dxa"/>
          </w:tcPr>
          <w:p>
            <w:pPr>
              <w:pStyle w:val="TableParagraph"/>
              <w:spacing w:line="258" w:lineRule="exact"/>
              <w:ind w:left="5"/>
              <w:jc w:val="center"/>
              <w:rPr>
                <w:sz w:val="24"/>
              </w:rPr>
            </w:pPr>
            <w:r>
              <w:rPr>
                <w:spacing w:val="-10"/>
                <w:sz w:val="24"/>
              </w:rPr>
              <w:t>3</w:t>
            </w:r>
          </w:p>
        </w:tc>
        <w:tc>
          <w:tcPr>
            <w:tcW w:w="860" w:type="dxa"/>
          </w:tcPr>
          <w:p>
            <w:pPr>
              <w:pStyle w:val="TableParagraph"/>
              <w:spacing w:line="258" w:lineRule="exact"/>
              <w:jc w:val="center"/>
              <w:rPr>
                <w:sz w:val="24"/>
              </w:rPr>
            </w:pPr>
            <w:r>
              <w:rPr>
                <w:spacing w:val="-10"/>
                <w:sz w:val="24"/>
              </w:rPr>
              <w:t>4</w:t>
            </w:r>
          </w:p>
        </w:tc>
        <w:tc>
          <w:tcPr>
            <w:tcW w:w="978" w:type="dxa"/>
          </w:tcPr>
          <w:p>
            <w:pPr>
              <w:pStyle w:val="TableParagraph"/>
              <w:spacing w:line="258" w:lineRule="exact"/>
              <w:ind w:right="2"/>
              <w:jc w:val="center"/>
              <w:rPr>
                <w:sz w:val="24"/>
              </w:rPr>
            </w:pPr>
            <w:r>
              <w:rPr>
                <w:spacing w:val="-10"/>
                <w:sz w:val="24"/>
              </w:rPr>
              <w:t>5</w:t>
            </w:r>
          </w:p>
        </w:tc>
      </w:tr>
      <w:tr>
        <w:trPr>
          <w:trHeight w:val="276" w:hRule="atLeast"/>
        </w:trPr>
        <w:tc>
          <w:tcPr>
            <w:tcW w:w="569" w:type="dxa"/>
          </w:tcPr>
          <w:p>
            <w:pPr>
              <w:pStyle w:val="TableParagraph"/>
              <w:spacing w:line="256" w:lineRule="exact"/>
              <w:ind w:left="115"/>
              <w:rPr>
                <w:sz w:val="24"/>
              </w:rPr>
            </w:pPr>
            <w:r>
              <w:rPr>
                <w:spacing w:val="-5"/>
                <w:sz w:val="24"/>
              </w:rPr>
              <w:t>14</w:t>
            </w:r>
          </w:p>
        </w:tc>
        <w:tc>
          <w:tcPr>
            <w:tcW w:w="4254" w:type="dxa"/>
          </w:tcPr>
          <w:p>
            <w:pPr>
              <w:pStyle w:val="TableParagraph"/>
              <w:spacing w:line="256" w:lineRule="exact"/>
              <w:ind w:left="112"/>
              <w:rPr>
                <w:sz w:val="24"/>
              </w:rPr>
            </w:pPr>
            <w:r>
              <w:rPr>
                <w:sz w:val="24"/>
              </w:rPr>
              <w:t>Я</w:t>
            </w:r>
            <w:r>
              <w:rPr>
                <w:spacing w:val="-4"/>
                <w:sz w:val="24"/>
              </w:rPr>
              <w:t> </w:t>
            </w:r>
            <w:r>
              <w:rPr>
                <w:sz w:val="24"/>
              </w:rPr>
              <w:t>чувствую</w:t>
            </w:r>
            <w:r>
              <w:rPr>
                <w:spacing w:val="-2"/>
                <w:sz w:val="24"/>
              </w:rPr>
              <w:t> </w:t>
            </w:r>
            <w:r>
              <w:rPr>
                <w:sz w:val="24"/>
              </w:rPr>
              <w:t>себя</w:t>
            </w:r>
            <w:r>
              <w:rPr>
                <w:spacing w:val="-3"/>
                <w:sz w:val="24"/>
              </w:rPr>
              <w:t> </w:t>
            </w:r>
            <w:r>
              <w:rPr>
                <w:spacing w:val="-2"/>
                <w:sz w:val="24"/>
              </w:rPr>
              <w:t>бодрым/ой</w:t>
            </w:r>
          </w:p>
        </w:tc>
        <w:tc>
          <w:tcPr>
            <w:tcW w:w="850" w:type="dxa"/>
          </w:tcPr>
          <w:p>
            <w:pPr>
              <w:pStyle w:val="TableParagraph"/>
              <w:spacing w:line="256" w:lineRule="exact"/>
              <w:ind w:left="6" w:right="3"/>
              <w:jc w:val="center"/>
              <w:rPr>
                <w:sz w:val="24"/>
              </w:rPr>
            </w:pPr>
            <w:r>
              <w:rPr>
                <w:spacing w:val="-10"/>
                <w:sz w:val="24"/>
              </w:rPr>
              <w:t>1</w:t>
            </w:r>
          </w:p>
        </w:tc>
        <w:tc>
          <w:tcPr>
            <w:tcW w:w="850" w:type="dxa"/>
          </w:tcPr>
          <w:p>
            <w:pPr>
              <w:pStyle w:val="TableParagraph"/>
              <w:spacing w:line="256" w:lineRule="exact"/>
              <w:ind w:left="6" w:right="4"/>
              <w:jc w:val="center"/>
              <w:rPr>
                <w:sz w:val="24"/>
              </w:rPr>
            </w:pPr>
            <w:r>
              <w:rPr>
                <w:spacing w:val="-10"/>
                <w:sz w:val="24"/>
              </w:rPr>
              <w:t>2</w:t>
            </w:r>
          </w:p>
        </w:tc>
        <w:tc>
          <w:tcPr>
            <w:tcW w:w="995" w:type="dxa"/>
          </w:tcPr>
          <w:p>
            <w:pPr>
              <w:pStyle w:val="TableParagraph"/>
              <w:spacing w:line="256" w:lineRule="exact"/>
              <w:ind w:left="5"/>
              <w:jc w:val="center"/>
              <w:rPr>
                <w:sz w:val="24"/>
              </w:rPr>
            </w:pPr>
            <w:r>
              <w:rPr>
                <w:spacing w:val="-10"/>
                <w:sz w:val="24"/>
              </w:rPr>
              <w:t>3</w:t>
            </w:r>
          </w:p>
        </w:tc>
        <w:tc>
          <w:tcPr>
            <w:tcW w:w="860" w:type="dxa"/>
          </w:tcPr>
          <w:p>
            <w:pPr>
              <w:pStyle w:val="TableParagraph"/>
              <w:spacing w:line="256" w:lineRule="exact"/>
              <w:jc w:val="center"/>
              <w:rPr>
                <w:sz w:val="24"/>
              </w:rPr>
            </w:pPr>
            <w:r>
              <w:rPr>
                <w:spacing w:val="-10"/>
                <w:sz w:val="24"/>
              </w:rPr>
              <w:t>4</w:t>
            </w:r>
          </w:p>
        </w:tc>
        <w:tc>
          <w:tcPr>
            <w:tcW w:w="978" w:type="dxa"/>
          </w:tcPr>
          <w:p>
            <w:pPr>
              <w:pStyle w:val="TableParagraph"/>
              <w:spacing w:line="256" w:lineRule="exact"/>
              <w:ind w:right="2"/>
              <w:jc w:val="center"/>
              <w:rPr>
                <w:sz w:val="24"/>
              </w:rPr>
            </w:pPr>
            <w:r>
              <w:rPr>
                <w:spacing w:val="-10"/>
                <w:sz w:val="24"/>
              </w:rPr>
              <w:t>5</w:t>
            </w:r>
          </w:p>
        </w:tc>
      </w:tr>
    </w:tbl>
    <w:p>
      <w:pPr>
        <w:pStyle w:val="TableParagraph"/>
        <w:spacing w:after="0" w:line="256" w:lineRule="exact"/>
        <w:jc w:val="center"/>
        <w:rPr>
          <w:sz w:val="24"/>
        </w:rPr>
        <w:sectPr>
          <w:pgSz w:w="11910" w:h="16840"/>
          <w:pgMar w:header="0" w:footer="970" w:top="1040" w:bottom="1220" w:left="1417" w:right="283"/>
        </w:sectPr>
      </w:pPr>
    </w:p>
    <w:p>
      <w:pPr>
        <w:pStyle w:val="Heading2"/>
        <w:numPr>
          <w:ilvl w:val="0"/>
          <w:numId w:val="15"/>
        </w:numPr>
        <w:tabs>
          <w:tab w:pos="564" w:val="left" w:leader="none"/>
        </w:tabs>
        <w:spacing w:line="240" w:lineRule="auto" w:before="72" w:after="0"/>
        <w:ind w:left="564" w:right="0" w:hanging="279"/>
        <w:jc w:val="left"/>
      </w:pPr>
      <w:bookmarkStart w:name="_bookmark17" w:id="19"/>
      <w:bookmarkEnd w:id="19"/>
      <w:r>
        <w:rPr>
          <w:b w:val="0"/>
        </w:rPr>
      </w:r>
      <w:r>
        <w:rPr/>
        <w:t>Опросник</w:t>
      </w:r>
      <w:r>
        <w:rPr>
          <w:spacing w:val="-14"/>
        </w:rPr>
        <w:t> </w:t>
      </w:r>
      <w:r>
        <w:rPr/>
        <w:t>психологического</w:t>
      </w:r>
      <w:r>
        <w:rPr>
          <w:spacing w:val="-10"/>
        </w:rPr>
        <w:t> </w:t>
      </w:r>
      <w:r>
        <w:rPr/>
        <w:t>здоровья</w:t>
      </w:r>
      <w:r>
        <w:rPr>
          <w:spacing w:val="-11"/>
        </w:rPr>
        <w:t> </w:t>
      </w:r>
      <w:r>
        <w:rPr>
          <w:spacing w:val="-2"/>
        </w:rPr>
        <w:t>мигрантов</w:t>
      </w:r>
    </w:p>
    <w:p>
      <w:pPr>
        <w:pStyle w:val="Heading3"/>
        <w:spacing w:before="293"/>
      </w:pPr>
      <w:r>
        <w:rPr/>
        <w:t>Описание</w:t>
      </w:r>
      <w:r>
        <w:rPr>
          <w:spacing w:val="-2"/>
        </w:rPr>
        <w:t> методики</w:t>
      </w:r>
    </w:p>
    <w:p>
      <w:pPr>
        <w:pStyle w:val="Heading4"/>
        <w:spacing w:before="232"/>
        <w:ind w:right="561"/>
      </w:pPr>
      <w:r>
        <w:rPr/>
        <w:t>Опросник психологического здоровья мигрантов (в оригинальной версии </w:t>
      </w:r>
      <w:r>
        <w:rPr>
          <w:i/>
        </w:rPr>
        <w:t>Refugee Health Screener</w:t>
      </w:r>
      <w:r>
        <w:rPr/>
        <w:t>, или Опросник здоровья беженцев) был разработан в США коллективом исследователей из Сиэтла и Нью-Мексико в 2010 году. Предпосылкой для создания </w:t>
      </w:r>
      <w:r>
        <w:rPr>
          <w:i/>
        </w:rPr>
        <w:t>RHS </w:t>
      </w:r>
      <w:r>
        <w:rPr/>
        <w:t>стало сочетание необходимости скрининга психического здоровья прибывающих мигрантов и отсутствие соответствующих</w:t>
      </w:r>
      <w:r>
        <w:rPr>
          <w:spacing w:val="-10"/>
        </w:rPr>
        <w:t> </w:t>
      </w:r>
      <w:r>
        <w:rPr/>
        <w:t>опросников</w:t>
      </w:r>
      <w:r>
        <w:rPr>
          <w:spacing w:val="-13"/>
        </w:rPr>
        <w:t> </w:t>
      </w:r>
      <w:r>
        <w:rPr/>
        <w:t>с</w:t>
      </w:r>
      <w:r>
        <w:rPr>
          <w:spacing w:val="-14"/>
        </w:rPr>
        <w:t> </w:t>
      </w:r>
      <w:r>
        <w:rPr/>
        <w:t>надлежащей</w:t>
      </w:r>
      <w:r>
        <w:rPr>
          <w:spacing w:val="-14"/>
        </w:rPr>
        <w:t> </w:t>
      </w:r>
      <w:r>
        <w:rPr/>
        <w:t>доказательной</w:t>
      </w:r>
      <w:r>
        <w:rPr>
          <w:spacing w:val="-14"/>
        </w:rPr>
        <w:t> </w:t>
      </w:r>
      <w:r>
        <w:rPr/>
        <w:t>базой</w:t>
      </w:r>
      <w:r>
        <w:rPr>
          <w:spacing w:val="-12"/>
        </w:rPr>
        <w:t> </w:t>
      </w:r>
      <w:r>
        <w:rPr/>
        <w:t>(</w:t>
      </w:r>
      <w:r>
        <w:rPr>
          <w:i/>
        </w:rPr>
        <w:t>Hollifield</w:t>
      </w:r>
      <w:r>
        <w:rPr>
          <w:i/>
          <w:spacing w:val="-12"/>
        </w:rPr>
        <w:t> </w:t>
      </w:r>
      <w:r>
        <w:rPr/>
        <w:t>et al., 2013).</w:t>
      </w:r>
    </w:p>
    <w:p>
      <w:pPr>
        <w:pStyle w:val="Heading4"/>
        <w:spacing w:before="241"/>
        <w:ind w:right="566"/>
      </w:pPr>
      <w:r>
        <w:rPr/>
        <w:t>Методика</w:t>
      </w:r>
      <w:r>
        <w:rPr>
          <w:spacing w:val="-18"/>
        </w:rPr>
        <w:t> </w:t>
      </w:r>
      <w:r>
        <w:rPr/>
        <w:t>предназначена</w:t>
      </w:r>
      <w:r>
        <w:rPr>
          <w:spacing w:val="-17"/>
        </w:rPr>
        <w:t> </w:t>
      </w:r>
      <w:r>
        <w:rPr/>
        <w:t>для</w:t>
      </w:r>
      <w:r>
        <w:rPr>
          <w:spacing w:val="-18"/>
        </w:rPr>
        <w:t> </w:t>
      </w:r>
      <w:r>
        <w:rPr/>
        <w:t>скрининга</w:t>
      </w:r>
      <w:r>
        <w:rPr>
          <w:spacing w:val="-17"/>
        </w:rPr>
        <w:t> </w:t>
      </w:r>
      <w:r>
        <w:rPr/>
        <w:t>психического</w:t>
      </w:r>
      <w:r>
        <w:rPr>
          <w:spacing w:val="-18"/>
        </w:rPr>
        <w:t> </w:t>
      </w:r>
      <w:r>
        <w:rPr/>
        <w:t>состояния</w:t>
      </w:r>
      <w:r>
        <w:rPr>
          <w:spacing w:val="-17"/>
        </w:rPr>
        <w:t> </w:t>
      </w:r>
      <w:r>
        <w:rPr/>
        <w:t>иммигрантов вне</w:t>
      </w:r>
      <w:r>
        <w:rPr>
          <w:spacing w:val="-13"/>
        </w:rPr>
        <w:t> </w:t>
      </w:r>
      <w:r>
        <w:rPr/>
        <w:t>зависимости</w:t>
      </w:r>
      <w:r>
        <w:rPr>
          <w:spacing w:val="-15"/>
        </w:rPr>
        <w:t> </w:t>
      </w:r>
      <w:r>
        <w:rPr/>
        <w:t>от</w:t>
      </w:r>
      <w:r>
        <w:rPr>
          <w:spacing w:val="-14"/>
        </w:rPr>
        <w:t> </w:t>
      </w:r>
      <w:r>
        <w:rPr/>
        <w:t>страны</w:t>
      </w:r>
      <w:r>
        <w:rPr>
          <w:spacing w:val="-13"/>
        </w:rPr>
        <w:t> </w:t>
      </w:r>
      <w:r>
        <w:rPr/>
        <w:t>эмиграции.</w:t>
      </w:r>
      <w:r>
        <w:rPr>
          <w:spacing w:val="-16"/>
        </w:rPr>
        <w:t> </w:t>
      </w:r>
      <w:r>
        <w:rPr/>
        <w:t>Применяется</w:t>
      </w:r>
      <w:r>
        <w:rPr>
          <w:spacing w:val="-13"/>
        </w:rPr>
        <w:t> </w:t>
      </w:r>
      <w:r>
        <w:rPr/>
        <w:t>с</w:t>
      </w:r>
      <w:r>
        <w:rPr>
          <w:spacing w:val="-13"/>
        </w:rPr>
        <w:t> </w:t>
      </w:r>
      <w:r>
        <w:rPr/>
        <w:t>подростками</w:t>
      </w:r>
      <w:r>
        <w:rPr>
          <w:spacing w:val="-13"/>
        </w:rPr>
        <w:t> </w:t>
      </w:r>
      <w:r>
        <w:rPr/>
        <w:t>не</w:t>
      </w:r>
      <w:r>
        <w:rPr>
          <w:spacing w:val="-13"/>
        </w:rPr>
        <w:t> </w:t>
      </w:r>
      <w:r>
        <w:rPr/>
        <w:t>младше 14 лет.</w:t>
      </w:r>
    </w:p>
    <w:p>
      <w:pPr>
        <w:pStyle w:val="Heading4"/>
        <w:spacing w:before="238"/>
      </w:pPr>
      <w:r>
        <w:rPr/>
        <w:t>Опросник</w:t>
      </w:r>
      <w:r>
        <w:rPr>
          <w:spacing w:val="-6"/>
        </w:rPr>
        <w:t> </w:t>
      </w:r>
      <w:r>
        <w:rPr/>
        <w:t>состоит</w:t>
      </w:r>
      <w:r>
        <w:rPr>
          <w:spacing w:val="-8"/>
        </w:rPr>
        <w:t> </w:t>
      </w:r>
      <w:r>
        <w:rPr/>
        <w:t>из</w:t>
      </w:r>
      <w:r>
        <w:rPr>
          <w:spacing w:val="-5"/>
        </w:rPr>
        <w:t> </w:t>
      </w:r>
      <w:r>
        <w:rPr/>
        <w:t>14</w:t>
      </w:r>
      <w:r>
        <w:rPr>
          <w:spacing w:val="-3"/>
        </w:rPr>
        <w:t> </w:t>
      </w:r>
      <w:r>
        <w:rPr/>
        <w:t>вопросов</w:t>
      </w:r>
      <w:r>
        <w:rPr>
          <w:spacing w:val="-7"/>
        </w:rPr>
        <w:t> </w:t>
      </w:r>
      <w:r>
        <w:rPr/>
        <w:t>и</w:t>
      </w:r>
      <w:r>
        <w:rPr>
          <w:spacing w:val="-4"/>
        </w:rPr>
        <w:t> </w:t>
      </w:r>
      <w:r>
        <w:rPr/>
        <w:t>разделен</w:t>
      </w:r>
      <w:r>
        <w:rPr>
          <w:spacing w:val="-4"/>
        </w:rPr>
        <w:t> </w:t>
      </w:r>
      <w:r>
        <w:rPr/>
        <w:t>на</w:t>
      </w:r>
      <w:r>
        <w:rPr>
          <w:spacing w:val="-5"/>
        </w:rPr>
        <w:t> </w:t>
      </w:r>
      <w:r>
        <w:rPr>
          <w:spacing w:val="-2"/>
        </w:rPr>
        <w:t>блоки:</w:t>
      </w:r>
    </w:p>
    <w:p>
      <w:pPr>
        <w:pStyle w:val="Heading4"/>
        <w:numPr>
          <w:ilvl w:val="1"/>
          <w:numId w:val="15"/>
        </w:numPr>
        <w:tabs>
          <w:tab w:pos="1029" w:val="left" w:leader="none"/>
        </w:tabs>
        <w:spacing w:line="240" w:lineRule="auto" w:before="2" w:after="0"/>
        <w:ind w:left="565" w:right="567" w:firstLine="0"/>
        <w:jc w:val="both"/>
      </w:pPr>
      <w:r>
        <w:rPr/>
        <w:t>1–9</w:t>
      </w:r>
      <w:r>
        <w:rPr>
          <w:spacing w:val="-18"/>
        </w:rPr>
        <w:t> </w:t>
      </w:r>
      <w:r>
        <w:rPr/>
        <w:t>вопросы</w:t>
      </w:r>
      <w:r>
        <w:rPr>
          <w:spacing w:val="-17"/>
        </w:rPr>
        <w:t> </w:t>
      </w:r>
      <w:r>
        <w:rPr/>
        <w:t>посвящены</w:t>
      </w:r>
      <w:r>
        <w:rPr>
          <w:spacing w:val="-18"/>
        </w:rPr>
        <w:t> </w:t>
      </w:r>
      <w:r>
        <w:rPr/>
        <w:t>соматическим</w:t>
      </w:r>
      <w:r>
        <w:rPr>
          <w:spacing w:val="-17"/>
        </w:rPr>
        <w:t> </w:t>
      </w:r>
      <w:r>
        <w:rPr/>
        <w:t>и</w:t>
      </w:r>
      <w:r>
        <w:rPr>
          <w:spacing w:val="-18"/>
        </w:rPr>
        <w:t> </w:t>
      </w:r>
      <w:r>
        <w:rPr/>
        <w:t>психологическим</w:t>
      </w:r>
      <w:r>
        <w:rPr>
          <w:spacing w:val="-17"/>
        </w:rPr>
        <w:t> </w:t>
      </w:r>
      <w:r>
        <w:rPr/>
        <w:t>проявлениям тревожности и депрессии;</w:t>
      </w:r>
    </w:p>
    <w:p>
      <w:pPr>
        <w:pStyle w:val="Heading4"/>
        <w:numPr>
          <w:ilvl w:val="1"/>
          <w:numId w:val="15"/>
        </w:numPr>
        <w:tabs>
          <w:tab w:pos="1037" w:val="left" w:leader="none"/>
        </w:tabs>
        <w:spacing w:line="240" w:lineRule="auto" w:before="0" w:after="0"/>
        <w:ind w:left="565" w:right="567" w:firstLine="0"/>
        <w:jc w:val="both"/>
      </w:pPr>
      <w:r>
        <w:rPr/>
        <w:t>10–13</w:t>
      </w:r>
      <w:r>
        <w:rPr>
          <w:spacing w:val="-18"/>
        </w:rPr>
        <w:t> </w:t>
      </w:r>
      <w:r>
        <w:rPr/>
        <w:t>вопросы</w:t>
      </w:r>
      <w:r>
        <w:rPr>
          <w:spacing w:val="-17"/>
        </w:rPr>
        <w:t> </w:t>
      </w:r>
      <w:r>
        <w:rPr/>
        <w:t>соотнесены</w:t>
      </w:r>
      <w:r>
        <w:rPr>
          <w:spacing w:val="-18"/>
        </w:rPr>
        <w:t> </w:t>
      </w:r>
      <w:r>
        <w:rPr/>
        <w:t>с</w:t>
      </w:r>
      <w:r>
        <w:rPr>
          <w:spacing w:val="-17"/>
        </w:rPr>
        <w:t> </w:t>
      </w:r>
      <w:r>
        <w:rPr/>
        <w:t>возможными</w:t>
      </w:r>
      <w:r>
        <w:rPr>
          <w:spacing w:val="-18"/>
        </w:rPr>
        <w:t> </w:t>
      </w:r>
      <w:r>
        <w:rPr/>
        <w:t>травматическими</w:t>
      </w:r>
      <w:r>
        <w:rPr>
          <w:spacing w:val="-17"/>
        </w:rPr>
        <w:t> </w:t>
      </w:r>
      <w:r>
        <w:rPr/>
        <w:t>событиями, пережитыми во время войны, в результате религиозных/политических преследований или во время процесса переселения из одной страны в </w:t>
      </w:r>
      <w:r>
        <w:rPr>
          <w:spacing w:val="-2"/>
        </w:rPr>
        <w:t>другую;</w:t>
      </w:r>
    </w:p>
    <w:p>
      <w:pPr>
        <w:pStyle w:val="Heading4"/>
        <w:numPr>
          <w:ilvl w:val="1"/>
          <w:numId w:val="15"/>
        </w:numPr>
        <w:tabs>
          <w:tab w:pos="1135" w:val="left" w:leader="none"/>
        </w:tabs>
        <w:spacing w:line="240" w:lineRule="auto" w:before="1" w:after="0"/>
        <w:ind w:left="565" w:right="570" w:firstLine="0"/>
        <w:jc w:val="both"/>
      </w:pPr>
      <w:r>
        <w:rPr/>
        <w:t>14</w:t>
      </w:r>
      <w:r>
        <w:rPr>
          <w:spacing w:val="-3"/>
        </w:rPr>
        <w:t> </w:t>
      </w:r>
      <w:r>
        <w:rPr/>
        <w:t>вопрос</w:t>
      </w:r>
      <w:r>
        <w:rPr>
          <w:spacing w:val="-4"/>
        </w:rPr>
        <w:t> </w:t>
      </w:r>
      <w:r>
        <w:rPr/>
        <w:t>предлагает</w:t>
      </w:r>
      <w:r>
        <w:rPr>
          <w:spacing w:val="-4"/>
        </w:rPr>
        <w:t> </w:t>
      </w:r>
      <w:r>
        <w:rPr/>
        <w:t>испытуемому</w:t>
      </w:r>
      <w:r>
        <w:rPr>
          <w:spacing w:val="-8"/>
        </w:rPr>
        <w:t> </w:t>
      </w:r>
      <w:r>
        <w:rPr/>
        <w:t>обобщенно</w:t>
      </w:r>
      <w:r>
        <w:rPr>
          <w:spacing w:val="-4"/>
        </w:rPr>
        <w:t> </w:t>
      </w:r>
      <w:r>
        <w:rPr/>
        <w:t>оценить</w:t>
      </w:r>
      <w:r>
        <w:rPr>
          <w:spacing w:val="-5"/>
        </w:rPr>
        <w:t> </w:t>
      </w:r>
      <w:r>
        <w:rPr/>
        <w:t>субъективную способность совладания с актуальной жизненной ситуацией.</w:t>
      </w:r>
    </w:p>
    <w:p>
      <w:pPr>
        <w:pStyle w:val="Heading3"/>
        <w:spacing w:before="246"/>
      </w:pPr>
      <w:r>
        <w:rPr/>
        <w:t>Проведение</w:t>
      </w:r>
      <w:r>
        <w:rPr>
          <w:spacing w:val="-10"/>
        </w:rPr>
        <w:t> </w:t>
      </w:r>
      <w:r>
        <w:rPr>
          <w:spacing w:val="-2"/>
        </w:rPr>
        <w:t>методики</w:t>
      </w:r>
    </w:p>
    <w:p>
      <w:pPr>
        <w:pStyle w:val="Heading4"/>
        <w:spacing w:before="233"/>
        <w:ind w:right="563"/>
      </w:pPr>
      <w:r>
        <w:rPr/>
        <w:t>Психолог предлагает учащемуся самостоятельно заполнить опросник из 14 вопросов (см. </w:t>
      </w:r>
      <w:r>
        <w:rPr>
          <w:i/>
        </w:rPr>
        <w:t>Приложение 4</w:t>
      </w:r>
      <w:r>
        <w:rPr/>
        <w:t>). На каждый вопрос предлагается выбрать вариант ответа, соответствующий баллу по пятибалльной шкале (от 0 до 4). Каждый из вариантов ответа дополнительно визуализирован как сосуд, наполненность которого зависит от выраженности симптома: чем сильнее выраженность, тем полнее сосуд.</w:t>
      </w:r>
    </w:p>
    <w:p>
      <w:pPr>
        <w:pStyle w:val="Heading4"/>
        <w:spacing w:before="241"/>
        <w:ind w:right="568"/>
      </w:pPr>
      <w:r>
        <w:rPr/>
        <w:t>О</w:t>
      </w:r>
      <w:r>
        <w:rPr>
          <w:spacing w:val="-18"/>
        </w:rPr>
        <w:t> </w:t>
      </w:r>
      <w:r>
        <w:rPr/>
        <w:t>высокой</w:t>
      </w:r>
      <w:r>
        <w:rPr>
          <w:spacing w:val="-17"/>
        </w:rPr>
        <w:t> </w:t>
      </w:r>
      <w:r>
        <w:rPr/>
        <w:t>вероятности</w:t>
      </w:r>
      <w:r>
        <w:rPr>
          <w:spacing w:val="-18"/>
        </w:rPr>
        <w:t> </w:t>
      </w:r>
      <w:r>
        <w:rPr/>
        <w:t>наличия</w:t>
      </w:r>
      <w:r>
        <w:rPr>
          <w:spacing w:val="-17"/>
        </w:rPr>
        <w:t> </w:t>
      </w:r>
      <w:r>
        <w:rPr/>
        <w:t>эмоциональных</w:t>
      </w:r>
      <w:r>
        <w:rPr>
          <w:spacing w:val="-18"/>
        </w:rPr>
        <w:t> </w:t>
      </w:r>
      <w:r>
        <w:rPr/>
        <w:t>или</w:t>
      </w:r>
      <w:r>
        <w:rPr>
          <w:spacing w:val="-17"/>
        </w:rPr>
        <w:t> </w:t>
      </w:r>
      <w:r>
        <w:rPr/>
        <w:t>психических</w:t>
      </w:r>
      <w:r>
        <w:rPr>
          <w:spacing w:val="-18"/>
        </w:rPr>
        <w:t> </w:t>
      </w:r>
      <w:r>
        <w:rPr/>
        <w:t>расстройств и необходимости предложить соответствующую помощь.</w:t>
      </w:r>
    </w:p>
    <w:p>
      <w:pPr>
        <w:pStyle w:val="Heading4"/>
        <w:spacing w:before="239"/>
        <w:ind w:right="561"/>
      </w:pPr>
      <w:r>
        <w:rPr/>
        <w:t>По данным разработчиков, если сумма ответов испытуемого на вопросы составляет</w:t>
      </w:r>
      <w:r>
        <w:rPr>
          <w:spacing w:val="-5"/>
        </w:rPr>
        <w:t> </w:t>
      </w:r>
      <w:r>
        <w:rPr/>
        <w:t>12</w:t>
      </w:r>
      <w:r>
        <w:rPr>
          <w:spacing w:val="-7"/>
        </w:rPr>
        <w:t> </w:t>
      </w:r>
      <w:r>
        <w:rPr/>
        <w:t>баллов</w:t>
      </w:r>
      <w:r>
        <w:rPr>
          <w:spacing w:val="-6"/>
        </w:rPr>
        <w:t> </w:t>
      </w:r>
      <w:r>
        <w:rPr/>
        <w:t>или</w:t>
      </w:r>
      <w:r>
        <w:rPr>
          <w:spacing w:val="-5"/>
        </w:rPr>
        <w:t> </w:t>
      </w:r>
      <w:r>
        <w:rPr/>
        <w:t>больше,</w:t>
      </w:r>
      <w:r>
        <w:rPr>
          <w:spacing w:val="-6"/>
        </w:rPr>
        <w:t> </w:t>
      </w:r>
      <w:r>
        <w:rPr/>
        <w:t>это</w:t>
      </w:r>
      <w:r>
        <w:rPr>
          <w:spacing w:val="-5"/>
        </w:rPr>
        <w:t> </w:t>
      </w:r>
      <w:r>
        <w:rPr/>
        <w:t>свидетельствует</w:t>
      </w:r>
      <w:r>
        <w:rPr>
          <w:spacing w:val="-5"/>
        </w:rPr>
        <w:t> </w:t>
      </w:r>
      <w:r>
        <w:rPr/>
        <w:t>о</w:t>
      </w:r>
      <w:r>
        <w:rPr>
          <w:spacing w:val="-5"/>
        </w:rPr>
        <w:t> </w:t>
      </w:r>
      <w:r>
        <w:rPr/>
        <w:t>высокой</w:t>
      </w:r>
      <w:r>
        <w:rPr>
          <w:spacing w:val="-5"/>
        </w:rPr>
        <w:t> </w:t>
      </w:r>
      <w:r>
        <w:rPr/>
        <w:t>вероятности наличия эмоциональных или психических расстройств и необходимости предложить соответствующую помощь.</w:t>
      </w:r>
    </w:p>
    <w:p>
      <w:pPr>
        <w:pStyle w:val="Heading4"/>
        <w:spacing w:before="241"/>
        <w:ind w:right="565"/>
      </w:pPr>
      <w:r>
        <w:rPr/>
        <w:t>В 2022 г. по результатам апробации в 12 регионах РФ программы оценки особых образовательных потребностей ребенка-мигранта в сферах психологического</w:t>
      </w:r>
      <w:r>
        <w:rPr>
          <w:spacing w:val="74"/>
        </w:rPr>
        <w:t>  </w:t>
      </w:r>
      <w:r>
        <w:rPr/>
        <w:t>благополучия,</w:t>
      </w:r>
      <w:r>
        <w:rPr>
          <w:spacing w:val="76"/>
        </w:rPr>
        <w:t>  </w:t>
      </w:r>
      <w:r>
        <w:rPr/>
        <w:t>социальных</w:t>
      </w:r>
      <w:r>
        <w:rPr>
          <w:spacing w:val="76"/>
        </w:rPr>
        <w:t>  </w:t>
      </w:r>
      <w:r>
        <w:rPr/>
        <w:t>навыков</w:t>
      </w:r>
      <w:r>
        <w:rPr>
          <w:spacing w:val="75"/>
        </w:rPr>
        <w:t>  </w:t>
      </w:r>
      <w:r>
        <w:rPr/>
        <w:t>и</w:t>
      </w:r>
      <w:r>
        <w:rPr>
          <w:spacing w:val="75"/>
        </w:rPr>
        <w:t>  </w:t>
      </w:r>
      <w:r>
        <w:rPr>
          <w:spacing w:val="-2"/>
        </w:rPr>
        <w:t>культурной</w:t>
      </w:r>
    </w:p>
    <w:p>
      <w:pPr>
        <w:pStyle w:val="Heading4"/>
        <w:spacing w:after="0"/>
        <w:sectPr>
          <w:pgSz w:w="11910" w:h="16840"/>
          <w:pgMar w:header="0" w:footer="970" w:top="1040" w:bottom="1220" w:left="1417" w:right="283"/>
        </w:sectPr>
      </w:pPr>
    </w:p>
    <w:p>
      <w:pPr>
        <w:pStyle w:val="Heading4"/>
        <w:spacing w:before="67"/>
        <w:ind w:left="284" w:right="567"/>
        <w:jc w:val="center"/>
      </w:pPr>
      <w:r>
        <w:rPr/>
        <w:t>адаптации,</w:t>
      </w:r>
      <w:r>
        <w:rPr>
          <w:spacing w:val="-7"/>
        </w:rPr>
        <w:t> </w:t>
      </w:r>
      <w:r>
        <w:rPr/>
        <w:t>на</w:t>
      </w:r>
      <w:r>
        <w:rPr>
          <w:spacing w:val="-6"/>
        </w:rPr>
        <w:t> </w:t>
      </w:r>
      <w:r>
        <w:rPr/>
        <w:t>основании</w:t>
      </w:r>
      <w:r>
        <w:rPr>
          <w:spacing w:val="-6"/>
        </w:rPr>
        <w:t> </w:t>
      </w:r>
      <w:r>
        <w:rPr/>
        <w:t>статистического</w:t>
      </w:r>
      <w:r>
        <w:rPr>
          <w:spacing w:val="-5"/>
        </w:rPr>
        <w:t> </w:t>
      </w:r>
      <w:r>
        <w:rPr/>
        <w:t>анализа</w:t>
      </w:r>
      <w:r>
        <w:rPr>
          <w:spacing w:val="-7"/>
        </w:rPr>
        <w:t> </w:t>
      </w:r>
      <w:r>
        <w:rPr/>
        <w:t>распределения</w:t>
      </w:r>
      <w:r>
        <w:rPr>
          <w:spacing w:val="-8"/>
        </w:rPr>
        <w:t> </w:t>
      </w:r>
      <w:r>
        <w:rPr/>
        <w:t>показателей у детей — иностранных граждан (N = 93), выделены следующие нормативы.</w:t>
      </w:r>
    </w:p>
    <w:p>
      <w:pPr>
        <w:pStyle w:val="Heading3"/>
        <w:spacing w:before="247"/>
        <w:ind w:left="0" w:right="563"/>
        <w:jc w:val="right"/>
      </w:pPr>
      <w:r>
        <w:rPr/>
        <w:t>Таблица</w:t>
      </w:r>
      <w:r>
        <w:rPr>
          <w:spacing w:val="-3"/>
        </w:rPr>
        <w:t> </w:t>
      </w:r>
      <w:r>
        <w:rPr>
          <w:spacing w:val="-10"/>
        </w:rPr>
        <w:t>6</w:t>
      </w:r>
    </w:p>
    <w:p>
      <w:pPr>
        <w:spacing w:line="235" w:lineRule="auto" w:before="245"/>
        <w:ind w:left="834" w:right="1119" w:firstLine="0"/>
        <w:jc w:val="center"/>
        <w:rPr>
          <w:b/>
          <w:sz w:val="28"/>
        </w:rPr>
      </w:pPr>
      <w:r>
        <w:rPr>
          <w:b/>
          <w:sz w:val="28"/>
        </w:rPr>
        <w:t>Пересмотренные</w:t>
      </w:r>
      <w:r>
        <w:rPr>
          <w:b/>
          <w:spacing w:val="-5"/>
          <w:sz w:val="28"/>
        </w:rPr>
        <w:t> </w:t>
      </w:r>
      <w:r>
        <w:rPr>
          <w:b/>
          <w:sz w:val="28"/>
        </w:rPr>
        <w:t>критерии</w:t>
      </w:r>
      <w:r>
        <w:rPr>
          <w:b/>
          <w:spacing w:val="-5"/>
          <w:sz w:val="28"/>
        </w:rPr>
        <w:t> </w:t>
      </w:r>
      <w:r>
        <w:rPr>
          <w:b/>
          <w:sz w:val="28"/>
        </w:rPr>
        <w:t>оценки</w:t>
      </w:r>
      <w:r>
        <w:rPr>
          <w:b/>
          <w:spacing w:val="-5"/>
          <w:sz w:val="28"/>
        </w:rPr>
        <w:t> </w:t>
      </w:r>
      <w:r>
        <w:rPr>
          <w:b/>
          <w:sz w:val="28"/>
        </w:rPr>
        <w:t>по</w:t>
      </w:r>
      <w:r>
        <w:rPr>
          <w:b/>
          <w:spacing w:val="-5"/>
          <w:sz w:val="28"/>
        </w:rPr>
        <w:t> </w:t>
      </w:r>
      <w:r>
        <w:rPr>
          <w:b/>
          <w:sz w:val="28"/>
        </w:rPr>
        <w:t>общей</w:t>
      </w:r>
      <w:r>
        <w:rPr>
          <w:b/>
          <w:spacing w:val="-6"/>
          <w:sz w:val="28"/>
        </w:rPr>
        <w:t> </w:t>
      </w:r>
      <w:r>
        <w:rPr>
          <w:b/>
          <w:sz w:val="28"/>
        </w:rPr>
        <w:t>шкале</w:t>
      </w:r>
      <w:r>
        <w:rPr>
          <w:b/>
          <w:spacing w:val="-5"/>
          <w:sz w:val="28"/>
        </w:rPr>
        <w:t> </w:t>
      </w:r>
      <w:r>
        <w:rPr>
          <w:b/>
          <w:sz w:val="28"/>
        </w:rPr>
        <w:t>на</w:t>
      </w:r>
      <w:r>
        <w:rPr>
          <w:b/>
          <w:spacing w:val="-4"/>
          <w:sz w:val="28"/>
        </w:rPr>
        <w:t> </w:t>
      </w:r>
      <w:r>
        <w:rPr>
          <w:b/>
          <w:sz w:val="28"/>
        </w:rPr>
        <w:t>выборках несовершеннолетних детей </w:t>
      </w:r>
      <w:r>
        <w:rPr>
          <w:sz w:val="28"/>
        </w:rPr>
        <w:t>— </w:t>
      </w:r>
      <w:r>
        <w:rPr>
          <w:b/>
          <w:sz w:val="28"/>
        </w:rPr>
        <w:t>иностранных граждан в России</w:t>
      </w:r>
    </w:p>
    <w:p>
      <w:pPr>
        <w:pStyle w:val="BodyText"/>
        <w:ind w:left="0" w:right="0" w:firstLine="0"/>
        <w:jc w:val="left"/>
        <w:rPr>
          <w:b/>
        </w:rPr>
      </w:pPr>
    </w:p>
    <w:p>
      <w:pPr>
        <w:pStyle w:val="BodyText"/>
        <w:ind w:left="0" w:right="0" w:firstLine="0"/>
        <w:jc w:val="left"/>
        <w:rPr>
          <w:b/>
        </w:rPr>
      </w:pPr>
    </w:p>
    <w:p>
      <w:pPr>
        <w:pStyle w:val="BodyText"/>
        <w:spacing w:before="41"/>
        <w:ind w:left="0" w:right="0" w:firstLine="0"/>
        <w:jc w:val="left"/>
        <w:rPr>
          <w:b/>
        </w:rPr>
      </w:pPr>
    </w:p>
    <w:tbl>
      <w:tblPr>
        <w:tblW w:w="0" w:type="auto"/>
        <w:jc w:val="left"/>
        <w:tblInd w:w="4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32"/>
        <w:gridCol w:w="6224"/>
      </w:tblGrid>
      <w:tr>
        <w:trPr>
          <w:trHeight w:val="986" w:hRule="atLeast"/>
        </w:trPr>
        <w:tc>
          <w:tcPr>
            <w:tcW w:w="2732" w:type="dxa"/>
          </w:tcPr>
          <w:p>
            <w:pPr>
              <w:pStyle w:val="TableParagraph"/>
              <w:spacing w:before="61"/>
              <w:rPr>
                <w:b/>
                <w:sz w:val="24"/>
              </w:rPr>
            </w:pPr>
          </w:p>
          <w:p>
            <w:pPr>
              <w:pStyle w:val="TableParagraph"/>
              <w:ind w:left="393"/>
              <w:rPr>
                <w:b/>
                <w:sz w:val="24"/>
              </w:rPr>
            </w:pPr>
            <w:r>
              <w:rPr>
                <w:b/>
                <w:sz w:val="24"/>
              </w:rPr>
              <w:t>Группы</w:t>
            </w:r>
            <w:r>
              <w:rPr>
                <w:b/>
                <w:spacing w:val="-3"/>
                <w:sz w:val="24"/>
              </w:rPr>
              <w:t> </w:t>
            </w:r>
            <w:r>
              <w:rPr>
                <w:b/>
                <w:spacing w:val="-2"/>
                <w:sz w:val="24"/>
              </w:rPr>
              <w:t>значений</w:t>
            </w:r>
          </w:p>
        </w:tc>
        <w:tc>
          <w:tcPr>
            <w:tcW w:w="6224" w:type="dxa"/>
          </w:tcPr>
          <w:p>
            <w:pPr>
              <w:pStyle w:val="TableParagraph"/>
              <w:spacing w:before="61"/>
              <w:rPr>
                <w:b/>
                <w:sz w:val="24"/>
              </w:rPr>
            </w:pPr>
          </w:p>
          <w:p>
            <w:pPr>
              <w:pStyle w:val="TableParagraph"/>
              <w:ind w:left="16" w:right="3"/>
              <w:jc w:val="center"/>
              <w:rPr>
                <w:b/>
                <w:sz w:val="24"/>
              </w:rPr>
            </w:pPr>
            <w:r>
              <w:rPr>
                <w:b/>
                <w:sz w:val="24"/>
              </w:rPr>
              <w:t>Старшая</w:t>
            </w:r>
            <w:r>
              <w:rPr>
                <w:b/>
                <w:spacing w:val="-4"/>
                <w:sz w:val="24"/>
              </w:rPr>
              <w:t> </w:t>
            </w:r>
            <w:r>
              <w:rPr>
                <w:b/>
                <w:sz w:val="24"/>
              </w:rPr>
              <w:t>школа</w:t>
            </w:r>
            <w:r>
              <w:rPr>
                <w:b/>
                <w:spacing w:val="-4"/>
                <w:sz w:val="24"/>
              </w:rPr>
              <w:t> </w:t>
            </w:r>
            <w:r>
              <w:rPr>
                <w:b/>
                <w:spacing w:val="-2"/>
                <w:sz w:val="24"/>
              </w:rPr>
              <w:t>(N=93)</w:t>
            </w:r>
          </w:p>
        </w:tc>
      </w:tr>
      <w:tr>
        <w:trPr>
          <w:trHeight w:val="1067" w:hRule="atLeast"/>
        </w:trPr>
        <w:tc>
          <w:tcPr>
            <w:tcW w:w="2732" w:type="dxa"/>
          </w:tcPr>
          <w:p>
            <w:pPr>
              <w:pStyle w:val="TableParagraph"/>
              <w:spacing w:before="37"/>
              <w:rPr>
                <w:b/>
                <w:sz w:val="24"/>
              </w:rPr>
            </w:pPr>
          </w:p>
          <w:p>
            <w:pPr>
              <w:pStyle w:val="TableParagraph"/>
              <w:ind w:left="100"/>
              <w:rPr>
                <w:sz w:val="24"/>
              </w:rPr>
            </w:pPr>
            <w:r>
              <w:rPr>
                <w:sz w:val="24"/>
              </w:rPr>
              <w:t>Ниже</w:t>
            </w:r>
            <w:r>
              <w:rPr>
                <w:spacing w:val="-4"/>
                <w:sz w:val="24"/>
              </w:rPr>
              <w:t> </w:t>
            </w:r>
            <w:r>
              <w:rPr>
                <w:sz w:val="24"/>
              </w:rPr>
              <w:t>среднего</w:t>
            </w:r>
            <w:r>
              <w:rPr>
                <w:spacing w:val="-2"/>
                <w:sz w:val="24"/>
              </w:rPr>
              <w:t> (&lt;25%)</w:t>
            </w:r>
          </w:p>
        </w:tc>
        <w:tc>
          <w:tcPr>
            <w:tcW w:w="6224" w:type="dxa"/>
          </w:tcPr>
          <w:p>
            <w:pPr>
              <w:pStyle w:val="TableParagraph"/>
              <w:spacing w:before="37"/>
              <w:rPr>
                <w:b/>
                <w:sz w:val="24"/>
              </w:rPr>
            </w:pPr>
          </w:p>
          <w:p>
            <w:pPr>
              <w:pStyle w:val="TableParagraph"/>
              <w:ind w:left="16" w:right="3"/>
              <w:jc w:val="center"/>
              <w:rPr>
                <w:sz w:val="24"/>
              </w:rPr>
            </w:pPr>
            <w:r>
              <w:rPr>
                <w:spacing w:val="-4"/>
                <w:sz w:val="24"/>
              </w:rPr>
              <w:t>&lt;2.5</w:t>
            </w:r>
          </w:p>
        </w:tc>
      </w:tr>
      <w:tr>
        <w:trPr>
          <w:trHeight w:val="966" w:hRule="atLeast"/>
        </w:trPr>
        <w:tc>
          <w:tcPr>
            <w:tcW w:w="2732" w:type="dxa"/>
          </w:tcPr>
          <w:p>
            <w:pPr>
              <w:pStyle w:val="TableParagraph"/>
              <w:spacing w:before="37"/>
              <w:rPr>
                <w:b/>
                <w:sz w:val="24"/>
              </w:rPr>
            </w:pPr>
          </w:p>
          <w:p>
            <w:pPr>
              <w:pStyle w:val="TableParagraph"/>
              <w:ind w:left="100"/>
              <w:rPr>
                <w:sz w:val="24"/>
              </w:rPr>
            </w:pPr>
            <w:r>
              <w:rPr>
                <w:sz w:val="24"/>
              </w:rPr>
              <w:t>Средний</w:t>
            </w:r>
            <w:r>
              <w:rPr>
                <w:spacing w:val="-1"/>
                <w:sz w:val="24"/>
              </w:rPr>
              <w:t> </w:t>
            </w:r>
            <w:r>
              <w:rPr>
                <w:spacing w:val="-2"/>
                <w:sz w:val="24"/>
              </w:rPr>
              <w:t>(25%–75%)</w:t>
            </w:r>
          </w:p>
        </w:tc>
        <w:tc>
          <w:tcPr>
            <w:tcW w:w="6224" w:type="dxa"/>
          </w:tcPr>
          <w:p>
            <w:pPr>
              <w:pStyle w:val="TableParagraph"/>
              <w:spacing w:before="37"/>
              <w:rPr>
                <w:b/>
                <w:sz w:val="24"/>
              </w:rPr>
            </w:pPr>
          </w:p>
          <w:p>
            <w:pPr>
              <w:pStyle w:val="TableParagraph"/>
              <w:ind w:left="16" w:right="3"/>
              <w:jc w:val="center"/>
              <w:rPr>
                <w:sz w:val="24"/>
              </w:rPr>
            </w:pPr>
            <w:r>
              <w:rPr>
                <w:spacing w:val="-2"/>
                <w:sz w:val="24"/>
              </w:rPr>
              <w:t>2.5–11</w:t>
            </w:r>
          </w:p>
        </w:tc>
      </w:tr>
      <w:tr>
        <w:trPr>
          <w:trHeight w:val="964" w:hRule="atLeast"/>
        </w:trPr>
        <w:tc>
          <w:tcPr>
            <w:tcW w:w="2732" w:type="dxa"/>
          </w:tcPr>
          <w:p>
            <w:pPr>
              <w:pStyle w:val="TableParagraph"/>
              <w:spacing w:before="34"/>
              <w:rPr>
                <w:b/>
                <w:sz w:val="24"/>
              </w:rPr>
            </w:pPr>
          </w:p>
          <w:p>
            <w:pPr>
              <w:pStyle w:val="TableParagraph"/>
              <w:ind w:left="100"/>
              <w:rPr>
                <w:sz w:val="24"/>
              </w:rPr>
            </w:pPr>
            <w:r>
              <w:rPr>
                <w:sz w:val="24"/>
              </w:rPr>
              <w:t>Выше</w:t>
            </w:r>
            <w:r>
              <w:rPr>
                <w:spacing w:val="-3"/>
                <w:sz w:val="24"/>
              </w:rPr>
              <w:t> </w:t>
            </w:r>
            <w:r>
              <w:rPr>
                <w:sz w:val="24"/>
              </w:rPr>
              <w:t>среднего</w:t>
            </w:r>
            <w:r>
              <w:rPr>
                <w:spacing w:val="-2"/>
                <w:sz w:val="24"/>
              </w:rPr>
              <w:t> (&gt;75%)</w:t>
            </w:r>
          </w:p>
        </w:tc>
        <w:tc>
          <w:tcPr>
            <w:tcW w:w="6224" w:type="dxa"/>
          </w:tcPr>
          <w:p>
            <w:pPr>
              <w:pStyle w:val="TableParagraph"/>
              <w:spacing w:before="34"/>
              <w:rPr>
                <w:b/>
                <w:sz w:val="24"/>
              </w:rPr>
            </w:pPr>
          </w:p>
          <w:p>
            <w:pPr>
              <w:pStyle w:val="TableParagraph"/>
              <w:ind w:left="16"/>
              <w:jc w:val="center"/>
              <w:rPr>
                <w:sz w:val="24"/>
              </w:rPr>
            </w:pPr>
            <w:r>
              <w:rPr>
                <w:spacing w:val="-5"/>
                <w:sz w:val="24"/>
              </w:rPr>
              <w:t>&gt;11</w:t>
            </w:r>
          </w:p>
        </w:tc>
      </w:tr>
    </w:tbl>
    <w:p>
      <w:pPr>
        <w:spacing w:before="232"/>
        <w:ind w:left="285" w:right="568" w:firstLine="0"/>
        <w:jc w:val="both"/>
        <w:rPr>
          <w:sz w:val="24"/>
        </w:rPr>
      </w:pPr>
      <w:r>
        <w:rPr>
          <w:i/>
          <w:sz w:val="24"/>
        </w:rPr>
        <w:t>Примечание. </w:t>
      </w:r>
      <w:r>
        <w:rPr>
          <w:sz w:val="24"/>
        </w:rPr>
        <w:t>Значимых гендерных различий не выявлено, в связи с чем оценка производится без учета пола ребенка (t-критерий Стьюдента для независимых выборок).</w:t>
      </w:r>
    </w:p>
    <w:p>
      <w:pPr>
        <w:pStyle w:val="Heading4"/>
        <w:spacing w:before="241"/>
        <w:ind w:right="566"/>
      </w:pPr>
      <w:r>
        <w:rPr/>
        <w:t>Необходимо отметить, что расчеты нормативов по данной методике требуют особой процедуры, отличающейся от других примеров в данном методическом пособии. Для выявления баллов, определяющих группу риска, использовались процентили и их граничные значения.</w:t>
      </w:r>
    </w:p>
    <w:p>
      <w:pPr>
        <w:pStyle w:val="Heading4"/>
        <w:spacing w:before="241"/>
        <w:ind w:right="563"/>
      </w:pPr>
      <w:r>
        <w:rPr/>
        <w:t>При оценке психологического благополучия ребенка — иностранного гражданина рекомендуется ориентироваться как на мировые нормы, так и на данные выборки апробации. Превышение порога в 12 баллов следует рассматривать как наличие риска эмоциональных или психических расстройств</w:t>
      </w:r>
      <w:r>
        <w:rPr>
          <w:spacing w:val="-17"/>
        </w:rPr>
        <w:t> </w:t>
      </w:r>
      <w:r>
        <w:rPr/>
        <w:t>и</w:t>
      </w:r>
      <w:r>
        <w:rPr>
          <w:spacing w:val="-14"/>
        </w:rPr>
        <w:t> </w:t>
      </w:r>
      <w:r>
        <w:rPr/>
        <w:t>необходимость</w:t>
      </w:r>
      <w:r>
        <w:rPr>
          <w:spacing w:val="-15"/>
        </w:rPr>
        <w:t> </w:t>
      </w:r>
      <w:r>
        <w:rPr/>
        <w:t>предложить</w:t>
      </w:r>
      <w:r>
        <w:rPr>
          <w:spacing w:val="-15"/>
        </w:rPr>
        <w:t> </w:t>
      </w:r>
      <w:r>
        <w:rPr/>
        <w:t>соответствующую</w:t>
      </w:r>
      <w:r>
        <w:rPr>
          <w:spacing w:val="-15"/>
        </w:rPr>
        <w:t> </w:t>
      </w:r>
      <w:r>
        <w:rPr/>
        <w:t>помощь.</w:t>
      </w:r>
      <w:r>
        <w:rPr>
          <w:spacing w:val="-15"/>
        </w:rPr>
        <w:t> </w:t>
      </w:r>
      <w:r>
        <w:rPr/>
        <w:t>Данные выше среднего по выборке стандартизации (см. табл. 5) говорят об остром состоянии и необходимости срочной индивидуальной психологической </w:t>
      </w:r>
      <w:r>
        <w:rPr>
          <w:spacing w:val="-2"/>
        </w:rPr>
        <w:t>помощи.</w:t>
      </w:r>
    </w:p>
    <w:p>
      <w:pPr>
        <w:pStyle w:val="Heading3"/>
        <w:spacing w:before="247"/>
      </w:pPr>
      <w:r>
        <w:rPr/>
        <w:t>Психометрические</w:t>
      </w:r>
      <w:r>
        <w:rPr>
          <w:spacing w:val="-16"/>
        </w:rPr>
        <w:t> </w:t>
      </w:r>
      <w:r>
        <w:rPr/>
        <w:t>характеристики</w:t>
      </w:r>
      <w:r>
        <w:rPr>
          <w:spacing w:val="-14"/>
        </w:rPr>
        <w:t> </w:t>
      </w:r>
      <w:r>
        <w:rPr>
          <w:spacing w:val="-2"/>
        </w:rPr>
        <w:t>методики</w:t>
      </w:r>
    </w:p>
    <w:p>
      <w:pPr>
        <w:pStyle w:val="Heading4"/>
        <w:spacing w:before="233"/>
      </w:pPr>
      <w:r>
        <w:rPr/>
        <w:t>Основанием</w:t>
      </w:r>
      <w:r>
        <w:rPr>
          <w:spacing w:val="-9"/>
        </w:rPr>
        <w:t> </w:t>
      </w:r>
      <w:r>
        <w:rPr/>
        <w:t>методики</w:t>
      </w:r>
      <w:r>
        <w:rPr>
          <w:spacing w:val="-5"/>
        </w:rPr>
        <w:t> </w:t>
      </w:r>
      <w:r>
        <w:rPr/>
        <w:t>стали</w:t>
      </w:r>
      <w:r>
        <w:rPr>
          <w:spacing w:val="-9"/>
        </w:rPr>
        <w:t> </w:t>
      </w:r>
      <w:r>
        <w:rPr/>
        <w:t>следующие</w:t>
      </w:r>
      <w:r>
        <w:rPr>
          <w:spacing w:val="-7"/>
        </w:rPr>
        <w:t> </w:t>
      </w:r>
      <w:r>
        <w:rPr>
          <w:spacing w:val="-2"/>
        </w:rPr>
        <w:t>инструменты:</w:t>
      </w:r>
    </w:p>
    <w:p>
      <w:pPr>
        <w:pStyle w:val="ListParagraph"/>
        <w:numPr>
          <w:ilvl w:val="1"/>
          <w:numId w:val="15"/>
        </w:numPr>
        <w:tabs>
          <w:tab w:pos="1209" w:val="left" w:leader="none"/>
        </w:tabs>
        <w:spacing w:line="240" w:lineRule="auto" w:before="2" w:after="0"/>
        <w:ind w:left="565" w:right="557" w:firstLine="0"/>
        <w:jc w:val="both"/>
        <w:rPr>
          <w:sz w:val="28"/>
        </w:rPr>
      </w:pPr>
      <w:r>
        <w:rPr>
          <w:i/>
          <w:sz w:val="28"/>
        </w:rPr>
        <w:t>The New Mexico Refugee Health Symptom Checklist-121</w:t>
      </w:r>
      <w:r>
        <w:rPr>
          <w:sz w:val="28"/>
        </w:rPr>
        <w:t>, или NMRSCL- 121 (</w:t>
      </w:r>
      <w:r>
        <w:rPr>
          <w:i/>
          <w:sz w:val="28"/>
        </w:rPr>
        <w:t>Hollifield </w:t>
      </w:r>
      <w:r>
        <w:rPr>
          <w:sz w:val="28"/>
        </w:rPr>
        <w:t>et al., 2009). Внутренняя согласованность подтверждается коэффициентом альфа Кронбаха = .92. Показал высокую валидность и надежность</w:t>
      </w:r>
      <w:r>
        <w:rPr>
          <w:spacing w:val="-9"/>
          <w:sz w:val="28"/>
        </w:rPr>
        <w:t> </w:t>
      </w:r>
      <w:r>
        <w:rPr>
          <w:sz w:val="28"/>
        </w:rPr>
        <w:t>как</w:t>
      </w:r>
      <w:r>
        <w:rPr>
          <w:spacing w:val="-7"/>
          <w:sz w:val="28"/>
        </w:rPr>
        <w:t> </w:t>
      </w:r>
      <w:r>
        <w:rPr>
          <w:sz w:val="28"/>
        </w:rPr>
        <w:t>предиктор</w:t>
      </w:r>
      <w:r>
        <w:rPr>
          <w:spacing w:val="-7"/>
          <w:sz w:val="28"/>
        </w:rPr>
        <w:t> </w:t>
      </w:r>
      <w:r>
        <w:rPr>
          <w:sz w:val="28"/>
        </w:rPr>
        <w:t>тревожных</w:t>
      </w:r>
      <w:r>
        <w:rPr>
          <w:spacing w:val="-7"/>
          <w:sz w:val="28"/>
        </w:rPr>
        <w:t> </w:t>
      </w:r>
      <w:r>
        <w:rPr>
          <w:sz w:val="28"/>
        </w:rPr>
        <w:t>и</w:t>
      </w:r>
      <w:r>
        <w:rPr>
          <w:spacing w:val="-9"/>
          <w:sz w:val="28"/>
        </w:rPr>
        <w:t> </w:t>
      </w:r>
      <w:r>
        <w:rPr>
          <w:sz w:val="28"/>
        </w:rPr>
        <w:t>депрессивных</w:t>
      </w:r>
      <w:r>
        <w:rPr>
          <w:spacing w:val="-7"/>
          <w:sz w:val="28"/>
        </w:rPr>
        <w:t> </w:t>
      </w:r>
      <w:r>
        <w:rPr>
          <w:sz w:val="28"/>
        </w:rPr>
        <w:t>расстройств,</w:t>
      </w:r>
      <w:r>
        <w:rPr>
          <w:spacing w:val="-9"/>
          <w:sz w:val="28"/>
        </w:rPr>
        <w:t> </w:t>
      </w:r>
      <w:r>
        <w:rPr>
          <w:sz w:val="28"/>
        </w:rPr>
        <w:t>а</w:t>
      </w:r>
      <w:r>
        <w:rPr>
          <w:spacing w:val="-8"/>
          <w:sz w:val="28"/>
        </w:rPr>
        <w:t> </w:t>
      </w:r>
      <w:r>
        <w:rPr>
          <w:sz w:val="28"/>
        </w:rPr>
        <w:t>также</w:t>
      </w:r>
    </w:p>
    <w:p>
      <w:pPr>
        <w:pStyle w:val="ListParagraph"/>
        <w:spacing w:after="0" w:line="240" w:lineRule="auto"/>
        <w:jc w:val="both"/>
        <w:rPr>
          <w:sz w:val="28"/>
        </w:rPr>
        <w:sectPr>
          <w:pgSz w:w="11910" w:h="16840"/>
          <w:pgMar w:header="0" w:footer="970" w:top="1040" w:bottom="1180" w:left="1417" w:right="283"/>
        </w:sectPr>
      </w:pPr>
    </w:p>
    <w:p>
      <w:pPr>
        <w:pStyle w:val="Heading4"/>
        <w:spacing w:line="242" w:lineRule="auto" w:before="67"/>
        <w:ind w:left="565" w:right="567"/>
      </w:pPr>
      <w:r>
        <w:rPr/>
        <w:t>наличие посттравматических переживаний на репрезентативной выборке курдских и вьетнамских беженцев.</w:t>
      </w:r>
    </w:p>
    <w:p>
      <w:pPr>
        <w:pStyle w:val="Heading4"/>
        <w:numPr>
          <w:ilvl w:val="1"/>
          <w:numId w:val="15"/>
        </w:numPr>
        <w:tabs>
          <w:tab w:pos="1286" w:val="left" w:leader="none"/>
        </w:tabs>
        <w:spacing w:line="240" w:lineRule="auto" w:before="0" w:after="0"/>
        <w:ind w:left="565" w:right="560" w:firstLine="0"/>
        <w:jc w:val="both"/>
      </w:pPr>
      <w:r>
        <w:rPr>
          <w:i/>
        </w:rPr>
        <w:t>The Hopkins Symptom Checklist-25</w:t>
      </w:r>
      <w:r>
        <w:rPr/>
        <w:t>, или </w:t>
      </w:r>
      <w:r>
        <w:rPr>
          <w:i/>
        </w:rPr>
        <w:t>HSCL-25 </w:t>
      </w:r>
      <w:r>
        <w:rPr/>
        <w:t>(</w:t>
      </w:r>
      <w:r>
        <w:rPr>
          <w:i/>
        </w:rPr>
        <w:t>Derogatis</w:t>
      </w:r>
      <w:r>
        <w:rPr/>
        <w:t>, 1974). С помощью данного чек-листа также анализируются симптомы депрессии и тревожных расстройств. Он имеет доказанную межкультурную валидность (</w:t>
      </w:r>
      <w:r>
        <w:rPr>
          <w:i/>
        </w:rPr>
        <w:t>Butcher</w:t>
      </w:r>
      <w:r>
        <w:rPr/>
        <w:t>, 1991, </w:t>
      </w:r>
      <w:r>
        <w:rPr>
          <w:i/>
        </w:rPr>
        <w:t>Kinzie</w:t>
      </w:r>
      <w:r>
        <w:rPr/>
        <w:t>, 1987). </w:t>
      </w:r>
      <w:r>
        <w:rPr>
          <w:i/>
        </w:rPr>
        <w:t>HSCL</w:t>
      </w:r>
      <w:r>
        <w:rPr/>
        <w:t>-25 состоит из 25 вопросов, каждый из которых должен быть оценен по пятибалльной шкале Лайкерта. Среднее значение более 1,75 по каждой шкале свидетельствует о клинически значимых признаках депрессии или тревожных расстройств.</w:t>
      </w:r>
    </w:p>
    <w:p>
      <w:pPr>
        <w:pStyle w:val="ListParagraph"/>
        <w:numPr>
          <w:ilvl w:val="1"/>
          <w:numId w:val="15"/>
        </w:numPr>
        <w:tabs>
          <w:tab w:pos="1459" w:val="left" w:leader="none"/>
        </w:tabs>
        <w:spacing w:line="240" w:lineRule="auto" w:before="0" w:after="0"/>
        <w:ind w:left="565" w:right="560" w:firstLine="0"/>
        <w:jc w:val="both"/>
        <w:rPr>
          <w:sz w:val="28"/>
        </w:rPr>
      </w:pPr>
      <w:r>
        <w:rPr>
          <w:i/>
          <w:sz w:val="28"/>
        </w:rPr>
        <w:t>The Posttraumatic Symptom Scale-Self Report </w:t>
      </w:r>
      <w:r>
        <w:rPr>
          <w:sz w:val="28"/>
        </w:rPr>
        <w:t>(</w:t>
      </w:r>
      <w:r>
        <w:rPr>
          <w:i/>
          <w:sz w:val="28"/>
        </w:rPr>
        <w:t>PSS-SR</w:t>
      </w:r>
      <w:r>
        <w:rPr>
          <w:sz w:val="28"/>
        </w:rPr>
        <w:t>), валидный и надежный</w:t>
      </w:r>
      <w:r>
        <w:rPr>
          <w:spacing w:val="-2"/>
          <w:sz w:val="28"/>
        </w:rPr>
        <w:t> </w:t>
      </w:r>
      <w:r>
        <w:rPr>
          <w:sz w:val="28"/>
        </w:rPr>
        <w:t>предиктор</w:t>
      </w:r>
      <w:r>
        <w:rPr>
          <w:spacing w:val="-1"/>
          <w:sz w:val="28"/>
        </w:rPr>
        <w:t> </w:t>
      </w:r>
      <w:r>
        <w:rPr>
          <w:sz w:val="28"/>
        </w:rPr>
        <w:t>ПТСР</w:t>
      </w:r>
      <w:r>
        <w:rPr>
          <w:spacing w:val="-2"/>
          <w:sz w:val="28"/>
        </w:rPr>
        <w:t> </w:t>
      </w:r>
      <w:r>
        <w:rPr>
          <w:sz w:val="28"/>
        </w:rPr>
        <w:t>как</w:t>
      </w:r>
      <w:r>
        <w:rPr>
          <w:spacing w:val="-2"/>
          <w:sz w:val="28"/>
        </w:rPr>
        <w:t> </w:t>
      </w:r>
      <w:r>
        <w:rPr>
          <w:sz w:val="28"/>
        </w:rPr>
        <w:t>на</w:t>
      </w:r>
      <w:r>
        <w:rPr>
          <w:spacing w:val="-2"/>
          <w:sz w:val="28"/>
        </w:rPr>
        <w:t> </w:t>
      </w:r>
      <w:r>
        <w:rPr>
          <w:sz w:val="28"/>
        </w:rPr>
        <w:t>выборке</w:t>
      </w:r>
      <w:r>
        <w:rPr>
          <w:spacing w:val="-2"/>
          <w:sz w:val="28"/>
        </w:rPr>
        <w:t> </w:t>
      </w:r>
      <w:r>
        <w:rPr>
          <w:sz w:val="28"/>
        </w:rPr>
        <w:t>из</w:t>
      </w:r>
      <w:r>
        <w:rPr>
          <w:spacing w:val="-2"/>
          <w:sz w:val="28"/>
        </w:rPr>
        <w:t> </w:t>
      </w:r>
      <w:r>
        <w:rPr>
          <w:sz w:val="28"/>
        </w:rPr>
        <w:t>американцев</w:t>
      </w:r>
      <w:r>
        <w:rPr>
          <w:spacing w:val="-6"/>
          <w:sz w:val="28"/>
        </w:rPr>
        <w:t> </w:t>
      </w:r>
      <w:r>
        <w:rPr>
          <w:sz w:val="28"/>
        </w:rPr>
        <w:t>(</w:t>
      </w:r>
      <w:r>
        <w:rPr>
          <w:i/>
          <w:sz w:val="28"/>
        </w:rPr>
        <w:t>Foa</w:t>
      </w:r>
      <w:r>
        <w:rPr>
          <w:sz w:val="28"/>
        </w:rPr>
        <w:t>,</w:t>
      </w:r>
      <w:r>
        <w:rPr>
          <w:spacing w:val="-3"/>
          <w:sz w:val="28"/>
        </w:rPr>
        <w:t> </w:t>
      </w:r>
      <w:r>
        <w:rPr>
          <w:sz w:val="28"/>
        </w:rPr>
        <w:t>1993),</w:t>
      </w:r>
      <w:r>
        <w:rPr>
          <w:spacing w:val="-3"/>
          <w:sz w:val="28"/>
        </w:rPr>
        <w:t> </w:t>
      </w:r>
      <w:r>
        <w:rPr>
          <w:sz w:val="28"/>
        </w:rPr>
        <w:t>так и вьетнамских и курдских беженцев, </w:t>
      </w:r>
      <w:r>
        <w:rPr>
          <w:i/>
          <w:sz w:val="28"/>
        </w:rPr>
        <w:t>PSS-SR </w:t>
      </w:r>
      <w:r>
        <w:rPr>
          <w:sz w:val="28"/>
        </w:rPr>
        <w:t>также имеет высокую согласованность (коэффициент альфа Кронбаха = .95).</w:t>
      </w:r>
    </w:p>
    <w:p>
      <w:pPr>
        <w:pStyle w:val="Heading4"/>
        <w:spacing w:before="237"/>
        <w:ind w:right="560"/>
      </w:pPr>
      <w:r>
        <w:rPr/>
        <w:t>Как</w:t>
      </w:r>
      <w:r>
        <w:rPr>
          <w:spacing w:val="-6"/>
        </w:rPr>
        <w:t> </w:t>
      </w:r>
      <w:r>
        <w:rPr/>
        <w:t>можно</w:t>
      </w:r>
      <w:r>
        <w:rPr>
          <w:spacing w:val="-8"/>
        </w:rPr>
        <w:t> </w:t>
      </w:r>
      <w:r>
        <w:rPr/>
        <w:t>заметить,</w:t>
      </w:r>
      <w:r>
        <w:rPr>
          <w:spacing w:val="-7"/>
        </w:rPr>
        <w:t> </w:t>
      </w:r>
      <w:r>
        <w:rPr/>
        <w:t>все</w:t>
      </w:r>
      <w:r>
        <w:rPr>
          <w:spacing w:val="-7"/>
        </w:rPr>
        <w:t> </w:t>
      </w:r>
      <w:r>
        <w:rPr/>
        <w:t>три</w:t>
      </w:r>
      <w:r>
        <w:rPr>
          <w:spacing w:val="-8"/>
        </w:rPr>
        <w:t> </w:t>
      </w:r>
      <w:r>
        <w:rPr/>
        <w:t>опросника</w:t>
      </w:r>
      <w:r>
        <w:rPr>
          <w:spacing w:val="-8"/>
        </w:rPr>
        <w:t> </w:t>
      </w:r>
      <w:r>
        <w:rPr/>
        <w:t>имеют</w:t>
      </w:r>
      <w:r>
        <w:rPr>
          <w:spacing w:val="-9"/>
        </w:rPr>
        <w:t> </w:t>
      </w:r>
      <w:r>
        <w:rPr/>
        <w:t>доказательную</w:t>
      </w:r>
      <w:r>
        <w:rPr>
          <w:spacing w:val="-7"/>
        </w:rPr>
        <w:t> </w:t>
      </w:r>
      <w:r>
        <w:rPr/>
        <w:t>базу,</w:t>
      </w:r>
      <w:r>
        <w:rPr>
          <w:spacing w:val="-7"/>
        </w:rPr>
        <w:t> </w:t>
      </w:r>
      <w:r>
        <w:rPr/>
        <w:t>однако</w:t>
      </w:r>
      <w:r>
        <w:rPr>
          <w:spacing w:val="-8"/>
        </w:rPr>
        <w:t> </w:t>
      </w:r>
      <w:r>
        <w:rPr/>
        <w:t>не подходят в качестве инструмента скрининга, так как, во-первых, каждый из них содержит минимум 25 вопросов и не удовлетворяет необходимому критерию краткости, и, во-вторых, ни один не позволяет одновременно выявить диагностические индикаторы трех наиболее распространенных психических проблем вынужденных мигрантов: депрессии, тревожности и </w:t>
      </w:r>
      <w:r>
        <w:rPr>
          <w:spacing w:val="-2"/>
        </w:rPr>
        <w:t>ПТСР.</w:t>
      </w:r>
    </w:p>
    <w:p>
      <w:pPr>
        <w:pStyle w:val="Heading4"/>
        <w:spacing w:before="240"/>
        <w:ind w:right="562"/>
      </w:pPr>
      <w:r>
        <w:rPr/>
        <w:t>Для разработки краткого опросника, который бы позволял надежно маркировать наличие вышеупомянутых проблем, исследователи отобрали 27 вопросов из </w:t>
      </w:r>
      <w:r>
        <w:rPr>
          <w:i/>
        </w:rPr>
        <w:t>NMRSCL-121</w:t>
      </w:r>
      <w:r>
        <w:rPr/>
        <w:t>, наиболее полно отвечающих целям скрининга и обладающих наибольшей надежностью и валидностью, а также шесть вопросов из двух других вышеупомянутых опросников. 33 вопроса сформировали первичный инструмент скрининга — </w:t>
      </w:r>
      <w:r>
        <w:rPr>
          <w:i/>
        </w:rPr>
        <w:t>Refugee Health Questionnaire </w:t>
      </w:r>
      <w:r>
        <w:rPr/>
        <w:t>(</w:t>
      </w:r>
      <w:r>
        <w:rPr>
          <w:i/>
        </w:rPr>
        <w:t>RHQ</w:t>
      </w:r>
      <w:r>
        <w:rPr/>
        <w:t>).</w:t>
      </w:r>
    </w:p>
    <w:p>
      <w:pPr>
        <w:pStyle w:val="Heading4"/>
        <w:tabs>
          <w:tab w:pos="3382" w:val="left" w:leader="none"/>
          <w:tab w:pos="6375" w:val="left" w:leader="none"/>
          <w:tab w:pos="8852" w:val="left" w:leader="none"/>
        </w:tabs>
        <w:spacing w:before="240"/>
        <w:ind w:right="557"/>
      </w:pPr>
      <w:r>
        <w:rPr/>
        <w:t>Все вопросы были адаптированы для представителей четырех языковых групп, представленных испытуемыми в пилотажном исследовании, при помощи реверсивного перевода и создания релевантных культурных эквивалентов для каждой группы. После анализа результатов исследования были отобраны 14 утверждений, показавших наибольший коэффициент корреляции с диагностическими индикаторами. По результатам анализа в окончательный список вопросов вошли 15 утверждений. Коэффициент альфа Кронбаха составил .93. Чувствительность/специфичность RHS-15 при значении результатов 12 (пороговое значение) составляет 0.81/0.87, 0.94/0.86 и 0.95/0.89 для ПТСР, тревожных и депрессивных расстройств соответственно. Результаты </w:t>
      </w:r>
      <w:r>
        <w:rPr>
          <w:i/>
        </w:rPr>
        <w:t>RHS-15 </w:t>
      </w:r>
      <w:r>
        <w:rPr/>
        <w:t>значительно коррелируют с </w:t>
      </w:r>
      <w:r>
        <w:rPr>
          <w:spacing w:val="-2"/>
        </w:rPr>
        <w:t>соответствующими</w:t>
      </w:r>
      <w:r>
        <w:rPr/>
        <w:tab/>
      </w:r>
      <w:r>
        <w:rPr>
          <w:spacing w:val="-2"/>
        </w:rPr>
        <w:t>диагностическими</w:t>
      </w:r>
      <w:r>
        <w:rPr/>
        <w:tab/>
      </w:r>
      <w:r>
        <w:rPr>
          <w:spacing w:val="-2"/>
        </w:rPr>
        <w:t>индикаторами</w:t>
      </w:r>
      <w:r>
        <w:rPr/>
        <w:tab/>
      </w:r>
      <w:r>
        <w:rPr>
          <w:spacing w:val="-2"/>
        </w:rPr>
        <w:t>ПТСР, </w:t>
      </w:r>
      <w:r>
        <w:rPr/>
        <w:t>тревожных/депрессивных расстройств, выявляемых при помощи </w:t>
      </w:r>
      <w:r>
        <w:rPr>
          <w:i/>
        </w:rPr>
        <w:t>NMRSCL- 121</w:t>
      </w:r>
      <w:r>
        <w:rPr/>
        <w:t>,</w:t>
      </w:r>
      <w:r>
        <w:rPr>
          <w:spacing w:val="28"/>
        </w:rPr>
        <w:t> </w:t>
      </w:r>
      <w:r>
        <w:rPr>
          <w:i/>
        </w:rPr>
        <w:t>HSCL-25</w:t>
      </w:r>
      <w:r>
        <w:rPr>
          <w:i/>
          <w:spacing w:val="30"/>
        </w:rPr>
        <w:t> </w:t>
      </w:r>
      <w:r>
        <w:rPr/>
        <w:t>и</w:t>
      </w:r>
      <w:r>
        <w:rPr>
          <w:spacing w:val="29"/>
        </w:rPr>
        <w:t> </w:t>
      </w:r>
      <w:r>
        <w:rPr>
          <w:i/>
        </w:rPr>
        <w:t>PSS-SR</w:t>
      </w:r>
      <w:r>
        <w:rPr>
          <w:i/>
          <w:spacing w:val="27"/>
        </w:rPr>
        <w:t> </w:t>
      </w:r>
      <w:r>
        <w:rPr/>
        <w:t>(0.74,</w:t>
      </w:r>
      <w:r>
        <w:rPr>
          <w:spacing w:val="27"/>
        </w:rPr>
        <w:t> </w:t>
      </w:r>
      <w:r>
        <w:rPr/>
        <w:t>0.80</w:t>
      </w:r>
      <w:r>
        <w:rPr>
          <w:spacing w:val="29"/>
        </w:rPr>
        <w:t> </w:t>
      </w:r>
      <w:r>
        <w:rPr/>
        <w:t>и</w:t>
      </w:r>
      <w:r>
        <w:rPr>
          <w:spacing w:val="29"/>
        </w:rPr>
        <w:t> </w:t>
      </w:r>
      <w:r>
        <w:rPr/>
        <w:t>0.81)</w:t>
      </w:r>
      <w:r>
        <w:rPr>
          <w:spacing w:val="28"/>
        </w:rPr>
        <w:t> </w:t>
      </w:r>
      <w:r>
        <w:rPr/>
        <w:t>и</w:t>
      </w:r>
      <w:r>
        <w:rPr>
          <w:spacing w:val="29"/>
        </w:rPr>
        <w:t> </w:t>
      </w:r>
      <w:r>
        <w:rPr/>
        <w:t>соответствующими</w:t>
      </w:r>
      <w:r>
        <w:rPr>
          <w:spacing w:val="29"/>
        </w:rPr>
        <w:t> </w:t>
      </w:r>
      <w:r>
        <w:rPr/>
        <w:t>им</w:t>
      </w:r>
      <w:r>
        <w:rPr>
          <w:spacing w:val="35"/>
        </w:rPr>
        <w:t> </w:t>
      </w:r>
      <w:r>
        <w:rPr/>
        <w:t>баллами</w:t>
      </w:r>
    </w:p>
    <w:p>
      <w:pPr>
        <w:pStyle w:val="Heading4"/>
        <w:spacing w:before="1"/>
      </w:pPr>
      <w:r>
        <w:rPr/>
        <w:t>(0.90,</w:t>
      </w:r>
      <w:r>
        <w:rPr>
          <w:spacing w:val="-4"/>
        </w:rPr>
        <w:t> </w:t>
      </w:r>
      <w:r>
        <w:rPr/>
        <w:t>0.93,</w:t>
      </w:r>
      <w:r>
        <w:rPr>
          <w:spacing w:val="-6"/>
        </w:rPr>
        <w:t> </w:t>
      </w:r>
      <w:r>
        <w:rPr>
          <w:spacing w:val="-2"/>
        </w:rPr>
        <w:t>0.91).</w:t>
      </w:r>
    </w:p>
    <w:p>
      <w:pPr>
        <w:pStyle w:val="Heading4"/>
        <w:spacing w:after="0"/>
        <w:sectPr>
          <w:pgSz w:w="11910" w:h="16840"/>
          <w:pgMar w:header="0" w:footer="970" w:top="1040" w:bottom="1220" w:left="1417" w:right="283"/>
        </w:sectPr>
      </w:pPr>
    </w:p>
    <w:p>
      <w:pPr>
        <w:pStyle w:val="Heading4"/>
        <w:spacing w:before="67"/>
        <w:ind w:right="563"/>
      </w:pPr>
      <w:r>
        <w:rPr/>
        <w:t>Валидность и надежность опросника </w:t>
      </w:r>
      <w:r>
        <w:rPr>
          <w:i/>
        </w:rPr>
        <w:t>RHS </w:t>
      </w:r>
      <w:r>
        <w:rPr/>
        <w:t>была также подтверждена несколькими независимыми группами исследователей. Исследования, наиболее полно удовлетворяющие критериям методологической строгости, осуществили в Швеции (</w:t>
      </w:r>
      <w:r>
        <w:rPr>
          <w:i/>
        </w:rPr>
        <w:t>Sarkadi </w:t>
      </w:r>
      <w:r>
        <w:rPr/>
        <w:t>et al., 2019, </w:t>
      </w:r>
      <w:r>
        <w:rPr>
          <w:i/>
        </w:rPr>
        <w:t>Bjarta </w:t>
      </w:r>
      <w:r>
        <w:rPr/>
        <w:t>et al, 2018) и Германии (</w:t>
      </w:r>
      <w:r>
        <w:rPr>
          <w:i/>
        </w:rPr>
        <w:t>Kaltenbach </w:t>
      </w:r>
      <w:r>
        <w:rPr/>
        <w:t>et al., 2017).</w:t>
      </w:r>
    </w:p>
    <w:p>
      <w:pPr>
        <w:pStyle w:val="Heading4"/>
        <w:spacing w:before="241"/>
        <w:ind w:right="563"/>
      </w:pPr>
      <w:r>
        <w:rPr/>
        <w:t>В настоящий момент методика активно используется в различных учреждениях, занимающихся психологической помощью мигрантам. Существует несколько крупных центров в США и Европе, использующих </w:t>
      </w:r>
      <w:r>
        <w:rPr>
          <w:i/>
        </w:rPr>
        <w:t>RHS-15 </w:t>
      </w:r>
      <w:r>
        <w:rPr/>
        <w:t>как важнейший инструмент первичного скрининга психических проблем мигрантов.</w:t>
      </w:r>
    </w:p>
    <w:p>
      <w:pPr>
        <w:pStyle w:val="Heading3"/>
        <w:spacing w:before="248"/>
      </w:pPr>
      <w:r>
        <w:rPr/>
        <w:t>Адаптация</w:t>
      </w:r>
      <w:r>
        <w:rPr>
          <w:spacing w:val="-6"/>
        </w:rPr>
        <w:t> </w:t>
      </w:r>
      <w:r>
        <w:rPr/>
        <w:t>методики</w:t>
      </w:r>
      <w:r>
        <w:rPr>
          <w:spacing w:val="-4"/>
        </w:rPr>
        <w:t> </w:t>
      </w:r>
      <w:r>
        <w:rPr/>
        <w:t>на</w:t>
      </w:r>
      <w:r>
        <w:rPr>
          <w:spacing w:val="-5"/>
        </w:rPr>
        <w:t> </w:t>
      </w:r>
      <w:r>
        <w:rPr/>
        <w:t>русском</w:t>
      </w:r>
      <w:r>
        <w:rPr>
          <w:spacing w:val="-5"/>
        </w:rPr>
        <w:t> </w:t>
      </w:r>
      <w:r>
        <w:rPr>
          <w:spacing w:val="-4"/>
        </w:rPr>
        <w:t>языке</w:t>
      </w:r>
    </w:p>
    <w:p>
      <w:pPr>
        <w:pStyle w:val="Heading4"/>
        <w:spacing w:before="233"/>
        <w:ind w:right="563"/>
      </w:pPr>
      <w:r>
        <w:rPr/>
        <w:t>В 2022 г. методика была адаптирована для детей — иностранных граждан в рамках апробации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 (N = 93). Методика показала достаточную степень внутренней согласованности (альфа Кронбаха 0.927).</w:t>
      </w:r>
    </w:p>
    <w:p>
      <w:pPr>
        <w:pStyle w:val="Heading4"/>
        <w:spacing w:before="240"/>
        <w:ind w:right="564"/>
      </w:pPr>
      <w:r>
        <w:rPr/>
        <w:t>В исследовании обнаружены предсказуемые корреляции со следующими шкалами иных методик: с многомерной шкалой удовлетворенности жизнью школьников ШУДЖИ (-0.369, P&lt;0.01), с краткой шкалой социокультурной дезадаптации (0.356, P&lt;0.01) и с детским опросником аккультурационного стресса (0.545, P&lt;0.01). Также обнаружена значимая взаимосвязь с опросником депрессивности: субшкала Уровень депрессии (0.757, P&lt;0.01). Приведенные данные доказывают внешнюю валидность методики при диагностике детей — иностранных граждан.</w:t>
      </w:r>
    </w:p>
    <w:p>
      <w:pPr>
        <w:pStyle w:val="Heading4"/>
        <w:spacing w:after="0"/>
        <w:sectPr>
          <w:pgSz w:w="11910" w:h="16840"/>
          <w:pgMar w:header="0" w:footer="970" w:top="1040" w:bottom="1220" w:left="1417" w:right="283"/>
        </w:sectPr>
      </w:pPr>
    </w:p>
    <w:p>
      <w:pPr>
        <w:pStyle w:val="Heading3"/>
        <w:ind w:left="5570"/>
        <w:jc w:val="left"/>
      </w:pPr>
      <w:r>
        <w:rPr/>
        <w:t>Приложение</w:t>
      </w:r>
      <w:r>
        <w:rPr>
          <w:spacing w:val="-6"/>
        </w:rPr>
        <w:t> </w:t>
      </w:r>
      <w:r>
        <w:rPr/>
        <w:t>4.</w:t>
      </w:r>
      <w:r>
        <w:rPr>
          <w:spacing w:val="-3"/>
        </w:rPr>
        <w:t> </w:t>
      </w:r>
      <w:r>
        <w:rPr/>
        <w:t>Бланк</w:t>
      </w:r>
      <w:r>
        <w:rPr>
          <w:spacing w:val="-3"/>
        </w:rPr>
        <w:t> </w:t>
      </w:r>
      <w:r>
        <w:rPr>
          <w:spacing w:val="-2"/>
        </w:rPr>
        <w:t>методики</w:t>
      </w:r>
    </w:p>
    <w:p>
      <w:pPr>
        <w:spacing w:line="240" w:lineRule="auto" w:before="234"/>
        <w:ind w:left="285" w:right="561" w:firstLine="566"/>
        <w:jc w:val="both"/>
        <w:rPr>
          <w:i/>
          <w:sz w:val="24"/>
        </w:rPr>
      </w:pPr>
      <w:r>
        <w:rPr>
          <w:i/>
          <w:sz w:val="24"/>
        </w:rPr>
        <w:t>Пожалуйста, укажите, в какой степени этот симптом беспокоил Вас в течение месяца. Оцените его по пятибалльной шкале, где 0 — «совсем не беспокоил», 4 — «очень сильно беспокоил».</w:t>
      </w:r>
    </w:p>
    <w:p>
      <w:pPr>
        <w:pStyle w:val="BodyText"/>
        <w:spacing w:before="1"/>
        <w:ind w:left="0" w:right="0" w:firstLine="0"/>
        <w:jc w:val="left"/>
        <w:rPr>
          <w:i/>
          <w:sz w:val="18"/>
        </w:rPr>
      </w:pPr>
    </w:p>
    <w:tbl>
      <w:tblPr>
        <w:tblW w:w="0" w:type="auto"/>
        <w:jc w:val="left"/>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53"/>
        <w:gridCol w:w="1288"/>
        <w:gridCol w:w="1288"/>
        <w:gridCol w:w="1288"/>
        <w:gridCol w:w="1289"/>
        <w:gridCol w:w="1288"/>
      </w:tblGrid>
      <w:tr>
        <w:trPr>
          <w:trHeight w:val="1238" w:hRule="atLeast"/>
        </w:trPr>
        <w:tc>
          <w:tcPr>
            <w:tcW w:w="3053" w:type="dxa"/>
            <w:vMerge w:val="restart"/>
          </w:tcPr>
          <w:p>
            <w:pPr>
              <w:pStyle w:val="TableParagraph"/>
              <w:rPr>
                <w:i/>
                <w:sz w:val="24"/>
              </w:rPr>
            </w:pPr>
          </w:p>
          <w:p>
            <w:pPr>
              <w:pStyle w:val="TableParagraph"/>
              <w:rPr>
                <w:i/>
                <w:sz w:val="24"/>
              </w:rPr>
            </w:pPr>
          </w:p>
          <w:p>
            <w:pPr>
              <w:pStyle w:val="TableParagraph"/>
              <w:rPr>
                <w:i/>
                <w:sz w:val="24"/>
              </w:rPr>
            </w:pPr>
          </w:p>
          <w:p>
            <w:pPr>
              <w:pStyle w:val="TableParagraph"/>
              <w:spacing w:before="210"/>
              <w:rPr>
                <w:i/>
                <w:sz w:val="24"/>
              </w:rPr>
            </w:pPr>
          </w:p>
          <w:p>
            <w:pPr>
              <w:pStyle w:val="TableParagraph"/>
              <w:ind w:left="734"/>
              <w:rPr>
                <w:b/>
                <w:sz w:val="24"/>
              </w:rPr>
            </w:pPr>
            <w:r>
              <w:rPr>
                <w:b/>
                <w:spacing w:val="-2"/>
                <w:sz w:val="24"/>
              </w:rPr>
              <w:t>СИМПТОМЫ</w:t>
            </w:r>
          </w:p>
        </w:tc>
        <w:tc>
          <w:tcPr>
            <w:tcW w:w="1288" w:type="dxa"/>
            <w:tcBorders>
              <w:bottom w:val="nil"/>
            </w:tcBorders>
          </w:tcPr>
          <w:p>
            <w:pPr>
              <w:pStyle w:val="TableParagraph"/>
              <w:spacing w:before="68"/>
              <w:ind w:left="148" w:right="139" w:firstLine="1"/>
              <w:jc w:val="center"/>
              <w:rPr>
                <w:b/>
                <w:sz w:val="24"/>
              </w:rPr>
            </w:pPr>
            <w:r>
              <w:rPr>
                <w:b/>
                <w:spacing w:val="-2"/>
                <w:sz w:val="24"/>
              </w:rPr>
              <w:t>Совсем </w:t>
            </w:r>
            <w:r>
              <w:rPr>
                <w:b/>
                <w:spacing w:val="-6"/>
                <w:sz w:val="24"/>
              </w:rPr>
              <w:t>не </w:t>
            </w:r>
            <w:r>
              <w:rPr>
                <w:b/>
                <w:spacing w:val="-2"/>
                <w:sz w:val="24"/>
              </w:rPr>
              <w:t>беспокои </w:t>
            </w:r>
            <w:r>
              <w:rPr>
                <w:b/>
                <w:spacing w:val="-10"/>
                <w:sz w:val="24"/>
              </w:rPr>
              <w:t>л</w:t>
            </w:r>
          </w:p>
        </w:tc>
        <w:tc>
          <w:tcPr>
            <w:tcW w:w="1288" w:type="dxa"/>
            <w:tcBorders>
              <w:bottom w:val="nil"/>
            </w:tcBorders>
          </w:tcPr>
          <w:p>
            <w:pPr>
              <w:pStyle w:val="TableParagraph"/>
              <w:spacing w:before="205"/>
              <w:ind w:left="149" w:right="138" w:firstLine="3"/>
              <w:jc w:val="center"/>
              <w:rPr>
                <w:b/>
                <w:sz w:val="24"/>
              </w:rPr>
            </w:pPr>
            <w:r>
              <w:rPr>
                <w:b/>
                <w:spacing w:val="-2"/>
                <w:sz w:val="24"/>
              </w:rPr>
              <w:t>Немного беспокои </w:t>
            </w:r>
            <w:r>
              <w:rPr>
                <w:b/>
                <w:spacing w:val="-10"/>
                <w:sz w:val="24"/>
              </w:rPr>
              <w:t>л</w:t>
            </w:r>
          </w:p>
        </w:tc>
        <w:tc>
          <w:tcPr>
            <w:tcW w:w="1288" w:type="dxa"/>
            <w:tcBorders>
              <w:bottom w:val="nil"/>
            </w:tcBorders>
          </w:tcPr>
          <w:p>
            <w:pPr>
              <w:pStyle w:val="TableParagraph"/>
              <w:spacing w:before="205"/>
              <w:ind w:left="150" w:right="137" w:firstLine="4"/>
              <w:jc w:val="center"/>
              <w:rPr>
                <w:b/>
                <w:sz w:val="24"/>
              </w:rPr>
            </w:pPr>
            <w:r>
              <w:rPr>
                <w:b/>
                <w:spacing w:val="-2"/>
                <w:sz w:val="24"/>
              </w:rPr>
              <w:t>Средне беспокои </w:t>
            </w:r>
            <w:r>
              <w:rPr>
                <w:b/>
                <w:spacing w:val="-10"/>
                <w:sz w:val="24"/>
              </w:rPr>
              <w:t>л</w:t>
            </w:r>
          </w:p>
        </w:tc>
        <w:tc>
          <w:tcPr>
            <w:tcW w:w="1289" w:type="dxa"/>
            <w:tcBorders>
              <w:bottom w:val="nil"/>
            </w:tcBorders>
          </w:tcPr>
          <w:p>
            <w:pPr>
              <w:pStyle w:val="TableParagraph"/>
              <w:spacing w:before="68"/>
              <w:ind w:left="118" w:right="103"/>
              <w:jc w:val="center"/>
              <w:rPr>
                <w:b/>
                <w:sz w:val="24"/>
              </w:rPr>
            </w:pPr>
            <w:r>
              <w:rPr>
                <w:b/>
                <w:spacing w:val="-2"/>
                <w:sz w:val="24"/>
              </w:rPr>
              <w:t>Довольно сильно беспокои </w:t>
            </w:r>
            <w:r>
              <w:rPr>
                <w:b/>
                <w:spacing w:val="-10"/>
                <w:sz w:val="24"/>
              </w:rPr>
              <w:t>л</w:t>
            </w:r>
          </w:p>
        </w:tc>
        <w:tc>
          <w:tcPr>
            <w:tcW w:w="1288" w:type="dxa"/>
            <w:tcBorders>
              <w:bottom w:val="nil"/>
            </w:tcBorders>
          </w:tcPr>
          <w:p>
            <w:pPr>
              <w:pStyle w:val="TableParagraph"/>
              <w:spacing w:before="68"/>
              <w:ind w:left="152" w:right="136" w:firstLine="3"/>
              <w:jc w:val="center"/>
              <w:rPr>
                <w:b/>
                <w:sz w:val="24"/>
              </w:rPr>
            </w:pPr>
            <w:r>
              <w:rPr>
                <w:b/>
                <w:spacing w:val="-4"/>
                <w:sz w:val="24"/>
              </w:rPr>
              <w:t>Очень </w:t>
            </w:r>
            <w:r>
              <w:rPr>
                <w:b/>
                <w:spacing w:val="-2"/>
                <w:sz w:val="24"/>
              </w:rPr>
              <w:t>сильно беспокои </w:t>
            </w:r>
            <w:r>
              <w:rPr>
                <w:b/>
                <w:spacing w:val="-10"/>
                <w:sz w:val="24"/>
              </w:rPr>
              <w:t>л</w:t>
            </w:r>
          </w:p>
        </w:tc>
      </w:tr>
      <w:tr>
        <w:trPr>
          <w:trHeight w:val="1459" w:hRule="atLeast"/>
        </w:trPr>
        <w:tc>
          <w:tcPr>
            <w:tcW w:w="3053" w:type="dxa"/>
            <w:vMerge/>
            <w:tcBorders>
              <w:top w:val="nil"/>
            </w:tcBorders>
          </w:tcPr>
          <w:p>
            <w:pPr>
              <w:rPr>
                <w:sz w:val="2"/>
                <w:szCs w:val="2"/>
              </w:rPr>
            </w:pPr>
          </w:p>
        </w:tc>
        <w:tc>
          <w:tcPr>
            <w:tcW w:w="6441" w:type="dxa"/>
            <w:gridSpan w:val="5"/>
            <w:tcBorders>
              <w:top w:val="nil"/>
            </w:tcBorders>
          </w:tcPr>
          <w:p>
            <w:pPr>
              <w:pStyle w:val="TableParagraph"/>
              <w:spacing w:before="5"/>
              <w:rPr>
                <w:i/>
                <w:sz w:val="15"/>
              </w:rPr>
            </w:pPr>
          </w:p>
          <w:p>
            <w:pPr>
              <w:pStyle w:val="TableParagraph"/>
              <w:ind w:left="217"/>
              <w:rPr>
                <w:sz w:val="20"/>
              </w:rPr>
            </w:pPr>
            <w:r>
              <w:rPr>
                <w:sz w:val="20"/>
              </w:rPr>
              <w:drawing>
                <wp:inline distT="0" distB="0" distL="0" distR="0">
                  <wp:extent cx="3867334" cy="635507"/>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44" cstate="print"/>
                          <a:stretch>
                            <a:fillRect/>
                          </a:stretch>
                        </pic:blipFill>
                        <pic:spPr>
                          <a:xfrm>
                            <a:off x="0" y="0"/>
                            <a:ext cx="3867334" cy="635507"/>
                          </a:xfrm>
                          <a:prstGeom prst="rect">
                            <a:avLst/>
                          </a:prstGeom>
                        </pic:spPr>
                      </pic:pic>
                    </a:graphicData>
                  </a:graphic>
                </wp:inline>
              </w:drawing>
            </w:r>
            <w:r>
              <w:rPr>
                <w:sz w:val="20"/>
              </w:rPr>
            </w:r>
          </w:p>
        </w:tc>
      </w:tr>
      <w:tr>
        <w:trPr>
          <w:trHeight w:val="640" w:hRule="atLeast"/>
        </w:trPr>
        <w:tc>
          <w:tcPr>
            <w:tcW w:w="3053" w:type="dxa"/>
          </w:tcPr>
          <w:p>
            <w:pPr>
              <w:pStyle w:val="TableParagraph"/>
              <w:spacing w:line="274" w:lineRule="exact" w:before="72"/>
              <w:ind w:left="143" w:right="195" w:firstLine="96"/>
              <w:rPr>
                <w:sz w:val="24"/>
              </w:rPr>
            </w:pPr>
            <w:r>
              <w:rPr>
                <w:sz w:val="24"/>
              </w:rPr>
              <w:t>1.</w:t>
            </w:r>
            <w:r>
              <w:rPr>
                <w:spacing w:val="40"/>
                <w:sz w:val="24"/>
              </w:rPr>
              <w:t> </w:t>
            </w:r>
            <w:r>
              <w:rPr>
                <w:sz w:val="24"/>
              </w:rPr>
              <w:t>Боли</w:t>
            </w:r>
            <w:r>
              <w:rPr>
                <w:spacing w:val="-8"/>
                <w:sz w:val="24"/>
              </w:rPr>
              <w:t> </w:t>
            </w:r>
            <w:r>
              <w:rPr>
                <w:sz w:val="24"/>
              </w:rPr>
              <w:t>в</w:t>
            </w:r>
            <w:r>
              <w:rPr>
                <w:spacing w:val="-9"/>
                <w:sz w:val="24"/>
              </w:rPr>
              <w:t> </w:t>
            </w:r>
            <w:r>
              <w:rPr>
                <w:sz w:val="24"/>
              </w:rPr>
              <w:t>мышцах, костях, суставах</w:t>
            </w:r>
          </w:p>
        </w:tc>
        <w:tc>
          <w:tcPr>
            <w:tcW w:w="1288" w:type="dxa"/>
          </w:tcPr>
          <w:p>
            <w:pPr>
              <w:pStyle w:val="TableParagraph"/>
              <w:spacing w:before="219"/>
              <w:ind w:right="282"/>
              <w:jc w:val="right"/>
              <w:rPr>
                <w:sz w:val="24"/>
              </w:rPr>
            </w:pPr>
            <w:r>
              <w:rPr>
                <w:spacing w:val="-10"/>
                <w:sz w:val="24"/>
              </w:rPr>
              <w:t>0</w:t>
            </w:r>
          </w:p>
        </w:tc>
        <w:tc>
          <w:tcPr>
            <w:tcW w:w="1288" w:type="dxa"/>
          </w:tcPr>
          <w:p>
            <w:pPr>
              <w:pStyle w:val="TableParagraph"/>
              <w:spacing w:before="219"/>
              <w:ind w:right="456"/>
              <w:jc w:val="right"/>
              <w:rPr>
                <w:sz w:val="24"/>
              </w:rPr>
            </w:pPr>
            <w:r>
              <w:rPr>
                <w:spacing w:val="-10"/>
                <w:sz w:val="24"/>
              </w:rPr>
              <w:t>1</w:t>
            </w:r>
          </w:p>
        </w:tc>
        <w:tc>
          <w:tcPr>
            <w:tcW w:w="1288" w:type="dxa"/>
          </w:tcPr>
          <w:p>
            <w:pPr>
              <w:pStyle w:val="TableParagraph"/>
              <w:spacing w:before="219"/>
              <w:ind w:right="453"/>
              <w:jc w:val="right"/>
              <w:rPr>
                <w:sz w:val="24"/>
              </w:rPr>
            </w:pPr>
            <w:r>
              <w:rPr>
                <w:spacing w:val="-10"/>
                <w:sz w:val="24"/>
              </w:rPr>
              <w:t>2</w:t>
            </w:r>
          </w:p>
        </w:tc>
        <w:tc>
          <w:tcPr>
            <w:tcW w:w="1289" w:type="dxa"/>
          </w:tcPr>
          <w:p>
            <w:pPr>
              <w:pStyle w:val="TableParagraph"/>
              <w:spacing w:before="219"/>
              <w:ind w:right="462"/>
              <w:jc w:val="right"/>
              <w:rPr>
                <w:sz w:val="24"/>
              </w:rPr>
            </w:pPr>
            <w:r>
              <w:rPr>
                <w:spacing w:val="-10"/>
                <w:sz w:val="24"/>
              </w:rPr>
              <w:t>3</w:t>
            </w:r>
          </w:p>
        </w:tc>
        <w:tc>
          <w:tcPr>
            <w:tcW w:w="1288" w:type="dxa"/>
          </w:tcPr>
          <w:p>
            <w:pPr>
              <w:pStyle w:val="TableParagraph"/>
              <w:spacing w:before="219"/>
              <w:ind w:right="478"/>
              <w:jc w:val="right"/>
              <w:rPr>
                <w:sz w:val="24"/>
              </w:rPr>
            </w:pPr>
            <w:r>
              <w:rPr>
                <w:spacing w:val="-10"/>
                <w:sz w:val="24"/>
              </w:rPr>
              <w:t>4</w:t>
            </w:r>
          </w:p>
        </w:tc>
      </w:tr>
      <w:tr>
        <w:trPr>
          <w:trHeight w:val="916" w:hRule="atLeast"/>
        </w:trPr>
        <w:tc>
          <w:tcPr>
            <w:tcW w:w="3053" w:type="dxa"/>
          </w:tcPr>
          <w:p>
            <w:pPr>
              <w:pStyle w:val="TableParagraph"/>
              <w:spacing w:before="83"/>
              <w:ind w:left="239"/>
              <w:rPr>
                <w:sz w:val="24"/>
              </w:rPr>
            </w:pPr>
            <w:r>
              <w:rPr>
                <w:sz w:val="24"/>
              </w:rPr>
              <w:t>2.</w:t>
            </w:r>
            <w:r>
              <w:rPr>
                <w:spacing w:val="51"/>
                <w:w w:val="150"/>
                <w:sz w:val="24"/>
              </w:rPr>
              <w:t> </w:t>
            </w:r>
            <w:r>
              <w:rPr>
                <w:sz w:val="24"/>
              </w:rPr>
              <w:t>Частое </w:t>
            </w:r>
            <w:r>
              <w:rPr>
                <w:spacing w:val="-2"/>
                <w:sz w:val="24"/>
              </w:rPr>
              <w:t>чувство</w:t>
            </w:r>
          </w:p>
          <w:p>
            <w:pPr>
              <w:pStyle w:val="TableParagraph"/>
              <w:spacing w:line="274" w:lineRule="exact"/>
              <w:ind w:left="143"/>
              <w:rPr>
                <w:sz w:val="24"/>
              </w:rPr>
            </w:pPr>
            <w:r>
              <w:rPr>
                <w:sz w:val="24"/>
              </w:rPr>
              <w:t>подавленности,</w:t>
            </w:r>
            <w:r>
              <w:rPr>
                <w:spacing w:val="-15"/>
                <w:sz w:val="24"/>
              </w:rPr>
              <w:t> </w:t>
            </w:r>
            <w:r>
              <w:rPr>
                <w:sz w:val="24"/>
              </w:rPr>
              <w:t>грусти</w:t>
            </w:r>
            <w:r>
              <w:rPr>
                <w:spacing w:val="-15"/>
                <w:sz w:val="24"/>
              </w:rPr>
              <w:t> </w:t>
            </w:r>
            <w:r>
              <w:rPr>
                <w:sz w:val="24"/>
              </w:rPr>
              <w:t>или </w:t>
            </w:r>
            <w:r>
              <w:rPr>
                <w:spacing w:val="-2"/>
                <w:sz w:val="24"/>
              </w:rPr>
              <w:t>тоски</w:t>
            </w:r>
          </w:p>
        </w:tc>
        <w:tc>
          <w:tcPr>
            <w:tcW w:w="1288" w:type="dxa"/>
          </w:tcPr>
          <w:p>
            <w:pPr>
              <w:pStyle w:val="TableParagraph"/>
              <w:spacing w:before="80"/>
              <w:rPr>
                <w:i/>
                <w:sz w:val="24"/>
              </w:rPr>
            </w:pPr>
          </w:p>
          <w:p>
            <w:pPr>
              <w:pStyle w:val="TableParagraph"/>
              <w:ind w:right="282"/>
              <w:jc w:val="right"/>
              <w:rPr>
                <w:sz w:val="24"/>
              </w:rPr>
            </w:pPr>
            <w:r>
              <w:rPr>
                <w:spacing w:val="-10"/>
                <w:sz w:val="24"/>
              </w:rPr>
              <w:t>0</w:t>
            </w:r>
          </w:p>
        </w:tc>
        <w:tc>
          <w:tcPr>
            <w:tcW w:w="1288" w:type="dxa"/>
          </w:tcPr>
          <w:p>
            <w:pPr>
              <w:pStyle w:val="TableParagraph"/>
              <w:spacing w:before="80"/>
              <w:rPr>
                <w:i/>
                <w:sz w:val="24"/>
              </w:rPr>
            </w:pPr>
          </w:p>
          <w:p>
            <w:pPr>
              <w:pStyle w:val="TableParagraph"/>
              <w:ind w:right="456"/>
              <w:jc w:val="right"/>
              <w:rPr>
                <w:sz w:val="24"/>
              </w:rPr>
            </w:pPr>
            <w:r>
              <w:rPr>
                <w:spacing w:val="-10"/>
                <w:sz w:val="24"/>
              </w:rPr>
              <w:t>1</w:t>
            </w:r>
          </w:p>
        </w:tc>
        <w:tc>
          <w:tcPr>
            <w:tcW w:w="1288" w:type="dxa"/>
          </w:tcPr>
          <w:p>
            <w:pPr>
              <w:pStyle w:val="TableParagraph"/>
              <w:spacing w:before="80"/>
              <w:rPr>
                <w:i/>
                <w:sz w:val="24"/>
              </w:rPr>
            </w:pPr>
          </w:p>
          <w:p>
            <w:pPr>
              <w:pStyle w:val="TableParagraph"/>
              <w:ind w:right="453"/>
              <w:jc w:val="right"/>
              <w:rPr>
                <w:sz w:val="24"/>
              </w:rPr>
            </w:pPr>
            <w:r>
              <w:rPr>
                <w:spacing w:val="-10"/>
                <w:sz w:val="24"/>
              </w:rPr>
              <w:t>2</w:t>
            </w:r>
          </w:p>
        </w:tc>
        <w:tc>
          <w:tcPr>
            <w:tcW w:w="1289" w:type="dxa"/>
          </w:tcPr>
          <w:p>
            <w:pPr>
              <w:pStyle w:val="TableParagraph"/>
              <w:spacing w:before="80"/>
              <w:rPr>
                <w:i/>
                <w:sz w:val="24"/>
              </w:rPr>
            </w:pPr>
          </w:p>
          <w:p>
            <w:pPr>
              <w:pStyle w:val="TableParagraph"/>
              <w:ind w:right="462"/>
              <w:jc w:val="right"/>
              <w:rPr>
                <w:sz w:val="24"/>
              </w:rPr>
            </w:pPr>
            <w:r>
              <w:rPr>
                <w:spacing w:val="-10"/>
                <w:sz w:val="24"/>
              </w:rPr>
              <w:t>3</w:t>
            </w:r>
          </w:p>
        </w:tc>
        <w:tc>
          <w:tcPr>
            <w:tcW w:w="1288" w:type="dxa"/>
          </w:tcPr>
          <w:p>
            <w:pPr>
              <w:pStyle w:val="TableParagraph"/>
              <w:spacing w:before="80"/>
              <w:rPr>
                <w:i/>
                <w:sz w:val="24"/>
              </w:rPr>
            </w:pPr>
          </w:p>
          <w:p>
            <w:pPr>
              <w:pStyle w:val="TableParagraph"/>
              <w:ind w:right="478"/>
              <w:jc w:val="right"/>
              <w:rPr>
                <w:sz w:val="24"/>
              </w:rPr>
            </w:pPr>
            <w:r>
              <w:rPr>
                <w:spacing w:val="-10"/>
                <w:sz w:val="24"/>
              </w:rPr>
              <w:t>4</w:t>
            </w:r>
          </w:p>
        </w:tc>
      </w:tr>
      <w:tr>
        <w:trPr>
          <w:trHeight w:val="919" w:hRule="atLeast"/>
        </w:trPr>
        <w:tc>
          <w:tcPr>
            <w:tcW w:w="3053" w:type="dxa"/>
          </w:tcPr>
          <w:p>
            <w:pPr>
              <w:pStyle w:val="TableParagraph"/>
              <w:spacing w:line="237" w:lineRule="auto" w:before="87"/>
              <w:ind w:left="143" w:firstLine="96"/>
              <w:rPr>
                <w:sz w:val="24"/>
              </w:rPr>
            </w:pPr>
            <w:r>
              <w:rPr>
                <w:sz w:val="24"/>
              </w:rPr>
              <w:t>3.</w:t>
            </w:r>
            <w:r>
              <w:rPr>
                <w:spacing w:val="40"/>
                <w:sz w:val="24"/>
              </w:rPr>
              <w:t> </w:t>
            </w:r>
            <w:r>
              <w:rPr>
                <w:sz w:val="24"/>
              </w:rPr>
              <w:t>Слишком много размышлений</w:t>
            </w:r>
            <w:r>
              <w:rPr>
                <w:spacing w:val="-15"/>
                <w:sz w:val="24"/>
              </w:rPr>
              <w:t> </w:t>
            </w:r>
            <w:r>
              <w:rPr>
                <w:sz w:val="24"/>
              </w:rPr>
              <w:t>или</w:t>
            </w:r>
            <w:r>
              <w:rPr>
                <w:spacing w:val="-15"/>
                <w:sz w:val="24"/>
              </w:rPr>
              <w:t> </w:t>
            </w:r>
            <w:r>
              <w:rPr>
                <w:sz w:val="24"/>
              </w:rPr>
              <w:t>мыслей</w:t>
            </w:r>
          </w:p>
          <w:p>
            <w:pPr>
              <w:pStyle w:val="TableParagraph"/>
              <w:spacing w:line="264" w:lineRule="exact" w:before="1"/>
              <w:ind w:left="143"/>
              <w:rPr>
                <w:sz w:val="24"/>
              </w:rPr>
            </w:pPr>
            <w:r>
              <w:rPr>
                <w:sz w:val="24"/>
              </w:rPr>
              <w:t>о</w:t>
            </w:r>
            <w:r>
              <w:rPr>
                <w:spacing w:val="-4"/>
                <w:sz w:val="24"/>
              </w:rPr>
              <w:t> </w:t>
            </w:r>
            <w:r>
              <w:rPr>
                <w:sz w:val="24"/>
              </w:rPr>
              <w:t>чем-</w:t>
            </w:r>
            <w:r>
              <w:rPr>
                <w:spacing w:val="-4"/>
                <w:sz w:val="24"/>
              </w:rPr>
              <w:t>либо</w:t>
            </w:r>
          </w:p>
        </w:tc>
        <w:tc>
          <w:tcPr>
            <w:tcW w:w="1288" w:type="dxa"/>
          </w:tcPr>
          <w:p>
            <w:pPr>
              <w:pStyle w:val="TableParagraph"/>
              <w:spacing w:before="80"/>
              <w:rPr>
                <w:i/>
                <w:sz w:val="24"/>
              </w:rPr>
            </w:pPr>
          </w:p>
          <w:p>
            <w:pPr>
              <w:pStyle w:val="TableParagraph"/>
              <w:ind w:right="282"/>
              <w:jc w:val="right"/>
              <w:rPr>
                <w:sz w:val="24"/>
              </w:rPr>
            </w:pPr>
            <w:r>
              <w:rPr>
                <w:spacing w:val="-10"/>
                <w:sz w:val="24"/>
              </w:rPr>
              <w:t>0</w:t>
            </w:r>
          </w:p>
        </w:tc>
        <w:tc>
          <w:tcPr>
            <w:tcW w:w="1288" w:type="dxa"/>
          </w:tcPr>
          <w:p>
            <w:pPr>
              <w:pStyle w:val="TableParagraph"/>
              <w:spacing w:before="80"/>
              <w:rPr>
                <w:i/>
                <w:sz w:val="24"/>
              </w:rPr>
            </w:pPr>
          </w:p>
          <w:p>
            <w:pPr>
              <w:pStyle w:val="TableParagraph"/>
              <w:ind w:right="456"/>
              <w:jc w:val="right"/>
              <w:rPr>
                <w:sz w:val="24"/>
              </w:rPr>
            </w:pPr>
            <w:r>
              <w:rPr>
                <w:spacing w:val="-10"/>
                <w:sz w:val="24"/>
              </w:rPr>
              <w:t>1</w:t>
            </w:r>
          </w:p>
        </w:tc>
        <w:tc>
          <w:tcPr>
            <w:tcW w:w="1288" w:type="dxa"/>
          </w:tcPr>
          <w:p>
            <w:pPr>
              <w:pStyle w:val="TableParagraph"/>
              <w:spacing w:before="80"/>
              <w:rPr>
                <w:i/>
                <w:sz w:val="24"/>
              </w:rPr>
            </w:pPr>
          </w:p>
          <w:p>
            <w:pPr>
              <w:pStyle w:val="TableParagraph"/>
              <w:ind w:right="453"/>
              <w:jc w:val="right"/>
              <w:rPr>
                <w:sz w:val="24"/>
              </w:rPr>
            </w:pPr>
            <w:r>
              <w:rPr>
                <w:spacing w:val="-10"/>
                <w:sz w:val="24"/>
              </w:rPr>
              <w:t>2</w:t>
            </w:r>
          </w:p>
        </w:tc>
        <w:tc>
          <w:tcPr>
            <w:tcW w:w="1289" w:type="dxa"/>
          </w:tcPr>
          <w:p>
            <w:pPr>
              <w:pStyle w:val="TableParagraph"/>
              <w:spacing w:before="80"/>
              <w:rPr>
                <w:i/>
                <w:sz w:val="24"/>
              </w:rPr>
            </w:pPr>
          </w:p>
          <w:p>
            <w:pPr>
              <w:pStyle w:val="TableParagraph"/>
              <w:ind w:right="462"/>
              <w:jc w:val="right"/>
              <w:rPr>
                <w:sz w:val="24"/>
              </w:rPr>
            </w:pPr>
            <w:r>
              <w:rPr>
                <w:spacing w:val="-10"/>
                <w:sz w:val="24"/>
              </w:rPr>
              <w:t>3</w:t>
            </w:r>
          </w:p>
        </w:tc>
        <w:tc>
          <w:tcPr>
            <w:tcW w:w="1288" w:type="dxa"/>
          </w:tcPr>
          <w:p>
            <w:pPr>
              <w:pStyle w:val="TableParagraph"/>
              <w:spacing w:before="80"/>
              <w:rPr>
                <w:i/>
                <w:sz w:val="24"/>
              </w:rPr>
            </w:pPr>
          </w:p>
          <w:p>
            <w:pPr>
              <w:pStyle w:val="TableParagraph"/>
              <w:ind w:right="478"/>
              <w:jc w:val="right"/>
              <w:rPr>
                <w:sz w:val="24"/>
              </w:rPr>
            </w:pPr>
            <w:r>
              <w:rPr>
                <w:spacing w:val="-10"/>
                <w:sz w:val="24"/>
              </w:rPr>
              <w:t>4</w:t>
            </w:r>
          </w:p>
        </w:tc>
      </w:tr>
      <w:tr>
        <w:trPr>
          <w:trHeight w:val="640" w:hRule="atLeast"/>
        </w:trPr>
        <w:tc>
          <w:tcPr>
            <w:tcW w:w="3053" w:type="dxa"/>
          </w:tcPr>
          <w:p>
            <w:pPr>
              <w:pStyle w:val="TableParagraph"/>
              <w:spacing w:line="274" w:lineRule="exact" w:before="72"/>
              <w:ind w:left="143" w:right="195" w:firstLine="96"/>
              <w:rPr>
                <w:sz w:val="24"/>
              </w:rPr>
            </w:pPr>
            <w:r>
              <w:rPr>
                <w:sz w:val="24"/>
              </w:rPr>
              <w:t>4.</w:t>
            </w:r>
            <w:r>
              <w:rPr>
                <w:spacing w:val="40"/>
                <w:sz w:val="24"/>
              </w:rPr>
              <w:t> </w:t>
            </w:r>
            <w:r>
              <w:rPr>
                <w:sz w:val="24"/>
              </w:rPr>
              <w:t>Чувство </w:t>
            </w:r>
            <w:r>
              <w:rPr>
                <w:spacing w:val="-2"/>
                <w:sz w:val="24"/>
              </w:rPr>
              <w:t>беспомощности</w:t>
            </w:r>
          </w:p>
        </w:tc>
        <w:tc>
          <w:tcPr>
            <w:tcW w:w="1288" w:type="dxa"/>
          </w:tcPr>
          <w:p>
            <w:pPr>
              <w:pStyle w:val="TableParagraph"/>
              <w:spacing w:before="217"/>
              <w:ind w:right="282"/>
              <w:jc w:val="right"/>
              <w:rPr>
                <w:sz w:val="24"/>
              </w:rPr>
            </w:pPr>
            <w:r>
              <w:rPr>
                <w:spacing w:val="-10"/>
                <w:sz w:val="24"/>
              </w:rPr>
              <w:t>0</w:t>
            </w:r>
          </w:p>
        </w:tc>
        <w:tc>
          <w:tcPr>
            <w:tcW w:w="1288" w:type="dxa"/>
          </w:tcPr>
          <w:p>
            <w:pPr>
              <w:pStyle w:val="TableParagraph"/>
              <w:spacing w:before="217"/>
              <w:ind w:right="456"/>
              <w:jc w:val="right"/>
              <w:rPr>
                <w:sz w:val="24"/>
              </w:rPr>
            </w:pPr>
            <w:r>
              <w:rPr>
                <w:spacing w:val="-10"/>
                <w:sz w:val="24"/>
              </w:rPr>
              <w:t>1</w:t>
            </w:r>
          </w:p>
        </w:tc>
        <w:tc>
          <w:tcPr>
            <w:tcW w:w="1288" w:type="dxa"/>
          </w:tcPr>
          <w:p>
            <w:pPr>
              <w:pStyle w:val="TableParagraph"/>
              <w:spacing w:before="217"/>
              <w:ind w:right="453"/>
              <w:jc w:val="right"/>
              <w:rPr>
                <w:sz w:val="24"/>
              </w:rPr>
            </w:pPr>
            <w:r>
              <w:rPr>
                <w:spacing w:val="-10"/>
                <w:sz w:val="24"/>
              </w:rPr>
              <w:t>2</w:t>
            </w:r>
          </w:p>
        </w:tc>
        <w:tc>
          <w:tcPr>
            <w:tcW w:w="1289" w:type="dxa"/>
          </w:tcPr>
          <w:p>
            <w:pPr>
              <w:pStyle w:val="TableParagraph"/>
              <w:spacing w:before="217"/>
              <w:ind w:right="462"/>
              <w:jc w:val="right"/>
              <w:rPr>
                <w:sz w:val="24"/>
              </w:rPr>
            </w:pPr>
            <w:r>
              <w:rPr>
                <w:spacing w:val="-10"/>
                <w:sz w:val="24"/>
              </w:rPr>
              <w:t>3</w:t>
            </w:r>
          </w:p>
        </w:tc>
        <w:tc>
          <w:tcPr>
            <w:tcW w:w="1288" w:type="dxa"/>
          </w:tcPr>
          <w:p>
            <w:pPr>
              <w:pStyle w:val="TableParagraph"/>
              <w:spacing w:before="217"/>
              <w:ind w:right="478"/>
              <w:jc w:val="right"/>
              <w:rPr>
                <w:sz w:val="24"/>
              </w:rPr>
            </w:pPr>
            <w:r>
              <w:rPr>
                <w:spacing w:val="-10"/>
                <w:sz w:val="24"/>
              </w:rPr>
              <w:t>4</w:t>
            </w:r>
          </w:p>
        </w:tc>
      </w:tr>
      <w:tr>
        <w:trPr>
          <w:trHeight w:val="640" w:hRule="atLeast"/>
        </w:trPr>
        <w:tc>
          <w:tcPr>
            <w:tcW w:w="3053" w:type="dxa"/>
          </w:tcPr>
          <w:p>
            <w:pPr>
              <w:pStyle w:val="TableParagraph"/>
              <w:spacing w:line="274" w:lineRule="exact" w:before="72"/>
              <w:ind w:left="143" w:firstLine="96"/>
              <w:rPr>
                <w:sz w:val="24"/>
              </w:rPr>
            </w:pPr>
            <w:r>
              <w:rPr>
                <w:sz w:val="24"/>
              </w:rPr>
              <w:t>5.</w:t>
            </w:r>
            <w:r>
              <w:rPr>
                <w:spacing w:val="40"/>
                <w:sz w:val="24"/>
              </w:rPr>
              <w:t> </w:t>
            </w:r>
            <w:r>
              <w:rPr>
                <w:sz w:val="24"/>
              </w:rPr>
              <w:t>Внезапный</w:t>
            </w:r>
            <w:r>
              <w:rPr>
                <w:spacing w:val="-9"/>
                <w:sz w:val="24"/>
              </w:rPr>
              <w:t> </w:t>
            </w:r>
            <w:r>
              <w:rPr>
                <w:sz w:val="24"/>
              </w:rPr>
              <w:t>испуг</w:t>
            </w:r>
            <w:r>
              <w:rPr>
                <w:spacing w:val="-10"/>
                <w:sz w:val="24"/>
              </w:rPr>
              <w:t> </w:t>
            </w:r>
            <w:r>
              <w:rPr>
                <w:sz w:val="24"/>
              </w:rPr>
              <w:t>без </w:t>
            </w:r>
            <w:r>
              <w:rPr>
                <w:spacing w:val="-2"/>
                <w:sz w:val="24"/>
              </w:rPr>
              <w:t>причины</w:t>
            </w:r>
          </w:p>
        </w:tc>
        <w:tc>
          <w:tcPr>
            <w:tcW w:w="1288" w:type="dxa"/>
          </w:tcPr>
          <w:p>
            <w:pPr>
              <w:pStyle w:val="TableParagraph"/>
              <w:spacing w:before="217"/>
              <w:ind w:right="282"/>
              <w:jc w:val="right"/>
              <w:rPr>
                <w:sz w:val="24"/>
              </w:rPr>
            </w:pPr>
            <w:r>
              <w:rPr>
                <w:spacing w:val="-10"/>
                <w:sz w:val="24"/>
              </w:rPr>
              <w:t>0</w:t>
            </w:r>
          </w:p>
        </w:tc>
        <w:tc>
          <w:tcPr>
            <w:tcW w:w="1288" w:type="dxa"/>
          </w:tcPr>
          <w:p>
            <w:pPr>
              <w:pStyle w:val="TableParagraph"/>
              <w:spacing w:before="217"/>
              <w:ind w:right="456"/>
              <w:jc w:val="right"/>
              <w:rPr>
                <w:sz w:val="24"/>
              </w:rPr>
            </w:pPr>
            <w:r>
              <w:rPr>
                <w:spacing w:val="-10"/>
                <w:sz w:val="24"/>
              </w:rPr>
              <w:t>1</w:t>
            </w:r>
          </w:p>
        </w:tc>
        <w:tc>
          <w:tcPr>
            <w:tcW w:w="1288" w:type="dxa"/>
          </w:tcPr>
          <w:p>
            <w:pPr>
              <w:pStyle w:val="TableParagraph"/>
              <w:spacing w:before="217"/>
              <w:ind w:right="453"/>
              <w:jc w:val="right"/>
              <w:rPr>
                <w:sz w:val="24"/>
              </w:rPr>
            </w:pPr>
            <w:r>
              <w:rPr>
                <w:spacing w:val="-10"/>
                <w:sz w:val="24"/>
              </w:rPr>
              <w:t>2</w:t>
            </w:r>
          </w:p>
        </w:tc>
        <w:tc>
          <w:tcPr>
            <w:tcW w:w="1289" w:type="dxa"/>
          </w:tcPr>
          <w:p>
            <w:pPr>
              <w:pStyle w:val="TableParagraph"/>
              <w:spacing w:before="217"/>
              <w:ind w:right="462"/>
              <w:jc w:val="right"/>
              <w:rPr>
                <w:sz w:val="24"/>
              </w:rPr>
            </w:pPr>
            <w:r>
              <w:rPr>
                <w:spacing w:val="-10"/>
                <w:sz w:val="24"/>
              </w:rPr>
              <w:t>3</w:t>
            </w:r>
          </w:p>
        </w:tc>
        <w:tc>
          <w:tcPr>
            <w:tcW w:w="1288" w:type="dxa"/>
          </w:tcPr>
          <w:p>
            <w:pPr>
              <w:pStyle w:val="TableParagraph"/>
              <w:spacing w:before="217"/>
              <w:ind w:right="478"/>
              <w:jc w:val="right"/>
              <w:rPr>
                <w:sz w:val="24"/>
              </w:rPr>
            </w:pPr>
            <w:r>
              <w:rPr>
                <w:spacing w:val="-10"/>
                <w:sz w:val="24"/>
              </w:rPr>
              <w:t>4</w:t>
            </w:r>
          </w:p>
        </w:tc>
      </w:tr>
      <w:tr>
        <w:trPr>
          <w:trHeight w:val="642" w:hRule="atLeast"/>
        </w:trPr>
        <w:tc>
          <w:tcPr>
            <w:tcW w:w="3053" w:type="dxa"/>
          </w:tcPr>
          <w:p>
            <w:pPr>
              <w:pStyle w:val="TableParagraph"/>
              <w:spacing w:line="270" w:lineRule="atLeast" w:before="71"/>
              <w:ind w:left="143" w:right="195" w:firstLine="96"/>
              <w:rPr>
                <w:sz w:val="24"/>
              </w:rPr>
            </w:pPr>
            <w:r>
              <w:rPr>
                <w:sz w:val="24"/>
              </w:rPr>
              <w:t>6.</w:t>
            </w:r>
            <w:r>
              <w:rPr>
                <w:spacing w:val="40"/>
                <w:sz w:val="24"/>
              </w:rPr>
              <w:t> </w:t>
            </w:r>
            <w:r>
              <w:rPr>
                <w:sz w:val="24"/>
              </w:rPr>
              <w:t>Истощение, головокружение,</w:t>
            </w:r>
            <w:r>
              <w:rPr>
                <w:spacing w:val="-15"/>
                <w:sz w:val="24"/>
              </w:rPr>
              <w:t> </w:t>
            </w:r>
            <w:r>
              <w:rPr>
                <w:sz w:val="24"/>
              </w:rPr>
              <w:t>слабость</w:t>
            </w:r>
          </w:p>
        </w:tc>
        <w:tc>
          <w:tcPr>
            <w:tcW w:w="1288" w:type="dxa"/>
          </w:tcPr>
          <w:p>
            <w:pPr>
              <w:pStyle w:val="TableParagraph"/>
              <w:spacing w:before="219"/>
              <w:ind w:right="282"/>
              <w:jc w:val="right"/>
              <w:rPr>
                <w:sz w:val="24"/>
              </w:rPr>
            </w:pPr>
            <w:r>
              <w:rPr>
                <w:spacing w:val="-10"/>
                <w:sz w:val="24"/>
              </w:rPr>
              <w:t>0</w:t>
            </w:r>
          </w:p>
        </w:tc>
        <w:tc>
          <w:tcPr>
            <w:tcW w:w="1288" w:type="dxa"/>
          </w:tcPr>
          <w:p>
            <w:pPr>
              <w:pStyle w:val="TableParagraph"/>
              <w:spacing w:before="219"/>
              <w:ind w:right="456"/>
              <w:jc w:val="right"/>
              <w:rPr>
                <w:sz w:val="24"/>
              </w:rPr>
            </w:pPr>
            <w:r>
              <w:rPr>
                <w:spacing w:val="-10"/>
                <w:sz w:val="24"/>
              </w:rPr>
              <w:t>1</w:t>
            </w:r>
          </w:p>
        </w:tc>
        <w:tc>
          <w:tcPr>
            <w:tcW w:w="1288" w:type="dxa"/>
          </w:tcPr>
          <w:p>
            <w:pPr>
              <w:pStyle w:val="TableParagraph"/>
              <w:spacing w:before="219"/>
              <w:ind w:right="453"/>
              <w:jc w:val="right"/>
              <w:rPr>
                <w:sz w:val="24"/>
              </w:rPr>
            </w:pPr>
            <w:r>
              <w:rPr>
                <w:spacing w:val="-10"/>
                <w:sz w:val="24"/>
              </w:rPr>
              <w:t>2</w:t>
            </w:r>
          </w:p>
        </w:tc>
        <w:tc>
          <w:tcPr>
            <w:tcW w:w="1289" w:type="dxa"/>
          </w:tcPr>
          <w:p>
            <w:pPr>
              <w:pStyle w:val="TableParagraph"/>
              <w:spacing w:before="219"/>
              <w:ind w:right="462"/>
              <w:jc w:val="right"/>
              <w:rPr>
                <w:sz w:val="24"/>
              </w:rPr>
            </w:pPr>
            <w:r>
              <w:rPr>
                <w:spacing w:val="-10"/>
                <w:sz w:val="24"/>
              </w:rPr>
              <w:t>3</w:t>
            </w:r>
          </w:p>
        </w:tc>
        <w:tc>
          <w:tcPr>
            <w:tcW w:w="1288" w:type="dxa"/>
          </w:tcPr>
          <w:p>
            <w:pPr>
              <w:pStyle w:val="TableParagraph"/>
              <w:spacing w:before="219"/>
              <w:ind w:right="478"/>
              <w:jc w:val="right"/>
              <w:rPr>
                <w:sz w:val="24"/>
              </w:rPr>
            </w:pPr>
            <w:r>
              <w:rPr>
                <w:spacing w:val="-10"/>
                <w:sz w:val="24"/>
              </w:rPr>
              <w:t>4</w:t>
            </w:r>
          </w:p>
        </w:tc>
      </w:tr>
      <w:tr>
        <w:trPr>
          <w:trHeight w:val="640" w:hRule="atLeast"/>
        </w:trPr>
        <w:tc>
          <w:tcPr>
            <w:tcW w:w="3053" w:type="dxa"/>
          </w:tcPr>
          <w:p>
            <w:pPr>
              <w:pStyle w:val="TableParagraph"/>
              <w:spacing w:line="274" w:lineRule="exact" w:before="72"/>
              <w:ind w:left="143" w:right="195" w:firstLine="96"/>
              <w:rPr>
                <w:sz w:val="24"/>
              </w:rPr>
            </w:pPr>
            <w:r>
              <w:rPr>
                <w:sz w:val="24"/>
              </w:rPr>
              <w:t>7.</w:t>
            </w:r>
            <w:r>
              <w:rPr>
                <w:spacing w:val="40"/>
                <w:sz w:val="24"/>
              </w:rPr>
              <w:t> </w:t>
            </w:r>
            <w:r>
              <w:rPr>
                <w:sz w:val="24"/>
              </w:rPr>
              <w:t>Нервозность</w:t>
            </w:r>
            <w:r>
              <w:rPr>
                <w:spacing w:val="-10"/>
                <w:sz w:val="24"/>
              </w:rPr>
              <w:t> </w:t>
            </w:r>
            <w:r>
              <w:rPr>
                <w:sz w:val="24"/>
              </w:rPr>
              <w:t>или дрожь внутри</w:t>
            </w:r>
          </w:p>
        </w:tc>
        <w:tc>
          <w:tcPr>
            <w:tcW w:w="1288" w:type="dxa"/>
          </w:tcPr>
          <w:p>
            <w:pPr>
              <w:pStyle w:val="TableParagraph"/>
              <w:spacing w:before="219"/>
              <w:ind w:right="282"/>
              <w:jc w:val="right"/>
              <w:rPr>
                <w:sz w:val="24"/>
              </w:rPr>
            </w:pPr>
            <w:r>
              <w:rPr>
                <w:spacing w:val="-10"/>
                <w:sz w:val="24"/>
              </w:rPr>
              <w:t>0</w:t>
            </w:r>
          </w:p>
        </w:tc>
        <w:tc>
          <w:tcPr>
            <w:tcW w:w="1288" w:type="dxa"/>
          </w:tcPr>
          <w:p>
            <w:pPr>
              <w:pStyle w:val="TableParagraph"/>
              <w:spacing w:before="219"/>
              <w:ind w:right="456"/>
              <w:jc w:val="right"/>
              <w:rPr>
                <w:sz w:val="24"/>
              </w:rPr>
            </w:pPr>
            <w:r>
              <w:rPr>
                <w:spacing w:val="-10"/>
                <w:sz w:val="24"/>
              </w:rPr>
              <w:t>1</w:t>
            </w:r>
          </w:p>
        </w:tc>
        <w:tc>
          <w:tcPr>
            <w:tcW w:w="1288" w:type="dxa"/>
          </w:tcPr>
          <w:p>
            <w:pPr>
              <w:pStyle w:val="TableParagraph"/>
              <w:spacing w:before="219"/>
              <w:ind w:right="453"/>
              <w:jc w:val="right"/>
              <w:rPr>
                <w:sz w:val="24"/>
              </w:rPr>
            </w:pPr>
            <w:r>
              <w:rPr>
                <w:spacing w:val="-10"/>
                <w:sz w:val="24"/>
              </w:rPr>
              <w:t>2</w:t>
            </w:r>
          </w:p>
        </w:tc>
        <w:tc>
          <w:tcPr>
            <w:tcW w:w="1289" w:type="dxa"/>
          </w:tcPr>
          <w:p>
            <w:pPr>
              <w:pStyle w:val="TableParagraph"/>
              <w:spacing w:before="219"/>
              <w:ind w:right="462"/>
              <w:jc w:val="right"/>
              <w:rPr>
                <w:sz w:val="24"/>
              </w:rPr>
            </w:pPr>
            <w:r>
              <w:rPr>
                <w:spacing w:val="-10"/>
                <w:sz w:val="24"/>
              </w:rPr>
              <w:t>3</w:t>
            </w:r>
          </w:p>
        </w:tc>
        <w:tc>
          <w:tcPr>
            <w:tcW w:w="1288" w:type="dxa"/>
          </w:tcPr>
          <w:p>
            <w:pPr>
              <w:pStyle w:val="TableParagraph"/>
              <w:spacing w:before="219"/>
              <w:ind w:right="478"/>
              <w:jc w:val="right"/>
              <w:rPr>
                <w:sz w:val="24"/>
              </w:rPr>
            </w:pPr>
            <w:r>
              <w:rPr>
                <w:spacing w:val="-10"/>
                <w:sz w:val="24"/>
              </w:rPr>
              <w:t>4</w:t>
            </w:r>
          </w:p>
        </w:tc>
      </w:tr>
      <w:tr>
        <w:trPr>
          <w:trHeight w:val="1195" w:hRule="atLeast"/>
        </w:trPr>
        <w:tc>
          <w:tcPr>
            <w:tcW w:w="3053" w:type="dxa"/>
          </w:tcPr>
          <w:p>
            <w:pPr>
              <w:pStyle w:val="TableParagraph"/>
              <w:tabs>
                <w:tab w:pos="815" w:val="left" w:leader="none"/>
              </w:tabs>
              <w:spacing w:before="85"/>
              <w:ind w:left="143" w:right="155" w:firstLine="96"/>
              <w:rPr>
                <w:sz w:val="24"/>
              </w:rPr>
            </w:pPr>
            <w:r>
              <w:rPr>
                <w:spacing w:val="-6"/>
                <w:sz w:val="24"/>
              </w:rPr>
              <w:t>8.</w:t>
            </w:r>
            <w:r>
              <w:rPr>
                <w:sz w:val="24"/>
              </w:rPr>
              <w:tab/>
            </w:r>
            <w:r>
              <w:rPr>
                <w:spacing w:val="-2"/>
                <w:sz w:val="24"/>
              </w:rPr>
              <w:t>Чувство беспокойства, </w:t>
            </w:r>
            <w:r>
              <w:rPr>
                <w:sz w:val="24"/>
              </w:rPr>
              <w:t>невозможности</w:t>
            </w:r>
            <w:r>
              <w:rPr>
                <w:spacing w:val="-15"/>
                <w:sz w:val="24"/>
              </w:rPr>
              <w:t> </w:t>
            </w:r>
            <w:r>
              <w:rPr>
                <w:sz w:val="24"/>
              </w:rPr>
              <w:t>усидеть</w:t>
            </w:r>
            <w:r>
              <w:rPr>
                <w:spacing w:val="-15"/>
                <w:sz w:val="24"/>
              </w:rPr>
              <w:t> </w:t>
            </w:r>
            <w:r>
              <w:rPr>
                <w:sz w:val="24"/>
              </w:rPr>
              <w:t>на</w:t>
            </w:r>
          </w:p>
          <w:p>
            <w:pPr>
              <w:pStyle w:val="TableParagraph"/>
              <w:spacing w:line="262" w:lineRule="exact"/>
              <w:ind w:left="143"/>
              <w:rPr>
                <w:sz w:val="24"/>
              </w:rPr>
            </w:pPr>
            <w:r>
              <w:rPr>
                <w:spacing w:val="-4"/>
                <w:sz w:val="24"/>
              </w:rPr>
              <w:t>месте</w:t>
            </w:r>
          </w:p>
        </w:tc>
        <w:tc>
          <w:tcPr>
            <w:tcW w:w="1288" w:type="dxa"/>
          </w:tcPr>
          <w:p>
            <w:pPr>
              <w:pStyle w:val="TableParagraph"/>
              <w:spacing w:before="220"/>
              <w:rPr>
                <w:i/>
                <w:sz w:val="24"/>
              </w:rPr>
            </w:pPr>
          </w:p>
          <w:p>
            <w:pPr>
              <w:pStyle w:val="TableParagraph"/>
              <w:ind w:right="282"/>
              <w:jc w:val="right"/>
              <w:rPr>
                <w:sz w:val="24"/>
              </w:rPr>
            </w:pPr>
            <w:r>
              <w:rPr>
                <w:spacing w:val="-10"/>
                <w:sz w:val="24"/>
              </w:rPr>
              <w:t>0</w:t>
            </w:r>
          </w:p>
        </w:tc>
        <w:tc>
          <w:tcPr>
            <w:tcW w:w="1288" w:type="dxa"/>
          </w:tcPr>
          <w:p>
            <w:pPr>
              <w:pStyle w:val="TableParagraph"/>
              <w:spacing w:before="220"/>
              <w:rPr>
                <w:i/>
                <w:sz w:val="24"/>
              </w:rPr>
            </w:pPr>
          </w:p>
          <w:p>
            <w:pPr>
              <w:pStyle w:val="TableParagraph"/>
              <w:ind w:right="456"/>
              <w:jc w:val="right"/>
              <w:rPr>
                <w:sz w:val="24"/>
              </w:rPr>
            </w:pPr>
            <w:r>
              <w:rPr>
                <w:spacing w:val="-10"/>
                <w:sz w:val="24"/>
              </w:rPr>
              <w:t>1</w:t>
            </w:r>
          </w:p>
        </w:tc>
        <w:tc>
          <w:tcPr>
            <w:tcW w:w="1288" w:type="dxa"/>
          </w:tcPr>
          <w:p>
            <w:pPr>
              <w:pStyle w:val="TableParagraph"/>
              <w:spacing w:before="220"/>
              <w:rPr>
                <w:i/>
                <w:sz w:val="24"/>
              </w:rPr>
            </w:pPr>
          </w:p>
          <w:p>
            <w:pPr>
              <w:pStyle w:val="TableParagraph"/>
              <w:ind w:right="453"/>
              <w:jc w:val="right"/>
              <w:rPr>
                <w:sz w:val="24"/>
              </w:rPr>
            </w:pPr>
            <w:r>
              <w:rPr>
                <w:spacing w:val="-10"/>
                <w:sz w:val="24"/>
              </w:rPr>
              <w:t>2</w:t>
            </w:r>
          </w:p>
        </w:tc>
        <w:tc>
          <w:tcPr>
            <w:tcW w:w="1289" w:type="dxa"/>
          </w:tcPr>
          <w:p>
            <w:pPr>
              <w:pStyle w:val="TableParagraph"/>
              <w:spacing w:before="220"/>
              <w:rPr>
                <w:i/>
                <w:sz w:val="24"/>
              </w:rPr>
            </w:pPr>
          </w:p>
          <w:p>
            <w:pPr>
              <w:pStyle w:val="TableParagraph"/>
              <w:ind w:right="462"/>
              <w:jc w:val="right"/>
              <w:rPr>
                <w:sz w:val="24"/>
              </w:rPr>
            </w:pPr>
            <w:r>
              <w:rPr>
                <w:spacing w:val="-10"/>
                <w:sz w:val="24"/>
              </w:rPr>
              <w:t>3</w:t>
            </w:r>
          </w:p>
        </w:tc>
        <w:tc>
          <w:tcPr>
            <w:tcW w:w="1288" w:type="dxa"/>
          </w:tcPr>
          <w:p>
            <w:pPr>
              <w:pStyle w:val="TableParagraph"/>
              <w:spacing w:before="220"/>
              <w:rPr>
                <w:i/>
                <w:sz w:val="24"/>
              </w:rPr>
            </w:pPr>
          </w:p>
          <w:p>
            <w:pPr>
              <w:pStyle w:val="TableParagraph"/>
              <w:ind w:right="478"/>
              <w:jc w:val="right"/>
              <w:rPr>
                <w:sz w:val="24"/>
              </w:rPr>
            </w:pPr>
            <w:r>
              <w:rPr>
                <w:spacing w:val="-10"/>
                <w:sz w:val="24"/>
              </w:rPr>
              <w:t>4</w:t>
            </w:r>
          </w:p>
        </w:tc>
      </w:tr>
      <w:tr>
        <w:trPr>
          <w:trHeight w:val="585" w:hRule="atLeast"/>
        </w:trPr>
        <w:tc>
          <w:tcPr>
            <w:tcW w:w="3053" w:type="dxa"/>
          </w:tcPr>
          <w:p>
            <w:pPr>
              <w:pStyle w:val="TableParagraph"/>
              <w:tabs>
                <w:tab w:pos="815" w:val="left" w:leader="none"/>
              </w:tabs>
              <w:spacing w:before="83"/>
              <w:ind w:left="239"/>
              <w:rPr>
                <w:sz w:val="24"/>
              </w:rPr>
            </w:pPr>
            <w:r>
              <w:rPr>
                <w:spacing w:val="-5"/>
                <w:sz w:val="24"/>
              </w:rPr>
              <w:t>9.</w:t>
            </w:r>
            <w:r>
              <w:rPr>
                <w:sz w:val="24"/>
              </w:rPr>
              <w:tab/>
            </w:r>
            <w:r>
              <w:rPr>
                <w:spacing w:val="-2"/>
                <w:sz w:val="24"/>
              </w:rPr>
              <w:t>Плаксивость</w:t>
            </w:r>
          </w:p>
        </w:tc>
        <w:tc>
          <w:tcPr>
            <w:tcW w:w="1288" w:type="dxa"/>
          </w:tcPr>
          <w:p>
            <w:pPr>
              <w:pStyle w:val="TableParagraph"/>
              <w:spacing w:before="191"/>
              <w:ind w:right="282"/>
              <w:jc w:val="right"/>
              <w:rPr>
                <w:sz w:val="24"/>
              </w:rPr>
            </w:pPr>
            <w:r>
              <w:rPr>
                <w:spacing w:val="-10"/>
                <w:sz w:val="24"/>
              </w:rPr>
              <w:t>0</w:t>
            </w:r>
          </w:p>
        </w:tc>
        <w:tc>
          <w:tcPr>
            <w:tcW w:w="1288" w:type="dxa"/>
          </w:tcPr>
          <w:p>
            <w:pPr>
              <w:pStyle w:val="TableParagraph"/>
              <w:spacing w:before="191"/>
              <w:ind w:right="456"/>
              <w:jc w:val="right"/>
              <w:rPr>
                <w:sz w:val="24"/>
              </w:rPr>
            </w:pPr>
            <w:r>
              <w:rPr>
                <w:spacing w:val="-10"/>
                <w:sz w:val="24"/>
              </w:rPr>
              <w:t>1</w:t>
            </w:r>
          </w:p>
        </w:tc>
        <w:tc>
          <w:tcPr>
            <w:tcW w:w="1288" w:type="dxa"/>
          </w:tcPr>
          <w:p>
            <w:pPr>
              <w:pStyle w:val="TableParagraph"/>
              <w:spacing w:before="191"/>
              <w:ind w:right="453"/>
              <w:jc w:val="right"/>
              <w:rPr>
                <w:sz w:val="24"/>
              </w:rPr>
            </w:pPr>
            <w:r>
              <w:rPr>
                <w:spacing w:val="-10"/>
                <w:sz w:val="24"/>
              </w:rPr>
              <w:t>2</w:t>
            </w:r>
          </w:p>
        </w:tc>
        <w:tc>
          <w:tcPr>
            <w:tcW w:w="1289" w:type="dxa"/>
          </w:tcPr>
          <w:p>
            <w:pPr>
              <w:pStyle w:val="TableParagraph"/>
              <w:spacing w:before="191"/>
              <w:ind w:right="462"/>
              <w:jc w:val="right"/>
              <w:rPr>
                <w:sz w:val="24"/>
              </w:rPr>
            </w:pPr>
            <w:r>
              <w:rPr>
                <w:spacing w:val="-10"/>
                <w:sz w:val="24"/>
              </w:rPr>
              <w:t>3</w:t>
            </w:r>
          </w:p>
        </w:tc>
        <w:tc>
          <w:tcPr>
            <w:tcW w:w="1288" w:type="dxa"/>
          </w:tcPr>
          <w:p>
            <w:pPr>
              <w:pStyle w:val="TableParagraph"/>
              <w:spacing w:before="191"/>
              <w:ind w:right="478"/>
              <w:jc w:val="right"/>
              <w:rPr>
                <w:sz w:val="24"/>
              </w:rPr>
            </w:pPr>
            <w:r>
              <w:rPr>
                <w:spacing w:val="-10"/>
                <w:sz w:val="24"/>
              </w:rPr>
              <w:t>4</w:t>
            </w:r>
          </w:p>
        </w:tc>
      </w:tr>
    </w:tbl>
    <w:p>
      <w:pPr>
        <w:pStyle w:val="BodyText"/>
        <w:ind w:left="0" w:right="0" w:firstLine="0"/>
        <w:jc w:val="left"/>
        <w:rPr>
          <w:i/>
          <w:sz w:val="24"/>
        </w:rPr>
      </w:pPr>
    </w:p>
    <w:p>
      <w:pPr>
        <w:pStyle w:val="BodyText"/>
        <w:spacing w:before="199"/>
        <w:ind w:left="0" w:right="0" w:firstLine="0"/>
        <w:jc w:val="left"/>
        <w:rPr>
          <w:i/>
          <w:sz w:val="24"/>
        </w:rPr>
      </w:pPr>
    </w:p>
    <w:p>
      <w:pPr>
        <w:spacing w:line="240" w:lineRule="auto" w:before="0"/>
        <w:ind w:left="285" w:right="568" w:firstLine="566"/>
        <w:jc w:val="both"/>
        <w:rPr>
          <w:i/>
          <w:sz w:val="24"/>
        </w:rPr>
      </w:pPr>
      <w:r>
        <w:rPr>
          <w:i/>
          <w:sz w:val="24"/>
        </w:rPr>
        <w:t>Приведенные ниже симптомы могут быть связаны с неприятными событиями, которые Вы могли переживать в процессе или после переезда в Россию. Насколько часто за последний месяц у Вас случалось следующее:</w:t>
      </w:r>
    </w:p>
    <w:p>
      <w:pPr>
        <w:spacing w:after="0" w:line="240" w:lineRule="auto"/>
        <w:jc w:val="both"/>
        <w:rPr>
          <w:i/>
          <w:sz w:val="24"/>
        </w:rPr>
        <w:sectPr>
          <w:pgSz w:w="11910" w:h="16840"/>
          <w:pgMar w:header="0" w:footer="970" w:top="1040" w:bottom="1220" w:left="1417" w:right="283"/>
        </w:sectPr>
      </w:pPr>
    </w:p>
    <w:tbl>
      <w:tblPr>
        <w:tblW w:w="0" w:type="auto"/>
        <w:jc w:val="left"/>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1"/>
        <w:gridCol w:w="1219"/>
        <w:gridCol w:w="1219"/>
        <w:gridCol w:w="1219"/>
        <w:gridCol w:w="1220"/>
        <w:gridCol w:w="1219"/>
      </w:tblGrid>
      <w:tr>
        <w:trPr>
          <w:trHeight w:val="1243" w:hRule="atLeast"/>
        </w:trPr>
        <w:tc>
          <w:tcPr>
            <w:tcW w:w="3401" w:type="dxa"/>
            <w:vMerge w:val="restart"/>
          </w:tcPr>
          <w:p>
            <w:pPr>
              <w:pStyle w:val="TableParagraph"/>
              <w:rPr>
                <w:i/>
                <w:sz w:val="24"/>
              </w:rPr>
            </w:pPr>
          </w:p>
          <w:p>
            <w:pPr>
              <w:pStyle w:val="TableParagraph"/>
              <w:rPr>
                <w:i/>
                <w:sz w:val="24"/>
              </w:rPr>
            </w:pPr>
          </w:p>
          <w:p>
            <w:pPr>
              <w:pStyle w:val="TableParagraph"/>
              <w:rPr>
                <w:i/>
                <w:sz w:val="24"/>
              </w:rPr>
            </w:pPr>
          </w:p>
          <w:p>
            <w:pPr>
              <w:pStyle w:val="TableParagraph"/>
              <w:spacing w:before="249"/>
              <w:rPr>
                <w:i/>
                <w:sz w:val="24"/>
              </w:rPr>
            </w:pPr>
          </w:p>
          <w:p>
            <w:pPr>
              <w:pStyle w:val="TableParagraph"/>
              <w:ind w:left="909"/>
              <w:rPr>
                <w:b/>
                <w:sz w:val="24"/>
              </w:rPr>
            </w:pPr>
            <w:r>
              <w:rPr>
                <w:b/>
                <w:spacing w:val="-2"/>
                <w:sz w:val="24"/>
              </w:rPr>
              <w:t>СИМПТОМЫ</w:t>
            </w:r>
          </w:p>
        </w:tc>
        <w:tc>
          <w:tcPr>
            <w:tcW w:w="1219" w:type="dxa"/>
          </w:tcPr>
          <w:p>
            <w:pPr>
              <w:pStyle w:val="TableParagraph"/>
              <w:spacing w:before="68"/>
              <w:ind w:left="115" w:right="104" w:firstLine="1"/>
              <w:jc w:val="center"/>
              <w:rPr>
                <w:b/>
                <w:sz w:val="24"/>
              </w:rPr>
            </w:pPr>
            <w:r>
              <w:rPr>
                <w:b/>
                <w:spacing w:val="-2"/>
                <w:sz w:val="24"/>
              </w:rPr>
              <w:t>Совсем </w:t>
            </w:r>
            <w:r>
              <w:rPr>
                <w:b/>
                <w:spacing w:val="-6"/>
                <w:sz w:val="24"/>
              </w:rPr>
              <w:t>не </w:t>
            </w:r>
            <w:r>
              <w:rPr>
                <w:b/>
                <w:spacing w:val="-2"/>
                <w:sz w:val="24"/>
              </w:rPr>
              <w:t>беспокои </w:t>
            </w:r>
            <w:r>
              <w:rPr>
                <w:b/>
                <w:spacing w:val="-10"/>
                <w:sz w:val="24"/>
              </w:rPr>
              <w:t>л</w:t>
            </w:r>
          </w:p>
        </w:tc>
        <w:tc>
          <w:tcPr>
            <w:tcW w:w="1219" w:type="dxa"/>
          </w:tcPr>
          <w:p>
            <w:pPr>
              <w:pStyle w:val="TableParagraph"/>
              <w:spacing w:before="207"/>
              <w:ind w:left="115" w:right="103" w:hanging="2"/>
              <w:jc w:val="center"/>
              <w:rPr>
                <w:b/>
                <w:sz w:val="24"/>
              </w:rPr>
            </w:pPr>
            <w:r>
              <w:rPr>
                <w:b/>
                <w:spacing w:val="-2"/>
                <w:sz w:val="24"/>
              </w:rPr>
              <w:t>Немного беспокои </w:t>
            </w:r>
            <w:r>
              <w:rPr>
                <w:b/>
                <w:spacing w:val="-10"/>
                <w:sz w:val="24"/>
              </w:rPr>
              <w:t>л</w:t>
            </w:r>
          </w:p>
        </w:tc>
        <w:tc>
          <w:tcPr>
            <w:tcW w:w="1219" w:type="dxa"/>
          </w:tcPr>
          <w:p>
            <w:pPr>
              <w:pStyle w:val="TableParagraph"/>
              <w:spacing w:before="207"/>
              <w:ind w:left="116" w:right="103" w:hanging="1"/>
              <w:jc w:val="center"/>
              <w:rPr>
                <w:b/>
                <w:sz w:val="24"/>
              </w:rPr>
            </w:pPr>
            <w:r>
              <w:rPr>
                <w:b/>
                <w:spacing w:val="-2"/>
                <w:sz w:val="24"/>
              </w:rPr>
              <w:t>Средне беспокои </w:t>
            </w:r>
            <w:r>
              <w:rPr>
                <w:b/>
                <w:spacing w:val="-10"/>
                <w:sz w:val="24"/>
              </w:rPr>
              <w:t>л</w:t>
            </w:r>
          </w:p>
        </w:tc>
        <w:tc>
          <w:tcPr>
            <w:tcW w:w="1220" w:type="dxa"/>
          </w:tcPr>
          <w:p>
            <w:pPr>
              <w:pStyle w:val="TableParagraph"/>
              <w:spacing w:before="68"/>
              <w:ind w:left="116" w:right="103" w:hanging="1"/>
              <w:jc w:val="center"/>
              <w:rPr>
                <w:b/>
                <w:sz w:val="24"/>
              </w:rPr>
            </w:pPr>
            <w:r>
              <w:rPr>
                <w:b/>
                <w:spacing w:val="-2"/>
                <w:sz w:val="24"/>
              </w:rPr>
              <w:t>Довольн </w:t>
            </w:r>
            <w:r>
              <w:rPr>
                <w:b/>
                <w:sz w:val="24"/>
              </w:rPr>
              <w:t>о сильно </w:t>
            </w:r>
            <w:r>
              <w:rPr>
                <w:b/>
                <w:spacing w:val="-2"/>
                <w:sz w:val="24"/>
              </w:rPr>
              <w:t>беспокои </w:t>
            </w:r>
            <w:r>
              <w:rPr>
                <w:b/>
                <w:spacing w:val="-10"/>
                <w:sz w:val="24"/>
              </w:rPr>
              <w:t>л</w:t>
            </w:r>
          </w:p>
        </w:tc>
        <w:tc>
          <w:tcPr>
            <w:tcW w:w="1219" w:type="dxa"/>
          </w:tcPr>
          <w:p>
            <w:pPr>
              <w:pStyle w:val="TableParagraph"/>
              <w:spacing w:before="68"/>
              <w:ind w:left="116" w:right="103" w:hanging="2"/>
              <w:jc w:val="center"/>
              <w:rPr>
                <w:b/>
                <w:sz w:val="24"/>
              </w:rPr>
            </w:pPr>
            <w:r>
              <w:rPr>
                <w:b/>
                <w:spacing w:val="-2"/>
                <w:sz w:val="24"/>
              </w:rPr>
              <w:t>Очень сильно беспокои </w:t>
            </w:r>
            <w:r>
              <w:rPr>
                <w:b/>
                <w:spacing w:val="-10"/>
                <w:sz w:val="24"/>
              </w:rPr>
              <w:t>л</w:t>
            </w:r>
          </w:p>
        </w:tc>
      </w:tr>
      <w:tr>
        <w:trPr>
          <w:trHeight w:val="1528" w:hRule="atLeast"/>
        </w:trPr>
        <w:tc>
          <w:tcPr>
            <w:tcW w:w="3401" w:type="dxa"/>
            <w:vMerge/>
            <w:tcBorders>
              <w:top w:val="nil"/>
            </w:tcBorders>
          </w:tcPr>
          <w:p>
            <w:pPr>
              <w:rPr>
                <w:sz w:val="2"/>
                <w:szCs w:val="2"/>
              </w:rPr>
            </w:pPr>
          </w:p>
        </w:tc>
        <w:tc>
          <w:tcPr>
            <w:tcW w:w="6096" w:type="dxa"/>
            <w:gridSpan w:val="5"/>
          </w:tcPr>
          <w:p>
            <w:pPr>
              <w:pStyle w:val="TableParagraph"/>
              <w:rPr>
                <w:i/>
                <w:sz w:val="15"/>
              </w:rPr>
            </w:pPr>
          </w:p>
          <w:p>
            <w:pPr>
              <w:pStyle w:val="TableParagraph"/>
              <w:ind w:left="49" w:right="-15"/>
              <w:rPr>
                <w:sz w:val="20"/>
              </w:rPr>
            </w:pPr>
            <w:r>
              <w:rPr>
                <w:sz w:val="20"/>
              </w:rPr>
              <w:drawing>
                <wp:inline distT="0" distB="0" distL="0" distR="0">
                  <wp:extent cx="3813862" cy="681227"/>
                  <wp:effectExtent l="0" t="0" r="0" b="0"/>
                  <wp:docPr id="30" name="Image 30"/>
                  <wp:cNvGraphicFramePr>
                    <a:graphicFrameLocks/>
                  </wp:cNvGraphicFramePr>
                  <a:graphic>
                    <a:graphicData uri="http://schemas.openxmlformats.org/drawingml/2006/picture">
                      <pic:pic>
                        <pic:nvPicPr>
                          <pic:cNvPr id="30" name="Image 30"/>
                          <pic:cNvPicPr/>
                        </pic:nvPicPr>
                        <pic:blipFill>
                          <a:blip r:embed="rId45" cstate="print"/>
                          <a:stretch>
                            <a:fillRect/>
                          </a:stretch>
                        </pic:blipFill>
                        <pic:spPr>
                          <a:xfrm>
                            <a:off x="0" y="0"/>
                            <a:ext cx="3813862" cy="681227"/>
                          </a:xfrm>
                          <a:prstGeom prst="rect">
                            <a:avLst/>
                          </a:prstGeom>
                        </pic:spPr>
                      </pic:pic>
                    </a:graphicData>
                  </a:graphic>
                </wp:inline>
              </w:drawing>
            </w:r>
            <w:r>
              <w:rPr>
                <w:sz w:val="20"/>
              </w:rPr>
            </w:r>
          </w:p>
        </w:tc>
      </w:tr>
      <w:tr>
        <w:trPr>
          <w:trHeight w:val="1471" w:hRule="atLeast"/>
        </w:trPr>
        <w:tc>
          <w:tcPr>
            <w:tcW w:w="3401" w:type="dxa"/>
          </w:tcPr>
          <w:p>
            <w:pPr>
              <w:pStyle w:val="TableParagraph"/>
              <w:spacing w:before="85"/>
              <w:ind w:left="143" w:right="83" w:firstLine="96"/>
              <w:rPr>
                <w:sz w:val="24"/>
              </w:rPr>
            </w:pPr>
            <w:r>
              <w:rPr>
                <w:sz w:val="24"/>
              </w:rPr>
              <w:t>10. Повторное</w:t>
            </w:r>
            <w:r>
              <w:rPr>
                <w:spacing w:val="-15"/>
                <w:sz w:val="24"/>
              </w:rPr>
              <w:t> </w:t>
            </w:r>
            <w:r>
              <w:rPr>
                <w:sz w:val="24"/>
              </w:rPr>
              <w:t>переживание неприятной ситуации: вы действовали и чувствовали, как если бы это случилось</w:t>
            </w:r>
          </w:p>
          <w:p>
            <w:pPr>
              <w:pStyle w:val="TableParagraph"/>
              <w:spacing w:line="262" w:lineRule="exact"/>
              <w:ind w:left="143"/>
              <w:rPr>
                <w:sz w:val="24"/>
              </w:rPr>
            </w:pPr>
            <w:r>
              <w:rPr>
                <w:spacing w:val="-2"/>
                <w:sz w:val="24"/>
              </w:rPr>
              <w:t>опять</w:t>
            </w:r>
          </w:p>
        </w:tc>
        <w:tc>
          <w:tcPr>
            <w:tcW w:w="1219" w:type="dxa"/>
          </w:tcPr>
          <w:p>
            <w:pPr>
              <w:pStyle w:val="TableParagraph"/>
              <w:rPr>
                <w:i/>
                <w:sz w:val="24"/>
              </w:rPr>
            </w:pPr>
          </w:p>
          <w:p>
            <w:pPr>
              <w:pStyle w:val="TableParagraph"/>
              <w:spacing w:before="81"/>
              <w:rPr>
                <w:i/>
                <w:sz w:val="24"/>
              </w:rPr>
            </w:pPr>
          </w:p>
          <w:p>
            <w:pPr>
              <w:pStyle w:val="TableParagraph"/>
              <w:ind w:right="249"/>
              <w:jc w:val="right"/>
              <w:rPr>
                <w:sz w:val="24"/>
              </w:rPr>
            </w:pPr>
            <w:r>
              <w:rPr>
                <w:spacing w:val="-10"/>
                <w:sz w:val="24"/>
              </w:rPr>
              <w:t>0</w:t>
            </w:r>
          </w:p>
        </w:tc>
        <w:tc>
          <w:tcPr>
            <w:tcW w:w="1219" w:type="dxa"/>
          </w:tcPr>
          <w:p>
            <w:pPr>
              <w:pStyle w:val="TableParagraph"/>
              <w:rPr>
                <w:i/>
                <w:sz w:val="24"/>
              </w:rPr>
            </w:pPr>
          </w:p>
          <w:p>
            <w:pPr>
              <w:pStyle w:val="TableParagraph"/>
              <w:spacing w:before="81"/>
              <w:rPr>
                <w:i/>
                <w:sz w:val="24"/>
              </w:rPr>
            </w:pPr>
          </w:p>
          <w:p>
            <w:pPr>
              <w:pStyle w:val="TableParagraph"/>
              <w:ind w:right="411"/>
              <w:jc w:val="right"/>
              <w:rPr>
                <w:sz w:val="24"/>
              </w:rPr>
            </w:pPr>
            <w:r>
              <w:rPr>
                <w:spacing w:val="-10"/>
                <w:sz w:val="24"/>
              </w:rPr>
              <w:t>1</w:t>
            </w:r>
          </w:p>
        </w:tc>
        <w:tc>
          <w:tcPr>
            <w:tcW w:w="1219" w:type="dxa"/>
          </w:tcPr>
          <w:p>
            <w:pPr>
              <w:pStyle w:val="TableParagraph"/>
              <w:rPr>
                <w:i/>
                <w:sz w:val="24"/>
              </w:rPr>
            </w:pPr>
          </w:p>
          <w:p>
            <w:pPr>
              <w:pStyle w:val="TableParagraph"/>
              <w:spacing w:before="81"/>
              <w:rPr>
                <w:i/>
                <w:sz w:val="24"/>
              </w:rPr>
            </w:pPr>
          </w:p>
          <w:p>
            <w:pPr>
              <w:pStyle w:val="TableParagraph"/>
              <w:ind w:right="411"/>
              <w:jc w:val="right"/>
              <w:rPr>
                <w:sz w:val="24"/>
              </w:rPr>
            </w:pPr>
            <w:r>
              <w:rPr>
                <w:spacing w:val="-10"/>
                <w:sz w:val="24"/>
              </w:rPr>
              <w:t>2</w:t>
            </w:r>
          </w:p>
        </w:tc>
        <w:tc>
          <w:tcPr>
            <w:tcW w:w="1220" w:type="dxa"/>
          </w:tcPr>
          <w:p>
            <w:pPr>
              <w:pStyle w:val="TableParagraph"/>
              <w:rPr>
                <w:i/>
                <w:sz w:val="24"/>
              </w:rPr>
            </w:pPr>
          </w:p>
          <w:p>
            <w:pPr>
              <w:pStyle w:val="TableParagraph"/>
              <w:spacing w:before="81"/>
              <w:rPr>
                <w:i/>
                <w:sz w:val="24"/>
              </w:rPr>
            </w:pPr>
          </w:p>
          <w:p>
            <w:pPr>
              <w:pStyle w:val="TableParagraph"/>
              <w:ind w:right="411"/>
              <w:jc w:val="right"/>
              <w:rPr>
                <w:sz w:val="24"/>
              </w:rPr>
            </w:pPr>
            <w:r>
              <w:rPr>
                <w:spacing w:val="-10"/>
                <w:sz w:val="24"/>
              </w:rPr>
              <w:t>3</w:t>
            </w:r>
          </w:p>
        </w:tc>
        <w:tc>
          <w:tcPr>
            <w:tcW w:w="1219" w:type="dxa"/>
          </w:tcPr>
          <w:p>
            <w:pPr>
              <w:pStyle w:val="TableParagraph"/>
              <w:rPr>
                <w:i/>
                <w:sz w:val="24"/>
              </w:rPr>
            </w:pPr>
          </w:p>
          <w:p>
            <w:pPr>
              <w:pStyle w:val="TableParagraph"/>
              <w:spacing w:before="81"/>
              <w:rPr>
                <w:i/>
                <w:sz w:val="24"/>
              </w:rPr>
            </w:pPr>
          </w:p>
          <w:p>
            <w:pPr>
              <w:pStyle w:val="TableParagraph"/>
              <w:ind w:right="411"/>
              <w:jc w:val="right"/>
              <w:rPr>
                <w:sz w:val="24"/>
              </w:rPr>
            </w:pPr>
            <w:r>
              <w:rPr>
                <w:spacing w:val="-10"/>
                <w:sz w:val="24"/>
              </w:rPr>
              <w:t>4</w:t>
            </w:r>
          </w:p>
        </w:tc>
      </w:tr>
      <w:tr>
        <w:trPr>
          <w:trHeight w:val="1744" w:hRule="atLeast"/>
        </w:trPr>
        <w:tc>
          <w:tcPr>
            <w:tcW w:w="3401" w:type="dxa"/>
          </w:tcPr>
          <w:p>
            <w:pPr>
              <w:pStyle w:val="TableParagraph"/>
              <w:spacing w:before="83"/>
              <w:ind w:left="143" w:right="477" w:firstLine="96"/>
              <w:rPr>
                <w:sz w:val="24"/>
              </w:rPr>
            </w:pPr>
            <w:r>
              <w:rPr>
                <w:sz w:val="24"/>
              </w:rPr>
              <w:t>11.</w:t>
            </w:r>
            <w:r>
              <w:rPr>
                <w:spacing w:val="-26"/>
                <w:sz w:val="24"/>
              </w:rPr>
              <w:t> </w:t>
            </w:r>
            <w:r>
              <w:rPr>
                <w:sz w:val="24"/>
              </w:rPr>
              <w:t>Физические реакции (например, вы потели, чувствовали учащенное сердцебиение), когда вам что-то</w:t>
            </w:r>
            <w:r>
              <w:rPr>
                <w:spacing w:val="-13"/>
                <w:sz w:val="24"/>
              </w:rPr>
              <w:t> </w:t>
            </w:r>
            <w:r>
              <w:rPr>
                <w:sz w:val="24"/>
              </w:rPr>
              <w:t>напоминало</w:t>
            </w:r>
            <w:r>
              <w:rPr>
                <w:spacing w:val="-13"/>
                <w:sz w:val="24"/>
              </w:rPr>
              <w:t> </w:t>
            </w:r>
            <w:r>
              <w:rPr>
                <w:sz w:val="24"/>
              </w:rPr>
              <w:t>об</w:t>
            </w:r>
            <w:r>
              <w:rPr>
                <w:spacing w:val="-13"/>
                <w:sz w:val="24"/>
              </w:rPr>
              <w:t> </w:t>
            </w:r>
            <w:r>
              <w:rPr>
                <w:sz w:val="24"/>
              </w:rPr>
              <w:t>этих</w:t>
            </w:r>
          </w:p>
          <w:p>
            <w:pPr>
              <w:pStyle w:val="TableParagraph"/>
              <w:spacing w:line="262" w:lineRule="exact"/>
              <w:ind w:left="143"/>
              <w:rPr>
                <w:sz w:val="24"/>
              </w:rPr>
            </w:pPr>
            <w:r>
              <w:rPr>
                <w:spacing w:val="-2"/>
                <w:sz w:val="24"/>
              </w:rPr>
              <w:t>событиях</w:t>
            </w:r>
          </w:p>
        </w:tc>
        <w:tc>
          <w:tcPr>
            <w:tcW w:w="1219" w:type="dxa"/>
          </w:tcPr>
          <w:p>
            <w:pPr>
              <w:pStyle w:val="TableParagraph"/>
              <w:rPr>
                <w:i/>
                <w:sz w:val="24"/>
              </w:rPr>
            </w:pPr>
          </w:p>
          <w:p>
            <w:pPr>
              <w:pStyle w:val="TableParagraph"/>
              <w:spacing w:before="217"/>
              <w:rPr>
                <w:i/>
                <w:sz w:val="24"/>
              </w:rPr>
            </w:pPr>
          </w:p>
          <w:p>
            <w:pPr>
              <w:pStyle w:val="TableParagraph"/>
              <w:ind w:right="249"/>
              <w:jc w:val="right"/>
              <w:rPr>
                <w:sz w:val="24"/>
              </w:rPr>
            </w:pPr>
            <w:r>
              <w:rPr>
                <w:spacing w:val="-10"/>
                <w:sz w:val="24"/>
              </w:rPr>
              <w:t>0</w:t>
            </w:r>
          </w:p>
        </w:tc>
        <w:tc>
          <w:tcPr>
            <w:tcW w:w="1219" w:type="dxa"/>
          </w:tcPr>
          <w:p>
            <w:pPr>
              <w:pStyle w:val="TableParagraph"/>
              <w:rPr>
                <w:i/>
                <w:sz w:val="24"/>
              </w:rPr>
            </w:pPr>
          </w:p>
          <w:p>
            <w:pPr>
              <w:pStyle w:val="TableParagraph"/>
              <w:spacing w:before="217"/>
              <w:rPr>
                <w:i/>
                <w:sz w:val="24"/>
              </w:rPr>
            </w:pPr>
          </w:p>
          <w:p>
            <w:pPr>
              <w:pStyle w:val="TableParagraph"/>
              <w:ind w:right="411"/>
              <w:jc w:val="right"/>
              <w:rPr>
                <w:sz w:val="24"/>
              </w:rPr>
            </w:pPr>
            <w:r>
              <w:rPr>
                <w:spacing w:val="-10"/>
                <w:sz w:val="24"/>
              </w:rPr>
              <w:t>1</w:t>
            </w:r>
          </w:p>
        </w:tc>
        <w:tc>
          <w:tcPr>
            <w:tcW w:w="1219" w:type="dxa"/>
          </w:tcPr>
          <w:p>
            <w:pPr>
              <w:pStyle w:val="TableParagraph"/>
              <w:rPr>
                <w:i/>
                <w:sz w:val="24"/>
              </w:rPr>
            </w:pPr>
          </w:p>
          <w:p>
            <w:pPr>
              <w:pStyle w:val="TableParagraph"/>
              <w:spacing w:before="217"/>
              <w:rPr>
                <w:i/>
                <w:sz w:val="24"/>
              </w:rPr>
            </w:pPr>
          </w:p>
          <w:p>
            <w:pPr>
              <w:pStyle w:val="TableParagraph"/>
              <w:ind w:right="411"/>
              <w:jc w:val="right"/>
              <w:rPr>
                <w:sz w:val="24"/>
              </w:rPr>
            </w:pPr>
            <w:r>
              <w:rPr>
                <w:spacing w:val="-10"/>
                <w:sz w:val="24"/>
              </w:rPr>
              <w:t>2</w:t>
            </w:r>
          </w:p>
        </w:tc>
        <w:tc>
          <w:tcPr>
            <w:tcW w:w="1220" w:type="dxa"/>
          </w:tcPr>
          <w:p>
            <w:pPr>
              <w:pStyle w:val="TableParagraph"/>
              <w:rPr>
                <w:i/>
                <w:sz w:val="24"/>
              </w:rPr>
            </w:pPr>
          </w:p>
          <w:p>
            <w:pPr>
              <w:pStyle w:val="TableParagraph"/>
              <w:spacing w:before="217"/>
              <w:rPr>
                <w:i/>
                <w:sz w:val="24"/>
              </w:rPr>
            </w:pPr>
          </w:p>
          <w:p>
            <w:pPr>
              <w:pStyle w:val="TableParagraph"/>
              <w:ind w:right="411"/>
              <w:jc w:val="right"/>
              <w:rPr>
                <w:sz w:val="24"/>
              </w:rPr>
            </w:pPr>
            <w:r>
              <w:rPr>
                <w:spacing w:val="-10"/>
                <w:sz w:val="24"/>
              </w:rPr>
              <w:t>3</w:t>
            </w:r>
          </w:p>
        </w:tc>
        <w:tc>
          <w:tcPr>
            <w:tcW w:w="1219" w:type="dxa"/>
          </w:tcPr>
          <w:p>
            <w:pPr>
              <w:pStyle w:val="TableParagraph"/>
              <w:rPr>
                <w:i/>
                <w:sz w:val="24"/>
              </w:rPr>
            </w:pPr>
          </w:p>
          <w:p>
            <w:pPr>
              <w:pStyle w:val="TableParagraph"/>
              <w:spacing w:before="217"/>
              <w:rPr>
                <w:i/>
                <w:sz w:val="24"/>
              </w:rPr>
            </w:pPr>
          </w:p>
          <w:p>
            <w:pPr>
              <w:pStyle w:val="TableParagraph"/>
              <w:ind w:right="411"/>
              <w:jc w:val="right"/>
              <w:rPr>
                <w:sz w:val="24"/>
              </w:rPr>
            </w:pPr>
            <w:r>
              <w:rPr>
                <w:spacing w:val="-10"/>
                <w:sz w:val="24"/>
              </w:rPr>
              <w:t>4</w:t>
            </w:r>
          </w:p>
        </w:tc>
      </w:tr>
      <w:tr>
        <w:trPr>
          <w:trHeight w:val="1192" w:hRule="atLeast"/>
        </w:trPr>
        <w:tc>
          <w:tcPr>
            <w:tcW w:w="3401" w:type="dxa"/>
          </w:tcPr>
          <w:p>
            <w:pPr>
              <w:pStyle w:val="TableParagraph"/>
              <w:spacing w:before="83"/>
              <w:ind w:left="143" w:right="423" w:firstLine="96"/>
              <w:rPr>
                <w:sz w:val="24"/>
              </w:rPr>
            </w:pPr>
            <w:r>
              <w:rPr>
                <w:sz w:val="24"/>
              </w:rPr>
              <w:t>12.</w:t>
            </w:r>
            <w:r>
              <w:rPr>
                <w:spacing w:val="-26"/>
                <w:sz w:val="24"/>
              </w:rPr>
              <w:t> </w:t>
            </w:r>
            <w:r>
              <w:rPr>
                <w:sz w:val="24"/>
              </w:rPr>
              <w:t>Вы чувствовали эмоциональное</w:t>
            </w:r>
            <w:r>
              <w:rPr>
                <w:spacing w:val="-15"/>
                <w:sz w:val="24"/>
              </w:rPr>
              <w:t> </w:t>
            </w:r>
            <w:r>
              <w:rPr>
                <w:sz w:val="24"/>
              </w:rPr>
              <w:t>оцепенение (например,</w:t>
            </w:r>
            <w:r>
              <w:rPr>
                <w:spacing w:val="-4"/>
                <w:sz w:val="24"/>
              </w:rPr>
              <w:t> </w:t>
            </w:r>
            <w:r>
              <w:rPr>
                <w:sz w:val="24"/>
              </w:rPr>
              <w:t>грустили,</w:t>
            </w:r>
            <w:r>
              <w:rPr>
                <w:spacing w:val="-3"/>
                <w:sz w:val="24"/>
              </w:rPr>
              <w:t> </w:t>
            </w:r>
            <w:r>
              <w:rPr>
                <w:sz w:val="24"/>
              </w:rPr>
              <w:t>но</w:t>
            </w:r>
            <w:r>
              <w:rPr>
                <w:spacing w:val="-3"/>
                <w:sz w:val="24"/>
              </w:rPr>
              <w:t> </w:t>
            </w:r>
            <w:r>
              <w:rPr>
                <w:spacing w:val="-5"/>
                <w:sz w:val="24"/>
              </w:rPr>
              <w:t>не</w:t>
            </w:r>
          </w:p>
          <w:p>
            <w:pPr>
              <w:pStyle w:val="TableParagraph"/>
              <w:spacing w:line="262" w:lineRule="exact"/>
              <w:ind w:left="143"/>
              <w:rPr>
                <w:sz w:val="24"/>
              </w:rPr>
            </w:pPr>
            <w:r>
              <w:rPr>
                <w:sz w:val="24"/>
              </w:rPr>
              <w:t>могли</w:t>
            </w:r>
            <w:r>
              <w:rPr>
                <w:spacing w:val="-3"/>
                <w:sz w:val="24"/>
              </w:rPr>
              <w:t> </w:t>
            </w:r>
            <w:r>
              <w:rPr>
                <w:spacing w:val="-2"/>
                <w:sz w:val="24"/>
              </w:rPr>
              <w:t>плакать)</w:t>
            </w:r>
          </w:p>
        </w:tc>
        <w:tc>
          <w:tcPr>
            <w:tcW w:w="1219" w:type="dxa"/>
          </w:tcPr>
          <w:p>
            <w:pPr>
              <w:pStyle w:val="TableParagraph"/>
              <w:spacing w:before="217"/>
              <w:rPr>
                <w:i/>
                <w:sz w:val="24"/>
              </w:rPr>
            </w:pPr>
          </w:p>
          <w:p>
            <w:pPr>
              <w:pStyle w:val="TableParagraph"/>
              <w:ind w:right="249"/>
              <w:jc w:val="right"/>
              <w:rPr>
                <w:sz w:val="24"/>
              </w:rPr>
            </w:pPr>
            <w:r>
              <w:rPr>
                <w:spacing w:val="-10"/>
                <w:sz w:val="24"/>
              </w:rPr>
              <w:t>0</w:t>
            </w:r>
          </w:p>
        </w:tc>
        <w:tc>
          <w:tcPr>
            <w:tcW w:w="1219" w:type="dxa"/>
          </w:tcPr>
          <w:p>
            <w:pPr>
              <w:pStyle w:val="TableParagraph"/>
              <w:spacing w:before="217"/>
              <w:rPr>
                <w:i/>
                <w:sz w:val="24"/>
              </w:rPr>
            </w:pPr>
          </w:p>
          <w:p>
            <w:pPr>
              <w:pStyle w:val="TableParagraph"/>
              <w:ind w:right="411"/>
              <w:jc w:val="right"/>
              <w:rPr>
                <w:sz w:val="24"/>
              </w:rPr>
            </w:pPr>
            <w:r>
              <w:rPr>
                <w:spacing w:val="-10"/>
                <w:sz w:val="24"/>
              </w:rPr>
              <w:t>1</w:t>
            </w:r>
          </w:p>
        </w:tc>
        <w:tc>
          <w:tcPr>
            <w:tcW w:w="1219" w:type="dxa"/>
          </w:tcPr>
          <w:p>
            <w:pPr>
              <w:pStyle w:val="TableParagraph"/>
              <w:spacing w:before="217"/>
              <w:rPr>
                <w:i/>
                <w:sz w:val="24"/>
              </w:rPr>
            </w:pPr>
          </w:p>
          <w:p>
            <w:pPr>
              <w:pStyle w:val="TableParagraph"/>
              <w:ind w:right="411"/>
              <w:jc w:val="right"/>
              <w:rPr>
                <w:sz w:val="24"/>
              </w:rPr>
            </w:pPr>
            <w:r>
              <w:rPr>
                <w:spacing w:val="-10"/>
                <w:sz w:val="24"/>
              </w:rPr>
              <w:t>2</w:t>
            </w:r>
          </w:p>
        </w:tc>
        <w:tc>
          <w:tcPr>
            <w:tcW w:w="1220" w:type="dxa"/>
          </w:tcPr>
          <w:p>
            <w:pPr>
              <w:pStyle w:val="TableParagraph"/>
              <w:spacing w:before="217"/>
              <w:rPr>
                <w:i/>
                <w:sz w:val="24"/>
              </w:rPr>
            </w:pPr>
          </w:p>
          <w:p>
            <w:pPr>
              <w:pStyle w:val="TableParagraph"/>
              <w:ind w:right="411"/>
              <w:jc w:val="right"/>
              <w:rPr>
                <w:sz w:val="24"/>
              </w:rPr>
            </w:pPr>
            <w:r>
              <w:rPr>
                <w:spacing w:val="-10"/>
                <w:sz w:val="24"/>
              </w:rPr>
              <w:t>3</w:t>
            </w:r>
          </w:p>
        </w:tc>
        <w:tc>
          <w:tcPr>
            <w:tcW w:w="1219" w:type="dxa"/>
          </w:tcPr>
          <w:p>
            <w:pPr>
              <w:pStyle w:val="TableParagraph"/>
              <w:spacing w:before="217"/>
              <w:rPr>
                <w:i/>
                <w:sz w:val="24"/>
              </w:rPr>
            </w:pPr>
          </w:p>
          <w:p>
            <w:pPr>
              <w:pStyle w:val="TableParagraph"/>
              <w:ind w:right="411"/>
              <w:jc w:val="right"/>
              <w:rPr>
                <w:sz w:val="24"/>
              </w:rPr>
            </w:pPr>
            <w:r>
              <w:rPr>
                <w:spacing w:val="-10"/>
                <w:sz w:val="24"/>
              </w:rPr>
              <w:t>4</w:t>
            </w:r>
          </w:p>
        </w:tc>
      </w:tr>
      <w:tr>
        <w:trPr>
          <w:trHeight w:val="916" w:hRule="atLeast"/>
        </w:trPr>
        <w:tc>
          <w:tcPr>
            <w:tcW w:w="3401" w:type="dxa"/>
          </w:tcPr>
          <w:p>
            <w:pPr>
              <w:pStyle w:val="TableParagraph"/>
              <w:spacing w:line="237" w:lineRule="auto" w:before="85"/>
              <w:ind w:left="143" w:firstLine="96"/>
              <w:rPr>
                <w:sz w:val="24"/>
              </w:rPr>
            </w:pPr>
            <w:r>
              <w:rPr>
                <w:sz w:val="24"/>
              </w:rPr>
              <w:t>13.</w:t>
            </w:r>
            <w:r>
              <w:rPr>
                <w:spacing w:val="-39"/>
                <w:sz w:val="24"/>
              </w:rPr>
              <w:t> </w:t>
            </w:r>
            <w:r>
              <w:rPr>
                <w:sz w:val="24"/>
              </w:rPr>
              <w:t>Вы</w:t>
            </w:r>
            <w:r>
              <w:rPr>
                <w:spacing w:val="-15"/>
                <w:sz w:val="24"/>
              </w:rPr>
              <w:t> </w:t>
            </w:r>
            <w:r>
              <w:rPr>
                <w:sz w:val="24"/>
              </w:rPr>
              <w:t>нервничали,</w:t>
            </w:r>
            <w:r>
              <w:rPr>
                <w:spacing w:val="-15"/>
                <w:sz w:val="24"/>
              </w:rPr>
              <w:t> </w:t>
            </w:r>
            <w:r>
              <w:rPr>
                <w:sz w:val="24"/>
              </w:rPr>
              <w:t>быстро пугались (например, когда</w:t>
            </w:r>
          </w:p>
          <w:p>
            <w:pPr>
              <w:pStyle w:val="TableParagraph"/>
              <w:spacing w:line="264" w:lineRule="exact" w:before="1"/>
              <w:ind w:left="143"/>
              <w:rPr>
                <w:sz w:val="24"/>
              </w:rPr>
            </w:pPr>
            <w:r>
              <w:rPr>
                <w:sz w:val="24"/>
              </w:rPr>
              <w:t>кто-то</w:t>
            </w:r>
            <w:r>
              <w:rPr>
                <w:spacing w:val="-2"/>
                <w:sz w:val="24"/>
              </w:rPr>
              <w:t> </w:t>
            </w:r>
            <w:r>
              <w:rPr>
                <w:sz w:val="24"/>
              </w:rPr>
              <w:t>подходил</w:t>
            </w:r>
            <w:r>
              <w:rPr>
                <w:spacing w:val="-2"/>
                <w:sz w:val="24"/>
              </w:rPr>
              <w:t> </w:t>
            </w:r>
            <w:r>
              <w:rPr>
                <w:sz w:val="24"/>
              </w:rPr>
              <w:t>к</w:t>
            </w:r>
            <w:r>
              <w:rPr>
                <w:spacing w:val="-1"/>
                <w:sz w:val="24"/>
              </w:rPr>
              <w:t> </w:t>
            </w:r>
            <w:r>
              <w:rPr>
                <w:sz w:val="24"/>
              </w:rPr>
              <w:t>Вам</w:t>
            </w:r>
            <w:r>
              <w:rPr>
                <w:spacing w:val="-2"/>
                <w:sz w:val="24"/>
              </w:rPr>
              <w:t> сзади)</w:t>
            </w:r>
          </w:p>
        </w:tc>
        <w:tc>
          <w:tcPr>
            <w:tcW w:w="1219" w:type="dxa"/>
          </w:tcPr>
          <w:p>
            <w:pPr>
              <w:pStyle w:val="TableParagraph"/>
              <w:spacing w:before="80"/>
              <w:rPr>
                <w:i/>
                <w:sz w:val="24"/>
              </w:rPr>
            </w:pPr>
          </w:p>
          <w:p>
            <w:pPr>
              <w:pStyle w:val="TableParagraph"/>
              <w:ind w:right="249"/>
              <w:jc w:val="right"/>
              <w:rPr>
                <w:sz w:val="24"/>
              </w:rPr>
            </w:pPr>
            <w:r>
              <w:rPr>
                <w:spacing w:val="-10"/>
                <w:sz w:val="24"/>
              </w:rPr>
              <w:t>0</w:t>
            </w:r>
          </w:p>
        </w:tc>
        <w:tc>
          <w:tcPr>
            <w:tcW w:w="1219" w:type="dxa"/>
          </w:tcPr>
          <w:p>
            <w:pPr>
              <w:pStyle w:val="TableParagraph"/>
              <w:spacing w:before="80"/>
              <w:rPr>
                <w:i/>
                <w:sz w:val="24"/>
              </w:rPr>
            </w:pPr>
          </w:p>
          <w:p>
            <w:pPr>
              <w:pStyle w:val="TableParagraph"/>
              <w:ind w:right="411"/>
              <w:jc w:val="right"/>
              <w:rPr>
                <w:sz w:val="24"/>
              </w:rPr>
            </w:pPr>
            <w:r>
              <w:rPr>
                <w:spacing w:val="-10"/>
                <w:sz w:val="24"/>
              </w:rPr>
              <w:t>1</w:t>
            </w:r>
          </w:p>
        </w:tc>
        <w:tc>
          <w:tcPr>
            <w:tcW w:w="1219" w:type="dxa"/>
          </w:tcPr>
          <w:p>
            <w:pPr>
              <w:pStyle w:val="TableParagraph"/>
              <w:spacing w:before="80"/>
              <w:rPr>
                <w:i/>
                <w:sz w:val="24"/>
              </w:rPr>
            </w:pPr>
          </w:p>
          <w:p>
            <w:pPr>
              <w:pStyle w:val="TableParagraph"/>
              <w:ind w:right="411"/>
              <w:jc w:val="right"/>
              <w:rPr>
                <w:sz w:val="24"/>
              </w:rPr>
            </w:pPr>
            <w:r>
              <w:rPr>
                <w:spacing w:val="-10"/>
                <w:sz w:val="24"/>
              </w:rPr>
              <w:t>2</w:t>
            </w:r>
          </w:p>
        </w:tc>
        <w:tc>
          <w:tcPr>
            <w:tcW w:w="1220" w:type="dxa"/>
          </w:tcPr>
          <w:p>
            <w:pPr>
              <w:pStyle w:val="TableParagraph"/>
              <w:spacing w:before="80"/>
              <w:rPr>
                <w:i/>
                <w:sz w:val="24"/>
              </w:rPr>
            </w:pPr>
          </w:p>
          <w:p>
            <w:pPr>
              <w:pStyle w:val="TableParagraph"/>
              <w:ind w:right="411"/>
              <w:jc w:val="right"/>
              <w:rPr>
                <w:sz w:val="24"/>
              </w:rPr>
            </w:pPr>
            <w:r>
              <w:rPr>
                <w:spacing w:val="-10"/>
                <w:sz w:val="24"/>
              </w:rPr>
              <w:t>3</w:t>
            </w:r>
          </w:p>
        </w:tc>
        <w:tc>
          <w:tcPr>
            <w:tcW w:w="1219" w:type="dxa"/>
          </w:tcPr>
          <w:p>
            <w:pPr>
              <w:pStyle w:val="TableParagraph"/>
              <w:spacing w:before="80"/>
              <w:rPr>
                <w:i/>
                <w:sz w:val="24"/>
              </w:rPr>
            </w:pPr>
          </w:p>
          <w:p>
            <w:pPr>
              <w:pStyle w:val="TableParagraph"/>
              <w:ind w:right="411"/>
              <w:jc w:val="right"/>
              <w:rPr>
                <w:sz w:val="24"/>
              </w:rPr>
            </w:pPr>
            <w:r>
              <w:rPr>
                <w:spacing w:val="-10"/>
                <w:sz w:val="24"/>
              </w:rPr>
              <w:t>4</w:t>
            </w:r>
          </w:p>
        </w:tc>
      </w:tr>
    </w:tbl>
    <w:p>
      <w:pPr>
        <w:pStyle w:val="BodyText"/>
        <w:spacing w:before="128"/>
        <w:ind w:left="0" w:right="0" w:firstLine="0"/>
        <w:jc w:val="left"/>
        <w:rPr>
          <w:i/>
          <w:sz w:val="24"/>
        </w:rPr>
      </w:pPr>
    </w:p>
    <w:p>
      <w:pPr>
        <w:spacing w:before="0"/>
        <w:ind w:left="426" w:right="0" w:firstLine="0"/>
        <w:jc w:val="left"/>
        <w:rPr>
          <w:sz w:val="24"/>
        </w:rPr>
      </w:pPr>
      <w:r>
        <w:rPr>
          <w:sz w:val="24"/>
        </w:rPr>
        <w:t>14.</w:t>
      </w:r>
      <w:r>
        <w:rPr>
          <w:spacing w:val="-2"/>
          <w:sz w:val="24"/>
        </w:rPr>
        <w:t> </w:t>
      </w:r>
      <w:r>
        <w:rPr>
          <w:sz w:val="24"/>
        </w:rPr>
        <w:t>В</w:t>
      </w:r>
      <w:r>
        <w:rPr>
          <w:spacing w:val="-4"/>
          <w:sz w:val="24"/>
        </w:rPr>
        <w:t> </w:t>
      </w:r>
      <w:r>
        <w:rPr>
          <w:sz w:val="24"/>
        </w:rPr>
        <w:t>целом</w:t>
      </w:r>
      <w:r>
        <w:rPr>
          <w:spacing w:val="-2"/>
          <w:sz w:val="24"/>
        </w:rPr>
        <w:t> </w:t>
      </w:r>
      <w:r>
        <w:rPr>
          <w:sz w:val="24"/>
        </w:rPr>
        <w:t>по</w:t>
      </w:r>
      <w:r>
        <w:rPr>
          <w:spacing w:val="-1"/>
          <w:sz w:val="24"/>
        </w:rPr>
        <w:t> </w:t>
      </w:r>
      <w:r>
        <w:rPr>
          <w:sz w:val="24"/>
        </w:rPr>
        <w:t>жизни</w:t>
      </w:r>
      <w:r>
        <w:rPr>
          <w:spacing w:val="-2"/>
          <w:sz w:val="24"/>
        </w:rPr>
        <w:t> </w:t>
      </w:r>
      <w:r>
        <w:rPr>
          <w:sz w:val="24"/>
        </w:rPr>
        <w:t>Вы</w:t>
      </w:r>
      <w:r>
        <w:rPr>
          <w:spacing w:val="-2"/>
          <w:sz w:val="24"/>
        </w:rPr>
        <w:t> </w:t>
      </w:r>
      <w:r>
        <w:rPr>
          <w:sz w:val="24"/>
        </w:rPr>
        <w:t>чувствуете,</w:t>
      </w:r>
      <w:r>
        <w:rPr>
          <w:spacing w:val="-1"/>
          <w:sz w:val="24"/>
        </w:rPr>
        <w:t> </w:t>
      </w:r>
      <w:r>
        <w:rPr>
          <w:spacing w:val="-2"/>
          <w:sz w:val="24"/>
        </w:rPr>
        <w:t>что...</w:t>
      </w:r>
    </w:p>
    <w:p>
      <w:pPr>
        <w:tabs>
          <w:tab w:pos="9380" w:val="left" w:leader="none"/>
        </w:tabs>
        <w:spacing w:before="137"/>
        <w:ind w:left="712" w:right="0" w:firstLine="0"/>
        <w:jc w:val="left"/>
        <w:rPr>
          <w:sz w:val="24"/>
        </w:rPr>
      </w:pPr>
      <w:r>
        <w:rPr>
          <w:sz w:val="24"/>
        </w:rPr>
        <w:t>Способны</w:t>
      </w:r>
      <w:r>
        <w:rPr>
          <w:spacing w:val="-3"/>
          <w:sz w:val="24"/>
        </w:rPr>
        <w:t> </w:t>
      </w:r>
      <w:r>
        <w:rPr>
          <w:sz w:val="24"/>
        </w:rPr>
        <w:t>справиться</w:t>
      </w:r>
      <w:r>
        <w:rPr>
          <w:spacing w:val="-3"/>
          <w:sz w:val="24"/>
        </w:rPr>
        <w:t> </w:t>
      </w:r>
      <w:r>
        <w:rPr>
          <w:sz w:val="24"/>
        </w:rPr>
        <w:t>(совладать)</w:t>
      </w:r>
      <w:r>
        <w:rPr>
          <w:spacing w:val="-2"/>
          <w:sz w:val="24"/>
        </w:rPr>
        <w:t> </w:t>
      </w:r>
      <w:r>
        <w:rPr>
          <w:sz w:val="24"/>
        </w:rPr>
        <w:t>со</w:t>
      </w:r>
      <w:r>
        <w:rPr>
          <w:spacing w:val="-3"/>
          <w:sz w:val="24"/>
        </w:rPr>
        <w:t> </w:t>
      </w:r>
      <w:r>
        <w:rPr>
          <w:sz w:val="24"/>
        </w:rPr>
        <w:t>всем, что</w:t>
      </w:r>
      <w:r>
        <w:rPr>
          <w:spacing w:val="-3"/>
          <w:sz w:val="24"/>
        </w:rPr>
        <w:t> </w:t>
      </w:r>
      <w:r>
        <w:rPr>
          <w:sz w:val="24"/>
        </w:rPr>
        <w:t>встречается</w:t>
      </w:r>
      <w:r>
        <w:rPr>
          <w:spacing w:val="-2"/>
          <w:sz w:val="24"/>
        </w:rPr>
        <w:t> </w:t>
      </w:r>
      <w:r>
        <w:rPr>
          <w:sz w:val="24"/>
        </w:rPr>
        <w:t>на</w:t>
      </w:r>
      <w:r>
        <w:rPr>
          <w:spacing w:val="-4"/>
          <w:sz w:val="24"/>
        </w:rPr>
        <w:t> </w:t>
      </w:r>
      <w:r>
        <w:rPr>
          <w:sz w:val="24"/>
        </w:rPr>
        <w:t>вашем</w:t>
      </w:r>
      <w:r>
        <w:rPr>
          <w:spacing w:val="-3"/>
          <w:sz w:val="24"/>
        </w:rPr>
        <w:t> </w:t>
      </w:r>
      <w:r>
        <w:rPr>
          <w:spacing w:val="-4"/>
          <w:sz w:val="24"/>
        </w:rPr>
        <w:t>пути</w:t>
      </w:r>
      <w:r>
        <w:rPr>
          <w:sz w:val="24"/>
        </w:rPr>
        <w:tab/>
      </w:r>
      <w:r>
        <w:rPr>
          <w:spacing w:val="-10"/>
          <w:sz w:val="24"/>
        </w:rPr>
        <w:t>0</w:t>
      </w:r>
    </w:p>
    <w:p>
      <w:pPr>
        <w:tabs>
          <w:tab w:pos="9380" w:val="left" w:leader="none"/>
        </w:tabs>
        <w:spacing w:before="139"/>
        <w:ind w:left="712" w:right="704" w:firstLine="0"/>
        <w:jc w:val="left"/>
        <w:rPr>
          <w:sz w:val="24"/>
        </w:rPr>
      </w:pPr>
      <w:r>
        <w:rPr>
          <w:sz w:val="24"/>
        </w:rPr>
        <w:t>Способны справиться</w:t>
      </w:r>
      <w:r>
        <w:rPr>
          <w:spacing w:val="30"/>
          <w:sz w:val="24"/>
        </w:rPr>
        <w:t> </w:t>
      </w:r>
      <w:r>
        <w:rPr>
          <w:sz w:val="24"/>
        </w:rPr>
        <w:t>(совладать)</w:t>
      </w:r>
      <w:r>
        <w:rPr>
          <w:spacing w:val="32"/>
          <w:sz w:val="24"/>
        </w:rPr>
        <w:t> </w:t>
      </w:r>
      <w:r>
        <w:rPr>
          <w:sz w:val="24"/>
        </w:rPr>
        <w:t>с большинством вещей,</w:t>
      </w:r>
      <w:r>
        <w:rPr>
          <w:spacing w:val="30"/>
          <w:sz w:val="24"/>
        </w:rPr>
        <w:t> </w:t>
      </w:r>
      <w:r>
        <w:rPr>
          <w:sz w:val="24"/>
        </w:rPr>
        <w:t>которые встречаются</w:t>
      </w:r>
      <w:r>
        <w:rPr>
          <w:spacing w:val="30"/>
          <w:sz w:val="24"/>
        </w:rPr>
        <w:t> </w:t>
      </w:r>
      <w:r>
        <w:rPr>
          <w:sz w:val="24"/>
        </w:rPr>
        <w:t>на вашем</w:t>
      </w:r>
      <w:r>
        <w:rPr>
          <w:spacing w:val="-6"/>
          <w:sz w:val="24"/>
        </w:rPr>
        <w:t> </w:t>
      </w:r>
      <w:r>
        <w:rPr>
          <w:spacing w:val="-4"/>
          <w:sz w:val="24"/>
        </w:rPr>
        <w:t>пути</w:t>
      </w:r>
      <w:r>
        <w:rPr>
          <w:sz w:val="24"/>
        </w:rPr>
        <w:tab/>
      </w:r>
      <w:r>
        <w:rPr>
          <w:spacing w:val="-10"/>
          <w:sz w:val="24"/>
        </w:rPr>
        <w:t>1</w:t>
      </w:r>
    </w:p>
    <w:p>
      <w:pPr>
        <w:tabs>
          <w:tab w:pos="9380" w:val="left" w:leader="none"/>
        </w:tabs>
        <w:spacing w:line="237" w:lineRule="auto" w:before="142"/>
        <w:ind w:left="712" w:right="704" w:firstLine="0"/>
        <w:jc w:val="left"/>
        <w:rPr>
          <w:sz w:val="24"/>
        </w:rPr>
      </w:pPr>
      <w:r>
        <w:rPr>
          <w:sz w:val="24"/>
        </w:rPr>
        <w:t>Способны</w:t>
      </w:r>
      <w:r>
        <w:rPr>
          <w:spacing w:val="-15"/>
          <w:sz w:val="24"/>
        </w:rPr>
        <w:t> </w:t>
      </w:r>
      <w:r>
        <w:rPr>
          <w:sz w:val="24"/>
        </w:rPr>
        <w:t>справляться</w:t>
      </w:r>
      <w:r>
        <w:rPr>
          <w:spacing w:val="-15"/>
          <w:sz w:val="24"/>
        </w:rPr>
        <w:t> </w:t>
      </w:r>
      <w:r>
        <w:rPr>
          <w:sz w:val="24"/>
        </w:rPr>
        <w:t>(совладать)</w:t>
      </w:r>
      <w:r>
        <w:rPr>
          <w:spacing w:val="-16"/>
          <w:sz w:val="24"/>
        </w:rPr>
        <w:t> </w:t>
      </w:r>
      <w:r>
        <w:rPr>
          <w:sz w:val="24"/>
        </w:rPr>
        <w:t>с</w:t>
      </w:r>
      <w:r>
        <w:rPr>
          <w:spacing w:val="-16"/>
          <w:sz w:val="24"/>
        </w:rPr>
        <w:t> </w:t>
      </w:r>
      <w:r>
        <w:rPr>
          <w:sz w:val="24"/>
        </w:rPr>
        <w:t>некоторыми</w:t>
      </w:r>
      <w:r>
        <w:rPr>
          <w:spacing w:val="-15"/>
          <w:sz w:val="24"/>
        </w:rPr>
        <w:t> </w:t>
      </w:r>
      <w:r>
        <w:rPr>
          <w:sz w:val="24"/>
        </w:rPr>
        <w:t>вещами,</w:t>
      </w:r>
      <w:r>
        <w:rPr>
          <w:spacing w:val="-15"/>
          <w:sz w:val="24"/>
        </w:rPr>
        <w:t> </w:t>
      </w:r>
      <w:r>
        <w:rPr>
          <w:sz w:val="24"/>
        </w:rPr>
        <w:t>но</w:t>
      </w:r>
      <w:r>
        <w:rPr>
          <w:spacing w:val="-15"/>
          <w:sz w:val="24"/>
        </w:rPr>
        <w:t> </w:t>
      </w:r>
      <w:r>
        <w:rPr>
          <w:sz w:val="24"/>
        </w:rPr>
        <w:t>не</w:t>
      </w:r>
      <w:r>
        <w:rPr>
          <w:spacing w:val="-16"/>
          <w:sz w:val="24"/>
        </w:rPr>
        <w:t> </w:t>
      </w:r>
      <w:r>
        <w:rPr>
          <w:sz w:val="24"/>
        </w:rPr>
        <w:t>способны</w:t>
      </w:r>
      <w:r>
        <w:rPr>
          <w:spacing w:val="-15"/>
          <w:sz w:val="24"/>
        </w:rPr>
        <w:t> </w:t>
      </w:r>
      <w:r>
        <w:rPr>
          <w:sz w:val="24"/>
        </w:rPr>
        <w:t>справляться с</w:t>
      </w:r>
      <w:r>
        <w:rPr>
          <w:spacing w:val="-4"/>
          <w:sz w:val="24"/>
        </w:rPr>
        <w:t> </w:t>
      </w:r>
      <w:r>
        <w:rPr>
          <w:sz w:val="24"/>
        </w:rPr>
        <w:t>другими</w:t>
      </w:r>
      <w:r>
        <w:rPr>
          <w:spacing w:val="-2"/>
          <w:sz w:val="24"/>
        </w:rPr>
        <w:t> вещами</w:t>
      </w:r>
      <w:r>
        <w:rPr>
          <w:sz w:val="24"/>
        </w:rPr>
        <w:tab/>
      </w:r>
      <w:r>
        <w:rPr>
          <w:spacing w:val="-10"/>
          <w:sz w:val="24"/>
        </w:rPr>
        <w:t>2</w:t>
      </w:r>
    </w:p>
    <w:p>
      <w:pPr>
        <w:tabs>
          <w:tab w:pos="9380" w:val="left" w:leader="none"/>
        </w:tabs>
        <w:spacing w:before="141"/>
        <w:ind w:left="712" w:right="0" w:firstLine="0"/>
        <w:jc w:val="left"/>
        <w:rPr>
          <w:sz w:val="24"/>
        </w:rPr>
      </w:pPr>
      <w:r>
        <w:rPr>
          <w:sz w:val="24"/>
        </w:rPr>
        <w:t>Неспособны</w:t>
      </w:r>
      <w:r>
        <w:rPr>
          <w:spacing w:val="-4"/>
          <w:sz w:val="24"/>
        </w:rPr>
        <w:t> </w:t>
      </w:r>
      <w:r>
        <w:rPr>
          <w:sz w:val="24"/>
        </w:rPr>
        <w:t>справиться</w:t>
      </w:r>
      <w:r>
        <w:rPr>
          <w:spacing w:val="-4"/>
          <w:sz w:val="24"/>
        </w:rPr>
        <w:t> </w:t>
      </w:r>
      <w:r>
        <w:rPr>
          <w:sz w:val="24"/>
        </w:rPr>
        <w:t>с</w:t>
      </w:r>
      <w:r>
        <w:rPr>
          <w:spacing w:val="-4"/>
          <w:sz w:val="24"/>
        </w:rPr>
        <w:t> </w:t>
      </w:r>
      <w:r>
        <w:rPr>
          <w:sz w:val="24"/>
        </w:rPr>
        <w:t>большинством</w:t>
      </w:r>
      <w:r>
        <w:rPr>
          <w:spacing w:val="-3"/>
          <w:sz w:val="24"/>
        </w:rPr>
        <w:t> </w:t>
      </w:r>
      <w:r>
        <w:rPr>
          <w:spacing w:val="-4"/>
          <w:sz w:val="24"/>
        </w:rPr>
        <w:t>вещей</w:t>
      </w:r>
      <w:r>
        <w:rPr>
          <w:sz w:val="24"/>
        </w:rPr>
        <w:tab/>
      </w:r>
      <w:r>
        <w:rPr>
          <w:spacing w:val="-10"/>
          <w:sz w:val="24"/>
        </w:rPr>
        <w:t>3</w:t>
      </w:r>
    </w:p>
    <w:p>
      <w:pPr>
        <w:tabs>
          <w:tab w:pos="9380" w:val="left" w:leader="none"/>
        </w:tabs>
        <w:spacing w:before="136"/>
        <w:ind w:left="712" w:right="0" w:firstLine="0"/>
        <w:jc w:val="left"/>
        <w:rPr>
          <w:sz w:val="24"/>
        </w:rPr>
      </w:pPr>
      <w:r>
        <w:rPr>
          <w:sz w:val="24"/>
        </w:rPr>
        <w:t>Неспособны</w:t>
      </w:r>
      <w:r>
        <w:rPr>
          <w:spacing w:val="-4"/>
          <w:sz w:val="24"/>
        </w:rPr>
        <w:t> </w:t>
      </w:r>
      <w:r>
        <w:rPr>
          <w:sz w:val="24"/>
        </w:rPr>
        <w:t>справиться</w:t>
      </w:r>
      <w:r>
        <w:rPr>
          <w:spacing w:val="-3"/>
          <w:sz w:val="24"/>
        </w:rPr>
        <w:t> </w:t>
      </w:r>
      <w:r>
        <w:rPr>
          <w:sz w:val="24"/>
        </w:rPr>
        <w:t>с</w:t>
      </w:r>
      <w:r>
        <w:rPr>
          <w:spacing w:val="-3"/>
          <w:sz w:val="24"/>
        </w:rPr>
        <w:t> </w:t>
      </w:r>
      <w:r>
        <w:rPr>
          <w:sz w:val="24"/>
        </w:rPr>
        <w:t>любыми</w:t>
      </w:r>
      <w:r>
        <w:rPr>
          <w:spacing w:val="-3"/>
          <w:sz w:val="24"/>
        </w:rPr>
        <w:t> </w:t>
      </w:r>
      <w:r>
        <w:rPr>
          <w:spacing w:val="-2"/>
          <w:sz w:val="24"/>
        </w:rPr>
        <w:t>вещами</w:t>
      </w:r>
      <w:r>
        <w:rPr>
          <w:sz w:val="24"/>
        </w:rPr>
        <w:tab/>
      </w:r>
      <w:r>
        <w:rPr>
          <w:spacing w:val="-10"/>
          <w:sz w:val="24"/>
        </w:rPr>
        <w:t>4</w:t>
      </w:r>
    </w:p>
    <w:p>
      <w:pPr>
        <w:spacing w:after="0"/>
        <w:jc w:val="left"/>
        <w:rPr>
          <w:sz w:val="24"/>
        </w:rPr>
        <w:sectPr>
          <w:pgSz w:w="11910" w:h="16840"/>
          <w:pgMar w:header="0" w:footer="970" w:top="1100" w:bottom="1220" w:left="1417" w:right="283"/>
        </w:sectPr>
      </w:pPr>
    </w:p>
    <w:p>
      <w:pPr>
        <w:pStyle w:val="Heading2"/>
        <w:numPr>
          <w:ilvl w:val="0"/>
          <w:numId w:val="15"/>
        </w:numPr>
        <w:tabs>
          <w:tab w:pos="564" w:val="left" w:leader="none"/>
        </w:tabs>
        <w:spacing w:line="240" w:lineRule="auto" w:before="72" w:after="0"/>
        <w:ind w:left="564" w:right="0" w:hanging="279"/>
        <w:jc w:val="left"/>
      </w:pPr>
      <w:bookmarkStart w:name="_bookmark18" w:id="20"/>
      <w:bookmarkEnd w:id="20"/>
      <w:r>
        <w:rPr>
          <w:b w:val="0"/>
        </w:rPr>
      </w:r>
      <w:r>
        <w:rPr/>
        <w:t>Опросник</w:t>
      </w:r>
      <w:r>
        <w:rPr>
          <w:spacing w:val="-8"/>
        </w:rPr>
        <w:t> </w:t>
      </w:r>
      <w:r>
        <w:rPr>
          <w:spacing w:val="-2"/>
        </w:rPr>
        <w:t>Ахенбаха</w:t>
      </w:r>
    </w:p>
    <w:p>
      <w:pPr>
        <w:pStyle w:val="Heading3"/>
        <w:spacing w:before="290"/>
      </w:pPr>
      <w:r>
        <w:rPr/>
        <w:t>Описание</w:t>
      </w:r>
      <w:r>
        <w:rPr>
          <w:spacing w:val="-2"/>
        </w:rPr>
        <w:t> методики</w:t>
      </w:r>
    </w:p>
    <w:p>
      <w:pPr>
        <w:pStyle w:val="Heading4"/>
        <w:spacing w:before="235"/>
        <w:ind w:right="560"/>
      </w:pPr>
      <w:r>
        <w:rPr/>
        <w:t>Опросник Ахенбаха используется для оценки поведенческих и эмоциональных проблем у детей. Методика включает в себя форму отчета- наблюдения за поведением ребенка (возраст 6–18 лет).</w:t>
      </w:r>
    </w:p>
    <w:p>
      <w:pPr>
        <w:pStyle w:val="Heading4"/>
        <w:spacing w:before="239"/>
        <w:ind w:right="563"/>
      </w:pPr>
      <w:r>
        <w:rPr/>
        <w:t>Опросник состоит из двух частей: в первой — общие вопросы, вторая содержит</w:t>
      </w:r>
      <w:r>
        <w:rPr>
          <w:spacing w:val="-12"/>
        </w:rPr>
        <w:t> </w:t>
      </w:r>
      <w:r>
        <w:rPr/>
        <w:t>113</w:t>
      </w:r>
      <w:r>
        <w:rPr>
          <w:spacing w:val="-11"/>
        </w:rPr>
        <w:t> </w:t>
      </w:r>
      <w:r>
        <w:rPr/>
        <w:t>конкретных</w:t>
      </w:r>
      <w:r>
        <w:rPr>
          <w:spacing w:val="-9"/>
        </w:rPr>
        <w:t> </w:t>
      </w:r>
      <w:r>
        <w:rPr/>
        <w:t>вопросов,</w:t>
      </w:r>
      <w:r>
        <w:rPr>
          <w:spacing w:val="-11"/>
        </w:rPr>
        <w:t> </w:t>
      </w:r>
      <w:r>
        <w:rPr/>
        <w:t>которые</w:t>
      </w:r>
      <w:r>
        <w:rPr>
          <w:spacing w:val="-12"/>
        </w:rPr>
        <w:t> </w:t>
      </w:r>
      <w:r>
        <w:rPr/>
        <w:t>позволяют</w:t>
      </w:r>
      <w:r>
        <w:rPr>
          <w:spacing w:val="-10"/>
        </w:rPr>
        <w:t> </w:t>
      </w:r>
      <w:r>
        <w:rPr/>
        <w:t>выявить</w:t>
      </w:r>
      <w:r>
        <w:rPr>
          <w:spacing w:val="-10"/>
        </w:rPr>
        <w:t> </w:t>
      </w:r>
      <w:r>
        <w:rPr/>
        <w:t>особенности отклоняющегося</w:t>
      </w:r>
      <w:r>
        <w:rPr>
          <w:spacing w:val="-11"/>
        </w:rPr>
        <w:t> </w:t>
      </w:r>
      <w:r>
        <w:rPr/>
        <w:t>поведения</w:t>
      </w:r>
      <w:r>
        <w:rPr>
          <w:spacing w:val="-13"/>
        </w:rPr>
        <w:t> </w:t>
      </w:r>
      <w:r>
        <w:rPr/>
        <w:t>детей</w:t>
      </w:r>
      <w:r>
        <w:rPr>
          <w:spacing w:val="-12"/>
        </w:rPr>
        <w:t> </w:t>
      </w:r>
      <w:r>
        <w:rPr/>
        <w:t>и</w:t>
      </w:r>
      <w:r>
        <w:rPr>
          <w:spacing w:val="-11"/>
        </w:rPr>
        <w:t> </w:t>
      </w:r>
      <w:r>
        <w:rPr/>
        <w:t>подростков</w:t>
      </w:r>
      <w:r>
        <w:rPr>
          <w:spacing w:val="-11"/>
        </w:rPr>
        <w:t> </w:t>
      </w:r>
      <w:r>
        <w:rPr/>
        <w:t>по</w:t>
      </w:r>
      <w:r>
        <w:rPr>
          <w:spacing w:val="-11"/>
        </w:rPr>
        <w:t> </w:t>
      </w:r>
      <w:r>
        <w:rPr/>
        <w:t>следующим</w:t>
      </w:r>
      <w:r>
        <w:rPr>
          <w:spacing w:val="-11"/>
        </w:rPr>
        <w:t> </w:t>
      </w:r>
      <w:r>
        <w:rPr/>
        <w:t>группам</w:t>
      </w:r>
      <w:r>
        <w:rPr>
          <w:spacing w:val="-11"/>
        </w:rPr>
        <w:t> </w:t>
      </w:r>
      <w:r>
        <w:rPr>
          <w:spacing w:val="-2"/>
        </w:rPr>
        <w:t>шкал:</w:t>
      </w:r>
    </w:p>
    <w:p>
      <w:pPr>
        <w:pStyle w:val="Heading5"/>
        <w:numPr>
          <w:ilvl w:val="0"/>
          <w:numId w:val="19"/>
        </w:numPr>
        <w:tabs>
          <w:tab w:pos="1720" w:val="left" w:leader="none"/>
        </w:tabs>
        <w:spacing w:line="240" w:lineRule="auto" w:before="1" w:after="0"/>
        <w:ind w:left="1720" w:right="0" w:hanging="375"/>
        <w:jc w:val="both"/>
      </w:pPr>
      <w:r>
        <w:rPr/>
        <w:t>Первичные</w:t>
      </w:r>
      <w:r>
        <w:rPr>
          <w:spacing w:val="-9"/>
        </w:rPr>
        <w:t> </w:t>
      </w:r>
      <w:r>
        <w:rPr/>
        <w:t>шкалы</w:t>
      </w:r>
      <w:r>
        <w:rPr>
          <w:spacing w:val="-9"/>
        </w:rPr>
        <w:t> </w:t>
      </w:r>
      <w:r>
        <w:rPr/>
        <w:t>(Narrowband</w:t>
      </w:r>
      <w:r>
        <w:rPr>
          <w:spacing w:val="-10"/>
        </w:rPr>
        <w:t> </w:t>
      </w:r>
      <w:r>
        <w:rPr>
          <w:spacing w:val="-2"/>
        </w:rPr>
        <w:t>scales)</w:t>
      </w:r>
    </w:p>
    <w:p>
      <w:pPr>
        <w:pStyle w:val="Heading4"/>
        <w:numPr>
          <w:ilvl w:val="1"/>
          <w:numId w:val="15"/>
        </w:numPr>
        <w:tabs>
          <w:tab w:pos="1075" w:val="left" w:leader="none"/>
        </w:tabs>
        <w:spacing w:line="240" w:lineRule="auto" w:before="1" w:after="0"/>
        <w:ind w:left="565" w:right="564" w:firstLine="0"/>
        <w:jc w:val="both"/>
      </w:pPr>
      <w:r>
        <w:rPr/>
        <w:t>Замкнутость </w:t>
      </w:r>
      <w:r>
        <w:rPr>
          <w:i/>
        </w:rPr>
        <w:t>(Withdrawn) </w:t>
      </w:r>
      <w:r>
        <w:rPr/>
        <w:t>— предпочтение одиночества, скрытность, застенчивость, безучастность, отказ разговаривать, угнетенность и грусть.</w:t>
      </w:r>
    </w:p>
    <w:p>
      <w:pPr>
        <w:pStyle w:val="Heading4"/>
        <w:numPr>
          <w:ilvl w:val="1"/>
          <w:numId w:val="15"/>
        </w:numPr>
        <w:tabs>
          <w:tab w:pos="1418" w:val="left" w:leader="none"/>
        </w:tabs>
        <w:spacing w:line="240" w:lineRule="auto" w:before="0" w:after="0"/>
        <w:ind w:left="565" w:right="560" w:firstLine="0"/>
        <w:jc w:val="both"/>
      </w:pPr>
      <w:r>
        <w:rPr/>
        <w:t>Соматические проблемы </w:t>
      </w:r>
      <w:r>
        <w:rPr>
          <w:i/>
        </w:rPr>
        <w:t>(Somatic Complaints) </w:t>
      </w:r>
      <w:r>
        <w:rPr/>
        <w:t>— ощущение переутомления, головокружение и конкретные жалобы на болевые </w:t>
      </w:r>
      <w:r>
        <w:rPr>
          <w:spacing w:val="-2"/>
        </w:rPr>
        <w:t>ощущения.</w:t>
      </w:r>
    </w:p>
    <w:p>
      <w:pPr>
        <w:pStyle w:val="Heading4"/>
        <w:numPr>
          <w:ilvl w:val="1"/>
          <w:numId w:val="15"/>
        </w:numPr>
        <w:tabs>
          <w:tab w:pos="1065" w:val="left" w:leader="none"/>
        </w:tabs>
        <w:spacing w:line="240" w:lineRule="auto" w:before="0" w:after="0"/>
        <w:ind w:left="565" w:right="566" w:firstLine="0"/>
        <w:jc w:val="both"/>
      </w:pPr>
      <w:r>
        <w:rPr/>
        <w:t>Тревожность</w:t>
      </w:r>
      <w:r>
        <w:rPr>
          <w:spacing w:val="-14"/>
        </w:rPr>
        <w:t> </w:t>
      </w:r>
      <w:r>
        <w:rPr>
          <w:i/>
        </w:rPr>
        <w:t>(Anxious/Depressed)</w:t>
      </w:r>
      <w:r>
        <w:rPr>
          <w:i/>
          <w:spacing w:val="-12"/>
        </w:rPr>
        <w:t> </w:t>
      </w:r>
      <w:r>
        <w:rPr/>
        <w:t>—</w:t>
      </w:r>
      <w:r>
        <w:rPr>
          <w:spacing w:val="-17"/>
        </w:rPr>
        <w:t> </w:t>
      </w:r>
      <w:r>
        <w:rPr/>
        <w:t>ощущение</w:t>
      </w:r>
      <w:r>
        <w:rPr>
          <w:spacing w:val="-17"/>
        </w:rPr>
        <w:t> </w:t>
      </w:r>
      <w:r>
        <w:rPr/>
        <w:t>нелюбви</w:t>
      </w:r>
      <w:r>
        <w:rPr>
          <w:spacing w:val="-16"/>
        </w:rPr>
        <w:t> </w:t>
      </w:r>
      <w:r>
        <w:rPr/>
        <w:t>к</w:t>
      </w:r>
      <w:r>
        <w:rPr>
          <w:spacing w:val="-14"/>
        </w:rPr>
        <w:t> </w:t>
      </w:r>
      <w:r>
        <w:rPr/>
        <w:t>себе,</w:t>
      </w:r>
      <w:r>
        <w:rPr>
          <w:spacing w:val="-17"/>
        </w:rPr>
        <w:t> </w:t>
      </w:r>
      <w:r>
        <w:rPr/>
        <w:t>чувство неполноценности, подозрительность, стеснительность, неуверенность в себе, взволнованность, чувство боязливости.</w:t>
      </w:r>
    </w:p>
    <w:p>
      <w:pPr>
        <w:pStyle w:val="Heading4"/>
        <w:numPr>
          <w:ilvl w:val="1"/>
          <w:numId w:val="15"/>
        </w:numPr>
        <w:tabs>
          <w:tab w:pos="1313" w:val="left" w:leader="none"/>
        </w:tabs>
        <w:spacing w:line="240" w:lineRule="auto" w:before="0" w:after="0"/>
        <w:ind w:left="565" w:right="560" w:firstLine="0"/>
        <w:jc w:val="both"/>
      </w:pPr>
      <w:r>
        <w:rPr/>
        <w:t>Нарушения социализации </w:t>
      </w:r>
      <w:r>
        <w:rPr>
          <w:i/>
        </w:rPr>
        <w:t>(Social Problems) </w:t>
      </w:r>
      <w:r>
        <w:rPr/>
        <w:t>— поведение, не соответствующее возрасту, зависимость от взрослых и несамостоятельность, чувство одиночества, слезливость, ощущение, что никто не любит, ощущение никчемности, плохо скоординированные </w:t>
      </w:r>
      <w:r>
        <w:rPr>
          <w:spacing w:val="-2"/>
        </w:rPr>
        <w:t>движения.</w:t>
      </w:r>
    </w:p>
    <w:p>
      <w:pPr>
        <w:pStyle w:val="Heading4"/>
        <w:numPr>
          <w:ilvl w:val="1"/>
          <w:numId w:val="15"/>
        </w:numPr>
        <w:tabs>
          <w:tab w:pos="1279" w:val="left" w:leader="none"/>
        </w:tabs>
        <w:spacing w:line="237" w:lineRule="auto" w:before="3" w:after="0"/>
        <w:ind w:left="565" w:right="562" w:firstLine="0"/>
        <w:jc w:val="both"/>
      </w:pPr>
      <w:r>
        <w:rPr/>
        <w:t>Проблемы мышления </w:t>
      </w:r>
      <w:r>
        <w:rPr>
          <w:i/>
        </w:rPr>
        <w:t>(Thought Problems) </w:t>
      </w:r>
      <w:r>
        <w:rPr/>
        <w:t>— навязчивые мысли, намеренное членовредительство, повторяющиеся движения, слуховые галлюцинации, необычное поведение и странные идеи</w:t>
      </w:r>
      <w:r>
        <w:rPr>
          <w:position w:val="16"/>
          <w:sz w:val="30"/>
        </w:rPr>
        <w:t>[1]</w:t>
      </w:r>
      <w:r>
        <w:rPr/>
        <w:t>.</w:t>
      </w:r>
    </w:p>
    <w:p>
      <w:pPr>
        <w:pStyle w:val="Heading4"/>
        <w:numPr>
          <w:ilvl w:val="1"/>
          <w:numId w:val="15"/>
        </w:numPr>
        <w:tabs>
          <w:tab w:pos="1145" w:val="left" w:leader="none"/>
        </w:tabs>
        <w:spacing w:line="240" w:lineRule="auto" w:before="36" w:after="0"/>
        <w:ind w:left="565" w:right="564" w:firstLine="0"/>
        <w:jc w:val="both"/>
      </w:pPr>
      <w:r>
        <w:rPr/>
        <w:t>Проблемы</w:t>
      </w:r>
      <w:r>
        <w:rPr>
          <w:spacing w:val="-1"/>
        </w:rPr>
        <w:t> </w:t>
      </w:r>
      <w:r>
        <w:rPr/>
        <w:t>с</w:t>
      </w:r>
      <w:r>
        <w:rPr>
          <w:spacing w:val="-1"/>
        </w:rPr>
        <w:t> </w:t>
      </w:r>
      <w:r>
        <w:rPr/>
        <w:t>вниманием </w:t>
      </w:r>
      <w:r>
        <w:rPr>
          <w:i/>
        </w:rPr>
        <w:t>(Attention</w:t>
      </w:r>
      <w:r>
        <w:rPr>
          <w:i/>
          <w:spacing w:val="-3"/>
        </w:rPr>
        <w:t> </w:t>
      </w:r>
      <w:r>
        <w:rPr>
          <w:i/>
        </w:rPr>
        <w:t>Problems) </w:t>
      </w:r>
      <w:r>
        <w:rPr/>
        <w:t>—</w:t>
      </w:r>
      <w:r>
        <w:rPr>
          <w:spacing w:val="-3"/>
        </w:rPr>
        <w:t> </w:t>
      </w:r>
      <w:r>
        <w:rPr/>
        <w:t>неспособность</w:t>
      </w:r>
      <w:r>
        <w:rPr>
          <w:spacing w:val="-2"/>
        </w:rPr>
        <w:t> </w:t>
      </w:r>
      <w:r>
        <w:rPr/>
        <w:t>довести дело до конца, неспособность к концентрации и сосредоточенности, рассеянность, неспособность усидеть на месте, несдержанность, импульсивность, нервозность, чувствительность, апатичность, безучастность, не учится или учится не в полную силу.</w:t>
      </w:r>
    </w:p>
    <w:p>
      <w:pPr>
        <w:pStyle w:val="Heading4"/>
        <w:numPr>
          <w:ilvl w:val="1"/>
          <w:numId w:val="15"/>
        </w:numPr>
        <w:tabs>
          <w:tab w:pos="1284" w:val="left" w:leader="none"/>
        </w:tabs>
        <w:spacing w:line="240" w:lineRule="auto" w:before="1" w:after="0"/>
        <w:ind w:left="565" w:right="561" w:firstLine="0"/>
        <w:jc w:val="both"/>
      </w:pPr>
      <w:r>
        <w:rPr/>
        <w:t>Делинквентное поведение </w:t>
      </w:r>
      <w:r>
        <w:rPr>
          <w:i/>
        </w:rPr>
        <w:t>(Delinquent Behavior) </w:t>
      </w:r>
      <w:r>
        <w:rPr/>
        <w:t>— ощущение вины, стеснительность, смущение, грусть, взволнованность, тревожность, боязливость, чувство одиночества, слезливость, ощущение, что другие люди могут причинить вред, стремление льстить и угождать.</w:t>
      </w:r>
    </w:p>
    <w:p>
      <w:pPr>
        <w:pStyle w:val="Heading4"/>
        <w:numPr>
          <w:ilvl w:val="1"/>
          <w:numId w:val="15"/>
        </w:numPr>
        <w:tabs>
          <w:tab w:pos="1077" w:val="left" w:leader="none"/>
        </w:tabs>
        <w:spacing w:line="240" w:lineRule="auto" w:before="0" w:after="0"/>
        <w:ind w:left="565" w:right="562" w:firstLine="0"/>
        <w:jc w:val="both"/>
      </w:pPr>
      <w:r>
        <w:rPr/>
        <w:t>Агрессия</w:t>
      </w:r>
      <w:r>
        <w:rPr>
          <w:spacing w:val="-13"/>
        </w:rPr>
        <w:t> </w:t>
      </w:r>
      <w:r>
        <w:rPr>
          <w:i/>
        </w:rPr>
        <w:t>(Aggressive</w:t>
      </w:r>
      <w:r>
        <w:rPr>
          <w:i/>
          <w:spacing w:val="-14"/>
        </w:rPr>
        <w:t> </w:t>
      </w:r>
      <w:r>
        <w:rPr>
          <w:i/>
        </w:rPr>
        <w:t>Behavior)</w:t>
      </w:r>
      <w:r>
        <w:rPr>
          <w:i/>
          <w:spacing w:val="-12"/>
        </w:rPr>
        <w:t> </w:t>
      </w:r>
      <w:r>
        <w:rPr/>
        <w:t>—</w:t>
      </w:r>
      <w:r>
        <w:rPr>
          <w:spacing w:val="-14"/>
        </w:rPr>
        <w:t> </w:t>
      </w:r>
      <w:r>
        <w:rPr/>
        <w:t>вызывающее</w:t>
      </w:r>
      <w:r>
        <w:rPr>
          <w:spacing w:val="-14"/>
        </w:rPr>
        <w:t> </w:t>
      </w:r>
      <w:r>
        <w:rPr/>
        <w:t>поведение,</w:t>
      </w:r>
      <w:r>
        <w:rPr>
          <w:spacing w:val="-14"/>
        </w:rPr>
        <w:t> </w:t>
      </w:r>
      <w:r>
        <w:rPr/>
        <w:t>хвастовство, проявления</w:t>
      </w:r>
      <w:r>
        <w:rPr>
          <w:spacing w:val="-7"/>
        </w:rPr>
        <w:t> </w:t>
      </w:r>
      <w:r>
        <w:rPr/>
        <w:t>жестокости,</w:t>
      </w:r>
      <w:r>
        <w:rPr>
          <w:spacing w:val="-7"/>
        </w:rPr>
        <w:t> </w:t>
      </w:r>
      <w:r>
        <w:rPr/>
        <w:t>намеренная</w:t>
      </w:r>
      <w:r>
        <w:rPr>
          <w:spacing w:val="-7"/>
        </w:rPr>
        <w:t> </w:t>
      </w:r>
      <w:r>
        <w:rPr/>
        <w:t>порча</w:t>
      </w:r>
      <w:r>
        <w:rPr>
          <w:spacing w:val="-7"/>
        </w:rPr>
        <w:t> </w:t>
      </w:r>
      <w:r>
        <w:rPr/>
        <w:t>и</w:t>
      </w:r>
      <w:r>
        <w:rPr>
          <w:spacing w:val="-7"/>
        </w:rPr>
        <w:t> </w:t>
      </w:r>
      <w:r>
        <w:rPr/>
        <w:t>уничтожение</w:t>
      </w:r>
      <w:r>
        <w:rPr>
          <w:spacing w:val="-7"/>
        </w:rPr>
        <w:t> </w:t>
      </w:r>
      <w:r>
        <w:rPr/>
        <w:t>вещей,</w:t>
      </w:r>
      <w:r>
        <w:rPr>
          <w:spacing w:val="-8"/>
        </w:rPr>
        <w:t> </w:t>
      </w:r>
      <w:r>
        <w:rPr/>
        <w:t>ревность, драчливость, физическая агрессивность, крикливость, вспыльчивость, высокая громкость речи и склонность дразниться.</w:t>
      </w:r>
    </w:p>
    <w:p>
      <w:pPr>
        <w:pStyle w:val="Heading5"/>
        <w:numPr>
          <w:ilvl w:val="0"/>
          <w:numId w:val="19"/>
        </w:numPr>
        <w:tabs>
          <w:tab w:pos="1288" w:val="left" w:leader="none"/>
        </w:tabs>
        <w:spacing w:line="322" w:lineRule="exact" w:before="0" w:after="0"/>
        <w:ind w:left="1288" w:right="0" w:hanging="303"/>
        <w:jc w:val="both"/>
      </w:pPr>
      <w:r>
        <w:rPr/>
        <w:t>Производные</w:t>
      </w:r>
      <w:r>
        <w:rPr>
          <w:spacing w:val="-10"/>
        </w:rPr>
        <w:t> </w:t>
      </w:r>
      <w:r>
        <w:rPr/>
        <w:t>шкалы</w:t>
      </w:r>
      <w:r>
        <w:rPr>
          <w:spacing w:val="-11"/>
        </w:rPr>
        <w:t> </w:t>
      </w:r>
      <w:r>
        <w:rPr/>
        <w:t>(Broadband</w:t>
      </w:r>
      <w:r>
        <w:rPr>
          <w:spacing w:val="-8"/>
        </w:rPr>
        <w:t> </w:t>
      </w:r>
      <w:r>
        <w:rPr>
          <w:spacing w:val="-2"/>
        </w:rPr>
        <w:t>scales)</w:t>
      </w:r>
    </w:p>
    <w:p>
      <w:pPr>
        <w:pStyle w:val="Heading4"/>
        <w:numPr>
          <w:ilvl w:val="1"/>
          <w:numId w:val="15"/>
        </w:numPr>
        <w:tabs>
          <w:tab w:pos="1202" w:val="left" w:leader="none"/>
        </w:tabs>
        <w:spacing w:line="240" w:lineRule="auto" w:before="0" w:after="0"/>
        <w:ind w:left="565" w:right="562" w:firstLine="0"/>
        <w:jc w:val="both"/>
      </w:pPr>
      <w:r>
        <w:rPr/>
        <w:t>Показатель внутренних проблем </w:t>
      </w:r>
      <w:r>
        <w:rPr>
          <w:i/>
        </w:rPr>
        <w:t>(Internalizing) </w:t>
      </w:r>
      <w:r>
        <w:rPr/>
        <w:t>— сюда входит сумма шкал: замкнутость, соматические проблемы и тревожность.</w:t>
      </w:r>
    </w:p>
    <w:p>
      <w:pPr>
        <w:pStyle w:val="Heading4"/>
        <w:spacing w:after="0" w:line="240" w:lineRule="auto"/>
        <w:jc w:val="both"/>
        <w:sectPr>
          <w:pgSz w:w="11910" w:h="16840"/>
          <w:pgMar w:header="0" w:footer="970" w:top="1040" w:bottom="1220" w:left="1417" w:right="283"/>
        </w:sectPr>
      </w:pPr>
    </w:p>
    <w:p>
      <w:pPr>
        <w:pStyle w:val="Heading4"/>
        <w:numPr>
          <w:ilvl w:val="1"/>
          <w:numId w:val="15"/>
        </w:numPr>
        <w:tabs>
          <w:tab w:pos="1328" w:val="left" w:leader="none"/>
        </w:tabs>
        <w:spacing w:line="242" w:lineRule="auto" w:before="67" w:after="0"/>
        <w:ind w:left="565" w:right="560" w:firstLine="0"/>
        <w:jc w:val="left"/>
      </w:pPr>
      <w:r>
        <w:rPr/>
        <w:t>Показатель внешних проблем</w:t>
      </w:r>
      <w:r>
        <w:rPr>
          <w:spacing w:val="33"/>
        </w:rPr>
        <w:t> </w:t>
      </w:r>
      <w:r>
        <w:rPr>
          <w:i/>
        </w:rPr>
        <w:t>(Externalizing) </w:t>
      </w:r>
      <w:r>
        <w:rPr/>
        <w:t>— сюда входит сумма шкал: делинквентное поведение и агрессия.</w:t>
      </w:r>
    </w:p>
    <w:p>
      <w:pPr>
        <w:pStyle w:val="Heading5"/>
        <w:numPr>
          <w:ilvl w:val="0"/>
          <w:numId w:val="19"/>
        </w:numPr>
        <w:tabs>
          <w:tab w:pos="1288" w:val="left" w:leader="none"/>
        </w:tabs>
        <w:spacing w:line="318" w:lineRule="exact" w:before="0" w:after="0"/>
        <w:ind w:left="1288" w:right="0" w:hanging="303"/>
        <w:jc w:val="left"/>
      </w:pPr>
      <w:r>
        <w:rPr/>
        <w:t>Общий</w:t>
      </w:r>
      <w:r>
        <w:rPr>
          <w:spacing w:val="-6"/>
        </w:rPr>
        <w:t> </w:t>
      </w:r>
      <w:r>
        <w:rPr/>
        <w:t>показатель</w:t>
      </w:r>
      <w:r>
        <w:rPr>
          <w:spacing w:val="-6"/>
        </w:rPr>
        <w:t> </w:t>
      </w:r>
      <w:r>
        <w:rPr/>
        <w:t>проблем</w:t>
      </w:r>
      <w:r>
        <w:rPr>
          <w:spacing w:val="-6"/>
        </w:rPr>
        <w:t> </w:t>
      </w:r>
      <w:r>
        <w:rPr>
          <w:spacing w:val="-2"/>
        </w:rPr>
        <w:t>(Total).</w:t>
      </w:r>
    </w:p>
    <w:p>
      <w:pPr>
        <w:pStyle w:val="Heading4"/>
        <w:spacing w:before="240"/>
        <w:ind w:right="569"/>
      </w:pPr>
      <w:r>
        <w:rPr/>
        <w:t>Используется только одна из разработанных форм, предназначенная для заполнения педагогами.</w:t>
      </w:r>
    </w:p>
    <w:p>
      <w:pPr>
        <w:pStyle w:val="Heading3"/>
        <w:spacing w:before="246"/>
      </w:pPr>
      <w:r>
        <w:rPr/>
        <w:t>Проведение</w:t>
      </w:r>
      <w:r>
        <w:rPr>
          <w:spacing w:val="-10"/>
        </w:rPr>
        <w:t> </w:t>
      </w:r>
      <w:r>
        <w:rPr>
          <w:spacing w:val="-2"/>
        </w:rPr>
        <w:t>методики</w:t>
      </w:r>
    </w:p>
    <w:p>
      <w:pPr>
        <w:pStyle w:val="Heading4"/>
        <w:spacing w:before="233"/>
        <w:ind w:right="562"/>
      </w:pPr>
      <w:r>
        <w:rPr/>
        <w:t>Форма заполняется учителями и другими взрослыми, знакомыми с ребенком в контексте школы: администраторами, педагогами, воспитателями, логопедами</w:t>
      </w:r>
      <w:r>
        <w:rPr>
          <w:spacing w:val="-12"/>
        </w:rPr>
        <w:t> </w:t>
      </w:r>
      <w:r>
        <w:rPr/>
        <w:t>(см.</w:t>
      </w:r>
      <w:r>
        <w:rPr>
          <w:spacing w:val="-12"/>
        </w:rPr>
        <w:t> </w:t>
      </w:r>
      <w:r>
        <w:rPr>
          <w:i/>
        </w:rPr>
        <w:t>Приложение</w:t>
      </w:r>
      <w:r>
        <w:rPr>
          <w:i/>
          <w:spacing w:val="-12"/>
        </w:rPr>
        <w:t> </w:t>
      </w:r>
      <w:r>
        <w:rPr>
          <w:i/>
        </w:rPr>
        <w:t>5</w:t>
      </w:r>
      <w:r>
        <w:rPr/>
        <w:t>).</w:t>
      </w:r>
      <w:r>
        <w:rPr>
          <w:spacing w:val="-13"/>
        </w:rPr>
        <w:t> </w:t>
      </w:r>
      <w:r>
        <w:rPr/>
        <w:t>Заполнение</w:t>
      </w:r>
      <w:r>
        <w:rPr>
          <w:spacing w:val="-12"/>
        </w:rPr>
        <w:t> </w:t>
      </w:r>
      <w:r>
        <w:rPr/>
        <w:t>занимает</w:t>
      </w:r>
      <w:r>
        <w:rPr>
          <w:spacing w:val="-13"/>
        </w:rPr>
        <w:t> </w:t>
      </w:r>
      <w:r>
        <w:rPr/>
        <w:t>в</w:t>
      </w:r>
      <w:r>
        <w:rPr>
          <w:spacing w:val="-13"/>
        </w:rPr>
        <w:t> </w:t>
      </w:r>
      <w:r>
        <w:rPr/>
        <w:t>среднем</w:t>
      </w:r>
      <w:r>
        <w:rPr>
          <w:spacing w:val="-12"/>
        </w:rPr>
        <w:t> </w:t>
      </w:r>
      <w:r>
        <w:rPr/>
        <w:t>15–20</w:t>
      </w:r>
      <w:r>
        <w:rPr>
          <w:spacing w:val="-12"/>
        </w:rPr>
        <w:t> </w:t>
      </w:r>
      <w:r>
        <w:rPr/>
        <w:t>минут. Ответы на вопросы оцениваются в соответствии с ключом и суммируются по каждой шкале.</w:t>
      </w:r>
    </w:p>
    <w:p>
      <w:pPr>
        <w:pStyle w:val="Heading4"/>
        <w:spacing w:after="0"/>
        <w:sectPr>
          <w:pgSz w:w="11910" w:h="16840"/>
          <w:pgMar w:header="0" w:footer="970" w:top="1040" w:bottom="1220" w:left="1417" w:right="283"/>
        </w:sectPr>
      </w:pPr>
    </w:p>
    <w:p>
      <w:pPr>
        <w:pStyle w:val="Heading3"/>
        <w:ind w:left="0" w:right="561"/>
        <w:jc w:val="right"/>
      </w:pPr>
      <w:r>
        <w:rPr/>
        <w:t>Таблица</w:t>
      </w:r>
      <w:r>
        <w:rPr>
          <w:spacing w:val="-6"/>
        </w:rPr>
        <w:t> </w:t>
      </w:r>
      <w:r>
        <w:rPr>
          <w:spacing w:val="-10"/>
        </w:rPr>
        <w:t>7</w:t>
      </w:r>
    </w:p>
    <w:p>
      <w:pPr>
        <w:spacing w:before="240"/>
        <w:ind w:left="0" w:right="276" w:firstLine="0"/>
        <w:jc w:val="center"/>
        <w:rPr>
          <w:b/>
          <w:sz w:val="28"/>
        </w:rPr>
      </w:pPr>
      <w:r>
        <w:rPr>
          <w:b/>
          <w:sz w:val="28"/>
        </w:rPr>
        <w:t>Ключ</w:t>
      </w:r>
      <w:r>
        <w:rPr>
          <w:b/>
          <w:spacing w:val="-4"/>
          <w:sz w:val="28"/>
        </w:rPr>
        <w:t> </w:t>
      </w:r>
      <w:r>
        <w:rPr>
          <w:b/>
          <w:sz w:val="28"/>
        </w:rPr>
        <w:t>к</w:t>
      </w:r>
      <w:r>
        <w:rPr>
          <w:b/>
          <w:spacing w:val="-4"/>
          <w:sz w:val="28"/>
        </w:rPr>
        <w:t> </w:t>
      </w:r>
      <w:r>
        <w:rPr>
          <w:b/>
          <w:sz w:val="28"/>
        </w:rPr>
        <w:t>обработке</w:t>
      </w:r>
      <w:r>
        <w:rPr>
          <w:b/>
          <w:spacing w:val="-4"/>
          <w:sz w:val="28"/>
        </w:rPr>
        <w:t> </w:t>
      </w:r>
      <w:r>
        <w:rPr>
          <w:b/>
          <w:sz w:val="28"/>
        </w:rPr>
        <w:t>формы</w:t>
      </w:r>
      <w:r>
        <w:rPr>
          <w:b/>
          <w:spacing w:val="-3"/>
          <w:sz w:val="28"/>
        </w:rPr>
        <w:t> </w:t>
      </w:r>
      <w:r>
        <w:rPr>
          <w:b/>
          <w:spacing w:val="-2"/>
          <w:sz w:val="28"/>
        </w:rPr>
        <w:t>учителя</w:t>
      </w:r>
    </w:p>
    <w:p>
      <w:pPr>
        <w:pStyle w:val="BodyText"/>
        <w:ind w:left="0" w:right="0" w:firstLine="0"/>
        <w:jc w:val="left"/>
        <w:rPr>
          <w:b/>
        </w:rPr>
      </w:pPr>
    </w:p>
    <w:p>
      <w:pPr>
        <w:pStyle w:val="BodyText"/>
        <w:spacing w:before="104"/>
        <w:ind w:left="0" w:right="0" w:firstLine="0"/>
        <w:jc w:val="left"/>
        <w:rPr>
          <w:b/>
        </w:r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31"/>
        <w:gridCol w:w="5610"/>
      </w:tblGrid>
      <w:tr>
        <w:trPr>
          <w:trHeight w:val="714" w:hRule="atLeast"/>
        </w:trPr>
        <w:tc>
          <w:tcPr>
            <w:tcW w:w="4131" w:type="dxa"/>
          </w:tcPr>
          <w:p>
            <w:pPr>
              <w:pStyle w:val="TableParagraph"/>
              <w:spacing w:before="61"/>
              <w:rPr>
                <w:b/>
                <w:sz w:val="24"/>
              </w:rPr>
            </w:pPr>
          </w:p>
          <w:p>
            <w:pPr>
              <w:pStyle w:val="TableParagraph"/>
              <w:ind w:right="111"/>
              <w:jc w:val="center"/>
              <w:rPr>
                <w:b/>
                <w:sz w:val="24"/>
              </w:rPr>
            </w:pPr>
            <w:r>
              <w:rPr>
                <w:b/>
                <w:spacing w:val="-2"/>
                <w:sz w:val="24"/>
              </w:rPr>
              <w:t>Шкала</w:t>
            </w:r>
          </w:p>
        </w:tc>
        <w:tc>
          <w:tcPr>
            <w:tcW w:w="5610" w:type="dxa"/>
          </w:tcPr>
          <w:p>
            <w:pPr>
              <w:pStyle w:val="TableParagraph"/>
              <w:spacing w:before="61"/>
              <w:rPr>
                <w:b/>
                <w:sz w:val="24"/>
              </w:rPr>
            </w:pPr>
          </w:p>
          <w:p>
            <w:pPr>
              <w:pStyle w:val="TableParagraph"/>
              <w:ind w:right="109"/>
              <w:jc w:val="center"/>
              <w:rPr>
                <w:b/>
                <w:sz w:val="24"/>
              </w:rPr>
            </w:pPr>
            <w:r>
              <w:rPr>
                <w:b/>
                <w:spacing w:val="-2"/>
                <w:sz w:val="24"/>
              </w:rPr>
              <w:t>Вопросы</w:t>
            </w:r>
          </w:p>
        </w:tc>
      </w:tr>
      <w:tr>
        <w:trPr>
          <w:trHeight w:val="717" w:hRule="atLeast"/>
        </w:trPr>
        <w:tc>
          <w:tcPr>
            <w:tcW w:w="4131" w:type="dxa"/>
          </w:tcPr>
          <w:p>
            <w:pPr>
              <w:pStyle w:val="TableParagraph"/>
              <w:spacing w:before="56"/>
              <w:rPr>
                <w:b/>
                <w:sz w:val="24"/>
              </w:rPr>
            </w:pPr>
          </w:p>
          <w:p>
            <w:pPr>
              <w:pStyle w:val="TableParagraph"/>
              <w:ind w:left="220"/>
              <w:rPr>
                <w:sz w:val="24"/>
              </w:rPr>
            </w:pPr>
            <w:r>
              <w:rPr>
                <w:spacing w:val="-2"/>
                <w:sz w:val="24"/>
              </w:rPr>
              <w:t>Замкнутость</w:t>
            </w:r>
          </w:p>
        </w:tc>
        <w:tc>
          <w:tcPr>
            <w:tcW w:w="5610" w:type="dxa"/>
          </w:tcPr>
          <w:p>
            <w:pPr>
              <w:pStyle w:val="TableParagraph"/>
              <w:spacing w:before="56"/>
              <w:rPr>
                <w:b/>
                <w:sz w:val="24"/>
              </w:rPr>
            </w:pPr>
          </w:p>
          <w:p>
            <w:pPr>
              <w:pStyle w:val="TableParagraph"/>
              <w:ind w:left="218"/>
              <w:rPr>
                <w:sz w:val="24"/>
              </w:rPr>
            </w:pPr>
            <w:r>
              <w:rPr>
                <w:sz w:val="24"/>
              </w:rPr>
              <w:t>42, 65, 69, 75, 80, 88, 102, 103, </w:t>
            </w:r>
            <w:r>
              <w:rPr>
                <w:spacing w:val="-5"/>
                <w:sz w:val="24"/>
              </w:rPr>
              <w:t>111</w:t>
            </w:r>
          </w:p>
        </w:tc>
      </w:tr>
      <w:tr>
        <w:trPr>
          <w:trHeight w:val="714" w:hRule="atLeast"/>
        </w:trPr>
        <w:tc>
          <w:tcPr>
            <w:tcW w:w="4131" w:type="dxa"/>
          </w:tcPr>
          <w:p>
            <w:pPr>
              <w:pStyle w:val="TableParagraph"/>
              <w:spacing w:before="56"/>
              <w:rPr>
                <w:b/>
                <w:sz w:val="24"/>
              </w:rPr>
            </w:pPr>
          </w:p>
          <w:p>
            <w:pPr>
              <w:pStyle w:val="TableParagraph"/>
              <w:ind w:left="220"/>
              <w:rPr>
                <w:sz w:val="24"/>
              </w:rPr>
            </w:pPr>
            <w:r>
              <w:rPr>
                <w:sz w:val="24"/>
              </w:rPr>
              <w:t>Соматические</w:t>
            </w:r>
            <w:r>
              <w:rPr>
                <w:spacing w:val="-6"/>
                <w:sz w:val="24"/>
              </w:rPr>
              <w:t> </w:t>
            </w:r>
            <w:r>
              <w:rPr>
                <w:spacing w:val="-2"/>
                <w:sz w:val="24"/>
              </w:rPr>
              <w:t>жалобы</w:t>
            </w:r>
          </w:p>
        </w:tc>
        <w:tc>
          <w:tcPr>
            <w:tcW w:w="5610" w:type="dxa"/>
          </w:tcPr>
          <w:p>
            <w:pPr>
              <w:pStyle w:val="TableParagraph"/>
              <w:spacing w:before="56"/>
              <w:rPr>
                <w:b/>
                <w:sz w:val="24"/>
              </w:rPr>
            </w:pPr>
          </w:p>
          <w:p>
            <w:pPr>
              <w:pStyle w:val="TableParagraph"/>
              <w:ind w:left="218"/>
              <w:rPr>
                <w:sz w:val="24"/>
              </w:rPr>
            </w:pPr>
            <w:r>
              <w:rPr>
                <w:sz w:val="24"/>
              </w:rPr>
              <w:t>51, 54, 56a, 56б, 56в, 56г, 56д, 56е, </w:t>
            </w:r>
            <w:r>
              <w:rPr>
                <w:spacing w:val="-5"/>
                <w:sz w:val="24"/>
              </w:rPr>
              <w:t>56ж</w:t>
            </w:r>
          </w:p>
        </w:tc>
      </w:tr>
      <w:tr>
        <w:trPr>
          <w:trHeight w:val="993" w:hRule="atLeast"/>
        </w:trPr>
        <w:tc>
          <w:tcPr>
            <w:tcW w:w="4131" w:type="dxa"/>
          </w:tcPr>
          <w:p>
            <w:pPr>
              <w:pStyle w:val="TableParagraph"/>
              <w:spacing w:before="57"/>
              <w:rPr>
                <w:b/>
                <w:sz w:val="24"/>
              </w:rPr>
            </w:pPr>
          </w:p>
          <w:p>
            <w:pPr>
              <w:pStyle w:val="TableParagraph"/>
              <w:ind w:left="220"/>
              <w:rPr>
                <w:sz w:val="24"/>
              </w:rPr>
            </w:pPr>
            <w:r>
              <w:rPr>
                <w:sz w:val="24"/>
              </w:rPr>
              <w:t>Тревожность</w:t>
            </w:r>
            <w:r>
              <w:rPr>
                <w:spacing w:val="-4"/>
                <w:sz w:val="24"/>
              </w:rPr>
              <w:t> </w:t>
            </w:r>
            <w:r>
              <w:rPr>
                <w:sz w:val="24"/>
              </w:rPr>
              <w:t>—</w:t>
            </w:r>
            <w:r>
              <w:rPr>
                <w:spacing w:val="-4"/>
                <w:sz w:val="24"/>
              </w:rPr>
              <w:t> </w:t>
            </w:r>
            <w:r>
              <w:rPr>
                <w:spacing w:val="-2"/>
                <w:sz w:val="24"/>
              </w:rPr>
              <w:t>депрессивность</w:t>
            </w:r>
          </w:p>
        </w:tc>
        <w:tc>
          <w:tcPr>
            <w:tcW w:w="5610" w:type="dxa"/>
          </w:tcPr>
          <w:p>
            <w:pPr>
              <w:pStyle w:val="TableParagraph"/>
              <w:spacing w:before="57"/>
              <w:rPr>
                <w:b/>
                <w:sz w:val="24"/>
              </w:rPr>
            </w:pPr>
          </w:p>
          <w:p>
            <w:pPr>
              <w:pStyle w:val="TableParagraph"/>
              <w:ind w:left="218"/>
              <w:rPr>
                <w:sz w:val="24"/>
              </w:rPr>
            </w:pPr>
            <w:r>
              <w:rPr>
                <w:sz w:val="24"/>
              </w:rPr>
              <w:t>12,</w:t>
            </w:r>
            <w:r>
              <w:rPr>
                <w:spacing w:val="23"/>
                <w:sz w:val="24"/>
              </w:rPr>
              <w:t> </w:t>
            </w:r>
            <w:r>
              <w:rPr>
                <w:sz w:val="24"/>
              </w:rPr>
              <w:t>14,</w:t>
            </w:r>
            <w:r>
              <w:rPr>
                <w:spacing w:val="23"/>
                <w:sz w:val="24"/>
              </w:rPr>
              <w:t> </w:t>
            </w:r>
            <w:r>
              <w:rPr>
                <w:sz w:val="24"/>
              </w:rPr>
              <w:t>31,</w:t>
            </w:r>
            <w:r>
              <w:rPr>
                <w:spacing w:val="23"/>
                <w:sz w:val="24"/>
              </w:rPr>
              <w:t> </w:t>
            </w:r>
            <w:r>
              <w:rPr>
                <w:sz w:val="24"/>
              </w:rPr>
              <w:t>32,</w:t>
            </w:r>
            <w:r>
              <w:rPr>
                <w:spacing w:val="23"/>
                <w:sz w:val="24"/>
              </w:rPr>
              <w:t> </w:t>
            </w:r>
            <w:r>
              <w:rPr>
                <w:sz w:val="24"/>
              </w:rPr>
              <w:t>33,</w:t>
            </w:r>
            <w:r>
              <w:rPr>
                <w:spacing w:val="23"/>
                <w:sz w:val="24"/>
              </w:rPr>
              <w:t> </w:t>
            </w:r>
            <w:r>
              <w:rPr>
                <w:sz w:val="24"/>
              </w:rPr>
              <w:t>34,</w:t>
            </w:r>
            <w:r>
              <w:rPr>
                <w:spacing w:val="23"/>
                <w:sz w:val="24"/>
              </w:rPr>
              <w:t> </w:t>
            </w:r>
            <w:r>
              <w:rPr>
                <w:sz w:val="24"/>
              </w:rPr>
              <w:t>35,</w:t>
            </w:r>
            <w:r>
              <w:rPr>
                <w:spacing w:val="23"/>
                <w:sz w:val="24"/>
              </w:rPr>
              <w:t> </w:t>
            </w:r>
            <w:r>
              <w:rPr>
                <w:sz w:val="24"/>
              </w:rPr>
              <w:t>45,</w:t>
            </w:r>
            <w:r>
              <w:rPr>
                <w:spacing w:val="23"/>
                <w:sz w:val="24"/>
              </w:rPr>
              <w:t> </w:t>
            </w:r>
            <w:r>
              <w:rPr>
                <w:sz w:val="24"/>
              </w:rPr>
              <w:t>47,</w:t>
            </w:r>
            <w:r>
              <w:rPr>
                <w:spacing w:val="23"/>
                <w:sz w:val="24"/>
              </w:rPr>
              <w:t> </w:t>
            </w:r>
            <w:r>
              <w:rPr>
                <w:sz w:val="24"/>
              </w:rPr>
              <w:t>50,</w:t>
            </w:r>
            <w:r>
              <w:rPr>
                <w:spacing w:val="23"/>
                <w:sz w:val="24"/>
              </w:rPr>
              <w:t> </w:t>
            </w:r>
            <w:r>
              <w:rPr>
                <w:sz w:val="24"/>
              </w:rPr>
              <w:t>52,</w:t>
            </w:r>
            <w:r>
              <w:rPr>
                <w:spacing w:val="23"/>
                <w:sz w:val="24"/>
              </w:rPr>
              <w:t> </w:t>
            </w:r>
            <w:r>
              <w:rPr>
                <w:sz w:val="24"/>
              </w:rPr>
              <w:t>71,</w:t>
            </w:r>
            <w:r>
              <w:rPr>
                <w:spacing w:val="23"/>
                <w:sz w:val="24"/>
              </w:rPr>
              <w:t> </w:t>
            </w:r>
            <w:r>
              <w:rPr>
                <w:sz w:val="24"/>
              </w:rPr>
              <w:t>81,</w:t>
            </w:r>
            <w:r>
              <w:rPr>
                <w:spacing w:val="23"/>
                <w:sz w:val="24"/>
              </w:rPr>
              <w:t> </w:t>
            </w:r>
            <w:r>
              <w:rPr>
                <w:spacing w:val="-5"/>
                <w:sz w:val="24"/>
              </w:rPr>
              <w:t>89,</w:t>
            </w:r>
          </w:p>
          <w:p>
            <w:pPr>
              <w:pStyle w:val="TableParagraph"/>
              <w:ind w:left="218"/>
              <w:rPr>
                <w:sz w:val="24"/>
              </w:rPr>
            </w:pPr>
            <w:r>
              <w:rPr>
                <w:sz w:val="24"/>
              </w:rPr>
              <w:t>103, 106, 108, </w:t>
            </w:r>
            <w:r>
              <w:rPr>
                <w:spacing w:val="-5"/>
                <w:sz w:val="24"/>
              </w:rPr>
              <w:t>112</w:t>
            </w:r>
          </w:p>
        </w:tc>
      </w:tr>
      <w:tr>
        <w:trPr>
          <w:trHeight w:val="714" w:hRule="atLeast"/>
        </w:trPr>
        <w:tc>
          <w:tcPr>
            <w:tcW w:w="4131" w:type="dxa"/>
          </w:tcPr>
          <w:p>
            <w:pPr>
              <w:pStyle w:val="TableParagraph"/>
              <w:spacing w:before="56"/>
              <w:rPr>
                <w:b/>
                <w:sz w:val="24"/>
              </w:rPr>
            </w:pPr>
          </w:p>
          <w:p>
            <w:pPr>
              <w:pStyle w:val="TableParagraph"/>
              <w:ind w:left="220"/>
              <w:rPr>
                <w:sz w:val="24"/>
              </w:rPr>
            </w:pPr>
            <w:r>
              <w:rPr>
                <w:sz w:val="24"/>
              </w:rPr>
              <w:t>Социальные</w:t>
            </w:r>
            <w:r>
              <w:rPr>
                <w:spacing w:val="-7"/>
                <w:sz w:val="24"/>
              </w:rPr>
              <w:t> </w:t>
            </w:r>
            <w:r>
              <w:rPr>
                <w:spacing w:val="-2"/>
                <w:sz w:val="24"/>
              </w:rPr>
              <w:t>трудности</w:t>
            </w:r>
          </w:p>
        </w:tc>
        <w:tc>
          <w:tcPr>
            <w:tcW w:w="5610" w:type="dxa"/>
          </w:tcPr>
          <w:p>
            <w:pPr>
              <w:pStyle w:val="TableParagraph"/>
              <w:spacing w:before="56"/>
              <w:rPr>
                <w:b/>
                <w:sz w:val="24"/>
              </w:rPr>
            </w:pPr>
          </w:p>
          <w:p>
            <w:pPr>
              <w:pStyle w:val="TableParagraph"/>
              <w:ind w:left="218"/>
              <w:rPr>
                <w:sz w:val="24"/>
              </w:rPr>
            </w:pPr>
            <w:r>
              <w:rPr>
                <w:sz w:val="24"/>
              </w:rPr>
              <w:t>1, 11, 12, 14, 25, 33, 34, 35, 36, 38, 48, 62, </w:t>
            </w:r>
            <w:r>
              <w:rPr>
                <w:spacing w:val="-5"/>
                <w:sz w:val="24"/>
              </w:rPr>
              <w:t>64</w:t>
            </w:r>
          </w:p>
        </w:tc>
      </w:tr>
      <w:tr>
        <w:trPr>
          <w:trHeight w:val="993" w:hRule="atLeast"/>
        </w:trPr>
        <w:tc>
          <w:tcPr>
            <w:tcW w:w="4131" w:type="dxa"/>
          </w:tcPr>
          <w:p>
            <w:pPr>
              <w:pStyle w:val="TableParagraph"/>
              <w:spacing w:before="56"/>
              <w:rPr>
                <w:b/>
                <w:sz w:val="24"/>
              </w:rPr>
            </w:pPr>
          </w:p>
          <w:p>
            <w:pPr>
              <w:pStyle w:val="TableParagraph"/>
              <w:ind w:left="220"/>
              <w:rPr>
                <w:sz w:val="24"/>
              </w:rPr>
            </w:pPr>
            <w:r>
              <w:rPr>
                <w:sz w:val="24"/>
              </w:rPr>
              <w:t>Трудности</w:t>
            </w:r>
            <w:r>
              <w:rPr>
                <w:spacing w:val="-7"/>
                <w:sz w:val="24"/>
              </w:rPr>
              <w:t> </w:t>
            </w:r>
            <w:r>
              <w:rPr>
                <w:spacing w:val="-2"/>
                <w:sz w:val="24"/>
              </w:rPr>
              <w:t>внимания</w:t>
            </w:r>
          </w:p>
        </w:tc>
        <w:tc>
          <w:tcPr>
            <w:tcW w:w="5610" w:type="dxa"/>
          </w:tcPr>
          <w:p>
            <w:pPr>
              <w:pStyle w:val="TableParagraph"/>
              <w:spacing w:before="56"/>
              <w:rPr>
                <w:b/>
                <w:sz w:val="24"/>
              </w:rPr>
            </w:pPr>
          </w:p>
          <w:p>
            <w:pPr>
              <w:pStyle w:val="TableParagraph"/>
              <w:ind w:left="218"/>
              <w:rPr>
                <w:sz w:val="24"/>
              </w:rPr>
            </w:pPr>
            <w:r>
              <w:rPr>
                <w:sz w:val="24"/>
              </w:rPr>
              <w:t>1,</w:t>
            </w:r>
            <w:r>
              <w:rPr>
                <w:spacing w:val="8"/>
                <w:sz w:val="24"/>
              </w:rPr>
              <w:t> </w:t>
            </w:r>
            <w:r>
              <w:rPr>
                <w:sz w:val="24"/>
              </w:rPr>
              <w:t>2,</w:t>
            </w:r>
            <w:r>
              <w:rPr>
                <w:spacing w:val="9"/>
                <w:sz w:val="24"/>
              </w:rPr>
              <w:t> </w:t>
            </w:r>
            <w:r>
              <w:rPr>
                <w:sz w:val="24"/>
              </w:rPr>
              <w:t>4,</w:t>
            </w:r>
            <w:r>
              <w:rPr>
                <w:spacing w:val="9"/>
                <w:sz w:val="24"/>
              </w:rPr>
              <w:t> </w:t>
            </w:r>
            <w:r>
              <w:rPr>
                <w:sz w:val="24"/>
              </w:rPr>
              <w:t>8,</w:t>
            </w:r>
            <w:r>
              <w:rPr>
                <w:spacing w:val="9"/>
                <w:sz w:val="24"/>
              </w:rPr>
              <w:t> </w:t>
            </w:r>
            <w:r>
              <w:rPr>
                <w:sz w:val="24"/>
              </w:rPr>
              <w:t>10,</w:t>
            </w:r>
            <w:r>
              <w:rPr>
                <w:spacing w:val="6"/>
                <w:sz w:val="24"/>
              </w:rPr>
              <w:t> </w:t>
            </w:r>
            <w:r>
              <w:rPr>
                <w:sz w:val="24"/>
              </w:rPr>
              <w:t>13,</w:t>
            </w:r>
            <w:r>
              <w:rPr>
                <w:spacing w:val="8"/>
                <w:sz w:val="24"/>
              </w:rPr>
              <w:t> </w:t>
            </w:r>
            <w:r>
              <w:rPr>
                <w:sz w:val="24"/>
              </w:rPr>
              <w:t>15,</w:t>
            </w:r>
            <w:r>
              <w:rPr>
                <w:spacing w:val="9"/>
                <w:sz w:val="24"/>
              </w:rPr>
              <w:t> </w:t>
            </w:r>
            <w:r>
              <w:rPr>
                <w:sz w:val="24"/>
              </w:rPr>
              <w:t>17,</w:t>
            </w:r>
            <w:r>
              <w:rPr>
                <w:spacing w:val="6"/>
                <w:sz w:val="24"/>
              </w:rPr>
              <w:t> </w:t>
            </w:r>
            <w:r>
              <w:rPr>
                <w:sz w:val="24"/>
              </w:rPr>
              <w:t>22</w:t>
            </w:r>
            <w:r>
              <w:rPr>
                <w:spacing w:val="9"/>
                <w:sz w:val="24"/>
              </w:rPr>
              <w:t> </w:t>
            </w:r>
            <w:r>
              <w:rPr>
                <w:sz w:val="24"/>
              </w:rPr>
              <w:t>41,</w:t>
            </w:r>
            <w:r>
              <w:rPr>
                <w:spacing w:val="9"/>
                <w:sz w:val="24"/>
              </w:rPr>
              <w:t> </w:t>
            </w:r>
            <w:r>
              <w:rPr>
                <w:sz w:val="24"/>
              </w:rPr>
              <w:t>45,</w:t>
            </w:r>
            <w:r>
              <w:rPr>
                <w:spacing w:val="8"/>
                <w:sz w:val="24"/>
              </w:rPr>
              <w:t> </w:t>
            </w:r>
            <w:r>
              <w:rPr>
                <w:sz w:val="24"/>
              </w:rPr>
              <w:t>49,</w:t>
            </w:r>
            <w:r>
              <w:rPr>
                <w:spacing w:val="6"/>
                <w:sz w:val="24"/>
              </w:rPr>
              <w:t> </w:t>
            </w:r>
            <w:r>
              <w:rPr>
                <w:sz w:val="24"/>
              </w:rPr>
              <w:t>60,</w:t>
            </w:r>
            <w:r>
              <w:rPr>
                <w:spacing w:val="9"/>
                <w:sz w:val="24"/>
              </w:rPr>
              <w:t> </w:t>
            </w:r>
            <w:r>
              <w:rPr>
                <w:sz w:val="24"/>
              </w:rPr>
              <w:t>61,</w:t>
            </w:r>
            <w:r>
              <w:rPr>
                <w:spacing w:val="9"/>
                <w:sz w:val="24"/>
              </w:rPr>
              <w:t> </w:t>
            </w:r>
            <w:r>
              <w:rPr>
                <w:sz w:val="24"/>
              </w:rPr>
              <w:t>62,</w:t>
            </w:r>
            <w:r>
              <w:rPr>
                <w:spacing w:val="9"/>
                <w:sz w:val="24"/>
              </w:rPr>
              <w:t> </w:t>
            </w:r>
            <w:r>
              <w:rPr>
                <w:spacing w:val="-5"/>
                <w:sz w:val="24"/>
              </w:rPr>
              <w:t>72,</w:t>
            </w:r>
          </w:p>
          <w:p>
            <w:pPr>
              <w:pStyle w:val="TableParagraph"/>
              <w:ind w:left="218"/>
              <w:rPr>
                <w:sz w:val="24"/>
              </w:rPr>
            </w:pPr>
            <w:r>
              <w:rPr>
                <w:sz w:val="24"/>
              </w:rPr>
              <w:t>78, 80, 92, </w:t>
            </w:r>
            <w:r>
              <w:rPr>
                <w:spacing w:val="-5"/>
                <w:sz w:val="24"/>
              </w:rPr>
              <w:t>100</w:t>
            </w:r>
          </w:p>
        </w:tc>
      </w:tr>
      <w:tr>
        <w:trPr>
          <w:trHeight w:val="991" w:hRule="atLeast"/>
        </w:trPr>
        <w:tc>
          <w:tcPr>
            <w:tcW w:w="4131" w:type="dxa"/>
          </w:tcPr>
          <w:p>
            <w:pPr>
              <w:pStyle w:val="TableParagraph"/>
              <w:spacing w:before="56"/>
              <w:rPr>
                <w:b/>
                <w:sz w:val="24"/>
              </w:rPr>
            </w:pPr>
          </w:p>
          <w:p>
            <w:pPr>
              <w:pStyle w:val="TableParagraph"/>
              <w:spacing w:before="1"/>
              <w:ind w:left="220"/>
              <w:rPr>
                <w:sz w:val="24"/>
              </w:rPr>
            </w:pPr>
            <w:r>
              <w:rPr>
                <w:spacing w:val="-2"/>
                <w:sz w:val="24"/>
              </w:rPr>
              <w:t>Делинквентность</w:t>
            </w:r>
          </w:p>
        </w:tc>
        <w:tc>
          <w:tcPr>
            <w:tcW w:w="5610" w:type="dxa"/>
          </w:tcPr>
          <w:p>
            <w:pPr>
              <w:pStyle w:val="TableParagraph"/>
              <w:spacing w:before="56"/>
              <w:rPr>
                <w:b/>
                <w:sz w:val="24"/>
              </w:rPr>
            </w:pPr>
          </w:p>
          <w:p>
            <w:pPr>
              <w:pStyle w:val="TableParagraph"/>
              <w:spacing w:before="1"/>
              <w:ind w:left="218"/>
              <w:rPr>
                <w:sz w:val="24"/>
              </w:rPr>
            </w:pPr>
            <w:r>
              <w:rPr>
                <w:sz w:val="24"/>
              </w:rPr>
              <w:t>12,</w:t>
            </w:r>
            <w:r>
              <w:rPr>
                <w:spacing w:val="23"/>
                <w:sz w:val="24"/>
              </w:rPr>
              <w:t> </w:t>
            </w:r>
            <w:r>
              <w:rPr>
                <w:sz w:val="24"/>
              </w:rPr>
              <w:t>14,</w:t>
            </w:r>
            <w:r>
              <w:rPr>
                <w:spacing w:val="23"/>
                <w:sz w:val="24"/>
              </w:rPr>
              <w:t> </w:t>
            </w:r>
            <w:r>
              <w:rPr>
                <w:sz w:val="24"/>
              </w:rPr>
              <w:t>31,</w:t>
            </w:r>
            <w:r>
              <w:rPr>
                <w:spacing w:val="23"/>
                <w:sz w:val="24"/>
              </w:rPr>
              <w:t> </w:t>
            </w:r>
            <w:r>
              <w:rPr>
                <w:sz w:val="24"/>
              </w:rPr>
              <w:t>32,</w:t>
            </w:r>
            <w:r>
              <w:rPr>
                <w:spacing w:val="23"/>
                <w:sz w:val="24"/>
              </w:rPr>
              <w:t> </w:t>
            </w:r>
            <w:r>
              <w:rPr>
                <w:sz w:val="24"/>
              </w:rPr>
              <w:t>33,</w:t>
            </w:r>
            <w:r>
              <w:rPr>
                <w:spacing w:val="23"/>
                <w:sz w:val="24"/>
              </w:rPr>
              <w:t> </w:t>
            </w:r>
            <w:r>
              <w:rPr>
                <w:sz w:val="24"/>
              </w:rPr>
              <w:t>34,</w:t>
            </w:r>
            <w:r>
              <w:rPr>
                <w:spacing w:val="23"/>
                <w:sz w:val="24"/>
              </w:rPr>
              <w:t> </w:t>
            </w:r>
            <w:r>
              <w:rPr>
                <w:sz w:val="24"/>
              </w:rPr>
              <w:t>35,</w:t>
            </w:r>
            <w:r>
              <w:rPr>
                <w:spacing w:val="23"/>
                <w:sz w:val="24"/>
              </w:rPr>
              <w:t> </w:t>
            </w:r>
            <w:r>
              <w:rPr>
                <w:sz w:val="24"/>
              </w:rPr>
              <w:t>45,</w:t>
            </w:r>
            <w:r>
              <w:rPr>
                <w:spacing w:val="23"/>
                <w:sz w:val="24"/>
              </w:rPr>
              <w:t> </w:t>
            </w:r>
            <w:r>
              <w:rPr>
                <w:sz w:val="24"/>
              </w:rPr>
              <w:t>47,</w:t>
            </w:r>
            <w:r>
              <w:rPr>
                <w:spacing w:val="23"/>
                <w:sz w:val="24"/>
              </w:rPr>
              <w:t> </w:t>
            </w:r>
            <w:r>
              <w:rPr>
                <w:sz w:val="24"/>
              </w:rPr>
              <w:t>50,</w:t>
            </w:r>
            <w:r>
              <w:rPr>
                <w:spacing w:val="23"/>
                <w:sz w:val="24"/>
              </w:rPr>
              <w:t> </w:t>
            </w:r>
            <w:r>
              <w:rPr>
                <w:sz w:val="24"/>
              </w:rPr>
              <w:t>52,</w:t>
            </w:r>
            <w:r>
              <w:rPr>
                <w:spacing w:val="23"/>
                <w:sz w:val="24"/>
              </w:rPr>
              <w:t> </w:t>
            </w:r>
            <w:r>
              <w:rPr>
                <w:sz w:val="24"/>
              </w:rPr>
              <w:t>71,</w:t>
            </w:r>
            <w:r>
              <w:rPr>
                <w:spacing w:val="23"/>
                <w:sz w:val="24"/>
              </w:rPr>
              <w:t> </w:t>
            </w:r>
            <w:r>
              <w:rPr>
                <w:sz w:val="24"/>
              </w:rPr>
              <w:t>81,</w:t>
            </w:r>
            <w:r>
              <w:rPr>
                <w:spacing w:val="23"/>
                <w:sz w:val="24"/>
              </w:rPr>
              <w:t> </w:t>
            </w:r>
            <w:r>
              <w:rPr>
                <w:spacing w:val="-5"/>
                <w:sz w:val="24"/>
              </w:rPr>
              <w:t>89,</w:t>
            </w:r>
          </w:p>
          <w:p>
            <w:pPr>
              <w:pStyle w:val="TableParagraph"/>
              <w:ind w:left="218"/>
              <w:rPr>
                <w:sz w:val="24"/>
              </w:rPr>
            </w:pPr>
            <w:r>
              <w:rPr>
                <w:sz w:val="24"/>
              </w:rPr>
              <w:t>103, 106, 108, </w:t>
            </w:r>
            <w:r>
              <w:rPr>
                <w:spacing w:val="-5"/>
                <w:sz w:val="24"/>
              </w:rPr>
              <w:t>112</w:t>
            </w:r>
          </w:p>
        </w:tc>
      </w:tr>
      <w:tr>
        <w:trPr>
          <w:trHeight w:val="993" w:hRule="atLeast"/>
        </w:trPr>
        <w:tc>
          <w:tcPr>
            <w:tcW w:w="4131" w:type="dxa"/>
          </w:tcPr>
          <w:p>
            <w:pPr>
              <w:pStyle w:val="TableParagraph"/>
              <w:spacing w:before="56"/>
              <w:rPr>
                <w:b/>
                <w:sz w:val="24"/>
              </w:rPr>
            </w:pPr>
          </w:p>
          <w:p>
            <w:pPr>
              <w:pStyle w:val="TableParagraph"/>
              <w:ind w:left="220"/>
              <w:rPr>
                <w:sz w:val="24"/>
              </w:rPr>
            </w:pPr>
            <w:r>
              <w:rPr>
                <w:spacing w:val="-2"/>
                <w:sz w:val="24"/>
              </w:rPr>
              <w:t>Агрессивность</w:t>
            </w:r>
          </w:p>
        </w:tc>
        <w:tc>
          <w:tcPr>
            <w:tcW w:w="5610" w:type="dxa"/>
          </w:tcPr>
          <w:p>
            <w:pPr>
              <w:pStyle w:val="TableParagraph"/>
              <w:spacing w:before="56"/>
              <w:rPr>
                <w:b/>
                <w:sz w:val="24"/>
              </w:rPr>
            </w:pPr>
          </w:p>
          <w:p>
            <w:pPr>
              <w:pStyle w:val="TableParagraph"/>
              <w:ind w:left="218"/>
              <w:rPr>
                <w:sz w:val="24"/>
              </w:rPr>
            </w:pPr>
            <w:r>
              <w:rPr>
                <w:sz w:val="24"/>
              </w:rPr>
              <w:t>3,</w:t>
            </w:r>
            <w:r>
              <w:rPr>
                <w:spacing w:val="-4"/>
                <w:sz w:val="24"/>
              </w:rPr>
              <w:t> </w:t>
            </w:r>
            <w:r>
              <w:rPr>
                <w:sz w:val="24"/>
              </w:rPr>
              <w:t>6,</w:t>
            </w:r>
            <w:r>
              <w:rPr>
                <w:spacing w:val="-3"/>
                <w:sz w:val="24"/>
              </w:rPr>
              <w:t> </w:t>
            </w:r>
            <w:r>
              <w:rPr>
                <w:sz w:val="24"/>
              </w:rPr>
              <w:t>7,</w:t>
            </w:r>
            <w:r>
              <w:rPr>
                <w:spacing w:val="-3"/>
                <w:sz w:val="24"/>
              </w:rPr>
              <w:t> </w:t>
            </w:r>
            <w:r>
              <w:rPr>
                <w:sz w:val="24"/>
              </w:rPr>
              <w:t>16,</w:t>
            </w:r>
            <w:r>
              <w:rPr>
                <w:spacing w:val="-3"/>
                <w:sz w:val="24"/>
              </w:rPr>
              <w:t> </w:t>
            </w:r>
            <w:r>
              <w:rPr>
                <w:sz w:val="24"/>
              </w:rPr>
              <w:t>19,</w:t>
            </w:r>
            <w:r>
              <w:rPr>
                <w:spacing w:val="-5"/>
                <w:sz w:val="24"/>
              </w:rPr>
              <w:t> </w:t>
            </w:r>
            <w:r>
              <w:rPr>
                <w:sz w:val="24"/>
              </w:rPr>
              <w:t>20,</w:t>
            </w:r>
            <w:r>
              <w:rPr>
                <w:spacing w:val="-4"/>
                <w:sz w:val="24"/>
              </w:rPr>
              <w:t> </w:t>
            </w:r>
            <w:r>
              <w:rPr>
                <w:sz w:val="24"/>
              </w:rPr>
              <w:t>21,</w:t>
            </w:r>
            <w:r>
              <w:rPr>
                <w:spacing w:val="-3"/>
                <w:sz w:val="24"/>
              </w:rPr>
              <w:t> </w:t>
            </w:r>
            <w:r>
              <w:rPr>
                <w:sz w:val="24"/>
              </w:rPr>
              <w:t>23,</w:t>
            </w:r>
            <w:r>
              <w:rPr>
                <w:spacing w:val="-5"/>
                <w:sz w:val="24"/>
              </w:rPr>
              <w:t> </w:t>
            </w:r>
            <w:r>
              <w:rPr>
                <w:sz w:val="24"/>
              </w:rPr>
              <w:t>24,</w:t>
            </w:r>
            <w:r>
              <w:rPr>
                <w:spacing w:val="-3"/>
                <w:sz w:val="24"/>
              </w:rPr>
              <w:t> </w:t>
            </w:r>
            <w:r>
              <w:rPr>
                <w:sz w:val="24"/>
              </w:rPr>
              <w:t>27,</w:t>
            </w:r>
            <w:r>
              <w:rPr>
                <w:spacing w:val="-3"/>
                <w:sz w:val="24"/>
              </w:rPr>
              <w:t> </w:t>
            </w:r>
            <w:r>
              <w:rPr>
                <w:sz w:val="24"/>
              </w:rPr>
              <w:t>37,</w:t>
            </w:r>
            <w:r>
              <w:rPr>
                <w:spacing w:val="-4"/>
                <w:sz w:val="24"/>
              </w:rPr>
              <w:t> </w:t>
            </w:r>
            <w:r>
              <w:rPr>
                <w:sz w:val="24"/>
              </w:rPr>
              <w:t>53,</w:t>
            </w:r>
            <w:r>
              <w:rPr>
                <w:spacing w:val="-5"/>
                <w:sz w:val="24"/>
              </w:rPr>
              <w:t> </w:t>
            </w:r>
            <w:r>
              <w:rPr>
                <w:sz w:val="24"/>
              </w:rPr>
              <w:t>57,</w:t>
            </w:r>
            <w:r>
              <w:rPr>
                <w:spacing w:val="-3"/>
                <w:sz w:val="24"/>
              </w:rPr>
              <w:t> </w:t>
            </w:r>
            <w:r>
              <w:rPr>
                <w:sz w:val="24"/>
              </w:rPr>
              <w:t>67,</w:t>
            </w:r>
            <w:r>
              <w:rPr>
                <w:spacing w:val="-3"/>
                <w:sz w:val="24"/>
              </w:rPr>
              <w:t> </w:t>
            </w:r>
            <w:r>
              <w:rPr>
                <w:sz w:val="24"/>
              </w:rPr>
              <w:t>68,</w:t>
            </w:r>
            <w:r>
              <w:rPr>
                <w:spacing w:val="-3"/>
                <w:sz w:val="24"/>
              </w:rPr>
              <w:t> </w:t>
            </w:r>
            <w:r>
              <w:rPr>
                <w:spacing w:val="-5"/>
                <w:sz w:val="24"/>
              </w:rPr>
              <w:t>74,</w:t>
            </w:r>
          </w:p>
          <w:p>
            <w:pPr>
              <w:pStyle w:val="TableParagraph"/>
              <w:ind w:left="218"/>
              <w:rPr>
                <w:sz w:val="24"/>
              </w:rPr>
            </w:pPr>
            <w:r>
              <w:rPr>
                <w:sz w:val="24"/>
              </w:rPr>
              <w:t>76, 77, 86, 87, 93, 94, 95, 97, </w:t>
            </w:r>
            <w:r>
              <w:rPr>
                <w:spacing w:val="-5"/>
                <w:sz w:val="24"/>
              </w:rPr>
              <w:t>104</w:t>
            </w:r>
          </w:p>
        </w:tc>
      </w:tr>
      <w:tr>
        <w:trPr>
          <w:trHeight w:val="1266" w:hRule="atLeast"/>
        </w:trPr>
        <w:tc>
          <w:tcPr>
            <w:tcW w:w="4131" w:type="dxa"/>
          </w:tcPr>
          <w:p>
            <w:pPr>
              <w:pStyle w:val="TableParagraph"/>
              <w:spacing w:before="56"/>
              <w:rPr>
                <w:b/>
                <w:sz w:val="24"/>
              </w:rPr>
            </w:pPr>
          </w:p>
          <w:p>
            <w:pPr>
              <w:pStyle w:val="TableParagraph"/>
              <w:ind w:left="220"/>
              <w:rPr>
                <w:sz w:val="24"/>
              </w:rPr>
            </w:pPr>
            <w:r>
              <w:rPr>
                <w:sz w:val="24"/>
              </w:rPr>
              <w:t>Проблемы</w:t>
            </w:r>
            <w:r>
              <w:rPr>
                <w:spacing w:val="-2"/>
                <w:sz w:val="24"/>
              </w:rPr>
              <w:t> интернализации</w:t>
            </w:r>
          </w:p>
        </w:tc>
        <w:tc>
          <w:tcPr>
            <w:tcW w:w="5610" w:type="dxa"/>
          </w:tcPr>
          <w:p>
            <w:pPr>
              <w:pStyle w:val="TableParagraph"/>
              <w:spacing w:before="56"/>
              <w:rPr>
                <w:b/>
                <w:sz w:val="24"/>
              </w:rPr>
            </w:pPr>
          </w:p>
          <w:p>
            <w:pPr>
              <w:pStyle w:val="TableParagraph"/>
              <w:ind w:left="218"/>
              <w:rPr>
                <w:sz w:val="24"/>
              </w:rPr>
            </w:pPr>
            <w:r>
              <w:rPr>
                <w:sz w:val="24"/>
              </w:rPr>
              <w:t>42,</w:t>
            </w:r>
            <w:r>
              <w:rPr>
                <w:spacing w:val="5"/>
                <w:sz w:val="24"/>
              </w:rPr>
              <w:t> </w:t>
            </w:r>
            <w:r>
              <w:rPr>
                <w:sz w:val="24"/>
              </w:rPr>
              <w:t>65,</w:t>
            </w:r>
            <w:r>
              <w:rPr>
                <w:spacing w:val="6"/>
                <w:sz w:val="24"/>
              </w:rPr>
              <w:t> </w:t>
            </w:r>
            <w:r>
              <w:rPr>
                <w:sz w:val="24"/>
              </w:rPr>
              <w:t>69,</w:t>
            </w:r>
            <w:r>
              <w:rPr>
                <w:spacing w:val="6"/>
                <w:sz w:val="24"/>
              </w:rPr>
              <w:t> </w:t>
            </w:r>
            <w:r>
              <w:rPr>
                <w:sz w:val="24"/>
              </w:rPr>
              <w:t>75,</w:t>
            </w:r>
            <w:r>
              <w:rPr>
                <w:spacing w:val="5"/>
                <w:sz w:val="24"/>
              </w:rPr>
              <w:t> </w:t>
            </w:r>
            <w:r>
              <w:rPr>
                <w:sz w:val="24"/>
              </w:rPr>
              <w:t>80,</w:t>
            </w:r>
            <w:r>
              <w:rPr>
                <w:spacing w:val="6"/>
                <w:sz w:val="24"/>
              </w:rPr>
              <w:t> </w:t>
            </w:r>
            <w:r>
              <w:rPr>
                <w:sz w:val="24"/>
              </w:rPr>
              <w:t>88,</w:t>
            </w:r>
            <w:r>
              <w:rPr>
                <w:spacing w:val="6"/>
                <w:sz w:val="24"/>
              </w:rPr>
              <w:t> </w:t>
            </w:r>
            <w:r>
              <w:rPr>
                <w:sz w:val="24"/>
              </w:rPr>
              <w:t>102,</w:t>
            </w:r>
            <w:r>
              <w:rPr>
                <w:spacing w:val="5"/>
                <w:sz w:val="24"/>
              </w:rPr>
              <w:t> </w:t>
            </w:r>
            <w:r>
              <w:rPr>
                <w:sz w:val="24"/>
              </w:rPr>
              <w:t>103,</w:t>
            </w:r>
            <w:r>
              <w:rPr>
                <w:spacing w:val="6"/>
                <w:sz w:val="24"/>
              </w:rPr>
              <w:t> </w:t>
            </w:r>
            <w:r>
              <w:rPr>
                <w:sz w:val="24"/>
              </w:rPr>
              <w:t>111,</w:t>
            </w:r>
            <w:r>
              <w:rPr>
                <w:spacing w:val="6"/>
                <w:sz w:val="24"/>
              </w:rPr>
              <w:t> </w:t>
            </w:r>
            <w:r>
              <w:rPr>
                <w:sz w:val="24"/>
              </w:rPr>
              <w:t>51,</w:t>
            </w:r>
            <w:r>
              <w:rPr>
                <w:spacing w:val="5"/>
                <w:sz w:val="24"/>
              </w:rPr>
              <w:t> </w:t>
            </w:r>
            <w:r>
              <w:rPr>
                <w:sz w:val="24"/>
              </w:rPr>
              <w:t>54,</w:t>
            </w:r>
            <w:r>
              <w:rPr>
                <w:spacing w:val="6"/>
                <w:sz w:val="24"/>
              </w:rPr>
              <w:t> </w:t>
            </w:r>
            <w:r>
              <w:rPr>
                <w:sz w:val="24"/>
              </w:rPr>
              <w:t>56a,</w:t>
            </w:r>
            <w:r>
              <w:rPr>
                <w:spacing w:val="6"/>
                <w:sz w:val="24"/>
              </w:rPr>
              <w:t> </w:t>
            </w:r>
            <w:r>
              <w:rPr>
                <w:spacing w:val="-4"/>
                <w:sz w:val="24"/>
              </w:rPr>
              <w:t>56б,</w:t>
            </w:r>
          </w:p>
          <w:p>
            <w:pPr>
              <w:pStyle w:val="TableParagraph"/>
              <w:ind w:left="218"/>
              <w:rPr>
                <w:sz w:val="24"/>
              </w:rPr>
            </w:pPr>
            <w:r>
              <w:rPr>
                <w:sz w:val="24"/>
              </w:rPr>
              <w:t>56в,</w:t>
            </w:r>
            <w:r>
              <w:rPr>
                <w:spacing w:val="4"/>
                <w:sz w:val="24"/>
              </w:rPr>
              <w:t> </w:t>
            </w:r>
            <w:r>
              <w:rPr>
                <w:sz w:val="24"/>
              </w:rPr>
              <w:t>56г,</w:t>
            </w:r>
            <w:r>
              <w:rPr>
                <w:spacing w:val="4"/>
                <w:sz w:val="24"/>
              </w:rPr>
              <w:t> </w:t>
            </w:r>
            <w:r>
              <w:rPr>
                <w:sz w:val="24"/>
              </w:rPr>
              <w:t>56д,</w:t>
            </w:r>
            <w:r>
              <w:rPr>
                <w:spacing w:val="4"/>
                <w:sz w:val="24"/>
              </w:rPr>
              <w:t> </w:t>
            </w:r>
            <w:r>
              <w:rPr>
                <w:sz w:val="24"/>
              </w:rPr>
              <w:t>56е,</w:t>
            </w:r>
            <w:r>
              <w:rPr>
                <w:spacing w:val="6"/>
                <w:sz w:val="24"/>
              </w:rPr>
              <w:t> </w:t>
            </w:r>
            <w:r>
              <w:rPr>
                <w:sz w:val="24"/>
              </w:rPr>
              <w:t>56ж,</w:t>
            </w:r>
            <w:r>
              <w:rPr>
                <w:spacing w:val="6"/>
                <w:sz w:val="24"/>
              </w:rPr>
              <w:t> </w:t>
            </w:r>
            <w:r>
              <w:rPr>
                <w:sz w:val="24"/>
              </w:rPr>
              <w:t>12,</w:t>
            </w:r>
            <w:r>
              <w:rPr>
                <w:spacing w:val="4"/>
                <w:sz w:val="24"/>
              </w:rPr>
              <w:t> </w:t>
            </w:r>
            <w:r>
              <w:rPr>
                <w:sz w:val="24"/>
              </w:rPr>
              <w:t>14,</w:t>
            </w:r>
            <w:r>
              <w:rPr>
                <w:spacing w:val="4"/>
                <w:sz w:val="24"/>
              </w:rPr>
              <w:t> </w:t>
            </w:r>
            <w:r>
              <w:rPr>
                <w:sz w:val="24"/>
              </w:rPr>
              <w:t>31,</w:t>
            </w:r>
            <w:r>
              <w:rPr>
                <w:spacing w:val="4"/>
                <w:sz w:val="24"/>
              </w:rPr>
              <w:t> </w:t>
            </w:r>
            <w:r>
              <w:rPr>
                <w:sz w:val="24"/>
              </w:rPr>
              <w:t>32,</w:t>
            </w:r>
            <w:r>
              <w:rPr>
                <w:spacing w:val="4"/>
                <w:sz w:val="24"/>
              </w:rPr>
              <w:t> </w:t>
            </w:r>
            <w:r>
              <w:rPr>
                <w:sz w:val="24"/>
              </w:rPr>
              <w:t>33,</w:t>
            </w:r>
            <w:r>
              <w:rPr>
                <w:spacing w:val="4"/>
                <w:sz w:val="24"/>
              </w:rPr>
              <w:t> </w:t>
            </w:r>
            <w:r>
              <w:rPr>
                <w:sz w:val="24"/>
              </w:rPr>
              <w:t>34,</w:t>
            </w:r>
            <w:r>
              <w:rPr>
                <w:spacing w:val="6"/>
                <w:sz w:val="24"/>
              </w:rPr>
              <w:t> </w:t>
            </w:r>
            <w:r>
              <w:rPr>
                <w:sz w:val="24"/>
              </w:rPr>
              <w:t>35,</w:t>
            </w:r>
            <w:r>
              <w:rPr>
                <w:spacing w:val="5"/>
                <w:sz w:val="24"/>
              </w:rPr>
              <w:t> </w:t>
            </w:r>
            <w:r>
              <w:rPr>
                <w:spacing w:val="-5"/>
                <w:sz w:val="24"/>
              </w:rPr>
              <w:t>45,</w:t>
            </w:r>
          </w:p>
          <w:p>
            <w:pPr>
              <w:pStyle w:val="TableParagraph"/>
              <w:ind w:left="218"/>
              <w:rPr>
                <w:sz w:val="24"/>
              </w:rPr>
            </w:pPr>
            <w:r>
              <w:rPr>
                <w:sz w:val="24"/>
              </w:rPr>
              <w:t>47, 50, 52, 71, 81, 89, 103, 106, 108, </w:t>
            </w:r>
            <w:r>
              <w:rPr>
                <w:spacing w:val="-5"/>
                <w:sz w:val="24"/>
              </w:rPr>
              <w:t>112</w:t>
            </w:r>
          </w:p>
        </w:tc>
      </w:tr>
      <w:tr>
        <w:trPr>
          <w:trHeight w:val="1269" w:hRule="atLeast"/>
        </w:trPr>
        <w:tc>
          <w:tcPr>
            <w:tcW w:w="4131" w:type="dxa"/>
          </w:tcPr>
          <w:p>
            <w:pPr>
              <w:pStyle w:val="TableParagraph"/>
              <w:spacing w:before="57"/>
              <w:rPr>
                <w:b/>
                <w:sz w:val="24"/>
              </w:rPr>
            </w:pPr>
          </w:p>
          <w:p>
            <w:pPr>
              <w:pStyle w:val="TableParagraph"/>
              <w:ind w:left="220"/>
              <w:rPr>
                <w:sz w:val="24"/>
              </w:rPr>
            </w:pPr>
            <w:r>
              <w:rPr>
                <w:sz w:val="24"/>
              </w:rPr>
              <w:t>Проблемы</w:t>
            </w:r>
            <w:r>
              <w:rPr>
                <w:spacing w:val="-2"/>
                <w:sz w:val="24"/>
              </w:rPr>
              <w:t> экстернализации</w:t>
            </w:r>
          </w:p>
        </w:tc>
        <w:tc>
          <w:tcPr>
            <w:tcW w:w="5610" w:type="dxa"/>
          </w:tcPr>
          <w:p>
            <w:pPr>
              <w:pStyle w:val="TableParagraph"/>
              <w:spacing w:before="57"/>
              <w:rPr>
                <w:b/>
                <w:sz w:val="24"/>
              </w:rPr>
            </w:pPr>
          </w:p>
          <w:p>
            <w:pPr>
              <w:pStyle w:val="TableParagraph"/>
              <w:ind w:left="218"/>
              <w:rPr>
                <w:sz w:val="24"/>
              </w:rPr>
            </w:pPr>
            <w:r>
              <w:rPr>
                <w:sz w:val="24"/>
              </w:rPr>
              <w:t>12,</w:t>
            </w:r>
            <w:r>
              <w:rPr>
                <w:spacing w:val="23"/>
                <w:sz w:val="24"/>
              </w:rPr>
              <w:t> </w:t>
            </w:r>
            <w:r>
              <w:rPr>
                <w:sz w:val="24"/>
              </w:rPr>
              <w:t>14,</w:t>
            </w:r>
            <w:r>
              <w:rPr>
                <w:spacing w:val="23"/>
                <w:sz w:val="24"/>
              </w:rPr>
              <w:t> </w:t>
            </w:r>
            <w:r>
              <w:rPr>
                <w:sz w:val="24"/>
              </w:rPr>
              <w:t>31,</w:t>
            </w:r>
            <w:r>
              <w:rPr>
                <w:spacing w:val="23"/>
                <w:sz w:val="24"/>
              </w:rPr>
              <w:t> </w:t>
            </w:r>
            <w:r>
              <w:rPr>
                <w:sz w:val="24"/>
              </w:rPr>
              <w:t>32,</w:t>
            </w:r>
            <w:r>
              <w:rPr>
                <w:spacing w:val="23"/>
                <w:sz w:val="24"/>
              </w:rPr>
              <w:t> </w:t>
            </w:r>
            <w:r>
              <w:rPr>
                <w:sz w:val="24"/>
              </w:rPr>
              <w:t>33,</w:t>
            </w:r>
            <w:r>
              <w:rPr>
                <w:spacing w:val="23"/>
                <w:sz w:val="24"/>
              </w:rPr>
              <w:t> </w:t>
            </w:r>
            <w:r>
              <w:rPr>
                <w:sz w:val="24"/>
              </w:rPr>
              <w:t>34,</w:t>
            </w:r>
            <w:r>
              <w:rPr>
                <w:spacing w:val="23"/>
                <w:sz w:val="24"/>
              </w:rPr>
              <w:t> </w:t>
            </w:r>
            <w:r>
              <w:rPr>
                <w:sz w:val="24"/>
              </w:rPr>
              <w:t>35,</w:t>
            </w:r>
            <w:r>
              <w:rPr>
                <w:spacing w:val="23"/>
                <w:sz w:val="24"/>
              </w:rPr>
              <w:t> </w:t>
            </w:r>
            <w:r>
              <w:rPr>
                <w:sz w:val="24"/>
              </w:rPr>
              <w:t>45,</w:t>
            </w:r>
            <w:r>
              <w:rPr>
                <w:spacing w:val="23"/>
                <w:sz w:val="24"/>
              </w:rPr>
              <w:t> </w:t>
            </w:r>
            <w:r>
              <w:rPr>
                <w:sz w:val="24"/>
              </w:rPr>
              <w:t>47,</w:t>
            </w:r>
            <w:r>
              <w:rPr>
                <w:spacing w:val="23"/>
                <w:sz w:val="24"/>
              </w:rPr>
              <w:t> </w:t>
            </w:r>
            <w:r>
              <w:rPr>
                <w:sz w:val="24"/>
              </w:rPr>
              <w:t>50,</w:t>
            </w:r>
            <w:r>
              <w:rPr>
                <w:spacing w:val="23"/>
                <w:sz w:val="24"/>
              </w:rPr>
              <w:t> </w:t>
            </w:r>
            <w:r>
              <w:rPr>
                <w:sz w:val="24"/>
              </w:rPr>
              <w:t>52,</w:t>
            </w:r>
            <w:r>
              <w:rPr>
                <w:spacing w:val="23"/>
                <w:sz w:val="24"/>
              </w:rPr>
              <w:t> </w:t>
            </w:r>
            <w:r>
              <w:rPr>
                <w:sz w:val="24"/>
              </w:rPr>
              <w:t>71,</w:t>
            </w:r>
            <w:r>
              <w:rPr>
                <w:spacing w:val="23"/>
                <w:sz w:val="24"/>
              </w:rPr>
              <w:t> </w:t>
            </w:r>
            <w:r>
              <w:rPr>
                <w:sz w:val="24"/>
              </w:rPr>
              <w:t>81,</w:t>
            </w:r>
            <w:r>
              <w:rPr>
                <w:spacing w:val="23"/>
                <w:sz w:val="24"/>
              </w:rPr>
              <w:t> </w:t>
            </w:r>
            <w:r>
              <w:rPr>
                <w:spacing w:val="-5"/>
                <w:sz w:val="24"/>
              </w:rPr>
              <w:t>89,</w:t>
            </w:r>
          </w:p>
          <w:p>
            <w:pPr>
              <w:pStyle w:val="TableParagraph"/>
              <w:ind w:left="218"/>
              <w:rPr>
                <w:sz w:val="24"/>
              </w:rPr>
            </w:pPr>
            <w:r>
              <w:rPr>
                <w:sz w:val="24"/>
              </w:rPr>
              <w:t>103,</w:t>
            </w:r>
            <w:r>
              <w:rPr>
                <w:spacing w:val="14"/>
                <w:sz w:val="24"/>
              </w:rPr>
              <w:t> </w:t>
            </w:r>
            <w:r>
              <w:rPr>
                <w:sz w:val="24"/>
              </w:rPr>
              <w:t>106,</w:t>
            </w:r>
            <w:r>
              <w:rPr>
                <w:spacing w:val="14"/>
                <w:sz w:val="24"/>
              </w:rPr>
              <w:t> </w:t>
            </w:r>
            <w:r>
              <w:rPr>
                <w:sz w:val="24"/>
              </w:rPr>
              <w:t>108,</w:t>
            </w:r>
            <w:r>
              <w:rPr>
                <w:spacing w:val="14"/>
                <w:sz w:val="24"/>
              </w:rPr>
              <w:t> </w:t>
            </w:r>
            <w:r>
              <w:rPr>
                <w:sz w:val="24"/>
              </w:rPr>
              <w:t>112,</w:t>
            </w:r>
            <w:r>
              <w:rPr>
                <w:spacing w:val="14"/>
                <w:sz w:val="24"/>
              </w:rPr>
              <w:t> </w:t>
            </w:r>
            <w:r>
              <w:rPr>
                <w:sz w:val="24"/>
              </w:rPr>
              <w:t>3,</w:t>
            </w:r>
            <w:r>
              <w:rPr>
                <w:spacing w:val="14"/>
                <w:sz w:val="24"/>
              </w:rPr>
              <w:t> </w:t>
            </w:r>
            <w:r>
              <w:rPr>
                <w:sz w:val="24"/>
              </w:rPr>
              <w:t>6,</w:t>
            </w:r>
            <w:r>
              <w:rPr>
                <w:spacing w:val="16"/>
                <w:sz w:val="24"/>
              </w:rPr>
              <w:t> </w:t>
            </w:r>
            <w:r>
              <w:rPr>
                <w:sz w:val="24"/>
              </w:rPr>
              <w:t>7,</w:t>
            </w:r>
            <w:r>
              <w:rPr>
                <w:spacing w:val="15"/>
                <w:sz w:val="24"/>
              </w:rPr>
              <w:t> </w:t>
            </w:r>
            <w:r>
              <w:rPr>
                <w:sz w:val="24"/>
              </w:rPr>
              <w:t>16,</w:t>
            </w:r>
            <w:r>
              <w:rPr>
                <w:spacing w:val="14"/>
                <w:sz w:val="24"/>
              </w:rPr>
              <w:t> </w:t>
            </w:r>
            <w:r>
              <w:rPr>
                <w:sz w:val="24"/>
              </w:rPr>
              <w:t>19,</w:t>
            </w:r>
            <w:r>
              <w:rPr>
                <w:spacing w:val="14"/>
                <w:sz w:val="24"/>
              </w:rPr>
              <w:t> </w:t>
            </w:r>
            <w:r>
              <w:rPr>
                <w:sz w:val="24"/>
              </w:rPr>
              <w:t>20,</w:t>
            </w:r>
            <w:r>
              <w:rPr>
                <w:spacing w:val="14"/>
                <w:sz w:val="24"/>
              </w:rPr>
              <w:t> </w:t>
            </w:r>
            <w:r>
              <w:rPr>
                <w:sz w:val="24"/>
              </w:rPr>
              <w:t>21,</w:t>
            </w:r>
            <w:r>
              <w:rPr>
                <w:spacing w:val="14"/>
                <w:sz w:val="24"/>
              </w:rPr>
              <w:t> </w:t>
            </w:r>
            <w:r>
              <w:rPr>
                <w:sz w:val="24"/>
              </w:rPr>
              <w:t>23,</w:t>
            </w:r>
            <w:r>
              <w:rPr>
                <w:spacing w:val="14"/>
                <w:sz w:val="24"/>
              </w:rPr>
              <w:t> </w:t>
            </w:r>
            <w:r>
              <w:rPr>
                <w:sz w:val="24"/>
              </w:rPr>
              <w:t>24,</w:t>
            </w:r>
            <w:r>
              <w:rPr>
                <w:spacing w:val="15"/>
                <w:sz w:val="24"/>
              </w:rPr>
              <w:t> </w:t>
            </w:r>
            <w:r>
              <w:rPr>
                <w:spacing w:val="-5"/>
                <w:sz w:val="24"/>
              </w:rPr>
              <w:t>27,</w:t>
            </w:r>
          </w:p>
          <w:p>
            <w:pPr>
              <w:pStyle w:val="TableParagraph"/>
              <w:ind w:left="218"/>
              <w:rPr>
                <w:sz w:val="24"/>
              </w:rPr>
            </w:pPr>
            <w:r>
              <w:rPr>
                <w:sz w:val="24"/>
              </w:rPr>
              <w:t>37,</w:t>
            </w:r>
            <w:r>
              <w:rPr>
                <w:spacing w:val="-9"/>
                <w:sz w:val="24"/>
              </w:rPr>
              <w:t> </w:t>
            </w:r>
            <w:r>
              <w:rPr>
                <w:sz w:val="24"/>
              </w:rPr>
              <w:t>53,</w:t>
            </w:r>
            <w:r>
              <w:rPr>
                <w:spacing w:val="-8"/>
                <w:sz w:val="24"/>
              </w:rPr>
              <w:t> </w:t>
            </w:r>
            <w:r>
              <w:rPr>
                <w:sz w:val="24"/>
              </w:rPr>
              <w:t>57,</w:t>
            </w:r>
            <w:r>
              <w:rPr>
                <w:spacing w:val="-8"/>
                <w:sz w:val="24"/>
              </w:rPr>
              <w:t> </w:t>
            </w:r>
            <w:r>
              <w:rPr>
                <w:sz w:val="24"/>
              </w:rPr>
              <w:t>67,</w:t>
            </w:r>
            <w:r>
              <w:rPr>
                <w:spacing w:val="-8"/>
                <w:sz w:val="24"/>
              </w:rPr>
              <w:t> </w:t>
            </w:r>
            <w:r>
              <w:rPr>
                <w:sz w:val="24"/>
              </w:rPr>
              <w:t>68,</w:t>
            </w:r>
            <w:r>
              <w:rPr>
                <w:spacing w:val="-9"/>
                <w:sz w:val="24"/>
              </w:rPr>
              <w:t> </w:t>
            </w:r>
            <w:r>
              <w:rPr>
                <w:sz w:val="24"/>
              </w:rPr>
              <w:t>74,</w:t>
            </w:r>
            <w:r>
              <w:rPr>
                <w:spacing w:val="-8"/>
                <w:sz w:val="24"/>
              </w:rPr>
              <w:t> </w:t>
            </w:r>
            <w:r>
              <w:rPr>
                <w:sz w:val="24"/>
              </w:rPr>
              <w:t>76,</w:t>
            </w:r>
            <w:r>
              <w:rPr>
                <w:spacing w:val="-10"/>
                <w:sz w:val="24"/>
              </w:rPr>
              <w:t> </w:t>
            </w:r>
            <w:r>
              <w:rPr>
                <w:sz w:val="24"/>
              </w:rPr>
              <w:t>77,</w:t>
            </w:r>
            <w:r>
              <w:rPr>
                <w:spacing w:val="-8"/>
                <w:sz w:val="24"/>
              </w:rPr>
              <w:t> </w:t>
            </w:r>
            <w:r>
              <w:rPr>
                <w:sz w:val="24"/>
              </w:rPr>
              <w:t>86,</w:t>
            </w:r>
            <w:r>
              <w:rPr>
                <w:spacing w:val="-8"/>
                <w:sz w:val="24"/>
              </w:rPr>
              <w:t> </w:t>
            </w:r>
            <w:r>
              <w:rPr>
                <w:sz w:val="24"/>
              </w:rPr>
              <w:t>87,</w:t>
            </w:r>
            <w:r>
              <w:rPr>
                <w:spacing w:val="-9"/>
                <w:sz w:val="24"/>
              </w:rPr>
              <w:t> </w:t>
            </w:r>
            <w:r>
              <w:rPr>
                <w:sz w:val="24"/>
              </w:rPr>
              <w:t>93,</w:t>
            </w:r>
            <w:r>
              <w:rPr>
                <w:spacing w:val="-8"/>
                <w:sz w:val="24"/>
              </w:rPr>
              <w:t> </w:t>
            </w:r>
            <w:r>
              <w:rPr>
                <w:sz w:val="24"/>
              </w:rPr>
              <w:t>94,</w:t>
            </w:r>
            <w:r>
              <w:rPr>
                <w:spacing w:val="-8"/>
                <w:sz w:val="24"/>
              </w:rPr>
              <w:t> </w:t>
            </w:r>
            <w:r>
              <w:rPr>
                <w:sz w:val="24"/>
              </w:rPr>
              <w:t>95,</w:t>
            </w:r>
            <w:r>
              <w:rPr>
                <w:spacing w:val="-10"/>
                <w:sz w:val="24"/>
              </w:rPr>
              <w:t> </w:t>
            </w:r>
            <w:r>
              <w:rPr>
                <w:sz w:val="24"/>
              </w:rPr>
              <w:t>97,</w:t>
            </w:r>
            <w:r>
              <w:rPr>
                <w:spacing w:val="-8"/>
                <w:sz w:val="24"/>
              </w:rPr>
              <w:t> </w:t>
            </w:r>
            <w:r>
              <w:rPr>
                <w:spacing w:val="-5"/>
                <w:sz w:val="24"/>
              </w:rPr>
              <w:t>104</w:t>
            </w:r>
          </w:p>
        </w:tc>
      </w:tr>
    </w:tbl>
    <w:p>
      <w:pPr>
        <w:pStyle w:val="Heading4"/>
        <w:spacing w:before="238"/>
        <w:ind w:right="561"/>
      </w:pPr>
      <w:r>
        <w:rPr/>
        <w:t>Распределение показателей по детям-мигрантам в Российской Федерации будет</w:t>
      </w:r>
      <w:r>
        <w:rPr>
          <w:spacing w:val="-11"/>
        </w:rPr>
        <w:t> </w:t>
      </w:r>
      <w:r>
        <w:rPr/>
        <w:t>осуществлено</w:t>
      </w:r>
      <w:r>
        <w:rPr>
          <w:spacing w:val="-12"/>
        </w:rPr>
        <w:t> </w:t>
      </w:r>
      <w:r>
        <w:rPr/>
        <w:t>после</w:t>
      </w:r>
      <w:r>
        <w:rPr>
          <w:spacing w:val="-12"/>
        </w:rPr>
        <w:t> </w:t>
      </w:r>
      <w:r>
        <w:rPr/>
        <w:t>апробации</w:t>
      </w:r>
      <w:r>
        <w:rPr>
          <w:spacing w:val="-11"/>
        </w:rPr>
        <w:t> </w:t>
      </w:r>
      <w:r>
        <w:rPr/>
        <w:t>методики</w:t>
      </w:r>
      <w:r>
        <w:rPr>
          <w:spacing w:val="-11"/>
        </w:rPr>
        <w:t> </w:t>
      </w:r>
      <w:r>
        <w:rPr/>
        <w:t>на</w:t>
      </w:r>
      <w:r>
        <w:rPr>
          <w:spacing w:val="-11"/>
        </w:rPr>
        <w:t> </w:t>
      </w:r>
      <w:r>
        <w:rPr/>
        <w:t>соответствующей</w:t>
      </w:r>
      <w:r>
        <w:rPr>
          <w:spacing w:val="-11"/>
        </w:rPr>
        <w:t> </w:t>
      </w:r>
      <w:r>
        <w:rPr/>
        <w:t>выборке. В настоящий момент доступны данные по совокупной выборке детей двух городов-миллионников России: один — в Центральной России, другой — в Сибири (</w:t>
      </w:r>
      <w:r>
        <w:rPr>
          <w:i/>
        </w:rPr>
        <w:t>Grigorenko</w:t>
      </w:r>
      <w:r>
        <w:rPr/>
        <w:t>, </w:t>
      </w:r>
      <w:r>
        <w:rPr>
          <w:i/>
        </w:rPr>
        <w:t>Geiser, Slobodskaya, Francis, </w:t>
      </w:r>
      <w:r>
        <w:rPr/>
        <w:t>2010). Выборка: 841 учащийся, из них 357 мальчиков и 484 девочки (возраст 8–17 лет, среднее значение</w:t>
      </w:r>
      <w:r>
        <w:rPr>
          <w:spacing w:val="-18"/>
        </w:rPr>
        <w:t> </w:t>
      </w:r>
      <w:r>
        <w:rPr/>
        <w:t>13.17</w:t>
      </w:r>
      <w:r>
        <w:rPr>
          <w:spacing w:val="-17"/>
        </w:rPr>
        <w:t> </w:t>
      </w:r>
      <w:r>
        <w:rPr/>
        <w:t>лет).</w:t>
      </w:r>
      <w:r>
        <w:rPr>
          <w:spacing w:val="-18"/>
        </w:rPr>
        <w:t> </w:t>
      </w:r>
      <w:r>
        <w:rPr/>
        <w:t>В</w:t>
      </w:r>
      <w:r>
        <w:rPr>
          <w:spacing w:val="-17"/>
        </w:rPr>
        <w:t> </w:t>
      </w:r>
      <w:r>
        <w:rPr/>
        <w:t>таблице</w:t>
      </w:r>
      <w:r>
        <w:rPr>
          <w:spacing w:val="-18"/>
        </w:rPr>
        <w:t> </w:t>
      </w:r>
      <w:r>
        <w:rPr/>
        <w:t>приведены</w:t>
      </w:r>
      <w:r>
        <w:rPr>
          <w:spacing w:val="-17"/>
        </w:rPr>
        <w:t> </w:t>
      </w:r>
      <w:r>
        <w:rPr/>
        <w:t>средние</w:t>
      </w:r>
      <w:r>
        <w:rPr>
          <w:spacing w:val="-18"/>
        </w:rPr>
        <w:t> </w:t>
      </w:r>
      <w:r>
        <w:rPr/>
        <w:t>значения,</w:t>
      </w:r>
      <w:r>
        <w:rPr>
          <w:spacing w:val="-17"/>
        </w:rPr>
        <w:t> </w:t>
      </w:r>
      <w:r>
        <w:rPr/>
        <w:t>в</w:t>
      </w:r>
      <w:r>
        <w:rPr>
          <w:spacing w:val="-18"/>
        </w:rPr>
        <w:t> </w:t>
      </w:r>
      <w:r>
        <w:rPr/>
        <w:t>скобках</w:t>
      </w:r>
      <w:r>
        <w:rPr>
          <w:spacing w:val="-16"/>
        </w:rPr>
        <w:t> </w:t>
      </w:r>
      <w:r>
        <w:rPr/>
        <w:t>указано значение стандартного отклонения.</w:t>
      </w:r>
    </w:p>
    <w:p>
      <w:pPr>
        <w:pStyle w:val="Heading3"/>
        <w:spacing w:before="247"/>
        <w:ind w:left="0" w:right="561"/>
        <w:jc w:val="right"/>
      </w:pPr>
      <w:r>
        <w:rPr/>
        <w:t>Таблица</w:t>
      </w:r>
      <w:r>
        <w:rPr>
          <w:spacing w:val="-6"/>
        </w:rPr>
        <w:t> </w:t>
      </w:r>
      <w:r>
        <w:rPr>
          <w:spacing w:val="-10"/>
        </w:rPr>
        <w:t>8</w:t>
      </w:r>
    </w:p>
    <w:p>
      <w:pPr>
        <w:pStyle w:val="Heading3"/>
        <w:spacing w:after="0"/>
        <w:jc w:val="right"/>
        <w:sectPr>
          <w:pgSz w:w="11910" w:h="16840"/>
          <w:pgMar w:header="0" w:footer="970" w:top="1040" w:bottom="1220" w:left="1417" w:right="283"/>
        </w:sectPr>
      </w:pPr>
    </w:p>
    <w:p>
      <w:pPr>
        <w:spacing w:line="242" w:lineRule="auto" w:before="72"/>
        <w:ind w:left="284" w:right="569" w:firstLine="0"/>
        <w:jc w:val="center"/>
        <w:rPr>
          <w:b/>
          <w:sz w:val="28"/>
        </w:rPr>
      </w:pPr>
      <w:r>
        <w:rPr>
          <w:b/>
          <w:sz w:val="28"/>
        </w:rPr>
        <w:t>Нормативные</w:t>
      </w:r>
      <w:r>
        <w:rPr>
          <w:b/>
          <w:spacing w:val="-5"/>
          <w:sz w:val="28"/>
        </w:rPr>
        <w:t> </w:t>
      </w:r>
      <w:r>
        <w:rPr>
          <w:b/>
          <w:sz w:val="28"/>
        </w:rPr>
        <w:t>показатели</w:t>
      </w:r>
      <w:r>
        <w:rPr>
          <w:b/>
          <w:spacing w:val="-6"/>
          <w:sz w:val="28"/>
        </w:rPr>
        <w:t> </w:t>
      </w:r>
      <w:r>
        <w:rPr>
          <w:b/>
          <w:sz w:val="28"/>
        </w:rPr>
        <w:t>по</w:t>
      </w:r>
      <w:r>
        <w:rPr>
          <w:b/>
          <w:spacing w:val="-4"/>
          <w:sz w:val="28"/>
        </w:rPr>
        <w:t> </w:t>
      </w:r>
      <w:r>
        <w:rPr>
          <w:b/>
          <w:sz w:val="28"/>
        </w:rPr>
        <w:t>выборке</w:t>
      </w:r>
      <w:r>
        <w:rPr>
          <w:b/>
          <w:spacing w:val="-5"/>
          <w:sz w:val="28"/>
        </w:rPr>
        <w:t> </w:t>
      </w:r>
      <w:r>
        <w:rPr>
          <w:b/>
          <w:sz w:val="28"/>
        </w:rPr>
        <w:t>детей</w:t>
      </w:r>
      <w:r>
        <w:rPr>
          <w:b/>
          <w:spacing w:val="-7"/>
          <w:sz w:val="28"/>
        </w:rPr>
        <w:t> </w:t>
      </w:r>
      <w:r>
        <w:rPr>
          <w:b/>
          <w:sz w:val="28"/>
        </w:rPr>
        <w:t>в</w:t>
      </w:r>
      <w:r>
        <w:rPr>
          <w:b/>
          <w:spacing w:val="-6"/>
          <w:sz w:val="28"/>
        </w:rPr>
        <w:t> </w:t>
      </w:r>
      <w:r>
        <w:rPr>
          <w:b/>
          <w:sz w:val="28"/>
        </w:rPr>
        <w:t>России</w:t>
      </w:r>
      <w:r>
        <w:rPr>
          <w:b/>
          <w:spacing w:val="-7"/>
          <w:sz w:val="28"/>
        </w:rPr>
        <w:t> </w:t>
      </w:r>
      <w:r>
        <w:rPr>
          <w:b/>
          <w:sz w:val="28"/>
        </w:rPr>
        <w:t>при</w:t>
      </w:r>
      <w:r>
        <w:rPr>
          <w:b/>
          <w:spacing w:val="-6"/>
          <w:sz w:val="28"/>
        </w:rPr>
        <w:t> </w:t>
      </w:r>
      <w:r>
        <w:rPr>
          <w:b/>
          <w:sz w:val="28"/>
        </w:rPr>
        <w:t>оценке </w:t>
      </w:r>
      <w:r>
        <w:rPr>
          <w:b/>
          <w:spacing w:val="-2"/>
          <w:sz w:val="28"/>
        </w:rPr>
        <w:t>педагогом</w:t>
      </w:r>
    </w:p>
    <w:p>
      <w:pPr>
        <w:pStyle w:val="BodyText"/>
        <w:spacing w:before="8"/>
        <w:ind w:left="0" w:right="0" w:firstLine="0"/>
        <w:jc w:val="left"/>
        <w:rPr>
          <w:b/>
        </w:rPr>
      </w:pPr>
    </w:p>
    <w:tbl>
      <w:tblPr>
        <w:tblW w:w="0" w:type="auto"/>
        <w:jc w:val="left"/>
        <w:tblInd w:w="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297"/>
        <w:gridCol w:w="1731"/>
        <w:gridCol w:w="1688"/>
        <w:gridCol w:w="1642"/>
      </w:tblGrid>
      <w:tr>
        <w:trPr>
          <w:trHeight w:val="990" w:hRule="atLeast"/>
        </w:trPr>
        <w:tc>
          <w:tcPr>
            <w:tcW w:w="4297" w:type="dxa"/>
          </w:tcPr>
          <w:p>
            <w:pPr>
              <w:pStyle w:val="TableParagraph"/>
              <w:spacing w:before="61"/>
              <w:rPr>
                <w:b/>
                <w:sz w:val="24"/>
              </w:rPr>
            </w:pPr>
          </w:p>
          <w:p>
            <w:pPr>
              <w:pStyle w:val="TableParagraph"/>
              <w:ind w:right="99"/>
              <w:jc w:val="center"/>
              <w:rPr>
                <w:b/>
                <w:sz w:val="24"/>
              </w:rPr>
            </w:pPr>
            <w:r>
              <w:rPr>
                <w:b/>
                <w:spacing w:val="-2"/>
                <w:sz w:val="24"/>
              </w:rPr>
              <w:t>Шкала</w:t>
            </w:r>
          </w:p>
        </w:tc>
        <w:tc>
          <w:tcPr>
            <w:tcW w:w="1731" w:type="dxa"/>
          </w:tcPr>
          <w:p>
            <w:pPr>
              <w:pStyle w:val="TableParagraph"/>
              <w:spacing w:before="61"/>
              <w:rPr>
                <w:b/>
                <w:sz w:val="24"/>
              </w:rPr>
            </w:pPr>
          </w:p>
          <w:p>
            <w:pPr>
              <w:pStyle w:val="TableParagraph"/>
              <w:ind w:left="222"/>
              <w:rPr>
                <w:b/>
                <w:sz w:val="24"/>
              </w:rPr>
            </w:pPr>
            <w:r>
              <w:rPr>
                <w:b/>
                <w:spacing w:val="-2"/>
                <w:sz w:val="24"/>
              </w:rPr>
              <w:t>Мальчики</w:t>
            </w:r>
          </w:p>
        </w:tc>
        <w:tc>
          <w:tcPr>
            <w:tcW w:w="1688" w:type="dxa"/>
          </w:tcPr>
          <w:p>
            <w:pPr>
              <w:pStyle w:val="TableParagraph"/>
              <w:spacing w:before="61"/>
              <w:rPr>
                <w:b/>
                <w:sz w:val="24"/>
              </w:rPr>
            </w:pPr>
          </w:p>
          <w:p>
            <w:pPr>
              <w:pStyle w:val="TableParagraph"/>
              <w:ind w:right="106"/>
              <w:jc w:val="center"/>
              <w:rPr>
                <w:b/>
                <w:sz w:val="24"/>
              </w:rPr>
            </w:pPr>
            <w:r>
              <w:rPr>
                <w:b/>
                <w:spacing w:val="-2"/>
                <w:sz w:val="24"/>
              </w:rPr>
              <w:t>Девочки</w:t>
            </w:r>
          </w:p>
        </w:tc>
        <w:tc>
          <w:tcPr>
            <w:tcW w:w="1642" w:type="dxa"/>
          </w:tcPr>
          <w:p>
            <w:pPr>
              <w:pStyle w:val="TableParagraph"/>
              <w:spacing w:before="61"/>
              <w:rPr>
                <w:b/>
                <w:sz w:val="24"/>
              </w:rPr>
            </w:pPr>
          </w:p>
          <w:p>
            <w:pPr>
              <w:pStyle w:val="TableParagraph"/>
              <w:ind w:left="377" w:right="473" w:firstLine="2"/>
              <w:rPr>
                <w:b/>
                <w:sz w:val="24"/>
              </w:rPr>
            </w:pPr>
            <w:r>
              <w:rPr>
                <w:b/>
                <w:spacing w:val="-2"/>
                <w:sz w:val="24"/>
              </w:rPr>
              <w:t>Общая оценка</w:t>
            </w:r>
          </w:p>
        </w:tc>
      </w:tr>
      <w:tr>
        <w:trPr>
          <w:trHeight w:val="697" w:hRule="atLeast"/>
        </w:trPr>
        <w:tc>
          <w:tcPr>
            <w:tcW w:w="4297" w:type="dxa"/>
          </w:tcPr>
          <w:p>
            <w:pPr>
              <w:pStyle w:val="TableParagraph"/>
              <w:spacing w:before="37"/>
              <w:rPr>
                <w:b/>
                <w:sz w:val="24"/>
              </w:rPr>
            </w:pPr>
          </w:p>
          <w:p>
            <w:pPr>
              <w:pStyle w:val="TableParagraph"/>
              <w:ind w:left="220"/>
              <w:rPr>
                <w:i/>
                <w:sz w:val="24"/>
              </w:rPr>
            </w:pPr>
            <w:r>
              <w:rPr>
                <w:sz w:val="24"/>
              </w:rPr>
              <w:t>Замкнутость</w:t>
            </w:r>
            <w:r>
              <w:rPr>
                <w:spacing w:val="-5"/>
                <w:sz w:val="24"/>
              </w:rPr>
              <w:t> </w:t>
            </w:r>
            <w:r>
              <w:rPr>
                <w:i/>
                <w:spacing w:val="-2"/>
                <w:sz w:val="24"/>
              </w:rPr>
              <w:t>(Withdrawn)</w:t>
            </w:r>
          </w:p>
        </w:tc>
        <w:tc>
          <w:tcPr>
            <w:tcW w:w="1731" w:type="dxa"/>
          </w:tcPr>
          <w:p>
            <w:pPr>
              <w:pStyle w:val="TableParagraph"/>
              <w:spacing w:before="37"/>
              <w:rPr>
                <w:b/>
                <w:sz w:val="24"/>
              </w:rPr>
            </w:pPr>
          </w:p>
          <w:p>
            <w:pPr>
              <w:pStyle w:val="TableParagraph"/>
              <w:ind w:left="272"/>
              <w:rPr>
                <w:sz w:val="24"/>
              </w:rPr>
            </w:pPr>
            <w:r>
              <w:rPr>
                <w:sz w:val="24"/>
              </w:rPr>
              <w:t>3.02 </w:t>
            </w:r>
            <w:r>
              <w:rPr>
                <w:spacing w:val="-2"/>
                <w:sz w:val="24"/>
              </w:rPr>
              <w:t>(3.08)</w:t>
            </w:r>
          </w:p>
        </w:tc>
        <w:tc>
          <w:tcPr>
            <w:tcW w:w="1688" w:type="dxa"/>
          </w:tcPr>
          <w:p>
            <w:pPr>
              <w:pStyle w:val="TableParagraph"/>
              <w:spacing w:before="37"/>
              <w:rPr>
                <w:b/>
                <w:sz w:val="24"/>
              </w:rPr>
            </w:pPr>
          </w:p>
          <w:p>
            <w:pPr>
              <w:pStyle w:val="TableParagraph"/>
              <w:ind w:left="250"/>
              <w:rPr>
                <w:sz w:val="24"/>
              </w:rPr>
            </w:pPr>
            <w:r>
              <w:rPr>
                <w:sz w:val="24"/>
              </w:rPr>
              <w:t>3.21 </w:t>
            </w:r>
            <w:r>
              <w:rPr>
                <w:spacing w:val="-2"/>
                <w:sz w:val="24"/>
              </w:rPr>
              <w:t>(2.95)</w:t>
            </w:r>
          </w:p>
        </w:tc>
        <w:tc>
          <w:tcPr>
            <w:tcW w:w="1642" w:type="dxa"/>
          </w:tcPr>
          <w:p>
            <w:pPr>
              <w:pStyle w:val="TableParagraph"/>
              <w:spacing w:before="37"/>
              <w:rPr>
                <w:b/>
                <w:sz w:val="24"/>
              </w:rPr>
            </w:pPr>
          </w:p>
          <w:p>
            <w:pPr>
              <w:pStyle w:val="TableParagraph"/>
              <w:ind w:left="226"/>
              <w:rPr>
                <w:sz w:val="24"/>
              </w:rPr>
            </w:pPr>
            <w:r>
              <w:rPr>
                <w:sz w:val="24"/>
              </w:rPr>
              <w:t>3.13 </w:t>
            </w:r>
            <w:r>
              <w:rPr>
                <w:spacing w:val="-2"/>
                <w:sz w:val="24"/>
              </w:rPr>
              <w:t>(3.01)</w:t>
            </w:r>
          </w:p>
        </w:tc>
      </w:tr>
      <w:tr>
        <w:trPr>
          <w:trHeight w:val="731" w:hRule="atLeast"/>
        </w:trPr>
        <w:tc>
          <w:tcPr>
            <w:tcW w:w="4297" w:type="dxa"/>
          </w:tcPr>
          <w:p>
            <w:pPr>
              <w:pStyle w:val="TableParagraph"/>
              <w:spacing w:before="70"/>
              <w:ind w:left="220"/>
              <w:rPr>
                <w:sz w:val="24"/>
              </w:rPr>
            </w:pPr>
            <w:r>
              <w:rPr>
                <w:sz w:val="24"/>
              </w:rPr>
              <w:t>Соматические</w:t>
            </w:r>
            <w:r>
              <w:rPr>
                <w:spacing w:val="-6"/>
                <w:sz w:val="24"/>
              </w:rPr>
              <w:t> </w:t>
            </w:r>
            <w:r>
              <w:rPr>
                <w:spacing w:val="-2"/>
                <w:sz w:val="24"/>
              </w:rPr>
              <w:t>проблемы</w:t>
            </w:r>
          </w:p>
          <w:p>
            <w:pPr>
              <w:pStyle w:val="TableParagraph"/>
              <w:ind w:left="220"/>
              <w:rPr>
                <w:i/>
                <w:sz w:val="24"/>
              </w:rPr>
            </w:pPr>
            <w:r>
              <w:rPr>
                <w:i/>
                <w:sz w:val="24"/>
              </w:rPr>
              <w:t>(Somatic</w:t>
            </w:r>
            <w:r>
              <w:rPr>
                <w:i/>
                <w:spacing w:val="-2"/>
                <w:sz w:val="24"/>
              </w:rPr>
              <w:t> Complaints)</w:t>
            </w:r>
          </w:p>
        </w:tc>
        <w:tc>
          <w:tcPr>
            <w:tcW w:w="1731" w:type="dxa"/>
          </w:tcPr>
          <w:p>
            <w:pPr>
              <w:pStyle w:val="TableParagraph"/>
              <w:spacing w:before="34"/>
              <w:rPr>
                <w:b/>
                <w:sz w:val="24"/>
              </w:rPr>
            </w:pPr>
          </w:p>
          <w:p>
            <w:pPr>
              <w:pStyle w:val="TableParagraph"/>
              <w:ind w:left="272"/>
              <w:rPr>
                <w:sz w:val="24"/>
              </w:rPr>
            </w:pPr>
            <w:r>
              <w:rPr>
                <w:sz w:val="24"/>
              </w:rPr>
              <w:t>1.43 </w:t>
            </w:r>
            <w:r>
              <w:rPr>
                <w:spacing w:val="-2"/>
                <w:sz w:val="24"/>
              </w:rPr>
              <w:t>(3.20)</w:t>
            </w:r>
          </w:p>
        </w:tc>
        <w:tc>
          <w:tcPr>
            <w:tcW w:w="1688" w:type="dxa"/>
          </w:tcPr>
          <w:p>
            <w:pPr>
              <w:pStyle w:val="TableParagraph"/>
              <w:spacing w:before="34"/>
              <w:rPr>
                <w:b/>
                <w:sz w:val="24"/>
              </w:rPr>
            </w:pPr>
          </w:p>
          <w:p>
            <w:pPr>
              <w:pStyle w:val="TableParagraph"/>
              <w:ind w:left="250"/>
              <w:rPr>
                <w:sz w:val="24"/>
              </w:rPr>
            </w:pPr>
            <w:r>
              <w:rPr>
                <w:sz w:val="24"/>
              </w:rPr>
              <w:t>1.86 </w:t>
            </w:r>
            <w:r>
              <w:rPr>
                <w:spacing w:val="-2"/>
                <w:sz w:val="24"/>
              </w:rPr>
              <w:t>(2.92)</w:t>
            </w:r>
          </w:p>
        </w:tc>
        <w:tc>
          <w:tcPr>
            <w:tcW w:w="1642" w:type="dxa"/>
          </w:tcPr>
          <w:p>
            <w:pPr>
              <w:pStyle w:val="TableParagraph"/>
              <w:spacing w:before="34"/>
              <w:rPr>
                <w:b/>
                <w:sz w:val="24"/>
              </w:rPr>
            </w:pPr>
          </w:p>
          <w:p>
            <w:pPr>
              <w:pStyle w:val="TableParagraph"/>
              <w:ind w:left="226"/>
              <w:rPr>
                <w:sz w:val="24"/>
              </w:rPr>
            </w:pPr>
            <w:r>
              <w:rPr>
                <w:sz w:val="24"/>
              </w:rPr>
              <w:t>1.68 </w:t>
            </w:r>
            <w:r>
              <w:rPr>
                <w:spacing w:val="-2"/>
                <w:sz w:val="24"/>
              </w:rPr>
              <w:t>(2.89)</w:t>
            </w:r>
          </w:p>
        </w:tc>
      </w:tr>
      <w:tr>
        <w:trPr>
          <w:trHeight w:val="731" w:hRule="atLeast"/>
        </w:trPr>
        <w:tc>
          <w:tcPr>
            <w:tcW w:w="4297" w:type="dxa"/>
          </w:tcPr>
          <w:p>
            <w:pPr>
              <w:pStyle w:val="TableParagraph"/>
              <w:spacing w:before="73"/>
              <w:ind w:left="220"/>
              <w:rPr>
                <w:sz w:val="24"/>
              </w:rPr>
            </w:pPr>
            <w:r>
              <w:rPr>
                <w:spacing w:val="-2"/>
                <w:sz w:val="24"/>
              </w:rPr>
              <w:t>Тревожность</w:t>
            </w:r>
          </w:p>
          <w:p>
            <w:pPr>
              <w:pStyle w:val="TableParagraph"/>
              <w:ind w:left="220"/>
              <w:rPr>
                <w:i/>
                <w:sz w:val="24"/>
              </w:rPr>
            </w:pPr>
            <w:r>
              <w:rPr>
                <w:i/>
                <w:spacing w:val="-2"/>
                <w:sz w:val="24"/>
              </w:rPr>
              <w:t>(Anxious/Depressed)</w:t>
            </w:r>
          </w:p>
        </w:tc>
        <w:tc>
          <w:tcPr>
            <w:tcW w:w="1731" w:type="dxa"/>
          </w:tcPr>
          <w:p>
            <w:pPr>
              <w:pStyle w:val="TableParagraph"/>
              <w:spacing w:before="37"/>
              <w:rPr>
                <w:b/>
                <w:sz w:val="24"/>
              </w:rPr>
            </w:pPr>
          </w:p>
          <w:p>
            <w:pPr>
              <w:pStyle w:val="TableParagraph"/>
              <w:ind w:left="272"/>
              <w:rPr>
                <w:sz w:val="24"/>
              </w:rPr>
            </w:pPr>
            <w:r>
              <w:rPr>
                <w:sz w:val="24"/>
              </w:rPr>
              <w:t>4.86 </w:t>
            </w:r>
            <w:r>
              <w:rPr>
                <w:spacing w:val="-2"/>
                <w:sz w:val="24"/>
              </w:rPr>
              <w:t>(4.37)</w:t>
            </w:r>
          </w:p>
        </w:tc>
        <w:tc>
          <w:tcPr>
            <w:tcW w:w="1688" w:type="dxa"/>
          </w:tcPr>
          <w:p>
            <w:pPr>
              <w:pStyle w:val="TableParagraph"/>
              <w:spacing w:before="37"/>
              <w:rPr>
                <w:b/>
                <w:sz w:val="24"/>
              </w:rPr>
            </w:pPr>
          </w:p>
          <w:p>
            <w:pPr>
              <w:pStyle w:val="TableParagraph"/>
              <w:ind w:left="250"/>
              <w:rPr>
                <w:sz w:val="24"/>
              </w:rPr>
            </w:pPr>
            <w:r>
              <w:rPr>
                <w:sz w:val="24"/>
              </w:rPr>
              <w:t>5.71 </w:t>
            </w:r>
            <w:r>
              <w:rPr>
                <w:spacing w:val="-2"/>
                <w:sz w:val="24"/>
              </w:rPr>
              <w:t>(4.47)</w:t>
            </w:r>
          </w:p>
        </w:tc>
        <w:tc>
          <w:tcPr>
            <w:tcW w:w="1642" w:type="dxa"/>
          </w:tcPr>
          <w:p>
            <w:pPr>
              <w:pStyle w:val="TableParagraph"/>
              <w:spacing w:before="37"/>
              <w:rPr>
                <w:b/>
                <w:sz w:val="24"/>
              </w:rPr>
            </w:pPr>
          </w:p>
          <w:p>
            <w:pPr>
              <w:pStyle w:val="TableParagraph"/>
              <w:ind w:left="226"/>
              <w:rPr>
                <w:sz w:val="24"/>
              </w:rPr>
            </w:pPr>
            <w:r>
              <w:rPr>
                <w:sz w:val="24"/>
              </w:rPr>
              <w:t>5.34 </w:t>
            </w:r>
            <w:r>
              <w:rPr>
                <w:spacing w:val="-2"/>
                <w:sz w:val="24"/>
              </w:rPr>
              <w:t>(4.44)</w:t>
            </w:r>
          </w:p>
        </w:tc>
      </w:tr>
      <w:tr>
        <w:trPr>
          <w:trHeight w:val="733" w:hRule="atLeast"/>
        </w:trPr>
        <w:tc>
          <w:tcPr>
            <w:tcW w:w="4297" w:type="dxa"/>
          </w:tcPr>
          <w:p>
            <w:pPr>
              <w:pStyle w:val="TableParagraph"/>
              <w:spacing w:before="73"/>
              <w:ind w:left="220"/>
              <w:rPr>
                <w:sz w:val="24"/>
              </w:rPr>
            </w:pPr>
            <w:r>
              <w:rPr>
                <w:sz w:val="24"/>
              </w:rPr>
              <w:t>Нарушения</w:t>
            </w:r>
            <w:r>
              <w:rPr>
                <w:spacing w:val="-4"/>
                <w:sz w:val="24"/>
              </w:rPr>
              <w:t> </w:t>
            </w:r>
            <w:r>
              <w:rPr>
                <w:spacing w:val="-2"/>
                <w:sz w:val="24"/>
              </w:rPr>
              <w:t>социализации</w:t>
            </w:r>
          </w:p>
          <w:p>
            <w:pPr>
              <w:pStyle w:val="TableParagraph"/>
              <w:ind w:left="220"/>
              <w:rPr>
                <w:i/>
                <w:sz w:val="24"/>
              </w:rPr>
            </w:pPr>
            <w:r>
              <w:rPr>
                <w:i/>
                <w:sz w:val="24"/>
              </w:rPr>
              <w:t>(Social</w:t>
            </w:r>
            <w:r>
              <w:rPr>
                <w:i/>
                <w:spacing w:val="-3"/>
                <w:sz w:val="24"/>
              </w:rPr>
              <w:t> </w:t>
            </w:r>
            <w:r>
              <w:rPr>
                <w:i/>
                <w:spacing w:val="-2"/>
                <w:sz w:val="24"/>
              </w:rPr>
              <w:t>Problems)</w:t>
            </w:r>
          </w:p>
        </w:tc>
        <w:tc>
          <w:tcPr>
            <w:tcW w:w="1731" w:type="dxa"/>
          </w:tcPr>
          <w:p>
            <w:pPr>
              <w:pStyle w:val="TableParagraph"/>
              <w:spacing w:before="37"/>
              <w:rPr>
                <w:b/>
                <w:sz w:val="24"/>
              </w:rPr>
            </w:pPr>
          </w:p>
          <w:p>
            <w:pPr>
              <w:pStyle w:val="TableParagraph"/>
              <w:ind w:left="272"/>
              <w:rPr>
                <w:sz w:val="24"/>
              </w:rPr>
            </w:pPr>
            <w:r>
              <w:rPr>
                <w:sz w:val="24"/>
              </w:rPr>
              <w:t>2.49 </w:t>
            </w:r>
            <w:r>
              <w:rPr>
                <w:spacing w:val="-2"/>
                <w:sz w:val="24"/>
              </w:rPr>
              <w:t>(2.93)</w:t>
            </w:r>
          </w:p>
        </w:tc>
        <w:tc>
          <w:tcPr>
            <w:tcW w:w="1688" w:type="dxa"/>
          </w:tcPr>
          <w:p>
            <w:pPr>
              <w:pStyle w:val="TableParagraph"/>
              <w:spacing w:before="37"/>
              <w:rPr>
                <w:b/>
                <w:sz w:val="24"/>
              </w:rPr>
            </w:pPr>
          </w:p>
          <w:p>
            <w:pPr>
              <w:pStyle w:val="TableParagraph"/>
              <w:ind w:left="250"/>
              <w:rPr>
                <w:sz w:val="24"/>
              </w:rPr>
            </w:pPr>
            <w:r>
              <w:rPr>
                <w:sz w:val="24"/>
              </w:rPr>
              <w:t>2.09 </w:t>
            </w:r>
            <w:r>
              <w:rPr>
                <w:spacing w:val="-2"/>
                <w:sz w:val="24"/>
              </w:rPr>
              <w:t>(2.93)</w:t>
            </w:r>
          </w:p>
        </w:tc>
        <w:tc>
          <w:tcPr>
            <w:tcW w:w="1642" w:type="dxa"/>
          </w:tcPr>
          <w:p>
            <w:pPr>
              <w:pStyle w:val="TableParagraph"/>
              <w:spacing w:before="37"/>
              <w:rPr>
                <w:b/>
                <w:sz w:val="24"/>
              </w:rPr>
            </w:pPr>
          </w:p>
          <w:p>
            <w:pPr>
              <w:pStyle w:val="TableParagraph"/>
              <w:ind w:left="226"/>
              <w:rPr>
                <w:sz w:val="24"/>
              </w:rPr>
            </w:pPr>
            <w:r>
              <w:rPr>
                <w:sz w:val="24"/>
              </w:rPr>
              <w:t>2.26 </w:t>
            </w:r>
            <w:r>
              <w:rPr>
                <w:spacing w:val="-2"/>
                <w:sz w:val="24"/>
              </w:rPr>
              <w:t>(2.93)</w:t>
            </w:r>
          </w:p>
        </w:tc>
      </w:tr>
      <w:tr>
        <w:trPr>
          <w:trHeight w:val="731" w:hRule="atLeast"/>
        </w:trPr>
        <w:tc>
          <w:tcPr>
            <w:tcW w:w="4297" w:type="dxa"/>
          </w:tcPr>
          <w:p>
            <w:pPr>
              <w:pStyle w:val="TableParagraph"/>
              <w:spacing w:before="70"/>
              <w:ind w:left="220"/>
              <w:rPr>
                <w:sz w:val="24"/>
              </w:rPr>
            </w:pPr>
            <w:r>
              <w:rPr>
                <w:sz w:val="24"/>
              </w:rPr>
              <w:t>Проблемы</w:t>
            </w:r>
            <w:r>
              <w:rPr>
                <w:spacing w:val="-2"/>
                <w:sz w:val="24"/>
              </w:rPr>
              <w:t> </w:t>
            </w:r>
            <w:r>
              <w:rPr>
                <w:sz w:val="24"/>
              </w:rPr>
              <w:t>с</w:t>
            </w:r>
            <w:r>
              <w:rPr>
                <w:spacing w:val="-2"/>
                <w:sz w:val="24"/>
              </w:rPr>
              <w:t> вниманием</w:t>
            </w:r>
          </w:p>
          <w:p>
            <w:pPr>
              <w:pStyle w:val="TableParagraph"/>
              <w:ind w:left="220"/>
              <w:rPr>
                <w:i/>
                <w:sz w:val="24"/>
              </w:rPr>
            </w:pPr>
            <w:r>
              <w:rPr>
                <w:i/>
                <w:sz w:val="24"/>
              </w:rPr>
              <w:t>(Attention</w:t>
            </w:r>
            <w:r>
              <w:rPr>
                <w:i/>
                <w:spacing w:val="-4"/>
                <w:sz w:val="24"/>
              </w:rPr>
              <w:t> </w:t>
            </w:r>
            <w:r>
              <w:rPr>
                <w:i/>
                <w:spacing w:val="-2"/>
                <w:sz w:val="24"/>
              </w:rPr>
              <w:t>Problems)</w:t>
            </w:r>
          </w:p>
        </w:tc>
        <w:tc>
          <w:tcPr>
            <w:tcW w:w="1731" w:type="dxa"/>
          </w:tcPr>
          <w:p>
            <w:pPr>
              <w:pStyle w:val="TableParagraph"/>
              <w:spacing w:before="34"/>
              <w:rPr>
                <w:b/>
                <w:sz w:val="24"/>
              </w:rPr>
            </w:pPr>
          </w:p>
          <w:p>
            <w:pPr>
              <w:pStyle w:val="TableParagraph"/>
              <w:ind w:left="272"/>
              <w:rPr>
                <w:sz w:val="24"/>
              </w:rPr>
            </w:pPr>
            <w:r>
              <w:rPr>
                <w:sz w:val="24"/>
              </w:rPr>
              <w:t>9.17 </w:t>
            </w:r>
            <w:r>
              <w:rPr>
                <w:spacing w:val="-2"/>
                <w:sz w:val="24"/>
              </w:rPr>
              <w:t>(6.81)</w:t>
            </w:r>
          </w:p>
        </w:tc>
        <w:tc>
          <w:tcPr>
            <w:tcW w:w="1688" w:type="dxa"/>
          </w:tcPr>
          <w:p>
            <w:pPr>
              <w:pStyle w:val="TableParagraph"/>
              <w:spacing w:before="34"/>
              <w:rPr>
                <w:b/>
                <w:sz w:val="24"/>
              </w:rPr>
            </w:pPr>
          </w:p>
          <w:p>
            <w:pPr>
              <w:pStyle w:val="TableParagraph"/>
              <w:ind w:left="250"/>
              <w:rPr>
                <w:sz w:val="24"/>
              </w:rPr>
            </w:pPr>
            <w:r>
              <w:rPr>
                <w:sz w:val="24"/>
              </w:rPr>
              <w:t>5.59 </w:t>
            </w:r>
            <w:r>
              <w:rPr>
                <w:spacing w:val="-2"/>
                <w:sz w:val="24"/>
              </w:rPr>
              <w:t>(5.19)</w:t>
            </w:r>
          </w:p>
        </w:tc>
        <w:tc>
          <w:tcPr>
            <w:tcW w:w="1642" w:type="dxa"/>
          </w:tcPr>
          <w:p>
            <w:pPr>
              <w:pStyle w:val="TableParagraph"/>
              <w:spacing w:before="34"/>
              <w:rPr>
                <w:b/>
                <w:sz w:val="24"/>
              </w:rPr>
            </w:pPr>
          </w:p>
          <w:p>
            <w:pPr>
              <w:pStyle w:val="TableParagraph"/>
              <w:ind w:left="226"/>
              <w:rPr>
                <w:sz w:val="24"/>
              </w:rPr>
            </w:pPr>
            <w:r>
              <w:rPr>
                <w:sz w:val="24"/>
              </w:rPr>
              <w:t>7.14 </w:t>
            </w:r>
            <w:r>
              <w:rPr>
                <w:spacing w:val="-2"/>
                <w:sz w:val="24"/>
              </w:rPr>
              <w:t>(6.20)</w:t>
            </w:r>
          </w:p>
        </w:tc>
      </w:tr>
      <w:tr>
        <w:trPr>
          <w:trHeight w:val="971" w:hRule="atLeast"/>
        </w:trPr>
        <w:tc>
          <w:tcPr>
            <w:tcW w:w="4297" w:type="dxa"/>
          </w:tcPr>
          <w:p>
            <w:pPr>
              <w:pStyle w:val="TableParagraph"/>
              <w:spacing w:before="37"/>
              <w:rPr>
                <w:b/>
                <w:sz w:val="24"/>
              </w:rPr>
            </w:pPr>
          </w:p>
          <w:p>
            <w:pPr>
              <w:pStyle w:val="TableParagraph"/>
              <w:ind w:left="220"/>
              <w:rPr>
                <w:i/>
                <w:sz w:val="24"/>
              </w:rPr>
            </w:pPr>
            <w:r>
              <w:rPr>
                <w:sz w:val="24"/>
              </w:rPr>
              <w:t>Делинквентное</w:t>
            </w:r>
            <w:r>
              <w:rPr>
                <w:spacing w:val="-15"/>
                <w:sz w:val="24"/>
              </w:rPr>
              <w:t> </w:t>
            </w:r>
            <w:r>
              <w:rPr>
                <w:sz w:val="24"/>
              </w:rPr>
              <w:t>поведение</w:t>
            </w:r>
            <w:r>
              <w:rPr>
                <w:spacing w:val="-15"/>
                <w:sz w:val="24"/>
              </w:rPr>
              <w:t> </w:t>
            </w:r>
            <w:r>
              <w:rPr>
                <w:i/>
                <w:sz w:val="24"/>
              </w:rPr>
              <w:t>(Delinquent </w:t>
            </w:r>
            <w:r>
              <w:rPr>
                <w:i/>
                <w:spacing w:val="-2"/>
                <w:sz w:val="24"/>
              </w:rPr>
              <w:t>Behavior)</w:t>
            </w:r>
          </w:p>
        </w:tc>
        <w:tc>
          <w:tcPr>
            <w:tcW w:w="1731" w:type="dxa"/>
          </w:tcPr>
          <w:p>
            <w:pPr>
              <w:pStyle w:val="TableParagraph"/>
              <w:spacing w:before="37"/>
              <w:rPr>
                <w:b/>
                <w:sz w:val="24"/>
              </w:rPr>
            </w:pPr>
          </w:p>
          <w:p>
            <w:pPr>
              <w:pStyle w:val="TableParagraph"/>
              <w:ind w:left="272"/>
              <w:rPr>
                <w:sz w:val="24"/>
              </w:rPr>
            </w:pPr>
            <w:r>
              <w:rPr>
                <w:sz w:val="24"/>
              </w:rPr>
              <w:t>2.41 </w:t>
            </w:r>
            <w:r>
              <w:rPr>
                <w:spacing w:val="-2"/>
                <w:sz w:val="24"/>
              </w:rPr>
              <w:t>(2.76)</w:t>
            </w:r>
          </w:p>
        </w:tc>
        <w:tc>
          <w:tcPr>
            <w:tcW w:w="1688" w:type="dxa"/>
          </w:tcPr>
          <w:p>
            <w:pPr>
              <w:pStyle w:val="TableParagraph"/>
              <w:spacing w:before="37"/>
              <w:rPr>
                <w:b/>
                <w:sz w:val="24"/>
              </w:rPr>
            </w:pPr>
          </w:p>
          <w:p>
            <w:pPr>
              <w:pStyle w:val="TableParagraph"/>
              <w:ind w:left="250"/>
              <w:rPr>
                <w:sz w:val="24"/>
              </w:rPr>
            </w:pPr>
            <w:r>
              <w:rPr>
                <w:sz w:val="24"/>
              </w:rPr>
              <w:t>1.45 </w:t>
            </w:r>
            <w:r>
              <w:rPr>
                <w:spacing w:val="-2"/>
                <w:sz w:val="24"/>
              </w:rPr>
              <w:t>(1.99)</w:t>
            </w:r>
          </w:p>
        </w:tc>
        <w:tc>
          <w:tcPr>
            <w:tcW w:w="1642" w:type="dxa"/>
          </w:tcPr>
          <w:p>
            <w:pPr>
              <w:pStyle w:val="TableParagraph"/>
              <w:spacing w:before="37"/>
              <w:rPr>
                <w:b/>
                <w:sz w:val="24"/>
              </w:rPr>
            </w:pPr>
          </w:p>
          <w:p>
            <w:pPr>
              <w:pStyle w:val="TableParagraph"/>
              <w:ind w:left="226"/>
              <w:rPr>
                <w:sz w:val="24"/>
              </w:rPr>
            </w:pPr>
            <w:r>
              <w:rPr>
                <w:sz w:val="24"/>
              </w:rPr>
              <w:t>1.86 </w:t>
            </w:r>
            <w:r>
              <w:rPr>
                <w:spacing w:val="-2"/>
                <w:sz w:val="24"/>
              </w:rPr>
              <w:t>(2.40)</w:t>
            </w:r>
          </w:p>
        </w:tc>
      </w:tr>
      <w:tr>
        <w:trPr>
          <w:trHeight w:val="698" w:hRule="atLeast"/>
        </w:trPr>
        <w:tc>
          <w:tcPr>
            <w:tcW w:w="4297" w:type="dxa"/>
          </w:tcPr>
          <w:p>
            <w:pPr>
              <w:pStyle w:val="TableParagraph"/>
              <w:spacing w:before="37"/>
              <w:rPr>
                <w:b/>
                <w:sz w:val="24"/>
              </w:rPr>
            </w:pPr>
          </w:p>
          <w:p>
            <w:pPr>
              <w:pStyle w:val="TableParagraph"/>
              <w:ind w:left="220"/>
              <w:rPr>
                <w:sz w:val="24"/>
              </w:rPr>
            </w:pPr>
            <w:r>
              <w:rPr>
                <w:sz w:val="24"/>
              </w:rPr>
              <w:t>Агрессия</w:t>
            </w:r>
            <w:r>
              <w:rPr>
                <w:spacing w:val="-3"/>
                <w:sz w:val="24"/>
              </w:rPr>
              <w:t> </w:t>
            </w:r>
            <w:r>
              <w:rPr>
                <w:sz w:val="24"/>
              </w:rPr>
              <w:t>(</w:t>
            </w:r>
            <w:r>
              <w:rPr>
                <w:i/>
                <w:sz w:val="24"/>
              </w:rPr>
              <w:t>Aggressive</w:t>
            </w:r>
            <w:r>
              <w:rPr>
                <w:i/>
                <w:spacing w:val="-3"/>
                <w:sz w:val="24"/>
              </w:rPr>
              <w:t> </w:t>
            </w:r>
            <w:r>
              <w:rPr>
                <w:i/>
                <w:spacing w:val="-2"/>
                <w:sz w:val="24"/>
              </w:rPr>
              <w:t>Behavior</w:t>
            </w:r>
            <w:r>
              <w:rPr>
                <w:spacing w:val="-2"/>
                <w:sz w:val="24"/>
              </w:rPr>
              <w:t>)</w:t>
            </w:r>
          </w:p>
        </w:tc>
        <w:tc>
          <w:tcPr>
            <w:tcW w:w="1731" w:type="dxa"/>
          </w:tcPr>
          <w:p>
            <w:pPr>
              <w:pStyle w:val="TableParagraph"/>
              <w:spacing w:before="37"/>
              <w:rPr>
                <w:b/>
                <w:sz w:val="24"/>
              </w:rPr>
            </w:pPr>
          </w:p>
          <w:p>
            <w:pPr>
              <w:pStyle w:val="TableParagraph"/>
              <w:ind w:left="272"/>
              <w:rPr>
                <w:sz w:val="24"/>
              </w:rPr>
            </w:pPr>
            <w:r>
              <w:rPr>
                <w:sz w:val="24"/>
              </w:rPr>
              <w:t>7.56 </w:t>
            </w:r>
            <w:r>
              <w:rPr>
                <w:spacing w:val="-2"/>
                <w:sz w:val="24"/>
              </w:rPr>
              <w:t>(8.41)</w:t>
            </w:r>
          </w:p>
        </w:tc>
        <w:tc>
          <w:tcPr>
            <w:tcW w:w="1688" w:type="dxa"/>
          </w:tcPr>
          <w:p>
            <w:pPr>
              <w:pStyle w:val="TableParagraph"/>
              <w:spacing w:before="37"/>
              <w:rPr>
                <w:b/>
                <w:sz w:val="24"/>
              </w:rPr>
            </w:pPr>
          </w:p>
          <w:p>
            <w:pPr>
              <w:pStyle w:val="TableParagraph"/>
              <w:ind w:left="250"/>
              <w:rPr>
                <w:sz w:val="24"/>
              </w:rPr>
            </w:pPr>
            <w:r>
              <w:rPr>
                <w:sz w:val="24"/>
              </w:rPr>
              <w:t>3.92 </w:t>
            </w:r>
            <w:r>
              <w:rPr>
                <w:spacing w:val="-2"/>
                <w:sz w:val="24"/>
              </w:rPr>
              <w:t>(5.81)</w:t>
            </w:r>
          </w:p>
        </w:tc>
        <w:tc>
          <w:tcPr>
            <w:tcW w:w="1642" w:type="dxa"/>
          </w:tcPr>
          <w:p>
            <w:pPr>
              <w:pStyle w:val="TableParagraph"/>
              <w:spacing w:before="37"/>
              <w:rPr>
                <w:b/>
                <w:sz w:val="24"/>
              </w:rPr>
            </w:pPr>
          </w:p>
          <w:p>
            <w:pPr>
              <w:pStyle w:val="TableParagraph"/>
              <w:ind w:left="226"/>
              <w:rPr>
                <w:sz w:val="24"/>
              </w:rPr>
            </w:pPr>
            <w:r>
              <w:rPr>
                <w:sz w:val="24"/>
              </w:rPr>
              <w:t>5.49 </w:t>
            </w:r>
            <w:r>
              <w:rPr>
                <w:spacing w:val="-2"/>
                <w:sz w:val="24"/>
              </w:rPr>
              <w:t>(7.28)</w:t>
            </w:r>
          </w:p>
        </w:tc>
      </w:tr>
    </w:tbl>
    <w:p>
      <w:pPr>
        <w:pStyle w:val="BodyText"/>
        <w:ind w:left="0" w:right="0" w:firstLine="0"/>
        <w:jc w:val="left"/>
        <w:rPr>
          <w:b/>
          <w:sz w:val="28"/>
        </w:rPr>
      </w:pPr>
    </w:p>
    <w:p>
      <w:pPr>
        <w:pStyle w:val="BodyText"/>
        <w:spacing w:before="152"/>
        <w:ind w:left="0" w:right="0" w:firstLine="0"/>
        <w:jc w:val="left"/>
        <w:rPr>
          <w:b/>
          <w:sz w:val="28"/>
        </w:rPr>
      </w:pPr>
    </w:p>
    <w:p>
      <w:pPr>
        <w:pStyle w:val="Heading4"/>
        <w:spacing w:before="1"/>
        <w:ind w:right="564"/>
      </w:pPr>
      <w:r>
        <w:rPr/>
        <w:t>По результатам апробации в 2022 г.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w:t>
      </w:r>
      <w:r>
        <w:rPr>
          <w:spacing w:val="-6"/>
        </w:rPr>
        <w:t> </w:t>
      </w:r>
      <w:r>
        <w:rPr/>
        <w:t>на</w:t>
      </w:r>
      <w:r>
        <w:rPr>
          <w:spacing w:val="-5"/>
        </w:rPr>
        <w:t> </w:t>
      </w:r>
      <w:r>
        <w:rPr/>
        <w:t>основании</w:t>
      </w:r>
      <w:r>
        <w:rPr>
          <w:spacing w:val="-5"/>
        </w:rPr>
        <w:t> </w:t>
      </w:r>
      <w:r>
        <w:rPr/>
        <w:t>статистического</w:t>
      </w:r>
      <w:r>
        <w:rPr>
          <w:spacing w:val="-4"/>
        </w:rPr>
        <w:t> </w:t>
      </w:r>
      <w:r>
        <w:rPr/>
        <w:t>анализа</w:t>
      </w:r>
      <w:r>
        <w:rPr>
          <w:spacing w:val="-6"/>
        </w:rPr>
        <w:t> </w:t>
      </w:r>
      <w:r>
        <w:rPr/>
        <w:t>распределения</w:t>
      </w:r>
      <w:r>
        <w:rPr>
          <w:spacing w:val="-8"/>
        </w:rPr>
        <w:t> </w:t>
      </w:r>
      <w:r>
        <w:rPr/>
        <w:t>показателей у детей — иностранных граждан, выделены следующие нормативы [1].</w:t>
      </w:r>
    </w:p>
    <w:p>
      <w:pPr>
        <w:pStyle w:val="Heading3"/>
        <w:spacing w:before="248"/>
        <w:ind w:left="8384"/>
        <w:jc w:val="left"/>
      </w:pPr>
      <w:r>
        <w:rPr/>
        <w:t>Таблица</w:t>
      </w:r>
      <w:r>
        <w:rPr>
          <w:spacing w:val="-6"/>
        </w:rPr>
        <w:t> </w:t>
      </w:r>
      <w:r>
        <w:rPr>
          <w:spacing w:val="-10"/>
        </w:rPr>
        <w:t>9</w:t>
      </w:r>
    </w:p>
    <w:p>
      <w:pPr>
        <w:spacing w:line="235" w:lineRule="auto" w:before="242"/>
        <w:ind w:left="1021" w:right="1300" w:hanging="6"/>
        <w:jc w:val="center"/>
        <w:rPr>
          <w:b/>
          <w:sz w:val="28"/>
        </w:rPr>
      </w:pPr>
      <w:r>
        <w:rPr>
          <w:b/>
          <w:sz w:val="28"/>
        </w:rPr>
        <w:t>Пересмотренные критерии оценки по шкалам на выборках несовершеннолетних</w:t>
      </w:r>
      <w:r>
        <w:rPr>
          <w:b/>
          <w:spacing w:val="-5"/>
          <w:sz w:val="28"/>
        </w:rPr>
        <w:t> </w:t>
      </w:r>
      <w:r>
        <w:rPr>
          <w:b/>
          <w:sz w:val="28"/>
        </w:rPr>
        <w:t>детей</w:t>
      </w:r>
      <w:r>
        <w:rPr>
          <w:b/>
          <w:spacing w:val="-5"/>
          <w:sz w:val="28"/>
        </w:rPr>
        <w:t> </w:t>
      </w:r>
      <w:r>
        <w:rPr>
          <w:sz w:val="28"/>
        </w:rPr>
        <w:t>—</w:t>
      </w:r>
      <w:r>
        <w:rPr>
          <w:spacing w:val="-7"/>
          <w:sz w:val="28"/>
        </w:rPr>
        <w:t> </w:t>
      </w:r>
      <w:r>
        <w:rPr>
          <w:b/>
          <w:sz w:val="28"/>
        </w:rPr>
        <w:t>иностранных</w:t>
      </w:r>
      <w:r>
        <w:rPr>
          <w:b/>
          <w:spacing w:val="-5"/>
          <w:sz w:val="28"/>
        </w:rPr>
        <w:t> </w:t>
      </w:r>
      <w:r>
        <w:rPr>
          <w:b/>
          <w:sz w:val="28"/>
        </w:rPr>
        <w:t>граждан</w:t>
      </w:r>
      <w:r>
        <w:rPr>
          <w:b/>
          <w:spacing w:val="-6"/>
          <w:sz w:val="28"/>
        </w:rPr>
        <w:t> </w:t>
      </w:r>
      <w:r>
        <w:rPr>
          <w:b/>
          <w:sz w:val="28"/>
        </w:rPr>
        <w:t>в</w:t>
      </w:r>
      <w:r>
        <w:rPr>
          <w:b/>
          <w:spacing w:val="-7"/>
          <w:sz w:val="28"/>
        </w:rPr>
        <w:t> </w:t>
      </w:r>
      <w:r>
        <w:rPr>
          <w:b/>
          <w:sz w:val="28"/>
        </w:rPr>
        <w:t>России</w:t>
      </w:r>
    </w:p>
    <w:p>
      <w:pPr>
        <w:pStyle w:val="BodyText"/>
        <w:spacing w:before="180"/>
        <w:ind w:left="0" w:right="0" w:firstLine="0"/>
        <w:jc w:val="left"/>
        <w:rPr>
          <w:b/>
        </w:r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09"/>
        <w:gridCol w:w="2126"/>
        <w:gridCol w:w="1841"/>
        <w:gridCol w:w="2121"/>
      </w:tblGrid>
      <w:tr>
        <w:trPr>
          <w:trHeight w:val="957" w:hRule="atLeast"/>
        </w:trPr>
        <w:tc>
          <w:tcPr>
            <w:tcW w:w="3509" w:type="dxa"/>
          </w:tcPr>
          <w:p>
            <w:pPr>
              <w:pStyle w:val="TableParagraph"/>
              <w:spacing w:before="61"/>
              <w:rPr>
                <w:b/>
                <w:sz w:val="24"/>
              </w:rPr>
            </w:pPr>
          </w:p>
          <w:p>
            <w:pPr>
              <w:pStyle w:val="TableParagraph"/>
              <w:ind w:left="9"/>
              <w:jc w:val="center"/>
              <w:rPr>
                <w:b/>
                <w:sz w:val="24"/>
              </w:rPr>
            </w:pPr>
            <w:r>
              <w:rPr>
                <w:b/>
                <w:spacing w:val="-2"/>
                <w:sz w:val="24"/>
              </w:rPr>
              <w:t>Шкалы</w:t>
            </w:r>
          </w:p>
        </w:tc>
        <w:tc>
          <w:tcPr>
            <w:tcW w:w="2126" w:type="dxa"/>
          </w:tcPr>
          <w:p>
            <w:pPr>
              <w:pStyle w:val="TableParagraph"/>
              <w:spacing w:before="61"/>
              <w:rPr>
                <w:b/>
                <w:sz w:val="24"/>
              </w:rPr>
            </w:pPr>
          </w:p>
          <w:p>
            <w:pPr>
              <w:pStyle w:val="TableParagraph"/>
              <w:ind w:left="8" w:right="6"/>
              <w:jc w:val="center"/>
              <w:rPr>
                <w:b/>
                <w:sz w:val="24"/>
              </w:rPr>
            </w:pPr>
            <w:r>
              <w:rPr>
                <w:b/>
                <w:sz w:val="24"/>
              </w:rPr>
              <w:t>Ниже</w:t>
            </w:r>
            <w:r>
              <w:rPr>
                <w:b/>
                <w:spacing w:val="-3"/>
                <w:sz w:val="24"/>
              </w:rPr>
              <w:t> </w:t>
            </w:r>
            <w:r>
              <w:rPr>
                <w:b/>
                <w:spacing w:val="-2"/>
                <w:sz w:val="24"/>
              </w:rPr>
              <w:t>среднего</w:t>
            </w:r>
          </w:p>
        </w:tc>
        <w:tc>
          <w:tcPr>
            <w:tcW w:w="1841" w:type="dxa"/>
          </w:tcPr>
          <w:p>
            <w:pPr>
              <w:pStyle w:val="TableParagraph"/>
              <w:spacing w:before="61"/>
              <w:rPr>
                <w:b/>
                <w:sz w:val="24"/>
              </w:rPr>
            </w:pPr>
          </w:p>
          <w:p>
            <w:pPr>
              <w:pStyle w:val="TableParagraph"/>
              <w:ind w:left="12" w:right="2"/>
              <w:jc w:val="center"/>
              <w:rPr>
                <w:b/>
                <w:sz w:val="24"/>
              </w:rPr>
            </w:pPr>
            <w:r>
              <w:rPr>
                <w:b/>
                <w:spacing w:val="-2"/>
                <w:sz w:val="24"/>
              </w:rPr>
              <w:t>Средний</w:t>
            </w:r>
          </w:p>
        </w:tc>
        <w:tc>
          <w:tcPr>
            <w:tcW w:w="2121" w:type="dxa"/>
          </w:tcPr>
          <w:p>
            <w:pPr>
              <w:pStyle w:val="TableParagraph"/>
              <w:spacing w:before="61"/>
              <w:rPr>
                <w:b/>
                <w:sz w:val="24"/>
              </w:rPr>
            </w:pPr>
          </w:p>
          <w:p>
            <w:pPr>
              <w:pStyle w:val="TableParagraph"/>
              <w:ind w:left="15" w:right="3"/>
              <w:jc w:val="center"/>
              <w:rPr>
                <w:b/>
                <w:sz w:val="24"/>
              </w:rPr>
            </w:pPr>
            <w:r>
              <w:rPr>
                <w:b/>
                <w:sz w:val="24"/>
              </w:rPr>
              <w:t>Выше</w:t>
            </w:r>
            <w:r>
              <w:rPr>
                <w:b/>
                <w:spacing w:val="-4"/>
                <w:sz w:val="24"/>
              </w:rPr>
              <w:t> </w:t>
            </w:r>
            <w:r>
              <w:rPr>
                <w:b/>
                <w:spacing w:val="-2"/>
                <w:sz w:val="24"/>
              </w:rPr>
              <w:t>среднего</w:t>
            </w:r>
          </w:p>
        </w:tc>
      </w:tr>
      <w:tr>
        <w:trPr>
          <w:trHeight w:val="957" w:hRule="atLeast"/>
        </w:trPr>
        <w:tc>
          <w:tcPr>
            <w:tcW w:w="3509" w:type="dxa"/>
          </w:tcPr>
          <w:p>
            <w:pPr>
              <w:pStyle w:val="TableParagraph"/>
              <w:spacing w:before="56"/>
              <w:rPr>
                <w:b/>
                <w:sz w:val="24"/>
              </w:rPr>
            </w:pPr>
          </w:p>
          <w:p>
            <w:pPr>
              <w:pStyle w:val="TableParagraph"/>
              <w:ind w:left="100"/>
              <w:rPr>
                <w:sz w:val="24"/>
              </w:rPr>
            </w:pPr>
            <w:r>
              <w:rPr>
                <w:spacing w:val="-2"/>
                <w:sz w:val="24"/>
              </w:rPr>
              <w:t>Замкнутость</w:t>
            </w:r>
          </w:p>
        </w:tc>
        <w:tc>
          <w:tcPr>
            <w:tcW w:w="2126" w:type="dxa"/>
          </w:tcPr>
          <w:p>
            <w:pPr>
              <w:pStyle w:val="TableParagraph"/>
              <w:spacing w:before="56"/>
              <w:rPr>
                <w:b/>
                <w:sz w:val="24"/>
              </w:rPr>
            </w:pPr>
          </w:p>
          <w:p>
            <w:pPr>
              <w:pStyle w:val="TableParagraph"/>
              <w:ind w:left="8" w:right="5"/>
              <w:jc w:val="center"/>
              <w:rPr>
                <w:sz w:val="24"/>
              </w:rPr>
            </w:pPr>
            <w:r>
              <w:rPr>
                <w:sz w:val="24"/>
              </w:rPr>
              <w:t>&lt;</w:t>
            </w:r>
            <w:r>
              <w:rPr>
                <w:spacing w:val="-2"/>
                <w:sz w:val="24"/>
              </w:rPr>
              <w:t> </w:t>
            </w:r>
            <w:r>
              <w:rPr>
                <w:sz w:val="24"/>
              </w:rPr>
              <w:t>-</w:t>
            </w:r>
            <w:r>
              <w:rPr>
                <w:spacing w:val="-4"/>
                <w:sz w:val="24"/>
              </w:rPr>
              <w:t>0.68</w:t>
            </w:r>
          </w:p>
        </w:tc>
        <w:tc>
          <w:tcPr>
            <w:tcW w:w="1841" w:type="dxa"/>
          </w:tcPr>
          <w:p>
            <w:pPr>
              <w:pStyle w:val="TableParagraph"/>
              <w:spacing w:before="56"/>
              <w:rPr>
                <w:b/>
                <w:sz w:val="24"/>
              </w:rPr>
            </w:pPr>
          </w:p>
          <w:p>
            <w:pPr>
              <w:pStyle w:val="TableParagraph"/>
              <w:ind w:left="12" w:right="6"/>
              <w:jc w:val="center"/>
              <w:rPr>
                <w:sz w:val="24"/>
              </w:rPr>
            </w:pPr>
            <w:r>
              <w:rPr>
                <w:sz w:val="24"/>
              </w:rPr>
              <w:t>-0.68</w:t>
            </w:r>
            <w:r>
              <w:rPr>
                <w:spacing w:val="-2"/>
                <w:sz w:val="24"/>
              </w:rPr>
              <w:t> </w:t>
            </w:r>
            <w:r>
              <w:rPr>
                <w:sz w:val="24"/>
              </w:rPr>
              <w:t>-</w:t>
            </w:r>
            <w:r>
              <w:rPr>
                <w:spacing w:val="-4"/>
                <w:sz w:val="24"/>
              </w:rPr>
              <w:t>5.28</w:t>
            </w:r>
          </w:p>
        </w:tc>
        <w:tc>
          <w:tcPr>
            <w:tcW w:w="2121" w:type="dxa"/>
          </w:tcPr>
          <w:p>
            <w:pPr>
              <w:pStyle w:val="TableParagraph"/>
              <w:spacing w:before="56"/>
              <w:rPr>
                <w:b/>
                <w:sz w:val="24"/>
              </w:rPr>
            </w:pPr>
          </w:p>
          <w:p>
            <w:pPr>
              <w:pStyle w:val="TableParagraph"/>
              <w:ind w:left="15"/>
              <w:jc w:val="center"/>
              <w:rPr>
                <w:sz w:val="24"/>
              </w:rPr>
            </w:pPr>
            <w:r>
              <w:rPr>
                <w:spacing w:val="-2"/>
                <w:sz w:val="24"/>
              </w:rPr>
              <w:t>&gt;5.28</w:t>
            </w:r>
          </w:p>
        </w:tc>
      </w:tr>
    </w:tbl>
    <w:p>
      <w:pPr>
        <w:pStyle w:val="TableParagraph"/>
        <w:spacing w:after="0"/>
        <w:jc w:val="center"/>
        <w:rPr>
          <w:sz w:val="24"/>
        </w:rPr>
        <w:sectPr>
          <w:pgSz w:w="11910" w:h="16840"/>
          <w:pgMar w:header="0" w:footer="970" w:top="1040" w:bottom="1695" w:left="1417" w:right="283"/>
        </w:sect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09"/>
        <w:gridCol w:w="2126"/>
        <w:gridCol w:w="1841"/>
        <w:gridCol w:w="2121"/>
      </w:tblGrid>
      <w:tr>
        <w:trPr>
          <w:trHeight w:val="957" w:hRule="atLeast"/>
        </w:trPr>
        <w:tc>
          <w:tcPr>
            <w:tcW w:w="3509" w:type="dxa"/>
          </w:tcPr>
          <w:p>
            <w:pPr>
              <w:pStyle w:val="TableParagraph"/>
              <w:spacing w:before="56"/>
              <w:rPr>
                <w:b/>
                <w:sz w:val="24"/>
              </w:rPr>
            </w:pPr>
          </w:p>
          <w:p>
            <w:pPr>
              <w:pStyle w:val="TableParagraph"/>
              <w:spacing w:before="1"/>
              <w:ind w:left="100"/>
              <w:rPr>
                <w:sz w:val="24"/>
              </w:rPr>
            </w:pPr>
            <w:r>
              <w:rPr>
                <w:sz w:val="24"/>
              </w:rPr>
              <w:t>Соматические</w:t>
            </w:r>
            <w:r>
              <w:rPr>
                <w:spacing w:val="-6"/>
                <w:sz w:val="24"/>
              </w:rPr>
              <w:t> </w:t>
            </w:r>
            <w:r>
              <w:rPr>
                <w:spacing w:val="-2"/>
                <w:sz w:val="24"/>
              </w:rPr>
              <w:t>жалобы</w:t>
            </w:r>
          </w:p>
        </w:tc>
        <w:tc>
          <w:tcPr>
            <w:tcW w:w="2126" w:type="dxa"/>
          </w:tcPr>
          <w:p>
            <w:pPr>
              <w:pStyle w:val="TableParagraph"/>
              <w:spacing w:before="56"/>
              <w:rPr>
                <w:b/>
                <w:sz w:val="24"/>
              </w:rPr>
            </w:pPr>
          </w:p>
          <w:p>
            <w:pPr>
              <w:pStyle w:val="TableParagraph"/>
              <w:spacing w:before="1"/>
              <w:ind w:left="8" w:right="5"/>
              <w:jc w:val="center"/>
              <w:rPr>
                <w:sz w:val="24"/>
              </w:rPr>
            </w:pPr>
            <w:r>
              <w:rPr>
                <w:sz w:val="24"/>
              </w:rPr>
              <w:t>&lt;</w:t>
            </w:r>
            <w:r>
              <w:rPr>
                <w:spacing w:val="-2"/>
                <w:sz w:val="24"/>
              </w:rPr>
              <w:t> </w:t>
            </w:r>
            <w:r>
              <w:rPr>
                <w:sz w:val="24"/>
              </w:rPr>
              <w:t>-</w:t>
            </w:r>
            <w:r>
              <w:rPr>
                <w:spacing w:val="-4"/>
                <w:sz w:val="24"/>
              </w:rPr>
              <w:t>0.81</w:t>
            </w:r>
          </w:p>
        </w:tc>
        <w:tc>
          <w:tcPr>
            <w:tcW w:w="1841" w:type="dxa"/>
          </w:tcPr>
          <w:p>
            <w:pPr>
              <w:pStyle w:val="TableParagraph"/>
              <w:spacing w:before="56"/>
              <w:rPr>
                <w:b/>
                <w:sz w:val="24"/>
              </w:rPr>
            </w:pPr>
          </w:p>
          <w:p>
            <w:pPr>
              <w:pStyle w:val="TableParagraph"/>
              <w:spacing w:before="1"/>
              <w:ind w:left="12" w:right="6"/>
              <w:jc w:val="center"/>
              <w:rPr>
                <w:sz w:val="24"/>
              </w:rPr>
            </w:pPr>
            <w:r>
              <w:rPr>
                <w:sz w:val="24"/>
              </w:rPr>
              <w:t>-0.81</w:t>
            </w:r>
            <w:r>
              <w:rPr>
                <w:spacing w:val="-2"/>
                <w:sz w:val="24"/>
              </w:rPr>
              <w:t> </w:t>
            </w:r>
            <w:r>
              <w:rPr>
                <w:sz w:val="24"/>
              </w:rPr>
              <w:t>-</w:t>
            </w:r>
            <w:r>
              <w:rPr>
                <w:spacing w:val="-4"/>
                <w:sz w:val="24"/>
              </w:rPr>
              <w:t>2.53</w:t>
            </w:r>
          </w:p>
        </w:tc>
        <w:tc>
          <w:tcPr>
            <w:tcW w:w="2121" w:type="dxa"/>
          </w:tcPr>
          <w:p>
            <w:pPr>
              <w:pStyle w:val="TableParagraph"/>
              <w:spacing w:before="56"/>
              <w:rPr>
                <w:b/>
                <w:sz w:val="24"/>
              </w:rPr>
            </w:pPr>
          </w:p>
          <w:p>
            <w:pPr>
              <w:pStyle w:val="TableParagraph"/>
              <w:spacing w:before="1"/>
              <w:ind w:left="15"/>
              <w:jc w:val="center"/>
              <w:rPr>
                <w:sz w:val="24"/>
              </w:rPr>
            </w:pPr>
            <w:r>
              <w:rPr>
                <w:spacing w:val="-2"/>
                <w:sz w:val="24"/>
              </w:rPr>
              <w:t>&gt;2.53</w:t>
            </w:r>
          </w:p>
        </w:tc>
      </w:tr>
      <w:tr>
        <w:trPr>
          <w:trHeight w:val="954" w:hRule="atLeast"/>
        </w:trPr>
        <w:tc>
          <w:tcPr>
            <w:tcW w:w="3509" w:type="dxa"/>
          </w:tcPr>
          <w:p>
            <w:pPr>
              <w:pStyle w:val="TableParagraph"/>
              <w:spacing w:before="56"/>
              <w:rPr>
                <w:b/>
                <w:sz w:val="24"/>
              </w:rPr>
            </w:pPr>
          </w:p>
          <w:p>
            <w:pPr>
              <w:pStyle w:val="TableParagraph"/>
              <w:ind w:left="100"/>
              <w:rPr>
                <w:sz w:val="24"/>
              </w:rPr>
            </w:pPr>
            <w:r>
              <w:rPr>
                <w:sz w:val="24"/>
              </w:rPr>
              <w:t>Тревожность</w:t>
            </w:r>
            <w:r>
              <w:rPr>
                <w:spacing w:val="-4"/>
                <w:sz w:val="24"/>
              </w:rPr>
              <w:t> </w:t>
            </w:r>
            <w:r>
              <w:rPr>
                <w:sz w:val="24"/>
              </w:rPr>
              <w:t>–</w:t>
            </w:r>
            <w:r>
              <w:rPr>
                <w:spacing w:val="-4"/>
                <w:sz w:val="24"/>
              </w:rPr>
              <w:t> </w:t>
            </w:r>
            <w:r>
              <w:rPr>
                <w:spacing w:val="-2"/>
                <w:sz w:val="24"/>
              </w:rPr>
              <w:t>депрессивность</w:t>
            </w:r>
          </w:p>
        </w:tc>
        <w:tc>
          <w:tcPr>
            <w:tcW w:w="2126" w:type="dxa"/>
          </w:tcPr>
          <w:p>
            <w:pPr>
              <w:pStyle w:val="TableParagraph"/>
              <w:spacing w:before="56"/>
              <w:rPr>
                <w:b/>
                <w:sz w:val="24"/>
              </w:rPr>
            </w:pPr>
          </w:p>
          <w:p>
            <w:pPr>
              <w:pStyle w:val="TableParagraph"/>
              <w:ind w:left="8"/>
              <w:jc w:val="center"/>
              <w:rPr>
                <w:sz w:val="24"/>
              </w:rPr>
            </w:pPr>
            <w:r>
              <w:rPr>
                <w:spacing w:val="-2"/>
                <w:sz w:val="24"/>
              </w:rPr>
              <w:t>&lt;0.35</w:t>
            </w:r>
          </w:p>
        </w:tc>
        <w:tc>
          <w:tcPr>
            <w:tcW w:w="1841" w:type="dxa"/>
          </w:tcPr>
          <w:p>
            <w:pPr>
              <w:pStyle w:val="TableParagraph"/>
              <w:spacing w:before="56"/>
              <w:rPr>
                <w:b/>
                <w:sz w:val="24"/>
              </w:rPr>
            </w:pPr>
          </w:p>
          <w:p>
            <w:pPr>
              <w:pStyle w:val="TableParagraph"/>
              <w:ind w:left="430"/>
              <w:rPr>
                <w:sz w:val="24"/>
              </w:rPr>
            </w:pPr>
            <w:r>
              <w:rPr>
                <w:sz w:val="24"/>
              </w:rPr>
              <w:t>0.35</w:t>
            </w:r>
            <w:r>
              <w:rPr>
                <w:spacing w:val="-1"/>
                <w:sz w:val="24"/>
              </w:rPr>
              <w:t> </w:t>
            </w:r>
            <w:r>
              <w:rPr>
                <w:sz w:val="24"/>
              </w:rPr>
              <w:t>-</w:t>
            </w:r>
            <w:r>
              <w:rPr>
                <w:spacing w:val="-4"/>
                <w:sz w:val="24"/>
              </w:rPr>
              <w:t>9.13</w:t>
            </w:r>
          </w:p>
        </w:tc>
        <w:tc>
          <w:tcPr>
            <w:tcW w:w="2121" w:type="dxa"/>
          </w:tcPr>
          <w:p>
            <w:pPr>
              <w:pStyle w:val="TableParagraph"/>
              <w:spacing w:before="56"/>
              <w:rPr>
                <w:b/>
                <w:sz w:val="24"/>
              </w:rPr>
            </w:pPr>
          </w:p>
          <w:p>
            <w:pPr>
              <w:pStyle w:val="TableParagraph"/>
              <w:ind w:left="15"/>
              <w:jc w:val="center"/>
              <w:rPr>
                <w:sz w:val="24"/>
              </w:rPr>
            </w:pPr>
            <w:r>
              <w:rPr>
                <w:spacing w:val="-2"/>
                <w:sz w:val="24"/>
              </w:rPr>
              <w:t>&gt;9.13</w:t>
            </w:r>
          </w:p>
        </w:tc>
      </w:tr>
      <w:tr>
        <w:trPr>
          <w:trHeight w:val="957" w:hRule="atLeast"/>
        </w:trPr>
        <w:tc>
          <w:tcPr>
            <w:tcW w:w="3509" w:type="dxa"/>
          </w:tcPr>
          <w:p>
            <w:pPr>
              <w:pStyle w:val="TableParagraph"/>
              <w:spacing w:before="56"/>
              <w:rPr>
                <w:b/>
                <w:sz w:val="24"/>
              </w:rPr>
            </w:pPr>
          </w:p>
          <w:p>
            <w:pPr>
              <w:pStyle w:val="TableParagraph"/>
              <w:ind w:left="100"/>
              <w:rPr>
                <w:sz w:val="24"/>
              </w:rPr>
            </w:pPr>
            <w:r>
              <w:rPr>
                <w:sz w:val="24"/>
              </w:rPr>
              <w:t>Социальные</w:t>
            </w:r>
            <w:r>
              <w:rPr>
                <w:spacing w:val="-7"/>
                <w:sz w:val="24"/>
              </w:rPr>
              <w:t> </w:t>
            </w:r>
            <w:r>
              <w:rPr>
                <w:spacing w:val="-2"/>
                <w:sz w:val="24"/>
              </w:rPr>
              <w:t>трудности</w:t>
            </w:r>
          </w:p>
        </w:tc>
        <w:tc>
          <w:tcPr>
            <w:tcW w:w="2126" w:type="dxa"/>
          </w:tcPr>
          <w:p>
            <w:pPr>
              <w:pStyle w:val="TableParagraph"/>
              <w:spacing w:before="56"/>
              <w:rPr>
                <w:b/>
                <w:sz w:val="24"/>
              </w:rPr>
            </w:pPr>
          </w:p>
          <w:p>
            <w:pPr>
              <w:pStyle w:val="TableParagraph"/>
              <w:ind w:left="8" w:right="5"/>
              <w:jc w:val="center"/>
              <w:rPr>
                <w:sz w:val="24"/>
              </w:rPr>
            </w:pPr>
            <w:r>
              <w:rPr>
                <w:sz w:val="24"/>
              </w:rPr>
              <w:t>&lt;</w:t>
            </w:r>
            <w:r>
              <w:rPr>
                <w:spacing w:val="-2"/>
                <w:sz w:val="24"/>
              </w:rPr>
              <w:t> </w:t>
            </w:r>
            <w:r>
              <w:rPr>
                <w:sz w:val="24"/>
              </w:rPr>
              <w:t>-</w:t>
            </w:r>
            <w:r>
              <w:rPr>
                <w:spacing w:val="-4"/>
                <w:sz w:val="24"/>
              </w:rPr>
              <w:t>0.78</w:t>
            </w:r>
          </w:p>
        </w:tc>
        <w:tc>
          <w:tcPr>
            <w:tcW w:w="1841" w:type="dxa"/>
          </w:tcPr>
          <w:p>
            <w:pPr>
              <w:pStyle w:val="TableParagraph"/>
              <w:spacing w:before="56"/>
              <w:rPr>
                <w:b/>
                <w:sz w:val="24"/>
              </w:rPr>
            </w:pPr>
          </w:p>
          <w:p>
            <w:pPr>
              <w:pStyle w:val="TableParagraph"/>
              <w:ind w:left="12" w:right="6"/>
              <w:jc w:val="center"/>
              <w:rPr>
                <w:sz w:val="24"/>
              </w:rPr>
            </w:pPr>
            <w:r>
              <w:rPr>
                <w:sz w:val="24"/>
              </w:rPr>
              <w:t>-0.78</w:t>
            </w:r>
            <w:r>
              <w:rPr>
                <w:spacing w:val="-2"/>
                <w:sz w:val="24"/>
              </w:rPr>
              <w:t> </w:t>
            </w:r>
            <w:r>
              <w:rPr>
                <w:sz w:val="24"/>
              </w:rPr>
              <w:t>-</w:t>
            </w:r>
            <w:r>
              <w:rPr>
                <w:spacing w:val="-4"/>
                <w:sz w:val="24"/>
              </w:rPr>
              <w:t>5.82</w:t>
            </w:r>
          </w:p>
        </w:tc>
        <w:tc>
          <w:tcPr>
            <w:tcW w:w="2121" w:type="dxa"/>
          </w:tcPr>
          <w:p>
            <w:pPr>
              <w:pStyle w:val="TableParagraph"/>
              <w:spacing w:before="56"/>
              <w:rPr>
                <w:b/>
                <w:sz w:val="24"/>
              </w:rPr>
            </w:pPr>
          </w:p>
          <w:p>
            <w:pPr>
              <w:pStyle w:val="TableParagraph"/>
              <w:ind w:left="15"/>
              <w:jc w:val="center"/>
              <w:rPr>
                <w:sz w:val="24"/>
              </w:rPr>
            </w:pPr>
            <w:r>
              <w:rPr>
                <w:spacing w:val="-2"/>
                <w:sz w:val="24"/>
              </w:rPr>
              <w:t>&gt;5.82</w:t>
            </w:r>
          </w:p>
        </w:tc>
      </w:tr>
      <w:tr>
        <w:trPr>
          <w:trHeight w:val="955" w:hRule="atLeast"/>
        </w:trPr>
        <w:tc>
          <w:tcPr>
            <w:tcW w:w="3509" w:type="dxa"/>
          </w:tcPr>
          <w:p>
            <w:pPr>
              <w:pStyle w:val="TableParagraph"/>
              <w:spacing w:before="56"/>
              <w:rPr>
                <w:b/>
                <w:sz w:val="24"/>
              </w:rPr>
            </w:pPr>
          </w:p>
          <w:p>
            <w:pPr>
              <w:pStyle w:val="TableParagraph"/>
              <w:ind w:left="100"/>
              <w:rPr>
                <w:sz w:val="24"/>
              </w:rPr>
            </w:pPr>
            <w:r>
              <w:rPr>
                <w:sz w:val="24"/>
              </w:rPr>
              <w:t>Трудности</w:t>
            </w:r>
            <w:r>
              <w:rPr>
                <w:spacing w:val="-5"/>
                <w:sz w:val="24"/>
              </w:rPr>
              <w:t> </w:t>
            </w:r>
            <w:r>
              <w:rPr>
                <w:spacing w:val="-2"/>
                <w:sz w:val="24"/>
              </w:rPr>
              <w:t>мышления</w:t>
            </w:r>
          </w:p>
        </w:tc>
        <w:tc>
          <w:tcPr>
            <w:tcW w:w="2126" w:type="dxa"/>
          </w:tcPr>
          <w:p>
            <w:pPr>
              <w:pStyle w:val="TableParagraph"/>
              <w:spacing w:before="56"/>
              <w:rPr>
                <w:b/>
                <w:sz w:val="24"/>
              </w:rPr>
            </w:pPr>
          </w:p>
          <w:p>
            <w:pPr>
              <w:pStyle w:val="TableParagraph"/>
              <w:ind w:left="8"/>
              <w:jc w:val="center"/>
              <w:rPr>
                <w:sz w:val="24"/>
              </w:rPr>
            </w:pPr>
            <w:r>
              <w:rPr>
                <w:spacing w:val="-2"/>
                <w:sz w:val="24"/>
              </w:rPr>
              <w:t>&lt;0.57</w:t>
            </w:r>
          </w:p>
        </w:tc>
        <w:tc>
          <w:tcPr>
            <w:tcW w:w="1841" w:type="dxa"/>
          </w:tcPr>
          <w:p>
            <w:pPr>
              <w:pStyle w:val="TableParagraph"/>
              <w:spacing w:before="56"/>
              <w:rPr>
                <w:b/>
                <w:sz w:val="24"/>
              </w:rPr>
            </w:pPr>
          </w:p>
          <w:p>
            <w:pPr>
              <w:pStyle w:val="TableParagraph"/>
              <w:ind w:left="12" w:right="6"/>
              <w:jc w:val="center"/>
              <w:rPr>
                <w:sz w:val="24"/>
              </w:rPr>
            </w:pPr>
            <w:r>
              <w:rPr>
                <w:sz w:val="24"/>
              </w:rPr>
              <w:t>-0.57</w:t>
            </w:r>
            <w:r>
              <w:rPr>
                <w:spacing w:val="-2"/>
                <w:sz w:val="24"/>
              </w:rPr>
              <w:t> </w:t>
            </w:r>
            <w:r>
              <w:rPr>
                <w:sz w:val="24"/>
              </w:rPr>
              <w:t>-</w:t>
            </w:r>
            <w:r>
              <w:rPr>
                <w:spacing w:val="-4"/>
                <w:sz w:val="24"/>
              </w:rPr>
              <w:t>1.97</w:t>
            </w:r>
          </w:p>
        </w:tc>
        <w:tc>
          <w:tcPr>
            <w:tcW w:w="2121" w:type="dxa"/>
          </w:tcPr>
          <w:p>
            <w:pPr>
              <w:pStyle w:val="TableParagraph"/>
              <w:spacing w:before="56"/>
              <w:rPr>
                <w:b/>
                <w:sz w:val="24"/>
              </w:rPr>
            </w:pPr>
          </w:p>
          <w:p>
            <w:pPr>
              <w:pStyle w:val="TableParagraph"/>
              <w:ind w:left="15"/>
              <w:jc w:val="center"/>
              <w:rPr>
                <w:sz w:val="24"/>
              </w:rPr>
            </w:pPr>
            <w:r>
              <w:rPr>
                <w:spacing w:val="-2"/>
                <w:sz w:val="24"/>
              </w:rPr>
              <w:t>&gt;1.97</w:t>
            </w:r>
          </w:p>
        </w:tc>
      </w:tr>
      <w:tr>
        <w:trPr>
          <w:trHeight w:val="957" w:hRule="atLeast"/>
        </w:trPr>
        <w:tc>
          <w:tcPr>
            <w:tcW w:w="3509" w:type="dxa"/>
          </w:tcPr>
          <w:p>
            <w:pPr>
              <w:pStyle w:val="TableParagraph"/>
              <w:spacing w:before="56"/>
              <w:rPr>
                <w:b/>
                <w:sz w:val="24"/>
              </w:rPr>
            </w:pPr>
          </w:p>
          <w:p>
            <w:pPr>
              <w:pStyle w:val="TableParagraph"/>
              <w:ind w:left="100"/>
              <w:rPr>
                <w:sz w:val="24"/>
              </w:rPr>
            </w:pPr>
            <w:r>
              <w:rPr>
                <w:sz w:val="24"/>
              </w:rPr>
              <w:t>Трудности</w:t>
            </w:r>
            <w:r>
              <w:rPr>
                <w:spacing w:val="-7"/>
                <w:sz w:val="24"/>
              </w:rPr>
              <w:t> </w:t>
            </w:r>
            <w:r>
              <w:rPr>
                <w:spacing w:val="-2"/>
                <w:sz w:val="24"/>
              </w:rPr>
              <w:t>внимания</w:t>
            </w:r>
          </w:p>
        </w:tc>
        <w:tc>
          <w:tcPr>
            <w:tcW w:w="2126" w:type="dxa"/>
          </w:tcPr>
          <w:p>
            <w:pPr>
              <w:pStyle w:val="TableParagraph"/>
              <w:spacing w:before="56"/>
              <w:rPr>
                <w:b/>
                <w:sz w:val="24"/>
              </w:rPr>
            </w:pPr>
          </w:p>
          <w:p>
            <w:pPr>
              <w:pStyle w:val="TableParagraph"/>
              <w:ind w:left="8"/>
              <w:jc w:val="center"/>
              <w:rPr>
                <w:sz w:val="24"/>
              </w:rPr>
            </w:pPr>
            <w:r>
              <w:rPr>
                <w:spacing w:val="-2"/>
                <w:sz w:val="24"/>
              </w:rPr>
              <w:t>&lt;0.58</w:t>
            </w:r>
          </w:p>
        </w:tc>
        <w:tc>
          <w:tcPr>
            <w:tcW w:w="1841" w:type="dxa"/>
          </w:tcPr>
          <w:p>
            <w:pPr>
              <w:pStyle w:val="TableParagraph"/>
              <w:spacing w:before="56"/>
              <w:rPr>
                <w:b/>
                <w:sz w:val="24"/>
              </w:rPr>
            </w:pPr>
          </w:p>
          <w:p>
            <w:pPr>
              <w:pStyle w:val="TableParagraph"/>
              <w:ind w:left="320"/>
              <w:rPr>
                <w:sz w:val="24"/>
              </w:rPr>
            </w:pPr>
            <w:r>
              <w:rPr>
                <w:sz w:val="24"/>
              </w:rPr>
              <w:t>0.58 – </w:t>
            </w:r>
            <w:r>
              <w:rPr>
                <w:spacing w:val="-2"/>
                <w:sz w:val="24"/>
              </w:rPr>
              <w:t>16.54</w:t>
            </w:r>
          </w:p>
        </w:tc>
        <w:tc>
          <w:tcPr>
            <w:tcW w:w="2121" w:type="dxa"/>
          </w:tcPr>
          <w:p>
            <w:pPr>
              <w:pStyle w:val="TableParagraph"/>
              <w:spacing w:before="56"/>
              <w:rPr>
                <w:b/>
                <w:sz w:val="24"/>
              </w:rPr>
            </w:pPr>
          </w:p>
          <w:p>
            <w:pPr>
              <w:pStyle w:val="TableParagraph"/>
              <w:ind w:left="15"/>
              <w:jc w:val="center"/>
              <w:rPr>
                <w:sz w:val="24"/>
              </w:rPr>
            </w:pPr>
            <w:r>
              <w:rPr>
                <w:spacing w:val="-2"/>
                <w:sz w:val="24"/>
              </w:rPr>
              <w:t>&gt;16.54</w:t>
            </w:r>
          </w:p>
        </w:tc>
      </w:tr>
      <w:tr>
        <w:trPr>
          <w:trHeight w:val="954" w:hRule="atLeast"/>
        </w:trPr>
        <w:tc>
          <w:tcPr>
            <w:tcW w:w="3509" w:type="dxa"/>
          </w:tcPr>
          <w:p>
            <w:pPr>
              <w:pStyle w:val="TableParagraph"/>
              <w:spacing w:before="56"/>
              <w:rPr>
                <w:b/>
                <w:sz w:val="24"/>
              </w:rPr>
            </w:pPr>
          </w:p>
          <w:p>
            <w:pPr>
              <w:pStyle w:val="TableParagraph"/>
              <w:ind w:left="100"/>
              <w:rPr>
                <w:sz w:val="24"/>
              </w:rPr>
            </w:pPr>
            <w:r>
              <w:rPr>
                <w:spacing w:val="-2"/>
                <w:sz w:val="24"/>
              </w:rPr>
              <w:t>Делинквентность</w:t>
            </w:r>
          </w:p>
        </w:tc>
        <w:tc>
          <w:tcPr>
            <w:tcW w:w="2126" w:type="dxa"/>
          </w:tcPr>
          <w:p>
            <w:pPr>
              <w:pStyle w:val="TableParagraph"/>
              <w:spacing w:before="56"/>
              <w:rPr>
                <w:b/>
                <w:sz w:val="24"/>
              </w:rPr>
            </w:pPr>
          </w:p>
          <w:p>
            <w:pPr>
              <w:pStyle w:val="TableParagraph"/>
              <w:ind w:left="8"/>
              <w:jc w:val="center"/>
              <w:rPr>
                <w:sz w:val="24"/>
              </w:rPr>
            </w:pPr>
            <w:r>
              <w:rPr>
                <w:spacing w:val="-2"/>
                <w:sz w:val="24"/>
              </w:rPr>
              <w:t>&lt;0.35</w:t>
            </w:r>
          </w:p>
        </w:tc>
        <w:tc>
          <w:tcPr>
            <w:tcW w:w="1841" w:type="dxa"/>
          </w:tcPr>
          <w:p>
            <w:pPr>
              <w:pStyle w:val="TableParagraph"/>
              <w:spacing w:before="56"/>
              <w:rPr>
                <w:b/>
                <w:sz w:val="24"/>
              </w:rPr>
            </w:pPr>
          </w:p>
          <w:p>
            <w:pPr>
              <w:pStyle w:val="TableParagraph"/>
              <w:ind w:left="380"/>
              <w:rPr>
                <w:sz w:val="24"/>
              </w:rPr>
            </w:pPr>
            <w:r>
              <w:rPr>
                <w:sz w:val="24"/>
              </w:rPr>
              <w:t>0.35 – </w:t>
            </w:r>
            <w:r>
              <w:rPr>
                <w:spacing w:val="-4"/>
                <w:sz w:val="24"/>
              </w:rPr>
              <w:t>9.13</w:t>
            </w:r>
          </w:p>
        </w:tc>
        <w:tc>
          <w:tcPr>
            <w:tcW w:w="2121" w:type="dxa"/>
          </w:tcPr>
          <w:p>
            <w:pPr>
              <w:pStyle w:val="TableParagraph"/>
              <w:spacing w:before="56"/>
              <w:rPr>
                <w:b/>
                <w:sz w:val="24"/>
              </w:rPr>
            </w:pPr>
          </w:p>
          <w:p>
            <w:pPr>
              <w:pStyle w:val="TableParagraph"/>
              <w:ind w:left="15"/>
              <w:jc w:val="center"/>
              <w:rPr>
                <w:sz w:val="24"/>
              </w:rPr>
            </w:pPr>
            <w:r>
              <w:rPr>
                <w:spacing w:val="-2"/>
                <w:sz w:val="24"/>
              </w:rPr>
              <w:t>&gt;9.13</w:t>
            </w:r>
          </w:p>
        </w:tc>
      </w:tr>
      <w:tr>
        <w:trPr>
          <w:trHeight w:val="957" w:hRule="atLeast"/>
        </w:trPr>
        <w:tc>
          <w:tcPr>
            <w:tcW w:w="3509" w:type="dxa"/>
          </w:tcPr>
          <w:p>
            <w:pPr>
              <w:pStyle w:val="TableParagraph"/>
              <w:spacing w:before="56"/>
              <w:rPr>
                <w:b/>
                <w:sz w:val="24"/>
              </w:rPr>
            </w:pPr>
          </w:p>
          <w:p>
            <w:pPr>
              <w:pStyle w:val="TableParagraph"/>
              <w:ind w:left="100"/>
              <w:rPr>
                <w:sz w:val="24"/>
              </w:rPr>
            </w:pPr>
            <w:r>
              <w:rPr>
                <w:spacing w:val="-2"/>
                <w:sz w:val="24"/>
              </w:rPr>
              <w:t>Агрессивность</w:t>
            </w:r>
          </w:p>
        </w:tc>
        <w:tc>
          <w:tcPr>
            <w:tcW w:w="2126" w:type="dxa"/>
          </w:tcPr>
          <w:p>
            <w:pPr>
              <w:pStyle w:val="TableParagraph"/>
              <w:spacing w:before="56"/>
              <w:rPr>
                <w:b/>
                <w:sz w:val="24"/>
              </w:rPr>
            </w:pPr>
          </w:p>
          <w:p>
            <w:pPr>
              <w:pStyle w:val="TableParagraph"/>
              <w:ind w:left="8" w:right="5"/>
              <w:jc w:val="center"/>
              <w:rPr>
                <w:sz w:val="24"/>
              </w:rPr>
            </w:pPr>
            <w:r>
              <w:rPr>
                <w:sz w:val="24"/>
              </w:rPr>
              <w:t>&lt;</w:t>
            </w:r>
            <w:r>
              <w:rPr>
                <w:spacing w:val="-2"/>
                <w:sz w:val="24"/>
              </w:rPr>
              <w:t> </w:t>
            </w:r>
            <w:r>
              <w:rPr>
                <w:sz w:val="24"/>
              </w:rPr>
              <w:t>-</w:t>
            </w:r>
            <w:r>
              <w:rPr>
                <w:spacing w:val="-4"/>
                <w:sz w:val="24"/>
              </w:rPr>
              <w:t>2.71</w:t>
            </w:r>
          </w:p>
        </w:tc>
        <w:tc>
          <w:tcPr>
            <w:tcW w:w="1841" w:type="dxa"/>
          </w:tcPr>
          <w:p>
            <w:pPr>
              <w:pStyle w:val="TableParagraph"/>
              <w:spacing w:before="56"/>
              <w:rPr>
                <w:b/>
                <w:sz w:val="24"/>
              </w:rPr>
            </w:pPr>
          </w:p>
          <w:p>
            <w:pPr>
              <w:pStyle w:val="TableParagraph"/>
              <w:ind w:left="12" w:right="6"/>
              <w:jc w:val="center"/>
              <w:rPr>
                <w:sz w:val="24"/>
              </w:rPr>
            </w:pPr>
            <w:r>
              <w:rPr>
                <w:sz w:val="24"/>
              </w:rPr>
              <w:t>-2.71</w:t>
            </w:r>
            <w:r>
              <w:rPr>
                <w:spacing w:val="-2"/>
                <w:sz w:val="24"/>
              </w:rPr>
              <w:t> </w:t>
            </w:r>
            <w:r>
              <w:rPr>
                <w:sz w:val="24"/>
              </w:rPr>
              <w:t>-</w:t>
            </w:r>
            <w:r>
              <w:rPr>
                <w:spacing w:val="-2"/>
                <w:sz w:val="24"/>
              </w:rPr>
              <w:t>15.15</w:t>
            </w:r>
          </w:p>
        </w:tc>
        <w:tc>
          <w:tcPr>
            <w:tcW w:w="2121" w:type="dxa"/>
          </w:tcPr>
          <w:p>
            <w:pPr>
              <w:pStyle w:val="TableParagraph"/>
              <w:spacing w:before="56"/>
              <w:rPr>
                <w:b/>
                <w:sz w:val="24"/>
              </w:rPr>
            </w:pPr>
          </w:p>
          <w:p>
            <w:pPr>
              <w:pStyle w:val="TableParagraph"/>
              <w:ind w:left="15"/>
              <w:jc w:val="center"/>
              <w:rPr>
                <w:sz w:val="24"/>
              </w:rPr>
            </w:pPr>
            <w:r>
              <w:rPr>
                <w:spacing w:val="-2"/>
                <w:sz w:val="24"/>
              </w:rPr>
              <w:t>&gt;15.15</w:t>
            </w:r>
          </w:p>
        </w:tc>
      </w:tr>
      <w:tr>
        <w:trPr>
          <w:trHeight w:val="955" w:hRule="atLeast"/>
        </w:trPr>
        <w:tc>
          <w:tcPr>
            <w:tcW w:w="3509" w:type="dxa"/>
          </w:tcPr>
          <w:p>
            <w:pPr>
              <w:pStyle w:val="TableParagraph"/>
              <w:spacing w:before="56"/>
              <w:rPr>
                <w:b/>
                <w:sz w:val="24"/>
              </w:rPr>
            </w:pPr>
          </w:p>
          <w:p>
            <w:pPr>
              <w:pStyle w:val="TableParagraph"/>
              <w:spacing w:before="1"/>
              <w:ind w:left="100"/>
              <w:rPr>
                <w:sz w:val="24"/>
              </w:rPr>
            </w:pPr>
            <w:r>
              <w:rPr>
                <w:sz w:val="24"/>
              </w:rPr>
              <w:t>Проблемы</w:t>
            </w:r>
            <w:r>
              <w:rPr>
                <w:spacing w:val="-2"/>
                <w:sz w:val="24"/>
              </w:rPr>
              <w:t> интернализации</w:t>
            </w:r>
          </w:p>
        </w:tc>
        <w:tc>
          <w:tcPr>
            <w:tcW w:w="2126" w:type="dxa"/>
          </w:tcPr>
          <w:p>
            <w:pPr>
              <w:pStyle w:val="TableParagraph"/>
              <w:spacing w:before="56"/>
              <w:rPr>
                <w:b/>
                <w:sz w:val="24"/>
              </w:rPr>
            </w:pPr>
          </w:p>
          <w:p>
            <w:pPr>
              <w:pStyle w:val="TableParagraph"/>
              <w:spacing w:before="1"/>
              <w:ind w:left="8"/>
              <w:jc w:val="center"/>
              <w:rPr>
                <w:sz w:val="24"/>
              </w:rPr>
            </w:pPr>
            <w:r>
              <w:rPr>
                <w:spacing w:val="-2"/>
                <w:sz w:val="24"/>
              </w:rPr>
              <w:t>&lt;0.06</w:t>
            </w:r>
          </w:p>
        </w:tc>
        <w:tc>
          <w:tcPr>
            <w:tcW w:w="1841" w:type="dxa"/>
          </w:tcPr>
          <w:p>
            <w:pPr>
              <w:pStyle w:val="TableParagraph"/>
              <w:spacing w:before="56"/>
              <w:rPr>
                <w:b/>
                <w:sz w:val="24"/>
              </w:rPr>
            </w:pPr>
          </w:p>
          <w:p>
            <w:pPr>
              <w:pStyle w:val="TableParagraph"/>
              <w:spacing w:before="1"/>
              <w:ind w:left="339"/>
              <w:rPr>
                <w:sz w:val="24"/>
              </w:rPr>
            </w:pPr>
            <w:r>
              <w:rPr>
                <w:sz w:val="24"/>
              </w:rPr>
              <w:t>0.06 -</w:t>
            </w:r>
            <w:r>
              <w:rPr>
                <w:spacing w:val="-1"/>
                <w:sz w:val="24"/>
              </w:rPr>
              <w:t> </w:t>
            </w:r>
            <w:r>
              <w:rPr>
                <w:spacing w:val="-2"/>
                <w:sz w:val="24"/>
              </w:rPr>
              <w:t>15.58</w:t>
            </w:r>
          </w:p>
        </w:tc>
        <w:tc>
          <w:tcPr>
            <w:tcW w:w="2121" w:type="dxa"/>
          </w:tcPr>
          <w:p>
            <w:pPr>
              <w:pStyle w:val="TableParagraph"/>
              <w:spacing w:before="56"/>
              <w:rPr>
                <w:b/>
                <w:sz w:val="24"/>
              </w:rPr>
            </w:pPr>
          </w:p>
          <w:p>
            <w:pPr>
              <w:pStyle w:val="TableParagraph"/>
              <w:spacing w:before="1"/>
              <w:ind w:left="15"/>
              <w:jc w:val="center"/>
              <w:rPr>
                <w:sz w:val="24"/>
              </w:rPr>
            </w:pPr>
            <w:r>
              <w:rPr>
                <w:spacing w:val="-2"/>
                <w:sz w:val="24"/>
              </w:rPr>
              <w:t>&gt;15.58</w:t>
            </w:r>
          </w:p>
        </w:tc>
      </w:tr>
      <w:tr>
        <w:trPr>
          <w:trHeight w:val="957" w:hRule="atLeast"/>
        </w:trPr>
        <w:tc>
          <w:tcPr>
            <w:tcW w:w="3509" w:type="dxa"/>
          </w:tcPr>
          <w:p>
            <w:pPr>
              <w:pStyle w:val="TableParagraph"/>
              <w:spacing w:before="56"/>
              <w:rPr>
                <w:b/>
                <w:sz w:val="24"/>
              </w:rPr>
            </w:pPr>
          </w:p>
          <w:p>
            <w:pPr>
              <w:pStyle w:val="TableParagraph"/>
              <w:ind w:left="100"/>
              <w:rPr>
                <w:sz w:val="24"/>
              </w:rPr>
            </w:pPr>
            <w:r>
              <w:rPr>
                <w:sz w:val="24"/>
              </w:rPr>
              <w:t>Проблемы</w:t>
            </w:r>
            <w:r>
              <w:rPr>
                <w:spacing w:val="-2"/>
                <w:sz w:val="24"/>
              </w:rPr>
              <w:t> экстернализации</w:t>
            </w:r>
          </w:p>
        </w:tc>
        <w:tc>
          <w:tcPr>
            <w:tcW w:w="2126" w:type="dxa"/>
          </w:tcPr>
          <w:p>
            <w:pPr>
              <w:pStyle w:val="TableParagraph"/>
              <w:spacing w:before="56"/>
              <w:rPr>
                <w:b/>
                <w:sz w:val="24"/>
              </w:rPr>
            </w:pPr>
          </w:p>
          <w:p>
            <w:pPr>
              <w:pStyle w:val="TableParagraph"/>
              <w:ind w:left="8" w:right="5"/>
              <w:jc w:val="center"/>
              <w:rPr>
                <w:sz w:val="24"/>
              </w:rPr>
            </w:pPr>
            <w:r>
              <w:rPr>
                <w:sz w:val="24"/>
              </w:rPr>
              <w:t>&lt;</w:t>
            </w:r>
            <w:r>
              <w:rPr>
                <w:spacing w:val="-2"/>
                <w:sz w:val="24"/>
              </w:rPr>
              <w:t> </w:t>
            </w:r>
            <w:r>
              <w:rPr>
                <w:sz w:val="24"/>
              </w:rPr>
              <w:t>-</w:t>
            </w:r>
            <w:r>
              <w:rPr>
                <w:spacing w:val="-4"/>
                <w:sz w:val="24"/>
              </w:rPr>
              <w:t>0.17</w:t>
            </w:r>
          </w:p>
        </w:tc>
        <w:tc>
          <w:tcPr>
            <w:tcW w:w="1841" w:type="dxa"/>
          </w:tcPr>
          <w:p>
            <w:pPr>
              <w:pStyle w:val="TableParagraph"/>
              <w:spacing w:before="56"/>
              <w:rPr>
                <w:b/>
                <w:sz w:val="24"/>
              </w:rPr>
            </w:pPr>
          </w:p>
          <w:p>
            <w:pPr>
              <w:pStyle w:val="TableParagraph"/>
              <w:ind w:left="12" w:right="8"/>
              <w:jc w:val="center"/>
              <w:rPr>
                <w:sz w:val="24"/>
              </w:rPr>
            </w:pPr>
            <w:r>
              <w:rPr>
                <w:sz w:val="24"/>
              </w:rPr>
              <w:t>-0.17</w:t>
            </w:r>
            <w:r>
              <w:rPr>
                <w:spacing w:val="-1"/>
                <w:sz w:val="24"/>
              </w:rPr>
              <w:t> </w:t>
            </w:r>
            <w:r>
              <w:rPr>
                <w:sz w:val="24"/>
              </w:rPr>
              <w:t>-</w:t>
            </w:r>
            <w:r>
              <w:rPr>
                <w:spacing w:val="-1"/>
                <w:sz w:val="24"/>
              </w:rPr>
              <w:t> </w:t>
            </w:r>
            <w:r>
              <w:rPr>
                <w:spacing w:val="-2"/>
                <w:sz w:val="24"/>
              </w:rPr>
              <w:t>21.93</w:t>
            </w:r>
          </w:p>
        </w:tc>
        <w:tc>
          <w:tcPr>
            <w:tcW w:w="2121" w:type="dxa"/>
          </w:tcPr>
          <w:p>
            <w:pPr>
              <w:pStyle w:val="TableParagraph"/>
              <w:spacing w:before="56"/>
              <w:rPr>
                <w:b/>
                <w:sz w:val="24"/>
              </w:rPr>
            </w:pPr>
          </w:p>
          <w:p>
            <w:pPr>
              <w:pStyle w:val="TableParagraph"/>
              <w:ind w:left="15"/>
              <w:jc w:val="center"/>
              <w:rPr>
                <w:sz w:val="24"/>
              </w:rPr>
            </w:pPr>
            <w:r>
              <w:rPr>
                <w:spacing w:val="-2"/>
                <w:sz w:val="24"/>
              </w:rPr>
              <w:t>&gt;21.93</w:t>
            </w:r>
          </w:p>
        </w:tc>
      </w:tr>
      <w:tr>
        <w:trPr>
          <w:trHeight w:val="1305" w:hRule="atLeast"/>
        </w:trPr>
        <w:tc>
          <w:tcPr>
            <w:tcW w:w="3509" w:type="dxa"/>
          </w:tcPr>
          <w:p>
            <w:pPr>
              <w:pStyle w:val="TableParagraph"/>
              <w:spacing w:before="92"/>
              <w:ind w:left="100" w:right="156"/>
              <w:rPr>
                <w:sz w:val="24"/>
              </w:rPr>
            </w:pPr>
            <w:r>
              <w:rPr>
                <w:sz w:val="24"/>
              </w:rPr>
              <w:t>Общий показатель поведенческих и эмоциональных</w:t>
            </w:r>
            <w:r>
              <w:rPr>
                <w:spacing w:val="-15"/>
                <w:sz w:val="24"/>
              </w:rPr>
              <w:t> </w:t>
            </w:r>
            <w:r>
              <w:rPr>
                <w:sz w:val="24"/>
              </w:rPr>
              <w:t>проблем</w:t>
            </w:r>
            <w:r>
              <w:rPr>
                <w:spacing w:val="-15"/>
                <w:sz w:val="24"/>
              </w:rPr>
              <w:t> </w:t>
            </w:r>
            <w:r>
              <w:rPr>
                <w:sz w:val="24"/>
              </w:rPr>
              <w:t>у </w:t>
            </w:r>
            <w:r>
              <w:rPr>
                <w:spacing w:val="-2"/>
                <w:sz w:val="24"/>
              </w:rPr>
              <w:t>детей</w:t>
            </w:r>
          </w:p>
        </w:tc>
        <w:tc>
          <w:tcPr>
            <w:tcW w:w="2126" w:type="dxa"/>
          </w:tcPr>
          <w:p>
            <w:pPr>
              <w:pStyle w:val="TableParagraph"/>
              <w:spacing w:before="56"/>
              <w:rPr>
                <w:b/>
                <w:sz w:val="24"/>
              </w:rPr>
            </w:pPr>
          </w:p>
          <w:p>
            <w:pPr>
              <w:pStyle w:val="TableParagraph"/>
              <w:ind w:left="8"/>
              <w:jc w:val="center"/>
              <w:rPr>
                <w:sz w:val="24"/>
              </w:rPr>
            </w:pPr>
            <w:r>
              <w:rPr>
                <w:spacing w:val="-2"/>
                <w:sz w:val="24"/>
              </w:rPr>
              <w:t>&lt;4.91</w:t>
            </w:r>
          </w:p>
        </w:tc>
        <w:tc>
          <w:tcPr>
            <w:tcW w:w="1841" w:type="dxa"/>
          </w:tcPr>
          <w:p>
            <w:pPr>
              <w:pStyle w:val="TableParagraph"/>
              <w:spacing w:before="56"/>
              <w:rPr>
                <w:b/>
                <w:sz w:val="24"/>
              </w:rPr>
            </w:pPr>
          </w:p>
          <w:p>
            <w:pPr>
              <w:pStyle w:val="TableParagraph"/>
              <w:ind w:left="320"/>
              <w:rPr>
                <w:sz w:val="24"/>
              </w:rPr>
            </w:pPr>
            <w:r>
              <w:rPr>
                <w:sz w:val="24"/>
              </w:rPr>
              <w:t>4.91 – </w:t>
            </w:r>
            <w:r>
              <w:rPr>
                <w:spacing w:val="-2"/>
                <w:sz w:val="24"/>
              </w:rPr>
              <w:t>92.49</w:t>
            </w:r>
          </w:p>
        </w:tc>
        <w:tc>
          <w:tcPr>
            <w:tcW w:w="2121" w:type="dxa"/>
          </w:tcPr>
          <w:p>
            <w:pPr>
              <w:pStyle w:val="TableParagraph"/>
              <w:spacing w:before="56"/>
              <w:rPr>
                <w:b/>
                <w:sz w:val="24"/>
              </w:rPr>
            </w:pPr>
          </w:p>
          <w:p>
            <w:pPr>
              <w:pStyle w:val="TableParagraph"/>
              <w:ind w:left="15"/>
              <w:jc w:val="center"/>
              <w:rPr>
                <w:sz w:val="24"/>
              </w:rPr>
            </w:pPr>
            <w:r>
              <w:rPr>
                <w:spacing w:val="-2"/>
                <w:sz w:val="24"/>
              </w:rPr>
              <w:t>&gt;92.49</w:t>
            </w:r>
          </w:p>
        </w:tc>
      </w:tr>
    </w:tbl>
    <w:p>
      <w:pPr>
        <w:spacing w:before="250"/>
        <w:ind w:left="285" w:right="568" w:firstLine="0"/>
        <w:jc w:val="both"/>
        <w:rPr>
          <w:sz w:val="24"/>
        </w:rPr>
      </w:pPr>
      <w:r>
        <w:rPr>
          <w:i/>
          <w:sz w:val="24"/>
        </w:rPr>
        <w:t>Примечание</w:t>
      </w:r>
      <w:r>
        <w:rPr>
          <w:sz w:val="24"/>
        </w:rPr>
        <w:t>. Значимых гендерных различий не выявлено, в связи с чем оценка производится без учета пола ребенка (t-критерий Стьюдента для независимых выборок).</w:t>
      </w:r>
    </w:p>
    <w:p>
      <w:pPr>
        <w:pStyle w:val="Heading3"/>
        <w:spacing w:before="248"/>
      </w:pPr>
      <w:r>
        <w:rPr/>
        <w:t>Психометрические</w:t>
      </w:r>
      <w:r>
        <w:rPr>
          <w:spacing w:val="-16"/>
        </w:rPr>
        <w:t> </w:t>
      </w:r>
      <w:r>
        <w:rPr/>
        <w:t>характеристики</w:t>
      </w:r>
      <w:r>
        <w:rPr>
          <w:spacing w:val="-14"/>
        </w:rPr>
        <w:t> </w:t>
      </w:r>
      <w:r>
        <w:rPr>
          <w:spacing w:val="-2"/>
        </w:rPr>
        <w:t>методики</w:t>
      </w:r>
    </w:p>
    <w:p>
      <w:pPr>
        <w:spacing w:before="233"/>
        <w:ind w:left="285" w:right="560" w:firstLine="0"/>
        <w:jc w:val="both"/>
        <w:rPr>
          <w:sz w:val="28"/>
        </w:rPr>
      </w:pPr>
      <w:r>
        <w:rPr>
          <w:sz w:val="28"/>
        </w:rPr>
        <w:t>Используются три формы опросников Т. Ахенбаха, предназначенные для заполнения родителями (</w:t>
      </w:r>
      <w:r>
        <w:rPr>
          <w:i/>
          <w:sz w:val="28"/>
        </w:rPr>
        <w:t>CBCL; Achenbach, </w:t>
      </w:r>
      <w:r>
        <w:rPr>
          <w:sz w:val="28"/>
        </w:rPr>
        <w:t>1991а), учителями (</w:t>
      </w:r>
      <w:r>
        <w:rPr>
          <w:i/>
          <w:sz w:val="28"/>
        </w:rPr>
        <w:t>TRF; Achenbach, </w:t>
      </w:r>
      <w:r>
        <w:rPr>
          <w:sz w:val="28"/>
        </w:rPr>
        <w:t>1991б) и подростками (</w:t>
      </w:r>
      <w:r>
        <w:rPr>
          <w:i/>
          <w:sz w:val="28"/>
        </w:rPr>
        <w:t>YSR, Achenbach, </w:t>
      </w:r>
      <w:r>
        <w:rPr>
          <w:sz w:val="28"/>
        </w:rPr>
        <w:t>1991а).</w:t>
      </w:r>
    </w:p>
    <w:p>
      <w:pPr>
        <w:pStyle w:val="Heading4"/>
        <w:spacing w:before="239"/>
        <w:ind w:right="564"/>
      </w:pPr>
      <w:r>
        <w:rPr/>
        <w:t>Валидность и надежность опросника были подтверждены при его разработке автором (</w:t>
      </w:r>
      <w:r>
        <w:rPr>
          <w:i/>
        </w:rPr>
        <w:t>Achenbach</w:t>
      </w:r>
      <w:r>
        <w:rPr/>
        <w:t>, 2007, главы 9 и 10) — коэффициент альфа Кронбаха для разных шкал составлял от .60 до .97. Коэффициенты корреляции Пирсона между</w:t>
      </w:r>
      <w:r>
        <w:rPr>
          <w:spacing w:val="-6"/>
        </w:rPr>
        <w:t> </w:t>
      </w:r>
      <w:r>
        <w:rPr/>
        <w:t>самоотчетами,</w:t>
      </w:r>
      <w:r>
        <w:rPr>
          <w:spacing w:val="-3"/>
        </w:rPr>
        <w:t> </w:t>
      </w:r>
      <w:r>
        <w:rPr/>
        <w:t>отчетами</w:t>
      </w:r>
      <w:r>
        <w:rPr>
          <w:spacing w:val="-2"/>
        </w:rPr>
        <w:t> </w:t>
      </w:r>
      <w:r>
        <w:rPr/>
        <w:t>преподавателей</w:t>
      </w:r>
      <w:r>
        <w:rPr>
          <w:spacing w:val="-3"/>
        </w:rPr>
        <w:t> </w:t>
      </w:r>
      <w:r>
        <w:rPr/>
        <w:t>и</w:t>
      </w:r>
      <w:r>
        <w:rPr>
          <w:spacing w:val="-2"/>
        </w:rPr>
        <w:t> </w:t>
      </w:r>
      <w:r>
        <w:rPr/>
        <w:t>родителей</w:t>
      </w:r>
      <w:r>
        <w:rPr>
          <w:spacing w:val="-4"/>
        </w:rPr>
        <w:t> </w:t>
      </w:r>
      <w:r>
        <w:rPr/>
        <w:t>были</w:t>
      </w:r>
      <w:r>
        <w:rPr>
          <w:spacing w:val="-2"/>
        </w:rPr>
        <w:t> </w:t>
      </w:r>
      <w:r>
        <w:rPr/>
        <w:t>достаточно велики,</w:t>
      </w:r>
      <w:r>
        <w:rPr>
          <w:spacing w:val="66"/>
        </w:rPr>
        <w:t> </w:t>
      </w:r>
      <w:r>
        <w:rPr/>
        <w:t>за</w:t>
      </w:r>
      <w:r>
        <w:rPr>
          <w:spacing w:val="69"/>
        </w:rPr>
        <w:t> </w:t>
      </w:r>
      <w:r>
        <w:rPr/>
        <w:t>исключением</w:t>
      </w:r>
      <w:r>
        <w:rPr>
          <w:spacing w:val="68"/>
        </w:rPr>
        <w:t> </w:t>
      </w:r>
      <w:r>
        <w:rPr/>
        <w:t>шкалы</w:t>
      </w:r>
      <w:r>
        <w:rPr>
          <w:spacing w:val="70"/>
        </w:rPr>
        <w:t> </w:t>
      </w:r>
      <w:r>
        <w:rPr/>
        <w:t>«Соматические</w:t>
      </w:r>
      <w:r>
        <w:rPr>
          <w:spacing w:val="68"/>
        </w:rPr>
        <w:t> </w:t>
      </w:r>
      <w:r>
        <w:rPr/>
        <w:t>жалобы».</w:t>
      </w:r>
      <w:r>
        <w:rPr>
          <w:spacing w:val="69"/>
        </w:rPr>
        <w:t> </w:t>
      </w:r>
      <w:r>
        <w:rPr/>
        <w:t>При</w:t>
      </w:r>
      <w:r>
        <w:rPr>
          <w:spacing w:val="70"/>
        </w:rPr>
        <w:t> </w:t>
      </w:r>
      <w:r>
        <w:rPr>
          <w:spacing w:val="-2"/>
        </w:rPr>
        <w:t>повторных</w:t>
      </w:r>
    </w:p>
    <w:p>
      <w:pPr>
        <w:pStyle w:val="Heading4"/>
        <w:spacing w:after="0"/>
        <w:sectPr>
          <w:type w:val="continuous"/>
          <w:pgSz w:w="11910" w:h="16840"/>
          <w:pgMar w:header="0" w:footer="970" w:top="1100" w:bottom="1200" w:left="1417" w:right="283"/>
        </w:sectPr>
      </w:pPr>
    </w:p>
    <w:p>
      <w:pPr>
        <w:pStyle w:val="Heading4"/>
        <w:spacing w:line="242" w:lineRule="auto" w:before="67"/>
        <w:ind w:right="572"/>
      </w:pPr>
      <w:r>
        <w:rPr/>
        <w:t>тестах было обнаружено снижение показателей, что объяснялось «эффектом </w:t>
      </w:r>
      <w:r>
        <w:rPr>
          <w:spacing w:val="-2"/>
        </w:rPr>
        <w:t>практики».</w:t>
      </w:r>
    </w:p>
    <w:p>
      <w:pPr>
        <w:pStyle w:val="Heading4"/>
        <w:spacing w:before="236"/>
        <w:ind w:right="562"/>
      </w:pPr>
      <w:r>
        <w:rPr/>
        <w:t>Методика</w:t>
      </w:r>
      <w:r>
        <w:rPr>
          <w:spacing w:val="-5"/>
        </w:rPr>
        <w:t> </w:t>
      </w:r>
      <w:r>
        <w:rPr/>
        <w:t>официально</w:t>
      </w:r>
      <w:r>
        <w:rPr>
          <w:spacing w:val="-5"/>
        </w:rPr>
        <w:t> </w:t>
      </w:r>
      <w:r>
        <w:rPr/>
        <w:t>переведена</w:t>
      </w:r>
      <w:r>
        <w:rPr>
          <w:spacing w:val="-5"/>
        </w:rPr>
        <w:t> </w:t>
      </w:r>
      <w:r>
        <w:rPr/>
        <w:t>на</w:t>
      </w:r>
      <w:r>
        <w:rPr>
          <w:spacing w:val="-5"/>
        </w:rPr>
        <w:t> </w:t>
      </w:r>
      <w:r>
        <w:rPr/>
        <w:t>многие языки,</w:t>
      </w:r>
      <w:r>
        <w:rPr>
          <w:spacing w:val="-6"/>
        </w:rPr>
        <w:t> </w:t>
      </w:r>
      <w:r>
        <w:rPr/>
        <w:t>в</w:t>
      </w:r>
      <w:r>
        <w:rPr>
          <w:spacing w:val="-6"/>
        </w:rPr>
        <w:t> </w:t>
      </w:r>
      <w:r>
        <w:rPr/>
        <w:t>том</w:t>
      </w:r>
      <w:r>
        <w:rPr>
          <w:spacing w:val="-5"/>
        </w:rPr>
        <w:t> </w:t>
      </w:r>
      <w:r>
        <w:rPr/>
        <w:t>числе</w:t>
      </w:r>
      <w:r>
        <w:rPr>
          <w:spacing w:val="-6"/>
        </w:rPr>
        <w:t> </w:t>
      </w:r>
      <w:r>
        <w:rPr/>
        <w:t>на</w:t>
      </w:r>
      <w:r>
        <w:rPr>
          <w:spacing w:val="-5"/>
        </w:rPr>
        <w:t> </w:t>
      </w:r>
      <w:r>
        <w:rPr/>
        <w:t>русский,</w:t>
      </w:r>
      <w:r>
        <w:rPr>
          <w:spacing w:val="-6"/>
        </w:rPr>
        <w:t> </w:t>
      </w:r>
      <w:r>
        <w:rPr/>
        <w:t>и рекомендована для оценки эффективности проводимых в школе программ по профилактике и восстановлению психического здоровья детей-мигрантов и беженцев (</w:t>
      </w:r>
      <w:r>
        <w:rPr>
          <w:i/>
        </w:rPr>
        <w:t>Birman, Chan, </w:t>
      </w:r>
      <w:r>
        <w:rPr/>
        <w:t>2008).</w:t>
      </w:r>
    </w:p>
    <w:p>
      <w:pPr>
        <w:pStyle w:val="Heading4"/>
        <w:spacing w:before="238"/>
        <w:ind w:right="560"/>
      </w:pPr>
      <w:r>
        <w:rPr/>
        <w:t>Валидность</w:t>
      </w:r>
      <w:r>
        <w:rPr>
          <w:spacing w:val="-5"/>
        </w:rPr>
        <w:t> </w:t>
      </w:r>
      <w:r>
        <w:rPr/>
        <w:t>русифицированного</w:t>
      </w:r>
      <w:r>
        <w:rPr>
          <w:spacing w:val="-7"/>
        </w:rPr>
        <w:t> </w:t>
      </w:r>
      <w:r>
        <w:rPr/>
        <w:t>опросника</w:t>
      </w:r>
      <w:r>
        <w:rPr>
          <w:spacing w:val="-4"/>
        </w:rPr>
        <w:t> </w:t>
      </w:r>
      <w:r>
        <w:rPr/>
        <w:t>Ахенбаха</w:t>
      </w:r>
      <w:r>
        <w:rPr>
          <w:spacing w:val="-4"/>
        </w:rPr>
        <w:t> </w:t>
      </w:r>
      <w:r>
        <w:rPr/>
        <w:t>в</w:t>
      </w:r>
      <w:r>
        <w:rPr>
          <w:spacing w:val="-9"/>
        </w:rPr>
        <w:t> </w:t>
      </w:r>
      <w:r>
        <w:rPr/>
        <w:t>форме</w:t>
      </w:r>
      <w:r>
        <w:rPr>
          <w:spacing w:val="-4"/>
        </w:rPr>
        <w:t> </w:t>
      </w:r>
      <w:r>
        <w:rPr/>
        <w:t>самоотчета</w:t>
      </w:r>
      <w:r>
        <w:rPr>
          <w:spacing w:val="-7"/>
        </w:rPr>
        <w:t> </w:t>
      </w:r>
      <w:r>
        <w:rPr/>
        <w:t>для русскоязычных</w:t>
      </w:r>
      <w:r>
        <w:rPr>
          <w:spacing w:val="-18"/>
        </w:rPr>
        <w:t> </w:t>
      </w:r>
      <w:r>
        <w:rPr/>
        <w:t>подростков</w:t>
      </w:r>
      <w:r>
        <w:rPr>
          <w:spacing w:val="-17"/>
        </w:rPr>
        <w:t> </w:t>
      </w:r>
      <w:r>
        <w:rPr/>
        <w:t>была</w:t>
      </w:r>
      <w:r>
        <w:rPr>
          <w:spacing w:val="-18"/>
        </w:rPr>
        <w:t> </w:t>
      </w:r>
      <w:r>
        <w:rPr/>
        <w:t>подтверждена</w:t>
      </w:r>
      <w:r>
        <w:rPr>
          <w:spacing w:val="-17"/>
        </w:rPr>
        <w:t> </w:t>
      </w:r>
      <w:r>
        <w:rPr/>
        <w:t>в</w:t>
      </w:r>
      <w:r>
        <w:rPr>
          <w:spacing w:val="-18"/>
        </w:rPr>
        <w:t> </w:t>
      </w:r>
      <w:r>
        <w:rPr/>
        <w:t>исследовании</w:t>
      </w:r>
      <w:r>
        <w:rPr>
          <w:spacing w:val="-17"/>
        </w:rPr>
        <w:t> </w:t>
      </w:r>
      <w:r>
        <w:rPr/>
        <w:t>«Молодежный самоотчет: валидность русской версии» (</w:t>
      </w:r>
      <w:r>
        <w:rPr>
          <w:i/>
        </w:rPr>
        <w:t>Vasin, Lobaskova, Gindina, </w:t>
      </w:r>
      <w:r>
        <w:rPr/>
        <w:t>2016). Была изучена обоснованность русской адаптации формы опросника для самостоятельного</w:t>
      </w:r>
      <w:r>
        <w:rPr>
          <w:spacing w:val="-13"/>
        </w:rPr>
        <w:t> </w:t>
      </w:r>
      <w:r>
        <w:rPr/>
        <w:t>заполнения</w:t>
      </w:r>
      <w:r>
        <w:rPr>
          <w:spacing w:val="-11"/>
        </w:rPr>
        <w:t> </w:t>
      </w:r>
      <w:r>
        <w:rPr>
          <w:i/>
        </w:rPr>
        <w:t>(YSR)</w:t>
      </w:r>
      <w:r>
        <w:rPr>
          <w:i/>
          <w:spacing w:val="-14"/>
        </w:rPr>
        <w:t> </w:t>
      </w:r>
      <w:r>
        <w:rPr/>
        <w:t>на</w:t>
      </w:r>
      <w:r>
        <w:rPr>
          <w:spacing w:val="-14"/>
        </w:rPr>
        <w:t> </w:t>
      </w:r>
      <w:r>
        <w:rPr/>
        <w:t>выборке</w:t>
      </w:r>
      <w:r>
        <w:rPr>
          <w:spacing w:val="-14"/>
        </w:rPr>
        <w:t> </w:t>
      </w:r>
      <w:r>
        <w:rPr/>
        <w:t>522</w:t>
      </w:r>
      <w:r>
        <w:rPr>
          <w:spacing w:val="-14"/>
        </w:rPr>
        <w:t> </w:t>
      </w:r>
      <w:r>
        <w:rPr/>
        <w:t>русскоязычных</w:t>
      </w:r>
      <w:r>
        <w:rPr>
          <w:spacing w:val="-14"/>
        </w:rPr>
        <w:t> </w:t>
      </w:r>
      <w:r>
        <w:rPr/>
        <w:t>подростка в</w:t>
      </w:r>
      <w:r>
        <w:rPr>
          <w:spacing w:val="-18"/>
        </w:rPr>
        <w:t> </w:t>
      </w:r>
      <w:r>
        <w:rPr/>
        <w:t>диапазоне</w:t>
      </w:r>
      <w:r>
        <w:rPr>
          <w:spacing w:val="-17"/>
        </w:rPr>
        <w:t> </w:t>
      </w:r>
      <w:r>
        <w:rPr/>
        <w:t>11–18</w:t>
      </w:r>
      <w:r>
        <w:rPr>
          <w:spacing w:val="-15"/>
        </w:rPr>
        <w:t> </w:t>
      </w:r>
      <w:r>
        <w:rPr/>
        <w:t>лет</w:t>
      </w:r>
      <w:r>
        <w:rPr>
          <w:spacing w:val="-16"/>
        </w:rPr>
        <w:t> </w:t>
      </w:r>
      <w:r>
        <w:rPr/>
        <w:t>из</w:t>
      </w:r>
      <w:r>
        <w:rPr>
          <w:spacing w:val="-18"/>
        </w:rPr>
        <w:t> </w:t>
      </w:r>
      <w:r>
        <w:rPr/>
        <w:t>пяти</w:t>
      </w:r>
      <w:r>
        <w:rPr>
          <w:spacing w:val="-15"/>
        </w:rPr>
        <w:t> </w:t>
      </w:r>
      <w:r>
        <w:rPr/>
        <w:t>городов</w:t>
      </w:r>
      <w:r>
        <w:rPr>
          <w:spacing w:val="-17"/>
        </w:rPr>
        <w:t> </w:t>
      </w:r>
      <w:r>
        <w:rPr/>
        <w:t>России.</w:t>
      </w:r>
      <w:r>
        <w:rPr>
          <w:spacing w:val="-16"/>
        </w:rPr>
        <w:t> </w:t>
      </w:r>
      <w:r>
        <w:rPr/>
        <w:t>Проведенный</w:t>
      </w:r>
      <w:r>
        <w:rPr>
          <w:spacing w:val="-16"/>
        </w:rPr>
        <w:t> </w:t>
      </w:r>
      <w:r>
        <w:rPr/>
        <w:t>конфирматорный факторный анализ показал, что теоретическая структура факторов хорошо соответствует данным, а оценки шкалы имеют достаточную надежность (коэффициент альфа Кронбаха имел значения в диапазоне от .48 до .93 с наименьшим показателем для шкалы «Социальные проблемы»).</w:t>
      </w:r>
    </w:p>
    <w:p>
      <w:pPr>
        <w:pStyle w:val="Heading4"/>
        <w:spacing w:before="242"/>
        <w:ind w:right="562"/>
      </w:pPr>
      <w:r>
        <w:rPr/>
        <w:t>Был также сделан вывод, что русская версия </w:t>
      </w:r>
      <w:r>
        <w:rPr>
          <w:i/>
        </w:rPr>
        <w:t>YSR </w:t>
      </w:r>
      <w:r>
        <w:rPr/>
        <w:t>обладает хорошими психометрическими свойствами, хотя было обнаружено, что семь позиций опросника имели несущественные факторные нагрузки: 1, 45, 62, 74, 89, 103,</w:t>
      </w:r>
    </w:p>
    <w:p>
      <w:pPr>
        <w:pStyle w:val="Heading4"/>
        <w:ind w:right="563"/>
      </w:pPr>
      <w:r>
        <w:rPr/>
        <w:t>111.</w:t>
      </w:r>
      <w:r>
        <w:rPr>
          <w:spacing w:val="-18"/>
        </w:rPr>
        <w:t> </w:t>
      </w:r>
      <w:r>
        <w:rPr/>
        <w:t>Корреляционный</w:t>
      </w:r>
      <w:r>
        <w:rPr>
          <w:spacing w:val="-17"/>
        </w:rPr>
        <w:t> </w:t>
      </w:r>
      <w:r>
        <w:rPr/>
        <w:t>анализ</w:t>
      </w:r>
      <w:r>
        <w:rPr>
          <w:spacing w:val="-18"/>
        </w:rPr>
        <w:t> </w:t>
      </w:r>
      <w:r>
        <w:rPr/>
        <w:t>сравнения</w:t>
      </w:r>
      <w:r>
        <w:rPr>
          <w:spacing w:val="-17"/>
        </w:rPr>
        <w:t> </w:t>
      </w:r>
      <w:r>
        <w:rPr/>
        <w:t>с</w:t>
      </w:r>
      <w:r>
        <w:rPr>
          <w:spacing w:val="-18"/>
        </w:rPr>
        <w:t> </w:t>
      </w:r>
      <w:r>
        <w:rPr/>
        <w:t>методикой</w:t>
      </w:r>
      <w:r>
        <w:rPr>
          <w:spacing w:val="-17"/>
        </w:rPr>
        <w:t> </w:t>
      </w:r>
      <w:r>
        <w:rPr>
          <w:i/>
        </w:rPr>
        <w:t>EATQ-R</w:t>
      </w:r>
      <w:r>
        <w:rPr>
          <w:i/>
          <w:spacing w:val="-18"/>
        </w:rPr>
        <w:t> </w:t>
      </w:r>
      <w:r>
        <w:rPr>
          <w:i/>
        </w:rPr>
        <w:t>(Early</w:t>
      </w:r>
      <w:r>
        <w:rPr>
          <w:i/>
          <w:spacing w:val="-17"/>
        </w:rPr>
        <w:t> </w:t>
      </w:r>
      <w:r>
        <w:rPr>
          <w:i/>
        </w:rPr>
        <w:t>Adolescent Temperament Questionnaire) </w:t>
      </w:r>
      <w:r>
        <w:rPr/>
        <w:t>также показал обоснованность баллов по шкалам агрессии, проблем с вниманием, отстраненности/депрессии и тревоги/депрессии. По результатам исследования в совокупности был сделан вывод, что русская версия </w:t>
      </w:r>
      <w:r>
        <w:rPr>
          <w:i/>
        </w:rPr>
        <w:t>YSR </w:t>
      </w:r>
      <w:r>
        <w:rPr/>
        <w:t>проявляет адекватные психометрические свойства и может быть использована для изучения поведенческих и эмоциональных проблем русскоязычных подростков.</w:t>
      </w: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spacing w:before="84"/>
        <w:ind w:left="0" w:right="0" w:firstLine="0"/>
        <w:jc w:val="left"/>
        <w:rPr>
          <w:sz w:val="28"/>
        </w:rPr>
      </w:pPr>
    </w:p>
    <w:p>
      <w:pPr>
        <w:pStyle w:val="Heading3"/>
        <w:spacing w:before="0"/>
      </w:pPr>
      <w:r>
        <w:rPr/>
        <w:t>Адаптация</w:t>
      </w:r>
      <w:r>
        <w:rPr>
          <w:spacing w:val="-6"/>
        </w:rPr>
        <w:t> </w:t>
      </w:r>
      <w:r>
        <w:rPr/>
        <w:t>методики</w:t>
      </w:r>
      <w:r>
        <w:rPr>
          <w:spacing w:val="-4"/>
        </w:rPr>
        <w:t> </w:t>
      </w:r>
      <w:r>
        <w:rPr/>
        <w:t>на</w:t>
      </w:r>
      <w:r>
        <w:rPr>
          <w:spacing w:val="-5"/>
        </w:rPr>
        <w:t> </w:t>
      </w:r>
      <w:r>
        <w:rPr/>
        <w:t>русском</w:t>
      </w:r>
      <w:r>
        <w:rPr>
          <w:spacing w:val="-5"/>
        </w:rPr>
        <w:t> </w:t>
      </w:r>
      <w:r>
        <w:rPr>
          <w:spacing w:val="-4"/>
        </w:rPr>
        <w:t>языке</w:t>
      </w:r>
    </w:p>
    <w:p>
      <w:pPr>
        <w:pStyle w:val="Heading4"/>
        <w:spacing w:before="233"/>
        <w:ind w:right="560"/>
      </w:pPr>
      <w:r>
        <w:rPr/>
        <w:t>Адаптация русскоязычного опросника впервые была выполнена в 1995 году (</w:t>
      </w:r>
      <w:r>
        <w:rPr>
          <w:i/>
        </w:rPr>
        <w:t>Carter, Grigorenko, Pauls, </w:t>
      </w:r>
      <w:r>
        <w:rPr/>
        <w:t>1995). Исследование проведено на выборке из 105 учащихся Воронежа. Полученные данные подтвердили целесообразность использования российских адаптаций </w:t>
      </w:r>
      <w:r>
        <w:rPr>
          <w:i/>
        </w:rPr>
        <w:t>CBCL </w:t>
      </w:r>
      <w:r>
        <w:rPr/>
        <w:t>и </w:t>
      </w:r>
      <w:r>
        <w:rPr>
          <w:i/>
        </w:rPr>
        <w:t>TRF</w:t>
      </w:r>
      <w:r>
        <w:rPr/>
        <w:t>.</w:t>
      </w:r>
    </w:p>
    <w:p>
      <w:pPr>
        <w:pStyle w:val="Heading4"/>
        <w:spacing w:before="241"/>
        <w:ind w:right="561"/>
      </w:pPr>
      <w:r>
        <w:rPr/>
        <w:t>Расширенное</w:t>
      </w:r>
      <w:r>
        <w:rPr>
          <w:spacing w:val="-13"/>
        </w:rPr>
        <w:t> </w:t>
      </w:r>
      <w:r>
        <w:rPr/>
        <w:t>исследование</w:t>
      </w:r>
      <w:r>
        <w:rPr>
          <w:spacing w:val="-11"/>
        </w:rPr>
        <w:t> </w:t>
      </w:r>
      <w:r>
        <w:rPr/>
        <w:t>было</w:t>
      </w:r>
      <w:r>
        <w:rPr>
          <w:spacing w:val="-13"/>
        </w:rPr>
        <w:t> </w:t>
      </w:r>
      <w:r>
        <w:rPr/>
        <w:t>произведено</w:t>
      </w:r>
      <w:r>
        <w:rPr>
          <w:spacing w:val="-10"/>
        </w:rPr>
        <w:t> </w:t>
      </w:r>
      <w:r>
        <w:rPr/>
        <w:t>в</w:t>
      </w:r>
      <w:r>
        <w:rPr>
          <w:spacing w:val="-12"/>
        </w:rPr>
        <w:t> </w:t>
      </w:r>
      <w:r>
        <w:rPr/>
        <w:t>2010</w:t>
      </w:r>
      <w:r>
        <w:rPr>
          <w:spacing w:val="-10"/>
        </w:rPr>
        <w:t> </w:t>
      </w:r>
      <w:r>
        <w:rPr/>
        <w:t>году</w:t>
      </w:r>
      <w:r>
        <w:rPr>
          <w:spacing w:val="-14"/>
        </w:rPr>
        <w:t> </w:t>
      </w:r>
      <w:r>
        <w:rPr/>
        <w:t>(</w:t>
      </w:r>
      <w:r>
        <w:rPr>
          <w:i/>
        </w:rPr>
        <w:t>Grigorenko,</w:t>
      </w:r>
      <w:r>
        <w:rPr>
          <w:i/>
          <w:spacing w:val="-12"/>
        </w:rPr>
        <w:t> </w:t>
      </w:r>
      <w:r>
        <w:rPr>
          <w:i/>
        </w:rPr>
        <w:t>Geiser, Slobodskaya, Francis, </w:t>
      </w:r>
      <w:r>
        <w:rPr/>
        <w:t>2010). По результатам исследования сделаны выводы о важности включения данных от</w:t>
      </w:r>
      <w:r>
        <w:rPr>
          <w:spacing w:val="-2"/>
        </w:rPr>
        <w:t> </w:t>
      </w:r>
      <w:r>
        <w:rPr/>
        <w:t>разных</w:t>
      </w:r>
      <w:r>
        <w:rPr>
          <w:spacing w:val="-1"/>
        </w:rPr>
        <w:t> </w:t>
      </w:r>
      <w:r>
        <w:rPr/>
        <w:t>информантов</w:t>
      </w:r>
      <w:r>
        <w:rPr>
          <w:spacing w:val="-2"/>
        </w:rPr>
        <w:t> </w:t>
      </w:r>
      <w:r>
        <w:rPr/>
        <w:t>(не</w:t>
      </w:r>
      <w:r>
        <w:rPr>
          <w:spacing w:val="-2"/>
        </w:rPr>
        <w:t> </w:t>
      </w:r>
      <w:r>
        <w:rPr/>
        <w:t>только учителей, но и</w:t>
      </w:r>
      <w:r>
        <w:rPr>
          <w:spacing w:val="37"/>
        </w:rPr>
        <w:t>  </w:t>
      </w:r>
      <w:r>
        <w:rPr/>
        <w:t>родителей)</w:t>
      </w:r>
      <w:r>
        <w:rPr>
          <w:spacing w:val="36"/>
        </w:rPr>
        <w:t>  </w:t>
      </w:r>
      <w:r>
        <w:rPr/>
        <w:t>в</w:t>
      </w:r>
      <w:r>
        <w:rPr>
          <w:spacing w:val="36"/>
        </w:rPr>
        <w:t>  </w:t>
      </w:r>
      <w:r>
        <w:rPr/>
        <w:t>оценку</w:t>
      </w:r>
      <w:r>
        <w:rPr>
          <w:spacing w:val="35"/>
        </w:rPr>
        <w:t>  </w:t>
      </w:r>
      <w:r>
        <w:rPr/>
        <w:t>психопатологии</w:t>
      </w:r>
      <w:r>
        <w:rPr>
          <w:spacing w:val="37"/>
        </w:rPr>
        <w:t>  </w:t>
      </w:r>
      <w:r>
        <w:rPr/>
        <w:t>у</w:t>
      </w:r>
      <w:r>
        <w:rPr>
          <w:spacing w:val="35"/>
        </w:rPr>
        <w:t>  </w:t>
      </w:r>
      <w:r>
        <w:rPr/>
        <w:t>детей</w:t>
      </w:r>
      <w:r>
        <w:rPr>
          <w:spacing w:val="37"/>
        </w:rPr>
        <w:t>  </w:t>
      </w:r>
      <w:r>
        <w:rPr/>
        <w:t>и</w:t>
      </w:r>
      <w:r>
        <w:rPr>
          <w:spacing w:val="37"/>
        </w:rPr>
        <w:t>  </w:t>
      </w:r>
      <w:r>
        <w:rPr/>
        <w:t>подростков.</w:t>
      </w:r>
      <w:r>
        <w:rPr>
          <w:spacing w:val="36"/>
        </w:rPr>
        <w:t>  </w:t>
      </w:r>
      <w:r>
        <w:rPr/>
        <w:t>Было</w:t>
      </w:r>
    </w:p>
    <w:p>
      <w:pPr>
        <w:pStyle w:val="Heading4"/>
        <w:spacing w:after="0"/>
        <w:sectPr>
          <w:pgSz w:w="11910" w:h="16840"/>
          <w:pgMar w:header="0" w:footer="970" w:top="1040" w:bottom="1220" w:left="1417" w:right="283"/>
        </w:sectPr>
      </w:pPr>
    </w:p>
    <w:p>
      <w:pPr>
        <w:pStyle w:val="Heading4"/>
        <w:spacing w:line="242" w:lineRule="auto" w:before="67"/>
        <w:ind w:right="573"/>
      </w:pPr>
      <w:r>
        <w:rPr/>
        <w:t>обнаружено, что российские дети и подростки, их родители и учителя по сравнению с респондентами из других стран дают более позитивные оценки.</w:t>
      </w:r>
    </w:p>
    <w:p>
      <w:pPr>
        <w:pStyle w:val="Heading4"/>
        <w:spacing w:before="236"/>
        <w:ind w:right="563"/>
      </w:pPr>
      <w:r>
        <w:rPr/>
        <w:t>В 2022 г. методика была адаптирована для детей — иностранных граждан в рамках апробации в 12 регионах РФ программы оценки особых образовательных потребностей ребенка-мигранта в сферах психологического благополучия,</w:t>
      </w:r>
      <w:r>
        <w:rPr>
          <w:spacing w:val="-16"/>
        </w:rPr>
        <w:t> </w:t>
      </w:r>
      <w:r>
        <w:rPr/>
        <w:t>социальных</w:t>
      </w:r>
      <w:r>
        <w:rPr>
          <w:spacing w:val="-15"/>
        </w:rPr>
        <w:t> </w:t>
      </w:r>
      <w:r>
        <w:rPr/>
        <w:t>навыков</w:t>
      </w:r>
      <w:r>
        <w:rPr>
          <w:spacing w:val="-17"/>
        </w:rPr>
        <w:t> </w:t>
      </w:r>
      <w:r>
        <w:rPr/>
        <w:t>и</w:t>
      </w:r>
      <w:r>
        <w:rPr>
          <w:spacing w:val="-18"/>
        </w:rPr>
        <w:t> </w:t>
      </w:r>
      <w:r>
        <w:rPr/>
        <w:t>культурной</w:t>
      </w:r>
      <w:r>
        <w:rPr>
          <w:spacing w:val="-17"/>
        </w:rPr>
        <w:t> </w:t>
      </w:r>
      <w:r>
        <w:rPr/>
        <w:t>адаптации</w:t>
      </w:r>
      <w:r>
        <w:rPr>
          <w:spacing w:val="-15"/>
        </w:rPr>
        <w:t> </w:t>
      </w:r>
      <w:r>
        <w:rPr/>
        <w:t>(N</w:t>
      </w:r>
      <w:r>
        <w:rPr>
          <w:spacing w:val="-17"/>
        </w:rPr>
        <w:t> </w:t>
      </w:r>
      <w:r>
        <w:rPr/>
        <w:t>нач.</w:t>
      </w:r>
      <w:r>
        <w:rPr>
          <w:spacing w:val="-16"/>
        </w:rPr>
        <w:t> </w:t>
      </w:r>
      <w:r>
        <w:rPr/>
        <w:t>шк.</w:t>
      </w:r>
      <w:r>
        <w:rPr>
          <w:spacing w:val="-16"/>
        </w:rPr>
        <w:t> </w:t>
      </w:r>
      <w:r>
        <w:rPr/>
        <w:t>=</w:t>
      </w:r>
      <w:r>
        <w:rPr>
          <w:spacing w:val="-18"/>
        </w:rPr>
        <w:t> </w:t>
      </w:r>
      <w:r>
        <w:rPr/>
        <w:t>329, N ср. и ст. шк. = 243, N общ. = 572). Шкалы методики показали достаточную степень внутренней согласованности (альфа Кронбаха варьирует от 0.635 до </w:t>
      </w:r>
      <w:r>
        <w:rPr>
          <w:spacing w:val="-2"/>
        </w:rPr>
        <w:t>0.955).</w:t>
      </w:r>
    </w:p>
    <w:p>
      <w:pPr>
        <w:pStyle w:val="Heading4"/>
        <w:spacing w:before="240"/>
        <w:ind w:right="561"/>
      </w:pPr>
      <w:r>
        <w:rPr/>
        <w:t>В исследовании обнаружены предсказуемые корреляции со шкалами следующих методик. Проблема интернализации (Ахенбах) оказалась положительно взаимосвязана со шкалами Социальное избегание и дистресс (0.486, P&lt;0.01), Опросник депрессивности (0.465, P&lt;0.01) и отрицательно связана со шкалой Психологическая устойчивость (-0.400, P&lt;0.01). В целом, мы можем утверждать о высоких значимых корреляциях субшкал опросника Ахенбаха</w:t>
      </w:r>
      <w:r>
        <w:rPr>
          <w:spacing w:val="-18"/>
        </w:rPr>
        <w:t> </w:t>
      </w:r>
      <w:r>
        <w:rPr/>
        <w:t>(замкнутость,</w:t>
      </w:r>
      <w:r>
        <w:rPr>
          <w:spacing w:val="-17"/>
        </w:rPr>
        <w:t> </w:t>
      </w:r>
      <w:r>
        <w:rPr/>
        <w:t>соматические</w:t>
      </w:r>
      <w:r>
        <w:rPr>
          <w:spacing w:val="-18"/>
        </w:rPr>
        <w:t> </w:t>
      </w:r>
      <w:r>
        <w:rPr/>
        <w:t>жалобы,</w:t>
      </w:r>
      <w:r>
        <w:rPr>
          <w:spacing w:val="-17"/>
        </w:rPr>
        <w:t> </w:t>
      </w:r>
      <w:r>
        <w:rPr/>
        <w:t>тревожность</w:t>
      </w:r>
      <w:r>
        <w:rPr>
          <w:spacing w:val="-18"/>
        </w:rPr>
        <w:t> </w:t>
      </w:r>
      <w:r>
        <w:rPr/>
        <w:t>–</w:t>
      </w:r>
      <w:r>
        <w:rPr>
          <w:spacing w:val="-17"/>
        </w:rPr>
        <w:t> </w:t>
      </w:r>
      <w:r>
        <w:rPr/>
        <w:t>депрессивность, социальные трудности, трудности мышления, делинквентность) со шкалой общей психологической устойчивости, шкалой избегания и дистресса и опросником</w:t>
      </w:r>
      <w:r>
        <w:rPr>
          <w:spacing w:val="-17"/>
        </w:rPr>
        <w:t> </w:t>
      </w:r>
      <w:r>
        <w:rPr/>
        <w:t>депрессивности.</w:t>
      </w:r>
      <w:r>
        <w:rPr>
          <w:spacing w:val="-17"/>
        </w:rPr>
        <w:t> </w:t>
      </w:r>
      <w:r>
        <w:rPr/>
        <w:t>Это</w:t>
      </w:r>
      <w:r>
        <w:rPr>
          <w:spacing w:val="-16"/>
        </w:rPr>
        <w:t> </w:t>
      </w:r>
      <w:r>
        <w:rPr/>
        <w:t>доказывает</w:t>
      </w:r>
      <w:r>
        <w:rPr>
          <w:spacing w:val="-17"/>
        </w:rPr>
        <w:t> </w:t>
      </w:r>
      <w:r>
        <w:rPr/>
        <w:t>внешнюю</w:t>
      </w:r>
      <w:r>
        <w:rPr>
          <w:spacing w:val="-18"/>
        </w:rPr>
        <w:t> </w:t>
      </w:r>
      <w:r>
        <w:rPr/>
        <w:t>валидность</w:t>
      </w:r>
      <w:r>
        <w:rPr>
          <w:spacing w:val="-17"/>
        </w:rPr>
        <w:t> </w:t>
      </w:r>
      <w:r>
        <w:rPr/>
        <w:t>опросника Ахенбаха при диагностике детей — иностранных граждан.</w:t>
      </w:r>
    </w:p>
    <w:p>
      <w:pPr>
        <w:pStyle w:val="Heading4"/>
        <w:spacing w:after="0"/>
        <w:sectPr>
          <w:pgSz w:w="11910" w:h="16840"/>
          <w:pgMar w:header="0" w:footer="970" w:top="1040" w:bottom="1220" w:left="1417" w:right="283"/>
        </w:sectPr>
      </w:pPr>
    </w:p>
    <w:p>
      <w:pPr>
        <w:pStyle w:val="Heading3"/>
        <w:ind w:left="5570"/>
        <w:jc w:val="left"/>
      </w:pPr>
      <w:r>
        <w:rPr/>
        <w:t>Приложение</w:t>
      </w:r>
      <w:r>
        <w:rPr>
          <w:spacing w:val="-6"/>
        </w:rPr>
        <w:t> </w:t>
      </w:r>
      <w:r>
        <w:rPr/>
        <w:t>5.</w:t>
      </w:r>
      <w:r>
        <w:rPr>
          <w:spacing w:val="-3"/>
        </w:rPr>
        <w:t> </w:t>
      </w:r>
      <w:r>
        <w:rPr/>
        <w:t>Бланк</w:t>
      </w:r>
      <w:r>
        <w:rPr>
          <w:spacing w:val="-3"/>
        </w:rPr>
        <w:t> </w:t>
      </w:r>
      <w:r>
        <w:rPr>
          <w:spacing w:val="-2"/>
        </w:rPr>
        <w:t>методики</w:t>
      </w:r>
    </w:p>
    <w:p>
      <w:pPr>
        <w:spacing w:before="234"/>
        <w:ind w:left="285" w:right="564" w:firstLine="0"/>
        <w:jc w:val="both"/>
        <w:rPr>
          <w:i/>
          <w:sz w:val="24"/>
        </w:rPr>
      </w:pPr>
      <w:r>
        <w:rPr>
          <w:i/>
          <w:sz w:val="24"/>
        </w:rPr>
        <w:t>Пожалуйста, по каждому утверждению сделайте отметку в соответствующем квадратике: «Неверно», «Отчасти верно» или «Верно». Постарайтесь ответить на каждый вопрос как можете, даже если Вы не полностью уверены в ответе или вопрос кажется Вам странным. В своих ответах основывайтесь на поведении ребенка за последние шесть месяцев или за текущий учебный год.</w:t>
      </w:r>
    </w:p>
    <w:p>
      <w:pPr>
        <w:pStyle w:val="BodyText"/>
        <w:spacing w:before="5"/>
        <w:ind w:left="0" w:right="0" w:firstLine="0"/>
        <w:jc w:val="left"/>
        <w:rPr>
          <w:i/>
          <w:sz w:val="24"/>
        </w:rPr>
      </w:pPr>
    </w:p>
    <w:p>
      <w:pPr>
        <w:pStyle w:val="Heading9"/>
        <w:ind w:left="285" w:right="566" w:firstLine="0"/>
        <w:jc w:val="center"/>
      </w:pPr>
      <w:r>
        <w:rPr/>
        <w:t>Учительская</w:t>
      </w:r>
      <w:r>
        <w:rPr>
          <w:spacing w:val="-3"/>
        </w:rPr>
        <w:t> </w:t>
      </w:r>
      <w:r>
        <w:rPr>
          <w:spacing w:val="-4"/>
        </w:rPr>
        <w:t>форма</w:t>
      </w:r>
    </w:p>
    <w:p>
      <w:pPr>
        <w:tabs>
          <w:tab w:pos="1799" w:val="left" w:leader="none"/>
        </w:tabs>
        <w:spacing w:before="272"/>
        <w:ind w:left="0" w:right="279" w:firstLine="0"/>
        <w:jc w:val="center"/>
        <w:rPr>
          <w:sz w:val="24"/>
        </w:rPr>
      </w:pPr>
      <w:r>
        <w:rPr>
          <w:sz w:val="24"/>
          <w:u w:val="single"/>
        </w:rPr>
        <w:tab/>
      </w:r>
      <w:r>
        <w:rPr>
          <w:spacing w:val="-4"/>
          <w:sz w:val="24"/>
        </w:rPr>
        <w:t>(имя)</w:t>
      </w:r>
    </w:p>
    <w:p>
      <w:pPr>
        <w:pStyle w:val="BodyText"/>
        <w:spacing w:before="54"/>
        <w:ind w:left="0" w:right="0" w:firstLine="0"/>
        <w:jc w:val="left"/>
      </w:pPr>
    </w:p>
    <w:tbl>
      <w:tblPr>
        <w:tblW w:w="0" w:type="auto"/>
        <w:jc w:val="left"/>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76"/>
      </w:tblGrid>
      <w:tr>
        <w:trPr>
          <w:trHeight w:val="355" w:hRule="atLeast"/>
        </w:trPr>
        <w:tc>
          <w:tcPr>
            <w:tcW w:w="9376" w:type="dxa"/>
            <w:tcBorders>
              <w:top w:val="single" w:sz="4" w:space="0" w:color="000000"/>
              <w:bottom w:val="single" w:sz="4" w:space="0" w:color="000000"/>
            </w:tcBorders>
          </w:tcPr>
          <w:p>
            <w:pPr>
              <w:pStyle w:val="TableParagraph"/>
              <w:spacing w:line="268" w:lineRule="exact"/>
              <w:ind w:left="115"/>
              <w:rPr>
                <w:sz w:val="24"/>
              </w:rPr>
            </w:pPr>
            <w:r>
              <w:rPr>
                <w:sz w:val="24"/>
              </w:rPr>
              <w:t>I.</w:t>
            </w:r>
            <w:r>
              <w:rPr>
                <w:spacing w:val="-2"/>
                <w:sz w:val="24"/>
              </w:rPr>
              <w:t> </w:t>
            </w:r>
            <w:r>
              <w:rPr>
                <w:sz w:val="24"/>
              </w:rPr>
              <w:t>Как</w:t>
            </w:r>
            <w:r>
              <w:rPr>
                <w:spacing w:val="-2"/>
                <w:sz w:val="24"/>
              </w:rPr>
              <w:t> </w:t>
            </w:r>
            <w:r>
              <w:rPr>
                <w:sz w:val="24"/>
              </w:rPr>
              <w:t>давно Вы</w:t>
            </w:r>
            <w:r>
              <w:rPr>
                <w:spacing w:val="-2"/>
                <w:sz w:val="24"/>
              </w:rPr>
              <w:t> </w:t>
            </w:r>
            <w:r>
              <w:rPr>
                <w:sz w:val="24"/>
              </w:rPr>
              <w:t>знаете</w:t>
            </w:r>
            <w:r>
              <w:rPr>
                <w:spacing w:val="-1"/>
                <w:sz w:val="24"/>
              </w:rPr>
              <w:t> </w:t>
            </w:r>
            <w:r>
              <w:rPr>
                <w:sz w:val="24"/>
              </w:rPr>
              <w:t>этого</w:t>
            </w:r>
            <w:r>
              <w:rPr>
                <w:spacing w:val="1"/>
                <w:sz w:val="24"/>
              </w:rPr>
              <w:t> </w:t>
            </w:r>
            <w:r>
              <w:rPr>
                <w:spacing w:val="-2"/>
                <w:sz w:val="24"/>
              </w:rPr>
              <w:t>ученика?</w:t>
            </w:r>
          </w:p>
        </w:tc>
      </w:tr>
      <w:tr>
        <w:trPr>
          <w:trHeight w:val="793" w:hRule="atLeast"/>
        </w:trPr>
        <w:tc>
          <w:tcPr>
            <w:tcW w:w="9376" w:type="dxa"/>
            <w:tcBorders>
              <w:top w:val="single" w:sz="4" w:space="0" w:color="000000"/>
              <w:bottom w:val="single" w:sz="4" w:space="0" w:color="000000"/>
            </w:tcBorders>
          </w:tcPr>
          <w:p>
            <w:pPr>
              <w:pStyle w:val="TableParagraph"/>
              <w:spacing w:line="270" w:lineRule="exact"/>
              <w:ind w:left="115"/>
              <w:rPr>
                <w:sz w:val="24"/>
              </w:rPr>
            </w:pPr>
            <w:r>
              <w:rPr>
                <w:sz w:val="24"/>
              </w:rPr>
              <w:t>II. Насколько</w:t>
            </w:r>
            <w:r>
              <w:rPr>
                <w:spacing w:val="-5"/>
                <w:sz w:val="24"/>
              </w:rPr>
              <w:t> </w:t>
            </w:r>
            <w:r>
              <w:rPr>
                <w:sz w:val="24"/>
              </w:rPr>
              <w:t>хорошо</w:t>
            </w:r>
            <w:r>
              <w:rPr>
                <w:spacing w:val="-2"/>
                <w:sz w:val="24"/>
              </w:rPr>
              <w:t> </w:t>
            </w:r>
            <w:r>
              <w:rPr>
                <w:sz w:val="24"/>
              </w:rPr>
              <w:t>Вы</w:t>
            </w:r>
            <w:r>
              <w:rPr>
                <w:spacing w:val="-2"/>
                <w:sz w:val="24"/>
              </w:rPr>
              <w:t> </w:t>
            </w:r>
            <w:r>
              <w:rPr>
                <w:sz w:val="24"/>
              </w:rPr>
              <w:t>его</w:t>
            </w:r>
            <w:r>
              <w:rPr>
                <w:spacing w:val="-1"/>
                <w:sz w:val="24"/>
              </w:rPr>
              <w:t> </w:t>
            </w:r>
            <w:r>
              <w:rPr>
                <w:spacing w:val="-2"/>
                <w:sz w:val="24"/>
              </w:rPr>
              <w:t>знаете?</w:t>
            </w:r>
          </w:p>
          <w:p>
            <w:pPr>
              <w:pStyle w:val="TableParagraph"/>
              <w:tabs>
                <w:tab w:pos="2947" w:val="left" w:leader="none"/>
                <w:tab w:pos="6488" w:val="left" w:leader="none"/>
              </w:tabs>
              <w:ind w:left="115"/>
              <w:rPr>
                <w:sz w:val="24"/>
              </w:rPr>
            </w:pPr>
            <w:r>
              <w:rPr>
                <w:sz w:val="24"/>
              </w:rPr>
              <w:t>□</w:t>
            </w:r>
            <w:r>
              <w:rPr>
                <w:spacing w:val="-3"/>
                <w:sz w:val="24"/>
              </w:rPr>
              <w:t> </w:t>
            </w:r>
            <w:r>
              <w:rPr>
                <w:sz w:val="24"/>
              </w:rPr>
              <w:t>Очень</w:t>
            </w:r>
            <w:r>
              <w:rPr>
                <w:spacing w:val="-1"/>
                <w:sz w:val="24"/>
              </w:rPr>
              <w:t> </w:t>
            </w:r>
            <w:r>
              <w:rPr>
                <w:spacing w:val="-2"/>
                <w:sz w:val="24"/>
              </w:rPr>
              <w:t>хорошо</w:t>
            </w:r>
            <w:r>
              <w:rPr>
                <w:sz w:val="24"/>
              </w:rPr>
              <w:tab/>
              <w:t>□</w:t>
            </w:r>
            <w:r>
              <w:rPr>
                <w:spacing w:val="-5"/>
                <w:sz w:val="24"/>
              </w:rPr>
              <w:t> </w:t>
            </w:r>
            <w:r>
              <w:rPr>
                <w:sz w:val="24"/>
              </w:rPr>
              <w:t>Достаточно</w:t>
            </w:r>
            <w:r>
              <w:rPr>
                <w:spacing w:val="-3"/>
                <w:sz w:val="24"/>
              </w:rPr>
              <w:t> </w:t>
            </w:r>
            <w:r>
              <w:rPr>
                <w:spacing w:val="-2"/>
                <w:sz w:val="24"/>
              </w:rPr>
              <w:t>хорошо</w:t>
            </w:r>
            <w:r>
              <w:rPr>
                <w:sz w:val="24"/>
              </w:rPr>
              <w:tab/>
              <w:t>□</w:t>
            </w:r>
            <w:r>
              <w:rPr>
                <w:spacing w:val="-3"/>
                <w:sz w:val="24"/>
              </w:rPr>
              <w:t> </w:t>
            </w:r>
            <w:r>
              <w:rPr>
                <w:spacing w:val="-2"/>
                <w:sz w:val="24"/>
              </w:rPr>
              <w:t>Плохо</w:t>
            </w:r>
          </w:p>
        </w:tc>
      </w:tr>
      <w:tr>
        <w:trPr>
          <w:trHeight w:val="357" w:hRule="atLeast"/>
        </w:trPr>
        <w:tc>
          <w:tcPr>
            <w:tcW w:w="9376" w:type="dxa"/>
            <w:tcBorders>
              <w:top w:val="single" w:sz="4" w:space="0" w:color="000000"/>
              <w:bottom w:val="single" w:sz="4" w:space="0" w:color="000000"/>
            </w:tcBorders>
          </w:tcPr>
          <w:p>
            <w:pPr>
              <w:pStyle w:val="TableParagraph"/>
              <w:spacing w:line="268" w:lineRule="exact"/>
              <w:ind w:left="115"/>
              <w:rPr>
                <w:sz w:val="24"/>
              </w:rPr>
            </w:pPr>
            <w:r>
              <w:rPr>
                <w:sz w:val="24"/>
              </w:rPr>
              <w:t>III.</w:t>
            </w:r>
            <w:r>
              <w:rPr>
                <w:spacing w:val="-2"/>
                <w:sz w:val="24"/>
              </w:rPr>
              <w:t> </w:t>
            </w:r>
            <w:r>
              <w:rPr>
                <w:sz w:val="24"/>
              </w:rPr>
              <w:t>Сколько</w:t>
            </w:r>
            <w:r>
              <w:rPr>
                <w:spacing w:val="-2"/>
                <w:sz w:val="24"/>
              </w:rPr>
              <w:t> </w:t>
            </w:r>
            <w:r>
              <w:rPr>
                <w:sz w:val="24"/>
              </w:rPr>
              <w:t>часов</w:t>
            </w:r>
            <w:r>
              <w:rPr>
                <w:spacing w:val="-3"/>
                <w:sz w:val="24"/>
              </w:rPr>
              <w:t> </w:t>
            </w:r>
            <w:r>
              <w:rPr>
                <w:sz w:val="24"/>
              </w:rPr>
              <w:t>в</w:t>
            </w:r>
            <w:r>
              <w:rPr>
                <w:spacing w:val="-3"/>
                <w:sz w:val="24"/>
              </w:rPr>
              <w:t> </w:t>
            </w:r>
            <w:r>
              <w:rPr>
                <w:sz w:val="24"/>
              </w:rPr>
              <w:t>неделю</w:t>
            </w:r>
            <w:r>
              <w:rPr>
                <w:spacing w:val="-2"/>
                <w:sz w:val="24"/>
              </w:rPr>
              <w:t> </w:t>
            </w:r>
            <w:r>
              <w:rPr>
                <w:sz w:val="24"/>
              </w:rPr>
              <w:t>Вы</w:t>
            </w:r>
            <w:r>
              <w:rPr>
                <w:spacing w:val="-2"/>
                <w:sz w:val="24"/>
              </w:rPr>
              <w:t> </w:t>
            </w:r>
            <w:r>
              <w:rPr>
                <w:sz w:val="24"/>
              </w:rPr>
              <w:t>преподаете</w:t>
            </w:r>
            <w:r>
              <w:rPr>
                <w:spacing w:val="-2"/>
                <w:sz w:val="24"/>
              </w:rPr>
              <w:t> </w:t>
            </w:r>
            <w:r>
              <w:rPr>
                <w:sz w:val="24"/>
              </w:rPr>
              <w:t>этому</w:t>
            </w:r>
            <w:r>
              <w:rPr>
                <w:spacing w:val="-2"/>
                <w:sz w:val="24"/>
              </w:rPr>
              <w:t> ученику?</w:t>
            </w:r>
          </w:p>
        </w:tc>
      </w:tr>
      <w:tr>
        <w:trPr>
          <w:trHeight w:val="357" w:hRule="atLeast"/>
        </w:trPr>
        <w:tc>
          <w:tcPr>
            <w:tcW w:w="9376" w:type="dxa"/>
            <w:tcBorders>
              <w:top w:val="single" w:sz="4" w:space="0" w:color="000000"/>
              <w:bottom w:val="single" w:sz="4" w:space="0" w:color="000000"/>
            </w:tcBorders>
          </w:tcPr>
          <w:p>
            <w:pPr>
              <w:pStyle w:val="TableParagraph"/>
              <w:spacing w:line="268" w:lineRule="exact"/>
              <w:ind w:left="115"/>
              <w:rPr>
                <w:sz w:val="24"/>
              </w:rPr>
            </w:pPr>
            <w:r>
              <w:rPr>
                <w:sz w:val="24"/>
              </w:rPr>
              <w:t>IV.</w:t>
            </w:r>
            <w:r>
              <w:rPr>
                <w:spacing w:val="-3"/>
                <w:sz w:val="24"/>
              </w:rPr>
              <w:t> </w:t>
            </w:r>
            <w:r>
              <w:rPr>
                <w:sz w:val="24"/>
              </w:rPr>
              <w:t>Какой</w:t>
            </w:r>
            <w:r>
              <w:rPr>
                <w:spacing w:val="-2"/>
                <w:sz w:val="24"/>
              </w:rPr>
              <w:t> предмет?</w:t>
            </w:r>
          </w:p>
        </w:tc>
      </w:tr>
      <w:tr>
        <w:trPr>
          <w:trHeight w:val="1103" w:hRule="atLeast"/>
        </w:trPr>
        <w:tc>
          <w:tcPr>
            <w:tcW w:w="9376" w:type="dxa"/>
            <w:tcBorders>
              <w:top w:val="single" w:sz="4" w:space="0" w:color="000000"/>
              <w:bottom w:val="single" w:sz="4" w:space="0" w:color="000000"/>
            </w:tcBorders>
          </w:tcPr>
          <w:p>
            <w:pPr>
              <w:pStyle w:val="TableParagraph"/>
              <w:ind w:left="115"/>
              <w:rPr>
                <w:sz w:val="24"/>
              </w:rPr>
            </w:pPr>
            <w:r>
              <w:rPr>
                <w:sz w:val="24"/>
              </w:rPr>
              <w:t>V.</w:t>
            </w:r>
            <w:r>
              <w:rPr>
                <w:spacing w:val="-4"/>
                <w:sz w:val="24"/>
              </w:rPr>
              <w:t> </w:t>
            </w:r>
            <w:r>
              <w:rPr>
                <w:sz w:val="24"/>
              </w:rPr>
              <w:t>Было</w:t>
            </w:r>
            <w:r>
              <w:rPr>
                <w:spacing w:val="-5"/>
                <w:sz w:val="24"/>
              </w:rPr>
              <w:t> </w:t>
            </w:r>
            <w:r>
              <w:rPr>
                <w:sz w:val="24"/>
              </w:rPr>
              <w:t>ли</w:t>
            </w:r>
            <w:r>
              <w:rPr>
                <w:spacing w:val="-3"/>
                <w:sz w:val="24"/>
              </w:rPr>
              <w:t> </w:t>
            </w:r>
            <w:r>
              <w:rPr>
                <w:sz w:val="24"/>
              </w:rPr>
              <w:t>рекомендовано</w:t>
            </w:r>
            <w:r>
              <w:rPr>
                <w:spacing w:val="-4"/>
                <w:sz w:val="24"/>
              </w:rPr>
              <w:t> </w:t>
            </w:r>
            <w:r>
              <w:rPr>
                <w:sz w:val="24"/>
              </w:rPr>
              <w:t>этому</w:t>
            </w:r>
            <w:r>
              <w:rPr>
                <w:spacing w:val="-5"/>
                <w:sz w:val="24"/>
              </w:rPr>
              <w:t> </w:t>
            </w:r>
            <w:r>
              <w:rPr>
                <w:sz w:val="24"/>
              </w:rPr>
              <w:t>ученику</w:t>
            </w:r>
            <w:r>
              <w:rPr>
                <w:spacing w:val="-12"/>
                <w:sz w:val="24"/>
              </w:rPr>
              <w:t> </w:t>
            </w:r>
            <w:r>
              <w:rPr>
                <w:sz w:val="24"/>
              </w:rPr>
              <w:t>посещение</w:t>
            </w:r>
            <w:r>
              <w:rPr>
                <w:spacing w:val="-5"/>
                <w:sz w:val="24"/>
              </w:rPr>
              <w:t> </w:t>
            </w:r>
            <w:r>
              <w:rPr>
                <w:sz w:val="24"/>
              </w:rPr>
              <w:t>дополнительных</w:t>
            </w:r>
            <w:r>
              <w:rPr>
                <w:spacing w:val="-4"/>
                <w:sz w:val="24"/>
              </w:rPr>
              <w:t> </w:t>
            </w:r>
            <w:r>
              <w:rPr>
                <w:sz w:val="24"/>
              </w:rPr>
              <w:t>занятий</w:t>
            </w:r>
            <w:r>
              <w:rPr>
                <w:spacing w:val="-4"/>
                <w:sz w:val="24"/>
              </w:rPr>
              <w:t> </w:t>
            </w:r>
            <w:r>
              <w:rPr>
                <w:sz w:val="24"/>
              </w:rPr>
              <w:t>или занятий с репетитором?</w:t>
            </w:r>
          </w:p>
          <w:p>
            <w:pPr>
              <w:pStyle w:val="TableParagraph"/>
              <w:tabs>
                <w:tab w:pos="2239" w:val="left" w:leader="none"/>
                <w:tab w:pos="4363" w:val="left" w:leader="none"/>
              </w:tabs>
              <w:ind w:left="115"/>
              <w:rPr>
                <w:sz w:val="24"/>
              </w:rPr>
            </w:pPr>
            <w:r>
              <w:rPr>
                <w:sz w:val="24"/>
              </w:rPr>
              <w:t>□</w:t>
            </w:r>
            <w:r>
              <w:rPr>
                <w:spacing w:val="-1"/>
                <w:sz w:val="24"/>
              </w:rPr>
              <w:t> </w:t>
            </w:r>
            <w:r>
              <w:rPr>
                <w:spacing w:val="-5"/>
                <w:sz w:val="24"/>
              </w:rPr>
              <w:t>Нет</w:t>
            </w:r>
            <w:r>
              <w:rPr>
                <w:sz w:val="24"/>
              </w:rPr>
              <w:tab/>
              <w:t>□</w:t>
            </w:r>
            <w:r>
              <w:rPr>
                <w:spacing w:val="-1"/>
                <w:sz w:val="24"/>
              </w:rPr>
              <w:t> </w:t>
            </w:r>
            <w:r>
              <w:rPr>
                <w:sz w:val="24"/>
              </w:rPr>
              <w:t>Не</w:t>
            </w:r>
            <w:r>
              <w:rPr>
                <w:spacing w:val="-2"/>
                <w:sz w:val="24"/>
              </w:rPr>
              <w:t> </w:t>
            </w:r>
            <w:r>
              <w:rPr>
                <w:spacing w:val="-4"/>
                <w:sz w:val="24"/>
              </w:rPr>
              <w:t>знаю</w:t>
            </w:r>
            <w:r>
              <w:rPr>
                <w:sz w:val="24"/>
              </w:rPr>
              <w:tab/>
              <w:t>□</w:t>
            </w:r>
            <w:r>
              <w:rPr>
                <w:spacing w:val="-4"/>
                <w:sz w:val="24"/>
              </w:rPr>
              <w:t> </w:t>
            </w:r>
            <w:r>
              <w:rPr>
                <w:sz w:val="24"/>
              </w:rPr>
              <w:t>Да</w:t>
            </w:r>
            <w:r>
              <w:rPr>
                <w:spacing w:val="-3"/>
                <w:sz w:val="24"/>
              </w:rPr>
              <w:t> </w:t>
            </w:r>
            <w:r>
              <w:rPr>
                <w:sz w:val="24"/>
              </w:rPr>
              <w:t>(назовите</w:t>
            </w:r>
            <w:r>
              <w:rPr>
                <w:spacing w:val="-1"/>
                <w:sz w:val="24"/>
              </w:rPr>
              <w:t> </w:t>
            </w:r>
            <w:r>
              <w:rPr>
                <w:sz w:val="24"/>
              </w:rPr>
              <w:t>предмет</w:t>
            </w:r>
            <w:r>
              <w:rPr>
                <w:spacing w:val="1"/>
                <w:sz w:val="24"/>
              </w:rPr>
              <w:t> </w:t>
            </w:r>
            <w:r>
              <w:rPr>
                <w:sz w:val="24"/>
              </w:rPr>
              <w:t>и</w:t>
            </w:r>
            <w:r>
              <w:rPr>
                <w:spacing w:val="-1"/>
                <w:sz w:val="24"/>
              </w:rPr>
              <w:t> </w:t>
            </w:r>
            <w:r>
              <w:rPr>
                <w:spacing w:val="-2"/>
                <w:sz w:val="24"/>
              </w:rPr>
              <w:t>причину)</w:t>
            </w:r>
          </w:p>
        </w:tc>
      </w:tr>
      <w:tr>
        <w:trPr>
          <w:trHeight w:val="974" w:hRule="atLeast"/>
        </w:trPr>
        <w:tc>
          <w:tcPr>
            <w:tcW w:w="9376" w:type="dxa"/>
            <w:tcBorders>
              <w:top w:val="single" w:sz="4" w:space="0" w:color="000000"/>
              <w:bottom w:val="single" w:sz="4" w:space="0" w:color="000000"/>
            </w:tcBorders>
          </w:tcPr>
          <w:p>
            <w:pPr>
              <w:pStyle w:val="TableParagraph"/>
              <w:spacing w:line="268" w:lineRule="exact"/>
              <w:ind w:left="115"/>
              <w:rPr>
                <w:sz w:val="24"/>
              </w:rPr>
            </w:pPr>
            <w:r>
              <w:rPr>
                <w:sz w:val="24"/>
              </w:rPr>
              <w:t>VI.</w:t>
            </w:r>
            <w:r>
              <w:rPr>
                <w:spacing w:val="-4"/>
                <w:sz w:val="24"/>
              </w:rPr>
              <w:t> </w:t>
            </w:r>
            <w:r>
              <w:rPr>
                <w:sz w:val="24"/>
              </w:rPr>
              <w:t>Оставался</w:t>
            </w:r>
            <w:r>
              <w:rPr>
                <w:spacing w:val="-3"/>
                <w:sz w:val="24"/>
              </w:rPr>
              <w:t> </w:t>
            </w:r>
            <w:r>
              <w:rPr>
                <w:sz w:val="24"/>
              </w:rPr>
              <w:t>ли</w:t>
            </w:r>
            <w:r>
              <w:rPr>
                <w:spacing w:val="-2"/>
                <w:sz w:val="24"/>
              </w:rPr>
              <w:t> </w:t>
            </w:r>
            <w:r>
              <w:rPr>
                <w:sz w:val="24"/>
              </w:rPr>
              <w:t>он</w:t>
            </w:r>
            <w:r>
              <w:rPr>
                <w:spacing w:val="-3"/>
                <w:sz w:val="24"/>
              </w:rPr>
              <w:t> </w:t>
            </w:r>
            <w:r>
              <w:rPr>
                <w:sz w:val="24"/>
              </w:rPr>
              <w:t>когда-нибудь</w:t>
            </w:r>
            <w:r>
              <w:rPr>
                <w:spacing w:val="-3"/>
                <w:sz w:val="24"/>
              </w:rPr>
              <w:t> </w:t>
            </w:r>
            <w:r>
              <w:rPr>
                <w:sz w:val="24"/>
              </w:rPr>
              <w:t>на</w:t>
            </w:r>
            <w:r>
              <w:rPr>
                <w:spacing w:val="-4"/>
                <w:sz w:val="24"/>
              </w:rPr>
              <w:t> </w:t>
            </w:r>
            <w:r>
              <w:rPr>
                <w:sz w:val="24"/>
              </w:rPr>
              <w:t>второй</w:t>
            </w:r>
            <w:r>
              <w:rPr>
                <w:spacing w:val="-2"/>
                <w:sz w:val="24"/>
              </w:rPr>
              <w:t> </w:t>
            </w:r>
            <w:r>
              <w:rPr>
                <w:spacing w:val="-4"/>
                <w:sz w:val="24"/>
              </w:rPr>
              <w:t>год?</w:t>
            </w:r>
          </w:p>
          <w:p>
            <w:pPr>
              <w:pStyle w:val="TableParagraph"/>
              <w:tabs>
                <w:tab w:pos="2239" w:val="left" w:leader="none"/>
                <w:tab w:pos="4363" w:val="left" w:leader="none"/>
              </w:tabs>
              <w:ind w:left="115"/>
              <w:rPr>
                <w:sz w:val="24"/>
              </w:rPr>
            </w:pPr>
            <w:r>
              <w:rPr>
                <w:sz w:val="24"/>
              </w:rPr>
              <w:t>□</w:t>
            </w:r>
            <w:r>
              <w:rPr>
                <w:spacing w:val="-1"/>
                <w:sz w:val="24"/>
              </w:rPr>
              <w:t> </w:t>
            </w:r>
            <w:r>
              <w:rPr>
                <w:spacing w:val="-5"/>
                <w:sz w:val="24"/>
              </w:rPr>
              <w:t>Нет</w:t>
            </w:r>
            <w:r>
              <w:rPr>
                <w:sz w:val="24"/>
              </w:rPr>
              <w:tab/>
              <w:t>□</w:t>
            </w:r>
            <w:r>
              <w:rPr>
                <w:spacing w:val="-1"/>
                <w:sz w:val="24"/>
              </w:rPr>
              <w:t> </w:t>
            </w:r>
            <w:r>
              <w:rPr>
                <w:sz w:val="24"/>
              </w:rPr>
              <w:t>Не</w:t>
            </w:r>
            <w:r>
              <w:rPr>
                <w:spacing w:val="-2"/>
                <w:sz w:val="24"/>
              </w:rPr>
              <w:t> </w:t>
            </w:r>
            <w:r>
              <w:rPr>
                <w:spacing w:val="-4"/>
                <w:sz w:val="24"/>
              </w:rPr>
              <w:t>знаю</w:t>
            </w:r>
            <w:r>
              <w:rPr>
                <w:sz w:val="24"/>
              </w:rPr>
              <w:tab/>
              <w:t>□</w:t>
            </w:r>
            <w:r>
              <w:rPr>
                <w:spacing w:val="-4"/>
                <w:sz w:val="24"/>
              </w:rPr>
              <w:t> </w:t>
            </w:r>
            <w:r>
              <w:rPr>
                <w:sz w:val="24"/>
              </w:rPr>
              <w:t>Да</w:t>
            </w:r>
            <w:r>
              <w:rPr>
                <w:spacing w:val="-3"/>
                <w:sz w:val="24"/>
              </w:rPr>
              <w:t> </w:t>
            </w:r>
            <w:r>
              <w:rPr>
                <w:sz w:val="24"/>
              </w:rPr>
              <w:t>(назовите</w:t>
            </w:r>
            <w:r>
              <w:rPr>
                <w:spacing w:val="-1"/>
                <w:sz w:val="24"/>
              </w:rPr>
              <w:t> </w:t>
            </w:r>
            <w:r>
              <w:rPr>
                <w:sz w:val="24"/>
              </w:rPr>
              <w:t>класс</w:t>
            </w:r>
            <w:r>
              <w:rPr>
                <w:spacing w:val="-2"/>
                <w:sz w:val="24"/>
              </w:rPr>
              <w:t> </w:t>
            </w:r>
            <w:r>
              <w:rPr>
                <w:sz w:val="24"/>
              </w:rPr>
              <w:t>и</w:t>
            </w:r>
            <w:r>
              <w:rPr>
                <w:spacing w:val="3"/>
                <w:sz w:val="24"/>
              </w:rPr>
              <w:t> </w:t>
            </w:r>
            <w:r>
              <w:rPr>
                <w:spacing w:val="-2"/>
                <w:sz w:val="24"/>
              </w:rPr>
              <w:t>причину)</w:t>
            </w:r>
          </w:p>
        </w:tc>
      </w:tr>
    </w:tbl>
    <w:p>
      <w:pPr>
        <w:numPr>
          <w:ilvl w:val="0"/>
          <w:numId w:val="20"/>
        </w:numPr>
        <w:tabs>
          <w:tab w:pos="735" w:val="left" w:leader="none"/>
        </w:tabs>
        <w:spacing w:before="270"/>
        <w:ind w:left="735" w:right="0" w:hanging="450"/>
        <w:jc w:val="left"/>
        <w:rPr>
          <w:sz w:val="24"/>
        </w:rPr>
      </w:pPr>
      <w:r>
        <w:rPr>
          <w:sz w:val="24"/>
        </w:rPr>
        <w:t>Как,</w:t>
      </w:r>
      <w:r>
        <w:rPr>
          <w:spacing w:val="-2"/>
          <w:sz w:val="24"/>
        </w:rPr>
        <w:t> </w:t>
      </w:r>
      <w:r>
        <w:rPr>
          <w:sz w:val="24"/>
        </w:rPr>
        <w:t>с Вашей</w:t>
      </w:r>
      <w:r>
        <w:rPr>
          <w:spacing w:val="-2"/>
          <w:sz w:val="24"/>
        </w:rPr>
        <w:t> </w:t>
      </w:r>
      <w:r>
        <w:rPr>
          <w:sz w:val="24"/>
        </w:rPr>
        <w:t>точки</w:t>
      </w:r>
      <w:r>
        <w:rPr>
          <w:spacing w:val="-1"/>
          <w:sz w:val="24"/>
        </w:rPr>
        <w:t> </w:t>
      </w:r>
      <w:r>
        <w:rPr>
          <w:sz w:val="24"/>
        </w:rPr>
        <w:t>зрения, учится</w:t>
      </w:r>
      <w:r>
        <w:rPr>
          <w:spacing w:val="-1"/>
          <w:sz w:val="24"/>
        </w:rPr>
        <w:t> </w:t>
      </w:r>
      <w:r>
        <w:rPr>
          <w:sz w:val="24"/>
        </w:rPr>
        <w:t>этот</w:t>
      </w:r>
      <w:r>
        <w:rPr>
          <w:spacing w:val="-1"/>
          <w:sz w:val="24"/>
        </w:rPr>
        <w:t> </w:t>
      </w:r>
      <w:r>
        <w:rPr>
          <w:spacing w:val="-2"/>
          <w:sz w:val="24"/>
        </w:rPr>
        <w:t>ребенок?</w:t>
      </w:r>
    </w:p>
    <w:p>
      <w:pPr>
        <w:pStyle w:val="BodyText"/>
        <w:spacing w:before="54"/>
        <w:ind w:left="0" w:right="0" w:firstLine="0"/>
        <w:jc w:val="left"/>
      </w:pPr>
    </w:p>
    <w:tbl>
      <w:tblPr>
        <w:tblW w:w="0" w:type="auto"/>
        <w:jc w:val="left"/>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9"/>
        <w:gridCol w:w="1702"/>
        <w:gridCol w:w="1558"/>
        <w:gridCol w:w="1419"/>
        <w:gridCol w:w="1560"/>
      </w:tblGrid>
      <w:tr>
        <w:trPr>
          <w:trHeight w:val="551" w:hRule="atLeast"/>
        </w:trPr>
        <w:tc>
          <w:tcPr>
            <w:tcW w:w="3469" w:type="dxa"/>
          </w:tcPr>
          <w:p>
            <w:pPr>
              <w:pStyle w:val="TableParagraph"/>
              <w:rPr>
                <w:sz w:val="24"/>
              </w:rPr>
            </w:pPr>
          </w:p>
        </w:tc>
        <w:tc>
          <w:tcPr>
            <w:tcW w:w="1702" w:type="dxa"/>
          </w:tcPr>
          <w:p>
            <w:pPr>
              <w:pStyle w:val="TableParagraph"/>
              <w:spacing w:before="135"/>
              <w:ind w:left="6" w:right="8"/>
              <w:jc w:val="center"/>
              <w:rPr>
                <w:b/>
                <w:sz w:val="24"/>
              </w:rPr>
            </w:pPr>
            <w:r>
              <w:rPr>
                <w:b/>
                <w:spacing w:val="-2"/>
                <w:sz w:val="24"/>
              </w:rPr>
              <w:t>Плохо</w:t>
            </w:r>
          </w:p>
        </w:tc>
        <w:tc>
          <w:tcPr>
            <w:tcW w:w="1558" w:type="dxa"/>
          </w:tcPr>
          <w:p>
            <w:pPr>
              <w:pStyle w:val="TableParagraph"/>
              <w:spacing w:line="273" w:lineRule="exact"/>
              <w:ind w:left="488"/>
              <w:rPr>
                <w:b/>
                <w:sz w:val="24"/>
              </w:rPr>
            </w:pPr>
            <w:r>
              <w:rPr>
                <w:b/>
                <w:spacing w:val="-4"/>
                <w:sz w:val="24"/>
              </w:rPr>
              <w:t>Хуже</w:t>
            </w:r>
          </w:p>
          <w:p>
            <w:pPr>
              <w:pStyle w:val="TableParagraph"/>
              <w:spacing w:line="259" w:lineRule="exact"/>
              <w:ind w:left="402"/>
              <w:rPr>
                <w:b/>
                <w:sz w:val="24"/>
              </w:rPr>
            </w:pPr>
            <w:r>
              <w:rPr>
                <w:b/>
                <w:spacing w:val="-2"/>
                <w:sz w:val="24"/>
              </w:rPr>
              <w:t>других</w:t>
            </w:r>
          </w:p>
        </w:tc>
        <w:tc>
          <w:tcPr>
            <w:tcW w:w="1419" w:type="dxa"/>
          </w:tcPr>
          <w:p>
            <w:pPr>
              <w:pStyle w:val="TableParagraph"/>
              <w:spacing w:before="135"/>
              <w:ind w:left="7" w:right="7"/>
              <w:jc w:val="center"/>
              <w:rPr>
                <w:b/>
                <w:sz w:val="24"/>
              </w:rPr>
            </w:pPr>
            <w:r>
              <w:rPr>
                <w:b/>
                <w:sz w:val="24"/>
              </w:rPr>
              <w:t>Как</w:t>
            </w:r>
            <w:r>
              <w:rPr>
                <w:b/>
                <w:spacing w:val="-1"/>
                <w:sz w:val="24"/>
              </w:rPr>
              <w:t> </w:t>
            </w:r>
            <w:r>
              <w:rPr>
                <w:b/>
                <w:spacing w:val="-5"/>
                <w:sz w:val="24"/>
              </w:rPr>
              <w:t>все</w:t>
            </w:r>
          </w:p>
        </w:tc>
        <w:tc>
          <w:tcPr>
            <w:tcW w:w="1560" w:type="dxa"/>
          </w:tcPr>
          <w:p>
            <w:pPr>
              <w:pStyle w:val="TableParagraph"/>
              <w:spacing w:line="273" w:lineRule="exact"/>
              <w:ind w:left="402"/>
              <w:rPr>
                <w:b/>
                <w:sz w:val="24"/>
              </w:rPr>
            </w:pPr>
            <w:r>
              <w:rPr>
                <w:b/>
                <w:spacing w:val="-2"/>
                <w:sz w:val="24"/>
              </w:rPr>
              <w:t>Лучше</w:t>
            </w:r>
          </w:p>
          <w:p>
            <w:pPr>
              <w:pStyle w:val="TableParagraph"/>
              <w:spacing w:line="259" w:lineRule="exact"/>
              <w:ind w:left="402"/>
              <w:rPr>
                <w:b/>
                <w:sz w:val="24"/>
              </w:rPr>
            </w:pPr>
            <w:r>
              <w:rPr>
                <w:b/>
                <w:spacing w:val="-2"/>
                <w:sz w:val="24"/>
              </w:rPr>
              <w:t>других</w:t>
            </w:r>
          </w:p>
        </w:tc>
      </w:tr>
      <w:tr>
        <w:trPr>
          <w:trHeight w:val="357" w:hRule="atLeast"/>
        </w:trPr>
        <w:tc>
          <w:tcPr>
            <w:tcW w:w="3469" w:type="dxa"/>
          </w:tcPr>
          <w:p>
            <w:pPr>
              <w:pStyle w:val="TableParagraph"/>
              <w:spacing w:line="268" w:lineRule="exact"/>
              <w:ind w:left="100"/>
              <w:rPr>
                <w:sz w:val="24"/>
              </w:rPr>
            </w:pPr>
            <w:r>
              <w:rPr>
                <w:sz w:val="24"/>
              </w:rPr>
              <w:t>а.</w:t>
            </w:r>
            <w:r>
              <w:rPr>
                <w:spacing w:val="-1"/>
                <w:sz w:val="24"/>
              </w:rPr>
              <w:t> </w:t>
            </w:r>
            <w:r>
              <w:rPr>
                <w:sz w:val="24"/>
              </w:rPr>
              <w:t>Чтение</w:t>
            </w:r>
            <w:r>
              <w:rPr>
                <w:spacing w:val="-2"/>
                <w:sz w:val="24"/>
              </w:rPr>
              <w:t> </w:t>
            </w:r>
            <w:r>
              <w:rPr>
                <w:sz w:val="24"/>
              </w:rPr>
              <w:t>или </w:t>
            </w:r>
            <w:r>
              <w:rPr>
                <w:spacing w:val="-2"/>
                <w:sz w:val="24"/>
              </w:rPr>
              <w:t>литература</w:t>
            </w:r>
          </w:p>
        </w:tc>
        <w:tc>
          <w:tcPr>
            <w:tcW w:w="1702" w:type="dxa"/>
          </w:tcPr>
          <w:p>
            <w:pPr>
              <w:pStyle w:val="TableParagraph"/>
              <w:spacing w:line="268" w:lineRule="exact"/>
              <w:ind w:left="6" w:right="6"/>
              <w:jc w:val="center"/>
              <w:rPr>
                <w:sz w:val="24"/>
              </w:rPr>
            </w:pPr>
            <w:r>
              <w:rPr>
                <w:spacing w:val="-10"/>
                <w:sz w:val="24"/>
              </w:rPr>
              <w:t>□</w:t>
            </w:r>
          </w:p>
        </w:tc>
        <w:tc>
          <w:tcPr>
            <w:tcW w:w="1558" w:type="dxa"/>
          </w:tcPr>
          <w:p>
            <w:pPr>
              <w:pStyle w:val="TableParagraph"/>
              <w:spacing w:line="268" w:lineRule="exact"/>
              <w:ind w:left="2"/>
              <w:jc w:val="center"/>
              <w:rPr>
                <w:sz w:val="24"/>
              </w:rPr>
            </w:pPr>
            <w:r>
              <w:rPr>
                <w:spacing w:val="-10"/>
                <w:sz w:val="24"/>
              </w:rPr>
              <w:t>□</w:t>
            </w:r>
          </w:p>
        </w:tc>
        <w:tc>
          <w:tcPr>
            <w:tcW w:w="1419" w:type="dxa"/>
          </w:tcPr>
          <w:p>
            <w:pPr>
              <w:pStyle w:val="TableParagraph"/>
              <w:spacing w:line="268" w:lineRule="exact"/>
              <w:ind w:left="7" w:right="6"/>
              <w:jc w:val="center"/>
              <w:rPr>
                <w:sz w:val="24"/>
              </w:rPr>
            </w:pPr>
            <w:r>
              <w:rPr>
                <w:spacing w:val="-10"/>
                <w:sz w:val="24"/>
              </w:rPr>
              <w:t>□</w:t>
            </w:r>
          </w:p>
        </w:tc>
        <w:tc>
          <w:tcPr>
            <w:tcW w:w="1560" w:type="dxa"/>
          </w:tcPr>
          <w:p>
            <w:pPr>
              <w:pStyle w:val="TableParagraph"/>
              <w:spacing w:line="268" w:lineRule="exact"/>
              <w:ind w:left="9" w:right="9"/>
              <w:jc w:val="center"/>
              <w:rPr>
                <w:sz w:val="24"/>
              </w:rPr>
            </w:pPr>
            <w:r>
              <w:rPr>
                <w:spacing w:val="-10"/>
                <w:sz w:val="24"/>
              </w:rPr>
              <w:t>□</w:t>
            </w:r>
          </w:p>
        </w:tc>
      </w:tr>
      <w:tr>
        <w:trPr>
          <w:trHeight w:val="357" w:hRule="atLeast"/>
        </w:trPr>
        <w:tc>
          <w:tcPr>
            <w:tcW w:w="3469" w:type="dxa"/>
          </w:tcPr>
          <w:p>
            <w:pPr>
              <w:pStyle w:val="TableParagraph"/>
              <w:spacing w:line="268" w:lineRule="exact"/>
              <w:ind w:left="100"/>
              <w:rPr>
                <w:sz w:val="24"/>
              </w:rPr>
            </w:pPr>
            <w:r>
              <w:rPr>
                <w:sz w:val="24"/>
              </w:rPr>
              <w:t>б.</w:t>
            </w:r>
            <w:r>
              <w:rPr>
                <w:spacing w:val="-2"/>
                <w:sz w:val="24"/>
              </w:rPr>
              <w:t> </w:t>
            </w:r>
            <w:r>
              <w:rPr>
                <w:sz w:val="24"/>
              </w:rPr>
              <w:t>Родной</w:t>
            </w:r>
            <w:r>
              <w:rPr>
                <w:spacing w:val="-2"/>
                <w:sz w:val="24"/>
              </w:rPr>
              <w:t> </w:t>
            </w:r>
            <w:r>
              <w:rPr>
                <w:spacing w:val="-4"/>
                <w:sz w:val="24"/>
              </w:rPr>
              <w:t>язык</w:t>
            </w:r>
          </w:p>
        </w:tc>
        <w:tc>
          <w:tcPr>
            <w:tcW w:w="1702" w:type="dxa"/>
          </w:tcPr>
          <w:p>
            <w:pPr>
              <w:pStyle w:val="TableParagraph"/>
              <w:spacing w:line="268" w:lineRule="exact"/>
              <w:ind w:left="6" w:right="6"/>
              <w:jc w:val="center"/>
              <w:rPr>
                <w:sz w:val="24"/>
              </w:rPr>
            </w:pPr>
            <w:r>
              <w:rPr>
                <w:spacing w:val="-10"/>
                <w:sz w:val="24"/>
              </w:rPr>
              <w:t>□</w:t>
            </w:r>
          </w:p>
        </w:tc>
        <w:tc>
          <w:tcPr>
            <w:tcW w:w="1558" w:type="dxa"/>
          </w:tcPr>
          <w:p>
            <w:pPr>
              <w:pStyle w:val="TableParagraph"/>
              <w:spacing w:line="268" w:lineRule="exact"/>
              <w:ind w:left="2"/>
              <w:jc w:val="center"/>
              <w:rPr>
                <w:sz w:val="24"/>
              </w:rPr>
            </w:pPr>
            <w:r>
              <w:rPr>
                <w:spacing w:val="-10"/>
                <w:sz w:val="24"/>
              </w:rPr>
              <w:t>□</w:t>
            </w:r>
          </w:p>
        </w:tc>
        <w:tc>
          <w:tcPr>
            <w:tcW w:w="1419" w:type="dxa"/>
          </w:tcPr>
          <w:p>
            <w:pPr>
              <w:pStyle w:val="TableParagraph"/>
              <w:spacing w:line="268" w:lineRule="exact"/>
              <w:ind w:left="7" w:right="6"/>
              <w:jc w:val="center"/>
              <w:rPr>
                <w:sz w:val="24"/>
              </w:rPr>
            </w:pPr>
            <w:r>
              <w:rPr>
                <w:spacing w:val="-10"/>
                <w:sz w:val="24"/>
              </w:rPr>
              <w:t>□</w:t>
            </w:r>
          </w:p>
        </w:tc>
        <w:tc>
          <w:tcPr>
            <w:tcW w:w="1560" w:type="dxa"/>
          </w:tcPr>
          <w:p>
            <w:pPr>
              <w:pStyle w:val="TableParagraph"/>
              <w:spacing w:line="268" w:lineRule="exact"/>
              <w:ind w:left="9" w:right="9"/>
              <w:jc w:val="center"/>
              <w:rPr>
                <w:sz w:val="24"/>
              </w:rPr>
            </w:pPr>
            <w:r>
              <w:rPr>
                <w:spacing w:val="-10"/>
                <w:sz w:val="24"/>
              </w:rPr>
              <w:t>□</w:t>
            </w:r>
          </w:p>
        </w:tc>
      </w:tr>
      <w:tr>
        <w:trPr>
          <w:trHeight w:val="357" w:hRule="atLeast"/>
        </w:trPr>
        <w:tc>
          <w:tcPr>
            <w:tcW w:w="3469" w:type="dxa"/>
          </w:tcPr>
          <w:p>
            <w:pPr>
              <w:pStyle w:val="TableParagraph"/>
              <w:spacing w:line="268" w:lineRule="exact"/>
              <w:ind w:left="100"/>
              <w:rPr>
                <w:sz w:val="24"/>
              </w:rPr>
            </w:pPr>
            <w:r>
              <w:rPr>
                <w:sz w:val="24"/>
              </w:rPr>
              <w:t>в. </w:t>
            </w:r>
            <w:r>
              <w:rPr>
                <w:spacing w:val="-2"/>
                <w:sz w:val="24"/>
              </w:rPr>
              <w:t>История</w:t>
            </w:r>
          </w:p>
        </w:tc>
        <w:tc>
          <w:tcPr>
            <w:tcW w:w="1702" w:type="dxa"/>
          </w:tcPr>
          <w:p>
            <w:pPr>
              <w:pStyle w:val="TableParagraph"/>
              <w:spacing w:line="268" w:lineRule="exact"/>
              <w:ind w:left="6" w:right="6"/>
              <w:jc w:val="center"/>
              <w:rPr>
                <w:sz w:val="24"/>
              </w:rPr>
            </w:pPr>
            <w:r>
              <w:rPr>
                <w:spacing w:val="-10"/>
                <w:sz w:val="24"/>
              </w:rPr>
              <w:t>□</w:t>
            </w:r>
          </w:p>
        </w:tc>
        <w:tc>
          <w:tcPr>
            <w:tcW w:w="1558" w:type="dxa"/>
          </w:tcPr>
          <w:p>
            <w:pPr>
              <w:pStyle w:val="TableParagraph"/>
              <w:spacing w:line="268" w:lineRule="exact"/>
              <w:ind w:left="2"/>
              <w:jc w:val="center"/>
              <w:rPr>
                <w:sz w:val="24"/>
              </w:rPr>
            </w:pPr>
            <w:r>
              <w:rPr>
                <w:spacing w:val="-10"/>
                <w:sz w:val="24"/>
              </w:rPr>
              <w:t>□</w:t>
            </w:r>
          </w:p>
        </w:tc>
        <w:tc>
          <w:tcPr>
            <w:tcW w:w="1419" w:type="dxa"/>
          </w:tcPr>
          <w:p>
            <w:pPr>
              <w:pStyle w:val="TableParagraph"/>
              <w:spacing w:line="268" w:lineRule="exact"/>
              <w:ind w:left="7" w:right="6"/>
              <w:jc w:val="center"/>
              <w:rPr>
                <w:sz w:val="24"/>
              </w:rPr>
            </w:pPr>
            <w:r>
              <w:rPr>
                <w:spacing w:val="-10"/>
                <w:sz w:val="24"/>
              </w:rPr>
              <w:t>□</w:t>
            </w:r>
          </w:p>
        </w:tc>
        <w:tc>
          <w:tcPr>
            <w:tcW w:w="1560" w:type="dxa"/>
          </w:tcPr>
          <w:p>
            <w:pPr>
              <w:pStyle w:val="TableParagraph"/>
              <w:spacing w:line="268" w:lineRule="exact"/>
              <w:ind w:left="9" w:right="9"/>
              <w:jc w:val="center"/>
              <w:rPr>
                <w:sz w:val="24"/>
              </w:rPr>
            </w:pPr>
            <w:r>
              <w:rPr>
                <w:spacing w:val="-10"/>
                <w:sz w:val="24"/>
              </w:rPr>
              <w:t>□</w:t>
            </w:r>
          </w:p>
        </w:tc>
      </w:tr>
      <w:tr>
        <w:trPr>
          <w:trHeight w:val="357" w:hRule="atLeast"/>
        </w:trPr>
        <w:tc>
          <w:tcPr>
            <w:tcW w:w="3469" w:type="dxa"/>
          </w:tcPr>
          <w:p>
            <w:pPr>
              <w:pStyle w:val="TableParagraph"/>
              <w:spacing w:line="268" w:lineRule="exact"/>
              <w:ind w:left="100"/>
              <w:rPr>
                <w:sz w:val="24"/>
              </w:rPr>
            </w:pPr>
            <w:r>
              <w:rPr>
                <w:sz w:val="24"/>
              </w:rPr>
              <w:t>г. </w:t>
            </w:r>
            <w:r>
              <w:rPr>
                <w:spacing w:val="-2"/>
                <w:sz w:val="24"/>
              </w:rPr>
              <w:t>Математика</w:t>
            </w:r>
          </w:p>
        </w:tc>
        <w:tc>
          <w:tcPr>
            <w:tcW w:w="1702" w:type="dxa"/>
          </w:tcPr>
          <w:p>
            <w:pPr>
              <w:pStyle w:val="TableParagraph"/>
              <w:spacing w:line="268" w:lineRule="exact"/>
              <w:ind w:left="6" w:right="6"/>
              <w:jc w:val="center"/>
              <w:rPr>
                <w:sz w:val="24"/>
              </w:rPr>
            </w:pPr>
            <w:r>
              <w:rPr>
                <w:spacing w:val="-10"/>
                <w:sz w:val="24"/>
              </w:rPr>
              <w:t>□</w:t>
            </w:r>
          </w:p>
        </w:tc>
        <w:tc>
          <w:tcPr>
            <w:tcW w:w="1558" w:type="dxa"/>
          </w:tcPr>
          <w:p>
            <w:pPr>
              <w:pStyle w:val="TableParagraph"/>
              <w:spacing w:line="268" w:lineRule="exact"/>
              <w:ind w:left="2"/>
              <w:jc w:val="center"/>
              <w:rPr>
                <w:sz w:val="24"/>
              </w:rPr>
            </w:pPr>
            <w:r>
              <w:rPr>
                <w:spacing w:val="-10"/>
                <w:sz w:val="24"/>
              </w:rPr>
              <w:t>□</w:t>
            </w:r>
          </w:p>
        </w:tc>
        <w:tc>
          <w:tcPr>
            <w:tcW w:w="1419" w:type="dxa"/>
          </w:tcPr>
          <w:p>
            <w:pPr>
              <w:pStyle w:val="TableParagraph"/>
              <w:spacing w:line="268" w:lineRule="exact"/>
              <w:ind w:left="7" w:right="6"/>
              <w:jc w:val="center"/>
              <w:rPr>
                <w:sz w:val="24"/>
              </w:rPr>
            </w:pPr>
            <w:r>
              <w:rPr>
                <w:spacing w:val="-10"/>
                <w:sz w:val="24"/>
              </w:rPr>
              <w:t>□</w:t>
            </w:r>
          </w:p>
        </w:tc>
        <w:tc>
          <w:tcPr>
            <w:tcW w:w="1560" w:type="dxa"/>
          </w:tcPr>
          <w:p>
            <w:pPr>
              <w:pStyle w:val="TableParagraph"/>
              <w:spacing w:line="268" w:lineRule="exact"/>
              <w:ind w:left="9" w:right="9"/>
              <w:jc w:val="center"/>
              <w:rPr>
                <w:sz w:val="24"/>
              </w:rPr>
            </w:pPr>
            <w:r>
              <w:rPr>
                <w:spacing w:val="-10"/>
                <w:sz w:val="24"/>
              </w:rPr>
              <w:t>□</w:t>
            </w:r>
          </w:p>
        </w:tc>
      </w:tr>
      <w:tr>
        <w:trPr>
          <w:trHeight w:val="357" w:hRule="atLeast"/>
        </w:trPr>
        <w:tc>
          <w:tcPr>
            <w:tcW w:w="3469" w:type="dxa"/>
          </w:tcPr>
          <w:p>
            <w:pPr>
              <w:pStyle w:val="TableParagraph"/>
              <w:spacing w:line="268" w:lineRule="exact"/>
              <w:ind w:left="100"/>
              <w:rPr>
                <w:sz w:val="24"/>
              </w:rPr>
            </w:pPr>
            <w:r>
              <w:rPr>
                <w:sz w:val="24"/>
              </w:rPr>
              <w:t>д.</w:t>
            </w:r>
            <w:r>
              <w:rPr>
                <w:spacing w:val="-2"/>
                <w:sz w:val="24"/>
              </w:rPr>
              <w:t> Физика</w:t>
            </w:r>
          </w:p>
        </w:tc>
        <w:tc>
          <w:tcPr>
            <w:tcW w:w="1702" w:type="dxa"/>
          </w:tcPr>
          <w:p>
            <w:pPr>
              <w:pStyle w:val="TableParagraph"/>
              <w:spacing w:line="268" w:lineRule="exact"/>
              <w:ind w:left="6" w:right="6"/>
              <w:jc w:val="center"/>
              <w:rPr>
                <w:sz w:val="24"/>
              </w:rPr>
            </w:pPr>
            <w:r>
              <w:rPr>
                <w:spacing w:val="-10"/>
                <w:sz w:val="24"/>
              </w:rPr>
              <w:t>□</w:t>
            </w:r>
          </w:p>
        </w:tc>
        <w:tc>
          <w:tcPr>
            <w:tcW w:w="1558" w:type="dxa"/>
          </w:tcPr>
          <w:p>
            <w:pPr>
              <w:pStyle w:val="TableParagraph"/>
              <w:spacing w:line="268" w:lineRule="exact"/>
              <w:ind w:left="2"/>
              <w:jc w:val="center"/>
              <w:rPr>
                <w:sz w:val="24"/>
              </w:rPr>
            </w:pPr>
            <w:r>
              <w:rPr>
                <w:spacing w:val="-10"/>
                <w:sz w:val="24"/>
              </w:rPr>
              <w:t>□</w:t>
            </w:r>
          </w:p>
        </w:tc>
        <w:tc>
          <w:tcPr>
            <w:tcW w:w="1419" w:type="dxa"/>
          </w:tcPr>
          <w:p>
            <w:pPr>
              <w:pStyle w:val="TableParagraph"/>
              <w:spacing w:line="268" w:lineRule="exact"/>
              <w:ind w:left="7" w:right="6"/>
              <w:jc w:val="center"/>
              <w:rPr>
                <w:sz w:val="24"/>
              </w:rPr>
            </w:pPr>
            <w:r>
              <w:rPr>
                <w:spacing w:val="-10"/>
                <w:sz w:val="24"/>
              </w:rPr>
              <w:t>□</w:t>
            </w:r>
          </w:p>
        </w:tc>
        <w:tc>
          <w:tcPr>
            <w:tcW w:w="1560" w:type="dxa"/>
          </w:tcPr>
          <w:p>
            <w:pPr>
              <w:pStyle w:val="TableParagraph"/>
              <w:spacing w:line="268" w:lineRule="exact"/>
              <w:ind w:left="9" w:right="9"/>
              <w:jc w:val="center"/>
              <w:rPr>
                <w:sz w:val="24"/>
              </w:rPr>
            </w:pPr>
            <w:r>
              <w:rPr>
                <w:spacing w:val="-10"/>
                <w:sz w:val="24"/>
              </w:rPr>
              <w:t>□</w:t>
            </w:r>
          </w:p>
        </w:tc>
      </w:tr>
      <w:tr>
        <w:trPr>
          <w:trHeight w:val="357" w:hRule="atLeast"/>
        </w:trPr>
        <w:tc>
          <w:tcPr>
            <w:tcW w:w="3469" w:type="dxa"/>
          </w:tcPr>
          <w:p>
            <w:pPr>
              <w:pStyle w:val="TableParagraph"/>
              <w:spacing w:line="268" w:lineRule="exact"/>
              <w:ind w:left="100"/>
              <w:rPr>
                <w:sz w:val="24"/>
              </w:rPr>
            </w:pPr>
            <w:r>
              <w:rPr>
                <w:sz w:val="24"/>
              </w:rPr>
              <w:t>е.</w:t>
            </w:r>
            <w:r>
              <w:rPr>
                <w:spacing w:val="-1"/>
                <w:sz w:val="24"/>
              </w:rPr>
              <w:t> </w:t>
            </w:r>
            <w:r>
              <w:rPr>
                <w:spacing w:val="-2"/>
                <w:sz w:val="24"/>
              </w:rPr>
              <w:t>Химия</w:t>
            </w:r>
          </w:p>
        </w:tc>
        <w:tc>
          <w:tcPr>
            <w:tcW w:w="1702" w:type="dxa"/>
          </w:tcPr>
          <w:p>
            <w:pPr>
              <w:pStyle w:val="TableParagraph"/>
              <w:spacing w:line="268" w:lineRule="exact"/>
              <w:ind w:left="6" w:right="6"/>
              <w:jc w:val="center"/>
              <w:rPr>
                <w:sz w:val="24"/>
              </w:rPr>
            </w:pPr>
            <w:r>
              <w:rPr>
                <w:spacing w:val="-10"/>
                <w:sz w:val="24"/>
              </w:rPr>
              <w:t>□</w:t>
            </w:r>
          </w:p>
        </w:tc>
        <w:tc>
          <w:tcPr>
            <w:tcW w:w="1558" w:type="dxa"/>
          </w:tcPr>
          <w:p>
            <w:pPr>
              <w:pStyle w:val="TableParagraph"/>
              <w:spacing w:line="268" w:lineRule="exact"/>
              <w:ind w:left="2"/>
              <w:jc w:val="center"/>
              <w:rPr>
                <w:sz w:val="24"/>
              </w:rPr>
            </w:pPr>
            <w:r>
              <w:rPr>
                <w:spacing w:val="-10"/>
                <w:sz w:val="24"/>
              </w:rPr>
              <w:t>□</w:t>
            </w:r>
          </w:p>
        </w:tc>
        <w:tc>
          <w:tcPr>
            <w:tcW w:w="1419" w:type="dxa"/>
          </w:tcPr>
          <w:p>
            <w:pPr>
              <w:pStyle w:val="TableParagraph"/>
              <w:spacing w:line="268" w:lineRule="exact"/>
              <w:ind w:left="7" w:right="6"/>
              <w:jc w:val="center"/>
              <w:rPr>
                <w:sz w:val="24"/>
              </w:rPr>
            </w:pPr>
            <w:r>
              <w:rPr>
                <w:spacing w:val="-10"/>
                <w:sz w:val="24"/>
              </w:rPr>
              <w:t>□</w:t>
            </w:r>
          </w:p>
        </w:tc>
        <w:tc>
          <w:tcPr>
            <w:tcW w:w="1560" w:type="dxa"/>
          </w:tcPr>
          <w:p>
            <w:pPr>
              <w:pStyle w:val="TableParagraph"/>
              <w:spacing w:line="268" w:lineRule="exact"/>
              <w:ind w:left="9" w:right="9"/>
              <w:jc w:val="center"/>
              <w:rPr>
                <w:sz w:val="24"/>
              </w:rPr>
            </w:pPr>
            <w:r>
              <w:rPr>
                <w:spacing w:val="-10"/>
                <w:sz w:val="24"/>
              </w:rPr>
              <w:t>□</w:t>
            </w:r>
          </w:p>
        </w:tc>
      </w:tr>
      <w:tr>
        <w:trPr>
          <w:trHeight w:val="357" w:hRule="atLeast"/>
        </w:trPr>
        <w:tc>
          <w:tcPr>
            <w:tcW w:w="3469" w:type="dxa"/>
          </w:tcPr>
          <w:p>
            <w:pPr>
              <w:pStyle w:val="TableParagraph"/>
              <w:spacing w:line="268" w:lineRule="exact"/>
              <w:ind w:left="100"/>
              <w:rPr>
                <w:sz w:val="24"/>
              </w:rPr>
            </w:pPr>
            <w:r>
              <w:rPr>
                <w:sz w:val="24"/>
              </w:rPr>
              <w:t>ж.</w:t>
            </w:r>
            <w:r>
              <w:rPr>
                <w:spacing w:val="-3"/>
                <w:sz w:val="24"/>
              </w:rPr>
              <w:t> </w:t>
            </w:r>
            <w:r>
              <w:rPr>
                <w:sz w:val="24"/>
              </w:rPr>
              <w:t>Биология,</w:t>
            </w:r>
            <w:r>
              <w:rPr>
                <w:spacing w:val="-2"/>
                <w:sz w:val="24"/>
              </w:rPr>
              <w:t> природоведение</w:t>
            </w:r>
          </w:p>
        </w:tc>
        <w:tc>
          <w:tcPr>
            <w:tcW w:w="1702" w:type="dxa"/>
          </w:tcPr>
          <w:p>
            <w:pPr>
              <w:pStyle w:val="TableParagraph"/>
              <w:spacing w:line="268" w:lineRule="exact"/>
              <w:ind w:left="6" w:right="6"/>
              <w:jc w:val="center"/>
              <w:rPr>
                <w:sz w:val="24"/>
              </w:rPr>
            </w:pPr>
            <w:r>
              <w:rPr>
                <w:spacing w:val="-10"/>
                <w:sz w:val="24"/>
              </w:rPr>
              <w:t>□</w:t>
            </w:r>
          </w:p>
        </w:tc>
        <w:tc>
          <w:tcPr>
            <w:tcW w:w="1558" w:type="dxa"/>
          </w:tcPr>
          <w:p>
            <w:pPr>
              <w:pStyle w:val="TableParagraph"/>
              <w:spacing w:line="268" w:lineRule="exact"/>
              <w:ind w:left="2"/>
              <w:jc w:val="center"/>
              <w:rPr>
                <w:sz w:val="24"/>
              </w:rPr>
            </w:pPr>
            <w:r>
              <w:rPr>
                <w:spacing w:val="-10"/>
                <w:sz w:val="24"/>
              </w:rPr>
              <w:t>□</w:t>
            </w:r>
          </w:p>
        </w:tc>
        <w:tc>
          <w:tcPr>
            <w:tcW w:w="1419" w:type="dxa"/>
          </w:tcPr>
          <w:p>
            <w:pPr>
              <w:pStyle w:val="TableParagraph"/>
              <w:spacing w:line="268" w:lineRule="exact"/>
              <w:ind w:left="7" w:right="6"/>
              <w:jc w:val="center"/>
              <w:rPr>
                <w:sz w:val="24"/>
              </w:rPr>
            </w:pPr>
            <w:r>
              <w:rPr>
                <w:spacing w:val="-10"/>
                <w:sz w:val="24"/>
              </w:rPr>
              <w:t>□</w:t>
            </w:r>
          </w:p>
        </w:tc>
        <w:tc>
          <w:tcPr>
            <w:tcW w:w="1560" w:type="dxa"/>
          </w:tcPr>
          <w:p>
            <w:pPr>
              <w:pStyle w:val="TableParagraph"/>
              <w:spacing w:line="268" w:lineRule="exact"/>
              <w:ind w:left="9" w:right="9"/>
              <w:jc w:val="center"/>
              <w:rPr>
                <w:sz w:val="24"/>
              </w:rPr>
            </w:pPr>
            <w:r>
              <w:rPr>
                <w:spacing w:val="-10"/>
                <w:sz w:val="24"/>
              </w:rPr>
              <w:t>□</w:t>
            </w:r>
          </w:p>
        </w:tc>
      </w:tr>
      <w:tr>
        <w:trPr>
          <w:trHeight w:val="563" w:hRule="atLeast"/>
        </w:trPr>
        <w:tc>
          <w:tcPr>
            <w:tcW w:w="3469" w:type="dxa"/>
          </w:tcPr>
          <w:p>
            <w:pPr>
              <w:pStyle w:val="TableParagraph"/>
              <w:spacing w:line="268" w:lineRule="exact"/>
              <w:ind w:left="100"/>
              <w:rPr>
                <w:sz w:val="24"/>
              </w:rPr>
            </w:pPr>
            <w:r>
              <w:rPr>
                <w:sz w:val="24"/>
              </w:rPr>
              <w:t>з.</w:t>
            </w:r>
            <w:r>
              <w:rPr>
                <w:spacing w:val="-3"/>
                <w:sz w:val="24"/>
              </w:rPr>
              <w:t> </w:t>
            </w:r>
            <w:r>
              <w:rPr>
                <w:sz w:val="24"/>
              </w:rPr>
              <w:t>Другие</w:t>
            </w:r>
            <w:r>
              <w:rPr>
                <w:spacing w:val="-3"/>
                <w:sz w:val="24"/>
              </w:rPr>
              <w:t> </w:t>
            </w:r>
            <w:r>
              <w:rPr>
                <w:sz w:val="24"/>
              </w:rPr>
              <w:t>школьные</w:t>
            </w:r>
            <w:r>
              <w:rPr>
                <w:spacing w:val="-4"/>
                <w:sz w:val="24"/>
              </w:rPr>
              <w:t> </w:t>
            </w:r>
            <w:r>
              <w:rPr>
                <w:spacing w:val="-2"/>
                <w:sz w:val="24"/>
              </w:rPr>
              <w:t>предметы</w:t>
            </w:r>
          </w:p>
          <w:p>
            <w:pPr>
              <w:pStyle w:val="TableParagraph"/>
              <w:ind w:left="100"/>
              <w:rPr>
                <w:sz w:val="24"/>
              </w:rPr>
            </w:pPr>
            <w:r>
              <w:rPr>
                <w:sz w:val="24"/>
              </w:rPr>
              <w:t>(укажите,</w:t>
            </w:r>
            <w:r>
              <w:rPr>
                <w:spacing w:val="-6"/>
                <w:sz w:val="24"/>
              </w:rPr>
              <w:t> </w:t>
            </w:r>
            <w:r>
              <w:rPr>
                <w:spacing w:val="-2"/>
                <w:sz w:val="24"/>
              </w:rPr>
              <w:t>какие)</w:t>
            </w:r>
          </w:p>
        </w:tc>
        <w:tc>
          <w:tcPr>
            <w:tcW w:w="1702" w:type="dxa"/>
          </w:tcPr>
          <w:p>
            <w:pPr>
              <w:pStyle w:val="TableParagraph"/>
              <w:spacing w:before="135"/>
              <w:ind w:left="6" w:right="6"/>
              <w:jc w:val="center"/>
              <w:rPr>
                <w:sz w:val="24"/>
              </w:rPr>
            </w:pPr>
            <w:r>
              <w:rPr>
                <w:spacing w:val="-10"/>
                <w:sz w:val="24"/>
              </w:rPr>
              <w:t>□</w:t>
            </w:r>
          </w:p>
        </w:tc>
        <w:tc>
          <w:tcPr>
            <w:tcW w:w="1558" w:type="dxa"/>
          </w:tcPr>
          <w:p>
            <w:pPr>
              <w:pStyle w:val="TableParagraph"/>
              <w:spacing w:before="135"/>
              <w:ind w:left="2"/>
              <w:jc w:val="center"/>
              <w:rPr>
                <w:sz w:val="24"/>
              </w:rPr>
            </w:pPr>
            <w:r>
              <w:rPr>
                <w:spacing w:val="-10"/>
                <w:sz w:val="24"/>
              </w:rPr>
              <w:t>□</w:t>
            </w:r>
          </w:p>
        </w:tc>
        <w:tc>
          <w:tcPr>
            <w:tcW w:w="1419" w:type="dxa"/>
          </w:tcPr>
          <w:p>
            <w:pPr>
              <w:pStyle w:val="TableParagraph"/>
              <w:spacing w:before="135"/>
              <w:ind w:left="7" w:right="6"/>
              <w:jc w:val="center"/>
              <w:rPr>
                <w:sz w:val="24"/>
              </w:rPr>
            </w:pPr>
            <w:r>
              <w:rPr>
                <w:spacing w:val="-10"/>
                <w:sz w:val="24"/>
              </w:rPr>
              <w:t>□</w:t>
            </w:r>
          </w:p>
        </w:tc>
        <w:tc>
          <w:tcPr>
            <w:tcW w:w="1560" w:type="dxa"/>
          </w:tcPr>
          <w:p>
            <w:pPr>
              <w:pStyle w:val="TableParagraph"/>
              <w:spacing w:before="135"/>
              <w:ind w:left="9" w:right="9"/>
              <w:jc w:val="center"/>
              <w:rPr>
                <w:sz w:val="24"/>
              </w:rPr>
            </w:pPr>
            <w:r>
              <w:rPr>
                <w:spacing w:val="-10"/>
                <w:sz w:val="24"/>
              </w:rPr>
              <w:t>□</w:t>
            </w:r>
          </w:p>
        </w:tc>
      </w:tr>
    </w:tbl>
    <w:p>
      <w:pPr>
        <w:pStyle w:val="TableParagraph"/>
        <w:spacing w:after="0"/>
        <w:jc w:val="center"/>
        <w:rPr>
          <w:sz w:val="24"/>
        </w:rPr>
        <w:sectPr>
          <w:pgSz w:w="11910" w:h="16840"/>
          <w:pgMar w:header="0" w:footer="970" w:top="1040" w:bottom="1220" w:left="1417" w:right="283"/>
        </w:sectPr>
      </w:pPr>
    </w:p>
    <w:p>
      <w:pPr>
        <w:numPr>
          <w:ilvl w:val="0"/>
          <w:numId w:val="20"/>
        </w:numPr>
        <w:tabs>
          <w:tab w:pos="813" w:val="left" w:leader="none"/>
        </w:tabs>
        <w:spacing w:before="66"/>
        <w:ind w:left="813" w:right="0" w:hanging="528"/>
        <w:jc w:val="left"/>
        <w:rPr>
          <w:sz w:val="24"/>
        </w:rPr>
      </w:pPr>
      <w:r>
        <w:rPr>
          <w:sz w:val="24"/>
        </w:rPr>
        <w:t>По</w:t>
      </w:r>
      <w:r>
        <w:rPr>
          <w:spacing w:val="-2"/>
          <w:sz w:val="24"/>
        </w:rPr>
        <w:t> </w:t>
      </w:r>
      <w:r>
        <w:rPr>
          <w:sz w:val="24"/>
        </w:rPr>
        <w:t>сравнению</w:t>
      </w:r>
      <w:r>
        <w:rPr>
          <w:spacing w:val="-2"/>
          <w:sz w:val="24"/>
        </w:rPr>
        <w:t> </w:t>
      </w:r>
      <w:r>
        <w:rPr>
          <w:sz w:val="24"/>
        </w:rPr>
        <w:t>с</w:t>
      </w:r>
      <w:r>
        <w:rPr>
          <w:spacing w:val="-3"/>
          <w:sz w:val="24"/>
        </w:rPr>
        <w:t> </w:t>
      </w:r>
      <w:r>
        <w:rPr>
          <w:sz w:val="24"/>
        </w:rPr>
        <w:t>типичным</w:t>
      </w:r>
      <w:r>
        <w:rPr>
          <w:spacing w:val="-2"/>
          <w:sz w:val="24"/>
        </w:rPr>
        <w:t> </w:t>
      </w:r>
      <w:r>
        <w:rPr>
          <w:sz w:val="24"/>
        </w:rPr>
        <w:t>учеником</w:t>
      </w:r>
      <w:r>
        <w:rPr>
          <w:spacing w:val="-3"/>
          <w:sz w:val="24"/>
        </w:rPr>
        <w:t> </w:t>
      </w:r>
      <w:r>
        <w:rPr>
          <w:sz w:val="24"/>
        </w:rPr>
        <w:t>его</w:t>
      </w:r>
      <w:r>
        <w:rPr>
          <w:spacing w:val="-2"/>
          <w:sz w:val="24"/>
        </w:rPr>
        <w:t> возраста</w:t>
      </w:r>
    </w:p>
    <w:p>
      <w:pPr>
        <w:pStyle w:val="BodyText"/>
        <w:spacing w:before="54" w:after="1"/>
        <w:ind w:left="0" w:right="0" w:firstLine="0"/>
        <w:jc w:val="left"/>
      </w:pPr>
    </w:p>
    <w:tbl>
      <w:tblPr>
        <w:tblW w:w="0" w:type="auto"/>
        <w:jc w:val="left"/>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82"/>
        <w:gridCol w:w="1274"/>
        <w:gridCol w:w="850"/>
        <w:gridCol w:w="1135"/>
        <w:gridCol w:w="708"/>
        <w:gridCol w:w="994"/>
        <w:gridCol w:w="708"/>
        <w:gridCol w:w="955"/>
      </w:tblGrid>
      <w:tr>
        <w:trPr>
          <w:trHeight w:val="1840" w:hRule="atLeast"/>
        </w:trPr>
        <w:tc>
          <w:tcPr>
            <w:tcW w:w="3082" w:type="dxa"/>
          </w:tcPr>
          <w:p>
            <w:pPr>
              <w:pStyle w:val="TableParagraph"/>
              <w:rPr>
                <w:sz w:val="24"/>
              </w:rPr>
            </w:pPr>
          </w:p>
        </w:tc>
        <w:tc>
          <w:tcPr>
            <w:tcW w:w="1274" w:type="dxa"/>
            <w:textDirection w:val="btLr"/>
          </w:tcPr>
          <w:p>
            <w:pPr>
              <w:pStyle w:val="TableParagraph"/>
              <w:spacing w:line="247" w:lineRule="auto" w:before="210"/>
              <w:ind w:left="525" w:right="525" w:hanging="1"/>
              <w:jc w:val="center"/>
              <w:rPr>
                <w:sz w:val="24"/>
              </w:rPr>
            </w:pPr>
            <w:r>
              <w:rPr>
                <w:spacing w:val="-2"/>
                <w:sz w:val="24"/>
              </w:rPr>
              <w:t>Много меньше</w:t>
            </w:r>
          </w:p>
          <w:p>
            <w:pPr>
              <w:pStyle w:val="TableParagraph"/>
              <w:spacing w:line="274" w:lineRule="exact"/>
              <w:ind w:right="4"/>
              <w:jc w:val="center"/>
              <w:rPr>
                <w:sz w:val="24"/>
              </w:rPr>
            </w:pPr>
            <w:r>
              <w:rPr>
                <w:sz w:val="24"/>
              </w:rPr>
              <w:t>(намного</w:t>
            </w:r>
            <w:r>
              <w:rPr>
                <w:spacing w:val="-2"/>
                <w:sz w:val="24"/>
              </w:rPr>
              <w:t> хуже)</w:t>
            </w:r>
          </w:p>
        </w:tc>
        <w:tc>
          <w:tcPr>
            <w:tcW w:w="850" w:type="dxa"/>
            <w:textDirection w:val="btLr"/>
          </w:tcPr>
          <w:p>
            <w:pPr>
              <w:pStyle w:val="TableParagraph"/>
              <w:spacing w:line="247" w:lineRule="auto" w:before="141"/>
              <w:ind w:left="582" w:right="489" w:hanging="89"/>
              <w:rPr>
                <w:sz w:val="24"/>
              </w:rPr>
            </w:pPr>
            <w:r>
              <w:rPr>
                <w:spacing w:val="-2"/>
                <w:sz w:val="24"/>
              </w:rPr>
              <w:t>Меньше (хуже)</w:t>
            </w:r>
          </w:p>
        </w:tc>
        <w:tc>
          <w:tcPr>
            <w:tcW w:w="1135" w:type="dxa"/>
            <w:textDirection w:val="btLr"/>
          </w:tcPr>
          <w:p>
            <w:pPr>
              <w:pStyle w:val="TableParagraph"/>
              <w:spacing w:line="247" w:lineRule="auto" w:before="141"/>
              <w:ind w:left="124" w:right="129" w:firstLine="3"/>
              <w:jc w:val="center"/>
              <w:rPr>
                <w:sz w:val="24"/>
              </w:rPr>
            </w:pPr>
            <w:r>
              <w:rPr>
                <w:spacing w:val="-2"/>
                <w:sz w:val="24"/>
              </w:rPr>
              <w:t>Немного меньше </w:t>
            </w:r>
            <w:r>
              <w:rPr>
                <w:sz w:val="24"/>
              </w:rPr>
              <w:t>(немного</w:t>
            </w:r>
            <w:r>
              <w:rPr>
                <w:spacing w:val="-15"/>
                <w:sz w:val="24"/>
              </w:rPr>
              <w:t> </w:t>
            </w:r>
            <w:r>
              <w:rPr>
                <w:sz w:val="24"/>
              </w:rPr>
              <w:t>хуже)</w:t>
            </w:r>
          </w:p>
        </w:tc>
        <w:tc>
          <w:tcPr>
            <w:tcW w:w="708" w:type="dxa"/>
            <w:textDirection w:val="btLr"/>
          </w:tcPr>
          <w:p>
            <w:pPr>
              <w:pStyle w:val="TableParagraph"/>
              <w:spacing w:line="247" w:lineRule="auto" w:before="103"/>
              <w:ind w:left="596" w:right="598"/>
              <w:jc w:val="center"/>
              <w:rPr>
                <w:sz w:val="24"/>
              </w:rPr>
            </w:pPr>
            <w:r>
              <w:rPr>
                <w:spacing w:val="-4"/>
                <w:sz w:val="24"/>
              </w:rPr>
              <w:t>Как все</w:t>
            </w:r>
          </w:p>
        </w:tc>
        <w:tc>
          <w:tcPr>
            <w:tcW w:w="994" w:type="dxa"/>
            <w:textDirection w:val="btLr"/>
          </w:tcPr>
          <w:p>
            <w:pPr>
              <w:pStyle w:val="TableParagraph"/>
              <w:spacing w:line="247" w:lineRule="auto" w:before="106"/>
              <w:ind w:left="513" w:right="470" w:hanging="44"/>
              <w:jc w:val="both"/>
              <w:rPr>
                <w:sz w:val="24"/>
              </w:rPr>
            </w:pPr>
            <w:r>
              <w:rPr>
                <w:spacing w:val="-2"/>
                <w:sz w:val="24"/>
              </w:rPr>
              <w:t>Немного больше (лучше)</w:t>
            </w:r>
          </w:p>
        </w:tc>
        <w:tc>
          <w:tcPr>
            <w:tcW w:w="708" w:type="dxa"/>
            <w:textDirection w:val="btLr"/>
          </w:tcPr>
          <w:p>
            <w:pPr>
              <w:pStyle w:val="TableParagraph"/>
              <w:spacing w:line="247" w:lineRule="auto" w:before="103"/>
              <w:ind w:left="513" w:right="509" w:firstLine="16"/>
              <w:rPr>
                <w:sz w:val="24"/>
              </w:rPr>
            </w:pPr>
            <w:r>
              <w:rPr>
                <w:spacing w:val="-2"/>
                <w:sz w:val="24"/>
              </w:rPr>
              <w:t>Больше (лучше)</w:t>
            </w:r>
          </w:p>
        </w:tc>
        <w:tc>
          <w:tcPr>
            <w:tcW w:w="955" w:type="dxa"/>
            <w:textDirection w:val="btLr"/>
          </w:tcPr>
          <w:p>
            <w:pPr>
              <w:pStyle w:val="TableParagraph"/>
              <w:spacing w:line="247" w:lineRule="auto" w:before="192"/>
              <w:ind w:left="537" w:right="532" w:firstLine="40"/>
              <w:rPr>
                <w:sz w:val="24"/>
              </w:rPr>
            </w:pPr>
            <w:r>
              <w:rPr>
                <w:spacing w:val="-2"/>
                <w:sz w:val="24"/>
              </w:rPr>
              <w:t>Много больше</w:t>
            </w:r>
          </w:p>
        </w:tc>
      </w:tr>
      <w:tr>
        <w:trPr>
          <w:trHeight w:val="551" w:hRule="atLeast"/>
        </w:trPr>
        <w:tc>
          <w:tcPr>
            <w:tcW w:w="3082" w:type="dxa"/>
          </w:tcPr>
          <w:p>
            <w:pPr>
              <w:pStyle w:val="TableParagraph"/>
              <w:spacing w:line="268" w:lineRule="exact"/>
              <w:ind w:left="100"/>
              <w:rPr>
                <w:sz w:val="24"/>
              </w:rPr>
            </w:pPr>
            <w:r>
              <w:rPr>
                <w:sz w:val="24"/>
              </w:rPr>
              <w:t>1.</w:t>
            </w:r>
            <w:r>
              <w:rPr>
                <w:spacing w:val="-2"/>
                <w:sz w:val="24"/>
              </w:rPr>
              <w:t> </w:t>
            </w:r>
            <w:r>
              <w:rPr>
                <w:sz w:val="24"/>
              </w:rPr>
              <w:t>Насколько</w:t>
            </w:r>
            <w:r>
              <w:rPr>
                <w:spacing w:val="-2"/>
                <w:sz w:val="24"/>
              </w:rPr>
              <w:t> </w:t>
            </w:r>
            <w:r>
              <w:rPr>
                <w:sz w:val="24"/>
              </w:rPr>
              <w:t>этот</w:t>
            </w:r>
            <w:r>
              <w:rPr>
                <w:spacing w:val="1"/>
                <w:sz w:val="24"/>
              </w:rPr>
              <w:t> </w:t>
            </w:r>
            <w:r>
              <w:rPr>
                <w:spacing w:val="-2"/>
                <w:sz w:val="24"/>
              </w:rPr>
              <w:t>ученик</w:t>
            </w:r>
          </w:p>
          <w:p>
            <w:pPr>
              <w:pStyle w:val="TableParagraph"/>
              <w:spacing w:line="264" w:lineRule="exact"/>
              <w:ind w:left="100"/>
              <w:rPr>
                <w:sz w:val="24"/>
              </w:rPr>
            </w:pPr>
            <w:r>
              <w:rPr>
                <w:spacing w:val="-2"/>
                <w:sz w:val="24"/>
              </w:rPr>
              <w:t>прилежен?</w:t>
            </w:r>
          </w:p>
        </w:tc>
        <w:tc>
          <w:tcPr>
            <w:tcW w:w="1274" w:type="dxa"/>
          </w:tcPr>
          <w:p>
            <w:pPr>
              <w:pStyle w:val="TableParagraph"/>
              <w:spacing w:before="131"/>
              <w:ind w:left="4"/>
              <w:jc w:val="center"/>
              <w:rPr>
                <w:sz w:val="24"/>
              </w:rPr>
            </w:pPr>
            <w:r>
              <w:rPr>
                <w:spacing w:val="-10"/>
                <w:sz w:val="24"/>
              </w:rPr>
              <w:t>□</w:t>
            </w:r>
          </w:p>
        </w:tc>
        <w:tc>
          <w:tcPr>
            <w:tcW w:w="850" w:type="dxa"/>
          </w:tcPr>
          <w:p>
            <w:pPr>
              <w:pStyle w:val="TableParagraph"/>
              <w:spacing w:before="131"/>
              <w:ind w:left="6"/>
              <w:jc w:val="center"/>
              <w:rPr>
                <w:sz w:val="24"/>
              </w:rPr>
            </w:pPr>
            <w:r>
              <w:rPr>
                <w:spacing w:val="-10"/>
                <w:sz w:val="24"/>
              </w:rPr>
              <w:t>□</w:t>
            </w:r>
          </w:p>
        </w:tc>
        <w:tc>
          <w:tcPr>
            <w:tcW w:w="1135" w:type="dxa"/>
          </w:tcPr>
          <w:p>
            <w:pPr>
              <w:pStyle w:val="TableParagraph"/>
              <w:spacing w:before="131"/>
              <w:ind w:left="4"/>
              <w:jc w:val="center"/>
              <w:rPr>
                <w:sz w:val="24"/>
              </w:rPr>
            </w:pPr>
            <w:r>
              <w:rPr>
                <w:spacing w:val="-10"/>
                <w:sz w:val="24"/>
              </w:rPr>
              <w:t>□</w:t>
            </w:r>
          </w:p>
        </w:tc>
        <w:tc>
          <w:tcPr>
            <w:tcW w:w="708" w:type="dxa"/>
          </w:tcPr>
          <w:p>
            <w:pPr>
              <w:pStyle w:val="TableParagraph"/>
              <w:spacing w:before="131"/>
              <w:ind w:left="10" w:right="10"/>
              <w:jc w:val="center"/>
              <w:rPr>
                <w:sz w:val="24"/>
              </w:rPr>
            </w:pPr>
            <w:r>
              <w:rPr>
                <w:spacing w:val="-10"/>
                <w:sz w:val="24"/>
              </w:rPr>
              <w:t>□</w:t>
            </w:r>
          </w:p>
        </w:tc>
        <w:tc>
          <w:tcPr>
            <w:tcW w:w="994" w:type="dxa"/>
          </w:tcPr>
          <w:p>
            <w:pPr>
              <w:pStyle w:val="TableParagraph"/>
              <w:spacing w:before="131"/>
              <w:ind w:left="7" w:right="4"/>
              <w:jc w:val="center"/>
              <w:rPr>
                <w:sz w:val="24"/>
              </w:rPr>
            </w:pPr>
            <w:r>
              <w:rPr>
                <w:spacing w:val="-10"/>
                <w:sz w:val="24"/>
              </w:rPr>
              <w:t>□</w:t>
            </w:r>
          </w:p>
        </w:tc>
        <w:tc>
          <w:tcPr>
            <w:tcW w:w="708" w:type="dxa"/>
          </w:tcPr>
          <w:p>
            <w:pPr>
              <w:pStyle w:val="TableParagraph"/>
              <w:spacing w:before="131"/>
              <w:ind w:left="10" w:right="10"/>
              <w:jc w:val="center"/>
              <w:rPr>
                <w:sz w:val="24"/>
              </w:rPr>
            </w:pPr>
            <w:r>
              <w:rPr>
                <w:spacing w:val="-10"/>
                <w:sz w:val="24"/>
              </w:rPr>
              <w:t>□</w:t>
            </w:r>
          </w:p>
        </w:tc>
        <w:tc>
          <w:tcPr>
            <w:tcW w:w="955" w:type="dxa"/>
          </w:tcPr>
          <w:p>
            <w:pPr>
              <w:pStyle w:val="TableParagraph"/>
              <w:spacing w:before="131"/>
              <w:ind w:left="7"/>
              <w:jc w:val="center"/>
              <w:rPr>
                <w:sz w:val="24"/>
              </w:rPr>
            </w:pPr>
            <w:r>
              <w:rPr>
                <w:spacing w:val="-10"/>
                <w:sz w:val="24"/>
              </w:rPr>
              <w:t>□</w:t>
            </w:r>
          </w:p>
        </w:tc>
      </w:tr>
      <w:tr>
        <w:trPr>
          <w:trHeight w:val="551" w:hRule="atLeast"/>
        </w:trPr>
        <w:tc>
          <w:tcPr>
            <w:tcW w:w="3082" w:type="dxa"/>
          </w:tcPr>
          <w:p>
            <w:pPr>
              <w:pStyle w:val="TableParagraph"/>
              <w:spacing w:line="268" w:lineRule="exact"/>
              <w:ind w:left="100"/>
              <w:rPr>
                <w:sz w:val="24"/>
              </w:rPr>
            </w:pPr>
            <w:r>
              <w:rPr>
                <w:sz w:val="24"/>
              </w:rPr>
              <w:t>2.</w:t>
            </w:r>
            <w:r>
              <w:rPr>
                <w:spacing w:val="-3"/>
                <w:sz w:val="24"/>
              </w:rPr>
              <w:t> </w:t>
            </w:r>
            <w:r>
              <w:rPr>
                <w:sz w:val="24"/>
              </w:rPr>
              <w:t>Насколько</w:t>
            </w:r>
            <w:r>
              <w:rPr>
                <w:spacing w:val="-1"/>
                <w:sz w:val="24"/>
              </w:rPr>
              <w:t> </w:t>
            </w:r>
            <w:r>
              <w:rPr>
                <w:sz w:val="24"/>
              </w:rPr>
              <w:t>хорошо</w:t>
            </w:r>
            <w:r>
              <w:rPr>
                <w:spacing w:val="-1"/>
                <w:sz w:val="24"/>
              </w:rPr>
              <w:t> </w:t>
            </w:r>
            <w:r>
              <w:rPr>
                <w:spacing w:val="-5"/>
                <w:sz w:val="24"/>
              </w:rPr>
              <w:t>он</w:t>
            </w:r>
          </w:p>
          <w:p>
            <w:pPr>
              <w:pStyle w:val="TableParagraph"/>
              <w:spacing w:line="264" w:lineRule="exact"/>
              <w:ind w:left="100"/>
              <w:rPr>
                <w:sz w:val="24"/>
              </w:rPr>
            </w:pPr>
            <w:r>
              <w:rPr>
                <w:sz w:val="24"/>
              </w:rPr>
              <w:t>себя</w:t>
            </w:r>
            <w:r>
              <w:rPr>
                <w:spacing w:val="-4"/>
                <w:sz w:val="24"/>
              </w:rPr>
              <w:t> </w:t>
            </w:r>
            <w:r>
              <w:rPr>
                <w:spacing w:val="-2"/>
                <w:sz w:val="24"/>
              </w:rPr>
              <w:t>ведет?</w:t>
            </w:r>
          </w:p>
        </w:tc>
        <w:tc>
          <w:tcPr>
            <w:tcW w:w="1274" w:type="dxa"/>
          </w:tcPr>
          <w:p>
            <w:pPr>
              <w:pStyle w:val="TableParagraph"/>
              <w:spacing w:before="131"/>
              <w:ind w:left="4"/>
              <w:jc w:val="center"/>
              <w:rPr>
                <w:sz w:val="24"/>
              </w:rPr>
            </w:pPr>
            <w:r>
              <w:rPr>
                <w:spacing w:val="-10"/>
                <w:sz w:val="24"/>
              </w:rPr>
              <w:t>□</w:t>
            </w:r>
          </w:p>
        </w:tc>
        <w:tc>
          <w:tcPr>
            <w:tcW w:w="850" w:type="dxa"/>
          </w:tcPr>
          <w:p>
            <w:pPr>
              <w:pStyle w:val="TableParagraph"/>
              <w:spacing w:before="131"/>
              <w:ind w:left="6"/>
              <w:jc w:val="center"/>
              <w:rPr>
                <w:sz w:val="24"/>
              </w:rPr>
            </w:pPr>
            <w:r>
              <w:rPr>
                <w:spacing w:val="-10"/>
                <w:sz w:val="24"/>
              </w:rPr>
              <w:t>□</w:t>
            </w:r>
          </w:p>
        </w:tc>
        <w:tc>
          <w:tcPr>
            <w:tcW w:w="1135" w:type="dxa"/>
          </w:tcPr>
          <w:p>
            <w:pPr>
              <w:pStyle w:val="TableParagraph"/>
              <w:spacing w:before="131"/>
              <w:ind w:left="4"/>
              <w:jc w:val="center"/>
              <w:rPr>
                <w:sz w:val="24"/>
              </w:rPr>
            </w:pPr>
            <w:r>
              <w:rPr>
                <w:spacing w:val="-10"/>
                <w:sz w:val="24"/>
              </w:rPr>
              <w:t>□</w:t>
            </w:r>
          </w:p>
        </w:tc>
        <w:tc>
          <w:tcPr>
            <w:tcW w:w="708" w:type="dxa"/>
          </w:tcPr>
          <w:p>
            <w:pPr>
              <w:pStyle w:val="TableParagraph"/>
              <w:spacing w:before="131"/>
              <w:ind w:left="10" w:right="10"/>
              <w:jc w:val="center"/>
              <w:rPr>
                <w:sz w:val="24"/>
              </w:rPr>
            </w:pPr>
            <w:r>
              <w:rPr>
                <w:spacing w:val="-10"/>
                <w:sz w:val="24"/>
              </w:rPr>
              <w:t>□</w:t>
            </w:r>
          </w:p>
        </w:tc>
        <w:tc>
          <w:tcPr>
            <w:tcW w:w="994" w:type="dxa"/>
          </w:tcPr>
          <w:p>
            <w:pPr>
              <w:pStyle w:val="TableParagraph"/>
              <w:spacing w:before="131"/>
              <w:ind w:left="7" w:right="4"/>
              <w:jc w:val="center"/>
              <w:rPr>
                <w:sz w:val="24"/>
              </w:rPr>
            </w:pPr>
            <w:r>
              <w:rPr>
                <w:spacing w:val="-10"/>
                <w:sz w:val="24"/>
              </w:rPr>
              <w:t>□</w:t>
            </w:r>
          </w:p>
        </w:tc>
        <w:tc>
          <w:tcPr>
            <w:tcW w:w="708" w:type="dxa"/>
          </w:tcPr>
          <w:p>
            <w:pPr>
              <w:pStyle w:val="TableParagraph"/>
              <w:spacing w:before="131"/>
              <w:ind w:left="10" w:right="10"/>
              <w:jc w:val="center"/>
              <w:rPr>
                <w:sz w:val="24"/>
              </w:rPr>
            </w:pPr>
            <w:r>
              <w:rPr>
                <w:spacing w:val="-10"/>
                <w:sz w:val="24"/>
              </w:rPr>
              <w:t>□</w:t>
            </w:r>
          </w:p>
        </w:tc>
        <w:tc>
          <w:tcPr>
            <w:tcW w:w="955" w:type="dxa"/>
          </w:tcPr>
          <w:p>
            <w:pPr>
              <w:pStyle w:val="TableParagraph"/>
              <w:spacing w:before="131"/>
              <w:ind w:left="7"/>
              <w:jc w:val="center"/>
              <w:rPr>
                <w:sz w:val="24"/>
              </w:rPr>
            </w:pPr>
            <w:r>
              <w:rPr>
                <w:spacing w:val="-10"/>
                <w:sz w:val="24"/>
              </w:rPr>
              <w:t>□</w:t>
            </w:r>
          </w:p>
        </w:tc>
      </w:tr>
      <w:tr>
        <w:trPr>
          <w:trHeight w:val="552" w:hRule="atLeast"/>
        </w:trPr>
        <w:tc>
          <w:tcPr>
            <w:tcW w:w="3082" w:type="dxa"/>
          </w:tcPr>
          <w:p>
            <w:pPr>
              <w:pStyle w:val="TableParagraph"/>
              <w:spacing w:line="268" w:lineRule="exact"/>
              <w:ind w:left="100"/>
              <w:rPr>
                <w:sz w:val="24"/>
              </w:rPr>
            </w:pPr>
            <w:r>
              <w:rPr>
                <w:sz w:val="24"/>
              </w:rPr>
              <w:t>3.</w:t>
            </w:r>
            <w:r>
              <w:rPr>
                <w:spacing w:val="-1"/>
                <w:sz w:val="24"/>
              </w:rPr>
              <w:t> </w:t>
            </w:r>
            <w:r>
              <w:rPr>
                <w:sz w:val="24"/>
              </w:rPr>
              <w:t>Как хорошо</w:t>
            </w:r>
            <w:r>
              <w:rPr>
                <w:spacing w:val="-1"/>
                <w:sz w:val="24"/>
              </w:rPr>
              <w:t> </w:t>
            </w:r>
            <w:r>
              <w:rPr>
                <w:sz w:val="24"/>
              </w:rPr>
              <w:t>он</w:t>
            </w:r>
            <w:r>
              <w:rPr>
                <w:spacing w:val="3"/>
                <w:sz w:val="24"/>
              </w:rPr>
              <w:t> </w:t>
            </w:r>
            <w:r>
              <w:rPr>
                <w:spacing w:val="-2"/>
                <w:sz w:val="24"/>
              </w:rPr>
              <w:t>усваивает</w:t>
            </w:r>
          </w:p>
          <w:p>
            <w:pPr>
              <w:pStyle w:val="TableParagraph"/>
              <w:spacing w:line="264" w:lineRule="exact"/>
              <w:ind w:left="100"/>
              <w:rPr>
                <w:sz w:val="24"/>
              </w:rPr>
            </w:pPr>
            <w:r>
              <w:rPr>
                <w:spacing w:val="-2"/>
                <w:sz w:val="24"/>
              </w:rPr>
              <w:t>материал?</w:t>
            </w:r>
          </w:p>
        </w:tc>
        <w:tc>
          <w:tcPr>
            <w:tcW w:w="1274" w:type="dxa"/>
          </w:tcPr>
          <w:p>
            <w:pPr>
              <w:pStyle w:val="TableParagraph"/>
              <w:spacing w:before="131"/>
              <w:ind w:left="4"/>
              <w:jc w:val="center"/>
              <w:rPr>
                <w:sz w:val="24"/>
              </w:rPr>
            </w:pPr>
            <w:r>
              <w:rPr>
                <w:spacing w:val="-10"/>
                <w:sz w:val="24"/>
              </w:rPr>
              <w:t>□</w:t>
            </w:r>
          </w:p>
        </w:tc>
        <w:tc>
          <w:tcPr>
            <w:tcW w:w="850" w:type="dxa"/>
          </w:tcPr>
          <w:p>
            <w:pPr>
              <w:pStyle w:val="TableParagraph"/>
              <w:spacing w:before="131"/>
              <w:ind w:left="6"/>
              <w:jc w:val="center"/>
              <w:rPr>
                <w:sz w:val="24"/>
              </w:rPr>
            </w:pPr>
            <w:r>
              <w:rPr>
                <w:spacing w:val="-10"/>
                <w:sz w:val="24"/>
              </w:rPr>
              <w:t>□</w:t>
            </w:r>
          </w:p>
        </w:tc>
        <w:tc>
          <w:tcPr>
            <w:tcW w:w="1135" w:type="dxa"/>
          </w:tcPr>
          <w:p>
            <w:pPr>
              <w:pStyle w:val="TableParagraph"/>
              <w:spacing w:before="131"/>
              <w:ind w:left="4"/>
              <w:jc w:val="center"/>
              <w:rPr>
                <w:sz w:val="24"/>
              </w:rPr>
            </w:pPr>
            <w:r>
              <w:rPr>
                <w:spacing w:val="-10"/>
                <w:sz w:val="24"/>
              </w:rPr>
              <w:t>□</w:t>
            </w:r>
          </w:p>
        </w:tc>
        <w:tc>
          <w:tcPr>
            <w:tcW w:w="708" w:type="dxa"/>
          </w:tcPr>
          <w:p>
            <w:pPr>
              <w:pStyle w:val="TableParagraph"/>
              <w:spacing w:before="131"/>
              <w:ind w:left="10" w:right="10"/>
              <w:jc w:val="center"/>
              <w:rPr>
                <w:sz w:val="24"/>
              </w:rPr>
            </w:pPr>
            <w:r>
              <w:rPr>
                <w:spacing w:val="-10"/>
                <w:sz w:val="24"/>
              </w:rPr>
              <w:t>□</w:t>
            </w:r>
          </w:p>
        </w:tc>
        <w:tc>
          <w:tcPr>
            <w:tcW w:w="994" w:type="dxa"/>
          </w:tcPr>
          <w:p>
            <w:pPr>
              <w:pStyle w:val="TableParagraph"/>
              <w:spacing w:before="131"/>
              <w:ind w:left="7" w:right="4"/>
              <w:jc w:val="center"/>
              <w:rPr>
                <w:sz w:val="24"/>
              </w:rPr>
            </w:pPr>
            <w:r>
              <w:rPr>
                <w:spacing w:val="-10"/>
                <w:sz w:val="24"/>
              </w:rPr>
              <w:t>□</w:t>
            </w:r>
          </w:p>
        </w:tc>
        <w:tc>
          <w:tcPr>
            <w:tcW w:w="708" w:type="dxa"/>
          </w:tcPr>
          <w:p>
            <w:pPr>
              <w:pStyle w:val="TableParagraph"/>
              <w:spacing w:before="131"/>
              <w:ind w:left="10" w:right="10"/>
              <w:jc w:val="center"/>
              <w:rPr>
                <w:sz w:val="24"/>
              </w:rPr>
            </w:pPr>
            <w:r>
              <w:rPr>
                <w:spacing w:val="-10"/>
                <w:sz w:val="24"/>
              </w:rPr>
              <w:t>□</w:t>
            </w:r>
          </w:p>
        </w:tc>
        <w:tc>
          <w:tcPr>
            <w:tcW w:w="955" w:type="dxa"/>
          </w:tcPr>
          <w:p>
            <w:pPr>
              <w:pStyle w:val="TableParagraph"/>
              <w:spacing w:before="131"/>
              <w:ind w:left="7"/>
              <w:jc w:val="center"/>
              <w:rPr>
                <w:sz w:val="24"/>
              </w:rPr>
            </w:pPr>
            <w:r>
              <w:rPr>
                <w:spacing w:val="-10"/>
                <w:sz w:val="24"/>
              </w:rPr>
              <w:t>□</w:t>
            </w:r>
          </w:p>
        </w:tc>
      </w:tr>
      <w:tr>
        <w:trPr>
          <w:trHeight w:val="563" w:hRule="atLeast"/>
        </w:trPr>
        <w:tc>
          <w:tcPr>
            <w:tcW w:w="3082" w:type="dxa"/>
          </w:tcPr>
          <w:p>
            <w:pPr>
              <w:pStyle w:val="TableParagraph"/>
              <w:spacing w:before="135"/>
              <w:ind w:left="100"/>
              <w:rPr>
                <w:sz w:val="24"/>
              </w:rPr>
            </w:pPr>
            <w:r>
              <w:rPr>
                <w:sz w:val="24"/>
              </w:rPr>
              <w:t>4.</w:t>
            </w:r>
            <w:r>
              <w:rPr>
                <w:spacing w:val="-2"/>
                <w:sz w:val="24"/>
              </w:rPr>
              <w:t> </w:t>
            </w:r>
            <w:r>
              <w:rPr>
                <w:sz w:val="24"/>
              </w:rPr>
              <w:t>Насколько</w:t>
            </w:r>
            <w:r>
              <w:rPr>
                <w:spacing w:val="-2"/>
                <w:sz w:val="24"/>
              </w:rPr>
              <w:t> </w:t>
            </w:r>
            <w:r>
              <w:rPr>
                <w:sz w:val="24"/>
              </w:rPr>
              <w:t>он</w:t>
            </w:r>
            <w:r>
              <w:rPr>
                <w:spacing w:val="-2"/>
                <w:sz w:val="24"/>
              </w:rPr>
              <w:t> счастлив?</w:t>
            </w:r>
          </w:p>
        </w:tc>
        <w:tc>
          <w:tcPr>
            <w:tcW w:w="1274" w:type="dxa"/>
          </w:tcPr>
          <w:p>
            <w:pPr>
              <w:pStyle w:val="TableParagraph"/>
              <w:spacing w:before="135"/>
              <w:ind w:left="4"/>
              <w:jc w:val="center"/>
              <w:rPr>
                <w:sz w:val="24"/>
              </w:rPr>
            </w:pPr>
            <w:r>
              <w:rPr>
                <w:spacing w:val="-10"/>
                <w:sz w:val="24"/>
              </w:rPr>
              <w:t>□</w:t>
            </w:r>
          </w:p>
        </w:tc>
        <w:tc>
          <w:tcPr>
            <w:tcW w:w="850" w:type="dxa"/>
          </w:tcPr>
          <w:p>
            <w:pPr>
              <w:pStyle w:val="TableParagraph"/>
              <w:spacing w:before="135"/>
              <w:ind w:left="6"/>
              <w:jc w:val="center"/>
              <w:rPr>
                <w:sz w:val="24"/>
              </w:rPr>
            </w:pPr>
            <w:r>
              <w:rPr>
                <w:spacing w:val="-10"/>
                <w:sz w:val="24"/>
              </w:rPr>
              <w:t>□</w:t>
            </w:r>
          </w:p>
        </w:tc>
        <w:tc>
          <w:tcPr>
            <w:tcW w:w="1135" w:type="dxa"/>
          </w:tcPr>
          <w:p>
            <w:pPr>
              <w:pStyle w:val="TableParagraph"/>
              <w:spacing w:before="135"/>
              <w:ind w:left="4"/>
              <w:jc w:val="center"/>
              <w:rPr>
                <w:sz w:val="24"/>
              </w:rPr>
            </w:pPr>
            <w:r>
              <w:rPr>
                <w:spacing w:val="-10"/>
                <w:sz w:val="24"/>
              </w:rPr>
              <w:t>□</w:t>
            </w:r>
          </w:p>
        </w:tc>
        <w:tc>
          <w:tcPr>
            <w:tcW w:w="708" w:type="dxa"/>
          </w:tcPr>
          <w:p>
            <w:pPr>
              <w:pStyle w:val="TableParagraph"/>
              <w:spacing w:before="135"/>
              <w:ind w:left="10" w:right="10"/>
              <w:jc w:val="center"/>
              <w:rPr>
                <w:sz w:val="24"/>
              </w:rPr>
            </w:pPr>
            <w:r>
              <w:rPr>
                <w:spacing w:val="-10"/>
                <w:sz w:val="24"/>
              </w:rPr>
              <w:t>□</w:t>
            </w:r>
          </w:p>
        </w:tc>
        <w:tc>
          <w:tcPr>
            <w:tcW w:w="994" w:type="dxa"/>
          </w:tcPr>
          <w:p>
            <w:pPr>
              <w:pStyle w:val="TableParagraph"/>
              <w:spacing w:before="135"/>
              <w:ind w:left="7" w:right="4"/>
              <w:jc w:val="center"/>
              <w:rPr>
                <w:sz w:val="24"/>
              </w:rPr>
            </w:pPr>
            <w:r>
              <w:rPr>
                <w:spacing w:val="-10"/>
                <w:sz w:val="24"/>
              </w:rPr>
              <w:t>□</w:t>
            </w:r>
          </w:p>
        </w:tc>
        <w:tc>
          <w:tcPr>
            <w:tcW w:w="708" w:type="dxa"/>
          </w:tcPr>
          <w:p>
            <w:pPr>
              <w:pStyle w:val="TableParagraph"/>
              <w:spacing w:before="135"/>
              <w:ind w:left="10" w:right="10"/>
              <w:jc w:val="center"/>
              <w:rPr>
                <w:sz w:val="24"/>
              </w:rPr>
            </w:pPr>
            <w:r>
              <w:rPr>
                <w:spacing w:val="-10"/>
                <w:sz w:val="24"/>
              </w:rPr>
              <w:t>□</w:t>
            </w:r>
          </w:p>
        </w:tc>
        <w:tc>
          <w:tcPr>
            <w:tcW w:w="955" w:type="dxa"/>
          </w:tcPr>
          <w:p>
            <w:pPr>
              <w:pStyle w:val="TableParagraph"/>
              <w:spacing w:before="135"/>
              <w:ind w:left="7"/>
              <w:jc w:val="center"/>
              <w:rPr>
                <w:sz w:val="24"/>
              </w:rPr>
            </w:pPr>
            <w:r>
              <w:rPr>
                <w:spacing w:val="-10"/>
                <w:sz w:val="24"/>
              </w:rPr>
              <w:t>□</w:t>
            </w:r>
          </w:p>
        </w:tc>
      </w:tr>
    </w:tbl>
    <w:p>
      <w:pPr>
        <w:numPr>
          <w:ilvl w:val="0"/>
          <w:numId w:val="20"/>
        </w:numPr>
        <w:tabs>
          <w:tab w:pos="655" w:val="left" w:leader="none"/>
        </w:tabs>
        <w:spacing w:line="242" w:lineRule="auto" w:before="270"/>
        <w:ind w:left="285" w:right="818" w:firstLine="0"/>
        <w:jc w:val="left"/>
        <w:rPr>
          <w:sz w:val="24"/>
        </w:rPr>
      </w:pPr>
      <w:r>
        <w:rPr>
          <w:sz w:val="24"/>
        </w:rPr>
        <mc:AlternateContent>
          <mc:Choice Requires="wps">
            <w:drawing>
              <wp:anchor distT="0" distB="0" distL="0" distR="0" allowOverlap="1" layoutInCell="1" locked="0" behindDoc="1" simplePos="0" relativeHeight="487595520">
                <wp:simplePos x="0" y="0"/>
                <wp:positionH relativeFrom="page">
                  <wp:posOffset>1062532</wp:posOffset>
                </wp:positionH>
                <wp:positionV relativeFrom="paragraph">
                  <wp:posOffset>552958</wp:posOffset>
                </wp:positionV>
                <wp:extent cx="5978525" cy="1270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5978525" cy="12700"/>
                        </a:xfrm>
                        <a:custGeom>
                          <a:avLst/>
                          <a:gdLst/>
                          <a:ahLst/>
                          <a:cxnLst/>
                          <a:rect l="l" t="t" r="r" b="b"/>
                          <a:pathLst>
                            <a:path w="5978525" h="12700">
                              <a:moveTo>
                                <a:pt x="5978017" y="0"/>
                              </a:moveTo>
                              <a:lnTo>
                                <a:pt x="0" y="0"/>
                              </a:lnTo>
                              <a:lnTo>
                                <a:pt x="0" y="12191"/>
                              </a:lnTo>
                              <a:lnTo>
                                <a:pt x="5978017" y="12191"/>
                              </a:lnTo>
                              <a:lnTo>
                                <a:pt x="59780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664001pt;margin-top:43.540016pt;width:470.71pt;height:.95999pt;mso-position-horizontal-relative:page;mso-position-vertical-relative:paragraph;z-index:-15720960;mso-wrap-distance-left:0;mso-wrap-distance-right:0" id="docshape20" filled="true" fillcolor="#000000" stroked="false">
                <v:fill type="solid"/>
                <w10:wrap type="topAndBottom"/>
              </v:rect>
            </w:pict>
          </mc:Fallback>
        </mc:AlternateContent>
      </w:r>
      <w:r>
        <w:rPr>
          <w:sz w:val="24"/>
        </w:rPr>
        <mc:AlternateContent>
          <mc:Choice Requires="wps">
            <w:drawing>
              <wp:anchor distT="0" distB="0" distL="0" distR="0" allowOverlap="1" layoutInCell="1" locked="0" behindDoc="1" simplePos="0" relativeHeight="487596032">
                <wp:simplePos x="0" y="0"/>
                <wp:positionH relativeFrom="page">
                  <wp:posOffset>1080820</wp:posOffset>
                </wp:positionH>
                <wp:positionV relativeFrom="paragraph">
                  <wp:posOffset>732135</wp:posOffset>
                </wp:positionV>
                <wp:extent cx="5867400" cy="127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5867400" cy="1270"/>
                        </a:xfrm>
                        <a:custGeom>
                          <a:avLst/>
                          <a:gdLst/>
                          <a:ahLst/>
                          <a:cxnLst/>
                          <a:rect l="l" t="t" r="r" b="b"/>
                          <a:pathLst>
                            <a:path w="5867400" h="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103996pt;margin-top:57.648434pt;width:462pt;height:.1pt;mso-position-horizontal-relative:page;mso-position-vertical-relative:paragraph;z-index:-15720448;mso-wrap-distance-left:0;mso-wrap-distance-right:0" id="docshape21" coordorigin="1702,1153" coordsize="9240,0" path="m1702,1153l10942,1153e" filled="false" stroked="true" strokeweight=".487125pt" strokecolor="#000000">
                <v:path arrowok="t"/>
                <v:stroke dashstyle="solid"/>
                <w10:wrap type="topAndBottom"/>
              </v:shape>
            </w:pict>
          </mc:Fallback>
        </mc:AlternateContent>
      </w:r>
      <w:r>
        <w:rPr>
          <w:sz w:val="24"/>
        </w:rPr>
        <mc:AlternateContent>
          <mc:Choice Requires="wps">
            <w:drawing>
              <wp:anchor distT="0" distB="0" distL="0" distR="0" allowOverlap="1" layoutInCell="1" locked="0" behindDoc="1" simplePos="0" relativeHeight="487596544">
                <wp:simplePos x="0" y="0"/>
                <wp:positionH relativeFrom="page">
                  <wp:posOffset>1080820</wp:posOffset>
                </wp:positionH>
                <wp:positionV relativeFrom="paragraph">
                  <wp:posOffset>907395</wp:posOffset>
                </wp:positionV>
                <wp:extent cx="5867400"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5867400" cy="1270"/>
                        </a:xfrm>
                        <a:custGeom>
                          <a:avLst/>
                          <a:gdLst/>
                          <a:ahLst/>
                          <a:cxnLst/>
                          <a:rect l="l" t="t" r="r" b="b"/>
                          <a:pathLst>
                            <a:path w="5867400" h="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103996pt;margin-top:71.448448pt;width:462pt;height:.1pt;mso-position-horizontal-relative:page;mso-position-vertical-relative:paragraph;z-index:-15719936;mso-wrap-distance-left:0;mso-wrap-distance-right:0" id="docshape22" coordorigin="1702,1429" coordsize="9240,0" path="m1702,1429l10942,1429e" filled="false" stroked="true" strokeweight=".487125pt" strokecolor="#000000">
                <v:path arrowok="t"/>
                <v:stroke dashstyle="solid"/>
                <w10:wrap type="topAndBottom"/>
              </v:shape>
            </w:pict>
          </mc:Fallback>
        </mc:AlternateContent>
      </w:r>
      <w:r>
        <w:rPr>
          <w:sz w:val="24"/>
        </w:rPr>
        <mc:AlternateContent>
          <mc:Choice Requires="wps">
            <w:drawing>
              <wp:anchor distT="0" distB="0" distL="0" distR="0" allowOverlap="1" layoutInCell="1" locked="0" behindDoc="1" simplePos="0" relativeHeight="487597056">
                <wp:simplePos x="0" y="0"/>
                <wp:positionH relativeFrom="page">
                  <wp:posOffset>1080820</wp:posOffset>
                </wp:positionH>
                <wp:positionV relativeFrom="paragraph">
                  <wp:posOffset>1082655</wp:posOffset>
                </wp:positionV>
                <wp:extent cx="5868035" cy="127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5868035" cy="1270"/>
                        </a:xfrm>
                        <a:custGeom>
                          <a:avLst/>
                          <a:gdLst/>
                          <a:ahLst/>
                          <a:cxnLst/>
                          <a:rect l="l" t="t" r="r" b="b"/>
                          <a:pathLst>
                            <a:path w="5868035" h="0">
                              <a:moveTo>
                                <a:pt x="0" y="0"/>
                              </a:moveTo>
                              <a:lnTo>
                                <a:pt x="586798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103996pt;margin-top:85.248436pt;width:462.05pt;height:.1pt;mso-position-horizontal-relative:page;mso-position-vertical-relative:paragraph;z-index:-15719424;mso-wrap-distance-left:0;mso-wrap-distance-right:0" id="docshape23" coordorigin="1702,1705" coordsize="9241,0" path="m1702,1705l10943,1705e" filled="false" stroked="true" strokeweight=".487125pt" strokecolor="#000000">
                <v:path arrowok="t"/>
                <v:stroke dashstyle="solid"/>
                <w10:wrap type="topAndBottom"/>
              </v:shape>
            </w:pict>
          </mc:Fallback>
        </mc:AlternateContent>
      </w:r>
      <w:r>
        <w:rPr>
          <w:sz w:val="24"/>
        </w:rPr>
        <mc:AlternateContent>
          <mc:Choice Requires="wps">
            <w:drawing>
              <wp:anchor distT="0" distB="0" distL="0" distR="0" allowOverlap="1" layoutInCell="1" locked="0" behindDoc="1" simplePos="0" relativeHeight="487597568">
                <wp:simplePos x="0" y="0"/>
                <wp:positionH relativeFrom="page">
                  <wp:posOffset>1080820</wp:posOffset>
                </wp:positionH>
                <wp:positionV relativeFrom="paragraph">
                  <wp:posOffset>1257915</wp:posOffset>
                </wp:positionV>
                <wp:extent cx="5867400" cy="127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5867400" cy="1270"/>
                        </a:xfrm>
                        <a:custGeom>
                          <a:avLst/>
                          <a:gdLst/>
                          <a:ahLst/>
                          <a:cxnLst/>
                          <a:rect l="l" t="t" r="r" b="b"/>
                          <a:pathLst>
                            <a:path w="5867400" h="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103996pt;margin-top:99.048454pt;width:462pt;height:.1pt;mso-position-horizontal-relative:page;mso-position-vertical-relative:paragraph;z-index:-15718912;mso-wrap-distance-left:0;mso-wrap-distance-right:0" id="docshape24" coordorigin="1702,1981" coordsize="9240,0" path="m1702,1981l10942,1981e" filled="false" stroked="true" strokeweight=".487125pt" strokecolor="#000000">
                <v:path arrowok="t"/>
                <v:stroke dashstyle="solid"/>
                <w10:wrap type="topAndBottom"/>
              </v:shape>
            </w:pict>
          </mc:Fallback>
        </mc:AlternateContent>
      </w:r>
      <w:r>
        <w:rPr>
          <w:sz w:val="24"/>
        </w:rPr>
        <mc:AlternateContent>
          <mc:Choice Requires="wps">
            <w:drawing>
              <wp:anchor distT="0" distB="0" distL="0" distR="0" allowOverlap="1" layoutInCell="1" locked="0" behindDoc="1" simplePos="0" relativeHeight="487598080">
                <wp:simplePos x="0" y="0"/>
                <wp:positionH relativeFrom="page">
                  <wp:posOffset>1080820</wp:posOffset>
                </wp:positionH>
                <wp:positionV relativeFrom="paragraph">
                  <wp:posOffset>1433429</wp:posOffset>
                </wp:positionV>
                <wp:extent cx="5867400" cy="127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5867400" cy="1270"/>
                        </a:xfrm>
                        <a:custGeom>
                          <a:avLst/>
                          <a:gdLst/>
                          <a:ahLst/>
                          <a:cxnLst/>
                          <a:rect l="l" t="t" r="r" b="b"/>
                          <a:pathLst>
                            <a:path w="5867400" h="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103996pt;margin-top:112.868431pt;width:462pt;height:.1pt;mso-position-horizontal-relative:page;mso-position-vertical-relative:paragraph;z-index:-15718400;mso-wrap-distance-left:0;mso-wrap-distance-right:0" id="docshape25" coordorigin="1702,2257" coordsize="9240,0" path="m1702,2257l10942,2257e" filled="false" stroked="true" strokeweight=".487125pt" strokecolor="#000000">
                <v:path arrowok="t"/>
                <v:stroke dashstyle="solid"/>
                <w10:wrap type="topAndBottom"/>
              </v:shape>
            </w:pict>
          </mc:Fallback>
        </mc:AlternateContent>
      </w:r>
      <w:r>
        <w:rPr>
          <w:sz w:val="24"/>
        </w:rPr>
        <mc:AlternateContent>
          <mc:Choice Requires="wps">
            <w:drawing>
              <wp:anchor distT="0" distB="0" distL="0" distR="0" allowOverlap="1" layoutInCell="1" locked="0" behindDoc="1" simplePos="0" relativeHeight="487598592">
                <wp:simplePos x="0" y="0"/>
                <wp:positionH relativeFrom="page">
                  <wp:posOffset>1080820</wp:posOffset>
                </wp:positionH>
                <wp:positionV relativeFrom="paragraph">
                  <wp:posOffset>1608689</wp:posOffset>
                </wp:positionV>
                <wp:extent cx="5867400" cy="127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5867400" cy="1270"/>
                        </a:xfrm>
                        <a:custGeom>
                          <a:avLst/>
                          <a:gdLst/>
                          <a:ahLst/>
                          <a:cxnLst/>
                          <a:rect l="l" t="t" r="r" b="b"/>
                          <a:pathLst>
                            <a:path w="5867400" h="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103996pt;margin-top:126.668449pt;width:462pt;height:.1pt;mso-position-horizontal-relative:page;mso-position-vertical-relative:paragraph;z-index:-15717888;mso-wrap-distance-left:0;mso-wrap-distance-right:0" id="docshape26" coordorigin="1702,2533" coordsize="9240,0" path="m1702,2533l10942,2533e" filled="false" stroked="true" strokeweight=".487125pt" strokecolor="#000000">
                <v:path arrowok="t"/>
                <v:stroke dashstyle="solid"/>
                <w10:wrap type="topAndBottom"/>
              </v:shape>
            </w:pict>
          </mc:Fallback>
        </mc:AlternateContent>
      </w:r>
      <w:r>
        <w:rPr>
          <w:sz w:val="24"/>
        </w:rPr>
        <w:t>Комментарии</w:t>
      </w:r>
      <w:r>
        <w:rPr>
          <w:spacing w:val="-4"/>
          <w:sz w:val="24"/>
        </w:rPr>
        <w:t> </w:t>
      </w:r>
      <w:r>
        <w:rPr>
          <w:sz w:val="24"/>
        </w:rPr>
        <w:t>(пожалуйста,</w:t>
      </w:r>
      <w:r>
        <w:rPr>
          <w:spacing w:val="-4"/>
          <w:sz w:val="24"/>
        </w:rPr>
        <w:t> </w:t>
      </w:r>
      <w:r>
        <w:rPr>
          <w:sz w:val="24"/>
        </w:rPr>
        <w:t>напишите</w:t>
      </w:r>
      <w:r>
        <w:rPr>
          <w:spacing w:val="-4"/>
          <w:sz w:val="24"/>
        </w:rPr>
        <w:t> </w:t>
      </w:r>
      <w:r>
        <w:rPr>
          <w:sz w:val="24"/>
        </w:rPr>
        <w:t>все,</w:t>
      </w:r>
      <w:r>
        <w:rPr>
          <w:spacing w:val="-4"/>
          <w:sz w:val="24"/>
        </w:rPr>
        <w:t> </w:t>
      </w:r>
      <w:r>
        <w:rPr>
          <w:sz w:val="24"/>
        </w:rPr>
        <w:t>что</w:t>
      </w:r>
      <w:r>
        <w:rPr>
          <w:spacing w:val="-4"/>
          <w:sz w:val="24"/>
        </w:rPr>
        <w:t> </w:t>
      </w:r>
      <w:r>
        <w:rPr>
          <w:sz w:val="24"/>
        </w:rPr>
        <w:t>Вы</w:t>
      </w:r>
      <w:r>
        <w:rPr>
          <w:spacing w:val="-4"/>
          <w:sz w:val="24"/>
        </w:rPr>
        <w:t> </w:t>
      </w:r>
      <w:r>
        <w:rPr>
          <w:sz w:val="24"/>
        </w:rPr>
        <w:t>считаете</w:t>
      </w:r>
      <w:r>
        <w:rPr>
          <w:spacing w:val="-1"/>
          <w:sz w:val="24"/>
        </w:rPr>
        <w:t> </w:t>
      </w:r>
      <w:r>
        <w:rPr>
          <w:sz w:val="24"/>
        </w:rPr>
        <w:t>необходимым</w:t>
      </w:r>
      <w:r>
        <w:rPr>
          <w:spacing w:val="-6"/>
          <w:sz w:val="24"/>
        </w:rPr>
        <w:t> </w:t>
      </w:r>
      <w:r>
        <w:rPr>
          <w:sz w:val="24"/>
        </w:rPr>
        <w:t>отметить</w:t>
      </w:r>
      <w:r>
        <w:rPr>
          <w:spacing w:val="-3"/>
          <w:sz w:val="24"/>
        </w:rPr>
        <w:t> </w:t>
      </w:r>
      <w:r>
        <w:rPr>
          <w:sz w:val="24"/>
        </w:rPr>
        <w:t>в отношении этого ученика)</w:t>
      </w:r>
    </w:p>
    <w:p>
      <w:pPr>
        <w:pStyle w:val="BodyText"/>
        <w:spacing w:before="8"/>
        <w:ind w:left="0" w:right="0" w:firstLine="0"/>
        <w:jc w:val="left"/>
      </w:pPr>
    </w:p>
    <w:p>
      <w:pPr>
        <w:pStyle w:val="BodyText"/>
        <w:spacing w:before="17"/>
        <w:ind w:left="0" w:right="0" w:firstLine="0"/>
        <w:jc w:val="left"/>
      </w:pPr>
    </w:p>
    <w:p>
      <w:pPr>
        <w:pStyle w:val="BodyText"/>
        <w:spacing w:before="17"/>
        <w:ind w:left="0" w:right="0" w:firstLine="0"/>
        <w:jc w:val="left"/>
      </w:pPr>
    </w:p>
    <w:p>
      <w:pPr>
        <w:pStyle w:val="BodyText"/>
        <w:spacing w:before="17"/>
        <w:ind w:left="0" w:right="0" w:firstLine="0"/>
        <w:jc w:val="left"/>
      </w:pPr>
    </w:p>
    <w:p>
      <w:pPr>
        <w:pStyle w:val="BodyText"/>
        <w:spacing w:before="17"/>
        <w:ind w:left="0" w:right="0" w:firstLine="0"/>
        <w:jc w:val="left"/>
      </w:pPr>
    </w:p>
    <w:p>
      <w:pPr>
        <w:pStyle w:val="BodyText"/>
        <w:spacing w:before="17"/>
        <w:ind w:left="0" w:right="0" w:firstLine="0"/>
        <w:jc w:val="left"/>
      </w:pPr>
    </w:p>
    <w:p>
      <w:pPr>
        <w:pStyle w:val="BodyText"/>
        <w:ind w:left="0" w:right="0" w:firstLine="0"/>
        <w:jc w:val="left"/>
        <w:rPr>
          <w:sz w:val="24"/>
        </w:rPr>
      </w:pPr>
    </w:p>
    <w:p>
      <w:pPr>
        <w:pStyle w:val="BodyText"/>
        <w:ind w:left="0" w:right="0" w:firstLine="0"/>
        <w:jc w:val="left"/>
        <w:rPr>
          <w:sz w:val="24"/>
        </w:rPr>
      </w:pPr>
    </w:p>
    <w:p>
      <w:pPr>
        <w:pStyle w:val="BodyText"/>
        <w:ind w:left="0" w:right="0" w:firstLine="0"/>
        <w:jc w:val="left"/>
        <w:rPr>
          <w:sz w:val="24"/>
        </w:rPr>
      </w:pPr>
    </w:p>
    <w:p>
      <w:pPr>
        <w:pStyle w:val="BodyText"/>
        <w:spacing w:before="168"/>
        <w:ind w:left="0" w:right="0" w:firstLine="0"/>
        <w:jc w:val="left"/>
        <w:rPr>
          <w:sz w:val="24"/>
        </w:rPr>
      </w:pPr>
    </w:p>
    <w:p>
      <w:pPr>
        <w:spacing w:before="0"/>
        <w:ind w:left="285" w:right="0" w:firstLine="0"/>
        <w:jc w:val="both"/>
        <w:rPr>
          <w:i/>
          <w:sz w:val="24"/>
        </w:rPr>
      </w:pPr>
      <w:r>
        <w:rPr>
          <w:i/>
          <w:sz w:val="24"/>
        </w:rPr>
        <w:t>Ниже</w:t>
      </w:r>
      <w:r>
        <w:rPr>
          <w:i/>
          <w:spacing w:val="-5"/>
          <w:sz w:val="24"/>
        </w:rPr>
        <w:t> </w:t>
      </w:r>
      <w:r>
        <w:rPr>
          <w:i/>
          <w:sz w:val="24"/>
        </w:rPr>
        <w:t>следует</w:t>
      </w:r>
      <w:r>
        <w:rPr>
          <w:i/>
          <w:spacing w:val="-3"/>
          <w:sz w:val="24"/>
        </w:rPr>
        <w:t> </w:t>
      </w:r>
      <w:r>
        <w:rPr>
          <w:i/>
          <w:sz w:val="24"/>
        </w:rPr>
        <w:t>список</w:t>
      </w:r>
      <w:r>
        <w:rPr>
          <w:i/>
          <w:spacing w:val="-1"/>
          <w:sz w:val="24"/>
        </w:rPr>
        <w:t> </w:t>
      </w:r>
      <w:r>
        <w:rPr>
          <w:i/>
          <w:sz w:val="24"/>
        </w:rPr>
        <w:t>утверждений,</w:t>
      </w:r>
      <w:r>
        <w:rPr>
          <w:i/>
          <w:spacing w:val="-2"/>
          <w:sz w:val="24"/>
        </w:rPr>
        <w:t> </w:t>
      </w:r>
      <w:r>
        <w:rPr>
          <w:i/>
          <w:sz w:val="24"/>
        </w:rPr>
        <w:t>описывающих</w:t>
      </w:r>
      <w:r>
        <w:rPr>
          <w:i/>
          <w:spacing w:val="-4"/>
          <w:sz w:val="24"/>
        </w:rPr>
        <w:t> </w:t>
      </w:r>
      <w:r>
        <w:rPr>
          <w:i/>
          <w:sz w:val="24"/>
        </w:rPr>
        <w:t>поведение</w:t>
      </w:r>
      <w:r>
        <w:rPr>
          <w:i/>
          <w:spacing w:val="-3"/>
          <w:sz w:val="24"/>
        </w:rPr>
        <w:t> </w:t>
      </w:r>
      <w:r>
        <w:rPr>
          <w:i/>
          <w:sz w:val="24"/>
        </w:rPr>
        <w:t>детей</w:t>
      </w:r>
      <w:r>
        <w:rPr>
          <w:i/>
          <w:spacing w:val="-1"/>
          <w:sz w:val="24"/>
        </w:rPr>
        <w:t> </w:t>
      </w:r>
      <w:r>
        <w:rPr>
          <w:i/>
          <w:sz w:val="24"/>
        </w:rPr>
        <w:t>и</w:t>
      </w:r>
      <w:r>
        <w:rPr>
          <w:i/>
          <w:spacing w:val="-2"/>
          <w:sz w:val="24"/>
        </w:rPr>
        <w:t> </w:t>
      </w:r>
      <w:r>
        <w:rPr>
          <w:i/>
          <w:sz w:val="24"/>
        </w:rPr>
        <w:t>подростков.</w:t>
      </w:r>
      <w:r>
        <w:rPr>
          <w:i/>
          <w:spacing w:val="-2"/>
          <w:sz w:val="24"/>
        </w:rPr>
        <w:t> </w:t>
      </w:r>
      <w:r>
        <w:rPr>
          <w:i/>
          <w:spacing w:val="-4"/>
          <w:sz w:val="24"/>
        </w:rPr>
        <w:t>Если</w:t>
      </w:r>
    </w:p>
    <w:p>
      <w:pPr>
        <w:spacing w:before="0"/>
        <w:ind w:left="285" w:right="567" w:firstLine="0"/>
        <w:jc w:val="both"/>
        <w:rPr>
          <w:i/>
          <w:sz w:val="24"/>
        </w:rPr>
      </w:pPr>
      <w:r>
        <w:rPr>
          <w:i/>
          <w:sz w:val="24"/>
        </w:rPr>
        <w:t>пункт</w:t>
      </w:r>
      <w:r>
        <w:rPr>
          <w:i/>
          <w:spacing w:val="-15"/>
          <w:sz w:val="24"/>
        </w:rPr>
        <w:t> </w:t>
      </w:r>
      <w:r>
        <w:rPr>
          <w:i/>
          <w:sz w:val="24"/>
        </w:rPr>
        <w:t>из</w:t>
      </w:r>
      <w:r>
        <w:rPr>
          <w:i/>
          <w:spacing w:val="-15"/>
          <w:sz w:val="24"/>
        </w:rPr>
        <w:t> </w:t>
      </w:r>
      <w:r>
        <w:rPr>
          <w:i/>
          <w:sz w:val="24"/>
        </w:rPr>
        <w:t>списка</w:t>
      </w:r>
      <w:r>
        <w:rPr>
          <w:i/>
          <w:spacing w:val="-15"/>
          <w:sz w:val="24"/>
        </w:rPr>
        <w:t> </w:t>
      </w:r>
      <w:r>
        <w:rPr>
          <w:i/>
          <w:sz w:val="24"/>
        </w:rPr>
        <w:t>соответствует</w:t>
      </w:r>
      <w:r>
        <w:rPr>
          <w:i/>
          <w:spacing w:val="-15"/>
          <w:sz w:val="24"/>
        </w:rPr>
        <w:t> </w:t>
      </w:r>
      <w:r>
        <w:rPr>
          <w:i/>
          <w:sz w:val="24"/>
        </w:rPr>
        <w:t>поведению</w:t>
      </w:r>
      <w:r>
        <w:rPr>
          <w:i/>
          <w:spacing w:val="-15"/>
          <w:sz w:val="24"/>
        </w:rPr>
        <w:t> </w:t>
      </w:r>
      <w:r>
        <w:rPr>
          <w:i/>
          <w:sz w:val="24"/>
        </w:rPr>
        <w:t>данного</w:t>
      </w:r>
      <w:r>
        <w:rPr>
          <w:i/>
          <w:spacing w:val="-15"/>
          <w:sz w:val="24"/>
        </w:rPr>
        <w:t> </w:t>
      </w:r>
      <w:r>
        <w:rPr>
          <w:i/>
          <w:sz w:val="24"/>
        </w:rPr>
        <w:t>ученика</w:t>
      </w:r>
      <w:r>
        <w:rPr>
          <w:i/>
          <w:spacing w:val="-15"/>
          <w:sz w:val="24"/>
        </w:rPr>
        <w:t> </w:t>
      </w:r>
      <w:r>
        <w:rPr>
          <w:i/>
          <w:sz w:val="24"/>
        </w:rPr>
        <w:t>в</w:t>
      </w:r>
      <w:r>
        <w:rPr>
          <w:i/>
          <w:spacing w:val="-15"/>
          <w:sz w:val="24"/>
        </w:rPr>
        <w:t> </w:t>
      </w:r>
      <w:r>
        <w:rPr>
          <w:i/>
          <w:sz w:val="24"/>
        </w:rPr>
        <w:t>настоящее</w:t>
      </w:r>
      <w:r>
        <w:rPr>
          <w:i/>
          <w:spacing w:val="-15"/>
          <w:sz w:val="24"/>
        </w:rPr>
        <w:t> </w:t>
      </w:r>
      <w:r>
        <w:rPr>
          <w:i/>
          <w:sz w:val="24"/>
        </w:rPr>
        <w:t>время</w:t>
      </w:r>
      <w:r>
        <w:rPr>
          <w:i/>
          <w:spacing w:val="-15"/>
          <w:sz w:val="24"/>
        </w:rPr>
        <w:t> </w:t>
      </w:r>
      <w:r>
        <w:rPr>
          <w:i/>
          <w:sz w:val="24"/>
        </w:rPr>
        <w:t>полностью или</w:t>
      </w:r>
      <w:r>
        <w:rPr>
          <w:i/>
          <w:spacing w:val="-15"/>
          <w:sz w:val="24"/>
        </w:rPr>
        <w:t> </w:t>
      </w:r>
      <w:r>
        <w:rPr>
          <w:i/>
          <w:sz w:val="24"/>
        </w:rPr>
        <w:t>почти</w:t>
      </w:r>
      <w:r>
        <w:rPr>
          <w:i/>
          <w:spacing w:val="-15"/>
          <w:sz w:val="24"/>
        </w:rPr>
        <w:t> </w:t>
      </w:r>
      <w:r>
        <w:rPr>
          <w:i/>
          <w:sz w:val="24"/>
        </w:rPr>
        <w:t>полностью,</w:t>
      </w:r>
      <w:r>
        <w:rPr>
          <w:i/>
          <w:spacing w:val="-15"/>
          <w:sz w:val="24"/>
        </w:rPr>
        <w:t> </w:t>
      </w:r>
      <w:r>
        <w:rPr>
          <w:i/>
          <w:sz w:val="24"/>
        </w:rPr>
        <w:t>то</w:t>
      </w:r>
      <w:r>
        <w:rPr>
          <w:i/>
          <w:spacing w:val="-15"/>
          <w:sz w:val="24"/>
        </w:rPr>
        <w:t> </w:t>
      </w:r>
      <w:r>
        <w:rPr>
          <w:i/>
          <w:sz w:val="24"/>
        </w:rPr>
        <w:t>обведите,</w:t>
      </w:r>
      <w:r>
        <w:rPr>
          <w:i/>
          <w:spacing w:val="-15"/>
          <w:sz w:val="24"/>
        </w:rPr>
        <w:t> </w:t>
      </w:r>
      <w:r>
        <w:rPr>
          <w:i/>
          <w:sz w:val="24"/>
        </w:rPr>
        <w:t>пожалуйста,</w:t>
      </w:r>
      <w:r>
        <w:rPr>
          <w:i/>
          <w:spacing w:val="-15"/>
          <w:sz w:val="24"/>
        </w:rPr>
        <w:t> </w:t>
      </w:r>
      <w:r>
        <w:rPr>
          <w:i/>
          <w:sz w:val="24"/>
        </w:rPr>
        <w:t>цифру</w:t>
      </w:r>
      <w:r>
        <w:rPr>
          <w:i/>
          <w:spacing w:val="-15"/>
          <w:sz w:val="24"/>
        </w:rPr>
        <w:t> </w:t>
      </w:r>
      <w:r>
        <w:rPr>
          <w:i/>
          <w:sz w:val="24"/>
        </w:rPr>
        <w:t>«2»</w:t>
      </w:r>
      <w:r>
        <w:rPr>
          <w:i/>
          <w:spacing w:val="-15"/>
          <w:sz w:val="24"/>
        </w:rPr>
        <w:t> </w:t>
      </w:r>
      <w:r>
        <w:rPr>
          <w:i/>
          <w:sz w:val="24"/>
        </w:rPr>
        <w:t>в</w:t>
      </w:r>
      <w:r>
        <w:rPr>
          <w:i/>
          <w:spacing w:val="-15"/>
          <w:sz w:val="24"/>
        </w:rPr>
        <w:t> </w:t>
      </w:r>
      <w:r>
        <w:rPr>
          <w:i/>
          <w:sz w:val="24"/>
        </w:rPr>
        <w:t>графе</w:t>
      </w:r>
      <w:r>
        <w:rPr>
          <w:i/>
          <w:spacing w:val="-15"/>
          <w:sz w:val="24"/>
        </w:rPr>
        <w:t> </w:t>
      </w:r>
      <w:r>
        <w:rPr>
          <w:i/>
          <w:sz w:val="24"/>
        </w:rPr>
        <w:t>ответов.</w:t>
      </w:r>
      <w:r>
        <w:rPr>
          <w:i/>
          <w:spacing w:val="-15"/>
          <w:sz w:val="24"/>
        </w:rPr>
        <w:t> </w:t>
      </w:r>
      <w:r>
        <w:rPr>
          <w:i/>
          <w:sz w:val="24"/>
        </w:rPr>
        <w:t>Если</w:t>
      </w:r>
      <w:r>
        <w:rPr>
          <w:i/>
          <w:spacing w:val="-15"/>
          <w:sz w:val="24"/>
        </w:rPr>
        <w:t> </w:t>
      </w:r>
      <w:r>
        <w:rPr>
          <w:i/>
          <w:sz w:val="24"/>
        </w:rPr>
        <w:t>данный пункт описывает его поведение только в некоторой степени или только иногда, то, пожалуйста, обведите цифру «1». И, наконец, если данное утверждение вообще не соответствует поведению ученика, то обведите, пожалуйста, цифру «0».</w:t>
      </w:r>
    </w:p>
    <w:p>
      <w:pPr>
        <w:spacing w:after="0"/>
        <w:jc w:val="both"/>
        <w:rPr>
          <w:i/>
          <w:sz w:val="24"/>
        </w:rPr>
        <w:sectPr>
          <w:pgSz w:w="11910" w:h="16840"/>
          <w:pgMar w:header="0" w:footer="970" w:top="1040" w:bottom="1220" w:left="1417" w:right="283"/>
        </w:sectPr>
      </w:pPr>
    </w:p>
    <w:p>
      <w:pPr>
        <w:pStyle w:val="Heading9"/>
        <w:numPr>
          <w:ilvl w:val="0"/>
          <w:numId w:val="21"/>
        </w:numPr>
        <w:tabs>
          <w:tab w:pos="465" w:val="left" w:leader="none"/>
        </w:tabs>
        <w:spacing w:line="240" w:lineRule="auto" w:before="71" w:after="0"/>
        <w:ind w:left="465" w:right="0" w:hanging="180"/>
        <w:jc w:val="left"/>
      </w:pPr>
      <w:r>
        <w:rPr/>
        <w:t>—</w:t>
      </w:r>
      <w:r>
        <w:rPr>
          <w:spacing w:val="-5"/>
        </w:rPr>
        <w:t> </w:t>
      </w:r>
      <w:r>
        <w:rPr/>
        <w:t>вообще</w:t>
      </w:r>
      <w:r>
        <w:rPr>
          <w:spacing w:val="-3"/>
        </w:rPr>
        <w:t> </w:t>
      </w:r>
      <w:r>
        <w:rPr/>
        <w:t>не</w:t>
      </w:r>
      <w:r>
        <w:rPr>
          <w:spacing w:val="-3"/>
        </w:rPr>
        <w:t> </w:t>
      </w:r>
      <w:r>
        <w:rPr/>
        <w:t>соответствует</w:t>
      </w:r>
      <w:r>
        <w:rPr>
          <w:spacing w:val="-1"/>
        </w:rPr>
        <w:t> </w:t>
      </w:r>
      <w:r>
        <w:rPr/>
        <w:t>(насколько</w:t>
      </w:r>
      <w:r>
        <w:rPr>
          <w:spacing w:val="-3"/>
        </w:rPr>
        <w:t> </w:t>
      </w:r>
      <w:r>
        <w:rPr/>
        <w:t>мне</w:t>
      </w:r>
      <w:r>
        <w:rPr>
          <w:spacing w:val="-2"/>
        </w:rPr>
        <w:t> известно)</w:t>
      </w:r>
    </w:p>
    <w:p>
      <w:pPr>
        <w:pStyle w:val="Heading9"/>
        <w:numPr>
          <w:ilvl w:val="0"/>
          <w:numId w:val="21"/>
        </w:numPr>
        <w:tabs>
          <w:tab w:pos="465" w:val="left" w:leader="none"/>
        </w:tabs>
        <w:spacing w:line="240" w:lineRule="auto" w:before="0" w:after="0"/>
        <w:ind w:left="465" w:right="0" w:hanging="180"/>
        <w:jc w:val="left"/>
      </w:pPr>
      <w:r>
        <w:rPr/>
        <w:t>—</w:t>
      </w:r>
      <w:r>
        <w:rPr>
          <w:spacing w:val="-4"/>
        </w:rPr>
        <w:t> </w:t>
      </w:r>
      <w:r>
        <w:rPr/>
        <w:t>в</w:t>
      </w:r>
      <w:r>
        <w:rPr>
          <w:spacing w:val="-3"/>
        </w:rPr>
        <w:t> </w:t>
      </w:r>
      <w:r>
        <w:rPr/>
        <w:t>некоторой</w:t>
      </w:r>
      <w:r>
        <w:rPr>
          <w:spacing w:val="-3"/>
        </w:rPr>
        <w:t> </w:t>
      </w:r>
      <w:r>
        <w:rPr/>
        <w:t>степени</w:t>
      </w:r>
      <w:r>
        <w:rPr>
          <w:spacing w:val="-3"/>
        </w:rPr>
        <w:t> </w:t>
      </w:r>
      <w:r>
        <w:rPr/>
        <w:t>(иногда)</w:t>
      </w:r>
      <w:r>
        <w:rPr>
          <w:spacing w:val="-2"/>
        </w:rPr>
        <w:t> соответствует</w:t>
      </w:r>
    </w:p>
    <w:p>
      <w:pPr>
        <w:pStyle w:val="Heading9"/>
        <w:numPr>
          <w:ilvl w:val="0"/>
          <w:numId w:val="21"/>
        </w:numPr>
        <w:tabs>
          <w:tab w:pos="465" w:val="left" w:leader="none"/>
        </w:tabs>
        <w:spacing w:line="240" w:lineRule="auto" w:before="0" w:after="0"/>
        <w:ind w:left="465" w:right="0" w:hanging="180"/>
        <w:jc w:val="left"/>
      </w:pPr>
      <w:r>
        <w:rPr/>
        <w:t>—</w:t>
      </w:r>
      <w:r>
        <w:rPr>
          <w:spacing w:val="-3"/>
        </w:rPr>
        <w:t> </w:t>
      </w:r>
      <w:r>
        <w:rPr/>
        <w:t>в</w:t>
      </w:r>
      <w:r>
        <w:rPr>
          <w:spacing w:val="-1"/>
        </w:rPr>
        <w:t> </w:t>
      </w:r>
      <w:r>
        <w:rPr/>
        <w:t>настоящее</w:t>
      </w:r>
      <w:r>
        <w:rPr>
          <w:spacing w:val="-3"/>
        </w:rPr>
        <w:t> </w:t>
      </w:r>
      <w:r>
        <w:rPr/>
        <w:t>время</w:t>
      </w:r>
      <w:r>
        <w:rPr>
          <w:spacing w:val="-1"/>
        </w:rPr>
        <w:t> </w:t>
      </w:r>
      <w:r>
        <w:rPr/>
        <w:t>(всегда)</w:t>
      </w:r>
      <w:r>
        <w:rPr>
          <w:spacing w:val="-1"/>
        </w:rPr>
        <w:t> </w:t>
      </w:r>
      <w:r>
        <w:rPr>
          <w:spacing w:val="-2"/>
        </w:rPr>
        <w:t>соответствует</w:t>
      </w:r>
    </w:p>
    <w:p>
      <w:pPr>
        <w:pStyle w:val="BodyText"/>
        <w:spacing w:before="49" w:after="1"/>
        <w:ind w:left="0" w:right="0" w:firstLine="0"/>
        <w:jc w:val="left"/>
        <w:rPr>
          <w:b/>
        </w:rPr>
      </w:pPr>
    </w:p>
    <w:tbl>
      <w:tblPr>
        <w:tblW w:w="0" w:type="auto"/>
        <w:jc w:val="left"/>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24"/>
        <w:gridCol w:w="3687"/>
        <w:gridCol w:w="1125"/>
        <w:gridCol w:w="3585"/>
      </w:tblGrid>
      <w:tr>
        <w:trPr>
          <w:trHeight w:val="13249" w:hRule="atLeast"/>
        </w:trPr>
        <w:tc>
          <w:tcPr>
            <w:tcW w:w="1324" w:type="dxa"/>
            <w:tcBorders>
              <w:left w:val="nil"/>
              <w:right w:val="nil"/>
            </w:tcBorders>
          </w:tcPr>
          <w:p>
            <w:pPr>
              <w:pStyle w:val="TableParagraph"/>
              <w:spacing w:line="270" w:lineRule="exact"/>
              <w:ind w:left="350"/>
              <w:rPr>
                <w:i/>
                <w:sz w:val="24"/>
              </w:rPr>
            </w:pPr>
            <w:r>
              <w:rPr>
                <w:b/>
                <w:sz w:val="24"/>
              </w:rPr>
              <w:t>0 1 2</w:t>
            </w:r>
            <w:r>
              <w:rPr>
                <w:b/>
                <w:spacing w:val="-1"/>
                <w:sz w:val="24"/>
              </w:rPr>
              <w:t> </w:t>
            </w:r>
            <w:r>
              <w:rPr>
                <w:i/>
                <w:spacing w:val="-5"/>
                <w:sz w:val="24"/>
              </w:rPr>
              <w:t>1.</w:t>
            </w:r>
          </w:p>
          <w:p>
            <w:pPr>
              <w:pStyle w:val="TableParagraph"/>
              <w:rPr>
                <w:b/>
                <w:sz w:val="24"/>
              </w:rPr>
            </w:pPr>
          </w:p>
          <w:p>
            <w:pPr>
              <w:pStyle w:val="TableParagraph"/>
              <w:rPr>
                <w:b/>
                <w:sz w:val="24"/>
              </w:rPr>
            </w:pPr>
          </w:p>
          <w:p>
            <w:pPr>
              <w:pStyle w:val="TableParagraph"/>
              <w:ind w:left="350"/>
              <w:rPr>
                <w:i/>
                <w:sz w:val="24"/>
              </w:rPr>
            </w:pPr>
            <w:r>
              <w:rPr>
                <w:b/>
                <w:sz w:val="24"/>
              </w:rPr>
              <w:t>0 1 2</w:t>
            </w:r>
            <w:r>
              <w:rPr>
                <w:b/>
                <w:spacing w:val="-1"/>
                <w:sz w:val="24"/>
              </w:rPr>
              <w:t> </w:t>
            </w:r>
            <w:r>
              <w:rPr>
                <w:i/>
                <w:spacing w:val="-5"/>
                <w:sz w:val="24"/>
              </w:rPr>
              <w:t>2.</w:t>
            </w:r>
          </w:p>
          <w:p>
            <w:pPr>
              <w:pStyle w:val="TableParagraph"/>
              <w:rPr>
                <w:b/>
                <w:sz w:val="24"/>
              </w:rPr>
            </w:pPr>
          </w:p>
          <w:p>
            <w:pPr>
              <w:pStyle w:val="TableParagraph"/>
              <w:rPr>
                <w:b/>
                <w:sz w:val="24"/>
              </w:rPr>
            </w:pPr>
          </w:p>
          <w:p>
            <w:pPr>
              <w:pStyle w:val="TableParagraph"/>
              <w:ind w:left="350"/>
              <w:rPr>
                <w:i/>
                <w:sz w:val="24"/>
              </w:rPr>
            </w:pPr>
            <w:r>
              <w:rPr>
                <w:b/>
                <w:sz w:val="24"/>
              </w:rPr>
              <w:t>0 1 2</w:t>
            </w:r>
            <w:r>
              <w:rPr>
                <w:b/>
                <w:spacing w:val="-1"/>
                <w:sz w:val="24"/>
              </w:rPr>
              <w:t> </w:t>
            </w:r>
            <w:r>
              <w:rPr>
                <w:i/>
                <w:spacing w:val="-5"/>
                <w:sz w:val="24"/>
              </w:rPr>
              <w:t>3.</w:t>
            </w:r>
          </w:p>
          <w:p>
            <w:pPr>
              <w:pStyle w:val="TableParagraph"/>
              <w:ind w:left="350"/>
              <w:rPr>
                <w:i/>
                <w:sz w:val="24"/>
              </w:rPr>
            </w:pPr>
            <w:r>
              <w:rPr>
                <w:b/>
                <w:sz w:val="24"/>
              </w:rPr>
              <w:t>0 1 2</w:t>
            </w:r>
            <w:r>
              <w:rPr>
                <w:b/>
                <w:spacing w:val="-1"/>
                <w:sz w:val="24"/>
              </w:rPr>
              <w:t> </w:t>
            </w:r>
            <w:r>
              <w:rPr>
                <w:i/>
                <w:spacing w:val="-5"/>
                <w:sz w:val="24"/>
              </w:rPr>
              <w:t>4.</w:t>
            </w:r>
          </w:p>
          <w:p>
            <w:pPr>
              <w:pStyle w:val="TableParagraph"/>
              <w:ind w:left="350"/>
              <w:rPr>
                <w:i/>
                <w:sz w:val="24"/>
              </w:rPr>
            </w:pPr>
            <w:r>
              <w:rPr>
                <w:b/>
                <w:sz w:val="24"/>
              </w:rPr>
              <w:t>0 1 2</w:t>
            </w:r>
            <w:r>
              <w:rPr>
                <w:b/>
                <w:spacing w:val="-1"/>
                <w:sz w:val="24"/>
              </w:rPr>
              <w:t> </w:t>
            </w:r>
            <w:r>
              <w:rPr>
                <w:i/>
                <w:spacing w:val="-5"/>
                <w:sz w:val="24"/>
              </w:rPr>
              <w:t>5.</w:t>
            </w:r>
          </w:p>
          <w:p>
            <w:pPr>
              <w:pStyle w:val="TableParagraph"/>
              <w:rPr>
                <w:b/>
                <w:sz w:val="24"/>
              </w:rPr>
            </w:pPr>
          </w:p>
          <w:p>
            <w:pPr>
              <w:pStyle w:val="TableParagraph"/>
              <w:rPr>
                <w:b/>
                <w:sz w:val="24"/>
              </w:rPr>
            </w:pPr>
          </w:p>
          <w:p>
            <w:pPr>
              <w:pStyle w:val="TableParagraph"/>
              <w:rPr>
                <w:b/>
                <w:sz w:val="24"/>
              </w:rPr>
            </w:pPr>
          </w:p>
          <w:p>
            <w:pPr>
              <w:pStyle w:val="TableParagraph"/>
              <w:spacing w:before="1"/>
              <w:ind w:left="350"/>
              <w:rPr>
                <w:i/>
                <w:sz w:val="24"/>
              </w:rPr>
            </w:pPr>
            <w:r>
              <w:rPr>
                <w:b/>
                <w:sz w:val="24"/>
              </w:rPr>
              <w:t>0 1 2</w:t>
            </w:r>
            <w:r>
              <w:rPr>
                <w:b/>
                <w:spacing w:val="-1"/>
                <w:sz w:val="24"/>
              </w:rPr>
              <w:t> </w:t>
            </w:r>
            <w:r>
              <w:rPr>
                <w:i/>
                <w:spacing w:val="-5"/>
                <w:sz w:val="24"/>
              </w:rPr>
              <w:t>6.</w:t>
            </w:r>
          </w:p>
          <w:p>
            <w:pPr>
              <w:pStyle w:val="TableParagraph"/>
              <w:spacing w:line="275" w:lineRule="exact"/>
              <w:ind w:left="350"/>
              <w:rPr>
                <w:sz w:val="24"/>
              </w:rPr>
            </w:pPr>
            <w:r>
              <w:rPr>
                <w:b/>
                <w:sz w:val="24"/>
              </w:rPr>
              <w:t>0 1 2</w:t>
            </w:r>
            <w:r>
              <w:rPr>
                <w:b/>
                <w:spacing w:val="-1"/>
                <w:sz w:val="24"/>
              </w:rPr>
              <w:t> </w:t>
            </w:r>
            <w:r>
              <w:rPr>
                <w:i/>
                <w:spacing w:val="-5"/>
                <w:sz w:val="24"/>
              </w:rPr>
              <w:t>7</w:t>
            </w:r>
            <w:r>
              <w:rPr>
                <w:spacing w:val="-5"/>
                <w:sz w:val="24"/>
              </w:rPr>
              <w:t>.</w:t>
            </w:r>
          </w:p>
          <w:p>
            <w:pPr>
              <w:pStyle w:val="TableParagraph"/>
              <w:spacing w:line="275" w:lineRule="exact"/>
              <w:ind w:left="350"/>
              <w:rPr>
                <w:i/>
                <w:sz w:val="24"/>
              </w:rPr>
            </w:pPr>
            <w:r>
              <w:rPr>
                <w:b/>
                <w:sz w:val="24"/>
              </w:rPr>
              <w:t>0 1 2</w:t>
            </w:r>
            <w:r>
              <w:rPr>
                <w:b/>
                <w:spacing w:val="-1"/>
                <w:sz w:val="24"/>
              </w:rPr>
              <w:t> </w:t>
            </w:r>
            <w:r>
              <w:rPr>
                <w:i/>
                <w:spacing w:val="-5"/>
                <w:sz w:val="24"/>
              </w:rPr>
              <w:t>8.</w:t>
            </w:r>
          </w:p>
          <w:p>
            <w:pPr>
              <w:pStyle w:val="TableParagraph"/>
              <w:spacing w:before="275"/>
              <w:rPr>
                <w:b/>
                <w:sz w:val="24"/>
              </w:rPr>
            </w:pPr>
          </w:p>
          <w:p>
            <w:pPr>
              <w:pStyle w:val="TableParagraph"/>
              <w:spacing w:before="1"/>
              <w:ind w:left="350"/>
              <w:rPr>
                <w:i/>
                <w:sz w:val="24"/>
              </w:rPr>
            </w:pPr>
            <w:r>
              <w:rPr>
                <w:b/>
                <w:sz w:val="24"/>
              </w:rPr>
              <w:t>0 1 2</w:t>
            </w:r>
            <w:r>
              <w:rPr>
                <w:b/>
                <w:spacing w:val="-1"/>
                <w:sz w:val="24"/>
              </w:rPr>
              <w:t> </w:t>
            </w:r>
            <w:r>
              <w:rPr>
                <w:i/>
                <w:spacing w:val="-5"/>
                <w:sz w:val="24"/>
              </w:rPr>
              <w:t>9.</w:t>
            </w:r>
          </w:p>
          <w:p>
            <w:pPr>
              <w:pStyle w:val="TableParagraph"/>
              <w:rPr>
                <w:b/>
                <w:sz w:val="24"/>
              </w:rPr>
            </w:pPr>
          </w:p>
          <w:p>
            <w:pPr>
              <w:pStyle w:val="TableParagraph"/>
              <w:rPr>
                <w:b/>
                <w:sz w:val="24"/>
              </w:rPr>
            </w:pPr>
          </w:p>
          <w:p>
            <w:pPr>
              <w:pStyle w:val="TableParagraph"/>
              <w:rPr>
                <w:b/>
                <w:sz w:val="24"/>
              </w:rPr>
            </w:pPr>
          </w:p>
          <w:p>
            <w:pPr>
              <w:pStyle w:val="TableParagraph"/>
              <w:ind w:left="290"/>
              <w:rPr>
                <w:i/>
                <w:sz w:val="24"/>
              </w:rPr>
            </w:pPr>
            <w:r>
              <w:rPr>
                <w:b/>
                <w:sz w:val="24"/>
              </w:rPr>
              <w:t>0 1 2</w:t>
            </w:r>
            <w:r>
              <w:rPr>
                <w:b/>
                <w:spacing w:val="-1"/>
                <w:sz w:val="24"/>
              </w:rPr>
              <w:t> </w:t>
            </w:r>
            <w:r>
              <w:rPr>
                <w:i/>
                <w:spacing w:val="-5"/>
                <w:sz w:val="24"/>
              </w:rPr>
              <w:t>10.</w:t>
            </w:r>
          </w:p>
          <w:p>
            <w:pPr>
              <w:pStyle w:val="TableParagraph"/>
              <w:rPr>
                <w:b/>
                <w:sz w:val="24"/>
              </w:rPr>
            </w:pPr>
          </w:p>
          <w:p>
            <w:pPr>
              <w:pStyle w:val="TableParagraph"/>
              <w:ind w:left="290"/>
              <w:rPr>
                <w:sz w:val="24"/>
              </w:rPr>
            </w:pPr>
            <w:r>
              <w:rPr>
                <w:b/>
                <w:sz w:val="24"/>
              </w:rPr>
              <w:t>0 1 2</w:t>
            </w:r>
            <w:r>
              <w:rPr>
                <w:b/>
                <w:spacing w:val="-1"/>
                <w:sz w:val="24"/>
              </w:rPr>
              <w:t> </w:t>
            </w:r>
            <w:r>
              <w:rPr>
                <w:i/>
                <w:spacing w:val="-5"/>
                <w:sz w:val="24"/>
              </w:rPr>
              <w:t>11</w:t>
            </w:r>
            <w:r>
              <w:rPr>
                <w:spacing w:val="-5"/>
                <w:sz w:val="24"/>
              </w:rPr>
              <w:t>.</w:t>
            </w:r>
          </w:p>
          <w:p>
            <w:pPr>
              <w:pStyle w:val="TableParagraph"/>
              <w:rPr>
                <w:b/>
                <w:sz w:val="24"/>
              </w:rPr>
            </w:pPr>
          </w:p>
          <w:p>
            <w:pPr>
              <w:pStyle w:val="TableParagraph"/>
              <w:ind w:left="290"/>
              <w:rPr>
                <w:i/>
                <w:sz w:val="24"/>
              </w:rPr>
            </w:pPr>
            <w:r>
              <w:rPr>
                <w:b/>
                <w:sz w:val="24"/>
              </w:rPr>
              <w:t>0 1 2</w:t>
            </w:r>
            <w:r>
              <w:rPr>
                <w:b/>
                <w:spacing w:val="-1"/>
                <w:sz w:val="24"/>
              </w:rPr>
              <w:t> </w:t>
            </w:r>
            <w:r>
              <w:rPr>
                <w:i/>
                <w:spacing w:val="-5"/>
                <w:sz w:val="24"/>
              </w:rPr>
              <w:t>12.</w:t>
            </w:r>
          </w:p>
          <w:p>
            <w:pPr>
              <w:pStyle w:val="TableParagraph"/>
              <w:ind w:left="290"/>
              <w:rPr>
                <w:i/>
                <w:sz w:val="24"/>
              </w:rPr>
            </w:pPr>
            <w:r>
              <w:rPr>
                <w:b/>
                <w:sz w:val="24"/>
              </w:rPr>
              <w:t>0 1 2</w:t>
            </w:r>
            <w:r>
              <w:rPr>
                <w:b/>
                <w:spacing w:val="-1"/>
                <w:sz w:val="24"/>
              </w:rPr>
              <w:t> </w:t>
            </w:r>
            <w:r>
              <w:rPr>
                <w:i/>
                <w:spacing w:val="-5"/>
                <w:sz w:val="24"/>
              </w:rPr>
              <w:t>13.</w:t>
            </w:r>
          </w:p>
          <w:p>
            <w:pPr>
              <w:pStyle w:val="TableParagraph"/>
              <w:ind w:left="290"/>
              <w:rPr>
                <w:i/>
                <w:sz w:val="24"/>
              </w:rPr>
            </w:pPr>
            <w:r>
              <w:rPr>
                <w:b/>
                <w:sz w:val="24"/>
              </w:rPr>
              <w:t>0 1 2</w:t>
            </w:r>
            <w:r>
              <w:rPr>
                <w:b/>
                <w:spacing w:val="-1"/>
                <w:sz w:val="24"/>
              </w:rPr>
              <w:t> </w:t>
            </w:r>
            <w:r>
              <w:rPr>
                <w:i/>
                <w:spacing w:val="-5"/>
                <w:sz w:val="24"/>
              </w:rPr>
              <w:t>14.</w:t>
            </w:r>
          </w:p>
          <w:p>
            <w:pPr>
              <w:pStyle w:val="TableParagraph"/>
              <w:ind w:left="290"/>
              <w:rPr>
                <w:i/>
                <w:sz w:val="24"/>
              </w:rPr>
            </w:pPr>
            <w:r>
              <w:rPr>
                <w:b/>
                <w:sz w:val="24"/>
              </w:rPr>
              <w:t>0 1 2</w:t>
            </w:r>
            <w:r>
              <w:rPr>
                <w:b/>
                <w:spacing w:val="-1"/>
                <w:sz w:val="24"/>
              </w:rPr>
              <w:t> </w:t>
            </w:r>
            <w:r>
              <w:rPr>
                <w:i/>
                <w:spacing w:val="-5"/>
                <w:sz w:val="24"/>
              </w:rPr>
              <w:t>15.</w:t>
            </w:r>
          </w:p>
          <w:p>
            <w:pPr>
              <w:pStyle w:val="TableParagraph"/>
              <w:ind w:left="290"/>
              <w:rPr>
                <w:i/>
                <w:sz w:val="24"/>
              </w:rPr>
            </w:pPr>
            <w:r>
              <w:rPr>
                <w:b/>
                <w:sz w:val="24"/>
              </w:rPr>
              <w:t>0 1 2</w:t>
            </w:r>
            <w:r>
              <w:rPr>
                <w:b/>
                <w:spacing w:val="-1"/>
                <w:sz w:val="24"/>
              </w:rPr>
              <w:t> </w:t>
            </w:r>
            <w:r>
              <w:rPr>
                <w:i/>
                <w:spacing w:val="-5"/>
                <w:sz w:val="24"/>
              </w:rPr>
              <w:t>16.</w:t>
            </w:r>
          </w:p>
          <w:p>
            <w:pPr>
              <w:pStyle w:val="TableParagraph"/>
              <w:rPr>
                <w:b/>
                <w:sz w:val="24"/>
              </w:rPr>
            </w:pPr>
          </w:p>
          <w:p>
            <w:pPr>
              <w:pStyle w:val="TableParagraph"/>
              <w:ind w:left="290"/>
              <w:rPr>
                <w:i/>
                <w:sz w:val="24"/>
              </w:rPr>
            </w:pPr>
            <w:r>
              <w:rPr>
                <w:b/>
                <w:sz w:val="24"/>
              </w:rPr>
              <w:t>0 1 2</w:t>
            </w:r>
            <w:r>
              <w:rPr>
                <w:b/>
                <w:spacing w:val="-1"/>
                <w:sz w:val="24"/>
              </w:rPr>
              <w:t> </w:t>
            </w:r>
            <w:r>
              <w:rPr>
                <w:i/>
                <w:spacing w:val="-5"/>
                <w:sz w:val="24"/>
              </w:rPr>
              <w:t>17.</w:t>
            </w:r>
          </w:p>
          <w:p>
            <w:pPr>
              <w:pStyle w:val="TableParagraph"/>
              <w:rPr>
                <w:b/>
                <w:sz w:val="24"/>
              </w:rPr>
            </w:pPr>
          </w:p>
          <w:p>
            <w:pPr>
              <w:pStyle w:val="TableParagraph"/>
              <w:spacing w:before="1"/>
              <w:rPr>
                <w:b/>
                <w:sz w:val="24"/>
              </w:rPr>
            </w:pPr>
          </w:p>
          <w:p>
            <w:pPr>
              <w:pStyle w:val="TableParagraph"/>
              <w:ind w:left="290"/>
              <w:rPr>
                <w:i/>
                <w:sz w:val="24"/>
              </w:rPr>
            </w:pPr>
            <w:r>
              <w:rPr>
                <w:b/>
                <w:sz w:val="24"/>
              </w:rPr>
              <w:t>0 1 2</w:t>
            </w:r>
            <w:r>
              <w:rPr>
                <w:b/>
                <w:spacing w:val="-1"/>
                <w:sz w:val="24"/>
              </w:rPr>
              <w:t> </w:t>
            </w:r>
            <w:r>
              <w:rPr>
                <w:i/>
                <w:spacing w:val="-5"/>
                <w:sz w:val="24"/>
              </w:rPr>
              <w:t>18.</w:t>
            </w:r>
          </w:p>
          <w:p>
            <w:pPr>
              <w:pStyle w:val="TableParagraph"/>
              <w:rPr>
                <w:b/>
                <w:sz w:val="24"/>
              </w:rPr>
            </w:pPr>
          </w:p>
          <w:p>
            <w:pPr>
              <w:pStyle w:val="TableParagraph"/>
              <w:rPr>
                <w:b/>
                <w:sz w:val="24"/>
              </w:rPr>
            </w:pPr>
          </w:p>
          <w:p>
            <w:pPr>
              <w:pStyle w:val="TableParagraph"/>
              <w:ind w:left="290"/>
              <w:rPr>
                <w:i/>
                <w:sz w:val="24"/>
              </w:rPr>
            </w:pPr>
            <w:r>
              <w:rPr>
                <w:b/>
                <w:sz w:val="24"/>
              </w:rPr>
              <w:t>0 1 2</w:t>
            </w:r>
            <w:r>
              <w:rPr>
                <w:b/>
                <w:spacing w:val="-1"/>
                <w:sz w:val="24"/>
              </w:rPr>
              <w:t> </w:t>
            </w:r>
            <w:r>
              <w:rPr>
                <w:i/>
                <w:spacing w:val="-5"/>
                <w:sz w:val="24"/>
              </w:rPr>
              <w:t>19.</w:t>
            </w:r>
          </w:p>
          <w:p>
            <w:pPr>
              <w:pStyle w:val="TableParagraph"/>
              <w:rPr>
                <w:b/>
                <w:sz w:val="24"/>
              </w:rPr>
            </w:pPr>
          </w:p>
          <w:p>
            <w:pPr>
              <w:pStyle w:val="TableParagraph"/>
              <w:ind w:left="290"/>
              <w:rPr>
                <w:i/>
                <w:sz w:val="24"/>
              </w:rPr>
            </w:pPr>
            <w:r>
              <w:rPr>
                <w:b/>
                <w:sz w:val="24"/>
              </w:rPr>
              <w:t>0 1 2</w:t>
            </w:r>
            <w:r>
              <w:rPr>
                <w:b/>
                <w:spacing w:val="-1"/>
                <w:sz w:val="24"/>
              </w:rPr>
              <w:t> </w:t>
            </w:r>
            <w:r>
              <w:rPr>
                <w:i/>
                <w:spacing w:val="-5"/>
                <w:sz w:val="24"/>
              </w:rPr>
              <w:t>20.</w:t>
            </w:r>
          </w:p>
          <w:p>
            <w:pPr>
              <w:pStyle w:val="TableParagraph"/>
              <w:rPr>
                <w:b/>
                <w:sz w:val="24"/>
              </w:rPr>
            </w:pPr>
          </w:p>
          <w:p>
            <w:pPr>
              <w:pStyle w:val="TableParagraph"/>
              <w:ind w:left="290"/>
              <w:rPr>
                <w:i/>
                <w:sz w:val="24"/>
              </w:rPr>
            </w:pPr>
            <w:r>
              <w:rPr>
                <w:b/>
                <w:sz w:val="24"/>
              </w:rPr>
              <w:t>0 1 2</w:t>
            </w:r>
            <w:r>
              <w:rPr>
                <w:b/>
                <w:spacing w:val="-1"/>
                <w:sz w:val="24"/>
              </w:rPr>
              <w:t> </w:t>
            </w:r>
            <w:r>
              <w:rPr>
                <w:i/>
                <w:spacing w:val="-5"/>
                <w:sz w:val="24"/>
              </w:rPr>
              <w:t>21.</w:t>
            </w:r>
          </w:p>
          <w:p>
            <w:pPr>
              <w:pStyle w:val="TableParagraph"/>
              <w:rPr>
                <w:b/>
                <w:sz w:val="24"/>
              </w:rPr>
            </w:pPr>
          </w:p>
          <w:p>
            <w:pPr>
              <w:pStyle w:val="TableParagraph"/>
              <w:rPr>
                <w:b/>
                <w:sz w:val="24"/>
              </w:rPr>
            </w:pPr>
          </w:p>
          <w:p>
            <w:pPr>
              <w:pStyle w:val="TableParagraph"/>
              <w:spacing w:before="1"/>
              <w:ind w:left="290"/>
              <w:rPr>
                <w:i/>
                <w:sz w:val="24"/>
              </w:rPr>
            </w:pPr>
            <w:r>
              <w:rPr>
                <w:b/>
                <w:sz w:val="24"/>
              </w:rPr>
              <w:t>0 1 2</w:t>
            </w:r>
            <w:r>
              <w:rPr>
                <w:b/>
                <w:spacing w:val="-1"/>
                <w:sz w:val="24"/>
              </w:rPr>
              <w:t> </w:t>
            </w:r>
            <w:r>
              <w:rPr>
                <w:i/>
                <w:spacing w:val="-5"/>
                <w:sz w:val="24"/>
              </w:rPr>
              <w:t>22.</w:t>
            </w:r>
          </w:p>
          <w:p>
            <w:pPr>
              <w:pStyle w:val="TableParagraph"/>
              <w:rPr>
                <w:b/>
                <w:sz w:val="24"/>
              </w:rPr>
            </w:pPr>
          </w:p>
          <w:p>
            <w:pPr>
              <w:pStyle w:val="TableParagraph"/>
              <w:ind w:left="290"/>
              <w:rPr>
                <w:i/>
                <w:sz w:val="24"/>
              </w:rPr>
            </w:pPr>
            <w:r>
              <w:rPr>
                <w:b/>
                <w:sz w:val="24"/>
              </w:rPr>
              <w:t>0 1 2</w:t>
            </w:r>
            <w:r>
              <w:rPr>
                <w:b/>
                <w:spacing w:val="-1"/>
                <w:sz w:val="24"/>
              </w:rPr>
              <w:t> </w:t>
            </w:r>
            <w:r>
              <w:rPr>
                <w:i/>
                <w:spacing w:val="-5"/>
                <w:sz w:val="24"/>
              </w:rPr>
              <w:t>23.</w:t>
            </w:r>
          </w:p>
          <w:p>
            <w:pPr>
              <w:pStyle w:val="TableParagraph"/>
              <w:spacing w:line="264" w:lineRule="exact"/>
              <w:ind w:left="290"/>
              <w:rPr>
                <w:i/>
                <w:sz w:val="24"/>
              </w:rPr>
            </w:pPr>
            <w:r>
              <w:rPr>
                <w:b/>
                <w:sz w:val="24"/>
              </w:rPr>
              <w:t>0 1 2</w:t>
            </w:r>
            <w:r>
              <w:rPr>
                <w:b/>
                <w:spacing w:val="-1"/>
                <w:sz w:val="24"/>
              </w:rPr>
              <w:t> </w:t>
            </w:r>
            <w:r>
              <w:rPr>
                <w:i/>
                <w:spacing w:val="-5"/>
                <w:sz w:val="24"/>
              </w:rPr>
              <w:t>24.</w:t>
            </w:r>
          </w:p>
        </w:tc>
        <w:tc>
          <w:tcPr>
            <w:tcW w:w="3687" w:type="dxa"/>
            <w:tcBorders>
              <w:left w:val="nil"/>
            </w:tcBorders>
          </w:tcPr>
          <w:p>
            <w:pPr>
              <w:pStyle w:val="TableParagraph"/>
              <w:ind w:left="192"/>
              <w:rPr>
                <w:sz w:val="24"/>
              </w:rPr>
            </w:pPr>
            <w:r>
              <w:rPr>
                <w:sz w:val="24"/>
              </w:rPr>
              <w:t>Ведет себя как маленький (поведение</w:t>
            </w:r>
            <w:r>
              <w:rPr>
                <w:spacing w:val="-15"/>
                <w:sz w:val="24"/>
              </w:rPr>
              <w:t> </w:t>
            </w:r>
            <w:r>
              <w:rPr>
                <w:sz w:val="24"/>
              </w:rPr>
              <w:t>не</w:t>
            </w:r>
            <w:r>
              <w:rPr>
                <w:spacing w:val="-15"/>
                <w:sz w:val="24"/>
              </w:rPr>
              <w:t> </w:t>
            </w:r>
            <w:r>
              <w:rPr>
                <w:sz w:val="24"/>
              </w:rPr>
              <w:t>соответствует </w:t>
            </w:r>
            <w:r>
              <w:rPr>
                <w:spacing w:val="-2"/>
                <w:sz w:val="24"/>
              </w:rPr>
              <w:t>возрасту).</w:t>
            </w:r>
          </w:p>
          <w:p>
            <w:pPr>
              <w:pStyle w:val="TableParagraph"/>
              <w:ind w:left="192"/>
              <w:rPr>
                <w:sz w:val="24"/>
              </w:rPr>
            </w:pPr>
            <w:r>
              <w:rPr>
                <w:sz w:val="24"/>
              </w:rPr>
              <w:t>Имеет</w:t>
            </w:r>
            <w:r>
              <w:rPr>
                <w:spacing w:val="-15"/>
                <w:sz w:val="24"/>
              </w:rPr>
              <w:t> </w:t>
            </w:r>
            <w:r>
              <w:rPr>
                <w:sz w:val="24"/>
              </w:rPr>
              <w:t>аллергические</w:t>
            </w:r>
            <w:r>
              <w:rPr>
                <w:spacing w:val="-15"/>
                <w:sz w:val="24"/>
              </w:rPr>
              <w:t> </w:t>
            </w:r>
            <w:r>
              <w:rPr>
                <w:sz w:val="24"/>
              </w:rPr>
              <w:t>реакции. Опишите, пожалуйста</w:t>
            </w:r>
          </w:p>
          <w:p>
            <w:pPr>
              <w:pStyle w:val="TableParagraph"/>
              <w:spacing w:before="35"/>
              <w:rPr>
                <w:b/>
                <w:sz w:val="20"/>
              </w:rPr>
            </w:pPr>
          </w:p>
          <w:p>
            <w:pPr>
              <w:pStyle w:val="TableParagraph"/>
              <w:spacing w:line="20" w:lineRule="exact"/>
              <w:ind w:left="192"/>
              <w:rPr>
                <w:sz w:val="2"/>
              </w:rPr>
            </w:pPr>
            <w:r>
              <w:rPr>
                <w:sz w:val="2"/>
              </w:rPr>
              <mc:AlternateContent>
                <mc:Choice Requires="wps">
                  <w:drawing>
                    <wp:inline distT="0" distB="0" distL="0" distR="0">
                      <wp:extent cx="1676400" cy="6350"/>
                      <wp:effectExtent l="9525" t="0" r="0" b="3175"/>
                      <wp:docPr id="38" name="Group 38"/>
                      <wp:cNvGraphicFramePr>
                        <a:graphicFrameLocks/>
                      </wp:cNvGraphicFramePr>
                      <a:graphic>
                        <a:graphicData uri="http://schemas.microsoft.com/office/word/2010/wordprocessingGroup">
                          <wpg:wgp>
                            <wpg:cNvPr id="38" name="Group 38"/>
                            <wpg:cNvGrpSpPr/>
                            <wpg:grpSpPr>
                              <a:xfrm>
                                <a:off x="0" y="0"/>
                                <a:ext cx="1676400" cy="6350"/>
                                <a:chExt cx="1676400" cy="6350"/>
                              </a:xfrm>
                            </wpg:grpSpPr>
                            <wps:wsp>
                              <wps:cNvPr id="39" name="Graphic 39"/>
                              <wps:cNvSpPr/>
                              <wps:spPr>
                                <a:xfrm>
                                  <a:off x="0" y="3093"/>
                                  <a:ext cx="1676400" cy="1270"/>
                                </a:xfrm>
                                <a:custGeom>
                                  <a:avLst/>
                                  <a:gdLst/>
                                  <a:ahLst/>
                                  <a:cxnLst/>
                                  <a:rect l="l" t="t" r="r" b="b"/>
                                  <a:pathLst>
                                    <a:path w="1676400" h="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2pt;height:.5pt;mso-position-horizontal-relative:char;mso-position-vertical-relative:line" id="docshapegroup27" coordorigin="0,0" coordsize="2640,10">
                      <v:line style="position:absolute" from="0,5" to="2640,5" stroked="true" strokeweight=".487125pt" strokecolor="#000000">
                        <v:stroke dashstyle="solid"/>
                      </v:line>
                    </v:group>
                  </w:pict>
                </mc:Fallback>
              </mc:AlternateContent>
            </w:r>
            <w:r>
              <w:rPr>
                <w:sz w:val="2"/>
              </w:rPr>
            </w:r>
          </w:p>
          <w:p>
            <w:pPr>
              <w:pStyle w:val="TableParagraph"/>
              <w:ind w:left="192"/>
              <w:rPr>
                <w:sz w:val="24"/>
              </w:rPr>
            </w:pPr>
            <w:r>
              <w:rPr>
                <w:sz w:val="24"/>
              </w:rPr>
              <w:t>Огрызается,</w:t>
            </w:r>
            <w:r>
              <w:rPr>
                <w:spacing w:val="-3"/>
                <w:sz w:val="24"/>
              </w:rPr>
              <w:t> </w:t>
            </w:r>
            <w:r>
              <w:rPr>
                <w:spacing w:val="-2"/>
                <w:sz w:val="24"/>
              </w:rPr>
              <w:t>спорит.</w:t>
            </w:r>
          </w:p>
          <w:p>
            <w:pPr>
              <w:pStyle w:val="TableParagraph"/>
              <w:ind w:left="192"/>
              <w:rPr>
                <w:sz w:val="24"/>
              </w:rPr>
            </w:pPr>
            <w:r>
              <w:rPr>
                <w:sz w:val="24"/>
              </w:rPr>
              <w:t>Не</w:t>
            </w:r>
            <w:r>
              <w:rPr>
                <w:spacing w:val="-11"/>
                <w:sz w:val="24"/>
              </w:rPr>
              <w:t> </w:t>
            </w:r>
            <w:r>
              <w:rPr>
                <w:sz w:val="24"/>
              </w:rPr>
              <w:t>доводит</w:t>
            </w:r>
            <w:r>
              <w:rPr>
                <w:spacing w:val="-10"/>
                <w:sz w:val="24"/>
              </w:rPr>
              <w:t> </w:t>
            </w:r>
            <w:r>
              <w:rPr>
                <w:sz w:val="24"/>
              </w:rPr>
              <w:t>до</w:t>
            </w:r>
            <w:r>
              <w:rPr>
                <w:spacing w:val="-10"/>
                <w:sz w:val="24"/>
              </w:rPr>
              <w:t> </w:t>
            </w:r>
            <w:r>
              <w:rPr>
                <w:sz w:val="24"/>
              </w:rPr>
              <w:t>конца</w:t>
            </w:r>
            <w:r>
              <w:rPr>
                <w:spacing w:val="-10"/>
                <w:sz w:val="24"/>
              </w:rPr>
              <w:t> </w:t>
            </w:r>
            <w:r>
              <w:rPr>
                <w:sz w:val="24"/>
              </w:rPr>
              <w:t>начатое. Ведет себя как ребенок противоположного пола.</w:t>
            </w:r>
          </w:p>
          <w:p>
            <w:pPr>
              <w:pStyle w:val="TableParagraph"/>
              <w:ind w:left="192"/>
              <w:rPr>
                <w:sz w:val="24"/>
              </w:rPr>
            </w:pPr>
            <w:r>
              <w:rPr>
                <w:sz w:val="24"/>
              </w:rPr>
              <w:t>Опишите,</w:t>
            </w:r>
            <w:r>
              <w:rPr>
                <w:spacing w:val="-4"/>
                <w:sz w:val="24"/>
              </w:rPr>
              <w:t> </w:t>
            </w:r>
            <w:r>
              <w:rPr>
                <w:spacing w:val="-2"/>
                <w:sz w:val="24"/>
              </w:rPr>
              <w:t>пожалуйста</w:t>
            </w:r>
          </w:p>
          <w:p>
            <w:pPr>
              <w:pStyle w:val="TableParagraph"/>
              <w:spacing w:before="26"/>
              <w:rPr>
                <w:b/>
                <w:sz w:val="20"/>
              </w:rPr>
            </w:pPr>
          </w:p>
          <w:p>
            <w:pPr>
              <w:pStyle w:val="TableParagraph"/>
              <w:spacing w:line="20" w:lineRule="exact"/>
              <w:ind w:left="192"/>
              <w:rPr>
                <w:sz w:val="2"/>
              </w:rPr>
            </w:pPr>
            <w:r>
              <w:rPr>
                <w:sz w:val="2"/>
              </w:rPr>
              <mc:AlternateContent>
                <mc:Choice Requires="wps">
                  <w:drawing>
                    <wp:inline distT="0" distB="0" distL="0" distR="0">
                      <wp:extent cx="1676400" cy="6350"/>
                      <wp:effectExtent l="9525" t="0" r="0" b="3175"/>
                      <wp:docPr id="40" name="Group 40"/>
                      <wp:cNvGraphicFramePr>
                        <a:graphicFrameLocks/>
                      </wp:cNvGraphicFramePr>
                      <a:graphic>
                        <a:graphicData uri="http://schemas.microsoft.com/office/word/2010/wordprocessingGroup">
                          <wpg:wgp>
                            <wpg:cNvPr id="40" name="Group 40"/>
                            <wpg:cNvGrpSpPr/>
                            <wpg:grpSpPr>
                              <a:xfrm>
                                <a:off x="0" y="0"/>
                                <a:ext cx="1676400" cy="6350"/>
                                <a:chExt cx="1676400" cy="6350"/>
                              </a:xfrm>
                            </wpg:grpSpPr>
                            <wps:wsp>
                              <wps:cNvPr id="41" name="Graphic 41"/>
                              <wps:cNvSpPr/>
                              <wps:spPr>
                                <a:xfrm>
                                  <a:off x="0" y="3093"/>
                                  <a:ext cx="1676400" cy="1270"/>
                                </a:xfrm>
                                <a:custGeom>
                                  <a:avLst/>
                                  <a:gdLst/>
                                  <a:ahLst/>
                                  <a:cxnLst/>
                                  <a:rect l="l" t="t" r="r" b="b"/>
                                  <a:pathLst>
                                    <a:path w="1676400" h="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2pt;height:.5pt;mso-position-horizontal-relative:char;mso-position-vertical-relative:line" id="docshapegroup28" coordorigin="0,0" coordsize="2640,10">
                      <v:line style="position:absolute" from="0,5" to="2640,5" stroked="true" strokeweight=".487125pt" strokecolor="#000000">
                        <v:stroke dashstyle="solid"/>
                      </v:line>
                    </v:group>
                  </w:pict>
                </mc:Fallback>
              </mc:AlternateContent>
            </w:r>
            <w:r>
              <w:rPr>
                <w:sz w:val="2"/>
              </w:rPr>
            </w:r>
          </w:p>
          <w:p>
            <w:pPr>
              <w:pStyle w:val="TableParagraph"/>
              <w:ind w:left="192"/>
              <w:rPr>
                <w:sz w:val="24"/>
              </w:rPr>
            </w:pPr>
            <w:r>
              <w:rPr>
                <w:sz w:val="24"/>
              </w:rPr>
              <w:t>Ведет</w:t>
            </w:r>
            <w:r>
              <w:rPr>
                <w:spacing w:val="-15"/>
                <w:sz w:val="24"/>
              </w:rPr>
              <w:t> </w:t>
            </w:r>
            <w:r>
              <w:rPr>
                <w:sz w:val="24"/>
              </w:rPr>
              <w:t>себя</w:t>
            </w:r>
            <w:r>
              <w:rPr>
                <w:spacing w:val="-15"/>
                <w:sz w:val="24"/>
              </w:rPr>
              <w:t> </w:t>
            </w:r>
            <w:r>
              <w:rPr>
                <w:sz w:val="24"/>
              </w:rPr>
              <w:t>вызывающе. Хвастается, задается.</w:t>
            </w:r>
          </w:p>
          <w:p>
            <w:pPr>
              <w:pStyle w:val="TableParagraph"/>
              <w:ind w:left="192"/>
              <w:rPr>
                <w:sz w:val="24"/>
              </w:rPr>
            </w:pPr>
            <w:r>
              <w:rPr>
                <w:sz w:val="24"/>
              </w:rPr>
              <w:t>Не может сконцентрироваться, удержать</w:t>
            </w:r>
            <w:r>
              <w:rPr>
                <w:spacing w:val="-8"/>
                <w:sz w:val="24"/>
              </w:rPr>
              <w:t> </w:t>
            </w:r>
            <w:r>
              <w:rPr>
                <w:sz w:val="24"/>
              </w:rPr>
              <w:t>свое</w:t>
            </w:r>
            <w:r>
              <w:rPr>
                <w:spacing w:val="-11"/>
                <w:sz w:val="24"/>
              </w:rPr>
              <w:t> </w:t>
            </w:r>
            <w:r>
              <w:rPr>
                <w:sz w:val="24"/>
              </w:rPr>
              <w:t>внимание</w:t>
            </w:r>
            <w:r>
              <w:rPr>
                <w:spacing w:val="-10"/>
                <w:sz w:val="24"/>
              </w:rPr>
              <w:t> </w:t>
            </w:r>
            <w:r>
              <w:rPr>
                <w:sz w:val="24"/>
              </w:rPr>
              <w:t>на</w:t>
            </w:r>
            <w:r>
              <w:rPr>
                <w:spacing w:val="-10"/>
                <w:sz w:val="24"/>
              </w:rPr>
              <w:t> </w:t>
            </w:r>
            <w:r>
              <w:rPr>
                <w:sz w:val="24"/>
              </w:rPr>
              <w:t>чем- то одном.</w:t>
            </w:r>
          </w:p>
          <w:p>
            <w:pPr>
              <w:pStyle w:val="TableParagraph"/>
              <w:ind w:left="192"/>
              <w:rPr>
                <w:sz w:val="24"/>
              </w:rPr>
            </w:pPr>
            <w:r>
              <w:rPr>
                <w:sz w:val="24"/>
              </w:rPr>
              <w:t>Не</w:t>
            </w:r>
            <w:r>
              <w:rPr>
                <w:spacing w:val="-15"/>
                <w:sz w:val="24"/>
              </w:rPr>
              <w:t> </w:t>
            </w:r>
            <w:r>
              <w:rPr>
                <w:sz w:val="24"/>
              </w:rPr>
              <w:t>может</w:t>
            </w:r>
            <w:r>
              <w:rPr>
                <w:spacing w:val="-13"/>
                <w:sz w:val="24"/>
              </w:rPr>
              <w:t> </w:t>
            </w:r>
            <w:r>
              <w:rPr>
                <w:sz w:val="24"/>
              </w:rPr>
              <w:t>отделаться</w:t>
            </w:r>
            <w:r>
              <w:rPr>
                <w:spacing w:val="-13"/>
                <w:sz w:val="24"/>
              </w:rPr>
              <w:t> </w:t>
            </w:r>
            <w:r>
              <w:rPr>
                <w:sz w:val="24"/>
              </w:rPr>
              <w:t>от навязчивых мыслей.</w:t>
            </w:r>
          </w:p>
          <w:p>
            <w:pPr>
              <w:pStyle w:val="TableParagraph"/>
              <w:ind w:left="192"/>
              <w:rPr>
                <w:sz w:val="24"/>
              </w:rPr>
            </w:pPr>
            <w:r>
              <w:rPr>
                <w:sz w:val="24"/>
              </w:rPr>
              <w:t>Опишите,</w:t>
            </w:r>
            <w:r>
              <w:rPr>
                <w:spacing w:val="-4"/>
                <w:sz w:val="24"/>
              </w:rPr>
              <w:t> </w:t>
            </w:r>
            <w:r>
              <w:rPr>
                <w:spacing w:val="-2"/>
                <w:sz w:val="24"/>
              </w:rPr>
              <w:t>пожалуйста</w:t>
            </w:r>
          </w:p>
          <w:p>
            <w:pPr>
              <w:pStyle w:val="TableParagraph"/>
              <w:spacing w:before="24"/>
              <w:rPr>
                <w:b/>
                <w:sz w:val="20"/>
              </w:rPr>
            </w:pPr>
          </w:p>
          <w:p>
            <w:pPr>
              <w:pStyle w:val="TableParagraph"/>
              <w:spacing w:line="20" w:lineRule="exact"/>
              <w:ind w:left="192"/>
              <w:rPr>
                <w:sz w:val="2"/>
              </w:rPr>
            </w:pPr>
            <w:r>
              <w:rPr>
                <w:sz w:val="2"/>
              </w:rPr>
              <mc:AlternateContent>
                <mc:Choice Requires="wps">
                  <w:drawing>
                    <wp:inline distT="0" distB="0" distL="0" distR="0">
                      <wp:extent cx="1676400" cy="6350"/>
                      <wp:effectExtent l="9525" t="0" r="0" b="3175"/>
                      <wp:docPr id="42" name="Group 42"/>
                      <wp:cNvGraphicFramePr>
                        <a:graphicFrameLocks/>
                      </wp:cNvGraphicFramePr>
                      <a:graphic>
                        <a:graphicData uri="http://schemas.microsoft.com/office/word/2010/wordprocessingGroup">
                          <wpg:wgp>
                            <wpg:cNvPr id="42" name="Group 42"/>
                            <wpg:cNvGrpSpPr/>
                            <wpg:grpSpPr>
                              <a:xfrm>
                                <a:off x="0" y="0"/>
                                <a:ext cx="1676400" cy="6350"/>
                                <a:chExt cx="1676400" cy="6350"/>
                              </a:xfrm>
                            </wpg:grpSpPr>
                            <wps:wsp>
                              <wps:cNvPr id="43" name="Graphic 43"/>
                              <wps:cNvSpPr/>
                              <wps:spPr>
                                <a:xfrm>
                                  <a:off x="0" y="3093"/>
                                  <a:ext cx="1676400" cy="1270"/>
                                </a:xfrm>
                                <a:custGeom>
                                  <a:avLst/>
                                  <a:gdLst/>
                                  <a:ahLst/>
                                  <a:cxnLst/>
                                  <a:rect l="l" t="t" r="r" b="b"/>
                                  <a:pathLst>
                                    <a:path w="1676400" h="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2pt;height:.5pt;mso-position-horizontal-relative:char;mso-position-vertical-relative:line" id="docshapegroup29" coordorigin="0,0" coordsize="2640,10">
                      <v:line style="position:absolute" from="0,5" to="2640,5" stroked="true" strokeweight=".487125pt" strokecolor="#000000">
                        <v:stroke dashstyle="solid"/>
                      </v:line>
                    </v:group>
                  </w:pict>
                </mc:Fallback>
              </mc:AlternateContent>
            </w:r>
            <w:r>
              <w:rPr>
                <w:sz w:val="2"/>
              </w:rPr>
            </w:r>
          </w:p>
          <w:p>
            <w:pPr>
              <w:pStyle w:val="TableParagraph"/>
              <w:ind w:left="192"/>
              <w:rPr>
                <w:sz w:val="24"/>
              </w:rPr>
            </w:pPr>
            <w:r>
              <w:rPr>
                <w:sz w:val="24"/>
              </w:rPr>
              <w:t>Не может усидеть на месте, неутомим, слишком активен. Слишком</w:t>
            </w:r>
            <w:r>
              <w:rPr>
                <w:spacing w:val="-13"/>
                <w:sz w:val="24"/>
              </w:rPr>
              <w:t> </w:t>
            </w:r>
            <w:r>
              <w:rPr>
                <w:sz w:val="24"/>
              </w:rPr>
              <w:t>зависим</w:t>
            </w:r>
            <w:r>
              <w:rPr>
                <w:spacing w:val="-14"/>
                <w:sz w:val="24"/>
              </w:rPr>
              <w:t> </w:t>
            </w:r>
            <w:r>
              <w:rPr>
                <w:sz w:val="24"/>
              </w:rPr>
              <w:t>от</w:t>
            </w:r>
            <w:r>
              <w:rPr>
                <w:spacing w:val="-13"/>
                <w:sz w:val="24"/>
              </w:rPr>
              <w:t> </w:t>
            </w:r>
            <w:r>
              <w:rPr>
                <w:sz w:val="24"/>
              </w:rPr>
              <w:t>взрослых, </w:t>
            </w:r>
            <w:r>
              <w:rPr>
                <w:spacing w:val="-2"/>
                <w:sz w:val="24"/>
              </w:rPr>
              <w:t>несамостоятелен.</w:t>
            </w:r>
          </w:p>
          <w:p>
            <w:pPr>
              <w:pStyle w:val="TableParagraph"/>
              <w:ind w:left="192" w:right="320"/>
              <w:rPr>
                <w:sz w:val="24"/>
              </w:rPr>
            </w:pPr>
            <w:r>
              <w:rPr>
                <w:sz w:val="24"/>
              </w:rPr>
              <w:t>Жалуется</w:t>
            </w:r>
            <w:r>
              <w:rPr>
                <w:spacing w:val="-15"/>
                <w:sz w:val="24"/>
              </w:rPr>
              <w:t> </w:t>
            </w:r>
            <w:r>
              <w:rPr>
                <w:sz w:val="24"/>
              </w:rPr>
              <w:t>на</w:t>
            </w:r>
            <w:r>
              <w:rPr>
                <w:spacing w:val="-15"/>
                <w:sz w:val="24"/>
              </w:rPr>
              <w:t> </w:t>
            </w:r>
            <w:r>
              <w:rPr>
                <w:sz w:val="24"/>
              </w:rPr>
              <w:t>одиночество. Неорганизован, рассеян. Много плачет.</w:t>
            </w:r>
          </w:p>
          <w:p>
            <w:pPr>
              <w:pStyle w:val="TableParagraph"/>
              <w:ind w:left="192"/>
              <w:rPr>
                <w:sz w:val="24"/>
              </w:rPr>
            </w:pPr>
            <w:r>
              <w:rPr>
                <w:sz w:val="24"/>
              </w:rPr>
              <w:t>Вертится,</w:t>
            </w:r>
            <w:r>
              <w:rPr>
                <w:spacing w:val="-4"/>
                <w:sz w:val="24"/>
              </w:rPr>
              <w:t> </w:t>
            </w:r>
            <w:r>
              <w:rPr>
                <w:spacing w:val="-2"/>
                <w:sz w:val="24"/>
              </w:rPr>
              <w:t>ерзает.</w:t>
            </w:r>
          </w:p>
          <w:p>
            <w:pPr>
              <w:pStyle w:val="TableParagraph"/>
              <w:ind w:left="192"/>
              <w:rPr>
                <w:sz w:val="24"/>
              </w:rPr>
            </w:pPr>
            <w:r>
              <w:rPr>
                <w:sz w:val="24"/>
              </w:rPr>
              <w:t>Жесток,</w:t>
            </w:r>
            <w:r>
              <w:rPr>
                <w:spacing w:val="-9"/>
                <w:sz w:val="24"/>
              </w:rPr>
              <w:t> </w:t>
            </w:r>
            <w:r>
              <w:rPr>
                <w:sz w:val="24"/>
              </w:rPr>
              <w:t>задирист</w:t>
            </w:r>
            <w:r>
              <w:rPr>
                <w:spacing w:val="-11"/>
                <w:sz w:val="24"/>
              </w:rPr>
              <w:t> </w:t>
            </w:r>
            <w:r>
              <w:rPr>
                <w:sz w:val="24"/>
              </w:rPr>
              <w:t>и</w:t>
            </w:r>
            <w:r>
              <w:rPr>
                <w:spacing w:val="-9"/>
                <w:sz w:val="24"/>
              </w:rPr>
              <w:t> </w:t>
            </w:r>
            <w:r>
              <w:rPr>
                <w:sz w:val="24"/>
              </w:rPr>
              <w:t>злобен</w:t>
            </w:r>
            <w:r>
              <w:rPr>
                <w:spacing w:val="-9"/>
                <w:sz w:val="24"/>
              </w:rPr>
              <w:t> </w:t>
            </w:r>
            <w:r>
              <w:rPr>
                <w:sz w:val="24"/>
              </w:rPr>
              <w:t>по отношению к другим.</w:t>
            </w:r>
          </w:p>
          <w:p>
            <w:pPr>
              <w:pStyle w:val="TableParagraph"/>
              <w:ind w:left="192"/>
              <w:rPr>
                <w:sz w:val="24"/>
              </w:rPr>
            </w:pPr>
            <w:r>
              <w:rPr>
                <w:sz w:val="24"/>
              </w:rPr>
              <w:t>Много фантазирует и выдумывает,</w:t>
            </w:r>
            <w:r>
              <w:rPr>
                <w:spacing w:val="-14"/>
                <w:sz w:val="24"/>
              </w:rPr>
              <w:t> </w:t>
            </w:r>
            <w:r>
              <w:rPr>
                <w:sz w:val="24"/>
              </w:rPr>
              <w:t>погружен</w:t>
            </w:r>
            <w:r>
              <w:rPr>
                <w:spacing w:val="-14"/>
                <w:sz w:val="24"/>
              </w:rPr>
              <w:t> </w:t>
            </w:r>
            <w:r>
              <w:rPr>
                <w:sz w:val="24"/>
              </w:rPr>
              <w:t>в</w:t>
            </w:r>
            <w:r>
              <w:rPr>
                <w:spacing w:val="-15"/>
                <w:sz w:val="24"/>
              </w:rPr>
              <w:t> </w:t>
            </w:r>
            <w:r>
              <w:rPr>
                <w:sz w:val="24"/>
              </w:rPr>
              <w:t>свои </w:t>
            </w:r>
            <w:r>
              <w:rPr>
                <w:spacing w:val="-2"/>
                <w:sz w:val="24"/>
              </w:rPr>
              <w:t>мысли.</w:t>
            </w:r>
          </w:p>
          <w:p>
            <w:pPr>
              <w:pStyle w:val="TableParagraph"/>
              <w:ind w:left="192" w:right="105"/>
              <w:rPr>
                <w:sz w:val="24"/>
              </w:rPr>
            </w:pPr>
            <w:r>
              <w:rPr>
                <w:sz w:val="24"/>
              </w:rPr>
              <w:t>Намеренное</w:t>
            </w:r>
            <w:r>
              <w:rPr>
                <w:spacing w:val="-15"/>
                <w:sz w:val="24"/>
              </w:rPr>
              <w:t> </w:t>
            </w:r>
            <w:r>
              <w:rPr>
                <w:sz w:val="24"/>
              </w:rPr>
              <w:t>членовредительство или попытка самоубийства.</w:t>
            </w:r>
          </w:p>
          <w:p>
            <w:pPr>
              <w:pStyle w:val="TableParagraph"/>
              <w:ind w:left="192"/>
              <w:rPr>
                <w:sz w:val="24"/>
              </w:rPr>
            </w:pPr>
            <w:r>
              <w:rPr>
                <w:sz w:val="24"/>
              </w:rPr>
              <w:t>Любит,</w:t>
            </w:r>
            <w:r>
              <w:rPr>
                <w:spacing w:val="-9"/>
                <w:sz w:val="24"/>
              </w:rPr>
              <w:t> </w:t>
            </w:r>
            <w:r>
              <w:rPr>
                <w:sz w:val="24"/>
              </w:rPr>
              <w:t>чтобы</w:t>
            </w:r>
            <w:r>
              <w:rPr>
                <w:spacing w:val="-12"/>
                <w:sz w:val="24"/>
              </w:rPr>
              <w:t> </w:t>
            </w:r>
            <w:r>
              <w:rPr>
                <w:sz w:val="24"/>
              </w:rPr>
              <w:t>на</w:t>
            </w:r>
            <w:r>
              <w:rPr>
                <w:spacing w:val="-9"/>
                <w:sz w:val="24"/>
              </w:rPr>
              <w:t> </w:t>
            </w:r>
            <w:r>
              <w:rPr>
                <w:sz w:val="24"/>
              </w:rPr>
              <w:t>него</w:t>
            </w:r>
            <w:r>
              <w:rPr>
                <w:spacing w:val="-9"/>
                <w:sz w:val="24"/>
              </w:rPr>
              <w:t> </w:t>
            </w:r>
            <w:r>
              <w:rPr>
                <w:sz w:val="24"/>
              </w:rPr>
              <w:t>обращали </w:t>
            </w:r>
            <w:r>
              <w:rPr>
                <w:spacing w:val="-2"/>
                <w:sz w:val="24"/>
              </w:rPr>
              <w:t>внимание.</w:t>
            </w:r>
          </w:p>
          <w:p>
            <w:pPr>
              <w:pStyle w:val="TableParagraph"/>
              <w:ind w:left="192"/>
              <w:rPr>
                <w:sz w:val="24"/>
              </w:rPr>
            </w:pPr>
            <w:r>
              <w:rPr>
                <w:sz w:val="24"/>
              </w:rPr>
              <w:t>Намеренно</w:t>
            </w:r>
            <w:r>
              <w:rPr>
                <w:spacing w:val="-15"/>
                <w:sz w:val="24"/>
              </w:rPr>
              <w:t> </w:t>
            </w:r>
            <w:r>
              <w:rPr>
                <w:sz w:val="24"/>
              </w:rPr>
              <w:t>ломает</w:t>
            </w:r>
            <w:r>
              <w:rPr>
                <w:spacing w:val="-15"/>
                <w:sz w:val="24"/>
              </w:rPr>
              <w:t> </w:t>
            </w:r>
            <w:r>
              <w:rPr>
                <w:sz w:val="24"/>
              </w:rPr>
              <w:t>и</w:t>
            </w:r>
            <w:r>
              <w:rPr>
                <w:spacing w:val="-12"/>
                <w:sz w:val="24"/>
              </w:rPr>
              <w:t> </w:t>
            </w:r>
            <w:r>
              <w:rPr>
                <w:sz w:val="24"/>
              </w:rPr>
              <w:t>уничтожает свои игрушки, книги, вещи.</w:t>
            </w:r>
          </w:p>
          <w:p>
            <w:pPr>
              <w:pStyle w:val="TableParagraph"/>
              <w:ind w:left="192"/>
              <w:rPr>
                <w:sz w:val="24"/>
              </w:rPr>
            </w:pPr>
            <w:r>
              <w:rPr>
                <w:sz w:val="24"/>
              </w:rPr>
              <w:t>Нарочно</w:t>
            </w:r>
            <w:r>
              <w:rPr>
                <w:spacing w:val="-15"/>
                <w:sz w:val="24"/>
              </w:rPr>
              <w:t> </w:t>
            </w:r>
            <w:r>
              <w:rPr>
                <w:sz w:val="24"/>
              </w:rPr>
              <w:t>ломает</w:t>
            </w:r>
            <w:r>
              <w:rPr>
                <w:spacing w:val="-15"/>
                <w:sz w:val="24"/>
              </w:rPr>
              <w:t> </w:t>
            </w:r>
            <w:r>
              <w:rPr>
                <w:sz w:val="24"/>
              </w:rPr>
              <w:t>и</w:t>
            </w:r>
            <w:r>
              <w:rPr>
                <w:spacing w:val="-11"/>
                <w:sz w:val="24"/>
              </w:rPr>
              <w:t> </w:t>
            </w:r>
            <w:r>
              <w:rPr>
                <w:sz w:val="24"/>
              </w:rPr>
              <w:t>уничтожает вещи, принадлежащие семье, родителям и другим людям.</w:t>
            </w:r>
          </w:p>
          <w:p>
            <w:pPr>
              <w:pStyle w:val="TableParagraph"/>
              <w:ind w:left="192" w:right="320"/>
              <w:rPr>
                <w:sz w:val="24"/>
              </w:rPr>
            </w:pPr>
            <w:r>
              <w:rPr>
                <w:sz w:val="24"/>
              </w:rPr>
              <w:t>Неспособен следовать указаниям</w:t>
            </w:r>
            <w:r>
              <w:rPr>
                <w:spacing w:val="-15"/>
                <w:sz w:val="24"/>
              </w:rPr>
              <w:t> </w:t>
            </w:r>
            <w:r>
              <w:rPr>
                <w:sz w:val="24"/>
              </w:rPr>
              <w:t>и</w:t>
            </w:r>
            <w:r>
              <w:rPr>
                <w:spacing w:val="-15"/>
                <w:sz w:val="24"/>
              </w:rPr>
              <w:t> </w:t>
            </w:r>
            <w:r>
              <w:rPr>
                <w:sz w:val="24"/>
              </w:rPr>
              <w:t>инструкциям. Непослушен в школе.</w:t>
            </w:r>
          </w:p>
          <w:p>
            <w:pPr>
              <w:pStyle w:val="TableParagraph"/>
              <w:ind w:left="192"/>
              <w:rPr>
                <w:sz w:val="24"/>
              </w:rPr>
            </w:pPr>
            <w:r>
              <w:rPr>
                <w:sz w:val="24"/>
              </w:rPr>
              <w:t>Отвлекает</w:t>
            </w:r>
            <w:r>
              <w:rPr>
                <w:spacing w:val="-4"/>
                <w:sz w:val="24"/>
              </w:rPr>
              <w:t> </w:t>
            </w:r>
            <w:r>
              <w:rPr>
                <w:sz w:val="24"/>
              </w:rPr>
              <w:t>других</w:t>
            </w:r>
            <w:r>
              <w:rPr>
                <w:spacing w:val="-1"/>
                <w:sz w:val="24"/>
              </w:rPr>
              <w:t> </w:t>
            </w:r>
            <w:r>
              <w:rPr>
                <w:spacing w:val="-2"/>
                <w:sz w:val="24"/>
              </w:rPr>
              <w:t>детей.</w:t>
            </w:r>
          </w:p>
          <w:p>
            <w:pPr>
              <w:pStyle w:val="TableParagraph"/>
              <w:spacing w:line="264" w:lineRule="exact"/>
              <w:ind w:left="192"/>
              <w:rPr>
                <w:sz w:val="24"/>
              </w:rPr>
            </w:pPr>
            <w:r>
              <w:rPr>
                <w:sz w:val="24"/>
              </w:rPr>
              <w:t>Не</w:t>
            </w:r>
            <w:r>
              <w:rPr>
                <w:spacing w:val="-4"/>
                <w:sz w:val="24"/>
              </w:rPr>
              <w:t> </w:t>
            </w:r>
            <w:r>
              <w:rPr>
                <w:sz w:val="24"/>
              </w:rPr>
              <w:t>ладит</w:t>
            </w:r>
            <w:r>
              <w:rPr>
                <w:spacing w:val="-1"/>
                <w:sz w:val="24"/>
              </w:rPr>
              <w:t> </w:t>
            </w:r>
            <w:r>
              <w:rPr>
                <w:sz w:val="24"/>
              </w:rPr>
              <w:t>с</w:t>
            </w:r>
            <w:r>
              <w:rPr>
                <w:spacing w:val="-2"/>
                <w:sz w:val="24"/>
              </w:rPr>
              <w:t> </w:t>
            </w:r>
            <w:r>
              <w:rPr>
                <w:sz w:val="24"/>
              </w:rPr>
              <w:t>другими</w:t>
            </w:r>
            <w:r>
              <w:rPr>
                <w:spacing w:val="-1"/>
                <w:sz w:val="24"/>
              </w:rPr>
              <w:t> </w:t>
            </w:r>
            <w:r>
              <w:rPr>
                <w:spacing w:val="-2"/>
                <w:sz w:val="24"/>
              </w:rPr>
              <w:t>детьми.</w:t>
            </w:r>
          </w:p>
        </w:tc>
        <w:tc>
          <w:tcPr>
            <w:tcW w:w="1125" w:type="dxa"/>
            <w:tcBorders>
              <w:right w:val="nil"/>
            </w:tcBorders>
          </w:tcPr>
          <w:p>
            <w:pPr>
              <w:pStyle w:val="TableParagraph"/>
              <w:spacing w:line="270" w:lineRule="exact"/>
              <w:ind w:left="144"/>
              <w:rPr>
                <w:i/>
                <w:sz w:val="24"/>
              </w:rPr>
            </w:pPr>
            <w:r>
              <w:rPr>
                <w:b/>
                <w:sz w:val="24"/>
              </w:rPr>
              <w:t>0 1 2 </w:t>
            </w:r>
            <w:r>
              <w:rPr>
                <w:i/>
                <w:spacing w:val="-5"/>
                <w:sz w:val="24"/>
              </w:rPr>
              <w:t>32.</w:t>
            </w:r>
          </w:p>
          <w:p>
            <w:pPr>
              <w:pStyle w:val="TableParagraph"/>
              <w:rPr>
                <w:b/>
                <w:sz w:val="24"/>
              </w:rPr>
            </w:pPr>
          </w:p>
          <w:p>
            <w:pPr>
              <w:pStyle w:val="TableParagraph"/>
              <w:ind w:left="144"/>
              <w:rPr>
                <w:i/>
                <w:sz w:val="24"/>
              </w:rPr>
            </w:pPr>
            <w:r>
              <w:rPr>
                <w:b/>
                <w:sz w:val="24"/>
              </w:rPr>
              <w:t>0 1 2 </w:t>
            </w:r>
            <w:r>
              <w:rPr>
                <w:i/>
                <w:spacing w:val="-5"/>
                <w:sz w:val="24"/>
              </w:rPr>
              <w:t>33.</w:t>
            </w:r>
          </w:p>
          <w:p>
            <w:pPr>
              <w:pStyle w:val="TableParagraph"/>
              <w:rPr>
                <w:b/>
                <w:sz w:val="24"/>
              </w:rPr>
            </w:pPr>
          </w:p>
          <w:p>
            <w:pPr>
              <w:pStyle w:val="TableParagraph"/>
              <w:ind w:left="144"/>
              <w:rPr>
                <w:i/>
                <w:sz w:val="24"/>
              </w:rPr>
            </w:pPr>
            <w:r>
              <w:rPr>
                <w:b/>
                <w:sz w:val="24"/>
              </w:rPr>
              <w:t>0 1 2 </w:t>
            </w:r>
            <w:r>
              <w:rPr>
                <w:i/>
                <w:spacing w:val="-5"/>
                <w:sz w:val="24"/>
              </w:rPr>
              <w:t>34.</w:t>
            </w:r>
          </w:p>
          <w:p>
            <w:pPr>
              <w:pStyle w:val="TableParagraph"/>
              <w:rPr>
                <w:b/>
                <w:sz w:val="24"/>
              </w:rPr>
            </w:pPr>
          </w:p>
          <w:p>
            <w:pPr>
              <w:pStyle w:val="TableParagraph"/>
              <w:rPr>
                <w:b/>
                <w:sz w:val="24"/>
              </w:rPr>
            </w:pPr>
          </w:p>
          <w:p>
            <w:pPr>
              <w:pStyle w:val="TableParagraph"/>
              <w:ind w:left="144"/>
              <w:rPr>
                <w:i/>
                <w:sz w:val="24"/>
              </w:rPr>
            </w:pPr>
            <w:r>
              <w:rPr>
                <w:b/>
                <w:sz w:val="24"/>
              </w:rPr>
              <w:t>0 1 2 </w:t>
            </w:r>
            <w:r>
              <w:rPr>
                <w:i/>
                <w:spacing w:val="-5"/>
                <w:sz w:val="24"/>
              </w:rPr>
              <w:t>35.</w:t>
            </w:r>
          </w:p>
          <w:p>
            <w:pPr>
              <w:pStyle w:val="TableParagraph"/>
              <w:rPr>
                <w:b/>
                <w:sz w:val="24"/>
              </w:rPr>
            </w:pPr>
          </w:p>
          <w:p>
            <w:pPr>
              <w:pStyle w:val="TableParagraph"/>
              <w:spacing w:before="1"/>
              <w:ind w:left="144"/>
              <w:rPr>
                <w:i/>
                <w:sz w:val="24"/>
              </w:rPr>
            </w:pPr>
            <w:r>
              <w:rPr>
                <w:b/>
                <w:sz w:val="24"/>
              </w:rPr>
              <w:t>0 1 2 </w:t>
            </w:r>
            <w:r>
              <w:rPr>
                <w:i/>
                <w:spacing w:val="-5"/>
                <w:sz w:val="24"/>
              </w:rPr>
              <w:t>36.</w:t>
            </w:r>
          </w:p>
          <w:p>
            <w:pPr>
              <w:pStyle w:val="TableParagraph"/>
              <w:spacing w:before="276"/>
              <w:ind w:left="144"/>
              <w:rPr>
                <w:i/>
                <w:sz w:val="24"/>
              </w:rPr>
            </w:pPr>
            <w:r>
              <w:rPr>
                <w:b/>
                <w:sz w:val="24"/>
              </w:rPr>
              <w:t>0 1 2 </w:t>
            </w:r>
            <w:r>
              <w:rPr>
                <w:i/>
                <w:spacing w:val="-5"/>
                <w:sz w:val="24"/>
              </w:rPr>
              <w:t>37.</w:t>
            </w:r>
          </w:p>
          <w:p>
            <w:pPr>
              <w:pStyle w:val="TableParagraph"/>
              <w:ind w:left="144"/>
              <w:rPr>
                <w:i/>
                <w:sz w:val="24"/>
              </w:rPr>
            </w:pPr>
            <w:r>
              <w:rPr>
                <w:b/>
                <w:sz w:val="24"/>
              </w:rPr>
              <w:t>0 1 2 </w:t>
            </w:r>
            <w:r>
              <w:rPr>
                <w:i/>
                <w:spacing w:val="-5"/>
                <w:sz w:val="24"/>
              </w:rPr>
              <w:t>38.</w:t>
            </w:r>
          </w:p>
          <w:p>
            <w:pPr>
              <w:pStyle w:val="TableParagraph"/>
              <w:ind w:left="144"/>
              <w:rPr>
                <w:i/>
                <w:sz w:val="24"/>
              </w:rPr>
            </w:pPr>
            <w:r>
              <w:rPr>
                <w:b/>
                <w:sz w:val="24"/>
              </w:rPr>
              <w:t>0 1 2 </w:t>
            </w:r>
            <w:r>
              <w:rPr>
                <w:i/>
                <w:spacing w:val="-5"/>
                <w:sz w:val="24"/>
              </w:rPr>
              <w:t>39.</w:t>
            </w:r>
          </w:p>
          <w:p>
            <w:pPr>
              <w:pStyle w:val="TableParagraph"/>
              <w:rPr>
                <w:b/>
                <w:sz w:val="24"/>
              </w:rPr>
            </w:pPr>
          </w:p>
          <w:p>
            <w:pPr>
              <w:pStyle w:val="TableParagraph"/>
              <w:spacing w:before="273"/>
              <w:rPr>
                <w:b/>
                <w:sz w:val="24"/>
              </w:rPr>
            </w:pPr>
          </w:p>
          <w:p>
            <w:pPr>
              <w:pStyle w:val="TableParagraph"/>
              <w:ind w:left="144"/>
              <w:rPr>
                <w:i/>
                <w:sz w:val="24"/>
              </w:rPr>
            </w:pPr>
            <w:r>
              <w:rPr>
                <w:b/>
                <w:sz w:val="24"/>
              </w:rPr>
              <w:t>0 1 2 </w:t>
            </w:r>
            <w:r>
              <w:rPr>
                <w:i/>
                <w:spacing w:val="-5"/>
                <w:sz w:val="24"/>
              </w:rPr>
              <w:t>40.</w:t>
            </w:r>
          </w:p>
          <w:p>
            <w:pPr>
              <w:pStyle w:val="TableParagraph"/>
              <w:rPr>
                <w:b/>
                <w:sz w:val="24"/>
              </w:rPr>
            </w:pPr>
          </w:p>
          <w:p>
            <w:pPr>
              <w:pStyle w:val="TableParagraph"/>
              <w:rPr>
                <w:b/>
                <w:sz w:val="24"/>
              </w:rPr>
            </w:pPr>
          </w:p>
          <w:p>
            <w:pPr>
              <w:pStyle w:val="TableParagraph"/>
              <w:spacing w:before="1"/>
              <w:rPr>
                <w:b/>
                <w:sz w:val="24"/>
              </w:rPr>
            </w:pPr>
          </w:p>
          <w:p>
            <w:pPr>
              <w:pStyle w:val="TableParagraph"/>
              <w:ind w:left="144"/>
              <w:rPr>
                <w:i/>
                <w:sz w:val="24"/>
              </w:rPr>
            </w:pPr>
            <w:r>
              <w:rPr>
                <w:b/>
                <w:sz w:val="24"/>
              </w:rPr>
              <w:t>0 1 2 </w:t>
            </w:r>
            <w:r>
              <w:rPr>
                <w:i/>
                <w:spacing w:val="-5"/>
                <w:sz w:val="24"/>
              </w:rPr>
              <w:t>41.</w:t>
            </w:r>
          </w:p>
          <w:p>
            <w:pPr>
              <w:pStyle w:val="TableParagraph"/>
              <w:rPr>
                <w:b/>
                <w:sz w:val="24"/>
              </w:rPr>
            </w:pPr>
          </w:p>
          <w:p>
            <w:pPr>
              <w:pStyle w:val="TableParagraph"/>
              <w:ind w:left="144"/>
              <w:rPr>
                <w:i/>
                <w:sz w:val="24"/>
              </w:rPr>
            </w:pPr>
            <w:r>
              <w:rPr>
                <w:b/>
                <w:sz w:val="24"/>
              </w:rPr>
              <w:t>0 1 2 </w:t>
            </w:r>
            <w:r>
              <w:rPr>
                <w:i/>
                <w:spacing w:val="-5"/>
                <w:sz w:val="24"/>
              </w:rPr>
              <w:t>42.</w:t>
            </w:r>
          </w:p>
          <w:p>
            <w:pPr>
              <w:pStyle w:val="TableParagraph"/>
              <w:ind w:left="144"/>
              <w:rPr>
                <w:i/>
                <w:sz w:val="24"/>
              </w:rPr>
            </w:pPr>
            <w:r>
              <w:rPr>
                <w:b/>
                <w:sz w:val="24"/>
              </w:rPr>
              <w:t>0 1 2 </w:t>
            </w:r>
            <w:r>
              <w:rPr>
                <w:i/>
                <w:spacing w:val="-5"/>
                <w:sz w:val="24"/>
              </w:rPr>
              <w:t>43.</w:t>
            </w:r>
          </w:p>
          <w:p>
            <w:pPr>
              <w:pStyle w:val="TableParagraph"/>
              <w:rPr>
                <w:b/>
                <w:sz w:val="24"/>
              </w:rPr>
            </w:pPr>
          </w:p>
          <w:p>
            <w:pPr>
              <w:pStyle w:val="TableParagraph"/>
              <w:ind w:left="144"/>
              <w:rPr>
                <w:i/>
                <w:sz w:val="24"/>
              </w:rPr>
            </w:pPr>
            <w:r>
              <w:rPr>
                <w:b/>
                <w:sz w:val="24"/>
              </w:rPr>
              <w:t>0 1 2 </w:t>
            </w:r>
            <w:r>
              <w:rPr>
                <w:i/>
                <w:spacing w:val="-5"/>
                <w:sz w:val="24"/>
              </w:rPr>
              <w:t>44.</w:t>
            </w:r>
          </w:p>
          <w:p>
            <w:pPr>
              <w:pStyle w:val="TableParagraph"/>
              <w:ind w:left="144"/>
              <w:rPr>
                <w:i/>
                <w:sz w:val="24"/>
              </w:rPr>
            </w:pPr>
            <w:r>
              <w:rPr>
                <w:b/>
                <w:sz w:val="24"/>
              </w:rPr>
              <w:t>0 1 2 </w:t>
            </w:r>
            <w:r>
              <w:rPr>
                <w:i/>
                <w:spacing w:val="-5"/>
                <w:sz w:val="24"/>
              </w:rPr>
              <w:t>45.</w:t>
            </w:r>
          </w:p>
          <w:p>
            <w:pPr>
              <w:pStyle w:val="TableParagraph"/>
              <w:rPr>
                <w:b/>
                <w:sz w:val="24"/>
              </w:rPr>
            </w:pPr>
          </w:p>
          <w:p>
            <w:pPr>
              <w:pStyle w:val="TableParagraph"/>
              <w:ind w:left="144"/>
              <w:rPr>
                <w:i/>
                <w:sz w:val="24"/>
              </w:rPr>
            </w:pPr>
            <w:r>
              <w:rPr>
                <w:b/>
                <w:sz w:val="24"/>
              </w:rPr>
              <w:t>0 1 2 </w:t>
            </w:r>
            <w:r>
              <w:rPr>
                <w:i/>
                <w:spacing w:val="-5"/>
                <w:sz w:val="24"/>
              </w:rPr>
              <w:t>46.</w:t>
            </w:r>
          </w:p>
          <w:p>
            <w:pPr>
              <w:pStyle w:val="TableParagraph"/>
              <w:rPr>
                <w:b/>
                <w:sz w:val="24"/>
              </w:rPr>
            </w:pPr>
          </w:p>
          <w:p>
            <w:pPr>
              <w:pStyle w:val="TableParagraph"/>
              <w:rPr>
                <w:b/>
                <w:sz w:val="24"/>
              </w:rPr>
            </w:pPr>
          </w:p>
          <w:p>
            <w:pPr>
              <w:pStyle w:val="TableParagraph"/>
              <w:rPr>
                <w:b/>
                <w:sz w:val="24"/>
              </w:rPr>
            </w:pPr>
          </w:p>
          <w:p>
            <w:pPr>
              <w:pStyle w:val="TableParagraph"/>
              <w:spacing w:before="1"/>
              <w:ind w:left="144"/>
              <w:rPr>
                <w:sz w:val="24"/>
              </w:rPr>
            </w:pPr>
            <w:r>
              <w:rPr>
                <w:b/>
                <w:sz w:val="24"/>
              </w:rPr>
              <w:t>0 1 2 </w:t>
            </w:r>
            <w:r>
              <w:rPr>
                <w:i/>
                <w:spacing w:val="-5"/>
                <w:sz w:val="24"/>
              </w:rPr>
              <w:t>47</w:t>
            </w:r>
            <w:r>
              <w:rPr>
                <w:spacing w:val="-5"/>
                <w:sz w:val="24"/>
              </w:rPr>
              <w:t>.</w:t>
            </w:r>
          </w:p>
          <w:p>
            <w:pPr>
              <w:pStyle w:val="TableParagraph"/>
              <w:spacing w:before="276"/>
              <w:ind w:left="144"/>
              <w:rPr>
                <w:i/>
                <w:sz w:val="24"/>
              </w:rPr>
            </w:pPr>
            <w:r>
              <w:rPr>
                <w:b/>
                <w:sz w:val="24"/>
              </w:rPr>
              <w:t>0 1 2 </w:t>
            </w:r>
            <w:r>
              <w:rPr>
                <w:i/>
                <w:spacing w:val="-5"/>
                <w:sz w:val="24"/>
              </w:rPr>
              <w:t>48.</w:t>
            </w:r>
          </w:p>
          <w:p>
            <w:pPr>
              <w:pStyle w:val="TableParagraph"/>
              <w:ind w:left="144"/>
              <w:rPr>
                <w:i/>
                <w:sz w:val="24"/>
              </w:rPr>
            </w:pPr>
            <w:r>
              <w:rPr>
                <w:b/>
                <w:sz w:val="24"/>
              </w:rPr>
              <w:t>0 1 2 </w:t>
            </w:r>
            <w:r>
              <w:rPr>
                <w:i/>
                <w:spacing w:val="-5"/>
                <w:sz w:val="24"/>
              </w:rPr>
              <w:t>49.</w:t>
            </w:r>
          </w:p>
          <w:p>
            <w:pPr>
              <w:pStyle w:val="TableParagraph"/>
              <w:rPr>
                <w:b/>
                <w:sz w:val="24"/>
              </w:rPr>
            </w:pPr>
          </w:p>
          <w:p>
            <w:pPr>
              <w:pStyle w:val="TableParagraph"/>
              <w:ind w:left="144"/>
              <w:rPr>
                <w:i/>
                <w:sz w:val="24"/>
              </w:rPr>
            </w:pPr>
            <w:r>
              <w:rPr>
                <w:b/>
                <w:sz w:val="24"/>
              </w:rPr>
              <w:t>0 1 2 </w:t>
            </w:r>
            <w:r>
              <w:rPr>
                <w:i/>
                <w:spacing w:val="-5"/>
                <w:sz w:val="24"/>
              </w:rPr>
              <w:t>50.</w:t>
            </w:r>
          </w:p>
          <w:p>
            <w:pPr>
              <w:pStyle w:val="TableParagraph"/>
              <w:ind w:left="144"/>
              <w:rPr>
                <w:i/>
                <w:sz w:val="24"/>
              </w:rPr>
            </w:pPr>
            <w:r>
              <w:rPr>
                <w:b/>
                <w:sz w:val="24"/>
              </w:rPr>
              <w:t>0 1 2 </w:t>
            </w:r>
            <w:r>
              <w:rPr>
                <w:i/>
                <w:spacing w:val="-5"/>
                <w:sz w:val="24"/>
              </w:rPr>
              <w:t>51.</w:t>
            </w:r>
          </w:p>
          <w:p>
            <w:pPr>
              <w:pStyle w:val="TableParagraph"/>
              <w:ind w:left="144"/>
              <w:rPr>
                <w:i/>
                <w:sz w:val="24"/>
              </w:rPr>
            </w:pPr>
            <w:r>
              <w:rPr>
                <w:b/>
                <w:sz w:val="24"/>
              </w:rPr>
              <w:t>0 1 2 </w:t>
            </w:r>
            <w:r>
              <w:rPr>
                <w:i/>
                <w:spacing w:val="-5"/>
                <w:sz w:val="24"/>
              </w:rPr>
              <w:t>52.</w:t>
            </w:r>
          </w:p>
          <w:p>
            <w:pPr>
              <w:pStyle w:val="TableParagraph"/>
              <w:rPr>
                <w:b/>
                <w:sz w:val="24"/>
              </w:rPr>
            </w:pPr>
          </w:p>
          <w:p>
            <w:pPr>
              <w:pStyle w:val="TableParagraph"/>
              <w:ind w:left="144"/>
              <w:rPr>
                <w:i/>
                <w:sz w:val="24"/>
              </w:rPr>
            </w:pPr>
            <w:r>
              <w:rPr>
                <w:b/>
                <w:sz w:val="24"/>
              </w:rPr>
              <w:t>0 1 2 </w:t>
            </w:r>
            <w:r>
              <w:rPr>
                <w:i/>
                <w:spacing w:val="-5"/>
                <w:sz w:val="24"/>
              </w:rPr>
              <w:t>53.</w:t>
            </w:r>
          </w:p>
          <w:p>
            <w:pPr>
              <w:pStyle w:val="TableParagraph"/>
              <w:rPr>
                <w:b/>
                <w:sz w:val="24"/>
              </w:rPr>
            </w:pPr>
          </w:p>
          <w:p>
            <w:pPr>
              <w:pStyle w:val="TableParagraph"/>
              <w:rPr>
                <w:b/>
                <w:sz w:val="24"/>
              </w:rPr>
            </w:pPr>
          </w:p>
          <w:p>
            <w:pPr>
              <w:pStyle w:val="TableParagraph"/>
              <w:ind w:left="144"/>
              <w:rPr>
                <w:i/>
                <w:sz w:val="24"/>
              </w:rPr>
            </w:pPr>
            <w:r>
              <w:rPr>
                <w:b/>
                <w:sz w:val="24"/>
              </w:rPr>
              <w:t>0 1 2 </w:t>
            </w:r>
            <w:r>
              <w:rPr>
                <w:i/>
                <w:spacing w:val="-5"/>
                <w:sz w:val="24"/>
              </w:rPr>
              <w:t>54.</w:t>
            </w:r>
          </w:p>
          <w:p>
            <w:pPr>
              <w:pStyle w:val="TableParagraph"/>
              <w:ind w:left="144"/>
              <w:rPr>
                <w:i/>
                <w:sz w:val="24"/>
              </w:rPr>
            </w:pPr>
            <w:r>
              <w:rPr>
                <w:b/>
                <w:sz w:val="24"/>
              </w:rPr>
              <w:t>0 1 2 </w:t>
            </w:r>
            <w:r>
              <w:rPr>
                <w:i/>
                <w:spacing w:val="-5"/>
                <w:sz w:val="24"/>
              </w:rPr>
              <w:t>55.</w:t>
            </w:r>
          </w:p>
        </w:tc>
        <w:tc>
          <w:tcPr>
            <w:tcW w:w="3585" w:type="dxa"/>
            <w:tcBorders>
              <w:left w:val="nil"/>
              <w:right w:val="nil"/>
            </w:tcBorders>
          </w:tcPr>
          <w:p>
            <w:pPr>
              <w:pStyle w:val="TableParagraph"/>
              <w:ind w:left="131" w:right="190"/>
              <w:rPr>
                <w:sz w:val="24"/>
              </w:rPr>
            </w:pPr>
            <w:r>
              <w:rPr>
                <w:sz w:val="24"/>
              </w:rPr>
              <w:t>Считает,</w:t>
            </w:r>
            <w:r>
              <w:rPr>
                <w:spacing w:val="-13"/>
                <w:sz w:val="24"/>
              </w:rPr>
              <w:t> </w:t>
            </w:r>
            <w:r>
              <w:rPr>
                <w:sz w:val="24"/>
              </w:rPr>
              <w:t>что</w:t>
            </w:r>
            <w:r>
              <w:rPr>
                <w:spacing w:val="-13"/>
                <w:sz w:val="24"/>
              </w:rPr>
              <w:t> </w:t>
            </w:r>
            <w:r>
              <w:rPr>
                <w:sz w:val="24"/>
              </w:rPr>
              <w:t>всегда</w:t>
            </w:r>
            <w:r>
              <w:rPr>
                <w:spacing w:val="-14"/>
                <w:sz w:val="24"/>
              </w:rPr>
              <w:t> </w:t>
            </w:r>
            <w:r>
              <w:rPr>
                <w:sz w:val="24"/>
              </w:rPr>
              <w:t>должен быть безупречным.</w:t>
            </w:r>
          </w:p>
          <w:p>
            <w:pPr>
              <w:pStyle w:val="TableParagraph"/>
              <w:ind w:left="131" w:right="190"/>
              <w:rPr>
                <w:sz w:val="24"/>
              </w:rPr>
            </w:pPr>
            <w:r>
              <w:rPr>
                <w:sz w:val="24"/>
              </w:rPr>
              <w:t>Ему</w:t>
            </w:r>
            <w:r>
              <w:rPr>
                <w:spacing w:val="-11"/>
                <w:sz w:val="24"/>
              </w:rPr>
              <w:t> </w:t>
            </w:r>
            <w:r>
              <w:rPr>
                <w:sz w:val="24"/>
              </w:rPr>
              <w:t>кажется,</w:t>
            </w:r>
            <w:r>
              <w:rPr>
                <w:spacing w:val="-7"/>
                <w:sz w:val="24"/>
              </w:rPr>
              <w:t> </w:t>
            </w:r>
            <w:r>
              <w:rPr>
                <w:sz w:val="24"/>
              </w:rPr>
              <w:t>что</w:t>
            </w:r>
            <w:r>
              <w:rPr>
                <w:spacing w:val="-7"/>
                <w:sz w:val="24"/>
              </w:rPr>
              <w:t> </w:t>
            </w:r>
            <w:r>
              <w:rPr>
                <w:sz w:val="24"/>
              </w:rPr>
              <w:t>его</w:t>
            </w:r>
            <w:r>
              <w:rPr>
                <w:spacing w:val="-7"/>
                <w:sz w:val="24"/>
              </w:rPr>
              <w:t> </w:t>
            </w:r>
            <w:r>
              <w:rPr>
                <w:sz w:val="24"/>
              </w:rPr>
              <w:t>никто</w:t>
            </w:r>
            <w:r>
              <w:rPr>
                <w:spacing w:val="-8"/>
                <w:sz w:val="24"/>
              </w:rPr>
              <w:t> </w:t>
            </w:r>
            <w:r>
              <w:rPr>
                <w:sz w:val="24"/>
              </w:rPr>
              <w:t>не </w:t>
            </w:r>
            <w:r>
              <w:rPr>
                <w:spacing w:val="-2"/>
                <w:sz w:val="24"/>
              </w:rPr>
              <w:t>любит.</w:t>
            </w:r>
          </w:p>
          <w:p>
            <w:pPr>
              <w:pStyle w:val="TableParagraph"/>
              <w:ind w:left="131" w:right="190"/>
              <w:rPr>
                <w:sz w:val="24"/>
              </w:rPr>
            </w:pPr>
            <w:r>
              <w:rPr>
                <w:sz w:val="24"/>
              </w:rPr>
              <w:t>Ему</w:t>
            </w:r>
            <w:r>
              <w:rPr>
                <w:spacing w:val="-13"/>
                <w:sz w:val="24"/>
              </w:rPr>
              <w:t> </w:t>
            </w:r>
            <w:r>
              <w:rPr>
                <w:sz w:val="24"/>
              </w:rPr>
              <w:t>кажется,</w:t>
            </w:r>
            <w:r>
              <w:rPr>
                <w:spacing w:val="-9"/>
                <w:sz w:val="24"/>
              </w:rPr>
              <w:t> </w:t>
            </w:r>
            <w:r>
              <w:rPr>
                <w:sz w:val="24"/>
              </w:rPr>
              <w:t>что</w:t>
            </w:r>
            <w:r>
              <w:rPr>
                <w:spacing w:val="-9"/>
                <w:sz w:val="24"/>
              </w:rPr>
              <w:t> </w:t>
            </w:r>
            <w:r>
              <w:rPr>
                <w:sz w:val="24"/>
              </w:rPr>
              <w:t>другие</w:t>
            </w:r>
            <w:r>
              <w:rPr>
                <w:spacing w:val="-10"/>
                <w:sz w:val="24"/>
              </w:rPr>
              <w:t> </w:t>
            </w:r>
            <w:r>
              <w:rPr>
                <w:sz w:val="24"/>
              </w:rPr>
              <w:t>люди хотят ему досадить или причинить вред.</w:t>
            </w:r>
          </w:p>
          <w:p>
            <w:pPr>
              <w:pStyle w:val="TableParagraph"/>
              <w:ind w:left="131"/>
              <w:rPr>
                <w:sz w:val="24"/>
              </w:rPr>
            </w:pPr>
            <w:r>
              <w:rPr>
                <w:sz w:val="24"/>
              </w:rPr>
              <w:t>Чувствует</w:t>
            </w:r>
            <w:r>
              <w:rPr>
                <w:spacing w:val="-15"/>
                <w:sz w:val="24"/>
              </w:rPr>
              <w:t> </w:t>
            </w:r>
            <w:r>
              <w:rPr>
                <w:sz w:val="24"/>
              </w:rPr>
              <w:t>себя</w:t>
            </w:r>
            <w:r>
              <w:rPr>
                <w:spacing w:val="-15"/>
                <w:sz w:val="24"/>
              </w:rPr>
              <w:t> </w:t>
            </w:r>
            <w:r>
              <w:rPr>
                <w:sz w:val="24"/>
              </w:rPr>
              <w:t>неполноценным, </w:t>
            </w:r>
            <w:r>
              <w:rPr>
                <w:spacing w:val="-2"/>
                <w:sz w:val="24"/>
              </w:rPr>
              <w:t>никчемным.</w:t>
            </w:r>
          </w:p>
          <w:p>
            <w:pPr>
              <w:pStyle w:val="TableParagraph"/>
              <w:ind w:left="131" w:right="190"/>
              <w:rPr>
                <w:sz w:val="24"/>
              </w:rPr>
            </w:pPr>
            <w:r>
              <w:rPr>
                <w:sz w:val="24"/>
              </w:rPr>
              <w:t>Часто</w:t>
            </w:r>
            <w:r>
              <w:rPr>
                <w:spacing w:val="-15"/>
                <w:sz w:val="24"/>
              </w:rPr>
              <w:t> </w:t>
            </w:r>
            <w:r>
              <w:rPr>
                <w:sz w:val="24"/>
              </w:rPr>
              <w:t>получает</w:t>
            </w:r>
            <w:r>
              <w:rPr>
                <w:spacing w:val="-15"/>
                <w:sz w:val="24"/>
              </w:rPr>
              <w:t> </w:t>
            </w:r>
            <w:r>
              <w:rPr>
                <w:sz w:val="24"/>
              </w:rPr>
              <w:t>ушибы, физические травмы.</w:t>
            </w:r>
          </w:p>
          <w:p>
            <w:pPr>
              <w:pStyle w:val="TableParagraph"/>
              <w:ind w:left="131" w:right="984"/>
              <w:rPr>
                <w:sz w:val="24"/>
              </w:rPr>
            </w:pPr>
            <w:r>
              <w:rPr>
                <w:sz w:val="24"/>
              </w:rPr>
              <w:t>Ввязывается</w:t>
            </w:r>
            <w:r>
              <w:rPr>
                <w:spacing w:val="-15"/>
                <w:sz w:val="24"/>
              </w:rPr>
              <w:t> </w:t>
            </w:r>
            <w:r>
              <w:rPr>
                <w:sz w:val="24"/>
              </w:rPr>
              <w:t>в</w:t>
            </w:r>
            <w:r>
              <w:rPr>
                <w:spacing w:val="-15"/>
                <w:sz w:val="24"/>
              </w:rPr>
              <w:t> </w:t>
            </w:r>
            <w:r>
              <w:rPr>
                <w:sz w:val="24"/>
              </w:rPr>
              <w:t>драки. Его часто дразнят.</w:t>
            </w:r>
          </w:p>
          <w:p>
            <w:pPr>
              <w:pStyle w:val="TableParagraph"/>
              <w:ind w:left="131" w:right="190"/>
              <w:rPr>
                <w:sz w:val="24"/>
              </w:rPr>
            </w:pPr>
            <w:r>
              <w:rPr>
                <w:sz w:val="24"/>
              </w:rPr>
              <w:t>Водится</w:t>
            </w:r>
            <w:r>
              <w:rPr>
                <w:spacing w:val="-10"/>
                <w:sz w:val="24"/>
              </w:rPr>
              <w:t> </w:t>
            </w:r>
            <w:r>
              <w:rPr>
                <w:sz w:val="24"/>
              </w:rPr>
              <w:t>(входит</w:t>
            </w:r>
            <w:r>
              <w:rPr>
                <w:spacing w:val="-10"/>
                <w:sz w:val="24"/>
              </w:rPr>
              <w:t> </w:t>
            </w:r>
            <w:r>
              <w:rPr>
                <w:sz w:val="24"/>
              </w:rPr>
              <w:t>в</w:t>
            </w:r>
            <w:r>
              <w:rPr>
                <w:spacing w:val="-11"/>
                <w:sz w:val="24"/>
              </w:rPr>
              <w:t> </w:t>
            </w:r>
            <w:r>
              <w:rPr>
                <w:sz w:val="24"/>
              </w:rPr>
              <w:t>компании)</w:t>
            </w:r>
            <w:r>
              <w:rPr>
                <w:spacing w:val="-10"/>
                <w:sz w:val="24"/>
              </w:rPr>
              <w:t> </w:t>
            </w:r>
            <w:r>
              <w:rPr>
                <w:sz w:val="24"/>
              </w:rPr>
              <w:t>с детьми, которые часто попадают в неприятные истории</w:t>
            </w:r>
            <w:r>
              <w:rPr>
                <w:spacing w:val="-8"/>
                <w:sz w:val="24"/>
              </w:rPr>
              <w:t> </w:t>
            </w:r>
            <w:r>
              <w:rPr>
                <w:sz w:val="24"/>
              </w:rPr>
              <w:t>или</w:t>
            </w:r>
            <w:r>
              <w:rPr>
                <w:spacing w:val="-8"/>
                <w:sz w:val="24"/>
              </w:rPr>
              <w:t> </w:t>
            </w:r>
            <w:r>
              <w:rPr>
                <w:sz w:val="24"/>
              </w:rPr>
              <w:t>даже</w:t>
            </w:r>
            <w:r>
              <w:rPr>
                <w:spacing w:val="-8"/>
                <w:sz w:val="24"/>
              </w:rPr>
              <w:t> </w:t>
            </w:r>
            <w:r>
              <w:rPr>
                <w:sz w:val="24"/>
              </w:rPr>
              <w:t>затевают</w:t>
            </w:r>
            <w:r>
              <w:rPr>
                <w:spacing w:val="-6"/>
                <w:sz w:val="24"/>
              </w:rPr>
              <w:t> </w:t>
            </w:r>
            <w:r>
              <w:rPr>
                <w:sz w:val="24"/>
              </w:rPr>
              <w:t>их. Слышит что-то, что, кроме него, никто не слышит.</w:t>
            </w:r>
          </w:p>
          <w:p>
            <w:pPr>
              <w:pStyle w:val="TableParagraph"/>
              <w:spacing w:line="274" w:lineRule="exact"/>
              <w:ind w:left="131"/>
              <w:rPr>
                <w:sz w:val="24"/>
              </w:rPr>
            </w:pPr>
            <w:r>
              <w:rPr>
                <w:sz w:val="24"/>
              </w:rPr>
              <w:t>Опишите,</w:t>
            </w:r>
            <w:r>
              <w:rPr>
                <w:spacing w:val="-4"/>
                <w:sz w:val="24"/>
              </w:rPr>
              <w:t> </w:t>
            </w:r>
            <w:r>
              <w:rPr>
                <w:spacing w:val="-2"/>
                <w:sz w:val="24"/>
              </w:rPr>
              <w:t>пожалуйста</w:t>
            </w:r>
          </w:p>
          <w:p>
            <w:pPr>
              <w:pStyle w:val="TableParagraph"/>
              <w:spacing w:before="36"/>
              <w:rPr>
                <w:b/>
                <w:sz w:val="20"/>
              </w:rPr>
            </w:pPr>
          </w:p>
          <w:p>
            <w:pPr>
              <w:pStyle w:val="TableParagraph"/>
              <w:spacing w:line="20" w:lineRule="exact"/>
              <w:ind w:left="131"/>
              <w:rPr>
                <w:sz w:val="2"/>
              </w:rPr>
            </w:pPr>
            <w:r>
              <w:rPr>
                <w:sz w:val="2"/>
              </w:rPr>
              <mc:AlternateContent>
                <mc:Choice Requires="wps">
                  <w:drawing>
                    <wp:inline distT="0" distB="0" distL="0" distR="0">
                      <wp:extent cx="1447800" cy="6350"/>
                      <wp:effectExtent l="9525" t="0" r="0" b="3175"/>
                      <wp:docPr id="44" name="Group 44"/>
                      <wp:cNvGraphicFramePr>
                        <a:graphicFrameLocks/>
                      </wp:cNvGraphicFramePr>
                      <a:graphic>
                        <a:graphicData uri="http://schemas.microsoft.com/office/word/2010/wordprocessingGroup">
                          <wpg:wgp>
                            <wpg:cNvPr id="44" name="Group 44"/>
                            <wpg:cNvGrpSpPr/>
                            <wpg:grpSpPr>
                              <a:xfrm>
                                <a:off x="0" y="0"/>
                                <a:ext cx="1447800" cy="6350"/>
                                <a:chExt cx="1447800" cy="6350"/>
                              </a:xfrm>
                            </wpg:grpSpPr>
                            <wps:wsp>
                              <wps:cNvPr id="45" name="Graphic 45"/>
                              <wps:cNvSpPr/>
                              <wps:spPr>
                                <a:xfrm>
                                  <a:off x="0" y="3093"/>
                                  <a:ext cx="1447800" cy="1270"/>
                                </a:xfrm>
                                <a:custGeom>
                                  <a:avLst/>
                                  <a:gdLst/>
                                  <a:ahLst/>
                                  <a:cxnLst/>
                                  <a:rect l="l" t="t" r="r" b="b"/>
                                  <a:pathLst>
                                    <a:path w="1447800" h="0">
                                      <a:moveTo>
                                        <a:pt x="0" y="0"/>
                                      </a:moveTo>
                                      <a:lnTo>
                                        <a:pt x="1447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14pt;height:.5pt;mso-position-horizontal-relative:char;mso-position-vertical-relative:line" id="docshapegroup30" coordorigin="0,0" coordsize="2280,10">
                      <v:line style="position:absolute" from="0,5" to="2280,5" stroked="true" strokeweight=".487125pt" strokecolor="#000000">
                        <v:stroke dashstyle="solid"/>
                      </v:line>
                    </v:group>
                  </w:pict>
                </mc:Fallback>
              </mc:AlternateContent>
            </w:r>
            <w:r>
              <w:rPr>
                <w:sz w:val="2"/>
              </w:rPr>
            </w:r>
          </w:p>
          <w:p>
            <w:pPr>
              <w:pStyle w:val="TableParagraph"/>
              <w:ind w:left="131" w:right="607"/>
              <w:rPr>
                <w:sz w:val="24"/>
              </w:rPr>
            </w:pPr>
            <w:r>
              <w:rPr>
                <w:sz w:val="24"/>
              </w:rPr>
              <w:t>Несдержан, импульсивен, действует необдуманно. Предпочитает одиночество Обманывает,</w:t>
            </w:r>
            <w:r>
              <w:rPr>
                <w:spacing w:val="-15"/>
                <w:sz w:val="24"/>
              </w:rPr>
              <w:t> </w:t>
            </w:r>
            <w:r>
              <w:rPr>
                <w:sz w:val="24"/>
              </w:rPr>
              <w:t>мошенничает, списывает в школе.</w:t>
            </w:r>
          </w:p>
          <w:p>
            <w:pPr>
              <w:pStyle w:val="TableParagraph"/>
              <w:ind w:left="131"/>
              <w:rPr>
                <w:sz w:val="24"/>
              </w:rPr>
            </w:pPr>
            <w:r>
              <w:rPr>
                <w:sz w:val="24"/>
              </w:rPr>
              <w:t>Грызет</w:t>
            </w:r>
            <w:r>
              <w:rPr>
                <w:spacing w:val="-1"/>
                <w:sz w:val="24"/>
              </w:rPr>
              <w:t> </w:t>
            </w:r>
            <w:r>
              <w:rPr>
                <w:spacing w:val="-2"/>
                <w:sz w:val="24"/>
              </w:rPr>
              <w:t>ногти.</w:t>
            </w:r>
          </w:p>
          <w:p>
            <w:pPr>
              <w:pStyle w:val="TableParagraph"/>
              <w:ind w:left="131" w:right="671"/>
              <w:rPr>
                <w:sz w:val="24"/>
              </w:rPr>
            </w:pPr>
            <w:r>
              <w:rPr>
                <w:sz w:val="24"/>
              </w:rPr>
              <w:t>Нервный,</w:t>
            </w:r>
            <w:r>
              <w:rPr>
                <w:spacing w:val="-15"/>
                <w:sz w:val="24"/>
              </w:rPr>
              <w:t> </w:t>
            </w:r>
            <w:r>
              <w:rPr>
                <w:sz w:val="24"/>
              </w:rPr>
              <w:t>чувствительный, </w:t>
            </w:r>
            <w:r>
              <w:rPr>
                <w:spacing w:val="-2"/>
                <w:sz w:val="24"/>
              </w:rPr>
              <w:t>напряженный.</w:t>
            </w:r>
          </w:p>
          <w:p>
            <w:pPr>
              <w:pStyle w:val="TableParagraph"/>
              <w:ind w:left="131" w:right="114"/>
              <w:rPr>
                <w:sz w:val="24"/>
              </w:rPr>
            </w:pPr>
            <w:r>
              <w:rPr>
                <w:sz w:val="24"/>
              </w:rPr>
              <w:t>Нервные движения или тики (подергивание</w:t>
            </w:r>
            <w:r>
              <w:rPr>
                <w:spacing w:val="-15"/>
                <w:sz w:val="24"/>
              </w:rPr>
              <w:t> </w:t>
            </w:r>
            <w:r>
              <w:rPr>
                <w:sz w:val="24"/>
              </w:rPr>
              <w:t>век,</w:t>
            </w:r>
            <w:r>
              <w:rPr>
                <w:spacing w:val="-15"/>
                <w:sz w:val="24"/>
              </w:rPr>
              <w:t> </w:t>
            </w:r>
            <w:r>
              <w:rPr>
                <w:sz w:val="24"/>
              </w:rPr>
              <w:t>покусывание губ, постукивание ногой по полу и т. д.).</w:t>
            </w:r>
          </w:p>
          <w:p>
            <w:pPr>
              <w:pStyle w:val="TableParagraph"/>
              <w:ind w:left="131" w:right="582"/>
              <w:rPr>
                <w:sz w:val="24"/>
              </w:rPr>
            </w:pPr>
            <w:r>
              <w:rPr>
                <w:sz w:val="24"/>
              </w:rPr>
              <w:t>Безоговорочно</w:t>
            </w:r>
            <w:r>
              <w:rPr>
                <w:spacing w:val="-15"/>
                <w:sz w:val="24"/>
              </w:rPr>
              <w:t> </w:t>
            </w:r>
            <w:r>
              <w:rPr>
                <w:sz w:val="24"/>
              </w:rPr>
              <w:t>подчиняется правилам и инструкциям.</w:t>
            </w:r>
          </w:p>
          <w:p>
            <w:pPr>
              <w:pStyle w:val="TableParagraph"/>
              <w:ind w:left="131" w:right="190"/>
              <w:rPr>
                <w:sz w:val="24"/>
              </w:rPr>
            </w:pPr>
            <w:r>
              <w:rPr>
                <w:sz w:val="24"/>
              </w:rPr>
              <w:t>Нелюбим другими детьми. Имеет</w:t>
            </w:r>
            <w:r>
              <w:rPr>
                <w:spacing w:val="-14"/>
                <w:sz w:val="24"/>
              </w:rPr>
              <w:t> </w:t>
            </w:r>
            <w:r>
              <w:rPr>
                <w:sz w:val="24"/>
              </w:rPr>
              <w:t>трудности</w:t>
            </w:r>
            <w:r>
              <w:rPr>
                <w:spacing w:val="-13"/>
                <w:sz w:val="24"/>
              </w:rPr>
              <w:t> </w:t>
            </w:r>
            <w:r>
              <w:rPr>
                <w:sz w:val="24"/>
              </w:rPr>
              <w:t>с</w:t>
            </w:r>
            <w:r>
              <w:rPr>
                <w:spacing w:val="-13"/>
                <w:sz w:val="24"/>
              </w:rPr>
              <w:t> </w:t>
            </w:r>
            <w:r>
              <w:rPr>
                <w:sz w:val="24"/>
              </w:rPr>
              <w:t>усвоением </w:t>
            </w:r>
            <w:r>
              <w:rPr>
                <w:spacing w:val="-2"/>
                <w:sz w:val="24"/>
              </w:rPr>
              <w:t>материала.</w:t>
            </w:r>
          </w:p>
          <w:p>
            <w:pPr>
              <w:pStyle w:val="TableParagraph"/>
              <w:ind w:left="131" w:right="190"/>
              <w:rPr>
                <w:sz w:val="24"/>
              </w:rPr>
            </w:pPr>
            <w:r>
              <w:rPr>
                <w:sz w:val="24"/>
              </w:rPr>
              <w:t>Слишком</w:t>
            </w:r>
            <w:r>
              <w:rPr>
                <w:spacing w:val="-13"/>
                <w:sz w:val="24"/>
              </w:rPr>
              <w:t> </w:t>
            </w:r>
            <w:r>
              <w:rPr>
                <w:sz w:val="24"/>
              </w:rPr>
              <w:t>боязлив</w:t>
            </w:r>
            <w:r>
              <w:rPr>
                <w:spacing w:val="-13"/>
                <w:sz w:val="24"/>
              </w:rPr>
              <w:t> </w:t>
            </w:r>
            <w:r>
              <w:rPr>
                <w:sz w:val="24"/>
              </w:rPr>
              <w:t>и</w:t>
            </w:r>
            <w:r>
              <w:rPr>
                <w:spacing w:val="-14"/>
                <w:sz w:val="24"/>
              </w:rPr>
              <w:t> </w:t>
            </w:r>
            <w:r>
              <w:rPr>
                <w:sz w:val="24"/>
              </w:rPr>
              <w:t>тревожен. Частые головокружения.</w:t>
            </w:r>
          </w:p>
          <w:p>
            <w:pPr>
              <w:pStyle w:val="TableParagraph"/>
              <w:ind w:left="131" w:right="190"/>
              <w:rPr>
                <w:sz w:val="24"/>
              </w:rPr>
            </w:pPr>
            <w:r>
              <w:rPr>
                <w:sz w:val="24"/>
              </w:rPr>
              <w:t>Считает</w:t>
            </w:r>
            <w:r>
              <w:rPr>
                <w:spacing w:val="-14"/>
                <w:sz w:val="24"/>
              </w:rPr>
              <w:t> </w:t>
            </w:r>
            <w:r>
              <w:rPr>
                <w:sz w:val="24"/>
              </w:rPr>
              <w:t>себя</w:t>
            </w:r>
            <w:r>
              <w:rPr>
                <w:spacing w:val="-14"/>
                <w:sz w:val="24"/>
              </w:rPr>
              <w:t> </w:t>
            </w:r>
            <w:r>
              <w:rPr>
                <w:sz w:val="24"/>
              </w:rPr>
              <w:t>виноватым</w:t>
            </w:r>
            <w:r>
              <w:rPr>
                <w:spacing w:val="-14"/>
                <w:sz w:val="24"/>
              </w:rPr>
              <w:t> </w:t>
            </w:r>
            <w:r>
              <w:rPr>
                <w:sz w:val="24"/>
              </w:rPr>
              <w:t>во </w:t>
            </w:r>
            <w:r>
              <w:rPr>
                <w:spacing w:val="-2"/>
                <w:sz w:val="24"/>
              </w:rPr>
              <w:t>всем.</w:t>
            </w:r>
          </w:p>
          <w:p>
            <w:pPr>
              <w:pStyle w:val="TableParagraph"/>
              <w:ind w:left="131" w:right="190"/>
              <w:rPr>
                <w:sz w:val="24"/>
              </w:rPr>
            </w:pPr>
            <w:r>
              <w:rPr>
                <w:sz w:val="24"/>
              </w:rPr>
              <w:t>Не знает меры, говорит вещи, не</w:t>
            </w:r>
            <w:r>
              <w:rPr>
                <w:spacing w:val="-15"/>
                <w:sz w:val="24"/>
              </w:rPr>
              <w:t> </w:t>
            </w:r>
            <w:r>
              <w:rPr>
                <w:sz w:val="24"/>
              </w:rPr>
              <w:t>соответствующие</w:t>
            </w:r>
            <w:r>
              <w:rPr>
                <w:spacing w:val="-15"/>
                <w:sz w:val="24"/>
              </w:rPr>
              <w:t> </w:t>
            </w:r>
            <w:r>
              <w:rPr>
                <w:sz w:val="24"/>
              </w:rPr>
              <w:t>ситуации, </w:t>
            </w:r>
            <w:r>
              <w:rPr>
                <w:spacing w:val="-2"/>
                <w:sz w:val="24"/>
              </w:rPr>
              <w:t>нетактичен.</w:t>
            </w:r>
          </w:p>
          <w:p>
            <w:pPr>
              <w:pStyle w:val="TableParagraph"/>
              <w:ind w:left="131"/>
              <w:rPr>
                <w:sz w:val="24"/>
              </w:rPr>
            </w:pPr>
            <w:r>
              <w:rPr>
                <w:spacing w:val="-2"/>
                <w:sz w:val="24"/>
              </w:rPr>
              <w:t>Переутомлен.</w:t>
            </w:r>
          </w:p>
          <w:p>
            <w:pPr>
              <w:pStyle w:val="TableParagraph"/>
              <w:ind w:left="131"/>
              <w:rPr>
                <w:sz w:val="24"/>
              </w:rPr>
            </w:pPr>
            <w:r>
              <w:rPr>
                <w:sz w:val="24"/>
              </w:rPr>
              <w:t>Имеет</w:t>
            </w:r>
            <w:r>
              <w:rPr>
                <w:spacing w:val="-7"/>
                <w:sz w:val="24"/>
              </w:rPr>
              <w:t> </w:t>
            </w:r>
            <w:r>
              <w:rPr>
                <w:sz w:val="24"/>
              </w:rPr>
              <w:t>избыточный</w:t>
            </w:r>
            <w:r>
              <w:rPr>
                <w:spacing w:val="-4"/>
                <w:sz w:val="24"/>
              </w:rPr>
              <w:t> вес.</w:t>
            </w:r>
          </w:p>
        </w:tc>
      </w:tr>
    </w:tbl>
    <w:p>
      <w:pPr>
        <w:pStyle w:val="TableParagraph"/>
        <w:spacing w:after="0"/>
        <w:rPr>
          <w:sz w:val="24"/>
        </w:rPr>
        <w:sectPr>
          <w:pgSz w:w="11910" w:h="16840"/>
          <w:pgMar w:header="0" w:footer="970" w:top="1040" w:bottom="1220" w:left="1417" w:right="283"/>
        </w:sectPr>
      </w:pPr>
    </w:p>
    <w:tbl>
      <w:tblPr>
        <w:tblW w:w="0" w:type="auto"/>
        <w:jc w:val="left"/>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24"/>
        <w:gridCol w:w="3687"/>
        <w:gridCol w:w="1125"/>
        <w:gridCol w:w="3585"/>
      </w:tblGrid>
      <w:tr>
        <w:trPr>
          <w:trHeight w:val="5453" w:hRule="atLeast"/>
        </w:trPr>
        <w:tc>
          <w:tcPr>
            <w:tcW w:w="1324" w:type="dxa"/>
            <w:tcBorders>
              <w:left w:val="nil"/>
              <w:right w:val="nil"/>
            </w:tcBorders>
          </w:tcPr>
          <w:p>
            <w:pPr>
              <w:pStyle w:val="TableParagraph"/>
              <w:spacing w:line="270" w:lineRule="exact"/>
              <w:ind w:left="290"/>
              <w:rPr>
                <w:i/>
                <w:sz w:val="24"/>
              </w:rPr>
            </w:pPr>
            <w:r>
              <w:rPr>
                <w:b/>
                <w:sz w:val="24"/>
              </w:rPr>
              <w:t>0 1 2</w:t>
            </w:r>
            <w:r>
              <w:rPr>
                <w:b/>
                <w:spacing w:val="-1"/>
                <w:sz w:val="24"/>
              </w:rPr>
              <w:t> </w:t>
            </w:r>
            <w:r>
              <w:rPr>
                <w:i/>
                <w:spacing w:val="-5"/>
                <w:sz w:val="24"/>
              </w:rPr>
              <w:t>25.</w:t>
            </w:r>
          </w:p>
          <w:p>
            <w:pPr>
              <w:pStyle w:val="TableParagraph"/>
              <w:ind w:left="290"/>
              <w:rPr>
                <w:i/>
                <w:sz w:val="24"/>
              </w:rPr>
            </w:pPr>
            <w:r>
              <w:rPr>
                <w:b/>
                <w:sz w:val="24"/>
              </w:rPr>
              <w:t>0 1 2</w:t>
            </w:r>
            <w:r>
              <w:rPr>
                <w:b/>
                <w:spacing w:val="-1"/>
                <w:sz w:val="24"/>
              </w:rPr>
              <w:t> </w:t>
            </w:r>
            <w:r>
              <w:rPr>
                <w:i/>
                <w:spacing w:val="-5"/>
                <w:sz w:val="24"/>
              </w:rPr>
              <w:t>26.</w:t>
            </w:r>
          </w:p>
          <w:p>
            <w:pPr>
              <w:pStyle w:val="TableParagraph"/>
              <w:rPr>
                <w:b/>
                <w:sz w:val="24"/>
              </w:rPr>
            </w:pPr>
          </w:p>
          <w:p>
            <w:pPr>
              <w:pStyle w:val="TableParagraph"/>
              <w:rPr>
                <w:b/>
                <w:sz w:val="24"/>
              </w:rPr>
            </w:pPr>
          </w:p>
          <w:p>
            <w:pPr>
              <w:pStyle w:val="TableParagraph"/>
              <w:ind w:left="290"/>
              <w:rPr>
                <w:i/>
                <w:sz w:val="24"/>
              </w:rPr>
            </w:pPr>
            <w:r>
              <w:rPr>
                <w:b/>
                <w:sz w:val="24"/>
              </w:rPr>
              <w:t>0 1 2</w:t>
            </w:r>
            <w:r>
              <w:rPr>
                <w:b/>
                <w:spacing w:val="-1"/>
                <w:sz w:val="24"/>
              </w:rPr>
              <w:t> </w:t>
            </w:r>
            <w:r>
              <w:rPr>
                <w:i/>
                <w:spacing w:val="-5"/>
                <w:sz w:val="24"/>
              </w:rPr>
              <w:t>27.</w:t>
            </w:r>
          </w:p>
          <w:p>
            <w:pPr>
              <w:pStyle w:val="TableParagraph"/>
              <w:ind w:left="290"/>
              <w:rPr>
                <w:i/>
                <w:sz w:val="24"/>
              </w:rPr>
            </w:pPr>
            <w:r>
              <w:rPr>
                <w:b/>
                <w:sz w:val="24"/>
              </w:rPr>
              <w:t>0 1 2</w:t>
            </w:r>
            <w:r>
              <w:rPr>
                <w:b/>
                <w:spacing w:val="-1"/>
                <w:sz w:val="24"/>
              </w:rPr>
              <w:t> </w:t>
            </w:r>
            <w:r>
              <w:rPr>
                <w:i/>
                <w:spacing w:val="-5"/>
                <w:sz w:val="24"/>
              </w:rPr>
              <w:t>28.</w:t>
            </w:r>
          </w:p>
          <w:p>
            <w:pPr>
              <w:pStyle w:val="TableParagraph"/>
              <w:rPr>
                <w:b/>
                <w:sz w:val="24"/>
              </w:rPr>
            </w:pPr>
          </w:p>
          <w:p>
            <w:pPr>
              <w:pStyle w:val="TableParagraph"/>
              <w:rPr>
                <w:b/>
                <w:sz w:val="24"/>
              </w:rPr>
            </w:pPr>
          </w:p>
          <w:p>
            <w:pPr>
              <w:pStyle w:val="TableParagraph"/>
              <w:rPr>
                <w:b/>
                <w:sz w:val="24"/>
              </w:rPr>
            </w:pPr>
          </w:p>
          <w:p>
            <w:pPr>
              <w:pStyle w:val="TableParagraph"/>
              <w:ind w:left="122"/>
              <w:rPr>
                <w:i/>
                <w:sz w:val="24"/>
              </w:rPr>
            </w:pPr>
            <w:r>
              <w:rPr>
                <w:b/>
                <w:sz w:val="24"/>
              </w:rPr>
              <w:t>0 1 2</w:t>
            </w:r>
            <w:r>
              <w:rPr>
                <w:b/>
                <w:spacing w:val="-1"/>
                <w:sz w:val="24"/>
              </w:rPr>
              <w:t> </w:t>
            </w:r>
            <w:r>
              <w:rPr>
                <w:i/>
                <w:spacing w:val="-5"/>
                <w:sz w:val="24"/>
              </w:rPr>
              <w:t>29.</w:t>
            </w:r>
          </w:p>
          <w:p>
            <w:pPr>
              <w:pStyle w:val="TableParagraph"/>
              <w:rPr>
                <w:b/>
                <w:sz w:val="24"/>
              </w:rPr>
            </w:pPr>
          </w:p>
          <w:p>
            <w:pPr>
              <w:pStyle w:val="TableParagraph"/>
              <w:rPr>
                <w:b/>
                <w:sz w:val="24"/>
              </w:rPr>
            </w:pPr>
          </w:p>
          <w:p>
            <w:pPr>
              <w:pStyle w:val="TableParagraph"/>
              <w:rPr>
                <w:b/>
                <w:sz w:val="24"/>
              </w:rPr>
            </w:pPr>
          </w:p>
          <w:p>
            <w:pPr>
              <w:pStyle w:val="TableParagraph"/>
              <w:spacing w:before="1"/>
              <w:rPr>
                <w:b/>
                <w:sz w:val="24"/>
              </w:rPr>
            </w:pPr>
          </w:p>
          <w:p>
            <w:pPr>
              <w:pStyle w:val="TableParagraph"/>
              <w:ind w:left="290"/>
              <w:rPr>
                <w:i/>
                <w:sz w:val="24"/>
              </w:rPr>
            </w:pPr>
            <w:r>
              <w:rPr>
                <w:b/>
                <w:sz w:val="24"/>
              </w:rPr>
              <w:t>0 1 2</w:t>
            </w:r>
            <w:r>
              <w:rPr>
                <w:b/>
                <w:spacing w:val="-1"/>
                <w:sz w:val="24"/>
              </w:rPr>
              <w:t> </w:t>
            </w:r>
            <w:r>
              <w:rPr>
                <w:i/>
                <w:spacing w:val="-5"/>
                <w:sz w:val="24"/>
              </w:rPr>
              <w:t>30.</w:t>
            </w:r>
          </w:p>
          <w:p>
            <w:pPr>
              <w:pStyle w:val="TableParagraph"/>
              <w:ind w:left="290"/>
              <w:rPr>
                <w:sz w:val="24"/>
              </w:rPr>
            </w:pPr>
            <w:r>
              <w:rPr>
                <w:b/>
                <w:sz w:val="24"/>
              </w:rPr>
              <w:t>0 1 2</w:t>
            </w:r>
            <w:r>
              <w:rPr>
                <w:b/>
                <w:spacing w:val="-1"/>
                <w:sz w:val="24"/>
              </w:rPr>
              <w:t> </w:t>
            </w:r>
            <w:r>
              <w:rPr>
                <w:i/>
                <w:spacing w:val="-5"/>
                <w:sz w:val="24"/>
              </w:rPr>
              <w:t>31</w:t>
            </w:r>
            <w:r>
              <w:rPr>
                <w:spacing w:val="-5"/>
                <w:sz w:val="24"/>
              </w:rPr>
              <w:t>.</w:t>
            </w:r>
          </w:p>
        </w:tc>
        <w:tc>
          <w:tcPr>
            <w:tcW w:w="3687" w:type="dxa"/>
            <w:tcBorders>
              <w:left w:val="nil"/>
            </w:tcBorders>
          </w:tcPr>
          <w:p>
            <w:pPr>
              <w:pStyle w:val="TableParagraph"/>
              <w:ind w:left="192"/>
              <w:rPr>
                <w:sz w:val="24"/>
              </w:rPr>
            </w:pPr>
            <w:r>
              <w:rPr>
                <w:sz w:val="24"/>
              </w:rPr>
              <w:t>Не</w:t>
            </w:r>
            <w:r>
              <w:rPr>
                <w:spacing w:val="-15"/>
                <w:sz w:val="24"/>
              </w:rPr>
              <w:t> </w:t>
            </w:r>
            <w:r>
              <w:rPr>
                <w:sz w:val="24"/>
              </w:rPr>
              <w:t>чувствует</w:t>
            </w:r>
            <w:r>
              <w:rPr>
                <w:spacing w:val="-14"/>
                <w:sz w:val="24"/>
              </w:rPr>
              <w:t> </w:t>
            </w:r>
            <w:r>
              <w:rPr>
                <w:sz w:val="24"/>
              </w:rPr>
              <w:t>себя</w:t>
            </w:r>
            <w:r>
              <w:rPr>
                <w:spacing w:val="-14"/>
                <w:sz w:val="24"/>
              </w:rPr>
              <w:t> </w:t>
            </w:r>
            <w:r>
              <w:rPr>
                <w:sz w:val="24"/>
              </w:rPr>
              <w:t>виноватым, даже если сделал что-нибудь </w:t>
            </w:r>
            <w:r>
              <w:rPr>
                <w:spacing w:val="-2"/>
                <w:sz w:val="24"/>
              </w:rPr>
              <w:t>плохое.</w:t>
            </w:r>
          </w:p>
          <w:p>
            <w:pPr>
              <w:pStyle w:val="TableParagraph"/>
              <w:ind w:left="192"/>
              <w:rPr>
                <w:sz w:val="24"/>
              </w:rPr>
            </w:pPr>
            <w:r>
              <w:rPr>
                <w:spacing w:val="-2"/>
                <w:sz w:val="24"/>
              </w:rPr>
              <w:t>Ревнив.</w:t>
            </w:r>
          </w:p>
          <w:p>
            <w:pPr>
              <w:pStyle w:val="TableParagraph"/>
              <w:ind w:left="192"/>
              <w:rPr>
                <w:sz w:val="24"/>
              </w:rPr>
            </w:pPr>
            <w:r>
              <w:rPr>
                <w:sz w:val="24"/>
              </w:rPr>
              <w:t>Ест</w:t>
            </w:r>
            <w:r>
              <w:rPr>
                <w:spacing w:val="-6"/>
                <w:sz w:val="24"/>
              </w:rPr>
              <w:t> </w:t>
            </w:r>
            <w:r>
              <w:rPr>
                <w:sz w:val="24"/>
              </w:rPr>
              <w:t>и</w:t>
            </w:r>
            <w:r>
              <w:rPr>
                <w:spacing w:val="-6"/>
                <w:sz w:val="24"/>
              </w:rPr>
              <w:t> </w:t>
            </w:r>
            <w:r>
              <w:rPr>
                <w:sz w:val="24"/>
              </w:rPr>
              <w:t>пьет</w:t>
            </w:r>
            <w:r>
              <w:rPr>
                <w:spacing w:val="-6"/>
                <w:sz w:val="24"/>
              </w:rPr>
              <w:t> </w:t>
            </w:r>
            <w:r>
              <w:rPr>
                <w:sz w:val="24"/>
              </w:rPr>
              <w:t>то,</w:t>
            </w:r>
            <w:r>
              <w:rPr>
                <w:spacing w:val="-6"/>
                <w:sz w:val="24"/>
              </w:rPr>
              <w:t> </w:t>
            </w:r>
            <w:r>
              <w:rPr>
                <w:sz w:val="24"/>
              </w:rPr>
              <w:t>что</w:t>
            </w:r>
            <w:r>
              <w:rPr>
                <w:spacing w:val="-8"/>
                <w:sz w:val="24"/>
              </w:rPr>
              <w:t> </w:t>
            </w:r>
            <w:r>
              <w:rPr>
                <w:sz w:val="24"/>
              </w:rPr>
              <w:t>не</w:t>
            </w:r>
            <w:r>
              <w:rPr>
                <w:spacing w:val="-7"/>
                <w:sz w:val="24"/>
              </w:rPr>
              <w:t> </w:t>
            </w:r>
            <w:r>
              <w:rPr>
                <w:sz w:val="24"/>
              </w:rPr>
              <w:t>является </w:t>
            </w:r>
            <w:r>
              <w:rPr>
                <w:spacing w:val="-2"/>
                <w:sz w:val="24"/>
              </w:rPr>
              <w:t>пищей.</w:t>
            </w:r>
          </w:p>
          <w:p>
            <w:pPr>
              <w:pStyle w:val="TableParagraph"/>
              <w:ind w:left="192"/>
              <w:rPr>
                <w:sz w:val="24"/>
              </w:rPr>
            </w:pPr>
            <w:r>
              <w:rPr>
                <w:sz w:val="24"/>
              </w:rPr>
              <w:t>Опишите,</w:t>
            </w:r>
            <w:r>
              <w:rPr>
                <w:spacing w:val="-4"/>
                <w:sz w:val="24"/>
              </w:rPr>
              <w:t> </w:t>
            </w:r>
            <w:r>
              <w:rPr>
                <w:spacing w:val="-2"/>
                <w:sz w:val="24"/>
              </w:rPr>
              <w:t>пожалуйста</w:t>
            </w:r>
          </w:p>
          <w:p>
            <w:pPr>
              <w:pStyle w:val="TableParagraph"/>
              <w:spacing w:before="35"/>
              <w:rPr>
                <w:b/>
                <w:sz w:val="20"/>
              </w:rPr>
            </w:pPr>
          </w:p>
          <w:p>
            <w:pPr>
              <w:pStyle w:val="TableParagraph"/>
              <w:spacing w:line="20" w:lineRule="exact"/>
              <w:ind w:left="192"/>
              <w:rPr>
                <w:sz w:val="2"/>
              </w:rPr>
            </w:pPr>
            <w:r>
              <w:rPr>
                <w:sz w:val="2"/>
              </w:rPr>
              <mc:AlternateContent>
                <mc:Choice Requires="wps">
                  <w:drawing>
                    <wp:inline distT="0" distB="0" distL="0" distR="0">
                      <wp:extent cx="1600200" cy="6350"/>
                      <wp:effectExtent l="9525" t="0" r="0" b="3175"/>
                      <wp:docPr id="46" name="Group 46"/>
                      <wp:cNvGraphicFramePr>
                        <a:graphicFrameLocks/>
                      </wp:cNvGraphicFramePr>
                      <a:graphic>
                        <a:graphicData uri="http://schemas.microsoft.com/office/word/2010/wordprocessingGroup">
                          <wpg:wgp>
                            <wpg:cNvPr id="46" name="Group 46"/>
                            <wpg:cNvGrpSpPr/>
                            <wpg:grpSpPr>
                              <a:xfrm>
                                <a:off x="0" y="0"/>
                                <a:ext cx="1600200" cy="6350"/>
                                <a:chExt cx="1600200" cy="6350"/>
                              </a:xfrm>
                            </wpg:grpSpPr>
                            <wps:wsp>
                              <wps:cNvPr id="47" name="Graphic 47"/>
                              <wps:cNvSpPr/>
                              <wps:spPr>
                                <a:xfrm>
                                  <a:off x="0" y="3093"/>
                                  <a:ext cx="1600200" cy="1270"/>
                                </a:xfrm>
                                <a:custGeom>
                                  <a:avLst/>
                                  <a:gdLst/>
                                  <a:ahLst/>
                                  <a:cxnLst/>
                                  <a:rect l="l" t="t" r="r" b="b"/>
                                  <a:pathLst>
                                    <a:path w="1600200" h="0">
                                      <a:moveTo>
                                        <a:pt x="0" y="0"/>
                                      </a:moveTo>
                                      <a:lnTo>
                                        <a:pt x="16002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6pt;height:.5pt;mso-position-horizontal-relative:char;mso-position-vertical-relative:line" id="docshapegroup31" coordorigin="0,0" coordsize="2520,10">
                      <v:line style="position:absolute" from="0,5" to="2520,5" stroked="true" strokeweight=".487125pt" strokecolor="#000000">
                        <v:stroke dashstyle="solid"/>
                      </v:line>
                    </v:group>
                  </w:pict>
                </mc:Fallback>
              </mc:AlternateContent>
            </w:r>
            <w:r>
              <w:rPr>
                <w:sz w:val="2"/>
              </w:rPr>
            </w:r>
          </w:p>
          <w:p>
            <w:pPr>
              <w:pStyle w:val="TableParagraph"/>
              <w:ind w:left="192" w:right="320"/>
              <w:rPr>
                <w:sz w:val="24"/>
              </w:rPr>
            </w:pPr>
            <w:r>
              <w:rPr>
                <w:sz w:val="24"/>
              </w:rPr>
              <w:t>Боится</w:t>
            </w:r>
            <w:r>
              <w:rPr>
                <w:spacing w:val="-15"/>
                <w:sz w:val="24"/>
              </w:rPr>
              <w:t> </w:t>
            </w:r>
            <w:r>
              <w:rPr>
                <w:sz w:val="24"/>
              </w:rPr>
              <w:t>некоторых</w:t>
            </w:r>
            <w:r>
              <w:rPr>
                <w:spacing w:val="-15"/>
                <w:sz w:val="24"/>
              </w:rPr>
              <w:t> </w:t>
            </w:r>
            <w:r>
              <w:rPr>
                <w:sz w:val="24"/>
              </w:rPr>
              <w:t>животных, ситуаций или мест (кроме </w:t>
            </w:r>
            <w:r>
              <w:rPr>
                <w:spacing w:val="-2"/>
                <w:sz w:val="24"/>
              </w:rPr>
              <w:t>школы).</w:t>
            </w:r>
          </w:p>
          <w:p>
            <w:pPr>
              <w:pStyle w:val="TableParagraph"/>
              <w:ind w:left="192"/>
              <w:rPr>
                <w:sz w:val="24"/>
              </w:rPr>
            </w:pPr>
            <w:r>
              <w:rPr>
                <w:sz w:val="24"/>
              </w:rPr>
              <w:t>Опишите,</w:t>
            </w:r>
            <w:r>
              <w:rPr>
                <w:spacing w:val="-4"/>
                <w:sz w:val="24"/>
              </w:rPr>
              <w:t> </w:t>
            </w:r>
            <w:r>
              <w:rPr>
                <w:spacing w:val="-2"/>
                <w:sz w:val="24"/>
              </w:rPr>
              <w:t>пожалуйста</w:t>
            </w:r>
          </w:p>
          <w:p>
            <w:pPr>
              <w:pStyle w:val="TableParagraph"/>
              <w:spacing w:before="26"/>
              <w:rPr>
                <w:b/>
                <w:sz w:val="20"/>
              </w:rPr>
            </w:pPr>
          </w:p>
          <w:p>
            <w:pPr>
              <w:pStyle w:val="TableParagraph"/>
              <w:spacing w:line="20" w:lineRule="exact"/>
              <w:ind w:left="192"/>
              <w:rPr>
                <w:sz w:val="2"/>
              </w:rPr>
            </w:pPr>
            <w:r>
              <w:rPr>
                <w:sz w:val="2"/>
              </w:rPr>
              <mc:AlternateContent>
                <mc:Choice Requires="wps">
                  <w:drawing>
                    <wp:inline distT="0" distB="0" distL="0" distR="0">
                      <wp:extent cx="1676400" cy="6350"/>
                      <wp:effectExtent l="9525" t="0" r="0" b="3175"/>
                      <wp:docPr id="48" name="Group 48"/>
                      <wp:cNvGraphicFramePr>
                        <a:graphicFrameLocks/>
                      </wp:cNvGraphicFramePr>
                      <a:graphic>
                        <a:graphicData uri="http://schemas.microsoft.com/office/word/2010/wordprocessingGroup">
                          <wpg:wgp>
                            <wpg:cNvPr id="48" name="Group 48"/>
                            <wpg:cNvGrpSpPr/>
                            <wpg:grpSpPr>
                              <a:xfrm>
                                <a:off x="0" y="0"/>
                                <a:ext cx="1676400" cy="6350"/>
                                <a:chExt cx="1676400" cy="6350"/>
                              </a:xfrm>
                            </wpg:grpSpPr>
                            <wps:wsp>
                              <wps:cNvPr id="49" name="Graphic 49"/>
                              <wps:cNvSpPr/>
                              <wps:spPr>
                                <a:xfrm>
                                  <a:off x="0" y="3093"/>
                                  <a:ext cx="1676400" cy="1270"/>
                                </a:xfrm>
                                <a:custGeom>
                                  <a:avLst/>
                                  <a:gdLst/>
                                  <a:ahLst/>
                                  <a:cxnLst/>
                                  <a:rect l="l" t="t" r="r" b="b"/>
                                  <a:pathLst>
                                    <a:path w="1676400" h="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2pt;height:.5pt;mso-position-horizontal-relative:char;mso-position-vertical-relative:line" id="docshapegroup32" coordorigin="0,0" coordsize="2640,10">
                      <v:line style="position:absolute" from="0,5" to="2640,5" stroked="true" strokeweight=".487125pt" strokecolor="#000000">
                        <v:stroke dashstyle="solid"/>
                      </v:line>
                    </v:group>
                  </w:pict>
                </mc:Fallback>
              </mc:AlternateContent>
            </w:r>
            <w:r>
              <w:rPr>
                <w:sz w:val="2"/>
              </w:rPr>
            </w:r>
          </w:p>
          <w:p>
            <w:pPr>
              <w:pStyle w:val="TableParagraph"/>
              <w:ind w:left="192"/>
              <w:rPr>
                <w:sz w:val="24"/>
              </w:rPr>
            </w:pPr>
            <w:r>
              <w:rPr>
                <w:sz w:val="24"/>
              </w:rPr>
              <w:t>Боится</w:t>
            </w:r>
            <w:r>
              <w:rPr>
                <w:spacing w:val="-3"/>
                <w:sz w:val="24"/>
              </w:rPr>
              <w:t> </w:t>
            </w:r>
            <w:r>
              <w:rPr>
                <w:spacing w:val="-2"/>
                <w:sz w:val="24"/>
              </w:rPr>
              <w:t>школы.</w:t>
            </w:r>
          </w:p>
          <w:p>
            <w:pPr>
              <w:pStyle w:val="TableParagraph"/>
              <w:ind w:left="192"/>
              <w:rPr>
                <w:sz w:val="24"/>
              </w:rPr>
            </w:pPr>
            <w:r>
              <w:rPr>
                <w:sz w:val="24"/>
              </w:rPr>
              <w:t>Боится,</w:t>
            </w:r>
            <w:r>
              <w:rPr>
                <w:spacing w:val="-10"/>
                <w:sz w:val="24"/>
              </w:rPr>
              <w:t> </w:t>
            </w:r>
            <w:r>
              <w:rPr>
                <w:sz w:val="24"/>
              </w:rPr>
              <w:t>что</w:t>
            </w:r>
            <w:r>
              <w:rPr>
                <w:spacing w:val="-10"/>
                <w:sz w:val="24"/>
              </w:rPr>
              <w:t> </w:t>
            </w:r>
            <w:r>
              <w:rPr>
                <w:sz w:val="24"/>
              </w:rPr>
              <w:t>может</w:t>
            </w:r>
            <w:r>
              <w:rPr>
                <w:spacing w:val="-10"/>
                <w:sz w:val="24"/>
              </w:rPr>
              <w:t> </w:t>
            </w:r>
            <w:r>
              <w:rPr>
                <w:sz w:val="24"/>
              </w:rPr>
              <w:t>подумать</w:t>
            </w:r>
            <w:r>
              <w:rPr>
                <w:spacing w:val="-9"/>
                <w:sz w:val="24"/>
              </w:rPr>
              <w:t> </w:t>
            </w:r>
            <w:r>
              <w:rPr>
                <w:sz w:val="24"/>
              </w:rPr>
              <w:t>или сделать что-нибудь плохое.</w:t>
            </w:r>
          </w:p>
        </w:tc>
        <w:tc>
          <w:tcPr>
            <w:tcW w:w="1125" w:type="dxa"/>
            <w:tcBorders>
              <w:right w:val="nil"/>
            </w:tcBorders>
          </w:tcPr>
          <w:p>
            <w:pPr>
              <w:pStyle w:val="TableParagraph"/>
              <w:spacing w:line="270" w:lineRule="exact"/>
              <w:ind w:left="144"/>
              <w:rPr>
                <w:i/>
                <w:sz w:val="24"/>
              </w:rPr>
            </w:pPr>
            <w:r>
              <w:rPr>
                <w:b/>
                <w:sz w:val="24"/>
              </w:rPr>
              <w:t>0 1 2 </w:t>
            </w:r>
            <w:r>
              <w:rPr>
                <w:i/>
                <w:spacing w:val="-5"/>
                <w:sz w:val="24"/>
              </w:rPr>
              <w:t>56.</w:t>
            </w:r>
          </w:p>
          <w:p>
            <w:pPr>
              <w:pStyle w:val="TableParagraph"/>
              <w:rPr>
                <w:b/>
                <w:sz w:val="24"/>
              </w:rPr>
            </w:pPr>
          </w:p>
          <w:p>
            <w:pPr>
              <w:pStyle w:val="TableParagraph"/>
              <w:spacing w:before="5"/>
              <w:rPr>
                <w:b/>
                <w:sz w:val="24"/>
              </w:rPr>
            </w:pPr>
          </w:p>
          <w:p>
            <w:pPr>
              <w:pStyle w:val="TableParagraph"/>
              <w:ind w:left="324"/>
              <w:rPr>
                <w:b/>
                <w:sz w:val="24"/>
              </w:rPr>
            </w:pPr>
            <w:r>
              <w:rPr>
                <w:b/>
                <w:sz w:val="24"/>
              </w:rPr>
              <w:t>0 1 </w:t>
            </w:r>
            <w:r>
              <w:rPr>
                <w:b/>
                <w:spacing w:val="-10"/>
                <w:sz w:val="24"/>
              </w:rPr>
              <w:t>2</w:t>
            </w:r>
          </w:p>
          <w:p>
            <w:pPr>
              <w:pStyle w:val="TableParagraph"/>
              <w:rPr>
                <w:b/>
                <w:sz w:val="24"/>
              </w:rPr>
            </w:pPr>
          </w:p>
          <w:p>
            <w:pPr>
              <w:pStyle w:val="TableParagraph"/>
              <w:ind w:left="324"/>
              <w:rPr>
                <w:b/>
                <w:sz w:val="24"/>
              </w:rPr>
            </w:pPr>
            <w:r>
              <w:rPr>
                <w:b/>
                <w:sz w:val="24"/>
              </w:rPr>
              <w:t>0 1 </w:t>
            </w:r>
            <w:r>
              <w:rPr>
                <w:b/>
                <w:spacing w:val="-10"/>
                <w:sz w:val="24"/>
              </w:rPr>
              <w:t>2</w:t>
            </w:r>
          </w:p>
          <w:p>
            <w:pPr>
              <w:pStyle w:val="TableParagraph"/>
              <w:ind w:left="324"/>
              <w:rPr>
                <w:b/>
                <w:sz w:val="24"/>
              </w:rPr>
            </w:pPr>
            <w:r>
              <w:rPr>
                <w:b/>
                <w:sz w:val="24"/>
              </w:rPr>
              <w:t>0 1 </w:t>
            </w:r>
            <w:r>
              <w:rPr>
                <w:b/>
                <w:spacing w:val="-10"/>
                <w:sz w:val="24"/>
              </w:rPr>
              <w:t>2</w:t>
            </w:r>
          </w:p>
          <w:p>
            <w:pPr>
              <w:pStyle w:val="TableParagraph"/>
              <w:ind w:left="324"/>
              <w:rPr>
                <w:b/>
                <w:sz w:val="24"/>
              </w:rPr>
            </w:pPr>
            <w:r>
              <w:rPr>
                <w:b/>
                <w:sz w:val="24"/>
              </w:rPr>
              <w:t>0 1 </w:t>
            </w:r>
            <w:r>
              <w:rPr>
                <w:b/>
                <w:spacing w:val="-10"/>
                <w:sz w:val="24"/>
              </w:rPr>
              <w:t>2</w:t>
            </w:r>
          </w:p>
          <w:p>
            <w:pPr>
              <w:pStyle w:val="TableParagraph"/>
              <w:rPr>
                <w:b/>
                <w:sz w:val="24"/>
              </w:rPr>
            </w:pPr>
          </w:p>
          <w:p>
            <w:pPr>
              <w:pStyle w:val="TableParagraph"/>
              <w:rPr>
                <w:b/>
                <w:sz w:val="24"/>
              </w:rPr>
            </w:pPr>
          </w:p>
          <w:p>
            <w:pPr>
              <w:pStyle w:val="TableParagraph"/>
              <w:ind w:left="324"/>
              <w:rPr>
                <w:b/>
                <w:sz w:val="24"/>
              </w:rPr>
            </w:pPr>
            <w:r>
              <w:rPr>
                <w:b/>
                <w:sz w:val="24"/>
              </w:rPr>
              <w:t>0 1 </w:t>
            </w:r>
            <w:r>
              <w:rPr>
                <w:b/>
                <w:spacing w:val="-10"/>
                <w:sz w:val="24"/>
              </w:rPr>
              <w:t>2</w:t>
            </w:r>
          </w:p>
          <w:p>
            <w:pPr>
              <w:pStyle w:val="TableParagraph"/>
              <w:rPr>
                <w:b/>
                <w:sz w:val="24"/>
              </w:rPr>
            </w:pPr>
          </w:p>
          <w:p>
            <w:pPr>
              <w:pStyle w:val="TableParagraph"/>
              <w:ind w:left="324"/>
              <w:rPr>
                <w:b/>
                <w:sz w:val="24"/>
              </w:rPr>
            </w:pPr>
            <w:r>
              <w:rPr>
                <w:b/>
                <w:sz w:val="24"/>
              </w:rPr>
              <w:t>0 1 </w:t>
            </w:r>
            <w:r>
              <w:rPr>
                <w:b/>
                <w:spacing w:val="-10"/>
                <w:sz w:val="24"/>
              </w:rPr>
              <w:t>2</w:t>
            </w:r>
          </w:p>
          <w:p>
            <w:pPr>
              <w:pStyle w:val="TableParagraph"/>
              <w:spacing w:before="1"/>
              <w:ind w:left="324"/>
              <w:rPr>
                <w:b/>
                <w:sz w:val="24"/>
              </w:rPr>
            </w:pPr>
            <w:r>
              <w:rPr>
                <w:b/>
                <w:sz w:val="24"/>
              </w:rPr>
              <w:t>0 1 </w:t>
            </w:r>
            <w:r>
              <w:rPr>
                <w:b/>
                <w:spacing w:val="-10"/>
                <w:sz w:val="24"/>
              </w:rPr>
              <w:t>2</w:t>
            </w:r>
          </w:p>
          <w:p>
            <w:pPr>
              <w:pStyle w:val="TableParagraph"/>
              <w:ind w:left="324"/>
              <w:rPr>
                <w:b/>
                <w:sz w:val="24"/>
              </w:rPr>
            </w:pPr>
            <w:r>
              <w:rPr>
                <w:b/>
                <w:sz w:val="24"/>
              </w:rPr>
              <w:t>0 1 </w:t>
            </w:r>
            <w:r>
              <w:rPr>
                <w:b/>
                <w:spacing w:val="-10"/>
                <w:sz w:val="24"/>
              </w:rPr>
              <w:t>2</w:t>
            </w:r>
          </w:p>
        </w:tc>
        <w:tc>
          <w:tcPr>
            <w:tcW w:w="3585" w:type="dxa"/>
            <w:tcBorders>
              <w:left w:val="nil"/>
              <w:right w:val="nil"/>
            </w:tcBorders>
          </w:tcPr>
          <w:p>
            <w:pPr>
              <w:pStyle w:val="TableParagraph"/>
              <w:ind w:left="131" w:right="190"/>
              <w:rPr>
                <w:sz w:val="24"/>
              </w:rPr>
            </w:pPr>
            <w:r>
              <w:rPr>
                <w:sz w:val="24"/>
              </w:rPr>
              <w:t>Имеет</w:t>
            </w:r>
            <w:r>
              <w:rPr>
                <w:spacing w:val="-13"/>
                <w:sz w:val="24"/>
              </w:rPr>
              <w:t> </w:t>
            </w:r>
            <w:r>
              <w:rPr>
                <w:sz w:val="24"/>
              </w:rPr>
              <w:t>проблемы,</w:t>
            </w:r>
            <w:r>
              <w:rPr>
                <w:spacing w:val="-12"/>
                <w:sz w:val="24"/>
              </w:rPr>
              <w:t> </w:t>
            </w:r>
            <w:r>
              <w:rPr>
                <w:sz w:val="24"/>
              </w:rPr>
              <w:t>связанные</w:t>
            </w:r>
            <w:r>
              <w:rPr>
                <w:spacing w:val="-14"/>
                <w:sz w:val="24"/>
              </w:rPr>
              <w:t> </w:t>
            </w:r>
            <w:r>
              <w:rPr>
                <w:sz w:val="24"/>
              </w:rPr>
              <w:t>со здоровьем, медицинская причина которых неясна:</w:t>
            </w:r>
          </w:p>
          <w:p>
            <w:pPr>
              <w:pStyle w:val="TableParagraph"/>
              <w:ind w:left="131" w:right="190"/>
              <w:rPr>
                <w:sz w:val="24"/>
              </w:rPr>
            </w:pPr>
            <w:r>
              <w:rPr>
                <w:i/>
                <w:sz w:val="24"/>
              </w:rPr>
              <w:t>а.</w:t>
            </w:r>
            <w:r>
              <w:rPr>
                <w:i/>
                <w:spacing w:val="-10"/>
                <w:sz w:val="24"/>
              </w:rPr>
              <w:t> </w:t>
            </w:r>
            <w:r>
              <w:rPr>
                <w:sz w:val="24"/>
              </w:rPr>
              <w:t>Телесные</w:t>
            </w:r>
            <w:r>
              <w:rPr>
                <w:spacing w:val="-12"/>
                <w:sz w:val="24"/>
              </w:rPr>
              <w:t> </w:t>
            </w:r>
            <w:r>
              <w:rPr>
                <w:sz w:val="24"/>
              </w:rPr>
              <w:t>боли</w:t>
            </w:r>
            <w:r>
              <w:rPr>
                <w:spacing w:val="-9"/>
                <w:sz w:val="24"/>
              </w:rPr>
              <w:t> </w:t>
            </w:r>
            <w:r>
              <w:rPr>
                <w:sz w:val="24"/>
              </w:rPr>
              <w:t>(не</w:t>
            </w:r>
            <w:r>
              <w:rPr>
                <w:spacing w:val="-10"/>
                <w:sz w:val="24"/>
              </w:rPr>
              <w:t> </w:t>
            </w:r>
            <w:r>
              <w:rPr>
                <w:sz w:val="24"/>
              </w:rPr>
              <w:t>включая </w:t>
            </w:r>
            <w:r>
              <w:rPr>
                <w:spacing w:val="-2"/>
                <w:sz w:val="24"/>
              </w:rPr>
              <w:t>головные).</w:t>
            </w:r>
          </w:p>
          <w:p>
            <w:pPr>
              <w:pStyle w:val="TableParagraph"/>
              <w:ind w:left="131"/>
              <w:rPr>
                <w:sz w:val="24"/>
              </w:rPr>
            </w:pPr>
            <w:r>
              <w:rPr>
                <w:i/>
                <w:sz w:val="24"/>
              </w:rPr>
              <w:t>б.</w:t>
            </w:r>
            <w:r>
              <w:rPr>
                <w:i/>
                <w:spacing w:val="-3"/>
                <w:sz w:val="24"/>
              </w:rPr>
              <w:t> </w:t>
            </w:r>
            <w:r>
              <w:rPr>
                <w:sz w:val="24"/>
              </w:rPr>
              <w:t>Головные</w:t>
            </w:r>
            <w:r>
              <w:rPr>
                <w:spacing w:val="-4"/>
                <w:sz w:val="24"/>
              </w:rPr>
              <w:t> боли.</w:t>
            </w:r>
          </w:p>
          <w:p>
            <w:pPr>
              <w:pStyle w:val="TableParagraph"/>
              <w:ind w:left="131"/>
              <w:rPr>
                <w:sz w:val="24"/>
              </w:rPr>
            </w:pPr>
            <w:r>
              <w:rPr>
                <w:i/>
                <w:sz w:val="24"/>
              </w:rPr>
              <w:t>в.</w:t>
            </w:r>
            <w:r>
              <w:rPr>
                <w:i/>
                <w:spacing w:val="-3"/>
                <w:sz w:val="24"/>
              </w:rPr>
              <w:t> </w:t>
            </w:r>
            <w:r>
              <w:rPr>
                <w:sz w:val="24"/>
              </w:rPr>
              <w:t>Тошнота,</w:t>
            </w:r>
            <w:r>
              <w:rPr>
                <w:spacing w:val="-2"/>
                <w:sz w:val="24"/>
              </w:rPr>
              <w:t> недомогание.</w:t>
            </w:r>
          </w:p>
          <w:p>
            <w:pPr>
              <w:pStyle w:val="TableParagraph"/>
              <w:ind w:left="131"/>
              <w:rPr>
                <w:sz w:val="24"/>
              </w:rPr>
            </w:pPr>
            <w:r>
              <w:rPr>
                <w:i/>
                <w:sz w:val="24"/>
              </w:rPr>
              <w:t>г.</w:t>
            </w:r>
            <w:r>
              <w:rPr>
                <w:i/>
                <w:spacing w:val="-2"/>
                <w:sz w:val="24"/>
              </w:rPr>
              <w:t> </w:t>
            </w:r>
            <w:r>
              <w:rPr>
                <w:sz w:val="24"/>
              </w:rPr>
              <w:t>Проблемы</w:t>
            </w:r>
            <w:r>
              <w:rPr>
                <w:spacing w:val="-1"/>
                <w:sz w:val="24"/>
              </w:rPr>
              <w:t> </w:t>
            </w:r>
            <w:r>
              <w:rPr>
                <w:sz w:val="24"/>
              </w:rPr>
              <w:t>с</w:t>
            </w:r>
            <w:r>
              <w:rPr>
                <w:spacing w:val="-2"/>
                <w:sz w:val="24"/>
              </w:rPr>
              <w:t> глазами.</w:t>
            </w:r>
          </w:p>
          <w:p>
            <w:pPr>
              <w:pStyle w:val="TableParagraph"/>
              <w:ind w:left="131"/>
              <w:rPr>
                <w:sz w:val="24"/>
              </w:rPr>
            </w:pPr>
            <w:r>
              <w:rPr>
                <w:sz w:val="24"/>
              </w:rPr>
              <w:t>Опишите,</w:t>
            </w:r>
            <w:r>
              <w:rPr>
                <w:spacing w:val="-4"/>
                <w:sz w:val="24"/>
              </w:rPr>
              <w:t> </w:t>
            </w:r>
            <w:r>
              <w:rPr>
                <w:spacing w:val="-2"/>
                <w:sz w:val="24"/>
              </w:rPr>
              <w:t>пожалуйста</w:t>
            </w:r>
          </w:p>
          <w:p>
            <w:pPr>
              <w:pStyle w:val="TableParagraph"/>
              <w:spacing w:before="35"/>
              <w:rPr>
                <w:b/>
                <w:sz w:val="20"/>
              </w:rPr>
            </w:pPr>
          </w:p>
          <w:p>
            <w:pPr>
              <w:pStyle w:val="TableParagraph"/>
              <w:spacing w:line="20" w:lineRule="exact"/>
              <w:ind w:left="131"/>
              <w:rPr>
                <w:sz w:val="2"/>
              </w:rPr>
            </w:pPr>
            <w:r>
              <w:rPr>
                <w:sz w:val="2"/>
              </w:rPr>
              <mc:AlternateContent>
                <mc:Choice Requires="wps">
                  <w:drawing>
                    <wp:inline distT="0" distB="0" distL="0" distR="0">
                      <wp:extent cx="1447800" cy="6350"/>
                      <wp:effectExtent l="9525" t="0" r="0" b="3175"/>
                      <wp:docPr id="50" name="Group 50"/>
                      <wp:cNvGraphicFramePr>
                        <a:graphicFrameLocks/>
                      </wp:cNvGraphicFramePr>
                      <a:graphic>
                        <a:graphicData uri="http://schemas.microsoft.com/office/word/2010/wordprocessingGroup">
                          <wpg:wgp>
                            <wpg:cNvPr id="50" name="Group 50"/>
                            <wpg:cNvGrpSpPr/>
                            <wpg:grpSpPr>
                              <a:xfrm>
                                <a:off x="0" y="0"/>
                                <a:ext cx="1447800" cy="6350"/>
                                <a:chExt cx="1447800" cy="6350"/>
                              </a:xfrm>
                            </wpg:grpSpPr>
                            <wps:wsp>
                              <wps:cNvPr id="51" name="Graphic 51"/>
                              <wps:cNvSpPr/>
                              <wps:spPr>
                                <a:xfrm>
                                  <a:off x="0" y="3093"/>
                                  <a:ext cx="1447800" cy="1270"/>
                                </a:xfrm>
                                <a:custGeom>
                                  <a:avLst/>
                                  <a:gdLst/>
                                  <a:ahLst/>
                                  <a:cxnLst/>
                                  <a:rect l="l" t="t" r="r" b="b"/>
                                  <a:pathLst>
                                    <a:path w="1447800" h="0">
                                      <a:moveTo>
                                        <a:pt x="0" y="0"/>
                                      </a:moveTo>
                                      <a:lnTo>
                                        <a:pt x="1447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14pt;height:.5pt;mso-position-horizontal-relative:char;mso-position-vertical-relative:line" id="docshapegroup33" coordorigin="0,0" coordsize="2280,10">
                      <v:line style="position:absolute" from="0,5" to="2280,5" stroked="true" strokeweight=".487125pt" strokecolor="#000000">
                        <v:stroke dashstyle="solid"/>
                      </v:line>
                    </v:group>
                  </w:pict>
                </mc:Fallback>
              </mc:AlternateContent>
            </w:r>
            <w:r>
              <w:rPr>
                <w:sz w:val="2"/>
              </w:rPr>
            </w:r>
          </w:p>
          <w:p>
            <w:pPr>
              <w:pStyle w:val="TableParagraph"/>
              <w:ind w:left="131" w:right="190"/>
              <w:rPr>
                <w:sz w:val="24"/>
              </w:rPr>
            </w:pPr>
            <w:r>
              <w:rPr>
                <w:i/>
                <w:sz w:val="24"/>
              </w:rPr>
              <w:t>д.</w:t>
            </w:r>
            <w:r>
              <w:rPr>
                <w:i/>
                <w:spacing w:val="-9"/>
                <w:sz w:val="24"/>
              </w:rPr>
              <w:t> </w:t>
            </w:r>
            <w:r>
              <w:rPr>
                <w:sz w:val="24"/>
              </w:rPr>
              <w:t>Сыпь</w:t>
            </w:r>
            <w:r>
              <w:rPr>
                <w:spacing w:val="-11"/>
                <w:sz w:val="24"/>
              </w:rPr>
              <w:t> </w:t>
            </w:r>
            <w:r>
              <w:rPr>
                <w:sz w:val="24"/>
              </w:rPr>
              <w:t>или</w:t>
            </w:r>
            <w:r>
              <w:rPr>
                <w:spacing w:val="-11"/>
                <w:sz w:val="24"/>
              </w:rPr>
              <w:t> </w:t>
            </w:r>
            <w:r>
              <w:rPr>
                <w:sz w:val="24"/>
              </w:rPr>
              <w:t>другие</w:t>
            </w:r>
            <w:r>
              <w:rPr>
                <w:spacing w:val="-10"/>
                <w:sz w:val="24"/>
              </w:rPr>
              <w:t> </w:t>
            </w:r>
            <w:r>
              <w:rPr>
                <w:sz w:val="24"/>
              </w:rPr>
              <w:t>кожные </w:t>
            </w:r>
            <w:r>
              <w:rPr>
                <w:spacing w:val="-2"/>
                <w:sz w:val="24"/>
              </w:rPr>
              <w:t>заболевания.</w:t>
            </w:r>
          </w:p>
          <w:p>
            <w:pPr>
              <w:pStyle w:val="TableParagraph"/>
              <w:ind w:left="131"/>
              <w:rPr>
                <w:sz w:val="24"/>
              </w:rPr>
            </w:pPr>
            <w:r>
              <w:rPr>
                <w:i/>
                <w:sz w:val="24"/>
              </w:rPr>
              <w:t>е.</w:t>
            </w:r>
            <w:r>
              <w:rPr>
                <w:i/>
                <w:spacing w:val="-2"/>
                <w:sz w:val="24"/>
              </w:rPr>
              <w:t> </w:t>
            </w:r>
            <w:r>
              <w:rPr>
                <w:sz w:val="24"/>
              </w:rPr>
              <w:t>Боли</w:t>
            </w:r>
            <w:r>
              <w:rPr>
                <w:spacing w:val="-1"/>
                <w:sz w:val="24"/>
              </w:rPr>
              <w:t> </w:t>
            </w:r>
            <w:r>
              <w:rPr>
                <w:sz w:val="24"/>
              </w:rPr>
              <w:t>в</w:t>
            </w:r>
            <w:r>
              <w:rPr>
                <w:spacing w:val="-2"/>
                <w:sz w:val="24"/>
              </w:rPr>
              <w:t> </w:t>
            </w:r>
            <w:r>
              <w:rPr>
                <w:sz w:val="24"/>
              </w:rPr>
              <w:t>животе,</w:t>
            </w:r>
            <w:r>
              <w:rPr>
                <w:spacing w:val="-1"/>
                <w:sz w:val="24"/>
              </w:rPr>
              <w:t> </w:t>
            </w:r>
            <w:r>
              <w:rPr>
                <w:spacing w:val="-2"/>
                <w:sz w:val="24"/>
              </w:rPr>
              <w:t>судороги.</w:t>
            </w:r>
          </w:p>
          <w:p>
            <w:pPr>
              <w:pStyle w:val="TableParagraph"/>
              <w:ind w:left="131" w:right="984"/>
              <w:rPr>
                <w:sz w:val="24"/>
              </w:rPr>
            </w:pPr>
            <w:r>
              <w:rPr>
                <w:i/>
                <w:sz w:val="24"/>
              </w:rPr>
              <w:t>ж.</w:t>
            </w:r>
            <w:r>
              <w:rPr>
                <w:i/>
                <w:spacing w:val="-13"/>
                <w:sz w:val="24"/>
              </w:rPr>
              <w:t> </w:t>
            </w:r>
            <w:r>
              <w:rPr>
                <w:sz w:val="24"/>
              </w:rPr>
              <w:t>Рвота</w:t>
            </w:r>
            <w:r>
              <w:rPr>
                <w:spacing w:val="-13"/>
                <w:sz w:val="24"/>
              </w:rPr>
              <w:t> </w:t>
            </w:r>
            <w:r>
              <w:rPr>
                <w:sz w:val="24"/>
              </w:rPr>
              <w:t>или</w:t>
            </w:r>
            <w:r>
              <w:rPr>
                <w:spacing w:val="-11"/>
                <w:sz w:val="24"/>
              </w:rPr>
              <w:t> </w:t>
            </w:r>
            <w:r>
              <w:rPr>
                <w:sz w:val="24"/>
              </w:rPr>
              <w:t>отрыжка. </w:t>
            </w:r>
            <w:r>
              <w:rPr>
                <w:i/>
                <w:sz w:val="24"/>
              </w:rPr>
              <w:t>з. </w:t>
            </w:r>
            <w:r>
              <w:rPr>
                <w:sz w:val="24"/>
              </w:rPr>
              <w:t>Другие физические </w:t>
            </w:r>
            <w:r>
              <w:rPr>
                <w:spacing w:val="-2"/>
                <w:sz w:val="24"/>
              </w:rPr>
              <w:t>проблемы.</w:t>
            </w:r>
          </w:p>
          <w:p>
            <w:pPr>
              <w:pStyle w:val="TableParagraph"/>
              <w:ind w:left="131"/>
              <w:rPr>
                <w:sz w:val="24"/>
              </w:rPr>
            </w:pPr>
            <w:r>
              <w:rPr>
                <w:sz w:val="24"/>
              </w:rPr>
              <mc:AlternateContent>
                <mc:Choice Requires="wps">
                  <w:drawing>
                    <wp:anchor distT="0" distB="0" distL="0" distR="0" allowOverlap="1" layoutInCell="1" locked="0" behindDoc="1" simplePos="0" relativeHeight="474522624">
                      <wp:simplePos x="0" y="0"/>
                      <wp:positionH relativeFrom="column">
                        <wp:posOffset>84581</wp:posOffset>
                      </wp:positionH>
                      <wp:positionV relativeFrom="paragraph">
                        <wp:posOffset>344272</wp:posOffset>
                      </wp:positionV>
                      <wp:extent cx="1447800" cy="6350"/>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1447800" cy="6350"/>
                                <a:chExt cx="1447800" cy="6350"/>
                              </a:xfrm>
                            </wpg:grpSpPr>
                            <wps:wsp>
                              <wps:cNvPr id="53" name="Graphic 53"/>
                              <wps:cNvSpPr/>
                              <wps:spPr>
                                <a:xfrm>
                                  <a:off x="0" y="3093"/>
                                  <a:ext cx="1447800" cy="1270"/>
                                </a:xfrm>
                                <a:custGeom>
                                  <a:avLst/>
                                  <a:gdLst/>
                                  <a:ahLst/>
                                  <a:cxnLst/>
                                  <a:rect l="l" t="t" r="r" b="b"/>
                                  <a:pathLst>
                                    <a:path w="1447800" h="0">
                                      <a:moveTo>
                                        <a:pt x="0" y="0"/>
                                      </a:moveTo>
                                      <a:lnTo>
                                        <a:pt x="14478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659999pt;margin-top:27.108049pt;width:114pt;height:.5pt;mso-position-horizontal-relative:column;mso-position-vertical-relative:paragraph;z-index:-28793856" id="docshapegroup34" coordorigin="133,542" coordsize="2280,10">
                      <v:line style="position:absolute" from="133,547" to="2413,547" stroked="true" strokeweight=".487125pt" strokecolor="#000000">
                        <v:stroke dashstyle="solid"/>
                      </v:line>
                      <w10:wrap type="none"/>
                    </v:group>
                  </w:pict>
                </mc:Fallback>
              </mc:AlternateContent>
            </w:r>
            <w:r>
              <w:rPr>
                <w:sz w:val="24"/>
              </w:rPr>
              <w:t>Опишите,</w:t>
            </w:r>
            <w:r>
              <w:rPr>
                <w:spacing w:val="-4"/>
                <w:sz w:val="24"/>
              </w:rPr>
              <w:t> </w:t>
            </w:r>
            <w:r>
              <w:rPr>
                <w:spacing w:val="-2"/>
                <w:sz w:val="24"/>
              </w:rPr>
              <w:t>пожалуйста</w:t>
            </w:r>
          </w:p>
        </w:tc>
      </w:tr>
    </w:tbl>
    <w:p>
      <w:pPr>
        <w:pStyle w:val="TableParagraph"/>
        <w:spacing w:after="0"/>
        <w:rPr>
          <w:sz w:val="24"/>
        </w:rPr>
        <w:sectPr>
          <w:type w:val="continuous"/>
          <w:pgSz w:w="11910" w:h="16840"/>
          <w:pgMar w:header="0" w:footer="970" w:top="1100" w:bottom="1220" w:left="1417" w:right="283"/>
        </w:sectPr>
      </w:pPr>
    </w:p>
    <w:p>
      <w:pPr>
        <w:pStyle w:val="Heading9"/>
        <w:numPr>
          <w:ilvl w:val="0"/>
          <w:numId w:val="22"/>
        </w:numPr>
        <w:tabs>
          <w:tab w:pos="465" w:val="left" w:leader="none"/>
        </w:tabs>
        <w:spacing w:line="240" w:lineRule="auto" w:before="67" w:after="0"/>
        <w:ind w:left="465" w:right="0" w:hanging="180"/>
        <w:jc w:val="left"/>
      </w:pPr>
      <w:r>
        <w:rPr/>
        <w:t>—</w:t>
      </w:r>
      <w:r>
        <w:rPr>
          <w:spacing w:val="-6"/>
        </w:rPr>
        <w:t> </w:t>
      </w:r>
      <w:r>
        <w:rPr/>
        <w:t>вообще</w:t>
      </w:r>
      <w:r>
        <w:rPr>
          <w:spacing w:val="-4"/>
        </w:rPr>
        <w:t> </w:t>
      </w:r>
      <w:r>
        <w:rPr/>
        <w:t>не</w:t>
      </w:r>
      <w:r>
        <w:rPr>
          <w:spacing w:val="-4"/>
        </w:rPr>
        <w:t> </w:t>
      </w:r>
      <w:r>
        <w:rPr/>
        <w:t>соответствует</w:t>
      </w:r>
      <w:r>
        <w:rPr>
          <w:spacing w:val="-2"/>
        </w:rPr>
        <w:t> </w:t>
      </w:r>
      <w:r>
        <w:rPr/>
        <w:t>(насколько</w:t>
      </w:r>
      <w:r>
        <w:rPr>
          <w:spacing w:val="-3"/>
        </w:rPr>
        <w:t> </w:t>
      </w:r>
      <w:r>
        <w:rPr/>
        <w:t>мне</w:t>
      </w:r>
      <w:r>
        <w:rPr>
          <w:spacing w:val="-3"/>
        </w:rPr>
        <w:t> </w:t>
      </w:r>
      <w:r>
        <w:rPr>
          <w:spacing w:val="-2"/>
        </w:rPr>
        <w:t>известно)</w:t>
      </w:r>
    </w:p>
    <w:p>
      <w:pPr>
        <w:pStyle w:val="Heading9"/>
        <w:numPr>
          <w:ilvl w:val="0"/>
          <w:numId w:val="22"/>
        </w:numPr>
        <w:tabs>
          <w:tab w:pos="465" w:val="left" w:leader="none"/>
        </w:tabs>
        <w:spacing w:line="240" w:lineRule="auto" w:before="0" w:after="0"/>
        <w:ind w:left="465" w:right="0" w:hanging="180"/>
        <w:jc w:val="left"/>
      </w:pPr>
      <w:r>
        <w:rPr/>
        <w:t>—</w:t>
      </w:r>
      <w:r>
        <w:rPr>
          <w:spacing w:val="-4"/>
        </w:rPr>
        <w:t> </w:t>
      </w:r>
      <w:r>
        <w:rPr/>
        <w:t>в</w:t>
      </w:r>
      <w:r>
        <w:rPr>
          <w:spacing w:val="-3"/>
        </w:rPr>
        <w:t> </w:t>
      </w:r>
      <w:r>
        <w:rPr/>
        <w:t>некоторой</w:t>
      </w:r>
      <w:r>
        <w:rPr>
          <w:spacing w:val="-3"/>
        </w:rPr>
        <w:t> </w:t>
      </w:r>
      <w:r>
        <w:rPr/>
        <w:t>степени</w:t>
      </w:r>
      <w:r>
        <w:rPr>
          <w:spacing w:val="-3"/>
        </w:rPr>
        <w:t> </w:t>
      </w:r>
      <w:r>
        <w:rPr/>
        <w:t>(иногда)</w:t>
      </w:r>
      <w:r>
        <w:rPr>
          <w:spacing w:val="-2"/>
        </w:rPr>
        <w:t> соответствует</w:t>
      </w:r>
    </w:p>
    <w:p>
      <w:pPr>
        <w:pStyle w:val="Heading9"/>
        <w:numPr>
          <w:ilvl w:val="0"/>
          <w:numId w:val="22"/>
        </w:numPr>
        <w:tabs>
          <w:tab w:pos="465" w:val="left" w:leader="none"/>
        </w:tabs>
        <w:spacing w:line="240" w:lineRule="auto" w:before="0" w:after="0"/>
        <w:ind w:left="465" w:right="0" w:hanging="180"/>
        <w:jc w:val="left"/>
      </w:pPr>
      <w:r>
        <w:rPr/>
        <w:t>—</w:t>
      </w:r>
      <w:r>
        <w:rPr>
          <w:spacing w:val="-3"/>
        </w:rPr>
        <w:t> </w:t>
      </w:r>
      <w:r>
        <w:rPr/>
        <w:t>в</w:t>
      </w:r>
      <w:r>
        <w:rPr>
          <w:spacing w:val="-1"/>
        </w:rPr>
        <w:t> </w:t>
      </w:r>
      <w:r>
        <w:rPr/>
        <w:t>настоящее</w:t>
      </w:r>
      <w:r>
        <w:rPr>
          <w:spacing w:val="-3"/>
        </w:rPr>
        <w:t> </w:t>
      </w:r>
      <w:r>
        <w:rPr/>
        <w:t>время</w:t>
      </w:r>
      <w:r>
        <w:rPr>
          <w:spacing w:val="-1"/>
        </w:rPr>
        <w:t> </w:t>
      </w:r>
      <w:r>
        <w:rPr/>
        <w:t>(всегда)</w:t>
      </w:r>
      <w:r>
        <w:rPr>
          <w:spacing w:val="-1"/>
        </w:rPr>
        <w:t> </w:t>
      </w:r>
      <w:r>
        <w:rPr>
          <w:spacing w:val="-2"/>
        </w:rPr>
        <w:t>соответствует</w:t>
      </w:r>
    </w:p>
    <w:p>
      <w:pPr>
        <w:pStyle w:val="BodyText"/>
        <w:spacing w:before="49" w:after="1"/>
        <w:ind w:left="0" w:right="0" w:firstLine="0"/>
        <w:jc w:val="left"/>
        <w:rPr>
          <w:b/>
        </w:rPr>
      </w:pPr>
    </w:p>
    <w:tbl>
      <w:tblPr>
        <w:tblW w:w="0" w:type="auto"/>
        <w:jc w:val="left"/>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9"/>
        <w:gridCol w:w="3870"/>
        <w:gridCol w:w="1233"/>
        <w:gridCol w:w="3041"/>
      </w:tblGrid>
      <w:tr>
        <w:trPr>
          <w:trHeight w:val="12973" w:hRule="atLeast"/>
        </w:trPr>
        <w:tc>
          <w:tcPr>
            <w:tcW w:w="1109" w:type="dxa"/>
            <w:tcBorders>
              <w:left w:val="nil"/>
              <w:right w:val="nil"/>
            </w:tcBorders>
          </w:tcPr>
          <w:p>
            <w:pPr>
              <w:pStyle w:val="TableParagraph"/>
              <w:spacing w:line="270" w:lineRule="exact"/>
              <w:ind w:left="122"/>
              <w:rPr>
                <w:i/>
                <w:sz w:val="24"/>
              </w:rPr>
            </w:pPr>
            <w:r>
              <w:rPr>
                <w:b/>
                <w:sz w:val="24"/>
              </w:rPr>
              <w:t>0 1 2</w:t>
            </w:r>
            <w:r>
              <w:rPr>
                <w:b/>
                <w:spacing w:val="-1"/>
                <w:sz w:val="24"/>
              </w:rPr>
              <w:t> </w:t>
            </w:r>
            <w:r>
              <w:rPr>
                <w:i/>
                <w:spacing w:val="-5"/>
                <w:sz w:val="24"/>
              </w:rPr>
              <w:t>57.</w:t>
            </w:r>
          </w:p>
          <w:p>
            <w:pPr>
              <w:pStyle w:val="TableParagraph"/>
              <w:ind w:left="122"/>
              <w:rPr>
                <w:i/>
                <w:sz w:val="24"/>
              </w:rPr>
            </w:pPr>
            <w:r>
              <w:rPr>
                <w:b/>
                <w:sz w:val="24"/>
              </w:rPr>
              <w:t>0 1 2</w:t>
            </w:r>
            <w:r>
              <w:rPr>
                <w:b/>
                <w:spacing w:val="-1"/>
                <w:sz w:val="24"/>
              </w:rPr>
              <w:t> </w:t>
            </w:r>
            <w:r>
              <w:rPr>
                <w:i/>
                <w:spacing w:val="-5"/>
                <w:sz w:val="24"/>
              </w:rPr>
              <w:t>58.</w:t>
            </w:r>
          </w:p>
          <w:p>
            <w:pPr>
              <w:pStyle w:val="TableParagraph"/>
              <w:rPr>
                <w:b/>
                <w:sz w:val="24"/>
              </w:rPr>
            </w:pPr>
          </w:p>
          <w:p>
            <w:pPr>
              <w:pStyle w:val="TableParagraph"/>
              <w:rPr>
                <w:b/>
                <w:sz w:val="24"/>
              </w:rPr>
            </w:pPr>
          </w:p>
          <w:p>
            <w:pPr>
              <w:pStyle w:val="TableParagraph"/>
              <w:rPr>
                <w:b/>
                <w:sz w:val="24"/>
              </w:rPr>
            </w:pPr>
          </w:p>
          <w:p>
            <w:pPr>
              <w:pStyle w:val="TableParagraph"/>
              <w:ind w:left="122"/>
              <w:rPr>
                <w:i/>
                <w:sz w:val="24"/>
              </w:rPr>
            </w:pPr>
            <w:r>
              <w:rPr>
                <w:b/>
                <w:sz w:val="24"/>
              </w:rPr>
              <w:t>0 1 2</w:t>
            </w:r>
            <w:r>
              <w:rPr>
                <w:b/>
                <w:spacing w:val="-1"/>
                <w:sz w:val="24"/>
              </w:rPr>
              <w:t> </w:t>
            </w:r>
            <w:r>
              <w:rPr>
                <w:i/>
                <w:spacing w:val="-5"/>
                <w:sz w:val="24"/>
              </w:rPr>
              <w:t>59.</w:t>
            </w:r>
          </w:p>
          <w:p>
            <w:pPr>
              <w:pStyle w:val="TableParagraph"/>
              <w:rPr>
                <w:b/>
                <w:sz w:val="24"/>
              </w:rPr>
            </w:pPr>
          </w:p>
          <w:p>
            <w:pPr>
              <w:pStyle w:val="TableParagraph"/>
              <w:ind w:left="122"/>
              <w:rPr>
                <w:sz w:val="24"/>
              </w:rPr>
            </w:pPr>
            <w:r>
              <w:rPr>
                <w:b/>
                <w:sz w:val="24"/>
              </w:rPr>
              <w:t>0 1 2</w:t>
            </w:r>
            <w:r>
              <w:rPr>
                <w:b/>
                <w:spacing w:val="-1"/>
                <w:sz w:val="24"/>
              </w:rPr>
              <w:t> </w:t>
            </w:r>
            <w:r>
              <w:rPr>
                <w:i/>
                <w:spacing w:val="-5"/>
                <w:sz w:val="24"/>
              </w:rPr>
              <w:t>60</w:t>
            </w:r>
            <w:r>
              <w:rPr>
                <w:spacing w:val="-5"/>
                <w:sz w:val="24"/>
              </w:rPr>
              <w:t>.</w:t>
            </w:r>
          </w:p>
          <w:p>
            <w:pPr>
              <w:pStyle w:val="TableParagraph"/>
              <w:rPr>
                <w:b/>
                <w:sz w:val="24"/>
              </w:rPr>
            </w:pPr>
          </w:p>
          <w:p>
            <w:pPr>
              <w:pStyle w:val="TableParagraph"/>
              <w:spacing w:before="1"/>
              <w:ind w:left="122"/>
              <w:rPr>
                <w:sz w:val="24"/>
              </w:rPr>
            </w:pPr>
            <w:r>
              <w:rPr>
                <w:b/>
                <w:sz w:val="24"/>
              </w:rPr>
              <w:t>0 1 2</w:t>
            </w:r>
            <w:r>
              <w:rPr>
                <w:b/>
                <w:spacing w:val="-1"/>
                <w:sz w:val="24"/>
              </w:rPr>
              <w:t> </w:t>
            </w:r>
            <w:r>
              <w:rPr>
                <w:i/>
                <w:spacing w:val="-5"/>
                <w:sz w:val="24"/>
              </w:rPr>
              <w:t>61</w:t>
            </w:r>
            <w:r>
              <w:rPr>
                <w:spacing w:val="-5"/>
                <w:sz w:val="24"/>
              </w:rPr>
              <w:t>.</w:t>
            </w:r>
          </w:p>
          <w:p>
            <w:pPr>
              <w:pStyle w:val="TableParagraph"/>
              <w:ind w:left="122"/>
              <w:rPr>
                <w:i/>
                <w:sz w:val="24"/>
              </w:rPr>
            </w:pPr>
            <w:r>
              <w:rPr>
                <w:b/>
                <w:sz w:val="24"/>
              </w:rPr>
              <w:t>0 1</w:t>
            </w:r>
            <w:r>
              <w:rPr>
                <w:b/>
                <w:spacing w:val="-1"/>
                <w:sz w:val="24"/>
              </w:rPr>
              <w:t> </w:t>
            </w:r>
            <w:r>
              <w:rPr>
                <w:b/>
                <w:sz w:val="24"/>
              </w:rPr>
              <w:t>2 </w:t>
            </w:r>
            <w:r>
              <w:rPr>
                <w:i/>
                <w:spacing w:val="-5"/>
                <w:sz w:val="24"/>
              </w:rPr>
              <w:t>62.</w:t>
            </w:r>
          </w:p>
          <w:p>
            <w:pPr>
              <w:pStyle w:val="TableParagraph"/>
              <w:spacing w:before="276"/>
              <w:ind w:left="122"/>
              <w:rPr>
                <w:i/>
                <w:sz w:val="24"/>
              </w:rPr>
            </w:pPr>
            <w:r>
              <w:rPr>
                <w:b/>
                <w:sz w:val="24"/>
              </w:rPr>
              <w:t>0 1 2</w:t>
            </w:r>
            <w:r>
              <w:rPr>
                <w:b/>
                <w:spacing w:val="-1"/>
                <w:sz w:val="24"/>
              </w:rPr>
              <w:t> </w:t>
            </w:r>
            <w:r>
              <w:rPr>
                <w:i/>
                <w:spacing w:val="-5"/>
                <w:sz w:val="24"/>
              </w:rPr>
              <w:t>63.</w:t>
            </w:r>
          </w:p>
          <w:p>
            <w:pPr>
              <w:pStyle w:val="TableParagraph"/>
              <w:spacing w:before="273"/>
              <w:rPr>
                <w:b/>
                <w:sz w:val="24"/>
              </w:rPr>
            </w:pPr>
          </w:p>
          <w:p>
            <w:pPr>
              <w:pStyle w:val="TableParagraph"/>
              <w:ind w:left="122"/>
              <w:rPr>
                <w:i/>
                <w:sz w:val="24"/>
              </w:rPr>
            </w:pPr>
            <w:r>
              <w:rPr>
                <w:b/>
                <w:sz w:val="24"/>
              </w:rPr>
              <w:t>0 1 2</w:t>
            </w:r>
            <w:r>
              <w:rPr>
                <w:b/>
                <w:spacing w:val="-1"/>
                <w:sz w:val="24"/>
              </w:rPr>
              <w:t> </w:t>
            </w:r>
            <w:r>
              <w:rPr>
                <w:i/>
                <w:spacing w:val="-5"/>
                <w:sz w:val="24"/>
              </w:rPr>
              <w:t>64.</w:t>
            </w:r>
          </w:p>
          <w:p>
            <w:pPr>
              <w:pStyle w:val="TableParagraph"/>
              <w:rPr>
                <w:b/>
                <w:sz w:val="24"/>
              </w:rPr>
            </w:pPr>
          </w:p>
          <w:p>
            <w:pPr>
              <w:pStyle w:val="TableParagraph"/>
              <w:rPr>
                <w:b/>
                <w:sz w:val="24"/>
              </w:rPr>
            </w:pPr>
          </w:p>
          <w:p>
            <w:pPr>
              <w:pStyle w:val="TableParagraph"/>
              <w:ind w:left="122"/>
              <w:rPr>
                <w:sz w:val="24"/>
              </w:rPr>
            </w:pPr>
            <w:r>
              <w:rPr>
                <w:b/>
                <w:sz w:val="24"/>
              </w:rPr>
              <w:t>0 1 2</w:t>
            </w:r>
            <w:r>
              <w:rPr>
                <w:b/>
                <w:spacing w:val="-1"/>
                <w:sz w:val="24"/>
              </w:rPr>
              <w:t> </w:t>
            </w:r>
            <w:r>
              <w:rPr>
                <w:i/>
                <w:spacing w:val="-5"/>
                <w:sz w:val="24"/>
              </w:rPr>
              <w:t>65</w:t>
            </w:r>
            <w:r>
              <w:rPr>
                <w:spacing w:val="-5"/>
                <w:sz w:val="24"/>
              </w:rPr>
              <w:t>.</w:t>
            </w:r>
          </w:p>
          <w:p>
            <w:pPr>
              <w:pStyle w:val="TableParagraph"/>
              <w:spacing w:before="1"/>
              <w:ind w:left="122"/>
              <w:rPr>
                <w:sz w:val="24"/>
              </w:rPr>
            </w:pPr>
            <w:r>
              <w:rPr>
                <w:b/>
                <w:sz w:val="24"/>
              </w:rPr>
              <w:t>0 1 2</w:t>
            </w:r>
            <w:r>
              <w:rPr>
                <w:b/>
                <w:spacing w:val="-1"/>
                <w:sz w:val="24"/>
              </w:rPr>
              <w:t> </w:t>
            </w:r>
            <w:r>
              <w:rPr>
                <w:i/>
                <w:spacing w:val="-5"/>
                <w:sz w:val="24"/>
              </w:rPr>
              <w:t>66</w:t>
            </w:r>
            <w:r>
              <w:rPr>
                <w:spacing w:val="-5"/>
                <w:sz w:val="24"/>
              </w:rPr>
              <w:t>.</w:t>
            </w: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ind w:left="122"/>
              <w:rPr>
                <w:sz w:val="24"/>
              </w:rPr>
            </w:pPr>
            <w:r>
              <w:rPr>
                <w:b/>
                <w:sz w:val="24"/>
              </w:rPr>
              <w:t>0 1 2</w:t>
            </w:r>
            <w:r>
              <w:rPr>
                <w:b/>
                <w:spacing w:val="-1"/>
                <w:sz w:val="24"/>
              </w:rPr>
              <w:t> </w:t>
            </w:r>
            <w:r>
              <w:rPr>
                <w:i/>
                <w:spacing w:val="-5"/>
                <w:sz w:val="24"/>
              </w:rPr>
              <w:t>67</w:t>
            </w:r>
            <w:r>
              <w:rPr>
                <w:spacing w:val="-5"/>
                <w:sz w:val="24"/>
              </w:rPr>
              <w:t>.</w:t>
            </w:r>
          </w:p>
          <w:p>
            <w:pPr>
              <w:pStyle w:val="TableParagraph"/>
              <w:rPr>
                <w:b/>
                <w:sz w:val="24"/>
              </w:rPr>
            </w:pPr>
          </w:p>
          <w:p>
            <w:pPr>
              <w:pStyle w:val="TableParagraph"/>
              <w:ind w:left="122"/>
              <w:rPr>
                <w:sz w:val="24"/>
              </w:rPr>
            </w:pPr>
            <w:r>
              <w:rPr>
                <w:b/>
                <w:sz w:val="24"/>
              </w:rPr>
              <w:t>0 1 2</w:t>
            </w:r>
            <w:r>
              <w:rPr>
                <w:b/>
                <w:spacing w:val="-1"/>
                <w:sz w:val="24"/>
              </w:rPr>
              <w:t> </w:t>
            </w:r>
            <w:r>
              <w:rPr>
                <w:i/>
                <w:spacing w:val="-5"/>
                <w:sz w:val="24"/>
              </w:rPr>
              <w:t>68</w:t>
            </w:r>
            <w:r>
              <w:rPr>
                <w:spacing w:val="-5"/>
                <w:sz w:val="24"/>
              </w:rPr>
              <w:t>.</w:t>
            </w:r>
          </w:p>
          <w:p>
            <w:pPr>
              <w:pStyle w:val="TableParagraph"/>
              <w:ind w:left="122"/>
              <w:rPr>
                <w:sz w:val="24"/>
              </w:rPr>
            </w:pPr>
            <w:r>
              <w:rPr>
                <w:b/>
                <w:sz w:val="24"/>
              </w:rPr>
              <w:t>0 1 2</w:t>
            </w:r>
            <w:r>
              <w:rPr>
                <w:b/>
                <w:spacing w:val="-1"/>
                <w:sz w:val="24"/>
              </w:rPr>
              <w:t> </w:t>
            </w:r>
            <w:r>
              <w:rPr>
                <w:i/>
                <w:spacing w:val="-5"/>
                <w:sz w:val="24"/>
              </w:rPr>
              <w:t>69</w:t>
            </w:r>
            <w:r>
              <w:rPr>
                <w:spacing w:val="-5"/>
                <w:sz w:val="24"/>
              </w:rPr>
              <w:t>.</w:t>
            </w:r>
          </w:p>
          <w:p>
            <w:pPr>
              <w:pStyle w:val="TableParagraph"/>
              <w:ind w:left="122"/>
              <w:rPr>
                <w:sz w:val="24"/>
              </w:rPr>
            </w:pPr>
            <w:r>
              <w:rPr>
                <w:b/>
                <w:sz w:val="24"/>
              </w:rPr>
              <w:t>0 1 2</w:t>
            </w:r>
            <w:r>
              <w:rPr>
                <w:b/>
                <w:spacing w:val="-1"/>
                <w:sz w:val="24"/>
              </w:rPr>
              <w:t> </w:t>
            </w:r>
            <w:r>
              <w:rPr>
                <w:i/>
                <w:spacing w:val="-5"/>
                <w:sz w:val="24"/>
              </w:rPr>
              <w:t>70</w:t>
            </w:r>
            <w:r>
              <w:rPr>
                <w:spacing w:val="-5"/>
                <w:sz w:val="24"/>
              </w:rPr>
              <w:t>.</w:t>
            </w:r>
          </w:p>
          <w:p>
            <w:pPr>
              <w:pStyle w:val="TableParagraph"/>
              <w:rPr>
                <w:b/>
                <w:sz w:val="24"/>
              </w:rPr>
            </w:pPr>
          </w:p>
          <w:p>
            <w:pPr>
              <w:pStyle w:val="TableParagraph"/>
              <w:rPr>
                <w:b/>
                <w:sz w:val="24"/>
              </w:rPr>
            </w:pPr>
          </w:p>
          <w:p>
            <w:pPr>
              <w:pStyle w:val="TableParagraph"/>
              <w:rPr>
                <w:b/>
                <w:sz w:val="24"/>
              </w:rPr>
            </w:pPr>
          </w:p>
          <w:p>
            <w:pPr>
              <w:pStyle w:val="TableParagraph"/>
              <w:spacing w:before="1"/>
              <w:ind w:left="122"/>
              <w:rPr>
                <w:sz w:val="24"/>
              </w:rPr>
            </w:pPr>
            <w:r>
              <w:rPr>
                <w:b/>
                <w:sz w:val="24"/>
              </w:rPr>
              <w:t>0 1 2</w:t>
            </w:r>
            <w:r>
              <w:rPr>
                <w:b/>
                <w:spacing w:val="-1"/>
                <w:sz w:val="24"/>
              </w:rPr>
              <w:t> </w:t>
            </w:r>
            <w:r>
              <w:rPr>
                <w:i/>
                <w:spacing w:val="-5"/>
                <w:sz w:val="24"/>
              </w:rPr>
              <w:t>71</w:t>
            </w:r>
            <w:r>
              <w:rPr>
                <w:spacing w:val="-5"/>
                <w:sz w:val="24"/>
              </w:rPr>
              <w:t>.</w:t>
            </w:r>
          </w:p>
          <w:p>
            <w:pPr>
              <w:pStyle w:val="TableParagraph"/>
              <w:ind w:left="122"/>
              <w:rPr>
                <w:i/>
                <w:sz w:val="24"/>
              </w:rPr>
            </w:pPr>
            <w:r>
              <w:rPr>
                <w:b/>
                <w:sz w:val="24"/>
              </w:rPr>
              <w:t>0 1 2</w:t>
            </w:r>
            <w:r>
              <w:rPr>
                <w:b/>
                <w:spacing w:val="-1"/>
                <w:sz w:val="24"/>
              </w:rPr>
              <w:t> </w:t>
            </w:r>
            <w:r>
              <w:rPr>
                <w:i/>
                <w:spacing w:val="-5"/>
                <w:sz w:val="24"/>
              </w:rPr>
              <w:t>72.</w:t>
            </w:r>
          </w:p>
          <w:p>
            <w:pPr>
              <w:pStyle w:val="TableParagraph"/>
              <w:spacing w:before="276"/>
              <w:ind w:left="122"/>
              <w:rPr>
                <w:i/>
                <w:sz w:val="24"/>
              </w:rPr>
            </w:pPr>
            <w:r>
              <w:rPr>
                <w:b/>
                <w:sz w:val="24"/>
              </w:rPr>
              <w:t>0 1 2</w:t>
            </w:r>
            <w:r>
              <w:rPr>
                <w:b/>
                <w:spacing w:val="-1"/>
                <w:sz w:val="24"/>
              </w:rPr>
              <w:t> </w:t>
            </w:r>
            <w:r>
              <w:rPr>
                <w:i/>
                <w:spacing w:val="-5"/>
                <w:sz w:val="24"/>
              </w:rPr>
              <w:t>73.</w:t>
            </w:r>
          </w:p>
          <w:p>
            <w:pPr>
              <w:pStyle w:val="TableParagraph"/>
              <w:rPr>
                <w:b/>
                <w:sz w:val="24"/>
              </w:rPr>
            </w:pPr>
          </w:p>
          <w:p>
            <w:pPr>
              <w:pStyle w:val="TableParagraph"/>
              <w:rPr>
                <w:b/>
                <w:sz w:val="24"/>
              </w:rPr>
            </w:pPr>
          </w:p>
          <w:p>
            <w:pPr>
              <w:pStyle w:val="TableParagraph"/>
              <w:ind w:left="122"/>
              <w:rPr>
                <w:i/>
                <w:sz w:val="24"/>
              </w:rPr>
            </w:pPr>
            <w:r>
              <w:rPr>
                <w:b/>
                <w:sz w:val="24"/>
              </w:rPr>
              <w:t>0 1 2</w:t>
            </w:r>
            <w:r>
              <w:rPr>
                <w:b/>
                <w:spacing w:val="-1"/>
                <w:sz w:val="24"/>
              </w:rPr>
              <w:t> </w:t>
            </w:r>
            <w:r>
              <w:rPr>
                <w:i/>
                <w:spacing w:val="-5"/>
                <w:sz w:val="24"/>
              </w:rPr>
              <w:t>74.</w:t>
            </w:r>
          </w:p>
          <w:p>
            <w:pPr>
              <w:pStyle w:val="TableParagraph"/>
              <w:rPr>
                <w:b/>
                <w:sz w:val="24"/>
              </w:rPr>
            </w:pPr>
          </w:p>
          <w:p>
            <w:pPr>
              <w:pStyle w:val="TableParagraph"/>
              <w:ind w:left="122"/>
              <w:rPr>
                <w:sz w:val="24"/>
              </w:rPr>
            </w:pPr>
            <w:r>
              <w:rPr>
                <w:b/>
                <w:sz w:val="24"/>
              </w:rPr>
              <w:t>0 1 2</w:t>
            </w:r>
            <w:r>
              <w:rPr>
                <w:b/>
                <w:spacing w:val="-1"/>
                <w:sz w:val="24"/>
              </w:rPr>
              <w:t> </w:t>
            </w:r>
            <w:r>
              <w:rPr>
                <w:i/>
                <w:spacing w:val="-5"/>
                <w:sz w:val="24"/>
              </w:rPr>
              <w:t>75</w:t>
            </w:r>
            <w:r>
              <w:rPr>
                <w:spacing w:val="-5"/>
                <w:sz w:val="24"/>
              </w:rPr>
              <w:t>.</w:t>
            </w:r>
          </w:p>
          <w:p>
            <w:pPr>
              <w:pStyle w:val="TableParagraph"/>
              <w:ind w:left="122"/>
              <w:rPr>
                <w:sz w:val="24"/>
              </w:rPr>
            </w:pPr>
            <w:r>
              <w:rPr>
                <w:b/>
                <w:sz w:val="24"/>
              </w:rPr>
              <w:t>0 1 2</w:t>
            </w:r>
            <w:r>
              <w:rPr>
                <w:b/>
                <w:spacing w:val="-1"/>
                <w:sz w:val="24"/>
              </w:rPr>
              <w:t> </w:t>
            </w:r>
            <w:r>
              <w:rPr>
                <w:i/>
                <w:spacing w:val="-5"/>
                <w:sz w:val="24"/>
              </w:rPr>
              <w:t>76</w:t>
            </w:r>
            <w:r>
              <w:rPr>
                <w:spacing w:val="-5"/>
                <w:sz w:val="24"/>
              </w:rPr>
              <w:t>.</w:t>
            </w:r>
          </w:p>
          <w:p>
            <w:pPr>
              <w:pStyle w:val="TableParagraph"/>
              <w:ind w:left="122"/>
              <w:rPr>
                <w:sz w:val="24"/>
              </w:rPr>
            </w:pPr>
            <w:r>
              <w:rPr>
                <w:b/>
                <w:sz w:val="24"/>
              </w:rPr>
              <w:t>0 1 2</w:t>
            </w:r>
            <w:r>
              <w:rPr>
                <w:b/>
                <w:spacing w:val="-1"/>
                <w:sz w:val="24"/>
              </w:rPr>
              <w:t> </w:t>
            </w:r>
            <w:r>
              <w:rPr>
                <w:i/>
                <w:spacing w:val="-5"/>
                <w:sz w:val="24"/>
              </w:rPr>
              <w:t>77</w:t>
            </w:r>
            <w:r>
              <w:rPr>
                <w:spacing w:val="-5"/>
                <w:sz w:val="24"/>
              </w:rPr>
              <w:t>.</w:t>
            </w:r>
          </w:p>
          <w:p>
            <w:pPr>
              <w:pStyle w:val="TableParagraph"/>
              <w:rPr>
                <w:b/>
                <w:sz w:val="24"/>
              </w:rPr>
            </w:pPr>
          </w:p>
          <w:p>
            <w:pPr>
              <w:pStyle w:val="TableParagraph"/>
              <w:ind w:left="122"/>
              <w:rPr>
                <w:i/>
                <w:sz w:val="24"/>
              </w:rPr>
            </w:pPr>
            <w:r>
              <w:rPr>
                <w:b/>
                <w:sz w:val="24"/>
              </w:rPr>
              <w:t>0 1 2</w:t>
            </w:r>
            <w:r>
              <w:rPr>
                <w:b/>
                <w:spacing w:val="-1"/>
                <w:sz w:val="24"/>
              </w:rPr>
              <w:t> </w:t>
            </w:r>
            <w:r>
              <w:rPr>
                <w:i/>
                <w:spacing w:val="-5"/>
                <w:sz w:val="24"/>
              </w:rPr>
              <w:t>78.</w:t>
            </w:r>
          </w:p>
          <w:p>
            <w:pPr>
              <w:pStyle w:val="TableParagraph"/>
              <w:spacing w:line="264" w:lineRule="exact"/>
              <w:ind w:left="122"/>
              <w:rPr>
                <w:sz w:val="24"/>
              </w:rPr>
            </w:pPr>
            <w:r>
              <w:rPr>
                <w:b/>
                <w:sz w:val="24"/>
              </w:rPr>
              <w:t>0 1 2</w:t>
            </w:r>
            <w:r>
              <w:rPr>
                <w:b/>
                <w:spacing w:val="-1"/>
                <w:sz w:val="24"/>
              </w:rPr>
              <w:t> </w:t>
            </w:r>
            <w:r>
              <w:rPr>
                <w:i/>
                <w:spacing w:val="-5"/>
                <w:sz w:val="24"/>
              </w:rPr>
              <w:t>79</w:t>
            </w:r>
            <w:r>
              <w:rPr>
                <w:spacing w:val="-5"/>
                <w:sz w:val="24"/>
              </w:rPr>
              <w:t>.</w:t>
            </w:r>
          </w:p>
        </w:tc>
        <w:tc>
          <w:tcPr>
            <w:tcW w:w="3870" w:type="dxa"/>
            <w:tcBorders>
              <w:left w:val="nil"/>
            </w:tcBorders>
          </w:tcPr>
          <w:p>
            <w:pPr>
              <w:pStyle w:val="TableParagraph"/>
              <w:ind w:left="146" w:right="315"/>
              <w:rPr>
                <w:sz w:val="24"/>
              </w:rPr>
            </w:pPr>
            <w:r>
              <w:rPr>
                <w:sz w:val="24"/>
              </w:rPr>
              <w:t>Физически агрессивен.</w:t>
            </w:r>
            <w:r>
              <w:rPr>
                <w:spacing w:val="40"/>
                <w:sz w:val="24"/>
              </w:rPr>
              <w:t> </w:t>
            </w:r>
            <w:r>
              <w:rPr>
                <w:sz w:val="24"/>
              </w:rPr>
              <w:t>Ковыряет в носу, часто касается некоторых частей тела, чешется. Приведите</w:t>
            </w:r>
            <w:r>
              <w:rPr>
                <w:spacing w:val="-15"/>
                <w:sz w:val="24"/>
              </w:rPr>
              <w:t> </w:t>
            </w:r>
            <w:r>
              <w:rPr>
                <w:sz w:val="24"/>
              </w:rPr>
              <w:t>примеры,</w:t>
            </w:r>
            <w:r>
              <w:rPr>
                <w:spacing w:val="-15"/>
                <w:sz w:val="24"/>
              </w:rPr>
              <w:t> </w:t>
            </w:r>
            <w:r>
              <w:rPr>
                <w:sz w:val="24"/>
              </w:rPr>
              <w:t>пожалуйста</w:t>
            </w:r>
          </w:p>
          <w:p>
            <w:pPr>
              <w:pStyle w:val="TableParagraph"/>
              <w:spacing w:before="35"/>
              <w:rPr>
                <w:b/>
                <w:sz w:val="20"/>
              </w:rPr>
            </w:pPr>
          </w:p>
          <w:p>
            <w:pPr>
              <w:pStyle w:val="TableParagraph"/>
              <w:spacing w:line="20" w:lineRule="exact"/>
              <w:ind w:left="146"/>
              <w:rPr>
                <w:sz w:val="2"/>
              </w:rPr>
            </w:pPr>
            <w:r>
              <w:rPr>
                <w:sz w:val="2"/>
              </w:rPr>
              <mc:AlternateContent>
                <mc:Choice Requires="wps">
                  <w:drawing>
                    <wp:inline distT="0" distB="0" distL="0" distR="0">
                      <wp:extent cx="1752600" cy="6350"/>
                      <wp:effectExtent l="9525" t="0" r="0" b="3175"/>
                      <wp:docPr id="54" name="Group 54"/>
                      <wp:cNvGraphicFramePr>
                        <a:graphicFrameLocks/>
                      </wp:cNvGraphicFramePr>
                      <a:graphic>
                        <a:graphicData uri="http://schemas.microsoft.com/office/word/2010/wordprocessingGroup">
                          <wpg:wgp>
                            <wpg:cNvPr id="54" name="Group 54"/>
                            <wpg:cNvGrpSpPr/>
                            <wpg:grpSpPr>
                              <a:xfrm>
                                <a:off x="0" y="0"/>
                                <a:ext cx="1752600" cy="6350"/>
                                <a:chExt cx="1752600" cy="6350"/>
                              </a:xfrm>
                            </wpg:grpSpPr>
                            <wps:wsp>
                              <wps:cNvPr id="55" name="Graphic 55"/>
                              <wps:cNvSpPr/>
                              <wps:spPr>
                                <a:xfrm>
                                  <a:off x="0" y="3093"/>
                                  <a:ext cx="1752600" cy="1270"/>
                                </a:xfrm>
                                <a:custGeom>
                                  <a:avLst/>
                                  <a:gdLst/>
                                  <a:ahLst/>
                                  <a:cxnLst/>
                                  <a:rect l="l" t="t" r="r" b="b"/>
                                  <a:pathLst>
                                    <a:path w="1752600" h="0">
                                      <a:moveTo>
                                        <a:pt x="0" y="0"/>
                                      </a:moveTo>
                                      <a:lnTo>
                                        <a:pt x="17526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8pt;height:.5pt;mso-position-horizontal-relative:char;mso-position-vertical-relative:line" id="docshapegroup35" coordorigin="0,0" coordsize="2760,10">
                      <v:line style="position:absolute" from="0,5" to="2760,5" stroked="true" strokeweight=".487125pt" strokecolor="#000000">
                        <v:stroke dashstyle="solid"/>
                      </v:line>
                    </v:group>
                  </w:pict>
                </mc:Fallback>
              </mc:AlternateContent>
            </w:r>
            <w:r>
              <w:rPr>
                <w:sz w:val="2"/>
              </w:rPr>
            </w:r>
          </w:p>
          <w:p>
            <w:pPr>
              <w:pStyle w:val="TableParagraph"/>
              <w:ind w:left="146" w:right="315"/>
              <w:rPr>
                <w:sz w:val="24"/>
              </w:rPr>
            </w:pPr>
            <w:r>
              <w:rPr>
                <w:sz w:val="24"/>
              </w:rPr>
              <w:t>Касается</w:t>
            </w:r>
            <w:r>
              <w:rPr>
                <w:spacing w:val="-13"/>
                <w:sz w:val="24"/>
              </w:rPr>
              <w:t> </w:t>
            </w:r>
            <w:r>
              <w:rPr>
                <w:sz w:val="24"/>
              </w:rPr>
              <w:t>половых</w:t>
            </w:r>
            <w:r>
              <w:rPr>
                <w:spacing w:val="-11"/>
                <w:sz w:val="24"/>
              </w:rPr>
              <w:t> </w:t>
            </w:r>
            <w:r>
              <w:rPr>
                <w:sz w:val="24"/>
              </w:rPr>
              <w:t>органов</w:t>
            </w:r>
            <w:r>
              <w:rPr>
                <w:spacing w:val="-14"/>
                <w:sz w:val="24"/>
              </w:rPr>
              <w:t> </w:t>
            </w:r>
            <w:r>
              <w:rPr>
                <w:sz w:val="24"/>
              </w:rPr>
              <w:t>в присутствии других людей. Апатичен, ни в чем не </w:t>
            </w:r>
            <w:r>
              <w:rPr>
                <w:spacing w:val="-2"/>
                <w:sz w:val="24"/>
              </w:rPr>
              <w:t>заинтересован.</w:t>
            </w:r>
          </w:p>
          <w:p>
            <w:pPr>
              <w:pStyle w:val="TableParagraph"/>
              <w:ind w:left="146"/>
              <w:rPr>
                <w:sz w:val="24"/>
              </w:rPr>
            </w:pPr>
            <w:r>
              <w:rPr>
                <w:sz w:val="24"/>
              </w:rPr>
              <w:t>Плохо</w:t>
            </w:r>
            <w:r>
              <w:rPr>
                <w:spacing w:val="3"/>
                <w:sz w:val="24"/>
              </w:rPr>
              <w:t> </w:t>
            </w:r>
            <w:r>
              <w:rPr>
                <w:spacing w:val="-2"/>
                <w:sz w:val="24"/>
              </w:rPr>
              <w:t>учится.</w:t>
            </w:r>
          </w:p>
          <w:p>
            <w:pPr>
              <w:pStyle w:val="TableParagraph"/>
              <w:ind w:left="146" w:right="315"/>
              <w:rPr>
                <w:sz w:val="24"/>
              </w:rPr>
            </w:pPr>
            <w:r>
              <w:rPr>
                <w:sz w:val="24"/>
              </w:rPr>
              <w:t>Движения плохо </w:t>
            </w:r>
            <w:r>
              <w:rPr>
                <w:spacing w:val="-2"/>
                <w:sz w:val="24"/>
              </w:rPr>
              <w:t>скоординированы/неуклюжи. </w:t>
            </w:r>
            <w:r>
              <w:rPr>
                <w:sz w:val="24"/>
              </w:rPr>
              <w:t>Предпочитает</w:t>
            </w:r>
            <w:r>
              <w:rPr>
                <w:spacing w:val="-15"/>
                <w:sz w:val="24"/>
              </w:rPr>
              <w:t> </w:t>
            </w:r>
            <w:r>
              <w:rPr>
                <w:sz w:val="24"/>
              </w:rPr>
              <w:t>проводить</w:t>
            </w:r>
            <w:r>
              <w:rPr>
                <w:spacing w:val="-15"/>
                <w:sz w:val="24"/>
              </w:rPr>
              <w:t> </w:t>
            </w:r>
            <w:r>
              <w:rPr>
                <w:sz w:val="24"/>
              </w:rPr>
              <w:t>время, играть с детьми старшего </w:t>
            </w:r>
            <w:r>
              <w:rPr>
                <w:spacing w:val="-2"/>
                <w:sz w:val="24"/>
              </w:rPr>
              <w:t>возраста.</w:t>
            </w:r>
          </w:p>
          <w:p>
            <w:pPr>
              <w:pStyle w:val="TableParagraph"/>
              <w:ind w:left="146" w:right="142"/>
              <w:rPr>
                <w:sz w:val="24"/>
              </w:rPr>
            </w:pPr>
            <w:r>
              <w:rPr>
                <w:sz w:val="24"/>
              </w:rPr>
              <w:t>Предпочитает</w:t>
            </w:r>
            <w:r>
              <w:rPr>
                <w:spacing w:val="-14"/>
                <w:sz w:val="24"/>
              </w:rPr>
              <w:t> </w:t>
            </w:r>
            <w:r>
              <w:rPr>
                <w:sz w:val="24"/>
              </w:rPr>
              <w:t>проводить</w:t>
            </w:r>
            <w:r>
              <w:rPr>
                <w:spacing w:val="-13"/>
                <w:sz w:val="24"/>
              </w:rPr>
              <w:t> </w:t>
            </w:r>
            <w:r>
              <w:rPr>
                <w:sz w:val="24"/>
              </w:rPr>
              <w:t>время</w:t>
            </w:r>
            <w:r>
              <w:rPr>
                <w:spacing w:val="-14"/>
                <w:sz w:val="24"/>
              </w:rPr>
              <w:t> </w:t>
            </w:r>
            <w:r>
              <w:rPr>
                <w:sz w:val="24"/>
              </w:rPr>
              <w:t>и играть с детьми младшего </w:t>
            </w:r>
            <w:r>
              <w:rPr>
                <w:spacing w:val="-2"/>
                <w:sz w:val="24"/>
              </w:rPr>
              <w:t>возраста.</w:t>
            </w:r>
          </w:p>
          <w:p>
            <w:pPr>
              <w:pStyle w:val="TableParagraph"/>
              <w:ind w:left="146" w:right="142"/>
              <w:rPr>
                <w:sz w:val="24"/>
              </w:rPr>
            </w:pPr>
            <w:r>
              <w:rPr>
                <w:sz w:val="24"/>
              </w:rPr>
              <w:t>Отказывается разговаривать. Снова</w:t>
            </w:r>
            <w:r>
              <w:rPr>
                <w:spacing w:val="-7"/>
                <w:sz w:val="24"/>
              </w:rPr>
              <w:t> </w:t>
            </w:r>
            <w:r>
              <w:rPr>
                <w:sz w:val="24"/>
              </w:rPr>
              <w:t>и</w:t>
            </w:r>
            <w:r>
              <w:rPr>
                <w:spacing w:val="-5"/>
                <w:sz w:val="24"/>
              </w:rPr>
              <w:t> </w:t>
            </w:r>
            <w:r>
              <w:rPr>
                <w:sz w:val="24"/>
              </w:rPr>
              <w:t>снова</w:t>
            </w:r>
            <w:r>
              <w:rPr>
                <w:spacing w:val="-7"/>
                <w:sz w:val="24"/>
              </w:rPr>
              <w:t> </w:t>
            </w:r>
            <w:r>
              <w:rPr>
                <w:sz w:val="24"/>
              </w:rPr>
              <w:t>повторяет</w:t>
            </w:r>
            <w:r>
              <w:rPr>
                <w:spacing w:val="-5"/>
                <w:sz w:val="24"/>
              </w:rPr>
              <w:t> </w:t>
            </w:r>
            <w:r>
              <w:rPr>
                <w:sz w:val="24"/>
              </w:rPr>
              <w:t>одни</w:t>
            </w:r>
            <w:r>
              <w:rPr>
                <w:spacing w:val="-7"/>
                <w:sz w:val="24"/>
              </w:rPr>
              <w:t> </w:t>
            </w:r>
            <w:r>
              <w:rPr>
                <w:sz w:val="24"/>
              </w:rPr>
              <w:t>и</w:t>
            </w:r>
            <w:r>
              <w:rPr>
                <w:spacing w:val="-5"/>
                <w:sz w:val="24"/>
              </w:rPr>
              <w:t> </w:t>
            </w:r>
            <w:r>
              <w:rPr>
                <w:sz w:val="24"/>
              </w:rPr>
              <w:t>те же</w:t>
            </w:r>
            <w:r>
              <w:rPr>
                <w:spacing w:val="-14"/>
                <w:sz w:val="24"/>
              </w:rPr>
              <w:t> </w:t>
            </w:r>
            <w:r>
              <w:rPr>
                <w:sz w:val="24"/>
              </w:rPr>
              <w:t>действия,</w:t>
            </w:r>
            <w:r>
              <w:rPr>
                <w:spacing w:val="-12"/>
                <w:sz w:val="24"/>
              </w:rPr>
              <w:t> </w:t>
            </w:r>
            <w:r>
              <w:rPr>
                <w:sz w:val="24"/>
              </w:rPr>
              <w:t>движения</w:t>
            </w:r>
            <w:r>
              <w:rPr>
                <w:spacing w:val="-15"/>
                <w:sz w:val="24"/>
              </w:rPr>
              <w:t> </w:t>
            </w:r>
            <w:r>
              <w:rPr>
                <w:sz w:val="24"/>
              </w:rPr>
              <w:t>(например, теребит пуговицу, проверяет, закрыты ли двери, и т. п.).</w:t>
            </w:r>
          </w:p>
          <w:p>
            <w:pPr>
              <w:pStyle w:val="TableParagraph"/>
              <w:ind w:left="146"/>
              <w:rPr>
                <w:sz w:val="24"/>
              </w:rPr>
            </w:pPr>
            <w:r>
              <w:rPr>
                <w:sz w:val="24"/>
              </w:rPr>
              <w:t>Опишите,</w:t>
            </w:r>
            <w:r>
              <w:rPr>
                <w:spacing w:val="-4"/>
                <w:sz w:val="24"/>
              </w:rPr>
              <w:t> </w:t>
            </w:r>
            <w:r>
              <w:rPr>
                <w:spacing w:val="-2"/>
                <w:sz w:val="24"/>
              </w:rPr>
              <w:t>пожалуйста</w:t>
            </w:r>
          </w:p>
          <w:p>
            <w:pPr>
              <w:pStyle w:val="TableParagraph"/>
              <w:spacing w:before="25"/>
              <w:rPr>
                <w:b/>
                <w:sz w:val="20"/>
              </w:rPr>
            </w:pPr>
          </w:p>
          <w:p>
            <w:pPr>
              <w:pStyle w:val="TableParagraph"/>
              <w:spacing w:line="20" w:lineRule="exact"/>
              <w:ind w:left="146"/>
              <w:rPr>
                <w:sz w:val="2"/>
              </w:rPr>
            </w:pPr>
            <w:r>
              <w:rPr>
                <w:sz w:val="2"/>
              </w:rPr>
              <mc:AlternateContent>
                <mc:Choice Requires="wps">
                  <w:drawing>
                    <wp:inline distT="0" distB="0" distL="0" distR="0">
                      <wp:extent cx="1676400" cy="6350"/>
                      <wp:effectExtent l="9525" t="0" r="0" b="3175"/>
                      <wp:docPr id="56" name="Group 56"/>
                      <wp:cNvGraphicFramePr>
                        <a:graphicFrameLocks/>
                      </wp:cNvGraphicFramePr>
                      <a:graphic>
                        <a:graphicData uri="http://schemas.microsoft.com/office/word/2010/wordprocessingGroup">
                          <wpg:wgp>
                            <wpg:cNvPr id="56" name="Group 56"/>
                            <wpg:cNvGrpSpPr/>
                            <wpg:grpSpPr>
                              <a:xfrm>
                                <a:off x="0" y="0"/>
                                <a:ext cx="1676400" cy="6350"/>
                                <a:chExt cx="1676400" cy="6350"/>
                              </a:xfrm>
                            </wpg:grpSpPr>
                            <wps:wsp>
                              <wps:cNvPr id="57" name="Graphic 57"/>
                              <wps:cNvSpPr/>
                              <wps:spPr>
                                <a:xfrm>
                                  <a:off x="0" y="3093"/>
                                  <a:ext cx="1676400" cy="1270"/>
                                </a:xfrm>
                                <a:custGeom>
                                  <a:avLst/>
                                  <a:gdLst/>
                                  <a:ahLst/>
                                  <a:cxnLst/>
                                  <a:rect l="l" t="t" r="r" b="b"/>
                                  <a:pathLst>
                                    <a:path w="1676400" h="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2pt;height:.5pt;mso-position-horizontal-relative:char;mso-position-vertical-relative:line" id="docshapegroup36" coordorigin="0,0" coordsize="2640,10">
                      <v:line style="position:absolute" from="0,5" to="2640,5" stroked="true" strokeweight=".487125pt" strokecolor="#000000">
                        <v:stroke dashstyle="solid"/>
                      </v:line>
                    </v:group>
                  </w:pict>
                </mc:Fallback>
              </mc:AlternateContent>
            </w:r>
            <w:r>
              <w:rPr>
                <w:sz w:val="2"/>
              </w:rPr>
            </w:r>
          </w:p>
          <w:p>
            <w:pPr>
              <w:pStyle w:val="TableParagraph"/>
              <w:ind w:left="146" w:right="315"/>
              <w:rPr>
                <w:sz w:val="24"/>
              </w:rPr>
            </w:pPr>
            <w:r>
              <w:rPr>
                <w:sz w:val="24"/>
              </w:rPr>
              <w:t>Нарушает</w:t>
            </w:r>
            <w:r>
              <w:rPr>
                <w:spacing w:val="-15"/>
                <w:sz w:val="24"/>
              </w:rPr>
              <w:t> </w:t>
            </w:r>
            <w:r>
              <w:rPr>
                <w:sz w:val="24"/>
              </w:rPr>
              <w:t>дисциплину</w:t>
            </w:r>
            <w:r>
              <w:rPr>
                <w:spacing w:val="-15"/>
                <w:sz w:val="24"/>
              </w:rPr>
              <w:t> </w:t>
            </w:r>
            <w:r>
              <w:rPr>
                <w:sz w:val="24"/>
              </w:rPr>
              <w:t>во</w:t>
            </w:r>
            <w:r>
              <w:rPr>
                <w:spacing w:val="-14"/>
                <w:sz w:val="24"/>
              </w:rPr>
              <w:t> </w:t>
            </w:r>
            <w:r>
              <w:rPr>
                <w:sz w:val="24"/>
              </w:rPr>
              <w:t>время </w:t>
            </w:r>
            <w:r>
              <w:rPr>
                <w:spacing w:val="-2"/>
                <w:sz w:val="24"/>
              </w:rPr>
              <w:t>урока.</w:t>
            </w:r>
          </w:p>
          <w:p>
            <w:pPr>
              <w:pStyle w:val="TableParagraph"/>
              <w:ind w:left="146"/>
              <w:rPr>
                <w:sz w:val="24"/>
              </w:rPr>
            </w:pPr>
            <w:r>
              <w:rPr>
                <w:spacing w:val="-2"/>
                <w:sz w:val="24"/>
              </w:rPr>
              <w:t>Криклив.</w:t>
            </w:r>
          </w:p>
          <w:p>
            <w:pPr>
              <w:pStyle w:val="TableParagraph"/>
              <w:ind w:left="146" w:right="208"/>
              <w:rPr>
                <w:sz w:val="24"/>
              </w:rPr>
            </w:pPr>
            <w:r>
              <w:rPr>
                <w:sz w:val="24"/>
              </w:rPr>
              <w:t>Скрытен, держит все в себе. Видит</w:t>
            </w:r>
            <w:r>
              <w:rPr>
                <w:spacing w:val="-8"/>
                <w:sz w:val="24"/>
              </w:rPr>
              <w:t> </w:t>
            </w:r>
            <w:r>
              <w:rPr>
                <w:sz w:val="24"/>
              </w:rPr>
              <w:t>что-то,</w:t>
            </w:r>
            <w:r>
              <w:rPr>
                <w:spacing w:val="-8"/>
                <w:sz w:val="24"/>
              </w:rPr>
              <w:t> </w:t>
            </w:r>
            <w:r>
              <w:rPr>
                <w:sz w:val="24"/>
              </w:rPr>
              <w:t>что,</w:t>
            </w:r>
            <w:r>
              <w:rPr>
                <w:spacing w:val="-8"/>
                <w:sz w:val="24"/>
              </w:rPr>
              <w:t> </w:t>
            </w:r>
            <w:r>
              <w:rPr>
                <w:sz w:val="24"/>
              </w:rPr>
              <w:t>кроме</w:t>
            </w:r>
            <w:r>
              <w:rPr>
                <w:spacing w:val="-9"/>
                <w:sz w:val="24"/>
              </w:rPr>
              <w:t> </w:t>
            </w:r>
            <w:r>
              <w:rPr>
                <w:sz w:val="24"/>
              </w:rPr>
              <w:t>него,</w:t>
            </w:r>
            <w:r>
              <w:rPr>
                <w:spacing w:val="-8"/>
                <w:sz w:val="24"/>
              </w:rPr>
              <w:t> </w:t>
            </w:r>
            <w:r>
              <w:rPr>
                <w:sz w:val="24"/>
              </w:rPr>
              <w:t>не видит никто.</w:t>
            </w:r>
          </w:p>
          <w:p>
            <w:pPr>
              <w:pStyle w:val="TableParagraph"/>
              <w:ind w:left="146"/>
              <w:rPr>
                <w:sz w:val="24"/>
              </w:rPr>
            </w:pPr>
            <w:r>
              <w:rPr>
                <w:sz w:val="24"/>
              </w:rPr>
              <w:t>Опишите,</w:t>
            </w:r>
            <w:r>
              <w:rPr>
                <w:spacing w:val="-4"/>
                <w:sz w:val="24"/>
              </w:rPr>
              <w:t> </w:t>
            </w:r>
            <w:r>
              <w:rPr>
                <w:spacing w:val="-2"/>
                <w:sz w:val="24"/>
              </w:rPr>
              <w:t>пожалуйста</w:t>
            </w:r>
          </w:p>
          <w:p>
            <w:pPr>
              <w:pStyle w:val="TableParagraph"/>
              <w:spacing w:before="26"/>
              <w:rPr>
                <w:b/>
                <w:sz w:val="20"/>
              </w:rPr>
            </w:pPr>
          </w:p>
          <w:p>
            <w:pPr>
              <w:pStyle w:val="TableParagraph"/>
              <w:spacing w:line="20" w:lineRule="exact"/>
              <w:ind w:left="146"/>
              <w:rPr>
                <w:sz w:val="2"/>
              </w:rPr>
            </w:pPr>
            <w:r>
              <w:rPr>
                <w:sz w:val="2"/>
              </w:rPr>
              <mc:AlternateContent>
                <mc:Choice Requires="wps">
                  <w:drawing>
                    <wp:inline distT="0" distB="0" distL="0" distR="0">
                      <wp:extent cx="1676400" cy="6350"/>
                      <wp:effectExtent l="9525" t="0" r="0" b="3175"/>
                      <wp:docPr id="58" name="Group 58"/>
                      <wp:cNvGraphicFramePr>
                        <a:graphicFrameLocks/>
                      </wp:cNvGraphicFramePr>
                      <a:graphic>
                        <a:graphicData uri="http://schemas.microsoft.com/office/word/2010/wordprocessingGroup">
                          <wpg:wgp>
                            <wpg:cNvPr id="58" name="Group 58"/>
                            <wpg:cNvGrpSpPr/>
                            <wpg:grpSpPr>
                              <a:xfrm>
                                <a:off x="0" y="0"/>
                                <a:ext cx="1676400" cy="6350"/>
                                <a:chExt cx="1676400" cy="6350"/>
                              </a:xfrm>
                            </wpg:grpSpPr>
                            <wps:wsp>
                              <wps:cNvPr id="59" name="Graphic 59"/>
                              <wps:cNvSpPr/>
                              <wps:spPr>
                                <a:xfrm>
                                  <a:off x="0" y="3093"/>
                                  <a:ext cx="1676400" cy="1270"/>
                                </a:xfrm>
                                <a:custGeom>
                                  <a:avLst/>
                                  <a:gdLst/>
                                  <a:ahLst/>
                                  <a:cxnLst/>
                                  <a:rect l="l" t="t" r="r" b="b"/>
                                  <a:pathLst>
                                    <a:path w="1676400" h="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2pt;height:.5pt;mso-position-horizontal-relative:char;mso-position-vertical-relative:line" id="docshapegroup37" coordorigin="0,0" coordsize="2640,10">
                      <v:line style="position:absolute" from="0,5" to="2640,5" stroked="true" strokeweight=".487125pt" strokecolor="#000000">
                        <v:stroke dashstyle="solid"/>
                      </v:line>
                    </v:group>
                  </w:pict>
                </mc:Fallback>
              </mc:AlternateContent>
            </w:r>
            <w:r>
              <w:rPr>
                <w:sz w:val="2"/>
              </w:rPr>
            </w:r>
          </w:p>
          <w:p>
            <w:pPr>
              <w:pStyle w:val="TableParagraph"/>
              <w:ind w:left="146" w:right="315"/>
              <w:rPr>
                <w:sz w:val="24"/>
              </w:rPr>
            </w:pPr>
            <w:r>
              <w:rPr>
                <w:sz w:val="24"/>
              </w:rPr>
              <w:t>Стеснителен,</w:t>
            </w:r>
            <w:r>
              <w:rPr>
                <w:spacing w:val="-15"/>
                <w:sz w:val="24"/>
              </w:rPr>
              <w:t> </w:t>
            </w:r>
            <w:r>
              <w:rPr>
                <w:sz w:val="24"/>
              </w:rPr>
              <w:t>легко</w:t>
            </w:r>
            <w:r>
              <w:rPr>
                <w:spacing w:val="-15"/>
                <w:sz w:val="24"/>
              </w:rPr>
              <w:t> </w:t>
            </w:r>
            <w:r>
              <w:rPr>
                <w:sz w:val="24"/>
              </w:rPr>
              <w:t>смущается. Неаккуратен, кляксы и грязь в тетрадях и книгах.</w:t>
            </w:r>
          </w:p>
          <w:p>
            <w:pPr>
              <w:pStyle w:val="TableParagraph"/>
              <w:ind w:left="146" w:right="1432"/>
              <w:rPr>
                <w:sz w:val="24"/>
              </w:rPr>
            </w:pPr>
            <w:r>
              <w:rPr>
                <w:spacing w:val="-2"/>
                <w:sz w:val="24"/>
              </w:rPr>
              <w:t>Безответственный. </w:t>
            </w:r>
            <w:r>
              <w:rPr>
                <w:sz w:val="24"/>
              </w:rPr>
              <w:t>Опишите,</w:t>
            </w:r>
            <w:r>
              <w:rPr>
                <w:spacing w:val="-15"/>
                <w:sz w:val="24"/>
              </w:rPr>
              <w:t> </w:t>
            </w:r>
            <w:r>
              <w:rPr>
                <w:sz w:val="24"/>
              </w:rPr>
              <w:t>пожалуйста</w:t>
            </w:r>
          </w:p>
          <w:p>
            <w:pPr>
              <w:pStyle w:val="TableParagraph"/>
              <w:spacing w:before="26"/>
              <w:rPr>
                <w:b/>
                <w:sz w:val="20"/>
              </w:rPr>
            </w:pPr>
          </w:p>
          <w:p>
            <w:pPr>
              <w:pStyle w:val="TableParagraph"/>
              <w:spacing w:line="20" w:lineRule="exact"/>
              <w:ind w:left="146"/>
              <w:rPr>
                <w:sz w:val="2"/>
              </w:rPr>
            </w:pPr>
            <w:r>
              <w:rPr>
                <w:sz w:val="2"/>
              </w:rPr>
              <mc:AlternateContent>
                <mc:Choice Requires="wps">
                  <w:drawing>
                    <wp:inline distT="0" distB="0" distL="0" distR="0">
                      <wp:extent cx="1676400" cy="6350"/>
                      <wp:effectExtent l="9525" t="0" r="0" b="3175"/>
                      <wp:docPr id="60" name="Group 60"/>
                      <wp:cNvGraphicFramePr>
                        <a:graphicFrameLocks/>
                      </wp:cNvGraphicFramePr>
                      <a:graphic>
                        <a:graphicData uri="http://schemas.microsoft.com/office/word/2010/wordprocessingGroup">
                          <wpg:wgp>
                            <wpg:cNvPr id="60" name="Group 60"/>
                            <wpg:cNvGrpSpPr/>
                            <wpg:grpSpPr>
                              <a:xfrm>
                                <a:off x="0" y="0"/>
                                <a:ext cx="1676400" cy="6350"/>
                                <a:chExt cx="1676400" cy="6350"/>
                              </a:xfrm>
                            </wpg:grpSpPr>
                            <wps:wsp>
                              <wps:cNvPr id="61" name="Graphic 61"/>
                              <wps:cNvSpPr/>
                              <wps:spPr>
                                <a:xfrm>
                                  <a:off x="0" y="3093"/>
                                  <a:ext cx="1676400" cy="1270"/>
                                </a:xfrm>
                                <a:custGeom>
                                  <a:avLst/>
                                  <a:gdLst/>
                                  <a:ahLst/>
                                  <a:cxnLst/>
                                  <a:rect l="l" t="t" r="r" b="b"/>
                                  <a:pathLst>
                                    <a:path w="1676400" h="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2pt;height:.5pt;mso-position-horizontal-relative:char;mso-position-vertical-relative:line" id="docshapegroup38" coordorigin="0,0" coordsize="2640,10">
                      <v:line style="position:absolute" from="0,5" to="2640,5" stroked="true" strokeweight=".487125pt" strokecolor="#000000">
                        <v:stroke dashstyle="solid"/>
                      </v:line>
                    </v:group>
                  </w:pict>
                </mc:Fallback>
              </mc:AlternateContent>
            </w:r>
            <w:r>
              <w:rPr>
                <w:sz w:val="2"/>
              </w:rPr>
            </w:r>
          </w:p>
          <w:p>
            <w:pPr>
              <w:pStyle w:val="TableParagraph"/>
              <w:ind w:left="146" w:right="315"/>
              <w:rPr>
                <w:sz w:val="24"/>
              </w:rPr>
            </w:pPr>
            <w:r>
              <w:rPr>
                <w:sz w:val="24"/>
              </w:rPr>
              <w:t>Старается</w:t>
            </w:r>
            <w:r>
              <w:rPr>
                <w:spacing w:val="-15"/>
                <w:sz w:val="24"/>
              </w:rPr>
              <w:t> </w:t>
            </w:r>
            <w:r>
              <w:rPr>
                <w:sz w:val="24"/>
              </w:rPr>
              <w:t>обратить</w:t>
            </w:r>
            <w:r>
              <w:rPr>
                <w:spacing w:val="-12"/>
                <w:sz w:val="24"/>
              </w:rPr>
              <w:t> </w:t>
            </w:r>
            <w:r>
              <w:rPr>
                <w:sz w:val="24"/>
              </w:rPr>
              <w:t>на</w:t>
            </w:r>
            <w:r>
              <w:rPr>
                <w:spacing w:val="-15"/>
                <w:sz w:val="24"/>
              </w:rPr>
              <w:t> </w:t>
            </w:r>
            <w:r>
              <w:rPr>
                <w:sz w:val="24"/>
              </w:rPr>
              <w:t>себя внимание, паясничает.</w:t>
            </w:r>
          </w:p>
          <w:p>
            <w:pPr>
              <w:pStyle w:val="TableParagraph"/>
              <w:ind w:left="146"/>
              <w:rPr>
                <w:sz w:val="24"/>
              </w:rPr>
            </w:pPr>
            <w:r>
              <w:rPr>
                <w:sz w:val="24"/>
              </w:rPr>
              <w:t>Застенчив</w:t>
            </w:r>
            <w:r>
              <w:rPr>
                <w:spacing w:val="-5"/>
                <w:sz w:val="24"/>
              </w:rPr>
              <w:t> </w:t>
            </w:r>
            <w:r>
              <w:rPr>
                <w:sz w:val="24"/>
              </w:rPr>
              <w:t>или</w:t>
            </w:r>
            <w:r>
              <w:rPr>
                <w:spacing w:val="-2"/>
                <w:sz w:val="24"/>
              </w:rPr>
              <w:t> робок.</w:t>
            </w:r>
          </w:p>
          <w:p>
            <w:pPr>
              <w:pStyle w:val="TableParagraph"/>
              <w:ind w:left="146" w:right="315"/>
              <w:rPr>
                <w:sz w:val="24"/>
              </w:rPr>
            </w:pPr>
            <w:r>
              <w:rPr>
                <w:sz w:val="24"/>
              </w:rPr>
              <w:t>Ведет</w:t>
            </w:r>
            <w:r>
              <w:rPr>
                <w:spacing w:val="-15"/>
                <w:sz w:val="24"/>
              </w:rPr>
              <w:t> </w:t>
            </w:r>
            <w:r>
              <w:rPr>
                <w:sz w:val="24"/>
              </w:rPr>
              <w:t>себя</w:t>
            </w:r>
            <w:r>
              <w:rPr>
                <w:spacing w:val="-15"/>
                <w:sz w:val="24"/>
              </w:rPr>
              <w:t> </w:t>
            </w:r>
            <w:r>
              <w:rPr>
                <w:sz w:val="24"/>
              </w:rPr>
              <w:t>непредсказуемо. Бесцеремонный, требует постоянного внимания.</w:t>
            </w:r>
          </w:p>
          <w:p>
            <w:pPr>
              <w:pStyle w:val="TableParagraph"/>
              <w:spacing w:line="270" w:lineRule="atLeast"/>
              <w:ind w:left="146" w:right="315"/>
              <w:rPr>
                <w:sz w:val="24"/>
              </w:rPr>
            </w:pPr>
            <w:r>
              <w:rPr>
                <w:sz w:val="24"/>
              </w:rPr>
              <w:t>Невнимателен,</w:t>
            </w:r>
            <w:r>
              <w:rPr>
                <w:spacing w:val="-15"/>
                <w:sz w:val="24"/>
              </w:rPr>
              <w:t> </w:t>
            </w:r>
            <w:r>
              <w:rPr>
                <w:sz w:val="24"/>
              </w:rPr>
              <w:t>легко</w:t>
            </w:r>
            <w:r>
              <w:rPr>
                <w:spacing w:val="-15"/>
                <w:sz w:val="24"/>
              </w:rPr>
              <w:t> </w:t>
            </w:r>
            <w:r>
              <w:rPr>
                <w:sz w:val="24"/>
              </w:rPr>
              <w:t>отвлекаем. Трудности с речью.</w:t>
            </w:r>
          </w:p>
        </w:tc>
        <w:tc>
          <w:tcPr>
            <w:tcW w:w="1233" w:type="dxa"/>
            <w:tcBorders>
              <w:right w:val="nil"/>
            </w:tcBorders>
          </w:tcPr>
          <w:p>
            <w:pPr>
              <w:pStyle w:val="TableParagraph"/>
              <w:spacing w:line="270" w:lineRule="exact"/>
              <w:ind w:left="95"/>
              <w:rPr>
                <w:sz w:val="24"/>
              </w:rPr>
            </w:pPr>
            <w:r>
              <w:rPr>
                <w:b/>
                <w:sz w:val="24"/>
              </w:rPr>
              <w:t>0 1 2 </w:t>
            </w:r>
            <w:r>
              <w:rPr>
                <w:i/>
                <w:spacing w:val="-5"/>
                <w:sz w:val="24"/>
              </w:rPr>
              <w:t>84</w:t>
            </w:r>
            <w:r>
              <w:rPr>
                <w:spacing w:val="-5"/>
                <w:sz w:val="24"/>
              </w:rPr>
              <w:t>.</w:t>
            </w:r>
          </w:p>
          <w:p>
            <w:pPr>
              <w:pStyle w:val="TableParagraph"/>
              <w:rPr>
                <w:b/>
                <w:sz w:val="24"/>
              </w:rPr>
            </w:pPr>
          </w:p>
          <w:p>
            <w:pPr>
              <w:pStyle w:val="TableParagraph"/>
              <w:rPr>
                <w:b/>
                <w:sz w:val="24"/>
              </w:rPr>
            </w:pPr>
          </w:p>
          <w:p>
            <w:pPr>
              <w:pStyle w:val="TableParagraph"/>
              <w:ind w:left="95"/>
              <w:rPr>
                <w:sz w:val="24"/>
              </w:rPr>
            </w:pPr>
            <w:r>
              <w:rPr>
                <w:b/>
                <w:sz w:val="24"/>
              </w:rPr>
              <w:t>0 1 2 </w:t>
            </w:r>
            <w:r>
              <w:rPr>
                <w:i/>
                <w:spacing w:val="-5"/>
                <w:sz w:val="24"/>
              </w:rPr>
              <w:t>85</w:t>
            </w:r>
            <w:r>
              <w:rPr>
                <w:spacing w:val="-5"/>
                <w:sz w:val="24"/>
              </w:rPr>
              <w:t>.</w:t>
            </w:r>
          </w:p>
          <w:p>
            <w:pPr>
              <w:pStyle w:val="TableParagraph"/>
              <w:rPr>
                <w:b/>
                <w:sz w:val="24"/>
              </w:rPr>
            </w:pPr>
          </w:p>
          <w:p>
            <w:pPr>
              <w:pStyle w:val="TableParagraph"/>
              <w:rPr>
                <w:b/>
                <w:sz w:val="24"/>
              </w:rPr>
            </w:pPr>
          </w:p>
          <w:p>
            <w:pPr>
              <w:pStyle w:val="TableParagraph"/>
              <w:ind w:left="95"/>
              <w:rPr>
                <w:i/>
                <w:sz w:val="24"/>
              </w:rPr>
            </w:pPr>
            <w:r>
              <w:rPr>
                <w:b/>
                <w:sz w:val="24"/>
              </w:rPr>
              <w:t>0 1 2 </w:t>
            </w:r>
            <w:r>
              <w:rPr>
                <w:i/>
                <w:spacing w:val="-5"/>
                <w:sz w:val="24"/>
              </w:rPr>
              <w:t>86.</w:t>
            </w:r>
          </w:p>
          <w:p>
            <w:pPr>
              <w:pStyle w:val="TableParagraph"/>
              <w:rPr>
                <w:b/>
                <w:sz w:val="24"/>
              </w:rPr>
            </w:pPr>
          </w:p>
          <w:p>
            <w:pPr>
              <w:pStyle w:val="TableParagraph"/>
              <w:ind w:left="95"/>
              <w:rPr>
                <w:sz w:val="24"/>
              </w:rPr>
            </w:pPr>
            <w:r>
              <w:rPr>
                <w:b/>
                <w:sz w:val="24"/>
              </w:rPr>
              <w:t>0 1 2 </w:t>
            </w:r>
            <w:r>
              <w:rPr>
                <w:i/>
                <w:spacing w:val="-5"/>
                <w:sz w:val="24"/>
              </w:rPr>
              <w:t>87</w:t>
            </w:r>
            <w:r>
              <w:rPr>
                <w:spacing w:val="-5"/>
                <w:sz w:val="24"/>
              </w:rPr>
              <w:t>.</w:t>
            </w:r>
          </w:p>
          <w:p>
            <w:pPr>
              <w:pStyle w:val="TableParagraph"/>
              <w:rPr>
                <w:b/>
                <w:sz w:val="24"/>
              </w:rPr>
            </w:pPr>
          </w:p>
          <w:p>
            <w:pPr>
              <w:pStyle w:val="TableParagraph"/>
              <w:spacing w:before="1"/>
              <w:ind w:left="95"/>
              <w:rPr>
                <w:i/>
                <w:sz w:val="24"/>
              </w:rPr>
            </w:pPr>
            <w:r>
              <w:rPr>
                <w:b/>
                <w:sz w:val="24"/>
              </w:rPr>
              <w:t>0 1 2 </w:t>
            </w:r>
            <w:r>
              <w:rPr>
                <w:i/>
                <w:spacing w:val="-5"/>
                <w:sz w:val="24"/>
              </w:rPr>
              <w:t>88.</w:t>
            </w:r>
          </w:p>
          <w:p>
            <w:pPr>
              <w:pStyle w:val="TableParagraph"/>
              <w:ind w:left="95"/>
              <w:rPr>
                <w:i/>
                <w:sz w:val="24"/>
              </w:rPr>
            </w:pPr>
            <w:r>
              <w:rPr>
                <w:b/>
                <w:sz w:val="24"/>
              </w:rPr>
              <w:t>0 1 2 </w:t>
            </w:r>
            <w:r>
              <w:rPr>
                <w:i/>
                <w:spacing w:val="-5"/>
                <w:sz w:val="24"/>
              </w:rPr>
              <w:t>89.</w:t>
            </w:r>
          </w:p>
          <w:p>
            <w:pPr>
              <w:pStyle w:val="TableParagraph"/>
              <w:ind w:left="95"/>
              <w:rPr>
                <w:i/>
                <w:sz w:val="24"/>
              </w:rPr>
            </w:pPr>
            <w:r>
              <w:rPr>
                <w:b/>
                <w:sz w:val="24"/>
              </w:rPr>
              <w:t>0 1 2 </w:t>
            </w:r>
            <w:r>
              <w:rPr>
                <w:i/>
                <w:spacing w:val="-5"/>
                <w:sz w:val="24"/>
              </w:rPr>
              <w:t>90.</w:t>
            </w:r>
          </w:p>
          <w:p>
            <w:pPr>
              <w:pStyle w:val="TableParagraph"/>
              <w:spacing w:before="273"/>
              <w:rPr>
                <w:b/>
                <w:sz w:val="24"/>
              </w:rPr>
            </w:pPr>
          </w:p>
          <w:p>
            <w:pPr>
              <w:pStyle w:val="TableParagraph"/>
              <w:ind w:left="95"/>
              <w:rPr>
                <w:i/>
                <w:sz w:val="24"/>
              </w:rPr>
            </w:pPr>
            <w:r>
              <w:rPr>
                <w:b/>
                <w:sz w:val="24"/>
              </w:rPr>
              <w:t>0 1 2 </w:t>
            </w:r>
            <w:r>
              <w:rPr>
                <w:i/>
                <w:spacing w:val="-5"/>
                <w:sz w:val="24"/>
              </w:rPr>
              <w:t>91.</w:t>
            </w:r>
          </w:p>
          <w:p>
            <w:pPr>
              <w:pStyle w:val="TableParagraph"/>
              <w:ind w:left="95"/>
              <w:rPr>
                <w:sz w:val="24"/>
              </w:rPr>
            </w:pPr>
            <w:r>
              <w:rPr>
                <w:b/>
                <w:sz w:val="24"/>
              </w:rPr>
              <w:t>0 1 2 </w:t>
            </w:r>
            <w:r>
              <w:rPr>
                <w:i/>
                <w:spacing w:val="-5"/>
                <w:sz w:val="24"/>
              </w:rPr>
              <w:t>92</w:t>
            </w:r>
            <w:r>
              <w:rPr>
                <w:spacing w:val="-5"/>
                <w:sz w:val="24"/>
              </w:rPr>
              <w:t>.</w:t>
            </w:r>
          </w:p>
          <w:p>
            <w:pPr>
              <w:pStyle w:val="TableParagraph"/>
              <w:rPr>
                <w:b/>
                <w:sz w:val="24"/>
              </w:rPr>
            </w:pPr>
          </w:p>
          <w:p>
            <w:pPr>
              <w:pStyle w:val="TableParagraph"/>
              <w:spacing w:before="1"/>
              <w:rPr>
                <w:b/>
                <w:sz w:val="24"/>
              </w:rPr>
            </w:pPr>
          </w:p>
          <w:p>
            <w:pPr>
              <w:pStyle w:val="TableParagraph"/>
              <w:ind w:left="95"/>
              <w:rPr>
                <w:sz w:val="24"/>
              </w:rPr>
            </w:pPr>
            <w:r>
              <w:rPr>
                <w:b/>
                <w:sz w:val="24"/>
              </w:rPr>
              <w:t>0 1 2 </w:t>
            </w:r>
            <w:r>
              <w:rPr>
                <w:i/>
                <w:spacing w:val="-5"/>
                <w:sz w:val="24"/>
              </w:rPr>
              <w:t>93</w:t>
            </w:r>
            <w:r>
              <w:rPr>
                <w:spacing w:val="-5"/>
                <w:sz w:val="24"/>
              </w:rPr>
              <w:t>.</w:t>
            </w:r>
          </w:p>
          <w:p>
            <w:pPr>
              <w:pStyle w:val="TableParagraph"/>
              <w:ind w:left="95"/>
              <w:rPr>
                <w:sz w:val="24"/>
              </w:rPr>
            </w:pPr>
            <w:r>
              <w:rPr>
                <w:b/>
                <w:sz w:val="24"/>
              </w:rPr>
              <w:t>0 1 2 </w:t>
            </w:r>
            <w:r>
              <w:rPr>
                <w:i/>
                <w:spacing w:val="-5"/>
                <w:sz w:val="24"/>
              </w:rPr>
              <w:t>94</w:t>
            </w:r>
            <w:r>
              <w:rPr>
                <w:spacing w:val="-5"/>
                <w:sz w:val="24"/>
              </w:rPr>
              <w:t>.</w:t>
            </w:r>
          </w:p>
          <w:p>
            <w:pPr>
              <w:pStyle w:val="TableParagraph"/>
              <w:ind w:left="95"/>
              <w:rPr>
                <w:sz w:val="24"/>
              </w:rPr>
            </w:pPr>
            <w:r>
              <w:rPr>
                <w:b/>
                <w:sz w:val="24"/>
              </w:rPr>
              <w:t>0 1 2 </w:t>
            </w:r>
            <w:r>
              <w:rPr>
                <w:i/>
                <w:spacing w:val="-5"/>
                <w:sz w:val="24"/>
              </w:rPr>
              <w:t>95</w:t>
            </w:r>
            <w:r>
              <w:rPr>
                <w:spacing w:val="-5"/>
                <w:sz w:val="24"/>
              </w:rPr>
              <w:t>.</w:t>
            </w:r>
          </w:p>
          <w:p>
            <w:pPr>
              <w:pStyle w:val="TableParagraph"/>
              <w:rPr>
                <w:b/>
                <w:sz w:val="24"/>
              </w:rPr>
            </w:pPr>
          </w:p>
          <w:p>
            <w:pPr>
              <w:pStyle w:val="TableParagraph"/>
              <w:ind w:left="95"/>
              <w:rPr>
                <w:sz w:val="24"/>
              </w:rPr>
            </w:pPr>
            <w:r>
              <w:rPr>
                <w:b/>
                <w:sz w:val="24"/>
              </w:rPr>
              <w:t>0 1 2 </w:t>
            </w:r>
            <w:r>
              <w:rPr>
                <w:i/>
                <w:spacing w:val="-5"/>
                <w:sz w:val="24"/>
              </w:rPr>
              <w:t>96</w:t>
            </w:r>
            <w:r>
              <w:rPr>
                <w:spacing w:val="-5"/>
                <w:sz w:val="24"/>
              </w:rPr>
              <w:t>.</w:t>
            </w:r>
          </w:p>
          <w:p>
            <w:pPr>
              <w:pStyle w:val="TableParagraph"/>
              <w:rPr>
                <w:b/>
                <w:sz w:val="24"/>
              </w:rPr>
            </w:pPr>
          </w:p>
          <w:p>
            <w:pPr>
              <w:pStyle w:val="TableParagraph"/>
              <w:ind w:left="95"/>
              <w:rPr>
                <w:i/>
                <w:sz w:val="24"/>
              </w:rPr>
            </w:pPr>
            <w:r>
              <w:rPr>
                <w:b/>
                <w:sz w:val="24"/>
              </w:rPr>
              <w:t>0 1 2 </w:t>
            </w:r>
            <w:r>
              <w:rPr>
                <w:i/>
                <w:spacing w:val="-5"/>
                <w:sz w:val="24"/>
              </w:rPr>
              <w:t>97.</w:t>
            </w:r>
          </w:p>
          <w:p>
            <w:pPr>
              <w:pStyle w:val="TableParagraph"/>
              <w:ind w:left="95"/>
              <w:rPr>
                <w:i/>
                <w:sz w:val="24"/>
              </w:rPr>
            </w:pPr>
            <w:r>
              <w:rPr>
                <w:b/>
                <w:sz w:val="24"/>
              </w:rPr>
              <w:t>0 1 2 </w:t>
            </w:r>
            <w:r>
              <w:rPr>
                <w:i/>
                <w:spacing w:val="-5"/>
                <w:sz w:val="24"/>
              </w:rPr>
              <w:t>98.</w:t>
            </w:r>
          </w:p>
          <w:p>
            <w:pPr>
              <w:pStyle w:val="TableParagraph"/>
              <w:ind w:left="95"/>
              <w:rPr>
                <w:i/>
                <w:sz w:val="24"/>
              </w:rPr>
            </w:pPr>
            <w:r>
              <w:rPr>
                <w:b/>
                <w:sz w:val="24"/>
              </w:rPr>
              <w:t>0 1 2 </w:t>
            </w:r>
            <w:r>
              <w:rPr>
                <w:i/>
                <w:spacing w:val="-5"/>
                <w:sz w:val="24"/>
              </w:rPr>
              <w:t>99.</w:t>
            </w:r>
          </w:p>
          <w:p>
            <w:pPr>
              <w:pStyle w:val="TableParagraph"/>
              <w:rPr>
                <w:b/>
                <w:sz w:val="24"/>
              </w:rPr>
            </w:pPr>
          </w:p>
          <w:p>
            <w:pPr>
              <w:pStyle w:val="TableParagraph"/>
              <w:rPr>
                <w:b/>
                <w:sz w:val="24"/>
              </w:rPr>
            </w:pPr>
          </w:p>
          <w:p>
            <w:pPr>
              <w:pStyle w:val="TableParagraph"/>
              <w:ind w:left="95"/>
              <w:rPr>
                <w:sz w:val="24"/>
              </w:rPr>
            </w:pPr>
            <w:r>
              <w:rPr>
                <w:b/>
                <w:sz w:val="24"/>
              </w:rPr>
              <w:t>0</w:t>
            </w:r>
            <w:r>
              <w:rPr>
                <w:b/>
                <w:spacing w:val="-2"/>
                <w:sz w:val="24"/>
              </w:rPr>
              <w:t> </w:t>
            </w:r>
            <w:r>
              <w:rPr>
                <w:b/>
                <w:sz w:val="24"/>
              </w:rPr>
              <w:t>1 2 </w:t>
            </w:r>
            <w:r>
              <w:rPr>
                <w:i/>
                <w:spacing w:val="-4"/>
                <w:sz w:val="24"/>
              </w:rPr>
              <w:t>100</w:t>
            </w:r>
            <w:r>
              <w:rPr>
                <w:spacing w:val="-4"/>
                <w:sz w:val="24"/>
              </w:rPr>
              <w:t>.</w:t>
            </w:r>
          </w:p>
          <w:p>
            <w:pPr>
              <w:pStyle w:val="TableParagraph"/>
              <w:rPr>
                <w:b/>
                <w:sz w:val="24"/>
              </w:rPr>
            </w:pPr>
          </w:p>
          <w:p>
            <w:pPr>
              <w:pStyle w:val="TableParagraph"/>
              <w:spacing w:before="1"/>
              <w:ind w:left="95"/>
              <w:rPr>
                <w:i/>
                <w:sz w:val="24"/>
              </w:rPr>
            </w:pPr>
            <w:r>
              <w:rPr>
                <w:b/>
                <w:sz w:val="24"/>
              </w:rPr>
              <w:t>0 1 2 </w:t>
            </w:r>
            <w:r>
              <w:rPr>
                <w:i/>
                <w:spacing w:val="-4"/>
                <w:sz w:val="24"/>
              </w:rPr>
              <w:t>101.</w:t>
            </w:r>
          </w:p>
          <w:p>
            <w:pPr>
              <w:pStyle w:val="TableParagraph"/>
              <w:ind w:left="95"/>
              <w:rPr>
                <w:i/>
                <w:sz w:val="24"/>
              </w:rPr>
            </w:pPr>
            <w:r>
              <w:rPr>
                <w:b/>
                <w:sz w:val="24"/>
              </w:rPr>
              <w:t>0 1 2 </w:t>
            </w:r>
            <w:r>
              <w:rPr>
                <w:i/>
                <w:spacing w:val="-4"/>
                <w:sz w:val="24"/>
              </w:rPr>
              <w:t>102.</w:t>
            </w:r>
          </w:p>
          <w:p>
            <w:pPr>
              <w:pStyle w:val="TableParagraph"/>
              <w:spacing w:before="276"/>
              <w:ind w:left="95"/>
              <w:rPr>
                <w:i/>
                <w:sz w:val="24"/>
              </w:rPr>
            </w:pPr>
            <w:r>
              <w:rPr>
                <w:b/>
                <w:sz w:val="24"/>
              </w:rPr>
              <w:t>0 1 2 </w:t>
            </w:r>
            <w:r>
              <w:rPr>
                <w:i/>
                <w:spacing w:val="-4"/>
                <w:sz w:val="24"/>
              </w:rPr>
              <w:t>103.</w:t>
            </w:r>
          </w:p>
          <w:p>
            <w:pPr>
              <w:pStyle w:val="TableParagraph"/>
              <w:rPr>
                <w:b/>
                <w:sz w:val="24"/>
              </w:rPr>
            </w:pPr>
          </w:p>
          <w:p>
            <w:pPr>
              <w:pStyle w:val="TableParagraph"/>
              <w:ind w:left="95"/>
              <w:rPr>
                <w:i/>
                <w:sz w:val="24"/>
              </w:rPr>
            </w:pPr>
            <w:r>
              <w:rPr>
                <w:b/>
                <w:sz w:val="24"/>
              </w:rPr>
              <w:t>0 1 2 </w:t>
            </w:r>
            <w:r>
              <w:rPr>
                <w:i/>
                <w:spacing w:val="-4"/>
                <w:sz w:val="24"/>
              </w:rPr>
              <w:t>104.</w:t>
            </w:r>
          </w:p>
          <w:p>
            <w:pPr>
              <w:pStyle w:val="TableParagraph"/>
              <w:rPr>
                <w:b/>
                <w:sz w:val="24"/>
              </w:rPr>
            </w:pPr>
          </w:p>
          <w:p>
            <w:pPr>
              <w:pStyle w:val="TableParagraph"/>
              <w:ind w:left="95"/>
              <w:rPr>
                <w:sz w:val="24"/>
              </w:rPr>
            </w:pPr>
            <w:r>
              <w:rPr>
                <w:b/>
                <w:sz w:val="24"/>
              </w:rPr>
              <w:t>0</w:t>
            </w:r>
            <w:r>
              <w:rPr>
                <w:b/>
                <w:spacing w:val="-2"/>
                <w:sz w:val="24"/>
              </w:rPr>
              <w:t> </w:t>
            </w:r>
            <w:r>
              <w:rPr>
                <w:b/>
                <w:sz w:val="24"/>
              </w:rPr>
              <w:t>1 2 </w:t>
            </w:r>
            <w:r>
              <w:rPr>
                <w:i/>
                <w:spacing w:val="-4"/>
                <w:sz w:val="24"/>
              </w:rPr>
              <w:t>105</w:t>
            </w:r>
            <w:r>
              <w:rPr>
                <w:spacing w:val="-4"/>
                <w:sz w:val="24"/>
              </w:rPr>
              <w:t>.</w:t>
            </w: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ind w:left="95"/>
              <w:rPr>
                <w:i/>
                <w:sz w:val="24"/>
              </w:rPr>
            </w:pPr>
            <w:r>
              <w:rPr>
                <w:b/>
                <w:sz w:val="24"/>
              </w:rPr>
              <w:t>0 1 2 </w:t>
            </w:r>
            <w:r>
              <w:rPr>
                <w:i/>
                <w:spacing w:val="-4"/>
                <w:sz w:val="24"/>
              </w:rPr>
              <w:t>106.</w:t>
            </w:r>
          </w:p>
        </w:tc>
        <w:tc>
          <w:tcPr>
            <w:tcW w:w="3041" w:type="dxa"/>
            <w:tcBorders>
              <w:left w:val="nil"/>
              <w:right w:val="nil"/>
            </w:tcBorders>
          </w:tcPr>
          <w:p>
            <w:pPr>
              <w:pStyle w:val="TableParagraph"/>
              <w:ind w:left="170"/>
              <w:rPr>
                <w:sz w:val="24"/>
              </w:rPr>
            </w:pPr>
            <w:r>
              <w:rPr>
                <w:sz w:val="24"/>
              </w:rPr>
              <w:t>Ведет себя странно. Опишите,</w:t>
            </w:r>
            <w:r>
              <w:rPr>
                <w:spacing w:val="-4"/>
                <w:sz w:val="24"/>
              </w:rPr>
              <w:t> </w:t>
            </w:r>
            <w:r>
              <w:rPr>
                <w:spacing w:val="-2"/>
                <w:sz w:val="24"/>
              </w:rPr>
              <w:t>пожалуйста</w:t>
            </w:r>
          </w:p>
          <w:p>
            <w:pPr>
              <w:pStyle w:val="TableParagraph"/>
              <w:spacing w:before="35"/>
              <w:rPr>
                <w:b/>
                <w:sz w:val="20"/>
              </w:rPr>
            </w:pPr>
          </w:p>
          <w:p>
            <w:pPr>
              <w:pStyle w:val="TableParagraph"/>
              <w:spacing w:line="20" w:lineRule="exact"/>
              <w:ind w:left="170"/>
              <w:rPr>
                <w:sz w:val="2"/>
              </w:rPr>
            </w:pPr>
            <w:r>
              <w:rPr>
                <w:sz w:val="2"/>
              </w:rPr>
              <mc:AlternateContent>
                <mc:Choice Requires="wps">
                  <w:drawing>
                    <wp:inline distT="0" distB="0" distL="0" distR="0">
                      <wp:extent cx="1295400" cy="6350"/>
                      <wp:effectExtent l="9525" t="0" r="0" b="3175"/>
                      <wp:docPr id="62" name="Group 62"/>
                      <wp:cNvGraphicFramePr>
                        <a:graphicFrameLocks/>
                      </wp:cNvGraphicFramePr>
                      <a:graphic>
                        <a:graphicData uri="http://schemas.microsoft.com/office/word/2010/wordprocessingGroup">
                          <wpg:wgp>
                            <wpg:cNvPr id="62" name="Group 62"/>
                            <wpg:cNvGrpSpPr/>
                            <wpg:grpSpPr>
                              <a:xfrm>
                                <a:off x="0" y="0"/>
                                <a:ext cx="1295400" cy="6350"/>
                                <a:chExt cx="1295400" cy="6350"/>
                              </a:xfrm>
                            </wpg:grpSpPr>
                            <wps:wsp>
                              <wps:cNvPr id="63" name="Graphic 63"/>
                              <wps:cNvSpPr/>
                              <wps:spPr>
                                <a:xfrm>
                                  <a:off x="0" y="3093"/>
                                  <a:ext cx="1295400" cy="1270"/>
                                </a:xfrm>
                                <a:custGeom>
                                  <a:avLst/>
                                  <a:gdLst/>
                                  <a:ahLst/>
                                  <a:cxnLst/>
                                  <a:rect l="l" t="t" r="r" b="b"/>
                                  <a:pathLst>
                                    <a:path w="1295400" h="0">
                                      <a:moveTo>
                                        <a:pt x="0" y="0"/>
                                      </a:moveTo>
                                      <a:lnTo>
                                        <a:pt x="1295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2pt;height:.5pt;mso-position-horizontal-relative:char;mso-position-vertical-relative:line" id="docshapegroup39" coordorigin="0,0" coordsize="2040,10">
                      <v:line style="position:absolute" from="0,5" to="2040,5" stroked="true" strokeweight=".487125pt" strokecolor="#000000">
                        <v:stroke dashstyle="solid"/>
                      </v:line>
                    </v:group>
                  </w:pict>
                </mc:Fallback>
              </mc:AlternateContent>
            </w:r>
            <w:r>
              <w:rPr>
                <w:sz w:val="2"/>
              </w:rPr>
            </w:r>
          </w:p>
          <w:p>
            <w:pPr>
              <w:pStyle w:val="TableParagraph"/>
              <w:ind w:left="170"/>
              <w:rPr>
                <w:sz w:val="24"/>
              </w:rPr>
            </w:pPr>
            <w:r>
              <w:rPr>
                <w:sz w:val="24"/>
              </w:rPr>
              <w:t>Имеет</w:t>
            </w:r>
            <w:r>
              <w:rPr>
                <w:spacing w:val="-15"/>
                <w:sz w:val="24"/>
              </w:rPr>
              <w:t> </w:t>
            </w:r>
            <w:r>
              <w:rPr>
                <w:sz w:val="24"/>
              </w:rPr>
              <w:t>странные</w:t>
            </w:r>
            <w:r>
              <w:rPr>
                <w:spacing w:val="-15"/>
                <w:sz w:val="24"/>
              </w:rPr>
              <w:t> </w:t>
            </w:r>
            <w:r>
              <w:rPr>
                <w:sz w:val="24"/>
              </w:rPr>
              <w:t>идеи. Опишите,</w:t>
            </w:r>
            <w:r>
              <w:rPr>
                <w:spacing w:val="-4"/>
                <w:sz w:val="24"/>
              </w:rPr>
              <w:t> </w:t>
            </w:r>
            <w:r>
              <w:rPr>
                <w:spacing w:val="-2"/>
                <w:sz w:val="24"/>
              </w:rPr>
              <w:t>пожалуйста</w:t>
            </w:r>
          </w:p>
          <w:p>
            <w:pPr>
              <w:pStyle w:val="TableParagraph"/>
              <w:spacing w:before="26"/>
              <w:rPr>
                <w:b/>
                <w:sz w:val="20"/>
              </w:rPr>
            </w:pPr>
          </w:p>
          <w:p>
            <w:pPr>
              <w:pStyle w:val="TableParagraph"/>
              <w:spacing w:line="20" w:lineRule="exact"/>
              <w:ind w:left="170"/>
              <w:rPr>
                <w:sz w:val="2"/>
              </w:rPr>
            </w:pPr>
            <w:r>
              <w:rPr>
                <w:sz w:val="2"/>
              </w:rPr>
              <mc:AlternateContent>
                <mc:Choice Requires="wps">
                  <w:drawing>
                    <wp:inline distT="0" distB="0" distL="0" distR="0">
                      <wp:extent cx="1295400" cy="6350"/>
                      <wp:effectExtent l="9525" t="0" r="0" b="3175"/>
                      <wp:docPr id="64" name="Group 64"/>
                      <wp:cNvGraphicFramePr>
                        <a:graphicFrameLocks/>
                      </wp:cNvGraphicFramePr>
                      <a:graphic>
                        <a:graphicData uri="http://schemas.microsoft.com/office/word/2010/wordprocessingGroup">
                          <wpg:wgp>
                            <wpg:cNvPr id="64" name="Group 64"/>
                            <wpg:cNvGrpSpPr/>
                            <wpg:grpSpPr>
                              <a:xfrm>
                                <a:off x="0" y="0"/>
                                <a:ext cx="1295400" cy="6350"/>
                                <a:chExt cx="1295400" cy="6350"/>
                              </a:xfrm>
                            </wpg:grpSpPr>
                            <wps:wsp>
                              <wps:cNvPr id="65" name="Graphic 65"/>
                              <wps:cNvSpPr/>
                              <wps:spPr>
                                <a:xfrm>
                                  <a:off x="0" y="3093"/>
                                  <a:ext cx="1295400" cy="1270"/>
                                </a:xfrm>
                                <a:custGeom>
                                  <a:avLst/>
                                  <a:gdLst/>
                                  <a:ahLst/>
                                  <a:cxnLst/>
                                  <a:rect l="l" t="t" r="r" b="b"/>
                                  <a:pathLst>
                                    <a:path w="1295400" h="0">
                                      <a:moveTo>
                                        <a:pt x="0" y="0"/>
                                      </a:moveTo>
                                      <a:lnTo>
                                        <a:pt x="1295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2pt;height:.5pt;mso-position-horizontal-relative:char;mso-position-vertical-relative:line" id="docshapegroup40" coordorigin="0,0" coordsize="2040,10">
                      <v:line style="position:absolute" from="0,5" to="2040,5" stroked="true" strokeweight=".487125pt" strokecolor="#000000">
                        <v:stroke dashstyle="solid"/>
                      </v:line>
                    </v:group>
                  </w:pict>
                </mc:Fallback>
              </mc:AlternateContent>
            </w:r>
            <w:r>
              <w:rPr>
                <w:sz w:val="2"/>
              </w:rPr>
            </w:r>
          </w:p>
          <w:p>
            <w:pPr>
              <w:pStyle w:val="TableParagraph"/>
              <w:ind w:left="170" w:right="675"/>
              <w:rPr>
                <w:sz w:val="24"/>
              </w:rPr>
            </w:pPr>
            <w:r>
              <w:rPr>
                <w:sz w:val="24"/>
              </w:rPr>
              <w:t>Упрям, угрюм и </w:t>
            </w:r>
            <w:r>
              <w:rPr>
                <w:spacing w:val="-2"/>
                <w:sz w:val="24"/>
              </w:rPr>
              <w:t>раздражителен. </w:t>
            </w:r>
            <w:r>
              <w:rPr>
                <w:sz w:val="24"/>
              </w:rPr>
              <w:t>Внезапные</w:t>
            </w:r>
            <w:r>
              <w:rPr>
                <w:spacing w:val="-15"/>
                <w:sz w:val="24"/>
              </w:rPr>
              <w:t> </w:t>
            </w:r>
            <w:r>
              <w:rPr>
                <w:sz w:val="24"/>
              </w:rPr>
              <w:t>перемены </w:t>
            </w:r>
            <w:r>
              <w:rPr>
                <w:spacing w:val="-2"/>
                <w:sz w:val="24"/>
              </w:rPr>
              <w:t>настроения.</w:t>
            </w:r>
          </w:p>
          <w:p>
            <w:pPr>
              <w:pStyle w:val="TableParagraph"/>
              <w:ind w:left="170" w:right="1118"/>
              <w:rPr>
                <w:sz w:val="24"/>
              </w:rPr>
            </w:pPr>
            <w:r>
              <w:rPr>
                <w:sz w:val="24"/>
              </w:rPr>
              <w:t>Дуется,</w:t>
            </w:r>
            <w:r>
              <w:rPr>
                <w:spacing w:val="-15"/>
                <w:sz w:val="24"/>
              </w:rPr>
              <w:t> </w:t>
            </w:r>
            <w:r>
              <w:rPr>
                <w:sz w:val="24"/>
              </w:rPr>
              <w:t>обидчив. </w:t>
            </w:r>
            <w:r>
              <w:rPr>
                <w:spacing w:val="-2"/>
                <w:sz w:val="24"/>
              </w:rPr>
              <w:t>Подозрителен.</w:t>
            </w:r>
          </w:p>
          <w:p>
            <w:pPr>
              <w:pStyle w:val="TableParagraph"/>
              <w:ind w:left="170" w:right="290"/>
              <w:rPr>
                <w:sz w:val="24"/>
              </w:rPr>
            </w:pPr>
            <w:r>
              <w:rPr>
                <w:sz w:val="24"/>
              </w:rPr>
              <w:t>Ругается матом, использует</w:t>
            </w:r>
            <w:r>
              <w:rPr>
                <w:spacing w:val="-15"/>
                <w:sz w:val="24"/>
              </w:rPr>
              <w:t> </w:t>
            </w:r>
            <w:r>
              <w:rPr>
                <w:sz w:val="24"/>
              </w:rPr>
              <w:t>неприличные </w:t>
            </w:r>
            <w:r>
              <w:rPr>
                <w:spacing w:val="-2"/>
                <w:sz w:val="24"/>
              </w:rPr>
              <w:t>слова.</w:t>
            </w:r>
          </w:p>
          <w:p>
            <w:pPr>
              <w:pStyle w:val="TableParagraph"/>
              <w:ind w:left="170" w:right="109"/>
              <w:rPr>
                <w:sz w:val="24"/>
              </w:rPr>
            </w:pPr>
            <w:r>
              <w:rPr>
                <w:sz w:val="24"/>
              </w:rPr>
              <w:t>Говорит о самоубийстве. Учится</w:t>
            </w:r>
            <w:r>
              <w:rPr>
                <w:spacing w:val="-11"/>
                <w:sz w:val="24"/>
              </w:rPr>
              <w:t> </w:t>
            </w:r>
            <w:r>
              <w:rPr>
                <w:sz w:val="24"/>
              </w:rPr>
              <w:t>не</w:t>
            </w:r>
            <w:r>
              <w:rPr>
                <w:spacing w:val="-11"/>
                <w:sz w:val="24"/>
              </w:rPr>
              <w:t> </w:t>
            </w:r>
            <w:r>
              <w:rPr>
                <w:sz w:val="24"/>
              </w:rPr>
              <w:t>в</w:t>
            </w:r>
            <w:r>
              <w:rPr>
                <w:spacing w:val="-11"/>
                <w:sz w:val="24"/>
              </w:rPr>
              <w:t> </w:t>
            </w:r>
            <w:r>
              <w:rPr>
                <w:sz w:val="24"/>
              </w:rPr>
              <w:t>полную</w:t>
            </w:r>
            <w:r>
              <w:rPr>
                <w:spacing w:val="-11"/>
                <w:sz w:val="24"/>
              </w:rPr>
              <w:t> </w:t>
            </w:r>
            <w:r>
              <w:rPr>
                <w:sz w:val="24"/>
              </w:rPr>
              <w:t>силу, не реализует свои </w:t>
            </w:r>
            <w:r>
              <w:rPr>
                <w:spacing w:val="-2"/>
                <w:sz w:val="24"/>
              </w:rPr>
              <w:t>возможности.</w:t>
            </w:r>
          </w:p>
          <w:p>
            <w:pPr>
              <w:pStyle w:val="TableParagraph"/>
              <w:ind w:left="170" w:right="508"/>
              <w:rPr>
                <w:sz w:val="24"/>
              </w:rPr>
            </w:pPr>
            <w:r>
              <w:rPr>
                <w:sz w:val="24"/>
              </w:rPr>
              <w:t>Слишком</w:t>
            </w:r>
            <w:r>
              <w:rPr>
                <w:spacing w:val="-15"/>
                <w:sz w:val="24"/>
              </w:rPr>
              <w:t> </w:t>
            </w:r>
            <w:r>
              <w:rPr>
                <w:sz w:val="24"/>
              </w:rPr>
              <w:t>разговорчив. </w:t>
            </w:r>
            <w:r>
              <w:rPr>
                <w:spacing w:val="-2"/>
                <w:sz w:val="24"/>
              </w:rPr>
              <w:t>Дразнится.</w:t>
            </w:r>
          </w:p>
          <w:p>
            <w:pPr>
              <w:pStyle w:val="TableParagraph"/>
              <w:ind w:left="170"/>
              <w:rPr>
                <w:sz w:val="24"/>
              </w:rPr>
            </w:pPr>
            <w:r>
              <w:rPr>
                <w:sz w:val="24"/>
              </w:rPr>
              <w:t>Вспыльчив,</w:t>
            </w:r>
            <w:r>
              <w:rPr>
                <w:spacing w:val="-15"/>
                <w:sz w:val="24"/>
              </w:rPr>
              <w:t> </w:t>
            </w:r>
            <w:r>
              <w:rPr>
                <w:sz w:val="24"/>
              </w:rPr>
              <w:t>легко</w:t>
            </w:r>
            <w:r>
              <w:rPr>
                <w:spacing w:val="-15"/>
                <w:sz w:val="24"/>
              </w:rPr>
              <w:t> </w:t>
            </w:r>
            <w:r>
              <w:rPr>
                <w:sz w:val="24"/>
              </w:rPr>
              <w:t>выходит из себя.</w:t>
            </w:r>
          </w:p>
          <w:p>
            <w:pPr>
              <w:pStyle w:val="TableParagraph"/>
              <w:ind w:left="170"/>
              <w:rPr>
                <w:sz w:val="24"/>
              </w:rPr>
            </w:pPr>
            <w:r>
              <w:rPr>
                <w:sz w:val="24"/>
              </w:rPr>
              <w:t>Слишком</w:t>
            </w:r>
            <w:r>
              <w:rPr>
                <w:spacing w:val="-14"/>
                <w:sz w:val="24"/>
              </w:rPr>
              <w:t> </w:t>
            </w:r>
            <w:r>
              <w:rPr>
                <w:sz w:val="24"/>
              </w:rPr>
              <w:t>много</w:t>
            </w:r>
            <w:r>
              <w:rPr>
                <w:spacing w:val="-13"/>
                <w:sz w:val="24"/>
              </w:rPr>
              <w:t> </w:t>
            </w:r>
            <w:r>
              <w:rPr>
                <w:sz w:val="24"/>
              </w:rPr>
              <w:t>думает</w:t>
            </w:r>
            <w:r>
              <w:rPr>
                <w:spacing w:val="-12"/>
                <w:sz w:val="24"/>
              </w:rPr>
              <w:t> </w:t>
            </w:r>
            <w:r>
              <w:rPr>
                <w:sz w:val="24"/>
              </w:rPr>
              <w:t>о </w:t>
            </w:r>
            <w:r>
              <w:rPr>
                <w:spacing w:val="-2"/>
                <w:sz w:val="24"/>
              </w:rPr>
              <w:t>сексе.</w:t>
            </w:r>
          </w:p>
          <w:p>
            <w:pPr>
              <w:pStyle w:val="TableParagraph"/>
              <w:ind w:left="170" w:right="875"/>
              <w:rPr>
                <w:sz w:val="24"/>
              </w:rPr>
            </w:pPr>
            <w:r>
              <w:rPr>
                <w:sz w:val="24"/>
              </w:rPr>
              <w:t>Угрожает людям. Часто опаздывает. Слишком</w:t>
            </w:r>
            <w:r>
              <w:rPr>
                <w:spacing w:val="-6"/>
                <w:sz w:val="24"/>
              </w:rPr>
              <w:t> </w:t>
            </w:r>
            <w:r>
              <w:rPr>
                <w:sz w:val="24"/>
              </w:rPr>
              <w:t>озабочен чистоплотностью</w:t>
            </w:r>
            <w:r>
              <w:rPr>
                <w:spacing w:val="-15"/>
                <w:sz w:val="24"/>
              </w:rPr>
              <w:t> </w:t>
            </w:r>
            <w:r>
              <w:rPr>
                <w:sz w:val="24"/>
              </w:rPr>
              <w:t>и </w:t>
            </w:r>
            <w:r>
              <w:rPr>
                <w:spacing w:val="-2"/>
                <w:sz w:val="24"/>
              </w:rPr>
              <w:t>аккуратностью.</w:t>
            </w:r>
          </w:p>
          <w:p>
            <w:pPr>
              <w:pStyle w:val="TableParagraph"/>
              <w:ind w:left="170"/>
              <w:rPr>
                <w:sz w:val="24"/>
              </w:rPr>
            </w:pPr>
            <w:r>
              <w:rPr>
                <w:sz w:val="24"/>
              </w:rPr>
              <w:t>Не</w:t>
            </w:r>
            <w:r>
              <w:rPr>
                <w:spacing w:val="-15"/>
                <w:sz w:val="24"/>
              </w:rPr>
              <w:t> </w:t>
            </w:r>
            <w:r>
              <w:rPr>
                <w:sz w:val="24"/>
              </w:rPr>
              <w:t>выполняет</w:t>
            </w:r>
            <w:r>
              <w:rPr>
                <w:spacing w:val="-15"/>
                <w:sz w:val="24"/>
              </w:rPr>
              <w:t> </w:t>
            </w:r>
            <w:r>
              <w:rPr>
                <w:sz w:val="24"/>
              </w:rPr>
              <w:t>домашних </w:t>
            </w:r>
            <w:r>
              <w:rPr>
                <w:spacing w:val="-2"/>
                <w:sz w:val="24"/>
              </w:rPr>
              <w:t>заданий.</w:t>
            </w:r>
          </w:p>
          <w:p>
            <w:pPr>
              <w:pStyle w:val="TableParagraph"/>
              <w:ind w:left="170"/>
              <w:rPr>
                <w:sz w:val="24"/>
              </w:rPr>
            </w:pPr>
            <w:r>
              <w:rPr>
                <w:sz w:val="24"/>
              </w:rPr>
              <w:t>Прогуливает школу. Недостаточно</w:t>
            </w:r>
            <w:r>
              <w:rPr>
                <w:spacing w:val="-15"/>
                <w:sz w:val="24"/>
              </w:rPr>
              <w:t> </w:t>
            </w:r>
            <w:r>
              <w:rPr>
                <w:sz w:val="24"/>
              </w:rPr>
              <w:t>активен</w:t>
            </w:r>
            <w:r>
              <w:rPr>
                <w:spacing w:val="-15"/>
                <w:sz w:val="24"/>
              </w:rPr>
              <w:t> </w:t>
            </w:r>
            <w:r>
              <w:rPr>
                <w:sz w:val="24"/>
              </w:rPr>
              <w:t>и </w:t>
            </w:r>
            <w:r>
              <w:rPr>
                <w:spacing w:val="-2"/>
                <w:sz w:val="24"/>
              </w:rPr>
              <w:t>энергичен.</w:t>
            </w:r>
          </w:p>
          <w:p>
            <w:pPr>
              <w:pStyle w:val="TableParagraph"/>
              <w:ind w:left="170" w:right="714"/>
              <w:rPr>
                <w:sz w:val="24"/>
              </w:rPr>
            </w:pPr>
            <w:r>
              <w:rPr>
                <w:sz w:val="24"/>
              </w:rPr>
              <w:t>Несчастлив,</w:t>
            </w:r>
            <w:r>
              <w:rPr>
                <w:spacing w:val="-15"/>
                <w:sz w:val="24"/>
              </w:rPr>
              <w:t> </w:t>
            </w:r>
            <w:r>
              <w:rPr>
                <w:sz w:val="24"/>
              </w:rPr>
              <w:t>грустен, </w:t>
            </w:r>
            <w:r>
              <w:rPr>
                <w:spacing w:val="-2"/>
                <w:sz w:val="24"/>
              </w:rPr>
              <w:t>угнетен.</w:t>
            </w:r>
          </w:p>
          <w:p>
            <w:pPr>
              <w:pStyle w:val="TableParagraph"/>
              <w:ind w:left="170" w:right="109"/>
              <w:rPr>
                <w:sz w:val="24"/>
              </w:rPr>
            </w:pPr>
            <w:r>
              <w:rPr>
                <w:sz w:val="24"/>
              </w:rPr>
              <w:t>Слишком шумный, говорит слишком громко. Употребляет</w:t>
            </w:r>
            <w:r>
              <w:rPr>
                <w:spacing w:val="-15"/>
                <w:sz w:val="24"/>
              </w:rPr>
              <w:t> </w:t>
            </w:r>
            <w:r>
              <w:rPr>
                <w:sz w:val="24"/>
              </w:rPr>
              <w:t>спиртное</w:t>
            </w:r>
            <w:r>
              <w:rPr>
                <w:spacing w:val="-15"/>
                <w:sz w:val="24"/>
              </w:rPr>
              <w:t> </w:t>
            </w:r>
            <w:r>
              <w:rPr>
                <w:sz w:val="24"/>
              </w:rPr>
              <w:t>или </w:t>
            </w:r>
            <w:r>
              <w:rPr>
                <w:spacing w:val="-2"/>
                <w:sz w:val="24"/>
              </w:rPr>
              <w:t>наркотики.</w:t>
            </w:r>
          </w:p>
          <w:p>
            <w:pPr>
              <w:pStyle w:val="TableParagraph"/>
              <w:ind w:left="170"/>
              <w:rPr>
                <w:sz w:val="24"/>
              </w:rPr>
            </w:pPr>
            <w:r>
              <w:rPr>
                <w:sz w:val="24"/>
              </w:rPr>
              <w:t>Опишите,</w:t>
            </w:r>
            <w:r>
              <w:rPr>
                <w:spacing w:val="-15"/>
                <w:sz w:val="24"/>
              </w:rPr>
              <w:t> </w:t>
            </w:r>
            <w:r>
              <w:rPr>
                <w:sz w:val="24"/>
              </w:rPr>
              <w:t>пожалуйста,</w:t>
            </w:r>
            <w:r>
              <w:rPr>
                <w:spacing w:val="-15"/>
                <w:sz w:val="24"/>
              </w:rPr>
              <w:t> </w:t>
            </w:r>
            <w:r>
              <w:rPr>
                <w:sz w:val="24"/>
              </w:rPr>
              <w:t>что (какие) именно</w:t>
            </w:r>
          </w:p>
          <w:p>
            <w:pPr>
              <w:pStyle w:val="TableParagraph"/>
              <w:spacing w:before="26"/>
              <w:rPr>
                <w:b/>
                <w:sz w:val="20"/>
              </w:rPr>
            </w:pPr>
          </w:p>
          <w:p>
            <w:pPr>
              <w:pStyle w:val="TableParagraph"/>
              <w:spacing w:line="20" w:lineRule="exact"/>
              <w:ind w:left="170"/>
              <w:rPr>
                <w:sz w:val="2"/>
              </w:rPr>
            </w:pPr>
            <w:r>
              <w:rPr>
                <w:sz w:val="2"/>
              </w:rPr>
              <mc:AlternateContent>
                <mc:Choice Requires="wps">
                  <w:drawing>
                    <wp:inline distT="0" distB="0" distL="0" distR="0">
                      <wp:extent cx="1752600" cy="6350"/>
                      <wp:effectExtent l="9525" t="0" r="0" b="3175"/>
                      <wp:docPr id="66" name="Group 66"/>
                      <wp:cNvGraphicFramePr>
                        <a:graphicFrameLocks/>
                      </wp:cNvGraphicFramePr>
                      <a:graphic>
                        <a:graphicData uri="http://schemas.microsoft.com/office/word/2010/wordprocessingGroup">
                          <wpg:wgp>
                            <wpg:cNvPr id="66" name="Group 66"/>
                            <wpg:cNvGrpSpPr/>
                            <wpg:grpSpPr>
                              <a:xfrm>
                                <a:off x="0" y="0"/>
                                <a:ext cx="1752600" cy="6350"/>
                                <a:chExt cx="1752600" cy="6350"/>
                              </a:xfrm>
                            </wpg:grpSpPr>
                            <wps:wsp>
                              <wps:cNvPr id="67" name="Graphic 67"/>
                              <wps:cNvSpPr/>
                              <wps:spPr>
                                <a:xfrm>
                                  <a:off x="0" y="3093"/>
                                  <a:ext cx="1752600" cy="1270"/>
                                </a:xfrm>
                                <a:custGeom>
                                  <a:avLst/>
                                  <a:gdLst/>
                                  <a:ahLst/>
                                  <a:cxnLst/>
                                  <a:rect l="l" t="t" r="r" b="b"/>
                                  <a:pathLst>
                                    <a:path w="1752600" h="0">
                                      <a:moveTo>
                                        <a:pt x="0" y="0"/>
                                      </a:moveTo>
                                      <a:lnTo>
                                        <a:pt x="17526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8pt;height:.5pt;mso-position-horizontal-relative:char;mso-position-vertical-relative:line" id="docshapegroup41" coordorigin="0,0" coordsize="2760,10">
                      <v:line style="position:absolute" from="0,5" to="2760,5" stroked="true" strokeweight=".487125pt" strokecolor="#000000">
                        <v:stroke dashstyle="solid"/>
                      </v:line>
                    </v:group>
                  </w:pict>
                </mc:Fallback>
              </mc:AlternateContent>
            </w:r>
            <w:r>
              <w:rPr>
                <w:sz w:val="2"/>
              </w:rPr>
            </w:r>
          </w:p>
          <w:p>
            <w:pPr>
              <w:pStyle w:val="TableParagraph"/>
              <w:spacing w:line="270" w:lineRule="atLeast"/>
              <w:ind w:left="170" w:right="359"/>
              <w:rPr>
                <w:sz w:val="24"/>
              </w:rPr>
            </w:pPr>
            <w:r>
              <w:rPr>
                <w:sz w:val="24"/>
              </w:rPr>
              <w:t>Все время старается угодить,</w:t>
            </w:r>
            <w:r>
              <w:rPr>
                <w:spacing w:val="-15"/>
                <w:sz w:val="24"/>
              </w:rPr>
              <w:t> </w:t>
            </w:r>
            <w:r>
              <w:rPr>
                <w:sz w:val="24"/>
              </w:rPr>
              <w:t>подлизывается. Не любит школу.</w:t>
            </w:r>
          </w:p>
        </w:tc>
      </w:tr>
    </w:tbl>
    <w:p>
      <w:pPr>
        <w:pStyle w:val="TableParagraph"/>
        <w:spacing w:after="0" w:line="270" w:lineRule="atLeast"/>
        <w:rPr>
          <w:sz w:val="24"/>
        </w:rPr>
        <w:sectPr>
          <w:pgSz w:w="11910" w:h="16840"/>
          <w:pgMar w:header="0" w:footer="970" w:top="1320" w:bottom="1220" w:left="1417" w:right="283"/>
        </w:sectPr>
      </w:pPr>
    </w:p>
    <w:tbl>
      <w:tblPr>
        <w:tblW w:w="0" w:type="auto"/>
        <w:jc w:val="left"/>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9"/>
        <w:gridCol w:w="3870"/>
        <w:gridCol w:w="1233"/>
        <w:gridCol w:w="3041"/>
      </w:tblGrid>
      <w:tr>
        <w:trPr>
          <w:trHeight w:val="7731" w:hRule="atLeast"/>
        </w:trPr>
        <w:tc>
          <w:tcPr>
            <w:tcW w:w="1109" w:type="dxa"/>
            <w:tcBorders>
              <w:left w:val="nil"/>
              <w:right w:val="nil"/>
            </w:tcBorders>
          </w:tcPr>
          <w:p>
            <w:pPr>
              <w:pStyle w:val="TableParagraph"/>
              <w:spacing w:before="270"/>
              <w:rPr>
                <w:b/>
                <w:sz w:val="24"/>
              </w:rPr>
            </w:pPr>
          </w:p>
          <w:p>
            <w:pPr>
              <w:pStyle w:val="TableParagraph"/>
              <w:ind w:left="122"/>
              <w:rPr>
                <w:sz w:val="24"/>
              </w:rPr>
            </w:pPr>
            <w:r>
              <w:rPr>
                <w:b/>
                <w:sz w:val="24"/>
              </w:rPr>
              <w:t>0 1 2</w:t>
            </w:r>
            <w:r>
              <w:rPr>
                <w:b/>
                <w:spacing w:val="-1"/>
                <w:sz w:val="24"/>
              </w:rPr>
              <w:t> </w:t>
            </w:r>
            <w:r>
              <w:rPr>
                <w:i/>
                <w:spacing w:val="-5"/>
                <w:sz w:val="24"/>
              </w:rPr>
              <w:t>80</w:t>
            </w:r>
            <w:r>
              <w:rPr>
                <w:spacing w:val="-5"/>
                <w:sz w:val="24"/>
              </w:rPr>
              <w:t>.</w:t>
            </w:r>
          </w:p>
          <w:p>
            <w:pPr>
              <w:pStyle w:val="TableParagraph"/>
              <w:rPr>
                <w:b/>
                <w:sz w:val="24"/>
              </w:rPr>
            </w:pPr>
          </w:p>
          <w:p>
            <w:pPr>
              <w:pStyle w:val="TableParagraph"/>
              <w:rPr>
                <w:b/>
                <w:sz w:val="24"/>
              </w:rPr>
            </w:pPr>
          </w:p>
          <w:p>
            <w:pPr>
              <w:pStyle w:val="TableParagraph"/>
              <w:ind w:left="122"/>
              <w:rPr>
                <w:i/>
                <w:sz w:val="24"/>
              </w:rPr>
            </w:pPr>
            <w:r>
              <w:rPr>
                <w:b/>
                <w:sz w:val="24"/>
              </w:rPr>
              <w:t>0 1 2</w:t>
            </w:r>
            <w:r>
              <w:rPr>
                <w:b/>
                <w:spacing w:val="-1"/>
                <w:sz w:val="24"/>
              </w:rPr>
              <w:t> </w:t>
            </w:r>
            <w:r>
              <w:rPr>
                <w:i/>
                <w:spacing w:val="-5"/>
                <w:sz w:val="24"/>
              </w:rPr>
              <w:t>81.</w:t>
            </w:r>
          </w:p>
          <w:p>
            <w:pPr>
              <w:pStyle w:val="TableParagraph"/>
              <w:ind w:left="122"/>
              <w:rPr>
                <w:sz w:val="24"/>
              </w:rPr>
            </w:pPr>
            <w:r>
              <w:rPr>
                <w:b/>
                <w:sz w:val="24"/>
              </w:rPr>
              <w:t>0 1 2</w:t>
            </w:r>
            <w:r>
              <w:rPr>
                <w:b/>
                <w:spacing w:val="-1"/>
                <w:sz w:val="24"/>
              </w:rPr>
              <w:t> </w:t>
            </w:r>
            <w:r>
              <w:rPr>
                <w:i/>
                <w:spacing w:val="-5"/>
                <w:sz w:val="24"/>
              </w:rPr>
              <w:t>82</w:t>
            </w:r>
            <w:r>
              <w:rPr>
                <w:spacing w:val="-5"/>
                <w:sz w:val="24"/>
              </w:rPr>
              <w:t>.</w:t>
            </w:r>
          </w:p>
          <w:p>
            <w:pPr>
              <w:pStyle w:val="TableParagraph"/>
              <w:ind w:left="122"/>
              <w:rPr>
                <w:i/>
                <w:sz w:val="24"/>
              </w:rPr>
            </w:pPr>
            <w:r>
              <w:rPr>
                <w:b/>
                <w:sz w:val="24"/>
              </w:rPr>
              <w:t>0 1 2</w:t>
            </w:r>
            <w:r>
              <w:rPr>
                <w:b/>
                <w:spacing w:val="-1"/>
                <w:sz w:val="24"/>
              </w:rPr>
              <w:t> </w:t>
            </w:r>
            <w:r>
              <w:rPr>
                <w:i/>
                <w:spacing w:val="-5"/>
                <w:sz w:val="24"/>
              </w:rPr>
              <w:t>83.</w:t>
            </w:r>
          </w:p>
        </w:tc>
        <w:tc>
          <w:tcPr>
            <w:tcW w:w="3870" w:type="dxa"/>
            <w:tcBorders>
              <w:left w:val="nil"/>
            </w:tcBorders>
          </w:tcPr>
          <w:p>
            <w:pPr>
              <w:pStyle w:val="TableParagraph"/>
              <w:spacing w:line="270" w:lineRule="exact"/>
              <w:ind w:left="146"/>
              <w:rPr>
                <w:sz w:val="24"/>
              </w:rPr>
            </w:pPr>
            <w:r>
              <w:rPr>
                <w:sz w:val="24"/>
              </w:rPr>
              <w:t>Опишите,</w:t>
            </w:r>
            <w:r>
              <w:rPr>
                <w:spacing w:val="-4"/>
                <w:sz w:val="24"/>
              </w:rPr>
              <w:t> </w:t>
            </w:r>
            <w:r>
              <w:rPr>
                <w:spacing w:val="-2"/>
                <w:sz w:val="24"/>
              </w:rPr>
              <w:t>пожалуйста</w:t>
            </w:r>
          </w:p>
          <w:p>
            <w:pPr>
              <w:pStyle w:val="TableParagraph"/>
              <w:spacing w:before="41"/>
              <w:rPr>
                <w:b/>
                <w:sz w:val="20"/>
              </w:rPr>
            </w:pPr>
          </w:p>
          <w:p>
            <w:pPr>
              <w:pStyle w:val="TableParagraph"/>
              <w:spacing w:line="20" w:lineRule="exact"/>
              <w:ind w:left="146"/>
              <w:rPr>
                <w:sz w:val="2"/>
              </w:rPr>
            </w:pPr>
            <w:r>
              <w:rPr>
                <w:sz w:val="2"/>
              </w:rPr>
              <mc:AlternateContent>
                <mc:Choice Requires="wps">
                  <w:drawing>
                    <wp:inline distT="0" distB="0" distL="0" distR="0">
                      <wp:extent cx="1676400" cy="6350"/>
                      <wp:effectExtent l="9525" t="0" r="0" b="3175"/>
                      <wp:docPr id="68" name="Group 68"/>
                      <wp:cNvGraphicFramePr>
                        <a:graphicFrameLocks/>
                      </wp:cNvGraphicFramePr>
                      <a:graphic>
                        <a:graphicData uri="http://schemas.microsoft.com/office/word/2010/wordprocessingGroup">
                          <wpg:wgp>
                            <wpg:cNvPr id="68" name="Group 68"/>
                            <wpg:cNvGrpSpPr/>
                            <wpg:grpSpPr>
                              <a:xfrm>
                                <a:off x="0" y="0"/>
                                <a:ext cx="1676400" cy="6350"/>
                                <a:chExt cx="1676400" cy="6350"/>
                              </a:xfrm>
                            </wpg:grpSpPr>
                            <wps:wsp>
                              <wps:cNvPr id="69" name="Graphic 69"/>
                              <wps:cNvSpPr/>
                              <wps:spPr>
                                <a:xfrm>
                                  <a:off x="0" y="3093"/>
                                  <a:ext cx="1676400" cy="1270"/>
                                </a:xfrm>
                                <a:custGeom>
                                  <a:avLst/>
                                  <a:gdLst/>
                                  <a:ahLst/>
                                  <a:cxnLst/>
                                  <a:rect l="l" t="t" r="r" b="b"/>
                                  <a:pathLst>
                                    <a:path w="1676400" h="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2pt;height:.5pt;mso-position-horizontal-relative:char;mso-position-vertical-relative:line" id="docshapegroup42" coordorigin="0,0" coordsize="2640,10">
                      <v:line style="position:absolute" from="0,5" to="2640,5" stroked="true" strokeweight=".487125pt" strokecolor="#000000">
                        <v:stroke dashstyle="solid"/>
                      </v:line>
                    </v:group>
                  </w:pict>
                </mc:Fallback>
              </mc:AlternateContent>
            </w:r>
            <w:r>
              <w:rPr>
                <w:sz w:val="2"/>
              </w:rPr>
            </w:r>
          </w:p>
          <w:p>
            <w:pPr>
              <w:pStyle w:val="TableParagraph"/>
              <w:ind w:left="146" w:right="541"/>
              <w:rPr>
                <w:sz w:val="24"/>
              </w:rPr>
            </w:pPr>
            <w:r>
              <w:rPr>
                <w:sz w:val="24"/>
              </w:rPr>
              <w:t>Безучастно (с отсутствующим видом)</w:t>
            </w:r>
            <w:r>
              <w:rPr>
                <w:spacing w:val="-11"/>
                <w:sz w:val="24"/>
              </w:rPr>
              <w:t> </w:t>
            </w:r>
            <w:r>
              <w:rPr>
                <w:sz w:val="24"/>
              </w:rPr>
              <w:t>смотрит</w:t>
            </w:r>
            <w:r>
              <w:rPr>
                <w:spacing w:val="-9"/>
                <w:sz w:val="24"/>
              </w:rPr>
              <w:t> </w:t>
            </w:r>
            <w:r>
              <w:rPr>
                <w:sz w:val="24"/>
              </w:rPr>
              <w:t>куда-то</w:t>
            </w:r>
            <w:r>
              <w:rPr>
                <w:spacing w:val="-7"/>
                <w:sz w:val="24"/>
              </w:rPr>
              <w:t> </w:t>
            </w:r>
            <w:r>
              <w:rPr>
                <w:sz w:val="24"/>
              </w:rPr>
              <w:t>или</w:t>
            </w:r>
            <w:r>
              <w:rPr>
                <w:spacing w:val="-11"/>
                <w:sz w:val="24"/>
              </w:rPr>
              <w:t> </w:t>
            </w:r>
            <w:r>
              <w:rPr>
                <w:sz w:val="24"/>
              </w:rPr>
              <w:t>на </w:t>
            </w:r>
            <w:r>
              <w:rPr>
                <w:spacing w:val="-2"/>
                <w:sz w:val="24"/>
              </w:rPr>
              <w:t>что-то.</w:t>
            </w:r>
          </w:p>
          <w:p>
            <w:pPr>
              <w:pStyle w:val="TableParagraph"/>
              <w:ind w:left="146"/>
              <w:rPr>
                <w:sz w:val="24"/>
              </w:rPr>
            </w:pPr>
            <w:r>
              <w:rPr>
                <w:sz w:val="24"/>
              </w:rPr>
              <w:t>Болезненно</w:t>
            </w:r>
            <w:r>
              <w:rPr>
                <w:spacing w:val="-15"/>
                <w:sz w:val="24"/>
              </w:rPr>
              <w:t> </w:t>
            </w:r>
            <w:r>
              <w:rPr>
                <w:sz w:val="24"/>
              </w:rPr>
              <w:t>реагирует</w:t>
            </w:r>
            <w:r>
              <w:rPr>
                <w:spacing w:val="-14"/>
                <w:sz w:val="24"/>
              </w:rPr>
              <w:t> </w:t>
            </w:r>
            <w:r>
              <w:rPr>
                <w:sz w:val="24"/>
              </w:rPr>
              <w:t>на</w:t>
            </w:r>
            <w:r>
              <w:rPr>
                <w:spacing w:val="-15"/>
                <w:sz w:val="24"/>
              </w:rPr>
              <w:t> </w:t>
            </w:r>
            <w:r>
              <w:rPr>
                <w:sz w:val="24"/>
              </w:rPr>
              <w:t>критику. </w:t>
            </w:r>
            <w:r>
              <w:rPr>
                <w:spacing w:val="-2"/>
                <w:sz w:val="24"/>
              </w:rPr>
              <w:t>Ворует.</w:t>
            </w:r>
          </w:p>
          <w:p>
            <w:pPr>
              <w:pStyle w:val="TableParagraph"/>
              <w:ind w:left="146"/>
              <w:rPr>
                <w:sz w:val="24"/>
              </w:rPr>
            </w:pPr>
            <w:r>
              <w:rPr>
                <w:sz w:val="24"/>
              </w:rPr>
              <mc:AlternateContent>
                <mc:Choice Requires="wps">
                  <w:drawing>
                    <wp:anchor distT="0" distB="0" distL="0" distR="0" allowOverlap="1" layoutInCell="1" locked="0" behindDoc="1" simplePos="0" relativeHeight="474527232">
                      <wp:simplePos x="0" y="0"/>
                      <wp:positionH relativeFrom="column">
                        <wp:posOffset>92963</wp:posOffset>
                      </wp:positionH>
                      <wp:positionV relativeFrom="paragraph">
                        <wp:posOffset>870051</wp:posOffset>
                      </wp:positionV>
                      <wp:extent cx="1828800" cy="6350"/>
                      <wp:effectExtent l="0" t="0" r="0" b="0"/>
                      <wp:wrapNone/>
                      <wp:docPr id="70" name="Group 70"/>
                      <wp:cNvGraphicFramePr>
                        <a:graphicFrameLocks/>
                      </wp:cNvGraphicFramePr>
                      <a:graphic>
                        <a:graphicData uri="http://schemas.microsoft.com/office/word/2010/wordprocessingGroup">
                          <wpg:wgp>
                            <wpg:cNvPr id="70" name="Group 70"/>
                            <wpg:cNvGrpSpPr/>
                            <wpg:grpSpPr>
                              <a:xfrm>
                                <a:off x="0" y="0"/>
                                <a:ext cx="1828800" cy="6350"/>
                                <a:chExt cx="1828800" cy="6350"/>
                              </a:xfrm>
                            </wpg:grpSpPr>
                            <wps:wsp>
                              <wps:cNvPr id="71" name="Graphic 71"/>
                              <wps:cNvSpPr/>
                              <wps:spPr>
                                <a:xfrm>
                                  <a:off x="0" y="3093"/>
                                  <a:ext cx="1828800" cy="1270"/>
                                </a:xfrm>
                                <a:custGeom>
                                  <a:avLst/>
                                  <a:gdLst/>
                                  <a:ahLst/>
                                  <a:cxnLst/>
                                  <a:rect l="l" t="t" r="r" b="b"/>
                                  <a:pathLst>
                                    <a:path w="1828800" h="0">
                                      <a:moveTo>
                                        <a:pt x="0" y="0"/>
                                      </a:moveTo>
                                      <a:lnTo>
                                        <a:pt x="18288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319999pt;margin-top:68.508011pt;width:144pt;height:.5pt;mso-position-horizontal-relative:column;mso-position-vertical-relative:paragraph;z-index:-28789248" id="docshapegroup43" coordorigin="146,1370" coordsize="2880,10">
                      <v:line style="position:absolute" from="146,1375" to="3026,1375" stroked="true" strokeweight=".487125pt" strokecolor="#000000">
                        <v:stroke dashstyle="solid"/>
                      </v:line>
                      <w10:wrap type="none"/>
                    </v:group>
                  </w:pict>
                </mc:Fallback>
              </mc:AlternateContent>
            </w:r>
            <w:r>
              <w:rPr>
                <w:sz w:val="24"/>
              </w:rPr>
              <w:t>Складывает, собирает, сохраняет вещи, которые ему не нужны (не включая</w:t>
            </w:r>
            <w:r>
              <w:rPr>
                <w:spacing w:val="-13"/>
                <w:sz w:val="24"/>
              </w:rPr>
              <w:t> </w:t>
            </w:r>
            <w:r>
              <w:rPr>
                <w:sz w:val="24"/>
              </w:rPr>
              <w:t>предметы</w:t>
            </w:r>
            <w:r>
              <w:rPr>
                <w:spacing w:val="-13"/>
                <w:sz w:val="24"/>
              </w:rPr>
              <w:t> </w:t>
            </w:r>
            <w:r>
              <w:rPr>
                <w:sz w:val="24"/>
              </w:rPr>
              <w:t>из</w:t>
            </w:r>
            <w:r>
              <w:rPr>
                <w:spacing w:val="-13"/>
                <w:sz w:val="24"/>
              </w:rPr>
              <w:t> </w:t>
            </w:r>
            <w:r>
              <w:rPr>
                <w:sz w:val="24"/>
              </w:rPr>
              <w:t>коллекций). Опишите, пожалуйста</w:t>
            </w:r>
          </w:p>
        </w:tc>
        <w:tc>
          <w:tcPr>
            <w:tcW w:w="1233" w:type="dxa"/>
            <w:tcBorders>
              <w:right w:val="nil"/>
            </w:tcBorders>
          </w:tcPr>
          <w:p>
            <w:pPr>
              <w:pStyle w:val="TableParagraph"/>
              <w:spacing w:line="270" w:lineRule="exact"/>
              <w:ind w:left="95"/>
              <w:rPr>
                <w:i/>
                <w:sz w:val="24"/>
              </w:rPr>
            </w:pPr>
            <w:r>
              <w:rPr>
                <w:b/>
                <w:sz w:val="24"/>
              </w:rPr>
              <w:t>0 1 2 </w:t>
            </w:r>
            <w:r>
              <w:rPr>
                <w:i/>
                <w:spacing w:val="-4"/>
                <w:sz w:val="24"/>
              </w:rPr>
              <w:t>107.</w:t>
            </w:r>
          </w:p>
          <w:p>
            <w:pPr>
              <w:pStyle w:val="TableParagraph"/>
              <w:ind w:left="95"/>
              <w:rPr>
                <w:sz w:val="24"/>
              </w:rPr>
            </w:pPr>
            <w:r>
              <w:rPr>
                <w:b/>
                <w:sz w:val="24"/>
              </w:rPr>
              <w:t>0</w:t>
            </w:r>
            <w:r>
              <w:rPr>
                <w:b/>
                <w:spacing w:val="-2"/>
                <w:sz w:val="24"/>
              </w:rPr>
              <w:t> </w:t>
            </w:r>
            <w:r>
              <w:rPr>
                <w:b/>
                <w:sz w:val="24"/>
              </w:rPr>
              <w:t>1 2 </w:t>
            </w:r>
            <w:r>
              <w:rPr>
                <w:i/>
                <w:spacing w:val="-4"/>
                <w:sz w:val="24"/>
              </w:rPr>
              <w:t>108</w:t>
            </w:r>
            <w:r>
              <w:rPr>
                <w:spacing w:val="-4"/>
                <w:sz w:val="24"/>
              </w:rPr>
              <w:t>.</w:t>
            </w:r>
          </w:p>
          <w:p>
            <w:pPr>
              <w:pStyle w:val="TableParagraph"/>
              <w:ind w:left="95"/>
              <w:rPr>
                <w:sz w:val="24"/>
              </w:rPr>
            </w:pPr>
            <w:r>
              <w:rPr>
                <w:b/>
                <w:sz w:val="24"/>
              </w:rPr>
              <w:t>0</w:t>
            </w:r>
            <w:r>
              <w:rPr>
                <w:b/>
                <w:spacing w:val="-2"/>
                <w:sz w:val="24"/>
              </w:rPr>
              <w:t> </w:t>
            </w:r>
            <w:r>
              <w:rPr>
                <w:b/>
                <w:sz w:val="24"/>
              </w:rPr>
              <w:t>1 2 </w:t>
            </w:r>
            <w:r>
              <w:rPr>
                <w:i/>
                <w:spacing w:val="-4"/>
                <w:sz w:val="24"/>
              </w:rPr>
              <w:t>109</w:t>
            </w:r>
            <w:r>
              <w:rPr>
                <w:spacing w:val="-4"/>
                <w:sz w:val="24"/>
              </w:rPr>
              <w:t>.</w:t>
            </w:r>
          </w:p>
          <w:p>
            <w:pPr>
              <w:pStyle w:val="TableParagraph"/>
              <w:ind w:left="95"/>
              <w:rPr>
                <w:sz w:val="24"/>
              </w:rPr>
            </w:pPr>
            <w:r>
              <w:rPr>
                <w:b/>
                <w:sz w:val="24"/>
              </w:rPr>
              <w:t>0</w:t>
            </w:r>
            <w:r>
              <w:rPr>
                <w:b/>
                <w:spacing w:val="-2"/>
                <w:sz w:val="24"/>
              </w:rPr>
              <w:t> </w:t>
            </w:r>
            <w:r>
              <w:rPr>
                <w:b/>
                <w:sz w:val="24"/>
              </w:rPr>
              <w:t>1 2 </w:t>
            </w:r>
            <w:r>
              <w:rPr>
                <w:i/>
                <w:spacing w:val="-4"/>
                <w:sz w:val="24"/>
              </w:rPr>
              <w:t>110</w:t>
            </w:r>
            <w:r>
              <w:rPr>
                <w:spacing w:val="-4"/>
                <w:sz w:val="24"/>
              </w:rPr>
              <w:t>.</w:t>
            </w:r>
          </w:p>
          <w:p>
            <w:pPr>
              <w:pStyle w:val="TableParagraph"/>
              <w:ind w:left="95"/>
              <w:rPr>
                <w:i/>
                <w:sz w:val="24"/>
              </w:rPr>
            </w:pPr>
            <w:r>
              <w:rPr>
                <w:b/>
                <w:sz w:val="24"/>
              </w:rPr>
              <w:t>0 1 2 </w:t>
            </w:r>
            <w:r>
              <w:rPr>
                <w:i/>
                <w:spacing w:val="-4"/>
                <w:sz w:val="24"/>
              </w:rPr>
              <w:t>111.</w:t>
            </w:r>
          </w:p>
          <w:p>
            <w:pPr>
              <w:pStyle w:val="TableParagraph"/>
              <w:rPr>
                <w:b/>
                <w:sz w:val="24"/>
              </w:rPr>
            </w:pPr>
          </w:p>
          <w:p>
            <w:pPr>
              <w:pStyle w:val="TableParagraph"/>
              <w:ind w:left="95"/>
              <w:rPr>
                <w:i/>
                <w:sz w:val="24"/>
              </w:rPr>
            </w:pPr>
            <w:r>
              <w:rPr>
                <w:b/>
                <w:sz w:val="24"/>
              </w:rPr>
              <w:t>0 1 2 </w:t>
            </w:r>
            <w:r>
              <w:rPr>
                <w:i/>
                <w:spacing w:val="-4"/>
                <w:sz w:val="24"/>
              </w:rPr>
              <w:t>112.</w:t>
            </w:r>
          </w:p>
          <w:p>
            <w:pPr>
              <w:pStyle w:val="TableParagraph"/>
              <w:rPr>
                <w:b/>
                <w:sz w:val="24"/>
              </w:rPr>
            </w:pPr>
          </w:p>
          <w:p>
            <w:pPr>
              <w:pStyle w:val="TableParagraph"/>
              <w:rPr>
                <w:b/>
                <w:sz w:val="24"/>
              </w:rPr>
            </w:pPr>
          </w:p>
          <w:p>
            <w:pPr>
              <w:pStyle w:val="TableParagraph"/>
              <w:ind w:left="95"/>
              <w:rPr>
                <w:i/>
                <w:sz w:val="24"/>
              </w:rPr>
            </w:pPr>
            <w:r>
              <w:rPr>
                <w:b/>
                <w:sz w:val="24"/>
              </w:rPr>
              <w:t>0 1 2 </w:t>
            </w:r>
            <w:r>
              <w:rPr>
                <w:i/>
                <w:spacing w:val="-4"/>
                <w:sz w:val="24"/>
              </w:rPr>
              <w:t>113.</w:t>
            </w:r>
          </w:p>
        </w:tc>
        <w:tc>
          <w:tcPr>
            <w:tcW w:w="3041" w:type="dxa"/>
            <w:tcBorders>
              <w:left w:val="nil"/>
              <w:right w:val="nil"/>
            </w:tcBorders>
          </w:tcPr>
          <w:p>
            <w:pPr>
              <w:pStyle w:val="TableParagraph"/>
              <w:ind w:left="170" w:right="543"/>
              <w:rPr>
                <w:sz w:val="24"/>
              </w:rPr>
            </w:pPr>
            <w:r>
              <w:rPr>
                <w:sz w:val="24"/>
              </w:rPr>
              <w:t>Постоянно</w:t>
            </w:r>
            <w:r>
              <w:rPr>
                <w:spacing w:val="-15"/>
                <w:sz w:val="24"/>
              </w:rPr>
              <w:t> </w:t>
            </w:r>
            <w:r>
              <w:rPr>
                <w:sz w:val="24"/>
              </w:rPr>
              <w:t>ошибается. </w:t>
            </w:r>
            <w:r>
              <w:rPr>
                <w:spacing w:val="-2"/>
                <w:sz w:val="24"/>
              </w:rPr>
              <w:t>Хнычет.</w:t>
            </w:r>
          </w:p>
          <w:p>
            <w:pPr>
              <w:pStyle w:val="TableParagraph"/>
              <w:ind w:left="170"/>
              <w:rPr>
                <w:sz w:val="24"/>
              </w:rPr>
            </w:pPr>
            <w:r>
              <w:rPr>
                <w:spacing w:val="-2"/>
                <w:sz w:val="24"/>
              </w:rPr>
              <w:t>Неопрятен.</w:t>
            </w:r>
          </w:p>
          <w:p>
            <w:pPr>
              <w:pStyle w:val="TableParagraph"/>
              <w:ind w:left="170"/>
              <w:rPr>
                <w:sz w:val="24"/>
              </w:rPr>
            </w:pPr>
            <w:r>
              <w:rPr>
                <w:sz w:val="24"/>
              </w:rPr>
              <w:t>Замкнут,</w:t>
            </w:r>
            <w:r>
              <w:rPr>
                <w:spacing w:val="-14"/>
                <w:sz w:val="24"/>
              </w:rPr>
              <w:t> </w:t>
            </w:r>
            <w:r>
              <w:rPr>
                <w:sz w:val="24"/>
              </w:rPr>
              <w:t>не</w:t>
            </w:r>
            <w:r>
              <w:rPr>
                <w:spacing w:val="-15"/>
                <w:sz w:val="24"/>
              </w:rPr>
              <w:t> </w:t>
            </w:r>
            <w:r>
              <w:rPr>
                <w:sz w:val="24"/>
              </w:rPr>
              <w:t>вступает</w:t>
            </w:r>
            <w:r>
              <w:rPr>
                <w:spacing w:val="-14"/>
                <w:sz w:val="24"/>
              </w:rPr>
              <w:t> </w:t>
            </w:r>
            <w:r>
              <w:rPr>
                <w:sz w:val="24"/>
              </w:rPr>
              <w:t>в контакты с другими.</w:t>
            </w:r>
          </w:p>
          <w:p>
            <w:pPr>
              <w:pStyle w:val="TableParagraph"/>
              <w:ind w:left="170" w:right="157"/>
              <w:rPr>
                <w:sz w:val="24"/>
              </w:rPr>
            </w:pPr>
            <w:r>
              <w:rPr>
                <w:sz w:val="24"/>
              </w:rPr>
              <w:t>Склонен к </w:t>
            </w:r>
            <w:r>
              <w:rPr>
                <w:spacing w:val="-2"/>
                <w:sz w:val="24"/>
              </w:rPr>
              <w:t>взволнованности, обеспокоенности. </w:t>
            </w:r>
            <w:r>
              <w:rPr>
                <w:sz w:val="24"/>
              </w:rPr>
              <w:t>Перечислите,</w:t>
            </w:r>
            <w:r>
              <w:rPr>
                <w:spacing w:val="-15"/>
                <w:sz w:val="24"/>
              </w:rPr>
              <w:t> </w:t>
            </w:r>
            <w:r>
              <w:rPr>
                <w:sz w:val="24"/>
              </w:rPr>
              <w:t>пожалуйста, другие особенности поведения данного ученика,</w:t>
            </w:r>
            <w:r>
              <w:rPr>
                <w:spacing w:val="-4"/>
                <w:sz w:val="24"/>
              </w:rPr>
              <w:t> </w:t>
            </w:r>
            <w:r>
              <w:rPr>
                <w:sz w:val="24"/>
              </w:rPr>
              <w:t>которые</w:t>
            </w:r>
            <w:r>
              <w:rPr>
                <w:spacing w:val="-5"/>
                <w:sz w:val="24"/>
              </w:rPr>
              <w:t> </w:t>
            </w:r>
            <w:r>
              <w:rPr>
                <w:sz w:val="24"/>
              </w:rPr>
              <w:t>не</w:t>
            </w:r>
            <w:r>
              <w:rPr>
                <w:spacing w:val="-5"/>
                <w:sz w:val="24"/>
              </w:rPr>
              <w:t> </w:t>
            </w:r>
            <w:r>
              <w:rPr>
                <w:sz w:val="24"/>
              </w:rPr>
              <w:t>были </w:t>
            </w:r>
            <w:r>
              <w:rPr>
                <w:spacing w:val="-2"/>
                <w:sz w:val="24"/>
              </w:rPr>
              <w:t>упомянуты</w:t>
            </w:r>
          </w:p>
        </w:tc>
      </w:tr>
    </w:tbl>
    <w:p>
      <w:pPr>
        <w:pStyle w:val="TableParagraph"/>
        <w:spacing w:after="0"/>
        <w:rPr>
          <w:sz w:val="24"/>
        </w:rPr>
        <w:sectPr>
          <w:type w:val="continuous"/>
          <w:pgSz w:w="11910" w:h="16840"/>
          <w:pgMar w:header="0" w:footer="970" w:top="1100" w:bottom="1220" w:left="1417" w:right="283"/>
        </w:sectPr>
      </w:pPr>
    </w:p>
    <w:p>
      <w:pPr>
        <w:pStyle w:val="Heading2"/>
        <w:numPr>
          <w:ilvl w:val="0"/>
          <w:numId w:val="15"/>
        </w:numPr>
        <w:tabs>
          <w:tab w:pos="564" w:val="left" w:leader="none"/>
        </w:tabs>
        <w:spacing w:line="240" w:lineRule="auto" w:before="72" w:after="0"/>
        <w:ind w:left="564" w:right="0" w:hanging="279"/>
        <w:jc w:val="left"/>
      </w:pPr>
      <w:bookmarkStart w:name="_bookmark19" w:id="21"/>
      <w:bookmarkEnd w:id="21"/>
      <w:r>
        <w:rPr>
          <w:b w:val="0"/>
        </w:rPr>
      </w:r>
      <w:r>
        <w:rPr/>
        <w:t>Многомерная</w:t>
      </w:r>
      <w:r>
        <w:rPr>
          <w:spacing w:val="-13"/>
        </w:rPr>
        <w:t> </w:t>
      </w:r>
      <w:r>
        <w:rPr/>
        <w:t>шкала</w:t>
      </w:r>
      <w:r>
        <w:rPr>
          <w:spacing w:val="-9"/>
        </w:rPr>
        <w:t> </w:t>
      </w:r>
      <w:r>
        <w:rPr/>
        <w:t>удовлетворенности</w:t>
      </w:r>
      <w:r>
        <w:rPr>
          <w:spacing w:val="-10"/>
        </w:rPr>
        <w:t> </w:t>
      </w:r>
      <w:r>
        <w:rPr/>
        <w:t>жизнью</w:t>
      </w:r>
      <w:r>
        <w:rPr>
          <w:spacing w:val="-10"/>
        </w:rPr>
        <w:t> </w:t>
      </w:r>
      <w:r>
        <w:rPr>
          <w:spacing w:val="-2"/>
        </w:rPr>
        <w:t>школьников</w:t>
      </w:r>
    </w:p>
    <w:p>
      <w:pPr>
        <w:pStyle w:val="Heading3"/>
        <w:spacing w:before="293"/>
      </w:pPr>
      <w:r>
        <w:rPr/>
        <w:t>Описание</w:t>
      </w:r>
      <w:r>
        <w:rPr>
          <w:spacing w:val="-2"/>
        </w:rPr>
        <w:t> методики</w:t>
      </w:r>
    </w:p>
    <w:p>
      <w:pPr>
        <w:pStyle w:val="Heading4"/>
        <w:spacing w:before="232"/>
        <w:ind w:right="560"/>
      </w:pPr>
      <w:r>
        <w:rPr/>
        <w:t>В</w:t>
      </w:r>
      <w:r>
        <w:rPr>
          <w:spacing w:val="-3"/>
        </w:rPr>
        <w:t> </w:t>
      </w:r>
      <w:r>
        <w:rPr/>
        <w:t>1994</w:t>
      </w:r>
      <w:r>
        <w:rPr>
          <w:spacing w:val="-2"/>
        </w:rPr>
        <w:t> </w:t>
      </w:r>
      <w:r>
        <w:rPr/>
        <w:t>году</w:t>
      </w:r>
      <w:r>
        <w:rPr>
          <w:spacing w:val="-7"/>
        </w:rPr>
        <w:t> </w:t>
      </w:r>
      <w:r>
        <w:rPr/>
        <w:t>Е.С.</w:t>
      </w:r>
      <w:r>
        <w:rPr>
          <w:spacing w:val="-3"/>
        </w:rPr>
        <w:t> </w:t>
      </w:r>
      <w:r>
        <w:rPr/>
        <w:t>Хюбнер</w:t>
      </w:r>
      <w:r>
        <w:rPr>
          <w:spacing w:val="-2"/>
        </w:rPr>
        <w:t> </w:t>
      </w:r>
      <w:r>
        <w:rPr/>
        <w:t>разработал</w:t>
      </w:r>
      <w:r>
        <w:rPr>
          <w:spacing w:val="-5"/>
        </w:rPr>
        <w:t> </w:t>
      </w:r>
      <w:r>
        <w:rPr/>
        <w:t>многомерную</w:t>
      </w:r>
      <w:r>
        <w:rPr>
          <w:spacing w:val="-4"/>
        </w:rPr>
        <w:t> </w:t>
      </w:r>
      <w:r>
        <w:rPr/>
        <w:t>шкалу</w:t>
      </w:r>
      <w:r>
        <w:rPr>
          <w:spacing w:val="-3"/>
        </w:rPr>
        <w:t> </w:t>
      </w:r>
      <w:r>
        <w:rPr/>
        <w:t>удовлетворенности жизнью </w:t>
      </w:r>
      <w:r>
        <w:rPr>
          <w:i/>
        </w:rPr>
        <w:t>(Multidimensional Students’ Life Satisfaction Scale, MSLSS, </w:t>
      </w:r>
      <w:r>
        <w:rPr/>
        <w:t>для обозначения русскоязычной версии используется аббревиатура ШУДЖИ). Методика основана на многомерной модели удовлетворенности жизнью, в которой выделяется один общий фактор и пять факторов второго уровня, соответствующих разным сферам жизни ребенка. Подходит для диагностики детей школьного возраста начиная с 3-го класса.</w:t>
      </w:r>
    </w:p>
    <w:p>
      <w:pPr>
        <w:pStyle w:val="Heading4"/>
        <w:spacing w:line="322" w:lineRule="exact" w:before="241"/>
        <w:jc w:val="left"/>
      </w:pPr>
      <w:r>
        <w:rPr/>
        <w:t>Методика</w:t>
      </w:r>
      <w:r>
        <w:rPr>
          <w:spacing w:val="-7"/>
        </w:rPr>
        <w:t> </w:t>
      </w:r>
      <w:r>
        <w:rPr/>
        <w:t>включает</w:t>
      </w:r>
      <w:r>
        <w:rPr>
          <w:spacing w:val="-7"/>
        </w:rPr>
        <w:t> </w:t>
      </w:r>
      <w:r>
        <w:rPr/>
        <w:t>30</w:t>
      </w:r>
      <w:r>
        <w:rPr>
          <w:spacing w:val="-4"/>
        </w:rPr>
        <w:t> </w:t>
      </w:r>
      <w:r>
        <w:rPr/>
        <w:t>утверждений,</w:t>
      </w:r>
      <w:r>
        <w:rPr>
          <w:spacing w:val="-5"/>
        </w:rPr>
        <w:t> </w:t>
      </w:r>
      <w:r>
        <w:rPr/>
        <w:t>которые</w:t>
      </w:r>
      <w:r>
        <w:rPr>
          <w:spacing w:val="-8"/>
        </w:rPr>
        <w:t> </w:t>
      </w:r>
      <w:r>
        <w:rPr/>
        <w:t>распределяются</w:t>
      </w:r>
      <w:r>
        <w:rPr>
          <w:spacing w:val="-5"/>
        </w:rPr>
        <w:t> </w:t>
      </w:r>
      <w:r>
        <w:rPr/>
        <w:t>по</w:t>
      </w:r>
      <w:r>
        <w:rPr>
          <w:spacing w:val="-4"/>
        </w:rPr>
        <w:t> </w:t>
      </w:r>
      <w:r>
        <w:rPr/>
        <w:t>5</w:t>
      </w:r>
      <w:r>
        <w:rPr>
          <w:spacing w:val="-4"/>
        </w:rPr>
        <w:t> </w:t>
      </w:r>
      <w:r>
        <w:rPr>
          <w:spacing w:val="-2"/>
        </w:rPr>
        <w:t>шкалам:</w:t>
      </w:r>
    </w:p>
    <w:p>
      <w:pPr>
        <w:pStyle w:val="Heading4"/>
        <w:numPr>
          <w:ilvl w:val="1"/>
          <w:numId w:val="15"/>
        </w:numPr>
        <w:tabs>
          <w:tab w:pos="818" w:val="left" w:leader="none"/>
        </w:tabs>
        <w:spacing w:line="240" w:lineRule="auto" w:before="0" w:after="0"/>
        <w:ind w:left="565" w:right="568" w:firstLine="0"/>
        <w:jc w:val="left"/>
      </w:pPr>
      <w:r>
        <w:rPr/>
        <w:t>«Семья»</w:t>
      </w:r>
      <w:r>
        <w:rPr>
          <w:spacing w:val="40"/>
        </w:rPr>
        <w:t> </w:t>
      </w:r>
      <w:r>
        <w:rPr/>
        <w:t>—</w:t>
      </w:r>
      <w:r>
        <w:rPr>
          <w:spacing w:val="40"/>
        </w:rPr>
        <w:t> </w:t>
      </w:r>
      <w:r>
        <w:rPr/>
        <w:t>удовлетворенность</w:t>
      </w:r>
      <w:r>
        <w:rPr>
          <w:spacing w:val="40"/>
        </w:rPr>
        <w:t> </w:t>
      </w:r>
      <w:r>
        <w:rPr/>
        <w:t>респондентов</w:t>
      </w:r>
      <w:r>
        <w:rPr>
          <w:spacing w:val="40"/>
        </w:rPr>
        <w:t> </w:t>
      </w:r>
      <w:r>
        <w:rPr/>
        <w:t>отношениями</w:t>
      </w:r>
      <w:r>
        <w:rPr>
          <w:spacing w:val="40"/>
        </w:rPr>
        <w:t> </w:t>
      </w:r>
      <w:r>
        <w:rPr/>
        <w:t>с</w:t>
      </w:r>
      <w:r>
        <w:rPr>
          <w:spacing w:val="40"/>
        </w:rPr>
        <w:t> </w:t>
      </w:r>
      <w:r>
        <w:rPr/>
        <w:t>членами </w:t>
      </w:r>
      <w:r>
        <w:rPr>
          <w:spacing w:val="-2"/>
        </w:rPr>
        <w:t>семьи.</w:t>
      </w:r>
    </w:p>
    <w:p>
      <w:pPr>
        <w:pStyle w:val="Heading4"/>
        <w:numPr>
          <w:ilvl w:val="1"/>
          <w:numId w:val="15"/>
        </w:numPr>
        <w:tabs>
          <w:tab w:pos="895" w:val="left" w:leader="none"/>
        </w:tabs>
        <w:spacing w:line="242" w:lineRule="auto" w:before="0" w:after="0"/>
        <w:ind w:left="565" w:right="565" w:firstLine="0"/>
        <w:jc w:val="left"/>
      </w:pPr>
      <w:r>
        <w:rPr/>
        <w:t>«Школа»</w:t>
      </w:r>
      <w:r>
        <w:rPr>
          <w:spacing w:val="40"/>
        </w:rPr>
        <w:t> </w:t>
      </w:r>
      <w:r>
        <w:rPr/>
        <w:t>—</w:t>
      </w:r>
      <w:r>
        <w:rPr>
          <w:spacing w:val="40"/>
        </w:rPr>
        <w:t> </w:t>
      </w:r>
      <w:r>
        <w:rPr/>
        <w:t>удовлетворенность</w:t>
      </w:r>
      <w:r>
        <w:rPr>
          <w:spacing w:val="40"/>
        </w:rPr>
        <w:t> </w:t>
      </w:r>
      <w:r>
        <w:rPr/>
        <w:t>учащихся</w:t>
      </w:r>
      <w:r>
        <w:rPr>
          <w:spacing w:val="40"/>
        </w:rPr>
        <w:t> </w:t>
      </w:r>
      <w:r>
        <w:rPr/>
        <w:t>школьной</w:t>
      </w:r>
      <w:r>
        <w:rPr>
          <w:spacing w:val="40"/>
        </w:rPr>
        <w:t> </w:t>
      </w:r>
      <w:r>
        <w:rPr/>
        <w:t>жизнью,</w:t>
      </w:r>
      <w:r>
        <w:rPr>
          <w:spacing w:val="40"/>
        </w:rPr>
        <w:t> </w:t>
      </w:r>
      <w:r>
        <w:rPr/>
        <w:t>общее</w:t>
      </w:r>
      <w:r>
        <w:rPr>
          <w:spacing w:val="40"/>
        </w:rPr>
        <w:t> </w:t>
      </w:r>
      <w:r>
        <w:rPr/>
        <w:t>позитивное отношение к школе и учебной деятельности.</w:t>
      </w:r>
    </w:p>
    <w:p>
      <w:pPr>
        <w:pStyle w:val="Heading4"/>
        <w:numPr>
          <w:ilvl w:val="1"/>
          <w:numId w:val="15"/>
        </w:numPr>
        <w:tabs>
          <w:tab w:pos="770" w:val="left" w:leader="none"/>
        </w:tabs>
        <w:spacing w:line="317" w:lineRule="exact" w:before="0" w:after="0"/>
        <w:ind w:left="770" w:right="0" w:hanging="205"/>
        <w:jc w:val="left"/>
      </w:pPr>
      <w:r>
        <w:rPr/>
        <w:t>«Друзья»</w:t>
      </w:r>
      <w:r>
        <w:rPr>
          <w:spacing w:val="-12"/>
        </w:rPr>
        <w:t> </w:t>
      </w:r>
      <w:r>
        <w:rPr/>
        <w:t>—</w:t>
      </w:r>
      <w:r>
        <w:rPr>
          <w:spacing w:val="-7"/>
        </w:rPr>
        <w:t> </w:t>
      </w:r>
      <w:r>
        <w:rPr/>
        <w:t>удовлетворенность</w:t>
      </w:r>
      <w:r>
        <w:rPr>
          <w:spacing w:val="-9"/>
        </w:rPr>
        <w:t> </w:t>
      </w:r>
      <w:r>
        <w:rPr/>
        <w:t>отношениями</w:t>
      </w:r>
      <w:r>
        <w:rPr>
          <w:spacing w:val="-8"/>
        </w:rPr>
        <w:t> </w:t>
      </w:r>
      <w:r>
        <w:rPr/>
        <w:t>со</w:t>
      </w:r>
      <w:r>
        <w:rPr>
          <w:spacing w:val="-7"/>
        </w:rPr>
        <w:t> </w:t>
      </w:r>
      <w:r>
        <w:rPr>
          <w:spacing w:val="-2"/>
        </w:rPr>
        <w:t>сверстниками.</w:t>
      </w:r>
    </w:p>
    <w:p>
      <w:pPr>
        <w:pStyle w:val="Heading4"/>
        <w:numPr>
          <w:ilvl w:val="1"/>
          <w:numId w:val="15"/>
        </w:numPr>
        <w:tabs>
          <w:tab w:pos="869" w:val="left" w:leader="none"/>
        </w:tabs>
        <w:spacing w:line="240" w:lineRule="auto" w:before="0" w:after="0"/>
        <w:ind w:left="565" w:right="566" w:firstLine="0"/>
        <w:jc w:val="left"/>
      </w:pPr>
      <w:r>
        <w:rPr/>
        <w:t>«Я</w:t>
      </w:r>
      <w:r>
        <w:rPr>
          <w:spacing w:val="80"/>
        </w:rPr>
        <w:t> </w:t>
      </w:r>
      <w:r>
        <w:rPr/>
        <w:t>сам»</w:t>
      </w:r>
      <w:r>
        <w:rPr>
          <w:spacing w:val="80"/>
        </w:rPr>
        <w:t> </w:t>
      </w:r>
      <w:r>
        <w:rPr/>
        <w:t>—</w:t>
      </w:r>
      <w:r>
        <w:rPr>
          <w:spacing w:val="80"/>
        </w:rPr>
        <w:t> </w:t>
      </w:r>
      <w:r>
        <w:rPr/>
        <w:t>удовлетворенность</w:t>
      </w:r>
      <w:r>
        <w:rPr>
          <w:spacing w:val="80"/>
        </w:rPr>
        <w:t> </w:t>
      </w:r>
      <w:r>
        <w:rPr/>
        <w:t>самим</w:t>
      </w:r>
      <w:r>
        <w:rPr>
          <w:spacing w:val="80"/>
        </w:rPr>
        <w:t> </w:t>
      </w:r>
      <w:r>
        <w:rPr/>
        <w:t>собой,</w:t>
      </w:r>
      <w:r>
        <w:rPr>
          <w:spacing w:val="80"/>
        </w:rPr>
        <w:t> </w:t>
      </w:r>
      <w:r>
        <w:rPr/>
        <w:t>уровнем</w:t>
      </w:r>
      <w:r>
        <w:rPr>
          <w:spacing w:val="80"/>
        </w:rPr>
        <w:t> </w:t>
      </w:r>
      <w:r>
        <w:rPr/>
        <w:t>позитивного отношения к себе, мнением других людей о себе.</w:t>
      </w:r>
    </w:p>
    <w:p>
      <w:pPr>
        <w:pStyle w:val="Heading4"/>
        <w:numPr>
          <w:ilvl w:val="1"/>
          <w:numId w:val="15"/>
        </w:numPr>
        <w:tabs>
          <w:tab w:pos="770" w:val="left" w:leader="none"/>
        </w:tabs>
        <w:spacing w:line="321" w:lineRule="exact" w:before="0" w:after="0"/>
        <w:ind w:left="770" w:right="0" w:hanging="205"/>
        <w:jc w:val="left"/>
      </w:pPr>
      <w:r>
        <w:rPr/>
        <w:t>«Учителя»</w:t>
      </w:r>
      <w:r>
        <w:rPr>
          <w:spacing w:val="-9"/>
        </w:rPr>
        <w:t> </w:t>
      </w:r>
      <w:r>
        <w:rPr/>
        <w:t>—</w:t>
      </w:r>
      <w:r>
        <w:rPr>
          <w:spacing w:val="-6"/>
        </w:rPr>
        <w:t> </w:t>
      </w:r>
      <w:r>
        <w:rPr/>
        <w:t>удовлетворенность</w:t>
      </w:r>
      <w:r>
        <w:rPr>
          <w:spacing w:val="-10"/>
        </w:rPr>
        <w:t> </w:t>
      </w:r>
      <w:r>
        <w:rPr/>
        <w:t>ребенка</w:t>
      </w:r>
      <w:r>
        <w:rPr>
          <w:spacing w:val="-9"/>
        </w:rPr>
        <w:t> </w:t>
      </w:r>
      <w:r>
        <w:rPr/>
        <w:t>отношениями</w:t>
      </w:r>
      <w:r>
        <w:rPr>
          <w:spacing w:val="-6"/>
        </w:rPr>
        <w:t> </w:t>
      </w:r>
      <w:r>
        <w:rPr/>
        <w:t>с</w:t>
      </w:r>
      <w:r>
        <w:rPr>
          <w:spacing w:val="-7"/>
        </w:rPr>
        <w:t> </w:t>
      </w:r>
      <w:r>
        <w:rPr>
          <w:spacing w:val="-2"/>
        </w:rPr>
        <w:t>учителями.</w:t>
      </w:r>
    </w:p>
    <w:p>
      <w:pPr>
        <w:pStyle w:val="Heading4"/>
        <w:spacing w:before="238"/>
        <w:ind w:right="568"/>
      </w:pPr>
      <w:r>
        <w:rPr/>
        <w:t>В результате проведения методики выявляется показатель общего уровня удовлетворенности</w:t>
      </w:r>
      <w:r>
        <w:rPr>
          <w:spacing w:val="-13"/>
        </w:rPr>
        <w:t> </w:t>
      </w:r>
      <w:r>
        <w:rPr/>
        <w:t>жизнью,</w:t>
      </w:r>
      <w:r>
        <w:rPr>
          <w:spacing w:val="-11"/>
        </w:rPr>
        <w:t> </w:t>
      </w:r>
      <w:r>
        <w:rPr/>
        <w:t>а</w:t>
      </w:r>
      <w:r>
        <w:rPr>
          <w:spacing w:val="-11"/>
        </w:rPr>
        <w:t> </w:t>
      </w:r>
      <w:r>
        <w:rPr/>
        <w:t>также</w:t>
      </w:r>
      <w:r>
        <w:rPr>
          <w:spacing w:val="-11"/>
        </w:rPr>
        <w:t> </w:t>
      </w:r>
      <w:r>
        <w:rPr/>
        <w:t>профиль</w:t>
      </w:r>
      <w:r>
        <w:rPr>
          <w:spacing w:val="-11"/>
        </w:rPr>
        <w:t> </w:t>
      </w:r>
      <w:r>
        <w:rPr/>
        <w:t>удовлетворенности</w:t>
      </w:r>
      <w:r>
        <w:rPr>
          <w:spacing w:val="-10"/>
        </w:rPr>
        <w:t> </w:t>
      </w:r>
      <w:r>
        <w:rPr/>
        <w:t>различными жизненными сферами.</w:t>
      </w:r>
    </w:p>
    <w:p>
      <w:pPr>
        <w:pStyle w:val="Heading3"/>
        <w:spacing w:before="249"/>
        <w:jc w:val="left"/>
      </w:pPr>
      <w:r>
        <w:rPr/>
        <w:t>Проведение</w:t>
      </w:r>
      <w:r>
        <w:rPr>
          <w:spacing w:val="-10"/>
        </w:rPr>
        <w:t> </w:t>
      </w:r>
      <w:r>
        <w:rPr>
          <w:spacing w:val="-2"/>
        </w:rPr>
        <w:t>методики</w:t>
      </w:r>
    </w:p>
    <w:p>
      <w:pPr>
        <w:pStyle w:val="Heading4"/>
        <w:spacing w:before="232"/>
        <w:ind w:right="567"/>
      </w:pPr>
      <w:r>
        <w:rPr/>
        <w:t>Каждый ученик получает бланк с набором из 30 утверждений (см. </w:t>
      </w:r>
      <w:r>
        <w:rPr>
          <w:i/>
        </w:rPr>
        <w:t>Приложение 6</w:t>
      </w:r>
      <w:r>
        <w:rPr/>
        <w:t>). Предлагается отметить, как часто утверждения для него оказываются</w:t>
      </w:r>
      <w:r>
        <w:rPr>
          <w:spacing w:val="7"/>
        </w:rPr>
        <w:t> </w:t>
      </w:r>
      <w:r>
        <w:rPr/>
        <w:t>верными:</w:t>
      </w:r>
      <w:r>
        <w:rPr>
          <w:spacing w:val="9"/>
        </w:rPr>
        <w:t> </w:t>
      </w:r>
      <w:r>
        <w:rPr/>
        <w:t>никогда,</w:t>
      </w:r>
      <w:r>
        <w:rPr>
          <w:spacing w:val="10"/>
        </w:rPr>
        <w:t> </w:t>
      </w:r>
      <w:r>
        <w:rPr/>
        <w:t>иногда,</w:t>
      </w:r>
      <w:r>
        <w:rPr>
          <w:spacing w:val="9"/>
        </w:rPr>
        <w:t> </w:t>
      </w:r>
      <w:r>
        <w:rPr/>
        <w:t>часто,</w:t>
      </w:r>
      <w:r>
        <w:rPr>
          <w:spacing w:val="10"/>
        </w:rPr>
        <w:t> </w:t>
      </w:r>
      <w:r>
        <w:rPr/>
        <w:t>почти</w:t>
      </w:r>
      <w:r>
        <w:rPr>
          <w:spacing w:val="10"/>
        </w:rPr>
        <w:t> </w:t>
      </w:r>
      <w:r>
        <w:rPr/>
        <w:t>всегда,</w:t>
      </w:r>
      <w:r>
        <w:rPr>
          <w:spacing w:val="10"/>
        </w:rPr>
        <w:t> </w:t>
      </w:r>
      <w:r>
        <w:rPr/>
        <w:t>всегда.</w:t>
      </w:r>
      <w:r>
        <w:rPr>
          <w:spacing w:val="9"/>
        </w:rPr>
        <w:t> </w:t>
      </w:r>
      <w:r>
        <w:rPr/>
        <w:t>За</w:t>
      </w:r>
      <w:r>
        <w:rPr>
          <w:spacing w:val="8"/>
        </w:rPr>
        <w:t> </w:t>
      </w:r>
      <w:r>
        <w:rPr>
          <w:spacing w:val="-2"/>
        </w:rPr>
        <w:t>ответ</w:t>
      </w:r>
    </w:p>
    <w:p>
      <w:pPr>
        <w:pStyle w:val="Heading4"/>
        <w:spacing w:before="2"/>
      </w:pPr>
      <w:r>
        <w:rPr/>
        <w:t>«никогда»</w:t>
      </w:r>
      <w:r>
        <w:rPr>
          <w:spacing w:val="-12"/>
        </w:rPr>
        <w:t> </w:t>
      </w:r>
      <w:r>
        <w:rPr/>
        <w:t>на</w:t>
      </w:r>
      <w:r>
        <w:rPr>
          <w:spacing w:val="-12"/>
        </w:rPr>
        <w:t> </w:t>
      </w:r>
      <w:r>
        <w:rPr/>
        <w:t>прямые</w:t>
      </w:r>
      <w:r>
        <w:rPr>
          <w:spacing w:val="-10"/>
        </w:rPr>
        <w:t> </w:t>
      </w:r>
      <w:r>
        <w:rPr/>
        <w:t>утверждения</w:t>
      </w:r>
      <w:r>
        <w:rPr>
          <w:spacing w:val="-9"/>
        </w:rPr>
        <w:t> </w:t>
      </w:r>
      <w:r>
        <w:rPr/>
        <w:t>присваивается</w:t>
      </w:r>
      <w:r>
        <w:rPr>
          <w:spacing w:val="-9"/>
        </w:rPr>
        <w:t> </w:t>
      </w:r>
      <w:r>
        <w:rPr/>
        <w:t>1</w:t>
      </w:r>
      <w:r>
        <w:rPr>
          <w:spacing w:val="-12"/>
        </w:rPr>
        <w:t> </w:t>
      </w:r>
      <w:r>
        <w:rPr/>
        <w:t>балл,</w:t>
      </w:r>
      <w:r>
        <w:rPr>
          <w:spacing w:val="-10"/>
        </w:rPr>
        <w:t> </w:t>
      </w:r>
      <w:r>
        <w:rPr/>
        <w:t>«иногда»</w:t>
      </w:r>
      <w:r>
        <w:rPr>
          <w:spacing w:val="-5"/>
        </w:rPr>
        <w:t> </w:t>
      </w:r>
      <w:r>
        <w:rPr/>
        <w:t>—</w:t>
      </w:r>
      <w:r>
        <w:rPr>
          <w:spacing w:val="-12"/>
        </w:rPr>
        <w:t> </w:t>
      </w:r>
      <w:r>
        <w:rPr/>
        <w:t>2</w:t>
      </w:r>
      <w:r>
        <w:rPr>
          <w:spacing w:val="-11"/>
        </w:rPr>
        <w:t> </w:t>
      </w:r>
      <w:r>
        <w:rPr>
          <w:spacing w:val="-2"/>
        </w:rPr>
        <w:t>балла,</w:t>
      </w:r>
    </w:p>
    <w:p>
      <w:pPr>
        <w:pStyle w:val="Heading4"/>
        <w:ind w:right="561"/>
      </w:pPr>
      <w:r>
        <w:rPr/>
        <w:t>«часто» — 3 балла, «почти всегда» — 4 балла, «всегда» — 5 баллов. Ответы на обратные утверждения, отмеченные знаком «*» в таблице 5, кодируются наоборот:</w:t>
      </w:r>
      <w:r>
        <w:rPr>
          <w:spacing w:val="-18"/>
        </w:rPr>
        <w:t> </w:t>
      </w:r>
      <w:r>
        <w:rPr/>
        <w:t>«никогда»</w:t>
      </w:r>
      <w:r>
        <w:rPr>
          <w:spacing w:val="-17"/>
        </w:rPr>
        <w:t> </w:t>
      </w:r>
      <w:r>
        <w:rPr/>
        <w:t>—</w:t>
      </w:r>
      <w:r>
        <w:rPr>
          <w:spacing w:val="-18"/>
        </w:rPr>
        <w:t> </w:t>
      </w:r>
      <w:r>
        <w:rPr/>
        <w:t>5</w:t>
      </w:r>
      <w:r>
        <w:rPr>
          <w:spacing w:val="-17"/>
        </w:rPr>
        <w:t> </w:t>
      </w:r>
      <w:r>
        <w:rPr/>
        <w:t>баллов,</w:t>
      </w:r>
      <w:r>
        <w:rPr>
          <w:spacing w:val="-18"/>
        </w:rPr>
        <w:t> </w:t>
      </w:r>
      <w:r>
        <w:rPr/>
        <w:t>«иногда»</w:t>
      </w:r>
      <w:r>
        <w:rPr>
          <w:spacing w:val="-17"/>
        </w:rPr>
        <w:t> </w:t>
      </w:r>
      <w:r>
        <w:rPr/>
        <w:t>—</w:t>
      </w:r>
      <w:r>
        <w:rPr>
          <w:spacing w:val="-18"/>
        </w:rPr>
        <w:t> </w:t>
      </w:r>
      <w:r>
        <w:rPr/>
        <w:t>4</w:t>
      </w:r>
      <w:r>
        <w:rPr>
          <w:spacing w:val="-17"/>
        </w:rPr>
        <w:t> </w:t>
      </w:r>
      <w:r>
        <w:rPr/>
        <w:t>балла</w:t>
      </w:r>
      <w:r>
        <w:rPr>
          <w:spacing w:val="-18"/>
        </w:rPr>
        <w:t> </w:t>
      </w:r>
      <w:r>
        <w:rPr/>
        <w:t>и</w:t>
      </w:r>
      <w:r>
        <w:rPr>
          <w:spacing w:val="-17"/>
        </w:rPr>
        <w:t> </w:t>
      </w:r>
      <w:r>
        <w:rPr/>
        <w:t>т.д.</w:t>
      </w:r>
      <w:r>
        <w:rPr>
          <w:spacing w:val="-18"/>
        </w:rPr>
        <w:t> </w:t>
      </w:r>
      <w:r>
        <w:rPr/>
        <w:t>Ответы</w:t>
      </w:r>
      <w:r>
        <w:rPr>
          <w:spacing w:val="-17"/>
        </w:rPr>
        <w:t> </w:t>
      </w:r>
      <w:r>
        <w:rPr/>
        <w:t>на</w:t>
      </w:r>
      <w:r>
        <w:rPr>
          <w:spacing w:val="-18"/>
        </w:rPr>
        <w:t> </w:t>
      </w:r>
      <w:r>
        <w:rPr/>
        <w:t>вопросы оцениваются в соответствии с таблицей и суммируются по каждой шкале.</w:t>
      </w:r>
    </w:p>
    <w:p>
      <w:pPr>
        <w:pStyle w:val="Heading4"/>
        <w:spacing w:after="0"/>
        <w:sectPr>
          <w:pgSz w:w="11910" w:h="16840"/>
          <w:pgMar w:header="0" w:footer="970" w:top="1040" w:bottom="1220" w:left="1417" w:right="283"/>
        </w:sectPr>
      </w:pPr>
    </w:p>
    <w:p>
      <w:pPr>
        <w:pStyle w:val="Heading3"/>
        <w:ind w:left="0" w:right="560"/>
        <w:jc w:val="right"/>
      </w:pPr>
      <w:r>
        <w:rPr/>
        <w:t>Таблица</w:t>
      </w:r>
      <w:r>
        <w:rPr>
          <w:spacing w:val="-5"/>
        </w:rPr>
        <w:t> 10</w:t>
      </w:r>
    </w:p>
    <w:p>
      <w:pPr>
        <w:spacing w:before="240"/>
        <w:ind w:left="1105" w:right="0" w:firstLine="0"/>
        <w:jc w:val="left"/>
        <w:rPr>
          <w:b/>
          <w:sz w:val="28"/>
        </w:rPr>
      </w:pPr>
      <w:r>
        <w:rPr>
          <w:b/>
          <w:sz w:val="28"/>
        </w:rPr>
        <w:t>Ключ</w:t>
      </w:r>
      <w:r>
        <w:rPr>
          <w:b/>
          <w:spacing w:val="-8"/>
          <w:sz w:val="28"/>
        </w:rPr>
        <w:t> </w:t>
      </w:r>
      <w:r>
        <w:rPr>
          <w:b/>
          <w:sz w:val="28"/>
        </w:rPr>
        <w:t>к</w:t>
      </w:r>
      <w:r>
        <w:rPr>
          <w:b/>
          <w:spacing w:val="-7"/>
          <w:sz w:val="28"/>
        </w:rPr>
        <w:t> </w:t>
      </w:r>
      <w:r>
        <w:rPr>
          <w:b/>
          <w:sz w:val="28"/>
        </w:rPr>
        <w:t>обработке</w:t>
      </w:r>
      <w:r>
        <w:rPr>
          <w:b/>
          <w:spacing w:val="-5"/>
          <w:sz w:val="28"/>
        </w:rPr>
        <w:t> </w:t>
      </w:r>
      <w:r>
        <w:rPr>
          <w:b/>
          <w:sz w:val="28"/>
        </w:rPr>
        <w:t>методики</w:t>
      </w:r>
      <w:r>
        <w:rPr>
          <w:b/>
          <w:spacing w:val="-6"/>
          <w:sz w:val="28"/>
        </w:rPr>
        <w:t> </w:t>
      </w:r>
      <w:r>
        <w:rPr>
          <w:b/>
          <w:sz w:val="28"/>
        </w:rPr>
        <w:t>Хюбнера</w:t>
      </w:r>
      <w:r>
        <w:rPr>
          <w:b/>
          <w:spacing w:val="-7"/>
          <w:sz w:val="28"/>
        </w:rPr>
        <w:t> </w:t>
      </w:r>
      <w:r>
        <w:rPr>
          <w:b/>
          <w:sz w:val="28"/>
        </w:rPr>
        <w:t>(русскоязычная</w:t>
      </w:r>
      <w:r>
        <w:rPr>
          <w:b/>
          <w:spacing w:val="-8"/>
          <w:sz w:val="28"/>
        </w:rPr>
        <w:t> </w:t>
      </w:r>
      <w:r>
        <w:rPr>
          <w:b/>
          <w:spacing w:val="-2"/>
          <w:sz w:val="28"/>
        </w:rPr>
        <w:t>адаптация)</w:t>
      </w:r>
    </w:p>
    <w:p>
      <w:pPr>
        <w:pStyle w:val="BodyText"/>
        <w:ind w:left="0" w:right="0" w:firstLine="0"/>
        <w:jc w:val="left"/>
        <w:rPr>
          <w:b/>
        </w:rPr>
      </w:pPr>
    </w:p>
    <w:p>
      <w:pPr>
        <w:pStyle w:val="BodyText"/>
        <w:spacing w:before="104"/>
        <w:ind w:left="0" w:right="0" w:firstLine="0"/>
        <w:jc w:val="left"/>
        <w:rPr>
          <w:b/>
        </w:r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5"/>
        <w:gridCol w:w="1500"/>
        <w:gridCol w:w="1354"/>
        <w:gridCol w:w="1234"/>
        <w:gridCol w:w="1280"/>
        <w:gridCol w:w="1265"/>
      </w:tblGrid>
      <w:tr>
        <w:trPr>
          <w:trHeight w:val="750" w:hRule="atLeast"/>
        </w:trPr>
        <w:tc>
          <w:tcPr>
            <w:tcW w:w="2725" w:type="dxa"/>
          </w:tcPr>
          <w:p>
            <w:pPr>
              <w:pStyle w:val="TableParagraph"/>
              <w:spacing w:before="61"/>
              <w:rPr>
                <w:b/>
                <w:sz w:val="24"/>
              </w:rPr>
            </w:pPr>
          </w:p>
          <w:p>
            <w:pPr>
              <w:pStyle w:val="TableParagraph"/>
              <w:ind w:left="566"/>
              <w:rPr>
                <w:b/>
                <w:sz w:val="24"/>
              </w:rPr>
            </w:pPr>
            <w:r>
              <w:rPr>
                <w:b/>
                <w:spacing w:val="-2"/>
                <w:sz w:val="24"/>
              </w:rPr>
              <w:t>Утверждения</w:t>
            </w:r>
          </w:p>
        </w:tc>
        <w:tc>
          <w:tcPr>
            <w:tcW w:w="1500" w:type="dxa"/>
          </w:tcPr>
          <w:p>
            <w:pPr>
              <w:pStyle w:val="TableParagraph"/>
              <w:spacing w:before="234"/>
              <w:ind w:right="112"/>
              <w:jc w:val="center"/>
              <w:rPr>
                <w:b/>
                <w:sz w:val="24"/>
              </w:rPr>
            </w:pPr>
            <w:r>
              <w:rPr>
                <w:b/>
                <w:spacing w:val="-2"/>
                <w:sz w:val="24"/>
              </w:rPr>
              <w:t>Никогда</w:t>
            </w:r>
          </w:p>
        </w:tc>
        <w:tc>
          <w:tcPr>
            <w:tcW w:w="1354" w:type="dxa"/>
          </w:tcPr>
          <w:p>
            <w:pPr>
              <w:pStyle w:val="TableParagraph"/>
              <w:spacing w:before="234"/>
              <w:ind w:right="115"/>
              <w:jc w:val="center"/>
              <w:rPr>
                <w:b/>
                <w:sz w:val="24"/>
              </w:rPr>
            </w:pPr>
            <w:r>
              <w:rPr>
                <w:b/>
                <w:spacing w:val="-2"/>
                <w:sz w:val="24"/>
              </w:rPr>
              <w:t>Иногда</w:t>
            </w:r>
          </w:p>
        </w:tc>
        <w:tc>
          <w:tcPr>
            <w:tcW w:w="1234" w:type="dxa"/>
          </w:tcPr>
          <w:p>
            <w:pPr>
              <w:pStyle w:val="TableParagraph"/>
              <w:spacing w:before="234"/>
              <w:ind w:left="2" w:right="114"/>
              <w:jc w:val="center"/>
              <w:rPr>
                <w:b/>
                <w:sz w:val="24"/>
              </w:rPr>
            </w:pPr>
            <w:r>
              <w:rPr>
                <w:b/>
                <w:spacing w:val="-2"/>
                <w:sz w:val="24"/>
              </w:rPr>
              <w:t>Часто</w:t>
            </w:r>
          </w:p>
        </w:tc>
        <w:tc>
          <w:tcPr>
            <w:tcW w:w="1280" w:type="dxa"/>
          </w:tcPr>
          <w:p>
            <w:pPr>
              <w:pStyle w:val="TableParagraph"/>
              <w:spacing w:before="97"/>
              <w:ind w:left="231" w:right="333" w:hanging="3"/>
              <w:rPr>
                <w:b/>
                <w:sz w:val="24"/>
              </w:rPr>
            </w:pPr>
            <w:r>
              <w:rPr>
                <w:b/>
                <w:spacing w:val="-2"/>
                <w:sz w:val="24"/>
              </w:rPr>
              <w:t>Почти всегда</w:t>
            </w:r>
          </w:p>
        </w:tc>
        <w:tc>
          <w:tcPr>
            <w:tcW w:w="1265" w:type="dxa"/>
          </w:tcPr>
          <w:p>
            <w:pPr>
              <w:pStyle w:val="TableParagraph"/>
              <w:spacing w:before="234"/>
              <w:ind w:right="111"/>
              <w:jc w:val="center"/>
              <w:rPr>
                <w:b/>
                <w:sz w:val="24"/>
              </w:rPr>
            </w:pPr>
            <w:r>
              <w:rPr>
                <w:b/>
                <w:spacing w:val="-2"/>
                <w:sz w:val="24"/>
              </w:rPr>
              <w:t>Всегда</w:t>
            </w:r>
          </w:p>
        </w:tc>
      </w:tr>
      <w:tr>
        <w:trPr>
          <w:trHeight w:val="717" w:hRule="atLeast"/>
        </w:trPr>
        <w:tc>
          <w:tcPr>
            <w:tcW w:w="9358" w:type="dxa"/>
            <w:gridSpan w:val="6"/>
          </w:tcPr>
          <w:p>
            <w:pPr>
              <w:pStyle w:val="TableParagraph"/>
              <w:spacing w:before="61"/>
              <w:rPr>
                <w:b/>
                <w:sz w:val="24"/>
              </w:rPr>
            </w:pPr>
          </w:p>
          <w:p>
            <w:pPr>
              <w:pStyle w:val="TableParagraph"/>
              <w:ind w:left="124" w:right="236"/>
              <w:jc w:val="center"/>
              <w:rPr>
                <w:b/>
                <w:i/>
                <w:sz w:val="24"/>
              </w:rPr>
            </w:pPr>
            <w:r>
              <w:rPr>
                <w:b/>
                <w:i/>
                <w:spacing w:val="-2"/>
                <w:sz w:val="24"/>
              </w:rPr>
              <w:t>Семья</w:t>
            </w:r>
          </w:p>
        </w:tc>
      </w:tr>
      <w:tr>
        <w:trPr>
          <w:trHeight w:val="1267" w:hRule="atLeast"/>
        </w:trPr>
        <w:tc>
          <w:tcPr>
            <w:tcW w:w="2725" w:type="dxa"/>
          </w:tcPr>
          <w:p>
            <w:pPr>
              <w:pStyle w:val="TableParagraph"/>
              <w:spacing w:before="56"/>
              <w:rPr>
                <w:b/>
                <w:sz w:val="24"/>
              </w:rPr>
            </w:pPr>
          </w:p>
          <w:p>
            <w:pPr>
              <w:pStyle w:val="TableParagraph"/>
              <w:ind w:left="220"/>
              <w:rPr>
                <w:sz w:val="24"/>
              </w:rPr>
            </w:pPr>
            <w:r>
              <w:rPr>
                <w:sz w:val="24"/>
              </w:rPr>
              <w:t>1. Мне нравится проводить</w:t>
            </w:r>
            <w:r>
              <w:rPr>
                <w:spacing w:val="-15"/>
                <w:sz w:val="24"/>
              </w:rPr>
              <w:t> </w:t>
            </w:r>
            <w:r>
              <w:rPr>
                <w:sz w:val="24"/>
              </w:rPr>
              <w:t>время</w:t>
            </w:r>
            <w:r>
              <w:rPr>
                <w:spacing w:val="-15"/>
                <w:sz w:val="24"/>
              </w:rPr>
              <w:t> </w:t>
            </w:r>
            <w:r>
              <w:rPr>
                <w:sz w:val="24"/>
              </w:rPr>
              <w:t>с </w:t>
            </w:r>
            <w:r>
              <w:rPr>
                <w:spacing w:val="-2"/>
                <w:sz w:val="24"/>
              </w:rPr>
              <w:t>родителями</w:t>
            </w:r>
          </w:p>
        </w:tc>
        <w:tc>
          <w:tcPr>
            <w:tcW w:w="1500" w:type="dxa"/>
          </w:tcPr>
          <w:p>
            <w:pPr>
              <w:pStyle w:val="TableParagraph"/>
              <w:spacing w:before="56"/>
              <w:rPr>
                <w:b/>
                <w:sz w:val="24"/>
              </w:rPr>
            </w:pPr>
          </w:p>
          <w:p>
            <w:pPr>
              <w:pStyle w:val="TableParagraph"/>
              <w:ind w:left="1" w:right="112"/>
              <w:jc w:val="center"/>
              <w:rPr>
                <w:sz w:val="24"/>
              </w:rPr>
            </w:pPr>
            <w:r>
              <w:rPr>
                <w:spacing w:val="-10"/>
                <w:sz w:val="24"/>
              </w:rPr>
              <w:t>1</w:t>
            </w:r>
          </w:p>
        </w:tc>
        <w:tc>
          <w:tcPr>
            <w:tcW w:w="1354" w:type="dxa"/>
          </w:tcPr>
          <w:p>
            <w:pPr>
              <w:pStyle w:val="TableParagraph"/>
              <w:spacing w:before="56"/>
              <w:rPr>
                <w:b/>
                <w:sz w:val="24"/>
              </w:rPr>
            </w:pPr>
          </w:p>
          <w:p>
            <w:pPr>
              <w:pStyle w:val="TableParagraph"/>
              <w:ind w:left="2" w:right="115"/>
              <w:jc w:val="center"/>
              <w:rPr>
                <w:sz w:val="24"/>
              </w:rPr>
            </w:pPr>
            <w:r>
              <w:rPr>
                <w:spacing w:val="-10"/>
                <w:sz w:val="24"/>
              </w:rPr>
              <w:t>2</w:t>
            </w:r>
          </w:p>
        </w:tc>
        <w:tc>
          <w:tcPr>
            <w:tcW w:w="1234" w:type="dxa"/>
          </w:tcPr>
          <w:p>
            <w:pPr>
              <w:pStyle w:val="TableParagraph"/>
              <w:spacing w:before="56"/>
              <w:rPr>
                <w:b/>
                <w:sz w:val="24"/>
              </w:rPr>
            </w:pPr>
          </w:p>
          <w:p>
            <w:pPr>
              <w:pStyle w:val="TableParagraph"/>
              <w:ind w:right="114"/>
              <w:jc w:val="center"/>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right="113"/>
              <w:jc w:val="center"/>
              <w:rPr>
                <w:sz w:val="24"/>
              </w:rPr>
            </w:pPr>
            <w:r>
              <w:rPr>
                <w:spacing w:val="-10"/>
                <w:sz w:val="24"/>
              </w:rPr>
              <w:t>5</w:t>
            </w:r>
          </w:p>
        </w:tc>
      </w:tr>
      <w:tr>
        <w:trPr>
          <w:trHeight w:val="1269" w:hRule="atLeast"/>
        </w:trPr>
        <w:tc>
          <w:tcPr>
            <w:tcW w:w="2725" w:type="dxa"/>
          </w:tcPr>
          <w:p>
            <w:pPr>
              <w:pStyle w:val="TableParagraph"/>
              <w:spacing w:before="56"/>
              <w:rPr>
                <w:b/>
                <w:sz w:val="24"/>
              </w:rPr>
            </w:pPr>
          </w:p>
          <w:p>
            <w:pPr>
              <w:pStyle w:val="TableParagraph"/>
              <w:ind w:left="220" w:right="267"/>
              <w:rPr>
                <w:sz w:val="24"/>
              </w:rPr>
            </w:pPr>
            <w:r>
              <w:rPr>
                <w:sz w:val="24"/>
              </w:rPr>
              <w:t>6. Мои родители занимаются со мной интересными</w:t>
            </w:r>
            <w:r>
              <w:rPr>
                <w:spacing w:val="-15"/>
                <w:sz w:val="24"/>
              </w:rPr>
              <w:t> </w:t>
            </w:r>
            <w:r>
              <w:rPr>
                <w:sz w:val="24"/>
              </w:rPr>
              <w:t>вещами</w:t>
            </w:r>
          </w:p>
        </w:tc>
        <w:tc>
          <w:tcPr>
            <w:tcW w:w="1500" w:type="dxa"/>
          </w:tcPr>
          <w:p>
            <w:pPr>
              <w:pStyle w:val="TableParagraph"/>
              <w:spacing w:before="56"/>
              <w:rPr>
                <w:b/>
                <w:sz w:val="24"/>
              </w:rPr>
            </w:pPr>
          </w:p>
          <w:p>
            <w:pPr>
              <w:pStyle w:val="TableParagraph"/>
              <w:ind w:left="1" w:right="112"/>
              <w:jc w:val="center"/>
              <w:rPr>
                <w:sz w:val="24"/>
              </w:rPr>
            </w:pPr>
            <w:r>
              <w:rPr>
                <w:spacing w:val="-10"/>
                <w:sz w:val="24"/>
              </w:rPr>
              <w:t>1</w:t>
            </w:r>
          </w:p>
        </w:tc>
        <w:tc>
          <w:tcPr>
            <w:tcW w:w="1354" w:type="dxa"/>
          </w:tcPr>
          <w:p>
            <w:pPr>
              <w:pStyle w:val="TableParagraph"/>
              <w:spacing w:before="56"/>
              <w:rPr>
                <w:b/>
                <w:sz w:val="24"/>
              </w:rPr>
            </w:pPr>
          </w:p>
          <w:p>
            <w:pPr>
              <w:pStyle w:val="TableParagraph"/>
              <w:ind w:left="2" w:right="115"/>
              <w:jc w:val="center"/>
              <w:rPr>
                <w:sz w:val="24"/>
              </w:rPr>
            </w:pPr>
            <w:r>
              <w:rPr>
                <w:spacing w:val="-10"/>
                <w:sz w:val="24"/>
              </w:rPr>
              <w:t>2</w:t>
            </w:r>
          </w:p>
        </w:tc>
        <w:tc>
          <w:tcPr>
            <w:tcW w:w="1234" w:type="dxa"/>
          </w:tcPr>
          <w:p>
            <w:pPr>
              <w:pStyle w:val="TableParagraph"/>
              <w:spacing w:before="56"/>
              <w:rPr>
                <w:b/>
                <w:sz w:val="24"/>
              </w:rPr>
            </w:pPr>
          </w:p>
          <w:p>
            <w:pPr>
              <w:pStyle w:val="TableParagraph"/>
              <w:ind w:right="114"/>
              <w:jc w:val="center"/>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right="113"/>
              <w:jc w:val="center"/>
              <w:rPr>
                <w:sz w:val="24"/>
              </w:rPr>
            </w:pPr>
            <w:r>
              <w:rPr>
                <w:spacing w:val="-10"/>
                <w:sz w:val="24"/>
              </w:rPr>
              <w:t>5</w:t>
            </w:r>
          </w:p>
        </w:tc>
      </w:tr>
      <w:tr>
        <w:trPr>
          <w:trHeight w:val="990" w:hRule="atLeast"/>
        </w:trPr>
        <w:tc>
          <w:tcPr>
            <w:tcW w:w="2725" w:type="dxa"/>
          </w:tcPr>
          <w:p>
            <w:pPr>
              <w:pStyle w:val="TableParagraph"/>
              <w:spacing w:before="56"/>
              <w:rPr>
                <w:b/>
                <w:sz w:val="24"/>
              </w:rPr>
            </w:pPr>
          </w:p>
          <w:p>
            <w:pPr>
              <w:pStyle w:val="TableParagraph"/>
              <w:ind w:left="220"/>
              <w:rPr>
                <w:sz w:val="24"/>
              </w:rPr>
            </w:pPr>
            <w:r>
              <w:rPr>
                <w:sz w:val="24"/>
              </w:rPr>
              <w:t>11.</w:t>
            </w:r>
            <w:r>
              <w:rPr>
                <w:spacing w:val="-14"/>
                <w:sz w:val="24"/>
              </w:rPr>
              <w:t> </w:t>
            </w:r>
            <w:r>
              <w:rPr>
                <w:sz w:val="24"/>
              </w:rPr>
              <w:t>Моя</w:t>
            </w:r>
            <w:r>
              <w:rPr>
                <w:spacing w:val="-14"/>
                <w:sz w:val="24"/>
              </w:rPr>
              <w:t> </w:t>
            </w:r>
            <w:r>
              <w:rPr>
                <w:sz w:val="24"/>
              </w:rPr>
              <w:t>семья</w:t>
            </w:r>
            <w:r>
              <w:rPr>
                <w:spacing w:val="-14"/>
                <w:sz w:val="24"/>
              </w:rPr>
              <w:t> </w:t>
            </w:r>
            <w:r>
              <w:rPr>
                <w:sz w:val="24"/>
              </w:rPr>
              <w:t>лучше большинства</w:t>
            </w:r>
            <w:r>
              <w:rPr>
                <w:spacing w:val="-7"/>
                <w:sz w:val="24"/>
              </w:rPr>
              <w:t> </w:t>
            </w:r>
            <w:r>
              <w:rPr>
                <w:spacing w:val="-2"/>
                <w:sz w:val="24"/>
              </w:rPr>
              <w:t>других</w:t>
            </w:r>
          </w:p>
        </w:tc>
        <w:tc>
          <w:tcPr>
            <w:tcW w:w="1500" w:type="dxa"/>
          </w:tcPr>
          <w:p>
            <w:pPr>
              <w:pStyle w:val="TableParagraph"/>
              <w:spacing w:before="56"/>
              <w:rPr>
                <w:b/>
                <w:sz w:val="24"/>
              </w:rPr>
            </w:pPr>
          </w:p>
          <w:p>
            <w:pPr>
              <w:pStyle w:val="TableParagraph"/>
              <w:ind w:left="1" w:right="112"/>
              <w:jc w:val="center"/>
              <w:rPr>
                <w:sz w:val="24"/>
              </w:rPr>
            </w:pPr>
            <w:r>
              <w:rPr>
                <w:spacing w:val="-10"/>
                <w:sz w:val="24"/>
              </w:rPr>
              <w:t>1</w:t>
            </w:r>
          </w:p>
        </w:tc>
        <w:tc>
          <w:tcPr>
            <w:tcW w:w="1354" w:type="dxa"/>
          </w:tcPr>
          <w:p>
            <w:pPr>
              <w:pStyle w:val="TableParagraph"/>
              <w:spacing w:before="56"/>
              <w:rPr>
                <w:b/>
                <w:sz w:val="24"/>
              </w:rPr>
            </w:pPr>
          </w:p>
          <w:p>
            <w:pPr>
              <w:pStyle w:val="TableParagraph"/>
              <w:ind w:left="2" w:right="115"/>
              <w:jc w:val="center"/>
              <w:rPr>
                <w:sz w:val="24"/>
              </w:rPr>
            </w:pPr>
            <w:r>
              <w:rPr>
                <w:spacing w:val="-10"/>
                <w:sz w:val="24"/>
              </w:rPr>
              <w:t>2</w:t>
            </w:r>
          </w:p>
        </w:tc>
        <w:tc>
          <w:tcPr>
            <w:tcW w:w="1234" w:type="dxa"/>
          </w:tcPr>
          <w:p>
            <w:pPr>
              <w:pStyle w:val="TableParagraph"/>
              <w:spacing w:before="56"/>
              <w:rPr>
                <w:b/>
                <w:sz w:val="24"/>
              </w:rPr>
            </w:pPr>
          </w:p>
          <w:p>
            <w:pPr>
              <w:pStyle w:val="TableParagraph"/>
              <w:ind w:right="114"/>
              <w:jc w:val="center"/>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right="113"/>
              <w:jc w:val="center"/>
              <w:rPr>
                <w:sz w:val="24"/>
              </w:rPr>
            </w:pPr>
            <w:r>
              <w:rPr>
                <w:spacing w:val="-10"/>
                <w:sz w:val="24"/>
              </w:rPr>
              <w:t>5</w:t>
            </w:r>
          </w:p>
        </w:tc>
      </w:tr>
      <w:tr>
        <w:trPr>
          <w:trHeight w:val="1269" w:hRule="atLeast"/>
        </w:trPr>
        <w:tc>
          <w:tcPr>
            <w:tcW w:w="2725" w:type="dxa"/>
          </w:tcPr>
          <w:p>
            <w:pPr>
              <w:pStyle w:val="TableParagraph"/>
              <w:spacing w:before="56"/>
              <w:rPr>
                <w:b/>
                <w:sz w:val="24"/>
              </w:rPr>
            </w:pPr>
          </w:p>
          <w:p>
            <w:pPr>
              <w:pStyle w:val="TableParagraph"/>
              <w:spacing w:before="1"/>
              <w:ind w:left="220"/>
              <w:rPr>
                <w:sz w:val="24"/>
              </w:rPr>
            </w:pPr>
            <w:r>
              <w:rPr>
                <w:sz w:val="24"/>
              </w:rPr>
              <w:t>16.</w:t>
            </w:r>
            <w:r>
              <w:rPr>
                <w:spacing w:val="-14"/>
                <w:sz w:val="24"/>
              </w:rPr>
              <w:t> </w:t>
            </w:r>
            <w:r>
              <w:rPr>
                <w:sz w:val="24"/>
              </w:rPr>
              <w:t>Члены</w:t>
            </w:r>
            <w:r>
              <w:rPr>
                <w:spacing w:val="-14"/>
                <w:sz w:val="24"/>
              </w:rPr>
              <w:t> </w:t>
            </w:r>
            <w:r>
              <w:rPr>
                <w:sz w:val="24"/>
              </w:rPr>
              <w:t>моей</w:t>
            </w:r>
            <w:r>
              <w:rPr>
                <w:spacing w:val="-14"/>
                <w:sz w:val="24"/>
              </w:rPr>
              <w:t> </w:t>
            </w:r>
            <w:r>
              <w:rPr>
                <w:sz w:val="24"/>
              </w:rPr>
              <w:t>семьи хорошо обращаются друг с другом</w:t>
            </w:r>
          </w:p>
        </w:tc>
        <w:tc>
          <w:tcPr>
            <w:tcW w:w="1500" w:type="dxa"/>
          </w:tcPr>
          <w:p>
            <w:pPr>
              <w:pStyle w:val="TableParagraph"/>
              <w:spacing w:before="56"/>
              <w:rPr>
                <w:b/>
                <w:sz w:val="24"/>
              </w:rPr>
            </w:pPr>
          </w:p>
          <w:p>
            <w:pPr>
              <w:pStyle w:val="TableParagraph"/>
              <w:spacing w:before="1"/>
              <w:ind w:left="1" w:right="112"/>
              <w:jc w:val="center"/>
              <w:rPr>
                <w:sz w:val="24"/>
              </w:rPr>
            </w:pPr>
            <w:r>
              <w:rPr>
                <w:spacing w:val="-10"/>
                <w:sz w:val="24"/>
              </w:rPr>
              <w:t>1</w:t>
            </w:r>
          </w:p>
        </w:tc>
        <w:tc>
          <w:tcPr>
            <w:tcW w:w="1354" w:type="dxa"/>
          </w:tcPr>
          <w:p>
            <w:pPr>
              <w:pStyle w:val="TableParagraph"/>
              <w:spacing w:before="56"/>
              <w:rPr>
                <w:b/>
                <w:sz w:val="24"/>
              </w:rPr>
            </w:pPr>
          </w:p>
          <w:p>
            <w:pPr>
              <w:pStyle w:val="TableParagraph"/>
              <w:spacing w:before="1"/>
              <w:ind w:left="2" w:right="115"/>
              <w:jc w:val="center"/>
              <w:rPr>
                <w:sz w:val="24"/>
              </w:rPr>
            </w:pPr>
            <w:r>
              <w:rPr>
                <w:spacing w:val="-10"/>
                <w:sz w:val="24"/>
              </w:rPr>
              <w:t>2</w:t>
            </w:r>
          </w:p>
        </w:tc>
        <w:tc>
          <w:tcPr>
            <w:tcW w:w="1234" w:type="dxa"/>
          </w:tcPr>
          <w:p>
            <w:pPr>
              <w:pStyle w:val="TableParagraph"/>
              <w:spacing w:before="56"/>
              <w:rPr>
                <w:b/>
                <w:sz w:val="24"/>
              </w:rPr>
            </w:pPr>
          </w:p>
          <w:p>
            <w:pPr>
              <w:pStyle w:val="TableParagraph"/>
              <w:spacing w:before="1"/>
              <w:ind w:right="114"/>
              <w:jc w:val="center"/>
              <w:rPr>
                <w:sz w:val="24"/>
              </w:rPr>
            </w:pPr>
            <w:r>
              <w:rPr>
                <w:spacing w:val="-10"/>
                <w:sz w:val="24"/>
              </w:rPr>
              <w:t>3</w:t>
            </w:r>
          </w:p>
        </w:tc>
        <w:tc>
          <w:tcPr>
            <w:tcW w:w="1280" w:type="dxa"/>
          </w:tcPr>
          <w:p>
            <w:pPr>
              <w:pStyle w:val="TableParagraph"/>
              <w:spacing w:before="56"/>
              <w:rPr>
                <w:b/>
                <w:sz w:val="24"/>
              </w:rPr>
            </w:pPr>
          </w:p>
          <w:p>
            <w:pPr>
              <w:pStyle w:val="TableParagraph"/>
              <w:spacing w:before="1"/>
              <w:ind w:right="107"/>
              <w:jc w:val="center"/>
              <w:rPr>
                <w:sz w:val="24"/>
              </w:rPr>
            </w:pPr>
            <w:r>
              <w:rPr>
                <w:spacing w:val="-10"/>
                <w:sz w:val="24"/>
              </w:rPr>
              <w:t>4</w:t>
            </w:r>
          </w:p>
        </w:tc>
        <w:tc>
          <w:tcPr>
            <w:tcW w:w="1265" w:type="dxa"/>
          </w:tcPr>
          <w:p>
            <w:pPr>
              <w:pStyle w:val="TableParagraph"/>
              <w:spacing w:before="56"/>
              <w:rPr>
                <w:b/>
                <w:sz w:val="24"/>
              </w:rPr>
            </w:pPr>
          </w:p>
          <w:p>
            <w:pPr>
              <w:pStyle w:val="TableParagraph"/>
              <w:spacing w:before="1"/>
              <w:ind w:right="113"/>
              <w:jc w:val="center"/>
              <w:rPr>
                <w:sz w:val="24"/>
              </w:rPr>
            </w:pPr>
            <w:r>
              <w:rPr>
                <w:spacing w:val="-10"/>
                <w:sz w:val="24"/>
              </w:rPr>
              <w:t>5</w:t>
            </w:r>
          </w:p>
        </w:tc>
      </w:tr>
      <w:tr>
        <w:trPr>
          <w:trHeight w:val="1266" w:hRule="atLeast"/>
        </w:trPr>
        <w:tc>
          <w:tcPr>
            <w:tcW w:w="2725" w:type="dxa"/>
          </w:tcPr>
          <w:p>
            <w:pPr>
              <w:pStyle w:val="TableParagraph"/>
              <w:spacing w:before="56"/>
              <w:rPr>
                <w:b/>
                <w:sz w:val="24"/>
              </w:rPr>
            </w:pPr>
          </w:p>
          <w:p>
            <w:pPr>
              <w:pStyle w:val="TableParagraph"/>
              <w:ind w:left="220" w:right="133"/>
              <w:rPr>
                <w:sz w:val="24"/>
              </w:rPr>
            </w:pPr>
            <w:r>
              <w:rPr>
                <w:sz w:val="24"/>
              </w:rPr>
              <w:t>21. Родители справедливо</w:t>
            </w:r>
            <w:r>
              <w:rPr>
                <w:spacing w:val="-15"/>
                <w:sz w:val="24"/>
              </w:rPr>
              <w:t> </w:t>
            </w:r>
            <w:r>
              <w:rPr>
                <w:sz w:val="24"/>
              </w:rPr>
              <w:t>относятся ко мне</w:t>
            </w:r>
          </w:p>
        </w:tc>
        <w:tc>
          <w:tcPr>
            <w:tcW w:w="1500" w:type="dxa"/>
          </w:tcPr>
          <w:p>
            <w:pPr>
              <w:pStyle w:val="TableParagraph"/>
              <w:spacing w:before="56"/>
              <w:rPr>
                <w:b/>
                <w:sz w:val="24"/>
              </w:rPr>
            </w:pPr>
          </w:p>
          <w:p>
            <w:pPr>
              <w:pStyle w:val="TableParagraph"/>
              <w:ind w:left="1" w:right="112"/>
              <w:jc w:val="center"/>
              <w:rPr>
                <w:sz w:val="24"/>
              </w:rPr>
            </w:pPr>
            <w:r>
              <w:rPr>
                <w:spacing w:val="-10"/>
                <w:sz w:val="24"/>
              </w:rPr>
              <w:t>1</w:t>
            </w:r>
          </w:p>
        </w:tc>
        <w:tc>
          <w:tcPr>
            <w:tcW w:w="1354" w:type="dxa"/>
          </w:tcPr>
          <w:p>
            <w:pPr>
              <w:pStyle w:val="TableParagraph"/>
              <w:spacing w:before="56"/>
              <w:rPr>
                <w:b/>
                <w:sz w:val="24"/>
              </w:rPr>
            </w:pPr>
          </w:p>
          <w:p>
            <w:pPr>
              <w:pStyle w:val="TableParagraph"/>
              <w:ind w:left="2" w:right="115"/>
              <w:jc w:val="center"/>
              <w:rPr>
                <w:sz w:val="24"/>
              </w:rPr>
            </w:pPr>
            <w:r>
              <w:rPr>
                <w:spacing w:val="-10"/>
                <w:sz w:val="24"/>
              </w:rPr>
              <w:t>2</w:t>
            </w:r>
          </w:p>
        </w:tc>
        <w:tc>
          <w:tcPr>
            <w:tcW w:w="1234" w:type="dxa"/>
          </w:tcPr>
          <w:p>
            <w:pPr>
              <w:pStyle w:val="TableParagraph"/>
              <w:spacing w:before="56"/>
              <w:rPr>
                <w:b/>
                <w:sz w:val="24"/>
              </w:rPr>
            </w:pPr>
          </w:p>
          <w:p>
            <w:pPr>
              <w:pStyle w:val="TableParagraph"/>
              <w:ind w:right="114"/>
              <w:jc w:val="center"/>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right="113"/>
              <w:jc w:val="center"/>
              <w:rPr>
                <w:sz w:val="24"/>
              </w:rPr>
            </w:pPr>
            <w:r>
              <w:rPr>
                <w:spacing w:val="-10"/>
                <w:sz w:val="24"/>
              </w:rPr>
              <w:t>5</w:t>
            </w:r>
          </w:p>
        </w:tc>
      </w:tr>
      <w:tr>
        <w:trPr>
          <w:trHeight w:val="1269" w:hRule="atLeast"/>
        </w:trPr>
        <w:tc>
          <w:tcPr>
            <w:tcW w:w="2725" w:type="dxa"/>
          </w:tcPr>
          <w:p>
            <w:pPr>
              <w:pStyle w:val="TableParagraph"/>
              <w:spacing w:before="56"/>
              <w:rPr>
                <w:b/>
                <w:sz w:val="24"/>
              </w:rPr>
            </w:pPr>
          </w:p>
          <w:p>
            <w:pPr>
              <w:pStyle w:val="TableParagraph"/>
              <w:ind w:left="220" w:right="289"/>
              <w:rPr>
                <w:sz w:val="24"/>
              </w:rPr>
            </w:pPr>
            <w:r>
              <w:rPr>
                <w:sz w:val="24"/>
              </w:rPr>
              <w:t>26. Дома я могу заняться</w:t>
            </w:r>
            <w:r>
              <w:rPr>
                <w:spacing w:val="-15"/>
                <w:sz w:val="24"/>
              </w:rPr>
              <w:t> </w:t>
            </w:r>
            <w:r>
              <w:rPr>
                <w:sz w:val="24"/>
              </w:rPr>
              <w:t>множеством интересных вещей</w:t>
            </w:r>
          </w:p>
        </w:tc>
        <w:tc>
          <w:tcPr>
            <w:tcW w:w="1500" w:type="dxa"/>
          </w:tcPr>
          <w:p>
            <w:pPr>
              <w:pStyle w:val="TableParagraph"/>
              <w:spacing w:before="56"/>
              <w:rPr>
                <w:b/>
                <w:sz w:val="24"/>
              </w:rPr>
            </w:pPr>
          </w:p>
          <w:p>
            <w:pPr>
              <w:pStyle w:val="TableParagraph"/>
              <w:ind w:left="1" w:right="112"/>
              <w:jc w:val="center"/>
              <w:rPr>
                <w:sz w:val="24"/>
              </w:rPr>
            </w:pPr>
            <w:r>
              <w:rPr>
                <w:spacing w:val="-10"/>
                <w:sz w:val="24"/>
              </w:rPr>
              <w:t>1</w:t>
            </w:r>
          </w:p>
        </w:tc>
        <w:tc>
          <w:tcPr>
            <w:tcW w:w="1354" w:type="dxa"/>
          </w:tcPr>
          <w:p>
            <w:pPr>
              <w:pStyle w:val="TableParagraph"/>
              <w:spacing w:before="56"/>
              <w:rPr>
                <w:b/>
                <w:sz w:val="24"/>
              </w:rPr>
            </w:pPr>
          </w:p>
          <w:p>
            <w:pPr>
              <w:pStyle w:val="TableParagraph"/>
              <w:ind w:left="2" w:right="115"/>
              <w:jc w:val="center"/>
              <w:rPr>
                <w:sz w:val="24"/>
              </w:rPr>
            </w:pPr>
            <w:r>
              <w:rPr>
                <w:spacing w:val="-10"/>
                <w:sz w:val="24"/>
              </w:rPr>
              <w:t>2</w:t>
            </w:r>
          </w:p>
        </w:tc>
        <w:tc>
          <w:tcPr>
            <w:tcW w:w="1234" w:type="dxa"/>
          </w:tcPr>
          <w:p>
            <w:pPr>
              <w:pStyle w:val="TableParagraph"/>
              <w:spacing w:before="56"/>
              <w:rPr>
                <w:b/>
                <w:sz w:val="24"/>
              </w:rPr>
            </w:pPr>
          </w:p>
          <w:p>
            <w:pPr>
              <w:pStyle w:val="TableParagraph"/>
              <w:ind w:right="114"/>
              <w:jc w:val="center"/>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right="113"/>
              <w:jc w:val="center"/>
              <w:rPr>
                <w:sz w:val="24"/>
              </w:rPr>
            </w:pPr>
            <w:r>
              <w:rPr>
                <w:spacing w:val="-10"/>
                <w:sz w:val="24"/>
              </w:rPr>
              <w:t>5</w:t>
            </w:r>
          </w:p>
        </w:tc>
      </w:tr>
      <w:tr>
        <w:trPr>
          <w:trHeight w:val="1230" w:hRule="atLeast"/>
        </w:trPr>
        <w:tc>
          <w:tcPr>
            <w:tcW w:w="9358" w:type="dxa"/>
            <w:gridSpan w:val="6"/>
          </w:tcPr>
          <w:p>
            <w:pPr>
              <w:pStyle w:val="TableParagraph"/>
              <w:spacing w:before="61"/>
              <w:rPr>
                <w:b/>
                <w:sz w:val="24"/>
              </w:rPr>
            </w:pPr>
          </w:p>
          <w:p>
            <w:pPr>
              <w:pStyle w:val="TableParagraph"/>
              <w:ind w:left="124" w:right="237"/>
              <w:jc w:val="center"/>
              <w:rPr>
                <w:b/>
                <w:i/>
                <w:sz w:val="24"/>
              </w:rPr>
            </w:pPr>
            <w:r>
              <w:rPr>
                <w:b/>
                <w:i/>
                <w:spacing w:val="-2"/>
                <w:sz w:val="24"/>
              </w:rPr>
              <w:t>Школа</w:t>
            </w:r>
          </w:p>
        </w:tc>
      </w:tr>
      <w:tr>
        <w:trPr>
          <w:trHeight w:val="993" w:hRule="atLeast"/>
        </w:trPr>
        <w:tc>
          <w:tcPr>
            <w:tcW w:w="2725" w:type="dxa"/>
          </w:tcPr>
          <w:p>
            <w:pPr>
              <w:pStyle w:val="TableParagraph"/>
              <w:spacing w:before="56"/>
              <w:rPr>
                <w:b/>
                <w:sz w:val="24"/>
              </w:rPr>
            </w:pPr>
          </w:p>
          <w:p>
            <w:pPr>
              <w:pStyle w:val="TableParagraph"/>
              <w:ind w:left="220"/>
              <w:rPr>
                <w:sz w:val="24"/>
              </w:rPr>
            </w:pPr>
            <w:r>
              <w:rPr>
                <w:sz w:val="24"/>
              </w:rPr>
              <w:t>2.</w:t>
            </w:r>
            <w:r>
              <w:rPr>
                <w:spacing w:val="-12"/>
                <w:sz w:val="24"/>
              </w:rPr>
              <w:t> </w:t>
            </w:r>
            <w:r>
              <w:rPr>
                <w:sz w:val="24"/>
              </w:rPr>
              <w:t>Утром</w:t>
            </w:r>
            <w:r>
              <w:rPr>
                <w:spacing w:val="-13"/>
                <w:sz w:val="24"/>
              </w:rPr>
              <w:t> </w:t>
            </w:r>
            <w:r>
              <w:rPr>
                <w:sz w:val="24"/>
              </w:rPr>
              <w:t>мне</w:t>
            </w:r>
            <w:r>
              <w:rPr>
                <w:spacing w:val="-13"/>
                <w:sz w:val="24"/>
              </w:rPr>
              <w:t> </w:t>
            </w:r>
            <w:r>
              <w:rPr>
                <w:sz w:val="24"/>
              </w:rPr>
              <w:t>хочется пойти в школу</w:t>
            </w:r>
          </w:p>
        </w:tc>
        <w:tc>
          <w:tcPr>
            <w:tcW w:w="1500" w:type="dxa"/>
          </w:tcPr>
          <w:p>
            <w:pPr>
              <w:pStyle w:val="TableParagraph"/>
              <w:spacing w:before="56"/>
              <w:rPr>
                <w:b/>
                <w:sz w:val="24"/>
              </w:rPr>
            </w:pPr>
          </w:p>
          <w:p>
            <w:pPr>
              <w:pStyle w:val="TableParagraph"/>
              <w:ind w:left="1" w:right="112"/>
              <w:jc w:val="center"/>
              <w:rPr>
                <w:sz w:val="24"/>
              </w:rPr>
            </w:pPr>
            <w:r>
              <w:rPr>
                <w:spacing w:val="-10"/>
                <w:sz w:val="24"/>
              </w:rPr>
              <w:t>1</w:t>
            </w:r>
          </w:p>
        </w:tc>
        <w:tc>
          <w:tcPr>
            <w:tcW w:w="1354" w:type="dxa"/>
          </w:tcPr>
          <w:p>
            <w:pPr>
              <w:pStyle w:val="TableParagraph"/>
              <w:spacing w:before="56"/>
              <w:rPr>
                <w:b/>
                <w:sz w:val="24"/>
              </w:rPr>
            </w:pPr>
          </w:p>
          <w:p>
            <w:pPr>
              <w:pStyle w:val="TableParagraph"/>
              <w:ind w:left="2" w:right="115"/>
              <w:jc w:val="center"/>
              <w:rPr>
                <w:sz w:val="24"/>
              </w:rPr>
            </w:pPr>
            <w:r>
              <w:rPr>
                <w:spacing w:val="-10"/>
                <w:sz w:val="24"/>
              </w:rPr>
              <w:t>2</w:t>
            </w:r>
          </w:p>
        </w:tc>
        <w:tc>
          <w:tcPr>
            <w:tcW w:w="1234" w:type="dxa"/>
          </w:tcPr>
          <w:p>
            <w:pPr>
              <w:pStyle w:val="TableParagraph"/>
              <w:spacing w:before="56"/>
              <w:rPr>
                <w:b/>
                <w:sz w:val="24"/>
              </w:rPr>
            </w:pPr>
          </w:p>
          <w:p>
            <w:pPr>
              <w:pStyle w:val="TableParagraph"/>
              <w:ind w:right="114"/>
              <w:jc w:val="center"/>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right="113"/>
              <w:jc w:val="center"/>
              <w:rPr>
                <w:sz w:val="24"/>
              </w:rPr>
            </w:pPr>
            <w:r>
              <w:rPr>
                <w:spacing w:val="-10"/>
                <w:sz w:val="24"/>
              </w:rPr>
              <w:t>5</w:t>
            </w:r>
          </w:p>
        </w:tc>
      </w:tr>
      <w:tr>
        <w:trPr>
          <w:trHeight w:val="991" w:hRule="atLeast"/>
        </w:trPr>
        <w:tc>
          <w:tcPr>
            <w:tcW w:w="2725" w:type="dxa"/>
          </w:tcPr>
          <w:p>
            <w:pPr>
              <w:pStyle w:val="TableParagraph"/>
              <w:spacing w:before="56"/>
              <w:rPr>
                <w:b/>
                <w:sz w:val="24"/>
              </w:rPr>
            </w:pPr>
          </w:p>
          <w:p>
            <w:pPr>
              <w:pStyle w:val="TableParagraph"/>
              <w:ind w:left="220" w:right="267"/>
              <w:rPr>
                <w:sz w:val="24"/>
              </w:rPr>
            </w:pPr>
            <w:r>
              <w:rPr>
                <w:sz w:val="24"/>
              </w:rPr>
              <w:t>7.</w:t>
            </w:r>
            <w:r>
              <w:rPr>
                <w:spacing w:val="-12"/>
                <w:sz w:val="24"/>
              </w:rPr>
              <w:t> </w:t>
            </w:r>
            <w:r>
              <w:rPr>
                <w:sz w:val="24"/>
              </w:rPr>
              <w:t>Мне</w:t>
            </w:r>
            <w:r>
              <w:rPr>
                <w:spacing w:val="-13"/>
                <w:sz w:val="24"/>
              </w:rPr>
              <w:t> </w:t>
            </w:r>
            <w:r>
              <w:rPr>
                <w:sz w:val="24"/>
              </w:rPr>
              <w:t>нравится</w:t>
            </w:r>
            <w:r>
              <w:rPr>
                <w:spacing w:val="-12"/>
                <w:sz w:val="24"/>
              </w:rPr>
              <w:t> </w:t>
            </w:r>
            <w:r>
              <w:rPr>
                <w:sz w:val="24"/>
              </w:rPr>
              <w:t>в </w:t>
            </w:r>
            <w:r>
              <w:rPr>
                <w:spacing w:val="-2"/>
                <w:sz w:val="24"/>
              </w:rPr>
              <w:t>школе</w:t>
            </w:r>
          </w:p>
        </w:tc>
        <w:tc>
          <w:tcPr>
            <w:tcW w:w="1500" w:type="dxa"/>
          </w:tcPr>
          <w:p>
            <w:pPr>
              <w:pStyle w:val="TableParagraph"/>
              <w:spacing w:before="56"/>
              <w:rPr>
                <w:b/>
                <w:sz w:val="24"/>
              </w:rPr>
            </w:pPr>
          </w:p>
          <w:p>
            <w:pPr>
              <w:pStyle w:val="TableParagraph"/>
              <w:ind w:left="1" w:right="112"/>
              <w:jc w:val="center"/>
              <w:rPr>
                <w:sz w:val="24"/>
              </w:rPr>
            </w:pPr>
            <w:r>
              <w:rPr>
                <w:spacing w:val="-10"/>
                <w:sz w:val="24"/>
              </w:rPr>
              <w:t>1</w:t>
            </w:r>
          </w:p>
        </w:tc>
        <w:tc>
          <w:tcPr>
            <w:tcW w:w="1354" w:type="dxa"/>
          </w:tcPr>
          <w:p>
            <w:pPr>
              <w:pStyle w:val="TableParagraph"/>
              <w:spacing w:before="56"/>
              <w:rPr>
                <w:b/>
                <w:sz w:val="24"/>
              </w:rPr>
            </w:pPr>
          </w:p>
          <w:p>
            <w:pPr>
              <w:pStyle w:val="TableParagraph"/>
              <w:ind w:left="2" w:right="115"/>
              <w:jc w:val="center"/>
              <w:rPr>
                <w:sz w:val="24"/>
              </w:rPr>
            </w:pPr>
            <w:r>
              <w:rPr>
                <w:spacing w:val="-10"/>
                <w:sz w:val="24"/>
              </w:rPr>
              <w:t>2</w:t>
            </w:r>
          </w:p>
        </w:tc>
        <w:tc>
          <w:tcPr>
            <w:tcW w:w="1234" w:type="dxa"/>
          </w:tcPr>
          <w:p>
            <w:pPr>
              <w:pStyle w:val="TableParagraph"/>
              <w:spacing w:before="56"/>
              <w:rPr>
                <w:b/>
                <w:sz w:val="24"/>
              </w:rPr>
            </w:pPr>
          </w:p>
          <w:p>
            <w:pPr>
              <w:pStyle w:val="TableParagraph"/>
              <w:ind w:right="114"/>
              <w:jc w:val="center"/>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right="113"/>
              <w:jc w:val="center"/>
              <w:rPr>
                <w:sz w:val="24"/>
              </w:rPr>
            </w:pPr>
            <w:r>
              <w:rPr>
                <w:spacing w:val="-10"/>
                <w:sz w:val="24"/>
              </w:rPr>
              <w:t>5</w:t>
            </w:r>
          </w:p>
        </w:tc>
      </w:tr>
      <w:tr>
        <w:trPr>
          <w:trHeight w:val="717" w:hRule="atLeast"/>
        </w:trPr>
        <w:tc>
          <w:tcPr>
            <w:tcW w:w="2725" w:type="dxa"/>
          </w:tcPr>
          <w:p>
            <w:pPr>
              <w:pStyle w:val="TableParagraph"/>
              <w:spacing w:before="56"/>
              <w:rPr>
                <w:b/>
                <w:sz w:val="24"/>
              </w:rPr>
            </w:pPr>
          </w:p>
          <w:p>
            <w:pPr>
              <w:pStyle w:val="TableParagraph"/>
              <w:ind w:left="220"/>
              <w:rPr>
                <w:sz w:val="24"/>
              </w:rPr>
            </w:pPr>
            <w:r>
              <w:rPr>
                <w:sz w:val="24"/>
              </w:rPr>
              <w:t>12. В</w:t>
            </w:r>
            <w:r>
              <w:rPr>
                <w:spacing w:val="-2"/>
                <w:sz w:val="24"/>
              </w:rPr>
              <w:t> </w:t>
            </w:r>
            <w:r>
              <w:rPr>
                <w:sz w:val="24"/>
              </w:rPr>
              <w:t>школе</w:t>
            </w:r>
            <w:r>
              <w:rPr>
                <w:spacing w:val="-1"/>
                <w:sz w:val="24"/>
              </w:rPr>
              <w:t> </w:t>
            </w:r>
            <w:r>
              <w:rPr>
                <w:spacing w:val="-2"/>
                <w:sz w:val="24"/>
              </w:rPr>
              <w:t>интересно</w:t>
            </w:r>
          </w:p>
        </w:tc>
        <w:tc>
          <w:tcPr>
            <w:tcW w:w="1500" w:type="dxa"/>
          </w:tcPr>
          <w:p>
            <w:pPr>
              <w:pStyle w:val="TableParagraph"/>
              <w:spacing w:before="56"/>
              <w:rPr>
                <w:b/>
                <w:sz w:val="24"/>
              </w:rPr>
            </w:pPr>
          </w:p>
          <w:p>
            <w:pPr>
              <w:pStyle w:val="TableParagraph"/>
              <w:ind w:left="1" w:right="112"/>
              <w:jc w:val="center"/>
              <w:rPr>
                <w:sz w:val="24"/>
              </w:rPr>
            </w:pPr>
            <w:r>
              <w:rPr>
                <w:spacing w:val="-10"/>
                <w:sz w:val="24"/>
              </w:rPr>
              <w:t>1</w:t>
            </w:r>
          </w:p>
        </w:tc>
        <w:tc>
          <w:tcPr>
            <w:tcW w:w="1354" w:type="dxa"/>
          </w:tcPr>
          <w:p>
            <w:pPr>
              <w:pStyle w:val="TableParagraph"/>
              <w:spacing w:before="56"/>
              <w:rPr>
                <w:b/>
                <w:sz w:val="24"/>
              </w:rPr>
            </w:pPr>
          </w:p>
          <w:p>
            <w:pPr>
              <w:pStyle w:val="TableParagraph"/>
              <w:ind w:left="2" w:right="115"/>
              <w:jc w:val="center"/>
              <w:rPr>
                <w:sz w:val="24"/>
              </w:rPr>
            </w:pPr>
            <w:r>
              <w:rPr>
                <w:spacing w:val="-10"/>
                <w:sz w:val="24"/>
              </w:rPr>
              <w:t>2</w:t>
            </w:r>
          </w:p>
        </w:tc>
        <w:tc>
          <w:tcPr>
            <w:tcW w:w="1234" w:type="dxa"/>
          </w:tcPr>
          <w:p>
            <w:pPr>
              <w:pStyle w:val="TableParagraph"/>
              <w:spacing w:before="56"/>
              <w:rPr>
                <w:b/>
                <w:sz w:val="24"/>
              </w:rPr>
            </w:pPr>
          </w:p>
          <w:p>
            <w:pPr>
              <w:pStyle w:val="TableParagraph"/>
              <w:ind w:right="114"/>
              <w:jc w:val="center"/>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right="113"/>
              <w:jc w:val="center"/>
              <w:rPr>
                <w:sz w:val="24"/>
              </w:rPr>
            </w:pPr>
            <w:r>
              <w:rPr>
                <w:spacing w:val="-10"/>
                <w:sz w:val="24"/>
              </w:rPr>
              <w:t>5</w:t>
            </w:r>
          </w:p>
        </w:tc>
      </w:tr>
    </w:tbl>
    <w:p>
      <w:pPr>
        <w:pStyle w:val="TableParagraph"/>
        <w:spacing w:after="0"/>
        <w:jc w:val="center"/>
        <w:rPr>
          <w:sz w:val="24"/>
        </w:rPr>
        <w:sectPr>
          <w:pgSz w:w="11910" w:h="16840"/>
          <w:pgMar w:header="0" w:footer="970" w:top="1040" w:bottom="1220" w:left="1417" w:right="283"/>
        </w:sect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5"/>
        <w:gridCol w:w="1500"/>
        <w:gridCol w:w="1354"/>
        <w:gridCol w:w="1234"/>
        <w:gridCol w:w="1280"/>
        <w:gridCol w:w="1265"/>
      </w:tblGrid>
      <w:tr>
        <w:trPr>
          <w:trHeight w:val="1269" w:hRule="atLeast"/>
        </w:trPr>
        <w:tc>
          <w:tcPr>
            <w:tcW w:w="2725" w:type="dxa"/>
          </w:tcPr>
          <w:p>
            <w:pPr>
              <w:pStyle w:val="TableParagraph"/>
              <w:spacing w:before="56"/>
              <w:rPr>
                <w:b/>
                <w:sz w:val="24"/>
              </w:rPr>
            </w:pPr>
          </w:p>
          <w:p>
            <w:pPr>
              <w:pStyle w:val="TableParagraph"/>
              <w:spacing w:before="1"/>
              <w:ind w:left="220" w:right="174"/>
              <w:rPr>
                <w:sz w:val="24"/>
              </w:rPr>
            </w:pPr>
            <w:r>
              <w:rPr>
                <w:sz w:val="24"/>
              </w:rPr>
              <w:t>17. Я бы хотел/а, чтобы</w:t>
            </w:r>
            <w:r>
              <w:rPr>
                <w:spacing w:val="-13"/>
                <w:sz w:val="24"/>
              </w:rPr>
              <w:t> </w:t>
            </w:r>
            <w:r>
              <w:rPr>
                <w:sz w:val="24"/>
              </w:rPr>
              <w:t>можно</w:t>
            </w:r>
            <w:r>
              <w:rPr>
                <w:spacing w:val="-13"/>
                <w:sz w:val="24"/>
              </w:rPr>
              <w:t> </w:t>
            </w:r>
            <w:r>
              <w:rPr>
                <w:sz w:val="24"/>
              </w:rPr>
              <w:t>было</w:t>
            </w:r>
            <w:r>
              <w:rPr>
                <w:spacing w:val="-13"/>
                <w:sz w:val="24"/>
              </w:rPr>
              <w:t> </w:t>
            </w:r>
            <w:r>
              <w:rPr>
                <w:sz w:val="24"/>
              </w:rPr>
              <w:t>не ходить в школу*</w:t>
            </w:r>
          </w:p>
        </w:tc>
        <w:tc>
          <w:tcPr>
            <w:tcW w:w="1500" w:type="dxa"/>
          </w:tcPr>
          <w:p>
            <w:pPr>
              <w:pStyle w:val="TableParagraph"/>
              <w:spacing w:before="56"/>
              <w:rPr>
                <w:b/>
                <w:sz w:val="24"/>
              </w:rPr>
            </w:pPr>
          </w:p>
          <w:p>
            <w:pPr>
              <w:pStyle w:val="TableParagraph"/>
              <w:spacing w:before="1"/>
              <w:ind w:left="628"/>
              <w:rPr>
                <w:sz w:val="24"/>
              </w:rPr>
            </w:pPr>
            <w:r>
              <w:rPr>
                <w:spacing w:val="-10"/>
                <w:sz w:val="24"/>
              </w:rPr>
              <w:t>5</w:t>
            </w:r>
          </w:p>
        </w:tc>
        <w:tc>
          <w:tcPr>
            <w:tcW w:w="1354" w:type="dxa"/>
          </w:tcPr>
          <w:p>
            <w:pPr>
              <w:pStyle w:val="TableParagraph"/>
              <w:spacing w:before="56"/>
              <w:rPr>
                <w:b/>
                <w:sz w:val="24"/>
              </w:rPr>
            </w:pPr>
          </w:p>
          <w:p>
            <w:pPr>
              <w:pStyle w:val="TableParagraph"/>
              <w:spacing w:before="1"/>
              <w:ind w:left="554"/>
              <w:rPr>
                <w:sz w:val="24"/>
              </w:rPr>
            </w:pPr>
            <w:r>
              <w:rPr>
                <w:spacing w:val="-10"/>
                <w:sz w:val="24"/>
              </w:rPr>
              <w:t>4</w:t>
            </w:r>
          </w:p>
        </w:tc>
        <w:tc>
          <w:tcPr>
            <w:tcW w:w="1234" w:type="dxa"/>
          </w:tcPr>
          <w:p>
            <w:pPr>
              <w:pStyle w:val="TableParagraph"/>
              <w:spacing w:before="56"/>
              <w:rPr>
                <w:b/>
                <w:sz w:val="24"/>
              </w:rPr>
            </w:pPr>
          </w:p>
          <w:p>
            <w:pPr>
              <w:pStyle w:val="TableParagraph"/>
              <w:spacing w:before="1"/>
              <w:ind w:left="493"/>
              <w:rPr>
                <w:sz w:val="24"/>
              </w:rPr>
            </w:pPr>
            <w:r>
              <w:rPr>
                <w:spacing w:val="-10"/>
                <w:sz w:val="24"/>
              </w:rPr>
              <w:t>3</w:t>
            </w:r>
          </w:p>
        </w:tc>
        <w:tc>
          <w:tcPr>
            <w:tcW w:w="1280" w:type="dxa"/>
          </w:tcPr>
          <w:p>
            <w:pPr>
              <w:pStyle w:val="TableParagraph"/>
              <w:spacing w:before="56"/>
              <w:rPr>
                <w:b/>
                <w:sz w:val="24"/>
              </w:rPr>
            </w:pPr>
          </w:p>
          <w:p>
            <w:pPr>
              <w:pStyle w:val="TableParagraph"/>
              <w:spacing w:before="1"/>
              <w:ind w:right="107"/>
              <w:jc w:val="center"/>
              <w:rPr>
                <w:sz w:val="24"/>
              </w:rPr>
            </w:pPr>
            <w:r>
              <w:rPr>
                <w:spacing w:val="-10"/>
                <w:sz w:val="24"/>
              </w:rPr>
              <w:t>2</w:t>
            </w:r>
          </w:p>
        </w:tc>
        <w:tc>
          <w:tcPr>
            <w:tcW w:w="1265" w:type="dxa"/>
          </w:tcPr>
          <w:p>
            <w:pPr>
              <w:pStyle w:val="TableParagraph"/>
              <w:spacing w:before="56"/>
              <w:rPr>
                <w:b/>
                <w:sz w:val="24"/>
              </w:rPr>
            </w:pPr>
          </w:p>
          <w:p>
            <w:pPr>
              <w:pStyle w:val="TableParagraph"/>
              <w:spacing w:before="1"/>
              <w:ind w:left="509"/>
              <w:rPr>
                <w:sz w:val="24"/>
              </w:rPr>
            </w:pPr>
            <w:r>
              <w:rPr>
                <w:spacing w:val="-10"/>
                <w:sz w:val="24"/>
              </w:rPr>
              <w:t>1</w:t>
            </w:r>
          </w:p>
        </w:tc>
      </w:tr>
      <w:tr>
        <w:trPr>
          <w:trHeight w:val="990" w:hRule="atLeast"/>
        </w:trPr>
        <w:tc>
          <w:tcPr>
            <w:tcW w:w="2725" w:type="dxa"/>
          </w:tcPr>
          <w:p>
            <w:pPr>
              <w:pStyle w:val="TableParagraph"/>
              <w:spacing w:before="56"/>
              <w:rPr>
                <w:b/>
                <w:sz w:val="24"/>
              </w:rPr>
            </w:pPr>
          </w:p>
          <w:p>
            <w:pPr>
              <w:pStyle w:val="TableParagraph"/>
              <w:ind w:left="220"/>
              <w:rPr>
                <w:sz w:val="24"/>
              </w:rPr>
            </w:pPr>
            <w:r>
              <w:rPr>
                <w:sz w:val="24"/>
              </w:rPr>
              <w:t>22.</w:t>
            </w:r>
            <w:r>
              <w:rPr>
                <w:spacing w:val="-12"/>
                <w:sz w:val="24"/>
              </w:rPr>
              <w:t> </w:t>
            </w:r>
            <w:r>
              <w:rPr>
                <w:sz w:val="24"/>
              </w:rPr>
              <w:t>Мне</w:t>
            </w:r>
            <w:r>
              <w:rPr>
                <w:spacing w:val="-13"/>
                <w:sz w:val="24"/>
              </w:rPr>
              <w:t> </w:t>
            </w:r>
            <w:r>
              <w:rPr>
                <w:sz w:val="24"/>
              </w:rPr>
              <w:t>интересно</w:t>
            </w:r>
            <w:r>
              <w:rPr>
                <w:spacing w:val="-12"/>
                <w:sz w:val="24"/>
              </w:rPr>
              <w:t> </w:t>
            </w:r>
            <w:r>
              <w:rPr>
                <w:sz w:val="24"/>
              </w:rPr>
              <w:t>на школьных занятиях</w:t>
            </w:r>
          </w:p>
        </w:tc>
        <w:tc>
          <w:tcPr>
            <w:tcW w:w="1500" w:type="dxa"/>
          </w:tcPr>
          <w:p>
            <w:pPr>
              <w:pStyle w:val="TableParagraph"/>
              <w:spacing w:before="56"/>
              <w:rPr>
                <w:b/>
                <w:sz w:val="24"/>
              </w:rPr>
            </w:pPr>
          </w:p>
          <w:p>
            <w:pPr>
              <w:pStyle w:val="TableParagraph"/>
              <w:ind w:left="628"/>
              <w:rPr>
                <w:sz w:val="24"/>
              </w:rPr>
            </w:pPr>
            <w:r>
              <w:rPr>
                <w:spacing w:val="-10"/>
                <w:sz w:val="24"/>
              </w:rPr>
              <w:t>1</w:t>
            </w:r>
          </w:p>
        </w:tc>
        <w:tc>
          <w:tcPr>
            <w:tcW w:w="1354" w:type="dxa"/>
          </w:tcPr>
          <w:p>
            <w:pPr>
              <w:pStyle w:val="TableParagraph"/>
              <w:spacing w:before="56"/>
              <w:rPr>
                <w:b/>
                <w:sz w:val="24"/>
              </w:rPr>
            </w:pPr>
          </w:p>
          <w:p>
            <w:pPr>
              <w:pStyle w:val="TableParagraph"/>
              <w:ind w:left="554"/>
              <w:rPr>
                <w:sz w:val="24"/>
              </w:rPr>
            </w:pPr>
            <w:r>
              <w:rPr>
                <w:spacing w:val="-10"/>
                <w:sz w:val="24"/>
              </w:rPr>
              <w:t>2</w:t>
            </w:r>
          </w:p>
        </w:tc>
        <w:tc>
          <w:tcPr>
            <w:tcW w:w="1234" w:type="dxa"/>
          </w:tcPr>
          <w:p>
            <w:pPr>
              <w:pStyle w:val="TableParagraph"/>
              <w:spacing w:before="56"/>
              <w:rPr>
                <w:b/>
                <w:sz w:val="24"/>
              </w:rPr>
            </w:pPr>
          </w:p>
          <w:p>
            <w:pPr>
              <w:pStyle w:val="TableParagraph"/>
              <w:ind w:left="493"/>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left="509"/>
              <w:rPr>
                <w:sz w:val="24"/>
              </w:rPr>
            </w:pPr>
            <w:r>
              <w:rPr>
                <w:spacing w:val="-10"/>
                <w:sz w:val="24"/>
              </w:rPr>
              <w:t>5</w:t>
            </w:r>
          </w:p>
        </w:tc>
      </w:tr>
      <w:tr>
        <w:trPr>
          <w:trHeight w:val="993" w:hRule="atLeast"/>
        </w:trPr>
        <w:tc>
          <w:tcPr>
            <w:tcW w:w="2725" w:type="dxa"/>
          </w:tcPr>
          <w:p>
            <w:pPr>
              <w:pStyle w:val="TableParagraph"/>
              <w:spacing w:before="56"/>
              <w:rPr>
                <w:b/>
                <w:sz w:val="24"/>
              </w:rPr>
            </w:pPr>
          </w:p>
          <w:p>
            <w:pPr>
              <w:pStyle w:val="TableParagraph"/>
              <w:ind w:left="220" w:right="174"/>
              <w:rPr>
                <w:sz w:val="24"/>
              </w:rPr>
            </w:pPr>
            <w:r>
              <w:rPr>
                <w:sz w:val="24"/>
              </w:rPr>
              <w:t>27. В школе я чувствую</w:t>
            </w:r>
            <w:r>
              <w:rPr>
                <w:spacing w:val="-15"/>
                <w:sz w:val="24"/>
              </w:rPr>
              <w:t> </w:t>
            </w:r>
            <w:r>
              <w:rPr>
                <w:sz w:val="24"/>
              </w:rPr>
              <w:t>себя</w:t>
            </w:r>
            <w:r>
              <w:rPr>
                <w:spacing w:val="-15"/>
                <w:sz w:val="24"/>
              </w:rPr>
              <w:t> </w:t>
            </w:r>
            <w:r>
              <w:rPr>
                <w:sz w:val="24"/>
              </w:rPr>
              <w:t>плохо*</w:t>
            </w:r>
          </w:p>
        </w:tc>
        <w:tc>
          <w:tcPr>
            <w:tcW w:w="1500" w:type="dxa"/>
          </w:tcPr>
          <w:p>
            <w:pPr>
              <w:pStyle w:val="TableParagraph"/>
              <w:spacing w:before="56"/>
              <w:rPr>
                <w:b/>
                <w:sz w:val="24"/>
              </w:rPr>
            </w:pPr>
          </w:p>
          <w:p>
            <w:pPr>
              <w:pStyle w:val="TableParagraph"/>
              <w:ind w:left="628"/>
              <w:rPr>
                <w:sz w:val="24"/>
              </w:rPr>
            </w:pPr>
            <w:r>
              <w:rPr>
                <w:spacing w:val="-10"/>
                <w:sz w:val="24"/>
              </w:rPr>
              <w:t>5</w:t>
            </w:r>
          </w:p>
        </w:tc>
        <w:tc>
          <w:tcPr>
            <w:tcW w:w="1354" w:type="dxa"/>
          </w:tcPr>
          <w:p>
            <w:pPr>
              <w:pStyle w:val="TableParagraph"/>
              <w:spacing w:before="56"/>
              <w:rPr>
                <w:b/>
                <w:sz w:val="24"/>
              </w:rPr>
            </w:pPr>
          </w:p>
          <w:p>
            <w:pPr>
              <w:pStyle w:val="TableParagraph"/>
              <w:ind w:left="554"/>
              <w:rPr>
                <w:sz w:val="24"/>
              </w:rPr>
            </w:pPr>
            <w:r>
              <w:rPr>
                <w:spacing w:val="-10"/>
                <w:sz w:val="24"/>
              </w:rPr>
              <w:t>4</w:t>
            </w:r>
          </w:p>
        </w:tc>
        <w:tc>
          <w:tcPr>
            <w:tcW w:w="1234" w:type="dxa"/>
          </w:tcPr>
          <w:p>
            <w:pPr>
              <w:pStyle w:val="TableParagraph"/>
              <w:spacing w:before="56"/>
              <w:rPr>
                <w:b/>
                <w:sz w:val="24"/>
              </w:rPr>
            </w:pPr>
          </w:p>
          <w:p>
            <w:pPr>
              <w:pStyle w:val="TableParagraph"/>
              <w:ind w:left="493"/>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2</w:t>
            </w:r>
          </w:p>
        </w:tc>
        <w:tc>
          <w:tcPr>
            <w:tcW w:w="1265" w:type="dxa"/>
          </w:tcPr>
          <w:p>
            <w:pPr>
              <w:pStyle w:val="TableParagraph"/>
              <w:spacing w:before="56"/>
              <w:rPr>
                <w:b/>
                <w:sz w:val="24"/>
              </w:rPr>
            </w:pPr>
          </w:p>
          <w:p>
            <w:pPr>
              <w:pStyle w:val="TableParagraph"/>
              <w:ind w:left="509"/>
              <w:rPr>
                <w:sz w:val="24"/>
              </w:rPr>
            </w:pPr>
            <w:r>
              <w:rPr>
                <w:spacing w:val="-10"/>
                <w:sz w:val="24"/>
              </w:rPr>
              <w:t>1</w:t>
            </w:r>
          </w:p>
        </w:tc>
      </w:tr>
      <w:tr>
        <w:trPr>
          <w:trHeight w:val="1231" w:hRule="atLeast"/>
        </w:trPr>
        <w:tc>
          <w:tcPr>
            <w:tcW w:w="9358" w:type="dxa"/>
            <w:gridSpan w:val="6"/>
          </w:tcPr>
          <w:p>
            <w:pPr>
              <w:pStyle w:val="TableParagraph"/>
              <w:spacing w:before="61"/>
              <w:rPr>
                <w:b/>
                <w:sz w:val="24"/>
              </w:rPr>
            </w:pPr>
          </w:p>
          <w:p>
            <w:pPr>
              <w:pStyle w:val="TableParagraph"/>
              <w:spacing w:before="1"/>
              <w:ind w:left="124" w:right="238"/>
              <w:jc w:val="center"/>
              <w:rPr>
                <w:b/>
                <w:i/>
                <w:sz w:val="24"/>
              </w:rPr>
            </w:pPr>
            <w:r>
              <w:rPr>
                <w:b/>
                <w:i/>
                <w:spacing w:val="-2"/>
                <w:sz w:val="24"/>
              </w:rPr>
              <w:t>Учителя</w:t>
            </w:r>
          </w:p>
        </w:tc>
      </w:tr>
      <w:tr>
        <w:trPr>
          <w:trHeight w:val="993" w:hRule="atLeast"/>
        </w:trPr>
        <w:tc>
          <w:tcPr>
            <w:tcW w:w="2725" w:type="dxa"/>
          </w:tcPr>
          <w:p>
            <w:pPr>
              <w:pStyle w:val="TableParagraph"/>
              <w:spacing w:before="56"/>
              <w:rPr>
                <w:b/>
                <w:sz w:val="24"/>
              </w:rPr>
            </w:pPr>
          </w:p>
          <w:p>
            <w:pPr>
              <w:pStyle w:val="TableParagraph"/>
              <w:ind w:left="220"/>
              <w:rPr>
                <w:sz w:val="24"/>
              </w:rPr>
            </w:pPr>
            <w:r>
              <w:rPr>
                <w:sz w:val="24"/>
              </w:rPr>
              <w:t>3. Большинство моих учителей</w:t>
            </w:r>
            <w:r>
              <w:rPr>
                <w:spacing w:val="-15"/>
                <w:sz w:val="24"/>
              </w:rPr>
              <w:t> </w:t>
            </w:r>
            <w:r>
              <w:rPr>
                <w:sz w:val="24"/>
              </w:rPr>
              <w:t>мне</w:t>
            </w:r>
            <w:r>
              <w:rPr>
                <w:spacing w:val="-15"/>
                <w:sz w:val="24"/>
              </w:rPr>
              <w:t> </w:t>
            </w:r>
            <w:r>
              <w:rPr>
                <w:sz w:val="24"/>
              </w:rPr>
              <w:t>нравятс</w:t>
            </w:r>
            <w:r>
              <w:rPr>
                <w:sz w:val="24"/>
              </w:rPr>
              <w:t>я</w:t>
            </w:r>
          </w:p>
        </w:tc>
        <w:tc>
          <w:tcPr>
            <w:tcW w:w="1500" w:type="dxa"/>
          </w:tcPr>
          <w:p>
            <w:pPr>
              <w:pStyle w:val="TableParagraph"/>
              <w:spacing w:before="56"/>
              <w:rPr>
                <w:b/>
                <w:sz w:val="24"/>
              </w:rPr>
            </w:pPr>
          </w:p>
          <w:p>
            <w:pPr>
              <w:pStyle w:val="TableParagraph"/>
              <w:ind w:left="628"/>
              <w:rPr>
                <w:sz w:val="24"/>
              </w:rPr>
            </w:pPr>
            <w:r>
              <w:rPr>
                <w:spacing w:val="-10"/>
                <w:sz w:val="24"/>
              </w:rPr>
              <w:t>1</w:t>
            </w:r>
          </w:p>
        </w:tc>
        <w:tc>
          <w:tcPr>
            <w:tcW w:w="1354" w:type="dxa"/>
          </w:tcPr>
          <w:p>
            <w:pPr>
              <w:pStyle w:val="TableParagraph"/>
              <w:spacing w:before="56"/>
              <w:rPr>
                <w:b/>
                <w:sz w:val="24"/>
              </w:rPr>
            </w:pPr>
          </w:p>
          <w:p>
            <w:pPr>
              <w:pStyle w:val="TableParagraph"/>
              <w:ind w:left="554"/>
              <w:rPr>
                <w:sz w:val="24"/>
              </w:rPr>
            </w:pPr>
            <w:r>
              <w:rPr>
                <w:spacing w:val="-10"/>
                <w:sz w:val="24"/>
              </w:rPr>
              <w:t>2</w:t>
            </w:r>
          </w:p>
        </w:tc>
        <w:tc>
          <w:tcPr>
            <w:tcW w:w="1234" w:type="dxa"/>
          </w:tcPr>
          <w:p>
            <w:pPr>
              <w:pStyle w:val="TableParagraph"/>
              <w:spacing w:before="56"/>
              <w:rPr>
                <w:b/>
                <w:sz w:val="24"/>
              </w:rPr>
            </w:pPr>
          </w:p>
          <w:p>
            <w:pPr>
              <w:pStyle w:val="TableParagraph"/>
              <w:ind w:left="493"/>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left="509"/>
              <w:rPr>
                <w:sz w:val="24"/>
              </w:rPr>
            </w:pPr>
            <w:r>
              <w:rPr>
                <w:spacing w:val="-10"/>
                <w:sz w:val="24"/>
              </w:rPr>
              <w:t>5</w:t>
            </w:r>
          </w:p>
        </w:tc>
      </w:tr>
      <w:tr>
        <w:trPr>
          <w:trHeight w:val="990" w:hRule="atLeast"/>
        </w:trPr>
        <w:tc>
          <w:tcPr>
            <w:tcW w:w="2725" w:type="dxa"/>
          </w:tcPr>
          <w:p>
            <w:pPr>
              <w:pStyle w:val="TableParagraph"/>
              <w:spacing w:before="56"/>
              <w:rPr>
                <w:b/>
                <w:sz w:val="24"/>
              </w:rPr>
            </w:pPr>
          </w:p>
          <w:p>
            <w:pPr>
              <w:pStyle w:val="TableParagraph"/>
              <w:ind w:left="220"/>
              <w:rPr>
                <w:sz w:val="24"/>
              </w:rPr>
            </w:pPr>
            <w:r>
              <w:rPr>
                <w:sz w:val="24"/>
              </w:rPr>
              <w:t>8.</w:t>
            </w:r>
            <w:r>
              <w:rPr>
                <w:spacing w:val="-13"/>
                <w:sz w:val="24"/>
              </w:rPr>
              <w:t> </w:t>
            </w:r>
            <w:r>
              <w:rPr>
                <w:sz w:val="24"/>
              </w:rPr>
              <w:t>Я</w:t>
            </w:r>
            <w:r>
              <w:rPr>
                <w:spacing w:val="-13"/>
                <w:sz w:val="24"/>
              </w:rPr>
              <w:t> </w:t>
            </w:r>
            <w:r>
              <w:rPr>
                <w:sz w:val="24"/>
              </w:rPr>
              <w:t>доволен/на</w:t>
            </w:r>
            <w:r>
              <w:rPr>
                <w:spacing w:val="-14"/>
                <w:sz w:val="24"/>
              </w:rPr>
              <w:t> </w:t>
            </w:r>
            <w:r>
              <w:rPr>
                <w:sz w:val="24"/>
              </w:rPr>
              <w:t>своим</w:t>
            </w:r>
            <w:r>
              <w:rPr>
                <w:sz w:val="24"/>
              </w:rPr>
              <w:t>и </w:t>
            </w:r>
            <w:r>
              <w:rPr>
                <w:spacing w:val="-2"/>
                <w:sz w:val="24"/>
              </w:rPr>
              <w:t>учителями</w:t>
            </w:r>
          </w:p>
        </w:tc>
        <w:tc>
          <w:tcPr>
            <w:tcW w:w="1500" w:type="dxa"/>
          </w:tcPr>
          <w:p>
            <w:pPr>
              <w:pStyle w:val="TableParagraph"/>
              <w:spacing w:before="56"/>
              <w:rPr>
                <w:b/>
                <w:sz w:val="24"/>
              </w:rPr>
            </w:pPr>
          </w:p>
          <w:p>
            <w:pPr>
              <w:pStyle w:val="TableParagraph"/>
              <w:ind w:left="628"/>
              <w:rPr>
                <w:sz w:val="24"/>
              </w:rPr>
            </w:pPr>
            <w:r>
              <w:rPr>
                <w:spacing w:val="-10"/>
                <w:sz w:val="24"/>
              </w:rPr>
              <w:t>1</w:t>
            </w:r>
          </w:p>
        </w:tc>
        <w:tc>
          <w:tcPr>
            <w:tcW w:w="1354" w:type="dxa"/>
          </w:tcPr>
          <w:p>
            <w:pPr>
              <w:pStyle w:val="TableParagraph"/>
              <w:spacing w:before="56"/>
              <w:rPr>
                <w:b/>
                <w:sz w:val="24"/>
              </w:rPr>
            </w:pPr>
          </w:p>
          <w:p>
            <w:pPr>
              <w:pStyle w:val="TableParagraph"/>
              <w:ind w:left="554"/>
              <w:rPr>
                <w:sz w:val="24"/>
              </w:rPr>
            </w:pPr>
            <w:r>
              <w:rPr>
                <w:spacing w:val="-10"/>
                <w:sz w:val="24"/>
              </w:rPr>
              <w:t>2</w:t>
            </w:r>
          </w:p>
        </w:tc>
        <w:tc>
          <w:tcPr>
            <w:tcW w:w="1234" w:type="dxa"/>
          </w:tcPr>
          <w:p>
            <w:pPr>
              <w:pStyle w:val="TableParagraph"/>
              <w:spacing w:before="56"/>
              <w:rPr>
                <w:b/>
                <w:sz w:val="24"/>
              </w:rPr>
            </w:pPr>
          </w:p>
          <w:p>
            <w:pPr>
              <w:pStyle w:val="TableParagraph"/>
              <w:ind w:left="493"/>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left="509"/>
              <w:rPr>
                <w:sz w:val="24"/>
              </w:rPr>
            </w:pPr>
            <w:r>
              <w:rPr>
                <w:spacing w:val="-10"/>
                <w:sz w:val="24"/>
              </w:rPr>
              <w:t>5</w:t>
            </w:r>
          </w:p>
        </w:tc>
      </w:tr>
      <w:tr>
        <w:trPr>
          <w:trHeight w:val="993" w:hRule="atLeast"/>
        </w:trPr>
        <w:tc>
          <w:tcPr>
            <w:tcW w:w="2725" w:type="dxa"/>
          </w:tcPr>
          <w:p>
            <w:pPr>
              <w:pStyle w:val="TableParagraph"/>
              <w:spacing w:before="56"/>
              <w:rPr>
                <w:b/>
                <w:sz w:val="24"/>
              </w:rPr>
            </w:pPr>
          </w:p>
          <w:p>
            <w:pPr>
              <w:pStyle w:val="TableParagraph"/>
              <w:spacing w:before="1"/>
              <w:ind w:left="220"/>
              <w:rPr>
                <w:sz w:val="24"/>
              </w:rPr>
            </w:pPr>
            <w:r>
              <w:rPr>
                <w:sz w:val="24"/>
              </w:rPr>
              <w:t>13.</w:t>
            </w:r>
            <w:r>
              <w:rPr>
                <w:spacing w:val="-14"/>
                <w:sz w:val="24"/>
              </w:rPr>
              <w:t> </w:t>
            </w:r>
            <w:r>
              <w:rPr>
                <w:sz w:val="24"/>
              </w:rPr>
              <w:t>Я</w:t>
            </w:r>
            <w:r>
              <w:rPr>
                <w:spacing w:val="-14"/>
                <w:sz w:val="24"/>
              </w:rPr>
              <w:t> </w:t>
            </w:r>
            <w:r>
              <w:rPr>
                <w:sz w:val="24"/>
              </w:rPr>
              <w:t>люблю</w:t>
            </w:r>
            <w:r>
              <w:rPr>
                <w:spacing w:val="-14"/>
                <w:sz w:val="24"/>
              </w:rPr>
              <w:t> </w:t>
            </w:r>
            <w:r>
              <w:rPr>
                <w:sz w:val="24"/>
              </w:rPr>
              <w:t>слушать моих учителей</w:t>
            </w:r>
          </w:p>
        </w:tc>
        <w:tc>
          <w:tcPr>
            <w:tcW w:w="1500" w:type="dxa"/>
          </w:tcPr>
          <w:p>
            <w:pPr>
              <w:pStyle w:val="TableParagraph"/>
              <w:spacing w:before="56"/>
              <w:rPr>
                <w:b/>
                <w:sz w:val="24"/>
              </w:rPr>
            </w:pPr>
          </w:p>
          <w:p>
            <w:pPr>
              <w:pStyle w:val="TableParagraph"/>
              <w:spacing w:before="1"/>
              <w:ind w:left="628"/>
              <w:rPr>
                <w:sz w:val="24"/>
              </w:rPr>
            </w:pPr>
            <w:r>
              <w:rPr>
                <w:spacing w:val="-10"/>
                <w:sz w:val="24"/>
              </w:rPr>
              <w:t>1</w:t>
            </w:r>
          </w:p>
        </w:tc>
        <w:tc>
          <w:tcPr>
            <w:tcW w:w="1354" w:type="dxa"/>
          </w:tcPr>
          <w:p>
            <w:pPr>
              <w:pStyle w:val="TableParagraph"/>
              <w:spacing w:before="56"/>
              <w:rPr>
                <w:b/>
                <w:sz w:val="24"/>
              </w:rPr>
            </w:pPr>
          </w:p>
          <w:p>
            <w:pPr>
              <w:pStyle w:val="TableParagraph"/>
              <w:spacing w:before="1"/>
              <w:ind w:left="554"/>
              <w:rPr>
                <w:sz w:val="24"/>
              </w:rPr>
            </w:pPr>
            <w:r>
              <w:rPr>
                <w:spacing w:val="-10"/>
                <w:sz w:val="24"/>
              </w:rPr>
              <w:t>2</w:t>
            </w:r>
          </w:p>
        </w:tc>
        <w:tc>
          <w:tcPr>
            <w:tcW w:w="1234" w:type="dxa"/>
          </w:tcPr>
          <w:p>
            <w:pPr>
              <w:pStyle w:val="TableParagraph"/>
              <w:spacing w:before="56"/>
              <w:rPr>
                <w:b/>
                <w:sz w:val="24"/>
              </w:rPr>
            </w:pPr>
          </w:p>
          <w:p>
            <w:pPr>
              <w:pStyle w:val="TableParagraph"/>
              <w:spacing w:before="1"/>
              <w:ind w:left="493"/>
              <w:rPr>
                <w:sz w:val="24"/>
              </w:rPr>
            </w:pPr>
            <w:r>
              <w:rPr>
                <w:spacing w:val="-10"/>
                <w:sz w:val="24"/>
              </w:rPr>
              <w:t>3</w:t>
            </w:r>
          </w:p>
        </w:tc>
        <w:tc>
          <w:tcPr>
            <w:tcW w:w="1280" w:type="dxa"/>
          </w:tcPr>
          <w:p>
            <w:pPr>
              <w:pStyle w:val="TableParagraph"/>
              <w:spacing w:before="56"/>
              <w:rPr>
                <w:b/>
                <w:sz w:val="24"/>
              </w:rPr>
            </w:pPr>
          </w:p>
          <w:p>
            <w:pPr>
              <w:pStyle w:val="TableParagraph"/>
              <w:spacing w:before="1"/>
              <w:ind w:right="107"/>
              <w:jc w:val="center"/>
              <w:rPr>
                <w:sz w:val="24"/>
              </w:rPr>
            </w:pPr>
            <w:r>
              <w:rPr>
                <w:spacing w:val="-10"/>
                <w:sz w:val="24"/>
              </w:rPr>
              <w:t>4</w:t>
            </w:r>
          </w:p>
        </w:tc>
        <w:tc>
          <w:tcPr>
            <w:tcW w:w="1265" w:type="dxa"/>
          </w:tcPr>
          <w:p>
            <w:pPr>
              <w:pStyle w:val="TableParagraph"/>
              <w:spacing w:before="56"/>
              <w:rPr>
                <w:b/>
                <w:sz w:val="24"/>
              </w:rPr>
            </w:pPr>
          </w:p>
          <w:p>
            <w:pPr>
              <w:pStyle w:val="TableParagraph"/>
              <w:spacing w:before="1"/>
              <w:ind w:left="509"/>
              <w:rPr>
                <w:sz w:val="24"/>
              </w:rPr>
            </w:pPr>
            <w:r>
              <w:rPr>
                <w:spacing w:val="-10"/>
                <w:sz w:val="24"/>
              </w:rPr>
              <w:t>5</w:t>
            </w:r>
          </w:p>
        </w:tc>
      </w:tr>
      <w:tr>
        <w:trPr>
          <w:trHeight w:val="1266" w:hRule="atLeast"/>
        </w:trPr>
        <w:tc>
          <w:tcPr>
            <w:tcW w:w="2725" w:type="dxa"/>
          </w:tcPr>
          <w:p>
            <w:pPr>
              <w:pStyle w:val="TableParagraph"/>
              <w:spacing w:before="56"/>
              <w:rPr>
                <w:b/>
                <w:sz w:val="24"/>
              </w:rPr>
            </w:pPr>
          </w:p>
          <w:p>
            <w:pPr>
              <w:pStyle w:val="TableParagraph"/>
              <w:ind w:left="220" w:right="421"/>
              <w:rPr>
                <w:sz w:val="24"/>
              </w:rPr>
            </w:pPr>
            <w:r>
              <w:rPr>
                <w:sz w:val="24"/>
              </w:rPr>
              <w:t>18. Некоторые мои учителя</w:t>
            </w:r>
            <w:r>
              <w:rPr>
                <w:spacing w:val="-15"/>
                <w:sz w:val="24"/>
              </w:rPr>
              <w:t> </w:t>
            </w:r>
            <w:r>
              <w:rPr>
                <w:sz w:val="24"/>
              </w:rPr>
              <w:t>интересные </w:t>
            </w:r>
            <w:r>
              <w:rPr>
                <w:spacing w:val="-4"/>
                <w:sz w:val="24"/>
              </w:rPr>
              <w:t>люди</w:t>
            </w:r>
          </w:p>
        </w:tc>
        <w:tc>
          <w:tcPr>
            <w:tcW w:w="1500" w:type="dxa"/>
          </w:tcPr>
          <w:p>
            <w:pPr>
              <w:pStyle w:val="TableParagraph"/>
              <w:spacing w:before="56"/>
              <w:rPr>
                <w:b/>
                <w:sz w:val="24"/>
              </w:rPr>
            </w:pPr>
          </w:p>
          <w:p>
            <w:pPr>
              <w:pStyle w:val="TableParagraph"/>
              <w:ind w:left="628"/>
              <w:rPr>
                <w:sz w:val="24"/>
              </w:rPr>
            </w:pPr>
            <w:r>
              <w:rPr>
                <w:spacing w:val="-10"/>
                <w:sz w:val="24"/>
              </w:rPr>
              <w:t>1</w:t>
            </w:r>
          </w:p>
        </w:tc>
        <w:tc>
          <w:tcPr>
            <w:tcW w:w="1354" w:type="dxa"/>
          </w:tcPr>
          <w:p>
            <w:pPr>
              <w:pStyle w:val="TableParagraph"/>
              <w:spacing w:before="56"/>
              <w:rPr>
                <w:b/>
                <w:sz w:val="24"/>
              </w:rPr>
            </w:pPr>
          </w:p>
          <w:p>
            <w:pPr>
              <w:pStyle w:val="TableParagraph"/>
              <w:ind w:left="554"/>
              <w:rPr>
                <w:sz w:val="24"/>
              </w:rPr>
            </w:pPr>
            <w:r>
              <w:rPr>
                <w:spacing w:val="-10"/>
                <w:sz w:val="24"/>
              </w:rPr>
              <w:t>2</w:t>
            </w:r>
          </w:p>
        </w:tc>
        <w:tc>
          <w:tcPr>
            <w:tcW w:w="1234" w:type="dxa"/>
          </w:tcPr>
          <w:p>
            <w:pPr>
              <w:pStyle w:val="TableParagraph"/>
              <w:spacing w:before="56"/>
              <w:rPr>
                <w:b/>
                <w:sz w:val="24"/>
              </w:rPr>
            </w:pPr>
          </w:p>
          <w:p>
            <w:pPr>
              <w:pStyle w:val="TableParagraph"/>
              <w:ind w:left="493"/>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left="509"/>
              <w:rPr>
                <w:sz w:val="24"/>
              </w:rPr>
            </w:pPr>
            <w:r>
              <w:rPr>
                <w:spacing w:val="-10"/>
                <w:sz w:val="24"/>
              </w:rPr>
              <w:t>5</w:t>
            </w:r>
          </w:p>
        </w:tc>
      </w:tr>
      <w:tr>
        <w:trPr>
          <w:trHeight w:val="1269" w:hRule="atLeast"/>
        </w:trPr>
        <w:tc>
          <w:tcPr>
            <w:tcW w:w="2725" w:type="dxa"/>
          </w:tcPr>
          <w:p>
            <w:pPr>
              <w:pStyle w:val="TableParagraph"/>
              <w:spacing w:before="56"/>
              <w:rPr>
                <w:b/>
                <w:sz w:val="24"/>
              </w:rPr>
            </w:pPr>
          </w:p>
          <w:p>
            <w:pPr>
              <w:pStyle w:val="TableParagraph"/>
              <w:ind w:left="220" w:right="174"/>
              <w:rPr>
                <w:sz w:val="24"/>
              </w:rPr>
            </w:pPr>
            <w:r>
              <w:rPr>
                <w:sz w:val="24"/>
              </w:rPr>
              <w:t>23.</w:t>
            </w:r>
            <w:r>
              <w:rPr>
                <w:spacing w:val="-13"/>
                <w:sz w:val="24"/>
              </w:rPr>
              <w:t> </w:t>
            </w:r>
            <w:r>
              <w:rPr>
                <w:sz w:val="24"/>
              </w:rPr>
              <w:t>Я</w:t>
            </w:r>
            <w:r>
              <w:rPr>
                <w:spacing w:val="-12"/>
                <w:sz w:val="24"/>
              </w:rPr>
              <w:t> </w:t>
            </w:r>
            <w:r>
              <w:rPr>
                <w:sz w:val="24"/>
              </w:rPr>
              <w:t>могу</w:t>
            </w:r>
            <w:r>
              <w:rPr>
                <w:spacing w:val="-15"/>
                <w:sz w:val="24"/>
              </w:rPr>
              <w:t> </w:t>
            </w:r>
            <w:r>
              <w:rPr>
                <w:sz w:val="24"/>
              </w:rPr>
              <w:t>обратитьс</w:t>
            </w:r>
            <w:r>
              <w:rPr>
                <w:sz w:val="24"/>
              </w:rPr>
              <w:t>я к учителям за </w:t>
            </w:r>
            <w:r>
              <w:rPr>
                <w:spacing w:val="-2"/>
                <w:sz w:val="24"/>
              </w:rPr>
              <w:t>помощью</w:t>
            </w:r>
          </w:p>
        </w:tc>
        <w:tc>
          <w:tcPr>
            <w:tcW w:w="1500" w:type="dxa"/>
          </w:tcPr>
          <w:p>
            <w:pPr>
              <w:pStyle w:val="TableParagraph"/>
              <w:spacing w:before="56"/>
              <w:rPr>
                <w:b/>
                <w:sz w:val="24"/>
              </w:rPr>
            </w:pPr>
          </w:p>
          <w:p>
            <w:pPr>
              <w:pStyle w:val="TableParagraph"/>
              <w:ind w:left="628"/>
              <w:rPr>
                <w:sz w:val="24"/>
              </w:rPr>
            </w:pPr>
            <w:r>
              <w:rPr>
                <w:spacing w:val="-10"/>
                <w:sz w:val="24"/>
              </w:rPr>
              <w:t>1</w:t>
            </w:r>
          </w:p>
        </w:tc>
        <w:tc>
          <w:tcPr>
            <w:tcW w:w="1354" w:type="dxa"/>
          </w:tcPr>
          <w:p>
            <w:pPr>
              <w:pStyle w:val="TableParagraph"/>
              <w:spacing w:before="56"/>
              <w:rPr>
                <w:b/>
                <w:sz w:val="24"/>
              </w:rPr>
            </w:pPr>
          </w:p>
          <w:p>
            <w:pPr>
              <w:pStyle w:val="TableParagraph"/>
              <w:ind w:left="554"/>
              <w:rPr>
                <w:sz w:val="24"/>
              </w:rPr>
            </w:pPr>
            <w:r>
              <w:rPr>
                <w:spacing w:val="-10"/>
                <w:sz w:val="24"/>
              </w:rPr>
              <w:t>2</w:t>
            </w:r>
          </w:p>
        </w:tc>
        <w:tc>
          <w:tcPr>
            <w:tcW w:w="1234" w:type="dxa"/>
          </w:tcPr>
          <w:p>
            <w:pPr>
              <w:pStyle w:val="TableParagraph"/>
              <w:spacing w:before="56"/>
              <w:rPr>
                <w:b/>
                <w:sz w:val="24"/>
              </w:rPr>
            </w:pPr>
          </w:p>
          <w:p>
            <w:pPr>
              <w:pStyle w:val="TableParagraph"/>
              <w:ind w:left="493"/>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left="509"/>
              <w:rPr>
                <w:sz w:val="24"/>
              </w:rPr>
            </w:pPr>
            <w:r>
              <w:rPr>
                <w:spacing w:val="-10"/>
                <w:sz w:val="24"/>
              </w:rPr>
              <w:t>5</w:t>
            </w:r>
          </w:p>
        </w:tc>
      </w:tr>
      <w:tr>
        <w:trPr>
          <w:trHeight w:val="1266" w:hRule="atLeast"/>
        </w:trPr>
        <w:tc>
          <w:tcPr>
            <w:tcW w:w="2725" w:type="dxa"/>
          </w:tcPr>
          <w:p>
            <w:pPr>
              <w:pStyle w:val="TableParagraph"/>
              <w:spacing w:before="56"/>
              <w:rPr>
                <w:b/>
                <w:sz w:val="24"/>
              </w:rPr>
            </w:pPr>
          </w:p>
          <w:p>
            <w:pPr>
              <w:pStyle w:val="TableParagraph"/>
              <w:ind w:left="220" w:right="267"/>
              <w:rPr>
                <w:sz w:val="24"/>
              </w:rPr>
            </w:pPr>
            <w:r>
              <w:rPr>
                <w:sz w:val="24"/>
              </w:rPr>
              <w:t>28.</w:t>
            </w:r>
            <w:r>
              <w:rPr>
                <w:spacing w:val="-15"/>
                <w:sz w:val="24"/>
              </w:rPr>
              <w:t> </w:t>
            </w:r>
            <w:r>
              <w:rPr>
                <w:sz w:val="24"/>
              </w:rPr>
              <w:t>С</w:t>
            </w:r>
            <w:r>
              <w:rPr>
                <w:spacing w:val="-15"/>
                <w:sz w:val="24"/>
              </w:rPr>
              <w:t> </w:t>
            </w:r>
            <w:r>
              <w:rPr>
                <w:sz w:val="24"/>
              </w:rPr>
              <w:t>учителям</w:t>
            </w:r>
            <w:r>
              <w:rPr>
                <w:sz w:val="24"/>
              </w:rPr>
              <w:t>и </w:t>
            </w:r>
            <w:r>
              <w:rPr>
                <w:spacing w:val="-2"/>
                <w:sz w:val="24"/>
              </w:rPr>
              <w:t>интересно разговаривать</w:t>
            </w:r>
          </w:p>
        </w:tc>
        <w:tc>
          <w:tcPr>
            <w:tcW w:w="1500" w:type="dxa"/>
          </w:tcPr>
          <w:p>
            <w:pPr>
              <w:pStyle w:val="TableParagraph"/>
              <w:spacing w:before="56"/>
              <w:rPr>
                <w:b/>
                <w:sz w:val="24"/>
              </w:rPr>
            </w:pPr>
          </w:p>
          <w:p>
            <w:pPr>
              <w:pStyle w:val="TableParagraph"/>
              <w:ind w:left="628"/>
              <w:rPr>
                <w:sz w:val="24"/>
              </w:rPr>
            </w:pPr>
            <w:r>
              <w:rPr>
                <w:spacing w:val="-10"/>
                <w:sz w:val="24"/>
              </w:rPr>
              <w:t>1</w:t>
            </w:r>
          </w:p>
        </w:tc>
        <w:tc>
          <w:tcPr>
            <w:tcW w:w="1354" w:type="dxa"/>
          </w:tcPr>
          <w:p>
            <w:pPr>
              <w:pStyle w:val="TableParagraph"/>
              <w:spacing w:before="56"/>
              <w:rPr>
                <w:b/>
                <w:sz w:val="24"/>
              </w:rPr>
            </w:pPr>
          </w:p>
          <w:p>
            <w:pPr>
              <w:pStyle w:val="TableParagraph"/>
              <w:ind w:left="554"/>
              <w:rPr>
                <w:sz w:val="24"/>
              </w:rPr>
            </w:pPr>
            <w:r>
              <w:rPr>
                <w:spacing w:val="-10"/>
                <w:sz w:val="24"/>
              </w:rPr>
              <w:t>2</w:t>
            </w:r>
          </w:p>
        </w:tc>
        <w:tc>
          <w:tcPr>
            <w:tcW w:w="1234" w:type="dxa"/>
          </w:tcPr>
          <w:p>
            <w:pPr>
              <w:pStyle w:val="TableParagraph"/>
              <w:spacing w:before="56"/>
              <w:rPr>
                <w:b/>
                <w:sz w:val="24"/>
              </w:rPr>
            </w:pPr>
          </w:p>
          <w:p>
            <w:pPr>
              <w:pStyle w:val="TableParagraph"/>
              <w:ind w:left="493"/>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left="509"/>
              <w:rPr>
                <w:sz w:val="24"/>
              </w:rPr>
            </w:pPr>
            <w:r>
              <w:rPr>
                <w:spacing w:val="-10"/>
                <w:sz w:val="24"/>
              </w:rPr>
              <w:t>5</w:t>
            </w:r>
          </w:p>
        </w:tc>
      </w:tr>
      <w:tr>
        <w:trPr>
          <w:trHeight w:val="1233" w:hRule="atLeast"/>
        </w:trPr>
        <w:tc>
          <w:tcPr>
            <w:tcW w:w="9358" w:type="dxa"/>
            <w:gridSpan w:val="6"/>
          </w:tcPr>
          <w:p>
            <w:pPr>
              <w:pStyle w:val="TableParagraph"/>
              <w:spacing w:before="61"/>
              <w:rPr>
                <w:b/>
                <w:sz w:val="24"/>
              </w:rPr>
            </w:pPr>
          </w:p>
          <w:p>
            <w:pPr>
              <w:pStyle w:val="TableParagraph"/>
              <w:ind w:left="238" w:right="114"/>
              <w:jc w:val="center"/>
              <w:rPr>
                <w:b/>
                <w:i/>
                <w:sz w:val="24"/>
              </w:rPr>
            </w:pPr>
            <w:r>
              <w:rPr>
                <w:b/>
                <w:i/>
                <w:sz w:val="24"/>
              </w:rPr>
              <w:t>Я </w:t>
            </w:r>
            <w:r>
              <w:rPr>
                <w:b/>
                <w:i/>
                <w:spacing w:val="-5"/>
                <w:sz w:val="24"/>
              </w:rPr>
              <w:t>сам</w:t>
            </w:r>
          </w:p>
        </w:tc>
      </w:tr>
      <w:tr>
        <w:trPr>
          <w:trHeight w:val="991" w:hRule="atLeast"/>
        </w:trPr>
        <w:tc>
          <w:tcPr>
            <w:tcW w:w="2725" w:type="dxa"/>
          </w:tcPr>
          <w:p>
            <w:pPr>
              <w:pStyle w:val="TableParagraph"/>
              <w:spacing w:before="56"/>
              <w:rPr>
                <w:b/>
                <w:sz w:val="24"/>
              </w:rPr>
            </w:pPr>
          </w:p>
          <w:p>
            <w:pPr>
              <w:pStyle w:val="TableParagraph"/>
              <w:spacing w:before="1"/>
              <w:ind w:left="220"/>
              <w:rPr>
                <w:sz w:val="24"/>
              </w:rPr>
            </w:pPr>
            <w:r>
              <w:rPr>
                <w:sz w:val="24"/>
              </w:rPr>
              <w:t>4.</w:t>
            </w:r>
            <w:r>
              <w:rPr>
                <w:spacing w:val="-13"/>
                <w:sz w:val="24"/>
              </w:rPr>
              <w:t> </w:t>
            </w:r>
            <w:r>
              <w:rPr>
                <w:sz w:val="24"/>
              </w:rPr>
              <w:t>Мне</w:t>
            </w:r>
            <w:r>
              <w:rPr>
                <w:spacing w:val="-14"/>
                <w:sz w:val="24"/>
              </w:rPr>
              <w:t> </w:t>
            </w:r>
            <w:r>
              <w:rPr>
                <w:sz w:val="24"/>
              </w:rPr>
              <w:t>кажется,</w:t>
            </w:r>
            <w:r>
              <w:rPr>
                <w:spacing w:val="-13"/>
                <w:sz w:val="24"/>
              </w:rPr>
              <w:t> </w:t>
            </w:r>
            <w:r>
              <w:rPr>
                <w:sz w:val="24"/>
              </w:rPr>
              <w:t>я выгляжу хорошо</w:t>
            </w:r>
          </w:p>
        </w:tc>
        <w:tc>
          <w:tcPr>
            <w:tcW w:w="1500" w:type="dxa"/>
          </w:tcPr>
          <w:p>
            <w:pPr>
              <w:pStyle w:val="TableParagraph"/>
              <w:spacing w:before="56"/>
              <w:rPr>
                <w:b/>
                <w:sz w:val="24"/>
              </w:rPr>
            </w:pPr>
          </w:p>
          <w:p>
            <w:pPr>
              <w:pStyle w:val="TableParagraph"/>
              <w:spacing w:before="1"/>
              <w:ind w:left="628"/>
              <w:rPr>
                <w:sz w:val="24"/>
              </w:rPr>
            </w:pPr>
            <w:r>
              <w:rPr>
                <w:spacing w:val="-10"/>
                <w:sz w:val="24"/>
              </w:rPr>
              <w:t>1</w:t>
            </w:r>
          </w:p>
        </w:tc>
        <w:tc>
          <w:tcPr>
            <w:tcW w:w="1354" w:type="dxa"/>
          </w:tcPr>
          <w:p>
            <w:pPr>
              <w:pStyle w:val="TableParagraph"/>
              <w:spacing w:before="56"/>
              <w:rPr>
                <w:b/>
                <w:sz w:val="24"/>
              </w:rPr>
            </w:pPr>
          </w:p>
          <w:p>
            <w:pPr>
              <w:pStyle w:val="TableParagraph"/>
              <w:spacing w:before="1"/>
              <w:ind w:left="554"/>
              <w:rPr>
                <w:sz w:val="24"/>
              </w:rPr>
            </w:pPr>
            <w:r>
              <w:rPr>
                <w:spacing w:val="-10"/>
                <w:sz w:val="24"/>
              </w:rPr>
              <w:t>2</w:t>
            </w:r>
          </w:p>
        </w:tc>
        <w:tc>
          <w:tcPr>
            <w:tcW w:w="1234" w:type="dxa"/>
          </w:tcPr>
          <w:p>
            <w:pPr>
              <w:pStyle w:val="TableParagraph"/>
              <w:spacing w:before="56"/>
              <w:rPr>
                <w:b/>
                <w:sz w:val="24"/>
              </w:rPr>
            </w:pPr>
          </w:p>
          <w:p>
            <w:pPr>
              <w:pStyle w:val="TableParagraph"/>
              <w:spacing w:before="1"/>
              <w:ind w:left="493"/>
              <w:rPr>
                <w:sz w:val="24"/>
              </w:rPr>
            </w:pPr>
            <w:r>
              <w:rPr>
                <w:spacing w:val="-10"/>
                <w:sz w:val="24"/>
              </w:rPr>
              <w:t>3</w:t>
            </w:r>
          </w:p>
        </w:tc>
        <w:tc>
          <w:tcPr>
            <w:tcW w:w="1280" w:type="dxa"/>
          </w:tcPr>
          <w:p>
            <w:pPr>
              <w:pStyle w:val="TableParagraph"/>
              <w:spacing w:before="56"/>
              <w:rPr>
                <w:b/>
                <w:sz w:val="24"/>
              </w:rPr>
            </w:pPr>
          </w:p>
          <w:p>
            <w:pPr>
              <w:pStyle w:val="TableParagraph"/>
              <w:spacing w:before="1"/>
              <w:ind w:right="107"/>
              <w:jc w:val="center"/>
              <w:rPr>
                <w:sz w:val="24"/>
              </w:rPr>
            </w:pPr>
            <w:r>
              <w:rPr>
                <w:spacing w:val="-10"/>
                <w:sz w:val="24"/>
              </w:rPr>
              <w:t>4</w:t>
            </w:r>
          </w:p>
        </w:tc>
        <w:tc>
          <w:tcPr>
            <w:tcW w:w="1265" w:type="dxa"/>
          </w:tcPr>
          <w:p>
            <w:pPr>
              <w:pStyle w:val="TableParagraph"/>
              <w:spacing w:before="56"/>
              <w:rPr>
                <w:b/>
                <w:sz w:val="24"/>
              </w:rPr>
            </w:pPr>
          </w:p>
          <w:p>
            <w:pPr>
              <w:pStyle w:val="TableParagraph"/>
              <w:spacing w:before="1"/>
              <w:ind w:left="509"/>
              <w:rPr>
                <w:sz w:val="24"/>
              </w:rPr>
            </w:pPr>
            <w:r>
              <w:rPr>
                <w:spacing w:val="-10"/>
                <w:sz w:val="24"/>
              </w:rPr>
              <w:t>5</w:t>
            </w:r>
          </w:p>
        </w:tc>
      </w:tr>
    </w:tbl>
    <w:p>
      <w:pPr>
        <w:pStyle w:val="TableParagraph"/>
        <w:spacing w:after="0"/>
        <w:rPr>
          <w:sz w:val="24"/>
        </w:rPr>
        <w:sectPr>
          <w:type w:val="continuous"/>
          <w:pgSz w:w="11910" w:h="16840"/>
          <w:pgMar w:header="0" w:footer="970" w:top="1100" w:bottom="1629" w:left="1417" w:right="283"/>
        </w:sect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5"/>
        <w:gridCol w:w="1500"/>
        <w:gridCol w:w="1354"/>
        <w:gridCol w:w="1234"/>
        <w:gridCol w:w="1280"/>
        <w:gridCol w:w="1265"/>
      </w:tblGrid>
      <w:tr>
        <w:trPr>
          <w:trHeight w:val="993" w:hRule="atLeast"/>
        </w:trPr>
        <w:tc>
          <w:tcPr>
            <w:tcW w:w="2725" w:type="dxa"/>
          </w:tcPr>
          <w:p>
            <w:pPr>
              <w:pStyle w:val="TableParagraph"/>
              <w:spacing w:before="56"/>
              <w:rPr>
                <w:b/>
                <w:sz w:val="24"/>
              </w:rPr>
            </w:pPr>
          </w:p>
          <w:p>
            <w:pPr>
              <w:pStyle w:val="TableParagraph"/>
              <w:spacing w:before="1"/>
              <w:ind w:left="220"/>
              <w:rPr>
                <w:sz w:val="24"/>
              </w:rPr>
            </w:pPr>
            <w:r>
              <w:rPr>
                <w:sz w:val="24"/>
              </w:rPr>
              <w:t>9.</w:t>
            </w:r>
            <w:r>
              <w:rPr>
                <w:spacing w:val="-14"/>
                <w:sz w:val="24"/>
              </w:rPr>
              <w:t> </w:t>
            </w:r>
            <w:r>
              <w:rPr>
                <w:sz w:val="24"/>
              </w:rPr>
              <w:t>Другим</w:t>
            </w:r>
            <w:r>
              <w:rPr>
                <w:spacing w:val="-15"/>
                <w:sz w:val="24"/>
              </w:rPr>
              <w:t> </w:t>
            </w:r>
            <w:r>
              <w:rPr>
                <w:sz w:val="24"/>
              </w:rPr>
              <w:t>со</w:t>
            </w:r>
            <w:r>
              <w:rPr>
                <w:spacing w:val="-12"/>
                <w:sz w:val="24"/>
              </w:rPr>
              <w:t> </w:t>
            </w:r>
            <w:r>
              <w:rPr>
                <w:sz w:val="24"/>
              </w:rPr>
              <w:t>мно</w:t>
            </w:r>
            <w:r>
              <w:rPr>
                <w:sz w:val="24"/>
              </w:rPr>
              <w:t>й</w:t>
            </w:r>
            <w:r>
              <w:rPr>
                <w:sz w:val="24"/>
              </w:rPr>
              <w:t> </w:t>
            </w:r>
            <w:r>
              <w:rPr>
                <w:spacing w:val="-2"/>
                <w:sz w:val="24"/>
              </w:rPr>
              <w:t>интересно</w:t>
            </w:r>
          </w:p>
        </w:tc>
        <w:tc>
          <w:tcPr>
            <w:tcW w:w="1500" w:type="dxa"/>
          </w:tcPr>
          <w:p>
            <w:pPr>
              <w:pStyle w:val="TableParagraph"/>
              <w:spacing w:before="56"/>
              <w:rPr>
                <w:b/>
                <w:sz w:val="24"/>
              </w:rPr>
            </w:pPr>
          </w:p>
          <w:p>
            <w:pPr>
              <w:pStyle w:val="TableParagraph"/>
              <w:spacing w:before="1"/>
              <w:ind w:left="628"/>
              <w:rPr>
                <w:sz w:val="24"/>
              </w:rPr>
            </w:pPr>
            <w:r>
              <w:rPr>
                <w:spacing w:val="-10"/>
                <w:sz w:val="24"/>
              </w:rPr>
              <w:t>1</w:t>
            </w:r>
          </w:p>
        </w:tc>
        <w:tc>
          <w:tcPr>
            <w:tcW w:w="1354" w:type="dxa"/>
          </w:tcPr>
          <w:p>
            <w:pPr>
              <w:pStyle w:val="TableParagraph"/>
              <w:spacing w:before="56"/>
              <w:rPr>
                <w:b/>
                <w:sz w:val="24"/>
              </w:rPr>
            </w:pPr>
          </w:p>
          <w:p>
            <w:pPr>
              <w:pStyle w:val="TableParagraph"/>
              <w:spacing w:before="1"/>
              <w:ind w:left="554"/>
              <w:rPr>
                <w:sz w:val="24"/>
              </w:rPr>
            </w:pPr>
            <w:r>
              <w:rPr>
                <w:spacing w:val="-10"/>
                <w:sz w:val="24"/>
              </w:rPr>
              <w:t>2</w:t>
            </w:r>
          </w:p>
        </w:tc>
        <w:tc>
          <w:tcPr>
            <w:tcW w:w="1234" w:type="dxa"/>
          </w:tcPr>
          <w:p>
            <w:pPr>
              <w:pStyle w:val="TableParagraph"/>
              <w:spacing w:before="56"/>
              <w:rPr>
                <w:b/>
                <w:sz w:val="24"/>
              </w:rPr>
            </w:pPr>
          </w:p>
          <w:p>
            <w:pPr>
              <w:pStyle w:val="TableParagraph"/>
              <w:spacing w:before="1"/>
              <w:ind w:left="493"/>
              <w:rPr>
                <w:sz w:val="24"/>
              </w:rPr>
            </w:pPr>
            <w:r>
              <w:rPr>
                <w:spacing w:val="-10"/>
                <w:sz w:val="24"/>
              </w:rPr>
              <w:t>3</w:t>
            </w:r>
          </w:p>
        </w:tc>
        <w:tc>
          <w:tcPr>
            <w:tcW w:w="1280" w:type="dxa"/>
          </w:tcPr>
          <w:p>
            <w:pPr>
              <w:pStyle w:val="TableParagraph"/>
              <w:spacing w:before="56"/>
              <w:rPr>
                <w:b/>
                <w:sz w:val="24"/>
              </w:rPr>
            </w:pPr>
          </w:p>
          <w:p>
            <w:pPr>
              <w:pStyle w:val="TableParagraph"/>
              <w:spacing w:before="1"/>
              <w:ind w:right="107"/>
              <w:jc w:val="center"/>
              <w:rPr>
                <w:sz w:val="24"/>
              </w:rPr>
            </w:pPr>
            <w:r>
              <w:rPr>
                <w:spacing w:val="-10"/>
                <w:sz w:val="24"/>
              </w:rPr>
              <w:t>4</w:t>
            </w:r>
          </w:p>
        </w:tc>
        <w:tc>
          <w:tcPr>
            <w:tcW w:w="1265" w:type="dxa"/>
          </w:tcPr>
          <w:p>
            <w:pPr>
              <w:pStyle w:val="TableParagraph"/>
              <w:spacing w:before="56"/>
              <w:rPr>
                <w:b/>
                <w:sz w:val="24"/>
              </w:rPr>
            </w:pPr>
          </w:p>
          <w:p>
            <w:pPr>
              <w:pStyle w:val="TableParagraph"/>
              <w:spacing w:before="1"/>
              <w:ind w:left="509"/>
              <w:rPr>
                <w:sz w:val="24"/>
              </w:rPr>
            </w:pPr>
            <w:r>
              <w:rPr>
                <w:spacing w:val="-10"/>
                <w:sz w:val="24"/>
              </w:rPr>
              <w:t>5</w:t>
            </w:r>
          </w:p>
        </w:tc>
      </w:tr>
      <w:tr>
        <w:trPr>
          <w:trHeight w:val="990" w:hRule="atLeast"/>
        </w:trPr>
        <w:tc>
          <w:tcPr>
            <w:tcW w:w="2725" w:type="dxa"/>
          </w:tcPr>
          <w:p>
            <w:pPr>
              <w:pStyle w:val="TableParagraph"/>
              <w:spacing w:before="56"/>
              <w:rPr>
                <w:b/>
                <w:sz w:val="24"/>
              </w:rPr>
            </w:pPr>
          </w:p>
          <w:p>
            <w:pPr>
              <w:pStyle w:val="TableParagraph"/>
              <w:ind w:left="220" w:right="267"/>
              <w:rPr>
                <w:sz w:val="24"/>
              </w:rPr>
            </w:pPr>
            <w:r>
              <w:rPr>
                <w:sz w:val="24"/>
              </w:rPr>
              <w:t>14.</w:t>
            </w:r>
            <w:r>
              <w:rPr>
                <w:spacing w:val="-15"/>
                <w:sz w:val="24"/>
              </w:rPr>
              <w:t> </w:t>
            </w:r>
            <w:r>
              <w:rPr>
                <w:sz w:val="24"/>
              </w:rPr>
              <w:t>Я</w:t>
            </w:r>
            <w:r>
              <w:rPr>
                <w:spacing w:val="-15"/>
                <w:sz w:val="24"/>
              </w:rPr>
              <w:t> </w:t>
            </w:r>
            <w:r>
              <w:rPr>
                <w:sz w:val="24"/>
              </w:rPr>
              <w:t>приятный </w:t>
            </w:r>
            <w:r>
              <w:rPr>
                <w:spacing w:val="-2"/>
                <w:sz w:val="24"/>
              </w:rPr>
              <w:t>человек</w:t>
            </w:r>
          </w:p>
        </w:tc>
        <w:tc>
          <w:tcPr>
            <w:tcW w:w="1500" w:type="dxa"/>
          </w:tcPr>
          <w:p>
            <w:pPr>
              <w:pStyle w:val="TableParagraph"/>
              <w:spacing w:before="56"/>
              <w:rPr>
                <w:b/>
                <w:sz w:val="24"/>
              </w:rPr>
            </w:pPr>
          </w:p>
          <w:p>
            <w:pPr>
              <w:pStyle w:val="TableParagraph"/>
              <w:ind w:left="628"/>
              <w:rPr>
                <w:sz w:val="24"/>
              </w:rPr>
            </w:pPr>
            <w:r>
              <w:rPr>
                <w:spacing w:val="-10"/>
                <w:sz w:val="24"/>
              </w:rPr>
              <w:t>1</w:t>
            </w:r>
          </w:p>
        </w:tc>
        <w:tc>
          <w:tcPr>
            <w:tcW w:w="1354" w:type="dxa"/>
          </w:tcPr>
          <w:p>
            <w:pPr>
              <w:pStyle w:val="TableParagraph"/>
              <w:spacing w:before="56"/>
              <w:rPr>
                <w:b/>
                <w:sz w:val="24"/>
              </w:rPr>
            </w:pPr>
          </w:p>
          <w:p>
            <w:pPr>
              <w:pStyle w:val="TableParagraph"/>
              <w:ind w:left="554"/>
              <w:rPr>
                <w:sz w:val="24"/>
              </w:rPr>
            </w:pPr>
            <w:r>
              <w:rPr>
                <w:spacing w:val="-10"/>
                <w:sz w:val="24"/>
              </w:rPr>
              <w:t>2</w:t>
            </w:r>
          </w:p>
        </w:tc>
        <w:tc>
          <w:tcPr>
            <w:tcW w:w="1234" w:type="dxa"/>
          </w:tcPr>
          <w:p>
            <w:pPr>
              <w:pStyle w:val="TableParagraph"/>
              <w:spacing w:before="56"/>
              <w:rPr>
                <w:b/>
                <w:sz w:val="24"/>
              </w:rPr>
            </w:pPr>
          </w:p>
          <w:p>
            <w:pPr>
              <w:pStyle w:val="TableParagraph"/>
              <w:ind w:left="493"/>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left="509"/>
              <w:rPr>
                <w:sz w:val="24"/>
              </w:rPr>
            </w:pPr>
            <w:r>
              <w:rPr>
                <w:spacing w:val="-10"/>
                <w:sz w:val="24"/>
              </w:rPr>
              <w:t>5</w:t>
            </w:r>
          </w:p>
        </w:tc>
      </w:tr>
      <w:tr>
        <w:trPr>
          <w:trHeight w:val="993" w:hRule="atLeast"/>
        </w:trPr>
        <w:tc>
          <w:tcPr>
            <w:tcW w:w="2725" w:type="dxa"/>
          </w:tcPr>
          <w:p>
            <w:pPr>
              <w:pStyle w:val="TableParagraph"/>
              <w:spacing w:before="56"/>
              <w:rPr>
                <w:b/>
                <w:sz w:val="24"/>
              </w:rPr>
            </w:pPr>
          </w:p>
          <w:p>
            <w:pPr>
              <w:pStyle w:val="TableParagraph"/>
              <w:ind w:left="220" w:right="267"/>
              <w:rPr>
                <w:sz w:val="24"/>
              </w:rPr>
            </w:pPr>
            <w:r>
              <w:rPr>
                <w:sz w:val="24"/>
              </w:rPr>
              <w:t>19. Большинству людей</w:t>
            </w:r>
            <w:r>
              <w:rPr>
                <w:spacing w:val="-15"/>
                <w:sz w:val="24"/>
              </w:rPr>
              <w:t> </w:t>
            </w:r>
            <w:r>
              <w:rPr>
                <w:sz w:val="24"/>
              </w:rPr>
              <w:t>я</w:t>
            </w:r>
            <w:r>
              <w:rPr>
                <w:spacing w:val="-15"/>
                <w:sz w:val="24"/>
              </w:rPr>
              <w:t> </w:t>
            </w:r>
            <w:r>
              <w:rPr>
                <w:sz w:val="24"/>
              </w:rPr>
              <w:t>нравлюсь</w:t>
            </w:r>
          </w:p>
        </w:tc>
        <w:tc>
          <w:tcPr>
            <w:tcW w:w="1500" w:type="dxa"/>
          </w:tcPr>
          <w:p>
            <w:pPr>
              <w:pStyle w:val="TableParagraph"/>
              <w:spacing w:before="56"/>
              <w:rPr>
                <w:b/>
                <w:sz w:val="24"/>
              </w:rPr>
            </w:pPr>
          </w:p>
          <w:p>
            <w:pPr>
              <w:pStyle w:val="TableParagraph"/>
              <w:ind w:left="628"/>
              <w:rPr>
                <w:sz w:val="24"/>
              </w:rPr>
            </w:pPr>
            <w:r>
              <w:rPr>
                <w:spacing w:val="-10"/>
                <w:sz w:val="24"/>
              </w:rPr>
              <w:t>1</w:t>
            </w:r>
          </w:p>
        </w:tc>
        <w:tc>
          <w:tcPr>
            <w:tcW w:w="1354" w:type="dxa"/>
          </w:tcPr>
          <w:p>
            <w:pPr>
              <w:pStyle w:val="TableParagraph"/>
              <w:spacing w:before="56"/>
              <w:rPr>
                <w:b/>
                <w:sz w:val="24"/>
              </w:rPr>
            </w:pPr>
          </w:p>
          <w:p>
            <w:pPr>
              <w:pStyle w:val="TableParagraph"/>
              <w:ind w:left="554"/>
              <w:rPr>
                <w:sz w:val="24"/>
              </w:rPr>
            </w:pPr>
            <w:r>
              <w:rPr>
                <w:spacing w:val="-10"/>
                <w:sz w:val="24"/>
              </w:rPr>
              <w:t>2</w:t>
            </w:r>
          </w:p>
        </w:tc>
        <w:tc>
          <w:tcPr>
            <w:tcW w:w="1234" w:type="dxa"/>
          </w:tcPr>
          <w:p>
            <w:pPr>
              <w:pStyle w:val="TableParagraph"/>
              <w:spacing w:before="56"/>
              <w:rPr>
                <w:b/>
                <w:sz w:val="24"/>
              </w:rPr>
            </w:pPr>
          </w:p>
          <w:p>
            <w:pPr>
              <w:pStyle w:val="TableParagraph"/>
              <w:ind w:left="493"/>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left="509"/>
              <w:rPr>
                <w:sz w:val="24"/>
              </w:rPr>
            </w:pPr>
            <w:r>
              <w:rPr>
                <w:spacing w:val="-10"/>
                <w:sz w:val="24"/>
              </w:rPr>
              <w:t>5</w:t>
            </w:r>
          </w:p>
        </w:tc>
      </w:tr>
      <w:tr>
        <w:trPr>
          <w:trHeight w:val="1267" w:hRule="atLeast"/>
        </w:trPr>
        <w:tc>
          <w:tcPr>
            <w:tcW w:w="2725" w:type="dxa"/>
          </w:tcPr>
          <w:p>
            <w:pPr>
              <w:pStyle w:val="TableParagraph"/>
              <w:spacing w:before="56"/>
              <w:rPr>
                <w:b/>
                <w:sz w:val="24"/>
              </w:rPr>
            </w:pPr>
          </w:p>
          <w:p>
            <w:pPr>
              <w:pStyle w:val="TableParagraph"/>
              <w:ind w:left="242" w:right="133"/>
              <w:rPr>
                <w:sz w:val="24"/>
              </w:rPr>
            </w:pPr>
            <w:r>
              <w:rPr>
                <w:sz w:val="24"/>
              </w:rPr>
              <w:t>24.</w:t>
            </w:r>
            <w:r>
              <w:rPr>
                <w:spacing w:val="-13"/>
                <w:sz w:val="24"/>
              </w:rPr>
              <w:t> </w:t>
            </w:r>
            <w:r>
              <w:rPr>
                <w:sz w:val="24"/>
              </w:rPr>
              <w:t>Есть</w:t>
            </w:r>
            <w:r>
              <w:rPr>
                <w:spacing w:val="-13"/>
                <w:sz w:val="24"/>
              </w:rPr>
              <w:t> </w:t>
            </w:r>
            <w:r>
              <w:rPr>
                <w:sz w:val="24"/>
              </w:rPr>
              <w:t>много</w:t>
            </w:r>
            <w:r>
              <w:rPr>
                <w:spacing w:val="-13"/>
                <w:sz w:val="24"/>
              </w:rPr>
              <w:t> </w:t>
            </w:r>
            <w:r>
              <w:rPr>
                <w:sz w:val="24"/>
              </w:rPr>
              <w:t>вещей, которые у меня хорошо получаются</w:t>
            </w:r>
          </w:p>
        </w:tc>
        <w:tc>
          <w:tcPr>
            <w:tcW w:w="1500" w:type="dxa"/>
          </w:tcPr>
          <w:p>
            <w:pPr>
              <w:pStyle w:val="TableParagraph"/>
              <w:spacing w:before="56"/>
              <w:rPr>
                <w:b/>
                <w:sz w:val="24"/>
              </w:rPr>
            </w:pPr>
          </w:p>
          <w:p>
            <w:pPr>
              <w:pStyle w:val="TableParagraph"/>
              <w:ind w:left="628"/>
              <w:rPr>
                <w:sz w:val="24"/>
              </w:rPr>
            </w:pPr>
            <w:r>
              <w:rPr>
                <w:spacing w:val="-10"/>
                <w:sz w:val="24"/>
              </w:rPr>
              <w:t>1</w:t>
            </w:r>
          </w:p>
        </w:tc>
        <w:tc>
          <w:tcPr>
            <w:tcW w:w="1354" w:type="dxa"/>
          </w:tcPr>
          <w:p>
            <w:pPr>
              <w:pStyle w:val="TableParagraph"/>
              <w:spacing w:before="56"/>
              <w:rPr>
                <w:b/>
                <w:sz w:val="24"/>
              </w:rPr>
            </w:pPr>
          </w:p>
          <w:p>
            <w:pPr>
              <w:pStyle w:val="TableParagraph"/>
              <w:ind w:left="554"/>
              <w:rPr>
                <w:sz w:val="24"/>
              </w:rPr>
            </w:pPr>
            <w:r>
              <w:rPr>
                <w:spacing w:val="-10"/>
                <w:sz w:val="24"/>
              </w:rPr>
              <w:t>2</w:t>
            </w:r>
          </w:p>
        </w:tc>
        <w:tc>
          <w:tcPr>
            <w:tcW w:w="1234" w:type="dxa"/>
          </w:tcPr>
          <w:p>
            <w:pPr>
              <w:pStyle w:val="TableParagraph"/>
              <w:spacing w:before="56"/>
              <w:rPr>
                <w:b/>
                <w:sz w:val="24"/>
              </w:rPr>
            </w:pPr>
          </w:p>
          <w:p>
            <w:pPr>
              <w:pStyle w:val="TableParagraph"/>
              <w:ind w:left="493"/>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left="509"/>
              <w:rPr>
                <w:sz w:val="24"/>
              </w:rPr>
            </w:pPr>
            <w:r>
              <w:rPr>
                <w:spacing w:val="-10"/>
                <w:sz w:val="24"/>
              </w:rPr>
              <w:t>5</w:t>
            </w:r>
          </w:p>
        </w:tc>
      </w:tr>
      <w:tr>
        <w:trPr>
          <w:trHeight w:val="993" w:hRule="atLeast"/>
        </w:trPr>
        <w:tc>
          <w:tcPr>
            <w:tcW w:w="2725" w:type="dxa"/>
          </w:tcPr>
          <w:p>
            <w:pPr>
              <w:pStyle w:val="TableParagraph"/>
              <w:spacing w:before="56"/>
              <w:rPr>
                <w:b/>
                <w:sz w:val="24"/>
              </w:rPr>
            </w:pPr>
          </w:p>
          <w:p>
            <w:pPr>
              <w:pStyle w:val="TableParagraph"/>
              <w:ind w:left="220" w:right="267"/>
              <w:rPr>
                <w:sz w:val="24"/>
              </w:rPr>
            </w:pPr>
            <w:r>
              <w:rPr>
                <w:sz w:val="24"/>
              </w:rPr>
              <w:t>29.</w:t>
            </w:r>
            <w:r>
              <w:rPr>
                <w:spacing w:val="-13"/>
                <w:sz w:val="24"/>
              </w:rPr>
              <w:t> </w:t>
            </w:r>
            <w:r>
              <w:rPr>
                <w:sz w:val="24"/>
              </w:rPr>
              <w:t>Я</w:t>
            </w:r>
            <w:r>
              <w:rPr>
                <w:spacing w:val="-13"/>
                <w:sz w:val="24"/>
              </w:rPr>
              <w:t> </w:t>
            </w:r>
            <w:r>
              <w:rPr>
                <w:sz w:val="24"/>
              </w:rPr>
              <w:t>нравлюсь</w:t>
            </w:r>
            <w:r>
              <w:rPr>
                <w:spacing w:val="-14"/>
                <w:sz w:val="24"/>
              </w:rPr>
              <w:t> </w:t>
            </w:r>
            <w:r>
              <w:rPr>
                <w:sz w:val="24"/>
              </w:rPr>
              <w:t>себе как человек</w:t>
            </w:r>
          </w:p>
        </w:tc>
        <w:tc>
          <w:tcPr>
            <w:tcW w:w="1500" w:type="dxa"/>
          </w:tcPr>
          <w:p>
            <w:pPr>
              <w:pStyle w:val="TableParagraph"/>
              <w:spacing w:before="56"/>
              <w:rPr>
                <w:b/>
                <w:sz w:val="24"/>
              </w:rPr>
            </w:pPr>
          </w:p>
          <w:p>
            <w:pPr>
              <w:pStyle w:val="TableParagraph"/>
              <w:ind w:left="628"/>
              <w:rPr>
                <w:sz w:val="24"/>
              </w:rPr>
            </w:pPr>
            <w:r>
              <w:rPr>
                <w:spacing w:val="-10"/>
                <w:sz w:val="24"/>
              </w:rPr>
              <w:t>1</w:t>
            </w:r>
          </w:p>
        </w:tc>
        <w:tc>
          <w:tcPr>
            <w:tcW w:w="1354" w:type="dxa"/>
          </w:tcPr>
          <w:p>
            <w:pPr>
              <w:pStyle w:val="TableParagraph"/>
              <w:spacing w:before="56"/>
              <w:rPr>
                <w:b/>
                <w:sz w:val="24"/>
              </w:rPr>
            </w:pPr>
          </w:p>
          <w:p>
            <w:pPr>
              <w:pStyle w:val="TableParagraph"/>
              <w:ind w:left="554"/>
              <w:rPr>
                <w:sz w:val="24"/>
              </w:rPr>
            </w:pPr>
            <w:r>
              <w:rPr>
                <w:spacing w:val="-10"/>
                <w:sz w:val="24"/>
              </w:rPr>
              <w:t>2</w:t>
            </w:r>
          </w:p>
        </w:tc>
        <w:tc>
          <w:tcPr>
            <w:tcW w:w="1234" w:type="dxa"/>
          </w:tcPr>
          <w:p>
            <w:pPr>
              <w:pStyle w:val="TableParagraph"/>
              <w:spacing w:before="56"/>
              <w:rPr>
                <w:b/>
                <w:sz w:val="24"/>
              </w:rPr>
            </w:pPr>
          </w:p>
          <w:p>
            <w:pPr>
              <w:pStyle w:val="TableParagraph"/>
              <w:ind w:left="493"/>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left="509"/>
              <w:rPr>
                <w:sz w:val="24"/>
              </w:rPr>
            </w:pPr>
            <w:r>
              <w:rPr>
                <w:spacing w:val="-10"/>
                <w:sz w:val="24"/>
              </w:rPr>
              <w:t>5</w:t>
            </w:r>
          </w:p>
        </w:tc>
      </w:tr>
      <w:tr>
        <w:trPr>
          <w:trHeight w:val="1230" w:hRule="atLeast"/>
        </w:trPr>
        <w:tc>
          <w:tcPr>
            <w:tcW w:w="9358" w:type="dxa"/>
            <w:gridSpan w:val="6"/>
          </w:tcPr>
          <w:p>
            <w:pPr>
              <w:pStyle w:val="TableParagraph"/>
              <w:spacing w:before="61"/>
              <w:rPr>
                <w:b/>
                <w:sz w:val="24"/>
              </w:rPr>
            </w:pPr>
          </w:p>
          <w:p>
            <w:pPr>
              <w:pStyle w:val="TableParagraph"/>
              <w:ind w:left="238" w:right="114"/>
              <w:jc w:val="center"/>
              <w:rPr>
                <w:b/>
                <w:i/>
                <w:sz w:val="24"/>
              </w:rPr>
            </w:pPr>
            <w:r>
              <w:rPr>
                <w:b/>
                <w:i/>
                <w:spacing w:val="-2"/>
                <w:sz w:val="24"/>
              </w:rPr>
              <w:t>Друзья</w:t>
            </w:r>
          </w:p>
        </w:tc>
      </w:tr>
      <w:tr>
        <w:trPr>
          <w:trHeight w:val="1269" w:hRule="atLeast"/>
        </w:trPr>
        <w:tc>
          <w:tcPr>
            <w:tcW w:w="2725" w:type="dxa"/>
          </w:tcPr>
          <w:p>
            <w:pPr>
              <w:pStyle w:val="TableParagraph"/>
              <w:spacing w:before="56"/>
              <w:rPr>
                <w:b/>
                <w:sz w:val="24"/>
              </w:rPr>
            </w:pPr>
          </w:p>
          <w:p>
            <w:pPr>
              <w:pStyle w:val="TableParagraph"/>
              <w:spacing w:before="1"/>
              <w:ind w:left="220" w:right="267"/>
              <w:rPr>
                <w:sz w:val="24"/>
              </w:rPr>
            </w:pPr>
            <w:r>
              <w:rPr>
                <w:sz w:val="24"/>
              </w:rPr>
              <w:t>5. Мои друзья относятся</w:t>
            </w:r>
            <w:r>
              <w:rPr>
                <w:spacing w:val="-15"/>
                <w:sz w:val="24"/>
              </w:rPr>
              <w:t> </w:t>
            </w:r>
            <w:r>
              <w:rPr>
                <w:sz w:val="24"/>
              </w:rPr>
              <w:t>ко</w:t>
            </w:r>
            <w:r>
              <w:rPr>
                <w:spacing w:val="-15"/>
                <w:sz w:val="24"/>
              </w:rPr>
              <w:t> </w:t>
            </w:r>
            <w:r>
              <w:rPr>
                <w:sz w:val="24"/>
              </w:rPr>
              <w:t>мне </w:t>
            </w:r>
            <w:r>
              <w:rPr>
                <w:spacing w:val="-2"/>
                <w:sz w:val="24"/>
              </w:rPr>
              <w:t>хорошо</w:t>
            </w:r>
          </w:p>
        </w:tc>
        <w:tc>
          <w:tcPr>
            <w:tcW w:w="1500" w:type="dxa"/>
          </w:tcPr>
          <w:p>
            <w:pPr>
              <w:pStyle w:val="TableParagraph"/>
              <w:spacing w:before="56"/>
              <w:rPr>
                <w:b/>
                <w:sz w:val="24"/>
              </w:rPr>
            </w:pPr>
          </w:p>
          <w:p>
            <w:pPr>
              <w:pStyle w:val="TableParagraph"/>
              <w:spacing w:before="1"/>
              <w:ind w:left="628"/>
              <w:rPr>
                <w:sz w:val="24"/>
              </w:rPr>
            </w:pPr>
            <w:r>
              <w:rPr>
                <w:spacing w:val="-10"/>
                <w:sz w:val="24"/>
              </w:rPr>
              <w:t>1</w:t>
            </w:r>
          </w:p>
        </w:tc>
        <w:tc>
          <w:tcPr>
            <w:tcW w:w="1354" w:type="dxa"/>
          </w:tcPr>
          <w:p>
            <w:pPr>
              <w:pStyle w:val="TableParagraph"/>
              <w:spacing w:before="56"/>
              <w:rPr>
                <w:b/>
                <w:sz w:val="24"/>
              </w:rPr>
            </w:pPr>
          </w:p>
          <w:p>
            <w:pPr>
              <w:pStyle w:val="TableParagraph"/>
              <w:spacing w:before="1"/>
              <w:ind w:left="554"/>
              <w:rPr>
                <w:sz w:val="24"/>
              </w:rPr>
            </w:pPr>
            <w:r>
              <w:rPr>
                <w:spacing w:val="-10"/>
                <w:sz w:val="24"/>
              </w:rPr>
              <w:t>2</w:t>
            </w:r>
          </w:p>
        </w:tc>
        <w:tc>
          <w:tcPr>
            <w:tcW w:w="1234" w:type="dxa"/>
          </w:tcPr>
          <w:p>
            <w:pPr>
              <w:pStyle w:val="TableParagraph"/>
              <w:spacing w:before="56"/>
              <w:rPr>
                <w:b/>
                <w:sz w:val="24"/>
              </w:rPr>
            </w:pPr>
          </w:p>
          <w:p>
            <w:pPr>
              <w:pStyle w:val="TableParagraph"/>
              <w:spacing w:before="1"/>
              <w:ind w:left="493"/>
              <w:rPr>
                <w:sz w:val="24"/>
              </w:rPr>
            </w:pPr>
            <w:r>
              <w:rPr>
                <w:spacing w:val="-10"/>
                <w:sz w:val="24"/>
              </w:rPr>
              <w:t>3</w:t>
            </w:r>
          </w:p>
        </w:tc>
        <w:tc>
          <w:tcPr>
            <w:tcW w:w="1280" w:type="dxa"/>
          </w:tcPr>
          <w:p>
            <w:pPr>
              <w:pStyle w:val="TableParagraph"/>
              <w:spacing w:before="56"/>
              <w:rPr>
                <w:b/>
                <w:sz w:val="24"/>
              </w:rPr>
            </w:pPr>
          </w:p>
          <w:p>
            <w:pPr>
              <w:pStyle w:val="TableParagraph"/>
              <w:spacing w:before="1"/>
              <w:ind w:right="107"/>
              <w:jc w:val="center"/>
              <w:rPr>
                <w:sz w:val="24"/>
              </w:rPr>
            </w:pPr>
            <w:r>
              <w:rPr>
                <w:spacing w:val="-10"/>
                <w:sz w:val="24"/>
              </w:rPr>
              <w:t>4</w:t>
            </w:r>
          </w:p>
        </w:tc>
        <w:tc>
          <w:tcPr>
            <w:tcW w:w="1265" w:type="dxa"/>
          </w:tcPr>
          <w:p>
            <w:pPr>
              <w:pStyle w:val="TableParagraph"/>
              <w:spacing w:before="56"/>
              <w:rPr>
                <w:b/>
                <w:sz w:val="24"/>
              </w:rPr>
            </w:pPr>
          </w:p>
          <w:p>
            <w:pPr>
              <w:pStyle w:val="TableParagraph"/>
              <w:spacing w:before="1"/>
              <w:ind w:left="509"/>
              <w:rPr>
                <w:sz w:val="24"/>
              </w:rPr>
            </w:pPr>
            <w:r>
              <w:rPr>
                <w:spacing w:val="-10"/>
                <w:sz w:val="24"/>
              </w:rPr>
              <w:t>5</w:t>
            </w:r>
          </w:p>
        </w:tc>
      </w:tr>
      <w:tr>
        <w:trPr>
          <w:trHeight w:val="990" w:hRule="atLeast"/>
        </w:trPr>
        <w:tc>
          <w:tcPr>
            <w:tcW w:w="2725" w:type="dxa"/>
          </w:tcPr>
          <w:p>
            <w:pPr>
              <w:pStyle w:val="TableParagraph"/>
              <w:spacing w:before="56"/>
              <w:rPr>
                <w:b/>
                <w:sz w:val="24"/>
              </w:rPr>
            </w:pPr>
          </w:p>
          <w:p>
            <w:pPr>
              <w:pStyle w:val="TableParagraph"/>
              <w:ind w:left="220"/>
              <w:rPr>
                <w:sz w:val="24"/>
              </w:rPr>
            </w:pPr>
            <w:r>
              <w:rPr>
                <w:sz w:val="24"/>
              </w:rPr>
              <w:t>10. Друзья хорошо обращаются</w:t>
            </w:r>
            <w:r>
              <w:rPr>
                <w:spacing w:val="-15"/>
                <w:sz w:val="24"/>
              </w:rPr>
              <w:t> </w:t>
            </w:r>
            <w:r>
              <w:rPr>
                <w:sz w:val="24"/>
              </w:rPr>
              <w:t>со</w:t>
            </w:r>
            <w:r>
              <w:rPr>
                <w:spacing w:val="-15"/>
                <w:sz w:val="24"/>
              </w:rPr>
              <w:t> </w:t>
            </w:r>
            <w:r>
              <w:rPr>
                <w:sz w:val="24"/>
              </w:rPr>
              <w:t>мно</w:t>
            </w:r>
            <w:r>
              <w:rPr>
                <w:sz w:val="24"/>
              </w:rPr>
              <w:t>й</w:t>
            </w:r>
          </w:p>
        </w:tc>
        <w:tc>
          <w:tcPr>
            <w:tcW w:w="1500" w:type="dxa"/>
          </w:tcPr>
          <w:p>
            <w:pPr>
              <w:pStyle w:val="TableParagraph"/>
              <w:spacing w:before="56"/>
              <w:rPr>
                <w:b/>
                <w:sz w:val="24"/>
              </w:rPr>
            </w:pPr>
          </w:p>
          <w:p>
            <w:pPr>
              <w:pStyle w:val="TableParagraph"/>
              <w:ind w:left="628"/>
              <w:rPr>
                <w:sz w:val="24"/>
              </w:rPr>
            </w:pPr>
            <w:r>
              <w:rPr>
                <w:spacing w:val="-10"/>
                <w:sz w:val="24"/>
              </w:rPr>
              <w:t>1</w:t>
            </w:r>
          </w:p>
        </w:tc>
        <w:tc>
          <w:tcPr>
            <w:tcW w:w="1354" w:type="dxa"/>
          </w:tcPr>
          <w:p>
            <w:pPr>
              <w:pStyle w:val="TableParagraph"/>
              <w:spacing w:before="56"/>
              <w:rPr>
                <w:b/>
                <w:sz w:val="24"/>
              </w:rPr>
            </w:pPr>
          </w:p>
          <w:p>
            <w:pPr>
              <w:pStyle w:val="TableParagraph"/>
              <w:ind w:left="554"/>
              <w:rPr>
                <w:sz w:val="24"/>
              </w:rPr>
            </w:pPr>
            <w:r>
              <w:rPr>
                <w:spacing w:val="-10"/>
                <w:sz w:val="24"/>
              </w:rPr>
              <w:t>2</w:t>
            </w:r>
          </w:p>
        </w:tc>
        <w:tc>
          <w:tcPr>
            <w:tcW w:w="1234" w:type="dxa"/>
          </w:tcPr>
          <w:p>
            <w:pPr>
              <w:pStyle w:val="TableParagraph"/>
              <w:spacing w:before="56"/>
              <w:rPr>
                <w:b/>
                <w:sz w:val="24"/>
              </w:rPr>
            </w:pPr>
          </w:p>
          <w:p>
            <w:pPr>
              <w:pStyle w:val="TableParagraph"/>
              <w:ind w:left="493"/>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left="509"/>
              <w:rPr>
                <w:sz w:val="24"/>
              </w:rPr>
            </w:pPr>
            <w:r>
              <w:rPr>
                <w:spacing w:val="-10"/>
                <w:sz w:val="24"/>
              </w:rPr>
              <w:t>5</w:t>
            </w:r>
          </w:p>
        </w:tc>
      </w:tr>
      <w:tr>
        <w:trPr>
          <w:trHeight w:val="993" w:hRule="atLeast"/>
        </w:trPr>
        <w:tc>
          <w:tcPr>
            <w:tcW w:w="2725" w:type="dxa"/>
          </w:tcPr>
          <w:p>
            <w:pPr>
              <w:pStyle w:val="TableParagraph"/>
              <w:spacing w:before="56"/>
              <w:rPr>
                <w:b/>
                <w:sz w:val="24"/>
              </w:rPr>
            </w:pPr>
          </w:p>
          <w:p>
            <w:pPr>
              <w:pStyle w:val="TableParagraph"/>
              <w:ind w:left="220"/>
              <w:rPr>
                <w:sz w:val="24"/>
              </w:rPr>
            </w:pPr>
            <w:r>
              <w:rPr>
                <w:sz w:val="24"/>
              </w:rPr>
              <w:t>15.</w:t>
            </w:r>
            <w:r>
              <w:rPr>
                <w:spacing w:val="-12"/>
                <w:sz w:val="24"/>
              </w:rPr>
              <w:t> </w:t>
            </w:r>
            <w:r>
              <w:rPr>
                <w:sz w:val="24"/>
              </w:rPr>
              <w:t>У</w:t>
            </w:r>
            <w:r>
              <w:rPr>
                <w:spacing w:val="-12"/>
                <w:sz w:val="24"/>
              </w:rPr>
              <w:t> </w:t>
            </w:r>
            <w:r>
              <w:rPr>
                <w:sz w:val="24"/>
              </w:rPr>
              <w:t>меня</w:t>
            </w:r>
            <w:r>
              <w:rPr>
                <w:spacing w:val="-12"/>
                <w:sz w:val="24"/>
              </w:rPr>
              <w:t> </w:t>
            </w:r>
            <w:r>
              <w:rPr>
                <w:sz w:val="24"/>
              </w:rPr>
              <w:t>хорошие </w:t>
            </w:r>
            <w:r>
              <w:rPr>
                <w:spacing w:val="-2"/>
                <w:sz w:val="24"/>
              </w:rPr>
              <w:t>друзья</w:t>
            </w:r>
          </w:p>
        </w:tc>
        <w:tc>
          <w:tcPr>
            <w:tcW w:w="1500" w:type="dxa"/>
          </w:tcPr>
          <w:p>
            <w:pPr>
              <w:pStyle w:val="TableParagraph"/>
              <w:spacing w:before="56"/>
              <w:rPr>
                <w:b/>
                <w:sz w:val="24"/>
              </w:rPr>
            </w:pPr>
          </w:p>
          <w:p>
            <w:pPr>
              <w:pStyle w:val="TableParagraph"/>
              <w:ind w:left="628"/>
              <w:rPr>
                <w:sz w:val="24"/>
              </w:rPr>
            </w:pPr>
            <w:r>
              <w:rPr>
                <w:spacing w:val="-10"/>
                <w:sz w:val="24"/>
              </w:rPr>
              <w:t>1</w:t>
            </w:r>
          </w:p>
        </w:tc>
        <w:tc>
          <w:tcPr>
            <w:tcW w:w="1354" w:type="dxa"/>
          </w:tcPr>
          <w:p>
            <w:pPr>
              <w:pStyle w:val="TableParagraph"/>
              <w:spacing w:before="56"/>
              <w:rPr>
                <w:b/>
                <w:sz w:val="24"/>
              </w:rPr>
            </w:pPr>
          </w:p>
          <w:p>
            <w:pPr>
              <w:pStyle w:val="TableParagraph"/>
              <w:ind w:left="554"/>
              <w:rPr>
                <w:sz w:val="24"/>
              </w:rPr>
            </w:pPr>
            <w:r>
              <w:rPr>
                <w:spacing w:val="-10"/>
                <w:sz w:val="24"/>
              </w:rPr>
              <w:t>2</w:t>
            </w:r>
          </w:p>
        </w:tc>
        <w:tc>
          <w:tcPr>
            <w:tcW w:w="1234" w:type="dxa"/>
          </w:tcPr>
          <w:p>
            <w:pPr>
              <w:pStyle w:val="TableParagraph"/>
              <w:spacing w:before="56"/>
              <w:rPr>
                <w:b/>
                <w:sz w:val="24"/>
              </w:rPr>
            </w:pPr>
          </w:p>
          <w:p>
            <w:pPr>
              <w:pStyle w:val="TableParagraph"/>
              <w:ind w:left="493"/>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left="509"/>
              <w:rPr>
                <w:sz w:val="24"/>
              </w:rPr>
            </w:pPr>
            <w:r>
              <w:rPr>
                <w:spacing w:val="-10"/>
                <w:sz w:val="24"/>
              </w:rPr>
              <w:t>5</w:t>
            </w:r>
          </w:p>
        </w:tc>
      </w:tr>
      <w:tr>
        <w:trPr>
          <w:trHeight w:val="1267" w:hRule="atLeast"/>
        </w:trPr>
        <w:tc>
          <w:tcPr>
            <w:tcW w:w="2725" w:type="dxa"/>
          </w:tcPr>
          <w:p>
            <w:pPr>
              <w:pStyle w:val="TableParagraph"/>
              <w:spacing w:before="57"/>
              <w:rPr>
                <w:b/>
                <w:sz w:val="24"/>
              </w:rPr>
            </w:pPr>
          </w:p>
          <w:p>
            <w:pPr>
              <w:pStyle w:val="TableParagraph"/>
              <w:ind w:left="220"/>
              <w:rPr>
                <w:sz w:val="24"/>
              </w:rPr>
            </w:pPr>
            <w:r>
              <w:rPr>
                <w:sz w:val="24"/>
              </w:rPr>
              <w:t>20. Мне нравится проводить</w:t>
            </w:r>
            <w:r>
              <w:rPr>
                <w:spacing w:val="-15"/>
                <w:sz w:val="24"/>
              </w:rPr>
              <w:t> </w:t>
            </w:r>
            <w:r>
              <w:rPr>
                <w:sz w:val="24"/>
              </w:rPr>
              <w:t>время</w:t>
            </w:r>
            <w:r>
              <w:rPr>
                <w:spacing w:val="-15"/>
                <w:sz w:val="24"/>
              </w:rPr>
              <w:t> </w:t>
            </w:r>
            <w:r>
              <w:rPr>
                <w:sz w:val="24"/>
              </w:rPr>
              <w:t>с </w:t>
            </w:r>
            <w:r>
              <w:rPr>
                <w:spacing w:val="-2"/>
                <w:sz w:val="24"/>
              </w:rPr>
              <w:t>друзьями</w:t>
            </w:r>
          </w:p>
        </w:tc>
        <w:tc>
          <w:tcPr>
            <w:tcW w:w="1500" w:type="dxa"/>
          </w:tcPr>
          <w:p>
            <w:pPr>
              <w:pStyle w:val="TableParagraph"/>
              <w:spacing w:before="57"/>
              <w:rPr>
                <w:b/>
                <w:sz w:val="24"/>
              </w:rPr>
            </w:pPr>
          </w:p>
          <w:p>
            <w:pPr>
              <w:pStyle w:val="TableParagraph"/>
              <w:ind w:left="628"/>
              <w:rPr>
                <w:sz w:val="24"/>
              </w:rPr>
            </w:pPr>
            <w:r>
              <w:rPr>
                <w:spacing w:val="-10"/>
                <w:sz w:val="24"/>
              </w:rPr>
              <w:t>1</w:t>
            </w:r>
          </w:p>
        </w:tc>
        <w:tc>
          <w:tcPr>
            <w:tcW w:w="1354" w:type="dxa"/>
          </w:tcPr>
          <w:p>
            <w:pPr>
              <w:pStyle w:val="TableParagraph"/>
              <w:spacing w:before="57"/>
              <w:rPr>
                <w:b/>
                <w:sz w:val="24"/>
              </w:rPr>
            </w:pPr>
          </w:p>
          <w:p>
            <w:pPr>
              <w:pStyle w:val="TableParagraph"/>
              <w:ind w:left="554"/>
              <w:rPr>
                <w:sz w:val="24"/>
              </w:rPr>
            </w:pPr>
            <w:r>
              <w:rPr>
                <w:spacing w:val="-10"/>
                <w:sz w:val="24"/>
              </w:rPr>
              <w:t>2</w:t>
            </w:r>
          </w:p>
        </w:tc>
        <w:tc>
          <w:tcPr>
            <w:tcW w:w="1234" w:type="dxa"/>
          </w:tcPr>
          <w:p>
            <w:pPr>
              <w:pStyle w:val="TableParagraph"/>
              <w:spacing w:before="57"/>
              <w:rPr>
                <w:b/>
                <w:sz w:val="24"/>
              </w:rPr>
            </w:pPr>
          </w:p>
          <w:p>
            <w:pPr>
              <w:pStyle w:val="TableParagraph"/>
              <w:ind w:left="493"/>
              <w:rPr>
                <w:sz w:val="24"/>
              </w:rPr>
            </w:pPr>
            <w:r>
              <w:rPr>
                <w:spacing w:val="-10"/>
                <w:sz w:val="24"/>
              </w:rPr>
              <w:t>3</w:t>
            </w:r>
          </w:p>
        </w:tc>
        <w:tc>
          <w:tcPr>
            <w:tcW w:w="1280" w:type="dxa"/>
          </w:tcPr>
          <w:p>
            <w:pPr>
              <w:pStyle w:val="TableParagraph"/>
              <w:spacing w:before="57"/>
              <w:rPr>
                <w:b/>
                <w:sz w:val="24"/>
              </w:rPr>
            </w:pPr>
          </w:p>
          <w:p>
            <w:pPr>
              <w:pStyle w:val="TableParagraph"/>
              <w:ind w:right="107"/>
              <w:jc w:val="center"/>
              <w:rPr>
                <w:sz w:val="24"/>
              </w:rPr>
            </w:pPr>
            <w:r>
              <w:rPr>
                <w:spacing w:val="-10"/>
                <w:sz w:val="24"/>
              </w:rPr>
              <w:t>4</w:t>
            </w:r>
          </w:p>
        </w:tc>
        <w:tc>
          <w:tcPr>
            <w:tcW w:w="1265" w:type="dxa"/>
          </w:tcPr>
          <w:p>
            <w:pPr>
              <w:pStyle w:val="TableParagraph"/>
              <w:spacing w:before="57"/>
              <w:rPr>
                <w:b/>
                <w:sz w:val="24"/>
              </w:rPr>
            </w:pPr>
          </w:p>
          <w:p>
            <w:pPr>
              <w:pStyle w:val="TableParagraph"/>
              <w:ind w:left="509"/>
              <w:rPr>
                <w:sz w:val="24"/>
              </w:rPr>
            </w:pPr>
            <w:r>
              <w:rPr>
                <w:spacing w:val="-10"/>
                <w:sz w:val="24"/>
              </w:rPr>
              <w:t>5</w:t>
            </w:r>
          </w:p>
        </w:tc>
      </w:tr>
      <w:tr>
        <w:trPr>
          <w:trHeight w:val="993" w:hRule="atLeast"/>
        </w:trPr>
        <w:tc>
          <w:tcPr>
            <w:tcW w:w="2725" w:type="dxa"/>
          </w:tcPr>
          <w:p>
            <w:pPr>
              <w:pStyle w:val="TableParagraph"/>
              <w:spacing w:before="56"/>
              <w:rPr>
                <w:b/>
                <w:sz w:val="24"/>
              </w:rPr>
            </w:pPr>
          </w:p>
          <w:p>
            <w:pPr>
              <w:pStyle w:val="TableParagraph"/>
              <w:ind w:left="220"/>
              <w:rPr>
                <w:sz w:val="24"/>
              </w:rPr>
            </w:pPr>
            <w:r>
              <w:rPr>
                <w:sz w:val="24"/>
              </w:rPr>
              <w:t>25.</w:t>
            </w:r>
            <w:r>
              <w:rPr>
                <w:spacing w:val="-13"/>
                <w:sz w:val="24"/>
              </w:rPr>
              <w:t> </w:t>
            </w:r>
            <w:r>
              <w:rPr>
                <w:sz w:val="24"/>
              </w:rPr>
              <w:t>У</w:t>
            </w:r>
            <w:r>
              <w:rPr>
                <w:spacing w:val="-13"/>
                <w:sz w:val="24"/>
              </w:rPr>
              <w:t> </w:t>
            </w:r>
            <w:r>
              <w:rPr>
                <w:sz w:val="24"/>
              </w:rPr>
              <w:t>меня</w:t>
            </w:r>
            <w:r>
              <w:rPr>
                <w:spacing w:val="-13"/>
                <w:sz w:val="24"/>
              </w:rPr>
              <w:t> </w:t>
            </w:r>
            <w:r>
              <w:rPr>
                <w:sz w:val="24"/>
              </w:rPr>
              <w:t>достаточно </w:t>
            </w:r>
            <w:r>
              <w:rPr>
                <w:spacing w:val="-2"/>
                <w:sz w:val="24"/>
              </w:rPr>
              <w:t>друзей</w:t>
            </w:r>
          </w:p>
        </w:tc>
        <w:tc>
          <w:tcPr>
            <w:tcW w:w="1500" w:type="dxa"/>
          </w:tcPr>
          <w:p>
            <w:pPr>
              <w:pStyle w:val="TableParagraph"/>
              <w:spacing w:before="56"/>
              <w:rPr>
                <w:b/>
                <w:sz w:val="24"/>
              </w:rPr>
            </w:pPr>
          </w:p>
          <w:p>
            <w:pPr>
              <w:pStyle w:val="TableParagraph"/>
              <w:ind w:left="628"/>
              <w:rPr>
                <w:sz w:val="24"/>
              </w:rPr>
            </w:pPr>
            <w:r>
              <w:rPr>
                <w:spacing w:val="-10"/>
                <w:sz w:val="24"/>
              </w:rPr>
              <w:t>1</w:t>
            </w:r>
          </w:p>
        </w:tc>
        <w:tc>
          <w:tcPr>
            <w:tcW w:w="1354" w:type="dxa"/>
          </w:tcPr>
          <w:p>
            <w:pPr>
              <w:pStyle w:val="TableParagraph"/>
              <w:spacing w:before="56"/>
              <w:rPr>
                <w:b/>
                <w:sz w:val="24"/>
              </w:rPr>
            </w:pPr>
          </w:p>
          <w:p>
            <w:pPr>
              <w:pStyle w:val="TableParagraph"/>
              <w:ind w:left="554"/>
              <w:rPr>
                <w:sz w:val="24"/>
              </w:rPr>
            </w:pPr>
            <w:r>
              <w:rPr>
                <w:spacing w:val="-10"/>
                <w:sz w:val="24"/>
              </w:rPr>
              <w:t>2</w:t>
            </w:r>
          </w:p>
        </w:tc>
        <w:tc>
          <w:tcPr>
            <w:tcW w:w="1234" w:type="dxa"/>
          </w:tcPr>
          <w:p>
            <w:pPr>
              <w:pStyle w:val="TableParagraph"/>
              <w:spacing w:before="56"/>
              <w:rPr>
                <w:b/>
                <w:sz w:val="24"/>
              </w:rPr>
            </w:pPr>
          </w:p>
          <w:p>
            <w:pPr>
              <w:pStyle w:val="TableParagraph"/>
              <w:ind w:left="493"/>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left="509"/>
              <w:rPr>
                <w:sz w:val="24"/>
              </w:rPr>
            </w:pPr>
            <w:r>
              <w:rPr>
                <w:spacing w:val="-10"/>
                <w:sz w:val="24"/>
              </w:rPr>
              <w:t>5</w:t>
            </w:r>
          </w:p>
        </w:tc>
      </w:tr>
      <w:tr>
        <w:trPr>
          <w:trHeight w:val="1267" w:hRule="atLeast"/>
        </w:trPr>
        <w:tc>
          <w:tcPr>
            <w:tcW w:w="2725" w:type="dxa"/>
          </w:tcPr>
          <w:p>
            <w:pPr>
              <w:pStyle w:val="TableParagraph"/>
              <w:spacing w:before="56"/>
              <w:rPr>
                <w:b/>
                <w:sz w:val="24"/>
              </w:rPr>
            </w:pPr>
          </w:p>
          <w:p>
            <w:pPr>
              <w:pStyle w:val="TableParagraph"/>
              <w:ind w:left="220" w:right="267"/>
              <w:rPr>
                <w:sz w:val="24"/>
              </w:rPr>
            </w:pPr>
            <w:r>
              <w:rPr>
                <w:sz w:val="24"/>
              </w:rPr>
              <w:t>30. Мои друзья помогут</w:t>
            </w:r>
            <w:r>
              <w:rPr>
                <w:spacing w:val="-15"/>
                <w:sz w:val="24"/>
              </w:rPr>
              <w:t> </w:t>
            </w:r>
            <w:r>
              <w:rPr>
                <w:sz w:val="24"/>
              </w:rPr>
              <w:t>мне,</w:t>
            </w:r>
            <w:r>
              <w:rPr>
                <w:spacing w:val="-15"/>
                <w:sz w:val="24"/>
              </w:rPr>
              <w:t> </w:t>
            </w:r>
            <w:r>
              <w:rPr>
                <w:sz w:val="24"/>
              </w:rPr>
              <w:t>если </w:t>
            </w:r>
            <w:r>
              <w:rPr>
                <w:spacing w:val="-2"/>
                <w:sz w:val="24"/>
              </w:rPr>
              <w:t>понадобится</w:t>
            </w:r>
          </w:p>
        </w:tc>
        <w:tc>
          <w:tcPr>
            <w:tcW w:w="1500" w:type="dxa"/>
          </w:tcPr>
          <w:p>
            <w:pPr>
              <w:pStyle w:val="TableParagraph"/>
              <w:spacing w:before="56"/>
              <w:rPr>
                <w:b/>
                <w:sz w:val="24"/>
              </w:rPr>
            </w:pPr>
          </w:p>
          <w:p>
            <w:pPr>
              <w:pStyle w:val="TableParagraph"/>
              <w:ind w:left="628"/>
              <w:rPr>
                <w:sz w:val="24"/>
              </w:rPr>
            </w:pPr>
            <w:r>
              <w:rPr>
                <w:spacing w:val="-10"/>
                <w:sz w:val="24"/>
              </w:rPr>
              <w:t>1</w:t>
            </w:r>
          </w:p>
        </w:tc>
        <w:tc>
          <w:tcPr>
            <w:tcW w:w="1354" w:type="dxa"/>
          </w:tcPr>
          <w:p>
            <w:pPr>
              <w:pStyle w:val="TableParagraph"/>
              <w:spacing w:before="56"/>
              <w:rPr>
                <w:b/>
                <w:sz w:val="24"/>
              </w:rPr>
            </w:pPr>
          </w:p>
          <w:p>
            <w:pPr>
              <w:pStyle w:val="TableParagraph"/>
              <w:ind w:left="554"/>
              <w:rPr>
                <w:sz w:val="24"/>
              </w:rPr>
            </w:pPr>
            <w:r>
              <w:rPr>
                <w:spacing w:val="-10"/>
                <w:sz w:val="24"/>
              </w:rPr>
              <w:t>2</w:t>
            </w:r>
          </w:p>
        </w:tc>
        <w:tc>
          <w:tcPr>
            <w:tcW w:w="1234" w:type="dxa"/>
          </w:tcPr>
          <w:p>
            <w:pPr>
              <w:pStyle w:val="TableParagraph"/>
              <w:spacing w:before="56"/>
              <w:rPr>
                <w:b/>
                <w:sz w:val="24"/>
              </w:rPr>
            </w:pPr>
          </w:p>
          <w:p>
            <w:pPr>
              <w:pStyle w:val="TableParagraph"/>
              <w:ind w:left="493"/>
              <w:rPr>
                <w:sz w:val="24"/>
              </w:rPr>
            </w:pPr>
            <w:r>
              <w:rPr>
                <w:spacing w:val="-10"/>
                <w:sz w:val="24"/>
              </w:rPr>
              <w:t>3</w:t>
            </w:r>
          </w:p>
        </w:tc>
        <w:tc>
          <w:tcPr>
            <w:tcW w:w="1280" w:type="dxa"/>
          </w:tcPr>
          <w:p>
            <w:pPr>
              <w:pStyle w:val="TableParagraph"/>
              <w:spacing w:before="56"/>
              <w:rPr>
                <w:b/>
                <w:sz w:val="24"/>
              </w:rPr>
            </w:pPr>
          </w:p>
          <w:p>
            <w:pPr>
              <w:pStyle w:val="TableParagraph"/>
              <w:ind w:right="107"/>
              <w:jc w:val="center"/>
              <w:rPr>
                <w:sz w:val="24"/>
              </w:rPr>
            </w:pPr>
            <w:r>
              <w:rPr>
                <w:spacing w:val="-10"/>
                <w:sz w:val="24"/>
              </w:rPr>
              <w:t>4</w:t>
            </w:r>
          </w:p>
        </w:tc>
        <w:tc>
          <w:tcPr>
            <w:tcW w:w="1265" w:type="dxa"/>
          </w:tcPr>
          <w:p>
            <w:pPr>
              <w:pStyle w:val="TableParagraph"/>
              <w:spacing w:before="56"/>
              <w:rPr>
                <w:b/>
                <w:sz w:val="24"/>
              </w:rPr>
            </w:pPr>
          </w:p>
          <w:p>
            <w:pPr>
              <w:pStyle w:val="TableParagraph"/>
              <w:ind w:left="509"/>
              <w:rPr>
                <w:sz w:val="24"/>
              </w:rPr>
            </w:pPr>
            <w:r>
              <w:rPr>
                <w:spacing w:val="-10"/>
                <w:sz w:val="24"/>
              </w:rPr>
              <w:t>5</w:t>
            </w:r>
          </w:p>
        </w:tc>
      </w:tr>
    </w:tbl>
    <w:p>
      <w:pPr>
        <w:spacing w:before="251"/>
        <w:ind w:left="285" w:right="0" w:firstLine="0"/>
        <w:jc w:val="left"/>
        <w:rPr>
          <w:sz w:val="24"/>
        </w:rPr>
      </w:pPr>
      <w:r>
        <w:rPr>
          <w:i/>
          <w:sz w:val="24"/>
        </w:rPr>
        <w:t>Прим</w:t>
      </w:r>
      <w:r>
        <w:rPr>
          <w:sz w:val="24"/>
        </w:rPr>
        <w:t>.</w:t>
      </w:r>
      <w:r>
        <w:rPr>
          <w:spacing w:val="-3"/>
          <w:sz w:val="24"/>
        </w:rPr>
        <w:t> </w:t>
      </w:r>
      <w:r>
        <w:rPr>
          <w:sz w:val="24"/>
        </w:rPr>
        <w:t>*Обратные</w:t>
      </w:r>
      <w:r>
        <w:rPr>
          <w:spacing w:val="-3"/>
          <w:sz w:val="24"/>
        </w:rPr>
        <w:t> </w:t>
      </w:r>
      <w:r>
        <w:rPr>
          <w:spacing w:val="-2"/>
          <w:sz w:val="24"/>
        </w:rPr>
        <w:t>утверждения.</w:t>
      </w:r>
    </w:p>
    <w:p>
      <w:pPr>
        <w:spacing w:after="0"/>
        <w:jc w:val="left"/>
        <w:rPr>
          <w:sz w:val="24"/>
        </w:rPr>
        <w:sectPr>
          <w:type w:val="continuous"/>
          <w:pgSz w:w="11910" w:h="16840"/>
          <w:pgMar w:header="0" w:footer="970" w:top="1100" w:bottom="1220" w:left="1417" w:right="283"/>
        </w:sectPr>
      </w:pPr>
    </w:p>
    <w:p>
      <w:pPr>
        <w:spacing w:line="242" w:lineRule="auto" w:before="67"/>
        <w:ind w:left="285" w:right="0" w:firstLine="0"/>
        <w:jc w:val="left"/>
        <w:rPr>
          <w:sz w:val="28"/>
        </w:rPr>
      </w:pPr>
      <w:r>
        <w:rPr>
          <w:sz w:val="28"/>
        </w:rPr>
        <w:t>Ниже представлены данные методики по выборке детей из Москвы (</w:t>
      </w:r>
      <w:r>
        <w:rPr>
          <w:i/>
          <w:sz w:val="28"/>
        </w:rPr>
        <w:t>Сычев,</w:t>
      </w:r>
      <w:r>
        <w:rPr>
          <w:i/>
          <w:spacing w:val="40"/>
          <w:sz w:val="28"/>
        </w:rPr>
        <w:t> </w:t>
      </w:r>
      <w:r>
        <w:rPr>
          <w:i/>
          <w:sz w:val="28"/>
        </w:rPr>
        <w:t>Гордеева, Лункина, Осин, Сиднева, </w:t>
      </w:r>
      <w:r>
        <w:rPr>
          <w:sz w:val="28"/>
        </w:rPr>
        <w:t>2018).</w:t>
      </w:r>
    </w:p>
    <w:p>
      <w:pPr>
        <w:spacing w:after="0" w:line="242" w:lineRule="auto"/>
        <w:jc w:val="left"/>
        <w:rPr>
          <w:sz w:val="28"/>
        </w:rPr>
        <w:sectPr>
          <w:pgSz w:w="11910" w:h="16840"/>
          <w:pgMar w:header="0" w:footer="970" w:top="1040" w:bottom="1220" w:left="1417" w:right="283"/>
        </w:sectPr>
      </w:pPr>
    </w:p>
    <w:p>
      <w:pPr>
        <w:pStyle w:val="Heading3"/>
        <w:ind w:left="0" w:right="562"/>
        <w:jc w:val="right"/>
      </w:pPr>
      <w:r>
        <w:rPr/>
        <w:t>Таблица</w:t>
      </w:r>
      <w:r>
        <w:rPr>
          <w:spacing w:val="-6"/>
        </w:rPr>
        <w:t> </w:t>
      </w:r>
      <w:r>
        <w:rPr>
          <w:spacing w:val="-5"/>
        </w:rPr>
        <w:t>11</w:t>
      </w:r>
    </w:p>
    <w:p>
      <w:pPr>
        <w:spacing w:before="240"/>
        <w:ind w:left="2594" w:right="0" w:hanging="2125"/>
        <w:jc w:val="left"/>
        <w:rPr>
          <w:b/>
          <w:sz w:val="28"/>
        </w:rPr>
      </w:pPr>
      <w:r>
        <w:rPr>
          <w:b/>
          <w:sz w:val="28"/>
        </w:rPr>
        <w:t>Описательная</w:t>
      </w:r>
      <w:r>
        <w:rPr>
          <w:b/>
          <w:spacing w:val="-6"/>
          <w:sz w:val="28"/>
        </w:rPr>
        <w:t> </w:t>
      </w:r>
      <w:r>
        <w:rPr>
          <w:b/>
          <w:sz w:val="28"/>
        </w:rPr>
        <w:t>статистика</w:t>
      </w:r>
      <w:r>
        <w:rPr>
          <w:b/>
          <w:spacing w:val="-4"/>
          <w:sz w:val="28"/>
        </w:rPr>
        <w:t> </w:t>
      </w:r>
      <w:r>
        <w:rPr>
          <w:b/>
          <w:sz w:val="28"/>
        </w:rPr>
        <w:t>и</w:t>
      </w:r>
      <w:r>
        <w:rPr>
          <w:b/>
          <w:spacing w:val="-6"/>
          <w:sz w:val="28"/>
        </w:rPr>
        <w:t> </w:t>
      </w:r>
      <w:r>
        <w:rPr>
          <w:b/>
          <w:sz w:val="28"/>
        </w:rPr>
        <w:t>гендерные</w:t>
      </w:r>
      <w:r>
        <w:rPr>
          <w:b/>
          <w:spacing w:val="-5"/>
          <w:sz w:val="28"/>
        </w:rPr>
        <w:t> </w:t>
      </w:r>
      <w:r>
        <w:rPr>
          <w:b/>
          <w:sz w:val="28"/>
        </w:rPr>
        <w:t>различия</w:t>
      </w:r>
      <w:r>
        <w:rPr>
          <w:b/>
          <w:spacing w:val="-6"/>
          <w:sz w:val="28"/>
        </w:rPr>
        <w:t> </w:t>
      </w:r>
      <w:r>
        <w:rPr>
          <w:b/>
          <w:sz w:val="28"/>
        </w:rPr>
        <w:t>по</w:t>
      </w:r>
      <w:r>
        <w:rPr>
          <w:b/>
          <w:spacing w:val="-4"/>
          <w:sz w:val="28"/>
        </w:rPr>
        <w:t> </w:t>
      </w:r>
      <w:r>
        <w:rPr>
          <w:b/>
          <w:sz w:val="28"/>
        </w:rPr>
        <w:t>шкалам</w:t>
      </w:r>
      <w:r>
        <w:rPr>
          <w:b/>
          <w:spacing w:val="-5"/>
          <w:sz w:val="28"/>
        </w:rPr>
        <w:t> </w:t>
      </w:r>
      <w:r>
        <w:rPr>
          <w:b/>
          <w:sz w:val="28"/>
        </w:rPr>
        <w:t>методики Хюбнера (русскоязычная адаптация)</w:t>
      </w:r>
    </w:p>
    <w:p>
      <w:pPr>
        <w:pStyle w:val="BodyText"/>
        <w:ind w:left="0" w:right="0" w:firstLine="0"/>
        <w:jc w:val="left"/>
        <w:rPr>
          <w:b/>
        </w:rPr>
      </w:pPr>
    </w:p>
    <w:p>
      <w:pPr>
        <w:pStyle w:val="BodyText"/>
        <w:spacing w:before="103"/>
        <w:ind w:left="0" w:right="0" w:firstLine="0"/>
        <w:jc w:val="left"/>
        <w:rPr>
          <w:b/>
        </w:rPr>
      </w:pPr>
    </w:p>
    <w:tbl>
      <w:tblPr>
        <w:tblW w:w="0" w:type="auto"/>
        <w:jc w:val="left"/>
        <w:tblInd w:w="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51"/>
        <w:gridCol w:w="1140"/>
        <w:gridCol w:w="1185"/>
        <w:gridCol w:w="1409"/>
        <w:gridCol w:w="1005"/>
        <w:gridCol w:w="1229"/>
        <w:gridCol w:w="1711"/>
      </w:tblGrid>
      <w:tr>
        <w:trPr>
          <w:trHeight w:val="992" w:hRule="atLeast"/>
        </w:trPr>
        <w:tc>
          <w:tcPr>
            <w:tcW w:w="1651" w:type="dxa"/>
          </w:tcPr>
          <w:p>
            <w:pPr>
              <w:pStyle w:val="TableParagraph"/>
              <w:spacing w:before="61"/>
              <w:rPr>
                <w:b/>
                <w:sz w:val="24"/>
              </w:rPr>
            </w:pPr>
          </w:p>
          <w:p>
            <w:pPr>
              <w:pStyle w:val="TableParagraph"/>
              <w:ind w:left="352"/>
              <w:rPr>
                <w:b/>
                <w:sz w:val="24"/>
              </w:rPr>
            </w:pPr>
            <w:r>
              <w:rPr>
                <w:b/>
                <w:spacing w:val="-2"/>
                <w:sz w:val="24"/>
              </w:rPr>
              <w:t>Шкалы</w:t>
            </w:r>
          </w:p>
        </w:tc>
        <w:tc>
          <w:tcPr>
            <w:tcW w:w="1140" w:type="dxa"/>
          </w:tcPr>
          <w:p>
            <w:pPr>
              <w:pStyle w:val="TableParagraph"/>
              <w:spacing w:before="61"/>
              <w:rPr>
                <w:b/>
                <w:sz w:val="24"/>
              </w:rPr>
            </w:pPr>
          </w:p>
          <w:p>
            <w:pPr>
              <w:pStyle w:val="TableParagraph"/>
              <w:ind w:left="6" w:right="89"/>
              <w:jc w:val="center"/>
              <w:rPr>
                <w:b/>
                <w:sz w:val="24"/>
              </w:rPr>
            </w:pPr>
            <w:r>
              <w:rPr>
                <w:b/>
                <w:spacing w:val="-2"/>
                <w:sz w:val="24"/>
              </w:rPr>
              <w:t>Семья</w:t>
            </w:r>
          </w:p>
        </w:tc>
        <w:tc>
          <w:tcPr>
            <w:tcW w:w="1185" w:type="dxa"/>
          </w:tcPr>
          <w:p>
            <w:pPr>
              <w:pStyle w:val="TableParagraph"/>
              <w:spacing w:before="61"/>
              <w:rPr>
                <w:b/>
                <w:sz w:val="24"/>
              </w:rPr>
            </w:pPr>
          </w:p>
          <w:p>
            <w:pPr>
              <w:pStyle w:val="TableParagraph"/>
              <w:ind w:left="2" w:right="84"/>
              <w:jc w:val="center"/>
              <w:rPr>
                <w:b/>
                <w:sz w:val="24"/>
              </w:rPr>
            </w:pPr>
            <w:r>
              <w:rPr>
                <w:b/>
                <w:spacing w:val="-2"/>
                <w:sz w:val="24"/>
              </w:rPr>
              <w:t>Школа</w:t>
            </w:r>
          </w:p>
        </w:tc>
        <w:tc>
          <w:tcPr>
            <w:tcW w:w="1409" w:type="dxa"/>
          </w:tcPr>
          <w:p>
            <w:pPr>
              <w:pStyle w:val="TableParagraph"/>
              <w:spacing w:before="61"/>
              <w:rPr>
                <w:b/>
                <w:sz w:val="24"/>
              </w:rPr>
            </w:pPr>
          </w:p>
          <w:p>
            <w:pPr>
              <w:pStyle w:val="TableParagraph"/>
              <w:ind w:right="81"/>
              <w:jc w:val="center"/>
              <w:rPr>
                <w:b/>
                <w:sz w:val="24"/>
              </w:rPr>
            </w:pPr>
            <w:r>
              <w:rPr>
                <w:b/>
                <w:spacing w:val="-2"/>
                <w:sz w:val="24"/>
              </w:rPr>
              <w:t>Учителя</w:t>
            </w:r>
          </w:p>
        </w:tc>
        <w:tc>
          <w:tcPr>
            <w:tcW w:w="1005" w:type="dxa"/>
          </w:tcPr>
          <w:p>
            <w:pPr>
              <w:pStyle w:val="TableParagraph"/>
              <w:spacing w:before="61"/>
              <w:rPr>
                <w:b/>
                <w:sz w:val="24"/>
              </w:rPr>
            </w:pPr>
          </w:p>
          <w:p>
            <w:pPr>
              <w:pStyle w:val="TableParagraph"/>
              <w:ind w:right="220"/>
              <w:jc w:val="right"/>
              <w:rPr>
                <w:b/>
                <w:sz w:val="24"/>
              </w:rPr>
            </w:pPr>
            <w:r>
              <w:rPr>
                <w:b/>
                <w:sz w:val="24"/>
              </w:rPr>
              <w:t>Я</w:t>
            </w:r>
            <w:r>
              <w:rPr>
                <w:b/>
                <w:spacing w:val="-1"/>
                <w:sz w:val="24"/>
              </w:rPr>
              <w:t> </w:t>
            </w:r>
            <w:r>
              <w:rPr>
                <w:b/>
                <w:spacing w:val="-5"/>
                <w:sz w:val="24"/>
              </w:rPr>
              <w:t>сам</w:t>
            </w:r>
          </w:p>
        </w:tc>
        <w:tc>
          <w:tcPr>
            <w:tcW w:w="1229" w:type="dxa"/>
          </w:tcPr>
          <w:p>
            <w:pPr>
              <w:pStyle w:val="TableParagraph"/>
              <w:spacing w:before="61"/>
              <w:rPr>
                <w:b/>
                <w:sz w:val="24"/>
              </w:rPr>
            </w:pPr>
          </w:p>
          <w:p>
            <w:pPr>
              <w:pStyle w:val="TableParagraph"/>
              <w:ind w:left="11" w:right="91"/>
              <w:jc w:val="center"/>
              <w:rPr>
                <w:b/>
                <w:sz w:val="24"/>
              </w:rPr>
            </w:pPr>
            <w:r>
              <w:rPr>
                <w:b/>
                <w:spacing w:val="-2"/>
                <w:sz w:val="24"/>
              </w:rPr>
              <w:t>Друзья</w:t>
            </w:r>
          </w:p>
        </w:tc>
        <w:tc>
          <w:tcPr>
            <w:tcW w:w="1711" w:type="dxa"/>
          </w:tcPr>
          <w:p>
            <w:pPr>
              <w:pStyle w:val="TableParagraph"/>
              <w:spacing w:before="61"/>
              <w:rPr>
                <w:b/>
                <w:sz w:val="24"/>
              </w:rPr>
            </w:pPr>
          </w:p>
          <w:p>
            <w:pPr>
              <w:pStyle w:val="TableParagraph"/>
              <w:ind w:left="196" w:firstLine="218"/>
              <w:rPr>
                <w:b/>
                <w:sz w:val="24"/>
              </w:rPr>
            </w:pPr>
            <w:r>
              <w:rPr>
                <w:b/>
                <w:spacing w:val="-4"/>
                <w:sz w:val="24"/>
              </w:rPr>
              <w:t>Общий </w:t>
            </w:r>
            <w:r>
              <w:rPr>
                <w:b/>
                <w:spacing w:val="-2"/>
                <w:sz w:val="24"/>
              </w:rPr>
              <w:t>показатель</w:t>
            </w:r>
          </w:p>
        </w:tc>
      </w:tr>
      <w:tr>
        <w:trPr>
          <w:trHeight w:val="971" w:hRule="atLeast"/>
        </w:trPr>
        <w:tc>
          <w:tcPr>
            <w:tcW w:w="1651" w:type="dxa"/>
          </w:tcPr>
          <w:p>
            <w:pPr>
              <w:pStyle w:val="TableParagraph"/>
              <w:spacing w:before="34"/>
              <w:rPr>
                <w:b/>
                <w:sz w:val="24"/>
              </w:rPr>
            </w:pPr>
          </w:p>
          <w:p>
            <w:pPr>
              <w:pStyle w:val="TableParagraph"/>
              <w:ind w:left="100" w:right="728"/>
              <w:rPr>
                <w:sz w:val="24"/>
              </w:rPr>
            </w:pPr>
            <w:r>
              <w:rPr>
                <w:spacing w:val="-2"/>
                <w:sz w:val="24"/>
              </w:rPr>
              <w:t>Общее среднее</w:t>
            </w:r>
          </w:p>
        </w:tc>
        <w:tc>
          <w:tcPr>
            <w:tcW w:w="1140" w:type="dxa"/>
          </w:tcPr>
          <w:p>
            <w:pPr>
              <w:pStyle w:val="TableParagraph"/>
              <w:spacing w:before="34"/>
              <w:rPr>
                <w:b/>
                <w:sz w:val="24"/>
              </w:rPr>
            </w:pPr>
          </w:p>
          <w:p>
            <w:pPr>
              <w:pStyle w:val="TableParagraph"/>
              <w:ind w:left="6" w:right="90"/>
              <w:jc w:val="center"/>
              <w:rPr>
                <w:sz w:val="24"/>
              </w:rPr>
            </w:pPr>
            <w:r>
              <w:rPr>
                <w:spacing w:val="-2"/>
                <w:sz w:val="24"/>
              </w:rPr>
              <w:t>24,96</w:t>
            </w:r>
          </w:p>
        </w:tc>
        <w:tc>
          <w:tcPr>
            <w:tcW w:w="1185" w:type="dxa"/>
          </w:tcPr>
          <w:p>
            <w:pPr>
              <w:pStyle w:val="TableParagraph"/>
              <w:spacing w:before="34"/>
              <w:rPr>
                <w:b/>
                <w:sz w:val="24"/>
              </w:rPr>
            </w:pPr>
          </w:p>
          <w:p>
            <w:pPr>
              <w:pStyle w:val="TableParagraph"/>
              <w:ind w:right="84"/>
              <w:jc w:val="center"/>
              <w:rPr>
                <w:sz w:val="24"/>
              </w:rPr>
            </w:pPr>
            <w:r>
              <w:rPr>
                <w:spacing w:val="-2"/>
                <w:sz w:val="24"/>
              </w:rPr>
              <w:t>19,74</w:t>
            </w:r>
          </w:p>
        </w:tc>
        <w:tc>
          <w:tcPr>
            <w:tcW w:w="1409" w:type="dxa"/>
          </w:tcPr>
          <w:p>
            <w:pPr>
              <w:pStyle w:val="TableParagraph"/>
              <w:spacing w:before="34"/>
              <w:rPr>
                <w:b/>
                <w:sz w:val="24"/>
              </w:rPr>
            </w:pPr>
          </w:p>
          <w:p>
            <w:pPr>
              <w:pStyle w:val="TableParagraph"/>
              <w:ind w:right="81"/>
              <w:jc w:val="center"/>
              <w:rPr>
                <w:sz w:val="24"/>
              </w:rPr>
            </w:pPr>
            <w:r>
              <w:rPr>
                <w:spacing w:val="-2"/>
                <w:sz w:val="24"/>
              </w:rPr>
              <w:t>22,68</w:t>
            </w:r>
          </w:p>
        </w:tc>
        <w:tc>
          <w:tcPr>
            <w:tcW w:w="1005" w:type="dxa"/>
          </w:tcPr>
          <w:p>
            <w:pPr>
              <w:pStyle w:val="TableParagraph"/>
              <w:spacing w:before="34"/>
              <w:rPr>
                <w:b/>
                <w:sz w:val="24"/>
              </w:rPr>
            </w:pPr>
          </w:p>
          <w:p>
            <w:pPr>
              <w:pStyle w:val="TableParagraph"/>
              <w:ind w:right="259"/>
              <w:jc w:val="right"/>
              <w:rPr>
                <w:sz w:val="24"/>
              </w:rPr>
            </w:pPr>
            <w:r>
              <w:rPr>
                <w:spacing w:val="-2"/>
                <w:sz w:val="24"/>
              </w:rPr>
              <w:t>21,48</w:t>
            </w:r>
          </w:p>
        </w:tc>
        <w:tc>
          <w:tcPr>
            <w:tcW w:w="1229" w:type="dxa"/>
          </w:tcPr>
          <w:p>
            <w:pPr>
              <w:pStyle w:val="TableParagraph"/>
              <w:spacing w:before="34"/>
              <w:rPr>
                <w:b/>
                <w:sz w:val="24"/>
              </w:rPr>
            </w:pPr>
          </w:p>
          <w:p>
            <w:pPr>
              <w:pStyle w:val="TableParagraph"/>
              <w:ind w:left="11" w:right="88"/>
              <w:jc w:val="center"/>
              <w:rPr>
                <w:sz w:val="24"/>
              </w:rPr>
            </w:pPr>
            <w:r>
              <w:rPr>
                <w:spacing w:val="-2"/>
                <w:sz w:val="24"/>
              </w:rPr>
              <w:t>24,18</w:t>
            </w:r>
          </w:p>
        </w:tc>
        <w:tc>
          <w:tcPr>
            <w:tcW w:w="1711" w:type="dxa"/>
          </w:tcPr>
          <w:p>
            <w:pPr>
              <w:pStyle w:val="TableParagraph"/>
              <w:spacing w:before="34"/>
              <w:rPr>
                <w:b/>
                <w:sz w:val="24"/>
              </w:rPr>
            </w:pPr>
          </w:p>
          <w:p>
            <w:pPr>
              <w:pStyle w:val="TableParagraph"/>
              <w:ind w:left="477"/>
              <w:rPr>
                <w:sz w:val="24"/>
              </w:rPr>
            </w:pPr>
            <w:r>
              <w:rPr>
                <w:spacing w:val="-2"/>
                <w:sz w:val="24"/>
              </w:rPr>
              <w:t>113,04</w:t>
            </w:r>
          </w:p>
        </w:tc>
      </w:tr>
      <w:tr>
        <w:trPr>
          <w:trHeight w:val="1211" w:hRule="atLeast"/>
        </w:trPr>
        <w:tc>
          <w:tcPr>
            <w:tcW w:w="1651" w:type="dxa"/>
          </w:tcPr>
          <w:p>
            <w:pPr>
              <w:pStyle w:val="TableParagraph"/>
              <w:spacing w:before="37"/>
              <w:rPr>
                <w:b/>
                <w:sz w:val="24"/>
              </w:rPr>
            </w:pPr>
          </w:p>
          <w:p>
            <w:pPr>
              <w:pStyle w:val="TableParagraph"/>
              <w:ind w:left="100"/>
              <w:rPr>
                <w:sz w:val="24"/>
              </w:rPr>
            </w:pPr>
            <w:r>
              <w:rPr>
                <w:spacing w:val="-4"/>
                <w:sz w:val="24"/>
              </w:rPr>
              <w:t>Стд. </w:t>
            </w:r>
            <w:r>
              <w:rPr>
                <w:spacing w:val="-2"/>
                <w:sz w:val="24"/>
              </w:rPr>
              <w:t>отклонение</w:t>
            </w:r>
          </w:p>
        </w:tc>
        <w:tc>
          <w:tcPr>
            <w:tcW w:w="1140" w:type="dxa"/>
          </w:tcPr>
          <w:p>
            <w:pPr>
              <w:pStyle w:val="TableParagraph"/>
              <w:spacing w:before="37"/>
              <w:rPr>
                <w:b/>
                <w:sz w:val="24"/>
              </w:rPr>
            </w:pPr>
          </w:p>
          <w:p>
            <w:pPr>
              <w:pStyle w:val="TableParagraph"/>
              <w:ind w:left="6" w:right="90"/>
              <w:jc w:val="center"/>
              <w:rPr>
                <w:sz w:val="24"/>
              </w:rPr>
            </w:pPr>
            <w:r>
              <w:rPr>
                <w:spacing w:val="-4"/>
                <w:sz w:val="24"/>
              </w:rPr>
              <w:t>4,98</w:t>
            </w:r>
          </w:p>
        </w:tc>
        <w:tc>
          <w:tcPr>
            <w:tcW w:w="1185" w:type="dxa"/>
          </w:tcPr>
          <w:p>
            <w:pPr>
              <w:pStyle w:val="TableParagraph"/>
              <w:spacing w:before="37"/>
              <w:rPr>
                <w:b/>
                <w:sz w:val="24"/>
              </w:rPr>
            </w:pPr>
          </w:p>
          <w:p>
            <w:pPr>
              <w:pStyle w:val="TableParagraph"/>
              <w:ind w:right="84"/>
              <w:jc w:val="center"/>
              <w:rPr>
                <w:sz w:val="24"/>
              </w:rPr>
            </w:pPr>
            <w:r>
              <w:rPr>
                <w:spacing w:val="-4"/>
                <w:sz w:val="24"/>
              </w:rPr>
              <w:t>6,54</w:t>
            </w:r>
          </w:p>
        </w:tc>
        <w:tc>
          <w:tcPr>
            <w:tcW w:w="1409" w:type="dxa"/>
          </w:tcPr>
          <w:p>
            <w:pPr>
              <w:pStyle w:val="TableParagraph"/>
              <w:spacing w:before="37"/>
              <w:rPr>
                <w:b/>
                <w:sz w:val="24"/>
              </w:rPr>
            </w:pPr>
          </w:p>
          <w:p>
            <w:pPr>
              <w:pStyle w:val="TableParagraph"/>
              <w:ind w:right="81"/>
              <w:jc w:val="center"/>
              <w:rPr>
                <w:sz w:val="24"/>
              </w:rPr>
            </w:pPr>
            <w:r>
              <w:rPr>
                <w:spacing w:val="-5"/>
                <w:sz w:val="24"/>
              </w:rPr>
              <w:t>6,3</w:t>
            </w:r>
          </w:p>
        </w:tc>
        <w:tc>
          <w:tcPr>
            <w:tcW w:w="1005" w:type="dxa"/>
          </w:tcPr>
          <w:p>
            <w:pPr>
              <w:pStyle w:val="TableParagraph"/>
              <w:spacing w:before="37"/>
              <w:rPr>
                <w:b/>
                <w:sz w:val="24"/>
              </w:rPr>
            </w:pPr>
          </w:p>
          <w:p>
            <w:pPr>
              <w:pStyle w:val="TableParagraph"/>
              <w:ind w:right="319"/>
              <w:jc w:val="right"/>
              <w:rPr>
                <w:sz w:val="24"/>
              </w:rPr>
            </w:pPr>
            <w:r>
              <w:rPr>
                <w:spacing w:val="-4"/>
                <w:sz w:val="24"/>
              </w:rPr>
              <w:t>5,64</w:t>
            </w:r>
          </w:p>
        </w:tc>
        <w:tc>
          <w:tcPr>
            <w:tcW w:w="1229" w:type="dxa"/>
          </w:tcPr>
          <w:p>
            <w:pPr>
              <w:pStyle w:val="TableParagraph"/>
              <w:spacing w:before="37"/>
              <w:rPr>
                <w:b/>
                <w:sz w:val="24"/>
              </w:rPr>
            </w:pPr>
          </w:p>
          <w:p>
            <w:pPr>
              <w:pStyle w:val="TableParagraph"/>
              <w:ind w:left="11" w:right="88"/>
              <w:jc w:val="center"/>
              <w:rPr>
                <w:sz w:val="24"/>
              </w:rPr>
            </w:pPr>
            <w:r>
              <w:rPr>
                <w:spacing w:val="-4"/>
                <w:sz w:val="24"/>
              </w:rPr>
              <w:t>5,46</w:t>
            </w:r>
          </w:p>
        </w:tc>
        <w:tc>
          <w:tcPr>
            <w:tcW w:w="1711" w:type="dxa"/>
          </w:tcPr>
          <w:p>
            <w:pPr>
              <w:pStyle w:val="TableParagraph"/>
              <w:spacing w:before="37"/>
              <w:rPr>
                <w:b/>
                <w:sz w:val="24"/>
              </w:rPr>
            </w:pPr>
          </w:p>
          <w:p>
            <w:pPr>
              <w:pStyle w:val="TableParagraph"/>
              <w:ind w:left="537"/>
              <w:rPr>
                <w:sz w:val="24"/>
              </w:rPr>
            </w:pPr>
            <w:r>
              <w:rPr>
                <w:spacing w:val="-2"/>
                <w:sz w:val="24"/>
              </w:rPr>
              <w:t>22,15</w:t>
            </w:r>
          </w:p>
        </w:tc>
      </w:tr>
      <w:tr>
        <w:trPr>
          <w:trHeight w:val="1249" w:hRule="atLeast"/>
        </w:trPr>
        <w:tc>
          <w:tcPr>
            <w:tcW w:w="1651" w:type="dxa"/>
          </w:tcPr>
          <w:p>
            <w:pPr>
              <w:pStyle w:val="TableParagraph"/>
              <w:spacing w:before="37"/>
              <w:rPr>
                <w:b/>
                <w:sz w:val="24"/>
              </w:rPr>
            </w:pPr>
          </w:p>
          <w:p>
            <w:pPr>
              <w:pStyle w:val="TableParagraph"/>
              <w:ind w:left="100" w:right="170"/>
              <w:rPr>
                <w:sz w:val="24"/>
              </w:rPr>
            </w:pPr>
            <w:r>
              <w:rPr>
                <w:spacing w:val="-2"/>
                <w:sz w:val="24"/>
              </w:rPr>
              <w:t>Среднее </w:t>
            </w:r>
            <w:r>
              <w:rPr>
                <w:sz w:val="24"/>
              </w:rPr>
              <w:t>(мальчики,</w:t>
            </w:r>
            <w:r>
              <w:rPr>
                <w:spacing w:val="-15"/>
                <w:sz w:val="24"/>
              </w:rPr>
              <w:t> </w:t>
            </w:r>
            <w:r>
              <w:rPr>
                <w:sz w:val="24"/>
              </w:rPr>
              <w:t>N</w:t>
            </w:r>
          </w:p>
          <w:p>
            <w:pPr>
              <w:pStyle w:val="TableParagraph"/>
              <w:ind w:left="100"/>
              <w:rPr>
                <w:sz w:val="24"/>
              </w:rPr>
            </w:pPr>
            <w:r>
              <w:rPr>
                <w:sz w:val="24"/>
              </w:rPr>
              <w:t>=</w:t>
            </w:r>
            <w:r>
              <w:rPr>
                <w:spacing w:val="-1"/>
                <w:sz w:val="24"/>
              </w:rPr>
              <w:t> </w:t>
            </w:r>
            <w:r>
              <w:rPr>
                <w:spacing w:val="-4"/>
                <w:sz w:val="24"/>
              </w:rPr>
              <w:t>257)</w:t>
            </w:r>
          </w:p>
        </w:tc>
        <w:tc>
          <w:tcPr>
            <w:tcW w:w="1140" w:type="dxa"/>
          </w:tcPr>
          <w:p>
            <w:pPr>
              <w:pStyle w:val="TableParagraph"/>
              <w:spacing w:before="37"/>
              <w:rPr>
                <w:b/>
                <w:sz w:val="24"/>
              </w:rPr>
            </w:pPr>
          </w:p>
          <w:p>
            <w:pPr>
              <w:pStyle w:val="TableParagraph"/>
              <w:ind w:left="6" w:right="90"/>
              <w:jc w:val="center"/>
              <w:rPr>
                <w:sz w:val="24"/>
              </w:rPr>
            </w:pPr>
            <w:r>
              <w:rPr>
                <w:spacing w:val="-2"/>
                <w:sz w:val="24"/>
              </w:rPr>
              <w:t>25,14</w:t>
            </w:r>
          </w:p>
        </w:tc>
        <w:tc>
          <w:tcPr>
            <w:tcW w:w="1185" w:type="dxa"/>
          </w:tcPr>
          <w:p>
            <w:pPr>
              <w:pStyle w:val="TableParagraph"/>
              <w:spacing w:before="37"/>
              <w:rPr>
                <w:b/>
                <w:sz w:val="24"/>
              </w:rPr>
            </w:pPr>
          </w:p>
          <w:p>
            <w:pPr>
              <w:pStyle w:val="TableParagraph"/>
              <w:ind w:right="84"/>
              <w:jc w:val="center"/>
              <w:rPr>
                <w:sz w:val="24"/>
              </w:rPr>
            </w:pPr>
            <w:r>
              <w:rPr>
                <w:spacing w:val="-4"/>
                <w:sz w:val="24"/>
              </w:rPr>
              <w:t>19,2</w:t>
            </w:r>
          </w:p>
        </w:tc>
        <w:tc>
          <w:tcPr>
            <w:tcW w:w="1409" w:type="dxa"/>
          </w:tcPr>
          <w:p>
            <w:pPr>
              <w:pStyle w:val="TableParagraph"/>
              <w:spacing w:before="37"/>
              <w:rPr>
                <w:b/>
                <w:sz w:val="24"/>
              </w:rPr>
            </w:pPr>
          </w:p>
          <w:p>
            <w:pPr>
              <w:pStyle w:val="TableParagraph"/>
              <w:ind w:right="81"/>
              <w:jc w:val="center"/>
              <w:rPr>
                <w:sz w:val="24"/>
              </w:rPr>
            </w:pPr>
            <w:r>
              <w:rPr>
                <w:spacing w:val="-4"/>
                <w:sz w:val="24"/>
              </w:rPr>
              <w:t>22,5</w:t>
            </w:r>
          </w:p>
        </w:tc>
        <w:tc>
          <w:tcPr>
            <w:tcW w:w="1005" w:type="dxa"/>
          </w:tcPr>
          <w:p>
            <w:pPr>
              <w:pStyle w:val="TableParagraph"/>
              <w:spacing w:before="37"/>
              <w:rPr>
                <w:b/>
                <w:sz w:val="24"/>
              </w:rPr>
            </w:pPr>
          </w:p>
          <w:p>
            <w:pPr>
              <w:pStyle w:val="TableParagraph"/>
              <w:ind w:right="259"/>
              <w:jc w:val="right"/>
              <w:rPr>
                <w:sz w:val="24"/>
              </w:rPr>
            </w:pPr>
            <w:r>
              <w:rPr>
                <w:spacing w:val="-2"/>
                <w:sz w:val="24"/>
              </w:rPr>
              <w:t>21,06</w:t>
            </w:r>
          </w:p>
        </w:tc>
        <w:tc>
          <w:tcPr>
            <w:tcW w:w="1229" w:type="dxa"/>
          </w:tcPr>
          <w:p>
            <w:pPr>
              <w:pStyle w:val="TableParagraph"/>
              <w:spacing w:before="37"/>
              <w:rPr>
                <w:b/>
                <w:sz w:val="24"/>
              </w:rPr>
            </w:pPr>
          </w:p>
          <w:p>
            <w:pPr>
              <w:pStyle w:val="TableParagraph"/>
              <w:ind w:left="11" w:right="88"/>
              <w:jc w:val="center"/>
              <w:rPr>
                <w:sz w:val="24"/>
              </w:rPr>
            </w:pPr>
            <w:r>
              <w:rPr>
                <w:spacing w:val="-2"/>
                <w:sz w:val="24"/>
              </w:rPr>
              <w:t>23,82</w:t>
            </w:r>
          </w:p>
        </w:tc>
        <w:tc>
          <w:tcPr>
            <w:tcW w:w="1711" w:type="dxa"/>
          </w:tcPr>
          <w:p>
            <w:pPr>
              <w:pStyle w:val="TableParagraph"/>
              <w:spacing w:before="37"/>
              <w:rPr>
                <w:b/>
                <w:sz w:val="24"/>
              </w:rPr>
            </w:pPr>
          </w:p>
          <w:p>
            <w:pPr>
              <w:pStyle w:val="TableParagraph"/>
              <w:ind w:left="477"/>
              <w:rPr>
                <w:sz w:val="24"/>
              </w:rPr>
            </w:pPr>
            <w:r>
              <w:rPr>
                <w:spacing w:val="-2"/>
                <w:sz w:val="24"/>
              </w:rPr>
              <w:t>111,78</w:t>
            </w:r>
          </w:p>
        </w:tc>
      </w:tr>
      <w:tr>
        <w:trPr>
          <w:trHeight w:val="1247" w:hRule="atLeast"/>
        </w:trPr>
        <w:tc>
          <w:tcPr>
            <w:tcW w:w="1651" w:type="dxa"/>
          </w:tcPr>
          <w:p>
            <w:pPr>
              <w:pStyle w:val="TableParagraph"/>
              <w:spacing w:before="35"/>
              <w:rPr>
                <w:b/>
                <w:sz w:val="24"/>
              </w:rPr>
            </w:pPr>
          </w:p>
          <w:p>
            <w:pPr>
              <w:pStyle w:val="TableParagraph"/>
              <w:ind w:left="100"/>
              <w:rPr>
                <w:sz w:val="24"/>
              </w:rPr>
            </w:pPr>
            <w:r>
              <w:rPr>
                <w:spacing w:val="-4"/>
                <w:sz w:val="24"/>
              </w:rPr>
              <w:t>Стд. </w:t>
            </w:r>
            <w:r>
              <w:rPr>
                <w:spacing w:val="-2"/>
                <w:sz w:val="24"/>
              </w:rPr>
              <w:t>отклонение (мальчики)</w:t>
            </w:r>
          </w:p>
        </w:tc>
        <w:tc>
          <w:tcPr>
            <w:tcW w:w="1140" w:type="dxa"/>
          </w:tcPr>
          <w:p>
            <w:pPr>
              <w:pStyle w:val="TableParagraph"/>
              <w:spacing w:before="35"/>
              <w:rPr>
                <w:b/>
                <w:sz w:val="24"/>
              </w:rPr>
            </w:pPr>
          </w:p>
          <w:p>
            <w:pPr>
              <w:pStyle w:val="TableParagraph"/>
              <w:ind w:left="6" w:right="90"/>
              <w:jc w:val="center"/>
              <w:rPr>
                <w:sz w:val="24"/>
              </w:rPr>
            </w:pPr>
            <w:r>
              <w:rPr>
                <w:spacing w:val="-4"/>
                <w:sz w:val="24"/>
              </w:rPr>
              <w:t>4,86</w:t>
            </w:r>
          </w:p>
        </w:tc>
        <w:tc>
          <w:tcPr>
            <w:tcW w:w="1185" w:type="dxa"/>
          </w:tcPr>
          <w:p>
            <w:pPr>
              <w:pStyle w:val="TableParagraph"/>
              <w:spacing w:before="35"/>
              <w:rPr>
                <w:b/>
                <w:sz w:val="24"/>
              </w:rPr>
            </w:pPr>
          </w:p>
          <w:p>
            <w:pPr>
              <w:pStyle w:val="TableParagraph"/>
              <w:ind w:right="84"/>
              <w:jc w:val="center"/>
              <w:rPr>
                <w:sz w:val="24"/>
              </w:rPr>
            </w:pPr>
            <w:r>
              <w:rPr>
                <w:spacing w:val="-4"/>
                <w:sz w:val="24"/>
              </w:rPr>
              <w:t>6,48</w:t>
            </w:r>
          </w:p>
        </w:tc>
        <w:tc>
          <w:tcPr>
            <w:tcW w:w="1409" w:type="dxa"/>
          </w:tcPr>
          <w:p>
            <w:pPr>
              <w:pStyle w:val="TableParagraph"/>
              <w:spacing w:before="35"/>
              <w:rPr>
                <w:b/>
                <w:sz w:val="24"/>
              </w:rPr>
            </w:pPr>
          </w:p>
          <w:p>
            <w:pPr>
              <w:pStyle w:val="TableParagraph"/>
              <w:ind w:right="81"/>
              <w:jc w:val="center"/>
              <w:rPr>
                <w:sz w:val="24"/>
              </w:rPr>
            </w:pPr>
            <w:r>
              <w:rPr>
                <w:spacing w:val="-4"/>
                <w:sz w:val="24"/>
              </w:rPr>
              <w:t>6,24</w:t>
            </w:r>
          </w:p>
        </w:tc>
        <w:tc>
          <w:tcPr>
            <w:tcW w:w="1005" w:type="dxa"/>
          </w:tcPr>
          <w:p>
            <w:pPr>
              <w:pStyle w:val="TableParagraph"/>
              <w:spacing w:before="35"/>
              <w:rPr>
                <w:b/>
                <w:sz w:val="24"/>
              </w:rPr>
            </w:pPr>
          </w:p>
          <w:p>
            <w:pPr>
              <w:pStyle w:val="TableParagraph"/>
              <w:ind w:right="319"/>
              <w:jc w:val="right"/>
              <w:rPr>
                <w:sz w:val="24"/>
              </w:rPr>
            </w:pPr>
            <w:r>
              <w:rPr>
                <w:spacing w:val="-4"/>
                <w:sz w:val="24"/>
              </w:rPr>
              <w:t>5,58</w:t>
            </w:r>
          </w:p>
        </w:tc>
        <w:tc>
          <w:tcPr>
            <w:tcW w:w="1229" w:type="dxa"/>
          </w:tcPr>
          <w:p>
            <w:pPr>
              <w:pStyle w:val="TableParagraph"/>
              <w:spacing w:before="35"/>
              <w:rPr>
                <w:b/>
                <w:sz w:val="24"/>
              </w:rPr>
            </w:pPr>
          </w:p>
          <w:p>
            <w:pPr>
              <w:pStyle w:val="TableParagraph"/>
              <w:ind w:left="11" w:right="88"/>
              <w:jc w:val="center"/>
              <w:rPr>
                <w:sz w:val="24"/>
              </w:rPr>
            </w:pPr>
            <w:r>
              <w:rPr>
                <w:spacing w:val="-4"/>
                <w:sz w:val="24"/>
              </w:rPr>
              <w:t>5,58</w:t>
            </w:r>
          </w:p>
        </w:tc>
        <w:tc>
          <w:tcPr>
            <w:tcW w:w="1711" w:type="dxa"/>
          </w:tcPr>
          <w:p>
            <w:pPr>
              <w:pStyle w:val="TableParagraph"/>
              <w:spacing w:before="35"/>
              <w:rPr>
                <w:b/>
                <w:sz w:val="24"/>
              </w:rPr>
            </w:pPr>
          </w:p>
          <w:p>
            <w:pPr>
              <w:pStyle w:val="TableParagraph"/>
              <w:ind w:left="537"/>
              <w:rPr>
                <w:sz w:val="24"/>
              </w:rPr>
            </w:pPr>
            <w:r>
              <w:rPr>
                <w:spacing w:val="-2"/>
                <w:sz w:val="24"/>
              </w:rPr>
              <w:t>22,33</w:t>
            </w:r>
          </w:p>
        </w:tc>
      </w:tr>
      <w:tr>
        <w:trPr>
          <w:trHeight w:val="1247" w:hRule="atLeast"/>
        </w:trPr>
        <w:tc>
          <w:tcPr>
            <w:tcW w:w="1651" w:type="dxa"/>
          </w:tcPr>
          <w:p>
            <w:pPr>
              <w:pStyle w:val="TableParagraph"/>
              <w:spacing w:before="37"/>
              <w:rPr>
                <w:b/>
                <w:sz w:val="24"/>
              </w:rPr>
            </w:pPr>
          </w:p>
          <w:p>
            <w:pPr>
              <w:pStyle w:val="TableParagraph"/>
              <w:ind w:left="100"/>
              <w:rPr>
                <w:sz w:val="24"/>
              </w:rPr>
            </w:pPr>
            <w:r>
              <w:rPr>
                <w:spacing w:val="-2"/>
                <w:sz w:val="24"/>
              </w:rPr>
              <w:t>Среднее </w:t>
            </w:r>
            <w:r>
              <w:rPr>
                <w:sz w:val="24"/>
              </w:rPr>
              <w:t>(девочки,</w:t>
            </w:r>
            <w:r>
              <w:rPr>
                <w:spacing w:val="-15"/>
                <w:sz w:val="24"/>
              </w:rPr>
              <w:t> </w:t>
            </w:r>
            <w:r>
              <w:rPr>
                <w:sz w:val="24"/>
              </w:rPr>
              <w:t>N</w:t>
            </w:r>
            <w:r>
              <w:rPr>
                <w:spacing w:val="-15"/>
                <w:sz w:val="24"/>
              </w:rPr>
              <w:t> </w:t>
            </w:r>
            <w:r>
              <w:rPr>
                <w:sz w:val="24"/>
              </w:rPr>
              <w:t>= </w:t>
            </w:r>
            <w:r>
              <w:rPr>
                <w:spacing w:val="-4"/>
                <w:sz w:val="24"/>
              </w:rPr>
              <w:t>222)</w:t>
            </w:r>
          </w:p>
        </w:tc>
        <w:tc>
          <w:tcPr>
            <w:tcW w:w="1140" w:type="dxa"/>
          </w:tcPr>
          <w:p>
            <w:pPr>
              <w:pStyle w:val="TableParagraph"/>
              <w:spacing w:before="37"/>
              <w:rPr>
                <w:b/>
                <w:sz w:val="24"/>
              </w:rPr>
            </w:pPr>
          </w:p>
          <w:p>
            <w:pPr>
              <w:pStyle w:val="TableParagraph"/>
              <w:ind w:left="6" w:right="90"/>
              <w:jc w:val="center"/>
              <w:rPr>
                <w:sz w:val="24"/>
              </w:rPr>
            </w:pPr>
            <w:r>
              <w:rPr>
                <w:spacing w:val="-2"/>
                <w:sz w:val="24"/>
              </w:rPr>
              <w:t>24,78</w:t>
            </w:r>
          </w:p>
        </w:tc>
        <w:tc>
          <w:tcPr>
            <w:tcW w:w="1185" w:type="dxa"/>
          </w:tcPr>
          <w:p>
            <w:pPr>
              <w:pStyle w:val="TableParagraph"/>
              <w:spacing w:before="37"/>
              <w:rPr>
                <w:b/>
                <w:sz w:val="24"/>
              </w:rPr>
            </w:pPr>
          </w:p>
          <w:p>
            <w:pPr>
              <w:pStyle w:val="TableParagraph"/>
              <w:ind w:right="84"/>
              <w:jc w:val="center"/>
              <w:rPr>
                <w:sz w:val="24"/>
              </w:rPr>
            </w:pPr>
            <w:r>
              <w:rPr>
                <w:spacing w:val="-4"/>
                <w:sz w:val="24"/>
              </w:rPr>
              <w:t>20,4</w:t>
            </w:r>
          </w:p>
        </w:tc>
        <w:tc>
          <w:tcPr>
            <w:tcW w:w="1409" w:type="dxa"/>
          </w:tcPr>
          <w:p>
            <w:pPr>
              <w:pStyle w:val="TableParagraph"/>
              <w:spacing w:before="37"/>
              <w:rPr>
                <w:b/>
                <w:sz w:val="24"/>
              </w:rPr>
            </w:pPr>
          </w:p>
          <w:p>
            <w:pPr>
              <w:pStyle w:val="TableParagraph"/>
              <w:ind w:right="81"/>
              <w:jc w:val="center"/>
              <w:rPr>
                <w:sz w:val="24"/>
              </w:rPr>
            </w:pPr>
            <w:r>
              <w:rPr>
                <w:spacing w:val="-2"/>
                <w:sz w:val="24"/>
              </w:rPr>
              <w:t>22,98</w:t>
            </w:r>
          </w:p>
        </w:tc>
        <w:tc>
          <w:tcPr>
            <w:tcW w:w="1005" w:type="dxa"/>
          </w:tcPr>
          <w:p>
            <w:pPr>
              <w:pStyle w:val="TableParagraph"/>
              <w:spacing w:before="37"/>
              <w:rPr>
                <w:b/>
                <w:sz w:val="24"/>
              </w:rPr>
            </w:pPr>
          </w:p>
          <w:p>
            <w:pPr>
              <w:pStyle w:val="TableParagraph"/>
              <w:ind w:right="259"/>
              <w:jc w:val="right"/>
              <w:rPr>
                <w:sz w:val="24"/>
              </w:rPr>
            </w:pPr>
            <w:r>
              <w:rPr>
                <w:spacing w:val="-2"/>
                <w:sz w:val="24"/>
              </w:rPr>
              <w:t>21,96</w:t>
            </w:r>
          </w:p>
        </w:tc>
        <w:tc>
          <w:tcPr>
            <w:tcW w:w="1229" w:type="dxa"/>
          </w:tcPr>
          <w:p>
            <w:pPr>
              <w:pStyle w:val="TableParagraph"/>
              <w:spacing w:before="37"/>
              <w:rPr>
                <w:b/>
                <w:sz w:val="24"/>
              </w:rPr>
            </w:pPr>
          </w:p>
          <w:p>
            <w:pPr>
              <w:pStyle w:val="TableParagraph"/>
              <w:ind w:left="11" w:right="88"/>
              <w:jc w:val="center"/>
              <w:rPr>
                <w:sz w:val="24"/>
              </w:rPr>
            </w:pPr>
            <w:r>
              <w:rPr>
                <w:spacing w:val="-2"/>
                <w:sz w:val="24"/>
              </w:rPr>
              <w:t>24,72</w:t>
            </w:r>
          </w:p>
        </w:tc>
        <w:tc>
          <w:tcPr>
            <w:tcW w:w="1711" w:type="dxa"/>
          </w:tcPr>
          <w:p>
            <w:pPr>
              <w:pStyle w:val="TableParagraph"/>
              <w:spacing w:before="37"/>
              <w:rPr>
                <w:b/>
                <w:sz w:val="24"/>
              </w:rPr>
            </w:pPr>
          </w:p>
          <w:p>
            <w:pPr>
              <w:pStyle w:val="TableParagraph"/>
              <w:ind w:left="477"/>
              <w:rPr>
                <w:sz w:val="24"/>
              </w:rPr>
            </w:pPr>
            <w:r>
              <w:rPr>
                <w:spacing w:val="-2"/>
                <w:sz w:val="24"/>
              </w:rPr>
              <w:t>114,85</w:t>
            </w:r>
          </w:p>
        </w:tc>
      </w:tr>
      <w:tr>
        <w:trPr>
          <w:trHeight w:val="1250" w:hRule="atLeast"/>
        </w:trPr>
        <w:tc>
          <w:tcPr>
            <w:tcW w:w="1651" w:type="dxa"/>
          </w:tcPr>
          <w:p>
            <w:pPr>
              <w:pStyle w:val="TableParagraph"/>
              <w:spacing w:before="37"/>
              <w:rPr>
                <w:b/>
                <w:sz w:val="24"/>
              </w:rPr>
            </w:pPr>
          </w:p>
          <w:p>
            <w:pPr>
              <w:pStyle w:val="TableParagraph"/>
              <w:ind w:left="100"/>
              <w:rPr>
                <w:sz w:val="24"/>
              </w:rPr>
            </w:pPr>
            <w:r>
              <w:rPr>
                <w:spacing w:val="-4"/>
                <w:sz w:val="24"/>
              </w:rPr>
              <w:t>Стд. </w:t>
            </w:r>
            <w:r>
              <w:rPr>
                <w:spacing w:val="-2"/>
                <w:sz w:val="24"/>
              </w:rPr>
              <w:t>отклонение (девочки)</w:t>
            </w:r>
          </w:p>
        </w:tc>
        <w:tc>
          <w:tcPr>
            <w:tcW w:w="1140" w:type="dxa"/>
          </w:tcPr>
          <w:p>
            <w:pPr>
              <w:pStyle w:val="TableParagraph"/>
              <w:spacing w:before="37"/>
              <w:rPr>
                <w:b/>
                <w:sz w:val="24"/>
              </w:rPr>
            </w:pPr>
          </w:p>
          <w:p>
            <w:pPr>
              <w:pStyle w:val="TableParagraph"/>
              <w:ind w:left="6" w:right="90"/>
              <w:jc w:val="center"/>
              <w:rPr>
                <w:sz w:val="24"/>
              </w:rPr>
            </w:pPr>
            <w:r>
              <w:rPr>
                <w:spacing w:val="-4"/>
                <w:sz w:val="24"/>
              </w:rPr>
              <w:t>5,16</w:t>
            </w:r>
          </w:p>
        </w:tc>
        <w:tc>
          <w:tcPr>
            <w:tcW w:w="1185" w:type="dxa"/>
          </w:tcPr>
          <w:p>
            <w:pPr>
              <w:pStyle w:val="TableParagraph"/>
              <w:spacing w:before="37"/>
              <w:rPr>
                <w:b/>
                <w:sz w:val="24"/>
              </w:rPr>
            </w:pPr>
          </w:p>
          <w:p>
            <w:pPr>
              <w:pStyle w:val="TableParagraph"/>
              <w:ind w:right="84"/>
              <w:jc w:val="center"/>
              <w:rPr>
                <w:sz w:val="24"/>
              </w:rPr>
            </w:pPr>
            <w:r>
              <w:rPr>
                <w:spacing w:val="-4"/>
                <w:sz w:val="24"/>
              </w:rPr>
              <w:t>6,54</w:t>
            </w:r>
          </w:p>
        </w:tc>
        <w:tc>
          <w:tcPr>
            <w:tcW w:w="1409" w:type="dxa"/>
          </w:tcPr>
          <w:p>
            <w:pPr>
              <w:pStyle w:val="TableParagraph"/>
              <w:spacing w:before="37"/>
              <w:rPr>
                <w:b/>
                <w:sz w:val="24"/>
              </w:rPr>
            </w:pPr>
          </w:p>
          <w:p>
            <w:pPr>
              <w:pStyle w:val="TableParagraph"/>
              <w:ind w:right="81"/>
              <w:jc w:val="center"/>
              <w:rPr>
                <w:sz w:val="24"/>
              </w:rPr>
            </w:pPr>
            <w:r>
              <w:rPr>
                <w:spacing w:val="-4"/>
                <w:sz w:val="24"/>
              </w:rPr>
              <w:t>6,36</w:t>
            </w:r>
          </w:p>
        </w:tc>
        <w:tc>
          <w:tcPr>
            <w:tcW w:w="1005" w:type="dxa"/>
          </w:tcPr>
          <w:p>
            <w:pPr>
              <w:pStyle w:val="TableParagraph"/>
              <w:spacing w:before="37"/>
              <w:rPr>
                <w:b/>
                <w:sz w:val="24"/>
              </w:rPr>
            </w:pPr>
          </w:p>
          <w:p>
            <w:pPr>
              <w:pStyle w:val="TableParagraph"/>
              <w:ind w:right="319"/>
              <w:jc w:val="right"/>
              <w:rPr>
                <w:sz w:val="24"/>
              </w:rPr>
            </w:pPr>
            <w:r>
              <w:rPr>
                <w:spacing w:val="-4"/>
                <w:sz w:val="24"/>
              </w:rPr>
              <w:t>5,64</w:t>
            </w:r>
          </w:p>
        </w:tc>
        <w:tc>
          <w:tcPr>
            <w:tcW w:w="1229" w:type="dxa"/>
          </w:tcPr>
          <w:p>
            <w:pPr>
              <w:pStyle w:val="TableParagraph"/>
              <w:spacing w:before="37"/>
              <w:rPr>
                <w:b/>
                <w:sz w:val="24"/>
              </w:rPr>
            </w:pPr>
          </w:p>
          <w:p>
            <w:pPr>
              <w:pStyle w:val="TableParagraph"/>
              <w:ind w:left="11" w:right="88"/>
              <w:jc w:val="center"/>
              <w:rPr>
                <w:sz w:val="24"/>
              </w:rPr>
            </w:pPr>
            <w:r>
              <w:rPr>
                <w:spacing w:val="-4"/>
                <w:sz w:val="24"/>
              </w:rPr>
              <w:t>5,22</w:t>
            </w:r>
          </w:p>
        </w:tc>
        <w:tc>
          <w:tcPr>
            <w:tcW w:w="1711" w:type="dxa"/>
          </w:tcPr>
          <w:p>
            <w:pPr>
              <w:pStyle w:val="TableParagraph"/>
              <w:spacing w:before="37"/>
              <w:rPr>
                <w:b/>
                <w:sz w:val="24"/>
              </w:rPr>
            </w:pPr>
          </w:p>
          <w:p>
            <w:pPr>
              <w:pStyle w:val="TableParagraph"/>
              <w:ind w:left="537"/>
              <w:rPr>
                <w:sz w:val="24"/>
              </w:rPr>
            </w:pPr>
            <w:r>
              <w:rPr>
                <w:spacing w:val="-2"/>
                <w:sz w:val="24"/>
              </w:rPr>
              <w:t>21,84</w:t>
            </w:r>
          </w:p>
        </w:tc>
      </w:tr>
    </w:tbl>
    <w:p>
      <w:pPr>
        <w:pStyle w:val="BodyText"/>
        <w:ind w:left="0" w:right="0" w:firstLine="0"/>
        <w:jc w:val="left"/>
        <w:rPr>
          <w:b/>
          <w:sz w:val="28"/>
        </w:rPr>
      </w:pPr>
    </w:p>
    <w:p>
      <w:pPr>
        <w:pStyle w:val="BodyText"/>
        <w:spacing w:before="153"/>
        <w:ind w:left="0" w:right="0" w:firstLine="0"/>
        <w:jc w:val="left"/>
        <w:rPr>
          <w:b/>
          <w:sz w:val="28"/>
        </w:rPr>
      </w:pPr>
    </w:p>
    <w:p>
      <w:pPr>
        <w:pStyle w:val="Heading4"/>
        <w:ind w:right="565"/>
      </w:pPr>
      <w:r>
        <w:rPr/>
        <w:t>В 2022 г. по результатам апробации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w:t>
      </w:r>
      <w:r>
        <w:rPr>
          <w:spacing w:val="-6"/>
        </w:rPr>
        <w:t> </w:t>
      </w:r>
      <w:r>
        <w:rPr/>
        <w:t>на</w:t>
      </w:r>
      <w:r>
        <w:rPr>
          <w:spacing w:val="-5"/>
        </w:rPr>
        <w:t> </w:t>
      </w:r>
      <w:r>
        <w:rPr/>
        <w:t>основании</w:t>
      </w:r>
      <w:r>
        <w:rPr>
          <w:spacing w:val="-5"/>
        </w:rPr>
        <w:t> </w:t>
      </w:r>
      <w:r>
        <w:rPr/>
        <w:t>статистического</w:t>
      </w:r>
      <w:r>
        <w:rPr>
          <w:spacing w:val="-4"/>
        </w:rPr>
        <w:t> </w:t>
      </w:r>
      <w:r>
        <w:rPr/>
        <w:t>анализа</w:t>
      </w:r>
      <w:r>
        <w:rPr>
          <w:spacing w:val="-6"/>
        </w:rPr>
        <w:t> </w:t>
      </w:r>
      <w:r>
        <w:rPr/>
        <w:t>распределения</w:t>
      </w:r>
      <w:r>
        <w:rPr>
          <w:spacing w:val="-8"/>
        </w:rPr>
        <w:t> </w:t>
      </w:r>
      <w:r>
        <w:rPr/>
        <w:t>показателей у детей — иностранных граждан, выделены следующие нормативы.</w:t>
      </w:r>
    </w:p>
    <w:p>
      <w:pPr>
        <w:pStyle w:val="Heading4"/>
        <w:spacing w:after="0"/>
        <w:sectPr>
          <w:pgSz w:w="11910" w:h="16840"/>
          <w:pgMar w:header="0" w:footer="970" w:top="1040" w:bottom="1220" w:left="1417" w:right="283"/>
        </w:sectPr>
      </w:pPr>
    </w:p>
    <w:p>
      <w:pPr>
        <w:pStyle w:val="Heading3"/>
        <w:ind w:left="0" w:right="562"/>
        <w:jc w:val="right"/>
      </w:pPr>
      <w:r>
        <w:rPr/>
        <w:t>Таблица</w:t>
      </w:r>
      <w:r>
        <w:rPr>
          <w:spacing w:val="-6"/>
        </w:rPr>
        <w:t> </w:t>
      </w:r>
      <w:r>
        <w:rPr>
          <w:spacing w:val="-5"/>
        </w:rPr>
        <w:t>12</w:t>
      </w:r>
    </w:p>
    <w:p>
      <w:pPr>
        <w:spacing w:line="235" w:lineRule="auto" w:before="246"/>
        <w:ind w:left="364" w:right="0" w:firstLine="96"/>
        <w:jc w:val="left"/>
        <w:rPr>
          <w:b/>
          <w:sz w:val="28"/>
        </w:rPr>
      </w:pPr>
      <w:r>
        <w:rPr>
          <w:b/>
          <w:sz w:val="28"/>
        </w:rPr>
        <w:t>Пересмотренные критерии оценки по шкале для начальной школы на выборках</w:t>
      </w:r>
      <w:r>
        <w:rPr>
          <w:b/>
          <w:spacing w:val="-4"/>
          <w:sz w:val="28"/>
        </w:rPr>
        <w:t> </w:t>
      </w:r>
      <w:r>
        <w:rPr>
          <w:b/>
          <w:sz w:val="28"/>
        </w:rPr>
        <w:t>несовершеннолетних</w:t>
      </w:r>
      <w:r>
        <w:rPr>
          <w:b/>
          <w:spacing w:val="-4"/>
          <w:sz w:val="28"/>
        </w:rPr>
        <w:t> </w:t>
      </w:r>
      <w:r>
        <w:rPr>
          <w:b/>
          <w:sz w:val="28"/>
        </w:rPr>
        <w:t>детей</w:t>
      </w:r>
      <w:r>
        <w:rPr>
          <w:b/>
          <w:spacing w:val="-3"/>
          <w:sz w:val="28"/>
        </w:rPr>
        <w:t> </w:t>
      </w:r>
      <w:r>
        <w:rPr>
          <w:sz w:val="28"/>
        </w:rPr>
        <w:t>—</w:t>
      </w:r>
      <w:r>
        <w:rPr>
          <w:spacing w:val="-6"/>
          <w:sz w:val="28"/>
        </w:rPr>
        <w:t> </w:t>
      </w:r>
      <w:r>
        <w:rPr>
          <w:b/>
          <w:sz w:val="28"/>
        </w:rPr>
        <w:t>иностранных</w:t>
      </w:r>
      <w:r>
        <w:rPr>
          <w:b/>
          <w:spacing w:val="-8"/>
          <w:sz w:val="28"/>
        </w:rPr>
        <w:t> </w:t>
      </w:r>
      <w:r>
        <w:rPr>
          <w:b/>
          <w:sz w:val="28"/>
        </w:rPr>
        <w:t>граждан</w:t>
      </w:r>
      <w:r>
        <w:rPr>
          <w:b/>
          <w:spacing w:val="-5"/>
          <w:sz w:val="28"/>
        </w:rPr>
        <w:t> </w:t>
      </w:r>
      <w:r>
        <w:rPr>
          <w:b/>
          <w:sz w:val="28"/>
        </w:rPr>
        <w:t>в</w:t>
      </w:r>
      <w:r>
        <w:rPr>
          <w:b/>
          <w:spacing w:val="-6"/>
          <w:sz w:val="28"/>
        </w:rPr>
        <w:t> </w:t>
      </w:r>
      <w:r>
        <w:rPr>
          <w:b/>
          <w:sz w:val="28"/>
        </w:rPr>
        <w:t>России</w:t>
      </w:r>
    </w:p>
    <w:p>
      <w:pPr>
        <w:pStyle w:val="BodyText"/>
        <w:ind w:left="0" w:right="0" w:firstLine="0"/>
        <w:jc w:val="left"/>
        <w:rPr>
          <w:b/>
        </w:rPr>
      </w:pPr>
    </w:p>
    <w:p>
      <w:pPr>
        <w:pStyle w:val="BodyText"/>
        <w:spacing w:before="110"/>
        <w:ind w:left="0" w:right="0" w:firstLine="0"/>
        <w:jc w:val="left"/>
        <w:rPr>
          <w:b/>
        </w:rPr>
      </w:pPr>
    </w:p>
    <w:tbl>
      <w:tblPr>
        <w:tblW w:w="0" w:type="auto"/>
        <w:jc w:val="left"/>
        <w:tblInd w:w="3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06"/>
        <w:gridCol w:w="1169"/>
        <w:gridCol w:w="1186"/>
        <w:gridCol w:w="1172"/>
        <w:gridCol w:w="1169"/>
        <w:gridCol w:w="1186"/>
        <w:gridCol w:w="1169"/>
      </w:tblGrid>
      <w:tr>
        <w:trPr>
          <w:trHeight w:val="716" w:hRule="atLeast"/>
        </w:trPr>
        <w:tc>
          <w:tcPr>
            <w:tcW w:w="9257" w:type="dxa"/>
            <w:gridSpan w:val="7"/>
          </w:tcPr>
          <w:p>
            <w:pPr>
              <w:pStyle w:val="TableParagraph"/>
              <w:spacing w:before="61"/>
              <w:rPr>
                <w:b/>
                <w:sz w:val="24"/>
              </w:rPr>
            </w:pPr>
          </w:p>
          <w:p>
            <w:pPr>
              <w:pStyle w:val="TableParagraph"/>
              <w:ind w:left="734"/>
              <w:jc w:val="center"/>
              <w:rPr>
                <w:b/>
                <w:sz w:val="24"/>
              </w:rPr>
            </w:pPr>
            <w:r>
              <w:rPr>
                <w:b/>
                <w:sz w:val="24"/>
              </w:rPr>
              <w:t>Начальная</w:t>
            </w:r>
            <w:r>
              <w:rPr>
                <w:b/>
                <w:spacing w:val="-3"/>
                <w:sz w:val="24"/>
              </w:rPr>
              <w:t> </w:t>
            </w:r>
            <w:r>
              <w:rPr>
                <w:b/>
                <w:spacing w:val="-2"/>
                <w:sz w:val="24"/>
              </w:rPr>
              <w:t>школа</w:t>
            </w:r>
          </w:p>
        </w:tc>
      </w:tr>
      <w:tr>
        <w:trPr>
          <w:trHeight w:val="714" w:hRule="atLeast"/>
        </w:trPr>
        <w:tc>
          <w:tcPr>
            <w:tcW w:w="2206" w:type="dxa"/>
            <w:vMerge w:val="restart"/>
          </w:tcPr>
          <w:p>
            <w:pPr>
              <w:pStyle w:val="TableParagraph"/>
              <w:spacing w:before="61"/>
              <w:rPr>
                <w:b/>
                <w:sz w:val="24"/>
              </w:rPr>
            </w:pPr>
          </w:p>
          <w:p>
            <w:pPr>
              <w:pStyle w:val="TableParagraph"/>
              <w:ind w:left="100"/>
              <w:rPr>
                <w:b/>
                <w:sz w:val="24"/>
              </w:rPr>
            </w:pPr>
            <w:r>
              <w:rPr>
                <w:b/>
                <w:spacing w:val="-2"/>
                <w:sz w:val="24"/>
              </w:rPr>
              <w:t>Шкала</w:t>
            </w:r>
          </w:p>
        </w:tc>
        <w:tc>
          <w:tcPr>
            <w:tcW w:w="3527" w:type="dxa"/>
            <w:gridSpan w:val="3"/>
          </w:tcPr>
          <w:p>
            <w:pPr>
              <w:pStyle w:val="TableParagraph"/>
              <w:spacing w:before="61"/>
              <w:rPr>
                <w:b/>
                <w:sz w:val="24"/>
              </w:rPr>
            </w:pPr>
          </w:p>
          <w:p>
            <w:pPr>
              <w:pStyle w:val="TableParagraph"/>
              <w:ind w:left="738"/>
              <w:rPr>
                <w:b/>
                <w:sz w:val="24"/>
              </w:rPr>
            </w:pPr>
            <w:r>
              <w:rPr>
                <w:b/>
                <w:sz w:val="24"/>
              </w:rPr>
              <w:t>Мальчики</w:t>
            </w:r>
            <w:r>
              <w:rPr>
                <w:b/>
                <w:spacing w:val="-2"/>
                <w:sz w:val="24"/>
              </w:rPr>
              <w:t> (N=180)</w:t>
            </w:r>
          </w:p>
        </w:tc>
        <w:tc>
          <w:tcPr>
            <w:tcW w:w="3524" w:type="dxa"/>
            <w:gridSpan w:val="3"/>
          </w:tcPr>
          <w:p>
            <w:pPr>
              <w:pStyle w:val="TableParagraph"/>
              <w:spacing w:before="61"/>
              <w:rPr>
                <w:b/>
                <w:sz w:val="24"/>
              </w:rPr>
            </w:pPr>
          </w:p>
          <w:p>
            <w:pPr>
              <w:pStyle w:val="TableParagraph"/>
              <w:ind w:left="848"/>
              <w:rPr>
                <w:b/>
                <w:sz w:val="24"/>
              </w:rPr>
            </w:pPr>
            <w:r>
              <w:rPr>
                <w:b/>
                <w:sz w:val="24"/>
              </w:rPr>
              <w:t>Девочки</w:t>
            </w:r>
            <w:r>
              <w:rPr>
                <w:b/>
                <w:spacing w:val="-2"/>
                <w:sz w:val="24"/>
              </w:rPr>
              <w:t> (N=145)</w:t>
            </w:r>
          </w:p>
        </w:tc>
      </w:tr>
      <w:tr>
        <w:trPr>
          <w:trHeight w:val="993" w:hRule="atLeast"/>
        </w:trPr>
        <w:tc>
          <w:tcPr>
            <w:tcW w:w="2206" w:type="dxa"/>
            <w:vMerge/>
            <w:tcBorders>
              <w:top w:val="nil"/>
            </w:tcBorders>
          </w:tcPr>
          <w:p>
            <w:pPr>
              <w:rPr>
                <w:sz w:val="2"/>
                <w:szCs w:val="2"/>
              </w:rPr>
            </w:pPr>
          </w:p>
        </w:tc>
        <w:tc>
          <w:tcPr>
            <w:tcW w:w="1169" w:type="dxa"/>
          </w:tcPr>
          <w:p>
            <w:pPr>
              <w:pStyle w:val="TableParagraph"/>
              <w:spacing w:before="61"/>
              <w:rPr>
                <w:b/>
                <w:sz w:val="24"/>
              </w:rPr>
            </w:pPr>
          </w:p>
          <w:p>
            <w:pPr>
              <w:pStyle w:val="TableParagraph"/>
              <w:ind w:left="114" w:right="89" w:firstLine="168"/>
              <w:rPr>
                <w:b/>
                <w:sz w:val="24"/>
              </w:rPr>
            </w:pPr>
            <w:r>
              <w:rPr>
                <w:b/>
                <w:spacing w:val="-4"/>
                <w:sz w:val="24"/>
              </w:rPr>
              <w:t>Ниже </w:t>
            </w:r>
            <w:r>
              <w:rPr>
                <w:b/>
                <w:spacing w:val="-2"/>
                <w:sz w:val="24"/>
              </w:rPr>
              <w:t>среднего</w:t>
            </w:r>
          </w:p>
        </w:tc>
        <w:tc>
          <w:tcPr>
            <w:tcW w:w="1186" w:type="dxa"/>
          </w:tcPr>
          <w:p>
            <w:pPr>
              <w:pStyle w:val="TableParagraph"/>
              <w:spacing w:before="61"/>
              <w:rPr>
                <w:b/>
                <w:sz w:val="24"/>
              </w:rPr>
            </w:pPr>
          </w:p>
          <w:p>
            <w:pPr>
              <w:pStyle w:val="TableParagraph"/>
              <w:ind w:left="24"/>
              <w:jc w:val="center"/>
              <w:rPr>
                <w:b/>
                <w:sz w:val="24"/>
              </w:rPr>
            </w:pPr>
            <w:r>
              <w:rPr>
                <w:b/>
                <w:spacing w:val="-2"/>
                <w:sz w:val="24"/>
              </w:rPr>
              <w:t>Средний</w:t>
            </w:r>
          </w:p>
        </w:tc>
        <w:tc>
          <w:tcPr>
            <w:tcW w:w="1172" w:type="dxa"/>
          </w:tcPr>
          <w:p>
            <w:pPr>
              <w:pStyle w:val="TableParagraph"/>
              <w:spacing w:before="61"/>
              <w:rPr>
                <w:b/>
                <w:sz w:val="24"/>
              </w:rPr>
            </w:pPr>
          </w:p>
          <w:p>
            <w:pPr>
              <w:pStyle w:val="TableParagraph"/>
              <w:ind w:left="114" w:right="92" w:firstLine="141"/>
              <w:rPr>
                <w:b/>
                <w:sz w:val="24"/>
              </w:rPr>
            </w:pPr>
            <w:r>
              <w:rPr>
                <w:b/>
                <w:spacing w:val="-4"/>
                <w:sz w:val="24"/>
              </w:rPr>
              <w:t>Выше </w:t>
            </w:r>
            <w:r>
              <w:rPr>
                <w:b/>
                <w:spacing w:val="-2"/>
                <w:sz w:val="24"/>
              </w:rPr>
              <w:t>среднего</w:t>
            </w:r>
          </w:p>
        </w:tc>
        <w:tc>
          <w:tcPr>
            <w:tcW w:w="1169" w:type="dxa"/>
          </w:tcPr>
          <w:p>
            <w:pPr>
              <w:pStyle w:val="TableParagraph"/>
              <w:spacing w:before="61"/>
              <w:rPr>
                <w:b/>
                <w:sz w:val="24"/>
              </w:rPr>
            </w:pPr>
          </w:p>
          <w:p>
            <w:pPr>
              <w:pStyle w:val="TableParagraph"/>
              <w:ind w:left="113" w:right="90" w:firstLine="168"/>
              <w:rPr>
                <w:b/>
                <w:sz w:val="24"/>
              </w:rPr>
            </w:pPr>
            <w:r>
              <w:rPr>
                <w:b/>
                <w:spacing w:val="-4"/>
                <w:sz w:val="24"/>
              </w:rPr>
              <w:t>Ниже </w:t>
            </w:r>
            <w:r>
              <w:rPr>
                <w:b/>
                <w:spacing w:val="-2"/>
                <w:sz w:val="24"/>
              </w:rPr>
              <w:t>среднего</w:t>
            </w:r>
          </w:p>
        </w:tc>
        <w:tc>
          <w:tcPr>
            <w:tcW w:w="1186" w:type="dxa"/>
          </w:tcPr>
          <w:p>
            <w:pPr>
              <w:pStyle w:val="TableParagraph"/>
              <w:spacing w:before="61"/>
              <w:rPr>
                <w:b/>
                <w:sz w:val="24"/>
              </w:rPr>
            </w:pPr>
          </w:p>
          <w:p>
            <w:pPr>
              <w:pStyle w:val="TableParagraph"/>
              <w:ind w:left="24" w:right="7"/>
              <w:jc w:val="center"/>
              <w:rPr>
                <w:b/>
                <w:sz w:val="24"/>
              </w:rPr>
            </w:pPr>
            <w:r>
              <w:rPr>
                <w:b/>
                <w:spacing w:val="-2"/>
                <w:sz w:val="24"/>
              </w:rPr>
              <w:t>Средний</w:t>
            </w:r>
          </w:p>
        </w:tc>
        <w:tc>
          <w:tcPr>
            <w:tcW w:w="1169" w:type="dxa"/>
          </w:tcPr>
          <w:p>
            <w:pPr>
              <w:pStyle w:val="TableParagraph"/>
              <w:spacing w:before="61"/>
              <w:rPr>
                <w:b/>
                <w:sz w:val="24"/>
              </w:rPr>
            </w:pPr>
          </w:p>
          <w:p>
            <w:pPr>
              <w:pStyle w:val="TableParagraph"/>
              <w:ind w:left="113" w:right="90" w:firstLine="141"/>
              <w:rPr>
                <w:b/>
                <w:sz w:val="24"/>
              </w:rPr>
            </w:pPr>
            <w:r>
              <w:rPr>
                <w:b/>
                <w:spacing w:val="-4"/>
                <w:sz w:val="24"/>
              </w:rPr>
              <w:t>Выше </w:t>
            </w:r>
            <w:r>
              <w:rPr>
                <w:b/>
                <w:spacing w:val="-2"/>
                <w:sz w:val="24"/>
              </w:rPr>
              <w:t>среднего</w:t>
            </w:r>
          </w:p>
        </w:tc>
      </w:tr>
      <w:tr>
        <w:trPr>
          <w:trHeight w:val="613" w:hRule="atLeast"/>
        </w:trPr>
        <w:tc>
          <w:tcPr>
            <w:tcW w:w="2206" w:type="dxa"/>
            <w:tcBorders>
              <w:bottom w:val="nil"/>
            </w:tcBorders>
          </w:tcPr>
          <w:p>
            <w:pPr>
              <w:pStyle w:val="TableParagraph"/>
              <w:spacing w:before="56"/>
              <w:rPr>
                <w:b/>
                <w:sz w:val="24"/>
              </w:rPr>
            </w:pPr>
          </w:p>
          <w:p>
            <w:pPr>
              <w:pStyle w:val="TableParagraph"/>
              <w:spacing w:line="261" w:lineRule="exact"/>
              <w:ind w:left="100"/>
              <w:rPr>
                <w:sz w:val="24"/>
              </w:rPr>
            </w:pPr>
            <w:r>
              <w:rPr>
                <w:sz w:val="24"/>
              </w:rPr>
              <w:t>Показатель</w:t>
            </w:r>
            <w:r>
              <w:rPr>
                <w:spacing w:val="-4"/>
                <w:sz w:val="24"/>
              </w:rPr>
              <w:t> </w:t>
            </w:r>
            <w:r>
              <w:rPr>
                <w:spacing w:val="-2"/>
                <w:sz w:val="24"/>
              </w:rPr>
              <w:t>общего</w:t>
            </w:r>
          </w:p>
        </w:tc>
        <w:tc>
          <w:tcPr>
            <w:tcW w:w="1169" w:type="dxa"/>
            <w:tcBorders>
              <w:bottom w:val="nil"/>
            </w:tcBorders>
          </w:tcPr>
          <w:p>
            <w:pPr>
              <w:pStyle w:val="TableParagraph"/>
              <w:spacing w:before="56"/>
              <w:rPr>
                <w:b/>
                <w:sz w:val="24"/>
              </w:rPr>
            </w:pPr>
          </w:p>
          <w:p>
            <w:pPr>
              <w:pStyle w:val="TableParagraph"/>
              <w:spacing w:line="261" w:lineRule="exact"/>
              <w:ind w:left="19"/>
              <w:jc w:val="center"/>
              <w:rPr>
                <w:sz w:val="24"/>
              </w:rPr>
            </w:pPr>
            <w:r>
              <w:rPr>
                <w:spacing w:val="-2"/>
                <w:sz w:val="24"/>
              </w:rPr>
              <w:t>&lt;101.49</w:t>
            </w:r>
          </w:p>
        </w:tc>
        <w:tc>
          <w:tcPr>
            <w:tcW w:w="1186" w:type="dxa"/>
            <w:tcBorders>
              <w:bottom w:val="nil"/>
            </w:tcBorders>
          </w:tcPr>
          <w:p>
            <w:pPr>
              <w:pStyle w:val="TableParagraph"/>
              <w:spacing w:before="56"/>
              <w:rPr>
                <w:b/>
                <w:sz w:val="24"/>
              </w:rPr>
            </w:pPr>
          </w:p>
          <w:p>
            <w:pPr>
              <w:pStyle w:val="TableParagraph"/>
              <w:spacing w:line="261" w:lineRule="exact"/>
              <w:ind w:left="174"/>
              <w:rPr>
                <w:sz w:val="24"/>
              </w:rPr>
            </w:pPr>
            <w:r>
              <w:rPr>
                <w:sz w:val="24"/>
              </w:rPr>
              <w:t>101.49 </w:t>
            </w:r>
            <w:r>
              <w:rPr>
                <w:spacing w:val="-10"/>
                <w:sz w:val="24"/>
              </w:rPr>
              <w:t>–</w:t>
            </w:r>
          </w:p>
        </w:tc>
        <w:tc>
          <w:tcPr>
            <w:tcW w:w="1172" w:type="dxa"/>
            <w:tcBorders>
              <w:bottom w:val="nil"/>
            </w:tcBorders>
          </w:tcPr>
          <w:p>
            <w:pPr>
              <w:pStyle w:val="TableParagraph"/>
              <w:spacing w:before="56"/>
              <w:rPr>
                <w:b/>
                <w:sz w:val="24"/>
              </w:rPr>
            </w:pPr>
          </w:p>
          <w:p>
            <w:pPr>
              <w:pStyle w:val="TableParagraph"/>
              <w:spacing w:line="261" w:lineRule="exact"/>
              <w:ind w:left="15"/>
              <w:jc w:val="center"/>
              <w:rPr>
                <w:sz w:val="24"/>
              </w:rPr>
            </w:pPr>
            <w:r>
              <w:rPr>
                <w:spacing w:val="-2"/>
                <w:sz w:val="24"/>
              </w:rPr>
              <w:t>&gt;136.95</w:t>
            </w:r>
          </w:p>
        </w:tc>
        <w:tc>
          <w:tcPr>
            <w:tcW w:w="1169" w:type="dxa"/>
            <w:tcBorders>
              <w:bottom w:val="nil"/>
            </w:tcBorders>
          </w:tcPr>
          <w:p>
            <w:pPr>
              <w:pStyle w:val="TableParagraph"/>
              <w:spacing w:before="56"/>
              <w:rPr>
                <w:b/>
                <w:sz w:val="24"/>
              </w:rPr>
            </w:pPr>
          </w:p>
          <w:p>
            <w:pPr>
              <w:pStyle w:val="TableParagraph"/>
              <w:spacing w:line="261" w:lineRule="exact"/>
              <w:ind w:left="19" w:right="2"/>
              <w:jc w:val="center"/>
              <w:rPr>
                <w:sz w:val="24"/>
              </w:rPr>
            </w:pPr>
            <w:r>
              <w:rPr>
                <w:spacing w:val="-2"/>
                <w:sz w:val="24"/>
              </w:rPr>
              <w:t>&lt;105,84</w:t>
            </w:r>
          </w:p>
        </w:tc>
        <w:tc>
          <w:tcPr>
            <w:tcW w:w="1186" w:type="dxa"/>
            <w:tcBorders>
              <w:bottom w:val="nil"/>
            </w:tcBorders>
          </w:tcPr>
          <w:p>
            <w:pPr>
              <w:pStyle w:val="TableParagraph"/>
              <w:spacing w:before="56"/>
              <w:rPr>
                <w:b/>
                <w:sz w:val="24"/>
              </w:rPr>
            </w:pPr>
          </w:p>
          <w:p>
            <w:pPr>
              <w:pStyle w:val="TableParagraph"/>
              <w:spacing w:line="261" w:lineRule="exact"/>
              <w:ind w:left="190"/>
              <w:rPr>
                <w:sz w:val="24"/>
              </w:rPr>
            </w:pPr>
            <w:r>
              <w:rPr>
                <w:sz w:val="24"/>
              </w:rPr>
              <w:t>105.84 </w:t>
            </w:r>
            <w:r>
              <w:rPr>
                <w:spacing w:val="-10"/>
                <w:sz w:val="24"/>
              </w:rPr>
              <w:t>-</w:t>
            </w:r>
          </w:p>
        </w:tc>
        <w:tc>
          <w:tcPr>
            <w:tcW w:w="1169" w:type="dxa"/>
            <w:tcBorders>
              <w:bottom w:val="nil"/>
            </w:tcBorders>
          </w:tcPr>
          <w:p>
            <w:pPr>
              <w:pStyle w:val="TableParagraph"/>
              <w:spacing w:before="56"/>
              <w:rPr>
                <w:b/>
                <w:sz w:val="24"/>
              </w:rPr>
            </w:pPr>
          </w:p>
          <w:p>
            <w:pPr>
              <w:pStyle w:val="TableParagraph"/>
              <w:spacing w:line="261" w:lineRule="exact"/>
              <w:ind w:left="19"/>
              <w:jc w:val="center"/>
              <w:rPr>
                <w:sz w:val="24"/>
              </w:rPr>
            </w:pPr>
            <w:r>
              <w:rPr>
                <w:spacing w:val="-4"/>
                <w:sz w:val="24"/>
              </w:rPr>
              <w:t>&gt;142</w:t>
            </w:r>
          </w:p>
        </w:tc>
      </w:tr>
      <w:tr>
        <w:trPr>
          <w:trHeight w:val="275" w:hRule="atLeast"/>
        </w:trPr>
        <w:tc>
          <w:tcPr>
            <w:tcW w:w="2206" w:type="dxa"/>
            <w:tcBorders>
              <w:top w:val="nil"/>
              <w:bottom w:val="nil"/>
            </w:tcBorders>
          </w:tcPr>
          <w:p>
            <w:pPr>
              <w:pStyle w:val="TableParagraph"/>
              <w:spacing w:line="256" w:lineRule="exact"/>
              <w:ind w:left="100"/>
              <w:rPr>
                <w:sz w:val="24"/>
              </w:rPr>
            </w:pPr>
            <w:r>
              <w:rPr>
                <w:spacing w:val="-2"/>
                <w:sz w:val="24"/>
              </w:rPr>
              <w:t>уровня</w:t>
            </w:r>
          </w:p>
        </w:tc>
        <w:tc>
          <w:tcPr>
            <w:tcW w:w="1169" w:type="dxa"/>
            <w:tcBorders>
              <w:top w:val="nil"/>
              <w:bottom w:val="nil"/>
            </w:tcBorders>
          </w:tcPr>
          <w:p>
            <w:pPr>
              <w:pStyle w:val="TableParagraph"/>
              <w:rPr>
                <w:sz w:val="20"/>
              </w:rPr>
            </w:pPr>
          </w:p>
        </w:tc>
        <w:tc>
          <w:tcPr>
            <w:tcW w:w="1186" w:type="dxa"/>
            <w:tcBorders>
              <w:top w:val="nil"/>
              <w:bottom w:val="nil"/>
            </w:tcBorders>
          </w:tcPr>
          <w:p>
            <w:pPr>
              <w:pStyle w:val="TableParagraph"/>
              <w:spacing w:line="256" w:lineRule="exact"/>
              <w:ind w:left="24" w:right="3"/>
              <w:jc w:val="center"/>
              <w:rPr>
                <w:sz w:val="24"/>
              </w:rPr>
            </w:pPr>
            <w:r>
              <w:rPr>
                <w:spacing w:val="-2"/>
                <w:sz w:val="24"/>
              </w:rPr>
              <w:t>136.95</w:t>
            </w:r>
          </w:p>
        </w:tc>
        <w:tc>
          <w:tcPr>
            <w:tcW w:w="1172" w:type="dxa"/>
            <w:tcBorders>
              <w:top w:val="nil"/>
              <w:bottom w:val="nil"/>
            </w:tcBorders>
          </w:tcPr>
          <w:p>
            <w:pPr>
              <w:pStyle w:val="TableParagraph"/>
              <w:rPr>
                <w:sz w:val="20"/>
              </w:rPr>
            </w:pPr>
          </w:p>
        </w:tc>
        <w:tc>
          <w:tcPr>
            <w:tcW w:w="1169" w:type="dxa"/>
            <w:tcBorders>
              <w:top w:val="nil"/>
              <w:bottom w:val="nil"/>
            </w:tcBorders>
          </w:tcPr>
          <w:p>
            <w:pPr>
              <w:pStyle w:val="TableParagraph"/>
              <w:rPr>
                <w:sz w:val="20"/>
              </w:rPr>
            </w:pPr>
          </w:p>
        </w:tc>
        <w:tc>
          <w:tcPr>
            <w:tcW w:w="1186" w:type="dxa"/>
            <w:tcBorders>
              <w:top w:val="nil"/>
              <w:bottom w:val="nil"/>
            </w:tcBorders>
          </w:tcPr>
          <w:p>
            <w:pPr>
              <w:pStyle w:val="TableParagraph"/>
              <w:spacing w:line="256" w:lineRule="exact"/>
              <w:ind w:left="24" w:right="7"/>
              <w:jc w:val="center"/>
              <w:rPr>
                <w:sz w:val="24"/>
              </w:rPr>
            </w:pPr>
            <w:r>
              <w:rPr>
                <w:spacing w:val="-5"/>
                <w:sz w:val="24"/>
              </w:rPr>
              <w:t>142</w:t>
            </w:r>
          </w:p>
        </w:tc>
        <w:tc>
          <w:tcPr>
            <w:tcW w:w="1169" w:type="dxa"/>
            <w:tcBorders>
              <w:top w:val="nil"/>
              <w:bottom w:val="nil"/>
            </w:tcBorders>
          </w:tcPr>
          <w:p>
            <w:pPr>
              <w:pStyle w:val="TableParagraph"/>
              <w:rPr>
                <w:sz w:val="20"/>
              </w:rPr>
            </w:pPr>
          </w:p>
        </w:tc>
      </w:tr>
      <w:tr>
        <w:trPr>
          <w:trHeight w:val="276" w:hRule="atLeast"/>
        </w:trPr>
        <w:tc>
          <w:tcPr>
            <w:tcW w:w="2206" w:type="dxa"/>
            <w:tcBorders>
              <w:top w:val="nil"/>
              <w:bottom w:val="nil"/>
            </w:tcBorders>
          </w:tcPr>
          <w:p>
            <w:pPr>
              <w:pStyle w:val="TableParagraph"/>
              <w:spacing w:line="256" w:lineRule="exact"/>
              <w:ind w:left="100"/>
              <w:rPr>
                <w:sz w:val="24"/>
              </w:rPr>
            </w:pPr>
            <w:r>
              <w:rPr>
                <w:spacing w:val="-2"/>
                <w:sz w:val="24"/>
              </w:rPr>
              <w:t>удовлетворенности</w:t>
            </w:r>
          </w:p>
        </w:tc>
        <w:tc>
          <w:tcPr>
            <w:tcW w:w="1169" w:type="dxa"/>
            <w:tcBorders>
              <w:top w:val="nil"/>
              <w:bottom w:val="nil"/>
            </w:tcBorders>
          </w:tcPr>
          <w:p>
            <w:pPr>
              <w:pStyle w:val="TableParagraph"/>
              <w:rPr>
                <w:sz w:val="20"/>
              </w:rPr>
            </w:pPr>
          </w:p>
        </w:tc>
        <w:tc>
          <w:tcPr>
            <w:tcW w:w="1186" w:type="dxa"/>
            <w:tcBorders>
              <w:top w:val="nil"/>
              <w:bottom w:val="nil"/>
            </w:tcBorders>
          </w:tcPr>
          <w:p>
            <w:pPr>
              <w:pStyle w:val="TableParagraph"/>
              <w:rPr>
                <w:sz w:val="20"/>
              </w:rPr>
            </w:pPr>
          </w:p>
        </w:tc>
        <w:tc>
          <w:tcPr>
            <w:tcW w:w="1172" w:type="dxa"/>
            <w:tcBorders>
              <w:top w:val="nil"/>
              <w:bottom w:val="nil"/>
            </w:tcBorders>
          </w:tcPr>
          <w:p>
            <w:pPr>
              <w:pStyle w:val="TableParagraph"/>
              <w:rPr>
                <w:sz w:val="20"/>
              </w:rPr>
            </w:pPr>
          </w:p>
        </w:tc>
        <w:tc>
          <w:tcPr>
            <w:tcW w:w="1169" w:type="dxa"/>
            <w:tcBorders>
              <w:top w:val="nil"/>
              <w:bottom w:val="nil"/>
            </w:tcBorders>
          </w:tcPr>
          <w:p>
            <w:pPr>
              <w:pStyle w:val="TableParagraph"/>
              <w:rPr>
                <w:sz w:val="20"/>
              </w:rPr>
            </w:pPr>
          </w:p>
        </w:tc>
        <w:tc>
          <w:tcPr>
            <w:tcW w:w="1186" w:type="dxa"/>
            <w:tcBorders>
              <w:top w:val="nil"/>
              <w:bottom w:val="nil"/>
            </w:tcBorders>
          </w:tcPr>
          <w:p>
            <w:pPr>
              <w:pStyle w:val="TableParagraph"/>
              <w:rPr>
                <w:sz w:val="20"/>
              </w:rPr>
            </w:pPr>
          </w:p>
        </w:tc>
        <w:tc>
          <w:tcPr>
            <w:tcW w:w="1169" w:type="dxa"/>
            <w:tcBorders>
              <w:top w:val="nil"/>
              <w:bottom w:val="nil"/>
            </w:tcBorders>
          </w:tcPr>
          <w:p>
            <w:pPr>
              <w:pStyle w:val="TableParagraph"/>
              <w:rPr>
                <w:sz w:val="20"/>
              </w:rPr>
            </w:pPr>
          </w:p>
        </w:tc>
      </w:tr>
      <w:tr>
        <w:trPr>
          <w:trHeight w:val="379" w:hRule="atLeast"/>
        </w:trPr>
        <w:tc>
          <w:tcPr>
            <w:tcW w:w="2206" w:type="dxa"/>
            <w:tcBorders>
              <w:top w:val="nil"/>
            </w:tcBorders>
          </w:tcPr>
          <w:p>
            <w:pPr>
              <w:pStyle w:val="TableParagraph"/>
              <w:spacing w:line="271" w:lineRule="exact"/>
              <w:ind w:left="100"/>
              <w:rPr>
                <w:sz w:val="24"/>
              </w:rPr>
            </w:pPr>
            <w:r>
              <w:rPr>
                <w:spacing w:val="-2"/>
                <w:sz w:val="24"/>
              </w:rPr>
              <w:t>жизнью</w:t>
            </w:r>
          </w:p>
        </w:tc>
        <w:tc>
          <w:tcPr>
            <w:tcW w:w="1169" w:type="dxa"/>
            <w:tcBorders>
              <w:top w:val="nil"/>
            </w:tcBorders>
          </w:tcPr>
          <w:p>
            <w:pPr>
              <w:pStyle w:val="TableParagraph"/>
              <w:rPr>
                <w:sz w:val="24"/>
              </w:rPr>
            </w:pPr>
          </w:p>
        </w:tc>
        <w:tc>
          <w:tcPr>
            <w:tcW w:w="1186" w:type="dxa"/>
            <w:tcBorders>
              <w:top w:val="nil"/>
            </w:tcBorders>
          </w:tcPr>
          <w:p>
            <w:pPr>
              <w:pStyle w:val="TableParagraph"/>
              <w:rPr>
                <w:sz w:val="24"/>
              </w:rPr>
            </w:pPr>
          </w:p>
        </w:tc>
        <w:tc>
          <w:tcPr>
            <w:tcW w:w="1172" w:type="dxa"/>
            <w:tcBorders>
              <w:top w:val="nil"/>
            </w:tcBorders>
          </w:tcPr>
          <w:p>
            <w:pPr>
              <w:pStyle w:val="TableParagraph"/>
              <w:rPr>
                <w:sz w:val="24"/>
              </w:rPr>
            </w:pPr>
          </w:p>
        </w:tc>
        <w:tc>
          <w:tcPr>
            <w:tcW w:w="1169" w:type="dxa"/>
            <w:tcBorders>
              <w:top w:val="nil"/>
            </w:tcBorders>
          </w:tcPr>
          <w:p>
            <w:pPr>
              <w:pStyle w:val="TableParagraph"/>
              <w:rPr>
                <w:sz w:val="24"/>
              </w:rPr>
            </w:pPr>
          </w:p>
        </w:tc>
        <w:tc>
          <w:tcPr>
            <w:tcW w:w="1186" w:type="dxa"/>
            <w:tcBorders>
              <w:top w:val="nil"/>
            </w:tcBorders>
          </w:tcPr>
          <w:p>
            <w:pPr>
              <w:pStyle w:val="TableParagraph"/>
              <w:rPr>
                <w:sz w:val="24"/>
              </w:rPr>
            </w:pPr>
          </w:p>
        </w:tc>
        <w:tc>
          <w:tcPr>
            <w:tcW w:w="1169" w:type="dxa"/>
            <w:tcBorders>
              <w:top w:val="nil"/>
            </w:tcBorders>
          </w:tcPr>
          <w:p>
            <w:pPr>
              <w:pStyle w:val="TableParagraph"/>
              <w:rPr>
                <w:sz w:val="24"/>
              </w:rPr>
            </w:pPr>
          </w:p>
        </w:tc>
      </w:tr>
      <w:tr>
        <w:trPr>
          <w:trHeight w:val="613" w:hRule="atLeast"/>
        </w:trPr>
        <w:tc>
          <w:tcPr>
            <w:tcW w:w="2206" w:type="dxa"/>
            <w:tcBorders>
              <w:bottom w:val="nil"/>
            </w:tcBorders>
          </w:tcPr>
          <w:p>
            <w:pPr>
              <w:pStyle w:val="TableParagraph"/>
              <w:spacing w:before="56"/>
              <w:rPr>
                <w:b/>
                <w:sz w:val="24"/>
              </w:rPr>
            </w:pPr>
          </w:p>
          <w:p>
            <w:pPr>
              <w:pStyle w:val="TableParagraph"/>
              <w:spacing w:line="261" w:lineRule="exact"/>
              <w:ind w:left="100"/>
              <w:rPr>
                <w:sz w:val="24"/>
              </w:rPr>
            </w:pPr>
            <w:r>
              <w:rPr>
                <w:spacing w:val="-4"/>
                <w:sz w:val="24"/>
              </w:rPr>
              <w:t>Семья</w:t>
            </w:r>
          </w:p>
        </w:tc>
        <w:tc>
          <w:tcPr>
            <w:tcW w:w="1169" w:type="dxa"/>
            <w:tcBorders>
              <w:bottom w:val="nil"/>
            </w:tcBorders>
          </w:tcPr>
          <w:p>
            <w:pPr>
              <w:pStyle w:val="TableParagraph"/>
              <w:spacing w:before="56"/>
              <w:rPr>
                <w:b/>
                <w:sz w:val="24"/>
              </w:rPr>
            </w:pPr>
          </w:p>
          <w:p>
            <w:pPr>
              <w:pStyle w:val="TableParagraph"/>
              <w:spacing w:line="261" w:lineRule="exact"/>
              <w:ind w:left="19"/>
              <w:jc w:val="center"/>
              <w:rPr>
                <w:sz w:val="24"/>
              </w:rPr>
            </w:pPr>
            <w:r>
              <w:rPr>
                <w:spacing w:val="-2"/>
                <w:sz w:val="24"/>
              </w:rPr>
              <w:t>&lt;22.15</w:t>
            </w:r>
          </w:p>
        </w:tc>
        <w:tc>
          <w:tcPr>
            <w:tcW w:w="1186" w:type="dxa"/>
            <w:tcBorders>
              <w:bottom w:val="nil"/>
            </w:tcBorders>
          </w:tcPr>
          <w:p>
            <w:pPr>
              <w:pStyle w:val="TableParagraph"/>
              <w:spacing w:before="56"/>
              <w:rPr>
                <w:b/>
                <w:sz w:val="24"/>
              </w:rPr>
            </w:pPr>
          </w:p>
          <w:p>
            <w:pPr>
              <w:pStyle w:val="TableParagraph"/>
              <w:spacing w:line="261" w:lineRule="exact"/>
              <w:ind w:left="234"/>
              <w:rPr>
                <w:sz w:val="24"/>
              </w:rPr>
            </w:pPr>
            <w:r>
              <w:rPr>
                <w:sz w:val="24"/>
              </w:rPr>
              <w:t>22.15 </w:t>
            </w:r>
            <w:r>
              <w:rPr>
                <w:spacing w:val="-10"/>
                <w:sz w:val="24"/>
              </w:rPr>
              <w:t>–</w:t>
            </w:r>
          </w:p>
        </w:tc>
        <w:tc>
          <w:tcPr>
            <w:tcW w:w="1172" w:type="dxa"/>
            <w:tcBorders>
              <w:bottom w:val="nil"/>
            </w:tcBorders>
          </w:tcPr>
          <w:p>
            <w:pPr>
              <w:pStyle w:val="TableParagraph"/>
              <w:spacing w:before="56"/>
              <w:rPr>
                <w:b/>
                <w:sz w:val="24"/>
              </w:rPr>
            </w:pPr>
          </w:p>
          <w:p>
            <w:pPr>
              <w:pStyle w:val="TableParagraph"/>
              <w:spacing w:line="261" w:lineRule="exact"/>
              <w:ind w:left="15"/>
              <w:jc w:val="center"/>
              <w:rPr>
                <w:sz w:val="24"/>
              </w:rPr>
            </w:pPr>
            <w:r>
              <w:rPr>
                <w:spacing w:val="-2"/>
                <w:sz w:val="24"/>
              </w:rPr>
              <w:t>&gt;29.27</w:t>
            </w:r>
          </w:p>
        </w:tc>
        <w:tc>
          <w:tcPr>
            <w:tcW w:w="1169" w:type="dxa"/>
            <w:tcBorders>
              <w:bottom w:val="nil"/>
            </w:tcBorders>
          </w:tcPr>
          <w:p>
            <w:pPr>
              <w:pStyle w:val="TableParagraph"/>
              <w:spacing w:before="56"/>
              <w:rPr>
                <w:b/>
                <w:sz w:val="24"/>
              </w:rPr>
            </w:pPr>
          </w:p>
          <w:p>
            <w:pPr>
              <w:pStyle w:val="TableParagraph"/>
              <w:spacing w:line="261" w:lineRule="exact"/>
              <w:ind w:left="19" w:right="2"/>
              <w:jc w:val="center"/>
              <w:rPr>
                <w:sz w:val="24"/>
              </w:rPr>
            </w:pPr>
            <w:r>
              <w:rPr>
                <w:spacing w:val="-2"/>
                <w:sz w:val="24"/>
              </w:rPr>
              <w:t>&lt;21.37</w:t>
            </w:r>
          </w:p>
        </w:tc>
        <w:tc>
          <w:tcPr>
            <w:tcW w:w="1186" w:type="dxa"/>
            <w:tcBorders>
              <w:bottom w:val="nil"/>
            </w:tcBorders>
          </w:tcPr>
          <w:p>
            <w:pPr>
              <w:pStyle w:val="TableParagraph"/>
              <w:spacing w:before="56"/>
              <w:rPr>
                <w:b/>
                <w:sz w:val="24"/>
              </w:rPr>
            </w:pPr>
          </w:p>
          <w:p>
            <w:pPr>
              <w:pStyle w:val="TableParagraph"/>
              <w:spacing w:line="261" w:lineRule="exact"/>
              <w:ind w:left="231"/>
              <w:rPr>
                <w:sz w:val="24"/>
              </w:rPr>
            </w:pPr>
            <w:r>
              <w:rPr>
                <w:sz w:val="24"/>
              </w:rPr>
              <w:t>21.37 </w:t>
            </w:r>
            <w:r>
              <w:rPr>
                <w:spacing w:val="-10"/>
                <w:sz w:val="24"/>
              </w:rPr>
              <w:t>–</w:t>
            </w:r>
          </w:p>
        </w:tc>
        <w:tc>
          <w:tcPr>
            <w:tcW w:w="1169" w:type="dxa"/>
            <w:tcBorders>
              <w:bottom w:val="nil"/>
            </w:tcBorders>
          </w:tcPr>
          <w:p>
            <w:pPr>
              <w:pStyle w:val="TableParagraph"/>
              <w:spacing w:before="56"/>
              <w:rPr>
                <w:b/>
                <w:sz w:val="24"/>
              </w:rPr>
            </w:pPr>
          </w:p>
          <w:p>
            <w:pPr>
              <w:pStyle w:val="TableParagraph"/>
              <w:spacing w:line="261" w:lineRule="exact"/>
              <w:ind w:left="19" w:right="2"/>
              <w:jc w:val="center"/>
              <w:rPr>
                <w:sz w:val="24"/>
              </w:rPr>
            </w:pPr>
            <w:r>
              <w:rPr>
                <w:spacing w:val="-2"/>
                <w:sz w:val="24"/>
              </w:rPr>
              <w:t>&gt;29.75</w:t>
            </w:r>
          </w:p>
        </w:tc>
      </w:tr>
      <w:tr>
        <w:trPr>
          <w:trHeight w:val="377" w:hRule="atLeast"/>
        </w:trPr>
        <w:tc>
          <w:tcPr>
            <w:tcW w:w="2206" w:type="dxa"/>
            <w:tcBorders>
              <w:top w:val="nil"/>
            </w:tcBorders>
          </w:tcPr>
          <w:p>
            <w:pPr>
              <w:pStyle w:val="TableParagraph"/>
              <w:rPr>
                <w:sz w:val="24"/>
              </w:rPr>
            </w:pPr>
          </w:p>
        </w:tc>
        <w:tc>
          <w:tcPr>
            <w:tcW w:w="1169" w:type="dxa"/>
            <w:tcBorders>
              <w:top w:val="nil"/>
            </w:tcBorders>
          </w:tcPr>
          <w:p>
            <w:pPr>
              <w:pStyle w:val="TableParagraph"/>
              <w:rPr>
                <w:sz w:val="24"/>
              </w:rPr>
            </w:pPr>
          </w:p>
        </w:tc>
        <w:tc>
          <w:tcPr>
            <w:tcW w:w="1186" w:type="dxa"/>
            <w:tcBorders>
              <w:top w:val="nil"/>
            </w:tcBorders>
          </w:tcPr>
          <w:p>
            <w:pPr>
              <w:pStyle w:val="TableParagraph"/>
              <w:spacing w:line="271" w:lineRule="exact"/>
              <w:ind w:left="24" w:right="3"/>
              <w:jc w:val="center"/>
              <w:rPr>
                <w:sz w:val="24"/>
              </w:rPr>
            </w:pPr>
            <w:r>
              <w:rPr>
                <w:spacing w:val="-2"/>
                <w:sz w:val="24"/>
              </w:rPr>
              <w:t>29.27</w:t>
            </w:r>
          </w:p>
        </w:tc>
        <w:tc>
          <w:tcPr>
            <w:tcW w:w="1172" w:type="dxa"/>
            <w:tcBorders>
              <w:top w:val="nil"/>
            </w:tcBorders>
          </w:tcPr>
          <w:p>
            <w:pPr>
              <w:pStyle w:val="TableParagraph"/>
              <w:rPr>
                <w:sz w:val="24"/>
              </w:rPr>
            </w:pPr>
          </w:p>
        </w:tc>
        <w:tc>
          <w:tcPr>
            <w:tcW w:w="1169" w:type="dxa"/>
            <w:tcBorders>
              <w:top w:val="nil"/>
            </w:tcBorders>
          </w:tcPr>
          <w:p>
            <w:pPr>
              <w:pStyle w:val="TableParagraph"/>
              <w:rPr>
                <w:sz w:val="24"/>
              </w:rPr>
            </w:pPr>
          </w:p>
        </w:tc>
        <w:tc>
          <w:tcPr>
            <w:tcW w:w="1186" w:type="dxa"/>
            <w:tcBorders>
              <w:top w:val="nil"/>
            </w:tcBorders>
          </w:tcPr>
          <w:p>
            <w:pPr>
              <w:pStyle w:val="TableParagraph"/>
              <w:spacing w:line="271" w:lineRule="exact"/>
              <w:ind w:left="24" w:right="9"/>
              <w:jc w:val="center"/>
              <w:rPr>
                <w:sz w:val="24"/>
              </w:rPr>
            </w:pPr>
            <w:r>
              <w:rPr>
                <w:spacing w:val="-2"/>
                <w:sz w:val="24"/>
              </w:rPr>
              <w:t>29.75</w:t>
            </w:r>
          </w:p>
        </w:tc>
        <w:tc>
          <w:tcPr>
            <w:tcW w:w="1169" w:type="dxa"/>
            <w:tcBorders>
              <w:top w:val="nil"/>
            </w:tcBorders>
          </w:tcPr>
          <w:p>
            <w:pPr>
              <w:pStyle w:val="TableParagraph"/>
              <w:rPr>
                <w:sz w:val="24"/>
              </w:rPr>
            </w:pPr>
          </w:p>
        </w:tc>
      </w:tr>
      <w:tr>
        <w:trPr>
          <w:trHeight w:val="613" w:hRule="atLeast"/>
        </w:trPr>
        <w:tc>
          <w:tcPr>
            <w:tcW w:w="2206" w:type="dxa"/>
            <w:tcBorders>
              <w:bottom w:val="nil"/>
            </w:tcBorders>
          </w:tcPr>
          <w:p>
            <w:pPr>
              <w:pStyle w:val="TableParagraph"/>
              <w:spacing w:before="56"/>
              <w:rPr>
                <w:b/>
                <w:sz w:val="24"/>
              </w:rPr>
            </w:pPr>
          </w:p>
          <w:p>
            <w:pPr>
              <w:pStyle w:val="TableParagraph"/>
              <w:spacing w:line="261" w:lineRule="exact"/>
              <w:ind w:left="100"/>
              <w:rPr>
                <w:sz w:val="24"/>
              </w:rPr>
            </w:pPr>
            <w:r>
              <w:rPr>
                <w:spacing w:val="-2"/>
                <w:sz w:val="24"/>
              </w:rPr>
              <w:t>Школа</w:t>
            </w:r>
          </w:p>
        </w:tc>
        <w:tc>
          <w:tcPr>
            <w:tcW w:w="1169" w:type="dxa"/>
            <w:tcBorders>
              <w:bottom w:val="nil"/>
            </w:tcBorders>
          </w:tcPr>
          <w:p>
            <w:pPr>
              <w:pStyle w:val="TableParagraph"/>
              <w:spacing w:before="56"/>
              <w:rPr>
                <w:b/>
                <w:sz w:val="24"/>
              </w:rPr>
            </w:pPr>
          </w:p>
          <w:p>
            <w:pPr>
              <w:pStyle w:val="TableParagraph"/>
              <w:spacing w:line="261" w:lineRule="exact"/>
              <w:ind w:left="19"/>
              <w:jc w:val="center"/>
              <w:rPr>
                <w:sz w:val="24"/>
              </w:rPr>
            </w:pPr>
            <w:r>
              <w:rPr>
                <w:spacing w:val="-2"/>
                <w:sz w:val="24"/>
              </w:rPr>
              <w:t>&lt;17.24</w:t>
            </w:r>
          </w:p>
        </w:tc>
        <w:tc>
          <w:tcPr>
            <w:tcW w:w="1186" w:type="dxa"/>
            <w:tcBorders>
              <w:bottom w:val="nil"/>
            </w:tcBorders>
          </w:tcPr>
          <w:p>
            <w:pPr>
              <w:pStyle w:val="TableParagraph"/>
              <w:spacing w:before="56"/>
              <w:rPr>
                <w:b/>
                <w:sz w:val="24"/>
              </w:rPr>
            </w:pPr>
          </w:p>
          <w:p>
            <w:pPr>
              <w:pStyle w:val="TableParagraph"/>
              <w:spacing w:line="261" w:lineRule="exact"/>
              <w:ind w:left="234"/>
              <w:rPr>
                <w:sz w:val="24"/>
              </w:rPr>
            </w:pPr>
            <w:r>
              <w:rPr>
                <w:sz w:val="24"/>
              </w:rPr>
              <w:t>17.24 </w:t>
            </w:r>
            <w:r>
              <w:rPr>
                <w:spacing w:val="-10"/>
                <w:sz w:val="24"/>
              </w:rPr>
              <w:t>–</w:t>
            </w:r>
          </w:p>
        </w:tc>
        <w:tc>
          <w:tcPr>
            <w:tcW w:w="1172" w:type="dxa"/>
            <w:tcBorders>
              <w:bottom w:val="nil"/>
            </w:tcBorders>
          </w:tcPr>
          <w:p>
            <w:pPr>
              <w:pStyle w:val="TableParagraph"/>
              <w:spacing w:before="56"/>
              <w:rPr>
                <w:b/>
                <w:sz w:val="24"/>
              </w:rPr>
            </w:pPr>
          </w:p>
          <w:p>
            <w:pPr>
              <w:pStyle w:val="TableParagraph"/>
              <w:spacing w:line="261" w:lineRule="exact"/>
              <w:ind w:left="15"/>
              <w:jc w:val="center"/>
              <w:rPr>
                <w:sz w:val="24"/>
              </w:rPr>
            </w:pPr>
            <w:r>
              <w:rPr>
                <w:spacing w:val="-2"/>
                <w:sz w:val="24"/>
              </w:rPr>
              <w:t>&gt;26.66</w:t>
            </w:r>
          </w:p>
        </w:tc>
        <w:tc>
          <w:tcPr>
            <w:tcW w:w="1169" w:type="dxa"/>
            <w:tcBorders>
              <w:bottom w:val="nil"/>
            </w:tcBorders>
          </w:tcPr>
          <w:p>
            <w:pPr>
              <w:pStyle w:val="TableParagraph"/>
              <w:spacing w:before="56"/>
              <w:rPr>
                <w:b/>
                <w:sz w:val="24"/>
              </w:rPr>
            </w:pPr>
          </w:p>
          <w:p>
            <w:pPr>
              <w:pStyle w:val="TableParagraph"/>
              <w:spacing w:line="261" w:lineRule="exact"/>
              <w:ind w:left="19" w:right="2"/>
              <w:jc w:val="center"/>
              <w:rPr>
                <w:sz w:val="24"/>
              </w:rPr>
            </w:pPr>
            <w:r>
              <w:rPr>
                <w:spacing w:val="-2"/>
                <w:sz w:val="24"/>
              </w:rPr>
              <w:t>&lt;19.23</w:t>
            </w:r>
          </w:p>
        </w:tc>
        <w:tc>
          <w:tcPr>
            <w:tcW w:w="1186" w:type="dxa"/>
            <w:tcBorders>
              <w:bottom w:val="nil"/>
            </w:tcBorders>
          </w:tcPr>
          <w:p>
            <w:pPr>
              <w:pStyle w:val="TableParagraph"/>
              <w:spacing w:before="56"/>
              <w:rPr>
                <w:b/>
                <w:sz w:val="24"/>
              </w:rPr>
            </w:pPr>
          </w:p>
          <w:p>
            <w:pPr>
              <w:pStyle w:val="TableParagraph"/>
              <w:spacing w:line="261" w:lineRule="exact"/>
              <w:ind w:left="231"/>
              <w:rPr>
                <w:sz w:val="24"/>
              </w:rPr>
            </w:pPr>
            <w:r>
              <w:rPr>
                <w:sz w:val="24"/>
              </w:rPr>
              <w:t>19.23 </w:t>
            </w:r>
            <w:r>
              <w:rPr>
                <w:spacing w:val="-10"/>
                <w:sz w:val="24"/>
              </w:rPr>
              <w:t>–</w:t>
            </w:r>
          </w:p>
        </w:tc>
        <w:tc>
          <w:tcPr>
            <w:tcW w:w="1169" w:type="dxa"/>
            <w:tcBorders>
              <w:bottom w:val="nil"/>
            </w:tcBorders>
          </w:tcPr>
          <w:p>
            <w:pPr>
              <w:pStyle w:val="TableParagraph"/>
              <w:spacing w:before="56"/>
              <w:rPr>
                <w:b/>
                <w:sz w:val="24"/>
              </w:rPr>
            </w:pPr>
          </w:p>
          <w:p>
            <w:pPr>
              <w:pStyle w:val="TableParagraph"/>
              <w:spacing w:line="261" w:lineRule="exact"/>
              <w:ind w:left="19" w:right="2"/>
              <w:jc w:val="center"/>
              <w:rPr>
                <w:sz w:val="24"/>
              </w:rPr>
            </w:pPr>
            <w:r>
              <w:rPr>
                <w:spacing w:val="-2"/>
                <w:sz w:val="24"/>
              </w:rPr>
              <w:t>&gt;28.25</w:t>
            </w:r>
          </w:p>
        </w:tc>
      </w:tr>
      <w:tr>
        <w:trPr>
          <w:trHeight w:val="379" w:hRule="atLeast"/>
        </w:trPr>
        <w:tc>
          <w:tcPr>
            <w:tcW w:w="2206" w:type="dxa"/>
            <w:tcBorders>
              <w:top w:val="nil"/>
            </w:tcBorders>
          </w:tcPr>
          <w:p>
            <w:pPr>
              <w:pStyle w:val="TableParagraph"/>
              <w:rPr>
                <w:sz w:val="24"/>
              </w:rPr>
            </w:pPr>
          </w:p>
        </w:tc>
        <w:tc>
          <w:tcPr>
            <w:tcW w:w="1169" w:type="dxa"/>
            <w:tcBorders>
              <w:top w:val="nil"/>
            </w:tcBorders>
          </w:tcPr>
          <w:p>
            <w:pPr>
              <w:pStyle w:val="TableParagraph"/>
              <w:rPr>
                <w:sz w:val="24"/>
              </w:rPr>
            </w:pPr>
          </w:p>
        </w:tc>
        <w:tc>
          <w:tcPr>
            <w:tcW w:w="1186" w:type="dxa"/>
            <w:tcBorders>
              <w:top w:val="nil"/>
            </w:tcBorders>
          </w:tcPr>
          <w:p>
            <w:pPr>
              <w:pStyle w:val="TableParagraph"/>
              <w:spacing w:line="271" w:lineRule="exact"/>
              <w:ind w:left="24" w:right="3"/>
              <w:jc w:val="center"/>
              <w:rPr>
                <w:sz w:val="24"/>
              </w:rPr>
            </w:pPr>
            <w:r>
              <w:rPr>
                <w:spacing w:val="-2"/>
                <w:sz w:val="24"/>
              </w:rPr>
              <w:t>26.66</w:t>
            </w:r>
          </w:p>
        </w:tc>
        <w:tc>
          <w:tcPr>
            <w:tcW w:w="1172" w:type="dxa"/>
            <w:tcBorders>
              <w:top w:val="nil"/>
            </w:tcBorders>
          </w:tcPr>
          <w:p>
            <w:pPr>
              <w:pStyle w:val="TableParagraph"/>
              <w:rPr>
                <w:sz w:val="24"/>
              </w:rPr>
            </w:pPr>
          </w:p>
        </w:tc>
        <w:tc>
          <w:tcPr>
            <w:tcW w:w="1169" w:type="dxa"/>
            <w:tcBorders>
              <w:top w:val="nil"/>
            </w:tcBorders>
          </w:tcPr>
          <w:p>
            <w:pPr>
              <w:pStyle w:val="TableParagraph"/>
              <w:rPr>
                <w:sz w:val="24"/>
              </w:rPr>
            </w:pPr>
          </w:p>
        </w:tc>
        <w:tc>
          <w:tcPr>
            <w:tcW w:w="1186" w:type="dxa"/>
            <w:tcBorders>
              <w:top w:val="nil"/>
            </w:tcBorders>
          </w:tcPr>
          <w:p>
            <w:pPr>
              <w:pStyle w:val="TableParagraph"/>
              <w:spacing w:line="271" w:lineRule="exact"/>
              <w:ind w:left="24" w:right="9"/>
              <w:jc w:val="center"/>
              <w:rPr>
                <w:sz w:val="24"/>
              </w:rPr>
            </w:pPr>
            <w:r>
              <w:rPr>
                <w:spacing w:val="-2"/>
                <w:sz w:val="24"/>
              </w:rPr>
              <w:t>28.25</w:t>
            </w:r>
          </w:p>
        </w:tc>
        <w:tc>
          <w:tcPr>
            <w:tcW w:w="1169" w:type="dxa"/>
            <w:tcBorders>
              <w:top w:val="nil"/>
            </w:tcBorders>
          </w:tcPr>
          <w:p>
            <w:pPr>
              <w:pStyle w:val="TableParagraph"/>
              <w:rPr>
                <w:sz w:val="24"/>
              </w:rPr>
            </w:pPr>
          </w:p>
        </w:tc>
      </w:tr>
      <w:tr>
        <w:trPr>
          <w:trHeight w:val="613" w:hRule="atLeast"/>
        </w:trPr>
        <w:tc>
          <w:tcPr>
            <w:tcW w:w="2206" w:type="dxa"/>
            <w:tcBorders>
              <w:bottom w:val="nil"/>
            </w:tcBorders>
          </w:tcPr>
          <w:p>
            <w:pPr>
              <w:pStyle w:val="TableParagraph"/>
              <w:spacing w:before="56"/>
              <w:rPr>
                <w:b/>
                <w:sz w:val="24"/>
              </w:rPr>
            </w:pPr>
          </w:p>
          <w:p>
            <w:pPr>
              <w:pStyle w:val="TableParagraph"/>
              <w:spacing w:line="261" w:lineRule="exact"/>
              <w:ind w:left="100"/>
              <w:rPr>
                <w:sz w:val="24"/>
              </w:rPr>
            </w:pPr>
            <w:r>
              <w:rPr>
                <w:spacing w:val="-2"/>
                <w:sz w:val="24"/>
              </w:rPr>
              <w:t>Учителя</w:t>
            </w:r>
          </w:p>
        </w:tc>
        <w:tc>
          <w:tcPr>
            <w:tcW w:w="1169" w:type="dxa"/>
            <w:tcBorders>
              <w:bottom w:val="nil"/>
            </w:tcBorders>
          </w:tcPr>
          <w:p>
            <w:pPr>
              <w:pStyle w:val="TableParagraph"/>
              <w:spacing w:before="56"/>
              <w:rPr>
                <w:b/>
                <w:sz w:val="24"/>
              </w:rPr>
            </w:pPr>
          </w:p>
          <w:p>
            <w:pPr>
              <w:pStyle w:val="TableParagraph"/>
              <w:spacing w:line="261" w:lineRule="exact"/>
              <w:ind w:left="19"/>
              <w:jc w:val="center"/>
              <w:rPr>
                <w:sz w:val="24"/>
              </w:rPr>
            </w:pPr>
            <w:r>
              <w:rPr>
                <w:spacing w:val="-2"/>
                <w:sz w:val="24"/>
              </w:rPr>
              <w:t>&lt;18.22</w:t>
            </w:r>
          </w:p>
        </w:tc>
        <w:tc>
          <w:tcPr>
            <w:tcW w:w="1186" w:type="dxa"/>
            <w:tcBorders>
              <w:bottom w:val="nil"/>
            </w:tcBorders>
          </w:tcPr>
          <w:p>
            <w:pPr>
              <w:pStyle w:val="TableParagraph"/>
              <w:spacing w:before="56"/>
              <w:rPr>
                <w:b/>
                <w:sz w:val="24"/>
              </w:rPr>
            </w:pPr>
          </w:p>
          <w:p>
            <w:pPr>
              <w:pStyle w:val="TableParagraph"/>
              <w:spacing w:line="261" w:lineRule="exact"/>
              <w:ind w:left="234"/>
              <w:rPr>
                <w:sz w:val="24"/>
              </w:rPr>
            </w:pPr>
            <w:r>
              <w:rPr>
                <w:sz w:val="24"/>
              </w:rPr>
              <w:t>18.22 </w:t>
            </w:r>
            <w:r>
              <w:rPr>
                <w:spacing w:val="-10"/>
                <w:sz w:val="24"/>
              </w:rPr>
              <w:t>–</w:t>
            </w:r>
          </w:p>
        </w:tc>
        <w:tc>
          <w:tcPr>
            <w:tcW w:w="1172" w:type="dxa"/>
            <w:tcBorders>
              <w:bottom w:val="nil"/>
            </w:tcBorders>
          </w:tcPr>
          <w:p>
            <w:pPr>
              <w:pStyle w:val="TableParagraph"/>
              <w:spacing w:before="56"/>
              <w:rPr>
                <w:b/>
                <w:sz w:val="24"/>
              </w:rPr>
            </w:pPr>
          </w:p>
          <w:p>
            <w:pPr>
              <w:pStyle w:val="TableParagraph"/>
              <w:spacing w:line="261" w:lineRule="exact"/>
              <w:ind w:left="15"/>
              <w:jc w:val="center"/>
              <w:rPr>
                <w:sz w:val="24"/>
              </w:rPr>
            </w:pPr>
            <w:r>
              <w:rPr>
                <w:spacing w:val="-2"/>
                <w:sz w:val="24"/>
              </w:rPr>
              <w:t>&gt;28.04</w:t>
            </w:r>
          </w:p>
        </w:tc>
        <w:tc>
          <w:tcPr>
            <w:tcW w:w="1169" w:type="dxa"/>
            <w:tcBorders>
              <w:bottom w:val="nil"/>
            </w:tcBorders>
          </w:tcPr>
          <w:p>
            <w:pPr>
              <w:pStyle w:val="TableParagraph"/>
              <w:spacing w:before="56"/>
              <w:rPr>
                <w:b/>
                <w:sz w:val="24"/>
              </w:rPr>
            </w:pPr>
          </w:p>
          <w:p>
            <w:pPr>
              <w:pStyle w:val="TableParagraph"/>
              <w:spacing w:line="261" w:lineRule="exact"/>
              <w:ind w:left="19" w:right="2"/>
              <w:jc w:val="center"/>
              <w:rPr>
                <w:sz w:val="24"/>
              </w:rPr>
            </w:pPr>
            <w:r>
              <w:rPr>
                <w:spacing w:val="-2"/>
                <w:sz w:val="24"/>
              </w:rPr>
              <w:t>&lt;20.24</w:t>
            </w:r>
          </w:p>
        </w:tc>
        <w:tc>
          <w:tcPr>
            <w:tcW w:w="1186" w:type="dxa"/>
            <w:tcBorders>
              <w:bottom w:val="nil"/>
            </w:tcBorders>
          </w:tcPr>
          <w:p>
            <w:pPr>
              <w:pStyle w:val="TableParagraph"/>
              <w:spacing w:before="56"/>
              <w:rPr>
                <w:b/>
                <w:sz w:val="24"/>
              </w:rPr>
            </w:pPr>
          </w:p>
          <w:p>
            <w:pPr>
              <w:pStyle w:val="TableParagraph"/>
              <w:spacing w:line="261" w:lineRule="exact"/>
              <w:ind w:left="231"/>
              <w:rPr>
                <w:sz w:val="24"/>
              </w:rPr>
            </w:pPr>
            <w:r>
              <w:rPr>
                <w:sz w:val="24"/>
              </w:rPr>
              <w:t>20.24 </w:t>
            </w:r>
            <w:r>
              <w:rPr>
                <w:spacing w:val="-10"/>
                <w:sz w:val="24"/>
              </w:rPr>
              <w:t>–</w:t>
            </w:r>
          </w:p>
        </w:tc>
        <w:tc>
          <w:tcPr>
            <w:tcW w:w="1169" w:type="dxa"/>
            <w:tcBorders>
              <w:bottom w:val="nil"/>
            </w:tcBorders>
          </w:tcPr>
          <w:p>
            <w:pPr>
              <w:pStyle w:val="TableParagraph"/>
              <w:spacing w:before="56"/>
              <w:rPr>
                <w:b/>
                <w:sz w:val="24"/>
              </w:rPr>
            </w:pPr>
          </w:p>
          <w:p>
            <w:pPr>
              <w:pStyle w:val="TableParagraph"/>
              <w:spacing w:line="261" w:lineRule="exact"/>
              <w:ind w:left="19" w:right="2"/>
              <w:jc w:val="center"/>
              <w:rPr>
                <w:sz w:val="24"/>
              </w:rPr>
            </w:pPr>
            <w:r>
              <w:rPr>
                <w:spacing w:val="-2"/>
                <w:sz w:val="24"/>
              </w:rPr>
              <w:t>&gt;29.1</w:t>
            </w:r>
          </w:p>
        </w:tc>
      </w:tr>
      <w:tr>
        <w:trPr>
          <w:trHeight w:val="379" w:hRule="atLeast"/>
        </w:trPr>
        <w:tc>
          <w:tcPr>
            <w:tcW w:w="2206" w:type="dxa"/>
            <w:tcBorders>
              <w:top w:val="nil"/>
            </w:tcBorders>
          </w:tcPr>
          <w:p>
            <w:pPr>
              <w:pStyle w:val="TableParagraph"/>
              <w:rPr>
                <w:sz w:val="24"/>
              </w:rPr>
            </w:pPr>
          </w:p>
        </w:tc>
        <w:tc>
          <w:tcPr>
            <w:tcW w:w="1169" w:type="dxa"/>
            <w:tcBorders>
              <w:top w:val="nil"/>
            </w:tcBorders>
          </w:tcPr>
          <w:p>
            <w:pPr>
              <w:pStyle w:val="TableParagraph"/>
              <w:rPr>
                <w:sz w:val="24"/>
              </w:rPr>
            </w:pPr>
          </w:p>
        </w:tc>
        <w:tc>
          <w:tcPr>
            <w:tcW w:w="1186" w:type="dxa"/>
            <w:tcBorders>
              <w:top w:val="nil"/>
            </w:tcBorders>
          </w:tcPr>
          <w:p>
            <w:pPr>
              <w:pStyle w:val="TableParagraph"/>
              <w:spacing w:line="271" w:lineRule="exact"/>
              <w:ind w:left="24" w:right="3"/>
              <w:jc w:val="center"/>
              <w:rPr>
                <w:sz w:val="24"/>
              </w:rPr>
            </w:pPr>
            <w:r>
              <w:rPr>
                <w:spacing w:val="-2"/>
                <w:sz w:val="24"/>
              </w:rPr>
              <w:t>28.04</w:t>
            </w:r>
          </w:p>
        </w:tc>
        <w:tc>
          <w:tcPr>
            <w:tcW w:w="1172" w:type="dxa"/>
            <w:tcBorders>
              <w:top w:val="nil"/>
            </w:tcBorders>
          </w:tcPr>
          <w:p>
            <w:pPr>
              <w:pStyle w:val="TableParagraph"/>
              <w:rPr>
                <w:sz w:val="24"/>
              </w:rPr>
            </w:pPr>
          </w:p>
        </w:tc>
        <w:tc>
          <w:tcPr>
            <w:tcW w:w="1169" w:type="dxa"/>
            <w:tcBorders>
              <w:top w:val="nil"/>
            </w:tcBorders>
          </w:tcPr>
          <w:p>
            <w:pPr>
              <w:pStyle w:val="TableParagraph"/>
              <w:rPr>
                <w:sz w:val="24"/>
              </w:rPr>
            </w:pPr>
          </w:p>
        </w:tc>
        <w:tc>
          <w:tcPr>
            <w:tcW w:w="1186" w:type="dxa"/>
            <w:tcBorders>
              <w:top w:val="nil"/>
            </w:tcBorders>
          </w:tcPr>
          <w:p>
            <w:pPr>
              <w:pStyle w:val="TableParagraph"/>
              <w:spacing w:line="271" w:lineRule="exact"/>
              <w:ind w:left="24" w:right="9"/>
              <w:jc w:val="center"/>
              <w:rPr>
                <w:sz w:val="24"/>
              </w:rPr>
            </w:pPr>
            <w:r>
              <w:rPr>
                <w:spacing w:val="-4"/>
                <w:sz w:val="24"/>
              </w:rPr>
              <w:t>29.1</w:t>
            </w:r>
          </w:p>
        </w:tc>
        <w:tc>
          <w:tcPr>
            <w:tcW w:w="1169" w:type="dxa"/>
            <w:tcBorders>
              <w:top w:val="nil"/>
            </w:tcBorders>
          </w:tcPr>
          <w:p>
            <w:pPr>
              <w:pStyle w:val="TableParagraph"/>
              <w:rPr>
                <w:sz w:val="24"/>
              </w:rPr>
            </w:pPr>
          </w:p>
        </w:tc>
      </w:tr>
      <w:tr>
        <w:trPr>
          <w:trHeight w:val="613" w:hRule="atLeast"/>
        </w:trPr>
        <w:tc>
          <w:tcPr>
            <w:tcW w:w="2206" w:type="dxa"/>
            <w:tcBorders>
              <w:bottom w:val="nil"/>
            </w:tcBorders>
          </w:tcPr>
          <w:p>
            <w:pPr>
              <w:pStyle w:val="TableParagraph"/>
              <w:spacing w:before="56"/>
              <w:rPr>
                <w:b/>
                <w:sz w:val="24"/>
              </w:rPr>
            </w:pPr>
          </w:p>
          <w:p>
            <w:pPr>
              <w:pStyle w:val="TableParagraph"/>
              <w:spacing w:line="261" w:lineRule="exact"/>
              <w:ind w:left="100"/>
              <w:rPr>
                <w:sz w:val="24"/>
              </w:rPr>
            </w:pPr>
            <w:r>
              <w:rPr>
                <w:sz w:val="24"/>
              </w:rPr>
              <w:t>Я </w:t>
            </w:r>
            <w:r>
              <w:rPr>
                <w:spacing w:val="-5"/>
                <w:sz w:val="24"/>
              </w:rPr>
              <w:t>сам</w:t>
            </w:r>
          </w:p>
        </w:tc>
        <w:tc>
          <w:tcPr>
            <w:tcW w:w="1169" w:type="dxa"/>
            <w:tcBorders>
              <w:bottom w:val="nil"/>
            </w:tcBorders>
          </w:tcPr>
          <w:p>
            <w:pPr>
              <w:pStyle w:val="TableParagraph"/>
              <w:spacing w:before="56"/>
              <w:rPr>
                <w:b/>
                <w:sz w:val="24"/>
              </w:rPr>
            </w:pPr>
          </w:p>
          <w:p>
            <w:pPr>
              <w:pStyle w:val="TableParagraph"/>
              <w:spacing w:line="261" w:lineRule="exact"/>
              <w:ind w:left="19"/>
              <w:jc w:val="center"/>
              <w:rPr>
                <w:sz w:val="24"/>
              </w:rPr>
            </w:pPr>
            <w:r>
              <w:rPr>
                <w:spacing w:val="-2"/>
                <w:sz w:val="24"/>
              </w:rPr>
              <w:t>&lt;19.22</w:t>
            </w:r>
          </w:p>
        </w:tc>
        <w:tc>
          <w:tcPr>
            <w:tcW w:w="1186" w:type="dxa"/>
            <w:tcBorders>
              <w:bottom w:val="nil"/>
            </w:tcBorders>
          </w:tcPr>
          <w:p>
            <w:pPr>
              <w:pStyle w:val="TableParagraph"/>
              <w:spacing w:before="56"/>
              <w:rPr>
                <w:b/>
                <w:sz w:val="24"/>
              </w:rPr>
            </w:pPr>
          </w:p>
          <w:p>
            <w:pPr>
              <w:pStyle w:val="TableParagraph"/>
              <w:spacing w:line="261" w:lineRule="exact"/>
              <w:ind w:left="234"/>
              <w:rPr>
                <w:sz w:val="24"/>
              </w:rPr>
            </w:pPr>
            <w:r>
              <w:rPr>
                <w:sz w:val="24"/>
              </w:rPr>
              <w:t>19.22 </w:t>
            </w:r>
            <w:r>
              <w:rPr>
                <w:spacing w:val="-10"/>
                <w:sz w:val="24"/>
              </w:rPr>
              <w:t>–</w:t>
            </w:r>
          </w:p>
        </w:tc>
        <w:tc>
          <w:tcPr>
            <w:tcW w:w="1172" w:type="dxa"/>
            <w:tcBorders>
              <w:bottom w:val="nil"/>
            </w:tcBorders>
          </w:tcPr>
          <w:p>
            <w:pPr>
              <w:pStyle w:val="TableParagraph"/>
              <w:spacing w:before="56"/>
              <w:rPr>
                <w:b/>
                <w:sz w:val="24"/>
              </w:rPr>
            </w:pPr>
          </w:p>
          <w:p>
            <w:pPr>
              <w:pStyle w:val="TableParagraph"/>
              <w:spacing w:line="261" w:lineRule="exact"/>
              <w:ind w:left="15"/>
              <w:jc w:val="center"/>
              <w:rPr>
                <w:sz w:val="24"/>
              </w:rPr>
            </w:pPr>
            <w:r>
              <w:rPr>
                <w:spacing w:val="-2"/>
                <w:sz w:val="24"/>
              </w:rPr>
              <w:t>&gt;29.52</w:t>
            </w:r>
          </w:p>
        </w:tc>
        <w:tc>
          <w:tcPr>
            <w:tcW w:w="1169" w:type="dxa"/>
            <w:tcBorders>
              <w:bottom w:val="nil"/>
            </w:tcBorders>
          </w:tcPr>
          <w:p>
            <w:pPr>
              <w:pStyle w:val="TableParagraph"/>
              <w:spacing w:before="56"/>
              <w:rPr>
                <w:b/>
                <w:sz w:val="24"/>
              </w:rPr>
            </w:pPr>
          </w:p>
          <w:p>
            <w:pPr>
              <w:pStyle w:val="TableParagraph"/>
              <w:spacing w:line="261" w:lineRule="exact"/>
              <w:ind w:left="19" w:right="2"/>
              <w:jc w:val="center"/>
              <w:rPr>
                <w:sz w:val="24"/>
              </w:rPr>
            </w:pPr>
            <w:r>
              <w:rPr>
                <w:spacing w:val="-2"/>
                <w:sz w:val="24"/>
              </w:rPr>
              <w:t>&lt;19.15</w:t>
            </w:r>
          </w:p>
        </w:tc>
        <w:tc>
          <w:tcPr>
            <w:tcW w:w="1186" w:type="dxa"/>
            <w:tcBorders>
              <w:bottom w:val="nil"/>
            </w:tcBorders>
          </w:tcPr>
          <w:p>
            <w:pPr>
              <w:pStyle w:val="TableParagraph"/>
              <w:spacing w:before="56"/>
              <w:rPr>
                <w:b/>
                <w:sz w:val="24"/>
              </w:rPr>
            </w:pPr>
          </w:p>
          <w:p>
            <w:pPr>
              <w:pStyle w:val="TableParagraph"/>
              <w:spacing w:line="261" w:lineRule="exact"/>
              <w:ind w:left="231"/>
              <w:rPr>
                <w:sz w:val="24"/>
              </w:rPr>
            </w:pPr>
            <w:r>
              <w:rPr>
                <w:sz w:val="24"/>
              </w:rPr>
              <w:t>19.15 </w:t>
            </w:r>
            <w:r>
              <w:rPr>
                <w:spacing w:val="-10"/>
                <w:sz w:val="24"/>
              </w:rPr>
              <w:t>–</w:t>
            </w:r>
          </w:p>
        </w:tc>
        <w:tc>
          <w:tcPr>
            <w:tcW w:w="1169" w:type="dxa"/>
            <w:tcBorders>
              <w:bottom w:val="nil"/>
            </w:tcBorders>
          </w:tcPr>
          <w:p>
            <w:pPr>
              <w:pStyle w:val="TableParagraph"/>
              <w:spacing w:before="56"/>
              <w:rPr>
                <w:b/>
                <w:sz w:val="24"/>
              </w:rPr>
            </w:pPr>
          </w:p>
          <w:p>
            <w:pPr>
              <w:pStyle w:val="TableParagraph"/>
              <w:spacing w:line="261" w:lineRule="exact"/>
              <w:ind w:left="19" w:right="2"/>
              <w:jc w:val="center"/>
              <w:rPr>
                <w:sz w:val="24"/>
              </w:rPr>
            </w:pPr>
            <w:r>
              <w:rPr>
                <w:spacing w:val="-2"/>
                <w:sz w:val="24"/>
              </w:rPr>
              <w:t>&gt;28.43</w:t>
            </w:r>
          </w:p>
        </w:tc>
      </w:tr>
      <w:tr>
        <w:trPr>
          <w:trHeight w:val="376" w:hRule="atLeast"/>
        </w:trPr>
        <w:tc>
          <w:tcPr>
            <w:tcW w:w="2206" w:type="dxa"/>
            <w:tcBorders>
              <w:top w:val="nil"/>
            </w:tcBorders>
          </w:tcPr>
          <w:p>
            <w:pPr>
              <w:pStyle w:val="TableParagraph"/>
              <w:rPr>
                <w:sz w:val="24"/>
              </w:rPr>
            </w:pPr>
          </w:p>
        </w:tc>
        <w:tc>
          <w:tcPr>
            <w:tcW w:w="1169" w:type="dxa"/>
            <w:tcBorders>
              <w:top w:val="nil"/>
            </w:tcBorders>
          </w:tcPr>
          <w:p>
            <w:pPr>
              <w:pStyle w:val="TableParagraph"/>
              <w:rPr>
                <w:sz w:val="24"/>
              </w:rPr>
            </w:pPr>
          </w:p>
        </w:tc>
        <w:tc>
          <w:tcPr>
            <w:tcW w:w="1186" w:type="dxa"/>
            <w:tcBorders>
              <w:top w:val="nil"/>
            </w:tcBorders>
          </w:tcPr>
          <w:p>
            <w:pPr>
              <w:pStyle w:val="TableParagraph"/>
              <w:spacing w:line="271" w:lineRule="exact"/>
              <w:ind w:left="24" w:right="3"/>
              <w:jc w:val="center"/>
              <w:rPr>
                <w:sz w:val="24"/>
              </w:rPr>
            </w:pPr>
            <w:r>
              <w:rPr>
                <w:spacing w:val="-2"/>
                <w:sz w:val="24"/>
              </w:rPr>
              <w:t>29.52</w:t>
            </w:r>
          </w:p>
        </w:tc>
        <w:tc>
          <w:tcPr>
            <w:tcW w:w="1172" w:type="dxa"/>
            <w:tcBorders>
              <w:top w:val="nil"/>
            </w:tcBorders>
          </w:tcPr>
          <w:p>
            <w:pPr>
              <w:pStyle w:val="TableParagraph"/>
              <w:rPr>
                <w:sz w:val="24"/>
              </w:rPr>
            </w:pPr>
          </w:p>
        </w:tc>
        <w:tc>
          <w:tcPr>
            <w:tcW w:w="1169" w:type="dxa"/>
            <w:tcBorders>
              <w:top w:val="nil"/>
            </w:tcBorders>
          </w:tcPr>
          <w:p>
            <w:pPr>
              <w:pStyle w:val="TableParagraph"/>
              <w:rPr>
                <w:sz w:val="24"/>
              </w:rPr>
            </w:pPr>
          </w:p>
        </w:tc>
        <w:tc>
          <w:tcPr>
            <w:tcW w:w="1186" w:type="dxa"/>
            <w:tcBorders>
              <w:top w:val="nil"/>
            </w:tcBorders>
          </w:tcPr>
          <w:p>
            <w:pPr>
              <w:pStyle w:val="TableParagraph"/>
              <w:spacing w:line="271" w:lineRule="exact"/>
              <w:ind w:left="24" w:right="9"/>
              <w:jc w:val="center"/>
              <w:rPr>
                <w:sz w:val="24"/>
              </w:rPr>
            </w:pPr>
            <w:r>
              <w:rPr>
                <w:spacing w:val="-2"/>
                <w:sz w:val="24"/>
              </w:rPr>
              <w:t>28.43</w:t>
            </w:r>
          </w:p>
        </w:tc>
        <w:tc>
          <w:tcPr>
            <w:tcW w:w="1169" w:type="dxa"/>
            <w:tcBorders>
              <w:top w:val="nil"/>
            </w:tcBorders>
          </w:tcPr>
          <w:p>
            <w:pPr>
              <w:pStyle w:val="TableParagraph"/>
              <w:rPr>
                <w:sz w:val="24"/>
              </w:rPr>
            </w:pPr>
          </w:p>
        </w:tc>
      </w:tr>
      <w:tr>
        <w:trPr>
          <w:trHeight w:val="614" w:hRule="atLeast"/>
        </w:trPr>
        <w:tc>
          <w:tcPr>
            <w:tcW w:w="2206" w:type="dxa"/>
            <w:tcBorders>
              <w:bottom w:val="nil"/>
            </w:tcBorders>
          </w:tcPr>
          <w:p>
            <w:pPr>
              <w:pStyle w:val="TableParagraph"/>
              <w:spacing w:before="56"/>
              <w:rPr>
                <w:b/>
                <w:sz w:val="24"/>
              </w:rPr>
            </w:pPr>
          </w:p>
          <w:p>
            <w:pPr>
              <w:pStyle w:val="TableParagraph"/>
              <w:spacing w:line="261" w:lineRule="exact" w:before="1"/>
              <w:ind w:left="100"/>
              <w:rPr>
                <w:sz w:val="24"/>
              </w:rPr>
            </w:pPr>
            <w:r>
              <w:rPr>
                <w:spacing w:val="-2"/>
                <w:sz w:val="24"/>
              </w:rPr>
              <w:t>Друзья</w:t>
            </w:r>
          </w:p>
        </w:tc>
        <w:tc>
          <w:tcPr>
            <w:tcW w:w="1169" w:type="dxa"/>
            <w:tcBorders>
              <w:bottom w:val="nil"/>
            </w:tcBorders>
          </w:tcPr>
          <w:p>
            <w:pPr>
              <w:pStyle w:val="TableParagraph"/>
              <w:spacing w:before="56"/>
              <w:rPr>
                <w:b/>
                <w:sz w:val="24"/>
              </w:rPr>
            </w:pPr>
          </w:p>
          <w:p>
            <w:pPr>
              <w:pStyle w:val="TableParagraph"/>
              <w:spacing w:line="261" w:lineRule="exact" w:before="1"/>
              <w:ind w:left="19"/>
              <w:jc w:val="center"/>
              <w:rPr>
                <w:sz w:val="24"/>
              </w:rPr>
            </w:pPr>
            <w:r>
              <w:rPr>
                <w:spacing w:val="-2"/>
                <w:sz w:val="24"/>
              </w:rPr>
              <w:t>&lt;20.39</w:t>
            </w:r>
          </w:p>
        </w:tc>
        <w:tc>
          <w:tcPr>
            <w:tcW w:w="1186" w:type="dxa"/>
            <w:tcBorders>
              <w:bottom w:val="nil"/>
            </w:tcBorders>
          </w:tcPr>
          <w:p>
            <w:pPr>
              <w:pStyle w:val="TableParagraph"/>
              <w:spacing w:before="56"/>
              <w:rPr>
                <w:b/>
                <w:sz w:val="24"/>
              </w:rPr>
            </w:pPr>
          </w:p>
          <w:p>
            <w:pPr>
              <w:pStyle w:val="TableParagraph"/>
              <w:spacing w:line="261" w:lineRule="exact" w:before="1"/>
              <w:ind w:left="234"/>
              <w:rPr>
                <w:sz w:val="24"/>
              </w:rPr>
            </w:pPr>
            <w:r>
              <w:rPr>
                <w:sz w:val="24"/>
              </w:rPr>
              <w:t>28.39 </w:t>
            </w:r>
            <w:r>
              <w:rPr>
                <w:spacing w:val="-10"/>
                <w:sz w:val="24"/>
              </w:rPr>
              <w:t>–</w:t>
            </w:r>
          </w:p>
        </w:tc>
        <w:tc>
          <w:tcPr>
            <w:tcW w:w="1172" w:type="dxa"/>
            <w:tcBorders>
              <w:bottom w:val="nil"/>
            </w:tcBorders>
          </w:tcPr>
          <w:p>
            <w:pPr>
              <w:pStyle w:val="TableParagraph"/>
              <w:spacing w:before="56"/>
              <w:rPr>
                <w:b/>
                <w:sz w:val="24"/>
              </w:rPr>
            </w:pPr>
          </w:p>
          <w:p>
            <w:pPr>
              <w:pStyle w:val="TableParagraph"/>
              <w:spacing w:line="261" w:lineRule="exact" w:before="1"/>
              <w:ind w:left="15"/>
              <w:jc w:val="center"/>
              <w:rPr>
                <w:sz w:val="24"/>
              </w:rPr>
            </w:pPr>
            <w:r>
              <w:rPr>
                <w:spacing w:val="-2"/>
                <w:sz w:val="24"/>
              </w:rPr>
              <w:t>&gt;29.23</w:t>
            </w:r>
          </w:p>
        </w:tc>
        <w:tc>
          <w:tcPr>
            <w:tcW w:w="1169" w:type="dxa"/>
            <w:tcBorders>
              <w:bottom w:val="nil"/>
            </w:tcBorders>
          </w:tcPr>
          <w:p>
            <w:pPr>
              <w:pStyle w:val="TableParagraph"/>
              <w:spacing w:before="56"/>
              <w:rPr>
                <w:b/>
                <w:sz w:val="24"/>
              </w:rPr>
            </w:pPr>
          </w:p>
          <w:p>
            <w:pPr>
              <w:pStyle w:val="TableParagraph"/>
              <w:spacing w:line="261" w:lineRule="exact" w:before="1"/>
              <w:ind w:left="19" w:right="2"/>
              <w:jc w:val="center"/>
              <w:rPr>
                <w:sz w:val="24"/>
              </w:rPr>
            </w:pPr>
            <w:r>
              <w:rPr>
                <w:spacing w:val="-2"/>
                <w:sz w:val="24"/>
              </w:rPr>
              <w:t>&lt;21.45</w:t>
            </w:r>
          </w:p>
        </w:tc>
        <w:tc>
          <w:tcPr>
            <w:tcW w:w="1186" w:type="dxa"/>
            <w:tcBorders>
              <w:bottom w:val="nil"/>
            </w:tcBorders>
          </w:tcPr>
          <w:p>
            <w:pPr>
              <w:pStyle w:val="TableParagraph"/>
              <w:spacing w:before="56"/>
              <w:rPr>
                <w:b/>
                <w:sz w:val="24"/>
              </w:rPr>
            </w:pPr>
          </w:p>
          <w:p>
            <w:pPr>
              <w:pStyle w:val="TableParagraph"/>
              <w:spacing w:line="261" w:lineRule="exact" w:before="1"/>
              <w:ind w:left="231"/>
              <w:rPr>
                <w:sz w:val="24"/>
              </w:rPr>
            </w:pPr>
            <w:r>
              <w:rPr>
                <w:sz w:val="24"/>
              </w:rPr>
              <w:t>21.45 </w:t>
            </w:r>
            <w:r>
              <w:rPr>
                <w:spacing w:val="-10"/>
                <w:sz w:val="24"/>
              </w:rPr>
              <w:t>–</w:t>
            </w:r>
          </w:p>
        </w:tc>
        <w:tc>
          <w:tcPr>
            <w:tcW w:w="1169" w:type="dxa"/>
            <w:tcBorders>
              <w:bottom w:val="nil"/>
            </w:tcBorders>
          </w:tcPr>
          <w:p>
            <w:pPr>
              <w:pStyle w:val="TableParagraph"/>
              <w:spacing w:before="56"/>
              <w:rPr>
                <w:b/>
                <w:sz w:val="24"/>
              </w:rPr>
            </w:pPr>
          </w:p>
          <w:p>
            <w:pPr>
              <w:pStyle w:val="TableParagraph"/>
              <w:spacing w:line="261" w:lineRule="exact" w:before="1"/>
              <w:ind w:left="19" w:right="2"/>
              <w:jc w:val="center"/>
              <w:rPr>
                <w:sz w:val="24"/>
              </w:rPr>
            </w:pPr>
            <w:r>
              <w:rPr>
                <w:spacing w:val="-2"/>
                <w:sz w:val="24"/>
              </w:rPr>
              <w:t>&gt;29.89</w:t>
            </w:r>
          </w:p>
        </w:tc>
      </w:tr>
      <w:tr>
        <w:trPr>
          <w:trHeight w:val="379" w:hRule="atLeast"/>
        </w:trPr>
        <w:tc>
          <w:tcPr>
            <w:tcW w:w="2206" w:type="dxa"/>
            <w:tcBorders>
              <w:top w:val="nil"/>
            </w:tcBorders>
          </w:tcPr>
          <w:p>
            <w:pPr>
              <w:pStyle w:val="TableParagraph"/>
              <w:rPr>
                <w:sz w:val="24"/>
              </w:rPr>
            </w:pPr>
          </w:p>
        </w:tc>
        <w:tc>
          <w:tcPr>
            <w:tcW w:w="1169" w:type="dxa"/>
            <w:tcBorders>
              <w:top w:val="nil"/>
            </w:tcBorders>
          </w:tcPr>
          <w:p>
            <w:pPr>
              <w:pStyle w:val="TableParagraph"/>
              <w:rPr>
                <w:sz w:val="24"/>
              </w:rPr>
            </w:pPr>
          </w:p>
        </w:tc>
        <w:tc>
          <w:tcPr>
            <w:tcW w:w="1186" w:type="dxa"/>
            <w:tcBorders>
              <w:top w:val="nil"/>
            </w:tcBorders>
          </w:tcPr>
          <w:p>
            <w:pPr>
              <w:pStyle w:val="TableParagraph"/>
              <w:spacing w:line="271" w:lineRule="exact"/>
              <w:ind w:left="24" w:right="3"/>
              <w:jc w:val="center"/>
              <w:rPr>
                <w:sz w:val="24"/>
              </w:rPr>
            </w:pPr>
            <w:r>
              <w:rPr>
                <w:spacing w:val="-2"/>
                <w:sz w:val="24"/>
              </w:rPr>
              <w:t>29.23</w:t>
            </w:r>
          </w:p>
        </w:tc>
        <w:tc>
          <w:tcPr>
            <w:tcW w:w="1172" w:type="dxa"/>
            <w:tcBorders>
              <w:top w:val="nil"/>
            </w:tcBorders>
          </w:tcPr>
          <w:p>
            <w:pPr>
              <w:pStyle w:val="TableParagraph"/>
              <w:rPr>
                <w:sz w:val="24"/>
              </w:rPr>
            </w:pPr>
          </w:p>
        </w:tc>
        <w:tc>
          <w:tcPr>
            <w:tcW w:w="1169" w:type="dxa"/>
            <w:tcBorders>
              <w:top w:val="nil"/>
            </w:tcBorders>
          </w:tcPr>
          <w:p>
            <w:pPr>
              <w:pStyle w:val="TableParagraph"/>
              <w:rPr>
                <w:sz w:val="24"/>
              </w:rPr>
            </w:pPr>
          </w:p>
        </w:tc>
        <w:tc>
          <w:tcPr>
            <w:tcW w:w="1186" w:type="dxa"/>
            <w:tcBorders>
              <w:top w:val="nil"/>
            </w:tcBorders>
          </w:tcPr>
          <w:p>
            <w:pPr>
              <w:pStyle w:val="TableParagraph"/>
              <w:spacing w:line="271" w:lineRule="exact"/>
              <w:ind w:left="24" w:right="9"/>
              <w:jc w:val="center"/>
              <w:rPr>
                <w:sz w:val="24"/>
              </w:rPr>
            </w:pPr>
            <w:r>
              <w:rPr>
                <w:spacing w:val="-2"/>
                <w:sz w:val="24"/>
              </w:rPr>
              <w:t>29.89</w:t>
            </w:r>
          </w:p>
        </w:tc>
        <w:tc>
          <w:tcPr>
            <w:tcW w:w="1169" w:type="dxa"/>
            <w:tcBorders>
              <w:top w:val="nil"/>
            </w:tcBorders>
          </w:tcPr>
          <w:p>
            <w:pPr>
              <w:pStyle w:val="TableParagraph"/>
              <w:rPr>
                <w:sz w:val="24"/>
              </w:rPr>
            </w:pPr>
          </w:p>
        </w:tc>
      </w:tr>
    </w:tbl>
    <w:p>
      <w:pPr>
        <w:spacing w:before="238"/>
        <w:ind w:left="285" w:right="0" w:firstLine="0"/>
        <w:jc w:val="left"/>
        <w:rPr>
          <w:sz w:val="24"/>
        </w:rPr>
      </w:pPr>
      <w:r>
        <w:rPr>
          <w:i/>
          <w:sz w:val="24"/>
        </w:rPr>
        <w:t>Примечание.</w:t>
      </w:r>
      <w:r>
        <w:rPr>
          <w:i/>
          <w:spacing w:val="80"/>
          <w:w w:val="150"/>
          <w:sz w:val="24"/>
        </w:rPr>
        <w:t> </w:t>
      </w:r>
      <w:r>
        <w:rPr>
          <w:sz w:val="24"/>
        </w:rPr>
        <w:t>Значимых</w:t>
      </w:r>
      <w:r>
        <w:rPr>
          <w:spacing w:val="80"/>
          <w:w w:val="150"/>
          <w:sz w:val="24"/>
        </w:rPr>
        <w:t> </w:t>
      </w:r>
      <w:r>
        <w:rPr>
          <w:sz w:val="24"/>
        </w:rPr>
        <w:t>гендерных</w:t>
      </w:r>
      <w:r>
        <w:rPr>
          <w:spacing w:val="80"/>
          <w:w w:val="150"/>
          <w:sz w:val="24"/>
        </w:rPr>
        <w:t> </w:t>
      </w:r>
      <w:r>
        <w:rPr>
          <w:sz w:val="24"/>
        </w:rPr>
        <w:t>различий</w:t>
      </w:r>
      <w:r>
        <w:rPr>
          <w:spacing w:val="80"/>
          <w:w w:val="150"/>
          <w:sz w:val="24"/>
        </w:rPr>
        <w:t> </w:t>
      </w:r>
      <w:r>
        <w:rPr>
          <w:sz w:val="24"/>
        </w:rPr>
        <w:t>не</w:t>
      </w:r>
      <w:r>
        <w:rPr>
          <w:spacing w:val="80"/>
          <w:w w:val="150"/>
          <w:sz w:val="24"/>
        </w:rPr>
        <w:t> </w:t>
      </w:r>
      <w:r>
        <w:rPr>
          <w:sz w:val="24"/>
        </w:rPr>
        <w:t>выявлено,</w:t>
      </w:r>
      <w:r>
        <w:rPr>
          <w:spacing w:val="80"/>
          <w:w w:val="150"/>
          <w:sz w:val="24"/>
        </w:rPr>
        <w:t> </w:t>
      </w:r>
      <w:r>
        <w:rPr>
          <w:sz w:val="24"/>
        </w:rPr>
        <w:t>в</w:t>
      </w:r>
      <w:r>
        <w:rPr>
          <w:spacing w:val="80"/>
          <w:w w:val="150"/>
          <w:sz w:val="24"/>
        </w:rPr>
        <w:t> </w:t>
      </w:r>
      <w:r>
        <w:rPr>
          <w:sz w:val="24"/>
        </w:rPr>
        <w:t>связи</w:t>
      </w:r>
      <w:r>
        <w:rPr>
          <w:spacing w:val="80"/>
          <w:w w:val="150"/>
          <w:sz w:val="24"/>
        </w:rPr>
        <w:t> </w:t>
      </w:r>
      <w:r>
        <w:rPr>
          <w:sz w:val="24"/>
        </w:rPr>
        <w:t>с</w:t>
      </w:r>
      <w:r>
        <w:rPr>
          <w:spacing w:val="80"/>
          <w:w w:val="150"/>
          <w:sz w:val="24"/>
        </w:rPr>
        <w:t> </w:t>
      </w:r>
      <w:r>
        <w:rPr>
          <w:sz w:val="24"/>
        </w:rPr>
        <w:t>чем</w:t>
      </w:r>
      <w:r>
        <w:rPr>
          <w:spacing w:val="80"/>
          <w:w w:val="150"/>
          <w:sz w:val="24"/>
        </w:rPr>
        <w:t> </w:t>
      </w:r>
      <w:r>
        <w:rPr>
          <w:sz w:val="24"/>
        </w:rPr>
        <w:t>оценка производится без учета пола ребенка (t-критерий Стьюдента для независимых выборок).</w:t>
      </w:r>
    </w:p>
    <w:p>
      <w:pPr>
        <w:spacing w:after="0"/>
        <w:jc w:val="left"/>
        <w:rPr>
          <w:sz w:val="24"/>
        </w:rPr>
        <w:sectPr>
          <w:pgSz w:w="11910" w:h="16840"/>
          <w:pgMar w:header="0" w:footer="970" w:top="1040" w:bottom="1220" w:left="1417" w:right="283"/>
        </w:sectPr>
      </w:pPr>
    </w:p>
    <w:p>
      <w:pPr>
        <w:pStyle w:val="Heading3"/>
        <w:ind w:left="0" w:right="562"/>
        <w:jc w:val="right"/>
      </w:pPr>
      <w:r>
        <w:rPr/>
        <w:t>Таблица</w:t>
      </w:r>
      <w:r>
        <w:rPr>
          <w:spacing w:val="-6"/>
        </w:rPr>
        <w:t> </w:t>
      </w:r>
      <w:r>
        <w:rPr>
          <w:spacing w:val="-5"/>
        </w:rPr>
        <w:t>13</w:t>
      </w:r>
    </w:p>
    <w:p>
      <w:pPr>
        <w:spacing w:line="240" w:lineRule="auto" w:before="240"/>
        <w:ind w:left="417" w:right="697" w:firstLine="0"/>
        <w:jc w:val="center"/>
        <w:rPr>
          <w:b/>
          <w:sz w:val="28"/>
        </w:rPr>
      </w:pPr>
      <w:r>
        <w:rPr>
          <w:b/>
          <w:sz w:val="28"/>
        </w:rPr>
        <w:t>Пересмотренные</w:t>
      </w:r>
      <w:r>
        <w:rPr>
          <w:b/>
          <w:spacing w:val="-4"/>
          <w:sz w:val="28"/>
        </w:rPr>
        <w:t> </w:t>
      </w:r>
      <w:r>
        <w:rPr>
          <w:b/>
          <w:sz w:val="28"/>
        </w:rPr>
        <w:t>критерии</w:t>
      </w:r>
      <w:r>
        <w:rPr>
          <w:b/>
          <w:spacing w:val="-5"/>
          <w:sz w:val="28"/>
        </w:rPr>
        <w:t> </w:t>
      </w:r>
      <w:r>
        <w:rPr>
          <w:b/>
          <w:sz w:val="28"/>
        </w:rPr>
        <w:t>оценки</w:t>
      </w:r>
      <w:r>
        <w:rPr>
          <w:b/>
          <w:spacing w:val="-5"/>
          <w:sz w:val="28"/>
        </w:rPr>
        <w:t> </w:t>
      </w:r>
      <w:r>
        <w:rPr>
          <w:b/>
          <w:sz w:val="28"/>
        </w:rPr>
        <w:t>по</w:t>
      </w:r>
      <w:r>
        <w:rPr>
          <w:b/>
          <w:spacing w:val="-5"/>
          <w:sz w:val="28"/>
        </w:rPr>
        <w:t> </w:t>
      </w:r>
      <w:r>
        <w:rPr>
          <w:b/>
          <w:sz w:val="28"/>
        </w:rPr>
        <w:t>шкале</w:t>
      </w:r>
      <w:r>
        <w:rPr>
          <w:b/>
          <w:spacing w:val="-4"/>
          <w:sz w:val="28"/>
        </w:rPr>
        <w:t> </w:t>
      </w:r>
      <w:r>
        <w:rPr>
          <w:b/>
          <w:sz w:val="28"/>
        </w:rPr>
        <w:t>для</w:t>
      </w:r>
      <w:r>
        <w:rPr>
          <w:b/>
          <w:spacing w:val="-6"/>
          <w:sz w:val="28"/>
        </w:rPr>
        <w:t> </w:t>
      </w:r>
      <w:r>
        <w:rPr>
          <w:b/>
          <w:sz w:val="28"/>
        </w:rPr>
        <w:t>средней</w:t>
      </w:r>
      <w:r>
        <w:rPr>
          <w:b/>
          <w:spacing w:val="-5"/>
          <w:sz w:val="28"/>
        </w:rPr>
        <w:t> </w:t>
      </w:r>
      <w:r>
        <w:rPr>
          <w:b/>
          <w:sz w:val="28"/>
        </w:rPr>
        <w:t>и</w:t>
      </w:r>
      <w:r>
        <w:rPr>
          <w:b/>
          <w:spacing w:val="-6"/>
          <w:sz w:val="28"/>
        </w:rPr>
        <w:t> </w:t>
      </w:r>
      <w:r>
        <w:rPr>
          <w:b/>
          <w:sz w:val="28"/>
        </w:rPr>
        <w:t>старшей школы на выборках несовершеннолетних детей </w:t>
      </w:r>
      <w:r>
        <w:rPr>
          <w:sz w:val="28"/>
        </w:rPr>
        <w:t>— </w:t>
      </w:r>
      <w:r>
        <w:rPr>
          <w:b/>
          <w:sz w:val="28"/>
        </w:rPr>
        <w:t>иностранных граждан в России</w:t>
      </w:r>
    </w:p>
    <w:p>
      <w:pPr>
        <w:pStyle w:val="BodyText"/>
        <w:ind w:left="0" w:right="0" w:firstLine="0"/>
        <w:jc w:val="left"/>
        <w:rPr>
          <w:b/>
        </w:rPr>
      </w:pPr>
    </w:p>
    <w:p>
      <w:pPr>
        <w:pStyle w:val="BodyText"/>
        <w:ind w:left="0" w:right="0" w:firstLine="0"/>
        <w:jc w:val="left"/>
        <w:rPr>
          <w:b/>
        </w:rPr>
      </w:pPr>
    </w:p>
    <w:p>
      <w:pPr>
        <w:pStyle w:val="BodyText"/>
        <w:spacing w:before="67"/>
        <w:ind w:left="0" w:right="0" w:firstLine="0"/>
        <w:jc w:val="left"/>
        <w:rPr>
          <w:b/>
        </w:rPr>
      </w:pPr>
    </w:p>
    <w:tbl>
      <w:tblPr>
        <w:tblW w:w="0" w:type="auto"/>
        <w:jc w:val="left"/>
        <w:tblInd w:w="5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35"/>
        <w:gridCol w:w="1726"/>
        <w:gridCol w:w="2040"/>
        <w:gridCol w:w="2041"/>
      </w:tblGrid>
      <w:tr>
        <w:trPr>
          <w:trHeight w:val="716" w:hRule="atLeast"/>
        </w:trPr>
        <w:tc>
          <w:tcPr>
            <w:tcW w:w="3135" w:type="dxa"/>
            <w:vMerge w:val="restart"/>
          </w:tcPr>
          <w:p>
            <w:pPr>
              <w:pStyle w:val="TableParagraph"/>
              <w:spacing w:before="61"/>
              <w:rPr>
                <w:b/>
                <w:sz w:val="24"/>
              </w:rPr>
            </w:pPr>
          </w:p>
          <w:p>
            <w:pPr>
              <w:pStyle w:val="TableParagraph"/>
              <w:ind w:left="100"/>
              <w:rPr>
                <w:b/>
                <w:sz w:val="24"/>
              </w:rPr>
            </w:pPr>
            <w:r>
              <w:rPr>
                <w:b/>
                <w:spacing w:val="-2"/>
                <w:sz w:val="24"/>
              </w:rPr>
              <w:t>Шкала</w:t>
            </w:r>
          </w:p>
        </w:tc>
        <w:tc>
          <w:tcPr>
            <w:tcW w:w="5807" w:type="dxa"/>
            <w:gridSpan w:val="3"/>
          </w:tcPr>
          <w:p>
            <w:pPr>
              <w:pStyle w:val="TableParagraph"/>
              <w:spacing w:before="61"/>
              <w:rPr>
                <w:b/>
                <w:sz w:val="24"/>
              </w:rPr>
            </w:pPr>
          </w:p>
          <w:p>
            <w:pPr>
              <w:pStyle w:val="TableParagraph"/>
              <w:ind w:left="14"/>
              <w:jc w:val="center"/>
              <w:rPr>
                <w:b/>
                <w:sz w:val="24"/>
              </w:rPr>
            </w:pPr>
            <w:r>
              <w:rPr>
                <w:b/>
                <w:spacing w:val="-2"/>
                <w:sz w:val="24"/>
              </w:rPr>
              <w:t>(N=342)</w:t>
            </w:r>
          </w:p>
        </w:tc>
      </w:tr>
      <w:tr>
        <w:trPr>
          <w:trHeight w:val="990" w:hRule="atLeast"/>
        </w:trPr>
        <w:tc>
          <w:tcPr>
            <w:tcW w:w="3135" w:type="dxa"/>
            <w:vMerge/>
            <w:tcBorders>
              <w:top w:val="nil"/>
            </w:tcBorders>
          </w:tcPr>
          <w:p>
            <w:pPr>
              <w:rPr>
                <w:sz w:val="2"/>
                <w:szCs w:val="2"/>
              </w:rPr>
            </w:pPr>
          </w:p>
        </w:tc>
        <w:tc>
          <w:tcPr>
            <w:tcW w:w="1726" w:type="dxa"/>
          </w:tcPr>
          <w:p>
            <w:pPr>
              <w:pStyle w:val="TableParagraph"/>
              <w:spacing w:before="61"/>
              <w:rPr>
                <w:b/>
                <w:sz w:val="24"/>
              </w:rPr>
            </w:pPr>
          </w:p>
          <w:p>
            <w:pPr>
              <w:pStyle w:val="TableParagraph"/>
              <w:ind w:left="390" w:right="370" w:firstLine="170"/>
              <w:rPr>
                <w:b/>
                <w:sz w:val="24"/>
              </w:rPr>
            </w:pPr>
            <w:r>
              <w:rPr>
                <w:b/>
                <w:spacing w:val="-4"/>
                <w:sz w:val="24"/>
              </w:rPr>
              <w:t>Ниже </w:t>
            </w:r>
            <w:r>
              <w:rPr>
                <w:b/>
                <w:spacing w:val="-2"/>
                <w:sz w:val="24"/>
              </w:rPr>
              <w:t>среднего</w:t>
            </w:r>
          </w:p>
        </w:tc>
        <w:tc>
          <w:tcPr>
            <w:tcW w:w="2040" w:type="dxa"/>
          </w:tcPr>
          <w:p>
            <w:pPr>
              <w:pStyle w:val="TableParagraph"/>
              <w:spacing w:before="61"/>
              <w:rPr>
                <w:b/>
                <w:sz w:val="24"/>
              </w:rPr>
            </w:pPr>
          </w:p>
          <w:p>
            <w:pPr>
              <w:pStyle w:val="TableParagraph"/>
              <w:ind w:left="19"/>
              <w:jc w:val="center"/>
              <w:rPr>
                <w:b/>
                <w:sz w:val="24"/>
              </w:rPr>
            </w:pPr>
            <w:r>
              <w:rPr>
                <w:b/>
                <w:spacing w:val="-2"/>
                <w:sz w:val="24"/>
              </w:rPr>
              <w:t>Средний</w:t>
            </w:r>
          </w:p>
        </w:tc>
        <w:tc>
          <w:tcPr>
            <w:tcW w:w="2041" w:type="dxa"/>
          </w:tcPr>
          <w:p>
            <w:pPr>
              <w:pStyle w:val="TableParagraph"/>
              <w:spacing w:before="61"/>
              <w:rPr>
                <w:b/>
                <w:sz w:val="24"/>
              </w:rPr>
            </w:pPr>
          </w:p>
          <w:p>
            <w:pPr>
              <w:pStyle w:val="TableParagraph"/>
              <w:ind w:left="21" w:right="3"/>
              <w:jc w:val="center"/>
              <w:rPr>
                <w:b/>
                <w:sz w:val="24"/>
              </w:rPr>
            </w:pPr>
            <w:r>
              <w:rPr>
                <w:b/>
                <w:sz w:val="24"/>
              </w:rPr>
              <w:t>Выше</w:t>
            </w:r>
            <w:r>
              <w:rPr>
                <w:b/>
                <w:spacing w:val="-4"/>
                <w:sz w:val="24"/>
              </w:rPr>
              <w:t> </w:t>
            </w:r>
            <w:r>
              <w:rPr>
                <w:b/>
                <w:spacing w:val="-2"/>
                <w:sz w:val="24"/>
              </w:rPr>
              <w:t>среднего</w:t>
            </w:r>
          </w:p>
        </w:tc>
      </w:tr>
      <w:tr>
        <w:trPr>
          <w:trHeight w:val="992" w:hRule="atLeast"/>
        </w:trPr>
        <w:tc>
          <w:tcPr>
            <w:tcW w:w="3135" w:type="dxa"/>
          </w:tcPr>
          <w:p>
            <w:pPr>
              <w:pStyle w:val="TableParagraph"/>
              <w:spacing w:before="56"/>
              <w:rPr>
                <w:b/>
                <w:sz w:val="24"/>
              </w:rPr>
            </w:pPr>
          </w:p>
          <w:p>
            <w:pPr>
              <w:pStyle w:val="TableParagraph"/>
              <w:ind w:left="100" w:right="160"/>
              <w:rPr>
                <w:sz w:val="24"/>
              </w:rPr>
            </w:pPr>
            <w:r>
              <w:rPr>
                <w:sz w:val="24"/>
              </w:rPr>
              <w:t>Показатель общего уровня удовлетворенности</w:t>
            </w:r>
            <w:r>
              <w:rPr>
                <w:spacing w:val="-15"/>
                <w:sz w:val="24"/>
              </w:rPr>
              <w:t> </w:t>
            </w:r>
            <w:r>
              <w:rPr>
                <w:sz w:val="24"/>
              </w:rPr>
              <w:t>жизнью</w:t>
            </w:r>
          </w:p>
        </w:tc>
        <w:tc>
          <w:tcPr>
            <w:tcW w:w="1726" w:type="dxa"/>
          </w:tcPr>
          <w:p>
            <w:pPr>
              <w:pStyle w:val="TableParagraph"/>
              <w:spacing w:before="56"/>
              <w:rPr>
                <w:b/>
                <w:sz w:val="24"/>
              </w:rPr>
            </w:pPr>
          </w:p>
          <w:p>
            <w:pPr>
              <w:pStyle w:val="TableParagraph"/>
              <w:ind w:left="18"/>
              <w:jc w:val="center"/>
              <w:rPr>
                <w:sz w:val="24"/>
              </w:rPr>
            </w:pPr>
            <w:r>
              <w:rPr>
                <w:spacing w:val="-2"/>
                <w:sz w:val="24"/>
              </w:rPr>
              <w:t>&lt;97.95</w:t>
            </w:r>
          </w:p>
        </w:tc>
        <w:tc>
          <w:tcPr>
            <w:tcW w:w="2040" w:type="dxa"/>
          </w:tcPr>
          <w:p>
            <w:pPr>
              <w:pStyle w:val="TableParagraph"/>
              <w:spacing w:before="56"/>
              <w:rPr>
                <w:b/>
                <w:sz w:val="24"/>
              </w:rPr>
            </w:pPr>
          </w:p>
          <w:p>
            <w:pPr>
              <w:pStyle w:val="TableParagraph"/>
              <w:ind w:left="299"/>
              <w:rPr>
                <w:sz w:val="24"/>
              </w:rPr>
            </w:pPr>
            <w:r>
              <w:rPr>
                <w:sz w:val="24"/>
              </w:rPr>
              <w:t>97.95 – </w:t>
            </w:r>
            <w:r>
              <w:rPr>
                <w:spacing w:val="-2"/>
                <w:sz w:val="24"/>
              </w:rPr>
              <w:t>136.93</w:t>
            </w:r>
          </w:p>
        </w:tc>
        <w:tc>
          <w:tcPr>
            <w:tcW w:w="2041" w:type="dxa"/>
          </w:tcPr>
          <w:p>
            <w:pPr>
              <w:pStyle w:val="TableParagraph"/>
              <w:spacing w:before="56"/>
              <w:rPr>
                <w:b/>
                <w:sz w:val="24"/>
              </w:rPr>
            </w:pPr>
          </w:p>
          <w:p>
            <w:pPr>
              <w:pStyle w:val="TableParagraph"/>
              <w:ind w:left="21"/>
              <w:jc w:val="center"/>
              <w:rPr>
                <w:sz w:val="24"/>
              </w:rPr>
            </w:pPr>
            <w:r>
              <w:rPr>
                <w:spacing w:val="-2"/>
                <w:sz w:val="24"/>
              </w:rPr>
              <w:t>&gt;136.93</w:t>
            </w:r>
          </w:p>
        </w:tc>
      </w:tr>
      <w:tr>
        <w:trPr>
          <w:trHeight w:val="716" w:hRule="atLeast"/>
        </w:trPr>
        <w:tc>
          <w:tcPr>
            <w:tcW w:w="3135" w:type="dxa"/>
          </w:tcPr>
          <w:p>
            <w:pPr>
              <w:pStyle w:val="TableParagraph"/>
              <w:spacing w:before="56"/>
              <w:rPr>
                <w:b/>
                <w:sz w:val="24"/>
              </w:rPr>
            </w:pPr>
          </w:p>
          <w:p>
            <w:pPr>
              <w:pStyle w:val="TableParagraph"/>
              <w:ind w:left="100"/>
              <w:rPr>
                <w:sz w:val="24"/>
              </w:rPr>
            </w:pPr>
            <w:r>
              <w:rPr>
                <w:spacing w:val="-4"/>
                <w:sz w:val="24"/>
              </w:rPr>
              <w:t>Семья</w:t>
            </w:r>
          </w:p>
        </w:tc>
        <w:tc>
          <w:tcPr>
            <w:tcW w:w="1726" w:type="dxa"/>
          </w:tcPr>
          <w:p>
            <w:pPr>
              <w:pStyle w:val="TableParagraph"/>
              <w:spacing w:before="56"/>
              <w:rPr>
                <w:b/>
                <w:sz w:val="24"/>
              </w:rPr>
            </w:pPr>
          </w:p>
          <w:p>
            <w:pPr>
              <w:pStyle w:val="TableParagraph"/>
              <w:ind w:left="18"/>
              <w:jc w:val="center"/>
              <w:rPr>
                <w:sz w:val="24"/>
              </w:rPr>
            </w:pPr>
            <w:r>
              <w:rPr>
                <w:spacing w:val="-2"/>
                <w:sz w:val="24"/>
              </w:rPr>
              <w:t>&lt;19.99</w:t>
            </w:r>
          </w:p>
        </w:tc>
        <w:tc>
          <w:tcPr>
            <w:tcW w:w="2040" w:type="dxa"/>
          </w:tcPr>
          <w:p>
            <w:pPr>
              <w:pStyle w:val="TableParagraph"/>
              <w:spacing w:before="56"/>
              <w:rPr>
                <w:b/>
                <w:sz w:val="24"/>
              </w:rPr>
            </w:pPr>
          </w:p>
          <w:p>
            <w:pPr>
              <w:pStyle w:val="TableParagraph"/>
              <w:ind w:left="359"/>
              <w:rPr>
                <w:sz w:val="24"/>
              </w:rPr>
            </w:pPr>
            <w:r>
              <w:rPr>
                <w:sz w:val="24"/>
              </w:rPr>
              <w:t>19.99 – </w:t>
            </w:r>
            <w:r>
              <w:rPr>
                <w:spacing w:val="-2"/>
                <w:sz w:val="24"/>
              </w:rPr>
              <w:t>28.97</w:t>
            </w:r>
          </w:p>
        </w:tc>
        <w:tc>
          <w:tcPr>
            <w:tcW w:w="2041" w:type="dxa"/>
          </w:tcPr>
          <w:p>
            <w:pPr>
              <w:pStyle w:val="TableParagraph"/>
              <w:spacing w:before="56"/>
              <w:rPr>
                <w:b/>
                <w:sz w:val="24"/>
              </w:rPr>
            </w:pPr>
          </w:p>
          <w:p>
            <w:pPr>
              <w:pStyle w:val="TableParagraph"/>
              <w:ind w:left="21"/>
              <w:jc w:val="center"/>
              <w:rPr>
                <w:sz w:val="24"/>
              </w:rPr>
            </w:pPr>
            <w:r>
              <w:rPr>
                <w:spacing w:val="-2"/>
                <w:sz w:val="24"/>
              </w:rPr>
              <w:t>&gt;28.97</w:t>
            </w:r>
          </w:p>
        </w:tc>
      </w:tr>
      <w:tr>
        <w:trPr>
          <w:trHeight w:val="714" w:hRule="atLeast"/>
        </w:trPr>
        <w:tc>
          <w:tcPr>
            <w:tcW w:w="3135" w:type="dxa"/>
          </w:tcPr>
          <w:p>
            <w:pPr>
              <w:pStyle w:val="TableParagraph"/>
              <w:spacing w:before="56"/>
              <w:rPr>
                <w:b/>
                <w:sz w:val="24"/>
              </w:rPr>
            </w:pPr>
          </w:p>
          <w:p>
            <w:pPr>
              <w:pStyle w:val="TableParagraph"/>
              <w:ind w:left="100"/>
              <w:rPr>
                <w:sz w:val="24"/>
              </w:rPr>
            </w:pPr>
            <w:r>
              <w:rPr>
                <w:spacing w:val="-2"/>
                <w:sz w:val="24"/>
              </w:rPr>
              <w:t>Школа</w:t>
            </w:r>
          </w:p>
        </w:tc>
        <w:tc>
          <w:tcPr>
            <w:tcW w:w="1726" w:type="dxa"/>
          </w:tcPr>
          <w:p>
            <w:pPr>
              <w:pStyle w:val="TableParagraph"/>
              <w:spacing w:before="56"/>
              <w:rPr>
                <w:b/>
                <w:sz w:val="24"/>
              </w:rPr>
            </w:pPr>
          </w:p>
          <w:p>
            <w:pPr>
              <w:pStyle w:val="TableParagraph"/>
              <w:ind w:left="18"/>
              <w:jc w:val="center"/>
              <w:rPr>
                <w:sz w:val="24"/>
              </w:rPr>
            </w:pPr>
            <w:r>
              <w:rPr>
                <w:spacing w:val="-2"/>
                <w:sz w:val="24"/>
              </w:rPr>
              <w:t>&lt;17.38</w:t>
            </w:r>
          </w:p>
        </w:tc>
        <w:tc>
          <w:tcPr>
            <w:tcW w:w="2040" w:type="dxa"/>
          </w:tcPr>
          <w:p>
            <w:pPr>
              <w:pStyle w:val="TableParagraph"/>
              <w:spacing w:before="56"/>
              <w:rPr>
                <w:b/>
                <w:sz w:val="24"/>
              </w:rPr>
            </w:pPr>
          </w:p>
          <w:p>
            <w:pPr>
              <w:pStyle w:val="TableParagraph"/>
              <w:ind w:left="359"/>
              <w:rPr>
                <w:sz w:val="24"/>
              </w:rPr>
            </w:pPr>
            <w:r>
              <w:rPr>
                <w:sz w:val="24"/>
              </w:rPr>
              <w:t>17.38 – </w:t>
            </w:r>
            <w:r>
              <w:rPr>
                <w:spacing w:val="-2"/>
                <w:sz w:val="24"/>
              </w:rPr>
              <w:t>26.74</w:t>
            </w:r>
          </w:p>
        </w:tc>
        <w:tc>
          <w:tcPr>
            <w:tcW w:w="2041" w:type="dxa"/>
          </w:tcPr>
          <w:p>
            <w:pPr>
              <w:pStyle w:val="TableParagraph"/>
              <w:spacing w:before="56"/>
              <w:rPr>
                <w:b/>
                <w:sz w:val="24"/>
              </w:rPr>
            </w:pPr>
          </w:p>
          <w:p>
            <w:pPr>
              <w:pStyle w:val="TableParagraph"/>
              <w:ind w:left="21"/>
              <w:jc w:val="center"/>
              <w:rPr>
                <w:sz w:val="24"/>
              </w:rPr>
            </w:pPr>
            <w:r>
              <w:rPr>
                <w:spacing w:val="-2"/>
                <w:sz w:val="24"/>
              </w:rPr>
              <w:t>&gt;26.74</w:t>
            </w:r>
          </w:p>
        </w:tc>
      </w:tr>
      <w:tr>
        <w:trPr>
          <w:trHeight w:val="717" w:hRule="atLeast"/>
        </w:trPr>
        <w:tc>
          <w:tcPr>
            <w:tcW w:w="3135" w:type="dxa"/>
          </w:tcPr>
          <w:p>
            <w:pPr>
              <w:pStyle w:val="TableParagraph"/>
              <w:spacing w:before="56"/>
              <w:rPr>
                <w:b/>
                <w:sz w:val="24"/>
              </w:rPr>
            </w:pPr>
          </w:p>
          <w:p>
            <w:pPr>
              <w:pStyle w:val="TableParagraph"/>
              <w:ind w:left="100"/>
              <w:rPr>
                <w:sz w:val="24"/>
              </w:rPr>
            </w:pPr>
            <w:r>
              <w:rPr>
                <w:spacing w:val="-2"/>
                <w:sz w:val="24"/>
              </w:rPr>
              <w:t>Учителя</w:t>
            </w:r>
          </w:p>
        </w:tc>
        <w:tc>
          <w:tcPr>
            <w:tcW w:w="1726" w:type="dxa"/>
          </w:tcPr>
          <w:p>
            <w:pPr>
              <w:pStyle w:val="TableParagraph"/>
              <w:spacing w:before="56"/>
              <w:rPr>
                <w:b/>
                <w:sz w:val="24"/>
              </w:rPr>
            </w:pPr>
          </w:p>
          <w:p>
            <w:pPr>
              <w:pStyle w:val="TableParagraph"/>
              <w:ind w:left="18"/>
              <w:jc w:val="center"/>
              <w:rPr>
                <w:sz w:val="24"/>
              </w:rPr>
            </w:pPr>
            <w:r>
              <w:rPr>
                <w:spacing w:val="-2"/>
                <w:sz w:val="24"/>
              </w:rPr>
              <w:t>&lt;17.56</w:t>
            </w:r>
          </w:p>
        </w:tc>
        <w:tc>
          <w:tcPr>
            <w:tcW w:w="2040" w:type="dxa"/>
          </w:tcPr>
          <w:p>
            <w:pPr>
              <w:pStyle w:val="TableParagraph"/>
              <w:spacing w:before="56"/>
              <w:rPr>
                <w:b/>
                <w:sz w:val="24"/>
              </w:rPr>
            </w:pPr>
          </w:p>
          <w:p>
            <w:pPr>
              <w:pStyle w:val="TableParagraph"/>
              <w:ind w:left="359"/>
              <w:rPr>
                <w:sz w:val="24"/>
              </w:rPr>
            </w:pPr>
            <w:r>
              <w:rPr>
                <w:sz w:val="24"/>
              </w:rPr>
              <w:t>17.56 – </w:t>
            </w:r>
            <w:r>
              <w:rPr>
                <w:spacing w:val="-2"/>
                <w:sz w:val="24"/>
              </w:rPr>
              <w:t>28.02</w:t>
            </w:r>
          </w:p>
        </w:tc>
        <w:tc>
          <w:tcPr>
            <w:tcW w:w="2041" w:type="dxa"/>
          </w:tcPr>
          <w:p>
            <w:pPr>
              <w:pStyle w:val="TableParagraph"/>
              <w:spacing w:before="56"/>
              <w:rPr>
                <w:b/>
                <w:sz w:val="24"/>
              </w:rPr>
            </w:pPr>
          </w:p>
          <w:p>
            <w:pPr>
              <w:pStyle w:val="TableParagraph"/>
              <w:ind w:left="21"/>
              <w:jc w:val="center"/>
              <w:rPr>
                <w:sz w:val="24"/>
              </w:rPr>
            </w:pPr>
            <w:r>
              <w:rPr>
                <w:spacing w:val="-2"/>
                <w:sz w:val="24"/>
              </w:rPr>
              <w:t>&gt;28.02</w:t>
            </w:r>
          </w:p>
        </w:tc>
      </w:tr>
      <w:tr>
        <w:trPr>
          <w:trHeight w:val="716" w:hRule="atLeast"/>
        </w:trPr>
        <w:tc>
          <w:tcPr>
            <w:tcW w:w="3135" w:type="dxa"/>
          </w:tcPr>
          <w:p>
            <w:pPr>
              <w:pStyle w:val="TableParagraph"/>
              <w:spacing w:before="56"/>
              <w:rPr>
                <w:b/>
                <w:sz w:val="24"/>
              </w:rPr>
            </w:pPr>
          </w:p>
          <w:p>
            <w:pPr>
              <w:pStyle w:val="TableParagraph"/>
              <w:ind w:left="100"/>
              <w:rPr>
                <w:sz w:val="24"/>
              </w:rPr>
            </w:pPr>
            <w:r>
              <w:rPr>
                <w:sz w:val="24"/>
              </w:rPr>
              <w:t>Я </w:t>
            </w:r>
            <w:r>
              <w:rPr>
                <w:spacing w:val="-5"/>
                <w:sz w:val="24"/>
              </w:rPr>
              <w:t>сам</w:t>
            </w:r>
          </w:p>
        </w:tc>
        <w:tc>
          <w:tcPr>
            <w:tcW w:w="1726" w:type="dxa"/>
          </w:tcPr>
          <w:p>
            <w:pPr>
              <w:pStyle w:val="TableParagraph"/>
              <w:spacing w:before="56"/>
              <w:rPr>
                <w:b/>
                <w:sz w:val="24"/>
              </w:rPr>
            </w:pPr>
          </w:p>
          <w:p>
            <w:pPr>
              <w:pStyle w:val="TableParagraph"/>
              <w:ind w:left="18"/>
              <w:jc w:val="center"/>
              <w:rPr>
                <w:sz w:val="24"/>
              </w:rPr>
            </w:pPr>
            <w:r>
              <w:rPr>
                <w:spacing w:val="-2"/>
                <w:sz w:val="24"/>
              </w:rPr>
              <w:t>&lt;18.21</w:t>
            </w:r>
          </w:p>
        </w:tc>
        <w:tc>
          <w:tcPr>
            <w:tcW w:w="2040" w:type="dxa"/>
          </w:tcPr>
          <w:p>
            <w:pPr>
              <w:pStyle w:val="TableParagraph"/>
              <w:spacing w:before="56"/>
              <w:rPr>
                <w:b/>
                <w:sz w:val="24"/>
              </w:rPr>
            </w:pPr>
          </w:p>
          <w:p>
            <w:pPr>
              <w:pStyle w:val="TableParagraph"/>
              <w:ind w:left="359"/>
              <w:rPr>
                <w:sz w:val="24"/>
              </w:rPr>
            </w:pPr>
            <w:r>
              <w:rPr>
                <w:sz w:val="24"/>
              </w:rPr>
              <w:t>18.21 – </w:t>
            </w:r>
            <w:r>
              <w:rPr>
                <w:spacing w:val="-2"/>
                <w:sz w:val="24"/>
              </w:rPr>
              <w:t>27.41</w:t>
            </w:r>
          </w:p>
        </w:tc>
        <w:tc>
          <w:tcPr>
            <w:tcW w:w="2041" w:type="dxa"/>
          </w:tcPr>
          <w:p>
            <w:pPr>
              <w:pStyle w:val="TableParagraph"/>
              <w:spacing w:before="56"/>
              <w:rPr>
                <w:b/>
                <w:sz w:val="24"/>
              </w:rPr>
            </w:pPr>
          </w:p>
          <w:p>
            <w:pPr>
              <w:pStyle w:val="TableParagraph"/>
              <w:ind w:left="21"/>
              <w:jc w:val="center"/>
              <w:rPr>
                <w:sz w:val="24"/>
              </w:rPr>
            </w:pPr>
            <w:r>
              <w:rPr>
                <w:spacing w:val="-2"/>
                <w:sz w:val="24"/>
              </w:rPr>
              <w:t>&gt;27.41</w:t>
            </w:r>
          </w:p>
        </w:tc>
      </w:tr>
      <w:tr>
        <w:trPr>
          <w:trHeight w:val="716" w:hRule="atLeast"/>
        </w:trPr>
        <w:tc>
          <w:tcPr>
            <w:tcW w:w="3135" w:type="dxa"/>
          </w:tcPr>
          <w:p>
            <w:pPr>
              <w:pStyle w:val="TableParagraph"/>
              <w:spacing w:before="56"/>
              <w:rPr>
                <w:b/>
                <w:sz w:val="24"/>
              </w:rPr>
            </w:pPr>
          </w:p>
          <w:p>
            <w:pPr>
              <w:pStyle w:val="TableParagraph"/>
              <w:ind w:left="100"/>
              <w:rPr>
                <w:sz w:val="24"/>
              </w:rPr>
            </w:pPr>
            <w:r>
              <w:rPr>
                <w:spacing w:val="-2"/>
                <w:sz w:val="24"/>
              </w:rPr>
              <w:t>Друзья</w:t>
            </w:r>
          </w:p>
        </w:tc>
        <w:tc>
          <w:tcPr>
            <w:tcW w:w="1726" w:type="dxa"/>
          </w:tcPr>
          <w:p>
            <w:pPr>
              <w:pStyle w:val="TableParagraph"/>
              <w:spacing w:before="56"/>
              <w:rPr>
                <w:b/>
                <w:sz w:val="24"/>
              </w:rPr>
            </w:pPr>
          </w:p>
          <w:p>
            <w:pPr>
              <w:pStyle w:val="TableParagraph"/>
              <w:ind w:left="18"/>
              <w:jc w:val="center"/>
              <w:rPr>
                <w:sz w:val="24"/>
              </w:rPr>
            </w:pPr>
            <w:r>
              <w:rPr>
                <w:spacing w:val="-2"/>
                <w:sz w:val="24"/>
              </w:rPr>
              <w:t>&lt;20.46</w:t>
            </w:r>
          </w:p>
        </w:tc>
        <w:tc>
          <w:tcPr>
            <w:tcW w:w="2040" w:type="dxa"/>
          </w:tcPr>
          <w:p>
            <w:pPr>
              <w:pStyle w:val="TableParagraph"/>
              <w:spacing w:before="56"/>
              <w:rPr>
                <w:b/>
                <w:sz w:val="24"/>
              </w:rPr>
            </w:pPr>
          </w:p>
          <w:p>
            <w:pPr>
              <w:pStyle w:val="TableParagraph"/>
              <w:ind w:left="359"/>
              <w:rPr>
                <w:sz w:val="24"/>
              </w:rPr>
            </w:pPr>
            <w:r>
              <w:rPr>
                <w:sz w:val="24"/>
              </w:rPr>
              <w:t>20.46 – </w:t>
            </w:r>
            <w:r>
              <w:rPr>
                <w:spacing w:val="-2"/>
                <w:sz w:val="24"/>
              </w:rPr>
              <w:t>29.78</w:t>
            </w:r>
          </w:p>
        </w:tc>
        <w:tc>
          <w:tcPr>
            <w:tcW w:w="2041" w:type="dxa"/>
          </w:tcPr>
          <w:p>
            <w:pPr>
              <w:pStyle w:val="TableParagraph"/>
              <w:spacing w:before="56"/>
              <w:rPr>
                <w:b/>
                <w:sz w:val="24"/>
              </w:rPr>
            </w:pPr>
          </w:p>
          <w:p>
            <w:pPr>
              <w:pStyle w:val="TableParagraph"/>
              <w:ind w:left="21"/>
              <w:jc w:val="center"/>
              <w:rPr>
                <w:sz w:val="24"/>
              </w:rPr>
            </w:pPr>
            <w:r>
              <w:rPr>
                <w:spacing w:val="-2"/>
                <w:sz w:val="24"/>
              </w:rPr>
              <w:t>&gt;29.78</w:t>
            </w:r>
          </w:p>
        </w:tc>
      </w:tr>
    </w:tbl>
    <w:p>
      <w:pPr>
        <w:spacing w:before="236"/>
        <w:ind w:left="285" w:right="569" w:firstLine="0"/>
        <w:jc w:val="both"/>
        <w:rPr>
          <w:sz w:val="24"/>
        </w:rPr>
      </w:pPr>
      <w:r>
        <w:rPr>
          <w:i/>
          <w:sz w:val="24"/>
        </w:rPr>
        <w:t>Примечание. </w:t>
      </w:r>
      <w:r>
        <w:rPr>
          <w:sz w:val="24"/>
        </w:rPr>
        <w:t>Значимых гендерных различий не выявлено, в связи с чем оценка производится без учета пола ребенка (t-критерий Стьюдента для независимых выборок).</w:t>
      </w:r>
    </w:p>
    <w:p>
      <w:pPr>
        <w:pStyle w:val="Heading3"/>
        <w:spacing w:before="249"/>
      </w:pPr>
      <w:r>
        <w:rPr/>
        <w:t>Психометрические</w:t>
      </w:r>
      <w:r>
        <w:rPr>
          <w:spacing w:val="-16"/>
        </w:rPr>
        <w:t> </w:t>
      </w:r>
      <w:r>
        <w:rPr/>
        <w:t>характеристики</w:t>
      </w:r>
      <w:r>
        <w:rPr>
          <w:spacing w:val="-13"/>
        </w:rPr>
        <w:t> </w:t>
      </w:r>
      <w:r>
        <w:rPr>
          <w:spacing w:val="-2"/>
        </w:rPr>
        <w:t>методики</w:t>
      </w:r>
    </w:p>
    <w:p>
      <w:pPr>
        <w:pStyle w:val="Heading4"/>
        <w:spacing w:before="233"/>
        <w:ind w:right="564"/>
      </w:pPr>
      <w:r>
        <w:rPr>
          <w:i/>
        </w:rPr>
        <w:t>MSLSS </w:t>
      </w:r>
      <w:r>
        <w:rPr/>
        <w:t>была валидизирована в США, Канаде, Испании, Франции, Ирландии, Китае, Южной Корее, Турции, Великобритании, Иране, Сербии, Италии, Гонконге, Чили и других странах (</w:t>
      </w:r>
      <w:r>
        <w:rPr>
          <w:i/>
        </w:rPr>
        <w:t>Schnettlera </w:t>
      </w:r>
      <w:r>
        <w:rPr/>
        <w:t>et al., 2017). В целом, методика продемонстрировала хорошие психометрические свойства, включая приемлемую внутреннюю согласованность, ретестовую надежность и факторную структуру.</w:t>
      </w:r>
    </w:p>
    <w:p>
      <w:pPr>
        <w:pStyle w:val="Heading4"/>
        <w:spacing w:before="240"/>
        <w:ind w:right="563"/>
      </w:pPr>
      <w:r>
        <w:rPr/>
        <w:t>Изначально методика Хюбнера включала 40 утверждений, которые распределялись по пяти шкалам (</w:t>
      </w:r>
      <w:r>
        <w:rPr>
          <w:i/>
        </w:rPr>
        <w:t>Huebner</w:t>
      </w:r>
      <w:r>
        <w:rPr/>
        <w:t>, 1994). В некоторых исследованиях результаты конфирматорного факторного анализа подтверждают пятифакторную</w:t>
      </w:r>
      <w:r>
        <w:rPr>
          <w:spacing w:val="-1"/>
        </w:rPr>
        <w:t> </w:t>
      </w:r>
      <w:r>
        <w:rPr/>
        <w:t>модель</w:t>
      </w:r>
      <w:r>
        <w:rPr>
          <w:spacing w:val="-2"/>
        </w:rPr>
        <w:t> </w:t>
      </w:r>
      <w:r>
        <w:rPr/>
        <w:t>оригинальной версии</w:t>
      </w:r>
      <w:r>
        <w:rPr>
          <w:spacing w:val="-2"/>
        </w:rPr>
        <w:t> </w:t>
      </w:r>
      <w:r>
        <w:rPr/>
        <w:t>опросника (40 пунктов),</w:t>
      </w:r>
      <w:r>
        <w:rPr>
          <w:spacing w:val="-1"/>
        </w:rPr>
        <w:t> </w:t>
      </w:r>
      <w:r>
        <w:rPr/>
        <w:t>однако в другой части исследований эта модель не подтверждается. В связи с проблемами,</w:t>
      </w:r>
      <w:r>
        <w:rPr>
          <w:spacing w:val="44"/>
        </w:rPr>
        <w:t>  </w:t>
      </w:r>
      <w:r>
        <w:rPr/>
        <w:t>вызванными</w:t>
      </w:r>
      <w:r>
        <w:rPr>
          <w:spacing w:val="46"/>
        </w:rPr>
        <w:t>  </w:t>
      </w:r>
      <w:r>
        <w:rPr/>
        <w:t>в</w:t>
      </w:r>
      <w:r>
        <w:rPr>
          <w:spacing w:val="44"/>
        </w:rPr>
        <w:t>  </w:t>
      </w:r>
      <w:r>
        <w:rPr/>
        <w:t>ряде</w:t>
      </w:r>
      <w:r>
        <w:rPr>
          <w:spacing w:val="45"/>
        </w:rPr>
        <w:t>  </w:t>
      </w:r>
      <w:r>
        <w:rPr/>
        <w:t>выборок</w:t>
      </w:r>
      <w:r>
        <w:rPr>
          <w:spacing w:val="46"/>
        </w:rPr>
        <w:t>  </w:t>
      </w:r>
      <w:r>
        <w:rPr/>
        <w:t>обратными</w:t>
      </w:r>
      <w:r>
        <w:rPr>
          <w:spacing w:val="45"/>
        </w:rPr>
        <w:t>  </w:t>
      </w:r>
      <w:r>
        <w:rPr>
          <w:spacing w:val="-2"/>
        </w:rPr>
        <w:t>утверждениями</w:t>
      </w:r>
    </w:p>
    <w:p>
      <w:pPr>
        <w:pStyle w:val="Heading4"/>
        <w:spacing w:after="0"/>
        <w:sectPr>
          <w:pgSz w:w="11910" w:h="16840"/>
          <w:pgMar w:header="0" w:footer="970" w:top="1040" w:bottom="1180" w:left="1417" w:right="283"/>
        </w:sectPr>
      </w:pPr>
    </w:p>
    <w:p>
      <w:pPr>
        <w:pStyle w:val="Heading4"/>
        <w:spacing w:line="242" w:lineRule="auto" w:before="67"/>
        <w:ind w:right="569"/>
      </w:pPr>
      <w:r>
        <w:rPr/>
        <w:t>опросника, была разработана версия, состоявшая из 30 пунктов, также соответствующих пяти факторам (</w:t>
      </w:r>
      <w:r>
        <w:rPr>
          <w:i/>
        </w:rPr>
        <w:t>Huebner, Zullig, Saha, </w:t>
      </w:r>
      <w:r>
        <w:rPr/>
        <w:t>2012).</w:t>
      </w:r>
    </w:p>
    <w:p>
      <w:pPr>
        <w:pStyle w:val="Heading3"/>
        <w:spacing w:before="243"/>
      </w:pPr>
      <w:r>
        <w:rPr/>
        <w:t>Адаптация</w:t>
      </w:r>
      <w:r>
        <w:rPr>
          <w:spacing w:val="-6"/>
        </w:rPr>
        <w:t> </w:t>
      </w:r>
      <w:r>
        <w:rPr/>
        <w:t>методики</w:t>
      </w:r>
      <w:r>
        <w:rPr>
          <w:spacing w:val="-4"/>
        </w:rPr>
        <w:t> </w:t>
      </w:r>
      <w:r>
        <w:rPr/>
        <w:t>на</w:t>
      </w:r>
      <w:r>
        <w:rPr>
          <w:spacing w:val="-5"/>
        </w:rPr>
        <w:t> </w:t>
      </w:r>
      <w:r>
        <w:rPr/>
        <w:t>русском</w:t>
      </w:r>
      <w:r>
        <w:rPr>
          <w:spacing w:val="-5"/>
        </w:rPr>
        <w:t> </w:t>
      </w:r>
      <w:r>
        <w:rPr>
          <w:spacing w:val="-4"/>
        </w:rPr>
        <w:t>языке</w:t>
      </w:r>
    </w:p>
    <w:p>
      <w:pPr>
        <w:spacing w:before="232"/>
        <w:ind w:left="285" w:right="564" w:firstLine="700"/>
        <w:jc w:val="both"/>
        <w:rPr>
          <w:sz w:val="28"/>
        </w:rPr>
      </w:pPr>
      <w:r>
        <w:rPr>
          <w:sz w:val="28"/>
        </w:rPr>
        <w:t>Адаптированная русскоязычная версия включает 30 утверждений (</w:t>
      </w:r>
      <w:r>
        <w:rPr>
          <w:i/>
          <w:sz w:val="28"/>
        </w:rPr>
        <w:t>Сычев,</w:t>
      </w:r>
      <w:r>
        <w:rPr>
          <w:i/>
          <w:spacing w:val="46"/>
          <w:sz w:val="28"/>
        </w:rPr>
        <w:t>  </w:t>
      </w:r>
      <w:r>
        <w:rPr>
          <w:i/>
          <w:sz w:val="28"/>
        </w:rPr>
        <w:t>Гордеева,</w:t>
      </w:r>
      <w:r>
        <w:rPr>
          <w:i/>
          <w:spacing w:val="46"/>
          <w:sz w:val="28"/>
        </w:rPr>
        <w:t>  </w:t>
      </w:r>
      <w:r>
        <w:rPr>
          <w:i/>
          <w:sz w:val="28"/>
        </w:rPr>
        <w:t>Лункина,</w:t>
      </w:r>
      <w:r>
        <w:rPr>
          <w:i/>
          <w:spacing w:val="46"/>
          <w:sz w:val="28"/>
        </w:rPr>
        <w:t>  </w:t>
      </w:r>
      <w:r>
        <w:rPr>
          <w:i/>
          <w:sz w:val="28"/>
        </w:rPr>
        <w:t>Осин,</w:t>
      </w:r>
      <w:r>
        <w:rPr>
          <w:i/>
          <w:spacing w:val="46"/>
          <w:sz w:val="28"/>
        </w:rPr>
        <w:t>  </w:t>
      </w:r>
      <w:r>
        <w:rPr>
          <w:i/>
          <w:sz w:val="28"/>
        </w:rPr>
        <w:t>Сиднева,</w:t>
      </w:r>
      <w:r>
        <w:rPr>
          <w:i/>
          <w:spacing w:val="49"/>
          <w:sz w:val="28"/>
        </w:rPr>
        <w:t>  </w:t>
      </w:r>
      <w:r>
        <w:rPr>
          <w:sz w:val="28"/>
        </w:rPr>
        <w:t>2018)</w:t>
      </w:r>
      <w:r>
        <w:rPr>
          <w:spacing w:val="47"/>
          <w:sz w:val="28"/>
        </w:rPr>
        <w:t>  </w:t>
      </w:r>
      <w:r>
        <w:rPr>
          <w:sz w:val="28"/>
        </w:rPr>
        <w:t>и</w:t>
      </w:r>
      <w:r>
        <w:rPr>
          <w:spacing w:val="47"/>
          <w:sz w:val="28"/>
        </w:rPr>
        <w:t>  </w:t>
      </w:r>
      <w:r>
        <w:rPr>
          <w:sz w:val="28"/>
        </w:rPr>
        <w:t>носит</w:t>
      </w:r>
      <w:r>
        <w:rPr>
          <w:spacing w:val="47"/>
          <w:sz w:val="28"/>
        </w:rPr>
        <w:t>  </w:t>
      </w:r>
      <w:r>
        <w:rPr>
          <w:spacing w:val="-2"/>
          <w:sz w:val="28"/>
        </w:rPr>
        <w:t>название</w:t>
      </w:r>
    </w:p>
    <w:p>
      <w:pPr>
        <w:pStyle w:val="Heading4"/>
        <w:ind w:right="562"/>
      </w:pPr>
      <w:r>
        <w:rPr/>
        <w:t>«Многомерная шкала удовлетворенности жизнью школьников». За основу взят перевод Е.Н. Осина. В апробации методики участвовали 479 учащихся младших классов 8–12 лет (средний возраст 9.64 лет) — 257 мальчиков и 222 девочки. Авторы русскоязычной версии дополнили ее шкалой удовлетворенности отношениями с учителем, а шкала удовлетворенности условиями жизни была исключена из-за малой информативности.</w:t>
      </w:r>
    </w:p>
    <w:p>
      <w:pPr>
        <w:pStyle w:val="Heading4"/>
        <w:spacing w:before="240"/>
        <w:ind w:right="562" w:firstLine="700"/>
      </w:pPr>
      <w:r>
        <w:rPr/>
        <w:t>Результаты конфирматорного факторного анализа подтверждают пятифакторную структуру опросника ШУДЖИ. Выявлена как высокая внутренняя согласованность, так и внешняя валидность шкал, включая и новую шкалу удовлетворенности отношениями с учителями.</w:t>
      </w:r>
    </w:p>
    <w:p>
      <w:pPr>
        <w:pStyle w:val="Heading4"/>
        <w:spacing w:before="241"/>
        <w:ind w:right="561" w:firstLine="700"/>
      </w:pPr>
      <w:r>
        <w:rPr/>
        <w:t>Коэффициент</w:t>
      </w:r>
      <w:r>
        <w:rPr>
          <w:spacing w:val="-4"/>
        </w:rPr>
        <w:t> </w:t>
      </w:r>
      <w:r>
        <w:rPr/>
        <w:t>надежности</w:t>
      </w:r>
      <w:r>
        <w:rPr>
          <w:spacing w:val="-3"/>
        </w:rPr>
        <w:t> </w:t>
      </w:r>
      <w:r>
        <w:rPr/>
        <w:t>альфа</w:t>
      </w:r>
      <w:r>
        <w:rPr>
          <w:spacing w:val="-1"/>
        </w:rPr>
        <w:t> </w:t>
      </w:r>
      <w:r>
        <w:rPr/>
        <w:t>Кронбаха,</w:t>
      </w:r>
      <w:r>
        <w:rPr>
          <w:spacing w:val="-2"/>
        </w:rPr>
        <w:t> </w:t>
      </w:r>
      <w:r>
        <w:rPr/>
        <w:t>превышающий</w:t>
      </w:r>
      <w:r>
        <w:rPr>
          <w:spacing w:val="-1"/>
        </w:rPr>
        <w:t> </w:t>
      </w:r>
      <w:r>
        <w:rPr/>
        <w:t>.8,</w:t>
      </w:r>
      <w:r>
        <w:rPr>
          <w:spacing w:val="-2"/>
        </w:rPr>
        <w:t> </w:t>
      </w:r>
      <w:r>
        <w:rPr/>
        <w:t>говорит</w:t>
      </w:r>
      <w:r>
        <w:rPr>
          <w:spacing w:val="-4"/>
        </w:rPr>
        <w:t> </w:t>
      </w:r>
      <w:r>
        <w:rPr/>
        <w:t>о высокой внутренней согласованности шкал, а для суммарного показателя удовлетворенности жизнью он равен .94. Все шкалы методики статистически значимо связаны между собой, однако сила связей варьируется. Шкалы удовлетворенности школой и отношениями с учителями показали высокий уровень</w:t>
      </w:r>
      <w:r>
        <w:rPr>
          <w:spacing w:val="-15"/>
        </w:rPr>
        <w:t> </w:t>
      </w:r>
      <w:r>
        <w:rPr/>
        <w:t>корреляции</w:t>
      </w:r>
      <w:r>
        <w:rPr>
          <w:spacing w:val="-13"/>
        </w:rPr>
        <w:t> </w:t>
      </w:r>
      <w:r>
        <w:rPr/>
        <w:t>—</w:t>
      </w:r>
      <w:r>
        <w:rPr>
          <w:spacing w:val="-14"/>
        </w:rPr>
        <w:t> </w:t>
      </w:r>
      <w:r>
        <w:rPr/>
        <w:t>0.8,</w:t>
      </w:r>
      <w:r>
        <w:rPr>
          <w:spacing w:val="-14"/>
        </w:rPr>
        <w:t> </w:t>
      </w:r>
      <w:r>
        <w:rPr/>
        <w:t>в</w:t>
      </w:r>
      <w:r>
        <w:rPr>
          <w:spacing w:val="-15"/>
        </w:rPr>
        <w:t> </w:t>
      </w:r>
      <w:r>
        <w:rPr/>
        <w:t>то</w:t>
      </w:r>
      <w:r>
        <w:rPr>
          <w:spacing w:val="-13"/>
        </w:rPr>
        <w:t> </w:t>
      </w:r>
      <w:r>
        <w:rPr/>
        <w:t>же</w:t>
      </w:r>
      <w:r>
        <w:rPr>
          <w:spacing w:val="-13"/>
        </w:rPr>
        <w:t> </w:t>
      </w:r>
      <w:r>
        <w:rPr/>
        <w:t>время</w:t>
      </w:r>
      <w:r>
        <w:rPr>
          <w:spacing w:val="-13"/>
        </w:rPr>
        <w:t> </w:t>
      </w:r>
      <w:r>
        <w:rPr/>
        <w:t>корреляция</w:t>
      </w:r>
      <w:r>
        <w:rPr>
          <w:spacing w:val="-13"/>
        </w:rPr>
        <w:t> </w:t>
      </w:r>
      <w:r>
        <w:rPr/>
        <w:t>между</w:t>
      </w:r>
      <w:r>
        <w:rPr>
          <w:spacing w:val="-18"/>
        </w:rPr>
        <w:t> </w:t>
      </w:r>
      <w:r>
        <w:rPr/>
        <w:t>шкалами</w:t>
      </w:r>
      <w:r>
        <w:rPr>
          <w:spacing w:val="-14"/>
        </w:rPr>
        <w:t> </w:t>
      </w:r>
      <w:r>
        <w:rPr/>
        <w:t>«Я</w:t>
      </w:r>
      <w:r>
        <w:rPr>
          <w:spacing w:val="-14"/>
        </w:rPr>
        <w:t> </w:t>
      </w:r>
      <w:r>
        <w:rPr/>
        <w:t>сам»,</w:t>
      </w:r>
    </w:p>
    <w:p>
      <w:pPr>
        <w:pStyle w:val="Heading4"/>
        <w:spacing w:before="1"/>
      </w:pPr>
      <w:r>
        <w:rPr/>
        <w:t>«Друзья»</w:t>
      </w:r>
      <w:r>
        <w:rPr>
          <w:spacing w:val="-7"/>
        </w:rPr>
        <w:t> </w:t>
      </w:r>
      <w:r>
        <w:rPr/>
        <w:t>и</w:t>
      </w:r>
      <w:r>
        <w:rPr>
          <w:spacing w:val="-2"/>
        </w:rPr>
        <w:t> </w:t>
      </w:r>
      <w:r>
        <w:rPr/>
        <w:t>шкалы</w:t>
      </w:r>
      <w:r>
        <w:rPr>
          <w:spacing w:val="-3"/>
        </w:rPr>
        <w:t> </w:t>
      </w:r>
      <w:r>
        <w:rPr/>
        <w:t>«Школа»</w:t>
      </w:r>
      <w:r>
        <w:rPr>
          <w:spacing w:val="-3"/>
        </w:rPr>
        <w:t> </w:t>
      </w:r>
      <w:r>
        <w:rPr/>
        <w:t>были</w:t>
      </w:r>
      <w:r>
        <w:rPr>
          <w:spacing w:val="-5"/>
        </w:rPr>
        <w:t> </w:t>
      </w:r>
      <w:r>
        <w:rPr/>
        <w:t>0.44</w:t>
      </w:r>
      <w:r>
        <w:rPr>
          <w:spacing w:val="-2"/>
        </w:rPr>
        <w:t> </w:t>
      </w:r>
      <w:r>
        <w:rPr/>
        <w:t>и</w:t>
      </w:r>
      <w:r>
        <w:rPr>
          <w:spacing w:val="-4"/>
        </w:rPr>
        <w:t> </w:t>
      </w:r>
      <w:r>
        <w:rPr/>
        <w:t>0.35</w:t>
      </w:r>
      <w:r>
        <w:rPr>
          <w:spacing w:val="-1"/>
        </w:rPr>
        <w:t> </w:t>
      </w:r>
      <w:r>
        <w:rPr>
          <w:spacing w:val="-2"/>
        </w:rPr>
        <w:t>соответственно.</w:t>
      </w:r>
    </w:p>
    <w:p>
      <w:pPr>
        <w:pStyle w:val="Heading4"/>
        <w:spacing w:before="239"/>
        <w:ind w:right="561" w:firstLine="700"/>
      </w:pPr>
      <w:r>
        <w:rPr/>
        <w:t>При оценке внешней валидности авторы русскоязычной версии исходили из того, что показатели самооценки являются одним из главных личностных предикторов удовлетворенности жизнью. Использовались две невербальные методики диагностики: шкала «Отношение к школе и жизни» (для оценки субъективного благополучия) и методика Дембо-Рубинштейн (для диагностики самооценки).</w:t>
      </w:r>
    </w:p>
    <w:p>
      <w:pPr>
        <w:pStyle w:val="Heading4"/>
        <w:spacing w:before="241"/>
        <w:ind w:right="562" w:firstLine="700"/>
      </w:pPr>
      <w:r>
        <w:rPr/>
        <w:t>Результаты подтвердили валидность методики ШУДЖИ, получены корреляции субшкал методики с показателями невербальных шкал самооценки, которая, в свою очередь, предсказывает степень удовлетворенности жизнью и благополучия.</w:t>
      </w:r>
    </w:p>
    <w:p>
      <w:pPr>
        <w:pStyle w:val="Heading4"/>
        <w:spacing w:before="239"/>
        <w:ind w:right="563"/>
      </w:pPr>
      <w:r>
        <w:rPr/>
        <w:t>В 2022 г. методика была адаптирована для детей — иностранных граждан в рамках апробации в 12 регионах РФ программы оценки особых образовательных потребностей ребенка-мигранта в сферах психологического благополучия,</w:t>
      </w:r>
      <w:r>
        <w:rPr>
          <w:spacing w:val="-16"/>
        </w:rPr>
        <w:t> </w:t>
      </w:r>
      <w:r>
        <w:rPr/>
        <w:t>социальных</w:t>
      </w:r>
      <w:r>
        <w:rPr>
          <w:spacing w:val="-15"/>
        </w:rPr>
        <w:t> </w:t>
      </w:r>
      <w:r>
        <w:rPr/>
        <w:t>навыков</w:t>
      </w:r>
      <w:r>
        <w:rPr>
          <w:spacing w:val="-17"/>
        </w:rPr>
        <w:t> </w:t>
      </w:r>
      <w:r>
        <w:rPr/>
        <w:t>и</w:t>
      </w:r>
      <w:r>
        <w:rPr>
          <w:spacing w:val="-18"/>
        </w:rPr>
        <w:t> </w:t>
      </w:r>
      <w:r>
        <w:rPr/>
        <w:t>культурной</w:t>
      </w:r>
      <w:r>
        <w:rPr>
          <w:spacing w:val="-17"/>
        </w:rPr>
        <w:t> </w:t>
      </w:r>
      <w:r>
        <w:rPr/>
        <w:t>адаптации</w:t>
      </w:r>
      <w:r>
        <w:rPr>
          <w:spacing w:val="-15"/>
        </w:rPr>
        <w:t> </w:t>
      </w:r>
      <w:r>
        <w:rPr/>
        <w:t>(N</w:t>
      </w:r>
      <w:r>
        <w:rPr>
          <w:spacing w:val="-17"/>
        </w:rPr>
        <w:t> </w:t>
      </w:r>
      <w:r>
        <w:rPr/>
        <w:t>нач.</w:t>
      </w:r>
      <w:r>
        <w:rPr>
          <w:spacing w:val="-16"/>
        </w:rPr>
        <w:t> </w:t>
      </w:r>
      <w:r>
        <w:rPr/>
        <w:t>шк.</w:t>
      </w:r>
      <w:r>
        <w:rPr>
          <w:spacing w:val="-16"/>
        </w:rPr>
        <w:t> </w:t>
      </w:r>
      <w:r>
        <w:rPr/>
        <w:t>=</w:t>
      </w:r>
      <w:r>
        <w:rPr>
          <w:spacing w:val="-18"/>
        </w:rPr>
        <w:t> </w:t>
      </w:r>
      <w:r>
        <w:rPr/>
        <w:t>180, N ср. и ст. шк. = 342, N общ. = 667). Шкалы методики показали достаточную степень внутренней согласованности (альфа Кронбаха варьирует от 0.79 до </w:t>
      </w:r>
      <w:r>
        <w:rPr>
          <w:spacing w:val="-2"/>
        </w:rPr>
        <w:t>0.91).</w:t>
      </w:r>
    </w:p>
    <w:p>
      <w:pPr>
        <w:pStyle w:val="Heading4"/>
        <w:spacing w:after="0"/>
        <w:sectPr>
          <w:pgSz w:w="11910" w:h="16840"/>
          <w:pgMar w:header="0" w:footer="970" w:top="1040" w:bottom="1220" w:left="1417" w:right="283"/>
        </w:sectPr>
      </w:pPr>
    </w:p>
    <w:p>
      <w:pPr>
        <w:pStyle w:val="Heading4"/>
        <w:spacing w:before="67"/>
        <w:ind w:right="566"/>
      </w:pPr>
      <w:r>
        <w:rPr/>
        <w:t>В исследовании обнаружены предсказуемые корреляции со шкалами следующих методик. Общий показатель по ШУДЖИ, общая удовлетворенность жизнью школьников, имеет значимую и высокую корреляцию с показателями по методике «Рисуночная диагностика субъективного благополучия ребенка мигранта» (РДПБ), с показателем психологической устойчивости (0.591, P&lt;0.01) и Детским тестом психологической устойчивости (0.749, P&lt;0.01).</w:t>
      </w:r>
    </w:p>
    <w:p>
      <w:pPr>
        <w:pStyle w:val="Heading4"/>
        <w:spacing w:before="3"/>
        <w:ind w:right="568"/>
      </w:pPr>
      <w:r>
        <w:rPr/>
        <w:t>Это доказывает внешнюю валидность опросника Ахенбаха при диагностике детей – иностранных граждан</w:t>
      </w:r>
      <w:r>
        <w:rPr>
          <w:color w:val="FF0000"/>
        </w:rPr>
        <w:t>.</w:t>
      </w:r>
    </w:p>
    <w:p>
      <w:pPr>
        <w:pStyle w:val="Heading4"/>
        <w:spacing w:after="0"/>
        <w:sectPr>
          <w:pgSz w:w="11910" w:h="16840"/>
          <w:pgMar w:header="0" w:footer="970" w:top="1040" w:bottom="1220" w:left="1417" w:right="283"/>
        </w:sectPr>
      </w:pPr>
    </w:p>
    <w:p>
      <w:pPr>
        <w:pStyle w:val="Heading3"/>
        <w:ind w:left="5570"/>
        <w:jc w:val="left"/>
      </w:pPr>
      <w:r>
        <w:rPr/>
        <w:t>Приложение</w:t>
      </w:r>
      <w:r>
        <w:rPr>
          <w:spacing w:val="-6"/>
        </w:rPr>
        <w:t> </w:t>
      </w:r>
      <w:r>
        <w:rPr/>
        <w:t>6.</w:t>
      </w:r>
      <w:r>
        <w:rPr>
          <w:spacing w:val="-3"/>
        </w:rPr>
        <w:t> </w:t>
      </w:r>
      <w:r>
        <w:rPr/>
        <w:t>Бланк</w:t>
      </w:r>
      <w:r>
        <w:rPr>
          <w:spacing w:val="-3"/>
        </w:rPr>
        <w:t> </w:t>
      </w:r>
      <w:r>
        <w:rPr>
          <w:spacing w:val="-2"/>
        </w:rPr>
        <w:t>методики</w:t>
      </w:r>
    </w:p>
    <w:p>
      <w:pPr>
        <w:spacing w:line="242" w:lineRule="auto" w:before="234"/>
        <w:ind w:left="285" w:right="569" w:firstLine="0"/>
        <w:jc w:val="left"/>
        <w:rPr>
          <w:i/>
          <w:sz w:val="24"/>
        </w:rPr>
      </w:pPr>
      <w:r>
        <w:rPr>
          <w:i/>
          <w:sz w:val="24"/>
        </w:rPr>
        <w:t>Перед</w:t>
      </w:r>
      <w:r>
        <w:rPr>
          <w:i/>
          <w:spacing w:val="-5"/>
          <w:sz w:val="24"/>
        </w:rPr>
        <w:t> </w:t>
      </w:r>
      <w:r>
        <w:rPr>
          <w:i/>
          <w:sz w:val="24"/>
        </w:rPr>
        <w:t>тобой</w:t>
      </w:r>
      <w:r>
        <w:rPr>
          <w:i/>
          <w:spacing w:val="-3"/>
          <w:sz w:val="24"/>
        </w:rPr>
        <w:t> </w:t>
      </w:r>
      <w:r>
        <w:rPr>
          <w:i/>
          <w:sz w:val="24"/>
        </w:rPr>
        <w:t>список</w:t>
      </w:r>
      <w:r>
        <w:rPr>
          <w:i/>
          <w:spacing w:val="-5"/>
          <w:sz w:val="24"/>
        </w:rPr>
        <w:t> </w:t>
      </w:r>
      <w:r>
        <w:rPr>
          <w:i/>
          <w:sz w:val="24"/>
        </w:rPr>
        <w:t>утверждений.</w:t>
      </w:r>
      <w:r>
        <w:rPr>
          <w:i/>
          <w:spacing w:val="-5"/>
          <w:sz w:val="24"/>
        </w:rPr>
        <w:t> </w:t>
      </w:r>
      <w:r>
        <w:rPr>
          <w:i/>
          <w:sz w:val="24"/>
        </w:rPr>
        <w:t>Пожалуйста,</w:t>
      </w:r>
      <w:r>
        <w:rPr>
          <w:i/>
          <w:spacing w:val="-5"/>
          <w:sz w:val="24"/>
        </w:rPr>
        <w:t> </w:t>
      </w:r>
      <w:r>
        <w:rPr>
          <w:i/>
          <w:sz w:val="24"/>
        </w:rPr>
        <w:t>отметь,</w:t>
      </w:r>
      <w:r>
        <w:rPr>
          <w:i/>
          <w:spacing w:val="-5"/>
          <w:sz w:val="24"/>
        </w:rPr>
        <w:t> </w:t>
      </w:r>
      <w:r>
        <w:rPr>
          <w:i/>
          <w:sz w:val="24"/>
        </w:rPr>
        <w:t>как</w:t>
      </w:r>
      <w:r>
        <w:rPr>
          <w:i/>
          <w:spacing w:val="-5"/>
          <w:sz w:val="24"/>
        </w:rPr>
        <w:t> </w:t>
      </w:r>
      <w:r>
        <w:rPr>
          <w:i/>
          <w:sz w:val="24"/>
        </w:rPr>
        <w:t>часто</w:t>
      </w:r>
      <w:r>
        <w:rPr>
          <w:i/>
          <w:spacing w:val="-5"/>
          <w:sz w:val="24"/>
        </w:rPr>
        <w:t> </w:t>
      </w:r>
      <w:r>
        <w:rPr>
          <w:i/>
          <w:sz w:val="24"/>
        </w:rPr>
        <w:t>они</w:t>
      </w:r>
      <w:r>
        <w:rPr>
          <w:i/>
          <w:spacing w:val="-5"/>
          <w:sz w:val="24"/>
        </w:rPr>
        <w:t> </w:t>
      </w:r>
      <w:r>
        <w:rPr>
          <w:i/>
          <w:sz w:val="24"/>
        </w:rPr>
        <w:t>оказываются верными для тебя: никогда, иногда, часто, почти всегда, всегда.</w:t>
      </w:r>
    </w:p>
    <w:p>
      <w:pPr>
        <w:pStyle w:val="BodyText"/>
        <w:spacing w:before="7"/>
        <w:ind w:left="0" w:right="0" w:firstLine="0"/>
        <w:jc w:val="left"/>
        <w:rPr>
          <w:i/>
          <w:sz w:val="17"/>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6"/>
        <w:gridCol w:w="4928"/>
        <w:gridCol w:w="792"/>
        <w:gridCol w:w="792"/>
        <w:gridCol w:w="793"/>
        <w:gridCol w:w="795"/>
        <w:gridCol w:w="793"/>
      </w:tblGrid>
      <w:tr>
        <w:trPr>
          <w:trHeight w:val="1787" w:hRule="atLeast"/>
        </w:trPr>
        <w:tc>
          <w:tcPr>
            <w:tcW w:w="5384" w:type="dxa"/>
            <w:gridSpan w:val="2"/>
          </w:tcPr>
          <w:p>
            <w:pPr>
              <w:pStyle w:val="TableParagraph"/>
              <w:rPr>
                <w:sz w:val="24"/>
              </w:rPr>
            </w:pPr>
          </w:p>
        </w:tc>
        <w:tc>
          <w:tcPr>
            <w:tcW w:w="792" w:type="dxa"/>
          </w:tcPr>
          <w:p>
            <w:pPr>
              <w:pStyle w:val="TableParagraph"/>
              <w:spacing w:line="276" w:lineRule="auto" w:before="157"/>
              <w:ind w:left="218" w:right="235"/>
              <w:rPr>
                <w:b/>
                <w:sz w:val="24"/>
              </w:rPr>
            </w:pPr>
            <w:r>
              <w:rPr>
                <w:b/>
                <w:spacing w:val="-6"/>
                <w:sz w:val="24"/>
              </w:rPr>
              <w:t>Ни ко гд </w:t>
            </w:r>
            <w:r>
              <w:rPr>
                <w:b/>
                <w:spacing w:val="-10"/>
                <w:sz w:val="24"/>
              </w:rPr>
              <w:t>а</w:t>
            </w:r>
          </w:p>
        </w:tc>
        <w:tc>
          <w:tcPr>
            <w:tcW w:w="792" w:type="dxa"/>
          </w:tcPr>
          <w:p>
            <w:pPr>
              <w:pStyle w:val="TableParagraph"/>
              <w:spacing w:before="39"/>
              <w:rPr>
                <w:i/>
                <w:sz w:val="24"/>
              </w:rPr>
            </w:pPr>
          </w:p>
          <w:p>
            <w:pPr>
              <w:pStyle w:val="TableParagraph"/>
              <w:spacing w:line="276" w:lineRule="auto"/>
              <w:ind w:left="218" w:right="212"/>
              <w:jc w:val="both"/>
              <w:rPr>
                <w:b/>
                <w:sz w:val="24"/>
              </w:rPr>
            </w:pPr>
            <w:r>
              <w:rPr>
                <w:b/>
                <w:spacing w:val="-6"/>
                <w:sz w:val="24"/>
              </w:rPr>
              <w:t>Ин </w:t>
            </w:r>
            <w:r>
              <w:rPr>
                <w:b/>
                <w:spacing w:val="-4"/>
                <w:sz w:val="24"/>
              </w:rPr>
              <w:t>огд </w:t>
            </w:r>
            <w:r>
              <w:rPr>
                <w:b/>
                <w:spacing w:val="-10"/>
                <w:sz w:val="24"/>
              </w:rPr>
              <w:t>а</w:t>
            </w:r>
          </w:p>
        </w:tc>
        <w:tc>
          <w:tcPr>
            <w:tcW w:w="793" w:type="dxa"/>
          </w:tcPr>
          <w:p>
            <w:pPr>
              <w:pStyle w:val="TableParagraph"/>
              <w:spacing w:before="198"/>
              <w:rPr>
                <w:i/>
                <w:sz w:val="24"/>
              </w:rPr>
            </w:pPr>
          </w:p>
          <w:p>
            <w:pPr>
              <w:pStyle w:val="TableParagraph"/>
              <w:spacing w:line="278" w:lineRule="auto"/>
              <w:ind w:left="220" w:right="210"/>
              <w:rPr>
                <w:b/>
                <w:sz w:val="24"/>
              </w:rPr>
            </w:pPr>
            <w:r>
              <w:rPr>
                <w:b/>
                <w:spacing w:val="-6"/>
                <w:sz w:val="24"/>
              </w:rPr>
              <w:t>Ча </w:t>
            </w:r>
            <w:r>
              <w:rPr>
                <w:b/>
                <w:spacing w:val="-4"/>
                <w:sz w:val="24"/>
              </w:rPr>
              <w:t>сто</w:t>
            </w:r>
          </w:p>
        </w:tc>
        <w:tc>
          <w:tcPr>
            <w:tcW w:w="795" w:type="dxa"/>
          </w:tcPr>
          <w:p>
            <w:pPr>
              <w:pStyle w:val="TableParagraph"/>
              <w:spacing w:line="276" w:lineRule="auto"/>
              <w:ind w:left="220" w:right="209"/>
              <w:rPr>
                <w:b/>
                <w:sz w:val="24"/>
              </w:rPr>
            </w:pPr>
            <w:r>
              <w:rPr>
                <w:b/>
                <w:spacing w:val="-6"/>
                <w:sz w:val="24"/>
              </w:rPr>
              <w:t>По чт </w:t>
            </w:r>
            <w:r>
              <w:rPr>
                <w:b/>
                <w:spacing w:val="-10"/>
                <w:sz w:val="24"/>
              </w:rPr>
              <w:t>и </w:t>
            </w:r>
            <w:r>
              <w:rPr>
                <w:b/>
                <w:spacing w:val="-4"/>
                <w:sz w:val="24"/>
              </w:rPr>
              <w:t>все </w:t>
            </w:r>
            <w:r>
              <w:rPr>
                <w:b/>
                <w:spacing w:val="-5"/>
                <w:sz w:val="24"/>
              </w:rPr>
              <w:t>гда</w:t>
            </w:r>
          </w:p>
        </w:tc>
        <w:tc>
          <w:tcPr>
            <w:tcW w:w="793" w:type="dxa"/>
          </w:tcPr>
          <w:p>
            <w:pPr>
              <w:pStyle w:val="TableParagraph"/>
              <w:spacing w:before="39"/>
              <w:rPr>
                <w:i/>
                <w:sz w:val="24"/>
              </w:rPr>
            </w:pPr>
          </w:p>
          <w:p>
            <w:pPr>
              <w:pStyle w:val="TableParagraph"/>
              <w:spacing w:line="276" w:lineRule="auto"/>
              <w:ind w:left="219" w:right="227"/>
              <w:jc w:val="both"/>
              <w:rPr>
                <w:b/>
                <w:sz w:val="24"/>
              </w:rPr>
            </w:pPr>
            <w:r>
              <w:rPr>
                <w:b/>
                <w:spacing w:val="-6"/>
                <w:sz w:val="24"/>
              </w:rPr>
              <w:t>Вс </w:t>
            </w:r>
            <w:r>
              <w:rPr>
                <w:b/>
                <w:spacing w:val="-4"/>
                <w:sz w:val="24"/>
              </w:rPr>
              <w:t>егд </w:t>
            </w:r>
            <w:r>
              <w:rPr>
                <w:b/>
                <w:spacing w:val="-10"/>
                <w:sz w:val="24"/>
              </w:rPr>
              <w:t>а</w:t>
            </w:r>
          </w:p>
        </w:tc>
      </w:tr>
      <w:tr>
        <w:trPr>
          <w:trHeight w:val="516" w:hRule="atLeast"/>
        </w:trPr>
        <w:tc>
          <w:tcPr>
            <w:tcW w:w="456" w:type="dxa"/>
          </w:tcPr>
          <w:p>
            <w:pPr>
              <w:pStyle w:val="TableParagraph"/>
              <w:spacing w:line="270" w:lineRule="exact"/>
              <w:ind w:right="108"/>
              <w:jc w:val="center"/>
              <w:rPr>
                <w:sz w:val="24"/>
              </w:rPr>
            </w:pPr>
            <w:r>
              <w:rPr>
                <w:spacing w:val="-10"/>
                <w:sz w:val="24"/>
              </w:rPr>
              <w:t>1</w:t>
            </w:r>
          </w:p>
        </w:tc>
        <w:tc>
          <w:tcPr>
            <w:tcW w:w="4928" w:type="dxa"/>
          </w:tcPr>
          <w:p>
            <w:pPr>
              <w:pStyle w:val="TableParagraph"/>
              <w:spacing w:line="270" w:lineRule="exact"/>
              <w:ind w:left="107"/>
              <w:rPr>
                <w:sz w:val="24"/>
              </w:rPr>
            </w:pPr>
            <w:r>
              <w:rPr>
                <w:sz w:val="24"/>
              </w:rPr>
              <w:t>Мне</w:t>
            </w:r>
            <w:r>
              <w:rPr>
                <w:spacing w:val="-6"/>
                <w:sz w:val="24"/>
              </w:rPr>
              <w:t> </w:t>
            </w:r>
            <w:r>
              <w:rPr>
                <w:sz w:val="24"/>
              </w:rPr>
              <w:t>нравится</w:t>
            </w:r>
            <w:r>
              <w:rPr>
                <w:spacing w:val="-3"/>
                <w:sz w:val="24"/>
              </w:rPr>
              <w:t> </w:t>
            </w:r>
            <w:r>
              <w:rPr>
                <w:sz w:val="24"/>
              </w:rPr>
              <w:t>проводить</w:t>
            </w:r>
            <w:r>
              <w:rPr>
                <w:spacing w:val="-3"/>
                <w:sz w:val="24"/>
              </w:rPr>
              <w:t> </w:t>
            </w:r>
            <w:r>
              <w:rPr>
                <w:sz w:val="24"/>
              </w:rPr>
              <w:t>время</w:t>
            </w:r>
            <w:r>
              <w:rPr>
                <w:spacing w:val="-3"/>
                <w:sz w:val="24"/>
              </w:rPr>
              <w:t> </w:t>
            </w:r>
            <w:r>
              <w:rPr>
                <w:sz w:val="24"/>
              </w:rPr>
              <w:t>с</w:t>
            </w:r>
            <w:r>
              <w:rPr>
                <w:spacing w:val="-3"/>
                <w:sz w:val="24"/>
              </w:rPr>
              <w:t> </w:t>
            </w:r>
            <w:r>
              <w:rPr>
                <w:spacing w:val="-2"/>
                <w:sz w:val="24"/>
              </w:rPr>
              <w:t>родителями</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r>
        <w:trPr>
          <w:trHeight w:val="517" w:hRule="atLeast"/>
        </w:trPr>
        <w:tc>
          <w:tcPr>
            <w:tcW w:w="456" w:type="dxa"/>
          </w:tcPr>
          <w:p>
            <w:pPr>
              <w:pStyle w:val="TableParagraph"/>
              <w:spacing w:line="273" w:lineRule="exact"/>
              <w:ind w:right="108"/>
              <w:jc w:val="center"/>
              <w:rPr>
                <w:sz w:val="24"/>
              </w:rPr>
            </w:pPr>
            <w:r>
              <w:rPr>
                <w:spacing w:val="-10"/>
                <w:sz w:val="24"/>
              </w:rPr>
              <w:t>2</w:t>
            </w:r>
          </w:p>
        </w:tc>
        <w:tc>
          <w:tcPr>
            <w:tcW w:w="4928" w:type="dxa"/>
          </w:tcPr>
          <w:p>
            <w:pPr>
              <w:pStyle w:val="TableParagraph"/>
              <w:spacing w:line="273" w:lineRule="exact"/>
              <w:ind w:left="107"/>
              <w:rPr>
                <w:sz w:val="24"/>
              </w:rPr>
            </w:pPr>
            <w:r>
              <w:rPr>
                <w:sz w:val="24"/>
              </w:rPr>
              <w:t>Утром</w:t>
            </w:r>
            <w:r>
              <w:rPr>
                <w:spacing w:val="-2"/>
                <w:sz w:val="24"/>
              </w:rPr>
              <w:t> </w:t>
            </w:r>
            <w:r>
              <w:rPr>
                <w:sz w:val="24"/>
              </w:rPr>
              <w:t>мне</w:t>
            </w:r>
            <w:r>
              <w:rPr>
                <w:spacing w:val="-2"/>
                <w:sz w:val="24"/>
              </w:rPr>
              <w:t> </w:t>
            </w:r>
            <w:r>
              <w:rPr>
                <w:sz w:val="24"/>
              </w:rPr>
              <w:t>хочется</w:t>
            </w:r>
            <w:r>
              <w:rPr>
                <w:spacing w:val="-1"/>
                <w:sz w:val="24"/>
              </w:rPr>
              <w:t> </w:t>
            </w:r>
            <w:r>
              <w:rPr>
                <w:sz w:val="24"/>
              </w:rPr>
              <w:t>пойти</w:t>
            </w:r>
            <w:r>
              <w:rPr>
                <w:spacing w:val="-1"/>
                <w:sz w:val="24"/>
              </w:rPr>
              <w:t> </w:t>
            </w:r>
            <w:r>
              <w:rPr>
                <w:sz w:val="24"/>
              </w:rPr>
              <w:t>в</w:t>
            </w:r>
            <w:r>
              <w:rPr>
                <w:spacing w:val="-1"/>
                <w:sz w:val="24"/>
              </w:rPr>
              <w:t> </w:t>
            </w:r>
            <w:r>
              <w:rPr>
                <w:spacing w:val="-2"/>
                <w:sz w:val="24"/>
              </w:rPr>
              <w:t>школу</w:t>
            </w:r>
          </w:p>
        </w:tc>
        <w:tc>
          <w:tcPr>
            <w:tcW w:w="792" w:type="dxa"/>
          </w:tcPr>
          <w:p>
            <w:pPr>
              <w:pStyle w:val="TableParagraph"/>
              <w:spacing w:line="273" w:lineRule="exact"/>
              <w:ind w:left="105"/>
              <w:rPr>
                <w:sz w:val="24"/>
              </w:rPr>
            </w:pPr>
            <w:r>
              <w:rPr>
                <w:spacing w:val="-10"/>
                <w:sz w:val="24"/>
              </w:rPr>
              <w:t>1</w:t>
            </w:r>
          </w:p>
        </w:tc>
        <w:tc>
          <w:tcPr>
            <w:tcW w:w="792" w:type="dxa"/>
          </w:tcPr>
          <w:p>
            <w:pPr>
              <w:pStyle w:val="TableParagraph"/>
              <w:spacing w:line="273" w:lineRule="exact"/>
              <w:ind w:left="105"/>
              <w:rPr>
                <w:sz w:val="24"/>
              </w:rPr>
            </w:pPr>
            <w:r>
              <w:rPr>
                <w:spacing w:val="-10"/>
                <w:sz w:val="24"/>
              </w:rPr>
              <w:t>2</w:t>
            </w:r>
          </w:p>
        </w:tc>
        <w:tc>
          <w:tcPr>
            <w:tcW w:w="793" w:type="dxa"/>
          </w:tcPr>
          <w:p>
            <w:pPr>
              <w:pStyle w:val="TableParagraph"/>
              <w:spacing w:line="273" w:lineRule="exact"/>
              <w:ind w:left="107"/>
              <w:rPr>
                <w:sz w:val="24"/>
              </w:rPr>
            </w:pPr>
            <w:r>
              <w:rPr>
                <w:spacing w:val="-10"/>
                <w:sz w:val="24"/>
              </w:rPr>
              <w:t>3</w:t>
            </w:r>
          </w:p>
        </w:tc>
        <w:tc>
          <w:tcPr>
            <w:tcW w:w="795" w:type="dxa"/>
          </w:tcPr>
          <w:p>
            <w:pPr>
              <w:pStyle w:val="TableParagraph"/>
              <w:spacing w:line="273" w:lineRule="exact"/>
              <w:ind w:left="107"/>
              <w:rPr>
                <w:sz w:val="24"/>
              </w:rPr>
            </w:pPr>
            <w:r>
              <w:rPr>
                <w:spacing w:val="-10"/>
                <w:sz w:val="24"/>
              </w:rPr>
              <w:t>4</w:t>
            </w:r>
          </w:p>
        </w:tc>
        <w:tc>
          <w:tcPr>
            <w:tcW w:w="793" w:type="dxa"/>
          </w:tcPr>
          <w:p>
            <w:pPr>
              <w:pStyle w:val="TableParagraph"/>
              <w:spacing w:line="273" w:lineRule="exact"/>
              <w:ind w:left="106"/>
              <w:rPr>
                <w:sz w:val="24"/>
              </w:rPr>
            </w:pPr>
            <w:r>
              <w:rPr>
                <w:spacing w:val="-10"/>
                <w:sz w:val="24"/>
              </w:rPr>
              <w:t>5</w:t>
            </w:r>
          </w:p>
        </w:tc>
      </w:tr>
      <w:tr>
        <w:trPr>
          <w:trHeight w:val="517" w:hRule="atLeast"/>
        </w:trPr>
        <w:tc>
          <w:tcPr>
            <w:tcW w:w="456" w:type="dxa"/>
          </w:tcPr>
          <w:p>
            <w:pPr>
              <w:pStyle w:val="TableParagraph"/>
              <w:spacing w:line="270" w:lineRule="exact"/>
              <w:ind w:right="108"/>
              <w:jc w:val="center"/>
              <w:rPr>
                <w:sz w:val="24"/>
              </w:rPr>
            </w:pPr>
            <w:r>
              <w:rPr>
                <w:spacing w:val="-10"/>
                <w:sz w:val="24"/>
              </w:rPr>
              <w:t>3</w:t>
            </w:r>
          </w:p>
        </w:tc>
        <w:tc>
          <w:tcPr>
            <w:tcW w:w="4928" w:type="dxa"/>
          </w:tcPr>
          <w:p>
            <w:pPr>
              <w:pStyle w:val="TableParagraph"/>
              <w:spacing w:line="270" w:lineRule="exact"/>
              <w:ind w:left="107"/>
              <w:rPr>
                <w:sz w:val="24"/>
              </w:rPr>
            </w:pPr>
            <w:r>
              <w:rPr>
                <w:sz w:val="24"/>
              </w:rPr>
              <w:t>Большинство</w:t>
            </w:r>
            <w:r>
              <w:rPr>
                <w:spacing w:val="-5"/>
                <w:sz w:val="24"/>
              </w:rPr>
              <w:t> </w:t>
            </w:r>
            <w:r>
              <w:rPr>
                <w:sz w:val="24"/>
              </w:rPr>
              <w:t>моих</w:t>
            </w:r>
            <w:r>
              <w:rPr>
                <w:spacing w:val="-1"/>
                <w:sz w:val="24"/>
              </w:rPr>
              <w:t> </w:t>
            </w:r>
            <w:r>
              <w:rPr>
                <w:sz w:val="24"/>
              </w:rPr>
              <w:t>учителей</w:t>
            </w:r>
            <w:r>
              <w:rPr>
                <w:spacing w:val="-4"/>
                <w:sz w:val="24"/>
              </w:rPr>
              <w:t> </w:t>
            </w:r>
            <w:r>
              <w:rPr>
                <w:sz w:val="24"/>
              </w:rPr>
              <w:t>мне</w:t>
            </w:r>
            <w:r>
              <w:rPr>
                <w:spacing w:val="-5"/>
                <w:sz w:val="24"/>
              </w:rPr>
              <w:t> </w:t>
            </w:r>
            <w:r>
              <w:rPr>
                <w:spacing w:val="-2"/>
                <w:sz w:val="24"/>
              </w:rPr>
              <w:t>нравятся</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r>
        <w:trPr>
          <w:trHeight w:val="518" w:hRule="atLeast"/>
        </w:trPr>
        <w:tc>
          <w:tcPr>
            <w:tcW w:w="456" w:type="dxa"/>
          </w:tcPr>
          <w:p>
            <w:pPr>
              <w:pStyle w:val="TableParagraph"/>
              <w:spacing w:line="270" w:lineRule="exact"/>
              <w:ind w:right="108"/>
              <w:jc w:val="center"/>
              <w:rPr>
                <w:sz w:val="24"/>
              </w:rPr>
            </w:pPr>
            <w:r>
              <w:rPr>
                <w:spacing w:val="-10"/>
                <w:sz w:val="24"/>
              </w:rPr>
              <w:t>4</w:t>
            </w:r>
          </w:p>
        </w:tc>
        <w:tc>
          <w:tcPr>
            <w:tcW w:w="4928" w:type="dxa"/>
          </w:tcPr>
          <w:p>
            <w:pPr>
              <w:pStyle w:val="TableParagraph"/>
              <w:spacing w:line="270" w:lineRule="exact"/>
              <w:ind w:left="107"/>
              <w:rPr>
                <w:sz w:val="24"/>
              </w:rPr>
            </w:pPr>
            <w:r>
              <w:rPr>
                <w:sz w:val="24"/>
              </w:rPr>
              <w:t>Мне</w:t>
            </w:r>
            <w:r>
              <w:rPr>
                <w:spacing w:val="-2"/>
                <w:sz w:val="24"/>
              </w:rPr>
              <w:t> </w:t>
            </w:r>
            <w:r>
              <w:rPr>
                <w:sz w:val="24"/>
              </w:rPr>
              <w:t>кажется,</w:t>
            </w:r>
            <w:r>
              <w:rPr>
                <w:spacing w:val="-1"/>
                <w:sz w:val="24"/>
              </w:rPr>
              <w:t> </w:t>
            </w:r>
            <w:r>
              <w:rPr>
                <w:sz w:val="24"/>
              </w:rPr>
              <w:t>я выгляжу</w:t>
            </w:r>
            <w:r>
              <w:rPr>
                <w:spacing w:val="-5"/>
                <w:sz w:val="24"/>
              </w:rPr>
              <w:t> </w:t>
            </w:r>
            <w:r>
              <w:rPr>
                <w:spacing w:val="-2"/>
                <w:sz w:val="24"/>
              </w:rPr>
              <w:t>хорошо</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r>
        <w:trPr>
          <w:trHeight w:val="515" w:hRule="atLeast"/>
        </w:trPr>
        <w:tc>
          <w:tcPr>
            <w:tcW w:w="456" w:type="dxa"/>
          </w:tcPr>
          <w:p>
            <w:pPr>
              <w:pStyle w:val="TableParagraph"/>
              <w:spacing w:line="270" w:lineRule="exact"/>
              <w:ind w:right="108"/>
              <w:jc w:val="center"/>
              <w:rPr>
                <w:sz w:val="24"/>
              </w:rPr>
            </w:pPr>
            <w:r>
              <w:rPr>
                <w:spacing w:val="-10"/>
                <w:sz w:val="24"/>
              </w:rPr>
              <w:t>5</w:t>
            </w:r>
          </w:p>
        </w:tc>
        <w:tc>
          <w:tcPr>
            <w:tcW w:w="4928" w:type="dxa"/>
          </w:tcPr>
          <w:p>
            <w:pPr>
              <w:pStyle w:val="TableParagraph"/>
              <w:spacing w:line="270" w:lineRule="exact"/>
              <w:ind w:left="107"/>
              <w:rPr>
                <w:sz w:val="24"/>
              </w:rPr>
            </w:pPr>
            <w:r>
              <w:rPr>
                <w:sz w:val="24"/>
              </w:rPr>
              <w:t>Мои</w:t>
            </w:r>
            <w:r>
              <w:rPr>
                <w:spacing w:val="-2"/>
                <w:sz w:val="24"/>
              </w:rPr>
              <w:t> </w:t>
            </w:r>
            <w:r>
              <w:rPr>
                <w:sz w:val="24"/>
              </w:rPr>
              <w:t>друзья</w:t>
            </w:r>
            <w:r>
              <w:rPr>
                <w:spacing w:val="-2"/>
                <w:sz w:val="24"/>
              </w:rPr>
              <w:t> </w:t>
            </w:r>
            <w:r>
              <w:rPr>
                <w:sz w:val="24"/>
              </w:rPr>
              <w:t>относятся</w:t>
            </w:r>
            <w:r>
              <w:rPr>
                <w:spacing w:val="-2"/>
                <w:sz w:val="24"/>
              </w:rPr>
              <w:t> </w:t>
            </w:r>
            <w:r>
              <w:rPr>
                <w:sz w:val="24"/>
              </w:rPr>
              <w:t>ко</w:t>
            </w:r>
            <w:r>
              <w:rPr>
                <w:spacing w:val="-2"/>
                <w:sz w:val="24"/>
              </w:rPr>
              <w:t> </w:t>
            </w:r>
            <w:r>
              <w:rPr>
                <w:sz w:val="24"/>
              </w:rPr>
              <w:t>мне</w:t>
            </w:r>
            <w:r>
              <w:rPr>
                <w:spacing w:val="-3"/>
                <w:sz w:val="24"/>
              </w:rPr>
              <w:t> </w:t>
            </w:r>
            <w:r>
              <w:rPr>
                <w:spacing w:val="-2"/>
                <w:sz w:val="24"/>
              </w:rPr>
              <w:t>хорошо</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r>
        <w:trPr>
          <w:trHeight w:val="834" w:hRule="atLeast"/>
        </w:trPr>
        <w:tc>
          <w:tcPr>
            <w:tcW w:w="456" w:type="dxa"/>
          </w:tcPr>
          <w:p>
            <w:pPr>
              <w:pStyle w:val="TableParagraph"/>
              <w:spacing w:line="273" w:lineRule="exact"/>
              <w:ind w:right="108"/>
              <w:jc w:val="center"/>
              <w:rPr>
                <w:sz w:val="24"/>
              </w:rPr>
            </w:pPr>
            <w:r>
              <w:rPr>
                <w:spacing w:val="-10"/>
                <w:sz w:val="24"/>
              </w:rPr>
              <w:t>6</w:t>
            </w:r>
          </w:p>
        </w:tc>
        <w:tc>
          <w:tcPr>
            <w:tcW w:w="4928" w:type="dxa"/>
          </w:tcPr>
          <w:p>
            <w:pPr>
              <w:pStyle w:val="TableParagraph"/>
              <w:spacing w:line="276" w:lineRule="auto"/>
              <w:ind w:left="107"/>
              <w:rPr>
                <w:sz w:val="24"/>
              </w:rPr>
            </w:pPr>
            <w:r>
              <w:rPr>
                <w:sz w:val="24"/>
              </w:rPr>
              <w:t>Мои</w:t>
            </w:r>
            <w:r>
              <w:rPr>
                <w:spacing w:val="-10"/>
                <w:sz w:val="24"/>
              </w:rPr>
              <w:t> </w:t>
            </w:r>
            <w:r>
              <w:rPr>
                <w:sz w:val="24"/>
              </w:rPr>
              <w:t>родители</w:t>
            </w:r>
            <w:r>
              <w:rPr>
                <w:spacing w:val="-10"/>
                <w:sz w:val="24"/>
              </w:rPr>
              <w:t> </w:t>
            </w:r>
            <w:r>
              <w:rPr>
                <w:sz w:val="24"/>
              </w:rPr>
              <w:t>занимаются</w:t>
            </w:r>
            <w:r>
              <w:rPr>
                <w:spacing w:val="-10"/>
                <w:sz w:val="24"/>
              </w:rPr>
              <w:t> </w:t>
            </w:r>
            <w:r>
              <w:rPr>
                <w:sz w:val="24"/>
              </w:rPr>
              <w:t>со</w:t>
            </w:r>
            <w:r>
              <w:rPr>
                <w:spacing w:val="-10"/>
                <w:sz w:val="24"/>
              </w:rPr>
              <w:t> </w:t>
            </w:r>
            <w:r>
              <w:rPr>
                <w:sz w:val="24"/>
              </w:rPr>
              <w:t>мной интересными вещами</w:t>
            </w:r>
          </w:p>
        </w:tc>
        <w:tc>
          <w:tcPr>
            <w:tcW w:w="792" w:type="dxa"/>
          </w:tcPr>
          <w:p>
            <w:pPr>
              <w:pStyle w:val="TableParagraph"/>
              <w:spacing w:before="155"/>
              <w:ind w:left="105"/>
              <w:rPr>
                <w:sz w:val="24"/>
              </w:rPr>
            </w:pPr>
            <w:r>
              <w:rPr>
                <w:spacing w:val="-10"/>
                <w:sz w:val="24"/>
              </w:rPr>
              <w:t>1</w:t>
            </w:r>
          </w:p>
        </w:tc>
        <w:tc>
          <w:tcPr>
            <w:tcW w:w="792" w:type="dxa"/>
          </w:tcPr>
          <w:p>
            <w:pPr>
              <w:pStyle w:val="TableParagraph"/>
              <w:spacing w:before="155"/>
              <w:ind w:left="105"/>
              <w:rPr>
                <w:sz w:val="24"/>
              </w:rPr>
            </w:pPr>
            <w:r>
              <w:rPr>
                <w:spacing w:val="-10"/>
                <w:sz w:val="24"/>
              </w:rPr>
              <w:t>2</w:t>
            </w:r>
          </w:p>
        </w:tc>
        <w:tc>
          <w:tcPr>
            <w:tcW w:w="793" w:type="dxa"/>
          </w:tcPr>
          <w:p>
            <w:pPr>
              <w:pStyle w:val="TableParagraph"/>
              <w:spacing w:before="155"/>
              <w:ind w:left="107"/>
              <w:rPr>
                <w:sz w:val="24"/>
              </w:rPr>
            </w:pPr>
            <w:r>
              <w:rPr>
                <w:spacing w:val="-10"/>
                <w:sz w:val="24"/>
              </w:rPr>
              <w:t>3</w:t>
            </w:r>
          </w:p>
        </w:tc>
        <w:tc>
          <w:tcPr>
            <w:tcW w:w="795" w:type="dxa"/>
          </w:tcPr>
          <w:p>
            <w:pPr>
              <w:pStyle w:val="TableParagraph"/>
              <w:spacing w:before="155"/>
              <w:ind w:left="107"/>
              <w:rPr>
                <w:sz w:val="24"/>
              </w:rPr>
            </w:pPr>
            <w:r>
              <w:rPr>
                <w:spacing w:val="-10"/>
                <w:sz w:val="24"/>
              </w:rPr>
              <w:t>4</w:t>
            </w:r>
          </w:p>
        </w:tc>
        <w:tc>
          <w:tcPr>
            <w:tcW w:w="793" w:type="dxa"/>
          </w:tcPr>
          <w:p>
            <w:pPr>
              <w:pStyle w:val="TableParagraph"/>
              <w:spacing w:before="155"/>
              <w:ind w:left="106"/>
              <w:rPr>
                <w:sz w:val="24"/>
              </w:rPr>
            </w:pPr>
            <w:r>
              <w:rPr>
                <w:spacing w:val="-10"/>
                <w:sz w:val="24"/>
              </w:rPr>
              <w:t>5</w:t>
            </w:r>
          </w:p>
        </w:tc>
      </w:tr>
      <w:tr>
        <w:trPr>
          <w:trHeight w:val="518" w:hRule="atLeast"/>
        </w:trPr>
        <w:tc>
          <w:tcPr>
            <w:tcW w:w="456" w:type="dxa"/>
          </w:tcPr>
          <w:p>
            <w:pPr>
              <w:pStyle w:val="TableParagraph"/>
              <w:spacing w:line="273" w:lineRule="exact"/>
              <w:ind w:right="108"/>
              <w:jc w:val="center"/>
              <w:rPr>
                <w:sz w:val="24"/>
              </w:rPr>
            </w:pPr>
            <w:r>
              <w:rPr>
                <w:spacing w:val="-10"/>
                <w:sz w:val="24"/>
              </w:rPr>
              <w:t>7</w:t>
            </w:r>
          </w:p>
        </w:tc>
        <w:tc>
          <w:tcPr>
            <w:tcW w:w="4928" w:type="dxa"/>
          </w:tcPr>
          <w:p>
            <w:pPr>
              <w:pStyle w:val="TableParagraph"/>
              <w:spacing w:line="273" w:lineRule="exact"/>
              <w:ind w:left="107"/>
              <w:rPr>
                <w:sz w:val="24"/>
              </w:rPr>
            </w:pPr>
            <w:r>
              <w:rPr>
                <w:sz w:val="24"/>
              </w:rPr>
              <w:t>Мне</w:t>
            </w:r>
            <w:r>
              <w:rPr>
                <w:spacing w:val="-4"/>
                <w:sz w:val="24"/>
              </w:rPr>
              <w:t> </w:t>
            </w:r>
            <w:r>
              <w:rPr>
                <w:sz w:val="24"/>
              </w:rPr>
              <w:t>нравится</w:t>
            </w:r>
            <w:r>
              <w:rPr>
                <w:spacing w:val="-1"/>
                <w:sz w:val="24"/>
              </w:rPr>
              <w:t> </w:t>
            </w:r>
            <w:r>
              <w:rPr>
                <w:sz w:val="24"/>
              </w:rPr>
              <w:t>в</w:t>
            </w:r>
            <w:r>
              <w:rPr>
                <w:spacing w:val="-1"/>
                <w:sz w:val="24"/>
              </w:rPr>
              <w:t> </w:t>
            </w:r>
            <w:r>
              <w:rPr>
                <w:spacing w:val="-2"/>
                <w:sz w:val="24"/>
              </w:rPr>
              <w:t>школе</w:t>
            </w:r>
          </w:p>
        </w:tc>
        <w:tc>
          <w:tcPr>
            <w:tcW w:w="792" w:type="dxa"/>
          </w:tcPr>
          <w:p>
            <w:pPr>
              <w:pStyle w:val="TableParagraph"/>
              <w:spacing w:line="273" w:lineRule="exact"/>
              <w:ind w:left="105"/>
              <w:rPr>
                <w:sz w:val="24"/>
              </w:rPr>
            </w:pPr>
            <w:r>
              <w:rPr>
                <w:spacing w:val="-10"/>
                <w:sz w:val="24"/>
              </w:rPr>
              <w:t>1</w:t>
            </w:r>
          </w:p>
        </w:tc>
        <w:tc>
          <w:tcPr>
            <w:tcW w:w="792" w:type="dxa"/>
          </w:tcPr>
          <w:p>
            <w:pPr>
              <w:pStyle w:val="TableParagraph"/>
              <w:spacing w:line="273" w:lineRule="exact"/>
              <w:ind w:left="105"/>
              <w:rPr>
                <w:sz w:val="24"/>
              </w:rPr>
            </w:pPr>
            <w:r>
              <w:rPr>
                <w:spacing w:val="-10"/>
                <w:sz w:val="24"/>
              </w:rPr>
              <w:t>2</w:t>
            </w:r>
          </w:p>
        </w:tc>
        <w:tc>
          <w:tcPr>
            <w:tcW w:w="793" w:type="dxa"/>
          </w:tcPr>
          <w:p>
            <w:pPr>
              <w:pStyle w:val="TableParagraph"/>
              <w:spacing w:line="273" w:lineRule="exact"/>
              <w:ind w:left="107"/>
              <w:rPr>
                <w:sz w:val="24"/>
              </w:rPr>
            </w:pPr>
            <w:r>
              <w:rPr>
                <w:spacing w:val="-10"/>
                <w:sz w:val="24"/>
              </w:rPr>
              <w:t>3</w:t>
            </w:r>
          </w:p>
        </w:tc>
        <w:tc>
          <w:tcPr>
            <w:tcW w:w="795" w:type="dxa"/>
          </w:tcPr>
          <w:p>
            <w:pPr>
              <w:pStyle w:val="TableParagraph"/>
              <w:spacing w:line="273" w:lineRule="exact"/>
              <w:ind w:left="107"/>
              <w:rPr>
                <w:sz w:val="24"/>
              </w:rPr>
            </w:pPr>
            <w:r>
              <w:rPr>
                <w:spacing w:val="-10"/>
                <w:sz w:val="24"/>
              </w:rPr>
              <w:t>4</w:t>
            </w:r>
          </w:p>
        </w:tc>
        <w:tc>
          <w:tcPr>
            <w:tcW w:w="793" w:type="dxa"/>
          </w:tcPr>
          <w:p>
            <w:pPr>
              <w:pStyle w:val="TableParagraph"/>
              <w:spacing w:line="273" w:lineRule="exact"/>
              <w:ind w:left="106"/>
              <w:rPr>
                <w:sz w:val="24"/>
              </w:rPr>
            </w:pPr>
            <w:r>
              <w:rPr>
                <w:spacing w:val="-10"/>
                <w:sz w:val="24"/>
              </w:rPr>
              <w:t>5</w:t>
            </w:r>
          </w:p>
        </w:tc>
      </w:tr>
      <w:tr>
        <w:trPr>
          <w:trHeight w:val="517" w:hRule="atLeast"/>
        </w:trPr>
        <w:tc>
          <w:tcPr>
            <w:tcW w:w="456" w:type="dxa"/>
          </w:tcPr>
          <w:p>
            <w:pPr>
              <w:pStyle w:val="TableParagraph"/>
              <w:spacing w:line="270" w:lineRule="exact"/>
              <w:ind w:right="108"/>
              <w:jc w:val="center"/>
              <w:rPr>
                <w:sz w:val="24"/>
              </w:rPr>
            </w:pPr>
            <w:r>
              <w:rPr>
                <w:spacing w:val="-10"/>
                <w:sz w:val="24"/>
              </w:rPr>
              <w:t>8</w:t>
            </w:r>
          </w:p>
        </w:tc>
        <w:tc>
          <w:tcPr>
            <w:tcW w:w="4928" w:type="dxa"/>
          </w:tcPr>
          <w:p>
            <w:pPr>
              <w:pStyle w:val="TableParagraph"/>
              <w:spacing w:line="270" w:lineRule="exact"/>
              <w:ind w:left="107"/>
              <w:rPr>
                <w:sz w:val="24"/>
              </w:rPr>
            </w:pPr>
            <w:r>
              <w:rPr>
                <w:sz w:val="24"/>
              </w:rPr>
              <w:t>Я</w:t>
            </w:r>
            <w:r>
              <w:rPr>
                <w:spacing w:val="-2"/>
                <w:sz w:val="24"/>
              </w:rPr>
              <w:t> </w:t>
            </w:r>
            <w:r>
              <w:rPr>
                <w:sz w:val="24"/>
              </w:rPr>
              <w:t>доволен/на</w:t>
            </w:r>
            <w:r>
              <w:rPr>
                <w:spacing w:val="-3"/>
                <w:sz w:val="24"/>
              </w:rPr>
              <w:t> </w:t>
            </w:r>
            <w:r>
              <w:rPr>
                <w:sz w:val="24"/>
              </w:rPr>
              <w:t>своими</w:t>
            </w:r>
            <w:r>
              <w:rPr>
                <w:spacing w:val="2"/>
                <w:sz w:val="24"/>
              </w:rPr>
              <w:t> </w:t>
            </w:r>
            <w:r>
              <w:rPr>
                <w:spacing w:val="-2"/>
                <w:sz w:val="24"/>
              </w:rPr>
              <w:t>учителями</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r>
        <w:trPr>
          <w:trHeight w:val="518" w:hRule="atLeast"/>
        </w:trPr>
        <w:tc>
          <w:tcPr>
            <w:tcW w:w="456" w:type="dxa"/>
          </w:tcPr>
          <w:p>
            <w:pPr>
              <w:pStyle w:val="TableParagraph"/>
              <w:spacing w:line="270" w:lineRule="exact"/>
              <w:ind w:right="108"/>
              <w:jc w:val="center"/>
              <w:rPr>
                <w:sz w:val="24"/>
              </w:rPr>
            </w:pPr>
            <w:r>
              <w:rPr>
                <w:spacing w:val="-10"/>
                <w:sz w:val="24"/>
              </w:rPr>
              <w:t>9</w:t>
            </w:r>
          </w:p>
        </w:tc>
        <w:tc>
          <w:tcPr>
            <w:tcW w:w="4928" w:type="dxa"/>
          </w:tcPr>
          <w:p>
            <w:pPr>
              <w:pStyle w:val="TableParagraph"/>
              <w:spacing w:line="270" w:lineRule="exact"/>
              <w:ind w:left="107"/>
              <w:rPr>
                <w:sz w:val="24"/>
              </w:rPr>
            </w:pPr>
            <w:r>
              <w:rPr>
                <w:sz w:val="24"/>
              </w:rPr>
              <w:t>Другим</w:t>
            </w:r>
            <w:r>
              <w:rPr>
                <w:spacing w:val="-4"/>
                <w:sz w:val="24"/>
              </w:rPr>
              <w:t> </w:t>
            </w:r>
            <w:r>
              <w:rPr>
                <w:sz w:val="24"/>
              </w:rPr>
              <w:t>со</w:t>
            </w:r>
            <w:r>
              <w:rPr>
                <w:spacing w:val="-1"/>
                <w:sz w:val="24"/>
              </w:rPr>
              <w:t> </w:t>
            </w:r>
            <w:r>
              <w:rPr>
                <w:sz w:val="24"/>
              </w:rPr>
              <w:t>мной</w:t>
            </w:r>
            <w:r>
              <w:rPr>
                <w:spacing w:val="-2"/>
                <w:sz w:val="24"/>
              </w:rPr>
              <w:t> интересно</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r>
        <w:trPr>
          <w:trHeight w:val="515" w:hRule="atLeast"/>
        </w:trPr>
        <w:tc>
          <w:tcPr>
            <w:tcW w:w="456" w:type="dxa"/>
          </w:tcPr>
          <w:p>
            <w:pPr>
              <w:pStyle w:val="TableParagraph"/>
              <w:spacing w:line="270" w:lineRule="exact"/>
              <w:ind w:left="9"/>
              <w:jc w:val="center"/>
              <w:rPr>
                <w:sz w:val="24"/>
              </w:rPr>
            </w:pPr>
            <w:r>
              <w:rPr>
                <w:spacing w:val="-5"/>
                <w:sz w:val="24"/>
              </w:rPr>
              <w:t>10</w:t>
            </w:r>
          </w:p>
        </w:tc>
        <w:tc>
          <w:tcPr>
            <w:tcW w:w="4928" w:type="dxa"/>
          </w:tcPr>
          <w:p>
            <w:pPr>
              <w:pStyle w:val="TableParagraph"/>
              <w:spacing w:line="270" w:lineRule="exact"/>
              <w:ind w:left="107"/>
              <w:rPr>
                <w:sz w:val="24"/>
              </w:rPr>
            </w:pPr>
            <w:r>
              <w:rPr>
                <w:sz w:val="24"/>
              </w:rPr>
              <w:t>Друзья</w:t>
            </w:r>
            <w:r>
              <w:rPr>
                <w:spacing w:val="-2"/>
                <w:sz w:val="24"/>
              </w:rPr>
              <w:t> </w:t>
            </w:r>
            <w:r>
              <w:rPr>
                <w:sz w:val="24"/>
              </w:rPr>
              <w:t>хорошо</w:t>
            </w:r>
            <w:r>
              <w:rPr>
                <w:spacing w:val="-1"/>
                <w:sz w:val="24"/>
              </w:rPr>
              <w:t> </w:t>
            </w:r>
            <w:r>
              <w:rPr>
                <w:sz w:val="24"/>
              </w:rPr>
              <w:t>обращаются</w:t>
            </w:r>
            <w:r>
              <w:rPr>
                <w:spacing w:val="-2"/>
                <w:sz w:val="24"/>
              </w:rPr>
              <w:t> </w:t>
            </w:r>
            <w:r>
              <w:rPr>
                <w:sz w:val="24"/>
              </w:rPr>
              <w:t>со</w:t>
            </w:r>
            <w:r>
              <w:rPr>
                <w:spacing w:val="-1"/>
                <w:sz w:val="24"/>
              </w:rPr>
              <w:t> </w:t>
            </w:r>
            <w:r>
              <w:rPr>
                <w:spacing w:val="-4"/>
                <w:sz w:val="24"/>
              </w:rPr>
              <w:t>мной</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r>
        <w:trPr>
          <w:trHeight w:val="518" w:hRule="atLeast"/>
        </w:trPr>
        <w:tc>
          <w:tcPr>
            <w:tcW w:w="456" w:type="dxa"/>
          </w:tcPr>
          <w:p>
            <w:pPr>
              <w:pStyle w:val="TableParagraph"/>
              <w:spacing w:line="270" w:lineRule="exact"/>
              <w:ind w:left="9"/>
              <w:jc w:val="center"/>
              <w:rPr>
                <w:sz w:val="24"/>
              </w:rPr>
            </w:pPr>
            <w:r>
              <w:rPr>
                <w:spacing w:val="-5"/>
                <w:sz w:val="24"/>
              </w:rPr>
              <w:t>11</w:t>
            </w:r>
          </w:p>
        </w:tc>
        <w:tc>
          <w:tcPr>
            <w:tcW w:w="4928" w:type="dxa"/>
          </w:tcPr>
          <w:p>
            <w:pPr>
              <w:pStyle w:val="TableParagraph"/>
              <w:spacing w:line="270" w:lineRule="exact"/>
              <w:ind w:left="107"/>
              <w:rPr>
                <w:sz w:val="24"/>
              </w:rPr>
            </w:pPr>
            <w:r>
              <w:rPr>
                <w:sz w:val="24"/>
              </w:rPr>
              <w:t>Моя</w:t>
            </w:r>
            <w:r>
              <w:rPr>
                <w:spacing w:val="-2"/>
                <w:sz w:val="24"/>
              </w:rPr>
              <w:t> </w:t>
            </w:r>
            <w:r>
              <w:rPr>
                <w:sz w:val="24"/>
              </w:rPr>
              <w:t>семья</w:t>
            </w:r>
            <w:r>
              <w:rPr>
                <w:spacing w:val="-2"/>
                <w:sz w:val="24"/>
              </w:rPr>
              <w:t> </w:t>
            </w:r>
            <w:r>
              <w:rPr>
                <w:sz w:val="24"/>
              </w:rPr>
              <w:t>лучше</w:t>
            </w:r>
            <w:r>
              <w:rPr>
                <w:spacing w:val="-3"/>
                <w:sz w:val="24"/>
              </w:rPr>
              <w:t> </w:t>
            </w:r>
            <w:r>
              <w:rPr>
                <w:sz w:val="24"/>
              </w:rPr>
              <w:t>большинства</w:t>
            </w:r>
            <w:r>
              <w:rPr>
                <w:spacing w:val="-2"/>
                <w:sz w:val="24"/>
              </w:rPr>
              <w:t> других</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r>
        <w:trPr>
          <w:trHeight w:val="517" w:hRule="atLeast"/>
        </w:trPr>
        <w:tc>
          <w:tcPr>
            <w:tcW w:w="456" w:type="dxa"/>
          </w:tcPr>
          <w:p>
            <w:pPr>
              <w:pStyle w:val="TableParagraph"/>
              <w:spacing w:line="270" w:lineRule="exact"/>
              <w:ind w:left="9"/>
              <w:jc w:val="center"/>
              <w:rPr>
                <w:sz w:val="24"/>
              </w:rPr>
            </w:pPr>
            <w:r>
              <w:rPr>
                <w:spacing w:val="-5"/>
                <w:sz w:val="24"/>
              </w:rPr>
              <w:t>12</w:t>
            </w:r>
          </w:p>
        </w:tc>
        <w:tc>
          <w:tcPr>
            <w:tcW w:w="4928" w:type="dxa"/>
          </w:tcPr>
          <w:p>
            <w:pPr>
              <w:pStyle w:val="TableParagraph"/>
              <w:spacing w:line="270" w:lineRule="exact"/>
              <w:ind w:left="107"/>
              <w:rPr>
                <w:sz w:val="24"/>
              </w:rPr>
            </w:pPr>
            <w:r>
              <w:rPr>
                <w:sz w:val="24"/>
              </w:rPr>
              <w:t>В</w:t>
            </w:r>
            <w:r>
              <w:rPr>
                <w:spacing w:val="-2"/>
                <w:sz w:val="24"/>
              </w:rPr>
              <w:t> </w:t>
            </w:r>
            <w:r>
              <w:rPr>
                <w:sz w:val="24"/>
              </w:rPr>
              <w:t>школе</w:t>
            </w:r>
            <w:r>
              <w:rPr>
                <w:spacing w:val="-1"/>
                <w:sz w:val="24"/>
              </w:rPr>
              <w:t> </w:t>
            </w:r>
            <w:r>
              <w:rPr>
                <w:spacing w:val="-2"/>
                <w:sz w:val="24"/>
              </w:rPr>
              <w:t>интересно</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r>
        <w:trPr>
          <w:trHeight w:val="518" w:hRule="atLeast"/>
        </w:trPr>
        <w:tc>
          <w:tcPr>
            <w:tcW w:w="456" w:type="dxa"/>
          </w:tcPr>
          <w:p>
            <w:pPr>
              <w:pStyle w:val="TableParagraph"/>
              <w:spacing w:line="270" w:lineRule="exact"/>
              <w:ind w:left="9"/>
              <w:jc w:val="center"/>
              <w:rPr>
                <w:sz w:val="24"/>
              </w:rPr>
            </w:pPr>
            <w:r>
              <w:rPr>
                <w:spacing w:val="-5"/>
                <w:sz w:val="24"/>
              </w:rPr>
              <w:t>13</w:t>
            </w:r>
          </w:p>
        </w:tc>
        <w:tc>
          <w:tcPr>
            <w:tcW w:w="4928" w:type="dxa"/>
          </w:tcPr>
          <w:p>
            <w:pPr>
              <w:pStyle w:val="TableParagraph"/>
              <w:spacing w:line="270" w:lineRule="exact"/>
              <w:ind w:left="107"/>
              <w:rPr>
                <w:sz w:val="24"/>
              </w:rPr>
            </w:pPr>
            <w:r>
              <w:rPr>
                <w:sz w:val="24"/>
              </w:rPr>
              <w:t>Я</w:t>
            </w:r>
            <w:r>
              <w:rPr>
                <w:spacing w:val="-3"/>
                <w:sz w:val="24"/>
              </w:rPr>
              <w:t> </w:t>
            </w:r>
            <w:r>
              <w:rPr>
                <w:sz w:val="24"/>
              </w:rPr>
              <w:t>люблю</w:t>
            </w:r>
            <w:r>
              <w:rPr>
                <w:spacing w:val="-3"/>
                <w:sz w:val="24"/>
              </w:rPr>
              <w:t> </w:t>
            </w:r>
            <w:r>
              <w:rPr>
                <w:sz w:val="24"/>
              </w:rPr>
              <w:t>слушать</w:t>
            </w:r>
            <w:r>
              <w:rPr>
                <w:spacing w:val="-2"/>
                <w:sz w:val="24"/>
              </w:rPr>
              <w:t> </w:t>
            </w:r>
            <w:r>
              <w:rPr>
                <w:sz w:val="24"/>
              </w:rPr>
              <w:t>моих</w:t>
            </w:r>
            <w:r>
              <w:rPr>
                <w:spacing w:val="-1"/>
                <w:sz w:val="24"/>
              </w:rPr>
              <w:t> </w:t>
            </w:r>
            <w:r>
              <w:rPr>
                <w:spacing w:val="-2"/>
                <w:sz w:val="24"/>
              </w:rPr>
              <w:t>учителей</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r>
        <w:trPr>
          <w:trHeight w:val="515" w:hRule="atLeast"/>
        </w:trPr>
        <w:tc>
          <w:tcPr>
            <w:tcW w:w="456" w:type="dxa"/>
          </w:tcPr>
          <w:p>
            <w:pPr>
              <w:pStyle w:val="TableParagraph"/>
              <w:spacing w:line="270" w:lineRule="exact"/>
              <w:ind w:left="9"/>
              <w:jc w:val="center"/>
              <w:rPr>
                <w:sz w:val="24"/>
              </w:rPr>
            </w:pPr>
            <w:r>
              <w:rPr>
                <w:spacing w:val="-5"/>
                <w:sz w:val="24"/>
              </w:rPr>
              <w:t>14</w:t>
            </w:r>
          </w:p>
        </w:tc>
        <w:tc>
          <w:tcPr>
            <w:tcW w:w="4928" w:type="dxa"/>
          </w:tcPr>
          <w:p>
            <w:pPr>
              <w:pStyle w:val="TableParagraph"/>
              <w:spacing w:line="270" w:lineRule="exact"/>
              <w:ind w:left="107"/>
              <w:rPr>
                <w:sz w:val="24"/>
              </w:rPr>
            </w:pPr>
            <w:r>
              <w:rPr>
                <w:sz w:val="24"/>
              </w:rPr>
              <w:t>Я</w:t>
            </w:r>
            <w:r>
              <w:rPr>
                <w:spacing w:val="-3"/>
                <w:sz w:val="24"/>
              </w:rPr>
              <w:t> </w:t>
            </w:r>
            <w:r>
              <w:rPr>
                <w:sz w:val="24"/>
              </w:rPr>
              <w:t>приятный</w:t>
            </w:r>
            <w:r>
              <w:rPr>
                <w:spacing w:val="-2"/>
                <w:sz w:val="24"/>
              </w:rPr>
              <w:t> человек</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r>
        <w:trPr>
          <w:trHeight w:val="518" w:hRule="atLeast"/>
        </w:trPr>
        <w:tc>
          <w:tcPr>
            <w:tcW w:w="456" w:type="dxa"/>
          </w:tcPr>
          <w:p>
            <w:pPr>
              <w:pStyle w:val="TableParagraph"/>
              <w:spacing w:line="270" w:lineRule="exact"/>
              <w:ind w:left="9"/>
              <w:jc w:val="center"/>
              <w:rPr>
                <w:sz w:val="24"/>
              </w:rPr>
            </w:pPr>
            <w:r>
              <w:rPr>
                <w:spacing w:val="-5"/>
                <w:sz w:val="24"/>
              </w:rPr>
              <w:t>15</w:t>
            </w:r>
          </w:p>
        </w:tc>
        <w:tc>
          <w:tcPr>
            <w:tcW w:w="4928" w:type="dxa"/>
          </w:tcPr>
          <w:p>
            <w:pPr>
              <w:pStyle w:val="TableParagraph"/>
              <w:spacing w:line="270" w:lineRule="exact"/>
              <w:ind w:left="107"/>
              <w:rPr>
                <w:sz w:val="24"/>
              </w:rPr>
            </w:pPr>
            <w:r>
              <w:rPr>
                <w:sz w:val="24"/>
              </w:rPr>
              <w:t>У</w:t>
            </w:r>
            <w:r>
              <w:rPr>
                <w:spacing w:val="-2"/>
                <w:sz w:val="24"/>
              </w:rPr>
              <w:t> </w:t>
            </w:r>
            <w:r>
              <w:rPr>
                <w:sz w:val="24"/>
              </w:rPr>
              <w:t>меня</w:t>
            </w:r>
            <w:r>
              <w:rPr>
                <w:spacing w:val="-1"/>
                <w:sz w:val="24"/>
              </w:rPr>
              <w:t> </w:t>
            </w:r>
            <w:r>
              <w:rPr>
                <w:sz w:val="24"/>
              </w:rPr>
              <w:t>хорошие</w:t>
            </w:r>
            <w:r>
              <w:rPr>
                <w:spacing w:val="-2"/>
                <w:sz w:val="24"/>
              </w:rPr>
              <w:t> друзья</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r>
        <w:trPr>
          <w:trHeight w:val="834" w:hRule="atLeast"/>
        </w:trPr>
        <w:tc>
          <w:tcPr>
            <w:tcW w:w="456" w:type="dxa"/>
          </w:tcPr>
          <w:p>
            <w:pPr>
              <w:pStyle w:val="TableParagraph"/>
              <w:spacing w:line="270" w:lineRule="exact"/>
              <w:ind w:left="9"/>
              <w:jc w:val="center"/>
              <w:rPr>
                <w:sz w:val="24"/>
              </w:rPr>
            </w:pPr>
            <w:r>
              <w:rPr>
                <w:spacing w:val="-5"/>
                <w:sz w:val="24"/>
              </w:rPr>
              <w:t>16</w:t>
            </w:r>
          </w:p>
        </w:tc>
        <w:tc>
          <w:tcPr>
            <w:tcW w:w="4928" w:type="dxa"/>
          </w:tcPr>
          <w:p>
            <w:pPr>
              <w:pStyle w:val="TableParagraph"/>
              <w:spacing w:line="276" w:lineRule="auto"/>
              <w:ind w:left="107" w:right="180"/>
              <w:rPr>
                <w:sz w:val="24"/>
              </w:rPr>
            </w:pPr>
            <w:r>
              <w:rPr>
                <w:sz w:val="24"/>
              </w:rPr>
              <w:t>Члены</w:t>
            </w:r>
            <w:r>
              <w:rPr>
                <w:spacing w:val="-9"/>
                <w:sz w:val="24"/>
              </w:rPr>
              <w:t> </w:t>
            </w:r>
            <w:r>
              <w:rPr>
                <w:sz w:val="24"/>
              </w:rPr>
              <w:t>моей</w:t>
            </w:r>
            <w:r>
              <w:rPr>
                <w:spacing w:val="-8"/>
                <w:sz w:val="24"/>
              </w:rPr>
              <w:t> </w:t>
            </w:r>
            <w:r>
              <w:rPr>
                <w:sz w:val="24"/>
              </w:rPr>
              <w:t>семьи</w:t>
            </w:r>
            <w:r>
              <w:rPr>
                <w:spacing w:val="-9"/>
                <w:sz w:val="24"/>
              </w:rPr>
              <w:t> </w:t>
            </w:r>
            <w:r>
              <w:rPr>
                <w:sz w:val="24"/>
              </w:rPr>
              <w:t>хорошо</w:t>
            </w:r>
            <w:r>
              <w:rPr>
                <w:spacing w:val="-9"/>
                <w:sz w:val="24"/>
              </w:rPr>
              <w:t> </w:t>
            </w:r>
            <w:r>
              <w:rPr>
                <w:sz w:val="24"/>
              </w:rPr>
              <w:t>обращаются</w:t>
            </w:r>
            <w:r>
              <w:rPr>
                <w:spacing w:val="-9"/>
                <w:sz w:val="24"/>
              </w:rPr>
              <w:t> </w:t>
            </w:r>
            <w:r>
              <w:rPr>
                <w:sz w:val="24"/>
              </w:rPr>
              <w:t>друг с другом</w:t>
            </w:r>
          </w:p>
        </w:tc>
        <w:tc>
          <w:tcPr>
            <w:tcW w:w="792" w:type="dxa"/>
          </w:tcPr>
          <w:p>
            <w:pPr>
              <w:pStyle w:val="TableParagraph"/>
              <w:spacing w:before="152"/>
              <w:ind w:left="105"/>
              <w:rPr>
                <w:sz w:val="24"/>
              </w:rPr>
            </w:pPr>
            <w:r>
              <w:rPr>
                <w:spacing w:val="-10"/>
                <w:sz w:val="24"/>
              </w:rPr>
              <w:t>1</w:t>
            </w:r>
          </w:p>
        </w:tc>
        <w:tc>
          <w:tcPr>
            <w:tcW w:w="792" w:type="dxa"/>
          </w:tcPr>
          <w:p>
            <w:pPr>
              <w:pStyle w:val="TableParagraph"/>
              <w:spacing w:before="152"/>
              <w:ind w:left="105"/>
              <w:rPr>
                <w:sz w:val="24"/>
              </w:rPr>
            </w:pPr>
            <w:r>
              <w:rPr>
                <w:spacing w:val="-10"/>
                <w:sz w:val="24"/>
              </w:rPr>
              <w:t>2</w:t>
            </w:r>
          </w:p>
        </w:tc>
        <w:tc>
          <w:tcPr>
            <w:tcW w:w="793" w:type="dxa"/>
          </w:tcPr>
          <w:p>
            <w:pPr>
              <w:pStyle w:val="TableParagraph"/>
              <w:spacing w:before="152"/>
              <w:ind w:left="107"/>
              <w:rPr>
                <w:sz w:val="24"/>
              </w:rPr>
            </w:pPr>
            <w:r>
              <w:rPr>
                <w:spacing w:val="-10"/>
                <w:sz w:val="24"/>
              </w:rPr>
              <w:t>3</w:t>
            </w:r>
          </w:p>
        </w:tc>
        <w:tc>
          <w:tcPr>
            <w:tcW w:w="795" w:type="dxa"/>
          </w:tcPr>
          <w:p>
            <w:pPr>
              <w:pStyle w:val="TableParagraph"/>
              <w:spacing w:before="152"/>
              <w:ind w:left="107"/>
              <w:rPr>
                <w:sz w:val="24"/>
              </w:rPr>
            </w:pPr>
            <w:r>
              <w:rPr>
                <w:spacing w:val="-10"/>
                <w:sz w:val="24"/>
              </w:rPr>
              <w:t>4</w:t>
            </w:r>
          </w:p>
        </w:tc>
        <w:tc>
          <w:tcPr>
            <w:tcW w:w="793" w:type="dxa"/>
          </w:tcPr>
          <w:p>
            <w:pPr>
              <w:pStyle w:val="TableParagraph"/>
              <w:spacing w:before="152"/>
              <w:ind w:left="106"/>
              <w:rPr>
                <w:sz w:val="24"/>
              </w:rPr>
            </w:pPr>
            <w:r>
              <w:rPr>
                <w:spacing w:val="-10"/>
                <w:sz w:val="24"/>
              </w:rPr>
              <w:t>5</w:t>
            </w:r>
          </w:p>
        </w:tc>
      </w:tr>
      <w:tr>
        <w:trPr>
          <w:trHeight w:val="834" w:hRule="atLeast"/>
        </w:trPr>
        <w:tc>
          <w:tcPr>
            <w:tcW w:w="456" w:type="dxa"/>
          </w:tcPr>
          <w:p>
            <w:pPr>
              <w:pStyle w:val="TableParagraph"/>
              <w:spacing w:line="270" w:lineRule="exact"/>
              <w:ind w:left="9"/>
              <w:jc w:val="center"/>
              <w:rPr>
                <w:sz w:val="24"/>
              </w:rPr>
            </w:pPr>
            <w:r>
              <w:rPr>
                <w:spacing w:val="-5"/>
                <w:sz w:val="24"/>
              </w:rPr>
              <w:t>17</w:t>
            </w:r>
          </w:p>
        </w:tc>
        <w:tc>
          <w:tcPr>
            <w:tcW w:w="4928" w:type="dxa"/>
          </w:tcPr>
          <w:p>
            <w:pPr>
              <w:pStyle w:val="TableParagraph"/>
              <w:spacing w:line="276" w:lineRule="auto"/>
              <w:ind w:left="107"/>
              <w:rPr>
                <w:sz w:val="24"/>
              </w:rPr>
            </w:pPr>
            <w:r>
              <w:rPr>
                <w:sz w:val="24"/>
              </w:rPr>
              <w:t>Я</w:t>
            </w:r>
            <w:r>
              <w:rPr>
                <w:spacing w:val="-5"/>
                <w:sz w:val="24"/>
              </w:rPr>
              <w:t> </w:t>
            </w:r>
            <w:r>
              <w:rPr>
                <w:sz w:val="24"/>
              </w:rPr>
              <w:t>бы</w:t>
            </w:r>
            <w:r>
              <w:rPr>
                <w:spacing w:val="-5"/>
                <w:sz w:val="24"/>
              </w:rPr>
              <w:t> </w:t>
            </w:r>
            <w:r>
              <w:rPr>
                <w:sz w:val="24"/>
              </w:rPr>
              <w:t>хотел/а,</w:t>
            </w:r>
            <w:r>
              <w:rPr>
                <w:spacing w:val="-5"/>
                <w:sz w:val="24"/>
              </w:rPr>
              <w:t> </w:t>
            </w:r>
            <w:r>
              <w:rPr>
                <w:sz w:val="24"/>
              </w:rPr>
              <w:t>чтобы</w:t>
            </w:r>
            <w:r>
              <w:rPr>
                <w:spacing w:val="-5"/>
                <w:sz w:val="24"/>
              </w:rPr>
              <w:t> </w:t>
            </w:r>
            <w:r>
              <w:rPr>
                <w:sz w:val="24"/>
              </w:rPr>
              <w:t>можно</w:t>
            </w:r>
            <w:r>
              <w:rPr>
                <w:spacing w:val="-5"/>
                <w:sz w:val="24"/>
              </w:rPr>
              <w:t> </w:t>
            </w:r>
            <w:r>
              <w:rPr>
                <w:sz w:val="24"/>
              </w:rPr>
              <w:t>было</w:t>
            </w:r>
            <w:r>
              <w:rPr>
                <w:spacing w:val="-5"/>
                <w:sz w:val="24"/>
              </w:rPr>
              <w:t> </w:t>
            </w:r>
            <w:r>
              <w:rPr>
                <w:sz w:val="24"/>
              </w:rPr>
              <w:t>не</w:t>
            </w:r>
            <w:r>
              <w:rPr>
                <w:spacing w:val="-6"/>
                <w:sz w:val="24"/>
              </w:rPr>
              <w:t> </w:t>
            </w:r>
            <w:r>
              <w:rPr>
                <w:sz w:val="24"/>
              </w:rPr>
              <w:t>ходить</w:t>
            </w:r>
            <w:r>
              <w:rPr>
                <w:spacing w:val="-5"/>
                <w:sz w:val="24"/>
              </w:rPr>
              <w:t> </w:t>
            </w:r>
            <w:r>
              <w:rPr>
                <w:sz w:val="24"/>
              </w:rPr>
              <w:t>в </w:t>
            </w:r>
            <w:r>
              <w:rPr>
                <w:spacing w:val="-2"/>
                <w:sz w:val="24"/>
              </w:rPr>
              <w:t>школу</w:t>
            </w:r>
          </w:p>
        </w:tc>
        <w:tc>
          <w:tcPr>
            <w:tcW w:w="792" w:type="dxa"/>
          </w:tcPr>
          <w:p>
            <w:pPr>
              <w:pStyle w:val="TableParagraph"/>
              <w:spacing w:before="152"/>
              <w:ind w:left="105"/>
              <w:rPr>
                <w:sz w:val="24"/>
              </w:rPr>
            </w:pPr>
            <w:r>
              <w:rPr>
                <w:spacing w:val="-10"/>
                <w:sz w:val="24"/>
              </w:rPr>
              <w:t>1</w:t>
            </w:r>
          </w:p>
        </w:tc>
        <w:tc>
          <w:tcPr>
            <w:tcW w:w="792" w:type="dxa"/>
          </w:tcPr>
          <w:p>
            <w:pPr>
              <w:pStyle w:val="TableParagraph"/>
              <w:spacing w:before="152"/>
              <w:ind w:left="105"/>
              <w:rPr>
                <w:sz w:val="24"/>
              </w:rPr>
            </w:pPr>
            <w:r>
              <w:rPr>
                <w:spacing w:val="-10"/>
                <w:sz w:val="24"/>
              </w:rPr>
              <w:t>2</w:t>
            </w:r>
          </w:p>
        </w:tc>
        <w:tc>
          <w:tcPr>
            <w:tcW w:w="793" w:type="dxa"/>
          </w:tcPr>
          <w:p>
            <w:pPr>
              <w:pStyle w:val="TableParagraph"/>
              <w:spacing w:before="152"/>
              <w:ind w:left="107"/>
              <w:rPr>
                <w:sz w:val="24"/>
              </w:rPr>
            </w:pPr>
            <w:r>
              <w:rPr>
                <w:spacing w:val="-10"/>
                <w:sz w:val="24"/>
              </w:rPr>
              <w:t>3</w:t>
            </w:r>
          </w:p>
        </w:tc>
        <w:tc>
          <w:tcPr>
            <w:tcW w:w="795" w:type="dxa"/>
          </w:tcPr>
          <w:p>
            <w:pPr>
              <w:pStyle w:val="TableParagraph"/>
              <w:spacing w:before="152"/>
              <w:ind w:left="107"/>
              <w:rPr>
                <w:sz w:val="24"/>
              </w:rPr>
            </w:pPr>
            <w:r>
              <w:rPr>
                <w:spacing w:val="-10"/>
                <w:sz w:val="24"/>
              </w:rPr>
              <w:t>4</w:t>
            </w:r>
          </w:p>
        </w:tc>
        <w:tc>
          <w:tcPr>
            <w:tcW w:w="793" w:type="dxa"/>
          </w:tcPr>
          <w:p>
            <w:pPr>
              <w:pStyle w:val="TableParagraph"/>
              <w:spacing w:before="152"/>
              <w:ind w:left="106"/>
              <w:rPr>
                <w:sz w:val="24"/>
              </w:rPr>
            </w:pPr>
            <w:r>
              <w:rPr>
                <w:spacing w:val="-10"/>
                <w:sz w:val="24"/>
              </w:rPr>
              <w:t>5</w:t>
            </w:r>
          </w:p>
        </w:tc>
      </w:tr>
      <w:tr>
        <w:trPr>
          <w:trHeight w:val="518" w:hRule="atLeast"/>
        </w:trPr>
        <w:tc>
          <w:tcPr>
            <w:tcW w:w="456" w:type="dxa"/>
          </w:tcPr>
          <w:p>
            <w:pPr>
              <w:pStyle w:val="TableParagraph"/>
              <w:spacing w:line="271" w:lineRule="exact"/>
              <w:ind w:left="9"/>
              <w:jc w:val="center"/>
              <w:rPr>
                <w:sz w:val="24"/>
              </w:rPr>
            </w:pPr>
            <w:r>
              <w:rPr>
                <w:spacing w:val="-5"/>
                <w:sz w:val="24"/>
              </w:rPr>
              <w:t>18</w:t>
            </w:r>
          </w:p>
        </w:tc>
        <w:tc>
          <w:tcPr>
            <w:tcW w:w="4928" w:type="dxa"/>
          </w:tcPr>
          <w:p>
            <w:pPr>
              <w:pStyle w:val="TableParagraph"/>
              <w:spacing w:line="271" w:lineRule="exact"/>
              <w:ind w:left="107"/>
              <w:rPr>
                <w:sz w:val="24"/>
              </w:rPr>
            </w:pPr>
            <w:r>
              <w:rPr>
                <w:sz w:val="24"/>
              </w:rPr>
              <w:t>Некоторые</w:t>
            </w:r>
            <w:r>
              <w:rPr>
                <w:spacing w:val="-6"/>
                <w:sz w:val="24"/>
              </w:rPr>
              <w:t> </w:t>
            </w:r>
            <w:r>
              <w:rPr>
                <w:sz w:val="24"/>
              </w:rPr>
              <w:t>мои</w:t>
            </w:r>
            <w:r>
              <w:rPr>
                <w:spacing w:val="1"/>
                <w:sz w:val="24"/>
              </w:rPr>
              <w:t> </w:t>
            </w:r>
            <w:r>
              <w:rPr>
                <w:sz w:val="24"/>
              </w:rPr>
              <w:t>учителя</w:t>
            </w:r>
            <w:r>
              <w:rPr>
                <w:spacing w:val="-1"/>
                <w:sz w:val="24"/>
              </w:rPr>
              <w:t> </w:t>
            </w:r>
            <w:r>
              <w:rPr>
                <w:sz w:val="24"/>
              </w:rPr>
              <w:t>—</w:t>
            </w:r>
            <w:r>
              <w:rPr>
                <w:spacing w:val="-2"/>
                <w:sz w:val="24"/>
              </w:rPr>
              <w:t> </w:t>
            </w:r>
            <w:r>
              <w:rPr>
                <w:sz w:val="24"/>
              </w:rPr>
              <w:t>интересные</w:t>
            </w:r>
            <w:r>
              <w:rPr>
                <w:spacing w:val="-4"/>
                <w:sz w:val="24"/>
              </w:rPr>
              <w:t> люди</w:t>
            </w:r>
          </w:p>
        </w:tc>
        <w:tc>
          <w:tcPr>
            <w:tcW w:w="792" w:type="dxa"/>
          </w:tcPr>
          <w:p>
            <w:pPr>
              <w:pStyle w:val="TableParagraph"/>
              <w:spacing w:line="271" w:lineRule="exact"/>
              <w:ind w:left="105"/>
              <w:rPr>
                <w:sz w:val="24"/>
              </w:rPr>
            </w:pPr>
            <w:r>
              <w:rPr>
                <w:spacing w:val="-10"/>
                <w:sz w:val="24"/>
              </w:rPr>
              <w:t>1</w:t>
            </w:r>
          </w:p>
        </w:tc>
        <w:tc>
          <w:tcPr>
            <w:tcW w:w="792" w:type="dxa"/>
          </w:tcPr>
          <w:p>
            <w:pPr>
              <w:pStyle w:val="TableParagraph"/>
              <w:spacing w:line="271" w:lineRule="exact"/>
              <w:ind w:left="105"/>
              <w:rPr>
                <w:sz w:val="24"/>
              </w:rPr>
            </w:pPr>
            <w:r>
              <w:rPr>
                <w:spacing w:val="-10"/>
                <w:sz w:val="24"/>
              </w:rPr>
              <w:t>2</w:t>
            </w:r>
          </w:p>
        </w:tc>
        <w:tc>
          <w:tcPr>
            <w:tcW w:w="793" w:type="dxa"/>
          </w:tcPr>
          <w:p>
            <w:pPr>
              <w:pStyle w:val="TableParagraph"/>
              <w:spacing w:line="271" w:lineRule="exact"/>
              <w:ind w:left="107"/>
              <w:rPr>
                <w:sz w:val="24"/>
              </w:rPr>
            </w:pPr>
            <w:r>
              <w:rPr>
                <w:spacing w:val="-10"/>
                <w:sz w:val="24"/>
              </w:rPr>
              <w:t>3</w:t>
            </w:r>
          </w:p>
        </w:tc>
        <w:tc>
          <w:tcPr>
            <w:tcW w:w="795" w:type="dxa"/>
          </w:tcPr>
          <w:p>
            <w:pPr>
              <w:pStyle w:val="TableParagraph"/>
              <w:spacing w:line="271" w:lineRule="exact"/>
              <w:ind w:left="107"/>
              <w:rPr>
                <w:sz w:val="24"/>
              </w:rPr>
            </w:pPr>
            <w:r>
              <w:rPr>
                <w:spacing w:val="-10"/>
                <w:sz w:val="24"/>
              </w:rPr>
              <w:t>4</w:t>
            </w:r>
          </w:p>
        </w:tc>
        <w:tc>
          <w:tcPr>
            <w:tcW w:w="793" w:type="dxa"/>
          </w:tcPr>
          <w:p>
            <w:pPr>
              <w:pStyle w:val="TableParagraph"/>
              <w:spacing w:line="271" w:lineRule="exact"/>
              <w:ind w:left="106"/>
              <w:rPr>
                <w:sz w:val="24"/>
              </w:rPr>
            </w:pPr>
            <w:r>
              <w:rPr>
                <w:spacing w:val="-10"/>
                <w:sz w:val="24"/>
              </w:rPr>
              <w:t>5</w:t>
            </w:r>
          </w:p>
        </w:tc>
      </w:tr>
      <w:tr>
        <w:trPr>
          <w:trHeight w:val="517" w:hRule="atLeast"/>
        </w:trPr>
        <w:tc>
          <w:tcPr>
            <w:tcW w:w="456" w:type="dxa"/>
          </w:tcPr>
          <w:p>
            <w:pPr>
              <w:pStyle w:val="TableParagraph"/>
              <w:spacing w:line="270" w:lineRule="exact"/>
              <w:ind w:left="9"/>
              <w:jc w:val="center"/>
              <w:rPr>
                <w:sz w:val="24"/>
              </w:rPr>
            </w:pPr>
            <w:r>
              <w:rPr>
                <w:spacing w:val="-5"/>
                <w:sz w:val="24"/>
              </w:rPr>
              <w:t>19</w:t>
            </w:r>
          </w:p>
        </w:tc>
        <w:tc>
          <w:tcPr>
            <w:tcW w:w="4928" w:type="dxa"/>
          </w:tcPr>
          <w:p>
            <w:pPr>
              <w:pStyle w:val="TableParagraph"/>
              <w:spacing w:line="270" w:lineRule="exact"/>
              <w:ind w:left="107"/>
              <w:rPr>
                <w:sz w:val="24"/>
              </w:rPr>
            </w:pPr>
            <w:r>
              <w:rPr>
                <w:sz w:val="24"/>
              </w:rPr>
              <w:t>Большинству</w:t>
            </w:r>
            <w:r>
              <w:rPr>
                <w:spacing w:val="-13"/>
                <w:sz w:val="24"/>
              </w:rPr>
              <w:t> </w:t>
            </w:r>
            <w:r>
              <w:rPr>
                <w:sz w:val="24"/>
              </w:rPr>
              <w:t>людей</w:t>
            </w:r>
            <w:r>
              <w:rPr>
                <w:spacing w:val="-2"/>
                <w:sz w:val="24"/>
              </w:rPr>
              <w:t> </w:t>
            </w:r>
            <w:r>
              <w:rPr>
                <w:sz w:val="24"/>
              </w:rPr>
              <w:t>я</w:t>
            </w:r>
            <w:r>
              <w:rPr>
                <w:spacing w:val="-2"/>
                <w:sz w:val="24"/>
              </w:rPr>
              <w:t> нравлюсь</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bl>
    <w:p>
      <w:pPr>
        <w:pStyle w:val="TableParagraph"/>
        <w:spacing w:after="0" w:line="270" w:lineRule="exact"/>
        <w:rPr>
          <w:sz w:val="24"/>
        </w:rPr>
        <w:sectPr>
          <w:pgSz w:w="11910" w:h="16840"/>
          <w:pgMar w:header="0" w:footer="970" w:top="1040" w:bottom="1379" w:left="1417" w:right="283"/>
        </w:sect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6"/>
        <w:gridCol w:w="4928"/>
        <w:gridCol w:w="792"/>
        <w:gridCol w:w="792"/>
        <w:gridCol w:w="793"/>
        <w:gridCol w:w="795"/>
        <w:gridCol w:w="793"/>
      </w:tblGrid>
      <w:tr>
        <w:trPr>
          <w:trHeight w:val="518" w:hRule="atLeast"/>
        </w:trPr>
        <w:tc>
          <w:tcPr>
            <w:tcW w:w="456" w:type="dxa"/>
          </w:tcPr>
          <w:p>
            <w:pPr>
              <w:pStyle w:val="TableParagraph"/>
              <w:spacing w:line="273" w:lineRule="exact"/>
              <w:ind w:left="9"/>
              <w:jc w:val="center"/>
              <w:rPr>
                <w:sz w:val="24"/>
              </w:rPr>
            </w:pPr>
            <w:r>
              <w:rPr>
                <w:spacing w:val="-5"/>
                <w:sz w:val="24"/>
              </w:rPr>
              <w:t>20</w:t>
            </w:r>
          </w:p>
        </w:tc>
        <w:tc>
          <w:tcPr>
            <w:tcW w:w="4928" w:type="dxa"/>
          </w:tcPr>
          <w:p>
            <w:pPr>
              <w:pStyle w:val="TableParagraph"/>
              <w:spacing w:line="273" w:lineRule="exact"/>
              <w:ind w:left="107"/>
              <w:rPr>
                <w:sz w:val="24"/>
              </w:rPr>
            </w:pPr>
            <w:r>
              <w:rPr>
                <w:sz w:val="24"/>
              </w:rPr>
              <w:t>Мне</w:t>
            </w:r>
            <w:r>
              <w:rPr>
                <w:spacing w:val="-4"/>
                <w:sz w:val="24"/>
              </w:rPr>
              <w:t> </w:t>
            </w:r>
            <w:r>
              <w:rPr>
                <w:sz w:val="24"/>
              </w:rPr>
              <w:t>нравится</w:t>
            </w:r>
            <w:r>
              <w:rPr>
                <w:spacing w:val="-3"/>
                <w:sz w:val="24"/>
              </w:rPr>
              <w:t> </w:t>
            </w:r>
            <w:r>
              <w:rPr>
                <w:sz w:val="24"/>
              </w:rPr>
              <w:t>проводить</w:t>
            </w:r>
            <w:r>
              <w:rPr>
                <w:spacing w:val="-3"/>
                <w:sz w:val="24"/>
              </w:rPr>
              <w:t> </w:t>
            </w:r>
            <w:r>
              <w:rPr>
                <w:sz w:val="24"/>
              </w:rPr>
              <w:t>время</w:t>
            </w:r>
            <w:r>
              <w:rPr>
                <w:spacing w:val="-3"/>
                <w:sz w:val="24"/>
              </w:rPr>
              <w:t> </w:t>
            </w:r>
            <w:r>
              <w:rPr>
                <w:sz w:val="24"/>
              </w:rPr>
              <w:t>с</w:t>
            </w:r>
            <w:r>
              <w:rPr>
                <w:spacing w:val="-3"/>
                <w:sz w:val="24"/>
              </w:rPr>
              <w:t> </w:t>
            </w:r>
            <w:r>
              <w:rPr>
                <w:spacing w:val="-2"/>
                <w:sz w:val="24"/>
              </w:rPr>
              <w:t>друзьями</w:t>
            </w:r>
          </w:p>
        </w:tc>
        <w:tc>
          <w:tcPr>
            <w:tcW w:w="792" w:type="dxa"/>
          </w:tcPr>
          <w:p>
            <w:pPr>
              <w:pStyle w:val="TableParagraph"/>
              <w:spacing w:line="273" w:lineRule="exact"/>
              <w:ind w:left="105"/>
              <w:rPr>
                <w:sz w:val="24"/>
              </w:rPr>
            </w:pPr>
            <w:r>
              <w:rPr>
                <w:spacing w:val="-10"/>
                <w:sz w:val="24"/>
              </w:rPr>
              <w:t>1</w:t>
            </w:r>
          </w:p>
        </w:tc>
        <w:tc>
          <w:tcPr>
            <w:tcW w:w="792" w:type="dxa"/>
          </w:tcPr>
          <w:p>
            <w:pPr>
              <w:pStyle w:val="TableParagraph"/>
              <w:spacing w:line="273" w:lineRule="exact"/>
              <w:ind w:left="105"/>
              <w:rPr>
                <w:sz w:val="24"/>
              </w:rPr>
            </w:pPr>
            <w:r>
              <w:rPr>
                <w:spacing w:val="-10"/>
                <w:sz w:val="24"/>
              </w:rPr>
              <w:t>2</w:t>
            </w:r>
          </w:p>
        </w:tc>
        <w:tc>
          <w:tcPr>
            <w:tcW w:w="793" w:type="dxa"/>
          </w:tcPr>
          <w:p>
            <w:pPr>
              <w:pStyle w:val="TableParagraph"/>
              <w:spacing w:line="273" w:lineRule="exact"/>
              <w:ind w:left="107"/>
              <w:rPr>
                <w:sz w:val="24"/>
              </w:rPr>
            </w:pPr>
            <w:r>
              <w:rPr>
                <w:spacing w:val="-10"/>
                <w:sz w:val="24"/>
              </w:rPr>
              <w:t>3</w:t>
            </w:r>
          </w:p>
        </w:tc>
        <w:tc>
          <w:tcPr>
            <w:tcW w:w="795" w:type="dxa"/>
          </w:tcPr>
          <w:p>
            <w:pPr>
              <w:pStyle w:val="TableParagraph"/>
              <w:spacing w:line="273" w:lineRule="exact"/>
              <w:ind w:left="107"/>
              <w:rPr>
                <w:sz w:val="24"/>
              </w:rPr>
            </w:pPr>
            <w:r>
              <w:rPr>
                <w:spacing w:val="-10"/>
                <w:sz w:val="24"/>
              </w:rPr>
              <w:t>4</w:t>
            </w:r>
          </w:p>
        </w:tc>
        <w:tc>
          <w:tcPr>
            <w:tcW w:w="793" w:type="dxa"/>
          </w:tcPr>
          <w:p>
            <w:pPr>
              <w:pStyle w:val="TableParagraph"/>
              <w:spacing w:line="273" w:lineRule="exact"/>
              <w:ind w:left="106"/>
              <w:rPr>
                <w:sz w:val="24"/>
              </w:rPr>
            </w:pPr>
            <w:r>
              <w:rPr>
                <w:spacing w:val="-10"/>
                <w:sz w:val="24"/>
              </w:rPr>
              <w:t>5</w:t>
            </w:r>
          </w:p>
        </w:tc>
      </w:tr>
      <w:tr>
        <w:trPr>
          <w:trHeight w:val="517" w:hRule="atLeast"/>
        </w:trPr>
        <w:tc>
          <w:tcPr>
            <w:tcW w:w="456" w:type="dxa"/>
          </w:tcPr>
          <w:p>
            <w:pPr>
              <w:pStyle w:val="TableParagraph"/>
              <w:spacing w:line="270" w:lineRule="exact"/>
              <w:ind w:left="9"/>
              <w:jc w:val="center"/>
              <w:rPr>
                <w:sz w:val="24"/>
              </w:rPr>
            </w:pPr>
            <w:r>
              <w:rPr>
                <w:spacing w:val="-5"/>
                <w:sz w:val="24"/>
              </w:rPr>
              <w:t>21</w:t>
            </w:r>
          </w:p>
        </w:tc>
        <w:tc>
          <w:tcPr>
            <w:tcW w:w="4928" w:type="dxa"/>
          </w:tcPr>
          <w:p>
            <w:pPr>
              <w:pStyle w:val="TableParagraph"/>
              <w:spacing w:line="270" w:lineRule="exact"/>
              <w:ind w:left="107"/>
              <w:rPr>
                <w:sz w:val="24"/>
              </w:rPr>
            </w:pPr>
            <w:r>
              <w:rPr>
                <w:sz w:val="24"/>
              </w:rPr>
              <w:t>Родители</w:t>
            </w:r>
            <w:r>
              <w:rPr>
                <w:spacing w:val="-4"/>
                <w:sz w:val="24"/>
              </w:rPr>
              <w:t> </w:t>
            </w:r>
            <w:r>
              <w:rPr>
                <w:sz w:val="24"/>
              </w:rPr>
              <w:t>справедливо</w:t>
            </w:r>
            <w:r>
              <w:rPr>
                <w:spacing w:val="-3"/>
                <w:sz w:val="24"/>
              </w:rPr>
              <w:t> </w:t>
            </w:r>
            <w:r>
              <w:rPr>
                <w:sz w:val="24"/>
              </w:rPr>
              <w:t>относятся</w:t>
            </w:r>
            <w:r>
              <w:rPr>
                <w:spacing w:val="-4"/>
                <w:sz w:val="24"/>
              </w:rPr>
              <w:t> </w:t>
            </w:r>
            <w:r>
              <w:rPr>
                <w:sz w:val="24"/>
              </w:rPr>
              <w:t>ко</w:t>
            </w:r>
            <w:r>
              <w:rPr>
                <w:spacing w:val="-3"/>
                <w:sz w:val="24"/>
              </w:rPr>
              <w:t> </w:t>
            </w:r>
            <w:r>
              <w:rPr>
                <w:spacing w:val="-5"/>
                <w:sz w:val="24"/>
              </w:rPr>
              <w:t>мне</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r>
        <w:trPr>
          <w:trHeight w:val="517" w:hRule="atLeast"/>
        </w:trPr>
        <w:tc>
          <w:tcPr>
            <w:tcW w:w="456" w:type="dxa"/>
          </w:tcPr>
          <w:p>
            <w:pPr>
              <w:pStyle w:val="TableParagraph"/>
              <w:spacing w:line="270" w:lineRule="exact"/>
              <w:ind w:left="9"/>
              <w:jc w:val="center"/>
              <w:rPr>
                <w:sz w:val="24"/>
              </w:rPr>
            </w:pPr>
            <w:r>
              <w:rPr>
                <w:spacing w:val="-5"/>
                <w:sz w:val="24"/>
              </w:rPr>
              <w:t>22</w:t>
            </w:r>
          </w:p>
        </w:tc>
        <w:tc>
          <w:tcPr>
            <w:tcW w:w="4928" w:type="dxa"/>
          </w:tcPr>
          <w:p>
            <w:pPr>
              <w:pStyle w:val="TableParagraph"/>
              <w:spacing w:line="270" w:lineRule="exact"/>
              <w:ind w:left="107"/>
              <w:rPr>
                <w:sz w:val="24"/>
              </w:rPr>
            </w:pPr>
            <w:r>
              <w:rPr>
                <w:sz w:val="24"/>
              </w:rPr>
              <w:t>Мне</w:t>
            </w:r>
            <w:r>
              <w:rPr>
                <w:spacing w:val="-4"/>
                <w:sz w:val="24"/>
              </w:rPr>
              <w:t> </w:t>
            </w:r>
            <w:r>
              <w:rPr>
                <w:sz w:val="24"/>
              </w:rPr>
              <w:t>интересно</w:t>
            </w:r>
            <w:r>
              <w:rPr>
                <w:spacing w:val="-2"/>
                <w:sz w:val="24"/>
              </w:rPr>
              <w:t> </w:t>
            </w:r>
            <w:r>
              <w:rPr>
                <w:sz w:val="24"/>
              </w:rPr>
              <w:t>на</w:t>
            </w:r>
            <w:r>
              <w:rPr>
                <w:spacing w:val="-3"/>
                <w:sz w:val="24"/>
              </w:rPr>
              <w:t> </w:t>
            </w:r>
            <w:r>
              <w:rPr>
                <w:sz w:val="24"/>
              </w:rPr>
              <w:t>школьных </w:t>
            </w:r>
            <w:r>
              <w:rPr>
                <w:spacing w:val="-2"/>
                <w:sz w:val="24"/>
              </w:rPr>
              <w:t>занятиях</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r>
        <w:trPr>
          <w:trHeight w:val="515" w:hRule="atLeast"/>
        </w:trPr>
        <w:tc>
          <w:tcPr>
            <w:tcW w:w="456" w:type="dxa"/>
          </w:tcPr>
          <w:p>
            <w:pPr>
              <w:pStyle w:val="TableParagraph"/>
              <w:spacing w:line="270" w:lineRule="exact"/>
              <w:ind w:left="9"/>
              <w:jc w:val="center"/>
              <w:rPr>
                <w:sz w:val="24"/>
              </w:rPr>
            </w:pPr>
            <w:r>
              <w:rPr>
                <w:spacing w:val="-5"/>
                <w:sz w:val="24"/>
              </w:rPr>
              <w:t>23</w:t>
            </w:r>
          </w:p>
        </w:tc>
        <w:tc>
          <w:tcPr>
            <w:tcW w:w="4928" w:type="dxa"/>
          </w:tcPr>
          <w:p>
            <w:pPr>
              <w:pStyle w:val="TableParagraph"/>
              <w:spacing w:line="270" w:lineRule="exact"/>
              <w:ind w:left="107"/>
              <w:rPr>
                <w:sz w:val="24"/>
              </w:rPr>
            </w:pPr>
            <w:r>
              <w:rPr>
                <w:sz w:val="24"/>
              </w:rPr>
              <w:t>Я</w:t>
            </w:r>
            <w:r>
              <w:rPr>
                <w:spacing w:val="-2"/>
                <w:sz w:val="24"/>
              </w:rPr>
              <w:t> </w:t>
            </w:r>
            <w:r>
              <w:rPr>
                <w:sz w:val="24"/>
              </w:rPr>
              <w:t>могу</w:t>
            </w:r>
            <w:r>
              <w:rPr>
                <w:spacing w:val="-5"/>
                <w:sz w:val="24"/>
              </w:rPr>
              <w:t> </w:t>
            </w:r>
            <w:r>
              <w:rPr>
                <w:sz w:val="24"/>
              </w:rPr>
              <w:t>обратиться</w:t>
            </w:r>
            <w:r>
              <w:rPr>
                <w:spacing w:val="-1"/>
                <w:sz w:val="24"/>
              </w:rPr>
              <w:t> </w:t>
            </w:r>
            <w:r>
              <w:rPr>
                <w:sz w:val="24"/>
              </w:rPr>
              <w:t>к</w:t>
            </w:r>
            <w:r>
              <w:rPr>
                <w:spacing w:val="1"/>
                <w:sz w:val="24"/>
              </w:rPr>
              <w:t> </w:t>
            </w:r>
            <w:r>
              <w:rPr>
                <w:sz w:val="24"/>
              </w:rPr>
              <w:t>учителям</w:t>
            </w:r>
            <w:r>
              <w:rPr>
                <w:spacing w:val="-2"/>
                <w:sz w:val="24"/>
              </w:rPr>
              <w:t> </w:t>
            </w:r>
            <w:r>
              <w:rPr>
                <w:sz w:val="24"/>
              </w:rPr>
              <w:t>за</w:t>
            </w:r>
            <w:r>
              <w:rPr>
                <w:spacing w:val="-2"/>
                <w:sz w:val="24"/>
              </w:rPr>
              <w:t> помощью</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r>
        <w:trPr>
          <w:trHeight w:val="834" w:hRule="atLeast"/>
        </w:trPr>
        <w:tc>
          <w:tcPr>
            <w:tcW w:w="456" w:type="dxa"/>
          </w:tcPr>
          <w:p>
            <w:pPr>
              <w:pStyle w:val="TableParagraph"/>
              <w:spacing w:line="273" w:lineRule="exact"/>
              <w:ind w:left="9"/>
              <w:jc w:val="center"/>
              <w:rPr>
                <w:sz w:val="24"/>
              </w:rPr>
            </w:pPr>
            <w:r>
              <w:rPr>
                <w:spacing w:val="-5"/>
                <w:sz w:val="24"/>
              </w:rPr>
              <w:t>24</w:t>
            </w:r>
          </w:p>
        </w:tc>
        <w:tc>
          <w:tcPr>
            <w:tcW w:w="4928" w:type="dxa"/>
          </w:tcPr>
          <w:p>
            <w:pPr>
              <w:pStyle w:val="TableParagraph"/>
              <w:spacing w:line="276" w:lineRule="auto"/>
              <w:ind w:left="107"/>
              <w:rPr>
                <w:sz w:val="24"/>
              </w:rPr>
            </w:pPr>
            <w:r>
              <w:rPr>
                <w:sz w:val="24"/>
              </w:rPr>
              <w:t>Есть</w:t>
            </w:r>
            <w:r>
              <w:rPr>
                <w:spacing w:val="-6"/>
                <w:sz w:val="24"/>
              </w:rPr>
              <w:t> </w:t>
            </w:r>
            <w:r>
              <w:rPr>
                <w:sz w:val="24"/>
              </w:rPr>
              <w:t>много</w:t>
            </w:r>
            <w:r>
              <w:rPr>
                <w:spacing w:val="-7"/>
                <w:sz w:val="24"/>
              </w:rPr>
              <w:t> </w:t>
            </w:r>
            <w:r>
              <w:rPr>
                <w:sz w:val="24"/>
              </w:rPr>
              <w:t>вещей,</w:t>
            </w:r>
            <w:r>
              <w:rPr>
                <w:spacing w:val="-7"/>
                <w:sz w:val="24"/>
              </w:rPr>
              <w:t> </w:t>
            </w:r>
            <w:r>
              <w:rPr>
                <w:sz w:val="24"/>
              </w:rPr>
              <w:t>которые</w:t>
            </w:r>
            <w:r>
              <w:rPr>
                <w:spacing w:val="-4"/>
                <w:sz w:val="24"/>
              </w:rPr>
              <w:t> </w:t>
            </w:r>
            <w:r>
              <w:rPr>
                <w:sz w:val="24"/>
              </w:rPr>
              <w:t>у</w:t>
            </w:r>
            <w:r>
              <w:rPr>
                <w:spacing w:val="-11"/>
                <w:sz w:val="24"/>
              </w:rPr>
              <w:t> </w:t>
            </w:r>
            <w:r>
              <w:rPr>
                <w:sz w:val="24"/>
              </w:rPr>
              <w:t>меня</w:t>
            </w:r>
            <w:r>
              <w:rPr>
                <w:spacing w:val="-7"/>
                <w:sz w:val="24"/>
              </w:rPr>
              <w:t> </w:t>
            </w:r>
            <w:r>
              <w:rPr>
                <w:sz w:val="24"/>
              </w:rPr>
              <w:t>хорошо </w:t>
            </w:r>
            <w:r>
              <w:rPr>
                <w:spacing w:val="-2"/>
                <w:sz w:val="24"/>
              </w:rPr>
              <w:t>получаются</w:t>
            </w:r>
          </w:p>
        </w:tc>
        <w:tc>
          <w:tcPr>
            <w:tcW w:w="792" w:type="dxa"/>
          </w:tcPr>
          <w:p>
            <w:pPr>
              <w:pStyle w:val="TableParagraph"/>
              <w:spacing w:before="155"/>
              <w:ind w:left="105"/>
              <w:rPr>
                <w:sz w:val="24"/>
              </w:rPr>
            </w:pPr>
            <w:r>
              <w:rPr>
                <w:spacing w:val="-10"/>
                <w:sz w:val="24"/>
              </w:rPr>
              <w:t>1</w:t>
            </w:r>
          </w:p>
        </w:tc>
        <w:tc>
          <w:tcPr>
            <w:tcW w:w="792" w:type="dxa"/>
          </w:tcPr>
          <w:p>
            <w:pPr>
              <w:pStyle w:val="TableParagraph"/>
              <w:spacing w:before="155"/>
              <w:ind w:left="105"/>
              <w:rPr>
                <w:sz w:val="24"/>
              </w:rPr>
            </w:pPr>
            <w:r>
              <w:rPr>
                <w:spacing w:val="-10"/>
                <w:sz w:val="24"/>
              </w:rPr>
              <w:t>2</w:t>
            </w:r>
          </w:p>
        </w:tc>
        <w:tc>
          <w:tcPr>
            <w:tcW w:w="793" w:type="dxa"/>
          </w:tcPr>
          <w:p>
            <w:pPr>
              <w:pStyle w:val="TableParagraph"/>
              <w:spacing w:before="155"/>
              <w:ind w:left="107"/>
              <w:rPr>
                <w:sz w:val="24"/>
              </w:rPr>
            </w:pPr>
            <w:r>
              <w:rPr>
                <w:spacing w:val="-10"/>
                <w:sz w:val="24"/>
              </w:rPr>
              <w:t>3</w:t>
            </w:r>
          </w:p>
        </w:tc>
        <w:tc>
          <w:tcPr>
            <w:tcW w:w="795" w:type="dxa"/>
          </w:tcPr>
          <w:p>
            <w:pPr>
              <w:pStyle w:val="TableParagraph"/>
              <w:spacing w:before="155"/>
              <w:ind w:left="107"/>
              <w:rPr>
                <w:sz w:val="24"/>
              </w:rPr>
            </w:pPr>
            <w:r>
              <w:rPr>
                <w:spacing w:val="-10"/>
                <w:sz w:val="24"/>
              </w:rPr>
              <w:t>4</w:t>
            </w:r>
          </w:p>
        </w:tc>
        <w:tc>
          <w:tcPr>
            <w:tcW w:w="793" w:type="dxa"/>
          </w:tcPr>
          <w:p>
            <w:pPr>
              <w:pStyle w:val="TableParagraph"/>
              <w:spacing w:before="155"/>
              <w:ind w:left="106"/>
              <w:rPr>
                <w:sz w:val="24"/>
              </w:rPr>
            </w:pPr>
            <w:r>
              <w:rPr>
                <w:spacing w:val="-10"/>
                <w:sz w:val="24"/>
              </w:rPr>
              <w:t>5</w:t>
            </w:r>
          </w:p>
        </w:tc>
      </w:tr>
      <w:tr>
        <w:trPr>
          <w:trHeight w:val="517" w:hRule="atLeast"/>
        </w:trPr>
        <w:tc>
          <w:tcPr>
            <w:tcW w:w="456" w:type="dxa"/>
          </w:tcPr>
          <w:p>
            <w:pPr>
              <w:pStyle w:val="TableParagraph"/>
              <w:spacing w:line="273" w:lineRule="exact"/>
              <w:ind w:left="9"/>
              <w:jc w:val="center"/>
              <w:rPr>
                <w:sz w:val="24"/>
              </w:rPr>
            </w:pPr>
            <w:r>
              <w:rPr>
                <w:spacing w:val="-5"/>
                <w:sz w:val="24"/>
              </w:rPr>
              <w:t>25</w:t>
            </w:r>
          </w:p>
        </w:tc>
        <w:tc>
          <w:tcPr>
            <w:tcW w:w="4928" w:type="dxa"/>
          </w:tcPr>
          <w:p>
            <w:pPr>
              <w:pStyle w:val="TableParagraph"/>
              <w:spacing w:line="273" w:lineRule="exact"/>
              <w:ind w:left="107"/>
              <w:rPr>
                <w:sz w:val="24"/>
              </w:rPr>
            </w:pPr>
            <w:r>
              <w:rPr>
                <w:sz w:val="24"/>
              </w:rPr>
              <w:t>У</w:t>
            </w:r>
            <w:r>
              <w:rPr>
                <w:spacing w:val="-3"/>
                <w:sz w:val="24"/>
              </w:rPr>
              <w:t> </w:t>
            </w:r>
            <w:r>
              <w:rPr>
                <w:sz w:val="24"/>
              </w:rPr>
              <w:t>меня</w:t>
            </w:r>
            <w:r>
              <w:rPr>
                <w:spacing w:val="-3"/>
                <w:sz w:val="24"/>
              </w:rPr>
              <w:t> </w:t>
            </w:r>
            <w:r>
              <w:rPr>
                <w:sz w:val="24"/>
              </w:rPr>
              <w:t>достаточно</w:t>
            </w:r>
            <w:r>
              <w:rPr>
                <w:spacing w:val="-2"/>
                <w:sz w:val="24"/>
              </w:rPr>
              <w:t> друзей</w:t>
            </w:r>
          </w:p>
        </w:tc>
        <w:tc>
          <w:tcPr>
            <w:tcW w:w="792" w:type="dxa"/>
          </w:tcPr>
          <w:p>
            <w:pPr>
              <w:pStyle w:val="TableParagraph"/>
              <w:spacing w:line="273" w:lineRule="exact"/>
              <w:ind w:left="105"/>
              <w:rPr>
                <w:sz w:val="24"/>
              </w:rPr>
            </w:pPr>
            <w:r>
              <w:rPr>
                <w:spacing w:val="-10"/>
                <w:sz w:val="24"/>
              </w:rPr>
              <w:t>1</w:t>
            </w:r>
          </w:p>
        </w:tc>
        <w:tc>
          <w:tcPr>
            <w:tcW w:w="792" w:type="dxa"/>
          </w:tcPr>
          <w:p>
            <w:pPr>
              <w:pStyle w:val="TableParagraph"/>
              <w:spacing w:line="273" w:lineRule="exact"/>
              <w:ind w:left="105"/>
              <w:rPr>
                <w:sz w:val="24"/>
              </w:rPr>
            </w:pPr>
            <w:r>
              <w:rPr>
                <w:spacing w:val="-10"/>
                <w:sz w:val="24"/>
              </w:rPr>
              <w:t>2</w:t>
            </w:r>
          </w:p>
        </w:tc>
        <w:tc>
          <w:tcPr>
            <w:tcW w:w="793" w:type="dxa"/>
          </w:tcPr>
          <w:p>
            <w:pPr>
              <w:pStyle w:val="TableParagraph"/>
              <w:spacing w:line="273" w:lineRule="exact"/>
              <w:ind w:left="107"/>
              <w:rPr>
                <w:sz w:val="24"/>
              </w:rPr>
            </w:pPr>
            <w:r>
              <w:rPr>
                <w:spacing w:val="-10"/>
                <w:sz w:val="24"/>
              </w:rPr>
              <w:t>3</w:t>
            </w:r>
          </w:p>
        </w:tc>
        <w:tc>
          <w:tcPr>
            <w:tcW w:w="795" w:type="dxa"/>
          </w:tcPr>
          <w:p>
            <w:pPr>
              <w:pStyle w:val="TableParagraph"/>
              <w:spacing w:line="273" w:lineRule="exact"/>
              <w:ind w:left="107"/>
              <w:rPr>
                <w:sz w:val="24"/>
              </w:rPr>
            </w:pPr>
            <w:r>
              <w:rPr>
                <w:spacing w:val="-10"/>
                <w:sz w:val="24"/>
              </w:rPr>
              <w:t>4</w:t>
            </w:r>
          </w:p>
        </w:tc>
        <w:tc>
          <w:tcPr>
            <w:tcW w:w="793" w:type="dxa"/>
          </w:tcPr>
          <w:p>
            <w:pPr>
              <w:pStyle w:val="TableParagraph"/>
              <w:spacing w:line="273" w:lineRule="exact"/>
              <w:ind w:left="106"/>
              <w:rPr>
                <w:sz w:val="24"/>
              </w:rPr>
            </w:pPr>
            <w:r>
              <w:rPr>
                <w:spacing w:val="-10"/>
                <w:sz w:val="24"/>
              </w:rPr>
              <w:t>5</w:t>
            </w:r>
          </w:p>
        </w:tc>
      </w:tr>
      <w:tr>
        <w:trPr>
          <w:trHeight w:val="835" w:hRule="atLeast"/>
        </w:trPr>
        <w:tc>
          <w:tcPr>
            <w:tcW w:w="456" w:type="dxa"/>
          </w:tcPr>
          <w:p>
            <w:pPr>
              <w:pStyle w:val="TableParagraph"/>
              <w:spacing w:line="271" w:lineRule="exact"/>
              <w:ind w:left="9"/>
              <w:jc w:val="center"/>
              <w:rPr>
                <w:sz w:val="24"/>
              </w:rPr>
            </w:pPr>
            <w:r>
              <w:rPr>
                <w:spacing w:val="-5"/>
                <w:sz w:val="24"/>
              </w:rPr>
              <w:t>26</w:t>
            </w:r>
          </w:p>
        </w:tc>
        <w:tc>
          <w:tcPr>
            <w:tcW w:w="4928" w:type="dxa"/>
          </w:tcPr>
          <w:p>
            <w:pPr>
              <w:pStyle w:val="TableParagraph"/>
              <w:spacing w:line="278" w:lineRule="auto"/>
              <w:ind w:left="107" w:right="180"/>
              <w:rPr>
                <w:sz w:val="24"/>
              </w:rPr>
            </w:pPr>
            <w:r>
              <w:rPr>
                <w:sz w:val="24"/>
              </w:rPr>
              <w:t>Дома</w:t>
            </w:r>
            <w:r>
              <w:rPr>
                <w:spacing w:val="-9"/>
                <w:sz w:val="24"/>
              </w:rPr>
              <w:t> </w:t>
            </w:r>
            <w:r>
              <w:rPr>
                <w:sz w:val="24"/>
              </w:rPr>
              <w:t>я</w:t>
            </w:r>
            <w:r>
              <w:rPr>
                <w:spacing w:val="-9"/>
                <w:sz w:val="24"/>
              </w:rPr>
              <w:t> </w:t>
            </w:r>
            <w:r>
              <w:rPr>
                <w:sz w:val="24"/>
              </w:rPr>
              <w:t>могу</w:t>
            </w:r>
            <w:r>
              <w:rPr>
                <w:spacing w:val="-13"/>
                <w:sz w:val="24"/>
              </w:rPr>
              <w:t> </w:t>
            </w:r>
            <w:r>
              <w:rPr>
                <w:sz w:val="24"/>
              </w:rPr>
              <w:t>заняться</w:t>
            </w:r>
            <w:r>
              <w:rPr>
                <w:spacing w:val="-9"/>
                <w:sz w:val="24"/>
              </w:rPr>
              <w:t> </w:t>
            </w:r>
            <w:r>
              <w:rPr>
                <w:sz w:val="24"/>
              </w:rPr>
              <w:t>множеством интересных вещей</w:t>
            </w:r>
          </w:p>
        </w:tc>
        <w:tc>
          <w:tcPr>
            <w:tcW w:w="792" w:type="dxa"/>
          </w:tcPr>
          <w:p>
            <w:pPr>
              <w:pStyle w:val="TableParagraph"/>
              <w:spacing w:before="153"/>
              <w:ind w:left="105"/>
              <w:rPr>
                <w:sz w:val="24"/>
              </w:rPr>
            </w:pPr>
            <w:r>
              <w:rPr>
                <w:spacing w:val="-10"/>
                <w:sz w:val="24"/>
              </w:rPr>
              <w:t>1</w:t>
            </w:r>
          </w:p>
        </w:tc>
        <w:tc>
          <w:tcPr>
            <w:tcW w:w="792" w:type="dxa"/>
          </w:tcPr>
          <w:p>
            <w:pPr>
              <w:pStyle w:val="TableParagraph"/>
              <w:spacing w:before="153"/>
              <w:ind w:left="105"/>
              <w:rPr>
                <w:sz w:val="24"/>
              </w:rPr>
            </w:pPr>
            <w:r>
              <w:rPr>
                <w:spacing w:val="-10"/>
                <w:sz w:val="24"/>
              </w:rPr>
              <w:t>2</w:t>
            </w:r>
          </w:p>
        </w:tc>
        <w:tc>
          <w:tcPr>
            <w:tcW w:w="793" w:type="dxa"/>
          </w:tcPr>
          <w:p>
            <w:pPr>
              <w:pStyle w:val="TableParagraph"/>
              <w:spacing w:before="153"/>
              <w:ind w:left="107"/>
              <w:rPr>
                <w:sz w:val="24"/>
              </w:rPr>
            </w:pPr>
            <w:r>
              <w:rPr>
                <w:spacing w:val="-10"/>
                <w:sz w:val="24"/>
              </w:rPr>
              <w:t>3</w:t>
            </w:r>
          </w:p>
        </w:tc>
        <w:tc>
          <w:tcPr>
            <w:tcW w:w="795" w:type="dxa"/>
          </w:tcPr>
          <w:p>
            <w:pPr>
              <w:pStyle w:val="TableParagraph"/>
              <w:spacing w:before="153"/>
              <w:ind w:left="107"/>
              <w:rPr>
                <w:sz w:val="24"/>
              </w:rPr>
            </w:pPr>
            <w:r>
              <w:rPr>
                <w:spacing w:val="-10"/>
                <w:sz w:val="24"/>
              </w:rPr>
              <w:t>4</w:t>
            </w:r>
          </w:p>
        </w:tc>
        <w:tc>
          <w:tcPr>
            <w:tcW w:w="793" w:type="dxa"/>
          </w:tcPr>
          <w:p>
            <w:pPr>
              <w:pStyle w:val="TableParagraph"/>
              <w:spacing w:before="153"/>
              <w:ind w:left="106"/>
              <w:rPr>
                <w:sz w:val="24"/>
              </w:rPr>
            </w:pPr>
            <w:r>
              <w:rPr>
                <w:spacing w:val="-10"/>
                <w:sz w:val="24"/>
              </w:rPr>
              <w:t>5</w:t>
            </w:r>
          </w:p>
        </w:tc>
      </w:tr>
      <w:tr>
        <w:trPr>
          <w:trHeight w:val="517" w:hRule="atLeast"/>
        </w:trPr>
        <w:tc>
          <w:tcPr>
            <w:tcW w:w="456" w:type="dxa"/>
          </w:tcPr>
          <w:p>
            <w:pPr>
              <w:pStyle w:val="TableParagraph"/>
              <w:spacing w:line="270" w:lineRule="exact"/>
              <w:ind w:left="9"/>
              <w:jc w:val="center"/>
              <w:rPr>
                <w:sz w:val="24"/>
              </w:rPr>
            </w:pPr>
            <w:r>
              <w:rPr>
                <w:spacing w:val="-5"/>
                <w:sz w:val="24"/>
              </w:rPr>
              <w:t>27</w:t>
            </w:r>
          </w:p>
        </w:tc>
        <w:tc>
          <w:tcPr>
            <w:tcW w:w="4928" w:type="dxa"/>
          </w:tcPr>
          <w:p>
            <w:pPr>
              <w:pStyle w:val="TableParagraph"/>
              <w:spacing w:line="270" w:lineRule="exact"/>
              <w:ind w:left="107"/>
              <w:rPr>
                <w:sz w:val="24"/>
              </w:rPr>
            </w:pPr>
            <w:r>
              <w:rPr>
                <w:sz w:val="24"/>
              </w:rPr>
              <w:t>В</w:t>
            </w:r>
            <w:r>
              <w:rPr>
                <w:spacing w:val="-4"/>
                <w:sz w:val="24"/>
              </w:rPr>
              <w:t> </w:t>
            </w:r>
            <w:r>
              <w:rPr>
                <w:sz w:val="24"/>
              </w:rPr>
              <w:t>школе</w:t>
            </w:r>
            <w:r>
              <w:rPr>
                <w:spacing w:val="-2"/>
                <w:sz w:val="24"/>
              </w:rPr>
              <w:t> </w:t>
            </w:r>
            <w:r>
              <w:rPr>
                <w:sz w:val="24"/>
              </w:rPr>
              <w:t>я</w:t>
            </w:r>
            <w:r>
              <w:rPr>
                <w:spacing w:val="-1"/>
                <w:sz w:val="24"/>
              </w:rPr>
              <w:t> </w:t>
            </w:r>
            <w:r>
              <w:rPr>
                <w:sz w:val="24"/>
              </w:rPr>
              <w:t>чувствую</w:t>
            </w:r>
            <w:r>
              <w:rPr>
                <w:spacing w:val="1"/>
                <w:sz w:val="24"/>
              </w:rPr>
              <w:t> </w:t>
            </w:r>
            <w:r>
              <w:rPr>
                <w:sz w:val="24"/>
              </w:rPr>
              <w:t>себя</w:t>
            </w:r>
            <w:r>
              <w:rPr>
                <w:spacing w:val="-1"/>
                <w:sz w:val="24"/>
              </w:rPr>
              <w:t> </w:t>
            </w:r>
            <w:r>
              <w:rPr>
                <w:spacing w:val="-4"/>
                <w:sz w:val="24"/>
              </w:rPr>
              <w:t>плохо</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r>
        <w:trPr>
          <w:trHeight w:val="517" w:hRule="atLeast"/>
        </w:trPr>
        <w:tc>
          <w:tcPr>
            <w:tcW w:w="456" w:type="dxa"/>
          </w:tcPr>
          <w:p>
            <w:pPr>
              <w:pStyle w:val="TableParagraph"/>
              <w:spacing w:line="270" w:lineRule="exact"/>
              <w:ind w:left="9"/>
              <w:jc w:val="center"/>
              <w:rPr>
                <w:sz w:val="24"/>
              </w:rPr>
            </w:pPr>
            <w:r>
              <w:rPr>
                <w:spacing w:val="-5"/>
                <w:sz w:val="24"/>
              </w:rPr>
              <w:t>28</w:t>
            </w:r>
          </w:p>
        </w:tc>
        <w:tc>
          <w:tcPr>
            <w:tcW w:w="4928" w:type="dxa"/>
          </w:tcPr>
          <w:p>
            <w:pPr>
              <w:pStyle w:val="TableParagraph"/>
              <w:spacing w:line="270" w:lineRule="exact"/>
              <w:ind w:left="107"/>
              <w:rPr>
                <w:sz w:val="24"/>
              </w:rPr>
            </w:pPr>
            <w:r>
              <w:rPr>
                <w:sz w:val="24"/>
              </w:rPr>
              <w:t>С</w:t>
            </w:r>
            <w:r>
              <w:rPr>
                <w:spacing w:val="-2"/>
                <w:sz w:val="24"/>
              </w:rPr>
              <w:t> </w:t>
            </w:r>
            <w:r>
              <w:rPr>
                <w:sz w:val="24"/>
              </w:rPr>
              <w:t>учителями</w:t>
            </w:r>
            <w:r>
              <w:rPr>
                <w:spacing w:val="-3"/>
                <w:sz w:val="24"/>
              </w:rPr>
              <w:t> </w:t>
            </w:r>
            <w:r>
              <w:rPr>
                <w:sz w:val="24"/>
              </w:rPr>
              <w:t>интересно</w:t>
            </w:r>
            <w:r>
              <w:rPr>
                <w:spacing w:val="-3"/>
                <w:sz w:val="24"/>
              </w:rPr>
              <w:t> </w:t>
            </w:r>
            <w:r>
              <w:rPr>
                <w:spacing w:val="-2"/>
                <w:sz w:val="24"/>
              </w:rPr>
              <w:t>разговаривать</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r>
        <w:trPr>
          <w:trHeight w:val="515" w:hRule="atLeast"/>
        </w:trPr>
        <w:tc>
          <w:tcPr>
            <w:tcW w:w="456" w:type="dxa"/>
          </w:tcPr>
          <w:p>
            <w:pPr>
              <w:pStyle w:val="TableParagraph"/>
              <w:spacing w:line="270" w:lineRule="exact"/>
              <w:ind w:left="9"/>
              <w:jc w:val="center"/>
              <w:rPr>
                <w:sz w:val="24"/>
              </w:rPr>
            </w:pPr>
            <w:r>
              <w:rPr>
                <w:spacing w:val="-5"/>
                <w:sz w:val="24"/>
              </w:rPr>
              <w:t>29</w:t>
            </w:r>
          </w:p>
        </w:tc>
        <w:tc>
          <w:tcPr>
            <w:tcW w:w="4928" w:type="dxa"/>
          </w:tcPr>
          <w:p>
            <w:pPr>
              <w:pStyle w:val="TableParagraph"/>
              <w:spacing w:line="270" w:lineRule="exact"/>
              <w:ind w:left="107"/>
              <w:rPr>
                <w:sz w:val="24"/>
              </w:rPr>
            </w:pPr>
            <w:r>
              <w:rPr>
                <w:sz w:val="24"/>
              </w:rPr>
              <w:t>Я</w:t>
            </w:r>
            <w:r>
              <w:rPr>
                <w:spacing w:val="-3"/>
                <w:sz w:val="24"/>
              </w:rPr>
              <w:t> </w:t>
            </w:r>
            <w:r>
              <w:rPr>
                <w:sz w:val="24"/>
              </w:rPr>
              <w:t>нравлюсь</w:t>
            </w:r>
            <w:r>
              <w:rPr>
                <w:spacing w:val="-2"/>
                <w:sz w:val="24"/>
              </w:rPr>
              <w:t> </w:t>
            </w:r>
            <w:r>
              <w:rPr>
                <w:sz w:val="24"/>
              </w:rPr>
              <w:t>себе</w:t>
            </w:r>
            <w:r>
              <w:rPr>
                <w:spacing w:val="-3"/>
                <w:sz w:val="24"/>
              </w:rPr>
              <w:t> </w:t>
            </w:r>
            <w:r>
              <w:rPr>
                <w:sz w:val="24"/>
              </w:rPr>
              <w:t>как</w:t>
            </w:r>
            <w:r>
              <w:rPr>
                <w:spacing w:val="-2"/>
                <w:sz w:val="24"/>
              </w:rPr>
              <w:t> человек</w:t>
            </w:r>
          </w:p>
        </w:tc>
        <w:tc>
          <w:tcPr>
            <w:tcW w:w="792" w:type="dxa"/>
          </w:tcPr>
          <w:p>
            <w:pPr>
              <w:pStyle w:val="TableParagraph"/>
              <w:spacing w:line="270" w:lineRule="exact"/>
              <w:ind w:left="105"/>
              <w:rPr>
                <w:sz w:val="24"/>
              </w:rPr>
            </w:pPr>
            <w:r>
              <w:rPr>
                <w:spacing w:val="-10"/>
                <w:sz w:val="24"/>
              </w:rPr>
              <w:t>1</w:t>
            </w:r>
          </w:p>
        </w:tc>
        <w:tc>
          <w:tcPr>
            <w:tcW w:w="792" w:type="dxa"/>
          </w:tcPr>
          <w:p>
            <w:pPr>
              <w:pStyle w:val="TableParagraph"/>
              <w:spacing w:line="270" w:lineRule="exact"/>
              <w:ind w:left="105"/>
              <w:rPr>
                <w:sz w:val="24"/>
              </w:rPr>
            </w:pPr>
            <w:r>
              <w:rPr>
                <w:spacing w:val="-10"/>
                <w:sz w:val="24"/>
              </w:rPr>
              <w:t>2</w:t>
            </w:r>
          </w:p>
        </w:tc>
        <w:tc>
          <w:tcPr>
            <w:tcW w:w="793" w:type="dxa"/>
          </w:tcPr>
          <w:p>
            <w:pPr>
              <w:pStyle w:val="TableParagraph"/>
              <w:spacing w:line="270" w:lineRule="exact"/>
              <w:ind w:left="107"/>
              <w:rPr>
                <w:sz w:val="24"/>
              </w:rPr>
            </w:pPr>
            <w:r>
              <w:rPr>
                <w:spacing w:val="-10"/>
                <w:sz w:val="24"/>
              </w:rPr>
              <w:t>3</w:t>
            </w:r>
          </w:p>
        </w:tc>
        <w:tc>
          <w:tcPr>
            <w:tcW w:w="795" w:type="dxa"/>
          </w:tcPr>
          <w:p>
            <w:pPr>
              <w:pStyle w:val="TableParagraph"/>
              <w:spacing w:line="270" w:lineRule="exact"/>
              <w:ind w:left="107"/>
              <w:rPr>
                <w:sz w:val="24"/>
              </w:rPr>
            </w:pPr>
            <w:r>
              <w:rPr>
                <w:spacing w:val="-10"/>
                <w:sz w:val="24"/>
              </w:rPr>
              <w:t>4</w:t>
            </w:r>
          </w:p>
        </w:tc>
        <w:tc>
          <w:tcPr>
            <w:tcW w:w="793" w:type="dxa"/>
          </w:tcPr>
          <w:p>
            <w:pPr>
              <w:pStyle w:val="TableParagraph"/>
              <w:spacing w:line="270" w:lineRule="exact"/>
              <w:ind w:left="106"/>
              <w:rPr>
                <w:sz w:val="24"/>
              </w:rPr>
            </w:pPr>
            <w:r>
              <w:rPr>
                <w:spacing w:val="-10"/>
                <w:sz w:val="24"/>
              </w:rPr>
              <w:t>5</w:t>
            </w:r>
          </w:p>
        </w:tc>
      </w:tr>
      <w:tr>
        <w:trPr>
          <w:trHeight w:val="518" w:hRule="atLeast"/>
        </w:trPr>
        <w:tc>
          <w:tcPr>
            <w:tcW w:w="456" w:type="dxa"/>
          </w:tcPr>
          <w:p>
            <w:pPr>
              <w:pStyle w:val="TableParagraph"/>
              <w:spacing w:line="273" w:lineRule="exact"/>
              <w:ind w:left="9"/>
              <w:jc w:val="center"/>
              <w:rPr>
                <w:sz w:val="24"/>
              </w:rPr>
            </w:pPr>
            <w:r>
              <w:rPr>
                <w:spacing w:val="-5"/>
                <w:sz w:val="24"/>
              </w:rPr>
              <w:t>30</w:t>
            </w:r>
          </w:p>
        </w:tc>
        <w:tc>
          <w:tcPr>
            <w:tcW w:w="4928" w:type="dxa"/>
          </w:tcPr>
          <w:p>
            <w:pPr>
              <w:pStyle w:val="TableParagraph"/>
              <w:spacing w:line="273" w:lineRule="exact"/>
              <w:ind w:left="107"/>
              <w:rPr>
                <w:sz w:val="24"/>
              </w:rPr>
            </w:pPr>
            <w:r>
              <w:rPr>
                <w:sz w:val="24"/>
              </w:rPr>
              <w:t>Мои</w:t>
            </w:r>
            <w:r>
              <w:rPr>
                <w:spacing w:val="-3"/>
                <w:sz w:val="24"/>
              </w:rPr>
              <w:t> </w:t>
            </w:r>
            <w:r>
              <w:rPr>
                <w:sz w:val="24"/>
              </w:rPr>
              <w:t>друзья</w:t>
            </w:r>
            <w:r>
              <w:rPr>
                <w:spacing w:val="-2"/>
                <w:sz w:val="24"/>
              </w:rPr>
              <w:t> </w:t>
            </w:r>
            <w:r>
              <w:rPr>
                <w:sz w:val="24"/>
              </w:rPr>
              <w:t>помогут</w:t>
            </w:r>
            <w:r>
              <w:rPr>
                <w:spacing w:val="-3"/>
                <w:sz w:val="24"/>
              </w:rPr>
              <w:t> </w:t>
            </w:r>
            <w:r>
              <w:rPr>
                <w:sz w:val="24"/>
              </w:rPr>
              <w:t>мне,</w:t>
            </w:r>
            <w:r>
              <w:rPr>
                <w:spacing w:val="-3"/>
                <w:sz w:val="24"/>
              </w:rPr>
              <w:t> </w:t>
            </w:r>
            <w:r>
              <w:rPr>
                <w:sz w:val="24"/>
              </w:rPr>
              <w:t>если</w:t>
            </w:r>
            <w:r>
              <w:rPr>
                <w:spacing w:val="-2"/>
                <w:sz w:val="24"/>
              </w:rPr>
              <w:t> понадобится</w:t>
            </w:r>
          </w:p>
        </w:tc>
        <w:tc>
          <w:tcPr>
            <w:tcW w:w="792" w:type="dxa"/>
          </w:tcPr>
          <w:p>
            <w:pPr>
              <w:pStyle w:val="TableParagraph"/>
              <w:spacing w:line="273" w:lineRule="exact"/>
              <w:ind w:left="105"/>
              <w:rPr>
                <w:sz w:val="24"/>
              </w:rPr>
            </w:pPr>
            <w:r>
              <w:rPr>
                <w:spacing w:val="-10"/>
                <w:sz w:val="24"/>
              </w:rPr>
              <w:t>1</w:t>
            </w:r>
          </w:p>
        </w:tc>
        <w:tc>
          <w:tcPr>
            <w:tcW w:w="792" w:type="dxa"/>
          </w:tcPr>
          <w:p>
            <w:pPr>
              <w:pStyle w:val="TableParagraph"/>
              <w:spacing w:line="273" w:lineRule="exact"/>
              <w:ind w:left="105"/>
              <w:rPr>
                <w:sz w:val="24"/>
              </w:rPr>
            </w:pPr>
            <w:r>
              <w:rPr>
                <w:spacing w:val="-10"/>
                <w:sz w:val="24"/>
              </w:rPr>
              <w:t>2</w:t>
            </w:r>
          </w:p>
        </w:tc>
        <w:tc>
          <w:tcPr>
            <w:tcW w:w="793" w:type="dxa"/>
          </w:tcPr>
          <w:p>
            <w:pPr>
              <w:pStyle w:val="TableParagraph"/>
              <w:spacing w:line="273" w:lineRule="exact"/>
              <w:ind w:left="107"/>
              <w:rPr>
                <w:sz w:val="24"/>
              </w:rPr>
            </w:pPr>
            <w:r>
              <w:rPr>
                <w:spacing w:val="-10"/>
                <w:sz w:val="24"/>
              </w:rPr>
              <w:t>3</w:t>
            </w:r>
          </w:p>
        </w:tc>
        <w:tc>
          <w:tcPr>
            <w:tcW w:w="795" w:type="dxa"/>
          </w:tcPr>
          <w:p>
            <w:pPr>
              <w:pStyle w:val="TableParagraph"/>
              <w:spacing w:line="273" w:lineRule="exact"/>
              <w:ind w:left="107"/>
              <w:rPr>
                <w:sz w:val="24"/>
              </w:rPr>
            </w:pPr>
            <w:r>
              <w:rPr>
                <w:spacing w:val="-10"/>
                <w:sz w:val="24"/>
              </w:rPr>
              <w:t>4</w:t>
            </w:r>
          </w:p>
        </w:tc>
        <w:tc>
          <w:tcPr>
            <w:tcW w:w="793" w:type="dxa"/>
          </w:tcPr>
          <w:p>
            <w:pPr>
              <w:pStyle w:val="TableParagraph"/>
              <w:spacing w:line="273" w:lineRule="exact"/>
              <w:ind w:left="106"/>
              <w:rPr>
                <w:sz w:val="24"/>
              </w:rPr>
            </w:pPr>
            <w:r>
              <w:rPr>
                <w:spacing w:val="-10"/>
                <w:sz w:val="24"/>
              </w:rPr>
              <w:t>5</w:t>
            </w:r>
          </w:p>
        </w:tc>
      </w:tr>
    </w:tbl>
    <w:p>
      <w:pPr>
        <w:pStyle w:val="TableParagraph"/>
        <w:spacing w:after="0" w:line="273" w:lineRule="exact"/>
        <w:rPr>
          <w:sz w:val="24"/>
        </w:rPr>
        <w:sectPr>
          <w:type w:val="continuous"/>
          <w:pgSz w:w="11910" w:h="16840"/>
          <w:pgMar w:header="0" w:footer="970" w:top="1100" w:bottom="1220" w:left="1417" w:right="283"/>
        </w:sectPr>
      </w:pPr>
    </w:p>
    <w:p>
      <w:pPr>
        <w:pStyle w:val="Heading2"/>
        <w:numPr>
          <w:ilvl w:val="0"/>
          <w:numId w:val="15"/>
        </w:numPr>
        <w:tabs>
          <w:tab w:pos="564" w:val="left" w:leader="none"/>
        </w:tabs>
        <w:spacing w:line="240" w:lineRule="auto" w:before="72" w:after="0"/>
        <w:ind w:left="564" w:right="0" w:hanging="279"/>
        <w:jc w:val="left"/>
      </w:pPr>
      <w:bookmarkStart w:name="_bookmark20" w:id="22"/>
      <w:bookmarkEnd w:id="22"/>
      <w:r>
        <w:rPr>
          <w:b w:val="0"/>
        </w:rPr>
      </w:r>
      <w:r>
        <w:rPr/>
        <w:t>Детский</w:t>
      </w:r>
      <w:r>
        <w:rPr>
          <w:spacing w:val="-13"/>
        </w:rPr>
        <w:t> </w:t>
      </w:r>
      <w:r>
        <w:rPr/>
        <w:t>тест</w:t>
      </w:r>
      <w:r>
        <w:rPr>
          <w:spacing w:val="-9"/>
        </w:rPr>
        <w:t> </w:t>
      </w:r>
      <w:r>
        <w:rPr/>
        <w:t>психологической</w:t>
      </w:r>
      <w:r>
        <w:rPr>
          <w:spacing w:val="-12"/>
        </w:rPr>
        <w:t> </w:t>
      </w:r>
      <w:r>
        <w:rPr>
          <w:spacing w:val="-2"/>
        </w:rPr>
        <w:t>устойчивости</w:t>
      </w:r>
    </w:p>
    <w:p>
      <w:pPr>
        <w:pStyle w:val="Heading3"/>
        <w:spacing w:before="293"/>
      </w:pPr>
      <w:r>
        <w:rPr/>
        <w:t>Описание</w:t>
      </w:r>
      <w:r>
        <w:rPr>
          <w:spacing w:val="-2"/>
        </w:rPr>
        <w:t> методики</w:t>
      </w:r>
    </w:p>
    <w:p>
      <w:pPr>
        <w:pStyle w:val="Heading4"/>
        <w:spacing w:before="232"/>
        <w:ind w:right="562"/>
      </w:pPr>
      <w:r>
        <w:rPr/>
        <w:t>Методика измерения психологической устойчивости (</w:t>
      </w:r>
      <w:r>
        <w:rPr>
          <w:i/>
        </w:rPr>
        <w:t>The Child and Youth/Adult Resilience Measure, CYRM-R</w:t>
      </w:r>
      <w:r>
        <w:rPr/>
        <w:t>) позволяет оценить способность человека к эффективному социальному взаимодействию с целью получения значимых для него ресурсов и поддержки в стрессовых ситуациях. Таким образом, человек, обладающий высокими показателями устойчивости, способен к успешному поиску и управлению ценными для него психологическими ресурсами, полученными от социального окружения (членов семьи, друзей, коллег).</w:t>
      </w:r>
    </w:p>
    <w:p>
      <w:pPr>
        <w:pStyle w:val="Heading4"/>
        <w:spacing w:before="240"/>
        <w:ind w:right="568"/>
      </w:pPr>
      <w:r>
        <w:rPr/>
        <w:t>Методика представляет собой опросник, состоящий из 17 утверждений, каждое</w:t>
      </w:r>
      <w:r>
        <w:rPr>
          <w:spacing w:val="-2"/>
        </w:rPr>
        <w:t> </w:t>
      </w:r>
      <w:r>
        <w:rPr/>
        <w:t>из которых</w:t>
      </w:r>
      <w:r>
        <w:rPr>
          <w:spacing w:val="-2"/>
        </w:rPr>
        <w:t> </w:t>
      </w:r>
      <w:r>
        <w:rPr/>
        <w:t>необходимо</w:t>
      </w:r>
      <w:r>
        <w:rPr>
          <w:spacing w:val="-1"/>
        </w:rPr>
        <w:t> </w:t>
      </w:r>
      <w:r>
        <w:rPr/>
        <w:t>оценить</w:t>
      </w:r>
      <w:r>
        <w:rPr>
          <w:spacing w:val="-1"/>
        </w:rPr>
        <w:t> </w:t>
      </w:r>
      <w:r>
        <w:rPr/>
        <w:t>по</w:t>
      </w:r>
      <w:r>
        <w:rPr>
          <w:spacing w:val="1"/>
        </w:rPr>
        <w:t> </w:t>
      </w:r>
      <w:r>
        <w:rPr/>
        <w:t>трехбалльной</w:t>
      </w:r>
      <w:r>
        <w:rPr>
          <w:spacing w:val="-2"/>
        </w:rPr>
        <w:t> </w:t>
      </w:r>
      <w:r>
        <w:rPr/>
        <w:t>шкале Лайкерта </w:t>
      </w:r>
      <w:r>
        <w:rPr>
          <w:spacing w:val="-5"/>
        </w:rPr>
        <w:t>(от</w:t>
      </w:r>
    </w:p>
    <w:p>
      <w:pPr>
        <w:pStyle w:val="Heading4"/>
        <w:spacing w:line="321" w:lineRule="exact"/>
      </w:pPr>
      <w:r>
        <w:rPr/>
        <w:t>«Согласен»</w:t>
      </w:r>
      <w:r>
        <w:rPr>
          <w:spacing w:val="57"/>
        </w:rPr>
        <w:t> </w:t>
      </w:r>
      <w:r>
        <w:rPr/>
        <w:t>до</w:t>
      </w:r>
      <w:r>
        <w:rPr>
          <w:spacing w:val="61"/>
        </w:rPr>
        <w:t> </w:t>
      </w:r>
      <w:r>
        <w:rPr/>
        <w:t>«Не</w:t>
      </w:r>
      <w:r>
        <w:rPr>
          <w:spacing w:val="59"/>
        </w:rPr>
        <w:t> </w:t>
      </w:r>
      <w:r>
        <w:rPr/>
        <w:t>согласен»)</w:t>
      </w:r>
      <w:r>
        <w:rPr>
          <w:spacing w:val="60"/>
        </w:rPr>
        <w:t> </w:t>
      </w:r>
      <w:r>
        <w:rPr/>
        <w:t>либо</w:t>
      </w:r>
      <w:r>
        <w:rPr>
          <w:spacing w:val="61"/>
        </w:rPr>
        <w:t> </w:t>
      </w:r>
      <w:r>
        <w:rPr/>
        <w:t>по</w:t>
      </w:r>
      <w:r>
        <w:rPr>
          <w:spacing w:val="62"/>
        </w:rPr>
        <w:t> </w:t>
      </w:r>
      <w:r>
        <w:rPr/>
        <w:t>пятибалльной</w:t>
      </w:r>
      <w:r>
        <w:rPr>
          <w:spacing w:val="60"/>
        </w:rPr>
        <w:t> </w:t>
      </w:r>
      <w:r>
        <w:rPr/>
        <w:t>шкале</w:t>
      </w:r>
      <w:r>
        <w:rPr>
          <w:spacing w:val="59"/>
        </w:rPr>
        <w:t> </w:t>
      </w:r>
      <w:r>
        <w:rPr/>
        <w:t>Лайкерта</w:t>
      </w:r>
      <w:r>
        <w:rPr>
          <w:spacing w:val="68"/>
        </w:rPr>
        <w:t> </w:t>
      </w:r>
      <w:r>
        <w:rPr>
          <w:spacing w:val="-5"/>
        </w:rPr>
        <w:t>(от</w:t>
      </w:r>
    </w:p>
    <w:p>
      <w:pPr>
        <w:pStyle w:val="Heading4"/>
        <w:spacing w:before="2"/>
        <w:ind w:right="559"/>
      </w:pPr>
      <w:r>
        <w:rPr/>
        <w:t>«Полностью</w:t>
      </w:r>
      <w:r>
        <w:rPr>
          <w:spacing w:val="-3"/>
        </w:rPr>
        <w:t> </w:t>
      </w:r>
      <w:r>
        <w:rPr/>
        <w:t>не согласен»</w:t>
      </w:r>
      <w:r>
        <w:rPr>
          <w:spacing w:val="-3"/>
        </w:rPr>
        <w:t> </w:t>
      </w:r>
      <w:r>
        <w:rPr/>
        <w:t>до «Полностью согласен»). Методика существует в трех видах, в зависимости от возраста респондентов: для детей (5–9 лет), подростков и молодежи (10–23), для взрослых (18+).</w:t>
      </w:r>
    </w:p>
    <w:p>
      <w:pPr>
        <w:pStyle w:val="Heading4"/>
        <w:spacing w:before="239"/>
        <w:ind w:right="564"/>
      </w:pPr>
      <w:r>
        <w:rPr/>
        <w:t>Особенностью</w:t>
      </w:r>
      <w:r>
        <w:rPr>
          <w:spacing w:val="-12"/>
        </w:rPr>
        <w:t> </w:t>
      </w:r>
      <w:r>
        <w:rPr/>
        <w:t>методики</w:t>
      </w:r>
      <w:r>
        <w:rPr>
          <w:spacing w:val="-10"/>
        </w:rPr>
        <w:t> </w:t>
      </w:r>
      <w:r>
        <w:rPr/>
        <w:t>является</w:t>
      </w:r>
      <w:r>
        <w:rPr>
          <w:spacing w:val="-11"/>
        </w:rPr>
        <w:t> </w:t>
      </w:r>
      <w:r>
        <w:rPr/>
        <w:t>тот</w:t>
      </w:r>
      <w:r>
        <w:rPr>
          <w:spacing w:val="-11"/>
        </w:rPr>
        <w:t> </w:t>
      </w:r>
      <w:r>
        <w:rPr/>
        <w:t>факт,</w:t>
      </w:r>
      <w:r>
        <w:rPr>
          <w:spacing w:val="-11"/>
        </w:rPr>
        <w:t> </w:t>
      </w:r>
      <w:r>
        <w:rPr/>
        <w:t>что</w:t>
      </w:r>
      <w:r>
        <w:rPr>
          <w:spacing w:val="-10"/>
        </w:rPr>
        <w:t> </w:t>
      </w:r>
      <w:r>
        <w:rPr/>
        <w:t>помимо</w:t>
      </w:r>
      <w:r>
        <w:rPr>
          <w:spacing w:val="-10"/>
        </w:rPr>
        <w:t> </w:t>
      </w:r>
      <w:r>
        <w:rPr/>
        <w:t>респондента</w:t>
      </w:r>
      <w:r>
        <w:rPr>
          <w:spacing w:val="-11"/>
        </w:rPr>
        <w:t> </w:t>
      </w:r>
      <w:r>
        <w:rPr/>
        <w:t>ее</w:t>
      </w:r>
      <w:r>
        <w:rPr>
          <w:spacing w:val="-11"/>
        </w:rPr>
        <w:t> </w:t>
      </w:r>
      <w:r>
        <w:rPr/>
        <w:t>может заполнить также информированное лицо (человек, хорошо знающий респондента, например, член семьи или близкий друг). Информированное лицо может выбрать как сам респондент, так и исследователь с просьбой заполнить опросник вместо респондента. При одновременном заполнении методики и респондентом, и информированным лицом необходимо использовать опросники с одинаковыми шкалами измерения и соответствующими друг другу формулировками вопросов.</w:t>
      </w:r>
    </w:p>
    <w:p>
      <w:pPr>
        <w:pStyle w:val="Heading4"/>
        <w:spacing w:before="240"/>
        <w:ind w:right="563"/>
      </w:pPr>
      <w:r>
        <w:rPr/>
        <w:t>При обработке данных допустимо рассматривать ответы на 17 утверждений как единую шкалу психологической устойчивости. Кроме того, на основании полученных данных можно выделить две шкалы:</w:t>
      </w:r>
    </w:p>
    <w:p>
      <w:pPr>
        <w:pStyle w:val="Heading4"/>
        <w:numPr>
          <w:ilvl w:val="0"/>
          <w:numId w:val="23"/>
        </w:numPr>
        <w:tabs>
          <w:tab w:pos="998" w:val="left" w:leader="none"/>
        </w:tabs>
        <w:spacing w:line="240" w:lineRule="auto" w:before="2" w:after="0"/>
        <w:ind w:left="565" w:right="561" w:firstLine="0"/>
        <w:jc w:val="both"/>
      </w:pPr>
      <w:r>
        <w:rPr>
          <w:i/>
        </w:rPr>
        <w:t>личностной</w:t>
      </w:r>
      <w:r>
        <w:rPr>
          <w:i/>
          <w:spacing w:val="-18"/>
        </w:rPr>
        <w:t> </w:t>
      </w:r>
      <w:r>
        <w:rPr>
          <w:i/>
        </w:rPr>
        <w:t>устойчивости</w:t>
      </w:r>
      <w:r>
        <w:rPr>
          <w:i/>
          <w:spacing w:val="-17"/>
        </w:rPr>
        <w:t> </w:t>
      </w:r>
      <w:r>
        <w:rPr/>
        <w:t>(касается</w:t>
      </w:r>
      <w:r>
        <w:rPr>
          <w:spacing w:val="-18"/>
        </w:rPr>
        <w:t> </w:t>
      </w:r>
      <w:r>
        <w:rPr/>
        <w:t>внутри-</w:t>
      </w:r>
      <w:r>
        <w:rPr>
          <w:spacing w:val="-17"/>
        </w:rPr>
        <w:t> </w:t>
      </w:r>
      <w:r>
        <w:rPr/>
        <w:t>и</w:t>
      </w:r>
      <w:r>
        <w:rPr>
          <w:spacing w:val="-18"/>
        </w:rPr>
        <w:t> </w:t>
      </w:r>
      <w:r>
        <w:rPr/>
        <w:t>межличностных</w:t>
      </w:r>
      <w:r>
        <w:rPr>
          <w:spacing w:val="-17"/>
        </w:rPr>
        <w:t> </w:t>
      </w:r>
      <w:r>
        <w:rPr/>
        <w:t>аспектов устойчивости, а именно способности к успешной социализации, вариативности поведения в различных ситуациях, значимости получения образования и саморазвития и др.);</w:t>
      </w:r>
    </w:p>
    <w:p>
      <w:pPr>
        <w:pStyle w:val="Heading4"/>
        <w:numPr>
          <w:ilvl w:val="0"/>
          <w:numId w:val="23"/>
        </w:numPr>
        <w:tabs>
          <w:tab w:pos="986" w:val="left" w:leader="none"/>
        </w:tabs>
        <w:spacing w:line="242" w:lineRule="auto" w:before="0" w:after="0"/>
        <w:ind w:left="565" w:right="564" w:firstLine="0"/>
        <w:jc w:val="both"/>
      </w:pPr>
      <w:r>
        <w:rPr>
          <w:i/>
        </w:rPr>
        <w:t>социальной</w:t>
      </w:r>
      <w:r>
        <w:rPr>
          <w:i/>
          <w:spacing w:val="-18"/>
        </w:rPr>
        <w:t> </w:t>
      </w:r>
      <w:r>
        <w:rPr>
          <w:i/>
        </w:rPr>
        <w:t>устойчивости</w:t>
      </w:r>
      <w:r>
        <w:rPr>
          <w:i/>
          <w:spacing w:val="-17"/>
        </w:rPr>
        <w:t> </w:t>
      </w:r>
      <w:r>
        <w:rPr/>
        <w:t>(отражает</w:t>
      </w:r>
      <w:r>
        <w:rPr>
          <w:spacing w:val="-18"/>
        </w:rPr>
        <w:t> </w:t>
      </w:r>
      <w:r>
        <w:rPr/>
        <w:t>такие</w:t>
      </w:r>
      <w:r>
        <w:rPr>
          <w:spacing w:val="-17"/>
        </w:rPr>
        <w:t> </w:t>
      </w:r>
      <w:r>
        <w:rPr/>
        <w:t>параметры</w:t>
      </w:r>
      <w:r>
        <w:rPr>
          <w:spacing w:val="-18"/>
        </w:rPr>
        <w:t> </w:t>
      </w:r>
      <w:r>
        <w:rPr/>
        <w:t>устойчивости,</w:t>
      </w:r>
      <w:r>
        <w:rPr>
          <w:spacing w:val="-17"/>
        </w:rPr>
        <w:t> </w:t>
      </w:r>
      <w:r>
        <w:rPr/>
        <w:t>как ресурсы и поддержка, получаемые в семье и от социального окружения).</w:t>
      </w:r>
    </w:p>
    <w:p>
      <w:pPr>
        <w:pStyle w:val="BodyText"/>
        <w:ind w:left="0" w:right="0" w:firstLine="0"/>
        <w:jc w:val="left"/>
        <w:rPr>
          <w:sz w:val="28"/>
        </w:rPr>
      </w:pPr>
    </w:p>
    <w:p>
      <w:pPr>
        <w:pStyle w:val="BodyText"/>
        <w:spacing w:before="158"/>
        <w:ind w:left="0" w:right="0" w:firstLine="0"/>
        <w:jc w:val="left"/>
        <w:rPr>
          <w:sz w:val="28"/>
        </w:rPr>
      </w:pPr>
    </w:p>
    <w:p>
      <w:pPr>
        <w:pStyle w:val="Heading3"/>
        <w:spacing w:before="0"/>
        <w:ind w:left="354"/>
      </w:pPr>
      <w:r>
        <w:rPr/>
        <w:t>Проведение</w:t>
      </w:r>
      <w:r>
        <w:rPr>
          <w:spacing w:val="-4"/>
        </w:rPr>
        <w:t> </w:t>
      </w:r>
      <w:r>
        <w:rPr>
          <w:spacing w:val="-2"/>
        </w:rPr>
        <w:t>методики</w:t>
      </w:r>
    </w:p>
    <w:p>
      <w:pPr>
        <w:pStyle w:val="Heading4"/>
        <w:spacing w:before="233"/>
        <w:ind w:right="570"/>
      </w:pPr>
      <w:r>
        <w:rPr/>
        <w:t>Для проведения методики респондентам (и/или информированным лицам) раздаются бланки с набором из 17 утверждений, и по каждому из них необходимо</w:t>
      </w:r>
      <w:r>
        <w:rPr>
          <w:spacing w:val="28"/>
        </w:rPr>
        <w:t>  </w:t>
      </w:r>
      <w:r>
        <w:rPr/>
        <w:t>выбрать</w:t>
      </w:r>
      <w:r>
        <w:rPr>
          <w:spacing w:val="28"/>
        </w:rPr>
        <w:t>  </w:t>
      </w:r>
      <w:r>
        <w:rPr/>
        <w:t>наиболее</w:t>
      </w:r>
      <w:r>
        <w:rPr>
          <w:spacing w:val="28"/>
        </w:rPr>
        <w:t>  </w:t>
      </w:r>
      <w:r>
        <w:rPr/>
        <w:t>подходящий</w:t>
      </w:r>
      <w:r>
        <w:rPr>
          <w:spacing w:val="29"/>
        </w:rPr>
        <w:t>  </w:t>
      </w:r>
      <w:r>
        <w:rPr/>
        <w:t>вариант:</w:t>
      </w:r>
      <w:r>
        <w:rPr>
          <w:spacing w:val="28"/>
        </w:rPr>
        <w:t>  </w:t>
      </w:r>
      <w:r>
        <w:rPr/>
        <w:t>обвести</w:t>
      </w:r>
      <w:r>
        <w:rPr>
          <w:spacing w:val="29"/>
        </w:rPr>
        <w:t>  </w:t>
      </w:r>
      <w:r>
        <w:rPr/>
        <w:t>в</w:t>
      </w:r>
      <w:r>
        <w:rPr>
          <w:spacing w:val="28"/>
        </w:rPr>
        <w:t>  </w:t>
      </w:r>
      <w:r>
        <w:rPr>
          <w:spacing w:val="-2"/>
        </w:rPr>
        <w:t>бланке</w:t>
      </w:r>
    </w:p>
    <w:p>
      <w:pPr>
        <w:pStyle w:val="Heading4"/>
        <w:spacing w:after="0"/>
        <w:sectPr>
          <w:pgSz w:w="11910" w:h="16840"/>
          <w:pgMar w:header="0" w:footer="970" w:top="1040" w:bottom="1220" w:left="1417" w:right="283"/>
        </w:sectPr>
      </w:pPr>
    </w:p>
    <w:p>
      <w:pPr>
        <w:pStyle w:val="Heading4"/>
        <w:spacing w:before="67"/>
        <w:ind w:right="562"/>
      </w:pPr>
      <w:r>
        <w:rPr/>
        <w:t>соответствующий номер кружочком (см. </w:t>
      </w:r>
      <w:r>
        <w:rPr>
          <w:i/>
        </w:rPr>
        <w:t>Приложение 7</w:t>
      </w:r>
      <w:r>
        <w:rPr/>
        <w:t>). Возможно проведение методики в электронном виде. Бланк методики заполняется каждым респондентом индивидуально. Перед началом респонденты информируются</w:t>
      </w:r>
      <w:r>
        <w:rPr>
          <w:spacing w:val="-1"/>
        </w:rPr>
        <w:t> </w:t>
      </w:r>
      <w:r>
        <w:rPr/>
        <w:t>о</w:t>
      </w:r>
      <w:r>
        <w:rPr>
          <w:spacing w:val="-1"/>
        </w:rPr>
        <w:t> </w:t>
      </w:r>
      <w:r>
        <w:rPr/>
        <w:t>правилах</w:t>
      </w:r>
      <w:r>
        <w:rPr>
          <w:spacing w:val="-1"/>
        </w:rPr>
        <w:t> </w:t>
      </w:r>
      <w:r>
        <w:rPr/>
        <w:t>анонимности</w:t>
      </w:r>
      <w:r>
        <w:rPr>
          <w:spacing w:val="-1"/>
        </w:rPr>
        <w:t> </w:t>
      </w:r>
      <w:r>
        <w:rPr/>
        <w:t>при</w:t>
      </w:r>
      <w:r>
        <w:rPr>
          <w:spacing w:val="-1"/>
        </w:rPr>
        <w:t> </w:t>
      </w:r>
      <w:r>
        <w:rPr/>
        <w:t>ответах</w:t>
      </w:r>
      <w:r>
        <w:rPr>
          <w:spacing w:val="-1"/>
        </w:rPr>
        <w:t> </w:t>
      </w:r>
      <w:r>
        <w:rPr/>
        <w:t>на</w:t>
      </w:r>
      <w:r>
        <w:rPr>
          <w:spacing w:val="-1"/>
        </w:rPr>
        <w:t> </w:t>
      </w:r>
      <w:r>
        <w:rPr/>
        <w:t>вопросы</w:t>
      </w:r>
      <w:r>
        <w:rPr>
          <w:spacing w:val="-1"/>
        </w:rPr>
        <w:t> </w:t>
      </w:r>
      <w:r>
        <w:rPr/>
        <w:t>методики</w:t>
      </w:r>
      <w:r>
        <w:rPr>
          <w:spacing w:val="-1"/>
        </w:rPr>
        <w:t> </w:t>
      </w:r>
      <w:r>
        <w:rPr/>
        <w:t>и конфиденциальности при использовании результатов.</w:t>
      </w:r>
    </w:p>
    <w:p>
      <w:pPr>
        <w:pStyle w:val="Heading4"/>
        <w:spacing w:before="241"/>
        <w:ind w:right="568"/>
      </w:pPr>
      <w:r>
        <w:rPr/>
        <w:t>При проведении варианта методики для информированных лиц необходимо уточнить, кем человек приходится респонденту (родитель, учитель, член семьи, партнер, друг и др.).</w:t>
      </w:r>
    </w:p>
    <w:p>
      <w:pPr>
        <w:pStyle w:val="Heading4"/>
        <w:spacing w:before="241"/>
        <w:ind w:right="568"/>
      </w:pPr>
      <w:r>
        <w:rPr/>
        <w:t>В детской версии шкалы наряду с номерами можно использовать иллюстративный материал, например:</w:t>
      </w:r>
    </w:p>
    <w:p>
      <w:pPr>
        <w:pStyle w:val="BodyText"/>
        <w:ind w:left="0" w:right="0" w:firstLine="0"/>
        <w:jc w:val="left"/>
      </w:pPr>
    </w:p>
    <w:p>
      <w:pPr>
        <w:pStyle w:val="BodyText"/>
        <w:ind w:left="0" w:right="0" w:firstLine="0"/>
        <w:jc w:val="left"/>
      </w:pPr>
    </w:p>
    <w:p>
      <w:pPr>
        <w:pStyle w:val="BodyText"/>
        <w:spacing w:before="59"/>
        <w:ind w:left="0" w:right="0" w:firstLine="0"/>
        <w:jc w:val="left"/>
      </w:pPr>
    </w:p>
    <w:tbl>
      <w:tblPr>
        <w:tblW w:w="0" w:type="auto"/>
        <w:jc w:val="left"/>
        <w:tblInd w:w="1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2"/>
        <w:gridCol w:w="1274"/>
        <w:gridCol w:w="1560"/>
        <w:gridCol w:w="1277"/>
        <w:gridCol w:w="1699"/>
      </w:tblGrid>
      <w:tr>
        <w:trPr>
          <w:trHeight w:val="1030" w:hRule="atLeast"/>
        </w:trPr>
        <w:tc>
          <w:tcPr>
            <w:tcW w:w="1702" w:type="dxa"/>
            <w:tcBorders>
              <w:bottom w:val="nil"/>
            </w:tcBorders>
          </w:tcPr>
          <w:p>
            <w:pPr>
              <w:pStyle w:val="TableParagraph"/>
              <w:spacing w:line="276" w:lineRule="auto"/>
              <w:ind w:left="412" w:hanging="305"/>
              <w:rPr>
                <w:i/>
                <w:sz w:val="24"/>
              </w:rPr>
            </w:pPr>
            <w:r>
              <w:rPr>
                <w:i/>
                <w:sz w:val="24"/>
              </w:rPr>
              <w:t>Полностью</w:t>
            </w:r>
            <w:r>
              <w:rPr>
                <w:i/>
                <w:spacing w:val="-15"/>
                <w:sz w:val="24"/>
              </w:rPr>
              <w:t> </w:t>
            </w:r>
            <w:r>
              <w:rPr>
                <w:i/>
                <w:sz w:val="24"/>
              </w:rPr>
              <w:t>не </w:t>
            </w:r>
            <w:r>
              <w:rPr>
                <w:i/>
                <w:spacing w:val="-2"/>
                <w:sz w:val="24"/>
              </w:rPr>
              <w:t>согласен</w:t>
            </w:r>
          </w:p>
        </w:tc>
        <w:tc>
          <w:tcPr>
            <w:tcW w:w="1274" w:type="dxa"/>
            <w:tcBorders>
              <w:bottom w:val="nil"/>
            </w:tcBorders>
          </w:tcPr>
          <w:p>
            <w:pPr>
              <w:pStyle w:val="TableParagraph"/>
              <w:spacing w:line="276" w:lineRule="auto"/>
              <w:ind w:left="196" w:right="120" w:hanging="68"/>
              <w:rPr>
                <w:i/>
                <w:sz w:val="24"/>
              </w:rPr>
            </w:pPr>
            <w:r>
              <w:rPr>
                <w:i/>
                <w:sz w:val="24"/>
              </w:rPr>
              <w:t>Скорее</w:t>
            </w:r>
            <w:r>
              <w:rPr>
                <w:i/>
                <w:spacing w:val="-15"/>
                <w:sz w:val="24"/>
              </w:rPr>
              <w:t> </w:t>
            </w:r>
            <w:r>
              <w:rPr>
                <w:i/>
                <w:sz w:val="24"/>
              </w:rPr>
              <w:t>не </w:t>
            </w:r>
            <w:r>
              <w:rPr>
                <w:i/>
                <w:spacing w:val="-2"/>
                <w:sz w:val="24"/>
              </w:rPr>
              <w:t>согласен</w:t>
            </w:r>
          </w:p>
        </w:tc>
        <w:tc>
          <w:tcPr>
            <w:tcW w:w="1560" w:type="dxa"/>
            <w:tcBorders>
              <w:bottom w:val="nil"/>
            </w:tcBorders>
          </w:tcPr>
          <w:p>
            <w:pPr>
              <w:pStyle w:val="TableParagraph"/>
              <w:spacing w:line="276" w:lineRule="auto"/>
              <w:ind w:left="175" w:right="166" w:firstLine="2"/>
              <w:jc w:val="center"/>
              <w:rPr>
                <w:i/>
                <w:sz w:val="24"/>
              </w:rPr>
            </w:pPr>
            <w:r>
              <w:rPr>
                <w:i/>
                <w:sz w:val="24"/>
              </w:rPr>
              <w:t>В чем-то согласен, в чем-то</w:t>
            </w:r>
            <w:r>
              <w:rPr>
                <w:i/>
                <w:spacing w:val="-5"/>
                <w:sz w:val="24"/>
              </w:rPr>
              <w:t> </w:t>
            </w:r>
            <w:r>
              <w:rPr>
                <w:i/>
                <w:spacing w:val="-5"/>
                <w:sz w:val="24"/>
              </w:rPr>
              <w:t>нет</w:t>
            </w:r>
          </w:p>
        </w:tc>
        <w:tc>
          <w:tcPr>
            <w:tcW w:w="1277" w:type="dxa"/>
            <w:tcBorders>
              <w:bottom w:val="nil"/>
            </w:tcBorders>
          </w:tcPr>
          <w:p>
            <w:pPr>
              <w:pStyle w:val="TableParagraph"/>
              <w:spacing w:line="276" w:lineRule="auto"/>
              <w:ind w:left="200" w:right="186" w:firstLine="76"/>
              <w:rPr>
                <w:i/>
                <w:sz w:val="24"/>
              </w:rPr>
            </w:pPr>
            <w:r>
              <w:rPr>
                <w:i/>
                <w:spacing w:val="-2"/>
                <w:sz w:val="24"/>
              </w:rPr>
              <w:t>Скорее согласен</w:t>
            </w:r>
          </w:p>
        </w:tc>
        <w:tc>
          <w:tcPr>
            <w:tcW w:w="1699" w:type="dxa"/>
            <w:tcBorders>
              <w:bottom w:val="nil"/>
            </w:tcBorders>
          </w:tcPr>
          <w:p>
            <w:pPr>
              <w:pStyle w:val="TableParagraph"/>
              <w:spacing w:line="276" w:lineRule="auto"/>
              <w:ind w:left="411" w:hanging="161"/>
              <w:rPr>
                <w:i/>
                <w:sz w:val="24"/>
              </w:rPr>
            </w:pPr>
            <w:r>
              <w:rPr>
                <w:i/>
                <w:spacing w:val="-2"/>
                <w:sz w:val="24"/>
              </w:rPr>
              <w:t>Полностью согласен</w:t>
            </w:r>
          </w:p>
        </w:tc>
      </w:tr>
      <w:tr>
        <w:trPr>
          <w:trHeight w:val="639" w:hRule="atLeast"/>
        </w:trPr>
        <w:tc>
          <w:tcPr>
            <w:tcW w:w="1702" w:type="dxa"/>
            <w:tcBorders>
              <w:top w:val="nil"/>
            </w:tcBorders>
          </w:tcPr>
          <w:p>
            <w:pPr>
              <w:pStyle w:val="TableParagraph"/>
              <w:spacing w:before="116"/>
              <w:ind w:left="6" w:right="3"/>
              <w:jc w:val="center"/>
              <w:rPr>
                <w:i/>
                <w:sz w:val="24"/>
              </w:rPr>
            </w:pPr>
            <w:r>
              <w:rPr>
                <w:i/>
                <w:spacing w:val="-5"/>
                <w:sz w:val="24"/>
              </w:rPr>
              <w:t>[1]</w:t>
            </w:r>
          </w:p>
        </w:tc>
        <w:tc>
          <w:tcPr>
            <w:tcW w:w="1274" w:type="dxa"/>
            <w:tcBorders>
              <w:top w:val="nil"/>
            </w:tcBorders>
          </w:tcPr>
          <w:p>
            <w:pPr>
              <w:pStyle w:val="TableParagraph"/>
              <w:spacing w:before="116"/>
              <w:ind w:left="4" w:right="1"/>
              <w:jc w:val="center"/>
              <w:rPr>
                <w:i/>
                <w:sz w:val="24"/>
              </w:rPr>
            </w:pPr>
            <w:r>
              <w:rPr>
                <w:i/>
                <w:spacing w:val="-5"/>
                <w:sz w:val="24"/>
              </w:rPr>
              <w:t>[2]</w:t>
            </w:r>
          </w:p>
        </w:tc>
        <w:tc>
          <w:tcPr>
            <w:tcW w:w="1560" w:type="dxa"/>
            <w:tcBorders>
              <w:top w:val="nil"/>
            </w:tcBorders>
          </w:tcPr>
          <w:p>
            <w:pPr>
              <w:pStyle w:val="TableParagraph"/>
              <w:spacing w:before="116"/>
              <w:ind w:left="9" w:right="3"/>
              <w:jc w:val="center"/>
              <w:rPr>
                <w:i/>
                <w:sz w:val="24"/>
              </w:rPr>
            </w:pPr>
            <w:r>
              <w:rPr>
                <w:i/>
                <w:spacing w:val="-5"/>
                <w:sz w:val="24"/>
              </w:rPr>
              <w:t>[3]</w:t>
            </w:r>
          </w:p>
        </w:tc>
        <w:tc>
          <w:tcPr>
            <w:tcW w:w="1277" w:type="dxa"/>
            <w:tcBorders>
              <w:top w:val="nil"/>
            </w:tcBorders>
          </w:tcPr>
          <w:p>
            <w:pPr>
              <w:pStyle w:val="TableParagraph"/>
              <w:spacing w:before="116"/>
              <w:ind w:left="148" w:right="142"/>
              <w:jc w:val="center"/>
              <w:rPr>
                <w:i/>
                <w:sz w:val="24"/>
              </w:rPr>
            </w:pPr>
            <w:r>
              <w:rPr>
                <w:i/>
                <w:spacing w:val="-5"/>
                <w:sz w:val="24"/>
              </w:rPr>
              <w:t>[4]</w:t>
            </w:r>
          </w:p>
        </w:tc>
        <w:tc>
          <w:tcPr>
            <w:tcW w:w="1699" w:type="dxa"/>
            <w:tcBorders>
              <w:top w:val="nil"/>
            </w:tcBorders>
          </w:tcPr>
          <w:p>
            <w:pPr>
              <w:pStyle w:val="TableParagraph"/>
              <w:spacing w:before="116"/>
              <w:ind w:left="2"/>
              <w:jc w:val="center"/>
              <w:rPr>
                <w:i/>
                <w:sz w:val="24"/>
              </w:rPr>
            </w:pPr>
            <w:r>
              <w:rPr>
                <w:i/>
                <w:spacing w:val="-5"/>
                <w:sz w:val="24"/>
              </w:rPr>
              <w:t>[5]</w:t>
            </w:r>
          </w:p>
        </w:tc>
      </w:tr>
    </w:tbl>
    <w:p>
      <w:pPr>
        <w:pStyle w:val="BodyText"/>
        <w:spacing w:before="2"/>
        <w:ind w:left="0" w:right="0" w:firstLine="0"/>
        <w:jc w:val="left"/>
        <w:rPr>
          <w:sz w:val="10"/>
        </w:rPr>
      </w:pPr>
      <w:r>
        <w:rPr>
          <w:sz w:val="10"/>
        </w:rPr>
        <w:drawing>
          <wp:anchor distT="0" distB="0" distL="0" distR="0" allowOverlap="1" layoutInCell="1" locked="0" behindDoc="1" simplePos="0" relativeHeight="487607808">
            <wp:simplePos x="0" y="0"/>
            <wp:positionH relativeFrom="page">
              <wp:posOffset>2418626</wp:posOffset>
            </wp:positionH>
            <wp:positionV relativeFrom="paragraph">
              <wp:posOffset>89661</wp:posOffset>
            </wp:positionV>
            <wp:extent cx="3904928" cy="1106328"/>
            <wp:effectExtent l="0" t="0" r="0" b="0"/>
            <wp:wrapTopAndBottom/>
            <wp:docPr id="72" name="Image 72"/>
            <wp:cNvGraphicFramePr>
              <a:graphicFrameLocks/>
            </wp:cNvGraphicFramePr>
            <a:graphic>
              <a:graphicData uri="http://schemas.openxmlformats.org/drawingml/2006/picture">
                <pic:pic>
                  <pic:nvPicPr>
                    <pic:cNvPr id="72" name="Image 72"/>
                    <pic:cNvPicPr/>
                  </pic:nvPicPr>
                  <pic:blipFill>
                    <a:blip r:embed="rId46" cstate="print"/>
                    <a:stretch>
                      <a:fillRect/>
                    </a:stretch>
                  </pic:blipFill>
                  <pic:spPr>
                    <a:xfrm>
                      <a:off x="0" y="0"/>
                      <a:ext cx="3904928" cy="1106328"/>
                    </a:xfrm>
                    <a:prstGeom prst="rect">
                      <a:avLst/>
                    </a:prstGeom>
                  </pic:spPr>
                </pic:pic>
              </a:graphicData>
            </a:graphic>
          </wp:anchor>
        </w:drawing>
      </w:r>
    </w:p>
    <w:p>
      <w:pPr>
        <w:pStyle w:val="BodyText"/>
        <w:spacing w:before="8"/>
        <w:ind w:left="0" w:right="0" w:firstLine="0"/>
        <w:jc w:val="left"/>
        <w:rPr>
          <w:sz w:val="28"/>
        </w:rPr>
      </w:pPr>
    </w:p>
    <w:p>
      <w:pPr>
        <w:pStyle w:val="Heading4"/>
        <w:ind w:left="851"/>
        <w:jc w:val="left"/>
      </w:pPr>
      <w:r>
        <w:rPr>
          <w:spacing w:val="-4"/>
        </w:rPr>
        <w:t>Или:</w:t>
      </w:r>
    </w:p>
    <w:p>
      <w:pPr>
        <w:pStyle w:val="BodyText"/>
        <w:spacing w:before="16"/>
        <w:ind w:left="0" w:right="0" w:firstLine="0"/>
        <w:jc w:val="left"/>
      </w:pPr>
      <w:r>
        <w:rPr/>
        <w:drawing>
          <wp:anchor distT="0" distB="0" distL="0" distR="0" allowOverlap="1" layoutInCell="1" locked="0" behindDoc="1" simplePos="0" relativeHeight="487608320">
            <wp:simplePos x="0" y="0"/>
            <wp:positionH relativeFrom="page">
              <wp:posOffset>2272942</wp:posOffset>
            </wp:positionH>
            <wp:positionV relativeFrom="paragraph">
              <wp:posOffset>171804</wp:posOffset>
            </wp:positionV>
            <wp:extent cx="4232960" cy="850773"/>
            <wp:effectExtent l="0" t="0" r="0" b="0"/>
            <wp:wrapTopAndBottom/>
            <wp:docPr id="73" name="Image 73"/>
            <wp:cNvGraphicFramePr>
              <a:graphicFrameLocks/>
            </wp:cNvGraphicFramePr>
            <a:graphic>
              <a:graphicData uri="http://schemas.openxmlformats.org/drawingml/2006/picture">
                <pic:pic>
                  <pic:nvPicPr>
                    <pic:cNvPr id="73" name="Image 73"/>
                    <pic:cNvPicPr/>
                  </pic:nvPicPr>
                  <pic:blipFill>
                    <a:blip r:embed="rId47" cstate="print"/>
                    <a:stretch>
                      <a:fillRect/>
                    </a:stretch>
                  </pic:blipFill>
                  <pic:spPr>
                    <a:xfrm>
                      <a:off x="0" y="0"/>
                      <a:ext cx="4232960" cy="850773"/>
                    </a:xfrm>
                    <a:prstGeom prst="rect">
                      <a:avLst/>
                    </a:prstGeom>
                  </pic:spPr>
                </pic:pic>
              </a:graphicData>
            </a:graphic>
          </wp:anchor>
        </w:drawing>
      </w:r>
    </w:p>
    <w:p>
      <w:pPr>
        <w:pStyle w:val="BodyText"/>
        <w:ind w:left="0" w:right="0" w:firstLine="0"/>
        <w:jc w:val="left"/>
        <w:rPr>
          <w:sz w:val="28"/>
        </w:rPr>
      </w:pPr>
    </w:p>
    <w:p>
      <w:pPr>
        <w:pStyle w:val="BodyText"/>
        <w:spacing w:before="271"/>
        <w:ind w:left="0" w:right="0" w:firstLine="0"/>
        <w:jc w:val="left"/>
        <w:rPr>
          <w:sz w:val="28"/>
        </w:rPr>
      </w:pPr>
    </w:p>
    <w:p>
      <w:pPr>
        <w:pStyle w:val="Heading4"/>
        <w:ind w:right="566"/>
      </w:pPr>
      <w:r>
        <w:rPr/>
        <w:t>Для подсчета общего показателя жизнестойкости необходимо суммировать баллы по всем 17 утверждениям. Минимальным показателем будет 17, а максимальным — 85 (по пятибалльной шкале) либо 51 (по трехбалльной шкале). Все утверждения являются прямыми.</w:t>
      </w:r>
    </w:p>
    <w:p>
      <w:pPr>
        <w:pStyle w:val="Heading4"/>
        <w:spacing w:before="239"/>
        <w:ind w:right="563"/>
      </w:pPr>
      <w:r>
        <w:rPr/>
        <w:t>Для подсчета данных по субшкале «Личностная устойчивость» необходимо подсчитать сумму баллов по утверждениям: 1, 2, 3, 7, 9, 10, 12, 13, 14, 16. Минимальный показатель будет равен 10, максимальный — 50 (либо 30 по трехбалльной шкале).</w:t>
      </w:r>
    </w:p>
    <w:p>
      <w:pPr>
        <w:pStyle w:val="Heading4"/>
        <w:spacing w:after="0"/>
        <w:sectPr>
          <w:pgSz w:w="11910" w:h="16840"/>
          <w:pgMar w:header="0" w:footer="970" w:top="1040" w:bottom="1220" w:left="1417" w:right="283"/>
        </w:sectPr>
      </w:pPr>
    </w:p>
    <w:p>
      <w:pPr>
        <w:pStyle w:val="Heading4"/>
        <w:spacing w:before="67"/>
        <w:ind w:right="565"/>
      </w:pPr>
      <w:r>
        <w:rPr/>
        <w:t>Для подсчета данных по субшкале «Социальная устойчивость» необходимо подсчитать</w:t>
      </w:r>
      <w:r>
        <w:rPr>
          <w:spacing w:val="-16"/>
        </w:rPr>
        <w:t> </w:t>
      </w:r>
      <w:r>
        <w:rPr/>
        <w:t>сумму</w:t>
      </w:r>
      <w:r>
        <w:rPr>
          <w:spacing w:val="-16"/>
        </w:rPr>
        <w:t> </w:t>
      </w:r>
      <w:r>
        <w:rPr/>
        <w:t>баллов</w:t>
      </w:r>
      <w:r>
        <w:rPr>
          <w:spacing w:val="-16"/>
        </w:rPr>
        <w:t> </w:t>
      </w:r>
      <w:r>
        <w:rPr/>
        <w:t>по</w:t>
      </w:r>
      <w:r>
        <w:rPr>
          <w:spacing w:val="-14"/>
        </w:rPr>
        <w:t> </w:t>
      </w:r>
      <w:r>
        <w:rPr/>
        <w:t>утверждениям:</w:t>
      </w:r>
      <w:r>
        <w:rPr>
          <w:spacing w:val="-14"/>
        </w:rPr>
        <w:t> </w:t>
      </w:r>
      <w:r>
        <w:rPr/>
        <w:t>4,</w:t>
      </w:r>
      <w:r>
        <w:rPr>
          <w:spacing w:val="-15"/>
        </w:rPr>
        <w:t> </w:t>
      </w:r>
      <w:r>
        <w:rPr/>
        <w:t>5,</w:t>
      </w:r>
      <w:r>
        <w:rPr>
          <w:spacing w:val="-18"/>
        </w:rPr>
        <w:t> </w:t>
      </w:r>
      <w:r>
        <w:rPr/>
        <w:t>6,</w:t>
      </w:r>
      <w:r>
        <w:rPr>
          <w:spacing w:val="-14"/>
        </w:rPr>
        <w:t> </w:t>
      </w:r>
      <w:r>
        <w:rPr/>
        <w:t>8,</w:t>
      </w:r>
      <w:r>
        <w:rPr>
          <w:spacing w:val="-15"/>
        </w:rPr>
        <w:t> </w:t>
      </w:r>
      <w:r>
        <w:rPr/>
        <w:t>11,</w:t>
      </w:r>
      <w:r>
        <w:rPr>
          <w:spacing w:val="-15"/>
        </w:rPr>
        <w:t> </w:t>
      </w:r>
      <w:r>
        <w:rPr/>
        <w:t>15,</w:t>
      </w:r>
      <w:r>
        <w:rPr>
          <w:spacing w:val="-18"/>
        </w:rPr>
        <w:t> </w:t>
      </w:r>
      <w:r>
        <w:rPr/>
        <w:t>17.</w:t>
      </w:r>
      <w:r>
        <w:rPr>
          <w:spacing w:val="-14"/>
        </w:rPr>
        <w:t> </w:t>
      </w:r>
      <w:r>
        <w:rPr/>
        <w:t>Минимальный показатель будет равен 7, максимальный — 35 (либо 21 по трехбалльной </w:t>
      </w:r>
      <w:r>
        <w:rPr>
          <w:spacing w:val="-2"/>
        </w:rPr>
        <w:t>шкале).</w:t>
      </w:r>
    </w:p>
    <w:p>
      <w:pPr>
        <w:pStyle w:val="Heading4"/>
        <w:tabs>
          <w:tab w:pos="1488" w:val="left" w:leader="none"/>
          <w:tab w:pos="2908" w:val="left" w:leader="none"/>
          <w:tab w:pos="4294" w:val="left" w:leader="none"/>
          <w:tab w:pos="5963" w:val="left" w:leader="none"/>
          <w:tab w:pos="7687" w:val="left" w:leader="none"/>
          <w:tab w:pos="8097" w:val="left" w:leader="none"/>
        </w:tabs>
        <w:spacing w:before="241"/>
        <w:ind w:right="571"/>
        <w:jc w:val="left"/>
      </w:pPr>
      <w:r>
        <w:rPr>
          <w:spacing w:val="-2"/>
        </w:rPr>
        <w:t>Авторы</w:t>
      </w:r>
      <w:r>
        <w:rPr/>
        <w:tab/>
      </w:r>
      <w:r>
        <w:rPr>
          <w:spacing w:val="-2"/>
        </w:rPr>
        <w:t>методики</w:t>
      </w:r>
      <w:r>
        <w:rPr/>
        <w:tab/>
      </w:r>
      <w:r>
        <w:rPr>
          <w:spacing w:val="-2"/>
        </w:rPr>
        <w:t>приводят</w:t>
      </w:r>
      <w:r>
        <w:rPr/>
        <w:tab/>
      </w:r>
      <w:r>
        <w:rPr>
          <w:spacing w:val="-2"/>
        </w:rPr>
        <w:t>показатели,</w:t>
      </w:r>
      <w:r>
        <w:rPr/>
        <w:tab/>
      </w:r>
      <w:r>
        <w:rPr>
          <w:spacing w:val="-2"/>
        </w:rPr>
        <w:t>полученные</w:t>
      </w:r>
      <w:r>
        <w:rPr/>
        <w:tab/>
      </w:r>
      <w:r>
        <w:rPr>
          <w:spacing w:val="-10"/>
        </w:rPr>
        <w:t>в</w:t>
      </w:r>
      <w:r>
        <w:rPr/>
        <w:tab/>
      </w:r>
      <w:r>
        <w:rPr>
          <w:spacing w:val="-2"/>
        </w:rPr>
        <w:t>предыдущих </w:t>
      </w:r>
      <w:r>
        <w:rPr/>
        <w:t>исследованиях за рубежом:</w:t>
      </w:r>
    </w:p>
    <w:p>
      <w:pPr>
        <w:pStyle w:val="Heading4"/>
        <w:numPr>
          <w:ilvl w:val="0"/>
          <w:numId w:val="23"/>
        </w:numPr>
        <w:tabs>
          <w:tab w:pos="1120" w:val="left" w:leader="none"/>
        </w:tabs>
        <w:spacing w:line="321" w:lineRule="exact" w:before="0" w:after="0"/>
        <w:ind w:left="1120" w:right="0" w:hanging="555"/>
        <w:jc w:val="left"/>
      </w:pPr>
      <w:r>
        <w:rPr/>
        <w:t>низкий</w:t>
      </w:r>
      <w:r>
        <w:rPr>
          <w:spacing w:val="-8"/>
        </w:rPr>
        <w:t> </w:t>
      </w:r>
      <w:r>
        <w:rPr/>
        <w:t>показатель</w:t>
      </w:r>
      <w:r>
        <w:rPr>
          <w:spacing w:val="-8"/>
        </w:rPr>
        <w:t> </w:t>
      </w:r>
      <w:r>
        <w:rPr/>
        <w:t>устойчивости:</w:t>
      </w:r>
      <w:r>
        <w:rPr>
          <w:spacing w:val="-6"/>
        </w:rPr>
        <w:t> </w:t>
      </w:r>
      <w:r>
        <w:rPr>
          <w:spacing w:val="-2"/>
        </w:rPr>
        <w:t>&lt;61–63;</w:t>
      </w:r>
    </w:p>
    <w:p>
      <w:pPr>
        <w:pStyle w:val="Heading4"/>
        <w:numPr>
          <w:ilvl w:val="0"/>
          <w:numId w:val="23"/>
        </w:numPr>
        <w:tabs>
          <w:tab w:pos="1122" w:val="left" w:leader="none"/>
        </w:tabs>
        <w:spacing w:line="322" w:lineRule="exact" w:before="2" w:after="0"/>
        <w:ind w:left="1122" w:right="0" w:hanging="557"/>
        <w:jc w:val="left"/>
      </w:pPr>
      <w:r>
        <w:rPr/>
        <w:t>умеренный</w:t>
      </w:r>
      <w:r>
        <w:rPr>
          <w:spacing w:val="-14"/>
        </w:rPr>
        <w:t> </w:t>
      </w:r>
      <w:r>
        <w:rPr/>
        <w:t>показатель</w:t>
      </w:r>
      <w:r>
        <w:rPr>
          <w:spacing w:val="-10"/>
        </w:rPr>
        <w:t> </w:t>
      </w:r>
      <w:r>
        <w:rPr/>
        <w:t>устойчивости:</w:t>
      </w:r>
      <w:r>
        <w:rPr>
          <w:spacing w:val="-10"/>
        </w:rPr>
        <w:t> </w:t>
      </w:r>
      <w:r>
        <w:rPr>
          <w:spacing w:val="-2"/>
        </w:rPr>
        <w:t>61–69;</w:t>
      </w:r>
    </w:p>
    <w:p>
      <w:pPr>
        <w:pStyle w:val="Heading4"/>
        <w:numPr>
          <w:ilvl w:val="0"/>
          <w:numId w:val="23"/>
        </w:numPr>
        <w:tabs>
          <w:tab w:pos="1122" w:val="left" w:leader="none"/>
        </w:tabs>
        <w:spacing w:line="322" w:lineRule="exact" w:before="0" w:after="0"/>
        <w:ind w:left="1122" w:right="0" w:hanging="557"/>
        <w:jc w:val="left"/>
      </w:pPr>
      <w:r>
        <w:rPr/>
        <w:t>высокий</w:t>
      </w:r>
      <w:r>
        <w:rPr>
          <w:spacing w:val="-9"/>
        </w:rPr>
        <w:t> </w:t>
      </w:r>
      <w:r>
        <w:rPr/>
        <w:t>показатель</w:t>
      </w:r>
      <w:r>
        <w:rPr>
          <w:spacing w:val="-9"/>
        </w:rPr>
        <w:t> </w:t>
      </w:r>
      <w:r>
        <w:rPr/>
        <w:t>устойчивости:</w:t>
      </w:r>
      <w:r>
        <w:rPr>
          <w:spacing w:val="-8"/>
        </w:rPr>
        <w:t> </w:t>
      </w:r>
      <w:r>
        <w:rPr>
          <w:spacing w:val="-2"/>
        </w:rPr>
        <w:t>70–76;</w:t>
      </w:r>
    </w:p>
    <w:p>
      <w:pPr>
        <w:pStyle w:val="Heading4"/>
        <w:numPr>
          <w:ilvl w:val="0"/>
          <w:numId w:val="23"/>
        </w:numPr>
        <w:tabs>
          <w:tab w:pos="1122" w:val="left" w:leader="none"/>
        </w:tabs>
        <w:spacing w:line="240" w:lineRule="auto" w:before="0" w:after="0"/>
        <w:ind w:left="1122" w:right="0" w:hanging="557"/>
        <w:jc w:val="left"/>
      </w:pPr>
      <w:r>
        <w:rPr/>
        <w:t>крайне</w:t>
      </w:r>
      <w:r>
        <w:rPr>
          <w:spacing w:val="-8"/>
        </w:rPr>
        <w:t> </w:t>
      </w:r>
      <w:r>
        <w:rPr/>
        <w:t>высокий</w:t>
      </w:r>
      <w:r>
        <w:rPr>
          <w:spacing w:val="-8"/>
        </w:rPr>
        <w:t> </w:t>
      </w:r>
      <w:r>
        <w:rPr/>
        <w:t>показатель</w:t>
      </w:r>
      <w:r>
        <w:rPr>
          <w:spacing w:val="-9"/>
        </w:rPr>
        <w:t> </w:t>
      </w:r>
      <w:r>
        <w:rPr/>
        <w:t>устойчивости:</w:t>
      </w:r>
      <w:r>
        <w:rPr>
          <w:spacing w:val="-6"/>
        </w:rPr>
        <w:t> </w:t>
      </w:r>
      <w:r>
        <w:rPr>
          <w:spacing w:val="-5"/>
        </w:rPr>
        <w:t>≥76</w:t>
      </w:r>
    </w:p>
    <w:p>
      <w:pPr>
        <w:pStyle w:val="BodyText"/>
        <w:spacing w:before="240"/>
        <w:ind w:left="0" w:right="0" w:firstLine="0"/>
        <w:jc w:val="left"/>
        <w:rPr>
          <w:sz w:val="28"/>
        </w:rPr>
      </w:pPr>
    </w:p>
    <w:p>
      <w:pPr>
        <w:pStyle w:val="Heading4"/>
        <w:ind w:right="565"/>
      </w:pPr>
      <w:r>
        <w:rPr/>
        <w:t>В 2022 г. по результатам апробации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w:t>
      </w:r>
      <w:r>
        <w:rPr>
          <w:spacing w:val="-6"/>
        </w:rPr>
        <w:t> </w:t>
      </w:r>
      <w:r>
        <w:rPr/>
        <w:t>на</w:t>
      </w:r>
      <w:r>
        <w:rPr>
          <w:spacing w:val="-5"/>
        </w:rPr>
        <w:t> </w:t>
      </w:r>
      <w:r>
        <w:rPr/>
        <w:t>основании</w:t>
      </w:r>
      <w:r>
        <w:rPr>
          <w:spacing w:val="-5"/>
        </w:rPr>
        <w:t> </w:t>
      </w:r>
      <w:r>
        <w:rPr/>
        <w:t>статистического</w:t>
      </w:r>
      <w:r>
        <w:rPr>
          <w:spacing w:val="-4"/>
        </w:rPr>
        <w:t> </w:t>
      </w:r>
      <w:r>
        <w:rPr/>
        <w:t>анализа</w:t>
      </w:r>
      <w:r>
        <w:rPr>
          <w:spacing w:val="-6"/>
        </w:rPr>
        <w:t> </w:t>
      </w:r>
      <w:r>
        <w:rPr/>
        <w:t>распределения</w:t>
      </w:r>
      <w:r>
        <w:rPr>
          <w:spacing w:val="-8"/>
        </w:rPr>
        <w:t> </w:t>
      </w:r>
      <w:r>
        <w:rPr/>
        <w:t>показателей у детей — иностранных граждан, выделены следующие нормативы.</w:t>
      </w:r>
    </w:p>
    <w:p>
      <w:pPr>
        <w:pStyle w:val="Heading3"/>
        <w:spacing w:before="248"/>
        <w:ind w:left="0" w:right="562"/>
        <w:jc w:val="right"/>
      </w:pPr>
      <w:r>
        <w:rPr/>
        <w:t>Таблица</w:t>
      </w:r>
      <w:r>
        <w:rPr>
          <w:spacing w:val="-6"/>
        </w:rPr>
        <w:t> </w:t>
      </w:r>
      <w:r>
        <w:rPr>
          <w:spacing w:val="-5"/>
        </w:rPr>
        <w:t>14</w:t>
      </w:r>
    </w:p>
    <w:p>
      <w:pPr>
        <w:spacing w:before="237"/>
        <w:ind w:left="1259" w:right="1360" w:firstLine="859"/>
        <w:jc w:val="left"/>
        <w:rPr>
          <w:b/>
          <w:sz w:val="28"/>
        </w:rPr>
      </w:pPr>
      <w:r>
        <w:rPr>
          <w:b/>
          <w:sz w:val="28"/>
        </w:rPr>
        <w:t>Пересмотренные критерии оценки по шкале Детский</w:t>
      </w:r>
      <w:r>
        <w:rPr>
          <w:b/>
          <w:spacing w:val="-8"/>
          <w:sz w:val="28"/>
        </w:rPr>
        <w:t> </w:t>
      </w:r>
      <w:r>
        <w:rPr>
          <w:b/>
          <w:sz w:val="28"/>
        </w:rPr>
        <w:t>тест</w:t>
      </w:r>
      <w:r>
        <w:rPr>
          <w:b/>
          <w:spacing w:val="-6"/>
          <w:sz w:val="28"/>
        </w:rPr>
        <w:t> </w:t>
      </w:r>
      <w:r>
        <w:rPr>
          <w:b/>
          <w:sz w:val="28"/>
        </w:rPr>
        <w:t>психологической</w:t>
      </w:r>
      <w:r>
        <w:rPr>
          <w:b/>
          <w:spacing w:val="-8"/>
          <w:sz w:val="28"/>
        </w:rPr>
        <w:t> </w:t>
      </w:r>
      <w:r>
        <w:rPr>
          <w:b/>
          <w:sz w:val="28"/>
        </w:rPr>
        <w:t>устойчивости</w:t>
      </w:r>
      <w:r>
        <w:rPr>
          <w:b/>
          <w:spacing w:val="-6"/>
          <w:sz w:val="28"/>
        </w:rPr>
        <w:t> </w:t>
      </w:r>
      <w:r>
        <w:rPr>
          <w:b/>
          <w:sz w:val="28"/>
        </w:rPr>
        <w:t>на</w:t>
      </w:r>
      <w:r>
        <w:rPr>
          <w:b/>
          <w:spacing w:val="-6"/>
          <w:sz w:val="28"/>
        </w:rPr>
        <w:t> </w:t>
      </w:r>
      <w:r>
        <w:rPr>
          <w:b/>
          <w:sz w:val="28"/>
        </w:rPr>
        <w:t>выборках</w:t>
      </w:r>
    </w:p>
    <w:p>
      <w:pPr>
        <w:spacing w:line="322" w:lineRule="exact" w:before="0"/>
        <w:ind w:left="1091" w:right="0" w:firstLine="0"/>
        <w:jc w:val="left"/>
        <w:rPr>
          <w:b/>
          <w:sz w:val="28"/>
        </w:rPr>
      </w:pPr>
      <w:r>
        <w:rPr>
          <w:b/>
          <w:sz w:val="28"/>
        </w:rPr>
        <w:t>несовершеннолетних</w:t>
      </w:r>
      <w:r>
        <w:rPr>
          <w:b/>
          <w:spacing w:val="-7"/>
          <w:sz w:val="28"/>
        </w:rPr>
        <w:t> </w:t>
      </w:r>
      <w:r>
        <w:rPr>
          <w:b/>
          <w:sz w:val="28"/>
        </w:rPr>
        <w:t>детей</w:t>
      </w:r>
      <w:r>
        <w:rPr>
          <w:b/>
          <w:spacing w:val="-7"/>
          <w:sz w:val="28"/>
        </w:rPr>
        <w:t> </w:t>
      </w:r>
      <w:r>
        <w:rPr>
          <w:b/>
          <w:sz w:val="28"/>
        </w:rPr>
        <w:t>–</w:t>
      </w:r>
      <w:r>
        <w:rPr>
          <w:b/>
          <w:spacing w:val="-6"/>
          <w:sz w:val="28"/>
        </w:rPr>
        <w:t> </w:t>
      </w:r>
      <w:r>
        <w:rPr>
          <w:b/>
          <w:sz w:val="28"/>
        </w:rPr>
        <w:t>иностранных</w:t>
      </w:r>
      <w:r>
        <w:rPr>
          <w:b/>
          <w:spacing w:val="-5"/>
          <w:sz w:val="28"/>
        </w:rPr>
        <w:t> </w:t>
      </w:r>
      <w:r>
        <w:rPr>
          <w:b/>
          <w:sz w:val="28"/>
        </w:rPr>
        <w:t>граждан</w:t>
      </w:r>
      <w:r>
        <w:rPr>
          <w:b/>
          <w:spacing w:val="-5"/>
          <w:sz w:val="28"/>
        </w:rPr>
        <w:t> </w:t>
      </w:r>
      <w:r>
        <w:rPr>
          <w:b/>
          <w:sz w:val="28"/>
        </w:rPr>
        <w:t>в</w:t>
      </w:r>
      <w:r>
        <w:rPr>
          <w:b/>
          <w:spacing w:val="-6"/>
          <w:sz w:val="28"/>
        </w:rPr>
        <w:t> </w:t>
      </w:r>
      <w:r>
        <w:rPr>
          <w:b/>
          <w:spacing w:val="-2"/>
          <w:sz w:val="28"/>
        </w:rPr>
        <w:t>России</w:t>
      </w:r>
    </w:p>
    <w:p>
      <w:pPr>
        <w:pStyle w:val="BodyText"/>
        <w:spacing w:before="96"/>
        <w:ind w:left="0" w:right="0" w:firstLine="0"/>
        <w:jc w:val="left"/>
        <w:rPr>
          <w:b/>
        </w:r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33"/>
        <w:gridCol w:w="3118"/>
        <w:gridCol w:w="4112"/>
      </w:tblGrid>
      <w:tr>
        <w:trPr>
          <w:trHeight w:val="954" w:hRule="atLeast"/>
        </w:trPr>
        <w:tc>
          <w:tcPr>
            <w:tcW w:w="2233" w:type="dxa"/>
          </w:tcPr>
          <w:p>
            <w:pPr>
              <w:pStyle w:val="TableParagraph"/>
              <w:spacing w:before="61"/>
              <w:rPr>
                <w:b/>
                <w:sz w:val="24"/>
              </w:rPr>
            </w:pPr>
          </w:p>
          <w:p>
            <w:pPr>
              <w:pStyle w:val="TableParagraph"/>
              <w:ind w:left="698"/>
              <w:rPr>
                <w:b/>
                <w:sz w:val="24"/>
              </w:rPr>
            </w:pPr>
            <w:r>
              <w:rPr>
                <w:b/>
                <w:spacing w:val="-2"/>
                <w:sz w:val="24"/>
              </w:rPr>
              <w:t>Уровни</w:t>
            </w:r>
          </w:p>
        </w:tc>
        <w:tc>
          <w:tcPr>
            <w:tcW w:w="3118" w:type="dxa"/>
          </w:tcPr>
          <w:p>
            <w:pPr>
              <w:pStyle w:val="TableParagraph"/>
              <w:spacing w:before="61"/>
              <w:rPr>
                <w:b/>
                <w:sz w:val="24"/>
              </w:rPr>
            </w:pPr>
          </w:p>
          <w:p>
            <w:pPr>
              <w:pStyle w:val="TableParagraph"/>
              <w:ind w:left="8" w:right="1"/>
              <w:jc w:val="center"/>
              <w:rPr>
                <w:b/>
                <w:sz w:val="24"/>
              </w:rPr>
            </w:pPr>
            <w:r>
              <w:rPr>
                <w:b/>
                <w:sz w:val="24"/>
              </w:rPr>
              <w:t>Начальная</w:t>
            </w:r>
            <w:r>
              <w:rPr>
                <w:b/>
                <w:spacing w:val="-4"/>
                <w:sz w:val="24"/>
              </w:rPr>
              <w:t> </w:t>
            </w:r>
            <w:r>
              <w:rPr>
                <w:b/>
                <w:sz w:val="24"/>
              </w:rPr>
              <w:t>школа</w:t>
            </w:r>
            <w:r>
              <w:rPr>
                <w:b/>
                <w:spacing w:val="-3"/>
                <w:sz w:val="24"/>
              </w:rPr>
              <w:t> </w:t>
            </w:r>
            <w:r>
              <w:rPr>
                <w:b/>
                <w:spacing w:val="-2"/>
                <w:sz w:val="24"/>
              </w:rPr>
              <w:t>(N=328)</w:t>
            </w:r>
          </w:p>
        </w:tc>
        <w:tc>
          <w:tcPr>
            <w:tcW w:w="4112" w:type="dxa"/>
          </w:tcPr>
          <w:p>
            <w:pPr>
              <w:pStyle w:val="TableParagraph"/>
              <w:spacing w:before="61"/>
              <w:rPr>
                <w:b/>
                <w:sz w:val="24"/>
              </w:rPr>
            </w:pPr>
          </w:p>
          <w:p>
            <w:pPr>
              <w:pStyle w:val="TableParagraph"/>
              <w:ind w:left="7"/>
              <w:jc w:val="center"/>
              <w:rPr>
                <w:b/>
                <w:sz w:val="24"/>
              </w:rPr>
            </w:pPr>
            <w:r>
              <w:rPr>
                <w:b/>
                <w:sz w:val="24"/>
              </w:rPr>
              <w:t>Средняя</w:t>
            </w:r>
            <w:r>
              <w:rPr>
                <w:b/>
                <w:spacing w:val="-3"/>
                <w:sz w:val="24"/>
              </w:rPr>
              <w:t> </w:t>
            </w:r>
            <w:r>
              <w:rPr>
                <w:b/>
                <w:sz w:val="24"/>
              </w:rPr>
              <w:t>и</w:t>
            </w:r>
            <w:r>
              <w:rPr>
                <w:b/>
                <w:spacing w:val="-4"/>
                <w:sz w:val="24"/>
              </w:rPr>
              <w:t> </w:t>
            </w:r>
            <w:r>
              <w:rPr>
                <w:b/>
                <w:sz w:val="24"/>
              </w:rPr>
              <w:t>старшая</w:t>
            </w:r>
            <w:r>
              <w:rPr>
                <w:b/>
                <w:spacing w:val="-2"/>
                <w:sz w:val="24"/>
              </w:rPr>
              <w:t> </w:t>
            </w:r>
            <w:r>
              <w:rPr>
                <w:b/>
                <w:sz w:val="24"/>
              </w:rPr>
              <w:t>школа</w:t>
            </w:r>
            <w:r>
              <w:rPr>
                <w:b/>
                <w:spacing w:val="-2"/>
                <w:sz w:val="24"/>
              </w:rPr>
              <w:t> (N=343)</w:t>
            </w:r>
          </w:p>
        </w:tc>
      </w:tr>
      <w:tr>
        <w:trPr>
          <w:trHeight w:val="957" w:hRule="atLeast"/>
        </w:trPr>
        <w:tc>
          <w:tcPr>
            <w:tcW w:w="9463" w:type="dxa"/>
            <w:gridSpan w:val="3"/>
          </w:tcPr>
          <w:p>
            <w:pPr>
              <w:pStyle w:val="TableParagraph"/>
              <w:spacing w:before="61"/>
              <w:rPr>
                <w:b/>
                <w:sz w:val="24"/>
              </w:rPr>
            </w:pPr>
          </w:p>
          <w:p>
            <w:pPr>
              <w:pStyle w:val="TableParagraph"/>
              <w:ind w:left="8"/>
              <w:jc w:val="center"/>
              <w:rPr>
                <w:b/>
                <w:sz w:val="24"/>
              </w:rPr>
            </w:pPr>
            <w:r>
              <w:rPr>
                <w:b/>
                <w:sz w:val="24"/>
              </w:rPr>
              <w:t>Общая</w:t>
            </w:r>
            <w:r>
              <w:rPr>
                <w:b/>
                <w:spacing w:val="-3"/>
                <w:sz w:val="24"/>
              </w:rPr>
              <w:t> </w:t>
            </w:r>
            <w:r>
              <w:rPr>
                <w:b/>
                <w:sz w:val="24"/>
              </w:rPr>
              <w:t>психологическая</w:t>
            </w:r>
            <w:r>
              <w:rPr>
                <w:b/>
                <w:spacing w:val="-3"/>
                <w:sz w:val="24"/>
              </w:rPr>
              <w:t> </w:t>
            </w:r>
            <w:r>
              <w:rPr>
                <w:b/>
                <w:spacing w:val="-2"/>
                <w:sz w:val="24"/>
              </w:rPr>
              <w:t>устойчивость</w:t>
            </w:r>
          </w:p>
        </w:tc>
      </w:tr>
      <w:tr>
        <w:trPr>
          <w:trHeight w:val="955" w:hRule="atLeast"/>
        </w:trPr>
        <w:tc>
          <w:tcPr>
            <w:tcW w:w="2233" w:type="dxa"/>
          </w:tcPr>
          <w:p>
            <w:pPr>
              <w:pStyle w:val="TableParagraph"/>
              <w:spacing w:before="57"/>
              <w:rPr>
                <w:b/>
                <w:sz w:val="24"/>
              </w:rPr>
            </w:pPr>
          </w:p>
          <w:p>
            <w:pPr>
              <w:pStyle w:val="TableParagraph"/>
              <w:ind w:left="100"/>
              <w:rPr>
                <w:sz w:val="24"/>
              </w:rPr>
            </w:pPr>
            <w:r>
              <w:rPr>
                <w:sz w:val="24"/>
              </w:rPr>
              <w:t>Ниже</w:t>
            </w:r>
            <w:r>
              <w:rPr>
                <w:spacing w:val="-5"/>
                <w:sz w:val="24"/>
              </w:rPr>
              <w:t> </w:t>
            </w:r>
            <w:r>
              <w:rPr>
                <w:spacing w:val="-2"/>
                <w:sz w:val="24"/>
              </w:rPr>
              <w:t>среднего</w:t>
            </w:r>
          </w:p>
        </w:tc>
        <w:tc>
          <w:tcPr>
            <w:tcW w:w="3118" w:type="dxa"/>
          </w:tcPr>
          <w:p>
            <w:pPr>
              <w:pStyle w:val="TableParagraph"/>
              <w:spacing w:before="57"/>
              <w:rPr>
                <w:b/>
                <w:sz w:val="24"/>
              </w:rPr>
            </w:pPr>
          </w:p>
          <w:p>
            <w:pPr>
              <w:pStyle w:val="TableParagraph"/>
              <w:ind w:left="8"/>
              <w:jc w:val="center"/>
              <w:rPr>
                <w:sz w:val="24"/>
              </w:rPr>
            </w:pPr>
            <w:r>
              <w:rPr>
                <w:spacing w:val="-2"/>
                <w:sz w:val="24"/>
              </w:rPr>
              <w:t>&lt;65.35</w:t>
            </w:r>
          </w:p>
        </w:tc>
        <w:tc>
          <w:tcPr>
            <w:tcW w:w="4112" w:type="dxa"/>
          </w:tcPr>
          <w:p>
            <w:pPr>
              <w:pStyle w:val="TableParagraph"/>
              <w:spacing w:before="57"/>
              <w:rPr>
                <w:b/>
                <w:sz w:val="24"/>
              </w:rPr>
            </w:pPr>
          </w:p>
          <w:p>
            <w:pPr>
              <w:pStyle w:val="TableParagraph"/>
              <w:ind w:left="7"/>
              <w:jc w:val="center"/>
              <w:rPr>
                <w:sz w:val="24"/>
              </w:rPr>
            </w:pPr>
            <w:r>
              <w:rPr>
                <w:spacing w:val="-2"/>
                <w:sz w:val="24"/>
              </w:rPr>
              <w:t>&lt;61.74</w:t>
            </w:r>
          </w:p>
        </w:tc>
      </w:tr>
      <w:tr>
        <w:trPr>
          <w:trHeight w:val="957" w:hRule="atLeast"/>
        </w:trPr>
        <w:tc>
          <w:tcPr>
            <w:tcW w:w="2233" w:type="dxa"/>
          </w:tcPr>
          <w:p>
            <w:pPr>
              <w:pStyle w:val="TableParagraph"/>
              <w:spacing w:before="56"/>
              <w:rPr>
                <w:b/>
                <w:sz w:val="24"/>
              </w:rPr>
            </w:pPr>
          </w:p>
          <w:p>
            <w:pPr>
              <w:pStyle w:val="TableParagraph"/>
              <w:ind w:left="100"/>
              <w:rPr>
                <w:sz w:val="24"/>
              </w:rPr>
            </w:pPr>
            <w:r>
              <w:rPr>
                <w:spacing w:val="-2"/>
                <w:sz w:val="24"/>
              </w:rPr>
              <w:t>Средний</w:t>
            </w:r>
          </w:p>
        </w:tc>
        <w:tc>
          <w:tcPr>
            <w:tcW w:w="3118" w:type="dxa"/>
          </w:tcPr>
          <w:p>
            <w:pPr>
              <w:pStyle w:val="TableParagraph"/>
              <w:spacing w:before="56"/>
              <w:rPr>
                <w:b/>
                <w:sz w:val="24"/>
              </w:rPr>
            </w:pPr>
          </w:p>
          <w:p>
            <w:pPr>
              <w:pStyle w:val="TableParagraph"/>
              <w:ind w:left="899"/>
              <w:rPr>
                <w:sz w:val="24"/>
              </w:rPr>
            </w:pPr>
            <w:r>
              <w:rPr>
                <w:sz w:val="24"/>
              </w:rPr>
              <w:t>65.35 – </w:t>
            </w:r>
            <w:r>
              <w:rPr>
                <w:spacing w:val="-2"/>
                <w:sz w:val="24"/>
              </w:rPr>
              <w:t>82.65</w:t>
            </w:r>
          </w:p>
        </w:tc>
        <w:tc>
          <w:tcPr>
            <w:tcW w:w="4112" w:type="dxa"/>
          </w:tcPr>
          <w:p>
            <w:pPr>
              <w:pStyle w:val="TableParagraph"/>
              <w:spacing w:before="56"/>
              <w:rPr>
                <w:b/>
                <w:sz w:val="24"/>
              </w:rPr>
            </w:pPr>
          </w:p>
          <w:p>
            <w:pPr>
              <w:pStyle w:val="TableParagraph"/>
              <w:ind w:left="1396"/>
              <w:rPr>
                <w:sz w:val="24"/>
              </w:rPr>
            </w:pPr>
            <w:r>
              <w:rPr>
                <w:sz w:val="24"/>
              </w:rPr>
              <w:t>61.74 – </w:t>
            </w:r>
            <w:r>
              <w:rPr>
                <w:spacing w:val="-2"/>
                <w:sz w:val="24"/>
              </w:rPr>
              <w:t>81.62</w:t>
            </w:r>
          </w:p>
        </w:tc>
      </w:tr>
      <w:tr>
        <w:trPr>
          <w:trHeight w:val="954" w:hRule="atLeast"/>
        </w:trPr>
        <w:tc>
          <w:tcPr>
            <w:tcW w:w="2233" w:type="dxa"/>
          </w:tcPr>
          <w:p>
            <w:pPr>
              <w:pStyle w:val="TableParagraph"/>
              <w:spacing w:before="56"/>
              <w:rPr>
                <w:b/>
                <w:sz w:val="24"/>
              </w:rPr>
            </w:pPr>
          </w:p>
          <w:p>
            <w:pPr>
              <w:pStyle w:val="TableParagraph"/>
              <w:ind w:left="100"/>
              <w:rPr>
                <w:sz w:val="24"/>
              </w:rPr>
            </w:pPr>
            <w:r>
              <w:rPr>
                <w:sz w:val="24"/>
              </w:rPr>
              <w:t>Выше</w:t>
            </w:r>
            <w:r>
              <w:rPr>
                <w:spacing w:val="-2"/>
                <w:sz w:val="24"/>
              </w:rPr>
              <w:t> среднего</w:t>
            </w:r>
          </w:p>
        </w:tc>
        <w:tc>
          <w:tcPr>
            <w:tcW w:w="3118" w:type="dxa"/>
          </w:tcPr>
          <w:p>
            <w:pPr>
              <w:pStyle w:val="TableParagraph"/>
              <w:spacing w:before="56"/>
              <w:rPr>
                <w:b/>
                <w:sz w:val="24"/>
              </w:rPr>
            </w:pPr>
          </w:p>
          <w:p>
            <w:pPr>
              <w:pStyle w:val="TableParagraph"/>
              <w:ind w:left="8"/>
              <w:jc w:val="center"/>
              <w:rPr>
                <w:sz w:val="24"/>
              </w:rPr>
            </w:pPr>
            <w:r>
              <w:rPr>
                <w:spacing w:val="-2"/>
                <w:sz w:val="24"/>
              </w:rPr>
              <w:t>&gt;82.65</w:t>
            </w:r>
          </w:p>
        </w:tc>
        <w:tc>
          <w:tcPr>
            <w:tcW w:w="4112" w:type="dxa"/>
          </w:tcPr>
          <w:p>
            <w:pPr>
              <w:pStyle w:val="TableParagraph"/>
              <w:spacing w:before="56"/>
              <w:rPr>
                <w:b/>
                <w:sz w:val="24"/>
              </w:rPr>
            </w:pPr>
          </w:p>
          <w:p>
            <w:pPr>
              <w:pStyle w:val="TableParagraph"/>
              <w:ind w:left="7"/>
              <w:jc w:val="center"/>
              <w:rPr>
                <w:sz w:val="24"/>
              </w:rPr>
            </w:pPr>
            <w:r>
              <w:rPr>
                <w:spacing w:val="-2"/>
                <w:sz w:val="24"/>
              </w:rPr>
              <w:t>&gt;81.62</w:t>
            </w:r>
          </w:p>
        </w:tc>
      </w:tr>
      <w:tr>
        <w:trPr>
          <w:trHeight w:val="957" w:hRule="atLeast"/>
        </w:trPr>
        <w:tc>
          <w:tcPr>
            <w:tcW w:w="9463" w:type="dxa"/>
            <w:gridSpan w:val="3"/>
          </w:tcPr>
          <w:p>
            <w:pPr>
              <w:pStyle w:val="TableParagraph"/>
              <w:spacing w:before="61"/>
              <w:rPr>
                <w:b/>
                <w:sz w:val="24"/>
              </w:rPr>
            </w:pPr>
          </w:p>
          <w:p>
            <w:pPr>
              <w:pStyle w:val="TableParagraph"/>
              <w:ind w:left="8"/>
              <w:jc w:val="center"/>
              <w:rPr>
                <w:b/>
                <w:sz w:val="24"/>
              </w:rPr>
            </w:pPr>
            <w:r>
              <w:rPr>
                <w:b/>
                <w:sz w:val="24"/>
              </w:rPr>
              <w:t>Личностная</w:t>
            </w:r>
            <w:r>
              <w:rPr>
                <w:b/>
                <w:spacing w:val="-3"/>
                <w:sz w:val="24"/>
              </w:rPr>
              <w:t> </w:t>
            </w:r>
            <w:r>
              <w:rPr>
                <w:b/>
                <w:spacing w:val="-2"/>
                <w:sz w:val="24"/>
              </w:rPr>
              <w:t>устойчивость</w:t>
            </w:r>
          </w:p>
        </w:tc>
      </w:tr>
    </w:tbl>
    <w:p>
      <w:pPr>
        <w:pStyle w:val="TableParagraph"/>
        <w:spacing w:after="0"/>
        <w:jc w:val="center"/>
        <w:rPr>
          <w:b/>
          <w:sz w:val="24"/>
        </w:rPr>
        <w:sectPr>
          <w:pgSz w:w="11910" w:h="16840"/>
          <w:pgMar w:header="0" w:footer="970" w:top="1040" w:bottom="1718" w:left="1417" w:right="283"/>
        </w:sect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33"/>
        <w:gridCol w:w="3118"/>
        <w:gridCol w:w="4112"/>
      </w:tblGrid>
      <w:tr>
        <w:trPr>
          <w:trHeight w:val="957" w:hRule="atLeast"/>
        </w:trPr>
        <w:tc>
          <w:tcPr>
            <w:tcW w:w="2233" w:type="dxa"/>
          </w:tcPr>
          <w:p>
            <w:pPr>
              <w:pStyle w:val="TableParagraph"/>
              <w:spacing w:before="56"/>
              <w:rPr>
                <w:b/>
                <w:sz w:val="24"/>
              </w:rPr>
            </w:pPr>
          </w:p>
          <w:p>
            <w:pPr>
              <w:pStyle w:val="TableParagraph"/>
              <w:spacing w:before="1"/>
              <w:ind w:left="100"/>
              <w:rPr>
                <w:sz w:val="24"/>
              </w:rPr>
            </w:pPr>
            <w:r>
              <w:rPr>
                <w:sz w:val="24"/>
              </w:rPr>
              <w:t>Ниже</w:t>
            </w:r>
            <w:r>
              <w:rPr>
                <w:spacing w:val="-5"/>
                <w:sz w:val="24"/>
              </w:rPr>
              <w:t> </w:t>
            </w:r>
            <w:r>
              <w:rPr>
                <w:spacing w:val="-2"/>
                <w:sz w:val="24"/>
              </w:rPr>
              <w:t>среднего</w:t>
            </w:r>
          </w:p>
        </w:tc>
        <w:tc>
          <w:tcPr>
            <w:tcW w:w="3118" w:type="dxa"/>
          </w:tcPr>
          <w:p>
            <w:pPr>
              <w:pStyle w:val="TableParagraph"/>
              <w:spacing w:before="56"/>
              <w:rPr>
                <w:b/>
                <w:sz w:val="24"/>
              </w:rPr>
            </w:pPr>
          </w:p>
          <w:p>
            <w:pPr>
              <w:pStyle w:val="TableParagraph"/>
              <w:spacing w:before="1"/>
              <w:ind w:left="8"/>
              <w:jc w:val="center"/>
              <w:rPr>
                <w:sz w:val="24"/>
              </w:rPr>
            </w:pPr>
            <w:r>
              <w:rPr>
                <w:spacing w:val="-2"/>
                <w:sz w:val="24"/>
              </w:rPr>
              <w:t>&lt;35.78</w:t>
            </w:r>
          </w:p>
        </w:tc>
        <w:tc>
          <w:tcPr>
            <w:tcW w:w="4112" w:type="dxa"/>
          </w:tcPr>
          <w:p>
            <w:pPr>
              <w:pStyle w:val="TableParagraph"/>
              <w:spacing w:before="56"/>
              <w:rPr>
                <w:b/>
                <w:sz w:val="24"/>
              </w:rPr>
            </w:pPr>
          </w:p>
          <w:p>
            <w:pPr>
              <w:pStyle w:val="TableParagraph"/>
              <w:spacing w:before="1"/>
              <w:ind w:left="7"/>
              <w:jc w:val="center"/>
              <w:rPr>
                <w:sz w:val="24"/>
              </w:rPr>
            </w:pPr>
            <w:r>
              <w:rPr>
                <w:spacing w:val="-2"/>
                <w:sz w:val="24"/>
              </w:rPr>
              <w:t>&lt;34.47</w:t>
            </w:r>
          </w:p>
        </w:tc>
      </w:tr>
      <w:tr>
        <w:trPr>
          <w:trHeight w:val="954" w:hRule="atLeast"/>
        </w:trPr>
        <w:tc>
          <w:tcPr>
            <w:tcW w:w="2233" w:type="dxa"/>
          </w:tcPr>
          <w:p>
            <w:pPr>
              <w:pStyle w:val="TableParagraph"/>
              <w:spacing w:before="56"/>
              <w:rPr>
                <w:b/>
                <w:sz w:val="24"/>
              </w:rPr>
            </w:pPr>
          </w:p>
          <w:p>
            <w:pPr>
              <w:pStyle w:val="TableParagraph"/>
              <w:ind w:left="100"/>
              <w:rPr>
                <w:sz w:val="24"/>
              </w:rPr>
            </w:pPr>
            <w:r>
              <w:rPr>
                <w:spacing w:val="-2"/>
                <w:sz w:val="24"/>
              </w:rPr>
              <w:t>Средний</w:t>
            </w:r>
          </w:p>
        </w:tc>
        <w:tc>
          <w:tcPr>
            <w:tcW w:w="3118" w:type="dxa"/>
          </w:tcPr>
          <w:p>
            <w:pPr>
              <w:pStyle w:val="TableParagraph"/>
              <w:spacing w:before="56"/>
              <w:rPr>
                <w:b/>
                <w:sz w:val="24"/>
              </w:rPr>
            </w:pPr>
          </w:p>
          <w:p>
            <w:pPr>
              <w:pStyle w:val="TableParagraph"/>
              <w:ind w:left="899"/>
              <w:rPr>
                <w:sz w:val="24"/>
              </w:rPr>
            </w:pPr>
            <w:r>
              <w:rPr>
                <w:sz w:val="24"/>
              </w:rPr>
              <w:t>35.78 – </w:t>
            </w:r>
            <w:r>
              <w:rPr>
                <w:spacing w:val="-2"/>
                <w:sz w:val="24"/>
              </w:rPr>
              <w:t>47.98</w:t>
            </w:r>
          </w:p>
        </w:tc>
        <w:tc>
          <w:tcPr>
            <w:tcW w:w="4112" w:type="dxa"/>
          </w:tcPr>
          <w:p>
            <w:pPr>
              <w:pStyle w:val="TableParagraph"/>
              <w:spacing w:before="56"/>
              <w:rPr>
                <w:b/>
                <w:sz w:val="24"/>
              </w:rPr>
            </w:pPr>
          </w:p>
          <w:p>
            <w:pPr>
              <w:pStyle w:val="TableParagraph"/>
              <w:ind w:left="1396"/>
              <w:rPr>
                <w:sz w:val="24"/>
              </w:rPr>
            </w:pPr>
            <w:r>
              <w:rPr>
                <w:sz w:val="24"/>
              </w:rPr>
              <w:t>34.47 – </w:t>
            </w:r>
            <w:r>
              <w:rPr>
                <w:spacing w:val="-2"/>
                <w:sz w:val="24"/>
              </w:rPr>
              <w:t>47.11</w:t>
            </w:r>
          </w:p>
        </w:tc>
      </w:tr>
      <w:tr>
        <w:trPr>
          <w:trHeight w:val="957" w:hRule="atLeast"/>
        </w:trPr>
        <w:tc>
          <w:tcPr>
            <w:tcW w:w="2233" w:type="dxa"/>
          </w:tcPr>
          <w:p>
            <w:pPr>
              <w:pStyle w:val="TableParagraph"/>
              <w:spacing w:before="56"/>
              <w:rPr>
                <w:b/>
                <w:sz w:val="24"/>
              </w:rPr>
            </w:pPr>
          </w:p>
          <w:p>
            <w:pPr>
              <w:pStyle w:val="TableParagraph"/>
              <w:ind w:left="100"/>
              <w:rPr>
                <w:sz w:val="24"/>
              </w:rPr>
            </w:pPr>
            <w:r>
              <w:rPr>
                <w:sz w:val="24"/>
              </w:rPr>
              <w:t>Выше</w:t>
            </w:r>
            <w:r>
              <w:rPr>
                <w:spacing w:val="-2"/>
                <w:sz w:val="24"/>
              </w:rPr>
              <w:t> среднего</w:t>
            </w:r>
          </w:p>
        </w:tc>
        <w:tc>
          <w:tcPr>
            <w:tcW w:w="3118" w:type="dxa"/>
          </w:tcPr>
          <w:p>
            <w:pPr>
              <w:pStyle w:val="TableParagraph"/>
              <w:spacing w:before="56"/>
              <w:rPr>
                <w:b/>
                <w:sz w:val="24"/>
              </w:rPr>
            </w:pPr>
          </w:p>
          <w:p>
            <w:pPr>
              <w:pStyle w:val="TableParagraph"/>
              <w:ind w:left="8"/>
              <w:jc w:val="center"/>
              <w:rPr>
                <w:sz w:val="24"/>
              </w:rPr>
            </w:pPr>
            <w:r>
              <w:rPr>
                <w:spacing w:val="-2"/>
                <w:sz w:val="24"/>
              </w:rPr>
              <w:t>&gt;47.98</w:t>
            </w:r>
          </w:p>
        </w:tc>
        <w:tc>
          <w:tcPr>
            <w:tcW w:w="4112" w:type="dxa"/>
          </w:tcPr>
          <w:p>
            <w:pPr>
              <w:pStyle w:val="TableParagraph"/>
              <w:spacing w:before="56"/>
              <w:rPr>
                <w:b/>
                <w:sz w:val="24"/>
              </w:rPr>
            </w:pPr>
          </w:p>
          <w:p>
            <w:pPr>
              <w:pStyle w:val="TableParagraph"/>
              <w:ind w:left="7"/>
              <w:jc w:val="center"/>
              <w:rPr>
                <w:sz w:val="24"/>
              </w:rPr>
            </w:pPr>
            <w:r>
              <w:rPr>
                <w:spacing w:val="-2"/>
                <w:sz w:val="24"/>
              </w:rPr>
              <w:t>&gt;47.11</w:t>
            </w:r>
          </w:p>
        </w:tc>
      </w:tr>
      <w:tr>
        <w:trPr>
          <w:trHeight w:val="955" w:hRule="atLeast"/>
        </w:trPr>
        <w:tc>
          <w:tcPr>
            <w:tcW w:w="9463" w:type="dxa"/>
            <w:gridSpan w:val="3"/>
          </w:tcPr>
          <w:p>
            <w:pPr>
              <w:pStyle w:val="TableParagraph"/>
              <w:spacing w:before="61"/>
              <w:rPr>
                <w:b/>
                <w:sz w:val="24"/>
              </w:rPr>
            </w:pPr>
          </w:p>
          <w:p>
            <w:pPr>
              <w:pStyle w:val="TableParagraph"/>
              <w:ind w:left="8"/>
              <w:jc w:val="center"/>
              <w:rPr>
                <w:b/>
                <w:sz w:val="24"/>
              </w:rPr>
            </w:pPr>
            <w:r>
              <w:rPr>
                <w:b/>
                <w:sz w:val="24"/>
              </w:rPr>
              <w:t>Социальная</w:t>
            </w:r>
            <w:r>
              <w:rPr>
                <w:b/>
                <w:spacing w:val="-5"/>
                <w:sz w:val="24"/>
              </w:rPr>
              <w:t> </w:t>
            </w:r>
            <w:r>
              <w:rPr>
                <w:b/>
                <w:spacing w:val="-2"/>
                <w:sz w:val="24"/>
              </w:rPr>
              <w:t>устойчивость</w:t>
            </w:r>
          </w:p>
        </w:tc>
      </w:tr>
      <w:tr>
        <w:trPr>
          <w:trHeight w:val="957" w:hRule="atLeast"/>
        </w:trPr>
        <w:tc>
          <w:tcPr>
            <w:tcW w:w="2233" w:type="dxa"/>
          </w:tcPr>
          <w:p>
            <w:pPr>
              <w:pStyle w:val="TableParagraph"/>
              <w:spacing w:before="56"/>
              <w:rPr>
                <w:b/>
                <w:sz w:val="24"/>
              </w:rPr>
            </w:pPr>
          </w:p>
          <w:p>
            <w:pPr>
              <w:pStyle w:val="TableParagraph"/>
              <w:ind w:left="100"/>
              <w:rPr>
                <w:sz w:val="24"/>
              </w:rPr>
            </w:pPr>
            <w:r>
              <w:rPr>
                <w:sz w:val="24"/>
              </w:rPr>
              <w:t>Ниже</w:t>
            </w:r>
            <w:r>
              <w:rPr>
                <w:spacing w:val="-5"/>
                <w:sz w:val="24"/>
              </w:rPr>
              <w:t> </w:t>
            </w:r>
            <w:r>
              <w:rPr>
                <w:spacing w:val="-2"/>
                <w:sz w:val="24"/>
              </w:rPr>
              <w:t>среднего</w:t>
            </w:r>
          </w:p>
        </w:tc>
        <w:tc>
          <w:tcPr>
            <w:tcW w:w="3118" w:type="dxa"/>
          </w:tcPr>
          <w:p>
            <w:pPr>
              <w:pStyle w:val="TableParagraph"/>
              <w:spacing w:before="56"/>
              <w:rPr>
                <w:b/>
                <w:sz w:val="24"/>
              </w:rPr>
            </w:pPr>
          </w:p>
          <w:p>
            <w:pPr>
              <w:pStyle w:val="TableParagraph"/>
              <w:ind w:left="8"/>
              <w:jc w:val="center"/>
              <w:rPr>
                <w:sz w:val="24"/>
              </w:rPr>
            </w:pPr>
            <w:r>
              <w:rPr>
                <w:spacing w:val="-2"/>
                <w:sz w:val="24"/>
              </w:rPr>
              <w:t>&lt;28.45</w:t>
            </w:r>
          </w:p>
        </w:tc>
        <w:tc>
          <w:tcPr>
            <w:tcW w:w="4112" w:type="dxa"/>
          </w:tcPr>
          <w:p>
            <w:pPr>
              <w:pStyle w:val="TableParagraph"/>
              <w:spacing w:before="56"/>
              <w:rPr>
                <w:b/>
                <w:sz w:val="24"/>
              </w:rPr>
            </w:pPr>
          </w:p>
          <w:p>
            <w:pPr>
              <w:pStyle w:val="TableParagraph"/>
              <w:ind w:left="7"/>
              <w:jc w:val="center"/>
              <w:rPr>
                <w:sz w:val="24"/>
              </w:rPr>
            </w:pPr>
            <w:r>
              <w:rPr>
                <w:spacing w:val="-2"/>
                <w:sz w:val="24"/>
              </w:rPr>
              <w:t>&lt;26.32</w:t>
            </w:r>
          </w:p>
        </w:tc>
      </w:tr>
      <w:tr>
        <w:trPr>
          <w:trHeight w:val="954" w:hRule="atLeast"/>
        </w:trPr>
        <w:tc>
          <w:tcPr>
            <w:tcW w:w="2233" w:type="dxa"/>
          </w:tcPr>
          <w:p>
            <w:pPr>
              <w:pStyle w:val="TableParagraph"/>
              <w:spacing w:before="56"/>
              <w:rPr>
                <w:b/>
                <w:sz w:val="24"/>
              </w:rPr>
            </w:pPr>
          </w:p>
          <w:p>
            <w:pPr>
              <w:pStyle w:val="TableParagraph"/>
              <w:ind w:left="100"/>
              <w:rPr>
                <w:sz w:val="24"/>
              </w:rPr>
            </w:pPr>
            <w:r>
              <w:rPr>
                <w:spacing w:val="-2"/>
                <w:sz w:val="24"/>
              </w:rPr>
              <w:t>Средний</w:t>
            </w:r>
          </w:p>
        </w:tc>
        <w:tc>
          <w:tcPr>
            <w:tcW w:w="3118" w:type="dxa"/>
          </w:tcPr>
          <w:p>
            <w:pPr>
              <w:pStyle w:val="TableParagraph"/>
              <w:spacing w:before="56"/>
              <w:rPr>
                <w:b/>
                <w:sz w:val="24"/>
              </w:rPr>
            </w:pPr>
          </w:p>
          <w:p>
            <w:pPr>
              <w:pStyle w:val="TableParagraph"/>
              <w:ind w:left="899"/>
              <w:rPr>
                <w:sz w:val="24"/>
              </w:rPr>
            </w:pPr>
            <w:r>
              <w:rPr>
                <w:sz w:val="24"/>
              </w:rPr>
              <w:t>28.45 – </w:t>
            </w:r>
            <w:r>
              <w:rPr>
                <w:spacing w:val="-2"/>
                <w:sz w:val="24"/>
              </w:rPr>
              <w:t>35.73</w:t>
            </w:r>
          </w:p>
        </w:tc>
        <w:tc>
          <w:tcPr>
            <w:tcW w:w="4112" w:type="dxa"/>
          </w:tcPr>
          <w:p>
            <w:pPr>
              <w:pStyle w:val="TableParagraph"/>
              <w:spacing w:before="56"/>
              <w:rPr>
                <w:b/>
                <w:sz w:val="24"/>
              </w:rPr>
            </w:pPr>
          </w:p>
          <w:p>
            <w:pPr>
              <w:pStyle w:val="TableParagraph"/>
              <w:ind w:left="1396"/>
              <w:rPr>
                <w:sz w:val="24"/>
              </w:rPr>
            </w:pPr>
            <w:r>
              <w:rPr>
                <w:sz w:val="24"/>
              </w:rPr>
              <w:t>26.32 – </w:t>
            </w:r>
            <w:r>
              <w:rPr>
                <w:spacing w:val="-2"/>
                <w:sz w:val="24"/>
              </w:rPr>
              <w:t>35.36</w:t>
            </w:r>
          </w:p>
        </w:tc>
      </w:tr>
      <w:tr>
        <w:trPr>
          <w:trHeight w:val="957" w:hRule="atLeast"/>
        </w:trPr>
        <w:tc>
          <w:tcPr>
            <w:tcW w:w="2233" w:type="dxa"/>
          </w:tcPr>
          <w:p>
            <w:pPr>
              <w:pStyle w:val="TableParagraph"/>
              <w:spacing w:before="56"/>
              <w:rPr>
                <w:b/>
                <w:sz w:val="24"/>
              </w:rPr>
            </w:pPr>
          </w:p>
          <w:p>
            <w:pPr>
              <w:pStyle w:val="TableParagraph"/>
              <w:ind w:left="100"/>
              <w:rPr>
                <w:sz w:val="24"/>
              </w:rPr>
            </w:pPr>
            <w:r>
              <w:rPr>
                <w:sz w:val="24"/>
              </w:rPr>
              <w:t>Выше</w:t>
            </w:r>
            <w:r>
              <w:rPr>
                <w:spacing w:val="-2"/>
                <w:sz w:val="24"/>
              </w:rPr>
              <w:t> среднего</w:t>
            </w:r>
          </w:p>
        </w:tc>
        <w:tc>
          <w:tcPr>
            <w:tcW w:w="3118" w:type="dxa"/>
          </w:tcPr>
          <w:p>
            <w:pPr>
              <w:pStyle w:val="TableParagraph"/>
              <w:spacing w:before="56"/>
              <w:rPr>
                <w:b/>
                <w:sz w:val="24"/>
              </w:rPr>
            </w:pPr>
          </w:p>
          <w:p>
            <w:pPr>
              <w:pStyle w:val="TableParagraph"/>
              <w:ind w:left="8"/>
              <w:jc w:val="center"/>
              <w:rPr>
                <w:sz w:val="24"/>
              </w:rPr>
            </w:pPr>
            <w:r>
              <w:rPr>
                <w:spacing w:val="-2"/>
                <w:sz w:val="24"/>
              </w:rPr>
              <w:t>&gt;35.73</w:t>
            </w:r>
          </w:p>
        </w:tc>
        <w:tc>
          <w:tcPr>
            <w:tcW w:w="4112" w:type="dxa"/>
          </w:tcPr>
          <w:p>
            <w:pPr>
              <w:pStyle w:val="TableParagraph"/>
              <w:spacing w:before="56"/>
              <w:rPr>
                <w:b/>
                <w:sz w:val="24"/>
              </w:rPr>
            </w:pPr>
          </w:p>
          <w:p>
            <w:pPr>
              <w:pStyle w:val="TableParagraph"/>
              <w:ind w:left="7"/>
              <w:jc w:val="center"/>
              <w:rPr>
                <w:sz w:val="24"/>
              </w:rPr>
            </w:pPr>
            <w:r>
              <w:rPr>
                <w:spacing w:val="-2"/>
                <w:sz w:val="24"/>
              </w:rPr>
              <w:t>&gt;35.36</w:t>
            </w:r>
          </w:p>
        </w:tc>
      </w:tr>
    </w:tbl>
    <w:p>
      <w:pPr>
        <w:spacing w:before="249"/>
        <w:ind w:left="285" w:right="0" w:firstLine="0"/>
        <w:jc w:val="left"/>
        <w:rPr>
          <w:sz w:val="24"/>
        </w:rPr>
      </w:pPr>
      <w:r>
        <w:rPr>
          <w:i/>
          <w:sz w:val="24"/>
        </w:rPr>
        <w:t>Примечание.</w:t>
      </w:r>
      <w:r>
        <w:rPr>
          <w:i/>
          <w:spacing w:val="-5"/>
          <w:sz w:val="24"/>
        </w:rPr>
        <w:t> </w:t>
      </w:r>
      <w:r>
        <w:rPr>
          <w:sz w:val="24"/>
        </w:rPr>
        <w:t>Не</w:t>
      </w:r>
      <w:r>
        <w:rPr>
          <w:spacing w:val="-5"/>
          <w:sz w:val="24"/>
        </w:rPr>
        <w:t> </w:t>
      </w:r>
      <w:r>
        <w:rPr>
          <w:sz w:val="24"/>
        </w:rPr>
        <w:t>выявлено</w:t>
      </w:r>
      <w:r>
        <w:rPr>
          <w:spacing w:val="-2"/>
          <w:sz w:val="24"/>
        </w:rPr>
        <w:t> </w:t>
      </w:r>
      <w:r>
        <w:rPr>
          <w:sz w:val="24"/>
        </w:rPr>
        <w:t>значимых</w:t>
      </w:r>
      <w:r>
        <w:rPr>
          <w:spacing w:val="-1"/>
          <w:sz w:val="24"/>
        </w:rPr>
        <w:t> </w:t>
      </w:r>
      <w:r>
        <w:rPr>
          <w:sz w:val="24"/>
        </w:rPr>
        <w:t>гендерных </w:t>
      </w:r>
      <w:r>
        <w:rPr>
          <w:spacing w:val="-2"/>
          <w:sz w:val="24"/>
        </w:rPr>
        <w:t>различий.</w:t>
      </w:r>
    </w:p>
    <w:p>
      <w:pPr>
        <w:pStyle w:val="BodyText"/>
        <w:ind w:left="0" w:right="0" w:firstLine="0"/>
        <w:jc w:val="left"/>
        <w:rPr>
          <w:sz w:val="24"/>
        </w:rPr>
      </w:pPr>
    </w:p>
    <w:p>
      <w:pPr>
        <w:pStyle w:val="BodyText"/>
        <w:spacing w:before="18"/>
        <w:ind w:left="0" w:right="0" w:firstLine="0"/>
        <w:jc w:val="left"/>
        <w:rPr>
          <w:sz w:val="24"/>
        </w:rPr>
      </w:pPr>
    </w:p>
    <w:p>
      <w:pPr>
        <w:pStyle w:val="Heading3"/>
        <w:spacing w:before="0"/>
        <w:jc w:val="left"/>
      </w:pPr>
      <w:r>
        <w:rPr/>
        <w:t>Психометрические</w:t>
      </w:r>
      <w:r>
        <w:rPr>
          <w:spacing w:val="-16"/>
        </w:rPr>
        <w:t> </w:t>
      </w:r>
      <w:r>
        <w:rPr/>
        <w:t>характеристики</w:t>
      </w:r>
      <w:r>
        <w:rPr>
          <w:spacing w:val="-14"/>
        </w:rPr>
        <w:t> </w:t>
      </w:r>
      <w:r>
        <w:rPr>
          <w:spacing w:val="-2"/>
        </w:rPr>
        <w:t>методики</w:t>
      </w:r>
    </w:p>
    <w:p>
      <w:pPr>
        <w:pStyle w:val="Heading4"/>
        <w:spacing w:before="233"/>
        <w:ind w:right="561"/>
      </w:pPr>
      <w:r>
        <w:rPr/>
        <w:t>Методика измерения устойчивости была разработана в 2005 году в рамках Международного проекта по исследованию устойчивости (</w:t>
      </w:r>
      <w:r>
        <w:rPr>
          <w:i/>
        </w:rPr>
        <w:t>International Resilience Project, IRP</w:t>
      </w:r>
      <w:r>
        <w:rPr/>
        <w:t>). Проект включал в себя 14 международных сообществ и 11 стран-участниц.</w:t>
      </w:r>
    </w:p>
    <w:p>
      <w:pPr>
        <w:pStyle w:val="Heading4"/>
        <w:spacing w:before="241"/>
        <w:ind w:right="561"/>
      </w:pPr>
      <w:r>
        <w:rPr/>
        <w:t>Опросник изначально представлял собой методику, состоящую из 58 (затем 28, затем 26 и 12, позднее 17) утверждений. Методика была переведена на 20 языков и использовалась в исследовательских работах (более 150) на разнообразных</w:t>
      </w:r>
      <w:r>
        <w:rPr>
          <w:spacing w:val="-8"/>
        </w:rPr>
        <w:t> </w:t>
      </w:r>
      <w:r>
        <w:rPr/>
        <w:t>выборках:</w:t>
      </w:r>
      <w:r>
        <w:rPr>
          <w:spacing w:val="-10"/>
        </w:rPr>
        <w:t> </w:t>
      </w:r>
      <w:r>
        <w:rPr/>
        <w:t>от</w:t>
      </w:r>
      <w:r>
        <w:rPr>
          <w:spacing w:val="-11"/>
        </w:rPr>
        <w:t> </w:t>
      </w:r>
      <w:r>
        <w:rPr/>
        <w:t>проживающих</w:t>
      </w:r>
      <w:r>
        <w:rPr>
          <w:spacing w:val="-7"/>
        </w:rPr>
        <w:t> </w:t>
      </w:r>
      <w:r>
        <w:rPr/>
        <w:t>в</w:t>
      </w:r>
      <w:r>
        <w:rPr>
          <w:spacing w:val="-11"/>
        </w:rPr>
        <w:t> </w:t>
      </w:r>
      <w:r>
        <w:rPr/>
        <w:t>Канаде</w:t>
      </w:r>
      <w:r>
        <w:rPr>
          <w:spacing w:val="-9"/>
        </w:rPr>
        <w:t> </w:t>
      </w:r>
      <w:r>
        <w:rPr/>
        <w:t>лиц</w:t>
      </w:r>
      <w:r>
        <w:rPr>
          <w:spacing w:val="-8"/>
        </w:rPr>
        <w:t> </w:t>
      </w:r>
      <w:r>
        <w:rPr/>
        <w:t>с</w:t>
      </w:r>
      <w:r>
        <w:rPr>
          <w:spacing w:val="-11"/>
        </w:rPr>
        <w:t> </w:t>
      </w:r>
      <w:r>
        <w:rPr/>
        <w:t>высокими</w:t>
      </w:r>
      <w:r>
        <w:rPr>
          <w:spacing w:val="-11"/>
        </w:rPr>
        <w:t> </w:t>
      </w:r>
      <w:r>
        <w:rPr/>
        <w:t>рисками развития психотических расстройств (</w:t>
      </w:r>
      <w:r>
        <w:rPr>
          <w:i/>
        </w:rPr>
        <w:t>Marulanda, Addington</w:t>
      </w:r>
      <w:r>
        <w:rPr/>
        <w:t>, 2016) до сирийских</w:t>
      </w:r>
      <w:r>
        <w:rPr>
          <w:spacing w:val="-1"/>
        </w:rPr>
        <w:t> </w:t>
      </w:r>
      <w:r>
        <w:rPr/>
        <w:t>беженцев, проживающих</w:t>
      </w:r>
      <w:r>
        <w:rPr>
          <w:spacing w:val="-1"/>
        </w:rPr>
        <w:t> </w:t>
      </w:r>
      <w:r>
        <w:rPr/>
        <w:t>на территории Иордании (</w:t>
      </w:r>
      <w:r>
        <w:rPr>
          <w:i/>
        </w:rPr>
        <w:t>Panter-Brick </w:t>
      </w:r>
      <w:r>
        <w:rPr/>
        <w:t>et al., 2018).</w:t>
      </w:r>
    </w:p>
    <w:p>
      <w:pPr>
        <w:pStyle w:val="Heading4"/>
        <w:spacing w:before="240"/>
        <w:ind w:right="563"/>
      </w:pPr>
      <w:r>
        <w:rPr/>
        <w:t>Данные по надежности и валидности представлены по результатам наиболее поздней версии методики, проведенной на 408 жителях Канады в возрасте от 11</w:t>
      </w:r>
      <w:r>
        <w:rPr>
          <w:spacing w:val="-18"/>
        </w:rPr>
        <w:t> </w:t>
      </w:r>
      <w:r>
        <w:rPr/>
        <w:t>до</w:t>
      </w:r>
      <w:r>
        <w:rPr>
          <w:spacing w:val="-17"/>
        </w:rPr>
        <w:t> </w:t>
      </w:r>
      <w:r>
        <w:rPr/>
        <w:t>19</w:t>
      </w:r>
      <w:r>
        <w:rPr>
          <w:spacing w:val="-18"/>
        </w:rPr>
        <w:t> </w:t>
      </w:r>
      <w:r>
        <w:rPr/>
        <w:t>лет</w:t>
      </w:r>
      <w:r>
        <w:rPr>
          <w:spacing w:val="-17"/>
        </w:rPr>
        <w:t> </w:t>
      </w:r>
      <w:r>
        <w:rPr/>
        <w:t>(</w:t>
      </w:r>
      <w:r>
        <w:rPr>
          <w:i/>
        </w:rPr>
        <w:t>Jefferies,</w:t>
      </w:r>
      <w:r>
        <w:rPr>
          <w:i/>
          <w:spacing w:val="-18"/>
        </w:rPr>
        <w:t> </w:t>
      </w:r>
      <w:r>
        <w:rPr>
          <w:i/>
        </w:rPr>
        <w:t>McGarrigle,</w:t>
      </w:r>
      <w:r>
        <w:rPr>
          <w:i/>
          <w:spacing w:val="-17"/>
        </w:rPr>
        <w:t> </w:t>
      </w:r>
      <w:r>
        <w:rPr>
          <w:i/>
        </w:rPr>
        <w:t>Ungar</w:t>
      </w:r>
      <w:r>
        <w:rPr/>
        <w:t>,</w:t>
      </w:r>
      <w:r>
        <w:rPr>
          <w:spacing w:val="-18"/>
        </w:rPr>
        <w:t> </w:t>
      </w:r>
      <w:r>
        <w:rPr/>
        <w:t>2018).</w:t>
      </w:r>
      <w:r>
        <w:rPr>
          <w:spacing w:val="-17"/>
        </w:rPr>
        <w:t> </w:t>
      </w:r>
      <w:r>
        <w:rPr/>
        <w:t>Общий</w:t>
      </w:r>
      <w:r>
        <w:rPr>
          <w:spacing w:val="-18"/>
        </w:rPr>
        <w:t> </w:t>
      </w:r>
      <w:r>
        <w:rPr/>
        <w:t>показатель</w:t>
      </w:r>
      <w:r>
        <w:rPr>
          <w:spacing w:val="-17"/>
        </w:rPr>
        <w:t> </w:t>
      </w:r>
      <w:r>
        <w:rPr/>
        <w:t>внутренней согласованности</w:t>
      </w:r>
      <w:r>
        <w:rPr>
          <w:spacing w:val="-17"/>
        </w:rPr>
        <w:t> </w:t>
      </w:r>
      <w:r>
        <w:rPr/>
        <w:t>шкал</w:t>
      </w:r>
      <w:r>
        <w:rPr>
          <w:spacing w:val="-15"/>
        </w:rPr>
        <w:t> </w:t>
      </w:r>
      <w:r>
        <w:rPr/>
        <w:t>опросника</w:t>
      </w:r>
      <w:r>
        <w:rPr>
          <w:spacing w:val="-14"/>
        </w:rPr>
        <w:t> </w:t>
      </w:r>
      <w:r>
        <w:rPr/>
        <w:t>(альфа</w:t>
      </w:r>
      <w:r>
        <w:rPr>
          <w:spacing w:val="-16"/>
        </w:rPr>
        <w:t> </w:t>
      </w:r>
      <w:r>
        <w:rPr/>
        <w:t>Кронбаха)</w:t>
      </w:r>
      <w:r>
        <w:rPr>
          <w:spacing w:val="-15"/>
        </w:rPr>
        <w:t> </w:t>
      </w:r>
      <w:r>
        <w:rPr/>
        <w:t>составляет</w:t>
      </w:r>
      <w:r>
        <w:rPr>
          <w:spacing w:val="-15"/>
        </w:rPr>
        <w:t> </w:t>
      </w:r>
      <w:r>
        <w:rPr/>
        <w:t>.87.</w:t>
      </w:r>
      <w:r>
        <w:rPr>
          <w:spacing w:val="-15"/>
        </w:rPr>
        <w:t> </w:t>
      </w:r>
      <w:r>
        <w:rPr/>
        <w:t>Для</w:t>
      </w:r>
      <w:r>
        <w:rPr>
          <w:spacing w:val="-14"/>
        </w:rPr>
        <w:t> </w:t>
      </w:r>
      <w:r>
        <w:rPr>
          <w:spacing w:val="-2"/>
        </w:rPr>
        <w:t>шкалы</w:t>
      </w:r>
    </w:p>
    <w:p>
      <w:pPr>
        <w:pStyle w:val="Heading4"/>
        <w:spacing w:before="1"/>
        <w:ind w:right="563"/>
      </w:pPr>
      <w:r>
        <w:rPr/>
        <w:t>«Личностная жизнестойкость» — .82; для шкалы «Социальная жизнестойкость» — .82.</w:t>
      </w:r>
    </w:p>
    <w:p>
      <w:pPr>
        <w:pStyle w:val="Heading4"/>
        <w:spacing w:after="0"/>
        <w:sectPr>
          <w:type w:val="continuous"/>
          <w:pgSz w:w="11910" w:h="16840"/>
          <w:pgMar w:header="0" w:footer="970" w:top="1100" w:bottom="1220" w:left="1417" w:right="283"/>
        </w:sectPr>
      </w:pPr>
    </w:p>
    <w:p>
      <w:pPr>
        <w:pStyle w:val="Heading4"/>
        <w:spacing w:before="67"/>
        <w:ind w:right="561"/>
      </w:pPr>
      <w:r>
        <w:rPr/>
        <w:t>Конструктная валидность диагностических пунктов шкал опросника была проверена</w:t>
      </w:r>
      <w:r>
        <w:rPr>
          <w:spacing w:val="-13"/>
        </w:rPr>
        <w:t> </w:t>
      </w:r>
      <w:r>
        <w:rPr/>
        <w:t>с</w:t>
      </w:r>
      <w:r>
        <w:rPr>
          <w:spacing w:val="-13"/>
        </w:rPr>
        <w:t> </w:t>
      </w:r>
      <w:r>
        <w:rPr/>
        <w:t>помощью</w:t>
      </w:r>
      <w:r>
        <w:rPr>
          <w:spacing w:val="-14"/>
        </w:rPr>
        <w:t> </w:t>
      </w:r>
      <w:r>
        <w:rPr/>
        <w:t>модели</w:t>
      </w:r>
      <w:r>
        <w:rPr>
          <w:spacing w:val="-13"/>
        </w:rPr>
        <w:t> </w:t>
      </w:r>
      <w:r>
        <w:rPr/>
        <w:t>Раша</w:t>
      </w:r>
      <w:r>
        <w:rPr>
          <w:spacing w:val="-14"/>
        </w:rPr>
        <w:t> </w:t>
      </w:r>
      <w:r>
        <w:rPr/>
        <w:t>(15.6%,</w:t>
      </w:r>
      <w:r>
        <w:rPr>
          <w:spacing w:val="-14"/>
        </w:rPr>
        <w:t> </w:t>
      </w:r>
      <w:r>
        <w:rPr/>
        <w:t>95%</w:t>
      </w:r>
      <w:r>
        <w:rPr>
          <w:spacing w:val="-15"/>
        </w:rPr>
        <w:t> </w:t>
      </w:r>
      <w:r>
        <w:rPr/>
        <w:t>доверительный</w:t>
      </w:r>
      <w:r>
        <w:rPr>
          <w:spacing w:val="-13"/>
        </w:rPr>
        <w:t> </w:t>
      </w:r>
      <w:r>
        <w:rPr/>
        <w:t>интервал:</w:t>
      </w:r>
      <w:r>
        <w:rPr>
          <w:spacing w:val="-15"/>
        </w:rPr>
        <w:t> </w:t>
      </w:r>
      <w:r>
        <w:rPr/>
        <w:t>14– 18%), позволяющей оценить значения индексов качества пункта. Согласно приведенным данным результаты анализа удовлетворяют требованиям к одномерности опросника и согласованности его шкал. Методике соответствуют</w:t>
      </w:r>
      <w:r>
        <w:rPr>
          <w:spacing w:val="27"/>
        </w:rPr>
        <w:t>  </w:t>
      </w:r>
      <w:r>
        <w:rPr/>
        <w:t>высокие</w:t>
      </w:r>
      <w:r>
        <w:rPr>
          <w:spacing w:val="29"/>
        </w:rPr>
        <w:t>  </w:t>
      </w:r>
      <w:r>
        <w:rPr/>
        <w:t>показатели</w:t>
      </w:r>
      <w:r>
        <w:rPr>
          <w:spacing w:val="29"/>
        </w:rPr>
        <w:t>  </w:t>
      </w:r>
      <w:r>
        <w:rPr/>
        <w:t>согласованности</w:t>
      </w:r>
      <w:r>
        <w:rPr>
          <w:spacing w:val="30"/>
        </w:rPr>
        <w:t>  </w:t>
      </w:r>
      <w:r>
        <w:rPr/>
        <w:t>утверждений</w:t>
      </w:r>
      <w:r>
        <w:rPr>
          <w:spacing w:val="30"/>
        </w:rPr>
        <w:t>  </w:t>
      </w:r>
      <w:r>
        <w:rPr>
          <w:spacing w:val="-2"/>
        </w:rPr>
        <w:t>(PSI):</w:t>
      </w:r>
    </w:p>
    <w:p>
      <w:pPr>
        <w:pStyle w:val="Heading4"/>
        <w:spacing w:before="1"/>
        <w:ind w:right="560"/>
      </w:pPr>
      <w:r>
        <w:rPr/>
        <w:t>«Личностная устойчивость» — .74; «Социальная устойчивость» — .71, и отсутствует статистическое смещение, что говорит о том, что шкалы опросника действительно измеряют показатели устойчивости и методика отвечает исследовательской цели. Кроме того, анализ статистической модели демонстрирует</w:t>
      </w:r>
      <w:r>
        <w:rPr>
          <w:spacing w:val="14"/>
        </w:rPr>
        <w:t> </w:t>
      </w:r>
      <w:r>
        <w:rPr/>
        <w:t>высокие</w:t>
      </w:r>
      <w:r>
        <w:rPr>
          <w:spacing w:val="13"/>
        </w:rPr>
        <w:t> </w:t>
      </w:r>
      <w:r>
        <w:rPr/>
        <w:t>показатели</w:t>
      </w:r>
      <w:r>
        <w:rPr>
          <w:spacing w:val="14"/>
        </w:rPr>
        <w:t> </w:t>
      </w:r>
      <w:r>
        <w:rPr/>
        <w:t>по</w:t>
      </w:r>
      <w:r>
        <w:rPr>
          <w:spacing w:val="13"/>
        </w:rPr>
        <w:t> </w:t>
      </w:r>
      <w:r>
        <w:rPr/>
        <w:t>индексам</w:t>
      </w:r>
      <w:r>
        <w:rPr>
          <w:spacing w:val="15"/>
        </w:rPr>
        <w:t> </w:t>
      </w:r>
      <w:r>
        <w:rPr/>
        <w:t>RMSEA</w:t>
      </w:r>
      <w:r>
        <w:rPr>
          <w:spacing w:val="20"/>
        </w:rPr>
        <w:t> </w:t>
      </w:r>
      <w:r>
        <w:rPr/>
        <w:t>—</w:t>
      </w:r>
      <w:r>
        <w:rPr>
          <w:spacing w:val="15"/>
        </w:rPr>
        <w:t> </w:t>
      </w:r>
      <w:r>
        <w:rPr/>
        <w:t>.059</w:t>
      </w:r>
      <w:r>
        <w:rPr>
          <w:spacing w:val="14"/>
        </w:rPr>
        <w:t> </w:t>
      </w:r>
      <w:r>
        <w:rPr/>
        <w:t>и</w:t>
      </w:r>
      <w:r>
        <w:rPr>
          <w:spacing w:val="14"/>
        </w:rPr>
        <w:t> </w:t>
      </w:r>
      <w:r>
        <w:rPr/>
        <w:t>RMSR</w:t>
      </w:r>
      <w:r>
        <w:rPr>
          <w:spacing w:val="11"/>
        </w:rPr>
        <w:t> </w:t>
      </w:r>
      <w:r>
        <w:rPr>
          <w:spacing w:val="-10"/>
        </w:rPr>
        <w:t>—</w:t>
      </w:r>
    </w:p>
    <w:p>
      <w:pPr>
        <w:pStyle w:val="Heading4"/>
        <w:spacing w:before="1"/>
        <w:ind w:right="560"/>
      </w:pPr>
      <w:r>
        <w:rPr/>
        <w:t>.55.</w:t>
      </w:r>
      <w:r>
        <w:rPr>
          <w:spacing w:val="-16"/>
        </w:rPr>
        <w:t> </w:t>
      </w:r>
      <w:r>
        <w:rPr/>
        <w:t>Параллельная</w:t>
      </w:r>
      <w:r>
        <w:rPr>
          <w:spacing w:val="-15"/>
        </w:rPr>
        <w:t> </w:t>
      </w:r>
      <w:r>
        <w:rPr/>
        <w:t>валидность</w:t>
      </w:r>
      <w:r>
        <w:rPr>
          <w:spacing w:val="-17"/>
        </w:rPr>
        <w:t> </w:t>
      </w:r>
      <w:r>
        <w:rPr/>
        <w:t>опросника</w:t>
      </w:r>
      <w:r>
        <w:rPr>
          <w:spacing w:val="-16"/>
        </w:rPr>
        <w:t> </w:t>
      </w:r>
      <w:r>
        <w:rPr/>
        <w:t>была</w:t>
      </w:r>
      <w:r>
        <w:rPr>
          <w:spacing w:val="-16"/>
        </w:rPr>
        <w:t> </w:t>
      </w:r>
      <w:r>
        <w:rPr/>
        <w:t>подтверждена</w:t>
      </w:r>
      <w:r>
        <w:rPr>
          <w:spacing w:val="-16"/>
        </w:rPr>
        <w:t> </w:t>
      </w:r>
      <w:r>
        <w:rPr/>
        <w:t>в</w:t>
      </w:r>
      <w:r>
        <w:rPr>
          <w:spacing w:val="-17"/>
        </w:rPr>
        <w:t> </w:t>
      </w:r>
      <w:r>
        <w:rPr/>
        <w:t>исследованиях, отражающих прямую корреляцию шкал с показателями самооценки и принятия себя (</w:t>
      </w:r>
      <w:r>
        <w:rPr>
          <w:i/>
        </w:rPr>
        <w:t>Daigneault </w:t>
      </w:r>
      <w:r>
        <w:rPr/>
        <w:t>et al., 2013), а также обратную корреляцию — с показателями</w:t>
      </w:r>
      <w:r>
        <w:rPr>
          <w:spacing w:val="-10"/>
        </w:rPr>
        <w:t> </w:t>
      </w:r>
      <w:r>
        <w:rPr/>
        <w:t>ПТСР</w:t>
      </w:r>
      <w:r>
        <w:rPr>
          <w:spacing w:val="-10"/>
        </w:rPr>
        <w:t> </w:t>
      </w:r>
      <w:r>
        <w:rPr/>
        <w:t>(</w:t>
      </w:r>
      <w:r>
        <w:rPr>
          <w:i/>
        </w:rPr>
        <w:t>Zahradnik</w:t>
      </w:r>
      <w:r>
        <w:rPr>
          <w:i/>
          <w:spacing w:val="-9"/>
        </w:rPr>
        <w:t> </w:t>
      </w:r>
      <w:r>
        <w:rPr/>
        <w:t>et</w:t>
      </w:r>
      <w:r>
        <w:rPr>
          <w:spacing w:val="-9"/>
        </w:rPr>
        <w:t> </w:t>
      </w:r>
      <w:r>
        <w:rPr/>
        <w:t>al.,</w:t>
      </w:r>
      <w:r>
        <w:rPr>
          <w:spacing w:val="-11"/>
        </w:rPr>
        <w:t> </w:t>
      </w:r>
      <w:r>
        <w:rPr/>
        <w:t>2010)</w:t>
      </w:r>
      <w:r>
        <w:rPr>
          <w:spacing w:val="-12"/>
        </w:rPr>
        <w:t> </w:t>
      </w:r>
      <w:r>
        <w:rPr/>
        <w:t>и</w:t>
      </w:r>
      <w:r>
        <w:rPr>
          <w:spacing w:val="-10"/>
        </w:rPr>
        <w:t> </w:t>
      </w:r>
      <w:r>
        <w:rPr/>
        <w:t>психологической</w:t>
      </w:r>
      <w:r>
        <w:rPr>
          <w:spacing w:val="-10"/>
        </w:rPr>
        <w:t> </w:t>
      </w:r>
      <w:r>
        <w:rPr/>
        <w:t>травмы</w:t>
      </w:r>
      <w:r>
        <w:rPr>
          <w:spacing w:val="-10"/>
        </w:rPr>
        <w:t> </w:t>
      </w:r>
      <w:r>
        <w:rPr/>
        <w:t>(</w:t>
      </w:r>
      <w:r>
        <w:rPr>
          <w:i/>
        </w:rPr>
        <w:t>Collin- Vezina </w:t>
      </w:r>
      <w:r>
        <w:rPr/>
        <w:t>et al., 2011).</w:t>
      </w:r>
    </w:p>
    <w:p>
      <w:pPr>
        <w:pStyle w:val="Heading4"/>
        <w:spacing w:before="240"/>
        <w:ind w:right="561" w:firstLine="69"/>
      </w:pPr>
      <w:r>
        <w:rPr/>
        <w:t>Таким образом, методика измерения устойчивости является валидным инструментом, обладающим высокой согласованностью шкал и апробированным на широкой международной выборке. Опросник позволяет проводить эффективную диагностику способности человека выявлять (личностно и при поддержке социального окружения) необходимые для него ресурсы, поддерживая таким образом его физическое и психологическое </w:t>
      </w:r>
      <w:r>
        <w:rPr>
          <w:spacing w:val="-2"/>
        </w:rPr>
        <w:t>благополучие.</w:t>
      </w:r>
    </w:p>
    <w:p>
      <w:pPr>
        <w:pStyle w:val="Heading3"/>
        <w:spacing w:before="248"/>
      </w:pPr>
      <w:r>
        <w:rPr/>
        <w:t>Адаптация</w:t>
      </w:r>
      <w:r>
        <w:rPr>
          <w:spacing w:val="-6"/>
        </w:rPr>
        <w:t> </w:t>
      </w:r>
      <w:r>
        <w:rPr/>
        <w:t>методики</w:t>
      </w:r>
      <w:r>
        <w:rPr>
          <w:spacing w:val="-4"/>
        </w:rPr>
        <w:t> </w:t>
      </w:r>
      <w:r>
        <w:rPr/>
        <w:t>на</w:t>
      </w:r>
      <w:r>
        <w:rPr>
          <w:spacing w:val="-5"/>
        </w:rPr>
        <w:t> </w:t>
      </w:r>
      <w:r>
        <w:rPr/>
        <w:t>русском</w:t>
      </w:r>
      <w:r>
        <w:rPr>
          <w:spacing w:val="-5"/>
        </w:rPr>
        <w:t> </w:t>
      </w:r>
      <w:r>
        <w:rPr>
          <w:spacing w:val="-4"/>
        </w:rPr>
        <w:t>языке</w:t>
      </w:r>
    </w:p>
    <w:p>
      <w:pPr>
        <w:spacing w:before="232"/>
        <w:ind w:left="285" w:right="570" w:firstLine="0"/>
        <w:jc w:val="both"/>
        <w:rPr>
          <w:sz w:val="28"/>
        </w:rPr>
      </w:pPr>
      <w:r>
        <w:rPr>
          <w:sz w:val="28"/>
        </w:rPr>
        <w:t>Русскоязычная версия представляет собой перевод итогового англоязычного руководства (</w:t>
      </w:r>
      <w:r>
        <w:rPr>
          <w:i/>
          <w:sz w:val="28"/>
        </w:rPr>
        <w:t>Resilience Research Centre</w:t>
      </w:r>
      <w:r>
        <w:rPr>
          <w:sz w:val="28"/>
        </w:rPr>
        <w:t>, 2018).</w:t>
      </w:r>
    </w:p>
    <w:p>
      <w:pPr>
        <w:pStyle w:val="Heading4"/>
        <w:spacing w:before="242"/>
        <w:ind w:right="562"/>
      </w:pPr>
      <w:r>
        <w:rPr/>
        <w:t>В 2022 г. методика была адаптирована для детей — иностранных граждан в рамках апробации в 12 регионах РФ программы оценки особых образовательных потребностей ребенка-мигранта в сферах психологического благополучия,</w:t>
      </w:r>
      <w:r>
        <w:rPr>
          <w:spacing w:val="-16"/>
        </w:rPr>
        <w:t> </w:t>
      </w:r>
      <w:r>
        <w:rPr/>
        <w:t>социальных</w:t>
      </w:r>
      <w:r>
        <w:rPr>
          <w:spacing w:val="-15"/>
        </w:rPr>
        <w:t> </w:t>
      </w:r>
      <w:r>
        <w:rPr/>
        <w:t>навыков</w:t>
      </w:r>
      <w:r>
        <w:rPr>
          <w:spacing w:val="-17"/>
        </w:rPr>
        <w:t> </w:t>
      </w:r>
      <w:r>
        <w:rPr/>
        <w:t>и</w:t>
      </w:r>
      <w:r>
        <w:rPr>
          <w:spacing w:val="-18"/>
        </w:rPr>
        <w:t> </w:t>
      </w:r>
      <w:r>
        <w:rPr/>
        <w:t>культурной</w:t>
      </w:r>
      <w:r>
        <w:rPr>
          <w:spacing w:val="-12"/>
        </w:rPr>
        <w:t> </w:t>
      </w:r>
      <w:r>
        <w:rPr/>
        <w:t>адаптации</w:t>
      </w:r>
      <w:r>
        <w:rPr>
          <w:spacing w:val="-15"/>
        </w:rPr>
        <w:t> </w:t>
      </w:r>
      <w:r>
        <w:rPr/>
        <w:t>(N</w:t>
      </w:r>
      <w:r>
        <w:rPr>
          <w:spacing w:val="-17"/>
        </w:rPr>
        <w:t> </w:t>
      </w:r>
      <w:r>
        <w:rPr/>
        <w:t>нач.</w:t>
      </w:r>
      <w:r>
        <w:rPr>
          <w:spacing w:val="-16"/>
        </w:rPr>
        <w:t> </w:t>
      </w:r>
      <w:r>
        <w:rPr/>
        <w:t>шк.</w:t>
      </w:r>
      <w:r>
        <w:rPr>
          <w:spacing w:val="-16"/>
        </w:rPr>
        <w:t> </w:t>
      </w:r>
      <w:r>
        <w:rPr/>
        <w:t>=</w:t>
      </w:r>
      <w:r>
        <w:rPr>
          <w:spacing w:val="-18"/>
        </w:rPr>
        <w:t> </w:t>
      </w:r>
      <w:r>
        <w:rPr/>
        <w:t>328, N ср. + ст. шк. = 343, N общ. = 671). Шкалы методики показали достаточную степень внутренней согласованности (альфа Кронбаха 0.825 – 0.943).</w:t>
      </w:r>
    </w:p>
    <w:p>
      <w:pPr>
        <w:pStyle w:val="Heading4"/>
        <w:spacing w:before="238"/>
        <w:ind w:right="557"/>
      </w:pPr>
      <w:r>
        <w:rPr/>
        <w:t>В исследовании обнаружены предсказуемые корреляции со шкалами иных методик. Значимая отрицательная корреляция с методикой Ахенбаха: шкалы Проблемы интернализации (-0.386, P&lt;0.01) и Проблемы экстернализации (- 0.294, P&lt;0.01); положительные значимые корреляции с рисуночной диагностикой субъективного благополучия ребенка-мигранта (общий показатель субъективного благополучия) (0.510, P&lt;0.01) и Шкалой психологического благополучия Уорик–Эдинбург (0.612, P&lt;0.01), что доказывает внешнюю</w:t>
      </w:r>
      <w:r>
        <w:rPr>
          <w:spacing w:val="40"/>
        </w:rPr>
        <w:t> </w:t>
      </w:r>
      <w:r>
        <w:rPr/>
        <w:t>валидность методики «Детский тест психологической устойчивости» при диагностике детей — иностранных граждан</w:t>
      </w:r>
    </w:p>
    <w:p>
      <w:pPr>
        <w:pStyle w:val="Heading4"/>
        <w:spacing w:after="0"/>
        <w:sectPr>
          <w:pgSz w:w="11910" w:h="16840"/>
          <w:pgMar w:header="0" w:footer="970" w:top="1040" w:bottom="1220" w:left="1417" w:right="283"/>
        </w:sectPr>
      </w:pPr>
    </w:p>
    <w:p>
      <w:pPr>
        <w:pStyle w:val="Heading3"/>
        <w:ind w:left="5570"/>
        <w:jc w:val="left"/>
      </w:pPr>
      <w:r>
        <w:rPr/>
        <w:t>Приложение</w:t>
      </w:r>
      <w:r>
        <w:rPr>
          <w:spacing w:val="-5"/>
        </w:rPr>
        <w:t> </w:t>
      </w:r>
      <w:r>
        <w:rPr/>
        <w:t>7.</w:t>
      </w:r>
      <w:r>
        <w:rPr>
          <w:spacing w:val="-3"/>
        </w:rPr>
        <w:t> </w:t>
      </w:r>
      <w:r>
        <w:rPr/>
        <w:t>Бланк</w:t>
      </w:r>
      <w:r>
        <w:rPr>
          <w:spacing w:val="-3"/>
        </w:rPr>
        <w:t> </w:t>
      </w:r>
      <w:r>
        <w:rPr>
          <w:spacing w:val="-2"/>
        </w:rPr>
        <w:t>методики</w:t>
      </w:r>
    </w:p>
    <w:p>
      <w:pPr>
        <w:spacing w:before="200"/>
        <w:ind w:left="0" w:right="566" w:firstLine="0"/>
        <w:jc w:val="center"/>
        <w:rPr>
          <w:b/>
          <w:sz w:val="28"/>
        </w:rPr>
      </w:pPr>
      <w:r>
        <w:rPr>
          <w:b/>
          <w:sz w:val="28"/>
        </w:rPr>
        <w:t>Для</w:t>
      </w:r>
      <w:r>
        <w:rPr>
          <w:b/>
          <w:spacing w:val="-4"/>
          <w:sz w:val="28"/>
        </w:rPr>
        <w:t> </w:t>
      </w:r>
      <w:r>
        <w:rPr>
          <w:b/>
          <w:spacing w:val="-2"/>
          <w:sz w:val="28"/>
        </w:rPr>
        <w:t>детей</w:t>
      </w:r>
    </w:p>
    <w:p>
      <w:pPr>
        <w:pStyle w:val="Heading5"/>
        <w:spacing w:before="232"/>
        <w:ind w:right="566"/>
        <w:jc w:val="both"/>
      </w:pPr>
      <w:r>
        <w:rPr/>
        <w:t>Прочитай</w:t>
      </w:r>
      <w:r>
        <w:rPr>
          <w:spacing w:val="-18"/>
        </w:rPr>
        <w:t> </w:t>
      </w:r>
      <w:r>
        <w:rPr/>
        <w:t>данные</w:t>
      </w:r>
      <w:r>
        <w:rPr>
          <w:spacing w:val="-17"/>
        </w:rPr>
        <w:t> </w:t>
      </w:r>
      <w:r>
        <w:rPr/>
        <w:t>утверждения</w:t>
      </w:r>
      <w:r>
        <w:rPr>
          <w:spacing w:val="-18"/>
        </w:rPr>
        <w:t> </w:t>
      </w:r>
      <w:r>
        <w:rPr/>
        <w:t>и</w:t>
      </w:r>
      <w:r>
        <w:rPr>
          <w:spacing w:val="-17"/>
        </w:rPr>
        <w:t> </w:t>
      </w:r>
      <w:r>
        <w:rPr/>
        <w:t>отметь,</w:t>
      </w:r>
      <w:r>
        <w:rPr>
          <w:spacing w:val="-18"/>
        </w:rPr>
        <w:t> </w:t>
      </w:r>
      <w:r>
        <w:rPr/>
        <w:t>насколько</w:t>
      </w:r>
      <w:r>
        <w:rPr>
          <w:spacing w:val="-17"/>
        </w:rPr>
        <w:t> </w:t>
      </w:r>
      <w:r>
        <w:rPr/>
        <w:t>каждое</w:t>
      </w:r>
      <w:r>
        <w:rPr>
          <w:spacing w:val="-18"/>
        </w:rPr>
        <w:t> </w:t>
      </w:r>
      <w:r>
        <w:rPr/>
        <w:t>из</w:t>
      </w:r>
      <w:r>
        <w:rPr>
          <w:spacing w:val="-17"/>
        </w:rPr>
        <w:t> </w:t>
      </w:r>
      <w:r>
        <w:rPr/>
        <w:t>них</w:t>
      </w:r>
      <w:r>
        <w:rPr>
          <w:spacing w:val="-18"/>
        </w:rPr>
        <w:t> </w:t>
      </w:r>
      <w:r>
        <w:rPr/>
        <w:t>про</w:t>
      </w:r>
      <w:r>
        <w:rPr>
          <w:spacing w:val="-17"/>
        </w:rPr>
        <w:t> </w:t>
      </w:r>
      <w:r>
        <w:rPr/>
        <w:t>тебя. Выбери в каждом утверждении наиболее подходящий вариант и обведи в бланке соответствующий номер. Здесь нет правильных и неправильных </w:t>
      </w:r>
      <w:r>
        <w:rPr>
          <w:spacing w:val="-2"/>
        </w:rPr>
        <w:t>ответов.</w:t>
      </w:r>
    </w:p>
    <w:p>
      <w:pPr>
        <w:pStyle w:val="BodyText"/>
        <w:spacing w:before="7" w:after="1"/>
        <w:ind w:left="0" w:right="0" w:firstLine="0"/>
        <w:jc w:val="left"/>
        <w:rPr>
          <w:i/>
          <w:sz w:val="14"/>
        </w:rPr>
      </w:pPr>
    </w:p>
    <w:tbl>
      <w:tblPr>
        <w:tblW w:w="0" w:type="auto"/>
        <w:jc w:val="left"/>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
        <w:gridCol w:w="3968"/>
        <w:gridCol w:w="1136"/>
        <w:gridCol w:w="992"/>
        <w:gridCol w:w="1137"/>
        <w:gridCol w:w="992"/>
        <w:gridCol w:w="1163"/>
      </w:tblGrid>
      <w:tr>
        <w:trPr>
          <w:trHeight w:val="1788" w:hRule="atLeast"/>
        </w:trPr>
        <w:tc>
          <w:tcPr>
            <w:tcW w:w="538" w:type="dxa"/>
          </w:tcPr>
          <w:p>
            <w:pPr>
              <w:pStyle w:val="TableParagraph"/>
              <w:rPr>
                <w:i/>
                <w:sz w:val="24"/>
              </w:rPr>
            </w:pPr>
          </w:p>
          <w:p>
            <w:pPr>
              <w:pStyle w:val="TableParagraph"/>
              <w:spacing w:before="78"/>
              <w:rPr>
                <w:i/>
                <w:sz w:val="24"/>
              </w:rPr>
            </w:pPr>
          </w:p>
          <w:p>
            <w:pPr>
              <w:pStyle w:val="TableParagraph"/>
              <w:ind w:left="107"/>
              <w:rPr>
                <w:sz w:val="24"/>
              </w:rPr>
            </w:pPr>
            <w:r>
              <w:rPr>
                <w:spacing w:val="-10"/>
                <w:sz w:val="24"/>
              </w:rPr>
              <w:t>№</w:t>
            </w:r>
          </w:p>
        </w:tc>
        <w:tc>
          <w:tcPr>
            <w:tcW w:w="3968" w:type="dxa"/>
          </w:tcPr>
          <w:p>
            <w:pPr>
              <w:pStyle w:val="TableParagraph"/>
              <w:rPr>
                <w:i/>
                <w:sz w:val="24"/>
              </w:rPr>
            </w:pPr>
          </w:p>
          <w:p>
            <w:pPr>
              <w:pStyle w:val="TableParagraph"/>
              <w:spacing w:before="78"/>
              <w:rPr>
                <w:i/>
                <w:sz w:val="24"/>
              </w:rPr>
            </w:pPr>
          </w:p>
          <w:p>
            <w:pPr>
              <w:pStyle w:val="TableParagraph"/>
              <w:ind w:left="104"/>
              <w:rPr>
                <w:sz w:val="24"/>
              </w:rPr>
            </w:pPr>
            <w:r>
              <w:rPr>
                <w:spacing w:val="-2"/>
                <w:sz w:val="24"/>
              </w:rPr>
              <w:t>Утверждение</w:t>
            </w:r>
          </w:p>
        </w:tc>
        <w:tc>
          <w:tcPr>
            <w:tcW w:w="1136" w:type="dxa"/>
          </w:tcPr>
          <w:p>
            <w:pPr>
              <w:pStyle w:val="TableParagraph"/>
              <w:spacing w:before="37"/>
              <w:rPr>
                <w:i/>
                <w:sz w:val="24"/>
              </w:rPr>
            </w:pPr>
          </w:p>
          <w:p>
            <w:pPr>
              <w:pStyle w:val="TableParagraph"/>
              <w:spacing w:line="276" w:lineRule="auto"/>
              <w:ind w:left="8"/>
              <w:jc w:val="center"/>
              <w:rPr>
                <w:i/>
                <w:sz w:val="24"/>
              </w:rPr>
            </w:pPr>
            <w:r>
              <w:rPr>
                <w:i/>
                <w:spacing w:val="-2"/>
                <w:sz w:val="24"/>
              </w:rPr>
              <w:t>Полност </w:t>
            </w:r>
            <w:r>
              <w:rPr>
                <w:i/>
                <w:sz w:val="24"/>
              </w:rPr>
              <w:t>ью не </w:t>
            </w:r>
            <w:r>
              <w:rPr>
                <w:i/>
                <w:spacing w:val="-2"/>
                <w:sz w:val="24"/>
              </w:rPr>
              <w:t>согласен</w:t>
            </w:r>
          </w:p>
        </w:tc>
        <w:tc>
          <w:tcPr>
            <w:tcW w:w="992" w:type="dxa"/>
          </w:tcPr>
          <w:p>
            <w:pPr>
              <w:pStyle w:val="TableParagraph"/>
              <w:spacing w:line="276" w:lineRule="auto" w:before="155"/>
              <w:ind w:left="111" w:right="111" w:firstLine="2"/>
              <w:jc w:val="center"/>
              <w:rPr>
                <w:i/>
                <w:sz w:val="24"/>
              </w:rPr>
            </w:pPr>
            <w:r>
              <w:rPr>
                <w:i/>
                <w:spacing w:val="-2"/>
                <w:sz w:val="24"/>
              </w:rPr>
              <w:t>Скорее </w:t>
            </w:r>
            <w:r>
              <w:rPr>
                <w:i/>
                <w:spacing w:val="-6"/>
                <w:sz w:val="24"/>
              </w:rPr>
              <w:t>не </w:t>
            </w:r>
            <w:r>
              <w:rPr>
                <w:i/>
                <w:spacing w:val="-2"/>
                <w:sz w:val="24"/>
              </w:rPr>
              <w:t>согласе </w:t>
            </w:r>
            <w:r>
              <w:rPr>
                <w:i/>
                <w:spacing w:val="-10"/>
                <w:sz w:val="24"/>
              </w:rPr>
              <w:t>н</w:t>
            </w:r>
          </w:p>
        </w:tc>
        <w:tc>
          <w:tcPr>
            <w:tcW w:w="1137" w:type="dxa"/>
          </w:tcPr>
          <w:p>
            <w:pPr>
              <w:pStyle w:val="TableParagraph"/>
              <w:spacing w:line="276" w:lineRule="auto"/>
              <w:ind w:left="125" w:right="125" w:firstLine="2"/>
              <w:jc w:val="center"/>
              <w:rPr>
                <w:i/>
                <w:sz w:val="24"/>
              </w:rPr>
            </w:pPr>
            <w:r>
              <w:rPr>
                <w:i/>
                <w:sz w:val="24"/>
              </w:rPr>
              <w:t>В чем- </w:t>
            </w:r>
            <w:r>
              <w:rPr>
                <w:i/>
                <w:spacing w:val="-6"/>
                <w:sz w:val="24"/>
              </w:rPr>
              <w:t>то </w:t>
            </w:r>
            <w:r>
              <w:rPr>
                <w:i/>
                <w:spacing w:val="-2"/>
                <w:sz w:val="24"/>
              </w:rPr>
              <w:t>согласен</w:t>
            </w:r>
          </w:p>
          <w:p>
            <w:pPr>
              <w:pStyle w:val="TableParagraph"/>
              <w:spacing w:line="278" w:lineRule="auto"/>
              <w:ind w:left="81" w:right="79"/>
              <w:jc w:val="center"/>
              <w:rPr>
                <w:i/>
                <w:sz w:val="24"/>
              </w:rPr>
            </w:pPr>
            <w:r>
              <w:rPr>
                <w:i/>
                <w:sz w:val="24"/>
              </w:rPr>
              <w:t>,</w:t>
            </w:r>
            <w:r>
              <w:rPr>
                <w:i/>
                <w:spacing w:val="-12"/>
                <w:sz w:val="24"/>
              </w:rPr>
              <w:t> </w:t>
            </w:r>
            <w:r>
              <w:rPr>
                <w:i/>
                <w:sz w:val="24"/>
              </w:rPr>
              <w:t>в</w:t>
            </w:r>
            <w:r>
              <w:rPr>
                <w:i/>
                <w:spacing w:val="-13"/>
                <w:sz w:val="24"/>
              </w:rPr>
              <w:t> </w:t>
            </w:r>
            <w:r>
              <w:rPr>
                <w:i/>
                <w:sz w:val="24"/>
              </w:rPr>
              <w:t>чем- то </w:t>
            </w:r>
            <w:r>
              <w:rPr>
                <w:i/>
                <w:spacing w:val="-5"/>
                <w:sz w:val="24"/>
              </w:rPr>
              <w:t>нет</w:t>
            </w:r>
          </w:p>
        </w:tc>
        <w:tc>
          <w:tcPr>
            <w:tcW w:w="992" w:type="dxa"/>
          </w:tcPr>
          <w:p>
            <w:pPr>
              <w:pStyle w:val="TableParagraph"/>
              <w:spacing w:before="37"/>
              <w:rPr>
                <w:i/>
                <w:sz w:val="24"/>
              </w:rPr>
            </w:pPr>
          </w:p>
          <w:p>
            <w:pPr>
              <w:pStyle w:val="TableParagraph"/>
              <w:spacing w:line="276" w:lineRule="auto"/>
              <w:ind w:left="109" w:right="113" w:firstLine="2"/>
              <w:jc w:val="center"/>
              <w:rPr>
                <w:i/>
                <w:sz w:val="24"/>
              </w:rPr>
            </w:pPr>
            <w:r>
              <w:rPr>
                <w:i/>
                <w:spacing w:val="-2"/>
                <w:sz w:val="24"/>
              </w:rPr>
              <w:t>Скорее согласе </w:t>
            </w:r>
            <w:r>
              <w:rPr>
                <w:i/>
                <w:spacing w:val="-10"/>
                <w:sz w:val="24"/>
              </w:rPr>
              <w:t>н</w:t>
            </w:r>
          </w:p>
        </w:tc>
        <w:tc>
          <w:tcPr>
            <w:tcW w:w="1163" w:type="dxa"/>
          </w:tcPr>
          <w:p>
            <w:pPr>
              <w:pStyle w:val="TableParagraph"/>
              <w:spacing w:before="37"/>
              <w:rPr>
                <w:i/>
                <w:sz w:val="24"/>
              </w:rPr>
            </w:pPr>
          </w:p>
          <w:p>
            <w:pPr>
              <w:pStyle w:val="TableParagraph"/>
              <w:spacing w:line="276" w:lineRule="auto"/>
              <w:ind w:left="435" w:right="112" w:hanging="317"/>
              <w:rPr>
                <w:i/>
                <w:sz w:val="24"/>
              </w:rPr>
            </w:pPr>
            <w:r>
              <w:rPr>
                <w:i/>
                <w:spacing w:val="-2"/>
                <w:sz w:val="24"/>
              </w:rPr>
              <w:t>Полност </w:t>
            </w:r>
            <w:r>
              <w:rPr>
                <w:i/>
                <w:spacing w:val="-6"/>
                <w:sz w:val="24"/>
              </w:rPr>
              <w:t>ью</w:t>
            </w:r>
          </w:p>
          <w:p>
            <w:pPr>
              <w:pStyle w:val="TableParagraph"/>
              <w:spacing w:line="275" w:lineRule="exact"/>
              <w:ind w:left="137"/>
              <w:rPr>
                <w:i/>
                <w:sz w:val="24"/>
              </w:rPr>
            </w:pPr>
            <w:r>
              <w:rPr>
                <w:i/>
                <w:spacing w:val="-2"/>
                <w:sz w:val="24"/>
              </w:rPr>
              <w:t>согласен</w:t>
            </w:r>
          </w:p>
        </w:tc>
      </w:tr>
      <w:tr>
        <w:trPr>
          <w:trHeight w:val="517" w:hRule="atLeast"/>
        </w:trPr>
        <w:tc>
          <w:tcPr>
            <w:tcW w:w="538" w:type="dxa"/>
          </w:tcPr>
          <w:p>
            <w:pPr>
              <w:pStyle w:val="TableParagraph"/>
              <w:spacing w:line="270" w:lineRule="exact"/>
              <w:ind w:left="107"/>
              <w:rPr>
                <w:sz w:val="24"/>
              </w:rPr>
            </w:pPr>
            <w:r>
              <w:rPr>
                <w:spacing w:val="-10"/>
                <w:sz w:val="24"/>
              </w:rPr>
              <w:t>1</w:t>
            </w:r>
          </w:p>
        </w:tc>
        <w:tc>
          <w:tcPr>
            <w:tcW w:w="3968" w:type="dxa"/>
          </w:tcPr>
          <w:p>
            <w:pPr>
              <w:pStyle w:val="TableParagraph"/>
              <w:spacing w:line="270" w:lineRule="exact"/>
              <w:ind w:left="104"/>
              <w:rPr>
                <w:sz w:val="24"/>
              </w:rPr>
            </w:pPr>
            <w:r>
              <w:rPr>
                <w:sz w:val="24"/>
              </w:rPr>
              <w:t>Я</w:t>
            </w:r>
            <w:r>
              <w:rPr>
                <w:spacing w:val="-1"/>
                <w:sz w:val="24"/>
              </w:rPr>
              <w:t> </w:t>
            </w:r>
            <w:r>
              <w:rPr>
                <w:sz w:val="24"/>
              </w:rPr>
              <w:t>умею</w:t>
            </w:r>
            <w:r>
              <w:rPr>
                <w:spacing w:val="-2"/>
                <w:sz w:val="24"/>
              </w:rPr>
              <w:t> </w:t>
            </w:r>
            <w:r>
              <w:rPr>
                <w:sz w:val="24"/>
              </w:rPr>
              <w:t>дружить</w:t>
            </w:r>
            <w:r>
              <w:rPr>
                <w:spacing w:val="-2"/>
                <w:sz w:val="24"/>
              </w:rPr>
              <w:t> </w:t>
            </w:r>
            <w:r>
              <w:rPr>
                <w:sz w:val="24"/>
              </w:rPr>
              <w:t>с</w:t>
            </w:r>
            <w:r>
              <w:rPr>
                <w:spacing w:val="-3"/>
                <w:sz w:val="24"/>
              </w:rPr>
              <w:t> </w:t>
            </w:r>
            <w:r>
              <w:rPr>
                <w:sz w:val="24"/>
              </w:rPr>
              <w:t>другими</w:t>
            </w:r>
            <w:r>
              <w:rPr>
                <w:spacing w:val="-2"/>
                <w:sz w:val="24"/>
              </w:rPr>
              <w:t> людьми</w:t>
            </w:r>
          </w:p>
        </w:tc>
        <w:tc>
          <w:tcPr>
            <w:tcW w:w="1136" w:type="dxa"/>
          </w:tcPr>
          <w:p>
            <w:pPr>
              <w:pStyle w:val="TableParagraph"/>
              <w:spacing w:line="270" w:lineRule="exact"/>
              <w:ind w:left="8" w:right="3"/>
              <w:jc w:val="center"/>
              <w:rPr>
                <w:sz w:val="24"/>
              </w:rPr>
            </w:pPr>
            <w:r>
              <w:rPr>
                <w:spacing w:val="-10"/>
                <w:sz w:val="24"/>
              </w:rPr>
              <w:t>1</w:t>
            </w:r>
          </w:p>
        </w:tc>
        <w:tc>
          <w:tcPr>
            <w:tcW w:w="992" w:type="dxa"/>
          </w:tcPr>
          <w:p>
            <w:pPr>
              <w:pStyle w:val="TableParagraph"/>
              <w:spacing w:line="270" w:lineRule="exact"/>
              <w:ind w:left="2" w:right="2"/>
              <w:jc w:val="center"/>
              <w:rPr>
                <w:sz w:val="24"/>
              </w:rPr>
            </w:pPr>
            <w:r>
              <w:rPr>
                <w:spacing w:val="-10"/>
                <w:sz w:val="24"/>
              </w:rPr>
              <w:t>2</w:t>
            </w:r>
          </w:p>
        </w:tc>
        <w:tc>
          <w:tcPr>
            <w:tcW w:w="1137" w:type="dxa"/>
          </w:tcPr>
          <w:p>
            <w:pPr>
              <w:pStyle w:val="TableParagraph"/>
              <w:spacing w:line="270" w:lineRule="exact"/>
              <w:ind w:left="81" w:right="80"/>
              <w:jc w:val="center"/>
              <w:rPr>
                <w:sz w:val="24"/>
              </w:rPr>
            </w:pPr>
            <w:r>
              <w:rPr>
                <w:spacing w:val="-10"/>
                <w:sz w:val="24"/>
              </w:rPr>
              <w:t>3</w:t>
            </w:r>
          </w:p>
        </w:tc>
        <w:tc>
          <w:tcPr>
            <w:tcW w:w="992" w:type="dxa"/>
          </w:tcPr>
          <w:p>
            <w:pPr>
              <w:pStyle w:val="TableParagraph"/>
              <w:spacing w:line="270" w:lineRule="exact"/>
              <w:ind w:right="2"/>
              <w:jc w:val="center"/>
              <w:rPr>
                <w:sz w:val="24"/>
              </w:rPr>
            </w:pPr>
            <w:r>
              <w:rPr>
                <w:spacing w:val="-10"/>
                <w:sz w:val="24"/>
              </w:rPr>
              <w:t>4</w:t>
            </w:r>
          </w:p>
        </w:tc>
        <w:tc>
          <w:tcPr>
            <w:tcW w:w="1163" w:type="dxa"/>
          </w:tcPr>
          <w:p>
            <w:pPr>
              <w:pStyle w:val="TableParagraph"/>
              <w:spacing w:line="270" w:lineRule="exact"/>
              <w:jc w:val="center"/>
              <w:rPr>
                <w:sz w:val="24"/>
              </w:rPr>
            </w:pPr>
            <w:r>
              <w:rPr>
                <w:spacing w:val="-10"/>
                <w:sz w:val="24"/>
              </w:rPr>
              <w:t>5</w:t>
            </w:r>
          </w:p>
        </w:tc>
      </w:tr>
      <w:tr>
        <w:trPr>
          <w:trHeight w:val="834" w:hRule="atLeast"/>
        </w:trPr>
        <w:tc>
          <w:tcPr>
            <w:tcW w:w="538" w:type="dxa"/>
          </w:tcPr>
          <w:p>
            <w:pPr>
              <w:pStyle w:val="TableParagraph"/>
              <w:spacing w:line="270" w:lineRule="exact"/>
              <w:ind w:left="107"/>
              <w:rPr>
                <w:sz w:val="24"/>
              </w:rPr>
            </w:pPr>
            <w:r>
              <w:rPr>
                <w:spacing w:val="-10"/>
                <w:sz w:val="24"/>
              </w:rPr>
              <w:t>2</w:t>
            </w:r>
          </w:p>
        </w:tc>
        <w:tc>
          <w:tcPr>
            <w:tcW w:w="3968" w:type="dxa"/>
          </w:tcPr>
          <w:p>
            <w:pPr>
              <w:pStyle w:val="TableParagraph"/>
              <w:spacing w:line="276" w:lineRule="auto"/>
              <w:ind w:left="104"/>
              <w:rPr>
                <w:sz w:val="24"/>
              </w:rPr>
            </w:pPr>
            <w:r>
              <w:rPr>
                <w:sz w:val="24"/>
              </w:rPr>
              <w:t>Для</w:t>
            </w:r>
            <w:r>
              <w:rPr>
                <w:spacing w:val="-9"/>
                <w:sz w:val="24"/>
              </w:rPr>
              <w:t> </w:t>
            </w:r>
            <w:r>
              <w:rPr>
                <w:sz w:val="24"/>
              </w:rPr>
              <w:t>меня</w:t>
            </w:r>
            <w:r>
              <w:rPr>
                <w:spacing w:val="-9"/>
                <w:sz w:val="24"/>
              </w:rPr>
              <w:t> </w:t>
            </w:r>
            <w:r>
              <w:rPr>
                <w:sz w:val="24"/>
              </w:rPr>
              <w:t>важно</w:t>
            </w:r>
            <w:r>
              <w:rPr>
                <w:spacing w:val="-9"/>
                <w:sz w:val="24"/>
              </w:rPr>
              <w:t> </w:t>
            </w:r>
            <w:r>
              <w:rPr>
                <w:sz w:val="24"/>
              </w:rPr>
              <w:t>получать</w:t>
            </w:r>
            <w:r>
              <w:rPr>
                <w:spacing w:val="-10"/>
                <w:sz w:val="24"/>
              </w:rPr>
              <w:t> </w:t>
            </w:r>
            <w:r>
              <w:rPr>
                <w:sz w:val="24"/>
              </w:rPr>
              <w:t>хорошие оценки в школе</w:t>
            </w:r>
          </w:p>
        </w:tc>
        <w:tc>
          <w:tcPr>
            <w:tcW w:w="1136" w:type="dxa"/>
          </w:tcPr>
          <w:p>
            <w:pPr>
              <w:pStyle w:val="TableParagraph"/>
              <w:spacing w:before="152"/>
              <w:ind w:left="8" w:right="3"/>
              <w:jc w:val="center"/>
              <w:rPr>
                <w:sz w:val="24"/>
              </w:rPr>
            </w:pPr>
            <w:r>
              <w:rPr>
                <w:spacing w:val="-10"/>
                <w:sz w:val="24"/>
              </w:rPr>
              <w:t>1</w:t>
            </w:r>
          </w:p>
        </w:tc>
        <w:tc>
          <w:tcPr>
            <w:tcW w:w="992" w:type="dxa"/>
          </w:tcPr>
          <w:p>
            <w:pPr>
              <w:pStyle w:val="TableParagraph"/>
              <w:spacing w:before="152"/>
              <w:ind w:left="2" w:right="2"/>
              <w:jc w:val="center"/>
              <w:rPr>
                <w:sz w:val="24"/>
              </w:rPr>
            </w:pPr>
            <w:r>
              <w:rPr>
                <w:spacing w:val="-10"/>
                <w:sz w:val="24"/>
              </w:rPr>
              <w:t>2</w:t>
            </w:r>
          </w:p>
        </w:tc>
        <w:tc>
          <w:tcPr>
            <w:tcW w:w="1137" w:type="dxa"/>
          </w:tcPr>
          <w:p>
            <w:pPr>
              <w:pStyle w:val="TableParagraph"/>
              <w:spacing w:before="152"/>
              <w:ind w:left="81" w:right="80"/>
              <w:jc w:val="center"/>
              <w:rPr>
                <w:sz w:val="24"/>
              </w:rPr>
            </w:pPr>
            <w:r>
              <w:rPr>
                <w:spacing w:val="-10"/>
                <w:sz w:val="24"/>
              </w:rPr>
              <w:t>3</w:t>
            </w:r>
          </w:p>
        </w:tc>
        <w:tc>
          <w:tcPr>
            <w:tcW w:w="992" w:type="dxa"/>
          </w:tcPr>
          <w:p>
            <w:pPr>
              <w:pStyle w:val="TableParagraph"/>
              <w:spacing w:before="152"/>
              <w:ind w:right="2"/>
              <w:jc w:val="center"/>
              <w:rPr>
                <w:sz w:val="24"/>
              </w:rPr>
            </w:pPr>
            <w:r>
              <w:rPr>
                <w:spacing w:val="-10"/>
                <w:sz w:val="24"/>
              </w:rPr>
              <w:t>4</w:t>
            </w:r>
          </w:p>
        </w:tc>
        <w:tc>
          <w:tcPr>
            <w:tcW w:w="1163" w:type="dxa"/>
          </w:tcPr>
          <w:p>
            <w:pPr>
              <w:pStyle w:val="TableParagraph"/>
              <w:spacing w:before="152"/>
              <w:jc w:val="center"/>
              <w:rPr>
                <w:sz w:val="24"/>
              </w:rPr>
            </w:pPr>
            <w:r>
              <w:rPr>
                <w:spacing w:val="-10"/>
                <w:sz w:val="24"/>
              </w:rPr>
              <w:t>5</w:t>
            </w:r>
          </w:p>
        </w:tc>
      </w:tr>
      <w:tr>
        <w:trPr>
          <w:trHeight w:val="1468" w:hRule="atLeast"/>
        </w:trPr>
        <w:tc>
          <w:tcPr>
            <w:tcW w:w="538" w:type="dxa"/>
          </w:tcPr>
          <w:p>
            <w:pPr>
              <w:pStyle w:val="TableParagraph"/>
              <w:spacing w:line="270" w:lineRule="exact"/>
              <w:ind w:left="107"/>
              <w:rPr>
                <w:sz w:val="24"/>
              </w:rPr>
            </w:pPr>
            <w:r>
              <w:rPr>
                <w:spacing w:val="-10"/>
                <w:sz w:val="24"/>
              </w:rPr>
              <w:t>3</w:t>
            </w:r>
          </w:p>
        </w:tc>
        <w:tc>
          <w:tcPr>
            <w:tcW w:w="3968" w:type="dxa"/>
          </w:tcPr>
          <w:p>
            <w:pPr>
              <w:pStyle w:val="TableParagraph"/>
              <w:spacing w:line="276" w:lineRule="auto"/>
              <w:ind w:left="104" w:right="168"/>
              <w:rPr>
                <w:sz w:val="24"/>
              </w:rPr>
            </w:pPr>
            <w:r>
              <w:rPr>
                <w:sz w:val="24"/>
              </w:rPr>
              <w:t>Я</w:t>
            </w:r>
            <w:r>
              <w:rPr>
                <w:spacing w:val="-6"/>
                <w:sz w:val="24"/>
              </w:rPr>
              <w:t> </w:t>
            </w:r>
            <w:r>
              <w:rPr>
                <w:sz w:val="24"/>
              </w:rPr>
              <w:t>знаю,</w:t>
            </w:r>
            <w:r>
              <w:rPr>
                <w:spacing w:val="-8"/>
                <w:sz w:val="24"/>
              </w:rPr>
              <w:t> </w:t>
            </w:r>
            <w:r>
              <w:rPr>
                <w:sz w:val="24"/>
              </w:rPr>
              <w:t>как</w:t>
            </w:r>
            <w:r>
              <w:rPr>
                <w:spacing w:val="-6"/>
                <w:sz w:val="24"/>
              </w:rPr>
              <w:t> </w:t>
            </w:r>
            <w:r>
              <w:rPr>
                <w:sz w:val="24"/>
              </w:rPr>
              <w:t>вести</w:t>
            </w:r>
            <w:r>
              <w:rPr>
                <w:spacing w:val="-5"/>
                <w:sz w:val="24"/>
              </w:rPr>
              <w:t> </w:t>
            </w:r>
            <w:r>
              <w:rPr>
                <w:sz w:val="24"/>
              </w:rPr>
              <w:t>себя</w:t>
            </w:r>
            <w:r>
              <w:rPr>
                <w:spacing w:val="-6"/>
                <w:sz w:val="24"/>
              </w:rPr>
              <w:t> </w:t>
            </w:r>
            <w:r>
              <w:rPr>
                <w:sz w:val="24"/>
              </w:rPr>
              <w:t>с</w:t>
            </w:r>
            <w:r>
              <w:rPr>
                <w:spacing w:val="-7"/>
                <w:sz w:val="24"/>
              </w:rPr>
              <w:t> </w:t>
            </w:r>
            <w:r>
              <w:rPr>
                <w:sz w:val="24"/>
              </w:rPr>
              <w:t>людьми</w:t>
            </w:r>
            <w:r>
              <w:rPr>
                <w:spacing w:val="-2"/>
                <w:sz w:val="24"/>
              </w:rPr>
              <w:t> </w:t>
            </w:r>
            <w:r>
              <w:rPr>
                <w:sz w:val="24"/>
              </w:rPr>
              <w:t>в разных ситуациях (например, в детском саду, в школе, дома, в парке, в цирке)</w:t>
            </w:r>
          </w:p>
        </w:tc>
        <w:tc>
          <w:tcPr>
            <w:tcW w:w="1136" w:type="dxa"/>
          </w:tcPr>
          <w:p>
            <w:pPr>
              <w:pStyle w:val="TableParagraph"/>
              <w:spacing w:before="193"/>
              <w:rPr>
                <w:i/>
                <w:sz w:val="24"/>
              </w:rPr>
            </w:pPr>
          </w:p>
          <w:p>
            <w:pPr>
              <w:pStyle w:val="TableParagraph"/>
              <w:ind w:left="8" w:right="3"/>
              <w:jc w:val="center"/>
              <w:rPr>
                <w:sz w:val="24"/>
              </w:rPr>
            </w:pPr>
            <w:r>
              <w:rPr>
                <w:spacing w:val="-10"/>
                <w:sz w:val="24"/>
              </w:rPr>
              <w:t>1</w:t>
            </w:r>
          </w:p>
        </w:tc>
        <w:tc>
          <w:tcPr>
            <w:tcW w:w="992" w:type="dxa"/>
          </w:tcPr>
          <w:p>
            <w:pPr>
              <w:pStyle w:val="TableParagraph"/>
              <w:spacing w:before="193"/>
              <w:rPr>
                <w:i/>
                <w:sz w:val="24"/>
              </w:rPr>
            </w:pPr>
          </w:p>
          <w:p>
            <w:pPr>
              <w:pStyle w:val="TableParagraph"/>
              <w:ind w:left="2" w:right="2"/>
              <w:jc w:val="center"/>
              <w:rPr>
                <w:sz w:val="24"/>
              </w:rPr>
            </w:pPr>
            <w:r>
              <w:rPr>
                <w:spacing w:val="-10"/>
                <w:sz w:val="24"/>
              </w:rPr>
              <w:t>2</w:t>
            </w:r>
          </w:p>
        </w:tc>
        <w:tc>
          <w:tcPr>
            <w:tcW w:w="1137" w:type="dxa"/>
          </w:tcPr>
          <w:p>
            <w:pPr>
              <w:pStyle w:val="TableParagraph"/>
              <w:spacing w:before="193"/>
              <w:rPr>
                <w:i/>
                <w:sz w:val="24"/>
              </w:rPr>
            </w:pPr>
          </w:p>
          <w:p>
            <w:pPr>
              <w:pStyle w:val="TableParagraph"/>
              <w:ind w:left="81" w:right="80"/>
              <w:jc w:val="center"/>
              <w:rPr>
                <w:sz w:val="24"/>
              </w:rPr>
            </w:pPr>
            <w:r>
              <w:rPr>
                <w:spacing w:val="-10"/>
                <w:sz w:val="24"/>
              </w:rPr>
              <w:t>3</w:t>
            </w:r>
          </w:p>
        </w:tc>
        <w:tc>
          <w:tcPr>
            <w:tcW w:w="992" w:type="dxa"/>
          </w:tcPr>
          <w:p>
            <w:pPr>
              <w:pStyle w:val="TableParagraph"/>
              <w:spacing w:before="193"/>
              <w:rPr>
                <w:i/>
                <w:sz w:val="24"/>
              </w:rPr>
            </w:pPr>
          </w:p>
          <w:p>
            <w:pPr>
              <w:pStyle w:val="TableParagraph"/>
              <w:ind w:right="2"/>
              <w:jc w:val="center"/>
              <w:rPr>
                <w:sz w:val="24"/>
              </w:rPr>
            </w:pPr>
            <w:r>
              <w:rPr>
                <w:spacing w:val="-10"/>
                <w:sz w:val="24"/>
              </w:rPr>
              <w:t>4</w:t>
            </w:r>
          </w:p>
        </w:tc>
        <w:tc>
          <w:tcPr>
            <w:tcW w:w="1163" w:type="dxa"/>
          </w:tcPr>
          <w:p>
            <w:pPr>
              <w:pStyle w:val="TableParagraph"/>
              <w:spacing w:before="193"/>
              <w:rPr>
                <w:i/>
                <w:sz w:val="24"/>
              </w:rPr>
            </w:pPr>
          </w:p>
          <w:p>
            <w:pPr>
              <w:pStyle w:val="TableParagraph"/>
              <w:jc w:val="center"/>
              <w:rPr>
                <w:sz w:val="24"/>
              </w:rPr>
            </w:pPr>
            <w:r>
              <w:rPr>
                <w:spacing w:val="-10"/>
                <w:sz w:val="24"/>
              </w:rPr>
              <w:t>5</w:t>
            </w:r>
          </w:p>
        </w:tc>
      </w:tr>
      <w:tr>
        <w:trPr>
          <w:trHeight w:val="1153" w:hRule="atLeast"/>
        </w:trPr>
        <w:tc>
          <w:tcPr>
            <w:tcW w:w="538" w:type="dxa"/>
          </w:tcPr>
          <w:p>
            <w:pPr>
              <w:pStyle w:val="TableParagraph"/>
              <w:spacing w:line="270" w:lineRule="exact"/>
              <w:ind w:left="107"/>
              <w:rPr>
                <w:sz w:val="24"/>
              </w:rPr>
            </w:pPr>
            <w:r>
              <w:rPr>
                <w:spacing w:val="-10"/>
                <w:sz w:val="24"/>
              </w:rPr>
              <w:t>4</w:t>
            </w:r>
          </w:p>
        </w:tc>
        <w:tc>
          <w:tcPr>
            <w:tcW w:w="3968" w:type="dxa"/>
          </w:tcPr>
          <w:p>
            <w:pPr>
              <w:pStyle w:val="TableParagraph"/>
              <w:spacing w:line="276" w:lineRule="auto"/>
              <w:ind w:left="104" w:right="168"/>
              <w:rPr>
                <w:sz w:val="24"/>
              </w:rPr>
            </w:pPr>
            <w:r>
              <w:rPr>
                <w:sz w:val="24"/>
              </w:rPr>
              <w:t>Я чувствую, что мои родители/опекуны</w:t>
            </w:r>
            <w:r>
              <w:rPr>
                <w:spacing w:val="-15"/>
                <w:sz w:val="24"/>
              </w:rPr>
              <w:t> </w:t>
            </w:r>
            <w:r>
              <w:rPr>
                <w:sz w:val="24"/>
              </w:rPr>
              <w:t>заботятся</w:t>
            </w:r>
            <w:r>
              <w:rPr>
                <w:spacing w:val="-15"/>
                <w:sz w:val="24"/>
              </w:rPr>
              <w:t> </w:t>
            </w:r>
            <w:r>
              <w:rPr>
                <w:sz w:val="24"/>
              </w:rPr>
              <w:t>обо </w:t>
            </w:r>
            <w:r>
              <w:rPr>
                <w:spacing w:val="-4"/>
                <w:sz w:val="24"/>
              </w:rPr>
              <w:t>мне</w:t>
            </w:r>
          </w:p>
        </w:tc>
        <w:tc>
          <w:tcPr>
            <w:tcW w:w="1136" w:type="dxa"/>
          </w:tcPr>
          <w:p>
            <w:pPr>
              <w:pStyle w:val="TableParagraph"/>
              <w:spacing w:before="37"/>
              <w:rPr>
                <w:i/>
                <w:sz w:val="24"/>
              </w:rPr>
            </w:pPr>
          </w:p>
          <w:p>
            <w:pPr>
              <w:pStyle w:val="TableParagraph"/>
              <w:ind w:left="8" w:right="3"/>
              <w:jc w:val="center"/>
              <w:rPr>
                <w:sz w:val="24"/>
              </w:rPr>
            </w:pPr>
            <w:r>
              <w:rPr>
                <w:spacing w:val="-10"/>
                <w:sz w:val="24"/>
              </w:rPr>
              <w:t>1</w:t>
            </w:r>
          </w:p>
        </w:tc>
        <w:tc>
          <w:tcPr>
            <w:tcW w:w="992" w:type="dxa"/>
          </w:tcPr>
          <w:p>
            <w:pPr>
              <w:pStyle w:val="TableParagraph"/>
              <w:spacing w:before="37"/>
              <w:rPr>
                <w:i/>
                <w:sz w:val="24"/>
              </w:rPr>
            </w:pPr>
          </w:p>
          <w:p>
            <w:pPr>
              <w:pStyle w:val="TableParagraph"/>
              <w:ind w:left="2" w:right="2"/>
              <w:jc w:val="center"/>
              <w:rPr>
                <w:sz w:val="24"/>
              </w:rPr>
            </w:pPr>
            <w:r>
              <w:rPr>
                <w:spacing w:val="-10"/>
                <w:sz w:val="24"/>
              </w:rPr>
              <w:t>2</w:t>
            </w:r>
          </w:p>
        </w:tc>
        <w:tc>
          <w:tcPr>
            <w:tcW w:w="1137" w:type="dxa"/>
          </w:tcPr>
          <w:p>
            <w:pPr>
              <w:pStyle w:val="TableParagraph"/>
              <w:spacing w:before="37"/>
              <w:rPr>
                <w:i/>
                <w:sz w:val="24"/>
              </w:rPr>
            </w:pPr>
          </w:p>
          <w:p>
            <w:pPr>
              <w:pStyle w:val="TableParagraph"/>
              <w:ind w:left="81" w:right="80"/>
              <w:jc w:val="center"/>
              <w:rPr>
                <w:sz w:val="24"/>
              </w:rPr>
            </w:pPr>
            <w:r>
              <w:rPr>
                <w:spacing w:val="-10"/>
                <w:sz w:val="24"/>
              </w:rPr>
              <w:t>3</w:t>
            </w:r>
          </w:p>
        </w:tc>
        <w:tc>
          <w:tcPr>
            <w:tcW w:w="992" w:type="dxa"/>
          </w:tcPr>
          <w:p>
            <w:pPr>
              <w:pStyle w:val="TableParagraph"/>
              <w:spacing w:before="37"/>
              <w:rPr>
                <w:i/>
                <w:sz w:val="24"/>
              </w:rPr>
            </w:pPr>
          </w:p>
          <w:p>
            <w:pPr>
              <w:pStyle w:val="TableParagraph"/>
              <w:ind w:right="2"/>
              <w:jc w:val="center"/>
              <w:rPr>
                <w:sz w:val="24"/>
              </w:rPr>
            </w:pPr>
            <w:r>
              <w:rPr>
                <w:spacing w:val="-10"/>
                <w:sz w:val="24"/>
              </w:rPr>
              <w:t>4</w:t>
            </w:r>
          </w:p>
        </w:tc>
        <w:tc>
          <w:tcPr>
            <w:tcW w:w="1163" w:type="dxa"/>
          </w:tcPr>
          <w:p>
            <w:pPr>
              <w:pStyle w:val="TableParagraph"/>
              <w:spacing w:before="37"/>
              <w:rPr>
                <w:i/>
                <w:sz w:val="24"/>
              </w:rPr>
            </w:pPr>
          </w:p>
          <w:p>
            <w:pPr>
              <w:pStyle w:val="TableParagraph"/>
              <w:jc w:val="center"/>
              <w:rPr>
                <w:sz w:val="24"/>
              </w:rPr>
            </w:pPr>
            <w:r>
              <w:rPr>
                <w:spacing w:val="-10"/>
                <w:sz w:val="24"/>
              </w:rPr>
              <w:t>5</w:t>
            </w:r>
          </w:p>
        </w:tc>
      </w:tr>
      <w:tr>
        <w:trPr>
          <w:trHeight w:val="832" w:hRule="atLeast"/>
        </w:trPr>
        <w:tc>
          <w:tcPr>
            <w:tcW w:w="538" w:type="dxa"/>
          </w:tcPr>
          <w:p>
            <w:pPr>
              <w:pStyle w:val="TableParagraph"/>
              <w:spacing w:line="270" w:lineRule="exact"/>
              <w:ind w:left="107"/>
              <w:rPr>
                <w:sz w:val="24"/>
              </w:rPr>
            </w:pPr>
            <w:r>
              <w:rPr>
                <w:spacing w:val="-10"/>
                <w:sz w:val="24"/>
              </w:rPr>
              <w:t>5</w:t>
            </w:r>
          </w:p>
        </w:tc>
        <w:tc>
          <w:tcPr>
            <w:tcW w:w="3968" w:type="dxa"/>
          </w:tcPr>
          <w:p>
            <w:pPr>
              <w:pStyle w:val="TableParagraph"/>
              <w:spacing w:line="276" w:lineRule="auto"/>
              <w:ind w:left="104" w:right="754"/>
              <w:rPr>
                <w:sz w:val="24"/>
              </w:rPr>
            </w:pPr>
            <w:r>
              <w:rPr>
                <w:sz w:val="24"/>
              </w:rPr>
              <w:t>Мои</w:t>
            </w:r>
            <w:r>
              <w:rPr>
                <w:spacing w:val="-15"/>
                <w:sz w:val="24"/>
              </w:rPr>
              <w:t> </w:t>
            </w:r>
            <w:r>
              <w:rPr>
                <w:sz w:val="24"/>
              </w:rPr>
              <w:t>родители/опекуны</w:t>
            </w:r>
            <w:r>
              <w:rPr>
                <w:spacing w:val="-15"/>
                <w:sz w:val="24"/>
              </w:rPr>
              <w:t> </w:t>
            </w:r>
            <w:r>
              <w:rPr>
                <w:sz w:val="24"/>
              </w:rPr>
              <w:t>много знают обо мне</w:t>
            </w:r>
          </w:p>
        </w:tc>
        <w:tc>
          <w:tcPr>
            <w:tcW w:w="1136" w:type="dxa"/>
          </w:tcPr>
          <w:p>
            <w:pPr>
              <w:pStyle w:val="TableParagraph"/>
              <w:spacing w:before="152"/>
              <w:ind w:left="8" w:right="3"/>
              <w:jc w:val="center"/>
              <w:rPr>
                <w:sz w:val="24"/>
              </w:rPr>
            </w:pPr>
            <w:r>
              <w:rPr>
                <w:spacing w:val="-10"/>
                <w:sz w:val="24"/>
              </w:rPr>
              <w:t>1</w:t>
            </w:r>
          </w:p>
        </w:tc>
        <w:tc>
          <w:tcPr>
            <w:tcW w:w="992" w:type="dxa"/>
          </w:tcPr>
          <w:p>
            <w:pPr>
              <w:pStyle w:val="TableParagraph"/>
              <w:spacing w:before="152"/>
              <w:ind w:left="2" w:right="2"/>
              <w:jc w:val="center"/>
              <w:rPr>
                <w:sz w:val="24"/>
              </w:rPr>
            </w:pPr>
            <w:r>
              <w:rPr>
                <w:spacing w:val="-10"/>
                <w:sz w:val="24"/>
              </w:rPr>
              <w:t>2</w:t>
            </w:r>
          </w:p>
        </w:tc>
        <w:tc>
          <w:tcPr>
            <w:tcW w:w="1137" w:type="dxa"/>
          </w:tcPr>
          <w:p>
            <w:pPr>
              <w:pStyle w:val="TableParagraph"/>
              <w:spacing w:before="152"/>
              <w:ind w:left="81" w:right="80"/>
              <w:jc w:val="center"/>
              <w:rPr>
                <w:sz w:val="24"/>
              </w:rPr>
            </w:pPr>
            <w:r>
              <w:rPr>
                <w:spacing w:val="-10"/>
                <w:sz w:val="24"/>
              </w:rPr>
              <w:t>3</w:t>
            </w:r>
          </w:p>
        </w:tc>
        <w:tc>
          <w:tcPr>
            <w:tcW w:w="992" w:type="dxa"/>
          </w:tcPr>
          <w:p>
            <w:pPr>
              <w:pStyle w:val="TableParagraph"/>
              <w:spacing w:before="152"/>
              <w:ind w:right="2"/>
              <w:jc w:val="center"/>
              <w:rPr>
                <w:sz w:val="24"/>
              </w:rPr>
            </w:pPr>
            <w:r>
              <w:rPr>
                <w:spacing w:val="-10"/>
                <w:sz w:val="24"/>
              </w:rPr>
              <w:t>4</w:t>
            </w:r>
          </w:p>
        </w:tc>
        <w:tc>
          <w:tcPr>
            <w:tcW w:w="1163" w:type="dxa"/>
          </w:tcPr>
          <w:p>
            <w:pPr>
              <w:pStyle w:val="TableParagraph"/>
              <w:spacing w:before="152"/>
              <w:jc w:val="center"/>
              <w:rPr>
                <w:sz w:val="24"/>
              </w:rPr>
            </w:pPr>
            <w:r>
              <w:rPr>
                <w:spacing w:val="-10"/>
                <w:sz w:val="24"/>
              </w:rPr>
              <w:t>5</w:t>
            </w:r>
          </w:p>
        </w:tc>
      </w:tr>
      <w:tr>
        <w:trPr>
          <w:trHeight w:val="835" w:hRule="atLeast"/>
        </w:trPr>
        <w:tc>
          <w:tcPr>
            <w:tcW w:w="538" w:type="dxa"/>
          </w:tcPr>
          <w:p>
            <w:pPr>
              <w:pStyle w:val="TableParagraph"/>
              <w:spacing w:line="273" w:lineRule="exact"/>
              <w:ind w:left="107"/>
              <w:rPr>
                <w:sz w:val="24"/>
              </w:rPr>
            </w:pPr>
            <w:r>
              <w:rPr>
                <w:spacing w:val="-10"/>
                <w:sz w:val="24"/>
              </w:rPr>
              <w:t>6</w:t>
            </w:r>
          </w:p>
        </w:tc>
        <w:tc>
          <w:tcPr>
            <w:tcW w:w="3968" w:type="dxa"/>
          </w:tcPr>
          <w:p>
            <w:pPr>
              <w:pStyle w:val="TableParagraph"/>
              <w:spacing w:line="276" w:lineRule="auto"/>
              <w:ind w:left="104"/>
              <w:rPr>
                <w:sz w:val="24"/>
              </w:rPr>
            </w:pPr>
            <w:r>
              <w:rPr>
                <w:sz w:val="24"/>
              </w:rPr>
              <w:t>Если</w:t>
            </w:r>
            <w:r>
              <w:rPr>
                <w:spacing w:val="-7"/>
                <w:sz w:val="24"/>
              </w:rPr>
              <w:t> </w:t>
            </w:r>
            <w:r>
              <w:rPr>
                <w:sz w:val="24"/>
              </w:rPr>
              <w:t>я</w:t>
            </w:r>
            <w:r>
              <w:rPr>
                <w:spacing w:val="-8"/>
                <w:sz w:val="24"/>
              </w:rPr>
              <w:t> </w:t>
            </w:r>
            <w:r>
              <w:rPr>
                <w:sz w:val="24"/>
              </w:rPr>
              <w:t>голоден,</w:t>
            </w:r>
            <w:r>
              <w:rPr>
                <w:spacing w:val="-8"/>
                <w:sz w:val="24"/>
              </w:rPr>
              <w:t> </w:t>
            </w:r>
            <w:r>
              <w:rPr>
                <w:sz w:val="24"/>
              </w:rPr>
              <w:t>то</w:t>
            </w:r>
            <w:r>
              <w:rPr>
                <w:spacing w:val="-8"/>
                <w:sz w:val="24"/>
              </w:rPr>
              <w:t> </w:t>
            </w:r>
            <w:r>
              <w:rPr>
                <w:sz w:val="24"/>
              </w:rPr>
              <w:t>еды</w:t>
            </w:r>
            <w:r>
              <w:rPr>
                <w:spacing w:val="-8"/>
                <w:sz w:val="24"/>
              </w:rPr>
              <w:t> </w:t>
            </w:r>
            <w:r>
              <w:rPr>
                <w:sz w:val="24"/>
              </w:rPr>
              <w:t>вполне хватает, чтобы я был сыт</w:t>
            </w:r>
          </w:p>
        </w:tc>
        <w:tc>
          <w:tcPr>
            <w:tcW w:w="1136" w:type="dxa"/>
          </w:tcPr>
          <w:p>
            <w:pPr>
              <w:pStyle w:val="TableParagraph"/>
              <w:spacing w:before="155"/>
              <w:ind w:left="8" w:right="3"/>
              <w:jc w:val="center"/>
              <w:rPr>
                <w:sz w:val="24"/>
              </w:rPr>
            </w:pPr>
            <w:r>
              <w:rPr>
                <w:spacing w:val="-10"/>
                <w:sz w:val="24"/>
              </w:rPr>
              <w:t>1</w:t>
            </w:r>
          </w:p>
        </w:tc>
        <w:tc>
          <w:tcPr>
            <w:tcW w:w="992" w:type="dxa"/>
          </w:tcPr>
          <w:p>
            <w:pPr>
              <w:pStyle w:val="TableParagraph"/>
              <w:spacing w:before="155"/>
              <w:ind w:left="2" w:right="2"/>
              <w:jc w:val="center"/>
              <w:rPr>
                <w:sz w:val="24"/>
              </w:rPr>
            </w:pPr>
            <w:r>
              <w:rPr>
                <w:spacing w:val="-10"/>
                <w:sz w:val="24"/>
              </w:rPr>
              <w:t>2</w:t>
            </w:r>
          </w:p>
        </w:tc>
        <w:tc>
          <w:tcPr>
            <w:tcW w:w="1137" w:type="dxa"/>
          </w:tcPr>
          <w:p>
            <w:pPr>
              <w:pStyle w:val="TableParagraph"/>
              <w:spacing w:before="155"/>
              <w:ind w:left="81" w:right="80"/>
              <w:jc w:val="center"/>
              <w:rPr>
                <w:sz w:val="24"/>
              </w:rPr>
            </w:pPr>
            <w:r>
              <w:rPr>
                <w:spacing w:val="-10"/>
                <w:sz w:val="24"/>
              </w:rPr>
              <w:t>3</w:t>
            </w:r>
          </w:p>
        </w:tc>
        <w:tc>
          <w:tcPr>
            <w:tcW w:w="992" w:type="dxa"/>
          </w:tcPr>
          <w:p>
            <w:pPr>
              <w:pStyle w:val="TableParagraph"/>
              <w:spacing w:before="155"/>
              <w:ind w:right="2"/>
              <w:jc w:val="center"/>
              <w:rPr>
                <w:sz w:val="24"/>
              </w:rPr>
            </w:pPr>
            <w:r>
              <w:rPr>
                <w:spacing w:val="-10"/>
                <w:sz w:val="24"/>
              </w:rPr>
              <w:t>4</w:t>
            </w:r>
          </w:p>
        </w:tc>
        <w:tc>
          <w:tcPr>
            <w:tcW w:w="1163" w:type="dxa"/>
          </w:tcPr>
          <w:p>
            <w:pPr>
              <w:pStyle w:val="TableParagraph"/>
              <w:spacing w:before="155"/>
              <w:jc w:val="center"/>
              <w:rPr>
                <w:sz w:val="24"/>
              </w:rPr>
            </w:pPr>
            <w:r>
              <w:rPr>
                <w:spacing w:val="-10"/>
                <w:sz w:val="24"/>
              </w:rPr>
              <w:t>5</w:t>
            </w:r>
          </w:p>
        </w:tc>
      </w:tr>
      <w:tr>
        <w:trPr>
          <w:trHeight w:val="834" w:hRule="atLeast"/>
        </w:trPr>
        <w:tc>
          <w:tcPr>
            <w:tcW w:w="538" w:type="dxa"/>
          </w:tcPr>
          <w:p>
            <w:pPr>
              <w:pStyle w:val="TableParagraph"/>
              <w:spacing w:line="273" w:lineRule="exact"/>
              <w:ind w:left="107"/>
              <w:rPr>
                <w:sz w:val="24"/>
              </w:rPr>
            </w:pPr>
            <w:r>
              <w:rPr>
                <w:spacing w:val="-10"/>
                <w:sz w:val="24"/>
              </w:rPr>
              <w:t>7</w:t>
            </w:r>
          </w:p>
        </w:tc>
        <w:tc>
          <w:tcPr>
            <w:tcW w:w="3968" w:type="dxa"/>
          </w:tcPr>
          <w:p>
            <w:pPr>
              <w:pStyle w:val="TableParagraph"/>
              <w:spacing w:line="276" w:lineRule="auto"/>
              <w:ind w:left="104"/>
              <w:rPr>
                <w:sz w:val="24"/>
              </w:rPr>
            </w:pPr>
            <w:r>
              <w:rPr>
                <w:sz w:val="24"/>
              </w:rPr>
              <w:t>Другим</w:t>
            </w:r>
            <w:r>
              <w:rPr>
                <w:spacing w:val="-11"/>
                <w:sz w:val="24"/>
              </w:rPr>
              <w:t> </w:t>
            </w:r>
            <w:r>
              <w:rPr>
                <w:sz w:val="24"/>
              </w:rPr>
              <w:t>детям</w:t>
            </w:r>
            <w:r>
              <w:rPr>
                <w:spacing w:val="-10"/>
                <w:sz w:val="24"/>
              </w:rPr>
              <w:t> </w:t>
            </w:r>
            <w:r>
              <w:rPr>
                <w:sz w:val="24"/>
              </w:rPr>
              <w:t>нравится</w:t>
            </w:r>
            <w:r>
              <w:rPr>
                <w:spacing w:val="-9"/>
                <w:sz w:val="24"/>
              </w:rPr>
              <w:t> </w:t>
            </w:r>
            <w:r>
              <w:rPr>
                <w:sz w:val="24"/>
              </w:rPr>
              <w:t>со</w:t>
            </w:r>
            <w:r>
              <w:rPr>
                <w:spacing w:val="-10"/>
                <w:sz w:val="24"/>
              </w:rPr>
              <w:t> </w:t>
            </w:r>
            <w:r>
              <w:rPr>
                <w:sz w:val="24"/>
              </w:rPr>
              <w:t>мной </w:t>
            </w:r>
            <w:r>
              <w:rPr>
                <w:spacing w:val="-2"/>
                <w:sz w:val="24"/>
              </w:rPr>
              <w:t>играть</w:t>
            </w:r>
          </w:p>
        </w:tc>
        <w:tc>
          <w:tcPr>
            <w:tcW w:w="1136" w:type="dxa"/>
          </w:tcPr>
          <w:p>
            <w:pPr>
              <w:pStyle w:val="TableParagraph"/>
              <w:spacing w:before="155"/>
              <w:ind w:left="8" w:right="3"/>
              <w:jc w:val="center"/>
              <w:rPr>
                <w:sz w:val="24"/>
              </w:rPr>
            </w:pPr>
            <w:r>
              <w:rPr>
                <w:spacing w:val="-10"/>
                <w:sz w:val="24"/>
              </w:rPr>
              <w:t>1</w:t>
            </w:r>
          </w:p>
        </w:tc>
        <w:tc>
          <w:tcPr>
            <w:tcW w:w="992" w:type="dxa"/>
          </w:tcPr>
          <w:p>
            <w:pPr>
              <w:pStyle w:val="TableParagraph"/>
              <w:spacing w:before="155"/>
              <w:ind w:left="2" w:right="2"/>
              <w:jc w:val="center"/>
              <w:rPr>
                <w:sz w:val="24"/>
              </w:rPr>
            </w:pPr>
            <w:r>
              <w:rPr>
                <w:spacing w:val="-10"/>
                <w:sz w:val="24"/>
              </w:rPr>
              <w:t>2</w:t>
            </w:r>
          </w:p>
        </w:tc>
        <w:tc>
          <w:tcPr>
            <w:tcW w:w="1137" w:type="dxa"/>
          </w:tcPr>
          <w:p>
            <w:pPr>
              <w:pStyle w:val="TableParagraph"/>
              <w:spacing w:before="155"/>
              <w:ind w:left="81" w:right="80"/>
              <w:jc w:val="center"/>
              <w:rPr>
                <w:sz w:val="24"/>
              </w:rPr>
            </w:pPr>
            <w:r>
              <w:rPr>
                <w:spacing w:val="-10"/>
                <w:sz w:val="24"/>
              </w:rPr>
              <w:t>3</w:t>
            </w:r>
          </w:p>
        </w:tc>
        <w:tc>
          <w:tcPr>
            <w:tcW w:w="992" w:type="dxa"/>
          </w:tcPr>
          <w:p>
            <w:pPr>
              <w:pStyle w:val="TableParagraph"/>
              <w:spacing w:before="155"/>
              <w:ind w:right="2"/>
              <w:jc w:val="center"/>
              <w:rPr>
                <w:sz w:val="24"/>
              </w:rPr>
            </w:pPr>
            <w:r>
              <w:rPr>
                <w:spacing w:val="-10"/>
                <w:sz w:val="24"/>
              </w:rPr>
              <w:t>4</w:t>
            </w:r>
          </w:p>
        </w:tc>
        <w:tc>
          <w:tcPr>
            <w:tcW w:w="1163" w:type="dxa"/>
          </w:tcPr>
          <w:p>
            <w:pPr>
              <w:pStyle w:val="TableParagraph"/>
              <w:spacing w:before="155"/>
              <w:jc w:val="center"/>
              <w:rPr>
                <w:sz w:val="24"/>
              </w:rPr>
            </w:pPr>
            <w:r>
              <w:rPr>
                <w:spacing w:val="-10"/>
                <w:sz w:val="24"/>
              </w:rPr>
              <w:t>5</w:t>
            </w:r>
          </w:p>
        </w:tc>
      </w:tr>
      <w:tr>
        <w:trPr>
          <w:trHeight w:val="1470" w:hRule="atLeast"/>
        </w:trPr>
        <w:tc>
          <w:tcPr>
            <w:tcW w:w="538" w:type="dxa"/>
          </w:tcPr>
          <w:p>
            <w:pPr>
              <w:pStyle w:val="TableParagraph"/>
              <w:spacing w:line="273" w:lineRule="exact"/>
              <w:ind w:left="107"/>
              <w:rPr>
                <w:sz w:val="24"/>
              </w:rPr>
            </w:pPr>
            <w:r>
              <w:rPr>
                <w:spacing w:val="-10"/>
                <w:sz w:val="24"/>
              </w:rPr>
              <w:t>8</w:t>
            </w:r>
          </w:p>
        </w:tc>
        <w:tc>
          <w:tcPr>
            <w:tcW w:w="3968" w:type="dxa"/>
          </w:tcPr>
          <w:p>
            <w:pPr>
              <w:pStyle w:val="TableParagraph"/>
              <w:spacing w:line="276" w:lineRule="auto"/>
              <w:ind w:left="104" w:right="168"/>
              <w:rPr>
                <w:sz w:val="24"/>
              </w:rPr>
            </w:pPr>
            <w:r>
              <w:rPr>
                <w:sz w:val="24"/>
              </w:rPr>
              <w:t>Я говорю со своей семьей/опекунами</w:t>
            </w:r>
            <w:r>
              <w:rPr>
                <w:spacing w:val="-9"/>
                <w:sz w:val="24"/>
              </w:rPr>
              <w:t> </w:t>
            </w:r>
            <w:r>
              <w:rPr>
                <w:sz w:val="24"/>
              </w:rPr>
              <w:t>о</w:t>
            </w:r>
            <w:r>
              <w:rPr>
                <w:spacing w:val="-9"/>
                <w:sz w:val="24"/>
              </w:rPr>
              <w:t> </w:t>
            </w:r>
            <w:r>
              <w:rPr>
                <w:sz w:val="24"/>
              </w:rPr>
              <w:t>том,</w:t>
            </w:r>
            <w:r>
              <w:rPr>
                <w:spacing w:val="-9"/>
                <w:sz w:val="24"/>
              </w:rPr>
              <w:t> </w:t>
            </w:r>
            <w:r>
              <w:rPr>
                <w:sz w:val="24"/>
              </w:rPr>
              <w:t>как</w:t>
            </w:r>
            <w:r>
              <w:rPr>
                <w:spacing w:val="-9"/>
                <w:sz w:val="24"/>
              </w:rPr>
              <w:t> </w:t>
            </w:r>
            <w:r>
              <w:rPr>
                <w:sz w:val="24"/>
              </w:rPr>
              <w:t>я</w:t>
            </w:r>
            <w:r>
              <w:rPr>
                <w:spacing w:val="-9"/>
                <w:sz w:val="24"/>
              </w:rPr>
              <w:t> </w:t>
            </w:r>
            <w:r>
              <w:rPr>
                <w:sz w:val="24"/>
              </w:rPr>
              <w:t>себя чувствую (например, если мне радостно или страшно)</w:t>
            </w:r>
          </w:p>
        </w:tc>
        <w:tc>
          <w:tcPr>
            <w:tcW w:w="1136" w:type="dxa"/>
          </w:tcPr>
          <w:p>
            <w:pPr>
              <w:pStyle w:val="TableParagraph"/>
              <w:spacing w:before="195"/>
              <w:rPr>
                <w:i/>
                <w:sz w:val="24"/>
              </w:rPr>
            </w:pPr>
          </w:p>
          <w:p>
            <w:pPr>
              <w:pStyle w:val="TableParagraph"/>
              <w:ind w:left="8" w:right="3"/>
              <w:jc w:val="center"/>
              <w:rPr>
                <w:sz w:val="24"/>
              </w:rPr>
            </w:pPr>
            <w:r>
              <w:rPr>
                <w:spacing w:val="-10"/>
                <w:sz w:val="24"/>
              </w:rPr>
              <w:t>1</w:t>
            </w:r>
          </w:p>
        </w:tc>
        <w:tc>
          <w:tcPr>
            <w:tcW w:w="992" w:type="dxa"/>
          </w:tcPr>
          <w:p>
            <w:pPr>
              <w:pStyle w:val="TableParagraph"/>
              <w:spacing w:before="195"/>
              <w:rPr>
                <w:i/>
                <w:sz w:val="24"/>
              </w:rPr>
            </w:pPr>
          </w:p>
          <w:p>
            <w:pPr>
              <w:pStyle w:val="TableParagraph"/>
              <w:ind w:left="2" w:right="2"/>
              <w:jc w:val="center"/>
              <w:rPr>
                <w:sz w:val="24"/>
              </w:rPr>
            </w:pPr>
            <w:r>
              <w:rPr>
                <w:spacing w:val="-10"/>
                <w:sz w:val="24"/>
              </w:rPr>
              <w:t>2</w:t>
            </w:r>
          </w:p>
        </w:tc>
        <w:tc>
          <w:tcPr>
            <w:tcW w:w="1137" w:type="dxa"/>
          </w:tcPr>
          <w:p>
            <w:pPr>
              <w:pStyle w:val="TableParagraph"/>
              <w:spacing w:before="195"/>
              <w:rPr>
                <w:i/>
                <w:sz w:val="24"/>
              </w:rPr>
            </w:pPr>
          </w:p>
          <w:p>
            <w:pPr>
              <w:pStyle w:val="TableParagraph"/>
              <w:ind w:left="81" w:right="80"/>
              <w:jc w:val="center"/>
              <w:rPr>
                <w:sz w:val="24"/>
              </w:rPr>
            </w:pPr>
            <w:r>
              <w:rPr>
                <w:spacing w:val="-10"/>
                <w:sz w:val="24"/>
              </w:rPr>
              <w:t>3</w:t>
            </w:r>
          </w:p>
        </w:tc>
        <w:tc>
          <w:tcPr>
            <w:tcW w:w="992" w:type="dxa"/>
          </w:tcPr>
          <w:p>
            <w:pPr>
              <w:pStyle w:val="TableParagraph"/>
              <w:spacing w:before="195"/>
              <w:rPr>
                <w:i/>
                <w:sz w:val="24"/>
              </w:rPr>
            </w:pPr>
          </w:p>
          <w:p>
            <w:pPr>
              <w:pStyle w:val="TableParagraph"/>
              <w:ind w:right="2"/>
              <w:jc w:val="center"/>
              <w:rPr>
                <w:sz w:val="24"/>
              </w:rPr>
            </w:pPr>
            <w:r>
              <w:rPr>
                <w:spacing w:val="-10"/>
                <w:sz w:val="24"/>
              </w:rPr>
              <w:t>4</w:t>
            </w:r>
          </w:p>
        </w:tc>
        <w:tc>
          <w:tcPr>
            <w:tcW w:w="1163" w:type="dxa"/>
          </w:tcPr>
          <w:p>
            <w:pPr>
              <w:pStyle w:val="TableParagraph"/>
              <w:spacing w:before="195"/>
              <w:rPr>
                <w:i/>
                <w:sz w:val="24"/>
              </w:rPr>
            </w:pPr>
          </w:p>
          <w:p>
            <w:pPr>
              <w:pStyle w:val="TableParagraph"/>
              <w:jc w:val="center"/>
              <w:rPr>
                <w:sz w:val="24"/>
              </w:rPr>
            </w:pPr>
            <w:r>
              <w:rPr>
                <w:spacing w:val="-10"/>
                <w:sz w:val="24"/>
              </w:rPr>
              <w:t>5</w:t>
            </w:r>
          </w:p>
        </w:tc>
      </w:tr>
      <w:tr>
        <w:trPr>
          <w:trHeight w:val="835" w:hRule="atLeast"/>
        </w:trPr>
        <w:tc>
          <w:tcPr>
            <w:tcW w:w="538" w:type="dxa"/>
          </w:tcPr>
          <w:p>
            <w:pPr>
              <w:pStyle w:val="TableParagraph"/>
              <w:spacing w:line="270" w:lineRule="exact"/>
              <w:ind w:left="107"/>
              <w:rPr>
                <w:sz w:val="24"/>
              </w:rPr>
            </w:pPr>
            <w:r>
              <w:rPr>
                <w:spacing w:val="-10"/>
                <w:sz w:val="24"/>
              </w:rPr>
              <w:t>9</w:t>
            </w:r>
          </w:p>
        </w:tc>
        <w:tc>
          <w:tcPr>
            <w:tcW w:w="3968" w:type="dxa"/>
          </w:tcPr>
          <w:p>
            <w:pPr>
              <w:pStyle w:val="TableParagraph"/>
              <w:spacing w:line="276" w:lineRule="auto"/>
              <w:ind w:left="104"/>
              <w:rPr>
                <w:sz w:val="24"/>
              </w:rPr>
            </w:pPr>
            <w:r>
              <w:rPr>
                <w:sz w:val="24"/>
              </w:rPr>
              <w:t>Я</w:t>
            </w:r>
            <w:r>
              <w:rPr>
                <w:spacing w:val="-9"/>
                <w:sz w:val="24"/>
              </w:rPr>
              <w:t> </w:t>
            </w:r>
            <w:r>
              <w:rPr>
                <w:sz w:val="24"/>
              </w:rPr>
              <w:t>чувствую,</w:t>
            </w:r>
            <w:r>
              <w:rPr>
                <w:spacing w:val="-7"/>
                <w:sz w:val="24"/>
              </w:rPr>
              <w:t> </w:t>
            </w:r>
            <w:r>
              <w:rPr>
                <w:sz w:val="24"/>
              </w:rPr>
              <w:t>что</w:t>
            </w:r>
            <w:r>
              <w:rPr>
                <w:spacing w:val="-9"/>
                <w:sz w:val="24"/>
              </w:rPr>
              <w:t> </w:t>
            </w:r>
            <w:r>
              <w:rPr>
                <w:sz w:val="24"/>
              </w:rPr>
              <w:t>в</w:t>
            </w:r>
            <w:r>
              <w:rPr>
                <w:spacing w:val="-10"/>
                <w:sz w:val="24"/>
              </w:rPr>
              <w:t> </w:t>
            </w:r>
            <w:r>
              <w:rPr>
                <w:sz w:val="24"/>
              </w:rPr>
              <w:t>трудной</w:t>
            </w:r>
            <w:r>
              <w:rPr>
                <w:spacing w:val="-9"/>
                <w:sz w:val="24"/>
              </w:rPr>
              <w:t> </w:t>
            </w:r>
            <w:r>
              <w:rPr>
                <w:sz w:val="24"/>
              </w:rPr>
              <w:t>ситуации мои друзья будут за меня</w:t>
            </w:r>
          </w:p>
        </w:tc>
        <w:tc>
          <w:tcPr>
            <w:tcW w:w="1136" w:type="dxa"/>
          </w:tcPr>
          <w:p>
            <w:pPr>
              <w:pStyle w:val="TableParagraph"/>
              <w:spacing w:before="152"/>
              <w:ind w:left="8" w:right="3"/>
              <w:jc w:val="center"/>
              <w:rPr>
                <w:sz w:val="24"/>
              </w:rPr>
            </w:pPr>
            <w:r>
              <w:rPr>
                <w:spacing w:val="-10"/>
                <w:sz w:val="24"/>
              </w:rPr>
              <w:t>1</w:t>
            </w:r>
          </w:p>
        </w:tc>
        <w:tc>
          <w:tcPr>
            <w:tcW w:w="992" w:type="dxa"/>
          </w:tcPr>
          <w:p>
            <w:pPr>
              <w:pStyle w:val="TableParagraph"/>
              <w:spacing w:before="152"/>
              <w:ind w:left="2" w:right="2"/>
              <w:jc w:val="center"/>
              <w:rPr>
                <w:sz w:val="24"/>
              </w:rPr>
            </w:pPr>
            <w:r>
              <w:rPr>
                <w:spacing w:val="-10"/>
                <w:sz w:val="24"/>
              </w:rPr>
              <w:t>2</w:t>
            </w:r>
          </w:p>
        </w:tc>
        <w:tc>
          <w:tcPr>
            <w:tcW w:w="1137" w:type="dxa"/>
          </w:tcPr>
          <w:p>
            <w:pPr>
              <w:pStyle w:val="TableParagraph"/>
              <w:spacing w:before="152"/>
              <w:ind w:left="81" w:right="80"/>
              <w:jc w:val="center"/>
              <w:rPr>
                <w:sz w:val="24"/>
              </w:rPr>
            </w:pPr>
            <w:r>
              <w:rPr>
                <w:spacing w:val="-10"/>
                <w:sz w:val="24"/>
              </w:rPr>
              <w:t>3</w:t>
            </w:r>
          </w:p>
        </w:tc>
        <w:tc>
          <w:tcPr>
            <w:tcW w:w="992" w:type="dxa"/>
          </w:tcPr>
          <w:p>
            <w:pPr>
              <w:pStyle w:val="TableParagraph"/>
              <w:spacing w:before="152"/>
              <w:ind w:right="2"/>
              <w:jc w:val="center"/>
              <w:rPr>
                <w:sz w:val="24"/>
              </w:rPr>
            </w:pPr>
            <w:r>
              <w:rPr>
                <w:spacing w:val="-10"/>
                <w:sz w:val="24"/>
              </w:rPr>
              <w:t>4</w:t>
            </w:r>
          </w:p>
        </w:tc>
        <w:tc>
          <w:tcPr>
            <w:tcW w:w="1163" w:type="dxa"/>
          </w:tcPr>
          <w:p>
            <w:pPr>
              <w:pStyle w:val="TableParagraph"/>
              <w:spacing w:before="152"/>
              <w:jc w:val="center"/>
              <w:rPr>
                <w:sz w:val="24"/>
              </w:rPr>
            </w:pPr>
            <w:r>
              <w:rPr>
                <w:spacing w:val="-10"/>
                <w:sz w:val="24"/>
              </w:rPr>
              <w:t>5</w:t>
            </w:r>
          </w:p>
        </w:tc>
      </w:tr>
      <w:tr>
        <w:trPr>
          <w:trHeight w:val="834" w:hRule="atLeast"/>
        </w:trPr>
        <w:tc>
          <w:tcPr>
            <w:tcW w:w="538" w:type="dxa"/>
          </w:tcPr>
          <w:p>
            <w:pPr>
              <w:pStyle w:val="TableParagraph"/>
              <w:spacing w:line="270" w:lineRule="exact"/>
              <w:ind w:left="107"/>
              <w:rPr>
                <w:sz w:val="24"/>
              </w:rPr>
            </w:pPr>
            <w:r>
              <w:rPr>
                <w:spacing w:val="-5"/>
                <w:sz w:val="24"/>
              </w:rPr>
              <w:t>10</w:t>
            </w:r>
          </w:p>
        </w:tc>
        <w:tc>
          <w:tcPr>
            <w:tcW w:w="3968" w:type="dxa"/>
          </w:tcPr>
          <w:p>
            <w:pPr>
              <w:pStyle w:val="TableParagraph"/>
              <w:spacing w:line="276" w:lineRule="auto"/>
              <w:ind w:left="104" w:right="168"/>
              <w:rPr>
                <w:sz w:val="24"/>
              </w:rPr>
            </w:pPr>
            <w:r>
              <w:rPr>
                <w:sz w:val="24"/>
              </w:rPr>
              <w:t>Я являюсь частью группы (в детском</w:t>
            </w:r>
            <w:r>
              <w:rPr>
                <w:spacing w:val="-10"/>
                <w:sz w:val="24"/>
              </w:rPr>
              <w:t> </w:t>
            </w:r>
            <w:r>
              <w:rPr>
                <w:sz w:val="24"/>
              </w:rPr>
              <w:t>саду,</w:t>
            </w:r>
            <w:r>
              <w:rPr>
                <w:spacing w:val="-10"/>
                <w:sz w:val="24"/>
              </w:rPr>
              <w:t> </w:t>
            </w:r>
            <w:r>
              <w:rPr>
                <w:sz w:val="24"/>
              </w:rPr>
              <w:t>школе</w:t>
            </w:r>
            <w:r>
              <w:rPr>
                <w:spacing w:val="-11"/>
                <w:sz w:val="24"/>
              </w:rPr>
              <w:t> </w:t>
            </w:r>
            <w:r>
              <w:rPr>
                <w:sz w:val="24"/>
              </w:rPr>
              <w:t>или</w:t>
            </w:r>
            <w:r>
              <w:rPr>
                <w:spacing w:val="-9"/>
                <w:sz w:val="24"/>
              </w:rPr>
              <w:t> </w:t>
            </w:r>
            <w:r>
              <w:rPr>
                <w:sz w:val="24"/>
              </w:rPr>
              <w:t>кружках)</w:t>
            </w:r>
          </w:p>
        </w:tc>
        <w:tc>
          <w:tcPr>
            <w:tcW w:w="1136" w:type="dxa"/>
          </w:tcPr>
          <w:p>
            <w:pPr>
              <w:pStyle w:val="TableParagraph"/>
              <w:spacing w:before="152"/>
              <w:ind w:left="8" w:right="3"/>
              <w:jc w:val="center"/>
              <w:rPr>
                <w:sz w:val="24"/>
              </w:rPr>
            </w:pPr>
            <w:r>
              <w:rPr>
                <w:spacing w:val="-10"/>
                <w:sz w:val="24"/>
              </w:rPr>
              <w:t>1</w:t>
            </w:r>
          </w:p>
        </w:tc>
        <w:tc>
          <w:tcPr>
            <w:tcW w:w="992" w:type="dxa"/>
          </w:tcPr>
          <w:p>
            <w:pPr>
              <w:pStyle w:val="TableParagraph"/>
              <w:spacing w:before="152"/>
              <w:ind w:left="2" w:right="2"/>
              <w:jc w:val="center"/>
              <w:rPr>
                <w:sz w:val="24"/>
              </w:rPr>
            </w:pPr>
            <w:r>
              <w:rPr>
                <w:spacing w:val="-10"/>
                <w:sz w:val="24"/>
              </w:rPr>
              <w:t>2</w:t>
            </w:r>
          </w:p>
        </w:tc>
        <w:tc>
          <w:tcPr>
            <w:tcW w:w="1137" w:type="dxa"/>
          </w:tcPr>
          <w:p>
            <w:pPr>
              <w:pStyle w:val="TableParagraph"/>
              <w:spacing w:before="152"/>
              <w:ind w:left="81" w:right="80"/>
              <w:jc w:val="center"/>
              <w:rPr>
                <w:sz w:val="24"/>
              </w:rPr>
            </w:pPr>
            <w:r>
              <w:rPr>
                <w:spacing w:val="-10"/>
                <w:sz w:val="24"/>
              </w:rPr>
              <w:t>3</w:t>
            </w:r>
          </w:p>
        </w:tc>
        <w:tc>
          <w:tcPr>
            <w:tcW w:w="992" w:type="dxa"/>
          </w:tcPr>
          <w:p>
            <w:pPr>
              <w:pStyle w:val="TableParagraph"/>
              <w:spacing w:before="152"/>
              <w:ind w:right="2"/>
              <w:jc w:val="center"/>
              <w:rPr>
                <w:sz w:val="24"/>
              </w:rPr>
            </w:pPr>
            <w:r>
              <w:rPr>
                <w:spacing w:val="-10"/>
                <w:sz w:val="24"/>
              </w:rPr>
              <w:t>4</w:t>
            </w:r>
          </w:p>
        </w:tc>
        <w:tc>
          <w:tcPr>
            <w:tcW w:w="1163" w:type="dxa"/>
          </w:tcPr>
          <w:p>
            <w:pPr>
              <w:pStyle w:val="TableParagraph"/>
              <w:spacing w:before="152"/>
              <w:jc w:val="center"/>
              <w:rPr>
                <w:sz w:val="24"/>
              </w:rPr>
            </w:pPr>
            <w:r>
              <w:rPr>
                <w:spacing w:val="-10"/>
                <w:sz w:val="24"/>
              </w:rPr>
              <w:t>5</w:t>
            </w:r>
          </w:p>
        </w:tc>
      </w:tr>
    </w:tbl>
    <w:p>
      <w:pPr>
        <w:pStyle w:val="TableParagraph"/>
        <w:spacing w:after="0"/>
        <w:jc w:val="center"/>
        <w:rPr>
          <w:sz w:val="24"/>
        </w:rPr>
        <w:sectPr>
          <w:pgSz w:w="11910" w:h="16840"/>
          <w:pgMar w:header="0" w:footer="970" w:top="1040" w:bottom="1220" w:left="1417" w:right="283"/>
        </w:sectPr>
      </w:pPr>
    </w:p>
    <w:tbl>
      <w:tblPr>
        <w:tblW w:w="0" w:type="auto"/>
        <w:jc w:val="left"/>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
        <w:gridCol w:w="3968"/>
        <w:gridCol w:w="1136"/>
        <w:gridCol w:w="992"/>
        <w:gridCol w:w="1137"/>
        <w:gridCol w:w="992"/>
        <w:gridCol w:w="1163"/>
      </w:tblGrid>
      <w:tr>
        <w:trPr>
          <w:trHeight w:val="1154" w:hRule="atLeast"/>
        </w:trPr>
        <w:tc>
          <w:tcPr>
            <w:tcW w:w="538" w:type="dxa"/>
          </w:tcPr>
          <w:p>
            <w:pPr>
              <w:pStyle w:val="TableParagraph"/>
              <w:spacing w:line="273" w:lineRule="exact"/>
              <w:ind w:left="107"/>
              <w:rPr>
                <w:sz w:val="24"/>
              </w:rPr>
            </w:pPr>
            <w:r>
              <w:rPr>
                <w:spacing w:val="-5"/>
                <w:sz w:val="24"/>
              </w:rPr>
              <w:t>11</w:t>
            </w:r>
          </w:p>
        </w:tc>
        <w:tc>
          <w:tcPr>
            <w:tcW w:w="3968" w:type="dxa"/>
          </w:tcPr>
          <w:p>
            <w:pPr>
              <w:pStyle w:val="TableParagraph"/>
              <w:spacing w:line="276" w:lineRule="auto"/>
              <w:ind w:left="104" w:right="247"/>
              <w:rPr>
                <w:sz w:val="24"/>
              </w:rPr>
            </w:pPr>
            <w:r>
              <w:rPr>
                <w:sz w:val="24"/>
              </w:rPr>
              <w:t>Мои родители/опекуны всегда поддержат</w:t>
            </w:r>
            <w:r>
              <w:rPr>
                <w:spacing w:val="-10"/>
                <w:sz w:val="24"/>
              </w:rPr>
              <w:t> </w:t>
            </w:r>
            <w:r>
              <w:rPr>
                <w:sz w:val="24"/>
              </w:rPr>
              <w:t>меня,</w:t>
            </w:r>
            <w:r>
              <w:rPr>
                <w:spacing w:val="-10"/>
                <w:sz w:val="24"/>
              </w:rPr>
              <w:t> </w:t>
            </w:r>
            <w:r>
              <w:rPr>
                <w:sz w:val="24"/>
              </w:rPr>
              <w:t>когда</w:t>
            </w:r>
            <w:r>
              <w:rPr>
                <w:spacing w:val="-10"/>
                <w:sz w:val="24"/>
              </w:rPr>
              <w:t> </w:t>
            </w:r>
            <w:r>
              <w:rPr>
                <w:sz w:val="24"/>
              </w:rPr>
              <w:t>мне</w:t>
            </w:r>
            <w:r>
              <w:rPr>
                <w:spacing w:val="-10"/>
                <w:sz w:val="24"/>
              </w:rPr>
              <w:t> </w:t>
            </w:r>
            <w:r>
              <w:rPr>
                <w:sz w:val="24"/>
              </w:rPr>
              <w:t>сложно что-то сделать или если мне плохо</w:t>
            </w:r>
          </w:p>
        </w:tc>
        <w:tc>
          <w:tcPr>
            <w:tcW w:w="1136" w:type="dxa"/>
          </w:tcPr>
          <w:p>
            <w:pPr>
              <w:pStyle w:val="TableParagraph"/>
              <w:spacing w:before="37"/>
              <w:rPr>
                <w:i/>
                <w:sz w:val="24"/>
              </w:rPr>
            </w:pPr>
          </w:p>
          <w:p>
            <w:pPr>
              <w:pStyle w:val="TableParagraph"/>
              <w:ind w:left="8" w:right="3"/>
              <w:jc w:val="center"/>
              <w:rPr>
                <w:sz w:val="24"/>
              </w:rPr>
            </w:pPr>
            <w:r>
              <w:rPr>
                <w:spacing w:val="-10"/>
                <w:sz w:val="24"/>
              </w:rPr>
              <w:t>1</w:t>
            </w:r>
          </w:p>
        </w:tc>
        <w:tc>
          <w:tcPr>
            <w:tcW w:w="992" w:type="dxa"/>
          </w:tcPr>
          <w:p>
            <w:pPr>
              <w:pStyle w:val="TableParagraph"/>
              <w:spacing w:before="37"/>
              <w:rPr>
                <w:i/>
                <w:sz w:val="24"/>
              </w:rPr>
            </w:pPr>
          </w:p>
          <w:p>
            <w:pPr>
              <w:pStyle w:val="TableParagraph"/>
              <w:ind w:left="2" w:right="2"/>
              <w:jc w:val="center"/>
              <w:rPr>
                <w:sz w:val="24"/>
              </w:rPr>
            </w:pPr>
            <w:r>
              <w:rPr>
                <w:spacing w:val="-10"/>
                <w:sz w:val="24"/>
              </w:rPr>
              <w:t>2</w:t>
            </w:r>
          </w:p>
        </w:tc>
        <w:tc>
          <w:tcPr>
            <w:tcW w:w="1137" w:type="dxa"/>
          </w:tcPr>
          <w:p>
            <w:pPr>
              <w:pStyle w:val="TableParagraph"/>
              <w:spacing w:before="37"/>
              <w:rPr>
                <w:i/>
                <w:sz w:val="24"/>
              </w:rPr>
            </w:pPr>
          </w:p>
          <w:p>
            <w:pPr>
              <w:pStyle w:val="TableParagraph"/>
              <w:ind w:left="81" w:right="80"/>
              <w:jc w:val="center"/>
              <w:rPr>
                <w:sz w:val="24"/>
              </w:rPr>
            </w:pPr>
            <w:r>
              <w:rPr>
                <w:spacing w:val="-10"/>
                <w:sz w:val="24"/>
              </w:rPr>
              <w:t>3</w:t>
            </w:r>
          </w:p>
        </w:tc>
        <w:tc>
          <w:tcPr>
            <w:tcW w:w="992" w:type="dxa"/>
          </w:tcPr>
          <w:p>
            <w:pPr>
              <w:pStyle w:val="TableParagraph"/>
              <w:spacing w:before="37"/>
              <w:rPr>
                <w:i/>
                <w:sz w:val="24"/>
              </w:rPr>
            </w:pPr>
          </w:p>
          <w:p>
            <w:pPr>
              <w:pStyle w:val="TableParagraph"/>
              <w:ind w:right="2"/>
              <w:jc w:val="center"/>
              <w:rPr>
                <w:sz w:val="24"/>
              </w:rPr>
            </w:pPr>
            <w:r>
              <w:rPr>
                <w:spacing w:val="-10"/>
                <w:sz w:val="24"/>
              </w:rPr>
              <w:t>4</w:t>
            </w:r>
          </w:p>
        </w:tc>
        <w:tc>
          <w:tcPr>
            <w:tcW w:w="1163" w:type="dxa"/>
          </w:tcPr>
          <w:p>
            <w:pPr>
              <w:pStyle w:val="TableParagraph"/>
              <w:spacing w:before="37"/>
              <w:rPr>
                <w:i/>
                <w:sz w:val="24"/>
              </w:rPr>
            </w:pPr>
          </w:p>
          <w:p>
            <w:pPr>
              <w:pStyle w:val="TableParagraph"/>
              <w:jc w:val="center"/>
              <w:rPr>
                <w:sz w:val="24"/>
              </w:rPr>
            </w:pPr>
            <w:r>
              <w:rPr>
                <w:spacing w:val="-10"/>
                <w:sz w:val="24"/>
              </w:rPr>
              <w:t>5</w:t>
            </w:r>
          </w:p>
        </w:tc>
      </w:tr>
      <w:tr>
        <w:trPr>
          <w:trHeight w:val="1151" w:hRule="atLeast"/>
        </w:trPr>
        <w:tc>
          <w:tcPr>
            <w:tcW w:w="538" w:type="dxa"/>
          </w:tcPr>
          <w:p>
            <w:pPr>
              <w:pStyle w:val="TableParagraph"/>
              <w:spacing w:line="270" w:lineRule="exact"/>
              <w:ind w:left="107"/>
              <w:rPr>
                <w:sz w:val="24"/>
              </w:rPr>
            </w:pPr>
            <w:r>
              <w:rPr>
                <w:spacing w:val="-5"/>
                <w:sz w:val="24"/>
              </w:rPr>
              <w:t>12</w:t>
            </w:r>
          </w:p>
        </w:tc>
        <w:tc>
          <w:tcPr>
            <w:tcW w:w="3968" w:type="dxa"/>
          </w:tcPr>
          <w:p>
            <w:pPr>
              <w:pStyle w:val="TableParagraph"/>
              <w:spacing w:line="276" w:lineRule="auto"/>
              <w:ind w:left="104" w:right="168"/>
              <w:rPr>
                <w:sz w:val="24"/>
              </w:rPr>
            </w:pPr>
            <w:r>
              <w:rPr>
                <w:sz w:val="24"/>
              </w:rPr>
              <w:t>Мои</w:t>
            </w:r>
            <w:r>
              <w:rPr>
                <w:spacing w:val="-10"/>
                <w:sz w:val="24"/>
              </w:rPr>
              <w:t> </w:t>
            </w:r>
            <w:r>
              <w:rPr>
                <w:sz w:val="24"/>
              </w:rPr>
              <w:t>друзья</w:t>
            </w:r>
            <w:r>
              <w:rPr>
                <w:spacing w:val="-10"/>
                <w:sz w:val="24"/>
              </w:rPr>
              <w:t> </w:t>
            </w:r>
            <w:r>
              <w:rPr>
                <w:sz w:val="24"/>
              </w:rPr>
              <w:t>всегда</w:t>
            </w:r>
            <w:r>
              <w:rPr>
                <w:spacing w:val="-11"/>
                <w:sz w:val="24"/>
              </w:rPr>
              <w:t> </w:t>
            </w:r>
            <w:r>
              <w:rPr>
                <w:sz w:val="24"/>
              </w:rPr>
              <w:t>поддержат</w:t>
            </w:r>
            <w:r>
              <w:rPr>
                <w:spacing w:val="-10"/>
                <w:sz w:val="24"/>
              </w:rPr>
              <w:t> </w:t>
            </w:r>
            <w:r>
              <w:rPr>
                <w:sz w:val="24"/>
              </w:rPr>
              <w:t>меня, когда мне сложно что-то сделать или если мне плохо</w:t>
            </w:r>
          </w:p>
        </w:tc>
        <w:tc>
          <w:tcPr>
            <w:tcW w:w="1136" w:type="dxa"/>
          </w:tcPr>
          <w:p>
            <w:pPr>
              <w:pStyle w:val="TableParagraph"/>
              <w:spacing w:before="34"/>
              <w:rPr>
                <w:i/>
                <w:sz w:val="24"/>
              </w:rPr>
            </w:pPr>
          </w:p>
          <w:p>
            <w:pPr>
              <w:pStyle w:val="TableParagraph"/>
              <w:spacing w:before="1"/>
              <w:ind w:left="8" w:right="3"/>
              <w:jc w:val="center"/>
              <w:rPr>
                <w:sz w:val="24"/>
              </w:rPr>
            </w:pPr>
            <w:r>
              <w:rPr>
                <w:spacing w:val="-10"/>
                <w:sz w:val="24"/>
              </w:rPr>
              <w:t>1</w:t>
            </w:r>
          </w:p>
        </w:tc>
        <w:tc>
          <w:tcPr>
            <w:tcW w:w="992" w:type="dxa"/>
          </w:tcPr>
          <w:p>
            <w:pPr>
              <w:pStyle w:val="TableParagraph"/>
              <w:spacing w:before="34"/>
              <w:rPr>
                <w:i/>
                <w:sz w:val="24"/>
              </w:rPr>
            </w:pPr>
          </w:p>
          <w:p>
            <w:pPr>
              <w:pStyle w:val="TableParagraph"/>
              <w:spacing w:before="1"/>
              <w:ind w:left="2" w:right="2"/>
              <w:jc w:val="center"/>
              <w:rPr>
                <w:sz w:val="24"/>
              </w:rPr>
            </w:pPr>
            <w:r>
              <w:rPr>
                <w:spacing w:val="-10"/>
                <w:sz w:val="24"/>
              </w:rPr>
              <w:t>2</w:t>
            </w:r>
          </w:p>
        </w:tc>
        <w:tc>
          <w:tcPr>
            <w:tcW w:w="1137" w:type="dxa"/>
          </w:tcPr>
          <w:p>
            <w:pPr>
              <w:pStyle w:val="TableParagraph"/>
              <w:spacing w:before="34"/>
              <w:rPr>
                <w:i/>
                <w:sz w:val="24"/>
              </w:rPr>
            </w:pPr>
          </w:p>
          <w:p>
            <w:pPr>
              <w:pStyle w:val="TableParagraph"/>
              <w:spacing w:before="1"/>
              <w:ind w:left="81" w:right="80"/>
              <w:jc w:val="center"/>
              <w:rPr>
                <w:sz w:val="24"/>
              </w:rPr>
            </w:pPr>
            <w:r>
              <w:rPr>
                <w:spacing w:val="-10"/>
                <w:sz w:val="24"/>
              </w:rPr>
              <w:t>3</w:t>
            </w:r>
          </w:p>
        </w:tc>
        <w:tc>
          <w:tcPr>
            <w:tcW w:w="992" w:type="dxa"/>
          </w:tcPr>
          <w:p>
            <w:pPr>
              <w:pStyle w:val="TableParagraph"/>
              <w:spacing w:before="34"/>
              <w:rPr>
                <w:i/>
                <w:sz w:val="24"/>
              </w:rPr>
            </w:pPr>
          </w:p>
          <w:p>
            <w:pPr>
              <w:pStyle w:val="TableParagraph"/>
              <w:spacing w:before="1"/>
              <w:ind w:right="2"/>
              <w:jc w:val="center"/>
              <w:rPr>
                <w:sz w:val="24"/>
              </w:rPr>
            </w:pPr>
            <w:r>
              <w:rPr>
                <w:spacing w:val="-10"/>
                <w:sz w:val="24"/>
              </w:rPr>
              <w:t>4</w:t>
            </w:r>
          </w:p>
        </w:tc>
        <w:tc>
          <w:tcPr>
            <w:tcW w:w="1163" w:type="dxa"/>
          </w:tcPr>
          <w:p>
            <w:pPr>
              <w:pStyle w:val="TableParagraph"/>
              <w:spacing w:before="34"/>
              <w:rPr>
                <w:i/>
                <w:sz w:val="24"/>
              </w:rPr>
            </w:pPr>
          </w:p>
          <w:p>
            <w:pPr>
              <w:pStyle w:val="TableParagraph"/>
              <w:spacing w:before="1"/>
              <w:jc w:val="center"/>
              <w:rPr>
                <w:sz w:val="24"/>
              </w:rPr>
            </w:pPr>
            <w:r>
              <w:rPr>
                <w:spacing w:val="-10"/>
                <w:sz w:val="24"/>
              </w:rPr>
              <w:t>5</w:t>
            </w:r>
          </w:p>
        </w:tc>
      </w:tr>
      <w:tr>
        <w:trPr>
          <w:trHeight w:val="517" w:hRule="atLeast"/>
        </w:trPr>
        <w:tc>
          <w:tcPr>
            <w:tcW w:w="538" w:type="dxa"/>
          </w:tcPr>
          <w:p>
            <w:pPr>
              <w:pStyle w:val="TableParagraph"/>
              <w:spacing w:line="270" w:lineRule="exact"/>
              <w:ind w:left="107"/>
              <w:rPr>
                <w:sz w:val="24"/>
              </w:rPr>
            </w:pPr>
            <w:r>
              <w:rPr>
                <w:spacing w:val="-5"/>
                <w:sz w:val="24"/>
              </w:rPr>
              <w:t>13</w:t>
            </w:r>
          </w:p>
        </w:tc>
        <w:tc>
          <w:tcPr>
            <w:tcW w:w="3968" w:type="dxa"/>
          </w:tcPr>
          <w:p>
            <w:pPr>
              <w:pStyle w:val="TableParagraph"/>
              <w:spacing w:line="270" w:lineRule="exact"/>
              <w:ind w:left="104"/>
              <w:rPr>
                <w:sz w:val="24"/>
              </w:rPr>
            </w:pPr>
            <w:r>
              <w:rPr>
                <w:sz w:val="24"/>
              </w:rPr>
              <w:t>Ко</w:t>
            </w:r>
            <w:r>
              <w:rPr>
                <w:spacing w:val="-1"/>
                <w:sz w:val="24"/>
              </w:rPr>
              <w:t> </w:t>
            </w:r>
            <w:r>
              <w:rPr>
                <w:sz w:val="24"/>
              </w:rPr>
              <w:t>мне</w:t>
            </w:r>
            <w:r>
              <w:rPr>
                <w:spacing w:val="-2"/>
                <w:sz w:val="24"/>
              </w:rPr>
              <w:t> </w:t>
            </w:r>
            <w:r>
              <w:rPr>
                <w:sz w:val="24"/>
              </w:rPr>
              <w:t>относятся</w:t>
            </w:r>
            <w:r>
              <w:rPr>
                <w:spacing w:val="-1"/>
                <w:sz w:val="24"/>
              </w:rPr>
              <w:t> </w:t>
            </w:r>
            <w:r>
              <w:rPr>
                <w:spacing w:val="-2"/>
                <w:sz w:val="24"/>
              </w:rPr>
              <w:t>справедливо</w:t>
            </w:r>
          </w:p>
        </w:tc>
        <w:tc>
          <w:tcPr>
            <w:tcW w:w="1136" w:type="dxa"/>
          </w:tcPr>
          <w:p>
            <w:pPr>
              <w:pStyle w:val="TableParagraph"/>
              <w:spacing w:line="270" w:lineRule="exact"/>
              <w:ind w:left="8" w:right="3"/>
              <w:jc w:val="center"/>
              <w:rPr>
                <w:sz w:val="24"/>
              </w:rPr>
            </w:pPr>
            <w:r>
              <w:rPr>
                <w:spacing w:val="-10"/>
                <w:sz w:val="24"/>
              </w:rPr>
              <w:t>1</w:t>
            </w:r>
          </w:p>
        </w:tc>
        <w:tc>
          <w:tcPr>
            <w:tcW w:w="992" w:type="dxa"/>
          </w:tcPr>
          <w:p>
            <w:pPr>
              <w:pStyle w:val="TableParagraph"/>
              <w:spacing w:line="270" w:lineRule="exact"/>
              <w:ind w:left="2" w:right="2"/>
              <w:jc w:val="center"/>
              <w:rPr>
                <w:sz w:val="24"/>
              </w:rPr>
            </w:pPr>
            <w:r>
              <w:rPr>
                <w:spacing w:val="-10"/>
                <w:sz w:val="24"/>
              </w:rPr>
              <w:t>2</w:t>
            </w:r>
          </w:p>
        </w:tc>
        <w:tc>
          <w:tcPr>
            <w:tcW w:w="1137" w:type="dxa"/>
          </w:tcPr>
          <w:p>
            <w:pPr>
              <w:pStyle w:val="TableParagraph"/>
              <w:spacing w:line="270" w:lineRule="exact"/>
              <w:ind w:left="81" w:right="80"/>
              <w:jc w:val="center"/>
              <w:rPr>
                <w:sz w:val="24"/>
              </w:rPr>
            </w:pPr>
            <w:r>
              <w:rPr>
                <w:spacing w:val="-10"/>
                <w:sz w:val="24"/>
              </w:rPr>
              <w:t>3</w:t>
            </w:r>
          </w:p>
        </w:tc>
        <w:tc>
          <w:tcPr>
            <w:tcW w:w="992" w:type="dxa"/>
          </w:tcPr>
          <w:p>
            <w:pPr>
              <w:pStyle w:val="TableParagraph"/>
              <w:spacing w:line="270" w:lineRule="exact"/>
              <w:ind w:right="2"/>
              <w:jc w:val="center"/>
              <w:rPr>
                <w:sz w:val="24"/>
              </w:rPr>
            </w:pPr>
            <w:r>
              <w:rPr>
                <w:spacing w:val="-10"/>
                <w:sz w:val="24"/>
              </w:rPr>
              <w:t>4</w:t>
            </w:r>
          </w:p>
        </w:tc>
        <w:tc>
          <w:tcPr>
            <w:tcW w:w="1163" w:type="dxa"/>
          </w:tcPr>
          <w:p>
            <w:pPr>
              <w:pStyle w:val="TableParagraph"/>
              <w:spacing w:line="270" w:lineRule="exact"/>
              <w:jc w:val="center"/>
              <w:rPr>
                <w:sz w:val="24"/>
              </w:rPr>
            </w:pPr>
            <w:r>
              <w:rPr>
                <w:spacing w:val="-10"/>
                <w:sz w:val="24"/>
              </w:rPr>
              <w:t>5</w:t>
            </w:r>
          </w:p>
        </w:tc>
      </w:tr>
      <w:tr>
        <w:trPr>
          <w:trHeight w:val="835" w:hRule="atLeast"/>
        </w:trPr>
        <w:tc>
          <w:tcPr>
            <w:tcW w:w="538" w:type="dxa"/>
          </w:tcPr>
          <w:p>
            <w:pPr>
              <w:pStyle w:val="TableParagraph"/>
              <w:spacing w:line="270" w:lineRule="exact"/>
              <w:ind w:left="107"/>
              <w:rPr>
                <w:sz w:val="24"/>
              </w:rPr>
            </w:pPr>
            <w:r>
              <w:rPr>
                <w:spacing w:val="-5"/>
                <w:sz w:val="24"/>
              </w:rPr>
              <w:t>14</w:t>
            </w:r>
          </w:p>
        </w:tc>
        <w:tc>
          <w:tcPr>
            <w:tcW w:w="3968" w:type="dxa"/>
          </w:tcPr>
          <w:p>
            <w:pPr>
              <w:pStyle w:val="TableParagraph"/>
              <w:spacing w:line="276" w:lineRule="auto"/>
              <w:ind w:left="104"/>
              <w:rPr>
                <w:sz w:val="24"/>
              </w:rPr>
            </w:pPr>
            <w:r>
              <w:rPr>
                <w:sz w:val="24"/>
              </w:rPr>
              <w:t>У</w:t>
            </w:r>
            <w:r>
              <w:rPr>
                <w:spacing w:val="-10"/>
                <w:sz w:val="24"/>
              </w:rPr>
              <w:t> </w:t>
            </w:r>
            <w:r>
              <w:rPr>
                <w:sz w:val="24"/>
              </w:rPr>
              <w:t>меня</w:t>
            </w:r>
            <w:r>
              <w:rPr>
                <w:spacing w:val="-10"/>
                <w:sz w:val="24"/>
              </w:rPr>
              <w:t> </w:t>
            </w:r>
            <w:r>
              <w:rPr>
                <w:sz w:val="24"/>
              </w:rPr>
              <w:t>есть</w:t>
            </w:r>
            <w:r>
              <w:rPr>
                <w:spacing w:val="-9"/>
                <w:sz w:val="24"/>
              </w:rPr>
              <w:t> </w:t>
            </w:r>
            <w:r>
              <w:rPr>
                <w:sz w:val="24"/>
              </w:rPr>
              <w:t>возможность</w:t>
            </w:r>
            <w:r>
              <w:rPr>
                <w:spacing w:val="-9"/>
                <w:sz w:val="24"/>
              </w:rPr>
              <w:t> </w:t>
            </w:r>
            <w:r>
              <w:rPr>
                <w:sz w:val="24"/>
              </w:rPr>
              <w:t>показать, что я много могу делать сам</w:t>
            </w:r>
          </w:p>
        </w:tc>
        <w:tc>
          <w:tcPr>
            <w:tcW w:w="1136" w:type="dxa"/>
          </w:tcPr>
          <w:p>
            <w:pPr>
              <w:pStyle w:val="TableParagraph"/>
              <w:spacing w:before="152"/>
              <w:ind w:left="8" w:right="3"/>
              <w:jc w:val="center"/>
              <w:rPr>
                <w:sz w:val="24"/>
              </w:rPr>
            </w:pPr>
            <w:r>
              <w:rPr>
                <w:spacing w:val="-10"/>
                <w:sz w:val="24"/>
              </w:rPr>
              <w:t>1</w:t>
            </w:r>
          </w:p>
        </w:tc>
        <w:tc>
          <w:tcPr>
            <w:tcW w:w="992" w:type="dxa"/>
          </w:tcPr>
          <w:p>
            <w:pPr>
              <w:pStyle w:val="TableParagraph"/>
              <w:spacing w:before="152"/>
              <w:ind w:left="2" w:right="2"/>
              <w:jc w:val="center"/>
              <w:rPr>
                <w:sz w:val="24"/>
              </w:rPr>
            </w:pPr>
            <w:r>
              <w:rPr>
                <w:spacing w:val="-10"/>
                <w:sz w:val="24"/>
              </w:rPr>
              <w:t>2</w:t>
            </w:r>
          </w:p>
        </w:tc>
        <w:tc>
          <w:tcPr>
            <w:tcW w:w="1137" w:type="dxa"/>
          </w:tcPr>
          <w:p>
            <w:pPr>
              <w:pStyle w:val="TableParagraph"/>
              <w:spacing w:before="152"/>
              <w:ind w:left="81" w:right="80"/>
              <w:jc w:val="center"/>
              <w:rPr>
                <w:sz w:val="24"/>
              </w:rPr>
            </w:pPr>
            <w:r>
              <w:rPr>
                <w:spacing w:val="-10"/>
                <w:sz w:val="24"/>
              </w:rPr>
              <w:t>3</w:t>
            </w:r>
          </w:p>
        </w:tc>
        <w:tc>
          <w:tcPr>
            <w:tcW w:w="992" w:type="dxa"/>
          </w:tcPr>
          <w:p>
            <w:pPr>
              <w:pStyle w:val="TableParagraph"/>
              <w:spacing w:before="152"/>
              <w:ind w:right="2"/>
              <w:jc w:val="center"/>
              <w:rPr>
                <w:sz w:val="24"/>
              </w:rPr>
            </w:pPr>
            <w:r>
              <w:rPr>
                <w:spacing w:val="-10"/>
                <w:sz w:val="24"/>
              </w:rPr>
              <w:t>4</w:t>
            </w:r>
          </w:p>
        </w:tc>
        <w:tc>
          <w:tcPr>
            <w:tcW w:w="1163" w:type="dxa"/>
          </w:tcPr>
          <w:p>
            <w:pPr>
              <w:pStyle w:val="TableParagraph"/>
              <w:spacing w:before="152"/>
              <w:jc w:val="center"/>
              <w:rPr>
                <w:sz w:val="24"/>
              </w:rPr>
            </w:pPr>
            <w:r>
              <w:rPr>
                <w:spacing w:val="-10"/>
                <w:sz w:val="24"/>
              </w:rPr>
              <w:t>5</w:t>
            </w:r>
          </w:p>
        </w:tc>
      </w:tr>
      <w:tr>
        <w:trPr>
          <w:trHeight w:val="834" w:hRule="atLeast"/>
        </w:trPr>
        <w:tc>
          <w:tcPr>
            <w:tcW w:w="538" w:type="dxa"/>
          </w:tcPr>
          <w:p>
            <w:pPr>
              <w:pStyle w:val="TableParagraph"/>
              <w:spacing w:line="270" w:lineRule="exact"/>
              <w:ind w:left="107"/>
              <w:rPr>
                <w:sz w:val="24"/>
              </w:rPr>
            </w:pPr>
            <w:r>
              <w:rPr>
                <w:spacing w:val="-5"/>
                <w:sz w:val="24"/>
              </w:rPr>
              <w:t>15</w:t>
            </w:r>
          </w:p>
        </w:tc>
        <w:tc>
          <w:tcPr>
            <w:tcW w:w="3968" w:type="dxa"/>
          </w:tcPr>
          <w:p>
            <w:pPr>
              <w:pStyle w:val="TableParagraph"/>
              <w:spacing w:line="270" w:lineRule="exact"/>
              <w:ind w:left="104"/>
              <w:rPr>
                <w:sz w:val="24"/>
              </w:rPr>
            </w:pPr>
            <w:r>
              <w:rPr>
                <w:sz w:val="24"/>
              </w:rPr>
              <w:t>Мне</w:t>
            </w:r>
            <w:r>
              <w:rPr>
                <w:spacing w:val="-3"/>
                <w:sz w:val="24"/>
              </w:rPr>
              <w:t> </w:t>
            </w:r>
            <w:r>
              <w:rPr>
                <w:sz w:val="24"/>
              </w:rPr>
              <w:t>безопасно</w:t>
            </w:r>
            <w:r>
              <w:rPr>
                <w:spacing w:val="-1"/>
                <w:sz w:val="24"/>
              </w:rPr>
              <w:t> </w:t>
            </w:r>
            <w:r>
              <w:rPr>
                <w:sz w:val="24"/>
              </w:rPr>
              <w:t>рядом</w:t>
            </w:r>
            <w:r>
              <w:rPr>
                <w:spacing w:val="-1"/>
                <w:sz w:val="24"/>
              </w:rPr>
              <w:t> </w:t>
            </w:r>
            <w:r>
              <w:rPr>
                <w:sz w:val="24"/>
              </w:rPr>
              <w:t>с</w:t>
            </w:r>
            <w:r>
              <w:rPr>
                <w:spacing w:val="-3"/>
                <w:sz w:val="24"/>
              </w:rPr>
              <w:t> </w:t>
            </w:r>
            <w:r>
              <w:rPr>
                <w:sz w:val="24"/>
              </w:rPr>
              <w:t>моей</w:t>
            </w:r>
            <w:r>
              <w:rPr>
                <w:spacing w:val="-1"/>
                <w:sz w:val="24"/>
              </w:rPr>
              <w:t> </w:t>
            </w:r>
            <w:r>
              <w:rPr>
                <w:spacing w:val="-2"/>
                <w:sz w:val="24"/>
              </w:rPr>
              <w:t>семьей</w:t>
            </w:r>
          </w:p>
          <w:p>
            <w:pPr>
              <w:pStyle w:val="TableParagraph"/>
              <w:spacing w:before="41"/>
              <w:ind w:left="104"/>
              <w:rPr>
                <w:sz w:val="24"/>
              </w:rPr>
            </w:pPr>
            <w:r>
              <w:rPr>
                <w:sz w:val="24"/>
              </w:rPr>
              <w:t>/ </w:t>
            </w:r>
            <w:r>
              <w:rPr>
                <w:spacing w:val="-2"/>
                <w:sz w:val="24"/>
              </w:rPr>
              <w:t>опекунами</w:t>
            </w:r>
          </w:p>
        </w:tc>
        <w:tc>
          <w:tcPr>
            <w:tcW w:w="1136" w:type="dxa"/>
          </w:tcPr>
          <w:p>
            <w:pPr>
              <w:pStyle w:val="TableParagraph"/>
              <w:spacing w:before="152"/>
              <w:ind w:left="8" w:right="3"/>
              <w:jc w:val="center"/>
              <w:rPr>
                <w:sz w:val="24"/>
              </w:rPr>
            </w:pPr>
            <w:r>
              <w:rPr>
                <w:spacing w:val="-10"/>
                <w:sz w:val="24"/>
              </w:rPr>
              <w:t>1</w:t>
            </w:r>
          </w:p>
        </w:tc>
        <w:tc>
          <w:tcPr>
            <w:tcW w:w="992" w:type="dxa"/>
          </w:tcPr>
          <w:p>
            <w:pPr>
              <w:pStyle w:val="TableParagraph"/>
              <w:spacing w:before="152"/>
              <w:ind w:left="2" w:right="2"/>
              <w:jc w:val="center"/>
              <w:rPr>
                <w:sz w:val="24"/>
              </w:rPr>
            </w:pPr>
            <w:r>
              <w:rPr>
                <w:spacing w:val="-10"/>
                <w:sz w:val="24"/>
              </w:rPr>
              <w:t>2</w:t>
            </w:r>
          </w:p>
        </w:tc>
        <w:tc>
          <w:tcPr>
            <w:tcW w:w="1137" w:type="dxa"/>
          </w:tcPr>
          <w:p>
            <w:pPr>
              <w:pStyle w:val="TableParagraph"/>
              <w:spacing w:before="152"/>
              <w:ind w:left="81" w:right="80"/>
              <w:jc w:val="center"/>
              <w:rPr>
                <w:sz w:val="24"/>
              </w:rPr>
            </w:pPr>
            <w:r>
              <w:rPr>
                <w:spacing w:val="-10"/>
                <w:sz w:val="24"/>
              </w:rPr>
              <w:t>3</w:t>
            </w:r>
          </w:p>
        </w:tc>
        <w:tc>
          <w:tcPr>
            <w:tcW w:w="992" w:type="dxa"/>
          </w:tcPr>
          <w:p>
            <w:pPr>
              <w:pStyle w:val="TableParagraph"/>
              <w:spacing w:before="152"/>
              <w:ind w:right="2"/>
              <w:jc w:val="center"/>
              <w:rPr>
                <w:sz w:val="24"/>
              </w:rPr>
            </w:pPr>
            <w:r>
              <w:rPr>
                <w:spacing w:val="-10"/>
                <w:sz w:val="24"/>
              </w:rPr>
              <w:t>4</w:t>
            </w:r>
          </w:p>
        </w:tc>
        <w:tc>
          <w:tcPr>
            <w:tcW w:w="1163" w:type="dxa"/>
          </w:tcPr>
          <w:p>
            <w:pPr>
              <w:pStyle w:val="TableParagraph"/>
              <w:spacing w:before="152"/>
              <w:jc w:val="center"/>
              <w:rPr>
                <w:sz w:val="24"/>
              </w:rPr>
            </w:pPr>
            <w:r>
              <w:rPr>
                <w:spacing w:val="-10"/>
                <w:sz w:val="24"/>
              </w:rPr>
              <w:t>5</w:t>
            </w:r>
          </w:p>
        </w:tc>
      </w:tr>
      <w:tr>
        <w:trPr>
          <w:trHeight w:val="1785" w:hRule="atLeast"/>
        </w:trPr>
        <w:tc>
          <w:tcPr>
            <w:tcW w:w="538" w:type="dxa"/>
          </w:tcPr>
          <w:p>
            <w:pPr>
              <w:pStyle w:val="TableParagraph"/>
              <w:spacing w:line="270" w:lineRule="exact"/>
              <w:ind w:left="107"/>
              <w:rPr>
                <w:sz w:val="24"/>
              </w:rPr>
            </w:pPr>
            <w:r>
              <w:rPr>
                <w:spacing w:val="-5"/>
                <w:sz w:val="24"/>
              </w:rPr>
              <w:t>16</w:t>
            </w:r>
          </w:p>
        </w:tc>
        <w:tc>
          <w:tcPr>
            <w:tcW w:w="3968" w:type="dxa"/>
          </w:tcPr>
          <w:p>
            <w:pPr>
              <w:pStyle w:val="TableParagraph"/>
              <w:spacing w:line="276" w:lineRule="auto"/>
              <w:ind w:left="104" w:right="147"/>
              <w:rPr>
                <w:sz w:val="24"/>
              </w:rPr>
            </w:pPr>
            <w:r>
              <w:rPr>
                <w:sz w:val="24"/>
              </w:rPr>
              <w:t>У</w:t>
            </w:r>
            <w:r>
              <w:rPr>
                <w:spacing w:val="-10"/>
                <w:sz w:val="24"/>
              </w:rPr>
              <w:t> </w:t>
            </w:r>
            <w:r>
              <w:rPr>
                <w:sz w:val="24"/>
              </w:rPr>
              <w:t>меня</w:t>
            </w:r>
            <w:r>
              <w:rPr>
                <w:spacing w:val="-10"/>
                <w:sz w:val="24"/>
              </w:rPr>
              <w:t> </w:t>
            </w:r>
            <w:r>
              <w:rPr>
                <w:sz w:val="24"/>
              </w:rPr>
              <w:t>есть</w:t>
            </w:r>
            <w:r>
              <w:rPr>
                <w:spacing w:val="-10"/>
                <w:sz w:val="24"/>
              </w:rPr>
              <w:t> </w:t>
            </w:r>
            <w:r>
              <w:rPr>
                <w:sz w:val="24"/>
              </w:rPr>
              <w:t>возможность</w:t>
            </w:r>
            <w:r>
              <w:rPr>
                <w:spacing w:val="-10"/>
                <w:sz w:val="24"/>
              </w:rPr>
              <w:t> </w:t>
            </w:r>
            <w:r>
              <w:rPr>
                <w:sz w:val="24"/>
              </w:rPr>
              <w:t>научиться многим вещам, которые мне помогут, когда я вырасту (например, как готовить еду, или работать, или как помочь другим)</w:t>
            </w:r>
          </w:p>
        </w:tc>
        <w:tc>
          <w:tcPr>
            <w:tcW w:w="1136" w:type="dxa"/>
          </w:tcPr>
          <w:p>
            <w:pPr>
              <w:pStyle w:val="TableParagraph"/>
              <w:rPr>
                <w:i/>
                <w:sz w:val="24"/>
              </w:rPr>
            </w:pPr>
          </w:p>
          <w:p>
            <w:pPr>
              <w:pStyle w:val="TableParagraph"/>
              <w:spacing w:before="75"/>
              <w:rPr>
                <w:i/>
                <w:sz w:val="24"/>
              </w:rPr>
            </w:pPr>
          </w:p>
          <w:p>
            <w:pPr>
              <w:pStyle w:val="TableParagraph"/>
              <w:ind w:left="8" w:right="3"/>
              <w:jc w:val="center"/>
              <w:rPr>
                <w:sz w:val="24"/>
              </w:rPr>
            </w:pPr>
            <w:r>
              <w:rPr>
                <w:spacing w:val="-10"/>
                <w:sz w:val="24"/>
              </w:rPr>
              <w:t>1</w:t>
            </w:r>
          </w:p>
        </w:tc>
        <w:tc>
          <w:tcPr>
            <w:tcW w:w="992" w:type="dxa"/>
          </w:tcPr>
          <w:p>
            <w:pPr>
              <w:pStyle w:val="TableParagraph"/>
              <w:rPr>
                <w:i/>
                <w:sz w:val="24"/>
              </w:rPr>
            </w:pPr>
          </w:p>
          <w:p>
            <w:pPr>
              <w:pStyle w:val="TableParagraph"/>
              <w:spacing w:before="75"/>
              <w:rPr>
                <w:i/>
                <w:sz w:val="24"/>
              </w:rPr>
            </w:pPr>
          </w:p>
          <w:p>
            <w:pPr>
              <w:pStyle w:val="TableParagraph"/>
              <w:ind w:left="2" w:right="2"/>
              <w:jc w:val="center"/>
              <w:rPr>
                <w:sz w:val="24"/>
              </w:rPr>
            </w:pPr>
            <w:r>
              <w:rPr>
                <w:spacing w:val="-10"/>
                <w:sz w:val="24"/>
              </w:rPr>
              <w:t>2</w:t>
            </w:r>
          </w:p>
        </w:tc>
        <w:tc>
          <w:tcPr>
            <w:tcW w:w="1137" w:type="dxa"/>
          </w:tcPr>
          <w:p>
            <w:pPr>
              <w:pStyle w:val="TableParagraph"/>
              <w:rPr>
                <w:i/>
                <w:sz w:val="24"/>
              </w:rPr>
            </w:pPr>
          </w:p>
          <w:p>
            <w:pPr>
              <w:pStyle w:val="TableParagraph"/>
              <w:spacing w:before="75"/>
              <w:rPr>
                <w:i/>
                <w:sz w:val="24"/>
              </w:rPr>
            </w:pPr>
          </w:p>
          <w:p>
            <w:pPr>
              <w:pStyle w:val="TableParagraph"/>
              <w:ind w:left="81" w:right="80"/>
              <w:jc w:val="center"/>
              <w:rPr>
                <w:sz w:val="24"/>
              </w:rPr>
            </w:pPr>
            <w:r>
              <w:rPr>
                <w:spacing w:val="-10"/>
                <w:sz w:val="24"/>
              </w:rPr>
              <w:t>3</w:t>
            </w:r>
          </w:p>
        </w:tc>
        <w:tc>
          <w:tcPr>
            <w:tcW w:w="992" w:type="dxa"/>
          </w:tcPr>
          <w:p>
            <w:pPr>
              <w:pStyle w:val="TableParagraph"/>
              <w:rPr>
                <w:i/>
                <w:sz w:val="24"/>
              </w:rPr>
            </w:pPr>
          </w:p>
          <w:p>
            <w:pPr>
              <w:pStyle w:val="TableParagraph"/>
              <w:spacing w:before="75"/>
              <w:rPr>
                <w:i/>
                <w:sz w:val="24"/>
              </w:rPr>
            </w:pPr>
          </w:p>
          <w:p>
            <w:pPr>
              <w:pStyle w:val="TableParagraph"/>
              <w:ind w:right="2"/>
              <w:jc w:val="center"/>
              <w:rPr>
                <w:sz w:val="24"/>
              </w:rPr>
            </w:pPr>
            <w:r>
              <w:rPr>
                <w:spacing w:val="-10"/>
                <w:sz w:val="24"/>
              </w:rPr>
              <w:t>4</w:t>
            </w:r>
          </w:p>
        </w:tc>
        <w:tc>
          <w:tcPr>
            <w:tcW w:w="1163" w:type="dxa"/>
          </w:tcPr>
          <w:p>
            <w:pPr>
              <w:pStyle w:val="TableParagraph"/>
              <w:rPr>
                <w:i/>
                <w:sz w:val="24"/>
              </w:rPr>
            </w:pPr>
          </w:p>
          <w:p>
            <w:pPr>
              <w:pStyle w:val="TableParagraph"/>
              <w:spacing w:before="75"/>
              <w:rPr>
                <w:i/>
                <w:sz w:val="24"/>
              </w:rPr>
            </w:pPr>
          </w:p>
          <w:p>
            <w:pPr>
              <w:pStyle w:val="TableParagraph"/>
              <w:jc w:val="center"/>
              <w:rPr>
                <w:sz w:val="24"/>
              </w:rPr>
            </w:pPr>
            <w:r>
              <w:rPr>
                <w:spacing w:val="-10"/>
                <w:sz w:val="24"/>
              </w:rPr>
              <w:t>5</w:t>
            </w:r>
          </w:p>
        </w:tc>
      </w:tr>
      <w:tr>
        <w:trPr>
          <w:trHeight w:val="1787" w:hRule="atLeast"/>
        </w:trPr>
        <w:tc>
          <w:tcPr>
            <w:tcW w:w="538" w:type="dxa"/>
          </w:tcPr>
          <w:p>
            <w:pPr>
              <w:pStyle w:val="TableParagraph"/>
              <w:spacing w:line="270" w:lineRule="exact"/>
              <w:ind w:left="107"/>
              <w:rPr>
                <w:sz w:val="24"/>
              </w:rPr>
            </w:pPr>
            <w:r>
              <w:rPr>
                <w:spacing w:val="-5"/>
                <w:sz w:val="24"/>
              </w:rPr>
              <w:t>17</w:t>
            </w:r>
          </w:p>
        </w:tc>
        <w:tc>
          <w:tcPr>
            <w:tcW w:w="3968" w:type="dxa"/>
          </w:tcPr>
          <w:p>
            <w:pPr>
              <w:pStyle w:val="TableParagraph"/>
              <w:spacing w:line="276" w:lineRule="auto"/>
              <w:ind w:left="104" w:right="168"/>
              <w:rPr>
                <w:sz w:val="24"/>
              </w:rPr>
            </w:pPr>
            <w:r>
              <w:rPr>
                <w:sz w:val="24"/>
              </w:rPr>
              <w:t>Мне нравится, когда мы с моей семьей / опекунами отмечаем разные праздники, и у нас есть культурные</w:t>
            </w:r>
            <w:r>
              <w:rPr>
                <w:spacing w:val="-10"/>
                <w:sz w:val="24"/>
              </w:rPr>
              <w:t> </w:t>
            </w:r>
            <w:r>
              <w:rPr>
                <w:sz w:val="24"/>
              </w:rPr>
              <w:t>традиции,</w:t>
            </w:r>
            <w:r>
              <w:rPr>
                <w:spacing w:val="-11"/>
                <w:sz w:val="24"/>
              </w:rPr>
              <w:t> </w:t>
            </w:r>
            <w:r>
              <w:rPr>
                <w:sz w:val="24"/>
              </w:rPr>
              <w:t>о</w:t>
            </w:r>
            <w:r>
              <w:rPr>
                <w:spacing w:val="-9"/>
                <w:sz w:val="24"/>
              </w:rPr>
              <w:t> </w:t>
            </w:r>
            <w:r>
              <w:rPr>
                <w:sz w:val="24"/>
              </w:rPr>
              <w:t>которых</w:t>
            </w:r>
            <w:r>
              <w:rPr>
                <w:spacing w:val="-7"/>
                <w:sz w:val="24"/>
              </w:rPr>
              <w:t> </w:t>
            </w:r>
            <w:r>
              <w:rPr>
                <w:sz w:val="24"/>
              </w:rPr>
              <w:t>я </w:t>
            </w:r>
            <w:r>
              <w:rPr>
                <w:spacing w:val="-4"/>
                <w:sz w:val="24"/>
              </w:rPr>
              <w:t>знаю</w:t>
            </w:r>
          </w:p>
        </w:tc>
        <w:tc>
          <w:tcPr>
            <w:tcW w:w="1136" w:type="dxa"/>
          </w:tcPr>
          <w:p>
            <w:pPr>
              <w:pStyle w:val="TableParagraph"/>
              <w:rPr>
                <w:i/>
                <w:sz w:val="24"/>
              </w:rPr>
            </w:pPr>
          </w:p>
          <w:p>
            <w:pPr>
              <w:pStyle w:val="TableParagraph"/>
              <w:spacing w:before="78"/>
              <w:rPr>
                <w:i/>
                <w:sz w:val="24"/>
              </w:rPr>
            </w:pPr>
          </w:p>
          <w:p>
            <w:pPr>
              <w:pStyle w:val="TableParagraph"/>
              <w:ind w:left="8" w:right="3"/>
              <w:jc w:val="center"/>
              <w:rPr>
                <w:sz w:val="24"/>
              </w:rPr>
            </w:pPr>
            <w:r>
              <w:rPr>
                <w:spacing w:val="-10"/>
                <w:sz w:val="24"/>
              </w:rPr>
              <w:t>1</w:t>
            </w:r>
          </w:p>
        </w:tc>
        <w:tc>
          <w:tcPr>
            <w:tcW w:w="992" w:type="dxa"/>
          </w:tcPr>
          <w:p>
            <w:pPr>
              <w:pStyle w:val="TableParagraph"/>
              <w:rPr>
                <w:i/>
                <w:sz w:val="24"/>
              </w:rPr>
            </w:pPr>
          </w:p>
          <w:p>
            <w:pPr>
              <w:pStyle w:val="TableParagraph"/>
              <w:spacing w:before="78"/>
              <w:rPr>
                <w:i/>
                <w:sz w:val="24"/>
              </w:rPr>
            </w:pPr>
          </w:p>
          <w:p>
            <w:pPr>
              <w:pStyle w:val="TableParagraph"/>
              <w:ind w:left="2" w:right="2"/>
              <w:jc w:val="center"/>
              <w:rPr>
                <w:sz w:val="24"/>
              </w:rPr>
            </w:pPr>
            <w:r>
              <w:rPr>
                <w:spacing w:val="-10"/>
                <w:sz w:val="24"/>
              </w:rPr>
              <w:t>2</w:t>
            </w:r>
          </w:p>
        </w:tc>
        <w:tc>
          <w:tcPr>
            <w:tcW w:w="1137" w:type="dxa"/>
          </w:tcPr>
          <w:p>
            <w:pPr>
              <w:pStyle w:val="TableParagraph"/>
              <w:rPr>
                <w:i/>
                <w:sz w:val="24"/>
              </w:rPr>
            </w:pPr>
          </w:p>
          <w:p>
            <w:pPr>
              <w:pStyle w:val="TableParagraph"/>
              <w:spacing w:before="78"/>
              <w:rPr>
                <w:i/>
                <w:sz w:val="24"/>
              </w:rPr>
            </w:pPr>
          </w:p>
          <w:p>
            <w:pPr>
              <w:pStyle w:val="TableParagraph"/>
              <w:ind w:left="81" w:right="80"/>
              <w:jc w:val="center"/>
              <w:rPr>
                <w:sz w:val="24"/>
              </w:rPr>
            </w:pPr>
            <w:r>
              <w:rPr>
                <w:spacing w:val="-10"/>
                <w:sz w:val="24"/>
              </w:rPr>
              <w:t>3</w:t>
            </w:r>
          </w:p>
        </w:tc>
        <w:tc>
          <w:tcPr>
            <w:tcW w:w="992" w:type="dxa"/>
          </w:tcPr>
          <w:p>
            <w:pPr>
              <w:pStyle w:val="TableParagraph"/>
              <w:rPr>
                <w:i/>
                <w:sz w:val="24"/>
              </w:rPr>
            </w:pPr>
          </w:p>
          <w:p>
            <w:pPr>
              <w:pStyle w:val="TableParagraph"/>
              <w:spacing w:before="78"/>
              <w:rPr>
                <w:i/>
                <w:sz w:val="24"/>
              </w:rPr>
            </w:pPr>
          </w:p>
          <w:p>
            <w:pPr>
              <w:pStyle w:val="TableParagraph"/>
              <w:ind w:right="2"/>
              <w:jc w:val="center"/>
              <w:rPr>
                <w:sz w:val="24"/>
              </w:rPr>
            </w:pPr>
            <w:r>
              <w:rPr>
                <w:spacing w:val="-10"/>
                <w:sz w:val="24"/>
              </w:rPr>
              <w:t>4</w:t>
            </w:r>
          </w:p>
        </w:tc>
        <w:tc>
          <w:tcPr>
            <w:tcW w:w="1163" w:type="dxa"/>
          </w:tcPr>
          <w:p>
            <w:pPr>
              <w:pStyle w:val="TableParagraph"/>
              <w:rPr>
                <w:i/>
                <w:sz w:val="24"/>
              </w:rPr>
            </w:pPr>
          </w:p>
          <w:p>
            <w:pPr>
              <w:pStyle w:val="TableParagraph"/>
              <w:spacing w:before="78"/>
              <w:rPr>
                <w:i/>
                <w:sz w:val="24"/>
              </w:rPr>
            </w:pPr>
          </w:p>
          <w:p>
            <w:pPr>
              <w:pStyle w:val="TableParagraph"/>
              <w:jc w:val="center"/>
              <w:rPr>
                <w:sz w:val="24"/>
              </w:rPr>
            </w:pPr>
            <w:r>
              <w:rPr>
                <w:spacing w:val="-10"/>
                <w:sz w:val="24"/>
              </w:rPr>
              <w:t>5</w:t>
            </w:r>
          </w:p>
        </w:tc>
      </w:tr>
    </w:tbl>
    <w:p>
      <w:pPr>
        <w:pStyle w:val="TableParagraph"/>
        <w:spacing w:after="0"/>
        <w:jc w:val="center"/>
        <w:rPr>
          <w:sz w:val="24"/>
        </w:rPr>
        <w:sectPr>
          <w:type w:val="continuous"/>
          <w:pgSz w:w="11910" w:h="16840"/>
          <w:pgMar w:header="0" w:footer="970" w:top="1100" w:bottom="1220" w:left="1417" w:right="283"/>
        </w:sectPr>
      </w:pPr>
    </w:p>
    <w:p>
      <w:pPr>
        <w:pStyle w:val="Heading9"/>
        <w:spacing w:before="71"/>
        <w:ind w:left="0" w:right="279" w:firstLine="0"/>
        <w:jc w:val="center"/>
      </w:pPr>
      <w:r>
        <w:rPr/>
        <w:t>Для </w:t>
      </w:r>
      <w:r>
        <w:rPr>
          <w:spacing w:val="-2"/>
        </w:rPr>
        <w:t>подростков</w:t>
      </w:r>
    </w:p>
    <w:p>
      <w:pPr>
        <w:spacing w:line="240" w:lineRule="auto" w:before="271"/>
        <w:ind w:left="285" w:right="859" w:firstLine="0"/>
        <w:jc w:val="both"/>
        <w:rPr>
          <w:i/>
          <w:sz w:val="24"/>
        </w:rPr>
      </w:pPr>
      <w:r>
        <w:rPr>
          <w:i/>
          <w:sz w:val="24"/>
        </w:rPr>
        <w:t>Прочитайте утверждения и отметьте, насколько каждое из них относится к Вам. Выберите в</w:t>
      </w:r>
      <w:r>
        <w:rPr>
          <w:i/>
          <w:spacing w:val="-2"/>
          <w:sz w:val="24"/>
        </w:rPr>
        <w:t> </w:t>
      </w:r>
      <w:r>
        <w:rPr>
          <w:i/>
          <w:sz w:val="24"/>
        </w:rPr>
        <w:t>каждом</w:t>
      </w:r>
      <w:r>
        <w:rPr>
          <w:i/>
          <w:spacing w:val="-1"/>
          <w:sz w:val="24"/>
        </w:rPr>
        <w:t> </w:t>
      </w:r>
      <w:r>
        <w:rPr>
          <w:i/>
          <w:sz w:val="24"/>
        </w:rPr>
        <w:t>утверждении</w:t>
      </w:r>
      <w:r>
        <w:rPr>
          <w:i/>
          <w:spacing w:val="-1"/>
          <w:sz w:val="24"/>
        </w:rPr>
        <w:t> </w:t>
      </w:r>
      <w:r>
        <w:rPr>
          <w:i/>
          <w:sz w:val="24"/>
        </w:rPr>
        <w:t>наиболее подходящий</w:t>
      </w:r>
      <w:r>
        <w:rPr>
          <w:i/>
          <w:spacing w:val="-1"/>
          <w:sz w:val="24"/>
        </w:rPr>
        <w:t> </w:t>
      </w:r>
      <w:r>
        <w:rPr>
          <w:i/>
          <w:sz w:val="24"/>
        </w:rPr>
        <w:t>для</w:t>
      </w:r>
      <w:r>
        <w:rPr>
          <w:i/>
          <w:spacing w:val="-2"/>
          <w:sz w:val="24"/>
        </w:rPr>
        <w:t> </w:t>
      </w:r>
      <w:r>
        <w:rPr>
          <w:i/>
          <w:sz w:val="24"/>
        </w:rPr>
        <w:t>Вас вариант</w:t>
      </w:r>
      <w:r>
        <w:rPr>
          <w:i/>
          <w:spacing w:val="-2"/>
          <w:sz w:val="24"/>
        </w:rPr>
        <w:t> </w:t>
      </w:r>
      <w:r>
        <w:rPr>
          <w:i/>
          <w:sz w:val="24"/>
        </w:rPr>
        <w:t>и</w:t>
      </w:r>
      <w:r>
        <w:rPr>
          <w:i/>
          <w:spacing w:val="-1"/>
          <w:sz w:val="24"/>
        </w:rPr>
        <w:t> </w:t>
      </w:r>
      <w:r>
        <w:rPr>
          <w:i/>
          <w:sz w:val="24"/>
        </w:rPr>
        <w:t>обведите</w:t>
      </w:r>
      <w:r>
        <w:rPr>
          <w:i/>
          <w:spacing w:val="-2"/>
          <w:sz w:val="24"/>
        </w:rPr>
        <w:t> </w:t>
      </w:r>
      <w:r>
        <w:rPr>
          <w:i/>
          <w:sz w:val="24"/>
        </w:rPr>
        <w:t>в бланке соответствующий номер. Здесь нет правильных и неправильных ответов.</w:t>
      </w:r>
    </w:p>
    <w:p>
      <w:pPr>
        <w:pStyle w:val="BodyText"/>
        <w:spacing w:before="3"/>
        <w:ind w:left="0" w:right="0" w:firstLine="0"/>
        <w:jc w:val="left"/>
        <w:rPr>
          <w:i/>
          <w:sz w:val="18"/>
        </w:rPr>
      </w:pPr>
    </w:p>
    <w:tbl>
      <w:tblPr>
        <w:tblW w:w="0" w:type="auto"/>
        <w:jc w:val="left"/>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3668"/>
        <w:gridCol w:w="1119"/>
        <w:gridCol w:w="994"/>
        <w:gridCol w:w="1134"/>
        <w:gridCol w:w="1136"/>
        <w:gridCol w:w="1134"/>
      </w:tblGrid>
      <w:tr>
        <w:trPr>
          <w:trHeight w:val="1785" w:hRule="atLeast"/>
        </w:trPr>
        <w:tc>
          <w:tcPr>
            <w:tcW w:w="569" w:type="dxa"/>
          </w:tcPr>
          <w:p>
            <w:pPr>
              <w:pStyle w:val="TableParagraph"/>
              <w:spacing w:before="94"/>
              <w:rPr>
                <w:i/>
                <w:sz w:val="24"/>
              </w:rPr>
            </w:pPr>
          </w:p>
          <w:p>
            <w:pPr>
              <w:pStyle w:val="TableParagraph"/>
              <w:spacing w:line="448" w:lineRule="auto" w:before="1"/>
              <w:ind w:left="107" w:right="120"/>
              <w:rPr>
                <w:sz w:val="24"/>
              </w:rPr>
            </w:pPr>
            <w:r>
              <w:rPr>
                <w:spacing w:val="-10"/>
                <w:sz w:val="24"/>
              </w:rPr>
              <w:t>№ </w:t>
            </w:r>
            <w:r>
              <w:rPr>
                <w:spacing w:val="-4"/>
                <w:sz w:val="24"/>
              </w:rPr>
              <w:t>п/п</w:t>
            </w:r>
          </w:p>
        </w:tc>
        <w:tc>
          <w:tcPr>
            <w:tcW w:w="3668" w:type="dxa"/>
          </w:tcPr>
          <w:p>
            <w:pPr>
              <w:pStyle w:val="TableParagraph"/>
              <w:rPr>
                <w:i/>
                <w:sz w:val="24"/>
              </w:rPr>
            </w:pPr>
          </w:p>
          <w:p>
            <w:pPr>
              <w:pStyle w:val="TableParagraph"/>
              <w:rPr>
                <w:i/>
                <w:sz w:val="24"/>
              </w:rPr>
            </w:pPr>
          </w:p>
          <w:p>
            <w:pPr>
              <w:pStyle w:val="TableParagraph"/>
              <w:spacing w:before="59"/>
              <w:rPr>
                <w:i/>
                <w:sz w:val="24"/>
              </w:rPr>
            </w:pPr>
          </w:p>
          <w:p>
            <w:pPr>
              <w:pStyle w:val="TableParagraph"/>
              <w:ind w:left="107"/>
              <w:rPr>
                <w:sz w:val="24"/>
              </w:rPr>
            </w:pPr>
            <w:r>
              <w:rPr>
                <w:spacing w:val="-2"/>
                <w:sz w:val="24"/>
              </w:rPr>
              <w:t>Утверждение</w:t>
            </w:r>
          </w:p>
        </w:tc>
        <w:tc>
          <w:tcPr>
            <w:tcW w:w="1119" w:type="dxa"/>
          </w:tcPr>
          <w:p>
            <w:pPr>
              <w:pStyle w:val="TableParagraph"/>
              <w:spacing w:before="34"/>
              <w:rPr>
                <w:i/>
                <w:sz w:val="24"/>
              </w:rPr>
            </w:pPr>
          </w:p>
          <w:p>
            <w:pPr>
              <w:pStyle w:val="TableParagraph"/>
              <w:spacing w:line="276" w:lineRule="auto" w:before="1"/>
              <w:ind w:left="119" w:right="112" w:firstLine="67"/>
              <w:jc w:val="both"/>
              <w:rPr>
                <w:i/>
                <w:sz w:val="24"/>
              </w:rPr>
            </w:pPr>
            <w:r>
              <w:rPr>
                <w:i/>
                <w:spacing w:val="-2"/>
                <w:sz w:val="24"/>
              </w:rPr>
              <w:t>Полнос </w:t>
            </w:r>
            <w:r>
              <w:rPr>
                <w:i/>
                <w:sz w:val="24"/>
              </w:rPr>
              <w:t>тью не </w:t>
            </w:r>
            <w:r>
              <w:rPr>
                <w:i/>
                <w:spacing w:val="-2"/>
                <w:sz w:val="24"/>
              </w:rPr>
              <w:t>согласен</w:t>
            </w:r>
          </w:p>
        </w:tc>
        <w:tc>
          <w:tcPr>
            <w:tcW w:w="994" w:type="dxa"/>
          </w:tcPr>
          <w:p>
            <w:pPr>
              <w:pStyle w:val="TableParagraph"/>
              <w:spacing w:line="276" w:lineRule="auto" w:before="152"/>
              <w:ind w:left="114" w:right="110" w:firstLine="2"/>
              <w:jc w:val="center"/>
              <w:rPr>
                <w:i/>
                <w:sz w:val="24"/>
              </w:rPr>
            </w:pPr>
            <w:r>
              <w:rPr>
                <w:i/>
                <w:spacing w:val="-2"/>
                <w:sz w:val="24"/>
              </w:rPr>
              <w:t>Скорее </w:t>
            </w:r>
            <w:r>
              <w:rPr>
                <w:i/>
                <w:spacing w:val="-6"/>
                <w:sz w:val="24"/>
              </w:rPr>
              <w:t>не </w:t>
            </w:r>
            <w:r>
              <w:rPr>
                <w:i/>
                <w:spacing w:val="-2"/>
                <w:sz w:val="24"/>
              </w:rPr>
              <w:t>согласе </w:t>
            </w:r>
            <w:r>
              <w:rPr>
                <w:i/>
                <w:spacing w:val="-10"/>
                <w:sz w:val="24"/>
              </w:rPr>
              <w:t>н</w:t>
            </w:r>
          </w:p>
        </w:tc>
        <w:tc>
          <w:tcPr>
            <w:tcW w:w="1134" w:type="dxa"/>
          </w:tcPr>
          <w:p>
            <w:pPr>
              <w:pStyle w:val="TableParagraph"/>
              <w:spacing w:line="276" w:lineRule="auto"/>
              <w:ind w:left="125" w:right="121" w:firstLine="1"/>
              <w:jc w:val="center"/>
              <w:rPr>
                <w:i/>
                <w:sz w:val="24"/>
              </w:rPr>
            </w:pPr>
            <w:r>
              <w:rPr>
                <w:i/>
                <w:sz w:val="24"/>
              </w:rPr>
              <w:t>В чем- </w:t>
            </w:r>
            <w:r>
              <w:rPr>
                <w:i/>
                <w:spacing w:val="-6"/>
                <w:sz w:val="24"/>
              </w:rPr>
              <w:t>то </w:t>
            </w:r>
            <w:r>
              <w:rPr>
                <w:i/>
                <w:spacing w:val="-2"/>
                <w:sz w:val="24"/>
              </w:rPr>
              <w:t>согласен</w:t>
            </w:r>
          </w:p>
          <w:p>
            <w:pPr>
              <w:pStyle w:val="TableParagraph"/>
              <w:spacing w:line="276" w:lineRule="auto"/>
              <w:ind w:left="188" w:right="181" w:hanging="1"/>
              <w:jc w:val="center"/>
              <w:rPr>
                <w:i/>
                <w:sz w:val="24"/>
              </w:rPr>
            </w:pPr>
            <w:r>
              <w:rPr>
                <w:i/>
                <w:sz w:val="24"/>
              </w:rPr>
              <w:t>,</w:t>
            </w:r>
            <w:r>
              <w:rPr>
                <w:i/>
                <w:spacing w:val="-11"/>
                <w:sz w:val="24"/>
              </w:rPr>
              <w:t> </w:t>
            </w:r>
            <w:r>
              <w:rPr>
                <w:i/>
                <w:sz w:val="24"/>
              </w:rPr>
              <w:t>в</w:t>
            </w:r>
            <w:r>
              <w:rPr>
                <w:i/>
                <w:spacing w:val="-12"/>
                <w:sz w:val="24"/>
              </w:rPr>
              <w:t> </w:t>
            </w:r>
            <w:r>
              <w:rPr>
                <w:i/>
                <w:sz w:val="24"/>
              </w:rPr>
              <w:t>чем- то </w:t>
            </w:r>
            <w:r>
              <w:rPr>
                <w:i/>
                <w:spacing w:val="-5"/>
                <w:sz w:val="24"/>
              </w:rPr>
              <w:t>нет</w:t>
            </w:r>
          </w:p>
        </w:tc>
        <w:tc>
          <w:tcPr>
            <w:tcW w:w="1136" w:type="dxa"/>
          </w:tcPr>
          <w:p>
            <w:pPr>
              <w:pStyle w:val="TableParagraph"/>
              <w:spacing w:before="193"/>
              <w:rPr>
                <w:i/>
                <w:sz w:val="24"/>
              </w:rPr>
            </w:pPr>
          </w:p>
          <w:p>
            <w:pPr>
              <w:pStyle w:val="TableParagraph"/>
              <w:spacing w:line="278" w:lineRule="auto"/>
              <w:ind w:left="125" w:right="120" w:firstLine="76"/>
              <w:rPr>
                <w:i/>
                <w:sz w:val="24"/>
              </w:rPr>
            </w:pPr>
            <w:r>
              <w:rPr>
                <w:i/>
                <w:spacing w:val="-2"/>
                <w:sz w:val="24"/>
              </w:rPr>
              <w:t>Скорее согласен</w:t>
            </w:r>
          </w:p>
        </w:tc>
        <w:tc>
          <w:tcPr>
            <w:tcW w:w="1134" w:type="dxa"/>
          </w:tcPr>
          <w:p>
            <w:pPr>
              <w:pStyle w:val="TableParagraph"/>
              <w:spacing w:before="34"/>
              <w:rPr>
                <w:i/>
                <w:sz w:val="24"/>
              </w:rPr>
            </w:pPr>
          </w:p>
          <w:p>
            <w:pPr>
              <w:pStyle w:val="TableParagraph"/>
              <w:spacing w:line="276" w:lineRule="auto" w:before="1"/>
              <w:ind w:left="419" w:right="101" w:hanging="317"/>
              <w:rPr>
                <w:i/>
                <w:sz w:val="24"/>
              </w:rPr>
            </w:pPr>
            <w:r>
              <w:rPr>
                <w:i/>
                <w:spacing w:val="-2"/>
                <w:sz w:val="24"/>
              </w:rPr>
              <w:t>Полност </w:t>
            </w:r>
            <w:r>
              <w:rPr>
                <w:i/>
                <w:spacing w:val="-6"/>
                <w:sz w:val="24"/>
              </w:rPr>
              <w:t>ью</w:t>
            </w:r>
          </w:p>
          <w:p>
            <w:pPr>
              <w:pStyle w:val="TableParagraph"/>
              <w:spacing w:before="1"/>
              <w:ind w:left="122"/>
              <w:rPr>
                <w:i/>
                <w:sz w:val="24"/>
              </w:rPr>
            </w:pPr>
            <w:r>
              <w:rPr>
                <w:i/>
                <w:spacing w:val="-2"/>
                <w:sz w:val="24"/>
              </w:rPr>
              <w:t>согласен</w:t>
            </w:r>
          </w:p>
        </w:tc>
      </w:tr>
      <w:tr>
        <w:trPr>
          <w:trHeight w:val="835" w:hRule="atLeast"/>
        </w:trPr>
        <w:tc>
          <w:tcPr>
            <w:tcW w:w="569" w:type="dxa"/>
          </w:tcPr>
          <w:p>
            <w:pPr>
              <w:pStyle w:val="TableParagraph"/>
              <w:spacing w:line="273" w:lineRule="exact"/>
              <w:ind w:left="107"/>
              <w:rPr>
                <w:sz w:val="24"/>
              </w:rPr>
            </w:pPr>
            <w:r>
              <w:rPr>
                <w:spacing w:val="-10"/>
                <w:sz w:val="24"/>
              </w:rPr>
              <w:t>1</w:t>
            </w:r>
          </w:p>
        </w:tc>
        <w:tc>
          <w:tcPr>
            <w:tcW w:w="3668" w:type="dxa"/>
          </w:tcPr>
          <w:p>
            <w:pPr>
              <w:pStyle w:val="TableParagraph"/>
              <w:spacing w:line="276" w:lineRule="auto"/>
              <w:ind w:left="107"/>
              <w:rPr>
                <w:sz w:val="24"/>
              </w:rPr>
            </w:pPr>
            <w:r>
              <w:rPr>
                <w:sz w:val="24"/>
              </w:rPr>
              <w:t>Я</w:t>
            </w:r>
            <w:r>
              <w:rPr>
                <w:spacing w:val="-9"/>
                <w:sz w:val="24"/>
              </w:rPr>
              <w:t> </w:t>
            </w:r>
            <w:r>
              <w:rPr>
                <w:sz w:val="24"/>
              </w:rPr>
              <w:t>умею</w:t>
            </w:r>
            <w:r>
              <w:rPr>
                <w:spacing w:val="-11"/>
                <w:sz w:val="24"/>
              </w:rPr>
              <w:t> </w:t>
            </w:r>
            <w:r>
              <w:rPr>
                <w:sz w:val="24"/>
              </w:rPr>
              <w:t>ладить</w:t>
            </w:r>
            <w:r>
              <w:rPr>
                <w:spacing w:val="-10"/>
                <w:sz w:val="24"/>
              </w:rPr>
              <w:t> </w:t>
            </w:r>
            <w:r>
              <w:rPr>
                <w:sz w:val="24"/>
              </w:rPr>
              <w:t>с</w:t>
            </w:r>
            <w:r>
              <w:rPr>
                <w:spacing w:val="-12"/>
                <w:sz w:val="24"/>
              </w:rPr>
              <w:t> </w:t>
            </w:r>
            <w:r>
              <w:rPr>
                <w:sz w:val="24"/>
              </w:rPr>
              <w:t>окружающими </w:t>
            </w:r>
            <w:r>
              <w:rPr>
                <w:spacing w:val="-2"/>
                <w:sz w:val="24"/>
              </w:rPr>
              <w:t>людьми</w:t>
            </w:r>
          </w:p>
        </w:tc>
        <w:tc>
          <w:tcPr>
            <w:tcW w:w="1119" w:type="dxa"/>
          </w:tcPr>
          <w:p>
            <w:pPr>
              <w:pStyle w:val="TableParagraph"/>
              <w:spacing w:before="155"/>
              <w:ind w:left="8"/>
              <w:jc w:val="center"/>
              <w:rPr>
                <w:sz w:val="24"/>
              </w:rPr>
            </w:pPr>
            <w:r>
              <w:rPr>
                <w:spacing w:val="-10"/>
                <w:sz w:val="24"/>
              </w:rPr>
              <w:t>1</w:t>
            </w:r>
          </w:p>
        </w:tc>
        <w:tc>
          <w:tcPr>
            <w:tcW w:w="994" w:type="dxa"/>
          </w:tcPr>
          <w:p>
            <w:pPr>
              <w:pStyle w:val="TableParagraph"/>
              <w:spacing w:before="155"/>
              <w:ind w:left="7" w:right="4"/>
              <w:jc w:val="center"/>
              <w:rPr>
                <w:sz w:val="24"/>
              </w:rPr>
            </w:pPr>
            <w:r>
              <w:rPr>
                <w:spacing w:val="-10"/>
                <w:sz w:val="24"/>
              </w:rPr>
              <w:t>2</w:t>
            </w:r>
          </w:p>
        </w:tc>
        <w:tc>
          <w:tcPr>
            <w:tcW w:w="1134" w:type="dxa"/>
          </w:tcPr>
          <w:p>
            <w:pPr>
              <w:pStyle w:val="TableParagraph"/>
              <w:spacing w:before="155"/>
              <w:ind w:left="7" w:right="1"/>
              <w:jc w:val="center"/>
              <w:rPr>
                <w:sz w:val="24"/>
              </w:rPr>
            </w:pPr>
            <w:r>
              <w:rPr>
                <w:spacing w:val="-10"/>
                <w:sz w:val="24"/>
              </w:rPr>
              <w:t>3</w:t>
            </w:r>
          </w:p>
        </w:tc>
        <w:tc>
          <w:tcPr>
            <w:tcW w:w="1136" w:type="dxa"/>
          </w:tcPr>
          <w:p>
            <w:pPr>
              <w:pStyle w:val="TableParagraph"/>
              <w:spacing w:before="155"/>
              <w:ind w:left="8" w:right="5"/>
              <w:jc w:val="center"/>
              <w:rPr>
                <w:sz w:val="24"/>
              </w:rPr>
            </w:pPr>
            <w:r>
              <w:rPr>
                <w:spacing w:val="-10"/>
                <w:sz w:val="24"/>
              </w:rPr>
              <w:t>4</w:t>
            </w:r>
          </w:p>
        </w:tc>
        <w:tc>
          <w:tcPr>
            <w:tcW w:w="1134" w:type="dxa"/>
          </w:tcPr>
          <w:p>
            <w:pPr>
              <w:pStyle w:val="TableParagraph"/>
              <w:spacing w:before="155"/>
              <w:ind w:left="6" w:right="7"/>
              <w:jc w:val="center"/>
              <w:rPr>
                <w:sz w:val="24"/>
              </w:rPr>
            </w:pPr>
            <w:r>
              <w:rPr>
                <w:spacing w:val="-10"/>
                <w:sz w:val="24"/>
              </w:rPr>
              <w:t>5</w:t>
            </w:r>
          </w:p>
        </w:tc>
      </w:tr>
      <w:tr>
        <w:trPr>
          <w:trHeight w:val="834" w:hRule="atLeast"/>
        </w:trPr>
        <w:tc>
          <w:tcPr>
            <w:tcW w:w="569" w:type="dxa"/>
          </w:tcPr>
          <w:p>
            <w:pPr>
              <w:pStyle w:val="TableParagraph"/>
              <w:spacing w:line="273" w:lineRule="exact"/>
              <w:ind w:left="107"/>
              <w:rPr>
                <w:sz w:val="24"/>
              </w:rPr>
            </w:pPr>
            <w:r>
              <w:rPr>
                <w:spacing w:val="-10"/>
                <w:sz w:val="24"/>
              </w:rPr>
              <w:t>2</w:t>
            </w:r>
          </w:p>
        </w:tc>
        <w:tc>
          <w:tcPr>
            <w:tcW w:w="3668" w:type="dxa"/>
          </w:tcPr>
          <w:p>
            <w:pPr>
              <w:pStyle w:val="TableParagraph"/>
              <w:spacing w:line="276" w:lineRule="auto"/>
              <w:ind w:left="107"/>
              <w:rPr>
                <w:sz w:val="24"/>
              </w:rPr>
            </w:pPr>
            <w:r>
              <w:rPr>
                <w:sz w:val="24"/>
              </w:rPr>
              <w:t>Для</w:t>
            </w:r>
            <w:r>
              <w:rPr>
                <w:spacing w:val="-13"/>
                <w:sz w:val="24"/>
              </w:rPr>
              <w:t> </w:t>
            </w:r>
            <w:r>
              <w:rPr>
                <w:sz w:val="24"/>
              </w:rPr>
              <w:t>меня</w:t>
            </w:r>
            <w:r>
              <w:rPr>
                <w:spacing w:val="-13"/>
                <w:sz w:val="24"/>
              </w:rPr>
              <w:t> </w:t>
            </w:r>
            <w:r>
              <w:rPr>
                <w:sz w:val="24"/>
              </w:rPr>
              <w:t>важно</w:t>
            </w:r>
            <w:r>
              <w:rPr>
                <w:spacing w:val="-13"/>
                <w:sz w:val="24"/>
              </w:rPr>
              <w:t> </w:t>
            </w:r>
            <w:r>
              <w:rPr>
                <w:sz w:val="24"/>
              </w:rPr>
              <w:t>получить </w:t>
            </w:r>
            <w:r>
              <w:rPr>
                <w:spacing w:val="-2"/>
                <w:sz w:val="24"/>
              </w:rPr>
              <w:t>образование</w:t>
            </w:r>
          </w:p>
        </w:tc>
        <w:tc>
          <w:tcPr>
            <w:tcW w:w="1119" w:type="dxa"/>
          </w:tcPr>
          <w:p>
            <w:pPr>
              <w:pStyle w:val="TableParagraph"/>
              <w:spacing w:before="155"/>
              <w:ind w:left="8"/>
              <w:jc w:val="center"/>
              <w:rPr>
                <w:sz w:val="24"/>
              </w:rPr>
            </w:pPr>
            <w:r>
              <w:rPr>
                <w:spacing w:val="-10"/>
                <w:sz w:val="24"/>
              </w:rPr>
              <w:t>1</w:t>
            </w:r>
          </w:p>
        </w:tc>
        <w:tc>
          <w:tcPr>
            <w:tcW w:w="994" w:type="dxa"/>
          </w:tcPr>
          <w:p>
            <w:pPr>
              <w:pStyle w:val="TableParagraph"/>
              <w:spacing w:before="155"/>
              <w:ind w:left="7" w:right="4"/>
              <w:jc w:val="center"/>
              <w:rPr>
                <w:sz w:val="24"/>
              </w:rPr>
            </w:pPr>
            <w:r>
              <w:rPr>
                <w:spacing w:val="-10"/>
                <w:sz w:val="24"/>
              </w:rPr>
              <w:t>2</w:t>
            </w:r>
          </w:p>
        </w:tc>
        <w:tc>
          <w:tcPr>
            <w:tcW w:w="1134" w:type="dxa"/>
          </w:tcPr>
          <w:p>
            <w:pPr>
              <w:pStyle w:val="TableParagraph"/>
              <w:spacing w:before="155"/>
              <w:ind w:left="7" w:right="1"/>
              <w:jc w:val="center"/>
              <w:rPr>
                <w:sz w:val="24"/>
              </w:rPr>
            </w:pPr>
            <w:r>
              <w:rPr>
                <w:spacing w:val="-10"/>
                <w:sz w:val="24"/>
              </w:rPr>
              <w:t>3</w:t>
            </w:r>
          </w:p>
        </w:tc>
        <w:tc>
          <w:tcPr>
            <w:tcW w:w="1136" w:type="dxa"/>
          </w:tcPr>
          <w:p>
            <w:pPr>
              <w:pStyle w:val="TableParagraph"/>
              <w:spacing w:before="155"/>
              <w:ind w:left="8" w:right="5"/>
              <w:jc w:val="center"/>
              <w:rPr>
                <w:sz w:val="24"/>
              </w:rPr>
            </w:pPr>
            <w:r>
              <w:rPr>
                <w:spacing w:val="-10"/>
                <w:sz w:val="24"/>
              </w:rPr>
              <w:t>4</w:t>
            </w:r>
          </w:p>
        </w:tc>
        <w:tc>
          <w:tcPr>
            <w:tcW w:w="1134" w:type="dxa"/>
          </w:tcPr>
          <w:p>
            <w:pPr>
              <w:pStyle w:val="TableParagraph"/>
              <w:spacing w:before="155"/>
              <w:ind w:left="6" w:right="7"/>
              <w:jc w:val="center"/>
              <w:rPr>
                <w:sz w:val="24"/>
              </w:rPr>
            </w:pPr>
            <w:r>
              <w:rPr>
                <w:spacing w:val="-10"/>
                <w:sz w:val="24"/>
              </w:rPr>
              <w:t>5</w:t>
            </w:r>
          </w:p>
        </w:tc>
      </w:tr>
      <w:tr>
        <w:trPr>
          <w:trHeight w:val="834" w:hRule="atLeast"/>
        </w:trPr>
        <w:tc>
          <w:tcPr>
            <w:tcW w:w="569" w:type="dxa"/>
          </w:tcPr>
          <w:p>
            <w:pPr>
              <w:pStyle w:val="TableParagraph"/>
              <w:spacing w:line="273" w:lineRule="exact"/>
              <w:ind w:left="107"/>
              <w:rPr>
                <w:sz w:val="24"/>
              </w:rPr>
            </w:pPr>
            <w:r>
              <w:rPr>
                <w:spacing w:val="-10"/>
                <w:sz w:val="24"/>
              </w:rPr>
              <w:t>3</w:t>
            </w:r>
          </w:p>
        </w:tc>
        <w:tc>
          <w:tcPr>
            <w:tcW w:w="3668" w:type="dxa"/>
          </w:tcPr>
          <w:p>
            <w:pPr>
              <w:pStyle w:val="TableParagraph"/>
              <w:spacing w:line="276" w:lineRule="auto"/>
              <w:ind w:left="107" w:right="176"/>
              <w:rPr>
                <w:sz w:val="24"/>
              </w:rPr>
            </w:pPr>
            <w:r>
              <w:rPr>
                <w:sz w:val="24"/>
              </w:rPr>
              <w:t>Я</w:t>
            </w:r>
            <w:r>
              <w:rPr>
                <w:spacing w:val="-6"/>
                <w:sz w:val="24"/>
              </w:rPr>
              <w:t> </w:t>
            </w:r>
            <w:r>
              <w:rPr>
                <w:sz w:val="24"/>
              </w:rPr>
              <w:t>знаю,</w:t>
            </w:r>
            <w:r>
              <w:rPr>
                <w:spacing w:val="-9"/>
                <w:sz w:val="24"/>
              </w:rPr>
              <w:t> </w:t>
            </w:r>
            <w:r>
              <w:rPr>
                <w:sz w:val="24"/>
              </w:rPr>
              <w:t>как</w:t>
            </w:r>
            <w:r>
              <w:rPr>
                <w:spacing w:val="-6"/>
                <w:sz w:val="24"/>
              </w:rPr>
              <w:t> </w:t>
            </w:r>
            <w:r>
              <w:rPr>
                <w:sz w:val="24"/>
              </w:rPr>
              <w:t>вести</w:t>
            </w:r>
            <w:r>
              <w:rPr>
                <w:spacing w:val="-6"/>
                <w:sz w:val="24"/>
              </w:rPr>
              <w:t> </w:t>
            </w:r>
            <w:r>
              <w:rPr>
                <w:sz w:val="24"/>
              </w:rPr>
              <w:t>себя</w:t>
            </w:r>
            <w:r>
              <w:rPr>
                <w:spacing w:val="-5"/>
                <w:sz w:val="24"/>
              </w:rPr>
              <w:t> </w:t>
            </w:r>
            <w:r>
              <w:rPr>
                <w:sz w:val="24"/>
              </w:rPr>
              <w:t>с</w:t>
            </w:r>
            <w:r>
              <w:rPr>
                <w:spacing w:val="-7"/>
                <w:sz w:val="24"/>
              </w:rPr>
              <w:t> </w:t>
            </w:r>
            <w:r>
              <w:rPr>
                <w:sz w:val="24"/>
              </w:rPr>
              <w:t>людьми в разных ситуациях</w:t>
            </w:r>
          </w:p>
        </w:tc>
        <w:tc>
          <w:tcPr>
            <w:tcW w:w="1119" w:type="dxa"/>
          </w:tcPr>
          <w:p>
            <w:pPr>
              <w:pStyle w:val="TableParagraph"/>
              <w:spacing w:before="155"/>
              <w:ind w:left="8"/>
              <w:jc w:val="center"/>
              <w:rPr>
                <w:sz w:val="24"/>
              </w:rPr>
            </w:pPr>
            <w:r>
              <w:rPr>
                <w:spacing w:val="-10"/>
                <w:sz w:val="24"/>
              </w:rPr>
              <w:t>1</w:t>
            </w:r>
          </w:p>
        </w:tc>
        <w:tc>
          <w:tcPr>
            <w:tcW w:w="994" w:type="dxa"/>
          </w:tcPr>
          <w:p>
            <w:pPr>
              <w:pStyle w:val="TableParagraph"/>
              <w:spacing w:before="155"/>
              <w:ind w:left="7" w:right="4"/>
              <w:jc w:val="center"/>
              <w:rPr>
                <w:sz w:val="24"/>
              </w:rPr>
            </w:pPr>
            <w:r>
              <w:rPr>
                <w:spacing w:val="-10"/>
                <w:sz w:val="24"/>
              </w:rPr>
              <w:t>2</w:t>
            </w:r>
          </w:p>
        </w:tc>
        <w:tc>
          <w:tcPr>
            <w:tcW w:w="1134" w:type="dxa"/>
          </w:tcPr>
          <w:p>
            <w:pPr>
              <w:pStyle w:val="TableParagraph"/>
              <w:spacing w:before="155"/>
              <w:ind w:left="7" w:right="1"/>
              <w:jc w:val="center"/>
              <w:rPr>
                <w:sz w:val="24"/>
              </w:rPr>
            </w:pPr>
            <w:r>
              <w:rPr>
                <w:spacing w:val="-10"/>
                <w:sz w:val="24"/>
              </w:rPr>
              <w:t>3</w:t>
            </w:r>
          </w:p>
        </w:tc>
        <w:tc>
          <w:tcPr>
            <w:tcW w:w="1136" w:type="dxa"/>
          </w:tcPr>
          <w:p>
            <w:pPr>
              <w:pStyle w:val="TableParagraph"/>
              <w:spacing w:before="155"/>
              <w:ind w:left="8" w:right="5"/>
              <w:jc w:val="center"/>
              <w:rPr>
                <w:sz w:val="24"/>
              </w:rPr>
            </w:pPr>
            <w:r>
              <w:rPr>
                <w:spacing w:val="-10"/>
                <w:sz w:val="24"/>
              </w:rPr>
              <w:t>4</w:t>
            </w:r>
          </w:p>
        </w:tc>
        <w:tc>
          <w:tcPr>
            <w:tcW w:w="1134" w:type="dxa"/>
          </w:tcPr>
          <w:p>
            <w:pPr>
              <w:pStyle w:val="TableParagraph"/>
              <w:spacing w:before="155"/>
              <w:ind w:left="6" w:right="7"/>
              <w:jc w:val="center"/>
              <w:rPr>
                <w:sz w:val="24"/>
              </w:rPr>
            </w:pPr>
            <w:r>
              <w:rPr>
                <w:spacing w:val="-10"/>
                <w:sz w:val="24"/>
              </w:rPr>
              <w:t>5</w:t>
            </w:r>
          </w:p>
        </w:tc>
      </w:tr>
      <w:tr>
        <w:trPr>
          <w:trHeight w:val="834" w:hRule="atLeast"/>
        </w:trPr>
        <w:tc>
          <w:tcPr>
            <w:tcW w:w="569" w:type="dxa"/>
          </w:tcPr>
          <w:p>
            <w:pPr>
              <w:pStyle w:val="TableParagraph"/>
              <w:spacing w:line="273" w:lineRule="exact"/>
              <w:ind w:left="107"/>
              <w:rPr>
                <w:sz w:val="24"/>
              </w:rPr>
            </w:pPr>
            <w:r>
              <w:rPr>
                <w:spacing w:val="-10"/>
                <w:sz w:val="24"/>
              </w:rPr>
              <w:t>4</w:t>
            </w:r>
          </w:p>
        </w:tc>
        <w:tc>
          <w:tcPr>
            <w:tcW w:w="3668" w:type="dxa"/>
          </w:tcPr>
          <w:p>
            <w:pPr>
              <w:pStyle w:val="TableParagraph"/>
              <w:spacing w:line="276" w:lineRule="auto"/>
              <w:ind w:left="107"/>
              <w:rPr>
                <w:sz w:val="24"/>
              </w:rPr>
            </w:pPr>
            <w:r>
              <w:rPr>
                <w:sz w:val="24"/>
              </w:rPr>
              <w:t>Мои родители/опекуны действительно</w:t>
            </w:r>
            <w:r>
              <w:rPr>
                <w:spacing w:val="-15"/>
                <w:sz w:val="24"/>
              </w:rPr>
              <w:t> </w:t>
            </w:r>
            <w:r>
              <w:rPr>
                <w:sz w:val="24"/>
              </w:rPr>
              <w:t>заботятся</w:t>
            </w:r>
            <w:r>
              <w:rPr>
                <w:spacing w:val="-13"/>
                <w:sz w:val="24"/>
              </w:rPr>
              <w:t> </w:t>
            </w:r>
            <w:r>
              <w:rPr>
                <w:sz w:val="24"/>
              </w:rPr>
              <w:t>обо</w:t>
            </w:r>
            <w:r>
              <w:rPr>
                <w:spacing w:val="-13"/>
                <w:sz w:val="24"/>
              </w:rPr>
              <w:t> </w:t>
            </w:r>
            <w:r>
              <w:rPr>
                <w:sz w:val="24"/>
              </w:rPr>
              <w:t>мне</w:t>
            </w:r>
          </w:p>
        </w:tc>
        <w:tc>
          <w:tcPr>
            <w:tcW w:w="1119" w:type="dxa"/>
          </w:tcPr>
          <w:p>
            <w:pPr>
              <w:pStyle w:val="TableParagraph"/>
              <w:spacing w:before="155"/>
              <w:ind w:left="8"/>
              <w:jc w:val="center"/>
              <w:rPr>
                <w:sz w:val="24"/>
              </w:rPr>
            </w:pPr>
            <w:r>
              <w:rPr>
                <w:spacing w:val="-10"/>
                <w:sz w:val="24"/>
              </w:rPr>
              <w:t>1</w:t>
            </w:r>
          </w:p>
        </w:tc>
        <w:tc>
          <w:tcPr>
            <w:tcW w:w="994" w:type="dxa"/>
          </w:tcPr>
          <w:p>
            <w:pPr>
              <w:pStyle w:val="TableParagraph"/>
              <w:spacing w:before="155"/>
              <w:ind w:left="7" w:right="4"/>
              <w:jc w:val="center"/>
              <w:rPr>
                <w:sz w:val="24"/>
              </w:rPr>
            </w:pPr>
            <w:r>
              <w:rPr>
                <w:spacing w:val="-10"/>
                <w:sz w:val="24"/>
              </w:rPr>
              <w:t>2</w:t>
            </w:r>
          </w:p>
        </w:tc>
        <w:tc>
          <w:tcPr>
            <w:tcW w:w="1134" w:type="dxa"/>
          </w:tcPr>
          <w:p>
            <w:pPr>
              <w:pStyle w:val="TableParagraph"/>
              <w:spacing w:before="155"/>
              <w:ind w:left="7" w:right="1"/>
              <w:jc w:val="center"/>
              <w:rPr>
                <w:sz w:val="24"/>
              </w:rPr>
            </w:pPr>
            <w:r>
              <w:rPr>
                <w:spacing w:val="-10"/>
                <w:sz w:val="24"/>
              </w:rPr>
              <w:t>3</w:t>
            </w:r>
          </w:p>
        </w:tc>
        <w:tc>
          <w:tcPr>
            <w:tcW w:w="1136" w:type="dxa"/>
          </w:tcPr>
          <w:p>
            <w:pPr>
              <w:pStyle w:val="TableParagraph"/>
              <w:spacing w:before="155"/>
              <w:ind w:left="8" w:right="5"/>
              <w:jc w:val="center"/>
              <w:rPr>
                <w:sz w:val="24"/>
              </w:rPr>
            </w:pPr>
            <w:r>
              <w:rPr>
                <w:spacing w:val="-10"/>
                <w:sz w:val="24"/>
              </w:rPr>
              <w:t>4</w:t>
            </w:r>
          </w:p>
        </w:tc>
        <w:tc>
          <w:tcPr>
            <w:tcW w:w="1134" w:type="dxa"/>
          </w:tcPr>
          <w:p>
            <w:pPr>
              <w:pStyle w:val="TableParagraph"/>
              <w:spacing w:before="155"/>
              <w:ind w:left="6" w:right="7"/>
              <w:jc w:val="center"/>
              <w:rPr>
                <w:sz w:val="24"/>
              </w:rPr>
            </w:pPr>
            <w:r>
              <w:rPr>
                <w:spacing w:val="-10"/>
                <w:sz w:val="24"/>
              </w:rPr>
              <w:t>5</w:t>
            </w:r>
          </w:p>
        </w:tc>
      </w:tr>
      <w:tr>
        <w:trPr>
          <w:trHeight w:val="835" w:hRule="atLeast"/>
        </w:trPr>
        <w:tc>
          <w:tcPr>
            <w:tcW w:w="569" w:type="dxa"/>
          </w:tcPr>
          <w:p>
            <w:pPr>
              <w:pStyle w:val="TableParagraph"/>
              <w:spacing w:line="273" w:lineRule="exact"/>
              <w:ind w:left="107"/>
              <w:rPr>
                <w:sz w:val="24"/>
              </w:rPr>
            </w:pPr>
            <w:r>
              <w:rPr>
                <w:spacing w:val="-10"/>
                <w:sz w:val="24"/>
              </w:rPr>
              <w:t>5</w:t>
            </w:r>
          </w:p>
        </w:tc>
        <w:tc>
          <w:tcPr>
            <w:tcW w:w="3668" w:type="dxa"/>
          </w:tcPr>
          <w:p>
            <w:pPr>
              <w:pStyle w:val="TableParagraph"/>
              <w:spacing w:line="276" w:lineRule="auto"/>
              <w:ind w:left="107"/>
              <w:rPr>
                <w:sz w:val="24"/>
              </w:rPr>
            </w:pPr>
            <w:r>
              <w:rPr>
                <w:sz w:val="24"/>
              </w:rPr>
              <w:t>Мои</w:t>
            </w:r>
            <w:r>
              <w:rPr>
                <w:spacing w:val="-15"/>
                <w:sz w:val="24"/>
              </w:rPr>
              <w:t> </w:t>
            </w:r>
            <w:r>
              <w:rPr>
                <w:sz w:val="24"/>
              </w:rPr>
              <w:t>родители/опекуны</w:t>
            </w:r>
            <w:r>
              <w:rPr>
                <w:spacing w:val="-15"/>
                <w:sz w:val="24"/>
              </w:rPr>
              <w:t> </w:t>
            </w:r>
            <w:r>
              <w:rPr>
                <w:sz w:val="24"/>
              </w:rPr>
              <w:t>много знают обо мне</w:t>
            </w:r>
          </w:p>
        </w:tc>
        <w:tc>
          <w:tcPr>
            <w:tcW w:w="1119" w:type="dxa"/>
          </w:tcPr>
          <w:p>
            <w:pPr>
              <w:pStyle w:val="TableParagraph"/>
              <w:spacing w:before="155"/>
              <w:ind w:left="8"/>
              <w:jc w:val="center"/>
              <w:rPr>
                <w:sz w:val="24"/>
              </w:rPr>
            </w:pPr>
            <w:r>
              <w:rPr>
                <w:spacing w:val="-10"/>
                <w:sz w:val="24"/>
              </w:rPr>
              <w:t>1</w:t>
            </w:r>
          </w:p>
        </w:tc>
        <w:tc>
          <w:tcPr>
            <w:tcW w:w="994" w:type="dxa"/>
          </w:tcPr>
          <w:p>
            <w:pPr>
              <w:pStyle w:val="TableParagraph"/>
              <w:spacing w:before="155"/>
              <w:ind w:left="7" w:right="4"/>
              <w:jc w:val="center"/>
              <w:rPr>
                <w:sz w:val="24"/>
              </w:rPr>
            </w:pPr>
            <w:r>
              <w:rPr>
                <w:spacing w:val="-10"/>
                <w:sz w:val="24"/>
              </w:rPr>
              <w:t>2</w:t>
            </w:r>
          </w:p>
        </w:tc>
        <w:tc>
          <w:tcPr>
            <w:tcW w:w="1134" w:type="dxa"/>
          </w:tcPr>
          <w:p>
            <w:pPr>
              <w:pStyle w:val="TableParagraph"/>
              <w:spacing w:before="155"/>
              <w:ind w:left="7" w:right="1"/>
              <w:jc w:val="center"/>
              <w:rPr>
                <w:sz w:val="24"/>
              </w:rPr>
            </w:pPr>
            <w:r>
              <w:rPr>
                <w:spacing w:val="-10"/>
                <w:sz w:val="24"/>
              </w:rPr>
              <w:t>3</w:t>
            </w:r>
          </w:p>
        </w:tc>
        <w:tc>
          <w:tcPr>
            <w:tcW w:w="1136" w:type="dxa"/>
          </w:tcPr>
          <w:p>
            <w:pPr>
              <w:pStyle w:val="TableParagraph"/>
              <w:spacing w:before="155"/>
              <w:ind w:left="8" w:right="5"/>
              <w:jc w:val="center"/>
              <w:rPr>
                <w:sz w:val="24"/>
              </w:rPr>
            </w:pPr>
            <w:r>
              <w:rPr>
                <w:spacing w:val="-10"/>
                <w:sz w:val="24"/>
              </w:rPr>
              <w:t>4</w:t>
            </w:r>
          </w:p>
        </w:tc>
        <w:tc>
          <w:tcPr>
            <w:tcW w:w="1134" w:type="dxa"/>
          </w:tcPr>
          <w:p>
            <w:pPr>
              <w:pStyle w:val="TableParagraph"/>
              <w:spacing w:before="155"/>
              <w:ind w:left="6" w:right="7"/>
              <w:jc w:val="center"/>
              <w:rPr>
                <w:sz w:val="24"/>
              </w:rPr>
            </w:pPr>
            <w:r>
              <w:rPr>
                <w:spacing w:val="-10"/>
                <w:sz w:val="24"/>
              </w:rPr>
              <w:t>5</w:t>
            </w:r>
          </w:p>
        </w:tc>
      </w:tr>
      <w:tr>
        <w:trPr>
          <w:trHeight w:val="834" w:hRule="atLeast"/>
        </w:trPr>
        <w:tc>
          <w:tcPr>
            <w:tcW w:w="569" w:type="dxa"/>
          </w:tcPr>
          <w:p>
            <w:pPr>
              <w:pStyle w:val="TableParagraph"/>
              <w:spacing w:line="273" w:lineRule="exact"/>
              <w:ind w:left="107"/>
              <w:rPr>
                <w:sz w:val="24"/>
              </w:rPr>
            </w:pPr>
            <w:r>
              <w:rPr>
                <w:spacing w:val="-10"/>
                <w:sz w:val="24"/>
              </w:rPr>
              <w:t>6</w:t>
            </w:r>
          </w:p>
        </w:tc>
        <w:tc>
          <w:tcPr>
            <w:tcW w:w="3668" w:type="dxa"/>
          </w:tcPr>
          <w:p>
            <w:pPr>
              <w:pStyle w:val="TableParagraph"/>
              <w:spacing w:line="276" w:lineRule="auto"/>
              <w:ind w:left="107"/>
              <w:rPr>
                <w:sz w:val="24"/>
              </w:rPr>
            </w:pPr>
            <w:r>
              <w:rPr>
                <w:sz w:val="24"/>
              </w:rPr>
              <w:t>Если</w:t>
            </w:r>
            <w:r>
              <w:rPr>
                <w:spacing w:val="-7"/>
                <w:sz w:val="24"/>
              </w:rPr>
              <w:t> </w:t>
            </w:r>
            <w:r>
              <w:rPr>
                <w:sz w:val="24"/>
              </w:rPr>
              <w:t>я</w:t>
            </w:r>
            <w:r>
              <w:rPr>
                <w:spacing w:val="-8"/>
                <w:sz w:val="24"/>
              </w:rPr>
              <w:t> </w:t>
            </w:r>
            <w:r>
              <w:rPr>
                <w:sz w:val="24"/>
              </w:rPr>
              <w:t>голоден,</w:t>
            </w:r>
            <w:r>
              <w:rPr>
                <w:spacing w:val="-8"/>
                <w:sz w:val="24"/>
              </w:rPr>
              <w:t> </w:t>
            </w:r>
            <w:r>
              <w:rPr>
                <w:sz w:val="24"/>
              </w:rPr>
              <w:t>то</w:t>
            </w:r>
            <w:r>
              <w:rPr>
                <w:spacing w:val="-8"/>
                <w:sz w:val="24"/>
              </w:rPr>
              <w:t> </w:t>
            </w:r>
            <w:r>
              <w:rPr>
                <w:sz w:val="24"/>
              </w:rPr>
              <w:t>еды</w:t>
            </w:r>
            <w:r>
              <w:rPr>
                <w:spacing w:val="-8"/>
                <w:sz w:val="24"/>
              </w:rPr>
              <w:t> </w:t>
            </w:r>
            <w:r>
              <w:rPr>
                <w:sz w:val="24"/>
              </w:rPr>
              <w:t>вполне хватает, чтобы наесться</w:t>
            </w:r>
          </w:p>
        </w:tc>
        <w:tc>
          <w:tcPr>
            <w:tcW w:w="1119" w:type="dxa"/>
          </w:tcPr>
          <w:p>
            <w:pPr>
              <w:pStyle w:val="TableParagraph"/>
              <w:spacing w:before="155"/>
              <w:ind w:left="8"/>
              <w:jc w:val="center"/>
              <w:rPr>
                <w:sz w:val="24"/>
              </w:rPr>
            </w:pPr>
            <w:r>
              <w:rPr>
                <w:spacing w:val="-10"/>
                <w:sz w:val="24"/>
              </w:rPr>
              <w:t>1</w:t>
            </w:r>
          </w:p>
        </w:tc>
        <w:tc>
          <w:tcPr>
            <w:tcW w:w="994" w:type="dxa"/>
          </w:tcPr>
          <w:p>
            <w:pPr>
              <w:pStyle w:val="TableParagraph"/>
              <w:spacing w:before="155"/>
              <w:ind w:left="7" w:right="4"/>
              <w:jc w:val="center"/>
              <w:rPr>
                <w:sz w:val="24"/>
              </w:rPr>
            </w:pPr>
            <w:r>
              <w:rPr>
                <w:spacing w:val="-10"/>
                <w:sz w:val="24"/>
              </w:rPr>
              <w:t>2</w:t>
            </w:r>
          </w:p>
        </w:tc>
        <w:tc>
          <w:tcPr>
            <w:tcW w:w="1134" w:type="dxa"/>
          </w:tcPr>
          <w:p>
            <w:pPr>
              <w:pStyle w:val="TableParagraph"/>
              <w:spacing w:before="155"/>
              <w:ind w:left="7" w:right="1"/>
              <w:jc w:val="center"/>
              <w:rPr>
                <w:sz w:val="24"/>
              </w:rPr>
            </w:pPr>
            <w:r>
              <w:rPr>
                <w:spacing w:val="-10"/>
                <w:sz w:val="24"/>
              </w:rPr>
              <w:t>3</w:t>
            </w:r>
          </w:p>
        </w:tc>
        <w:tc>
          <w:tcPr>
            <w:tcW w:w="1136" w:type="dxa"/>
          </w:tcPr>
          <w:p>
            <w:pPr>
              <w:pStyle w:val="TableParagraph"/>
              <w:spacing w:before="155"/>
              <w:ind w:left="8" w:right="5"/>
              <w:jc w:val="center"/>
              <w:rPr>
                <w:sz w:val="24"/>
              </w:rPr>
            </w:pPr>
            <w:r>
              <w:rPr>
                <w:spacing w:val="-10"/>
                <w:sz w:val="24"/>
              </w:rPr>
              <w:t>4</w:t>
            </w:r>
          </w:p>
        </w:tc>
        <w:tc>
          <w:tcPr>
            <w:tcW w:w="1134" w:type="dxa"/>
          </w:tcPr>
          <w:p>
            <w:pPr>
              <w:pStyle w:val="TableParagraph"/>
              <w:spacing w:before="155"/>
              <w:ind w:left="6" w:right="7"/>
              <w:jc w:val="center"/>
              <w:rPr>
                <w:sz w:val="24"/>
              </w:rPr>
            </w:pPr>
            <w:r>
              <w:rPr>
                <w:spacing w:val="-10"/>
                <w:sz w:val="24"/>
              </w:rPr>
              <w:t>5</w:t>
            </w:r>
          </w:p>
        </w:tc>
      </w:tr>
      <w:tr>
        <w:trPr>
          <w:trHeight w:val="834" w:hRule="atLeast"/>
        </w:trPr>
        <w:tc>
          <w:tcPr>
            <w:tcW w:w="569" w:type="dxa"/>
          </w:tcPr>
          <w:p>
            <w:pPr>
              <w:pStyle w:val="TableParagraph"/>
              <w:spacing w:line="273" w:lineRule="exact"/>
              <w:ind w:left="107"/>
              <w:rPr>
                <w:sz w:val="24"/>
              </w:rPr>
            </w:pPr>
            <w:r>
              <w:rPr>
                <w:spacing w:val="-10"/>
                <w:sz w:val="24"/>
              </w:rPr>
              <w:t>7</w:t>
            </w:r>
          </w:p>
        </w:tc>
        <w:tc>
          <w:tcPr>
            <w:tcW w:w="3668" w:type="dxa"/>
          </w:tcPr>
          <w:p>
            <w:pPr>
              <w:pStyle w:val="TableParagraph"/>
              <w:spacing w:line="276" w:lineRule="auto"/>
              <w:ind w:left="107"/>
              <w:rPr>
                <w:sz w:val="24"/>
              </w:rPr>
            </w:pPr>
            <w:r>
              <w:rPr>
                <w:sz w:val="24"/>
              </w:rPr>
              <w:t>Людям</w:t>
            </w:r>
            <w:r>
              <w:rPr>
                <w:spacing w:val="-13"/>
                <w:sz w:val="24"/>
              </w:rPr>
              <w:t> </w:t>
            </w:r>
            <w:r>
              <w:rPr>
                <w:sz w:val="24"/>
              </w:rPr>
              <w:t>нравится</w:t>
            </w:r>
            <w:r>
              <w:rPr>
                <w:spacing w:val="-13"/>
                <w:sz w:val="24"/>
              </w:rPr>
              <w:t> </w:t>
            </w:r>
            <w:r>
              <w:rPr>
                <w:sz w:val="24"/>
              </w:rPr>
              <w:t>проводить</w:t>
            </w:r>
            <w:r>
              <w:rPr>
                <w:spacing w:val="-12"/>
                <w:sz w:val="24"/>
              </w:rPr>
              <w:t> </w:t>
            </w:r>
            <w:r>
              <w:rPr>
                <w:sz w:val="24"/>
              </w:rPr>
              <w:t>со мной время</w:t>
            </w:r>
          </w:p>
        </w:tc>
        <w:tc>
          <w:tcPr>
            <w:tcW w:w="1119" w:type="dxa"/>
          </w:tcPr>
          <w:p>
            <w:pPr>
              <w:pStyle w:val="TableParagraph"/>
              <w:spacing w:before="155"/>
              <w:ind w:left="8"/>
              <w:jc w:val="center"/>
              <w:rPr>
                <w:sz w:val="24"/>
              </w:rPr>
            </w:pPr>
            <w:r>
              <w:rPr>
                <w:spacing w:val="-10"/>
                <w:sz w:val="24"/>
              </w:rPr>
              <w:t>1</w:t>
            </w:r>
          </w:p>
        </w:tc>
        <w:tc>
          <w:tcPr>
            <w:tcW w:w="994" w:type="dxa"/>
          </w:tcPr>
          <w:p>
            <w:pPr>
              <w:pStyle w:val="TableParagraph"/>
              <w:spacing w:before="155"/>
              <w:ind w:left="7" w:right="4"/>
              <w:jc w:val="center"/>
              <w:rPr>
                <w:sz w:val="24"/>
              </w:rPr>
            </w:pPr>
            <w:r>
              <w:rPr>
                <w:spacing w:val="-10"/>
                <w:sz w:val="24"/>
              </w:rPr>
              <w:t>2</w:t>
            </w:r>
          </w:p>
        </w:tc>
        <w:tc>
          <w:tcPr>
            <w:tcW w:w="1134" w:type="dxa"/>
          </w:tcPr>
          <w:p>
            <w:pPr>
              <w:pStyle w:val="TableParagraph"/>
              <w:spacing w:before="155"/>
              <w:ind w:left="7" w:right="1"/>
              <w:jc w:val="center"/>
              <w:rPr>
                <w:sz w:val="24"/>
              </w:rPr>
            </w:pPr>
            <w:r>
              <w:rPr>
                <w:spacing w:val="-10"/>
                <w:sz w:val="24"/>
              </w:rPr>
              <w:t>3</w:t>
            </w:r>
          </w:p>
        </w:tc>
        <w:tc>
          <w:tcPr>
            <w:tcW w:w="1136" w:type="dxa"/>
          </w:tcPr>
          <w:p>
            <w:pPr>
              <w:pStyle w:val="TableParagraph"/>
              <w:spacing w:before="155"/>
              <w:ind w:left="8" w:right="5"/>
              <w:jc w:val="center"/>
              <w:rPr>
                <w:sz w:val="24"/>
              </w:rPr>
            </w:pPr>
            <w:r>
              <w:rPr>
                <w:spacing w:val="-10"/>
                <w:sz w:val="24"/>
              </w:rPr>
              <w:t>4</w:t>
            </w:r>
          </w:p>
        </w:tc>
        <w:tc>
          <w:tcPr>
            <w:tcW w:w="1134" w:type="dxa"/>
          </w:tcPr>
          <w:p>
            <w:pPr>
              <w:pStyle w:val="TableParagraph"/>
              <w:spacing w:before="155"/>
              <w:ind w:left="6" w:right="7"/>
              <w:jc w:val="center"/>
              <w:rPr>
                <w:sz w:val="24"/>
              </w:rPr>
            </w:pPr>
            <w:r>
              <w:rPr>
                <w:spacing w:val="-10"/>
                <w:sz w:val="24"/>
              </w:rPr>
              <w:t>5</w:t>
            </w:r>
          </w:p>
        </w:tc>
      </w:tr>
      <w:tr>
        <w:trPr>
          <w:trHeight w:val="1154" w:hRule="atLeast"/>
        </w:trPr>
        <w:tc>
          <w:tcPr>
            <w:tcW w:w="569" w:type="dxa"/>
          </w:tcPr>
          <w:p>
            <w:pPr>
              <w:pStyle w:val="TableParagraph"/>
              <w:spacing w:line="270" w:lineRule="exact"/>
              <w:ind w:left="107"/>
              <w:rPr>
                <w:sz w:val="24"/>
              </w:rPr>
            </w:pPr>
            <w:r>
              <w:rPr>
                <w:spacing w:val="-10"/>
                <w:sz w:val="24"/>
              </w:rPr>
              <w:t>8</w:t>
            </w:r>
          </w:p>
        </w:tc>
        <w:tc>
          <w:tcPr>
            <w:tcW w:w="3668" w:type="dxa"/>
          </w:tcPr>
          <w:p>
            <w:pPr>
              <w:pStyle w:val="TableParagraph"/>
              <w:spacing w:line="276" w:lineRule="auto"/>
              <w:ind w:left="107"/>
              <w:rPr>
                <w:sz w:val="24"/>
              </w:rPr>
            </w:pPr>
            <w:r>
              <w:rPr>
                <w:sz w:val="24"/>
              </w:rPr>
              <w:t>Я говорю со своей семьей / опекунами</w:t>
            </w:r>
            <w:r>
              <w:rPr>
                <w:spacing w:val="-9"/>
                <w:sz w:val="24"/>
              </w:rPr>
              <w:t> </w:t>
            </w:r>
            <w:r>
              <w:rPr>
                <w:sz w:val="24"/>
              </w:rPr>
              <w:t>о</w:t>
            </w:r>
            <w:r>
              <w:rPr>
                <w:spacing w:val="-9"/>
                <w:sz w:val="24"/>
              </w:rPr>
              <w:t> </w:t>
            </w:r>
            <w:r>
              <w:rPr>
                <w:sz w:val="24"/>
              </w:rPr>
              <w:t>том,</w:t>
            </w:r>
            <w:r>
              <w:rPr>
                <w:spacing w:val="-9"/>
                <w:sz w:val="24"/>
              </w:rPr>
              <w:t> </w:t>
            </w:r>
            <w:r>
              <w:rPr>
                <w:sz w:val="24"/>
              </w:rPr>
              <w:t>как</w:t>
            </w:r>
            <w:r>
              <w:rPr>
                <w:spacing w:val="-9"/>
                <w:sz w:val="24"/>
              </w:rPr>
              <w:t> </w:t>
            </w:r>
            <w:r>
              <w:rPr>
                <w:sz w:val="24"/>
              </w:rPr>
              <w:t>я</w:t>
            </w:r>
            <w:r>
              <w:rPr>
                <w:spacing w:val="-9"/>
                <w:sz w:val="24"/>
              </w:rPr>
              <w:t> </w:t>
            </w:r>
            <w:r>
              <w:rPr>
                <w:sz w:val="24"/>
              </w:rPr>
              <w:t>себя </w:t>
            </w:r>
            <w:r>
              <w:rPr>
                <w:spacing w:val="-2"/>
                <w:sz w:val="24"/>
              </w:rPr>
              <w:t>чувствую</w:t>
            </w:r>
          </w:p>
        </w:tc>
        <w:tc>
          <w:tcPr>
            <w:tcW w:w="1119" w:type="dxa"/>
          </w:tcPr>
          <w:p>
            <w:pPr>
              <w:pStyle w:val="TableParagraph"/>
              <w:spacing w:before="37"/>
              <w:rPr>
                <w:i/>
                <w:sz w:val="24"/>
              </w:rPr>
            </w:pPr>
          </w:p>
          <w:p>
            <w:pPr>
              <w:pStyle w:val="TableParagraph"/>
              <w:ind w:left="8"/>
              <w:jc w:val="center"/>
              <w:rPr>
                <w:sz w:val="24"/>
              </w:rPr>
            </w:pPr>
            <w:r>
              <w:rPr>
                <w:spacing w:val="-10"/>
                <w:sz w:val="24"/>
              </w:rPr>
              <w:t>1</w:t>
            </w:r>
          </w:p>
        </w:tc>
        <w:tc>
          <w:tcPr>
            <w:tcW w:w="994" w:type="dxa"/>
          </w:tcPr>
          <w:p>
            <w:pPr>
              <w:pStyle w:val="TableParagraph"/>
              <w:spacing w:before="37"/>
              <w:rPr>
                <w:i/>
                <w:sz w:val="24"/>
              </w:rPr>
            </w:pPr>
          </w:p>
          <w:p>
            <w:pPr>
              <w:pStyle w:val="TableParagraph"/>
              <w:ind w:left="7" w:right="4"/>
              <w:jc w:val="center"/>
              <w:rPr>
                <w:sz w:val="24"/>
              </w:rPr>
            </w:pPr>
            <w:r>
              <w:rPr>
                <w:spacing w:val="-10"/>
                <w:sz w:val="24"/>
              </w:rPr>
              <w:t>2</w:t>
            </w:r>
          </w:p>
        </w:tc>
        <w:tc>
          <w:tcPr>
            <w:tcW w:w="1134" w:type="dxa"/>
          </w:tcPr>
          <w:p>
            <w:pPr>
              <w:pStyle w:val="TableParagraph"/>
              <w:spacing w:before="37"/>
              <w:rPr>
                <w:i/>
                <w:sz w:val="24"/>
              </w:rPr>
            </w:pPr>
          </w:p>
          <w:p>
            <w:pPr>
              <w:pStyle w:val="TableParagraph"/>
              <w:ind w:left="7" w:right="1"/>
              <w:jc w:val="center"/>
              <w:rPr>
                <w:sz w:val="24"/>
              </w:rPr>
            </w:pPr>
            <w:r>
              <w:rPr>
                <w:spacing w:val="-10"/>
                <w:sz w:val="24"/>
              </w:rPr>
              <w:t>3</w:t>
            </w:r>
          </w:p>
        </w:tc>
        <w:tc>
          <w:tcPr>
            <w:tcW w:w="1136" w:type="dxa"/>
          </w:tcPr>
          <w:p>
            <w:pPr>
              <w:pStyle w:val="TableParagraph"/>
              <w:spacing w:before="37"/>
              <w:rPr>
                <w:i/>
                <w:sz w:val="24"/>
              </w:rPr>
            </w:pPr>
          </w:p>
          <w:p>
            <w:pPr>
              <w:pStyle w:val="TableParagraph"/>
              <w:ind w:left="8" w:right="5"/>
              <w:jc w:val="center"/>
              <w:rPr>
                <w:sz w:val="24"/>
              </w:rPr>
            </w:pPr>
            <w:r>
              <w:rPr>
                <w:spacing w:val="-10"/>
                <w:sz w:val="24"/>
              </w:rPr>
              <w:t>4</w:t>
            </w:r>
          </w:p>
        </w:tc>
        <w:tc>
          <w:tcPr>
            <w:tcW w:w="1134" w:type="dxa"/>
          </w:tcPr>
          <w:p>
            <w:pPr>
              <w:pStyle w:val="TableParagraph"/>
              <w:spacing w:before="37"/>
              <w:rPr>
                <w:i/>
                <w:sz w:val="24"/>
              </w:rPr>
            </w:pPr>
          </w:p>
          <w:p>
            <w:pPr>
              <w:pStyle w:val="TableParagraph"/>
              <w:ind w:left="6" w:right="7"/>
              <w:jc w:val="center"/>
              <w:rPr>
                <w:sz w:val="24"/>
              </w:rPr>
            </w:pPr>
            <w:r>
              <w:rPr>
                <w:spacing w:val="-10"/>
                <w:sz w:val="24"/>
              </w:rPr>
              <w:t>5</w:t>
            </w:r>
          </w:p>
        </w:tc>
      </w:tr>
      <w:tr>
        <w:trPr>
          <w:trHeight w:val="834" w:hRule="atLeast"/>
        </w:trPr>
        <w:tc>
          <w:tcPr>
            <w:tcW w:w="569" w:type="dxa"/>
          </w:tcPr>
          <w:p>
            <w:pPr>
              <w:pStyle w:val="TableParagraph"/>
              <w:spacing w:line="270" w:lineRule="exact"/>
              <w:ind w:left="107"/>
              <w:rPr>
                <w:sz w:val="24"/>
              </w:rPr>
            </w:pPr>
            <w:r>
              <w:rPr>
                <w:spacing w:val="-10"/>
                <w:sz w:val="24"/>
              </w:rPr>
              <w:t>9</w:t>
            </w:r>
          </w:p>
        </w:tc>
        <w:tc>
          <w:tcPr>
            <w:tcW w:w="3668" w:type="dxa"/>
          </w:tcPr>
          <w:p>
            <w:pPr>
              <w:pStyle w:val="TableParagraph"/>
              <w:spacing w:line="276" w:lineRule="auto"/>
              <w:ind w:left="107"/>
              <w:rPr>
                <w:sz w:val="24"/>
              </w:rPr>
            </w:pPr>
            <w:r>
              <w:rPr>
                <w:sz w:val="24"/>
              </w:rPr>
              <w:t>Я</w:t>
            </w:r>
            <w:r>
              <w:rPr>
                <w:spacing w:val="-12"/>
                <w:sz w:val="24"/>
              </w:rPr>
              <w:t> </w:t>
            </w:r>
            <w:r>
              <w:rPr>
                <w:sz w:val="24"/>
              </w:rPr>
              <w:t>чувствую</w:t>
            </w:r>
            <w:r>
              <w:rPr>
                <w:spacing w:val="-12"/>
                <w:sz w:val="24"/>
              </w:rPr>
              <w:t> </w:t>
            </w:r>
            <w:r>
              <w:rPr>
                <w:sz w:val="24"/>
              </w:rPr>
              <w:t>поддержку</w:t>
            </w:r>
            <w:r>
              <w:rPr>
                <w:spacing w:val="-15"/>
                <w:sz w:val="24"/>
              </w:rPr>
              <w:t> </w:t>
            </w:r>
            <w:r>
              <w:rPr>
                <w:sz w:val="24"/>
              </w:rPr>
              <w:t>своих </w:t>
            </w:r>
            <w:r>
              <w:rPr>
                <w:spacing w:val="-2"/>
                <w:sz w:val="24"/>
              </w:rPr>
              <w:t>друзей</w:t>
            </w:r>
          </w:p>
        </w:tc>
        <w:tc>
          <w:tcPr>
            <w:tcW w:w="1119" w:type="dxa"/>
          </w:tcPr>
          <w:p>
            <w:pPr>
              <w:pStyle w:val="TableParagraph"/>
              <w:spacing w:before="152"/>
              <w:ind w:left="8"/>
              <w:jc w:val="center"/>
              <w:rPr>
                <w:sz w:val="24"/>
              </w:rPr>
            </w:pPr>
            <w:r>
              <w:rPr>
                <w:spacing w:val="-10"/>
                <w:sz w:val="24"/>
              </w:rPr>
              <w:t>1</w:t>
            </w:r>
          </w:p>
        </w:tc>
        <w:tc>
          <w:tcPr>
            <w:tcW w:w="994" w:type="dxa"/>
          </w:tcPr>
          <w:p>
            <w:pPr>
              <w:pStyle w:val="TableParagraph"/>
              <w:spacing w:before="152"/>
              <w:ind w:left="7" w:right="4"/>
              <w:jc w:val="center"/>
              <w:rPr>
                <w:sz w:val="24"/>
              </w:rPr>
            </w:pPr>
            <w:r>
              <w:rPr>
                <w:spacing w:val="-10"/>
                <w:sz w:val="24"/>
              </w:rPr>
              <w:t>2</w:t>
            </w:r>
          </w:p>
        </w:tc>
        <w:tc>
          <w:tcPr>
            <w:tcW w:w="1134" w:type="dxa"/>
          </w:tcPr>
          <w:p>
            <w:pPr>
              <w:pStyle w:val="TableParagraph"/>
              <w:spacing w:before="152"/>
              <w:ind w:left="7" w:right="1"/>
              <w:jc w:val="center"/>
              <w:rPr>
                <w:sz w:val="24"/>
              </w:rPr>
            </w:pPr>
            <w:r>
              <w:rPr>
                <w:spacing w:val="-10"/>
                <w:sz w:val="24"/>
              </w:rPr>
              <w:t>3</w:t>
            </w:r>
          </w:p>
        </w:tc>
        <w:tc>
          <w:tcPr>
            <w:tcW w:w="1136" w:type="dxa"/>
          </w:tcPr>
          <w:p>
            <w:pPr>
              <w:pStyle w:val="TableParagraph"/>
              <w:spacing w:before="152"/>
              <w:ind w:left="8" w:right="5"/>
              <w:jc w:val="center"/>
              <w:rPr>
                <w:sz w:val="24"/>
              </w:rPr>
            </w:pPr>
            <w:r>
              <w:rPr>
                <w:spacing w:val="-10"/>
                <w:sz w:val="24"/>
              </w:rPr>
              <w:t>4</w:t>
            </w:r>
          </w:p>
        </w:tc>
        <w:tc>
          <w:tcPr>
            <w:tcW w:w="1134" w:type="dxa"/>
          </w:tcPr>
          <w:p>
            <w:pPr>
              <w:pStyle w:val="TableParagraph"/>
              <w:spacing w:before="152"/>
              <w:ind w:left="6" w:right="7"/>
              <w:jc w:val="center"/>
              <w:rPr>
                <w:sz w:val="24"/>
              </w:rPr>
            </w:pPr>
            <w:r>
              <w:rPr>
                <w:spacing w:val="-10"/>
                <w:sz w:val="24"/>
              </w:rPr>
              <w:t>5</w:t>
            </w:r>
          </w:p>
        </w:tc>
      </w:tr>
      <w:tr>
        <w:trPr>
          <w:trHeight w:val="832" w:hRule="atLeast"/>
        </w:trPr>
        <w:tc>
          <w:tcPr>
            <w:tcW w:w="569" w:type="dxa"/>
          </w:tcPr>
          <w:p>
            <w:pPr>
              <w:pStyle w:val="TableParagraph"/>
              <w:spacing w:line="270" w:lineRule="exact"/>
              <w:ind w:left="107"/>
              <w:rPr>
                <w:sz w:val="24"/>
              </w:rPr>
            </w:pPr>
            <w:r>
              <w:rPr>
                <w:spacing w:val="-5"/>
                <w:sz w:val="24"/>
              </w:rPr>
              <w:t>10</w:t>
            </w:r>
          </w:p>
        </w:tc>
        <w:tc>
          <w:tcPr>
            <w:tcW w:w="3668" w:type="dxa"/>
          </w:tcPr>
          <w:p>
            <w:pPr>
              <w:pStyle w:val="TableParagraph"/>
              <w:spacing w:line="276" w:lineRule="auto"/>
              <w:ind w:left="107" w:right="176"/>
              <w:rPr>
                <w:sz w:val="24"/>
              </w:rPr>
            </w:pPr>
            <w:r>
              <w:rPr>
                <w:sz w:val="24"/>
              </w:rPr>
              <w:t>Я</w:t>
            </w:r>
            <w:r>
              <w:rPr>
                <w:spacing w:val="-15"/>
                <w:sz w:val="24"/>
              </w:rPr>
              <w:t> </w:t>
            </w:r>
            <w:r>
              <w:rPr>
                <w:sz w:val="24"/>
              </w:rPr>
              <w:t>чувствую</w:t>
            </w:r>
            <w:r>
              <w:rPr>
                <w:spacing w:val="-13"/>
                <w:sz w:val="24"/>
              </w:rPr>
              <w:t> </w:t>
            </w:r>
            <w:r>
              <w:rPr>
                <w:sz w:val="24"/>
              </w:rPr>
              <w:t>себя</w:t>
            </w:r>
            <w:r>
              <w:rPr>
                <w:spacing w:val="-15"/>
                <w:sz w:val="24"/>
              </w:rPr>
              <w:t> </w:t>
            </w:r>
            <w:r>
              <w:rPr>
                <w:sz w:val="24"/>
              </w:rPr>
              <w:t>частью школьного сообщества</w:t>
            </w:r>
          </w:p>
        </w:tc>
        <w:tc>
          <w:tcPr>
            <w:tcW w:w="1119" w:type="dxa"/>
          </w:tcPr>
          <w:p>
            <w:pPr>
              <w:pStyle w:val="TableParagraph"/>
              <w:spacing w:before="152"/>
              <w:ind w:left="8"/>
              <w:jc w:val="center"/>
              <w:rPr>
                <w:sz w:val="24"/>
              </w:rPr>
            </w:pPr>
            <w:r>
              <w:rPr>
                <w:spacing w:val="-10"/>
                <w:sz w:val="24"/>
              </w:rPr>
              <w:t>1</w:t>
            </w:r>
          </w:p>
        </w:tc>
        <w:tc>
          <w:tcPr>
            <w:tcW w:w="994" w:type="dxa"/>
          </w:tcPr>
          <w:p>
            <w:pPr>
              <w:pStyle w:val="TableParagraph"/>
              <w:spacing w:before="152"/>
              <w:ind w:left="7" w:right="4"/>
              <w:jc w:val="center"/>
              <w:rPr>
                <w:sz w:val="24"/>
              </w:rPr>
            </w:pPr>
            <w:r>
              <w:rPr>
                <w:spacing w:val="-10"/>
                <w:sz w:val="24"/>
              </w:rPr>
              <w:t>2</w:t>
            </w:r>
          </w:p>
        </w:tc>
        <w:tc>
          <w:tcPr>
            <w:tcW w:w="1134" w:type="dxa"/>
          </w:tcPr>
          <w:p>
            <w:pPr>
              <w:pStyle w:val="TableParagraph"/>
              <w:spacing w:before="152"/>
              <w:ind w:left="7" w:right="1"/>
              <w:jc w:val="center"/>
              <w:rPr>
                <w:sz w:val="24"/>
              </w:rPr>
            </w:pPr>
            <w:r>
              <w:rPr>
                <w:spacing w:val="-10"/>
                <w:sz w:val="24"/>
              </w:rPr>
              <w:t>3</w:t>
            </w:r>
          </w:p>
        </w:tc>
        <w:tc>
          <w:tcPr>
            <w:tcW w:w="1136" w:type="dxa"/>
          </w:tcPr>
          <w:p>
            <w:pPr>
              <w:pStyle w:val="TableParagraph"/>
              <w:spacing w:before="152"/>
              <w:ind w:left="8" w:right="5"/>
              <w:jc w:val="center"/>
              <w:rPr>
                <w:sz w:val="24"/>
              </w:rPr>
            </w:pPr>
            <w:r>
              <w:rPr>
                <w:spacing w:val="-10"/>
                <w:sz w:val="24"/>
              </w:rPr>
              <w:t>4</w:t>
            </w:r>
          </w:p>
        </w:tc>
        <w:tc>
          <w:tcPr>
            <w:tcW w:w="1134" w:type="dxa"/>
          </w:tcPr>
          <w:p>
            <w:pPr>
              <w:pStyle w:val="TableParagraph"/>
              <w:spacing w:before="152"/>
              <w:ind w:left="6" w:right="7"/>
              <w:jc w:val="center"/>
              <w:rPr>
                <w:sz w:val="24"/>
              </w:rPr>
            </w:pPr>
            <w:r>
              <w:rPr>
                <w:spacing w:val="-10"/>
                <w:sz w:val="24"/>
              </w:rPr>
              <w:t>5</w:t>
            </w:r>
          </w:p>
        </w:tc>
      </w:tr>
      <w:tr>
        <w:trPr>
          <w:trHeight w:val="1154" w:hRule="atLeast"/>
        </w:trPr>
        <w:tc>
          <w:tcPr>
            <w:tcW w:w="569" w:type="dxa"/>
          </w:tcPr>
          <w:p>
            <w:pPr>
              <w:pStyle w:val="TableParagraph"/>
              <w:spacing w:line="273" w:lineRule="exact"/>
              <w:ind w:left="107"/>
              <w:rPr>
                <w:sz w:val="24"/>
              </w:rPr>
            </w:pPr>
            <w:r>
              <w:rPr>
                <w:spacing w:val="-5"/>
                <w:sz w:val="24"/>
              </w:rPr>
              <w:t>11</w:t>
            </w:r>
          </w:p>
        </w:tc>
        <w:tc>
          <w:tcPr>
            <w:tcW w:w="3668" w:type="dxa"/>
          </w:tcPr>
          <w:p>
            <w:pPr>
              <w:pStyle w:val="TableParagraph"/>
              <w:spacing w:line="276" w:lineRule="auto"/>
              <w:ind w:left="107"/>
              <w:rPr>
                <w:sz w:val="24"/>
              </w:rPr>
            </w:pPr>
            <w:r>
              <w:rPr>
                <w:sz w:val="24"/>
              </w:rPr>
              <w:t>В сложной ситуации я могу рассчитывать</w:t>
            </w:r>
            <w:r>
              <w:rPr>
                <w:spacing w:val="-13"/>
                <w:sz w:val="24"/>
              </w:rPr>
              <w:t> </w:t>
            </w:r>
            <w:r>
              <w:rPr>
                <w:sz w:val="24"/>
              </w:rPr>
              <w:t>на</w:t>
            </w:r>
            <w:r>
              <w:rPr>
                <w:spacing w:val="-13"/>
                <w:sz w:val="24"/>
              </w:rPr>
              <w:t> </w:t>
            </w:r>
            <w:r>
              <w:rPr>
                <w:sz w:val="24"/>
              </w:rPr>
              <w:t>поддержку</w:t>
            </w:r>
            <w:r>
              <w:rPr>
                <w:spacing w:val="-15"/>
                <w:sz w:val="24"/>
              </w:rPr>
              <w:t> </w:t>
            </w:r>
            <w:r>
              <w:rPr>
                <w:sz w:val="24"/>
              </w:rPr>
              <w:t>моей семьи / опекунов</w:t>
            </w:r>
          </w:p>
        </w:tc>
        <w:tc>
          <w:tcPr>
            <w:tcW w:w="1119" w:type="dxa"/>
          </w:tcPr>
          <w:p>
            <w:pPr>
              <w:pStyle w:val="TableParagraph"/>
              <w:spacing w:before="37"/>
              <w:rPr>
                <w:i/>
                <w:sz w:val="24"/>
              </w:rPr>
            </w:pPr>
          </w:p>
          <w:p>
            <w:pPr>
              <w:pStyle w:val="TableParagraph"/>
              <w:ind w:left="8"/>
              <w:jc w:val="center"/>
              <w:rPr>
                <w:sz w:val="24"/>
              </w:rPr>
            </w:pPr>
            <w:r>
              <w:rPr>
                <w:spacing w:val="-10"/>
                <w:sz w:val="24"/>
              </w:rPr>
              <w:t>1</w:t>
            </w:r>
          </w:p>
        </w:tc>
        <w:tc>
          <w:tcPr>
            <w:tcW w:w="994" w:type="dxa"/>
          </w:tcPr>
          <w:p>
            <w:pPr>
              <w:pStyle w:val="TableParagraph"/>
              <w:spacing w:before="37"/>
              <w:rPr>
                <w:i/>
                <w:sz w:val="24"/>
              </w:rPr>
            </w:pPr>
          </w:p>
          <w:p>
            <w:pPr>
              <w:pStyle w:val="TableParagraph"/>
              <w:ind w:left="7" w:right="4"/>
              <w:jc w:val="center"/>
              <w:rPr>
                <w:sz w:val="24"/>
              </w:rPr>
            </w:pPr>
            <w:r>
              <w:rPr>
                <w:spacing w:val="-10"/>
                <w:sz w:val="24"/>
              </w:rPr>
              <w:t>2</w:t>
            </w:r>
          </w:p>
        </w:tc>
        <w:tc>
          <w:tcPr>
            <w:tcW w:w="1134" w:type="dxa"/>
          </w:tcPr>
          <w:p>
            <w:pPr>
              <w:pStyle w:val="TableParagraph"/>
              <w:spacing w:before="37"/>
              <w:rPr>
                <w:i/>
                <w:sz w:val="24"/>
              </w:rPr>
            </w:pPr>
          </w:p>
          <w:p>
            <w:pPr>
              <w:pStyle w:val="TableParagraph"/>
              <w:ind w:left="7" w:right="1"/>
              <w:jc w:val="center"/>
              <w:rPr>
                <w:sz w:val="24"/>
              </w:rPr>
            </w:pPr>
            <w:r>
              <w:rPr>
                <w:spacing w:val="-10"/>
                <w:sz w:val="24"/>
              </w:rPr>
              <w:t>3</w:t>
            </w:r>
          </w:p>
        </w:tc>
        <w:tc>
          <w:tcPr>
            <w:tcW w:w="1136" w:type="dxa"/>
          </w:tcPr>
          <w:p>
            <w:pPr>
              <w:pStyle w:val="TableParagraph"/>
              <w:spacing w:before="37"/>
              <w:rPr>
                <w:i/>
                <w:sz w:val="24"/>
              </w:rPr>
            </w:pPr>
          </w:p>
          <w:p>
            <w:pPr>
              <w:pStyle w:val="TableParagraph"/>
              <w:ind w:left="8" w:right="5"/>
              <w:jc w:val="center"/>
              <w:rPr>
                <w:sz w:val="24"/>
              </w:rPr>
            </w:pPr>
            <w:r>
              <w:rPr>
                <w:spacing w:val="-10"/>
                <w:sz w:val="24"/>
              </w:rPr>
              <w:t>4</w:t>
            </w:r>
          </w:p>
        </w:tc>
        <w:tc>
          <w:tcPr>
            <w:tcW w:w="1134" w:type="dxa"/>
          </w:tcPr>
          <w:p>
            <w:pPr>
              <w:pStyle w:val="TableParagraph"/>
              <w:spacing w:before="37"/>
              <w:rPr>
                <w:i/>
                <w:sz w:val="24"/>
              </w:rPr>
            </w:pPr>
          </w:p>
          <w:p>
            <w:pPr>
              <w:pStyle w:val="TableParagraph"/>
              <w:ind w:left="6" w:right="7"/>
              <w:jc w:val="center"/>
              <w:rPr>
                <w:sz w:val="24"/>
              </w:rPr>
            </w:pPr>
            <w:r>
              <w:rPr>
                <w:spacing w:val="-10"/>
                <w:sz w:val="24"/>
              </w:rPr>
              <w:t>5</w:t>
            </w:r>
          </w:p>
        </w:tc>
      </w:tr>
    </w:tbl>
    <w:p>
      <w:pPr>
        <w:pStyle w:val="TableParagraph"/>
        <w:spacing w:after="0"/>
        <w:jc w:val="center"/>
        <w:rPr>
          <w:sz w:val="24"/>
        </w:rPr>
        <w:sectPr>
          <w:pgSz w:w="11910" w:h="16840"/>
          <w:pgMar w:header="0" w:footer="970" w:top="1040" w:bottom="1837" w:left="1417" w:right="283"/>
        </w:sectPr>
      </w:pPr>
    </w:p>
    <w:tbl>
      <w:tblPr>
        <w:tblW w:w="0" w:type="auto"/>
        <w:jc w:val="left"/>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3668"/>
        <w:gridCol w:w="1119"/>
        <w:gridCol w:w="994"/>
        <w:gridCol w:w="1134"/>
        <w:gridCol w:w="1136"/>
        <w:gridCol w:w="1134"/>
      </w:tblGrid>
      <w:tr>
        <w:trPr>
          <w:trHeight w:val="1154" w:hRule="atLeast"/>
        </w:trPr>
        <w:tc>
          <w:tcPr>
            <w:tcW w:w="569" w:type="dxa"/>
          </w:tcPr>
          <w:p>
            <w:pPr>
              <w:pStyle w:val="TableParagraph"/>
              <w:spacing w:line="273" w:lineRule="exact"/>
              <w:ind w:left="107"/>
              <w:rPr>
                <w:sz w:val="24"/>
              </w:rPr>
            </w:pPr>
            <w:r>
              <w:rPr>
                <w:spacing w:val="-5"/>
                <w:sz w:val="24"/>
              </w:rPr>
              <w:t>12</w:t>
            </w:r>
          </w:p>
        </w:tc>
        <w:tc>
          <w:tcPr>
            <w:tcW w:w="3668" w:type="dxa"/>
          </w:tcPr>
          <w:p>
            <w:pPr>
              <w:pStyle w:val="TableParagraph"/>
              <w:spacing w:line="276" w:lineRule="auto"/>
              <w:ind w:left="107"/>
              <w:rPr>
                <w:sz w:val="24"/>
              </w:rPr>
            </w:pPr>
            <w:r>
              <w:rPr>
                <w:sz w:val="24"/>
              </w:rPr>
              <w:t>В сложной ситуации я могу рассчитывать</w:t>
            </w:r>
            <w:r>
              <w:rPr>
                <w:spacing w:val="-13"/>
                <w:sz w:val="24"/>
              </w:rPr>
              <w:t> </w:t>
            </w:r>
            <w:r>
              <w:rPr>
                <w:sz w:val="24"/>
              </w:rPr>
              <w:t>на</w:t>
            </w:r>
            <w:r>
              <w:rPr>
                <w:spacing w:val="-13"/>
                <w:sz w:val="24"/>
              </w:rPr>
              <w:t> </w:t>
            </w:r>
            <w:r>
              <w:rPr>
                <w:sz w:val="24"/>
              </w:rPr>
              <w:t>поддержку</w:t>
            </w:r>
            <w:r>
              <w:rPr>
                <w:spacing w:val="-15"/>
                <w:sz w:val="24"/>
              </w:rPr>
              <w:t> </w:t>
            </w:r>
            <w:r>
              <w:rPr>
                <w:sz w:val="24"/>
              </w:rPr>
              <w:t>моих </w:t>
            </w:r>
            <w:r>
              <w:rPr>
                <w:spacing w:val="-2"/>
                <w:sz w:val="24"/>
              </w:rPr>
              <w:t>друзей</w:t>
            </w:r>
          </w:p>
        </w:tc>
        <w:tc>
          <w:tcPr>
            <w:tcW w:w="1119" w:type="dxa"/>
          </w:tcPr>
          <w:p>
            <w:pPr>
              <w:pStyle w:val="TableParagraph"/>
              <w:spacing w:before="37"/>
              <w:rPr>
                <w:i/>
                <w:sz w:val="24"/>
              </w:rPr>
            </w:pPr>
          </w:p>
          <w:p>
            <w:pPr>
              <w:pStyle w:val="TableParagraph"/>
              <w:ind w:left="8"/>
              <w:jc w:val="center"/>
              <w:rPr>
                <w:sz w:val="24"/>
              </w:rPr>
            </w:pPr>
            <w:r>
              <w:rPr>
                <w:spacing w:val="-10"/>
                <w:sz w:val="24"/>
              </w:rPr>
              <w:t>1</w:t>
            </w:r>
          </w:p>
        </w:tc>
        <w:tc>
          <w:tcPr>
            <w:tcW w:w="994" w:type="dxa"/>
          </w:tcPr>
          <w:p>
            <w:pPr>
              <w:pStyle w:val="TableParagraph"/>
              <w:spacing w:before="37"/>
              <w:rPr>
                <w:i/>
                <w:sz w:val="24"/>
              </w:rPr>
            </w:pPr>
          </w:p>
          <w:p>
            <w:pPr>
              <w:pStyle w:val="TableParagraph"/>
              <w:ind w:left="7" w:right="4"/>
              <w:jc w:val="center"/>
              <w:rPr>
                <w:sz w:val="24"/>
              </w:rPr>
            </w:pPr>
            <w:r>
              <w:rPr>
                <w:spacing w:val="-10"/>
                <w:sz w:val="24"/>
              </w:rPr>
              <w:t>2</w:t>
            </w:r>
          </w:p>
        </w:tc>
        <w:tc>
          <w:tcPr>
            <w:tcW w:w="1134" w:type="dxa"/>
          </w:tcPr>
          <w:p>
            <w:pPr>
              <w:pStyle w:val="TableParagraph"/>
              <w:spacing w:before="37"/>
              <w:rPr>
                <w:i/>
                <w:sz w:val="24"/>
              </w:rPr>
            </w:pPr>
          </w:p>
          <w:p>
            <w:pPr>
              <w:pStyle w:val="TableParagraph"/>
              <w:ind w:left="7" w:right="1"/>
              <w:jc w:val="center"/>
              <w:rPr>
                <w:sz w:val="24"/>
              </w:rPr>
            </w:pPr>
            <w:r>
              <w:rPr>
                <w:spacing w:val="-10"/>
                <w:sz w:val="24"/>
              </w:rPr>
              <w:t>3</w:t>
            </w:r>
          </w:p>
        </w:tc>
        <w:tc>
          <w:tcPr>
            <w:tcW w:w="1136" w:type="dxa"/>
          </w:tcPr>
          <w:p>
            <w:pPr>
              <w:pStyle w:val="TableParagraph"/>
              <w:spacing w:before="37"/>
              <w:rPr>
                <w:i/>
                <w:sz w:val="24"/>
              </w:rPr>
            </w:pPr>
          </w:p>
          <w:p>
            <w:pPr>
              <w:pStyle w:val="TableParagraph"/>
              <w:ind w:left="8" w:right="5"/>
              <w:jc w:val="center"/>
              <w:rPr>
                <w:sz w:val="24"/>
              </w:rPr>
            </w:pPr>
            <w:r>
              <w:rPr>
                <w:spacing w:val="-10"/>
                <w:sz w:val="24"/>
              </w:rPr>
              <w:t>4</w:t>
            </w:r>
          </w:p>
        </w:tc>
        <w:tc>
          <w:tcPr>
            <w:tcW w:w="1134" w:type="dxa"/>
          </w:tcPr>
          <w:p>
            <w:pPr>
              <w:pStyle w:val="TableParagraph"/>
              <w:spacing w:before="37"/>
              <w:rPr>
                <w:i/>
                <w:sz w:val="24"/>
              </w:rPr>
            </w:pPr>
          </w:p>
          <w:p>
            <w:pPr>
              <w:pStyle w:val="TableParagraph"/>
              <w:ind w:left="6" w:right="7"/>
              <w:jc w:val="center"/>
              <w:rPr>
                <w:sz w:val="24"/>
              </w:rPr>
            </w:pPr>
            <w:r>
              <w:rPr>
                <w:spacing w:val="-10"/>
                <w:sz w:val="24"/>
              </w:rPr>
              <w:t>5</w:t>
            </w:r>
          </w:p>
        </w:tc>
      </w:tr>
      <w:tr>
        <w:trPr>
          <w:trHeight w:val="834" w:hRule="atLeast"/>
        </w:trPr>
        <w:tc>
          <w:tcPr>
            <w:tcW w:w="569" w:type="dxa"/>
          </w:tcPr>
          <w:p>
            <w:pPr>
              <w:pStyle w:val="TableParagraph"/>
              <w:spacing w:line="270" w:lineRule="exact"/>
              <w:ind w:left="107"/>
              <w:rPr>
                <w:sz w:val="24"/>
              </w:rPr>
            </w:pPr>
            <w:r>
              <w:rPr>
                <w:spacing w:val="-5"/>
                <w:sz w:val="24"/>
              </w:rPr>
              <w:t>13</w:t>
            </w:r>
          </w:p>
        </w:tc>
        <w:tc>
          <w:tcPr>
            <w:tcW w:w="3668" w:type="dxa"/>
          </w:tcPr>
          <w:p>
            <w:pPr>
              <w:pStyle w:val="TableParagraph"/>
              <w:spacing w:line="276" w:lineRule="auto"/>
              <w:ind w:left="107"/>
              <w:rPr>
                <w:sz w:val="24"/>
              </w:rPr>
            </w:pPr>
            <w:r>
              <w:rPr>
                <w:sz w:val="24"/>
              </w:rPr>
              <w:t>В</w:t>
            </w:r>
            <w:r>
              <w:rPr>
                <w:spacing w:val="-11"/>
                <w:sz w:val="24"/>
              </w:rPr>
              <w:t> </w:t>
            </w:r>
            <w:r>
              <w:rPr>
                <w:sz w:val="24"/>
              </w:rPr>
              <w:t>обществе</w:t>
            </w:r>
            <w:r>
              <w:rPr>
                <w:spacing w:val="-10"/>
                <w:sz w:val="24"/>
              </w:rPr>
              <w:t> </w:t>
            </w:r>
            <w:r>
              <w:rPr>
                <w:sz w:val="24"/>
              </w:rPr>
              <w:t>ко</w:t>
            </w:r>
            <w:r>
              <w:rPr>
                <w:spacing w:val="-9"/>
                <w:sz w:val="24"/>
              </w:rPr>
              <w:t> </w:t>
            </w:r>
            <w:r>
              <w:rPr>
                <w:sz w:val="24"/>
              </w:rPr>
              <w:t>мне</w:t>
            </w:r>
            <w:r>
              <w:rPr>
                <w:spacing w:val="-10"/>
                <w:sz w:val="24"/>
              </w:rPr>
              <w:t> </w:t>
            </w:r>
            <w:r>
              <w:rPr>
                <w:sz w:val="24"/>
              </w:rPr>
              <w:t>относятся </w:t>
            </w:r>
            <w:r>
              <w:rPr>
                <w:spacing w:val="-2"/>
                <w:sz w:val="24"/>
              </w:rPr>
              <w:t>справедливо</w:t>
            </w:r>
          </w:p>
        </w:tc>
        <w:tc>
          <w:tcPr>
            <w:tcW w:w="1119" w:type="dxa"/>
          </w:tcPr>
          <w:p>
            <w:pPr>
              <w:pStyle w:val="TableParagraph"/>
              <w:spacing w:before="152"/>
              <w:ind w:left="8"/>
              <w:jc w:val="center"/>
              <w:rPr>
                <w:sz w:val="24"/>
              </w:rPr>
            </w:pPr>
            <w:r>
              <w:rPr>
                <w:spacing w:val="-10"/>
                <w:sz w:val="24"/>
              </w:rPr>
              <w:t>1</w:t>
            </w:r>
          </w:p>
        </w:tc>
        <w:tc>
          <w:tcPr>
            <w:tcW w:w="994" w:type="dxa"/>
          </w:tcPr>
          <w:p>
            <w:pPr>
              <w:pStyle w:val="TableParagraph"/>
              <w:spacing w:before="152"/>
              <w:ind w:left="7" w:right="4"/>
              <w:jc w:val="center"/>
              <w:rPr>
                <w:sz w:val="24"/>
              </w:rPr>
            </w:pPr>
            <w:r>
              <w:rPr>
                <w:spacing w:val="-10"/>
                <w:sz w:val="24"/>
              </w:rPr>
              <w:t>2</w:t>
            </w:r>
          </w:p>
        </w:tc>
        <w:tc>
          <w:tcPr>
            <w:tcW w:w="1134" w:type="dxa"/>
          </w:tcPr>
          <w:p>
            <w:pPr>
              <w:pStyle w:val="TableParagraph"/>
              <w:spacing w:before="152"/>
              <w:ind w:left="7" w:right="1"/>
              <w:jc w:val="center"/>
              <w:rPr>
                <w:sz w:val="24"/>
              </w:rPr>
            </w:pPr>
            <w:r>
              <w:rPr>
                <w:spacing w:val="-10"/>
                <w:sz w:val="24"/>
              </w:rPr>
              <w:t>3</w:t>
            </w:r>
          </w:p>
        </w:tc>
        <w:tc>
          <w:tcPr>
            <w:tcW w:w="1136" w:type="dxa"/>
          </w:tcPr>
          <w:p>
            <w:pPr>
              <w:pStyle w:val="TableParagraph"/>
              <w:spacing w:before="152"/>
              <w:ind w:left="8" w:right="5"/>
              <w:jc w:val="center"/>
              <w:rPr>
                <w:sz w:val="24"/>
              </w:rPr>
            </w:pPr>
            <w:r>
              <w:rPr>
                <w:spacing w:val="-10"/>
                <w:sz w:val="24"/>
              </w:rPr>
              <w:t>4</w:t>
            </w:r>
          </w:p>
        </w:tc>
        <w:tc>
          <w:tcPr>
            <w:tcW w:w="1134" w:type="dxa"/>
          </w:tcPr>
          <w:p>
            <w:pPr>
              <w:pStyle w:val="TableParagraph"/>
              <w:spacing w:before="152"/>
              <w:ind w:left="6" w:right="7"/>
              <w:jc w:val="center"/>
              <w:rPr>
                <w:sz w:val="24"/>
              </w:rPr>
            </w:pPr>
            <w:r>
              <w:rPr>
                <w:spacing w:val="-10"/>
                <w:sz w:val="24"/>
              </w:rPr>
              <w:t>5</w:t>
            </w:r>
          </w:p>
        </w:tc>
      </w:tr>
      <w:tr>
        <w:trPr>
          <w:trHeight w:val="1468" w:hRule="atLeast"/>
        </w:trPr>
        <w:tc>
          <w:tcPr>
            <w:tcW w:w="569" w:type="dxa"/>
          </w:tcPr>
          <w:p>
            <w:pPr>
              <w:pStyle w:val="TableParagraph"/>
              <w:spacing w:line="270" w:lineRule="exact"/>
              <w:ind w:left="107"/>
              <w:rPr>
                <w:sz w:val="24"/>
              </w:rPr>
            </w:pPr>
            <w:r>
              <w:rPr>
                <w:spacing w:val="-5"/>
                <w:sz w:val="24"/>
              </w:rPr>
              <w:t>14</w:t>
            </w:r>
          </w:p>
        </w:tc>
        <w:tc>
          <w:tcPr>
            <w:tcW w:w="3668" w:type="dxa"/>
          </w:tcPr>
          <w:p>
            <w:pPr>
              <w:pStyle w:val="TableParagraph"/>
              <w:spacing w:line="276" w:lineRule="auto"/>
              <w:ind w:left="107" w:right="176"/>
              <w:rPr>
                <w:sz w:val="24"/>
              </w:rPr>
            </w:pPr>
            <w:r>
              <w:rPr>
                <w:sz w:val="24"/>
              </w:rPr>
              <w:t>У меня есть возможность показать</w:t>
            </w:r>
            <w:r>
              <w:rPr>
                <w:spacing w:val="-10"/>
                <w:sz w:val="24"/>
              </w:rPr>
              <w:t> </w:t>
            </w:r>
            <w:r>
              <w:rPr>
                <w:sz w:val="24"/>
              </w:rPr>
              <w:t>другим,</w:t>
            </w:r>
            <w:r>
              <w:rPr>
                <w:spacing w:val="-10"/>
                <w:sz w:val="24"/>
              </w:rPr>
              <w:t> </w:t>
            </w:r>
            <w:r>
              <w:rPr>
                <w:sz w:val="24"/>
              </w:rPr>
              <w:t>что</w:t>
            </w:r>
            <w:r>
              <w:rPr>
                <w:spacing w:val="-10"/>
                <w:sz w:val="24"/>
              </w:rPr>
              <w:t> </w:t>
            </w:r>
            <w:r>
              <w:rPr>
                <w:sz w:val="24"/>
              </w:rPr>
              <w:t>я</w:t>
            </w:r>
            <w:r>
              <w:rPr>
                <w:spacing w:val="-10"/>
                <w:sz w:val="24"/>
              </w:rPr>
              <w:t> </w:t>
            </w:r>
            <w:r>
              <w:rPr>
                <w:sz w:val="24"/>
              </w:rPr>
              <w:t>могу вести себя по-взрослому, </w:t>
            </w:r>
            <w:r>
              <w:rPr>
                <w:spacing w:val="-2"/>
                <w:sz w:val="24"/>
              </w:rPr>
              <w:t>ответственно</w:t>
            </w:r>
          </w:p>
        </w:tc>
        <w:tc>
          <w:tcPr>
            <w:tcW w:w="1119" w:type="dxa"/>
          </w:tcPr>
          <w:p>
            <w:pPr>
              <w:pStyle w:val="TableParagraph"/>
              <w:spacing w:before="193"/>
              <w:rPr>
                <w:i/>
                <w:sz w:val="24"/>
              </w:rPr>
            </w:pPr>
          </w:p>
          <w:p>
            <w:pPr>
              <w:pStyle w:val="TableParagraph"/>
              <w:ind w:left="8"/>
              <w:jc w:val="center"/>
              <w:rPr>
                <w:sz w:val="24"/>
              </w:rPr>
            </w:pPr>
            <w:r>
              <w:rPr>
                <w:spacing w:val="-10"/>
                <w:sz w:val="24"/>
              </w:rPr>
              <w:t>1</w:t>
            </w:r>
          </w:p>
        </w:tc>
        <w:tc>
          <w:tcPr>
            <w:tcW w:w="994" w:type="dxa"/>
          </w:tcPr>
          <w:p>
            <w:pPr>
              <w:pStyle w:val="TableParagraph"/>
              <w:spacing w:before="193"/>
              <w:rPr>
                <w:i/>
                <w:sz w:val="24"/>
              </w:rPr>
            </w:pPr>
          </w:p>
          <w:p>
            <w:pPr>
              <w:pStyle w:val="TableParagraph"/>
              <w:ind w:left="7" w:right="4"/>
              <w:jc w:val="center"/>
              <w:rPr>
                <w:sz w:val="24"/>
              </w:rPr>
            </w:pPr>
            <w:r>
              <w:rPr>
                <w:spacing w:val="-10"/>
                <w:sz w:val="24"/>
              </w:rPr>
              <w:t>2</w:t>
            </w:r>
          </w:p>
        </w:tc>
        <w:tc>
          <w:tcPr>
            <w:tcW w:w="1134" w:type="dxa"/>
          </w:tcPr>
          <w:p>
            <w:pPr>
              <w:pStyle w:val="TableParagraph"/>
              <w:spacing w:before="193"/>
              <w:rPr>
                <w:i/>
                <w:sz w:val="24"/>
              </w:rPr>
            </w:pPr>
          </w:p>
          <w:p>
            <w:pPr>
              <w:pStyle w:val="TableParagraph"/>
              <w:ind w:left="7" w:right="1"/>
              <w:jc w:val="center"/>
              <w:rPr>
                <w:sz w:val="24"/>
              </w:rPr>
            </w:pPr>
            <w:r>
              <w:rPr>
                <w:spacing w:val="-10"/>
                <w:sz w:val="24"/>
              </w:rPr>
              <w:t>3</w:t>
            </w:r>
          </w:p>
        </w:tc>
        <w:tc>
          <w:tcPr>
            <w:tcW w:w="1136" w:type="dxa"/>
          </w:tcPr>
          <w:p>
            <w:pPr>
              <w:pStyle w:val="TableParagraph"/>
              <w:spacing w:before="193"/>
              <w:rPr>
                <w:i/>
                <w:sz w:val="24"/>
              </w:rPr>
            </w:pPr>
          </w:p>
          <w:p>
            <w:pPr>
              <w:pStyle w:val="TableParagraph"/>
              <w:ind w:left="8" w:right="5"/>
              <w:jc w:val="center"/>
              <w:rPr>
                <w:sz w:val="24"/>
              </w:rPr>
            </w:pPr>
            <w:r>
              <w:rPr>
                <w:spacing w:val="-10"/>
                <w:sz w:val="24"/>
              </w:rPr>
              <w:t>4</w:t>
            </w:r>
          </w:p>
        </w:tc>
        <w:tc>
          <w:tcPr>
            <w:tcW w:w="1134" w:type="dxa"/>
          </w:tcPr>
          <w:p>
            <w:pPr>
              <w:pStyle w:val="TableParagraph"/>
              <w:spacing w:before="193"/>
              <w:rPr>
                <w:i/>
                <w:sz w:val="24"/>
              </w:rPr>
            </w:pPr>
          </w:p>
          <w:p>
            <w:pPr>
              <w:pStyle w:val="TableParagraph"/>
              <w:ind w:left="6" w:right="7"/>
              <w:jc w:val="center"/>
              <w:rPr>
                <w:sz w:val="24"/>
              </w:rPr>
            </w:pPr>
            <w:r>
              <w:rPr>
                <w:spacing w:val="-10"/>
                <w:sz w:val="24"/>
              </w:rPr>
              <w:t>5</w:t>
            </w:r>
          </w:p>
        </w:tc>
      </w:tr>
      <w:tr>
        <w:trPr>
          <w:trHeight w:val="835" w:hRule="atLeast"/>
        </w:trPr>
        <w:tc>
          <w:tcPr>
            <w:tcW w:w="569" w:type="dxa"/>
          </w:tcPr>
          <w:p>
            <w:pPr>
              <w:pStyle w:val="TableParagraph"/>
              <w:spacing w:line="271" w:lineRule="exact"/>
              <w:ind w:left="107"/>
              <w:rPr>
                <w:sz w:val="24"/>
              </w:rPr>
            </w:pPr>
            <w:r>
              <w:rPr>
                <w:spacing w:val="-5"/>
                <w:sz w:val="24"/>
              </w:rPr>
              <w:t>15</w:t>
            </w:r>
          </w:p>
        </w:tc>
        <w:tc>
          <w:tcPr>
            <w:tcW w:w="3668" w:type="dxa"/>
          </w:tcPr>
          <w:p>
            <w:pPr>
              <w:pStyle w:val="TableParagraph"/>
              <w:spacing w:line="278" w:lineRule="auto"/>
              <w:ind w:left="107"/>
              <w:rPr>
                <w:sz w:val="24"/>
              </w:rPr>
            </w:pPr>
            <w:r>
              <w:rPr>
                <w:sz w:val="24"/>
              </w:rPr>
              <w:t>Я чувствую себя в безопасности рядом</w:t>
            </w:r>
            <w:r>
              <w:rPr>
                <w:spacing w:val="-8"/>
                <w:sz w:val="24"/>
              </w:rPr>
              <w:t> </w:t>
            </w:r>
            <w:r>
              <w:rPr>
                <w:sz w:val="24"/>
              </w:rPr>
              <w:t>с</w:t>
            </w:r>
            <w:r>
              <w:rPr>
                <w:spacing w:val="-10"/>
                <w:sz w:val="24"/>
              </w:rPr>
              <w:t> </w:t>
            </w:r>
            <w:r>
              <w:rPr>
                <w:sz w:val="24"/>
              </w:rPr>
              <w:t>моей</w:t>
            </w:r>
            <w:r>
              <w:rPr>
                <w:spacing w:val="-8"/>
                <w:sz w:val="24"/>
              </w:rPr>
              <w:t> </w:t>
            </w:r>
            <w:r>
              <w:rPr>
                <w:sz w:val="24"/>
              </w:rPr>
              <w:t>семьей</w:t>
            </w:r>
            <w:r>
              <w:rPr>
                <w:spacing w:val="-8"/>
                <w:sz w:val="24"/>
              </w:rPr>
              <w:t> </w:t>
            </w:r>
            <w:r>
              <w:rPr>
                <w:sz w:val="24"/>
              </w:rPr>
              <w:t>/</w:t>
            </w:r>
            <w:r>
              <w:rPr>
                <w:spacing w:val="-8"/>
                <w:sz w:val="24"/>
              </w:rPr>
              <w:t> </w:t>
            </w:r>
            <w:r>
              <w:rPr>
                <w:sz w:val="24"/>
              </w:rPr>
              <w:t>опекунами</w:t>
            </w:r>
          </w:p>
        </w:tc>
        <w:tc>
          <w:tcPr>
            <w:tcW w:w="1119" w:type="dxa"/>
          </w:tcPr>
          <w:p>
            <w:pPr>
              <w:pStyle w:val="TableParagraph"/>
              <w:spacing w:before="153"/>
              <w:ind w:left="8"/>
              <w:jc w:val="center"/>
              <w:rPr>
                <w:sz w:val="24"/>
              </w:rPr>
            </w:pPr>
            <w:r>
              <w:rPr>
                <w:spacing w:val="-10"/>
                <w:sz w:val="24"/>
              </w:rPr>
              <w:t>1</w:t>
            </w:r>
          </w:p>
        </w:tc>
        <w:tc>
          <w:tcPr>
            <w:tcW w:w="994" w:type="dxa"/>
          </w:tcPr>
          <w:p>
            <w:pPr>
              <w:pStyle w:val="TableParagraph"/>
              <w:spacing w:before="153"/>
              <w:ind w:left="7" w:right="4"/>
              <w:jc w:val="center"/>
              <w:rPr>
                <w:sz w:val="24"/>
              </w:rPr>
            </w:pPr>
            <w:r>
              <w:rPr>
                <w:spacing w:val="-10"/>
                <w:sz w:val="24"/>
              </w:rPr>
              <w:t>2</w:t>
            </w:r>
          </w:p>
        </w:tc>
        <w:tc>
          <w:tcPr>
            <w:tcW w:w="1134" w:type="dxa"/>
          </w:tcPr>
          <w:p>
            <w:pPr>
              <w:pStyle w:val="TableParagraph"/>
              <w:spacing w:before="153"/>
              <w:ind w:left="7" w:right="1"/>
              <w:jc w:val="center"/>
              <w:rPr>
                <w:sz w:val="24"/>
              </w:rPr>
            </w:pPr>
            <w:r>
              <w:rPr>
                <w:spacing w:val="-10"/>
                <w:sz w:val="24"/>
              </w:rPr>
              <w:t>3</w:t>
            </w:r>
          </w:p>
        </w:tc>
        <w:tc>
          <w:tcPr>
            <w:tcW w:w="1136" w:type="dxa"/>
          </w:tcPr>
          <w:p>
            <w:pPr>
              <w:pStyle w:val="TableParagraph"/>
              <w:spacing w:before="153"/>
              <w:ind w:left="8" w:right="5"/>
              <w:jc w:val="center"/>
              <w:rPr>
                <w:sz w:val="24"/>
              </w:rPr>
            </w:pPr>
            <w:r>
              <w:rPr>
                <w:spacing w:val="-10"/>
                <w:sz w:val="24"/>
              </w:rPr>
              <w:t>4</w:t>
            </w:r>
          </w:p>
        </w:tc>
        <w:tc>
          <w:tcPr>
            <w:tcW w:w="1134" w:type="dxa"/>
          </w:tcPr>
          <w:p>
            <w:pPr>
              <w:pStyle w:val="TableParagraph"/>
              <w:spacing w:before="153"/>
              <w:ind w:left="6" w:right="7"/>
              <w:jc w:val="center"/>
              <w:rPr>
                <w:sz w:val="24"/>
              </w:rPr>
            </w:pPr>
            <w:r>
              <w:rPr>
                <w:spacing w:val="-10"/>
                <w:sz w:val="24"/>
              </w:rPr>
              <w:t>5</w:t>
            </w:r>
          </w:p>
        </w:tc>
      </w:tr>
      <w:tr>
        <w:trPr>
          <w:trHeight w:val="2104" w:hRule="atLeast"/>
        </w:trPr>
        <w:tc>
          <w:tcPr>
            <w:tcW w:w="569" w:type="dxa"/>
          </w:tcPr>
          <w:p>
            <w:pPr>
              <w:pStyle w:val="TableParagraph"/>
              <w:spacing w:line="270" w:lineRule="exact"/>
              <w:ind w:left="107"/>
              <w:rPr>
                <w:sz w:val="24"/>
              </w:rPr>
            </w:pPr>
            <w:r>
              <w:rPr>
                <w:spacing w:val="-5"/>
                <w:sz w:val="24"/>
              </w:rPr>
              <w:t>16</w:t>
            </w:r>
          </w:p>
        </w:tc>
        <w:tc>
          <w:tcPr>
            <w:tcW w:w="3668" w:type="dxa"/>
          </w:tcPr>
          <w:p>
            <w:pPr>
              <w:pStyle w:val="TableParagraph"/>
              <w:spacing w:line="276" w:lineRule="auto"/>
              <w:ind w:left="107" w:right="77"/>
              <w:rPr>
                <w:sz w:val="24"/>
              </w:rPr>
            </w:pPr>
            <w:r>
              <w:rPr>
                <w:sz w:val="24"/>
              </w:rPr>
              <w:t>У</w:t>
            </w:r>
            <w:r>
              <w:rPr>
                <w:spacing w:val="-10"/>
                <w:sz w:val="24"/>
              </w:rPr>
              <w:t> </w:t>
            </w:r>
            <w:r>
              <w:rPr>
                <w:sz w:val="24"/>
              </w:rPr>
              <w:t>меня</w:t>
            </w:r>
            <w:r>
              <w:rPr>
                <w:spacing w:val="-10"/>
                <w:sz w:val="24"/>
              </w:rPr>
              <w:t> </w:t>
            </w:r>
            <w:r>
              <w:rPr>
                <w:sz w:val="24"/>
              </w:rPr>
              <w:t>есть</w:t>
            </w:r>
            <w:r>
              <w:rPr>
                <w:spacing w:val="-10"/>
                <w:sz w:val="24"/>
              </w:rPr>
              <w:t> </w:t>
            </w:r>
            <w:r>
              <w:rPr>
                <w:sz w:val="24"/>
              </w:rPr>
              <w:t>возможность</w:t>
            </w:r>
            <w:r>
              <w:rPr>
                <w:spacing w:val="-10"/>
                <w:sz w:val="24"/>
              </w:rPr>
              <w:t> </w:t>
            </w:r>
            <w:r>
              <w:rPr>
                <w:sz w:val="24"/>
              </w:rPr>
              <w:t>развить навыки, которые пригодятся мне в дальнейшей жизни (например, профессиональные навыки и умение заботиться о других </w:t>
            </w:r>
            <w:r>
              <w:rPr>
                <w:spacing w:val="-2"/>
                <w:sz w:val="24"/>
              </w:rPr>
              <w:t>людях)</w:t>
            </w:r>
          </w:p>
        </w:tc>
        <w:tc>
          <w:tcPr>
            <w:tcW w:w="1119" w:type="dxa"/>
          </w:tcPr>
          <w:p>
            <w:pPr>
              <w:pStyle w:val="TableParagraph"/>
              <w:rPr>
                <w:i/>
                <w:sz w:val="24"/>
              </w:rPr>
            </w:pPr>
          </w:p>
          <w:p>
            <w:pPr>
              <w:pStyle w:val="TableParagraph"/>
              <w:spacing w:before="236"/>
              <w:rPr>
                <w:i/>
                <w:sz w:val="24"/>
              </w:rPr>
            </w:pPr>
          </w:p>
          <w:p>
            <w:pPr>
              <w:pStyle w:val="TableParagraph"/>
              <w:ind w:left="8"/>
              <w:jc w:val="center"/>
              <w:rPr>
                <w:sz w:val="24"/>
              </w:rPr>
            </w:pPr>
            <w:r>
              <w:rPr>
                <w:spacing w:val="-10"/>
                <w:sz w:val="24"/>
              </w:rPr>
              <w:t>1</w:t>
            </w:r>
          </w:p>
        </w:tc>
        <w:tc>
          <w:tcPr>
            <w:tcW w:w="994" w:type="dxa"/>
          </w:tcPr>
          <w:p>
            <w:pPr>
              <w:pStyle w:val="TableParagraph"/>
              <w:rPr>
                <w:i/>
                <w:sz w:val="24"/>
              </w:rPr>
            </w:pPr>
          </w:p>
          <w:p>
            <w:pPr>
              <w:pStyle w:val="TableParagraph"/>
              <w:spacing w:before="236"/>
              <w:rPr>
                <w:i/>
                <w:sz w:val="24"/>
              </w:rPr>
            </w:pPr>
          </w:p>
          <w:p>
            <w:pPr>
              <w:pStyle w:val="TableParagraph"/>
              <w:ind w:left="7" w:right="4"/>
              <w:jc w:val="center"/>
              <w:rPr>
                <w:sz w:val="24"/>
              </w:rPr>
            </w:pPr>
            <w:r>
              <w:rPr>
                <w:spacing w:val="-10"/>
                <w:sz w:val="24"/>
              </w:rPr>
              <w:t>2</w:t>
            </w:r>
          </w:p>
        </w:tc>
        <w:tc>
          <w:tcPr>
            <w:tcW w:w="1134" w:type="dxa"/>
          </w:tcPr>
          <w:p>
            <w:pPr>
              <w:pStyle w:val="TableParagraph"/>
              <w:rPr>
                <w:i/>
                <w:sz w:val="24"/>
              </w:rPr>
            </w:pPr>
          </w:p>
          <w:p>
            <w:pPr>
              <w:pStyle w:val="TableParagraph"/>
              <w:spacing w:before="236"/>
              <w:rPr>
                <w:i/>
                <w:sz w:val="24"/>
              </w:rPr>
            </w:pPr>
          </w:p>
          <w:p>
            <w:pPr>
              <w:pStyle w:val="TableParagraph"/>
              <w:ind w:left="7" w:right="1"/>
              <w:jc w:val="center"/>
              <w:rPr>
                <w:sz w:val="24"/>
              </w:rPr>
            </w:pPr>
            <w:r>
              <w:rPr>
                <w:spacing w:val="-10"/>
                <w:sz w:val="24"/>
              </w:rPr>
              <w:t>3</w:t>
            </w:r>
          </w:p>
        </w:tc>
        <w:tc>
          <w:tcPr>
            <w:tcW w:w="1136" w:type="dxa"/>
          </w:tcPr>
          <w:p>
            <w:pPr>
              <w:pStyle w:val="TableParagraph"/>
              <w:rPr>
                <w:i/>
                <w:sz w:val="24"/>
              </w:rPr>
            </w:pPr>
          </w:p>
          <w:p>
            <w:pPr>
              <w:pStyle w:val="TableParagraph"/>
              <w:spacing w:before="236"/>
              <w:rPr>
                <w:i/>
                <w:sz w:val="24"/>
              </w:rPr>
            </w:pPr>
          </w:p>
          <w:p>
            <w:pPr>
              <w:pStyle w:val="TableParagraph"/>
              <w:ind w:left="8" w:right="5"/>
              <w:jc w:val="center"/>
              <w:rPr>
                <w:sz w:val="24"/>
              </w:rPr>
            </w:pPr>
            <w:r>
              <w:rPr>
                <w:spacing w:val="-10"/>
                <w:sz w:val="24"/>
              </w:rPr>
              <w:t>4</w:t>
            </w:r>
          </w:p>
        </w:tc>
        <w:tc>
          <w:tcPr>
            <w:tcW w:w="1134" w:type="dxa"/>
          </w:tcPr>
          <w:p>
            <w:pPr>
              <w:pStyle w:val="TableParagraph"/>
              <w:rPr>
                <w:i/>
                <w:sz w:val="24"/>
              </w:rPr>
            </w:pPr>
          </w:p>
          <w:p>
            <w:pPr>
              <w:pStyle w:val="TableParagraph"/>
              <w:spacing w:before="236"/>
              <w:rPr>
                <w:i/>
                <w:sz w:val="24"/>
              </w:rPr>
            </w:pPr>
          </w:p>
          <w:p>
            <w:pPr>
              <w:pStyle w:val="TableParagraph"/>
              <w:ind w:left="6" w:right="7"/>
              <w:jc w:val="center"/>
              <w:rPr>
                <w:sz w:val="24"/>
              </w:rPr>
            </w:pPr>
            <w:r>
              <w:rPr>
                <w:spacing w:val="-10"/>
                <w:sz w:val="24"/>
              </w:rPr>
              <w:t>5</w:t>
            </w:r>
          </w:p>
        </w:tc>
      </w:tr>
      <w:tr>
        <w:trPr>
          <w:trHeight w:val="1152" w:hRule="atLeast"/>
        </w:trPr>
        <w:tc>
          <w:tcPr>
            <w:tcW w:w="569" w:type="dxa"/>
          </w:tcPr>
          <w:p>
            <w:pPr>
              <w:pStyle w:val="TableParagraph"/>
              <w:spacing w:line="270" w:lineRule="exact"/>
              <w:ind w:left="107"/>
              <w:rPr>
                <w:sz w:val="24"/>
              </w:rPr>
            </w:pPr>
            <w:r>
              <w:rPr>
                <w:spacing w:val="-5"/>
                <w:sz w:val="24"/>
              </w:rPr>
              <w:t>17</w:t>
            </w:r>
          </w:p>
        </w:tc>
        <w:tc>
          <w:tcPr>
            <w:tcW w:w="3668" w:type="dxa"/>
          </w:tcPr>
          <w:p>
            <w:pPr>
              <w:pStyle w:val="TableParagraph"/>
              <w:spacing w:line="276" w:lineRule="auto"/>
              <w:ind w:left="107"/>
              <w:rPr>
                <w:sz w:val="24"/>
              </w:rPr>
            </w:pPr>
            <w:r>
              <w:rPr>
                <w:sz w:val="24"/>
              </w:rPr>
              <w:t>Мне нравятся культурные и семейные</w:t>
            </w:r>
            <w:r>
              <w:rPr>
                <w:spacing w:val="-12"/>
                <w:sz w:val="24"/>
              </w:rPr>
              <w:t> </w:t>
            </w:r>
            <w:r>
              <w:rPr>
                <w:sz w:val="24"/>
              </w:rPr>
              <w:t>традиции</w:t>
            </w:r>
            <w:r>
              <w:rPr>
                <w:spacing w:val="-10"/>
                <w:sz w:val="24"/>
              </w:rPr>
              <w:t> </w:t>
            </w:r>
            <w:r>
              <w:rPr>
                <w:sz w:val="24"/>
              </w:rPr>
              <w:t>моей</w:t>
            </w:r>
            <w:r>
              <w:rPr>
                <w:spacing w:val="-10"/>
                <w:sz w:val="24"/>
              </w:rPr>
              <w:t> </w:t>
            </w:r>
            <w:r>
              <w:rPr>
                <w:sz w:val="24"/>
              </w:rPr>
              <w:t>семьи</w:t>
            </w:r>
            <w:r>
              <w:rPr>
                <w:spacing w:val="-10"/>
                <w:sz w:val="24"/>
              </w:rPr>
              <w:t> </w:t>
            </w:r>
            <w:r>
              <w:rPr>
                <w:sz w:val="24"/>
              </w:rPr>
              <w:t>/ </w:t>
            </w:r>
            <w:r>
              <w:rPr>
                <w:spacing w:val="-2"/>
                <w:sz w:val="24"/>
              </w:rPr>
              <w:t>опекунов</w:t>
            </w:r>
          </w:p>
        </w:tc>
        <w:tc>
          <w:tcPr>
            <w:tcW w:w="1119" w:type="dxa"/>
          </w:tcPr>
          <w:p>
            <w:pPr>
              <w:pStyle w:val="TableParagraph"/>
              <w:spacing w:before="35"/>
              <w:rPr>
                <w:i/>
                <w:sz w:val="24"/>
              </w:rPr>
            </w:pPr>
          </w:p>
          <w:p>
            <w:pPr>
              <w:pStyle w:val="TableParagraph"/>
              <w:ind w:left="8"/>
              <w:jc w:val="center"/>
              <w:rPr>
                <w:sz w:val="24"/>
              </w:rPr>
            </w:pPr>
            <w:r>
              <w:rPr>
                <w:spacing w:val="-10"/>
                <w:sz w:val="24"/>
              </w:rPr>
              <w:t>1</w:t>
            </w:r>
          </w:p>
        </w:tc>
        <w:tc>
          <w:tcPr>
            <w:tcW w:w="994" w:type="dxa"/>
          </w:tcPr>
          <w:p>
            <w:pPr>
              <w:pStyle w:val="TableParagraph"/>
              <w:spacing w:before="35"/>
              <w:rPr>
                <w:i/>
                <w:sz w:val="24"/>
              </w:rPr>
            </w:pPr>
          </w:p>
          <w:p>
            <w:pPr>
              <w:pStyle w:val="TableParagraph"/>
              <w:ind w:left="7" w:right="4"/>
              <w:jc w:val="center"/>
              <w:rPr>
                <w:sz w:val="24"/>
              </w:rPr>
            </w:pPr>
            <w:r>
              <w:rPr>
                <w:spacing w:val="-10"/>
                <w:sz w:val="24"/>
              </w:rPr>
              <w:t>2</w:t>
            </w:r>
          </w:p>
        </w:tc>
        <w:tc>
          <w:tcPr>
            <w:tcW w:w="1134" w:type="dxa"/>
          </w:tcPr>
          <w:p>
            <w:pPr>
              <w:pStyle w:val="TableParagraph"/>
              <w:spacing w:before="35"/>
              <w:rPr>
                <w:i/>
                <w:sz w:val="24"/>
              </w:rPr>
            </w:pPr>
          </w:p>
          <w:p>
            <w:pPr>
              <w:pStyle w:val="TableParagraph"/>
              <w:ind w:left="7" w:right="1"/>
              <w:jc w:val="center"/>
              <w:rPr>
                <w:sz w:val="24"/>
              </w:rPr>
            </w:pPr>
            <w:r>
              <w:rPr>
                <w:spacing w:val="-10"/>
                <w:sz w:val="24"/>
              </w:rPr>
              <w:t>3</w:t>
            </w:r>
          </w:p>
        </w:tc>
        <w:tc>
          <w:tcPr>
            <w:tcW w:w="1136" w:type="dxa"/>
          </w:tcPr>
          <w:p>
            <w:pPr>
              <w:pStyle w:val="TableParagraph"/>
              <w:spacing w:before="35"/>
              <w:rPr>
                <w:i/>
                <w:sz w:val="24"/>
              </w:rPr>
            </w:pPr>
          </w:p>
          <w:p>
            <w:pPr>
              <w:pStyle w:val="TableParagraph"/>
              <w:ind w:left="8" w:right="5"/>
              <w:jc w:val="center"/>
              <w:rPr>
                <w:sz w:val="24"/>
              </w:rPr>
            </w:pPr>
            <w:r>
              <w:rPr>
                <w:spacing w:val="-10"/>
                <w:sz w:val="24"/>
              </w:rPr>
              <w:t>4</w:t>
            </w:r>
          </w:p>
        </w:tc>
        <w:tc>
          <w:tcPr>
            <w:tcW w:w="1134" w:type="dxa"/>
          </w:tcPr>
          <w:p>
            <w:pPr>
              <w:pStyle w:val="TableParagraph"/>
              <w:spacing w:before="35"/>
              <w:rPr>
                <w:i/>
                <w:sz w:val="24"/>
              </w:rPr>
            </w:pPr>
          </w:p>
          <w:p>
            <w:pPr>
              <w:pStyle w:val="TableParagraph"/>
              <w:ind w:left="6" w:right="7"/>
              <w:jc w:val="center"/>
              <w:rPr>
                <w:sz w:val="24"/>
              </w:rPr>
            </w:pPr>
            <w:r>
              <w:rPr>
                <w:spacing w:val="-10"/>
                <w:sz w:val="24"/>
              </w:rPr>
              <w:t>5</w:t>
            </w:r>
          </w:p>
        </w:tc>
      </w:tr>
    </w:tbl>
    <w:p>
      <w:pPr>
        <w:pStyle w:val="TableParagraph"/>
        <w:spacing w:after="0"/>
        <w:jc w:val="center"/>
        <w:rPr>
          <w:sz w:val="24"/>
        </w:rPr>
        <w:sectPr>
          <w:type w:val="continuous"/>
          <w:pgSz w:w="11910" w:h="16840"/>
          <w:pgMar w:header="0" w:footer="970" w:top="1100" w:bottom="1220" w:left="1417" w:right="283"/>
        </w:sectPr>
      </w:pPr>
    </w:p>
    <w:p>
      <w:pPr>
        <w:spacing w:before="72"/>
        <w:ind w:left="284" w:right="566" w:firstLine="0"/>
        <w:jc w:val="center"/>
        <w:rPr>
          <w:b/>
          <w:sz w:val="28"/>
        </w:rPr>
      </w:pPr>
      <w:r>
        <w:rPr>
          <w:b/>
          <w:sz w:val="28"/>
        </w:rPr>
        <w:t>Для</w:t>
      </w:r>
      <w:r>
        <w:rPr>
          <w:b/>
          <w:spacing w:val="-6"/>
          <w:sz w:val="28"/>
        </w:rPr>
        <w:t> </w:t>
      </w:r>
      <w:r>
        <w:rPr>
          <w:b/>
          <w:sz w:val="28"/>
        </w:rPr>
        <w:t>информированного</w:t>
      </w:r>
      <w:r>
        <w:rPr>
          <w:b/>
          <w:spacing w:val="-3"/>
          <w:sz w:val="28"/>
        </w:rPr>
        <w:t> </w:t>
      </w:r>
      <w:r>
        <w:rPr>
          <w:b/>
          <w:sz w:val="28"/>
        </w:rPr>
        <w:t>лица</w:t>
      </w:r>
      <w:r>
        <w:rPr>
          <w:b/>
          <w:spacing w:val="-7"/>
          <w:sz w:val="28"/>
        </w:rPr>
        <w:t> </w:t>
      </w:r>
      <w:r>
        <w:rPr>
          <w:b/>
          <w:sz w:val="28"/>
        </w:rPr>
        <w:t>о</w:t>
      </w:r>
      <w:r>
        <w:rPr>
          <w:b/>
          <w:spacing w:val="-2"/>
          <w:sz w:val="28"/>
        </w:rPr>
        <w:t> подростках</w:t>
      </w:r>
    </w:p>
    <w:p>
      <w:pPr>
        <w:pStyle w:val="Heading5"/>
        <w:spacing w:line="322" w:lineRule="exact" w:before="238"/>
        <w:jc w:val="both"/>
      </w:pPr>
      <w:r>
        <w:rPr/>
        <w:t>Прочитайте</w:t>
      </w:r>
      <w:r>
        <w:rPr>
          <w:spacing w:val="-4"/>
        </w:rPr>
        <w:t> </w:t>
      </w:r>
      <w:r>
        <w:rPr/>
        <w:t>утверждения</w:t>
      </w:r>
      <w:r>
        <w:rPr>
          <w:spacing w:val="-4"/>
        </w:rPr>
        <w:t> </w:t>
      </w:r>
      <w:r>
        <w:rPr/>
        <w:t>и</w:t>
      </w:r>
      <w:r>
        <w:rPr>
          <w:spacing w:val="-3"/>
        </w:rPr>
        <w:t> </w:t>
      </w:r>
      <w:r>
        <w:rPr/>
        <w:t>отметьте,</w:t>
      </w:r>
      <w:r>
        <w:rPr>
          <w:spacing w:val="-3"/>
        </w:rPr>
        <w:t> </w:t>
      </w:r>
      <w:r>
        <w:rPr/>
        <w:t>насколько</w:t>
      </w:r>
      <w:r>
        <w:rPr>
          <w:spacing w:val="-2"/>
        </w:rPr>
        <w:t> </w:t>
      </w:r>
      <w:r>
        <w:rPr/>
        <w:t>каждое</w:t>
      </w:r>
      <w:r>
        <w:rPr>
          <w:spacing w:val="-3"/>
        </w:rPr>
        <w:t> </w:t>
      </w:r>
      <w:r>
        <w:rPr/>
        <w:t>из</w:t>
      </w:r>
      <w:r>
        <w:rPr>
          <w:spacing w:val="-2"/>
        </w:rPr>
        <w:t> </w:t>
      </w:r>
      <w:r>
        <w:rPr/>
        <w:t>них</w:t>
      </w:r>
      <w:r>
        <w:rPr>
          <w:spacing w:val="-4"/>
        </w:rPr>
        <w:t> </w:t>
      </w:r>
      <w:r>
        <w:rPr/>
        <w:t>относится</w:t>
      </w:r>
      <w:r>
        <w:rPr>
          <w:spacing w:val="-5"/>
        </w:rPr>
        <w:t> </w:t>
      </w:r>
      <w:r>
        <w:rPr>
          <w:spacing w:val="-10"/>
        </w:rPr>
        <w:t>к</w:t>
      </w:r>
    </w:p>
    <w:p>
      <w:pPr>
        <w:pStyle w:val="Heading5"/>
        <w:tabs>
          <w:tab w:pos="2666" w:val="left" w:leader="none"/>
        </w:tabs>
        <w:spacing w:after="5"/>
        <w:ind w:right="277"/>
        <w:jc w:val="both"/>
      </w:pPr>
      <w:r>
        <w:rPr>
          <w:i w:val="0"/>
          <w:u w:val="single"/>
        </w:rPr>
        <w:tab/>
      </w:r>
      <w:r>
        <w:rPr/>
        <w:t>. Данные утверждения помогут лучше понять, как он/она ведет себя в разных жизненных обстоятельствах. Выберите в каждом утверждении наиболее подходящий вариант и обведите в бланке соответствующий номер. Здесь нет правильных и неправильных ответов.</w:t>
      </w:r>
    </w:p>
    <w:tbl>
      <w:tblPr>
        <w:tblW w:w="0" w:type="auto"/>
        <w:jc w:val="left"/>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3944"/>
        <w:gridCol w:w="1277"/>
        <w:gridCol w:w="991"/>
        <w:gridCol w:w="1136"/>
        <w:gridCol w:w="991"/>
        <w:gridCol w:w="991"/>
      </w:tblGrid>
      <w:tr>
        <w:trPr>
          <w:trHeight w:val="1788" w:hRule="atLeast"/>
        </w:trPr>
        <w:tc>
          <w:tcPr>
            <w:tcW w:w="562" w:type="dxa"/>
          </w:tcPr>
          <w:p>
            <w:pPr>
              <w:pStyle w:val="TableParagraph"/>
              <w:spacing w:before="99"/>
              <w:rPr>
                <w:i/>
                <w:sz w:val="24"/>
              </w:rPr>
            </w:pPr>
          </w:p>
          <w:p>
            <w:pPr>
              <w:pStyle w:val="TableParagraph"/>
              <w:spacing w:line="451" w:lineRule="auto"/>
              <w:ind w:left="107" w:right="93"/>
              <w:rPr>
                <w:b/>
                <w:sz w:val="24"/>
              </w:rPr>
            </w:pPr>
            <w:r>
              <w:rPr>
                <w:b/>
                <w:spacing w:val="-10"/>
                <w:sz w:val="24"/>
              </w:rPr>
              <w:t>№ </w:t>
            </w:r>
            <w:r>
              <w:rPr>
                <w:b/>
                <w:spacing w:val="-4"/>
                <w:sz w:val="24"/>
              </w:rPr>
              <w:t>п/п</w:t>
            </w:r>
          </w:p>
        </w:tc>
        <w:tc>
          <w:tcPr>
            <w:tcW w:w="3944" w:type="dxa"/>
          </w:tcPr>
          <w:p>
            <w:pPr>
              <w:pStyle w:val="TableParagraph"/>
              <w:rPr>
                <w:i/>
                <w:sz w:val="24"/>
              </w:rPr>
            </w:pPr>
          </w:p>
          <w:p>
            <w:pPr>
              <w:pStyle w:val="TableParagraph"/>
              <w:spacing w:before="82"/>
              <w:rPr>
                <w:i/>
                <w:sz w:val="24"/>
              </w:rPr>
            </w:pPr>
          </w:p>
          <w:p>
            <w:pPr>
              <w:pStyle w:val="TableParagraph"/>
              <w:spacing w:before="1"/>
              <w:ind w:left="107"/>
              <w:rPr>
                <w:b/>
                <w:sz w:val="24"/>
              </w:rPr>
            </w:pPr>
            <w:r>
              <w:rPr>
                <w:b/>
                <w:spacing w:val="-2"/>
                <w:sz w:val="24"/>
              </w:rPr>
              <w:t>Утверждение</w:t>
            </w:r>
          </w:p>
        </w:tc>
        <w:tc>
          <w:tcPr>
            <w:tcW w:w="1277" w:type="dxa"/>
          </w:tcPr>
          <w:p>
            <w:pPr>
              <w:pStyle w:val="TableParagraph"/>
              <w:spacing w:before="37"/>
              <w:rPr>
                <w:i/>
                <w:sz w:val="24"/>
              </w:rPr>
            </w:pPr>
          </w:p>
          <w:p>
            <w:pPr>
              <w:pStyle w:val="TableParagraph"/>
              <w:spacing w:line="276" w:lineRule="auto"/>
              <w:ind w:left="107" w:right="129"/>
              <w:rPr>
                <w:i/>
                <w:sz w:val="24"/>
              </w:rPr>
            </w:pPr>
            <w:r>
              <w:rPr>
                <w:i/>
                <w:spacing w:val="-2"/>
                <w:sz w:val="24"/>
              </w:rPr>
              <w:t>Полность </w:t>
            </w:r>
            <w:r>
              <w:rPr>
                <w:i/>
                <w:sz w:val="24"/>
              </w:rPr>
              <w:t>ю не </w:t>
            </w:r>
            <w:r>
              <w:rPr>
                <w:i/>
                <w:spacing w:val="-2"/>
                <w:sz w:val="24"/>
              </w:rPr>
              <w:t>согласен</w:t>
            </w:r>
          </w:p>
        </w:tc>
        <w:tc>
          <w:tcPr>
            <w:tcW w:w="991" w:type="dxa"/>
          </w:tcPr>
          <w:p>
            <w:pPr>
              <w:pStyle w:val="TableParagraph"/>
              <w:spacing w:line="276" w:lineRule="auto" w:before="155"/>
              <w:ind w:left="104" w:right="113"/>
              <w:rPr>
                <w:i/>
                <w:sz w:val="24"/>
              </w:rPr>
            </w:pPr>
            <w:r>
              <w:rPr>
                <w:i/>
                <w:spacing w:val="-2"/>
                <w:sz w:val="24"/>
              </w:rPr>
              <w:t>Скорее </w:t>
            </w:r>
            <w:r>
              <w:rPr>
                <w:i/>
                <w:spacing w:val="-6"/>
                <w:sz w:val="24"/>
              </w:rPr>
              <w:t>не </w:t>
            </w:r>
            <w:r>
              <w:rPr>
                <w:i/>
                <w:spacing w:val="-2"/>
                <w:sz w:val="24"/>
              </w:rPr>
              <w:t>согласе </w:t>
            </w:r>
            <w:r>
              <w:rPr>
                <w:i/>
                <w:spacing w:val="-10"/>
                <w:sz w:val="24"/>
              </w:rPr>
              <w:t>н</w:t>
            </w:r>
          </w:p>
        </w:tc>
        <w:tc>
          <w:tcPr>
            <w:tcW w:w="1136" w:type="dxa"/>
          </w:tcPr>
          <w:p>
            <w:pPr>
              <w:pStyle w:val="TableParagraph"/>
              <w:spacing w:line="276" w:lineRule="auto"/>
              <w:ind w:left="107" w:right="138"/>
              <w:rPr>
                <w:i/>
                <w:sz w:val="24"/>
              </w:rPr>
            </w:pPr>
            <w:r>
              <w:rPr>
                <w:i/>
                <w:sz w:val="24"/>
              </w:rPr>
              <w:t>В чем- </w:t>
            </w:r>
            <w:r>
              <w:rPr>
                <w:i/>
                <w:spacing w:val="-6"/>
                <w:sz w:val="24"/>
              </w:rPr>
              <w:t>то </w:t>
            </w:r>
            <w:r>
              <w:rPr>
                <w:i/>
                <w:spacing w:val="-2"/>
                <w:sz w:val="24"/>
              </w:rPr>
              <w:t>согласен</w:t>
            </w:r>
          </w:p>
          <w:p>
            <w:pPr>
              <w:pStyle w:val="TableParagraph"/>
              <w:spacing w:line="278" w:lineRule="auto"/>
              <w:ind w:left="107" w:right="261"/>
              <w:rPr>
                <w:i/>
                <w:sz w:val="24"/>
              </w:rPr>
            </w:pPr>
            <w:r>
              <w:rPr>
                <w:i/>
                <w:sz w:val="24"/>
              </w:rPr>
              <w:t>,</w:t>
            </w:r>
            <w:r>
              <w:rPr>
                <w:i/>
                <w:spacing w:val="-12"/>
                <w:sz w:val="24"/>
              </w:rPr>
              <w:t> </w:t>
            </w:r>
            <w:r>
              <w:rPr>
                <w:i/>
                <w:sz w:val="24"/>
              </w:rPr>
              <w:t>в</w:t>
            </w:r>
            <w:r>
              <w:rPr>
                <w:i/>
                <w:spacing w:val="-13"/>
                <w:sz w:val="24"/>
              </w:rPr>
              <w:t> </w:t>
            </w:r>
            <w:r>
              <w:rPr>
                <w:i/>
                <w:sz w:val="24"/>
              </w:rPr>
              <w:t>чем- то </w:t>
            </w:r>
            <w:r>
              <w:rPr>
                <w:i/>
                <w:spacing w:val="-5"/>
                <w:sz w:val="24"/>
              </w:rPr>
              <w:t>нет</w:t>
            </w:r>
          </w:p>
        </w:tc>
        <w:tc>
          <w:tcPr>
            <w:tcW w:w="991" w:type="dxa"/>
          </w:tcPr>
          <w:p>
            <w:pPr>
              <w:pStyle w:val="TableParagraph"/>
              <w:spacing w:before="37"/>
              <w:rPr>
                <w:i/>
                <w:sz w:val="24"/>
              </w:rPr>
            </w:pPr>
          </w:p>
          <w:p>
            <w:pPr>
              <w:pStyle w:val="TableParagraph"/>
              <w:spacing w:line="276" w:lineRule="auto"/>
              <w:ind w:left="107" w:right="114"/>
              <w:jc w:val="both"/>
              <w:rPr>
                <w:i/>
                <w:sz w:val="24"/>
              </w:rPr>
            </w:pPr>
            <w:r>
              <w:rPr>
                <w:i/>
                <w:spacing w:val="-2"/>
                <w:sz w:val="24"/>
              </w:rPr>
              <w:t>Скорее согласе </w:t>
            </w:r>
            <w:r>
              <w:rPr>
                <w:i/>
                <w:spacing w:val="-10"/>
                <w:sz w:val="24"/>
              </w:rPr>
              <w:t>н</w:t>
            </w:r>
          </w:p>
        </w:tc>
        <w:tc>
          <w:tcPr>
            <w:tcW w:w="991" w:type="dxa"/>
          </w:tcPr>
          <w:p>
            <w:pPr>
              <w:pStyle w:val="TableParagraph"/>
              <w:spacing w:line="276" w:lineRule="auto" w:before="155"/>
              <w:ind w:left="107" w:right="110"/>
              <w:rPr>
                <w:i/>
                <w:sz w:val="24"/>
              </w:rPr>
            </w:pPr>
            <w:r>
              <w:rPr>
                <w:i/>
                <w:spacing w:val="-2"/>
                <w:sz w:val="24"/>
              </w:rPr>
              <w:t>Полнос </w:t>
            </w:r>
            <w:r>
              <w:rPr>
                <w:i/>
                <w:spacing w:val="-4"/>
                <w:sz w:val="24"/>
              </w:rPr>
              <w:t>тью </w:t>
            </w:r>
            <w:r>
              <w:rPr>
                <w:i/>
                <w:spacing w:val="-2"/>
                <w:sz w:val="24"/>
              </w:rPr>
              <w:t>согласе </w:t>
            </w:r>
            <w:r>
              <w:rPr>
                <w:i/>
                <w:spacing w:val="-10"/>
                <w:sz w:val="24"/>
              </w:rPr>
              <w:t>н</w:t>
            </w:r>
          </w:p>
        </w:tc>
      </w:tr>
      <w:tr>
        <w:trPr>
          <w:trHeight w:val="834" w:hRule="atLeast"/>
        </w:trPr>
        <w:tc>
          <w:tcPr>
            <w:tcW w:w="562" w:type="dxa"/>
          </w:tcPr>
          <w:p>
            <w:pPr>
              <w:pStyle w:val="TableParagraph"/>
              <w:spacing w:line="270" w:lineRule="exact"/>
              <w:ind w:left="107"/>
              <w:rPr>
                <w:sz w:val="24"/>
              </w:rPr>
            </w:pPr>
            <w:r>
              <w:rPr>
                <w:spacing w:val="-10"/>
                <w:sz w:val="24"/>
              </w:rPr>
              <w:t>1</w:t>
            </w:r>
          </w:p>
        </w:tc>
        <w:tc>
          <w:tcPr>
            <w:tcW w:w="3944" w:type="dxa"/>
          </w:tcPr>
          <w:p>
            <w:pPr>
              <w:pStyle w:val="TableParagraph"/>
              <w:spacing w:line="278" w:lineRule="auto"/>
              <w:ind w:left="107"/>
              <w:rPr>
                <w:sz w:val="24"/>
              </w:rPr>
            </w:pPr>
            <w:r>
              <w:rPr>
                <w:sz w:val="24"/>
              </w:rPr>
              <w:t>Подросток</w:t>
            </w:r>
            <w:r>
              <w:rPr>
                <w:spacing w:val="-12"/>
                <w:sz w:val="24"/>
              </w:rPr>
              <w:t> </w:t>
            </w:r>
            <w:r>
              <w:rPr>
                <w:sz w:val="24"/>
              </w:rPr>
              <w:t>умеет</w:t>
            </w:r>
            <w:r>
              <w:rPr>
                <w:spacing w:val="-14"/>
                <w:sz w:val="24"/>
              </w:rPr>
              <w:t> </w:t>
            </w:r>
            <w:r>
              <w:rPr>
                <w:sz w:val="24"/>
              </w:rPr>
              <w:t>ладить</w:t>
            </w:r>
            <w:r>
              <w:rPr>
                <w:spacing w:val="-13"/>
                <w:sz w:val="24"/>
              </w:rPr>
              <w:t> </w:t>
            </w:r>
            <w:r>
              <w:rPr>
                <w:sz w:val="24"/>
              </w:rPr>
              <w:t>с окружающими людьми</w:t>
            </w:r>
          </w:p>
        </w:tc>
        <w:tc>
          <w:tcPr>
            <w:tcW w:w="1277" w:type="dxa"/>
          </w:tcPr>
          <w:p>
            <w:pPr>
              <w:pStyle w:val="TableParagraph"/>
              <w:spacing w:before="152"/>
              <w:ind w:left="107"/>
              <w:rPr>
                <w:sz w:val="24"/>
              </w:rPr>
            </w:pPr>
            <w:r>
              <w:rPr>
                <w:spacing w:val="-10"/>
                <w:sz w:val="24"/>
              </w:rPr>
              <w:t>1</w:t>
            </w:r>
          </w:p>
        </w:tc>
        <w:tc>
          <w:tcPr>
            <w:tcW w:w="991" w:type="dxa"/>
          </w:tcPr>
          <w:p>
            <w:pPr>
              <w:pStyle w:val="TableParagraph"/>
              <w:spacing w:before="152"/>
              <w:ind w:left="104"/>
              <w:rPr>
                <w:sz w:val="24"/>
              </w:rPr>
            </w:pPr>
            <w:r>
              <w:rPr>
                <w:spacing w:val="-10"/>
                <w:sz w:val="24"/>
              </w:rPr>
              <w:t>2</w:t>
            </w:r>
          </w:p>
        </w:tc>
        <w:tc>
          <w:tcPr>
            <w:tcW w:w="1136" w:type="dxa"/>
          </w:tcPr>
          <w:p>
            <w:pPr>
              <w:pStyle w:val="TableParagraph"/>
              <w:spacing w:before="152"/>
              <w:ind w:left="107"/>
              <w:rPr>
                <w:sz w:val="24"/>
              </w:rPr>
            </w:pPr>
            <w:r>
              <w:rPr>
                <w:spacing w:val="-10"/>
                <w:sz w:val="24"/>
              </w:rPr>
              <w:t>3</w:t>
            </w:r>
          </w:p>
        </w:tc>
        <w:tc>
          <w:tcPr>
            <w:tcW w:w="991" w:type="dxa"/>
          </w:tcPr>
          <w:p>
            <w:pPr>
              <w:pStyle w:val="TableParagraph"/>
              <w:spacing w:before="152"/>
              <w:ind w:left="107"/>
              <w:rPr>
                <w:sz w:val="24"/>
              </w:rPr>
            </w:pPr>
            <w:r>
              <w:rPr>
                <w:spacing w:val="-10"/>
                <w:sz w:val="24"/>
              </w:rPr>
              <w:t>4</w:t>
            </w:r>
          </w:p>
        </w:tc>
        <w:tc>
          <w:tcPr>
            <w:tcW w:w="991" w:type="dxa"/>
          </w:tcPr>
          <w:p>
            <w:pPr>
              <w:pStyle w:val="TableParagraph"/>
              <w:spacing w:before="152"/>
              <w:ind w:left="107"/>
              <w:rPr>
                <w:sz w:val="24"/>
              </w:rPr>
            </w:pPr>
            <w:r>
              <w:rPr>
                <w:spacing w:val="-10"/>
                <w:sz w:val="24"/>
              </w:rPr>
              <w:t>5</w:t>
            </w:r>
          </w:p>
        </w:tc>
      </w:tr>
      <w:tr>
        <w:trPr>
          <w:trHeight w:val="834" w:hRule="atLeast"/>
        </w:trPr>
        <w:tc>
          <w:tcPr>
            <w:tcW w:w="562" w:type="dxa"/>
          </w:tcPr>
          <w:p>
            <w:pPr>
              <w:pStyle w:val="TableParagraph"/>
              <w:spacing w:line="270" w:lineRule="exact"/>
              <w:ind w:left="107"/>
              <w:rPr>
                <w:sz w:val="24"/>
              </w:rPr>
            </w:pPr>
            <w:r>
              <w:rPr>
                <w:spacing w:val="-10"/>
                <w:sz w:val="24"/>
              </w:rPr>
              <w:t>2</w:t>
            </w:r>
          </w:p>
        </w:tc>
        <w:tc>
          <w:tcPr>
            <w:tcW w:w="3944" w:type="dxa"/>
          </w:tcPr>
          <w:p>
            <w:pPr>
              <w:pStyle w:val="TableParagraph"/>
              <w:spacing w:line="278" w:lineRule="auto"/>
              <w:ind w:left="107"/>
              <w:rPr>
                <w:sz w:val="24"/>
              </w:rPr>
            </w:pPr>
            <w:r>
              <w:rPr>
                <w:sz w:val="24"/>
              </w:rPr>
              <w:t>Для</w:t>
            </w:r>
            <w:r>
              <w:rPr>
                <w:spacing w:val="-14"/>
                <w:sz w:val="24"/>
              </w:rPr>
              <w:t> </w:t>
            </w:r>
            <w:r>
              <w:rPr>
                <w:sz w:val="24"/>
              </w:rPr>
              <w:t>подростка</w:t>
            </w:r>
            <w:r>
              <w:rPr>
                <w:spacing w:val="-15"/>
                <w:sz w:val="24"/>
              </w:rPr>
              <w:t> </w:t>
            </w:r>
            <w:r>
              <w:rPr>
                <w:sz w:val="24"/>
              </w:rPr>
              <w:t>важно</w:t>
            </w:r>
            <w:r>
              <w:rPr>
                <w:spacing w:val="-14"/>
                <w:sz w:val="24"/>
              </w:rPr>
              <w:t> </w:t>
            </w:r>
            <w:r>
              <w:rPr>
                <w:sz w:val="24"/>
              </w:rPr>
              <w:t>получить </w:t>
            </w:r>
            <w:r>
              <w:rPr>
                <w:spacing w:val="-2"/>
                <w:sz w:val="24"/>
              </w:rPr>
              <w:t>образование</w:t>
            </w:r>
          </w:p>
        </w:tc>
        <w:tc>
          <w:tcPr>
            <w:tcW w:w="1277" w:type="dxa"/>
          </w:tcPr>
          <w:p>
            <w:pPr>
              <w:pStyle w:val="TableParagraph"/>
              <w:spacing w:before="152"/>
              <w:ind w:left="107"/>
              <w:rPr>
                <w:sz w:val="24"/>
              </w:rPr>
            </w:pPr>
            <w:r>
              <w:rPr>
                <w:spacing w:val="-10"/>
                <w:sz w:val="24"/>
              </w:rPr>
              <w:t>1</w:t>
            </w:r>
          </w:p>
        </w:tc>
        <w:tc>
          <w:tcPr>
            <w:tcW w:w="991" w:type="dxa"/>
          </w:tcPr>
          <w:p>
            <w:pPr>
              <w:pStyle w:val="TableParagraph"/>
              <w:spacing w:before="152"/>
              <w:ind w:left="104"/>
              <w:rPr>
                <w:sz w:val="24"/>
              </w:rPr>
            </w:pPr>
            <w:r>
              <w:rPr>
                <w:spacing w:val="-10"/>
                <w:sz w:val="24"/>
              </w:rPr>
              <w:t>2</w:t>
            </w:r>
          </w:p>
        </w:tc>
        <w:tc>
          <w:tcPr>
            <w:tcW w:w="1136" w:type="dxa"/>
          </w:tcPr>
          <w:p>
            <w:pPr>
              <w:pStyle w:val="TableParagraph"/>
              <w:spacing w:before="152"/>
              <w:ind w:left="107"/>
              <w:rPr>
                <w:sz w:val="24"/>
              </w:rPr>
            </w:pPr>
            <w:r>
              <w:rPr>
                <w:spacing w:val="-10"/>
                <w:sz w:val="24"/>
              </w:rPr>
              <w:t>3</w:t>
            </w:r>
          </w:p>
        </w:tc>
        <w:tc>
          <w:tcPr>
            <w:tcW w:w="991" w:type="dxa"/>
          </w:tcPr>
          <w:p>
            <w:pPr>
              <w:pStyle w:val="TableParagraph"/>
              <w:spacing w:before="152"/>
              <w:ind w:left="107"/>
              <w:rPr>
                <w:sz w:val="24"/>
              </w:rPr>
            </w:pPr>
            <w:r>
              <w:rPr>
                <w:spacing w:val="-10"/>
                <w:sz w:val="24"/>
              </w:rPr>
              <w:t>4</w:t>
            </w:r>
          </w:p>
        </w:tc>
        <w:tc>
          <w:tcPr>
            <w:tcW w:w="991" w:type="dxa"/>
          </w:tcPr>
          <w:p>
            <w:pPr>
              <w:pStyle w:val="TableParagraph"/>
              <w:spacing w:before="152"/>
              <w:ind w:left="107"/>
              <w:rPr>
                <w:sz w:val="24"/>
              </w:rPr>
            </w:pPr>
            <w:r>
              <w:rPr>
                <w:spacing w:val="-10"/>
                <w:sz w:val="24"/>
              </w:rPr>
              <w:t>5</w:t>
            </w:r>
          </w:p>
        </w:tc>
      </w:tr>
      <w:tr>
        <w:trPr>
          <w:trHeight w:val="834" w:hRule="atLeast"/>
        </w:trPr>
        <w:tc>
          <w:tcPr>
            <w:tcW w:w="562" w:type="dxa"/>
          </w:tcPr>
          <w:p>
            <w:pPr>
              <w:pStyle w:val="TableParagraph"/>
              <w:spacing w:line="270" w:lineRule="exact"/>
              <w:ind w:left="107"/>
              <w:rPr>
                <w:sz w:val="24"/>
              </w:rPr>
            </w:pPr>
            <w:r>
              <w:rPr>
                <w:spacing w:val="-10"/>
                <w:sz w:val="24"/>
              </w:rPr>
              <w:t>3</w:t>
            </w:r>
          </w:p>
        </w:tc>
        <w:tc>
          <w:tcPr>
            <w:tcW w:w="3944" w:type="dxa"/>
          </w:tcPr>
          <w:p>
            <w:pPr>
              <w:pStyle w:val="TableParagraph"/>
              <w:spacing w:line="276" w:lineRule="auto"/>
              <w:ind w:left="107"/>
              <w:rPr>
                <w:sz w:val="24"/>
              </w:rPr>
            </w:pPr>
            <w:r>
              <w:rPr>
                <w:sz w:val="24"/>
              </w:rPr>
              <w:t>Подросток</w:t>
            </w:r>
            <w:r>
              <w:rPr>
                <w:spacing w:val="-8"/>
                <w:sz w:val="24"/>
              </w:rPr>
              <w:t> </w:t>
            </w:r>
            <w:r>
              <w:rPr>
                <w:sz w:val="24"/>
              </w:rPr>
              <w:t>знает,</w:t>
            </w:r>
            <w:r>
              <w:rPr>
                <w:spacing w:val="-9"/>
                <w:sz w:val="24"/>
              </w:rPr>
              <w:t> </w:t>
            </w:r>
            <w:r>
              <w:rPr>
                <w:sz w:val="24"/>
              </w:rPr>
              <w:t>как</w:t>
            </w:r>
            <w:r>
              <w:rPr>
                <w:spacing w:val="-9"/>
                <w:sz w:val="24"/>
              </w:rPr>
              <w:t> </w:t>
            </w:r>
            <w:r>
              <w:rPr>
                <w:sz w:val="24"/>
              </w:rPr>
              <w:t>вести</w:t>
            </w:r>
            <w:r>
              <w:rPr>
                <w:spacing w:val="-8"/>
                <w:sz w:val="24"/>
              </w:rPr>
              <w:t> </w:t>
            </w:r>
            <w:r>
              <w:rPr>
                <w:sz w:val="24"/>
              </w:rPr>
              <w:t>себя</w:t>
            </w:r>
            <w:r>
              <w:rPr>
                <w:spacing w:val="-9"/>
                <w:sz w:val="24"/>
              </w:rPr>
              <w:t> </w:t>
            </w:r>
            <w:r>
              <w:rPr>
                <w:sz w:val="24"/>
              </w:rPr>
              <w:t>с людьми в разных ситуациях</w:t>
            </w:r>
          </w:p>
        </w:tc>
        <w:tc>
          <w:tcPr>
            <w:tcW w:w="1277" w:type="dxa"/>
          </w:tcPr>
          <w:p>
            <w:pPr>
              <w:pStyle w:val="TableParagraph"/>
              <w:spacing w:before="152"/>
              <w:ind w:left="107"/>
              <w:rPr>
                <w:sz w:val="24"/>
              </w:rPr>
            </w:pPr>
            <w:r>
              <w:rPr>
                <w:spacing w:val="-10"/>
                <w:sz w:val="24"/>
              </w:rPr>
              <w:t>1</w:t>
            </w:r>
          </w:p>
        </w:tc>
        <w:tc>
          <w:tcPr>
            <w:tcW w:w="991" w:type="dxa"/>
          </w:tcPr>
          <w:p>
            <w:pPr>
              <w:pStyle w:val="TableParagraph"/>
              <w:spacing w:before="152"/>
              <w:ind w:left="104"/>
              <w:rPr>
                <w:sz w:val="24"/>
              </w:rPr>
            </w:pPr>
            <w:r>
              <w:rPr>
                <w:spacing w:val="-10"/>
                <w:sz w:val="24"/>
              </w:rPr>
              <w:t>2</w:t>
            </w:r>
          </w:p>
        </w:tc>
        <w:tc>
          <w:tcPr>
            <w:tcW w:w="1136" w:type="dxa"/>
          </w:tcPr>
          <w:p>
            <w:pPr>
              <w:pStyle w:val="TableParagraph"/>
              <w:spacing w:before="152"/>
              <w:ind w:left="107"/>
              <w:rPr>
                <w:sz w:val="24"/>
              </w:rPr>
            </w:pPr>
            <w:r>
              <w:rPr>
                <w:spacing w:val="-10"/>
                <w:sz w:val="24"/>
              </w:rPr>
              <w:t>3</w:t>
            </w:r>
          </w:p>
        </w:tc>
        <w:tc>
          <w:tcPr>
            <w:tcW w:w="991" w:type="dxa"/>
          </w:tcPr>
          <w:p>
            <w:pPr>
              <w:pStyle w:val="TableParagraph"/>
              <w:spacing w:before="152"/>
              <w:ind w:left="107"/>
              <w:rPr>
                <w:sz w:val="24"/>
              </w:rPr>
            </w:pPr>
            <w:r>
              <w:rPr>
                <w:spacing w:val="-10"/>
                <w:sz w:val="24"/>
              </w:rPr>
              <w:t>4</w:t>
            </w:r>
          </w:p>
        </w:tc>
        <w:tc>
          <w:tcPr>
            <w:tcW w:w="991" w:type="dxa"/>
          </w:tcPr>
          <w:p>
            <w:pPr>
              <w:pStyle w:val="TableParagraph"/>
              <w:spacing w:before="152"/>
              <w:ind w:left="107"/>
              <w:rPr>
                <w:sz w:val="24"/>
              </w:rPr>
            </w:pPr>
            <w:r>
              <w:rPr>
                <w:spacing w:val="-10"/>
                <w:sz w:val="24"/>
              </w:rPr>
              <w:t>5</w:t>
            </w:r>
          </w:p>
        </w:tc>
      </w:tr>
      <w:tr>
        <w:trPr>
          <w:trHeight w:val="1152" w:hRule="atLeast"/>
        </w:trPr>
        <w:tc>
          <w:tcPr>
            <w:tcW w:w="562" w:type="dxa"/>
          </w:tcPr>
          <w:p>
            <w:pPr>
              <w:pStyle w:val="TableParagraph"/>
              <w:spacing w:line="270" w:lineRule="exact"/>
              <w:ind w:left="107"/>
              <w:rPr>
                <w:sz w:val="24"/>
              </w:rPr>
            </w:pPr>
            <w:r>
              <w:rPr>
                <w:spacing w:val="-10"/>
                <w:sz w:val="24"/>
              </w:rPr>
              <w:t>4</w:t>
            </w:r>
          </w:p>
        </w:tc>
        <w:tc>
          <w:tcPr>
            <w:tcW w:w="3944" w:type="dxa"/>
          </w:tcPr>
          <w:p>
            <w:pPr>
              <w:pStyle w:val="TableParagraph"/>
              <w:spacing w:line="276" w:lineRule="auto"/>
              <w:ind w:left="107" w:right="952"/>
              <w:jc w:val="both"/>
              <w:rPr>
                <w:sz w:val="24"/>
              </w:rPr>
            </w:pPr>
            <w:r>
              <w:rPr>
                <w:sz w:val="24"/>
              </w:rPr>
              <w:t>Вы</w:t>
            </w:r>
            <w:r>
              <w:rPr>
                <w:spacing w:val="-15"/>
                <w:sz w:val="24"/>
              </w:rPr>
              <w:t> </w:t>
            </w:r>
            <w:r>
              <w:rPr>
                <w:sz w:val="24"/>
              </w:rPr>
              <w:t>(или</w:t>
            </w:r>
            <w:r>
              <w:rPr>
                <w:spacing w:val="-15"/>
                <w:sz w:val="24"/>
              </w:rPr>
              <w:t> </w:t>
            </w:r>
            <w:r>
              <w:rPr>
                <w:sz w:val="24"/>
              </w:rPr>
              <w:t>родители/опекуны) действительно</w:t>
            </w:r>
            <w:r>
              <w:rPr>
                <w:spacing w:val="-6"/>
                <w:sz w:val="24"/>
              </w:rPr>
              <w:t> </w:t>
            </w:r>
            <w:r>
              <w:rPr>
                <w:sz w:val="24"/>
              </w:rPr>
              <w:t>заботитесь</w:t>
            </w:r>
            <w:r>
              <w:rPr>
                <w:spacing w:val="-3"/>
                <w:sz w:val="24"/>
              </w:rPr>
              <w:t> </w:t>
            </w:r>
            <w:r>
              <w:rPr>
                <w:sz w:val="24"/>
              </w:rPr>
              <w:t>о </w:t>
            </w:r>
            <w:r>
              <w:rPr>
                <w:spacing w:val="-2"/>
                <w:sz w:val="24"/>
              </w:rPr>
              <w:t>подростке</w:t>
            </w:r>
          </w:p>
        </w:tc>
        <w:tc>
          <w:tcPr>
            <w:tcW w:w="1277" w:type="dxa"/>
          </w:tcPr>
          <w:p>
            <w:pPr>
              <w:pStyle w:val="TableParagraph"/>
              <w:spacing w:before="35"/>
              <w:rPr>
                <w:i/>
                <w:sz w:val="24"/>
              </w:rPr>
            </w:pPr>
          </w:p>
          <w:p>
            <w:pPr>
              <w:pStyle w:val="TableParagraph"/>
              <w:ind w:left="107"/>
              <w:rPr>
                <w:sz w:val="24"/>
              </w:rPr>
            </w:pPr>
            <w:r>
              <w:rPr>
                <w:spacing w:val="-10"/>
                <w:sz w:val="24"/>
              </w:rPr>
              <w:t>1</w:t>
            </w:r>
          </w:p>
        </w:tc>
        <w:tc>
          <w:tcPr>
            <w:tcW w:w="991" w:type="dxa"/>
          </w:tcPr>
          <w:p>
            <w:pPr>
              <w:pStyle w:val="TableParagraph"/>
              <w:spacing w:before="35"/>
              <w:rPr>
                <w:i/>
                <w:sz w:val="24"/>
              </w:rPr>
            </w:pPr>
          </w:p>
          <w:p>
            <w:pPr>
              <w:pStyle w:val="TableParagraph"/>
              <w:ind w:left="104"/>
              <w:rPr>
                <w:sz w:val="24"/>
              </w:rPr>
            </w:pPr>
            <w:r>
              <w:rPr>
                <w:spacing w:val="-10"/>
                <w:sz w:val="24"/>
              </w:rPr>
              <w:t>2</w:t>
            </w:r>
          </w:p>
        </w:tc>
        <w:tc>
          <w:tcPr>
            <w:tcW w:w="1136" w:type="dxa"/>
          </w:tcPr>
          <w:p>
            <w:pPr>
              <w:pStyle w:val="TableParagraph"/>
              <w:spacing w:before="35"/>
              <w:rPr>
                <w:i/>
                <w:sz w:val="24"/>
              </w:rPr>
            </w:pPr>
          </w:p>
          <w:p>
            <w:pPr>
              <w:pStyle w:val="TableParagraph"/>
              <w:ind w:left="107"/>
              <w:rPr>
                <w:sz w:val="24"/>
              </w:rPr>
            </w:pPr>
            <w:r>
              <w:rPr>
                <w:spacing w:val="-10"/>
                <w:sz w:val="24"/>
              </w:rPr>
              <w:t>3</w:t>
            </w:r>
          </w:p>
        </w:tc>
        <w:tc>
          <w:tcPr>
            <w:tcW w:w="991" w:type="dxa"/>
          </w:tcPr>
          <w:p>
            <w:pPr>
              <w:pStyle w:val="TableParagraph"/>
              <w:spacing w:before="35"/>
              <w:rPr>
                <w:i/>
                <w:sz w:val="24"/>
              </w:rPr>
            </w:pPr>
          </w:p>
          <w:p>
            <w:pPr>
              <w:pStyle w:val="TableParagraph"/>
              <w:ind w:left="107"/>
              <w:rPr>
                <w:sz w:val="24"/>
              </w:rPr>
            </w:pPr>
            <w:r>
              <w:rPr>
                <w:spacing w:val="-10"/>
                <w:sz w:val="24"/>
              </w:rPr>
              <w:t>4</w:t>
            </w:r>
          </w:p>
        </w:tc>
        <w:tc>
          <w:tcPr>
            <w:tcW w:w="991" w:type="dxa"/>
          </w:tcPr>
          <w:p>
            <w:pPr>
              <w:pStyle w:val="TableParagraph"/>
              <w:spacing w:before="35"/>
              <w:rPr>
                <w:i/>
                <w:sz w:val="24"/>
              </w:rPr>
            </w:pPr>
          </w:p>
          <w:p>
            <w:pPr>
              <w:pStyle w:val="TableParagraph"/>
              <w:ind w:left="107"/>
              <w:rPr>
                <w:sz w:val="24"/>
              </w:rPr>
            </w:pPr>
            <w:r>
              <w:rPr>
                <w:spacing w:val="-10"/>
                <w:sz w:val="24"/>
              </w:rPr>
              <w:t>5</w:t>
            </w:r>
          </w:p>
        </w:tc>
      </w:tr>
      <w:tr>
        <w:trPr>
          <w:trHeight w:val="834" w:hRule="atLeast"/>
        </w:trPr>
        <w:tc>
          <w:tcPr>
            <w:tcW w:w="562" w:type="dxa"/>
          </w:tcPr>
          <w:p>
            <w:pPr>
              <w:pStyle w:val="TableParagraph"/>
              <w:spacing w:line="270" w:lineRule="exact"/>
              <w:ind w:left="107"/>
              <w:rPr>
                <w:sz w:val="24"/>
              </w:rPr>
            </w:pPr>
            <w:r>
              <w:rPr>
                <w:spacing w:val="-10"/>
                <w:sz w:val="24"/>
              </w:rPr>
              <w:t>5</w:t>
            </w:r>
          </w:p>
        </w:tc>
        <w:tc>
          <w:tcPr>
            <w:tcW w:w="3944" w:type="dxa"/>
          </w:tcPr>
          <w:p>
            <w:pPr>
              <w:pStyle w:val="TableParagraph"/>
              <w:spacing w:line="278" w:lineRule="auto"/>
              <w:ind w:left="107"/>
              <w:rPr>
                <w:sz w:val="24"/>
              </w:rPr>
            </w:pPr>
            <w:r>
              <w:rPr>
                <w:sz w:val="24"/>
              </w:rPr>
              <w:t>Вы</w:t>
            </w:r>
            <w:r>
              <w:rPr>
                <w:spacing w:val="-14"/>
                <w:sz w:val="24"/>
              </w:rPr>
              <w:t> </w:t>
            </w:r>
            <w:r>
              <w:rPr>
                <w:sz w:val="24"/>
              </w:rPr>
              <w:t>(или</w:t>
            </w:r>
            <w:r>
              <w:rPr>
                <w:spacing w:val="-13"/>
                <w:sz w:val="24"/>
              </w:rPr>
              <w:t> </w:t>
            </w:r>
            <w:r>
              <w:rPr>
                <w:sz w:val="24"/>
              </w:rPr>
              <w:t>родители/опекуны)</w:t>
            </w:r>
            <w:r>
              <w:rPr>
                <w:spacing w:val="-15"/>
                <w:sz w:val="24"/>
              </w:rPr>
              <w:t> </w:t>
            </w:r>
            <w:r>
              <w:rPr>
                <w:sz w:val="24"/>
              </w:rPr>
              <w:t>много знаете о подростке</w:t>
            </w:r>
          </w:p>
        </w:tc>
        <w:tc>
          <w:tcPr>
            <w:tcW w:w="1277" w:type="dxa"/>
          </w:tcPr>
          <w:p>
            <w:pPr>
              <w:pStyle w:val="TableParagraph"/>
              <w:spacing w:before="155"/>
              <w:ind w:left="107"/>
              <w:rPr>
                <w:sz w:val="24"/>
              </w:rPr>
            </w:pPr>
            <w:r>
              <w:rPr>
                <w:spacing w:val="-10"/>
                <w:sz w:val="24"/>
              </w:rPr>
              <w:t>1</w:t>
            </w:r>
          </w:p>
        </w:tc>
        <w:tc>
          <w:tcPr>
            <w:tcW w:w="991" w:type="dxa"/>
          </w:tcPr>
          <w:p>
            <w:pPr>
              <w:pStyle w:val="TableParagraph"/>
              <w:spacing w:before="155"/>
              <w:ind w:left="104"/>
              <w:rPr>
                <w:sz w:val="24"/>
              </w:rPr>
            </w:pPr>
            <w:r>
              <w:rPr>
                <w:spacing w:val="-10"/>
                <w:sz w:val="24"/>
              </w:rPr>
              <w:t>2</w:t>
            </w:r>
          </w:p>
        </w:tc>
        <w:tc>
          <w:tcPr>
            <w:tcW w:w="1136" w:type="dxa"/>
          </w:tcPr>
          <w:p>
            <w:pPr>
              <w:pStyle w:val="TableParagraph"/>
              <w:spacing w:before="155"/>
              <w:ind w:left="107"/>
              <w:rPr>
                <w:sz w:val="24"/>
              </w:rPr>
            </w:pPr>
            <w:r>
              <w:rPr>
                <w:spacing w:val="-10"/>
                <w:sz w:val="24"/>
              </w:rPr>
              <w:t>3</w:t>
            </w:r>
          </w:p>
        </w:tc>
        <w:tc>
          <w:tcPr>
            <w:tcW w:w="991" w:type="dxa"/>
          </w:tcPr>
          <w:p>
            <w:pPr>
              <w:pStyle w:val="TableParagraph"/>
              <w:spacing w:before="155"/>
              <w:ind w:left="107"/>
              <w:rPr>
                <w:sz w:val="24"/>
              </w:rPr>
            </w:pPr>
            <w:r>
              <w:rPr>
                <w:spacing w:val="-10"/>
                <w:sz w:val="24"/>
              </w:rPr>
              <w:t>4</w:t>
            </w:r>
          </w:p>
        </w:tc>
        <w:tc>
          <w:tcPr>
            <w:tcW w:w="991" w:type="dxa"/>
          </w:tcPr>
          <w:p>
            <w:pPr>
              <w:pStyle w:val="TableParagraph"/>
              <w:spacing w:before="155"/>
              <w:ind w:left="107"/>
              <w:rPr>
                <w:sz w:val="24"/>
              </w:rPr>
            </w:pPr>
            <w:r>
              <w:rPr>
                <w:spacing w:val="-10"/>
                <w:sz w:val="24"/>
              </w:rPr>
              <w:t>5</w:t>
            </w:r>
          </w:p>
        </w:tc>
      </w:tr>
      <w:tr>
        <w:trPr>
          <w:trHeight w:val="834" w:hRule="atLeast"/>
        </w:trPr>
        <w:tc>
          <w:tcPr>
            <w:tcW w:w="562" w:type="dxa"/>
          </w:tcPr>
          <w:p>
            <w:pPr>
              <w:pStyle w:val="TableParagraph"/>
              <w:spacing w:line="270" w:lineRule="exact"/>
              <w:ind w:left="107"/>
              <w:rPr>
                <w:sz w:val="24"/>
              </w:rPr>
            </w:pPr>
            <w:r>
              <w:rPr>
                <w:spacing w:val="-10"/>
                <w:sz w:val="24"/>
              </w:rPr>
              <w:t>6</w:t>
            </w:r>
          </w:p>
        </w:tc>
        <w:tc>
          <w:tcPr>
            <w:tcW w:w="3944" w:type="dxa"/>
          </w:tcPr>
          <w:p>
            <w:pPr>
              <w:pStyle w:val="TableParagraph"/>
              <w:spacing w:line="278" w:lineRule="auto"/>
              <w:ind w:left="107"/>
              <w:rPr>
                <w:sz w:val="24"/>
              </w:rPr>
            </w:pPr>
            <w:r>
              <w:rPr>
                <w:sz w:val="24"/>
              </w:rPr>
              <w:t>Если</w:t>
            </w:r>
            <w:r>
              <w:rPr>
                <w:spacing w:val="-9"/>
                <w:sz w:val="24"/>
              </w:rPr>
              <w:t> </w:t>
            </w:r>
            <w:r>
              <w:rPr>
                <w:sz w:val="24"/>
              </w:rPr>
              <w:t>подросток</w:t>
            </w:r>
            <w:r>
              <w:rPr>
                <w:spacing w:val="-9"/>
                <w:sz w:val="24"/>
              </w:rPr>
              <w:t> </w:t>
            </w:r>
            <w:r>
              <w:rPr>
                <w:sz w:val="24"/>
              </w:rPr>
              <w:t>голоден,</w:t>
            </w:r>
            <w:r>
              <w:rPr>
                <w:spacing w:val="-10"/>
                <w:sz w:val="24"/>
              </w:rPr>
              <w:t> </w:t>
            </w:r>
            <w:r>
              <w:rPr>
                <w:sz w:val="24"/>
              </w:rPr>
              <w:t>то</w:t>
            </w:r>
            <w:r>
              <w:rPr>
                <w:spacing w:val="-10"/>
                <w:sz w:val="24"/>
              </w:rPr>
              <w:t> </w:t>
            </w:r>
            <w:r>
              <w:rPr>
                <w:sz w:val="24"/>
              </w:rPr>
              <w:t>еды вполне хватает, чтобы наесться</w:t>
            </w:r>
          </w:p>
        </w:tc>
        <w:tc>
          <w:tcPr>
            <w:tcW w:w="1277" w:type="dxa"/>
          </w:tcPr>
          <w:p>
            <w:pPr>
              <w:pStyle w:val="TableParagraph"/>
              <w:spacing w:before="155"/>
              <w:ind w:left="107"/>
              <w:rPr>
                <w:sz w:val="24"/>
              </w:rPr>
            </w:pPr>
            <w:r>
              <w:rPr>
                <w:spacing w:val="-10"/>
                <w:sz w:val="24"/>
              </w:rPr>
              <w:t>1</w:t>
            </w:r>
          </w:p>
        </w:tc>
        <w:tc>
          <w:tcPr>
            <w:tcW w:w="991" w:type="dxa"/>
          </w:tcPr>
          <w:p>
            <w:pPr>
              <w:pStyle w:val="TableParagraph"/>
              <w:spacing w:before="155"/>
              <w:ind w:left="104"/>
              <w:rPr>
                <w:sz w:val="24"/>
              </w:rPr>
            </w:pPr>
            <w:r>
              <w:rPr>
                <w:spacing w:val="-10"/>
                <w:sz w:val="24"/>
              </w:rPr>
              <w:t>2</w:t>
            </w:r>
          </w:p>
        </w:tc>
        <w:tc>
          <w:tcPr>
            <w:tcW w:w="1136" w:type="dxa"/>
          </w:tcPr>
          <w:p>
            <w:pPr>
              <w:pStyle w:val="TableParagraph"/>
              <w:spacing w:before="155"/>
              <w:ind w:left="107"/>
              <w:rPr>
                <w:sz w:val="24"/>
              </w:rPr>
            </w:pPr>
            <w:r>
              <w:rPr>
                <w:spacing w:val="-10"/>
                <w:sz w:val="24"/>
              </w:rPr>
              <w:t>3</w:t>
            </w:r>
          </w:p>
        </w:tc>
        <w:tc>
          <w:tcPr>
            <w:tcW w:w="991" w:type="dxa"/>
          </w:tcPr>
          <w:p>
            <w:pPr>
              <w:pStyle w:val="TableParagraph"/>
              <w:spacing w:before="155"/>
              <w:ind w:left="107"/>
              <w:rPr>
                <w:sz w:val="24"/>
              </w:rPr>
            </w:pPr>
            <w:r>
              <w:rPr>
                <w:spacing w:val="-10"/>
                <w:sz w:val="24"/>
              </w:rPr>
              <w:t>4</w:t>
            </w:r>
          </w:p>
        </w:tc>
        <w:tc>
          <w:tcPr>
            <w:tcW w:w="991" w:type="dxa"/>
          </w:tcPr>
          <w:p>
            <w:pPr>
              <w:pStyle w:val="TableParagraph"/>
              <w:spacing w:before="155"/>
              <w:ind w:left="107"/>
              <w:rPr>
                <w:sz w:val="24"/>
              </w:rPr>
            </w:pPr>
            <w:r>
              <w:rPr>
                <w:spacing w:val="-10"/>
                <w:sz w:val="24"/>
              </w:rPr>
              <w:t>5</w:t>
            </w:r>
          </w:p>
        </w:tc>
      </w:tr>
      <w:tr>
        <w:trPr>
          <w:trHeight w:val="1152" w:hRule="atLeast"/>
        </w:trPr>
        <w:tc>
          <w:tcPr>
            <w:tcW w:w="562" w:type="dxa"/>
          </w:tcPr>
          <w:p>
            <w:pPr>
              <w:pStyle w:val="TableParagraph"/>
              <w:spacing w:line="270" w:lineRule="exact"/>
              <w:ind w:left="107"/>
              <w:rPr>
                <w:sz w:val="24"/>
              </w:rPr>
            </w:pPr>
            <w:r>
              <w:rPr>
                <w:spacing w:val="-10"/>
                <w:sz w:val="24"/>
              </w:rPr>
              <w:t>7</w:t>
            </w:r>
          </w:p>
        </w:tc>
        <w:tc>
          <w:tcPr>
            <w:tcW w:w="3944" w:type="dxa"/>
          </w:tcPr>
          <w:p>
            <w:pPr>
              <w:pStyle w:val="TableParagraph"/>
              <w:spacing w:line="276" w:lineRule="auto"/>
              <w:ind w:left="107"/>
              <w:rPr>
                <w:sz w:val="24"/>
              </w:rPr>
            </w:pPr>
            <w:r>
              <w:rPr>
                <w:sz w:val="24"/>
              </w:rPr>
              <w:t>Вам</w:t>
            </w:r>
            <w:r>
              <w:rPr>
                <w:spacing w:val="-11"/>
                <w:sz w:val="24"/>
              </w:rPr>
              <w:t> </w:t>
            </w:r>
            <w:r>
              <w:rPr>
                <w:sz w:val="24"/>
              </w:rPr>
              <w:t>кажется,</w:t>
            </w:r>
            <w:r>
              <w:rPr>
                <w:spacing w:val="-10"/>
                <w:sz w:val="24"/>
              </w:rPr>
              <w:t> </w:t>
            </w:r>
            <w:r>
              <w:rPr>
                <w:sz w:val="24"/>
              </w:rPr>
              <w:t>что</w:t>
            </w:r>
            <w:r>
              <w:rPr>
                <w:spacing w:val="-10"/>
                <w:sz w:val="24"/>
              </w:rPr>
              <w:t> </w:t>
            </w:r>
            <w:r>
              <w:rPr>
                <w:sz w:val="24"/>
              </w:rPr>
              <w:t>людям</w:t>
            </w:r>
            <w:r>
              <w:rPr>
                <w:spacing w:val="-10"/>
                <w:sz w:val="24"/>
              </w:rPr>
              <w:t> </w:t>
            </w:r>
            <w:r>
              <w:rPr>
                <w:sz w:val="24"/>
              </w:rPr>
              <w:t>нравится проводить время в обществе </w:t>
            </w:r>
            <w:r>
              <w:rPr>
                <w:spacing w:val="-2"/>
                <w:sz w:val="24"/>
              </w:rPr>
              <w:t>подростка</w:t>
            </w:r>
          </w:p>
        </w:tc>
        <w:tc>
          <w:tcPr>
            <w:tcW w:w="1277" w:type="dxa"/>
          </w:tcPr>
          <w:p>
            <w:pPr>
              <w:pStyle w:val="TableParagraph"/>
              <w:spacing w:before="37"/>
              <w:rPr>
                <w:i/>
                <w:sz w:val="24"/>
              </w:rPr>
            </w:pPr>
          </w:p>
          <w:p>
            <w:pPr>
              <w:pStyle w:val="TableParagraph"/>
              <w:ind w:left="107"/>
              <w:rPr>
                <w:sz w:val="24"/>
              </w:rPr>
            </w:pPr>
            <w:r>
              <w:rPr>
                <w:spacing w:val="-10"/>
                <w:sz w:val="24"/>
              </w:rPr>
              <w:t>1</w:t>
            </w:r>
          </w:p>
        </w:tc>
        <w:tc>
          <w:tcPr>
            <w:tcW w:w="991" w:type="dxa"/>
          </w:tcPr>
          <w:p>
            <w:pPr>
              <w:pStyle w:val="TableParagraph"/>
              <w:spacing w:before="37"/>
              <w:rPr>
                <w:i/>
                <w:sz w:val="24"/>
              </w:rPr>
            </w:pPr>
          </w:p>
          <w:p>
            <w:pPr>
              <w:pStyle w:val="TableParagraph"/>
              <w:ind w:left="104"/>
              <w:rPr>
                <w:sz w:val="24"/>
              </w:rPr>
            </w:pPr>
            <w:r>
              <w:rPr>
                <w:spacing w:val="-10"/>
                <w:sz w:val="24"/>
              </w:rPr>
              <w:t>2</w:t>
            </w:r>
          </w:p>
        </w:tc>
        <w:tc>
          <w:tcPr>
            <w:tcW w:w="1136" w:type="dxa"/>
          </w:tcPr>
          <w:p>
            <w:pPr>
              <w:pStyle w:val="TableParagraph"/>
              <w:spacing w:before="37"/>
              <w:rPr>
                <w:i/>
                <w:sz w:val="24"/>
              </w:rPr>
            </w:pPr>
          </w:p>
          <w:p>
            <w:pPr>
              <w:pStyle w:val="TableParagraph"/>
              <w:ind w:left="107"/>
              <w:rPr>
                <w:sz w:val="24"/>
              </w:rPr>
            </w:pPr>
            <w:r>
              <w:rPr>
                <w:spacing w:val="-10"/>
                <w:sz w:val="24"/>
              </w:rPr>
              <w:t>3</w:t>
            </w:r>
          </w:p>
        </w:tc>
        <w:tc>
          <w:tcPr>
            <w:tcW w:w="991" w:type="dxa"/>
          </w:tcPr>
          <w:p>
            <w:pPr>
              <w:pStyle w:val="TableParagraph"/>
              <w:spacing w:before="37"/>
              <w:rPr>
                <w:i/>
                <w:sz w:val="24"/>
              </w:rPr>
            </w:pPr>
          </w:p>
          <w:p>
            <w:pPr>
              <w:pStyle w:val="TableParagraph"/>
              <w:ind w:left="107"/>
              <w:rPr>
                <w:sz w:val="24"/>
              </w:rPr>
            </w:pPr>
            <w:r>
              <w:rPr>
                <w:spacing w:val="-10"/>
                <w:sz w:val="24"/>
              </w:rPr>
              <w:t>4</w:t>
            </w:r>
          </w:p>
        </w:tc>
        <w:tc>
          <w:tcPr>
            <w:tcW w:w="991" w:type="dxa"/>
          </w:tcPr>
          <w:p>
            <w:pPr>
              <w:pStyle w:val="TableParagraph"/>
              <w:spacing w:before="37"/>
              <w:rPr>
                <w:i/>
                <w:sz w:val="24"/>
              </w:rPr>
            </w:pPr>
          </w:p>
          <w:p>
            <w:pPr>
              <w:pStyle w:val="TableParagraph"/>
              <w:ind w:left="107"/>
              <w:rPr>
                <w:sz w:val="24"/>
              </w:rPr>
            </w:pPr>
            <w:r>
              <w:rPr>
                <w:spacing w:val="-10"/>
                <w:sz w:val="24"/>
              </w:rPr>
              <w:t>5</w:t>
            </w:r>
          </w:p>
        </w:tc>
      </w:tr>
      <w:tr>
        <w:trPr>
          <w:trHeight w:val="1154" w:hRule="atLeast"/>
        </w:trPr>
        <w:tc>
          <w:tcPr>
            <w:tcW w:w="562" w:type="dxa"/>
          </w:tcPr>
          <w:p>
            <w:pPr>
              <w:pStyle w:val="TableParagraph"/>
              <w:spacing w:line="273" w:lineRule="exact"/>
              <w:ind w:left="107"/>
              <w:rPr>
                <w:sz w:val="24"/>
              </w:rPr>
            </w:pPr>
            <w:r>
              <w:rPr>
                <w:spacing w:val="-10"/>
                <w:sz w:val="24"/>
              </w:rPr>
              <w:t>8</w:t>
            </w:r>
          </w:p>
        </w:tc>
        <w:tc>
          <w:tcPr>
            <w:tcW w:w="3944" w:type="dxa"/>
          </w:tcPr>
          <w:p>
            <w:pPr>
              <w:pStyle w:val="TableParagraph"/>
              <w:spacing w:line="276" w:lineRule="auto"/>
              <w:ind w:left="107" w:right="93"/>
              <w:rPr>
                <w:sz w:val="24"/>
              </w:rPr>
            </w:pPr>
            <w:r>
              <w:rPr>
                <w:sz w:val="24"/>
              </w:rPr>
              <w:t>Подросток говорит с Вами или своей</w:t>
            </w:r>
            <w:r>
              <w:rPr>
                <w:spacing w:val="-7"/>
                <w:sz w:val="24"/>
              </w:rPr>
              <w:t> </w:t>
            </w:r>
            <w:r>
              <w:rPr>
                <w:sz w:val="24"/>
              </w:rPr>
              <w:t>семьей</w:t>
            </w:r>
            <w:r>
              <w:rPr>
                <w:spacing w:val="-7"/>
                <w:sz w:val="24"/>
              </w:rPr>
              <w:t> </w:t>
            </w:r>
            <w:r>
              <w:rPr>
                <w:sz w:val="24"/>
              </w:rPr>
              <w:t>/</w:t>
            </w:r>
            <w:r>
              <w:rPr>
                <w:spacing w:val="-7"/>
                <w:sz w:val="24"/>
              </w:rPr>
              <w:t> </w:t>
            </w:r>
            <w:r>
              <w:rPr>
                <w:sz w:val="24"/>
              </w:rPr>
              <w:t>опекунами</w:t>
            </w:r>
            <w:r>
              <w:rPr>
                <w:spacing w:val="-7"/>
                <w:sz w:val="24"/>
              </w:rPr>
              <w:t> </w:t>
            </w:r>
            <w:r>
              <w:rPr>
                <w:sz w:val="24"/>
              </w:rPr>
              <w:t>о</w:t>
            </w:r>
            <w:r>
              <w:rPr>
                <w:spacing w:val="-7"/>
                <w:sz w:val="24"/>
              </w:rPr>
              <w:t> </w:t>
            </w:r>
            <w:r>
              <w:rPr>
                <w:sz w:val="24"/>
              </w:rPr>
              <w:t>том,</w:t>
            </w:r>
            <w:r>
              <w:rPr>
                <w:spacing w:val="-7"/>
                <w:sz w:val="24"/>
              </w:rPr>
              <w:t> </w:t>
            </w:r>
            <w:r>
              <w:rPr>
                <w:sz w:val="24"/>
              </w:rPr>
              <w:t>как он себя чувствует</w:t>
            </w:r>
          </w:p>
        </w:tc>
        <w:tc>
          <w:tcPr>
            <w:tcW w:w="1277" w:type="dxa"/>
          </w:tcPr>
          <w:p>
            <w:pPr>
              <w:pStyle w:val="TableParagraph"/>
              <w:spacing w:before="37"/>
              <w:rPr>
                <w:i/>
                <w:sz w:val="24"/>
              </w:rPr>
            </w:pPr>
          </w:p>
          <w:p>
            <w:pPr>
              <w:pStyle w:val="TableParagraph"/>
              <w:ind w:left="107"/>
              <w:rPr>
                <w:sz w:val="24"/>
              </w:rPr>
            </w:pPr>
            <w:r>
              <w:rPr>
                <w:spacing w:val="-10"/>
                <w:sz w:val="24"/>
              </w:rPr>
              <w:t>1</w:t>
            </w:r>
          </w:p>
        </w:tc>
        <w:tc>
          <w:tcPr>
            <w:tcW w:w="991" w:type="dxa"/>
          </w:tcPr>
          <w:p>
            <w:pPr>
              <w:pStyle w:val="TableParagraph"/>
              <w:spacing w:before="37"/>
              <w:rPr>
                <w:i/>
                <w:sz w:val="24"/>
              </w:rPr>
            </w:pPr>
          </w:p>
          <w:p>
            <w:pPr>
              <w:pStyle w:val="TableParagraph"/>
              <w:ind w:left="104"/>
              <w:rPr>
                <w:sz w:val="24"/>
              </w:rPr>
            </w:pPr>
            <w:r>
              <w:rPr>
                <w:spacing w:val="-10"/>
                <w:sz w:val="24"/>
              </w:rPr>
              <w:t>2</w:t>
            </w:r>
          </w:p>
        </w:tc>
        <w:tc>
          <w:tcPr>
            <w:tcW w:w="1136" w:type="dxa"/>
          </w:tcPr>
          <w:p>
            <w:pPr>
              <w:pStyle w:val="TableParagraph"/>
              <w:spacing w:before="37"/>
              <w:rPr>
                <w:i/>
                <w:sz w:val="24"/>
              </w:rPr>
            </w:pPr>
          </w:p>
          <w:p>
            <w:pPr>
              <w:pStyle w:val="TableParagraph"/>
              <w:ind w:left="107"/>
              <w:rPr>
                <w:sz w:val="24"/>
              </w:rPr>
            </w:pPr>
            <w:r>
              <w:rPr>
                <w:spacing w:val="-10"/>
                <w:sz w:val="24"/>
              </w:rPr>
              <w:t>3</w:t>
            </w:r>
          </w:p>
        </w:tc>
        <w:tc>
          <w:tcPr>
            <w:tcW w:w="991" w:type="dxa"/>
          </w:tcPr>
          <w:p>
            <w:pPr>
              <w:pStyle w:val="TableParagraph"/>
              <w:spacing w:before="37"/>
              <w:rPr>
                <w:i/>
                <w:sz w:val="24"/>
              </w:rPr>
            </w:pPr>
          </w:p>
          <w:p>
            <w:pPr>
              <w:pStyle w:val="TableParagraph"/>
              <w:ind w:left="107"/>
              <w:rPr>
                <w:sz w:val="24"/>
              </w:rPr>
            </w:pPr>
            <w:r>
              <w:rPr>
                <w:spacing w:val="-10"/>
                <w:sz w:val="24"/>
              </w:rPr>
              <w:t>4</w:t>
            </w:r>
          </w:p>
        </w:tc>
        <w:tc>
          <w:tcPr>
            <w:tcW w:w="991" w:type="dxa"/>
          </w:tcPr>
          <w:p>
            <w:pPr>
              <w:pStyle w:val="TableParagraph"/>
              <w:spacing w:before="37"/>
              <w:rPr>
                <w:i/>
                <w:sz w:val="24"/>
              </w:rPr>
            </w:pPr>
          </w:p>
          <w:p>
            <w:pPr>
              <w:pStyle w:val="TableParagraph"/>
              <w:ind w:left="107"/>
              <w:rPr>
                <w:sz w:val="24"/>
              </w:rPr>
            </w:pPr>
            <w:r>
              <w:rPr>
                <w:spacing w:val="-10"/>
                <w:sz w:val="24"/>
              </w:rPr>
              <w:t>5</w:t>
            </w:r>
          </w:p>
        </w:tc>
      </w:tr>
      <w:tr>
        <w:trPr>
          <w:trHeight w:val="834" w:hRule="atLeast"/>
        </w:trPr>
        <w:tc>
          <w:tcPr>
            <w:tcW w:w="562" w:type="dxa"/>
          </w:tcPr>
          <w:p>
            <w:pPr>
              <w:pStyle w:val="TableParagraph"/>
              <w:spacing w:line="270" w:lineRule="exact"/>
              <w:ind w:left="107"/>
              <w:rPr>
                <w:sz w:val="24"/>
              </w:rPr>
            </w:pPr>
            <w:r>
              <w:rPr>
                <w:spacing w:val="-10"/>
                <w:sz w:val="24"/>
              </w:rPr>
              <w:t>9</w:t>
            </w:r>
          </w:p>
        </w:tc>
        <w:tc>
          <w:tcPr>
            <w:tcW w:w="3944" w:type="dxa"/>
          </w:tcPr>
          <w:p>
            <w:pPr>
              <w:pStyle w:val="TableParagraph"/>
              <w:spacing w:line="276" w:lineRule="auto"/>
              <w:ind w:left="107"/>
              <w:rPr>
                <w:sz w:val="24"/>
              </w:rPr>
            </w:pPr>
            <w:r>
              <w:rPr>
                <w:sz w:val="24"/>
              </w:rPr>
              <w:t>Вам кажется, что подросток чувствует</w:t>
            </w:r>
            <w:r>
              <w:rPr>
                <w:spacing w:val="-14"/>
                <w:sz w:val="24"/>
              </w:rPr>
              <w:t> </w:t>
            </w:r>
            <w:r>
              <w:rPr>
                <w:sz w:val="24"/>
              </w:rPr>
              <w:t>поддержку</w:t>
            </w:r>
            <w:r>
              <w:rPr>
                <w:spacing w:val="-15"/>
                <w:sz w:val="24"/>
              </w:rPr>
              <w:t> </w:t>
            </w:r>
            <w:r>
              <w:rPr>
                <w:sz w:val="24"/>
              </w:rPr>
              <w:t>своих</w:t>
            </w:r>
            <w:r>
              <w:rPr>
                <w:spacing w:val="-12"/>
                <w:sz w:val="24"/>
              </w:rPr>
              <w:t> </w:t>
            </w:r>
            <w:r>
              <w:rPr>
                <w:sz w:val="24"/>
              </w:rPr>
              <w:t>друзей</w:t>
            </w:r>
          </w:p>
        </w:tc>
        <w:tc>
          <w:tcPr>
            <w:tcW w:w="1277" w:type="dxa"/>
          </w:tcPr>
          <w:p>
            <w:pPr>
              <w:pStyle w:val="TableParagraph"/>
              <w:spacing w:before="152"/>
              <w:ind w:left="107"/>
              <w:rPr>
                <w:sz w:val="24"/>
              </w:rPr>
            </w:pPr>
            <w:r>
              <w:rPr>
                <w:spacing w:val="-10"/>
                <w:sz w:val="24"/>
              </w:rPr>
              <w:t>1</w:t>
            </w:r>
          </w:p>
        </w:tc>
        <w:tc>
          <w:tcPr>
            <w:tcW w:w="991" w:type="dxa"/>
          </w:tcPr>
          <w:p>
            <w:pPr>
              <w:pStyle w:val="TableParagraph"/>
              <w:spacing w:before="152"/>
              <w:ind w:left="104"/>
              <w:rPr>
                <w:sz w:val="24"/>
              </w:rPr>
            </w:pPr>
            <w:r>
              <w:rPr>
                <w:spacing w:val="-10"/>
                <w:sz w:val="24"/>
              </w:rPr>
              <w:t>2</w:t>
            </w:r>
          </w:p>
        </w:tc>
        <w:tc>
          <w:tcPr>
            <w:tcW w:w="1136" w:type="dxa"/>
          </w:tcPr>
          <w:p>
            <w:pPr>
              <w:pStyle w:val="TableParagraph"/>
              <w:spacing w:before="152"/>
              <w:ind w:left="107"/>
              <w:rPr>
                <w:sz w:val="24"/>
              </w:rPr>
            </w:pPr>
            <w:r>
              <w:rPr>
                <w:spacing w:val="-10"/>
                <w:sz w:val="24"/>
              </w:rPr>
              <w:t>3</w:t>
            </w:r>
          </w:p>
        </w:tc>
        <w:tc>
          <w:tcPr>
            <w:tcW w:w="991" w:type="dxa"/>
          </w:tcPr>
          <w:p>
            <w:pPr>
              <w:pStyle w:val="TableParagraph"/>
              <w:spacing w:before="152"/>
              <w:ind w:left="107"/>
              <w:rPr>
                <w:sz w:val="24"/>
              </w:rPr>
            </w:pPr>
            <w:r>
              <w:rPr>
                <w:spacing w:val="-10"/>
                <w:sz w:val="24"/>
              </w:rPr>
              <w:t>4</w:t>
            </w:r>
          </w:p>
        </w:tc>
        <w:tc>
          <w:tcPr>
            <w:tcW w:w="991" w:type="dxa"/>
          </w:tcPr>
          <w:p>
            <w:pPr>
              <w:pStyle w:val="TableParagraph"/>
              <w:spacing w:before="152"/>
              <w:ind w:left="107"/>
              <w:rPr>
                <w:sz w:val="24"/>
              </w:rPr>
            </w:pPr>
            <w:r>
              <w:rPr>
                <w:spacing w:val="-10"/>
                <w:sz w:val="24"/>
              </w:rPr>
              <w:t>5</w:t>
            </w:r>
          </w:p>
        </w:tc>
      </w:tr>
      <w:tr>
        <w:trPr>
          <w:trHeight w:val="1151" w:hRule="atLeast"/>
        </w:trPr>
        <w:tc>
          <w:tcPr>
            <w:tcW w:w="562" w:type="dxa"/>
          </w:tcPr>
          <w:p>
            <w:pPr>
              <w:pStyle w:val="TableParagraph"/>
              <w:spacing w:line="270" w:lineRule="exact"/>
              <w:ind w:left="107"/>
              <w:rPr>
                <w:sz w:val="24"/>
              </w:rPr>
            </w:pPr>
            <w:r>
              <w:rPr>
                <w:spacing w:val="-5"/>
                <w:sz w:val="24"/>
              </w:rPr>
              <w:t>10</w:t>
            </w:r>
          </w:p>
        </w:tc>
        <w:tc>
          <w:tcPr>
            <w:tcW w:w="3944" w:type="dxa"/>
          </w:tcPr>
          <w:p>
            <w:pPr>
              <w:pStyle w:val="TableParagraph"/>
              <w:spacing w:line="276" w:lineRule="auto"/>
              <w:ind w:left="107"/>
              <w:rPr>
                <w:sz w:val="24"/>
              </w:rPr>
            </w:pPr>
            <w:r>
              <w:rPr>
                <w:sz w:val="24"/>
              </w:rPr>
              <w:t>Вам кажется, что подросток чувствует</w:t>
            </w:r>
            <w:r>
              <w:rPr>
                <w:spacing w:val="-12"/>
                <w:sz w:val="24"/>
              </w:rPr>
              <w:t> </w:t>
            </w:r>
            <w:r>
              <w:rPr>
                <w:sz w:val="24"/>
              </w:rPr>
              <w:t>себя</w:t>
            </w:r>
            <w:r>
              <w:rPr>
                <w:spacing w:val="-12"/>
                <w:sz w:val="24"/>
              </w:rPr>
              <w:t> </w:t>
            </w:r>
            <w:r>
              <w:rPr>
                <w:sz w:val="24"/>
              </w:rPr>
              <w:t>частью</w:t>
            </w:r>
            <w:r>
              <w:rPr>
                <w:spacing w:val="-12"/>
                <w:sz w:val="24"/>
              </w:rPr>
              <w:t> </w:t>
            </w:r>
            <w:r>
              <w:rPr>
                <w:sz w:val="24"/>
              </w:rPr>
              <w:t>школьного </w:t>
            </w:r>
            <w:r>
              <w:rPr>
                <w:spacing w:val="-2"/>
                <w:sz w:val="24"/>
              </w:rPr>
              <w:t>сообщества</w:t>
            </w:r>
          </w:p>
        </w:tc>
        <w:tc>
          <w:tcPr>
            <w:tcW w:w="1277" w:type="dxa"/>
          </w:tcPr>
          <w:p>
            <w:pPr>
              <w:pStyle w:val="TableParagraph"/>
              <w:spacing w:before="34"/>
              <w:rPr>
                <w:i/>
                <w:sz w:val="24"/>
              </w:rPr>
            </w:pPr>
          </w:p>
          <w:p>
            <w:pPr>
              <w:pStyle w:val="TableParagraph"/>
              <w:spacing w:before="1"/>
              <w:ind w:left="107"/>
              <w:rPr>
                <w:sz w:val="24"/>
              </w:rPr>
            </w:pPr>
            <w:r>
              <w:rPr>
                <w:spacing w:val="-10"/>
                <w:sz w:val="24"/>
              </w:rPr>
              <w:t>1</w:t>
            </w:r>
          </w:p>
        </w:tc>
        <w:tc>
          <w:tcPr>
            <w:tcW w:w="991" w:type="dxa"/>
          </w:tcPr>
          <w:p>
            <w:pPr>
              <w:pStyle w:val="TableParagraph"/>
              <w:spacing w:before="34"/>
              <w:rPr>
                <w:i/>
                <w:sz w:val="24"/>
              </w:rPr>
            </w:pPr>
          </w:p>
          <w:p>
            <w:pPr>
              <w:pStyle w:val="TableParagraph"/>
              <w:spacing w:before="1"/>
              <w:ind w:left="104"/>
              <w:rPr>
                <w:sz w:val="24"/>
              </w:rPr>
            </w:pPr>
            <w:r>
              <w:rPr>
                <w:spacing w:val="-10"/>
                <w:sz w:val="24"/>
              </w:rPr>
              <w:t>2</w:t>
            </w:r>
          </w:p>
        </w:tc>
        <w:tc>
          <w:tcPr>
            <w:tcW w:w="1136" w:type="dxa"/>
          </w:tcPr>
          <w:p>
            <w:pPr>
              <w:pStyle w:val="TableParagraph"/>
              <w:spacing w:before="34"/>
              <w:rPr>
                <w:i/>
                <w:sz w:val="24"/>
              </w:rPr>
            </w:pPr>
          </w:p>
          <w:p>
            <w:pPr>
              <w:pStyle w:val="TableParagraph"/>
              <w:spacing w:before="1"/>
              <w:ind w:left="107"/>
              <w:rPr>
                <w:sz w:val="24"/>
              </w:rPr>
            </w:pPr>
            <w:r>
              <w:rPr>
                <w:spacing w:val="-10"/>
                <w:sz w:val="24"/>
              </w:rPr>
              <w:t>3</w:t>
            </w:r>
          </w:p>
        </w:tc>
        <w:tc>
          <w:tcPr>
            <w:tcW w:w="991" w:type="dxa"/>
          </w:tcPr>
          <w:p>
            <w:pPr>
              <w:pStyle w:val="TableParagraph"/>
              <w:spacing w:before="34"/>
              <w:rPr>
                <w:i/>
                <w:sz w:val="24"/>
              </w:rPr>
            </w:pPr>
          </w:p>
          <w:p>
            <w:pPr>
              <w:pStyle w:val="TableParagraph"/>
              <w:spacing w:before="1"/>
              <w:ind w:left="107"/>
              <w:rPr>
                <w:sz w:val="24"/>
              </w:rPr>
            </w:pPr>
            <w:r>
              <w:rPr>
                <w:spacing w:val="-10"/>
                <w:sz w:val="24"/>
              </w:rPr>
              <w:t>4</w:t>
            </w:r>
          </w:p>
        </w:tc>
        <w:tc>
          <w:tcPr>
            <w:tcW w:w="991" w:type="dxa"/>
          </w:tcPr>
          <w:p>
            <w:pPr>
              <w:pStyle w:val="TableParagraph"/>
              <w:spacing w:before="34"/>
              <w:rPr>
                <w:i/>
                <w:sz w:val="24"/>
              </w:rPr>
            </w:pPr>
          </w:p>
          <w:p>
            <w:pPr>
              <w:pStyle w:val="TableParagraph"/>
              <w:spacing w:before="1"/>
              <w:ind w:left="107"/>
              <w:rPr>
                <w:sz w:val="24"/>
              </w:rPr>
            </w:pPr>
            <w:r>
              <w:rPr>
                <w:spacing w:val="-10"/>
                <w:sz w:val="24"/>
              </w:rPr>
              <w:t>5</w:t>
            </w:r>
          </w:p>
        </w:tc>
      </w:tr>
      <w:tr>
        <w:trPr>
          <w:trHeight w:val="635" w:hRule="atLeast"/>
        </w:trPr>
        <w:tc>
          <w:tcPr>
            <w:tcW w:w="562" w:type="dxa"/>
          </w:tcPr>
          <w:p>
            <w:pPr>
              <w:pStyle w:val="TableParagraph"/>
              <w:spacing w:line="270" w:lineRule="exact"/>
              <w:ind w:left="107"/>
              <w:rPr>
                <w:sz w:val="24"/>
              </w:rPr>
            </w:pPr>
            <w:r>
              <w:rPr>
                <w:spacing w:val="-5"/>
                <w:sz w:val="24"/>
              </w:rPr>
              <w:t>11</w:t>
            </w:r>
          </w:p>
        </w:tc>
        <w:tc>
          <w:tcPr>
            <w:tcW w:w="3944" w:type="dxa"/>
          </w:tcPr>
          <w:p>
            <w:pPr>
              <w:pStyle w:val="TableParagraph"/>
              <w:spacing w:line="270" w:lineRule="exact"/>
              <w:ind w:left="107"/>
              <w:rPr>
                <w:sz w:val="24"/>
              </w:rPr>
            </w:pPr>
            <w:r>
              <w:rPr>
                <w:sz w:val="24"/>
              </w:rPr>
              <w:t>В</w:t>
            </w:r>
            <w:r>
              <w:rPr>
                <w:spacing w:val="-6"/>
                <w:sz w:val="24"/>
              </w:rPr>
              <w:t> </w:t>
            </w:r>
            <w:r>
              <w:rPr>
                <w:sz w:val="24"/>
              </w:rPr>
              <w:t>сложной</w:t>
            </w:r>
            <w:r>
              <w:rPr>
                <w:spacing w:val="-3"/>
                <w:sz w:val="24"/>
              </w:rPr>
              <w:t> </w:t>
            </w:r>
            <w:r>
              <w:rPr>
                <w:sz w:val="24"/>
              </w:rPr>
              <w:t>ситуации</w:t>
            </w:r>
            <w:r>
              <w:rPr>
                <w:spacing w:val="-3"/>
                <w:sz w:val="24"/>
              </w:rPr>
              <w:t> </w:t>
            </w:r>
            <w:r>
              <w:rPr>
                <w:spacing w:val="-2"/>
                <w:sz w:val="24"/>
              </w:rPr>
              <w:t>подросток</w:t>
            </w:r>
          </w:p>
          <w:p>
            <w:pPr>
              <w:pStyle w:val="TableParagraph"/>
              <w:spacing w:before="41"/>
              <w:ind w:left="107"/>
              <w:rPr>
                <w:sz w:val="24"/>
              </w:rPr>
            </w:pPr>
            <w:r>
              <w:rPr>
                <w:sz w:val="24"/>
              </w:rPr>
              <w:t>может</w:t>
            </w:r>
            <w:r>
              <w:rPr>
                <w:spacing w:val="-3"/>
                <w:sz w:val="24"/>
              </w:rPr>
              <w:t> </w:t>
            </w:r>
            <w:r>
              <w:rPr>
                <w:sz w:val="24"/>
              </w:rPr>
              <w:t>рассчитывать</w:t>
            </w:r>
            <w:r>
              <w:rPr>
                <w:spacing w:val="-1"/>
                <w:sz w:val="24"/>
              </w:rPr>
              <w:t> </w:t>
            </w:r>
            <w:r>
              <w:rPr>
                <w:sz w:val="24"/>
              </w:rPr>
              <w:t>на</w:t>
            </w:r>
            <w:r>
              <w:rPr>
                <w:spacing w:val="-3"/>
                <w:sz w:val="24"/>
              </w:rPr>
              <w:t> </w:t>
            </w:r>
            <w:r>
              <w:rPr>
                <w:spacing w:val="-4"/>
                <w:sz w:val="24"/>
              </w:rPr>
              <w:t>Вашу</w:t>
            </w:r>
          </w:p>
        </w:tc>
        <w:tc>
          <w:tcPr>
            <w:tcW w:w="1277" w:type="dxa"/>
          </w:tcPr>
          <w:p>
            <w:pPr>
              <w:pStyle w:val="TableParagraph"/>
              <w:spacing w:before="51"/>
              <w:ind w:left="107"/>
              <w:rPr>
                <w:sz w:val="24"/>
              </w:rPr>
            </w:pPr>
            <w:r>
              <w:rPr>
                <w:spacing w:val="-10"/>
                <w:sz w:val="24"/>
              </w:rPr>
              <w:t>1</w:t>
            </w:r>
          </w:p>
        </w:tc>
        <w:tc>
          <w:tcPr>
            <w:tcW w:w="991" w:type="dxa"/>
          </w:tcPr>
          <w:p>
            <w:pPr>
              <w:pStyle w:val="TableParagraph"/>
              <w:spacing w:before="51"/>
              <w:ind w:left="104"/>
              <w:rPr>
                <w:sz w:val="24"/>
              </w:rPr>
            </w:pPr>
            <w:r>
              <w:rPr>
                <w:spacing w:val="-10"/>
                <w:sz w:val="24"/>
              </w:rPr>
              <w:t>2</w:t>
            </w:r>
          </w:p>
        </w:tc>
        <w:tc>
          <w:tcPr>
            <w:tcW w:w="1136" w:type="dxa"/>
          </w:tcPr>
          <w:p>
            <w:pPr>
              <w:pStyle w:val="TableParagraph"/>
              <w:spacing w:before="51"/>
              <w:ind w:left="107"/>
              <w:rPr>
                <w:sz w:val="24"/>
              </w:rPr>
            </w:pPr>
            <w:r>
              <w:rPr>
                <w:spacing w:val="-10"/>
                <w:sz w:val="24"/>
              </w:rPr>
              <w:t>3</w:t>
            </w:r>
          </w:p>
        </w:tc>
        <w:tc>
          <w:tcPr>
            <w:tcW w:w="991" w:type="dxa"/>
          </w:tcPr>
          <w:p>
            <w:pPr>
              <w:pStyle w:val="TableParagraph"/>
              <w:spacing w:before="51"/>
              <w:ind w:left="107"/>
              <w:rPr>
                <w:sz w:val="24"/>
              </w:rPr>
            </w:pPr>
            <w:r>
              <w:rPr>
                <w:spacing w:val="-10"/>
                <w:sz w:val="24"/>
              </w:rPr>
              <w:t>4</w:t>
            </w:r>
          </w:p>
        </w:tc>
        <w:tc>
          <w:tcPr>
            <w:tcW w:w="991" w:type="dxa"/>
          </w:tcPr>
          <w:p>
            <w:pPr>
              <w:pStyle w:val="TableParagraph"/>
              <w:spacing w:before="51"/>
              <w:ind w:left="107"/>
              <w:rPr>
                <w:sz w:val="24"/>
              </w:rPr>
            </w:pPr>
            <w:r>
              <w:rPr>
                <w:spacing w:val="-10"/>
                <w:sz w:val="24"/>
              </w:rPr>
              <w:t>5</w:t>
            </w:r>
          </w:p>
        </w:tc>
      </w:tr>
    </w:tbl>
    <w:p>
      <w:pPr>
        <w:pStyle w:val="TableParagraph"/>
        <w:spacing w:after="0"/>
        <w:rPr>
          <w:sz w:val="24"/>
        </w:rPr>
        <w:sectPr>
          <w:pgSz w:w="11910" w:h="16840"/>
          <w:pgMar w:header="0" w:footer="970" w:top="1040" w:bottom="1220" w:left="1417" w:right="283"/>
        </w:sectPr>
      </w:pPr>
    </w:p>
    <w:tbl>
      <w:tblPr>
        <w:tblW w:w="0" w:type="auto"/>
        <w:jc w:val="left"/>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3944"/>
        <w:gridCol w:w="1277"/>
        <w:gridCol w:w="991"/>
        <w:gridCol w:w="1136"/>
        <w:gridCol w:w="991"/>
        <w:gridCol w:w="991"/>
      </w:tblGrid>
      <w:tr>
        <w:trPr>
          <w:trHeight w:val="835" w:hRule="atLeast"/>
        </w:trPr>
        <w:tc>
          <w:tcPr>
            <w:tcW w:w="562" w:type="dxa"/>
          </w:tcPr>
          <w:p>
            <w:pPr>
              <w:pStyle w:val="TableParagraph"/>
              <w:rPr>
                <w:sz w:val="24"/>
              </w:rPr>
            </w:pPr>
          </w:p>
        </w:tc>
        <w:tc>
          <w:tcPr>
            <w:tcW w:w="3944" w:type="dxa"/>
          </w:tcPr>
          <w:p>
            <w:pPr>
              <w:pStyle w:val="TableParagraph"/>
              <w:spacing w:line="276" w:lineRule="auto"/>
              <w:ind w:left="107" w:right="219"/>
              <w:rPr>
                <w:sz w:val="24"/>
              </w:rPr>
            </w:pPr>
            <w:r>
              <w:rPr>
                <w:sz w:val="24"/>
              </w:rPr>
              <w:t>поддержку</w:t>
            </w:r>
            <w:r>
              <w:rPr>
                <w:spacing w:val="-15"/>
                <w:sz w:val="24"/>
              </w:rPr>
              <w:t> </w:t>
            </w:r>
            <w:r>
              <w:rPr>
                <w:sz w:val="24"/>
              </w:rPr>
              <w:t>/</w:t>
            </w:r>
            <w:r>
              <w:rPr>
                <w:spacing w:val="-12"/>
                <w:sz w:val="24"/>
              </w:rPr>
              <w:t> </w:t>
            </w:r>
            <w:r>
              <w:rPr>
                <w:sz w:val="24"/>
              </w:rPr>
              <w:t>поддержку</w:t>
            </w:r>
            <w:r>
              <w:rPr>
                <w:spacing w:val="-13"/>
                <w:sz w:val="24"/>
              </w:rPr>
              <w:t> </w:t>
            </w:r>
            <w:r>
              <w:rPr>
                <w:sz w:val="24"/>
              </w:rPr>
              <w:t>своей семьи / опекунов</w:t>
            </w:r>
          </w:p>
        </w:tc>
        <w:tc>
          <w:tcPr>
            <w:tcW w:w="1277" w:type="dxa"/>
          </w:tcPr>
          <w:p>
            <w:pPr>
              <w:pStyle w:val="TableParagraph"/>
              <w:rPr>
                <w:sz w:val="24"/>
              </w:rPr>
            </w:pPr>
          </w:p>
        </w:tc>
        <w:tc>
          <w:tcPr>
            <w:tcW w:w="991" w:type="dxa"/>
          </w:tcPr>
          <w:p>
            <w:pPr>
              <w:pStyle w:val="TableParagraph"/>
              <w:rPr>
                <w:sz w:val="24"/>
              </w:rPr>
            </w:pPr>
          </w:p>
        </w:tc>
        <w:tc>
          <w:tcPr>
            <w:tcW w:w="1136" w:type="dxa"/>
          </w:tcPr>
          <w:p>
            <w:pPr>
              <w:pStyle w:val="TableParagraph"/>
              <w:rPr>
                <w:sz w:val="24"/>
              </w:rPr>
            </w:pPr>
          </w:p>
        </w:tc>
        <w:tc>
          <w:tcPr>
            <w:tcW w:w="991" w:type="dxa"/>
          </w:tcPr>
          <w:p>
            <w:pPr>
              <w:pStyle w:val="TableParagraph"/>
              <w:rPr>
                <w:sz w:val="24"/>
              </w:rPr>
            </w:pPr>
          </w:p>
        </w:tc>
        <w:tc>
          <w:tcPr>
            <w:tcW w:w="991" w:type="dxa"/>
          </w:tcPr>
          <w:p>
            <w:pPr>
              <w:pStyle w:val="TableParagraph"/>
              <w:rPr>
                <w:sz w:val="24"/>
              </w:rPr>
            </w:pPr>
          </w:p>
        </w:tc>
      </w:tr>
      <w:tr>
        <w:trPr>
          <w:trHeight w:val="1470" w:hRule="atLeast"/>
        </w:trPr>
        <w:tc>
          <w:tcPr>
            <w:tcW w:w="562" w:type="dxa"/>
          </w:tcPr>
          <w:p>
            <w:pPr>
              <w:pStyle w:val="TableParagraph"/>
              <w:spacing w:line="273" w:lineRule="exact"/>
              <w:ind w:left="107"/>
              <w:rPr>
                <w:sz w:val="24"/>
              </w:rPr>
            </w:pPr>
            <w:r>
              <w:rPr>
                <w:spacing w:val="-5"/>
                <w:sz w:val="24"/>
              </w:rPr>
              <w:t>12</w:t>
            </w:r>
          </w:p>
        </w:tc>
        <w:tc>
          <w:tcPr>
            <w:tcW w:w="3944" w:type="dxa"/>
          </w:tcPr>
          <w:p>
            <w:pPr>
              <w:pStyle w:val="TableParagraph"/>
              <w:spacing w:line="276" w:lineRule="auto"/>
              <w:ind w:left="107" w:right="93"/>
              <w:rPr>
                <w:sz w:val="24"/>
              </w:rPr>
            </w:pPr>
            <w:r>
              <w:rPr>
                <w:sz w:val="24"/>
              </w:rPr>
              <w:t>Вам кажется, что в сложной ситуации подросток может рассчитывать</w:t>
            </w:r>
            <w:r>
              <w:rPr>
                <w:spacing w:val="-13"/>
                <w:sz w:val="24"/>
              </w:rPr>
              <w:t> </w:t>
            </w:r>
            <w:r>
              <w:rPr>
                <w:sz w:val="24"/>
              </w:rPr>
              <w:t>на</w:t>
            </w:r>
            <w:r>
              <w:rPr>
                <w:spacing w:val="-14"/>
                <w:sz w:val="24"/>
              </w:rPr>
              <w:t> </w:t>
            </w:r>
            <w:r>
              <w:rPr>
                <w:sz w:val="24"/>
              </w:rPr>
              <w:t>поддержку</w:t>
            </w:r>
            <w:r>
              <w:rPr>
                <w:spacing w:val="-15"/>
                <w:sz w:val="24"/>
              </w:rPr>
              <w:t> </w:t>
            </w:r>
            <w:r>
              <w:rPr>
                <w:sz w:val="24"/>
              </w:rPr>
              <w:t>своих </w:t>
            </w:r>
            <w:r>
              <w:rPr>
                <w:spacing w:val="-2"/>
                <w:sz w:val="24"/>
              </w:rPr>
              <w:t>друзей</w:t>
            </w:r>
          </w:p>
        </w:tc>
        <w:tc>
          <w:tcPr>
            <w:tcW w:w="1277" w:type="dxa"/>
          </w:tcPr>
          <w:p>
            <w:pPr>
              <w:pStyle w:val="TableParagraph"/>
              <w:spacing w:before="195"/>
              <w:rPr>
                <w:i/>
                <w:sz w:val="24"/>
              </w:rPr>
            </w:pPr>
          </w:p>
          <w:p>
            <w:pPr>
              <w:pStyle w:val="TableParagraph"/>
              <w:ind w:left="107"/>
              <w:rPr>
                <w:sz w:val="24"/>
              </w:rPr>
            </w:pPr>
            <w:r>
              <w:rPr>
                <w:spacing w:val="-10"/>
                <w:sz w:val="24"/>
              </w:rPr>
              <w:t>1</w:t>
            </w:r>
          </w:p>
        </w:tc>
        <w:tc>
          <w:tcPr>
            <w:tcW w:w="991" w:type="dxa"/>
          </w:tcPr>
          <w:p>
            <w:pPr>
              <w:pStyle w:val="TableParagraph"/>
              <w:spacing w:before="195"/>
              <w:rPr>
                <w:i/>
                <w:sz w:val="24"/>
              </w:rPr>
            </w:pPr>
          </w:p>
          <w:p>
            <w:pPr>
              <w:pStyle w:val="TableParagraph"/>
              <w:ind w:left="104"/>
              <w:rPr>
                <w:sz w:val="24"/>
              </w:rPr>
            </w:pPr>
            <w:r>
              <w:rPr>
                <w:spacing w:val="-10"/>
                <w:sz w:val="24"/>
              </w:rPr>
              <w:t>2</w:t>
            </w:r>
          </w:p>
        </w:tc>
        <w:tc>
          <w:tcPr>
            <w:tcW w:w="1136" w:type="dxa"/>
          </w:tcPr>
          <w:p>
            <w:pPr>
              <w:pStyle w:val="TableParagraph"/>
              <w:spacing w:before="195"/>
              <w:rPr>
                <w:i/>
                <w:sz w:val="24"/>
              </w:rPr>
            </w:pPr>
          </w:p>
          <w:p>
            <w:pPr>
              <w:pStyle w:val="TableParagraph"/>
              <w:ind w:left="107"/>
              <w:rPr>
                <w:sz w:val="24"/>
              </w:rPr>
            </w:pPr>
            <w:r>
              <w:rPr>
                <w:spacing w:val="-10"/>
                <w:sz w:val="24"/>
              </w:rPr>
              <w:t>3</w:t>
            </w:r>
          </w:p>
        </w:tc>
        <w:tc>
          <w:tcPr>
            <w:tcW w:w="991" w:type="dxa"/>
          </w:tcPr>
          <w:p>
            <w:pPr>
              <w:pStyle w:val="TableParagraph"/>
              <w:spacing w:before="195"/>
              <w:rPr>
                <w:i/>
                <w:sz w:val="24"/>
              </w:rPr>
            </w:pPr>
          </w:p>
          <w:p>
            <w:pPr>
              <w:pStyle w:val="TableParagraph"/>
              <w:ind w:left="107"/>
              <w:rPr>
                <w:sz w:val="24"/>
              </w:rPr>
            </w:pPr>
            <w:r>
              <w:rPr>
                <w:spacing w:val="-10"/>
                <w:sz w:val="24"/>
              </w:rPr>
              <w:t>4</w:t>
            </w:r>
          </w:p>
        </w:tc>
        <w:tc>
          <w:tcPr>
            <w:tcW w:w="991" w:type="dxa"/>
          </w:tcPr>
          <w:p>
            <w:pPr>
              <w:pStyle w:val="TableParagraph"/>
              <w:spacing w:before="195"/>
              <w:rPr>
                <w:i/>
                <w:sz w:val="24"/>
              </w:rPr>
            </w:pPr>
          </w:p>
          <w:p>
            <w:pPr>
              <w:pStyle w:val="TableParagraph"/>
              <w:ind w:left="107"/>
              <w:rPr>
                <w:sz w:val="24"/>
              </w:rPr>
            </w:pPr>
            <w:r>
              <w:rPr>
                <w:spacing w:val="-10"/>
                <w:sz w:val="24"/>
              </w:rPr>
              <w:t>5</w:t>
            </w:r>
          </w:p>
        </w:tc>
      </w:tr>
      <w:tr>
        <w:trPr>
          <w:trHeight w:val="834" w:hRule="atLeast"/>
        </w:trPr>
        <w:tc>
          <w:tcPr>
            <w:tcW w:w="562" w:type="dxa"/>
          </w:tcPr>
          <w:p>
            <w:pPr>
              <w:pStyle w:val="TableParagraph"/>
              <w:spacing w:line="270" w:lineRule="exact"/>
              <w:ind w:left="107"/>
              <w:rPr>
                <w:sz w:val="24"/>
              </w:rPr>
            </w:pPr>
            <w:r>
              <w:rPr>
                <w:spacing w:val="-5"/>
                <w:sz w:val="24"/>
              </w:rPr>
              <w:t>13</w:t>
            </w:r>
          </w:p>
        </w:tc>
        <w:tc>
          <w:tcPr>
            <w:tcW w:w="3944" w:type="dxa"/>
          </w:tcPr>
          <w:p>
            <w:pPr>
              <w:pStyle w:val="TableParagraph"/>
              <w:spacing w:line="276" w:lineRule="auto"/>
              <w:ind w:left="107"/>
              <w:rPr>
                <w:sz w:val="24"/>
              </w:rPr>
            </w:pPr>
            <w:r>
              <w:rPr>
                <w:sz w:val="24"/>
              </w:rPr>
              <w:t>Вам кажется, что в обществе к подростку</w:t>
            </w:r>
            <w:r>
              <w:rPr>
                <w:spacing w:val="-15"/>
                <w:sz w:val="24"/>
              </w:rPr>
              <w:t> </w:t>
            </w:r>
            <w:r>
              <w:rPr>
                <w:sz w:val="24"/>
              </w:rPr>
              <w:t>относятся</w:t>
            </w:r>
            <w:r>
              <w:rPr>
                <w:spacing w:val="-15"/>
                <w:sz w:val="24"/>
              </w:rPr>
              <w:t> </w:t>
            </w:r>
            <w:r>
              <w:rPr>
                <w:sz w:val="24"/>
              </w:rPr>
              <w:t>справедливо</w:t>
            </w:r>
          </w:p>
        </w:tc>
        <w:tc>
          <w:tcPr>
            <w:tcW w:w="1277" w:type="dxa"/>
          </w:tcPr>
          <w:p>
            <w:pPr>
              <w:pStyle w:val="TableParagraph"/>
              <w:spacing w:before="152"/>
              <w:ind w:left="107"/>
              <w:rPr>
                <w:sz w:val="24"/>
              </w:rPr>
            </w:pPr>
            <w:r>
              <w:rPr>
                <w:spacing w:val="-10"/>
                <w:sz w:val="24"/>
              </w:rPr>
              <w:t>1</w:t>
            </w:r>
          </w:p>
        </w:tc>
        <w:tc>
          <w:tcPr>
            <w:tcW w:w="991" w:type="dxa"/>
          </w:tcPr>
          <w:p>
            <w:pPr>
              <w:pStyle w:val="TableParagraph"/>
              <w:spacing w:before="152"/>
              <w:ind w:left="104"/>
              <w:rPr>
                <w:sz w:val="24"/>
              </w:rPr>
            </w:pPr>
            <w:r>
              <w:rPr>
                <w:spacing w:val="-10"/>
                <w:sz w:val="24"/>
              </w:rPr>
              <w:t>2</w:t>
            </w:r>
          </w:p>
        </w:tc>
        <w:tc>
          <w:tcPr>
            <w:tcW w:w="1136" w:type="dxa"/>
          </w:tcPr>
          <w:p>
            <w:pPr>
              <w:pStyle w:val="TableParagraph"/>
              <w:spacing w:before="152"/>
              <w:ind w:left="107"/>
              <w:rPr>
                <w:sz w:val="24"/>
              </w:rPr>
            </w:pPr>
            <w:r>
              <w:rPr>
                <w:spacing w:val="-10"/>
                <w:sz w:val="24"/>
              </w:rPr>
              <w:t>3</w:t>
            </w:r>
          </w:p>
        </w:tc>
        <w:tc>
          <w:tcPr>
            <w:tcW w:w="991" w:type="dxa"/>
          </w:tcPr>
          <w:p>
            <w:pPr>
              <w:pStyle w:val="TableParagraph"/>
              <w:spacing w:before="152"/>
              <w:ind w:left="107"/>
              <w:rPr>
                <w:sz w:val="24"/>
              </w:rPr>
            </w:pPr>
            <w:r>
              <w:rPr>
                <w:spacing w:val="-10"/>
                <w:sz w:val="24"/>
              </w:rPr>
              <w:t>4</w:t>
            </w:r>
          </w:p>
        </w:tc>
        <w:tc>
          <w:tcPr>
            <w:tcW w:w="991" w:type="dxa"/>
          </w:tcPr>
          <w:p>
            <w:pPr>
              <w:pStyle w:val="TableParagraph"/>
              <w:spacing w:before="152"/>
              <w:ind w:left="107"/>
              <w:rPr>
                <w:sz w:val="24"/>
              </w:rPr>
            </w:pPr>
            <w:r>
              <w:rPr>
                <w:spacing w:val="-10"/>
                <w:sz w:val="24"/>
              </w:rPr>
              <w:t>5</w:t>
            </w:r>
          </w:p>
        </w:tc>
      </w:tr>
      <w:tr>
        <w:trPr>
          <w:trHeight w:val="1468" w:hRule="atLeast"/>
        </w:trPr>
        <w:tc>
          <w:tcPr>
            <w:tcW w:w="562" w:type="dxa"/>
          </w:tcPr>
          <w:p>
            <w:pPr>
              <w:pStyle w:val="TableParagraph"/>
              <w:spacing w:line="270" w:lineRule="exact"/>
              <w:ind w:left="107"/>
              <w:rPr>
                <w:sz w:val="24"/>
              </w:rPr>
            </w:pPr>
            <w:r>
              <w:rPr>
                <w:spacing w:val="-5"/>
                <w:sz w:val="24"/>
              </w:rPr>
              <w:t>14</w:t>
            </w:r>
          </w:p>
        </w:tc>
        <w:tc>
          <w:tcPr>
            <w:tcW w:w="3944" w:type="dxa"/>
          </w:tcPr>
          <w:p>
            <w:pPr>
              <w:pStyle w:val="TableParagraph"/>
              <w:spacing w:line="276" w:lineRule="auto"/>
              <w:ind w:left="107" w:right="219"/>
              <w:rPr>
                <w:sz w:val="24"/>
              </w:rPr>
            </w:pPr>
            <w:r>
              <w:rPr>
                <w:sz w:val="24"/>
              </w:rPr>
              <w:t>У</w:t>
            </w:r>
            <w:r>
              <w:rPr>
                <w:spacing w:val="-9"/>
                <w:sz w:val="24"/>
              </w:rPr>
              <w:t> </w:t>
            </w:r>
            <w:r>
              <w:rPr>
                <w:sz w:val="24"/>
              </w:rPr>
              <w:t>подростка</w:t>
            </w:r>
            <w:r>
              <w:rPr>
                <w:spacing w:val="-10"/>
                <w:sz w:val="24"/>
              </w:rPr>
              <w:t> </w:t>
            </w:r>
            <w:r>
              <w:rPr>
                <w:sz w:val="24"/>
              </w:rPr>
              <w:t>есть</w:t>
            </w:r>
            <w:r>
              <w:rPr>
                <w:spacing w:val="-9"/>
                <w:sz w:val="24"/>
              </w:rPr>
              <w:t> </w:t>
            </w:r>
            <w:r>
              <w:rPr>
                <w:sz w:val="24"/>
              </w:rPr>
              <w:t>возможность показать</w:t>
            </w:r>
            <w:r>
              <w:rPr>
                <w:spacing w:val="-10"/>
                <w:sz w:val="24"/>
              </w:rPr>
              <w:t> </w:t>
            </w:r>
            <w:r>
              <w:rPr>
                <w:sz w:val="24"/>
              </w:rPr>
              <w:t>другим,</w:t>
            </w:r>
            <w:r>
              <w:rPr>
                <w:spacing w:val="-11"/>
                <w:sz w:val="24"/>
              </w:rPr>
              <w:t> </w:t>
            </w:r>
            <w:r>
              <w:rPr>
                <w:sz w:val="24"/>
              </w:rPr>
              <w:t>что</w:t>
            </w:r>
            <w:r>
              <w:rPr>
                <w:spacing w:val="-11"/>
                <w:sz w:val="24"/>
              </w:rPr>
              <w:t> </w:t>
            </w:r>
            <w:r>
              <w:rPr>
                <w:sz w:val="24"/>
              </w:rPr>
              <w:t>он</w:t>
            </w:r>
            <w:r>
              <w:rPr>
                <w:spacing w:val="-10"/>
                <w:sz w:val="24"/>
              </w:rPr>
              <w:t> </w:t>
            </w:r>
            <w:r>
              <w:rPr>
                <w:sz w:val="24"/>
              </w:rPr>
              <w:t>может вести себя по-взрослому, </w:t>
            </w:r>
            <w:r>
              <w:rPr>
                <w:spacing w:val="-2"/>
                <w:sz w:val="24"/>
              </w:rPr>
              <w:t>ответственно</w:t>
            </w:r>
          </w:p>
        </w:tc>
        <w:tc>
          <w:tcPr>
            <w:tcW w:w="1277" w:type="dxa"/>
          </w:tcPr>
          <w:p>
            <w:pPr>
              <w:pStyle w:val="TableParagraph"/>
              <w:spacing w:before="193"/>
              <w:rPr>
                <w:i/>
                <w:sz w:val="24"/>
              </w:rPr>
            </w:pPr>
          </w:p>
          <w:p>
            <w:pPr>
              <w:pStyle w:val="TableParagraph"/>
              <w:spacing w:before="1"/>
              <w:ind w:left="107"/>
              <w:rPr>
                <w:sz w:val="24"/>
              </w:rPr>
            </w:pPr>
            <w:r>
              <w:rPr>
                <w:spacing w:val="-10"/>
                <w:sz w:val="24"/>
              </w:rPr>
              <w:t>1</w:t>
            </w:r>
          </w:p>
        </w:tc>
        <w:tc>
          <w:tcPr>
            <w:tcW w:w="991" w:type="dxa"/>
          </w:tcPr>
          <w:p>
            <w:pPr>
              <w:pStyle w:val="TableParagraph"/>
              <w:spacing w:before="193"/>
              <w:rPr>
                <w:i/>
                <w:sz w:val="24"/>
              </w:rPr>
            </w:pPr>
          </w:p>
          <w:p>
            <w:pPr>
              <w:pStyle w:val="TableParagraph"/>
              <w:spacing w:before="1"/>
              <w:ind w:left="104"/>
              <w:rPr>
                <w:sz w:val="24"/>
              </w:rPr>
            </w:pPr>
            <w:r>
              <w:rPr>
                <w:spacing w:val="-10"/>
                <w:sz w:val="24"/>
              </w:rPr>
              <w:t>2</w:t>
            </w:r>
          </w:p>
        </w:tc>
        <w:tc>
          <w:tcPr>
            <w:tcW w:w="1136" w:type="dxa"/>
          </w:tcPr>
          <w:p>
            <w:pPr>
              <w:pStyle w:val="TableParagraph"/>
              <w:spacing w:before="193"/>
              <w:rPr>
                <w:i/>
                <w:sz w:val="24"/>
              </w:rPr>
            </w:pPr>
          </w:p>
          <w:p>
            <w:pPr>
              <w:pStyle w:val="TableParagraph"/>
              <w:spacing w:before="1"/>
              <w:ind w:left="107"/>
              <w:rPr>
                <w:sz w:val="24"/>
              </w:rPr>
            </w:pPr>
            <w:r>
              <w:rPr>
                <w:spacing w:val="-10"/>
                <w:sz w:val="24"/>
              </w:rPr>
              <w:t>3</w:t>
            </w:r>
          </w:p>
        </w:tc>
        <w:tc>
          <w:tcPr>
            <w:tcW w:w="991" w:type="dxa"/>
          </w:tcPr>
          <w:p>
            <w:pPr>
              <w:pStyle w:val="TableParagraph"/>
              <w:spacing w:before="193"/>
              <w:rPr>
                <w:i/>
                <w:sz w:val="24"/>
              </w:rPr>
            </w:pPr>
          </w:p>
          <w:p>
            <w:pPr>
              <w:pStyle w:val="TableParagraph"/>
              <w:spacing w:before="1"/>
              <w:ind w:left="107"/>
              <w:rPr>
                <w:sz w:val="24"/>
              </w:rPr>
            </w:pPr>
            <w:r>
              <w:rPr>
                <w:spacing w:val="-10"/>
                <w:sz w:val="24"/>
              </w:rPr>
              <w:t>4</w:t>
            </w:r>
          </w:p>
        </w:tc>
        <w:tc>
          <w:tcPr>
            <w:tcW w:w="991" w:type="dxa"/>
          </w:tcPr>
          <w:p>
            <w:pPr>
              <w:pStyle w:val="TableParagraph"/>
              <w:spacing w:before="193"/>
              <w:rPr>
                <w:i/>
                <w:sz w:val="24"/>
              </w:rPr>
            </w:pPr>
          </w:p>
          <w:p>
            <w:pPr>
              <w:pStyle w:val="TableParagraph"/>
              <w:spacing w:before="1"/>
              <w:ind w:left="107"/>
              <w:rPr>
                <w:sz w:val="24"/>
              </w:rPr>
            </w:pPr>
            <w:r>
              <w:rPr>
                <w:spacing w:val="-10"/>
                <w:sz w:val="24"/>
              </w:rPr>
              <w:t>5</w:t>
            </w:r>
          </w:p>
        </w:tc>
      </w:tr>
      <w:tr>
        <w:trPr>
          <w:trHeight w:val="1470" w:hRule="atLeast"/>
        </w:trPr>
        <w:tc>
          <w:tcPr>
            <w:tcW w:w="562" w:type="dxa"/>
          </w:tcPr>
          <w:p>
            <w:pPr>
              <w:pStyle w:val="TableParagraph"/>
              <w:spacing w:line="273" w:lineRule="exact"/>
              <w:ind w:left="107"/>
              <w:rPr>
                <w:sz w:val="24"/>
              </w:rPr>
            </w:pPr>
            <w:r>
              <w:rPr>
                <w:spacing w:val="-5"/>
                <w:sz w:val="24"/>
              </w:rPr>
              <w:t>15</w:t>
            </w:r>
          </w:p>
        </w:tc>
        <w:tc>
          <w:tcPr>
            <w:tcW w:w="3944" w:type="dxa"/>
          </w:tcPr>
          <w:p>
            <w:pPr>
              <w:pStyle w:val="TableParagraph"/>
              <w:spacing w:line="276" w:lineRule="auto"/>
              <w:ind w:left="107" w:right="219"/>
              <w:rPr>
                <w:sz w:val="24"/>
              </w:rPr>
            </w:pPr>
            <w:r>
              <w:rPr>
                <w:sz w:val="24"/>
              </w:rPr>
              <w:t>Вам кажется, что подросток чувствует</w:t>
            </w:r>
            <w:r>
              <w:rPr>
                <w:spacing w:val="-12"/>
                <w:sz w:val="24"/>
              </w:rPr>
              <w:t> </w:t>
            </w:r>
            <w:r>
              <w:rPr>
                <w:sz w:val="24"/>
              </w:rPr>
              <w:t>себя</w:t>
            </w:r>
            <w:r>
              <w:rPr>
                <w:spacing w:val="-12"/>
                <w:sz w:val="24"/>
              </w:rPr>
              <w:t> </w:t>
            </w:r>
            <w:r>
              <w:rPr>
                <w:sz w:val="24"/>
              </w:rPr>
              <w:t>в</w:t>
            </w:r>
            <w:r>
              <w:rPr>
                <w:spacing w:val="-13"/>
                <w:sz w:val="24"/>
              </w:rPr>
              <w:t> </w:t>
            </w:r>
            <w:r>
              <w:rPr>
                <w:sz w:val="24"/>
              </w:rPr>
              <w:t>безопасности рядом с Вами (своей семьей / </w:t>
            </w:r>
            <w:r>
              <w:rPr>
                <w:spacing w:val="-2"/>
                <w:sz w:val="24"/>
              </w:rPr>
              <w:t>опекунами)</w:t>
            </w:r>
          </w:p>
        </w:tc>
        <w:tc>
          <w:tcPr>
            <w:tcW w:w="1277" w:type="dxa"/>
          </w:tcPr>
          <w:p>
            <w:pPr>
              <w:pStyle w:val="TableParagraph"/>
              <w:spacing w:before="195"/>
              <w:rPr>
                <w:i/>
                <w:sz w:val="24"/>
              </w:rPr>
            </w:pPr>
          </w:p>
          <w:p>
            <w:pPr>
              <w:pStyle w:val="TableParagraph"/>
              <w:ind w:left="107"/>
              <w:rPr>
                <w:sz w:val="24"/>
              </w:rPr>
            </w:pPr>
            <w:r>
              <w:rPr>
                <w:spacing w:val="-10"/>
                <w:sz w:val="24"/>
              </w:rPr>
              <w:t>1</w:t>
            </w:r>
          </w:p>
        </w:tc>
        <w:tc>
          <w:tcPr>
            <w:tcW w:w="991" w:type="dxa"/>
          </w:tcPr>
          <w:p>
            <w:pPr>
              <w:pStyle w:val="TableParagraph"/>
              <w:spacing w:before="195"/>
              <w:rPr>
                <w:i/>
                <w:sz w:val="24"/>
              </w:rPr>
            </w:pPr>
          </w:p>
          <w:p>
            <w:pPr>
              <w:pStyle w:val="TableParagraph"/>
              <w:ind w:left="104"/>
              <w:rPr>
                <w:sz w:val="24"/>
              </w:rPr>
            </w:pPr>
            <w:r>
              <w:rPr>
                <w:spacing w:val="-10"/>
                <w:sz w:val="24"/>
              </w:rPr>
              <w:t>2</w:t>
            </w:r>
          </w:p>
        </w:tc>
        <w:tc>
          <w:tcPr>
            <w:tcW w:w="1136" w:type="dxa"/>
          </w:tcPr>
          <w:p>
            <w:pPr>
              <w:pStyle w:val="TableParagraph"/>
              <w:spacing w:before="195"/>
              <w:rPr>
                <w:i/>
                <w:sz w:val="24"/>
              </w:rPr>
            </w:pPr>
          </w:p>
          <w:p>
            <w:pPr>
              <w:pStyle w:val="TableParagraph"/>
              <w:ind w:left="107"/>
              <w:rPr>
                <w:sz w:val="24"/>
              </w:rPr>
            </w:pPr>
            <w:r>
              <w:rPr>
                <w:spacing w:val="-10"/>
                <w:sz w:val="24"/>
              </w:rPr>
              <w:t>3</w:t>
            </w:r>
          </w:p>
        </w:tc>
        <w:tc>
          <w:tcPr>
            <w:tcW w:w="991" w:type="dxa"/>
          </w:tcPr>
          <w:p>
            <w:pPr>
              <w:pStyle w:val="TableParagraph"/>
              <w:spacing w:before="195"/>
              <w:rPr>
                <w:i/>
                <w:sz w:val="24"/>
              </w:rPr>
            </w:pPr>
          </w:p>
          <w:p>
            <w:pPr>
              <w:pStyle w:val="TableParagraph"/>
              <w:ind w:left="107"/>
              <w:rPr>
                <w:sz w:val="24"/>
              </w:rPr>
            </w:pPr>
            <w:r>
              <w:rPr>
                <w:spacing w:val="-10"/>
                <w:sz w:val="24"/>
              </w:rPr>
              <w:t>4</w:t>
            </w:r>
          </w:p>
        </w:tc>
        <w:tc>
          <w:tcPr>
            <w:tcW w:w="991" w:type="dxa"/>
          </w:tcPr>
          <w:p>
            <w:pPr>
              <w:pStyle w:val="TableParagraph"/>
              <w:spacing w:before="195"/>
              <w:rPr>
                <w:i/>
                <w:sz w:val="24"/>
              </w:rPr>
            </w:pPr>
          </w:p>
          <w:p>
            <w:pPr>
              <w:pStyle w:val="TableParagraph"/>
              <w:ind w:left="107"/>
              <w:rPr>
                <w:sz w:val="24"/>
              </w:rPr>
            </w:pPr>
            <w:r>
              <w:rPr>
                <w:spacing w:val="-10"/>
                <w:sz w:val="24"/>
              </w:rPr>
              <w:t>5</w:t>
            </w:r>
          </w:p>
        </w:tc>
      </w:tr>
      <w:tr>
        <w:trPr>
          <w:trHeight w:val="2104" w:hRule="atLeast"/>
        </w:trPr>
        <w:tc>
          <w:tcPr>
            <w:tcW w:w="562" w:type="dxa"/>
          </w:tcPr>
          <w:p>
            <w:pPr>
              <w:pStyle w:val="TableParagraph"/>
              <w:spacing w:line="270" w:lineRule="exact"/>
              <w:ind w:left="107"/>
              <w:rPr>
                <w:sz w:val="24"/>
              </w:rPr>
            </w:pPr>
            <w:r>
              <w:rPr>
                <w:spacing w:val="-5"/>
                <w:sz w:val="24"/>
              </w:rPr>
              <w:t>16</w:t>
            </w:r>
          </w:p>
        </w:tc>
        <w:tc>
          <w:tcPr>
            <w:tcW w:w="3944" w:type="dxa"/>
          </w:tcPr>
          <w:p>
            <w:pPr>
              <w:pStyle w:val="TableParagraph"/>
              <w:spacing w:line="276" w:lineRule="auto"/>
              <w:ind w:left="107" w:right="149"/>
              <w:rPr>
                <w:sz w:val="24"/>
              </w:rPr>
            </w:pPr>
            <w:r>
              <w:rPr>
                <w:sz w:val="24"/>
              </w:rPr>
              <w:t>У подростка есть возможность развить навыки, которые пригодятся ему в дальнейшей жизни (например, профессиональные навыки и умение</w:t>
            </w:r>
            <w:r>
              <w:rPr>
                <w:spacing w:val="-11"/>
                <w:sz w:val="24"/>
              </w:rPr>
              <w:t> </w:t>
            </w:r>
            <w:r>
              <w:rPr>
                <w:sz w:val="24"/>
              </w:rPr>
              <w:t>заботиться</w:t>
            </w:r>
            <w:r>
              <w:rPr>
                <w:spacing w:val="-10"/>
                <w:sz w:val="24"/>
              </w:rPr>
              <w:t> </w:t>
            </w:r>
            <w:r>
              <w:rPr>
                <w:sz w:val="24"/>
              </w:rPr>
              <w:t>о</w:t>
            </w:r>
            <w:r>
              <w:rPr>
                <w:spacing w:val="-10"/>
                <w:sz w:val="24"/>
              </w:rPr>
              <w:t> </w:t>
            </w:r>
            <w:r>
              <w:rPr>
                <w:sz w:val="24"/>
              </w:rPr>
              <w:t>других</w:t>
            </w:r>
            <w:r>
              <w:rPr>
                <w:spacing w:val="-8"/>
                <w:sz w:val="24"/>
              </w:rPr>
              <w:t> </w:t>
            </w:r>
            <w:r>
              <w:rPr>
                <w:sz w:val="24"/>
              </w:rPr>
              <w:t>людях)</w:t>
            </w:r>
          </w:p>
        </w:tc>
        <w:tc>
          <w:tcPr>
            <w:tcW w:w="1277" w:type="dxa"/>
          </w:tcPr>
          <w:p>
            <w:pPr>
              <w:pStyle w:val="TableParagraph"/>
              <w:rPr>
                <w:i/>
                <w:sz w:val="24"/>
              </w:rPr>
            </w:pPr>
          </w:p>
          <w:p>
            <w:pPr>
              <w:pStyle w:val="TableParagraph"/>
              <w:spacing w:before="236"/>
              <w:rPr>
                <w:i/>
                <w:sz w:val="24"/>
              </w:rPr>
            </w:pPr>
          </w:p>
          <w:p>
            <w:pPr>
              <w:pStyle w:val="TableParagraph"/>
              <w:spacing w:before="1"/>
              <w:ind w:left="107"/>
              <w:rPr>
                <w:sz w:val="24"/>
              </w:rPr>
            </w:pPr>
            <w:r>
              <w:rPr>
                <w:spacing w:val="-10"/>
                <w:sz w:val="24"/>
              </w:rPr>
              <w:t>1</w:t>
            </w:r>
          </w:p>
        </w:tc>
        <w:tc>
          <w:tcPr>
            <w:tcW w:w="991" w:type="dxa"/>
          </w:tcPr>
          <w:p>
            <w:pPr>
              <w:pStyle w:val="TableParagraph"/>
              <w:rPr>
                <w:i/>
                <w:sz w:val="24"/>
              </w:rPr>
            </w:pPr>
          </w:p>
          <w:p>
            <w:pPr>
              <w:pStyle w:val="TableParagraph"/>
              <w:spacing w:before="236"/>
              <w:rPr>
                <w:i/>
                <w:sz w:val="24"/>
              </w:rPr>
            </w:pPr>
          </w:p>
          <w:p>
            <w:pPr>
              <w:pStyle w:val="TableParagraph"/>
              <w:spacing w:before="1"/>
              <w:ind w:left="104"/>
              <w:rPr>
                <w:sz w:val="24"/>
              </w:rPr>
            </w:pPr>
            <w:r>
              <w:rPr>
                <w:spacing w:val="-10"/>
                <w:sz w:val="24"/>
              </w:rPr>
              <w:t>2</w:t>
            </w:r>
          </w:p>
        </w:tc>
        <w:tc>
          <w:tcPr>
            <w:tcW w:w="1136" w:type="dxa"/>
          </w:tcPr>
          <w:p>
            <w:pPr>
              <w:pStyle w:val="TableParagraph"/>
              <w:rPr>
                <w:i/>
                <w:sz w:val="24"/>
              </w:rPr>
            </w:pPr>
          </w:p>
          <w:p>
            <w:pPr>
              <w:pStyle w:val="TableParagraph"/>
              <w:spacing w:before="236"/>
              <w:rPr>
                <w:i/>
                <w:sz w:val="24"/>
              </w:rPr>
            </w:pPr>
          </w:p>
          <w:p>
            <w:pPr>
              <w:pStyle w:val="TableParagraph"/>
              <w:spacing w:before="1"/>
              <w:ind w:left="107"/>
              <w:rPr>
                <w:sz w:val="24"/>
              </w:rPr>
            </w:pPr>
            <w:r>
              <w:rPr>
                <w:spacing w:val="-10"/>
                <w:sz w:val="24"/>
              </w:rPr>
              <w:t>3</w:t>
            </w:r>
          </w:p>
        </w:tc>
        <w:tc>
          <w:tcPr>
            <w:tcW w:w="991" w:type="dxa"/>
          </w:tcPr>
          <w:p>
            <w:pPr>
              <w:pStyle w:val="TableParagraph"/>
              <w:rPr>
                <w:i/>
                <w:sz w:val="24"/>
              </w:rPr>
            </w:pPr>
          </w:p>
          <w:p>
            <w:pPr>
              <w:pStyle w:val="TableParagraph"/>
              <w:spacing w:before="236"/>
              <w:rPr>
                <w:i/>
                <w:sz w:val="24"/>
              </w:rPr>
            </w:pPr>
          </w:p>
          <w:p>
            <w:pPr>
              <w:pStyle w:val="TableParagraph"/>
              <w:spacing w:before="1"/>
              <w:ind w:left="107"/>
              <w:rPr>
                <w:sz w:val="24"/>
              </w:rPr>
            </w:pPr>
            <w:r>
              <w:rPr>
                <w:spacing w:val="-10"/>
                <w:sz w:val="24"/>
              </w:rPr>
              <w:t>4</w:t>
            </w:r>
          </w:p>
        </w:tc>
        <w:tc>
          <w:tcPr>
            <w:tcW w:w="991" w:type="dxa"/>
          </w:tcPr>
          <w:p>
            <w:pPr>
              <w:pStyle w:val="TableParagraph"/>
              <w:rPr>
                <w:i/>
                <w:sz w:val="24"/>
              </w:rPr>
            </w:pPr>
          </w:p>
          <w:p>
            <w:pPr>
              <w:pStyle w:val="TableParagraph"/>
              <w:spacing w:before="236"/>
              <w:rPr>
                <w:i/>
                <w:sz w:val="24"/>
              </w:rPr>
            </w:pPr>
          </w:p>
          <w:p>
            <w:pPr>
              <w:pStyle w:val="TableParagraph"/>
              <w:spacing w:before="1"/>
              <w:ind w:left="107"/>
              <w:rPr>
                <w:sz w:val="24"/>
              </w:rPr>
            </w:pPr>
            <w:r>
              <w:rPr>
                <w:spacing w:val="-10"/>
                <w:sz w:val="24"/>
              </w:rPr>
              <w:t>5</w:t>
            </w:r>
          </w:p>
        </w:tc>
      </w:tr>
      <w:tr>
        <w:trPr>
          <w:trHeight w:val="1151" w:hRule="atLeast"/>
        </w:trPr>
        <w:tc>
          <w:tcPr>
            <w:tcW w:w="562" w:type="dxa"/>
          </w:tcPr>
          <w:p>
            <w:pPr>
              <w:pStyle w:val="TableParagraph"/>
              <w:spacing w:line="270" w:lineRule="exact"/>
              <w:ind w:left="107"/>
              <w:rPr>
                <w:sz w:val="24"/>
              </w:rPr>
            </w:pPr>
            <w:r>
              <w:rPr>
                <w:spacing w:val="-5"/>
                <w:sz w:val="24"/>
              </w:rPr>
              <w:t>17</w:t>
            </w:r>
          </w:p>
        </w:tc>
        <w:tc>
          <w:tcPr>
            <w:tcW w:w="3944" w:type="dxa"/>
          </w:tcPr>
          <w:p>
            <w:pPr>
              <w:pStyle w:val="TableParagraph"/>
              <w:spacing w:line="276" w:lineRule="auto"/>
              <w:ind w:left="107"/>
              <w:rPr>
                <w:sz w:val="24"/>
              </w:rPr>
            </w:pPr>
            <w:r>
              <w:rPr>
                <w:sz w:val="24"/>
              </w:rPr>
              <w:t>Подростку</w:t>
            </w:r>
            <w:r>
              <w:rPr>
                <w:spacing w:val="-15"/>
                <w:sz w:val="24"/>
              </w:rPr>
              <w:t> </w:t>
            </w:r>
            <w:r>
              <w:rPr>
                <w:sz w:val="24"/>
              </w:rPr>
              <w:t>нравятся</w:t>
            </w:r>
            <w:r>
              <w:rPr>
                <w:spacing w:val="-11"/>
                <w:sz w:val="24"/>
              </w:rPr>
              <w:t> </w:t>
            </w:r>
            <w:r>
              <w:rPr>
                <w:sz w:val="24"/>
              </w:rPr>
              <w:t>культурные</w:t>
            </w:r>
            <w:r>
              <w:rPr>
                <w:spacing w:val="-13"/>
                <w:sz w:val="24"/>
              </w:rPr>
              <w:t> </w:t>
            </w:r>
            <w:r>
              <w:rPr>
                <w:sz w:val="24"/>
              </w:rPr>
              <w:t>и семейные традиции его </w:t>
            </w:r>
            <w:r>
              <w:rPr>
                <w:spacing w:val="-2"/>
                <w:sz w:val="24"/>
              </w:rPr>
              <w:t>семьи/опекунов</w:t>
            </w:r>
          </w:p>
        </w:tc>
        <w:tc>
          <w:tcPr>
            <w:tcW w:w="1277" w:type="dxa"/>
          </w:tcPr>
          <w:p>
            <w:pPr>
              <w:pStyle w:val="TableParagraph"/>
              <w:spacing w:before="34"/>
              <w:rPr>
                <w:i/>
                <w:sz w:val="24"/>
              </w:rPr>
            </w:pPr>
          </w:p>
          <w:p>
            <w:pPr>
              <w:pStyle w:val="TableParagraph"/>
              <w:spacing w:before="1"/>
              <w:ind w:left="107"/>
              <w:rPr>
                <w:sz w:val="24"/>
              </w:rPr>
            </w:pPr>
            <w:r>
              <w:rPr>
                <w:spacing w:val="-10"/>
                <w:sz w:val="24"/>
              </w:rPr>
              <w:t>1</w:t>
            </w:r>
          </w:p>
        </w:tc>
        <w:tc>
          <w:tcPr>
            <w:tcW w:w="991" w:type="dxa"/>
          </w:tcPr>
          <w:p>
            <w:pPr>
              <w:pStyle w:val="TableParagraph"/>
              <w:spacing w:before="34"/>
              <w:rPr>
                <w:i/>
                <w:sz w:val="24"/>
              </w:rPr>
            </w:pPr>
          </w:p>
          <w:p>
            <w:pPr>
              <w:pStyle w:val="TableParagraph"/>
              <w:spacing w:before="1"/>
              <w:ind w:left="104"/>
              <w:rPr>
                <w:sz w:val="24"/>
              </w:rPr>
            </w:pPr>
            <w:r>
              <w:rPr>
                <w:spacing w:val="-10"/>
                <w:sz w:val="24"/>
              </w:rPr>
              <w:t>2</w:t>
            </w:r>
          </w:p>
        </w:tc>
        <w:tc>
          <w:tcPr>
            <w:tcW w:w="1136" w:type="dxa"/>
          </w:tcPr>
          <w:p>
            <w:pPr>
              <w:pStyle w:val="TableParagraph"/>
              <w:spacing w:before="34"/>
              <w:rPr>
                <w:i/>
                <w:sz w:val="24"/>
              </w:rPr>
            </w:pPr>
          </w:p>
          <w:p>
            <w:pPr>
              <w:pStyle w:val="TableParagraph"/>
              <w:spacing w:before="1"/>
              <w:ind w:left="107"/>
              <w:rPr>
                <w:sz w:val="24"/>
              </w:rPr>
            </w:pPr>
            <w:r>
              <w:rPr>
                <w:spacing w:val="-10"/>
                <w:sz w:val="24"/>
              </w:rPr>
              <w:t>3</w:t>
            </w:r>
          </w:p>
        </w:tc>
        <w:tc>
          <w:tcPr>
            <w:tcW w:w="991" w:type="dxa"/>
          </w:tcPr>
          <w:p>
            <w:pPr>
              <w:pStyle w:val="TableParagraph"/>
              <w:spacing w:before="34"/>
              <w:rPr>
                <w:i/>
                <w:sz w:val="24"/>
              </w:rPr>
            </w:pPr>
          </w:p>
          <w:p>
            <w:pPr>
              <w:pStyle w:val="TableParagraph"/>
              <w:spacing w:before="1"/>
              <w:ind w:left="107"/>
              <w:rPr>
                <w:sz w:val="24"/>
              </w:rPr>
            </w:pPr>
            <w:r>
              <w:rPr>
                <w:spacing w:val="-10"/>
                <w:sz w:val="24"/>
              </w:rPr>
              <w:t>4</w:t>
            </w:r>
          </w:p>
        </w:tc>
        <w:tc>
          <w:tcPr>
            <w:tcW w:w="991" w:type="dxa"/>
          </w:tcPr>
          <w:p>
            <w:pPr>
              <w:pStyle w:val="TableParagraph"/>
              <w:spacing w:before="34"/>
              <w:rPr>
                <w:i/>
                <w:sz w:val="24"/>
              </w:rPr>
            </w:pPr>
          </w:p>
          <w:p>
            <w:pPr>
              <w:pStyle w:val="TableParagraph"/>
              <w:spacing w:before="1"/>
              <w:ind w:left="107"/>
              <w:rPr>
                <w:sz w:val="24"/>
              </w:rPr>
            </w:pPr>
            <w:r>
              <w:rPr>
                <w:spacing w:val="-10"/>
                <w:sz w:val="24"/>
              </w:rPr>
              <w:t>5</w:t>
            </w:r>
          </w:p>
        </w:tc>
      </w:tr>
    </w:tbl>
    <w:p>
      <w:pPr>
        <w:pStyle w:val="TableParagraph"/>
        <w:spacing w:after="0"/>
        <w:rPr>
          <w:sz w:val="24"/>
        </w:rPr>
        <w:sectPr>
          <w:type w:val="continuous"/>
          <w:pgSz w:w="11910" w:h="16840"/>
          <w:pgMar w:header="0" w:footer="970" w:top="1100" w:bottom="1220" w:left="1417" w:right="283"/>
        </w:sectPr>
      </w:pPr>
    </w:p>
    <w:p>
      <w:pPr>
        <w:pStyle w:val="Heading2"/>
        <w:numPr>
          <w:ilvl w:val="0"/>
          <w:numId w:val="15"/>
        </w:numPr>
        <w:tabs>
          <w:tab w:pos="564" w:val="left" w:leader="none"/>
        </w:tabs>
        <w:spacing w:line="240" w:lineRule="auto" w:before="72" w:after="0"/>
        <w:ind w:left="564" w:right="0" w:hanging="279"/>
        <w:jc w:val="left"/>
      </w:pPr>
      <w:bookmarkStart w:name="_bookmark21" w:id="23"/>
      <w:bookmarkEnd w:id="23"/>
      <w:r>
        <w:rPr>
          <w:b w:val="0"/>
        </w:rPr>
      </w:r>
      <w:r>
        <w:rPr/>
        <w:t>Шкала</w:t>
      </w:r>
      <w:r>
        <w:rPr>
          <w:spacing w:val="-5"/>
        </w:rPr>
        <w:t> </w:t>
      </w:r>
      <w:r>
        <w:rPr/>
        <w:t>социального</w:t>
      </w:r>
      <w:r>
        <w:rPr>
          <w:spacing w:val="-5"/>
        </w:rPr>
        <w:t> </w:t>
      </w:r>
      <w:r>
        <w:rPr/>
        <w:t>избегания</w:t>
      </w:r>
      <w:r>
        <w:rPr>
          <w:spacing w:val="-8"/>
        </w:rPr>
        <w:t> </w:t>
      </w:r>
      <w:r>
        <w:rPr/>
        <w:t>и</w:t>
      </w:r>
      <w:r>
        <w:rPr>
          <w:spacing w:val="-6"/>
        </w:rPr>
        <w:t> </w:t>
      </w:r>
      <w:r>
        <w:rPr>
          <w:spacing w:val="-2"/>
        </w:rPr>
        <w:t>дистресса</w:t>
      </w:r>
    </w:p>
    <w:p>
      <w:pPr>
        <w:pStyle w:val="Heading3"/>
        <w:spacing w:before="293"/>
      </w:pPr>
      <w:r>
        <w:rPr/>
        <w:t>Описание</w:t>
      </w:r>
      <w:r>
        <w:rPr>
          <w:spacing w:val="-2"/>
        </w:rPr>
        <w:t> методики</w:t>
      </w:r>
    </w:p>
    <w:p>
      <w:pPr>
        <w:pStyle w:val="Heading4"/>
        <w:spacing w:before="232"/>
        <w:ind w:right="559"/>
      </w:pPr>
      <w:r>
        <w:rPr/>
        <w:t>Шкала</w:t>
      </w:r>
      <w:r>
        <w:rPr>
          <w:spacing w:val="-3"/>
        </w:rPr>
        <w:t> </w:t>
      </w:r>
      <w:r>
        <w:rPr/>
        <w:t>социального</w:t>
      </w:r>
      <w:r>
        <w:rPr>
          <w:spacing w:val="-5"/>
        </w:rPr>
        <w:t> </w:t>
      </w:r>
      <w:r>
        <w:rPr/>
        <w:t>избегания</w:t>
      </w:r>
      <w:r>
        <w:rPr>
          <w:spacing w:val="-5"/>
        </w:rPr>
        <w:t> </w:t>
      </w:r>
      <w:r>
        <w:rPr/>
        <w:t>и</w:t>
      </w:r>
      <w:r>
        <w:rPr>
          <w:spacing w:val="-2"/>
        </w:rPr>
        <w:t> </w:t>
      </w:r>
      <w:r>
        <w:rPr/>
        <w:t>дистресса</w:t>
      </w:r>
      <w:r>
        <w:rPr>
          <w:spacing w:val="-2"/>
        </w:rPr>
        <w:t> </w:t>
      </w:r>
      <w:r>
        <w:rPr/>
        <w:t>(</w:t>
      </w:r>
      <w:r>
        <w:rPr>
          <w:i/>
        </w:rPr>
        <w:t>SADS</w:t>
      </w:r>
      <w:r>
        <w:rPr/>
        <w:t>)</w:t>
      </w:r>
      <w:r>
        <w:rPr>
          <w:spacing w:val="-5"/>
        </w:rPr>
        <w:t> </w:t>
      </w:r>
      <w:r>
        <w:rPr/>
        <w:t>—</w:t>
      </w:r>
      <w:r>
        <w:rPr>
          <w:spacing w:val="-3"/>
        </w:rPr>
        <w:t> </w:t>
      </w:r>
      <w:r>
        <w:rPr/>
        <w:t>тест,</w:t>
      </w:r>
      <w:r>
        <w:rPr>
          <w:spacing w:val="-6"/>
        </w:rPr>
        <w:t> </w:t>
      </w:r>
      <w:r>
        <w:rPr/>
        <w:t>разработанный</w:t>
      </w:r>
      <w:r>
        <w:rPr>
          <w:spacing w:val="-2"/>
        </w:rPr>
        <w:t> </w:t>
      </w:r>
      <w:r>
        <w:rPr/>
        <w:t>для измерения социальной тревожности. Методика оценивает склонность человека</w:t>
      </w:r>
      <w:r>
        <w:rPr>
          <w:spacing w:val="-11"/>
        </w:rPr>
        <w:t> </w:t>
      </w:r>
      <w:r>
        <w:rPr/>
        <w:t>испытывать</w:t>
      </w:r>
      <w:r>
        <w:rPr>
          <w:spacing w:val="-12"/>
        </w:rPr>
        <w:t> </w:t>
      </w:r>
      <w:r>
        <w:rPr/>
        <w:t>дискомфорт</w:t>
      </w:r>
      <w:r>
        <w:rPr>
          <w:spacing w:val="-11"/>
        </w:rPr>
        <w:t> </w:t>
      </w:r>
      <w:r>
        <w:rPr/>
        <w:t>в</w:t>
      </w:r>
      <w:r>
        <w:rPr>
          <w:spacing w:val="-12"/>
        </w:rPr>
        <w:t> </w:t>
      </w:r>
      <w:r>
        <w:rPr/>
        <w:t>ситуациях</w:t>
      </w:r>
      <w:r>
        <w:rPr>
          <w:spacing w:val="-10"/>
        </w:rPr>
        <w:t> </w:t>
      </w:r>
      <w:r>
        <w:rPr/>
        <w:t>социального</w:t>
      </w:r>
      <w:r>
        <w:rPr>
          <w:spacing w:val="-10"/>
        </w:rPr>
        <w:t> </w:t>
      </w:r>
      <w:r>
        <w:rPr/>
        <w:t>взаимодействия,</w:t>
      </w:r>
      <w:r>
        <w:rPr>
          <w:spacing w:val="-11"/>
        </w:rPr>
        <w:t> </w:t>
      </w:r>
      <w:r>
        <w:rPr/>
        <w:t>а также его стремление избегать социальных контактов в целом (</w:t>
      </w:r>
      <w:r>
        <w:rPr>
          <w:i/>
        </w:rPr>
        <w:t>Клименкова</w:t>
      </w:r>
      <w:r>
        <w:rPr/>
        <w:t>, </w:t>
      </w:r>
      <w:r>
        <w:rPr>
          <w:spacing w:val="-2"/>
        </w:rPr>
        <w:t>2017).</w:t>
      </w:r>
    </w:p>
    <w:p>
      <w:pPr>
        <w:pStyle w:val="Heading4"/>
        <w:spacing w:before="241"/>
        <w:ind w:right="565"/>
      </w:pPr>
      <w:r>
        <w:rPr/>
        <w:t>Тест состоит из 28 утверждений, которые позволяют оценить два связанных компонента социальной тревожности: социальный дистресс и социальное избегание. Уровень социального дистресса показывает, в какой степени человек</w:t>
      </w:r>
      <w:r>
        <w:rPr>
          <w:spacing w:val="-17"/>
        </w:rPr>
        <w:t> </w:t>
      </w:r>
      <w:r>
        <w:rPr/>
        <w:t>воспринимает</w:t>
      </w:r>
      <w:r>
        <w:rPr>
          <w:spacing w:val="-16"/>
        </w:rPr>
        <w:t> </w:t>
      </w:r>
      <w:r>
        <w:rPr/>
        <w:t>ситуации</w:t>
      </w:r>
      <w:r>
        <w:rPr>
          <w:spacing w:val="-15"/>
        </w:rPr>
        <w:t> </w:t>
      </w:r>
      <w:r>
        <w:rPr/>
        <w:t>общения</w:t>
      </w:r>
      <w:r>
        <w:rPr>
          <w:spacing w:val="-15"/>
        </w:rPr>
        <w:t> </w:t>
      </w:r>
      <w:r>
        <w:rPr/>
        <w:t>как</w:t>
      </w:r>
      <w:r>
        <w:rPr>
          <w:spacing w:val="-17"/>
        </w:rPr>
        <w:t> </w:t>
      </w:r>
      <w:r>
        <w:rPr/>
        <w:t>дискомфортные</w:t>
      </w:r>
      <w:r>
        <w:rPr>
          <w:spacing w:val="-15"/>
        </w:rPr>
        <w:t> </w:t>
      </w:r>
      <w:r>
        <w:rPr/>
        <w:t>и</w:t>
      </w:r>
      <w:r>
        <w:rPr>
          <w:spacing w:val="-17"/>
        </w:rPr>
        <w:t> </w:t>
      </w:r>
      <w:r>
        <w:rPr/>
        <w:t>напряженные. Степень социального избегания демонстрирует, как часто человек реализует стратегию отказа от общения с целью защититься от дистресса. Методику рекомендуется использовать для анализа социальной тревожности </w:t>
      </w:r>
      <w:r>
        <w:rPr>
          <w:spacing w:val="-2"/>
        </w:rPr>
        <w:t>подростков.</w:t>
      </w:r>
    </w:p>
    <w:p>
      <w:pPr>
        <w:pStyle w:val="Heading4"/>
        <w:spacing w:before="240"/>
        <w:ind w:right="559"/>
      </w:pPr>
      <w:r>
        <w:rPr/>
        <w:t>Трудно переоценить значимость исследования социальной тревожности и социального избегания при работе с детьми с миграционным опытом. Попадание в новую социальную ситуацию с социальными нормами, отличными от привычных, зачастую чревато социальной дезадаптацией, дистрессом и стремлением снизить количество травмирующих социальных </w:t>
      </w:r>
      <w:r>
        <w:rPr>
          <w:spacing w:val="-2"/>
        </w:rPr>
        <w:t>контактов.</w:t>
      </w:r>
      <w:r>
        <w:rPr>
          <w:spacing w:val="-13"/>
        </w:rPr>
        <w:t> </w:t>
      </w:r>
      <w:r>
        <w:rPr>
          <w:spacing w:val="-2"/>
        </w:rPr>
        <w:t>Именно</w:t>
      </w:r>
      <w:r>
        <w:rPr>
          <w:spacing w:val="-7"/>
        </w:rPr>
        <w:t> </w:t>
      </w:r>
      <w:r>
        <w:rPr>
          <w:spacing w:val="-2"/>
        </w:rPr>
        <w:t>эта</w:t>
      </w:r>
      <w:r>
        <w:rPr>
          <w:spacing w:val="-9"/>
        </w:rPr>
        <w:t> </w:t>
      </w:r>
      <w:r>
        <w:rPr>
          <w:spacing w:val="-2"/>
        </w:rPr>
        <w:t>сфера</w:t>
      </w:r>
      <w:r>
        <w:rPr>
          <w:spacing w:val="-9"/>
        </w:rPr>
        <w:t> </w:t>
      </w:r>
      <w:r>
        <w:rPr>
          <w:spacing w:val="-2"/>
        </w:rPr>
        <w:t>и</w:t>
      </w:r>
      <w:r>
        <w:rPr>
          <w:spacing w:val="-11"/>
        </w:rPr>
        <w:t> </w:t>
      </w:r>
      <w:r>
        <w:rPr>
          <w:spacing w:val="-2"/>
        </w:rPr>
        <w:t>является</w:t>
      </w:r>
      <w:r>
        <w:rPr>
          <w:spacing w:val="-12"/>
        </w:rPr>
        <w:t> </w:t>
      </w:r>
      <w:r>
        <w:rPr>
          <w:spacing w:val="-2"/>
        </w:rPr>
        <w:t>основной</w:t>
      </w:r>
      <w:r>
        <w:rPr>
          <w:spacing w:val="-7"/>
        </w:rPr>
        <w:t> </w:t>
      </w:r>
      <w:r>
        <w:rPr>
          <w:spacing w:val="-2"/>
        </w:rPr>
        <w:t>областью</w:t>
      </w:r>
      <w:r>
        <w:rPr>
          <w:spacing w:val="-13"/>
        </w:rPr>
        <w:t> </w:t>
      </w:r>
      <w:r>
        <w:rPr>
          <w:spacing w:val="-2"/>
        </w:rPr>
        <w:t>применения</w:t>
      </w:r>
      <w:r>
        <w:rPr>
          <w:spacing w:val="-7"/>
        </w:rPr>
        <w:t> </w:t>
      </w:r>
      <w:r>
        <w:rPr>
          <w:i/>
          <w:spacing w:val="-2"/>
        </w:rPr>
        <w:t>SADS</w:t>
      </w:r>
      <w:r>
        <w:rPr>
          <w:spacing w:val="-2"/>
        </w:rPr>
        <w:t>.</w:t>
      </w:r>
    </w:p>
    <w:p>
      <w:pPr>
        <w:pStyle w:val="Heading3"/>
        <w:spacing w:before="247"/>
      </w:pPr>
      <w:r>
        <w:rPr/>
        <w:t>Проведение</w:t>
      </w:r>
      <w:r>
        <w:rPr>
          <w:spacing w:val="-10"/>
        </w:rPr>
        <w:t> </w:t>
      </w:r>
      <w:r>
        <w:rPr>
          <w:spacing w:val="-2"/>
        </w:rPr>
        <w:t>методики</w:t>
      </w:r>
    </w:p>
    <w:p>
      <w:pPr>
        <w:pStyle w:val="Heading4"/>
        <w:spacing w:before="233"/>
        <w:ind w:right="567" w:firstLine="700"/>
      </w:pPr>
      <w:r>
        <w:rPr/>
        <w:t>На заполнение </w:t>
      </w:r>
      <w:r>
        <w:rPr>
          <w:i/>
        </w:rPr>
        <w:t>SADS </w:t>
      </w:r>
      <w:r>
        <w:rPr/>
        <w:t>требуется около 15 минут. Тестирование можно проводить как индивидуально, так и коллективно. Участники получают бланки</w:t>
      </w:r>
      <w:r>
        <w:rPr>
          <w:spacing w:val="78"/>
          <w:w w:val="150"/>
        </w:rPr>
        <w:t> </w:t>
      </w:r>
      <w:r>
        <w:rPr/>
        <w:t>с</w:t>
      </w:r>
      <w:r>
        <w:rPr>
          <w:spacing w:val="77"/>
          <w:w w:val="150"/>
        </w:rPr>
        <w:t> </w:t>
      </w:r>
      <w:r>
        <w:rPr/>
        <w:t>утверждениями,</w:t>
      </w:r>
      <w:r>
        <w:rPr>
          <w:spacing w:val="77"/>
          <w:w w:val="150"/>
        </w:rPr>
        <w:t> </w:t>
      </w:r>
      <w:r>
        <w:rPr/>
        <w:t>каждое</w:t>
      </w:r>
      <w:r>
        <w:rPr>
          <w:spacing w:val="77"/>
          <w:w w:val="150"/>
        </w:rPr>
        <w:t> </w:t>
      </w:r>
      <w:r>
        <w:rPr/>
        <w:t>из</w:t>
      </w:r>
      <w:r>
        <w:rPr>
          <w:spacing w:val="75"/>
          <w:w w:val="150"/>
        </w:rPr>
        <w:t> </w:t>
      </w:r>
      <w:r>
        <w:rPr/>
        <w:t>которых</w:t>
      </w:r>
      <w:r>
        <w:rPr>
          <w:spacing w:val="77"/>
          <w:w w:val="150"/>
        </w:rPr>
        <w:t> </w:t>
      </w:r>
      <w:r>
        <w:rPr/>
        <w:t>необходимо</w:t>
      </w:r>
      <w:r>
        <w:rPr>
          <w:spacing w:val="78"/>
          <w:w w:val="150"/>
        </w:rPr>
        <w:t> </w:t>
      </w:r>
      <w:r>
        <w:rPr/>
        <w:t>оценить</w:t>
      </w:r>
      <w:r>
        <w:rPr>
          <w:spacing w:val="76"/>
          <w:w w:val="150"/>
        </w:rPr>
        <w:t> </w:t>
      </w:r>
      <w:r>
        <w:rPr>
          <w:spacing w:val="-5"/>
        </w:rPr>
        <w:t>как</w:t>
      </w:r>
    </w:p>
    <w:p>
      <w:pPr>
        <w:pStyle w:val="Heading4"/>
        <w:spacing w:before="1"/>
        <w:ind w:right="565"/>
      </w:pPr>
      <w:r>
        <w:rPr/>
        <w:t>«верное»</w:t>
      </w:r>
      <w:r>
        <w:rPr>
          <w:spacing w:val="-15"/>
        </w:rPr>
        <w:t> </w:t>
      </w:r>
      <w:r>
        <w:rPr/>
        <w:t>или</w:t>
      </w:r>
      <w:r>
        <w:rPr>
          <w:spacing w:val="-14"/>
        </w:rPr>
        <w:t> </w:t>
      </w:r>
      <w:r>
        <w:rPr/>
        <w:t>«неверное»</w:t>
      </w:r>
      <w:r>
        <w:rPr>
          <w:spacing w:val="-16"/>
        </w:rPr>
        <w:t> </w:t>
      </w:r>
      <w:r>
        <w:rPr/>
        <w:t>(см.</w:t>
      </w:r>
      <w:r>
        <w:rPr>
          <w:spacing w:val="-14"/>
        </w:rPr>
        <w:t> </w:t>
      </w:r>
      <w:r>
        <w:rPr>
          <w:i/>
        </w:rPr>
        <w:t>Приложение</w:t>
      </w:r>
      <w:r>
        <w:rPr>
          <w:i/>
          <w:spacing w:val="-17"/>
        </w:rPr>
        <w:t> </w:t>
      </w:r>
      <w:r>
        <w:rPr>
          <w:i/>
        </w:rPr>
        <w:t>8</w:t>
      </w:r>
      <w:r>
        <w:rPr/>
        <w:t>).</w:t>
      </w:r>
      <w:r>
        <w:rPr>
          <w:spacing w:val="-17"/>
        </w:rPr>
        <w:t> </w:t>
      </w:r>
      <w:r>
        <w:rPr/>
        <w:t>Затем</w:t>
      </w:r>
      <w:r>
        <w:rPr>
          <w:spacing w:val="-17"/>
        </w:rPr>
        <w:t> </w:t>
      </w:r>
      <w:r>
        <w:rPr/>
        <w:t>исследователь,</w:t>
      </w:r>
      <w:r>
        <w:rPr>
          <w:spacing w:val="-15"/>
        </w:rPr>
        <w:t> </w:t>
      </w:r>
      <w:r>
        <w:rPr/>
        <w:t>используя ключ, подсчитывает общий балл по методике.</w:t>
      </w:r>
    </w:p>
    <w:p>
      <w:pPr>
        <w:pStyle w:val="Heading4"/>
        <w:spacing w:line="322" w:lineRule="exact" w:before="240"/>
        <w:ind w:left="985"/>
      </w:pPr>
      <w:r>
        <w:rPr/>
        <w:t>Часть утверждений</w:t>
      </w:r>
      <w:r>
        <w:rPr>
          <w:spacing w:val="2"/>
        </w:rPr>
        <w:t> </w:t>
      </w:r>
      <w:r>
        <w:rPr/>
        <w:t>теста</w:t>
      </w:r>
      <w:r>
        <w:rPr>
          <w:spacing w:val="6"/>
        </w:rPr>
        <w:t> </w:t>
      </w:r>
      <w:r>
        <w:rPr/>
        <w:t>—</w:t>
      </w:r>
      <w:r>
        <w:rPr>
          <w:spacing w:val="4"/>
        </w:rPr>
        <w:t> </w:t>
      </w:r>
      <w:r>
        <w:rPr/>
        <w:t>«прямые»:</w:t>
      </w:r>
      <w:r>
        <w:rPr>
          <w:spacing w:val="3"/>
        </w:rPr>
        <w:t> </w:t>
      </w:r>
      <w:r>
        <w:rPr/>
        <w:t>если</w:t>
      </w:r>
      <w:r>
        <w:rPr>
          <w:spacing w:val="4"/>
        </w:rPr>
        <w:t> </w:t>
      </w:r>
      <w:r>
        <w:rPr/>
        <w:t>участник</w:t>
      </w:r>
      <w:r>
        <w:rPr>
          <w:spacing w:val="4"/>
        </w:rPr>
        <w:t> </w:t>
      </w:r>
      <w:r>
        <w:rPr/>
        <w:t>оценивает</w:t>
      </w:r>
      <w:r>
        <w:rPr>
          <w:spacing w:val="3"/>
        </w:rPr>
        <w:t> </w:t>
      </w:r>
      <w:r>
        <w:rPr/>
        <w:t>их</w:t>
      </w:r>
      <w:r>
        <w:rPr>
          <w:spacing w:val="5"/>
        </w:rPr>
        <w:t> </w:t>
      </w:r>
      <w:r>
        <w:rPr>
          <w:spacing w:val="-5"/>
        </w:rPr>
        <w:t>как</w:t>
      </w:r>
    </w:p>
    <w:p>
      <w:pPr>
        <w:pStyle w:val="Heading4"/>
        <w:ind w:right="569"/>
      </w:pPr>
      <w:r>
        <w:rPr/>
        <w:t>«верные», то каждый такой ответ приравнивается к 1 баллу. Часть утверждений «перевернута»: если участник оценивает их как «неверные», то каждый такой ответ приравнивается к 1 баллу.</w:t>
      </w:r>
    </w:p>
    <w:p>
      <w:pPr>
        <w:pStyle w:val="Heading4"/>
        <w:spacing w:before="239"/>
        <w:ind w:left="985"/>
      </w:pPr>
      <w:r>
        <w:rPr/>
        <w:t>«Прямые»</w:t>
      </w:r>
      <w:r>
        <w:rPr>
          <w:spacing w:val="-6"/>
        </w:rPr>
        <w:t> </w:t>
      </w:r>
      <w:r>
        <w:rPr/>
        <w:t>утверждения:</w:t>
      </w:r>
      <w:r>
        <w:rPr>
          <w:spacing w:val="-3"/>
        </w:rPr>
        <w:t> </w:t>
      </w:r>
      <w:r>
        <w:rPr/>
        <w:t>2,</w:t>
      </w:r>
      <w:r>
        <w:rPr>
          <w:spacing w:val="-4"/>
        </w:rPr>
        <w:t> </w:t>
      </w:r>
      <w:r>
        <w:rPr/>
        <w:t>5,</w:t>
      </w:r>
      <w:r>
        <w:rPr>
          <w:spacing w:val="-3"/>
        </w:rPr>
        <w:t> </w:t>
      </w:r>
      <w:r>
        <w:rPr/>
        <w:t>8,</w:t>
      </w:r>
      <w:r>
        <w:rPr>
          <w:spacing w:val="-5"/>
        </w:rPr>
        <w:t> </w:t>
      </w:r>
      <w:r>
        <w:rPr/>
        <w:t>10,</w:t>
      </w:r>
      <w:r>
        <w:rPr>
          <w:spacing w:val="-3"/>
        </w:rPr>
        <w:t> </w:t>
      </w:r>
      <w:r>
        <w:rPr/>
        <w:t>11,</w:t>
      </w:r>
      <w:r>
        <w:rPr>
          <w:spacing w:val="-4"/>
        </w:rPr>
        <w:t> </w:t>
      </w:r>
      <w:r>
        <w:rPr/>
        <w:t>13,</w:t>
      </w:r>
      <w:r>
        <w:rPr>
          <w:spacing w:val="-3"/>
        </w:rPr>
        <w:t> </w:t>
      </w:r>
      <w:r>
        <w:rPr/>
        <w:t>14,</w:t>
      </w:r>
      <w:r>
        <w:rPr>
          <w:spacing w:val="-3"/>
        </w:rPr>
        <w:t> </w:t>
      </w:r>
      <w:r>
        <w:rPr/>
        <w:t>16,</w:t>
      </w:r>
      <w:r>
        <w:rPr>
          <w:spacing w:val="-3"/>
        </w:rPr>
        <w:t> </w:t>
      </w:r>
      <w:r>
        <w:rPr/>
        <w:t>18,</w:t>
      </w:r>
      <w:r>
        <w:rPr>
          <w:spacing w:val="-3"/>
        </w:rPr>
        <w:t> </w:t>
      </w:r>
      <w:r>
        <w:rPr/>
        <w:t>20,</w:t>
      </w:r>
      <w:r>
        <w:rPr>
          <w:spacing w:val="-3"/>
        </w:rPr>
        <w:t> </w:t>
      </w:r>
      <w:r>
        <w:rPr/>
        <w:t>21,</w:t>
      </w:r>
      <w:r>
        <w:rPr>
          <w:spacing w:val="-3"/>
        </w:rPr>
        <w:t> </w:t>
      </w:r>
      <w:r>
        <w:rPr/>
        <w:t>23,</w:t>
      </w:r>
      <w:r>
        <w:rPr>
          <w:spacing w:val="-6"/>
        </w:rPr>
        <w:t> </w:t>
      </w:r>
      <w:r>
        <w:rPr/>
        <w:t>24,</w:t>
      </w:r>
      <w:r>
        <w:rPr>
          <w:spacing w:val="-5"/>
        </w:rPr>
        <w:t> 26.</w:t>
      </w:r>
    </w:p>
    <w:p>
      <w:pPr>
        <w:pStyle w:val="Heading4"/>
        <w:spacing w:before="242"/>
        <w:ind w:left="985"/>
      </w:pPr>
      <w:r>
        <w:rPr/>
        <w:t>«Перевернутые»</w:t>
      </w:r>
      <w:r>
        <w:rPr>
          <w:spacing w:val="-9"/>
        </w:rPr>
        <w:t> </w:t>
      </w:r>
      <w:r>
        <w:rPr/>
        <w:t>утверждения:</w:t>
      </w:r>
      <w:r>
        <w:rPr>
          <w:spacing w:val="-9"/>
        </w:rPr>
        <w:t> </w:t>
      </w:r>
      <w:r>
        <w:rPr/>
        <w:t>1,</w:t>
      </w:r>
      <w:r>
        <w:rPr>
          <w:spacing w:val="-8"/>
        </w:rPr>
        <w:t> </w:t>
      </w:r>
      <w:r>
        <w:rPr/>
        <w:t>3,</w:t>
      </w:r>
      <w:r>
        <w:rPr>
          <w:spacing w:val="-8"/>
        </w:rPr>
        <w:t> </w:t>
      </w:r>
      <w:r>
        <w:rPr/>
        <w:t>4,</w:t>
      </w:r>
      <w:r>
        <w:rPr>
          <w:spacing w:val="-11"/>
        </w:rPr>
        <w:t> </w:t>
      </w:r>
      <w:r>
        <w:rPr/>
        <w:t>6,</w:t>
      </w:r>
      <w:r>
        <w:rPr>
          <w:spacing w:val="-9"/>
        </w:rPr>
        <w:t> </w:t>
      </w:r>
      <w:r>
        <w:rPr/>
        <w:t>7,</w:t>
      </w:r>
      <w:r>
        <w:rPr>
          <w:spacing w:val="-8"/>
        </w:rPr>
        <w:t> </w:t>
      </w:r>
      <w:r>
        <w:rPr/>
        <w:t>9,</w:t>
      </w:r>
      <w:r>
        <w:rPr>
          <w:spacing w:val="-8"/>
        </w:rPr>
        <w:t> </w:t>
      </w:r>
      <w:r>
        <w:rPr/>
        <w:t>12,</w:t>
      </w:r>
      <w:r>
        <w:rPr>
          <w:spacing w:val="-8"/>
        </w:rPr>
        <w:t> </w:t>
      </w:r>
      <w:r>
        <w:rPr/>
        <w:t>15,</w:t>
      </w:r>
      <w:r>
        <w:rPr>
          <w:spacing w:val="-8"/>
        </w:rPr>
        <w:t> </w:t>
      </w:r>
      <w:r>
        <w:rPr/>
        <w:t>17,</w:t>
      </w:r>
      <w:r>
        <w:rPr>
          <w:spacing w:val="-9"/>
        </w:rPr>
        <w:t> </w:t>
      </w:r>
      <w:r>
        <w:rPr/>
        <w:t>19,</w:t>
      </w:r>
      <w:r>
        <w:rPr>
          <w:spacing w:val="-8"/>
        </w:rPr>
        <w:t> </w:t>
      </w:r>
      <w:r>
        <w:rPr/>
        <w:t>22,</w:t>
      </w:r>
      <w:r>
        <w:rPr>
          <w:spacing w:val="-8"/>
        </w:rPr>
        <w:t> </w:t>
      </w:r>
      <w:r>
        <w:rPr/>
        <w:t>25,</w:t>
      </w:r>
      <w:r>
        <w:rPr>
          <w:spacing w:val="-8"/>
        </w:rPr>
        <w:t> </w:t>
      </w:r>
      <w:r>
        <w:rPr/>
        <w:t>27,</w:t>
      </w:r>
      <w:r>
        <w:rPr>
          <w:spacing w:val="-8"/>
        </w:rPr>
        <w:t> </w:t>
      </w:r>
      <w:r>
        <w:rPr>
          <w:spacing w:val="-5"/>
        </w:rPr>
        <w:t>28.</w:t>
      </w:r>
    </w:p>
    <w:p>
      <w:pPr>
        <w:pStyle w:val="Heading4"/>
        <w:spacing w:before="240"/>
        <w:ind w:right="562" w:firstLine="700"/>
      </w:pPr>
      <w:r>
        <w:rPr/>
        <w:t>По данным полученным на выборке российских подростков (</w:t>
      </w:r>
      <w:r>
        <w:rPr>
          <w:i/>
        </w:rPr>
        <w:t>Холмогорова</w:t>
      </w:r>
      <w:r>
        <w:rPr/>
        <w:t>, 2017) делается следующий вывод об уровне социальной тревожности ученика:</w:t>
      </w:r>
    </w:p>
    <w:p>
      <w:pPr>
        <w:pStyle w:val="Heading4"/>
        <w:numPr>
          <w:ilvl w:val="0"/>
          <w:numId w:val="24"/>
        </w:numPr>
        <w:tabs>
          <w:tab w:pos="1680" w:val="left" w:leader="none"/>
        </w:tabs>
        <w:spacing w:line="321" w:lineRule="exact" w:before="0" w:after="0"/>
        <w:ind w:left="1680" w:right="0" w:hanging="695"/>
        <w:jc w:val="both"/>
      </w:pPr>
      <w:r>
        <w:rPr/>
        <w:t>низкая</w:t>
      </w:r>
      <w:r>
        <w:rPr>
          <w:spacing w:val="-5"/>
        </w:rPr>
        <w:t> </w:t>
      </w:r>
      <w:r>
        <w:rPr/>
        <w:t>социальная</w:t>
      </w:r>
      <w:r>
        <w:rPr>
          <w:spacing w:val="-3"/>
        </w:rPr>
        <w:t> </w:t>
      </w:r>
      <w:r>
        <w:rPr/>
        <w:t>тревожность</w:t>
      </w:r>
      <w:r>
        <w:rPr>
          <w:spacing w:val="-4"/>
        </w:rPr>
        <w:t> </w:t>
      </w:r>
      <w:r>
        <w:rPr/>
        <w:t>—</w:t>
      </w:r>
      <w:r>
        <w:rPr>
          <w:spacing w:val="-4"/>
        </w:rPr>
        <w:t> </w:t>
      </w:r>
      <w:r>
        <w:rPr/>
        <w:t>от</w:t>
      </w:r>
      <w:r>
        <w:rPr>
          <w:spacing w:val="-3"/>
        </w:rPr>
        <w:t> </w:t>
      </w:r>
      <w:r>
        <w:rPr/>
        <w:t>0</w:t>
      </w:r>
      <w:r>
        <w:rPr>
          <w:spacing w:val="-6"/>
        </w:rPr>
        <w:t> </w:t>
      </w:r>
      <w:r>
        <w:rPr/>
        <w:t>до</w:t>
      </w:r>
      <w:r>
        <w:rPr>
          <w:spacing w:val="-6"/>
        </w:rPr>
        <w:t> </w:t>
      </w:r>
      <w:r>
        <w:rPr/>
        <w:t>3</w:t>
      </w:r>
      <w:r>
        <w:rPr>
          <w:spacing w:val="-1"/>
        </w:rPr>
        <w:t> </w:t>
      </w:r>
      <w:r>
        <w:rPr>
          <w:spacing w:val="-2"/>
        </w:rPr>
        <w:t>баллов;</w:t>
      </w:r>
    </w:p>
    <w:p>
      <w:pPr>
        <w:pStyle w:val="Heading4"/>
        <w:spacing w:after="0" w:line="321" w:lineRule="exact"/>
        <w:jc w:val="both"/>
        <w:sectPr>
          <w:pgSz w:w="11910" w:h="16840"/>
          <w:pgMar w:header="0" w:footer="970" w:top="1040" w:bottom="1220" w:left="1417" w:right="283"/>
        </w:sectPr>
      </w:pPr>
    </w:p>
    <w:p>
      <w:pPr>
        <w:pStyle w:val="Heading4"/>
        <w:numPr>
          <w:ilvl w:val="0"/>
          <w:numId w:val="24"/>
        </w:numPr>
        <w:tabs>
          <w:tab w:pos="1681" w:val="left" w:leader="none"/>
        </w:tabs>
        <w:spacing w:line="240" w:lineRule="auto" w:before="67" w:after="0"/>
        <w:ind w:left="1681" w:right="0" w:hanging="696"/>
        <w:jc w:val="left"/>
      </w:pPr>
      <w:r>
        <w:rPr/>
        <w:t>средняя</w:t>
      </w:r>
      <w:r>
        <w:rPr>
          <w:spacing w:val="-6"/>
        </w:rPr>
        <w:t> </w:t>
      </w:r>
      <w:r>
        <w:rPr/>
        <w:t>социальная</w:t>
      </w:r>
      <w:r>
        <w:rPr>
          <w:spacing w:val="-4"/>
        </w:rPr>
        <w:t> </w:t>
      </w:r>
      <w:r>
        <w:rPr/>
        <w:t>тревожность</w:t>
      </w:r>
      <w:r>
        <w:rPr>
          <w:spacing w:val="-2"/>
        </w:rPr>
        <w:t> </w:t>
      </w:r>
      <w:r>
        <w:rPr/>
        <w:t>—</w:t>
      </w:r>
      <w:r>
        <w:rPr>
          <w:spacing w:val="-5"/>
        </w:rPr>
        <w:t> </w:t>
      </w:r>
      <w:r>
        <w:rPr/>
        <w:t>от</w:t>
      </w:r>
      <w:r>
        <w:rPr>
          <w:spacing w:val="-4"/>
        </w:rPr>
        <w:t> </w:t>
      </w:r>
      <w:r>
        <w:rPr/>
        <w:t>4</w:t>
      </w:r>
      <w:r>
        <w:rPr>
          <w:spacing w:val="-6"/>
        </w:rPr>
        <w:t> </w:t>
      </w:r>
      <w:r>
        <w:rPr/>
        <w:t>до</w:t>
      </w:r>
      <w:r>
        <w:rPr>
          <w:spacing w:val="-5"/>
        </w:rPr>
        <w:t> </w:t>
      </w:r>
      <w:r>
        <w:rPr/>
        <w:t>15</w:t>
      </w:r>
      <w:r>
        <w:rPr>
          <w:spacing w:val="-2"/>
        </w:rPr>
        <w:t> баллов;</w:t>
      </w:r>
    </w:p>
    <w:p>
      <w:pPr>
        <w:pStyle w:val="Heading4"/>
        <w:numPr>
          <w:ilvl w:val="0"/>
          <w:numId w:val="24"/>
        </w:numPr>
        <w:tabs>
          <w:tab w:pos="1681" w:val="left" w:leader="none"/>
        </w:tabs>
        <w:spacing w:line="240" w:lineRule="auto" w:before="3" w:after="0"/>
        <w:ind w:left="1681" w:right="0" w:hanging="696"/>
        <w:jc w:val="left"/>
      </w:pPr>
      <w:r>
        <w:rPr/>
        <w:t>высокая</w:t>
      </w:r>
      <w:r>
        <w:rPr>
          <w:spacing w:val="-7"/>
        </w:rPr>
        <w:t> </w:t>
      </w:r>
      <w:r>
        <w:rPr/>
        <w:t>социальная</w:t>
      </w:r>
      <w:r>
        <w:rPr>
          <w:spacing w:val="-4"/>
        </w:rPr>
        <w:t> </w:t>
      </w:r>
      <w:r>
        <w:rPr/>
        <w:t>тревожность</w:t>
      </w:r>
      <w:r>
        <w:rPr>
          <w:spacing w:val="-3"/>
        </w:rPr>
        <w:t> </w:t>
      </w:r>
      <w:r>
        <w:rPr/>
        <w:t>—</w:t>
      </w:r>
      <w:r>
        <w:rPr>
          <w:spacing w:val="-5"/>
        </w:rPr>
        <w:t> </w:t>
      </w:r>
      <w:r>
        <w:rPr/>
        <w:t>выше</w:t>
      </w:r>
      <w:r>
        <w:rPr>
          <w:spacing w:val="-7"/>
        </w:rPr>
        <w:t> </w:t>
      </w:r>
      <w:r>
        <w:rPr/>
        <w:t>15</w:t>
      </w:r>
      <w:r>
        <w:rPr>
          <w:spacing w:val="-6"/>
        </w:rPr>
        <w:t> </w:t>
      </w:r>
      <w:r>
        <w:rPr>
          <w:spacing w:val="-2"/>
        </w:rPr>
        <w:t>баллов.</w:t>
      </w:r>
    </w:p>
    <w:p>
      <w:pPr>
        <w:pStyle w:val="Heading4"/>
        <w:spacing w:before="239"/>
        <w:ind w:right="562" w:firstLine="700"/>
      </w:pPr>
      <w:r>
        <w:rPr/>
        <w:t>Ученики с низким уровнем социальной тревожности могут считаться более адаптивными и социально вовлеченными. Однако некоторые исследования</w:t>
      </w:r>
      <w:r>
        <w:rPr>
          <w:spacing w:val="-6"/>
        </w:rPr>
        <w:t> </w:t>
      </w:r>
      <w:r>
        <w:rPr/>
        <w:t>показывают,</w:t>
      </w:r>
      <w:r>
        <w:rPr>
          <w:spacing w:val="-7"/>
        </w:rPr>
        <w:t> </w:t>
      </w:r>
      <w:r>
        <w:rPr/>
        <w:t>что</w:t>
      </w:r>
      <w:r>
        <w:rPr>
          <w:spacing w:val="-8"/>
        </w:rPr>
        <w:t> </w:t>
      </w:r>
      <w:r>
        <w:rPr/>
        <w:t>такие</w:t>
      </w:r>
      <w:r>
        <w:rPr>
          <w:spacing w:val="-9"/>
        </w:rPr>
        <w:t> </w:t>
      </w:r>
      <w:r>
        <w:rPr/>
        <w:t>дети</w:t>
      </w:r>
      <w:r>
        <w:rPr>
          <w:spacing w:val="-6"/>
        </w:rPr>
        <w:t> </w:t>
      </w:r>
      <w:r>
        <w:rPr/>
        <w:t>нередко</w:t>
      </w:r>
      <w:r>
        <w:rPr>
          <w:spacing w:val="-8"/>
        </w:rPr>
        <w:t> </w:t>
      </w:r>
      <w:r>
        <w:rPr/>
        <w:t>испытывают</w:t>
      </w:r>
      <w:r>
        <w:rPr>
          <w:spacing w:val="-7"/>
        </w:rPr>
        <w:t> </w:t>
      </w:r>
      <w:r>
        <w:rPr/>
        <w:t>потребность</w:t>
      </w:r>
      <w:r>
        <w:rPr>
          <w:spacing w:val="-8"/>
        </w:rPr>
        <w:t> </w:t>
      </w:r>
      <w:r>
        <w:rPr/>
        <w:t>в социальном контроле и доминировании, а также в ряде ситуаций сопротивляются просоциальной деятельности (</w:t>
      </w:r>
      <w:r>
        <w:rPr>
          <w:i/>
        </w:rPr>
        <w:t>Geist</w:t>
      </w:r>
      <w:r>
        <w:rPr/>
        <w:t>, 1982). Ученики с высоким уровнем социальной тревожности склонны к снижению количества социальных контактов: они зачастую испытывают дискомфорт в ситуациях внешней оценки и стремятся избежать неодобрения окружающих.</w:t>
      </w:r>
    </w:p>
    <w:p>
      <w:pPr>
        <w:pStyle w:val="Heading4"/>
        <w:spacing w:before="240"/>
        <w:ind w:right="560"/>
      </w:pPr>
      <w:r>
        <w:rPr/>
        <w:t>В 2022 г. по результатам апробации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w:t>
      </w:r>
      <w:r>
        <w:rPr>
          <w:spacing w:val="-6"/>
        </w:rPr>
        <w:t> </w:t>
      </w:r>
      <w:r>
        <w:rPr/>
        <w:t>на</w:t>
      </w:r>
      <w:r>
        <w:rPr>
          <w:spacing w:val="-5"/>
        </w:rPr>
        <w:t> </w:t>
      </w:r>
      <w:r>
        <w:rPr/>
        <w:t>основании</w:t>
      </w:r>
      <w:r>
        <w:rPr>
          <w:spacing w:val="-2"/>
        </w:rPr>
        <w:t> </w:t>
      </w:r>
      <w:r>
        <w:rPr/>
        <w:t>статистического</w:t>
      </w:r>
      <w:r>
        <w:rPr>
          <w:spacing w:val="-4"/>
        </w:rPr>
        <w:t> </w:t>
      </w:r>
      <w:r>
        <w:rPr/>
        <w:t>анализа</w:t>
      </w:r>
      <w:r>
        <w:rPr>
          <w:spacing w:val="-6"/>
        </w:rPr>
        <w:t> </w:t>
      </w:r>
      <w:r>
        <w:rPr/>
        <w:t>распределения</w:t>
      </w:r>
      <w:r>
        <w:rPr>
          <w:spacing w:val="-8"/>
        </w:rPr>
        <w:t> </w:t>
      </w:r>
      <w:r>
        <w:rPr/>
        <w:t>показателей у детей — иностранных граждан, выделены следующие нормативы, в целом совпадающие с нормативам, полученными на выборке детей без миграционного опыта.</w:t>
      </w:r>
    </w:p>
    <w:p>
      <w:pPr>
        <w:pStyle w:val="Heading3"/>
        <w:spacing w:line="321" w:lineRule="exact" w:before="247"/>
        <w:ind w:left="7682" w:right="1"/>
        <w:jc w:val="center"/>
      </w:pPr>
      <w:r>
        <w:rPr/>
        <w:t>Таблица</w:t>
      </w:r>
      <w:r>
        <w:rPr>
          <w:spacing w:val="-3"/>
        </w:rPr>
        <w:t> </w:t>
      </w:r>
      <w:r>
        <w:rPr>
          <w:spacing w:val="-5"/>
        </w:rPr>
        <w:t>15</w:t>
      </w:r>
    </w:p>
    <w:p>
      <w:pPr>
        <w:spacing w:line="321" w:lineRule="exact" w:before="0"/>
        <w:ind w:left="0" w:right="277" w:firstLine="0"/>
        <w:jc w:val="center"/>
        <w:rPr>
          <w:b/>
          <w:sz w:val="28"/>
        </w:rPr>
      </w:pPr>
      <w:r>
        <w:rPr>
          <w:b/>
          <w:sz w:val="28"/>
        </w:rPr>
        <w:t>Пересмотренные</w:t>
      </w:r>
      <w:r>
        <w:rPr>
          <w:b/>
          <w:spacing w:val="-9"/>
          <w:sz w:val="28"/>
        </w:rPr>
        <w:t> </w:t>
      </w:r>
      <w:r>
        <w:rPr>
          <w:b/>
          <w:sz w:val="28"/>
        </w:rPr>
        <w:t>критерии</w:t>
      </w:r>
      <w:r>
        <w:rPr>
          <w:b/>
          <w:spacing w:val="-7"/>
          <w:sz w:val="28"/>
        </w:rPr>
        <w:t> </w:t>
      </w:r>
      <w:r>
        <w:rPr>
          <w:b/>
          <w:sz w:val="28"/>
        </w:rPr>
        <w:t>оценки</w:t>
      </w:r>
      <w:r>
        <w:rPr>
          <w:b/>
          <w:spacing w:val="-7"/>
          <w:sz w:val="28"/>
        </w:rPr>
        <w:t> </w:t>
      </w:r>
      <w:r>
        <w:rPr>
          <w:b/>
          <w:sz w:val="28"/>
        </w:rPr>
        <w:t>по</w:t>
      </w:r>
      <w:r>
        <w:rPr>
          <w:b/>
          <w:spacing w:val="-7"/>
          <w:sz w:val="28"/>
        </w:rPr>
        <w:t> </w:t>
      </w:r>
      <w:r>
        <w:rPr>
          <w:b/>
          <w:spacing w:val="-2"/>
          <w:sz w:val="28"/>
        </w:rPr>
        <w:t>шкале</w:t>
      </w:r>
    </w:p>
    <w:p>
      <w:pPr>
        <w:spacing w:line="244" w:lineRule="auto" w:before="0"/>
        <w:ind w:left="4521" w:right="569" w:hanging="3791"/>
        <w:jc w:val="left"/>
        <w:rPr>
          <w:b/>
          <w:sz w:val="28"/>
        </w:rPr>
      </w:pPr>
      <w:r>
        <w:rPr>
          <w:b/>
          <w:sz w:val="28"/>
        </w:rPr>
        <w:t>на</w:t>
      </w:r>
      <w:r>
        <w:rPr>
          <w:b/>
          <w:spacing w:val="-4"/>
          <w:sz w:val="28"/>
        </w:rPr>
        <w:t> </w:t>
      </w:r>
      <w:r>
        <w:rPr>
          <w:b/>
          <w:sz w:val="28"/>
        </w:rPr>
        <w:t>выборке</w:t>
      </w:r>
      <w:r>
        <w:rPr>
          <w:b/>
          <w:spacing w:val="-5"/>
          <w:sz w:val="28"/>
        </w:rPr>
        <w:t> </w:t>
      </w:r>
      <w:r>
        <w:rPr>
          <w:b/>
          <w:sz w:val="28"/>
        </w:rPr>
        <w:t>несовершеннолетних</w:t>
      </w:r>
      <w:r>
        <w:rPr>
          <w:b/>
          <w:spacing w:val="-4"/>
          <w:sz w:val="28"/>
        </w:rPr>
        <w:t> </w:t>
      </w:r>
      <w:r>
        <w:rPr>
          <w:b/>
          <w:sz w:val="28"/>
        </w:rPr>
        <w:t>детей</w:t>
      </w:r>
      <w:r>
        <w:rPr>
          <w:b/>
          <w:spacing w:val="-3"/>
          <w:sz w:val="28"/>
        </w:rPr>
        <w:t> </w:t>
      </w:r>
      <w:r>
        <w:rPr>
          <w:sz w:val="28"/>
        </w:rPr>
        <w:t>—</w:t>
      </w:r>
      <w:r>
        <w:rPr>
          <w:spacing w:val="-6"/>
          <w:sz w:val="28"/>
        </w:rPr>
        <w:t> </w:t>
      </w:r>
      <w:r>
        <w:rPr>
          <w:b/>
          <w:sz w:val="28"/>
        </w:rPr>
        <w:t>иностранных</w:t>
      </w:r>
      <w:r>
        <w:rPr>
          <w:b/>
          <w:spacing w:val="-6"/>
          <w:sz w:val="28"/>
        </w:rPr>
        <w:t> </w:t>
      </w:r>
      <w:r>
        <w:rPr>
          <w:b/>
          <w:sz w:val="28"/>
        </w:rPr>
        <w:t>граждан</w:t>
      </w:r>
      <w:r>
        <w:rPr>
          <w:b/>
          <w:spacing w:val="-5"/>
          <w:sz w:val="28"/>
        </w:rPr>
        <w:t> </w:t>
      </w:r>
      <w:r>
        <w:rPr>
          <w:b/>
          <w:sz w:val="28"/>
        </w:rPr>
        <w:t>в </w:t>
      </w:r>
      <w:r>
        <w:rPr>
          <w:b/>
          <w:spacing w:val="-2"/>
          <w:sz w:val="28"/>
        </w:rPr>
        <w:t>России</w:t>
      </w:r>
    </w:p>
    <w:p>
      <w:pPr>
        <w:pStyle w:val="BodyText"/>
        <w:ind w:left="0" w:right="0" w:firstLine="0"/>
        <w:jc w:val="left"/>
        <w:rPr>
          <w:b/>
        </w:rPr>
      </w:pPr>
    </w:p>
    <w:p>
      <w:pPr>
        <w:pStyle w:val="BodyText"/>
        <w:spacing w:before="93"/>
        <w:ind w:left="0" w:right="0" w:firstLine="0"/>
        <w:jc w:val="left"/>
        <w:rPr>
          <w:b/>
        </w:rPr>
      </w:pPr>
    </w:p>
    <w:tbl>
      <w:tblPr>
        <w:tblW w:w="0" w:type="auto"/>
        <w:jc w:val="left"/>
        <w:tblInd w:w="1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72"/>
        <w:gridCol w:w="4876"/>
      </w:tblGrid>
      <w:tr>
        <w:trPr>
          <w:trHeight w:val="716" w:hRule="atLeast"/>
        </w:trPr>
        <w:tc>
          <w:tcPr>
            <w:tcW w:w="2072" w:type="dxa"/>
          </w:tcPr>
          <w:p>
            <w:pPr>
              <w:pStyle w:val="TableParagraph"/>
              <w:spacing w:before="61"/>
              <w:rPr>
                <w:b/>
                <w:sz w:val="24"/>
              </w:rPr>
            </w:pPr>
          </w:p>
          <w:p>
            <w:pPr>
              <w:pStyle w:val="TableParagraph"/>
              <w:ind w:left="616"/>
              <w:rPr>
                <w:b/>
                <w:sz w:val="24"/>
              </w:rPr>
            </w:pPr>
            <w:r>
              <w:rPr>
                <w:b/>
                <w:spacing w:val="-2"/>
                <w:sz w:val="24"/>
              </w:rPr>
              <w:t>Уровни</w:t>
            </w:r>
          </w:p>
        </w:tc>
        <w:tc>
          <w:tcPr>
            <w:tcW w:w="4876" w:type="dxa"/>
          </w:tcPr>
          <w:p>
            <w:pPr>
              <w:pStyle w:val="TableParagraph"/>
              <w:spacing w:before="61"/>
              <w:rPr>
                <w:b/>
                <w:sz w:val="24"/>
              </w:rPr>
            </w:pPr>
          </w:p>
          <w:p>
            <w:pPr>
              <w:pStyle w:val="TableParagraph"/>
              <w:ind w:left="13" w:right="1"/>
              <w:jc w:val="center"/>
              <w:rPr>
                <w:b/>
                <w:sz w:val="24"/>
              </w:rPr>
            </w:pPr>
            <w:r>
              <w:rPr>
                <w:b/>
                <w:sz w:val="24"/>
              </w:rPr>
              <w:t>Средняя</w:t>
            </w:r>
            <w:r>
              <w:rPr>
                <w:b/>
                <w:spacing w:val="-3"/>
                <w:sz w:val="24"/>
              </w:rPr>
              <w:t> </w:t>
            </w:r>
            <w:r>
              <w:rPr>
                <w:b/>
                <w:sz w:val="24"/>
              </w:rPr>
              <w:t>и</w:t>
            </w:r>
            <w:r>
              <w:rPr>
                <w:b/>
                <w:spacing w:val="-4"/>
                <w:sz w:val="24"/>
              </w:rPr>
              <w:t> </w:t>
            </w:r>
            <w:r>
              <w:rPr>
                <w:b/>
                <w:sz w:val="24"/>
              </w:rPr>
              <w:t>старшая</w:t>
            </w:r>
            <w:r>
              <w:rPr>
                <w:b/>
                <w:spacing w:val="-2"/>
                <w:sz w:val="24"/>
              </w:rPr>
              <w:t> </w:t>
            </w:r>
            <w:r>
              <w:rPr>
                <w:b/>
                <w:sz w:val="24"/>
              </w:rPr>
              <w:t>школа</w:t>
            </w:r>
            <w:r>
              <w:rPr>
                <w:b/>
                <w:spacing w:val="-2"/>
                <w:sz w:val="24"/>
              </w:rPr>
              <w:t> (N=301)</w:t>
            </w:r>
          </w:p>
        </w:tc>
      </w:tr>
      <w:tr>
        <w:trPr>
          <w:trHeight w:val="695" w:hRule="atLeast"/>
        </w:trPr>
        <w:tc>
          <w:tcPr>
            <w:tcW w:w="2072" w:type="dxa"/>
          </w:tcPr>
          <w:p>
            <w:pPr>
              <w:pStyle w:val="TableParagraph"/>
              <w:spacing w:before="34"/>
              <w:rPr>
                <w:b/>
                <w:sz w:val="24"/>
              </w:rPr>
            </w:pPr>
          </w:p>
          <w:p>
            <w:pPr>
              <w:pStyle w:val="TableParagraph"/>
              <w:ind w:left="100"/>
              <w:rPr>
                <w:sz w:val="24"/>
              </w:rPr>
            </w:pPr>
            <w:r>
              <w:rPr>
                <w:sz w:val="24"/>
              </w:rPr>
              <w:t>Ниже</w:t>
            </w:r>
            <w:r>
              <w:rPr>
                <w:spacing w:val="-5"/>
                <w:sz w:val="24"/>
              </w:rPr>
              <w:t> </w:t>
            </w:r>
            <w:r>
              <w:rPr>
                <w:spacing w:val="-2"/>
                <w:sz w:val="24"/>
              </w:rPr>
              <w:t>среднего</w:t>
            </w:r>
          </w:p>
        </w:tc>
        <w:tc>
          <w:tcPr>
            <w:tcW w:w="4876" w:type="dxa"/>
          </w:tcPr>
          <w:p>
            <w:pPr>
              <w:pStyle w:val="TableParagraph"/>
              <w:spacing w:before="34"/>
              <w:rPr>
                <w:b/>
                <w:sz w:val="24"/>
              </w:rPr>
            </w:pPr>
          </w:p>
          <w:p>
            <w:pPr>
              <w:pStyle w:val="TableParagraph"/>
              <w:ind w:left="13"/>
              <w:jc w:val="center"/>
              <w:rPr>
                <w:sz w:val="24"/>
              </w:rPr>
            </w:pPr>
            <w:r>
              <w:rPr>
                <w:spacing w:val="-4"/>
                <w:sz w:val="24"/>
              </w:rPr>
              <w:t>&lt;3.3</w:t>
            </w:r>
          </w:p>
        </w:tc>
      </w:tr>
      <w:tr>
        <w:trPr>
          <w:trHeight w:val="695" w:hRule="atLeast"/>
        </w:trPr>
        <w:tc>
          <w:tcPr>
            <w:tcW w:w="2072" w:type="dxa"/>
          </w:tcPr>
          <w:p>
            <w:pPr>
              <w:pStyle w:val="TableParagraph"/>
              <w:spacing w:before="37"/>
              <w:rPr>
                <w:b/>
                <w:sz w:val="24"/>
              </w:rPr>
            </w:pPr>
          </w:p>
          <w:p>
            <w:pPr>
              <w:pStyle w:val="TableParagraph"/>
              <w:ind w:left="100"/>
              <w:rPr>
                <w:sz w:val="24"/>
              </w:rPr>
            </w:pPr>
            <w:r>
              <w:rPr>
                <w:spacing w:val="-2"/>
                <w:sz w:val="24"/>
              </w:rPr>
              <w:t>Средний</w:t>
            </w:r>
          </w:p>
        </w:tc>
        <w:tc>
          <w:tcPr>
            <w:tcW w:w="4876" w:type="dxa"/>
          </w:tcPr>
          <w:p>
            <w:pPr>
              <w:pStyle w:val="TableParagraph"/>
              <w:spacing w:before="37"/>
              <w:rPr>
                <w:b/>
                <w:sz w:val="24"/>
              </w:rPr>
            </w:pPr>
          </w:p>
          <w:p>
            <w:pPr>
              <w:pStyle w:val="TableParagraph"/>
              <w:ind w:left="1895"/>
              <w:rPr>
                <w:sz w:val="24"/>
              </w:rPr>
            </w:pPr>
            <w:r>
              <w:rPr>
                <w:sz w:val="24"/>
              </w:rPr>
              <w:t>3.3 – </w:t>
            </w:r>
            <w:r>
              <w:rPr>
                <w:spacing w:val="-2"/>
                <w:sz w:val="24"/>
              </w:rPr>
              <w:t>15.18</w:t>
            </w:r>
          </w:p>
        </w:tc>
      </w:tr>
      <w:tr>
        <w:trPr>
          <w:trHeight w:val="697" w:hRule="atLeast"/>
        </w:trPr>
        <w:tc>
          <w:tcPr>
            <w:tcW w:w="2072" w:type="dxa"/>
          </w:tcPr>
          <w:p>
            <w:pPr>
              <w:pStyle w:val="TableParagraph"/>
              <w:spacing w:before="37"/>
              <w:rPr>
                <w:b/>
                <w:sz w:val="24"/>
              </w:rPr>
            </w:pPr>
          </w:p>
          <w:p>
            <w:pPr>
              <w:pStyle w:val="TableParagraph"/>
              <w:ind w:left="100"/>
              <w:rPr>
                <w:sz w:val="24"/>
              </w:rPr>
            </w:pPr>
            <w:r>
              <w:rPr>
                <w:sz w:val="24"/>
              </w:rPr>
              <w:t>Выше</w:t>
            </w:r>
            <w:r>
              <w:rPr>
                <w:spacing w:val="-2"/>
                <w:sz w:val="24"/>
              </w:rPr>
              <w:t> среднего</w:t>
            </w:r>
          </w:p>
        </w:tc>
        <w:tc>
          <w:tcPr>
            <w:tcW w:w="4876" w:type="dxa"/>
          </w:tcPr>
          <w:p>
            <w:pPr>
              <w:pStyle w:val="TableParagraph"/>
              <w:spacing w:before="37"/>
              <w:rPr>
                <w:b/>
                <w:sz w:val="24"/>
              </w:rPr>
            </w:pPr>
          </w:p>
          <w:p>
            <w:pPr>
              <w:pStyle w:val="TableParagraph"/>
              <w:ind w:left="13"/>
              <w:jc w:val="center"/>
              <w:rPr>
                <w:sz w:val="24"/>
              </w:rPr>
            </w:pPr>
            <w:r>
              <w:rPr>
                <w:spacing w:val="-2"/>
                <w:sz w:val="24"/>
              </w:rPr>
              <w:t>&gt;15.18</w:t>
            </w:r>
          </w:p>
        </w:tc>
      </w:tr>
    </w:tbl>
    <w:p>
      <w:pPr>
        <w:spacing w:before="233"/>
        <w:ind w:left="285" w:right="564" w:firstLine="0"/>
        <w:jc w:val="both"/>
        <w:rPr>
          <w:sz w:val="24"/>
        </w:rPr>
      </w:pPr>
      <w:r>
        <w:rPr>
          <w:i/>
          <w:sz w:val="24"/>
        </w:rPr>
        <w:t>Примечание. </w:t>
      </w:r>
      <w:r>
        <w:rPr>
          <w:sz w:val="24"/>
        </w:rPr>
        <w:t>Значимых гендерных различий не выявлено, в связи с чем оценка производится без учета пола ребенка (t-критерий Стьюдента для независимых выборок).</w:t>
      </w:r>
    </w:p>
    <w:p>
      <w:pPr>
        <w:pStyle w:val="BodyText"/>
        <w:ind w:left="0" w:right="0" w:firstLine="0"/>
        <w:jc w:val="left"/>
        <w:rPr>
          <w:sz w:val="24"/>
        </w:rPr>
      </w:pPr>
    </w:p>
    <w:p>
      <w:pPr>
        <w:pStyle w:val="BodyText"/>
        <w:spacing w:before="258"/>
        <w:ind w:left="0" w:right="0" w:firstLine="0"/>
        <w:jc w:val="left"/>
        <w:rPr>
          <w:sz w:val="24"/>
        </w:rPr>
      </w:pPr>
    </w:p>
    <w:p>
      <w:pPr>
        <w:pStyle w:val="Heading3"/>
        <w:spacing w:before="0"/>
      </w:pPr>
      <w:r>
        <w:rPr/>
        <w:t>Психометрические</w:t>
      </w:r>
      <w:r>
        <w:rPr>
          <w:spacing w:val="-16"/>
        </w:rPr>
        <w:t> </w:t>
      </w:r>
      <w:r>
        <w:rPr/>
        <w:t>характеристики</w:t>
      </w:r>
      <w:r>
        <w:rPr>
          <w:spacing w:val="-14"/>
        </w:rPr>
        <w:t> </w:t>
      </w:r>
      <w:r>
        <w:rPr>
          <w:spacing w:val="-2"/>
        </w:rPr>
        <w:t>методики</w:t>
      </w:r>
    </w:p>
    <w:p>
      <w:pPr>
        <w:pStyle w:val="Heading4"/>
        <w:spacing w:before="233"/>
        <w:ind w:right="566"/>
      </w:pPr>
      <w:r>
        <w:rPr/>
        <w:t>Впервые</w:t>
      </w:r>
      <w:r>
        <w:rPr>
          <w:spacing w:val="-9"/>
        </w:rPr>
        <w:t> </w:t>
      </w:r>
      <w:r>
        <w:rPr/>
        <w:t>шкала</w:t>
      </w:r>
      <w:r>
        <w:rPr>
          <w:spacing w:val="-12"/>
        </w:rPr>
        <w:t> </w:t>
      </w:r>
      <w:r>
        <w:rPr>
          <w:i/>
        </w:rPr>
        <w:t>SADS</w:t>
      </w:r>
      <w:r>
        <w:rPr>
          <w:i/>
          <w:spacing w:val="-7"/>
        </w:rPr>
        <w:t> </w:t>
      </w:r>
      <w:r>
        <w:rPr/>
        <w:t>была</w:t>
      </w:r>
      <w:r>
        <w:rPr>
          <w:spacing w:val="-9"/>
        </w:rPr>
        <w:t> </w:t>
      </w:r>
      <w:r>
        <w:rPr/>
        <w:t>использована</w:t>
      </w:r>
      <w:r>
        <w:rPr>
          <w:spacing w:val="-9"/>
        </w:rPr>
        <w:t> </w:t>
      </w:r>
      <w:r>
        <w:rPr/>
        <w:t>и</w:t>
      </w:r>
      <w:r>
        <w:rPr>
          <w:spacing w:val="-9"/>
        </w:rPr>
        <w:t> </w:t>
      </w:r>
      <w:r>
        <w:rPr/>
        <w:t>описана</w:t>
      </w:r>
      <w:r>
        <w:rPr>
          <w:spacing w:val="-9"/>
        </w:rPr>
        <w:t> </w:t>
      </w:r>
      <w:r>
        <w:rPr/>
        <w:t>в</w:t>
      </w:r>
      <w:r>
        <w:rPr>
          <w:spacing w:val="-10"/>
        </w:rPr>
        <w:t> </w:t>
      </w:r>
      <w:r>
        <w:rPr/>
        <w:t>1969</w:t>
      </w:r>
      <w:r>
        <w:rPr>
          <w:spacing w:val="-8"/>
        </w:rPr>
        <w:t> </w:t>
      </w:r>
      <w:r>
        <w:rPr/>
        <w:t>году</w:t>
      </w:r>
      <w:r>
        <w:rPr>
          <w:spacing w:val="-13"/>
        </w:rPr>
        <w:t> </w:t>
      </w:r>
      <w:r>
        <w:rPr/>
        <w:t>Д.</w:t>
      </w:r>
      <w:r>
        <w:rPr>
          <w:spacing w:val="-9"/>
        </w:rPr>
        <w:t> </w:t>
      </w:r>
      <w:r>
        <w:rPr/>
        <w:t>Уотсоном</w:t>
      </w:r>
      <w:r>
        <w:rPr>
          <w:spacing w:val="-9"/>
        </w:rPr>
        <w:t> </w:t>
      </w:r>
      <w:r>
        <w:rPr/>
        <w:t>и Р.</w:t>
      </w:r>
      <w:r>
        <w:rPr>
          <w:spacing w:val="-18"/>
        </w:rPr>
        <w:t> </w:t>
      </w:r>
      <w:r>
        <w:rPr/>
        <w:t>Фрэндом.</w:t>
      </w:r>
      <w:r>
        <w:rPr>
          <w:spacing w:val="-17"/>
        </w:rPr>
        <w:t> </w:t>
      </w:r>
      <w:r>
        <w:rPr/>
        <w:t>Авторы</w:t>
      </w:r>
      <w:r>
        <w:rPr>
          <w:spacing w:val="-17"/>
        </w:rPr>
        <w:t> </w:t>
      </w:r>
      <w:r>
        <w:rPr/>
        <w:t>шкалы</w:t>
      </w:r>
      <w:r>
        <w:rPr>
          <w:spacing w:val="-16"/>
        </w:rPr>
        <w:t> </w:t>
      </w:r>
      <w:r>
        <w:rPr/>
        <w:t>на</w:t>
      </w:r>
      <w:r>
        <w:rPr>
          <w:spacing w:val="-17"/>
        </w:rPr>
        <w:t> </w:t>
      </w:r>
      <w:r>
        <w:rPr/>
        <w:t>основе</w:t>
      </w:r>
      <w:r>
        <w:rPr>
          <w:spacing w:val="-17"/>
        </w:rPr>
        <w:t> </w:t>
      </w:r>
      <w:r>
        <w:rPr/>
        <w:t>исследовательских</w:t>
      </w:r>
      <w:r>
        <w:rPr>
          <w:spacing w:val="-18"/>
        </w:rPr>
        <w:t> </w:t>
      </w:r>
      <w:r>
        <w:rPr/>
        <w:t>данных,</w:t>
      </w:r>
      <w:r>
        <w:rPr>
          <w:spacing w:val="-17"/>
        </w:rPr>
        <w:t> </w:t>
      </w:r>
      <w:r>
        <w:rPr/>
        <w:t>полученных на выборке из 297 учащихся колледжей, установили средние показатели по </w:t>
      </w:r>
      <w:r>
        <w:rPr>
          <w:i/>
        </w:rPr>
        <w:t>SADS</w:t>
      </w:r>
      <w:r>
        <w:rPr/>
        <w:t>:</w:t>
      </w:r>
      <w:r>
        <w:rPr>
          <w:spacing w:val="73"/>
          <w:w w:val="150"/>
        </w:rPr>
        <w:t>  </w:t>
      </w:r>
      <w:r>
        <w:rPr/>
        <w:t>11.2</w:t>
      </w:r>
      <w:r>
        <w:rPr>
          <w:spacing w:val="75"/>
          <w:w w:val="150"/>
        </w:rPr>
        <w:t>  </w:t>
      </w:r>
      <w:r>
        <w:rPr/>
        <w:t>для</w:t>
      </w:r>
      <w:r>
        <w:rPr>
          <w:spacing w:val="74"/>
          <w:w w:val="150"/>
        </w:rPr>
        <w:t>  </w:t>
      </w:r>
      <w:r>
        <w:rPr/>
        <w:t>девушек</w:t>
      </w:r>
      <w:r>
        <w:rPr>
          <w:spacing w:val="76"/>
          <w:w w:val="150"/>
        </w:rPr>
        <w:t>  </w:t>
      </w:r>
      <w:r>
        <w:rPr/>
        <w:t>и</w:t>
      </w:r>
      <w:r>
        <w:rPr>
          <w:spacing w:val="77"/>
          <w:w w:val="150"/>
        </w:rPr>
        <w:t>  </w:t>
      </w:r>
      <w:r>
        <w:rPr/>
        <w:t>8.24</w:t>
      </w:r>
      <w:r>
        <w:rPr>
          <w:spacing w:val="75"/>
          <w:w w:val="150"/>
        </w:rPr>
        <w:t>  </w:t>
      </w:r>
      <w:r>
        <w:rPr/>
        <w:t>для</w:t>
      </w:r>
      <w:r>
        <w:rPr>
          <w:spacing w:val="76"/>
          <w:w w:val="150"/>
        </w:rPr>
        <w:t>  </w:t>
      </w:r>
      <w:r>
        <w:rPr/>
        <w:t>юношей.</w:t>
      </w:r>
      <w:r>
        <w:rPr>
          <w:spacing w:val="76"/>
          <w:w w:val="150"/>
        </w:rPr>
        <w:t>  </w:t>
      </w:r>
      <w:r>
        <w:rPr>
          <w:spacing w:val="-2"/>
        </w:rPr>
        <w:t>Исследование</w:t>
      </w:r>
    </w:p>
    <w:p>
      <w:pPr>
        <w:pStyle w:val="Heading4"/>
        <w:spacing w:after="0"/>
        <w:sectPr>
          <w:pgSz w:w="11910" w:h="16840"/>
          <w:pgMar w:header="0" w:footer="970" w:top="1040" w:bottom="1220" w:left="1417" w:right="283"/>
        </w:sectPr>
      </w:pPr>
    </w:p>
    <w:p>
      <w:pPr>
        <w:pStyle w:val="Heading4"/>
        <w:spacing w:before="67"/>
        <w:ind w:right="568"/>
      </w:pPr>
      <w:r>
        <w:rPr/>
        <w:t>продемонстрировало высокий уровень внутренней надежности методики (</w:t>
      </w:r>
      <w:r>
        <w:rPr>
          <w:i/>
        </w:rPr>
        <w:t>Watson, </w:t>
      </w:r>
      <w:r>
        <w:rPr/>
        <w:t>1969). В группе взрослых участников (265 человек, обратившихся за помощью по поводу тревожного расстройства) надежность методики также была</w:t>
      </w:r>
      <w:r>
        <w:rPr>
          <w:spacing w:val="-10"/>
        </w:rPr>
        <w:t> </w:t>
      </w:r>
      <w:r>
        <w:rPr/>
        <w:t>подтверждена,</w:t>
      </w:r>
      <w:r>
        <w:rPr>
          <w:spacing w:val="-12"/>
        </w:rPr>
        <w:t> </w:t>
      </w:r>
      <w:r>
        <w:rPr/>
        <w:t>а</w:t>
      </w:r>
      <w:r>
        <w:rPr>
          <w:spacing w:val="-10"/>
        </w:rPr>
        <w:t> </w:t>
      </w:r>
      <w:r>
        <w:rPr/>
        <w:t>средние</w:t>
      </w:r>
      <w:r>
        <w:rPr>
          <w:spacing w:val="-10"/>
        </w:rPr>
        <w:t> </w:t>
      </w:r>
      <w:r>
        <w:rPr/>
        <w:t>показатели</w:t>
      </w:r>
      <w:r>
        <w:rPr>
          <w:spacing w:val="-10"/>
        </w:rPr>
        <w:t> </w:t>
      </w:r>
      <w:r>
        <w:rPr/>
        <w:t>социальной</w:t>
      </w:r>
      <w:r>
        <w:rPr>
          <w:spacing w:val="-9"/>
        </w:rPr>
        <w:t> </w:t>
      </w:r>
      <w:r>
        <w:rPr/>
        <w:t>тревожности</w:t>
      </w:r>
      <w:r>
        <w:rPr>
          <w:spacing w:val="-9"/>
        </w:rPr>
        <w:t> </w:t>
      </w:r>
      <w:r>
        <w:rPr/>
        <w:t>составили</w:t>
      </w:r>
    </w:p>
    <w:p>
      <w:pPr>
        <w:pStyle w:val="Heading4"/>
        <w:spacing w:before="1"/>
        <w:ind w:right="561"/>
      </w:pPr>
      <w:r>
        <w:rPr/>
        <w:t>14.3 для мужчин и 14.9 для женщин (</w:t>
      </w:r>
      <w:r>
        <w:rPr>
          <w:i/>
        </w:rPr>
        <w:t>Oei</w:t>
      </w:r>
      <w:r>
        <w:rPr/>
        <w:t>, 1991). Другие исследователи подтвердили валидность методики: показатели по </w:t>
      </w:r>
      <w:r>
        <w:rPr>
          <w:i/>
        </w:rPr>
        <w:t>SADS </w:t>
      </w:r>
      <w:r>
        <w:rPr/>
        <w:t>у участников с социальными нарушениями выше, чем показатели участников с другими тревожными расстройствами (</w:t>
      </w:r>
      <w:r>
        <w:rPr>
          <w:i/>
        </w:rPr>
        <w:t>Turner</w:t>
      </w:r>
      <w:r>
        <w:rPr/>
        <w:t>, 1987).</w:t>
      </w:r>
    </w:p>
    <w:p>
      <w:pPr>
        <w:pStyle w:val="Heading4"/>
        <w:spacing w:before="241"/>
        <w:ind w:right="567"/>
      </w:pPr>
      <w:r>
        <w:rPr/>
        <w:t>Дальнейшие исследования выявили возможности методики дифференцировать</w:t>
      </w:r>
      <w:r>
        <w:rPr>
          <w:spacing w:val="-4"/>
        </w:rPr>
        <w:t> </w:t>
      </w:r>
      <w:r>
        <w:rPr/>
        <w:t>участников</w:t>
      </w:r>
      <w:r>
        <w:rPr>
          <w:spacing w:val="-1"/>
        </w:rPr>
        <w:t> </w:t>
      </w:r>
      <w:r>
        <w:rPr/>
        <w:t>с различными тревожными</w:t>
      </w:r>
      <w:r>
        <w:rPr>
          <w:spacing w:val="-2"/>
        </w:rPr>
        <w:t> </w:t>
      </w:r>
      <w:r>
        <w:rPr/>
        <w:t>расстройствами.</w:t>
      </w:r>
      <w:r>
        <w:rPr>
          <w:spacing w:val="-1"/>
        </w:rPr>
        <w:t> </w:t>
      </w:r>
      <w:r>
        <w:rPr/>
        <w:t>В группе людей с социальными тревожными расстройствами были зафиксированы существенно более высокие показатели по сравнению с результатами пациентов с тревожными расстройствами других типов или паническим расстройством (</w:t>
      </w:r>
      <w:r>
        <w:rPr>
          <w:i/>
        </w:rPr>
        <w:t>Oei</w:t>
      </w:r>
      <w:r>
        <w:rPr/>
        <w:t>, 1991).</w:t>
      </w:r>
    </w:p>
    <w:p>
      <w:pPr>
        <w:pStyle w:val="Heading4"/>
        <w:spacing w:before="241"/>
        <w:ind w:right="562"/>
      </w:pPr>
      <w:r>
        <w:rPr/>
        <w:t>Подтверждение экспериментальной валидности </w:t>
      </w:r>
      <w:r>
        <w:rPr>
          <w:i/>
        </w:rPr>
        <w:t>SADS </w:t>
      </w:r>
      <w:r>
        <w:rPr/>
        <w:t>было получено также при обследовании студентов. Например, студенты с высокими показателями по шкале демонстрировали тенденцию к избегающему поведению. Они существенно меньше, чем участники контрольной группы, были заинтересованы в повторном участии в эксперименте, особенно если он проходил</w:t>
      </w:r>
      <w:r>
        <w:rPr>
          <w:spacing w:val="-3"/>
        </w:rPr>
        <w:t> </w:t>
      </w:r>
      <w:r>
        <w:rPr/>
        <w:t>в</w:t>
      </w:r>
      <w:r>
        <w:rPr>
          <w:spacing w:val="-3"/>
        </w:rPr>
        <w:t> </w:t>
      </w:r>
      <w:r>
        <w:rPr/>
        <w:t>условиях</w:t>
      </w:r>
      <w:r>
        <w:rPr>
          <w:spacing w:val="-1"/>
        </w:rPr>
        <w:t> </w:t>
      </w:r>
      <w:r>
        <w:rPr/>
        <w:t>групповой</w:t>
      </w:r>
      <w:r>
        <w:rPr>
          <w:spacing w:val="-2"/>
        </w:rPr>
        <w:t> </w:t>
      </w:r>
      <w:r>
        <w:rPr/>
        <w:t>дискуссии</w:t>
      </w:r>
      <w:r>
        <w:rPr>
          <w:spacing w:val="-2"/>
        </w:rPr>
        <w:t> </w:t>
      </w:r>
      <w:r>
        <w:rPr/>
        <w:t>(</w:t>
      </w:r>
      <w:r>
        <w:rPr>
          <w:i/>
        </w:rPr>
        <w:t>Antony</w:t>
      </w:r>
      <w:r>
        <w:rPr/>
        <w:t>,</w:t>
      </w:r>
      <w:r>
        <w:rPr>
          <w:spacing w:val="-3"/>
        </w:rPr>
        <w:t> </w:t>
      </w:r>
      <w:r>
        <w:rPr/>
        <w:t>2001).</w:t>
      </w:r>
      <w:r>
        <w:rPr>
          <w:spacing w:val="-6"/>
        </w:rPr>
        <w:t> </w:t>
      </w:r>
      <w:r>
        <w:rPr/>
        <w:t>Было</w:t>
      </w:r>
      <w:r>
        <w:rPr>
          <w:spacing w:val="-2"/>
        </w:rPr>
        <w:t> </w:t>
      </w:r>
      <w:r>
        <w:rPr/>
        <w:t>доказано,</w:t>
      </w:r>
      <w:r>
        <w:rPr>
          <w:spacing w:val="-3"/>
        </w:rPr>
        <w:t> </w:t>
      </w:r>
      <w:r>
        <w:rPr/>
        <w:t>что люди с высокими показателями по </w:t>
      </w:r>
      <w:r>
        <w:rPr>
          <w:i/>
        </w:rPr>
        <w:t>SADS </w:t>
      </w:r>
      <w:r>
        <w:rPr/>
        <w:t>имели тенденцию воспринимать мимическую экспрессию как негативную (</w:t>
      </w:r>
      <w:r>
        <w:rPr>
          <w:i/>
        </w:rPr>
        <w:t>Winton</w:t>
      </w:r>
      <w:r>
        <w:rPr/>
        <w:t>, 1995). Показатели SADS значимо коррелировали с показателями повышенной чувствительности к публичному вниманию, тревогой, страхом социального оценивания и в меньшей</w:t>
      </w:r>
      <w:r>
        <w:rPr>
          <w:spacing w:val="-10"/>
        </w:rPr>
        <w:t> </w:t>
      </w:r>
      <w:r>
        <w:rPr/>
        <w:t>степени</w:t>
      </w:r>
      <w:r>
        <w:rPr>
          <w:spacing w:val="-9"/>
        </w:rPr>
        <w:t> </w:t>
      </w:r>
      <w:r>
        <w:rPr/>
        <w:t>—</w:t>
      </w:r>
      <w:r>
        <w:rPr>
          <w:spacing w:val="-12"/>
        </w:rPr>
        <w:t> </w:t>
      </w:r>
      <w:r>
        <w:rPr/>
        <w:t>с</w:t>
      </w:r>
      <w:r>
        <w:rPr>
          <w:spacing w:val="-10"/>
        </w:rPr>
        <w:t> </w:t>
      </w:r>
      <w:r>
        <w:rPr/>
        <w:t>тревогой</w:t>
      </w:r>
      <w:r>
        <w:rPr>
          <w:spacing w:val="-10"/>
        </w:rPr>
        <w:t> </w:t>
      </w:r>
      <w:r>
        <w:rPr/>
        <w:t>в</w:t>
      </w:r>
      <w:r>
        <w:rPr>
          <w:spacing w:val="-13"/>
        </w:rPr>
        <w:t> </w:t>
      </w:r>
      <w:r>
        <w:rPr/>
        <w:t>сфере</w:t>
      </w:r>
      <w:r>
        <w:rPr>
          <w:spacing w:val="-12"/>
        </w:rPr>
        <w:t> </w:t>
      </w:r>
      <w:r>
        <w:rPr/>
        <w:t>достижений</w:t>
      </w:r>
      <w:r>
        <w:rPr>
          <w:spacing w:val="-12"/>
        </w:rPr>
        <w:t> </w:t>
      </w:r>
      <w:r>
        <w:rPr/>
        <w:t>(</w:t>
      </w:r>
      <w:r>
        <w:rPr>
          <w:i/>
        </w:rPr>
        <w:t>Herbert</w:t>
      </w:r>
      <w:r>
        <w:rPr/>
        <w:t>,</w:t>
      </w:r>
      <w:r>
        <w:rPr>
          <w:spacing w:val="-11"/>
        </w:rPr>
        <w:t> </w:t>
      </w:r>
      <w:r>
        <w:rPr/>
        <w:t>2014).</w:t>
      </w:r>
      <w:r>
        <w:rPr>
          <w:spacing w:val="-12"/>
        </w:rPr>
        <w:t> </w:t>
      </w:r>
      <w:r>
        <w:rPr/>
        <w:t>В</w:t>
      </w:r>
      <w:r>
        <w:rPr>
          <w:spacing w:val="-10"/>
        </w:rPr>
        <w:t> </w:t>
      </w:r>
      <w:r>
        <w:rPr/>
        <w:t>группах участников</w:t>
      </w:r>
      <w:r>
        <w:rPr>
          <w:spacing w:val="-18"/>
        </w:rPr>
        <w:t> </w:t>
      </w:r>
      <w:r>
        <w:rPr/>
        <w:t>с</w:t>
      </w:r>
      <w:r>
        <w:rPr>
          <w:spacing w:val="-17"/>
        </w:rPr>
        <w:t> </w:t>
      </w:r>
      <w:r>
        <w:rPr/>
        <w:t>разнообразными</w:t>
      </w:r>
      <w:r>
        <w:rPr>
          <w:spacing w:val="-18"/>
        </w:rPr>
        <w:t> </w:t>
      </w:r>
      <w:r>
        <w:rPr/>
        <w:t>тревожными</w:t>
      </w:r>
      <w:r>
        <w:rPr>
          <w:spacing w:val="-17"/>
        </w:rPr>
        <w:t> </w:t>
      </w:r>
      <w:r>
        <w:rPr/>
        <w:t>расстройствами</w:t>
      </w:r>
      <w:r>
        <w:rPr>
          <w:spacing w:val="-18"/>
        </w:rPr>
        <w:t> </w:t>
      </w:r>
      <w:r>
        <w:rPr/>
        <w:t>показатели</w:t>
      </w:r>
      <w:r>
        <w:rPr>
          <w:spacing w:val="-17"/>
        </w:rPr>
        <w:t> </w:t>
      </w:r>
      <w:r>
        <w:rPr/>
        <w:t>шкалы продемонстрировали умеренно выраженную, но достоверную корреляцию с уровнями тревожности и депрессивности (</w:t>
      </w:r>
      <w:r>
        <w:rPr>
          <w:i/>
        </w:rPr>
        <w:t>Cox</w:t>
      </w:r>
      <w:r>
        <w:rPr/>
        <w:t>, 1998; </w:t>
      </w:r>
      <w:r>
        <w:rPr>
          <w:i/>
        </w:rPr>
        <w:t>Turner</w:t>
      </w:r>
      <w:r>
        <w:rPr/>
        <w:t>, 1987).</w:t>
      </w:r>
    </w:p>
    <w:p>
      <w:pPr>
        <w:pStyle w:val="Heading3"/>
        <w:spacing w:before="248"/>
      </w:pPr>
      <w:r>
        <w:rPr/>
        <w:t>Адаптация</w:t>
      </w:r>
      <w:r>
        <w:rPr>
          <w:spacing w:val="-6"/>
        </w:rPr>
        <w:t> </w:t>
      </w:r>
      <w:r>
        <w:rPr/>
        <w:t>методики</w:t>
      </w:r>
      <w:r>
        <w:rPr>
          <w:spacing w:val="-4"/>
        </w:rPr>
        <w:t> </w:t>
      </w:r>
      <w:r>
        <w:rPr/>
        <w:t>на</w:t>
      </w:r>
      <w:r>
        <w:rPr>
          <w:spacing w:val="-5"/>
        </w:rPr>
        <w:t> </w:t>
      </w:r>
      <w:r>
        <w:rPr/>
        <w:t>русском</w:t>
      </w:r>
      <w:r>
        <w:rPr>
          <w:spacing w:val="-5"/>
        </w:rPr>
        <w:t> </w:t>
      </w:r>
      <w:r>
        <w:rPr>
          <w:spacing w:val="-4"/>
        </w:rPr>
        <w:t>языке</w:t>
      </w:r>
    </w:p>
    <w:p>
      <w:pPr>
        <w:pStyle w:val="Heading4"/>
        <w:spacing w:before="232"/>
        <w:ind w:right="563"/>
      </w:pPr>
      <w:r>
        <w:rPr/>
        <w:t>В России </w:t>
      </w:r>
      <w:r>
        <w:rPr>
          <w:i/>
        </w:rPr>
        <w:t>SADS </w:t>
      </w:r>
      <w:r>
        <w:rPr/>
        <w:t>была апробирована и валидизирована на разных выборках. Е.Н. Клименкова и А.Б. Холмогорова описывают исследование, проведенное с участием 246 подростков — учащихся московских школ и колледжей. Его результаты доказывают высокую внутреннюю согласованность методики, а также связь общего показателя социального избегания и дистресса с тревожностью и депрессией. Авторы отмечают, что нормальные значения общего</w:t>
      </w:r>
      <w:r>
        <w:rPr>
          <w:spacing w:val="-2"/>
        </w:rPr>
        <w:t> </w:t>
      </w:r>
      <w:r>
        <w:rPr/>
        <w:t>показателя</w:t>
      </w:r>
      <w:r>
        <w:rPr>
          <w:spacing w:val="-3"/>
        </w:rPr>
        <w:t> </w:t>
      </w:r>
      <w:r>
        <w:rPr/>
        <w:t>социального</w:t>
      </w:r>
      <w:r>
        <w:rPr>
          <w:spacing w:val="-2"/>
        </w:rPr>
        <w:t> </w:t>
      </w:r>
      <w:r>
        <w:rPr/>
        <w:t>избегания</w:t>
      </w:r>
      <w:r>
        <w:rPr>
          <w:spacing w:val="-3"/>
        </w:rPr>
        <w:t> </w:t>
      </w:r>
      <w:r>
        <w:rPr/>
        <w:t>и</w:t>
      </w:r>
      <w:r>
        <w:rPr>
          <w:spacing w:val="-3"/>
        </w:rPr>
        <w:t> </w:t>
      </w:r>
      <w:r>
        <w:rPr/>
        <w:t>дистресса</w:t>
      </w:r>
      <w:r>
        <w:rPr>
          <w:spacing w:val="-3"/>
        </w:rPr>
        <w:t> </w:t>
      </w:r>
      <w:r>
        <w:rPr/>
        <w:t>лежат</w:t>
      </w:r>
      <w:r>
        <w:rPr>
          <w:spacing w:val="-4"/>
        </w:rPr>
        <w:t> </w:t>
      </w:r>
      <w:r>
        <w:rPr/>
        <w:t>в</w:t>
      </w:r>
      <w:r>
        <w:rPr>
          <w:spacing w:val="-4"/>
        </w:rPr>
        <w:t> </w:t>
      </w:r>
      <w:r>
        <w:rPr/>
        <w:t>интервале</w:t>
      </w:r>
      <w:r>
        <w:rPr>
          <w:spacing w:val="-3"/>
        </w:rPr>
        <w:t> </w:t>
      </w:r>
      <w:r>
        <w:rPr/>
        <w:t>от</w:t>
      </w:r>
      <w:r>
        <w:rPr>
          <w:spacing w:val="-3"/>
        </w:rPr>
        <w:t> </w:t>
      </w:r>
      <w:r>
        <w:rPr/>
        <w:t>4 до 15 баллов (</w:t>
      </w:r>
      <w:r>
        <w:rPr>
          <w:i/>
        </w:rPr>
        <w:t>Холмогорова</w:t>
      </w:r>
      <w:r>
        <w:rPr/>
        <w:t>, 2017).</w:t>
      </w:r>
    </w:p>
    <w:p>
      <w:pPr>
        <w:pStyle w:val="Heading4"/>
        <w:spacing w:before="240"/>
        <w:ind w:right="564"/>
      </w:pPr>
      <w:r>
        <w:rPr/>
        <w:t>Также была проведена апробация шкалы социального избегания и дистресса на взрослой популяционной выборке (</w:t>
      </w:r>
      <w:r>
        <w:rPr>
          <w:i/>
        </w:rPr>
        <w:t>Холмогорова</w:t>
      </w:r>
      <w:r>
        <w:rPr/>
        <w:t>, 2015). В исследовании приняли</w:t>
      </w:r>
      <w:r>
        <w:rPr>
          <w:spacing w:val="-2"/>
        </w:rPr>
        <w:t> </w:t>
      </w:r>
      <w:r>
        <w:rPr/>
        <w:t>участие</w:t>
      </w:r>
      <w:r>
        <w:rPr>
          <w:spacing w:val="-4"/>
        </w:rPr>
        <w:t> </w:t>
      </w:r>
      <w:r>
        <w:rPr/>
        <w:t>1</w:t>
      </w:r>
      <w:r>
        <w:rPr>
          <w:spacing w:val="-5"/>
        </w:rPr>
        <w:t> </w:t>
      </w:r>
      <w:r>
        <w:rPr/>
        <w:t>666</w:t>
      </w:r>
      <w:r>
        <w:rPr>
          <w:spacing w:val="-3"/>
        </w:rPr>
        <w:t> </w:t>
      </w:r>
      <w:r>
        <w:rPr/>
        <w:t>человек</w:t>
      </w:r>
      <w:r>
        <w:rPr>
          <w:spacing w:val="-5"/>
        </w:rPr>
        <w:t> </w:t>
      </w:r>
      <w:r>
        <w:rPr/>
        <w:t>от</w:t>
      </w:r>
      <w:r>
        <w:rPr>
          <w:spacing w:val="-6"/>
        </w:rPr>
        <w:t> </w:t>
      </w:r>
      <w:r>
        <w:rPr/>
        <w:t>18</w:t>
      </w:r>
      <w:r>
        <w:rPr>
          <w:spacing w:val="-5"/>
        </w:rPr>
        <w:t> </w:t>
      </w:r>
      <w:r>
        <w:rPr/>
        <w:t>до</w:t>
      </w:r>
      <w:r>
        <w:rPr>
          <w:spacing w:val="-5"/>
        </w:rPr>
        <w:t> </w:t>
      </w:r>
      <w:r>
        <w:rPr/>
        <w:t>50</w:t>
      </w:r>
      <w:r>
        <w:rPr>
          <w:spacing w:val="-3"/>
        </w:rPr>
        <w:t> </w:t>
      </w:r>
      <w:r>
        <w:rPr/>
        <w:t>лет.</w:t>
      </w:r>
      <w:r>
        <w:rPr>
          <w:spacing w:val="-4"/>
        </w:rPr>
        <w:t> </w:t>
      </w:r>
      <w:r>
        <w:rPr/>
        <w:t>Результаты</w:t>
      </w:r>
      <w:r>
        <w:rPr>
          <w:spacing w:val="-2"/>
        </w:rPr>
        <w:t> </w:t>
      </w:r>
      <w:r>
        <w:rPr/>
        <w:t>свидетельствуют</w:t>
      </w:r>
      <w:r>
        <w:rPr>
          <w:spacing w:val="-3"/>
        </w:rPr>
        <w:t> </w:t>
      </w:r>
      <w:r>
        <w:rPr/>
        <w:t>о надежности</w:t>
      </w:r>
      <w:r>
        <w:rPr>
          <w:spacing w:val="-14"/>
        </w:rPr>
        <w:t> </w:t>
      </w:r>
      <w:r>
        <w:rPr/>
        <w:t>и</w:t>
      </w:r>
      <w:r>
        <w:rPr>
          <w:spacing w:val="-9"/>
        </w:rPr>
        <w:t> </w:t>
      </w:r>
      <w:r>
        <w:rPr/>
        <w:t>внутренней</w:t>
      </w:r>
      <w:r>
        <w:rPr>
          <w:spacing w:val="-11"/>
        </w:rPr>
        <w:t> </w:t>
      </w:r>
      <w:r>
        <w:rPr/>
        <w:t>согласованности</w:t>
      </w:r>
      <w:r>
        <w:rPr>
          <w:spacing w:val="-9"/>
        </w:rPr>
        <w:t> </w:t>
      </w:r>
      <w:r>
        <w:rPr/>
        <w:t>методики.</w:t>
      </w:r>
      <w:r>
        <w:rPr>
          <w:spacing w:val="-10"/>
        </w:rPr>
        <w:t> </w:t>
      </w:r>
      <w:r>
        <w:rPr/>
        <w:t>Проверка</w:t>
      </w:r>
      <w:r>
        <w:rPr>
          <w:spacing w:val="-11"/>
        </w:rPr>
        <w:t> </w:t>
      </w:r>
      <w:r>
        <w:rPr>
          <w:spacing w:val="-2"/>
        </w:rPr>
        <w:t>конструктной</w:t>
      </w:r>
    </w:p>
    <w:p>
      <w:pPr>
        <w:pStyle w:val="Heading4"/>
        <w:spacing w:after="0"/>
        <w:sectPr>
          <w:pgSz w:w="11910" w:h="16840"/>
          <w:pgMar w:header="0" w:footer="970" w:top="1040" w:bottom="1220" w:left="1417" w:right="283"/>
        </w:sectPr>
      </w:pPr>
    </w:p>
    <w:p>
      <w:pPr>
        <w:pStyle w:val="Heading4"/>
        <w:spacing w:before="67"/>
        <w:ind w:right="565"/>
      </w:pPr>
      <w:r>
        <w:rPr/>
        <w:t>валидности проводилась с использованием опросника выраженности психопатологической симптоматики и показала высокую конвергентную валидность</w:t>
      </w:r>
      <w:r>
        <w:rPr>
          <w:spacing w:val="-9"/>
        </w:rPr>
        <w:t> </w:t>
      </w:r>
      <w:r>
        <w:rPr>
          <w:i/>
        </w:rPr>
        <w:t>SADS</w:t>
      </w:r>
      <w:r>
        <w:rPr/>
        <w:t>.</w:t>
      </w:r>
      <w:r>
        <w:rPr>
          <w:spacing w:val="-9"/>
        </w:rPr>
        <w:t> </w:t>
      </w:r>
      <w:r>
        <w:rPr/>
        <w:t>Также</w:t>
      </w:r>
      <w:r>
        <w:rPr>
          <w:spacing w:val="-8"/>
        </w:rPr>
        <w:t> </w:t>
      </w:r>
      <w:r>
        <w:rPr/>
        <w:t>отмечена</w:t>
      </w:r>
      <w:r>
        <w:rPr>
          <w:spacing w:val="-9"/>
        </w:rPr>
        <w:t> </w:t>
      </w:r>
      <w:r>
        <w:rPr/>
        <w:t>высокая</w:t>
      </w:r>
      <w:r>
        <w:rPr>
          <w:spacing w:val="-8"/>
        </w:rPr>
        <w:t> </w:t>
      </w:r>
      <w:r>
        <w:rPr/>
        <w:t>устойчивость</w:t>
      </w:r>
      <w:r>
        <w:rPr>
          <w:spacing w:val="-10"/>
        </w:rPr>
        <w:t> </w:t>
      </w:r>
      <w:r>
        <w:rPr/>
        <w:t>результатов</w:t>
      </w:r>
      <w:r>
        <w:rPr>
          <w:spacing w:val="-9"/>
        </w:rPr>
        <w:t> </w:t>
      </w:r>
      <w:r>
        <w:rPr/>
        <w:t>теста</w:t>
      </w:r>
      <w:r>
        <w:rPr>
          <w:spacing w:val="-9"/>
        </w:rPr>
        <w:t> </w:t>
      </w:r>
      <w:r>
        <w:rPr/>
        <w:t>во </w:t>
      </w:r>
      <w:r>
        <w:rPr>
          <w:spacing w:val="-2"/>
        </w:rPr>
        <w:t>времени.</w:t>
      </w:r>
    </w:p>
    <w:p>
      <w:pPr>
        <w:pStyle w:val="Heading4"/>
        <w:spacing w:before="241"/>
        <w:ind w:right="559"/>
      </w:pPr>
      <w:r>
        <w:rPr/>
        <w:t>Исследование Т.С. Павловой и А.Б. Холмогоровой, проведенное на выборке из</w:t>
      </w:r>
      <w:r>
        <w:rPr>
          <w:spacing w:val="-15"/>
        </w:rPr>
        <w:t> </w:t>
      </w:r>
      <w:r>
        <w:rPr/>
        <w:t>237</w:t>
      </w:r>
      <w:r>
        <w:rPr>
          <w:spacing w:val="-14"/>
        </w:rPr>
        <w:t> </w:t>
      </w:r>
      <w:r>
        <w:rPr/>
        <w:t>студентов</w:t>
      </w:r>
      <w:r>
        <w:rPr>
          <w:spacing w:val="-16"/>
        </w:rPr>
        <w:t> </w:t>
      </w:r>
      <w:r>
        <w:rPr/>
        <w:t>1–3-го</w:t>
      </w:r>
      <w:r>
        <w:rPr>
          <w:spacing w:val="-14"/>
        </w:rPr>
        <w:t> </w:t>
      </w:r>
      <w:r>
        <w:rPr/>
        <w:t>курсов,</w:t>
      </w:r>
      <w:r>
        <w:rPr>
          <w:spacing w:val="-16"/>
        </w:rPr>
        <w:t> </w:t>
      </w:r>
      <w:r>
        <w:rPr/>
        <w:t>показывает,</w:t>
      </w:r>
      <w:r>
        <w:rPr>
          <w:spacing w:val="-16"/>
        </w:rPr>
        <w:t> </w:t>
      </w:r>
      <w:r>
        <w:rPr/>
        <w:t>что</w:t>
      </w:r>
      <w:r>
        <w:rPr>
          <w:spacing w:val="-14"/>
        </w:rPr>
        <w:t> </w:t>
      </w:r>
      <w:r>
        <w:rPr/>
        <w:t>участники</w:t>
      </w:r>
      <w:r>
        <w:rPr>
          <w:spacing w:val="-14"/>
        </w:rPr>
        <w:t> </w:t>
      </w:r>
      <w:r>
        <w:rPr/>
        <w:t>с</w:t>
      </w:r>
      <w:r>
        <w:rPr>
          <w:spacing w:val="-15"/>
        </w:rPr>
        <w:t> </w:t>
      </w:r>
      <w:r>
        <w:rPr/>
        <w:t>высоким</w:t>
      </w:r>
      <w:r>
        <w:rPr>
          <w:spacing w:val="-15"/>
        </w:rPr>
        <w:t> </w:t>
      </w:r>
      <w:r>
        <w:rPr/>
        <w:t>уровнем социальной тревожности имеют высокие показатели враждебности и перфекционизма (</w:t>
      </w:r>
      <w:r>
        <w:rPr>
          <w:i/>
        </w:rPr>
        <w:t>Холмогорова</w:t>
      </w:r>
      <w:r>
        <w:rPr/>
        <w:t>, 2011). Авторы также отмечают связь избегающего и зависимого типов личностных установок с большинством параметров социальной тревожности. Исследование Т.С. Павловой, проведенное на выборке из 247 подростков от 12 до 16 лет, выявило связь некоторых</w:t>
      </w:r>
      <w:r>
        <w:rPr>
          <w:spacing w:val="42"/>
        </w:rPr>
        <w:t> </w:t>
      </w:r>
      <w:r>
        <w:rPr/>
        <w:t>копинг-стратегий</w:t>
      </w:r>
      <w:r>
        <w:rPr>
          <w:spacing w:val="47"/>
        </w:rPr>
        <w:t> </w:t>
      </w:r>
      <w:r>
        <w:rPr/>
        <w:t>—</w:t>
      </w:r>
      <w:r>
        <w:rPr>
          <w:spacing w:val="45"/>
        </w:rPr>
        <w:t> </w:t>
      </w:r>
      <w:r>
        <w:rPr/>
        <w:t>в</w:t>
      </w:r>
      <w:r>
        <w:rPr>
          <w:spacing w:val="43"/>
        </w:rPr>
        <w:t> </w:t>
      </w:r>
      <w:r>
        <w:rPr/>
        <w:t>частности,</w:t>
      </w:r>
      <w:r>
        <w:rPr>
          <w:spacing w:val="47"/>
        </w:rPr>
        <w:t> </w:t>
      </w:r>
      <w:r>
        <w:rPr/>
        <w:t>стратегии</w:t>
      </w:r>
      <w:r>
        <w:rPr>
          <w:spacing w:val="46"/>
        </w:rPr>
        <w:t> </w:t>
      </w:r>
      <w:r>
        <w:rPr/>
        <w:t>«самообвинения»</w:t>
      </w:r>
      <w:r>
        <w:rPr>
          <w:spacing w:val="40"/>
        </w:rPr>
        <w:t> </w:t>
      </w:r>
      <w:r>
        <w:rPr>
          <w:spacing w:val="-10"/>
        </w:rPr>
        <w:t>и</w:t>
      </w:r>
    </w:p>
    <w:p>
      <w:pPr>
        <w:pStyle w:val="Heading4"/>
      </w:pPr>
      <w:r>
        <w:rPr/>
        <w:t>«поиска</w:t>
      </w:r>
      <w:r>
        <w:rPr>
          <w:spacing w:val="-7"/>
        </w:rPr>
        <w:t> </w:t>
      </w:r>
      <w:r>
        <w:rPr/>
        <w:t>виновных»</w:t>
      </w:r>
      <w:r>
        <w:rPr>
          <w:spacing w:val="-6"/>
        </w:rPr>
        <w:t> </w:t>
      </w:r>
      <w:r>
        <w:rPr/>
        <w:t>—</w:t>
      </w:r>
      <w:r>
        <w:rPr>
          <w:spacing w:val="-6"/>
        </w:rPr>
        <w:t> </w:t>
      </w:r>
      <w:r>
        <w:rPr/>
        <w:t>с</w:t>
      </w:r>
      <w:r>
        <w:rPr>
          <w:spacing w:val="-5"/>
        </w:rPr>
        <w:t> </w:t>
      </w:r>
      <w:r>
        <w:rPr/>
        <w:t>показателем</w:t>
      </w:r>
      <w:r>
        <w:rPr>
          <w:spacing w:val="-8"/>
        </w:rPr>
        <w:t> </w:t>
      </w:r>
      <w:r>
        <w:rPr/>
        <w:t>общей</w:t>
      </w:r>
      <w:r>
        <w:rPr>
          <w:spacing w:val="-4"/>
        </w:rPr>
        <w:t> </w:t>
      </w:r>
      <w:r>
        <w:rPr/>
        <w:t>тревожности</w:t>
      </w:r>
      <w:r>
        <w:rPr>
          <w:spacing w:val="-5"/>
        </w:rPr>
        <w:t> </w:t>
      </w:r>
      <w:r>
        <w:rPr/>
        <w:t>(</w:t>
      </w:r>
      <w:r>
        <w:rPr>
          <w:i/>
        </w:rPr>
        <w:t>Павлова</w:t>
      </w:r>
      <w:r>
        <w:rPr/>
        <w:t>,</w:t>
      </w:r>
      <w:r>
        <w:rPr>
          <w:spacing w:val="-5"/>
        </w:rPr>
        <w:t> </w:t>
      </w:r>
      <w:r>
        <w:rPr>
          <w:spacing w:val="-2"/>
        </w:rPr>
        <w:t>2013).</w:t>
      </w:r>
    </w:p>
    <w:p>
      <w:pPr>
        <w:pStyle w:val="Heading4"/>
        <w:spacing w:before="242"/>
        <w:ind w:right="563"/>
      </w:pPr>
      <w:r>
        <w:rPr/>
        <w:t>В своем диссертационном исследовании Павлова также отмечает отсутствие статистически</w:t>
      </w:r>
      <w:r>
        <w:rPr>
          <w:spacing w:val="-11"/>
        </w:rPr>
        <w:t> </w:t>
      </w:r>
      <w:r>
        <w:rPr/>
        <w:t>значимых</w:t>
      </w:r>
      <w:r>
        <w:rPr>
          <w:spacing w:val="-13"/>
        </w:rPr>
        <w:t> </w:t>
      </w:r>
      <w:r>
        <w:rPr/>
        <w:t>различий</w:t>
      </w:r>
      <w:r>
        <w:rPr>
          <w:spacing w:val="-12"/>
        </w:rPr>
        <w:t> </w:t>
      </w:r>
      <w:r>
        <w:rPr/>
        <w:t>по</w:t>
      </w:r>
      <w:r>
        <w:rPr>
          <w:spacing w:val="-11"/>
        </w:rPr>
        <w:t> </w:t>
      </w:r>
      <w:r>
        <w:rPr/>
        <w:t>уровню</w:t>
      </w:r>
      <w:r>
        <w:rPr>
          <w:spacing w:val="-13"/>
        </w:rPr>
        <w:t> </w:t>
      </w:r>
      <w:r>
        <w:rPr/>
        <w:t>социальной</w:t>
      </w:r>
      <w:r>
        <w:rPr>
          <w:spacing w:val="-12"/>
        </w:rPr>
        <w:t> </w:t>
      </w:r>
      <w:r>
        <w:rPr/>
        <w:t>тревожности</w:t>
      </w:r>
      <w:r>
        <w:rPr>
          <w:spacing w:val="-11"/>
        </w:rPr>
        <w:t> </w:t>
      </w:r>
      <w:r>
        <w:rPr/>
        <w:t>между подростками</w:t>
      </w:r>
      <w:r>
        <w:rPr>
          <w:spacing w:val="-6"/>
        </w:rPr>
        <w:t> </w:t>
      </w:r>
      <w:r>
        <w:rPr/>
        <w:t>7–8-х</w:t>
      </w:r>
      <w:r>
        <w:rPr>
          <w:spacing w:val="-7"/>
        </w:rPr>
        <w:t> </w:t>
      </w:r>
      <w:r>
        <w:rPr/>
        <w:t>и</w:t>
      </w:r>
      <w:r>
        <w:rPr>
          <w:spacing w:val="-6"/>
        </w:rPr>
        <w:t> </w:t>
      </w:r>
      <w:r>
        <w:rPr/>
        <w:t>9–10-х</w:t>
      </w:r>
      <w:r>
        <w:rPr>
          <w:spacing w:val="-6"/>
        </w:rPr>
        <w:t> </w:t>
      </w:r>
      <w:r>
        <w:rPr/>
        <w:t>классов</w:t>
      </w:r>
      <w:r>
        <w:rPr>
          <w:spacing w:val="-7"/>
        </w:rPr>
        <w:t> </w:t>
      </w:r>
      <w:r>
        <w:rPr/>
        <w:t>(</w:t>
      </w:r>
      <w:r>
        <w:rPr>
          <w:i/>
        </w:rPr>
        <w:t>Павлова</w:t>
      </w:r>
      <w:r>
        <w:rPr/>
        <w:t>,</w:t>
      </w:r>
      <w:r>
        <w:rPr>
          <w:spacing w:val="-7"/>
        </w:rPr>
        <w:t> </w:t>
      </w:r>
      <w:r>
        <w:rPr/>
        <w:t>2014).</w:t>
      </w:r>
      <w:r>
        <w:rPr>
          <w:spacing w:val="-7"/>
        </w:rPr>
        <w:t> </w:t>
      </w:r>
      <w:r>
        <w:rPr/>
        <w:t>Автор</w:t>
      </w:r>
      <w:r>
        <w:rPr>
          <w:spacing w:val="-8"/>
        </w:rPr>
        <w:t> </w:t>
      </w:r>
      <w:r>
        <w:rPr/>
        <w:t>приводит</w:t>
      </w:r>
      <w:r>
        <w:rPr>
          <w:spacing w:val="-7"/>
        </w:rPr>
        <w:t> </w:t>
      </w:r>
      <w:r>
        <w:rPr/>
        <w:t>данные, подтверждающие, что в группе подростков с высоким уровнем социальной тревожности симптомы депрессии значительно более выражены, чем в группах с низким и средним уровнем. Подчеркивается факт, что в группе с высокой</w:t>
      </w:r>
      <w:r>
        <w:rPr>
          <w:spacing w:val="-18"/>
        </w:rPr>
        <w:t> </w:t>
      </w:r>
      <w:r>
        <w:rPr/>
        <w:t>социальной</w:t>
      </w:r>
      <w:r>
        <w:rPr>
          <w:spacing w:val="-17"/>
        </w:rPr>
        <w:t> </w:t>
      </w:r>
      <w:r>
        <w:rPr/>
        <w:t>тревожностью</w:t>
      </w:r>
      <w:r>
        <w:rPr>
          <w:spacing w:val="-18"/>
        </w:rPr>
        <w:t> </w:t>
      </w:r>
      <w:r>
        <w:rPr/>
        <w:t>показатели</w:t>
      </w:r>
      <w:r>
        <w:rPr>
          <w:spacing w:val="-17"/>
        </w:rPr>
        <w:t> </w:t>
      </w:r>
      <w:r>
        <w:rPr/>
        <w:t>суицидальной</w:t>
      </w:r>
      <w:r>
        <w:rPr>
          <w:spacing w:val="-18"/>
        </w:rPr>
        <w:t> </w:t>
      </w:r>
      <w:r>
        <w:rPr/>
        <w:t>направленности намного превышают таковые в группах со средней и низкой социальной </w:t>
      </w:r>
      <w:r>
        <w:rPr>
          <w:spacing w:val="-2"/>
        </w:rPr>
        <w:t>тревожностью.</w:t>
      </w:r>
    </w:p>
    <w:p>
      <w:pPr>
        <w:pStyle w:val="Heading4"/>
        <w:spacing w:before="240"/>
        <w:ind w:right="563"/>
      </w:pPr>
      <w:r>
        <w:rPr/>
        <w:t>В 2022 г. методика была адаптирована для детей — иностранных граждан в рамках апробации в 12 регионах РФ программы оценки особых образовательных потребностей ребенка-мигранта в сферах психологического благополучия,</w:t>
      </w:r>
      <w:r>
        <w:rPr>
          <w:spacing w:val="-5"/>
        </w:rPr>
        <w:t> </w:t>
      </w:r>
      <w:r>
        <w:rPr/>
        <w:t>социальных</w:t>
      </w:r>
      <w:r>
        <w:rPr>
          <w:spacing w:val="-5"/>
        </w:rPr>
        <w:t> </w:t>
      </w:r>
      <w:r>
        <w:rPr/>
        <w:t>навыков</w:t>
      </w:r>
      <w:r>
        <w:rPr>
          <w:spacing w:val="-6"/>
        </w:rPr>
        <w:t> </w:t>
      </w:r>
      <w:r>
        <w:rPr/>
        <w:t>и</w:t>
      </w:r>
      <w:r>
        <w:rPr>
          <w:spacing w:val="-5"/>
        </w:rPr>
        <w:t> </w:t>
      </w:r>
      <w:r>
        <w:rPr/>
        <w:t>культурной</w:t>
      </w:r>
      <w:r>
        <w:rPr>
          <w:spacing w:val="-5"/>
        </w:rPr>
        <w:t> </w:t>
      </w:r>
      <w:r>
        <w:rPr/>
        <w:t>адаптации</w:t>
      </w:r>
      <w:r>
        <w:rPr>
          <w:spacing w:val="-5"/>
        </w:rPr>
        <w:t> </w:t>
      </w:r>
      <w:r>
        <w:rPr/>
        <w:t>(N</w:t>
      </w:r>
      <w:r>
        <w:rPr>
          <w:spacing w:val="-7"/>
        </w:rPr>
        <w:t> </w:t>
      </w:r>
      <w:r>
        <w:rPr/>
        <w:t>ср.</w:t>
      </w:r>
      <w:r>
        <w:rPr>
          <w:spacing w:val="-6"/>
        </w:rPr>
        <w:t> </w:t>
      </w:r>
      <w:r>
        <w:rPr/>
        <w:t>+</w:t>
      </w:r>
      <w:r>
        <w:rPr>
          <w:spacing w:val="-5"/>
        </w:rPr>
        <w:t> </w:t>
      </w:r>
      <w:r>
        <w:rPr/>
        <w:t>ст.</w:t>
      </w:r>
      <w:r>
        <w:rPr>
          <w:spacing w:val="-6"/>
        </w:rPr>
        <w:t> </w:t>
      </w:r>
      <w:r>
        <w:rPr/>
        <w:t>шк.</w:t>
      </w:r>
      <w:r>
        <w:rPr>
          <w:spacing w:val="-8"/>
        </w:rPr>
        <w:t> </w:t>
      </w:r>
      <w:r>
        <w:rPr/>
        <w:t>= 301). Шкалы методики показали достаточную степень внутренней согласованности (альфа Кронбаха 0.87).</w:t>
      </w:r>
    </w:p>
    <w:p>
      <w:pPr>
        <w:pStyle w:val="Heading4"/>
        <w:spacing w:before="161"/>
        <w:ind w:right="561"/>
      </w:pPr>
      <w:r>
        <w:rPr/>
        <w:t>В исследовании обнаружены предсказуемые корреляции со следующими шкалами</w:t>
      </w:r>
      <w:r>
        <w:rPr>
          <w:spacing w:val="-18"/>
        </w:rPr>
        <w:t> </w:t>
      </w:r>
      <w:r>
        <w:rPr/>
        <w:t>иных</w:t>
      </w:r>
      <w:r>
        <w:rPr>
          <w:spacing w:val="-17"/>
        </w:rPr>
        <w:t> </w:t>
      </w:r>
      <w:r>
        <w:rPr/>
        <w:t>методик:</w:t>
      </w:r>
      <w:r>
        <w:rPr>
          <w:spacing w:val="-16"/>
        </w:rPr>
        <w:t> </w:t>
      </w:r>
      <w:r>
        <w:rPr/>
        <w:t>отрицательная</w:t>
      </w:r>
      <w:r>
        <w:rPr>
          <w:spacing w:val="-18"/>
        </w:rPr>
        <w:t> </w:t>
      </w:r>
      <w:r>
        <w:rPr/>
        <w:t>значимая</w:t>
      </w:r>
      <w:r>
        <w:rPr>
          <w:spacing w:val="-17"/>
        </w:rPr>
        <w:t> </w:t>
      </w:r>
      <w:r>
        <w:rPr/>
        <w:t>корреляция</w:t>
      </w:r>
      <w:r>
        <w:rPr>
          <w:spacing w:val="-18"/>
        </w:rPr>
        <w:t> </w:t>
      </w:r>
      <w:r>
        <w:rPr/>
        <w:t>с</w:t>
      </w:r>
      <w:r>
        <w:rPr>
          <w:spacing w:val="-17"/>
        </w:rPr>
        <w:t> </w:t>
      </w:r>
      <w:r>
        <w:rPr/>
        <w:t>детским</w:t>
      </w:r>
      <w:r>
        <w:rPr>
          <w:spacing w:val="-18"/>
        </w:rPr>
        <w:t> </w:t>
      </w:r>
      <w:r>
        <w:rPr/>
        <w:t>тестом психологической устойчивости (-0.39, P&lt;0.01), положительная корреляция с показателем тревожность – депрессивность опросника Ахенбаха (0.412, P&lt;0.01), с уровнем депрессии Опросника депрессивности (0.456, P&lt;0.01) и с опросником социокультурной дезадаптации (0.426, P&lt;0.01), что доказывает внешнюю</w:t>
      </w:r>
      <w:r>
        <w:rPr>
          <w:spacing w:val="40"/>
        </w:rPr>
        <w:t> </w:t>
      </w:r>
      <w:r>
        <w:rPr/>
        <w:t>валидность</w:t>
      </w:r>
      <w:r>
        <w:rPr>
          <w:spacing w:val="-5"/>
        </w:rPr>
        <w:t> </w:t>
      </w:r>
      <w:r>
        <w:rPr/>
        <w:t>методики</w:t>
      </w:r>
      <w:r>
        <w:rPr>
          <w:spacing w:val="-4"/>
        </w:rPr>
        <w:t> </w:t>
      </w:r>
      <w:r>
        <w:rPr/>
        <w:t>«Шкала</w:t>
      </w:r>
      <w:r>
        <w:rPr>
          <w:spacing w:val="-4"/>
        </w:rPr>
        <w:t> </w:t>
      </w:r>
      <w:r>
        <w:rPr/>
        <w:t>социального</w:t>
      </w:r>
      <w:r>
        <w:rPr>
          <w:spacing w:val="-3"/>
        </w:rPr>
        <w:t> </w:t>
      </w:r>
      <w:r>
        <w:rPr/>
        <w:t>избегания</w:t>
      </w:r>
      <w:r>
        <w:rPr>
          <w:spacing w:val="-4"/>
        </w:rPr>
        <w:t> </w:t>
      </w:r>
      <w:r>
        <w:rPr/>
        <w:t>и</w:t>
      </w:r>
      <w:r>
        <w:rPr>
          <w:spacing w:val="-4"/>
        </w:rPr>
        <w:t> </w:t>
      </w:r>
      <w:r>
        <w:rPr/>
        <w:t>дистресса» при диагностике детей — иностранных граждан.</w:t>
      </w:r>
    </w:p>
    <w:p>
      <w:pPr>
        <w:pStyle w:val="Heading4"/>
        <w:spacing w:after="0"/>
        <w:sectPr>
          <w:pgSz w:w="11910" w:h="16840"/>
          <w:pgMar w:header="0" w:footer="970" w:top="1040" w:bottom="1220" w:left="1417" w:right="283"/>
        </w:sectPr>
      </w:pPr>
    </w:p>
    <w:p>
      <w:pPr>
        <w:pStyle w:val="Heading3"/>
        <w:ind w:left="0" w:right="560"/>
        <w:jc w:val="right"/>
      </w:pPr>
      <w:r>
        <w:rPr/>
        <w:t>Приложение</w:t>
      </w:r>
      <w:r>
        <w:rPr>
          <w:spacing w:val="-6"/>
        </w:rPr>
        <w:t> </w:t>
      </w:r>
      <w:r>
        <w:rPr/>
        <w:t>8.</w:t>
      </w:r>
      <w:r>
        <w:rPr>
          <w:spacing w:val="-3"/>
        </w:rPr>
        <w:t> </w:t>
      </w:r>
      <w:r>
        <w:rPr/>
        <w:t>Бланк</w:t>
      </w:r>
      <w:r>
        <w:rPr>
          <w:spacing w:val="-3"/>
        </w:rPr>
        <w:t> </w:t>
      </w:r>
      <w:r>
        <w:rPr>
          <w:spacing w:val="-2"/>
        </w:rPr>
        <w:t>методики</w:t>
      </w:r>
    </w:p>
    <w:p>
      <w:pPr>
        <w:tabs>
          <w:tab w:pos="5164" w:val="left" w:leader="none"/>
          <w:tab w:pos="6297" w:val="left" w:leader="none"/>
          <w:tab w:pos="7950" w:val="left" w:leader="none"/>
          <w:tab w:pos="9325" w:val="left" w:leader="none"/>
        </w:tabs>
        <w:spacing w:before="270"/>
        <w:ind w:left="0" w:right="568" w:firstLine="0"/>
        <w:jc w:val="right"/>
        <w:rPr>
          <w:sz w:val="24"/>
        </w:rPr>
      </w:pPr>
      <w:r>
        <w:rPr>
          <w:sz w:val="24"/>
        </w:rPr>
        <w:t>Фамилия,</w:t>
      </w:r>
      <w:r>
        <w:rPr>
          <w:spacing w:val="-2"/>
          <w:sz w:val="24"/>
        </w:rPr>
        <w:t> </w:t>
      </w:r>
      <w:r>
        <w:rPr>
          <w:spacing w:val="-5"/>
          <w:sz w:val="24"/>
        </w:rPr>
        <w:t>имя</w:t>
      </w:r>
      <w:r>
        <w:rPr>
          <w:sz w:val="24"/>
          <w:u w:val="single"/>
        </w:rPr>
        <w:tab/>
      </w:r>
      <w:r>
        <w:rPr>
          <w:spacing w:val="-5"/>
          <w:sz w:val="24"/>
        </w:rPr>
        <w:t>Пол</w:t>
      </w:r>
      <w:r>
        <w:rPr>
          <w:sz w:val="24"/>
          <w:u w:val="single"/>
        </w:rPr>
        <w:tab/>
      </w:r>
      <w:r>
        <w:rPr>
          <w:spacing w:val="-2"/>
          <w:sz w:val="24"/>
        </w:rPr>
        <w:t>Возраст</w:t>
      </w:r>
      <w:r>
        <w:rPr>
          <w:sz w:val="24"/>
          <w:u w:val="single"/>
        </w:rPr>
        <w:tab/>
      </w:r>
      <w:r>
        <w:rPr>
          <w:spacing w:val="-4"/>
          <w:sz w:val="24"/>
        </w:rPr>
        <w:t>Дата</w:t>
      </w:r>
      <w:r>
        <w:rPr>
          <w:sz w:val="24"/>
          <w:u w:val="single"/>
        </w:rPr>
        <w:tab/>
      </w:r>
    </w:p>
    <w:p>
      <w:pPr>
        <w:spacing w:line="240" w:lineRule="auto" w:before="240"/>
        <w:ind w:left="285" w:right="560" w:firstLine="0"/>
        <w:jc w:val="both"/>
        <w:rPr>
          <w:i/>
          <w:sz w:val="24"/>
        </w:rPr>
      </w:pPr>
      <w:r>
        <w:rPr>
          <w:i/>
          <w:sz w:val="24"/>
        </w:rPr>
        <w:t>Пожалуйста, изучите приведенные на этом листе утверждения и ответьте, насколько верно</w:t>
      </w:r>
      <w:r>
        <w:rPr>
          <w:i/>
          <w:spacing w:val="-6"/>
          <w:sz w:val="24"/>
        </w:rPr>
        <w:t> </w:t>
      </w:r>
      <w:r>
        <w:rPr>
          <w:i/>
          <w:sz w:val="24"/>
        </w:rPr>
        <w:t>каждое</w:t>
      </w:r>
      <w:r>
        <w:rPr>
          <w:i/>
          <w:spacing w:val="-7"/>
          <w:sz w:val="24"/>
        </w:rPr>
        <w:t> </w:t>
      </w:r>
      <w:r>
        <w:rPr>
          <w:i/>
          <w:sz w:val="24"/>
        </w:rPr>
        <w:t>утверждение</w:t>
      </w:r>
      <w:r>
        <w:rPr>
          <w:i/>
          <w:spacing w:val="-7"/>
          <w:sz w:val="24"/>
        </w:rPr>
        <w:t> </w:t>
      </w:r>
      <w:r>
        <w:rPr>
          <w:i/>
          <w:sz w:val="24"/>
        </w:rPr>
        <w:t>для</w:t>
      </w:r>
      <w:r>
        <w:rPr>
          <w:i/>
          <w:spacing w:val="-7"/>
          <w:sz w:val="24"/>
        </w:rPr>
        <w:t> </w:t>
      </w:r>
      <w:r>
        <w:rPr>
          <w:i/>
          <w:sz w:val="24"/>
        </w:rPr>
        <w:t>Вас.</w:t>
      </w:r>
      <w:r>
        <w:rPr>
          <w:i/>
          <w:spacing w:val="-6"/>
          <w:sz w:val="24"/>
        </w:rPr>
        <w:t> </w:t>
      </w:r>
      <w:r>
        <w:rPr>
          <w:i/>
          <w:sz w:val="24"/>
        </w:rPr>
        <w:t>Обведите</w:t>
      </w:r>
      <w:r>
        <w:rPr>
          <w:i/>
          <w:spacing w:val="-5"/>
          <w:sz w:val="24"/>
        </w:rPr>
        <w:t> </w:t>
      </w:r>
      <w:r>
        <w:rPr>
          <w:i/>
          <w:sz w:val="24"/>
        </w:rPr>
        <w:t>кружком</w:t>
      </w:r>
      <w:r>
        <w:rPr>
          <w:i/>
          <w:spacing w:val="-5"/>
          <w:sz w:val="24"/>
        </w:rPr>
        <w:t> </w:t>
      </w:r>
      <w:r>
        <w:rPr>
          <w:i/>
          <w:sz w:val="24"/>
        </w:rPr>
        <w:t>В</w:t>
      </w:r>
      <w:r>
        <w:rPr>
          <w:i/>
          <w:spacing w:val="-4"/>
          <w:sz w:val="24"/>
        </w:rPr>
        <w:t> </w:t>
      </w:r>
      <w:r>
        <w:rPr>
          <w:i/>
          <w:sz w:val="24"/>
        </w:rPr>
        <w:t>—</w:t>
      </w:r>
      <w:r>
        <w:rPr>
          <w:i/>
          <w:spacing w:val="-8"/>
          <w:sz w:val="24"/>
        </w:rPr>
        <w:t> </w:t>
      </w:r>
      <w:r>
        <w:rPr>
          <w:i/>
          <w:sz w:val="24"/>
        </w:rPr>
        <w:t>для</w:t>
      </w:r>
      <w:r>
        <w:rPr>
          <w:i/>
          <w:spacing w:val="-7"/>
          <w:sz w:val="24"/>
        </w:rPr>
        <w:t> </w:t>
      </w:r>
      <w:r>
        <w:rPr>
          <w:i/>
          <w:sz w:val="24"/>
        </w:rPr>
        <w:t>ответа</w:t>
      </w:r>
      <w:r>
        <w:rPr>
          <w:i/>
          <w:spacing w:val="-6"/>
          <w:sz w:val="24"/>
        </w:rPr>
        <w:t> </w:t>
      </w:r>
      <w:r>
        <w:rPr>
          <w:i/>
          <w:sz w:val="24"/>
        </w:rPr>
        <w:t>«верно»</w:t>
      </w:r>
      <w:r>
        <w:rPr>
          <w:i/>
          <w:spacing w:val="-6"/>
          <w:sz w:val="24"/>
        </w:rPr>
        <w:t> </w:t>
      </w:r>
      <w:r>
        <w:rPr>
          <w:i/>
          <w:sz w:val="24"/>
        </w:rPr>
        <w:t>или</w:t>
      </w:r>
      <w:r>
        <w:rPr>
          <w:i/>
          <w:spacing w:val="-6"/>
          <w:sz w:val="24"/>
        </w:rPr>
        <w:t> </w:t>
      </w:r>
      <w:r>
        <w:rPr>
          <w:i/>
          <w:sz w:val="24"/>
        </w:rPr>
        <w:t>Н</w:t>
      </w:r>
      <w:r>
        <w:rPr>
          <w:i/>
          <w:spacing w:val="-7"/>
          <w:sz w:val="24"/>
        </w:rPr>
        <w:t> </w:t>
      </w:r>
      <w:r>
        <w:rPr>
          <w:i/>
          <w:sz w:val="24"/>
        </w:rPr>
        <w:t>— для ответа «неверно».</w:t>
      </w:r>
    </w:p>
    <w:p>
      <w:pPr>
        <w:pStyle w:val="BodyText"/>
        <w:spacing w:before="1"/>
        <w:ind w:left="0" w:right="0" w:firstLine="0"/>
        <w:jc w:val="left"/>
        <w:rPr>
          <w:i/>
          <w:sz w:val="18"/>
        </w:rPr>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2"/>
        <w:gridCol w:w="6121"/>
        <w:gridCol w:w="1419"/>
        <w:gridCol w:w="1418"/>
      </w:tblGrid>
      <w:tr>
        <w:trPr>
          <w:trHeight w:val="275" w:hRule="atLeast"/>
        </w:trPr>
        <w:tc>
          <w:tcPr>
            <w:tcW w:w="542" w:type="dxa"/>
          </w:tcPr>
          <w:p>
            <w:pPr>
              <w:pStyle w:val="TableParagraph"/>
              <w:spacing w:line="256" w:lineRule="exact"/>
              <w:ind w:left="107"/>
              <w:rPr>
                <w:b/>
                <w:sz w:val="24"/>
              </w:rPr>
            </w:pPr>
            <w:r>
              <w:rPr>
                <w:b/>
                <w:spacing w:val="-10"/>
                <w:sz w:val="24"/>
              </w:rPr>
              <w:t>№</w:t>
            </w:r>
          </w:p>
        </w:tc>
        <w:tc>
          <w:tcPr>
            <w:tcW w:w="6121" w:type="dxa"/>
          </w:tcPr>
          <w:p>
            <w:pPr>
              <w:pStyle w:val="TableParagraph"/>
              <w:spacing w:line="256" w:lineRule="exact"/>
              <w:ind w:left="3"/>
              <w:jc w:val="center"/>
              <w:rPr>
                <w:b/>
                <w:sz w:val="24"/>
              </w:rPr>
            </w:pPr>
            <w:r>
              <w:rPr>
                <w:b/>
                <w:spacing w:val="-2"/>
                <w:sz w:val="24"/>
              </w:rPr>
              <w:t>Утверждение</w:t>
            </w:r>
          </w:p>
        </w:tc>
        <w:tc>
          <w:tcPr>
            <w:tcW w:w="1419" w:type="dxa"/>
          </w:tcPr>
          <w:p>
            <w:pPr>
              <w:pStyle w:val="TableParagraph"/>
              <w:spacing w:line="256" w:lineRule="exact"/>
              <w:ind w:right="368"/>
              <w:jc w:val="right"/>
              <w:rPr>
                <w:b/>
                <w:sz w:val="24"/>
              </w:rPr>
            </w:pPr>
            <w:r>
              <w:rPr>
                <w:b/>
                <w:spacing w:val="-2"/>
                <w:sz w:val="24"/>
              </w:rPr>
              <w:t>Верно</w:t>
            </w:r>
          </w:p>
        </w:tc>
        <w:tc>
          <w:tcPr>
            <w:tcW w:w="1418" w:type="dxa"/>
          </w:tcPr>
          <w:p>
            <w:pPr>
              <w:pStyle w:val="TableParagraph"/>
              <w:spacing w:line="256" w:lineRule="exact"/>
              <w:ind w:left="237"/>
              <w:rPr>
                <w:b/>
                <w:sz w:val="24"/>
              </w:rPr>
            </w:pPr>
            <w:r>
              <w:rPr>
                <w:b/>
                <w:spacing w:val="-2"/>
                <w:sz w:val="24"/>
              </w:rPr>
              <w:t>Неверно</w:t>
            </w:r>
          </w:p>
        </w:tc>
      </w:tr>
      <w:tr>
        <w:trPr>
          <w:trHeight w:val="551" w:hRule="atLeast"/>
        </w:trPr>
        <w:tc>
          <w:tcPr>
            <w:tcW w:w="542" w:type="dxa"/>
          </w:tcPr>
          <w:p>
            <w:pPr>
              <w:pStyle w:val="TableParagraph"/>
              <w:spacing w:line="268" w:lineRule="exact"/>
              <w:ind w:left="107"/>
              <w:rPr>
                <w:sz w:val="24"/>
              </w:rPr>
            </w:pPr>
            <w:r>
              <w:rPr>
                <w:spacing w:val="-10"/>
                <w:sz w:val="24"/>
              </w:rPr>
              <w:t>1</w:t>
            </w:r>
          </w:p>
        </w:tc>
        <w:tc>
          <w:tcPr>
            <w:tcW w:w="6121" w:type="dxa"/>
          </w:tcPr>
          <w:p>
            <w:pPr>
              <w:pStyle w:val="TableParagraph"/>
              <w:spacing w:line="268" w:lineRule="exact"/>
              <w:ind w:left="105"/>
              <w:rPr>
                <w:sz w:val="24"/>
              </w:rPr>
            </w:pPr>
            <w:r>
              <w:rPr>
                <w:sz w:val="24"/>
              </w:rPr>
              <w:t>Я</w:t>
            </w:r>
            <w:r>
              <w:rPr>
                <w:spacing w:val="-3"/>
                <w:sz w:val="24"/>
              </w:rPr>
              <w:t> </w:t>
            </w:r>
            <w:r>
              <w:rPr>
                <w:sz w:val="24"/>
              </w:rPr>
              <w:t>чувствую себя</w:t>
            </w:r>
            <w:r>
              <w:rPr>
                <w:spacing w:val="-3"/>
                <w:sz w:val="24"/>
              </w:rPr>
              <w:t> </w:t>
            </w:r>
            <w:r>
              <w:rPr>
                <w:sz w:val="24"/>
              </w:rPr>
              <w:t>спокойно</w:t>
            </w:r>
            <w:r>
              <w:rPr>
                <w:spacing w:val="-2"/>
                <w:sz w:val="24"/>
              </w:rPr>
              <w:t> </w:t>
            </w:r>
            <w:r>
              <w:rPr>
                <w:sz w:val="24"/>
              </w:rPr>
              <w:t>даже</w:t>
            </w:r>
            <w:r>
              <w:rPr>
                <w:spacing w:val="-5"/>
                <w:sz w:val="24"/>
              </w:rPr>
              <w:t> </w:t>
            </w:r>
            <w:r>
              <w:rPr>
                <w:sz w:val="24"/>
              </w:rPr>
              <w:t>в</w:t>
            </w:r>
            <w:r>
              <w:rPr>
                <w:spacing w:val="-3"/>
                <w:sz w:val="24"/>
              </w:rPr>
              <w:t> </w:t>
            </w:r>
            <w:r>
              <w:rPr>
                <w:sz w:val="24"/>
              </w:rPr>
              <w:t>ранее</w:t>
            </w:r>
            <w:r>
              <w:rPr>
                <w:spacing w:val="-3"/>
                <w:sz w:val="24"/>
              </w:rPr>
              <w:t> </w:t>
            </w:r>
            <w:r>
              <w:rPr>
                <w:spacing w:val="-2"/>
                <w:sz w:val="24"/>
              </w:rPr>
              <w:t>незнакомых</w:t>
            </w:r>
          </w:p>
          <w:p>
            <w:pPr>
              <w:pStyle w:val="TableParagraph"/>
              <w:spacing w:line="264" w:lineRule="exact"/>
              <w:ind w:left="105"/>
              <w:rPr>
                <w:sz w:val="24"/>
              </w:rPr>
            </w:pPr>
            <w:r>
              <w:rPr>
                <w:sz w:val="24"/>
              </w:rPr>
              <w:t>социальных</w:t>
            </w:r>
            <w:r>
              <w:rPr>
                <w:spacing w:val="-5"/>
                <w:sz w:val="24"/>
              </w:rPr>
              <w:t> </w:t>
            </w:r>
            <w:r>
              <w:rPr>
                <w:spacing w:val="-2"/>
                <w:sz w:val="24"/>
              </w:rPr>
              <w:t>ситуациях</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left="813"/>
              <w:rPr>
                <w:sz w:val="24"/>
              </w:rPr>
            </w:pPr>
            <w:r>
              <w:rPr>
                <w:spacing w:val="-10"/>
                <w:sz w:val="24"/>
              </w:rPr>
              <w:t>Н</w:t>
            </w:r>
          </w:p>
        </w:tc>
      </w:tr>
      <w:tr>
        <w:trPr>
          <w:trHeight w:val="551" w:hRule="atLeast"/>
        </w:trPr>
        <w:tc>
          <w:tcPr>
            <w:tcW w:w="542" w:type="dxa"/>
          </w:tcPr>
          <w:p>
            <w:pPr>
              <w:pStyle w:val="TableParagraph"/>
              <w:spacing w:line="268" w:lineRule="exact"/>
              <w:ind w:left="107"/>
              <w:rPr>
                <w:sz w:val="24"/>
              </w:rPr>
            </w:pPr>
            <w:r>
              <w:rPr>
                <w:spacing w:val="-10"/>
                <w:sz w:val="24"/>
              </w:rPr>
              <w:t>2</w:t>
            </w:r>
          </w:p>
        </w:tc>
        <w:tc>
          <w:tcPr>
            <w:tcW w:w="6121" w:type="dxa"/>
          </w:tcPr>
          <w:p>
            <w:pPr>
              <w:pStyle w:val="TableParagraph"/>
              <w:spacing w:line="268" w:lineRule="exact"/>
              <w:ind w:left="105"/>
              <w:rPr>
                <w:sz w:val="24"/>
              </w:rPr>
            </w:pPr>
            <w:r>
              <w:rPr>
                <w:sz w:val="24"/>
              </w:rPr>
              <w:t>Я</w:t>
            </w:r>
            <w:r>
              <w:rPr>
                <w:spacing w:val="-5"/>
                <w:sz w:val="24"/>
              </w:rPr>
              <w:t> </w:t>
            </w:r>
            <w:r>
              <w:rPr>
                <w:sz w:val="24"/>
              </w:rPr>
              <w:t>стараюсь</w:t>
            </w:r>
            <w:r>
              <w:rPr>
                <w:spacing w:val="-2"/>
                <w:sz w:val="24"/>
              </w:rPr>
              <w:t> </w:t>
            </w:r>
            <w:r>
              <w:rPr>
                <w:sz w:val="24"/>
              </w:rPr>
              <w:t>избегать</w:t>
            </w:r>
            <w:r>
              <w:rPr>
                <w:spacing w:val="-2"/>
                <w:sz w:val="24"/>
              </w:rPr>
              <w:t> </w:t>
            </w:r>
            <w:r>
              <w:rPr>
                <w:sz w:val="24"/>
              </w:rPr>
              <w:t>ситуаций,</w:t>
            </w:r>
            <w:r>
              <w:rPr>
                <w:spacing w:val="-2"/>
                <w:sz w:val="24"/>
              </w:rPr>
              <w:t> </w:t>
            </w:r>
            <w:r>
              <w:rPr>
                <w:sz w:val="24"/>
              </w:rPr>
              <w:t>в</w:t>
            </w:r>
            <w:r>
              <w:rPr>
                <w:spacing w:val="-4"/>
                <w:sz w:val="24"/>
              </w:rPr>
              <w:t> </w:t>
            </w:r>
            <w:r>
              <w:rPr>
                <w:sz w:val="24"/>
              </w:rPr>
              <w:t>которых я</w:t>
            </w:r>
            <w:r>
              <w:rPr>
                <w:spacing w:val="-2"/>
                <w:sz w:val="24"/>
              </w:rPr>
              <w:t> вынужден</w:t>
            </w:r>
          </w:p>
          <w:p>
            <w:pPr>
              <w:pStyle w:val="TableParagraph"/>
              <w:spacing w:line="264" w:lineRule="exact"/>
              <w:ind w:left="105"/>
              <w:rPr>
                <w:sz w:val="24"/>
              </w:rPr>
            </w:pPr>
            <w:r>
              <w:rPr>
                <w:sz w:val="24"/>
              </w:rPr>
              <w:t>быть</w:t>
            </w:r>
            <w:r>
              <w:rPr>
                <w:spacing w:val="-2"/>
                <w:sz w:val="24"/>
              </w:rPr>
              <w:t> </w:t>
            </w:r>
            <w:r>
              <w:rPr>
                <w:sz w:val="24"/>
              </w:rPr>
              <w:t>очень</w:t>
            </w:r>
            <w:r>
              <w:rPr>
                <w:spacing w:val="-2"/>
                <w:sz w:val="24"/>
              </w:rPr>
              <w:t> общительным</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left="813"/>
              <w:rPr>
                <w:sz w:val="24"/>
              </w:rPr>
            </w:pPr>
            <w:r>
              <w:rPr>
                <w:spacing w:val="-10"/>
                <w:sz w:val="24"/>
              </w:rPr>
              <w:t>Н</w:t>
            </w:r>
          </w:p>
        </w:tc>
      </w:tr>
      <w:tr>
        <w:trPr>
          <w:trHeight w:val="554" w:hRule="atLeast"/>
        </w:trPr>
        <w:tc>
          <w:tcPr>
            <w:tcW w:w="542" w:type="dxa"/>
          </w:tcPr>
          <w:p>
            <w:pPr>
              <w:pStyle w:val="TableParagraph"/>
              <w:spacing w:line="271" w:lineRule="exact"/>
              <w:ind w:left="107"/>
              <w:rPr>
                <w:sz w:val="24"/>
              </w:rPr>
            </w:pPr>
            <w:r>
              <w:rPr>
                <w:spacing w:val="-10"/>
                <w:sz w:val="24"/>
              </w:rPr>
              <w:t>3</w:t>
            </w:r>
          </w:p>
        </w:tc>
        <w:tc>
          <w:tcPr>
            <w:tcW w:w="6121" w:type="dxa"/>
          </w:tcPr>
          <w:p>
            <w:pPr>
              <w:pStyle w:val="TableParagraph"/>
              <w:spacing w:line="271" w:lineRule="exact"/>
              <w:ind w:left="105"/>
              <w:rPr>
                <w:sz w:val="24"/>
              </w:rPr>
            </w:pPr>
            <w:r>
              <w:rPr>
                <w:sz w:val="24"/>
              </w:rPr>
              <w:t>Мне</w:t>
            </w:r>
            <w:r>
              <w:rPr>
                <w:spacing w:val="-5"/>
                <w:sz w:val="24"/>
              </w:rPr>
              <w:t> </w:t>
            </w:r>
            <w:r>
              <w:rPr>
                <w:sz w:val="24"/>
              </w:rPr>
              <w:t>легко</w:t>
            </w:r>
            <w:r>
              <w:rPr>
                <w:spacing w:val="-2"/>
                <w:sz w:val="24"/>
              </w:rPr>
              <w:t> </w:t>
            </w:r>
            <w:r>
              <w:rPr>
                <w:sz w:val="24"/>
              </w:rPr>
              <w:t>чувствовать себя</w:t>
            </w:r>
            <w:r>
              <w:rPr>
                <w:spacing w:val="-2"/>
                <w:sz w:val="24"/>
              </w:rPr>
              <w:t> </w:t>
            </w:r>
            <w:r>
              <w:rPr>
                <w:sz w:val="24"/>
              </w:rPr>
              <w:t>спокойно</w:t>
            </w:r>
            <w:r>
              <w:rPr>
                <w:spacing w:val="-2"/>
                <w:sz w:val="24"/>
              </w:rPr>
              <w:t> </w:t>
            </w:r>
            <w:r>
              <w:rPr>
                <w:sz w:val="24"/>
              </w:rPr>
              <w:t>с</w:t>
            </w:r>
            <w:r>
              <w:rPr>
                <w:spacing w:val="-2"/>
                <w:sz w:val="24"/>
              </w:rPr>
              <w:t> незнакомыми</w:t>
            </w:r>
          </w:p>
          <w:p>
            <w:pPr>
              <w:pStyle w:val="TableParagraph"/>
              <w:spacing w:line="264" w:lineRule="exact"/>
              <w:ind w:left="105"/>
              <w:rPr>
                <w:sz w:val="24"/>
              </w:rPr>
            </w:pPr>
            <w:r>
              <w:rPr>
                <w:spacing w:val="-2"/>
                <w:sz w:val="24"/>
              </w:rPr>
              <w:t>людьми</w:t>
            </w:r>
          </w:p>
        </w:tc>
        <w:tc>
          <w:tcPr>
            <w:tcW w:w="1419" w:type="dxa"/>
          </w:tcPr>
          <w:p>
            <w:pPr>
              <w:pStyle w:val="TableParagraph"/>
              <w:spacing w:line="271" w:lineRule="exact"/>
              <w:ind w:right="430"/>
              <w:jc w:val="right"/>
              <w:rPr>
                <w:sz w:val="24"/>
              </w:rPr>
            </w:pPr>
            <w:r>
              <w:rPr>
                <w:spacing w:val="-10"/>
                <w:sz w:val="24"/>
              </w:rPr>
              <w:t>В</w:t>
            </w:r>
          </w:p>
        </w:tc>
        <w:tc>
          <w:tcPr>
            <w:tcW w:w="1418" w:type="dxa"/>
          </w:tcPr>
          <w:p>
            <w:pPr>
              <w:pStyle w:val="TableParagraph"/>
              <w:spacing w:line="271" w:lineRule="exact"/>
              <w:ind w:left="813"/>
              <w:rPr>
                <w:sz w:val="24"/>
              </w:rPr>
            </w:pPr>
            <w:r>
              <w:rPr>
                <w:spacing w:val="-10"/>
                <w:sz w:val="24"/>
              </w:rPr>
              <w:t>Н</w:t>
            </w:r>
          </w:p>
        </w:tc>
      </w:tr>
      <w:tr>
        <w:trPr>
          <w:trHeight w:val="275" w:hRule="atLeast"/>
        </w:trPr>
        <w:tc>
          <w:tcPr>
            <w:tcW w:w="542" w:type="dxa"/>
          </w:tcPr>
          <w:p>
            <w:pPr>
              <w:pStyle w:val="TableParagraph"/>
              <w:spacing w:line="256" w:lineRule="exact"/>
              <w:ind w:left="107"/>
              <w:rPr>
                <w:sz w:val="24"/>
              </w:rPr>
            </w:pPr>
            <w:r>
              <w:rPr>
                <w:spacing w:val="-10"/>
                <w:sz w:val="24"/>
              </w:rPr>
              <w:t>4</w:t>
            </w:r>
          </w:p>
        </w:tc>
        <w:tc>
          <w:tcPr>
            <w:tcW w:w="6121" w:type="dxa"/>
          </w:tcPr>
          <w:p>
            <w:pPr>
              <w:pStyle w:val="TableParagraph"/>
              <w:spacing w:line="256" w:lineRule="exact"/>
              <w:ind w:left="105"/>
              <w:rPr>
                <w:sz w:val="24"/>
              </w:rPr>
            </w:pPr>
            <w:r>
              <w:rPr>
                <w:sz w:val="24"/>
              </w:rPr>
              <w:t>Я</w:t>
            </w:r>
            <w:r>
              <w:rPr>
                <w:spacing w:val="-2"/>
                <w:sz w:val="24"/>
              </w:rPr>
              <w:t> </w:t>
            </w:r>
            <w:r>
              <w:rPr>
                <w:sz w:val="24"/>
              </w:rPr>
              <w:t>не</w:t>
            </w:r>
            <w:r>
              <w:rPr>
                <w:spacing w:val="-3"/>
                <w:sz w:val="24"/>
              </w:rPr>
              <w:t> </w:t>
            </w:r>
            <w:r>
              <w:rPr>
                <w:sz w:val="24"/>
              </w:rPr>
              <w:t>стремлюсь</w:t>
            </w:r>
            <w:r>
              <w:rPr>
                <w:spacing w:val="-2"/>
                <w:sz w:val="24"/>
              </w:rPr>
              <w:t> </w:t>
            </w:r>
            <w:r>
              <w:rPr>
                <w:sz w:val="24"/>
              </w:rPr>
              <w:t>избегать</w:t>
            </w:r>
            <w:r>
              <w:rPr>
                <w:spacing w:val="-2"/>
                <w:sz w:val="24"/>
              </w:rPr>
              <w:t> </w:t>
            </w:r>
            <w:r>
              <w:rPr>
                <w:spacing w:val="-4"/>
                <w:sz w:val="24"/>
              </w:rPr>
              <w:t>людей</w:t>
            </w:r>
          </w:p>
        </w:tc>
        <w:tc>
          <w:tcPr>
            <w:tcW w:w="1419" w:type="dxa"/>
          </w:tcPr>
          <w:p>
            <w:pPr>
              <w:pStyle w:val="TableParagraph"/>
              <w:spacing w:line="256" w:lineRule="exact"/>
              <w:ind w:right="430"/>
              <w:jc w:val="right"/>
              <w:rPr>
                <w:sz w:val="24"/>
              </w:rPr>
            </w:pPr>
            <w:r>
              <w:rPr>
                <w:spacing w:val="-10"/>
                <w:sz w:val="24"/>
              </w:rPr>
              <w:t>В</w:t>
            </w:r>
          </w:p>
        </w:tc>
        <w:tc>
          <w:tcPr>
            <w:tcW w:w="1418" w:type="dxa"/>
          </w:tcPr>
          <w:p>
            <w:pPr>
              <w:pStyle w:val="TableParagraph"/>
              <w:spacing w:line="256" w:lineRule="exact"/>
              <w:ind w:left="813"/>
              <w:rPr>
                <w:sz w:val="24"/>
              </w:rPr>
            </w:pPr>
            <w:r>
              <w:rPr>
                <w:spacing w:val="-10"/>
                <w:sz w:val="24"/>
              </w:rPr>
              <w:t>Н</w:t>
            </w:r>
          </w:p>
        </w:tc>
      </w:tr>
      <w:tr>
        <w:trPr>
          <w:trHeight w:val="551" w:hRule="atLeast"/>
        </w:trPr>
        <w:tc>
          <w:tcPr>
            <w:tcW w:w="542" w:type="dxa"/>
          </w:tcPr>
          <w:p>
            <w:pPr>
              <w:pStyle w:val="TableParagraph"/>
              <w:spacing w:line="268" w:lineRule="exact"/>
              <w:ind w:left="107"/>
              <w:rPr>
                <w:sz w:val="24"/>
              </w:rPr>
            </w:pPr>
            <w:r>
              <w:rPr>
                <w:spacing w:val="-10"/>
                <w:sz w:val="24"/>
              </w:rPr>
              <w:t>5</w:t>
            </w:r>
          </w:p>
        </w:tc>
        <w:tc>
          <w:tcPr>
            <w:tcW w:w="6121" w:type="dxa"/>
          </w:tcPr>
          <w:p>
            <w:pPr>
              <w:pStyle w:val="TableParagraph"/>
              <w:spacing w:line="268" w:lineRule="exact"/>
              <w:ind w:left="105"/>
              <w:rPr>
                <w:sz w:val="24"/>
              </w:rPr>
            </w:pPr>
            <w:r>
              <w:rPr>
                <w:sz w:val="24"/>
              </w:rPr>
              <w:t>Ситуации</w:t>
            </w:r>
            <w:r>
              <w:rPr>
                <w:spacing w:val="-4"/>
                <w:sz w:val="24"/>
              </w:rPr>
              <w:t> </w:t>
            </w:r>
            <w:r>
              <w:rPr>
                <w:sz w:val="24"/>
              </w:rPr>
              <w:t>общения</w:t>
            </w:r>
            <w:r>
              <w:rPr>
                <w:spacing w:val="-4"/>
                <w:sz w:val="24"/>
              </w:rPr>
              <w:t> </w:t>
            </w:r>
            <w:r>
              <w:rPr>
                <w:sz w:val="24"/>
              </w:rPr>
              <w:t>часто</w:t>
            </w:r>
            <w:r>
              <w:rPr>
                <w:spacing w:val="-3"/>
                <w:sz w:val="24"/>
              </w:rPr>
              <w:t> </w:t>
            </w:r>
            <w:r>
              <w:rPr>
                <w:sz w:val="24"/>
              </w:rPr>
              <w:t>кажутся</w:t>
            </w:r>
            <w:r>
              <w:rPr>
                <w:spacing w:val="-4"/>
                <w:sz w:val="24"/>
              </w:rPr>
              <w:t> </w:t>
            </w:r>
            <w:r>
              <w:rPr>
                <w:sz w:val="24"/>
              </w:rPr>
              <w:t>мне</w:t>
            </w:r>
            <w:r>
              <w:rPr>
                <w:spacing w:val="-4"/>
                <w:sz w:val="24"/>
              </w:rPr>
              <w:t> очень</w:t>
            </w:r>
          </w:p>
          <w:p>
            <w:pPr>
              <w:pStyle w:val="TableParagraph"/>
              <w:spacing w:line="264" w:lineRule="exact"/>
              <w:ind w:left="105"/>
              <w:rPr>
                <w:sz w:val="24"/>
              </w:rPr>
            </w:pPr>
            <w:r>
              <w:rPr>
                <w:spacing w:val="-2"/>
                <w:sz w:val="24"/>
              </w:rPr>
              <w:t>мучительными</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left="813"/>
              <w:rPr>
                <w:sz w:val="24"/>
              </w:rPr>
            </w:pPr>
            <w:r>
              <w:rPr>
                <w:spacing w:val="-10"/>
                <w:sz w:val="24"/>
              </w:rPr>
              <w:t>Н</w:t>
            </w:r>
          </w:p>
        </w:tc>
      </w:tr>
      <w:tr>
        <w:trPr>
          <w:trHeight w:val="551" w:hRule="atLeast"/>
        </w:trPr>
        <w:tc>
          <w:tcPr>
            <w:tcW w:w="542" w:type="dxa"/>
          </w:tcPr>
          <w:p>
            <w:pPr>
              <w:pStyle w:val="TableParagraph"/>
              <w:spacing w:line="268" w:lineRule="exact"/>
              <w:ind w:left="107"/>
              <w:rPr>
                <w:sz w:val="24"/>
              </w:rPr>
            </w:pPr>
            <w:r>
              <w:rPr>
                <w:spacing w:val="-10"/>
                <w:sz w:val="24"/>
              </w:rPr>
              <w:t>6</w:t>
            </w:r>
          </w:p>
        </w:tc>
        <w:tc>
          <w:tcPr>
            <w:tcW w:w="6121" w:type="dxa"/>
          </w:tcPr>
          <w:p>
            <w:pPr>
              <w:pStyle w:val="TableParagraph"/>
              <w:spacing w:line="268" w:lineRule="exact"/>
              <w:ind w:left="105"/>
              <w:rPr>
                <w:sz w:val="24"/>
              </w:rPr>
            </w:pPr>
            <w:r>
              <w:rPr>
                <w:sz w:val="24"/>
              </w:rPr>
              <w:t>Обычно</w:t>
            </w:r>
            <w:r>
              <w:rPr>
                <w:spacing w:val="-5"/>
                <w:sz w:val="24"/>
              </w:rPr>
              <w:t> </w:t>
            </w:r>
            <w:r>
              <w:rPr>
                <w:sz w:val="24"/>
              </w:rPr>
              <w:t>я</w:t>
            </w:r>
            <w:r>
              <w:rPr>
                <w:spacing w:val="-2"/>
                <w:sz w:val="24"/>
              </w:rPr>
              <w:t> </w:t>
            </w:r>
            <w:r>
              <w:rPr>
                <w:sz w:val="24"/>
              </w:rPr>
              <w:t>чувствую</w:t>
            </w:r>
            <w:r>
              <w:rPr>
                <w:spacing w:val="-2"/>
                <w:sz w:val="24"/>
              </w:rPr>
              <w:t> </w:t>
            </w:r>
            <w:r>
              <w:rPr>
                <w:sz w:val="24"/>
              </w:rPr>
              <w:t>себя</w:t>
            </w:r>
            <w:r>
              <w:rPr>
                <w:spacing w:val="-3"/>
                <w:sz w:val="24"/>
              </w:rPr>
              <w:t> </w:t>
            </w:r>
            <w:r>
              <w:rPr>
                <w:sz w:val="24"/>
              </w:rPr>
              <w:t>вполне</w:t>
            </w:r>
            <w:r>
              <w:rPr>
                <w:spacing w:val="-3"/>
                <w:sz w:val="24"/>
              </w:rPr>
              <w:t> </w:t>
            </w:r>
            <w:r>
              <w:rPr>
                <w:sz w:val="24"/>
              </w:rPr>
              <w:t>спокойно</w:t>
            </w:r>
            <w:r>
              <w:rPr>
                <w:spacing w:val="-2"/>
                <w:sz w:val="24"/>
              </w:rPr>
              <w:t> </w:t>
            </w:r>
            <w:r>
              <w:rPr>
                <w:sz w:val="24"/>
              </w:rPr>
              <w:t>и</w:t>
            </w:r>
            <w:r>
              <w:rPr>
                <w:spacing w:val="-4"/>
                <w:sz w:val="24"/>
              </w:rPr>
              <w:t> </w:t>
            </w:r>
            <w:r>
              <w:rPr>
                <w:sz w:val="24"/>
              </w:rPr>
              <w:t>комфортно</w:t>
            </w:r>
            <w:r>
              <w:rPr>
                <w:spacing w:val="-2"/>
                <w:sz w:val="24"/>
              </w:rPr>
              <w:t> </w:t>
            </w:r>
            <w:r>
              <w:rPr>
                <w:spacing w:val="-10"/>
                <w:sz w:val="24"/>
              </w:rPr>
              <w:t>в</w:t>
            </w:r>
          </w:p>
          <w:p>
            <w:pPr>
              <w:pStyle w:val="TableParagraph"/>
              <w:spacing w:line="264" w:lineRule="exact"/>
              <w:ind w:left="105"/>
              <w:rPr>
                <w:sz w:val="24"/>
              </w:rPr>
            </w:pPr>
            <w:r>
              <w:rPr>
                <w:sz w:val="24"/>
              </w:rPr>
              <w:t>ситуациях</w:t>
            </w:r>
            <w:r>
              <w:rPr>
                <w:spacing w:val="-3"/>
                <w:sz w:val="24"/>
              </w:rPr>
              <w:t> </w:t>
            </w:r>
            <w:r>
              <w:rPr>
                <w:spacing w:val="-2"/>
                <w:sz w:val="24"/>
              </w:rPr>
              <w:t>общения</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left="813"/>
              <w:rPr>
                <w:sz w:val="24"/>
              </w:rPr>
            </w:pPr>
            <w:r>
              <w:rPr>
                <w:spacing w:val="-10"/>
                <w:sz w:val="24"/>
              </w:rPr>
              <w:t>Н</w:t>
            </w:r>
          </w:p>
        </w:tc>
      </w:tr>
      <w:tr>
        <w:trPr>
          <w:trHeight w:val="551" w:hRule="atLeast"/>
        </w:trPr>
        <w:tc>
          <w:tcPr>
            <w:tcW w:w="542" w:type="dxa"/>
          </w:tcPr>
          <w:p>
            <w:pPr>
              <w:pStyle w:val="TableParagraph"/>
              <w:spacing w:line="268" w:lineRule="exact"/>
              <w:ind w:left="107"/>
              <w:rPr>
                <w:sz w:val="24"/>
              </w:rPr>
            </w:pPr>
            <w:r>
              <w:rPr>
                <w:spacing w:val="-10"/>
                <w:sz w:val="24"/>
              </w:rPr>
              <w:t>7</w:t>
            </w:r>
          </w:p>
        </w:tc>
        <w:tc>
          <w:tcPr>
            <w:tcW w:w="6121" w:type="dxa"/>
          </w:tcPr>
          <w:p>
            <w:pPr>
              <w:pStyle w:val="TableParagraph"/>
              <w:spacing w:line="268" w:lineRule="exact"/>
              <w:ind w:left="105"/>
              <w:rPr>
                <w:sz w:val="24"/>
              </w:rPr>
            </w:pPr>
            <w:r>
              <w:rPr>
                <w:sz w:val="24"/>
              </w:rPr>
              <w:t>Обычно</w:t>
            </w:r>
            <w:r>
              <w:rPr>
                <w:spacing w:val="-4"/>
                <w:sz w:val="24"/>
              </w:rPr>
              <w:t> </w:t>
            </w:r>
            <w:r>
              <w:rPr>
                <w:sz w:val="24"/>
              </w:rPr>
              <w:t>мне</w:t>
            </w:r>
            <w:r>
              <w:rPr>
                <w:spacing w:val="-2"/>
                <w:sz w:val="24"/>
              </w:rPr>
              <w:t> </w:t>
            </w:r>
            <w:r>
              <w:rPr>
                <w:sz w:val="24"/>
              </w:rPr>
              <w:t>легко</w:t>
            </w:r>
            <w:r>
              <w:rPr>
                <w:spacing w:val="-1"/>
                <w:sz w:val="24"/>
              </w:rPr>
              <w:t> </w:t>
            </w:r>
            <w:r>
              <w:rPr>
                <w:sz w:val="24"/>
              </w:rPr>
              <w:t>вести</w:t>
            </w:r>
            <w:r>
              <w:rPr>
                <w:spacing w:val="-1"/>
                <w:sz w:val="24"/>
              </w:rPr>
              <w:t> </w:t>
            </w:r>
            <w:r>
              <w:rPr>
                <w:sz w:val="24"/>
              </w:rPr>
              <w:t>беседу</w:t>
            </w:r>
            <w:r>
              <w:rPr>
                <w:spacing w:val="-3"/>
                <w:sz w:val="24"/>
              </w:rPr>
              <w:t> </w:t>
            </w:r>
            <w:r>
              <w:rPr>
                <w:sz w:val="24"/>
              </w:rPr>
              <w:t>с</w:t>
            </w:r>
            <w:r>
              <w:rPr>
                <w:spacing w:val="-2"/>
                <w:sz w:val="24"/>
              </w:rPr>
              <w:t> человеком</w:t>
            </w:r>
          </w:p>
          <w:p>
            <w:pPr>
              <w:pStyle w:val="TableParagraph"/>
              <w:spacing w:line="264" w:lineRule="exact"/>
              <w:ind w:left="105"/>
              <w:rPr>
                <w:sz w:val="24"/>
              </w:rPr>
            </w:pPr>
            <w:r>
              <w:rPr>
                <w:sz w:val="24"/>
              </w:rPr>
              <w:t>противоположного</w:t>
            </w:r>
            <w:r>
              <w:rPr>
                <w:spacing w:val="-9"/>
                <w:sz w:val="24"/>
              </w:rPr>
              <w:t> </w:t>
            </w:r>
            <w:r>
              <w:rPr>
                <w:spacing w:val="-4"/>
                <w:sz w:val="24"/>
              </w:rPr>
              <w:t>пола</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left="813"/>
              <w:rPr>
                <w:sz w:val="24"/>
              </w:rPr>
            </w:pPr>
            <w:r>
              <w:rPr>
                <w:spacing w:val="-10"/>
                <w:sz w:val="24"/>
              </w:rPr>
              <w:t>Н</w:t>
            </w:r>
          </w:p>
        </w:tc>
      </w:tr>
      <w:tr>
        <w:trPr>
          <w:trHeight w:val="551" w:hRule="atLeast"/>
        </w:trPr>
        <w:tc>
          <w:tcPr>
            <w:tcW w:w="542" w:type="dxa"/>
          </w:tcPr>
          <w:p>
            <w:pPr>
              <w:pStyle w:val="TableParagraph"/>
              <w:spacing w:line="268" w:lineRule="exact"/>
              <w:ind w:left="107"/>
              <w:rPr>
                <w:sz w:val="24"/>
              </w:rPr>
            </w:pPr>
            <w:r>
              <w:rPr>
                <w:spacing w:val="-10"/>
                <w:sz w:val="24"/>
              </w:rPr>
              <w:t>8</w:t>
            </w:r>
          </w:p>
        </w:tc>
        <w:tc>
          <w:tcPr>
            <w:tcW w:w="6121" w:type="dxa"/>
          </w:tcPr>
          <w:p>
            <w:pPr>
              <w:pStyle w:val="TableParagraph"/>
              <w:spacing w:line="268" w:lineRule="exact"/>
              <w:ind w:left="105"/>
              <w:rPr>
                <w:sz w:val="24"/>
              </w:rPr>
            </w:pPr>
            <w:r>
              <w:rPr>
                <w:sz w:val="24"/>
              </w:rPr>
              <w:t>Я</w:t>
            </w:r>
            <w:r>
              <w:rPr>
                <w:spacing w:val="-5"/>
                <w:sz w:val="24"/>
              </w:rPr>
              <w:t> </w:t>
            </w:r>
            <w:r>
              <w:rPr>
                <w:sz w:val="24"/>
              </w:rPr>
              <w:t>стараюсь</w:t>
            </w:r>
            <w:r>
              <w:rPr>
                <w:spacing w:val="-2"/>
                <w:sz w:val="24"/>
              </w:rPr>
              <w:t> </w:t>
            </w:r>
            <w:r>
              <w:rPr>
                <w:sz w:val="24"/>
              </w:rPr>
              <w:t>избегать</w:t>
            </w:r>
            <w:r>
              <w:rPr>
                <w:spacing w:val="-2"/>
                <w:sz w:val="24"/>
              </w:rPr>
              <w:t> </w:t>
            </w:r>
            <w:r>
              <w:rPr>
                <w:sz w:val="24"/>
              </w:rPr>
              <w:t>разговоров</w:t>
            </w:r>
            <w:r>
              <w:rPr>
                <w:spacing w:val="-3"/>
                <w:sz w:val="24"/>
              </w:rPr>
              <w:t> </w:t>
            </w:r>
            <w:r>
              <w:rPr>
                <w:sz w:val="24"/>
              </w:rPr>
              <w:t>с</w:t>
            </w:r>
            <w:r>
              <w:rPr>
                <w:spacing w:val="-4"/>
                <w:sz w:val="24"/>
              </w:rPr>
              <w:t> </w:t>
            </w:r>
            <w:r>
              <w:rPr>
                <w:sz w:val="24"/>
              </w:rPr>
              <w:t>людьми</w:t>
            </w:r>
            <w:r>
              <w:rPr>
                <w:spacing w:val="-2"/>
                <w:sz w:val="24"/>
              </w:rPr>
              <w:t> </w:t>
            </w:r>
            <w:r>
              <w:rPr>
                <w:sz w:val="24"/>
              </w:rPr>
              <w:t>до</w:t>
            </w:r>
            <w:r>
              <w:rPr>
                <w:spacing w:val="-3"/>
                <w:sz w:val="24"/>
              </w:rPr>
              <w:t> </w:t>
            </w:r>
            <w:r>
              <w:rPr>
                <w:sz w:val="24"/>
              </w:rPr>
              <w:t>тех </w:t>
            </w:r>
            <w:r>
              <w:rPr>
                <w:spacing w:val="-4"/>
                <w:sz w:val="24"/>
              </w:rPr>
              <w:t>пор,</w:t>
            </w:r>
          </w:p>
          <w:p>
            <w:pPr>
              <w:pStyle w:val="TableParagraph"/>
              <w:spacing w:line="264" w:lineRule="exact"/>
              <w:ind w:left="105"/>
              <w:rPr>
                <w:sz w:val="24"/>
              </w:rPr>
            </w:pPr>
            <w:r>
              <w:rPr>
                <w:sz w:val="24"/>
              </w:rPr>
              <w:t>пока</w:t>
            </w:r>
            <w:r>
              <w:rPr>
                <w:spacing w:val="-4"/>
                <w:sz w:val="24"/>
              </w:rPr>
              <w:t> </w:t>
            </w:r>
            <w:r>
              <w:rPr>
                <w:sz w:val="24"/>
              </w:rPr>
              <w:t>не</w:t>
            </w:r>
            <w:r>
              <w:rPr>
                <w:spacing w:val="-1"/>
                <w:sz w:val="24"/>
              </w:rPr>
              <w:t> </w:t>
            </w:r>
            <w:r>
              <w:rPr>
                <w:sz w:val="24"/>
              </w:rPr>
              <w:t>узнаю</w:t>
            </w:r>
            <w:r>
              <w:rPr>
                <w:spacing w:val="-2"/>
                <w:sz w:val="24"/>
              </w:rPr>
              <w:t> </w:t>
            </w:r>
            <w:r>
              <w:rPr>
                <w:sz w:val="24"/>
              </w:rPr>
              <w:t>их</w:t>
            </w:r>
            <w:r>
              <w:rPr>
                <w:spacing w:val="-3"/>
                <w:sz w:val="24"/>
              </w:rPr>
              <w:t> </w:t>
            </w:r>
            <w:r>
              <w:rPr>
                <w:spacing w:val="-2"/>
                <w:sz w:val="24"/>
              </w:rPr>
              <w:t>хорошо</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left="813"/>
              <w:rPr>
                <w:sz w:val="24"/>
              </w:rPr>
            </w:pPr>
            <w:r>
              <w:rPr>
                <w:spacing w:val="-10"/>
                <w:sz w:val="24"/>
              </w:rPr>
              <w:t>Н</w:t>
            </w:r>
          </w:p>
        </w:tc>
      </w:tr>
      <w:tr>
        <w:trPr>
          <w:trHeight w:val="552" w:hRule="atLeast"/>
        </w:trPr>
        <w:tc>
          <w:tcPr>
            <w:tcW w:w="542" w:type="dxa"/>
          </w:tcPr>
          <w:p>
            <w:pPr>
              <w:pStyle w:val="TableParagraph"/>
              <w:spacing w:line="268" w:lineRule="exact"/>
              <w:ind w:left="107"/>
              <w:rPr>
                <w:sz w:val="24"/>
              </w:rPr>
            </w:pPr>
            <w:r>
              <w:rPr>
                <w:spacing w:val="-10"/>
                <w:sz w:val="24"/>
              </w:rPr>
              <w:t>9</w:t>
            </w:r>
          </w:p>
        </w:tc>
        <w:tc>
          <w:tcPr>
            <w:tcW w:w="6121" w:type="dxa"/>
          </w:tcPr>
          <w:p>
            <w:pPr>
              <w:pStyle w:val="TableParagraph"/>
              <w:spacing w:line="268" w:lineRule="exact"/>
              <w:ind w:left="105"/>
              <w:rPr>
                <w:sz w:val="24"/>
              </w:rPr>
            </w:pPr>
            <w:r>
              <w:rPr>
                <w:sz w:val="24"/>
              </w:rPr>
              <w:t>Если</w:t>
            </w:r>
            <w:r>
              <w:rPr>
                <w:spacing w:val="-2"/>
                <w:sz w:val="24"/>
              </w:rPr>
              <w:t> </w:t>
            </w:r>
            <w:r>
              <w:rPr>
                <w:sz w:val="24"/>
              </w:rPr>
              <w:t>мне</w:t>
            </w:r>
            <w:r>
              <w:rPr>
                <w:spacing w:val="-4"/>
                <w:sz w:val="24"/>
              </w:rPr>
              <w:t> </w:t>
            </w:r>
            <w:r>
              <w:rPr>
                <w:sz w:val="24"/>
              </w:rPr>
              <w:t>приходится</w:t>
            </w:r>
            <w:r>
              <w:rPr>
                <w:spacing w:val="-3"/>
                <w:sz w:val="24"/>
              </w:rPr>
              <w:t> </w:t>
            </w:r>
            <w:r>
              <w:rPr>
                <w:sz w:val="24"/>
              </w:rPr>
              <w:t>знакомиться</w:t>
            </w:r>
            <w:r>
              <w:rPr>
                <w:spacing w:val="-3"/>
                <w:sz w:val="24"/>
              </w:rPr>
              <w:t> </w:t>
            </w:r>
            <w:r>
              <w:rPr>
                <w:sz w:val="24"/>
              </w:rPr>
              <w:t>с</w:t>
            </w:r>
            <w:r>
              <w:rPr>
                <w:spacing w:val="-4"/>
                <w:sz w:val="24"/>
              </w:rPr>
              <w:t> </w:t>
            </w:r>
            <w:r>
              <w:rPr>
                <w:sz w:val="24"/>
              </w:rPr>
              <w:t>новыми</w:t>
            </w:r>
            <w:r>
              <w:rPr>
                <w:spacing w:val="-3"/>
                <w:sz w:val="24"/>
              </w:rPr>
              <w:t> </w:t>
            </w:r>
            <w:r>
              <w:rPr>
                <w:sz w:val="24"/>
              </w:rPr>
              <w:t>людьми,</w:t>
            </w:r>
            <w:r>
              <w:rPr>
                <w:spacing w:val="-2"/>
                <w:sz w:val="24"/>
              </w:rPr>
              <w:t> </w:t>
            </w:r>
            <w:r>
              <w:rPr>
                <w:spacing w:val="-5"/>
                <w:sz w:val="24"/>
              </w:rPr>
              <w:t>я,</w:t>
            </w:r>
          </w:p>
          <w:p>
            <w:pPr>
              <w:pStyle w:val="TableParagraph"/>
              <w:spacing w:line="264" w:lineRule="exact"/>
              <w:ind w:left="105"/>
              <w:rPr>
                <w:sz w:val="24"/>
              </w:rPr>
            </w:pPr>
            <w:r>
              <w:rPr>
                <w:sz w:val="24"/>
              </w:rPr>
              <w:t>как</w:t>
            </w:r>
            <w:r>
              <w:rPr>
                <w:spacing w:val="-4"/>
                <w:sz w:val="24"/>
              </w:rPr>
              <w:t> </w:t>
            </w:r>
            <w:r>
              <w:rPr>
                <w:sz w:val="24"/>
              </w:rPr>
              <w:t>правило,</w:t>
            </w:r>
            <w:r>
              <w:rPr>
                <w:spacing w:val="-2"/>
                <w:sz w:val="24"/>
              </w:rPr>
              <w:t> </w:t>
            </w:r>
            <w:r>
              <w:rPr>
                <w:sz w:val="24"/>
              </w:rPr>
              <w:t>охотно</w:t>
            </w:r>
            <w:r>
              <w:rPr>
                <w:spacing w:val="-2"/>
                <w:sz w:val="24"/>
              </w:rPr>
              <w:t> </w:t>
            </w:r>
            <w:r>
              <w:rPr>
                <w:sz w:val="24"/>
              </w:rPr>
              <w:t>делаю</w:t>
            </w:r>
            <w:r>
              <w:rPr>
                <w:spacing w:val="-2"/>
                <w:sz w:val="24"/>
              </w:rPr>
              <w:t> </w:t>
            </w:r>
            <w:r>
              <w:rPr>
                <w:spacing w:val="-5"/>
                <w:sz w:val="24"/>
              </w:rPr>
              <w:t>это</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left="813"/>
              <w:rPr>
                <w:sz w:val="24"/>
              </w:rPr>
            </w:pPr>
            <w:r>
              <w:rPr>
                <w:spacing w:val="-10"/>
                <w:sz w:val="24"/>
              </w:rPr>
              <w:t>Н</w:t>
            </w:r>
          </w:p>
        </w:tc>
      </w:tr>
      <w:tr>
        <w:trPr>
          <w:trHeight w:val="830" w:hRule="atLeast"/>
        </w:trPr>
        <w:tc>
          <w:tcPr>
            <w:tcW w:w="542" w:type="dxa"/>
          </w:tcPr>
          <w:p>
            <w:pPr>
              <w:pStyle w:val="TableParagraph"/>
              <w:spacing w:line="270" w:lineRule="exact"/>
              <w:ind w:left="107"/>
              <w:rPr>
                <w:sz w:val="24"/>
              </w:rPr>
            </w:pPr>
            <w:r>
              <w:rPr>
                <w:spacing w:val="-5"/>
                <w:sz w:val="24"/>
              </w:rPr>
              <w:t>10</w:t>
            </w:r>
          </w:p>
        </w:tc>
        <w:tc>
          <w:tcPr>
            <w:tcW w:w="6121" w:type="dxa"/>
          </w:tcPr>
          <w:p>
            <w:pPr>
              <w:pStyle w:val="TableParagraph"/>
              <w:ind w:left="105"/>
              <w:rPr>
                <w:sz w:val="24"/>
              </w:rPr>
            </w:pPr>
            <w:r>
              <w:rPr>
                <w:sz w:val="24"/>
              </w:rPr>
              <w:t>Я</w:t>
            </w:r>
            <w:r>
              <w:rPr>
                <w:spacing w:val="-1"/>
                <w:sz w:val="24"/>
              </w:rPr>
              <w:t> </w:t>
            </w:r>
            <w:r>
              <w:rPr>
                <w:sz w:val="24"/>
              </w:rPr>
              <w:t>часто</w:t>
            </w:r>
            <w:r>
              <w:rPr>
                <w:spacing w:val="-1"/>
                <w:sz w:val="24"/>
              </w:rPr>
              <w:t> </w:t>
            </w:r>
            <w:r>
              <w:rPr>
                <w:sz w:val="24"/>
              </w:rPr>
              <w:t>нервничаю</w:t>
            </w:r>
            <w:r>
              <w:rPr>
                <w:spacing w:val="-1"/>
                <w:sz w:val="24"/>
              </w:rPr>
              <w:t> </w:t>
            </w:r>
            <w:r>
              <w:rPr>
                <w:sz w:val="24"/>
              </w:rPr>
              <w:t>или</w:t>
            </w:r>
            <w:r>
              <w:rPr>
                <w:spacing w:val="-2"/>
                <w:sz w:val="24"/>
              </w:rPr>
              <w:t> </w:t>
            </w:r>
            <w:r>
              <w:rPr>
                <w:sz w:val="24"/>
              </w:rPr>
              <w:t>испытываю</w:t>
            </w:r>
            <w:r>
              <w:rPr>
                <w:spacing w:val="-1"/>
                <w:sz w:val="24"/>
              </w:rPr>
              <w:t> </w:t>
            </w:r>
            <w:r>
              <w:rPr>
                <w:sz w:val="24"/>
              </w:rPr>
              <w:t>напряжение</w:t>
            </w:r>
            <w:r>
              <w:rPr>
                <w:spacing w:val="-2"/>
                <w:sz w:val="24"/>
              </w:rPr>
              <w:t> </w:t>
            </w:r>
            <w:r>
              <w:rPr>
                <w:sz w:val="24"/>
              </w:rPr>
              <w:t>на обычных</w:t>
            </w:r>
            <w:r>
              <w:rPr>
                <w:spacing w:val="-4"/>
                <w:sz w:val="24"/>
              </w:rPr>
              <w:t> </w:t>
            </w:r>
            <w:r>
              <w:rPr>
                <w:sz w:val="24"/>
              </w:rPr>
              <w:t>мероприятиях</w:t>
            </w:r>
            <w:r>
              <w:rPr>
                <w:spacing w:val="-5"/>
                <w:sz w:val="24"/>
              </w:rPr>
              <w:t> </w:t>
            </w:r>
            <w:r>
              <w:rPr>
                <w:sz w:val="24"/>
              </w:rPr>
              <w:t>с</w:t>
            </w:r>
            <w:r>
              <w:rPr>
                <w:spacing w:val="-3"/>
                <w:sz w:val="24"/>
              </w:rPr>
              <w:t> </w:t>
            </w:r>
            <w:r>
              <w:rPr>
                <w:sz w:val="24"/>
              </w:rPr>
              <w:t>участием</w:t>
            </w:r>
            <w:r>
              <w:rPr>
                <w:spacing w:val="-5"/>
                <w:sz w:val="24"/>
              </w:rPr>
              <w:t> </w:t>
            </w:r>
            <w:r>
              <w:rPr>
                <w:spacing w:val="-2"/>
                <w:sz w:val="24"/>
              </w:rPr>
              <w:t>представителей</w:t>
            </w:r>
          </w:p>
          <w:p>
            <w:pPr>
              <w:pStyle w:val="TableParagraph"/>
              <w:spacing w:line="264" w:lineRule="exact"/>
              <w:ind w:left="105"/>
              <w:rPr>
                <w:sz w:val="24"/>
              </w:rPr>
            </w:pPr>
            <w:r>
              <w:rPr>
                <w:sz w:val="24"/>
              </w:rPr>
              <w:t>обоих</w:t>
            </w:r>
            <w:r>
              <w:rPr>
                <w:spacing w:val="-2"/>
                <w:sz w:val="24"/>
              </w:rPr>
              <w:t> полов</w:t>
            </w:r>
          </w:p>
        </w:tc>
        <w:tc>
          <w:tcPr>
            <w:tcW w:w="1419" w:type="dxa"/>
          </w:tcPr>
          <w:p>
            <w:pPr>
              <w:pStyle w:val="TableParagraph"/>
              <w:spacing w:line="270" w:lineRule="exact"/>
              <w:ind w:right="430"/>
              <w:jc w:val="right"/>
              <w:rPr>
                <w:sz w:val="24"/>
              </w:rPr>
            </w:pPr>
            <w:r>
              <w:rPr>
                <w:spacing w:val="-10"/>
                <w:sz w:val="24"/>
              </w:rPr>
              <w:t>В</w:t>
            </w:r>
          </w:p>
        </w:tc>
        <w:tc>
          <w:tcPr>
            <w:tcW w:w="1418" w:type="dxa"/>
          </w:tcPr>
          <w:p>
            <w:pPr>
              <w:pStyle w:val="TableParagraph"/>
              <w:spacing w:line="270" w:lineRule="exact"/>
              <w:ind w:left="813"/>
              <w:rPr>
                <w:sz w:val="24"/>
              </w:rPr>
            </w:pPr>
            <w:r>
              <w:rPr>
                <w:spacing w:val="-10"/>
                <w:sz w:val="24"/>
              </w:rPr>
              <w:t>Н</w:t>
            </w:r>
          </w:p>
        </w:tc>
      </w:tr>
      <w:tr>
        <w:trPr>
          <w:trHeight w:val="551" w:hRule="atLeast"/>
        </w:trPr>
        <w:tc>
          <w:tcPr>
            <w:tcW w:w="542" w:type="dxa"/>
          </w:tcPr>
          <w:p>
            <w:pPr>
              <w:pStyle w:val="TableParagraph"/>
              <w:spacing w:line="268" w:lineRule="exact"/>
              <w:ind w:left="107"/>
              <w:rPr>
                <w:sz w:val="24"/>
              </w:rPr>
            </w:pPr>
            <w:r>
              <w:rPr>
                <w:spacing w:val="-5"/>
                <w:sz w:val="24"/>
              </w:rPr>
              <w:t>11</w:t>
            </w:r>
          </w:p>
        </w:tc>
        <w:tc>
          <w:tcPr>
            <w:tcW w:w="6121" w:type="dxa"/>
          </w:tcPr>
          <w:p>
            <w:pPr>
              <w:pStyle w:val="TableParagraph"/>
              <w:spacing w:line="268" w:lineRule="exact"/>
              <w:ind w:left="105"/>
              <w:rPr>
                <w:sz w:val="24"/>
              </w:rPr>
            </w:pPr>
            <w:r>
              <w:rPr>
                <w:sz w:val="24"/>
              </w:rPr>
              <w:t>Я</w:t>
            </w:r>
            <w:r>
              <w:rPr>
                <w:spacing w:val="-2"/>
                <w:sz w:val="24"/>
              </w:rPr>
              <w:t> </w:t>
            </w:r>
            <w:r>
              <w:rPr>
                <w:sz w:val="24"/>
              </w:rPr>
              <w:t>обычно</w:t>
            </w:r>
            <w:r>
              <w:rPr>
                <w:spacing w:val="-2"/>
                <w:sz w:val="24"/>
              </w:rPr>
              <w:t> </w:t>
            </w:r>
            <w:r>
              <w:rPr>
                <w:sz w:val="24"/>
              </w:rPr>
              <w:t>нервничаю</w:t>
            </w:r>
            <w:r>
              <w:rPr>
                <w:spacing w:val="-1"/>
                <w:sz w:val="24"/>
              </w:rPr>
              <w:t> </w:t>
            </w:r>
            <w:r>
              <w:rPr>
                <w:sz w:val="24"/>
              </w:rPr>
              <w:t>в</w:t>
            </w:r>
            <w:r>
              <w:rPr>
                <w:spacing w:val="-5"/>
                <w:sz w:val="24"/>
              </w:rPr>
              <w:t> </w:t>
            </w:r>
            <w:r>
              <w:rPr>
                <w:sz w:val="24"/>
              </w:rPr>
              <w:t>контактах с</w:t>
            </w:r>
            <w:r>
              <w:rPr>
                <w:spacing w:val="-3"/>
                <w:sz w:val="24"/>
              </w:rPr>
              <w:t> </w:t>
            </w:r>
            <w:r>
              <w:rPr>
                <w:sz w:val="24"/>
              </w:rPr>
              <w:t>людьми</w:t>
            </w:r>
            <w:r>
              <w:rPr>
                <w:spacing w:val="-1"/>
                <w:sz w:val="24"/>
              </w:rPr>
              <w:t> </w:t>
            </w:r>
            <w:r>
              <w:rPr>
                <w:sz w:val="24"/>
              </w:rPr>
              <w:t>до</w:t>
            </w:r>
            <w:r>
              <w:rPr>
                <w:spacing w:val="-5"/>
                <w:sz w:val="24"/>
              </w:rPr>
              <w:t> </w:t>
            </w:r>
            <w:r>
              <w:rPr>
                <w:sz w:val="24"/>
              </w:rPr>
              <w:t>тех </w:t>
            </w:r>
            <w:r>
              <w:rPr>
                <w:spacing w:val="-4"/>
                <w:sz w:val="24"/>
              </w:rPr>
              <w:t>пор,</w:t>
            </w:r>
          </w:p>
          <w:p>
            <w:pPr>
              <w:pStyle w:val="TableParagraph"/>
              <w:spacing w:line="264" w:lineRule="exact"/>
              <w:ind w:left="105"/>
              <w:rPr>
                <w:sz w:val="24"/>
              </w:rPr>
            </w:pPr>
            <w:r>
              <w:rPr>
                <w:sz w:val="24"/>
              </w:rPr>
              <w:t>пока</w:t>
            </w:r>
            <w:r>
              <w:rPr>
                <w:spacing w:val="-5"/>
                <w:sz w:val="24"/>
              </w:rPr>
              <w:t> </w:t>
            </w:r>
            <w:r>
              <w:rPr>
                <w:sz w:val="24"/>
              </w:rPr>
              <w:t>не</w:t>
            </w:r>
            <w:r>
              <w:rPr>
                <w:spacing w:val="-2"/>
                <w:sz w:val="24"/>
              </w:rPr>
              <w:t> </w:t>
            </w:r>
            <w:r>
              <w:rPr>
                <w:sz w:val="24"/>
              </w:rPr>
              <w:t>узнаю</w:t>
            </w:r>
            <w:r>
              <w:rPr>
                <w:spacing w:val="-3"/>
                <w:sz w:val="24"/>
              </w:rPr>
              <w:t> </w:t>
            </w:r>
            <w:r>
              <w:rPr>
                <w:sz w:val="24"/>
              </w:rPr>
              <w:t>их</w:t>
            </w:r>
            <w:r>
              <w:rPr>
                <w:spacing w:val="-1"/>
                <w:sz w:val="24"/>
              </w:rPr>
              <w:t> </w:t>
            </w:r>
            <w:r>
              <w:rPr>
                <w:sz w:val="24"/>
              </w:rPr>
              <w:t>достаточно</w:t>
            </w:r>
            <w:r>
              <w:rPr>
                <w:spacing w:val="-3"/>
                <w:sz w:val="24"/>
              </w:rPr>
              <w:t> </w:t>
            </w:r>
            <w:r>
              <w:rPr>
                <w:spacing w:val="-2"/>
                <w:sz w:val="24"/>
              </w:rPr>
              <w:t>хорошо</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left="813"/>
              <w:rPr>
                <w:sz w:val="24"/>
              </w:rPr>
            </w:pPr>
            <w:r>
              <w:rPr>
                <w:spacing w:val="-10"/>
                <w:sz w:val="24"/>
              </w:rPr>
              <w:t>Н</w:t>
            </w:r>
          </w:p>
        </w:tc>
      </w:tr>
      <w:tr>
        <w:trPr>
          <w:trHeight w:val="551" w:hRule="atLeast"/>
        </w:trPr>
        <w:tc>
          <w:tcPr>
            <w:tcW w:w="542" w:type="dxa"/>
          </w:tcPr>
          <w:p>
            <w:pPr>
              <w:pStyle w:val="TableParagraph"/>
              <w:spacing w:line="268" w:lineRule="exact"/>
              <w:ind w:left="107"/>
              <w:rPr>
                <w:sz w:val="24"/>
              </w:rPr>
            </w:pPr>
            <w:r>
              <w:rPr>
                <w:spacing w:val="-5"/>
                <w:sz w:val="24"/>
              </w:rPr>
              <w:t>12</w:t>
            </w:r>
          </w:p>
        </w:tc>
        <w:tc>
          <w:tcPr>
            <w:tcW w:w="6121" w:type="dxa"/>
          </w:tcPr>
          <w:p>
            <w:pPr>
              <w:pStyle w:val="TableParagraph"/>
              <w:spacing w:line="268" w:lineRule="exact"/>
              <w:ind w:left="105"/>
              <w:rPr>
                <w:sz w:val="24"/>
              </w:rPr>
            </w:pPr>
            <w:r>
              <w:rPr>
                <w:sz w:val="24"/>
              </w:rPr>
              <w:t>Когда</w:t>
            </w:r>
            <w:r>
              <w:rPr>
                <w:spacing w:val="-5"/>
                <w:sz w:val="24"/>
              </w:rPr>
              <w:t> </w:t>
            </w:r>
            <w:r>
              <w:rPr>
                <w:sz w:val="24"/>
              </w:rPr>
              <w:t>я</w:t>
            </w:r>
            <w:r>
              <w:rPr>
                <w:spacing w:val="-1"/>
                <w:sz w:val="24"/>
              </w:rPr>
              <w:t> </w:t>
            </w:r>
            <w:r>
              <w:rPr>
                <w:sz w:val="24"/>
              </w:rPr>
              <w:t>нахожусь</w:t>
            </w:r>
            <w:r>
              <w:rPr>
                <w:spacing w:val="-1"/>
                <w:sz w:val="24"/>
              </w:rPr>
              <w:t> </w:t>
            </w:r>
            <w:r>
              <w:rPr>
                <w:sz w:val="24"/>
              </w:rPr>
              <w:t>в</w:t>
            </w:r>
            <w:r>
              <w:rPr>
                <w:spacing w:val="-2"/>
                <w:sz w:val="24"/>
              </w:rPr>
              <w:t> </w:t>
            </w:r>
            <w:r>
              <w:rPr>
                <w:sz w:val="24"/>
              </w:rPr>
              <w:t>группе</w:t>
            </w:r>
            <w:r>
              <w:rPr>
                <w:spacing w:val="-2"/>
                <w:sz w:val="24"/>
              </w:rPr>
              <w:t> </w:t>
            </w:r>
            <w:r>
              <w:rPr>
                <w:sz w:val="24"/>
              </w:rPr>
              <w:t>людей,</w:t>
            </w:r>
            <w:r>
              <w:rPr>
                <w:spacing w:val="-1"/>
                <w:sz w:val="24"/>
              </w:rPr>
              <w:t> </w:t>
            </w:r>
            <w:r>
              <w:rPr>
                <w:sz w:val="24"/>
              </w:rPr>
              <w:t>я,</w:t>
            </w:r>
            <w:r>
              <w:rPr>
                <w:spacing w:val="-4"/>
                <w:sz w:val="24"/>
              </w:rPr>
              <w:t> </w:t>
            </w:r>
            <w:r>
              <w:rPr>
                <w:sz w:val="24"/>
              </w:rPr>
              <w:t>как</w:t>
            </w:r>
            <w:r>
              <w:rPr>
                <w:spacing w:val="-1"/>
                <w:sz w:val="24"/>
              </w:rPr>
              <w:t> </w:t>
            </w:r>
            <w:r>
              <w:rPr>
                <w:spacing w:val="-2"/>
                <w:sz w:val="24"/>
              </w:rPr>
              <w:t>правило,</w:t>
            </w:r>
          </w:p>
          <w:p>
            <w:pPr>
              <w:pStyle w:val="TableParagraph"/>
              <w:spacing w:line="264" w:lineRule="exact"/>
              <w:ind w:left="105"/>
              <w:rPr>
                <w:sz w:val="24"/>
              </w:rPr>
            </w:pPr>
            <w:r>
              <w:rPr>
                <w:sz w:val="24"/>
              </w:rPr>
              <w:t>чувствую</w:t>
            </w:r>
            <w:r>
              <w:rPr>
                <w:spacing w:val="-4"/>
                <w:sz w:val="24"/>
              </w:rPr>
              <w:t> </w:t>
            </w:r>
            <w:r>
              <w:rPr>
                <w:sz w:val="24"/>
              </w:rPr>
              <w:t>себя</w:t>
            </w:r>
            <w:r>
              <w:rPr>
                <w:spacing w:val="-2"/>
                <w:sz w:val="24"/>
              </w:rPr>
              <w:t> спокойно</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left="813"/>
              <w:rPr>
                <w:sz w:val="24"/>
              </w:rPr>
            </w:pPr>
            <w:r>
              <w:rPr>
                <w:spacing w:val="-10"/>
                <w:sz w:val="24"/>
              </w:rPr>
              <w:t>Н</w:t>
            </w:r>
          </w:p>
        </w:tc>
      </w:tr>
      <w:tr>
        <w:trPr>
          <w:trHeight w:val="275" w:hRule="atLeast"/>
        </w:trPr>
        <w:tc>
          <w:tcPr>
            <w:tcW w:w="542" w:type="dxa"/>
          </w:tcPr>
          <w:p>
            <w:pPr>
              <w:pStyle w:val="TableParagraph"/>
              <w:spacing w:line="256" w:lineRule="exact"/>
              <w:ind w:left="107"/>
              <w:rPr>
                <w:sz w:val="24"/>
              </w:rPr>
            </w:pPr>
            <w:r>
              <w:rPr>
                <w:spacing w:val="-5"/>
                <w:sz w:val="24"/>
              </w:rPr>
              <w:t>13</w:t>
            </w:r>
          </w:p>
        </w:tc>
        <w:tc>
          <w:tcPr>
            <w:tcW w:w="6121" w:type="dxa"/>
          </w:tcPr>
          <w:p>
            <w:pPr>
              <w:pStyle w:val="TableParagraph"/>
              <w:spacing w:line="256" w:lineRule="exact"/>
              <w:ind w:left="105"/>
              <w:rPr>
                <w:sz w:val="24"/>
              </w:rPr>
            </w:pPr>
            <w:r>
              <w:rPr>
                <w:sz w:val="24"/>
              </w:rPr>
              <w:t>Мне</w:t>
            </w:r>
            <w:r>
              <w:rPr>
                <w:spacing w:val="-3"/>
                <w:sz w:val="24"/>
              </w:rPr>
              <w:t> </w:t>
            </w:r>
            <w:r>
              <w:rPr>
                <w:sz w:val="24"/>
              </w:rPr>
              <w:t>часто</w:t>
            </w:r>
            <w:r>
              <w:rPr>
                <w:spacing w:val="-1"/>
                <w:sz w:val="24"/>
              </w:rPr>
              <w:t> </w:t>
            </w:r>
            <w:r>
              <w:rPr>
                <w:sz w:val="24"/>
              </w:rPr>
              <w:t>хочется удалиться</w:t>
            </w:r>
            <w:r>
              <w:rPr>
                <w:spacing w:val="-1"/>
                <w:sz w:val="24"/>
              </w:rPr>
              <w:t> </w:t>
            </w:r>
            <w:r>
              <w:rPr>
                <w:sz w:val="24"/>
              </w:rPr>
              <w:t>от</w:t>
            </w:r>
            <w:r>
              <w:rPr>
                <w:spacing w:val="-1"/>
                <w:sz w:val="24"/>
              </w:rPr>
              <w:t> </w:t>
            </w:r>
            <w:r>
              <w:rPr>
                <w:spacing w:val="-4"/>
                <w:sz w:val="24"/>
              </w:rPr>
              <w:t>людей</w:t>
            </w:r>
          </w:p>
        </w:tc>
        <w:tc>
          <w:tcPr>
            <w:tcW w:w="1419" w:type="dxa"/>
          </w:tcPr>
          <w:p>
            <w:pPr>
              <w:pStyle w:val="TableParagraph"/>
              <w:spacing w:line="256" w:lineRule="exact"/>
              <w:ind w:right="430"/>
              <w:jc w:val="right"/>
              <w:rPr>
                <w:sz w:val="24"/>
              </w:rPr>
            </w:pPr>
            <w:r>
              <w:rPr>
                <w:spacing w:val="-10"/>
                <w:sz w:val="24"/>
              </w:rPr>
              <w:t>В</w:t>
            </w:r>
          </w:p>
        </w:tc>
        <w:tc>
          <w:tcPr>
            <w:tcW w:w="1418" w:type="dxa"/>
          </w:tcPr>
          <w:p>
            <w:pPr>
              <w:pStyle w:val="TableParagraph"/>
              <w:spacing w:line="256" w:lineRule="exact"/>
              <w:ind w:left="813"/>
              <w:rPr>
                <w:sz w:val="24"/>
              </w:rPr>
            </w:pPr>
            <w:r>
              <w:rPr>
                <w:spacing w:val="-10"/>
                <w:sz w:val="24"/>
              </w:rPr>
              <w:t>Н</w:t>
            </w:r>
          </w:p>
        </w:tc>
      </w:tr>
      <w:tr>
        <w:trPr>
          <w:trHeight w:val="552" w:hRule="atLeast"/>
        </w:trPr>
        <w:tc>
          <w:tcPr>
            <w:tcW w:w="542" w:type="dxa"/>
          </w:tcPr>
          <w:p>
            <w:pPr>
              <w:pStyle w:val="TableParagraph"/>
              <w:spacing w:line="268" w:lineRule="exact"/>
              <w:ind w:left="107"/>
              <w:rPr>
                <w:sz w:val="24"/>
              </w:rPr>
            </w:pPr>
            <w:r>
              <w:rPr>
                <w:spacing w:val="-5"/>
                <w:sz w:val="24"/>
              </w:rPr>
              <w:t>14</w:t>
            </w:r>
          </w:p>
        </w:tc>
        <w:tc>
          <w:tcPr>
            <w:tcW w:w="6121" w:type="dxa"/>
          </w:tcPr>
          <w:p>
            <w:pPr>
              <w:pStyle w:val="TableParagraph"/>
              <w:spacing w:line="268" w:lineRule="exact"/>
              <w:ind w:left="105"/>
              <w:rPr>
                <w:sz w:val="24"/>
              </w:rPr>
            </w:pPr>
            <w:r>
              <w:rPr>
                <w:sz w:val="24"/>
              </w:rPr>
              <w:t>Я</w:t>
            </w:r>
            <w:r>
              <w:rPr>
                <w:spacing w:val="-3"/>
                <w:sz w:val="24"/>
              </w:rPr>
              <w:t> </w:t>
            </w:r>
            <w:r>
              <w:rPr>
                <w:sz w:val="24"/>
              </w:rPr>
              <w:t>чувствую</w:t>
            </w:r>
            <w:r>
              <w:rPr>
                <w:spacing w:val="-1"/>
                <w:sz w:val="24"/>
              </w:rPr>
              <w:t> </w:t>
            </w:r>
            <w:r>
              <w:rPr>
                <w:sz w:val="24"/>
              </w:rPr>
              <w:t>себя</w:t>
            </w:r>
            <w:r>
              <w:rPr>
                <w:spacing w:val="-3"/>
                <w:sz w:val="24"/>
              </w:rPr>
              <w:t> </w:t>
            </w:r>
            <w:r>
              <w:rPr>
                <w:sz w:val="24"/>
              </w:rPr>
              <w:t>некомфортно</w:t>
            </w:r>
            <w:r>
              <w:rPr>
                <w:spacing w:val="-3"/>
                <w:sz w:val="24"/>
              </w:rPr>
              <w:t> </w:t>
            </w:r>
            <w:r>
              <w:rPr>
                <w:sz w:val="24"/>
              </w:rPr>
              <w:t>в</w:t>
            </w:r>
            <w:r>
              <w:rPr>
                <w:spacing w:val="-4"/>
                <w:sz w:val="24"/>
              </w:rPr>
              <w:t> </w:t>
            </w:r>
            <w:r>
              <w:rPr>
                <w:sz w:val="24"/>
              </w:rPr>
              <w:t>группе</w:t>
            </w:r>
            <w:r>
              <w:rPr>
                <w:spacing w:val="-4"/>
                <w:sz w:val="24"/>
              </w:rPr>
              <w:t> </w:t>
            </w:r>
            <w:r>
              <w:rPr>
                <w:sz w:val="24"/>
              </w:rPr>
              <w:t>незнакомых</w:t>
            </w:r>
            <w:r>
              <w:rPr>
                <w:spacing w:val="-1"/>
                <w:sz w:val="24"/>
              </w:rPr>
              <w:t> </w:t>
            </w:r>
            <w:r>
              <w:rPr>
                <w:spacing w:val="-5"/>
                <w:sz w:val="24"/>
              </w:rPr>
              <w:t>мне</w:t>
            </w:r>
          </w:p>
          <w:p>
            <w:pPr>
              <w:pStyle w:val="TableParagraph"/>
              <w:spacing w:line="264" w:lineRule="exact"/>
              <w:ind w:left="105"/>
              <w:rPr>
                <w:sz w:val="24"/>
              </w:rPr>
            </w:pPr>
            <w:r>
              <w:rPr>
                <w:spacing w:val="-2"/>
                <w:sz w:val="24"/>
              </w:rPr>
              <w:t>людей</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left="813"/>
              <w:rPr>
                <w:sz w:val="24"/>
              </w:rPr>
            </w:pPr>
            <w:r>
              <w:rPr>
                <w:spacing w:val="-10"/>
                <w:sz w:val="24"/>
              </w:rPr>
              <w:t>Н</w:t>
            </w:r>
          </w:p>
        </w:tc>
      </w:tr>
      <w:tr>
        <w:trPr>
          <w:trHeight w:val="551" w:hRule="atLeast"/>
        </w:trPr>
        <w:tc>
          <w:tcPr>
            <w:tcW w:w="542" w:type="dxa"/>
          </w:tcPr>
          <w:p>
            <w:pPr>
              <w:pStyle w:val="TableParagraph"/>
              <w:spacing w:line="268" w:lineRule="exact"/>
              <w:ind w:left="107"/>
              <w:rPr>
                <w:sz w:val="24"/>
              </w:rPr>
            </w:pPr>
            <w:r>
              <w:rPr>
                <w:spacing w:val="-5"/>
                <w:sz w:val="24"/>
              </w:rPr>
              <w:t>15</w:t>
            </w:r>
          </w:p>
        </w:tc>
        <w:tc>
          <w:tcPr>
            <w:tcW w:w="6121" w:type="dxa"/>
          </w:tcPr>
          <w:p>
            <w:pPr>
              <w:pStyle w:val="TableParagraph"/>
              <w:spacing w:line="268" w:lineRule="exact"/>
              <w:ind w:left="105"/>
              <w:rPr>
                <w:sz w:val="24"/>
              </w:rPr>
            </w:pPr>
            <w:r>
              <w:rPr>
                <w:sz w:val="24"/>
              </w:rPr>
              <w:t>Когда</w:t>
            </w:r>
            <w:r>
              <w:rPr>
                <w:spacing w:val="-2"/>
                <w:sz w:val="24"/>
              </w:rPr>
              <w:t> </w:t>
            </w:r>
            <w:r>
              <w:rPr>
                <w:sz w:val="24"/>
              </w:rPr>
              <w:t>я</w:t>
            </w:r>
            <w:r>
              <w:rPr>
                <w:spacing w:val="-1"/>
                <w:sz w:val="24"/>
              </w:rPr>
              <w:t> </w:t>
            </w:r>
            <w:r>
              <w:rPr>
                <w:sz w:val="24"/>
              </w:rPr>
              <w:t>встречаюсь</w:t>
            </w:r>
            <w:r>
              <w:rPr>
                <w:spacing w:val="-1"/>
                <w:sz w:val="24"/>
              </w:rPr>
              <w:t> </w:t>
            </w:r>
            <w:r>
              <w:rPr>
                <w:sz w:val="24"/>
              </w:rPr>
              <w:t>с</w:t>
            </w:r>
            <w:r>
              <w:rPr>
                <w:spacing w:val="-1"/>
                <w:sz w:val="24"/>
              </w:rPr>
              <w:t> </w:t>
            </w:r>
            <w:r>
              <w:rPr>
                <w:sz w:val="24"/>
              </w:rPr>
              <w:t>кем-то</w:t>
            </w:r>
            <w:r>
              <w:rPr>
                <w:spacing w:val="-1"/>
                <w:sz w:val="24"/>
              </w:rPr>
              <w:t> </w:t>
            </w:r>
            <w:r>
              <w:rPr>
                <w:sz w:val="24"/>
              </w:rPr>
              <w:t>впервые,</w:t>
            </w:r>
            <w:r>
              <w:rPr>
                <w:spacing w:val="-1"/>
                <w:sz w:val="24"/>
              </w:rPr>
              <w:t> </w:t>
            </w:r>
            <w:r>
              <w:rPr>
                <w:sz w:val="24"/>
              </w:rPr>
              <w:t>я </w:t>
            </w:r>
            <w:r>
              <w:rPr>
                <w:spacing w:val="-2"/>
                <w:sz w:val="24"/>
              </w:rPr>
              <w:t>обычно</w:t>
            </w:r>
          </w:p>
          <w:p>
            <w:pPr>
              <w:pStyle w:val="TableParagraph"/>
              <w:spacing w:line="264" w:lineRule="exact"/>
              <w:ind w:left="105"/>
              <w:rPr>
                <w:sz w:val="24"/>
              </w:rPr>
            </w:pPr>
            <w:r>
              <w:rPr>
                <w:sz w:val="24"/>
              </w:rPr>
              <w:t>чувствую</w:t>
            </w:r>
            <w:r>
              <w:rPr>
                <w:spacing w:val="-4"/>
                <w:sz w:val="24"/>
              </w:rPr>
              <w:t> </w:t>
            </w:r>
            <w:r>
              <w:rPr>
                <w:sz w:val="24"/>
              </w:rPr>
              <w:t>себя</w:t>
            </w:r>
            <w:r>
              <w:rPr>
                <w:spacing w:val="-2"/>
                <w:sz w:val="24"/>
              </w:rPr>
              <w:t> спокойно</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left="813"/>
              <w:rPr>
                <w:sz w:val="24"/>
              </w:rPr>
            </w:pPr>
            <w:r>
              <w:rPr>
                <w:spacing w:val="-10"/>
                <w:sz w:val="24"/>
              </w:rPr>
              <w:t>Н</w:t>
            </w:r>
          </w:p>
        </w:tc>
      </w:tr>
      <w:tr>
        <w:trPr>
          <w:trHeight w:val="551" w:hRule="atLeast"/>
        </w:trPr>
        <w:tc>
          <w:tcPr>
            <w:tcW w:w="542" w:type="dxa"/>
          </w:tcPr>
          <w:p>
            <w:pPr>
              <w:pStyle w:val="TableParagraph"/>
              <w:spacing w:line="268" w:lineRule="exact"/>
              <w:ind w:left="107"/>
              <w:rPr>
                <w:sz w:val="24"/>
              </w:rPr>
            </w:pPr>
            <w:r>
              <w:rPr>
                <w:spacing w:val="-5"/>
                <w:sz w:val="24"/>
              </w:rPr>
              <w:t>16</w:t>
            </w:r>
          </w:p>
        </w:tc>
        <w:tc>
          <w:tcPr>
            <w:tcW w:w="6121" w:type="dxa"/>
          </w:tcPr>
          <w:p>
            <w:pPr>
              <w:pStyle w:val="TableParagraph"/>
              <w:spacing w:line="268" w:lineRule="exact"/>
              <w:ind w:left="105"/>
              <w:rPr>
                <w:sz w:val="24"/>
              </w:rPr>
            </w:pPr>
            <w:r>
              <w:rPr>
                <w:sz w:val="24"/>
              </w:rPr>
              <w:t>Необходимость</w:t>
            </w:r>
            <w:r>
              <w:rPr>
                <w:spacing w:val="-4"/>
                <w:sz w:val="24"/>
              </w:rPr>
              <w:t> </w:t>
            </w:r>
            <w:r>
              <w:rPr>
                <w:sz w:val="24"/>
              </w:rPr>
              <w:t>представляться</w:t>
            </w:r>
            <w:r>
              <w:rPr>
                <w:spacing w:val="-3"/>
                <w:sz w:val="24"/>
              </w:rPr>
              <w:t> </w:t>
            </w:r>
            <w:r>
              <w:rPr>
                <w:sz w:val="24"/>
              </w:rPr>
              <w:t>людям</w:t>
            </w:r>
            <w:r>
              <w:rPr>
                <w:spacing w:val="-3"/>
                <w:sz w:val="24"/>
              </w:rPr>
              <w:t> </w:t>
            </w:r>
            <w:r>
              <w:rPr>
                <w:sz w:val="24"/>
              </w:rPr>
              <w:t>делает</w:t>
            </w:r>
            <w:r>
              <w:rPr>
                <w:spacing w:val="-1"/>
                <w:sz w:val="24"/>
              </w:rPr>
              <w:t> </w:t>
            </w:r>
            <w:r>
              <w:rPr>
                <w:spacing w:val="-4"/>
                <w:sz w:val="24"/>
              </w:rPr>
              <w:t>меня</w:t>
            </w:r>
          </w:p>
          <w:p>
            <w:pPr>
              <w:pStyle w:val="TableParagraph"/>
              <w:spacing w:line="264" w:lineRule="exact"/>
              <w:ind w:left="105"/>
              <w:rPr>
                <w:sz w:val="24"/>
              </w:rPr>
            </w:pPr>
            <w:r>
              <w:rPr>
                <w:sz w:val="24"/>
              </w:rPr>
              <w:t>напряженным</w:t>
            </w:r>
            <w:r>
              <w:rPr>
                <w:spacing w:val="-4"/>
                <w:sz w:val="24"/>
              </w:rPr>
              <w:t> </w:t>
            </w:r>
            <w:r>
              <w:rPr>
                <w:sz w:val="24"/>
              </w:rPr>
              <w:t>и</w:t>
            </w:r>
            <w:r>
              <w:rPr>
                <w:spacing w:val="-3"/>
                <w:sz w:val="24"/>
              </w:rPr>
              <w:t> </w:t>
            </w:r>
            <w:r>
              <w:rPr>
                <w:spacing w:val="-2"/>
                <w:sz w:val="24"/>
              </w:rPr>
              <w:t>нервным</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left="813"/>
              <w:rPr>
                <w:sz w:val="24"/>
              </w:rPr>
            </w:pPr>
            <w:r>
              <w:rPr>
                <w:spacing w:val="-10"/>
                <w:sz w:val="24"/>
              </w:rPr>
              <w:t>Н</w:t>
            </w:r>
          </w:p>
        </w:tc>
      </w:tr>
      <w:tr>
        <w:trPr>
          <w:trHeight w:val="553" w:hRule="atLeast"/>
        </w:trPr>
        <w:tc>
          <w:tcPr>
            <w:tcW w:w="542" w:type="dxa"/>
          </w:tcPr>
          <w:p>
            <w:pPr>
              <w:pStyle w:val="TableParagraph"/>
              <w:spacing w:line="270" w:lineRule="exact"/>
              <w:ind w:left="107"/>
              <w:rPr>
                <w:sz w:val="24"/>
              </w:rPr>
            </w:pPr>
            <w:r>
              <w:rPr>
                <w:spacing w:val="-5"/>
                <w:sz w:val="24"/>
              </w:rPr>
              <w:t>17</w:t>
            </w:r>
          </w:p>
        </w:tc>
        <w:tc>
          <w:tcPr>
            <w:tcW w:w="6121" w:type="dxa"/>
          </w:tcPr>
          <w:p>
            <w:pPr>
              <w:pStyle w:val="TableParagraph"/>
              <w:spacing w:line="270" w:lineRule="exact"/>
              <w:ind w:left="105"/>
              <w:rPr>
                <w:sz w:val="24"/>
              </w:rPr>
            </w:pPr>
            <w:r>
              <w:rPr>
                <w:sz w:val="24"/>
              </w:rPr>
              <w:t>Я</w:t>
            </w:r>
            <w:r>
              <w:rPr>
                <w:spacing w:val="-2"/>
                <w:sz w:val="24"/>
              </w:rPr>
              <w:t> </w:t>
            </w:r>
            <w:r>
              <w:rPr>
                <w:sz w:val="24"/>
              </w:rPr>
              <w:t>легко</w:t>
            </w:r>
            <w:r>
              <w:rPr>
                <w:spacing w:val="-2"/>
                <w:sz w:val="24"/>
              </w:rPr>
              <w:t> </w:t>
            </w:r>
            <w:r>
              <w:rPr>
                <w:sz w:val="24"/>
              </w:rPr>
              <w:t>могу</w:t>
            </w:r>
            <w:r>
              <w:rPr>
                <w:spacing w:val="-6"/>
                <w:sz w:val="24"/>
              </w:rPr>
              <w:t> </w:t>
            </w:r>
            <w:r>
              <w:rPr>
                <w:sz w:val="24"/>
              </w:rPr>
              <w:t>войти</w:t>
            </w:r>
            <w:r>
              <w:rPr>
                <w:spacing w:val="-1"/>
                <w:sz w:val="24"/>
              </w:rPr>
              <w:t> </w:t>
            </w:r>
            <w:r>
              <w:rPr>
                <w:sz w:val="24"/>
              </w:rPr>
              <w:t>в</w:t>
            </w:r>
            <w:r>
              <w:rPr>
                <w:spacing w:val="-3"/>
                <w:sz w:val="24"/>
              </w:rPr>
              <w:t> </w:t>
            </w:r>
            <w:r>
              <w:rPr>
                <w:sz w:val="24"/>
              </w:rPr>
              <w:t>комнату,</w:t>
            </w:r>
            <w:r>
              <w:rPr>
                <w:spacing w:val="-1"/>
                <w:sz w:val="24"/>
              </w:rPr>
              <w:t> </w:t>
            </w:r>
            <w:r>
              <w:rPr>
                <w:sz w:val="24"/>
              </w:rPr>
              <w:t>даже</w:t>
            </w:r>
            <w:r>
              <w:rPr>
                <w:spacing w:val="-3"/>
                <w:sz w:val="24"/>
              </w:rPr>
              <w:t> </w:t>
            </w:r>
            <w:r>
              <w:rPr>
                <w:sz w:val="24"/>
              </w:rPr>
              <w:t>если</w:t>
            </w:r>
            <w:r>
              <w:rPr>
                <w:spacing w:val="-1"/>
                <w:sz w:val="24"/>
              </w:rPr>
              <w:t> </w:t>
            </w:r>
            <w:r>
              <w:rPr>
                <w:sz w:val="24"/>
              </w:rPr>
              <w:t>она </w:t>
            </w:r>
            <w:r>
              <w:rPr>
                <w:spacing w:val="-2"/>
                <w:sz w:val="24"/>
              </w:rPr>
              <w:t>наполнена</w:t>
            </w:r>
          </w:p>
          <w:p>
            <w:pPr>
              <w:pStyle w:val="TableParagraph"/>
              <w:spacing w:line="264" w:lineRule="exact"/>
              <w:ind w:left="105"/>
              <w:rPr>
                <w:sz w:val="24"/>
              </w:rPr>
            </w:pPr>
            <w:r>
              <w:rPr>
                <w:sz w:val="24"/>
              </w:rPr>
              <w:t>незнакомыми</w:t>
            </w:r>
            <w:r>
              <w:rPr>
                <w:spacing w:val="-5"/>
                <w:sz w:val="24"/>
              </w:rPr>
              <w:t> </w:t>
            </w:r>
            <w:r>
              <w:rPr>
                <w:spacing w:val="-2"/>
                <w:sz w:val="24"/>
              </w:rPr>
              <w:t>людьми</w:t>
            </w:r>
          </w:p>
        </w:tc>
        <w:tc>
          <w:tcPr>
            <w:tcW w:w="1419" w:type="dxa"/>
          </w:tcPr>
          <w:p>
            <w:pPr>
              <w:pStyle w:val="TableParagraph"/>
              <w:spacing w:line="270" w:lineRule="exact"/>
              <w:ind w:right="430"/>
              <w:jc w:val="right"/>
              <w:rPr>
                <w:sz w:val="24"/>
              </w:rPr>
            </w:pPr>
            <w:r>
              <w:rPr>
                <w:spacing w:val="-10"/>
                <w:sz w:val="24"/>
              </w:rPr>
              <w:t>В</w:t>
            </w:r>
          </w:p>
        </w:tc>
        <w:tc>
          <w:tcPr>
            <w:tcW w:w="1418" w:type="dxa"/>
          </w:tcPr>
          <w:p>
            <w:pPr>
              <w:pStyle w:val="TableParagraph"/>
              <w:spacing w:line="270" w:lineRule="exact"/>
              <w:ind w:left="813"/>
              <w:rPr>
                <w:sz w:val="24"/>
              </w:rPr>
            </w:pPr>
            <w:r>
              <w:rPr>
                <w:spacing w:val="-10"/>
                <w:sz w:val="24"/>
              </w:rPr>
              <w:t>Н</w:t>
            </w:r>
          </w:p>
        </w:tc>
      </w:tr>
      <w:tr>
        <w:trPr>
          <w:trHeight w:val="551" w:hRule="atLeast"/>
        </w:trPr>
        <w:tc>
          <w:tcPr>
            <w:tcW w:w="542" w:type="dxa"/>
          </w:tcPr>
          <w:p>
            <w:pPr>
              <w:pStyle w:val="TableParagraph"/>
              <w:spacing w:line="268" w:lineRule="exact"/>
              <w:ind w:left="107"/>
              <w:rPr>
                <w:sz w:val="24"/>
              </w:rPr>
            </w:pPr>
            <w:r>
              <w:rPr>
                <w:spacing w:val="-5"/>
                <w:sz w:val="24"/>
              </w:rPr>
              <w:t>18</w:t>
            </w:r>
          </w:p>
        </w:tc>
        <w:tc>
          <w:tcPr>
            <w:tcW w:w="6121" w:type="dxa"/>
          </w:tcPr>
          <w:p>
            <w:pPr>
              <w:pStyle w:val="TableParagraph"/>
              <w:spacing w:line="268" w:lineRule="exact"/>
              <w:ind w:left="105"/>
              <w:rPr>
                <w:sz w:val="24"/>
              </w:rPr>
            </w:pPr>
            <w:r>
              <w:rPr>
                <w:sz w:val="24"/>
              </w:rPr>
              <w:t>Я</w:t>
            </w:r>
            <w:r>
              <w:rPr>
                <w:spacing w:val="-5"/>
                <w:sz w:val="24"/>
              </w:rPr>
              <w:t> </w:t>
            </w:r>
            <w:r>
              <w:rPr>
                <w:sz w:val="24"/>
              </w:rPr>
              <w:t>бы</w:t>
            </w:r>
            <w:r>
              <w:rPr>
                <w:spacing w:val="-2"/>
                <w:sz w:val="24"/>
              </w:rPr>
              <w:t> </w:t>
            </w:r>
            <w:r>
              <w:rPr>
                <w:sz w:val="24"/>
              </w:rPr>
              <w:t>постарался</w:t>
            </w:r>
            <w:r>
              <w:rPr>
                <w:spacing w:val="-2"/>
                <w:sz w:val="24"/>
              </w:rPr>
              <w:t> </w:t>
            </w:r>
            <w:r>
              <w:rPr>
                <w:sz w:val="24"/>
              </w:rPr>
              <w:t>избегать</w:t>
            </w:r>
            <w:r>
              <w:rPr>
                <w:spacing w:val="-2"/>
                <w:sz w:val="24"/>
              </w:rPr>
              <w:t> </w:t>
            </w:r>
            <w:r>
              <w:rPr>
                <w:sz w:val="24"/>
              </w:rPr>
              <w:t>вхождения</w:t>
            </w:r>
            <w:r>
              <w:rPr>
                <w:spacing w:val="-2"/>
                <w:sz w:val="24"/>
              </w:rPr>
              <w:t> </w:t>
            </w:r>
            <w:r>
              <w:rPr>
                <w:sz w:val="24"/>
              </w:rPr>
              <w:t>в</w:t>
            </w:r>
            <w:r>
              <w:rPr>
                <w:spacing w:val="-3"/>
                <w:sz w:val="24"/>
              </w:rPr>
              <w:t> </w:t>
            </w:r>
            <w:r>
              <w:rPr>
                <w:sz w:val="24"/>
              </w:rPr>
              <w:t>большую</w:t>
            </w:r>
            <w:r>
              <w:rPr>
                <w:spacing w:val="-2"/>
                <w:sz w:val="24"/>
              </w:rPr>
              <w:t> группу</w:t>
            </w:r>
          </w:p>
          <w:p>
            <w:pPr>
              <w:pStyle w:val="TableParagraph"/>
              <w:spacing w:line="264" w:lineRule="exact"/>
              <w:ind w:left="105"/>
              <w:rPr>
                <w:sz w:val="24"/>
              </w:rPr>
            </w:pPr>
            <w:r>
              <w:rPr>
                <w:sz w:val="24"/>
              </w:rPr>
              <w:t>людей</w:t>
            </w:r>
            <w:r>
              <w:rPr>
                <w:spacing w:val="-4"/>
                <w:sz w:val="24"/>
              </w:rPr>
              <w:t> </w:t>
            </w:r>
            <w:r>
              <w:rPr>
                <w:sz w:val="24"/>
              </w:rPr>
              <w:t>или</w:t>
            </w:r>
            <w:r>
              <w:rPr>
                <w:spacing w:val="-4"/>
                <w:sz w:val="24"/>
              </w:rPr>
              <w:t> </w:t>
            </w:r>
            <w:r>
              <w:rPr>
                <w:sz w:val="24"/>
              </w:rPr>
              <w:t>присоединения</w:t>
            </w:r>
            <w:r>
              <w:rPr>
                <w:spacing w:val="-3"/>
                <w:sz w:val="24"/>
              </w:rPr>
              <w:t> </w:t>
            </w:r>
            <w:r>
              <w:rPr>
                <w:sz w:val="24"/>
              </w:rPr>
              <w:t>к</w:t>
            </w:r>
            <w:r>
              <w:rPr>
                <w:spacing w:val="-5"/>
                <w:sz w:val="24"/>
              </w:rPr>
              <w:t> ней</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left="813"/>
              <w:rPr>
                <w:sz w:val="24"/>
              </w:rPr>
            </w:pPr>
            <w:r>
              <w:rPr>
                <w:spacing w:val="-10"/>
                <w:sz w:val="24"/>
              </w:rPr>
              <w:t>Н</w:t>
            </w:r>
          </w:p>
        </w:tc>
      </w:tr>
      <w:tr>
        <w:trPr>
          <w:trHeight w:val="551" w:hRule="atLeast"/>
        </w:trPr>
        <w:tc>
          <w:tcPr>
            <w:tcW w:w="542" w:type="dxa"/>
          </w:tcPr>
          <w:p>
            <w:pPr>
              <w:pStyle w:val="TableParagraph"/>
              <w:spacing w:line="268" w:lineRule="exact"/>
              <w:ind w:left="107"/>
              <w:rPr>
                <w:sz w:val="24"/>
              </w:rPr>
            </w:pPr>
            <w:r>
              <w:rPr>
                <w:spacing w:val="-5"/>
                <w:sz w:val="24"/>
              </w:rPr>
              <w:t>19</w:t>
            </w:r>
          </w:p>
        </w:tc>
        <w:tc>
          <w:tcPr>
            <w:tcW w:w="6121" w:type="dxa"/>
          </w:tcPr>
          <w:p>
            <w:pPr>
              <w:pStyle w:val="TableParagraph"/>
              <w:spacing w:line="268" w:lineRule="exact"/>
              <w:ind w:left="105"/>
              <w:rPr>
                <w:sz w:val="24"/>
              </w:rPr>
            </w:pPr>
            <w:r>
              <w:rPr>
                <w:sz w:val="24"/>
              </w:rPr>
              <w:t>Я</w:t>
            </w:r>
            <w:r>
              <w:rPr>
                <w:spacing w:val="-4"/>
                <w:sz w:val="24"/>
              </w:rPr>
              <w:t> </w:t>
            </w:r>
            <w:r>
              <w:rPr>
                <w:sz w:val="24"/>
              </w:rPr>
              <w:t>охотно</w:t>
            </w:r>
            <w:r>
              <w:rPr>
                <w:spacing w:val="-2"/>
                <w:sz w:val="24"/>
              </w:rPr>
              <w:t> </w:t>
            </w:r>
            <w:r>
              <w:rPr>
                <w:sz w:val="24"/>
              </w:rPr>
              <w:t>вступаю</w:t>
            </w:r>
            <w:r>
              <w:rPr>
                <w:spacing w:val="-2"/>
                <w:sz w:val="24"/>
              </w:rPr>
              <w:t> </w:t>
            </w:r>
            <w:r>
              <w:rPr>
                <w:sz w:val="24"/>
              </w:rPr>
              <w:t>в</w:t>
            </w:r>
            <w:r>
              <w:rPr>
                <w:spacing w:val="-2"/>
                <w:sz w:val="24"/>
              </w:rPr>
              <w:t> </w:t>
            </w:r>
            <w:r>
              <w:rPr>
                <w:sz w:val="24"/>
              </w:rPr>
              <w:t>разговор,</w:t>
            </w:r>
            <w:r>
              <w:rPr>
                <w:spacing w:val="-2"/>
                <w:sz w:val="24"/>
              </w:rPr>
              <w:t> </w:t>
            </w:r>
            <w:r>
              <w:rPr>
                <w:sz w:val="24"/>
              </w:rPr>
              <w:t>если</w:t>
            </w:r>
            <w:r>
              <w:rPr>
                <w:spacing w:val="-1"/>
                <w:sz w:val="24"/>
              </w:rPr>
              <w:t> </w:t>
            </w:r>
            <w:r>
              <w:rPr>
                <w:sz w:val="24"/>
              </w:rPr>
              <w:t>люди</w:t>
            </w:r>
            <w:r>
              <w:rPr>
                <w:spacing w:val="-1"/>
                <w:sz w:val="24"/>
              </w:rPr>
              <w:t> </w:t>
            </w:r>
            <w:r>
              <w:rPr>
                <w:sz w:val="24"/>
              </w:rPr>
              <w:t>старше</w:t>
            </w:r>
            <w:r>
              <w:rPr>
                <w:spacing w:val="-4"/>
                <w:sz w:val="24"/>
              </w:rPr>
              <w:t> </w:t>
            </w:r>
            <w:r>
              <w:rPr>
                <w:sz w:val="24"/>
              </w:rPr>
              <w:t>меня</w:t>
            </w:r>
            <w:r>
              <w:rPr>
                <w:spacing w:val="-1"/>
                <w:sz w:val="24"/>
              </w:rPr>
              <w:t> </w:t>
            </w:r>
            <w:r>
              <w:rPr>
                <w:spacing w:val="-5"/>
                <w:sz w:val="24"/>
              </w:rPr>
              <w:t>по</w:t>
            </w:r>
          </w:p>
          <w:p>
            <w:pPr>
              <w:pStyle w:val="TableParagraph"/>
              <w:spacing w:line="264" w:lineRule="exact"/>
              <w:ind w:left="105"/>
              <w:rPr>
                <w:sz w:val="24"/>
              </w:rPr>
            </w:pPr>
            <w:r>
              <w:rPr>
                <w:sz w:val="24"/>
              </w:rPr>
              <w:t>положению</w:t>
            </w:r>
            <w:r>
              <w:rPr>
                <w:spacing w:val="-5"/>
                <w:sz w:val="24"/>
              </w:rPr>
              <w:t> </w:t>
            </w:r>
            <w:r>
              <w:rPr>
                <w:sz w:val="24"/>
              </w:rPr>
              <w:t>хотят</w:t>
            </w:r>
            <w:r>
              <w:rPr>
                <w:spacing w:val="-1"/>
                <w:sz w:val="24"/>
              </w:rPr>
              <w:t> </w:t>
            </w:r>
            <w:r>
              <w:rPr>
                <w:sz w:val="24"/>
              </w:rPr>
              <w:t>поговорить</w:t>
            </w:r>
            <w:r>
              <w:rPr>
                <w:spacing w:val="-2"/>
                <w:sz w:val="24"/>
              </w:rPr>
              <w:t> </w:t>
            </w:r>
            <w:r>
              <w:rPr>
                <w:sz w:val="24"/>
              </w:rPr>
              <w:t>со</w:t>
            </w:r>
            <w:r>
              <w:rPr>
                <w:spacing w:val="-2"/>
                <w:sz w:val="24"/>
              </w:rPr>
              <w:t> </w:t>
            </w:r>
            <w:r>
              <w:rPr>
                <w:spacing w:val="-4"/>
                <w:sz w:val="24"/>
              </w:rPr>
              <w:t>мной</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left="813"/>
              <w:rPr>
                <w:sz w:val="24"/>
              </w:rPr>
            </w:pPr>
            <w:r>
              <w:rPr>
                <w:spacing w:val="-10"/>
                <w:sz w:val="24"/>
              </w:rPr>
              <w:t>Н</w:t>
            </w:r>
          </w:p>
        </w:tc>
      </w:tr>
      <w:tr>
        <w:trPr>
          <w:trHeight w:val="552" w:hRule="atLeast"/>
        </w:trPr>
        <w:tc>
          <w:tcPr>
            <w:tcW w:w="542" w:type="dxa"/>
          </w:tcPr>
          <w:p>
            <w:pPr>
              <w:pStyle w:val="TableParagraph"/>
              <w:spacing w:line="268" w:lineRule="exact"/>
              <w:ind w:left="107"/>
              <w:rPr>
                <w:sz w:val="24"/>
              </w:rPr>
            </w:pPr>
            <w:r>
              <w:rPr>
                <w:spacing w:val="-5"/>
                <w:sz w:val="24"/>
              </w:rPr>
              <w:t>20</w:t>
            </w:r>
          </w:p>
        </w:tc>
        <w:tc>
          <w:tcPr>
            <w:tcW w:w="6121" w:type="dxa"/>
          </w:tcPr>
          <w:p>
            <w:pPr>
              <w:pStyle w:val="TableParagraph"/>
              <w:spacing w:line="268" w:lineRule="exact"/>
              <w:ind w:left="105"/>
              <w:rPr>
                <w:sz w:val="24"/>
              </w:rPr>
            </w:pPr>
            <w:r>
              <w:rPr>
                <w:sz w:val="24"/>
              </w:rPr>
              <w:t>Я</w:t>
            </w:r>
            <w:r>
              <w:rPr>
                <w:spacing w:val="-2"/>
                <w:sz w:val="24"/>
              </w:rPr>
              <w:t> </w:t>
            </w:r>
            <w:r>
              <w:rPr>
                <w:sz w:val="24"/>
              </w:rPr>
              <w:t>часто</w:t>
            </w:r>
            <w:r>
              <w:rPr>
                <w:spacing w:val="-1"/>
                <w:sz w:val="24"/>
              </w:rPr>
              <w:t> </w:t>
            </w:r>
            <w:r>
              <w:rPr>
                <w:sz w:val="24"/>
              </w:rPr>
              <w:t>ощущаю</w:t>
            </w:r>
            <w:r>
              <w:rPr>
                <w:spacing w:val="-1"/>
                <w:sz w:val="24"/>
              </w:rPr>
              <w:t> </w:t>
            </w:r>
            <w:r>
              <w:rPr>
                <w:sz w:val="24"/>
              </w:rPr>
              <w:t>себя</w:t>
            </w:r>
            <w:r>
              <w:rPr>
                <w:spacing w:val="-1"/>
                <w:sz w:val="24"/>
              </w:rPr>
              <w:t> </w:t>
            </w:r>
            <w:r>
              <w:rPr>
                <w:sz w:val="24"/>
              </w:rPr>
              <w:t>на</w:t>
            </w:r>
            <w:r>
              <w:rPr>
                <w:spacing w:val="-2"/>
                <w:sz w:val="24"/>
              </w:rPr>
              <w:t> </w:t>
            </w:r>
            <w:r>
              <w:rPr>
                <w:sz w:val="24"/>
              </w:rPr>
              <w:t>пределе</w:t>
            </w:r>
            <w:r>
              <w:rPr>
                <w:spacing w:val="-2"/>
                <w:sz w:val="24"/>
              </w:rPr>
              <w:t> </w:t>
            </w:r>
            <w:r>
              <w:rPr>
                <w:sz w:val="24"/>
              </w:rPr>
              <w:t>возможностей,</w:t>
            </w:r>
            <w:r>
              <w:rPr>
                <w:spacing w:val="-1"/>
                <w:sz w:val="24"/>
              </w:rPr>
              <w:t> </w:t>
            </w:r>
            <w:r>
              <w:rPr>
                <w:spacing w:val="-2"/>
                <w:sz w:val="24"/>
              </w:rPr>
              <w:t>когда</w:t>
            </w:r>
          </w:p>
          <w:p>
            <w:pPr>
              <w:pStyle w:val="TableParagraph"/>
              <w:spacing w:line="264" w:lineRule="exact"/>
              <w:ind w:left="105"/>
              <w:rPr>
                <w:sz w:val="24"/>
              </w:rPr>
            </w:pPr>
            <w:r>
              <w:rPr>
                <w:sz w:val="24"/>
              </w:rPr>
              <w:t>нахожусь</w:t>
            </w:r>
            <w:r>
              <w:rPr>
                <w:spacing w:val="-3"/>
                <w:sz w:val="24"/>
              </w:rPr>
              <w:t> </w:t>
            </w:r>
            <w:r>
              <w:rPr>
                <w:sz w:val="24"/>
              </w:rPr>
              <w:t>в</w:t>
            </w:r>
            <w:r>
              <w:rPr>
                <w:spacing w:val="-4"/>
                <w:sz w:val="24"/>
              </w:rPr>
              <w:t> </w:t>
            </w:r>
            <w:r>
              <w:rPr>
                <w:sz w:val="24"/>
              </w:rPr>
              <w:t>группе</w:t>
            </w:r>
            <w:r>
              <w:rPr>
                <w:spacing w:val="-3"/>
                <w:sz w:val="24"/>
              </w:rPr>
              <w:t> </w:t>
            </w:r>
            <w:r>
              <w:rPr>
                <w:spacing w:val="-2"/>
                <w:sz w:val="24"/>
              </w:rPr>
              <w:t>людей</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left="813"/>
              <w:rPr>
                <w:sz w:val="24"/>
              </w:rPr>
            </w:pPr>
            <w:r>
              <w:rPr>
                <w:spacing w:val="-10"/>
                <w:sz w:val="24"/>
              </w:rPr>
              <w:t>Н</w:t>
            </w:r>
          </w:p>
        </w:tc>
      </w:tr>
      <w:tr>
        <w:trPr>
          <w:trHeight w:val="275" w:hRule="atLeast"/>
        </w:trPr>
        <w:tc>
          <w:tcPr>
            <w:tcW w:w="542" w:type="dxa"/>
          </w:tcPr>
          <w:p>
            <w:pPr>
              <w:pStyle w:val="TableParagraph"/>
              <w:spacing w:line="256" w:lineRule="exact"/>
              <w:ind w:left="107"/>
              <w:rPr>
                <w:sz w:val="24"/>
              </w:rPr>
            </w:pPr>
            <w:r>
              <w:rPr>
                <w:spacing w:val="-5"/>
                <w:sz w:val="24"/>
              </w:rPr>
              <w:t>21</w:t>
            </w:r>
          </w:p>
        </w:tc>
        <w:tc>
          <w:tcPr>
            <w:tcW w:w="6121" w:type="dxa"/>
          </w:tcPr>
          <w:p>
            <w:pPr>
              <w:pStyle w:val="TableParagraph"/>
              <w:spacing w:line="256" w:lineRule="exact"/>
              <w:ind w:left="105"/>
              <w:rPr>
                <w:sz w:val="24"/>
              </w:rPr>
            </w:pPr>
            <w:r>
              <w:rPr>
                <w:sz w:val="24"/>
              </w:rPr>
              <w:t>Я</w:t>
            </w:r>
            <w:r>
              <w:rPr>
                <w:spacing w:val="-3"/>
                <w:sz w:val="24"/>
              </w:rPr>
              <w:t> </w:t>
            </w:r>
            <w:r>
              <w:rPr>
                <w:sz w:val="24"/>
              </w:rPr>
              <w:t>стремлюсь</w:t>
            </w:r>
            <w:r>
              <w:rPr>
                <w:spacing w:val="-2"/>
                <w:sz w:val="24"/>
              </w:rPr>
              <w:t> </w:t>
            </w:r>
            <w:r>
              <w:rPr>
                <w:sz w:val="24"/>
              </w:rPr>
              <w:t>избегать</w:t>
            </w:r>
            <w:r>
              <w:rPr>
                <w:spacing w:val="-1"/>
                <w:sz w:val="24"/>
              </w:rPr>
              <w:t> </w:t>
            </w:r>
            <w:r>
              <w:rPr>
                <w:spacing w:val="-4"/>
                <w:sz w:val="24"/>
              </w:rPr>
              <w:t>людей</w:t>
            </w:r>
          </w:p>
        </w:tc>
        <w:tc>
          <w:tcPr>
            <w:tcW w:w="1419" w:type="dxa"/>
          </w:tcPr>
          <w:p>
            <w:pPr>
              <w:pStyle w:val="TableParagraph"/>
              <w:spacing w:line="256" w:lineRule="exact"/>
              <w:ind w:right="430"/>
              <w:jc w:val="right"/>
              <w:rPr>
                <w:sz w:val="24"/>
              </w:rPr>
            </w:pPr>
            <w:r>
              <w:rPr>
                <w:spacing w:val="-10"/>
                <w:sz w:val="24"/>
              </w:rPr>
              <w:t>В</w:t>
            </w:r>
          </w:p>
        </w:tc>
        <w:tc>
          <w:tcPr>
            <w:tcW w:w="1418" w:type="dxa"/>
          </w:tcPr>
          <w:p>
            <w:pPr>
              <w:pStyle w:val="TableParagraph"/>
              <w:spacing w:line="256" w:lineRule="exact"/>
              <w:ind w:left="813"/>
              <w:rPr>
                <w:sz w:val="24"/>
              </w:rPr>
            </w:pPr>
            <w:r>
              <w:rPr>
                <w:spacing w:val="-10"/>
                <w:sz w:val="24"/>
              </w:rPr>
              <w:t>Н</w:t>
            </w:r>
          </w:p>
        </w:tc>
      </w:tr>
      <w:tr>
        <w:trPr>
          <w:trHeight w:val="553" w:hRule="atLeast"/>
        </w:trPr>
        <w:tc>
          <w:tcPr>
            <w:tcW w:w="542" w:type="dxa"/>
          </w:tcPr>
          <w:p>
            <w:pPr>
              <w:pStyle w:val="TableParagraph"/>
              <w:spacing w:line="268" w:lineRule="exact"/>
              <w:ind w:left="107"/>
              <w:rPr>
                <w:sz w:val="24"/>
              </w:rPr>
            </w:pPr>
            <w:r>
              <w:rPr>
                <w:spacing w:val="-5"/>
                <w:sz w:val="24"/>
              </w:rPr>
              <w:t>22</w:t>
            </w:r>
          </w:p>
        </w:tc>
        <w:tc>
          <w:tcPr>
            <w:tcW w:w="6121" w:type="dxa"/>
          </w:tcPr>
          <w:p>
            <w:pPr>
              <w:pStyle w:val="TableParagraph"/>
              <w:spacing w:line="268" w:lineRule="exact"/>
              <w:ind w:left="105"/>
              <w:rPr>
                <w:sz w:val="24"/>
              </w:rPr>
            </w:pPr>
            <w:r>
              <w:rPr>
                <w:sz w:val="24"/>
              </w:rPr>
              <w:t>Я</w:t>
            </w:r>
            <w:r>
              <w:rPr>
                <w:spacing w:val="-4"/>
                <w:sz w:val="24"/>
              </w:rPr>
              <w:t> </w:t>
            </w:r>
            <w:r>
              <w:rPr>
                <w:sz w:val="24"/>
              </w:rPr>
              <w:t>не</w:t>
            </w:r>
            <w:r>
              <w:rPr>
                <w:spacing w:val="-3"/>
                <w:sz w:val="24"/>
              </w:rPr>
              <w:t> </w:t>
            </w:r>
            <w:r>
              <w:rPr>
                <w:sz w:val="24"/>
              </w:rPr>
              <w:t>стремлюсь</w:t>
            </w:r>
            <w:r>
              <w:rPr>
                <w:spacing w:val="-2"/>
                <w:sz w:val="24"/>
              </w:rPr>
              <w:t> </w:t>
            </w:r>
            <w:r>
              <w:rPr>
                <w:sz w:val="24"/>
              </w:rPr>
              <w:t>вступать</w:t>
            </w:r>
            <w:r>
              <w:rPr>
                <w:spacing w:val="-1"/>
                <w:sz w:val="24"/>
              </w:rPr>
              <w:t> </w:t>
            </w:r>
            <w:r>
              <w:rPr>
                <w:sz w:val="24"/>
              </w:rPr>
              <w:t>в</w:t>
            </w:r>
            <w:r>
              <w:rPr>
                <w:spacing w:val="-2"/>
                <w:sz w:val="24"/>
              </w:rPr>
              <w:t> </w:t>
            </w:r>
            <w:r>
              <w:rPr>
                <w:sz w:val="24"/>
              </w:rPr>
              <w:t>разговор</w:t>
            </w:r>
            <w:r>
              <w:rPr>
                <w:spacing w:val="-2"/>
                <w:sz w:val="24"/>
              </w:rPr>
              <w:t> </w:t>
            </w:r>
            <w:r>
              <w:rPr>
                <w:sz w:val="24"/>
              </w:rPr>
              <w:t>с</w:t>
            </w:r>
            <w:r>
              <w:rPr>
                <w:spacing w:val="-4"/>
                <w:sz w:val="24"/>
              </w:rPr>
              <w:t> </w:t>
            </w:r>
            <w:r>
              <w:rPr>
                <w:sz w:val="24"/>
              </w:rPr>
              <w:t>людьми</w:t>
            </w:r>
            <w:r>
              <w:rPr>
                <w:spacing w:val="-3"/>
                <w:sz w:val="24"/>
              </w:rPr>
              <w:t> </w:t>
            </w:r>
            <w:r>
              <w:rPr>
                <w:spacing w:val="-5"/>
                <w:sz w:val="24"/>
              </w:rPr>
              <w:t>на</w:t>
            </w:r>
          </w:p>
          <w:p>
            <w:pPr>
              <w:pStyle w:val="TableParagraph"/>
              <w:spacing w:line="266" w:lineRule="exact"/>
              <w:ind w:left="105"/>
              <w:rPr>
                <w:sz w:val="24"/>
              </w:rPr>
            </w:pPr>
            <w:r>
              <w:rPr>
                <w:sz w:val="24"/>
              </w:rPr>
              <w:t>вечеринках</w:t>
            </w:r>
            <w:r>
              <w:rPr>
                <w:spacing w:val="-3"/>
                <w:sz w:val="24"/>
              </w:rPr>
              <w:t> </w:t>
            </w:r>
            <w:r>
              <w:rPr>
                <w:sz w:val="24"/>
              </w:rPr>
              <w:t>или</w:t>
            </w:r>
            <w:r>
              <w:rPr>
                <w:spacing w:val="-5"/>
                <w:sz w:val="24"/>
              </w:rPr>
              <w:t> </w:t>
            </w:r>
            <w:r>
              <w:rPr>
                <w:sz w:val="24"/>
              </w:rPr>
              <w:t>других</w:t>
            </w:r>
            <w:r>
              <w:rPr>
                <w:spacing w:val="-3"/>
                <w:sz w:val="24"/>
              </w:rPr>
              <w:t> </w:t>
            </w:r>
            <w:r>
              <w:rPr>
                <w:sz w:val="24"/>
              </w:rPr>
              <w:t>публичных</w:t>
            </w:r>
            <w:r>
              <w:rPr>
                <w:spacing w:val="-3"/>
                <w:sz w:val="24"/>
              </w:rPr>
              <w:t> </w:t>
            </w:r>
            <w:r>
              <w:rPr>
                <w:spacing w:val="-2"/>
                <w:sz w:val="24"/>
              </w:rPr>
              <w:t>мероприятиях</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left="813"/>
              <w:rPr>
                <w:sz w:val="24"/>
              </w:rPr>
            </w:pPr>
            <w:r>
              <w:rPr>
                <w:spacing w:val="-10"/>
                <w:sz w:val="24"/>
              </w:rPr>
              <w:t>Н</w:t>
            </w:r>
          </w:p>
        </w:tc>
      </w:tr>
    </w:tbl>
    <w:p>
      <w:pPr>
        <w:pStyle w:val="TableParagraph"/>
        <w:spacing w:after="0" w:line="268" w:lineRule="exact"/>
        <w:rPr>
          <w:sz w:val="24"/>
        </w:rPr>
        <w:sectPr>
          <w:pgSz w:w="11910" w:h="16840"/>
          <w:pgMar w:header="0" w:footer="970" w:top="1040" w:bottom="1220" w:left="1417" w:right="283"/>
        </w:sectPr>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2"/>
        <w:gridCol w:w="6121"/>
        <w:gridCol w:w="1419"/>
        <w:gridCol w:w="1418"/>
      </w:tblGrid>
      <w:tr>
        <w:trPr>
          <w:trHeight w:val="554" w:hRule="atLeast"/>
        </w:trPr>
        <w:tc>
          <w:tcPr>
            <w:tcW w:w="542" w:type="dxa"/>
          </w:tcPr>
          <w:p>
            <w:pPr>
              <w:pStyle w:val="TableParagraph"/>
              <w:spacing w:line="270" w:lineRule="exact"/>
              <w:ind w:left="107"/>
              <w:rPr>
                <w:sz w:val="24"/>
              </w:rPr>
            </w:pPr>
            <w:r>
              <w:rPr>
                <w:spacing w:val="-5"/>
                <w:sz w:val="24"/>
              </w:rPr>
              <w:t>23</w:t>
            </w:r>
          </w:p>
        </w:tc>
        <w:tc>
          <w:tcPr>
            <w:tcW w:w="6121" w:type="dxa"/>
          </w:tcPr>
          <w:p>
            <w:pPr>
              <w:pStyle w:val="TableParagraph"/>
              <w:spacing w:line="270" w:lineRule="exact"/>
              <w:ind w:left="105"/>
              <w:rPr>
                <w:sz w:val="24"/>
              </w:rPr>
            </w:pPr>
            <w:r>
              <w:rPr>
                <w:sz w:val="24"/>
              </w:rPr>
              <w:t>Мне</w:t>
            </w:r>
            <w:r>
              <w:rPr>
                <w:spacing w:val="-5"/>
                <w:sz w:val="24"/>
              </w:rPr>
              <w:t> </w:t>
            </w:r>
            <w:r>
              <w:rPr>
                <w:sz w:val="24"/>
              </w:rPr>
              <w:t>редко удается</w:t>
            </w:r>
            <w:r>
              <w:rPr>
                <w:spacing w:val="-1"/>
                <w:sz w:val="24"/>
              </w:rPr>
              <w:t> </w:t>
            </w:r>
            <w:r>
              <w:rPr>
                <w:sz w:val="24"/>
              </w:rPr>
              <w:t>чувствовать себя</w:t>
            </w:r>
            <w:r>
              <w:rPr>
                <w:spacing w:val="-2"/>
                <w:sz w:val="24"/>
              </w:rPr>
              <w:t> </w:t>
            </w:r>
            <w:r>
              <w:rPr>
                <w:sz w:val="24"/>
              </w:rPr>
              <w:t>хорошо</w:t>
            </w:r>
            <w:r>
              <w:rPr>
                <w:spacing w:val="-2"/>
                <w:sz w:val="24"/>
              </w:rPr>
              <w:t> </w:t>
            </w:r>
            <w:r>
              <w:rPr>
                <w:sz w:val="24"/>
              </w:rPr>
              <w:t>в</w:t>
            </w:r>
            <w:r>
              <w:rPr>
                <w:spacing w:val="-2"/>
                <w:sz w:val="24"/>
              </w:rPr>
              <w:t> большой</w:t>
            </w:r>
          </w:p>
          <w:p>
            <w:pPr>
              <w:pStyle w:val="TableParagraph"/>
              <w:spacing w:line="264" w:lineRule="exact"/>
              <w:ind w:left="105"/>
              <w:rPr>
                <w:sz w:val="24"/>
              </w:rPr>
            </w:pPr>
            <w:r>
              <w:rPr>
                <w:sz w:val="24"/>
              </w:rPr>
              <w:t>группе</w:t>
            </w:r>
            <w:r>
              <w:rPr>
                <w:spacing w:val="-4"/>
                <w:sz w:val="24"/>
              </w:rPr>
              <w:t> </w:t>
            </w:r>
            <w:r>
              <w:rPr>
                <w:spacing w:val="-2"/>
                <w:sz w:val="24"/>
              </w:rPr>
              <w:t>людей</w:t>
            </w:r>
          </w:p>
        </w:tc>
        <w:tc>
          <w:tcPr>
            <w:tcW w:w="1419" w:type="dxa"/>
          </w:tcPr>
          <w:p>
            <w:pPr>
              <w:pStyle w:val="TableParagraph"/>
              <w:spacing w:line="270" w:lineRule="exact"/>
              <w:ind w:right="430"/>
              <w:jc w:val="right"/>
              <w:rPr>
                <w:sz w:val="24"/>
              </w:rPr>
            </w:pPr>
            <w:r>
              <w:rPr>
                <w:spacing w:val="-10"/>
                <w:sz w:val="24"/>
              </w:rPr>
              <w:t>В</w:t>
            </w:r>
          </w:p>
        </w:tc>
        <w:tc>
          <w:tcPr>
            <w:tcW w:w="1418" w:type="dxa"/>
          </w:tcPr>
          <w:p>
            <w:pPr>
              <w:pStyle w:val="TableParagraph"/>
              <w:spacing w:line="270" w:lineRule="exact"/>
              <w:ind w:right="418"/>
              <w:jc w:val="right"/>
              <w:rPr>
                <w:sz w:val="24"/>
              </w:rPr>
            </w:pPr>
            <w:r>
              <w:rPr>
                <w:spacing w:val="-10"/>
                <w:sz w:val="24"/>
              </w:rPr>
              <w:t>Н</w:t>
            </w:r>
          </w:p>
        </w:tc>
      </w:tr>
      <w:tr>
        <w:trPr>
          <w:trHeight w:val="551" w:hRule="atLeast"/>
        </w:trPr>
        <w:tc>
          <w:tcPr>
            <w:tcW w:w="542" w:type="dxa"/>
          </w:tcPr>
          <w:p>
            <w:pPr>
              <w:pStyle w:val="TableParagraph"/>
              <w:spacing w:line="268" w:lineRule="exact"/>
              <w:ind w:left="107"/>
              <w:rPr>
                <w:sz w:val="24"/>
              </w:rPr>
            </w:pPr>
            <w:r>
              <w:rPr>
                <w:spacing w:val="-5"/>
                <w:sz w:val="24"/>
              </w:rPr>
              <w:t>24</w:t>
            </w:r>
          </w:p>
        </w:tc>
        <w:tc>
          <w:tcPr>
            <w:tcW w:w="6121" w:type="dxa"/>
          </w:tcPr>
          <w:p>
            <w:pPr>
              <w:pStyle w:val="TableParagraph"/>
              <w:spacing w:line="268" w:lineRule="exact"/>
              <w:ind w:left="105"/>
              <w:rPr>
                <w:sz w:val="24"/>
              </w:rPr>
            </w:pPr>
            <w:r>
              <w:rPr>
                <w:sz w:val="24"/>
              </w:rPr>
              <w:t>Мне</w:t>
            </w:r>
            <w:r>
              <w:rPr>
                <w:spacing w:val="-4"/>
                <w:sz w:val="24"/>
              </w:rPr>
              <w:t> </w:t>
            </w:r>
            <w:r>
              <w:rPr>
                <w:sz w:val="24"/>
              </w:rPr>
              <w:t>часто</w:t>
            </w:r>
            <w:r>
              <w:rPr>
                <w:spacing w:val="-2"/>
                <w:sz w:val="24"/>
              </w:rPr>
              <w:t> </w:t>
            </w:r>
            <w:r>
              <w:rPr>
                <w:sz w:val="24"/>
              </w:rPr>
              <w:t>приходится</w:t>
            </w:r>
            <w:r>
              <w:rPr>
                <w:spacing w:val="-6"/>
                <w:sz w:val="24"/>
              </w:rPr>
              <w:t> </w:t>
            </w:r>
            <w:r>
              <w:rPr>
                <w:sz w:val="24"/>
              </w:rPr>
              <w:t>изобретать</w:t>
            </w:r>
            <w:r>
              <w:rPr>
                <w:spacing w:val="-4"/>
                <w:sz w:val="24"/>
              </w:rPr>
              <w:t> </w:t>
            </w:r>
            <w:r>
              <w:rPr>
                <w:sz w:val="24"/>
              </w:rPr>
              <w:t>предлоги,</w:t>
            </w:r>
            <w:r>
              <w:rPr>
                <w:spacing w:val="-2"/>
                <w:sz w:val="24"/>
              </w:rPr>
              <w:t> чтобы</w:t>
            </w:r>
          </w:p>
          <w:p>
            <w:pPr>
              <w:pStyle w:val="TableParagraph"/>
              <w:spacing w:line="264" w:lineRule="exact"/>
              <w:ind w:left="105"/>
              <w:rPr>
                <w:sz w:val="24"/>
              </w:rPr>
            </w:pPr>
            <w:r>
              <w:rPr>
                <w:sz w:val="24"/>
              </w:rPr>
              <w:t>избежать</w:t>
            </w:r>
            <w:r>
              <w:rPr>
                <w:spacing w:val="-2"/>
                <w:sz w:val="24"/>
              </w:rPr>
              <w:t> </w:t>
            </w:r>
            <w:r>
              <w:rPr>
                <w:sz w:val="24"/>
              </w:rPr>
              <w:t>встреч</w:t>
            </w:r>
            <w:r>
              <w:rPr>
                <w:spacing w:val="-3"/>
                <w:sz w:val="24"/>
              </w:rPr>
              <w:t> </w:t>
            </w:r>
            <w:r>
              <w:rPr>
                <w:sz w:val="24"/>
              </w:rPr>
              <w:t>с</w:t>
            </w:r>
            <w:r>
              <w:rPr>
                <w:spacing w:val="-2"/>
                <w:sz w:val="24"/>
              </w:rPr>
              <w:t> людьми</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right="418"/>
              <w:jc w:val="right"/>
              <w:rPr>
                <w:sz w:val="24"/>
              </w:rPr>
            </w:pPr>
            <w:r>
              <w:rPr>
                <w:spacing w:val="-10"/>
                <w:sz w:val="24"/>
              </w:rPr>
              <w:t>Н</w:t>
            </w:r>
          </w:p>
        </w:tc>
      </w:tr>
      <w:tr>
        <w:trPr>
          <w:trHeight w:val="551" w:hRule="atLeast"/>
        </w:trPr>
        <w:tc>
          <w:tcPr>
            <w:tcW w:w="542" w:type="dxa"/>
          </w:tcPr>
          <w:p>
            <w:pPr>
              <w:pStyle w:val="TableParagraph"/>
              <w:spacing w:line="268" w:lineRule="exact"/>
              <w:ind w:left="107"/>
              <w:rPr>
                <w:sz w:val="24"/>
              </w:rPr>
            </w:pPr>
            <w:r>
              <w:rPr>
                <w:spacing w:val="-5"/>
                <w:sz w:val="24"/>
              </w:rPr>
              <w:t>25</w:t>
            </w:r>
          </w:p>
        </w:tc>
        <w:tc>
          <w:tcPr>
            <w:tcW w:w="6121" w:type="dxa"/>
          </w:tcPr>
          <w:p>
            <w:pPr>
              <w:pStyle w:val="TableParagraph"/>
              <w:spacing w:line="268" w:lineRule="exact"/>
              <w:ind w:left="105"/>
              <w:rPr>
                <w:sz w:val="24"/>
              </w:rPr>
            </w:pPr>
            <w:r>
              <w:rPr>
                <w:sz w:val="24"/>
              </w:rPr>
              <w:t>Я</w:t>
            </w:r>
            <w:r>
              <w:rPr>
                <w:spacing w:val="-1"/>
                <w:sz w:val="24"/>
              </w:rPr>
              <w:t> </w:t>
            </w:r>
            <w:r>
              <w:rPr>
                <w:sz w:val="24"/>
              </w:rPr>
              <w:t>иногда</w:t>
            </w:r>
            <w:r>
              <w:rPr>
                <w:spacing w:val="-2"/>
                <w:sz w:val="24"/>
              </w:rPr>
              <w:t> </w:t>
            </w:r>
            <w:r>
              <w:rPr>
                <w:sz w:val="24"/>
              </w:rPr>
              <w:t>беру</w:t>
            </w:r>
            <w:r>
              <w:rPr>
                <w:spacing w:val="-8"/>
                <w:sz w:val="24"/>
              </w:rPr>
              <w:t> </w:t>
            </w:r>
            <w:r>
              <w:rPr>
                <w:sz w:val="24"/>
              </w:rPr>
              <w:t>на</w:t>
            </w:r>
            <w:r>
              <w:rPr>
                <w:spacing w:val="1"/>
                <w:sz w:val="24"/>
              </w:rPr>
              <w:t> </w:t>
            </w:r>
            <w:r>
              <w:rPr>
                <w:sz w:val="24"/>
              </w:rPr>
              <w:t>себя</w:t>
            </w:r>
            <w:r>
              <w:rPr>
                <w:spacing w:val="-1"/>
                <w:sz w:val="24"/>
              </w:rPr>
              <w:t> </w:t>
            </w:r>
            <w:r>
              <w:rPr>
                <w:sz w:val="24"/>
              </w:rPr>
              <w:t>ответственность</w:t>
            </w:r>
            <w:r>
              <w:rPr>
                <w:spacing w:val="1"/>
                <w:sz w:val="24"/>
              </w:rPr>
              <w:t> </w:t>
            </w:r>
            <w:r>
              <w:rPr>
                <w:spacing w:val="-2"/>
                <w:sz w:val="24"/>
              </w:rPr>
              <w:t>представить</w:t>
            </w:r>
          </w:p>
          <w:p>
            <w:pPr>
              <w:pStyle w:val="TableParagraph"/>
              <w:spacing w:line="264" w:lineRule="exact"/>
              <w:ind w:left="105"/>
              <w:rPr>
                <w:sz w:val="24"/>
              </w:rPr>
            </w:pPr>
            <w:r>
              <w:rPr>
                <w:sz w:val="24"/>
              </w:rPr>
              <w:t>людей</w:t>
            </w:r>
            <w:r>
              <w:rPr>
                <w:spacing w:val="-7"/>
                <w:sz w:val="24"/>
              </w:rPr>
              <w:t> </w:t>
            </w:r>
            <w:r>
              <w:rPr>
                <w:sz w:val="24"/>
              </w:rPr>
              <w:t>друг</w:t>
            </w:r>
            <w:r>
              <w:rPr>
                <w:spacing w:val="-4"/>
                <w:sz w:val="24"/>
              </w:rPr>
              <w:t> другу</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right="418"/>
              <w:jc w:val="right"/>
              <w:rPr>
                <w:sz w:val="24"/>
              </w:rPr>
            </w:pPr>
            <w:r>
              <w:rPr>
                <w:spacing w:val="-10"/>
                <w:sz w:val="24"/>
              </w:rPr>
              <w:t>Н</w:t>
            </w:r>
          </w:p>
        </w:tc>
      </w:tr>
      <w:tr>
        <w:trPr>
          <w:trHeight w:val="551" w:hRule="atLeast"/>
        </w:trPr>
        <w:tc>
          <w:tcPr>
            <w:tcW w:w="542" w:type="dxa"/>
          </w:tcPr>
          <w:p>
            <w:pPr>
              <w:pStyle w:val="TableParagraph"/>
              <w:spacing w:line="268" w:lineRule="exact"/>
              <w:ind w:left="107"/>
              <w:rPr>
                <w:sz w:val="24"/>
              </w:rPr>
            </w:pPr>
            <w:r>
              <w:rPr>
                <w:spacing w:val="-5"/>
                <w:sz w:val="24"/>
              </w:rPr>
              <w:t>26</w:t>
            </w:r>
          </w:p>
        </w:tc>
        <w:tc>
          <w:tcPr>
            <w:tcW w:w="6121" w:type="dxa"/>
          </w:tcPr>
          <w:p>
            <w:pPr>
              <w:pStyle w:val="TableParagraph"/>
              <w:spacing w:line="268" w:lineRule="exact"/>
              <w:ind w:left="105"/>
              <w:rPr>
                <w:sz w:val="24"/>
              </w:rPr>
            </w:pPr>
            <w:r>
              <w:rPr>
                <w:sz w:val="24"/>
              </w:rPr>
              <w:t>Я</w:t>
            </w:r>
            <w:r>
              <w:rPr>
                <w:spacing w:val="-3"/>
                <w:sz w:val="24"/>
              </w:rPr>
              <w:t> </w:t>
            </w:r>
            <w:r>
              <w:rPr>
                <w:sz w:val="24"/>
              </w:rPr>
              <w:t>стараюсь</w:t>
            </w:r>
            <w:r>
              <w:rPr>
                <w:spacing w:val="-3"/>
                <w:sz w:val="24"/>
              </w:rPr>
              <w:t> </w:t>
            </w:r>
            <w:r>
              <w:rPr>
                <w:sz w:val="24"/>
              </w:rPr>
              <w:t>избегать</w:t>
            </w:r>
            <w:r>
              <w:rPr>
                <w:spacing w:val="-3"/>
                <w:sz w:val="24"/>
              </w:rPr>
              <w:t> </w:t>
            </w:r>
            <w:r>
              <w:rPr>
                <w:sz w:val="24"/>
              </w:rPr>
              <w:t>формальных</w:t>
            </w:r>
            <w:r>
              <w:rPr>
                <w:spacing w:val="-3"/>
                <w:sz w:val="24"/>
              </w:rPr>
              <w:t> </w:t>
            </w:r>
            <w:r>
              <w:rPr>
                <w:spacing w:val="-2"/>
                <w:sz w:val="24"/>
              </w:rPr>
              <w:t>публичных</w:t>
            </w:r>
          </w:p>
          <w:p>
            <w:pPr>
              <w:pStyle w:val="TableParagraph"/>
              <w:spacing w:line="264" w:lineRule="exact"/>
              <w:ind w:left="105"/>
              <w:rPr>
                <w:sz w:val="24"/>
              </w:rPr>
            </w:pPr>
            <w:r>
              <w:rPr>
                <w:spacing w:val="-2"/>
                <w:sz w:val="24"/>
              </w:rPr>
              <w:t>мероприятий</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right="418"/>
              <w:jc w:val="right"/>
              <w:rPr>
                <w:sz w:val="24"/>
              </w:rPr>
            </w:pPr>
            <w:r>
              <w:rPr>
                <w:spacing w:val="-10"/>
                <w:sz w:val="24"/>
              </w:rPr>
              <w:t>Н</w:t>
            </w:r>
          </w:p>
        </w:tc>
      </w:tr>
      <w:tr>
        <w:trPr>
          <w:trHeight w:val="551" w:hRule="atLeast"/>
        </w:trPr>
        <w:tc>
          <w:tcPr>
            <w:tcW w:w="542" w:type="dxa"/>
          </w:tcPr>
          <w:p>
            <w:pPr>
              <w:pStyle w:val="TableParagraph"/>
              <w:spacing w:line="268" w:lineRule="exact"/>
              <w:ind w:left="107"/>
              <w:rPr>
                <w:sz w:val="24"/>
              </w:rPr>
            </w:pPr>
            <w:r>
              <w:rPr>
                <w:spacing w:val="-5"/>
                <w:sz w:val="24"/>
              </w:rPr>
              <w:t>27</w:t>
            </w:r>
          </w:p>
        </w:tc>
        <w:tc>
          <w:tcPr>
            <w:tcW w:w="6121" w:type="dxa"/>
          </w:tcPr>
          <w:p>
            <w:pPr>
              <w:pStyle w:val="TableParagraph"/>
              <w:spacing w:line="268" w:lineRule="exact"/>
              <w:ind w:left="105"/>
              <w:rPr>
                <w:sz w:val="24"/>
              </w:rPr>
            </w:pPr>
            <w:r>
              <w:rPr>
                <w:sz w:val="24"/>
              </w:rPr>
              <w:t>Я,</w:t>
            </w:r>
            <w:r>
              <w:rPr>
                <w:spacing w:val="-3"/>
                <w:sz w:val="24"/>
              </w:rPr>
              <w:t> </w:t>
            </w:r>
            <w:r>
              <w:rPr>
                <w:sz w:val="24"/>
              </w:rPr>
              <w:t>как</w:t>
            </w:r>
            <w:r>
              <w:rPr>
                <w:spacing w:val="-3"/>
                <w:sz w:val="24"/>
              </w:rPr>
              <w:t> </w:t>
            </w:r>
            <w:r>
              <w:rPr>
                <w:sz w:val="24"/>
              </w:rPr>
              <w:t>правило,</w:t>
            </w:r>
            <w:r>
              <w:rPr>
                <w:spacing w:val="-5"/>
                <w:sz w:val="24"/>
              </w:rPr>
              <w:t> </w:t>
            </w:r>
            <w:r>
              <w:rPr>
                <w:sz w:val="24"/>
              </w:rPr>
              <w:t>принимаю</w:t>
            </w:r>
            <w:r>
              <w:rPr>
                <w:spacing w:val="-1"/>
                <w:sz w:val="24"/>
              </w:rPr>
              <w:t> </w:t>
            </w:r>
            <w:r>
              <w:rPr>
                <w:sz w:val="24"/>
              </w:rPr>
              <w:t>участие</w:t>
            </w:r>
            <w:r>
              <w:rPr>
                <w:spacing w:val="-3"/>
                <w:sz w:val="24"/>
              </w:rPr>
              <w:t> </w:t>
            </w:r>
            <w:r>
              <w:rPr>
                <w:sz w:val="24"/>
              </w:rPr>
              <w:t>во</w:t>
            </w:r>
            <w:r>
              <w:rPr>
                <w:spacing w:val="-3"/>
                <w:sz w:val="24"/>
              </w:rPr>
              <w:t> </w:t>
            </w:r>
            <w:r>
              <w:rPr>
                <w:sz w:val="24"/>
              </w:rPr>
              <w:t>всех </w:t>
            </w:r>
            <w:r>
              <w:rPr>
                <w:spacing w:val="-2"/>
                <w:sz w:val="24"/>
              </w:rPr>
              <w:t>обязательных</w:t>
            </w:r>
          </w:p>
          <w:p>
            <w:pPr>
              <w:pStyle w:val="TableParagraph"/>
              <w:spacing w:line="264" w:lineRule="exact"/>
              <w:ind w:left="105"/>
              <w:rPr>
                <w:sz w:val="24"/>
              </w:rPr>
            </w:pPr>
            <w:r>
              <w:rPr>
                <w:sz w:val="24"/>
              </w:rPr>
              <w:t>для</w:t>
            </w:r>
            <w:r>
              <w:rPr>
                <w:spacing w:val="-3"/>
                <w:sz w:val="24"/>
              </w:rPr>
              <w:t> </w:t>
            </w:r>
            <w:r>
              <w:rPr>
                <w:sz w:val="24"/>
              </w:rPr>
              <w:t>меня</w:t>
            </w:r>
            <w:r>
              <w:rPr>
                <w:spacing w:val="-3"/>
                <w:sz w:val="24"/>
              </w:rPr>
              <w:t> </w:t>
            </w:r>
            <w:r>
              <w:rPr>
                <w:sz w:val="24"/>
              </w:rPr>
              <w:t>публичных</w:t>
            </w:r>
            <w:r>
              <w:rPr>
                <w:spacing w:val="-2"/>
                <w:sz w:val="24"/>
              </w:rPr>
              <w:t> мероприятиях</w:t>
            </w:r>
          </w:p>
        </w:tc>
        <w:tc>
          <w:tcPr>
            <w:tcW w:w="1419" w:type="dxa"/>
          </w:tcPr>
          <w:p>
            <w:pPr>
              <w:pStyle w:val="TableParagraph"/>
              <w:spacing w:line="268" w:lineRule="exact"/>
              <w:ind w:right="430"/>
              <w:jc w:val="right"/>
              <w:rPr>
                <w:sz w:val="24"/>
              </w:rPr>
            </w:pPr>
            <w:r>
              <w:rPr>
                <w:spacing w:val="-10"/>
                <w:sz w:val="24"/>
              </w:rPr>
              <w:t>В</w:t>
            </w:r>
          </w:p>
        </w:tc>
        <w:tc>
          <w:tcPr>
            <w:tcW w:w="1418" w:type="dxa"/>
          </w:tcPr>
          <w:p>
            <w:pPr>
              <w:pStyle w:val="TableParagraph"/>
              <w:spacing w:line="268" w:lineRule="exact"/>
              <w:ind w:right="418"/>
              <w:jc w:val="right"/>
              <w:rPr>
                <w:sz w:val="24"/>
              </w:rPr>
            </w:pPr>
            <w:r>
              <w:rPr>
                <w:spacing w:val="-10"/>
                <w:sz w:val="24"/>
              </w:rPr>
              <w:t>Н</w:t>
            </w:r>
          </w:p>
        </w:tc>
      </w:tr>
      <w:tr>
        <w:trPr>
          <w:trHeight w:val="277" w:hRule="atLeast"/>
        </w:trPr>
        <w:tc>
          <w:tcPr>
            <w:tcW w:w="542" w:type="dxa"/>
          </w:tcPr>
          <w:p>
            <w:pPr>
              <w:pStyle w:val="TableParagraph"/>
              <w:spacing w:line="258" w:lineRule="exact"/>
              <w:ind w:left="107"/>
              <w:rPr>
                <w:sz w:val="24"/>
              </w:rPr>
            </w:pPr>
            <w:r>
              <w:rPr>
                <w:spacing w:val="-5"/>
                <w:sz w:val="24"/>
              </w:rPr>
              <w:t>28</w:t>
            </w:r>
          </w:p>
        </w:tc>
        <w:tc>
          <w:tcPr>
            <w:tcW w:w="6121" w:type="dxa"/>
          </w:tcPr>
          <w:p>
            <w:pPr>
              <w:pStyle w:val="TableParagraph"/>
              <w:spacing w:line="258" w:lineRule="exact"/>
              <w:ind w:left="105"/>
              <w:rPr>
                <w:sz w:val="24"/>
              </w:rPr>
            </w:pPr>
            <w:r>
              <w:rPr>
                <w:sz w:val="24"/>
              </w:rPr>
              <w:t>Я</w:t>
            </w:r>
            <w:r>
              <w:rPr>
                <w:spacing w:val="-3"/>
                <w:sz w:val="24"/>
              </w:rPr>
              <w:t> </w:t>
            </w:r>
            <w:r>
              <w:rPr>
                <w:sz w:val="24"/>
              </w:rPr>
              <w:t>чувствую</w:t>
            </w:r>
            <w:r>
              <w:rPr>
                <w:spacing w:val="-1"/>
                <w:sz w:val="24"/>
              </w:rPr>
              <w:t> </w:t>
            </w:r>
            <w:r>
              <w:rPr>
                <w:sz w:val="24"/>
              </w:rPr>
              <w:t>себя</w:t>
            </w:r>
            <w:r>
              <w:rPr>
                <w:spacing w:val="-3"/>
                <w:sz w:val="24"/>
              </w:rPr>
              <w:t> </w:t>
            </w:r>
            <w:r>
              <w:rPr>
                <w:sz w:val="24"/>
              </w:rPr>
              <w:t>легко с</w:t>
            </w:r>
            <w:r>
              <w:rPr>
                <w:spacing w:val="-4"/>
                <w:sz w:val="24"/>
              </w:rPr>
              <w:t> </w:t>
            </w:r>
            <w:r>
              <w:rPr>
                <w:sz w:val="24"/>
              </w:rPr>
              <w:t>другими</w:t>
            </w:r>
            <w:r>
              <w:rPr>
                <w:spacing w:val="-2"/>
                <w:sz w:val="24"/>
              </w:rPr>
              <w:t> людьми</w:t>
            </w:r>
          </w:p>
        </w:tc>
        <w:tc>
          <w:tcPr>
            <w:tcW w:w="1419" w:type="dxa"/>
          </w:tcPr>
          <w:p>
            <w:pPr>
              <w:pStyle w:val="TableParagraph"/>
              <w:spacing w:line="258" w:lineRule="exact"/>
              <w:ind w:right="430"/>
              <w:jc w:val="right"/>
              <w:rPr>
                <w:sz w:val="24"/>
              </w:rPr>
            </w:pPr>
            <w:r>
              <w:rPr>
                <w:spacing w:val="-10"/>
                <w:sz w:val="24"/>
              </w:rPr>
              <w:t>В</w:t>
            </w:r>
          </w:p>
        </w:tc>
        <w:tc>
          <w:tcPr>
            <w:tcW w:w="1418" w:type="dxa"/>
          </w:tcPr>
          <w:p>
            <w:pPr>
              <w:pStyle w:val="TableParagraph"/>
              <w:spacing w:line="258" w:lineRule="exact"/>
              <w:ind w:right="418"/>
              <w:jc w:val="right"/>
              <w:rPr>
                <w:sz w:val="24"/>
              </w:rPr>
            </w:pPr>
            <w:r>
              <w:rPr>
                <w:spacing w:val="-10"/>
                <w:sz w:val="24"/>
              </w:rPr>
              <w:t>Н</w:t>
            </w:r>
          </w:p>
        </w:tc>
      </w:tr>
    </w:tbl>
    <w:p>
      <w:pPr>
        <w:pStyle w:val="TableParagraph"/>
        <w:spacing w:after="0" w:line="258" w:lineRule="exact"/>
        <w:jc w:val="right"/>
        <w:rPr>
          <w:sz w:val="24"/>
        </w:rPr>
        <w:sectPr>
          <w:type w:val="continuous"/>
          <w:pgSz w:w="11910" w:h="16840"/>
          <w:pgMar w:header="0" w:footer="970" w:top="1100" w:bottom="1220" w:left="1417" w:right="283"/>
        </w:sectPr>
      </w:pPr>
    </w:p>
    <w:p>
      <w:pPr>
        <w:pStyle w:val="Heading2"/>
        <w:numPr>
          <w:ilvl w:val="0"/>
          <w:numId w:val="15"/>
        </w:numPr>
        <w:tabs>
          <w:tab w:pos="564" w:val="left" w:leader="none"/>
        </w:tabs>
        <w:spacing w:line="240" w:lineRule="auto" w:before="72" w:after="0"/>
        <w:ind w:left="564" w:right="0" w:hanging="279"/>
        <w:jc w:val="left"/>
      </w:pPr>
      <w:bookmarkStart w:name="_bookmark22" w:id="24"/>
      <w:bookmarkEnd w:id="24"/>
      <w:r>
        <w:rPr>
          <w:b w:val="0"/>
        </w:rPr>
      </w:r>
      <w:r>
        <w:rPr/>
        <w:t>Опросник</w:t>
      </w:r>
      <w:r>
        <w:rPr>
          <w:spacing w:val="-8"/>
        </w:rPr>
        <w:t> </w:t>
      </w:r>
      <w:r>
        <w:rPr>
          <w:spacing w:val="-2"/>
        </w:rPr>
        <w:t>депрессивности</w:t>
      </w:r>
    </w:p>
    <w:p>
      <w:pPr>
        <w:pStyle w:val="Heading3"/>
        <w:spacing w:before="290"/>
      </w:pPr>
      <w:r>
        <w:rPr/>
        <w:t>Описание</w:t>
      </w:r>
      <w:r>
        <w:rPr>
          <w:spacing w:val="-2"/>
        </w:rPr>
        <w:t> методики</w:t>
      </w:r>
    </w:p>
    <w:p>
      <w:pPr>
        <w:pStyle w:val="Heading5"/>
        <w:spacing w:line="322" w:lineRule="exact" w:before="235"/>
        <w:jc w:val="both"/>
      </w:pPr>
      <w:r>
        <w:rPr>
          <w:i w:val="0"/>
        </w:rPr>
        <w:t>Опросник</w:t>
      </w:r>
      <w:r>
        <w:rPr>
          <w:i w:val="0"/>
          <w:spacing w:val="30"/>
        </w:rPr>
        <w:t>  </w:t>
      </w:r>
      <w:r>
        <w:rPr/>
        <w:t>CES-D</w:t>
      </w:r>
      <w:r>
        <w:rPr>
          <w:spacing w:val="28"/>
        </w:rPr>
        <w:t>  </w:t>
      </w:r>
      <w:r>
        <w:rPr/>
        <w:t>(Center</w:t>
      </w:r>
      <w:r>
        <w:rPr>
          <w:spacing w:val="30"/>
        </w:rPr>
        <w:t>  </w:t>
      </w:r>
      <w:r>
        <w:rPr/>
        <w:t>of</w:t>
      </w:r>
      <w:r>
        <w:rPr>
          <w:spacing w:val="30"/>
        </w:rPr>
        <w:t>  </w:t>
      </w:r>
      <w:r>
        <w:rPr/>
        <w:t>Epidemiological</w:t>
      </w:r>
      <w:r>
        <w:rPr>
          <w:spacing w:val="29"/>
        </w:rPr>
        <w:t>  </w:t>
      </w:r>
      <w:r>
        <w:rPr/>
        <w:t>Studies</w:t>
      </w:r>
      <w:r>
        <w:rPr>
          <w:spacing w:val="30"/>
        </w:rPr>
        <w:t>  </w:t>
      </w:r>
      <w:r>
        <w:rPr/>
        <w:t>of</w:t>
      </w:r>
      <w:r>
        <w:rPr>
          <w:spacing w:val="29"/>
        </w:rPr>
        <w:t>  </w:t>
      </w:r>
      <w:r>
        <w:rPr/>
        <w:t>USA-</w:t>
      </w:r>
      <w:r>
        <w:rPr>
          <w:spacing w:val="-2"/>
        </w:rPr>
        <w:t>Depression)</w:t>
      </w:r>
    </w:p>
    <w:p>
      <w:pPr>
        <w:pStyle w:val="Heading4"/>
      </w:pPr>
      <w:r>
        <w:rPr/>
        <w:t>предназначен</w:t>
      </w:r>
      <w:r>
        <w:rPr>
          <w:spacing w:val="-12"/>
        </w:rPr>
        <w:t> </w:t>
      </w:r>
      <w:r>
        <w:rPr/>
        <w:t>для</w:t>
      </w:r>
      <w:r>
        <w:rPr>
          <w:spacing w:val="-9"/>
        </w:rPr>
        <w:t> </w:t>
      </w:r>
      <w:r>
        <w:rPr/>
        <w:t>скринингового</w:t>
      </w:r>
      <w:r>
        <w:rPr>
          <w:spacing w:val="-9"/>
        </w:rPr>
        <w:t> </w:t>
      </w:r>
      <w:r>
        <w:rPr/>
        <w:t>выявления</w:t>
      </w:r>
      <w:r>
        <w:rPr>
          <w:spacing w:val="-11"/>
        </w:rPr>
        <w:t> </w:t>
      </w:r>
      <w:r>
        <w:rPr/>
        <w:t>депрессивного</w:t>
      </w:r>
      <w:r>
        <w:rPr>
          <w:spacing w:val="-11"/>
        </w:rPr>
        <w:t> </w:t>
      </w:r>
      <w:r>
        <w:rPr>
          <w:spacing w:val="-2"/>
        </w:rPr>
        <w:t>расстройства.</w:t>
      </w:r>
    </w:p>
    <w:p>
      <w:pPr>
        <w:pStyle w:val="Heading4"/>
        <w:spacing w:before="240"/>
        <w:ind w:right="561"/>
      </w:pPr>
      <w:r>
        <w:rPr/>
        <w:t>Данная методика была разработана в 1977 г. в США Ленор Сойер Радлоф (</w:t>
      </w:r>
      <w:r>
        <w:rPr>
          <w:i/>
        </w:rPr>
        <w:t>Radloff</w:t>
      </w:r>
      <w:r>
        <w:rPr/>
        <w:t>, 1977). Сегодня это наиболее часто используемый в мире инструмент для эпидемиологических исследований депрессии. Несомненным достоинством опросника является простота использования: процедура заполнения занимает 5–10 минут, все вопросы сформулированы понятным </w:t>
      </w:r>
      <w:r>
        <w:rPr>
          <w:spacing w:val="-2"/>
        </w:rPr>
        <w:t>образом.</w:t>
      </w:r>
    </w:p>
    <w:p>
      <w:pPr>
        <w:pStyle w:val="Heading4"/>
        <w:spacing w:before="240"/>
        <w:ind w:right="563"/>
      </w:pPr>
      <w:r>
        <w:rPr/>
        <w:t>Опросник состоит из 20 утверждений, касающихся эмоционального состояния, уровня активности и самочувствия опрашиваемых. Вопросы включают четыре категории: соматические симптомы (7 пунктов), депрессивные аффекты (7 пунктов), позитивные аффекты (4 пункта) и межличностные отношения (2 пункта).</w:t>
      </w:r>
    </w:p>
    <w:p>
      <w:pPr>
        <w:pStyle w:val="Heading4"/>
        <w:spacing w:before="241"/>
        <w:ind w:right="564"/>
      </w:pPr>
      <w:r>
        <w:rPr/>
        <w:t>Варианты ответов отражают субъективную оценку частоты симптомов депрессии и ранжированы по психометрической шкале Лайкерта с четырьмя градациями:</w:t>
      </w:r>
      <w:r>
        <w:rPr>
          <w:spacing w:val="-1"/>
        </w:rPr>
        <w:t> </w:t>
      </w:r>
      <w:r>
        <w:rPr/>
        <w:t>от</w:t>
      </w:r>
      <w:r>
        <w:rPr>
          <w:spacing w:val="-2"/>
        </w:rPr>
        <w:t> </w:t>
      </w:r>
      <w:r>
        <w:rPr/>
        <w:t>0</w:t>
      </w:r>
      <w:r>
        <w:rPr>
          <w:spacing w:val="-1"/>
        </w:rPr>
        <w:t> </w:t>
      </w:r>
      <w:r>
        <w:rPr/>
        <w:t>(симптом</w:t>
      </w:r>
      <w:r>
        <w:rPr>
          <w:spacing w:val="-3"/>
        </w:rPr>
        <w:t> </w:t>
      </w:r>
      <w:r>
        <w:rPr/>
        <w:t>обнаруживается</w:t>
      </w:r>
      <w:r>
        <w:rPr>
          <w:spacing w:val="-2"/>
        </w:rPr>
        <w:t> </w:t>
      </w:r>
      <w:r>
        <w:rPr/>
        <w:t>очень</w:t>
      </w:r>
      <w:r>
        <w:rPr>
          <w:spacing w:val="-3"/>
        </w:rPr>
        <w:t> </w:t>
      </w:r>
      <w:r>
        <w:rPr/>
        <w:t>редко</w:t>
      </w:r>
      <w:r>
        <w:rPr>
          <w:spacing w:val="-2"/>
        </w:rPr>
        <w:t> </w:t>
      </w:r>
      <w:r>
        <w:rPr/>
        <w:t>или</w:t>
      </w:r>
      <w:r>
        <w:rPr>
          <w:spacing w:val="-1"/>
        </w:rPr>
        <w:t> </w:t>
      </w:r>
      <w:r>
        <w:rPr/>
        <w:t>вообще</w:t>
      </w:r>
      <w:r>
        <w:rPr>
          <w:spacing w:val="-2"/>
        </w:rPr>
        <w:t> </w:t>
      </w:r>
      <w:r>
        <w:rPr/>
        <w:t>никогда) до 3 (симптом присутствует постоянно). Общий балл может варьироваться в пределах от 0 до 60.</w:t>
      </w:r>
    </w:p>
    <w:p>
      <w:pPr>
        <w:pStyle w:val="Heading4"/>
        <w:spacing w:before="241"/>
        <w:ind w:right="560"/>
      </w:pPr>
      <w:r>
        <w:rPr/>
        <w:t>Методика</w:t>
      </w:r>
      <w:r>
        <w:rPr>
          <w:spacing w:val="-6"/>
        </w:rPr>
        <w:t> </w:t>
      </w:r>
      <w:r>
        <w:rPr/>
        <w:t>позволяет</w:t>
      </w:r>
      <w:r>
        <w:rPr>
          <w:spacing w:val="-6"/>
        </w:rPr>
        <w:t> </w:t>
      </w:r>
      <w:r>
        <w:rPr/>
        <w:t>предположить</w:t>
      </w:r>
      <w:r>
        <w:rPr>
          <w:spacing w:val="-8"/>
        </w:rPr>
        <w:t> </w:t>
      </w:r>
      <w:r>
        <w:rPr/>
        <w:t>наличие</w:t>
      </w:r>
      <w:r>
        <w:rPr>
          <w:spacing w:val="-6"/>
        </w:rPr>
        <w:t> </w:t>
      </w:r>
      <w:r>
        <w:rPr/>
        <w:t>и</w:t>
      </w:r>
      <w:r>
        <w:rPr>
          <w:spacing w:val="-3"/>
        </w:rPr>
        <w:t> </w:t>
      </w:r>
      <w:r>
        <w:rPr/>
        <w:t>текущий</w:t>
      </w:r>
      <w:r>
        <w:rPr>
          <w:spacing w:val="-2"/>
        </w:rPr>
        <w:t> </w:t>
      </w:r>
      <w:r>
        <w:rPr/>
        <w:t>уровень</w:t>
      </w:r>
      <w:r>
        <w:rPr>
          <w:spacing w:val="-4"/>
        </w:rPr>
        <w:t> </w:t>
      </w:r>
      <w:r>
        <w:rPr/>
        <w:t>депрессии:</w:t>
      </w:r>
      <w:r>
        <w:rPr>
          <w:spacing w:val="-5"/>
        </w:rPr>
        <w:t> </w:t>
      </w:r>
      <w:r>
        <w:rPr/>
        <w:t>0– 17</w:t>
      </w:r>
      <w:r>
        <w:rPr>
          <w:spacing w:val="-14"/>
        </w:rPr>
        <w:t> </w:t>
      </w:r>
      <w:r>
        <w:rPr/>
        <w:t>баллов</w:t>
      </w:r>
      <w:r>
        <w:rPr>
          <w:spacing w:val="-12"/>
        </w:rPr>
        <w:t> </w:t>
      </w:r>
      <w:r>
        <w:rPr/>
        <w:t>—</w:t>
      </w:r>
      <w:r>
        <w:rPr>
          <w:spacing w:val="-12"/>
        </w:rPr>
        <w:t> </w:t>
      </w:r>
      <w:r>
        <w:rPr/>
        <w:t>норма;</w:t>
      </w:r>
      <w:r>
        <w:rPr>
          <w:spacing w:val="-14"/>
        </w:rPr>
        <w:t> </w:t>
      </w:r>
      <w:r>
        <w:rPr/>
        <w:t>18–26</w:t>
      </w:r>
      <w:r>
        <w:rPr>
          <w:spacing w:val="-12"/>
        </w:rPr>
        <w:t> </w:t>
      </w:r>
      <w:r>
        <w:rPr/>
        <w:t>баллов</w:t>
      </w:r>
      <w:r>
        <w:rPr>
          <w:spacing w:val="-12"/>
        </w:rPr>
        <w:t> </w:t>
      </w:r>
      <w:r>
        <w:rPr/>
        <w:t>—</w:t>
      </w:r>
      <w:r>
        <w:rPr>
          <w:spacing w:val="-12"/>
        </w:rPr>
        <w:t> </w:t>
      </w:r>
      <w:r>
        <w:rPr/>
        <w:t>легкая</w:t>
      </w:r>
      <w:r>
        <w:rPr>
          <w:spacing w:val="-12"/>
        </w:rPr>
        <w:t> </w:t>
      </w:r>
      <w:r>
        <w:rPr/>
        <w:t>форма</w:t>
      </w:r>
      <w:r>
        <w:rPr>
          <w:spacing w:val="-12"/>
        </w:rPr>
        <w:t> </w:t>
      </w:r>
      <w:r>
        <w:rPr/>
        <w:t>депрессии;</w:t>
      </w:r>
      <w:r>
        <w:rPr>
          <w:spacing w:val="-12"/>
        </w:rPr>
        <w:t> </w:t>
      </w:r>
      <w:r>
        <w:rPr/>
        <w:t>27–30</w:t>
      </w:r>
      <w:r>
        <w:rPr>
          <w:spacing w:val="-12"/>
        </w:rPr>
        <w:t> </w:t>
      </w:r>
      <w:r>
        <w:rPr/>
        <w:t>баллов</w:t>
      </w:r>
      <w:r>
        <w:rPr>
          <w:spacing w:val="-12"/>
        </w:rPr>
        <w:t> </w:t>
      </w:r>
      <w:r>
        <w:rPr/>
        <w:t>— средней тяжести; 31 балл и выше — тяжелая.</w:t>
      </w:r>
    </w:p>
    <w:p>
      <w:pPr>
        <w:pStyle w:val="Heading4"/>
        <w:spacing w:before="239"/>
        <w:ind w:right="564"/>
      </w:pPr>
      <w:r>
        <w:rPr/>
        <w:t>Эти</w:t>
      </w:r>
      <w:r>
        <w:rPr>
          <w:spacing w:val="-16"/>
        </w:rPr>
        <w:t> </w:t>
      </w:r>
      <w:r>
        <w:rPr/>
        <w:t>результаты,</w:t>
      </w:r>
      <w:r>
        <w:rPr>
          <w:spacing w:val="-16"/>
        </w:rPr>
        <w:t> </w:t>
      </w:r>
      <w:r>
        <w:rPr/>
        <w:t>однако,</w:t>
      </w:r>
      <w:r>
        <w:rPr>
          <w:spacing w:val="-16"/>
        </w:rPr>
        <w:t> </w:t>
      </w:r>
      <w:r>
        <w:rPr/>
        <w:t>не</w:t>
      </w:r>
      <w:r>
        <w:rPr>
          <w:spacing w:val="-14"/>
        </w:rPr>
        <w:t> </w:t>
      </w:r>
      <w:r>
        <w:rPr/>
        <w:t>могут</w:t>
      </w:r>
      <w:r>
        <w:rPr>
          <w:spacing w:val="-16"/>
        </w:rPr>
        <w:t> </w:t>
      </w:r>
      <w:r>
        <w:rPr/>
        <w:t>быть</w:t>
      </w:r>
      <w:r>
        <w:rPr>
          <w:spacing w:val="-17"/>
        </w:rPr>
        <w:t> </w:t>
      </w:r>
      <w:r>
        <w:rPr/>
        <w:t>использованы</w:t>
      </w:r>
      <w:r>
        <w:rPr>
          <w:spacing w:val="-15"/>
        </w:rPr>
        <w:t> </w:t>
      </w:r>
      <w:r>
        <w:rPr/>
        <w:t>для</w:t>
      </w:r>
      <w:r>
        <w:rPr>
          <w:spacing w:val="-18"/>
        </w:rPr>
        <w:t> </w:t>
      </w:r>
      <w:r>
        <w:rPr/>
        <w:t>постановки</w:t>
      </w:r>
      <w:r>
        <w:rPr>
          <w:spacing w:val="-17"/>
        </w:rPr>
        <w:t> </w:t>
      </w:r>
      <w:r>
        <w:rPr/>
        <w:t>диагноза (что</w:t>
      </w:r>
      <w:r>
        <w:rPr>
          <w:spacing w:val="-10"/>
        </w:rPr>
        <w:t> </w:t>
      </w:r>
      <w:r>
        <w:rPr/>
        <w:t>требует</w:t>
      </w:r>
      <w:r>
        <w:rPr>
          <w:spacing w:val="-11"/>
        </w:rPr>
        <w:t> </w:t>
      </w:r>
      <w:r>
        <w:rPr/>
        <w:t>проведения</w:t>
      </w:r>
      <w:r>
        <w:rPr>
          <w:spacing w:val="-11"/>
        </w:rPr>
        <w:t> </w:t>
      </w:r>
      <w:r>
        <w:rPr/>
        <w:t>оценочного</w:t>
      </w:r>
      <w:r>
        <w:rPr>
          <w:spacing w:val="-10"/>
        </w:rPr>
        <w:t> </w:t>
      </w:r>
      <w:r>
        <w:rPr/>
        <w:t>интервью</w:t>
      </w:r>
      <w:r>
        <w:rPr>
          <w:spacing w:val="-12"/>
        </w:rPr>
        <w:t> </w:t>
      </w:r>
      <w:r>
        <w:rPr/>
        <w:t>опытным</w:t>
      </w:r>
      <w:r>
        <w:rPr>
          <w:spacing w:val="-11"/>
        </w:rPr>
        <w:t> </w:t>
      </w:r>
      <w:r>
        <w:rPr/>
        <w:t>врачом</w:t>
      </w:r>
      <w:r>
        <w:rPr>
          <w:spacing w:val="-11"/>
        </w:rPr>
        <w:t> </w:t>
      </w:r>
      <w:r>
        <w:rPr/>
        <w:t>и</w:t>
      </w:r>
      <w:r>
        <w:rPr>
          <w:spacing w:val="-11"/>
        </w:rPr>
        <w:t> </w:t>
      </w:r>
      <w:r>
        <w:rPr/>
        <w:t>желательно с ключевыми информантами). Также методика не выявляет биполярное расстройство, симптомы которого в депрессивной фазе совпадают с симптомами униполярной депрессии.</w:t>
      </w:r>
    </w:p>
    <w:p>
      <w:pPr>
        <w:pStyle w:val="Heading4"/>
        <w:spacing w:before="241"/>
        <w:ind w:right="570"/>
      </w:pPr>
      <w:r>
        <w:rPr/>
        <w:t>Поэтому методика используется главным образом в целях скрининга среди людей из группы риска или для оценки реакции человека на лечение через определенное время.</w:t>
      </w:r>
    </w:p>
    <w:p>
      <w:pPr>
        <w:pStyle w:val="Heading4"/>
        <w:spacing w:line="242" w:lineRule="auto" w:before="239"/>
        <w:ind w:right="570"/>
      </w:pPr>
      <w:r>
        <w:rPr/>
        <w:t>Предполагается возможность использовать опросник для работы с подростками начиная с 10–11 лет.</w:t>
      </w:r>
    </w:p>
    <w:p>
      <w:pPr>
        <w:pStyle w:val="Heading3"/>
        <w:spacing w:before="243"/>
      </w:pPr>
      <w:r>
        <w:rPr/>
        <w:t>Проведение</w:t>
      </w:r>
      <w:r>
        <w:rPr>
          <w:spacing w:val="-10"/>
        </w:rPr>
        <w:t> </w:t>
      </w:r>
      <w:r>
        <w:rPr>
          <w:spacing w:val="-2"/>
        </w:rPr>
        <w:t>методики</w:t>
      </w:r>
    </w:p>
    <w:p>
      <w:pPr>
        <w:pStyle w:val="Heading4"/>
        <w:spacing w:before="232"/>
        <w:ind w:right="569"/>
      </w:pPr>
      <w:r>
        <w:rPr/>
        <w:t>Опрашиваемый получает бланк с набором из 20 утверждений, касающихся настроения</w:t>
      </w:r>
      <w:r>
        <w:rPr>
          <w:spacing w:val="56"/>
        </w:rPr>
        <w:t> </w:t>
      </w:r>
      <w:r>
        <w:rPr/>
        <w:t>и</w:t>
      </w:r>
      <w:r>
        <w:rPr>
          <w:spacing w:val="59"/>
        </w:rPr>
        <w:t> </w:t>
      </w:r>
      <w:r>
        <w:rPr/>
        <w:t>поведения</w:t>
      </w:r>
      <w:r>
        <w:rPr>
          <w:spacing w:val="60"/>
        </w:rPr>
        <w:t> </w:t>
      </w:r>
      <w:r>
        <w:rPr/>
        <w:t>в</w:t>
      </w:r>
      <w:r>
        <w:rPr>
          <w:spacing w:val="57"/>
        </w:rPr>
        <w:t> </w:t>
      </w:r>
      <w:r>
        <w:rPr/>
        <w:t>течение</w:t>
      </w:r>
      <w:r>
        <w:rPr>
          <w:spacing w:val="60"/>
        </w:rPr>
        <w:t> </w:t>
      </w:r>
      <w:r>
        <w:rPr/>
        <w:t>последней</w:t>
      </w:r>
      <w:r>
        <w:rPr>
          <w:spacing w:val="58"/>
        </w:rPr>
        <w:t> </w:t>
      </w:r>
      <w:r>
        <w:rPr/>
        <w:t>недели,</w:t>
      </w:r>
      <w:r>
        <w:rPr>
          <w:spacing w:val="59"/>
        </w:rPr>
        <w:t> </w:t>
      </w:r>
      <w:r>
        <w:rPr/>
        <w:t>с</w:t>
      </w:r>
      <w:r>
        <w:rPr>
          <w:spacing w:val="55"/>
        </w:rPr>
        <w:t> </w:t>
      </w:r>
      <w:r>
        <w:rPr/>
        <w:t>заданием</w:t>
      </w:r>
      <w:r>
        <w:rPr>
          <w:spacing w:val="58"/>
        </w:rPr>
        <w:t> </w:t>
      </w:r>
      <w:r>
        <w:rPr>
          <w:spacing w:val="-2"/>
        </w:rPr>
        <w:t>оценить</w:t>
      </w:r>
    </w:p>
    <w:p>
      <w:pPr>
        <w:pStyle w:val="Heading4"/>
        <w:spacing w:after="0"/>
        <w:sectPr>
          <w:pgSz w:w="11910" w:h="16840"/>
          <w:pgMar w:header="0" w:footer="970" w:top="1040" w:bottom="1220" w:left="1417" w:right="283"/>
        </w:sectPr>
      </w:pPr>
    </w:p>
    <w:p>
      <w:pPr>
        <w:pStyle w:val="Heading4"/>
        <w:spacing w:before="67"/>
        <w:ind w:right="561"/>
      </w:pPr>
      <w:r>
        <w:rPr/>
        <w:t>частоту</w:t>
      </w:r>
      <w:r>
        <w:rPr>
          <w:spacing w:val="-6"/>
        </w:rPr>
        <w:t> </w:t>
      </w:r>
      <w:r>
        <w:rPr/>
        <w:t>их</w:t>
      </w:r>
      <w:r>
        <w:rPr>
          <w:spacing w:val="-2"/>
        </w:rPr>
        <w:t> </w:t>
      </w:r>
      <w:r>
        <w:rPr/>
        <w:t>проявления: лишь</w:t>
      </w:r>
      <w:r>
        <w:rPr>
          <w:spacing w:val="-3"/>
        </w:rPr>
        <w:t> </w:t>
      </w:r>
      <w:r>
        <w:rPr/>
        <w:t>изредка</w:t>
      </w:r>
      <w:r>
        <w:rPr>
          <w:spacing w:val="-3"/>
        </w:rPr>
        <w:t> </w:t>
      </w:r>
      <w:r>
        <w:rPr/>
        <w:t>или</w:t>
      </w:r>
      <w:r>
        <w:rPr>
          <w:spacing w:val="-1"/>
        </w:rPr>
        <w:t> </w:t>
      </w:r>
      <w:r>
        <w:rPr/>
        <w:t>никогда</w:t>
      </w:r>
      <w:r>
        <w:rPr>
          <w:spacing w:val="-2"/>
        </w:rPr>
        <w:t> </w:t>
      </w:r>
      <w:r>
        <w:rPr/>
        <w:t>(меньше</w:t>
      </w:r>
      <w:r>
        <w:rPr>
          <w:spacing w:val="-3"/>
        </w:rPr>
        <w:t> </w:t>
      </w:r>
      <w:r>
        <w:rPr/>
        <w:t>1</w:t>
      </w:r>
      <w:r>
        <w:rPr>
          <w:spacing w:val="-1"/>
        </w:rPr>
        <w:t> </w:t>
      </w:r>
      <w:r>
        <w:rPr/>
        <w:t>дня);</w:t>
      </w:r>
      <w:r>
        <w:rPr>
          <w:spacing w:val="-2"/>
        </w:rPr>
        <w:t> </w:t>
      </w:r>
      <w:r>
        <w:rPr/>
        <w:t>редко (1–2 дня); часто (3–4 дня); постоянно (5–7 дней) — и отметить галочкой на</w:t>
      </w:r>
      <w:r>
        <w:rPr>
          <w:spacing w:val="-1"/>
        </w:rPr>
        <w:t> </w:t>
      </w:r>
      <w:r>
        <w:rPr/>
        <w:t>бланке (см. </w:t>
      </w:r>
      <w:r>
        <w:rPr>
          <w:i/>
        </w:rPr>
        <w:t>Приложение 9</w:t>
      </w:r>
      <w:r>
        <w:rPr/>
        <w:t>).</w:t>
      </w:r>
    </w:p>
    <w:p>
      <w:pPr>
        <w:pStyle w:val="Heading4"/>
        <w:spacing w:before="242"/>
        <w:jc w:val="left"/>
      </w:pPr>
      <w:r>
        <w:rPr/>
        <w:t>Психолог</w:t>
      </w:r>
      <w:r>
        <w:rPr>
          <w:spacing w:val="-8"/>
        </w:rPr>
        <w:t> </w:t>
      </w:r>
      <w:r>
        <w:rPr/>
        <w:t>подсчитывает</w:t>
      </w:r>
      <w:r>
        <w:rPr>
          <w:spacing w:val="-6"/>
        </w:rPr>
        <w:t> </w:t>
      </w:r>
      <w:r>
        <w:rPr/>
        <w:t>баллы</w:t>
      </w:r>
      <w:r>
        <w:rPr>
          <w:spacing w:val="-7"/>
        </w:rPr>
        <w:t> </w:t>
      </w:r>
      <w:r>
        <w:rPr/>
        <w:t>для</w:t>
      </w:r>
      <w:r>
        <w:rPr>
          <w:spacing w:val="-5"/>
        </w:rPr>
        <w:t> </w:t>
      </w:r>
      <w:r>
        <w:rPr/>
        <w:t>каждого</w:t>
      </w:r>
      <w:r>
        <w:rPr>
          <w:spacing w:val="-3"/>
        </w:rPr>
        <w:t> </w:t>
      </w:r>
      <w:r>
        <w:rPr>
          <w:spacing w:val="-2"/>
        </w:rPr>
        <w:t>участника.</w:t>
      </w:r>
    </w:p>
    <w:p>
      <w:pPr>
        <w:spacing w:line="322" w:lineRule="exact" w:before="239"/>
        <w:ind w:left="285" w:right="0" w:firstLine="0"/>
        <w:jc w:val="left"/>
        <w:rPr>
          <w:sz w:val="28"/>
        </w:rPr>
      </w:pPr>
      <w:r>
        <w:rPr>
          <w:i/>
          <w:sz w:val="28"/>
        </w:rPr>
        <w:t>Прямые</w:t>
      </w:r>
      <w:r>
        <w:rPr>
          <w:i/>
          <w:spacing w:val="46"/>
          <w:w w:val="150"/>
          <w:sz w:val="28"/>
        </w:rPr>
        <w:t> </w:t>
      </w:r>
      <w:r>
        <w:rPr>
          <w:i/>
          <w:sz w:val="28"/>
        </w:rPr>
        <w:t>вопросы:</w:t>
      </w:r>
      <w:r>
        <w:rPr>
          <w:i/>
          <w:spacing w:val="52"/>
          <w:w w:val="150"/>
          <w:sz w:val="28"/>
        </w:rPr>
        <w:t> </w:t>
      </w:r>
      <w:r>
        <w:rPr>
          <w:sz w:val="28"/>
        </w:rPr>
        <w:t>1,</w:t>
      </w:r>
      <w:r>
        <w:rPr>
          <w:spacing w:val="50"/>
          <w:w w:val="150"/>
          <w:sz w:val="28"/>
        </w:rPr>
        <w:t> </w:t>
      </w:r>
      <w:r>
        <w:rPr>
          <w:sz w:val="28"/>
        </w:rPr>
        <w:t>2,</w:t>
      </w:r>
      <w:r>
        <w:rPr>
          <w:spacing w:val="49"/>
          <w:w w:val="150"/>
          <w:sz w:val="28"/>
        </w:rPr>
        <w:t> </w:t>
      </w:r>
      <w:r>
        <w:rPr>
          <w:sz w:val="28"/>
        </w:rPr>
        <w:t>3,</w:t>
      </w:r>
      <w:r>
        <w:rPr>
          <w:spacing w:val="49"/>
          <w:w w:val="150"/>
          <w:sz w:val="28"/>
        </w:rPr>
        <w:t> </w:t>
      </w:r>
      <w:r>
        <w:rPr>
          <w:sz w:val="28"/>
        </w:rPr>
        <w:t>5,</w:t>
      </w:r>
      <w:r>
        <w:rPr>
          <w:spacing w:val="48"/>
          <w:w w:val="150"/>
          <w:sz w:val="28"/>
        </w:rPr>
        <w:t> </w:t>
      </w:r>
      <w:r>
        <w:rPr>
          <w:sz w:val="28"/>
        </w:rPr>
        <w:t>6,</w:t>
      </w:r>
      <w:r>
        <w:rPr>
          <w:spacing w:val="49"/>
          <w:w w:val="150"/>
          <w:sz w:val="28"/>
        </w:rPr>
        <w:t> </w:t>
      </w:r>
      <w:r>
        <w:rPr>
          <w:sz w:val="28"/>
        </w:rPr>
        <w:t>7,</w:t>
      </w:r>
      <w:r>
        <w:rPr>
          <w:spacing w:val="51"/>
          <w:w w:val="150"/>
          <w:sz w:val="28"/>
        </w:rPr>
        <w:t> </w:t>
      </w:r>
      <w:r>
        <w:rPr>
          <w:sz w:val="28"/>
        </w:rPr>
        <w:t>9,</w:t>
      </w:r>
      <w:r>
        <w:rPr>
          <w:spacing w:val="48"/>
          <w:w w:val="150"/>
          <w:sz w:val="28"/>
        </w:rPr>
        <w:t> </w:t>
      </w:r>
      <w:r>
        <w:rPr>
          <w:sz w:val="28"/>
        </w:rPr>
        <w:t>10,</w:t>
      </w:r>
      <w:r>
        <w:rPr>
          <w:spacing w:val="51"/>
          <w:w w:val="150"/>
          <w:sz w:val="28"/>
        </w:rPr>
        <w:t> </w:t>
      </w:r>
      <w:r>
        <w:rPr>
          <w:sz w:val="28"/>
        </w:rPr>
        <w:t>11,</w:t>
      </w:r>
      <w:r>
        <w:rPr>
          <w:spacing w:val="49"/>
          <w:w w:val="150"/>
          <w:sz w:val="28"/>
        </w:rPr>
        <w:t> </w:t>
      </w:r>
      <w:r>
        <w:rPr>
          <w:sz w:val="28"/>
        </w:rPr>
        <w:t>13,</w:t>
      </w:r>
      <w:r>
        <w:rPr>
          <w:spacing w:val="48"/>
          <w:w w:val="150"/>
          <w:sz w:val="28"/>
        </w:rPr>
        <w:t> </w:t>
      </w:r>
      <w:r>
        <w:rPr>
          <w:sz w:val="28"/>
        </w:rPr>
        <w:t>14,</w:t>
      </w:r>
      <w:r>
        <w:rPr>
          <w:spacing w:val="49"/>
          <w:w w:val="150"/>
          <w:sz w:val="28"/>
        </w:rPr>
        <w:t> </w:t>
      </w:r>
      <w:r>
        <w:rPr>
          <w:sz w:val="28"/>
        </w:rPr>
        <w:t>15,</w:t>
      </w:r>
      <w:r>
        <w:rPr>
          <w:spacing w:val="51"/>
          <w:w w:val="150"/>
          <w:sz w:val="28"/>
        </w:rPr>
        <w:t> </w:t>
      </w:r>
      <w:r>
        <w:rPr>
          <w:sz w:val="28"/>
        </w:rPr>
        <w:t>17,</w:t>
      </w:r>
      <w:r>
        <w:rPr>
          <w:spacing w:val="48"/>
          <w:w w:val="150"/>
          <w:sz w:val="28"/>
        </w:rPr>
        <w:t> </w:t>
      </w:r>
      <w:r>
        <w:rPr>
          <w:sz w:val="28"/>
        </w:rPr>
        <w:t>18,</w:t>
      </w:r>
      <w:r>
        <w:rPr>
          <w:spacing w:val="51"/>
          <w:w w:val="150"/>
          <w:sz w:val="28"/>
        </w:rPr>
        <w:t> </w:t>
      </w:r>
      <w:r>
        <w:rPr>
          <w:sz w:val="28"/>
        </w:rPr>
        <w:t>19,</w:t>
      </w:r>
      <w:r>
        <w:rPr>
          <w:spacing w:val="49"/>
          <w:w w:val="150"/>
          <w:sz w:val="28"/>
        </w:rPr>
        <w:t> </w:t>
      </w:r>
      <w:r>
        <w:rPr>
          <w:spacing w:val="-5"/>
          <w:sz w:val="28"/>
        </w:rPr>
        <w:t>20.</w:t>
      </w:r>
    </w:p>
    <w:p>
      <w:pPr>
        <w:pStyle w:val="Heading4"/>
        <w:jc w:val="left"/>
      </w:pPr>
      <w:r>
        <w:rPr/>
        <w:t>Обрабатываются</w:t>
      </w:r>
      <w:r>
        <w:rPr>
          <w:spacing w:val="-11"/>
        </w:rPr>
        <w:t> </w:t>
      </w:r>
      <w:r>
        <w:rPr/>
        <w:t>следующим</w:t>
      </w:r>
      <w:r>
        <w:rPr>
          <w:spacing w:val="-10"/>
        </w:rPr>
        <w:t> </w:t>
      </w:r>
      <w:r>
        <w:rPr>
          <w:spacing w:val="-2"/>
        </w:rPr>
        <w:t>образом:</w:t>
      </w:r>
    </w:p>
    <w:p>
      <w:pPr>
        <w:pStyle w:val="BodyText"/>
        <w:spacing w:before="17"/>
        <w:ind w:left="0" w:right="0" w:firstLine="0"/>
        <w:jc w:val="left"/>
      </w:pPr>
    </w:p>
    <w:tbl>
      <w:tblPr>
        <w:tblW w:w="0" w:type="auto"/>
        <w:jc w:val="left"/>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21"/>
        <w:gridCol w:w="1561"/>
        <w:gridCol w:w="1561"/>
        <w:gridCol w:w="2222"/>
      </w:tblGrid>
      <w:tr>
        <w:trPr>
          <w:trHeight w:val="957" w:hRule="atLeast"/>
        </w:trPr>
        <w:tc>
          <w:tcPr>
            <w:tcW w:w="3121" w:type="dxa"/>
          </w:tcPr>
          <w:p>
            <w:pPr>
              <w:pStyle w:val="TableParagraph"/>
              <w:spacing w:before="56"/>
              <w:rPr>
                <w:sz w:val="24"/>
              </w:rPr>
            </w:pPr>
          </w:p>
          <w:p>
            <w:pPr>
              <w:pStyle w:val="TableParagraph"/>
              <w:ind w:left="19"/>
              <w:jc w:val="center"/>
              <w:rPr>
                <w:sz w:val="24"/>
              </w:rPr>
            </w:pPr>
            <w:r>
              <w:rPr>
                <w:sz w:val="24"/>
              </w:rPr>
              <w:t>Лишь</w:t>
            </w:r>
            <w:r>
              <w:rPr>
                <w:spacing w:val="-4"/>
                <w:sz w:val="24"/>
              </w:rPr>
              <w:t> </w:t>
            </w:r>
            <w:r>
              <w:rPr>
                <w:sz w:val="24"/>
              </w:rPr>
              <w:t>изредка</w:t>
            </w:r>
            <w:r>
              <w:rPr>
                <w:spacing w:val="-2"/>
                <w:sz w:val="24"/>
              </w:rPr>
              <w:t> </w:t>
            </w:r>
            <w:r>
              <w:rPr>
                <w:sz w:val="24"/>
              </w:rPr>
              <w:t>или</w:t>
            </w:r>
            <w:r>
              <w:rPr>
                <w:spacing w:val="-1"/>
                <w:sz w:val="24"/>
              </w:rPr>
              <w:t> </w:t>
            </w:r>
            <w:r>
              <w:rPr>
                <w:spacing w:val="-2"/>
                <w:sz w:val="24"/>
              </w:rPr>
              <w:t>никогда</w:t>
            </w:r>
          </w:p>
        </w:tc>
        <w:tc>
          <w:tcPr>
            <w:tcW w:w="1561" w:type="dxa"/>
          </w:tcPr>
          <w:p>
            <w:pPr>
              <w:pStyle w:val="TableParagraph"/>
              <w:spacing w:before="56"/>
              <w:rPr>
                <w:sz w:val="24"/>
              </w:rPr>
            </w:pPr>
          </w:p>
          <w:p>
            <w:pPr>
              <w:pStyle w:val="TableParagraph"/>
              <w:ind w:right="457"/>
              <w:jc w:val="right"/>
              <w:rPr>
                <w:sz w:val="24"/>
              </w:rPr>
            </w:pPr>
            <w:r>
              <w:rPr>
                <w:spacing w:val="-2"/>
                <w:sz w:val="24"/>
              </w:rPr>
              <w:t>Редко</w:t>
            </w:r>
          </w:p>
        </w:tc>
        <w:tc>
          <w:tcPr>
            <w:tcW w:w="1561" w:type="dxa"/>
          </w:tcPr>
          <w:p>
            <w:pPr>
              <w:pStyle w:val="TableParagraph"/>
              <w:spacing w:before="56"/>
              <w:rPr>
                <w:sz w:val="24"/>
              </w:rPr>
            </w:pPr>
          </w:p>
          <w:p>
            <w:pPr>
              <w:pStyle w:val="TableParagraph"/>
              <w:ind w:right="463"/>
              <w:jc w:val="right"/>
              <w:rPr>
                <w:sz w:val="24"/>
              </w:rPr>
            </w:pPr>
            <w:r>
              <w:rPr>
                <w:spacing w:val="-4"/>
                <w:sz w:val="24"/>
              </w:rPr>
              <w:t>Часто</w:t>
            </w:r>
          </w:p>
        </w:tc>
        <w:tc>
          <w:tcPr>
            <w:tcW w:w="2222" w:type="dxa"/>
          </w:tcPr>
          <w:p>
            <w:pPr>
              <w:pStyle w:val="TableParagraph"/>
              <w:spacing w:before="56"/>
              <w:rPr>
                <w:sz w:val="24"/>
              </w:rPr>
            </w:pPr>
          </w:p>
          <w:p>
            <w:pPr>
              <w:pStyle w:val="TableParagraph"/>
              <w:ind w:left="552"/>
              <w:rPr>
                <w:sz w:val="24"/>
              </w:rPr>
            </w:pPr>
            <w:r>
              <w:rPr>
                <w:spacing w:val="-2"/>
                <w:sz w:val="24"/>
              </w:rPr>
              <w:t>Постоянно</w:t>
            </w:r>
          </w:p>
        </w:tc>
      </w:tr>
      <w:tr>
        <w:trPr>
          <w:trHeight w:val="937" w:hRule="atLeast"/>
        </w:trPr>
        <w:tc>
          <w:tcPr>
            <w:tcW w:w="3121" w:type="dxa"/>
          </w:tcPr>
          <w:p>
            <w:pPr>
              <w:pStyle w:val="TableParagraph"/>
              <w:spacing w:before="37"/>
              <w:rPr>
                <w:sz w:val="24"/>
              </w:rPr>
            </w:pPr>
          </w:p>
          <w:p>
            <w:pPr>
              <w:pStyle w:val="TableParagraph"/>
              <w:ind w:left="19" w:right="1"/>
              <w:jc w:val="center"/>
              <w:rPr>
                <w:sz w:val="24"/>
              </w:rPr>
            </w:pPr>
            <w:r>
              <w:rPr>
                <w:spacing w:val="-10"/>
                <w:sz w:val="24"/>
              </w:rPr>
              <w:t>0</w:t>
            </w:r>
          </w:p>
        </w:tc>
        <w:tc>
          <w:tcPr>
            <w:tcW w:w="1561" w:type="dxa"/>
          </w:tcPr>
          <w:p>
            <w:pPr>
              <w:pStyle w:val="TableParagraph"/>
              <w:spacing w:before="37"/>
              <w:rPr>
                <w:sz w:val="24"/>
              </w:rPr>
            </w:pPr>
          </w:p>
          <w:p>
            <w:pPr>
              <w:pStyle w:val="TableParagraph"/>
              <w:ind w:right="558"/>
              <w:jc w:val="right"/>
              <w:rPr>
                <w:sz w:val="24"/>
              </w:rPr>
            </w:pPr>
            <w:r>
              <w:rPr>
                <w:spacing w:val="-10"/>
                <w:sz w:val="24"/>
              </w:rPr>
              <w:t>1</w:t>
            </w:r>
          </w:p>
        </w:tc>
        <w:tc>
          <w:tcPr>
            <w:tcW w:w="1561" w:type="dxa"/>
          </w:tcPr>
          <w:p>
            <w:pPr>
              <w:pStyle w:val="TableParagraph"/>
              <w:spacing w:before="37"/>
              <w:rPr>
                <w:sz w:val="24"/>
              </w:rPr>
            </w:pPr>
          </w:p>
          <w:p>
            <w:pPr>
              <w:pStyle w:val="TableParagraph"/>
              <w:ind w:right="558"/>
              <w:jc w:val="right"/>
              <w:rPr>
                <w:sz w:val="24"/>
              </w:rPr>
            </w:pPr>
            <w:r>
              <w:rPr>
                <w:spacing w:val="-10"/>
                <w:sz w:val="24"/>
              </w:rPr>
              <w:t>2</w:t>
            </w:r>
          </w:p>
        </w:tc>
        <w:tc>
          <w:tcPr>
            <w:tcW w:w="2222" w:type="dxa"/>
          </w:tcPr>
          <w:p>
            <w:pPr>
              <w:pStyle w:val="TableParagraph"/>
              <w:spacing w:before="37"/>
              <w:rPr>
                <w:sz w:val="24"/>
              </w:rPr>
            </w:pPr>
          </w:p>
          <w:p>
            <w:pPr>
              <w:pStyle w:val="TableParagraph"/>
              <w:ind w:right="360"/>
              <w:jc w:val="center"/>
              <w:rPr>
                <w:sz w:val="24"/>
              </w:rPr>
            </w:pPr>
            <w:r>
              <w:rPr>
                <w:spacing w:val="-10"/>
                <w:sz w:val="24"/>
              </w:rPr>
              <w:t>3</w:t>
            </w:r>
          </w:p>
        </w:tc>
      </w:tr>
    </w:tbl>
    <w:p>
      <w:pPr>
        <w:spacing w:before="233"/>
        <w:ind w:left="285" w:right="0" w:firstLine="0"/>
        <w:jc w:val="left"/>
        <w:rPr>
          <w:sz w:val="28"/>
        </w:rPr>
      </w:pPr>
      <w:r>
        <w:rPr>
          <w:i/>
          <w:sz w:val="28"/>
        </w:rPr>
        <w:t>Обратные</w:t>
      </w:r>
      <w:r>
        <w:rPr>
          <w:i/>
          <w:spacing w:val="-10"/>
          <w:sz w:val="28"/>
        </w:rPr>
        <w:t> </w:t>
      </w:r>
      <w:r>
        <w:rPr>
          <w:i/>
          <w:sz w:val="28"/>
        </w:rPr>
        <w:t>вопросы:</w:t>
      </w:r>
      <w:r>
        <w:rPr>
          <w:i/>
          <w:spacing w:val="-5"/>
          <w:sz w:val="28"/>
        </w:rPr>
        <w:t> </w:t>
      </w:r>
      <w:r>
        <w:rPr>
          <w:sz w:val="28"/>
        </w:rPr>
        <w:t>4,</w:t>
      </w:r>
      <w:r>
        <w:rPr>
          <w:spacing w:val="-5"/>
          <w:sz w:val="28"/>
        </w:rPr>
        <w:t> </w:t>
      </w:r>
      <w:r>
        <w:rPr>
          <w:sz w:val="28"/>
        </w:rPr>
        <w:t>8,</w:t>
      </w:r>
      <w:r>
        <w:rPr>
          <w:spacing w:val="-4"/>
          <w:sz w:val="28"/>
        </w:rPr>
        <w:t> </w:t>
      </w:r>
      <w:r>
        <w:rPr>
          <w:sz w:val="28"/>
        </w:rPr>
        <w:t>12,</w:t>
      </w:r>
      <w:r>
        <w:rPr>
          <w:spacing w:val="-5"/>
          <w:sz w:val="28"/>
        </w:rPr>
        <w:t> </w:t>
      </w:r>
      <w:r>
        <w:rPr>
          <w:sz w:val="28"/>
        </w:rPr>
        <w:t>16.</w:t>
      </w:r>
      <w:r>
        <w:rPr>
          <w:spacing w:val="-4"/>
          <w:sz w:val="28"/>
        </w:rPr>
        <w:t> </w:t>
      </w:r>
      <w:r>
        <w:rPr>
          <w:sz w:val="28"/>
        </w:rPr>
        <w:t>Обрабатываются</w:t>
      </w:r>
      <w:r>
        <w:rPr>
          <w:spacing w:val="-3"/>
          <w:sz w:val="28"/>
        </w:rPr>
        <w:t> </w:t>
      </w:r>
      <w:r>
        <w:rPr>
          <w:spacing w:val="-4"/>
          <w:sz w:val="28"/>
        </w:rPr>
        <w:t>так:</w:t>
      </w:r>
    </w:p>
    <w:p>
      <w:pPr>
        <w:pStyle w:val="BodyText"/>
        <w:spacing w:before="16" w:after="1"/>
        <w:ind w:left="0" w:right="0" w:firstLine="0"/>
        <w:jc w:val="left"/>
      </w:pPr>
    </w:p>
    <w:tbl>
      <w:tblPr>
        <w:tblW w:w="0" w:type="auto"/>
        <w:jc w:val="left"/>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21"/>
        <w:gridCol w:w="1561"/>
        <w:gridCol w:w="1561"/>
        <w:gridCol w:w="2222"/>
      </w:tblGrid>
      <w:tr>
        <w:trPr>
          <w:trHeight w:val="1060" w:hRule="atLeast"/>
        </w:trPr>
        <w:tc>
          <w:tcPr>
            <w:tcW w:w="3121" w:type="dxa"/>
          </w:tcPr>
          <w:p>
            <w:pPr>
              <w:pStyle w:val="TableParagraph"/>
              <w:spacing w:before="56"/>
              <w:rPr>
                <w:sz w:val="24"/>
              </w:rPr>
            </w:pPr>
          </w:p>
          <w:p>
            <w:pPr>
              <w:pStyle w:val="TableParagraph"/>
              <w:ind w:left="19"/>
              <w:jc w:val="center"/>
              <w:rPr>
                <w:sz w:val="24"/>
              </w:rPr>
            </w:pPr>
            <w:r>
              <w:rPr>
                <w:sz w:val="24"/>
              </w:rPr>
              <w:t>Лишь</w:t>
            </w:r>
            <w:r>
              <w:rPr>
                <w:spacing w:val="-4"/>
                <w:sz w:val="24"/>
              </w:rPr>
              <w:t> </w:t>
            </w:r>
            <w:r>
              <w:rPr>
                <w:sz w:val="24"/>
              </w:rPr>
              <w:t>изредка</w:t>
            </w:r>
            <w:r>
              <w:rPr>
                <w:spacing w:val="-2"/>
                <w:sz w:val="24"/>
              </w:rPr>
              <w:t> </w:t>
            </w:r>
            <w:r>
              <w:rPr>
                <w:sz w:val="24"/>
              </w:rPr>
              <w:t>или</w:t>
            </w:r>
            <w:r>
              <w:rPr>
                <w:spacing w:val="-1"/>
                <w:sz w:val="24"/>
              </w:rPr>
              <w:t> </w:t>
            </w:r>
            <w:r>
              <w:rPr>
                <w:spacing w:val="-2"/>
                <w:sz w:val="24"/>
              </w:rPr>
              <w:t>никогда</w:t>
            </w:r>
          </w:p>
        </w:tc>
        <w:tc>
          <w:tcPr>
            <w:tcW w:w="1561" w:type="dxa"/>
          </w:tcPr>
          <w:p>
            <w:pPr>
              <w:pStyle w:val="TableParagraph"/>
              <w:spacing w:before="56"/>
              <w:rPr>
                <w:sz w:val="24"/>
              </w:rPr>
            </w:pPr>
          </w:p>
          <w:p>
            <w:pPr>
              <w:pStyle w:val="TableParagraph"/>
              <w:ind w:right="457"/>
              <w:jc w:val="right"/>
              <w:rPr>
                <w:sz w:val="24"/>
              </w:rPr>
            </w:pPr>
            <w:r>
              <w:rPr>
                <w:spacing w:val="-2"/>
                <w:sz w:val="24"/>
              </w:rPr>
              <w:t>Редко</w:t>
            </w:r>
          </w:p>
        </w:tc>
        <w:tc>
          <w:tcPr>
            <w:tcW w:w="1561" w:type="dxa"/>
          </w:tcPr>
          <w:p>
            <w:pPr>
              <w:pStyle w:val="TableParagraph"/>
              <w:spacing w:before="56"/>
              <w:rPr>
                <w:sz w:val="24"/>
              </w:rPr>
            </w:pPr>
          </w:p>
          <w:p>
            <w:pPr>
              <w:pStyle w:val="TableParagraph"/>
              <w:ind w:right="463"/>
              <w:jc w:val="right"/>
              <w:rPr>
                <w:sz w:val="24"/>
              </w:rPr>
            </w:pPr>
            <w:r>
              <w:rPr>
                <w:spacing w:val="-4"/>
                <w:sz w:val="24"/>
              </w:rPr>
              <w:t>Часто</w:t>
            </w:r>
          </w:p>
        </w:tc>
        <w:tc>
          <w:tcPr>
            <w:tcW w:w="2222" w:type="dxa"/>
          </w:tcPr>
          <w:p>
            <w:pPr>
              <w:pStyle w:val="TableParagraph"/>
              <w:spacing w:before="56"/>
              <w:rPr>
                <w:sz w:val="24"/>
              </w:rPr>
            </w:pPr>
          </w:p>
          <w:p>
            <w:pPr>
              <w:pStyle w:val="TableParagraph"/>
              <w:ind w:left="552"/>
              <w:rPr>
                <w:sz w:val="24"/>
              </w:rPr>
            </w:pPr>
            <w:r>
              <w:rPr>
                <w:spacing w:val="-2"/>
                <w:sz w:val="24"/>
              </w:rPr>
              <w:t>Постоянно</w:t>
            </w:r>
          </w:p>
        </w:tc>
      </w:tr>
      <w:tr>
        <w:trPr>
          <w:trHeight w:val="937" w:hRule="atLeast"/>
        </w:trPr>
        <w:tc>
          <w:tcPr>
            <w:tcW w:w="3121" w:type="dxa"/>
          </w:tcPr>
          <w:p>
            <w:pPr>
              <w:pStyle w:val="TableParagraph"/>
              <w:spacing w:before="37"/>
              <w:rPr>
                <w:sz w:val="24"/>
              </w:rPr>
            </w:pPr>
          </w:p>
          <w:p>
            <w:pPr>
              <w:pStyle w:val="TableParagraph"/>
              <w:ind w:left="19" w:right="1"/>
              <w:jc w:val="center"/>
              <w:rPr>
                <w:sz w:val="24"/>
              </w:rPr>
            </w:pPr>
            <w:r>
              <w:rPr>
                <w:spacing w:val="-10"/>
                <w:sz w:val="24"/>
              </w:rPr>
              <w:t>3</w:t>
            </w:r>
          </w:p>
        </w:tc>
        <w:tc>
          <w:tcPr>
            <w:tcW w:w="1561" w:type="dxa"/>
          </w:tcPr>
          <w:p>
            <w:pPr>
              <w:pStyle w:val="TableParagraph"/>
              <w:spacing w:before="37"/>
              <w:rPr>
                <w:sz w:val="24"/>
              </w:rPr>
            </w:pPr>
          </w:p>
          <w:p>
            <w:pPr>
              <w:pStyle w:val="TableParagraph"/>
              <w:ind w:right="558"/>
              <w:jc w:val="right"/>
              <w:rPr>
                <w:sz w:val="24"/>
              </w:rPr>
            </w:pPr>
            <w:r>
              <w:rPr>
                <w:spacing w:val="-10"/>
                <w:sz w:val="24"/>
              </w:rPr>
              <w:t>2</w:t>
            </w:r>
          </w:p>
        </w:tc>
        <w:tc>
          <w:tcPr>
            <w:tcW w:w="1561" w:type="dxa"/>
          </w:tcPr>
          <w:p>
            <w:pPr>
              <w:pStyle w:val="TableParagraph"/>
              <w:spacing w:before="37"/>
              <w:rPr>
                <w:sz w:val="24"/>
              </w:rPr>
            </w:pPr>
          </w:p>
          <w:p>
            <w:pPr>
              <w:pStyle w:val="TableParagraph"/>
              <w:ind w:right="558"/>
              <w:jc w:val="right"/>
              <w:rPr>
                <w:sz w:val="24"/>
              </w:rPr>
            </w:pPr>
            <w:r>
              <w:rPr>
                <w:spacing w:val="-10"/>
                <w:sz w:val="24"/>
              </w:rPr>
              <w:t>1</w:t>
            </w:r>
          </w:p>
        </w:tc>
        <w:tc>
          <w:tcPr>
            <w:tcW w:w="2222" w:type="dxa"/>
          </w:tcPr>
          <w:p>
            <w:pPr>
              <w:pStyle w:val="TableParagraph"/>
              <w:spacing w:before="37"/>
              <w:rPr>
                <w:sz w:val="24"/>
              </w:rPr>
            </w:pPr>
          </w:p>
          <w:p>
            <w:pPr>
              <w:pStyle w:val="TableParagraph"/>
              <w:ind w:right="360"/>
              <w:jc w:val="center"/>
              <w:rPr>
                <w:sz w:val="24"/>
              </w:rPr>
            </w:pPr>
            <w:r>
              <w:rPr>
                <w:spacing w:val="-10"/>
                <w:sz w:val="24"/>
              </w:rPr>
              <w:t>0</w:t>
            </w:r>
          </w:p>
        </w:tc>
      </w:tr>
    </w:tbl>
    <w:p>
      <w:pPr>
        <w:pStyle w:val="Heading4"/>
        <w:spacing w:before="233"/>
        <w:ind w:right="563"/>
      </w:pPr>
      <w:r>
        <w:rPr/>
        <w:t>В оригинальной версии опросника сумма баллов сравнивается с ключом, где сумма от 0 до 17 является нормой, сумма от 18 до 26 предполагает наличие легкой формы депрессии, 27–30 баллов — депрессии средней тяжести, от 31 балла</w:t>
      </w:r>
      <w:r>
        <w:rPr>
          <w:spacing w:val="-10"/>
        </w:rPr>
        <w:t> </w:t>
      </w:r>
      <w:r>
        <w:rPr/>
        <w:t>и</w:t>
      </w:r>
      <w:r>
        <w:rPr>
          <w:spacing w:val="-10"/>
        </w:rPr>
        <w:t> </w:t>
      </w:r>
      <w:r>
        <w:rPr/>
        <w:t>выше</w:t>
      </w:r>
      <w:r>
        <w:rPr>
          <w:spacing w:val="-9"/>
        </w:rPr>
        <w:t> </w:t>
      </w:r>
      <w:r>
        <w:rPr/>
        <w:t>—</w:t>
      </w:r>
      <w:r>
        <w:rPr>
          <w:spacing w:val="-10"/>
        </w:rPr>
        <w:t> </w:t>
      </w:r>
      <w:r>
        <w:rPr/>
        <w:t>тяжелой</w:t>
      </w:r>
      <w:r>
        <w:rPr>
          <w:spacing w:val="-10"/>
        </w:rPr>
        <w:t> </w:t>
      </w:r>
      <w:r>
        <w:rPr/>
        <w:t>депрессии.</w:t>
      </w:r>
      <w:r>
        <w:rPr>
          <w:spacing w:val="-11"/>
        </w:rPr>
        <w:t> </w:t>
      </w:r>
      <w:r>
        <w:rPr/>
        <w:t>Следует</w:t>
      </w:r>
      <w:r>
        <w:rPr>
          <w:spacing w:val="-10"/>
        </w:rPr>
        <w:t> </w:t>
      </w:r>
      <w:r>
        <w:rPr/>
        <w:t>подчеркнуть,</w:t>
      </w:r>
      <w:r>
        <w:rPr>
          <w:spacing w:val="-9"/>
        </w:rPr>
        <w:t> </w:t>
      </w:r>
      <w:r>
        <w:rPr/>
        <w:t>что</w:t>
      </w:r>
      <w:r>
        <w:rPr>
          <w:spacing w:val="-9"/>
        </w:rPr>
        <w:t> </w:t>
      </w:r>
      <w:r>
        <w:rPr/>
        <w:t>нет</w:t>
      </w:r>
      <w:r>
        <w:rPr>
          <w:spacing w:val="-10"/>
        </w:rPr>
        <w:t> </w:t>
      </w:r>
      <w:r>
        <w:rPr/>
        <w:t>сведений</w:t>
      </w:r>
      <w:r>
        <w:rPr>
          <w:spacing w:val="-12"/>
        </w:rPr>
        <w:t> </w:t>
      </w:r>
      <w:r>
        <w:rPr/>
        <w:t>о репрезентативности данных норм для подростков, поэтому ориентироваться на них не рекомендуется. также отметим, что даже при их использовании, данные результаты не являются клиническим диагнозом, это лишь повод обратиться к квалифицированному специалисту (к врачу-психиатру).</w:t>
      </w:r>
    </w:p>
    <w:p>
      <w:pPr>
        <w:pStyle w:val="Heading4"/>
        <w:spacing w:before="240"/>
        <w:ind w:right="565"/>
        <w:rPr>
          <w:i/>
        </w:rPr>
      </w:pPr>
      <w:r>
        <w:rPr/>
        <w:t>По результатам апробации в 2022 г.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w:t>
      </w:r>
      <w:r>
        <w:rPr>
          <w:spacing w:val="-6"/>
        </w:rPr>
        <w:t> </w:t>
      </w:r>
      <w:r>
        <w:rPr/>
        <w:t>на</w:t>
      </w:r>
      <w:r>
        <w:rPr>
          <w:spacing w:val="-5"/>
        </w:rPr>
        <w:t> </w:t>
      </w:r>
      <w:r>
        <w:rPr/>
        <w:t>основании</w:t>
      </w:r>
      <w:r>
        <w:rPr>
          <w:spacing w:val="-5"/>
        </w:rPr>
        <w:t> </w:t>
      </w:r>
      <w:r>
        <w:rPr/>
        <w:t>статистического</w:t>
      </w:r>
      <w:r>
        <w:rPr>
          <w:spacing w:val="-4"/>
        </w:rPr>
        <w:t> </w:t>
      </w:r>
      <w:r>
        <w:rPr/>
        <w:t>анализа</w:t>
      </w:r>
      <w:r>
        <w:rPr>
          <w:spacing w:val="-6"/>
        </w:rPr>
        <w:t> </w:t>
      </w:r>
      <w:r>
        <w:rPr/>
        <w:t>распределения</w:t>
      </w:r>
      <w:r>
        <w:rPr>
          <w:spacing w:val="-8"/>
        </w:rPr>
        <w:t> </w:t>
      </w:r>
      <w:r>
        <w:rPr/>
        <w:t>показателей у детей — иностранных граждан, выделены следующие нормативы</w:t>
      </w:r>
      <w:r>
        <w:rPr>
          <w:i/>
        </w:rPr>
        <w:t>.</w:t>
      </w:r>
    </w:p>
    <w:p>
      <w:pPr>
        <w:pStyle w:val="Heading4"/>
        <w:spacing w:after="0"/>
        <w:rPr>
          <w:i/>
        </w:rPr>
        <w:sectPr>
          <w:pgSz w:w="11910" w:h="16840"/>
          <w:pgMar w:header="0" w:footer="970" w:top="1040" w:bottom="1220" w:left="1417" w:right="283"/>
        </w:sectPr>
      </w:pPr>
    </w:p>
    <w:p>
      <w:pPr>
        <w:pStyle w:val="Heading3"/>
        <w:ind w:left="8245"/>
        <w:jc w:val="left"/>
      </w:pPr>
      <w:r>
        <w:rPr/>
        <w:t>Таблица</w:t>
      </w:r>
      <w:r>
        <w:rPr>
          <w:spacing w:val="-6"/>
        </w:rPr>
        <w:t> </w:t>
      </w:r>
      <w:r>
        <w:rPr>
          <w:spacing w:val="-5"/>
        </w:rPr>
        <w:t>16</w:t>
      </w:r>
    </w:p>
    <w:p>
      <w:pPr>
        <w:spacing w:line="235" w:lineRule="auto" w:before="6" w:after="9"/>
        <w:ind w:left="1021" w:right="0" w:firstLine="249"/>
        <w:jc w:val="left"/>
        <w:rPr>
          <w:b/>
          <w:sz w:val="28"/>
        </w:rPr>
      </w:pPr>
      <w:r>
        <w:rPr>
          <w:b/>
          <w:sz w:val="28"/>
        </w:rPr>
        <w:t>Пересмотренные критерии оценки по шкале на выборках несовершеннолетних</w:t>
      </w:r>
      <w:r>
        <w:rPr>
          <w:b/>
          <w:spacing w:val="-5"/>
          <w:sz w:val="28"/>
        </w:rPr>
        <w:t> </w:t>
      </w:r>
      <w:r>
        <w:rPr>
          <w:b/>
          <w:sz w:val="28"/>
        </w:rPr>
        <w:t>детей</w:t>
      </w:r>
      <w:r>
        <w:rPr>
          <w:b/>
          <w:spacing w:val="-5"/>
          <w:sz w:val="28"/>
        </w:rPr>
        <w:t> </w:t>
      </w:r>
      <w:r>
        <w:rPr>
          <w:sz w:val="28"/>
        </w:rPr>
        <w:t>—</w:t>
      </w:r>
      <w:r>
        <w:rPr>
          <w:spacing w:val="-7"/>
          <w:sz w:val="28"/>
        </w:rPr>
        <w:t> </w:t>
      </w:r>
      <w:r>
        <w:rPr>
          <w:b/>
          <w:sz w:val="28"/>
        </w:rPr>
        <w:t>иностранных</w:t>
      </w:r>
      <w:r>
        <w:rPr>
          <w:b/>
          <w:spacing w:val="-5"/>
          <w:sz w:val="28"/>
        </w:rPr>
        <w:t> </w:t>
      </w:r>
      <w:r>
        <w:rPr>
          <w:b/>
          <w:sz w:val="28"/>
        </w:rPr>
        <w:t>граждан</w:t>
      </w:r>
      <w:r>
        <w:rPr>
          <w:b/>
          <w:spacing w:val="-6"/>
          <w:sz w:val="28"/>
        </w:rPr>
        <w:t> </w:t>
      </w:r>
      <w:r>
        <w:rPr>
          <w:b/>
          <w:sz w:val="28"/>
        </w:rPr>
        <w:t>в</w:t>
      </w:r>
      <w:r>
        <w:rPr>
          <w:b/>
          <w:spacing w:val="-7"/>
          <w:sz w:val="28"/>
        </w:rPr>
        <w:t> </w:t>
      </w:r>
      <w:r>
        <w:rPr>
          <w:b/>
          <w:sz w:val="28"/>
        </w:rPr>
        <w:t>России</w:t>
      </w:r>
    </w:p>
    <w:tbl>
      <w:tblPr>
        <w:tblW w:w="0" w:type="auto"/>
        <w:jc w:val="left"/>
        <w:tblInd w:w="4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186"/>
        <w:gridCol w:w="4770"/>
      </w:tblGrid>
      <w:tr>
        <w:trPr>
          <w:trHeight w:val="920" w:hRule="atLeast"/>
        </w:trPr>
        <w:tc>
          <w:tcPr>
            <w:tcW w:w="4186" w:type="dxa"/>
          </w:tcPr>
          <w:p>
            <w:pPr>
              <w:pStyle w:val="TableParagraph"/>
              <w:spacing w:before="13"/>
              <w:rPr>
                <w:b/>
                <w:sz w:val="28"/>
              </w:rPr>
            </w:pPr>
          </w:p>
          <w:p>
            <w:pPr>
              <w:pStyle w:val="TableParagraph"/>
              <w:spacing w:before="1"/>
              <w:ind w:left="21"/>
              <w:jc w:val="center"/>
              <w:rPr>
                <w:b/>
                <w:sz w:val="28"/>
              </w:rPr>
            </w:pPr>
            <w:r>
              <w:rPr>
                <w:b/>
                <w:spacing w:val="-2"/>
                <w:sz w:val="28"/>
              </w:rPr>
              <w:t>Уровни</w:t>
            </w:r>
          </w:p>
        </w:tc>
        <w:tc>
          <w:tcPr>
            <w:tcW w:w="4770" w:type="dxa"/>
          </w:tcPr>
          <w:p>
            <w:pPr>
              <w:pStyle w:val="TableParagraph"/>
              <w:spacing w:before="13"/>
              <w:rPr>
                <w:b/>
                <w:sz w:val="28"/>
              </w:rPr>
            </w:pPr>
          </w:p>
          <w:p>
            <w:pPr>
              <w:pStyle w:val="TableParagraph"/>
              <w:spacing w:before="1"/>
              <w:ind w:left="22" w:right="4"/>
              <w:jc w:val="center"/>
              <w:rPr>
                <w:b/>
                <w:sz w:val="28"/>
              </w:rPr>
            </w:pPr>
            <w:r>
              <w:rPr>
                <w:b/>
                <w:sz w:val="28"/>
              </w:rPr>
              <w:t>Средняя</w:t>
            </w:r>
            <w:r>
              <w:rPr>
                <w:b/>
                <w:spacing w:val="-7"/>
                <w:sz w:val="28"/>
              </w:rPr>
              <w:t> </w:t>
            </w:r>
            <w:r>
              <w:rPr>
                <w:b/>
                <w:sz w:val="28"/>
              </w:rPr>
              <w:t>и</w:t>
            </w:r>
            <w:r>
              <w:rPr>
                <w:b/>
                <w:spacing w:val="-6"/>
                <w:sz w:val="28"/>
              </w:rPr>
              <w:t> </w:t>
            </w:r>
            <w:r>
              <w:rPr>
                <w:b/>
                <w:sz w:val="28"/>
              </w:rPr>
              <w:t>старшая</w:t>
            </w:r>
            <w:r>
              <w:rPr>
                <w:b/>
                <w:spacing w:val="-6"/>
                <w:sz w:val="28"/>
              </w:rPr>
              <w:t> </w:t>
            </w:r>
            <w:r>
              <w:rPr>
                <w:b/>
                <w:sz w:val="28"/>
              </w:rPr>
              <w:t>школа</w:t>
            </w:r>
            <w:r>
              <w:rPr>
                <w:b/>
                <w:spacing w:val="-3"/>
                <w:sz w:val="28"/>
              </w:rPr>
              <w:t> </w:t>
            </w:r>
            <w:r>
              <w:rPr>
                <w:b/>
                <w:spacing w:val="-2"/>
                <w:sz w:val="28"/>
              </w:rPr>
              <w:t>(N=311)</w:t>
            </w:r>
          </w:p>
        </w:tc>
      </w:tr>
      <w:tr>
        <w:trPr>
          <w:trHeight w:val="904" w:hRule="atLeast"/>
        </w:trPr>
        <w:tc>
          <w:tcPr>
            <w:tcW w:w="4186" w:type="dxa"/>
          </w:tcPr>
          <w:p>
            <w:pPr>
              <w:pStyle w:val="TableParagraph"/>
              <w:spacing w:before="311"/>
              <w:ind w:left="100"/>
              <w:rPr>
                <w:sz w:val="28"/>
              </w:rPr>
            </w:pPr>
            <w:r>
              <w:rPr>
                <w:sz w:val="28"/>
              </w:rPr>
              <w:t>Ниже</w:t>
            </w:r>
            <w:r>
              <w:rPr>
                <w:spacing w:val="-2"/>
                <w:sz w:val="28"/>
              </w:rPr>
              <w:t> среднего</w:t>
            </w:r>
          </w:p>
        </w:tc>
        <w:tc>
          <w:tcPr>
            <w:tcW w:w="4770" w:type="dxa"/>
          </w:tcPr>
          <w:p>
            <w:pPr>
              <w:pStyle w:val="TableParagraph"/>
              <w:spacing w:before="311"/>
              <w:ind w:left="22"/>
              <w:jc w:val="center"/>
              <w:rPr>
                <w:sz w:val="28"/>
              </w:rPr>
            </w:pPr>
            <w:r>
              <w:rPr>
                <w:spacing w:val="-2"/>
                <w:sz w:val="28"/>
              </w:rPr>
              <w:t>&lt;7.17</w:t>
            </w:r>
          </w:p>
        </w:tc>
      </w:tr>
      <w:tr>
        <w:trPr>
          <w:trHeight w:val="902" w:hRule="atLeast"/>
        </w:trPr>
        <w:tc>
          <w:tcPr>
            <w:tcW w:w="4186" w:type="dxa"/>
          </w:tcPr>
          <w:p>
            <w:pPr>
              <w:pStyle w:val="TableParagraph"/>
              <w:spacing w:before="309"/>
              <w:ind w:left="100"/>
              <w:rPr>
                <w:sz w:val="28"/>
              </w:rPr>
            </w:pPr>
            <w:r>
              <w:rPr>
                <w:spacing w:val="-2"/>
                <w:sz w:val="28"/>
              </w:rPr>
              <w:t>Средний</w:t>
            </w:r>
          </w:p>
        </w:tc>
        <w:tc>
          <w:tcPr>
            <w:tcW w:w="4770" w:type="dxa"/>
          </w:tcPr>
          <w:p>
            <w:pPr>
              <w:pStyle w:val="TableParagraph"/>
              <w:spacing w:before="309"/>
              <w:ind w:left="1684"/>
              <w:rPr>
                <w:sz w:val="28"/>
              </w:rPr>
            </w:pPr>
            <w:r>
              <w:rPr>
                <w:sz w:val="28"/>
              </w:rPr>
              <w:t>7.17</w:t>
            </w:r>
            <w:r>
              <w:rPr>
                <w:spacing w:val="-1"/>
                <w:sz w:val="28"/>
              </w:rPr>
              <w:t> </w:t>
            </w:r>
            <w:r>
              <w:rPr>
                <w:sz w:val="28"/>
              </w:rPr>
              <w:t>–</w:t>
            </w:r>
            <w:r>
              <w:rPr>
                <w:spacing w:val="-2"/>
                <w:sz w:val="28"/>
              </w:rPr>
              <w:t> 25.07</w:t>
            </w:r>
          </w:p>
        </w:tc>
      </w:tr>
      <w:tr>
        <w:trPr>
          <w:trHeight w:val="901" w:hRule="atLeast"/>
        </w:trPr>
        <w:tc>
          <w:tcPr>
            <w:tcW w:w="4186" w:type="dxa"/>
          </w:tcPr>
          <w:p>
            <w:pPr>
              <w:pStyle w:val="TableParagraph"/>
              <w:spacing w:before="309"/>
              <w:ind w:left="100"/>
              <w:rPr>
                <w:sz w:val="28"/>
              </w:rPr>
            </w:pPr>
            <w:r>
              <w:rPr>
                <w:sz w:val="28"/>
              </w:rPr>
              <w:t>Выше </w:t>
            </w:r>
            <w:r>
              <w:rPr>
                <w:spacing w:val="-2"/>
                <w:sz w:val="28"/>
              </w:rPr>
              <w:t>среднего</w:t>
            </w:r>
          </w:p>
        </w:tc>
        <w:tc>
          <w:tcPr>
            <w:tcW w:w="4770" w:type="dxa"/>
          </w:tcPr>
          <w:p>
            <w:pPr>
              <w:pStyle w:val="TableParagraph"/>
              <w:spacing w:before="309"/>
              <w:ind w:left="22"/>
              <w:jc w:val="center"/>
              <w:rPr>
                <w:sz w:val="28"/>
              </w:rPr>
            </w:pPr>
            <w:r>
              <w:rPr>
                <w:spacing w:val="-2"/>
                <w:sz w:val="28"/>
              </w:rPr>
              <w:t>&gt;25.07</w:t>
            </w:r>
          </w:p>
        </w:tc>
      </w:tr>
    </w:tbl>
    <w:p>
      <w:pPr>
        <w:spacing w:before="232"/>
        <w:ind w:left="285" w:right="568" w:firstLine="0"/>
        <w:jc w:val="both"/>
        <w:rPr>
          <w:sz w:val="24"/>
        </w:rPr>
      </w:pPr>
      <w:r>
        <w:rPr>
          <w:i/>
          <w:sz w:val="24"/>
        </w:rPr>
        <w:t>Примечание</w:t>
      </w:r>
      <w:r>
        <w:rPr>
          <w:sz w:val="24"/>
        </w:rPr>
        <w:t>. Значимых гендерных различий не выявлено, в связи с чем оценка производится без учета пола ребенка (t-критерий Стьюдента для независимых выборок).</w:t>
      </w:r>
    </w:p>
    <w:p>
      <w:pPr>
        <w:pStyle w:val="Heading4"/>
        <w:spacing w:before="242"/>
        <w:ind w:right="569"/>
      </w:pPr>
      <w:r>
        <w:rPr/>
        <w:t>Очевидно, что, если результаты ребенка по данному опроснику выше среднего, это является основанием для индивидуальной психологической работы и обращения за дополнительной консультацией к клиническому психологу и/или психиатру.</w:t>
      </w:r>
    </w:p>
    <w:p>
      <w:pPr>
        <w:pStyle w:val="Heading3"/>
        <w:spacing w:before="248"/>
      </w:pPr>
      <w:r>
        <w:rPr/>
        <w:t>Психометрические</w:t>
      </w:r>
      <w:r>
        <w:rPr>
          <w:spacing w:val="-16"/>
        </w:rPr>
        <w:t> </w:t>
      </w:r>
      <w:r>
        <w:rPr/>
        <w:t>характеристики</w:t>
      </w:r>
      <w:r>
        <w:rPr>
          <w:spacing w:val="-14"/>
        </w:rPr>
        <w:t> </w:t>
      </w:r>
      <w:r>
        <w:rPr>
          <w:spacing w:val="-2"/>
        </w:rPr>
        <w:t>методики</w:t>
      </w:r>
    </w:p>
    <w:p>
      <w:pPr>
        <w:pStyle w:val="Heading4"/>
        <w:spacing w:before="232"/>
        <w:ind w:right="561"/>
      </w:pPr>
      <w:r>
        <w:rPr/>
        <w:t>Методика </w:t>
      </w:r>
      <w:r>
        <w:rPr>
          <w:i/>
        </w:rPr>
        <w:t>СES-D </w:t>
      </w:r>
      <w:r>
        <w:rPr/>
        <w:t>прошла масштабное тестирование в США, где проводилась в несколько этапов: с октября 1971 по июль 1974 года. В результате анализа данных было обнаружено, что </w:t>
      </w:r>
      <w:r>
        <w:rPr>
          <w:i/>
        </w:rPr>
        <w:t>CES-D </w:t>
      </w:r>
      <w:r>
        <w:rPr/>
        <w:t>имеет очень высокую внутреннюю согласованность (коэффициент альфа Кронбаха &lt;.84) и адекватную надежность повторного тестирования (r = 0,45–0,70). Конструктная валидность</w:t>
      </w:r>
      <w:r>
        <w:rPr>
          <w:spacing w:val="-4"/>
        </w:rPr>
        <w:t> </w:t>
      </w:r>
      <w:r>
        <w:rPr/>
        <w:t>была</w:t>
      </w:r>
      <w:r>
        <w:rPr>
          <w:spacing w:val="-3"/>
        </w:rPr>
        <w:t> </w:t>
      </w:r>
      <w:r>
        <w:rPr/>
        <w:t>продемонстрирована</w:t>
      </w:r>
      <w:r>
        <w:rPr>
          <w:spacing w:val="-3"/>
        </w:rPr>
        <w:t> </w:t>
      </w:r>
      <w:r>
        <w:rPr/>
        <w:t>различиями</w:t>
      </w:r>
      <w:r>
        <w:rPr>
          <w:spacing w:val="-3"/>
        </w:rPr>
        <w:t> </w:t>
      </w:r>
      <w:r>
        <w:rPr/>
        <w:t>между</w:t>
      </w:r>
      <w:r>
        <w:rPr>
          <w:spacing w:val="-6"/>
        </w:rPr>
        <w:t> </w:t>
      </w:r>
      <w:r>
        <w:rPr/>
        <w:t>взрослыми</w:t>
      </w:r>
      <w:r>
        <w:rPr>
          <w:spacing w:val="-2"/>
        </w:rPr>
        <w:t> </w:t>
      </w:r>
      <w:r>
        <w:rPr/>
        <w:t>в</w:t>
      </w:r>
      <w:r>
        <w:rPr>
          <w:spacing w:val="-3"/>
        </w:rPr>
        <w:t> </w:t>
      </w:r>
      <w:r>
        <w:rPr/>
        <w:t>общей популяции и стационарными пациентами с психическими заболеваниями, а также на примерах корреляций с показателями других опросников и клинических оценок депрессии и, кроме того, по взаимосвязям с другими переменными. Надежность, валидность и факторная структура схожи по широкому спектру демографических характеристик в тестируемых выборках генеральной совокупности.</w:t>
      </w:r>
    </w:p>
    <w:p>
      <w:pPr>
        <w:pStyle w:val="Heading4"/>
        <w:spacing w:before="241"/>
        <w:ind w:right="566"/>
      </w:pPr>
      <w:r>
        <w:rPr/>
        <w:t>Возраст, пол, семейное положение, род занятий не оказали существенного влияния на общий балл </w:t>
      </w:r>
      <w:r>
        <w:rPr>
          <w:i/>
        </w:rPr>
        <w:t>CES-D; </w:t>
      </w:r>
      <w:r>
        <w:rPr/>
        <w:t>некоторое различие было обнаружено в зависимости от степени тяжести депрессии, что потребовало дальнейших </w:t>
      </w:r>
      <w:r>
        <w:rPr>
          <w:spacing w:val="-2"/>
        </w:rPr>
        <w:t>исследований.</w:t>
      </w:r>
    </w:p>
    <w:p>
      <w:pPr>
        <w:pStyle w:val="Heading4"/>
        <w:spacing w:before="239"/>
        <w:ind w:right="559"/>
      </w:pPr>
      <w:r>
        <w:rPr>
          <w:i/>
        </w:rPr>
        <w:t>CES-D</w:t>
      </w:r>
      <w:r>
        <w:rPr>
          <w:i/>
          <w:spacing w:val="-12"/>
        </w:rPr>
        <w:t> </w:t>
      </w:r>
      <w:r>
        <w:rPr/>
        <w:t>показал</w:t>
      </w:r>
      <w:r>
        <w:rPr>
          <w:spacing w:val="-12"/>
        </w:rPr>
        <w:t> </w:t>
      </w:r>
      <w:r>
        <w:rPr/>
        <w:t>хорошую</w:t>
      </w:r>
      <w:r>
        <w:rPr>
          <w:spacing w:val="-10"/>
        </w:rPr>
        <w:t> </w:t>
      </w:r>
      <w:r>
        <w:rPr/>
        <w:t>надежность</w:t>
      </w:r>
      <w:r>
        <w:rPr>
          <w:spacing w:val="-12"/>
        </w:rPr>
        <w:t> </w:t>
      </w:r>
      <w:r>
        <w:rPr/>
        <w:t>(коэффициент</w:t>
      </w:r>
      <w:r>
        <w:rPr>
          <w:spacing w:val="-11"/>
        </w:rPr>
        <w:t> </w:t>
      </w:r>
      <w:r>
        <w:rPr/>
        <w:t>альфа</w:t>
      </w:r>
      <w:r>
        <w:rPr>
          <w:spacing w:val="-13"/>
        </w:rPr>
        <w:t> </w:t>
      </w:r>
      <w:r>
        <w:rPr/>
        <w:t>Кронбаха</w:t>
      </w:r>
      <w:r>
        <w:rPr>
          <w:spacing w:val="-11"/>
        </w:rPr>
        <w:t> </w:t>
      </w:r>
      <w:r>
        <w:rPr/>
        <w:t>=</w:t>
      </w:r>
      <w:r>
        <w:rPr>
          <w:spacing w:val="-11"/>
        </w:rPr>
        <w:t> </w:t>
      </w:r>
      <w:r>
        <w:rPr/>
        <w:t>.70–.95, r</w:t>
      </w:r>
      <w:r>
        <w:rPr>
          <w:spacing w:val="-3"/>
        </w:rPr>
        <w:t> </w:t>
      </w:r>
      <w:r>
        <w:rPr>
          <w:vertAlign w:val="subscript"/>
        </w:rPr>
        <w:t>test-</w:t>
      </w:r>
      <w:r>
        <w:rPr>
          <w:spacing w:val="40"/>
          <w:vertAlign w:val="baseline"/>
        </w:rPr>
        <w:t> </w:t>
      </w:r>
      <w:r>
        <w:rPr>
          <w:vertAlign w:val="baseline"/>
        </w:rPr>
        <w:t>retest</w:t>
      </w:r>
      <w:r>
        <w:rPr>
          <w:spacing w:val="-1"/>
          <w:vertAlign w:val="baseline"/>
        </w:rPr>
        <w:t> </w:t>
      </w:r>
      <w:r>
        <w:rPr>
          <w:vertAlign w:val="baseline"/>
        </w:rPr>
        <w:t>=</w:t>
      </w:r>
      <w:r>
        <w:rPr>
          <w:spacing w:val="-6"/>
          <w:vertAlign w:val="baseline"/>
        </w:rPr>
        <w:t> </w:t>
      </w:r>
      <w:r>
        <w:rPr>
          <w:vertAlign w:val="baseline"/>
        </w:rPr>
        <w:t>0,71–0,85)</w:t>
      </w:r>
      <w:r>
        <w:rPr>
          <w:spacing w:val="-5"/>
          <w:vertAlign w:val="baseline"/>
        </w:rPr>
        <w:t> </w:t>
      </w:r>
      <w:r>
        <w:rPr>
          <w:vertAlign w:val="baseline"/>
        </w:rPr>
        <w:t>и</w:t>
      </w:r>
      <w:r>
        <w:rPr>
          <w:spacing w:val="-5"/>
          <w:vertAlign w:val="baseline"/>
        </w:rPr>
        <w:t> </w:t>
      </w:r>
      <w:r>
        <w:rPr>
          <w:vertAlign w:val="baseline"/>
        </w:rPr>
        <w:t>хорошую</w:t>
      </w:r>
      <w:r>
        <w:rPr>
          <w:spacing w:val="-3"/>
          <w:vertAlign w:val="baseline"/>
        </w:rPr>
        <w:t> </w:t>
      </w:r>
      <w:r>
        <w:rPr>
          <w:vertAlign w:val="baseline"/>
        </w:rPr>
        <w:t>валидность</w:t>
      </w:r>
      <w:r>
        <w:rPr>
          <w:spacing w:val="-3"/>
          <w:vertAlign w:val="baseline"/>
        </w:rPr>
        <w:t> </w:t>
      </w:r>
      <w:r>
        <w:rPr>
          <w:vertAlign w:val="baseline"/>
        </w:rPr>
        <w:t>в</w:t>
      </w:r>
      <w:r>
        <w:rPr>
          <w:spacing w:val="-7"/>
          <w:vertAlign w:val="baseline"/>
        </w:rPr>
        <w:t> </w:t>
      </w:r>
      <w:r>
        <w:rPr>
          <w:vertAlign w:val="baseline"/>
        </w:rPr>
        <w:t>разных</w:t>
      </w:r>
      <w:r>
        <w:rPr>
          <w:spacing w:val="-3"/>
          <w:vertAlign w:val="baseline"/>
        </w:rPr>
        <w:t> </w:t>
      </w:r>
      <w:r>
        <w:rPr>
          <w:vertAlign w:val="baseline"/>
        </w:rPr>
        <w:t>странах</w:t>
      </w:r>
      <w:r>
        <w:rPr>
          <w:spacing w:val="-1"/>
          <w:vertAlign w:val="baseline"/>
        </w:rPr>
        <w:t> </w:t>
      </w:r>
      <w:r>
        <w:rPr>
          <w:vertAlign w:val="baseline"/>
        </w:rPr>
        <w:t>(</w:t>
      </w:r>
      <w:r>
        <w:rPr>
          <w:i/>
          <w:vertAlign w:val="baseline"/>
        </w:rPr>
        <w:t>Arbona</w:t>
      </w:r>
      <w:r>
        <w:rPr>
          <w:i/>
          <w:spacing w:val="-2"/>
          <w:vertAlign w:val="baseline"/>
        </w:rPr>
        <w:t> </w:t>
      </w:r>
      <w:r>
        <w:rPr>
          <w:vertAlign w:val="baseline"/>
        </w:rPr>
        <w:t>et</w:t>
      </w:r>
      <w:r>
        <w:rPr>
          <w:spacing w:val="-1"/>
          <w:vertAlign w:val="baseline"/>
        </w:rPr>
        <w:t> </w:t>
      </w:r>
      <w:r>
        <w:rPr>
          <w:vertAlign w:val="baseline"/>
        </w:rPr>
        <w:t>al., 2017; </w:t>
      </w:r>
      <w:r>
        <w:rPr>
          <w:i/>
          <w:vertAlign w:val="baseline"/>
        </w:rPr>
        <w:t>Chin </w:t>
      </w:r>
      <w:r>
        <w:rPr>
          <w:vertAlign w:val="baseline"/>
        </w:rPr>
        <w:t>et al., 2015).</w:t>
      </w:r>
    </w:p>
    <w:p>
      <w:pPr>
        <w:pStyle w:val="Heading4"/>
        <w:spacing w:after="0"/>
        <w:sectPr>
          <w:pgSz w:w="11910" w:h="16840"/>
          <w:pgMar w:header="0" w:footer="970" w:top="1040" w:bottom="1200" w:left="1417" w:right="283"/>
        </w:sectPr>
      </w:pPr>
    </w:p>
    <w:p>
      <w:pPr>
        <w:pStyle w:val="Heading4"/>
        <w:spacing w:before="67"/>
        <w:ind w:right="564"/>
      </w:pPr>
      <w:r>
        <w:rPr/>
        <w:t>Четыре отдельных метаанализа на основе исследований факторного анализа </w:t>
      </w:r>
      <w:r>
        <w:rPr>
          <w:i/>
        </w:rPr>
        <w:t>CES-D</w:t>
      </w:r>
      <w:r>
        <w:rPr/>
        <w:t>, проведенных в 2006 году</w:t>
      </w:r>
      <w:r>
        <w:rPr>
          <w:spacing w:val="-2"/>
        </w:rPr>
        <w:t> </w:t>
      </w:r>
      <w:r>
        <w:rPr/>
        <w:t>Шафером (</w:t>
      </w:r>
      <w:r>
        <w:rPr>
          <w:i/>
        </w:rPr>
        <w:t>Shafer</w:t>
      </w:r>
      <w:r>
        <w:rPr/>
        <w:t>, 2006), в</w:t>
      </w:r>
      <w:r>
        <w:rPr>
          <w:spacing w:val="-1"/>
        </w:rPr>
        <w:t> </w:t>
      </w:r>
      <w:r>
        <w:rPr/>
        <w:t>которых приняли участие в общей сложности 22 000 человек, подтвердили, что исходная четырехфакторная структура является наиболее подходящей.</w:t>
      </w:r>
    </w:p>
    <w:p>
      <w:pPr>
        <w:pStyle w:val="Heading4"/>
        <w:spacing w:before="241"/>
        <w:ind w:right="562"/>
      </w:pPr>
      <w:r>
        <w:rPr/>
        <w:t>Метаанализ, проведенный Кимом, обнаружил, что четырехфакторная структура </w:t>
      </w:r>
      <w:r>
        <w:rPr>
          <w:i/>
        </w:rPr>
        <w:t>CES-D </w:t>
      </w:r>
      <w:r>
        <w:rPr/>
        <w:t>не подходит для азиатских участников. Это исследование показало, что этнические и культурные особенности могут приводить к различным структурам факторов методики </w:t>
      </w:r>
      <w:r>
        <w:rPr>
          <w:i/>
        </w:rPr>
        <w:t>CES-D </w:t>
      </w:r>
      <w:r>
        <w:rPr/>
        <w:t>(</w:t>
      </w:r>
      <w:r>
        <w:rPr>
          <w:i/>
        </w:rPr>
        <w:t>Skriner</w:t>
      </w:r>
      <w:r>
        <w:rPr/>
        <w:t>,</w:t>
      </w:r>
      <w:r>
        <w:rPr>
          <w:spacing w:val="-1"/>
        </w:rPr>
        <w:t> </w:t>
      </w:r>
      <w:r>
        <w:rPr/>
        <w:t>2014). Понимание слов или культурного своеобразия может играть важную роль в различных модельных структурах. Кроме того, большое значение имеет протестированная популяция.</w:t>
      </w:r>
    </w:p>
    <w:p>
      <w:pPr>
        <w:pStyle w:val="Heading4"/>
        <w:spacing w:before="241"/>
        <w:ind w:right="563"/>
      </w:pPr>
      <w:r>
        <w:rPr/>
        <w:t>Изначально</w:t>
      </w:r>
      <w:r>
        <w:rPr>
          <w:spacing w:val="-10"/>
        </w:rPr>
        <w:t> </w:t>
      </w:r>
      <w:r>
        <w:rPr/>
        <w:t>опросник</w:t>
      </w:r>
      <w:r>
        <w:rPr>
          <w:spacing w:val="-8"/>
        </w:rPr>
        <w:t> </w:t>
      </w:r>
      <w:r>
        <w:rPr>
          <w:i/>
        </w:rPr>
        <w:t>CES-D</w:t>
      </w:r>
      <w:r>
        <w:rPr>
          <w:i/>
          <w:spacing w:val="-12"/>
        </w:rPr>
        <w:t> </w:t>
      </w:r>
      <w:r>
        <w:rPr/>
        <w:t>был</w:t>
      </w:r>
      <w:r>
        <w:rPr>
          <w:spacing w:val="-12"/>
        </w:rPr>
        <w:t> </w:t>
      </w:r>
      <w:r>
        <w:rPr/>
        <w:t>предназначен</w:t>
      </w:r>
      <w:r>
        <w:rPr>
          <w:spacing w:val="-11"/>
        </w:rPr>
        <w:t> </w:t>
      </w:r>
      <w:r>
        <w:rPr/>
        <w:t>для</w:t>
      </w:r>
      <w:r>
        <w:rPr>
          <w:spacing w:val="-11"/>
        </w:rPr>
        <w:t> </w:t>
      </w:r>
      <w:r>
        <w:rPr/>
        <w:t>взрослого</w:t>
      </w:r>
      <w:r>
        <w:rPr>
          <w:spacing w:val="-10"/>
        </w:rPr>
        <w:t> </w:t>
      </w:r>
      <w:r>
        <w:rPr/>
        <w:t>населения</w:t>
      </w:r>
      <w:r>
        <w:rPr>
          <w:spacing w:val="-11"/>
        </w:rPr>
        <w:t> </w:t>
      </w:r>
      <w:r>
        <w:rPr/>
        <w:t>от</w:t>
      </w:r>
      <w:r>
        <w:rPr>
          <w:spacing w:val="-11"/>
        </w:rPr>
        <w:t> </w:t>
      </w:r>
      <w:r>
        <w:rPr/>
        <w:t>18 лет,</w:t>
      </w:r>
      <w:r>
        <w:rPr>
          <w:spacing w:val="-11"/>
        </w:rPr>
        <w:t> </w:t>
      </w:r>
      <w:r>
        <w:rPr/>
        <w:t>но</w:t>
      </w:r>
      <w:r>
        <w:rPr>
          <w:spacing w:val="-9"/>
        </w:rPr>
        <w:t> </w:t>
      </w:r>
      <w:r>
        <w:rPr/>
        <w:t>были</w:t>
      </w:r>
      <w:r>
        <w:rPr>
          <w:spacing w:val="-10"/>
        </w:rPr>
        <w:t> </w:t>
      </w:r>
      <w:r>
        <w:rPr/>
        <w:t>исследования</w:t>
      </w:r>
      <w:r>
        <w:rPr>
          <w:spacing w:val="-10"/>
        </w:rPr>
        <w:t> </w:t>
      </w:r>
      <w:r>
        <w:rPr/>
        <w:t>с</w:t>
      </w:r>
      <w:r>
        <w:rPr>
          <w:spacing w:val="-10"/>
        </w:rPr>
        <w:t> </w:t>
      </w:r>
      <w:r>
        <w:rPr/>
        <w:t>участием</w:t>
      </w:r>
      <w:r>
        <w:rPr>
          <w:spacing w:val="-10"/>
        </w:rPr>
        <w:t> </w:t>
      </w:r>
      <w:r>
        <w:rPr/>
        <w:t>подростков.</w:t>
      </w:r>
      <w:r>
        <w:rPr>
          <w:spacing w:val="-11"/>
        </w:rPr>
        <w:t> </w:t>
      </w:r>
      <w:r>
        <w:rPr/>
        <w:t>Хорошим</w:t>
      </w:r>
      <w:r>
        <w:rPr>
          <w:spacing w:val="-10"/>
        </w:rPr>
        <w:t> </w:t>
      </w:r>
      <w:r>
        <w:rPr/>
        <w:t>примером</w:t>
      </w:r>
      <w:r>
        <w:rPr>
          <w:spacing w:val="-10"/>
        </w:rPr>
        <w:t> </w:t>
      </w:r>
      <w:r>
        <w:rPr/>
        <w:t>может служить кросс-культурное исследование школьников в Куала-Лумпуре (</w:t>
      </w:r>
      <w:r>
        <w:rPr>
          <w:i/>
        </w:rPr>
        <w:t>Mazlan, Ahmad, </w:t>
      </w:r>
      <w:r>
        <w:rPr/>
        <w:t>2013</w:t>
      </w:r>
      <w:r>
        <w:rPr>
          <w:i/>
        </w:rPr>
        <w:t>; Sarbhan Singh </w:t>
      </w:r>
      <w:r>
        <w:rPr/>
        <w:t>et al., 2021).</w:t>
      </w:r>
    </w:p>
    <w:p>
      <w:pPr>
        <w:pStyle w:val="Heading3"/>
        <w:spacing w:before="246"/>
      </w:pPr>
      <w:r>
        <w:rPr/>
        <w:t>Адаптация</w:t>
      </w:r>
      <w:r>
        <w:rPr>
          <w:spacing w:val="-6"/>
        </w:rPr>
        <w:t> </w:t>
      </w:r>
      <w:r>
        <w:rPr/>
        <w:t>методики</w:t>
      </w:r>
      <w:r>
        <w:rPr>
          <w:spacing w:val="-4"/>
        </w:rPr>
        <w:t> </w:t>
      </w:r>
      <w:r>
        <w:rPr/>
        <w:t>на</w:t>
      </w:r>
      <w:r>
        <w:rPr>
          <w:spacing w:val="-5"/>
        </w:rPr>
        <w:t> </w:t>
      </w:r>
      <w:r>
        <w:rPr/>
        <w:t>русском</w:t>
      </w:r>
      <w:r>
        <w:rPr>
          <w:spacing w:val="-5"/>
        </w:rPr>
        <w:t> </w:t>
      </w:r>
      <w:r>
        <w:rPr>
          <w:spacing w:val="-4"/>
        </w:rPr>
        <w:t>языке</w:t>
      </w:r>
    </w:p>
    <w:p>
      <w:pPr>
        <w:pStyle w:val="Heading4"/>
        <w:spacing w:before="234"/>
        <w:ind w:right="561"/>
      </w:pPr>
      <w:r>
        <w:rPr/>
        <w:t>Апробация</w:t>
      </w:r>
      <w:r>
        <w:rPr>
          <w:spacing w:val="-7"/>
        </w:rPr>
        <w:t> </w:t>
      </w:r>
      <w:r>
        <w:rPr/>
        <w:t>русской</w:t>
      </w:r>
      <w:r>
        <w:rPr>
          <w:spacing w:val="-7"/>
        </w:rPr>
        <w:t> </w:t>
      </w:r>
      <w:r>
        <w:rPr/>
        <w:t>версии</w:t>
      </w:r>
      <w:r>
        <w:rPr>
          <w:spacing w:val="-7"/>
        </w:rPr>
        <w:t> </w:t>
      </w:r>
      <w:r>
        <w:rPr/>
        <w:t>опросника </w:t>
      </w:r>
      <w:r>
        <w:rPr>
          <w:i/>
        </w:rPr>
        <w:t>CES-D</w:t>
      </w:r>
      <w:r>
        <w:rPr>
          <w:i/>
          <w:spacing w:val="-6"/>
        </w:rPr>
        <w:t> </w:t>
      </w:r>
      <w:r>
        <w:rPr/>
        <w:t>проводилась</w:t>
      </w:r>
      <w:r>
        <w:rPr>
          <w:spacing w:val="-8"/>
        </w:rPr>
        <w:t> </w:t>
      </w:r>
      <w:r>
        <w:rPr/>
        <w:t>А.В.</w:t>
      </w:r>
      <w:r>
        <w:rPr>
          <w:spacing w:val="-6"/>
        </w:rPr>
        <w:t> </w:t>
      </w:r>
      <w:r>
        <w:rPr/>
        <w:t>Андрющенко, М.Ю. Дробижевым и А.В. Добровольским (</w:t>
      </w:r>
      <w:r>
        <w:rPr>
          <w:i/>
        </w:rPr>
        <w:t>Андрющенко, Дробижев, Добровольский, </w:t>
      </w:r>
      <w:r>
        <w:rPr/>
        <w:t>2003). Анализ соотношения чувствительности, специфичности,</w:t>
      </w:r>
      <w:r>
        <w:rPr>
          <w:spacing w:val="-18"/>
        </w:rPr>
        <w:t> </w:t>
      </w:r>
      <w:r>
        <w:rPr/>
        <w:t>прогностической</w:t>
      </w:r>
      <w:r>
        <w:rPr>
          <w:spacing w:val="-17"/>
        </w:rPr>
        <w:t> </w:t>
      </w:r>
      <w:r>
        <w:rPr/>
        <w:t>ценности</w:t>
      </w:r>
      <w:r>
        <w:rPr>
          <w:spacing w:val="-18"/>
        </w:rPr>
        <w:t> </w:t>
      </w:r>
      <w:r>
        <w:rPr/>
        <w:t>положительного</w:t>
      </w:r>
      <w:r>
        <w:rPr>
          <w:spacing w:val="-17"/>
        </w:rPr>
        <w:t> </w:t>
      </w:r>
      <w:r>
        <w:rPr/>
        <w:t>и</w:t>
      </w:r>
      <w:r>
        <w:rPr>
          <w:spacing w:val="-18"/>
        </w:rPr>
        <w:t> </w:t>
      </w:r>
      <w:r>
        <w:rPr/>
        <w:t>отрицательного результатов позволил выявить оптимальные точки разделения, обеспечивающие</w:t>
      </w:r>
      <w:r>
        <w:rPr>
          <w:spacing w:val="-7"/>
        </w:rPr>
        <w:t> </w:t>
      </w:r>
      <w:r>
        <w:rPr/>
        <w:t>четкое</w:t>
      </w:r>
      <w:r>
        <w:rPr>
          <w:spacing w:val="-7"/>
        </w:rPr>
        <w:t> </w:t>
      </w:r>
      <w:r>
        <w:rPr/>
        <w:t>отграничение</w:t>
      </w:r>
      <w:r>
        <w:rPr>
          <w:spacing w:val="-7"/>
        </w:rPr>
        <w:t> </w:t>
      </w:r>
      <w:r>
        <w:rPr/>
        <w:t>пациентов</w:t>
      </w:r>
      <w:r>
        <w:rPr>
          <w:spacing w:val="-8"/>
        </w:rPr>
        <w:t> </w:t>
      </w:r>
      <w:r>
        <w:rPr/>
        <w:t>с</w:t>
      </w:r>
      <w:r>
        <w:rPr>
          <w:spacing w:val="-7"/>
        </w:rPr>
        <w:t> </w:t>
      </w:r>
      <w:r>
        <w:rPr/>
        <w:t>депрессивным</w:t>
      </w:r>
      <w:r>
        <w:rPr>
          <w:spacing w:val="-7"/>
        </w:rPr>
        <w:t> </w:t>
      </w:r>
      <w:r>
        <w:rPr/>
        <w:t>состоянием от остальных больных: для </w:t>
      </w:r>
      <w:r>
        <w:rPr>
          <w:i/>
        </w:rPr>
        <w:t>CES-D </w:t>
      </w:r>
      <w:r>
        <w:rPr/>
        <w:t>это сумма баллов &gt;18. Таким образом, по результатам</w:t>
      </w:r>
      <w:r>
        <w:rPr>
          <w:spacing w:val="-3"/>
        </w:rPr>
        <w:t> </w:t>
      </w:r>
      <w:r>
        <w:rPr/>
        <w:t>данного</w:t>
      </w:r>
      <w:r>
        <w:rPr>
          <w:spacing w:val="-2"/>
        </w:rPr>
        <w:t> </w:t>
      </w:r>
      <w:r>
        <w:rPr/>
        <w:t>исследования</w:t>
      </w:r>
      <w:r>
        <w:rPr>
          <w:spacing w:val="-2"/>
        </w:rPr>
        <w:t> </w:t>
      </w:r>
      <w:r>
        <w:rPr/>
        <w:t>все</w:t>
      </w:r>
      <w:r>
        <w:rPr>
          <w:spacing w:val="-6"/>
        </w:rPr>
        <w:t> </w:t>
      </w:r>
      <w:r>
        <w:rPr/>
        <w:t>три</w:t>
      </w:r>
      <w:r>
        <w:rPr>
          <w:spacing w:val="-4"/>
        </w:rPr>
        <w:t> </w:t>
      </w:r>
      <w:r>
        <w:rPr/>
        <w:t>шкалы</w:t>
      </w:r>
      <w:r>
        <w:rPr>
          <w:spacing w:val="-2"/>
        </w:rPr>
        <w:t> </w:t>
      </w:r>
      <w:r>
        <w:rPr/>
        <w:t>могут</w:t>
      </w:r>
      <w:r>
        <w:rPr>
          <w:spacing w:val="-3"/>
        </w:rPr>
        <w:t> </w:t>
      </w:r>
      <w:r>
        <w:rPr/>
        <w:t>быть</w:t>
      </w:r>
      <w:r>
        <w:rPr>
          <w:spacing w:val="-4"/>
        </w:rPr>
        <w:t> </w:t>
      </w:r>
      <w:r>
        <w:rPr/>
        <w:t>рекомендованы для первичной (скрининговой) диагностики депрессий у больных общемедицинской сети.</w:t>
      </w:r>
    </w:p>
    <w:p>
      <w:pPr>
        <w:pStyle w:val="Heading4"/>
        <w:spacing w:before="242"/>
        <w:ind w:right="560"/>
      </w:pPr>
      <w:r>
        <w:rPr/>
        <w:t>В общемедицинской практике</w:t>
      </w:r>
      <w:r>
        <w:rPr>
          <w:spacing w:val="-3"/>
        </w:rPr>
        <w:t> </w:t>
      </w:r>
      <w:r>
        <w:rPr/>
        <w:t>опросник нередко</w:t>
      </w:r>
      <w:r>
        <w:rPr>
          <w:spacing w:val="-2"/>
        </w:rPr>
        <w:t> </w:t>
      </w:r>
      <w:r>
        <w:rPr/>
        <w:t>используется для выявления депрессии и когнитивных искажений у кардиологических больных (</w:t>
      </w:r>
      <w:r>
        <w:rPr>
          <w:i/>
        </w:rPr>
        <w:t>Каскаева </w:t>
      </w:r>
      <w:r>
        <w:rPr/>
        <w:t>и др., 2013), а также для выявления депрессии у самих медработников и студентов медицинских вузов. В исследовании по обнаружению тревожно- депрессивных расстройств у работников здравоохранения Смоленска (</w:t>
      </w:r>
      <w:r>
        <w:rPr>
          <w:i/>
        </w:rPr>
        <w:t>Семионенкова</w:t>
      </w:r>
      <w:r>
        <w:rPr/>
        <w:t>, 2011) использовались две шкалы: </w:t>
      </w:r>
      <w:r>
        <w:rPr>
          <w:i/>
        </w:rPr>
        <w:t>CES-D </w:t>
      </w:r>
      <w:r>
        <w:rPr/>
        <w:t>и </w:t>
      </w:r>
      <w:r>
        <w:rPr>
          <w:i/>
        </w:rPr>
        <w:t>HADS</w:t>
      </w:r>
      <w:r>
        <w:rPr/>
        <w:t>. При их сравнении корреляции обнаружено не было (r = 0,67, p = 0,07), но использование обеих шкал давало оптимальный результат.</w:t>
      </w:r>
    </w:p>
    <w:p>
      <w:pPr>
        <w:pStyle w:val="Heading4"/>
        <w:spacing w:before="240"/>
        <w:ind w:right="559"/>
      </w:pPr>
      <w:r>
        <w:rPr/>
        <w:t>В 2022 г. методика была адаптирована для детей — иностранных граждан в рамках апробации в 12 регионах РФ программы оценки особых образовательных потребностей ребенка-мигранта в сферах психологического благополучия,</w:t>
      </w:r>
      <w:r>
        <w:rPr>
          <w:spacing w:val="-1"/>
        </w:rPr>
        <w:t> </w:t>
      </w:r>
      <w:r>
        <w:rPr/>
        <w:t>социальных навыков</w:t>
      </w:r>
      <w:r>
        <w:rPr>
          <w:spacing w:val="-1"/>
        </w:rPr>
        <w:t> </w:t>
      </w:r>
      <w:r>
        <w:rPr/>
        <w:t>и культурной адаптации (N</w:t>
      </w:r>
      <w:r>
        <w:rPr>
          <w:spacing w:val="-2"/>
        </w:rPr>
        <w:t> </w:t>
      </w:r>
      <w:r>
        <w:rPr/>
        <w:t>ср.</w:t>
      </w:r>
      <w:r>
        <w:rPr>
          <w:spacing w:val="-1"/>
        </w:rPr>
        <w:t> </w:t>
      </w:r>
      <w:r>
        <w:rPr/>
        <w:t>шк.</w:t>
      </w:r>
      <w:r>
        <w:rPr>
          <w:spacing w:val="-1"/>
        </w:rPr>
        <w:t> </w:t>
      </w:r>
      <w:r>
        <w:rPr/>
        <w:t>=</w:t>
      </w:r>
      <w:r>
        <w:rPr>
          <w:spacing w:val="-1"/>
        </w:rPr>
        <w:t> </w:t>
      </w:r>
      <w:r>
        <w:rPr/>
        <w:t>197, N</w:t>
      </w:r>
      <w:r>
        <w:rPr>
          <w:spacing w:val="-18"/>
        </w:rPr>
        <w:t> </w:t>
      </w:r>
      <w:r>
        <w:rPr/>
        <w:t>ст.</w:t>
      </w:r>
      <w:r>
        <w:rPr>
          <w:spacing w:val="-17"/>
        </w:rPr>
        <w:t> </w:t>
      </w:r>
      <w:r>
        <w:rPr/>
        <w:t>шк.</w:t>
      </w:r>
      <w:r>
        <w:rPr>
          <w:spacing w:val="-18"/>
        </w:rPr>
        <w:t> </w:t>
      </w:r>
      <w:r>
        <w:rPr/>
        <w:t>=</w:t>
      </w:r>
      <w:r>
        <w:rPr>
          <w:spacing w:val="-17"/>
        </w:rPr>
        <w:t> </w:t>
      </w:r>
      <w:r>
        <w:rPr/>
        <w:t>111,</w:t>
      </w:r>
      <w:r>
        <w:rPr>
          <w:spacing w:val="-18"/>
        </w:rPr>
        <w:t> </w:t>
      </w:r>
      <w:r>
        <w:rPr/>
        <w:t>N</w:t>
      </w:r>
      <w:r>
        <w:rPr>
          <w:spacing w:val="-17"/>
        </w:rPr>
        <w:t> </w:t>
      </w:r>
      <w:r>
        <w:rPr/>
        <w:t>общ.</w:t>
      </w:r>
      <w:r>
        <w:rPr>
          <w:spacing w:val="-18"/>
        </w:rPr>
        <w:t> </w:t>
      </w:r>
      <w:r>
        <w:rPr/>
        <w:t>=</w:t>
      </w:r>
      <w:r>
        <w:rPr>
          <w:spacing w:val="-17"/>
        </w:rPr>
        <w:t> </w:t>
      </w:r>
      <w:r>
        <w:rPr/>
        <w:t>308).</w:t>
      </w:r>
      <w:r>
        <w:rPr>
          <w:spacing w:val="-18"/>
        </w:rPr>
        <w:t> </w:t>
      </w:r>
      <w:r>
        <w:rPr/>
        <w:t>Шкалы</w:t>
      </w:r>
      <w:r>
        <w:rPr>
          <w:spacing w:val="-17"/>
        </w:rPr>
        <w:t> </w:t>
      </w:r>
      <w:r>
        <w:rPr/>
        <w:t>методики</w:t>
      </w:r>
      <w:r>
        <w:rPr>
          <w:spacing w:val="-18"/>
        </w:rPr>
        <w:t> </w:t>
      </w:r>
      <w:r>
        <w:rPr/>
        <w:t>показали</w:t>
      </w:r>
      <w:r>
        <w:rPr>
          <w:spacing w:val="-17"/>
        </w:rPr>
        <w:t> </w:t>
      </w:r>
      <w:r>
        <w:rPr/>
        <w:t>достаточную</w:t>
      </w:r>
      <w:r>
        <w:rPr>
          <w:spacing w:val="-18"/>
        </w:rPr>
        <w:t> </w:t>
      </w:r>
      <w:r>
        <w:rPr/>
        <w:t>степень внутренней согласованности (альфа Кронбаха 0.87).</w:t>
      </w:r>
    </w:p>
    <w:p>
      <w:pPr>
        <w:pStyle w:val="Heading4"/>
        <w:spacing w:after="0"/>
        <w:sectPr>
          <w:pgSz w:w="11910" w:h="16840"/>
          <w:pgMar w:header="0" w:footer="970" w:top="1040" w:bottom="1220" w:left="1417" w:right="283"/>
        </w:sectPr>
      </w:pPr>
    </w:p>
    <w:p>
      <w:pPr>
        <w:pStyle w:val="Heading4"/>
        <w:spacing w:before="67"/>
        <w:ind w:right="560"/>
      </w:pPr>
      <w:r>
        <w:rPr/>
        <w:t>В исследовании обнаружены предсказуемые корреляции со шкалами следующими методик: значимая отрицательная корреляция с детским тестом психологической устойчивости (-0.35, P&lt;0.01), положительная корреляция с показателем тревожность – депрессивность / Ахенбах (0.39, P&lt;0.01), также положительная корреляция со шкалой социального избегания – дистресса (0.456,</w:t>
      </w:r>
      <w:r>
        <w:rPr>
          <w:spacing w:val="-14"/>
        </w:rPr>
        <w:t> </w:t>
      </w:r>
      <w:r>
        <w:rPr/>
        <w:t>P&lt;0.01)</w:t>
      </w:r>
      <w:r>
        <w:rPr>
          <w:spacing w:val="-13"/>
        </w:rPr>
        <w:t> </w:t>
      </w:r>
      <w:r>
        <w:rPr/>
        <w:t>и</w:t>
      </w:r>
      <w:r>
        <w:rPr>
          <w:spacing w:val="-15"/>
        </w:rPr>
        <w:t> </w:t>
      </w:r>
      <w:r>
        <w:rPr/>
        <w:t>с</w:t>
      </w:r>
      <w:r>
        <w:rPr>
          <w:spacing w:val="-13"/>
        </w:rPr>
        <w:t> </w:t>
      </w:r>
      <w:r>
        <w:rPr/>
        <w:t>опросником</w:t>
      </w:r>
      <w:r>
        <w:rPr>
          <w:spacing w:val="-16"/>
        </w:rPr>
        <w:t> </w:t>
      </w:r>
      <w:r>
        <w:rPr/>
        <w:t>социокультурной</w:t>
      </w:r>
      <w:r>
        <w:rPr>
          <w:spacing w:val="-13"/>
        </w:rPr>
        <w:t> </w:t>
      </w:r>
      <w:r>
        <w:rPr/>
        <w:t>дезадаптации</w:t>
      </w:r>
      <w:r>
        <w:rPr>
          <w:spacing w:val="-13"/>
        </w:rPr>
        <w:t> </w:t>
      </w:r>
      <w:r>
        <w:rPr/>
        <w:t>(0.354,</w:t>
      </w:r>
      <w:r>
        <w:rPr>
          <w:spacing w:val="-14"/>
        </w:rPr>
        <w:t> </w:t>
      </w:r>
      <w:r>
        <w:rPr/>
        <w:t>P&lt;0.01). Это доказывает внешнюю валидность методики «Шкала социального избегания и дистресса» при диагностике детей — иностранных граждан.</w:t>
      </w:r>
    </w:p>
    <w:p>
      <w:pPr>
        <w:pStyle w:val="Heading4"/>
        <w:spacing w:after="0"/>
        <w:sectPr>
          <w:pgSz w:w="11910" w:h="16840"/>
          <w:pgMar w:header="0" w:footer="970" w:top="1040" w:bottom="1220" w:left="1417" w:right="283"/>
        </w:sectPr>
      </w:pPr>
    </w:p>
    <w:p>
      <w:pPr>
        <w:pStyle w:val="Heading3"/>
        <w:ind w:left="5570"/>
        <w:jc w:val="left"/>
      </w:pPr>
      <w:r>
        <w:rPr/>
        <w:t>Приложение</w:t>
      </w:r>
      <w:r>
        <w:rPr>
          <w:spacing w:val="-6"/>
        </w:rPr>
        <w:t> </w:t>
      </w:r>
      <w:r>
        <w:rPr/>
        <w:t>9.</w:t>
      </w:r>
      <w:r>
        <w:rPr>
          <w:spacing w:val="-3"/>
        </w:rPr>
        <w:t> </w:t>
      </w:r>
      <w:r>
        <w:rPr/>
        <w:t>Бланк</w:t>
      </w:r>
      <w:r>
        <w:rPr>
          <w:spacing w:val="-3"/>
        </w:rPr>
        <w:t> </w:t>
      </w:r>
      <w:r>
        <w:rPr>
          <w:spacing w:val="-2"/>
        </w:rPr>
        <w:t>методики</w:t>
      </w:r>
    </w:p>
    <w:p>
      <w:pPr>
        <w:spacing w:before="234"/>
        <w:ind w:left="285" w:right="564" w:firstLine="0"/>
        <w:jc w:val="both"/>
        <w:rPr>
          <w:i/>
          <w:sz w:val="24"/>
        </w:rPr>
      </w:pPr>
      <w:r>
        <w:rPr>
          <w:i/>
          <w:sz w:val="24"/>
        </w:rPr>
        <w:t>Ниже следует перечень того, как Вы могли бы себя чувствовать или вести себя. Пожалуйста, отметьте, как часто Вы себя чувствовали или вели себя таким образом в течение</w:t>
      </w:r>
      <w:r>
        <w:rPr>
          <w:i/>
          <w:spacing w:val="-13"/>
          <w:sz w:val="24"/>
        </w:rPr>
        <w:t> </w:t>
      </w:r>
      <w:r>
        <w:rPr>
          <w:i/>
          <w:sz w:val="24"/>
        </w:rPr>
        <w:t>последней</w:t>
      </w:r>
      <w:r>
        <w:rPr>
          <w:i/>
          <w:spacing w:val="-13"/>
          <w:sz w:val="24"/>
        </w:rPr>
        <w:t> </w:t>
      </w:r>
      <w:r>
        <w:rPr>
          <w:i/>
          <w:sz w:val="24"/>
        </w:rPr>
        <w:t>недели:</w:t>
      </w:r>
      <w:r>
        <w:rPr>
          <w:i/>
          <w:spacing w:val="-14"/>
          <w:sz w:val="24"/>
        </w:rPr>
        <w:t> </w:t>
      </w:r>
      <w:r>
        <w:rPr>
          <w:i/>
          <w:sz w:val="24"/>
        </w:rPr>
        <w:t>лишь</w:t>
      </w:r>
      <w:r>
        <w:rPr>
          <w:i/>
          <w:spacing w:val="-12"/>
          <w:sz w:val="24"/>
        </w:rPr>
        <w:t> </w:t>
      </w:r>
      <w:r>
        <w:rPr>
          <w:i/>
          <w:sz w:val="24"/>
        </w:rPr>
        <w:t>изредка</w:t>
      </w:r>
      <w:r>
        <w:rPr>
          <w:i/>
          <w:spacing w:val="-13"/>
          <w:sz w:val="24"/>
        </w:rPr>
        <w:t> </w:t>
      </w:r>
      <w:r>
        <w:rPr>
          <w:i/>
          <w:sz w:val="24"/>
        </w:rPr>
        <w:t>или</w:t>
      </w:r>
      <w:r>
        <w:rPr>
          <w:i/>
          <w:spacing w:val="-15"/>
          <w:sz w:val="24"/>
        </w:rPr>
        <w:t> </w:t>
      </w:r>
      <w:r>
        <w:rPr>
          <w:i/>
          <w:sz w:val="24"/>
        </w:rPr>
        <w:t>никогда</w:t>
      </w:r>
      <w:r>
        <w:rPr>
          <w:i/>
          <w:spacing w:val="-13"/>
          <w:sz w:val="24"/>
        </w:rPr>
        <w:t> </w:t>
      </w:r>
      <w:r>
        <w:rPr>
          <w:i/>
          <w:sz w:val="24"/>
        </w:rPr>
        <w:t>(меньше</w:t>
      </w:r>
      <w:r>
        <w:rPr>
          <w:i/>
          <w:spacing w:val="-14"/>
          <w:sz w:val="24"/>
        </w:rPr>
        <w:t> </w:t>
      </w:r>
      <w:r>
        <w:rPr>
          <w:i/>
          <w:sz w:val="24"/>
        </w:rPr>
        <w:t>1</w:t>
      </w:r>
      <w:r>
        <w:rPr>
          <w:i/>
          <w:spacing w:val="-13"/>
          <w:sz w:val="24"/>
        </w:rPr>
        <w:t> </w:t>
      </w:r>
      <w:r>
        <w:rPr>
          <w:i/>
          <w:sz w:val="24"/>
        </w:rPr>
        <w:t>дня),</w:t>
      </w:r>
      <w:r>
        <w:rPr>
          <w:i/>
          <w:spacing w:val="-13"/>
          <w:sz w:val="24"/>
        </w:rPr>
        <w:t> </w:t>
      </w:r>
      <w:r>
        <w:rPr>
          <w:i/>
          <w:sz w:val="24"/>
        </w:rPr>
        <w:t>редко</w:t>
      </w:r>
      <w:r>
        <w:rPr>
          <w:i/>
          <w:spacing w:val="-13"/>
          <w:sz w:val="24"/>
        </w:rPr>
        <w:t> </w:t>
      </w:r>
      <w:r>
        <w:rPr>
          <w:i/>
          <w:sz w:val="24"/>
        </w:rPr>
        <w:t>(1–2</w:t>
      </w:r>
      <w:r>
        <w:rPr>
          <w:i/>
          <w:spacing w:val="-13"/>
          <w:sz w:val="24"/>
        </w:rPr>
        <w:t> </w:t>
      </w:r>
      <w:r>
        <w:rPr>
          <w:i/>
          <w:sz w:val="24"/>
        </w:rPr>
        <w:t>дня),</w:t>
      </w:r>
      <w:r>
        <w:rPr>
          <w:i/>
          <w:spacing w:val="-13"/>
          <w:sz w:val="24"/>
        </w:rPr>
        <w:t> </w:t>
      </w:r>
      <w:r>
        <w:rPr>
          <w:i/>
          <w:sz w:val="24"/>
        </w:rPr>
        <w:t>часто (3–4 дня), большую часть времени или постоянно (5–7 дней).</w:t>
      </w:r>
    </w:p>
    <w:p>
      <w:pPr>
        <w:pStyle w:val="BodyText"/>
        <w:spacing w:before="18" w:after="1"/>
        <w:ind w:left="0" w:right="0" w:firstLine="0"/>
        <w:jc w:val="left"/>
        <w:rPr>
          <w:i/>
        </w:rPr>
      </w:pPr>
    </w:p>
    <w:tbl>
      <w:tblPr>
        <w:tblW w:w="0" w:type="auto"/>
        <w:jc w:val="left"/>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4655"/>
        <w:gridCol w:w="1160"/>
        <w:gridCol w:w="911"/>
        <w:gridCol w:w="934"/>
        <w:gridCol w:w="1416"/>
      </w:tblGrid>
      <w:tr>
        <w:trPr>
          <w:trHeight w:val="1427" w:hRule="atLeast"/>
        </w:trPr>
        <w:tc>
          <w:tcPr>
            <w:tcW w:w="708" w:type="dxa"/>
          </w:tcPr>
          <w:p>
            <w:pPr>
              <w:pStyle w:val="TableParagraph"/>
              <w:spacing w:before="195"/>
              <w:rPr>
                <w:i/>
                <w:sz w:val="24"/>
              </w:rPr>
            </w:pPr>
          </w:p>
          <w:p>
            <w:pPr>
              <w:pStyle w:val="TableParagraph"/>
              <w:ind w:left="232"/>
              <w:rPr>
                <w:b/>
                <w:sz w:val="24"/>
              </w:rPr>
            </w:pPr>
            <w:r>
              <w:rPr>
                <w:b/>
                <w:spacing w:val="-10"/>
                <w:sz w:val="24"/>
              </w:rPr>
              <w:t>№</w:t>
            </w:r>
          </w:p>
        </w:tc>
        <w:tc>
          <w:tcPr>
            <w:tcW w:w="4655" w:type="dxa"/>
          </w:tcPr>
          <w:p>
            <w:pPr>
              <w:pStyle w:val="TableParagraph"/>
              <w:spacing w:before="195"/>
              <w:rPr>
                <w:i/>
                <w:sz w:val="24"/>
              </w:rPr>
            </w:pPr>
          </w:p>
          <w:p>
            <w:pPr>
              <w:pStyle w:val="TableParagraph"/>
              <w:ind w:left="803"/>
              <w:rPr>
                <w:b/>
                <w:sz w:val="24"/>
              </w:rPr>
            </w:pPr>
            <w:r>
              <w:rPr>
                <w:b/>
                <w:sz w:val="24"/>
              </w:rPr>
              <w:t>В</w:t>
            </w:r>
            <w:r>
              <w:rPr>
                <w:b/>
                <w:spacing w:val="-3"/>
                <w:sz w:val="24"/>
              </w:rPr>
              <w:t> </w:t>
            </w:r>
            <w:r>
              <w:rPr>
                <w:b/>
                <w:sz w:val="24"/>
              </w:rPr>
              <w:t>течение</w:t>
            </w:r>
            <w:r>
              <w:rPr>
                <w:b/>
                <w:spacing w:val="-2"/>
                <w:sz w:val="24"/>
              </w:rPr>
              <w:t> </w:t>
            </w:r>
            <w:r>
              <w:rPr>
                <w:b/>
                <w:sz w:val="24"/>
              </w:rPr>
              <w:t>последней</w:t>
            </w:r>
            <w:r>
              <w:rPr>
                <w:b/>
                <w:spacing w:val="-2"/>
                <w:sz w:val="24"/>
              </w:rPr>
              <w:t> недели</w:t>
            </w:r>
          </w:p>
        </w:tc>
        <w:tc>
          <w:tcPr>
            <w:tcW w:w="1160" w:type="dxa"/>
          </w:tcPr>
          <w:p>
            <w:pPr>
              <w:pStyle w:val="TableParagraph"/>
              <w:spacing w:line="276" w:lineRule="auto"/>
              <w:ind w:left="136" w:right="124" w:hanging="3"/>
              <w:jc w:val="center"/>
              <w:rPr>
                <w:b/>
                <w:sz w:val="24"/>
              </w:rPr>
            </w:pPr>
            <w:r>
              <w:rPr>
                <w:b/>
                <w:spacing w:val="-4"/>
                <w:sz w:val="24"/>
              </w:rPr>
              <w:t>Лишь </w:t>
            </w:r>
            <w:r>
              <w:rPr>
                <w:b/>
                <w:spacing w:val="-2"/>
                <w:sz w:val="24"/>
              </w:rPr>
              <w:t>изредка </w:t>
            </w:r>
            <w:r>
              <w:rPr>
                <w:b/>
                <w:spacing w:val="-4"/>
                <w:sz w:val="24"/>
              </w:rPr>
              <w:t>или </w:t>
            </w:r>
            <w:r>
              <w:rPr>
                <w:b/>
                <w:spacing w:val="-2"/>
                <w:sz w:val="24"/>
              </w:rPr>
              <w:t>никогда</w:t>
            </w:r>
          </w:p>
        </w:tc>
        <w:tc>
          <w:tcPr>
            <w:tcW w:w="911" w:type="dxa"/>
          </w:tcPr>
          <w:p>
            <w:pPr>
              <w:pStyle w:val="TableParagraph"/>
              <w:spacing w:before="195"/>
              <w:rPr>
                <w:i/>
                <w:sz w:val="24"/>
              </w:rPr>
            </w:pPr>
          </w:p>
          <w:p>
            <w:pPr>
              <w:pStyle w:val="TableParagraph"/>
              <w:ind w:left="3" w:right="3"/>
              <w:jc w:val="center"/>
              <w:rPr>
                <w:b/>
                <w:sz w:val="24"/>
              </w:rPr>
            </w:pPr>
            <w:r>
              <w:rPr>
                <w:b/>
                <w:spacing w:val="-4"/>
                <w:sz w:val="24"/>
              </w:rPr>
              <w:t>Редко</w:t>
            </w:r>
          </w:p>
        </w:tc>
        <w:tc>
          <w:tcPr>
            <w:tcW w:w="934" w:type="dxa"/>
          </w:tcPr>
          <w:p>
            <w:pPr>
              <w:pStyle w:val="TableParagraph"/>
              <w:spacing w:before="195"/>
              <w:rPr>
                <w:i/>
                <w:sz w:val="24"/>
              </w:rPr>
            </w:pPr>
          </w:p>
          <w:p>
            <w:pPr>
              <w:pStyle w:val="TableParagraph"/>
              <w:ind w:left="8" w:right="8"/>
              <w:jc w:val="center"/>
              <w:rPr>
                <w:b/>
                <w:sz w:val="24"/>
              </w:rPr>
            </w:pPr>
            <w:r>
              <w:rPr>
                <w:b/>
                <w:spacing w:val="-2"/>
                <w:sz w:val="24"/>
              </w:rPr>
              <w:t>Часто</w:t>
            </w:r>
          </w:p>
        </w:tc>
        <w:tc>
          <w:tcPr>
            <w:tcW w:w="1416" w:type="dxa"/>
          </w:tcPr>
          <w:p>
            <w:pPr>
              <w:pStyle w:val="TableParagraph"/>
              <w:spacing w:before="195"/>
              <w:rPr>
                <w:i/>
                <w:sz w:val="24"/>
              </w:rPr>
            </w:pPr>
          </w:p>
          <w:p>
            <w:pPr>
              <w:pStyle w:val="TableParagraph"/>
              <w:ind w:left="4"/>
              <w:jc w:val="center"/>
              <w:rPr>
                <w:b/>
                <w:sz w:val="24"/>
              </w:rPr>
            </w:pPr>
            <w:r>
              <w:rPr>
                <w:b/>
                <w:spacing w:val="-2"/>
                <w:sz w:val="24"/>
              </w:rPr>
              <w:t>Постоянно</w:t>
            </w:r>
          </w:p>
        </w:tc>
      </w:tr>
      <w:tr>
        <w:trPr>
          <w:trHeight w:val="1113" w:hRule="atLeast"/>
        </w:trPr>
        <w:tc>
          <w:tcPr>
            <w:tcW w:w="708" w:type="dxa"/>
          </w:tcPr>
          <w:p>
            <w:pPr>
              <w:pStyle w:val="TableParagraph"/>
              <w:spacing w:line="270" w:lineRule="exact"/>
              <w:ind w:left="107"/>
              <w:rPr>
                <w:sz w:val="24"/>
              </w:rPr>
            </w:pPr>
            <w:r>
              <w:rPr>
                <w:spacing w:val="-5"/>
                <w:sz w:val="24"/>
              </w:rPr>
              <w:t>1.</w:t>
            </w:r>
          </w:p>
        </w:tc>
        <w:tc>
          <w:tcPr>
            <w:tcW w:w="4655" w:type="dxa"/>
          </w:tcPr>
          <w:p>
            <w:pPr>
              <w:pStyle w:val="TableParagraph"/>
              <w:spacing w:line="273" w:lineRule="auto"/>
              <w:ind w:left="107" w:right="192"/>
              <w:rPr>
                <w:sz w:val="24"/>
              </w:rPr>
            </w:pPr>
            <w:r>
              <w:rPr>
                <w:sz w:val="24"/>
              </w:rPr>
              <w:t>Я был/а обеспокоен/а по поводу тех вещей,</w:t>
            </w:r>
            <w:r>
              <w:rPr>
                <w:spacing w:val="-10"/>
                <w:sz w:val="24"/>
              </w:rPr>
              <w:t> </w:t>
            </w:r>
            <w:r>
              <w:rPr>
                <w:sz w:val="24"/>
              </w:rPr>
              <w:t>которые</w:t>
            </w:r>
            <w:r>
              <w:rPr>
                <w:spacing w:val="-11"/>
                <w:sz w:val="24"/>
              </w:rPr>
              <w:t> </w:t>
            </w:r>
            <w:r>
              <w:rPr>
                <w:sz w:val="24"/>
              </w:rPr>
              <w:t>обычно</w:t>
            </w:r>
            <w:r>
              <w:rPr>
                <w:spacing w:val="-10"/>
                <w:sz w:val="24"/>
              </w:rPr>
              <w:t> </w:t>
            </w:r>
            <w:r>
              <w:rPr>
                <w:sz w:val="24"/>
              </w:rPr>
              <w:t>не</w:t>
            </w:r>
            <w:r>
              <w:rPr>
                <w:spacing w:val="-11"/>
                <w:sz w:val="24"/>
              </w:rPr>
              <w:t> </w:t>
            </w:r>
            <w:r>
              <w:rPr>
                <w:sz w:val="24"/>
              </w:rPr>
              <w:t>вызывают </w:t>
            </w:r>
            <w:r>
              <w:rPr>
                <w:spacing w:val="-2"/>
                <w:sz w:val="24"/>
              </w:rPr>
              <w:t>беспокойства</w:t>
            </w:r>
          </w:p>
        </w:tc>
        <w:tc>
          <w:tcPr>
            <w:tcW w:w="1160" w:type="dxa"/>
          </w:tcPr>
          <w:p>
            <w:pPr>
              <w:pStyle w:val="TableParagraph"/>
              <w:spacing w:line="270" w:lineRule="exact"/>
              <w:ind w:left="5"/>
              <w:jc w:val="center"/>
              <w:rPr>
                <w:sz w:val="24"/>
              </w:rPr>
            </w:pPr>
            <w:r>
              <w:rPr>
                <w:spacing w:val="-10"/>
                <w:sz w:val="24"/>
              </w:rPr>
              <w:t>0</w:t>
            </w:r>
          </w:p>
        </w:tc>
        <w:tc>
          <w:tcPr>
            <w:tcW w:w="911" w:type="dxa"/>
          </w:tcPr>
          <w:p>
            <w:pPr>
              <w:pStyle w:val="TableParagraph"/>
              <w:spacing w:line="270" w:lineRule="exact"/>
              <w:ind w:left="3"/>
              <w:jc w:val="center"/>
              <w:rPr>
                <w:sz w:val="24"/>
              </w:rPr>
            </w:pPr>
            <w:r>
              <w:rPr>
                <w:spacing w:val="-10"/>
                <w:sz w:val="24"/>
              </w:rPr>
              <w:t>1</w:t>
            </w:r>
          </w:p>
        </w:tc>
        <w:tc>
          <w:tcPr>
            <w:tcW w:w="934" w:type="dxa"/>
          </w:tcPr>
          <w:p>
            <w:pPr>
              <w:pStyle w:val="TableParagraph"/>
              <w:spacing w:line="270" w:lineRule="exact"/>
              <w:ind w:left="8" w:right="8"/>
              <w:jc w:val="center"/>
              <w:rPr>
                <w:sz w:val="24"/>
              </w:rPr>
            </w:pPr>
            <w:r>
              <w:rPr>
                <w:spacing w:val="-10"/>
                <w:sz w:val="24"/>
              </w:rPr>
              <w:t>2</w:t>
            </w:r>
          </w:p>
        </w:tc>
        <w:tc>
          <w:tcPr>
            <w:tcW w:w="1416" w:type="dxa"/>
          </w:tcPr>
          <w:p>
            <w:pPr>
              <w:pStyle w:val="TableParagraph"/>
              <w:spacing w:line="270" w:lineRule="exact"/>
              <w:ind w:left="4"/>
              <w:jc w:val="center"/>
              <w:rPr>
                <w:sz w:val="24"/>
              </w:rPr>
            </w:pPr>
            <w:r>
              <w:rPr>
                <w:spacing w:val="-10"/>
                <w:sz w:val="24"/>
              </w:rPr>
              <w:t>3</w:t>
            </w:r>
          </w:p>
        </w:tc>
      </w:tr>
      <w:tr>
        <w:trPr>
          <w:trHeight w:val="477" w:hRule="atLeast"/>
        </w:trPr>
        <w:tc>
          <w:tcPr>
            <w:tcW w:w="708" w:type="dxa"/>
          </w:tcPr>
          <w:p>
            <w:pPr>
              <w:pStyle w:val="TableParagraph"/>
              <w:spacing w:line="268" w:lineRule="exact"/>
              <w:ind w:left="107"/>
              <w:rPr>
                <w:sz w:val="24"/>
              </w:rPr>
            </w:pPr>
            <w:r>
              <w:rPr>
                <w:spacing w:val="-5"/>
                <w:sz w:val="24"/>
              </w:rPr>
              <w:t>2.</w:t>
            </w:r>
          </w:p>
        </w:tc>
        <w:tc>
          <w:tcPr>
            <w:tcW w:w="4655" w:type="dxa"/>
          </w:tcPr>
          <w:p>
            <w:pPr>
              <w:pStyle w:val="TableParagraph"/>
              <w:spacing w:line="268" w:lineRule="exact"/>
              <w:ind w:left="107"/>
              <w:rPr>
                <w:sz w:val="24"/>
              </w:rPr>
            </w:pPr>
            <w:r>
              <w:rPr>
                <w:sz w:val="24"/>
              </w:rPr>
              <w:t>Я</w:t>
            </w:r>
            <w:r>
              <w:rPr>
                <w:spacing w:val="-1"/>
                <w:sz w:val="24"/>
              </w:rPr>
              <w:t> </w:t>
            </w:r>
            <w:r>
              <w:rPr>
                <w:sz w:val="24"/>
              </w:rPr>
              <w:t>не</w:t>
            </w:r>
            <w:r>
              <w:rPr>
                <w:spacing w:val="-2"/>
                <w:sz w:val="24"/>
              </w:rPr>
              <w:t> </w:t>
            </w:r>
            <w:r>
              <w:rPr>
                <w:sz w:val="24"/>
              </w:rPr>
              <w:t>хотел/а</w:t>
            </w:r>
            <w:r>
              <w:rPr>
                <w:spacing w:val="-2"/>
                <w:sz w:val="24"/>
              </w:rPr>
              <w:t> </w:t>
            </w:r>
            <w:r>
              <w:rPr>
                <w:sz w:val="24"/>
              </w:rPr>
              <w:t>есть,</w:t>
            </w:r>
            <w:r>
              <w:rPr>
                <w:spacing w:val="1"/>
                <w:sz w:val="24"/>
              </w:rPr>
              <w:t> </w:t>
            </w:r>
            <w:r>
              <w:rPr>
                <w:sz w:val="24"/>
              </w:rPr>
              <w:t>у</w:t>
            </w:r>
            <w:r>
              <w:rPr>
                <w:spacing w:val="-5"/>
                <w:sz w:val="24"/>
              </w:rPr>
              <w:t> </w:t>
            </w:r>
            <w:r>
              <w:rPr>
                <w:sz w:val="24"/>
              </w:rPr>
              <w:t>меня</w:t>
            </w:r>
            <w:r>
              <w:rPr>
                <w:spacing w:val="-1"/>
                <w:sz w:val="24"/>
              </w:rPr>
              <w:t> </w:t>
            </w:r>
            <w:r>
              <w:rPr>
                <w:sz w:val="24"/>
              </w:rPr>
              <w:t>пропал</w:t>
            </w:r>
            <w:r>
              <w:rPr>
                <w:spacing w:val="-1"/>
                <w:sz w:val="24"/>
              </w:rPr>
              <w:t> </w:t>
            </w:r>
            <w:r>
              <w:rPr>
                <w:spacing w:val="-2"/>
                <w:sz w:val="24"/>
              </w:rPr>
              <w:t>аппетит</w:t>
            </w:r>
          </w:p>
        </w:tc>
        <w:tc>
          <w:tcPr>
            <w:tcW w:w="1160" w:type="dxa"/>
          </w:tcPr>
          <w:p>
            <w:pPr>
              <w:pStyle w:val="TableParagraph"/>
              <w:spacing w:line="268" w:lineRule="exact"/>
              <w:ind w:left="5"/>
              <w:jc w:val="center"/>
              <w:rPr>
                <w:sz w:val="24"/>
              </w:rPr>
            </w:pPr>
            <w:r>
              <w:rPr>
                <w:spacing w:val="-10"/>
                <w:sz w:val="24"/>
              </w:rPr>
              <w:t>0</w:t>
            </w:r>
          </w:p>
        </w:tc>
        <w:tc>
          <w:tcPr>
            <w:tcW w:w="911" w:type="dxa"/>
          </w:tcPr>
          <w:p>
            <w:pPr>
              <w:pStyle w:val="TableParagraph"/>
              <w:spacing w:line="268" w:lineRule="exact"/>
              <w:ind w:left="3"/>
              <w:jc w:val="center"/>
              <w:rPr>
                <w:sz w:val="24"/>
              </w:rPr>
            </w:pPr>
            <w:r>
              <w:rPr>
                <w:spacing w:val="-10"/>
                <w:sz w:val="24"/>
              </w:rPr>
              <w:t>1</w:t>
            </w:r>
          </w:p>
        </w:tc>
        <w:tc>
          <w:tcPr>
            <w:tcW w:w="934" w:type="dxa"/>
          </w:tcPr>
          <w:p>
            <w:pPr>
              <w:pStyle w:val="TableParagraph"/>
              <w:spacing w:line="268" w:lineRule="exact"/>
              <w:ind w:left="8" w:right="8"/>
              <w:jc w:val="center"/>
              <w:rPr>
                <w:sz w:val="24"/>
              </w:rPr>
            </w:pPr>
            <w:r>
              <w:rPr>
                <w:spacing w:val="-10"/>
                <w:sz w:val="24"/>
              </w:rPr>
              <w:t>2</w:t>
            </w:r>
          </w:p>
        </w:tc>
        <w:tc>
          <w:tcPr>
            <w:tcW w:w="1416" w:type="dxa"/>
          </w:tcPr>
          <w:p>
            <w:pPr>
              <w:pStyle w:val="TableParagraph"/>
              <w:spacing w:line="268" w:lineRule="exact"/>
              <w:ind w:left="4"/>
              <w:jc w:val="center"/>
              <w:rPr>
                <w:sz w:val="24"/>
              </w:rPr>
            </w:pPr>
            <w:r>
              <w:rPr>
                <w:spacing w:val="-10"/>
                <w:sz w:val="24"/>
              </w:rPr>
              <w:t>3</w:t>
            </w:r>
          </w:p>
        </w:tc>
      </w:tr>
      <w:tr>
        <w:trPr>
          <w:trHeight w:val="1113" w:hRule="atLeast"/>
        </w:trPr>
        <w:tc>
          <w:tcPr>
            <w:tcW w:w="708" w:type="dxa"/>
          </w:tcPr>
          <w:p>
            <w:pPr>
              <w:pStyle w:val="TableParagraph"/>
              <w:spacing w:line="268" w:lineRule="exact"/>
              <w:ind w:left="107"/>
              <w:rPr>
                <w:sz w:val="24"/>
              </w:rPr>
            </w:pPr>
            <w:r>
              <w:rPr>
                <w:spacing w:val="-5"/>
                <w:sz w:val="24"/>
              </w:rPr>
              <w:t>3.</w:t>
            </w:r>
          </w:p>
        </w:tc>
        <w:tc>
          <w:tcPr>
            <w:tcW w:w="4655" w:type="dxa"/>
          </w:tcPr>
          <w:p>
            <w:pPr>
              <w:pStyle w:val="TableParagraph"/>
              <w:spacing w:line="270" w:lineRule="exact"/>
              <w:ind w:left="107"/>
              <w:rPr>
                <w:sz w:val="24"/>
              </w:rPr>
            </w:pPr>
            <w:r>
              <w:rPr>
                <w:sz w:val="24"/>
              </w:rPr>
              <w:t>Я</w:t>
            </w:r>
            <w:r>
              <w:rPr>
                <w:spacing w:val="-1"/>
                <w:sz w:val="24"/>
              </w:rPr>
              <w:t> </w:t>
            </w:r>
            <w:r>
              <w:rPr>
                <w:sz w:val="24"/>
              </w:rPr>
              <w:t>не</w:t>
            </w:r>
            <w:r>
              <w:rPr>
                <w:spacing w:val="-2"/>
                <w:sz w:val="24"/>
              </w:rPr>
              <w:t> </w:t>
            </w:r>
            <w:r>
              <w:rPr>
                <w:sz w:val="24"/>
              </w:rPr>
              <w:t>мог</w:t>
            </w:r>
            <w:r>
              <w:rPr>
                <w:spacing w:val="-2"/>
                <w:sz w:val="24"/>
              </w:rPr>
              <w:t> </w:t>
            </w:r>
            <w:r>
              <w:rPr>
                <w:sz w:val="24"/>
              </w:rPr>
              <w:t>/ не</w:t>
            </w:r>
            <w:r>
              <w:rPr>
                <w:spacing w:val="-2"/>
                <w:sz w:val="24"/>
              </w:rPr>
              <w:t> </w:t>
            </w:r>
            <w:r>
              <w:rPr>
                <w:sz w:val="24"/>
              </w:rPr>
              <w:t>могла</w:t>
            </w:r>
            <w:r>
              <w:rPr>
                <w:spacing w:val="-2"/>
                <w:sz w:val="24"/>
              </w:rPr>
              <w:t> </w:t>
            </w:r>
            <w:r>
              <w:rPr>
                <w:sz w:val="24"/>
              </w:rPr>
              <w:t>освободиться</w:t>
            </w:r>
            <w:r>
              <w:rPr>
                <w:spacing w:val="-1"/>
                <w:sz w:val="24"/>
              </w:rPr>
              <w:t> </w:t>
            </w:r>
            <w:r>
              <w:rPr>
                <w:sz w:val="24"/>
              </w:rPr>
              <w:t>от </w:t>
            </w:r>
            <w:r>
              <w:rPr>
                <w:spacing w:val="-2"/>
                <w:sz w:val="24"/>
              </w:rPr>
              <w:t>грусти</w:t>
            </w:r>
          </w:p>
          <w:p>
            <w:pPr>
              <w:pStyle w:val="TableParagraph"/>
              <w:spacing w:line="276" w:lineRule="auto" w:before="41"/>
              <w:ind w:left="107"/>
              <w:rPr>
                <w:sz w:val="24"/>
              </w:rPr>
            </w:pPr>
            <w:r>
              <w:rPr>
                <w:sz w:val="24"/>
              </w:rPr>
              <w:t>/ грустных мыслей, несмотря на участие/поддержку</w:t>
            </w:r>
            <w:r>
              <w:rPr>
                <w:spacing w:val="-15"/>
                <w:sz w:val="24"/>
              </w:rPr>
              <w:t> </w:t>
            </w:r>
            <w:r>
              <w:rPr>
                <w:sz w:val="24"/>
              </w:rPr>
              <w:t>семьи</w:t>
            </w:r>
            <w:r>
              <w:rPr>
                <w:spacing w:val="-12"/>
                <w:sz w:val="24"/>
              </w:rPr>
              <w:t> </w:t>
            </w:r>
            <w:r>
              <w:rPr>
                <w:sz w:val="24"/>
              </w:rPr>
              <w:t>или</w:t>
            </w:r>
            <w:r>
              <w:rPr>
                <w:spacing w:val="-13"/>
                <w:sz w:val="24"/>
              </w:rPr>
              <w:t> </w:t>
            </w:r>
            <w:r>
              <w:rPr>
                <w:sz w:val="24"/>
              </w:rPr>
              <w:t>друзей</w:t>
            </w:r>
          </w:p>
        </w:tc>
        <w:tc>
          <w:tcPr>
            <w:tcW w:w="1160" w:type="dxa"/>
          </w:tcPr>
          <w:p>
            <w:pPr>
              <w:pStyle w:val="TableParagraph"/>
              <w:spacing w:line="268" w:lineRule="exact"/>
              <w:ind w:left="5"/>
              <w:jc w:val="center"/>
              <w:rPr>
                <w:sz w:val="24"/>
              </w:rPr>
            </w:pPr>
            <w:r>
              <w:rPr>
                <w:spacing w:val="-10"/>
                <w:sz w:val="24"/>
              </w:rPr>
              <w:t>0</w:t>
            </w:r>
          </w:p>
        </w:tc>
        <w:tc>
          <w:tcPr>
            <w:tcW w:w="911" w:type="dxa"/>
          </w:tcPr>
          <w:p>
            <w:pPr>
              <w:pStyle w:val="TableParagraph"/>
              <w:spacing w:line="268" w:lineRule="exact"/>
              <w:ind w:left="3"/>
              <w:jc w:val="center"/>
              <w:rPr>
                <w:sz w:val="24"/>
              </w:rPr>
            </w:pPr>
            <w:r>
              <w:rPr>
                <w:spacing w:val="-10"/>
                <w:sz w:val="24"/>
              </w:rPr>
              <w:t>1</w:t>
            </w:r>
          </w:p>
        </w:tc>
        <w:tc>
          <w:tcPr>
            <w:tcW w:w="934" w:type="dxa"/>
          </w:tcPr>
          <w:p>
            <w:pPr>
              <w:pStyle w:val="TableParagraph"/>
              <w:spacing w:line="268" w:lineRule="exact"/>
              <w:ind w:left="8" w:right="8"/>
              <w:jc w:val="center"/>
              <w:rPr>
                <w:sz w:val="24"/>
              </w:rPr>
            </w:pPr>
            <w:r>
              <w:rPr>
                <w:spacing w:val="-10"/>
                <w:sz w:val="24"/>
              </w:rPr>
              <w:t>2</w:t>
            </w:r>
          </w:p>
        </w:tc>
        <w:tc>
          <w:tcPr>
            <w:tcW w:w="1416" w:type="dxa"/>
          </w:tcPr>
          <w:p>
            <w:pPr>
              <w:pStyle w:val="TableParagraph"/>
              <w:spacing w:line="268" w:lineRule="exact"/>
              <w:ind w:left="4"/>
              <w:jc w:val="center"/>
              <w:rPr>
                <w:sz w:val="24"/>
              </w:rPr>
            </w:pPr>
            <w:r>
              <w:rPr>
                <w:spacing w:val="-10"/>
                <w:sz w:val="24"/>
              </w:rPr>
              <w:t>3</w:t>
            </w:r>
          </w:p>
        </w:tc>
      </w:tr>
      <w:tr>
        <w:trPr>
          <w:trHeight w:val="794" w:hRule="atLeast"/>
        </w:trPr>
        <w:tc>
          <w:tcPr>
            <w:tcW w:w="708" w:type="dxa"/>
          </w:tcPr>
          <w:p>
            <w:pPr>
              <w:pStyle w:val="TableParagraph"/>
              <w:spacing w:line="268" w:lineRule="exact"/>
              <w:ind w:left="107"/>
              <w:rPr>
                <w:sz w:val="24"/>
              </w:rPr>
            </w:pPr>
            <w:r>
              <w:rPr>
                <w:spacing w:val="-5"/>
                <w:sz w:val="24"/>
              </w:rPr>
              <w:t>4.</w:t>
            </w:r>
          </w:p>
        </w:tc>
        <w:tc>
          <w:tcPr>
            <w:tcW w:w="4655" w:type="dxa"/>
          </w:tcPr>
          <w:p>
            <w:pPr>
              <w:pStyle w:val="TableParagraph"/>
              <w:spacing w:line="273" w:lineRule="auto"/>
              <w:ind w:left="107" w:right="192"/>
              <w:rPr>
                <w:sz w:val="24"/>
              </w:rPr>
            </w:pPr>
            <w:r>
              <w:rPr>
                <w:sz w:val="24"/>
              </w:rPr>
              <w:t>Я</w:t>
            </w:r>
            <w:r>
              <w:rPr>
                <w:spacing w:val="-7"/>
                <w:sz w:val="24"/>
              </w:rPr>
              <w:t> </w:t>
            </w:r>
            <w:r>
              <w:rPr>
                <w:sz w:val="24"/>
              </w:rPr>
              <w:t>чувствовал/а,</w:t>
            </w:r>
            <w:r>
              <w:rPr>
                <w:spacing w:val="-6"/>
                <w:sz w:val="24"/>
              </w:rPr>
              <w:t> </w:t>
            </w:r>
            <w:r>
              <w:rPr>
                <w:sz w:val="24"/>
              </w:rPr>
              <w:t>что</w:t>
            </w:r>
            <w:r>
              <w:rPr>
                <w:spacing w:val="-7"/>
                <w:sz w:val="24"/>
              </w:rPr>
              <w:t> </w:t>
            </w:r>
            <w:r>
              <w:rPr>
                <w:sz w:val="24"/>
              </w:rPr>
              <w:t>я</w:t>
            </w:r>
            <w:r>
              <w:rPr>
                <w:spacing w:val="-7"/>
                <w:sz w:val="24"/>
              </w:rPr>
              <w:t> </w:t>
            </w:r>
            <w:r>
              <w:rPr>
                <w:sz w:val="24"/>
              </w:rPr>
              <w:t>не</w:t>
            </w:r>
            <w:r>
              <w:rPr>
                <w:spacing w:val="-8"/>
                <w:sz w:val="24"/>
              </w:rPr>
              <w:t> </w:t>
            </w:r>
            <w:r>
              <w:rPr>
                <w:sz w:val="24"/>
              </w:rPr>
              <w:t>хуже</w:t>
            </w:r>
            <w:r>
              <w:rPr>
                <w:spacing w:val="-8"/>
                <w:sz w:val="24"/>
              </w:rPr>
              <w:t> </w:t>
            </w:r>
            <w:r>
              <w:rPr>
                <w:sz w:val="24"/>
              </w:rPr>
              <w:t>других </w:t>
            </w:r>
            <w:r>
              <w:rPr>
                <w:spacing w:val="-2"/>
                <w:sz w:val="24"/>
              </w:rPr>
              <w:t>людей</w:t>
            </w:r>
          </w:p>
        </w:tc>
        <w:tc>
          <w:tcPr>
            <w:tcW w:w="1160" w:type="dxa"/>
          </w:tcPr>
          <w:p>
            <w:pPr>
              <w:pStyle w:val="TableParagraph"/>
              <w:spacing w:line="268" w:lineRule="exact"/>
              <w:ind w:left="5"/>
              <w:jc w:val="center"/>
              <w:rPr>
                <w:sz w:val="24"/>
              </w:rPr>
            </w:pPr>
            <w:r>
              <w:rPr>
                <w:spacing w:val="-10"/>
                <w:sz w:val="24"/>
              </w:rPr>
              <w:t>0</w:t>
            </w:r>
          </w:p>
        </w:tc>
        <w:tc>
          <w:tcPr>
            <w:tcW w:w="911" w:type="dxa"/>
          </w:tcPr>
          <w:p>
            <w:pPr>
              <w:pStyle w:val="TableParagraph"/>
              <w:spacing w:line="268" w:lineRule="exact"/>
              <w:ind w:left="3"/>
              <w:jc w:val="center"/>
              <w:rPr>
                <w:sz w:val="24"/>
              </w:rPr>
            </w:pPr>
            <w:r>
              <w:rPr>
                <w:spacing w:val="-10"/>
                <w:sz w:val="24"/>
              </w:rPr>
              <w:t>1</w:t>
            </w:r>
          </w:p>
        </w:tc>
        <w:tc>
          <w:tcPr>
            <w:tcW w:w="934" w:type="dxa"/>
          </w:tcPr>
          <w:p>
            <w:pPr>
              <w:pStyle w:val="TableParagraph"/>
              <w:spacing w:line="268" w:lineRule="exact"/>
              <w:ind w:left="8" w:right="8"/>
              <w:jc w:val="center"/>
              <w:rPr>
                <w:sz w:val="24"/>
              </w:rPr>
            </w:pPr>
            <w:r>
              <w:rPr>
                <w:spacing w:val="-10"/>
                <w:sz w:val="24"/>
              </w:rPr>
              <w:t>2</w:t>
            </w:r>
          </w:p>
        </w:tc>
        <w:tc>
          <w:tcPr>
            <w:tcW w:w="1416" w:type="dxa"/>
          </w:tcPr>
          <w:p>
            <w:pPr>
              <w:pStyle w:val="TableParagraph"/>
              <w:spacing w:line="268" w:lineRule="exact"/>
              <w:ind w:left="4"/>
              <w:jc w:val="center"/>
              <w:rPr>
                <w:sz w:val="24"/>
              </w:rPr>
            </w:pPr>
            <w:r>
              <w:rPr>
                <w:spacing w:val="-10"/>
                <w:sz w:val="24"/>
              </w:rPr>
              <w:t>3</w:t>
            </w:r>
          </w:p>
        </w:tc>
      </w:tr>
      <w:tr>
        <w:trPr>
          <w:trHeight w:val="793" w:hRule="atLeast"/>
        </w:trPr>
        <w:tc>
          <w:tcPr>
            <w:tcW w:w="708" w:type="dxa"/>
          </w:tcPr>
          <w:p>
            <w:pPr>
              <w:pStyle w:val="TableParagraph"/>
              <w:spacing w:line="268" w:lineRule="exact"/>
              <w:ind w:left="107"/>
              <w:rPr>
                <w:sz w:val="24"/>
              </w:rPr>
            </w:pPr>
            <w:r>
              <w:rPr>
                <w:spacing w:val="-5"/>
                <w:sz w:val="24"/>
              </w:rPr>
              <w:t>5.</w:t>
            </w:r>
          </w:p>
        </w:tc>
        <w:tc>
          <w:tcPr>
            <w:tcW w:w="4655" w:type="dxa"/>
          </w:tcPr>
          <w:p>
            <w:pPr>
              <w:pStyle w:val="TableParagraph"/>
              <w:spacing w:line="273" w:lineRule="auto"/>
              <w:ind w:left="107" w:right="192"/>
              <w:rPr>
                <w:sz w:val="24"/>
              </w:rPr>
            </w:pPr>
            <w:r>
              <w:rPr>
                <w:sz w:val="24"/>
              </w:rPr>
              <w:t>У</w:t>
            </w:r>
            <w:r>
              <w:rPr>
                <w:spacing w:val="-8"/>
                <w:sz w:val="24"/>
              </w:rPr>
              <w:t> </w:t>
            </w:r>
            <w:r>
              <w:rPr>
                <w:sz w:val="24"/>
              </w:rPr>
              <w:t>меня</w:t>
            </w:r>
            <w:r>
              <w:rPr>
                <w:spacing w:val="-8"/>
                <w:sz w:val="24"/>
              </w:rPr>
              <w:t> </w:t>
            </w:r>
            <w:r>
              <w:rPr>
                <w:sz w:val="24"/>
              </w:rPr>
              <w:t>были</w:t>
            </w:r>
            <w:r>
              <w:rPr>
                <w:spacing w:val="-8"/>
                <w:sz w:val="24"/>
              </w:rPr>
              <w:t> </w:t>
            </w:r>
            <w:r>
              <w:rPr>
                <w:sz w:val="24"/>
              </w:rPr>
              <w:t>проблемы</w:t>
            </w:r>
            <w:r>
              <w:rPr>
                <w:spacing w:val="-8"/>
                <w:sz w:val="24"/>
              </w:rPr>
              <w:t> </w:t>
            </w:r>
            <w:r>
              <w:rPr>
                <w:sz w:val="24"/>
              </w:rPr>
              <w:t>с</w:t>
            </w:r>
            <w:r>
              <w:rPr>
                <w:spacing w:val="-9"/>
                <w:sz w:val="24"/>
              </w:rPr>
              <w:t> </w:t>
            </w:r>
            <w:r>
              <w:rPr>
                <w:sz w:val="24"/>
              </w:rPr>
              <w:t>концентрацией на том, что я делал/а</w:t>
            </w:r>
          </w:p>
        </w:tc>
        <w:tc>
          <w:tcPr>
            <w:tcW w:w="1160" w:type="dxa"/>
          </w:tcPr>
          <w:p>
            <w:pPr>
              <w:pStyle w:val="TableParagraph"/>
              <w:spacing w:line="268" w:lineRule="exact"/>
              <w:ind w:left="5"/>
              <w:jc w:val="center"/>
              <w:rPr>
                <w:sz w:val="24"/>
              </w:rPr>
            </w:pPr>
            <w:r>
              <w:rPr>
                <w:spacing w:val="-10"/>
                <w:sz w:val="24"/>
              </w:rPr>
              <w:t>0</w:t>
            </w:r>
          </w:p>
        </w:tc>
        <w:tc>
          <w:tcPr>
            <w:tcW w:w="911" w:type="dxa"/>
          </w:tcPr>
          <w:p>
            <w:pPr>
              <w:pStyle w:val="TableParagraph"/>
              <w:spacing w:line="268" w:lineRule="exact"/>
              <w:ind w:left="3"/>
              <w:jc w:val="center"/>
              <w:rPr>
                <w:sz w:val="24"/>
              </w:rPr>
            </w:pPr>
            <w:r>
              <w:rPr>
                <w:spacing w:val="-10"/>
                <w:sz w:val="24"/>
              </w:rPr>
              <w:t>1</w:t>
            </w:r>
          </w:p>
        </w:tc>
        <w:tc>
          <w:tcPr>
            <w:tcW w:w="934" w:type="dxa"/>
          </w:tcPr>
          <w:p>
            <w:pPr>
              <w:pStyle w:val="TableParagraph"/>
              <w:spacing w:line="268" w:lineRule="exact"/>
              <w:ind w:left="8" w:right="8"/>
              <w:jc w:val="center"/>
              <w:rPr>
                <w:sz w:val="24"/>
              </w:rPr>
            </w:pPr>
            <w:r>
              <w:rPr>
                <w:spacing w:val="-10"/>
                <w:sz w:val="24"/>
              </w:rPr>
              <w:t>2</w:t>
            </w:r>
          </w:p>
        </w:tc>
        <w:tc>
          <w:tcPr>
            <w:tcW w:w="1416" w:type="dxa"/>
          </w:tcPr>
          <w:p>
            <w:pPr>
              <w:pStyle w:val="TableParagraph"/>
              <w:spacing w:line="268" w:lineRule="exact"/>
              <w:ind w:left="4"/>
              <w:jc w:val="center"/>
              <w:rPr>
                <w:sz w:val="24"/>
              </w:rPr>
            </w:pPr>
            <w:r>
              <w:rPr>
                <w:spacing w:val="-10"/>
                <w:sz w:val="24"/>
              </w:rPr>
              <w:t>3</w:t>
            </w:r>
          </w:p>
        </w:tc>
      </w:tr>
      <w:tr>
        <w:trPr>
          <w:trHeight w:val="477" w:hRule="atLeast"/>
        </w:trPr>
        <w:tc>
          <w:tcPr>
            <w:tcW w:w="708" w:type="dxa"/>
          </w:tcPr>
          <w:p>
            <w:pPr>
              <w:pStyle w:val="TableParagraph"/>
              <w:spacing w:line="268" w:lineRule="exact"/>
              <w:ind w:left="107"/>
              <w:rPr>
                <w:sz w:val="24"/>
              </w:rPr>
            </w:pPr>
            <w:r>
              <w:rPr>
                <w:spacing w:val="-5"/>
                <w:sz w:val="24"/>
              </w:rPr>
              <w:t>6.</w:t>
            </w:r>
          </w:p>
        </w:tc>
        <w:tc>
          <w:tcPr>
            <w:tcW w:w="4655" w:type="dxa"/>
          </w:tcPr>
          <w:p>
            <w:pPr>
              <w:pStyle w:val="TableParagraph"/>
              <w:spacing w:line="268" w:lineRule="exact"/>
              <w:ind w:left="107"/>
              <w:rPr>
                <w:sz w:val="24"/>
              </w:rPr>
            </w:pPr>
            <w:r>
              <w:rPr>
                <w:sz w:val="24"/>
              </w:rPr>
              <w:t>У</w:t>
            </w:r>
            <w:r>
              <w:rPr>
                <w:spacing w:val="-3"/>
                <w:sz w:val="24"/>
              </w:rPr>
              <w:t> </w:t>
            </w:r>
            <w:r>
              <w:rPr>
                <w:sz w:val="24"/>
              </w:rPr>
              <w:t>меня</w:t>
            </w:r>
            <w:r>
              <w:rPr>
                <w:spacing w:val="-2"/>
                <w:sz w:val="24"/>
              </w:rPr>
              <w:t> </w:t>
            </w:r>
            <w:r>
              <w:rPr>
                <w:sz w:val="24"/>
              </w:rPr>
              <w:t>депрессивное</w:t>
            </w:r>
            <w:r>
              <w:rPr>
                <w:spacing w:val="-3"/>
                <w:sz w:val="24"/>
              </w:rPr>
              <w:t> </w:t>
            </w:r>
            <w:r>
              <w:rPr>
                <w:spacing w:val="-2"/>
                <w:sz w:val="24"/>
              </w:rPr>
              <w:t>настроение</w:t>
            </w:r>
          </w:p>
        </w:tc>
        <w:tc>
          <w:tcPr>
            <w:tcW w:w="1160" w:type="dxa"/>
          </w:tcPr>
          <w:p>
            <w:pPr>
              <w:pStyle w:val="TableParagraph"/>
              <w:spacing w:line="268" w:lineRule="exact"/>
              <w:ind w:left="5"/>
              <w:jc w:val="center"/>
              <w:rPr>
                <w:sz w:val="24"/>
              </w:rPr>
            </w:pPr>
            <w:r>
              <w:rPr>
                <w:spacing w:val="-10"/>
                <w:sz w:val="24"/>
              </w:rPr>
              <w:t>0</w:t>
            </w:r>
          </w:p>
        </w:tc>
        <w:tc>
          <w:tcPr>
            <w:tcW w:w="911" w:type="dxa"/>
          </w:tcPr>
          <w:p>
            <w:pPr>
              <w:pStyle w:val="TableParagraph"/>
              <w:spacing w:line="268" w:lineRule="exact"/>
              <w:ind w:left="3"/>
              <w:jc w:val="center"/>
              <w:rPr>
                <w:sz w:val="24"/>
              </w:rPr>
            </w:pPr>
            <w:r>
              <w:rPr>
                <w:spacing w:val="-10"/>
                <w:sz w:val="24"/>
              </w:rPr>
              <w:t>1</w:t>
            </w:r>
          </w:p>
        </w:tc>
        <w:tc>
          <w:tcPr>
            <w:tcW w:w="934" w:type="dxa"/>
          </w:tcPr>
          <w:p>
            <w:pPr>
              <w:pStyle w:val="TableParagraph"/>
              <w:spacing w:line="268" w:lineRule="exact"/>
              <w:ind w:left="8" w:right="8"/>
              <w:jc w:val="center"/>
              <w:rPr>
                <w:sz w:val="24"/>
              </w:rPr>
            </w:pPr>
            <w:r>
              <w:rPr>
                <w:spacing w:val="-10"/>
                <w:sz w:val="24"/>
              </w:rPr>
              <w:t>2</w:t>
            </w:r>
          </w:p>
        </w:tc>
        <w:tc>
          <w:tcPr>
            <w:tcW w:w="1416" w:type="dxa"/>
          </w:tcPr>
          <w:p>
            <w:pPr>
              <w:pStyle w:val="TableParagraph"/>
              <w:spacing w:line="268" w:lineRule="exact"/>
              <w:ind w:left="4"/>
              <w:jc w:val="center"/>
              <w:rPr>
                <w:sz w:val="24"/>
              </w:rPr>
            </w:pPr>
            <w:r>
              <w:rPr>
                <w:spacing w:val="-10"/>
                <w:sz w:val="24"/>
              </w:rPr>
              <w:t>3</w:t>
            </w:r>
          </w:p>
        </w:tc>
      </w:tr>
      <w:tr>
        <w:trPr>
          <w:trHeight w:val="1113" w:hRule="atLeast"/>
        </w:trPr>
        <w:tc>
          <w:tcPr>
            <w:tcW w:w="708" w:type="dxa"/>
          </w:tcPr>
          <w:p>
            <w:pPr>
              <w:pStyle w:val="TableParagraph"/>
              <w:spacing w:line="268" w:lineRule="exact"/>
              <w:ind w:left="107"/>
              <w:rPr>
                <w:sz w:val="24"/>
              </w:rPr>
            </w:pPr>
            <w:r>
              <w:rPr>
                <w:spacing w:val="-5"/>
                <w:sz w:val="24"/>
              </w:rPr>
              <w:t>7.</w:t>
            </w:r>
          </w:p>
        </w:tc>
        <w:tc>
          <w:tcPr>
            <w:tcW w:w="4655" w:type="dxa"/>
          </w:tcPr>
          <w:p>
            <w:pPr>
              <w:pStyle w:val="TableParagraph"/>
              <w:spacing w:line="276" w:lineRule="auto"/>
              <w:ind w:left="107" w:right="192"/>
              <w:rPr>
                <w:sz w:val="24"/>
              </w:rPr>
            </w:pPr>
            <w:r>
              <w:rPr>
                <w:sz w:val="24"/>
              </w:rPr>
              <w:t>Я чувствовал/а, что мне надо было приложить</w:t>
            </w:r>
            <w:r>
              <w:rPr>
                <w:spacing w:val="-8"/>
                <w:sz w:val="24"/>
              </w:rPr>
              <w:t> </w:t>
            </w:r>
            <w:r>
              <w:rPr>
                <w:sz w:val="24"/>
              </w:rPr>
              <w:t>больше</w:t>
            </w:r>
            <w:r>
              <w:rPr>
                <w:spacing w:val="-8"/>
                <w:sz w:val="24"/>
              </w:rPr>
              <w:t> </w:t>
            </w:r>
            <w:r>
              <w:rPr>
                <w:sz w:val="24"/>
              </w:rPr>
              <w:t>усилий,</w:t>
            </w:r>
            <w:r>
              <w:rPr>
                <w:spacing w:val="-9"/>
                <w:sz w:val="24"/>
              </w:rPr>
              <w:t> </w:t>
            </w:r>
            <w:r>
              <w:rPr>
                <w:sz w:val="24"/>
              </w:rPr>
              <w:t>чтобы</w:t>
            </w:r>
            <w:r>
              <w:rPr>
                <w:spacing w:val="-9"/>
                <w:sz w:val="24"/>
              </w:rPr>
              <w:t> </w:t>
            </w:r>
            <w:r>
              <w:rPr>
                <w:sz w:val="24"/>
              </w:rPr>
              <w:t>что- либо сделать</w:t>
            </w:r>
          </w:p>
        </w:tc>
        <w:tc>
          <w:tcPr>
            <w:tcW w:w="1160" w:type="dxa"/>
          </w:tcPr>
          <w:p>
            <w:pPr>
              <w:pStyle w:val="TableParagraph"/>
              <w:spacing w:line="268" w:lineRule="exact"/>
              <w:ind w:left="5"/>
              <w:jc w:val="center"/>
              <w:rPr>
                <w:sz w:val="24"/>
              </w:rPr>
            </w:pPr>
            <w:r>
              <w:rPr>
                <w:spacing w:val="-10"/>
                <w:sz w:val="24"/>
              </w:rPr>
              <w:t>0</w:t>
            </w:r>
          </w:p>
        </w:tc>
        <w:tc>
          <w:tcPr>
            <w:tcW w:w="911" w:type="dxa"/>
          </w:tcPr>
          <w:p>
            <w:pPr>
              <w:pStyle w:val="TableParagraph"/>
              <w:spacing w:line="268" w:lineRule="exact"/>
              <w:ind w:left="3"/>
              <w:jc w:val="center"/>
              <w:rPr>
                <w:sz w:val="24"/>
              </w:rPr>
            </w:pPr>
            <w:r>
              <w:rPr>
                <w:spacing w:val="-10"/>
                <w:sz w:val="24"/>
              </w:rPr>
              <w:t>1</w:t>
            </w:r>
          </w:p>
        </w:tc>
        <w:tc>
          <w:tcPr>
            <w:tcW w:w="934" w:type="dxa"/>
          </w:tcPr>
          <w:p>
            <w:pPr>
              <w:pStyle w:val="TableParagraph"/>
              <w:spacing w:line="268" w:lineRule="exact"/>
              <w:ind w:left="8" w:right="8"/>
              <w:jc w:val="center"/>
              <w:rPr>
                <w:sz w:val="24"/>
              </w:rPr>
            </w:pPr>
            <w:r>
              <w:rPr>
                <w:spacing w:val="-10"/>
                <w:sz w:val="24"/>
              </w:rPr>
              <w:t>2</w:t>
            </w:r>
          </w:p>
        </w:tc>
        <w:tc>
          <w:tcPr>
            <w:tcW w:w="1416" w:type="dxa"/>
          </w:tcPr>
          <w:p>
            <w:pPr>
              <w:pStyle w:val="TableParagraph"/>
              <w:spacing w:line="268" w:lineRule="exact"/>
              <w:ind w:left="4"/>
              <w:jc w:val="center"/>
              <w:rPr>
                <w:sz w:val="24"/>
              </w:rPr>
            </w:pPr>
            <w:r>
              <w:rPr>
                <w:spacing w:val="-10"/>
                <w:sz w:val="24"/>
              </w:rPr>
              <w:t>3</w:t>
            </w:r>
          </w:p>
        </w:tc>
      </w:tr>
      <w:tr>
        <w:trPr>
          <w:trHeight w:val="477" w:hRule="atLeast"/>
        </w:trPr>
        <w:tc>
          <w:tcPr>
            <w:tcW w:w="708" w:type="dxa"/>
          </w:tcPr>
          <w:p>
            <w:pPr>
              <w:pStyle w:val="TableParagraph"/>
              <w:spacing w:line="268" w:lineRule="exact"/>
              <w:ind w:left="107"/>
              <w:rPr>
                <w:sz w:val="24"/>
              </w:rPr>
            </w:pPr>
            <w:r>
              <w:rPr>
                <w:spacing w:val="-5"/>
                <w:sz w:val="24"/>
              </w:rPr>
              <w:t>8.</w:t>
            </w:r>
          </w:p>
        </w:tc>
        <w:tc>
          <w:tcPr>
            <w:tcW w:w="4655" w:type="dxa"/>
          </w:tcPr>
          <w:p>
            <w:pPr>
              <w:pStyle w:val="TableParagraph"/>
              <w:spacing w:line="268" w:lineRule="exact"/>
              <w:ind w:left="107"/>
              <w:rPr>
                <w:sz w:val="24"/>
              </w:rPr>
            </w:pPr>
            <w:r>
              <w:rPr>
                <w:sz w:val="24"/>
              </w:rPr>
              <w:t>Я</w:t>
            </w:r>
            <w:r>
              <w:rPr>
                <w:spacing w:val="-2"/>
                <w:sz w:val="24"/>
              </w:rPr>
              <w:t> </w:t>
            </w:r>
            <w:r>
              <w:rPr>
                <w:sz w:val="24"/>
              </w:rPr>
              <w:t>не</w:t>
            </w:r>
            <w:r>
              <w:rPr>
                <w:spacing w:val="-3"/>
                <w:sz w:val="24"/>
              </w:rPr>
              <w:t> </w:t>
            </w:r>
            <w:r>
              <w:rPr>
                <w:sz w:val="24"/>
              </w:rPr>
              <w:t>сомневался/лась</w:t>
            </w:r>
            <w:r>
              <w:rPr>
                <w:spacing w:val="-2"/>
                <w:sz w:val="24"/>
              </w:rPr>
              <w:t> </w:t>
            </w:r>
            <w:r>
              <w:rPr>
                <w:sz w:val="24"/>
              </w:rPr>
              <w:t>в</w:t>
            </w:r>
            <w:r>
              <w:rPr>
                <w:spacing w:val="-3"/>
                <w:sz w:val="24"/>
              </w:rPr>
              <w:t> </w:t>
            </w:r>
            <w:r>
              <w:rPr>
                <w:sz w:val="24"/>
              </w:rPr>
              <w:t>моем</w:t>
            </w:r>
            <w:r>
              <w:rPr>
                <w:spacing w:val="-2"/>
                <w:sz w:val="24"/>
              </w:rPr>
              <w:t> будущем</w:t>
            </w:r>
          </w:p>
        </w:tc>
        <w:tc>
          <w:tcPr>
            <w:tcW w:w="1160" w:type="dxa"/>
          </w:tcPr>
          <w:p>
            <w:pPr>
              <w:pStyle w:val="TableParagraph"/>
              <w:spacing w:line="268" w:lineRule="exact"/>
              <w:ind w:left="5"/>
              <w:jc w:val="center"/>
              <w:rPr>
                <w:sz w:val="24"/>
              </w:rPr>
            </w:pPr>
            <w:r>
              <w:rPr>
                <w:spacing w:val="-10"/>
                <w:sz w:val="24"/>
              </w:rPr>
              <w:t>0</w:t>
            </w:r>
          </w:p>
        </w:tc>
        <w:tc>
          <w:tcPr>
            <w:tcW w:w="911" w:type="dxa"/>
          </w:tcPr>
          <w:p>
            <w:pPr>
              <w:pStyle w:val="TableParagraph"/>
              <w:spacing w:line="268" w:lineRule="exact"/>
              <w:ind w:left="3"/>
              <w:jc w:val="center"/>
              <w:rPr>
                <w:sz w:val="24"/>
              </w:rPr>
            </w:pPr>
            <w:r>
              <w:rPr>
                <w:spacing w:val="-10"/>
                <w:sz w:val="24"/>
              </w:rPr>
              <w:t>1</w:t>
            </w:r>
          </w:p>
        </w:tc>
        <w:tc>
          <w:tcPr>
            <w:tcW w:w="934" w:type="dxa"/>
          </w:tcPr>
          <w:p>
            <w:pPr>
              <w:pStyle w:val="TableParagraph"/>
              <w:spacing w:line="268" w:lineRule="exact"/>
              <w:ind w:left="8" w:right="8"/>
              <w:jc w:val="center"/>
              <w:rPr>
                <w:sz w:val="24"/>
              </w:rPr>
            </w:pPr>
            <w:r>
              <w:rPr>
                <w:spacing w:val="-10"/>
                <w:sz w:val="24"/>
              </w:rPr>
              <w:t>2</w:t>
            </w:r>
          </w:p>
        </w:tc>
        <w:tc>
          <w:tcPr>
            <w:tcW w:w="1416" w:type="dxa"/>
          </w:tcPr>
          <w:p>
            <w:pPr>
              <w:pStyle w:val="TableParagraph"/>
              <w:spacing w:line="268" w:lineRule="exact"/>
              <w:ind w:left="4"/>
              <w:jc w:val="center"/>
              <w:rPr>
                <w:sz w:val="24"/>
              </w:rPr>
            </w:pPr>
            <w:r>
              <w:rPr>
                <w:spacing w:val="-10"/>
                <w:sz w:val="24"/>
              </w:rPr>
              <w:t>3</w:t>
            </w:r>
          </w:p>
        </w:tc>
      </w:tr>
      <w:tr>
        <w:trPr>
          <w:trHeight w:val="794" w:hRule="atLeast"/>
        </w:trPr>
        <w:tc>
          <w:tcPr>
            <w:tcW w:w="708" w:type="dxa"/>
          </w:tcPr>
          <w:p>
            <w:pPr>
              <w:pStyle w:val="TableParagraph"/>
              <w:spacing w:line="268" w:lineRule="exact"/>
              <w:ind w:left="107"/>
              <w:rPr>
                <w:sz w:val="24"/>
              </w:rPr>
            </w:pPr>
            <w:r>
              <w:rPr>
                <w:spacing w:val="-5"/>
                <w:sz w:val="24"/>
              </w:rPr>
              <w:t>9.</w:t>
            </w:r>
          </w:p>
        </w:tc>
        <w:tc>
          <w:tcPr>
            <w:tcW w:w="4655" w:type="dxa"/>
          </w:tcPr>
          <w:p>
            <w:pPr>
              <w:pStyle w:val="TableParagraph"/>
              <w:spacing w:line="273" w:lineRule="auto"/>
              <w:ind w:left="107" w:right="192"/>
              <w:rPr>
                <w:sz w:val="24"/>
              </w:rPr>
            </w:pPr>
            <w:r>
              <w:rPr>
                <w:sz w:val="24"/>
              </w:rPr>
              <w:t>Я</w:t>
            </w:r>
            <w:r>
              <w:rPr>
                <w:spacing w:val="-6"/>
                <w:sz w:val="24"/>
              </w:rPr>
              <w:t> </w:t>
            </w:r>
            <w:r>
              <w:rPr>
                <w:sz w:val="24"/>
              </w:rPr>
              <w:t>думал/а,</w:t>
            </w:r>
            <w:r>
              <w:rPr>
                <w:spacing w:val="-5"/>
                <w:sz w:val="24"/>
              </w:rPr>
              <w:t> </w:t>
            </w:r>
            <w:r>
              <w:rPr>
                <w:sz w:val="24"/>
              </w:rPr>
              <w:t>что</w:t>
            </w:r>
            <w:r>
              <w:rPr>
                <w:spacing w:val="-6"/>
                <w:sz w:val="24"/>
              </w:rPr>
              <w:t> </w:t>
            </w:r>
            <w:r>
              <w:rPr>
                <w:sz w:val="24"/>
              </w:rPr>
              <w:t>моя</w:t>
            </w:r>
            <w:r>
              <w:rPr>
                <w:spacing w:val="-6"/>
                <w:sz w:val="24"/>
              </w:rPr>
              <w:t> </w:t>
            </w:r>
            <w:r>
              <w:rPr>
                <w:sz w:val="24"/>
              </w:rPr>
              <w:t>жизнь</w:t>
            </w:r>
            <w:r>
              <w:rPr>
                <w:spacing w:val="-6"/>
                <w:sz w:val="24"/>
              </w:rPr>
              <w:t> </w:t>
            </w:r>
            <w:r>
              <w:rPr>
                <w:sz w:val="24"/>
              </w:rPr>
              <w:t>не</w:t>
            </w:r>
            <w:r>
              <w:rPr>
                <w:spacing w:val="-7"/>
                <w:sz w:val="24"/>
              </w:rPr>
              <w:t> </w:t>
            </w:r>
            <w:r>
              <w:rPr>
                <w:sz w:val="24"/>
              </w:rPr>
              <w:t>сложилась</w:t>
            </w:r>
            <w:r>
              <w:rPr>
                <w:spacing w:val="-6"/>
                <w:sz w:val="24"/>
              </w:rPr>
              <w:t> </w:t>
            </w:r>
            <w:r>
              <w:rPr>
                <w:sz w:val="24"/>
              </w:rPr>
              <w:t>/ не удалась</w:t>
            </w:r>
          </w:p>
        </w:tc>
        <w:tc>
          <w:tcPr>
            <w:tcW w:w="1160" w:type="dxa"/>
          </w:tcPr>
          <w:p>
            <w:pPr>
              <w:pStyle w:val="TableParagraph"/>
              <w:spacing w:line="268" w:lineRule="exact"/>
              <w:ind w:left="5"/>
              <w:jc w:val="center"/>
              <w:rPr>
                <w:sz w:val="24"/>
              </w:rPr>
            </w:pPr>
            <w:r>
              <w:rPr>
                <w:spacing w:val="-10"/>
                <w:sz w:val="24"/>
              </w:rPr>
              <w:t>0</w:t>
            </w:r>
          </w:p>
        </w:tc>
        <w:tc>
          <w:tcPr>
            <w:tcW w:w="911" w:type="dxa"/>
          </w:tcPr>
          <w:p>
            <w:pPr>
              <w:pStyle w:val="TableParagraph"/>
              <w:spacing w:line="268" w:lineRule="exact"/>
              <w:ind w:left="3"/>
              <w:jc w:val="center"/>
              <w:rPr>
                <w:sz w:val="24"/>
              </w:rPr>
            </w:pPr>
            <w:r>
              <w:rPr>
                <w:spacing w:val="-10"/>
                <w:sz w:val="24"/>
              </w:rPr>
              <w:t>1</w:t>
            </w:r>
          </w:p>
        </w:tc>
        <w:tc>
          <w:tcPr>
            <w:tcW w:w="934" w:type="dxa"/>
          </w:tcPr>
          <w:p>
            <w:pPr>
              <w:pStyle w:val="TableParagraph"/>
              <w:spacing w:line="268" w:lineRule="exact"/>
              <w:ind w:left="8" w:right="8"/>
              <w:jc w:val="center"/>
              <w:rPr>
                <w:sz w:val="24"/>
              </w:rPr>
            </w:pPr>
            <w:r>
              <w:rPr>
                <w:spacing w:val="-10"/>
                <w:sz w:val="24"/>
              </w:rPr>
              <w:t>2</w:t>
            </w:r>
          </w:p>
        </w:tc>
        <w:tc>
          <w:tcPr>
            <w:tcW w:w="1416" w:type="dxa"/>
          </w:tcPr>
          <w:p>
            <w:pPr>
              <w:pStyle w:val="TableParagraph"/>
              <w:spacing w:line="268" w:lineRule="exact"/>
              <w:ind w:left="4"/>
              <w:jc w:val="center"/>
              <w:rPr>
                <w:sz w:val="24"/>
              </w:rPr>
            </w:pPr>
            <w:r>
              <w:rPr>
                <w:spacing w:val="-10"/>
                <w:sz w:val="24"/>
              </w:rPr>
              <w:t>3</w:t>
            </w:r>
          </w:p>
        </w:tc>
      </w:tr>
      <w:tr>
        <w:trPr>
          <w:trHeight w:val="477" w:hRule="atLeast"/>
        </w:trPr>
        <w:tc>
          <w:tcPr>
            <w:tcW w:w="708" w:type="dxa"/>
          </w:tcPr>
          <w:p>
            <w:pPr>
              <w:pStyle w:val="TableParagraph"/>
              <w:spacing w:line="268" w:lineRule="exact"/>
              <w:ind w:left="107"/>
              <w:rPr>
                <w:sz w:val="24"/>
              </w:rPr>
            </w:pPr>
            <w:r>
              <w:rPr>
                <w:spacing w:val="-5"/>
                <w:sz w:val="24"/>
              </w:rPr>
              <w:t>10.</w:t>
            </w:r>
          </w:p>
        </w:tc>
        <w:tc>
          <w:tcPr>
            <w:tcW w:w="4655" w:type="dxa"/>
          </w:tcPr>
          <w:p>
            <w:pPr>
              <w:pStyle w:val="TableParagraph"/>
              <w:spacing w:line="268" w:lineRule="exact"/>
              <w:ind w:left="107"/>
              <w:rPr>
                <w:sz w:val="24"/>
              </w:rPr>
            </w:pPr>
            <w:r>
              <w:rPr>
                <w:sz w:val="24"/>
              </w:rPr>
              <w:t>Я</w:t>
            </w:r>
            <w:r>
              <w:rPr>
                <w:spacing w:val="-4"/>
                <w:sz w:val="24"/>
              </w:rPr>
              <w:t> </w:t>
            </w:r>
            <w:r>
              <w:rPr>
                <w:sz w:val="24"/>
              </w:rPr>
              <w:t>испытывал/а</w:t>
            </w:r>
            <w:r>
              <w:rPr>
                <w:spacing w:val="-1"/>
                <w:sz w:val="24"/>
              </w:rPr>
              <w:t> </w:t>
            </w:r>
            <w:r>
              <w:rPr>
                <w:spacing w:val="-2"/>
                <w:sz w:val="24"/>
              </w:rPr>
              <w:t>страх</w:t>
            </w:r>
          </w:p>
        </w:tc>
        <w:tc>
          <w:tcPr>
            <w:tcW w:w="1160" w:type="dxa"/>
          </w:tcPr>
          <w:p>
            <w:pPr>
              <w:pStyle w:val="TableParagraph"/>
              <w:spacing w:line="268" w:lineRule="exact"/>
              <w:ind w:left="5"/>
              <w:jc w:val="center"/>
              <w:rPr>
                <w:sz w:val="24"/>
              </w:rPr>
            </w:pPr>
            <w:r>
              <w:rPr>
                <w:spacing w:val="-10"/>
                <w:sz w:val="24"/>
              </w:rPr>
              <w:t>0</w:t>
            </w:r>
          </w:p>
        </w:tc>
        <w:tc>
          <w:tcPr>
            <w:tcW w:w="911" w:type="dxa"/>
          </w:tcPr>
          <w:p>
            <w:pPr>
              <w:pStyle w:val="TableParagraph"/>
              <w:spacing w:line="268" w:lineRule="exact"/>
              <w:ind w:left="3"/>
              <w:jc w:val="center"/>
              <w:rPr>
                <w:sz w:val="24"/>
              </w:rPr>
            </w:pPr>
            <w:r>
              <w:rPr>
                <w:spacing w:val="-10"/>
                <w:sz w:val="24"/>
              </w:rPr>
              <w:t>1</w:t>
            </w:r>
          </w:p>
        </w:tc>
        <w:tc>
          <w:tcPr>
            <w:tcW w:w="934" w:type="dxa"/>
          </w:tcPr>
          <w:p>
            <w:pPr>
              <w:pStyle w:val="TableParagraph"/>
              <w:spacing w:line="268" w:lineRule="exact"/>
              <w:ind w:left="8" w:right="8"/>
              <w:jc w:val="center"/>
              <w:rPr>
                <w:sz w:val="24"/>
              </w:rPr>
            </w:pPr>
            <w:r>
              <w:rPr>
                <w:spacing w:val="-10"/>
                <w:sz w:val="24"/>
              </w:rPr>
              <w:t>2</w:t>
            </w:r>
          </w:p>
        </w:tc>
        <w:tc>
          <w:tcPr>
            <w:tcW w:w="1416" w:type="dxa"/>
          </w:tcPr>
          <w:p>
            <w:pPr>
              <w:pStyle w:val="TableParagraph"/>
              <w:spacing w:line="268" w:lineRule="exact"/>
              <w:ind w:left="4"/>
              <w:jc w:val="center"/>
              <w:rPr>
                <w:sz w:val="24"/>
              </w:rPr>
            </w:pPr>
            <w:r>
              <w:rPr>
                <w:spacing w:val="-10"/>
                <w:sz w:val="24"/>
              </w:rPr>
              <w:t>3</w:t>
            </w:r>
          </w:p>
        </w:tc>
      </w:tr>
      <w:tr>
        <w:trPr>
          <w:trHeight w:val="477" w:hRule="atLeast"/>
        </w:trPr>
        <w:tc>
          <w:tcPr>
            <w:tcW w:w="708" w:type="dxa"/>
          </w:tcPr>
          <w:p>
            <w:pPr>
              <w:pStyle w:val="TableParagraph"/>
              <w:spacing w:line="268" w:lineRule="exact"/>
              <w:ind w:left="107"/>
              <w:rPr>
                <w:sz w:val="24"/>
              </w:rPr>
            </w:pPr>
            <w:r>
              <w:rPr>
                <w:spacing w:val="-5"/>
                <w:sz w:val="24"/>
              </w:rPr>
              <w:t>11.</w:t>
            </w:r>
          </w:p>
        </w:tc>
        <w:tc>
          <w:tcPr>
            <w:tcW w:w="4655" w:type="dxa"/>
          </w:tcPr>
          <w:p>
            <w:pPr>
              <w:pStyle w:val="TableParagraph"/>
              <w:spacing w:line="268" w:lineRule="exact"/>
              <w:ind w:left="107"/>
              <w:rPr>
                <w:sz w:val="24"/>
              </w:rPr>
            </w:pPr>
            <w:r>
              <w:rPr>
                <w:sz w:val="24"/>
              </w:rPr>
              <w:t>Я</w:t>
            </w:r>
            <w:r>
              <w:rPr>
                <w:spacing w:val="-4"/>
                <w:sz w:val="24"/>
              </w:rPr>
              <w:t> </w:t>
            </w:r>
            <w:r>
              <w:rPr>
                <w:sz w:val="24"/>
              </w:rPr>
              <w:t>хуже</w:t>
            </w:r>
            <w:r>
              <w:rPr>
                <w:spacing w:val="-1"/>
                <w:sz w:val="24"/>
              </w:rPr>
              <w:t> </w:t>
            </w:r>
            <w:r>
              <w:rPr>
                <w:spacing w:val="-2"/>
                <w:sz w:val="24"/>
              </w:rPr>
              <w:t>спал/а</w:t>
            </w:r>
          </w:p>
        </w:tc>
        <w:tc>
          <w:tcPr>
            <w:tcW w:w="1160" w:type="dxa"/>
          </w:tcPr>
          <w:p>
            <w:pPr>
              <w:pStyle w:val="TableParagraph"/>
              <w:spacing w:line="268" w:lineRule="exact"/>
              <w:ind w:left="5"/>
              <w:jc w:val="center"/>
              <w:rPr>
                <w:sz w:val="24"/>
              </w:rPr>
            </w:pPr>
            <w:r>
              <w:rPr>
                <w:spacing w:val="-10"/>
                <w:sz w:val="24"/>
              </w:rPr>
              <w:t>0</w:t>
            </w:r>
          </w:p>
        </w:tc>
        <w:tc>
          <w:tcPr>
            <w:tcW w:w="911" w:type="dxa"/>
          </w:tcPr>
          <w:p>
            <w:pPr>
              <w:pStyle w:val="TableParagraph"/>
              <w:spacing w:line="268" w:lineRule="exact"/>
              <w:ind w:left="3"/>
              <w:jc w:val="center"/>
              <w:rPr>
                <w:sz w:val="24"/>
              </w:rPr>
            </w:pPr>
            <w:r>
              <w:rPr>
                <w:spacing w:val="-10"/>
                <w:sz w:val="24"/>
              </w:rPr>
              <w:t>1</w:t>
            </w:r>
          </w:p>
        </w:tc>
        <w:tc>
          <w:tcPr>
            <w:tcW w:w="934" w:type="dxa"/>
          </w:tcPr>
          <w:p>
            <w:pPr>
              <w:pStyle w:val="TableParagraph"/>
              <w:spacing w:line="268" w:lineRule="exact"/>
              <w:ind w:left="8" w:right="8"/>
              <w:jc w:val="center"/>
              <w:rPr>
                <w:sz w:val="24"/>
              </w:rPr>
            </w:pPr>
            <w:r>
              <w:rPr>
                <w:spacing w:val="-10"/>
                <w:sz w:val="24"/>
              </w:rPr>
              <w:t>2</w:t>
            </w:r>
          </w:p>
        </w:tc>
        <w:tc>
          <w:tcPr>
            <w:tcW w:w="1416" w:type="dxa"/>
          </w:tcPr>
          <w:p>
            <w:pPr>
              <w:pStyle w:val="TableParagraph"/>
              <w:spacing w:line="268" w:lineRule="exact"/>
              <w:ind w:left="4"/>
              <w:jc w:val="center"/>
              <w:rPr>
                <w:sz w:val="24"/>
              </w:rPr>
            </w:pPr>
            <w:r>
              <w:rPr>
                <w:spacing w:val="-10"/>
                <w:sz w:val="24"/>
              </w:rPr>
              <w:t>3</w:t>
            </w:r>
          </w:p>
        </w:tc>
      </w:tr>
      <w:tr>
        <w:trPr>
          <w:trHeight w:val="477" w:hRule="atLeast"/>
        </w:trPr>
        <w:tc>
          <w:tcPr>
            <w:tcW w:w="708" w:type="dxa"/>
          </w:tcPr>
          <w:p>
            <w:pPr>
              <w:pStyle w:val="TableParagraph"/>
              <w:spacing w:line="270" w:lineRule="exact"/>
              <w:ind w:left="107"/>
              <w:rPr>
                <w:sz w:val="24"/>
              </w:rPr>
            </w:pPr>
            <w:r>
              <w:rPr>
                <w:spacing w:val="-5"/>
                <w:sz w:val="24"/>
              </w:rPr>
              <w:t>12.</w:t>
            </w:r>
          </w:p>
        </w:tc>
        <w:tc>
          <w:tcPr>
            <w:tcW w:w="4655" w:type="dxa"/>
          </w:tcPr>
          <w:p>
            <w:pPr>
              <w:pStyle w:val="TableParagraph"/>
              <w:spacing w:line="270" w:lineRule="exact"/>
              <w:ind w:left="107"/>
              <w:rPr>
                <w:sz w:val="24"/>
              </w:rPr>
            </w:pPr>
            <w:r>
              <w:rPr>
                <w:sz w:val="24"/>
              </w:rPr>
              <w:t>Я был/а </w:t>
            </w:r>
            <w:r>
              <w:rPr>
                <w:spacing w:val="-2"/>
                <w:sz w:val="24"/>
              </w:rPr>
              <w:t>счастлив/а</w:t>
            </w:r>
          </w:p>
        </w:tc>
        <w:tc>
          <w:tcPr>
            <w:tcW w:w="1160" w:type="dxa"/>
          </w:tcPr>
          <w:p>
            <w:pPr>
              <w:pStyle w:val="TableParagraph"/>
              <w:spacing w:line="270" w:lineRule="exact"/>
              <w:ind w:left="5"/>
              <w:jc w:val="center"/>
              <w:rPr>
                <w:sz w:val="24"/>
              </w:rPr>
            </w:pPr>
            <w:r>
              <w:rPr>
                <w:spacing w:val="-10"/>
                <w:sz w:val="24"/>
              </w:rPr>
              <w:t>0</w:t>
            </w:r>
          </w:p>
        </w:tc>
        <w:tc>
          <w:tcPr>
            <w:tcW w:w="911" w:type="dxa"/>
          </w:tcPr>
          <w:p>
            <w:pPr>
              <w:pStyle w:val="TableParagraph"/>
              <w:spacing w:line="270" w:lineRule="exact"/>
              <w:ind w:left="3"/>
              <w:jc w:val="center"/>
              <w:rPr>
                <w:sz w:val="24"/>
              </w:rPr>
            </w:pPr>
            <w:r>
              <w:rPr>
                <w:spacing w:val="-10"/>
                <w:sz w:val="24"/>
              </w:rPr>
              <w:t>1</w:t>
            </w:r>
          </w:p>
        </w:tc>
        <w:tc>
          <w:tcPr>
            <w:tcW w:w="934" w:type="dxa"/>
          </w:tcPr>
          <w:p>
            <w:pPr>
              <w:pStyle w:val="TableParagraph"/>
              <w:spacing w:line="270" w:lineRule="exact"/>
              <w:ind w:left="8" w:right="8"/>
              <w:jc w:val="center"/>
              <w:rPr>
                <w:sz w:val="24"/>
              </w:rPr>
            </w:pPr>
            <w:r>
              <w:rPr>
                <w:spacing w:val="-10"/>
                <w:sz w:val="24"/>
              </w:rPr>
              <w:t>2</w:t>
            </w:r>
          </w:p>
        </w:tc>
        <w:tc>
          <w:tcPr>
            <w:tcW w:w="1416" w:type="dxa"/>
          </w:tcPr>
          <w:p>
            <w:pPr>
              <w:pStyle w:val="TableParagraph"/>
              <w:spacing w:line="270" w:lineRule="exact"/>
              <w:ind w:left="4"/>
              <w:jc w:val="center"/>
              <w:rPr>
                <w:sz w:val="24"/>
              </w:rPr>
            </w:pPr>
            <w:r>
              <w:rPr>
                <w:spacing w:val="-10"/>
                <w:sz w:val="24"/>
              </w:rPr>
              <w:t>3</w:t>
            </w:r>
          </w:p>
        </w:tc>
      </w:tr>
      <w:tr>
        <w:trPr>
          <w:trHeight w:val="477" w:hRule="atLeast"/>
        </w:trPr>
        <w:tc>
          <w:tcPr>
            <w:tcW w:w="708" w:type="dxa"/>
          </w:tcPr>
          <w:p>
            <w:pPr>
              <w:pStyle w:val="TableParagraph"/>
              <w:spacing w:line="270" w:lineRule="exact"/>
              <w:ind w:left="107"/>
              <w:rPr>
                <w:sz w:val="24"/>
              </w:rPr>
            </w:pPr>
            <w:r>
              <w:rPr>
                <w:spacing w:val="-5"/>
                <w:sz w:val="24"/>
              </w:rPr>
              <w:t>13.</w:t>
            </w:r>
          </w:p>
        </w:tc>
        <w:tc>
          <w:tcPr>
            <w:tcW w:w="4655" w:type="dxa"/>
          </w:tcPr>
          <w:p>
            <w:pPr>
              <w:pStyle w:val="TableParagraph"/>
              <w:spacing w:line="270" w:lineRule="exact"/>
              <w:ind w:left="107"/>
              <w:rPr>
                <w:sz w:val="24"/>
              </w:rPr>
            </w:pPr>
            <w:r>
              <w:rPr>
                <w:sz w:val="24"/>
              </w:rPr>
              <w:t>Я</w:t>
            </w:r>
            <w:r>
              <w:rPr>
                <w:spacing w:val="-3"/>
                <w:sz w:val="24"/>
              </w:rPr>
              <w:t> </w:t>
            </w:r>
            <w:r>
              <w:rPr>
                <w:sz w:val="24"/>
              </w:rPr>
              <w:t>разговаривал/а</w:t>
            </w:r>
            <w:r>
              <w:rPr>
                <w:spacing w:val="-2"/>
                <w:sz w:val="24"/>
              </w:rPr>
              <w:t> </w:t>
            </w:r>
            <w:r>
              <w:rPr>
                <w:sz w:val="24"/>
              </w:rPr>
              <w:t>меньше,</w:t>
            </w:r>
            <w:r>
              <w:rPr>
                <w:spacing w:val="-2"/>
                <w:sz w:val="24"/>
              </w:rPr>
              <w:t> </w:t>
            </w:r>
            <w:r>
              <w:rPr>
                <w:sz w:val="24"/>
              </w:rPr>
              <w:t>чем</w:t>
            </w:r>
            <w:r>
              <w:rPr>
                <w:spacing w:val="-3"/>
                <w:sz w:val="24"/>
              </w:rPr>
              <w:t> </w:t>
            </w:r>
            <w:r>
              <w:rPr>
                <w:spacing w:val="-2"/>
                <w:sz w:val="24"/>
              </w:rPr>
              <w:t>обычно</w:t>
            </w:r>
          </w:p>
        </w:tc>
        <w:tc>
          <w:tcPr>
            <w:tcW w:w="1160" w:type="dxa"/>
          </w:tcPr>
          <w:p>
            <w:pPr>
              <w:pStyle w:val="TableParagraph"/>
              <w:spacing w:line="270" w:lineRule="exact"/>
              <w:ind w:left="5"/>
              <w:jc w:val="center"/>
              <w:rPr>
                <w:sz w:val="24"/>
              </w:rPr>
            </w:pPr>
            <w:r>
              <w:rPr>
                <w:spacing w:val="-10"/>
                <w:sz w:val="24"/>
              </w:rPr>
              <w:t>0</w:t>
            </w:r>
          </w:p>
        </w:tc>
        <w:tc>
          <w:tcPr>
            <w:tcW w:w="911" w:type="dxa"/>
          </w:tcPr>
          <w:p>
            <w:pPr>
              <w:pStyle w:val="TableParagraph"/>
              <w:spacing w:line="270" w:lineRule="exact"/>
              <w:ind w:left="3"/>
              <w:jc w:val="center"/>
              <w:rPr>
                <w:sz w:val="24"/>
              </w:rPr>
            </w:pPr>
            <w:r>
              <w:rPr>
                <w:spacing w:val="-10"/>
                <w:sz w:val="24"/>
              </w:rPr>
              <w:t>1</w:t>
            </w:r>
          </w:p>
        </w:tc>
        <w:tc>
          <w:tcPr>
            <w:tcW w:w="934" w:type="dxa"/>
          </w:tcPr>
          <w:p>
            <w:pPr>
              <w:pStyle w:val="TableParagraph"/>
              <w:spacing w:line="270" w:lineRule="exact"/>
              <w:ind w:left="8" w:right="8"/>
              <w:jc w:val="center"/>
              <w:rPr>
                <w:sz w:val="24"/>
              </w:rPr>
            </w:pPr>
            <w:r>
              <w:rPr>
                <w:spacing w:val="-10"/>
                <w:sz w:val="24"/>
              </w:rPr>
              <w:t>2</w:t>
            </w:r>
          </w:p>
        </w:tc>
        <w:tc>
          <w:tcPr>
            <w:tcW w:w="1416" w:type="dxa"/>
          </w:tcPr>
          <w:p>
            <w:pPr>
              <w:pStyle w:val="TableParagraph"/>
              <w:spacing w:line="270" w:lineRule="exact"/>
              <w:ind w:left="4"/>
              <w:jc w:val="center"/>
              <w:rPr>
                <w:sz w:val="24"/>
              </w:rPr>
            </w:pPr>
            <w:r>
              <w:rPr>
                <w:spacing w:val="-10"/>
                <w:sz w:val="24"/>
              </w:rPr>
              <w:t>3</w:t>
            </w:r>
          </w:p>
        </w:tc>
      </w:tr>
      <w:tr>
        <w:trPr>
          <w:trHeight w:val="479" w:hRule="atLeast"/>
        </w:trPr>
        <w:tc>
          <w:tcPr>
            <w:tcW w:w="708" w:type="dxa"/>
          </w:tcPr>
          <w:p>
            <w:pPr>
              <w:pStyle w:val="TableParagraph"/>
              <w:spacing w:line="270" w:lineRule="exact"/>
              <w:ind w:left="107"/>
              <w:rPr>
                <w:sz w:val="24"/>
              </w:rPr>
            </w:pPr>
            <w:r>
              <w:rPr>
                <w:spacing w:val="-5"/>
                <w:sz w:val="24"/>
              </w:rPr>
              <w:t>14.</w:t>
            </w:r>
          </w:p>
        </w:tc>
        <w:tc>
          <w:tcPr>
            <w:tcW w:w="4655" w:type="dxa"/>
          </w:tcPr>
          <w:p>
            <w:pPr>
              <w:pStyle w:val="TableParagraph"/>
              <w:spacing w:line="270" w:lineRule="exact"/>
              <w:ind w:left="107"/>
              <w:rPr>
                <w:sz w:val="24"/>
              </w:rPr>
            </w:pPr>
            <w:r>
              <w:rPr>
                <w:sz w:val="24"/>
              </w:rPr>
              <w:t>Я</w:t>
            </w:r>
            <w:r>
              <w:rPr>
                <w:spacing w:val="-3"/>
                <w:sz w:val="24"/>
              </w:rPr>
              <w:t> </w:t>
            </w:r>
            <w:r>
              <w:rPr>
                <w:sz w:val="24"/>
              </w:rPr>
              <w:t>чувствовал/а</w:t>
            </w:r>
            <w:r>
              <w:rPr>
                <w:spacing w:val="-2"/>
                <w:sz w:val="24"/>
              </w:rPr>
              <w:t> </w:t>
            </w:r>
            <w:r>
              <w:rPr>
                <w:sz w:val="24"/>
              </w:rPr>
              <w:t>себя</w:t>
            </w:r>
            <w:r>
              <w:rPr>
                <w:spacing w:val="-2"/>
                <w:sz w:val="24"/>
              </w:rPr>
              <w:t> одиноким/ой</w:t>
            </w:r>
          </w:p>
        </w:tc>
        <w:tc>
          <w:tcPr>
            <w:tcW w:w="1160" w:type="dxa"/>
          </w:tcPr>
          <w:p>
            <w:pPr>
              <w:pStyle w:val="TableParagraph"/>
              <w:spacing w:line="270" w:lineRule="exact"/>
              <w:ind w:left="5"/>
              <w:jc w:val="center"/>
              <w:rPr>
                <w:sz w:val="24"/>
              </w:rPr>
            </w:pPr>
            <w:r>
              <w:rPr>
                <w:spacing w:val="-10"/>
                <w:sz w:val="24"/>
              </w:rPr>
              <w:t>0</w:t>
            </w:r>
          </w:p>
        </w:tc>
        <w:tc>
          <w:tcPr>
            <w:tcW w:w="911" w:type="dxa"/>
          </w:tcPr>
          <w:p>
            <w:pPr>
              <w:pStyle w:val="TableParagraph"/>
              <w:spacing w:line="270" w:lineRule="exact"/>
              <w:ind w:left="3"/>
              <w:jc w:val="center"/>
              <w:rPr>
                <w:sz w:val="24"/>
              </w:rPr>
            </w:pPr>
            <w:r>
              <w:rPr>
                <w:spacing w:val="-10"/>
                <w:sz w:val="24"/>
              </w:rPr>
              <w:t>1</w:t>
            </w:r>
          </w:p>
        </w:tc>
        <w:tc>
          <w:tcPr>
            <w:tcW w:w="934" w:type="dxa"/>
          </w:tcPr>
          <w:p>
            <w:pPr>
              <w:pStyle w:val="TableParagraph"/>
              <w:spacing w:line="270" w:lineRule="exact"/>
              <w:ind w:left="8" w:right="8"/>
              <w:jc w:val="center"/>
              <w:rPr>
                <w:sz w:val="24"/>
              </w:rPr>
            </w:pPr>
            <w:r>
              <w:rPr>
                <w:spacing w:val="-10"/>
                <w:sz w:val="24"/>
              </w:rPr>
              <w:t>2</w:t>
            </w:r>
          </w:p>
        </w:tc>
        <w:tc>
          <w:tcPr>
            <w:tcW w:w="1416" w:type="dxa"/>
          </w:tcPr>
          <w:p>
            <w:pPr>
              <w:pStyle w:val="TableParagraph"/>
              <w:spacing w:line="270" w:lineRule="exact"/>
              <w:ind w:left="4"/>
              <w:jc w:val="center"/>
              <w:rPr>
                <w:sz w:val="24"/>
              </w:rPr>
            </w:pPr>
            <w:r>
              <w:rPr>
                <w:spacing w:val="-10"/>
                <w:sz w:val="24"/>
              </w:rPr>
              <w:t>3</w:t>
            </w:r>
          </w:p>
        </w:tc>
      </w:tr>
      <w:tr>
        <w:trPr>
          <w:trHeight w:val="477" w:hRule="atLeast"/>
        </w:trPr>
        <w:tc>
          <w:tcPr>
            <w:tcW w:w="708" w:type="dxa"/>
          </w:tcPr>
          <w:p>
            <w:pPr>
              <w:pStyle w:val="TableParagraph"/>
              <w:spacing w:line="268" w:lineRule="exact"/>
              <w:ind w:left="107"/>
              <w:rPr>
                <w:sz w:val="24"/>
              </w:rPr>
            </w:pPr>
            <w:r>
              <w:rPr>
                <w:spacing w:val="-5"/>
                <w:sz w:val="24"/>
              </w:rPr>
              <w:t>15.</w:t>
            </w:r>
          </w:p>
        </w:tc>
        <w:tc>
          <w:tcPr>
            <w:tcW w:w="4655" w:type="dxa"/>
          </w:tcPr>
          <w:p>
            <w:pPr>
              <w:pStyle w:val="TableParagraph"/>
              <w:spacing w:line="268" w:lineRule="exact"/>
              <w:ind w:left="107"/>
              <w:rPr>
                <w:sz w:val="24"/>
              </w:rPr>
            </w:pPr>
            <w:r>
              <w:rPr>
                <w:sz w:val="24"/>
              </w:rPr>
              <w:t>Люди</w:t>
            </w:r>
            <w:r>
              <w:rPr>
                <w:spacing w:val="-2"/>
                <w:sz w:val="24"/>
              </w:rPr>
              <w:t> </w:t>
            </w:r>
            <w:r>
              <w:rPr>
                <w:sz w:val="24"/>
              </w:rPr>
              <w:t>были</w:t>
            </w:r>
            <w:r>
              <w:rPr>
                <w:spacing w:val="-2"/>
                <w:sz w:val="24"/>
              </w:rPr>
              <w:t> недружелюбны</w:t>
            </w:r>
          </w:p>
        </w:tc>
        <w:tc>
          <w:tcPr>
            <w:tcW w:w="1160" w:type="dxa"/>
          </w:tcPr>
          <w:p>
            <w:pPr>
              <w:pStyle w:val="TableParagraph"/>
              <w:spacing w:line="268" w:lineRule="exact"/>
              <w:ind w:left="5"/>
              <w:jc w:val="center"/>
              <w:rPr>
                <w:sz w:val="24"/>
              </w:rPr>
            </w:pPr>
            <w:r>
              <w:rPr>
                <w:spacing w:val="-10"/>
                <w:sz w:val="24"/>
              </w:rPr>
              <w:t>0</w:t>
            </w:r>
          </w:p>
        </w:tc>
        <w:tc>
          <w:tcPr>
            <w:tcW w:w="911" w:type="dxa"/>
          </w:tcPr>
          <w:p>
            <w:pPr>
              <w:pStyle w:val="TableParagraph"/>
              <w:spacing w:line="268" w:lineRule="exact"/>
              <w:ind w:left="3"/>
              <w:jc w:val="center"/>
              <w:rPr>
                <w:sz w:val="24"/>
              </w:rPr>
            </w:pPr>
            <w:r>
              <w:rPr>
                <w:spacing w:val="-10"/>
                <w:sz w:val="24"/>
              </w:rPr>
              <w:t>1</w:t>
            </w:r>
          </w:p>
        </w:tc>
        <w:tc>
          <w:tcPr>
            <w:tcW w:w="934" w:type="dxa"/>
          </w:tcPr>
          <w:p>
            <w:pPr>
              <w:pStyle w:val="TableParagraph"/>
              <w:spacing w:line="268" w:lineRule="exact"/>
              <w:ind w:left="8" w:right="8"/>
              <w:jc w:val="center"/>
              <w:rPr>
                <w:sz w:val="24"/>
              </w:rPr>
            </w:pPr>
            <w:r>
              <w:rPr>
                <w:spacing w:val="-10"/>
                <w:sz w:val="24"/>
              </w:rPr>
              <w:t>2</w:t>
            </w:r>
          </w:p>
        </w:tc>
        <w:tc>
          <w:tcPr>
            <w:tcW w:w="1416" w:type="dxa"/>
          </w:tcPr>
          <w:p>
            <w:pPr>
              <w:pStyle w:val="TableParagraph"/>
              <w:spacing w:line="268" w:lineRule="exact"/>
              <w:ind w:left="4"/>
              <w:jc w:val="center"/>
              <w:rPr>
                <w:sz w:val="24"/>
              </w:rPr>
            </w:pPr>
            <w:r>
              <w:rPr>
                <w:spacing w:val="-10"/>
                <w:sz w:val="24"/>
              </w:rPr>
              <w:t>3</w:t>
            </w:r>
          </w:p>
        </w:tc>
      </w:tr>
      <w:tr>
        <w:trPr>
          <w:trHeight w:val="477" w:hRule="atLeast"/>
        </w:trPr>
        <w:tc>
          <w:tcPr>
            <w:tcW w:w="708" w:type="dxa"/>
          </w:tcPr>
          <w:p>
            <w:pPr>
              <w:pStyle w:val="TableParagraph"/>
              <w:spacing w:line="268" w:lineRule="exact"/>
              <w:ind w:left="107"/>
              <w:rPr>
                <w:sz w:val="24"/>
              </w:rPr>
            </w:pPr>
            <w:r>
              <w:rPr>
                <w:spacing w:val="-5"/>
                <w:sz w:val="24"/>
              </w:rPr>
              <w:t>16.</w:t>
            </w:r>
          </w:p>
        </w:tc>
        <w:tc>
          <w:tcPr>
            <w:tcW w:w="4655" w:type="dxa"/>
          </w:tcPr>
          <w:p>
            <w:pPr>
              <w:pStyle w:val="TableParagraph"/>
              <w:spacing w:line="268" w:lineRule="exact"/>
              <w:ind w:left="107"/>
              <w:rPr>
                <w:sz w:val="24"/>
              </w:rPr>
            </w:pPr>
            <w:r>
              <w:rPr>
                <w:sz w:val="24"/>
              </w:rPr>
              <w:t>Я</w:t>
            </w:r>
            <w:r>
              <w:rPr>
                <w:spacing w:val="-4"/>
                <w:sz w:val="24"/>
              </w:rPr>
              <w:t> </w:t>
            </w:r>
            <w:r>
              <w:rPr>
                <w:sz w:val="24"/>
              </w:rPr>
              <w:t>наслаждался/лась</w:t>
            </w:r>
            <w:r>
              <w:rPr>
                <w:spacing w:val="-3"/>
                <w:sz w:val="24"/>
              </w:rPr>
              <w:t> </w:t>
            </w:r>
            <w:r>
              <w:rPr>
                <w:spacing w:val="-2"/>
                <w:sz w:val="24"/>
              </w:rPr>
              <w:t>жизнью</w:t>
            </w:r>
          </w:p>
        </w:tc>
        <w:tc>
          <w:tcPr>
            <w:tcW w:w="1160" w:type="dxa"/>
          </w:tcPr>
          <w:p>
            <w:pPr>
              <w:pStyle w:val="TableParagraph"/>
              <w:spacing w:line="268" w:lineRule="exact"/>
              <w:ind w:left="5"/>
              <w:jc w:val="center"/>
              <w:rPr>
                <w:sz w:val="24"/>
              </w:rPr>
            </w:pPr>
            <w:r>
              <w:rPr>
                <w:spacing w:val="-10"/>
                <w:sz w:val="24"/>
              </w:rPr>
              <w:t>0</w:t>
            </w:r>
          </w:p>
        </w:tc>
        <w:tc>
          <w:tcPr>
            <w:tcW w:w="911" w:type="dxa"/>
          </w:tcPr>
          <w:p>
            <w:pPr>
              <w:pStyle w:val="TableParagraph"/>
              <w:spacing w:line="268" w:lineRule="exact"/>
              <w:ind w:left="3"/>
              <w:jc w:val="center"/>
              <w:rPr>
                <w:sz w:val="24"/>
              </w:rPr>
            </w:pPr>
            <w:r>
              <w:rPr>
                <w:spacing w:val="-10"/>
                <w:sz w:val="24"/>
              </w:rPr>
              <w:t>1</w:t>
            </w:r>
          </w:p>
        </w:tc>
        <w:tc>
          <w:tcPr>
            <w:tcW w:w="934" w:type="dxa"/>
          </w:tcPr>
          <w:p>
            <w:pPr>
              <w:pStyle w:val="TableParagraph"/>
              <w:spacing w:line="268" w:lineRule="exact"/>
              <w:ind w:left="8" w:right="8"/>
              <w:jc w:val="center"/>
              <w:rPr>
                <w:sz w:val="24"/>
              </w:rPr>
            </w:pPr>
            <w:r>
              <w:rPr>
                <w:spacing w:val="-10"/>
                <w:sz w:val="24"/>
              </w:rPr>
              <w:t>2</w:t>
            </w:r>
          </w:p>
        </w:tc>
        <w:tc>
          <w:tcPr>
            <w:tcW w:w="1416" w:type="dxa"/>
          </w:tcPr>
          <w:p>
            <w:pPr>
              <w:pStyle w:val="TableParagraph"/>
              <w:spacing w:line="268" w:lineRule="exact"/>
              <w:ind w:left="4"/>
              <w:jc w:val="center"/>
              <w:rPr>
                <w:sz w:val="24"/>
              </w:rPr>
            </w:pPr>
            <w:r>
              <w:rPr>
                <w:spacing w:val="-10"/>
                <w:sz w:val="24"/>
              </w:rPr>
              <w:t>3</w:t>
            </w:r>
          </w:p>
        </w:tc>
      </w:tr>
    </w:tbl>
    <w:p>
      <w:pPr>
        <w:pStyle w:val="TableParagraph"/>
        <w:spacing w:after="0" w:line="268" w:lineRule="exact"/>
        <w:jc w:val="center"/>
        <w:rPr>
          <w:sz w:val="24"/>
        </w:rPr>
        <w:sectPr>
          <w:pgSz w:w="11910" w:h="16840"/>
          <w:pgMar w:header="0" w:footer="970" w:top="1040" w:bottom="1478" w:left="1417" w:right="283"/>
        </w:sectPr>
      </w:pPr>
    </w:p>
    <w:tbl>
      <w:tblPr>
        <w:tblW w:w="0" w:type="auto"/>
        <w:jc w:val="left"/>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4655"/>
        <w:gridCol w:w="1160"/>
        <w:gridCol w:w="911"/>
        <w:gridCol w:w="934"/>
        <w:gridCol w:w="1416"/>
      </w:tblGrid>
      <w:tr>
        <w:trPr>
          <w:trHeight w:val="480" w:hRule="atLeast"/>
        </w:trPr>
        <w:tc>
          <w:tcPr>
            <w:tcW w:w="708" w:type="dxa"/>
          </w:tcPr>
          <w:p>
            <w:pPr>
              <w:pStyle w:val="TableParagraph"/>
              <w:spacing w:line="270" w:lineRule="exact"/>
              <w:ind w:left="107"/>
              <w:rPr>
                <w:sz w:val="24"/>
              </w:rPr>
            </w:pPr>
            <w:r>
              <w:rPr>
                <w:spacing w:val="-5"/>
                <w:sz w:val="24"/>
              </w:rPr>
              <w:t>17.</w:t>
            </w:r>
          </w:p>
        </w:tc>
        <w:tc>
          <w:tcPr>
            <w:tcW w:w="4655" w:type="dxa"/>
          </w:tcPr>
          <w:p>
            <w:pPr>
              <w:pStyle w:val="TableParagraph"/>
              <w:spacing w:line="270" w:lineRule="exact"/>
              <w:ind w:left="107"/>
              <w:rPr>
                <w:sz w:val="24"/>
              </w:rPr>
            </w:pPr>
            <w:r>
              <w:rPr>
                <w:sz w:val="24"/>
              </w:rPr>
              <w:t>У</w:t>
            </w:r>
            <w:r>
              <w:rPr>
                <w:spacing w:val="-2"/>
                <w:sz w:val="24"/>
              </w:rPr>
              <w:t> </w:t>
            </w:r>
            <w:r>
              <w:rPr>
                <w:sz w:val="24"/>
              </w:rPr>
              <w:t>меня</w:t>
            </w:r>
            <w:r>
              <w:rPr>
                <w:spacing w:val="-1"/>
                <w:sz w:val="24"/>
              </w:rPr>
              <w:t> </w:t>
            </w:r>
            <w:r>
              <w:rPr>
                <w:sz w:val="24"/>
              </w:rPr>
              <w:t>были</w:t>
            </w:r>
            <w:r>
              <w:rPr>
                <w:spacing w:val="-1"/>
                <w:sz w:val="24"/>
              </w:rPr>
              <w:t> </w:t>
            </w:r>
            <w:r>
              <w:rPr>
                <w:sz w:val="24"/>
              </w:rPr>
              <w:t>периоды,</w:t>
            </w:r>
            <w:r>
              <w:rPr>
                <w:spacing w:val="-4"/>
                <w:sz w:val="24"/>
              </w:rPr>
              <w:t> </w:t>
            </w:r>
            <w:r>
              <w:rPr>
                <w:sz w:val="24"/>
              </w:rPr>
              <w:t>когда</w:t>
            </w:r>
            <w:r>
              <w:rPr>
                <w:spacing w:val="-2"/>
                <w:sz w:val="24"/>
              </w:rPr>
              <w:t> </w:t>
            </w:r>
            <w:r>
              <w:rPr>
                <w:sz w:val="24"/>
              </w:rPr>
              <w:t>я</w:t>
            </w:r>
            <w:r>
              <w:rPr>
                <w:spacing w:val="-1"/>
                <w:sz w:val="24"/>
              </w:rPr>
              <w:t> </w:t>
            </w:r>
            <w:r>
              <w:rPr>
                <w:spacing w:val="-2"/>
                <w:sz w:val="24"/>
              </w:rPr>
              <w:t>плакал/а</w:t>
            </w:r>
          </w:p>
        </w:tc>
        <w:tc>
          <w:tcPr>
            <w:tcW w:w="1160" w:type="dxa"/>
          </w:tcPr>
          <w:p>
            <w:pPr>
              <w:pStyle w:val="TableParagraph"/>
              <w:spacing w:line="270" w:lineRule="exact"/>
              <w:ind w:left="5"/>
              <w:jc w:val="center"/>
              <w:rPr>
                <w:sz w:val="24"/>
              </w:rPr>
            </w:pPr>
            <w:r>
              <w:rPr>
                <w:spacing w:val="-10"/>
                <w:sz w:val="24"/>
              </w:rPr>
              <w:t>0</w:t>
            </w:r>
          </w:p>
        </w:tc>
        <w:tc>
          <w:tcPr>
            <w:tcW w:w="911" w:type="dxa"/>
          </w:tcPr>
          <w:p>
            <w:pPr>
              <w:pStyle w:val="TableParagraph"/>
              <w:spacing w:line="270" w:lineRule="exact"/>
              <w:ind w:left="3"/>
              <w:jc w:val="center"/>
              <w:rPr>
                <w:sz w:val="24"/>
              </w:rPr>
            </w:pPr>
            <w:r>
              <w:rPr>
                <w:spacing w:val="-10"/>
                <w:sz w:val="24"/>
              </w:rPr>
              <w:t>1</w:t>
            </w:r>
          </w:p>
        </w:tc>
        <w:tc>
          <w:tcPr>
            <w:tcW w:w="934" w:type="dxa"/>
          </w:tcPr>
          <w:p>
            <w:pPr>
              <w:pStyle w:val="TableParagraph"/>
              <w:spacing w:line="270" w:lineRule="exact"/>
              <w:ind w:left="8" w:right="8"/>
              <w:jc w:val="center"/>
              <w:rPr>
                <w:sz w:val="24"/>
              </w:rPr>
            </w:pPr>
            <w:r>
              <w:rPr>
                <w:spacing w:val="-10"/>
                <w:sz w:val="24"/>
              </w:rPr>
              <w:t>2</w:t>
            </w:r>
          </w:p>
        </w:tc>
        <w:tc>
          <w:tcPr>
            <w:tcW w:w="1416" w:type="dxa"/>
          </w:tcPr>
          <w:p>
            <w:pPr>
              <w:pStyle w:val="TableParagraph"/>
              <w:spacing w:line="270" w:lineRule="exact"/>
              <w:ind w:left="4"/>
              <w:jc w:val="center"/>
              <w:rPr>
                <w:sz w:val="24"/>
              </w:rPr>
            </w:pPr>
            <w:r>
              <w:rPr>
                <w:spacing w:val="-10"/>
                <w:sz w:val="24"/>
              </w:rPr>
              <w:t>3</w:t>
            </w:r>
          </w:p>
        </w:tc>
      </w:tr>
      <w:tr>
        <w:trPr>
          <w:trHeight w:val="793" w:hRule="atLeast"/>
        </w:trPr>
        <w:tc>
          <w:tcPr>
            <w:tcW w:w="708" w:type="dxa"/>
          </w:tcPr>
          <w:p>
            <w:pPr>
              <w:pStyle w:val="TableParagraph"/>
              <w:spacing w:line="268" w:lineRule="exact"/>
              <w:ind w:left="107"/>
              <w:rPr>
                <w:sz w:val="24"/>
              </w:rPr>
            </w:pPr>
            <w:r>
              <w:rPr>
                <w:spacing w:val="-5"/>
                <w:sz w:val="24"/>
              </w:rPr>
              <w:t>18.</w:t>
            </w:r>
          </w:p>
        </w:tc>
        <w:tc>
          <w:tcPr>
            <w:tcW w:w="4655" w:type="dxa"/>
          </w:tcPr>
          <w:p>
            <w:pPr>
              <w:pStyle w:val="TableParagraph"/>
              <w:spacing w:line="273" w:lineRule="auto"/>
              <w:ind w:left="107"/>
              <w:rPr>
                <w:sz w:val="24"/>
              </w:rPr>
            </w:pPr>
            <w:r>
              <w:rPr>
                <w:sz w:val="24"/>
              </w:rPr>
              <w:t>Я</w:t>
            </w:r>
            <w:r>
              <w:rPr>
                <w:spacing w:val="-13"/>
                <w:sz w:val="24"/>
              </w:rPr>
              <w:t> </w:t>
            </w:r>
            <w:r>
              <w:rPr>
                <w:sz w:val="24"/>
              </w:rPr>
              <w:t>чувствовал/а</w:t>
            </w:r>
            <w:r>
              <w:rPr>
                <w:spacing w:val="-12"/>
                <w:sz w:val="24"/>
              </w:rPr>
              <w:t> </w:t>
            </w:r>
            <w:r>
              <w:rPr>
                <w:sz w:val="24"/>
              </w:rPr>
              <w:t>себя</w:t>
            </w:r>
            <w:r>
              <w:rPr>
                <w:spacing w:val="-13"/>
                <w:sz w:val="24"/>
              </w:rPr>
              <w:t> </w:t>
            </w:r>
            <w:r>
              <w:rPr>
                <w:sz w:val="24"/>
              </w:rPr>
              <w:t>печальным/ой, </w:t>
            </w:r>
            <w:r>
              <w:rPr>
                <w:spacing w:val="-2"/>
                <w:sz w:val="24"/>
              </w:rPr>
              <w:t>грустным/ой</w:t>
            </w:r>
          </w:p>
        </w:tc>
        <w:tc>
          <w:tcPr>
            <w:tcW w:w="1160" w:type="dxa"/>
          </w:tcPr>
          <w:p>
            <w:pPr>
              <w:pStyle w:val="TableParagraph"/>
              <w:spacing w:line="268" w:lineRule="exact"/>
              <w:ind w:left="5"/>
              <w:jc w:val="center"/>
              <w:rPr>
                <w:sz w:val="24"/>
              </w:rPr>
            </w:pPr>
            <w:r>
              <w:rPr>
                <w:spacing w:val="-10"/>
                <w:sz w:val="24"/>
              </w:rPr>
              <w:t>0</w:t>
            </w:r>
          </w:p>
        </w:tc>
        <w:tc>
          <w:tcPr>
            <w:tcW w:w="911" w:type="dxa"/>
          </w:tcPr>
          <w:p>
            <w:pPr>
              <w:pStyle w:val="TableParagraph"/>
              <w:spacing w:line="268" w:lineRule="exact"/>
              <w:ind w:left="3"/>
              <w:jc w:val="center"/>
              <w:rPr>
                <w:sz w:val="24"/>
              </w:rPr>
            </w:pPr>
            <w:r>
              <w:rPr>
                <w:spacing w:val="-10"/>
                <w:sz w:val="24"/>
              </w:rPr>
              <w:t>1</w:t>
            </w:r>
          </w:p>
        </w:tc>
        <w:tc>
          <w:tcPr>
            <w:tcW w:w="934" w:type="dxa"/>
          </w:tcPr>
          <w:p>
            <w:pPr>
              <w:pStyle w:val="TableParagraph"/>
              <w:spacing w:line="268" w:lineRule="exact"/>
              <w:ind w:left="8" w:right="8"/>
              <w:jc w:val="center"/>
              <w:rPr>
                <w:sz w:val="24"/>
              </w:rPr>
            </w:pPr>
            <w:r>
              <w:rPr>
                <w:spacing w:val="-10"/>
                <w:sz w:val="24"/>
              </w:rPr>
              <w:t>2</w:t>
            </w:r>
          </w:p>
        </w:tc>
        <w:tc>
          <w:tcPr>
            <w:tcW w:w="1416" w:type="dxa"/>
          </w:tcPr>
          <w:p>
            <w:pPr>
              <w:pStyle w:val="TableParagraph"/>
              <w:spacing w:line="268" w:lineRule="exact"/>
              <w:ind w:left="4"/>
              <w:jc w:val="center"/>
              <w:rPr>
                <w:sz w:val="24"/>
              </w:rPr>
            </w:pPr>
            <w:r>
              <w:rPr>
                <w:spacing w:val="-10"/>
                <w:sz w:val="24"/>
              </w:rPr>
              <w:t>3</w:t>
            </w:r>
          </w:p>
        </w:tc>
      </w:tr>
      <w:tr>
        <w:trPr>
          <w:trHeight w:val="477" w:hRule="atLeast"/>
        </w:trPr>
        <w:tc>
          <w:tcPr>
            <w:tcW w:w="708" w:type="dxa"/>
          </w:tcPr>
          <w:p>
            <w:pPr>
              <w:pStyle w:val="TableParagraph"/>
              <w:spacing w:line="268" w:lineRule="exact"/>
              <w:ind w:left="107"/>
              <w:rPr>
                <w:sz w:val="24"/>
              </w:rPr>
            </w:pPr>
            <w:r>
              <w:rPr>
                <w:spacing w:val="-5"/>
                <w:sz w:val="24"/>
              </w:rPr>
              <w:t>19.</w:t>
            </w:r>
          </w:p>
        </w:tc>
        <w:tc>
          <w:tcPr>
            <w:tcW w:w="4655" w:type="dxa"/>
          </w:tcPr>
          <w:p>
            <w:pPr>
              <w:pStyle w:val="TableParagraph"/>
              <w:spacing w:line="268" w:lineRule="exact"/>
              <w:ind w:left="107"/>
              <w:rPr>
                <w:sz w:val="24"/>
              </w:rPr>
            </w:pPr>
            <w:r>
              <w:rPr>
                <w:sz w:val="24"/>
              </w:rPr>
              <w:t>Я</w:t>
            </w:r>
            <w:r>
              <w:rPr>
                <w:spacing w:val="-2"/>
                <w:sz w:val="24"/>
              </w:rPr>
              <w:t> </w:t>
            </w:r>
            <w:r>
              <w:rPr>
                <w:sz w:val="24"/>
              </w:rPr>
              <w:t>чувствовал/а,</w:t>
            </w:r>
            <w:r>
              <w:rPr>
                <w:spacing w:val="-1"/>
                <w:sz w:val="24"/>
              </w:rPr>
              <w:t> </w:t>
            </w:r>
            <w:r>
              <w:rPr>
                <w:sz w:val="24"/>
              </w:rPr>
              <w:t>что</w:t>
            </w:r>
            <w:r>
              <w:rPr>
                <w:spacing w:val="-2"/>
                <w:sz w:val="24"/>
              </w:rPr>
              <w:t> </w:t>
            </w:r>
            <w:r>
              <w:rPr>
                <w:sz w:val="24"/>
              </w:rPr>
              <w:t>люди меня</w:t>
            </w:r>
            <w:r>
              <w:rPr>
                <w:spacing w:val="-2"/>
                <w:sz w:val="24"/>
              </w:rPr>
              <w:t> </w:t>
            </w:r>
            <w:r>
              <w:rPr>
                <w:sz w:val="24"/>
              </w:rPr>
              <w:t>не</w:t>
            </w:r>
            <w:r>
              <w:rPr>
                <w:spacing w:val="-2"/>
                <w:sz w:val="24"/>
              </w:rPr>
              <w:t> любят</w:t>
            </w:r>
          </w:p>
        </w:tc>
        <w:tc>
          <w:tcPr>
            <w:tcW w:w="1160" w:type="dxa"/>
          </w:tcPr>
          <w:p>
            <w:pPr>
              <w:pStyle w:val="TableParagraph"/>
              <w:spacing w:line="268" w:lineRule="exact"/>
              <w:ind w:left="5"/>
              <w:jc w:val="center"/>
              <w:rPr>
                <w:sz w:val="24"/>
              </w:rPr>
            </w:pPr>
            <w:r>
              <w:rPr>
                <w:spacing w:val="-10"/>
                <w:sz w:val="24"/>
              </w:rPr>
              <w:t>0</w:t>
            </w:r>
          </w:p>
        </w:tc>
        <w:tc>
          <w:tcPr>
            <w:tcW w:w="911" w:type="dxa"/>
          </w:tcPr>
          <w:p>
            <w:pPr>
              <w:pStyle w:val="TableParagraph"/>
              <w:spacing w:line="268" w:lineRule="exact"/>
              <w:ind w:left="3"/>
              <w:jc w:val="center"/>
              <w:rPr>
                <w:sz w:val="24"/>
              </w:rPr>
            </w:pPr>
            <w:r>
              <w:rPr>
                <w:spacing w:val="-10"/>
                <w:sz w:val="24"/>
              </w:rPr>
              <w:t>1</w:t>
            </w:r>
          </w:p>
        </w:tc>
        <w:tc>
          <w:tcPr>
            <w:tcW w:w="934" w:type="dxa"/>
          </w:tcPr>
          <w:p>
            <w:pPr>
              <w:pStyle w:val="TableParagraph"/>
              <w:spacing w:line="268" w:lineRule="exact"/>
              <w:ind w:left="8" w:right="8"/>
              <w:jc w:val="center"/>
              <w:rPr>
                <w:sz w:val="24"/>
              </w:rPr>
            </w:pPr>
            <w:r>
              <w:rPr>
                <w:spacing w:val="-10"/>
                <w:sz w:val="24"/>
              </w:rPr>
              <w:t>2</w:t>
            </w:r>
          </w:p>
        </w:tc>
        <w:tc>
          <w:tcPr>
            <w:tcW w:w="1416" w:type="dxa"/>
          </w:tcPr>
          <w:p>
            <w:pPr>
              <w:pStyle w:val="TableParagraph"/>
              <w:spacing w:line="268" w:lineRule="exact"/>
              <w:ind w:left="4"/>
              <w:jc w:val="center"/>
              <w:rPr>
                <w:sz w:val="24"/>
              </w:rPr>
            </w:pPr>
            <w:r>
              <w:rPr>
                <w:spacing w:val="-10"/>
                <w:sz w:val="24"/>
              </w:rPr>
              <w:t>3</w:t>
            </w:r>
          </w:p>
        </w:tc>
      </w:tr>
      <w:tr>
        <w:trPr>
          <w:trHeight w:val="794" w:hRule="atLeast"/>
        </w:trPr>
        <w:tc>
          <w:tcPr>
            <w:tcW w:w="708" w:type="dxa"/>
          </w:tcPr>
          <w:p>
            <w:pPr>
              <w:pStyle w:val="TableParagraph"/>
              <w:spacing w:line="268" w:lineRule="exact"/>
              <w:ind w:left="107"/>
              <w:rPr>
                <w:sz w:val="24"/>
              </w:rPr>
            </w:pPr>
            <w:r>
              <w:rPr>
                <w:spacing w:val="-5"/>
                <w:sz w:val="24"/>
              </w:rPr>
              <w:t>20.</w:t>
            </w:r>
          </w:p>
        </w:tc>
        <w:tc>
          <w:tcPr>
            <w:tcW w:w="4655" w:type="dxa"/>
          </w:tcPr>
          <w:p>
            <w:pPr>
              <w:pStyle w:val="TableParagraph"/>
              <w:spacing w:line="273" w:lineRule="auto"/>
              <w:ind w:left="107"/>
              <w:rPr>
                <w:sz w:val="24"/>
              </w:rPr>
            </w:pPr>
            <w:r>
              <w:rPr>
                <w:sz w:val="24"/>
              </w:rPr>
              <w:t>Я</w:t>
            </w:r>
            <w:r>
              <w:rPr>
                <w:spacing w:val="-5"/>
                <w:sz w:val="24"/>
              </w:rPr>
              <w:t> </w:t>
            </w:r>
            <w:r>
              <w:rPr>
                <w:sz w:val="24"/>
              </w:rPr>
              <w:t>не</w:t>
            </w:r>
            <w:r>
              <w:rPr>
                <w:spacing w:val="-6"/>
                <w:sz w:val="24"/>
              </w:rPr>
              <w:t> </w:t>
            </w:r>
            <w:r>
              <w:rPr>
                <w:sz w:val="24"/>
              </w:rPr>
              <w:t>мог</w:t>
            </w:r>
            <w:r>
              <w:rPr>
                <w:spacing w:val="-6"/>
                <w:sz w:val="24"/>
              </w:rPr>
              <w:t> </w:t>
            </w:r>
            <w:r>
              <w:rPr>
                <w:sz w:val="24"/>
              </w:rPr>
              <w:t>/</w:t>
            </w:r>
            <w:r>
              <w:rPr>
                <w:spacing w:val="-5"/>
                <w:sz w:val="24"/>
              </w:rPr>
              <w:t> </w:t>
            </w:r>
            <w:r>
              <w:rPr>
                <w:sz w:val="24"/>
              </w:rPr>
              <w:t>не</w:t>
            </w:r>
            <w:r>
              <w:rPr>
                <w:spacing w:val="-6"/>
                <w:sz w:val="24"/>
              </w:rPr>
              <w:t> </w:t>
            </w:r>
            <w:r>
              <w:rPr>
                <w:sz w:val="24"/>
              </w:rPr>
              <w:t>могла</w:t>
            </w:r>
            <w:r>
              <w:rPr>
                <w:spacing w:val="-6"/>
                <w:sz w:val="24"/>
              </w:rPr>
              <w:t> </w:t>
            </w:r>
            <w:r>
              <w:rPr>
                <w:sz w:val="24"/>
              </w:rPr>
              <w:t>заставить</w:t>
            </w:r>
            <w:r>
              <w:rPr>
                <w:spacing w:val="-4"/>
                <w:sz w:val="24"/>
              </w:rPr>
              <w:t> </w:t>
            </w:r>
            <w:r>
              <w:rPr>
                <w:sz w:val="24"/>
              </w:rPr>
              <w:t>себя</w:t>
            </w:r>
            <w:r>
              <w:rPr>
                <w:spacing w:val="-5"/>
                <w:sz w:val="24"/>
              </w:rPr>
              <w:t> </w:t>
            </w:r>
            <w:r>
              <w:rPr>
                <w:sz w:val="24"/>
              </w:rPr>
              <w:t>что-то </w:t>
            </w:r>
            <w:r>
              <w:rPr>
                <w:spacing w:val="-2"/>
                <w:sz w:val="24"/>
              </w:rPr>
              <w:t>делать</w:t>
            </w:r>
          </w:p>
        </w:tc>
        <w:tc>
          <w:tcPr>
            <w:tcW w:w="1160" w:type="dxa"/>
          </w:tcPr>
          <w:p>
            <w:pPr>
              <w:pStyle w:val="TableParagraph"/>
              <w:spacing w:line="268" w:lineRule="exact"/>
              <w:ind w:left="5"/>
              <w:jc w:val="center"/>
              <w:rPr>
                <w:sz w:val="24"/>
              </w:rPr>
            </w:pPr>
            <w:r>
              <w:rPr>
                <w:spacing w:val="-10"/>
                <w:sz w:val="24"/>
              </w:rPr>
              <w:t>0</w:t>
            </w:r>
          </w:p>
        </w:tc>
        <w:tc>
          <w:tcPr>
            <w:tcW w:w="911" w:type="dxa"/>
          </w:tcPr>
          <w:p>
            <w:pPr>
              <w:pStyle w:val="TableParagraph"/>
              <w:spacing w:line="268" w:lineRule="exact"/>
              <w:ind w:left="3"/>
              <w:jc w:val="center"/>
              <w:rPr>
                <w:sz w:val="24"/>
              </w:rPr>
            </w:pPr>
            <w:r>
              <w:rPr>
                <w:spacing w:val="-10"/>
                <w:sz w:val="24"/>
              </w:rPr>
              <w:t>1</w:t>
            </w:r>
          </w:p>
        </w:tc>
        <w:tc>
          <w:tcPr>
            <w:tcW w:w="934" w:type="dxa"/>
          </w:tcPr>
          <w:p>
            <w:pPr>
              <w:pStyle w:val="TableParagraph"/>
              <w:spacing w:line="268" w:lineRule="exact"/>
              <w:ind w:left="8" w:right="8"/>
              <w:jc w:val="center"/>
              <w:rPr>
                <w:sz w:val="24"/>
              </w:rPr>
            </w:pPr>
            <w:r>
              <w:rPr>
                <w:spacing w:val="-10"/>
                <w:sz w:val="24"/>
              </w:rPr>
              <w:t>2</w:t>
            </w:r>
          </w:p>
        </w:tc>
        <w:tc>
          <w:tcPr>
            <w:tcW w:w="1416" w:type="dxa"/>
          </w:tcPr>
          <w:p>
            <w:pPr>
              <w:pStyle w:val="TableParagraph"/>
              <w:spacing w:line="268" w:lineRule="exact"/>
              <w:ind w:left="4"/>
              <w:jc w:val="center"/>
              <w:rPr>
                <w:sz w:val="24"/>
              </w:rPr>
            </w:pPr>
            <w:r>
              <w:rPr>
                <w:spacing w:val="-10"/>
                <w:sz w:val="24"/>
              </w:rPr>
              <w:t>3</w:t>
            </w:r>
          </w:p>
        </w:tc>
      </w:tr>
    </w:tbl>
    <w:p>
      <w:pPr>
        <w:pStyle w:val="BodyText"/>
        <w:ind w:left="0" w:right="0" w:firstLine="0"/>
        <w:jc w:val="left"/>
      </w:pPr>
      <w:bookmarkStart w:name="_bookmark23" w:id="25"/>
      <w:bookmarkEnd w:id="25"/>
      <w:r>
        <w:rPr/>
      </w:r>
      <w:r>
        <w:rPr/>
      </w:r>
    </w:p>
    <w:p>
      <w:pPr>
        <w:pStyle w:val="BodyText"/>
        <w:spacing w:after="0"/>
        <w:jc w:val="left"/>
        <w:sectPr>
          <w:type w:val="continuous"/>
          <w:pgSz w:w="11910" w:h="16840"/>
          <w:pgMar w:header="0" w:footer="970" w:top="1100" w:bottom="1220" w:left="1417" w:right="283"/>
        </w:sectPr>
      </w:pPr>
    </w:p>
    <w:p>
      <w:pPr>
        <w:pStyle w:val="Heading2"/>
        <w:numPr>
          <w:ilvl w:val="0"/>
          <w:numId w:val="15"/>
        </w:numPr>
        <w:tabs>
          <w:tab w:pos="705" w:val="left" w:leader="none"/>
        </w:tabs>
        <w:spacing w:line="240" w:lineRule="auto" w:before="72" w:after="0"/>
        <w:ind w:left="705" w:right="0" w:hanging="420"/>
        <w:jc w:val="left"/>
      </w:pPr>
      <w:bookmarkStart w:name="_bookmark24" w:id="26"/>
      <w:bookmarkEnd w:id="26"/>
      <w:r>
        <w:rPr>
          <w:b w:val="0"/>
        </w:rPr>
      </w:r>
      <w:r>
        <w:rPr/>
        <w:t>Шкала</w:t>
      </w:r>
      <w:r>
        <w:rPr>
          <w:spacing w:val="-8"/>
        </w:rPr>
        <w:t> </w:t>
      </w:r>
      <w:r>
        <w:rPr/>
        <w:t>отношения</w:t>
      </w:r>
      <w:r>
        <w:rPr>
          <w:spacing w:val="-7"/>
        </w:rPr>
        <w:t> </w:t>
      </w:r>
      <w:r>
        <w:rPr/>
        <w:t>к</w:t>
      </w:r>
      <w:r>
        <w:rPr>
          <w:spacing w:val="-4"/>
        </w:rPr>
        <w:t> </w:t>
      </w:r>
      <w:r>
        <w:rPr>
          <w:spacing w:val="-2"/>
        </w:rPr>
        <w:t>школе</w:t>
      </w:r>
    </w:p>
    <w:p>
      <w:pPr>
        <w:pStyle w:val="Heading3"/>
        <w:spacing w:before="293"/>
        <w:jc w:val="left"/>
      </w:pPr>
      <w:r>
        <w:rPr/>
        <w:t>Описание</w:t>
      </w:r>
      <w:r>
        <w:rPr>
          <w:spacing w:val="-2"/>
        </w:rPr>
        <w:t> методики</w:t>
      </w:r>
    </w:p>
    <w:p>
      <w:pPr>
        <w:pStyle w:val="Heading4"/>
        <w:spacing w:before="191"/>
        <w:ind w:right="561" w:firstLine="566"/>
      </w:pPr>
      <w:r>
        <w:rPr/>
        <w:t>Шкала отношения к школе (</w:t>
      </w:r>
      <w:r>
        <w:rPr>
          <w:i/>
        </w:rPr>
        <w:t>Subjective scholastic value scale, SESSW</w:t>
      </w:r>
      <w:r>
        <w:rPr/>
        <w:t>) разработана коллективом психологов из университета Дортмунда, Германия (</w:t>
      </w:r>
      <w:r>
        <w:rPr>
          <w:i/>
        </w:rPr>
        <w:t>Steinmayr and Spinath, </w:t>
      </w:r>
      <w:r>
        <w:rPr/>
        <w:t>2010). Предназначена для детей школьного возраста. Представляет собой девять утверждений, которые распределяются по трем пятибалльным шкалам: внутренние ценности, полезность и личная важность (</w:t>
      </w:r>
      <w:r>
        <w:rPr>
          <w:i/>
        </w:rPr>
        <w:t>Eccles</w:t>
      </w:r>
      <w:r>
        <w:rPr/>
        <w:t>, 1995).</w:t>
      </w:r>
    </w:p>
    <w:p>
      <w:pPr>
        <w:pStyle w:val="Heading4"/>
        <w:spacing w:before="1"/>
        <w:ind w:right="573" w:firstLine="566"/>
      </w:pPr>
      <w:r>
        <w:rPr/>
        <w:t>Ниже представлено более подробное описание шкал, каждая из которых состоит из трех вопросов.</w:t>
      </w:r>
    </w:p>
    <w:p>
      <w:pPr>
        <w:pStyle w:val="Heading4"/>
        <w:numPr>
          <w:ilvl w:val="0"/>
          <w:numId w:val="25"/>
        </w:numPr>
        <w:tabs>
          <w:tab w:pos="1700" w:val="left" w:leader="none"/>
          <w:tab w:pos="2794" w:val="left" w:leader="none"/>
          <w:tab w:pos="3773" w:val="left" w:leader="none"/>
          <w:tab w:pos="5090" w:val="left" w:leader="none"/>
          <w:tab w:pos="6836" w:val="left" w:leader="none"/>
          <w:tab w:pos="8685" w:val="left" w:leader="none"/>
        </w:tabs>
        <w:spacing w:line="230" w:lineRule="auto" w:before="12" w:after="0"/>
        <w:ind w:left="285" w:right="566" w:firstLine="707"/>
        <w:jc w:val="left"/>
      </w:pPr>
      <w:r>
        <w:rPr>
          <w:spacing w:val="-2"/>
        </w:rPr>
        <w:t>Первая</w:t>
      </w:r>
      <w:r>
        <w:rPr/>
        <w:tab/>
      </w:r>
      <w:r>
        <w:rPr>
          <w:spacing w:val="-2"/>
        </w:rPr>
        <w:t>шкала</w:t>
      </w:r>
      <w:r>
        <w:rPr/>
        <w:tab/>
      </w:r>
      <w:r>
        <w:rPr>
          <w:spacing w:val="-2"/>
        </w:rPr>
        <w:t>измеряет</w:t>
      </w:r>
      <w:r>
        <w:rPr/>
        <w:tab/>
      </w:r>
      <w:r>
        <w:rPr>
          <w:spacing w:val="-2"/>
        </w:rPr>
        <w:t>субъективно</w:t>
      </w:r>
      <w:r>
        <w:rPr/>
        <w:tab/>
      </w:r>
      <w:r>
        <w:rPr>
          <w:spacing w:val="-2"/>
        </w:rPr>
        <w:t>оцениваемый</w:t>
      </w:r>
      <w:r>
        <w:rPr/>
        <w:tab/>
      </w:r>
      <w:r>
        <w:rPr>
          <w:spacing w:val="-2"/>
        </w:rPr>
        <w:t>уровень </w:t>
      </w:r>
      <w:r>
        <w:rPr/>
        <w:t>ценности школы для испытуемого.</w:t>
      </w:r>
    </w:p>
    <w:p>
      <w:pPr>
        <w:pStyle w:val="Heading4"/>
        <w:numPr>
          <w:ilvl w:val="0"/>
          <w:numId w:val="25"/>
        </w:numPr>
        <w:tabs>
          <w:tab w:pos="1700" w:val="left" w:leader="none"/>
          <w:tab w:pos="2787" w:val="left" w:leader="none"/>
          <w:tab w:pos="3766" w:val="left" w:leader="none"/>
          <w:tab w:pos="5085" w:val="left" w:leader="none"/>
          <w:tab w:pos="6829" w:val="left" w:leader="none"/>
          <w:tab w:pos="8681" w:val="left" w:leader="none"/>
        </w:tabs>
        <w:spacing w:line="230" w:lineRule="auto" w:before="11" w:after="0"/>
        <w:ind w:left="285" w:right="569" w:firstLine="707"/>
        <w:jc w:val="left"/>
      </w:pPr>
      <w:r>
        <w:rPr>
          <w:spacing w:val="-2"/>
        </w:rPr>
        <w:t>Вторая</w:t>
      </w:r>
      <w:r>
        <w:rPr/>
        <w:tab/>
      </w:r>
      <w:r>
        <w:rPr>
          <w:spacing w:val="-2"/>
        </w:rPr>
        <w:t>шкала</w:t>
      </w:r>
      <w:r>
        <w:rPr/>
        <w:tab/>
      </w:r>
      <w:r>
        <w:rPr>
          <w:spacing w:val="-2"/>
        </w:rPr>
        <w:t>измеряет</w:t>
      </w:r>
      <w:r>
        <w:rPr/>
        <w:tab/>
      </w:r>
      <w:r>
        <w:rPr>
          <w:spacing w:val="-2"/>
        </w:rPr>
        <w:t>субъективно</w:t>
      </w:r>
      <w:r>
        <w:rPr/>
        <w:tab/>
      </w:r>
      <w:r>
        <w:rPr>
          <w:spacing w:val="-2"/>
        </w:rPr>
        <w:t>оцениваемый</w:t>
      </w:r>
      <w:r>
        <w:rPr/>
        <w:tab/>
      </w:r>
      <w:r>
        <w:rPr>
          <w:spacing w:val="-2"/>
        </w:rPr>
        <w:t>уровень </w:t>
      </w:r>
      <w:r>
        <w:rPr/>
        <w:t>полезности знаний, получаемых в школе, для ребенка в будущем.</w:t>
      </w:r>
    </w:p>
    <w:p>
      <w:pPr>
        <w:pStyle w:val="Heading4"/>
        <w:numPr>
          <w:ilvl w:val="0"/>
          <w:numId w:val="25"/>
        </w:numPr>
        <w:tabs>
          <w:tab w:pos="1700" w:val="left" w:leader="none"/>
        </w:tabs>
        <w:spacing w:line="335" w:lineRule="exact" w:before="0" w:after="0"/>
        <w:ind w:left="1700" w:right="0" w:hanging="708"/>
        <w:jc w:val="left"/>
      </w:pPr>
      <w:r>
        <w:rPr>
          <w:spacing w:val="-2"/>
        </w:rPr>
        <w:t>Третья</w:t>
      </w:r>
      <w:r>
        <w:rPr>
          <w:spacing w:val="-11"/>
        </w:rPr>
        <w:t> </w:t>
      </w:r>
      <w:r>
        <w:rPr>
          <w:spacing w:val="-2"/>
        </w:rPr>
        <w:t>шкала</w:t>
      </w:r>
      <w:r>
        <w:rPr>
          <w:spacing w:val="-10"/>
        </w:rPr>
        <w:t> </w:t>
      </w:r>
      <w:r>
        <w:rPr>
          <w:spacing w:val="-2"/>
        </w:rPr>
        <w:t>измеряет</w:t>
      </w:r>
      <w:r>
        <w:rPr>
          <w:spacing w:val="-8"/>
        </w:rPr>
        <w:t> </w:t>
      </w:r>
      <w:r>
        <w:rPr>
          <w:spacing w:val="-2"/>
        </w:rPr>
        <w:t>степень</w:t>
      </w:r>
      <w:r>
        <w:rPr>
          <w:spacing w:val="-11"/>
        </w:rPr>
        <w:t> </w:t>
      </w:r>
      <w:r>
        <w:rPr>
          <w:spacing w:val="-2"/>
        </w:rPr>
        <w:t>личной</w:t>
      </w:r>
      <w:r>
        <w:rPr>
          <w:spacing w:val="-12"/>
        </w:rPr>
        <w:t> </w:t>
      </w:r>
      <w:r>
        <w:rPr>
          <w:spacing w:val="-2"/>
        </w:rPr>
        <w:t>важности</w:t>
      </w:r>
      <w:r>
        <w:rPr>
          <w:spacing w:val="-9"/>
        </w:rPr>
        <w:t> </w:t>
      </w:r>
      <w:r>
        <w:rPr>
          <w:spacing w:val="-2"/>
        </w:rPr>
        <w:t>успешной</w:t>
      </w:r>
      <w:r>
        <w:rPr>
          <w:spacing w:val="-8"/>
        </w:rPr>
        <w:t> </w:t>
      </w:r>
      <w:r>
        <w:rPr>
          <w:spacing w:val="-2"/>
        </w:rPr>
        <w:t>учебы.</w:t>
      </w:r>
    </w:p>
    <w:p>
      <w:pPr>
        <w:pStyle w:val="Heading4"/>
        <w:tabs>
          <w:tab w:pos="2619" w:val="left" w:leader="none"/>
          <w:tab w:pos="4283" w:val="left" w:leader="none"/>
          <w:tab w:pos="5705" w:val="left" w:leader="none"/>
          <w:tab w:pos="7018" w:val="left" w:leader="none"/>
          <w:tab w:pos="8123" w:val="left" w:leader="none"/>
          <w:tab w:pos="8804" w:val="left" w:leader="none"/>
        </w:tabs>
        <w:ind w:right="570" w:firstLine="566"/>
        <w:jc w:val="left"/>
      </w:pPr>
      <w:r>
        <w:rPr>
          <w:spacing w:val="-2"/>
        </w:rPr>
        <w:t>Результатом</w:t>
      </w:r>
      <w:r>
        <w:rPr/>
        <w:tab/>
      </w:r>
      <w:r>
        <w:rPr>
          <w:spacing w:val="-2"/>
        </w:rPr>
        <w:t>проведения</w:t>
      </w:r>
      <w:r>
        <w:rPr/>
        <w:tab/>
      </w:r>
      <w:r>
        <w:rPr>
          <w:spacing w:val="-2"/>
        </w:rPr>
        <w:t>методики</w:t>
      </w:r>
      <w:r>
        <w:rPr/>
        <w:tab/>
      </w:r>
      <w:r>
        <w:rPr>
          <w:spacing w:val="-2"/>
        </w:rPr>
        <w:t>является</w:t>
      </w:r>
      <w:r>
        <w:rPr/>
        <w:tab/>
      </w:r>
      <w:r>
        <w:rPr>
          <w:spacing w:val="-2"/>
        </w:rPr>
        <w:t>оценка</w:t>
      </w:r>
      <w:r>
        <w:rPr/>
        <w:tab/>
      </w:r>
      <w:r>
        <w:rPr>
          <w:spacing w:val="-4"/>
        </w:rPr>
        <w:t>как</w:t>
      </w:r>
      <w:r>
        <w:rPr/>
        <w:tab/>
      </w:r>
      <w:r>
        <w:rPr>
          <w:spacing w:val="-2"/>
        </w:rPr>
        <w:t>уровня </w:t>
      </w:r>
      <w:r>
        <w:rPr/>
        <w:t>мотивации, так и общего отношения к школе.</w:t>
      </w:r>
    </w:p>
    <w:p>
      <w:pPr>
        <w:pStyle w:val="Heading3"/>
        <w:spacing w:before="240"/>
        <w:jc w:val="left"/>
      </w:pPr>
      <w:r>
        <w:rPr/>
        <w:t>Проведение</w:t>
      </w:r>
      <w:r>
        <w:rPr>
          <w:spacing w:val="-10"/>
        </w:rPr>
        <w:t> </w:t>
      </w:r>
      <w:r>
        <w:rPr>
          <w:spacing w:val="-2"/>
        </w:rPr>
        <w:t>методики</w:t>
      </w:r>
    </w:p>
    <w:p>
      <w:pPr>
        <w:pStyle w:val="Heading4"/>
        <w:spacing w:before="195"/>
        <w:ind w:right="561" w:firstLine="566"/>
      </w:pPr>
      <w:r>
        <w:rPr/>
        <w:t>Психолог предлагает школьнику самостоятельно ответить на девять утверждений (см. </w:t>
      </w:r>
      <w:r>
        <w:rPr>
          <w:i/>
        </w:rPr>
        <w:t>Приложение 10</w:t>
      </w:r>
      <w:r>
        <w:rPr/>
        <w:t>). Респондент выбирает наиболее подходящий</w:t>
      </w:r>
      <w:r>
        <w:rPr>
          <w:spacing w:val="-6"/>
        </w:rPr>
        <w:t> </w:t>
      </w:r>
      <w:r>
        <w:rPr/>
        <w:t>для</w:t>
      </w:r>
      <w:r>
        <w:rPr>
          <w:spacing w:val="-6"/>
        </w:rPr>
        <w:t> </w:t>
      </w:r>
      <w:r>
        <w:rPr/>
        <w:t>него</w:t>
      </w:r>
      <w:r>
        <w:rPr>
          <w:spacing w:val="-2"/>
        </w:rPr>
        <w:t> </w:t>
      </w:r>
      <w:r>
        <w:rPr/>
        <w:t>вариант</w:t>
      </w:r>
      <w:r>
        <w:rPr>
          <w:spacing w:val="-4"/>
        </w:rPr>
        <w:t> </w:t>
      </w:r>
      <w:r>
        <w:rPr/>
        <w:t>ответа</w:t>
      </w:r>
      <w:r>
        <w:rPr>
          <w:spacing w:val="-3"/>
        </w:rPr>
        <w:t> </w:t>
      </w:r>
      <w:r>
        <w:rPr/>
        <w:t>на</w:t>
      </w:r>
      <w:r>
        <w:rPr>
          <w:spacing w:val="-6"/>
        </w:rPr>
        <w:t> </w:t>
      </w:r>
      <w:r>
        <w:rPr/>
        <w:t>утверждение</w:t>
      </w:r>
      <w:r>
        <w:rPr>
          <w:spacing w:val="-6"/>
        </w:rPr>
        <w:t> </w:t>
      </w:r>
      <w:r>
        <w:rPr/>
        <w:t>по</w:t>
      </w:r>
      <w:r>
        <w:rPr>
          <w:spacing w:val="-6"/>
        </w:rPr>
        <w:t> </w:t>
      </w:r>
      <w:r>
        <w:rPr/>
        <w:t>пятибалльной</w:t>
      </w:r>
      <w:r>
        <w:rPr>
          <w:spacing w:val="-3"/>
        </w:rPr>
        <w:t> </w:t>
      </w:r>
      <w:r>
        <w:rPr/>
        <w:t>шкале, где 0 — «совсем не согласен», а 4 — «полностью согласен». Баллы </w:t>
      </w:r>
      <w:r>
        <w:rPr>
          <w:spacing w:val="-2"/>
        </w:rPr>
        <w:t>суммируются.</w:t>
      </w:r>
    </w:p>
    <w:p>
      <w:pPr>
        <w:pStyle w:val="Heading3"/>
        <w:spacing w:before="245"/>
        <w:jc w:val="left"/>
      </w:pPr>
      <w:r>
        <w:rPr/>
        <w:t>Психометрические</w:t>
      </w:r>
      <w:r>
        <w:rPr>
          <w:spacing w:val="-16"/>
        </w:rPr>
        <w:t> </w:t>
      </w:r>
      <w:r>
        <w:rPr/>
        <w:t>характеристики</w:t>
      </w:r>
      <w:r>
        <w:rPr>
          <w:spacing w:val="-14"/>
        </w:rPr>
        <w:t> </w:t>
      </w:r>
      <w:r>
        <w:rPr>
          <w:spacing w:val="-2"/>
        </w:rPr>
        <w:t>методики</w:t>
      </w:r>
    </w:p>
    <w:p>
      <w:pPr>
        <w:spacing w:line="240" w:lineRule="auto" w:before="194"/>
        <w:ind w:left="285" w:right="561" w:firstLine="566"/>
        <w:jc w:val="both"/>
        <w:rPr>
          <w:sz w:val="28"/>
        </w:rPr>
      </w:pPr>
      <w:r>
        <w:rPr>
          <w:sz w:val="28"/>
        </w:rPr>
        <w:t>Авторы методики ставили перед собой задачу создать валидный и надежный инструмент определения уровня внутренней школьной мотивации и отношения к школе (</w:t>
      </w:r>
      <w:r>
        <w:rPr>
          <w:i/>
          <w:sz w:val="28"/>
        </w:rPr>
        <w:t>Steinmayr and Spinath</w:t>
      </w:r>
      <w:r>
        <w:rPr>
          <w:sz w:val="28"/>
        </w:rPr>
        <w:t>, 2010). Методологическим основанием</w:t>
      </w:r>
      <w:r>
        <w:rPr>
          <w:spacing w:val="-7"/>
          <w:sz w:val="28"/>
        </w:rPr>
        <w:t> </w:t>
      </w:r>
      <w:r>
        <w:rPr>
          <w:sz w:val="28"/>
        </w:rPr>
        <w:t>для</w:t>
      </w:r>
      <w:r>
        <w:rPr>
          <w:spacing w:val="-8"/>
          <w:sz w:val="28"/>
        </w:rPr>
        <w:t> </w:t>
      </w:r>
      <w:r>
        <w:rPr>
          <w:sz w:val="28"/>
        </w:rPr>
        <w:t>разработки</w:t>
      </w:r>
      <w:r>
        <w:rPr>
          <w:spacing w:val="-6"/>
          <w:sz w:val="28"/>
        </w:rPr>
        <w:t> </w:t>
      </w:r>
      <w:r>
        <w:rPr>
          <w:i/>
          <w:sz w:val="28"/>
        </w:rPr>
        <w:t>SESSW</w:t>
      </w:r>
      <w:r>
        <w:rPr>
          <w:i/>
          <w:spacing w:val="-9"/>
          <w:sz w:val="28"/>
        </w:rPr>
        <w:t> </w:t>
      </w:r>
      <w:r>
        <w:rPr>
          <w:sz w:val="28"/>
        </w:rPr>
        <w:t>стало</w:t>
      </w:r>
      <w:r>
        <w:rPr>
          <w:spacing w:val="-6"/>
          <w:sz w:val="28"/>
        </w:rPr>
        <w:t> </w:t>
      </w:r>
      <w:r>
        <w:rPr>
          <w:sz w:val="28"/>
        </w:rPr>
        <w:t>исследование</w:t>
      </w:r>
      <w:r>
        <w:rPr>
          <w:spacing w:val="-6"/>
          <w:sz w:val="28"/>
        </w:rPr>
        <w:t> </w:t>
      </w:r>
      <w:r>
        <w:rPr>
          <w:sz w:val="28"/>
        </w:rPr>
        <w:t>Экклса</w:t>
      </w:r>
      <w:r>
        <w:rPr>
          <w:spacing w:val="-7"/>
          <w:sz w:val="28"/>
        </w:rPr>
        <w:t> </w:t>
      </w:r>
      <w:r>
        <w:rPr>
          <w:sz w:val="28"/>
        </w:rPr>
        <w:t>и</w:t>
      </w:r>
      <w:r>
        <w:rPr>
          <w:spacing w:val="-6"/>
          <w:sz w:val="28"/>
        </w:rPr>
        <w:t> </w:t>
      </w:r>
      <w:r>
        <w:rPr>
          <w:sz w:val="28"/>
        </w:rPr>
        <w:t>Вигфилда:</w:t>
      </w:r>
      <w:r>
        <w:rPr>
          <w:spacing w:val="-6"/>
          <w:sz w:val="28"/>
        </w:rPr>
        <w:t> </w:t>
      </w:r>
      <w:r>
        <w:rPr>
          <w:i/>
          <w:sz w:val="28"/>
        </w:rPr>
        <w:t>In the Mind of the Actor: The Structure of Adolescent Achievement Task Values and Expectancy-Related Beliefs (Eccles and Wigfield, </w:t>
      </w:r>
      <w:r>
        <w:rPr>
          <w:sz w:val="28"/>
        </w:rPr>
        <w:t>1995).</w:t>
      </w:r>
    </w:p>
    <w:p>
      <w:pPr>
        <w:pStyle w:val="Heading4"/>
        <w:spacing w:before="1"/>
        <w:ind w:right="561" w:firstLine="566"/>
      </w:pPr>
      <w:r>
        <w:rPr/>
        <w:t>Исследование, направленное на выявление взаимосвязей и зависимостей во внутренней мотивационной структуре подростков, длилось два года (N = 707 для исследования первого года, N = 545 для второго; 5–11-е классы по немецкой системе школьного образования, то есть 10–17 лет). Испытуемым предлагалось выбрать наиболее подходящий для них ответ по семибалльной шкале от 1 до 7 на 29 вопросов/утверждений. Вопросы были определены по результатам эксплораторного факторного анализа.</w:t>
      </w:r>
    </w:p>
    <w:p>
      <w:pPr>
        <w:pStyle w:val="Heading4"/>
        <w:ind w:right="565" w:firstLine="566"/>
      </w:pPr>
      <w:r>
        <w:rPr/>
        <w:t>Вопросы были сгруппированы в соответствующие блоки (внутренняя ценность задач, самооценка успеваемости и школьных достижений, восприятие</w:t>
      </w:r>
      <w:r>
        <w:rPr>
          <w:spacing w:val="27"/>
        </w:rPr>
        <w:t>  </w:t>
      </w:r>
      <w:r>
        <w:rPr/>
        <w:t>сложности</w:t>
      </w:r>
      <w:r>
        <w:rPr>
          <w:spacing w:val="28"/>
        </w:rPr>
        <w:t>  </w:t>
      </w:r>
      <w:r>
        <w:rPr/>
        <w:t>задач).</w:t>
      </w:r>
      <w:r>
        <w:rPr>
          <w:spacing w:val="28"/>
        </w:rPr>
        <w:t>  </w:t>
      </w:r>
      <w:r>
        <w:rPr/>
        <w:t>Результаты</w:t>
      </w:r>
      <w:r>
        <w:rPr>
          <w:spacing w:val="27"/>
        </w:rPr>
        <w:t>  </w:t>
      </w:r>
      <w:r>
        <w:rPr/>
        <w:t>конфирматорного</w:t>
      </w:r>
      <w:r>
        <w:rPr>
          <w:spacing w:val="28"/>
        </w:rPr>
        <w:t>  </w:t>
      </w:r>
      <w:r>
        <w:rPr>
          <w:spacing w:val="-2"/>
        </w:rPr>
        <w:t>факторного</w:t>
      </w:r>
    </w:p>
    <w:p>
      <w:pPr>
        <w:pStyle w:val="Heading4"/>
        <w:spacing w:after="0"/>
        <w:sectPr>
          <w:pgSz w:w="11910" w:h="16840"/>
          <w:pgMar w:header="0" w:footer="970" w:top="1040" w:bottom="1220" w:left="1417" w:right="283"/>
        </w:sectPr>
      </w:pPr>
    </w:p>
    <w:p>
      <w:pPr>
        <w:pStyle w:val="Heading4"/>
        <w:spacing w:before="67"/>
        <w:ind w:right="565"/>
      </w:pPr>
      <w:r>
        <w:rPr/>
        <w:t>анализа</w:t>
      </w:r>
      <w:r>
        <w:rPr>
          <w:spacing w:val="-15"/>
        </w:rPr>
        <w:t> </w:t>
      </w:r>
      <w:r>
        <w:rPr/>
        <w:t>показали,</w:t>
      </w:r>
      <w:r>
        <w:rPr>
          <w:spacing w:val="-14"/>
        </w:rPr>
        <w:t> </w:t>
      </w:r>
      <w:r>
        <w:rPr/>
        <w:t>в</w:t>
      </w:r>
      <w:r>
        <w:rPr>
          <w:spacing w:val="-14"/>
        </w:rPr>
        <w:t> </w:t>
      </w:r>
      <w:r>
        <w:rPr/>
        <w:t>том</w:t>
      </w:r>
      <w:r>
        <w:rPr>
          <w:spacing w:val="-14"/>
        </w:rPr>
        <w:t> </w:t>
      </w:r>
      <w:r>
        <w:rPr/>
        <w:t>числе,</w:t>
      </w:r>
      <w:r>
        <w:rPr>
          <w:spacing w:val="-15"/>
        </w:rPr>
        <w:t> </w:t>
      </w:r>
      <w:r>
        <w:rPr/>
        <w:t>что</w:t>
      </w:r>
      <w:r>
        <w:rPr>
          <w:spacing w:val="-13"/>
        </w:rPr>
        <w:t> </w:t>
      </w:r>
      <w:r>
        <w:rPr/>
        <w:t>ожидания,</w:t>
      </w:r>
      <w:r>
        <w:rPr>
          <w:spacing w:val="-14"/>
        </w:rPr>
        <w:t> </w:t>
      </w:r>
      <w:r>
        <w:rPr/>
        <w:t>связанные</w:t>
      </w:r>
      <w:r>
        <w:rPr>
          <w:spacing w:val="-13"/>
        </w:rPr>
        <w:t> </w:t>
      </w:r>
      <w:r>
        <w:rPr/>
        <w:t>с</w:t>
      </w:r>
      <w:r>
        <w:rPr>
          <w:spacing w:val="-15"/>
        </w:rPr>
        <w:t> </w:t>
      </w:r>
      <w:r>
        <w:rPr/>
        <w:t>достижением</w:t>
      </w:r>
      <w:r>
        <w:rPr>
          <w:spacing w:val="-13"/>
        </w:rPr>
        <w:t> </w:t>
      </w:r>
      <w:r>
        <w:rPr/>
        <w:t>целей, разделены</w:t>
      </w:r>
      <w:r>
        <w:rPr>
          <w:spacing w:val="-3"/>
        </w:rPr>
        <w:t> </w:t>
      </w:r>
      <w:r>
        <w:rPr/>
        <w:t>на</w:t>
      </w:r>
      <w:r>
        <w:rPr>
          <w:spacing w:val="-4"/>
        </w:rPr>
        <w:t> </w:t>
      </w:r>
      <w:r>
        <w:rPr/>
        <w:t>три</w:t>
      </w:r>
      <w:r>
        <w:rPr>
          <w:spacing w:val="-3"/>
        </w:rPr>
        <w:t> </w:t>
      </w:r>
      <w:r>
        <w:rPr/>
        <w:t>фактора</w:t>
      </w:r>
      <w:r>
        <w:rPr>
          <w:spacing w:val="-4"/>
        </w:rPr>
        <w:t> </w:t>
      </w:r>
      <w:r>
        <w:rPr/>
        <w:t>субъективной</w:t>
      </w:r>
      <w:r>
        <w:rPr>
          <w:spacing w:val="-5"/>
        </w:rPr>
        <w:t> </w:t>
      </w:r>
      <w:r>
        <w:rPr/>
        <w:t>ценности</w:t>
      </w:r>
      <w:r>
        <w:rPr>
          <w:spacing w:val="-3"/>
        </w:rPr>
        <w:t> </w:t>
      </w:r>
      <w:r>
        <w:rPr/>
        <w:t>задач</w:t>
      </w:r>
      <w:r>
        <w:rPr>
          <w:spacing w:val="-3"/>
        </w:rPr>
        <w:t> </w:t>
      </w:r>
      <w:r>
        <w:rPr/>
        <w:t>(заинтересованность, важность, полезность). Также были выявлены фактор ожидания/способности и два фактора сложности задачи. Ценность задач и восприятие собственных способностей находятся в прямой зависимости друг от друга и, напротив, отрицательно коррелируют с восприятием сложности задачи.</w:t>
      </w:r>
    </w:p>
    <w:p>
      <w:pPr>
        <w:pStyle w:val="Heading4"/>
        <w:spacing w:before="1"/>
        <w:ind w:right="567" w:firstLine="566"/>
      </w:pPr>
      <w:r>
        <w:rPr/>
        <w:t>Утверждения, сформировавшие блок самооценки успеваемости и школьных достижений, показали наибольшую внутреннюю согласованность (коэффициент альфа Кронбаха .92).</w:t>
      </w:r>
    </w:p>
    <w:p>
      <w:pPr>
        <w:pStyle w:val="Heading4"/>
        <w:spacing w:line="322" w:lineRule="exact" w:before="1"/>
        <w:ind w:left="851"/>
      </w:pPr>
      <w:r>
        <w:rPr/>
        <w:t>В</w:t>
      </w:r>
      <w:r>
        <w:rPr>
          <w:spacing w:val="-8"/>
        </w:rPr>
        <w:t> </w:t>
      </w:r>
      <w:r>
        <w:rPr>
          <w:i/>
        </w:rPr>
        <w:t>SESSW</w:t>
      </w:r>
      <w:r>
        <w:rPr>
          <w:i/>
          <w:spacing w:val="-9"/>
        </w:rPr>
        <w:t> </w:t>
      </w:r>
      <w:r>
        <w:rPr/>
        <w:t>вошли</w:t>
      </w:r>
      <w:r>
        <w:rPr>
          <w:spacing w:val="-5"/>
        </w:rPr>
        <w:t> </w:t>
      </w:r>
      <w:r>
        <w:rPr/>
        <w:t>9</w:t>
      </w:r>
      <w:r>
        <w:rPr>
          <w:spacing w:val="-4"/>
        </w:rPr>
        <w:t> </w:t>
      </w:r>
      <w:r>
        <w:rPr/>
        <w:t>вопросов,</w:t>
      </w:r>
      <w:r>
        <w:rPr>
          <w:spacing w:val="-6"/>
        </w:rPr>
        <w:t> </w:t>
      </w:r>
      <w:r>
        <w:rPr/>
        <w:t>сгруппированные</w:t>
      </w:r>
      <w:r>
        <w:rPr>
          <w:spacing w:val="-5"/>
        </w:rPr>
        <w:t> </w:t>
      </w:r>
      <w:r>
        <w:rPr/>
        <w:t>по</w:t>
      </w:r>
      <w:r>
        <w:rPr>
          <w:spacing w:val="-4"/>
        </w:rPr>
        <w:t> </w:t>
      </w:r>
      <w:r>
        <w:rPr/>
        <w:t>трем</w:t>
      </w:r>
      <w:r>
        <w:rPr>
          <w:spacing w:val="-4"/>
        </w:rPr>
        <w:t> </w:t>
      </w:r>
      <w:r>
        <w:rPr>
          <w:spacing w:val="-2"/>
        </w:rPr>
        <w:t>темам.</w:t>
      </w:r>
    </w:p>
    <w:p>
      <w:pPr>
        <w:pStyle w:val="Heading5"/>
        <w:ind w:left="851"/>
        <w:jc w:val="both"/>
      </w:pPr>
      <w:r>
        <w:rPr/>
        <w:t>Intrinsic</w:t>
      </w:r>
      <w:r>
        <w:rPr>
          <w:spacing w:val="-7"/>
        </w:rPr>
        <w:t> </w:t>
      </w:r>
      <w:r>
        <w:rPr>
          <w:spacing w:val="-2"/>
        </w:rPr>
        <w:t>values:</w:t>
      </w:r>
    </w:p>
    <w:p>
      <w:pPr>
        <w:pStyle w:val="Heading4"/>
        <w:numPr>
          <w:ilvl w:val="0"/>
          <w:numId w:val="26"/>
        </w:numPr>
        <w:tabs>
          <w:tab w:pos="1698" w:val="left" w:leader="none"/>
        </w:tabs>
        <w:spacing w:line="335" w:lineRule="exact" w:before="0" w:after="0"/>
        <w:ind w:left="1698" w:right="0" w:hanging="705"/>
        <w:jc w:val="left"/>
      </w:pPr>
      <w:r>
        <w:rPr/>
        <w:t>“I</w:t>
      </w:r>
      <w:r>
        <w:rPr>
          <w:spacing w:val="-2"/>
        </w:rPr>
        <w:t> </w:t>
      </w:r>
      <w:r>
        <w:rPr/>
        <w:t>like</w:t>
      </w:r>
      <w:r>
        <w:rPr>
          <w:spacing w:val="-2"/>
        </w:rPr>
        <w:t> school”</w:t>
      </w:r>
    </w:p>
    <w:p>
      <w:pPr>
        <w:pStyle w:val="Heading4"/>
        <w:numPr>
          <w:ilvl w:val="0"/>
          <w:numId w:val="26"/>
        </w:numPr>
        <w:tabs>
          <w:tab w:pos="1698" w:val="left" w:leader="none"/>
        </w:tabs>
        <w:spacing w:line="328" w:lineRule="exact" w:before="0" w:after="0"/>
        <w:ind w:left="1698" w:right="0" w:hanging="705"/>
        <w:jc w:val="left"/>
      </w:pPr>
      <w:r>
        <w:rPr/>
        <w:t>“I</w:t>
      </w:r>
      <w:r>
        <w:rPr>
          <w:spacing w:val="-3"/>
        </w:rPr>
        <w:t> </w:t>
      </w:r>
      <w:r>
        <w:rPr/>
        <w:t>enjoy</w:t>
      </w:r>
      <w:r>
        <w:rPr>
          <w:spacing w:val="-5"/>
        </w:rPr>
        <w:t> </w:t>
      </w:r>
      <w:r>
        <w:rPr/>
        <w:t>doing</w:t>
      </w:r>
      <w:r>
        <w:rPr>
          <w:spacing w:val="-2"/>
        </w:rPr>
        <w:t> </w:t>
      </w:r>
      <w:r>
        <w:rPr/>
        <w:t>things</w:t>
      </w:r>
      <w:r>
        <w:rPr>
          <w:spacing w:val="-1"/>
        </w:rPr>
        <w:t> </w:t>
      </w:r>
      <w:r>
        <w:rPr/>
        <w:t>in</w:t>
      </w:r>
      <w:r>
        <w:rPr>
          <w:spacing w:val="-4"/>
        </w:rPr>
        <w:t> </w:t>
      </w:r>
      <w:r>
        <w:rPr>
          <w:spacing w:val="-2"/>
        </w:rPr>
        <w:t>school”</w:t>
      </w:r>
    </w:p>
    <w:p>
      <w:pPr>
        <w:pStyle w:val="Heading4"/>
        <w:numPr>
          <w:ilvl w:val="0"/>
          <w:numId w:val="26"/>
        </w:numPr>
        <w:tabs>
          <w:tab w:pos="1698" w:val="left" w:leader="none"/>
        </w:tabs>
        <w:spacing w:line="327" w:lineRule="exact" w:before="0" w:after="0"/>
        <w:ind w:left="1698" w:right="0" w:hanging="705"/>
        <w:jc w:val="left"/>
      </w:pPr>
      <w:r>
        <w:rPr/>
        <w:t>“I</w:t>
      </w:r>
      <w:r>
        <w:rPr>
          <w:spacing w:val="-3"/>
        </w:rPr>
        <w:t> </w:t>
      </w:r>
      <w:r>
        <w:rPr/>
        <w:t>find</w:t>
      </w:r>
      <w:r>
        <w:rPr>
          <w:spacing w:val="-6"/>
        </w:rPr>
        <w:t> </w:t>
      </w:r>
      <w:r>
        <w:rPr/>
        <w:t>school</w:t>
      </w:r>
      <w:r>
        <w:rPr>
          <w:spacing w:val="-5"/>
        </w:rPr>
        <w:t> </w:t>
      </w:r>
      <w:r>
        <w:rPr/>
        <w:t>in</w:t>
      </w:r>
      <w:r>
        <w:rPr>
          <w:spacing w:val="-2"/>
        </w:rPr>
        <w:t> </w:t>
      </w:r>
      <w:r>
        <w:rPr/>
        <w:t>general</w:t>
      </w:r>
      <w:r>
        <w:rPr>
          <w:spacing w:val="-1"/>
        </w:rPr>
        <w:t> </w:t>
      </w:r>
      <w:r>
        <w:rPr>
          <w:spacing w:val="-2"/>
        </w:rPr>
        <w:t>interesting”</w:t>
      </w:r>
    </w:p>
    <w:p>
      <w:pPr>
        <w:pStyle w:val="Heading5"/>
        <w:spacing w:line="314" w:lineRule="exact"/>
        <w:ind w:left="851"/>
      </w:pPr>
      <w:r>
        <w:rPr>
          <w:spacing w:val="-2"/>
        </w:rPr>
        <w:t>Utility:</w:t>
      </w:r>
    </w:p>
    <w:p>
      <w:pPr>
        <w:pStyle w:val="Heading4"/>
        <w:numPr>
          <w:ilvl w:val="0"/>
          <w:numId w:val="26"/>
        </w:numPr>
        <w:tabs>
          <w:tab w:pos="1698" w:val="left" w:leader="none"/>
        </w:tabs>
        <w:spacing w:line="335" w:lineRule="exact" w:before="0" w:after="0"/>
        <w:ind w:left="1698" w:right="0" w:hanging="705"/>
        <w:jc w:val="left"/>
      </w:pPr>
      <w:r>
        <w:rPr/>
        <w:t>“How</w:t>
      </w:r>
      <w:r>
        <w:rPr>
          <w:spacing w:val="-7"/>
        </w:rPr>
        <w:t> </w:t>
      </w:r>
      <w:r>
        <w:rPr/>
        <w:t>useful</w:t>
      </w:r>
      <w:r>
        <w:rPr>
          <w:spacing w:val="-2"/>
        </w:rPr>
        <w:t> </w:t>
      </w:r>
      <w:r>
        <w:rPr/>
        <w:t>is</w:t>
      </w:r>
      <w:r>
        <w:rPr>
          <w:spacing w:val="-2"/>
        </w:rPr>
        <w:t> </w:t>
      </w:r>
      <w:r>
        <w:rPr/>
        <w:t>what</w:t>
      </w:r>
      <w:r>
        <w:rPr>
          <w:spacing w:val="-5"/>
        </w:rPr>
        <w:t> </w:t>
      </w:r>
      <w:r>
        <w:rPr/>
        <w:t>you</w:t>
      </w:r>
      <w:r>
        <w:rPr>
          <w:spacing w:val="-2"/>
        </w:rPr>
        <w:t> </w:t>
      </w:r>
      <w:r>
        <w:rPr/>
        <w:t>learn</w:t>
      </w:r>
      <w:r>
        <w:rPr>
          <w:spacing w:val="-2"/>
        </w:rPr>
        <w:t> </w:t>
      </w:r>
      <w:r>
        <w:rPr/>
        <w:t>in</w:t>
      </w:r>
      <w:r>
        <w:rPr>
          <w:spacing w:val="-2"/>
        </w:rPr>
        <w:t> </w:t>
      </w:r>
      <w:r>
        <w:rPr/>
        <w:t>school</w:t>
      </w:r>
      <w:r>
        <w:rPr>
          <w:spacing w:val="-2"/>
        </w:rPr>
        <w:t> </w:t>
      </w:r>
      <w:r>
        <w:rPr/>
        <w:t>in</w:t>
      </w:r>
      <w:r>
        <w:rPr>
          <w:spacing w:val="-4"/>
        </w:rPr>
        <w:t> </w:t>
      </w:r>
      <w:r>
        <w:rPr>
          <w:spacing w:val="-2"/>
        </w:rPr>
        <w:t>general?”</w:t>
      </w:r>
    </w:p>
    <w:p>
      <w:pPr>
        <w:pStyle w:val="Heading4"/>
        <w:numPr>
          <w:ilvl w:val="0"/>
          <w:numId w:val="26"/>
        </w:numPr>
        <w:tabs>
          <w:tab w:pos="1698" w:val="left" w:leader="none"/>
        </w:tabs>
        <w:spacing w:line="328" w:lineRule="exact" w:before="0" w:after="0"/>
        <w:ind w:left="1698" w:right="0" w:hanging="705"/>
        <w:jc w:val="left"/>
      </w:pPr>
      <w:r>
        <w:rPr/>
        <w:t>“School/math/German</w:t>
      </w:r>
      <w:r>
        <w:rPr>
          <w:spacing w:val="-5"/>
        </w:rPr>
        <w:t> </w:t>
      </w:r>
      <w:r>
        <w:rPr/>
        <w:t>will</w:t>
      </w:r>
      <w:r>
        <w:rPr>
          <w:spacing w:val="-5"/>
        </w:rPr>
        <w:t> </w:t>
      </w:r>
      <w:r>
        <w:rPr/>
        <w:t>be</w:t>
      </w:r>
      <w:r>
        <w:rPr>
          <w:spacing w:val="-6"/>
        </w:rPr>
        <w:t> </w:t>
      </w:r>
      <w:r>
        <w:rPr/>
        <w:t>useful</w:t>
      </w:r>
      <w:r>
        <w:rPr>
          <w:spacing w:val="-7"/>
        </w:rPr>
        <w:t> </w:t>
      </w:r>
      <w:r>
        <w:rPr/>
        <w:t>in</w:t>
      </w:r>
      <w:r>
        <w:rPr>
          <w:spacing w:val="-5"/>
        </w:rPr>
        <w:t> </w:t>
      </w:r>
      <w:r>
        <w:rPr/>
        <w:t>my</w:t>
      </w:r>
      <w:r>
        <w:rPr>
          <w:spacing w:val="-6"/>
        </w:rPr>
        <w:t> </w:t>
      </w:r>
      <w:r>
        <w:rPr>
          <w:spacing w:val="-2"/>
        </w:rPr>
        <w:t>future”</w:t>
      </w:r>
    </w:p>
    <w:p>
      <w:pPr>
        <w:pStyle w:val="Heading4"/>
        <w:numPr>
          <w:ilvl w:val="0"/>
          <w:numId w:val="26"/>
        </w:numPr>
        <w:tabs>
          <w:tab w:pos="1698" w:val="left" w:leader="none"/>
        </w:tabs>
        <w:spacing w:line="327" w:lineRule="exact" w:before="0" w:after="0"/>
        <w:ind w:left="1698" w:right="0" w:hanging="705"/>
        <w:jc w:val="left"/>
      </w:pPr>
      <w:r>
        <w:rPr/>
        <w:t>“The</w:t>
      </w:r>
      <w:r>
        <w:rPr>
          <w:spacing w:val="-2"/>
        </w:rPr>
        <w:t> </w:t>
      </w:r>
      <w:r>
        <w:rPr/>
        <w:t>things</w:t>
      </w:r>
      <w:r>
        <w:rPr>
          <w:spacing w:val="-1"/>
        </w:rPr>
        <w:t> </w:t>
      </w:r>
      <w:r>
        <w:rPr/>
        <w:t>I</w:t>
      </w:r>
      <w:r>
        <w:rPr>
          <w:spacing w:val="-6"/>
        </w:rPr>
        <w:t> </w:t>
      </w:r>
      <w:r>
        <w:rPr/>
        <w:t>learn</w:t>
      </w:r>
      <w:r>
        <w:rPr>
          <w:spacing w:val="-1"/>
        </w:rPr>
        <w:t> </w:t>
      </w:r>
      <w:r>
        <w:rPr/>
        <w:t>in</w:t>
      </w:r>
      <w:r>
        <w:rPr>
          <w:spacing w:val="-3"/>
        </w:rPr>
        <w:t> </w:t>
      </w:r>
      <w:r>
        <w:rPr/>
        <w:t>school</w:t>
      </w:r>
      <w:r>
        <w:rPr>
          <w:spacing w:val="-1"/>
        </w:rPr>
        <w:t> </w:t>
      </w:r>
      <w:r>
        <w:rPr/>
        <w:t>will</w:t>
      </w:r>
      <w:r>
        <w:rPr>
          <w:spacing w:val="-1"/>
        </w:rPr>
        <w:t> </w:t>
      </w:r>
      <w:r>
        <w:rPr/>
        <w:t>be</w:t>
      </w:r>
      <w:r>
        <w:rPr>
          <w:spacing w:val="-4"/>
        </w:rPr>
        <w:t> </w:t>
      </w:r>
      <w:r>
        <w:rPr/>
        <w:t>of</w:t>
      </w:r>
      <w:r>
        <w:rPr>
          <w:spacing w:val="-2"/>
        </w:rPr>
        <w:t> </w:t>
      </w:r>
      <w:r>
        <w:rPr/>
        <w:t>use</w:t>
      </w:r>
      <w:r>
        <w:rPr>
          <w:spacing w:val="-4"/>
        </w:rPr>
        <w:t> </w:t>
      </w:r>
      <w:r>
        <w:rPr/>
        <w:t>in</w:t>
      </w:r>
      <w:r>
        <w:rPr>
          <w:spacing w:val="-1"/>
        </w:rPr>
        <w:t> </w:t>
      </w:r>
      <w:r>
        <w:rPr/>
        <w:t>my</w:t>
      </w:r>
      <w:r>
        <w:rPr>
          <w:spacing w:val="-6"/>
        </w:rPr>
        <w:t> </w:t>
      </w:r>
      <w:r>
        <w:rPr/>
        <w:t>future</w:t>
      </w:r>
      <w:r>
        <w:rPr>
          <w:spacing w:val="-1"/>
        </w:rPr>
        <w:t> </w:t>
      </w:r>
      <w:r>
        <w:rPr>
          <w:spacing w:val="-2"/>
        </w:rPr>
        <w:t>life”</w:t>
      </w:r>
    </w:p>
    <w:p>
      <w:pPr>
        <w:pStyle w:val="Heading5"/>
        <w:spacing w:line="314" w:lineRule="exact"/>
        <w:ind w:left="851"/>
      </w:pPr>
      <w:r>
        <w:rPr/>
        <w:t>Personal</w:t>
      </w:r>
      <w:r>
        <w:rPr>
          <w:spacing w:val="-6"/>
        </w:rPr>
        <w:t> </w:t>
      </w:r>
      <w:r>
        <w:rPr>
          <w:spacing w:val="-2"/>
        </w:rPr>
        <w:t>importance:</w:t>
      </w:r>
    </w:p>
    <w:p>
      <w:pPr>
        <w:pStyle w:val="Heading4"/>
        <w:numPr>
          <w:ilvl w:val="0"/>
          <w:numId w:val="26"/>
        </w:numPr>
        <w:tabs>
          <w:tab w:pos="1698" w:val="left" w:leader="none"/>
        </w:tabs>
        <w:spacing w:line="335" w:lineRule="exact" w:before="0" w:after="0"/>
        <w:ind w:left="1698" w:right="0" w:hanging="705"/>
        <w:jc w:val="left"/>
      </w:pPr>
      <w:r>
        <w:rPr/>
        <w:t>“Being</w:t>
      </w:r>
      <w:r>
        <w:rPr>
          <w:spacing w:val="-4"/>
        </w:rPr>
        <w:t> </w:t>
      </w:r>
      <w:r>
        <w:rPr/>
        <w:t>good</w:t>
      </w:r>
      <w:r>
        <w:rPr>
          <w:spacing w:val="-3"/>
        </w:rPr>
        <w:t> </w:t>
      </w:r>
      <w:r>
        <w:rPr/>
        <w:t>at</w:t>
      </w:r>
      <w:r>
        <w:rPr>
          <w:spacing w:val="-4"/>
        </w:rPr>
        <w:t> </w:t>
      </w:r>
      <w:r>
        <w:rPr/>
        <w:t>school</w:t>
      </w:r>
      <w:r>
        <w:rPr>
          <w:spacing w:val="-3"/>
        </w:rPr>
        <w:t> </w:t>
      </w:r>
      <w:r>
        <w:rPr/>
        <w:t>is</w:t>
      </w:r>
      <w:r>
        <w:rPr>
          <w:spacing w:val="-4"/>
        </w:rPr>
        <w:t> </w:t>
      </w:r>
      <w:r>
        <w:rPr/>
        <w:t>important</w:t>
      </w:r>
      <w:r>
        <w:rPr>
          <w:spacing w:val="-3"/>
        </w:rPr>
        <w:t> </w:t>
      </w:r>
      <w:r>
        <w:rPr/>
        <w:t>to</w:t>
      </w:r>
      <w:r>
        <w:rPr>
          <w:spacing w:val="-3"/>
        </w:rPr>
        <w:t> </w:t>
      </w:r>
      <w:r>
        <w:rPr>
          <w:spacing w:val="-4"/>
        </w:rPr>
        <w:t>me,”</w:t>
      </w:r>
    </w:p>
    <w:p>
      <w:pPr>
        <w:pStyle w:val="Heading4"/>
        <w:numPr>
          <w:ilvl w:val="0"/>
          <w:numId w:val="26"/>
        </w:numPr>
        <w:tabs>
          <w:tab w:pos="1698" w:val="left" w:leader="none"/>
        </w:tabs>
        <w:spacing w:line="328" w:lineRule="exact" w:before="0" w:after="0"/>
        <w:ind w:left="1698" w:right="0" w:hanging="705"/>
        <w:jc w:val="left"/>
      </w:pPr>
      <w:r>
        <w:rPr/>
        <w:t>“To</w:t>
      </w:r>
      <w:r>
        <w:rPr>
          <w:spacing w:val="-2"/>
        </w:rPr>
        <w:t> </w:t>
      </w:r>
      <w:r>
        <w:rPr/>
        <w:t>be</w:t>
      </w:r>
      <w:r>
        <w:rPr>
          <w:spacing w:val="-3"/>
        </w:rPr>
        <w:t> </w:t>
      </w:r>
      <w:r>
        <w:rPr/>
        <w:t>good</w:t>
      </w:r>
      <w:r>
        <w:rPr>
          <w:spacing w:val="-2"/>
        </w:rPr>
        <w:t> </w:t>
      </w:r>
      <w:r>
        <w:rPr/>
        <w:t>at</w:t>
      </w:r>
      <w:r>
        <w:rPr>
          <w:spacing w:val="-4"/>
        </w:rPr>
        <w:t> </w:t>
      </w:r>
      <w:r>
        <w:rPr/>
        <w:t>school</w:t>
      </w:r>
      <w:r>
        <w:rPr>
          <w:spacing w:val="-2"/>
        </w:rPr>
        <w:t> </w:t>
      </w:r>
      <w:r>
        <w:rPr/>
        <w:t>means</w:t>
      </w:r>
      <w:r>
        <w:rPr>
          <w:spacing w:val="-1"/>
        </w:rPr>
        <w:t> </w:t>
      </w:r>
      <w:r>
        <w:rPr/>
        <w:t>a</w:t>
      </w:r>
      <w:r>
        <w:rPr>
          <w:spacing w:val="-4"/>
        </w:rPr>
        <w:t> </w:t>
      </w:r>
      <w:r>
        <w:rPr/>
        <w:t>lot</w:t>
      </w:r>
      <w:r>
        <w:rPr>
          <w:spacing w:val="-2"/>
        </w:rPr>
        <w:t> </w:t>
      </w:r>
      <w:r>
        <w:rPr/>
        <w:t>to</w:t>
      </w:r>
      <w:r>
        <w:rPr>
          <w:spacing w:val="-1"/>
        </w:rPr>
        <w:t> </w:t>
      </w:r>
      <w:r>
        <w:rPr>
          <w:spacing w:val="-4"/>
        </w:rPr>
        <w:t>me,”</w:t>
      </w:r>
    </w:p>
    <w:p>
      <w:pPr>
        <w:pStyle w:val="Heading4"/>
        <w:numPr>
          <w:ilvl w:val="0"/>
          <w:numId w:val="26"/>
        </w:numPr>
        <w:tabs>
          <w:tab w:pos="1698" w:val="left" w:leader="none"/>
        </w:tabs>
        <w:spacing w:line="327" w:lineRule="exact" w:before="0" w:after="0"/>
        <w:ind w:left="1698" w:right="0" w:hanging="705"/>
        <w:jc w:val="left"/>
      </w:pPr>
      <w:r>
        <w:rPr/>
        <w:t>“Attainment</w:t>
      </w:r>
      <w:r>
        <w:rPr>
          <w:spacing w:val="-5"/>
        </w:rPr>
        <w:t> </w:t>
      </w:r>
      <w:r>
        <w:rPr/>
        <w:t>in</w:t>
      </w:r>
      <w:r>
        <w:rPr>
          <w:spacing w:val="-7"/>
        </w:rPr>
        <w:t> </w:t>
      </w:r>
      <w:r>
        <w:rPr/>
        <w:t>school</w:t>
      </w:r>
      <w:r>
        <w:rPr>
          <w:spacing w:val="-4"/>
        </w:rPr>
        <w:t> </w:t>
      </w:r>
      <w:r>
        <w:rPr/>
        <w:t>is</w:t>
      </w:r>
      <w:r>
        <w:rPr>
          <w:spacing w:val="-4"/>
        </w:rPr>
        <w:t> </w:t>
      </w:r>
      <w:r>
        <w:rPr/>
        <w:t>important</w:t>
      </w:r>
      <w:r>
        <w:rPr>
          <w:spacing w:val="-4"/>
        </w:rPr>
        <w:t> </w:t>
      </w:r>
      <w:r>
        <w:rPr/>
        <w:t>to</w:t>
      </w:r>
      <w:r>
        <w:rPr>
          <w:spacing w:val="-4"/>
        </w:rPr>
        <w:t> </w:t>
      </w:r>
      <w:r>
        <w:rPr>
          <w:spacing w:val="-5"/>
        </w:rPr>
        <w:t>me”</w:t>
      </w:r>
    </w:p>
    <w:p>
      <w:pPr>
        <w:pStyle w:val="Heading4"/>
        <w:spacing w:line="242" w:lineRule="auto"/>
        <w:ind w:right="572" w:firstLine="566"/>
      </w:pPr>
      <w:r>
        <w:rPr/>
        <w:t>В пилотном исследовании внутренняя согласованность для всех утверждений составила .91.</w:t>
      </w:r>
    </w:p>
    <w:p>
      <w:pPr>
        <w:pStyle w:val="Heading4"/>
        <w:ind w:right="568" w:firstLine="566"/>
      </w:pPr>
      <w:r>
        <w:rPr/>
        <w:t>Корреляционные связи с соответствующими школьными оценками и самооценкой способностей подтвердили конвергентную и дискриминантную валидность</w:t>
      </w:r>
      <w:r>
        <w:rPr>
          <w:spacing w:val="-9"/>
        </w:rPr>
        <w:t> </w:t>
      </w:r>
      <w:r>
        <w:rPr/>
        <w:t>инструмента.</w:t>
      </w:r>
      <w:r>
        <w:rPr>
          <w:spacing w:val="-8"/>
        </w:rPr>
        <w:t> </w:t>
      </w:r>
      <w:r>
        <w:rPr/>
        <w:t>Кроме</w:t>
      </w:r>
      <w:r>
        <w:rPr>
          <w:spacing w:val="-8"/>
        </w:rPr>
        <w:t> </w:t>
      </w:r>
      <w:r>
        <w:rPr/>
        <w:t>того,</w:t>
      </w:r>
      <w:r>
        <w:rPr>
          <w:spacing w:val="-8"/>
        </w:rPr>
        <w:t> </w:t>
      </w:r>
      <w:r>
        <w:rPr/>
        <w:t>второе</w:t>
      </w:r>
      <w:r>
        <w:rPr>
          <w:spacing w:val="-8"/>
        </w:rPr>
        <w:t> </w:t>
      </w:r>
      <w:r>
        <w:rPr/>
        <w:t>исследование</w:t>
      </w:r>
      <w:r>
        <w:rPr>
          <w:spacing w:val="-8"/>
        </w:rPr>
        <w:t> </w:t>
      </w:r>
      <w:r>
        <w:rPr/>
        <w:t>(N</w:t>
      </w:r>
      <w:r>
        <w:rPr>
          <w:spacing w:val="-9"/>
        </w:rPr>
        <w:t> </w:t>
      </w:r>
      <w:r>
        <w:rPr/>
        <w:t>=</w:t>
      </w:r>
      <w:r>
        <w:rPr>
          <w:spacing w:val="-8"/>
        </w:rPr>
        <w:t> </w:t>
      </w:r>
      <w:r>
        <w:rPr/>
        <w:t>243,</w:t>
      </w:r>
      <w:r>
        <w:rPr>
          <w:spacing w:val="-8"/>
        </w:rPr>
        <w:t> </w:t>
      </w:r>
      <w:r>
        <w:rPr/>
        <w:t>11</w:t>
      </w:r>
      <w:r>
        <w:rPr>
          <w:spacing w:val="-7"/>
        </w:rPr>
        <w:t> </w:t>
      </w:r>
      <w:r>
        <w:rPr/>
        <w:t>класс) показало относительную важность субъективных ценностей как предикторов выбора школьных предметов (</w:t>
      </w:r>
      <w:r>
        <w:rPr>
          <w:i/>
        </w:rPr>
        <w:t>Steinmayr </w:t>
      </w:r>
      <w:r>
        <w:rPr/>
        <w:t>et al., 2019).</w:t>
      </w:r>
    </w:p>
    <w:p>
      <w:pPr>
        <w:pStyle w:val="Heading4"/>
        <w:ind w:right="567" w:firstLine="566"/>
      </w:pPr>
      <w:r>
        <w:rPr/>
        <w:t>Сегодня </w:t>
      </w:r>
      <w:r>
        <w:rPr>
          <w:i/>
        </w:rPr>
        <w:t>SESSW </w:t>
      </w:r>
      <w:r>
        <w:rPr/>
        <w:t>— общепринятый в Германии инструмент для определения</w:t>
      </w:r>
      <w:r>
        <w:rPr>
          <w:spacing w:val="-2"/>
        </w:rPr>
        <w:t> </w:t>
      </w:r>
      <w:r>
        <w:rPr/>
        <w:t>отношения старшеклассников</w:t>
      </w:r>
      <w:r>
        <w:rPr>
          <w:spacing w:val="-1"/>
        </w:rPr>
        <w:t> </w:t>
      </w:r>
      <w:r>
        <w:rPr/>
        <w:t>к школе,</w:t>
      </w:r>
      <w:r>
        <w:rPr>
          <w:spacing w:val="-1"/>
        </w:rPr>
        <w:t> </w:t>
      </w:r>
      <w:r>
        <w:rPr/>
        <w:t>внутренней мотивации и уровня их притязаний.</w:t>
      </w:r>
    </w:p>
    <w:p>
      <w:pPr>
        <w:pStyle w:val="Heading4"/>
        <w:spacing w:before="227"/>
        <w:ind w:right="564"/>
      </w:pPr>
      <w:r>
        <w:rPr/>
        <w:t>В 2022 г. по результатам апробации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w:t>
      </w:r>
      <w:r>
        <w:rPr>
          <w:spacing w:val="-6"/>
        </w:rPr>
        <w:t> </w:t>
      </w:r>
      <w:r>
        <w:rPr/>
        <w:t>на</w:t>
      </w:r>
      <w:r>
        <w:rPr>
          <w:spacing w:val="-5"/>
        </w:rPr>
        <w:t> </w:t>
      </w:r>
      <w:r>
        <w:rPr/>
        <w:t>основании</w:t>
      </w:r>
      <w:r>
        <w:rPr>
          <w:spacing w:val="-5"/>
        </w:rPr>
        <w:t> </w:t>
      </w:r>
      <w:r>
        <w:rPr/>
        <w:t>статистического</w:t>
      </w:r>
      <w:r>
        <w:rPr>
          <w:spacing w:val="-4"/>
        </w:rPr>
        <w:t> </w:t>
      </w:r>
      <w:r>
        <w:rPr/>
        <w:t>анализа</w:t>
      </w:r>
      <w:r>
        <w:rPr>
          <w:spacing w:val="-6"/>
        </w:rPr>
        <w:t> </w:t>
      </w:r>
      <w:r>
        <w:rPr/>
        <w:t>распределения</w:t>
      </w:r>
      <w:r>
        <w:rPr>
          <w:spacing w:val="-8"/>
        </w:rPr>
        <w:t> </w:t>
      </w:r>
      <w:r>
        <w:rPr/>
        <w:t>показателей у детей — иностранных граждан, выделены следующие нормативы.</w:t>
      </w:r>
    </w:p>
    <w:p>
      <w:pPr>
        <w:pStyle w:val="Heading4"/>
        <w:spacing w:after="0"/>
        <w:sectPr>
          <w:pgSz w:w="11910" w:h="16840"/>
          <w:pgMar w:header="0" w:footer="970" w:top="1040" w:bottom="1220" w:left="1417" w:right="283"/>
        </w:sectPr>
      </w:pPr>
    </w:p>
    <w:p>
      <w:pPr>
        <w:pStyle w:val="Heading3"/>
        <w:ind w:left="0" w:right="562"/>
        <w:jc w:val="right"/>
      </w:pPr>
      <w:r>
        <w:rPr/>
        <w:t>Таблица</w:t>
      </w:r>
      <w:r>
        <w:rPr>
          <w:spacing w:val="-6"/>
        </w:rPr>
        <w:t> </w:t>
      </w:r>
      <w:r>
        <w:rPr>
          <w:spacing w:val="-5"/>
        </w:rPr>
        <w:t>17</w:t>
      </w:r>
    </w:p>
    <w:p>
      <w:pPr>
        <w:spacing w:line="235" w:lineRule="auto" w:before="246"/>
        <w:ind w:left="1021" w:right="0" w:firstLine="249"/>
        <w:jc w:val="left"/>
        <w:rPr>
          <w:b/>
          <w:sz w:val="28"/>
        </w:rPr>
      </w:pPr>
      <w:r>
        <w:rPr>
          <w:b/>
          <w:sz w:val="28"/>
        </w:rPr>
        <w:t>Пересмотренные критерии оценки по шкале на выборках несовершеннолетних</w:t>
      </w:r>
      <w:r>
        <w:rPr>
          <w:b/>
          <w:spacing w:val="-5"/>
          <w:sz w:val="28"/>
        </w:rPr>
        <w:t> </w:t>
      </w:r>
      <w:r>
        <w:rPr>
          <w:b/>
          <w:sz w:val="28"/>
        </w:rPr>
        <w:t>детей</w:t>
      </w:r>
      <w:r>
        <w:rPr>
          <w:b/>
          <w:spacing w:val="-5"/>
          <w:sz w:val="28"/>
        </w:rPr>
        <w:t> </w:t>
      </w:r>
      <w:r>
        <w:rPr>
          <w:sz w:val="28"/>
        </w:rPr>
        <w:t>—</w:t>
      </w:r>
      <w:r>
        <w:rPr>
          <w:spacing w:val="-7"/>
          <w:sz w:val="28"/>
        </w:rPr>
        <w:t> </w:t>
      </w:r>
      <w:r>
        <w:rPr>
          <w:b/>
          <w:sz w:val="28"/>
        </w:rPr>
        <w:t>иностранных</w:t>
      </w:r>
      <w:r>
        <w:rPr>
          <w:b/>
          <w:spacing w:val="-5"/>
          <w:sz w:val="28"/>
        </w:rPr>
        <w:t> </w:t>
      </w:r>
      <w:r>
        <w:rPr>
          <w:b/>
          <w:sz w:val="28"/>
        </w:rPr>
        <w:t>граждан</w:t>
      </w:r>
      <w:r>
        <w:rPr>
          <w:b/>
          <w:spacing w:val="-6"/>
          <w:sz w:val="28"/>
        </w:rPr>
        <w:t> </w:t>
      </w:r>
      <w:r>
        <w:rPr>
          <w:b/>
          <w:sz w:val="28"/>
        </w:rPr>
        <w:t>в</w:t>
      </w:r>
      <w:r>
        <w:rPr>
          <w:b/>
          <w:spacing w:val="-7"/>
          <w:sz w:val="28"/>
        </w:rPr>
        <w:t> </w:t>
      </w:r>
      <w:r>
        <w:rPr>
          <w:b/>
          <w:sz w:val="28"/>
        </w:rPr>
        <w:t>России</w:t>
      </w:r>
    </w:p>
    <w:p>
      <w:pPr>
        <w:pStyle w:val="BodyText"/>
        <w:ind w:left="0" w:right="0" w:firstLine="0"/>
        <w:jc w:val="left"/>
        <w:rPr>
          <w:b/>
        </w:rPr>
      </w:pPr>
    </w:p>
    <w:p>
      <w:pPr>
        <w:pStyle w:val="BodyText"/>
        <w:spacing w:before="110"/>
        <w:ind w:left="0" w:right="0" w:firstLine="0"/>
        <w:jc w:val="left"/>
        <w:rPr>
          <w:b/>
        </w:rPr>
      </w:pPr>
    </w:p>
    <w:tbl>
      <w:tblPr>
        <w:tblW w:w="0" w:type="auto"/>
        <w:jc w:val="left"/>
        <w:tblInd w:w="3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34"/>
        <w:gridCol w:w="1134"/>
        <w:gridCol w:w="1277"/>
        <w:gridCol w:w="1277"/>
        <w:gridCol w:w="1274"/>
        <w:gridCol w:w="1277"/>
        <w:gridCol w:w="1418"/>
      </w:tblGrid>
      <w:tr>
        <w:trPr>
          <w:trHeight w:val="716" w:hRule="atLeast"/>
        </w:trPr>
        <w:tc>
          <w:tcPr>
            <w:tcW w:w="1834" w:type="dxa"/>
            <w:vMerge w:val="restart"/>
          </w:tcPr>
          <w:p>
            <w:pPr>
              <w:pStyle w:val="TableParagraph"/>
              <w:spacing w:before="61"/>
              <w:rPr>
                <w:b/>
                <w:sz w:val="24"/>
              </w:rPr>
            </w:pPr>
          </w:p>
          <w:p>
            <w:pPr>
              <w:pStyle w:val="TableParagraph"/>
              <w:ind w:left="100"/>
              <w:rPr>
                <w:b/>
                <w:sz w:val="24"/>
              </w:rPr>
            </w:pPr>
            <w:r>
              <w:rPr>
                <w:b/>
                <w:spacing w:val="-2"/>
                <w:sz w:val="24"/>
              </w:rPr>
              <w:t>Шкала</w:t>
            </w:r>
          </w:p>
        </w:tc>
        <w:tc>
          <w:tcPr>
            <w:tcW w:w="3688" w:type="dxa"/>
            <w:gridSpan w:val="3"/>
          </w:tcPr>
          <w:p>
            <w:pPr>
              <w:pStyle w:val="TableParagraph"/>
              <w:spacing w:before="61"/>
              <w:rPr>
                <w:b/>
                <w:sz w:val="24"/>
              </w:rPr>
            </w:pPr>
          </w:p>
          <w:p>
            <w:pPr>
              <w:pStyle w:val="TableParagraph"/>
              <w:ind w:left="818"/>
              <w:rPr>
                <w:b/>
                <w:sz w:val="24"/>
              </w:rPr>
            </w:pPr>
            <w:r>
              <w:rPr>
                <w:b/>
                <w:sz w:val="24"/>
              </w:rPr>
              <w:t>Мальчики</w:t>
            </w:r>
            <w:r>
              <w:rPr>
                <w:b/>
                <w:spacing w:val="-2"/>
                <w:sz w:val="24"/>
              </w:rPr>
              <w:t> (N=196)</w:t>
            </w:r>
          </w:p>
        </w:tc>
        <w:tc>
          <w:tcPr>
            <w:tcW w:w="3969" w:type="dxa"/>
            <w:gridSpan w:val="3"/>
          </w:tcPr>
          <w:p>
            <w:pPr>
              <w:pStyle w:val="TableParagraph"/>
              <w:spacing w:before="61"/>
              <w:rPr>
                <w:b/>
                <w:sz w:val="24"/>
              </w:rPr>
            </w:pPr>
          </w:p>
          <w:p>
            <w:pPr>
              <w:pStyle w:val="TableParagraph"/>
              <w:ind w:left="1068"/>
              <w:rPr>
                <w:b/>
                <w:sz w:val="24"/>
              </w:rPr>
            </w:pPr>
            <w:r>
              <w:rPr>
                <w:b/>
                <w:sz w:val="24"/>
              </w:rPr>
              <w:t>Девочки</w:t>
            </w:r>
            <w:r>
              <w:rPr>
                <w:b/>
                <w:spacing w:val="-2"/>
                <w:sz w:val="24"/>
              </w:rPr>
              <w:t> (N=144)</w:t>
            </w:r>
          </w:p>
        </w:tc>
      </w:tr>
      <w:tr>
        <w:trPr>
          <w:trHeight w:val="1267" w:hRule="atLeast"/>
        </w:trPr>
        <w:tc>
          <w:tcPr>
            <w:tcW w:w="1834" w:type="dxa"/>
            <w:vMerge/>
            <w:tcBorders>
              <w:top w:val="nil"/>
            </w:tcBorders>
          </w:tcPr>
          <w:p>
            <w:pPr>
              <w:rPr>
                <w:sz w:val="2"/>
                <w:szCs w:val="2"/>
              </w:rPr>
            </w:pPr>
          </w:p>
        </w:tc>
        <w:tc>
          <w:tcPr>
            <w:tcW w:w="1134" w:type="dxa"/>
          </w:tcPr>
          <w:p>
            <w:pPr>
              <w:pStyle w:val="TableParagraph"/>
              <w:spacing w:before="61"/>
              <w:rPr>
                <w:b/>
                <w:sz w:val="24"/>
              </w:rPr>
            </w:pPr>
          </w:p>
          <w:p>
            <w:pPr>
              <w:pStyle w:val="TableParagraph"/>
              <w:ind w:left="152" w:right="138" w:firstLine="3"/>
              <w:jc w:val="center"/>
              <w:rPr>
                <w:b/>
                <w:sz w:val="24"/>
              </w:rPr>
            </w:pPr>
            <w:r>
              <w:rPr>
                <w:b/>
                <w:spacing w:val="-4"/>
                <w:sz w:val="24"/>
              </w:rPr>
              <w:t>Ниже </w:t>
            </w:r>
            <w:r>
              <w:rPr>
                <w:b/>
                <w:spacing w:val="-2"/>
                <w:sz w:val="24"/>
              </w:rPr>
              <w:t>среднег </w:t>
            </w:r>
            <w:r>
              <w:rPr>
                <w:b/>
                <w:spacing w:val="-10"/>
                <w:sz w:val="24"/>
              </w:rPr>
              <w:t>о</w:t>
            </w:r>
          </w:p>
        </w:tc>
        <w:tc>
          <w:tcPr>
            <w:tcW w:w="1277" w:type="dxa"/>
          </w:tcPr>
          <w:p>
            <w:pPr>
              <w:pStyle w:val="TableParagraph"/>
              <w:spacing w:before="61"/>
              <w:rPr>
                <w:b/>
                <w:sz w:val="24"/>
              </w:rPr>
            </w:pPr>
          </w:p>
          <w:p>
            <w:pPr>
              <w:pStyle w:val="TableParagraph"/>
              <w:ind w:left="161"/>
              <w:rPr>
                <w:b/>
                <w:sz w:val="24"/>
              </w:rPr>
            </w:pPr>
            <w:r>
              <w:rPr>
                <w:b/>
                <w:spacing w:val="-2"/>
                <w:sz w:val="24"/>
              </w:rPr>
              <w:t>Средний</w:t>
            </w:r>
          </w:p>
        </w:tc>
        <w:tc>
          <w:tcPr>
            <w:tcW w:w="1277" w:type="dxa"/>
          </w:tcPr>
          <w:p>
            <w:pPr>
              <w:pStyle w:val="TableParagraph"/>
              <w:spacing w:before="61"/>
              <w:rPr>
                <w:b/>
                <w:sz w:val="24"/>
              </w:rPr>
            </w:pPr>
          </w:p>
          <w:p>
            <w:pPr>
              <w:pStyle w:val="TableParagraph"/>
              <w:ind w:left="163" w:right="148" w:firstLine="141"/>
              <w:rPr>
                <w:b/>
                <w:sz w:val="24"/>
              </w:rPr>
            </w:pPr>
            <w:r>
              <w:rPr>
                <w:b/>
                <w:spacing w:val="-4"/>
                <w:sz w:val="24"/>
              </w:rPr>
              <w:t>Выше </w:t>
            </w:r>
            <w:r>
              <w:rPr>
                <w:b/>
                <w:spacing w:val="-2"/>
                <w:sz w:val="24"/>
              </w:rPr>
              <w:t>среднего</w:t>
            </w:r>
          </w:p>
        </w:tc>
        <w:tc>
          <w:tcPr>
            <w:tcW w:w="1274" w:type="dxa"/>
          </w:tcPr>
          <w:p>
            <w:pPr>
              <w:pStyle w:val="TableParagraph"/>
              <w:spacing w:before="61"/>
              <w:rPr>
                <w:b/>
                <w:sz w:val="24"/>
              </w:rPr>
            </w:pPr>
          </w:p>
          <w:p>
            <w:pPr>
              <w:pStyle w:val="TableParagraph"/>
              <w:ind w:left="164" w:right="144" w:firstLine="168"/>
              <w:rPr>
                <w:b/>
                <w:sz w:val="24"/>
              </w:rPr>
            </w:pPr>
            <w:r>
              <w:rPr>
                <w:b/>
                <w:spacing w:val="-4"/>
                <w:sz w:val="24"/>
              </w:rPr>
              <w:t>Ниже </w:t>
            </w:r>
            <w:r>
              <w:rPr>
                <w:b/>
                <w:spacing w:val="-2"/>
                <w:sz w:val="24"/>
              </w:rPr>
              <w:t>среднего</w:t>
            </w:r>
          </w:p>
        </w:tc>
        <w:tc>
          <w:tcPr>
            <w:tcW w:w="1277" w:type="dxa"/>
          </w:tcPr>
          <w:p>
            <w:pPr>
              <w:pStyle w:val="TableParagraph"/>
              <w:spacing w:before="61"/>
              <w:rPr>
                <w:b/>
                <w:sz w:val="24"/>
              </w:rPr>
            </w:pPr>
          </w:p>
          <w:p>
            <w:pPr>
              <w:pStyle w:val="TableParagraph"/>
              <w:ind w:left="159"/>
              <w:rPr>
                <w:b/>
                <w:sz w:val="24"/>
              </w:rPr>
            </w:pPr>
            <w:r>
              <w:rPr>
                <w:b/>
                <w:spacing w:val="-2"/>
                <w:sz w:val="24"/>
              </w:rPr>
              <w:t>Средний</w:t>
            </w:r>
          </w:p>
        </w:tc>
        <w:tc>
          <w:tcPr>
            <w:tcW w:w="1418" w:type="dxa"/>
          </w:tcPr>
          <w:p>
            <w:pPr>
              <w:pStyle w:val="TableParagraph"/>
              <w:spacing w:before="61"/>
              <w:rPr>
                <w:b/>
                <w:sz w:val="24"/>
              </w:rPr>
            </w:pPr>
          </w:p>
          <w:p>
            <w:pPr>
              <w:pStyle w:val="TableParagraph"/>
              <w:ind w:left="234" w:right="218" w:firstLine="144"/>
              <w:rPr>
                <w:b/>
                <w:sz w:val="24"/>
              </w:rPr>
            </w:pPr>
            <w:r>
              <w:rPr>
                <w:b/>
                <w:spacing w:val="-4"/>
                <w:sz w:val="24"/>
              </w:rPr>
              <w:t>Выше </w:t>
            </w:r>
            <w:r>
              <w:rPr>
                <w:b/>
                <w:spacing w:val="-2"/>
                <w:sz w:val="24"/>
              </w:rPr>
              <w:t>среднего</w:t>
            </w:r>
          </w:p>
        </w:tc>
      </w:tr>
      <w:tr>
        <w:trPr>
          <w:trHeight w:val="1028" w:hRule="atLeast"/>
        </w:trPr>
        <w:tc>
          <w:tcPr>
            <w:tcW w:w="1834" w:type="dxa"/>
          </w:tcPr>
          <w:p>
            <w:pPr>
              <w:pStyle w:val="TableParagraph"/>
              <w:spacing w:before="92"/>
              <w:ind w:left="100" w:right="503"/>
              <w:rPr>
                <w:sz w:val="24"/>
              </w:rPr>
            </w:pPr>
            <w:r>
              <w:rPr>
                <w:spacing w:val="-2"/>
                <w:sz w:val="24"/>
              </w:rPr>
              <w:t>Шкала отношения </w:t>
            </w:r>
            <w:r>
              <w:rPr>
                <w:sz w:val="24"/>
              </w:rPr>
              <w:t>к школе**</w:t>
            </w:r>
          </w:p>
        </w:tc>
        <w:tc>
          <w:tcPr>
            <w:tcW w:w="1134" w:type="dxa"/>
          </w:tcPr>
          <w:p>
            <w:pPr>
              <w:pStyle w:val="TableParagraph"/>
              <w:spacing w:before="56"/>
              <w:rPr>
                <w:b/>
                <w:sz w:val="24"/>
              </w:rPr>
            </w:pPr>
          </w:p>
          <w:p>
            <w:pPr>
              <w:pStyle w:val="TableParagraph"/>
              <w:ind w:left="13" w:right="1"/>
              <w:jc w:val="center"/>
              <w:rPr>
                <w:sz w:val="24"/>
              </w:rPr>
            </w:pPr>
            <w:r>
              <w:rPr>
                <w:sz w:val="24"/>
              </w:rPr>
              <w:t>&lt;</w:t>
            </w:r>
            <w:r>
              <w:rPr>
                <w:spacing w:val="-1"/>
                <w:sz w:val="24"/>
              </w:rPr>
              <w:t> </w:t>
            </w:r>
            <w:r>
              <w:rPr>
                <w:spacing w:val="-4"/>
                <w:sz w:val="24"/>
              </w:rPr>
              <w:t>17.85</w:t>
            </w:r>
          </w:p>
        </w:tc>
        <w:tc>
          <w:tcPr>
            <w:tcW w:w="1277" w:type="dxa"/>
          </w:tcPr>
          <w:p>
            <w:pPr>
              <w:pStyle w:val="TableParagraph"/>
              <w:spacing w:before="56"/>
              <w:rPr>
                <w:b/>
                <w:sz w:val="24"/>
              </w:rPr>
            </w:pPr>
          </w:p>
          <w:p>
            <w:pPr>
              <w:pStyle w:val="TableParagraph"/>
              <w:ind w:left="276"/>
              <w:rPr>
                <w:sz w:val="24"/>
              </w:rPr>
            </w:pPr>
            <w:r>
              <w:rPr>
                <w:sz w:val="24"/>
              </w:rPr>
              <w:t>17.85 </w:t>
            </w:r>
            <w:r>
              <w:rPr>
                <w:spacing w:val="-10"/>
                <w:sz w:val="24"/>
              </w:rPr>
              <w:t>–</w:t>
            </w:r>
          </w:p>
          <w:p>
            <w:pPr>
              <w:pStyle w:val="TableParagraph"/>
              <w:ind w:left="365"/>
              <w:rPr>
                <w:sz w:val="24"/>
              </w:rPr>
            </w:pPr>
            <w:r>
              <w:rPr>
                <w:spacing w:val="-2"/>
                <w:sz w:val="24"/>
              </w:rPr>
              <w:t>34.01</w:t>
            </w:r>
          </w:p>
        </w:tc>
        <w:tc>
          <w:tcPr>
            <w:tcW w:w="1277" w:type="dxa"/>
          </w:tcPr>
          <w:p>
            <w:pPr>
              <w:pStyle w:val="TableParagraph"/>
              <w:spacing w:before="56"/>
              <w:rPr>
                <w:b/>
                <w:sz w:val="24"/>
              </w:rPr>
            </w:pPr>
          </w:p>
          <w:p>
            <w:pPr>
              <w:pStyle w:val="TableParagraph"/>
              <w:ind w:left="11"/>
              <w:jc w:val="center"/>
              <w:rPr>
                <w:sz w:val="24"/>
              </w:rPr>
            </w:pPr>
            <w:r>
              <w:rPr>
                <w:sz w:val="24"/>
              </w:rPr>
              <w:t>&gt;</w:t>
            </w:r>
            <w:r>
              <w:rPr>
                <w:spacing w:val="-1"/>
                <w:sz w:val="24"/>
              </w:rPr>
              <w:t> </w:t>
            </w:r>
            <w:r>
              <w:rPr>
                <w:spacing w:val="-4"/>
                <w:sz w:val="24"/>
              </w:rPr>
              <w:t>34.07</w:t>
            </w:r>
          </w:p>
        </w:tc>
        <w:tc>
          <w:tcPr>
            <w:tcW w:w="1274" w:type="dxa"/>
          </w:tcPr>
          <w:p>
            <w:pPr>
              <w:pStyle w:val="TableParagraph"/>
              <w:spacing w:before="56"/>
              <w:rPr>
                <w:b/>
                <w:sz w:val="24"/>
              </w:rPr>
            </w:pPr>
          </w:p>
          <w:p>
            <w:pPr>
              <w:pStyle w:val="TableParagraph"/>
              <w:ind w:left="15"/>
              <w:jc w:val="center"/>
              <w:rPr>
                <w:sz w:val="24"/>
              </w:rPr>
            </w:pPr>
            <w:r>
              <w:rPr>
                <w:sz w:val="24"/>
              </w:rPr>
              <w:t>&lt;</w:t>
            </w:r>
            <w:r>
              <w:rPr>
                <w:spacing w:val="-1"/>
                <w:sz w:val="24"/>
              </w:rPr>
              <w:t> </w:t>
            </w:r>
            <w:r>
              <w:rPr>
                <w:spacing w:val="-4"/>
                <w:sz w:val="24"/>
              </w:rPr>
              <w:t>21.52</w:t>
            </w:r>
          </w:p>
        </w:tc>
        <w:tc>
          <w:tcPr>
            <w:tcW w:w="1277" w:type="dxa"/>
          </w:tcPr>
          <w:p>
            <w:pPr>
              <w:pStyle w:val="TableParagraph"/>
              <w:spacing w:before="56"/>
              <w:rPr>
                <w:b/>
                <w:sz w:val="24"/>
              </w:rPr>
            </w:pPr>
          </w:p>
          <w:p>
            <w:pPr>
              <w:pStyle w:val="TableParagraph"/>
              <w:ind w:left="274"/>
              <w:rPr>
                <w:sz w:val="24"/>
              </w:rPr>
            </w:pPr>
            <w:r>
              <w:rPr>
                <w:sz w:val="24"/>
              </w:rPr>
              <w:t>21.52 </w:t>
            </w:r>
            <w:r>
              <w:rPr>
                <w:spacing w:val="-10"/>
                <w:sz w:val="24"/>
              </w:rPr>
              <w:t>–</w:t>
            </w:r>
          </w:p>
          <w:p>
            <w:pPr>
              <w:pStyle w:val="TableParagraph"/>
              <w:ind w:left="364"/>
              <w:rPr>
                <w:sz w:val="24"/>
              </w:rPr>
            </w:pPr>
            <w:r>
              <w:rPr>
                <w:spacing w:val="-2"/>
                <w:sz w:val="24"/>
              </w:rPr>
              <w:t>35.18</w:t>
            </w:r>
          </w:p>
        </w:tc>
        <w:tc>
          <w:tcPr>
            <w:tcW w:w="1418" w:type="dxa"/>
          </w:tcPr>
          <w:p>
            <w:pPr>
              <w:pStyle w:val="TableParagraph"/>
              <w:spacing w:before="56"/>
              <w:rPr>
                <w:b/>
                <w:sz w:val="24"/>
              </w:rPr>
            </w:pPr>
          </w:p>
          <w:p>
            <w:pPr>
              <w:pStyle w:val="TableParagraph"/>
              <w:ind w:left="11"/>
              <w:jc w:val="center"/>
              <w:rPr>
                <w:sz w:val="24"/>
              </w:rPr>
            </w:pPr>
            <w:r>
              <w:rPr>
                <w:sz w:val="24"/>
              </w:rPr>
              <w:t>&gt;</w:t>
            </w:r>
            <w:r>
              <w:rPr>
                <w:spacing w:val="-1"/>
                <w:sz w:val="24"/>
              </w:rPr>
              <w:t> </w:t>
            </w:r>
            <w:r>
              <w:rPr>
                <w:spacing w:val="-4"/>
                <w:sz w:val="24"/>
              </w:rPr>
              <w:t>35.18</w:t>
            </w:r>
          </w:p>
        </w:tc>
      </w:tr>
      <w:tr>
        <w:trPr>
          <w:trHeight w:val="992" w:hRule="atLeast"/>
        </w:trPr>
        <w:tc>
          <w:tcPr>
            <w:tcW w:w="1834" w:type="dxa"/>
          </w:tcPr>
          <w:p>
            <w:pPr>
              <w:pStyle w:val="TableParagraph"/>
              <w:spacing w:before="56"/>
              <w:rPr>
                <w:b/>
                <w:sz w:val="24"/>
              </w:rPr>
            </w:pPr>
          </w:p>
          <w:p>
            <w:pPr>
              <w:pStyle w:val="TableParagraph"/>
              <w:ind w:left="100"/>
              <w:rPr>
                <w:sz w:val="24"/>
              </w:rPr>
            </w:pPr>
            <w:r>
              <w:rPr>
                <w:spacing w:val="-2"/>
                <w:sz w:val="24"/>
              </w:rPr>
              <w:t>Внутренние ценности*</w:t>
            </w:r>
          </w:p>
        </w:tc>
        <w:tc>
          <w:tcPr>
            <w:tcW w:w="1134" w:type="dxa"/>
          </w:tcPr>
          <w:p>
            <w:pPr>
              <w:pStyle w:val="TableParagraph"/>
              <w:spacing w:before="56"/>
              <w:rPr>
                <w:b/>
                <w:sz w:val="24"/>
              </w:rPr>
            </w:pPr>
          </w:p>
          <w:p>
            <w:pPr>
              <w:pStyle w:val="TableParagraph"/>
              <w:ind w:left="13"/>
              <w:jc w:val="center"/>
              <w:rPr>
                <w:sz w:val="24"/>
              </w:rPr>
            </w:pPr>
            <w:r>
              <w:rPr>
                <w:sz w:val="24"/>
              </w:rPr>
              <w:t>&lt;</w:t>
            </w:r>
            <w:r>
              <w:rPr>
                <w:spacing w:val="-1"/>
                <w:sz w:val="24"/>
              </w:rPr>
              <w:t> </w:t>
            </w:r>
            <w:r>
              <w:rPr>
                <w:spacing w:val="-4"/>
                <w:sz w:val="24"/>
              </w:rPr>
              <w:t>5.76</w:t>
            </w:r>
          </w:p>
        </w:tc>
        <w:tc>
          <w:tcPr>
            <w:tcW w:w="1277" w:type="dxa"/>
          </w:tcPr>
          <w:p>
            <w:pPr>
              <w:pStyle w:val="TableParagraph"/>
              <w:spacing w:before="56"/>
              <w:rPr>
                <w:b/>
                <w:sz w:val="24"/>
              </w:rPr>
            </w:pPr>
          </w:p>
          <w:p>
            <w:pPr>
              <w:pStyle w:val="TableParagraph"/>
              <w:ind w:left="336"/>
              <w:rPr>
                <w:sz w:val="24"/>
              </w:rPr>
            </w:pPr>
            <w:r>
              <w:rPr>
                <w:sz w:val="24"/>
              </w:rPr>
              <w:t>5.76 </w:t>
            </w:r>
            <w:r>
              <w:rPr>
                <w:spacing w:val="-10"/>
                <w:sz w:val="24"/>
              </w:rPr>
              <w:t>–</w:t>
            </w:r>
          </w:p>
          <w:p>
            <w:pPr>
              <w:pStyle w:val="TableParagraph"/>
              <w:ind w:left="365"/>
              <w:rPr>
                <w:sz w:val="24"/>
              </w:rPr>
            </w:pPr>
            <w:r>
              <w:rPr>
                <w:spacing w:val="-2"/>
                <w:sz w:val="24"/>
              </w:rPr>
              <w:t>11.46</w:t>
            </w:r>
          </w:p>
        </w:tc>
        <w:tc>
          <w:tcPr>
            <w:tcW w:w="1277" w:type="dxa"/>
          </w:tcPr>
          <w:p>
            <w:pPr>
              <w:pStyle w:val="TableParagraph"/>
              <w:spacing w:before="56"/>
              <w:rPr>
                <w:b/>
                <w:sz w:val="24"/>
              </w:rPr>
            </w:pPr>
          </w:p>
          <w:p>
            <w:pPr>
              <w:pStyle w:val="TableParagraph"/>
              <w:ind w:left="11"/>
              <w:jc w:val="center"/>
              <w:rPr>
                <w:sz w:val="24"/>
              </w:rPr>
            </w:pPr>
            <w:r>
              <w:rPr>
                <w:sz w:val="24"/>
              </w:rPr>
              <w:t>&gt;</w:t>
            </w:r>
            <w:r>
              <w:rPr>
                <w:spacing w:val="-1"/>
                <w:sz w:val="24"/>
              </w:rPr>
              <w:t> </w:t>
            </w:r>
            <w:r>
              <w:rPr>
                <w:spacing w:val="-4"/>
                <w:sz w:val="24"/>
              </w:rPr>
              <w:t>11.46</w:t>
            </w:r>
          </w:p>
        </w:tc>
        <w:tc>
          <w:tcPr>
            <w:tcW w:w="1274" w:type="dxa"/>
          </w:tcPr>
          <w:p>
            <w:pPr>
              <w:pStyle w:val="TableParagraph"/>
              <w:spacing w:before="56"/>
              <w:rPr>
                <w:b/>
                <w:sz w:val="24"/>
              </w:rPr>
            </w:pPr>
          </w:p>
          <w:p>
            <w:pPr>
              <w:pStyle w:val="TableParagraph"/>
              <w:ind w:left="15"/>
              <w:jc w:val="center"/>
              <w:rPr>
                <w:sz w:val="24"/>
              </w:rPr>
            </w:pPr>
            <w:r>
              <w:rPr>
                <w:sz w:val="24"/>
              </w:rPr>
              <w:t>&lt;</w:t>
            </w:r>
            <w:r>
              <w:rPr>
                <w:spacing w:val="-1"/>
                <w:sz w:val="24"/>
              </w:rPr>
              <w:t> </w:t>
            </w:r>
            <w:r>
              <w:rPr>
                <w:spacing w:val="-4"/>
                <w:sz w:val="24"/>
              </w:rPr>
              <w:t>6.65</w:t>
            </w:r>
          </w:p>
        </w:tc>
        <w:tc>
          <w:tcPr>
            <w:tcW w:w="1277" w:type="dxa"/>
          </w:tcPr>
          <w:p>
            <w:pPr>
              <w:pStyle w:val="TableParagraph"/>
              <w:spacing w:before="56"/>
              <w:rPr>
                <w:b/>
                <w:sz w:val="24"/>
              </w:rPr>
            </w:pPr>
          </w:p>
          <w:p>
            <w:pPr>
              <w:pStyle w:val="TableParagraph"/>
              <w:ind w:left="334"/>
              <w:rPr>
                <w:sz w:val="24"/>
              </w:rPr>
            </w:pPr>
            <w:r>
              <w:rPr>
                <w:sz w:val="24"/>
              </w:rPr>
              <w:t>6.65 </w:t>
            </w:r>
            <w:r>
              <w:rPr>
                <w:spacing w:val="-10"/>
                <w:sz w:val="24"/>
              </w:rPr>
              <w:t>–</w:t>
            </w:r>
          </w:p>
          <w:p>
            <w:pPr>
              <w:pStyle w:val="TableParagraph"/>
              <w:ind w:left="364"/>
              <w:rPr>
                <w:sz w:val="24"/>
              </w:rPr>
            </w:pPr>
            <w:r>
              <w:rPr>
                <w:spacing w:val="-2"/>
                <w:sz w:val="24"/>
              </w:rPr>
              <w:t>11.93</w:t>
            </w:r>
          </w:p>
        </w:tc>
        <w:tc>
          <w:tcPr>
            <w:tcW w:w="1418" w:type="dxa"/>
          </w:tcPr>
          <w:p>
            <w:pPr>
              <w:pStyle w:val="TableParagraph"/>
              <w:spacing w:before="56"/>
              <w:rPr>
                <w:b/>
                <w:sz w:val="24"/>
              </w:rPr>
            </w:pPr>
          </w:p>
          <w:p>
            <w:pPr>
              <w:pStyle w:val="TableParagraph"/>
              <w:ind w:left="11"/>
              <w:jc w:val="center"/>
              <w:rPr>
                <w:sz w:val="24"/>
              </w:rPr>
            </w:pPr>
            <w:r>
              <w:rPr>
                <w:sz w:val="24"/>
              </w:rPr>
              <w:t>&gt;</w:t>
            </w:r>
            <w:r>
              <w:rPr>
                <w:spacing w:val="-1"/>
                <w:sz w:val="24"/>
              </w:rPr>
              <w:t> </w:t>
            </w:r>
            <w:r>
              <w:rPr>
                <w:spacing w:val="-4"/>
                <w:sz w:val="24"/>
              </w:rPr>
              <w:t>11.93</w:t>
            </w:r>
          </w:p>
        </w:tc>
      </w:tr>
      <w:tr>
        <w:trPr>
          <w:trHeight w:val="990" w:hRule="atLeast"/>
        </w:trPr>
        <w:tc>
          <w:tcPr>
            <w:tcW w:w="1834" w:type="dxa"/>
          </w:tcPr>
          <w:p>
            <w:pPr>
              <w:pStyle w:val="TableParagraph"/>
              <w:spacing w:before="56"/>
              <w:rPr>
                <w:b/>
                <w:sz w:val="24"/>
              </w:rPr>
            </w:pPr>
          </w:p>
          <w:p>
            <w:pPr>
              <w:pStyle w:val="TableParagraph"/>
              <w:ind w:left="100"/>
              <w:rPr>
                <w:sz w:val="24"/>
              </w:rPr>
            </w:pPr>
            <w:r>
              <w:rPr>
                <w:spacing w:val="-2"/>
                <w:sz w:val="24"/>
              </w:rPr>
              <w:t>Полезность*</w:t>
            </w:r>
          </w:p>
        </w:tc>
        <w:tc>
          <w:tcPr>
            <w:tcW w:w="1134" w:type="dxa"/>
          </w:tcPr>
          <w:p>
            <w:pPr>
              <w:pStyle w:val="TableParagraph"/>
              <w:spacing w:before="56"/>
              <w:rPr>
                <w:b/>
                <w:sz w:val="24"/>
              </w:rPr>
            </w:pPr>
          </w:p>
          <w:p>
            <w:pPr>
              <w:pStyle w:val="TableParagraph"/>
              <w:ind w:left="13"/>
              <w:jc w:val="center"/>
              <w:rPr>
                <w:sz w:val="24"/>
              </w:rPr>
            </w:pPr>
            <w:r>
              <w:rPr>
                <w:sz w:val="24"/>
              </w:rPr>
              <w:t>&lt;</w:t>
            </w:r>
            <w:r>
              <w:rPr>
                <w:spacing w:val="-1"/>
                <w:sz w:val="24"/>
              </w:rPr>
              <w:t> </w:t>
            </w:r>
            <w:r>
              <w:rPr>
                <w:spacing w:val="-4"/>
                <w:sz w:val="24"/>
              </w:rPr>
              <w:t>6.34</w:t>
            </w:r>
          </w:p>
        </w:tc>
        <w:tc>
          <w:tcPr>
            <w:tcW w:w="1277" w:type="dxa"/>
          </w:tcPr>
          <w:p>
            <w:pPr>
              <w:pStyle w:val="TableParagraph"/>
              <w:spacing w:before="56"/>
              <w:rPr>
                <w:b/>
                <w:sz w:val="24"/>
              </w:rPr>
            </w:pPr>
          </w:p>
          <w:p>
            <w:pPr>
              <w:pStyle w:val="TableParagraph"/>
              <w:ind w:left="336"/>
              <w:rPr>
                <w:sz w:val="24"/>
              </w:rPr>
            </w:pPr>
            <w:r>
              <w:rPr>
                <w:sz w:val="24"/>
              </w:rPr>
              <w:t>6.34 </w:t>
            </w:r>
            <w:r>
              <w:rPr>
                <w:spacing w:val="-10"/>
                <w:sz w:val="24"/>
              </w:rPr>
              <w:t>–</w:t>
            </w:r>
          </w:p>
          <w:p>
            <w:pPr>
              <w:pStyle w:val="TableParagraph"/>
              <w:ind w:left="365"/>
              <w:rPr>
                <w:sz w:val="24"/>
              </w:rPr>
            </w:pPr>
            <w:r>
              <w:rPr>
                <w:spacing w:val="-2"/>
                <w:sz w:val="24"/>
              </w:rPr>
              <w:t>12.08</w:t>
            </w:r>
          </w:p>
        </w:tc>
        <w:tc>
          <w:tcPr>
            <w:tcW w:w="1277" w:type="dxa"/>
          </w:tcPr>
          <w:p>
            <w:pPr>
              <w:pStyle w:val="TableParagraph"/>
              <w:spacing w:before="56"/>
              <w:rPr>
                <w:b/>
                <w:sz w:val="24"/>
              </w:rPr>
            </w:pPr>
          </w:p>
          <w:p>
            <w:pPr>
              <w:pStyle w:val="TableParagraph"/>
              <w:ind w:left="11"/>
              <w:jc w:val="center"/>
              <w:rPr>
                <w:sz w:val="24"/>
              </w:rPr>
            </w:pPr>
            <w:r>
              <w:rPr>
                <w:sz w:val="24"/>
              </w:rPr>
              <w:t>&gt;</w:t>
            </w:r>
            <w:r>
              <w:rPr>
                <w:spacing w:val="-1"/>
                <w:sz w:val="24"/>
              </w:rPr>
              <w:t> </w:t>
            </w:r>
            <w:r>
              <w:rPr>
                <w:spacing w:val="-4"/>
                <w:sz w:val="24"/>
              </w:rPr>
              <w:t>12.08</w:t>
            </w:r>
          </w:p>
        </w:tc>
        <w:tc>
          <w:tcPr>
            <w:tcW w:w="1274" w:type="dxa"/>
          </w:tcPr>
          <w:p>
            <w:pPr>
              <w:pStyle w:val="TableParagraph"/>
              <w:spacing w:before="56"/>
              <w:rPr>
                <w:b/>
                <w:sz w:val="24"/>
              </w:rPr>
            </w:pPr>
          </w:p>
          <w:p>
            <w:pPr>
              <w:pStyle w:val="TableParagraph"/>
              <w:ind w:left="15"/>
              <w:jc w:val="center"/>
              <w:rPr>
                <w:sz w:val="24"/>
              </w:rPr>
            </w:pPr>
            <w:r>
              <w:rPr>
                <w:sz w:val="24"/>
              </w:rPr>
              <w:t>&lt;</w:t>
            </w:r>
            <w:r>
              <w:rPr>
                <w:spacing w:val="-1"/>
                <w:sz w:val="24"/>
              </w:rPr>
              <w:t> </w:t>
            </w:r>
            <w:r>
              <w:rPr>
                <w:spacing w:val="-4"/>
                <w:sz w:val="24"/>
              </w:rPr>
              <w:t>7.49</w:t>
            </w:r>
          </w:p>
        </w:tc>
        <w:tc>
          <w:tcPr>
            <w:tcW w:w="1277" w:type="dxa"/>
          </w:tcPr>
          <w:p>
            <w:pPr>
              <w:pStyle w:val="TableParagraph"/>
              <w:spacing w:before="56"/>
              <w:rPr>
                <w:b/>
                <w:sz w:val="24"/>
              </w:rPr>
            </w:pPr>
          </w:p>
          <w:p>
            <w:pPr>
              <w:pStyle w:val="TableParagraph"/>
              <w:ind w:left="334"/>
              <w:rPr>
                <w:sz w:val="24"/>
              </w:rPr>
            </w:pPr>
            <w:r>
              <w:rPr>
                <w:sz w:val="24"/>
              </w:rPr>
              <w:t>7.49 </w:t>
            </w:r>
            <w:r>
              <w:rPr>
                <w:spacing w:val="-10"/>
                <w:sz w:val="24"/>
              </w:rPr>
              <w:t>–</w:t>
            </w:r>
          </w:p>
          <w:p>
            <w:pPr>
              <w:pStyle w:val="TableParagraph"/>
              <w:ind w:left="364"/>
              <w:rPr>
                <w:sz w:val="24"/>
              </w:rPr>
            </w:pPr>
            <w:r>
              <w:rPr>
                <w:spacing w:val="-2"/>
                <w:sz w:val="24"/>
              </w:rPr>
              <w:t>12.35</w:t>
            </w:r>
          </w:p>
        </w:tc>
        <w:tc>
          <w:tcPr>
            <w:tcW w:w="1418" w:type="dxa"/>
          </w:tcPr>
          <w:p>
            <w:pPr>
              <w:pStyle w:val="TableParagraph"/>
              <w:spacing w:before="56"/>
              <w:rPr>
                <w:b/>
                <w:sz w:val="24"/>
              </w:rPr>
            </w:pPr>
          </w:p>
          <w:p>
            <w:pPr>
              <w:pStyle w:val="TableParagraph"/>
              <w:ind w:left="11"/>
              <w:jc w:val="center"/>
              <w:rPr>
                <w:sz w:val="24"/>
              </w:rPr>
            </w:pPr>
            <w:r>
              <w:rPr>
                <w:sz w:val="24"/>
              </w:rPr>
              <w:t>&gt;</w:t>
            </w:r>
            <w:r>
              <w:rPr>
                <w:spacing w:val="-1"/>
                <w:sz w:val="24"/>
              </w:rPr>
              <w:t> </w:t>
            </w:r>
            <w:r>
              <w:rPr>
                <w:spacing w:val="-4"/>
                <w:sz w:val="24"/>
              </w:rPr>
              <w:t>12.35</w:t>
            </w:r>
          </w:p>
        </w:tc>
      </w:tr>
      <w:tr>
        <w:trPr>
          <w:trHeight w:val="992" w:hRule="atLeast"/>
        </w:trPr>
        <w:tc>
          <w:tcPr>
            <w:tcW w:w="1834" w:type="dxa"/>
          </w:tcPr>
          <w:p>
            <w:pPr>
              <w:pStyle w:val="TableParagraph"/>
              <w:spacing w:before="56"/>
              <w:rPr>
                <w:b/>
                <w:sz w:val="24"/>
              </w:rPr>
            </w:pPr>
          </w:p>
          <w:p>
            <w:pPr>
              <w:pStyle w:val="TableParagraph"/>
              <w:ind w:left="100"/>
              <w:rPr>
                <w:sz w:val="24"/>
              </w:rPr>
            </w:pPr>
            <w:r>
              <w:rPr>
                <w:spacing w:val="-2"/>
                <w:sz w:val="24"/>
              </w:rPr>
              <w:t>Личная важность**</w:t>
            </w:r>
          </w:p>
        </w:tc>
        <w:tc>
          <w:tcPr>
            <w:tcW w:w="1134" w:type="dxa"/>
          </w:tcPr>
          <w:p>
            <w:pPr>
              <w:pStyle w:val="TableParagraph"/>
              <w:spacing w:before="56"/>
              <w:rPr>
                <w:b/>
                <w:sz w:val="24"/>
              </w:rPr>
            </w:pPr>
          </w:p>
          <w:p>
            <w:pPr>
              <w:pStyle w:val="TableParagraph"/>
              <w:ind w:left="13"/>
              <w:jc w:val="center"/>
              <w:rPr>
                <w:sz w:val="24"/>
              </w:rPr>
            </w:pPr>
            <w:r>
              <w:rPr>
                <w:sz w:val="24"/>
              </w:rPr>
              <w:t>&lt;</w:t>
            </w:r>
            <w:r>
              <w:rPr>
                <w:spacing w:val="-1"/>
                <w:sz w:val="24"/>
              </w:rPr>
              <w:t> </w:t>
            </w:r>
            <w:r>
              <w:rPr>
                <w:spacing w:val="-4"/>
                <w:sz w:val="24"/>
              </w:rPr>
              <w:t>4.86</w:t>
            </w:r>
          </w:p>
        </w:tc>
        <w:tc>
          <w:tcPr>
            <w:tcW w:w="1277" w:type="dxa"/>
          </w:tcPr>
          <w:p>
            <w:pPr>
              <w:pStyle w:val="TableParagraph"/>
              <w:spacing w:before="56"/>
              <w:rPr>
                <w:b/>
                <w:sz w:val="24"/>
              </w:rPr>
            </w:pPr>
          </w:p>
          <w:p>
            <w:pPr>
              <w:pStyle w:val="TableParagraph"/>
              <w:ind w:left="336"/>
              <w:rPr>
                <w:sz w:val="24"/>
              </w:rPr>
            </w:pPr>
            <w:r>
              <w:rPr>
                <w:sz w:val="24"/>
              </w:rPr>
              <w:t>4.86 </w:t>
            </w:r>
            <w:r>
              <w:rPr>
                <w:spacing w:val="-10"/>
                <w:sz w:val="24"/>
              </w:rPr>
              <w:t>–</w:t>
            </w:r>
          </w:p>
          <w:p>
            <w:pPr>
              <w:pStyle w:val="TableParagraph"/>
              <w:ind w:left="365"/>
              <w:rPr>
                <w:sz w:val="24"/>
              </w:rPr>
            </w:pPr>
            <w:r>
              <w:rPr>
                <w:spacing w:val="-2"/>
                <w:sz w:val="24"/>
              </w:rPr>
              <w:t>11.36</w:t>
            </w:r>
          </w:p>
        </w:tc>
        <w:tc>
          <w:tcPr>
            <w:tcW w:w="1277" w:type="dxa"/>
          </w:tcPr>
          <w:p>
            <w:pPr>
              <w:pStyle w:val="TableParagraph"/>
              <w:spacing w:before="56"/>
              <w:rPr>
                <w:b/>
                <w:sz w:val="24"/>
              </w:rPr>
            </w:pPr>
          </w:p>
          <w:p>
            <w:pPr>
              <w:pStyle w:val="TableParagraph"/>
              <w:ind w:left="11"/>
              <w:jc w:val="center"/>
              <w:rPr>
                <w:sz w:val="24"/>
              </w:rPr>
            </w:pPr>
            <w:r>
              <w:rPr>
                <w:sz w:val="24"/>
              </w:rPr>
              <w:t>&gt;</w:t>
            </w:r>
            <w:r>
              <w:rPr>
                <w:spacing w:val="-1"/>
                <w:sz w:val="24"/>
              </w:rPr>
              <w:t> </w:t>
            </w:r>
            <w:r>
              <w:rPr>
                <w:spacing w:val="-4"/>
                <w:sz w:val="24"/>
              </w:rPr>
              <w:t>11.36</w:t>
            </w:r>
          </w:p>
        </w:tc>
        <w:tc>
          <w:tcPr>
            <w:tcW w:w="1274" w:type="dxa"/>
          </w:tcPr>
          <w:p>
            <w:pPr>
              <w:pStyle w:val="TableParagraph"/>
              <w:spacing w:before="56"/>
              <w:rPr>
                <w:b/>
                <w:sz w:val="24"/>
              </w:rPr>
            </w:pPr>
          </w:p>
          <w:p>
            <w:pPr>
              <w:pStyle w:val="TableParagraph"/>
              <w:ind w:left="15"/>
              <w:jc w:val="center"/>
              <w:rPr>
                <w:sz w:val="24"/>
              </w:rPr>
            </w:pPr>
            <w:r>
              <w:rPr>
                <w:sz w:val="24"/>
              </w:rPr>
              <w:t>&lt;</w:t>
            </w:r>
            <w:r>
              <w:rPr>
                <w:spacing w:val="-1"/>
                <w:sz w:val="24"/>
              </w:rPr>
              <w:t> </w:t>
            </w:r>
            <w:r>
              <w:rPr>
                <w:spacing w:val="-4"/>
                <w:sz w:val="24"/>
              </w:rPr>
              <w:t>6.54</w:t>
            </w:r>
          </w:p>
        </w:tc>
        <w:tc>
          <w:tcPr>
            <w:tcW w:w="1277" w:type="dxa"/>
          </w:tcPr>
          <w:p>
            <w:pPr>
              <w:pStyle w:val="TableParagraph"/>
              <w:spacing w:before="56"/>
              <w:rPr>
                <w:b/>
                <w:sz w:val="24"/>
              </w:rPr>
            </w:pPr>
          </w:p>
          <w:p>
            <w:pPr>
              <w:pStyle w:val="TableParagraph"/>
              <w:ind w:left="334"/>
              <w:rPr>
                <w:sz w:val="24"/>
              </w:rPr>
            </w:pPr>
            <w:r>
              <w:rPr>
                <w:sz w:val="24"/>
              </w:rPr>
              <w:t>6.54 </w:t>
            </w:r>
            <w:r>
              <w:rPr>
                <w:spacing w:val="-10"/>
                <w:sz w:val="24"/>
              </w:rPr>
              <w:t>–</w:t>
            </w:r>
          </w:p>
          <w:p>
            <w:pPr>
              <w:pStyle w:val="TableParagraph"/>
              <w:ind w:left="424"/>
              <w:rPr>
                <w:sz w:val="24"/>
              </w:rPr>
            </w:pPr>
            <w:r>
              <w:rPr>
                <w:spacing w:val="-4"/>
                <w:sz w:val="24"/>
              </w:rPr>
              <w:t>11.8</w:t>
            </w:r>
          </w:p>
        </w:tc>
        <w:tc>
          <w:tcPr>
            <w:tcW w:w="1418" w:type="dxa"/>
          </w:tcPr>
          <w:p>
            <w:pPr>
              <w:pStyle w:val="TableParagraph"/>
              <w:spacing w:before="56"/>
              <w:rPr>
                <w:b/>
                <w:sz w:val="24"/>
              </w:rPr>
            </w:pPr>
          </w:p>
          <w:p>
            <w:pPr>
              <w:pStyle w:val="TableParagraph"/>
              <w:ind w:left="11"/>
              <w:jc w:val="center"/>
              <w:rPr>
                <w:sz w:val="24"/>
              </w:rPr>
            </w:pPr>
            <w:r>
              <w:rPr>
                <w:sz w:val="24"/>
              </w:rPr>
              <w:t>&gt;</w:t>
            </w:r>
            <w:r>
              <w:rPr>
                <w:spacing w:val="-1"/>
                <w:sz w:val="24"/>
              </w:rPr>
              <w:t> </w:t>
            </w:r>
            <w:r>
              <w:rPr>
                <w:spacing w:val="-4"/>
                <w:sz w:val="24"/>
              </w:rPr>
              <w:t>11.8</w:t>
            </w:r>
          </w:p>
        </w:tc>
      </w:tr>
    </w:tbl>
    <w:p>
      <w:pPr>
        <w:spacing w:before="235"/>
        <w:ind w:left="285" w:right="563" w:firstLine="0"/>
        <w:jc w:val="both"/>
        <w:rPr>
          <w:sz w:val="24"/>
        </w:rPr>
      </w:pPr>
      <w:r>
        <w:rPr>
          <w:i/>
          <w:sz w:val="24"/>
        </w:rPr>
        <w:t>Примечание</w:t>
      </w:r>
      <w:r>
        <w:rPr>
          <w:sz w:val="24"/>
        </w:rPr>
        <w:t>. Выявлены значимые гендерные различия (t-критерий Стьюдента для независимых выборок).</w:t>
      </w:r>
    </w:p>
    <w:p>
      <w:pPr>
        <w:pStyle w:val="Heading3"/>
        <w:spacing w:before="248"/>
      </w:pPr>
      <w:r>
        <w:rPr/>
        <w:t>Адаптация</w:t>
      </w:r>
      <w:r>
        <w:rPr>
          <w:spacing w:val="-6"/>
        </w:rPr>
        <w:t> </w:t>
      </w:r>
      <w:r>
        <w:rPr/>
        <w:t>методики</w:t>
      </w:r>
      <w:r>
        <w:rPr>
          <w:spacing w:val="-4"/>
        </w:rPr>
        <w:t> </w:t>
      </w:r>
      <w:r>
        <w:rPr/>
        <w:t>на</w:t>
      </w:r>
      <w:r>
        <w:rPr>
          <w:spacing w:val="-5"/>
        </w:rPr>
        <w:t> </w:t>
      </w:r>
      <w:r>
        <w:rPr/>
        <w:t>русском</w:t>
      </w:r>
      <w:r>
        <w:rPr>
          <w:spacing w:val="-5"/>
        </w:rPr>
        <w:t> </w:t>
      </w:r>
      <w:r>
        <w:rPr>
          <w:spacing w:val="-4"/>
        </w:rPr>
        <w:t>языке</w:t>
      </w:r>
    </w:p>
    <w:p>
      <w:pPr>
        <w:pStyle w:val="Heading4"/>
        <w:spacing w:before="233"/>
        <w:ind w:right="561"/>
      </w:pPr>
      <w:r>
        <w:rPr/>
        <w:t>В 2022 г. методика была адаптирована для детей — иностранных граждан в рамках апробации в 12 регионах РФ программы оценки особых образовательных потребностей ребенка-мигранта в сферах психологического благополучия,</w:t>
      </w:r>
      <w:r>
        <w:rPr>
          <w:spacing w:val="-1"/>
        </w:rPr>
        <w:t> </w:t>
      </w:r>
      <w:r>
        <w:rPr/>
        <w:t>социальных навыков</w:t>
      </w:r>
      <w:r>
        <w:rPr>
          <w:spacing w:val="-1"/>
        </w:rPr>
        <w:t> </w:t>
      </w:r>
      <w:r>
        <w:rPr/>
        <w:t>и культурной адаптации (N</w:t>
      </w:r>
      <w:r>
        <w:rPr>
          <w:spacing w:val="-2"/>
        </w:rPr>
        <w:t> </w:t>
      </w:r>
      <w:r>
        <w:rPr/>
        <w:t>ср.</w:t>
      </w:r>
      <w:r>
        <w:rPr>
          <w:spacing w:val="-1"/>
        </w:rPr>
        <w:t> </w:t>
      </w:r>
      <w:r>
        <w:rPr/>
        <w:t>шк.</w:t>
      </w:r>
      <w:r>
        <w:rPr>
          <w:spacing w:val="-1"/>
        </w:rPr>
        <w:t> </w:t>
      </w:r>
      <w:r>
        <w:rPr/>
        <w:t>=</w:t>
      </w:r>
      <w:r>
        <w:rPr>
          <w:spacing w:val="-1"/>
        </w:rPr>
        <w:t> </w:t>
      </w:r>
      <w:r>
        <w:rPr/>
        <w:t>225, N</w:t>
      </w:r>
      <w:r>
        <w:rPr>
          <w:spacing w:val="-18"/>
        </w:rPr>
        <w:t> </w:t>
      </w:r>
      <w:r>
        <w:rPr/>
        <w:t>ст.</w:t>
      </w:r>
      <w:r>
        <w:rPr>
          <w:spacing w:val="-17"/>
        </w:rPr>
        <w:t> </w:t>
      </w:r>
      <w:r>
        <w:rPr/>
        <w:t>шк.</w:t>
      </w:r>
      <w:r>
        <w:rPr>
          <w:spacing w:val="-18"/>
        </w:rPr>
        <w:t> </w:t>
      </w:r>
      <w:r>
        <w:rPr/>
        <w:t>=</w:t>
      </w:r>
      <w:r>
        <w:rPr>
          <w:spacing w:val="-17"/>
        </w:rPr>
        <w:t> </w:t>
      </w:r>
      <w:r>
        <w:rPr/>
        <w:t>123,</w:t>
      </w:r>
      <w:r>
        <w:rPr>
          <w:spacing w:val="-18"/>
        </w:rPr>
        <w:t> </w:t>
      </w:r>
      <w:r>
        <w:rPr/>
        <w:t>N</w:t>
      </w:r>
      <w:r>
        <w:rPr>
          <w:spacing w:val="-17"/>
        </w:rPr>
        <w:t> </w:t>
      </w:r>
      <w:r>
        <w:rPr/>
        <w:t>общ.</w:t>
      </w:r>
      <w:r>
        <w:rPr>
          <w:spacing w:val="-18"/>
        </w:rPr>
        <w:t> </w:t>
      </w:r>
      <w:r>
        <w:rPr/>
        <w:t>=</w:t>
      </w:r>
      <w:r>
        <w:rPr>
          <w:spacing w:val="-17"/>
        </w:rPr>
        <w:t> </w:t>
      </w:r>
      <w:r>
        <w:rPr/>
        <w:t>348).</w:t>
      </w:r>
      <w:r>
        <w:rPr>
          <w:spacing w:val="-18"/>
        </w:rPr>
        <w:t> </w:t>
      </w:r>
      <w:r>
        <w:rPr/>
        <w:t>Шкалы</w:t>
      </w:r>
      <w:r>
        <w:rPr>
          <w:spacing w:val="-17"/>
        </w:rPr>
        <w:t> </w:t>
      </w:r>
      <w:r>
        <w:rPr/>
        <w:t>методики</w:t>
      </w:r>
      <w:r>
        <w:rPr>
          <w:spacing w:val="-18"/>
        </w:rPr>
        <w:t> </w:t>
      </w:r>
      <w:r>
        <w:rPr/>
        <w:t>показали</w:t>
      </w:r>
      <w:r>
        <w:rPr>
          <w:spacing w:val="-17"/>
        </w:rPr>
        <w:t> </w:t>
      </w:r>
      <w:r>
        <w:rPr/>
        <w:t>достаточную</w:t>
      </w:r>
      <w:r>
        <w:rPr>
          <w:spacing w:val="-18"/>
        </w:rPr>
        <w:t> </w:t>
      </w:r>
      <w:r>
        <w:rPr/>
        <w:t>степень внутренней согласованности (альфа Кронбаха от 0.889 до 0.948).</w:t>
      </w:r>
    </w:p>
    <w:p>
      <w:pPr>
        <w:pStyle w:val="Heading4"/>
        <w:spacing w:before="240"/>
        <w:ind w:right="564"/>
      </w:pPr>
      <w:r>
        <w:rPr/>
        <w:t>В исследовании обнаружены предсказуемые корреляции со следующими шкалами иных методик: положительная значимая корреляция с Детским тестом психологической устойчивости (0.467, P&lt;0.01), с показателем общей удовлетворенности жизнью ШУДЖИ (0.493, P&lt;0.01) и для методики оценки социальных навыков ребенка-мигранта — со шкалой поведения в учебной ситуации (0.342, P&lt;0.01) и со шкалой взаимодействия с взрослыми в школе (0.321, P&lt;0.01), что доказывает внешнюю</w:t>
      </w:r>
      <w:r>
        <w:rPr>
          <w:spacing w:val="40"/>
        </w:rPr>
        <w:t> </w:t>
      </w:r>
      <w:r>
        <w:rPr/>
        <w:t>валидность методики «Шкала отношения к школе» при диагностике детей — иностранных граждан.</w:t>
      </w:r>
    </w:p>
    <w:p>
      <w:pPr>
        <w:pStyle w:val="Heading4"/>
        <w:spacing w:after="0"/>
        <w:sectPr>
          <w:pgSz w:w="11910" w:h="16840"/>
          <w:pgMar w:header="0" w:footer="970" w:top="1040" w:bottom="1220" w:left="1417" w:right="283"/>
        </w:sectPr>
      </w:pPr>
    </w:p>
    <w:p>
      <w:pPr>
        <w:pStyle w:val="Heading3"/>
        <w:ind w:left="4147"/>
        <w:jc w:val="left"/>
      </w:pPr>
      <w:r>
        <w:rPr/>
        <w:t>Приложение</w:t>
      </w:r>
      <w:r>
        <w:rPr>
          <w:spacing w:val="-8"/>
        </w:rPr>
        <w:t> </w:t>
      </w:r>
      <w:r>
        <w:rPr/>
        <w:t>10.</w:t>
      </w:r>
      <w:r>
        <w:rPr>
          <w:spacing w:val="-6"/>
        </w:rPr>
        <w:t> </w:t>
      </w:r>
      <w:r>
        <w:rPr/>
        <w:t>Русский</w:t>
      </w:r>
      <w:r>
        <w:rPr>
          <w:spacing w:val="-6"/>
        </w:rPr>
        <w:t> </w:t>
      </w:r>
      <w:r>
        <w:rPr/>
        <w:t>перевод</w:t>
      </w:r>
      <w:r>
        <w:rPr>
          <w:spacing w:val="-7"/>
        </w:rPr>
        <w:t> </w:t>
      </w:r>
      <w:r>
        <w:rPr>
          <w:spacing w:val="-2"/>
        </w:rPr>
        <w:t>опросника</w:t>
      </w:r>
    </w:p>
    <w:p>
      <w:pPr>
        <w:pStyle w:val="BodyText"/>
        <w:spacing w:before="48" w:after="1"/>
        <w:ind w:left="0" w:right="0" w:firstLine="0"/>
        <w:jc w:val="left"/>
        <w:rPr>
          <w:b/>
          <w:i/>
        </w:rPr>
      </w:pPr>
    </w:p>
    <w:tbl>
      <w:tblPr>
        <w:tblW w:w="0" w:type="auto"/>
        <w:jc w:val="left"/>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3668"/>
        <w:gridCol w:w="1294"/>
        <w:gridCol w:w="984"/>
        <w:gridCol w:w="1138"/>
        <w:gridCol w:w="965"/>
        <w:gridCol w:w="1275"/>
      </w:tblGrid>
      <w:tr>
        <w:trPr>
          <w:trHeight w:val="918" w:hRule="atLeast"/>
        </w:trPr>
        <w:tc>
          <w:tcPr>
            <w:tcW w:w="569" w:type="dxa"/>
          </w:tcPr>
          <w:p>
            <w:pPr>
              <w:pStyle w:val="TableParagraph"/>
              <w:spacing w:before="228"/>
              <w:ind w:left="141" w:right="123" w:firstLine="40"/>
              <w:rPr>
                <w:b/>
                <w:sz w:val="20"/>
              </w:rPr>
            </w:pPr>
            <w:r>
              <w:rPr>
                <w:b/>
                <w:spacing w:val="-10"/>
                <w:sz w:val="20"/>
              </w:rPr>
              <w:t>№</w:t>
            </w:r>
            <w:r>
              <w:rPr>
                <w:b/>
                <w:spacing w:val="-4"/>
                <w:sz w:val="20"/>
              </w:rPr>
              <w:t> п/п</w:t>
            </w:r>
          </w:p>
        </w:tc>
        <w:tc>
          <w:tcPr>
            <w:tcW w:w="3668" w:type="dxa"/>
          </w:tcPr>
          <w:p>
            <w:pPr>
              <w:pStyle w:val="TableParagraph"/>
              <w:spacing w:before="226"/>
              <w:rPr>
                <w:b/>
                <w:i/>
                <w:sz w:val="20"/>
              </w:rPr>
            </w:pPr>
          </w:p>
          <w:p>
            <w:pPr>
              <w:pStyle w:val="TableParagraph"/>
              <w:ind w:left="1"/>
              <w:jc w:val="center"/>
              <w:rPr>
                <w:b/>
                <w:sz w:val="20"/>
              </w:rPr>
            </w:pPr>
            <w:r>
              <w:rPr>
                <w:b/>
                <w:spacing w:val="-2"/>
                <w:sz w:val="20"/>
              </w:rPr>
              <w:t>Утверждение</w:t>
            </w:r>
          </w:p>
        </w:tc>
        <w:tc>
          <w:tcPr>
            <w:tcW w:w="1294" w:type="dxa"/>
          </w:tcPr>
          <w:p>
            <w:pPr>
              <w:pStyle w:val="TableParagraph"/>
              <w:spacing w:before="223"/>
              <w:ind w:left="160" w:right="137" w:hanging="12"/>
              <w:rPr>
                <w:i/>
                <w:sz w:val="20"/>
              </w:rPr>
            </w:pPr>
            <w:r>
              <w:rPr>
                <w:i/>
                <w:spacing w:val="-2"/>
                <w:sz w:val="20"/>
              </w:rPr>
              <w:t>Полностью </w:t>
            </w:r>
            <w:r>
              <w:rPr>
                <w:i/>
                <w:sz w:val="20"/>
              </w:rPr>
              <w:t>не</w:t>
            </w:r>
            <w:r>
              <w:rPr>
                <w:i/>
                <w:spacing w:val="-3"/>
                <w:sz w:val="20"/>
              </w:rPr>
              <w:t> </w:t>
            </w:r>
            <w:r>
              <w:rPr>
                <w:i/>
                <w:spacing w:val="-2"/>
                <w:sz w:val="20"/>
              </w:rPr>
              <w:t>согласен</w:t>
            </w:r>
          </w:p>
        </w:tc>
        <w:tc>
          <w:tcPr>
            <w:tcW w:w="984" w:type="dxa"/>
          </w:tcPr>
          <w:p>
            <w:pPr>
              <w:pStyle w:val="TableParagraph"/>
              <w:spacing w:before="108"/>
              <w:ind w:left="124" w:right="118" w:firstLine="3"/>
              <w:jc w:val="center"/>
              <w:rPr>
                <w:i/>
                <w:sz w:val="20"/>
              </w:rPr>
            </w:pPr>
            <w:r>
              <w:rPr>
                <w:i/>
                <w:spacing w:val="-2"/>
                <w:sz w:val="20"/>
              </w:rPr>
              <w:t>Скорее </w:t>
            </w:r>
            <w:r>
              <w:rPr>
                <w:i/>
                <w:spacing w:val="-6"/>
                <w:sz w:val="20"/>
              </w:rPr>
              <w:t>не </w:t>
            </w:r>
            <w:r>
              <w:rPr>
                <w:i/>
                <w:spacing w:val="-2"/>
                <w:sz w:val="20"/>
              </w:rPr>
              <w:t>согласен</w:t>
            </w:r>
          </w:p>
        </w:tc>
        <w:tc>
          <w:tcPr>
            <w:tcW w:w="1138" w:type="dxa"/>
          </w:tcPr>
          <w:p>
            <w:pPr>
              <w:pStyle w:val="TableParagraph"/>
              <w:ind w:left="107" w:right="102" w:hanging="1"/>
              <w:jc w:val="center"/>
              <w:rPr>
                <w:i/>
                <w:sz w:val="20"/>
              </w:rPr>
            </w:pPr>
            <w:r>
              <w:rPr>
                <w:i/>
                <w:sz w:val="20"/>
              </w:rPr>
              <w:t>В чем-то согласен,</w:t>
            </w:r>
            <w:r>
              <w:rPr>
                <w:i/>
                <w:spacing w:val="-8"/>
                <w:sz w:val="20"/>
              </w:rPr>
              <w:t> </w:t>
            </w:r>
            <w:r>
              <w:rPr>
                <w:i/>
                <w:spacing w:val="-10"/>
                <w:sz w:val="20"/>
              </w:rPr>
              <w:t>в</w:t>
            </w:r>
          </w:p>
          <w:p>
            <w:pPr>
              <w:pStyle w:val="TableParagraph"/>
              <w:spacing w:line="230" w:lineRule="exact"/>
              <w:ind w:left="120" w:right="116"/>
              <w:jc w:val="center"/>
              <w:rPr>
                <w:i/>
                <w:sz w:val="20"/>
              </w:rPr>
            </w:pPr>
            <w:r>
              <w:rPr>
                <w:i/>
                <w:spacing w:val="-2"/>
                <w:sz w:val="20"/>
              </w:rPr>
              <w:t>чем-</w:t>
            </w:r>
            <w:r>
              <w:rPr>
                <w:i/>
                <w:spacing w:val="-2"/>
                <w:sz w:val="20"/>
              </w:rPr>
              <w:t>то </w:t>
            </w:r>
            <w:r>
              <w:rPr>
                <w:i/>
                <w:spacing w:val="-4"/>
                <w:sz w:val="20"/>
              </w:rPr>
              <w:t>нет</w:t>
            </w:r>
          </w:p>
        </w:tc>
        <w:tc>
          <w:tcPr>
            <w:tcW w:w="965" w:type="dxa"/>
          </w:tcPr>
          <w:p>
            <w:pPr>
              <w:pStyle w:val="TableParagraph"/>
              <w:spacing w:before="223"/>
              <w:ind w:left="114" w:right="106" w:firstLine="64"/>
              <w:rPr>
                <w:i/>
                <w:sz w:val="20"/>
              </w:rPr>
            </w:pPr>
            <w:r>
              <w:rPr>
                <w:i/>
                <w:spacing w:val="-2"/>
                <w:sz w:val="20"/>
              </w:rPr>
              <w:t>Скорее согласен</w:t>
            </w:r>
          </w:p>
        </w:tc>
        <w:tc>
          <w:tcPr>
            <w:tcW w:w="1275" w:type="dxa"/>
          </w:tcPr>
          <w:p>
            <w:pPr>
              <w:pStyle w:val="TableParagraph"/>
              <w:spacing w:before="223"/>
              <w:ind w:left="268" w:right="132" w:hanging="132"/>
              <w:rPr>
                <w:i/>
                <w:sz w:val="20"/>
              </w:rPr>
            </w:pPr>
            <w:r>
              <w:rPr>
                <w:i/>
                <w:spacing w:val="-2"/>
                <w:sz w:val="20"/>
              </w:rPr>
              <w:t>Полностью согласен</w:t>
            </w:r>
          </w:p>
        </w:tc>
      </w:tr>
      <w:tr>
        <w:trPr>
          <w:trHeight w:val="274" w:hRule="atLeast"/>
        </w:trPr>
        <w:tc>
          <w:tcPr>
            <w:tcW w:w="569" w:type="dxa"/>
          </w:tcPr>
          <w:p>
            <w:pPr>
              <w:pStyle w:val="TableParagraph"/>
              <w:spacing w:line="222" w:lineRule="exact"/>
              <w:ind w:left="91"/>
              <w:jc w:val="center"/>
              <w:rPr>
                <w:sz w:val="20"/>
              </w:rPr>
            </w:pPr>
            <w:r>
              <w:rPr>
                <w:spacing w:val="-5"/>
                <w:sz w:val="20"/>
              </w:rPr>
              <w:t>1.</w:t>
            </w:r>
          </w:p>
        </w:tc>
        <w:tc>
          <w:tcPr>
            <w:tcW w:w="3668" w:type="dxa"/>
          </w:tcPr>
          <w:p>
            <w:pPr>
              <w:pStyle w:val="TableParagraph"/>
              <w:spacing w:line="254" w:lineRule="exact"/>
              <w:ind w:left="107"/>
              <w:rPr>
                <w:i/>
                <w:sz w:val="24"/>
              </w:rPr>
            </w:pPr>
            <w:r>
              <w:rPr>
                <w:i/>
                <w:sz w:val="24"/>
              </w:rPr>
              <w:t>Мне</w:t>
            </w:r>
            <w:r>
              <w:rPr>
                <w:i/>
                <w:spacing w:val="-6"/>
                <w:sz w:val="24"/>
              </w:rPr>
              <w:t> </w:t>
            </w:r>
            <w:r>
              <w:rPr>
                <w:i/>
                <w:sz w:val="24"/>
              </w:rPr>
              <w:t>нравится</w:t>
            </w:r>
            <w:r>
              <w:rPr>
                <w:i/>
                <w:spacing w:val="-2"/>
                <w:sz w:val="24"/>
              </w:rPr>
              <w:t> </w:t>
            </w:r>
            <w:r>
              <w:rPr>
                <w:i/>
                <w:spacing w:val="-4"/>
                <w:sz w:val="24"/>
              </w:rPr>
              <w:t>школа</w:t>
            </w:r>
          </w:p>
        </w:tc>
        <w:tc>
          <w:tcPr>
            <w:tcW w:w="1294" w:type="dxa"/>
          </w:tcPr>
          <w:p>
            <w:pPr>
              <w:pStyle w:val="TableParagraph"/>
              <w:spacing w:before="16"/>
              <w:ind w:left="5"/>
              <w:jc w:val="center"/>
              <w:rPr>
                <w:sz w:val="20"/>
              </w:rPr>
            </w:pPr>
            <w:r>
              <w:rPr>
                <w:spacing w:val="-10"/>
                <w:sz w:val="20"/>
              </w:rPr>
              <w:t>1</w:t>
            </w:r>
          </w:p>
        </w:tc>
        <w:tc>
          <w:tcPr>
            <w:tcW w:w="984" w:type="dxa"/>
          </w:tcPr>
          <w:p>
            <w:pPr>
              <w:pStyle w:val="TableParagraph"/>
              <w:spacing w:before="16"/>
              <w:ind w:left="7"/>
              <w:jc w:val="center"/>
              <w:rPr>
                <w:sz w:val="20"/>
              </w:rPr>
            </w:pPr>
            <w:r>
              <w:rPr>
                <w:spacing w:val="-10"/>
                <w:sz w:val="20"/>
              </w:rPr>
              <w:t>2</w:t>
            </w:r>
          </w:p>
        </w:tc>
        <w:tc>
          <w:tcPr>
            <w:tcW w:w="1138" w:type="dxa"/>
          </w:tcPr>
          <w:p>
            <w:pPr>
              <w:pStyle w:val="TableParagraph"/>
              <w:spacing w:before="16"/>
              <w:ind w:left="120" w:right="118"/>
              <w:jc w:val="center"/>
              <w:rPr>
                <w:sz w:val="20"/>
              </w:rPr>
            </w:pPr>
            <w:r>
              <w:rPr>
                <w:spacing w:val="-10"/>
                <w:sz w:val="20"/>
              </w:rPr>
              <w:t>3</w:t>
            </w:r>
          </w:p>
        </w:tc>
        <w:tc>
          <w:tcPr>
            <w:tcW w:w="965" w:type="dxa"/>
          </w:tcPr>
          <w:p>
            <w:pPr>
              <w:pStyle w:val="TableParagraph"/>
              <w:spacing w:before="16"/>
              <w:ind w:left="7"/>
              <w:jc w:val="center"/>
              <w:rPr>
                <w:sz w:val="20"/>
              </w:rPr>
            </w:pPr>
            <w:r>
              <w:rPr>
                <w:spacing w:val="-10"/>
                <w:sz w:val="20"/>
              </w:rPr>
              <w:t>4</w:t>
            </w:r>
          </w:p>
        </w:tc>
        <w:tc>
          <w:tcPr>
            <w:tcW w:w="1275" w:type="dxa"/>
          </w:tcPr>
          <w:p>
            <w:pPr>
              <w:pStyle w:val="TableParagraph"/>
              <w:spacing w:before="16"/>
              <w:ind w:left="4"/>
              <w:jc w:val="center"/>
              <w:rPr>
                <w:sz w:val="20"/>
              </w:rPr>
            </w:pPr>
            <w:r>
              <w:rPr>
                <w:spacing w:val="-10"/>
                <w:sz w:val="20"/>
              </w:rPr>
              <w:t>5</w:t>
            </w:r>
          </w:p>
        </w:tc>
      </w:tr>
      <w:tr>
        <w:trPr>
          <w:trHeight w:val="551" w:hRule="atLeast"/>
        </w:trPr>
        <w:tc>
          <w:tcPr>
            <w:tcW w:w="569" w:type="dxa"/>
          </w:tcPr>
          <w:p>
            <w:pPr>
              <w:pStyle w:val="TableParagraph"/>
              <w:spacing w:line="223" w:lineRule="exact"/>
              <w:ind w:left="91"/>
              <w:jc w:val="center"/>
              <w:rPr>
                <w:sz w:val="20"/>
              </w:rPr>
            </w:pPr>
            <w:r>
              <w:rPr>
                <w:spacing w:val="-5"/>
                <w:sz w:val="20"/>
              </w:rPr>
              <w:t>2.</w:t>
            </w:r>
          </w:p>
        </w:tc>
        <w:tc>
          <w:tcPr>
            <w:tcW w:w="3668" w:type="dxa"/>
          </w:tcPr>
          <w:p>
            <w:pPr>
              <w:pStyle w:val="TableParagraph"/>
              <w:spacing w:line="268" w:lineRule="exact"/>
              <w:ind w:left="107"/>
              <w:rPr>
                <w:i/>
                <w:sz w:val="24"/>
              </w:rPr>
            </w:pPr>
            <w:r>
              <w:rPr>
                <w:i/>
                <w:sz w:val="24"/>
              </w:rPr>
              <w:t>Мне</w:t>
            </w:r>
            <w:r>
              <w:rPr>
                <w:i/>
                <w:spacing w:val="-4"/>
                <w:sz w:val="24"/>
              </w:rPr>
              <w:t> </w:t>
            </w:r>
            <w:r>
              <w:rPr>
                <w:i/>
                <w:sz w:val="24"/>
              </w:rPr>
              <w:t>нравится</w:t>
            </w:r>
            <w:r>
              <w:rPr>
                <w:i/>
                <w:spacing w:val="-4"/>
                <w:sz w:val="24"/>
              </w:rPr>
              <w:t> </w:t>
            </w:r>
            <w:r>
              <w:rPr>
                <w:i/>
                <w:sz w:val="24"/>
              </w:rPr>
              <w:t>делать</w:t>
            </w:r>
            <w:r>
              <w:rPr>
                <w:i/>
                <w:spacing w:val="-2"/>
                <w:sz w:val="24"/>
              </w:rPr>
              <w:t> </w:t>
            </w:r>
            <w:r>
              <w:rPr>
                <w:i/>
                <w:sz w:val="24"/>
              </w:rPr>
              <w:t>что-то</w:t>
            </w:r>
            <w:r>
              <w:rPr>
                <w:i/>
                <w:spacing w:val="-2"/>
                <w:sz w:val="24"/>
              </w:rPr>
              <w:t> </w:t>
            </w:r>
            <w:r>
              <w:rPr>
                <w:i/>
                <w:spacing w:val="-10"/>
                <w:sz w:val="24"/>
              </w:rPr>
              <w:t>в</w:t>
            </w:r>
          </w:p>
          <w:p>
            <w:pPr>
              <w:pStyle w:val="TableParagraph"/>
              <w:spacing w:line="264" w:lineRule="exact"/>
              <w:ind w:left="107"/>
              <w:rPr>
                <w:i/>
                <w:sz w:val="24"/>
              </w:rPr>
            </w:pPr>
            <w:r>
              <w:rPr>
                <w:i/>
                <w:spacing w:val="-2"/>
                <w:sz w:val="24"/>
              </w:rPr>
              <w:t>школе</w:t>
            </w:r>
          </w:p>
        </w:tc>
        <w:tc>
          <w:tcPr>
            <w:tcW w:w="1294" w:type="dxa"/>
          </w:tcPr>
          <w:p>
            <w:pPr>
              <w:pStyle w:val="TableParagraph"/>
              <w:spacing w:before="156"/>
              <w:ind w:left="5"/>
              <w:jc w:val="center"/>
              <w:rPr>
                <w:sz w:val="20"/>
              </w:rPr>
            </w:pPr>
            <w:r>
              <w:rPr>
                <w:spacing w:val="-10"/>
                <w:sz w:val="20"/>
              </w:rPr>
              <w:t>1</w:t>
            </w:r>
          </w:p>
        </w:tc>
        <w:tc>
          <w:tcPr>
            <w:tcW w:w="984" w:type="dxa"/>
          </w:tcPr>
          <w:p>
            <w:pPr>
              <w:pStyle w:val="TableParagraph"/>
              <w:spacing w:before="156"/>
              <w:ind w:left="7"/>
              <w:jc w:val="center"/>
              <w:rPr>
                <w:sz w:val="20"/>
              </w:rPr>
            </w:pPr>
            <w:r>
              <w:rPr>
                <w:spacing w:val="-10"/>
                <w:sz w:val="20"/>
              </w:rPr>
              <w:t>2</w:t>
            </w:r>
          </w:p>
        </w:tc>
        <w:tc>
          <w:tcPr>
            <w:tcW w:w="1138" w:type="dxa"/>
          </w:tcPr>
          <w:p>
            <w:pPr>
              <w:pStyle w:val="TableParagraph"/>
              <w:spacing w:before="156"/>
              <w:ind w:left="120" w:right="118"/>
              <w:jc w:val="center"/>
              <w:rPr>
                <w:sz w:val="20"/>
              </w:rPr>
            </w:pPr>
            <w:r>
              <w:rPr>
                <w:spacing w:val="-10"/>
                <w:sz w:val="20"/>
              </w:rPr>
              <w:t>3</w:t>
            </w:r>
          </w:p>
        </w:tc>
        <w:tc>
          <w:tcPr>
            <w:tcW w:w="965" w:type="dxa"/>
          </w:tcPr>
          <w:p>
            <w:pPr>
              <w:pStyle w:val="TableParagraph"/>
              <w:spacing w:before="156"/>
              <w:ind w:left="7"/>
              <w:jc w:val="center"/>
              <w:rPr>
                <w:sz w:val="20"/>
              </w:rPr>
            </w:pPr>
            <w:r>
              <w:rPr>
                <w:spacing w:val="-10"/>
                <w:sz w:val="20"/>
              </w:rPr>
              <w:t>4</w:t>
            </w:r>
          </w:p>
        </w:tc>
        <w:tc>
          <w:tcPr>
            <w:tcW w:w="1275" w:type="dxa"/>
          </w:tcPr>
          <w:p>
            <w:pPr>
              <w:pStyle w:val="TableParagraph"/>
              <w:spacing w:before="156"/>
              <w:ind w:left="4"/>
              <w:jc w:val="center"/>
              <w:rPr>
                <w:sz w:val="20"/>
              </w:rPr>
            </w:pPr>
            <w:r>
              <w:rPr>
                <w:spacing w:val="-10"/>
                <w:sz w:val="20"/>
              </w:rPr>
              <w:t>5</w:t>
            </w:r>
          </w:p>
        </w:tc>
      </w:tr>
      <w:tr>
        <w:trPr>
          <w:trHeight w:val="554" w:hRule="atLeast"/>
        </w:trPr>
        <w:tc>
          <w:tcPr>
            <w:tcW w:w="569" w:type="dxa"/>
          </w:tcPr>
          <w:p>
            <w:pPr>
              <w:pStyle w:val="TableParagraph"/>
              <w:spacing w:line="225" w:lineRule="exact"/>
              <w:ind w:left="91"/>
              <w:jc w:val="center"/>
              <w:rPr>
                <w:sz w:val="20"/>
              </w:rPr>
            </w:pPr>
            <w:r>
              <w:rPr>
                <w:spacing w:val="-5"/>
                <w:sz w:val="20"/>
              </w:rPr>
              <w:t>3.</w:t>
            </w:r>
          </w:p>
        </w:tc>
        <w:tc>
          <w:tcPr>
            <w:tcW w:w="3668" w:type="dxa"/>
          </w:tcPr>
          <w:p>
            <w:pPr>
              <w:pStyle w:val="TableParagraph"/>
              <w:spacing w:line="270" w:lineRule="exact"/>
              <w:ind w:left="107"/>
              <w:rPr>
                <w:i/>
                <w:sz w:val="24"/>
              </w:rPr>
            </w:pPr>
            <w:r>
              <w:rPr>
                <w:i/>
                <w:sz w:val="24"/>
              </w:rPr>
              <w:t>Я</w:t>
            </w:r>
            <w:r>
              <w:rPr>
                <w:i/>
                <w:spacing w:val="-3"/>
                <w:sz w:val="24"/>
              </w:rPr>
              <w:t> </w:t>
            </w:r>
            <w:r>
              <w:rPr>
                <w:i/>
                <w:sz w:val="24"/>
              </w:rPr>
              <w:t>нахожу</w:t>
            </w:r>
            <w:r>
              <w:rPr>
                <w:i/>
                <w:spacing w:val="-1"/>
                <w:sz w:val="24"/>
              </w:rPr>
              <w:t> </w:t>
            </w:r>
            <w:r>
              <w:rPr>
                <w:i/>
                <w:sz w:val="24"/>
              </w:rPr>
              <w:t>школу</w:t>
            </w:r>
            <w:r>
              <w:rPr>
                <w:i/>
                <w:spacing w:val="-2"/>
                <w:sz w:val="24"/>
              </w:rPr>
              <w:t> </w:t>
            </w:r>
            <w:r>
              <w:rPr>
                <w:i/>
                <w:sz w:val="24"/>
              </w:rPr>
              <w:t>в</w:t>
            </w:r>
            <w:r>
              <w:rPr>
                <w:i/>
                <w:spacing w:val="-1"/>
                <w:sz w:val="24"/>
              </w:rPr>
              <w:t> </w:t>
            </w:r>
            <w:r>
              <w:rPr>
                <w:i/>
                <w:spacing w:val="-4"/>
                <w:sz w:val="24"/>
              </w:rPr>
              <w:t>целом</w:t>
            </w:r>
          </w:p>
          <w:p>
            <w:pPr>
              <w:pStyle w:val="TableParagraph"/>
              <w:spacing w:line="264" w:lineRule="exact"/>
              <w:ind w:left="107"/>
              <w:rPr>
                <w:i/>
                <w:sz w:val="24"/>
              </w:rPr>
            </w:pPr>
            <w:r>
              <w:rPr>
                <w:i/>
                <w:spacing w:val="-2"/>
                <w:sz w:val="24"/>
              </w:rPr>
              <w:t>интересной</w:t>
            </w:r>
          </w:p>
        </w:tc>
        <w:tc>
          <w:tcPr>
            <w:tcW w:w="1294" w:type="dxa"/>
          </w:tcPr>
          <w:p>
            <w:pPr>
              <w:pStyle w:val="TableParagraph"/>
              <w:spacing w:before="156"/>
              <w:ind w:left="5"/>
              <w:jc w:val="center"/>
              <w:rPr>
                <w:sz w:val="20"/>
              </w:rPr>
            </w:pPr>
            <w:r>
              <w:rPr>
                <w:spacing w:val="-10"/>
                <w:sz w:val="20"/>
              </w:rPr>
              <w:t>1</w:t>
            </w:r>
          </w:p>
        </w:tc>
        <w:tc>
          <w:tcPr>
            <w:tcW w:w="984" w:type="dxa"/>
          </w:tcPr>
          <w:p>
            <w:pPr>
              <w:pStyle w:val="TableParagraph"/>
              <w:spacing w:before="156"/>
              <w:ind w:left="7"/>
              <w:jc w:val="center"/>
              <w:rPr>
                <w:sz w:val="20"/>
              </w:rPr>
            </w:pPr>
            <w:r>
              <w:rPr>
                <w:spacing w:val="-10"/>
                <w:sz w:val="20"/>
              </w:rPr>
              <w:t>2</w:t>
            </w:r>
          </w:p>
        </w:tc>
        <w:tc>
          <w:tcPr>
            <w:tcW w:w="1138" w:type="dxa"/>
          </w:tcPr>
          <w:p>
            <w:pPr>
              <w:pStyle w:val="TableParagraph"/>
              <w:spacing w:before="156"/>
              <w:ind w:left="120" w:right="118"/>
              <w:jc w:val="center"/>
              <w:rPr>
                <w:sz w:val="20"/>
              </w:rPr>
            </w:pPr>
            <w:r>
              <w:rPr>
                <w:spacing w:val="-10"/>
                <w:sz w:val="20"/>
              </w:rPr>
              <w:t>3</w:t>
            </w:r>
          </w:p>
        </w:tc>
        <w:tc>
          <w:tcPr>
            <w:tcW w:w="965" w:type="dxa"/>
          </w:tcPr>
          <w:p>
            <w:pPr>
              <w:pStyle w:val="TableParagraph"/>
              <w:spacing w:before="156"/>
              <w:ind w:left="7"/>
              <w:jc w:val="center"/>
              <w:rPr>
                <w:sz w:val="20"/>
              </w:rPr>
            </w:pPr>
            <w:r>
              <w:rPr>
                <w:spacing w:val="-10"/>
                <w:sz w:val="20"/>
              </w:rPr>
              <w:t>4</w:t>
            </w:r>
          </w:p>
        </w:tc>
        <w:tc>
          <w:tcPr>
            <w:tcW w:w="1275" w:type="dxa"/>
          </w:tcPr>
          <w:p>
            <w:pPr>
              <w:pStyle w:val="TableParagraph"/>
              <w:spacing w:before="156"/>
              <w:ind w:left="4"/>
              <w:jc w:val="center"/>
              <w:rPr>
                <w:sz w:val="20"/>
              </w:rPr>
            </w:pPr>
            <w:r>
              <w:rPr>
                <w:spacing w:val="-10"/>
                <w:sz w:val="20"/>
              </w:rPr>
              <w:t>5</w:t>
            </w:r>
          </w:p>
        </w:tc>
      </w:tr>
      <w:tr>
        <w:trPr>
          <w:trHeight w:val="551" w:hRule="atLeast"/>
        </w:trPr>
        <w:tc>
          <w:tcPr>
            <w:tcW w:w="569" w:type="dxa"/>
          </w:tcPr>
          <w:p>
            <w:pPr>
              <w:pStyle w:val="TableParagraph"/>
              <w:spacing w:line="223" w:lineRule="exact"/>
              <w:ind w:left="91"/>
              <w:jc w:val="center"/>
              <w:rPr>
                <w:sz w:val="20"/>
              </w:rPr>
            </w:pPr>
            <w:r>
              <w:rPr>
                <w:spacing w:val="-5"/>
                <w:sz w:val="20"/>
              </w:rPr>
              <w:t>4.</w:t>
            </w:r>
          </w:p>
        </w:tc>
        <w:tc>
          <w:tcPr>
            <w:tcW w:w="3668" w:type="dxa"/>
          </w:tcPr>
          <w:p>
            <w:pPr>
              <w:pStyle w:val="TableParagraph"/>
              <w:spacing w:line="268" w:lineRule="exact"/>
              <w:ind w:left="107"/>
              <w:rPr>
                <w:i/>
                <w:sz w:val="24"/>
              </w:rPr>
            </w:pPr>
            <w:r>
              <w:rPr>
                <w:i/>
                <w:sz w:val="24"/>
              </w:rPr>
              <w:t>То,</w:t>
            </w:r>
            <w:r>
              <w:rPr>
                <w:i/>
                <w:spacing w:val="-1"/>
                <w:sz w:val="24"/>
              </w:rPr>
              <w:t> </w:t>
            </w:r>
            <w:r>
              <w:rPr>
                <w:i/>
                <w:sz w:val="24"/>
              </w:rPr>
              <w:t>чему</w:t>
            </w:r>
            <w:r>
              <w:rPr>
                <w:i/>
                <w:spacing w:val="-1"/>
                <w:sz w:val="24"/>
              </w:rPr>
              <w:t> </w:t>
            </w:r>
            <w:r>
              <w:rPr>
                <w:i/>
                <w:sz w:val="24"/>
              </w:rPr>
              <w:t>я</w:t>
            </w:r>
            <w:r>
              <w:rPr>
                <w:i/>
                <w:spacing w:val="-3"/>
                <w:sz w:val="24"/>
              </w:rPr>
              <w:t> </w:t>
            </w:r>
            <w:r>
              <w:rPr>
                <w:i/>
                <w:sz w:val="24"/>
              </w:rPr>
              <w:t>учусь</w:t>
            </w:r>
            <w:r>
              <w:rPr>
                <w:i/>
                <w:spacing w:val="-1"/>
                <w:sz w:val="24"/>
              </w:rPr>
              <w:t> </w:t>
            </w:r>
            <w:r>
              <w:rPr>
                <w:i/>
                <w:sz w:val="24"/>
              </w:rPr>
              <w:t>в школе,</w:t>
            </w:r>
            <w:r>
              <w:rPr>
                <w:i/>
                <w:spacing w:val="-1"/>
                <w:sz w:val="24"/>
              </w:rPr>
              <w:t> </w:t>
            </w:r>
            <w:r>
              <w:rPr>
                <w:i/>
                <w:sz w:val="24"/>
              </w:rPr>
              <w:t>в</w:t>
            </w:r>
            <w:r>
              <w:rPr>
                <w:i/>
                <w:spacing w:val="-1"/>
                <w:sz w:val="24"/>
              </w:rPr>
              <w:t> </w:t>
            </w:r>
            <w:r>
              <w:rPr>
                <w:i/>
                <w:spacing w:val="-4"/>
                <w:sz w:val="24"/>
              </w:rPr>
              <w:t>целом</w:t>
            </w:r>
          </w:p>
          <w:p>
            <w:pPr>
              <w:pStyle w:val="TableParagraph"/>
              <w:spacing w:line="264" w:lineRule="exact"/>
              <w:ind w:left="107"/>
              <w:rPr>
                <w:i/>
                <w:sz w:val="24"/>
              </w:rPr>
            </w:pPr>
            <w:r>
              <w:rPr>
                <w:i/>
                <w:spacing w:val="-2"/>
                <w:sz w:val="24"/>
              </w:rPr>
              <w:t>полезно</w:t>
            </w:r>
          </w:p>
        </w:tc>
        <w:tc>
          <w:tcPr>
            <w:tcW w:w="1294" w:type="dxa"/>
          </w:tcPr>
          <w:p>
            <w:pPr>
              <w:pStyle w:val="TableParagraph"/>
              <w:spacing w:before="154"/>
              <w:ind w:left="5"/>
              <w:jc w:val="center"/>
              <w:rPr>
                <w:sz w:val="20"/>
              </w:rPr>
            </w:pPr>
            <w:r>
              <w:rPr>
                <w:spacing w:val="-10"/>
                <w:sz w:val="20"/>
              </w:rPr>
              <w:t>1</w:t>
            </w:r>
          </w:p>
        </w:tc>
        <w:tc>
          <w:tcPr>
            <w:tcW w:w="984" w:type="dxa"/>
          </w:tcPr>
          <w:p>
            <w:pPr>
              <w:pStyle w:val="TableParagraph"/>
              <w:spacing w:before="154"/>
              <w:ind w:left="7"/>
              <w:jc w:val="center"/>
              <w:rPr>
                <w:sz w:val="20"/>
              </w:rPr>
            </w:pPr>
            <w:r>
              <w:rPr>
                <w:spacing w:val="-10"/>
                <w:sz w:val="20"/>
              </w:rPr>
              <w:t>2</w:t>
            </w:r>
          </w:p>
        </w:tc>
        <w:tc>
          <w:tcPr>
            <w:tcW w:w="1138" w:type="dxa"/>
          </w:tcPr>
          <w:p>
            <w:pPr>
              <w:pStyle w:val="TableParagraph"/>
              <w:spacing w:before="154"/>
              <w:ind w:left="120" w:right="118"/>
              <w:jc w:val="center"/>
              <w:rPr>
                <w:sz w:val="20"/>
              </w:rPr>
            </w:pPr>
            <w:r>
              <w:rPr>
                <w:spacing w:val="-10"/>
                <w:sz w:val="20"/>
              </w:rPr>
              <w:t>3</w:t>
            </w:r>
          </w:p>
        </w:tc>
        <w:tc>
          <w:tcPr>
            <w:tcW w:w="965" w:type="dxa"/>
          </w:tcPr>
          <w:p>
            <w:pPr>
              <w:pStyle w:val="TableParagraph"/>
              <w:spacing w:before="154"/>
              <w:ind w:left="7"/>
              <w:jc w:val="center"/>
              <w:rPr>
                <w:sz w:val="20"/>
              </w:rPr>
            </w:pPr>
            <w:r>
              <w:rPr>
                <w:spacing w:val="-10"/>
                <w:sz w:val="20"/>
              </w:rPr>
              <w:t>4</w:t>
            </w:r>
          </w:p>
        </w:tc>
        <w:tc>
          <w:tcPr>
            <w:tcW w:w="1275" w:type="dxa"/>
          </w:tcPr>
          <w:p>
            <w:pPr>
              <w:pStyle w:val="TableParagraph"/>
              <w:spacing w:before="154"/>
              <w:ind w:left="4"/>
              <w:jc w:val="center"/>
              <w:rPr>
                <w:sz w:val="20"/>
              </w:rPr>
            </w:pPr>
            <w:r>
              <w:rPr>
                <w:spacing w:val="-10"/>
                <w:sz w:val="20"/>
              </w:rPr>
              <w:t>5</w:t>
            </w:r>
          </w:p>
        </w:tc>
      </w:tr>
      <w:tr>
        <w:trPr>
          <w:trHeight w:val="552" w:hRule="atLeast"/>
        </w:trPr>
        <w:tc>
          <w:tcPr>
            <w:tcW w:w="569" w:type="dxa"/>
          </w:tcPr>
          <w:p>
            <w:pPr>
              <w:pStyle w:val="TableParagraph"/>
              <w:spacing w:line="224" w:lineRule="exact"/>
              <w:ind w:left="91"/>
              <w:jc w:val="center"/>
              <w:rPr>
                <w:sz w:val="20"/>
              </w:rPr>
            </w:pPr>
            <w:r>
              <w:rPr>
                <w:spacing w:val="-5"/>
                <w:sz w:val="20"/>
              </w:rPr>
              <w:t>5.</w:t>
            </w:r>
          </w:p>
        </w:tc>
        <w:tc>
          <w:tcPr>
            <w:tcW w:w="3668" w:type="dxa"/>
          </w:tcPr>
          <w:p>
            <w:pPr>
              <w:pStyle w:val="TableParagraph"/>
              <w:spacing w:line="268" w:lineRule="exact"/>
              <w:ind w:left="107"/>
              <w:rPr>
                <w:i/>
                <w:sz w:val="24"/>
              </w:rPr>
            </w:pPr>
            <w:r>
              <w:rPr>
                <w:i/>
                <w:sz w:val="24"/>
              </w:rPr>
              <w:t>Учеба</w:t>
            </w:r>
            <w:r>
              <w:rPr>
                <w:i/>
                <w:spacing w:val="-2"/>
                <w:sz w:val="24"/>
              </w:rPr>
              <w:t> </w:t>
            </w:r>
            <w:r>
              <w:rPr>
                <w:i/>
                <w:sz w:val="24"/>
              </w:rPr>
              <w:t>в школе</w:t>
            </w:r>
            <w:r>
              <w:rPr>
                <w:i/>
                <w:spacing w:val="-3"/>
                <w:sz w:val="24"/>
              </w:rPr>
              <w:t> </w:t>
            </w:r>
            <w:r>
              <w:rPr>
                <w:i/>
                <w:sz w:val="24"/>
              </w:rPr>
              <w:t>будет</w:t>
            </w:r>
            <w:r>
              <w:rPr>
                <w:i/>
                <w:spacing w:val="-2"/>
                <w:sz w:val="24"/>
              </w:rPr>
              <w:t> </w:t>
            </w:r>
            <w:r>
              <w:rPr>
                <w:i/>
                <w:sz w:val="24"/>
              </w:rPr>
              <w:t>полезна</w:t>
            </w:r>
            <w:r>
              <w:rPr>
                <w:i/>
                <w:spacing w:val="-1"/>
                <w:sz w:val="24"/>
              </w:rPr>
              <w:t> </w:t>
            </w:r>
            <w:r>
              <w:rPr>
                <w:i/>
                <w:spacing w:val="-5"/>
                <w:sz w:val="24"/>
              </w:rPr>
              <w:t>для</w:t>
            </w:r>
          </w:p>
          <w:p>
            <w:pPr>
              <w:pStyle w:val="TableParagraph"/>
              <w:spacing w:line="264" w:lineRule="exact"/>
              <w:ind w:left="107"/>
              <w:rPr>
                <w:i/>
                <w:sz w:val="24"/>
              </w:rPr>
            </w:pPr>
            <w:r>
              <w:rPr>
                <w:i/>
                <w:sz w:val="24"/>
              </w:rPr>
              <w:t>меня</w:t>
            </w:r>
            <w:r>
              <w:rPr>
                <w:i/>
                <w:spacing w:val="-1"/>
                <w:sz w:val="24"/>
              </w:rPr>
              <w:t> </w:t>
            </w:r>
            <w:r>
              <w:rPr>
                <w:i/>
                <w:sz w:val="24"/>
              </w:rPr>
              <w:t>в</w:t>
            </w:r>
            <w:r>
              <w:rPr>
                <w:i/>
                <w:spacing w:val="-1"/>
                <w:sz w:val="24"/>
              </w:rPr>
              <w:t> </w:t>
            </w:r>
            <w:r>
              <w:rPr>
                <w:i/>
                <w:spacing w:val="-2"/>
                <w:sz w:val="24"/>
              </w:rPr>
              <w:t>будущем</w:t>
            </w:r>
          </w:p>
        </w:tc>
        <w:tc>
          <w:tcPr>
            <w:tcW w:w="1294" w:type="dxa"/>
          </w:tcPr>
          <w:p>
            <w:pPr>
              <w:pStyle w:val="TableParagraph"/>
              <w:spacing w:before="154"/>
              <w:ind w:left="5"/>
              <w:jc w:val="center"/>
              <w:rPr>
                <w:sz w:val="20"/>
              </w:rPr>
            </w:pPr>
            <w:r>
              <w:rPr>
                <w:spacing w:val="-10"/>
                <w:sz w:val="20"/>
              </w:rPr>
              <w:t>1</w:t>
            </w:r>
          </w:p>
        </w:tc>
        <w:tc>
          <w:tcPr>
            <w:tcW w:w="984" w:type="dxa"/>
          </w:tcPr>
          <w:p>
            <w:pPr>
              <w:pStyle w:val="TableParagraph"/>
              <w:spacing w:before="154"/>
              <w:ind w:left="7"/>
              <w:jc w:val="center"/>
              <w:rPr>
                <w:sz w:val="20"/>
              </w:rPr>
            </w:pPr>
            <w:r>
              <w:rPr>
                <w:spacing w:val="-10"/>
                <w:sz w:val="20"/>
              </w:rPr>
              <w:t>2</w:t>
            </w:r>
          </w:p>
        </w:tc>
        <w:tc>
          <w:tcPr>
            <w:tcW w:w="1138" w:type="dxa"/>
          </w:tcPr>
          <w:p>
            <w:pPr>
              <w:pStyle w:val="TableParagraph"/>
              <w:spacing w:before="154"/>
              <w:ind w:left="120" w:right="118"/>
              <w:jc w:val="center"/>
              <w:rPr>
                <w:sz w:val="20"/>
              </w:rPr>
            </w:pPr>
            <w:r>
              <w:rPr>
                <w:spacing w:val="-10"/>
                <w:sz w:val="20"/>
              </w:rPr>
              <w:t>3</w:t>
            </w:r>
          </w:p>
        </w:tc>
        <w:tc>
          <w:tcPr>
            <w:tcW w:w="965" w:type="dxa"/>
          </w:tcPr>
          <w:p>
            <w:pPr>
              <w:pStyle w:val="TableParagraph"/>
              <w:spacing w:before="154"/>
              <w:ind w:left="7"/>
              <w:jc w:val="center"/>
              <w:rPr>
                <w:sz w:val="20"/>
              </w:rPr>
            </w:pPr>
            <w:r>
              <w:rPr>
                <w:spacing w:val="-10"/>
                <w:sz w:val="20"/>
              </w:rPr>
              <w:t>4</w:t>
            </w:r>
          </w:p>
        </w:tc>
        <w:tc>
          <w:tcPr>
            <w:tcW w:w="1275" w:type="dxa"/>
          </w:tcPr>
          <w:p>
            <w:pPr>
              <w:pStyle w:val="TableParagraph"/>
              <w:spacing w:before="154"/>
              <w:ind w:left="4"/>
              <w:jc w:val="center"/>
              <w:rPr>
                <w:sz w:val="20"/>
              </w:rPr>
            </w:pPr>
            <w:r>
              <w:rPr>
                <w:spacing w:val="-10"/>
                <w:sz w:val="20"/>
              </w:rPr>
              <w:t>5</w:t>
            </w:r>
          </w:p>
        </w:tc>
      </w:tr>
      <w:tr>
        <w:trPr>
          <w:trHeight w:val="827" w:hRule="atLeast"/>
        </w:trPr>
        <w:tc>
          <w:tcPr>
            <w:tcW w:w="569" w:type="dxa"/>
          </w:tcPr>
          <w:p>
            <w:pPr>
              <w:pStyle w:val="TableParagraph"/>
              <w:spacing w:line="223" w:lineRule="exact"/>
              <w:ind w:left="91"/>
              <w:jc w:val="center"/>
              <w:rPr>
                <w:sz w:val="20"/>
              </w:rPr>
            </w:pPr>
            <w:r>
              <w:rPr>
                <w:spacing w:val="-5"/>
                <w:sz w:val="20"/>
              </w:rPr>
              <w:t>6.</w:t>
            </w:r>
          </w:p>
        </w:tc>
        <w:tc>
          <w:tcPr>
            <w:tcW w:w="3668" w:type="dxa"/>
          </w:tcPr>
          <w:p>
            <w:pPr>
              <w:pStyle w:val="TableParagraph"/>
              <w:spacing w:line="268" w:lineRule="exact"/>
              <w:ind w:left="107"/>
              <w:rPr>
                <w:i/>
                <w:sz w:val="24"/>
              </w:rPr>
            </w:pPr>
            <w:r>
              <w:rPr>
                <w:i/>
                <w:sz w:val="24"/>
              </w:rPr>
              <w:t>То,</w:t>
            </w:r>
            <w:r>
              <w:rPr>
                <w:i/>
                <w:spacing w:val="-1"/>
                <w:sz w:val="24"/>
              </w:rPr>
              <w:t> </w:t>
            </w:r>
            <w:r>
              <w:rPr>
                <w:i/>
                <w:sz w:val="24"/>
              </w:rPr>
              <w:t>чему</w:t>
            </w:r>
            <w:r>
              <w:rPr>
                <w:i/>
                <w:spacing w:val="-1"/>
                <w:sz w:val="24"/>
              </w:rPr>
              <w:t> </w:t>
            </w:r>
            <w:r>
              <w:rPr>
                <w:i/>
                <w:sz w:val="24"/>
              </w:rPr>
              <w:t>я</w:t>
            </w:r>
            <w:r>
              <w:rPr>
                <w:i/>
                <w:spacing w:val="-3"/>
                <w:sz w:val="24"/>
              </w:rPr>
              <w:t> </w:t>
            </w:r>
            <w:r>
              <w:rPr>
                <w:i/>
                <w:sz w:val="24"/>
              </w:rPr>
              <w:t>учусь</w:t>
            </w:r>
            <w:r>
              <w:rPr>
                <w:i/>
                <w:spacing w:val="-1"/>
                <w:sz w:val="24"/>
              </w:rPr>
              <w:t> </w:t>
            </w:r>
            <w:r>
              <w:rPr>
                <w:i/>
                <w:sz w:val="24"/>
              </w:rPr>
              <w:t>в</w:t>
            </w:r>
            <w:r>
              <w:rPr>
                <w:i/>
                <w:spacing w:val="1"/>
                <w:sz w:val="24"/>
              </w:rPr>
              <w:t> </w:t>
            </w:r>
            <w:r>
              <w:rPr>
                <w:i/>
                <w:spacing w:val="-2"/>
                <w:sz w:val="24"/>
              </w:rPr>
              <w:t>школе,</w:t>
            </w:r>
          </w:p>
          <w:p>
            <w:pPr>
              <w:pStyle w:val="TableParagraph"/>
              <w:spacing w:line="270" w:lineRule="atLeast"/>
              <w:ind w:left="107" w:right="176"/>
              <w:rPr>
                <w:i/>
                <w:sz w:val="24"/>
              </w:rPr>
            </w:pPr>
            <w:r>
              <w:rPr>
                <w:i/>
                <w:sz w:val="24"/>
              </w:rPr>
              <w:t>пригодится</w:t>
            </w:r>
            <w:r>
              <w:rPr>
                <w:i/>
                <w:spacing w:val="-15"/>
                <w:sz w:val="24"/>
              </w:rPr>
              <w:t> </w:t>
            </w:r>
            <w:r>
              <w:rPr>
                <w:i/>
                <w:sz w:val="24"/>
              </w:rPr>
              <w:t>в</w:t>
            </w:r>
            <w:r>
              <w:rPr>
                <w:i/>
                <w:spacing w:val="-14"/>
                <w:sz w:val="24"/>
              </w:rPr>
              <w:t> </w:t>
            </w:r>
            <w:r>
              <w:rPr>
                <w:i/>
                <w:sz w:val="24"/>
              </w:rPr>
              <w:t>моей</w:t>
            </w:r>
            <w:r>
              <w:rPr>
                <w:i/>
                <w:spacing w:val="-12"/>
                <w:sz w:val="24"/>
              </w:rPr>
              <w:t> </w:t>
            </w:r>
            <w:r>
              <w:rPr>
                <w:i/>
                <w:sz w:val="24"/>
              </w:rPr>
              <w:t>будущей </w:t>
            </w:r>
            <w:r>
              <w:rPr>
                <w:i/>
                <w:spacing w:val="-2"/>
                <w:sz w:val="24"/>
              </w:rPr>
              <w:t>жизни</w:t>
            </w:r>
          </w:p>
        </w:tc>
        <w:tc>
          <w:tcPr>
            <w:tcW w:w="1294" w:type="dxa"/>
          </w:tcPr>
          <w:p>
            <w:pPr>
              <w:pStyle w:val="TableParagraph"/>
              <w:spacing w:before="63"/>
              <w:rPr>
                <w:b/>
                <w:i/>
                <w:sz w:val="20"/>
              </w:rPr>
            </w:pPr>
          </w:p>
          <w:p>
            <w:pPr>
              <w:pStyle w:val="TableParagraph"/>
              <w:ind w:left="5"/>
              <w:jc w:val="center"/>
              <w:rPr>
                <w:sz w:val="20"/>
              </w:rPr>
            </w:pPr>
            <w:r>
              <w:rPr>
                <w:spacing w:val="-10"/>
                <w:sz w:val="20"/>
              </w:rPr>
              <w:t>1</w:t>
            </w:r>
          </w:p>
        </w:tc>
        <w:tc>
          <w:tcPr>
            <w:tcW w:w="984" w:type="dxa"/>
          </w:tcPr>
          <w:p>
            <w:pPr>
              <w:pStyle w:val="TableParagraph"/>
              <w:spacing w:before="63"/>
              <w:rPr>
                <w:b/>
                <w:i/>
                <w:sz w:val="20"/>
              </w:rPr>
            </w:pPr>
          </w:p>
          <w:p>
            <w:pPr>
              <w:pStyle w:val="TableParagraph"/>
              <w:ind w:left="7"/>
              <w:jc w:val="center"/>
              <w:rPr>
                <w:sz w:val="20"/>
              </w:rPr>
            </w:pPr>
            <w:r>
              <w:rPr>
                <w:spacing w:val="-10"/>
                <w:sz w:val="20"/>
              </w:rPr>
              <w:t>2</w:t>
            </w:r>
          </w:p>
        </w:tc>
        <w:tc>
          <w:tcPr>
            <w:tcW w:w="1138" w:type="dxa"/>
          </w:tcPr>
          <w:p>
            <w:pPr>
              <w:pStyle w:val="TableParagraph"/>
              <w:spacing w:before="63"/>
              <w:rPr>
                <w:b/>
                <w:i/>
                <w:sz w:val="20"/>
              </w:rPr>
            </w:pPr>
          </w:p>
          <w:p>
            <w:pPr>
              <w:pStyle w:val="TableParagraph"/>
              <w:ind w:left="120" w:right="118"/>
              <w:jc w:val="center"/>
              <w:rPr>
                <w:sz w:val="20"/>
              </w:rPr>
            </w:pPr>
            <w:r>
              <w:rPr>
                <w:spacing w:val="-10"/>
                <w:sz w:val="20"/>
              </w:rPr>
              <w:t>3</w:t>
            </w:r>
          </w:p>
        </w:tc>
        <w:tc>
          <w:tcPr>
            <w:tcW w:w="965" w:type="dxa"/>
          </w:tcPr>
          <w:p>
            <w:pPr>
              <w:pStyle w:val="TableParagraph"/>
              <w:spacing w:before="63"/>
              <w:rPr>
                <w:b/>
                <w:i/>
                <w:sz w:val="20"/>
              </w:rPr>
            </w:pPr>
          </w:p>
          <w:p>
            <w:pPr>
              <w:pStyle w:val="TableParagraph"/>
              <w:ind w:left="7"/>
              <w:jc w:val="center"/>
              <w:rPr>
                <w:sz w:val="20"/>
              </w:rPr>
            </w:pPr>
            <w:r>
              <w:rPr>
                <w:spacing w:val="-10"/>
                <w:sz w:val="20"/>
              </w:rPr>
              <w:t>4</w:t>
            </w:r>
          </w:p>
        </w:tc>
        <w:tc>
          <w:tcPr>
            <w:tcW w:w="1275" w:type="dxa"/>
          </w:tcPr>
          <w:p>
            <w:pPr>
              <w:pStyle w:val="TableParagraph"/>
              <w:spacing w:before="63"/>
              <w:rPr>
                <w:b/>
                <w:i/>
                <w:sz w:val="20"/>
              </w:rPr>
            </w:pPr>
          </w:p>
          <w:p>
            <w:pPr>
              <w:pStyle w:val="TableParagraph"/>
              <w:ind w:left="4"/>
              <w:jc w:val="center"/>
              <w:rPr>
                <w:sz w:val="20"/>
              </w:rPr>
            </w:pPr>
            <w:r>
              <w:rPr>
                <w:spacing w:val="-10"/>
                <w:sz w:val="20"/>
              </w:rPr>
              <w:t>5</w:t>
            </w:r>
          </w:p>
        </w:tc>
      </w:tr>
      <w:tr>
        <w:trPr>
          <w:trHeight w:val="551" w:hRule="atLeast"/>
        </w:trPr>
        <w:tc>
          <w:tcPr>
            <w:tcW w:w="569" w:type="dxa"/>
          </w:tcPr>
          <w:p>
            <w:pPr>
              <w:pStyle w:val="TableParagraph"/>
              <w:spacing w:line="223" w:lineRule="exact"/>
              <w:ind w:left="91"/>
              <w:jc w:val="center"/>
              <w:rPr>
                <w:sz w:val="20"/>
              </w:rPr>
            </w:pPr>
            <w:r>
              <w:rPr>
                <w:spacing w:val="-5"/>
                <w:sz w:val="20"/>
              </w:rPr>
              <w:t>7.</w:t>
            </w:r>
          </w:p>
        </w:tc>
        <w:tc>
          <w:tcPr>
            <w:tcW w:w="3668" w:type="dxa"/>
          </w:tcPr>
          <w:p>
            <w:pPr>
              <w:pStyle w:val="TableParagraph"/>
              <w:spacing w:line="268" w:lineRule="exact"/>
              <w:ind w:left="107"/>
              <w:rPr>
                <w:i/>
                <w:sz w:val="24"/>
              </w:rPr>
            </w:pPr>
            <w:r>
              <w:rPr>
                <w:i/>
                <w:sz w:val="24"/>
              </w:rPr>
              <w:t>Для</w:t>
            </w:r>
            <w:r>
              <w:rPr>
                <w:i/>
                <w:spacing w:val="-3"/>
                <w:sz w:val="24"/>
              </w:rPr>
              <w:t> </w:t>
            </w:r>
            <w:r>
              <w:rPr>
                <w:i/>
                <w:sz w:val="24"/>
              </w:rPr>
              <w:t>меня</w:t>
            </w:r>
            <w:r>
              <w:rPr>
                <w:i/>
                <w:spacing w:val="-2"/>
                <w:sz w:val="24"/>
              </w:rPr>
              <w:t> </w:t>
            </w:r>
            <w:r>
              <w:rPr>
                <w:i/>
                <w:sz w:val="24"/>
              </w:rPr>
              <w:t>важно</w:t>
            </w:r>
            <w:r>
              <w:rPr>
                <w:i/>
                <w:spacing w:val="-1"/>
                <w:sz w:val="24"/>
              </w:rPr>
              <w:t> </w:t>
            </w:r>
            <w:r>
              <w:rPr>
                <w:i/>
                <w:sz w:val="24"/>
              </w:rPr>
              <w:t>хорошо</w:t>
            </w:r>
            <w:r>
              <w:rPr>
                <w:i/>
                <w:spacing w:val="-1"/>
                <w:sz w:val="24"/>
              </w:rPr>
              <w:t> </w:t>
            </w:r>
            <w:r>
              <w:rPr>
                <w:i/>
                <w:spacing w:val="-2"/>
                <w:sz w:val="24"/>
              </w:rPr>
              <w:t>учиться</w:t>
            </w:r>
          </w:p>
          <w:p>
            <w:pPr>
              <w:pStyle w:val="TableParagraph"/>
              <w:spacing w:line="264" w:lineRule="exact"/>
              <w:ind w:left="107"/>
              <w:rPr>
                <w:i/>
                <w:sz w:val="24"/>
              </w:rPr>
            </w:pPr>
            <w:r>
              <w:rPr>
                <w:i/>
                <w:sz w:val="24"/>
              </w:rPr>
              <w:t>в</w:t>
            </w:r>
            <w:r>
              <w:rPr>
                <w:i/>
                <w:spacing w:val="-3"/>
                <w:sz w:val="24"/>
              </w:rPr>
              <w:t> </w:t>
            </w:r>
            <w:r>
              <w:rPr>
                <w:i/>
                <w:spacing w:val="-4"/>
                <w:sz w:val="24"/>
              </w:rPr>
              <w:t>школе</w:t>
            </w:r>
          </w:p>
        </w:tc>
        <w:tc>
          <w:tcPr>
            <w:tcW w:w="1294" w:type="dxa"/>
          </w:tcPr>
          <w:p>
            <w:pPr>
              <w:pStyle w:val="TableParagraph"/>
              <w:spacing w:before="154"/>
              <w:ind w:left="5"/>
              <w:jc w:val="center"/>
              <w:rPr>
                <w:sz w:val="20"/>
              </w:rPr>
            </w:pPr>
            <w:r>
              <w:rPr>
                <w:spacing w:val="-10"/>
                <w:sz w:val="20"/>
              </w:rPr>
              <w:t>1</w:t>
            </w:r>
          </w:p>
        </w:tc>
        <w:tc>
          <w:tcPr>
            <w:tcW w:w="984" w:type="dxa"/>
          </w:tcPr>
          <w:p>
            <w:pPr>
              <w:pStyle w:val="TableParagraph"/>
              <w:spacing w:before="154"/>
              <w:ind w:left="7"/>
              <w:jc w:val="center"/>
              <w:rPr>
                <w:sz w:val="20"/>
              </w:rPr>
            </w:pPr>
            <w:r>
              <w:rPr>
                <w:spacing w:val="-10"/>
                <w:sz w:val="20"/>
              </w:rPr>
              <w:t>2</w:t>
            </w:r>
          </w:p>
        </w:tc>
        <w:tc>
          <w:tcPr>
            <w:tcW w:w="1138" w:type="dxa"/>
          </w:tcPr>
          <w:p>
            <w:pPr>
              <w:pStyle w:val="TableParagraph"/>
              <w:spacing w:before="154"/>
              <w:ind w:left="120" w:right="118"/>
              <w:jc w:val="center"/>
              <w:rPr>
                <w:sz w:val="20"/>
              </w:rPr>
            </w:pPr>
            <w:r>
              <w:rPr>
                <w:spacing w:val="-10"/>
                <w:sz w:val="20"/>
              </w:rPr>
              <w:t>3</w:t>
            </w:r>
          </w:p>
        </w:tc>
        <w:tc>
          <w:tcPr>
            <w:tcW w:w="965" w:type="dxa"/>
          </w:tcPr>
          <w:p>
            <w:pPr>
              <w:pStyle w:val="TableParagraph"/>
              <w:spacing w:before="154"/>
              <w:ind w:left="7"/>
              <w:jc w:val="center"/>
              <w:rPr>
                <w:sz w:val="20"/>
              </w:rPr>
            </w:pPr>
            <w:r>
              <w:rPr>
                <w:spacing w:val="-10"/>
                <w:sz w:val="20"/>
              </w:rPr>
              <w:t>4</w:t>
            </w:r>
          </w:p>
        </w:tc>
        <w:tc>
          <w:tcPr>
            <w:tcW w:w="1275" w:type="dxa"/>
          </w:tcPr>
          <w:p>
            <w:pPr>
              <w:pStyle w:val="TableParagraph"/>
              <w:spacing w:before="154"/>
              <w:ind w:left="4"/>
              <w:jc w:val="center"/>
              <w:rPr>
                <w:sz w:val="20"/>
              </w:rPr>
            </w:pPr>
            <w:r>
              <w:rPr>
                <w:spacing w:val="-10"/>
                <w:sz w:val="20"/>
              </w:rPr>
              <w:t>5</w:t>
            </w:r>
          </w:p>
        </w:tc>
      </w:tr>
      <w:tr>
        <w:trPr>
          <w:trHeight w:val="551" w:hRule="atLeast"/>
        </w:trPr>
        <w:tc>
          <w:tcPr>
            <w:tcW w:w="569" w:type="dxa"/>
          </w:tcPr>
          <w:p>
            <w:pPr>
              <w:pStyle w:val="TableParagraph"/>
              <w:spacing w:line="223" w:lineRule="exact"/>
              <w:ind w:left="91"/>
              <w:jc w:val="center"/>
              <w:rPr>
                <w:sz w:val="20"/>
              </w:rPr>
            </w:pPr>
            <w:r>
              <w:rPr>
                <w:spacing w:val="-5"/>
                <w:sz w:val="20"/>
              </w:rPr>
              <w:t>8.</w:t>
            </w:r>
          </w:p>
        </w:tc>
        <w:tc>
          <w:tcPr>
            <w:tcW w:w="3668" w:type="dxa"/>
          </w:tcPr>
          <w:p>
            <w:pPr>
              <w:pStyle w:val="TableParagraph"/>
              <w:spacing w:line="268" w:lineRule="exact"/>
              <w:ind w:left="107"/>
              <w:rPr>
                <w:i/>
                <w:sz w:val="24"/>
              </w:rPr>
            </w:pPr>
            <w:r>
              <w:rPr>
                <w:i/>
                <w:sz w:val="24"/>
              </w:rPr>
              <w:t>Быть</w:t>
            </w:r>
            <w:r>
              <w:rPr>
                <w:i/>
                <w:spacing w:val="-3"/>
                <w:sz w:val="24"/>
              </w:rPr>
              <w:t> </w:t>
            </w:r>
            <w:r>
              <w:rPr>
                <w:i/>
                <w:sz w:val="24"/>
              </w:rPr>
              <w:t>успешным</w:t>
            </w:r>
            <w:r>
              <w:rPr>
                <w:i/>
                <w:spacing w:val="-2"/>
                <w:sz w:val="24"/>
              </w:rPr>
              <w:t> </w:t>
            </w:r>
            <w:r>
              <w:rPr>
                <w:i/>
                <w:sz w:val="24"/>
              </w:rPr>
              <w:t>в</w:t>
            </w:r>
            <w:r>
              <w:rPr>
                <w:i/>
                <w:spacing w:val="-3"/>
                <w:sz w:val="24"/>
              </w:rPr>
              <w:t> </w:t>
            </w:r>
            <w:r>
              <w:rPr>
                <w:i/>
                <w:sz w:val="24"/>
              </w:rPr>
              <w:t>школе</w:t>
            </w:r>
            <w:r>
              <w:rPr>
                <w:i/>
                <w:spacing w:val="-2"/>
                <w:sz w:val="24"/>
              </w:rPr>
              <w:t> </w:t>
            </w:r>
            <w:r>
              <w:rPr>
                <w:i/>
                <w:spacing w:val="-4"/>
                <w:sz w:val="24"/>
              </w:rPr>
              <w:t>очень</w:t>
            </w:r>
          </w:p>
          <w:p>
            <w:pPr>
              <w:pStyle w:val="TableParagraph"/>
              <w:spacing w:line="264" w:lineRule="exact"/>
              <w:ind w:left="107"/>
              <w:rPr>
                <w:i/>
                <w:sz w:val="24"/>
              </w:rPr>
            </w:pPr>
            <w:r>
              <w:rPr>
                <w:i/>
                <w:sz w:val="24"/>
              </w:rPr>
              <w:t>много</w:t>
            </w:r>
            <w:r>
              <w:rPr>
                <w:i/>
                <w:spacing w:val="-2"/>
                <w:sz w:val="24"/>
              </w:rPr>
              <w:t> </w:t>
            </w:r>
            <w:r>
              <w:rPr>
                <w:i/>
                <w:sz w:val="24"/>
              </w:rPr>
              <w:t>значит</w:t>
            </w:r>
            <w:r>
              <w:rPr>
                <w:i/>
                <w:spacing w:val="-3"/>
                <w:sz w:val="24"/>
              </w:rPr>
              <w:t> </w:t>
            </w:r>
            <w:r>
              <w:rPr>
                <w:i/>
                <w:sz w:val="24"/>
              </w:rPr>
              <w:t>для</w:t>
            </w:r>
            <w:r>
              <w:rPr>
                <w:i/>
                <w:spacing w:val="-3"/>
                <w:sz w:val="24"/>
              </w:rPr>
              <w:t> </w:t>
            </w:r>
            <w:r>
              <w:rPr>
                <w:i/>
                <w:spacing w:val="-4"/>
                <w:sz w:val="24"/>
              </w:rPr>
              <w:t>меня</w:t>
            </w:r>
          </w:p>
        </w:tc>
        <w:tc>
          <w:tcPr>
            <w:tcW w:w="1294" w:type="dxa"/>
          </w:tcPr>
          <w:p>
            <w:pPr>
              <w:pStyle w:val="TableParagraph"/>
              <w:spacing w:before="154"/>
              <w:ind w:left="5"/>
              <w:jc w:val="center"/>
              <w:rPr>
                <w:sz w:val="20"/>
              </w:rPr>
            </w:pPr>
            <w:r>
              <w:rPr>
                <w:spacing w:val="-10"/>
                <w:sz w:val="20"/>
              </w:rPr>
              <w:t>1</w:t>
            </w:r>
          </w:p>
        </w:tc>
        <w:tc>
          <w:tcPr>
            <w:tcW w:w="984" w:type="dxa"/>
          </w:tcPr>
          <w:p>
            <w:pPr>
              <w:pStyle w:val="TableParagraph"/>
              <w:spacing w:before="154"/>
              <w:ind w:left="7"/>
              <w:jc w:val="center"/>
              <w:rPr>
                <w:sz w:val="20"/>
              </w:rPr>
            </w:pPr>
            <w:r>
              <w:rPr>
                <w:spacing w:val="-10"/>
                <w:sz w:val="20"/>
              </w:rPr>
              <w:t>2</w:t>
            </w:r>
          </w:p>
        </w:tc>
        <w:tc>
          <w:tcPr>
            <w:tcW w:w="1138" w:type="dxa"/>
          </w:tcPr>
          <w:p>
            <w:pPr>
              <w:pStyle w:val="TableParagraph"/>
              <w:spacing w:before="154"/>
              <w:ind w:left="120" w:right="118"/>
              <w:jc w:val="center"/>
              <w:rPr>
                <w:sz w:val="20"/>
              </w:rPr>
            </w:pPr>
            <w:r>
              <w:rPr>
                <w:spacing w:val="-10"/>
                <w:sz w:val="20"/>
              </w:rPr>
              <w:t>3</w:t>
            </w:r>
          </w:p>
        </w:tc>
        <w:tc>
          <w:tcPr>
            <w:tcW w:w="965" w:type="dxa"/>
          </w:tcPr>
          <w:p>
            <w:pPr>
              <w:pStyle w:val="TableParagraph"/>
              <w:spacing w:before="154"/>
              <w:ind w:left="7"/>
              <w:jc w:val="center"/>
              <w:rPr>
                <w:sz w:val="20"/>
              </w:rPr>
            </w:pPr>
            <w:r>
              <w:rPr>
                <w:spacing w:val="-10"/>
                <w:sz w:val="20"/>
              </w:rPr>
              <w:t>4</w:t>
            </w:r>
          </w:p>
        </w:tc>
        <w:tc>
          <w:tcPr>
            <w:tcW w:w="1275" w:type="dxa"/>
          </w:tcPr>
          <w:p>
            <w:pPr>
              <w:pStyle w:val="TableParagraph"/>
              <w:spacing w:before="154"/>
              <w:ind w:left="4"/>
              <w:jc w:val="center"/>
              <w:rPr>
                <w:sz w:val="20"/>
              </w:rPr>
            </w:pPr>
            <w:r>
              <w:rPr>
                <w:spacing w:val="-10"/>
                <w:sz w:val="20"/>
              </w:rPr>
              <w:t>5</w:t>
            </w:r>
          </w:p>
        </w:tc>
      </w:tr>
      <w:tr>
        <w:trPr>
          <w:trHeight w:val="554" w:hRule="atLeast"/>
        </w:trPr>
        <w:tc>
          <w:tcPr>
            <w:tcW w:w="569" w:type="dxa"/>
          </w:tcPr>
          <w:p>
            <w:pPr>
              <w:pStyle w:val="TableParagraph"/>
              <w:spacing w:line="223" w:lineRule="exact"/>
              <w:ind w:left="91"/>
              <w:jc w:val="center"/>
              <w:rPr>
                <w:sz w:val="20"/>
              </w:rPr>
            </w:pPr>
            <w:r>
              <w:rPr>
                <w:spacing w:val="-5"/>
                <w:sz w:val="20"/>
              </w:rPr>
              <w:t>9.</w:t>
            </w:r>
          </w:p>
        </w:tc>
        <w:tc>
          <w:tcPr>
            <w:tcW w:w="3668" w:type="dxa"/>
          </w:tcPr>
          <w:p>
            <w:pPr>
              <w:pStyle w:val="TableParagraph"/>
              <w:spacing w:line="268" w:lineRule="exact"/>
              <w:ind w:left="107"/>
              <w:rPr>
                <w:i/>
                <w:sz w:val="24"/>
              </w:rPr>
            </w:pPr>
            <w:r>
              <w:rPr>
                <w:i/>
                <w:sz w:val="24"/>
              </w:rPr>
              <w:t>Школьные</w:t>
            </w:r>
            <w:r>
              <w:rPr>
                <w:i/>
                <w:spacing w:val="-5"/>
                <w:sz w:val="24"/>
              </w:rPr>
              <w:t> </w:t>
            </w:r>
            <w:r>
              <w:rPr>
                <w:i/>
                <w:sz w:val="24"/>
              </w:rPr>
              <w:t>достижения</w:t>
            </w:r>
            <w:r>
              <w:rPr>
                <w:i/>
                <w:spacing w:val="-4"/>
                <w:sz w:val="24"/>
              </w:rPr>
              <w:t> </w:t>
            </w:r>
            <w:r>
              <w:rPr>
                <w:i/>
                <w:spacing w:val="-2"/>
                <w:sz w:val="24"/>
              </w:rPr>
              <w:t>важны</w:t>
            </w:r>
          </w:p>
          <w:p>
            <w:pPr>
              <w:pStyle w:val="TableParagraph"/>
              <w:spacing w:line="266" w:lineRule="exact"/>
              <w:ind w:left="107"/>
              <w:rPr>
                <w:i/>
                <w:sz w:val="24"/>
              </w:rPr>
            </w:pPr>
            <w:r>
              <w:rPr>
                <w:i/>
                <w:sz w:val="24"/>
              </w:rPr>
              <w:t>для</w:t>
            </w:r>
            <w:r>
              <w:rPr>
                <w:i/>
                <w:spacing w:val="-2"/>
                <w:sz w:val="24"/>
              </w:rPr>
              <w:t> </w:t>
            </w:r>
            <w:r>
              <w:rPr>
                <w:i/>
                <w:spacing w:val="-4"/>
                <w:sz w:val="24"/>
              </w:rPr>
              <w:t>меня</w:t>
            </w:r>
          </w:p>
        </w:tc>
        <w:tc>
          <w:tcPr>
            <w:tcW w:w="1294" w:type="dxa"/>
          </w:tcPr>
          <w:p>
            <w:pPr>
              <w:pStyle w:val="TableParagraph"/>
              <w:spacing w:before="156"/>
              <w:ind w:left="5"/>
              <w:jc w:val="center"/>
              <w:rPr>
                <w:sz w:val="20"/>
              </w:rPr>
            </w:pPr>
            <w:r>
              <w:rPr>
                <w:spacing w:val="-10"/>
                <w:sz w:val="20"/>
              </w:rPr>
              <w:t>1</w:t>
            </w:r>
          </w:p>
        </w:tc>
        <w:tc>
          <w:tcPr>
            <w:tcW w:w="984" w:type="dxa"/>
          </w:tcPr>
          <w:p>
            <w:pPr>
              <w:pStyle w:val="TableParagraph"/>
              <w:spacing w:before="156"/>
              <w:ind w:left="7"/>
              <w:jc w:val="center"/>
              <w:rPr>
                <w:sz w:val="20"/>
              </w:rPr>
            </w:pPr>
            <w:r>
              <w:rPr>
                <w:spacing w:val="-10"/>
                <w:sz w:val="20"/>
              </w:rPr>
              <w:t>2</w:t>
            </w:r>
          </w:p>
        </w:tc>
        <w:tc>
          <w:tcPr>
            <w:tcW w:w="1138" w:type="dxa"/>
          </w:tcPr>
          <w:p>
            <w:pPr>
              <w:pStyle w:val="TableParagraph"/>
              <w:spacing w:before="156"/>
              <w:ind w:left="120" w:right="118"/>
              <w:jc w:val="center"/>
              <w:rPr>
                <w:sz w:val="20"/>
              </w:rPr>
            </w:pPr>
            <w:r>
              <w:rPr>
                <w:spacing w:val="-10"/>
                <w:sz w:val="20"/>
              </w:rPr>
              <w:t>3</w:t>
            </w:r>
          </w:p>
        </w:tc>
        <w:tc>
          <w:tcPr>
            <w:tcW w:w="965" w:type="dxa"/>
          </w:tcPr>
          <w:p>
            <w:pPr>
              <w:pStyle w:val="TableParagraph"/>
              <w:spacing w:before="156"/>
              <w:ind w:left="7"/>
              <w:jc w:val="center"/>
              <w:rPr>
                <w:sz w:val="20"/>
              </w:rPr>
            </w:pPr>
            <w:r>
              <w:rPr>
                <w:spacing w:val="-10"/>
                <w:sz w:val="20"/>
              </w:rPr>
              <w:t>4</w:t>
            </w:r>
          </w:p>
        </w:tc>
        <w:tc>
          <w:tcPr>
            <w:tcW w:w="1275" w:type="dxa"/>
          </w:tcPr>
          <w:p>
            <w:pPr>
              <w:pStyle w:val="TableParagraph"/>
              <w:spacing w:before="156"/>
              <w:ind w:left="4"/>
              <w:jc w:val="center"/>
              <w:rPr>
                <w:sz w:val="20"/>
              </w:rPr>
            </w:pPr>
            <w:r>
              <w:rPr>
                <w:spacing w:val="-10"/>
                <w:sz w:val="20"/>
              </w:rPr>
              <w:t>5</w:t>
            </w:r>
          </w:p>
        </w:tc>
      </w:tr>
    </w:tbl>
    <w:p>
      <w:pPr>
        <w:pStyle w:val="Heading4"/>
        <w:numPr>
          <w:ilvl w:val="1"/>
          <w:numId w:val="26"/>
        </w:numPr>
        <w:tabs>
          <w:tab w:pos="1712" w:val="left" w:leader="none"/>
        </w:tabs>
        <w:spacing w:line="334" w:lineRule="exact" w:before="273" w:after="0"/>
        <w:ind w:left="1712" w:right="0" w:hanging="359"/>
        <w:jc w:val="left"/>
      </w:pPr>
      <w:r>
        <w:rPr/>
        <w:t>Субъективно</w:t>
      </w:r>
      <w:r>
        <w:rPr>
          <w:spacing w:val="-11"/>
        </w:rPr>
        <w:t> </w:t>
      </w:r>
      <w:r>
        <w:rPr/>
        <w:t>оцениваемый</w:t>
      </w:r>
      <w:r>
        <w:rPr>
          <w:spacing w:val="-10"/>
        </w:rPr>
        <w:t> </w:t>
      </w:r>
      <w:r>
        <w:rPr/>
        <w:t>уровень</w:t>
      </w:r>
      <w:r>
        <w:rPr>
          <w:spacing w:val="-11"/>
        </w:rPr>
        <w:t> </w:t>
      </w:r>
      <w:r>
        <w:rPr/>
        <w:t>ценности</w:t>
      </w:r>
      <w:r>
        <w:rPr>
          <w:spacing w:val="-10"/>
        </w:rPr>
        <w:t> </w:t>
      </w:r>
      <w:r>
        <w:rPr/>
        <w:t>школы:</w:t>
      </w:r>
      <w:r>
        <w:rPr>
          <w:spacing w:val="-11"/>
        </w:rPr>
        <w:t> </w:t>
      </w:r>
      <w:r>
        <w:rPr/>
        <w:t>вопросы</w:t>
      </w:r>
      <w:r>
        <w:rPr>
          <w:spacing w:val="-11"/>
        </w:rPr>
        <w:t> </w:t>
      </w:r>
      <w:r>
        <w:rPr/>
        <w:t>1-</w:t>
      </w:r>
      <w:r>
        <w:rPr>
          <w:spacing w:val="-10"/>
        </w:rPr>
        <w:t>3</w:t>
      </w:r>
    </w:p>
    <w:p>
      <w:pPr>
        <w:pStyle w:val="Heading4"/>
        <w:numPr>
          <w:ilvl w:val="1"/>
          <w:numId w:val="26"/>
        </w:numPr>
        <w:tabs>
          <w:tab w:pos="1713" w:val="left" w:leader="none"/>
          <w:tab w:pos="3665" w:val="left" w:leader="none"/>
          <w:tab w:pos="5658" w:val="left" w:leader="none"/>
          <w:tab w:pos="6993" w:val="left" w:leader="none"/>
          <w:tab w:pos="8729" w:val="left" w:leader="none"/>
        </w:tabs>
        <w:spacing w:line="230" w:lineRule="auto" w:before="3" w:after="0"/>
        <w:ind w:left="1713" w:right="567" w:hanging="360"/>
        <w:jc w:val="left"/>
      </w:pPr>
      <w:r>
        <w:rPr>
          <w:spacing w:val="-2"/>
        </w:rPr>
        <w:t>Субъективно</w:t>
      </w:r>
      <w:r>
        <w:rPr/>
        <w:tab/>
      </w:r>
      <w:r>
        <w:rPr>
          <w:spacing w:val="-2"/>
        </w:rPr>
        <w:t>оцениваемый</w:t>
      </w:r>
      <w:r>
        <w:rPr/>
        <w:tab/>
      </w:r>
      <w:r>
        <w:rPr>
          <w:spacing w:val="-2"/>
        </w:rPr>
        <w:t>уровень</w:t>
      </w:r>
      <w:r>
        <w:rPr/>
        <w:tab/>
      </w:r>
      <w:r>
        <w:rPr>
          <w:spacing w:val="-2"/>
        </w:rPr>
        <w:t>полезности</w:t>
      </w:r>
      <w:r>
        <w:rPr/>
        <w:tab/>
      </w:r>
      <w:r>
        <w:rPr>
          <w:spacing w:val="-2"/>
        </w:rPr>
        <w:t>знаний, </w:t>
      </w:r>
      <w:r>
        <w:rPr/>
        <w:t>получаемых в школе: вопросы 4-6</w:t>
      </w:r>
    </w:p>
    <w:p>
      <w:pPr>
        <w:pStyle w:val="Heading4"/>
        <w:numPr>
          <w:ilvl w:val="1"/>
          <w:numId w:val="26"/>
        </w:numPr>
        <w:tabs>
          <w:tab w:pos="1712" w:val="left" w:leader="none"/>
        </w:tabs>
        <w:spacing w:line="335" w:lineRule="exact" w:before="0" w:after="0"/>
        <w:ind w:left="1712" w:right="0" w:hanging="359"/>
        <w:jc w:val="left"/>
      </w:pPr>
      <w:r>
        <w:rPr/>
        <w:t>Степень</w:t>
      </w:r>
      <w:r>
        <w:rPr>
          <w:spacing w:val="-7"/>
        </w:rPr>
        <w:t> </w:t>
      </w:r>
      <w:r>
        <w:rPr/>
        <w:t>личной</w:t>
      </w:r>
      <w:r>
        <w:rPr>
          <w:spacing w:val="-6"/>
        </w:rPr>
        <w:t> </w:t>
      </w:r>
      <w:r>
        <w:rPr/>
        <w:t>важности</w:t>
      </w:r>
      <w:r>
        <w:rPr>
          <w:spacing w:val="-6"/>
        </w:rPr>
        <w:t> </w:t>
      </w:r>
      <w:r>
        <w:rPr/>
        <w:t>успешной</w:t>
      </w:r>
      <w:r>
        <w:rPr>
          <w:spacing w:val="-6"/>
        </w:rPr>
        <w:t> </w:t>
      </w:r>
      <w:r>
        <w:rPr/>
        <w:t>учебы:</w:t>
      </w:r>
      <w:r>
        <w:rPr>
          <w:spacing w:val="-5"/>
        </w:rPr>
        <w:t> </w:t>
      </w:r>
      <w:r>
        <w:rPr/>
        <w:t>вопросы</w:t>
      </w:r>
      <w:r>
        <w:rPr>
          <w:spacing w:val="-6"/>
        </w:rPr>
        <w:t> </w:t>
      </w:r>
      <w:r>
        <w:rPr/>
        <w:t>7-</w:t>
      </w:r>
      <w:r>
        <w:rPr>
          <w:spacing w:val="-10"/>
        </w:rPr>
        <w:t>9</w:t>
      </w:r>
    </w:p>
    <w:p>
      <w:pPr>
        <w:pStyle w:val="Heading4"/>
        <w:numPr>
          <w:ilvl w:val="1"/>
          <w:numId w:val="26"/>
        </w:numPr>
        <w:tabs>
          <w:tab w:pos="1713" w:val="left" w:leader="none"/>
        </w:tabs>
        <w:spacing w:line="230" w:lineRule="auto" w:before="4" w:after="0"/>
        <w:ind w:left="1713" w:right="569" w:hanging="360"/>
        <w:jc w:val="left"/>
      </w:pPr>
      <w:r>
        <w:rPr/>
        <w:t>Общий</w:t>
      </w:r>
      <w:r>
        <w:rPr>
          <w:spacing w:val="32"/>
        </w:rPr>
        <w:t> </w:t>
      </w:r>
      <w:r>
        <w:rPr/>
        <w:t>показатель: Уровень внутренней</w:t>
      </w:r>
      <w:r>
        <w:rPr>
          <w:spacing w:val="32"/>
        </w:rPr>
        <w:t> </w:t>
      </w:r>
      <w:r>
        <w:rPr/>
        <w:t>школьной</w:t>
      </w:r>
      <w:r>
        <w:rPr>
          <w:spacing w:val="32"/>
        </w:rPr>
        <w:t> </w:t>
      </w:r>
      <w:r>
        <w:rPr/>
        <w:t>мотивации</w:t>
      </w:r>
      <w:r>
        <w:rPr>
          <w:spacing w:val="32"/>
        </w:rPr>
        <w:t> </w:t>
      </w:r>
      <w:r>
        <w:rPr/>
        <w:t>и отношения к школе – сумма всех вопросов</w:t>
      </w:r>
    </w:p>
    <w:p>
      <w:pPr>
        <w:pStyle w:val="Heading4"/>
        <w:spacing w:after="0" w:line="230" w:lineRule="auto"/>
        <w:jc w:val="left"/>
        <w:sectPr>
          <w:pgSz w:w="11910" w:h="16840"/>
          <w:pgMar w:header="0" w:footer="970" w:top="1040" w:bottom="1220" w:left="1417" w:right="283"/>
        </w:sectPr>
      </w:pPr>
    </w:p>
    <w:p>
      <w:pPr>
        <w:pStyle w:val="Heading2"/>
        <w:numPr>
          <w:ilvl w:val="0"/>
          <w:numId w:val="15"/>
        </w:numPr>
        <w:tabs>
          <w:tab w:pos="705" w:val="left" w:leader="none"/>
        </w:tabs>
        <w:spacing w:line="240" w:lineRule="auto" w:before="72" w:after="0"/>
        <w:ind w:left="705" w:right="0" w:hanging="420"/>
        <w:jc w:val="left"/>
      </w:pPr>
      <w:bookmarkStart w:name="_bookmark25" w:id="27"/>
      <w:bookmarkEnd w:id="27"/>
      <w:r>
        <w:rPr>
          <w:b w:val="0"/>
        </w:rPr>
      </w:r>
      <w:r>
        <w:rPr/>
        <w:t>Методика</w:t>
      </w:r>
      <w:r>
        <w:rPr>
          <w:spacing w:val="-11"/>
        </w:rPr>
        <w:t> </w:t>
      </w:r>
      <w:r>
        <w:rPr/>
        <w:t>оценки</w:t>
      </w:r>
      <w:r>
        <w:rPr>
          <w:spacing w:val="-10"/>
        </w:rPr>
        <w:t> </w:t>
      </w:r>
      <w:r>
        <w:rPr/>
        <w:t>социальных</w:t>
      </w:r>
      <w:r>
        <w:rPr>
          <w:spacing w:val="-8"/>
        </w:rPr>
        <w:t> </w:t>
      </w:r>
      <w:r>
        <w:rPr/>
        <w:t>навыков</w:t>
      </w:r>
      <w:r>
        <w:rPr>
          <w:spacing w:val="-10"/>
        </w:rPr>
        <w:t> </w:t>
      </w:r>
      <w:r>
        <w:rPr/>
        <w:t>ребенка-</w:t>
      </w:r>
      <w:r>
        <w:rPr>
          <w:spacing w:val="-2"/>
        </w:rPr>
        <w:t>мигранта</w:t>
      </w:r>
    </w:p>
    <w:p>
      <w:pPr>
        <w:pStyle w:val="Heading3"/>
        <w:spacing w:before="293"/>
        <w:jc w:val="left"/>
      </w:pPr>
      <w:r>
        <w:rPr/>
        <w:t>Описание</w:t>
      </w:r>
      <w:r>
        <w:rPr>
          <w:spacing w:val="-2"/>
        </w:rPr>
        <w:t> методики</w:t>
      </w:r>
    </w:p>
    <w:p>
      <w:pPr>
        <w:pStyle w:val="Heading4"/>
        <w:spacing w:before="191"/>
        <w:ind w:right="560" w:firstLine="566"/>
      </w:pPr>
      <w:r>
        <w:rPr/>
        <w:t>Методика разработана О.Е.</w:t>
      </w:r>
      <w:r>
        <w:rPr>
          <w:spacing w:val="-1"/>
        </w:rPr>
        <w:t> </w:t>
      </w:r>
      <w:r>
        <w:rPr/>
        <w:t>Хухлаевым и М.Ю. Чибисовой и предназначена для скрининговой оценки социальных навыков детей- мигрантов.</w:t>
      </w:r>
      <w:r>
        <w:rPr>
          <w:spacing w:val="-3"/>
        </w:rPr>
        <w:t> </w:t>
      </w:r>
      <w:r>
        <w:rPr/>
        <w:t>Применяется</w:t>
      </w:r>
      <w:r>
        <w:rPr>
          <w:spacing w:val="-2"/>
        </w:rPr>
        <w:t> </w:t>
      </w:r>
      <w:r>
        <w:rPr/>
        <w:t>в</w:t>
      </w:r>
      <w:r>
        <w:rPr>
          <w:spacing w:val="-3"/>
        </w:rPr>
        <w:t> </w:t>
      </w:r>
      <w:r>
        <w:rPr/>
        <w:t>работе</w:t>
      </w:r>
      <w:r>
        <w:rPr>
          <w:spacing w:val="-2"/>
        </w:rPr>
        <w:t> </w:t>
      </w:r>
      <w:r>
        <w:rPr/>
        <w:t>с</w:t>
      </w:r>
      <w:r>
        <w:rPr>
          <w:spacing w:val="-2"/>
        </w:rPr>
        <w:t> </w:t>
      </w:r>
      <w:r>
        <w:rPr/>
        <w:t>учащимися</w:t>
      </w:r>
      <w:r>
        <w:rPr>
          <w:spacing w:val="-3"/>
        </w:rPr>
        <w:t> </w:t>
      </w:r>
      <w:r>
        <w:rPr/>
        <w:t>начальной,</w:t>
      </w:r>
      <w:r>
        <w:rPr>
          <w:spacing w:val="-3"/>
        </w:rPr>
        <w:t> </w:t>
      </w:r>
      <w:r>
        <w:rPr/>
        <w:t>средней</w:t>
      </w:r>
      <w:r>
        <w:rPr>
          <w:spacing w:val="-1"/>
        </w:rPr>
        <w:t> </w:t>
      </w:r>
      <w:r>
        <w:rPr/>
        <w:t>и</w:t>
      </w:r>
      <w:r>
        <w:rPr>
          <w:spacing w:val="-2"/>
        </w:rPr>
        <w:t> </w:t>
      </w:r>
      <w:r>
        <w:rPr/>
        <w:t>старшей </w:t>
      </w:r>
      <w:r>
        <w:rPr>
          <w:spacing w:val="-2"/>
        </w:rPr>
        <w:t>школы.</w:t>
      </w:r>
    </w:p>
    <w:p>
      <w:pPr>
        <w:pStyle w:val="Heading4"/>
        <w:spacing w:before="1"/>
        <w:ind w:right="564" w:firstLine="566"/>
      </w:pPr>
      <w:r>
        <w:rPr/>
        <w:t>Под социальными навыками понимается «являющееся результатом научения социально приемлемое поведение, которое позволяет взаимодействовать с другими таким образом, чтобы получать позитивную реакцию и избегать негативной» (</w:t>
      </w:r>
      <w:r>
        <w:rPr>
          <w:i/>
        </w:rPr>
        <w:t>Bellini, Peters, </w:t>
      </w:r>
      <w:r>
        <w:rPr/>
        <w:t>2008). Все навыки описаны через характеристику поведения и отражают значимые для образовательной среды ситуации: поведение в классе и в школе, выполнение домашних заданий, взаимодействие со сверстниками и взрослыми.</w:t>
      </w:r>
    </w:p>
    <w:p>
      <w:pPr>
        <w:pStyle w:val="Heading4"/>
        <w:spacing w:before="1"/>
        <w:ind w:right="569" w:firstLine="566"/>
      </w:pPr>
      <w:r>
        <w:rPr/>
        <w:t>Методика включает три шкалы: поведение в учебной ситуации (6 пунктов), взаимодействие с ровесниками (6 пунктов), взаимодействие со взрослыми в школе (3 пункта). Также методика содержит открытый вопрос.</w:t>
      </w:r>
    </w:p>
    <w:p>
      <w:pPr>
        <w:pStyle w:val="Heading3"/>
        <w:spacing w:before="246"/>
        <w:jc w:val="left"/>
      </w:pPr>
      <w:r>
        <w:rPr/>
        <w:t>Проведение</w:t>
      </w:r>
      <w:r>
        <w:rPr>
          <w:spacing w:val="-10"/>
        </w:rPr>
        <w:t> </w:t>
      </w:r>
      <w:r>
        <w:rPr>
          <w:spacing w:val="-2"/>
        </w:rPr>
        <w:t>методики</w:t>
      </w:r>
    </w:p>
    <w:p>
      <w:pPr>
        <w:pStyle w:val="Heading4"/>
        <w:spacing w:before="194"/>
        <w:ind w:right="561" w:firstLine="566"/>
      </w:pPr>
      <w:r>
        <w:rPr/>
        <w:t>Бланк заполняет классный руководитель или педагог, регулярно взаимодействующий с ребенком (см. </w:t>
      </w:r>
      <w:r>
        <w:rPr>
          <w:i/>
        </w:rPr>
        <w:t>Приложение 11</w:t>
      </w:r>
      <w:r>
        <w:rPr/>
        <w:t>). Следует прояснить ответ на дополнительный вопрос. Если педагог отмечает какую-либо специфику в поведении ребенка, следует попросить его привести примеры такого поведения и типичных ситуаций.</w:t>
      </w:r>
    </w:p>
    <w:p>
      <w:pPr>
        <w:pStyle w:val="Heading4"/>
        <w:spacing w:line="322" w:lineRule="exact" w:before="1"/>
        <w:ind w:left="851"/>
      </w:pPr>
      <w:r>
        <w:rPr/>
        <w:t>Для</w:t>
      </w:r>
      <w:r>
        <w:rPr>
          <w:spacing w:val="73"/>
        </w:rPr>
        <w:t> </w:t>
      </w:r>
      <w:r>
        <w:rPr/>
        <w:t>оценивания</w:t>
      </w:r>
      <w:r>
        <w:rPr>
          <w:spacing w:val="74"/>
        </w:rPr>
        <w:t> </w:t>
      </w:r>
      <w:r>
        <w:rPr/>
        <w:t>используется</w:t>
      </w:r>
      <w:r>
        <w:rPr>
          <w:spacing w:val="76"/>
        </w:rPr>
        <w:t> </w:t>
      </w:r>
      <w:r>
        <w:rPr/>
        <w:t>шкала:</w:t>
      </w:r>
      <w:r>
        <w:rPr>
          <w:spacing w:val="74"/>
        </w:rPr>
        <w:t> </w:t>
      </w:r>
      <w:r>
        <w:rPr/>
        <w:t>«практически</w:t>
      </w:r>
      <w:r>
        <w:rPr>
          <w:spacing w:val="76"/>
        </w:rPr>
        <w:t> </w:t>
      </w:r>
      <w:r>
        <w:rPr/>
        <w:t>всегда»,</w:t>
      </w:r>
      <w:r>
        <w:rPr>
          <w:spacing w:val="75"/>
        </w:rPr>
        <w:t> </w:t>
      </w:r>
      <w:r>
        <w:rPr>
          <w:spacing w:val="-2"/>
        </w:rPr>
        <w:t>«часто»,</w:t>
      </w:r>
    </w:p>
    <w:p>
      <w:pPr>
        <w:pStyle w:val="Heading4"/>
        <w:ind w:right="563"/>
      </w:pPr>
      <w:r>
        <w:rPr/>
        <w:t>«иногда», «почти никогда». Она переводится в количественные показатели следующим</w:t>
      </w:r>
      <w:r>
        <w:rPr>
          <w:spacing w:val="35"/>
        </w:rPr>
        <w:t> </w:t>
      </w:r>
      <w:r>
        <w:rPr/>
        <w:t>образом:</w:t>
      </w:r>
      <w:r>
        <w:rPr>
          <w:spacing w:val="35"/>
        </w:rPr>
        <w:t> </w:t>
      </w:r>
      <w:r>
        <w:rPr/>
        <w:t>«практически</w:t>
      </w:r>
      <w:r>
        <w:rPr>
          <w:spacing w:val="35"/>
        </w:rPr>
        <w:t> </w:t>
      </w:r>
      <w:r>
        <w:rPr/>
        <w:t>всегда»</w:t>
      </w:r>
      <w:r>
        <w:rPr>
          <w:spacing w:val="37"/>
        </w:rPr>
        <w:t> </w:t>
      </w:r>
      <w:r>
        <w:rPr/>
        <w:t>—</w:t>
      </w:r>
      <w:r>
        <w:rPr>
          <w:spacing w:val="35"/>
        </w:rPr>
        <w:t> </w:t>
      </w:r>
      <w:r>
        <w:rPr/>
        <w:t>3</w:t>
      </w:r>
      <w:r>
        <w:rPr>
          <w:spacing w:val="34"/>
        </w:rPr>
        <w:t> </w:t>
      </w:r>
      <w:r>
        <w:rPr/>
        <w:t>балла,</w:t>
      </w:r>
      <w:r>
        <w:rPr>
          <w:spacing w:val="34"/>
        </w:rPr>
        <w:t> </w:t>
      </w:r>
      <w:r>
        <w:rPr/>
        <w:t>«часто»</w:t>
      </w:r>
      <w:r>
        <w:rPr>
          <w:spacing w:val="36"/>
        </w:rPr>
        <w:t> </w:t>
      </w:r>
      <w:r>
        <w:rPr/>
        <w:t>—</w:t>
      </w:r>
      <w:r>
        <w:rPr>
          <w:spacing w:val="35"/>
        </w:rPr>
        <w:t> </w:t>
      </w:r>
      <w:r>
        <w:rPr/>
        <w:t>2</w:t>
      </w:r>
      <w:r>
        <w:rPr>
          <w:spacing w:val="34"/>
        </w:rPr>
        <w:t> </w:t>
      </w:r>
      <w:r>
        <w:rPr>
          <w:spacing w:val="-2"/>
        </w:rPr>
        <w:t>балла,</w:t>
      </w:r>
    </w:p>
    <w:p>
      <w:pPr>
        <w:pStyle w:val="Heading4"/>
        <w:spacing w:line="321" w:lineRule="exact"/>
      </w:pPr>
      <w:r>
        <w:rPr/>
        <w:t>«иногда»</w:t>
      </w:r>
      <w:r>
        <w:rPr>
          <w:spacing w:val="-4"/>
        </w:rPr>
        <w:t> </w:t>
      </w:r>
      <w:r>
        <w:rPr/>
        <w:t>—</w:t>
      </w:r>
      <w:r>
        <w:rPr>
          <w:spacing w:val="-5"/>
        </w:rPr>
        <w:t> </w:t>
      </w:r>
      <w:r>
        <w:rPr/>
        <w:t>1</w:t>
      </w:r>
      <w:r>
        <w:rPr>
          <w:spacing w:val="-1"/>
        </w:rPr>
        <w:t> </w:t>
      </w:r>
      <w:r>
        <w:rPr/>
        <w:t>балл,</w:t>
      </w:r>
      <w:r>
        <w:rPr>
          <w:spacing w:val="-6"/>
        </w:rPr>
        <w:t> </w:t>
      </w:r>
      <w:r>
        <w:rPr/>
        <w:t>«почти</w:t>
      </w:r>
      <w:r>
        <w:rPr>
          <w:spacing w:val="-2"/>
        </w:rPr>
        <w:t> </w:t>
      </w:r>
      <w:r>
        <w:rPr/>
        <w:t>никогда»</w:t>
      </w:r>
      <w:r>
        <w:rPr>
          <w:spacing w:val="-2"/>
        </w:rPr>
        <w:t> </w:t>
      </w:r>
      <w:r>
        <w:rPr/>
        <w:t>—</w:t>
      </w:r>
      <w:r>
        <w:rPr>
          <w:spacing w:val="-2"/>
        </w:rPr>
        <w:t> </w:t>
      </w:r>
      <w:r>
        <w:rPr/>
        <w:t>0</w:t>
      </w:r>
      <w:r>
        <w:rPr>
          <w:spacing w:val="-1"/>
        </w:rPr>
        <w:t> </w:t>
      </w:r>
      <w:r>
        <w:rPr>
          <w:spacing w:val="-2"/>
        </w:rPr>
        <w:t>баллов.</w:t>
      </w:r>
    </w:p>
    <w:p>
      <w:pPr>
        <w:pStyle w:val="Heading4"/>
        <w:ind w:right="561" w:firstLine="566"/>
      </w:pPr>
      <w:r>
        <w:rPr/>
        <w:t>Данные</w:t>
      </w:r>
      <w:r>
        <w:rPr>
          <w:spacing w:val="-18"/>
        </w:rPr>
        <w:t> </w:t>
      </w:r>
      <w:r>
        <w:rPr/>
        <w:t>методики</w:t>
      </w:r>
      <w:r>
        <w:rPr>
          <w:spacing w:val="-17"/>
        </w:rPr>
        <w:t> </w:t>
      </w:r>
      <w:r>
        <w:rPr/>
        <w:t>предполагают</w:t>
      </w:r>
      <w:r>
        <w:rPr>
          <w:spacing w:val="-18"/>
        </w:rPr>
        <w:t> </w:t>
      </w:r>
      <w:r>
        <w:rPr/>
        <w:t>количественную</w:t>
      </w:r>
      <w:r>
        <w:rPr>
          <w:spacing w:val="-17"/>
        </w:rPr>
        <w:t> </w:t>
      </w:r>
      <w:r>
        <w:rPr/>
        <w:t>и</w:t>
      </w:r>
      <w:r>
        <w:rPr>
          <w:spacing w:val="-18"/>
        </w:rPr>
        <w:t> </w:t>
      </w:r>
      <w:r>
        <w:rPr/>
        <w:t>качественную</w:t>
      </w:r>
      <w:r>
        <w:rPr>
          <w:spacing w:val="-17"/>
        </w:rPr>
        <w:t> </w:t>
      </w:r>
      <w:r>
        <w:rPr/>
        <w:t>оценку. Результаты по каждой шкале показывают степень сформированности отдельных составляющих социальных навыков. Качественный анализ позволяет выделить ресурсы и проблемные области путем обозначения ситуаций, с которыми ребенок практически не справляется.</w:t>
      </w:r>
    </w:p>
    <w:p>
      <w:pPr>
        <w:pStyle w:val="Heading4"/>
        <w:ind w:right="561" w:firstLine="566"/>
      </w:pPr>
      <w:r>
        <w:rPr/>
        <w:t>Распределение показателей сформированности социальных навыков детей-мигрантов в Российской Федерации будет осуществлено после апробации</w:t>
      </w:r>
      <w:r>
        <w:rPr>
          <w:spacing w:val="-18"/>
        </w:rPr>
        <w:t> </w:t>
      </w:r>
      <w:r>
        <w:rPr/>
        <w:t>методики.</w:t>
      </w:r>
      <w:r>
        <w:rPr>
          <w:spacing w:val="-17"/>
        </w:rPr>
        <w:t> </w:t>
      </w:r>
      <w:r>
        <w:rPr/>
        <w:t>До</w:t>
      </w:r>
      <w:r>
        <w:rPr>
          <w:spacing w:val="-18"/>
        </w:rPr>
        <w:t> </w:t>
      </w:r>
      <w:r>
        <w:rPr/>
        <w:t>появления</w:t>
      </w:r>
      <w:r>
        <w:rPr>
          <w:spacing w:val="-17"/>
        </w:rPr>
        <w:t> </w:t>
      </w:r>
      <w:r>
        <w:rPr/>
        <w:t>нормативов</w:t>
      </w:r>
      <w:r>
        <w:rPr>
          <w:spacing w:val="-18"/>
        </w:rPr>
        <w:t> </w:t>
      </w:r>
      <w:r>
        <w:rPr/>
        <w:t>ее</w:t>
      </w:r>
      <w:r>
        <w:rPr>
          <w:spacing w:val="-17"/>
        </w:rPr>
        <w:t> </w:t>
      </w:r>
      <w:r>
        <w:rPr/>
        <w:t>можно</w:t>
      </w:r>
      <w:r>
        <w:rPr>
          <w:spacing w:val="-18"/>
        </w:rPr>
        <w:t> </w:t>
      </w:r>
      <w:r>
        <w:rPr/>
        <w:t>использовать</w:t>
      </w:r>
      <w:r>
        <w:rPr>
          <w:spacing w:val="-17"/>
        </w:rPr>
        <w:t> </w:t>
      </w:r>
      <w:r>
        <w:rPr/>
        <w:t>только для получения сравнительных результатов: либо в динамике по одному ребенку,</w:t>
      </w:r>
      <w:r>
        <w:rPr>
          <w:spacing w:val="-6"/>
        </w:rPr>
        <w:t> </w:t>
      </w:r>
      <w:r>
        <w:rPr/>
        <w:t>либо</w:t>
      </w:r>
      <w:r>
        <w:rPr>
          <w:spacing w:val="-5"/>
        </w:rPr>
        <w:t> </w:t>
      </w:r>
      <w:r>
        <w:rPr/>
        <w:t>для</w:t>
      </w:r>
      <w:r>
        <w:rPr>
          <w:spacing w:val="-5"/>
        </w:rPr>
        <w:t> </w:t>
      </w:r>
      <w:r>
        <w:rPr/>
        <w:t>сравнения</w:t>
      </w:r>
      <w:r>
        <w:rPr>
          <w:spacing w:val="-5"/>
        </w:rPr>
        <w:t> </w:t>
      </w:r>
      <w:r>
        <w:rPr/>
        <w:t>показателей</w:t>
      </w:r>
      <w:r>
        <w:rPr>
          <w:spacing w:val="-5"/>
        </w:rPr>
        <w:t> </w:t>
      </w:r>
      <w:r>
        <w:rPr/>
        <w:t>у</w:t>
      </w:r>
      <w:r>
        <w:rPr>
          <w:spacing w:val="-9"/>
        </w:rPr>
        <w:t> </w:t>
      </w:r>
      <w:r>
        <w:rPr/>
        <w:t>детей</w:t>
      </w:r>
      <w:r>
        <w:rPr>
          <w:spacing w:val="-5"/>
        </w:rPr>
        <w:t> </w:t>
      </w:r>
      <w:r>
        <w:rPr/>
        <w:t>(групп</w:t>
      </w:r>
      <w:r>
        <w:rPr>
          <w:spacing w:val="-5"/>
        </w:rPr>
        <w:t> </w:t>
      </w:r>
      <w:r>
        <w:rPr/>
        <w:t>детей)</w:t>
      </w:r>
      <w:r>
        <w:rPr>
          <w:spacing w:val="-5"/>
        </w:rPr>
        <w:t> </w:t>
      </w:r>
      <w:r>
        <w:rPr/>
        <w:t>друг</w:t>
      </w:r>
      <w:r>
        <w:rPr>
          <w:spacing w:val="-5"/>
        </w:rPr>
        <w:t> </w:t>
      </w:r>
      <w:r>
        <w:rPr/>
        <w:t>с</w:t>
      </w:r>
      <w:r>
        <w:rPr>
          <w:spacing w:val="-5"/>
        </w:rPr>
        <w:t> </w:t>
      </w:r>
      <w:r>
        <w:rPr/>
        <w:t>другом.</w:t>
      </w:r>
    </w:p>
    <w:p>
      <w:pPr>
        <w:pStyle w:val="Heading3"/>
        <w:spacing w:before="248"/>
      </w:pPr>
      <w:r>
        <w:rPr/>
        <w:t>Психометрические</w:t>
      </w:r>
      <w:r>
        <w:rPr>
          <w:spacing w:val="-8"/>
        </w:rPr>
        <w:t> </w:t>
      </w:r>
      <w:r>
        <w:rPr/>
        <w:t>характеристики</w:t>
      </w:r>
      <w:r>
        <w:rPr>
          <w:spacing w:val="-9"/>
        </w:rPr>
        <w:t> </w:t>
      </w:r>
      <w:r>
        <w:rPr/>
        <w:t>методики</w:t>
      </w:r>
      <w:r>
        <w:rPr>
          <w:spacing w:val="-6"/>
        </w:rPr>
        <w:t> </w:t>
      </w:r>
      <w:r>
        <w:rPr/>
        <w:t>и</w:t>
      </w:r>
      <w:r>
        <w:rPr>
          <w:spacing w:val="-7"/>
        </w:rPr>
        <w:t> </w:t>
      </w:r>
      <w:r>
        <w:rPr/>
        <w:t>процесс</w:t>
      </w:r>
      <w:r>
        <w:rPr>
          <w:spacing w:val="-6"/>
        </w:rPr>
        <w:t> </w:t>
      </w:r>
      <w:r>
        <w:rPr/>
        <w:t>ее</w:t>
      </w:r>
      <w:r>
        <w:rPr>
          <w:spacing w:val="-5"/>
        </w:rPr>
        <w:t> </w:t>
      </w:r>
      <w:r>
        <w:rPr>
          <w:spacing w:val="-2"/>
        </w:rPr>
        <w:t>разработки</w:t>
      </w:r>
    </w:p>
    <w:p>
      <w:pPr>
        <w:spacing w:line="242" w:lineRule="auto" w:before="192"/>
        <w:ind w:left="285" w:right="565" w:firstLine="566"/>
        <w:jc w:val="both"/>
        <w:rPr>
          <w:sz w:val="28"/>
        </w:rPr>
      </w:pPr>
      <w:r>
        <w:rPr>
          <w:sz w:val="28"/>
        </w:rPr>
        <w:t>Методика составлена на основе </w:t>
      </w:r>
      <w:r>
        <w:rPr>
          <w:i/>
          <w:sz w:val="28"/>
        </w:rPr>
        <w:t>School and Community Social Skills Rating Checklist (Sargent</w:t>
      </w:r>
      <w:r>
        <w:rPr>
          <w:sz w:val="28"/>
        </w:rPr>
        <w:t>, 1991).</w:t>
      </w:r>
    </w:p>
    <w:p>
      <w:pPr>
        <w:spacing w:after="0" w:line="242" w:lineRule="auto"/>
        <w:jc w:val="both"/>
        <w:rPr>
          <w:sz w:val="28"/>
        </w:rPr>
        <w:sectPr>
          <w:pgSz w:w="11910" w:h="16840"/>
          <w:pgMar w:header="0" w:footer="970" w:top="1040" w:bottom="1220" w:left="1417" w:right="283"/>
        </w:sectPr>
      </w:pPr>
    </w:p>
    <w:p>
      <w:pPr>
        <w:pStyle w:val="Heading4"/>
        <w:spacing w:before="67"/>
        <w:ind w:right="569" w:firstLine="566"/>
      </w:pPr>
      <w:r>
        <w:rPr/>
        <w:t>Авторы русскоязычной адаптации уточнили перечень навыков, релевантных для оценки учеников в России, а также провели первичную экспертизу методики. Экспертами выступили два педагога средней общеобразовательной школы. Текст методики был доработан в соответствии с их рекомендациями.</w:t>
      </w:r>
    </w:p>
    <w:p>
      <w:pPr>
        <w:pStyle w:val="Heading4"/>
        <w:spacing w:before="241"/>
        <w:ind w:right="562" w:firstLine="719"/>
      </w:pPr>
      <w:r>
        <w:rPr/>
        <w:t>В</w:t>
      </w:r>
      <w:r>
        <w:rPr>
          <w:spacing w:val="-18"/>
        </w:rPr>
        <w:t> </w:t>
      </w:r>
      <w:r>
        <w:rPr/>
        <w:t>2022</w:t>
      </w:r>
      <w:r>
        <w:rPr>
          <w:spacing w:val="-15"/>
        </w:rPr>
        <w:t> </w:t>
      </w:r>
      <w:r>
        <w:rPr/>
        <w:t>г.</w:t>
      </w:r>
      <w:r>
        <w:rPr>
          <w:spacing w:val="-18"/>
        </w:rPr>
        <w:t> </w:t>
      </w:r>
      <w:r>
        <w:rPr/>
        <w:t>по</w:t>
      </w:r>
      <w:r>
        <w:rPr>
          <w:spacing w:val="-16"/>
        </w:rPr>
        <w:t> </w:t>
      </w:r>
      <w:r>
        <w:rPr/>
        <w:t>результатам</w:t>
      </w:r>
      <w:r>
        <w:rPr>
          <w:spacing w:val="-18"/>
        </w:rPr>
        <w:t> </w:t>
      </w:r>
      <w:r>
        <w:rPr/>
        <w:t>апробации</w:t>
      </w:r>
      <w:r>
        <w:rPr>
          <w:spacing w:val="-16"/>
        </w:rPr>
        <w:t> </w:t>
      </w:r>
      <w:r>
        <w:rPr/>
        <w:t>в</w:t>
      </w:r>
      <w:r>
        <w:rPr>
          <w:spacing w:val="-18"/>
        </w:rPr>
        <w:t> </w:t>
      </w:r>
      <w:r>
        <w:rPr/>
        <w:t>12</w:t>
      </w:r>
      <w:r>
        <w:rPr>
          <w:spacing w:val="-17"/>
        </w:rPr>
        <w:t> </w:t>
      </w:r>
      <w:r>
        <w:rPr/>
        <w:t>регионах</w:t>
      </w:r>
      <w:r>
        <w:rPr>
          <w:spacing w:val="-16"/>
        </w:rPr>
        <w:t> </w:t>
      </w:r>
      <w:r>
        <w:rPr/>
        <w:t>РФ</w:t>
      </w:r>
      <w:r>
        <w:rPr>
          <w:spacing w:val="-18"/>
        </w:rPr>
        <w:t> </w:t>
      </w:r>
      <w:r>
        <w:rPr/>
        <w:t>программы</w:t>
      </w:r>
      <w:r>
        <w:rPr>
          <w:spacing w:val="-16"/>
        </w:rPr>
        <w:t> </w:t>
      </w:r>
      <w:r>
        <w:rPr/>
        <w:t>оценки особых образовательных потребностей ребенка-мигранта в сферах психологического благополучия, социальных навыков и культурной адаптации,</w:t>
      </w:r>
      <w:r>
        <w:rPr>
          <w:spacing w:val="-6"/>
        </w:rPr>
        <w:t> </w:t>
      </w:r>
      <w:r>
        <w:rPr/>
        <w:t>на</w:t>
      </w:r>
      <w:r>
        <w:rPr>
          <w:spacing w:val="-5"/>
        </w:rPr>
        <w:t> </w:t>
      </w:r>
      <w:r>
        <w:rPr/>
        <w:t>основании</w:t>
      </w:r>
      <w:r>
        <w:rPr>
          <w:spacing w:val="-5"/>
        </w:rPr>
        <w:t> </w:t>
      </w:r>
      <w:r>
        <w:rPr/>
        <w:t>статистического</w:t>
      </w:r>
      <w:r>
        <w:rPr>
          <w:spacing w:val="-4"/>
        </w:rPr>
        <w:t> </w:t>
      </w:r>
      <w:r>
        <w:rPr/>
        <w:t>анализа</w:t>
      </w:r>
      <w:r>
        <w:rPr>
          <w:spacing w:val="-6"/>
        </w:rPr>
        <w:t> </w:t>
      </w:r>
      <w:r>
        <w:rPr/>
        <w:t>распределения</w:t>
      </w:r>
      <w:r>
        <w:rPr>
          <w:spacing w:val="-7"/>
        </w:rPr>
        <w:t> </w:t>
      </w:r>
      <w:r>
        <w:rPr/>
        <w:t>показателей у детей — иностранных граждан, выделены следующие нормативы.</w:t>
      </w:r>
    </w:p>
    <w:p>
      <w:pPr>
        <w:pStyle w:val="BodyText"/>
        <w:ind w:left="0" w:right="0" w:firstLine="0"/>
        <w:jc w:val="left"/>
        <w:rPr>
          <w:sz w:val="28"/>
        </w:rPr>
      </w:pPr>
    </w:p>
    <w:p>
      <w:pPr>
        <w:pStyle w:val="BodyText"/>
        <w:spacing w:before="166"/>
        <w:ind w:left="0" w:right="0" w:firstLine="0"/>
        <w:jc w:val="left"/>
        <w:rPr>
          <w:sz w:val="28"/>
        </w:rPr>
      </w:pPr>
    </w:p>
    <w:p>
      <w:pPr>
        <w:pStyle w:val="Heading3"/>
        <w:spacing w:before="0"/>
        <w:ind w:left="8245"/>
        <w:jc w:val="left"/>
      </w:pPr>
      <w:r>
        <w:rPr/>
        <w:t>Таблица</w:t>
      </w:r>
      <w:r>
        <w:rPr>
          <w:spacing w:val="-6"/>
        </w:rPr>
        <w:t> </w:t>
      </w:r>
      <w:r>
        <w:rPr>
          <w:spacing w:val="-5"/>
        </w:rPr>
        <w:t>18</w:t>
      </w:r>
    </w:p>
    <w:p>
      <w:pPr>
        <w:spacing w:line="242" w:lineRule="auto" w:before="237"/>
        <w:ind w:left="1196" w:right="0" w:firstLine="74"/>
        <w:jc w:val="left"/>
        <w:rPr>
          <w:b/>
          <w:sz w:val="28"/>
        </w:rPr>
      </w:pPr>
      <w:r>
        <w:rPr>
          <w:b/>
          <w:sz w:val="28"/>
        </w:rPr>
        <w:t>Пересмотренные критерии оценки по шкале на выборках несовершеннолетних</w:t>
      </w:r>
      <w:r>
        <w:rPr>
          <w:b/>
          <w:spacing w:val="-6"/>
          <w:sz w:val="28"/>
        </w:rPr>
        <w:t> </w:t>
      </w:r>
      <w:r>
        <w:rPr>
          <w:b/>
          <w:sz w:val="28"/>
        </w:rPr>
        <w:t>детей</w:t>
      </w:r>
      <w:r>
        <w:rPr>
          <w:b/>
          <w:spacing w:val="-9"/>
          <w:sz w:val="28"/>
        </w:rPr>
        <w:t> </w:t>
      </w:r>
      <w:r>
        <w:rPr>
          <w:b/>
          <w:sz w:val="28"/>
        </w:rPr>
        <w:t>иностранных</w:t>
      </w:r>
      <w:r>
        <w:rPr>
          <w:b/>
          <w:spacing w:val="-3"/>
          <w:sz w:val="28"/>
        </w:rPr>
        <w:t> </w:t>
      </w:r>
      <w:r>
        <w:rPr>
          <w:b/>
          <w:sz w:val="28"/>
        </w:rPr>
        <w:t>граждан</w:t>
      </w:r>
      <w:r>
        <w:rPr>
          <w:b/>
          <w:spacing w:val="-7"/>
          <w:sz w:val="28"/>
        </w:rPr>
        <w:t> </w:t>
      </w:r>
      <w:r>
        <w:rPr>
          <w:b/>
          <w:sz w:val="28"/>
        </w:rPr>
        <w:t>в</w:t>
      </w:r>
      <w:r>
        <w:rPr>
          <w:b/>
          <w:spacing w:val="-8"/>
          <w:sz w:val="28"/>
        </w:rPr>
        <w:t> </w:t>
      </w:r>
      <w:r>
        <w:rPr>
          <w:b/>
          <w:sz w:val="28"/>
        </w:rPr>
        <w:t>России</w:t>
      </w:r>
    </w:p>
    <w:p>
      <w:pPr>
        <w:pStyle w:val="BodyText"/>
        <w:ind w:left="0" w:right="0" w:firstLine="0"/>
        <w:jc w:val="left"/>
        <w:rPr>
          <w:b/>
        </w:rPr>
      </w:pPr>
    </w:p>
    <w:p>
      <w:pPr>
        <w:pStyle w:val="BodyText"/>
        <w:spacing w:before="99"/>
        <w:ind w:left="0" w:right="0" w:firstLine="0"/>
        <w:jc w:val="left"/>
        <w:rPr>
          <w:b/>
        </w:r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86"/>
        <w:gridCol w:w="1844"/>
        <w:gridCol w:w="1841"/>
        <w:gridCol w:w="1702"/>
        <w:gridCol w:w="1985"/>
      </w:tblGrid>
      <w:tr>
        <w:trPr>
          <w:trHeight w:val="714" w:hRule="atLeast"/>
        </w:trPr>
        <w:tc>
          <w:tcPr>
            <w:tcW w:w="9458" w:type="dxa"/>
            <w:gridSpan w:val="5"/>
          </w:tcPr>
          <w:p>
            <w:pPr>
              <w:pStyle w:val="TableParagraph"/>
              <w:spacing w:before="61"/>
              <w:rPr>
                <w:b/>
                <w:sz w:val="24"/>
              </w:rPr>
            </w:pPr>
          </w:p>
          <w:p>
            <w:pPr>
              <w:pStyle w:val="TableParagraph"/>
              <w:ind w:left="7"/>
              <w:jc w:val="center"/>
              <w:rPr>
                <w:b/>
                <w:sz w:val="24"/>
              </w:rPr>
            </w:pPr>
            <w:r>
              <w:rPr>
                <w:b/>
                <w:sz w:val="24"/>
              </w:rPr>
              <w:t>Поведение</w:t>
            </w:r>
            <w:r>
              <w:rPr>
                <w:b/>
                <w:spacing w:val="-5"/>
                <w:sz w:val="24"/>
              </w:rPr>
              <w:t> </w:t>
            </w:r>
            <w:r>
              <w:rPr>
                <w:b/>
                <w:sz w:val="24"/>
              </w:rPr>
              <w:t>в</w:t>
            </w:r>
            <w:r>
              <w:rPr>
                <w:b/>
                <w:spacing w:val="-3"/>
                <w:sz w:val="24"/>
              </w:rPr>
              <w:t> </w:t>
            </w:r>
            <w:r>
              <w:rPr>
                <w:b/>
                <w:sz w:val="24"/>
              </w:rPr>
              <w:t>учебной</w:t>
            </w:r>
            <w:r>
              <w:rPr>
                <w:b/>
                <w:spacing w:val="-3"/>
                <w:sz w:val="24"/>
              </w:rPr>
              <w:t> </w:t>
            </w:r>
            <w:r>
              <w:rPr>
                <w:b/>
                <w:spacing w:val="-2"/>
                <w:sz w:val="24"/>
              </w:rPr>
              <w:t>ситуации</w:t>
            </w:r>
          </w:p>
        </w:tc>
      </w:tr>
      <w:tr>
        <w:trPr>
          <w:trHeight w:val="993" w:hRule="atLeast"/>
        </w:trPr>
        <w:tc>
          <w:tcPr>
            <w:tcW w:w="2086" w:type="dxa"/>
          </w:tcPr>
          <w:p>
            <w:pPr>
              <w:pStyle w:val="TableParagraph"/>
              <w:rPr>
                <w:sz w:val="26"/>
              </w:rPr>
            </w:pPr>
          </w:p>
        </w:tc>
        <w:tc>
          <w:tcPr>
            <w:tcW w:w="3685" w:type="dxa"/>
            <w:gridSpan w:val="2"/>
          </w:tcPr>
          <w:p>
            <w:pPr>
              <w:pStyle w:val="TableParagraph"/>
              <w:spacing w:before="61"/>
              <w:rPr>
                <w:b/>
                <w:sz w:val="24"/>
              </w:rPr>
            </w:pPr>
          </w:p>
          <w:p>
            <w:pPr>
              <w:pStyle w:val="TableParagraph"/>
              <w:ind w:left="371"/>
              <w:rPr>
                <w:b/>
                <w:sz w:val="24"/>
              </w:rPr>
            </w:pPr>
            <w:r>
              <w:rPr>
                <w:b/>
                <w:sz w:val="24"/>
              </w:rPr>
              <w:t>Начальная</w:t>
            </w:r>
            <w:r>
              <w:rPr>
                <w:b/>
                <w:spacing w:val="-4"/>
                <w:sz w:val="24"/>
              </w:rPr>
              <w:t> </w:t>
            </w:r>
            <w:r>
              <w:rPr>
                <w:b/>
                <w:sz w:val="24"/>
              </w:rPr>
              <w:t>школа</w:t>
            </w:r>
            <w:r>
              <w:rPr>
                <w:b/>
                <w:spacing w:val="-2"/>
                <w:sz w:val="24"/>
              </w:rPr>
              <w:t> </w:t>
            </w:r>
            <w:r>
              <w:rPr>
                <w:b/>
                <w:sz w:val="24"/>
              </w:rPr>
              <w:t>(N=</w:t>
            </w:r>
            <w:r>
              <w:rPr>
                <w:b/>
                <w:spacing w:val="-1"/>
                <w:sz w:val="24"/>
              </w:rPr>
              <w:t> </w:t>
            </w:r>
            <w:r>
              <w:rPr>
                <w:b/>
                <w:spacing w:val="-4"/>
                <w:sz w:val="24"/>
              </w:rPr>
              <w:t>324)</w:t>
            </w:r>
          </w:p>
        </w:tc>
        <w:tc>
          <w:tcPr>
            <w:tcW w:w="3687" w:type="dxa"/>
            <w:gridSpan w:val="2"/>
          </w:tcPr>
          <w:p>
            <w:pPr>
              <w:pStyle w:val="TableParagraph"/>
              <w:spacing w:before="61"/>
              <w:rPr>
                <w:b/>
                <w:sz w:val="24"/>
              </w:rPr>
            </w:pPr>
          </w:p>
          <w:p>
            <w:pPr>
              <w:pStyle w:val="TableParagraph"/>
              <w:ind w:left="1427" w:right="384" w:hanging="1032"/>
              <w:rPr>
                <w:b/>
                <w:sz w:val="24"/>
              </w:rPr>
            </w:pPr>
            <w:r>
              <w:rPr>
                <w:b/>
                <w:sz w:val="24"/>
              </w:rPr>
              <w:t>Средняя</w:t>
            </w:r>
            <w:r>
              <w:rPr>
                <w:b/>
                <w:spacing w:val="-14"/>
                <w:sz w:val="24"/>
              </w:rPr>
              <w:t> </w:t>
            </w:r>
            <w:r>
              <w:rPr>
                <w:b/>
                <w:sz w:val="24"/>
              </w:rPr>
              <w:t>и</w:t>
            </w:r>
            <w:r>
              <w:rPr>
                <w:b/>
                <w:spacing w:val="-14"/>
                <w:sz w:val="24"/>
              </w:rPr>
              <w:t> </w:t>
            </w:r>
            <w:r>
              <w:rPr>
                <w:b/>
                <w:sz w:val="24"/>
              </w:rPr>
              <w:t>старшая</w:t>
            </w:r>
            <w:r>
              <w:rPr>
                <w:b/>
                <w:spacing w:val="-13"/>
                <w:sz w:val="24"/>
              </w:rPr>
              <w:t> </w:t>
            </w:r>
            <w:r>
              <w:rPr>
                <w:b/>
                <w:sz w:val="24"/>
              </w:rPr>
              <w:t>школа </w:t>
            </w:r>
            <w:r>
              <w:rPr>
                <w:b/>
                <w:spacing w:val="-2"/>
                <w:sz w:val="24"/>
              </w:rPr>
              <w:t>(N=438)</w:t>
            </w:r>
          </w:p>
        </w:tc>
      </w:tr>
      <w:tr>
        <w:trPr>
          <w:trHeight w:val="990" w:hRule="atLeast"/>
        </w:trPr>
        <w:tc>
          <w:tcPr>
            <w:tcW w:w="2086" w:type="dxa"/>
          </w:tcPr>
          <w:p>
            <w:pPr>
              <w:pStyle w:val="TableParagraph"/>
              <w:rPr>
                <w:sz w:val="26"/>
              </w:rPr>
            </w:pPr>
          </w:p>
        </w:tc>
        <w:tc>
          <w:tcPr>
            <w:tcW w:w="1844" w:type="dxa"/>
          </w:tcPr>
          <w:p>
            <w:pPr>
              <w:pStyle w:val="TableParagraph"/>
              <w:spacing w:before="61"/>
              <w:rPr>
                <w:b/>
                <w:sz w:val="24"/>
              </w:rPr>
            </w:pPr>
          </w:p>
          <w:p>
            <w:pPr>
              <w:pStyle w:val="TableParagraph"/>
              <w:ind w:left="503" w:right="332" w:hanging="164"/>
              <w:rPr>
                <w:b/>
                <w:sz w:val="24"/>
              </w:rPr>
            </w:pPr>
            <w:r>
              <w:rPr>
                <w:b/>
                <w:spacing w:val="-2"/>
                <w:sz w:val="24"/>
              </w:rPr>
              <w:t>Мальчики (N=179)</w:t>
            </w:r>
          </w:p>
        </w:tc>
        <w:tc>
          <w:tcPr>
            <w:tcW w:w="1841" w:type="dxa"/>
          </w:tcPr>
          <w:p>
            <w:pPr>
              <w:pStyle w:val="TableParagraph"/>
              <w:spacing w:before="61"/>
              <w:rPr>
                <w:b/>
                <w:sz w:val="24"/>
              </w:rPr>
            </w:pPr>
          </w:p>
          <w:p>
            <w:pPr>
              <w:pStyle w:val="TableParagraph"/>
              <w:ind w:left="503" w:right="441" w:hanging="53"/>
              <w:rPr>
                <w:b/>
                <w:sz w:val="24"/>
              </w:rPr>
            </w:pPr>
            <w:r>
              <w:rPr>
                <w:b/>
                <w:spacing w:val="-2"/>
                <w:sz w:val="24"/>
              </w:rPr>
              <w:t>Девочки (N=145)</w:t>
            </w:r>
          </w:p>
        </w:tc>
        <w:tc>
          <w:tcPr>
            <w:tcW w:w="1702" w:type="dxa"/>
          </w:tcPr>
          <w:p>
            <w:pPr>
              <w:pStyle w:val="TableParagraph"/>
              <w:spacing w:before="61"/>
              <w:rPr>
                <w:b/>
                <w:sz w:val="24"/>
              </w:rPr>
            </w:pPr>
          </w:p>
          <w:p>
            <w:pPr>
              <w:pStyle w:val="TableParagraph"/>
              <w:ind w:left="433" w:right="260" w:hanging="164"/>
              <w:rPr>
                <w:b/>
                <w:sz w:val="24"/>
              </w:rPr>
            </w:pPr>
            <w:r>
              <w:rPr>
                <w:b/>
                <w:spacing w:val="-2"/>
                <w:sz w:val="24"/>
              </w:rPr>
              <w:t>Мальчики (N=193)</w:t>
            </w:r>
          </w:p>
        </w:tc>
        <w:tc>
          <w:tcPr>
            <w:tcW w:w="1985" w:type="dxa"/>
          </w:tcPr>
          <w:p>
            <w:pPr>
              <w:pStyle w:val="TableParagraph"/>
              <w:spacing w:before="61"/>
              <w:rPr>
                <w:b/>
                <w:sz w:val="24"/>
              </w:rPr>
            </w:pPr>
          </w:p>
          <w:p>
            <w:pPr>
              <w:pStyle w:val="TableParagraph"/>
              <w:ind w:left="577" w:right="511" w:hanging="53"/>
              <w:rPr>
                <w:b/>
                <w:sz w:val="24"/>
              </w:rPr>
            </w:pPr>
            <w:r>
              <w:rPr>
                <w:b/>
                <w:spacing w:val="-2"/>
                <w:sz w:val="24"/>
              </w:rPr>
              <w:t>Девочки (N=145)</w:t>
            </w:r>
          </w:p>
        </w:tc>
      </w:tr>
      <w:tr>
        <w:trPr>
          <w:trHeight w:val="762" w:hRule="atLeast"/>
        </w:trPr>
        <w:tc>
          <w:tcPr>
            <w:tcW w:w="2086" w:type="dxa"/>
          </w:tcPr>
          <w:p>
            <w:pPr>
              <w:pStyle w:val="TableParagraph"/>
              <w:spacing w:before="56"/>
              <w:rPr>
                <w:b/>
                <w:sz w:val="24"/>
              </w:rPr>
            </w:pPr>
          </w:p>
          <w:p>
            <w:pPr>
              <w:pStyle w:val="TableParagraph"/>
              <w:ind w:left="100"/>
              <w:rPr>
                <w:sz w:val="24"/>
              </w:rPr>
            </w:pPr>
            <w:r>
              <w:rPr>
                <w:sz w:val="24"/>
              </w:rPr>
              <w:t>Ниже</w:t>
            </w:r>
            <w:r>
              <w:rPr>
                <w:spacing w:val="-5"/>
                <w:sz w:val="24"/>
              </w:rPr>
              <w:t> </w:t>
            </w:r>
            <w:r>
              <w:rPr>
                <w:spacing w:val="-2"/>
                <w:sz w:val="24"/>
              </w:rPr>
              <w:t>среднего</w:t>
            </w:r>
          </w:p>
        </w:tc>
        <w:tc>
          <w:tcPr>
            <w:tcW w:w="1844" w:type="dxa"/>
          </w:tcPr>
          <w:p>
            <w:pPr>
              <w:pStyle w:val="TableParagraph"/>
              <w:spacing w:before="11"/>
              <w:rPr>
                <w:b/>
                <w:sz w:val="28"/>
              </w:rPr>
            </w:pPr>
          </w:p>
          <w:p>
            <w:pPr>
              <w:pStyle w:val="TableParagraph"/>
              <w:ind w:left="5"/>
              <w:jc w:val="center"/>
              <w:rPr>
                <w:sz w:val="28"/>
              </w:rPr>
            </w:pPr>
            <w:r>
              <w:rPr>
                <w:spacing w:val="-2"/>
                <w:sz w:val="28"/>
              </w:rPr>
              <w:t>&lt;1.36</w:t>
            </w:r>
          </w:p>
        </w:tc>
        <w:tc>
          <w:tcPr>
            <w:tcW w:w="1841" w:type="dxa"/>
          </w:tcPr>
          <w:p>
            <w:pPr>
              <w:pStyle w:val="TableParagraph"/>
              <w:spacing w:before="11"/>
              <w:rPr>
                <w:b/>
                <w:sz w:val="28"/>
              </w:rPr>
            </w:pPr>
          </w:p>
          <w:p>
            <w:pPr>
              <w:pStyle w:val="TableParagraph"/>
              <w:ind w:left="12" w:right="6"/>
              <w:jc w:val="center"/>
              <w:rPr>
                <w:sz w:val="28"/>
              </w:rPr>
            </w:pPr>
            <w:r>
              <w:rPr>
                <w:spacing w:val="-2"/>
                <w:sz w:val="28"/>
              </w:rPr>
              <w:t>&lt;1.75</w:t>
            </w:r>
          </w:p>
        </w:tc>
        <w:tc>
          <w:tcPr>
            <w:tcW w:w="1702" w:type="dxa"/>
          </w:tcPr>
          <w:p>
            <w:pPr>
              <w:pStyle w:val="TableParagraph"/>
              <w:spacing w:before="11"/>
              <w:rPr>
                <w:b/>
                <w:sz w:val="28"/>
              </w:rPr>
            </w:pPr>
          </w:p>
          <w:p>
            <w:pPr>
              <w:pStyle w:val="TableParagraph"/>
              <w:ind w:left="8" w:right="2"/>
              <w:jc w:val="center"/>
              <w:rPr>
                <w:sz w:val="28"/>
              </w:rPr>
            </w:pPr>
            <w:r>
              <w:rPr>
                <w:spacing w:val="-2"/>
                <w:sz w:val="28"/>
              </w:rPr>
              <w:t>&lt;1.55</w:t>
            </w:r>
          </w:p>
        </w:tc>
        <w:tc>
          <w:tcPr>
            <w:tcW w:w="1985" w:type="dxa"/>
          </w:tcPr>
          <w:p>
            <w:pPr>
              <w:pStyle w:val="TableParagraph"/>
              <w:spacing w:before="11"/>
              <w:rPr>
                <w:b/>
                <w:sz w:val="28"/>
              </w:rPr>
            </w:pPr>
          </w:p>
          <w:p>
            <w:pPr>
              <w:pStyle w:val="TableParagraph"/>
              <w:ind w:left="12"/>
              <w:jc w:val="center"/>
              <w:rPr>
                <w:sz w:val="28"/>
              </w:rPr>
            </w:pPr>
            <w:r>
              <w:rPr>
                <w:spacing w:val="-2"/>
                <w:sz w:val="28"/>
              </w:rPr>
              <w:t>&lt;1.95</w:t>
            </w:r>
          </w:p>
        </w:tc>
      </w:tr>
      <w:tr>
        <w:trPr>
          <w:trHeight w:val="763" w:hRule="atLeast"/>
        </w:trPr>
        <w:tc>
          <w:tcPr>
            <w:tcW w:w="2086" w:type="dxa"/>
          </w:tcPr>
          <w:p>
            <w:pPr>
              <w:pStyle w:val="TableParagraph"/>
              <w:spacing w:before="57"/>
              <w:rPr>
                <w:b/>
                <w:sz w:val="24"/>
              </w:rPr>
            </w:pPr>
          </w:p>
          <w:p>
            <w:pPr>
              <w:pStyle w:val="TableParagraph"/>
              <w:ind w:left="100"/>
              <w:rPr>
                <w:sz w:val="24"/>
              </w:rPr>
            </w:pPr>
            <w:r>
              <w:rPr>
                <w:spacing w:val="-2"/>
                <w:sz w:val="24"/>
              </w:rPr>
              <w:t>Средний</w:t>
            </w:r>
          </w:p>
        </w:tc>
        <w:tc>
          <w:tcPr>
            <w:tcW w:w="1844" w:type="dxa"/>
          </w:tcPr>
          <w:p>
            <w:pPr>
              <w:pStyle w:val="TableParagraph"/>
              <w:spacing w:before="12"/>
              <w:rPr>
                <w:b/>
                <w:sz w:val="28"/>
              </w:rPr>
            </w:pPr>
          </w:p>
          <w:p>
            <w:pPr>
              <w:pStyle w:val="TableParagraph"/>
              <w:ind w:left="359"/>
              <w:rPr>
                <w:sz w:val="28"/>
              </w:rPr>
            </w:pPr>
            <w:r>
              <w:rPr>
                <w:sz w:val="28"/>
              </w:rPr>
              <w:t>1.36</w:t>
            </w:r>
            <w:r>
              <w:rPr>
                <w:spacing w:val="-1"/>
                <w:sz w:val="28"/>
              </w:rPr>
              <w:t> </w:t>
            </w:r>
            <w:r>
              <w:rPr>
                <w:sz w:val="28"/>
              </w:rPr>
              <w:t>–</w:t>
            </w:r>
            <w:r>
              <w:rPr>
                <w:spacing w:val="-2"/>
                <w:sz w:val="28"/>
              </w:rPr>
              <w:t> </w:t>
            </w:r>
            <w:r>
              <w:rPr>
                <w:spacing w:val="-5"/>
                <w:sz w:val="28"/>
              </w:rPr>
              <w:t>2.7</w:t>
            </w:r>
          </w:p>
        </w:tc>
        <w:tc>
          <w:tcPr>
            <w:tcW w:w="1841" w:type="dxa"/>
          </w:tcPr>
          <w:p>
            <w:pPr>
              <w:pStyle w:val="TableParagraph"/>
              <w:spacing w:before="12"/>
              <w:rPr>
                <w:b/>
                <w:sz w:val="28"/>
              </w:rPr>
            </w:pPr>
          </w:p>
          <w:p>
            <w:pPr>
              <w:pStyle w:val="TableParagraph"/>
              <w:ind w:left="287"/>
              <w:rPr>
                <w:sz w:val="28"/>
              </w:rPr>
            </w:pPr>
            <w:r>
              <w:rPr>
                <w:sz w:val="28"/>
              </w:rPr>
              <w:t>1.75</w:t>
            </w:r>
            <w:r>
              <w:rPr>
                <w:spacing w:val="-1"/>
                <w:sz w:val="28"/>
              </w:rPr>
              <w:t> </w:t>
            </w:r>
            <w:r>
              <w:rPr>
                <w:sz w:val="28"/>
              </w:rPr>
              <w:t>–</w:t>
            </w:r>
            <w:r>
              <w:rPr>
                <w:spacing w:val="-2"/>
                <w:sz w:val="28"/>
              </w:rPr>
              <w:t> </w:t>
            </w:r>
            <w:r>
              <w:rPr>
                <w:spacing w:val="-4"/>
                <w:sz w:val="28"/>
              </w:rPr>
              <w:t>2.95</w:t>
            </w:r>
          </w:p>
        </w:tc>
        <w:tc>
          <w:tcPr>
            <w:tcW w:w="1702" w:type="dxa"/>
          </w:tcPr>
          <w:p>
            <w:pPr>
              <w:pStyle w:val="TableParagraph"/>
              <w:spacing w:before="12"/>
              <w:rPr>
                <w:b/>
                <w:sz w:val="28"/>
              </w:rPr>
            </w:pPr>
          </w:p>
          <w:p>
            <w:pPr>
              <w:pStyle w:val="TableParagraph"/>
              <w:ind w:left="220"/>
              <w:rPr>
                <w:sz w:val="28"/>
              </w:rPr>
            </w:pPr>
            <w:r>
              <w:rPr>
                <w:sz w:val="28"/>
              </w:rPr>
              <w:t>1.55</w:t>
            </w:r>
            <w:r>
              <w:rPr>
                <w:spacing w:val="-3"/>
                <w:sz w:val="28"/>
              </w:rPr>
              <w:t> </w:t>
            </w:r>
            <w:r>
              <w:rPr>
                <w:sz w:val="28"/>
              </w:rPr>
              <w:t>–</w:t>
            </w:r>
            <w:r>
              <w:rPr>
                <w:spacing w:val="-2"/>
                <w:sz w:val="28"/>
              </w:rPr>
              <w:t> </w:t>
            </w:r>
            <w:r>
              <w:rPr>
                <w:spacing w:val="-4"/>
                <w:sz w:val="28"/>
              </w:rPr>
              <w:t>2.85</w:t>
            </w:r>
          </w:p>
        </w:tc>
        <w:tc>
          <w:tcPr>
            <w:tcW w:w="1985" w:type="dxa"/>
          </w:tcPr>
          <w:p>
            <w:pPr>
              <w:pStyle w:val="TableParagraph"/>
              <w:spacing w:before="12"/>
              <w:rPr>
                <w:b/>
                <w:sz w:val="28"/>
              </w:rPr>
            </w:pPr>
          </w:p>
          <w:p>
            <w:pPr>
              <w:pStyle w:val="TableParagraph"/>
              <w:ind w:left="361"/>
              <w:rPr>
                <w:sz w:val="28"/>
              </w:rPr>
            </w:pPr>
            <w:r>
              <w:rPr>
                <w:sz w:val="28"/>
              </w:rPr>
              <w:t>1.95</w:t>
            </w:r>
            <w:r>
              <w:rPr>
                <w:spacing w:val="-1"/>
                <w:sz w:val="28"/>
              </w:rPr>
              <w:t> </w:t>
            </w:r>
            <w:r>
              <w:rPr>
                <w:sz w:val="28"/>
              </w:rPr>
              <w:t>–</w:t>
            </w:r>
            <w:r>
              <w:rPr>
                <w:spacing w:val="-2"/>
                <w:sz w:val="28"/>
              </w:rPr>
              <w:t> </w:t>
            </w:r>
            <w:r>
              <w:rPr>
                <w:spacing w:val="-4"/>
                <w:sz w:val="28"/>
              </w:rPr>
              <w:t>3.01</w:t>
            </w:r>
          </w:p>
        </w:tc>
      </w:tr>
      <w:tr>
        <w:trPr>
          <w:trHeight w:val="760" w:hRule="atLeast"/>
        </w:trPr>
        <w:tc>
          <w:tcPr>
            <w:tcW w:w="2086" w:type="dxa"/>
          </w:tcPr>
          <w:p>
            <w:pPr>
              <w:pStyle w:val="TableParagraph"/>
              <w:spacing w:before="54"/>
              <w:rPr>
                <w:b/>
                <w:sz w:val="24"/>
              </w:rPr>
            </w:pPr>
          </w:p>
          <w:p>
            <w:pPr>
              <w:pStyle w:val="TableParagraph"/>
              <w:ind w:left="100"/>
              <w:rPr>
                <w:sz w:val="24"/>
              </w:rPr>
            </w:pPr>
            <w:r>
              <w:rPr>
                <w:sz w:val="24"/>
              </w:rPr>
              <w:t>Выше</w:t>
            </w:r>
            <w:r>
              <w:rPr>
                <w:spacing w:val="-2"/>
                <w:sz w:val="24"/>
              </w:rPr>
              <w:t> среднего</w:t>
            </w:r>
          </w:p>
        </w:tc>
        <w:tc>
          <w:tcPr>
            <w:tcW w:w="1844" w:type="dxa"/>
          </w:tcPr>
          <w:p>
            <w:pPr>
              <w:pStyle w:val="TableParagraph"/>
              <w:spacing w:before="9"/>
              <w:rPr>
                <w:b/>
                <w:sz w:val="28"/>
              </w:rPr>
            </w:pPr>
          </w:p>
          <w:p>
            <w:pPr>
              <w:pStyle w:val="TableParagraph"/>
              <w:ind w:left="5"/>
              <w:jc w:val="center"/>
              <w:rPr>
                <w:sz w:val="28"/>
              </w:rPr>
            </w:pPr>
            <w:r>
              <w:rPr>
                <w:spacing w:val="-4"/>
                <w:sz w:val="28"/>
              </w:rPr>
              <w:t>&gt;2.7</w:t>
            </w:r>
          </w:p>
        </w:tc>
        <w:tc>
          <w:tcPr>
            <w:tcW w:w="1841" w:type="dxa"/>
          </w:tcPr>
          <w:p>
            <w:pPr>
              <w:pStyle w:val="TableParagraph"/>
              <w:spacing w:before="9"/>
              <w:rPr>
                <w:b/>
                <w:sz w:val="28"/>
              </w:rPr>
            </w:pPr>
          </w:p>
          <w:p>
            <w:pPr>
              <w:pStyle w:val="TableParagraph"/>
              <w:ind w:left="12" w:right="6"/>
              <w:jc w:val="center"/>
              <w:rPr>
                <w:sz w:val="28"/>
              </w:rPr>
            </w:pPr>
            <w:r>
              <w:rPr>
                <w:spacing w:val="-2"/>
                <w:sz w:val="28"/>
              </w:rPr>
              <w:t>&gt;2.95</w:t>
            </w:r>
          </w:p>
        </w:tc>
        <w:tc>
          <w:tcPr>
            <w:tcW w:w="1702" w:type="dxa"/>
          </w:tcPr>
          <w:p>
            <w:pPr>
              <w:pStyle w:val="TableParagraph"/>
              <w:spacing w:before="9"/>
              <w:rPr>
                <w:b/>
                <w:sz w:val="28"/>
              </w:rPr>
            </w:pPr>
          </w:p>
          <w:p>
            <w:pPr>
              <w:pStyle w:val="TableParagraph"/>
              <w:ind w:left="8" w:right="2"/>
              <w:jc w:val="center"/>
              <w:rPr>
                <w:sz w:val="28"/>
              </w:rPr>
            </w:pPr>
            <w:r>
              <w:rPr>
                <w:spacing w:val="-2"/>
                <w:sz w:val="28"/>
              </w:rPr>
              <w:t>&gt;2.85</w:t>
            </w:r>
          </w:p>
        </w:tc>
        <w:tc>
          <w:tcPr>
            <w:tcW w:w="1985" w:type="dxa"/>
          </w:tcPr>
          <w:p>
            <w:pPr>
              <w:pStyle w:val="TableParagraph"/>
              <w:spacing w:before="9"/>
              <w:rPr>
                <w:b/>
                <w:sz w:val="28"/>
              </w:rPr>
            </w:pPr>
          </w:p>
          <w:p>
            <w:pPr>
              <w:pStyle w:val="TableParagraph"/>
              <w:ind w:left="12"/>
              <w:jc w:val="center"/>
              <w:rPr>
                <w:sz w:val="28"/>
              </w:rPr>
            </w:pPr>
            <w:r>
              <w:rPr>
                <w:spacing w:val="-2"/>
                <w:sz w:val="28"/>
              </w:rPr>
              <w:t>&gt;3.01</w:t>
            </w:r>
          </w:p>
        </w:tc>
      </w:tr>
      <w:tr>
        <w:trPr>
          <w:trHeight w:val="717" w:hRule="atLeast"/>
        </w:trPr>
        <w:tc>
          <w:tcPr>
            <w:tcW w:w="9458" w:type="dxa"/>
            <w:gridSpan w:val="5"/>
          </w:tcPr>
          <w:p>
            <w:pPr>
              <w:pStyle w:val="TableParagraph"/>
              <w:spacing w:before="61"/>
              <w:rPr>
                <w:b/>
                <w:sz w:val="24"/>
              </w:rPr>
            </w:pPr>
          </w:p>
          <w:p>
            <w:pPr>
              <w:pStyle w:val="TableParagraph"/>
              <w:ind w:left="7"/>
              <w:jc w:val="center"/>
              <w:rPr>
                <w:b/>
                <w:i/>
                <w:sz w:val="24"/>
              </w:rPr>
            </w:pPr>
            <w:r>
              <w:rPr>
                <w:b/>
                <w:i/>
                <w:sz w:val="24"/>
              </w:rPr>
              <w:t>Взаимодействие</w:t>
            </w:r>
            <w:r>
              <w:rPr>
                <w:b/>
                <w:i/>
                <w:spacing w:val="-4"/>
                <w:sz w:val="24"/>
              </w:rPr>
              <w:t> </w:t>
            </w:r>
            <w:r>
              <w:rPr>
                <w:b/>
                <w:i/>
                <w:sz w:val="24"/>
              </w:rPr>
              <w:t>с</w:t>
            </w:r>
            <w:r>
              <w:rPr>
                <w:b/>
                <w:i/>
                <w:spacing w:val="-4"/>
                <w:sz w:val="24"/>
              </w:rPr>
              <w:t> </w:t>
            </w:r>
            <w:r>
              <w:rPr>
                <w:b/>
                <w:i/>
                <w:spacing w:val="-2"/>
                <w:sz w:val="24"/>
              </w:rPr>
              <w:t>ровесниками</w:t>
            </w:r>
          </w:p>
        </w:tc>
      </w:tr>
      <w:tr>
        <w:trPr>
          <w:trHeight w:val="760" w:hRule="atLeast"/>
        </w:trPr>
        <w:tc>
          <w:tcPr>
            <w:tcW w:w="2086" w:type="dxa"/>
          </w:tcPr>
          <w:p>
            <w:pPr>
              <w:pStyle w:val="TableParagraph"/>
              <w:spacing w:before="56"/>
              <w:rPr>
                <w:b/>
                <w:sz w:val="24"/>
              </w:rPr>
            </w:pPr>
          </w:p>
          <w:p>
            <w:pPr>
              <w:pStyle w:val="TableParagraph"/>
              <w:ind w:left="100"/>
              <w:rPr>
                <w:sz w:val="24"/>
              </w:rPr>
            </w:pPr>
            <w:r>
              <w:rPr>
                <w:sz w:val="24"/>
              </w:rPr>
              <w:t>Ниже</w:t>
            </w:r>
            <w:r>
              <w:rPr>
                <w:spacing w:val="-5"/>
                <w:sz w:val="24"/>
              </w:rPr>
              <w:t> </w:t>
            </w:r>
            <w:r>
              <w:rPr>
                <w:spacing w:val="-2"/>
                <w:sz w:val="24"/>
              </w:rPr>
              <w:t>среднего</w:t>
            </w:r>
          </w:p>
        </w:tc>
        <w:tc>
          <w:tcPr>
            <w:tcW w:w="1844" w:type="dxa"/>
          </w:tcPr>
          <w:p>
            <w:pPr>
              <w:pStyle w:val="TableParagraph"/>
              <w:spacing w:before="11"/>
              <w:rPr>
                <w:b/>
                <w:sz w:val="28"/>
              </w:rPr>
            </w:pPr>
          </w:p>
          <w:p>
            <w:pPr>
              <w:pStyle w:val="TableParagraph"/>
              <w:ind w:left="5"/>
              <w:jc w:val="center"/>
              <w:rPr>
                <w:sz w:val="28"/>
              </w:rPr>
            </w:pPr>
            <w:r>
              <w:rPr>
                <w:spacing w:val="-2"/>
                <w:sz w:val="28"/>
              </w:rPr>
              <w:t>&lt;1.44</w:t>
            </w:r>
          </w:p>
        </w:tc>
        <w:tc>
          <w:tcPr>
            <w:tcW w:w="1841" w:type="dxa"/>
          </w:tcPr>
          <w:p>
            <w:pPr>
              <w:pStyle w:val="TableParagraph"/>
              <w:spacing w:before="11"/>
              <w:rPr>
                <w:b/>
                <w:sz w:val="28"/>
              </w:rPr>
            </w:pPr>
          </w:p>
          <w:p>
            <w:pPr>
              <w:pStyle w:val="TableParagraph"/>
              <w:ind w:left="12" w:right="6"/>
              <w:jc w:val="center"/>
              <w:rPr>
                <w:sz w:val="28"/>
              </w:rPr>
            </w:pPr>
            <w:r>
              <w:rPr>
                <w:spacing w:val="-2"/>
                <w:sz w:val="28"/>
              </w:rPr>
              <w:t>&lt;1.54</w:t>
            </w:r>
          </w:p>
        </w:tc>
        <w:tc>
          <w:tcPr>
            <w:tcW w:w="1702" w:type="dxa"/>
          </w:tcPr>
          <w:p>
            <w:pPr>
              <w:pStyle w:val="TableParagraph"/>
              <w:spacing w:before="11"/>
              <w:rPr>
                <w:b/>
                <w:sz w:val="28"/>
              </w:rPr>
            </w:pPr>
          </w:p>
          <w:p>
            <w:pPr>
              <w:pStyle w:val="TableParagraph"/>
              <w:ind w:left="8" w:right="2"/>
              <w:jc w:val="center"/>
              <w:rPr>
                <w:sz w:val="28"/>
              </w:rPr>
            </w:pPr>
            <w:r>
              <w:rPr>
                <w:spacing w:val="-2"/>
                <w:sz w:val="28"/>
              </w:rPr>
              <w:t>&lt;1.63</w:t>
            </w:r>
          </w:p>
        </w:tc>
        <w:tc>
          <w:tcPr>
            <w:tcW w:w="1985" w:type="dxa"/>
          </w:tcPr>
          <w:p>
            <w:pPr>
              <w:pStyle w:val="TableParagraph"/>
              <w:spacing w:before="11"/>
              <w:rPr>
                <w:b/>
                <w:sz w:val="28"/>
              </w:rPr>
            </w:pPr>
          </w:p>
          <w:p>
            <w:pPr>
              <w:pStyle w:val="TableParagraph"/>
              <w:ind w:left="12"/>
              <w:jc w:val="center"/>
              <w:rPr>
                <w:sz w:val="28"/>
              </w:rPr>
            </w:pPr>
            <w:r>
              <w:rPr>
                <w:spacing w:val="-2"/>
                <w:sz w:val="28"/>
              </w:rPr>
              <w:t>&lt;1.62</w:t>
            </w:r>
          </w:p>
        </w:tc>
      </w:tr>
      <w:tr>
        <w:trPr>
          <w:trHeight w:val="763" w:hRule="atLeast"/>
        </w:trPr>
        <w:tc>
          <w:tcPr>
            <w:tcW w:w="2086" w:type="dxa"/>
          </w:tcPr>
          <w:p>
            <w:pPr>
              <w:pStyle w:val="TableParagraph"/>
              <w:spacing w:before="56"/>
              <w:rPr>
                <w:b/>
                <w:sz w:val="24"/>
              </w:rPr>
            </w:pPr>
          </w:p>
          <w:p>
            <w:pPr>
              <w:pStyle w:val="TableParagraph"/>
              <w:ind w:left="100"/>
              <w:rPr>
                <w:sz w:val="24"/>
              </w:rPr>
            </w:pPr>
            <w:r>
              <w:rPr>
                <w:spacing w:val="-2"/>
                <w:sz w:val="24"/>
              </w:rPr>
              <w:t>Средний</w:t>
            </w:r>
          </w:p>
        </w:tc>
        <w:tc>
          <w:tcPr>
            <w:tcW w:w="1844" w:type="dxa"/>
          </w:tcPr>
          <w:p>
            <w:pPr>
              <w:pStyle w:val="TableParagraph"/>
              <w:spacing w:before="12"/>
              <w:rPr>
                <w:b/>
                <w:sz w:val="28"/>
              </w:rPr>
            </w:pPr>
          </w:p>
          <w:p>
            <w:pPr>
              <w:pStyle w:val="TableParagraph"/>
              <w:ind w:left="359"/>
              <w:rPr>
                <w:sz w:val="28"/>
              </w:rPr>
            </w:pPr>
            <w:r>
              <w:rPr>
                <w:sz w:val="28"/>
              </w:rPr>
              <w:t>1.44</w:t>
            </w:r>
            <w:r>
              <w:rPr>
                <w:spacing w:val="-1"/>
                <w:sz w:val="28"/>
              </w:rPr>
              <w:t> </w:t>
            </w:r>
            <w:r>
              <w:rPr>
                <w:sz w:val="28"/>
              </w:rPr>
              <w:t>–</w:t>
            </w:r>
            <w:r>
              <w:rPr>
                <w:spacing w:val="-2"/>
                <w:sz w:val="28"/>
              </w:rPr>
              <w:t> </w:t>
            </w:r>
            <w:r>
              <w:rPr>
                <w:spacing w:val="-5"/>
                <w:sz w:val="28"/>
              </w:rPr>
              <w:t>2.6</w:t>
            </w:r>
          </w:p>
        </w:tc>
        <w:tc>
          <w:tcPr>
            <w:tcW w:w="1841" w:type="dxa"/>
          </w:tcPr>
          <w:p>
            <w:pPr>
              <w:pStyle w:val="TableParagraph"/>
              <w:spacing w:before="12"/>
              <w:rPr>
                <w:b/>
                <w:sz w:val="28"/>
              </w:rPr>
            </w:pPr>
          </w:p>
          <w:p>
            <w:pPr>
              <w:pStyle w:val="TableParagraph"/>
              <w:ind w:left="287"/>
              <w:rPr>
                <w:sz w:val="28"/>
              </w:rPr>
            </w:pPr>
            <w:r>
              <w:rPr>
                <w:sz w:val="28"/>
              </w:rPr>
              <w:t>1.54</w:t>
            </w:r>
            <w:r>
              <w:rPr>
                <w:spacing w:val="-1"/>
                <w:sz w:val="28"/>
              </w:rPr>
              <w:t> </w:t>
            </w:r>
            <w:r>
              <w:rPr>
                <w:sz w:val="28"/>
              </w:rPr>
              <w:t>–</w:t>
            </w:r>
            <w:r>
              <w:rPr>
                <w:spacing w:val="-2"/>
                <w:sz w:val="28"/>
              </w:rPr>
              <w:t> </w:t>
            </w:r>
            <w:r>
              <w:rPr>
                <w:spacing w:val="-4"/>
                <w:sz w:val="28"/>
              </w:rPr>
              <w:t>2.72</w:t>
            </w:r>
          </w:p>
        </w:tc>
        <w:tc>
          <w:tcPr>
            <w:tcW w:w="1702" w:type="dxa"/>
          </w:tcPr>
          <w:p>
            <w:pPr>
              <w:pStyle w:val="TableParagraph"/>
              <w:spacing w:before="12"/>
              <w:rPr>
                <w:b/>
                <w:sz w:val="28"/>
              </w:rPr>
            </w:pPr>
          </w:p>
          <w:p>
            <w:pPr>
              <w:pStyle w:val="TableParagraph"/>
              <w:ind w:left="220"/>
              <w:rPr>
                <w:sz w:val="28"/>
              </w:rPr>
            </w:pPr>
            <w:r>
              <w:rPr>
                <w:sz w:val="28"/>
              </w:rPr>
              <w:t>1.63</w:t>
            </w:r>
            <w:r>
              <w:rPr>
                <w:spacing w:val="-1"/>
                <w:sz w:val="28"/>
              </w:rPr>
              <w:t> </w:t>
            </w:r>
            <w:r>
              <w:rPr>
                <w:sz w:val="28"/>
              </w:rPr>
              <w:t>–</w:t>
            </w:r>
            <w:r>
              <w:rPr>
                <w:spacing w:val="-2"/>
                <w:sz w:val="28"/>
              </w:rPr>
              <w:t> </w:t>
            </w:r>
            <w:r>
              <w:rPr>
                <w:spacing w:val="-4"/>
                <w:sz w:val="28"/>
              </w:rPr>
              <w:t>2.75</w:t>
            </w:r>
          </w:p>
        </w:tc>
        <w:tc>
          <w:tcPr>
            <w:tcW w:w="1985" w:type="dxa"/>
          </w:tcPr>
          <w:p>
            <w:pPr>
              <w:pStyle w:val="TableParagraph"/>
              <w:spacing w:before="12"/>
              <w:rPr>
                <w:b/>
                <w:sz w:val="28"/>
              </w:rPr>
            </w:pPr>
          </w:p>
          <w:p>
            <w:pPr>
              <w:pStyle w:val="TableParagraph"/>
              <w:ind w:left="361"/>
              <w:rPr>
                <w:sz w:val="28"/>
              </w:rPr>
            </w:pPr>
            <w:r>
              <w:rPr>
                <w:sz w:val="28"/>
              </w:rPr>
              <w:t>1.62</w:t>
            </w:r>
            <w:r>
              <w:rPr>
                <w:spacing w:val="-1"/>
                <w:sz w:val="28"/>
              </w:rPr>
              <w:t> </w:t>
            </w:r>
            <w:r>
              <w:rPr>
                <w:sz w:val="28"/>
              </w:rPr>
              <w:t>–</w:t>
            </w:r>
            <w:r>
              <w:rPr>
                <w:spacing w:val="-2"/>
                <w:sz w:val="28"/>
              </w:rPr>
              <w:t> </w:t>
            </w:r>
            <w:r>
              <w:rPr>
                <w:spacing w:val="-4"/>
                <w:sz w:val="28"/>
              </w:rPr>
              <w:t>2.82</w:t>
            </w:r>
          </w:p>
        </w:tc>
      </w:tr>
      <w:tr>
        <w:trPr>
          <w:trHeight w:val="762" w:hRule="atLeast"/>
        </w:trPr>
        <w:tc>
          <w:tcPr>
            <w:tcW w:w="2086" w:type="dxa"/>
          </w:tcPr>
          <w:p>
            <w:pPr>
              <w:pStyle w:val="TableParagraph"/>
              <w:spacing w:before="56"/>
              <w:rPr>
                <w:b/>
                <w:sz w:val="24"/>
              </w:rPr>
            </w:pPr>
          </w:p>
          <w:p>
            <w:pPr>
              <w:pStyle w:val="TableParagraph"/>
              <w:ind w:left="100"/>
              <w:rPr>
                <w:sz w:val="24"/>
              </w:rPr>
            </w:pPr>
            <w:r>
              <w:rPr>
                <w:sz w:val="24"/>
              </w:rPr>
              <w:t>Выше</w:t>
            </w:r>
            <w:r>
              <w:rPr>
                <w:spacing w:val="-2"/>
                <w:sz w:val="24"/>
              </w:rPr>
              <w:t> среднего</w:t>
            </w:r>
          </w:p>
        </w:tc>
        <w:tc>
          <w:tcPr>
            <w:tcW w:w="1844" w:type="dxa"/>
          </w:tcPr>
          <w:p>
            <w:pPr>
              <w:pStyle w:val="TableParagraph"/>
              <w:spacing w:before="11"/>
              <w:rPr>
                <w:b/>
                <w:sz w:val="28"/>
              </w:rPr>
            </w:pPr>
          </w:p>
          <w:p>
            <w:pPr>
              <w:pStyle w:val="TableParagraph"/>
              <w:ind w:left="5"/>
              <w:jc w:val="center"/>
              <w:rPr>
                <w:sz w:val="28"/>
              </w:rPr>
            </w:pPr>
            <w:r>
              <w:rPr>
                <w:spacing w:val="-4"/>
                <w:sz w:val="28"/>
              </w:rPr>
              <w:t>&gt;2.6</w:t>
            </w:r>
          </w:p>
        </w:tc>
        <w:tc>
          <w:tcPr>
            <w:tcW w:w="1841" w:type="dxa"/>
          </w:tcPr>
          <w:p>
            <w:pPr>
              <w:pStyle w:val="TableParagraph"/>
              <w:spacing w:before="11"/>
              <w:rPr>
                <w:b/>
                <w:sz w:val="28"/>
              </w:rPr>
            </w:pPr>
          </w:p>
          <w:p>
            <w:pPr>
              <w:pStyle w:val="TableParagraph"/>
              <w:ind w:left="12" w:right="6"/>
              <w:jc w:val="center"/>
              <w:rPr>
                <w:sz w:val="28"/>
              </w:rPr>
            </w:pPr>
            <w:r>
              <w:rPr>
                <w:spacing w:val="-2"/>
                <w:sz w:val="28"/>
              </w:rPr>
              <w:t>&gt;2.72</w:t>
            </w:r>
          </w:p>
        </w:tc>
        <w:tc>
          <w:tcPr>
            <w:tcW w:w="1702" w:type="dxa"/>
          </w:tcPr>
          <w:p>
            <w:pPr>
              <w:pStyle w:val="TableParagraph"/>
              <w:spacing w:before="11"/>
              <w:rPr>
                <w:b/>
                <w:sz w:val="28"/>
              </w:rPr>
            </w:pPr>
          </w:p>
          <w:p>
            <w:pPr>
              <w:pStyle w:val="TableParagraph"/>
              <w:ind w:left="8" w:right="2"/>
              <w:jc w:val="center"/>
              <w:rPr>
                <w:sz w:val="28"/>
              </w:rPr>
            </w:pPr>
            <w:r>
              <w:rPr>
                <w:spacing w:val="-2"/>
                <w:sz w:val="28"/>
              </w:rPr>
              <w:t>&gt;2.75</w:t>
            </w:r>
          </w:p>
        </w:tc>
        <w:tc>
          <w:tcPr>
            <w:tcW w:w="1985" w:type="dxa"/>
          </w:tcPr>
          <w:p>
            <w:pPr>
              <w:pStyle w:val="TableParagraph"/>
              <w:spacing w:before="11"/>
              <w:rPr>
                <w:b/>
                <w:sz w:val="28"/>
              </w:rPr>
            </w:pPr>
          </w:p>
          <w:p>
            <w:pPr>
              <w:pStyle w:val="TableParagraph"/>
              <w:ind w:left="12"/>
              <w:jc w:val="center"/>
              <w:rPr>
                <w:sz w:val="28"/>
              </w:rPr>
            </w:pPr>
            <w:r>
              <w:rPr>
                <w:spacing w:val="-2"/>
                <w:sz w:val="28"/>
              </w:rPr>
              <w:t>&gt;2.82</w:t>
            </w:r>
          </w:p>
        </w:tc>
      </w:tr>
    </w:tbl>
    <w:p>
      <w:pPr>
        <w:pStyle w:val="TableParagraph"/>
        <w:spacing w:after="0"/>
        <w:jc w:val="center"/>
        <w:rPr>
          <w:sz w:val="28"/>
        </w:rPr>
        <w:sectPr>
          <w:pgSz w:w="11910" w:h="16840"/>
          <w:pgMar w:header="0" w:footer="970" w:top="1040" w:bottom="1220" w:left="1417" w:right="283"/>
        </w:sect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86"/>
        <w:gridCol w:w="1844"/>
        <w:gridCol w:w="1841"/>
        <w:gridCol w:w="1702"/>
        <w:gridCol w:w="1985"/>
      </w:tblGrid>
      <w:tr>
        <w:trPr>
          <w:trHeight w:val="717" w:hRule="atLeast"/>
        </w:trPr>
        <w:tc>
          <w:tcPr>
            <w:tcW w:w="9458" w:type="dxa"/>
            <w:gridSpan w:val="5"/>
          </w:tcPr>
          <w:p>
            <w:pPr>
              <w:pStyle w:val="TableParagraph"/>
              <w:spacing w:before="61"/>
              <w:rPr>
                <w:b/>
                <w:sz w:val="24"/>
              </w:rPr>
            </w:pPr>
          </w:p>
          <w:p>
            <w:pPr>
              <w:pStyle w:val="TableParagraph"/>
              <w:ind w:left="7" w:right="3"/>
              <w:jc w:val="center"/>
              <w:rPr>
                <w:b/>
                <w:i/>
                <w:sz w:val="24"/>
              </w:rPr>
            </w:pPr>
            <w:r>
              <w:rPr>
                <w:b/>
                <w:i/>
                <w:sz w:val="24"/>
              </w:rPr>
              <w:t>Взаимодействие</w:t>
            </w:r>
            <w:r>
              <w:rPr>
                <w:b/>
                <w:i/>
                <w:spacing w:val="-4"/>
                <w:sz w:val="24"/>
              </w:rPr>
              <w:t> </w:t>
            </w:r>
            <w:r>
              <w:rPr>
                <w:b/>
                <w:i/>
                <w:sz w:val="24"/>
              </w:rPr>
              <w:t>с</w:t>
            </w:r>
            <w:r>
              <w:rPr>
                <w:b/>
                <w:i/>
                <w:spacing w:val="-4"/>
                <w:sz w:val="24"/>
              </w:rPr>
              <w:t> </w:t>
            </w:r>
            <w:r>
              <w:rPr>
                <w:b/>
                <w:i/>
                <w:sz w:val="24"/>
              </w:rPr>
              <w:t>взрослыми</w:t>
            </w:r>
            <w:r>
              <w:rPr>
                <w:b/>
                <w:i/>
                <w:spacing w:val="-3"/>
                <w:sz w:val="24"/>
              </w:rPr>
              <w:t> </w:t>
            </w:r>
            <w:r>
              <w:rPr>
                <w:b/>
                <w:i/>
                <w:sz w:val="24"/>
              </w:rPr>
              <w:t>в</w:t>
            </w:r>
            <w:r>
              <w:rPr>
                <w:b/>
                <w:i/>
                <w:spacing w:val="-3"/>
                <w:sz w:val="24"/>
              </w:rPr>
              <w:t> </w:t>
            </w:r>
            <w:r>
              <w:rPr>
                <w:b/>
                <w:i/>
                <w:spacing w:val="-4"/>
                <w:sz w:val="24"/>
              </w:rPr>
              <w:t>школе</w:t>
            </w:r>
          </w:p>
        </w:tc>
      </w:tr>
      <w:tr>
        <w:trPr>
          <w:trHeight w:val="762" w:hRule="atLeast"/>
        </w:trPr>
        <w:tc>
          <w:tcPr>
            <w:tcW w:w="2086" w:type="dxa"/>
          </w:tcPr>
          <w:p>
            <w:pPr>
              <w:pStyle w:val="TableParagraph"/>
              <w:spacing w:before="56"/>
              <w:rPr>
                <w:b/>
                <w:sz w:val="24"/>
              </w:rPr>
            </w:pPr>
          </w:p>
          <w:p>
            <w:pPr>
              <w:pStyle w:val="TableParagraph"/>
              <w:ind w:left="100"/>
              <w:rPr>
                <w:sz w:val="24"/>
              </w:rPr>
            </w:pPr>
            <w:r>
              <w:rPr>
                <w:sz w:val="24"/>
              </w:rPr>
              <w:t>Ниже</w:t>
            </w:r>
            <w:r>
              <w:rPr>
                <w:spacing w:val="-2"/>
                <w:sz w:val="24"/>
              </w:rPr>
              <w:t> среднего</w:t>
            </w:r>
          </w:p>
        </w:tc>
        <w:tc>
          <w:tcPr>
            <w:tcW w:w="1844" w:type="dxa"/>
          </w:tcPr>
          <w:p>
            <w:pPr>
              <w:pStyle w:val="TableParagraph"/>
              <w:spacing w:before="11"/>
              <w:rPr>
                <w:b/>
                <w:sz w:val="28"/>
              </w:rPr>
            </w:pPr>
          </w:p>
          <w:p>
            <w:pPr>
              <w:pStyle w:val="TableParagraph"/>
              <w:ind w:left="5"/>
              <w:jc w:val="center"/>
              <w:rPr>
                <w:sz w:val="28"/>
              </w:rPr>
            </w:pPr>
            <w:r>
              <w:rPr>
                <w:spacing w:val="-2"/>
                <w:sz w:val="28"/>
              </w:rPr>
              <w:t>&lt;1.54</w:t>
            </w:r>
          </w:p>
        </w:tc>
        <w:tc>
          <w:tcPr>
            <w:tcW w:w="1841" w:type="dxa"/>
          </w:tcPr>
          <w:p>
            <w:pPr>
              <w:pStyle w:val="TableParagraph"/>
              <w:spacing w:before="11"/>
              <w:rPr>
                <w:b/>
                <w:sz w:val="28"/>
              </w:rPr>
            </w:pPr>
          </w:p>
          <w:p>
            <w:pPr>
              <w:pStyle w:val="TableParagraph"/>
              <w:ind w:left="12" w:right="6"/>
              <w:jc w:val="center"/>
              <w:rPr>
                <w:sz w:val="28"/>
              </w:rPr>
            </w:pPr>
            <w:r>
              <w:rPr>
                <w:spacing w:val="-2"/>
                <w:sz w:val="28"/>
              </w:rPr>
              <w:t>&lt;1.86</w:t>
            </w:r>
          </w:p>
        </w:tc>
        <w:tc>
          <w:tcPr>
            <w:tcW w:w="1702" w:type="dxa"/>
          </w:tcPr>
          <w:p>
            <w:pPr>
              <w:pStyle w:val="TableParagraph"/>
              <w:spacing w:before="11"/>
              <w:rPr>
                <w:b/>
                <w:sz w:val="28"/>
              </w:rPr>
            </w:pPr>
          </w:p>
          <w:p>
            <w:pPr>
              <w:pStyle w:val="TableParagraph"/>
              <w:ind w:left="8" w:right="2"/>
              <w:jc w:val="center"/>
              <w:rPr>
                <w:sz w:val="28"/>
              </w:rPr>
            </w:pPr>
            <w:r>
              <w:rPr>
                <w:spacing w:val="-2"/>
                <w:sz w:val="28"/>
              </w:rPr>
              <w:t>&lt;1.83</w:t>
            </w:r>
          </w:p>
        </w:tc>
        <w:tc>
          <w:tcPr>
            <w:tcW w:w="1985" w:type="dxa"/>
          </w:tcPr>
          <w:p>
            <w:pPr>
              <w:pStyle w:val="TableParagraph"/>
              <w:spacing w:before="11"/>
              <w:rPr>
                <w:b/>
                <w:sz w:val="28"/>
              </w:rPr>
            </w:pPr>
          </w:p>
          <w:p>
            <w:pPr>
              <w:pStyle w:val="TableParagraph"/>
              <w:ind w:left="12"/>
              <w:jc w:val="center"/>
              <w:rPr>
                <w:sz w:val="28"/>
              </w:rPr>
            </w:pPr>
            <w:r>
              <w:rPr>
                <w:spacing w:val="-2"/>
                <w:sz w:val="28"/>
              </w:rPr>
              <w:t>&lt;2.01</w:t>
            </w:r>
          </w:p>
        </w:tc>
      </w:tr>
      <w:tr>
        <w:trPr>
          <w:trHeight w:val="760" w:hRule="atLeast"/>
        </w:trPr>
        <w:tc>
          <w:tcPr>
            <w:tcW w:w="2086" w:type="dxa"/>
          </w:tcPr>
          <w:p>
            <w:pPr>
              <w:pStyle w:val="TableParagraph"/>
              <w:spacing w:before="54"/>
              <w:rPr>
                <w:b/>
                <w:sz w:val="24"/>
              </w:rPr>
            </w:pPr>
          </w:p>
          <w:p>
            <w:pPr>
              <w:pStyle w:val="TableParagraph"/>
              <w:ind w:left="100"/>
              <w:rPr>
                <w:sz w:val="24"/>
              </w:rPr>
            </w:pPr>
            <w:r>
              <w:rPr>
                <w:spacing w:val="-2"/>
                <w:sz w:val="24"/>
              </w:rPr>
              <w:t>Средний</w:t>
            </w:r>
          </w:p>
        </w:tc>
        <w:tc>
          <w:tcPr>
            <w:tcW w:w="1844" w:type="dxa"/>
          </w:tcPr>
          <w:p>
            <w:pPr>
              <w:pStyle w:val="TableParagraph"/>
              <w:spacing w:before="9"/>
              <w:rPr>
                <w:b/>
                <w:sz w:val="28"/>
              </w:rPr>
            </w:pPr>
          </w:p>
          <w:p>
            <w:pPr>
              <w:pStyle w:val="TableParagraph"/>
              <w:ind w:left="290"/>
              <w:rPr>
                <w:sz w:val="28"/>
              </w:rPr>
            </w:pPr>
            <w:r>
              <w:rPr>
                <w:sz w:val="28"/>
              </w:rPr>
              <w:t>1.54</w:t>
            </w:r>
            <w:r>
              <w:rPr>
                <w:spacing w:val="-1"/>
                <w:sz w:val="28"/>
              </w:rPr>
              <w:t> </w:t>
            </w:r>
            <w:r>
              <w:rPr>
                <w:sz w:val="28"/>
              </w:rPr>
              <w:t>–</w:t>
            </w:r>
            <w:r>
              <w:rPr>
                <w:spacing w:val="-2"/>
                <w:sz w:val="28"/>
              </w:rPr>
              <w:t> </w:t>
            </w:r>
            <w:r>
              <w:rPr>
                <w:spacing w:val="-4"/>
                <w:sz w:val="28"/>
              </w:rPr>
              <w:t>2.84</w:t>
            </w:r>
          </w:p>
        </w:tc>
        <w:tc>
          <w:tcPr>
            <w:tcW w:w="1841" w:type="dxa"/>
          </w:tcPr>
          <w:p>
            <w:pPr>
              <w:pStyle w:val="TableParagraph"/>
              <w:spacing w:before="9"/>
              <w:rPr>
                <w:b/>
                <w:sz w:val="28"/>
              </w:rPr>
            </w:pPr>
          </w:p>
          <w:p>
            <w:pPr>
              <w:pStyle w:val="TableParagraph"/>
              <w:ind w:left="287"/>
              <w:rPr>
                <w:sz w:val="28"/>
              </w:rPr>
            </w:pPr>
            <w:r>
              <w:rPr>
                <w:sz w:val="28"/>
              </w:rPr>
              <w:t>1.86</w:t>
            </w:r>
            <w:r>
              <w:rPr>
                <w:spacing w:val="-1"/>
                <w:sz w:val="28"/>
              </w:rPr>
              <w:t> </w:t>
            </w:r>
            <w:r>
              <w:rPr>
                <w:sz w:val="28"/>
              </w:rPr>
              <w:t>–</w:t>
            </w:r>
            <w:r>
              <w:rPr>
                <w:spacing w:val="-2"/>
                <w:sz w:val="28"/>
              </w:rPr>
              <w:t> </w:t>
            </w:r>
            <w:r>
              <w:rPr>
                <w:spacing w:val="-4"/>
                <w:sz w:val="28"/>
              </w:rPr>
              <w:t>3.08</w:t>
            </w:r>
          </w:p>
        </w:tc>
        <w:tc>
          <w:tcPr>
            <w:tcW w:w="1702" w:type="dxa"/>
          </w:tcPr>
          <w:p>
            <w:pPr>
              <w:pStyle w:val="TableParagraph"/>
              <w:spacing w:before="9"/>
              <w:rPr>
                <w:b/>
                <w:sz w:val="28"/>
              </w:rPr>
            </w:pPr>
          </w:p>
          <w:p>
            <w:pPr>
              <w:pStyle w:val="TableParagraph"/>
              <w:ind w:left="220"/>
              <w:rPr>
                <w:sz w:val="28"/>
              </w:rPr>
            </w:pPr>
            <w:r>
              <w:rPr>
                <w:sz w:val="28"/>
              </w:rPr>
              <w:t>1.83</w:t>
            </w:r>
            <w:r>
              <w:rPr>
                <w:spacing w:val="-1"/>
                <w:sz w:val="28"/>
              </w:rPr>
              <w:t> </w:t>
            </w:r>
            <w:r>
              <w:rPr>
                <w:sz w:val="28"/>
              </w:rPr>
              <w:t>–</w:t>
            </w:r>
            <w:r>
              <w:rPr>
                <w:spacing w:val="-2"/>
                <w:sz w:val="28"/>
              </w:rPr>
              <w:t> </w:t>
            </w:r>
            <w:r>
              <w:rPr>
                <w:spacing w:val="-4"/>
                <w:sz w:val="28"/>
              </w:rPr>
              <w:t>3.01</w:t>
            </w:r>
          </w:p>
        </w:tc>
        <w:tc>
          <w:tcPr>
            <w:tcW w:w="1985" w:type="dxa"/>
          </w:tcPr>
          <w:p>
            <w:pPr>
              <w:pStyle w:val="TableParagraph"/>
              <w:spacing w:before="9"/>
              <w:rPr>
                <w:b/>
                <w:sz w:val="28"/>
              </w:rPr>
            </w:pPr>
          </w:p>
          <w:p>
            <w:pPr>
              <w:pStyle w:val="TableParagraph"/>
              <w:ind w:left="361"/>
              <w:rPr>
                <w:sz w:val="28"/>
              </w:rPr>
            </w:pPr>
            <w:r>
              <w:rPr>
                <w:sz w:val="28"/>
              </w:rPr>
              <w:t>2.01</w:t>
            </w:r>
            <w:r>
              <w:rPr>
                <w:spacing w:val="-1"/>
                <w:sz w:val="28"/>
              </w:rPr>
              <w:t> </w:t>
            </w:r>
            <w:r>
              <w:rPr>
                <w:sz w:val="28"/>
              </w:rPr>
              <w:t>–</w:t>
            </w:r>
            <w:r>
              <w:rPr>
                <w:spacing w:val="-2"/>
                <w:sz w:val="28"/>
              </w:rPr>
              <w:t> </w:t>
            </w:r>
            <w:r>
              <w:rPr>
                <w:spacing w:val="-4"/>
                <w:sz w:val="28"/>
              </w:rPr>
              <w:t>3.07</w:t>
            </w:r>
          </w:p>
        </w:tc>
      </w:tr>
      <w:tr>
        <w:trPr>
          <w:trHeight w:val="762" w:hRule="atLeast"/>
        </w:trPr>
        <w:tc>
          <w:tcPr>
            <w:tcW w:w="2086" w:type="dxa"/>
          </w:tcPr>
          <w:p>
            <w:pPr>
              <w:pStyle w:val="TableParagraph"/>
              <w:spacing w:before="56"/>
              <w:rPr>
                <w:b/>
                <w:sz w:val="24"/>
              </w:rPr>
            </w:pPr>
          </w:p>
          <w:p>
            <w:pPr>
              <w:pStyle w:val="TableParagraph"/>
              <w:ind w:left="100"/>
              <w:rPr>
                <w:sz w:val="24"/>
              </w:rPr>
            </w:pPr>
            <w:r>
              <w:rPr>
                <w:sz w:val="24"/>
              </w:rPr>
              <w:t>Выше</w:t>
            </w:r>
            <w:r>
              <w:rPr>
                <w:spacing w:val="-2"/>
                <w:sz w:val="24"/>
              </w:rPr>
              <w:t> среднего</w:t>
            </w:r>
          </w:p>
        </w:tc>
        <w:tc>
          <w:tcPr>
            <w:tcW w:w="1844" w:type="dxa"/>
          </w:tcPr>
          <w:p>
            <w:pPr>
              <w:pStyle w:val="TableParagraph"/>
              <w:spacing w:before="11"/>
              <w:rPr>
                <w:b/>
                <w:sz w:val="28"/>
              </w:rPr>
            </w:pPr>
          </w:p>
          <w:p>
            <w:pPr>
              <w:pStyle w:val="TableParagraph"/>
              <w:ind w:left="5"/>
              <w:jc w:val="center"/>
              <w:rPr>
                <w:sz w:val="28"/>
              </w:rPr>
            </w:pPr>
            <w:r>
              <w:rPr>
                <w:spacing w:val="-2"/>
                <w:sz w:val="28"/>
              </w:rPr>
              <w:t>&gt;2.84</w:t>
            </w:r>
          </w:p>
        </w:tc>
        <w:tc>
          <w:tcPr>
            <w:tcW w:w="1841" w:type="dxa"/>
          </w:tcPr>
          <w:p>
            <w:pPr>
              <w:pStyle w:val="TableParagraph"/>
              <w:spacing w:before="11"/>
              <w:rPr>
                <w:b/>
                <w:sz w:val="28"/>
              </w:rPr>
            </w:pPr>
          </w:p>
          <w:p>
            <w:pPr>
              <w:pStyle w:val="TableParagraph"/>
              <w:ind w:left="12" w:right="6"/>
              <w:jc w:val="center"/>
              <w:rPr>
                <w:sz w:val="28"/>
              </w:rPr>
            </w:pPr>
            <w:r>
              <w:rPr>
                <w:spacing w:val="-2"/>
                <w:sz w:val="28"/>
              </w:rPr>
              <w:t>&gt;3.08</w:t>
            </w:r>
          </w:p>
        </w:tc>
        <w:tc>
          <w:tcPr>
            <w:tcW w:w="1702" w:type="dxa"/>
          </w:tcPr>
          <w:p>
            <w:pPr>
              <w:pStyle w:val="TableParagraph"/>
              <w:spacing w:before="11"/>
              <w:rPr>
                <w:b/>
                <w:sz w:val="28"/>
              </w:rPr>
            </w:pPr>
          </w:p>
          <w:p>
            <w:pPr>
              <w:pStyle w:val="TableParagraph"/>
              <w:ind w:left="8" w:right="2"/>
              <w:jc w:val="center"/>
              <w:rPr>
                <w:sz w:val="28"/>
              </w:rPr>
            </w:pPr>
            <w:r>
              <w:rPr>
                <w:spacing w:val="-2"/>
                <w:sz w:val="28"/>
              </w:rPr>
              <w:t>&gt;3.01</w:t>
            </w:r>
          </w:p>
        </w:tc>
        <w:tc>
          <w:tcPr>
            <w:tcW w:w="1985" w:type="dxa"/>
          </w:tcPr>
          <w:p>
            <w:pPr>
              <w:pStyle w:val="TableParagraph"/>
              <w:spacing w:before="11"/>
              <w:rPr>
                <w:b/>
                <w:sz w:val="28"/>
              </w:rPr>
            </w:pPr>
          </w:p>
          <w:p>
            <w:pPr>
              <w:pStyle w:val="TableParagraph"/>
              <w:ind w:left="12"/>
              <w:jc w:val="center"/>
              <w:rPr>
                <w:sz w:val="28"/>
              </w:rPr>
            </w:pPr>
            <w:r>
              <w:rPr>
                <w:spacing w:val="-2"/>
                <w:sz w:val="28"/>
              </w:rPr>
              <w:t>&gt;3.07</w:t>
            </w:r>
          </w:p>
        </w:tc>
      </w:tr>
    </w:tbl>
    <w:p>
      <w:pPr>
        <w:pStyle w:val="BodyText"/>
        <w:ind w:left="0" w:right="0" w:firstLine="0"/>
        <w:jc w:val="left"/>
        <w:rPr>
          <w:b/>
          <w:sz w:val="28"/>
        </w:rPr>
      </w:pPr>
    </w:p>
    <w:p>
      <w:pPr>
        <w:pStyle w:val="BodyText"/>
        <w:spacing w:before="172"/>
        <w:ind w:left="0" w:right="0" w:firstLine="0"/>
        <w:jc w:val="left"/>
        <w:rPr>
          <w:b/>
          <w:sz w:val="28"/>
        </w:rPr>
      </w:pPr>
    </w:p>
    <w:p>
      <w:pPr>
        <w:spacing w:before="0"/>
        <w:ind w:left="285" w:right="0" w:firstLine="0"/>
        <w:jc w:val="both"/>
        <w:rPr>
          <w:b/>
          <w:sz w:val="28"/>
        </w:rPr>
      </w:pPr>
      <w:r>
        <w:rPr>
          <w:b/>
          <w:sz w:val="28"/>
        </w:rPr>
        <w:t>Адаптация</w:t>
      </w:r>
      <w:r>
        <w:rPr>
          <w:b/>
          <w:spacing w:val="-8"/>
          <w:sz w:val="28"/>
        </w:rPr>
        <w:t> </w:t>
      </w:r>
      <w:r>
        <w:rPr>
          <w:b/>
          <w:sz w:val="28"/>
        </w:rPr>
        <w:t>методики</w:t>
      </w:r>
      <w:r>
        <w:rPr>
          <w:b/>
          <w:spacing w:val="-6"/>
          <w:sz w:val="28"/>
        </w:rPr>
        <w:t> </w:t>
      </w:r>
      <w:r>
        <w:rPr>
          <w:b/>
          <w:sz w:val="28"/>
        </w:rPr>
        <w:t>на</w:t>
      </w:r>
      <w:r>
        <w:rPr>
          <w:b/>
          <w:spacing w:val="-4"/>
          <w:sz w:val="28"/>
        </w:rPr>
        <w:t> </w:t>
      </w:r>
      <w:r>
        <w:rPr>
          <w:b/>
          <w:sz w:val="28"/>
        </w:rPr>
        <w:t>русском</w:t>
      </w:r>
      <w:r>
        <w:rPr>
          <w:b/>
          <w:spacing w:val="-5"/>
          <w:sz w:val="28"/>
        </w:rPr>
        <w:t> </w:t>
      </w:r>
      <w:r>
        <w:rPr>
          <w:b/>
          <w:spacing w:val="-4"/>
          <w:sz w:val="28"/>
        </w:rPr>
        <w:t>языке</w:t>
      </w:r>
    </w:p>
    <w:p>
      <w:pPr>
        <w:pStyle w:val="Heading4"/>
        <w:spacing w:before="235"/>
        <w:ind w:right="561"/>
      </w:pPr>
      <w:r>
        <w:rPr/>
        <w:t>В 2022 г. методика была адаптирована для детей — иностранных граждан в рамках апробации в 12 регионах РФ программы оценки особых образовательных потребностей ребенка-мигранта в сферах психологического благополучия,</w:t>
      </w:r>
      <w:r>
        <w:rPr>
          <w:spacing w:val="-15"/>
        </w:rPr>
        <w:t> </w:t>
      </w:r>
      <w:r>
        <w:rPr/>
        <w:t>социальных</w:t>
      </w:r>
      <w:r>
        <w:rPr>
          <w:spacing w:val="-14"/>
        </w:rPr>
        <w:t> </w:t>
      </w:r>
      <w:r>
        <w:rPr/>
        <w:t>навыков</w:t>
      </w:r>
      <w:r>
        <w:rPr>
          <w:spacing w:val="-16"/>
        </w:rPr>
        <w:t> </w:t>
      </w:r>
      <w:r>
        <w:rPr/>
        <w:t>и</w:t>
      </w:r>
      <w:r>
        <w:rPr>
          <w:spacing w:val="-17"/>
        </w:rPr>
        <w:t> </w:t>
      </w:r>
      <w:r>
        <w:rPr/>
        <w:t>культурной</w:t>
      </w:r>
      <w:r>
        <w:rPr>
          <w:spacing w:val="-17"/>
        </w:rPr>
        <w:t> </w:t>
      </w:r>
      <w:r>
        <w:rPr/>
        <w:t>адаптации</w:t>
      </w:r>
      <w:r>
        <w:rPr>
          <w:spacing w:val="-14"/>
        </w:rPr>
        <w:t> </w:t>
      </w:r>
      <w:r>
        <w:rPr/>
        <w:t>(N</w:t>
      </w:r>
      <w:r>
        <w:rPr>
          <w:spacing w:val="-16"/>
        </w:rPr>
        <w:t> </w:t>
      </w:r>
      <w:r>
        <w:rPr/>
        <w:t>нач.</w:t>
      </w:r>
      <w:r>
        <w:rPr>
          <w:spacing w:val="-15"/>
        </w:rPr>
        <w:t> </w:t>
      </w:r>
      <w:r>
        <w:rPr/>
        <w:t>шк.</w:t>
      </w:r>
      <w:r>
        <w:rPr>
          <w:spacing w:val="-15"/>
        </w:rPr>
        <w:t> </w:t>
      </w:r>
      <w:r>
        <w:rPr/>
        <w:t>=</w:t>
      </w:r>
      <w:r>
        <w:rPr>
          <w:spacing w:val="-17"/>
        </w:rPr>
        <w:t> </w:t>
      </w:r>
      <w:r>
        <w:rPr/>
        <w:t>324, N ср. шк. = 218, N ст. шк. = 120, N общ. = 662). Шкалы методики показали достаточную степень внутренней согласованности (альфа Кронбаха </w:t>
      </w:r>
      <w:r>
        <w:rPr>
          <w:spacing w:val="-2"/>
        </w:rPr>
        <w:t>0.921/0.818/0.814).</w:t>
      </w:r>
    </w:p>
    <w:p>
      <w:pPr>
        <w:pStyle w:val="Heading4"/>
        <w:spacing w:before="243"/>
        <w:ind w:right="570"/>
      </w:pPr>
      <w:r>
        <w:rPr/>
        <w:t>В исследовании обнаружены предсказуемые корреляции со следующими шкалами иных методик (p&lt;0.01).</w:t>
      </w:r>
    </w:p>
    <w:p>
      <w:pPr>
        <w:pStyle w:val="Heading4"/>
        <w:spacing w:after="0"/>
        <w:sectPr>
          <w:type w:val="continuous"/>
          <w:pgSz w:w="11910" w:h="16840"/>
          <w:pgMar w:header="0" w:footer="970" w:top="1100" w:bottom="1220" w:left="1417" w:right="283"/>
        </w:sectPr>
      </w:pPr>
    </w:p>
    <w:p>
      <w:pPr>
        <w:pStyle w:val="Heading3"/>
        <w:ind w:left="0" w:right="564"/>
        <w:jc w:val="right"/>
      </w:pPr>
      <w:r>
        <w:rPr/>
        <w:t>Таблица</w:t>
      </w:r>
      <w:r>
        <w:rPr>
          <w:spacing w:val="-6"/>
        </w:rPr>
        <w:t> </w:t>
      </w:r>
      <w:r>
        <w:rPr>
          <w:spacing w:val="-5"/>
        </w:rPr>
        <w:t>19</w:t>
      </w:r>
    </w:p>
    <w:p>
      <w:pPr>
        <w:pStyle w:val="BodyText"/>
        <w:spacing w:before="12" w:after="1"/>
        <w:ind w:left="0" w:right="0" w:firstLine="0"/>
        <w:jc w:val="left"/>
        <w:rPr>
          <w:b/>
          <w:i/>
        </w:rPr>
      </w:pPr>
    </w:p>
    <w:tbl>
      <w:tblPr>
        <w:tblW w:w="0" w:type="auto"/>
        <w:jc w:val="left"/>
        <w:tblInd w:w="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11"/>
        <w:gridCol w:w="2126"/>
        <w:gridCol w:w="2268"/>
        <w:gridCol w:w="2695"/>
      </w:tblGrid>
      <w:tr>
        <w:trPr>
          <w:trHeight w:val="1542" w:hRule="atLeast"/>
        </w:trPr>
        <w:tc>
          <w:tcPr>
            <w:tcW w:w="2511" w:type="dxa"/>
          </w:tcPr>
          <w:p>
            <w:pPr>
              <w:pStyle w:val="TableParagraph"/>
              <w:spacing w:before="61"/>
              <w:rPr>
                <w:b/>
                <w:i/>
                <w:sz w:val="24"/>
              </w:rPr>
            </w:pPr>
          </w:p>
          <w:p>
            <w:pPr>
              <w:pStyle w:val="TableParagraph"/>
              <w:ind w:left="383" w:right="327" w:hanging="34"/>
              <w:rPr>
                <w:b/>
                <w:sz w:val="24"/>
              </w:rPr>
            </w:pPr>
            <w:r>
              <w:rPr>
                <w:b/>
                <w:sz w:val="24"/>
              </w:rPr>
              <w:t>Шкалы</w:t>
            </w:r>
            <w:r>
              <w:rPr>
                <w:b/>
                <w:spacing w:val="-15"/>
                <w:sz w:val="24"/>
              </w:rPr>
              <w:t> </w:t>
            </w:r>
            <w:r>
              <w:rPr>
                <w:b/>
                <w:sz w:val="24"/>
              </w:rPr>
              <w:t>методик </w:t>
            </w:r>
            <w:r>
              <w:rPr>
                <w:b/>
                <w:spacing w:val="-2"/>
                <w:sz w:val="24"/>
              </w:rPr>
              <w:t>стандартизации</w:t>
            </w:r>
          </w:p>
        </w:tc>
        <w:tc>
          <w:tcPr>
            <w:tcW w:w="2126" w:type="dxa"/>
          </w:tcPr>
          <w:p>
            <w:pPr>
              <w:pStyle w:val="TableParagraph"/>
              <w:spacing w:before="61"/>
              <w:rPr>
                <w:b/>
                <w:i/>
                <w:sz w:val="24"/>
              </w:rPr>
            </w:pPr>
          </w:p>
          <w:p>
            <w:pPr>
              <w:pStyle w:val="TableParagraph"/>
              <w:ind w:left="22"/>
              <w:jc w:val="center"/>
              <w:rPr>
                <w:b/>
                <w:i/>
                <w:sz w:val="24"/>
              </w:rPr>
            </w:pPr>
            <w:r>
              <w:rPr>
                <w:b/>
                <w:i/>
                <w:spacing w:val="-2"/>
                <w:sz w:val="24"/>
              </w:rPr>
              <w:t>МОСН-</w:t>
            </w:r>
          </w:p>
          <w:p>
            <w:pPr>
              <w:pStyle w:val="TableParagraph"/>
              <w:ind w:left="419" w:right="397"/>
              <w:jc w:val="center"/>
              <w:rPr>
                <w:b/>
                <w:i/>
                <w:sz w:val="24"/>
              </w:rPr>
            </w:pPr>
            <w:r>
              <w:rPr>
                <w:b/>
                <w:i/>
                <w:sz w:val="24"/>
              </w:rPr>
              <w:t>Поведение</w:t>
            </w:r>
            <w:r>
              <w:rPr>
                <w:b/>
                <w:i/>
                <w:spacing w:val="-15"/>
                <w:sz w:val="24"/>
              </w:rPr>
              <w:t> </w:t>
            </w:r>
            <w:r>
              <w:rPr>
                <w:b/>
                <w:i/>
                <w:sz w:val="24"/>
              </w:rPr>
              <w:t>в </w:t>
            </w:r>
            <w:r>
              <w:rPr>
                <w:b/>
                <w:i/>
                <w:spacing w:val="-2"/>
                <w:sz w:val="24"/>
              </w:rPr>
              <w:t>учебной ситуации</w:t>
            </w:r>
          </w:p>
        </w:tc>
        <w:tc>
          <w:tcPr>
            <w:tcW w:w="2268" w:type="dxa"/>
          </w:tcPr>
          <w:p>
            <w:pPr>
              <w:pStyle w:val="TableParagraph"/>
              <w:spacing w:before="61"/>
              <w:rPr>
                <w:b/>
                <w:i/>
                <w:sz w:val="24"/>
              </w:rPr>
            </w:pPr>
          </w:p>
          <w:p>
            <w:pPr>
              <w:pStyle w:val="TableParagraph"/>
              <w:ind w:left="19" w:right="3"/>
              <w:jc w:val="center"/>
              <w:rPr>
                <w:b/>
                <w:i/>
                <w:sz w:val="24"/>
              </w:rPr>
            </w:pPr>
            <w:r>
              <w:rPr>
                <w:b/>
                <w:i/>
                <w:spacing w:val="-2"/>
                <w:sz w:val="24"/>
              </w:rPr>
              <w:t>МОСН-</w:t>
            </w:r>
          </w:p>
          <w:p>
            <w:pPr>
              <w:pStyle w:val="TableParagraph"/>
              <w:ind w:left="19"/>
              <w:jc w:val="center"/>
              <w:rPr>
                <w:b/>
                <w:i/>
                <w:sz w:val="24"/>
              </w:rPr>
            </w:pPr>
            <w:r>
              <w:rPr>
                <w:b/>
                <w:i/>
                <w:sz w:val="24"/>
              </w:rPr>
              <w:t>Взаимодействие</w:t>
            </w:r>
            <w:r>
              <w:rPr>
                <w:b/>
                <w:i/>
                <w:spacing w:val="-15"/>
                <w:sz w:val="24"/>
              </w:rPr>
              <w:t> </w:t>
            </w:r>
            <w:r>
              <w:rPr>
                <w:b/>
                <w:i/>
                <w:sz w:val="24"/>
              </w:rPr>
              <w:t>с </w:t>
            </w:r>
            <w:r>
              <w:rPr>
                <w:b/>
                <w:i/>
                <w:spacing w:val="-2"/>
                <w:sz w:val="24"/>
              </w:rPr>
              <w:t>ровесниками</w:t>
            </w:r>
          </w:p>
        </w:tc>
        <w:tc>
          <w:tcPr>
            <w:tcW w:w="2695" w:type="dxa"/>
          </w:tcPr>
          <w:p>
            <w:pPr>
              <w:pStyle w:val="TableParagraph"/>
              <w:spacing w:before="61"/>
              <w:rPr>
                <w:b/>
                <w:i/>
                <w:sz w:val="24"/>
              </w:rPr>
            </w:pPr>
          </w:p>
          <w:p>
            <w:pPr>
              <w:pStyle w:val="TableParagraph"/>
              <w:ind w:left="17"/>
              <w:jc w:val="center"/>
              <w:rPr>
                <w:b/>
                <w:i/>
                <w:sz w:val="24"/>
              </w:rPr>
            </w:pPr>
            <w:r>
              <w:rPr>
                <w:b/>
                <w:i/>
                <w:spacing w:val="-2"/>
                <w:sz w:val="24"/>
              </w:rPr>
              <w:t>МОСН-</w:t>
            </w:r>
          </w:p>
          <w:p>
            <w:pPr>
              <w:pStyle w:val="TableParagraph"/>
              <w:ind w:left="17" w:right="1"/>
              <w:jc w:val="center"/>
              <w:rPr>
                <w:b/>
                <w:i/>
                <w:sz w:val="24"/>
              </w:rPr>
            </w:pPr>
            <w:r>
              <w:rPr>
                <w:b/>
                <w:i/>
                <w:sz w:val="24"/>
              </w:rPr>
              <w:t>Взаимодействие</w:t>
            </w:r>
            <w:r>
              <w:rPr>
                <w:b/>
                <w:i/>
                <w:spacing w:val="-15"/>
                <w:sz w:val="24"/>
              </w:rPr>
              <w:t> </w:t>
            </w:r>
            <w:r>
              <w:rPr>
                <w:b/>
                <w:i/>
                <w:sz w:val="24"/>
              </w:rPr>
              <w:t>с </w:t>
            </w:r>
            <w:r>
              <w:rPr>
                <w:b/>
                <w:i/>
                <w:spacing w:val="-2"/>
                <w:sz w:val="24"/>
              </w:rPr>
              <w:t>взрослыми</w:t>
            </w:r>
          </w:p>
          <w:p>
            <w:pPr>
              <w:pStyle w:val="TableParagraph"/>
              <w:ind w:left="17"/>
              <w:jc w:val="center"/>
              <w:rPr>
                <w:b/>
                <w:i/>
                <w:sz w:val="24"/>
              </w:rPr>
            </w:pPr>
            <w:r>
              <w:rPr>
                <w:b/>
                <w:i/>
                <w:sz w:val="24"/>
              </w:rPr>
              <w:t>в </w:t>
            </w:r>
            <w:r>
              <w:rPr>
                <w:b/>
                <w:i/>
                <w:spacing w:val="-2"/>
                <w:sz w:val="24"/>
              </w:rPr>
              <w:t>школе</w:t>
            </w:r>
          </w:p>
        </w:tc>
      </w:tr>
      <w:tr>
        <w:trPr>
          <w:trHeight w:val="973" w:hRule="atLeast"/>
        </w:trPr>
        <w:tc>
          <w:tcPr>
            <w:tcW w:w="2511" w:type="dxa"/>
          </w:tcPr>
          <w:p>
            <w:pPr>
              <w:pStyle w:val="TableParagraph"/>
              <w:spacing w:before="37"/>
              <w:rPr>
                <w:b/>
                <w:i/>
                <w:sz w:val="24"/>
              </w:rPr>
            </w:pPr>
          </w:p>
          <w:p>
            <w:pPr>
              <w:pStyle w:val="TableParagraph"/>
              <w:ind w:left="100" w:right="327"/>
              <w:rPr>
                <w:sz w:val="24"/>
              </w:rPr>
            </w:pPr>
            <w:r>
              <w:rPr>
                <w:spacing w:val="-2"/>
                <w:sz w:val="24"/>
              </w:rPr>
              <w:t>Социальные </w:t>
            </w:r>
            <w:r>
              <w:rPr>
                <w:sz w:val="24"/>
              </w:rPr>
              <w:t>трудности</w:t>
            </w:r>
            <w:r>
              <w:rPr>
                <w:spacing w:val="-15"/>
                <w:sz w:val="24"/>
              </w:rPr>
              <w:t> </w:t>
            </w:r>
            <w:r>
              <w:rPr>
                <w:sz w:val="24"/>
              </w:rPr>
              <w:t>/Ахенбах</w:t>
            </w:r>
          </w:p>
        </w:tc>
        <w:tc>
          <w:tcPr>
            <w:tcW w:w="2126" w:type="dxa"/>
          </w:tcPr>
          <w:p>
            <w:pPr>
              <w:pStyle w:val="TableParagraph"/>
              <w:spacing w:before="37"/>
              <w:rPr>
                <w:b/>
                <w:i/>
                <w:sz w:val="24"/>
              </w:rPr>
            </w:pPr>
          </w:p>
          <w:p>
            <w:pPr>
              <w:pStyle w:val="TableParagraph"/>
              <w:ind w:left="22" w:right="3"/>
              <w:jc w:val="center"/>
              <w:rPr>
                <w:sz w:val="24"/>
              </w:rPr>
            </w:pPr>
            <w:r>
              <w:rPr>
                <w:spacing w:val="-2"/>
                <w:sz w:val="24"/>
              </w:rPr>
              <w:t>-0.545</w:t>
            </w:r>
          </w:p>
        </w:tc>
        <w:tc>
          <w:tcPr>
            <w:tcW w:w="2268" w:type="dxa"/>
          </w:tcPr>
          <w:p>
            <w:pPr>
              <w:pStyle w:val="TableParagraph"/>
              <w:spacing w:before="37"/>
              <w:rPr>
                <w:b/>
                <w:i/>
                <w:sz w:val="24"/>
              </w:rPr>
            </w:pPr>
          </w:p>
          <w:p>
            <w:pPr>
              <w:pStyle w:val="TableParagraph"/>
              <w:ind w:left="19" w:right="1"/>
              <w:jc w:val="center"/>
              <w:rPr>
                <w:sz w:val="24"/>
              </w:rPr>
            </w:pPr>
            <w:r>
              <w:rPr>
                <w:spacing w:val="-2"/>
                <w:sz w:val="24"/>
              </w:rPr>
              <w:t>-0.428</w:t>
            </w:r>
          </w:p>
        </w:tc>
        <w:tc>
          <w:tcPr>
            <w:tcW w:w="2695" w:type="dxa"/>
          </w:tcPr>
          <w:p>
            <w:pPr>
              <w:pStyle w:val="TableParagraph"/>
              <w:spacing w:before="37"/>
              <w:rPr>
                <w:b/>
                <w:i/>
                <w:sz w:val="24"/>
              </w:rPr>
            </w:pPr>
          </w:p>
          <w:p>
            <w:pPr>
              <w:pStyle w:val="TableParagraph"/>
              <w:ind w:left="17" w:right="3"/>
              <w:jc w:val="center"/>
              <w:rPr>
                <w:sz w:val="24"/>
              </w:rPr>
            </w:pPr>
            <w:r>
              <w:rPr>
                <w:spacing w:val="-2"/>
                <w:sz w:val="24"/>
              </w:rPr>
              <w:t>-0.398</w:t>
            </w:r>
          </w:p>
        </w:tc>
      </w:tr>
      <w:tr>
        <w:trPr>
          <w:trHeight w:val="695" w:hRule="atLeast"/>
        </w:trPr>
        <w:tc>
          <w:tcPr>
            <w:tcW w:w="2511" w:type="dxa"/>
          </w:tcPr>
          <w:p>
            <w:pPr>
              <w:pStyle w:val="TableParagraph"/>
              <w:spacing w:before="35"/>
              <w:rPr>
                <w:b/>
                <w:i/>
                <w:sz w:val="24"/>
              </w:rPr>
            </w:pPr>
          </w:p>
          <w:p>
            <w:pPr>
              <w:pStyle w:val="TableParagraph"/>
              <w:ind w:left="100"/>
              <w:rPr>
                <w:sz w:val="24"/>
              </w:rPr>
            </w:pPr>
            <w:r>
              <w:rPr>
                <w:sz w:val="24"/>
              </w:rPr>
              <w:t>Школа</w:t>
            </w:r>
            <w:r>
              <w:rPr>
                <w:spacing w:val="-1"/>
                <w:sz w:val="24"/>
              </w:rPr>
              <w:t> </w:t>
            </w:r>
            <w:r>
              <w:rPr>
                <w:sz w:val="24"/>
              </w:rPr>
              <w:t>/</w:t>
            </w:r>
            <w:r>
              <w:rPr>
                <w:spacing w:val="1"/>
                <w:sz w:val="24"/>
              </w:rPr>
              <w:t> </w:t>
            </w:r>
            <w:r>
              <w:rPr>
                <w:spacing w:val="-2"/>
                <w:sz w:val="24"/>
              </w:rPr>
              <w:t>ШУДЖИ</w:t>
            </w:r>
          </w:p>
        </w:tc>
        <w:tc>
          <w:tcPr>
            <w:tcW w:w="2126" w:type="dxa"/>
          </w:tcPr>
          <w:p>
            <w:pPr>
              <w:pStyle w:val="TableParagraph"/>
              <w:spacing w:before="35"/>
              <w:rPr>
                <w:b/>
                <w:i/>
                <w:sz w:val="24"/>
              </w:rPr>
            </w:pPr>
          </w:p>
          <w:p>
            <w:pPr>
              <w:pStyle w:val="TableParagraph"/>
              <w:ind w:left="22" w:right="1"/>
              <w:jc w:val="center"/>
              <w:rPr>
                <w:sz w:val="24"/>
              </w:rPr>
            </w:pPr>
            <w:r>
              <w:rPr>
                <w:spacing w:val="-2"/>
                <w:sz w:val="24"/>
              </w:rPr>
              <w:t>0.396</w:t>
            </w:r>
          </w:p>
        </w:tc>
        <w:tc>
          <w:tcPr>
            <w:tcW w:w="2268" w:type="dxa"/>
          </w:tcPr>
          <w:p>
            <w:pPr>
              <w:pStyle w:val="TableParagraph"/>
              <w:spacing w:before="35"/>
              <w:rPr>
                <w:b/>
                <w:i/>
                <w:sz w:val="24"/>
              </w:rPr>
            </w:pPr>
          </w:p>
          <w:p>
            <w:pPr>
              <w:pStyle w:val="TableParagraph"/>
              <w:ind w:left="19" w:right="4"/>
              <w:jc w:val="center"/>
              <w:rPr>
                <w:sz w:val="24"/>
              </w:rPr>
            </w:pPr>
            <w:r>
              <w:rPr>
                <w:spacing w:val="-2"/>
                <w:sz w:val="24"/>
              </w:rPr>
              <w:t>0.296</w:t>
            </w:r>
          </w:p>
        </w:tc>
        <w:tc>
          <w:tcPr>
            <w:tcW w:w="2695" w:type="dxa"/>
          </w:tcPr>
          <w:p>
            <w:pPr>
              <w:pStyle w:val="TableParagraph"/>
              <w:spacing w:before="35"/>
              <w:rPr>
                <w:b/>
                <w:i/>
                <w:sz w:val="24"/>
              </w:rPr>
            </w:pPr>
          </w:p>
          <w:p>
            <w:pPr>
              <w:pStyle w:val="TableParagraph"/>
              <w:ind w:left="17"/>
              <w:jc w:val="center"/>
              <w:rPr>
                <w:sz w:val="24"/>
              </w:rPr>
            </w:pPr>
            <w:r>
              <w:rPr>
                <w:spacing w:val="-2"/>
                <w:sz w:val="24"/>
              </w:rPr>
              <w:t>0.388</w:t>
            </w:r>
          </w:p>
        </w:tc>
      </w:tr>
      <w:tr>
        <w:trPr>
          <w:trHeight w:val="695" w:hRule="atLeast"/>
        </w:trPr>
        <w:tc>
          <w:tcPr>
            <w:tcW w:w="2511" w:type="dxa"/>
          </w:tcPr>
          <w:p>
            <w:pPr>
              <w:pStyle w:val="TableParagraph"/>
              <w:spacing w:before="37"/>
              <w:rPr>
                <w:b/>
                <w:i/>
                <w:sz w:val="24"/>
              </w:rPr>
            </w:pPr>
          </w:p>
          <w:p>
            <w:pPr>
              <w:pStyle w:val="TableParagraph"/>
              <w:ind w:left="100"/>
              <w:rPr>
                <w:sz w:val="24"/>
              </w:rPr>
            </w:pPr>
            <w:r>
              <w:rPr>
                <w:sz w:val="24"/>
              </w:rPr>
              <w:t>Учителя</w:t>
            </w:r>
            <w:r>
              <w:rPr>
                <w:spacing w:val="-2"/>
                <w:sz w:val="24"/>
              </w:rPr>
              <w:t> /ШУДЖИ</w:t>
            </w:r>
          </w:p>
        </w:tc>
        <w:tc>
          <w:tcPr>
            <w:tcW w:w="2126" w:type="dxa"/>
          </w:tcPr>
          <w:p>
            <w:pPr>
              <w:pStyle w:val="TableParagraph"/>
              <w:spacing w:before="37"/>
              <w:rPr>
                <w:b/>
                <w:i/>
                <w:sz w:val="24"/>
              </w:rPr>
            </w:pPr>
          </w:p>
          <w:p>
            <w:pPr>
              <w:pStyle w:val="TableParagraph"/>
              <w:ind w:left="22" w:right="1"/>
              <w:jc w:val="center"/>
              <w:rPr>
                <w:sz w:val="24"/>
              </w:rPr>
            </w:pPr>
            <w:r>
              <w:rPr>
                <w:spacing w:val="-2"/>
                <w:sz w:val="24"/>
              </w:rPr>
              <w:t>0.410</w:t>
            </w:r>
          </w:p>
        </w:tc>
        <w:tc>
          <w:tcPr>
            <w:tcW w:w="2268" w:type="dxa"/>
          </w:tcPr>
          <w:p>
            <w:pPr>
              <w:pStyle w:val="TableParagraph"/>
              <w:spacing w:before="37"/>
              <w:rPr>
                <w:b/>
                <w:i/>
                <w:sz w:val="24"/>
              </w:rPr>
            </w:pPr>
          </w:p>
          <w:p>
            <w:pPr>
              <w:pStyle w:val="TableParagraph"/>
              <w:ind w:left="19" w:right="4"/>
              <w:jc w:val="center"/>
              <w:rPr>
                <w:sz w:val="24"/>
              </w:rPr>
            </w:pPr>
            <w:r>
              <w:rPr>
                <w:spacing w:val="-2"/>
                <w:sz w:val="24"/>
              </w:rPr>
              <w:t>0.331</w:t>
            </w:r>
          </w:p>
        </w:tc>
        <w:tc>
          <w:tcPr>
            <w:tcW w:w="2695" w:type="dxa"/>
          </w:tcPr>
          <w:p>
            <w:pPr>
              <w:pStyle w:val="TableParagraph"/>
              <w:spacing w:before="37"/>
              <w:rPr>
                <w:b/>
                <w:i/>
                <w:sz w:val="24"/>
              </w:rPr>
            </w:pPr>
          </w:p>
          <w:p>
            <w:pPr>
              <w:pStyle w:val="TableParagraph"/>
              <w:ind w:left="17"/>
              <w:jc w:val="center"/>
              <w:rPr>
                <w:sz w:val="24"/>
              </w:rPr>
            </w:pPr>
            <w:r>
              <w:rPr>
                <w:spacing w:val="-2"/>
                <w:sz w:val="24"/>
              </w:rPr>
              <w:t>0.406</w:t>
            </w:r>
          </w:p>
        </w:tc>
      </w:tr>
      <w:tr>
        <w:trPr>
          <w:trHeight w:val="733" w:hRule="atLeast"/>
        </w:trPr>
        <w:tc>
          <w:tcPr>
            <w:tcW w:w="2511" w:type="dxa"/>
          </w:tcPr>
          <w:p>
            <w:pPr>
              <w:pStyle w:val="TableParagraph"/>
              <w:spacing w:before="73"/>
              <w:ind w:left="100"/>
              <w:rPr>
                <w:sz w:val="24"/>
              </w:rPr>
            </w:pPr>
            <w:r>
              <w:rPr>
                <w:spacing w:val="-2"/>
                <w:sz w:val="24"/>
              </w:rPr>
              <w:t>Друзья</w:t>
            </w:r>
          </w:p>
          <w:p>
            <w:pPr>
              <w:pStyle w:val="TableParagraph"/>
              <w:ind w:left="100"/>
              <w:rPr>
                <w:sz w:val="24"/>
              </w:rPr>
            </w:pPr>
            <w:r>
              <w:rPr>
                <w:spacing w:val="-2"/>
                <w:sz w:val="24"/>
              </w:rPr>
              <w:t>/ШУДЖИ</w:t>
            </w:r>
          </w:p>
        </w:tc>
        <w:tc>
          <w:tcPr>
            <w:tcW w:w="2126" w:type="dxa"/>
          </w:tcPr>
          <w:p>
            <w:pPr>
              <w:pStyle w:val="TableParagraph"/>
              <w:spacing w:before="37"/>
              <w:rPr>
                <w:b/>
                <w:i/>
                <w:sz w:val="24"/>
              </w:rPr>
            </w:pPr>
          </w:p>
          <w:p>
            <w:pPr>
              <w:pStyle w:val="TableParagraph"/>
              <w:ind w:left="22" w:right="1"/>
              <w:jc w:val="center"/>
              <w:rPr>
                <w:sz w:val="24"/>
              </w:rPr>
            </w:pPr>
            <w:r>
              <w:rPr>
                <w:spacing w:val="-2"/>
                <w:sz w:val="24"/>
              </w:rPr>
              <w:t>0.302</w:t>
            </w:r>
          </w:p>
        </w:tc>
        <w:tc>
          <w:tcPr>
            <w:tcW w:w="2268" w:type="dxa"/>
          </w:tcPr>
          <w:p>
            <w:pPr>
              <w:pStyle w:val="TableParagraph"/>
              <w:spacing w:before="37"/>
              <w:rPr>
                <w:b/>
                <w:i/>
                <w:sz w:val="24"/>
              </w:rPr>
            </w:pPr>
          </w:p>
          <w:p>
            <w:pPr>
              <w:pStyle w:val="TableParagraph"/>
              <w:ind w:left="19" w:right="4"/>
              <w:jc w:val="center"/>
              <w:rPr>
                <w:sz w:val="24"/>
              </w:rPr>
            </w:pPr>
            <w:r>
              <w:rPr>
                <w:spacing w:val="-2"/>
                <w:sz w:val="24"/>
              </w:rPr>
              <w:t>0.349</w:t>
            </w:r>
          </w:p>
        </w:tc>
        <w:tc>
          <w:tcPr>
            <w:tcW w:w="2695" w:type="dxa"/>
          </w:tcPr>
          <w:p>
            <w:pPr>
              <w:pStyle w:val="TableParagraph"/>
              <w:spacing w:before="37"/>
              <w:rPr>
                <w:b/>
                <w:i/>
                <w:sz w:val="24"/>
              </w:rPr>
            </w:pPr>
          </w:p>
          <w:p>
            <w:pPr>
              <w:pStyle w:val="TableParagraph"/>
              <w:ind w:left="17"/>
              <w:jc w:val="center"/>
              <w:rPr>
                <w:sz w:val="24"/>
              </w:rPr>
            </w:pPr>
            <w:r>
              <w:rPr>
                <w:spacing w:val="-2"/>
                <w:sz w:val="24"/>
              </w:rPr>
              <w:t>0.293</w:t>
            </w:r>
          </w:p>
        </w:tc>
      </w:tr>
      <w:tr>
        <w:trPr>
          <w:trHeight w:val="1799" w:hRule="atLeast"/>
        </w:trPr>
        <w:tc>
          <w:tcPr>
            <w:tcW w:w="2511" w:type="dxa"/>
          </w:tcPr>
          <w:p>
            <w:pPr>
              <w:pStyle w:val="TableParagraph"/>
              <w:spacing w:before="34"/>
              <w:rPr>
                <w:b/>
                <w:i/>
                <w:sz w:val="24"/>
              </w:rPr>
            </w:pPr>
          </w:p>
          <w:p>
            <w:pPr>
              <w:pStyle w:val="TableParagraph"/>
              <w:ind w:left="100" w:right="327"/>
              <w:rPr>
                <w:sz w:val="24"/>
              </w:rPr>
            </w:pPr>
            <w:r>
              <w:rPr>
                <w:spacing w:val="-2"/>
                <w:sz w:val="24"/>
              </w:rPr>
              <w:t>Социальная устойчивость</w:t>
            </w:r>
          </w:p>
          <w:p>
            <w:pPr>
              <w:pStyle w:val="TableParagraph"/>
              <w:spacing w:before="1"/>
              <w:ind w:left="100" w:right="327"/>
              <w:rPr>
                <w:sz w:val="24"/>
              </w:rPr>
            </w:pPr>
            <w:r>
              <w:rPr>
                <w:sz w:val="24"/>
              </w:rPr>
              <w:t>/Детский тест </w:t>
            </w:r>
            <w:r>
              <w:rPr>
                <w:spacing w:val="-2"/>
                <w:sz w:val="24"/>
              </w:rPr>
              <w:t>психологической устойчивости</w:t>
            </w:r>
          </w:p>
        </w:tc>
        <w:tc>
          <w:tcPr>
            <w:tcW w:w="2126" w:type="dxa"/>
          </w:tcPr>
          <w:p>
            <w:pPr>
              <w:pStyle w:val="TableParagraph"/>
              <w:spacing w:before="34"/>
              <w:rPr>
                <w:b/>
                <w:i/>
                <w:sz w:val="24"/>
              </w:rPr>
            </w:pPr>
          </w:p>
          <w:p>
            <w:pPr>
              <w:pStyle w:val="TableParagraph"/>
              <w:ind w:left="22" w:right="1"/>
              <w:jc w:val="center"/>
              <w:rPr>
                <w:sz w:val="24"/>
              </w:rPr>
            </w:pPr>
            <w:r>
              <w:rPr>
                <w:spacing w:val="-2"/>
                <w:sz w:val="24"/>
              </w:rPr>
              <w:t>0.227</w:t>
            </w:r>
          </w:p>
        </w:tc>
        <w:tc>
          <w:tcPr>
            <w:tcW w:w="2268" w:type="dxa"/>
          </w:tcPr>
          <w:p>
            <w:pPr>
              <w:pStyle w:val="TableParagraph"/>
              <w:spacing w:before="34"/>
              <w:rPr>
                <w:b/>
                <w:i/>
                <w:sz w:val="24"/>
              </w:rPr>
            </w:pPr>
          </w:p>
          <w:p>
            <w:pPr>
              <w:pStyle w:val="TableParagraph"/>
              <w:ind w:left="19" w:right="4"/>
              <w:jc w:val="center"/>
              <w:rPr>
                <w:sz w:val="24"/>
              </w:rPr>
            </w:pPr>
            <w:r>
              <w:rPr>
                <w:spacing w:val="-2"/>
                <w:sz w:val="24"/>
              </w:rPr>
              <w:t>0.204</w:t>
            </w:r>
          </w:p>
        </w:tc>
        <w:tc>
          <w:tcPr>
            <w:tcW w:w="2695" w:type="dxa"/>
          </w:tcPr>
          <w:p>
            <w:pPr>
              <w:pStyle w:val="TableParagraph"/>
              <w:spacing w:before="34"/>
              <w:rPr>
                <w:b/>
                <w:i/>
                <w:sz w:val="24"/>
              </w:rPr>
            </w:pPr>
          </w:p>
          <w:p>
            <w:pPr>
              <w:pStyle w:val="TableParagraph"/>
              <w:ind w:left="17"/>
              <w:jc w:val="center"/>
              <w:rPr>
                <w:sz w:val="24"/>
              </w:rPr>
            </w:pPr>
            <w:r>
              <w:rPr>
                <w:spacing w:val="-2"/>
                <w:sz w:val="24"/>
              </w:rPr>
              <w:t>0.258</w:t>
            </w:r>
          </w:p>
        </w:tc>
      </w:tr>
      <w:tr>
        <w:trPr>
          <w:trHeight w:val="971" w:hRule="atLeast"/>
        </w:trPr>
        <w:tc>
          <w:tcPr>
            <w:tcW w:w="2511" w:type="dxa"/>
          </w:tcPr>
          <w:p>
            <w:pPr>
              <w:pStyle w:val="TableParagraph"/>
              <w:spacing w:before="39"/>
              <w:rPr>
                <w:b/>
                <w:i/>
                <w:sz w:val="24"/>
              </w:rPr>
            </w:pPr>
          </w:p>
          <w:p>
            <w:pPr>
              <w:pStyle w:val="TableParagraph"/>
              <w:spacing w:line="237" w:lineRule="auto"/>
              <w:ind w:left="100"/>
              <w:rPr>
                <w:sz w:val="24"/>
              </w:rPr>
            </w:pPr>
            <w:r>
              <w:rPr>
                <w:sz w:val="24"/>
              </w:rPr>
              <w:t>Шкала</w:t>
            </w:r>
            <w:r>
              <w:rPr>
                <w:spacing w:val="80"/>
                <w:sz w:val="24"/>
              </w:rPr>
              <w:t> </w:t>
            </w:r>
            <w:r>
              <w:rPr>
                <w:sz w:val="24"/>
              </w:rPr>
              <w:t>отношения</w:t>
            </w:r>
            <w:r>
              <w:rPr>
                <w:spacing w:val="80"/>
                <w:sz w:val="24"/>
              </w:rPr>
              <w:t> </w:t>
            </w:r>
            <w:r>
              <w:rPr>
                <w:sz w:val="24"/>
              </w:rPr>
              <w:t>к </w:t>
            </w:r>
            <w:r>
              <w:rPr>
                <w:spacing w:val="-2"/>
                <w:sz w:val="24"/>
              </w:rPr>
              <w:t>школе</w:t>
            </w:r>
          </w:p>
        </w:tc>
        <w:tc>
          <w:tcPr>
            <w:tcW w:w="2126" w:type="dxa"/>
          </w:tcPr>
          <w:p>
            <w:pPr>
              <w:pStyle w:val="TableParagraph"/>
              <w:spacing w:before="37"/>
              <w:rPr>
                <w:b/>
                <w:i/>
                <w:sz w:val="24"/>
              </w:rPr>
            </w:pPr>
          </w:p>
          <w:p>
            <w:pPr>
              <w:pStyle w:val="TableParagraph"/>
              <w:ind w:left="22" w:right="1"/>
              <w:jc w:val="center"/>
              <w:rPr>
                <w:sz w:val="24"/>
              </w:rPr>
            </w:pPr>
            <w:r>
              <w:rPr>
                <w:spacing w:val="-2"/>
                <w:sz w:val="24"/>
              </w:rPr>
              <w:t>0.342</w:t>
            </w:r>
          </w:p>
        </w:tc>
        <w:tc>
          <w:tcPr>
            <w:tcW w:w="2268" w:type="dxa"/>
          </w:tcPr>
          <w:p>
            <w:pPr>
              <w:pStyle w:val="TableParagraph"/>
              <w:spacing w:before="37"/>
              <w:rPr>
                <w:b/>
                <w:i/>
                <w:sz w:val="24"/>
              </w:rPr>
            </w:pPr>
          </w:p>
          <w:p>
            <w:pPr>
              <w:pStyle w:val="TableParagraph"/>
              <w:ind w:left="19" w:right="4"/>
              <w:jc w:val="center"/>
              <w:rPr>
                <w:sz w:val="24"/>
              </w:rPr>
            </w:pPr>
            <w:r>
              <w:rPr>
                <w:spacing w:val="-2"/>
                <w:sz w:val="24"/>
              </w:rPr>
              <w:t>0.184</w:t>
            </w:r>
          </w:p>
        </w:tc>
        <w:tc>
          <w:tcPr>
            <w:tcW w:w="2695" w:type="dxa"/>
          </w:tcPr>
          <w:p>
            <w:pPr>
              <w:pStyle w:val="TableParagraph"/>
              <w:spacing w:before="37"/>
              <w:rPr>
                <w:b/>
                <w:i/>
                <w:sz w:val="24"/>
              </w:rPr>
            </w:pPr>
          </w:p>
          <w:p>
            <w:pPr>
              <w:pStyle w:val="TableParagraph"/>
              <w:ind w:left="17"/>
              <w:jc w:val="center"/>
              <w:rPr>
                <w:sz w:val="24"/>
              </w:rPr>
            </w:pPr>
            <w:r>
              <w:rPr>
                <w:spacing w:val="-2"/>
                <w:sz w:val="24"/>
              </w:rPr>
              <w:t>0.321</w:t>
            </w:r>
          </w:p>
        </w:tc>
      </w:tr>
    </w:tbl>
    <w:p>
      <w:pPr>
        <w:pStyle w:val="Heading4"/>
        <w:spacing w:before="235"/>
        <w:ind w:right="560"/>
      </w:pPr>
      <w:r>
        <w:rPr/>
        <w:t>Указанные корреляции подтверждают внешнюю валидность «Методики оценки социальных навыков ребенка-мигранта» при диагностике детей — иностранных граждан.</w:t>
      </w:r>
    </w:p>
    <w:p>
      <w:pPr>
        <w:pStyle w:val="Heading4"/>
        <w:spacing w:after="0"/>
        <w:sectPr>
          <w:pgSz w:w="11910" w:h="16840"/>
          <w:pgMar w:header="0" w:footer="970" w:top="1040" w:bottom="1220" w:left="1417" w:right="283"/>
        </w:sectPr>
      </w:pPr>
    </w:p>
    <w:p>
      <w:pPr>
        <w:pStyle w:val="Heading3"/>
        <w:ind w:left="5431"/>
        <w:jc w:val="left"/>
      </w:pPr>
      <w:r>
        <w:rPr/>
        <w:t>Приложение</w:t>
      </w:r>
      <w:r>
        <w:rPr>
          <w:spacing w:val="-6"/>
        </w:rPr>
        <w:t> </w:t>
      </w:r>
      <w:r>
        <w:rPr/>
        <w:t>11.</w:t>
      </w:r>
      <w:r>
        <w:rPr>
          <w:spacing w:val="-3"/>
        </w:rPr>
        <w:t> </w:t>
      </w:r>
      <w:r>
        <w:rPr/>
        <w:t>Бланк</w:t>
      </w:r>
      <w:r>
        <w:rPr>
          <w:spacing w:val="-2"/>
        </w:rPr>
        <w:t> методики</w:t>
      </w:r>
    </w:p>
    <w:p>
      <w:pPr>
        <w:pStyle w:val="BodyText"/>
        <w:spacing w:before="40"/>
        <w:ind w:left="0" w:right="0" w:firstLine="0"/>
        <w:jc w:val="left"/>
        <w:rPr>
          <w:b/>
          <w:i/>
          <w:sz w:val="24"/>
        </w:rPr>
      </w:pPr>
    </w:p>
    <w:p>
      <w:pPr>
        <w:spacing w:before="0"/>
        <w:ind w:left="851" w:right="0" w:firstLine="0"/>
        <w:jc w:val="left"/>
        <w:rPr>
          <w:i/>
          <w:sz w:val="24"/>
        </w:rPr>
      </w:pPr>
      <w:r>
        <w:rPr>
          <w:i/>
          <w:sz w:val="24"/>
        </w:rPr>
        <w:t>Укажите</w:t>
      </w:r>
      <w:r>
        <w:rPr>
          <w:i/>
          <w:spacing w:val="-3"/>
          <w:sz w:val="24"/>
        </w:rPr>
        <w:t> </w:t>
      </w:r>
      <w:r>
        <w:rPr>
          <w:i/>
          <w:sz w:val="24"/>
        </w:rPr>
        <w:t>фамилию</w:t>
      </w:r>
      <w:r>
        <w:rPr>
          <w:i/>
          <w:spacing w:val="-1"/>
          <w:sz w:val="24"/>
        </w:rPr>
        <w:t> </w:t>
      </w:r>
      <w:r>
        <w:rPr>
          <w:i/>
          <w:sz w:val="24"/>
        </w:rPr>
        <w:t>и</w:t>
      </w:r>
      <w:r>
        <w:rPr>
          <w:i/>
          <w:spacing w:val="-2"/>
          <w:sz w:val="24"/>
        </w:rPr>
        <w:t> </w:t>
      </w:r>
      <w:r>
        <w:rPr>
          <w:i/>
          <w:sz w:val="24"/>
        </w:rPr>
        <w:t>имя</w:t>
      </w:r>
      <w:r>
        <w:rPr>
          <w:i/>
          <w:spacing w:val="-1"/>
          <w:sz w:val="24"/>
        </w:rPr>
        <w:t> </w:t>
      </w:r>
      <w:r>
        <w:rPr>
          <w:i/>
          <w:spacing w:val="-2"/>
          <w:sz w:val="24"/>
        </w:rPr>
        <w:t>ребенка:</w:t>
      </w:r>
    </w:p>
    <w:p>
      <w:pPr>
        <w:pStyle w:val="BodyText"/>
        <w:spacing w:before="17"/>
        <w:ind w:left="0" w:right="0" w:firstLine="0"/>
        <w:jc w:val="left"/>
        <w:rPr>
          <w:i/>
        </w:rPr>
      </w:pPr>
      <w:r>
        <w:rPr>
          <w:i/>
        </w:rPr>
        <mc:AlternateContent>
          <mc:Choice Requires="wps">
            <w:drawing>
              <wp:anchor distT="0" distB="0" distL="0" distR="0" allowOverlap="1" layoutInCell="1" locked="0" behindDoc="1" simplePos="0" relativeHeight="487608832">
                <wp:simplePos x="0" y="0"/>
                <wp:positionH relativeFrom="page">
                  <wp:posOffset>1440433</wp:posOffset>
                </wp:positionH>
                <wp:positionV relativeFrom="paragraph">
                  <wp:posOffset>172366</wp:posOffset>
                </wp:positionV>
                <wp:extent cx="4724400" cy="1270"/>
                <wp:effectExtent l="0" t="0" r="0" b="0"/>
                <wp:wrapTopAndBottom/>
                <wp:docPr id="74" name="Graphic 74"/>
                <wp:cNvGraphicFramePr>
                  <a:graphicFrameLocks/>
                </wp:cNvGraphicFramePr>
                <a:graphic>
                  <a:graphicData uri="http://schemas.microsoft.com/office/word/2010/wordprocessingShape">
                    <wps:wsp>
                      <wps:cNvPr id="74" name="Graphic 74"/>
                      <wps:cNvSpPr/>
                      <wps:spPr>
                        <a:xfrm>
                          <a:off x="0" y="0"/>
                          <a:ext cx="4724400" cy="1270"/>
                        </a:xfrm>
                        <a:custGeom>
                          <a:avLst/>
                          <a:gdLst/>
                          <a:ahLst/>
                          <a:cxnLst/>
                          <a:rect l="l" t="t" r="r" b="b"/>
                          <a:pathLst>
                            <a:path w="4724400" h="0">
                              <a:moveTo>
                                <a:pt x="0" y="0"/>
                              </a:moveTo>
                              <a:lnTo>
                                <a:pt x="4724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13.419998pt;margin-top:13.572144pt;width:372pt;height:.1pt;mso-position-horizontal-relative:page;mso-position-vertical-relative:paragraph;z-index:-15707648;mso-wrap-distance-left:0;mso-wrap-distance-right:0" id="docshape44" coordorigin="2268,271" coordsize="7440,0" path="m2268,271l9708,271e" filled="false" stroked="true" strokeweight=".487125pt" strokecolor="#000000">
                <v:path arrowok="t"/>
                <v:stroke dashstyle="solid"/>
                <w10:wrap type="topAndBottom"/>
              </v:shape>
            </w:pict>
          </mc:Fallback>
        </mc:AlternateContent>
      </w:r>
    </w:p>
    <w:p>
      <w:pPr>
        <w:spacing w:line="242" w:lineRule="auto" w:before="0"/>
        <w:ind w:left="285" w:right="560" w:firstLine="566"/>
        <w:jc w:val="left"/>
        <w:rPr>
          <w:i/>
          <w:sz w:val="24"/>
        </w:rPr>
      </w:pPr>
      <w:r>
        <w:rPr>
          <w:i/>
          <w:sz w:val="24"/>
        </w:rPr>
        <w:t>Пожалуйста,</w:t>
      </w:r>
      <w:r>
        <w:rPr>
          <w:i/>
          <w:spacing w:val="80"/>
          <w:sz w:val="24"/>
        </w:rPr>
        <w:t> </w:t>
      </w:r>
      <w:r>
        <w:rPr>
          <w:i/>
          <w:sz w:val="24"/>
        </w:rPr>
        <w:t>отметьте,</w:t>
      </w:r>
      <w:r>
        <w:rPr>
          <w:i/>
          <w:spacing w:val="80"/>
          <w:sz w:val="24"/>
        </w:rPr>
        <w:t> </w:t>
      </w:r>
      <w:r>
        <w:rPr>
          <w:i/>
          <w:sz w:val="24"/>
        </w:rPr>
        <w:t>насколько</w:t>
      </w:r>
      <w:r>
        <w:rPr>
          <w:i/>
          <w:spacing w:val="40"/>
          <w:sz w:val="24"/>
        </w:rPr>
        <w:t> </w:t>
      </w:r>
      <w:r>
        <w:rPr>
          <w:i/>
          <w:sz w:val="24"/>
        </w:rPr>
        <w:t>нижеперечисленные</w:t>
      </w:r>
      <w:r>
        <w:rPr>
          <w:i/>
          <w:spacing w:val="80"/>
          <w:sz w:val="24"/>
        </w:rPr>
        <w:t> </w:t>
      </w:r>
      <w:r>
        <w:rPr>
          <w:i/>
          <w:sz w:val="24"/>
        </w:rPr>
        <w:t>действия</w:t>
      </w:r>
      <w:r>
        <w:rPr>
          <w:i/>
          <w:spacing w:val="80"/>
          <w:sz w:val="24"/>
        </w:rPr>
        <w:t> </w:t>
      </w:r>
      <w:r>
        <w:rPr>
          <w:i/>
          <w:sz w:val="24"/>
        </w:rPr>
        <w:t>свойственны этому ребенку.</w:t>
      </w:r>
    </w:p>
    <w:p>
      <w:pPr>
        <w:pStyle w:val="BodyText"/>
        <w:spacing w:before="6"/>
        <w:ind w:left="0" w:right="0" w:firstLine="0"/>
        <w:jc w:val="left"/>
        <w:rPr>
          <w:i/>
          <w:sz w:val="17"/>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7"/>
        <w:gridCol w:w="3610"/>
        <w:gridCol w:w="1419"/>
        <w:gridCol w:w="1251"/>
        <w:gridCol w:w="1302"/>
        <w:gridCol w:w="1270"/>
      </w:tblGrid>
      <w:tr>
        <w:trPr>
          <w:trHeight w:val="834" w:hRule="atLeast"/>
        </w:trPr>
        <w:tc>
          <w:tcPr>
            <w:tcW w:w="497" w:type="dxa"/>
          </w:tcPr>
          <w:p>
            <w:pPr>
              <w:pStyle w:val="TableParagraph"/>
              <w:spacing w:before="157"/>
              <w:ind w:left="127"/>
              <w:rPr>
                <w:b/>
                <w:sz w:val="24"/>
              </w:rPr>
            </w:pPr>
            <w:r>
              <w:rPr>
                <w:b/>
                <w:spacing w:val="-10"/>
                <w:sz w:val="24"/>
              </w:rPr>
              <w:t>№</w:t>
            </w:r>
          </w:p>
        </w:tc>
        <w:tc>
          <w:tcPr>
            <w:tcW w:w="3610" w:type="dxa"/>
          </w:tcPr>
          <w:p>
            <w:pPr>
              <w:pStyle w:val="TableParagraph"/>
              <w:rPr>
                <w:sz w:val="24"/>
              </w:rPr>
            </w:pPr>
          </w:p>
        </w:tc>
        <w:tc>
          <w:tcPr>
            <w:tcW w:w="1419" w:type="dxa"/>
          </w:tcPr>
          <w:p>
            <w:pPr>
              <w:pStyle w:val="TableParagraph"/>
              <w:spacing w:line="278" w:lineRule="auto"/>
              <w:ind w:left="194" w:hanging="77"/>
              <w:rPr>
                <w:b/>
                <w:sz w:val="24"/>
              </w:rPr>
            </w:pPr>
            <w:r>
              <w:rPr>
                <w:b/>
                <w:spacing w:val="-2"/>
                <w:sz w:val="24"/>
              </w:rPr>
              <w:t>Практичес </w:t>
            </w:r>
            <w:r>
              <w:rPr>
                <w:b/>
                <w:sz w:val="24"/>
              </w:rPr>
              <w:t>ки всегда</w:t>
            </w:r>
          </w:p>
        </w:tc>
        <w:tc>
          <w:tcPr>
            <w:tcW w:w="1251" w:type="dxa"/>
          </w:tcPr>
          <w:p>
            <w:pPr>
              <w:pStyle w:val="TableParagraph"/>
              <w:spacing w:before="157"/>
              <w:ind w:left="304"/>
              <w:rPr>
                <w:b/>
                <w:sz w:val="24"/>
              </w:rPr>
            </w:pPr>
            <w:r>
              <w:rPr>
                <w:b/>
                <w:spacing w:val="-2"/>
                <w:sz w:val="24"/>
              </w:rPr>
              <w:t>Часто</w:t>
            </w:r>
          </w:p>
        </w:tc>
        <w:tc>
          <w:tcPr>
            <w:tcW w:w="1302" w:type="dxa"/>
          </w:tcPr>
          <w:p>
            <w:pPr>
              <w:pStyle w:val="TableParagraph"/>
              <w:spacing w:before="157"/>
              <w:ind w:left="250"/>
              <w:rPr>
                <w:b/>
                <w:sz w:val="24"/>
              </w:rPr>
            </w:pPr>
            <w:r>
              <w:rPr>
                <w:b/>
                <w:spacing w:val="-2"/>
                <w:sz w:val="24"/>
              </w:rPr>
              <w:t>Иногда</w:t>
            </w:r>
          </w:p>
        </w:tc>
        <w:tc>
          <w:tcPr>
            <w:tcW w:w="1270" w:type="dxa"/>
          </w:tcPr>
          <w:p>
            <w:pPr>
              <w:pStyle w:val="TableParagraph"/>
              <w:spacing w:line="278" w:lineRule="auto"/>
              <w:ind w:left="187" w:right="181" w:firstLine="93"/>
              <w:rPr>
                <w:b/>
                <w:sz w:val="24"/>
              </w:rPr>
            </w:pPr>
            <w:r>
              <w:rPr>
                <w:b/>
                <w:spacing w:val="-2"/>
                <w:sz w:val="24"/>
              </w:rPr>
              <w:t>Почти никогда</w:t>
            </w:r>
          </w:p>
        </w:tc>
      </w:tr>
      <w:tr>
        <w:trPr>
          <w:trHeight w:val="518" w:hRule="atLeast"/>
        </w:trPr>
        <w:tc>
          <w:tcPr>
            <w:tcW w:w="9349" w:type="dxa"/>
            <w:gridSpan w:val="6"/>
          </w:tcPr>
          <w:p>
            <w:pPr>
              <w:pStyle w:val="TableParagraph"/>
              <w:spacing w:line="275" w:lineRule="exact"/>
              <w:ind w:left="6"/>
              <w:jc w:val="center"/>
              <w:rPr>
                <w:b/>
                <w:i/>
                <w:sz w:val="24"/>
              </w:rPr>
            </w:pPr>
            <w:r>
              <w:rPr>
                <w:b/>
                <w:i/>
                <w:sz w:val="24"/>
              </w:rPr>
              <w:t>Поведение</w:t>
            </w:r>
            <w:r>
              <w:rPr>
                <w:b/>
                <w:i/>
                <w:spacing w:val="-3"/>
                <w:sz w:val="24"/>
              </w:rPr>
              <w:t> </w:t>
            </w:r>
            <w:r>
              <w:rPr>
                <w:b/>
                <w:i/>
                <w:sz w:val="24"/>
              </w:rPr>
              <w:t>в</w:t>
            </w:r>
            <w:r>
              <w:rPr>
                <w:b/>
                <w:i/>
                <w:spacing w:val="-2"/>
                <w:sz w:val="24"/>
              </w:rPr>
              <w:t> </w:t>
            </w:r>
            <w:r>
              <w:rPr>
                <w:b/>
                <w:i/>
                <w:sz w:val="24"/>
              </w:rPr>
              <w:t>учебной</w:t>
            </w:r>
            <w:r>
              <w:rPr>
                <w:b/>
                <w:i/>
                <w:spacing w:val="-2"/>
                <w:sz w:val="24"/>
              </w:rPr>
              <w:t> ситуации</w:t>
            </w:r>
          </w:p>
        </w:tc>
      </w:tr>
      <w:tr>
        <w:trPr>
          <w:trHeight w:val="518" w:hRule="atLeast"/>
        </w:trPr>
        <w:tc>
          <w:tcPr>
            <w:tcW w:w="497" w:type="dxa"/>
          </w:tcPr>
          <w:p>
            <w:pPr>
              <w:pStyle w:val="TableParagraph"/>
              <w:spacing w:line="270" w:lineRule="exact"/>
              <w:ind w:left="107"/>
              <w:rPr>
                <w:sz w:val="24"/>
              </w:rPr>
            </w:pPr>
            <w:r>
              <w:rPr>
                <w:spacing w:val="-10"/>
                <w:sz w:val="24"/>
              </w:rPr>
              <w:t>1</w:t>
            </w:r>
          </w:p>
        </w:tc>
        <w:tc>
          <w:tcPr>
            <w:tcW w:w="3610" w:type="dxa"/>
          </w:tcPr>
          <w:p>
            <w:pPr>
              <w:pStyle w:val="TableParagraph"/>
              <w:spacing w:line="270" w:lineRule="exact"/>
              <w:ind w:left="105"/>
              <w:rPr>
                <w:sz w:val="24"/>
              </w:rPr>
            </w:pPr>
            <w:r>
              <w:rPr>
                <w:sz w:val="24"/>
              </w:rPr>
              <w:t>Отвечает</w:t>
            </w:r>
            <w:r>
              <w:rPr>
                <w:spacing w:val="-2"/>
                <w:sz w:val="24"/>
              </w:rPr>
              <w:t> </w:t>
            </w:r>
            <w:r>
              <w:rPr>
                <w:sz w:val="24"/>
              </w:rPr>
              <w:t>на</w:t>
            </w:r>
            <w:r>
              <w:rPr>
                <w:spacing w:val="-3"/>
                <w:sz w:val="24"/>
              </w:rPr>
              <w:t> </w:t>
            </w:r>
            <w:r>
              <w:rPr>
                <w:sz w:val="24"/>
              </w:rPr>
              <w:t>вопросы</w:t>
            </w:r>
            <w:r>
              <w:rPr>
                <w:spacing w:val="3"/>
                <w:sz w:val="24"/>
              </w:rPr>
              <w:t> </w:t>
            </w:r>
            <w:r>
              <w:rPr>
                <w:spacing w:val="-2"/>
                <w:sz w:val="24"/>
              </w:rPr>
              <w:t>учителя</w:t>
            </w:r>
          </w:p>
        </w:tc>
        <w:tc>
          <w:tcPr>
            <w:tcW w:w="1419" w:type="dxa"/>
          </w:tcPr>
          <w:p>
            <w:pPr>
              <w:pStyle w:val="TableParagraph"/>
              <w:spacing w:line="270" w:lineRule="exact"/>
              <w:ind w:left="107"/>
              <w:rPr>
                <w:sz w:val="24"/>
              </w:rPr>
            </w:pPr>
            <w:r>
              <w:rPr>
                <w:spacing w:val="-10"/>
                <w:sz w:val="24"/>
              </w:rPr>
              <w:t>3</w:t>
            </w:r>
          </w:p>
        </w:tc>
        <w:tc>
          <w:tcPr>
            <w:tcW w:w="1251" w:type="dxa"/>
          </w:tcPr>
          <w:p>
            <w:pPr>
              <w:pStyle w:val="TableParagraph"/>
              <w:spacing w:line="270" w:lineRule="exact"/>
              <w:ind w:left="107"/>
              <w:rPr>
                <w:sz w:val="24"/>
              </w:rPr>
            </w:pPr>
            <w:r>
              <w:rPr>
                <w:spacing w:val="-10"/>
                <w:sz w:val="24"/>
              </w:rPr>
              <w:t>2</w:t>
            </w:r>
          </w:p>
        </w:tc>
        <w:tc>
          <w:tcPr>
            <w:tcW w:w="1302" w:type="dxa"/>
          </w:tcPr>
          <w:p>
            <w:pPr>
              <w:pStyle w:val="TableParagraph"/>
              <w:spacing w:line="270" w:lineRule="exact"/>
              <w:ind w:left="106"/>
              <w:rPr>
                <w:sz w:val="24"/>
              </w:rPr>
            </w:pPr>
            <w:r>
              <w:rPr>
                <w:spacing w:val="-10"/>
                <w:sz w:val="24"/>
              </w:rPr>
              <w:t>1</w:t>
            </w:r>
          </w:p>
        </w:tc>
        <w:tc>
          <w:tcPr>
            <w:tcW w:w="1270" w:type="dxa"/>
          </w:tcPr>
          <w:p>
            <w:pPr>
              <w:pStyle w:val="TableParagraph"/>
              <w:spacing w:line="270" w:lineRule="exact"/>
              <w:ind w:left="103"/>
              <w:rPr>
                <w:sz w:val="24"/>
              </w:rPr>
            </w:pPr>
            <w:r>
              <w:rPr>
                <w:spacing w:val="-10"/>
                <w:sz w:val="24"/>
              </w:rPr>
              <w:t>0</w:t>
            </w:r>
          </w:p>
        </w:tc>
      </w:tr>
      <w:tr>
        <w:trPr>
          <w:trHeight w:val="834" w:hRule="atLeast"/>
        </w:trPr>
        <w:tc>
          <w:tcPr>
            <w:tcW w:w="497" w:type="dxa"/>
          </w:tcPr>
          <w:p>
            <w:pPr>
              <w:pStyle w:val="TableParagraph"/>
              <w:spacing w:line="270" w:lineRule="exact"/>
              <w:ind w:left="107"/>
              <w:rPr>
                <w:sz w:val="24"/>
              </w:rPr>
            </w:pPr>
            <w:r>
              <w:rPr>
                <w:spacing w:val="-10"/>
                <w:sz w:val="24"/>
              </w:rPr>
              <w:t>2</w:t>
            </w:r>
          </w:p>
        </w:tc>
        <w:tc>
          <w:tcPr>
            <w:tcW w:w="3610" w:type="dxa"/>
          </w:tcPr>
          <w:p>
            <w:pPr>
              <w:pStyle w:val="TableParagraph"/>
              <w:spacing w:line="276" w:lineRule="auto"/>
              <w:ind w:left="105"/>
              <w:rPr>
                <w:sz w:val="24"/>
              </w:rPr>
            </w:pPr>
            <w:r>
              <w:rPr>
                <w:sz w:val="24"/>
              </w:rPr>
              <w:t>Соблюдает</w:t>
            </w:r>
            <w:r>
              <w:rPr>
                <w:spacing w:val="-13"/>
                <w:sz w:val="24"/>
              </w:rPr>
              <w:t> </w:t>
            </w:r>
            <w:r>
              <w:rPr>
                <w:sz w:val="24"/>
              </w:rPr>
              <w:t>правила</w:t>
            </w:r>
            <w:r>
              <w:rPr>
                <w:spacing w:val="-14"/>
                <w:sz w:val="24"/>
              </w:rPr>
              <w:t> </w:t>
            </w:r>
            <w:r>
              <w:rPr>
                <w:sz w:val="24"/>
              </w:rPr>
              <w:t>поведения</w:t>
            </w:r>
            <w:r>
              <w:rPr>
                <w:spacing w:val="-13"/>
                <w:sz w:val="24"/>
              </w:rPr>
              <w:t> </w:t>
            </w:r>
            <w:r>
              <w:rPr>
                <w:sz w:val="24"/>
              </w:rPr>
              <w:t>в </w:t>
            </w:r>
            <w:r>
              <w:rPr>
                <w:spacing w:val="-2"/>
                <w:sz w:val="24"/>
              </w:rPr>
              <w:t>классе</w:t>
            </w:r>
          </w:p>
        </w:tc>
        <w:tc>
          <w:tcPr>
            <w:tcW w:w="1419" w:type="dxa"/>
          </w:tcPr>
          <w:p>
            <w:pPr>
              <w:pStyle w:val="TableParagraph"/>
              <w:spacing w:before="152"/>
              <w:ind w:left="107"/>
              <w:rPr>
                <w:sz w:val="24"/>
              </w:rPr>
            </w:pPr>
            <w:r>
              <w:rPr>
                <w:spacing w:val="-10"/>
                <w:sz w:val="24"/>
              </w:rPr>
              <w:t>3</w:t>
            </w:r>
          </w:p>
        </w:tc>
        <w:tc>
          <w:tcPr>
            <w:tcW w:w="1251" w:type="dxa"/>
          </w:tcPr>
          <w:p>
            <w:pPr>
              <w:pStyle w:val="TableParagraph"/>
              <w:spacing w:before="152"/>
              <w:ind w:left="107"/>
              <w:rPr>
                <w:sz w:val="24"/>
              </w:rPr>
            </w:pPr>
            <w:r>
              <w:rPr>
                <w:spacing w:val="-10"/>
                <w:sz w:val="24"/>
              </w:rPr>
              <w:t>2</w:t>
            </w:r>
          </w:p>
        </w:tc>
        <w:tc>
          <w:tcPr>
            <w:tcW w:w="1302" w:type="dxa"/>
          </w:tcPr>
          <w:p>
            <w:pPr>
              <w:pStyle w:val="TableParagraph"/>
              <w:spacing w:before="152"/>
              <w:ind w:left="106"/>
              <w:rPr>
                <w:sz w:val="24"/>
              </w:rPr>
            </w:pPr>
            <w:r>
              <w:rPr>
                <w:spacing w:val="-10"/>
                <w:sz w:val="24"/>
              </w:rPr>
              <w:t>1</w:t>
            </w:r>
          </w:p>
        </w:tc>
        <w:tc>
          <w:tcPr>
            <w:tcW w:w="1270" w:type="dxa"/>
          </w:tcPr>
          <w:p>
            <w:pPr>
              <w:pStyle w:val="TableParagraph"/>
              <w:spacing w:before="152"/>
              <w:ind w:left="103"/>
              <w:rPr>
                <w:sz w:val="24"/>
              </w:rPr>
            </w:pPr>
            <w:r>
              <w:rPr>
                <w:spacing w:val="-10"/>
                <w:sz w:val="24"/>
              </w:rPr>
              <w:t>0</w:t>
            </w:r>
          </w:p>
        </w:tc>
      </w:tr>
      <w:tr>
        <w:trPr>
          <w:trHeight w:val="1151" w:hRule="atLeast"/>
        </w:trPr>
        <w:tc>
          <w:tcPr>
            <w:tcW w:w="497" w:type="dxa"/>
          </w:tcPr>
          <w:p>
            <w:pPr>
              <w:pStyle w:val="TableParagraph"/>
              <w:spacing w:line="270" w:lineRule="exact"/>
              <w:ind w:left="107"/>
              <w:rPr>
                <w:sz w:val="24"/>
              </w:rPr>
            </w:pPr>
            <w:r>
              <w:rPr>
                <w:spacing w:val="-10"/>
                <w:sz w:val="24"/>
              </w:rPr>
              <w:t>3</w:t>
            </w:r>
          </w:p>
        </w:tc>
        <w:tc>
          <w:tcPr>
            <w:tcW w:w="3610" w:type="dxa"/>
          </w:tcPr>
          <w:p>
            <w:pPr>
              <w:pStyle w:val="TableParagraph"/>
              <w:spacing w:line="276" w:lineRule="auto"/>
              <w:ind w:left="105"/>
              <w:rPr>
                <w:sz w:val="24"/>
              </w:rPr>
            </w:pPr>
            <w:r>
              <w:rPr>
                <w:sz w:val="24"/>
              </w:rPr>
              <w:t>Делает</w:t>
            </w:r>
            <w:r>
              <w:rPr>
                <w:spacing w:val="-15"/>
                <w:sz w:val="24"/>
              </w:rPr>
              <w:t> </w:t>
            </w:r>
            <w:r>
              <w:rPr>
                <w:sz w:val="24"/>
              </w:rPr>
              <w:t>уместные</w:t>
            </w:r>
            <w:r>
              <w:rPr>
                <w:spacing w:val="-15"/>
                <w:sz w:val="24"/>
              </w:rPr>
              <w:t> </w:t>
            </w:r>
            <w:r>
              <w:rPr>
                <w:sz w:val="24"/>
              </w:rPr>
              <w:t>высказывания при опросе или дискуссии на </w:t>
            </w:r>
            <w:r>
              <w:rPr>
                <w:spacing w:val="-4"/>
                <w:sz w:val="24"/>
              </w:rPr>
              <w:t>уроке</w:t>
            </w:r>
          </w:p>
        </w:tc>
        <w:tc>
          <w:tcPr>
            <w:tcW w:w="1419" w:type="dxa"/>
          </w:tcPr>
          <w:p>
            <w:pPr>
              <w:pStyle w:val="TableParagraph"/>
              <w:spacing w:before="34"/>
              <w:rPr>
                <w:i/>
                <w:sz w:val="24"/>
              </w:rPr>
            </w:pPr>
          </w:p>
          <w:p>
            <w:pPr>
              <w:pStyle w:val="TableParagraph"/>
              <w:spacing w:before="1"/>
              <w:ind w:left="107"/>
              <w:rPr>
                <w:sz w:val="24"/>
              </w:rPr>
            </w:pPr>
            <w:r>
              <w:rPr>
                <w:spacing w:val="-10"/>
                <w:sz w:val="24"/>
              </w:rPr>
              <w:t>3</w:t>
            </w:r>
          </w:p>
        </w:tc>
        <w:tc>
          <w:tcPr>
            <w:tcW w:w="1251" w:type="dxa"/>
          </w:tcPr>
          <w:p>
            <w:pPr>
              <w:pStyle w:val="TableParagraph"/>
              <w:spacing w:before="34"/>
              <w:rPr>
                <w:i/>
                <w:sz w:val="24"/>
              </w:rPr>
            </w:pPr>
          </w:p>
          <w:p>
            <w:pPr>
              <w:pStyle w:val="TableParagraph"/>
              <w:spacing w:before="1"/>
              <w:ind w:left="107"/>
              <w:rPr>
                <w:sz w:val="24"/>
              </w:rPr>
            </w:pPr>
            <w:r>
              <w:rPr>
                <w:spacing w:val="-10"/>
                <w:sz w:val="24"/>
              </w:rPr>
              <w:t>2</w:t>
            </w:r>
          </w:p>
        </w:tc>
        <w:tc>
          <w:tcPr>
            <w:tcW w:w="1302" w:type="dxa"/>
          </w:tcPr>
          <w:p>
            <w:pPr>
              <w:pStyle w:val="TableParagraph"/>
              <w:spacing w:before="34"/>
              <w:rPr>
                <w:i/>
                <w:sz w:val="24"/>
              </w:rPr>
            </w:pPr>
          </w:p>
          <w:p>
            <w:pPr>
              <w:pStyle w:val="TableParagraph"/>
              <w:spacing w:before="1"/>
              <w:ind w:left="106"/>
              <w:rPr>
                <w:sz w:val="24"/>
              </w:rPr>
            </w:pPr>
            <w:r>
              <w:rPr>
                <w:spacing w:val="-10"/>
                <w:sz w:val="24"/>
              </w:rPr>
              <w:t>1</w:t>
            </w:r>
          </w:p>
        </w:tc>
        <w:tc>
          <w:tcPr>
            <w:tcW w:w="1270" w:type="dxa"/>
          </w:tcPr>
          <w:p>
            <w:pPr>
              <w:pStyle w:val="TableParagraph"/>
              <w:spacing w:before="34"/>
              <w:rPr>
                <w:i/>
                <w:sz w:val="24"/>
              </w:rPr>
            </w:pPr>
          </w:p>
          <w:p>
            <w:pPr>
              <w:pStyle w:val="TableParagraph"/>
              <w:spacing w:before="1"/>
              <w:ind w:left="103"/>
              <w:rPr>
                <w:sz w:val="24"/>
              </w:rPr>
            </w:pPr>
            <w:r>
              <w:rPr>
                <w:spacing w:val="-10"/>
                <w:sz w:val="24"/>
              </w:rPr>
              <w:t>0</w:t>
            </w:r>
          </w:p>
        </w:tc>
      </w:tr>
      <w:tr>
        <w:trPr>
          <w:trHeight w:val="834" w:hRule="atLeast"/>
        </w:trPr>
        <w:tc>
          <w:tcPr>
            <w:tcW w:w="497" w:type="dxa"/>
          </w:tcPr>
          <w:p>
            <w:pPr>
              <w:pStyle w:val="TableParagraph"/>
              <w:spacing w:line="270" w:lineRule="exact"/>
              <w:ind w:left="107"/>
              <w:rPr>
                <w:sz w:val="24"/>
              </w:rPr>
            </w:pPr>
            <w:r>
              <w:rPr>
                <w:spacing w:val="-10"/>
                <w:sz w:val="24"/>
              </w:rPr>
              <w:t>4</w:t>
            </w:r>
          </w:p>
        </w:tc>
        <w:tc>
          <w:tcPr>
            <w:tcW w:w="3610" w:type="dxa"/>
          </w:tcPr>
          <w:p>
            <w:pPr>
              <w:pStyle w:val="TableParagraph"/>
              <w:spacing w:line="276" w:lineRule="auto"/>
              <w:ind w:left="105"/>
              <w:rPr>
                <w:sz w:val="24"/>
              </w:rPr>
            </w:pPr>
            <w:r>
              <w:rPr>
                <w:sz w:val="24"/>
              </w:rPr>
              <w:t>Выполняет</w:t>
            </w:r>
            <w:r>
              <w:rPr>
                <w:spacing w:val="-12"/>
                <w:sz w:val="24"/>
              </w:rPr>
              <w:t> </w:t>
            </w:r>
            <w:r>
              <w:rPr>
                <w:sz w:val="24"/>
              </w:rPr>
              <w:t>указания</w:t>
            </w:r>
            <w:r>
              <w:rPr>
                <w:spacing w:val="-13"/>
                <w:sz w:val="24"/>
              </w:rPr>
              <w:t> </w:t>
            </w:r>
            <w:r>
              <w:rPr>
                <w:sz w:val="24"/>
              </w:rPr>
              <w:t>и</w:t>
            </w:r>
            <w:r>
              <w:rPr>
                <w:spacing w:val="-15"/>
                <w:sz w:val="24"/>
              </w:rPr>
              <w:t> </w:t>
            </w:r>
            <w:r>
              <w:rPr>
                <w:sz w:val="24"/>
              </w:rPr>
              <w:t>просьбы </w:t>
            </w:r>
            <w:r>
              <w:rPr>
                <w:spacing w:val="-2"/>
                <w:sz w:val="24"/>
              </w:rPr>
              <w:t>учителя</w:t>
            </w:r>
          </w:p>
        </w:tc>
        <w:tc>
          <w:tcPr>
            <w:tcW w:w="1419" w:type="dxa"/>
          </w:tcPr>
          <w:p>
            <w:pPr>
              <w:pStyle w:val="TableParagraph"/>
              <w:spacing w:before="152"/>
              <w:ind w:left="107"/>
              <w:rPr>
                <w:sz w:val="24"/>
              </w:rPr>
            </w:pPr>
            <w:r>
              <w:rPr>
                <w:spacing w:val="-10"/>
                <w:sz w:val="24"/>
              </w:rPr>
              <w:t>3</w:t>
            </w:r>
          </w:p>
        </w:tc>
        <w:tc>
          <w:tcPr>
            <w:tcW w:w="1251" w:type="dxa"/>
          </w:tcPr>
          <w:p>
            <w:pPr>
              <w:pStyle w:val="TableParagraph"/>
              <w:spacing w:before="152"/>
              <w:ind w:left="107"/>
              <w:rPr>
                <w:sz w:val="24"/>
              </w:rPr>
            </w:pPr>
            <w:r>
              <w:rPr>
                <w:spacing w:val="-10"/>
                <w:sz w:val="24"/>
              </w:rPr>
              <w:t>2</w:t>
            </w:r>
          </w:p>
        </w:tc>
        <w:tc>
          <w:tcPr>
            <w:tcW w:w="1302" w:type="dxa"/>
          </w:tcPr>
          <w:p>
            <w:pPr>
              <w:pStyle w:val="TableParagraph"/>
              <w:spacing w:before="152"/>
              <w:ind w:left="106"/>
              <w:rPr>
                <w:sz w:val="24"/>
              </w:rPr>
            </w:pPr>
            <w:r>
              <w:rPr>
                <w:spacing w:val="-10"/>
                <w:sz w:val="24"/>
              </w:rPr>
              <w:t>1</w:t>
            </w:r>
          </w:p>
        </w:tc>
        <w:tc>
          <w:tcPr>
            <w:tcW w:w="1270" w:type="dxa"/>
          </w:tcPr>
          <w:p>
            <w:pPr>
              <w:pStyle w:val="TableParagraph"/>
              <w:spacing w:before="152"/>
              <w:ind w:left="103"/>
              <w:rPr>
                <w:sz w:val="24"/>
              </w:rPr>
            </w:pPr>
            <w:r>
              <w:rPr>
                <w:spacing w:val="-10"/>
                <w:sz w:val="24"/>
              </w:rPr>
              <w:t>0</w:t>
            </w:r>
          </w:p>
        </w:tc>
      </w:tr>
      <w:tr>
        <w:trPr>
          <w:trHeight w:val="1151" w:hRule="atLeast"/>
        </w:trPr>
        <w:tc>
          <w:tcPr>
            <w:tcW w:w="497" w:type="dxa"/>
          </w:tcPr>
          <w:p>
            <w:pPr>
              <w:pStyle w:val="TableParagraph"/>
              <w:spacing w:line="271" w:lineRule="exact"/>
              <w:ind w:left="107"/>
              <w:rPr>
                <w:sz w:val="24"/>
              </w:rPr>
            </w:pPr>
            <w:r>
              <w:rPr>
                <w:spacing w:val="-10"/>
                <w:sz w:val="24"/>
              </w:rPr>
              <w:t>5</w:t>
            </w:r>
          </w:p>
        </w:tc>
        <w:tc>
          <w:tcPr>
            <w:tcW w:w="3610" w:type="dxa"/>
          </w:tcPr>
          <w:p>
            <w:pPr>
              <w:pStyle w:val="TableParagraph"/>
              <w:spacing w:line="276" w:lineRule="auto"/>
              <w:ind w:left="105"/>
              <w:rPr>
                <w:sz w:val="24"/>
              </w:rPr>
            </w:pPr>
            <w:r>
              <w:rPr>
                <w:sz w:val="24"/>
              </w:rPr>
              <w:t>Самостоятельно работает в соответствии</w:t>
            </w:r>
            <w:r>
              <w:rPr>
                <w:spacing w:val="-15"/>
                <w:sz w:val="24"/>
              </w:rPr>
              <w:t> </w:t>
            </w:r>
            <w:r>
              <w:rPr>
                <w:sz w:val="24"/>
              </w:rPr>
              <w:t>с</w:t>
            </w:r>
            <w:r>
              <w:rPr>
                <w:spacing w:val="-15"/>
                <w:sz w:val="24"/>
              </w:rPr>
              <w:t> </w:t>
            </w:r>
            <w:r>
              <w:rPr>
                <w:sz w:val="24"/>
              </w:rPr>
              <w:t>требованиями </w:t>
            </w:r>
            <w:r>
              <w:rPr>
                <w:spacing w:val="-2"/>
                <w:sz w:val="24"/>
              </w:rPr>
              <w:t>учителя</w:t>
            </w:r>
          </w:p>
        </w:tc>
        <w:tc>
          <w:tcPr>
            <w:tcW w:w="1419" w:type="dxa"/>
          </w:tcPr>
          <w:p>
            <w:pPr>
              <w:pStyle w:val="TableParagraph"/>
              <w:spacing w:before="35"/>
              <w:rPr>
                <w:i/>
                <w:sz w:val="24"/>
              </w:rPr>
            </w:pPr>
          </w:p>
          <w:p>
            <w:pPr>
              <w:pStyle w:val="TableParagraph"/>
              <w:ind w:left="107"/>
              <w:rPr>
                <w:sz w:val="24"/>
              </w:rPr>
            </w:pPr>
            <w:r>
              <w:rPr>
                <w:spacing w:val="-10"/>
                <w:sz w:val="24"/>
              </w:rPr>
              <w:t>3</w:t>
            </w:r>
          </w:p>
        </w:tc>
        <w:tc>
          <w:tcPr>
            <w:tcW w:w="1251" w:type="dxa"/>
          </w:tcPr>
          <w:p>
            <w:pPr>
              <w:pStyle w:val="TableParagraph"/>
              <w:spacing w:before="35"/>
              <w:rPr>
                <w:i/>
                <w:sz w:val="24"/>
              </w:rPr>
            </w:pPr>
          </w:p>
          <w:p>
            <w:pPr>
              <w:pStyle w:val="TableParagraph"/>
              <w:ind w:left="107"/>
              <w:rPr>
                <w:sz w:val="24"/>
              </w:rPr>
            </w:pPr>
            <w:r>
              <w:rPr>
                <w:spacing w:val="-10"/>
                <w:sz w:val="24"/>
              </w:rPr>
              <w:t>2</w:t>
            </w:r>
          </w:p>
        </w:tc>
        <w:tc>
          <w:tcPr>
            <w:tcW w:w="1302" w:type="dxa"/>
          </w:tcPr>
          <w:p>
            <w:pPr>
              <w:pStyle w:val="TableParagraph"/>
              <w:spacing w:before="35"/>
              <w:rPr>
                <w:i/>
                <w:sz w:val="24"/>
              </w:rPr>
            </w:pPr>
          </w:p>
          <w:p>
            <w:pPr>
              <w:pStyle w:val="TableParagraph"/>
              <w:ind w:left="106"/>
              <w:rPr>
                <w:sz w:val="24"/>
              </w:rPr>
            </w:pPr>
            <w:r>
              <w:rPr>
                <w:spacing w:val="-10"/>
                <w:sz w:val="24"/>
              </w:rPr>
              <w:t>1</w:t>
            </w:r>
          </w:p>
        </w:tc>
        <w:tc>
          <w:tcPr>
            <w:tcW w:w="1270" w:type="dxa"/>
          </w:tcPr>
          <w:p>
            <w:pPr>
              <w:pStyle w:val="TableParagraph"/>
              <w:spacing w:before="35"/>
              <w:rPr>
                <w:i/>
                <w:sz w:val="24"/>
              </w:rPr>
            </w:pPr>
          </w:p>
          <w:p>
            <w:pPr>
              <w:pStyle w:val="TableParagraph"/>
              <w:ind w:left="103"/>
              <w:rPr>
                <w:sz w:val="24"/>
              </w:rPr>
            </w:pPr>
            <w:r>
              <w:rPr>
                <w:spacing w:val="-10"/>
                <w:sz w:val="24"/>
              </w:rPr>
              <w:t>0</w:t>
            </w:r>
          </w:p>
        </w:tc>
      </w:tr>
      <w:tr>
        <w:trPr>
          <w:trHeight w:val="834" w:hRule="atLeast"/>
        </w:trPr>
        <w:tc>
          <w:tcPr>
            <w:tcW w:w="497" w:type="dxa"/>
          </w:tcPr>
          <w:p>
            <w:pPr>
              <w:pStyle w:val="TableParagraph"/>
              <w:spacing w:line="270" w:lineRule="exact"/>
              <w:ind w:left="107"/>
              <w:rPr>
                <w:sz w:val="24"/>
              </w:rPr>
            </w:pPr>
            <w:r>
              <w:rPr>
                <w:spacing w:val="-10"/>
                <w:sz w:val="24"/>
              </w:rPr>
              <w:t>6</w:t>
            </w:r>
          </w:p>
        </w:tc>
        <w:tc>
          <w:tcPr>
            <w:tcW w:w="3610" w:type="dxa"/>
          </w:tcPr>
          <w:p>
            <w:pPr>
              <w:pStyle w:val="TableParagraph"/>
              <w:spacing w:line="276" w:lineRule="auto"/>
              <w:ind w:left="105"/>
              <w:rPr>
                <w:sz w:val="24"/>
              </w:rPr>
            </w:pPr>
            <w:r>
              <w:rPr>
                <w:sz w:val="24"/>
              </w:rPr>
              <w:t>Выполняет</w:t>
            </w:r>
            <w:r>
              <w:rPr>
                <w:spacing w:val="-13"/>
                <w:sz w:val="24"/>
              </w:rPr>
              <w:t> </w:t>
            </w:r>
            <w:r>
              <w:rPr>
                <w:sz w:val="24"/>
              </w:rPr>
              <w:t>домашнее</w:t>
            </w:r>
            <w:r>
              <w:rPr>
                <w:spacing w:val="-14"/>
                <w:sz w:val="24"/>
              </w:rPr>
              <w:t> </w:t>
            </w:r>
            <w:r>
              <w:rPr>
                <w:sz w:val="24"/>
              </w:rPr>
              <w:t>задание</w:t>
            </w:r>
            <w:r>
              <w:rPr>
                <w:spacing w:val="-14"/>
                <w:sz w:val="24"/>
              </w:rPr>
              <w:t> </w:t>
            </w:r>
            <w:r>
              <w:rPr>
                <w:sz w:val="24"/>
              </w:rPr>
              <w:t>в соответствии с требованиями</w:t>
            </w:r>
          </w:p>
        </w:tc>
        <w:tc>
          <w:tcPr>
            <w:tcW w:w="1419" w:type="dxa"/>
          </w:tcPr>
          <w:p>
            <w:pPr>
              <w:pStyle w:val="TableParagraph"/>
              <w:spacing w:before="152"/>
              <w:ind w:left="107"/>
              <w:rPr>
                <w:sz w:val="24"/>
              </w:rPr>
            </w:pPr>
            <w:r>
              <w:rPr>
                <w:spacing w:val="-10"/>
                <w:sz w:val="24"/>
              </w:rPr>
              <w:t>3</w:t>
            </w:r>
          </w:p>
        </w:tc>
        <w:tc>
          <w:tcPr>
            <w:tcW w:w="1251" w:type="dxa"/>
          </w:tcPr>
          <w:p>
            <w:pPr>
              <w:pStyle w:val="TableParagraph"/>
              <w:spacing w:before="152"/>
              <w:ind w:left="107"/>
              <w:rPr>
                <w:sz w:val="24"/>
              </w:rPr>
            </w:pPr>
            <w:r>
              <w:rPr>
                <w:spacing w:val="-10"/>
                <w:sz w:val="24"/>
              </w:rPr>
              <w:t>2</w:t>
            </w:r>
          </w:p>
        </w:tc>
        <w:tc>
          <w:tcPr>
            <w:tcW w:w="1302" w:type="dxa"/>
          </w:tcPr>
          <w:p>
            <w:pPr>
              <w:pStyle w:val="TableParagraph"/>
              <w:spacing w:before="152"/>
              <w:ind w:left="106"/>
              <w:rPr>
                <w:sz w:val="24"/>
              </w:rPr>
            </w:pPr>
            <w:r>
              <w:rPr>
                <w:spacing w:val="-10"/>
                <w:sz w:val="24"/>
              </w:rPr>
              <w:t>1</w:t>
            </w:r>
          </w:p>
        </w:tc>
        <w:tc>
          <w:tcPr>
            <w:tcW w:w="1270" w:type="dxa"/>
          </w:tcPr>
          <w:p>
            <w:pPr>
              <w:pStyle w:val="TableParagraph"/>
              <w:spacing w:before="152"/>
              <w:ind w:left="103"/>
              <w:rPr>
                <w:sz w:val="24"/>
              </w:rPr>
            </w:pPr>
            <w:r>
              <w:rPr>
                <w:spacing w:val="-10"/>
                <w:sz w:val="24"/>
              </w:rPr>
              <w:t>0</w:t>
            </w:r>
          </w:p>
        </w:tc>
      </w:tr>
      <w:tr>
        <w:trPr>
          <w:trHeight w:val="517" w:hRule="atLeast"/>
        </w:trPr>
        <w:tc>
          <w:tcPr>
            <w:tcW w:w="9349" w:type="dxa"/>
            <w:gridSpan w:val="6"/>
          </w:tcPr>
          <w:p>
            <w:pPr>
              <w:pStyle w:val="TableParagraph"/>
              <w:spacing w:line="275" w:lineRule="exact"/>
              <w:ind w:left="6"/>
              <w:jc w:val="center"/>
              <w:rPr>
                <w:b/>
                <w:i/>
                <w:sz w:val="24"/>
              </w:rPr>
            </w:pPr>
            <w:r>
              <w:rPr>
                <w:b/>
                <w:i/>
                <w:sz w:val="24"/>
              </w:rPr>
              <w:t>Взаимодействие</w:t>
            </w:r>
            <w:r>
              <w:rPr>
                <w:b/>
                <w:i/>
                <w:spacing w:val="-4"/>
                <w:sz w:val="24"/>
              </w:rPr>
              <w:t> </w:t>
            </w:r>
            <w:r>
              <w:rPr>
                <w:b/>
                <w:i/>
                <w:sz w:val="24"/>
              </w:rPr>
              <w:t>с</w:t>
            </w:r>
            <w:r>
              <w:rPr>
                <w:b/>
                <w:i/>
                <w:spacing w:val="-4"/>
                <w:sz w:val="24"/>
              </w:rPr>
              <w:t> </w:t>
            </w:r>
            <w:r>
              <w:rPr>
                <w:b/>
                <w:i/>
                <w:spacing w:val="-2"/>
                <w:sz w:val="24"/>
              </w:rPr>
              <w:t>ровесниками</w:t>
            </w:r>
          </w:p>
        </w:tc>
      </w:tr>
      <w:tr>
        <w:trPr>
          <w:trHeight w:val="1152" w:hRule="atLeast"/>
        </w:trPr>
        <w:tc>
          <w:tcPr>
            <w:tcW w:w="497" w:type="dxa"/>
          </w:tcPr>
          <w:p>
            <w:pPr>
              <w:pStyle w:val="TableParagraph"/>
              <w:spacing w:line="270" w:lineRule="exact"/>
              <w:ind w:left="107"/>
              <w:rPr>
                <w:sz w:val="24"/>
              </w:rPr>
            </w:pPr>
            <w:r>
              <w:rPr>
                <w:spacing w:val="-10"/>
                <w:sz w:val="24"/>
              </w:rPr>
              <w:t>1</w:t>
            </w:r>
          </w:p>
        </w:tc>
        <w:tc>
          <w:tcPr>
            <w:tcW w:w="3610" w:type="dxa"/>
          </w:tcPr>
          <w:p>
            <w:pPr>
              <w:pStyle w:val="TableParagraph"/>
              <w:spacing w:line="276" w:lineRule="auto"/>
              <w:ind w:left="105" w:right="99"/>
              <w:rPr>
                <w:sz w:val="24"/>
              </w:rPr>
            </w:pPr>
            <w:r>
              <w:rPr>
                <w:sz w:val="24"/>
              </w:rPr>
              <w:t>Сотрудничает с одноклассниками при выполнении</w:t>
            </w:r>
            <w:r>
              <w:rPr>
                <w:spacing w:val="-15"/>
                <w:sz w:val="24"/>
              </w:rPr>
              <w:t> </w:t>
            </w:r>
            <w:r>
              <w:rPr>
                <w:sz w:val="24"/>
              </w:rPr>
              <w:t>групповых</w:t>
            </w:r>
            <w:r>
              <w:rPr>
                <w:spacing w:val="-15"/>
                <w:sz w:val="24"/>
              </w:rPr>
              <w:t> </w:t>
            </w:r>
            <w:r>
              <w:rPr>
                <w:sz w:val="24"/>
              </w:rPr>
              <w:t>заданий</w:t>
            </w:r>
          </w:p>
        </w:tc>
        <w:tc>
          <w:tcPr>
            <w:tcW w:w="1419" w:type="dxa"/>
          </w:tcPr>
          <w:p>
            <w:pPr>
              <w:pStyle w:val="TableParagraph"/>
              <w:spacing w:before="34"/>
              <w:rPr>
                <w:i/>
                <w:sz w:val="24"/>
              </w:rPr>
            </w:pPr>
          </w:p>
          <w:p>
            <w:pPr>
              <w:pStyle w:val="TableParagraph"/>
              <w:spacing w:before="1"/>
              <w:ind w:left="107"/>
              <w:rPr>
                <w:sz w:val="24"/>
              </w:rPr>
            </w:pPr>
            <w:r>
              <w:rPr>
                <w:spacing w:val="-10"/>
                <w:sz w:val="24"/>
              </w:rPr>
              <w:t>3</w:t>
            </w:r>
          </w:p>
        </w:tc>
        <w:tc>
          <w:tcPr>
            <w:tcW w:w="1251" w:type="dxa"/>
          </w:tcPr>
          <w:p>
            <w:pPr>
              <w:pStyle w:val="TableParagraph"/>
              <w:spacing w:before="34"/>
              <w:rPr>
                <w:i/>
                <w:sz w:val="24"/>
              </w:rPr>
            </w:pPr>
          </w:p>
          <w:p>
            <w:pPr>
              <w:pStyle w:val="TableParagraph"/>
              <w:spacing w:before="1"/>
              <w:ind w:left="107"/>
              <w:rPr>
                <w:sz w:val="24"/>
              </w:rPr>
            </w:pPr>
            <w:r>
              <w:rPr>
                <w:spacing w:val="-10"/>
                <w:sz w:val="24"/>
              </w:rPr>
              <w:t>2</w:t>
            </w:r>
          </w:p>
        </w:tc>
        <w:tc>
          <w:tcPr>
            <w:tcW w:w="1302" w:type="dxa"/>
          </w:tcPr>
          <w:p>
            <w:pPr>
              <w:pStyle w:val="TableParagraph"/>
              <w:spacing w:before="34"/>
              <w:rPr>
                <w:i/>
                <w:sz w:val="24"/>
              </w:rPr>
            </w:pPr>
          </w:p>
          <w:p>
            <w:pPr>
              <w:pStyle w:val="TableParagraph"/>
              <w:spacing w:before="1"/>
              <w:ind w:left="106"/>
              <w:rPr>
                <w:sz w:val="24"/>
              </w:rPr>
            </w:pPr>
            <w:r>
              <w:rPr>
                <w:spacing w:val="-10"/>
                <w:sz w:val="24"/>
              </w:rPr>
              <w:t>1</w:t>
            </w:r>
          </w:p>
        </w:tc>
        <w:tc>
          <w:tcPr>
            <w:tcW w:w="1270" w:type="dxa"/>
          </w:tcPr>
          <w:p>
            <w:pPr>
              <w:pStyle w:val="TableParagraph"/>
              <w:spacing w:before="34"/>
              <w:rPr>
                <w:i/>
                <w:sz w:val="24"/>
              </w:rPr>
            </w:pPr>
          </w:p>
          <w:p>
            <w:pPr>
              <w:pStyle w:val="TableParagraph"/>
              <w:spacing w:before="1"/>
              <w:ind w:left="103"/>
              <w:rPr>
                <w:sz w:val="24"/>
              </w:rPr>
            </w:pPr>
            <w:r>
              <w:rPr>
                <w:spacing w:val="-10"/>
                <w:sz w:val="24"/>
              </w:rPr>
              <w:t>0</w:t>
            </w:r>
          </w:p>
        </w:tc>
      </w:tr>
      <w:tr>
        <w:trPr>
          <w:trHeight w:val="834" w:hRule="atLeast"/>
        </w:trPr>
        <w:tc>
          <w:tcPr>
            <w:tcW w:w="497" w:type="dxa"/>
          </w:tcPr>
          <w:p>
            <w:pPr>
              <w:pStyle w:val="TableParagraph"/>
              <w:spacing w:line="270" w:lineRule="exact"/>
              <w:ind w:left="107"/>
              <w:rPr>
                <w:sz w:val="24"/>
              </w:rPr>
            </w:pPr>
            <w:r>
              <w:rPr>
                <w:spacing w:val="-10"/>
                <w:sz w:val="24"/>
              </w:rPr>
              <w:t>2</w:t>
            </w:r>
          </w:p>
        </w:tc>
        <w:tc>
          <w:tcPr>
            <w:tcW w:w="3610" w:type="dxa"/>
          </w:tcPr>
          <w:p>
            <w:pPr>
              <w:pStyle w:val="TableParagraph"/>
              <w:spacing w:line="276" w:lineRule="auto"/>
              <w:ind w:left="105"/>
              <w:rPr>
                <w:sz w:val="24"/>
              </w:rPr>
            </w:pPr>
            <w:r>
              <w:rPr>
                <w:sz w:val="24"/>
              </w:rPr>
              <w:t>Обращается</w:t>
            </w:r>
            <w:r>
              <w:rPr>
                <w:spacing w:val="-13"/>
                <w:sz w:val="24"/>
              </w:rPr>
              <w:t> </w:t>
            </w:r>
            <w:r>
              <w:rPr>
                <w:sz w:val="24"/>
              </w:rPr>
              <w:t>к</w:t>
            </w:r>
            <w:r>
              <w:rPr>
                <w:spacing w:val="-13"/>
                <w:sz w:val="24"/>
              </w:rPr>
              <w:t> </w:t>
            </w:r>
            <w:r>
              <w:rPr>
                <w:sz w:val="24"/>
              </w:rPr>
              <w:t>ровесникам</w:t>
            </w:r>
            <w:r>
              <w:rPr>
                <w:spacing w:val="-14"/>
                <w:sz w:val="24"/>
              </w:rPr>
              <w:t> </w:t>
            </w:r>
            <w:r>
              <w:rPr>
                <w:sz w:val="24"/>
              </w:rPr>
              <w:t>за </w:t>
            </w:r>
            <w:r>
              <w:rPr>
                <w:spacing w:val="-2"/>
                <w:sz w:val="24"/>
              </w:rPr>
              <w:t>помощью</w:t>
            </w:r>
          </w:p>
        </w:tc>
        <w:tc>
          <w:tcPr>
            <w:tcW w:w="1419" w:type="dxa"/>
          </w:tcPr>
          <w:p>
            <w:pPr>
              <w:pStyle w:val="TableParagraph"/>
              <w:spacing w:before="152"/>
              <w:ind w:left="107"/>
              <w:rPr>
                <w:sz w:val="24"/>
              </w:rPr>
            </w:pPr>
            <w:r>
              <w:rPr>
                <w:spacing w:val="-10"/>
                <w:sz w:val="24"/>
              </w:rPr>
              <w:t>3</w:t>
            </w:r>
          </w:p>
        </w:tc>
        <w:tc>
          <w:tcPr>
            <w:tcW w:w="1251" w:type="dxa"/>
          </w:tcPr>
          <w:p>
            <w:pPr>
              <w:pStyle w:val="TableParagraph"/>
              <w:spacing w:before="152"/>
              <w:ind w:left="107"/>
              <w:rPr>
                <w:sz w:val="24"/>
              </w:rPr>
            </w:pPr>
            <w:r>
              <w:rPr>
                <w:spacing w:val="-10"/>
                <w:sz w:val="24"/>
              </w:rPr>
              <w:t>2</w:t>
            </w:r>
          </w:p>
        </w:tc>
        <w:tc>
          <w:tcPr>
            <w:tcW w:w="1302" w:type="dxa"/>
          </w:tcPr>
          <w:p>
            <w:pPr>
              <w:pStyle w:val="TableParagraph"/>
              <w:spacing w:before="152"/>
              <w:ind w:left="106"/>
              <w:rPr>
                <w:sz w:val="24"/>
              </w:rPr>
            </w:pPr>
            <w:r>
              <w:rPr>
                <w:spacing w:val="-10"/>
                <w:sz w:val="24"/>
              </w:rPr>
              <w:t>1</w:t>
            </w:r>
          </w:p>
        </w:tc>
        <w:tc>
          <w:tcPr>
            <w:tcW w:w="1270" w:type="dxa"/>
          </w:tcPr>
          <w:p>
            <w:pPr>
              <w:pStyle w:val="TableParagraph"/>
              <w:spacing w:before="152"/>
              <w:ind w:left="103"/>
              <w:rPr>
                <w:sz w:val="24"/>
              </w:rPr>
            </w:pPr>
            <w:r>
              <w:rPr>
                <w:spacing w:val="-10"/>
                <w:sz w:val="24"/>
              </w:rPr>
              <w:t>0</w:t>
            </w:r>
          </w:p>
        </w:tc>
      </w:tr>
      <w:tr>
        <w:trPr>
          <w:trHeight w:val="834" w:hRule="atLeast"/>
        </w:trPr>
        <w:tc>
          <w:tcPr>
            <w:tcW w:w="497" w:type="dxa"/>
          </w:tcPr>
          <w:p>
            <w:pPr>
              <w:pStyle w:val="TableParagraph"/>
              <w:spacing w:line="270" w:lineRule="exact"/>
              <w:ind w:left="107"/>
              <w:rPr>
                <w:sz w:val="24"/>
              </w:rPr>
            </w:pPr>
            <w:r>
              <w:rPr>
                <w:spacing w:val="-10"/>
                <w:sz w:val="24"/>
              </w:rPr>
              <w:t>3</w:t>
            </w:r>
          </w:p>
        </w:tc>
        <w:tc>
          <w:tcPr>
            <w:tcW w:w="3610" w:type="dxa"/>
          </w:tcPr>
          <w:p>
            <w:pPr>
              <w:pStyle w:val="TableParagraph"/>
              <w:spacing w:line="276" w:lineRule="auto"/>
              <w:ind w:left="105"/>
              <w:rPr>
                <w:sz w:val="24"/>
              </w:rPr>
            </w:pPr>
            <w:r>
              <w:rPr>
                <w:sz w:val="24"/>
              </w:rPr>
              <w:t>Поддерживает</w:t>
            </w:r>
            <w:r>
              <w:rPr>
                <w:spacing w:val="-15"/>
                <w:sz w:val="24"/>
              </w:rPr>
              <w:t> </w:t>
            </w:r>
            <w:r>
              <w:rPr>
                <w:sz w:val="24"/>
              </w:rPr>
              <w:t>разговор</w:t>
            </w:r>
            <w:r>
              <w:rPr>
                <w:spacing w:val="-15"/>
                <w:sz w:val="24"/>
              </w:rPr>
              <w:t> </w:t>
            </w:r>
            <w:r>
              <w:rPr>
                <w:sz w:val="24"/>
              </w:rPr>
              <w:t>с </w:t>
            </w:r>
            <w:r>
              <w:rPr>
                <w:spacing w:val="-2"/>
                <w:sz w:val="24"/>
              </w:rPr>
              <w:t>ровесниками</w:t>
            </w:r>
          </w:p>
        </w:tc>
        <w:tc>
          <w:tcPr>
            <w:tcW w:w="1419" w:type="dxa"/>
          </w:tcPr>
          <w:p>
            <w:pPr>
              <w:pStyle w:val="TableParagraph"/>
              <w:spacing w:before="152"/>
              <w:ind w:left="107"/>
              <w:rPr>
                <w:sz w:val="24"/>
              </w:rPr>
            </w:pPr>
            <w:r>
              <w:rPr>
                <w:spacing w:val="-10"/>
                <w:sz w:val="24"/>
              </w:rPr>
              <w:t>3</w:t>
            </w:r>
          </w:p>
        </w:tc>
        <w:tc>
          <w:tcPr>
            <w:tcW w:w="1251" w:type="dxa"/>
          </w:tcPr>
          <w:p>
            <w:pPr>
              <w:pStyle w:val="TableParagraph"/>
              <w:spacing w:before="152"/>
              <w:ind w:left="107"/>
              <w:rPr>
                <w:sz w:val="24"/>
              </w:rPr>
            </w:pPr>
            <w:r>
              <w:rPr>
                <w:spacing w:val="-10"/>
                <w:sz w:val="24"/>
              </w:rPr>
              <w:t>2</w:t>
            </w:r>
          </w:p>
        </w:tc>
        <w:tc>
          <w:tcPr>
            <w:tcW w:w="1302" w:type="dxa"/>
          </w:tcPr>
          <w:p>
            <w:pPr>
              <w:pStyle w:val="TableParagraph"/>
              <w:spacing w:before="152"/>
              <w:ind w:left="106"/>
              <w:rPr>
                <w:sz w:val="24"/>
              </w:rPr>
            </w:pPr>
            <w:r>
              <w:rPr>
                <w:spacing w:val="-10"/>
                <w:sz w:val="24"/>
              </w:rPr>
              <w:t>1</w:t>
            </w:r>
          </w:p>
        </w:tc>
        <w:tc>
          <w:tcPr>
            <w:tcW w:w="1270" w:type="dxa"/>
          </w:tcPr>
          <w:p>
            <w:pPr>
              <w:pStyle w:val="TableParagraph"/>
              <w:spacing w:before="152"/>
              <w:ind w:left="103"/>
              <w:rPr>
                <w:sz w:val="24"/>
              </w:rPr>
            </w:pPr>
            <w:r>
              <w:rPr>
                <w:spacing w:val="-10"/>
                <w:sz w:val="24"/>
              </w:rPr>
              <w:t>0</w:t>
            </w:r>
          </w:p>
        </w:tc>
      </w:tr>
      <w:tr>
        <w:trPr>
          <w:trHeight w:val="1152" w:hRule="atLeast"/>
        </w:trPr>
        <w:tc>
          <w:tcPr>
            <w:tcW w:w="497" w:type="dxa"/>
          </w:tcPr>
          <w:p>
            <w:pPr>
              <w:pStyle w:val="TableParagraph"/>
              <w:spacing w:line="270" w:lineRule="exact"/>
              <w:ind w:left="107"/>
              <w:rPr>
                <w:sz w:val="24"/>
              </w:rPr>
            </w:pPr>
            <w:r>
              <w:rPr>
                <w:spacing w:val="-10"/>
                <w:sz w:val="24"/>
              </w:rPr>
              <w:t>4</w:t>
            </w:r>
          </w:p>
        </w:tc>
        <w:tc>
          <w:tcPr>
            <w:tcW w:w="3610" w:type="dxa"/>
          </w:tcPr>
          <w:p>
            <w:pPr>
              <w:pStyle w:val="TableParagraph"/>
              <w:spacing w:line="276" w:lineRule="auto"/>
              <w:ind w:left="105"/>
              <w:rPr>
                <w:sz w:val="24"/>
              </w:rPr>
            </w:pPr>
            <w:r>
              <w:rPr>
                <w:sz w:val="24"/>
              </w:rPr>
              <w:t>Принимает</w:t>
            </w:r>
            <w:r>
              <w:rPr>
                <w:spacing w:val="-13"/>
                <w:sz w:val="24"/>
              </w:rPr>
              <w:t> </w:t>
            </w:r>
            <w:r>
              <w:rPr>
                <w:sz w:val="24"/>
              </w:rPr>
              <w:t>участие</w:t>
            </w:r>
            <w:r>
              <w:rPr>
                <w:spacing w:val="-15"/>
                <w:sz w:val="24"/>
              </w:rPr>
              <w:t> </w:t>
            </w:r>
            <w:r>
              <w:rPr>
                <w:sz w:val="24"/>
              </w:rPr>
              <w:t>в</w:t>
            </w:r>
            <w:r>
              <w:rPr>
                <w:spacing w:val="-15"/>
                <w:sz w:val="24"/>
              </w:rPr>
              <w:t> </w:t>
            </w:r>
            <w:r>
              <w:rPr>
                <w:sz w:val="24"/>
              </w:rPr>
              <w:t>общих активностях (играх и т.п.) с </w:t>
            </w:r>
            <w:r>
              <w:rPr>
                <w:spacing w:val="-2"/>
                <w:sz w:val="24"/>
              </w:rPr>
              <w:t>ровесниками</w:t>
            </w:r>
          </w:p>
        </w:tc>
        <w:tc>
          <w:tcPr>
            <w:tcW w:w="1419" w:type="dxa"/>
          </w:tcPr>
          <w:p>
            <w:pPr>
              <w:pStyle w:val="TableParagraph"/>
              <w:spacing w:before="34"/>
              <w:rPr>
                <w:i/>
                <w:sz w:val="24"/>
              </w:rPr>
            </w:pPr>
          </w:p>
          <w:p>
            <w:pPr>
              <w:pStyle w:val="TableParagraph"/>
              <w:spacing w:before="1"/>
              <w:ind w:left="107"/>
              <w:rPr>
                <w:sz w:val="24"/>
              </w:rPr>
            </w:pPr>
            <w:r>
              <w:rPr>
                <w:spacing w:val="-10"/>
                <w:sz w:val="24"/>
              </w:rPr>
              <w:t>3</w:t>
            </w:r>
          </w:p>
        </w:tc>
        <w:tc>
          <w:tcPr>
            <w:tcW w:w="1251" w:type="dxa"/>
          </w:tcPr>
          <w:p>
            <w:pPr>
              <w:pStyle w:val="TableParagraph"/>
              <w:spacing w:before="34"/>
              <w:rPr>
                <w:i/>
                <w:sz w:val="24"/>
              </w:rPr>
            </w:pPr>
          </w:p>
          <w:p>
            <w:pPr>
              <w:pStyle w:val="TableParagraph"/>
              <w:spacing w:before="1"/>
              <w:ind w:left="107"/>
              <w:rPr>
                <w:sz w:val="24"/>
              </w:rPr>
            </w:pPr>
            <w:r>
              <w:rPr>
                <w:spacing w:val="-10"/>
                <w:sz w:val="24"/>
              </w:rPr>
              <w:t>2</w:t>
            </w:r>
          </w:p>
        </w:tc>
        <w:tc>
          <w:tcPr>
            <w:tcW w:w="1302" w:type="dxa"/>
          </w:tcPr>
          <w:p>
            <w:pPr>
              <w:pStyle w:val="TableParagraph"/>
              <w:spacing w:before="34"/>
              <w:rPr>
                <w:i/>
                <w:sz w:val="24"/>
              </w:rPr>
            </w:pPr>
          </w:p>
          <w:p>
            <w:pPr>
              <w:pStyle w:val="TableParagraph"/>
              <w:spacing w:before="1"/>
              <w:ind w:left="106"/>
              <w:rPr>
                <w:sz w:val="24"/>
              </w:rPr>
            </w:pPr>
            <w:r>
              <w:rPr>
                <w:spacing w:val="-10"/>
                <w:sz w:val="24"/>
              </w:rPr>
              <w:t>1</w:t>
            </w:r>
          </w:p>
        </w:tc>
        <w:tc>
          <w:tcPr>
            <w:tcW w:w="1270" w:type="dxa"/>
          </w:tcPr>
          <w:p>
            <w:pPr>
              <w:pStyle w:val="TableParagraph"/>
              <w:spacing w:before="34"/>
              <w:rPr>
                <w:i/>
                <w:sz w:val="24"/>
              </w:rPr>
            </w:pPr>
          </w:p>
          <w:p>
            <w:pPr>
              <w:pStyle w:val="TableParagraph"/>
              <w:spacing w:before="1"/>
              <w:ind w:left="103"/>
              <w:rPr>
                <w:sz w:val="24"/>
              </w:rPr>
            </w:pPr>
            <w:r>
              <w:rPr>
                <w:spacing w:val="-10"/>
                <w:sz w:val="24"/>
              </w:rPr>
              <w:t>0</w:t>
            </w:r>
          </w:p>
        </w:tc>
      </w:tr>
      <w:tr>
        <w:trPr>
          <w:trHeight w:val="834" w:hRule="atLeast"/>
        </w:trPr>
        <w:tc>
          <w:tcPr>
            <w:tcW w:w="497" w:type="dxa"/>
          </w:tcPr>
          <w:p>
            <w:pPr>
              <w:pStyle w:val="TableParagraph"/>
              <w:spacing w:line="270" w:lineRule="exact"/>
              <w:ind w:left="107"/>
              <w:rPr>
                <w:sz w:val="24"/>
              </w:rPr>
            </w:pPr>
            <w:r>
              <w:rPr>
                <w:spacing w:val="-10"/>
                <w:sz w:val="24"/>
              </w:rPr>
              <w:t>5</w:t>
            </w:r>
          </w:p>
        </w:tc>
        <w:tc>
          <w:tcPr>
            <w:tcW w:w="3610" w:type="dxa"/>
          </w:tcPr>
          <w:p>
            <w:pPr>
              <w:pStyle w:val="TableParagraph"/>
              <w:spacing w:line="276" w:lineRule="auto"/>
              <w:ind w:left="105" w:right="99"/>
              <w:rPr>
                <w:sz w:val="24"/>
              </w:rPr>
            </w:pPr>
            <w:r>
              <w:rPr>
                <w:sz w:val="24"/>
              </w:rPr>
              <w:t>Может</w:t>
            </w:r>
            <w:r>
              <w:rPr>
                <w:spacing w:val="-15"/>
                <w:sz w:val="24"/>
              </w:rPr>
              <w:t> </w:t>
            </w:r>
            <w:r>
              <w:rPr>
                <w:sz w:val="24"/>
              </w:rPr>
              <w:t>сказать</w:t>
            </w:r>
            <w:r>
              <w:rPr>
                <w:spacing w:val="-9"/>
                <w:sz w:val="24"/>
              </w:rPr>
              <w:t> </w:t>
            </w:r>
            <w:r>
              <w:rPr>
                <w:sz w:val="24"/>
              </w:rPr>
              <w:t>«нет»</w:t>
            </w:r>
            <w:r>
              <w:rPr>
                <w:spacing w:val="-15"/>
                <w:sz w:val="24"/>
              </w:rPr>
              <w:t> </w:t>
            </w:r>
            <w:r>
              <w:rPr>
                <w:sz w:val="24"/>
              </w:rPr>
              <w:t>или отказать ровесникам</w:t>
            </w:r>
          </w:p>
        </w:tc>
        <w:tc>
          <w:tcPr>
            <w:tcW w:w="1419" w:type="dxa"/>
          </w:tcPr>
          <w:p>
            <w:pPr>
              <w:pStyle w:val="TableParagraph"/>
              <w:spacing w:before="152"/>
              <w:ind w:left="107"/>
              <w:rPr>
                <w:sz w:val="24"/>
              </w:rPr>
            </w:pPr>
            <w:r>
              <w:rPr>
                <w:spacing w:val="-10"/>
                <w:sz w:val="24"/>
              </w:rPr>
              <w:t>3</w:t>
            </w:r>
          </w:p>
        </w:tc>
        <w:tc>
          <w:tcPr>
            <w:tcW w:w="1251" w:type="dxa"/>
          </w:tcPr>
          <w:p>
            <w:pPr>
              <w:pStyle w:val="TableParagraph"/>
              <w:spacing w:before="152"/>
              <w:ind w:left="107"/>
              <w:rPr>
                <w:sz w:val="24"/>
              </w:rPr>
            </w:pPr>
            <w:r>
              <w:rPr>
                <w:spacing w:val="-10"/>
                <w:sz w:val="24"/>
              </w:rPr>
              <w:t>2</w:t>
            </w:r>
          </w:p>
        </w:tc>
        <w:tc>
          <w:tcPr>
            <w:tcW w:w="1302" w:type="dxa"/>
          </w:tcPr>
          <w:p>
            <w:pPr>
              <w:pStyle w:val="TableParagraph"/>
              <w:spacing w:before="152"/>
              <w:ind w:left="106"/>
              <w:rPr>
                <w:sz w:val="24"/>
              </w:rPr>
            </w:pPr>
            <w:r>
              <w:rPr>
                <w:spacing w:val="-10"/>
                <w:sz w:val="24"/>
              </w:rPr>
              <w:t>1</w:t>
            </w:r>
          </w:p>
        </w:tc>
        <w:tc>
          <w:tcPr>
            <w:tcW w:w="1270" w:type="dxa"/>
          </w:tcPr>
          <w:p>
            <w:pPr>
              <w:pStyle w:val="TableParagraph"/>
              <w:spacing w:before="152"/>
              <w:ind w:left="103"/>
              <w:rPr>
                <w:sz w:val="24"/>
              </w:rPr>
            </w:pPr>
            <w:r>
              <w:rPr>
                <w:spacing w:val="-10"/>
                <w:sz w:val="24"/>
              </w:rPr>
              <w:t>0</w:t>
            </w:r>
          </w:p>
        </w:tc>
      </w:tr>
    </w:tbl>
    <w:p>
      <w:pPr>
        <w:pStyle w:val="TableParagraph"/>
        <w:spacing w:after="0"/>
        <w:rPr>
          <w:sz w:val="24"/>
        </w:rPr>
        <w:sectPr>
          <w:pgSz w:w="11910" w:h="16840"/>
          <w:pgMar w:header="0" w:footer="970" w:top="1040" w:bottom="1220" w:left="1417" w:right="283"/>
        </w:sect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7"/>
        <w:gridCol w:w="3610"/>
        <w:gridCol w:w="1419"/>
        <w:gridCol w:w="1251"/>
        <w:gridCol w:w="1302"/>
        <w:gridCol w:w="1270"/>
      </w:tblGrid>
      <w:tr>
        <w:trPr>
          <w:trHeight w:val="835" w:hRule="atLeast"/>
        </w:trPr>
        <w:tc>
          <w:tcPr>
            <w:tcW w:w="497" w:type="dxa"/>
          </w:tcPr>
          <w:p>
            <w:pPr>
              <w:pStyle w:val="TableParagraph"/>
              <w:spacing w:line="273" w:lineRule="exact"/>
              <w:ind w:left="107"/>
              <w:rPr>
                <w:sz w:val="24"/>
              </w:rPr>
            </w:pPr>
            <w:r>
              <w:rPr>
                <w:spacing w:val="-10"/>
                <w:sz w:val="24"/>
              </w:rPr>
              <w:t>6</w:t>
            </w:r>
          </w:p>
        </w:tc>
        <w:tc>
          <w:tcPr>
            <w:tcW w:w="3610" w:type="dxa"/>
          </w:tcPr>
          <w:p>
            <w:pPr>
              <w:pStyle w:val="TableParagraph"/>
              <w:spacing w:line="276" w:lineRule="auto"/>
              <w:ind w:left="105"/>
              <w:rPr>
                <w:sz w:val="24"/>
              </w:rPr>
            </w:pPr>
            <w:r>
              <w:rPr>
                <w:sz w:val="24"/>
              </w:rPr>
              <w:t>Выражает</w:t>
            </w:r>
            <w:r>
              <w:rPr>
                <w:spacing w:val="-13"/>
                <w:sz w:val="24"/>
              </w:rPr>
              <w:t> </w:t>
            </w:r>
            <w:r>
              <w:rPr>
                <w:sz w:val="24"/>
              </w:rPr>
              <w:t>гнев</w:t>
            </w:r>
            <w:r>
              <w:rPr>
                <w:spacing w:val="-14"/>
                <w:sz w:val="24"/>
              </w:rPr>
              <w:t> </w:t>
            </w:r>
            <w:r>
              <w:rPr>
                <w:sz w:val="24"/>
              </w:rPr>
              <w:t>и</w:t>
            </w:r>
            <w:r>
              <w:rPr>
                <w:spacing w:val="-13"/>
                <w:sz w:val="24"/>
              </w:rPr>
              <w:t> </w:t>
            </w:r>
            <w:r>
              <w:rPr>
                <w:sz w:val="24"/>
              </w:rPr>
              <w:t>раздражение неагрессивным образом</w:t>
            </w:r>
          </w:p>
        </w:tc>
        <w:tc>
          <w:tcPr>
            <w:tcW w:w="1419" w:type="dxa"/>
          </w:tcPr>
          <w:p>
            <w:pPr>
              <w:pStyle w:val="TableParagraph"/>
              <w:spacing w:before="155"/>
              <w:ind w:left="107"/>
              <w:rPr>
                <w:sz w:val="24"/>
              </w:rPr>
            </w:pPr>
            <w:r>
              <w:rPr>
                <w:spacing w:val="-10"/>
                <w:sz w:val="24"/>
              </w:rPr>
              <w:t>3</w:t>
            </w:r>
          </w:p>
        </w:tc>
        <w:tc>
          <w:tcPr>
            <w:tcW w:w="1251" w:type="dxa"/>
          </w:tcPr>
          <w:p>
            <w:pPr>
              <w:pStyle w:val="TableParagraph"/>
              <w:spacing w:before="155"/>
              <w:ind w:left="107"/>
              <w:rPr>
                <w:sz w:val="24"/>
              </w:rPr>
            </w:pPr>
            <w:r>
              <w:rPr>
                <w:spacing w:val="-10"/>
                <w:sz w:val="24"/>
              </w:rPr>
              <w:t>2</w:t>
            </w:r>
          </w:p>
        </w:tc>
        <w:tc>
          <w:tcPr>
            <w:tcW w:w="1302" w:type="dxa"/>
          </w:tcPr>
          <w:p>
            <w:pPr>
              <w:pStyle w:val="TableParagraph"/>
              <w:spacing w:before="155"/>
              <w:ind w:left="106"/>
              <w:rPr>
                <w:sz w:val="24"/>
              </w:rPr>
            </w:pPr>
            <w:r>
              <w:rPr>
                <w:spacing w:val="-10"/>
                <w:sz w:val="24"/>
              </w:rPr>
              <w:t>1</w:t>
            </w:r>
          </w:p>
        </w:tc>
        <w:tc>
          <w:tcPr>
            <w:tcW w:w="1270" w:type="dxa"/>
          </w:tcPr>
          <w:p>
            <w:pPr>
              <w:pStyle w:val="TableParagraph"/>
              <w:spacing w:before="155"/>
              <w:ind w:left="103"/>
              <w:rPr>
                <w:sz w:val="24"/>
              </w:rPr>
            </w:pPr>
            <w:r>
              <w:rPr>
                <w:spacing w:val="-10"/>
                <w:sz w:val="24"/>
              </w:rPr>
              <w:t>0</w:t>
            </w:r>
          </w:p>
        </w:tc>
      </w:tr>
      <w:tr>
        <w:trPr>
          <w:trHeight w:val="517" w:hRule="atLeast"/>
        </w:trPr>
        <w:tc>
          <w:tcPr>
            <w:tcW w:w="9349" w:type="dxa"/>
            <w:gridSpan w:val="6"/>
          </w:tcPr>
          <w:p>
            <w:pPr>
              <w:pStyle w:val="TableParagraph"/>
              <w:spacing w:before="1"/>
              <w:ind w:left="6" w:right="4"/>
              <w:jc w:val="center"/>
              <w:rPr>
                <w:b/>
                <w:i/>
                <w:sz w:val="24"/>
              </w:rPr>
            </w:pPr>
            <w:r>
              <w:rPr>
                <w:b/>
                <w:i/>
                <w:sz w:val="24"/>
              </w:rPr>
              <w:t>Взаимодействие</w:t>
            </w:r>
            <w:r>
              <w:rPr>
                <w:b/>
                <w:i/>
                <w:spacing w:val="-5"/>
                <w:sz w:val="24"/>
              </w:rPr>
              <w:t> </w:t>
            </w:r>
            <w:r>
              <w:rPr>
                <w:b/>
                <w:i/>
                <w:sz w:val="24"/>
              </w:rPr>
              <w:t>со</w:t>
            </w:r>
            <w:r>
              <w:rPr>
                <w:b/>
                <w:i/>
                <w:spacing w:val="-3"/>
                <w:sz w:val="24"/>
              </w:rPr>
              <w:t> </w:t>
            </w:r>
            <w:r>
              <w:rPr>
                <w:b/>
                <w:i/>
                <w:sz w:val="24"/>
              </w:rPr>
              <w:t>взрослыми</w:t>
            </w:r>
            <w:r>
              <w:rPr>
                <w:b/>
                <w:i/>
                <w:spacing w:val="-3"/>
                <w:sz w:val="24"/>
              </w:rPr>
              <w:t> </w:t>
            </w:r>
            <w:r>
              <w:rPr>
                <w:b/>
                <w:i/>
                <w:sz w:val="24"/>
              </w:rPr>
              <w:t>в</w:t>
            </w:r>
            <w:r>
              <w:rPr>
                <w:b/>
                <w:i/>
                <w:spacing w:val="-3"/>
                <w:sz w:val="24"/>
              </w:rPr>
              <w:t> </w:t>
            </w:r>
            <w:r>
              <w:rPr>
                <w:b/>
                <w:i/>
                <w:spacing w:val="-4"/>
                <w:sz w:val="24"/>
              </w:rPr>
              <w:t>школе</w:t>
            </w:r>
          </w:p>
        </w:tc>
      </w:tr>
      <w:tr>
        <w:trPr>
          <w:trHeight w:val="834" w:hRule="atLeast"/>
        </w:trPr>
        <w:tc>
          <w:tcPr>
            <w:tcW w:w="497" w:type="dxa"/>
          </w:tcPr>
          <w:p>
            <w:pPr>
              <w:pStyle w:val="TableParagraph"/>
              <w:spacing w:line="270" w:lineRule="exact"/>
              <w:ind w:left="107"/>
              <w:rPr>
                <w:sz w:val="24"/>
              </w:rPr>
            </w:pPr>
            <w:r>
              <w:rPr>
                <w:spacing w:val="-10"/>
                <w:sz w:val="24"/>
              </w:rPr>
              <w:t>1</w:t>
            </w:r>
          </w:p>
        </w:tc>
        <w:tc>
          <w:tcPr>
            <w:tcW w:w="3610" w:type="dxa"/>
          </w:tcPr>
          <w:p>
            <w:pPr>
              <w:pStyle w:val="TableParagraph"/>
              <w:spacing w:line="278" w:lineRule="auto"/>
              <w:ind w:left="105"/>
              <w:rPr>
                <w:sz w:val="24"/>
              </w:rPr>
            </w:pPr>
            <w:r>
              <w:rPr>
                <w:sz w:val="24"/>
              </w:rPr>
              <w:t>Здоровается с учителями и другими</w:t>
            </w:r>
            <w:r>
              <w:rPr>
                <w:spacing w:val="-15"/>
                <w:sz w:val="24"/>
              </w:rPr>
              <w:t> </w:t>
            </w:r>
            <w:r>
              <w:rPr>
                <w:sz w:val="24"/>
              </w:rPr>
              <w:t>сотрудниками</w:t>
            </w:r>
            <w:r>
              <w:rPr>
                <w:spacing w:val="-15"/>
                <w:sz w:val="24"/>
              </w:rPr>
              <w:t> </w:t>
            </w:r>
            <w:r>
              <w:rPr>
                <w:sz w:val="24"/>
              </w:rPr>
              <w:t>школы</w:t>
            </w:r>
          </w:p>
        </w:tc>
        <w:tc>
          <w:tcPr>
            <w:tcW w:w="1419" w:type="dxa"/>
          </w:tcPr>
          <w:p>
            <w:pPr>
              <w:pStyle w:val="TableParagraph"/>
              <w:spacing w:before="155"/>
              <w:ind w:left="107"/>
              <w:rPr>
                <w:sz w:val="24"/>
              </w:rPr>
            </w:pPr>
            <w:r>
              <w:rPr>
                <w:spacing w:val="-10"/>
                <w:sz w:val="24"/>
              </w:rPr>
              <w:t>3</w:t>
            </w:r>
          </w:p>
        </w:tc>
        <w:tc>
          <w:tcPr>
            <w:tcW w:w="1251" w:type="dxa"/>
          </w:tcPr>
          <w:p>
            <w:pPr>
              <w:pStyle w:val="TableParagraph"/>
              <w:spacing w:before="155"/>
              <w:ind w:left="107"/>
              <w:rPr>
                <w:sz w:val="24"/>
              </w:rPr>
            </w:pPr>
            <w:r>
              <w:rPr>
                <w:spacing w:val="-10"/>
                <w:sz w:val="24"/>
              </w:rPr>
              <w:t>2</w:t>
            </w:r>
          </w:p>
        </w:tc>
        <w:tc>
          <w:tcPr>
            <w:tcW w:w="1302" w:type="dxa"/>
          </w:tcPr>
          <w:p>
            <w:pPr>
              <w:pStyle w:val="TableParagraph"/>
              <w:spacing w:before="155"/>
              <w:ind w:left="106"/>
              <w:rPr>
                <w:sz w:val="24"/>
              </w:rPr>
            </w:pPr>
            <w:r>
              <w:rPr>
                <w:spacing w:val="-10"/>
                <w:sz w:val="24"/>
              </w:rPr>
              <w:t>1</w:t>
            </w:r>
          </w:p>
        </w:tc>
        <w:tc>
          <w:tcPr>
            <w:tcW w:w="1270" w:type="dxa"/>
          </w:tcPr>
          <w:p>
            <w:pPr>
              <w:pStyle w:val="TableParagraph"/>
              <w:spacing w:before="155"/>
              <w:ind w:left="103"/>
              <w:rPr>
                <w:sz w:val="24"/>
              </w:rPr>
            </w:pPr>
            <w:r>
              <w:rPr>
                <w:spacing w:val="-10"/>
                <w:sz w:val="24"/>
              </w:rPr>
              <w:t>0</w:t>
            </w:r>
          </w:p>
        </w:tc>
      </w:tr>
      <w:tr>
        <w:trPr>
          <w:trHeight w:val="1151" w:hRule="atLeast"/>
        </w:trPr>
        <w:tc>
          <w:tcPr>
            <w:tcW w:w="497" w:type="dxa"/>
          </w:tcPr>
          <w:p>
            <w:pPr>
              <w:pStyle w:val="TableParagraph"/>
              <w:spacing w:line="270" w:lineRule="exact"/>
              <w:ind w:left="107"/>
              <w:rPr>
                <w:sz w:val="24"/>
              </w:rPr>
            </w:pPr>
            <w:r>
              <w:rPr>
                <w:spacing w:val="-10"/>
                <w:sz w:val="24"/>
              </w:rPr>
              <w:t>2</w:t>
            </w:r>
          </w:p>
        </w:tc>
        <w:tc>
          <w:tcPr>
            <w:tcW w:w="3610" w:type="dxa"/>
          </w:tcPr>
          <w:p>
            <w:pPr>
              <w:pStyle w:val="TableParagraph"/>
              <w:spacing w:line="278" w:lineRule="auto"/>
              <w:ind w:left="105"/>
              <w:rPr>
                <w:sz w:val="24"/>
              </w:rPr>
            </w:pPr>
            <w:r>
              <w:rPr>
                <w:sz w:val="24"/>
              </w:rPr>
              <w:t>Использует</w:t>
            </w:r>
            <w:r>
              <w:rPr>
                <w:spacing w:val="-13"/>
                <w:sz w:val="24"/>
              </w:rPr>
              <w:t> </w:t>
            </w:r>
            <w:r>
              <w:rPr>
                <w:sz w:val="24"/>
              </w:rPr>
              <w:t>вежливые</w:t>
            </w:r>
            <w:r>
              <w:rPr>
                <w:spacing w:val="-12"/>
                <w:sz w:val="24"/>
              </w:rPr>
              <w:t> </w:t>
            </w:r>
            <w:r>
              <w:rPr>
                <w:sz w:val="24"/>
              </w:rPr>
              <w:t>слова</w:t>
            </w:r>
            <w:r>
              <w:rPr>
                <w:spacing w:val="-14"/>
                <w:sz w:val="24"/>
              </w:rPr>
              <w:t> </w:t>
            </w:r>
            <w:r>
              <w:rPr>
                <w:sz w:val="24"/>
              </w:rPr>
              <w:t>при общении («пожалуйста»,</w:t>
            </w:r>
          </w:p>
          <w:p>
            <w:pPr>
              <w:pStyle w:val="TableParagraph"/>
              <w:spacing w:line="272" w:lineRule="exact"/>
              <w:ind w:left="105"/>
              <w:rPr>
                <w:sz w:val="24"/>
              </w:rPr>
            </w:pPr>
            <w:r>
              <w:rPr>
                <w:sz w:val="24"/>
              </w:rPr>
              <w:t>«спасибо»</w:t>
            </w:r>
            <w:r>
              <w:rPr>
                <w:spacing w:val="-8"/>
                <w:sz w:val="24"/>
              </w:rPr>
              <w:t> </w:t>
            </w:r>
            <w:r>
              <w:rPr>
                <w:sz w:val="24"/>
              </w:rPr>
              <w:t>и </w:t>
            </w:r>
            <w:r>
              <w:rPr>
                <w:spacing w:val="-4"/>
                <w:sz w:val="24"/>
              </w:rPr>
              <w:t>др.)</w:t>
            </w:r>
          </w:p>
        </w:tc>
        <w:tc>
          <w:tcPr>
            <w:tcW w:w="1419" w:type="dxa"/>
          </w:tcPr>
          <w:p>
            <w:pPr>
              <w:pStyle w:val="TableParagraph"/>
              <w:spacing w:before="37"/>
              <w:rPr>
                <w:i/>
                <w:sz w:val="24"/>
              </w:rPr>
            </w:pPr>
          </w:p>
          <w:p>
            <w:pPr>
              <w:pStyle w:val="TableParagraph"/>
              <w:ind w:left="107"/>
              <w:rPr>
                <w:sz w:val="24"/>
              </w:rPr>
            </w:pPr>
            <w:r>
              <w:rPr>
                <w:spacing w:val="-10"/>
                <w:sz w:val="24"/>
              </w:rPr>
              <w:t>3</w:t>
            </w:r>
          </w:p>
        </w:tc>
        <w:tc>
          <w:tcPr>
            <w:tcW w:w="1251" w:type="dxa"/>
          </w:tcPr>
          <w:p>
            <w:pPr>
              <w:pStyle w:val="TableParagraph"/>
              <w:spacing w:before="37"/>
              <w:rPr>
                <w:i/>
                <w:sz w:val="24"/>
              </w:rPr>
            </w:pPr>
          </w:p>
          <w:p>
            <w:pPr>
              <w:pStyle w:val="TableParagraph"/>
              <w:ind w:left="107"/>
              <w:rPr>
                <w:sz w:val="24"/>
              </w:rPr>
            </w:pPr>
            <w:r>
              <w:rPr>
                <w:spacing w:val="-10"/>
                <w:sz w:val="24"/>
              </w:rPr>
              <w:t>2</w:t>
            </w:r>
          </w:p>
        </w:tc>
        <w:tc>
          <w:tcPr>
            <w:tcW w:w="1302" w:type="dxa"/>
          </w:tcPr>
          <w:p>
            <w:pPr>
              <w:pStyle w:val="TableParagraph"/>
              <w:spacing w:before="37"/>
              <w:rPr>
                <w:i/>
                <w:sz w:val="24"/>
              </w:rPr>
            </w:pPr>
          </w:p>
          <w:p>
            <w:pPr>
              <w:pStyle w:val="TableParagraph"/>
              <w:ind w:left="106"/>
              <w:rPr>
                <w:sz w:val="24"/>
              </w:rPr>
            </w:pPr>
            <w:r>
              <w:rPr>
                <w:spacing w:val="-10"/>
                <w:sz w:val="24"/>
              </w:rPr>
              <w:t>1</w:t>
            </w:r>
          </w:p>
        </w:tc>
        <w:tc>
          <w:tcPr>
            <w:tcW w:w="1270" w:type="dxa"/>
          </w:tcPr>
          <w:p>
            <w:pPr>
              <w:pStyle w:val="TableParagraph"/>
              <w:spacing w:before="37"/>
              <w:rPr>
                <w:i/>
                <w:sz w:val="24"/>
              </w:rPr>
            </w:pPr>
          </w:p>
          <w:p>
            <w:pPr>
              <w:pStyle w:val="TableParagraph"/>
              <w:ind w:left="103"/>
              <w:rPr>
                <w:sz w:val="24"/>
              </w:rPr>
            </w:pPr>
            <w:r>
              <w:rPr>
                <w:spacing w:val="-10"/>
                <w:sz w:val="24"/>
              </w:rPr>
              <w:t>0</w:t>
            </w:r>
          </w:p>
        </w:tc>
      </w:tr>
      <w:tr>
        <w:trPr>
          <w:trHeight w:val="837" w:hRule="atLeast"/>
        </w:trPr>
        <w:tc>
          <w:tcPr>
            <w:tcW w:w="497" w:type="dxa"/>
          </w:tcPr>
          <w:p>
            <w:pPr>
              <w:pStyle w:val="TableParagraph"/>
              <w:spacing w:line="273" w:lineRule="exact"/>
              <w:ind w:left="107"/>
              <w:rPr>
                <w:sz w:val="24"/>
              </w:rPr>
            </w:pPr>
            <w:r>
              <w:rPr>
                <w:spacing w:val="-10"/>
                <w:sz w:val="24"/>
              </w:rPr>
              <w:t>3</w:t>
            </w:r>
          </w:p>
        </w:tc>
        <w:tc>
          <w:tcPr>
            <w:tcW w:w="3610" w:type="dxa"/>
          </w:tcPr>
          <w:p>
            <w:pPr>
              <w:pStyle w:val="TableParagraph"/>
              <w:spacing w:line="276" w:lineRule="auto"/>
              <w:ind w:left="105" w:right="813"/>
              <w:rPr>
                <w:sz w:val="24"/>
              </w:rPr>
            </w:pPr>
            <w:r>
              <w:rPr>
                <w:sz w:val="24"/>
              </w:rPr>
              <w:t>Соблюдает требования школьной</w:t>
            </w:r>
            <w:r>
              <w:rPr>
                <w:spacing w:val="-15"/>
                <w:sz w:val="24"/>
              </w:rPr>
              <w:t> </w:t>
            </w:r>
            <w:r>
              <w:rPr>
                <w:sz w:val="24"/>
              </w:rPr>
              <w:t>администрации</w:t>
            </w:r>
          </w:p>
        </w:tc>
        <w:tc>
          <w:tcPr>
            <w:tcW w:w="1419" w:type="dxa"/>
          </w:tcPr>
          <w:p>
            <w:pPr>
              <w:pStyle w:val="TableParagraph"/>
              <w:spacing w:before="155"/>
              <w:ind w:left="107"/>
              <w:rPr>
                <w:sz w:val="24"/>
              </w:rPr>
            </w:pPr>
            <w:r>
              <w:rPr>
                <w:spacing w:val="-10"/>
                <w:sz w:val="24"/>
              </w:rPr>
              <w:t>3</w:t>
            </w:r>
          </w:p>
        </w:tc>
        <w:tc>
          <w:tcPr>
            <w:tcW w:w="1251" w:type="dxa"/>
          </w:tcPr>
          <w:p>
            <w:pPr>
              <w:pStyle w:val="TableParagraph"/>
              <w:spacing w:before="155"/>
              <w:ind w:left="107"/>
              <w:rPr>
                <w:sz w:val="24"/>
              </w:rPr>
            </w:pPr>
            <w:r>
              <w:rPr>
                <w:spacing w:val="-10"/>
                <w:sz w:val="24"/>
              </w:rPr>
              <w:t>2</w:t>
            </w:r>
          </w:p>
        </w:tc>
        <w:tc>
          <w:tcPr>
            <w:tcW w:w="1302" w:type="dxa"/>
          </w:tcPr>
          <w:p>
            <w:pPr>
              <w:pStyle w:val="TableParagraph"/>
              <w:spacing w:before="155"/>
              <w:ind w:left="106"/>
              <w:rPr>
                <w:sz w:val="24"/>
              </w:rPr>
            </w:pPr>
            <w:r>
              <w:rPr>
                <w:spacing w:val="-10"/>
                <w:sz w:val="24"/>
              </w:rPr>
              <w:t>1</w:t>
            </w:r>
          </w:p>
        </w:tc>
        <w:tc>
          <w:tcPr>
            <w:tcW w:w="1270" w:type="dxa"/>
          </w:tcPr>
          <w:p>
            <w:pPr>
              <w:pStyle w:val="TableParagraph"/>
              <w:spacing w:before="155"/>
              <w:ind w:left="103"/>
              <w:rPr>
                <w:sz w:val="24"/>
              </w:rPr>
            </w:pPr>
            <w:r>
              <w:rPr>
                <w:spacing w:val="-10"/>
                <w:sz w:val="24"/>
              </w:rPr>
              <w:t>0</w:t>
            </w:r>
          </w:p>
        </w:tc>
      </w:tr>
    </w:tbl>
    <w:p>
      <w:pPr>
        <w:pStyle w:val="BodyText"/>
        <w:spacing w:before="54"/>
        <w:ind w:left="0" w:right="0" w:firstLine="0"/>
        <w:jc w:val="left"/>
        <w:rPr>
          <w:i/>
          <w:sz w:val="24"/>
        </w:rPr>
      </w:pPr>
    </w:p>
    <w:p>
      <w:pPr>
        <w:spacing w:before="1"/>
        <w:ind w:left="285" w:right="0" w:firstLine="0"/>
        <w:jc w:val="left"/>
        <w:rPr>
          <w:i/>
          <w:sz w:val="24"/>
        </w:rPr>
      </w:pPr>
      <w:r>
        <w:rPr>
          <w:i/>
          <w:sz w:val="24"/>
        </w:rPr>
        <w:t>Ведет</w:t>
      </w:r>
      <w:r>
        <w:rPr>
          <w:i/>
          <w:spacing w:val="-2"/>
          <w:sz w:val="24"/>
        </w:rPr>
        <w:t> </w:t>
      </w:r>
      <w:r>
        <w:rPr>
          <w:i/>
          <w:sz w:val="24"/>
        </w:rPr>
        <w:t>или</w:t>
      </w:r>
      <w:r>
        <w:rPr>
          <w:i/>
          <w:spacing w:val="-1"/>
          <w:sz w:val="24"/>
        </w:rPr>
        <w:t> </w:t>
      </w:r>
      <w:r>
        <w:rPr>
          <w:i/>
          <w:sz w:val="24"/>
        </w:rPr>
        <w:t>проявляет</w:t>
      </w:r>
      <w:r>
        <w:rPr>
          <w:i/>
          <w:spacing w:val="-2"/>
          <w:sz w:val="24"/>
        </w:rPr>
        <w:t> </w:t>
      </w:r>
      <w:r>
        <w:rPr>
          <w:i/>
          <w:sz w:val="24"/>
        </w:rPr>
        <w:t>себя</w:t>
      </w:r>
      <w:r>
        <w:rPr>
          <w:i/>
          <w:spacing w:val="-3"/>
          <w:sz w:val="24"/>
        </w:rPr>
        <w:t> </w:t>
      </w:r>
      <w:r>
        <w:rPr>
          <w:i/>
          <w:sz w:val="24"/>
        </w:rPr>
        <w:t>не</w:t>
      </w:r>
      <w:r>
        <w:rPr>
          <w:i/>
          <w:spacing w:val="-2"/>
          <w:sz w:val="24"/>
        </w:rPr>
        <w:t> </w:t>
      </w:r>
      <w:r>
        <w:rPr>
          <w:i/>
          <w:sz w:val="24"/>
        </w:rPr>
        <w:t>так,</w:t>
      </w:r>
      <w:r>
        <w:rPr>
          <w:i/>
          <w:spacing w:val="-1"/>
          <w:sz w:val="24"/>
        </w:rPr>
        <w:t> </w:t>
      </w:r>
      <w:r>
        <w:rPr>
          <w:i/>
          <w:sz w:val="24"/>
        </w:rPr>
        <w:t>как</w:t>
      </w:r>
      <w:r>
        <w:rPr>
          <w:i/>
          <w:spacing w:val="-1"/>
          <w:sz w:val="24"/>
        </w:rPr>
        <w:t> </w:t>
      </w:r>
      <w:r>
        <w:rPr>
          <w:i/>
          <w:sz w:val="24"/>
        </w:rPr>
        <w:t>другие </w:t>
      </w:r>
      <w:r>
        <w:rPr>
          <w:i/>
          <w:spacing w:val="-2"/>
          <w:sz w:val="24"/>
        </w:rPr>
        <w:t>дети.</w:t>
      </w:r>
    </w:p>
    <w:p>
      <w:pPr>
        <w:spacing w:before="0"/>
        <w:ind w:left="285" w:right="0" w:firstLine="0"/>
        <w:jc w:val="left"/>
        <w:rPr>
          <w:i/>
          <w:sz w:val="24"/>
        </w:rPr>
      </w:pPr>
      <w:r>
        <w:rPr>
          <w:i/>
          <w:sz w:val="24"/>
        </w:rPr>
        <w:t>В</w:t>
      </w:r>
      <w:r>
        <w:rPr>
          <w:i/>
          <w:spacing w:val="-3"/>
          <w:sz w:val="24"/>
        </w:rPr>
        <w:t> </w:t>
      </w:r>
      <w:r>
        <w:rPr>
          <w:i/>
          <w:sz w:val="24"/>
        </w:rPr>
        <w:t>чем</w:t>
      </w:r>
      <w:r>
        <w:rPr>
          <w:i/>
          <w:spacing w:val="-4"/>
          <w:sz w:val="24"/>
        </w:rPr>
        <w:t> </w:t>
      </w:r>
      <w:r>
        <w:rPr>
          <w:i/>
          <w:sz w:val="24"/>
        </w:rPr>
        <w:t>именно</w:t>
      </w:r>
      <w:r>
        <w:rPr>
          <w:i/>
          <w:spacing w:val="-3"/>
          <w:sz w:val="24"/>
        </w:rPr>
        <w:t> </w:t>
      </w:r>
      <w:r>
        <w:rPr>
          <w:i/>
          <w:sz w:val="24"/>
        </w:rPr>
        <w:t>это</w:t>
      </w:r>
      <w:r>
        <w:rPr>
          <w:i/>
          <w:spacing w:val="-2"/>
          <w:sz w:val="24"/>
        </w:rPr>
        <w:t> </w:t>
      </w:r>
      <w:r>
        <w:rPr>
          <w:i/>
          <w:sz w:val="24"/>
        </w:rPr>
        <w:t>проявляется?</w:t>
      </w:r>
      <w:r>
        <w:rPr>
          <w:i/>
          <w:spacing w:val="-3"/>
          <w:sz w:val="24"/>
        </w:rPr>
        <w:t> </w:t>
      </w:r>
      <w:r>
        <w:rPr>
          <w:i/>
          <w:sz w:val="24"/>
        </w:rPr>
        <w:t>Приведите</w:t>
      </w:r>
      <w:r>
        <w:rPr>
          <w:i/>
          <w:spacing w:val="-4"/>
          <w:sz w:val="24"/>
        </w:rPr>
        <w:t> </w:t>
      </w:r>
      <w:r>
        <w:rPr>
          <w:i/>
          <w:spacing w:val="-2"/>
          <w:sz w:val="24"/>
        </w:rPr>
        <w:t>примеры.</w:t>
      </w:r>
    </w:p>
    <w:p>
      <w:pPr>
        <w:pStyle w:val="BodyText"/>
        <w:spacing w:before="63"/>
        <w:ind w:left="0" w:right="0" w:firstLine="0"/>
        <w:jc w:val="left"/>
        <w:rPr>
          <w:i/>
        </w:rPr>
      </w:pPr>
      <w:r>
        <w:rPr>
          <w:i/>
        </w:rPr>
        <mc:AlternateContent>
          <mc:Choice Requires="wps">
            <w:drawing>
              <wp:anchor distT="0" distB="0" distL="0" distR="0" allowOverlap="1" layoutInCell="1" locked="0" behindDoc="1" simplePos="0" relativeHeight="487609344">
                <wp:simplePos x="0" y="0"/>
                <wp:positionH relativeFrom="page">
                  <wp:posOffset>1080820</wp:posOffset>
                </wp:positionH>
                <wp:positionV relativeFrom="paragraph">
                  <wp:posOffset>201563</wp:posOffset>
                </wp:positionV>
                <wp:extent cx="5866765" cy="1270"/>
                <wp:effectExtent l="0" t="0" r="0" b="0"/>
                <wp:wrapTopAndBottom/>
                <wp:docPr id="75" name="Graphic 75"/>
                <wp:cNvGraphicFramePr>
                  <a:graphicFrameLocks/>
                </wp:cNvGraphicFramePr>
                <a:graphic>
                  <a:graphicData uri="http://schemas.microsoft.com/office/word/2010/wordprocessingShape">
                    <wps:wsp>
                      <wps:cNvPr id="75" name="Graphic 75"/>
                      <wps:cNvSpPr/>
                      <wps:spPr>
                        <a:xfrm>
                          <a:off x="0" y="0"/>
                          <a:ext cx="5866765" cy="1270"/>
                        </a:xfrm>
                        <a:custGeom>
                          <a:avLst/>
                          <a:gdLst/>
                          <a:ahLst/>
                          <a:cxnLst/>
                          <a:rect l="l" t="t" r="r" b="b"/>
                          <a:pathLst>
                            <a:path w="5866765" h="0">
                              <a:moveTo>
                                <a:pt x="0" y="0"/>
                              </a:moveTo>
                              <a:lnTo>
                                <a:pt x="586651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103996pt;margin-top:15.871159pt;width:461.95pt;height:.1pt;mso-position-horizontal-relative:page;mso-position-vertical-relative:paragraph;z-index:-15707136;mso-wrap-distance-left:0;mso-wrap-distance-right:0" id="docshape45" coordorigin="1702,317" coordsize="9239,0" path="m1702,317l10941,317e" filled="false" stroked="true" strokeweight=".569936pt" strokecolor="#000000">
                <v:path arrowok="t"/>
                <v:stroke dashstyle="solid"/>
                <w10:wrap type="topAndBottom"/>
              </v:shape>
            </w:pict>
          </mc:Fallback>
        </mc:AlternateContent>
      </w:r>
      <w:r>
        <w:rPr>
          <w:i/>
        </w:rPr>
        <mc:AlternateContent>
          <mc:Choice Requires="wps">
            <w:drawing>
              <wp:anchor distT="0" distB="0" distL="0" distR="0" allowOverlap="1" layoutInCell="1" locked="0" behindDoc="1" simplePos="0" relativeHeight="487609856">
                <wp:simplePos x="0" y="0"/>
                <wp:positionH relativeFrom="page">
                  <wp:posOffset>1080820</wp:posOffset>
                </wp:positionH>
                <wp:positionV relativeFrom="paragraph">
                  <wp:posOffset>405779</wp:posOffset>
                </wp:positionV>
                <wp:extent cx="5866765" cy="1270"/>
                <wp:effectExtent l="0" t="0" r="0" b="0"/>
                <wp:wrapTopAndBottom/>
                <wp:docPr id="76" name="Graphic 76"/>
                <wp:cNvGraphicFramePr>
                  <a:graphicFrameLocks/>
                </wp:cNvGraphicFramePr>
                <a:graphic>
                  <a:graphicData uri="http://schemas.microsoft.com/office/word/2010/wordprocessingShape">
                    <wps:wsp>
                      <wps:cNvPr id="76" name="Graphic 76"/>
                      <wps:cNvSpPr/>
                      <wps:spPr>
                        <a:xfrm>
                          <a:off x="0" y="0"/>
                          <a:ext cx="5866765" cy="1270"/>
                        </a:xfrm>
                        <a:custGeom>
                          <a:avLst/>
                          <a:gdLst/>
                          <a:ahLst/>
                          <a:cxnLst/>
                          <a:rect l="l" t="t" r="r" b="b"/>
                          <a:pathLst>
                            <a:path w="5866765" h="0">
                              <a:moveTo>
                                <a:pt x="0" y="0"/>
                              </a:moveTo>
                              <a:lnTo>
                                <a:pt x="586651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103996pt;margin-top:31.951176pt;width:461.95pt;height:.1pt;mso-position-horizontal-relative:page;mso-position-vertical-relative:paragraph;z-index:-15706624;mso-wrap-distance-left:0;mso-wrap-distance-right:0" id="docshape46" coordorigin="1702,639" coordsize="9239,0" path="m1702,639l10941,639e" filled="false" stroked="true" strokeweight=".569936pt" strokecolor="#000000">
                <v:path arrowok="t"/>
                <v:stroke dashstyle="solid"/>
                <w10:wrap type="topAndBottom"/>
              </v:shape>
            </w:pict>
          </mc:Fallback>
        </mc:AlternateContent>
      </w:r>
      <w:r>
        <w:rPr>
          <w:i/>
        </w:rPr>
        <mc:AlternateContent>
          <mc:Choice Requires="wps">
            <w:drawing>
              <wp:anchor distT="0" distB="0" distL="0" distR="0" allowOverlap="1" layoutInCell="1" locked="0" behindDoc="1" simplePos="0" relativeHeight="487610368">
                <wp:simplePos x="0" y="0"/>
                <wp:positionH relativeFrom="page">
                  <wp:posOffset>1080820</wp:posOffset>
                </wp:positionH>
                <wp:positionV relativeFrom="paragraph">
                  <wp:posOffset>609996</wp:posOffset>
                </wp:positionV>
                <wp:extent cx="5868035" cy="1270"/>
                <wp:effectExtent l="0" t="0" r="0" b="0"/>
                <wp:wrapTopAndBottom/>
                <wp:docPr id="77" name="Graphic 77"/>
                <wp:cNvGraphicFramePr>
                  <a:graphicFrameLocks/>
                </wp:cNvGraphicFramePr>
                <a:graphic>
                  <a:graphicData uri="http://schemas.microsoft.com/office/word/2010/wordprocessingShape">
                    <wps:wsp>
                      <wps:cNvPr id="77" name="Graphic 77"/>
                      <wps:cNvSpPr/>
                      <wps:spPr>
                        <a:xfrm>
                          <a:off x="0" y="0"/>
                          <a:ext cx="5868035" cy="1270"/>
                        </a:xfrm>
                        <a:custGeom>
                          <a:avLst/>
                          <a:gdLst/>
                          <a:ahLst/>
                          <a:cxnLst/>
                          <a:rect l="l" t="t" r="r" b="b"/>
                          <a:pathLst>
                            <a:path w="5868035" h="0">
                              <a:moveTo>
                                <a:pt x="0" y="0"/>
                              </a:moveTo>
                              <a:lnTo>
                                <a:pt x="5868024"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103996pt;margin-top:48.031193pt;width:462.05pt;height:.1pt;mso-position-horizontal-relative:page;mso-position-vertical-relative:paragraph;z-index:-15706112;mso-wrap-distance-left:0;mso-wrap-distance-right:0" id="docshape47" coordorigin="1702,961" coordsize="9241,0" path="m1702,961l10943,961e" filled="false" stroked="true" strokeweight=".569936pt" strokecolor="#000000">
                <v:path arrowok="t"/>
                <v:stroke dashstyle="solid"/>
                <w10:wrap type="topAndBottom"/>
              </v:shape>
            </w:pict>
          </mc:Fallback>
        </mc:AlternateContent>
      </w:r>
      <w:r>
        <w:rPr>
          <w:i/>
        </w:rPr>
        <mc:AlternateContent>
          <mc:Choice Requires="wps">
            <w:drawing>
              <wp:anchor distT="0" distB="0" distL="0" distR="0" allowOverlap="1" layoutInCell="1" locked="0" behindDoc="1" simplePos="0" relativeHeight="487610880">
                <wp:simplePos x="0" y="0"/>
                <wp:positionH relativeFrom="page">
                  <wp:posOffset>1080820</wp:posOffset>
                </wp:positionH>
                <wp:positionV relativeFrom="paragraph">
                  <wp:posOffset>814211</wp:posOffset>
                </wp:positionV>
                <wp:extent cx="5866765" cy="1270"/>
                <wp:effectExtent l="0" t="0" r="0" b="0"/>
                <wp:wrapTopAndBottom/>
                <wp:docPr id="78" name="Graphic 78"/>
                <wp:cNvGraphicFramePr>
                  <a:graphicFrameLocks/>
                </wp:cNvGraphicFramePr>
                <a:graphic>
                  <a:graphicData uri="http://schemas.microsoft.com/office/word/2010/wordprocessingShape">
                    <wps:wsp>
                      <wps:cNvPr id="78" name="Graphic 78"/>
                      <wps:cNvSpPr/>
                      <wps:spPr>
                        <a:xfrm>
                          <a:off x="0" y="0"/>
                          <a:ext cx="5866765" cy="1270"/>
                        </a:xfrm>
                        <a:custGeom>
                          <a:avLst/>
                          <a:gdLst/>
                          <a:ahLst/>
                          <a:cxnLst/>
                          <a:rect l="l" t="t" r="r" b="b"/>
                          <a:pathLst>
                            <a:path w="5866765" h="0">
                              <a:moveTo>
                                <a:pt x="0" y="0"/>
                              </a:moveTo>
                              <a:lnTo>
                                <a:pt x="586651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103996pt;margin-top:64.111176pt;width:461.95pt;height:.1pt;mso-position-horizontal-relative:page;mso-position-vertical-relative:paragraph;z-index:-15705600;mso-wrap-distance-left:0;mso-wrap-distance-right:0" id="docshape48" coordorigin="1702,1282" coordsize="9239,0" path="m1702,1282l10941,1282e" filled="false" stroked="true" strokeweight=".569936pt" strokecolor="#000000">
                <v:path arrowok="t"/>
                <v:stroke dashstyle="solid"/>
                <w10:wrap type="topAndBottom"/>
              </v:shape>
            </w:pict>
          </mc:Fallback>
        </mc:AlternateContent>
      </w:r>
      <w:r>
        <w:rPr>
          <w:i/>
        </w:rPr>
        <mc:AlternateContent>
          <mc:Choice Requires="wps">
            <w:drawing>
              <wp:anchor distT="0" distB="0" distL="0" distR="0" allowOverlap="1" layoutInCell="1" locked="0" behindDoc="1" simplePos="0" relativeHeight="487611392">
                <wp:simplePos x="0" y="0"/>
                <wp:positionH relativeFrom="page">
                  <wp:posOffset>1080820</wp:posOffset>
                </wp:positionH>
                <wp:positionV relativeFrom="paragraph">
                  <wp:posOffset>1018428</wp:posOffset>
                </wp:positionV>
                <wp:extent cx="5866765" cy="1270"/>
                <wp:effectExtent l="0" t="0" r="0" b="0"/>
                <wp:wrapTopAndBottom/>
                <wp:docPr id="79" name="Graphic 79"/>
                <wp:cNvGraphicFramePr>
                  <a:graphicFrameLocks/>
                </wp:cNvGraphicFramePr>
                <a:graphic>
                  <a:graphicData uri="http://schemas.microsoft.com/office/word/2010/wordprocessingShape">
                    <wps:wsp>
                      <wps:cNvPr id="79" name="Graphic 79"/>
                      <wps:cNvSpPr/>
                      <wps:spPr>
                        <a:xfrm>
                          <a:off x="0" y="0"/>
                          <a:ext cx="5866765" cy="1270"/>
                        </a:xfrm>
                        <a:custGeom>
                          <a:avLst/>
                          <a:gdLst/>
                          <a:ahLst/>
                          <a:cxnLst/>
                          <a:rect l="l" t="t" r="r" b="b"/>
                          <a:pathLst>
                            <a:path w="5866765" h="0">
                              <a:moveTo>
                                <a:pt x="0" y="0"/>
                              </a:moveTo>
                              <a:lnTo>
                                <a:pt x="586651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103996pt;margin-top:80.191193pt;width:461.95pt;height:.1pt;mso-position-horizontal-relative:page;mso-position-vertical-relative:paragraph;z-index:-15705088;mso-wrap-distance-left:0;mso-wrap-distance-right:0" id="docshape49" coordorigin="1702,1604" coordsize="9239,0" path="m1702,1604l10941,1604e" filled="false" stroked="true" strokeweight=".569936pt" strokecolor="#000000">
                <v:path arrowok="t"/>
                <v:stroke dashstyle="solid"/>
                <w10:wrap type="topAndBottom"/>
              </v:shape>
            </w:pict>
          </mc:Fallback>
        </mc:AlternateContent>
      </w:r>
      <w:r>
        <w:rPr>
          <w:i/>
        </w:rPr>
        <mc:AlternateContent>
          <mc:Choice Requires="wps">
            <w:drawing>
              <wp:anchor distT="0" distB="0" distL="0" distR="0" allowOverlap="1" layoutInCell="1" locked="0" behindDoc="1" simplePos="0" relativeHeight="487611904">
                <wp:simplePos x="0" y="0"/>
                <wp:positionH relativeFrom="page">
                  <wp:posOffset>1080820</wp:posOffset>
                </wp:positionH>
                <wp:positionV relativeFrom="paragraph">
                  <wp:posOffset>1222898</wp:posOffset>
                </wp:positionV>
                <wp:extent cx="5866765" cy="1270"/>
                <wp:effectExtent l="0" t="0" r="0" b="0"/>
                <wp:wrapTopAndBottom/>
                <wp:docPr id="80" name="Graphic 80"/>
                <wp:cNvGraphicFramePr>
                  <a:graphicFrameLocks/>
                </wp:cNvGraphicFramePr>
                <a:graphic>
                  <a:graphicData uri="http://schemas.microsoft.com/office/word/2010/wordprocessingShape">
                    <wps:wsp>
                      <wps:cNvPr id="80" name="Graphic 80"/>
                      <wps:cNvSpPr/>
                      <wps:spPr>
                        <a:xfrm>
                          <a:off x="0" y="0"/>
                          <a:ext cx="5866765" cy="1270"/>
                        </a:xfrm>
                        <a:custGeom>
                          <a:avLst/>
                          <a:gdLst/>
                          <a:ahLst/>
                          <a:cxnLst/>
                          <a:rect l="l" t="t" r="r" b="b"/>
                          <a:pathLst>
                            <a:path w="5866765" h="0">
                              <a:moveTo>
                                <a:pt x="0" y="0"/>
                              </a:moveTo>
                              <a:lnTo>
                                <a:pt x="586651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103996pt;margin-top:96.291199pt;width:461.95pt;height:.1pt;mso-position-horizontal-relative:page;mso-position-vertical-relative:paragraph;z-index:-15704576;mso-wrap-distance-left:0;mso-wrap-distance-right:0" id="docshape50" coordorigin="1702,1926" coordsize="9239,0" path="m1702,1926l10941,1926e" filled="false" stroked="true" strokeweight=".569936pt" strokecolor="#000000">
                <v:path arrowok="t"/>
                <v:stroke dashstyle="solid"/>
                <w10:wrap type="topAndBottom"/>
              </v:shape>
            </w:pict>
          </mc:Fallback>
        </mc:AlternateContent>
      </w:r>
      <w:r>
        <w:rPr>
          <w:i/>
        </w:rPr>
        <mc:AlternateContent>
          <mc:Choice Requires="wps">
            <w:drawing>
              <wp:anchor distT="0" distB="0" distL="0" distR="0" allowOverlap="1" layoutInCell="1" locked="0" behindDoc="1" simplePos="0" relativeHeight="487612416">
                <wp:simplePos x="0" y="0"/>
                <wp:positionH relativeFrom="page">
                  <wp:posOffset>1080820</wp:posOffset>
                </wp:positionH>
                <wp:positionV relativeFrom="paragraph">
                  <wp:posOffset>1428637</wp:posOffset>
                </wp:positionV>
                <wp:extent cx="5867400" cy="1270"/>
                <wp:effectExtent l="0" t="0" r="0" b="0"/>
                <wp:wrapTopAndBottom/>
                <wp:docPr id="81" name="Graphic 81"/>
                <wp:cNvGraphicFramePr>
                  <a:graphicFrameLocks/>
                </wp:cNvGraphicFramePr>
                <a:graphic>
                  <a:graphicData uri="http://schemas.microsoft.com/office/word/2010/wordprocessingShape">
                    <wps:wsp>
                      <wps:cNvPr id="81" name="Graphic 81"/>
                      <wps:cNvSpPr/>
                      <wps:spPr>
                        <a:xfrm>
                          <a:off x="0" y="0"/>
                          <a:ext cx="5867400" cy="1270"/>
                        </a:xfrm>
                        <a:custGeom>
                          <a:avLst/>
                          <a:gdLst/>
                          <a:ahLst/>
                          <a:cxnLst/>
                          <a:rect l="l" t="t" r="r" b="b"/>
                          <a:pathLst>
                            <a:path w="5867400" h="0">
                              <a:moveTo>
                                <a:pt x="0" y="0"/>
                              </a:moveTo>
                              <a:lnTo>
                                <a:pt x="5867206"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103996pt;margin-top:112.49118pt;width:462pt;height:.1pt;mso-position-horizontal-relative:page;mso-position-vertical-relative:paragraph;z-index:-15704064;mso-wrap-distance-left:0;mso-wrap-distance-right:0" id="docshape51" coordorigin="1702,2250" coordsize="9240,0" path="m1702,2250l10942,2250e" filled="false" stroked="true" strokeweight=".569936pt" strokecolor="#000000">
                <v:path arrowok="t"/>
                <v:stroke dashstyle="solid"/>
                <w10:wrap type="topAndBottom"/>
              </v:shape>
            </w:pict>
          </mc:Fallback>
        </mc:AlternateContent>
      </w:r>
      <w:r>
        <w:rPr>
          <w:i/>
        </w:rPr>
        <mc:AlternateContent>
          <mc:Choice Requires="wps">
            <w:drawing>
              <wp:anchor distT="0" distB="0" distL="0" distR="0" allowOverlap="1" layoutInCell="1" locked="0" behindDoc="1" simplePos="0" relativeHeight="487612928">
                <wp:simplePos x="0" y="0"/>
                <wp:positionH relativeFrom="page">
                  <wp:posOffset>1080820</wp:posOffset>
                </wp:positionH>
                <wp:positionV relativeFrom="paragraph">
                  <wp:posOffset>1632269</wp:posOffset>
                </wp:positionV>
                <wp:extent cx="5866765" cy="1270"/>
                <wp:effectExtent l="0" t="0" r="0" b="0"/>
                <wp:wrapTopAndBottom/>
                <wp:docPr id="82" name="Graphic 82"/>
                <wp:cNvGraphicFramePr>
                  <a:graphicFrameLocks/>
                </wp:cNvGraphicFramePr>
                <a:graphic>
                  <a:graphicData uri="http://schemas.microsoft.com/office/word/2010/wordprocessingShape">
                    <wps:wsp>
                      <wps:cNvPr id="82" name="Graphic 82"/>
                      <wps:cNvSpPr/>
                      <wps:spPr>
                        <a:xfrm>
                          <a:off x="0" y="0"/>
                          <a:ext cx="5866765" cy="1270"/>
                        </a:xfrm>
                        <a:custGeom>
                          <a:avLst/>
                          <a:gdLst/>
                          <a:ahLst/>
                          <a:cxnLst/>
                          <a:rect l="l" t="t" r="r" b="b"/>
                          <a:pathLst>
                            <a:path w="5866765" h="0">
                              <a:moveTo>
                                <a:pt x="0" y="0"/>
                              </a:moveTo>
                              <a:lnTo>
                                <a:pt x="586651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103996pt;margin-top:128.525177pt;width:461.95pt;height:.1pt;mso-position-horizontal-relative:page;mso-position-vertical-relative:paragraph;z-index:-15703552;mso-wrap-distance-left:0;mso-wrap-distance-right:0" id="docshape52" coordorigin="1702,2571" coordsize="9239,0" path="m1702,2571l10941,2571e" filled="false" stroked="true" strokeweight=".569936pt" strokecolor="#000000">
                <v:path arrowok="t"/>
                <v:stroke dashstyle="solid"/>
                <w10:wrap type="topAndBottom"/>
              </v:shape>
            </w:pict>
          </mc:Fallback>
        </mc:AlternateContent>
      </w:r>
    </w:p>
    <w:p>
      <w:pPr>
        <w:pStyle w:val="BodyText"/>
        <w:spacing w:before="61"/>
        <w:ind w:left="0" w:right="0" w:firstLine="0"/>
        <w:jc w:val="left"/>
        <w:rPr>
          <w:i/>
        </w:rPr>
      </w:pPr>
    </w:p>
    <w:p>
      <w:pPr>
        <w:pStyle w:val="BodyText"/>
        <w:spacing w:before="61"/>
        <w:ind w:left="0" w:right="0" w:firstLine="0"/>
        <w:jc w:val="left"/>
        <w:rPr>
          <w:i/>
        </w:rPr>
      </w:pPr>
    </w:p>
    <w:p>
      <w:pPr>
        <w:pStyle w:val="BodyText"/>
        <w:spacing w:before="61"/>
        <w:ind w:left="0" w:right="0" w:firstLine="0"/>
        <w:jc w:val="left"/>
        <w:rPr>
          <w:i/>
        </w:rPr>
      </w:pPr>
    </w:p>
    <w:p>
      <w:pPr>
        <w:pStyle w:val="BodyText"/>
        <w:spacing w:before="61"/>
        <w:ind w:left="0" w:right="0" w:firstLine="0"/>
        <w:jc w:val="left"/>
        <w:rPr>
          <w:i/>
        </w:rPr>
      </w:pPr>
    </w:p>
    <w:p>
      <w:pPr>
        <w:pStyle w:val="BodyText"/>
        <w:spacing w:before="62"/>
        <w:ind w:left="0" w:right="0" w:firstLine="0"/>
        <w:jc w:val="left"/>
        <w:rPr>
          <w:i/>
        </w:rPr>
      </w:pPr>
    </w:p>
    <w:p>
      <w:pPr>
        <w:pStyle w:val="BodyText"/>
        <w:spacing w:before="64"/>
        <w:ind w:left="0" w:right="0" w:firstLine="0"/>
        <w:jc w:val="left"/>
        <w:rPr>
          <w:i/>
        </w:rPr>
      </w:pPr>
    </w:p>
    <w:p>
      <w:pPr>
        <w:pStyle w:val="BodyText"/>
        <w:spacing w:before="61"/>
        <w:ind w:left="0" w:right="0" w:firstLine="0"/>
        <w:jc w:val="left"/>
        <w:rPr>
          <w:i/>
        </w:rPr>
      </w:pPr>
    </w:p>
    <w:p>
      <w:pPr>
        <w:pStyle w:val="BodyText"/>
        <w:spacing w:after="0"/>
        <w:jc w:val="left"/>
        <w:rPr>
          <w:i/>
        </w:rPr>
        <w:sectPr>
          <w:type w:val="continuous"/>
          <w:pgSz w:w="11910" w:h="16840"/>
          <w:pgMar w:header="0" w:footer="970" w:top="1100" w:bottom="1220" w:left="1417" w:right="283"/>
        </w:sectPr>
      </w:pPr>
    </w:p>
    <w:p>
      <w:pPr>
        <w:pStyle w:val="Heading2"/>
        <w:numPr>
          <w:ilvl w:val="0"/>
          <w:numId w:val="15"/>
        </w:numPr>
        <w:tabs>
          <w:tab w:pos="705" w:val="left" w:leader="none"/>
        </w:tabs>
        <w:spacing w:line="240" w:lineRule="auto" w:before="72" w:after="0"/>
        <w:ind w:left="705" w:right="0" w:hanging="420"/>
        <w:jc w:val="left"/>
      </w:pPr>
      <w:bookmarkStart w:name="_bookmark26" w:id="28"/>
      <w:bookmarkEnd w:id="28"/>
      <w:r>
        <w:rPr>
          <w:b w:val="0"/>
        </w:rPr>
      </w:r>
      <w:r>
        <w:rPr>
          <w:spacing w:val="-2"/>
        </w:rPr>
        <w:t>Социометрический</w:t>
      </w:r>
      <w:r>
        <w:rPr>
          <w:spacing w:val="12"/>
        </w:rPr>
        <w:t> </w:t>
      </w:r>
      <w:r>
        <w:rPr>
          <w:spacing w:val="-4"/>
        </w:rPr>
        <w:t>тест</w:t>
      </w:r>
    </w:p>
    <w:p>
      <w:pPr>
        <w:pStyle w:val="Heading3"/>
        <w:spacing w:before="293"/>
        <w:jc w:val="left"/>
      </w:pPr>
      <w:r>
        <w:rPr/>
        <w:t>Описание</w:t>
      </w:r>
      <w:r>
        <w:rPr>
          <w:spacing w:val="-2"/>
        </w:rPr>
        <w:t> методики</w:t>
      </w:r>
    </w:p>
    <w:p>
      <w:pPr>
        <w:pStyle w:val="Heading4"/>
        <w:spacing w:before="191"/>
        <w:ind w:right="563" w:firstLine="566"/>
      </w:pPr>
      <w:r>
        <w:rPr/>
        <w:t>Социометрический</w:t>
      </w:r>
      <w:r>
        <w:rPr>
          <w:spacing w:val="-14"/>
        </w:rPr>
        <w:t> </w:t>
      </w:r>
      <w:r>
        <w:rPr/>
        <w:t>тест</w:t>
      </w:r>
      <w:r>
        <w:rPr>
          <w:spacing w:val="-10"/>
        </w:rPr>
        <w:t> </w:t>
      </w:r>
      <w:r>
        <w:rPr/>
        <w:t>(социометрия)</w:t>
      </w:r>
      <w:r>
        <w:rPr>
          <w:spacing w:val="-10"/>
        </w:rPr>
        <w:t> </w:t>
      </w:r>
      <w:r>
        <w:rPr/>
        <w:t>—</w:t>
      </w:r>
      <w:r>
        <w:rPr>
          <w:spacing w:val="-10"/>
        </w:rPr>
        <w:t> </w:t>
      </w:r>
      <w:r>
        <w:rPr/>
        <w:t>метод</w:t>
      </w:r>
      <w:r>
        <w:rPr>
          <w:spacing w:val="-11"/>
        </w:rPr>
        <w:t> </w:t>
      </w:r>
      <w:r>
        <w:rPr/>
        <w:t>исследования</w:t>
      </w:r>
      <w:r>
        <w:rPr>
          <w:spacing w:val="-12"/>
        </w:rPr>
        <w:t> </w:t>
      </w:r>
      <w:r>
        <w:rPr/>
        <w:t>структуры межличностных отношений в малой социальной группе через изучение взаимных выборов (</w:t>
      </w:r>
      <w:r>
        <w:rPr>
          <w:i/>
        </w:rPr>
        <w:t>Антипина, </w:t>
      </w:r>
      <w:r>
        <w:rPr/>
        <w:t>1982). Методика позволяет исследовать установки,</w:t>
      </w:r>
      <w:r>
        <w:rPr>
          <w:spacing w:val="-18"/>
        </w:rPr>
        <w:t> </w:t>
      </w:r>
      <w:r>
        <w:rPr/>
        <w:t>оценки,</w:t>
      </w:r>
      <w:r>
        <w:rPr>
          <w:spacing w:val="-17"/>
        </w:rPr>
        <w:t> </w:t>
      </w:r>
      <w:r>
        <w:rPr/>
        <w:t>предпочтения</w:t>
      </w:r>
      <w:r>
        <w:rPr>
          <w:spacing w:val="-18"/>
        </w:rPr>
        <w:t> </w:t>
      </w:r>
      <w:r>
        <w:rPr/>
        <w:t>и</w:t>
      </w:r>
      <w:r>
        <w:rPr>
          <w:spacing w:val="-17"/>
        </w:rPr>
        <w:t> </w:t>
      </w:r>
      <w:r>
        <w:rPr/>
        <w:t>желания</w:t>
      </w:r>
      <w:r>
        <w:rPr>
          <w:spacing w:val="-18"/>
        </w:rPr>
        <w:t> </w:t>
      </w:r>
      <w:r>
        <w:rPr/>
        <w:t>людей</w:t>
      </w:r>
      <w:r>
        <w:rPr>
          <w:spacing w:val="-17"/>
        </w:rPr>
        <w:t> </w:t>
      </w:r>
      <w:r>
        <w:rPr/>
        <w:t>в</w:t>
      </w:r>
      <w:r>
        <w:rPr>
          <w:spacing w:val="-18"/>
        </w:rPr>
        <w:t> </w:t>
      </w:r>
      <w:r>
        <w:rPr/>
        <w:t>отношении</w:t>
      </w:r>
      <w:r>
        <w:rPr>
          <w:spacing w:val="-17"/>
        </w:rPr>
        <w:t> </w:t>
      </w:r>
      <w:r>
        <w:rPr/>
        <w:t>других</w:t>
      </w:r>
      <w:r>
        <w:rPr>
          <w:spacing w:val="-18"/>
        </w:rPr>
        <w:t> </w:t>
      </w:r>
      <w:r>
        <w:rPr/>
        <w:t>людей или групп. С помощью социометрии можно установить степень аттракции между</w:t>
      </w:r>
      <w:r>
        <w:rPr>
          <w:spacing w:val="-2"/>
        </w:rPr>
        <w:t> </w:t>
      </w:r>
      <w:r>
        <w:rPr/>
        <w:t>учениками и</w:t>
      </w:r>
      <w:r>
        <w:rPr>
          <w:spacing w:val="-2"/>
        </w:rPr>
        <w:t> </w:t>
      </w:r>
      <w:r>
        <w:rPr/>
        <w:t>выявить</w:t>
      </w:r>
      <w:r>
        <w:rPr>
          <w:spacing w:val="-2"/>
        </w:rPr>
        <w:t> </w:t>
      </w:r>
      <w:r>
        <w:rPr/>
        <w:t>статусные</w:t>
      </w:r>
      <w:r>
        <w:rPr>
          <w:spacing w:val="-2"/>
        </w:rPr>
        <w:t> </w:t>
      </w:r>
      <w:r>
        <w:rPr/>
        <w:t>отношения в</w:t>
      </w:r>
      <w:r>
        <w:rPr>
          <w:spacing w:val="-1"/>
        </w:rPr>
        <w:t> </w:t>
      </w:r>
      <w:r>
        <w:rPr/>
        <w:t>группе: определить,</w:t>
      </w:r>
      <w:r>
        <w:rPr>
          <w:spacing w:val="-1"/>
        </w:rPr>
        <w:t> </w:t>
      </w:r>
      <w:r>
        <w:rPr/>
        <w:t>есть ли яркие лидеры, аутсайдеры и отвергаемые участники. Методика применяется с учащимися любого возраста.</w:t>
      </w:r>
    </w:p>
    <w:p>
      <w:pPr>
        <w:pStyle w:val="Heading4"/>
        <w:spacing w:before="3"/>
        <w:ind w:right="561" w:firstLine="566"/>
      </w:pPr>
      <w:r>
        <w:rPr/>
        <w:t>Значимым критерием оценки адаптации ребенка-мигранта к образовательным средам является его социометрический статус — наличие у него референтной группы, включающей представителей принимающего населения (</w:t>
      </w:r>
      <w:r>
        <w:rPr>
          <w:i/>
        </w:rPr>
        <w:t>Солдатова, Макарчук, Пантелеев, </w:t>
      </w:r>
      <w:r>
        <w:rPr/>
        <w:t>2008).</w:t>
      </w:r>
    </w:p>
    <w:p>
      <w:pPr>
        <w:pStyle w:val="Heading4"/>
        <w:ind w:right="572" w:firstLine="566"/>
      </w:pPr>
      <w:r>
        <w:rPr/>
        <w:t>Результаты методики позволяют понять социометрический статус (статусное распределение) учеников в классе:</w:t>
      </w:r>
    </w:p>
    <w:p>
      <w:pPr>
        <w:pStyle w:val="Heading4"/>
        <w:numPr>
          <w:ilvl w:val="0"/>
          <w:numId w:val="27"/>
        </w:numPr>
        <w:tabs>
          <w:tab w:pos="1700" w:val="left" w:leader="none"/>
        </w:tabs>
        <w:spacing w:line="334" w:lineRule="exact" w:before="0" w:after="0"/>
        <w:ind w:left="1700" w:right="0" w:hanging="707"/>
        <w:jc w:val="left"/>
      </w:pPr>
      <w:r>
        <w:rPr/>
        <w:t>«высокостатусные»,</w:t>
      </w:r>
      <w:r>
        <w:rPr>
          <w:spacing w:val="-8"/>
        </w:rPr>
        <w:t> </w:t>
      </w:r>
      <w:r>
        <w:rPr/>
        <w:t>то</w:t>
      </w:r>
      <w:r>
        <w:rPr>
          <w:spacing w:val="-4"/>
        </w:rPr>
        <w:t> </w:t>
      </w:r>
      <w:r>
        <w:rPr/>
        <w:t>есть</w:t>
      </w:r>
      <w:r>
        <w:rPr>
          <w:spacing w:val="-7"/>
        </w:rPr>
        <w:t> </w:t>
      </w:r>
      <w:r>
        <w:rPr/>
        <w:t>лидеры,</w:t>
      </w:r>
      <w:r>
        <w:rPr>
          <w:spacing w:val="-5"/>
        </w:rPr>
        <w:t> </w:t>
      </w:r>
      <w:r>
        <w:rPr/>
        <w:t>или</w:t>
      </w:r>
      <w:r>
        <w:rPr>
          <w:spacing w:val="-6"/>
        </w:rPr>
        <w:t> </w:t>
      </w:r>
      <w:r>
        <w:rPr>
          <w:spacing w:val="-2"/>
        </w:rPr>
        <w:t>«звезды»;</w:t>
      </w:r>
    </w:p>
    <w:p>
      <w:pPr>
        <w:pStyle w:val="Heading4"/>
        <w:numPr>
          <w:ilvl w:val="0"/>
          <w:numId w:val="27"/>
        </w:numPr>
        <w:tabs>
          <w:tab w:pos="1700" w:val="left" w:leader="none"/>
          <w:tab w:pos="4459" w:val="left" w:leader="none"/>
          <w:tab w:pos="4979" w:val="left" w:leader="none"/>
          <w:tab w:pos="6404" w:val="left" w:leader="none"/>
          <w:tab w:pos="6920" w:val="left" w:leader="none"/>
          <w:tab w:pos="8457" w:val="left" w:leader="none"/>
        </w:tabs>
        <w:spacing w:line="230" w:lineRule="auto" w:before="2" w:after="0"/>
        <w:ind w:left="426" w:right="568" w:firstLine="566"/>
        <w:jc w:val="left"/>
      </w:pPr>
      <w:r>
        <w:rPr>
          <w:spacing w:val="-2"/>
        </w:rPr>
        <w:t>«среднестатусные»,</w:t>
      </w:r>
      <w:r>
        <w:rPr/>
        <w:tab/>
      </w:r>
      <w:r>
        <w:rPr>
          <w:spacing w:val="-10"/>
        </w:rPr>
        <w:t>к</w:t>
      </w:r>
      <w:r>
        <w:rPr/>
        <w:tab/>
      </w:r>
      <w:r>
        <w:rPr>
          <w:spacing w:val="-2"/>
        </w:rPr>
        <w:t>которым</w:t>
      </w:r>
      <w:r>
        <w:rPr/>
        <w:tab/>
      </w:r>
      <w:r>
        <w:rPr>
          <w:spacing w:val="-10"/>
        </w:rPr>
        <w:t>в</w:t>
      </w:r>
      <w:r>
        <w:rPr/>
        <w:tab/>
      </w:r>
      <w:r>
        <w:rPr>
          <w:spacing w:val="-2"/>
        </w:rPr>
        <w:t>основном</w:t>
      </w:r>
      <w:r>
        <w:rPr/>
        <w:tab/>
      </w:r>
      <w:r>
        <w:rPr>
          <w:spacing w:val="-2"/>
        </w:rPr>
        <w:t>относятся положительно;</w:t>
      </w:r>
    </w:p>
    <w:p>
      <w:pPr>
        <w:pStyle w:val="Heading4"/>
        <w:numPr>
          <w:ilvl w:val="0"/>
          <w:numId w:val="27"/>
        </w:numPr>
        <w:tabs>
          <w:tab w:pos="1700" w:val="left" w:leader="none"/>
        </w:tabs>
        <w:spacing w:line="335" w:lineRule="exact" w:before="1" w:after="0"/>
        <w:ind w:left="1700" w:right="0" w:hanging="707"/>
        <w:jc w:val="left"/>
      </w:pPr>
      <w:r>
        <w:rPr/>
        <w:t>«низкостатусные»,</w:t>
      </w:r>
      <w:r>
        <w:rPr>
          <w:spacing w:val="-14"/>
        </w:rPr>
        <w:t> </w:t>
      </w:r>
      <w:r>
        <w:rPr/>
        <w:t>не</w:t>
      </w:r>
      <w:r>
        <w:rPr>
          <w:spacing w:val="-7"/>
        </w:rPr>
        <w:t> </w:t>
      </w:r>
      <w:r>
        <w:rPr/>
        <w:t>пользующиеся</w:t>
      </w:r>
      <w:r>
        <w:rPr>
          <w:spacing w:val="-7"/>
        </w:rPr>
        <w:t> </w:t>
      </w:r>
      <w:r>
        <w:rPr>
          <w:spacing w:val="-2"/>
        </w:rPr>
        <w:t>популярностью;</w:t>
      </w:r>
    </w:p>
    <w:p>
      <w:pPr>
        <w:pStyle w:val="Heading4"/>
        <w:numPr>
          <w:ilvl w:val="0"/>
          <w:numId w:val="27"/>
        </w:numPr>
        <w:tabs>
          <w:tab w:pos="1700" w:val="left" w:leader="none"/>
        </w:tabs>
        <w:spacing w:line="335" w:lineRule="exact" w:before="0" w:after="0"/>
        <w:ind w:left="1700" w:right="0" w:hanging="707"/>
        <w:jc w:val="left"/>
      </w:pPr>
      <w:r>
        <w:rPr/>
        <w:t>«отвергаемые»</w:t>
      </w:r>
      <w:r>
        <w:rPr>
          <w:spacing w:val="-5"/>
        </w:rPr>
        <w:t> </w:t>
      </w:r>
      <w:r>
        <w:rPr/>
        <w:t>классом</w:t>
      </w:r>
      <w:r>
        <w:rPr>
          <w:spacing w:val="-5"/>
        </w:rPr>
        <w:t> </w:t>
      </w:r>
      <w:r>
        <w:rPr/>
        <w:t>в</w:t>
      </w:r>
      <w:r>
        <w:rPr>
          <w:spacing w:val="-5"/>
        </w:rPr>
        <w:t> </w:t>
      </w:r>
      <w:r>
        <w:rPr>
          <w:spacing w:val="-2"/>
        </w:rPr>
        <w:t>целом.</w:t>
      </w:r>
    </w:p>
    <w:p>
      <w:pPr>
        <w:pStyle w:val="Heading3"/>
        <w:spacing w:before="232"/>
        <w:jc w:val="left"/>
      </w:pPr>
      <w:r>
        <w:rPr/>
        <w:t>Проведение</w:t>
      </w:r>
      <w:r>
        <w:rPr>
          <w:spacing w:val="-10"/>
        </w:rPr>
        <w:t> </w:t>
      </w:r>
      <w:r>
        <w:rPr>
          <w:spacing w:val="-2"/>
        </w:rPr>
        <w:t>методики</w:t>
      </w:r>
    </w:p>
    <w:p>
      <w:pPr>
        <w:pStyle w:val="Heading4"/>
        <w:spacing w:before="192"/>
        <w:ind w:right="559" w:firstLine="566"/>
      </w:pPr>
      <w:r>
        <w:rPr/>
        <w:t>Социометрия представляет собой письменный опрос, в ходе которого участник</w:t>
      </w:r>
      <w:r>
        <w:rPr>
          <w:spacing w:val="-6"/>
        </w:rPr>
        <w:t> </w:t>
      </w:r>
      <w:r>
        <w:rPr/>
        <w:t>должен</w:t>
      </w:r>
      <w:r>
        <w:rPr>
          <w:spacing w:val="-6"/>
        </w:rPr>
        <w:t> </w:t>
      </w:r>
      <w:r>
        <w:rPr/>
        <w:t>ответить</w:t>
      </w:r>
      <w:r>
        <w:rPr>
          <w:spacing w:val="-4"/>
        </w:rPr>
        <w:t> </w:t>
      </w:r>
      <w:r>
        <w:rPr/>
        <w:t>на</w:t>
      </w:r>
      <w:r>
        <w:rPr>
          <w:spacing w:val="-5"/>
        </w:rPr>
        <w:t> </w:t>
      </w:r>
      <w:r>
        <w:rPr/>
        <w:t>два</w:t>
      </w:r>
      <w:r>
        <w:rPr>
          <w:spacing w:val="-3"/>
        </w:rPr>
        <w:t> </w:t>
      </w:r>
      <w:r>
        <w:rPr/>
        <w:t>вопроса,</w:t>
      </w:r>
      <w:r>
        <w:rPr>
          <w:spacing w:val="-4"/>
        </w:rPr>
        <w:t> </w:t>
      </w:r>
      <w:r>
        <w:rPr/>
        <w:t>демонстрируя</w:t>
      </w:r>
      <w:r>
        <w:rPr>
          <w:spacing w:val="-3"/>
        </w:rPr>
        <w:t> </w:t>
      </w:r>
      <w:r>
        <w:rPr/>
        <w:t>свои</w:t>
      </w:r>
      <w:r>
        <w:rPr>
          <w:spacing w:val="-5"/>
        </w:rPr>
        <w:t> </w:t>
      </w:r>
      <w:r>
        <w:rPr/>
        <w:t>предпочтения</w:t>
      </w:r>
      <w:r>
        <w:rPr>
          <w:spacing w:val="-3"/>
        </w:rPr>
        <w:t> </w:t>
      </w:r>
      <w:r>
        <w:rPr/>
        <w:t>в отношении</w:t>
      </w:r>
      <w:r>
        <w:rPr>
          <w:spacing w:val="-6"/>
        </w:rPr>
        <w:t> </w:t>
      </w:r>
      <w:r>
        <w:rPr/>
        <w:t>участников</w:t>
      </w:r>
      <w:r>
        <w:rPr>
          <w:spacing w:val="-7"/>
        </w:rPr>
        <w:t> </w:t>
      </w:r>
      <w:r>
        <w:rPr/>
        <w:t>группы</w:t>
      </w:r>
      <w:r>
        <w:rPr>
          <w:spacing w:val="-8"/>
        </w:rPr>
        <w:t> </w:t>
      </w:r>
      <w:r>
        <w:rPr/>
        <w:t>(одноклассников).</w:t>
      </w:r>
      <w:r>
        <w:rPr>
          <w:spacing w:val="-8"/>
        </w:rPr>
        <w:t> </w:t>
      </w:r>
      <w:r>
        <w:rPr/>
        <w:t>Вопросы</w:t>
      </w:r>
      <w:r>
        <w:rPr>
          <w:spacing w:val="-10"/>
        </w:rPr>
        <w:t> </w:t>
      </w:r>
      <w:r>
        <w:rPr/>
        <w:t>задаются</w:t>
      </w:r>
      <w:r>
        <w:rPr>
          <w:spacing w:val="-9"/>
        </w:rPr>
        <w:t> </w:t>
      </w:r>
      <w:r>
        <w:rPr/>
        <w:t>в</w:t>
      </w:r>
      <w:r>
        <w:rPr>
          <w:spacing w:val="-7"/>
        </w:rPr>
        <w:t> </w:t>
      </w:r>
      <w:r>
        <w:rPr/>
        <w:t>форме, предполагающей в качестве ответа перечисление товарищей по группе. В базовом варианте для школьников социометрия содержит два универсальных вопроса: «Если ваш класс расформируют, с кем из одноклассников ты бы хотел(а) оказаться в новом классе?» и «Если ваш класс расформируют, с кем из одноклассников ты НЕ хотел(а) бы оказаться в новом классе?» </w:t>
      </w:r>
      <w:r>
        <w:rPr>
          <w:i/>
        </w:rPr>
        <w:t>(</w:t>
      </w:r>
      <w:r>
        <w:rPr/>
        <w:t>см. </w:t>
      </w:r>
      <w:r>
        <w:rPr>
          <w:i/>
        </w:rPr>
        <w:t>Приложение 12)</w:t>
      </w:r>
      <w:r>
        <w:rPr/>
        <w:t>. Вопрос, требующий совершить отрицательный выбор, позволяет выделить «отвергаемых» членов группы.</w:t>
      </w:r>
    </w:p>
    <w:p>
      <w:pPr>
        <w:pStyle w:val="Heading4"/>
        <w:spacing w:before="1"/>
        <w:ind w:right="560" w:firstLine="566"/>
      </w:pPr>
      <w:r>
        <w:rPr/>
        <w:t>Отвечая</w:t>
      </w:r>
      <w:r>
        <w:rPr>
          <w:spacing w:val="-18"/>
        </w:rPr>
        <w:t> </w:t>
      </w:r>
      <w:r>
        <w:rPr/>
        <w:t>на</w:t>
      </w:r>
      <w:r>
        <w:rPr>
          <w:spacing w:val="-17"/>
        </w:rPr>
        <w:t> </w:t>
      </w:r>
      <w:r>
        <w:rPr/>
        <w:t>каждый</w:t>
      </w:r>
      <w:r>
        <w:rPr>
          <w:spacing w:val="-18"/>
        </w:rPr>
        <w:t> </w:t>
      </w:r>
      <w:r>
        <w:rPr/>
        <w:t>вопрос,</w:t>
      </w:r>
      <w:r>
        <w:rPr>
          <w:spacing w:val="-17"/>
        </w:rPr>
        <w:t> </w:t>
      </w:r>
      <w:r>
        <w:rPr/>
        <w:t>участник</w:t>
      </w:r>
      <w:r>
        <w:rPr>
          <w:spacing w:val="-18"/>
        </w:rPr>
        <w:t> </w:t>
      </w:r>
      <w:r>
        <w:rPr/>
        <w:t>составляет</w:t>
      </w:r>
      <w:r>
        <w:rPr>
          <w:spacing w:val="-17"/>
        </w:rPr>
        <w:t> </w:t>
      </w:r>
      <w:r>
        <w:rPr/>
        <w:t>список.</w:t>
      </w:r>
      <w:r>
        <w:rPr>
          <w:spacing w:val="-18"/>
        </w:rPr>
        <w:t> </w:t>
      </w:r>
      <w:r>
        <w:rPr/>
        <w:t>Под</w:t>
      </w:r>
      <w:r>
        <w:rPr>
          <w:spacing w:val="-17"/>
        </w:rPr>
        <w:t> </w:t>
      </w:r>
      <w:r>
        <w:rPr/>
        <w:t>номером</w:t>
      </w:r>
      <w:r>
        <w:rPr>
          <w:spacing w:val="-18"/>
        </w:rPr>
        <w:t> </w:t>
      </w:r>
      <w:r>
        <w:rPr/>
        <w:t>«1» в бланк заносится фамилия члена группы, которого участник выбирает в первую</w:t>
      </w:r>
      <w:r>
        <w:rPr>
          <w:spacing w:val="-6"/>
        </w:rPr>
        <w:t> </w:t>
      </w:r>
      <w:r>
        <w:rPr/>
        <w:t>очередь;</w:t>
      </w:r>
      <w:r>
        <w:rPr>
          <w:spacing w:val="-4"/>
        </w:rPr>
        <w:t> </w:t>
      </w:r>
      <w:r>
        <w:rPr/>
        <w:t>под</w:t>
      </w:r>
      <w:r>
        <w:rPr>
          <w:spacing w:val="-4"/>
        </w:rPr>
        <w:t> </w:t>
      </w:r>
      <w:r>
        <w:rPr/>
        <w:t>номером</w:t>
      </w:r>
      <w:r>
        <w:rPr>
          <w:spacing w:val="-5"/>
        </w:rPr>
        <w:t> </w:t>
      </w:r>
      <w:r>
        <w:rPr/>
        <w:t>«2»</w:t>
      </w:r>
      <w:r>
        <w:rPr>
          <w:spacing w:val="-2"/>
        </w:rPr>
        <w:t> </w:t>
      </w:r>
      <w:r>
        <w:rPr/>
        <w:t>—</w:t>
      </w:r>
      <w:r>
        <w:rPr>
          <w:spacing w:val="-5"/>
        </w:rPr>
        <w:t> </w:t>
      </w:r>
      <w:r>
        <w:rPr/>
        <w:t>фамилия</w:t>
      </w:r>
      <w:r>
        <w:rPr>
          <w:spacing w:val="-5"/>
        </w:rPr>
        <w:t> </w:t>
      </w:r>
      <w:r>
        <w:rPr/>
        <w:t>того,</w:t>
      </w:r>
      <w:r>
        <w:rPr>
          <w:spacing w:val="-6"/>
        </w:rPr>
        <w:t> </w:t>
      </w:r>
      <w:r>
        <w:rPr/>
        <w:t>кто</w:t>
      </w:r>
      <w:r>
        <w:rPr>
          <w:spacing w:val="-5"/>
        </w:rPr>
        <w:t> </w:t>
      </w:r>
      <w:r>
        <w:rPr/>
        <w:t>выбран</w:t>
      </w:r>
      <w:r>
        <w:rPr>
          <w:spacing w:val="-5"/>
        </w:rPr>
        <w:t> </w:t>
      </w:r>
      <w:r>
        <w:rPr/>
        <w:t>вторым,</w:t>
      </w:r>
      <w:r>
        <w:rPr>
          <w:spacing w:val="-6"/>
        </w:rPr>
        <w:t> </w:t>
      </w:r>
      <w:r>
        <w:rPr/>
        <w:t>и</w:t>
      </w:r>
      <w:r>
        <w:rPr>
          <w:spacing w:val="-5"/>
        </w:rPr>
        <w:t> </w:t>
      </w:r>
      <w:r>
        <w:rPr/>
        <w:t>т.д. Психолог должен организовать процедуру таким образом, чтобы каждый участник работал самостоятельно, ни с кем не советуясь и не сверяя свои ответы с ответами окружающих (</w:t>
      </w:r>
      <w:r>
        <w:rPr>
          <w:i/>
        </w:rPr>
        <w:t>Кондратьев, </w:t>
      </w:r>
      <w:r>
        <w:rPr/>
        <w:t>2007).</w:t>
      </w:r>
    </w:p>
    <w:p>
      <w:pPr>
        <w:pStyle w:val="Heading4"/>
        <w:spacing w:before="1"/>
        <w:ind w:right="567" w:firstLine="566"/>
      </w:pPr>
      <w:r>
        <w:rPr/>
        <w:t>Результаты социометрического теста могут быть представлены в виде социометрической матрицы.</w:t>
      </w:r>
    </w:p>
    <w:p>
      <w:pPr>
        <w:pStyle w:val="Heading4"/>
        <w:spacing w:after="0"/>
        <w:sectPr>
          <w:pgSz w:w="11910" w:h="16840"/>
          <w:pgMar w:header="0" w:footer="970" w:top="1040" w:bottom="1220" w:left="1417" w:right="283"/>
        </w:sectPr>
      </w:pPr>
    </w:p>
    <w:p>
      <w:pPr>
        <w:pStyle w:val="Heading3"/>
        <w:ind w:left="7682"/>
        <w:jc w:val="center"/>
      </w:pPr>
      <w:r>
        <w:rPr/>
        <w:t>Таблица</w:t>
      </w:r>
      <w:r>
        <w:rPr>
          <w:spacing w:val="-5"/>
        </w:rPr>
        <w:t> 20</w:t>
      </w:r>
    </w:p>
    <w:p>
      <w:pPr>
        <w:spacing w:before="0"/>
        <w:ind w:left="284" w:right="0" w:firstLine="0"/>
        <w:jc w:val="center"/>
        <w:rPr>
          <w:b/>
          <w:sz w:val="28"/>
        </w:rPr>
      </w:pPr>
      <w:r>
        <w:rPr>
          <w:b/>
          <w:sz w:val="28"/>
        </w:rPr>
        <w:t>Пример</w:t>
      </w:r>
      <w:r>
        <w:rPr>
          <w:b/>
          <w:spacing w:val="-11"/>
          <w:sz w:val="28"/>
        </w:rPr>
        <w:t> </w:t>
      </w:r>
      <w:r>
        <w:rPr>
          <w:b/>
          <w:sz w:val="28"/>
        </w:rPr>
        <w:t>социометрической</w:t>
      </w:r>
      <w:r>
        <w:rPr>
          <w:b/>
          <w:spacing w:val="-11"/>
          <w:sz w:val="28"/>
        </w:rPr>
        <w:t> </w:t>
      </w:r>
      <w:r>
        <w:rPr>
          <w:b/>
          <w:spacing w:val="-2"/>
          <w:sz w:val="28"/>
        </w:rPr>
        <w:t>матрицы</w:t>
      </w:r>
    </w:p>
    <w:p>
      <w:pPr>
        <w:pStyle w:val="BodyText"/>
        <w:ind w:left="0" w:right="0" w:firstLine="0"/>
        <w:jc w:val="left"/>
        <w:rPr>
          <w:b/>
        </w:rPr>
      </w:pPr>
    </w:p>
    <w:p>
      <w:pPr>
        <w:pStyle w:val="BodyText"/>
        <w:spacing w:before="63"/>
        <w:ind w:left="0" w:right="0" w:firstLine="0"/>
        <w:jc w:val="left"/>
        <w:rPr>
          <w:b/>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5"/>
        <w:gridCol w:w="569"/>
        <w:gridCol w:w="708"/>
        <w:gridCol w:w="708"/>
        <w:gridCol w:w="708"/>
        <w:gridCol w:w="710"/>
        <w:gridCol w:w="708"/>
        <w:gridCol w:w="707"/>
        <w:gridCol w:w="709"/>
        <w:gridCol w:w="707"/>
      </w:tblGrid>
      <w:tr>
        <w:trPr>
          <w:trHeight w:val="518" w:hRule="atLeast"/>
        </w:trPr>
        <w:tc>
          <w:tcPr>
            <w:tcW w:w="3255" w:type="dxa"/>
          </w:tcPr>
          <w:p>
            <w:pPr>
              <w:pStyle w:val="TableParagraph"/>
              <w:spacing w:line="275" w:lineRule="exact"/>
              <w:ind w:left="863"/>
              <w:rPr>
                <w:b/>
                <w:sz w:val="24"/>
              </w:rPr>
            </w:pPr>
            <w:r>
              <w:rPr>
                <w:b/>
                <w:sz w:val="24"/>
              </w:rPr>
              <w:t>Кто</w:t>
            </w:r>
            <w:r>
              <w:rPr>
                <w:b/>
                <w:spacing w:val="1"/>
                <w:sz w:val="24"/>
              </w:rPr>
              <w:t> </w:t>
            </w:r>
            <w:r>
              <w:rPr>
                <w:b/>
                <w:spacing w:val="-2"/>
                <w:sz w:val="24"/>
              </w:rPr>
              <w:t>выбирает</w:t>
            </w:r>
          </w:p>
        </w:tc>
        <w:tc>
          <w:tcPr>
            <w:tcW w:w="6234" w:type="dxa"/>
            <w:gridSpan w:val="9"/>
          </w:tcPr>
          <w:p>
            <w:pPr>
              <w:pStyle w:val="TableParagraph"/>
              <w:spacing w:line="275" w:lineRule="exact"/>
              <w:ind w:left="11"/>
              <w:jc w:val="center"/>
              <w:rPr>
                <w:b/>
                <w:sz w:val="24"/>
              </w:rPr>
            </w:pPr>
            <w:r>
              <w:rPr>
                <w:b/>
                <w:sz w:val="24"/>
              </w:rPr>
              <w:t>Кого</w:t>
            </w:r>
            <w:r>
              <w:rPr>
                <w:b/>
                <w:spacing w:val="-2"/>
                <w:sz w:val="24"/>
              </w:rPr>
              <w:t> выбирают</w:t>
            </w:r>
          </w:p>
        </w:tc>
      </w:tr>
      <w:tr>
        <w:trPr>
          <w:trHeight w:val="517" w:hRule="atLeast"/>
        </w:trPr>
        <w:tc>
          <w:tcPr>
            <w:tcW w:w="3255" w:type="dxa"/>
            <w:shd w:val="clear" w:color="auto" w:fill="D9D9D9"/>
          </w:tcPr>
          <w:p>
            <w:pPr>
              <w:pStyle w:val="TableParagraph"/>
              <w:rPr>
                <w:sz w:val="26"/>
              </w:rPr>
            </w:pPr>
          </w:p>
        </w:tc>
        <w:tc>
          <w:tcPr>
            <w:tcW w:w="569" w:type="dxa"/>
          </w:tcPr>
          <w:p>
            <w:pPr>
              <w:pStyle w:val="TableParagraph"/>
              <w:spacing w:line="270" w:lineRule="exact"/>
              <w:ind w:left="91" w:right="84"/>
              <w:jc w:val="center"/>
              <w:rPr>
                <w:sz w:val="24"/>
              </w:rPr>
            </w:pPr>
            <w:r>
              <w:rPr>
                <w:spacing w:val="-10"/>
                <w:sz w:val="24"/>
              </w:rPr>
              <w:t>А</w:t>
            </w:r>
          </w:p>
        </w:tc>
        <w:tc>
          <w:tcPr>
            <w:tcW w:w="708" w:type="dxa"/>
          </w:tcPr>
          <w:p>
            <w:pPr>
              <w:pStyle w:val="TableParagraph"/>
              <w:spacing w:line="270" w:lineRule="exact"/>
              <w:ind w:left="10" w:right="5"/>
              <w:jc w:val="center"/>
              <w:rPr>
                <w:sz w:val="24"/>
              </w:rPr>
            </w:pPr>
            <w:r>
              <w:rPr>
                <w:spacing w:val="-10"/>
                <w:sz w:val="24"/>
              </w:rPr>
              <w:t>Б</w:t>
            </w:r>
          </w:p>
        </w:tc>
        <w:tc>
          <w:tcPr>
            <w:tcW w:w="708" w:type="dxa"/>
          </w:tcPr>
          <w:p>
            <w:pPr>
              <w:pStyle w:val="TableParagraph"/>
              <w:spacing w:line="270" w:lineRule="exact"/>
              <w:ind w:left="10" w:right="6"/>
              <w:jc w:val="center"/>
              <w:rPr>
                <w:sz w:val="24"/>
              </w:rPr>
            </w:pPr>
            <w:r>
              <w:rPr>
                <w:spacing w:val="-10"/>
                <w:sz w:val="24"/>
              </w:rPr>
              <w:t>В</w:t>
            </w:r>
          </w:p>
        </w:tc>
        <w:tc>
          <w:tcPr>
            <w:tcW w:w="708" w:type="dxa"/>
          </w:tcPr>
          <w:p>
            <w:pPr>
              <w:pStyle w:val="TableParagraph"/>
              <w:spacing w:line="270" w:lineRule="exact"/>
              <w:ind w:left="10" w:right="4"/>
              <w:jc w:val="center"/>
              <w:rPr>
                <w:sz w:val="24"/>
              </w:rPr>
            </w:pPr>
            <w:r>
              <w:rPr>
                <w:spacing w:val="-10"/>
                <w:sz w:val="24"/>
              </w:rPr>
              <w:t>Г</w:t>
            </w:r>
          </w:p>
        </w:tc>
        <w:tc>
          <w:tcPr>
            <w:tcW w:w="710" w:type="dxa"/>
          </w:tcPr>
          <w:p>
            <w:pPr>
              <w:pStyle w:val="TableParagraph"/>
              <w:spacing w:line="270" w:lineRule="exact"/>
              <w:ind w:left="5"/>
              <w:jc w:val="center"/>
              <w:rPr>
                <w:sz w:val="24"/>
              </w:rPr>
            </w:pPr>
            <w:r>
              <w:rPr>
                <w:spacing w:val="-10"/>
                <w:sz w:val="24"/>
              </w:rPr>
              <w:t>Д</w:t>
            </w:r>
          </w:p>
        </w:tc>
        <w:tc>
          <w:tcPr>
            <w:tcW w:w="708" w:type="dxa"/>
          </w:tcPr>
          <w:p>
            <w:pPr>
              <w:pStyle w:val="TableParagraph"/>
              <w:spacing w:line="270" w:lineRule="exact"/>
              <w:ind w:left="10"/>
              <w:jc w:val="center"/>
              <w:rPr>
                <w:sz w:val="24"/>
              </w:rPr>
            </w:pPr>
            <w:r>
              <w:rPr>
                <w:spacing w:val="-10"/>
                <w:sz w:val="24"/>
              </w:rPr>
              <w:t>Е</w:t>
            </w:r>
          </w:p>
        </w:tc>
        <w:tc>
          <w:tcPr>
            <w:tcW w:w="707" w:type="dxa"/>
          </w:tcPr>
          <w:p>
            <w:pPr>
              <w:pStyle w:val="TableParagraph"/>
              <w:spacing w:line="270" w:lineRule="exact"/>
              <w:ind w:left="10" w:right="1"/>
              <w:jc w:val="center"/>
              <w:rPr>
                <w:sz w:val="24"/>
              </w:rPr>
            </w:pPr>
            <w:r>
              <w:rPr>
                <w:spacing w:val="-10"/>
                <w:sz w:val="24"/>
              </w:rPr>
              <w:t>Ж</w:t>
            </w:r>
          </w:p>
        </w:tc>
        <w:tc>
          <w:tcPr>
            <w:tcW w:w="709" w:type="dxa"/>
          </w:tcPr>
          <w:p>
            <w:pPr>
              <w:pStyle w:val="TableParagraph"/>
              <w:spacing w:line="270" w:lineRule="exact"/>
              <w:ind w:left="10"/>
              <w:jc w:val="center"/>
              <w:rPr>
                <w:sz w:val="24"/>
              </w:rPr>
            </w:pPr>
            <w:r>
              <w:rPr>
                <w:spacing w:val="-10"/>
                <w:sz w:val="24"/>
              </w:rPr>
              <w:t>З</w:t>
            </w:r>
          </w:p>
        </w:tc>
        <w:tc>
          <w:tcPr>
            <w:tcW w:w="707" w:type="dxa"/>
          </w:tcPr>
          <w:p>
            <w:pPr>
              <w:pStyle w:val="TableParagraph"/>
              <w:spacing w:line="270" w:lineRule="exact"/>
              <w:ind w:left="10"/>
              <w:jc w:val="center"/>
              <w:rPr>
                <w:sz w:val="24"/>
              </w:rPr>
            </w:pPr>
            <w:r>
              <w:rPr>
                <w:spacing w:val="-10"/>
                <w:sz w:val="24"/>
              </w:rPr>
              <w:t>И</w:t>
            </w:r>
          </w:p>
        </w:tc>
      </w:tr>
      <w:tr>
        <w:trPr>
          <w:trHeight w:val="518" w:hRule="atLeast"/>
        </w:trPr>
        <w:tc>
          <w:tcPr>
            <w:tcW w:w="3255" w:type="dxa"/>
          </w:tcPr>
          <w:p>
            <w:pPr>
              <w:pStyle w:val="TableParagraph"/>
              <w:spacing w:line="270" w:lineRule="exact"/>
              <w:ind w:left="11"/>
              <w:jc w:val="center"/>
              <w:rPr>
                <w:sz w:val="24"/>
              </w:rPr>
            </w:pPr>
            <w:r>
              <w:rPr>
                <w:sz w:val="24"/>
              </w:rPr>
              <w:t>Ученик</w:t>
            </w:r>
            <w:r>
              <w:rPr>
                <w:spacing w:val="-2"/>
                <w:sz w:val="24"/>
              </w:rPr>
              <w:t> </w:t>
            </w:r>
            <w:r>
              <w:rPr>
                <w:spacing w:val="-10"/>
                <w:sz w:val="24"/>
              </w:rPr>
              <w:t>А</w:t>
            </w:r>
          </w:p>
        </w:tc>
        <w:tc>
          <w:tcPr>
            <w:tcW w:w="569" w:type="dxa"/>
          </w:tcPr>
          <w:p>
            <w:pPr>
              <w:pStyle w:val="TableParagraph"/>
              <w:spacing w:line="270" w:lineRule="exact"/>
              <w:ind w:left="91" w:right="85"/>
              <w:jc w:val="center"/>
              <w:rPr>
                <w:sz w:val="24"/>
              </w:rPr>
            </w:pPr>
            <w:r>
              <w:rPr>
                <w:spacing w:val="-10"/>
                <w:sz w:val="24"/>
              </w:rPr>
              <w:t>*</w:t>
            </w:r>
          </w:p>
        </w:tc>
        <w:tc>
          <w:tcPr>
            <w:tcW w:w="708" w:type="dxa"/>
          </w:tcPr>
          <w:p>
            <w:pPr>
              <w:pStyle w:val="TableParagraph"/>
              <w:rPr>
                <w:sz w:val="26"/>
              </w:rPr>
            </w:pPr>
          </w:p>
        </w:tc>
        <w:tc>
          <w:tcPr>
            <w:tcW w:w="708" w:type="dxa"/>
          </w:tcPr>
          <w:p>
            <w:pPr>
              <w:pStyle w:val="TableParagraph"/>
              <w:rPr>
                <w:sz w:val="26"/>
              </w:rPr>
            </w:pPr>
          </w:p>
        </w:tc>
        <w:tc>
          <w:tcPr>
            <w:tcW w:w="708" w:type="dxa"/>
          </w:tcPr>
          <w:p>
            <w:pPr>
              <w:pStyle w:val="TableParagraph"/>
              <w:rPr>
                <w:sz w:val="26"/>
              </w:rPr>
            </w:pPr>
          </w:p>
        </w:tc>
        <w:tc>
          <w:tcPr>
            <w:tcW w:w="710" w:type="dxa"/>
          </w:tcPr>
          <w:p>
            <w:pPr>
              <w:pStyle w:val="TableParagraph"/>
              <w:rPr>
                <w:sz w:val="26"/>
              </w:rPr>
            </w:pPr>
          </w:p>
        </w:tc>
        <w:tc>
          <w:tcPr>
            <w:tcW w:w="708" w:type="dxa"/>
          </w:tcPr>
          <w:p>
            <w:pPr>
              <w:pStyle w:val="TableParagraph"/>
              <w:rPr>
                <w:sz w:val="26"/>
              </w:rPr>
            </w:pPr>
          </w:p>
        </w:tc>
        <w:tc>
          <w:tcPr>
            <w:tcW w:w="707" w:type="dxa"/>
          </w:tcPr>
          <w:p>
            <w:pPr>
              <w:pStyle w:val="TableParagraph"/>
              <w:rPr>
                <w:sz w:val="26"/>
              </w:rPr>
            </w:pPr>
          </w:p>
        </w:tc>
        <w:tc>
          <w:tcPr>
            <w:tcW w:w="709" w:type="dxa"/>
          </w:tcPr>
          <w:p>
            <w:pPr>
              <w:pStyle w:val="TableParagraph"/>
              <w:rPr>
                <w:sz w:val="26"/>
              </w:rPr>
            </w:pPr>
          </w:p>
        </w:tc>
        <w:tc>
          <w:tcPr>
            <w:tcW w:w="707" w:type="dxa"/>
          </w:tcPr>
          <w:p>
            <w:pPr>
              <w:pStyle w:val="TableParagraph"/>
              <w:rPr>
                <w:sz w:val="26"/>
              </w:rPr>
            </w:pPr>
          </w:p>
        </w:tc>
      </w:tr>
      <w:tr>
        <w:trPr>
          <w:trHeight w:val="515" w:hRule="atLeast"/>
        </w:trPr>
        <w:tc>
          <w:tcPr>
            <w:tcW w:w="3255" w:type="dxa"/>
          </w:tcPr>
          <w:p>
            <w:pPr>
              <w:pStyle w:val="TableParagraph"/>
              <w:spacing w:line="270" w:lineRule="exact"/>
              <w:ind w:left="11" w:right="2"/>
              <w:jc w:val="center"/>
              <w:rPr>
                <w:sz w:val="24"/>
              </w:rPr>
            </w:pPr>
            <w:r>
              <w:rPr>
                <w:sz w:val="24"/>
              </w:rPr>
              <w:t>Ученик</w:t>
            </w:r>
            <w:r>
              <w:rPr>
                <w:spacing w:val="-2"/>
                <w:sz w:val="24"/>
              </w:rPr>
              <w:t> </w:t>
            </w:r>
            <w:r>
              <w:rPr>
                <w:spacing w:val="-10"/>
                <w:sz w:val="24"/>
              </w:rPr>
              <w:t>Б</w:t>
            </w:r>
          </w:p>
        </w:tc>
        <w:tc>
          <w:tcPr>
            <w:tcW w:w="569" w:type="dxa"/>
          </w:tcPr>
          <w:p>
            <w:pPr>
              <w:pStyle w:val="TableParagraph"/>
              <w:rPr>
                <w:sz w:val="26"/>
              </w:rPr>
            </w:pPr>
          </w:p>
        </w:tc>
        <w:tc>
          <w:tcPr>
            <w:tcW w:w="708" w:type="dxa"/>
          </w:tcPr>
          <w:p>
            <w:pPr>
              <w:pStyle w:val="TableParagraph"/>
              <w:spacing w:line="270" w:lineRule="exact"/>
              <w:ind w:left="10" w:right="9"/>
              <w:jc w:val="center"/>
              <w:rPr>
                <w:sz w:val="24"/>
              </w:rPr>
            </w:pPr>
            <w:r>
              <w:rPr>
                <w:spacing w:val="-10"/>
                <w:sz w:val="24"/>
              </w:rPr>
              <w:t>*</w:t>
            </w:r>
          </w:p>
        </w:tc>
        <w:tc>
          <w:tcPr>
            <w:tcW w:w="708" w:type="dxa"/>
          </w:tcPr>
          <w:p>
            <w:pPr>
              <w:pStyle w:val="TableParagraph"/>
              <w:rPr>
                <w:sz w:val="26"/>
              </w:rPr>
            </w:pPr>
          </w:p>
        </w:tc>
        <w:tc>
          <w:tcPr>
            <w:tcW w:w="708" w:type="dxa"/>
          </w:tcPr>
          <w:p>
            <w:pPr>
              <w:pStyle w:val="TableParagraph"/>
              <w:rPr>
                <w:sz w:val="26"/>
              </w:rPr>
            </w:pPr>
          </w:p>
        </w:tc>
        <w:tc>
          <w:tcPr>
            <w:tcW w:w="710" w:type="dxa"/>
          </w:tcPr>
          <w:p>
            <w:pPr>
              <w:pStyle w:val="TableParagraph"/>
              <w:rPr>
                <w:sz w:val="26"/>
              </w:rPr>
            </w:pPr>
          </w:p>
        </w:tc>
        <w:tc>
          <w:tcPr>
            <w:tcW w:w="708" w:type="dxa"/>
          </w:tcPr>
          <w:p>
            <w:pPr>
              <w:pStyle w:val="TableParagraph"/>
              <w:rPr>
                <w:sz w:val="26"/>
              </w:rPr>
            </w:pPr>
          </w:p>
        </w:tc>
        <w:tc>
          <w:tcPr>
            <w:tcW w:w="707" w:type="dxa"/>
          </w:tcPr>
          <w:p>
            <w:pPr>
              <w:pStyle w:val="TableParagraph"/>
              <w:rPr>
                <w:sz w:val="26"/>
              </w:rPr>
            </w:pPr>
          </w:p>
        </w:tc>
        <w:tc>
          <w:tcPr>
            <w:tcW w:w="709" w:type="dxa"/>
          </w:tcPr>
          <w:p>
            <w:pPr>
              <w:pStyle w:val="TableParagraph"/>
              <w:rPr>
                <w:sz w:val="26"/>
              </w:rPr>
            </w:pPr>
          </w:p>
        </w:tc>
        <w:tc>
          <w:tcPr>
            <w:tcW w:w="707" w:type="dxa"/>
          </w:tcPr>
          <w:p>
            <w:pPr>
              <w:pStyle w:val="TableParagraph"/>
              <w:rPr>
                <w:sz w:val="26"/>
              </w:rPr>
            </w:pPr>
          </w:p>
        </w:tc>
      </w:tr>
      <w:tr>
        <w:trPr>
          <w:trHeight w:val="518" w:hRule="atLeast"/>
        </w:trPr>
        <w:tc>
          <w:tcPr>
            <w:tcW w:w="3255" w:type="dxa"/>
          </w:tcPr>
          <w:p>
            <w:pPr>
              <w:pStyle w:val="TableParagraph"/>
              <w:spacing w:line="270" w:lineRule="exact"/>
              <w:ind w:left="11" w:right="4"/>
              <w:jc w:val="center"/>
              <w:rPr>
                <w:sz w:val="24"/>
              </w:rPr>
            </w:pPr>
            <w:r>
              <w:rPr>
                <w:sz w:val="24"/>
              </w:rPr>
              <w:t>Ученик</w:t>
            </w:r>
            <w:r>
              <w:rPr>
                <w:spacing w:val="-2"/>
                <w:sz w:val="24"/>
              </w:rPr>
              <w:t> </w:t>
            </w:r>
            <w:r>
              <w:rPr>
                <w:spacing w:val="-10"/>
                <w:sz w:val="24"/>
              </w:rPr>
              <w:t>В</w:t>
            </w:r>
          </w:p>
        </w:tc>
        <w:tc>
          <w:tcPr>
            <w:tcW w:w="569" w:type="dxa"/>
          </w:tcPr>
          <w:p>
            <w:pPr>
              <w:pStyle w:val="TableParagraph"/>
              <w:rPr>
                <w:sz w:val="26"/>
              </w:rPr>
            </w:pPr>
          </w:p>
        </w:tc>
        <w:tc>
          <w:tcPr>
            <w:tcW w:w="708" w:type="dxa"/>
          </w:tcPr>
          <w:p>
            <w:pPr>
              <w:pStyle w:val="TableParagraph"/>
              <w:rPr>
                <w:sz w:val="26"/>
              </w:rPr>
            </w:pPr>
          </w:p>
        </w:tc>
        <w:tc>
          <w:tcPr>
            <w:tcW w:w="708" w:type="dxa"/>
          </w:tcPr>
          <w:p>
            <w:pPr>
              <w:pStyle w:val="TableParagraph"/>
              <w:spacing w:line="270" w:lineRule="exact"/>
              <w:ind w:left="10" w:right="8"/>
              <w:jc w:val="center"/>
              <w:rPr>
                <w:sz w:val="24"/>
              </w:rPr>
            </w:pPr>
            <w:r>
              <w:rPr>
                <w:spacing w:val="-10"/>
                <w:sz w:val="24"/>
              </w:rPr>
              <w:t>*</w:t>
            </w:r>
          </w:p>
        </w:tc>
        <w:tc>
          <w:tcPr>
            <w:tcW w:w="708" w:type="dxa"/>
          </w:tcPr>
          <w:p>
            <w:pPr>
              <w:pStyle w:val="TableParagraph"/>
              <w:rPr>
                <w:sz w:val="26"/>
              </w:rPr>
            </w:pPr>
          </w:p>
        </w:tc>
        <w:tc>
          <w:tcPr>
            <w:tcW w:w="710" w:type="dxa"/>
          </w:tcPr>
          <w:p>
            <w:pPr>
              <w:pStyle w:val="TableParagraph"/>
              <w:rPr>
                <w:sz w:val="26"/>
              </w:rPr>
            </w:pPr>
          </w:p>
        </w:tc>
        <w:tc>
          <w:tcPr>
            <w:tcW w:w="708" w:type="dxa"/>
          </w:tcPr>
          <w:p>
            <w:pPr>
              <w:pStyle w:val="TableParagraph"/>
              <w:rPr>
                <w:sz w:val="26"/>
              </w:rPr>
            </w:pPr>
          </w:p>
        </w:tc>
        <w:tc>
          <w:tcPr>
            <w:tcW w:w="707" w:type="dxa"/>
          </w:tcPr>
          <w:p>
            <w:pPr>
              <w:pStyle w:val="TableParagraph"/>
              <w:rPr>
                <w:sz w:val="26"/>
              </w:rPr>
            </w:pPr>
          </w:p>
        </w:tc>
        <w:tc>
          <w:tcPr>
            <w:tcW w:w="709" w:type="dxa"/>
          </w:tcPr>
          <w:p>
            <w:pPr>
              <w:pStyle w:val="TableParagraph"/>
              <w:rPr>
                <w:sz w:val="26"/>
              </w:rPr>
            </w:pPr>
          </w:p>
        </w:tc>
        <w:tc>
          <w:tcPr>
            <w:tcW w:w="707" w:type="dxa"/>
          </w:tcPr>
          <w:p>
            <w:pPr>
              <w:pStyle w:val="TableParagraph"/>
              <w:rPr>
                <w:sz w:val="26"/>
              </w:rPr>
            </w:pPr>
          </w:p>
        </w:tc>
      </w:tr>
      <w:tr>
        <w:trPr>
          <w:trHeight w:val="517" w:hRule="atLeast"/>
        </w:trPr>
        <w:tc>
          <w:tcPr>
            <w:tcW w:w="3255" w:type="dxa"/>
          </w:tcPr>
          <w:p>
            <w:pPr>
              <w:pStyle w:val="TableParagraph"/>
              <w:spacing w:line="270" w:lineRule="exact"/>
              <w:ind w:left="11" w:right="1"/>
              <w:jc w:val="center"/>
              <w:rPr>
                <w:sz w:val="24"/>
              </w:rPr>
            </w:pPr>
            <w:r>
              <w:rPr>
                <w:sz w:val="24"/>
              </w:rPr>
              <w:t>Ученик</w:t>
            </w:r>
            <w:r>
              <w:rPr>
                <w:spacing w:val="-2"/>
                <w:sz w:val="24"/>
              </w:rPr>
              <w:t> </w:t>
            </w:r>
            <w:r>
              <w:rPr>
                <w:spacing w:val="-10"/>
                <w:sz w:val="24"/>
              </w:rPr>
              <w:t>Г</w:t>
            </w:r>
          </w:p>
        </w:tc>
        <w:tc>
          <w:tcPr>
            <w:tcW w:w="569" w:type="dxa"/>
          </w:tcPr>
          <w:p>
            <w:pPr>
              <w:pStyle w:val="TableParagraph"/>
              <w:rPr>
                <w:sz w:val="26"/>
              </w:rPr>
            </w:pPr>
          </w:p>
        </w:tc>
        <w:tc>
          <w:tcPr>
            <w:tcW w:w="708" w:type="dxa"/>
          </w:tcPr>
          <w:p>
            <w:pPr>
              <w:pStyle w:val="TableParagraph"/>
              <w:rPr>
                <w:sz w:val="26"/>
              </w:rPr>
            </w:pPr>
          </w:p>
        </w:tc>
        <w:tc>
          <w:tcPr>
            <w:tcW w:w="708" w:type="dxa"/>
          </w:tcPr>
          <w:p>
            <w:pPr>
              <w:pStyle w:val="TableParagraph"/>
              <w:rPr>
                <w:sz w:val="26"/>
              </w:rPr>
            </w:pPr>
          </w:p>
        </w:tc>
        <w:tc>
          <w:tcPr>
            <w:tcW w:w="708" w:type="dxa"/>
          </w:tcPr>
          <w:p>
            <w:pPr>
              <w:pStyle w:val="TableParagraph"/>
              <w:spacing w:line="270" w:lineRule="exact"/>
              <w:ind w:left="10" w:right="3"/>
              <w:jc w:val="center"/>
              <w:rPr>
                <w:sz w:val="24"/>
              </w:rPr>
            </w:pPr>
            <w:r>
              <w:rPr>
                <w:spacing w:val="-10"/>
                <w:sz w:val="24"/>
              </w:rPr>
              <w:t>*</w:t>
            </w:r>
          </w:p>
        </w:tc>
        <w:tc>
          <w:tcPr>
            <w:tcW w:w="710" w:type="dxa"/>
          </w:tcPr>
          <w:p>
            <w:pPr>
              <w:pStyle w:val="TableParagraph"/>
              <w:rPr>
                <w:sz w:val="26"/>
              </w:rPr>
            </w:pPr>
          </w:p>
        </w:tc>
        <w:tc>
          <w:tcPr>
            <w:tcW w:w="708" w:type="dxa"/>
          </w:tcPr>
          <w:p>
            <w:pPr>
              <w:pStyle w:val="TableParagraph"/>
              <w:rPr>
                <w:sz w:val="26"/>
              </w:rPr>
            </w:pPr>
          </w:p>
        </w:tc>
        <w:tc>
          <w:tcPr>
            <w:tcW w:w="707" w:type="dxa"/>
          </w:tcPr>
          <w:p>
            <w:pPr>
              <w:pStyle w:val="TableParagraph"/>
              <w:rPr>
                <w:sz w:val="26"/>
              </w:rPr>
            </w:pPr>
          </w:p>
        </w:tc>
        <w:tc>
          <w:tcPr>
            <w:tcW w:w="709" w:type="dxa"/>
          </w:tcPr>
          <w:p>
            <w:pPr>
              <w:pStyle w:val="TableParagraph"/>
              <w:rPr>
                <w:sz w:val="26"/>
              </w:rPr>
            </w:pPr>
          </w:p>
        </w:tc>
        <w:tc>
          <w:tcPr>
            <w:tcW w:w="707" w:type="dxa"/>
          </w:tcPr>
          <w:p>
            <w:pPr>
              <w:pStyle w:val="TableParagraph"/>
              <w:rPr>
                <w:sz w:val="26"/>
              </w:rPr>
            </w:pPr>
          </w:p>
        </w:tc>
      </w:tr>
      <w:tr>
        <w:trPr>
          <w:trHeight w:val="515" w:hRule="atLeast"/>
        </w:trPr>
        <w:tc>
          <w:tcPr>
            <w:tcW w:w="3255" w:type="dxa"/>
          </w:tcPr>
          <w:p>
            <w:pPr>
              <w:pStyle w:val="TableParagraph"/>
              <w:spacing w:line="270" w:lineRule="exact"/>
              <w:ind w:left="11"/>
              <w:jc w:val="center"/>
              <w:rPr>
                <w:sz w:val="24"/>
              </w:rPr>
            </w:pPr>
            <w:r>
              <w:rPr>
                <w:sz w:val="24"/>
              </w:rPr>
              <w:t>Ученик</w:t>
            </w:r>
            <w:r>
              <w:rPr>
                <w:spacing w:val="-2"/>
                <w:sz w:val="24"/>
              </w:rPr>
              <w:t> </w:t>
            </w:r>
            <w:r>
              <w:rPr>
                <w:spacing w:val="-10"/>
                <w:sz w:val="24"/>
              </w:rPr>
              <w:t>Д</w:t>
            </w:r>
          </w:p>
        </w:tc>
        <w:tc>
          <w:tcPr>
            <w:tcW w:w="569" w:type="dxa"/>
          </w:tcPr>
          <w:p>
            <w:pPr>
              <w:pStyle w:val="TableParagraph"/>
              <w:rPr>
                <w:sz w:val="26"/>
              </w:rPr>
            </w:pPr>
          </w:p>
        </w:tc>
        <w:tc>
          <w:tcPr>
            <w:tcW w:w="708" w:type="dxa"/>
          </w:tcPr>
          <w:p>
            <w:pPr>
              <w:pStyle w:val="TableParagraph"/>
              <w:rPr>
                <w:sz w:val="26"/>
              </w:rPr>
            </w:pPr>
          </w:p>
        </w:tc>
        <w:tc>
          <w:tcPr>
            <w:tcW w:w="708" w:type="dxa"/>
          </w:tcPr>
          <w:p>
            <w:pPr>
              <w:pStyle w:val="TableParagraph"/>
              <w:rPr>
                <w:sz w:val="26"/>
              </w:rPr>
            </w:pPr>
          </w:p>
        </w:tc>
        <w:tc>
          <w:tcPr>
            <w:tcW w:w="708" w:type="dxa"/>
          </w:tcPr>
          <w:p>
            <w:pPr>
              <w:pStyle w:val="TableParagraph"/>
              <w:rPr>
                <w:sz w:val="26"/>
              </w:rPr>
            </w:pPr>
          </w:p>
        </w:tc>
        <w:tc>
          <w:tcPr>
            <w:tcW w:w="710" w:type="dxa"/>
          </w:tcPr>
          <w:p>
            <w:pPr>
              <w:pStyle w:val="TableParagraph"/>
              <w:spacing w:line="270" w:lineRule="exact"/>
              <w:ind w:left="5"/>
              <w:jc w:val="center"/>
              <w:rPr>
                <w:sz w:val="24"/>
              </w:rPr>
            </w:pPr>
            <w:r>
              <w:rPr>
                <w:spacing w:val="-10"/>
                <w:sz w:val="24"/>
              </w:rPr>
              <w:t>*</w:t>
            </w:r>
          </w:p>
        </w:tc>
        <w:tc>
          <w:tcPr>
            <w:tcW w:w="708" w:type="dxa"/>
          </w:tcPr>
          <w:p>
            <w:pPr>
              <w:pStyle w:val="TableParagraph"/>
              <w:rPr>
                <w:sz w:val="26"/>
              </w:rPr>
            </w:pPr>
          </w:p>
        </w:tc>
        <w:tc>
          <w:tcPr>
            <w:tcW w:w="707" w:type="dxa"/>
          </w:tcPr>
          <w:p>
            <w:pPr>
              <w:pStyle w:val="TableParagraph"/>
              <w:rPr>
                <w:sz w:val="26"/>
              </w:rPr>
            </w:pPr>
          </w:p>
        </w:tc>
        <w:tc>
          <w:tcPr>
            <w:tcW w:w="709" w:type="dxa"/>
          </w:tcPr>
          <w:p>
            <w:pPr>
              <w:pStyle w:val="TableParagraph"/>
              <w:rPr>
                <w:sz w:val="26"/>
              </w:rPr>
            </w:pPr>
          </w:p>
        </w:tc>
        <w:tc>
          <w:tcPr>
            <w:tcW w:w="707" w:type="dxa"/>
          </w:tcPr>
          <w:p>
            <w:pPr>
              <w:pStyle w:val="TableParagraph"/>
              <w:rPr>
                <w:sz w:val="26"/>
              </w:rPr>
            </w:pPr>
          </w:p>
        </w:tc>
      </w:tr>
      <w:tr>
        <w:trPr>
          <w:trHeight w:val="518" w:hRule="atLeast"/>
        </w:trPr>
        <w:tc>
          <w:tcPr>
            <w:tcW w:w="3255" w:type="dxa"/>
          </w:tcPr>
          <w:p>
            <w:pPr>
              <w:pStyle w:val="TableParagraph"/>
              <w:spacing w:line="273" w:lineRule="exact"/>
              <w:ind w:left="11" w:right="3"/>
              <w:jc w:val="center"/>
              <w:rPr>
                <w:sz w:val="24"/>
              </w:rPr>
            </w:pPr>
            <w:r>
              <w:rPr>
                <w:sz w:val="24"/>
              </w:rPr>
              <w:t>Ученик</w:t>
            </w:r>
            <w:r>
              <w:rPr>
                <w:spacing w:val="-2"/>
                <w:sz w:val="24"/>
              </w:rPr>
              <w:t> </w:t>
            </w:r>
            <w:r>
              <w:rPr>
                <w:spacing w:val="-10"/>
                <w:sz w:val="24"/>
              </w:rPr>
              <w:t>Е</w:t>
            </w:r>
          </w:p>
        </w:tc>
        <w:tc>
          <w:tcPr>
            <w:tcW w:w="569" w:type="dxa"/>
          </w:tcPr>
          <w:p>
            <w:pPr>
              <w:pStyle w:val="TableParagraph"/>
              <w:rPr>
                <w:sz w:val="26"/>
              </w:rPr>
            </w:pPr>
          </w:p>
        </w:tc>
        <w:tc>
          <w:tcPr>
            <w:tcW w:w="708" w:type="dxa"/>
          </w:tcPr>
          <w:p>
            <w:pPr>
              <w:pStyle w:val="TableParagraph"/>
              <w:rPr>
                <w:sz w:val="26"/>
              </w:rPr>
            </w:pPr>
          </w:p>
        </w:tc>
        <w:tc>
          <w:tcPr>
            <w:tcW w:w="708" w:type="dxa"/>
          </w:tcPr>
          <w:p>
            <w:pPr>
              <w:pStyle w:val="TableParagraph"/>
              <w:rPr>
                <w:sz w:val="26"/>
              </w:rPr>
            </w:pPr>
          </w:p>
        </w:tc>
        <w:tc>
          <w:tcPr>
            <w:tcW w:w="708" w:type="dxa"/>
          </w:tcPr>
          <w:p>
            <w:pPr>
              <w:pStyle w:val="TableParagraph"/>
              <w:rPr>
                <w:sz w:val="26"/>
              </w:rPr>
            </w:pPr>
          </w:p>
        </w:tc>
        <w:tc>
          <w:tcPr>
            <w:tcW w:w="710" w:type="dxa"/>
          </w:tcPr>
          <w:p>
            <w:pPr>
              <w:pStyle w:val="TableParagraph"/>
              <w:rPr>
                <w:sz w:val="26"/>
              </w:rPr>
            </w:pPr>
          </w:p>
        </w:tc>
        <w:tc>
          <w:tcPr>
            <w:tcW w:w="708" w:type="dxa"/>
          </w:tcPr>
          <w:p>
            <w:pPr>
              <w:pStyle w:val="TableParagraph"/>
              <w:spacing w:line="273" w:lineRule="exact"/>
              <w:ind w:left="10" w:right="2"/>
              <w:jc w:val="center"/>
              <w:rPr>
                <w:sz w:val="24"/>
              </w:rPr>
            </w:pPr>
            <w:r>
              <w:rPr>
                <w:spacing w:val="-10"/>
                <w:sz w:val="24"/>
              </w:rPr>
              <w:t>*</w:t>
            </w:r>
          </w:p>
        </w:tc>
        <w:tc>
          <w:tcPr>
            <w:tcW w:w="707" w:type="dxa"/>
          </w:tcPr>
          <w:p>
            <w:pPr>
              <w:pStyle w:val="TableParagraph"/>
              <w:rPr>
                <w:sz w:val="26"/>
              </w:rPr>
            </w:pPr>
          </w:p>
        </w:tc>
        <w:tc>
          <w:tcPr>
            <w:tcW w:w="709" w:type="dxa"/>
          </w:tcPr>
          <w:p>
            <w:pPr>
              <w:pStyle w:val="TableParagraph"/>
              <w:rPr>
                <w:sz w:val="26"/>
              </w:rPr>
            </w:pPr>
          </w:p>
        </w:tc>
        <w:tc>
          <w:tcPr>
            <w:tcW w:w="707" w:type="dxa"/>
          </w:tcPr>
          <w:p>
            <w:pPr>
              <w:pStyle w:val="TableParagraph"/>
              <w:rPr>
                <w:sz w:val="26"/>
              </w:rPr>
            </w:pPr>
          </w:p>
        </w:tc>
      </w:tr>
      <w:tr>
        <w:trPr>
          <w:trHeight w:val="518" w:hRule="atLeast"/>
        </w:trPr>
        <w:tc>
          <w:tcPr>
            <w:tcW w:w="3255" w:type="dxa"/>
          </w:tcPr>
          <w:p>
            <w:pPr>
              <w:pStyle w:val="TableParagraph"/>
              <w:spacing w:line="270" w:lineRule="exact"/>
              <w:ind w:left="11" w:right="2"/>
              <w:jc w:val="center"/>
              <w:rPr>
                <w:sz w:val="24"/>
              </w:rPr>
            </w:pPr>
            <w:r>
              <w:rPr>
                <w:sz w:val="24"/>
              </w:rPr>
              <w:t>Ученик</w:t>
            </w:r>
            <w:r>
              <w:rPr>
                <w:spacing w:val="-2"/>
                <w:sz w:val="24"/>
              </w:rPr>
              <w:t> </w:t>
            </w:r>
            <w:r>
              <w:rPr>
                <w:spacing w:val="-10"/>
                <w:sz w:val="24"/>
              </w:rPr>
              <w:t>Ж</w:t>
            </w:r>
          </w:p>
        </w:tc>
        <w:tc>
          <w:tcPr>
            <w:tcW w:w="569" w:type="dxa"/>
          </w:tcPr>
          <w:p>
            <w:pPr>
              <w:pStyle w:val="TableParagraph"/>
              <w:rPr>
                <w:sz w:val="26"/>
              </w:rPr>
            </w:pPr>
          </w:p>
        </w:tc>
        <w:tc>
          <w:tcPr>
            <w:tcW w:w="708" w:type="dxa"/>
          </w:tcPr>
          <w:p>
            <w:pPr>
              <w:pStyle w:val="TableParagraph"/>
              <w:rPr>
                <w:sz w:val="26"/>
              </w:rPr>
            </w:pPr>
          </w:p>
        </w:tc>
        <w:tc>
          <w:tcPr>
            <w:tcW w:w="708" w:type="dxa"/>
          </w:tcPr>
          <w:p>
            <w:pPr>
              <w:pStyle w:val="TableParagraph"/>
              <w:rPr>
                <w:sz w:val="26"/>
              </w:rPr>
            </w:pPr>
          </w:p>
        </w:tc>
        <w:tc>
          <w:tcPr>
            <w:tcW w:w="708" w:type="dxa"/>
          </w:tcPr>
          <w:p>
            <w:pPr>
              <w:pStyle w:val="TableParagraph"/>
              <w:rPr>
                <w:sz w:val="26"/>
              </w:rPr>
            </w:pPr>
          </w:p>
        </w:tc>
        <w:tc>
          <w:tcPr>
            <w:tcW w:w="710" w:type="dxa"/>
          </w:tcPr>
          <w:p>
            <w:pPr>
              <w:pStyle w:val="TableParagraph"/>
              <w:rPr>
                <w:sz w:val="26"/>
              </w:rPr>
            </w:pPr>
          </w:p>
        </w:tc>
        <w:tc>
          <w:tcPr>
            <w:tcW w:w="708" w:type="dxa"/>
          </w:tcPr>
          <w:p>
            <w:pPr>
              <w:pStyle w:val="TableParagraph"/>
              <w:rPr>
                <w:sz w:val="26"/>
              </w:rPr>
            </w:pPr>
          </w:p>
        </w:tc>
        <w:tc>
          <w:tcPr>
            <w:tcW w:w="707" w:type="dxa"/>
          </w:tcPr>
          <w:p>
            <w:pPr>
              <w:pStyle w:val="TableParagraph"/>
              <w:spacing w:line="270" w:lineRule="exact"/>
              <w:ind w:left="10"/>
              <w:jc w:val="center"/>
              <w:rPr>
                <w:sz w:val="24"/>
              </w:rPr>
            </w:pPr>
            <w:r>
              <w:rPr>
                <w:spacing w:val="-10"/>
                <w:sz w:val="24"/>
              </w:rPr>
              <w:t>*</w:t>
            </w:r>
          </w:p>
        </w:tc>
        <w:tc>
          <w:tcPr>
            <w:tcW w:w="709" w:type="dxa"/>
          </w:tcPr>
          <w:p>
            <w:pPr>
              <w:pStyle w:val="TableParagraph"/>
              <w:rPr>
                <w:sz w:val="26"/>
              </w:rPr>
            </w:pPr>
          </w:p>
        </w:tc>
        <w:tc>
          <w:tcPr>
            <w:tcW w:w="707" w:type="dxa"/>
          </w:tcPr>
          <w:p>
            <w:pPr>
              <w:pStyle w:val="TableParagraph"/>
              <w:rPr>
                <w:sz w:val="26"/>
              </w:rPr>
            </w:pPr>
          </w:p>
        </w:tc>
      </w:tr>
      <w:tr>
        <w:trPr>
          <w:trHeight w:val="517" w:hRule="atLeast"/>
        </w:trPr>
        <w:tc>
          <w:tcPr>
            <w:tcW w:w="3255" w:type="dxa"/>
          </w:tcPr>
          <w:p>
            <w:pPr>
              <w:pStyle w:val="TableParagraph"/>
              <w:spacing w:line="270" w:lineRule="exact"/>
              <w:ind w:left="11" w:right="1"/>
              <w:jc w:val="center"/>
              <w:rPr>
                <w:sz w:val="24"/>
              </w:rPr>
            </w:pPr>
            <w:r>
              <w:rPr>
                <w:sz w:val="24"/>
              </w:rPr>
              <w:t>Ученик</w:t>
            </w:r>
            <w:r>
              <w:rPr>
                <w:spacing w:val="-2"/>
                <w:sz w:val="24"/>
              </w:rPr>
              <w:t> </w:t>
            </w:r>
            <w:r>
              <w:rPr>
                <w:spacing w:val="-10"/>
                <w:sz w:val="24"/>
              </w:rPr>
              <w:t>З</w:t>
            </w:r>
          </w:p>
        </w:tc>
        <w:tc>
          <w:tcPr>
            <w:tcW w:w="569" w:type="dxa"/>
          </w:tcPr>
          <w:p>
            <w:pPr>
              <w:pStyle w:val="TableParagraph"/>
              <w:rPr>
                <w:sz w:val="26"/>
              </w:rPr>
            </w:pPr>
          </w:p>
        </w:tc>
        <w:tc>
          <w:tcPr>
            <w:tcW w:w="708" w:type="dxa"/>
          </w:tcPr>
          <w:p>
            <w:pPr>
              <w:pStyle w:val="TableParagraph"/>
              <w:rPr>
                <w:sz w:val="26"/>
              </w:rPr>
            </w:pPr>
          </w:p>
        </w:tc>
        <w:tc>
          <w:tcPr>
            <w:tcW w:w="708" w:type="dxa"/>
          </w:tcPr>
          <w:p>
            <w:pPr>
              <w:pStyle w:val="TableParagraph"/>
              <w:rPr>
                <w:sz w:val="26"/>
              </w:rPr>
            </w:pPr>
          </w:p>
        </w:tc>
        <w:tc>
          <w:tcPr>
            <w:tcW w:w="708" w:type="dxa"/>
          </w:tcPr>
          <w:p>
            <w:pPr>
              <w:pStyle w:val="TableParagraph"/>
              <w:rPr>
                <w:sz w:val="26"/>
              </w:rPr>
            </w:pPr>
          </w:p>
        </w:tc>
        <w:tc>
          <w:tcPr>
            <w:tcW w:w="710" w:type="dxa"/>
          </w:tcPr>
          <w:p>
            <w:pPr>
              <w:pStyle w:val="TableParagraph"/>
              <w:rPr>
                <w:sz w:val="26"/>
              </w:rPr>
            </w:pPr>
          </w:p>
        </w:tc>
        <w:tc>
          <w:tcPr>
            <w:tcW w:w="708" w:type="dxa"/>
          </w:tcPr>
          <w:p>
            <w:pPr>
              <w:pStyle w:val="TableParagraph"/>
              <w:rPr>
                <w:sz w:val="26"/>
              </w:rPr>
            </w:pPr>
          </w:p>
        </w:tc>
        <w:tc>
          <w:tcPr>
            <w:tcW w:w="707" w:type="dxa"/>
          </w:tcPr>
          <w:p>
            <w:pPr>
              <w:pStyle w:val="TableParagraph"/>
              <w:rPr>
                <w:sz w:val="26"/>
              </w:rPr>
            </w:pPr>
          </w:p>
        </w:tc>
        <w:tc>
          <w:tcPr>
            <w:tcW w:w="709" w:type="dxa"/>
          </w:tcPr>
          <w:p>
            <w:pPr>
              <w:pStyle w:val="TableParagraph"/>
              <w:spacing w:line="270" w:lineRule="exact"/>
              <w:ind w:left="10"/>
              <w:jc w:val="center"/>
              <w:rPr>
                <w:sz w:val="24"/>
              </w:rPr>
            </w:pPr>
            <w:r>
              <w:rPr>
                <w:spacing w:val="-10"/>
                <w:sz w:val="24"/>
              </w:rPr>
              <w:t>*</w:t>
            </w:r>
          </w:p>
        </w:tc>
        <w:tc>
          <w:tcPr>
            <w:tcW w:w="707" w:type="dxa"/>
          </w:tcPr>
          <w:p>
            <w:pPr>
              <w:pStyle w:val="TableParagraph"/>
              <w:rPr>
                <w:sz w:val="26"/>
              </w:rPr>
            </w:pPr>
          </w:p>
        </w:tc>
      </w:tr>
      <w:tr>
        <w:trPr>
          <w:trHeight w:val="516" w:hRule="atLeast"/>
        </w:trPr>
        <w:tc>
          <w:tcPr>
            <w:tcW w:w="3255" w:type="dxa"/>
          </w:tcPr>
          <w:p>
            <w:pPr>
              <w:pStyle w:val="TableParagraph"/>
              <w:spacing w:line="270" w:lineRule="exact"/>
              <w:ind w:left="11"/>
              <w:jc w:val="center"/>
              <w:rPr>
                <w:sz w:val="24"/>
              </w:rPr>
            </w:pPr>
            <w:r>
              <w:rPr>
                <w:sz w:val="24"/>
              </w:rPr>
              <w:t>Ученик</w:t>
            </w:r>
            <w:r>
              <w:rPr>
                <w:spacing w:val="-2"/>
                <w:sz w:val="24"/>
              </w:rPr>
              <w:t> </w:t>
            </w:r>
            <w:r>
              <w:rPr>
                <w:spacing w:val="-10"/>
                <w:sz w:val="24"/>
              </w:rPr>
              <w:t>И</w:t>
            </w:r>
          </w:p>
        </w:tc>
        <w:tc>
          <w:tcPr>
            <w:tcW w:w="569" w:type="dxa"/>
          </w:tcPr>
          <w:p>
            <w:pPr>
              <w:pStyle w:val="TableParagraph"/>
              <w:rPr>
                <w:sz w:val="26"/>
              </w:rPr>
            </w:pPr>
          </w:p>
        </w:tc>
        <w:tc>
          <w:tcPr>
            <w:tcW w:w="708" w:type="dxa"/>
          </w:tcPr>
          <w:p>
            <w:pPr>
              <w:pStyle w:val="TableParagraph"/>
              <w:rPr>
                <w:sz w:val="26"/>
              </w:rPr>
            </w:pPr>
          </w:p>
        </w:tc>
        <w:tc>
          <w:tcPr>
            <w:tcW w:w="708" w:type="dxa"/>
          </w:tcPr>
          <w:p>
            <w:pPr>
              <w:pStyle w:val="TableParagraph"/>
              <w:rPr>
                <w:sz w:val="26"/>
              </w:rPr>
            </w:pPr>
          </w:p>
        </w:tc>
        <w:tc>
          <w:tcPr>
            <w:tcW w:w="708" w:type="dxa"/>
          </w:tcPr>
          <w:p>
            <w:pPr>
              <w:pStyle w:val="TableParagraph"/>
              <w:rPr>
                <w:sz w:val="26"/>
              </w:rPr>
            </w:pPr>
          </w:p>
        </w:tc>
        <w:tc>
          <w:tcPr>
            <w:tcW w:w="710" w:type="dxa"/>
          </w:tcPr>
          <w:p>
            <w:pPr>
              <w:pStyle w:val="TableParagraph"/>
              <w:rPr>
                <w:sz w:val="26"/>
              </w:rPr>
            </w:pPr>
          </w:p>
        </w:tc>
        <w:tc>
          <w:tcPr>
            <w:tcW w:w="708" w:type="dxa"/>
          </w:tcPr>
          <w:p>
            <w:pPr>
              <w:pStyle w:val="TableParagraph"/>
              <w:rPr>
                <w:sz w:val="26"/>
              </w:rPr>
            </w:pPr>
          </w:p>
        </w:tc>
        <w:tc>
          <w:tcPr>
            <w:tcW w:w="707" w:type="dxa"/>
          </w:tcPr>
          <w:p>
            <w:pPr>
              <w:pStyle w:val="TableParagraph"/>
              <w:rPr>
                <w:sz w:val="26"/>
              </w:rPr>
            </w:pPr>
          </w:p>
        </w:tc>
        <w:tc>
          <w:tcPr>
            <w:tcW w:w="709" w:type="dxa"/>
          </w:tcPr>
          <w:p>
            <w:pPr>
              <w:pStyle w:val="TableParagraph"/>
              <w:rPr>
                <w:sz w:val="26"/>
              </w:rPr>
            </w:pPr>
          </w:p>
        </w:tc>
        <w:tc>
          <w:tcPr>
            <w:tcW w:w="707" w:type="dxa"/>
          </w:tcPr>
          <w:p>
            <w:pPr>
              <w:pStyle w:val="TableParagraph"/>
              <w:spacing w:line="270" w:lineRule="exact"/>
              <w:ind w:left="10"/>
              <w:jc w:val="center"/>
              <w:rPr>
                <w:sz w:val="24"/>
              </w:rPr>
            </w:pPr>
            <w:r>
              <w:rPr>
                <w:spacing w:val="-10"/>
                <w:sz w:val="24"/>
              </w:rPr>
              <w:t>*</w:t>
            </w:r>
          </w:p>
        </w:tc>
      </w:tr>
      <w:tr>
        <w:trPr>
          <w:trHeight w:val="834" w:hRule="atLeast"/>
        </w:trPr>
        <w:tc>
          <w:tcPr>
            <w:tcW w:w="3255" w:type="dxa"/>
          </w:tcPr>
          <w:p>
            <w:pPr>
              <w:pStyle w:val="TableParagraph"/>
              <w:spacing w:line="276" w:lineRule="auto"/>
              <w:ind w:left="107" w:right="570"/>
              <w:rPr>
                <w:sz w:val="24"/>
              </w:rPr>
            </w:pPr>
            <w:r>
              <w:rPr>
                <w:sz w:val="24"/>
              </w:rPr>
              <w:t>Суммарное количество положительных</w:t>
            </w:r>
            <w:r>
              <w:rPr>
                <w:spacing w:val="-15"/>
                <w:sz w:val="24"/>
              </w:rPr>
              <w:t> </w:t>
            </w:r>
            <w:r>
              <w:rPr>
                <w:sz w:val="24"/>
              </w:rPr>
              <w:t>выборов</w:t>
            </w:r>
          </w:p>
        </w:tc>
        <w:tc>
          <w:tcPr>
            <w:tcW w:w="569" w:type="dxa"/>
          </w:tcPr>
          <w:p>
            <w:pPr>
              <w:pStyle w:val="TableParagraph"/>
              <w:rPr>
                <w:sz w:val="26"/>
              </w:rPr>
            </w:pPr>
          </w:p>
        </w:tc>
        <w:tc>
          <w:tcPr>
            <w:tcW w:w="708" w:type="dxa"/>
          </w:tcPr>
          <w:p>
            <w:pPr>
              <w:pStyle w:val="TableParagraph"/>
              <w:rPr>
                <w:sz w:val="26"/>
              </w:rPr>
            </w:pPr>
          </w:p>
        </w:tc>
        <w:tc>
          <w:tcPr>
            <w:tcW w:w="708" w:type="dxa"/>
          </w:tcPr>
          <w:p>
            <w:pPr>
              <w:pStyle w:val="TableParagraph"/>
              <w:rPr>
                <w:sz w:val="26"/>
              </w:rPr>
            </w:pPr>
          </w:p>
        </w:tc>
        <w:tc>
          <w:tcPr>
            <w:tcW w:w="708" w:type="dxa"/>
          </w:tcPr>
          <w:p>
            <w:pPr>
              <w:pStyle w:val="TableParagraph"/>
              <w:rPr>
                <w:sz w:val="26"/>
              </w:rPr>
            </w:pPr>
          </w:p>
        </w:tc>
        <w:tc>
          <w:tcPr>
            <w:tcW w:w="710" w:type="dxa"/>
          </w:tcPr>
          <w:p>
            <w:pPr>
              <w:pStyle w:val="TableParagraph"/>
              <w:rPr>
                <w:sz w:val="26"/>
              </w:rPr>
            </w:pPr>
          </w:p>
        </w:tc>
        <w:tc>
          <w:tcPr>
            <w:tcW w:w="708" w:type="dxa"/>
          </w:tcPr>
          <w:p>
            <w:pPr>
              <w:pStyle w:val="TableParagraph"/>
              <w:rPr>
                <w:sz w:val="26"/>
              </w:rPr>
            </w:pPr>
          </w:p>
        </w:tc>
        <w:tc>
          <w:tcPr>
            <w:tcW w:w="707" w:type="dxa"/>
          </w:tcPr>
          <w:p>
            <w:pPr>
              <w:pStyle w:val="TableParagraph"/>
              <w:rPr>
                <w:sz w:val="26"/>
              </w:rPr>
            </w:pPr>
          </w:p>
        </w:tc>
        <w:tc>
          <w:tcPr>
            <w:tcW w:w="709" w:type="dxa"/>
          </w:tcPr>
          <w:p>
            <w:pPr>
              <w:pStyle w:val="TableParagraph"/>
              <w:rPr>
                <w:sz w:val="26"/>
              </w:rPr>
            </w:pPr>
          </w:p>
        </w:tc>
        <w:tc>
          <w:tcPr>
            <w:tcW w:w="707" w:type="dxa"/>
          </w:tcPr>
          <w:p>
            <w:pPr>
              <w:pStyle w:val="TableParagraph"/>
              <w:rPr>
                <w:sz w:val="26"/>
              </w:rPr>
            </w:pPr>
          </w:p>
        </w:tc>
      </w:tr>
      <w:tr>
        <w:trPr>
          <w:trHeight w:val="834" w:hRule="atLeast"/>
        </w:trPr>
        <w:tc>
          <w:tcPr>
            <w:tcW w:w="3255" w:type="dxa"/>
          </w:tcPr>
          <w:p>
            <w:pPr>
              <w:pStyle w:val="TableParagraph"/>
              <w:spacing w:line="276" w:lineRule="auto"/>
              <w:ind w:left="107" w:right="644"/>
              <w:rPr>
                <w:sz w:val="24"/>
              </w:rPr>
            </w:pPr>
            <w:r>
              <w:rPr>
                <w:sz w:val="24"/>
              </w:rPr>
              <w:t>Суммарное количество отрицательных</w:t>
            </w:r>
            <w:r>
              <w:rPr>
                <w:spacing w:val="-15"/>
                <w:sz w:val="24"/>
              </w:rPr>
              <w:t> </w:t>
            </w:r>
            <w:r>
              <w:rPr>
                <w:sz w:val="24"/>
              </w:rPr>
              <w:t>выборов</w:t>
            </w:r>
          </w:p>
        </w:tc>
        <w:tc>
          <w:tcPr>
            <w:tcW w:w="569" w:type="dxa"/>
          </w:tcPr>
          <w:p>
            <w:pPr>
              <w:pStyle w:val="TableParagraph"/>
              <w:rPr>
                <w:sz w:val="26"/>
              </w:rPr>
            </w:pPr>
          </w:p>
        </w:tc>
        <w:tc>
          <w:tcPr>
            <w:tcW w:w="708" w:type="dxa"/>
          </w:tcPr>
          <w:p>
            <w:pPr>
              <w:pStyle w:val="TableParagraph"/>
              <w:rPr>
                <w:sz w:val="26"/>
              </w:rPr>
            </w:pPr>
          </w:p>
        </w:tc>
        <w:tc>
          <w:tcPr>
            <w:tcW w:w="708" w:type="dxa"/>
          </w:tcPr>
          <w:p>
            <w:pPr>
              <w:pStyle w:val="TableParagraph"/>
              <w:rPr>
                <w:sz w:val="26"/>
              </w:rPr>
            </w:pPr>
          </w:p>
        </w:tc>
        <w:tc>
          <w:tcPr>
            <w:tcW w:w="708" w:type="dxa"/>
          </w:tcPr>
          <w:p>
            <w:pPr>
              <w:pStyle w:val="TableParagraph"/>
              <w:rPr>
                <w:sz w:val="26"/>
              </w:rPr>
            </w:pPr>
          </w:p>
        </w:tc>
        <w:tc>
          <w:tcPr>
            <w:tcW w:w="710" w:type="dxa"/>
          </w:tcPr>
          <w:p>
            <w:pPr>
              <w:pStyle w:val="TableParagraph"/>
              <w:rPr>
                <w:sz w:val="26"/>
              </w:rPr>
            </w:pPr>
          </w:p>
        </w:tc>
        <w:tc>
          <w:tcPr>
            <w:tcW w:w="708" w:type="dxa"/>
          </w:tcPr>
          <w:p>
            <w:pPr>
              <w:pStyle w:val="TableParagraph"/>
              <w:rPr>
                <w:sz w:val="26"/>
              </w:rPr>
            </w:pPr>
          </w:p>
        </w:tc>
        <w:tc>
          <w:tcPr>
            <w:tcW w:w="707" w:type="dxa"/>
          </w:tcPr>
          <w:p>
            <w:pPr>
              <w:pStyle w:val="TableParagraph"/>
              <w:rPr>
                <w:sz w:val="26"/>
              </w:rPr>
            </w:pPr>
          </w:p>
        </w:tc>
        <w:tc>
          <w:tcPr>
            <w:tcW w:w="709" w:type="dxa"/>
          </w:tcPr>
          <w:p>
            <w:pPr>
              <w:pStyle w:val="TableParagraph"/>
              <w:rPr>
                <w:sz w:val="26"/>
              </w:rPr>
            </w:pPr>
          </w:p>
        </w:tc>
        <w:tc>
          <w:tcPr>
            <w:tcW w:w="707" w:type="dxa"/>
          </w:tcPr>
          <w:p>
            <w:pPr>
              <w:pStyle w:val="TableParagraph"/>
              <w:rPr>
                <w:sz w:val="26"/>
              </w:rPr>
            </w:pPr>
          </w:p>
        </w:tc>
      </w:tr>
      <w:tr>
        <w:trPr>
          <w:trHeight w:val="518" w:hRule="atLeast"/>
        </w:trPr>
        <w:tc>
          <w:tcPr>
            <w:tcW w:w="3255" w:type="dxa"/>
          </w:tcPr>
          <w:p>
            <w:pPr>
              <w:pStyle w:val="TableParagraph"/>
              <w:spacing w:line="273" w:lineRule="exact"/>
              <w:ind w:left="107"/>
              <w:rPr>
                <w:sz w:val="24"/>
              </w:rPr>
            </w:pPr>
            <w:r>
              <w:rPr>
                <w:sz w:val="24"/>
              </w:rPr>
              <w:t>Общий</w:t>
            </w:r>
            <w:r>
              <w:rPr>
                <w:spacing w:val="-3"/>
                <w:sz w:val="24"/>
              </w:rPr>
              <w:t> </w:t>
            </w:r>
            <w:r>
              <w:rPr>
                <w:spacing w:val="-2"/>
                <w:sz w:val="24"/>
              </w:rPr>
              <w:t>статус</w:t>
            </w:r>
          </w:p>
        </w:tc>
        <w:tc>
          <w:tcPr>
            <w:tcW w:w="569" w:type="dxa"/>
          </w:tcPr>
          <w:p>
            <w:pPr>
              <w:pStyle w:val="TableParagraph"/>
              <w:rPr>
                <w:sz w:val="26"/>
              </w:rPr>
            </w:pPr>
          </w:p>
        </w:tc>
        <w:tc>
          <w:tcPr>
            <w:tcW w:w="708" w:type="dxa"/>
          </w:tcPr>
          <w:p>
            <w:pPr>
              <w:pStyle w:val="TableParagraph"/>
              <w:rPr>
                <w:sz w:val="26"/>
              </w:rPr>
            </w:pPr>
          </w:p>
        </w:tc>
        <w:tc>
          <w:tcPr>
            <w:tcW w:w="708" w:type="dxa"/>
          </w:tcPr>
          <w:p>
            <w:pPr>
              <w:pStyle w:val="TableParagraph"/>
              <w:rPr>
                <w:sz w:val="26"/>
              </w:rPr>
            </w:pPr>
          </w:p>
        </w:tc>
        <w:tc>
          <w:tcPr>
            <w:tcW w:w="708" w:type="dxa"/>
          </w:tcPr>
          <w:p>
            <w:pPr>
              <w:pStyle w:val="TableParagraph"/>
              <w:rPr>
                <w:sz w:val="26"/>
              </w:rPr>
            </w:pPr>
          </w:p>
        </w:tc>
        <w:tc>
          <w:tcPr>
            <w:tcW w:w="710" w:type="dxa"/>
          </w:tcPr>
          <w:p>
            <w:pPr>
              <w:pStyle w:val="TableParagraph"/>
              <w:rPr>
                <w:sz w:val="26"/>
              </w:rPr>
            </w:pPr>
          </w:p>
        </w:tc>
        <w:tc>
          <w:tcPr>
            <w:tcW w:w="708" w:type="dxa"/>
          </w:tcPr>
          <w:p>
            <w:pPr>
              <w:pStyle w:val="TableParagraph"/>
              <w:rPr>
                <w:sz w:val="26"/>
              </w:rPr>
            </w:pPr>
          </w:p>
        </w:tc>
        <w:tc>
          <w:tcPr>
            <w:tcW w:w="707" w:type="dxa"/>
          </w:tcPr>
          <w:p>
            <w:pPr>
              <w:pStyle w:val="TableParagraph"/>
              <w:rPr>
                <w:sz w:val="26"/>
              </w:rPr>
            </w:pPr>
          </w:p>
        </w:tc>
        <w:tc>
          <w:tcPr>
            <w:tcW w:w="709" w:type="dxa"/>
          </w:tcPr>
          <w:p>
            <w:pPr>
              <w:pStyle w:val="TableParagraph"/>
              <w:rPr>
                <w:sz w:val="26"/>
              </w:rPr>
            </w:pPr>
          </w:p>
        </w:tc>
        <w:tc>
          <w:tcPr>
            <w:tcW w:w="707" w:type="dxa"/>
          </w:tcPr>
          <w:p>
            <w:pPr>
              <w:pStyle w:val="TableParagraph"/>
              <w:rPr>
                <w:sz w:val="26"/>
              </w:rPr>
            </w:pPr>
          </w:p>
        </w:tc>
      </w:tr>
    </w:tbl>
    <w:p>
      <w:pPr>
        <w:pStyle w:val="BodyText"/>
        <w:ind w:left="0" w:right="0" w:firstLine="0"/>
        <w:jc w:val="left"/>
        <w:rPr>
          <w:b/>
          <w:sz w:val="28"/>
        </w:rPr>
      </w:pPr>
    </w:p>
    <w:p>
      <w:pPr>
        <w:pStyle w:val="BodyText"/>
        <w:spacing w:before="1"/>
        <w:ind w:left="0" w:right="0" w:firstLine="0"/>
        <w:jc w:val="left"/>
        <w:rPr>
          <w:b/>
          <w:sz w:val="28"/>
        </w:rPr>
      </w:pPr>
    </w:p>
    <w:p>
      <w:pPr>
        <w:pStyle w:val="Heading4"/>
        <w:spacing w:line="322" w:lineRule="exact"/>
        <w:ind w:left="851"/>
      </w:pPr>
      <w:r>
        <w:rPr/>
        <w:t>Матрица</w:t>
      </w:r>
      <w:r>
        <w:rPr>
          <w:spacing w:val="-9"/>
        </w:rPr>
        <w:t> </w:t>
      </w:r>
      <w:r>
        <w:rPr/>
        <w:t>заполняется</w:t>
      </w:r>
      <w:r>
        <w:rPr>
          <w:spacing w:val="-7"/>
        </w:rPr>
        <w:t> </w:t>
      </w:r>
      <w:r>
        <w:rPr/>
        <w:t>следующим</w:t>
      </w:r>
      <w:r>
        <w:rPr>
          <w:spacing w:val="-7"/>
        </w:rPr>
        <w:t> </w:t>
      </w:r>
      <w:r>
        <w:rPr>
          <w:spacing w:val="-2"/>
        </w:rPr>
        <w:t>образом:</w:t>
      </w:r>
    </w:p>
    <w:p>
      <w:pPr>
        <w:pStyle w:val="Heading4"/>
        <w:numPr>
          <w:ilvl w:val="0"/>
          <w:numId w:val="28"/>
        </w:numPr>
        <w:tabs>
          <w:tab w:pos="1307" w:val="left" w:leader="none"/>
        </w:tabs>
        <w:spacing w:line="240" w:lineRule="auto" w:before="0" w:after="0"/>
        <w:ind w:left="285" w:right="569" w:firstLine="566"/>
        <w:jc w:val="both"/>
      </w:pPr>
      <w:r>
        <w:rPr/>
        <w:t>Сначала в ячейки таблицы вносятся положительные выборы участников исследования (в ячейки с фамилиями одноклассников, которых выбрал ученик, ставится знак «+»).</w:t>
      </w:r>
    </w:p>
    <w:p>
      <w:pPr>
        <w:pStyle w:val="Heading4"/>
        <w:numPr>
          <w:ilvl w:val="0"/>
          <w:numId w:val="28"/>
        </w:numPr>
        <w:tabs>
          <w:tab w:pos="1156" w:val="left" w:leader="none"/>
        </w:tabs>
        <w:spacing w:line="240" w:lineRule="auto" w:before="0" w:after="0"/>
        <w:ind w:left="285" w:right="561" w:firstLine="566"/>
        <w:jc w:val="both"/>
      </w:pPr>
      <w:r>
        <w:rPr/>
        <w:t>Затем в ячейки таблицы вносятся отрицательные выборы участников исследования</w:t>
      </w:r>
      <w:r>
        <w:rPr>
          <w:spacing w:val="10"/>
        </w:rPr>
        <w:t> </w:t>
      </w:r>
      <w:r>
        <w:rPr/>
        <w:t>(по</w:t>
      </w:r>
      <w:r>
        <w:rPr>
          <w:spacing w:val="12"/>
        </w:rPr>
        <w:t> </w:t>
      </w:r>
      <w:r>
        <w:rPr/>
        <w:t>аналогии</w:t>
      </w:r>
      <w:r>
        <w:rPr>
          <w:spacing w:val="10"/>
        </w:rPr>
        <w:t> </w:t>
      </w:r>
      <w:r>
        <w:rPr/>
        <w:t>с</w:t>
      </w:r>
      <w:r>
        <w:rPr>
          <w:spacing w:val="9"/>
        </w:rPr>
        <w:t> </w:t>
      </w:r>
      <w:r>
        <w:rPr/>
        <w:t>положительным</w:t>
      </w:r>
      <w:r>
        <w:rPr>
          <w:spacing w:val="10"/>
        </w:rPr>
        <w:t> </w:t>
      </w:r>
      <w:r>
        <w:rPr/>
        <w:t>выбором,</w:t>
      </w:r>
      <w:r>
        <w:rPr>
          <w:spacing w:val="9"/>
        </w:rPr>
        <w:t> </w:t>
      </w:r>
      <w:r>
        <w:rPr/>
        <w:t>только</w:t>
      </w:r>
      <w:r>
        <w:rPr>
          <w:spacing w:val="12"/>
        </w:rPr>
        <w:t> </w:t>
      </w:r>
      <w:r>
        <w:rPr/>
        <w:t>ставится</w:t>
      </w:r>
      <w:r>
        <w:rPr>
          <w:spacing w:val="11"/>
        </w:rPr>
        <w:t> </w:t>
      </w:r>
      <w:r>
        <w:rPr>
          <w:spacing w:val="-4"/>
        </w:rPr>
        <w:t>знак</w:t>
      </w:r>
    </w:p>
    <w:p>
      <w:pPr>
        <w:spacing w:line="322" w:lineRule="exact" w:before="0"/>
        <w:ind w:left="285" w:right="0" w:firstLine="0"/>
        <w:jc w:val="left"/>
        <w:rPr>
          <w:sz w:val="28"/>
        </w:rPr>
      </w:pPr>
      <w:r>
        <w:rPr>
          <w:spacing w:val="-4"/>
          <w:sz w:val="28"/>
        </w:rPr>
        <w:t>«–»).</w:t>
      </w:r>
    </w:p>
    <w:p>
      <w:pPr>
        <w:pStyle w:val="Heading4"/>
        <w:numPr>
          <w:ilvl w:val="0"/>
          <w:numId w:val="28"/>
        </w:numPr>
        <w:tabs>
          <w:tab w:pos="1244" w:val="left" w:leader="none"/>
        </w:tabs>
        <w:spacing w:line="240" w:lineRule="auto" w:before="0" w:after="0"/>
        <w:ind w:left="285" w:right="567" w:firstLine="566"/>
        <w:jc w:val="both"/>
      </w:pPr>
      <w:r>
        <w:rPr/>
        <w:t>В графы «Суммарное количество выборов» записывается общее количество положительных и отрицательных выборов, сделанных участниками исследования в отношении каждого ученика.</w:t>
      </w:r>
    </w:p>
    <w:p>
      <w:pPr>
        <w:pStyle w:val="Heading4"/>
        <w:numPr>
          <w:ilvl w:val="0"/>
          <w:numId w:val="28"/>
        </w:numPr>
        <w:tabs>
          <w:tab w:pos="1146" w:val="left" w:leader="none"/>
        </w:tabs>
        <w:spacing w:line="240" w:lineRule="auto" w:before="0" w:after="0"/>
        <w:ind w:left="285" w:right="567" w:firstLine="566"/>
        <w:jc w:val="both"/>
      </w:pPr>
      <w:r>
        <w:rPr/>
        <w:t>На основании положительных и отрицательных выборов вычисляется общий статус ученика в группе: из количества положительных выборов вычитается количество отрицательных; полученное число и является показателем общего социометрического статуса.</w:t>
      </w:r>
    </w:p>
    <w:p>
      <w:pPr>
        <w:pStyle w:val="Heading4"/>
        <w:spacing w:after="0" w:line="240" w:lineRule="auto"/>
        <w:jc w:val="both"/>
        <w:sectPr>
          <w:pgSz w:w="11910" w:h="16840"/>
          <w:pgMar w:header="0" w:footer="970" w:top="1040" w:bottom="1220" w:left="1417" w:right="283"/>
        </w:sectPr>
      </w:pPr>
    </w:p>
    <w:p>
      <w:pPr>
        <w:pStyle w:val="Heading4"/>
        <w:numPr>
          <w:ilvl w:val="0"/>
          <w:numId w:val="28"/>
        </w:numPr>
        <w:tabs>
          <w:tab w:pos="1139" w:val="left" w:leader="none"/>
        </w:tabs>
        <w:spacing w:line="242" w:lineRule="auto" w:before="67" w:after="0"/>
        <w:ind w:left="285" w:right="571" w:firstLine="566"/>
        <w:jc w:val="left"/>
      </w:pPr>
      <w:r>
        <w:rPr/>
        <w:t>На основании этого показателя ученика относят к одной из статусных </w:t>
      </w:r>
      <w:r>
        <w:rPr>
          <w:spacing w:val="-2"/>
        </w:rPr>
        <w:t>групп:</w:t>
      </w:r>
    </w:p>
    <w:p>
      <w:pPr>
        <w:pStyle w:val="Heading4"/>
        <w:numPr>
          <w:ilvl w:val="1"/>
          <w:numId w:val="28"/>
        </w:numPr>
        <w:tabs>
          <w:tab w:pos="1700" w:val="left" w:leader="none"/>
        </w:tabs>
        <w:spacing w:line="230" w:lineRule="auto" w:before="6" w:after="0"/>
        <w:ind w:left="426" w:right="564" w:firstLine="566"/>
        <w:jc w:val="left"/>
      </w:pPr>
      <w:r>
        <w:rPr/>
        <w:t>«высокостатусные» — ученики с наибольшим общим статусом в группе, не более 1–2 человек;</w:t>
      </w:r>
    </w:p>
    <w:p>
      <w:pPr>
        <w:pStyle w:val="Heading4"/>
        <w:numPr>
          <w:ilvl w:val="1"/>
          <w:numId w:val="28"/>
        </w:numPr>
        <w:tabs>
          <w:tab w:pos="1700" w:val="left" w:leader="none"/>
        </w:tabs>
        <w:spacing w:line="335" w:lineRule="exact" w:before="0" w:after="0"/>
        <w:ind w:left="1700" w:right="0" w:hanging="707"/>
        <w:jc w:val="left"/>
      </w:pPr>
      <w:r>
        <w:rPr>
          <w:spacing w:val="-2"/>
        </w:rPr>
        <w:t>«среднестатусные»</w:t>
      </w:r>
      <w:r>
        <w:rPr>
          <w:spacing w:val="-10"/>
        </w:rPr>
        <w:t> </w:t>
      </w:r>
      <w:r>
        <w:rPr>
          <w:spacing w:val="-2"/>
        </w:rPr>
        <w:t>—</w:t>
      </w:r>
      <w:r>
        <w:rPr>
          <w:spacing w:val="-9"/>
        </w:rPr>
        <w:t> </w:t>
      </w:r>
      <w:r>
        <w:rPr>
          <w:spacing w:val="-2"/>
        </w:rPr>
        <w:t>ученики</w:t>
      </w:r>
      <w:r>
        <w:rPr>
          <w:spacing w:val="-8"/>
        </w:rPr>
        <w:t> </w:t>
      </w:r>
      <w:r>
        <w:rPr>
          <w:spacing w:val="-2"/>
        </w:rPr>
        <w:t>с</w:t>
      </w:r>
      <w:r>
        <w:rPr>
          <w:spacing w:val="-11"/>
        </w:rPr>
        <w:t> </w:t>
      </w:r>
      <w:r>
        <w:rPr>
          <w:spacing w:val="-2"/>
        </w:rPr>
        <w:t>положительным</w:t>
      </w:r>
      <w:r>
        <w:rPr>
          <w:spacing w:val="-9"/>
        </w:rPr>
        <w:t> </w:t>
      </w:r>
      <w:r>
        <w:rPr>
          <w:spacing w:val="-2"/>
        </w:rPr>
        <w:t>общим</w:t>
      </w:r>
      <w:r>
        <w:rPr>
          <w:spacing w:val="-8"/>
        </w:rPr>
        <w:t> </w:t>
      </w:r>
      <w:r>
        <w:rPr>
          <w:spacing w:val="-2"/>
        </w:rPr>
        <w:t>статусом;</w:t>
      </w:r>
    </w:p>
    <w:p>
      <w:pPr>
        <w:pStyle w:val="Heading4"/>
        <w:numPr>
          <w:ilvl w:val="1"/>
          <w:numId w:val="28"/>
        </w:numPr>
        <w:tabs>
          <w:tab w:pos="1700" w:val="left" w:leader="none"/>
        </w:tabs>
        <w:spacing w:line="230" w:lineRule="auto" w:before="4" w:after="0"/>
        <w:ind w:left="426" w:right="656" w:firstLine="566"/>
        <w:jc w:val="left"/>
      </w:pPr>
      <w:r>
        <w:rPr/>
        <w:t>«низкостатусные»</w:t>
      </w:r>
      <w:r>
        <w:rPr>
          <w:spacing w:val="-6"/>
        </w:rPr>
        <w:t> </w:t>
      </w:r>
      <w:r>
        <w:rPr/>
        <w:t>—</w:t>
      </w:r>
      <w:r>
        <w:rPr>
          <w:spacing w:val="-5"/>
        </w:rPr>
        <w:t> </w:t>
      </w:r>
      <w:r>
        <w:rPr/>
        <w:t>ученики</w:t>
      </w:r>
      <w:r>
        <w:rPr>
          <w:spacing w:val="-3"/>
        </w:rPr>
        <w:t> </w:t>
      </w:r>
      <w:r>
        <w:rPr/>
        <w:t>с</w:t>
      </w:r>
      <w:r>
        <w:rPr>
          <w:spacing w:val="-8"/>
        </w:rPr>
        <w:t> </w:t>
      </w:r>
      <w:r>
        <w:rPr/>
        <w:t>показателем</w:t>
      </w:r>
      <w:r>
        <w:rPr>
          <w:spacing w:val="-4"/>
        </w:rPr>
        <w:t> </w:t>
      </w:r>
      <w:r>
        <w:rPr/>
        <w:t>статуса,</w:t>
      </w:r>
      <w:r>
        <w:rPr>
          <w:spacing w:val="-5"/>
        </w:rPr>
        <w:t> </w:t>
      </w:r>
      <w:r>
        <w:rPr/>
        <w:t>равным</w:t>
      </w:r>
      <w:r>
        <w:rPr>
          <w:spacing w:val="-4"/>
        </w:rPr>
        <w:t> </w:t>
      </w:r>
      <w:r>
        <w:rPr/>
        <w:t>или близким к нулю;</w:t>
      </w:r>
    </w:p>
    <w:p>
      <w:pPr>
        <w:pStyle w:val="Heading4"/>
        <w:numPr>
          <w:ilvl w:val="1"/>
          <w:numId w:val="28"/>
        </w:numPr>
        <w:tabs>
          <w:tab w:pos="1700" w:val="left" w:leader="none"/>
        </w:tabs>
        <w:spacing w:line="240" w:lineRule="auto" w:before="0" w:after="0"/>
        <w:ind w:left="1700" w:right="0" w:hanging="707"/>
        <w:jc w:val="left"/>
      </w:pPr>
      <w:r>
        <w:rPr/>
        <w:t>«отвергаемые»</w:t>
      </w:r>
      <w:r>
        <w:rPr>
          <w:spacing w:val="-8"/>
        </w:rPr>
        <w:t> </w:t>
      </w:r>
      <w:r>
        <w:rPr/>
        <w:t>—</w:t>
      </w:r>
      <w:r>
        <w:rPr>
          <w:spacing w:val="-6"/>
        </w:rPr>
        <w:t> </w:t>
      </w:r>
      <w:r>
        <w:rPr/>
        <w:t>ученики</w:t>
      </w:r>
      <w:r>
        <w:rPr>
          <w:spacing w:val="-5"/>
        </w:rPr>
        <w:t> </w:t>
      </w:r>
      <w:r>
        <w:rPr/>
        <w:t>с</w:t>
      </w:r>
      <w:r>
        <w:rPr>
          <w:spacing w:val="-6"/>
        </w:rPr>
        <w:t> </w:t>
      </w:r>
      <w:r>
        <w:rPr/>
        <w:t>отрицательным</w:t>
      </w:r>
      <w:r>
        <w:rPr>
          <w:spacing w:val="-8"/>
        </w:rPr>
        <w:t> </w:t>
      </w:r>
      <w:r>
        <w:rPr/>
        <w:t>показателем</w:t>
      </w:r>
      <w:r>
        <w:rPr>
          <w:spacing w:val="-4"/>
        </w:rPr>
        <w:t> </w:t>
      </w:r>
      <w:r>
        <w:rPr>
          <w:spacing w:val="-2"/>
        </w:rPr>
        <w:t>статуса.</w:t>
      </w:r>
    </w:p>
    <w:p>
      <w:pPr>
        <w:pStyle w:val="Heading4"/>
        <w:spacing w:before="225"/>
        <w:ind w:right="561" w:firstLine="566"/>
      </w:pPr>
      <w:r>
        <w:rPr/>
        <w:t>Необходимо учитывать, что в зависимости от ситуации в классе некоторые ученики могут получить одинаковые показатели общего статуса, однако содержание их будет различаться. Например, ученик может быть причислен к группе «низкостатусных» как потому, что его никто не выбрал, так и потому, что одноклассники выбирали его в равной степени положительно</w:t>
      </w:r>
      <w:r>
        <w:rPr>
          <w:spacing w:val="-3"/>
        </w:rPr>
        <w:t> </w:t>
      </w:r>
      <w:r>
        <w:rPr/>
        <w:t>и</w:t>
      </w:r>
      <w:r>
        <w:rPr>
          <w:spacing w:val="-7"/>
        </w:rPr>
        <w:t> </w:t>
      </w:r>
      <w:r>
        <w:rPr/>
        <w:t>отрицательно.</w:t>
      </w:r>
      <w:r>
        <w:rPr>
          <w:spacing w:val="-5"/>
        </w:rPr>
        <w:t> </w:t>
      </w:r>
      <w:r>
        <w:rPr/>
        <w:t>Чтобы</w:t>
      </w:r>
      <w:r>
        <w:rPr>
          <w:spacing w:val="-6"/>
        </w:rPr>
        <w:t> </w:t>
      </w:r>
      <w:r>
        <w:rPr/>
        <w:t>уточнить</w:t>
      </w:r>
      <w:r>
        <w:rPr>
          <w:spacing w:val="-9"/>
        </w:rPr>
        <w:t> </w:t>
      </w:r>
      <w:r>
        <w:rPr/>
        <w:t>детали</w:t>
      </w:r>
      <w:r>
        <w:rPr>
          <w:spacing w:val="-6"/>
        </w:rPr>
        <w:t> </w:t>
      </w:r>
      <w:r>
        <w:rPr/>
        <w:t>распределения,</w:t>
      </w:r>
      <w:r>
        <w:rPr>
          <w:spacing w:val="-4"/>
        </w:rPr>
        <w:t> </w:t>
      </w:r>
      <w:r>
        <w:rPr/>
        <w:t>можно провести</w:t>
      </w:r>
      <w:r>
        <w:rPr>
          <w:spacing w:val="-18"/>
        </w:rPr>
        <w:t> </w:t>
      </w:r>
      <w:r>
        <w:rPr/>
        <w:t>дополнительный</w:t>
      </w:r>
      <w:r>
        <w:rPr>
          <w:spacing w:val="-17"/>
        </w:rPr>
        <w:t> </w:t>
      </w:r>
      <w:r>
        <w:rPr/>
        <w:t>социометрический</w:t>
      </w:r>
      <w:r>
        <w:rPr>
          <w:spacing w:val="-18"/>
        </w:rPr>
        <w:t> </w:t>
      </w:r>
      <w:r>
        <w:rPr/>
        <w:t>анализ</w:t>
      </w:r>
      <w:r>
        <w:rPr>
          <w:spacing w:val="-17"/>
        </w:rPr>
        <w:t> </w:t>
      </w:r>
      <w:r>
        <w:rPr/>
        <w:t>структуры</w:t>
      </w:r>
      <w:r>
        <w:rPr>
          <w:spacing w:val="-18"/>
        </w:rPr>
        <w:t> </w:t>
      </w:r>
      <w:r>
        <w:rPr/>
        <w:t>класса:</w:t>
      </w:r>
      <w:r>
        <w:rPr>
          <w:spacing w:val="-17"/>
        </w:rPr>
        <w:t> </w:t>
      </w:r>
      <w:r>
        <w:rPr/>
        <w:t>учесть приоритетность выборов, а также их взаимность.</w:t>
      </w:r>
    </w:p>
    <w:p>
      <w:pPr>
        <w:pStyle w:val="Heading4"/>
        <w:spacing w:before="3"/>
        <w:ind w:right="568" w:firstLine="566"/>
      </w:pPr>
      <w:r>
        <w:rPr/>
        <w:t>Преимущество использования социометрии для исследования социального</w:t>
      </w:r>
      <w:r>
        <w:rPr>
          <w:spacing w:val="-18"/>
        </w:rPr>
        <w:t> </w:t>
      </w:r>
      <w:r>
        <w:rPr/>
        <w:t>статуса</w:t>
      </w:r>
      <w:r>
        <w:rPr>
          <w:spacing w:val="-17"/>
        </w:rPr>
        <w:t> </w:t>
      </w:r>
      <w:r>
        <w:rPr/>
        <w:t>состоит</w:t>
      </w:r>
      <w:r>
        <w:rPr>
          <w:spacing w:val="-18"/>
        </w:rPr>
        <w:t> </w:t>
      </w:r>
      <w:r>
        <w:rPr/>
        <w:t>в</w:t>
      </w:r>
      <w:r>
        <w:rPr>
          <w:spacing w:val="-17"/>
        </w:rPr>
        <w:t> </w:t>
      </w:r>
      <w:r>
        <w:rPr/>
        <w:t>привязанности</w:t>
      </w:r>
      <w:r>
        <w:rPr>
          <w:spacing w:val="-18"/>
        </w:rPr>
        <w:t> </w:t>
      </w:r>
      <w:r>
        <w:rPr/>
        <w:t>тематики</w:t>
      </w:r>
      <w:r>
        <w:rPr>
          <w:spacing w:val="-17"/>
        </w:rPr>
        <w:t> </w:t>
      </w:r>
      <w:r>
        <w:rPr/>
        <w:t>вопросов</w:t>
      </w:r>
      <w:r>
        <w:rPr>
          <w:spacing w:val="-18"/>
        </w:rPr>
        <w:t> </w:t>
      </w:r>
      <w:r>
        <w:rPr/>
        <w:t>к</w:t>
      </w:r>
      <w:r>
        <w:rPr>
          <w:spacing w:val="-17"/>
        </w:rPr>
        <w:t> </w:t>
      </w:r>
      <w:r>
        <w:rPr/>
        <w:t>актуальной жизни исследуемой группы, а не к специфическому культурному контексту. Именно по этой причине социометрия с равной эффективностью может применяться в группах любого культурного и этнического состава с минимальной коррекцией вопросов теста.</w:t>
      </w:r>
    </w:p>
    <w:p>
      <w:pPr>
        <w:pStyle w:val="Heading3"/>
        <w:spacing w:before="248"/>
        <w:jc w:val="left"/>
      </w:pPr>
      <w:r>
        <w:rPr/>
        <w:t>Психометрические</w:t>
      </w:r>
      <w:r>
        <w:rPr>
          <w:spacing w:val="-18"/>
        </w:rPr>
        <w:t> </w:t>
      </w:r>
      <w:r>
        <w:rPr/>
        <w:t>характеристики</w:t>
      </w:r>
      <w:r>
        <w:rPr>
          <w:spacing w:val="-15"/>
        </w:rPr>
        <w:t> </w:t>
      </w:r>
      <w:r>
        <w:rPr>
          <w:spacing w:val="-2"/>
        </w:rPr>
        <w:t>методики</w:t>
      </w:r>
    </w:p>
    <w:p>
      <w:pPr>
        <w:pStyle w:val="Heading4"/>
        <w:spacing w:before="191"/>
        <w:ind w:right="563" w:firstLine="566"/>
      </w:pPr>
      <w:r>
        <w:rPr/>
        <w:t>Социометрия была разработана Дж. Л. Морено и первоначально применялась как экспериментальный метод исследования групповых отношений (</w:t>
      </w:r>
      <w:r>
        <w:rPr>
          <w:i/>
        </w:rPr>
        <w:t>Морено, </w:t>
      </w:r>
      <w:r>
        <w:rPr/>
        <w:t>2001). Морено использовал социометрические эксперименты</w:t>
      </w:r>
      <w:r>
        <w:rPr>
          <w:spacing w:val="-18"/>
        </w:rPr>
        <w:t> </w:t>
      </w:r>
      <w:r>
        <w:rPr/>
        <w:t>в</w:t>
      </w:r>
      <w:r>
        <w:rPr>
          <w:spacing w:val="-17"/>
        </w:rPr>
        <w:t> </w:t>
      </w:r>
      <w:r>
        <w:rPr/>
        <w:t>работе</w:t>
      </w:r>
      <w:r>
        <w:rPr>
          <w:spacing w:val="-18"/>
        </w:rPr>
        <w:t> </w:t>
      </w:r>
      <w:r>
        <w:rPr/>
        <w:t>со</w:t>
      </w:r>
      <w:r>
        <w:rPr>
          <w:spacing w:val="-17"/>
        </w:rPr>
        <w:t> </w:t>
      </w:r>
      <w:r>
        <w:rPr/>
        <w:t>школьниками</w:t>
      </w:r>
      <w:r>
        <w:rPr>
          <w:spacing w:val="-18"/>
        </w:rPr>
        <w:t> </w:t>
      </w:r>
      <w:r>
        <w:rPr/>
        <w:t>и</w:t>
      </w:r>
      <w:r>
        <w:rPr>
          <w:spacing w:val="-17"/>
        </w:rPr>
        <w:t> </w:t>
      </w:r>
      <w:r>
        <w:rPr/>
        <w:t>рассматривал</w:t>
      </w:r>
      <w:r>
        <w:rPr>
          <w:spacing w:val="-18"/>
        </w:rPr>
        <w:t> </w:t>
      </w:r>
      <w:r>
        <w:rPr/>
        <w:t>их</w:t>
      </w:r>
      <w:r>
        <w:rPr>
          <w:spacing w:val="-17"/>
        </w:rPr>
        <w:t> </w:t>
      </w:r>
      <w:r>
        <w:rPr/>
        <w:t>как</w:t>
      </w:r>
      <w:r>
        <w:rPr>
          <w:spacing w:val="-18"/>
        </w:rPr>
        <w:t> </w:t>
      </w:r>
      <w:r>
        <w:rPr/>
        <w:t>инструмент</w:t>
      </w:r>
      <w:r>
        <w:rPr>
          <w:spacing w:val="-17"/>
        </w:rPr>
        <w:t> </w:t>
      </w:r>
      <w:r>
        <w:rPr/>
        <w:t>для более</w:t>
      </w:r>
      <w:r>
        <w:rPr>
          <w:spacing w:val="-5"/>
        </w:rPr>
        <w:t> </w:t>
      </w:r>
      <w:r>
        <w:rPr/>
        <w:t>эффективной</w:t>
      </w:r>
      <w:r>
        <w:rPr>
          <w:spacing w:val="-8"/>
        </w:rPr>
        <w:t> </w:t>
      </w:r>
      <w:r>
        <w:rPr/>
        <w:t>организации</w:t>
      </w:r>
      <w:r>
        <w:rPr>
          <w:spacing w:val="-5"/>
        </w:rPr>
        <w:t> </w:t>
      </w:r>
      <w:r>
        <w:rPr/>
        <w:t>групповых</w:t>
      </w:r>
      <w:r>
        <w:rPr>
          <w:spacing w:val="-7"/>
        </w:rPr>
        <w:t> </w:t>
      </w:r>
      <w:r>
        <w:rPr/>
        <w:t>процессов.</w:t>
      </w:r>
      <w:r>
        <w:rPr>
          <w:spacing w:val="-6"/>
        </w:rPr>
        <w:t> </w:t>
      </w:r>
      <w:r>
        <w:rPr/>
        <w:t>Результаты</w:t>
      </w:r>
      <w:r>
        <w:rPr>
          <w:spacing w:val="-5"/>
        </w:rPr>
        <w:t> </w:t>
      </w:r>
      <w:r>
        <w:rPr/>
        <w:t>позволяли создать альтернативу директивному стилю управления группой и учесть аттрактивные связи детей друг с другом.</w:t>
      </w:r>
    </w:p>
    <w:p>
      <w:pPr>
        <w:pStyle w:val="Heading4"/>
        <w:spacing w:before="1"/>
        <w:ind w:right="561" w:firstLine="566"/>
      </w:pPr>
      <w:r>
        <w:rPr/>
        <w:t>В дальнейшем социометрия была преобразована в отдельную методику, позволяющую получить широкий спектр информации о структуре межличностных отношений в группе. Я.Л. Коломинский, один из первых отечественных психологов, широко применявших методику, использовал социометрию для анализа социального статуса ребенка в системе межличностных отношений, уровня благополучия взаимоотношений, взаимности выборов участников группы, удовлетворенности взаимоотношениями между членами группы, изолированности отдельных участников и устойчивости избирательных эмоциональных отношений (</w:t>
      </w:r>
      <w:r>
        <w:rPr>
          <w:i/>
        </w:rPr>
        <w:t>Коломинский, </w:t>
      </w:r>
      <w:r>
        <w:rPr/>
        <w:t>1984).</w:t>
      </w:r>
    </w:p>
    <w:p>
      <w:pPr>
        <w:pStyle w:val="Heading4"/>
        <w:spacing w:before="1"/>
        <w:ind w:right="568" w:firstLine="566"/>
      </w:pPr>
      <w:r>
        <w:rPr/>
        <w:t>Исследования</w:t>
      </w:r>
      <w:r>
        <w:rPr>
          <w:spacing w:val="-4"/>
        </w:rPr>
        <w:t> </w:t>
      </w:r>
      <w:r>
        <w:rPr/>
        <w:t>доказали,</w:t>
      </w:r>
      <w:r>
        <w:rPr>
          <w:spacing w:val="-3"/>
        </w:rPr>
        <w:t> </w:t>
      </w:r>
      <w:r>
        <w:rPr/>
        <w:t>что</w:t>
      </w:r>
      <w:r>
        <w:rPr>
          <w:spacing w:val="-3"/>
        </w:rPr>
        <w:t> </w:t>
      </w:r>
      <w:r>
        <w:rPr/>
        <w:t>группы,</w:t>
      </w:r>
      <w:r>
        <w:rPr>
          <w:spacing w:val="-3"/>
        </w:rPr>
        <w:t> </w:t>
      </w:r>
      <w:r>
        <w:rPr/>
        <w:t>характеризующиеся</w:t>
      </w:r>
      <w:r>
        <w:rPr>
          <w:spacing w:val="-2"/>
        </w:rPr>
        <w:t> </w:t>
      </w:r>
      <w:r>
        <w:rPr/>
        <w:t>устойчивыми</w:t>
      </w:r>
      <w:r>
        <w:rPr>
          <w:spacing w:val="-2"/>
        </w:rPr>
        <w:t> </w:t>
      </w:r>
      <w:r>
        <w:rPr/>
        <w:t>и длительными</w:t>
      </w:r>
      <w:r>
        <w:rPr>
          <w:spacing w:val="29"/>
        </w:rPr>
        <w:t> </w:t>
      </w:r>
      <w:r>
        <w:rPr/>
        <w:t>контактами</w:t>
      </w:r>
      <w:r>
        <w:rPr>
          <w:spacing w:val="32"/>
        </w:rPr>
        <w:t> </w:t>
      </w:r>
      <w:r>
        <w:rPr/>
        <w:t>между</w:t>
      </w:r>
      <w:r>
        <w:rPr>
          <w:spacing w:val="30"/>
        </w:rPr>
        <w:t> </w:t>
      </w:r>
      <w:r>
        <w:rPr/>
        <w:t>участниками,</w:t>
      </w:r>
      <w:r>
        <w:rPr>
          <w:spacing w:val="29"/>
        </w:rPr>
        <w:t> </w:t>
      </w:r>
      <w:r>
        <w:rPr/>
        <w:t>формируются</w:t>
      </w:r>
      <w:r>
        <w:rPr>
          <w:spacing w:val="31"/>
        </w:rPr>
        <w:t> </w:t>
      </w:r>
      <w:r>
        <w:rPr/>
        <w:t>уже</w:t>
      </w:r>
      <w:r>
        <w:rPr>
          <w:spacing w:val="32"/>
        </w:rPr>
        <w:t> </w:t>
      </w:r>
      <w:r>
        <w:rPr/>
        <w:t>в</w:t>
      </w:r>
      <w:r>
        <w:rPr>
          <w:spacing w:val="33"/>
        </w:rPr>
        <w:t> </w:t>
      </w:r>
      <w:r>
        <w:rPr>
          <w:spacing w:val="-2"/>
        </w:rPr>
        <w:t>детском</w:t>
      </w:r>
    </w:p>
    <w:p>
      <w:pPr>
        <w:pStyle w:val="Heading4"/>
        <w:spacing w:after="0"/>
        <w:sectPr>
          <w:pgSz w:w="11910" w:h="16840"/>
          <w:pgMar w:header="0" w:footer="970" w:top="1040" w:bottom="1220" w:left="1417" w:right="283"/>
        </w:sectPr>
      </w:pPr>
    </w:p>
    <w:p>
      <w:pPr>
        <w:pStyle w:val="Heading4"/>
        <w:spacing w:before="67"/>
        <w:ind w:right="563"/>
      </w:pPr>
      <w:r>
        <w:rPr/>
        <w:t>саду, а значит, в дошкольных группах возможно проведение различных модификаций социометрической процедуры (</w:t>
      </w:r>
      <w:r>
        <w:rPr>
          <w:i/>
        </w:rPr>
        <w:t>Репина, </w:t>
      </w:r>
      <w:r>
        <w:rPr/>
        <w:t>1988). В более позднем возрасте статусная структура малых групп сохраняется и также может быть подвергнута анализу с помощью этой методики.</w:t>
      </w:r>
    </w:p>
    <w:p>
      <w:pPr>
        <w:pStyle w:val="Heading4"/>
        <w:spacing w:before="1"/>
        <w:ind w:right="561" w:firstLine="566"/>
      </w:pPr>
      <w:r>
        <w:rPr/>
        <w:t>В научных целях социометрический тест традиционно используется для установления взаимосвязей между статусом человека в группе и его поведенческими или когнитивными свойствами (</w:t>
      </w:r>
      <w:r>
        <w:rPr>
          <w:i/>
        </w:rPr>
        <w:t>Gifford-Smith, Brownell, </w:t>
      </w:r>
      <w:r>
        <w:rPr/>
        <w:t>2002)</w:t>
      </w:r>
      <w:r>
        <w:rPr>
          <w:i/>
        </w:rPr>
        <w:t>. </w:t>
      </w:r>
      <w:r>
        <w:rPr/>
        <w:t>Данные, полученные с помощью социометрического теста, позволяют обнаружить связи между социальным статусом и дезадаптацией в подростковом возрасте (</w:t>
      </w:r>
      <w:r>
        <w:rPr>
          <w:i/>
        </w:rPr>
        <w:t>Laird, </w:t>
      </w:r>
      <w:r>
        <w:rPr/>
        <w:t>2001: выборка исследования — 585 дошкольников, детей младшего школьного возраста и подростков); между социальным статусом и уровнем агрессии (</w:t>
      </w:r>
      <w:r>
        <w:rPr>
          <w:i/>
        </w:rPr>
        <w:t>Bukowski, </w:t>
      </w:r>
      <w:r>
        <w:rPr/>
        <w:t>1985: выборка исследования — 285 школьников с 3-го по 5-й классы); между социальным статусом и способностью к кооперации (</w:t>
      </w:r>
      <w:r>
        <w:rPr>
          <w:i/>
        </w:rPr>
        <w:t>Cillessen, </w:t>
      </w:r>
      <w:r>
        <w:rPr/>
        <w:t>1991: выборка — 648 младших школьников); между социальным статусом и поведенческими проблемами</w:t>
      </w:r>
      <w:r>
        <w:rPr>
          <w:spacing w:val="-8"/>
        </w:rPr>
        <w:t> </w:t>
      </w:r>
      <w:r>
        <w:rPr/>
        <w:t>(</w:t>
      </w:r>
      <w:r>
        <w:rPr>
          <w:i/>
        </w:rPr>
        <w:t>Dubov,</w:t>
      </w:r>
      <w:r>
        <w:rPr>
          <w:i/>
          <w:spacing w:val="-11"/>
        </w:rPr>
        <w:t> </w:t>
      </w:r>
      <w:r>
        <w:rPr/>
        <w:t>1988:</w:t>
      </w:r>
      <w:r>
        <w:rPr>
          <w:spacing w:val="-8"/>
        </w:rPr>
        <w:t> </w:t>
      </w:r>
      <w:r>
        <w:rPr/>
        <w:t>выборка</w:t>
      </w:r>
      <w:r>
        <w:rPr>
          <w:spacing w:val="-11"/>
        </w:rPr>
        <w:t> </w:t>
      </w:r>
      <w:r>
        <w:rPr/>
        <w:t>исследования</w:t>
      </w:r>
      <w:r>
        <w:rPr>
          <w:spacing w:val="-8"/>
        </w:rPr>
        <w:t> </w:t>
      </w:r>
      <w:r>
        <w:rPr/>
        <w:t>—</w:t>
      </w:r>
      <w:r>
        <w:rPr>
          <w:spacing w:val="-11"/>
        </w:rPr>
        <w:t> </w:t>
      </w:r>
      <w:r>
        <w:rPr/>
        <w:t>128</w:t>
      </w:r>
      <w:r>
        <w:rPr>
          <w:spacing w:val="-8"/>
        </w:rPr>
        <w:t> </w:t>
      </w:r>
      <w:r>
        <w:rPr/>
        <w:t>школьников</w:t>
      </w:r>
      <w:r>
        <w:rPr>
          <w:spacing w:val="-11"/>
        </w:rPr>
        <w:t> </w:t>
      </w:r>
      <w:r>
        <w:rPr/>
        <w:t>с</w:t>
      </w:r>
      <w:r>
        <w:rPr>
          <w:spacing w:val="-11"/>
        </w:rPr>
        <w:t> </w:t>
      </w:r>
      <w:r>
        <w:rPr/>
        <w:t>3-го</w:t>
      </w:r>
      <w:r>
        <w:rPr>
          <w:spacing w:val="-10"/>
        </w:rPr>
        <w:t> </w:t>
      </w:r>
      <w:r>
        <w:rPr/>
        <w:t>по 5-й классы).</w:t>
      </w:r>
    </w:p>
    <w:p>
      <w:pPr>
        <w:pStyle w:val="Heading4"/>
        <w:spacing w:before="1"/>
        <w:ind w:right="564" w:firstLine="566"/>
      </w:pPr>
      <w:r>
        <w:rPr/>
        <w:t>Так как социометрический тест может применяться в работе с малыми группами любого возраста, объем накопленных данных по его связям с другими психологическими характеристиками огромен. Только в одном метаанализе А.Ф.</w:t>
      </w:r>
      <w:r>
        <w:rPr>
          <w:spacing w:val="-3"/>
        </w:rPr>
        <w:t> </w:t>
      </w:r>
      <w:r>
        <w:rPr/>
        <w:t>Ньюкомб приводит данные 41 исследования с суммарной выборкой более 3500 дошкольников, младших школьников и подростков. Автор рассматривает связь социального статуса и 17 психологических характеристик детей, в том числе различных аспектов их когнитивных и социальных способностей (</w:t>
      </w:r>
      <w:r>
        <w:rPr>
          <w:i/>
        </w:rPr>
        <w:t>Newcomb, </w:t>
      </w:r>
      <w:r>
        <w:rPr/>
        <w:t>1993).</w:t>
      </w:r>
    </w:p>
    <w:p>
      <w:pPr>
        <w:pStyle w:val="Heading4"/>
        <w:ind w:right="563" w:firstLine="566"/>
      </w:pPr>
      <w:r>
        <w:rPr/>
        <w:t>Например, для анализа формальных и неформальных связей между учениками к базовому вопросу добавляются еще два: «Кого из одноклассников ты попросил/а бы помочь с выполнением домашнего задания?» и «Кого из одноклассников ты пригласил/а бы на свой день рождения?». Первый вопрос позволяет изучить формальную статусную систему класса, а второй — эмоциональные связи между учениками. Школьник, являющийся «высокостатусным» по формальному признаку, может оказаться «низкостатусным» в структуре эмоциональных отношений.</w:t>
      </w:r>
    </w:p>
    <w:p>
      <w:pPr>
        <w:pStyle w:val="Heading4"/>
        <w:spacing w:before="2"/>
        <w:ind w:right="564" w:firstLine="566"/>
      </w:pPr>
      <w:r>
        <w:rPr/>
        <w:t>У методики существует ряд</w:t>
      </w:r>
      <w:r>
        <w:rPr>
          <w:spacing w:val="-1"/>
        </w:rPr>
        <w:t> </w:t>
      </w:r>
      <w:r>
        <w:rPr/>
        <w:t>ограничений.</w:t>
      </w:r>
      <w:r>
        <w:rPr>
          <w:spacing w:val="-1"/>
        </w:rPr>
        <w:t> </w:t>
      </w:r>
      <w:r>
        <w:rPr/>
        <w:t>Во-первых,</w:t>
      </w:r>
      <w:r>
        <w:rPr>
          <w:spacing w:val="-1"/>
        </w:rPr>
        <w:t> </w:t>
      </w:r>
      <w:r>
        <w:rPr/>
        <w:t>социометрический тест не дает достоверных результатов при работе с недавно образованными группами, поскольку социальные связи в таких группах неустойчивы. Не рекомендуется</w:t>
      </w:r>
      <w:r>
        <w:rPr>
          <w:spacing w:val="-11"/>
        </w:rPr>
        <w:t> </w:t>
      </w:r>
      <w:r>
        <w:rPr/>
        <w:t>применять</w:t>
      </w:r>
      <w:r>
        <w:rPr>
          <w:spacing w:val="-12"/>
        </w:rPr>
        <w:t> </w:t>
      </w:r>
      <w:r>
        <w:rPr/>
        <w:t>социометрию</w:t>
      </w:r>
      <w:r>
        <w:rPr>
          <w:spacing w:val="-12"/>
        </w:rPr>
        <w:t> </w:t>
      </w:r>
      <w:r>
        <w:rPr/>
        <w:t>в</w:t>
      </w:r>
      <w:r>
        <w:rPr>
          <w:spacing w:val="-12"/>
        </w:rPr>
        <w:t> </w:t>
      </w:r>
      <w:r>
        <w:rPr/>
        <w:t>классах,</w:t>
      </w:r>
      <w:r>
        <w:rPr>
          <w:spacing w:val="-12"/>
        </w:rPr>
        <w:t> </w:t>
      </w:r>
      <w:r>
        <w:rPr/>
        <w:t>образованных</w:t>
      </w:r>
      <w:r>
        <w:rPr>
          <w:spacing w:val="-10"/>
        </w:rPr>
        <w:t> </w:t>
      </w:r>
      <w:r>
        <w:rPr/>
        <w:t>менее</w:t>
      </w:r>
      <w:r>
        <w:rPr>
          <w:spacing w:val="-11"/>
        </w:rPr>
        <w:t> </w:t>
      </w:r>
      <w:r>
        <w:rPr/>
        <w:t>чем</w:t>
      </w:r>
      <w:r>
        <w:rPr>
          <w:spacing w:val="-11"/>
        </w:rPr>
        <w:t> </w:t>
      </w:r>
      <w:r>
        <w:rPr/>
        <w:t>за полгода до проведения исследования. Во-вторых, на результаты социометрического теста может оказывать влияние социальная желательность. Именно поэтому психологу необходимо как можно более внимательно</w:t>
      </w:r>
      <w:r>
        <w:rPr>
          <w:spacing w:val="-18"/>
        </w:rPr>
        <w:t> </w:t>
      </w:r>
      <w:r>
        <w:rPr/>
        <w:t>следить</w:t>
      </w:r>
      <w:r>
        <w:rPr>
          <w:spacing w:val="-17"/>
        </w:rPr>
        <w:t> </w:t>
      </w:r>
      <w:r>
        <w:rPr/>
        <w:t>за</w:t>
      </w:r>
      <w:r>
        <w:rPr>
          <w:spacing w:val="-18"/>
        </w:rPr>
        <w:t> </w:t>
      </w:r>
      <w:r>
        <w:rPr/>
        <w:t>тем,</w:t>
      </w:r>
      <w:r>
        <w:rPr>
          <w:spacing w:val="-17"/>
        </w:rPr>
        <w:t> </w:t>
      </w:r>
      <w:r>
        <w:rPr/>
        <w:t>чтобы</w:t>
      </w:r>
      <w:r>
        <w:rPr>
          <w:spacing w:val="-18"/>
        </w:rPr>
        <w:t> </w:t>
      </w:r>
      <w:r>
        <w:rPr/>
        <w:t>во</w:t>
      </w:r>
      <w:r>
        <w:rPr>
          <w:spacing w:val="-17"/>
        </w:rPr>
        <w:t> </w:t>
      </w:r>
      <w:r>
        <w:rPr/>
        <w:t>время</w:t>
      </w:r>
      <w:r>
        <w:rPr>
          <w:spacing w:val="-18"/>
        </w:rPr>
        <w:t> </w:t>
      </w:r>
      <w:r>
        <w:rPr/>
        <w:t>исследования</w:t>
      </w:r>
      <w:r>
        <w:rPr>
          <w:spacing w:val="-17"/>
        </w:rPr>
        <w:t> </w:t>
      </w:r>
      <w:r>
        <w:rPr/>
        <w:t>участники</w:t>
      </w:r>
      <w:r>
        <w:rPr>
          <w:spacing w:val="-18"/>
        </w:rPr>
        <w:t> </w:t>
      </w:r>
      <w:r>
        <w:rPr/>
        <w:t>работали </w:t>
      </w:r>
      <w:r>
        <w:rPr>
          <w:spacing w:val="-2"/>
        </w:rPr>
        <w:t>самостоятельно.</w:t>
      </w:r>
    </w:p>
    <w:p>
      <w:pPr>
        <w:pStyle w:val="Heading4"/>
        <w:ind w:right="565" w:firstLine="566"/>
      </w:pPr>
      <w:r>
        <w:rPr/>
        <w:t>Следует также учитывать, что результаты социометрии дают возможность</w:t>
      </w:r>
      <w:r>
        <w:rPr>
          <w:spacing w:val="57"/>
          <w:w w:val="150"/>
        </w:rPr>
        <w:t>   </w:t>
      </w:r>
      <w:r>
        <w:rPr/>
        <w:t>зафиксировать</w:t>
      </w:r>
      <w:r>
        <w:rPr>
          <w:spacing w:val="60"/>
          <w:w w:val="150"/>
        </w:rPr>
        <w:t>   </w:t>
      </w:r>
      <w:r>
        <w:rPr/>
        <w:t>только</w:t>
      </w:r>
      <w:r>
        <w:rPr>
          <w:spacing w:val="60"/>
          <w:w w:val="150"/>
        </w:rPr>
        <w:t>   </w:t>
      </w:r>
      <w:r>
        <w:rPr/>
        <w:t>наличие</w:t>
      </w:r>
      <w:r>
        <w:rPr>
          <w:spacing w:val="60"/>
          <w:w w:val="150"/>
        </w:rPr>
        <w:t>   </w:t>
      </w:r>
      <w:r>
        <w:rPr/>
        <w:t>или</w:t>
      </w:r>
      <w:r>
        <w:rPr>
          <w:spacing w:val="60"/>
          <w:w w:val="150"/>
        </w:rPr>
        <w:t>   </w:t>
      </w:r>
      <w:r>
        <w:rPr>
          <w:spacing w:val="-2"/>
        </w:rPr>
        <w:t>отсутствие</w:t>
      </w:r>
    </w:p>
    <w:p>
      <w:pPr>
        <w:pStyle w:val="Heading4"/>
        <w:spacing w:after="0"/>
        <w:sectPr>
          <w:pgSz w:w="11910" w:h="16840"/>
          <w:pgMar w:header="0" w:footer="970" w:top="1040" w:bottom="1220" w:left="1417" w:right="283"/>
        </w:sectPr>
      </w:pPr>
    </w:p>
    <w:p>
      <w:pPr>
        <w:pStyle w:val="Heading4"/>
        <w:spacing w:before="67"/>
        <w:ind w:right="565"/>
      </w:pPr>
      <w:r>
        <w:rPr/>
        <w:t>привлекательности одного члена группы для другого, не позволяя констатировать мотивы осуществленного выбора. Чтобы получить комплексное представление о причинах выбора или отвержения участников группы (что может быть важно в случае работы с детьми с миграционным опытом), рекомендуется использовать социометрический тест в сочетании с иными инструментами психологической диагностики.</w:t>
      </w:r>
    </w:p>
    <w:p>
      <w:pPr>
        <w:pStyle w:val="Heading3"/>
        <w:spacing w:before="248"/>
      </w:pPr>
      <w:r>
        <w:rPr/>
        <w:t>Адаптация</w:t>
      </w:r>
      <w:r>
        <w:rPr>
          <w:spacing w:val="-6"/>
        </w:rPr>
        <w:t> </w:t>
      </w:r>
      <w:r>
        <w:rPr/>
        <w:t>методики</w:t>
      </w:r>
      <w:r>
        <w:rPr>
          <w:spacing w:val="-4"/>
        </w:rPr>
        <w:t> </w:t>
      </w:r>
      <w:r>
        <w:rPr/>
        <w:t>на</w:t>
      </w:r>
      <w:r>
        <w:rPr>
          <w:spacing w:val="-5"/>
        </w:rPr>
        <w:t> </w:t>
      </w:r>
      <w:r>
        <w:rPr/>
        <w:t>русском</w:t>
      </w:r>
      <w:r>
        <w:rPr>
          <w:spacing w:val="-5"/>
        </w:rPr>
        <w:t> </w:t>
      </w:r>
      <w:r>
        <w:rPr>
          <w:spacing w:val="-4"/>
        </w:rPr>
        <w:t>языке</w:t>
      </w:r>
    </w:p>
    <w:p>
      <w:pPr>
        <w:pStyle w:val="Heading4"/>
        <w:spacing w:before="194"/>
        <w:ind w:right="561" w:firstLine="566"/>
      </w:pPr>
      <w:r>
        <w:rPr/>
        <w:t>Методика является инструментом для анализа социальных связей, принятым и в российском психологическом сообществе. Так, социометрический тест используется для установления взаимосвязей между статусной позицией в группе и системами личностных конструктов (</w:t>
      </w:r>
      <w:r>
        <w:rPr>
          <w:i/>
        </w:rPr>
        <w:t>Чернышова,</w:t>
      </w:r>
      <w:r>
        <w:rPr>
          <w:i/>
          <w:spacing w:val="-18"/>
        </w:rPr>
        <w:t> </w:t>
      </w:r>
      <w:r>
        <w:rPr/>
        <w:t>2012:</w:t>
      </w:r>
      <w:r>
        <w:rPr>
          <w:spacing w:val="-16"/>
        </w:rPr>
        <w:t> </w:t>
      </w:r>
      <w:r>
        <w:rPr/>
        <w:t>выборка</w:t>
      </w:r>
      <w:r>
        <w:rPr>
          <w:spacing w:val="-18"/>
        </w:rPr>
        <w:t> </w:t>
      </w:r>
      <w:r>
        <w:rPr/>
        <w:t>исследования</w:t>
      </w:r>
      <w:r>
        <w:rPr>
          <w:spacing w:val="-12"/>
        </w:rPr>
        <w:t> </w:t>
      </w:r>
      <w:r>
        <w:rPr/>
        <w:t>—</w:t>
      </w:r>
      <w:r>
        <w:rPr>
          <w:spacing w:val="-17"/>
        </w:rPr>
        <w:t> </w:t>
      </w:r>
      <w:r>
        <w:rPr/>
        <w:t>390</w:t>
      </w:r>
      <w:r>
        <w:rPr>
          <w:spacing w:val="-16"/>
        </w:rPr>
        <w:t> </w:t>
      </w:r>
      <w:r>
        <w:rPr/>
        <w:t>студентов</w:t>
      </w:r>
      <w:r>
        <w:rPr>
          <w:spacing w:val="-17"/>
        </w:rPr>
        <w:t> </w:t>
      </w:r>
      <w:r>
        <w:rPr/>
        <w:t>первого</w:t>
      </w:r>
      <w:r>
        <w:rPr>
          <w:spacing w:val="-17"/>
        </w:rPr>
        <w:t> </w:t>
      </w:r>
      <w:r>
        <w:rPr/>
        <w:t>и</w:t>
      </w:r>
      <w:r>
        <w:rPr>
          <w:spacing w:val="-16"/>
        </w:rPr>
        <w:t> </w:t>
      </w:r>
      <w:r>
        <w:rPr/>
        <w:t>третьего курсов); между статусной позицией первоклассника с готовностью к школе и динамикой успешности освоения школьной программы (</w:t>
      </w:r>
      <w:r>
        <w:rPr>
          <w:i/>
        </w:rPr>
        <w:t>Громыко, </w:t>
      </w:r>
      <w:r>
        <w:rPr/>
        <w:t>2011: выборка</w:t>
      </w:r>
      <w:r>
        <w:rPr>
          <w:spacing w:val="-4"/>
        </w:rPr>
        <w:t> </w:t>
      </w:r>
      <w:r>
        <w:rPr/>
        <w:t>исследования</w:t>
      </w:r>
      <w:r>
        <w:rPr>
          <w:spacing w:val="-4"/>
        </w:rPr>
        <w:t> </w:t>
      </w:r>
      <w:r>
        <w:rPr/>
        <w:t>—</w:t>
      </w:r>
      <w:r>
        <w:rPr>
          <w:spacing w:val="-5"/>
        </w:rPr>
        <w:t> </w:t>
      </w:r>
      <w:r>
        <w:rPr/>
        <w:t>1382</w:t>
      </w:r>
      <w:r>
        <w:rPr>
          <w:spacing w:val="-3"/>
        </w:rPr>
        <w:t> </w:t>
      </w:r>
      <w:r>
        <w:rPr/>
        <w:t>первоклассника);</w:t>
      </w:r>
      <w:r>
        <w:rPr>
          <w:spacing w:val="-3"/>
        </w:rPr>
        <w:t> </w:t>
      </w:r>
      <w:r>
        <w:rPr/>
        <w:t>между</w:t>
      </w:r>
      <w:r>
        <w:rPr>
          <w:spacing w:val="-8"/>
        </w:rPr>
        <w:t> </w:t>
      </w:r>
      <w:r>
        <w:rPr/>
        <w:t>социальным</w:t>
      </w:r>
      <w:r>
        <w:rPr>
          <w:spacing w:val="-4"/>
        </w:rPr>
        <w:t> </w:t>
      </w:r>
      <w:r>
        <w:rPr/>
        <w:t>статусом и интеграционными процессами в подростковых группах (</w:t>
      </w:r>
      <w:r>
        <w:rPr>
          <w:i/>
        </w:rPr>
        <w:t>Васькова, </w:t>
      </w:r>
      <w:r>
        <w:rPr/>
        <w:t>2013: выборка исследования — 212 подростков).</w:t>
      </w:r>
    </w:p>
    <w:p>
      <w:pPr>
        <w:pStyle w:val="Heading4"/>
        <w:ind w:right="562" w:firstLine="566"/>
        <w:rPr>
          <w:i/>
        </w:rPr>
      </w:pPr>
      <w:r>
        <w:rPr/>
        <w:t>Методика активно применяется при анализе социальных связей детей с миграционным</w:t>
      </w:r>
      <w:r>
        <w:rPr>
          <w:spacing w:val="80"/>
          <w:w w:val="150"/>
        </w:rPr>
        <w:t> </w:t>
      </w:r>
      <w:r>
        <w:rPr/>
        <w:t>опытом.</w:t>
      </w:r>
      <w:r>
        <w:rPr>
          <w:spacing w:val="80"/>
          <w:w w:val="150"/>
        </w:rPr>
        <w:t> </w:t>
      </w:r>
      <w:r>
        <w:rPr/>
        <w:t>Например,</w:t>
      </w:r>
      <w:r>
        <w:rPr>
          <w:spacing w:val="80"/>
          <w:w w:val="150"/>
        </w:rPr>
        <w:t> </w:t>
      </w:r>
      <w:r>
        <w:rPr/>
        <w:t>исследования</w:t>
      </w:r>
      <w:r>
        <w:rPr>
          <w:spacing w:val="80"/>
          <w:w w:val="150"/>
        </w:rPr>
        <w:t> </w:t>
      </w:r>
      <w:r>
        <w:rPr/>
        <w:t>Д.А.</w:t>
      </w:r>
      <w:r>
        <w:rPr>
          <w:spacing w:val="-2"/>
        </w:rPr>
        <w:t> </w:t>
      </w:r>
      <w:r>
        <w:rPr/>
        <w:t>Александрова,</w:t>
      </w:r>
      <w:r>
        <w:rPr>
          <w:spacing w:val="40"/>
        </w:rPr>
        <w:t> </w:t>
      </w:r>
      <w:r>
        <w:rPr/>
        <w:t>В.В.</w:t>
      </w:r>
      <w:r>
        <w:rPr>
          <w:spacing w:val="-5"/>
        </w:rPr>
        <w:t> </w:t>
      </w:r>
      <w:r>
        <w:rPr/>
        <w:t>Барановой</w:t>
      </w:r>
      <w:r>
        <w:rPr>
          <w:spacing w:val="-3"/>
        </w:rPr>
        <w:t> </w:t>
      </w:r>
      <w:r>
        <w:rPr/>
        <w:t>и</w:t>
      </w:r>
      <w:r>
        <w:rPr>
          <w:spacing w:val="-1"/>
        </w:rPr>
        <w:t> </w:t>
      </w:r>
      <w:r>
        <w:rPr/>
        <w:t>В.А.</w:t>
      </w:r>
      <w:r>
        <w:rPr>
          <w:spacing w:val="-2"/>
        </w:rPr>
        <w:t> </w:t>
      </w:r>
      <w:r>
        <w:rPr/>
        <w:t>Иванюшиной,</w:t>
      </w:r>
      <w:r>
        <w:rPr>
          <w:spacing w:val="-4"/>
        </w:rPr>
        <w:t> </w:t>
      </w:r>
      <w:r>
        <w:rPr/>
        <w:t>проведенные</w:t>
      </w:r>
      <w:r>
        <w:rPr>
          <w:spacing w:val="-2"/>
        </w:rPr>
        <w:t> </w:t>
      </w:r>
      <w:r>
        <w:rPr/>
        <w:t>на</w:t>
      </w:r>
      <w:r>
        <w:rPr>
          <w:spacing w:val="-2"/>
        </w:rPr>
        <w:t> </w:t>
      </w:r>
      <w:r>
        <w:rPr/>
        <w:t>выборке</w:t>
      </w:r>
      <w:r>
        <w:rPr>
          <w:spacing w:val="-1"/>
        </w:rPr>
        <w:t> </w:t>
      </w:r>
      <w:r>
        <w:rPr/>
        <w:t>из</w:t>
      </w:r>
      <w:r>
        <w:rPr>
          <w:spacing w:val="-2"/>
        </w:rPr>
        <w:t> </w:t>
      </w:r>
      <w:r>
        <w:rPr/>
        <w:t>учеников</w:t>
      </w:r>
      <w:r>
        <w:rPr>
          <w:spacing w:val="-2"/>
        </w:rPr>
        <w:t> </w:t>
      </w:r>
      <w:r>
        <w:rPr/>
        <w:t>60 классов санкт-петербургских школ, демонстрируют большой разброс статусных систем классов, в которых присутствуют дети с миграционным опытом (</w:t>
      </w:r>
      <w:r>
        <w:rPr>
          <w:i/>
        </w:rPr>
        <w:t>Александров, </w:t>
      </w:r>
      <w:r>
        <w:rPr/>
        <w:t>2011)</w:t>
      </w:r>
      <w:r>
        <w:rPr>
          <w:i/>
        </w:rPr>
        <w:t>. </w:t>
      </w:r>
      <w:r>
        <w:rPr/>
        <w:t>Данные других российских исследований показывают</w:t>
      </w:r>
      <w:r>
        <w:rPr>
          <w:spacing w:val="-8"/>
        </w:rPr>
        <w:t> </w:t>
      </w:r>
      <w:r>
        <w:rPr/>
        <w:t>отсутствие</w:t>
      </w:r>
      <w:r>
        <w:rPr>
          <w:spacing w:val="-4"/>
        </w:rPr>
        <w:t> </w:t>
      </w:r>
      <w:r>
        <w:rPr/>
        <w:t>жесткой</w:t>
      </w:r>
      <w:r>
        <w:rPr>
          <w:spacing w:val="-6"/>
        </w:rPr>
        <w:t> </w:t>
      </w:r>
      <w:r>
        <w:rPr/>
        <w:t>зависимости</w:t>
      </w:r>
      <w:r>
        <w:rPr>
          <w:spacing w:val="-4"/>
        </w:rPr>
        <w:t> </w:t>
      </w:r>
      <w:r>
        <w:rPr/>
        <w:t>между</w:t>
      </w:r>
      <w:r>
        <w:rPr>
          <w:spacing w:val="-8"/>
        </w:rPr>
        <w:t> </w:t>
      </w:r>
      <w:r>
        <w:rPr/>
        <w:t>миграционным</w:t>
      </w:r>
      <w:r>
        <w:rPr>
          <w:spacing w:val="-7"/>
        </w:rPr>
        <w:t> </w:t>
      </w:r>
      <w:r>
        <w:rPr/>
        <w:t>опытом</w:t>
      </w:r>
      <w:r>
        <w:rPr>
          <w:spacing w:val="-4"/>
        </w:rPr>
        <w:t> </w:t>
      </w:r>
      <w:r>
        <w:rPr/>
        <w:t>в группе</w:t>
      </w:r>
      <w:r>
        <w:rPr>
          <w:spacing w:val="40"/>
        </w:rPr>
        <w:t> </w:t>
      </w:r>
      <w:r>
        <w:rPr/>
        <w:t>и</w:t>
      </w:r>
      <w:r>
        <w:rPr>
          <w:spacing w:val="40"/>
        </w:rPr>
        <w:t> </w:t>
      </w:r>
      <w:r>
        <w:rPr/>
        <w:t>определенной</w:t>
      </w:r>
      <w:r>
        <w:rPr>
          <w:spacing w:val="40"/>
        </w:rPr>
        <w:t> </w:t>
      </w:r>
      <w:r>
        <w:rPr/>
        <w:t>статусной</w:t>
      </w:r>
      <w:r>
        <w:rPr>
          <w:spacing w:val="40"/>
        </w:rPr>
        <w:t> </w:t>
      </w:r>
      <w:r>
        <w:rPr/>
        <w:t>позицией.</w:t>
      </w:r>
      <w:r>
        <w:rPr>
          <w:spacing w:val="40"/>
        </w:rPr>
        <w:t> </w:t>
      </w:r>
      <w:r>
        <w:rPr/>
        <w:t>Например,</w:t>
      </w:r>
      <w:r>
        <w:rPr>
          <w:spacing w:val="40"/>
        </w:rPr>
        <w:t> </w:t>
      </w:r>
      <w:r>
        <w:rPr/>
        <w:t>в</w:t>
      </w:r>
      <w:r>
        <w:rPr>
          <w:spacing w:val="40"/>
        </w:rPr>
        <w:t> </w:t>
      </w:r>
      <w:r>
        <w:rPr/>
        <w:t>исследовании Е.А.</w:t>
      </w:r>
      <w:r>
        <w:rPr>
          <w:spacing w:val="-7"/>
        </w:rPr>
        <w:t> </w:t>
      </w:r>
      <w:r>
        <w:rPr/>
        <w:t>Минаковой</w:t>
      </w:r>
      <w:r>
        <w:rPr>
          <w:spacing w:val="-9"/>
        </w:rPr>
        <w:t> </w:t>
      </w:r>
      <w:r>
        <w:rPr/>
        <w:t>статусное</w:t>
      </w:r>
      <w:r>
        <w:rPr>
          <w:spacing w:val="-10"/>
        </w:rPr>
        <w:t> </w:t>
      </w:r>
      <w:r>
        <w:rPr/>
        <w:t>распределение</w:t>
      </w:r>
      <w:r>
        <w:rPr>
          <w:spacing w:val="-10"/>
        </w:rPr>
        <w:t> </w:t>
      </w:r>
      <w:r>
        <w:rPr/>
        <w:t>среди</w:t>
      </w:r>
      <w:r>
        <w:rPr>
          <w:spacing w:val="-9"/>
        </w:rPr>
        <w:t> </w:t>
      </w:r>
      <w:r>
        <w:rPr/>
        <w:t>школьников</w:t>
      </w:r>
      <w:r>
        <w:rPr>
          <w:spacing w:val="-10"/>
        </w:rPr>
        <w:t> </w:t>
      </w:r>
      <w:r>
        <w:rPr/>
        <w:t>с</w:t>
      </w:r>
      <w:r>
        <w:rPr>
          <w:spacing w:val="-10"/>
        </w:rPr>
        <w:t> </w:t>
      </w:r>
      <w:r>
        <w:rPr/>
        <w:t>миграционным опытом соответствовало таковому у остальных детей </w:t>
      </w:r>
      <w:r>
        <w:rPr>
          <w:i/>
        </w:rPr>
        <w:t>(Минакова, </w:t>
      </w:r>
      <w:r>
        <w:rPr/>
        <w:t>2008</w:t>
      </w:r>
      <w:r>
        <w:rPr>
          <w:i/>
        </w:rPr>
        <w:t>).</w:t>
      </w:r>
    </w:p>
    <w:p>
      <w:pPr>
        <w:pStyle w:val="Heading4"/>
        <w:spacing w:after="0"/>
        <w:rPr>
          <w:i/>
        </w:rPr>
        <w:sectPr>
          <w:pgSz w:w="11910" w:h="16840"/>
          <w:pgMar w:header="0" w:footer="970" w:top="1040" w:bottom="1220" w:left="1417" w:right="283"/>
        </w:sectPr>
      </w:pPr>
    </w:p>
    <w:p>
      <w:pPr>
        <w:pStyle w:val="Heading3"/>
        <w:ind w:left="5431"/>
        <w:jc w:val="left"/>
      </w:pPr>
      <w:r>
        <w:rPr/>
        <w:t>Приложение</w:t>
      </w:r>
      <w:r>
        <w:rPr>
          <w:spacing w:val="-6"/>
        </w:rPr>
        <w:t> </w:t>
      </w:r>
      <w:r>
        <w:rPr/>
        <w:t>12.</w:t>
      </w:r>
      <w:r>
        <w:rPr>
          <w:spacing w:val="-3"/>
        </w:rPr>
        <w:t> </w:t>
      </w:r>
      <w:r>
        <w:rPr/>
        <w:t>Бланк</w:t>
      </w:r>
      <w:r>
        <w:rPr>
          <w:spacing w:val="-2"/>
        </w:rPr>
        <w:t> методики</w:t>
      </w:r>
    </w:p>
    <w:p>
      <w:pPr>
        <w:pStyle w:val="Heading4"/>
        <w:tabs>
          <w:tab w:pos="7705" w:val="left" w:leader="none"/>
          <w:tab w:pos="9523" w:val="left" w:leader="none"/>
        </w:tabs>
        <w:spacing w:before="317"/>
        <w:jc w:val="left"/>
      </w:pPr>
      <w:r>
        <w:rPr/>
        <w:t>Фамилия, имя </w:t>
      </w:r>
      <w:r>
        <w:rPr>
          <w:u w:val="single"/>
        </w:rPr>
        <w:tab/>
      </w:r>
      <w:r>
        <w:rPr/>
        <w:t>Класс </w:t>
      </w:r>
      <w:r>
        <w:rPr>
          <w:u w:val="single"/>
        </w:rPr>
        <w:tab/>
      </w:r>
    </w:p>
    <w:p>
      <w:pPr>
        <w:pStyle w:val="BodyText"/>
        <w:spacing w:before="321"/>
        <w:ind w:left="0" w:right="0" w:firstLine="0"/>
        <w:jc w:val="left"/>
        <w:rPr>
          <w:sz w:val="28"/>
        </w:rPr>
      </w:pPr>
    </w:p>
    <w:p>
      <w:pPr>
        <w:pStyle w:val="Heading4"/>
        <w:jc w:val="left"/>
      </w:pPr>
      <w:r>
        <w:rPr/>
        <w:t>Если</w:t>
      </w:r>
      <w:r>
        <w:rPr>
          <w:spacing w:val="80"/>
        </w:rPr>
        <w:t> </w:t>
      </w:r>
      <w:r>
        <w:rPr/>
        <w:t>ваш</w:t>
      </w:r>
      <w:r>
        <w:rPr>
          <w:spacing w:val="79"/>
        </w:rPr>
        <w:t> </w:t>
      </w:r>
      <w:r>
        <w:rPr/>
        <w:t>класс</w:t>
      </w:r>
      <w:r>
        <w:rPr>
          <w:spacing w:val="78"/>
        </w:rPr>
        <w:t> </w:t>
      </w:r>
      <w:r>
        <w:rPr/>
        <w:t>расформируют,</w:t>
      </w:r>
      <w:r>
        <w:rPr>
          <w:spacing w:val="79"/>
        </w:rPr>
        <w:t> </w:t>
      </w:r>
      <w:r>
        <w:rPr/>
        <w:t>с</w:t>
      </w:r>
      <w:r>
        <w:rPr>
          <w:spacing w:val="80"/>
        </w:rPr>
        <w:t> </w:t>
      </w:r>
      <w:r>
        <w:rPr/>
        <w:t>кем</w:t>
      </w:r>
      <w:r>
        <w:rPr>
          <w:spacing w:val="80"/>
        </w:rPr>
        <w:t> </w:t>
      </w:r>
      <w:r>
        <w:rPr/>
        <w:t>из</w:t>
      </w:r>
      <w:r>
        <w:rPr>
          <w:spacing w:val="77"/>
        </w:rPr>
        <w:t> </w:t>
      </w:r>
      <w:r>
        <w:rPr/>
        <w:t>одноклассников</w:t>
      </w:r>
      <w:r>
        <w:rPr>
          <w:spacing w:val="79"/>
        </w:rPr>
        <w:t> </w:t>
      </w:r>
      <w:r>
        <w:rPr/>
        <w:t>ты</w:t>
      </w:r>
      <w:r>
        <w:rPr>
          <w:spacing w:val="78"/>
        </w:rPr>
        <w:t> </w:t>
      </w:r>
      <w:r>
        <w:rPr/>
        <w:t>бы</w:t>
      </w:r>
      <w:r>
        <w:rPr>
          <w:spacing w:val="78"/>
        </w:rPr>
        <w:t> </w:t>
      </w:r>
      <w:r>
        <w:rPr/>
        <w:t>хотел/а оказаться в новом классе?</w:t>
      </w:r>
    </w:p>
    <w:p>
      <w:pPr>
        <w:pStyle w:val="Heading4"/>
        <w:tabs>
          <w:tab w:pos="9588" w:val="left" w:leader="none"/>
        </w:tabs>
        <w:spacing w:line="322" w:lineRule="exact" w:before="2"/>
        <w:jc w:val="left"/>
      </w:pPr>
      <w:r>
        <w:rPr/>
        <w:t>1. </w:t>
      </w:r>
      <w:r>
        <w:rPr>
          <w:u w:val="single"/>
        </w:rPr>
        <w:tab/>
      </w:r>
    </w:p>
    <w:p>
      <w:pPr>
        <w:pStyle w:val="Heading4"/>
        <w:tabs>
          <w:tab w:pos="9588" w:val="left" w:leader="none"/>
        </w:tabs>
        <w:spacing w:line="322" w:lineRule="exact"/>
        <w:jc w:val="left"/>
      </w:pPr>
      <w:r>
        <w:rPr/>
        <w:t>2. </w:t>
      </w:r>
      <w:r>
        <w:rPr>
          <w:u w:val="single"/>
        </w:rPr>
        <w:tab/>
      </w:r>
    </w:p>
    <w:p>
      <w:pPr>
        <w:pStyle w:val="Heading4"/>
        <w:tabs>
          <w:tab w:pos="9588" w:val="left" w:leader="none"/>
        </w:tabs>
        <w:jc w:val="left"/>
      </w:pPr>
      <w:r>
        <w:rPr/>
        <w:t>3. </w:t>
      </w:r>
      <w:r>
        <w:rPr>
          <w:u w:val="single"/>
        </w:rPr>
        <w:tab/>
      </w:r>
    </w:p>
    <w:p>
      <w:pPr>
        <w:pStyle w:val="BodyText"/>
        <w:spacing w:before="321"/>
        <w:ind w:left="0" w:right="0" w:firstLine="0"/>
        <w:jc w:val="left"/>
        <w:rPr>
          <w:sz w:val="28"/>
        </w:rPr>
      </w:pPr>
    </w:p>
    <w:p>
      <w:pPr>
        <w:pStyle w:val="Heading4"/>
        <w:spacing w:line="242" w:lineRule="auto"/>
        <w:jc w:val="left"/>
      </w:pPr>
      <w:r>
        <w:rPr/>
        <w:t>Если</w:t>
      </w:r>
      <w:r>
        <w:rPr>
          <w:spacing w:val="33"/>
        </w:rPr>
        <w:t> </w:t>
      </w:r>
      <w:r>
        <w:rPr/>
        <w:t>ваш</w:t>
      </w:r>
      <w:r>
        <w:rPr>
          <w:spacing w:val="32"/>
        </w:rPr>
        <w:t> </w:t>
      </w:r>
      <w:r>
        <w:rPr/>
        <w:t>класс</w:t>
      </w:r>
      <w:r>
        <w:rPr>
          <w:spacing w:val="33"/>
        </w:rPr>
        <w:t> </w:t>
      </w:r>
      <w:r>
        <w:rPr/>
        <w:t>расформируют,</w:t>
      </w:r>
      <w:r>
        <w:rPr>
          <w:spacing w:val="32"/>
        </w:rPr>
        <w:t> </w:t>
      </w:r>
      <w:r>
        <w:rPr/>
        <w:t>с</w:t>
      </w:r>
      <w:r>
        <w:rPr>
          <w:spacing w:val="33"/>
        </w:rPr>
        <w:t> </w:t>
      </w:r>
      <w:r>
        <w:rPr/>
        <w:t>кем</w:t>
      </w:r>
      <w:r>
        <w:rPr>
          <w:spacing w:val="31"/>
        </w:rPr>
        <w:t> </w:t>
      </w:r>
      <w:r>
        <w:rPr/>
        <w:t>из</w:t>
      </w:r>
      <w:r>
        <w:rPr>
          <w:spacing w:val="32"/>
        </w:rPr>
        <w:t> </w:t>
      </w:r>
      <w:r>
        <w:rPr/>
        <w:t>одноклассников</w:t>
      </w:r>
      <w:r>
        <w:rPr>
          <w:spacing w:val="30"/>
        </w:rPr>
        <w:t> </w:t>
      </w:r>
      <w:r>
        <w:rPr/>
        <w:t>ты</w:t>
      </w:r>
      <w:r>
        <w:rPr>
          <w:spacing w:val="33"/>
        </w:rPr>
        <w:t> </w:t>
      </w:r>
      <w:r>
        <w:rPr/>
        <w:t>бы</w:t>
      </w:r>
      <w:r>
        <w:rPr>
          <w:spacing w:val="33"/>
        </w:rPr>
        <w:t> </w:t>
      </w:r>
      <w:r>
        <w:rPr/>
        <w:t>НЕ хотел/а оказаться в новом классе?</w:t>
      </w:r>
    </w:p>
    <w:p>
      <w:pPr>
        <w:pStyle w:val="Heading4"/>
        <w:tabs>
          <w:tab w:pos="9588" w:val="left" w:leader="none"/>
        </w:tabs>
        <w:spacing w:line="317" w:lineRule="exact"/>
        <w:jc w:val="left"/>
      </w:pPr>
      <w:r>
        <w:rPr/>
        <w:t>1. </w:t>
      </w:r>
      <w:r>
        <w:rPr>
          <w:u w:val="single"/>
        </w:rPr>
        <w:tab/>
      </w:r>
    </w:p>
    <w:p>
      <w:pPr>
        <w:pStyle w:val="Heading4"/>
        <w:tabs>
          <w:tab w:pos="9588" w:val="left" w:leader="none"/>
        </w:tabs>
        <w:spacing w:line="322" w:lineRule="exact"/>
        <w:jc w:val="left"/>
      </w:pPr>
      <w:r>
        <w:rPr/>
        <w:t>2. </w:t>
      </w:r>
      <w:r>
        <w:rPr>
          <w:u w:val="single"/>
        </w:rPr>
        <w:tab/>
      </w:r>
    </w:p>
    <w:p>
      <w:pPr>
        <w:pStyle w:val="Heading4"/>
        <w:tabs>
          <w:tab w:pos="9588" w:val="left" w:leader="none"/>
        </w:tabs>
        <w:jc w:val="left"/>
      </w:pPr>
      <w:r>
        <w:rPr/>
        <w:t>3. </w:t>
      </w:r>
      <w:r>
        <w:rPr>
          <w:u w:val="single"/>
        </w:rPr>
        <w:tab/>
      </w:r>
    </w:p>
    <w:p>
      <w:pPr>
        <w:pStyle w:val="Heading4"/>
        <w:spacing w:after="0"/>
        <w:jc w:val="left"/>
        <w:sectPr>
          <w:pgSz w:w="11910" w:h="16840"/>
          <w:pgMar w:header="0" w:footer="970" w:top="1040" w:bottom="1220" w:left="1417" w:right="283"/>
        </w:sectPr>
      </w:pPr>
    </w:p>
    <w:p>
      <w:pPr>
        <w:pStyle w:val="Heading2"/>
        <w:numPr>
          <w:ilvl w:val="0"/>
          <w:numId w:val="15"/>
        </w:numPr>
        <w:tabs>
          <w:tab w:pos="705" w:val="left" w:leader="none"/>
        </w:tabs>
        <w:spacing w:line="240" w:lineRule="auto" w:before="72" w:after="0"/>
        <w:ind w:left="705" w:right="0" w:hanging="420"/>
        <w:jc w:val="left"/>
      </w:pPr>
      <w:bookmarkStart w:name="_bookmark27" w:id="29"/>
      <w:bookmarkEnd w:id="29"/>
      <w:r>
        <w:rPr>
          <w:b w:val="0"/>
        </w:rPr>
      </w:r>
      <w:r>
        <w:rPr/>
        <w:t>Опросник</w:t>
      </w:r>
      <w:r>
        <w:rPr>
          <w:spacing w:val="-10"/>
        </w:rPr>
        <w:t> </w:t>
      </w:r>
      <w:r>
        <w:rPr/>
        <w:t>аккультурации</w:t>
      </w:r>
      <w:r>
        <w:rPr>
          <w:spacing w:val="-7"/>
        </w:rPr>
        <w:t> </w:t>
      </w:r>
      <w:r>
        <w:rPr/>
        <w:t>для</w:t>
      </w:r>
      <w:r>
        <w:rPr>
          <w:spacing w:val="-8"/>
        </w:rPr>
        <w:t> </w:t>
      </w:r>
      <w:r>
        <w:rPr/>
        <w:t>детей</w:t>
      </w:r>
      <w:r>
        <w:rPr>
          <w:spacing w:val="-7"/>
        </w:rPr>
        <w:t> </w:t>
      </w:r>
      <w:r>
        <w:rPr/>
        <w:t>и</w:t>
      </w:r>
      <w:r>
        <w:rPr>
          <w:spacing w:val="-7"/>
        </w:rPr>
        <w:t> </w:t>
      </w:r>
      <w:r>
        <w:rPr>
          <w:spacing w:val="-2"/>
        </w:rPr>
        <w:t>подростков</w:t>
      </w:r>
    </w:p>
    <w:p>
      <w:pPr>
        <w:pStyle w:val="Heading3"/>
        <w:spacing w:before="293"/>
      </w:pPr>
      <w:r>
        <w:rPr/>
        <w:t>Описание</w:t>
      </w:r>
      <w:r>
        <w:rPr>
          <w:spacing w:val="-2"/>
        </w:rPr>
        <w:t> методики</w:t>
      </w:r>
    </w:p>
    <w:p>
      <w:pPr>
        <w:pStyle w:val="Heading4"/>
        <w:spacing w:before="232"/>
        <w:ind w:right="563"/>
      </w:pPr>
      <w:r>
        <w:rPr/>
        <w:t>Методика разработана О.Е. Хухлаевым и М.Ю. Чибисовой и предназначена для</w:t>
      </w:r>
      <w:r>
        <w:rPr>
          <w:spacing w:val="-4"/>
        </w:rPr>
        <w:t> </w:t>
      </w:r>
      <w:r>
        <w:rPr/>
        <w:t>оценки</w:t>
      </w:r>
      <w:r>
        <w:rPr>
          <w:spacing w:val="-6"/>
        </w:rPr>
        <w:t> </w:t>
      </w:r>
      <w:r>
        <w:rPr/>
        <w:t>процесса</w:t>
      </w:r>
      <w:r>
        <w:rPr>
          <w:spacing w:val="-4"/>
        </w:rPr>
        <w:t> </w:t>
      </w:r>
      <w:r>
        <w:rPr/>
        <w:t>адаптации</w:t>
      </w:r>
      <w:r>
        <w:rPr>
          <w:spacing w:val="-4"/>
        </w:rPr>
        <w:t> </w:t>
      </w:r>
      <w:r>
        <w:rPr/>
        <w:t>к</w:t>
      </w:r>
      <w:r>
        <w:rPr>
          <w:spacing w:val="-5"/>
        </w:rPr>
        <w:t> </w:t>
      </w:r>
      <w:r>
        <w:rPr/>
        <w:t>новой</w:t>
      </w:r>
      <w:r>
        <w:rPr>
          <w:spacing w:val="-6"/>
        </w:rPr>
        <w:t> </w:t>
      </w:r>
      <w:r>
        <w:rPr/>
        <w:t>культуре —</w:t>
      </w:r>
      <w:r>
        <w:rPr>
          <w:spacing w:val="-5"/>
        </w:rPr>
        <w:t> </w:t>
      </w:r>
      <w:r>
        <w:rPr/>
        <w:t>стратегий</w:t>
      </w:r>
      <w:r>
        <w:rPr>
          <w:spacing w:val="-4"/>
        </w:rPr>
        <w:t> </w:t>
      </w:r>
      <w:r>
        <w:rPr/>
        <w:t>аккультурации ребенка-мигранта.</w:t>
      </w:r>
      <w:r>
        <w:rPr>
          <w:spacing w:val="-3"/>
        </w:rPr>
        <w:t> </w:t>
      </w:r>
      <w:r>
        <w:rPr/>
        <w:t>Применяется</w:t>
      </w:r>
      <w:r>
        <w:rPr>
          <w:spacing w:val="-1"/>
        </w:rPr>
        <w:t> </w:t>
      </w:r>
      <w:r>
        <w:rPr/>
        <w:t>с</w:t>
      </w:r>
      <w:r>
        <w:rPr>
          <w:spacing w:val="-1"/>
        </w:rPr>
        <w:t> </w:t>
      </w:r>
      <w:r>
        <w:rPr/>
        <w:t>учащимися любого</w:t>
      </w:r>
      <w:r>
        <w:rPr>
          <w:spacing w:val="-1"/>
        </w:rPr>
        <w:t> </w:t>
      </w:r>
      <w:r>
        <w:rPr/>
        <w:t>возраста.</w:t>
      </w:r>
      <w:r>
        <w:rPr>
          <w:spacing w:val="-1"/>
        </w:rPr>
        <w:t> </w:t>
      </w:r>
      <w:r>
        <w:rPr/>
        <w:t>Для</w:t>
      </w:r>
      <w:r>
        <w:rPr>
          <w:spacing w:val="-1"/>
        </w:rPr>
        <w:t> </w:t>
      </w:r>
      <w:r>
        <w:rPr/>
        <w:t>младшей, средней и старшей школы используются отдельные варианты методики. В варианте</w:t>
      </w:r>
      <w:r>
        <w:rPr>
          <w:spacing w:val="16"/>
        </w:rPr>
        <w:t> </w:t>
      </w:r>
      <w:r>
        <w:rPr/>
        <w:t>для</w:t>
      </w:r>
      <w:r>
        <w:rPr>
          <w:spacing w:val="20"/>
        </w:rPr>
        <w:t> </w:t>
      </w:r>
      <w:r>
        <w:rPr/>
        <w:t>начальной</w:t>
      </w:r>
      <w:r>
        <w:rPr>
          <w:spacing w:val="20"/>
        </w:rPr>
        <w:t> </w:t>
      </w:r>
      <w:r>
        <w:rPr/>
        <w:t>школы</w:t>
      </w:r>
      <w:r>
        <w:rPr>
          <w:spacing w:val="20"/>
        </w:rPr>
        <w:t> </w:t>
      </w:r>
      <w:r>
        <w:rPr/>
        <w:t>8</w:t>
      </w:r>
      <w:r>
        <w:rPr>
          <w:spacing w:val="21"/>
        </w:rPr>
        <w:t> </w:t>
      </w:r>
      <w:r>
        <w:rPr/>
        <w:t>утверждений</w:t>
      </w:r>
      <w:r>
        <w:rPr>
          <w:spacing w:val="19"/>
        </w:rPr>
        <w:t> </w:t>
      </w:r>
      <w:r>
        <w:rPr/>
        <w:t>(АКК-8),</w:t>
      </w:r>
      <w:r>
        <w:rPr>
          <w:spacing w:val="20"/>
        </w:rPr>
        <w:t> </w:t>
      </w:r>
      <w:r>
        <w:rPr/>
        <w:t>для</w:t>
      </w:r>
      <w:r>
        <w:rPr>
          <w:spacing w:val="20"/>
        </w:rPr>
        <w:t> </w:t>
      </w:r>
      <w:r>
        <w:rPr/>
        <w:t>средней</w:t>
      </w:r>
      <w:r>
        <w:rPr>
          <w:spacing w:val="20"/>
        </w:rPr>
        <w:t> </w:t>
      </w:r>
      <w:r>
        <w:rPr>
          <w:spacing w:val="-2"/>
        </w:rPr>
        <w:t>школы</w:t>
      </w:r>
    </w:p>
    <w:p>
      <w:pPr>
        <w:pStyle w:val="Heading4"/>
        <w:numPr>
          <w:ilvl w:val="0"/>
          <w:numId w:val="29"/>
        </w:numPr>
        <w:tabs>
          <w:tab w:pos="639" w:val="left" w:leader="none"/>
        </w:tabs>
        <w:spacing w:line="240" w:lineRule="auto" w:before="1" w:after="0"/>
        <w:ind w:left="285" w:right="560" w:firstLine="0"/>
        <w:jc w:val="both"/>
      </w:pPr>
      <w:r>
        <w:rPr/>
        <w:t>12 утверждений (АКК-12) и</w:t>
      </w:r>
      <w:r>
        <w:rPr>
          <w:spacing w:val="-1"/>
        </w:rPr>
        <w:t> </w:t>
      </w:r>
      <w:r>
        <w:rPr/>
        <w:t>для старшей школы — 28 утверждений (АКК- </w:t>
      </w:r>
      <w:r>
        <w:rPr>
          <w:spacing w:val="-4"/>
        </w:rPr>
        <w:t>28).</w:t>
      </w:r>
    </w:p>
    <w:p>
      <w:pPr>
        <w:pStyle w:val="Heading4"/>
        <w:spacing w:before="240"/>
        <w:jc w:val="left"/>
      </w:pPr>
      <w:r>
        <w:rPr/>
        <w:t>В</w:t>
      </w:r>
      <w:r>
        <w:rPr>
          <w:spacing w:val="-8"/>
        </w:rPr>
        <w:t> </w:t>
      </w:r>
      <w:r>
        <w:rPr/>
        <w:t>методике</w:t>
      </w:r>
      <w:r>
        <w:rPr>
          <w:spacing w:val="-10"/>
        </w:rPr>
        <w:t> </w:t>
      </w:r>
      <w:r>
        <w:rPr/>
        <w:t>содержится</w:t>
      </w:r>
      <w:r>
        <w:rPr>
          <w:spacing w:val="-8"/>
        </w:rPr>
        <w:t> </w:t>
      </w:r>
      <w:r>
        <w:rPr/>
        <w:t>набор</w:t>
      </w:r>
      <w:r>
        <w:rPr>
          <w:spacing w:val="-8"/>
        </w:rPr>
        <w:t> </w:t>
      </w:r>
      <w:r>
        <w:rPr/>
        <w:t>утверждений,</w:t>
      </w:r>
      <w:r>
        <w:rPr>
          <w:spacing w:val="-9"/>
        </w:rPr>
        <w:t> </w:t>
      </w:r>
      <w:r>
        <w:rPr/>
        <w:t>которые</w:t>
      </w:r>
      <w:r>
        <w:rPr>
          <w:spacing w:val="-11"/>
        </w:rPr>
        <w:t> </w:t>
      </w:r>
      <w:r>
        <w:rPr/>
        <w:t>распределяются</w:t>
      </w:r>
      <w:r>
        <w:rPr>
          <w:spacing w:val="-11"/>
        </w:rPr>
        <w:t> </w:t>
      </w:r>
      <w:r>
        <w:rPr/>
        <w:t>по</w:t>
      </w:r>
      <w:r>
        <w:rPr>
          <w:spacing w:val="-10"/>
        </w:rPr>
        <w:t> </w:t>
      </w:r>
      <w:r>
        <w:rPr/>
        <w:t>двум </w:t>
      </w:r>
      <w:r>
        <w:rPr>
          <w:spacing w:val="-2"/>
        </w:rPr>
        <w:t>шкалам:</w:t>
      </w:r>
    </w:p>
    <w:p>
      <w:pPr>
        <w:pStyle w:val="Heading4"/>
        <w:numPr>
          <w:ilvl w:val="1"/>
          <w:numId w:val="29"/>
        </w:numPr>
        <w:tabs>
          <w:tab w:pos="1120" w:val="left" w:leader="none"/>
        </w:tabs>
        <w:spacing w:line="321" w:lineRule="exact" w:before="0" w:after="0"/>
        <w:ind w:left="1120" w:right="0" w:hanging="696"/>
        <w:jc w:val="left"/>
      </w:pPr>
      <w:r>
        <w:rPr/>
        <w:t>Сохранение</w:t>
      </w:r>
      <w:r>
        <w:rPr>
          <w:spacing w:val="-13"/>
        </w:rPr>
        <w:t> </w:t>
      </w:r>
      <w:r>
        <w:rPr/>
        <w:t>ребенком-мигрантом</w:t>
      </w:r>
      <w:r>
        <w:rPr>
          <w:spacing w:val="-13"/>
        </w:rPr>
        <w:t> </w:t>
      </w:r>
      <w:r>
        <w:rPr/>
        <w:t>родной</w:t>
      </w:r>
      <w:r>
        <w:rPr>
          <w:spacing w:val="-11"/>
        </w:rPr>
        <w:t> </w:t>
      </w:r>
      <w:r>
        <w:rPr/>
        <w:t>культурной</w:t>
      </w:r>
      <w:r>
        <w:rPr>
          <w:spacing w:val="-12"/>
        </w:rPr>
        <w:t> </w:t>
      </w:r>
      <w:r>
        <w:rPr>
          <w:spacing w:val="-2"/>
        </w:rPr>
        <w:t>среды.</w:t>
      </w:r>
    </w:p>
    <w:p>
      <w:pPr>
        <w:pStyle w:val="Heading4"/>
        <w:numPr>
          <w:ilvl w:val="1"/>
          <w:numId w:val="29"/>
        </w:numPr>
        <w:tabs>
          <w:tab w:pos="1120" w:val="left" w:leader="none"/>
        </w:tabs>
        <w:spacing w:line="420" w:lineRule="auto" w:before="0" w:after="0"/>
        <w:ind w:left="285" w:right="587" w:firstLine="139"/>
        <w:jc w:val="left"/>
      </w:pPr>
      <w:r>
        <w:rPr/>
        <w:t>Включенность</w:t>
      </w:r>
      <w:r>
        <w:rPr>
          <w:spacing w:val="-8"/>
        </w:rPr>
        <w:t> </w:t>
      </w:r>
      <w:r>
        <w:rPr/>
        <w:t>ребенка-мигранта</w:t>
      </w:r>
      <w:r>
        <w:rPr>
          <w:spacing w:val="-4"/>
        </w:rPr>
        <w:t> </w:t>
      </w:r>
      <w:r>
        <w:rPr/>
        <w:t>в</w:t>
      </w:r>
      <w:r>
        <w:rPr>
          <w:spacing w:val="-8"/>
        </w:rPr>
        <w:t> </w:t>
      </w:r>
      <w:r>
        <w:rPr/>
        <w:t>культуру</w:t>
      </w:r>
      <w:r>
        <w:rPr>
          <w:spacing w:val="-8"/>
        </w:rPr>
        <w:t> </w:t>
      </w:r>
      <w:r>
        <w:rPr/>
        <w:t>принимающего</w:t>
      </w:r>
      <w:r>
        <w:rPr>
          <w:spacing w:val="-7"/>
        </w:rPr>
        <w:t> </w:t>
      </w:r>
      <w:r>
        <w:rPr/>
        <w:t>общества. Результатом проведения методики является сравнительная оценка:</w:t>
      </w:r>
    </w:p>
    <w:p>
      <w:pPr>
        <w:pStyle w:val="Heading4"/>
        <w:spacing w:line="417" w:lineRule="auto"/>
        <w:ind w:right="2248"/>
        <w:jc w:val="left"/>
      </w:pPr>
      <w:r>
        <w:rPr/>
        <w:t>а)</w:t>
      </w:r>
      <w:r>
        <w:rPr>
          <w:spacing w:val="-7"/>
        </w:rPr>
        <w:t> </w:t>
      </w:r>
      <w:r>
        <w:rPr/>
        <w:t>сохранения</w:t>
      </w:r>
      <w:r>
        <w:rPr>
          <w:spacing w:val="-7"/>
        </w:rPr>
        <w:t> </w:t>
      </w:r>
      <w:r>
        <w:rPr/>
        <w:t>ребенком-мигрантом</w:t>
      </w:r>
      <w:r>
        <w:rPr>
          <w:spacing w:val="-10"/>
        </w:rPr>
        <w:t> </w:t>
      </w:r>
      <w:r>
        <w:rPr/>
        <w:t>родной</w:t>
      </w:r>
      <w:r>
        <w:rPr>
          <w:spacing w:val="-7"/>
        </w:rPr>
        <w:t> </w:t>
      </w:r>
      <w:r>
        <w:rPr/>
        <w:t>культурной</w:t>
      </w:r>
      <w:r>
        <w:rPr>
          <w:spacing w:val="-7"/>
        </w:rPr>
        <w:t> </w:t>
      </w:r>
      <w:r>
        <w:rPr/>
        <w:t>среды, б) его включенности в принимающее (российское) общество.</w:t>
      </w:r>
    </w:p>
    <w:p>
      <w:pPr>
        <w:pStyle w:val="Heading4"/>
        <w:tabs>
          <w:tab w:pos="1700" w:val="left" w:leader="none"/>
          <w:tab w:pos="3113" w:val="left" w:leader="none"/>
          <w:tab w:pos="4041" w:val="left" w:leader="none"/>
          <w:tab w:pos="5171" w:val="left" w:leader="none"/>
          <w:tab w:pos="6135" w:val="left" w:leader="none"/>
          <w:tab w:pos="6501" w:val="left" w:leader="none"/>
          <w:tab w:pos="8410" w:val="left" w:leader="none"/>
        </w:tabs>
        <w:spacing w:before="1"/>
        <w:ind w:right="557"/>
        <w:jc w:val="left"/>
      </w:pPr>
      <w:r>
        <w:rPr>
          <w:spacing w:val="-2"/>
        </w:rPr>
        <w:t>Методика</w:t>
      </w:r>
      <w:r>
        <w:rPr/>
        <w:tab/>
      </w:r>
      <w:r>
        <w:rPr>
          <w:spacing w:val="-2"/>
        </w:rPr>
        <w:t>позволяет</w:t>
      </w:r>
      <w:r>
        <w:rPr/>
        <w:tab/>
      </w:r>
      <w:r>
        <w:rPr>
          <w:spacing w:val="-2"/>
        </w:rPr>
        <w:t>также</w:t>
      </w:r>
      <w:r>
        <w:rPr/>
        <w:tab/>
      </w:r>
      <w:r>
        <w:rPr>
          <w:spacing w:val="-2"/>
        </w:rPr>
        <w:t>сделать</w:t>
      </w:r>
      <w:r>
        <w:rPr/>
        <w:tab/>
      </w:r>
      <w:r>
        <w:rPr>
          <w:spacing w:val="-2"/>
        </w:rPr>
        <w:t>вывод</w:t>
      </w:r>
      <w:r>
        <w:rPr/>
        <w:tab/>
      </w:r>
      <w:r>
        <w:rPr>
          <w:spacing w:val="-10"/>
        </w:rPr>
        <w:t>о</w:t>
      </w:r>
      <w:r>
        <w:rPr/>
        <w:tab/>
      </w:r>
      <w:r>
        <w:rPr>
          <w:spacing w:val="-2"/>
        </w:rPr>
        <w:t>предпочтении</w:t>
      </w:r>
      <w:r>
        <w:rPr/>
        <w:tab/>
      </w:r>
      <w:r>
        <w:rPr>
          <w:spacing w:val="-2"/>
        </w:rPr>
        <w:t>ребенком- </w:t>
      </w:r>
      <w:r>
        <w:rPr/>
        <w:t>мигрантом одной из четырех стратегий аккультурации.</w:t>
      </w:r>
    </w:p>
    <w:p>
      <w:pPr>
        <w:pStyle w:val="Heading4"/>
        <w:spacing w:line="242" w:lineRule="auto" w:before="239"/>
        <w:ind w:right="567"/>
      </w:pPr>
      <w:r>
        <w:rPr>
          <w:i/>
        </w:rPr>
        <w:t>Интеграция </w:t>
      </w:r>
      <w:r>
        <w:rPr/>
        <w:t>— включение в культуру принимающего общества при сохранении</w:t>
      </w:r>
      <w:r>
        <w:rPr>
          <w:spacing w:val="-1"/>
        </w:rPr>
        <w:t> </w:t>
      </w:r>
      <w:r>
        <w:rPr/>
        <w:t>родной</w:t>
      </w:r>
      <w:r>
        <w:rPr>
          <w:spacing w:val="-4"/>
        </w:rPr>
        <w:t> </w:t>
      </w:r>
      <w:r>
        <w:rPr/>
        <w:t>культурной</w:t>
      </w:r>
      <w:r>
        <w:rPr>
          <w:spacing w:val="-1"/>
        </w:rPr>
        <w:t> </w:t>
      </w:r>
      <w:r>
        <w:rPr/>
        <w:t>среды;</w:t>
      </w:r>
      <w:r>
        <w:rPr>
          <w:spacing w:val="-3"/>
        </w:rPr>
        <w:t> </w:t>
      </w:r>
      <w:r>
        <w:rPr/>
        <w:t>результатом</w:t>
      </w:r>
      <w:r>
        <w:rPr>
          <w:spacing w:val="-1"/>
        </w:rPr>
        <w:t> </w:t>
      </w:r>
      <w:r>
        <w:rPr/>
        <w:t>является</w:t>
      </w:r>
      <w:r>
        <w:rPr>
          <w:spacing w:val="-1"/>
        </w:rPr>
        <w:t> </w:t>
      </w:r>
      <w:r>
        <w:rPr/>
        <w:t>их</w:t>
      </w:r>
      <w:r>
        <w:rPr>
          <w:spacing w:val="-3"/>
        </w:rPr>
        <w:t> </w:t>
      </w:r>
      <w:r>
        <w:rPr/>
        <w:t>объединение.</w:t>
      </w:r>
    </w:p>
    <w:p>
      <w:pPr>
        <w:pStyle w:val="Heading4"/>
        <w:spacing w:before="236"/>
        <w:ind w:right="561"/>
      </w:pPr>
      <w:r>
        <w:rPr>
          <w:i/>
        </w:rPr>
        <w:t>Ассимиляция </w:t>
      </w:r>
      <w:r>
        <w:rPr/>
        <w:t>— постепенное добровольное или принудительное принятие обычаев, верований, норм принимающего общества вплоть до полного растворения в нем.</w:t>
      </w:r>
    </w:p>
    <w:p>
      <w:pPr>
        <w:pStyle w:val="Heading4"/>
        <w:spacing w:before="239"/>
        <w:ind w:right="568"/>
      </w:pPr>
      <w:r>
        <w:rPr>
          <w:i/>
        </w:rPr>
        <w:t>Сепарация </w:t>
      </w:r>
      <w:r>
        <w:rPr/>
        <w:t>— полная противоположность ассимиляции: люди придают значение сохранению своей собственной культуры и в то же время хотят избежать взаимодействия с другими культурами.</w:t>
      </w:r>
    </w:p>
    <w:p>
      <w:pPr>
        <w:pStyle w:val="Heading4"/>
        <w:spacing w:before="241"/>
        <w:jc w:val="left"/>
      </w:pPr>
      <w:r>
        <w:rPr>
          <w:i/>
        </w:rPr>
        <w:t>Маргинализация</w:t>
      </w:r>
      <w:r>
        <w:rPr>
          <w:i/>
          <w:spacing w:val="80"/>
        </w:rPr>
        <w:t> </w:t>
      </w:r>
      <w:r>
        <w:rPr/>
        <w:t>—</w:t>
      </w:r>
      <w:r>
        <w:rPr>
          <w:spacing w:val="80"/>
        </w:rPr>
        <w:t> </w:t>
      </w:r>
      <w:r>
        <w:rPr/>
        <w:t>потеря</w:t>
      </w:r>
      <w:r>
        <w:rPr>
          <w:spacing w:val="80"/>
        </w:rPr>
        <w:t> </w:t>
      </w:r>
      <w:r>
        <w:rPr/>
        <w:t>культурной</w:t>
      </w:r>
      <w:r>
        <w:rPr>
          <w:spacing w:val="80"/>
        </w:rPr>
        <w:t> </w:t>
      </w:r>
      <w:r>
        <w:rPr/>
        <w:t>опоры;</w:t>
      </w:r>
      <w:r>
        <w:rPr>
          <w:spacing w:val="80"/>
        </w:rPr>
        <w:t> </w:t>
      </w:r>
      <w:r>
        <w:rPr/>
        <w:t>отсутствие</w:t>
      </w:r>
      <w:r>
        <w:rPr>
          <w:spacing w:val="80"/>
        </w:rPr>
        <w:t> </w:t>
      </w:r>
      <w:r>
        <w:rPr/>
        <w:t>включения</w:t>
      </w:r>
      <w:r>
        <w:rPr>
          <w:spacing w:val="80"/>
        </w:rPr>
        <w:t> </w:t>
      </w:r>
      <w:r>
        <w:rPr/>
        <w:t>в</w:t>
      </w:r>
      <w:r>
        <w:rPr>
          <w:spacing w:val="40"/>
        </w:rPr>
        <w:t> </w:t>
      </w:r>
      <w:r>
        <w:rPr/>
        <w:t>культуру принимающего общества при потере родной культурной среды.</w:t>
      </w:r>
    </w:p>
    <w:p>
      <w:pPr>
        <w:pStyle w:val="Heading3"/>
        <w:spacing w:before="247"/>
        <w:jc w:val="left"/>
      </w:pPr>
      <w:r>
        <w:rPr/>
        <w:t>Проведение</w:t>
      </w:r>
      <w:r>
        <w:rPr>
          <w:spacing w:val="-10"/>
        </w:rPr>
        <w:t> </w:t>
      </w:r>
      <w:r>
        <w:rPr>
          <w:spacing w:val="-2"/>
        </w:rPr>
        <w:t>методики</w:t>
      </w:r>
    </w:p>
    <w:p>
      <w:pPr>
        <w:pStyle w:val="Heading4"/>
        <w:spacing w:before="232"/>
        <w:ind w:right="559"/>
      </w:pPr>
      <w:r>
        <w:rPr/>
        <w:t>Учащийся получает бланк с набором утверждений (см. </w:t>
      </w:r>
      <w:r>
        <w:rPr>
          <w:i/>
        </w:rPr>
        <w:t>Приложение 13</w:t>
      </w:r>
      <w:r>
        <w:rPr/>
        <w:t>). Бланки для младшей, средней и старшей школы отличаются друг от друга. Каждый опросник состоит из трех частей.</w:t>
      </w:r>
    </w:p>
    <w:p>
      <w:pPr>
        <w:pStyle w:val="Heading4"/>
        <w:spacing w:after="0"/>
        <w:sectPr>
          <w:pgSz w:w="11910" w:h="16840"/>
          <w:pgMar w:header="0" w:footer="970" w:top="1040" w:bottom="1220" w:left="1417" w:right="283"/>
        </w:sectPr>
      </w:pPr>
    </w:p>
    <w:p>
      <w:pPr>
        <w:pStyle w:val="Heading4"/>
        <w:spacing w:before="67"/>
        <w:ind w:right="570"/>
      </w:pPr>
      <w:r>
        <w:rPr/>
        <w:t>Ребенку предлагается ответить на две группы утверждений. В первой части ребенку</w:t>
      </w:r>
      <w:r>
        <w:rPr>
          <w:spacing w:val="-18"/>
        </w:rPr>
        <w:t> </w:t>
      </w:r>
      <w:r>
        <w:rPr/>
        <w:t>нужно</w:t>
      </w:r>
      <w:r>
        <w:rPr>
          <w:spacing w:val="-17"/>
        </w:rPr>
        <w:t> </w:t>
      </w:r>
      <w:r>
        <w:rPr/>
        <w:t>оценить,</w:t>
      </w:r>
      <w:r>
        <w:rPr>
          <w:spacing w:val="-18"/>
        </w:rPr>
        <w:t> </w:t>
      </w:r>
      <w:r>
        <w:rPr/>
        <w:t>насколько</w:t>
      </w:r>
      <w:r>
        <w:rPr>
          <w:spacing w:val="-17"/>
        </w:rPr>
        <w:t> </w:t>
      </w:r>
      <w:r>
        <w:rPr/>
        <w:t>часто</w:t>
      </w:r>
      <w:r>
        <w:rPr>
          <w:spacing w:val="-18"/>
        </w:rPr>
        <w:t> </w:t>
      </w:r>
      <w:r>
        <w:rPr/>
        <w:t>он</w:t>
      </w:r>
      <w:r>
        <w:rPr>
          <w:spacing w:val="-17"/>
        </w:rPr>
        <w:t> </w:t>
      </w:r>
      <w:r>
        <w:rPr/>
        <w:t>использует</w:t>
      </w:r>
      <w:r>
        <w:rPr>
          <w:spacing w:val="-18"/>
        </w:rPr>
        <w:t> </w:t>
      </w:r>
      <w:r>
        <w:rPr/>
        <w:t>родной</w:t>
      </w:r>
      <w:r>
        <w:rPr>
          <w:spacing w:val="-17"/>
        </w:rPr>
        <w:t> </w:t>
      </w:r>
      <w:r>
        <w:rPr/>
        <w:t>язык</w:t>
      </w:r>
      <w:r>
        <w:rPr>
          <w:spacing w:val="-18"/>
        </w:rPr>
        <w:t> </w:t>
      </w:r>
      <w:r>
        <w:rPr/>
        <w:t>и</w:t>
      </w:r>
      <w:r>
        <w:rPr>
          <w:spacing w:val="-17"/>
        </w:rPr>
        <w:t> </w:t>
      </w:r>
      <w:r>
        <w:rPr/>
        <w:t>русский язык в разных ситуациях.</w:t>
      </w:r>
    </w:p>
    <w:p>
      <w:pPr>
        <w:pStyle w:val="Heading4"/>
        <w:spacing w:line="322" w:lineRule="exact" w:before="242"/>
      </w:pPr>
      <w:r>
        <w:rPr/>
        <w:t>Во</w:t>
      </w:r>
      <w:r>
        <w:rPr>
          <w:spacing w:val="-1"/>
        </w:rPr>
        <w:t> </w:t>
      </w:r>
      <w:r>
        <w:rPr/>
        <w:t>второй</w:t>
      </w:r>
      <w:r>
        <w:rPr>
          <w:spacing w:val="2"/>
        </w:rPr>
        <w:t> </w:t>
      </w:r>
      <w:r>
        <w:rPr/>
        <w:t>части</w:t>
      </w:r>
      <w:r>
        <w:rPr>
          <w:spacing w:val="2"/>
        </w:rPr>
        <w:t> </w:t>
      </w:r>
      <w:r>
        <w:rPr/>
        <w:t>ему</w:t>
      </w:r>
      <w:r>
        <w:rPr>
          <w:spacing w:val="1"/>
        </w:rPr>
        <w:t> </w:t>
      </w:r>
      <w:r>
        <w:rPr/>
        <w:t>нужно</w:t>
      </w:r>
      <w:r>
        <w:rPr>
          <w:spacing w:val="1"/>
        </w:rPr>
        <w:t> </w:t>
      </w:r>
      <w:r>
        <w:rPr/>
        <w:t>оценить</w:t>
      </w:r>
      <w:r>
        <w:rPr>
          <w:spacing w:val="1"/>
        </w:rPr>
        <w:t> </w:t>
      </w:r>
      <w:r>
        <w:rPr/>
        <w:t>по пятибалльной</w:t>
      </w:r>
      <w:r>
        <w:rPr>
          <w:spacing w:val="2"/>
        </w:rPr>
        <w:t> </w:t>
      </w:r>
      <w:r>
        <w:rPr/>
        <w:t>шкале</w:t>
      </w:r>
      <w:r>
        <w:rPr>
          <w:spacing w:val="1"/>
        </w:rPr>
        <w:t> </w:t>
      </w:r>
      <w:r>
        <w:rPr/>
        <w:t>от</w:t>
      </w:r>
      <w:r>
        <w:rPr>
          <w:spacing w:val="1"/>
        </w:rPr>
        <w:t> </w:t>
      </w:r>
      <w:r>
        <w:rPr/>
        <w:t>«Никогда»</w:t>
      </w:r>
      <w:r>
        <w:rPr>
          <w:spacing w:val="1"/>
        </w:rPr>
        <w:t> </w:t>
      </w:r>
      <w:r>
        <w:rPr>
          <w:spacing w:val="-5"/>
        </w:rPr>
        <w:t>до</w:t>
      </w:r>
    </w:p>
    <w:p>
      <w:pPr>
        <w:pStyle w:val="Heading4"/>
        <w:ind w:right="564"/>
      </w:pPr>
      <w:r>
        <w:rPr/>
        <w:t>«Всегда»,</w:t>
      </w:r>
      <w:r>
        <w:rPr>
          <w:spacing w:val="-9"/>
        </w:rPr>
        <w:t> </w:t>
      </w:r>
      <w:r>
        <w:rPr/>
        <w:t>насколько</w:t>
      </w:r>
      <w:r>
        <w:rPr>
          <w:spacing w:val="-9"/>
        </w:rPr>
        <w:t> </w:t>
      </w:r>
      <w:r>
        <w:rPr/>
        <w:t>часто</w:t>
      </w:r>
      <w:r>
        <w:rPr>
          <w:spacing w:val="-8"/>
        </w:rPr>
        <w:t> </w:t>
      </w:r>
      <w:r>
        <w:rPr/>
        <w:t>он</w:t>
      </w:r>
      <w:r>
        <w:rPr>
          <w:spacing w:val="-11"/>
        </w:rPr>
        <w:t> </w:t>
      </w:r>
      <w:r>
        <w:rPr/>
        <w:t>общается</w:t>
      </w:r>
      <w:r>
        <w:rPr>
          <w:spacing w:val="-11"/>
        </w:rPr>
        <w:t> </w:t>
      </w:r>
      <w:r>
        <w:rPr/>
        <w:t>с</w:t>
      </w:r>
      <w:r>
        <w:rPr>
          <w:spacing w:val="-11"/>
        </w:rPr>
        <w:t> </w:t>
      </w:r>
      <w:r>
        <w:rPr/>
        <w:t>российскими</w:t>
      </w:r>
      <w:r>
        <w:rPr>
          <w:spacing w:val="-8"/>
        </w:rPr>
        <w:t> </w:t>
      </w:r>
      <w:r>
        <w:rPr/>
        <w:t>сверстниками</w:t>
      </w:r>
      <w:r>
        <w:rPr>
          <w:spacing w:val="-10"/>
        </w:rPr>
        <w:t> </w:t>
      </w:r>
      <w:r>
        <w:rPr/>
        <w:t>и</w:t>
      </w:r>
      <w:r>
        <w:rPr>
          <w:spacing w:val="-8"/>
        </w:rPr>
        <w:t> </w:t>
      </w:r>
      <w:r>
        <w:rPr/>
        <w:t>с</w:t>
      </w:r>
      <w:r>
        <w:rPr>
          <w:spacing w:val="-11"/>
        </w:rPr>
        <w:t> </w:t>
      </w:r>
      <w:r>
        <w:rPr/>
        <w:t>теми, кто приехал из его страны/региона.</w:t>
      </w:r>
    </w:p>
    <w:p>
      <w:pPr>
        <w:pStyle w:val="Heading4"/>
        <w:spacing w:before="239"/>
        <w:ind w:right="562"/>
      </w:pPr>
      <w:r>
        <w:rPr/>
        <w:t>В третьей части он оценивает степень согласия с утверждениями, касающимися жизни в России и на родине, по шкале от –2 («полностью не согласен») до 2 («полностью согласен»).</w:t>
      </w:r>
    </w:p>
    <w:p>
      <w:pPr>
        <w:pStyle w:val="Heading4"/>
        <w:spacing w:before="242"/>
      </w:pPr>
      <w:r>
        <w:rPr/>
        <w:t>Варианты</w:t>
      </w:r>
      <w:r>
        <w:rPr>
          <w:spacing w:val="-8"/>
        </w:rPr>
        <w:t> </w:t>
      </w:r>
      <w:r>
        <w:rPr/>
        <w:t>ответов</w:t>
      </w:r>
      <w:r>
        <w:rPr>
          <w:spacing w:val="-7"/>
        </w:rPr>
        <w:t> </w:t>
      </w:r>
      <w:r>
        <w:rPr/>
        <w:t>переводятся</w:t>
      </w:r>
      <w:r>
        <w:rPr>
          <w:spacing w:val="-5"/>
        </w:rPr>
        <w:t> </w:t>
      </w:r>
      <w:r>
        <w:rPr/>
        <w:t>в</w:t>
      </w:r>
      <w:r>
        <w:rPr>
          <w:spacing w:val="-5"/>
        </w:rPr>
        <w:t> </w:t>
      </w:r>
      <w:r>
        <w:rPr/>
        <w:t>баллы</w:t>
      </w:r>
      <w:r>
        <w:rPr>
          <w:spacing w:val="-7"/>
        </w:rPr>
        <w:t> </w:t>
      </w:r>
      <w:r>
        <w:rPr/>
        <w:t>согласно</w:t>
      </w:r>
      <w:r>
        <w:rPr>
          <w:spacing w:val="-3"/>
        </w:rPr>
        <w:t> </w:t>
      </w:r>
      <w:r>
        <w:rPr/>
        <w:t>таблице</w:t>
      </w:r>
      <w:r>
        <w:rPr>
          <w:spacing w:val="-1"/>
        </w:rPr>
        <w:t> </w:t>
      </w:r>
      <w:r>
        <w:rPr>
          <w:spacing w:val="-5"/>
        </w:rPr>
        <w:t>21.</w:t>
      </w:r>
    </w:p>
    <w:p>
      <w:pPr>
        <w:pStyle w:val="Heading3"/>
        <w:spacing w:line="321" w:lineRule="exact" w:before="247"/>
        <w:ind w:left="7682"/>
        <w:jc w:val="center"/>
      </w:pPr>
      <w:r>
        <w:rPr/>
        <w:t>Таблица</w:t>
      </w:r>
      <w:r>
        <w:rPr>
          <w:spacing w:val="-5"/>
        </w:rPr>
        <w:t> 21</w:t>
      </w:r>
    </w:p>
    <w:p>
      <w:pPr>
        <w:spacing w:line="321" w:lineRule="exact" w:before="0"/>
        <w:ind w:left="0" w:right="279" w:firstLine="0"/>
        <w:jc w:val="center"/>
        <w:rPr>
          <w:b/>
          <w:sz w:val="28"/>
        </w:rPr>
      </w:pPr>
      <w:r>
        <w:rPr>
          <w:b/>
          <w:sz w:val="28"/>
        </w:rPr>
        <w:t>Баллы,</w:t>
      </w:r>
      <w:r>
        <w:rPr>
          <w:b/>
          <w:spacing w:val="-10"/>
          <w:sz w:val="28"/>
        </w:rPr>
        <w:t> </w:t>
      </w:r>
      <w:r>
        <w:rPr>
          <w:b/>
          <w:sz w:val="28"/>
        </w:rPr>
        <w:t>соответствующие</w:t>
      </w:r>
      <w:r>
        <w:rPr>
          <w:b/>
          <w:spacing w:val="-8"/>
          <w:sz w:val="28"/>
        </w:rPr>
        <w:t> </w:t>
      </w:r>
      <w:r>
        <w:rPr>
          <w:b/>
          <w:sz w:val="28"/>
        </w:rPr>
        <w:t>вариантам</w:t>
      </w:r>
      <w:r>
        <w:rPr>
          <w:b/>
          <w:spacing w:val="-11"/>
          <w:sz w:val="28"/>
        </w:rPr>
        <w:t> </w:t>
      </w:r>
      <w:r>
        <w:rPr>
          <w:b/>
          <w:spacing w:val="-2"/>
          <w:sz w:val="28"/>
        </w:rPr>
        <w:t>ответов</w:t>
      </w:r>
    </w:p>
    <w:p>
      <w:pPr>
        <w:pStyle w:val="BodyText"/>
        <w:spacing w:before="11"/>
        <w:ind w:left="0" w:right="0" w:firstLine="0"/>
        <w:jc w:val="left"/>
        <w:rPr>
          <w:b/>
        </w:rPr>
      </w:pPr>
    </w:p>
    <w:tbl>
      <w:tblPr>
        <w:tblW w:w="0" w:type="auto"/>
        <w:jc w:val="left"/>
        <w:tblInd w:w="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06"/>
        <w:gridCol w:w="1883"/>
        <w:gridCol w:w="1986"/>
        <w:gridCol w:w="1842"/>
        <w:gridCol w:w="1988"/>
      </w:tblGrid>
      <w:tr>
        <w:trPr>
          <w:trHeight w:val="1232" w:hRule="atLeast"/>
        </w:trPr>
        <w:tc>
          <w:tcPr>
            <w:tcW w:w="1906" w:type="dxa"/>
          </w:tcPr>
          <w:p>
            <w:pPr>
              <w:pStyle w:val="TableParagraph"/>
              <w:spacing w:before="61"/>
              <w:rPr>
                <w:b/>
                <w:sz w:val="24"/>
              </w:rPr>
            </w:pPr>
          </w:p>
          <w:p>
            <w:pPr>
              <w:pStyle w:val="TableParagraph"/>
              <w:ind w:left="445"/>
              <w:rPr>
                <w:b/>
                <w:sz w:val="24"/>
              </w:rPr>
            </w:pPr>
            <w:r>
              <w:rPr>
                <w:b/>
                <w:spacing w:val="-2"/>
                <w:sz w:val="24"/>
              </w:rPr>
              <w:t>Никогда</w:t>
            </w:r>
          </w:p>
        </w:tc>
        <w:tc>
          <w:tcPr>
            <w:tcW w:w="1883" w:type="dxa"/>
          </w:tcPr>
          <w:p>
            <w:pPr>
              <w:pStyle w:val="TableParagraph"/>
              <w:spacing w:before="61"/>
              <w:rPr>
                <w:b/>
                <w:sz w:val="24"/>
              </w:rPr>
            </w:pPr>
          </w:p>
          <w:p>
            <w:pPr>
              <w:pStyle w:val="TableParagraph"/>
              <w:ind w:left="582"/>
              <w:rPr>
                <w:b/>
                <w:sz w:val="24"/>
              </w:rPr>
            </w:pPr>
            <w:r>
              <w:rPr>
                <w:b/>
                <w:spacing w:val="-4"/>
                <w:sz w:val="24"/>
              </w:rPr>
              <w:t>Редко</w:t>
            </w:r>
          </w:p>
        </w:tc>
        <w:tc>
          <w:tcPr>
            <w:tcW w:w="1986" w:type="dxa"/>
          </w:tcPr>
          <w:p>
            <w:pPr>
              <w:pStyle w:val="TableParagraph"/>
              <w:spacing w:before="61"/>
              <w:rPr>
                <w:b/>
                <w:sz w:val="24"/>
              </w:rPr>
            </w:pPr>
          </w:p>
          <w:p>
            <w:pPr>
              <w:pStyle w:val="TableParagraph"/>
              <w:ind w:left="478" w:right="518" w:hanging="27"/>
              <w:rPr>
                <w:b/>
                <w:sz w:val="24"/>
              </w:rPr>
            </w:pPr>
            <w:r>
              <w:rPr>
                <w:b/>
                <w:sz w:val="24"/>
              </w:rPr>
              <w:t>Время</w:t>
            </w:r>
            <w:r>
              <w:rPr>
                <w:b/>
                <w:spacing w:val="-15"/>
                <w:sz w:val="24"/>
              </w:rPr>
              <w:t> </w:t>
            </w:r>
            <w:r>
              <w:rPr>
                <w:b/>
                <w:sz w:val="24"/>
              </w:rPr>
              <w:t>от </w:t>
            </w:r>
            <w:r>
              <w:rPr>
                <w:b/>
                <w:spacing w:val="-2"/>
                <w:sz w:val="24"/>
              </w:rPr>
              <w:t>времени</w:t>
            </w:r>
          </w:p>
        </w:tc>
        <w:tc>
          <w:tcPr>
            <w:tcW w:w="1842" w:type="dxa"/>
          </w:tcPr>
          <w:p>
            <w:pPr>
              <w:pStyle w:val="TableParagraph"/>
              <w:spacing w:before="61"/>
              <w:rPr>
                <w:b/>
                <w:sz w:val="24"/>
              </w:rPr>
            </w:pPr>
          </w:p>
          <w:p>
            <w:pPr>
              <w:pStyle w:val="TableParagraph"/>
              <w:ind w:left="556"/>
              <w:rPr>
                <w:b/>
                <w:sz w:val="24"/>
              </w:rPr>
            </w:pPr>
            <w:r>
              <w:rPr>
                <w:b/>
                <w:spacing w:val="-2"/>
                <w:sz w:val="24"/>
              </w:rPr>
              <w:t>Часто</w:t>
            </w:r>
          </w:p>
        </w:tc>
        <w:tc>
          <w:tcPr>
            <w:tcW w:w="1988" w:type="dxa"/>
          </w:tcPr>
          <w:p>
            <w:pPr>
              <w:pStyle w:val="TableParagraph"/>
              <w:spacing w:before="61"/>
              <w:rPr>
                <w:b/>
                <w:sz w:val="24"/>
              </w:rPr>
            </w:pPr>
          </w:p>
          <w:p>
            <w:pPr>
              <w:pStyle w:val="TableParagraph"/>
              <w:ind w:left="589"/>
              <w:rPr>
                <w:b/>
                <w:sz w:val="24"/>
              </w:rPr>
            </w:pPr>
            <w:r>
              <w:rPr>
                <w:b/>
                <w:spacing w:val="-2"/>
                <w:sz w:val="24"/>
              </w:rPr>
              <w:t>Всегда</w:t>
            </w:r>
          </w:p>
        </w:tc>
      </w:tr>
      <w:tr>
        <w:trPr>
          <w:trHeight w:val="1487" w:hRule="atLeast"/>
        </w:trPr>
        <w:tc>
          <w:tcPr>
            <w:tcW w:w="1906" w:type="dxa"/>
          </w:tcPr>
          <w:p>
            <w:pPr>
              <w:pStyle w:val="TableParagraph"/>
              <w:spacing w:before="37"/>
              <w:rPr>
                <w:b/>
                <w:sz w:val="24"/>
              </w:rPr>
            </w:pPr>
          </w:p>
          <w:p>
            <w:pPr>
              <w:pStyle w:val="TableParagraph"/>
              <w:ind w:left="455" w:hanging="315"/>
              <w:rPr>
                <w:sz w:val="24"/>
              </w:rPr>
            </w:pPr>
            <w:r>
              <w:rPr>
                <w:sz w:val="24"/>
              </w:rPr>
              <w:t>Полностью</w:t>
            </w:r>
            <w:r>
              <w:rPr>
                <w:spacing w:val="-15"/>
                <w:sz w:val="24"/>
              </w:rPr>
              <w:t> </w:t>
            </w:r>
            <w:r>
              <w:rPr>
                <w:sz w:val="24"/>
              </w:rPr>
              <w:t>НЕ </w:t>
            </w:r>
            <w:r>
              <w:rPr>
                <w:spacing w:val="-2"/>
                <w:sz w:val="24"/>
              </w:rPr>
              <w:t>согласен</w:t>
            </w:r>
          </w:p>
        </w:tc>
        <w:tc>
          <w:tcPr>
            <w:tcW w:w="1883" w:type="dxa"/>
          </w:tcPr>
          <w:p>
            <w:pPr>
              <w:pStyle w:val="TableParagraph"/>
              <w:spacing w:before="37"/>
              <w:rPr>
                <w:b/>
                <w:sz w:val="24"/>
              </w:rPr>
            </w:pPr>
          </w:p>
          <w:p>
            <w:pPr>
              <w:pStyle w:val="TableParagraph"/>
              <w:ind w:left="443" w:right="404" w:hanging="99"/>
              <w:rPr>
                <w:sz w:val="24"/>
              </w:rPr>
            </w:pPr>
            <w:r>
              <w:rPr>
                <w:sz w:val="24"/>
              </w:rPr>
              <w:t>Скорее</w:t>
            </w:r>
            <w:r>
              <w:rPr>
                <w:spacing w:val="-15"/>
                <w:sz w:val="24"/>
              </w:rPr>
              <w:t> </w:t>
            </w:r>
            <w:r>
              <w:rPr>
                <w:sz w:val="24"/>
              </w:rPr>
              <w:t>НЕ </w:t>
            </w:r>
            <w:r>
              <w:rPr>
                <w:spacing w:val="-2"/>
                <w:sz w:val="24"/>
              </w:rPr>
              <w:t>согласен</w:t>
            </w:r>
          </w:p>
        </w:tc>
        <w:tc>
          <w:tcPr>
            <w:tcW w:w="1986" w:type="dxa"/>
          </w:tcPr>
          <w:p>
            <w:pPr>
              <w:pStyle w:val="TableParagraph"/>
              <w:spacing w:before="37"/>
              <w:rPr>
                <w:b/>
                <w:sz w:val="24"/>
              </w:rPr>
            </w:pPr>
          </w:p>
          <w:p>
            <w:pPr>
              <w:pStyle w:val="TableParagraph"/>
              <w:ind w:left="3" w:right="91" w:firstLine="21"/>
              <w:jc w:val="center"/>
              <w:rPr>
                <w:sz w:val="24"/>
              </w:rPr>
            </w:pPr>
            <w:r>
              <w:rPr>
                <w:sz w:val="24"/>
              </w:rPr>
              <w:t>В чем-то согласен,</w:t>
            </w:r>
            <w:r>
              <w:rPr>
                <w:spacing w:val="-15"/>
                <w:sz w:val="24"/>
              </w:rPr>
              <w:t> </w:t>
            </w:r>
            <w:r>
              <w:rPr>
                <w:sz w:val="24"/>
              </w:rPr>
              <w:t>в</w:t>
            </w:r>
            <w:r>
              <w:rPr>
                <w:spacing w:val="-15"/>
                <w:sz w:val="24"/>
              </w:rPr>
              <w:t> </w:t>
            </w:r>
            <w:r>
              <w:rPr>
                <w:sz w:val="24"/>
              </w:rPr>
              <w:t>чем-</w:t>
            </w:r>
            <w:r>
              <w:rPr>
                <w:sz w:val="24"/>
              </w:rPr>
              <w:t>то </w:t>
            </w:r>
            <w:r>
              <w:rPr>
                <w:spacing w:val="-4"/>
                <w:sz w:val="24"/>
              </w:rPr>
              <w:t>нет</w:t>
            </w:r>
          </w:p>
        </w:tc>
        <w:tc>
          <w:tcPr>
            <w:tcW w:w="1842" w:type="dxa"/>
          </w:tcPr>
          <w:p>
            <w:pPr>
              <w:pStyle w:val="TableParagraph"/>
              <w:spacing w:before="37"/>
              <w:rPr>
                <w:b/>
                <w:sz w:val="24"/>
              </w:rPr>
            </w:pPr>
          </w:p>
          <w:p>
            <w:pPr>
              <w:pStyle w:val="TableParagraph"/>
              <w:ind w:left="35"/>
              <w:rPr>
                <w:sz w:val="24"/>
              </w:rPr>
            </w:pPr>
            <w:r>
              <w:rPr>
                <w:sz w:val="24"/>
              </w:rPr>
              <w:t>Скорее</w:t>
            </w:r>
            <w:r>
              <w:rPr>
                <w:spacing w:val="-2"/>
                <w:sz w:val="24"/>
              </w:rPr>
              <w:t> согласен</w:t>
            </w:r>
          </w:p>
        </w:tc>
        <w:tc>
          <w:tcPr>
            <w:tcW w:w="1988" w:type="dxa"/>
          </w:tcPr>
          <w:p>
            <w:pPr>
              <w:pStyle w:val="TableParagraph"/>
              <w:spacing w:before="37"/>
              <w:rPr>
                <w:b/>
                <w:sz w:val="24"/>
              </w:rPr>
            </w:pPr>
          </w:p>
          <w:p>
            <w:pPr>
              <w:pStyle w:val="TableParagraph"/>
              <w:ind w:left="493" w:hanging="125"/>
              <w:rPr>
                <w:sz w:val="24"/>
              </w:rPr>
            </w:pPr>
            <w:r>
              <w:rPr>
                <w:spacing w:val="-2"/>
                <w:sz w:val="24"/>
              </w:rPr>
              <w:t>Полностью согласен</w:t>
            </w:r>
          </w:p>
        </w:tc>
      </w:tr>
      <w:tr>
        <w:trPr>
          <w:trHeight w:val="937" w:hRule="atLeast"/>
        </w:trPr>
        <w:tc>
          <w:tcPr>
            <w:tcW w:w="1906" w:type="dxa"/>
          </w:tcPr>
          <w:p>
            <w:pPr>
              <w:pStyle w:val="TableParagraph"/>
              <w:spacing w:before="41"/>
              <w:rPr>
                <w:b/>
                <w:sz w:val="24"/>
              </w:rPr>
            </w:pPr>
          </w:p>
          <w:p>
            <w:pPr>
              <w:pStyle w:val="TableParagraph"/>
              <w:spacing w:before="1"/>
              <w:ind w:left="119"/>
              <w:jc w:val="center"/>
              <w:rPr>
                <w:b/>
                <w:sz w:val="24"/>
              </w:rPr>
            </w:pPr>
            <w:r>
              <w:rPr>
                <w:b/>
                <w:spacing w:val="-5"/>
                <w:sz w:val="24"/>
              </w:rPr>
              <w:t>–2</w:t>
            </w:r>
          </w:p>
        </w:tc>
        <w:tc>
          <w:tcPr>
            <w:tcW w:w="1883" w:type="dxa"/>
          </w:tcPr>
          <w:p>
            <w:pPr>
              <w:pStyle w:val="TableParagraph"/>
              <w:spacing w:before="37"/>
              <w:rPr>
                <w:b/>
                <w:sz w:val="24"/>
              </w:rPr>
            </w:pPr>
          </w:p>
          <w:p>
            <w:pPr>
              <w:pStyle w:val="TableParagraph"/>
              <w:ind w:left="118"/>
              <w:jc w:val="center"/>
              <w:rPr>
                <w:sz w:val="24"/>
              </w:rPr>
            </w:pPr>
            <w:r>
              <w:rPr>
                <w:spacing w:val="-5"/>
                <w:sz w:val="24"/>
              </w:rPr>
              <w:t>–1</w:t>
            </w:r>
          </w:p>
        </w:tc>
        <w:tc>
          <w:tcPr>
            <w:tcW w:w="1986" w:type="dxa"/>
          </w:tcPr>
          <w:p>
            <w:pPr>
              <w:pStyle w:val="TableParagraph"/>
              <w:spacing w:before="37"/>
              <w:rPr>
                <w:b/>
                <w:sz w:val="24"/>
              </w:rPr>
            </w:pPr>
          </w:p>
          <w:p>
            <w:pPr>
              <w:pStyle w:val="TableParagraph"/>
              <w:ind w:left="114"/>
              <w:jc w:val="center"/>
              <w:rPr>
                <w:sz w:val="24"/>
              </w:rPr>
            </w:pPr>
            <w:r>
              <w:rPr>
                <w:spacing w:val="-10"/>
                <w:sz w:val="24"/>
              </w:rPr>
              <w:t>0</w:t>
            </w:r>
          </w:p>
        </w:tc>
        <w:tc>
          <w:tcPr>
            <w:tcW w:w="1842" w:type="dxa"/>
          </w:tcPr>
          <w:p>
            <w:pPr>
              <w:pStyle w:val="TableParagraph"/>
              <w:spacing w:before="37"/>
              <w:rPr>
                <w:b/>
                <w:sz w:val="24"/>
              </w:rPr>
            </w:pPr>
          </w:p>
          <w:p>
            <w:pPr>
              <w:pStyle w:val="TableParagraph"/>
              <w:ind w:left="117"/>
              <w:jc w:val="center"/>
              <w:rPr>
                <w:sz w:val="24"/>
              </w:rPr>
            </w:pPr>
            <w:r>
              <w:rPr>
                <w:spacing w:val="-10"/>
                <w:sz w:val="24"/>
              </w:rPr>
              <w:t>1</w:t>
            </w:r>
          </w:p>
        </w:tc>
        <w:tc>
          <w:tcPr>
            <w:tcW w:w="1988" w:type="dxa"/>
          </w:tcPr>
          <w:p>
            <w:pPr>
              <w:pStyle w:val="TableParagraph"/>
              <w:spacing w:before="41"/>
              <w:rPr>
                <w:b/>
                <w:sz w:val="24"/>
              </w:rPr>
            </w:pPr>
          </w:p>
          <w:p>
            <w:pPr>
              <w:pStyle w:val="TableParagraph"/>
              <w:spacing w:before="1"/>
              <w:ind w:left="113"/>
              <w:jc w:val="center"/>
              <w:rPr>
                <w:b/>
                <w:sz w:val="24"/>
              </w:rPr>
            </w:pPr>
            <w:r>
              <w:rPr>
                <w:b/>
                <w:spacing w:val="-10"/>
                <w:sz w:val="24"/>
              </w:rPr>
              <w:t>2</w:t>
            </w:r>
          </w:p>
        </w:tc>
      </w:tr>
    </w:tbl>
    <w:p>
      <w:pPr>
        <w:pStyle w:val="Heading4"/>
        <w:spacing w:line="560" w:lineRule="atLeast"/>
        <w:ind w:right="560"/>
        <w:jc w:val="left"/>
      </w:pPr>
      <w:r>
        <w:rPr/>
        <w:t>Обработка</w:t>
      </w:r>
      <w:r>
        <w:rPr>
          <w:spacing w:val="-9"/>
        </w:rPr>
        <w:t> </w:t>
      </w:r>
      <w:r>
        <w:rPr/>
        <w:t>результатов</w:t>
      </w:r>
      <w:r>
        <w:rPr>
          <w:spacing w:val="-7"/>
        </w:rPr>
        <w:t> </w:t>
      </w:r>
      <w:r>
        <w:rPr/>
        <w:t>опросника</w:t>
      </w:r>
      <w:r>
        <w:rPr>
          <w:spacing w:val="-6"/>
        </w:rPr>
        <w:t> </w:t>
      </w:r>
      <w:r>
        <w:rPr/>
        <w:t>осуществляется</w:t>
      </w:r>
      <w:r>
        <w:rPr>
          <w:spacing w:val="-6"/>
        </w:rPr>
        <w:t> </w:t>
      </w:r>
      <w:r>
        <w:rPr/>
        <w:t>следующим</w:t>
      </w:r>
      <w:r>
        <w:rPr>
          <w:spacing w:val="-6"/>
        </w:rPr>
        <w:t> </w:t>
      </w:r>
      <w:r>
        <w:rPr/>
        <w:t>образом. Вначале подсчитываются средние баллы по двум основным шкалам:</w:t>
      </w:r>
    </w:p>
    <w:p>
      <w:pPr>
        <w:pStyle w:val="Heading4"/>
        <w:numPr>
          <w:ilvl w:val="1"/>
          <w:numId w:val="29"/>
        </w:numPr>
        <w:tabs>
          <w:tab w:pos="773" w:val="left" w:leader="none"/>
          <w:tab w:pos="2368" w:val="left" w:leader="none"/>
          <w:tab w:pos="5122" w:val="left" w:leader="none"/>
          <w:tab w:pos="6215" w:val="left" w:leader="none"/>
          <w:tab w:pos="7830" w:val="left" w:leader="none"/>
          <w:tab w:pos="8789" w:val="left" w:leader="none"/>
          <w:tab w:pos="9300" w:val="left" w:leader="none"/>
        </w:tabs>
        <w:spacing w:line="240" w:lineRule="auto" w:before="0" w:after="0"/>
        <w:ind w:left="424" w:right="559" w:firstLine="0"/>
        <w:jc w:val="left"/>
      </w:pPr>
      <w:r>
        <w:rPr>
          <w:spacing w:val="-2"/>
        </w:rPr>
        <w:t>сохранение</w:t>
      </w:r>
      <w:r>
        <w:rPr/>
        <w:tab/>
      </w:r>
      <w:r>
        <w:rPr>
          <w:spacing w:val="-2"/>
        </w:rPr>
        <w:t>ребенком-мигрантом</w:t>
      </w:r>
      <w:r>
        <w:rPr/>
        <w:tab/>
      </w:r>
      <w:r>
        <w:rPr>
          <w:spacing w:val="-2"/>
        </w:rPr>
        <w:t>родной</w:t>
      </w:r>
      <w:r>
        <w:rPr/>
        <w:tab/>
      </w:r>
      <w:r>
        <w:rPr>
          <w:spacing w:val="-2"/>
        </w:rPr>
        <w:t>культурной</w:t>
      </w:r>
      <w:r>
        <w:rPr/>
        <w:tab/>
      </w:r>
      <w:r>
        <w:rPr>
          <w:spacing w:val="-2"/>
        </w:rPr>
        <w:t>среды</w:t>
      </w:r>
      <w:r>
        <w:rPr/>
        <w:tab/>
      </w:r>
      <w:r>
        <w:rPr>
          <w:spacing w:val="-10"/>
        </w:rPr>
        <w:t>—</w:t>
      </w:r>
      <w:r>
        <w:rPr/>
        <w:tab/>
      </w:r>
      <w:r>
        <w:rPr>
          <w:spacing w:val="-6"/>
        </w:rPr>
        <w:t>РК </w:t>
      </w:r>
      <w:r>
        <w:rPr/>
        <w:t>(</w:t>
      </w:r>
      <w:r>
        <w:rPr>
          <w:u w:val="single"/>
        </w:rPr>
        <w:t>нечетные пункты</w:t>
      </w:r>
      <w:r>
        <w:rPr/>
        <w:t>);</w:t>
      </w:r>
    </w:p>
    <w:p>
      <w:pPr>
        <w:pStyle w:val="Heading4"/>
        <w:numPr>
          <w:ilvl w:val="1"/>
          <w:numId w:val="29"/>
        </w:numPr>
        <w:tabs>
          <w:tab w:pos="656" w:val="left" w:leader="none"/>
        </w:tabs>
        <w:spacing w:line="240" w:lineRule="auto" w:before="0" w:after="0"/>
        <w:ind w:left="424" w:right="560" w:firstLine="0"/>
        <w:jc w:val="left"/>
      </w:pPr>
      <w:r>
        <w:rPr/>
        <w:t>включенность</w:t>
      </w:r>
      <w:r>
        <w:rPr>
          <w:spacing w:val="36"/>
        </w:rPr>
        <w:t> </w:t>
      </w:r>
      <w:r>
        <w:rPr/>
        <w:t>ребенка-мигранта</w:t>
      </w:r>
      <w:r>
        <w:rPr>
          <w:spacing w:val="37"/>
        </w:rPr>
        <w:t> </w:t>
      </w:r>
      <w:r>
        <w:rPr/>
        <w:t>в</w:t>
      </w:r>
      <w:r>
        <w:rPr>
          <w:spacing w:val="37"/>
        </w:rPr>
        <w:t> </w:t>
      </w:r>
      <w:r>
        <w:rPr/>
        <w:t>культуру</w:t>
      </w:r>
      <w:r>
        <w:rPr>
          <w:spacing w:val="36"/>
        </w:rPr>
        <w:t> </w:t>
      </w:r>
      <w:r>
        <w:rPr/>
        <w:t>принимающего</w:t>
      </w:r>
      <w:r>
        <w:rPr>
          <w:spacing w:val="38"/>
        </w:rPr>
        <w:t> </w:t>
      </w:r>
      <w:r>
        <w:rPr/>
        <w:t>общества</w:t>
      </w:r>
      <w:r>
        <w:rPr>
          <w:spacing w:val="40"/>
        </w:rPr>
        <w:t> </w:t>
      </w:r>
      <w:r>
        <w:rPr/>
        <w:t>— ПО (</w:t>
      </w:r>
      <w:r>
        <w:rPr>
          <w:u w:val="single"/>
        </w:rPr>
        <w:t>четные пункты</w:t>
      </w:r>
      <w:r>
        <w:rPr/>
        <w:t>).</w:t>
      </w:r>
    </w:p>
    <w:p>
      <w:pPr>
        <w:pStyle w:val="Heading4"/>
        <w:spacing w:before="239"/>
        <w:jc w:val="left"/>
      </w:pPr>
      <w:r>
        <w:rPr/>
        <w:t>Далее</w:t>
      </w:r>
      <w:r>
        <w:rPr>
          <w:spacing w:val="80"/>
        </w:rPr>
        <w:t> </w:t>
      </w:r>
      <w:r>
        <w:rPr/>
        <w:t>по</w:t>
      </w:r>
      <w:r>
        <w:rPr>
          <w:spacing w:val="80"/>
        </w:rPr>
        <w:t> </w:t>
      </w:r>
      <w:r>
        <w:rPr/>
        <w:t>сочетанию</w:t>
      </w:r>
      <w:r>
        <w:rPr>
          <w:spacing w:val="80"/>
        </w:rPr>
        <w:t> </w:t>
      </w:r>
      <w:r>
        <w:rPr/>
        <w:t>показателей</w:t>
      </w:r>
      <w:r>
        <w:rPr>
          <w:spacing w:val="80"/>
        </w:rPr>
        <w:t> </w:t>
      </w:r>
      <w:r>
        <w:rPr/>
        <w:t>РК</w:t>
      </w:r>
      <w:r>
        <w:rPr>
          <w:spacing w:val="80"/>
        </w:rPr>
        <w:t> </w:t>
      </w:r>
      <w:r>
        <w:rPr/>
        <w:t>и</w:t>
      </w:r>
      <w:r>
        <w:rPr>
          <w:spacing w:val="80"/>
        </w:rPr>
        <w:t> </w:t>
      </w:r>
      <w:r>
        <w:rPr/>
        <w:t>ПО</w:t>
      </w:r>
      <w:r>
        <w:rPr>
          <w:spacing w:val="80"/>
        </w:rPr>
        <w:t> </w:t>
      </w:r>
      <w:r>
        <w:rPr/>
        <w:t>определяется</w:t>
      </w:r>
      <w:r>
        <w:rPr>
          <w:spacing w:val="80"/>
        </w:rPr>
        <w:t> </w:t>
      </w:r>
      <w:r>
        <w:rPr/>
        <w:t>предпочтение</w:t>
      </w:r>
      <w:r>
        <w:rPr>
          <w:spacing w:val="40"/>
        </w:rPr>
        <w:t> </w:t>
      </w:r>
      <w:r>
        <w:rPr/>
        <w:t>стратегий аккультурации согласно таблице 2.</w:t>
      </w:r>
    </w:p>
    <w:p>
      <w:pPr>
        <w:pStyle w:val="Heading4"/>
        <w:spacing w:after="0"/>
        <w:jc w:val="left"/>
        <w:sectPr>
          <w:pgSz w:w="11910" w:h="16840"/>
          <w:pgMar w:header="0" w:footer="970" w:top="1040" w:bottom="1220" w:left="1417" w:right="283"/>
        </w:sectPr>
      </w:pPr>
    </w:p>
    <w:p>
      <w:pPr>
        <w:pStyle w:val="Heading3"/>
        <w:ind w:left="0" w:right="560"/>
        <w:jc w:val="right"/>
      </w:pPr>
      <w:r>
        <w:rPr/>
        <w:t>Таблица</w:t>
      </w:r>
      <w:r>
        <w:rPr>
          <w:spacing w:val="-5"/>
        </w:rPr>
        <w:t> 22</w:t>
      </w:r>
    </w:p>
    <w:p>
      <w:pPr>
        <w:spacing w:before="240"/>
        <w:ind w:left="286" w:right="566" w:firstLine="0"/>
        <w:jc w:val="center"/>
        <w:rPr>
          <w:b/>
          <w:sz w:val="28"/>
        </w:rPr>
      </w:pPr>
      <w:r>
        <w:rPr>
          <w:b/>
          <w:sz w:val="28"/>
        </w:rPr>
        <w:t>Показатели,</w:t>
      </w:r>
      <w:r>
        <w:rPr>
          <w:b/>
          <w:spacing w:val="-13"/>
          <w:sz w:val="28"/>
        </w:rPr>
        <w:t> </w:t>
      </w:r>
      <w:r>
        <w:rPr>
          <w:b/>
          <w:sz w:val="28"/>
        </w:rPr>
        <w:t>соответствующие</w:t>
      </w:r>
      <w:r>
        <w:rPr>
          <w:b/>
          <w:spacing w:val="-10"/>
          <w:sz w:val="28"/>
        </w:rPr>
        <w:t> </w:t>
      </w:r>
      <w:r>
        <w:rPr>
          <w:b/>
          <w:sz w:val="28"/>
        </w:rPr>
        <w:t>стратегиям</w:t>
      </w:r>
      <w:r>
        <w:rPr>
          <w:b/>
          <w:spacing w:val="-9"/>
          <w:sz w:val="28"/>
        </w:rPr>
        <w:t> </w:t>
      </w:r>
      <w:r>
        <w:rPr>
          <w:b/>
          <w:spacing w:val="-2"/>
          <w:sz w:val="28"/>
        </w:rPr>
        <w:t>аккультурации</w:t>
      </w:r>
    </w:p>
    <w:p>
      <w:pPr>
        <w:pStyle w:val="BodyText"/>
        <w:ind w:left="0" w:right="0" w:firstLine="0"/>
        <w:jc w:val="left"/>
        <w:rPr>
          <w:b/>
        </w:rPr>
      </w:pPr>
    </w:p>
    <w:p>
      <w:pPr>
        <w:pStyle w:val="BodyText"/>
        <w:ind w:left="0" w:right="0" w:firstLine="0"/>
        <w:jc w:val="left"/>
        <w:rPr>
          <w:b/>
        </w:rPr>
      </w:pPr>
    </w:p>
    <w:p>
      <w:pPr>
        <w:pStyle w:val="BodyText"/>
        <w:spacing w:before="114"/>
        <w:ind w:left="0" w:right="0" w:firstLine="0"/>
        <w:jc w:val="left"/>
        <w:rPr>
          <w:b/>
        </w:rPr>
      </w:pPr>
    </w:p>
    <w:tbl>
      <w:tblPr>
        <w:tblW w:w="0" w:type="auto"/>
        <w:jc w:val="left"/>
        <w:tblInd w:w="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46"/>
        <w:gridCol w:w="2760"/>
        <w:gridCol w:w="2911"/>
      </w:tblGrid>
      <w:tr>
        <w:trPr>
          <w:trHeight w:val="1304" w:hRule="atLeast"/>
        </w:trPr>
        <w:tc>
          <w:tcPr>
            <w:tcW w:w="3646" w:type="dxa"/>
          </w:tcPr>
          <w:p>
            <w:pPr>
              <w:pStyle w:val="TableParagraph"/>
              <w:spacing w:before="61"/>
              <w:rPr>
                <w:b/>
                <w:sz w:val="24"/>
              </w:rPr>
            </w:pPr>
          </w:p>
          <w:p>
            <w:pPr>
              <w:pStyle w:val="TableParagraph"/>
              <w:ind w:left="316"/>
              <w:rPr>
                <w:b/>
                <w:sz w:val="24"/>
              </w:rPr>
            </w:pPr>
            <w:r>
              <w:rPr>
                <w:b/>
                <w:sz w:val="24"/>
              </w:rPr>
              <w:t>Стратегия</w:t>
            </w:r>
            <w:r>
              <w:rPr>
                <w:b/>
                <w:spacing w:val="-4"/>
                <w:sz w:val="24"/>
              </w:rPr>
              <w:t> </w:t>
            </w:r>
            <w:r>
              <w:rPr>
                <w:b/>
                <w:spacing w:val="-2"/>
                <w:sz w:val="24"/>
              </w:rPr>
              <w:t>аккультурации</w:t>
            </w:r>
          </w:p>
        </w:tc>
        <w:tc>
          <w:tcPr>
            <w:tcW w:w="2760" w:type="dxa"/>
          </w:tcPr>
          <w:p>
            <w:pPr>
              <w:pStyle w:val="TableParagraph"/>
              <w:spacing w:before="61"/>
              <w:rPr>
                <w:b/>
                <w:sz w:val="24"/>
              </w:rPr>
            </w:pPr>
          </w:p>
          <w:p>
            <w:pPr>
              <w:pStyle w:val="TableParagraph"/>
              <w:ind w:left="318" w:right="353" w:hanging="63"/>
              <w:rPr>
                <w:b/>
                <w:sz w:val="24"/>
              </w:rPr>
            </w:pPr>
            <w:r>
              <w:rPr>
                <w:b/>
                <w:sz w:val="24"/>
              </w:rPr>
              <w:t>Сохранение</w:t>
            </w:r>
            <w:r>
              <w:rPr>
                <w:b/>
                <w:spacing w:val="-15"/>
                <w:sz w:val="24"/>
              </w:rPr>
              <w:t> </w:t>
            </w:r>
            <w:r>
              <w:rPr>
                <w:b/>
                <w:sz w:val="24"/>
              </w:rPr>
              <w:t>родной культурной среды</w:t>
            </w:r>
          </w:p>
        </w:tc>
        <w:tc>
          <w:tcPr>
            <w:tcW w:w="2911" w:type="dxa"/>
          </w:tcPr>
          <w:p>
            <w:pPr>
              <w:pStyle w:val="TableParagraph"/>
              <w:spacing w:before="97"/>
              <w:rPr>
                <w:b/>
                <w:sz w:val="24"/>
              </w:rPr>
            </w:pPr>
          </w:p>
          <w:p>
            <w:pPr>
              <w:pStyle w:val="TableParagraph"/>
              <w:ind w:left="561" w:right="658"/>
              <w:jc w:val="center"/>
              <w:rPr>
                <w:b/>
                <w:sz w:val="24"/>
              </w:rPr>
            </w:pPr>
            <w:r>
              <w:rPr>
                <w:b/>
                <w:spacing w:val="-2"/>
                <w:sz w:val="24"/>
              </w:rPr>
              <w:t>Включенность </w:t>
            </w:r>
            <w:r>
              <w:rPr>
                <w:b/>
                <w:sz w:val="24"/>
              </w:rPr>
              <w:t>в культуру</w:t>
            </w:r>
          </w:p>
          <w:p>
            <w:pPr>
              <w:pStyle w:val="TableParagraph"/>
              <w:ind w:right="101"/>
              <w:jc w:val="center"/>
              <w:rPr>
                <w:b/>
                <w:sz w:val="24"/>
              </w:rPr>
            </w:pPr>
            <w:r>
              <w:rPr>
                <w:b/>
                <w:sz w:val="24"/>
              </w:rPr>
              <w:t>принимающего</w:t>
            </w:r>
            <w:r>
              <w:rPr>
                <w:b/>
                <w:spacing w:val="-10"/>
                <w:sz w:val="24"/>
              </w:rPr>
              <w:t> </w:t>
            </w:r>
            <w:r>
              <w:rPr>
                <w:b/>
                <w:spacing w:val="-2"/>
                <w:sz w:val="24"/>
              </w:rPr>
              <w:t>общества</w:t>
            </w:r>
          </w:p>
        </w:tc>
      </w:tr>
      <w:tr>
        <w:trPr>
          <w:trHeight w:val="935" w:hRule="atLeast"/>
        </w:trPr>
        <w:tc>
          <w:tcPr>
            <w:tcW w:w="3646" w:type="dxa"/>
          </w:tcPr>
          <w:p>
            <w:pPr>
              <w:pStyle w:val="TableParagraph"/>
              <w:spacing w:before="34"/>
              <w:rPr>
                <w:b/>
                <w:sz w:val="24"/>
              </w:rPr>
            </w:pPr>
          </w:p>
          <w:p>
            <w:pPr>
              <w:pStyle w:val="TableParagraph"/>
              <w:ind w:left="220"/>
              <w:rPr>
                <w:sz w:val="24"/>
              </w:rPr>
            </w:pPr>
            <w:r>
              <w:rPr>
                <w:spacing w:val="-2"/>
                <w:sz w:val="24"/>
              </w:rPr>
              <w:t>Интеграция</w:t>
            </w:r>
          </w:p>
        </w:tc>
        <w:tc>
          <w:tcPr>
            <w:tcW w:w="2760" w:type="dxa"/>
          </w:tcPr>
          <w:p>
            <w:pPr>
              <w:pStyle w:val="TableParagraph"/>
              <w:spacing w:before="34"/>
              <w:rPr>
                <w:b/>
                <w:sz w:val="24"/>
              </w:rPr>
            </w:pPr>
          </w:p>
          <w:p>
            <w:pPr>
              <w:pStyle w:val="TableParagraph"/>
              <w:ind w:left="220"/>
              <w:rPr>
                <w:sz w:val="24"/>
              </w:rPr>
            </w:pPr>
            <w:r>
              <w:rPr>
                <w:sz w:val="24"/>
              </w:rPr>
              <w:t>РК</w:t>
            </w:r>
            <w:r>
              <w:rPr>
                <w:spacing w:val="-1"/>
                <w:sz w:val="24"/>
              </w:rPr>
              <w:t> </w:t>
            </w:r>
            <w:r>
              <w:rPr>
                <w:sz w:val="24"/>
              </w:rPr>
              <w:t>больше</w:t>
            </w:r>
            <w:r>
              <w:rPr>
                <w:spacing w:val="-2"/>
                <w:sz w:val="24"/>
              </w:rPr>
              <w:t> </w:t>
            </w:r>
            <w:r>
              <w:rPr>
                <w:spacing w:val="-10"/>
                <w:sz w:val="24"/>
              </w:rPr>
              <w:t>0</w:t>
            </w:r>
          </w:p>
        </w:tc>
        <w:tc>
          <w:tcPr>
            <w:tcW w:w="2911" w:type="dxa"/>
          </w:tcPr>
          <w:p>
            <w:pPr>
              <w:pStyle w:val="TableParagraph"/>
              <w:spacing w:before="34"/>
              <w:rPr>
                <w:b/>
                <w:sz w:val="24"/>
              </w:rPr>
            </w:pPr>
          </w:p>
          <w:p>
            <w:pPr>
              <w:pStyle w:val="TableParagraph"/>
              <w:ind w:left="220"/>
              <w:rPr>
                <w:sz w:val="24"/>
              </w:rPr>
            </w:pPr>
            <w:r>
              <w:rPr>
                <w:sz w:val="24"/>
              </w:rPr>
              <w:t>ПО</w:t>
            </w:r>
            <w:r>
              <w:rPr>
                <w:spacing w:val="-3"/>
                <w:sz w:val="24"/>
              </w:rPr>
              <w:t> </w:t>
            </w:r>
            <w:r>
              <w:rPr>
                <w:sz w:val="24"/>
              </w:rPr>
              <w:t>больше</w:t>
            </w:r>
            <w:r>
              <w:rPr>
                <w:spacing w:val="-2"/>
                <w:sz w:val="24"/>
              </w:rPr>
              <w:t> </w:t>
            </w:r>
            <w:r>
              <w:rPr>
                <w:spacing w:val="-10"/>
                <w:sz w:val="24"/>
              </w:rPr>
              <w:t>0</w:t>
            </w:r>
          </w:p>
        </w:tc>
      </w:tr>
      <w:tr>
        <w:trPr>
          <w:trHeight w:val="935" w:hRule="atLeast"/>
        </w:trPr>
        <w:tc>
          <w:tcPr>
            <w:tcW w:w="3646" w:type="dxa"/>
          </w:tcPr>
          <w:p>
            <w:pPr>
              <w:pStyle w:val="TableParagraph"/>
              <w:spacing w:before="37"/>
              <w:rPr>
                <w:b/>
                <w:sz w:val="24"/>
              </w:rPr>
            </w:pPr>
          </w:p>
          <w:p>
            <w:pPr>
              <w:pStyle w:val="TableParagraph"/>
              <w:ind w:left="220"/>
              <w:rPr>
                <w:sz w:val="24"/>
              </w:rPr>
            </w:pPr>
            <w:r>
              <w:rPr>
                <w:spacing w:val="-2"/>
                <w:sz w:val="24"/>
              </w:rPr>
              <w:t>Ассимиляция</w:t>
            </w:r>
          </w:p>
        </w:tc>
        <w:tc>
          <w:tcPr>
            <w:tcW w:w="2760" w:type="dxa"/>
          </w:tcPr>
          <w:p>
            <w:pPr>
              <w:pStyle w:val="TableParagraph"/>
              <w:spacing w:before="37"/>
              <w:rPr>
                <w:b/>
                <w:sz w:val="24"/>
              </w:rPr>
            </w:pPr>
          </w:p>
          <w:p>
            <w:pPr>
              <w:pStyle w:val="TableParagraph"/>
              <w:ind w:left="220"/>
              <w:rPr>
                <w:sz w:val="24"/>
              </w:rPr>
            </w:pPr>
            <w:r>
              <w:rPr>
                <w:sz w:val="24"/>
              </w:rPr>
              <w:t>РК</w:t>
            </w:r>
            <w:r>
              <w:rPr>
                <w:spacing w:val="-1"/>
                <w:sz w:val="24"/>
              </w:rPr>
              <w:t> </w:t>
            </w:r>
            <w:r>
              <w:rPr>
                <w:sz w:val="24"/>
              </w:rPr>
              <w:t>меньше</w:t>
            </w:r>
            <w:r>
              <w:rPr>
                <w:spacing w:val="-2"/>
                <w:sz w:val="24"/>
              </w:rPr>
              <w:t> </w:t>
            </w:r>
            <w:r>
              <w:rPr>
                <w:spacing w:val="-10"/>
                <w:sz w:val="24"/>
              </w:rPr>
              <w:t>0</w:t>
            </w:r>
          </w:p>
        </w:tc>
        <w:tc>
          <w:tcPr>
            <w:tcW w:w="2911" w:type="dxa"/>
          </w:tcPr>
          <w:p>
            <w:pPr>
              <w:pStyle w:val="TableParagraph"/>
              <w:spacing w:before="37"/>
              <w:rPr>
                <w:b/>
                <w:sz w:val="24"/>
              </w:rPr>
            </w:pPr>
          </w:p>
          <w:p>
            <w:pPr>
              <w:pStyle w:val="TableParagraph"/>
              <w:ind w:left="220"/>
              <w:rPr>
                <w:sz w:val="24"/>
              </w:rPr>
            </w:pPr>
            <w:r>
              <w:rPr>
                <w:sz w:val="24"/>
              </w:rPr>
              <w:t>ПО</w:t>
            </w:r>
            <w:r>
              <w:rPr>
                <w:spacing w:val="-3"/>
                <w:sz w:val="24"/>
              </w:rPr>
              <w:t> </w:t>
            </w:r>
            <w:r>
              <w:rPr>
                <w:sz w:val="24"/>
              </w:rPr>
              <w:t>больше</w:t>
            </w:r>
            <w:r>
              <w:rPr>
                <w:spacing w:val="-2"/>
                <w:sz w:val="24"/>
              </w:rPr>
              <w:t> </w:t>
            </w:r>
            <w:r>
              <w:rPr>
                <w:spacing w:val="-10"/>
                <w:sz w:val="24"/>
              </w:rPr>
              <w:t>0</w:t>
            </w:r>
          </w:p>
        </w:tc>
      </w:tr>
      <w:tr>
        <w:trPr>
          <w:trHeight w:val="937" w:hRule="atLeast"/>
        </w:trPr>
        <w:tc>
          <w:tcPr>
            <w:tcW w:w="3646" w:type="dxa"/>
          </w:tcPr>
          <w:p>
            <w:pPr>
              <w:pStyle w:val="TableParagraph"/>
              <w:spacing w:before="37"/>
              <w:rPr>
                <w:b/>
                <w:sz w:val="24"/>
              </w:rPr>
            </w:pPr>
          </w:p>
          <w:p>
            <w:pPr>
              <w:pStyle w:val="TableParagraph"/>
              <w:ind w:left="220"/>
              <w:rPr>
                <w:sz w:val="24"/>
              </w:rPr>
            </w:pPr>
            <w:r>
              <w:rPr>
                <w:spacing w:val="-2"/>
                <w:sz w:val="24"/>
              </w:rPr>
              <w:t>Сепарация</w:t>
            </w:r>
          </w:p>
        </w:tc>
        <w:tc>
          <w:tcPr>
            <w:tcW w:w="2760" w:type="dxa"/>
          </w:tcPr>
          <w:p>
            <w:pPr>
              <w:pStyle w:val="TableParagraph"/>
              <w:spacing w:before="37"/>
              <w:rPr>
                <w:b/>
                <w:sz w:val="24"/>
              </w:rPr>
            </w:pPr>
          </w:p>
          <w:p>
            <w:pPr>
              <w:pStyle w:val="TableParagraph"/>
              <w:ind w:left="220"/>
              <w:rPr>
                <w:sz w:val="24"/>
              </w:rPr>
            </w:pPr>
            <w:r>
              <w:rPr>
                <w:sz w:val="24"/>
              </w:rPr>
              <w:t>РК</w:t>
            </w:r>
            <w:r>
              <w:rPr>
                <w:spacing w:val="-1"/>
                <w:sz w:val="24"/>
              </w:rPr>
              <w:t> </w:t>
            </w:r>
            <w:r>
              <w:rPr>
                <w:sz w:val="24"/>
              </w:rPr>
              <w:t>больше</w:t>
            </w:r>
            <w:r>
              <w:rPr>
                <w:spacing w:val="-2"/>
                <w:sz w:val="24"/>
              </w:rPr>
              <w:t> </w:t>
            </w:r>
            <w:r>
              <w:rPr>
                <w:spacing w:val="-10"/>
                <w:sz w:val="24"/>
              </w:rPr>
              <w:t>0</w:t>
            </w:r>
          </w:p>
        </w:tc>
        <w:tc>
          <w:tcPr>
            <w:tcW w:w="2911" w:type="dxa"/>
          </w:tcPr>
          <w:p>
            <w:pPr>
              <w:pStyle w:val="TableParagraph"/>
              <w:spacing w:before="37"/>
              <w:rPr>
                <w:b/>
                <w:sz w:val="24"/>
              </w:rPr>
            </w:pPr>
          </w:p>
          <w:p>
            <w:pPr>
              <w:pStyle w:val="TableParagraph"/>
              <w:ind w:left="220"/>
              <w:rPr>
                <w:sz w:val="24"/>
              </w:rPr>
            </w:pPr>
            <w:r>
              <w:rPr>
                <w:sz w:val="24"/>
              </w:rPr>
              <w:t>ПО</w:t>
            </w:r>
            <w:r>
              <w:rPr>
                <w:spacing w:val="-3"/>
                <w:sz w:val="24"/>
              </w:rPr>
              <w:t> </w:t>
            </w:r>
            <w:r>
              <w:rPr>
                <w:sz w:val="24"/>
              </w:rPr>
              <w:t>меньше</w:t>
            </w:r>
            <w:r>
              <w:rPr>
                <w:spacing w:val="-2"/>
                <w:sz w:val="24"/>
              </w:rPr>
              <w:t> </w:t>
            </w:r>
            <w:r>
              <w:rPr>
                <w:spacing w:val="-10"/>
                <w:sz w:val="24"/>
              </w:rPr>
              <w:t>0</w:t>
            </w:r>
          </w:p>
        </w:tc>
      </w:tr>
      <w:tr>
        <w:trPr>
          <w:trHeight w:val="935" w:hRule="atLeast"/>
        </w:trPr>
        <w:tc>
          <w:tcPr>
            <w:tcW w:w="3646" w:type="dxa"/>
          </w:tcPr>
          <w:p>
            <w:pPr>
              <w:pStyle w:val="TableParagraph"/>
              <w:spacing w:before="34"/>
              <w:rPr>
                <w:b/>
                <w:sz w:val="24"/>
              </w:rPr>
            </w:pPr>
          </w:p>
          <w:p>
            <w:pPr>
              <w:pStyle w:val="TableParagraph"/>
              <w:ind w:left="220"/>
              <w:rPr>
                <w:sz w:val="24"/>
              </w:rPr>
            </w:pPr>
            <w:r>
              <w:rPr>
                <w:spacing w:val="-2"/>
                <w:sz w:val="24"/>
              </w:rPr>
              <w:t>Маргинализация</w:t>
            </w:r>
          </w:p>
        </w:tc>
        <w:tc>
          <w:tcPr>
            <w:tcW w:w="2760" w:type="dxa"/>
          </w:tcPr>
          <w:p>
            <w:pPr>
              <w:pStyle w:val="TableParagraph"/>
              <w:spacing w:before="34"/>
              <w:rPr>
                <w:b/>
                <w:sz w:val="24"/>
              </w:rPr>
            </w:pPr>
          </w:p>
          <w:p>
            <w:pPr>
              <w:pStyle w:val="TableParagraph"/>
              <w:ind w:left="220"/>
              <w:rPr>
                <w:sz w:val="24"/>
              </w:rPr>
            </w:pPr>
            <w:r>
              <w:rPr>
                <w:sz w:val="24"/>
              </w:rPr>
              <w:t>РК</w:t>
            </w:r>
            <w:r>
              <w:rPr>
                <w:spacing w:val="-1"/>
                <w:sz w:val="24"/>
              </w:rPr>
              <w:t> </w:t>
            </w:r>
            <w:r>
              <w:rPr>
                <w:sz w:val="24"/>
              </w:rPr>
              <w:t>меньше</w:t>
            </w:r>
            <w:r>
              <w:rPr>
                <w:spacing w:val="-1"/>
                <w:sz w:val="24"/>
              </w:rPr>
              <w:t> </w:t>
            </w:r>
            <w:r>
              <w:rPr>
                <w:spacing w:val="-10"/>
                <w:sz w:val="24"/>
              </w:rPr>
              <w:t>0</w:t>
            </w:r>
          </w:p>
        </w:tc>
        <w:tc>
          <w:tcPr>
            <w:tcW w:w="2911" w:type="dxa"/>
          </w:tcPr>
          <w:p>
            <w:pPr>
              <w:pStyle w:val="TableParagraph"/>
              <w:spacing w:before="34"/>
              <w:rPr>
                <w:b/>
                <w:sz w:val="24"/>
              </w:rPr>
            </w:pPr>
          </w:p>
          <w:p>
            <w:pPr>
              <w:pStyle w:val="TableParagraph"/>
              <w:ind w:left="220"/>
              <w:rPr>
                <w:sz w:val="24"/>
              </w:rPr>
            </w:pPr>
            <w:r>
              <w:rPr>
                <w:sz w:val="24"/>
              </w:rPr>
              <w:t>ПО</w:t>
            </w:r>
            <w:r>
              <w:rPr>
                <w:spacing w:val="-3"/>
                <w:sz w:val="24"/>
              </w:rPr>
              <w:t> </w:t>
            </w:r>
            <w:r>
              <w:rPr>
                <w:sz w:val="24"/>
              </w:rPr>
              <w:t>меньше</w:t>
            </w:r>
            <w:r>
              <w:rPr>
                <w:spacing w:val="-2"/>
                <w:sz w:val="24"/>
              </w:rPr>
              <w:t> </w:t>
            </w:r>
            <w:r>
              <w:rPr>
                <w:spacing w:val="-10"/>
                <w:sz w:val="24"/>
              </w:rPr>
              <w:t>0</w:t>
            </w:r>
          </w:p>
        </w:tc>
      </w:tr>
    </w:tbl>
    <w:p>
      <w:pPr>
        <w:pStyle w:val="Heading4"/>
        <w:spacing w:before="235"/>
        <w:ind w:right="571"/>
      </w:pPr>
      <w:r>
        <w:rPr/>
        <w:t>В случае если показатели РК и/или ПО равны 0, делается вывод о неопределившейся стратегии аккультурации.</w:t>
      </w:r>
    </w:p>
    <w:p>
      <w:pPr>
        <w:pStyle w:val="Heading4"/>
        <w:spacing w:before="242"/>
        <w:ind w:right="561"/>
      </w:pPr>
      <w:r>
        <w:rPr/>
        <w:t>Психолог может провести качественный анализ ответов на конкретные пункты. Например, выяснить, за счет каких аспектов аккультурации обеспечивается выбранная ребенком стратегия аккультурации и, соответственно, что можно предпринять в случае необходимости ее изменения. Кроме того, показатели РК и ПО (диапазон от –2 до +2) дают возможность судить, насколько выражена у ребенка предпочитаемая стратегия аккультурации. Так, например, сочетание РК = –0.5 и ПО = –0.5 говорит о слабо выраженной стратегии маргинализации, в отличие от сочетания РК = –2 и ПО = 2 (сильно выраженная маргинализация).</w:t>
      </w:r>
    </w:p>
    <w:p>
      <w:pPr>
        <w:pStyle w:val="BodyText"/>
        <w:ind w:left="0" w:right="0" w:firstLine="0"/>
        <w:jc w:val="left"/>
        <w:rPr>
          <w:sz w:val="28"/>
        </w:rPr>
      </w:pPr>
    </w:p>
    <w:p>
      <w:pPr>
        <w:pStyle w:val="BodyText"/>
        <w:spacing w:before="157"/>
        <w:ind w:left="0" w:right="0" w:firstLine="0"/>
        <w:jc w:val="left"/>
        <w:rPr>
          <w:sz w:val="28"/>
        </w:rPr>
      </w:pPr>
    </w:p>
    <w:p>
      <w:pPr>
        <w:pStyle w:val="Heading4"/>
        <w:ind w:right="562"/>
      </w:pPr>
      <w:r>
        <w:rPr/>
        <w:t>По результатам апробации в 2022 г.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w:t>
      </w:r>
      <w:r>
        <w:rPr>
          <w:spacing w:val="-6"/>
        </w:rPr>
        <w:t> </w:t>
      </w:r>
      <w:r>
        <w:rPr/>
        <w:t>на</w:t>
      </w:r>
      <w:r>
        <w:rPr>
          <w:spacing w:val="-5"/>
        </w:rPr>
        <w:t> </w:t>
      </w:r>
      <w:r>
        <w:rPr/>
        <w:t>основании</w:t>
      </w:r>
      <w:r>
        <w:rPr>
          <w:spacing w:val="-5"/>
        </w:rPr>
        <w:t> </w:t>
      </w:r>
      <w:r>
        <w:rPr/>
        <w:t>статистического</w:t>
      </w:r>
      <w:r>
        <w:rPr>
          <w:spacing w:val="-4"/>
        </w:rPr>
        <w:t> </w:t>
      </w:r>
      <w:r>
        <w:rPr/>
        <w:t>анализа</w:t>
      </w:r>
      <w:r>
        <w:rPr>
          <w:spacing w:val="-6"/>
        </w:rPr>
        <w:t> </w:t>
      </w:r>
      <w:r>
        <w:rPr/>
        <w:t>распределения</w:t>
      </w:r>
      <w:r>
        <w:rPr>
          <w:spacing w:val="-7"/>
        </w:rPr>
        <w:t> </w:t>
      </w:r>
      <w:r>
        <w:rPr/>
        <w:t>показателей у детей — иностранных граждан, выделены следующие нормативы.</w:t>
      </w:r>
    </w:p>
    <w:p>
      <w:pPr>
        <w:pStyle w:val="Heading4"/>
        <w:spacing w:after="0"/>
        <w:sectPr>
          <w:pgSz w:w="11910" w:h="16840"/>
          <w:pgMar w:header="0" w:footer="970" w:top="1040" w:bottom="1220" w:left="1417" w:right="283"/>
        </w:sectPr>
      </w:pPr>
    </w:p>
    <w:p>
      <w:pPr>
        <w:pStyle w:val="Heading3"/>
        <w:ind w:left="8245"/>
        <w:jc w:val="left"/>
      </w:pPr>
      <w:r>
        <w:rPr/>
        <w:t>Таблица</w:t>
      </w:r>
      <w:r>
        <w:rPr>
          <w:spacing w:val="-6"/>
        </w:rPr>
        <w:t> </w:t>
      </w:r>
      <w:r>
        <w:rPr>
          <w:spacing w:val="-5"/>
        </w:rPr>
        <w:t>23</w:t>
      </w:r>
    </w:p>
    <w:p>
      <w:pPr>
        <w:spacing w:line="240" w:lineRule="auto" w:before="240"/>
        <w:ind w:left="287" w:right="566" w:firstLine="0"/>
        <w:jc w:val="center"/>
        <w:rPr>
          <w:b/>
          <w:sz w:val="28"/>
        </w:rPr>
      </w:pPr>
      <w:r>
        <w:rPr>
          <w:b/>
          <w:sz w:val="28"/>
        </w:rPr>
        <w:t>Критерии</w:t>
      </w:r>
      <w:r>
        <w:rPr>
          <w:b/>
          <w:spacing w:val="-6"/>
          <w:sz w:val="28"/>
        </w:rPr>
        <w:t> </w:t>
      </w:r>
      <w:r>
        <w:rPr>
          <w:b/>
          <w:sz w:val="28"/>
        </w:rPr>
        <w:t>оценки</w:t>
      </w:r>
      <w:r>
        <w:rPr>
          <w:b/>
          <w:spacing w:val="-6"/>
          <w:sz w:val="28"/>
        </w:rPr>
        <w:t> </w:t>
      </w:r>
      <w:r>
        <w:rPr>
          <w:b/>
          <w:sz w:val="28"/>
        </w:rPr>
        <w:t>по</w:t>
      </w:r>
      <w:r>
        <w:rPr>
          <w:b/>
          <w:spacing w:val="-4"/>
          <w:sz w:val="28"/>
        </w:rPr>
        <w:t> </w:t>
      </w:r>
      <w:r>
        <w:rPr>
          <w:b/>
          <w:sz w:val="28"/>
        </w:rPr>
        <w:t>шкале</w:t>
      </w:r>
      <w:r>
        <w:rPr>
          <w:b/>
          <w:spacing w:val="-5"/>
          <w:sz w:val="28"/>
        </w:rPr>
        <w:t> </w:t>
      </w:r>
      <w:r>
        <w:rPr>
          <w:b/>
          <w:sz w:val="28"/>
        </w:rPr>
        <w:t>«Сохранение</w:t>
      </w:r>
      <w:r>
        <w:rPr>
          <w:b/>
          <w:spacing w:val="-5"/>
          <w:sz w:val="28"/>
        </w:rPr>
        <w:t> </w:t>
      </w:r>
      <w:r>
        <w:rPr>
          <w:b/>
          <w:sz w:val="28"/>
        </w:rPr>
        <w:t>ребенком-мигрантом</w:t>
      </w:r>
      <w:r>
        <w:rPr>
          <w:b/>
          <w:spacing w:val="-5"/>
          <w:sz w:val="28"/>
        </w:rPr>
        <w:t> </w:t>
      </w:r>
      <w:r>
        <w:rPr>
          <w:b/>
          <w:sz w:val="28"/>
        </w:rPr>
        <w:t>родной культурной среды» на выборках несовершеннолетних детей </w:t>
      </w:r>
      <w:r>
        <w:rPr>
          <w:sz w:val="28"/>
        </w:rPr>
        <w:t>— </w:t>
      </w:r>
      <w:r>
        <w:rPr>
          <w:b/>
          <w:sz w:val="28"/>
        </w:rPr>
        <w:t>иностранных граждан в России</w:t>
      </w:r>
    </w:p>
    <w:p>
      <w:pPr>
        <w:pStyle w:val="BodyText"/>
        <w:spacing w:before="11"/>
        <w:ind w:left="0" w:right="0" w:firstLine="0"/>
        <w:jc w:val="left"/>
        <w:rPr>
          <w:b/>
        </w:rPr>
      </w:pPr>
    </w:p>
    <w:tbl>
      <w:tblPr>
        <w:tblW w:w="0" w:type="auto"/>
        <w:jc w:val="left"/>
        <w:tblInd w:w="4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35"/>
        <w:gridCol w:w="2252"/>
        <w:gridCol w:w="2221"/>
        <w:gridCol w:w="2236"/>
      </w:tblGrid>
      <w:tr>
        <w:trPr>
          <w:trHeight w:val="956" w:hRule="atLeast"/>
        </w:trPr>
        <w:tc>
          <w:tcPr>
            <w:tcW w:w="8944" w:type="dxa"/>
            <w:gridSpan w:val="4"/>
          </w:tcPr>
          <w:p>
            <w:pPr>
              <w:pStyle w:val="TableParagraph"/>
              <w:spacing w:before="61"/>
              <w:rPr>
                <w:b/>
                <w:sz w:val="24"/>
              </w:rPr>
            </w:pPr>
          </w:p>
          <w:p>
            <w:pPr>
              <w:pStyle w:val="TableParagraph"/>
              <w:ind w:left="14"/>
              <w:jc w:val="center"/>
              <w:rPr>
                <w:b/>
                <w:sz w:val="24"/>
              </w:rPr>
            </w:pPr>
            <w:r>
              <w:rPr>
                <w:b/>
                <w:sz w:val="24"/>
              </w:rPr>
              <w:t>Сохранение</w:t>
            </w:r>
            <w:r>
              <w:rPr>
                <w:b/>
                <w:spacing w:val="-10"/>
                <w:sz w:val="24"/>
              </w:rPr>
              <w:t> </w:t>
            </w:r>
            <w:r>
              <w:rPr>
                <w:b/>
                <w:sz w:val="24"/>
              </w:rPr>
              <w:t>ребенком-мигрантом</w:t>
            </w:r>
            <w:r>
              <w:rPr>
                <w:b/>
                <w:spacing w:val="-8"/>
                <w:sz w:val="24"/>
              </w:rPr>
              <w:t> </w:t>
            </w:r>
            <w:r>
              <w:rPr>
                <w:b/>
                <w:sz w:val="24"/>
              </w:rPr>
              <w:t>родной</w:t>
            </w:r>
            <w:r>
              <w:rPr>
                <w:b/>
                <w:spacing w:val="-7"/>
                <w:sz w:val="24"/>
              </w:rPr>
              <w:t> </w:t>
            </w:r>
            <w:r>
              <w:rPr>
                <w:b/>
                <w:sz w:val="24"/>
              </w:rPr>
              <w:t>культурной</w:t>
            </w:r>
            <w:r>
              <w:rPr>
                <w:b/>
                <w:spacing w:val="-6"/>
                <w:sz w:val="24"/>
              </w:rPr>
              <w:t> </w:t>
            </w:r>
            <w:r>
              <w:rPr>
                <w:b/>
                <w:spacing w:val="-2"/>
                <w:sz w:val="24"/>
              </w:rPr>
              <w:t>среды</w:t>
            </w:r>
          </w:p>
        </w:tc>
      </w:tr>
      <w:tr>
        <w:trPr>
          <w:trHeight w:val="1451" w:hRule="atLeast"/>
        </w:trPr>
        <w:tc>
          <w:tcPr>
            <w:tcW w:w="2235" w:type="dxa"/>
          </w:tcPr>
          <w:p>
            <w:pPr>
              <w:pStyle w:val="TableParagraph"/>
              <w:rPr>
                <w:sz w:val="24"/>
              </w:rPr>
            </w:pPr>
          </w:p>
        </w:tc>
        <w:tc>
          <w:tcPr>
            <w:tcW w:w="2252" w:type="dxa"/>
          </w:tcPr>
          <w:p>
            <w:pPr>
              <w:pStyle w:val="TableParagraph"/>
              <w:spacing w:before="39"/>
              <w:rPr>
                <w:b/>
                <w:sz w:val="24"/>
              </w:rPr>
            </w:pPr>
          </w:p>
          <w:p>
            <w:pPr>
              <w:pStyle w:val="TableParagraph"/>
              <w:spacing w:line="448" w:lineRule="auto"/>
              <w:ind w:left="649" w:right="189" w:hanging="442"/>
              <w:rPr>
                <w:b/>
                <w:sz w:val="24"/>
              </w:rPr>
            </w:pPr>
            <w:r>
              <w:rPr>
                <w:b/>
                <w:sz w:val="24"/>
              </w:rPr>
              <w:t>Младшая</w:t>
            </w:r>
            <w:r>
              <w:rPr>
                <w:b/>
                <w:spacing w:val="-15"/>
                <w:sz w:val="24"/>
              </w:rPr>
              <w:t> </w:t>
            </w:r>
            <w:r>
              <w:rPr>
                <w:b/>
                <w:sz w:val="24"/>
              </w:rPr>
              <w:t>школа (N = 331)</w:t>
            </w:r>
          </w:p>
        </w:tc>
        <w:tc>
          <w:tcPr>
            <w:tcW w:w="2221" w:type="dxa"/>
          </w:tcPr>
          <w:p>
            <w:pPr>
              <w:pStyle w:val="TableParagraph"/>
              <w:spacing w:before="39"/>
              <w:rPr>
                <w:b/>
                <w:sz w:val="24"/>
              </w:rPr>
            </w:pPr>
          </w:p>
          <w:p>
            <w:pPr>
              <w:pStyle w:val="TableParagraph"/>
              <w:spacing w:line="448" w:lineRule="auto"/>
              <w:ind w:left="632" w:right="239" w:hanging="380"/>
              <w:rPr>
                <w:b/>
                <w:sz w:val="24"/>
              </w:rPr>
            </w:pPr>
            <w:r>
              <w:rPr>
                <w:b/>
                <w:sz w:val="24"/>
              </w:rPr>
              <w:t>Средняя</w:t>
            </w:r>
            <w:r>
              <w:rPr>
                <w:b/>
                <w:spacing w:val="-15"/>
                <w:sz w:val="24"/>
              </w:rPr>
              <w:t> </w:t>
            </w:r>
            <w:r>
              <w:rPr>
                <w:b/>
                <w:sz w:val="24"/>
              </w:rPr>
              <w:t>школа (N = 240)</w:t>
            </w:r>
          </w:p>
        </w:tc>
        <w:tc>
          <w:tcPr>
            <w:tcW w:w="2236" w:type="dxa"/>
          </w:tcPr>
          <w:p>
            <w:pPr>
              <w:pStyle w:val="TableParagraph"/>
              <w:spacing w:before="39"/>
              <w:rPr>
                <w:b/>
                <w:sz w:val="24"/>
              </w:rPr>
            </w:pPr>
          </w:p>
          <w:p>
            <w:pPr>
              <w:pStyle w:val="TableParagraph"/>
              <w:spacing w:line="448" w:lineRule="auto"/>
              <w:ind w:left="699" w:right="213" w:hanging="474"/>
              <w:rPr>
                <w:b/>
                <w:sz w:val="24"/>
              </w:rPr>
            </w:pPr>
            <w:r>
              <w:rPr>
                <w:b/>
                <w:sz w:val="24"/>
              </w:rPr>
              <w:t>Старшая</w:t>
            </w:r>
            <w:r>
              <w:rPr>
                <w:b/>
                <w:spacing w:val="-15"/>
                <w:sz w:val="24"/>
              </w:rPr>
              <w:t> </w:t>
            </w:r>
            <w:r>
              <w:rPr>
                <w:b/>
                <w:sz w:val="24"/>
              </w:rPr>
              <w:t>школа (N = 92)</w:t>
            </w:r>
          </w:p>
        </w:tc>
      </w:tr>
      <w:tr>
        <w:trPr>
          <w:trHeight w:val="935" w:hRule="atLeast"/>
        </w:trPr>
        <w:tc>
          <w:tcPr>
            <w:tcW w:w="2235" w:type="dxa"/>
          </w:tcPr>
          <w:p>
            <w:pPr>
              <w:pStyle w:val="TableParagraph"/>
              <w:spacing w:before="37"/>
              <w:rPr>
                <w:b/>
                <w:sz w:val="24"/>
              </w:rPr>
            </w:pPr>
          </w:p>
          <w:p>
            <w:pPr>
              <w:pStyle w:val="TableParagraph"/>
              <w:ind w:left="100"/>
              <w:rPr>
                <w:sz w:val="24"/>
              </w:rPr>
            </w:pPr>
            <w:r>
              <w:rPr>
                <w:sz w:val="24"/>
              </w:rPr>
              <w:t>Ниже</w:t>
            </w:r>
            <w:r>
              <w:rPr>
                <w:spacing w:val="-5"/>
                <w:sz w:val="24"/>
              </w:rPr>
              <w:t> </w:t>
            </w:r>
            <w:r>
              <w:rPr>
                <w:spacing w:val="-2"/>
                <w:sz w:val="24"/>
              </w:rPr>
              <w:t>среднего</w:t>
            </w:r>
          </w:p>
        </w:tc>
        <w:tc>
          <w:tcPr>
            <w:tcW w:w="2252" w:type="dxa"/>
          </w:tcPr>
          <w:p>
            <w:pPr>
              <w:pStyle w:val="TableParagraph"/>
              <w:spacing w:before="37"/>
              <w:rPr>
                <w:b/>
                <w:sz w:val="24"/>
              </w:rPr>
            </w:pPr>
          </w:p>
          <w:p>
            <w:pPr>
              <w:pStyle w:val="TableParagraph"/>
              <w:ind w:left="18" w:right="3"/>
              <w:jc w:val="center"/>
              <w:rPr>
                <w:sz w:val="24"/>
              </w:rPr>
            </w:pPr>
            <w:r>
              <w:rPr>
                <w:sz w:val="24"/>
              </w:rPr>
              <w:t>&lt;</w:t>
            </w:r>
            <w:r>
              <w:rPr>
                <w:spacing w:val="-2"/>
                <w:sz w:val="24"/>
              </w:rPr>
              <w:t> </w:t>
            </w:r>
            <w:r>
              <w:rPr>
                <w:sz w:val="24"/>
              </w:rPr>
              <w:t>-</w:t>
            </w:r>
            <w:r>
              <w:rPr>
                <w:spacing w:val="-4"/>
                <w:sz w:val="24"/>
              </w:rPr>
              <w:t>0,43</w:t>
            </w:r>
          </w:p>
        </w:tc>
        <w:tc>
          <w:tcPr>
            <w:tcW w:w="2221" w:type="dxa"/>
          </w:tcPr>
          <w:p>
            <w:pPr>
              <w:pStyle w:val="TableParagraph"/>
              <w:spacing w:before="37"/>
              <w:rPr>
                <w:b/>
                <w:sz w:val="24"/>
              </w:rPr>
            </w:pPr>
          </w:p>
          <w:p>
            <w:pPr>
              <w:pStyle w:val="TableParagraph"/>
              <w:ind w:left="14" w:right="2"/>
              <w:jc w:val="center"/>
              <w:rPr>
                <w:sz w:val="24"/>
              </w:rPr>
            </w:pPr>
            <w:r>
              <w:rPr>
                <w:sz w:val="24"/>
              </w:rPr>
              <w:t>&lt;</w:t>
            </w:r>
            <w:r>
              <w:rPr>
                <w:spacing w:val="-2"/>
                <w:sz w:val="24"/>
              </w:rPr>
              <w:t> </w:t>
            </w:r>
            <w:r>
              <w:rPr>
                <w:sz w:val="24"/>
              </w:rPr>
              <w:t>-</w:t>
            </w:r>
            <w:r>
              <w:rPr>
                <w:spacing w:val="-4"/>
                <w:sz w:val="24"/>
              </w:rPr>
              <w:t>0,53</w:t>
            </w:r>
          </w:p>
        </w:tc>
        <w:tc>
          <w:tcPr>
            <w:tcW w:w="2236" w:type="dxa"/>
          </w:tcPr>
          <w:p>
            <w:pPr>
              <w:pStyle w:val="TableParagraph"/>
              <w:spacing w:before="37"/>
              <w:rPr>
                <w:b/>
                <w:sz w:val="24"/>
              </w:rPr>
            </w:pPr>
          </w:p>
          <w:p>
            <w:pPr>
              <w:pStyle w:val="TableParagraph"/>
              <w:ind w:left="13" w:right="2"/>
              <w:jc w:val="center"/>
              <w:rPr>
                <w:sz w:val="24"/>
              </w:rPr>
            </w:pPr>
            <w:r>
              <w:rPr>
                <w:sz w:val="24"/>
              </w:rPr>
              <w:t>&lt;</w:t>
            </w:r>
            <w:r>
              <w:rPr>
                <w:spacing w:val="-2"/>
                <w:sz w:val="24"/>
              </w:rPr>
              <w:t> </w:t>
            </w:r>
            <w:r>
              <w:rPr>
                <w:sz w:val="24"/>
              </w:rPr>
              <w:t>-</w:t>
            </w:r>
            <w:r>
              <w:rPr>
                <w:spacing w:val="-4"/>
                <w:sz w:val="24"/>
              </w:rPr>
              <w:t>0,42</w:t>
            </w:r>
          </w:p>
        </w:tc>
      </w:tr>
      <w:tr>
        <w:trPr>
          <w:trHeight w:val="937" w:hRule="atLeast"/>
        </w:trPr>
        <w:tc>
          <w:tcPr>
            <w:tcW w:w="2235" w:type="dxa"/>
          </w:tcPr>
          <w:p>
            <w:pPr>
              <w:pStyle w:val="TableParagraph"/>
              <w:spacing w:before="37"/>
              <w:rPr>
                <w:b/>
                <w:sz w:val="24"/>
              </w:rPr>
            </w:pPr>
          </w:p>
          <w:p>
            <w:pPr>
              <w:pStyle w:val="TableParagraph"/>
              <w:ind w:left="100"/>
              <w:rPr>
                <w:sz w:val="24"/>
              </w:rPr>
            </w:pPr>
            <w:r>
              <w:rPr>
                <w:spacing w:val="-2"/>
                <w:sz w:val="24"/>
              </w:rPr>
              <w:t>Средний</w:t>
            </w:r>
          </w:p>
        </w:tc>
        <w:tc>
          <w:tcPr>
            <w:tcW w:w="2252" w:type="dxa"/>
          </w:tcPr>
          <w:p>
            <w:pPr>
              <w:pStyle w:val="TableParagraph"/>
              <w:spacing w:before="37"/>
              <w:rPr>
                <w:b/>
                <w:sz w:val="24"/>
              </w:rPr>
            </w:pPr>
          </w:p>
          <w:p>
            <w:pPr>
              <w:pStyle w:val="TableParagraph"/>
              <w:ind w:left="18" w:right="3"/>
              <w:jc w:val="center"/>
              <w:rPr>
                <w:sz w:val="24"/>
              </w:rPr>
            </w:pPr>
            <w:r>
              <w:rPr>
                <w:sz w:val="24"/>
              </w:rPr>
              <w:t>-0,43</w:t>
            </w:r>
            <w:r>
              <w:rPr>
                <w:spacing w:val="-2"/>
                <w:sz w:val="24"/>
              </w:rPr>
              <w:t> </w:t>
            </w:r>
            <w:r>
              <w:rPr>
                <w:sz w:val="24"/>
              </w:rPr>
              <w:t>-</w:t>
            </w:r>
            <w:r>
              <w:rPr>
                <w:spacing w:val="-4"/>
                <w:sz w:val="24"/>
              </w:rPr>
              <w:t>1,23</w:t>
            </w:r>
          </w:p>
        </w:tc>
        <w:tc>
          <w:tcPr>
            <w:tcW w:w="2221" w:type="dxa"/>
          </w:tcPr>
          <w:p>
            <w:pPr>
              <w:pStyle w:val="TableParagraph"/>
              <w:spacing w:before="37"/>
              <w:rPr>
                <w:b/>
                <w:sz w:val="24"/>
              </w:rPr>
            </w:pPr>
          </w:p>
          <w:p>
            <w:pPr>
              <w:pStyle w:val="TableParagraph"/>
              <w:ind w:left="14" w:right="2"/>
              <w:jc w:val="center"/>
              <w:rPr>
                <w:sz w:val="24"/>
              </w:rPr>
            </w:pPr>
            <w:r>
              <w:rPr>
                <w:sz w:val="24"/>
              </w:rPr>
              <w:t>-0,53</w:t>
            </w:r>
            <w:r>
              <w:rPr>
                <w:spacing w:val="-2"/>
                <w:sz w:val="24"/>
              </w:rPr>
              <w:t> </w:t>
            </w:r>
            <w:r>
              <w:rPr>
                <w:sz w:val="24"/>
              </w:rPr>
              <w:t>-</w:t>
            </w:r>
            <w:r>
              <w:rPr>
                <w:spacing w:val="-4"/>
                <w:sz w:val="24"/>
              </w:rPr>
              <w:t>1,19</w:t>
            </w:r>
          </w:p>
        </w:tc>
        <w:tc>
          <w:tcPr>
            <w:tcW w:w="2236" w:type="dxa"/>
          </w:tcPr>
          <w:p>
            <w:pPr>
              <w:pStyle w:val="TableParagraph"/>
              <w:spacing w:before="37"/>
              <w:rPr>
                <w:b/>
                <w:sz w:val="24"/>
              </w:rPr>
            </w:pPr>
          </w:p>
          <w:p>
            <w:pPr>
              <w:pStyle w:val="TableParagraph"/>
              <w:ind w:left="13" w:right="2"/>
              <w:jc w:val="center"/>
              <w:rPr>
                <w:sz w:val="24"/>
              </w:rPr>
            </w:pPr>
            <w:r>
              <w:rPr>
                <w:sz w:val="24"/>
              </w:rPr>
              <w:t>-0,42</w:t>
            </w:r>
            <w:r>
              <w:rPr>
                <w:spacing w:val="-2"/>
                <w:sz w:val="24"/>
              </w:rPr>
              <w:t> </w:t>
            </w:r>
            <w:r>
              <w:rPr>
                <w:sz w:val="24"/>
              </w:rPr>
              <w:t>-</w:t>
            </w:r>
            <w:r>
              <w:rPr>
                <w:spacing w:val="-4"/>
                <w:sz w:val="24"/>
              </w:rPr>
              <w:t>1,24</w:t>
            </w:r>
          </w:p>
        </w:tc>
      </w:tr>
      <w:tr>
        <w:trPr>
          <w:trHeight w:val="935" w:hRule="atLeast"/>
        </w:trPr>
        <w:tc>
          <w:tcPr>
            <w:tcW w:w="2235" w:type="dxa"/>
          </w:tcPr>
          <w:p>
            <w:pPr>
              <w:pStyle w:val="TableParagraph"/>
              <w:spacing w:before="34"/>
              <w:rPr>
                <w:b/>
                <w:sz w:val="24"/>
              </w:rPr>
            </w:pPr>
          </w:p>
          <w:p>
            <w:pPr>
              <w:pStyle w:val="TableParagraph"/>
              <w:ind w:left="100"/>
              <w:rPr>
                <w:sz w:val="24"/>
              </w:rPr>
            </w:pPr>
            <w:r>
              <w:rPr>
                <w:sz w:val="24"/>
              </w:rPr>
              <w:t>Выше</w:t>
            </w:r>
            <w:r>
              <w:rPr>
                <w:spacing w:val="-2"/>
                <w:sz w:val="24"/>
              </w:rPr>
              <w:t> среднего</w:t>
            </w:r>
          </w:p>
        </w:tc>
        <w:tc>
          <w:tcPr>
            <w:tcW w:w="2252" w:type="dxa"/>
          </w:tcPr>
          <w:p>
            <w:pPr>
              <w:pStyle w:val="TableParagraph"/>
              <w:spacing w:before="34"/>
              <w:rPr>
                <w:b/>
                <w:sz w:val="24"/>
              </w:rPr>
            </w:pPr>
          </w:p>
          <w:p>
            <w:pPr>
              <w:pStyle w:val="TableParagraph"/>
              <w:ind w:left="18"/>
              <w:jc w:val="center"/>
              <w:rPr>
                <w:sz w:val="24"/>
              </w:rPr>
            </w:pPr>
            <w:r>
              <w:rPr>
                <w:sz w:val="24"/>
              </w:rPr>
              <w:t>&gt;</w:t>
            </w:r>
            <w:r>
              <w:rPr>
                <w:spacing w:val="-1"/>
                <w:sz w:val="24"/>
              </w:rPr>
              <w:t> </w:t>
            </w:r>
            <w:r>
              <w:rPr>
                <w:spacing w:val="-4"/>
                <w:sz w:val="24"/>
              </w:rPr>
              <w:t>1,23</w:t>
            </w:r>
          </w:p>
        </w:tc>
        <w:tc>
          <w:tcPr>
            <w:tcW w:w="2221" w:type="dxa"/>
          </w:tcPr>
          <w:p>
            <w:pPr>
              <w:pStyle w:val="TableParagraph"/>
              <w:spacing w:before="34"/>
              <w:rPr>
                <w:b/>
                <w:sz w:val="24"/>
              </w:rPr>
            </w:pPr>
          </w:p>
          <w:p>
            <w:pPr>
              <w:pStyle w:val="TableParagraph"/>
              <w:ind w:left="14"/>
              <w:jc w:val="center"/>
              <w:rPr>
                <w:sz w:val="24"/>
              </w:rPr>
            </w:pPr>
            <w:r>
              <w:rPr>
                <w:sz w:val="24"/>
              </w:rPr>
              <w:t>&gt;</w:t>
            </w:r>
            <w:r>
              <w:rPr>
                <w:spacing w:val="-1"/>
                <w:sz w:val="24"/>
              </w:rPr>
              <w:t> </w:t>
            </w:r>
            <w:r>
              <w:rPr>
                <w:spacing w:val="-4"/>
                <w:sz w:val="24"/>
              </w:rPr>
              <w:t>1,19</w:t>
            </w:r>
          </w:p>
        </w:tc>
        <w:tc>
          <w:tcPr>
            <w:tcW w:w="2236" w:type="dxa"/>
          </w:tcPr>
          <w:p>
            <w:pPr>
              <w:pStyle w:val="TableParagraph"/>
              <w:spacing w:before="34"/>
              <w:rPr>
                <w:b/>
                <w:sz w:val="24"/>
              </w:rPr>
            </w:pPr>
          </w:p>
          <w:p>
            <w:pPr>
              <w:pStyle w:val="TableParagraph"/>
              <w:ind w:left="13"/>
              <w:jc w:val="center"/>
              <w:rPr>
                <w:sz w:val="24"/>
              </w:rPr>
            </w:pPr>
            <w:r>
              <w:rPr>
                <w:sz w:val="24"/>
              </w:rPr>
              <w:t>&gt;</w:t>
            </w:r>
            <w:r>
              <w:rPr>
                <w:spacing w:val="-1"/>
                <w:sz w:val="24"/>
              </w:rPr>
              <w:t> </w:t>
            </w:r>
            <w:r>
              <w:rPr>
                <w:spacing w:val="-4"/>
                <w:sz w:val="24"/>
              </w:rPr>
              <w:t>1,24</w:t>
            </w:r>
          </w:p>
        </w:tc>
      </w:tr>
    </w:tbl>
    <w:p>
      <w:pPr>
        <w:spacing w:before="234"/>
        <w:ind w:left="285" w:right="0" w:firstLine="0"/>
        <w:jc w:val="left"/>
        <w:rPr>
          <w:sz w:val="24"/>
        </w:rPr>
      </w:pPr>
      <w:r>
        <w:rPr>
          <w:i/>
          <w:sz w:val="24"/>
        </w:rPr>
        <w:t>Примечание.</w:t>
      </w:r>
      <w:r>
        <w:rPr>
          <w:i/>
          <w:spacing w:val="80"/>
          <w:w w:val="150"/>
          <w:sz w:val="24"/>
        </w:rPr>
        <w:t> </w:t>
      </w:r>
      <w:r>
        <w:rPr>
          <w:sz w:val="24"/>
        </w:rPr>
        <w:t>Значимых</w:t>
      </w:r>
      <w:r>
        <w:rPr>
          <w:spacing w:val="80"/>
          <w:w w:val="150"/>
          <w:sz w:val="24"/>
        </w:rPr>
        <w:t> </w:t>
      </w:r>
      <w:r>
        <w:rPr>
          <w:sz w:val="24"/>
        </w:rPr>
        <w:t>гендерных</w:t>
      </w:r>
      <w:r>
        <w:rPr>
          <w:spacing w:val="80"/>
          <w:w w:val="150"/>
          <w:sz w:val="24"/>
        </w:rPr>
        <w:t> </w:t>
      </w:r>
      <w:r>
        <w:rPr>
          <w:sz w:val="24"/>
        </w:rPr>
        <w:t>различий</w:t>
      </w:r>
      <w:r>
        <w:rPr>
          <w:spacing w:val="80"/>
          <w:w w:val="150"/>
          <w:sz w:val="24"/>
        </w:rPr>
        <w:t> </w:t>
      </w:r>
      <w:r>
        <w:rPr>
          <w:sz w:val="24"/>
        </w:rPr>
        <w:t>не</w:t>
      </w:r>
      <w:r>
        <w:rPr>
          <w:spacing w:val="80"/>
          <w:w w:val="150"/>
          <w:sz w:val="24"/>
        </w:rPr>
        <w:t> </w:t>
      </w:r>
      <w:r>
        <w:rPr>
          <w:sz w:val="24"/>
        </w:rPr>
        <w:t>выявлено,</w:t>
      </w:r>
      <w:r>
        <w:rPr>
          <w:spacing w:val="80"/>
          <w:w w:val="150"/>
          <w:sz w:val="24"/>
        </w:rPr>
        <w:t> </w:t>
      </w:r>
      <w:r>
        <w:rPr>
          <w:sz w:val="24"/>
        </w:rPr>
        <w:t>в</w:t>
      </w:r>
      <w:r>
        <w:rPr>
          <w:spacing w:val="80"/>
          <w:w w:val="150"/>
          <w:sz w:val="24"/>
        </w:rPr>
        <w:t> </w:t>
      </w:r>
      <w:r>
        <w:rPr>
          <w:sz w:val="24"/>
        </w:rPr>
        <w:t>связи</w:t>
      </w:r>
      <w:r>
        <w:rPr>
          <w:spacing w:val="80"/>
          <w:w w:val="150"/>
          <w:sz w:val="24"/>
        </w:rPr>
        <w:t> </w:t>
      </w:r>
      <w:r>
        <w:rPr>
          <w:sz w:val="24"/>
        </w:rPr>
        <w:t>с</w:t>
      </w:r>
      <w:r>
        <w:rPr>
          <w:spacing w:val="80"/>
          <w:w w:val="150"/>
          <w:sz w:val="24"/>
        </w:rPr>
        <w:t> </w:t>
      </w:r>
      <w:r>
        <w:rPr>
          <w:sz w:val="24"/>
        </w:rPr>
        <w:t>чем</w:t>
      </w:r>
      <w:r>
        <w:rPr>
          <w:spacing w:val="80"/>
          <w:w w:val="150"/>
          <w:sz w:val="24"/>
        </w:rPr>
        <w:t> </w:t>
      </w:r>
      <w:r>
        <w:rPr>
          <w:sz w:val="24"/>
        </w:rPr>
        <w:t>оценка производится без учета пола ребенка (t-критерий Стьюдента для независимых выборок).</w:t>
      </w:r>
    </w:p>
    <w:p>
      <w:pPr>
        <w:pStyle w:val="BodyText"/>
        <w:ind w:left="0" w:right="0" w:firstLine="0"/>
        <w:jc w:val="left"/>
        <w:rPr>
          <w:sz w:val="24"/>
        </w:rPr>
      </w:pPr>
    </w:p>
    <w:p>
      <w:pPr>
        <w:pStyle w:val="BodyText"/>
        <w:spacing w:before="260"/>
        <w:ind w:left="0" w:right="0" w:firstLine="0"/>
        <w:jc w:val="left"/>
        <w:rPr>
          <w:sz w:val="24"/>
        </w:rPr>
      </w:pPr>
    </w:p>
    <w:p>
      <w:pPr>
        <w:pStyle w:val="Heading3"/>
        <w:spacing w:before="0"/>
        <w:ind w:left="8245"/>
        <w:jc w:val="left"/>
      </w:pPr>
      <w:r>
        <w:rPr/>
        <w:t>Таблица</w:t>
      </w:r>
      <w:r>
        <w:rPr>
          <w:spacing w:val="-6"/>
        </w:rPr>
        <w:t> </w:t>
      </w:r>
      <w:r>
        <w:rPr>
          <w:spacing w:val="-5"/>
        </w:rPr>
        <w:t>24</w:t>
      </w:r>
    </w:p>
    <w:p>
      <w:pPr>
        <w:spacing w:line="237" w:lineRule="auto" w:before="240"/>
        <w:ind w:left="424" w:right="711" w:firstLine="9"/>
        <w:jc w:val="center"/>
        <w:rPr>
          <w:b/>
          <w:sz w:val="28"/>
        </w:rPr>
      </w:pPr>
      <w:r>
        <w:rPr>
          <w:b/>
          <w:sz w:val="28"/>
        </w:rPr>
        <w:t>Критерии оценки по шкале «Включенность ребенка-мигранта в культуру</w:t>
      </w:r>
      <w:r>
        <w:rPr>
          <w:b/>
          <w:spacing w:val="-7"/>
          <w:sz w:val="28"/>
        </w:rPr>
        <w:t> </w:t>
      </w:r>
      <w:r>
        <w:rPr>
          <w:b/>
          <w:sz w:val="28"/>
        </w:rPr>
        <w:t>принимающего</w:t>
      </w:r>
      <w:r>
        <w:rPr>
          <w:b/>
          <w:spacing w:val="-7"/>
          <w:sz w:val="28"/>
        </w:rPr>
        <w:t> </w:t>
      </w:r>
      <w:r>
        <w:rPr>
          <w:b/>
          <w:sz w:val="28"/>
        </w:rPr>
        <w:t>общества»</w:t>
      </w:r>
      <w:r>
        <w:rPr>
          <w:b/>
          <w:spacing w:val="-11"/>
          <w:sz w:val="28"/>
        </w:rPr>
        <w:t> </w:t>
      </w:r>
      <w:r>
        <w:rPr>
          <w:b/>
          <w:sz w:val="28"/>
        </w:rPr>
        <w:t>на</w:t>
      </w:r>
      <w:r>
        <w:rPr>
          <w:b/>
          <w:spacing w:val="-7"/>
          <w:sz w:val="28"/>
        </w:rPr>
        <w:t> </w:t>
      </w:r>
      <w:r>
        <w:rPr>
          <w:b/>
          <w:sz w:val="28"/>
        </w:rPr>
        <w:t>выборках</w:t>
      </w:r>
      <w:r>
        <w:rPr>
          <w:b/>
          <w:spacing w:val="-7"/>
          <w:sz w:val="28"/>
        </w:rPr>
        <w:t> </w:t>
      </w:r>
      <w:r>
        <w:rPr>
          <w:b/>
          <w:sz w:val="28"/>
        </w:rPr>
        <w:t>несовершеннолетних детей </w:t>
      </w:r>
      <w:r>
        <w:rPr>
          <w:sz w:val="28"/>
        </w:rPr>
        <w:t>— </w:t>
      </w:r>
      <w:r>
        <w:rPr>
          <w:b/>
          <w:sz w:val="28"/>
        </w:rPr>
        <w:t>иностранных граждан в России</w:t>
      </w:r>
    </w:p>
    <w:p>
      <w:pPr>
        <w:pStyle w:val="BodyText"/>
        <w:ind w:left="0" w:right="0" w:firstLine="0"/>
        <w:jc w:val="left"/>
        <w:rPr>
          <w:b/>
        </w:rPr>
      </w:pPr>
    </w:p>
    <w:p>
      <w:pPr>
        <w:pStyle w:val="BodyText"/>
        <w:spacing w:before="110"/>
        <w:ind w:left="0" w:right="0" w:firstLine="0"/>
        <w:jc w:val="left"/>
        <w:rPr>
          <w:b/>
        </w:r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57"/>
        <w:gridCol w:w="2220"/>
        <w:gridCol w:w="2189"/>
        <w:gridCol w:w="2192"/>
      </w:tblGrid>
      <w:tr>
        <w:trPr>
          <w:trHeight w:val="957" w:hRule="atLeast"/>
        </w:trPr>
        <w:tc>
          <w:tcPr>
            <w:tcW w:w="8958" w:type="dxa"/>
            <w:gridSpan w:val="4"/>
          </w:tcPr>
          <w:p>
            <w:pPr>
              <w:pStyle w:val="TableParagraph"/>
              <w:spacing w:before="61"/>
              <w:rPr>
                <w:b/>
                <w:sz w:val="24"/>
              </w:rPr>
            </w:pPr>
          </w:p>
          <w:p>
            <w:pPr>
              <w:pStyle w:val="TableParagraph"/>
              <w:ind w:left="604"/>
              <w:rPr>
                <w:b/>
                <w:sz w:val="24"/>
              </w:rPr>
            </w:pPr>
            <w:r>
              <w:rPr>
                <w:b/>
                <w:sz w:val="24"/>
              </w:rPr>
              <w:t>Включенность</w:t>
            </w:r>
            <w:r>
              <w:rPr>
                <w:b/>
                <w:spacing w:val="-8"/>
                <w:sz w:val="24"/>
              </w:rPr>
              <w:t> </w:t>
            </w:r>
            <w:r>
              <w:rPr>
                <w:b/>
                <w:sz w:val="24"/>
              </w:rPr>
              <w:t>ребенка-мигранта</w:t>
            </w:r>
            <w:r>
              <w:rPr>
                <w:b/>
                <w:spacing w:val="-5"/>
                <w:sz w:val="24"/>
              </w:rPr>
              <w:t> </w:t>
            </w:r>
            <w:r>
              <w:rPr>
                <w:b/>
                <w:sz w:val="24"/>
              </w:rPr>
              <w:t>в</w:t>
            </w:r>
            <w:r>
              <w:rPr>
                <w:b/>
                <w:spacing w:val="-9"/>
                <w:sz w:val="24"/>
              </w:rPr>
              <w:t> </w:t>
            </w:r>
            <w:r>
              <w:rPr>
                <w:b/>
                <w:sz w:val="24"/>
              </w:rPr>
              <w:t>культуру</w:t>
            </w:r>
            <w:r>
              <w:rPr>
                <w:b/>
                <w:spacing w:val="-5"/>
                <w:sz w:val="24"/>
              </w:rPr>
              <w:t> </w:t>
            </w:r>
            <w:r>
              <w:rPr>
                <w:b/>
                <w:sz w:val="24"/>
              </w:rPr>
              <w:t>принимающего</w:t>
            </w:r>
            <w:r>
              <w:rPr>
                <w:b/>
                <w:spacing w:val="-5"/>
                <w:sz w:val="24"/>
              </w:rPr>
              <w:t> </w:t>
            </w:r>
            <w:r>
              <w:rPr>
                <w:b/>
                <w:spacing w:val="-2"/>
                <w:sz w:val="24"/>
              </w:rPr>
              <w:t>общества</w:t>
            </w:r>
          </w:p>
        </w:tc>
      </w:tr>
      <w:tr>
        <w:trPr>
          <w:trHeight w:val="1471" w:hRule="atLeast"/>
        </w:trPr>
        <w:tc>
          <w:tcPr>
            <w:tcW w:w="2357" w:type="dxa"/>
          </w:tcPr>
          <w:p>
            <w:pPr>
              <w:pStyle w:val="TableParagraph"/>
              <w:rPr>
                <w:sz w:val="24"/>
              </w:rPr>
            </w:pPr>
          </w:p>
        </w:tc>
        <w:tc>
          <w:tcPr>
            <w:tcW w:w="2220" w:type="dxa"/>
          </w:tcPr>
          <w:p>
            <w:pPr>
              <w:pStyle w:val="TableParagraph"/>
              <w:spacing w:before="61"/>
              <w:rPr>
                <w:b/>
                <w:sz w:val="24"/>
              </w:rPr>
            </w:pPr>
          </w:p>
          <w:p>
            <w:pPr>
              <w:pStyle w:val="TableParagraph"/>
              <w:spacing w:line="448" w:lineRule="auto"/>
              <w:ind w:left="662" w:right="183" w:hanging="471"/>
              <w:rPr>
                <w:b/>
                <w:sz w:val="24"/>
              </w:rPr>
            </w:pPr>
            <w:r>
              <w:rPr>
                <w:b/>
                <w:sz w:val="24"/>
              </w:rPr>
              <w:t>Младшая</w:t>
            </w:r>
            <w:r>
              <w:rPr>
                <w:b/>
                <w:spacing w:val="-15"/>
                <w:sz w:val="24"/>
              </w:rPr>
              <w:t> </w:t>
            </w:r>
            <w:r>
              <w:rPr>
                <w:b/>
                <w:sz w:val="24"/>
              </w:rPr>
              <w:t>школа (N =331)</w:t>
            </w:r>
          </w:p>
        </w:tc>
        <w:tc>
          <w:tcPr>
            <w:tcW w:w="2189" w:type="dxa"/>
          </w:tcPr>
          <w:p>
            <w:pPr>
              <w:pStyle w:val="TableParagraph"/>
              <w:spacing w:before="61"/>
              <w:rPr>
                <w:b/>
                <w:sz w:val="24"/>
              </w:rPr>
            </w:pPr>
          </w:p>
          <w:p>
            <w:pPr>
              <w:pStyle w:val="TableParagraph"/>
              <w:spacing w:line="448" w:lineRule="auto"/>
              <w:ind w:left="617" w:right="233" w:hanging="380"/>
              <w:rPr>
                <w:b/>
                <w:sz w:val="24"/>
              </w:rPr>
            </w:pPr>
            <w:r>
              <w:rPr>
                <w:b/>
                <w:sz w:val="24"/>
              </w:rPr>
              <w:t>Средняя</w:t>
            </w:r>
            <w:r>
              <w:rPr>
                <w:b/>
                <w:spacing w:val="-15"/>
                <w:sz w:val="24"/>
              </w:rPr>
              <w:t> </w:t>
            </w:r>
            <w:r>
              <w:rPr>
                <w:b/>
                <w:sz w:val="24"/>
              </w:rPr>
              <w:t>школа (N = 242)</w:t>
            </w:r>
          </w:p>
        </w:tc>
        <w:tc>
          <w:tcPr>
            <w:tcW w:w="2192" w:type="dxa"/>
          </w:tcPr>
          <w:p>
            <w:pPr>
              <w:pStyle w:val="TableParagraph"/>
              <w:spacing w:before="61"/>
              <w:rPr>
                <w:b/>
                <w:sz w:val="24"/>
              </w:rPr>
            </w:pPr>
          </w:p>
          <w:p>
            <w:pPr>
              <w:pStyle w:val="TableParagraph"/>
              <w:spacing w:line="448" w:lineRule="auto"/>
              <w:ind w:left="677" w:right="198" w:hanging="471"/>
              <w:rPr>
                <w:b/>
                <w:sz w:val="24"/>
              </w:rPr>
            </w:pPr>
            <w:r>
              <w:rPr>
                <w:b/>
                <w:sz w:val="24"/>
              </w:rPr>
              <w:t>Старшая</w:t>
            </w:r>
            <w:r>
              <w:rPr>
                <w:b/>
                <w:spacing w:val="-15"/>
                <w:sz w:val="24"/>
              </w:rPr>
              <w:t> </w:t>
            </w:r>
            <w:r>
              <w:rPr>
                <w:b/>
                <w:sz w:val="24"/>
              </w:rPr>
              <w:t>школа (N = 94)</w:t>
            </w:r>
          </w:p>
        </w:tc>
      </w:tr>
      <w:tr>
        <w:trPr>
          <w:trHeight w:val="957" w:hRule="atLeast"/>
        </w:trPr>
        <w:tc>
          <w:tcPr>
            <w:tcW w:w="2357" w:type="dxa"/>
          </w:tcPr>
          <w:p>
            <w:pPr>
              <w:pStyle w:val="TableParagraph"/>
              <w:spacing w:before="56"/>
              <w:rPr>
                <w:b/>
                <w:sz w:val="24"/>
              </w:rPr>
            </w:pPr>
          </w:p>
          <w:p>
            <w:pPr>
              <w:pStyle w:val="TableParagraph"/>
              <w:ind w:left="100"/>
              <w:rPr>
                <w:sz w:val="24"/>
              </w:rPr>
            </w:pPr>
            <w:r>
              <w:rPr>
                <w:sz w:val="24"/>
              </w:rPr>
              <w:t>Группа</w:t>
            </w:r>
            <w:r>
              <w:rPr>
                <w:spacing w:val="-7"/>
                <w:sz w:val="24"/>
              </w:rPr>
              <w:t> </w:t>
            </w:r>
            <w:r>
              <w:rPr>
                <w:spacing w:val="-2"/>
                <w:sz w:val="24"/>
              </w:rPr>
              <w:t>риска</w:t>
            </w:r>
          </w:p>
        </w:tc>
        <w:tc>
          <w:tcPr>
            <w:tcW w:w="2220" w:type="dxa"/>
          </w:tcPr>
          <w:p>
            <w:pPr>
              <w:pStyle w:val="TableParagraph"/>
              <w:spacing w:before="56"/>
              <w:rPr>
                <w:b/>
                <w:sz w:val="24"/>
              </w:rPr>
            </w:pPr>
          </w:p>
          <w:p>
            <w:pPr>
              <w:pStyle w:val="TableParagraph"/>
              <w:ind w:left="7"/>
              <w:jc w:val="center"/>
              <w:rPr>
                <w:sz w:val="24"/>
              </w:rPr>
            </w:pPr>
            <w:r>
              <w:rPr>
                <w:sz w:val="24"/>
              </w:rPr>
              <w:t>&lt;</w:t>
            </w:r>
            <w:r>
              <w:rPr>
                <w:spacing w:val="-1"/>
                <w:sz w:val="24"/>
              </w:rPr>
              <w:t> </w:t>
            </w:r>
            <w:r>
              <w:rPr>
                <w:spacing w:val="-4"/>
                <w:sz w:val="24"/>
              </w:rPr>
              <w:t>0,25</w:t>
            </w:r>
          </w:p>
        </w:tc>
        <w:tc>
          <w:tcPr>
            <w:tcW w:w="2189" w:type="dxa"/>
          </w:tcPr>
          <w:p>
            <w:pPr>
              <w:pStyle w:val="TableParagraph"/>
              <w:spacing w:before="56"/>
              <w:rPr>
                <w:b/>
                <w:sz w:val="24"/>
              </w:rPr>
            </w:pPr>
          </w:p>
          <w:p>
            <w:pPr>
              <w:pStyle w:val="TableParagraph"/>
              <w:ind w:left="8" w:right="2"/>
              <w:jc w:val="center"/>
              <w:rPr>
                <w:sz w:val="24"/>
              </w:rPr>
            </w:pPr>
            <w:r>
              <w:rPr>
                <w:sz w:val="24"/>
              </w:rPr>
              <w:t>&lt;</w:t>
            </w:r>
            <w:r>
              <w:rPr>
                <w:spacing w:val="-1"/>
                <w:sz w:val="24"/>
              </w:rPr>
              <w:t> </w:t>
            </w:r>
            <w:r>
              <w:rPr>
                <w:spacing w:val="-4"/>
                <w:sz w:val="24"/>
              </w:rPr>
              <w:t>0,43</w:t>
            </w:r>
          </w:p>
        </w:tc>
        <w:tc>
          <w:tcPr>
            <w:tcW w:w="2192" w:type="dxa"/>
          </w:tcPr>
          <w:p>
            <w:pPr>
              <w:pStyle w:val="TableParagraph"/>
              <w:spacing w:before="56"/>
              <w:rPr>
                <w:b/>
                <w:sz w:val="24"/>
              </w:rPr>
            </w:pPr>
          </w:p>
          <w:p>
            <w:pPr>
              <w:pStyle w:val="TableParagraph"/>
              <w:ind w:left="6" w:right="3"/>
              <w:jc w:val="center"/>
              <w:rPr>
                <w:sz w:val="24"/>
              </w:rPr>
            </w:pPr>
            <w:r>
              <w:rPr>
                <w:sz w:val="24"/>
              </w:rPr>
              <w:t>&lt;</w:t>
            </w:r>
            <w:r>
              <w:rPr>
                <w:spacing w:val="-1"/>
                <w:sz w:val="24"/>
              </w:rPr>
              <w:t> </w:t>
            </w:r>
            <w:r>
              <w:rPr>
                <w:spacing w:val="-5"/>
                <w:sz w:val="24"/>
              </w:rPr>
              <w:t>0,5</w:t>
            </w:r>
          </w:p>
        </w:tc>
      </w:tr>
    </w:tbl>
    <w:p>
      <w:pPr>
        <w:pStyle w:val="TableParagraph"/>
        <w:spacing w:after="0"/>
        <w:jc w:val="center"/>
        <w:rPr>
          <w:sz w:val="24"/>
        </w:rPr>
        <w:sectPr>
          <w:pgSz w:w="11910" w:h="16840"/>
          <w:pgMar w:header="0" w:footer="970" w:top="1040" w:bottom="1220" w:left="1417" w:right="283"/>
        </w:sect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57"/>
        <w:gridCol w:w="2220"/>
        <w:gridCol w:w="2189"/>
        <w:gridCol w:w="2192"/>
      </w:tblGrid>
      <w:tr>
        <w:trPr>
          <w:trHeight w:val="957" w:hRule="atLeast"/>
        </w:trPr>
        <w:tc>
          <w:tcPr>
            <w:tcW w:w="2357" w:type="dxa"/>
          </w:tcPr>
          <w:p>
            <w:pPr>
              <w:pStyle w:val="TableParagraph"/>
              <w:spacing w:before="56"/>
              <w:rPr>
                <w:b/>
                <w:sz w:val="24"/>
              </w:rPr>
            </w:pPr>
          </w:p>
          <w:p>
            <w:pPr>
              <w:pStyle w:val="TableParagraph"/>
              <w:spacing w:before="1"/>
              <w:ind w:left="100"/>
              <w:rPr>
                <w:sz w:val="24"/>
              </w:rPr>
            </w:pPr>
            <w:r>
              <w:rPr>
                <w:sz w:val="24"/>
              </w:rPr>
              <w:t>Пограничная</w:t>
            </w:r>
            <w:r>
              <w:rPr>
                <w:spacing w:val="-4"/>
                <w:sz w:val="24"/>
              </w:rPr>
              <w:t> </w:t>
            </w:r>
            <w:r>
              <w:rPr>
                <w:spacing w:val="-2"/>
                <w:sz w:val="24"/>
              </w:rPr>
              <w:t>группа</w:t>
            </w:r>
          </w:p>
        </w:tc>
        <w:tc>
          <w:tcPr>
            <w:tcW w:w="2220" w:type="dxa"/>
          </w:tcPr>
          <w:p>
            <w:pPr>
              <w:pStyle w:val="TableParagraph"/>
              <w:spacing w:before="56"/>
              <w:rPr>
                <w:b/>
                <w:sz w:val="24"/>
              </w:rPr>
            </w:pPr>
          </w:p>
          <w:p>
            <w:pPr>
              <w:pStyle w:val="TableParagraph"/>
              <w:spacing w:before="1"/>
              <w:ind w:left="7"/>
              <w:jc w:val="center"/>
              <w:rPr>
                <w:sz w:val="24"/>
              </w:rPr>
            </w:pPr>
            <w:r>
              <w:rPr>
                <w:sz w:val="24"/>
              </w:rPr>
              <w:t>0,25 – </w:t>
            </w:r>
            <w:r>
              <w:rPr>
                <w:spacing w:val="-5"/>
                <w:sz w:val="24"/>
              </w:rPr>
              <w:t>0,5</w:t>
            </w:r>
          </w:p>
        </w:tc>
        <w:tc>
          <w:tcPr>
            <w:tcW w:w="2189" w:type="dxa"/>
          </w:tcPr>
          <w:p>
            <w:pPr>
              <w:pStyle w:val="TableParagraph"/>
              <w:spacing w:before="56"/>
              <w:rPr>
                <w:b/>
                <w:sz w:val="24"/>
              </w:rPr>
            </w:pPr>
          </w:p>
          <w:p>
            <w:pPr>
              <w:pStyle w:val="TableParagraph"/>
              <w:spacing w:before="1"/>
              <w:ind w:left="8"/>
              <w:jc w:val="center"/>
              <w:rPr>
                <w:sz w:val="24"/>
              </w:rPr>
            </w:pPr>
            <w:r>
              <w:rPr>
                <w:sz w:val="24"/>
              </w:rPr>
              <w:t>0,43 -</w:t>
            </w:r>
            <w:r>
              <w:rPr>
                <w:spacing w:val="-1"/>
                <w:sz w:val="24"/>
              </w:rPr>
              <w:t> </w:t>
            </w:r>
            <w:r>
              <w:rPr>
                <w:spacing w:val="-4"/>
                <w:sz w:val="24"/>
              </w:rPr>
              <w:t>0,86</w:t>
            </w:r>
          </w:p>
        </w:tc>
        <w:tc>
          <w:tcPr>
            <w:tcW w:w="2192" w:type="dxa"/>
          </w:tcPr>
          <w:p>
            <w:pPr>
              <w:pStyle w:val="TableParagraph"/>
              <w:spacing w:before="56"/>
              <w:rPr>
                <w:b/>
                <w:sz w:val="24"/>
              </w:rPr>
            </w:pPr>
          </w:p>
          <w:p>
            <w:pPr>
              <w:pStyle w:val="TableParagraph"/>
              <w:spacing w:before="1"/>
              <w:ind w:left="6"/>
              <w:jc w:val="center"/>
              <w:rPr>
                <w:sz w:val="24"/>
              </w:rPr>
            </w:pPr>
            <w:r>
              <w:rPr>
                <w:sz w:val="24"/>
              </w:rPr>
              <w:t>0,5 -</w:t>
            </w:r>
            <w:r>
              <w:rPr>
                <w:spacing w:val="-1"/>
                <w:sz w:val="24"/>
              </w:rPr>
              <w:t> </w:t>
            </w:r>
            <w:r>
              <w:rPr>
                <w:spacing w:val="-4"/>
                <w:sz w:val="24"/>
              </w:rPr>
              <w:t>0,79</w:t>
            </w:r>
          </w:p>
        </w:tc>
      </w:tr>
      <w:tr>
        <w:trPr>
          <w:trHeight w:val="957" w:hRule="atLeast"/>
        </w:trPr>
        <w:tc>
          <w:tcPr>
            <w:tcW w:w="2357" w:type="dxa"/>
          </w:tcPr>
          <w:p>
            <w:pPr>
              <w:pStyle w:val="TableParagraph"/>
              <w:spacing w:before="56"/>
              <w:rPr>
                <w:b/>
                <w:sz w:val="24"/>
              </w:rPr>
            </w:pPr>
          </w:p>
          <w:p>
            <w:pPr>
              <w:pStyle w:val="TableParagraph"/>
              <w:ind w:left="100"/>
              <w:rPr>
                <w:sz w:val="24"/>
              </w:rPr>
            </w:pPr>
            <w:r>
              <w:rPr>
                <w:spacing w:val="-2"/>
                <w:sz w:val="24"/>
              </w:rPr>
              <w:t>Норма</w:t>
            </w:r>
          </w:p>
        </w:tc>
        <w:tc>
          <w:tcPr>
            <w:tcW w:w="2220" w:type="dxa"/>
          </w:tcPr>
          <w:p>
            <w:pPr>
              <w:pStyle w:val="TableParagraph"/>
              <w:spacing w:before="56"/>
              <w:rPr>
                <w:b/>
                <w:sz w:val="24"/>
              </w:rPr>
            </w:pPr>
          </w:p>
          <w:p>
            <w:pPr>
              <w:pStyle w:val="TableParagraph"/>
              <w:ind w:left="7"/>
              <w:jc w:val="center"/>
              <w:rPr>
                <w:sz w:val="24"/>
              </w:rPr>
            </w:pPr>
            <w:r>
              <w:rPr>
                <w:sz w:val="24"/>
              </w:rPr>
              <w:t>&gt;</w:t>
            </w:r>
            <w:r>
              <w:rPr>
                <w:spacing w:val="-1"/>
                <w:sz w:val="24"/>
              </w:rPr>
              <w:t> </w:t>
            </w:r>
            <w:r>
              <w:rPr>
                <w:spacing w:val="-5"/>
                <w:sz w:val="24"/>
              </w:rPr>
              <w:t>0,5</w:t>
            </w:r>
          </w:p>
        </w:tc>
        <w:tc>
          <w:tcPr>
            <w:tcW w:w="2189" w:type="dxa"/>
          </w:tcPr>
          <w:p>
            <w:pPr>
              <w:pStyle w:val="TableParagraph"/>
              <w:spacing w:before="56"/>
              <w:rPr>
                <w:b/>
                <w:sz w:val="24"/>
              </w:rPr>
            </w:pPr>
          </w:p>
          <w:p>
            <w:pPr>
              <w:pStyle w:val="TableParagraph"/>
              <w:ind w:left="8"/>
              <w:jc w:val="center"/>
              <w:rPr>
                <w:sz w:val="24"/>
              </w:rPr>
            </w:pPr>
            <w:r>
              <w:rPr>
                <w:sz w:val="24"/>
              </w:rPr>
              <w:t>&gt;</w:t>
            </w:r>
            <w:r>
              <w:rPr>
                <w:spacing w:val="-1"/>
                <w:sz w:val="24"/>
              </w:rPr>
              <w:t> </w:t>
            </w:r>
            <w:r>
              <w:rPr>
                <w:sz w:val="24"/>
              </w:rPr>
              <w:t>0, </w:t>
            </w:r>
            <w:r>
              <w:rPr>
                <w:spacing w:val="-5"/>
                <w:sz w:val="24"/>
              </w:rPr>
              <w:t>86</w:t>
            </w:r>
          </w:p>
        </w:tc>
        <w:tc>
          <w:tcPr>
            <w:tcW w:w="2192" w:type="dxa"/>
          </w:tcPr>
          <w:p>
            <w:pPr>
              <w:pStyle w:val="TableParagraph"/>
              <w:spacing w:before="56"/>
              <w:rPr>
                <w:b/>
                <w:sz w:val="24"/>
              </w:rPr>
            </w:pPr>
          </w:p>
          <w:p>
            <w:pPr>
              <w:pStyle w:val="TableParagraph"/>
              <w:ind w:left="6" w:right="3"/>
              <w:jc w:val="center"/>
              <w:rPr>
                <w:sz w:val="24"/>
              </w:rPr>
            </w:pPr>
            <w:r>
              <w:rPr>
                <w:sz w:val="24"/>
              </w:rPr>
              <w:t>&gt;</w:t>
            </w:r>
            <w:r>
              <w:rPr>
                <w:spacing w:val="-1"/>
                <w:sz w:val="24"/>
              </w:rPr>
              <w:t> </w:t>
            </w:r>
            <w:r>
              <w:rPr>
                <w:spacing w:val="-4"/>
                <w:sz w:val="24"/>
              </w:rPr>
              <w:t>0,79</w:t>
            </w:r>
          </w:p>
        </w:tc>
      </w:tr>
    </w:tbl>
    <w:p>
      <w:pPr>
        <w:spacing w:before="246"/>
        <w:ind w:left="285" w:right="568" w:firstLine="0"/>
        <w:jc w:val="both"/>
        <w:rPr>
          <w:sz w:val="24"/>
        </w:rPr>
      </w:pPr>
      <w:r>
        <w:rPr>
          <w:i/>
          <w:sz w:val="24"/>
        </w:rPr>
        <w:t>Примечание</w:t>
      </w:r>
      <w:r>
        <w:rPr>
          <w:sz w:val="24"/>
        </w:rPr>
        <w:t>. Значимых гендерных различий не выявлено, в связи с чем оценка производится без учета пола ребенка (t-критерий Стьюдента для независимых выборок).</w:t>
      </w:r>
    </w:p>
    <w:p>
      <w:pPr>
        <w:pStyle w:val="BodyText"/>
        <w:ind w:left="0" w:right="0" w:firstLine="0"/>
        <w:jc w:val="left"/>
        <w:rPr>
          <w:sz w:val="24"/>
        </w:rPr>
      </w:pPr>
    </w:p>
    <w:p>
      <w:pPr>
        <w:pStyle w:val="BodyText"/>
        <w:spacing w:before="259"/>
        <w:ind w:left="0" w:right="0" w:firstLine="0"/>
        <w:jc w:val="left"/>
        <w:rPr>
          <w:sz w:val="24"/>
        </w:rPr>
      </w:pPr>
    </w:p>
    <w:p>
      <w:pPr>
        <w:pStyle w:val="Heading3"/>
        <w:spacing w:before="0"/>
      </w:pPr>
      <w:r>
        <w:rPr/>
        <w:t>Психометрические</w:t>
      </w:r>
      <w:r>
        <w:rPr>
          <w:spacing w:val="-8"/>
        </w:rPr>
        <w:t> </w:t>
      </w:r>
      <w:r>
        <w:rPr/>
        <w:t>характеристики</w:t>
      </w:r>
      <w:r>
        <w:rPr>
          <w:spacing w:val="-9"/>
        </w:rPr>
        <w:t> </w:t>
      </w:r>
      <w:r>
        <w:rPr/>
        <w:t>методики</w:t>
      </w:r>
      <w:r>
        <w:rPr>
          <w:spacing w:val="-6"/>
        </w:rPr>
        <w:t> </w:t>
      </w:r>
      <w:r>
        <w:rPr/>
        <w:t>и</w:t>
      </w:r>
      <w:r>
        <w:rPr>
          <w:spacing w:val="-7"/>
        </w:rPr>
        <w:t> </w:t>
      </w:r>
      <w:r>
        <w:rPr/>
        <w:t>процесс</w:t>
      </w:r>
      <w:r>
        <w:rPr>
          <w:spacing w:val="-6"/>
        </w:rPr>
        <w:t> </w:t>
      </w:r>
      <w:r>
        <w:rPr/>
        <w:t>ее</w:t>
      </w:r>
      <w:r>
        <w:rPr>
          <w:spacing w:val="-5"/>
        </w:rPr>
        <w:t> </w:t>
      </w:r>
      <w:r>
        <w:rPr>
          <w:spacing w:val="-2"/>
        </w:rPr>
        <w:t>разработки</w:t>
      </w:r>
    </w:p>
    <w:p>
      <w:pPr>
        <w:pStyle w:val="Heading4"/>
        <w:spacing w:before="232"/>
        <w:ind w:right="564"/>
      </w:pPr>
      <w:r>
        <w:rPr/>
        <w:t>Методика была разработана посредством интегративного анализа распространенных в настоящее время в международной практике специальных инструментов измерения аккультурации у детей и подростков, применяющихся в разных культурных средах:</w:t>
      </w:r>
    </w:p>
    <w:p>
      <w:pPr>
        <w:pStyle w:val="ListParagraph"/>
        <w:numPr>
          <w:ilvl w:val="0"/>
          <w:numId w:val="30"/>
        </w:numPr>
        <w:tabs>
          <w:tab w:pos="1333" w:val="left" w:leader="none"/>
        </w:tabs>
        <w:spacing w:line="240" w:lineRule="auto" w:before="1" w:after="0"/>
        <w:ind w:left="424" w:right="562" w:firstLine="0"/>
        <w:jc w:val="left"/>
        <w:rPr>
          <w:sz w:val="28"/>
        </w:rPr>
      </w:pPr>
      <w:r>
        <w:rPr>
          <w:sz w:val="28"/>
        </w:rPr>
        <w:t>Acculturation questionnaires for children (</w:t>
      </w:r>
      <w:r>
        <w:rPr>
          <w:i/>
          <w:sz w:val="28"/>
        </w:rPr>
        <w:t>Van de Vijver, Helms-Lorenz, Feltzer, </w:t>
      </w:r>
      <w:r>
        <w:rPr>
          <w:sz w:val="28"/>
        </w:rPr>
        <w:t>1999)</w:t>
      </w:r>
    </w:p>
    <w:p>
      <w:pPr>
        <w:pStyle w:val="Heading4"/>
        <w:numPr>
          <w:ilvl w:val="0"/>
          <w:numId w:val="30"/>
        </w:numPr>
        <w:tabs>
          <w:tab w:pos="1141" w:val="left" w:leader="none"/>
        </w:tabs>
        <w:spacing w:line="240" w:lineRule="auto" w:before="0" w:after="0"/>
        <w:ind w:left="424" w:right="560" w:firstLine="0"/>
        <w:jc w:val="left"/>
      </w:pPr>
      <w:r>
        <w:rPr/>
        <w:t>Acculturation scale</w:t>
      </w:r>
      <w:r>
        <w:rPr>
          <w:spacing w:val="-1"/>
        </w:rPr>
        <w:t> </w:t>
      </w:r>
      <w:r>
        <w:rPr/>
        <w:t>for</w:t>
      </w:r>
      <w:r>
        <w:rPr>
          <w:spacing w:val="-1"/>
        </w:rPr>
        <w:t> </w:t>
      </w:r>
      <w:r>
        <w:rPr/>
        <w:t>China’s rural</w:t>
      </w:r>
      <w:r>
        <w:rPr>
          <w:spacing w:val="-2"/>
        </w:rPr>
        <w:t> </w:t>
      </w:r>
      <w:r>
        <w:rPr/>
        <w:t>to urban migrant children (</w:t>
      </w:r>
      <w:r>
        <w:rPr>
          <w:i/>
        </w:rPr>
        <w:t>Fang </w:t>
      </w:r>
      <w:r>
        <w:rPr/>
        <w:t>et al., </w:t>
      </w:r>
      <w:r>
        <w:rPr>
          <w:spacing w:val="-2"/>
        </w:rPr>
        <w:t>2017)</w:t>
      </w:r>
    </w:p>
    <w:p>
      <w:pPr>
        <w:pStyle w:val="Heading4"/>
        <w:numPr>
          <w:ilvl w:val="0"/>
          <w:numId w:val="30"/>
        </w:numPr>
        <w:tabs>
          <w:tab w:pos="1120" w:val="left" w:leader="none"/>
        </w:tabs>
        <w:spacing w:line="321" w:lineRule="exact" w:before="0" w:after="0"/>
        <w:ind w:left="1120" w:right="0" w:hanging="696"/>
        <w:jc w:val="left"/>
      </w:pPr>
      <w:r>
        <w:rPr/>
        <w:t>Acculturation</w:t>
      </w:r>
      <w:r>
        <w:rPr>
          <w:spacing w:val="-10"/>
        </w:rPr>
        <w:t> </w:t>
      </w:r>
      <w:r>
        <w:rPr/>
        <w:t>Scale</w:t>
      </w:r>
      <w:r>
        <w:rPr>
          <w:spacing w:val="-7"/>
        </w:rPr>
        <w:t> </w:t>
      </w:r>
      <w:r>
        <w:rPr/>
        <w:t>for</w:t>
      </w:r>
      <w:r>
        <w:rPr>
          <w:spacing w:val="-6"/>
        </w:rPr>
        <w:t> </w:t>
      </w:r>
      <w:r>
        <w:rPr/>
        <w:t>Mexican-American</w:t>
      </w:r>
      <w:r>
        <w:rPr>
          <w:spacing w:val="-6"/>
        </w:rPr>
        <w:t> </w:t>
      </w:r>
      <w:r>
        <w:rPr/>
        <w:t>Children</w:t>
      </w:r>
      <w:r>
        <w:rPr>
          <w:spacing w:val="-6"/>
        </w:rPr>
        <w:t> </w:t>
      </w:r>
      <w:r>
        <w:rPr/>
        <w:t>(</w:t>
      </w:r>
      <w:r>
        <w:rPr>
          <w:i/>
        </w:rPr>
        <w:t>Franco</w:t>
      </w:r>
      <w:r>
        <w:rPr/>
        <w:t>,</w:t>
      </w:r>
      <w:r>
        <w:rPr>
          <w:spacing w:val="-10"/>
        </w:rPr>
        <w:t> </w:t>
      </w:r>
      <w:r>
        <w:rPr>
          <w:spacing w:val="-2"/>
        </w:rPr>
        <w:t>1983)</w:t>
      </w:r>
    </w:p>
    <w:p>
      <w:pPr>
        <w:pStyle w:val="Heading4"/>
        <w:numPr>
          <w:ilvl w:val="0"/>
          <w:numId w:val="30"/>
        </w:numPr>
        <w:tabs>
          <w:tab w:pos="1091" w:val="left" w:leader="none"/>
        </w:tabs>
        <w:spacing w:line="322" w:lineRule="exact" w:before="0" w:after="0"/>
        <w:ind w:left="1091" w:right="0" w:hanging="667"/>
        <w:jc w:val="left"/>
        <w:rPr>
          <w:i/>
        </w:rPr>
      </w:pPr>
      <w:r>
        <w:rPr/>
        <w:t>Acculturation</w:t>
      </w:r>
      <w:r>
        <w:rPr>
          <w:spacing w:val="-12"/>
        </w:rPr>
        <w:t> </w:t>
      </w:r>
      <w:r>
        <w:rPr/>
        <w:t>Scale</w:t>
      </w:r>
      <w:r>
        <w:rPr>
          <w:spacing w:val="-9"/>
        </w:rPr>
        <w:t> </w:t>
      </w:r>
      <w:r>
        <w:rPr/>
        <w:t>for</w:t>
      </w:r>
      <w:r>
        <w:rPr>
          <w:spacing w:val="-12"/>
        </w:rPr>
        <w:t> </w:t>
      </w:r>
      <w:r>
        <w:rPr/>
        <w:t>Vietnamese</w:t>
      </w:r>
      <w:r>
        <w:rPr>
          <w:spacing w:val="-12"/>
        </w:rPr>
        <w:t> </w:t>
      </w:r>
      <w:r>
        <w:rPr/>
        <w:t>Adolescents</w:t>
      </w:r>
      <w:r>
        <w:rPr>
          <w:spacing w:val="-11"/>
        </w:rPr>
        <w:t> </w:t>
      </w:r>
      <w:r>
        <w:rPr/>
        <w:t>(ASVA)</w:t>
      </w:r>
      <w:r>
        <w:rPr>
          <w:spacing w:val="-9"/>
        </w:rPr>
        <w:t> </w:t>
      </w:r>
      <w:r>
        <w:rPr/>
        <w:t>(</w:t>
      </w:r>
      <w:r>
        <w:rPr>
          <w:i/>
        </w:rPr>
        <w:t>Nguyen</w:t>
      </w:r>
      <w:r>
        <w:rPr/>
        <w:t>,</w:t>
      </w:r>
      <w:r>
        <w:rPr>
          <w:spacing w:val="-12"/>
        </w:rPr>
        <w:t> </w:t>
      </w:r>
      <w:r>
        <w:rPr>
          <w:i/>
        </w:rPr>
        <w:t>von</w:t>
      </w:r>
      <w:r>
        <w:rPr>
          <w:i/>
          <w:spacing w:val="-11"/>
        </w:rPr>
        <w:t> </w:t>
      </w:r>
      <w:r>
        <w:rPr>
          <w:i/>
          <w:spacing w:val="-4"/>
        </w:rPr>
        <w:t>Eye,</w:t>
      </w:r>
    </w:p>
    <w:p>
      <w:pPr>
        <w:pStyle w:val="Heading4"/>
        <w:ind w:left="424"/>
        <w:jc w:val="left"/>
      </w:pPr>
      <w:r>
        <w:rPr>
          <w:spacing w:val="-2"/>
        </w:rPr>
        <w:t>2002)</w:t>
      </w:r>
    </w:p>
    <w:p>
      <w:pPr>
        <w:pStyle w:val="Heading4"/>
        <w:numPr>
          <w:ilvl w:val="0"/>
          <w:numId w:val="30"/>
        </w:numPr>
        <w:tabs>
          <w:tab w:pos="1374" w:val="left" w:leader="none"/>
        </w:tabs>
        <w:spacing w:line="240" w:lineRule="auto" w:before="1" w:after="0"/>
        <w:ind w:left="424" w:right="570" w:firstLine="0"/>
        <w:jc w:val="left"/>
      </w:pPr>
      <w:r>
        <w:rPr/>
        <w:t>Acculturation, Habits, and Interests Multicultural Scale for Adolescents (AHIMSA) (</w:t>
      </w:r>
      <w:r>
        <w:rPr>
          <w:i/>
        </w:rPr>
        <w:t>Unger </w:t>
      </w:r>
      <w:r>
        <w:rPr/>
        <w:t>et al., 2002)</w:t>
      </w:r>
    </w:p>
    <w:p>
      <w:pPr>
        <w:pStyle w:val="Heading4"/>
        <w:numPr>
          <w:ilvl w:val="0"/>
          <w:numId w:val="30"/>
        </w:numPr>
        <w:tabs>
          <w:tab w:pos="1120" w:val="left" w:leader="none"/>
        </w:tabs>
        <w:spacing w:line="321" w:lineRule="exact" w:before="0" w:after="0"/>
        <w:ind w:left="1120" w:right="0" w:hanging="696"/>
        <w:jc w:val="left"/>
      </w:pPr>
      <w:r>
        <w:rPr/>
        <w:t>Bicultural</w:t>
      </w:r>
      <w:r>
        <w:rPr>
          <w:spacing w:val="-8"/>
        </w:rPr>
        <w:t> </w:t>
      </w:r>
      <w:r>
        <w:rPr/>
        <w:t>Youth</w:t>
      </w:r>
      <w:r>
        <w:rPr>
          <w:spacing w:val="-7"/>
        </w:rPr>
        <w:t> </w:t>
      </w:r>
      <w:r>
        <w:rPr/>
        <w:t>Acculturation</w:t>
      </w:r>
      <w:r>
        <w:rPr>
          <w:spacing w:val="-7"/>
        </w:rPr>
        <w:t> </w:t>
      </w:r>
      <w:r>
        <w:rPr/>
        <w:t>Questionnaire</w:t>
      </w:r>
      <w:r>
        <w:rPr>
          <w:spacing w:val="-8"/>
        </w:rPr>
        <w:t> </w:t>
      </w:r>
      <w:r>
        <w:rPr/>
        <w:t>(</w:t>
      </w:r>
      <w:r>
        <w:rPr>
          <w:i/>
        </w:rPr>
        <w:t>Kukaswadia</w:t>
      </w:r>
      <w:r>
        <w:rPr>
          <w:i/>
          <w:spacing w:val="-7"/>
        </w:rPr>
        <w:t> </w:t>
      </w:r>
      <w:r>
        <w:rPr/>
        <w:t>et</w:t>
      </w:r>
      <w:r>
        <w:rPr>
          <w:spacing w:val="-7"/>
        </w:rPr>
        <w:t> </w:t>
      </w:r>
      <w:r>
        <w:rPr/>
        <w:t>al.,</w:t>
      </w:r>
      <w:r>
        <w:rPr>
          <w:spacing w:val="-8"/>
        </w:rPr>
        <w:t> </w:t>
      </w:r>
      <w:r>
        <w:rPr>
          <w:spacing w:val="-2"/>
        </w:rPr>
        <w:t>2016)</w:t>
      </w:r>
    </w:p>
    <w:p>
      <w:pPr>
        <w:pStyle w:val="Heading4"/>
        <w:numPr>
          <w:ilvl w:val="0"/>
          <w:numId w:val="30"/>
        </w:numPr>
        <w:tabs>
          <w:tab w:pos="1252" w:val="left" w:leader="none"/>
        </w:tabs>
        <w:spacing w:line="240" w:lineRule="auto" w:before="0" w:after="0"/>
        <w:ind w:left="424" w:right="560" w:firstLine="0"/>
        <w:jc w:val="left"/>
      </w:pPr>
      <w:r>
        <w:rPr/>
        <w:t>Brief Acculturation Rating Scale for Mexican Americans–II (ARSMA-II) (</w:t>
      </w:r>
      <w:r>
        <w:rPr>
          <w:i/>
        </w:rPr>
        <w:t>Bauman</w:t>
      </w:r>
      <w:r>
        <w:rPr/>
        <w:t>, 2005)</w:t>
      </w:r>
    </w:p>
    <w:p>
      <w:pPr>
        <w:pStyle w:val="ListParagraph"/>
        <w:numPr>
          <w:ilvl w:val="0"/>
          <w:numId w:val="30"/>
        </w:numPr>
        <w:tabs>
          <w:tab w:pos="1460" w:val="left" w:leader="none"/>
        </w:tabs>
        <w:spacing w:line="242" w:lineRule="auto" w:before="0" w:after="0"/>
        <w:ind w:left="424" w:right="561" w:firstLine="0"/>
        <w:jc w:val="left"/>
        <w:rPr>
          <w:sz w:val="28"/>
        </w:rPr>
      </w:pPr>
      <w:r>
        <w:rPr>
          <w:sz w:val="28"/>
        </w:rPr>
        <w:t>Frankfurt</w:t>
      </w:r>
      <w:r>
        <w:rPr>
          <w:spacing w:val="34"/>
          <w:sz w:val="28"/>
        </w:rPr>
        <w:t> </w:t>
      </w:r>
      <w:r>
        <w:rPr>
          <w:sz w:val="28"/>
        </w:rPr>
        <w:t>Acculturation</w:t>
      </w:r>
      <w:r>
        <w:rPr>
          <w:spacing w:val="34"/>
          <w:sz w:val="28"/>
        </w:rPr>
        <w:t> </w:t>
      </w:r>
      <w:r>
        <w:rPr>
          <w:sz w:val="28"/>
        </w:rPr>
        <w:t>Scale</w:t>
      </w:r>
      <w:r>
        <w:rPr>
          <w:spacing w:val="34"/>
          <w:sz w:val="28"/>
        </w:rPr>
        <w:t> </w:t>
      </w:r>
      <w:r>
        <w:rPr>
          <w:sz w:val="28"/>
        </w:rPr>
        <w:t>for</w:t>
      </w:r>
      <w:r>
        <w:rPr>
          <w:spacing w:val="34"/>
          <w:sz w:val="28"/>
        </w:rPr>
        <w:t> </w:t>
      </w:r>
      <w:r>
        <w:rPr>
          <w:sz w:val="28"/>
        </w:rPr>
        <w:t>Children</w:t>
      </w:r>
      <w:r>
        <w:rPr>
          <w:spacing w:val="34"/>
          <w:sz w:val="28"/>
        </w:rPr>
        <w:t> </w:t>
      </w:r>
      <w:r>
        <w:rPr>
          <w:sz w:val="28"/>
        </w:rPr>
        <w:t>(FRACC-C)</w:t>
      </w:r>
      <w:r>
        <w:rPr>
          <w:spacing w:val="34"/>
          <w:sz w:val="28"/>
        </w:rPr>
        <w:t> </w:t>
      </w:r>
      <w:r>
        <w:rPr>
          <w:i/>
          <w:sz w:val="28"/>
        </w:rPr>
        <w:t>(Frankenberg, Bongard, </w:t>
      </w:r>
      <w:r>
        <w:rPr>
          <w:sz w:val="28"/>
        </w:rPr>
        <w:t>2013)</w:t>
      </w:r>
    </w:p>
    <w:p>
      <w:pPr>
        <w:pStyle w:val="Heading4"/>
        <w:numPr>
          <w:ilvl w:val="0"/>
          <w:numId w:val="30"/>
        </w:numPr>
        <w:tabs>
          <w:tab w:pos="1108" w:val="left" w:leader="none"/>
        </w:tabs>
        <w:spacing w:line="240" w:lineRule="auto" w:before="0" w:after="0"/>
        <w:ind w:left="424" w:right="566" w:firstLine="0"/>
        <w:jc w:val="left"/>
      </w:pPr>
      <w:r>
        <w:rPr/>
        <w:t>Societal,</w:t>
      </w:r>
      <w:r>
        <w:rPr>
          <w:spacing w:val="-8"/>
        </w:rPr>
        <w:t> </w:t>
      </w:r>
      <w:r>
        <w:rPr/>
        <w:t>Attitudinal,</w:t>
      </w:r>
      <w:r>
        <w:rPr>
          <w:spacing w:val="-8"/>
        </w:rPr>
        <w:t> </w:t>
      </w:r>
      <w:r>
        <w:rPr/>
        <w:t>Familial</w:t>
      </w:r>
      <w:r>
        <w:rPr>
          <w:spacing w:val="-7"/>
        </w:rPr>
        <w:t> </w:t>
      </w:r>
      <w:r>
        <w:rPr/>
        <w:t>and</w:t>
      </w:r>
      <w:r>
        <w:rPr>
          <w:spacing w:val="-7"/>
        </w:rPr>
        <w:t> </w:t>
      </w:r>
      <w:r>
        <w:rPr/>
        <w:t>Environmental</w:t>
      </w:r>
      <w:r>
        <w:rPr>
          <w:spacing w:val="-7"/>
        </w:rPr>
        <w:t> </w:t>
      </w:r>
      <w:r>
        <w:rPr/>
        <w:t>Acculturative</w:t>
      </w:r>
      <w:r>
        <w:rPr>
          <w:spacing w:val="-7"/>
        </w:rPr>
        <w:t> </w:t>
      </w:r>
      <w:r>
        <w:rPr/>
        <w:t>Stress</w:t>
      </w:r>
      <w:r>
        <w:rPr>
          <w:spacing w:val="-7"/>
        </w:rPr>
        <w:t> </w:t>
      </w:r>
      <w:r>
        <w:rPr/>
        <w:t>Scale (SAFE) (</w:t>
      </w:r>
      <w:r>
        <w:rPr>
          <w:i/>
        </w:rPr>
        <w:t>Chavez </w:t>
      </w:r>
      <w:r>
        <w:rPr/>
        <w:t>et al., 1997)</w:t>
      </w:r>
    </w:p>
    <w:p>
      <w:pPr>
        <w:pStyle w:val="Heading4"/>
        <w:spacing w:before="235"/>
        <w:ind w:right="569"/>
        <w:jc w:val="left"/>
      </w:pPr>
      <w:r>
        <w:rPr/>
        <w:t>В результате обобщения всех параметров, измеряемых в данных опросниках, были выделены четыре сферы аккультурации:</w:t>
      </w:r>
    </w:p>
    <w:p>
      <w:pPr>
        <w:pStyle w:val="Heading4"/>
        <w:spacing w:before="239"/>
        <w:ind w:right="560"/>
      </w:pPr>
      <w:r>
        <w:rPr>
          <w:b/>
        </w:rPr>
        <w:t>А. </w:t>
      </w:r>
      <w:r>
        <w:rPr/>
        <w:t>Сфера языкового поведения, в которую включены измерения, как ребенок использует родной язык и язык принимающего общества для разных задач: повседневной коммуникации (онлайн и офлайн), мышления, потребления разного рода контента (текстового, аудио, видео).</w:t>
      </w:r>
    </w:p>
    <w:p>
      <w:pPr>
        <w:pStyle w:val="Heading4"/>
        <w:spacing w:before="241"/>
        <w:ind w:right="561"/>
      </w:pPr>
      <w:r>
        <w:rPr>
          <w:b/>
        </w:rPr>
        <w:t>Б.</w:t>
      </w:r>
      <w:r>
        <w:rPr>
          <w:b/>
          <w:spacing w:val="-1"/>
        </w:rPr>
        <w:t> </w:t>
      </w:r>
      <w:r>
        <w:rPr/>
        <w:t>Сфера</w:t>
      </w:r>
      <w:r>
        <w:rPr>
          <w:spacing w:val="-3"/>
        </w:rPr>
        <w:t> </w:t>
      </w:r>
      <w:r>
        <w:rPr/>
        <w:t>повседневного</w:t>
      </w:r>
      <w:r>
        <w:rPr>
          <w:spacing w:val="-1"/>
        </w:rPr>
        <w:t> </w:t>
      </w:r>
      <w:r>
        <w:rPr/>
        <w:t>общения,</w:t>
      </w:r>
      <w:r>
        <w:rPr>
          <w:spacing w:val="-1"/>
        </w:rPr>
        <w:t> </w:t>
      </w:r>
      <w:r>
        <w:rPr/>
        <w:t>в</w:t>
      </w:r>
      <w:r>
        <w:rPr>
          <w:spacing w:val="-3"/>
        </w:rPr>
        <w:t> </w:t>
      </w:r>
      <w:r>
        <w:rPr/>
        <w:t>которую</w:t>
      </w:r>
      <w:r>
        <w:rPr>
          <w:spacing w:val="-2"/>
        </w:rPr>
        <w:t> </w:t>
      </w:r>
      <w:r>
        <w:rPr/>
        <w:t>включены</w:t>
      </w:r>
      <w:r>
        <w:rPr>
          <w:spacing w:val="-2"/>
        </w:rPr>
        <w:t> </w:t>
      </w:r>
      <w:r>
        <w:rPr/>
        <w:t>измерения качества</w:t>
      </w:r>
      <w:r>
        <w:rPr>
          <w:spacing w:val="-5"/>
        </w:rPr>
        <w:t> </w:t>
      </w:r>
      <w:r>
        <w:rPr/>
        <w:t>и интенсивности общения с представителями родной для ребенка культуры и принимающего общества (одноклассники, сверстники, друзья и др.).</w:t>
      </w:r>
    </w:p>
    <w:p>
      <w:pPr>
        <w:pStyle w:val="Heading4"/>
        <w:spacing w:after="0"/>
        <w:sectPr>
          <w:type w:val="continuous"/>
          <w:pgSz w:w="11910" w:h="16840"/>
          <w:pgMar w:header="0" w:footer="970" w:top="1100" w:bottom="1220" w:left="1417" w:right="283"/>
        </w:sectPr>
      </w:pPr>
    </w:p>
    <w:p>
      <w:pPr>
        <w:pStyle w:val="Heading4"/>
        <w:spacing w:before="67"/>
        <w:ind w:right="564"/>
      </w:pPr>
      <w:r>
        <w:rPr>
          <w:b/>
        </w:rPr>
        <w:t>В.</w:t>
      </w:r>
      <w:r>
        <w:rPr>
          <w:b/>
          <w:spacing w:val="-9"/>
        </w:rPr>
        <w:t> </w:t>
      </w:r>
      <w:r>
        <w:rPr/>
        <w:t>Сфера</w:t>
      </w:r>
      <w:r>
        <w:rPr>
          <w:spacing w:val="-11"/>
        </w:rPr>
        <w:t> </w:t>
      </w:r>
      <w:r>
        <w:rPr/>
        <w:t>повседневной</w:t>
      </w:r>
      <w:r>
        <w:rPr>
          <w:spacing w:val="-9"/>
        </w:rPr>
        <w:t> </w:t>
      </w:r>
      <w:r>
        <w:rPr/>
        <w:t>культуры,</w:t>
      </w:r>
      <w:r>
        <w:rPr>
          <w:spacing w:val="-9"/>
        </w:rPr>
        <w:t> </w:t>
      </w:r>
      <w:r>
        <w:rPr/>
        <w:t>в</w:t>
      </w:r>
      <w:r>
        <w:rPr>
          <w:spacing w:val="-9"/>
        </w:rPr>
        <w:t> </w:t>
      </w:r>
      <w:r>
        <w:rPr/>
        <w:t>которую</w:t>
      </w:r>
      <w:r>
        <w:rPr>
          <w:spacing w:val="-9"/>
        </w:rPr>
        <w:t> </w:t>
      </w:r>
      <w:r>
        <w:rPr/>
        <w:t>включены</w:t>
      </w:r>
      <w:r>
        <w:rPr>
          <w:spacing w:val="-9"/>
        </w:rPr>
        <w:t> </w:t>
      </w:r>
      <w:r>
        <w:rPr/>
        <w:t>измерения</w:t>
      </w:r>
      <w:r>
        <w:rPr>
          <w:spacing w:val="-9"/>
        </w:rPr>
        <w:t> </w:t>
      </w:r>
      <w:r>
        <w:rPr/>
        <w:t>отношения ребенка-мигранта</w:t>
      </w:r>
      <w:r>
        <w:rPr>
          <w:spacing w:val="-2"/>
        </w:rPr>
        <w:t> </w:t>
      </w:r>
      <w:r>
        <w:rPr/>
        <w:t>к</w:t>
      </w:r>
      <w:r>
        <w:rPr>
          <w:spacing w:val="-3"/>
        </w:rPr>
        <w:t> </w:t>
      </w:r>
      <w:r>
        <w:rPr/>
        <w:t>разным</w:t>
      </w:r>
      <w:r>
        <w:rPr>
          <w:spacing w:val="-1"/>
        </w:rPr>
        <w:t> </w:t>
      </w:r>
      <w:r>
        <w:rPr/>
        <w:t>сферам</w:t>
      </w:r>
      <w:r>
        <w:rPr>
          <w:spacing w:val="-2"/>
        </w:rPr>
        <w:t> </w:t>
      </w:r>
      <w:r>
        <w:rPr/>
        <w:t>повседневной</w:t>
      </w:r>
      <w:r>
        <w:rPr>
          <w:spacing w:val="-2"/>
        </w:rPr>
        <w:t> </w:t>
      </w:r>
      <w:r>
        <w:rPr/>
        <w:t>жизни</w:t>
      </w:r>
      <w:r>
        <w:rPr>
          <w:spacing w:val="-2"/>
        </w:rPr>
        <w:t> </w:t>
      </w:r>
      <w:r>
        <w:rPr/>
        <w:t>на</w:t>
      </w:r>
      <w:r>
        <w:rPr>
          <w:spacing w:val="-2"/>
        </w:rPr>
        <w:t> </w:t>
      </w:r>
      <w:r>
        <w:rPr/>
        <w:t>родине</w:t>
      </w:r>
      <w:r>
        <w:rPr>
          <w:spacing w:val="-2"/>
        </w:rPr>
        <w:t> </w:t>
      </w:r>
      <w:r>
        <w:rPr/>
        <w:t>и в</w:t>
      </w:r>
      <w:r>
        <w:rPr>
          <w:spacing w:val="-1"/>
        </w:rPr>
        <w:t> </w:t>
      </w:r>
      <w:r>
        <w:rPr/>
        <w:t>стране иммиграции (пища, климат, обычаи, праздники, шутки и юмор и др.).</w:t>
      </w:r>
    </w:p>
    <w:p>
      <w:pPr>
        <w:pStyle w:val="Heading4"/>
        <w:spacing w:before="242"/>
        <w:ind w:right="568"/>
      </w:pPr>
      <w:r>
        <w:rPr>
          <w:b/>
        </w:rPr>
        <w:t>Г. </w:t>
      </w:r>
      <w:r>
        <w:rPr/>
        <w:t>Сфера символической аккультурации, в которую включены измерения субъективного значения символически нагруженных социальных практик (спортивные достижения, национальные песни и пр.).</w:t>
      </w:r>
    </w:p>
    <w:p>
      <w:pPr>
        <w:pStyle w:val="Heading4"/>
        <w:spacing w:before="239"/>
        <w:ind w:right="569"/>
      </w:pPr>
      <w:r>
        <w:rPr/>
        <w:t>При этом в разных опросниках используются три типа различных вопросов. Первый тип: ребенка-мигранта спрашивают об отношении к той или иной сфере аккультурации. Второй тип: ребенку предлагают оценить его реальное поведение. Третий тип: нужно ответить на вопрос о своих планах.</w:t>
      </w:r>
    </w:p>
    <w:p>
      <w:pPr>
        <w:pStyle w:val="Heading4"/>
        <w:spacing w:line="322" w:lineRule="exact" w:before="241"/>
        <w:jc w:val="left"/>
      </w:pPr>
      <w:r>
        <w:rPr/>
        <w:t>Пример</w:t>
      </w:r>
      <w:r>
        <w:rPr>
          <w:spacing w:val="-8"/>
        </w:rPr>
        <w:t> </w:t>
      </w:r>
      <w:r>
        <w:rPr/>
        <w:t>трех</w:t>
      </w:r>
      <w:r>
        <w:rPr>
          <w:spacing w:val="-6"/>
        </w:rPr>
        <w:t> </w:t>
      </w:r>
      <w:r>
        <w:rPr/>
        <w:t>вариантов</w:t>
      </w:r>
      <w:r>
        <w:rPr>
          <w:spacing w:val="-8"/>
        </w:rPr>
        <w:t> </w:t>
      </w:r>
      <w:r>
        <w:rPr/>
        <w:t>формулировок</w:t>
      </w:r>
      <w:r>
        <w:rPr>
          <w:spacing w:val="-7"/>
        </w:rPr>
        <w:t> </w:t>
      </w:r>
      <w:r>
        <w:rPr/>
        <w:t>применительно</w:t>
      </w:r>
      <w:r>
        <w:rPr>
          <w:spacing w:val="-5"/>
        </w:rPr>
        <w:t> </w:t>
      </w:r>
      <w:r>
        <w:rPr/>
        <w:t>к</w:t>
      </w:r>
      <w:r>
        <w:rPr>
          <w:spacing w:val="-8"/>
        </w:rPr>
        <w:t> </w:t>
      </w:r>
      <w:r>
        <w:rPr/>
        <w:t>одному</w:t>
      </w:r>
      <w:r>
        <w:rPr>
          <w:spacing w:val="-10"/>
        </w:rPr>
        <w:t> </w:t>
      </w:r>
      <w:r>
        <w:rPr>
          <w:spacing w:val="-2"/>
        </w:rPr>
        <w:t>вопросу:</w:t>
      </w:r>
    </w:p>
    <w:p>
      <w:pPr>
        <w:pStyle w:val="Heading5"/>
        <w:numPr>
          <w:ilvl w:val="0"/>
          <w:numId w:val="31"/>
        </w:numPr>
        <w:tabs>
          <w:tab w:pos="1127" w:val="left" w:leader="none"/>
        </w:tabs>
        <w:spacing w:line="322" w:lineRule="exact" w:before="0" w:after="0"/>
        <w:ind w:left="1127" w:right="0" w:hanging="842"/>
        <w:jc w:val="left"/>
      </w:pPr>
      <w:r>
        <w:rPr/>
        <w:t>Мне</w:t>
      </w:r>
      <w:r>
        <w:rPr>
          <w:spacing w:val="-5"/>
        </w:rPr>
        <w:t> </w:t>
      </w:r>
      <w:r>
        <w:rPr/>
        <w:t>нравится</w:t>
      </w:r>
      <w:r>
        <w:rPr>
          <w:spacing w:val="-5"/>
        </w:rPr>
        <w:t> </w:t>
      </w:r>
      <w:r>
        <w:rPr/>
        <w:t>музыка,</w:t>
      </w:r>
      <w:r>
        <w:rPr>
          <w:spacing w:val="-5"/>
        </w:rPr>
        <w:t> </w:t>
      </w:r>
      <w:r>
        <w:rPr/>
        <w:t>которую</w:t>
      </w:r>
      <w:r>
        <w:rPr>
          <w:spacing w:val="-5"/>
        </w:rPr>
        <w:t> </w:t>
      </w:r>
      <w:r>
        <w:rPr/>
        <w:t>слушают</w:t>
      </w:r>
      <w:r>
        <w:rPr>
          <w:spacing w:val="-5"/>
        </w:rPr>
        <w:t> </w:t>
      </w:r>
      <w:r>
        <w:rPr/>
        <w:t>у</w:t>
      </w:r>
      <w:r>
        <w:rPr>
          <w:spacing w:val="-5"/>
        </w:rPr>
        <w:t> </w:t>
      </w:r>
      <w:r>
        <w:rPr/>
        <w:t>меня</w:t>
      </w:r>
      <w:r>
        <w:rPr>
          <w:spacing w:val="-5"/>
        </w:rPr>
        <w:t> </w:t>
      </w:r>
      <w:r>
        <w:rPr/>
        <w:t>на</w:t>
      </w:r>
      <w:r>
        <w:rPr>
          <w:spacing w:val="-6"/>
        </w:rPr>
        <w:t> </w:t>
      </w:r>
      <w:r>
        <w:rPr>
          <w:spacing w:val="-2"/>
        </w:rPr>
        <w:t>родине.</w:t>
      </w:r>
    </w:p>
    <w:p>
      <w:pPr>
        <w:pStyle w:val="Heading5"/>
        <w:numPr>
          <w:ilvl w:val="0"/>
          <w:numId w:val="31"/>
        </w:numPr>
        <w:tabs>
          <w:tab w:pos="1127" w:val="left" w:leader="none"/>
        </w:tabs>
        <w:spacing w:line="240" w:lineRule="auto" w:before="0" w:after="0"/>
        <w:ind w:left="1127" w:right="0" w:hanging="842"/>
        <w:jc w:val="left"/>
      </w:pPr>
      <w:r>
        <w:rPr/>
        <w:t>Я</w:t>
      </w:r>
      <w:r>
        <w:rPr>
          <w:spacing w:val="-9"/>
        </w:rPr>
        <w:t> </w:t>
      </w:r>
      <w:r>
        <w:rPr/>
        <w:t>много</w:t>
      </w:r>
      <w:r>
        <w:rPr>
          <w:spacing w:val="-3"/>
        </w:rPr>
        <w:t> </w:t>
      </w:r>
      <w:r>
        <w:rPr/>
        <w:t>слушаю</w:t>
      </w:r>
      <w:r>
        <w:rPr>
          <w:spacing w:val="-4"/>
        </w:rPr>
        <w:t> </w:t>
      </w:r>
      <w:r>
        <w:rPr/>
        <w:t>музыку</w:t>
      </w:r>
      <w:r>
        <w:rPr>
          <w:spacing w:val="-4"/>
        </w:rPr>
        <w:t> </w:t>
      </w:r>
      <w:r>
        <w:rPr/>
        <w:t>моей</w:t>
      </w:r>
      <w:r>
        <w:rPr>
          <w:spacing w:val="-2"/>
        </w:rPr>
        <w:t> родины.</w:t>
      </w:r>
    </w:p>
    <w:p>
      <w:pPr>
        <w:pStyle w:val="Heading5"/>
        <w:numPr>
          <w:ilvl w:val="0"/>
          <w:numId w:val="31"/>
        </w:numPr>
        <w:tabs>
          <w:tab w:pos="1127" w:val="left" w:leader="none"/>
        </w:tabs>
        <w:spacing w:line="240" w:lineRule="auto" w:before="2" w:after="0"/>
        <w:ind w:left="1127" w:right="0" w:hanging="842"/>
        <w:jc w:val="left"/>
      </w:pPr>
      <w:r>
        <w:rPr/>
        <w:t>В</w:t>
      </w:r>
      <w:r>
        <w:rPr>
          <w:spacing w:val="-5"/>
        </w:rPr>
        <w:t> </w:t>
      </w:r>
      <w:r>
        <w:rPr/>
        <w:t>будущем</w:t>
      </w:r>
      <w:r>
        <w:rPr>
          <w:spacing w:val="-4"/>
        </w:rPr>
        <w:t> </w:t>
      </w:r>
      <w:r>
        <w:rPr/>
        <w:t>я</w:t>
      </w:r>
      <w:r>
        <w:rPr>
          <w:spacing w:val="-5"/>
        </w:rPr>
        <w:t> </w:t>
      </w:r>
      <w:r>
        <w:rPr/>
        <w:t>собираюсь</w:t>
      </w:r>
      <w:r>
        <w:rPr>
          <w:spacing w:val="-5"/>
        </w:rPr>
        <w:t> </w:t>
      </w:r>
      <w:r>
        <w:rPr/>
        <w:t>слушать</w:t>
      </w:r>
      <w:r>
        <w:rPr>
          <w:spacing w:val="-7"/>
        </w:rPr>
        <w:t> </w:t>
      </w:r>
      <w:r>
        <w:rPr/>
        <w:t>только</w:t>
      </w:r>
      <w:r>
        <w:rPr>
          <w:spacing w:val="-6"/>
        </w:rPr>
        <w:t> </w:t>
      </w:r>
      <w:r>
        <w:rPr/>
        <w:t>музыку</w:t>
      </w:r>
      <w:r>
        <w:rPr>
          <w:spacing w:val="-4"/>
        </w:rPr>
        <w:t> </w:t>
      </w:r>
      <w:r>
        <w:rPr/>
        <w:t>моей</w:t>
      </w:r>
      <w:r>
        <w:rPr>
          <w:spacing w:val="-2"/>
        </w:rPr>
        <w:t> родины.</w:t>
      </w:r>
    </w:p>
    <w:p>
      <w:pPr>
        <w:pStyle w:val="Heading4"/>
        <w:spacing w:before="240"/>
        <w:ind w:right="560"/>
      </w:pPr>
      <w:r>
        <w:rPr/>
        <w:t>При</w:t>
      </w:r>
      <w:r>
        <w:rPr>
          <w:spacing w:val="-5"/>
        </w:rPr>
        <w:t> </w:t>
      </w:r>
      <w:r>
        <w:rPr/>
        <w:t>конструировании</w:t>
      </w:r>
      <w:r>
        <w:rPr>
          <w:spacing w:val="-7"/>
        </w:rPr>
        <w:t> </w:t>
      </w:r>
      <w:r>
        <w:rPr/>
        <w:t>опросника</w:t>
      </w:r>
      <w:r>
        <w:rPr>
          <w:spacing w:val="-5"/>
        </w:rPr>
        <w:t> </w:t>
      </w:r>
      <w:r>
        <w:rPr/>
        <w:t>авторы</w:t>
      </w:r>
      <w:r>
        <w:rPr>
          <w:spacing w:val="-5"/>
        </w:rPr>
        <w:t> </w:t>
      </w:r>
      <w:r>
        <w:rPr/>
        <w:t>исходили</w:t>
      </w:r>
      <w:r>
        <w:rPr>
          <w:spacing w:val="-6"/>
        </w:rPr>
        <w:t> </w:t>
      </w:r>
      <w:r>
        <w:rPr/>
        <w:t>из</w:t>
      </w:r>
      <w:r>
        <w:rPr>
          <w:spacing w:val="-5"/>
        </w:rPr>
        <w:t> </w:t>
      </w:r>
      <w:r>
        <w:rPr/>
        <w:t>следующих</w:t>
      </w:r>
      <w:r>
        <w:rPr>
          <w:spacing w:val="-6"/>
        </w:rPr>
        <w:t> </w:t>
      </w:r>
      <w:r>
        <w:rPr/>
        <w:t>положений. Во-первых, в опросник должны быть включены пункты, измеряющие все выделенные сферы аккультурации. Во-вторых, вопросы должны быть сфокусированы</w:t>
      </w:r>
      <w:r>
        <w:rPr>
          <w:spacing w:val="-3"/>
        </w:rPr>
        <w:t> </w:t>
      </w:r>
      <w:r>
        <w:rPr/>
        <w:t>преимущественно</w:t>
      </w:r>
      <w:r>
        <w:rPr>
          <w:spacing w:val="-3"/>
        </w:rPr>
        <w:t> </w:t>
      </w:r>
      <w:r>
        <w:rPr/>
        <w:t>на</w:t>
      </w:r>
      <w:r>
        <w:rPr>
          <w:spacing w:val="-4"/>
        </w:rPr>
        <w:t> </w:t>
      </w:r>
      <w:r>
        <w:rPr/>
        <w:t>оценке</w:t>
      </w:r>
      <w:r>
        <w:rPr>
          <w:spacing w:val="-3"/>
        </w:rPr>
        <w:t> </w:t>
      </w:r>
      <w:r>
        <w:rPr/>
        <w:t>реального</w:t>
      </w:r>
      <w:r>
        <w:rPr>
          <w:spacing w:val="-4"/>
        </w:rPr>
        <w:t> </w:t>
      </w:r>
      <w:r>
        <w:rPr/>
        <w:t>поведения.</w:t>
      </w:r>
      <w:r>
        <w:rPr>
          <w:spacing w:val="-4"/>
        </w:rPr>
        <w:t> </w:t>
      </w:r>
      <w:r>
        <w:rPr/>
        <w:t>В-третьих, для каждого возраста должны быть отобраны вопросы — маркеры аккультурации, наиболее релевантные психологическим возрастным </w:t>
      </w:r>
      <w:r>
        <w:rPr>
          <w:spacing w:val="-2"/>
        </w:rPr>
        <w:t>особенностям.</w:t>
      </w:r>
    </w:p>
    <w:p>
      <w:pPr>
        <w:pStyle w:val="Heading4"/>
        <w:spacing w:before="240"/>
        <w:ind w:right="563"/>
      </w:pPr>
      <w:r>
        <w:rPr/>
        <w:t>Методика изначально разработана под использование в русскоязычном контексте, поэтому не требует специальной лингвистической адаптации.</w:t>
      </w:r>
    </w:p>
    <w:p>
      <w:pPr>
        <w:pStyle w:val="Heading4"/>
        <w:spacing w:before="239"/>
        <w:ind w:right="563"/>
      </w:pPr>
      <w:r>
        <w:rPr/>
        <w:t>В 2022 г. методика была адаптирована для детей — иностранных граждан в рамках апробации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w:t>
      </w:r>
    </w:p>
    <w:p>
      <w:pPr>
        <w:pStyle w:val="Heading5"/>
        <w:spacing w:before="242"/>
        <w:ind w:right="572"/>
        <w:jc w:val="both"/>
      </w:pPr>
      <w:r>
        <w:rPr/>
        <w:t>Так как для каждого уровня образования методика имеет свой набор утверждений/шкал, представляем описание для каждого уровня отдельно.</w:t>
      </w:r>
    </w:p>
    <w:p>
      <w:pPr>
        <w:pStyle w:val="Heading4"/>
        <w:spacing w:before="239"/>
        <w:ind w:right="568"/>
      </w:pPr>
      <w:r>
        <w:rPr>
          <w:b/>
          <w:i/>
        </w:rPr>
        <w:t>Для начальной школы </w:t>
      </w:r>
      <w:r>
        <w:rPr/>
        <w:t>(N=327) шкалы методики показали достаточную степень внутренней согласованности (альфа Кронбаха 0.704).</w:t>
      </w:r>
    </w:p>
    <w:p>
      <w:pPr>
        <w:pStyle w:val="Heading4"/>
        <w:spacing w:before="239"/>
        <w:ind w:right="561"/>
      </w:pPr>
      <w:r>
        <w:rPr/>
        <w:t>В исследовании обнаружены предсказуемые корреляции со шкалами следующих методик. Для субшкалы «Включенность ребенка-мигранта в культуру</w:t>
      </w:r>
      <w:r>
        <w:rPr>
          <w:spacing w:val="-2"/>
        </w:rPr>
        <w:t> </w:t>
      </w:r>
      <w:r>
        <w:rPr/>
        <w:t>принимающего</w:t>
      </w:r>
      <w:r>
        <w:rPr>
          <w:spacing w:val="3"/>
        </w:rPr>
        <w:t> </w:t>
      </w:r>
      <w:r>
        <w:rPr/>
        <w:t>общества»</w:t>
      </w:r>
      <w:r>
        <w:rPr>
          <w:spacing w:val="1"/>
        </w:rPr>
        <w:t> </w:t>
      </w:r>
      <w:r>
        <w:rPr/>
        <w:t>обнаружена</w:t>
      </w:r>
      <w:r>
        <w:rPr>
          <w:spacing w:val="2"/>
        </w:rPr>
        <w:t> </w:t>
      </w:r>
      <w:r>
        <w:rPr/>
        <w:t>отрицательная</w:t>
      </w:r>
      <w:r>
        <w:rPr>
          <w:spacing w:val="3"/>
        </w:rPr>
        <w:t> </w:t>
      </w:r>
      <w:r>
        <w:rPr/>
        <w:t>корреляция</w:t>
      </w:r>
      <w:r>
        <w:rPr>
          <w:spacing w:val="3"/>
        </w:rPr>
        <w:t> </w:t>
      </w:r>
      <w:r>
        <w:rPr>
          <w:spacing w:val="-10"/>
        </w:rPr>
        <w:t>с</w:t>
      </w:r>
    </w:p>
    <w:p>
      <w:pPr>
        <w:pStyle w:val="Heading4"/>
        <w:spacing w:before="2"/>
        <w:ind w:right="562"/>
      </w:pPr>
      <w:r>
        <w:rPr/>
        <w:t>«Маргинализацией» / Карта стандартизованного наблюдения детей и подростков из семей мигрантов «Стратегии адаптации» (-0.400, P&lt;0.01). Положительные корреляции обнаружены с тестом психологической устойчивости (0.415, P&lt;0.01), общей удовлетворенности жизнью школьника</w:t>
      </w:r>
    </w:p>
    <w:p>
      <w:pPr>
        <w:pStyle w:val="Heading4"/>
        <w:spacing w:after="0"/>
        <w:sectPr>
          <w:pgSz w:w="11910" w:h="16840"/>
          <w:pgMar w:header="0" w:footer="970" w:top="1040" w:bottom="1220" w:left="1417" w:right="283"/>
        </w:sectPr>
      </w:pPr>
    </w:p>
    <w:p>
      <w:pPr>
        <w:pStyle w:val="Heading4"/>
        <w:spacing w:line="242" w:lineRule="auto" w:before="67"/>
        <w:ind w:right="567"/>
      </w:pPr>
      <w:r>
        <w:rPr/>
        <w:t>(0.380, P&lt;0.01), c рисуночной диагностикой субъективного благополучия ребенка-мигранта (0.360, P&lt;0.01).</w:t>
      </w:r>
    </w:p>
    <w:p>
      <w:pPr>
        <w:pStyle w:val="Heading4"/>
        <w:spacing w:before="236"/>
        <w:ind w:right="568"/>
      </w:pPr>
      <w:r>
        <w:rPr>
          <w:b/>
          <w:i/>
        </w:rPr>
        <w:t>Для</w:t>
      </w:r>
      <w:r>
        <w:rPr>
          <w:b/>
          <w:i/>
          <w:spacing w:val="-1"/>
        </w:rPr>
        <w:t> </w:t>
      </w:r>
      <w:r>
        <w:rPr>
          <w:b/>
          <w:i/>
        </w:rPr>
        <w:t>средней школы</w:t>
      </w:r>
      <w:r>
        <w:rPr>
          <w:b/>
          <w:i/>
          <w:spacing w:val="-1"/>
        </w:rPr>
        <w:t> </w:t>
      </w:r>
      <w:r>
        <w:rPr/>
        <w:t>(N=215) шкалы</w:t>
      </w:r>
      <w:r>
        <w:rPr>
          <w:spacing w:val="-2"/>
        </w:rPr>
        <w:t> </w:t>
      </w:r>
      <w:r>
        <w:rPr/>
        <w:t>методики показали</w:t>
      </w:r>
      <w:r>
        <w:rPr>
          <w:spacing w:val="-2"/>
        </w:rPr>
        <w:t> </w:t>
      </w:r>
      <w:r>
        <w:rPr/>
        <w:t>достаточную</w:t>
      </w:r>
      <w:r>
        <w:rPr>
          <w:spacing w:val="-1"/>
        </w:rPr>
        <w:t> </w:t>
      </w:r>
      <w:r>
        <w:rPr/>
        <w:t>степень внутренней согласованности (альфа Кронбаха 0.811).</w:t>
      </w:r>
    </w:p>
    <w:p>
      <w:pPr>
        <w:pStyle w:val="Heading4"/>
        <w:spacing w:before="239"/>
        <w:ind w:right="560"/>
      </w:pPr>
      <w:r>
        <w:rPr/>
        <w:t>В исследовании обнаружены предсказуемые корреляции со шкалами следующих методик. Шкала включенности ребенка-мигранта в культуру принимающего общества отрицательно связана с социокультурной дезадаптацией (-0.386, P&lt;0.01) и с проблемой интернализации /Ахенбах (- 0.240, P&lt;0.01).</w:t>
      </w:r>
    </w:p>
    <w:p>
      <w:pPr>
        <w:pStyle w:val="Heading4"/>
        <w:spacing w:before="241"/>
        <w:ind w:right="565"/>
      </w:pPr>
      <w:r>
        <w:rPr>
          <w:b/>
          <w:i/>
        </w:rPr>
        <w:t>Для</w:t>
      </w:r>
      <w:r>
        <w:rPr>
          <w:b/>
          <w:i/>
          <w:spacing w:val="-5"/>
        </w:rPr>
        <w:t> </w:t>
      </w:r>
      <w:r>
        <w:rPr>
          <w:b/>
          <w:i/>
        </w:rPr>
        <w:t>старшей</w:t>
      </w:r>
      <w:r>
        <w:rPr>
          <w:b/>
          <w:i/>
          <w:spacing w:val="-4"/>
        </w:rPr>
        <w:t> </w:t>
      </w:r>
      <w:r>
        <w:rPr>
          <w:b/>
          <w:i/>
        </w:rPr>
        <w:t>школы</w:t>
      </w:r>
      <w:r>
        <w:rPr>
          <w:b/>
          <w:i/>
          <w:spacing w:val="-4"/>
        </w:rPr>
        <w:t> </w:t>
      </w:r>
      <w:r>
        <w:rPr/>
        <w:t>(N=94)</w:t>
      </w:r>
      <w:r>
        <w:rPr>
          <w:spacing w:val="-4"/>
        </w:rPr>
        <w:t> </w:t>
      </w:r>
      <w:r>
        <w:rPr/>
        <w:t>шкалы</w:t>
      </w:r>
      <w:r>
        <w:rPr>
          <w:spacing w:val="-4"/>
        </w:rPr>
        <w:t> </w:t>
      </w:r>
      <w:r>
        <w:rPr/>
        <w:t>методики</w:t>
      </w:r>
      <w:r>
        <w:rPr>
          <w:spacing w:val="-4"/>
        </w:rPr>
        <w:t> </w:t>
      </w:r>
      <w:r>
        <w:rPr/>
        <w:t>показали</w:t>
      </w:r>
      <w:r>
        <w:rPr>
          <w:spacing w:val="-4"/>
        </w:rPr>
        <w:t> </w:t>
      </w:r>
      <w:r>
        <w:rPr/>
        <w:t>достаточную</w:t>
      </w:r>
      <w:r>
        <w:rPr>
          <w:spacing w:val="-5"/>
        </w:rPr>
        <w:t> </w:t>
      </w:r>
      <w:r>
        <w:rPr/>
        <w:t>степень внутренней согласованности (альфа Кронбаха 0.916).</w:t>
      </w:r>
    </w:p>
    <w:p>
      <w:pPr>
        <w:pStyle w:val="Heading4"/>
        <w:spacing w:before="239"/>
        <w:ind w:right="560"/>
      </w:pPr>
      <w:r>
        <w:rPr/>
        <w:t>В исследовании обнаружены предсказуемые корреляции со шкалами следующих методик. Для субшкалы «Сохранение ребенком-мигрантом родной культурной среды» выявлена отрицательная корреляция с гражданской</w:t>
      </w:r>
      <w:r>
        <w:rPr>
          <w:spacing w:val="-3"/>
        </w:rPr>
        <w:t> </w:t>
      </w:r>
      <w:r>
        <w:rPr/>
        <w:t>российской</w:t>
      </w:r>
      <w:r>
        <w:rPr>
          <w:spacing w:val="-4"/>
        </w:rPr>
        <w:t> </w:t>
      </w:r>
      <w:r>
        <w:rPr/>
        <w:t>идентичностью</w:t>
      </w:r>
      <w:r>
        <w:rPr>
          <w:spacing w:val="-5"/>
        </w:rPr>
        <w:t> </w:t>
      </w:r>
      <w:r>
        <w:rPr/>
        <w:t>(-0.379,</w:t>
      </w:r>
      <w:r>
        <w:rPr>
          <w:spacing w:val="-5"/>
        </w:rPr>
        <w:t> </w:t>
      </w:r>
      <w:r>
        <w:rPr/>
        <w:t>P&lt;0.01)</w:t>
      </w:r>
      <w:r>
        <w:rPr>
          <w:spacing w:val="-4"/>
        </w:rPr>
        <w:t> </w:t>
      </w:r>
      <w:r>
        <w:rPr/>
        <w:t>и</w:t>
      </w:r>
      <w:r>
        <w:rPr>
          <w:spacing w:val="-7"/>
        </w:rPr>
        <w:t> </w:t>
      </w:r>
      <w:r>
        <w:rPr/>
        <w:t>положительная</w:t>
      </w:r>
      <w:r>
        <w:rPr>
          <w:spacing w:val="-1"/>
        </w:rPr>
        <w:t> </w:t>
      </w:r>
      <w:r>
        <w:rPr/>
        <w:t>–</w:t>
      </w:r>
      <w:r>
        <w:rPr>
          <w:spacing w:val="-6"/>
        </w:rPr>
        <w:t> </w:t>
      </w:r>
      <w:r>
        <w:rPr/>
        <w:t>с идентичностью</w:t>
      </w:r>
      <w:r>
        <w:rPr>
          <w:spacing w:val="26"/>
        </w:rPr>
        <w:t> </w:t>
      </w:r>
      <w:r>
        <w:rPr/>
        <w:t>со</w:t>
      </w:r>
      <w:r>
        <w:rPr>
          <w:spacing w:val="29"/>
        </w:rPr>
        <w:t> </w:t>
      </w:r>
      <w:r>
        <w:rPr/>
        <w:t>страной</w:t>
      </w:r>
      <w:r>
        <w:rPr>
          <w:spacing w:val="28"/>
        </w:rPr>
        <w:t> </w:t>
      </w:r>
      <w:r>
        <w:rPr/>
        <w:t>исхода</w:t>
      </w:r>
      <w:r>
        <w:rPr>
          <w:spacing w:val="28"/>
        </w:rPr>
        <w:t> </w:t>
      </w:r>
      <w:r>
        <w:rPr/>
        <w:t>(родиной)</w:t>
      </w:r>
      <w:r>
        <w:rPr>
          <w:spacing w:val="35"/>
        </w:rPr>
        <w:t> </w:t>
      </w:r>
      <w:r>
        <w:rPr/>
        <w:t>(0.540,</w:t>
      </w:r>
      <w:r>
        <w:rPr>
          <w:spacing w:val="27"/>
        </w:rPr>
        <w:t> </w:t>
      </w:r>
      <w:r>
        <w:rPr/>
        <w:t>P&lt;0.01).</w:t>
      </w:r>
      <w:r>
        <w:rPr>
          <w:spacing w:val="27"/>
        </w:rPr>
        <w:t> </w:t>
      </w:r>
      <w:r>
        <w:rPr/>
        <w:t>Для</w:t>
      </w:r>
      <w:r>
        <w:rPr>
          <w:spacing w:val="28"/>
        </w:rPr>
        <w:t> </w:t>
      </w:r>
      <w:r>
        <w:rPr>
          <w:spacing w:val="-2"/>
        </w:rPr>
        <w:t>субшкалы</w:t>
      </w:r>
    </w:p>
    <w:p>
      <w:pPr>
        <w:pStyle w:val="Heading4"/>
        <w:spacing w:before="1"/>
        <w:ind w:right="560"/>
      </w:pPr>
      <w:r>
        <w:rPr/>
        <w:t>«включенность ребенка-мигранта в культуру принимающего общества» выявлена отрицательная корреляция с социокультурной дезадаптацией (- 0.439, P&lt;0.01) и положительная корреляция с гражданской российской идентичностью (0.550, P&lt;0.01).</w:t>
      </w:r>
    </w:p>
    <w:p>
      <w:pPr>
        <w:pStyle w:val="Heading4"/>
        <w:spacing w:before="241"/>
        <w:ind w:right="563"/>
      </w:pPr>
      <w:r>
        <w:rPr/>
        <w:t>Приведенные значения доказывают внешнюю валидность методики при диагностике детей — иностранных граждан.</w:t>
      </w:r>
    </w:p>
    <w:p>
      <w:pPr>
        <w:pStyle w:val="Heading4"/>
        <w:spacing w:after="0"/>
        <w:sectPr>
          <w:pgSz w:w="11910" w:h="16840"/>
          <w:pgMar w:header="0" w:footer="970" w:top="1040" w:bottom="1220" w:left="1417" w:right="283"/>
        </w:sectPr>
      </w:pPr>
    </w:p>
    <w:p>
      <w:pPr>
        <w:pStyle w:val="Heading3"/>
        <w:ind w:left="5275"/>
        <w:jc w:val="left"/>
      </w:pPr>
      <w:r>
        <w:rPr/>
        <w:t>Приложение</w:t>
      </w:r>
      <w:r>
        <w:rPr>
          <w:spacing w:val="-7"/>
        </w:rPr>
        <w:t> </w:t>
      </w:r>
      <w:r>
        <w:rPr/>
        <w:t>13.</w:t>
      </w:r>
      <w:r>
        <w:rPr>
          <w:spacing w:val="-5"/>
        </w:rPr>
        <w:t> </w:t>
      </w:r>
      <w:r>
        <w:rPr/>
        <w:t>Бланки</w:t>
      </w:r>
      <w:r>
        <w:rPr>
          <w:spacing w:val="-5"/>
        </w:rPr>
        <w:t> </w:t>
      </w:r>
      <w:r>
        <w:rPr>
          <w:spacing w:val="-2"/>
        </w:rPr>
        <w:t>методики</w:t>
      </w:r>
    </w:p>
    <w:p>
      <w:pPr>
        <w:pStyle w:val="Heading9"/>
        <w:spacing w:before="275"/>
        <w:ind w:left="0" w:right="279" w:firstLine="0"/>
        <w:jc w:val="center"/>
      </w:pPr>
      <w:r>
        <w:rPr/>
        <w:t>Бланк</w:t>
      </w:r>
      <w:r>
        <w:rPr>
          <w:spacing w:val="-3"/>
        </w:rPr>
        <w:t> </w:t>
      </w:r>
      <w:r>
        <w:rPr/>
        <w:t>методики</w:t>
      </w:r>
      <w:r>
        <w:rPr>
          <w:spacing w:val="-4"/>
        </w:rPr>
        <w:t> </w:t>
      </w:r>
      <w:r>
        <w:rPr/>
        <w:t>для</w:t>
      </w:r>
      <w:r>
        <w:rPr>
          <w:spacing w:val="-3"/>
        </w:rPr>
        <w:t> </w:t>
      </w:r>
      <w:r>
        <w:rPr/>
        <w:t>начальной </w:t>
      </w:r>
      <w:r>
        <w:rPr>
          <w:spacing w:val="-2"/>
        </w:rPr>
        <w:t>школы</w:t>
      </w:r>
    </w:p>
    <w:p>
      <w:pPr>
        <w:pStyle w:val="BodyText"/>
        <w:spacing w:before="1"/>
        <w:ind w:left="0" w:right="0" w:firstLine="0"/>
        <w:jc w:val="left"/>
        <w:rPr>
          <w:b/>
          <w:sz w:val="24"/>
        </w:rPr>
      </w:pPr>
    </w:p>
    <w:p>
      <w:pPr>
        <w:spacing w:before="0"/>
        <w:ind w:left="285" w:right="0" w:firstLine="0"/>
        <w:jc w:val="left"/>
        <w:rPr>
          <w:b/>
          <w:sz w:val="28"/>
        </w:rPr>
      </w:pPr>
      <w:r>
        <w:rPr>
          <w:b/>
          <w:sz w:val="28"/>
        </w:rPr>
        <w:t>Заполняется</w:t>
      </w:r>
      <w:r>
        <w:rPr>
          <w:b/>
          <w:spacing w:val="-7"/>
          <w:sz w:val="28"/>
        </w:rPr>
        <w:t> </w:t>
      </w:r>
      <w:r>
        <w:rPr>
          <w:b/>
          <w:sz w:val="28"/>
        </w:rPr>
        <w:t>учащимся</w:t>
      </w:r>
      <w:r>
        <w:rPr>
          <w:b/>
          <w:spacing w:val="-5"/>
          <w:sz w:val="28"/>
        </w:rPr>
        <w:t> </w:t>
      </w:r>
      <w:r>
        <w:rPr>
          <w:b/>
          <w:sz w:val="28"/>
        </w:rPr>
        <w:t>или</w:t>
      </w:r>
      <w:r>
        <w:rPr>
          <w:b/>
          <w:spacing w:val="-4"/>
          <w:sz w:val="28"/>
        </w:rPr>
        <w:t> </w:t>
      </w:r>
      <w:r>
        <w:rPr>
          <w:b/>
          <w:sz w:val="28"/>
        </w:rPr>
        <w:t>психологом</w:t>
      </w:r>
      <w:r>
        <w:rPr>
          <w:b/>
          <w:spacing w:val="-3"/>
          <w:sz w:val="28"/>
        </w:rPr>
        <w:t> </w:t>
      </w:r>
      <w:r>
        <w:rPr>
          <w:b/>
          <w:sz w:val="28"/>
        </w:rPr>
        <w:t>в</w:t>
      </w:r>
      <w:r>
        <w:rPr>
          <w:b/>
          <w:spacing w:val="-7"/>
          <w:sz w:val="28"/>
        </w:rPr>
        <w:t> </w:t>
      </w:r>
      <w:r>
        <w:rPr>
          <w:b/>
          <w:sz w:val="28"/>
        </w:rPr>
        <w:t>беседе</w:t>
      </w:r>
      <w:r>
        <w:rPr>
          <w:b/>
          <w:spacing w:val="-3"/>
          <w:sz w:val="28"/>
        </w:rPr>
        <w:t> </w:t>
      </w:r>
      <w:r>
        <w:rPr>
          <w:b/>
          <w:sz w:val="28"/>
        </w:rPr>
        <w:t>с</w:t>
      </w:r>
      <w:r>
        <w:rPr>
          <w:b/>
          <w:spacing w:val="-4"/>
          <w:sz w:val="28"/>
        </w:rPr>
        <w:t> </w:t>
      </w:r>
      <w:r>
        <w:rPr>
          <w:b/>
          <w:spacing w:val="-2"/>
          <w:sz w:val="28"/>
        </w:rPr>
        <w:t>ребенком</w:t>
      </w:r>
    </w:p>
    <w:p>
      <w:pPr>
        <w:spacing w:before="193" w:after="9"/>
        <w:ind w:left="285" w:right="704" w:firstLine="0"/>
        <w:jc w:val="left"/>
        <w:rPr>
          <w:i/>
          <w:sz w:val="24"/>
        </w:rPr>
      </w:pPr>
      <w:r>
        <w:rPr>
          <w:i/>
          <w:sz w:val="24"/>
        </w:rPr>
        <w:t>Оцени</w:t>
      </w:r>
      <w:r>
        <w:rPr>
          <w:i/>
          <w:spacing w:val="-3"/>
          <w:sz w:val="24"/>
        </w:rPr>
        <w:t> </w:t>
      </w:r>
      <w:r>
        <w:rPr>
          <w:i/>
          <w:sz w:val="24"/>
        </w:rPr>
        <w:t>по</w:t>
      </w:r>
      <w:r>
        <w:rPr>
          <w:i/>
          <w:spacing w:val="-3"/>
          <w:sz w:val="24"/>
        </w:rPr>
        <w:t> </w:t>
      </w:r>
      <w:r>
        <w:rPr>
          <w:i/>
          <w:sz w:val="24"/>
        </w:rPr>
        <w:t>шкале</w:t>
      </w:r>
      <w:r>
        <w:rPr>
          <w:i/>
          <w:spacing w:val="-4"/>
          <w:sz w:val="24"/>
        </w:rPr>
        <w:t> </w:t>
      </w:r>
      <w:r>
        <w:rPr>
          <w:i/>
          <w:sz w:val="24"/>
        </w:rPr>
        <w:t>от</w:t>
      </w:r>
      <w:r>
        <w:rPr>
          <w:i/>
          <w:spacing w:val="-4"/>
          <w:sz w:val="24"/>
        </w:rPr>
        <w:t> </w:t>
      </w:r>
      <w:r>
        <w:rPr>
          <w:i/>
          <w:sz w:val="24"/>
        </w:rPr>
        <w:t>-2</w:t>
      </w:r>
      <w:r>
        <w:rPr>
          <w:i/>
          <w:spacing w:val="-3"/>
          <w:sz w:val="24"/>
        </w:rPr>
        <w:t> </w:t>
      </w:r>
      <w:r>
        <w:rPr>
          <w:i/>
          <w:sz w:val="24"/>
        </w:rPr>
        <w:t>«Никогда»</w:t>
      </w:r>
      <w:r>
        <w:rPr>
          <w:i/>
          <w:spacing w:val="-3"/>
          <w:sz w:val="24"/>
        </w:rPr>
        <w:t> </w:t>
      </w:r>
      <w:r>
        <w:rPr>
          <w:i/>
          <w:sz w:val="24"/>
        </w:rPr>
        <w:t>до</w:t>
      </w:r>
      <w:r>
        <w:rPr>
          <w:i/>
          <w:spacing w:val="-3"/>
          <w:sz w:val="24"/>
        </w:rPr>
        <w:t> </w:t>
      </w:r>
      <w:r>
        <w:rPr>
          <w:i/>
          <w:sz w:val="24"/>
        </w:rPr>
        <w:t>+2</w:t>
      </w:r>
      <w:r>
        <w:rPr>
          <w:i/>
          <w:spacing w:val="-3"/>
          <w:sz w:val="24"/>
        </w:rPr>
        <w:t> </w:t>
      </w:r>
      <w:r>
        <w:rPr>
          <w:i/>
          <w:sz w:val="24"/>
        </w:rPr>
        <w:t>«Всегда»,</w:t>
      </w:r>
      <w:r>
        <w:rPr>
          <w:i/>
          <w:spacing w:val="-3"/>
          <w:sz w:val="24"/>
        </w:rPr>
        <w:t> </w:t>
      </w:r>
      <w:r>
        <w:rPr>
          <w:i/>
          <w:sz w:val="24"/>
        </w:rPr>
        <w:t>насколько</w:t>
      </w:r>
      <w:r>
        <w:rPr>
          <w:i/>
          <w:spacing w:val="-5"/>
          <w:sz w:val="24"/>
        </w:rPr>
        <w:t> </w:t>
      </w:r>
      <w:r>
        <w:rPr>
          <w:i/>
          <w:sz w:val="24"/>
        </w:rPr>
        <w:t>часто</w:t>
      </w:r>
      <w:r>
        <w:rPr>
          <w:i/>
          <w:spacing w:val="-3"/>
          <w:sz w:val="24"/>
        </w:rPr>
        <w:t> </w:t>
      </w:r>
      <w:r>
        <w:rPr>
          <w:i/>
          <w:sz w:val="24"/>
        </w:rPr>
        <w:t>ты используешь родной язык и русский язык в разных ситуациях.</w:t>
      </w: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4"/>
        <w:gridCol w:w="3815"/>
        <w:gridCol w:w="1134"/>
        <w:gridCol w:w="843"/>
        <w:gridCol w:w="1220"/>
        <w:gridCol w:w="1078"/>
        <w:gridCol w:w="972"/>
      </w:tblGrid>
      <w:tr>
        <w:trPr>
          <w:trHeight w:val="834" w:hRule="atLeast"/>
        </w:trPr>
        <w:tc>
          <w:tcPr>
            <w:tcW w:w="514" w:type="dxa"/>
          </w:tcPr>
          <w:p>
            <w:pPr>
              <w:pStyle w:val="TableParagraph"/>
              <w:spacing w:before="157"/>
              <w:ind w:left="136"/>
              <w:rPr>
                <w:b/>
                <w:sz w:val="24"/>
              </w:rPr>
            </w:pPr>
            <w:r>
              <w:rPr>
                <w:b/>
                <w:spacing w:val="-10"/>
                <w:sz w:val="24"/>
              </w:rPr>
              <w:t>№</w:t>
            </w:r>
          </w:p>
        </w:tc>
        <w:tc>
          <w:tcPr>
            <w:tcW w:w="3815" w:type="dxa"/>
          </w:tcPr>
          <w:p>
            <w:pPr>
              <w:pStyle w:val="TableParagraph"/>
              <w:spacing w:before="157"/>
              <w:ind w:left="1170"/>
              <w:rPr>
                <w:b/>
                <w:sz w:val="24"/>
              </w:rPr>
            </w:pPr>
            <w:r>
              <w:rPr>
                <w:b/>
                <w:spacing w:val="-2"/>
                <w:sz w:val="24"/>
              </w:rPr>
              <w:t>Утверждения</w:t>
            </w:r>
          </w:p>
        </w:tc>
        <w:tc>
          <w:tcPr>
            <w:tcW w:w="1134" w:type="dxa"/>
          </w:tcPr>
          <w:p>
            <w:pPr>
              <w:pStyle w:val="TableParagraph"/>
              <w:spacing w:before="152"/>
              <w:ind w:left="6" w:right="3"/>
              <w:jc w:val="center"/>
              <w:rPr>
                <w:i/>
                <w:sz w:val="24"/>
              </w:rPr>
            </w:pPr>
            <w:r>
              <w:rPr>
                <w:i/>
                <w:spacing w:val="-2"/>
                <w:sz w:val="24"/>
              </w:rPr>
              <w:t>Никогда</w:t>
            </w:r>
          </w:p>
        </w:tc>
        <w:tc>
          <w:tcPr>
            <w:tcW w:w="843" w:type="dxa"/>
          </w:tcPr>
          <w:p>
            <w:pPr>
              <w:pStyle w:val="TableParagraph"/>
              <w:spacing w:before="152"/>
              <w:ind w:left="4"/>
              <w:jc w:val="center"/>
              <w:rPr>
                <w:i/>
                <w:sz w:val="24"/>
              </w:rPr>
            </w:pPr>
            <w:r>
              <w:rPr>
                <w:i/>
                <w:spacing w:val="-4"/>
                <w:sz w:val="24"/>
              </w:rPr>
              <w:t>Редко</w:t>
            </w:r>
          </w:p>
        </w:tc>
        <w:tc>
          <w:tcPr>
            <w:tcW w:w="1220" w:type="dxa"/>
          </w:tcPr>
          <w:p>
            <w:pPr>
              <w:pStyle w:val="TableParagraph"/>
              <w:spacing w:line="278" w:lineRule="auto"/>
              <w:ind w:left="191" w:right="102" w:hanging="80"/>
              <w:rPr>
                <w:i/>
                <w:sz w:val="24"/>
              </w:rPr>
            </w:pPr>
            <w:r>
              <w:rPr>
                <w:i/>
                <w:sz w:val="24"/>
              </w:rPr>
              <w:t>Время</w:t>
            </w:r>
            <w:r>
              <w:rPr>
                <w:i/>
                <w:spacing w:val="-15"/>
                <w:sz w:val="24"/>
              </w:rPr>
              <w:t> </w:t>
            </w:r>
            <w:r>
              <w:rPr>
                <w:i/>
                <w:sz w:val="24"/>
              </w:rPr>
              <w:t>от </w:t>
            </w:r>
            <w:r>
              <w:rPr>
                <w:i/>
                <w:spacing w:val="-2"/>
                <w:sz w:val="24"/>
              </w:rPr>
              <w:t>времени</w:t>
            </w:r>
          </w:p>
        </w:tc>
        <w:tc>
          <w:tcPr>
            <w:tcW w:w="1078" w:type="dxa"/>
          </w:tcPr>
          <w:p>
            <w:pPr>
              <w:pStyle w:val="TableParagraph"/>
              <w:spacing w:before="152"/>
              <w:ind w:left="9" w:right="9"/>
              <w:jc w:val="center"/>
              <w:rPr>
                <w:i/>
                <w:sz w:val="24"/>
              </w:rPr>
            </w:pPr>
            <w:r>
              <w:rPr>
                <w:i/>
                <w:spacing w:val="-2"/>
                <w:sz w:val="24"/>
              </w:rPr>
              <w:t>Часто</w:t>
            </w:r>
          </w:p>
        </w:tc>
        <w:tc>
          <w:tcPr>
            <w:tcW w:w="972" w:type="dxa"/>
          </w:tcPr>
          <w:p>
            <w:pPr>
              <w:pStyle w:val="TableParagraph"/>
              <w:spacing w:before="152"/>
              <w:ind w:left="2"/>
              <w:jc w:val="center"/>
              <w:rPr>
                <w:i/>
                <w:sz w:val="24"/>
              </w:rPr>
            </w:pPr>
            <w:r>
              <w:rPr>
                <w:i/>
                <w:spacing w:val="-2"/>
                <w:sz w:val="24"/>
              </w:rPr>
              <w:t>Всегда</w:t>
            </w:r>
          </w:p>
        </w:tc>
      </w:tr>
      <w:tr>
        <w:trPr>
          <w:trHeight w:val="518" w:hRule="atLeast"/>
        </w:trPr>
        <w:tc>
          <w:tcPr>
            <w:tcW w:w="514" w:type="dxa"/>
          </w:tcPr>
          <w:p>
            <w:pPr>
              <w:pStyle w:val="TableParagraph"/>
              <w:spacing w:line="270" w:lineRule="exact"/>
              <w:ind w:left="107"/>
              <w:rPr>
                <w:sz w:val="24"/>
              </w:rPr>
            </w:pPr>
            <w:r>
              <w:rPr>
                <w:spacing w:val="-10"/>
                <w:sz w:val="24"/>
              </w:rPr>
              <w:t>1</w:t>
            </w:r>
          </w:p>
        </w:tc>
        <w:tc>
          <w:tcPr>
            <w:tcW w:w="3815" w:type="dxa"/>
          </w:tcPr>
          <w:p>
            <w:pPr>
              <w:pStyle w:val="TableParagraph"/>
              <w:spacing w:line="270" w:lineRule="exact"/>
              <w:ind w:left="107"/>
              <w:rPr>
                <w:sz w:val="24"/>
              </w:rPr>
            </w:pPr>
            <w:r>
              <w:rPr>
                <w:sz w:val="24"/>
              </w:rPr>
              <w:t>Я</w:t>
            </w:r>
            <w:r>
              <w:rPr>
                <w:spacing w:val="-4"/>
                <w:sz w:val="24"/>
              </w:rPr>
              <w:t> </w:t>
            </w:r>
            <w:r>
              <w:rPr>
                <w:sz w:val="24"/>
              </w:rPr>
              <w:t>говорю</w:t>
            </w:r>
            <w:r>
              <w:rPr>
                <w:spacing w:val="-2"/>
                <w:sz w:val="24"/>
              </w:rPr>
              <w:t> </w:t>
            </w:r>
            <w:r>
              <w:rPr>
                <w:sz w:val="24"/>
              </w:rPr>
              <w:t>дома</w:t>
            </w:r>
            <w:r>
              <w:rPr>
                <w:spacing w:val="-4"/>
                <w:sz w:val="24"/>
              </w:rPr>
              <w:t> </w:t>
            </w:r>
            <w:r>
              <w:rPr>
                <w:sz w:val="24"/>
              </w:rPr>
              <w:t>на</w:t>
            </w:r>
            <w:r>
              <w:rPr>
                <w:spacing w:val="-2"/>
                <w:sz w:val="24"/>
              </w:rPr>
              <w:t> </w:t>
            </w:r>
            <w:r>
              <w:rPr>
                <w:sz w:val="24"/>
              </w:rPr>
              <w:t>родном</w:t>
            </w:r>
            <w:r>
              <w:rPr>
                <w:spacing w:val="-2"/>
                <w:sz w:val="24"/>
              </w:rPr>
              <w:t> языке</w:t>
            </w:r>
          </w:p>
        </w:tc>
        <w:tc>
          <w:tcPr>
            <w:tcW w:w="1134" w:type="dxa"/>
          </w:tcPr>
          <w:p>
            <w:pPr>
              <w:pStyle w:val="TableParagraph"/>
              <w:spacing w:line="270" w:lineRule="exact"/>
              <w:ind w:left="7" w:right="1"/>
              <w:jc w:val="center"/>
              <w:rPr>
                <w:sz w:val="24"/>
              </w:rPr>
            </w:pPr>
            <w:r>
              <w:rPr>
                <w:spacing w:val="-5"/>
                <w:sz w:val="24"/>
              </w:rPr>
              <w:t>–2</w:t>
            </w:r>
          </w:p>
        </w:tc>
        <w:tc>
          <w:tcPr>
            <w:tcW w:w="843" w:type="dxa"/>
          </w:tcPr>
          <w:p>
            <w:pPr>
              <w:pStyle w:val="TableParagraph"/>
              <w:spacing w:line="270" w:lineRule="exact"/>
              <w:ind w:left="4" w:right="2"/>
              <w:jc w:val="center"/>
              <w:rPr>
                <w:sz w:val="24"/>
              </w:rPr>
            </w:pPr>
            <w:r>
              <w:rPr>
                <w:spacing w:val="-5"/>
                <w:sz w:val="24"/>
              </w:rPr>
              <w:t>–1</w:t>
            </w:r>
          </w:p>
        </w:tc>
        <w:tc>
          <w:tcPr>
            <w:tcW w:w="1220" w:type="dxa"/>
          </w:tcPr>
          <w:p>
            <w:pPr>
              <w:pStyle w:val="TableParagraph"/>
              <w:spacing w:line="270" w:lineRule="exact"/>
              <w:ind w:left="3"/>
              <w:jc w:val="center"/>
              <w:rPr>
                <w:sz w:val="24"/>
              </w:rPr>
            </w:pPr>
            <w:r>
              <w:rPr>
                <w:spacing w:val="-10"/>
                <w:sz w:val="24"/>
              </w:rPr>
              <w:t>0</w:t>
            </w:r>
          </w:p>
        </w:tc>
        <w:tc>
          <w:tcPr>
            <w:tcW w:w="1078" w:type="dxa"/>
          </w:tcPr>
          <w:p>
            <w:pPr>
              <w:pStyle w:val="TableParagraph"/>
              <w:spacing w:line="270" w:lineRule="exact"/>
              <w:ind w:left="9" w:right="8"/>
              <w:jc w:val="center"/>
              <w:rPr>
                <w:sz w:val="24"/>
              </w:rPr>
            </w:pPr>
            <w:r>
              <w:rPr>
                <w:spacing w:val="-10"/>
                <w:sz w:val="24"/>
              </w:rPr>
              <w:t>1</w:t>
            </w:r>
          </w:p>
        </w:tc>
        <w:tc>
          <w:tcPr>
            <w:tcW w:w="972" w:type="dxa"/>
          </w:tcPr>
          <w:p>
            <w:pPr>
              <w:pStyle w:val="TableParagraph"/>
              <w:spacing w:line="270" w:lineRule="exact"/>
              <w:ind w:left="2" w:right="2"/>
              <w:jc w:val="center"/>
              <w:rPr>
                <w:sz w:val="24"/>
              </w:rPr>
            </w:pPr>
            <w:r>
              <w:rPr>
                <w:spacing w:val="-10"/>
                <w:sz w:val="24"/>
              </w:rPr>
              <w:t>2</w:t>
            </w:r>
          </w:p>
        </w:tc>
      </w:tr>
      <w:tr>
        <w:trPr>
          <w:trHeight w:val="518" w:hRule="atLeast"/>
        </w:trPr>
        <w:tc>
          <w:tcPr>
            <w:tcW w:w="514" w:type="dxa"/>
          </w:tcPr>
          <w:p>
            <w:pPr>
              <w:pStyle w:val="TableParagraph"/>
              <w:spacing w:line="271" w:lineRule="exact"/>
              <w:ind w:left="107"/>
              <w:rPr>
                <w:sz w:val="24"/>
              </w:rPr>
            </w:pPr>
            <w:r>
              <w:rPr>
                <w:spacing w:val="-10"/>
                <w:sz w:val="24"/>
              </w:rPr>
              <w:t>2</w:t>
            </w:r>
          </w:p>
        </w:tc>
        <w:tc>
          <w:tcPr>
            <w:tcW w:w="3815" w:type="dxa"/>
          </w:tcPr>
          <w:p>
            <w:pPr>
              <w:pStyle w:val="TableParagraph"/>
              <w:spacing w:line="271" w:lineRule="exact"/>
              <w:ind w:left="107"/>
              <w:rPr>
                <w:sz w:val="24"/>
              </w:rPr>
            </w:pPr>
            <w:r>
              <w:rPr>
                <w:sz w:val="24"/>
              </w:rPr>
              <w:t>Я</w:t>
            </w:r>
            <w:r>
              <w:rPr>
                <w:spacing w:val="-4"/>
                <w:sz w:val="24"/>
              </w:rPr>
              <w:t> </w:t>
            </w:r>
            <w:r>
              <w:rPr>
                <w:sz w:val="24"/>
              </w:rPr>
              <w:t>говорю</w:t>
            </w:r>
            <w:r>
              <w:rPr>
                <w:spacing w:val="-2"/>
                <w:sz w:val="24"/>
              </w:rPr>
              <w:t> </w:t>
            </w:r>
            <w:r>
              <w:rPr>
                <w:sz w:val="24"/>
              </w:rPr>
              <w:t>дома</w:t>
            </w:r>
            <w:r>
              <w:rPr>
                <w:spacing w:val="-3"/>
                <w:sz w:val="24"/>
              </w:rPr>
              <w:t> </w:t>
            </w:r>
            <w:r>
              <w:rPr>
                <w:sz w:val="24"/>
              </w:rPr>
              <w:t>на</w:t>
            </w:r>
            <w:r>
              <w:rPr>
                <w:spacing w:val="-2"/>
                <w:sz w:val="24"/>
              </w:rPr>
              <w:t> </w:t>
            </w:r>
            <w:r>
              <w:rPr>
                <w:sz w:val="24"/>
              </w:rPr>
              <w:t>русском</w:t>
            </w:r>
            <w:r>
              <w:rPr>
                <w:spacing w:val="-2"/>
                <w:sz w:val="24"/>
              </w:rPr>
              <w:t> языке</w:t>
            </w:r>
          </w:p>
        </w:tc>
        <w:tc>
          <w:tcPr>
            <w:tcW w:w="1134" w:type="dxa"/>
          </w:tcPr>
          <w:p>
            <w:pPr>
              <w:pStyle w:val="TableParagraph"/>
              <w:spacing w:line="271" w:lineRule="exact"/>
              <w:ind w:left="7" w:right="1"/>
              <w:jc w:val="center"/>
              <w:rPr>
                <w:sz w:val="24"/>
              </w:rPr>
            </w:pPr>
            <w:r>
              <w:rPr>
                <w:spacing w:val="-5"/>
                <w:sz w:val="24"/>
              </w:rPr>
              <w:t>–2</w:t>
            </w:r>
          </w:p>
        </w:tc>
        <w:tc>
          <w:tcPr>
            <w:tcW w:w="843" w:type="dxa"/>
          </w:tcPr>
          <w:p>
            <w:pPr>
              <w:pStyle w:val="TableParagraph"/>
              <w:spacing w:line="271" w:lineRule="exact"/>
              <w:ind w:left="4" w:right="2"/>
              <w:jc w:val="center"/>
              <w:rPr>
                <w:sz w:val="24"/>
              </w:rPr>
            </w:pPr>
            <w:r>
              <w:rPr>
                <w:spacing w:val="-5"/>
                <w:sz w:val="24"/>
              </w:rPr>
              <w:t>–1</w:t>
            </w:r>
          </w:p>
        </w:tc>
        <w:tc>
          <w:tcPr>
            <w:tcW w:w="1220" w:type="dxa"/>
          </w:tcPr>
          <w:p>
            <w:pPr>
              <w:pStyle w:val="TableParagraph"/>
              <w:spacing w:line="271" w:lineRule="exact"/>
              <w:ind w:left="3"/>
              <w:jc w:val="center"/>
              <w:rPr>
                <w:sz w:val="24"/>
              </w:rPr>
            </w:pPr>
            <w:r>
              <w:rPr>
                <w:spacing w:val="-10"/>
                <w:sz w:val="24"/>
              </w:rPr>
              <w:t>0</w:t>
            </w:r>
          </w:p>
        </w:tc>
        <w:tc>
          <w:tcPr>
            <w:tcW w:w="1078" w:type="dxa"/>
          </w:tcPr>
          <w:p>
            <w:pPr>
              <w:pStyle w:val="TableParagraph"/>
              <w:spacing w:line="271" w:lineRule="exact"/>
              <w:ind w:left="9" w:right="8"/>
              <w:jc w:val="center"/>
              <w:rPr>
                <w:sz w:val="24"/>
              </w:rPr>
            </w:pPr>
            <w:r>
              <w:rPr>
                <w:spacing w:val="-10"/>
                <w:sz w:val="24"/>
              </w:rPr>
              <w:t>1</w:t>
            </w:r>
          </w:p>
        </w:tc>
        <w:tc>
          <w:tcPr>
            <w:tcW w:w="972" w:type="dxa"/>
          </w:tcPr>
          <w:p>
            <w:pPr>
              <w:pStyle w:val="TableParagraph"/>
              <w:spacing w:line="271" w:lineRule="exact"/>
              <w:ind w:left="2" w:right="2"/>
              <w:jc w:val="center"/>
              <w:rPr>
                <w:sz w:val="24"/>
              </w:rPr>
            </w:pPr>
            <w:r>
              <w:rPr>
                <w:spacing w:val="-10"/>
                <w:sz w:val="24"/>
              </w:rPr>
              <w:t>2</w:t>
            </w:r>
          </w:p>
        </w:tc>
      </w:tr>
      <w:tr>
        <w:trPr>
          <w:trHeight w:val="834" w:hRule="atLeast"/>
        </w:trPr>
        <w:tc>
          <w:tcPr>
            <w:tcW w:w="514" w:type="dxa"/>
          </w:tcPr>
          <w:p>
            <w:pPr>
              <w:pStyle w:val="TableParagraph"/>
              <w:spacing w:line="270" w:lineRule="exact"/>
              <w:ind w:left="107"/>
              <w:rPr>
                <w:sz w:val="24"/>
              </w:rPr>
            </w:pPr>
            <w:r>
              <w:rPr>
                <w:spacing w:val="-10"/>
                <w:sz w:val="24"/>
              </w:rPr>
              <w:t>3</w:t>
            </w:r>
          </w:p>
        </w:tc>
        <w:tc>
          <w:tcPr>
            <w:tcW w:w="3815" w:type="dxa"/>
          </w:tcPr>
          <w:p>
            <w:pPr>
              <w:pStyle w:val="TableParagraph"/>
              <w:spacing w:line="276" w:lineRule="auto"/>
              <w:ind w:left="107"/>
              <w:rPr>
                <w:sz w:val="24"/>
              </w:rPr>
            </w:pPr>
            <w:r>
              <w:rPr>
                <w:sz w:val="24"/>
              </w:rPr>
              <w:t>Я</w:t>
            </w:r>
            <w:r>
              <w:rPr>
                <w:spacing w:val="-7"/>
                <w:sz w:val="24"/>
              </w:rPr>
              <w:t> </w:t>
            </w:r>
            <w:r>
              <w:rPr>
                <w:sz w:val="24"/>
              </w:rPr>
              <w:t>смотрю</w:t>
            </w:r>
            <w:r>
              <w:rPr>
                <w:spacing w:val="-6"/>
                <w:sz w:val="24"/>
              </w:rPr>
              <w:t> </w:t>
            </w:r>
            <w:r>
              <w:rPr>
                <w:sz w:val="24"/>
              </w:rPr>
              <w:t>ТВ,</w:t>
            </w:r>
            <w:r>
              <w:rPr>
                <w:spacing w:val="-7"/>
                <w:sz w:val="24"/>
              </w:rPr>
              <w:t> </w:t>
            </w:r>
            <w:r>
              <w:rPr>
                <w:sz w:val="24"/>
              </w:rPr>
              <w:t>видео</w:t>
            </w:r>
            <w:r>
              <w:rPr>
                <w:spacing w:val="-7"/>
                <w:sz w:val="24"/>
              </w:rPr>
              <w:t> </w:t>
            </w:r>
            <w:r>
              <w:rPr>
                <w:sz w:val="24"/>
              </w:rPr>
              <w:t>в</w:t>
            </w:r>
            <w:r>
              <w:rPr>
                <w:spacing w:val="-8"/>
                <w:sz w:val="24"/>
              </w:rPr>
              <w:t> </w:t>
            </w:r>
            <w:r>
              <w:rPr>
                <w:sz w:val="24"/>
              </w:rPr>
              <w:t>интернете</w:t>
            </w:r>
            <w:r>
              <w:rPr>
                <w:spacing w:val="-7"/>
                <w:sz w:val="24"/>
              </w:rPr>
              <w:t> </w:t>
            </w:r>
            <w:r>
              <w:rPr>
                <w:sz w:val="24"/>
              </w:rPr>
              <w:t>и др. на родном языке</w:t>
            </w:r>
          </w:p>
        </w:tc>
        <w:tc>
          <w:tcPr>
            <w:tcW w:w="1134" w:type="dxa"/>
          </w:tcPr>
          <w:p>
            <w:pPr>
              <w:pStyle w:val="TableParagraph"/>
              <w:spacing w:before="152"/>
              <w:ind w:left="7" w:right="1"/>
              <w:jc w:val="center"/>
              <w:rPr>
                <w:sz w:val="24"/>
              </w:rPr>
            </w:pPr>
            <w:r>
              <w:rPr>
                <w:spacing w:val="-5"/>
                <w:sz w:val="24"/>
              </w:rPr>
              <w:t>–2</w:t>
            </w:r>
          </w:p>
        </w:tc>
        <w:tc>
          <w:tcPr>
            <w:tcW w:w="843" w:type="dxa"/>
          </w:tcPr>
          <w:p>
            <w:pPr>
              <w:pStyle w:val="TableParagraph"/>
              <w:spacing w:before="152"/>
              <w:ind w:left="4" w:right="2"/>
              <w:jc w:val="center"/>
              <w:rPr>
                <w:sz w:val="24"/>
              </w:rPr>
            </w:pPr>
            <w:r>
              <w:rPr>
                <w:spacing w:val="-5"/>
                <w:sz w:val="24"/>
              </w:rPr>
              <w:t>–1</w:t>
            </w:r>
          </w:p>
        </w:tc>
        <w:tc>
          <w:tcPr>
            <w:tcW w:w="1220" w:type="dxa"/>
          </w:tcPr>
          <w:p>
            <w:pPr>
              <w:pStyle w:val="TableParagraph"/>
              <w:spacing w:before="152"/>
              <w:ind w:left="3"/>
              <w:jc w:val="center"/>
              <w:rPr>
                <w:sz w:val="24"/>
              </w:rPr>
            </w:pPr>
            <w:r>
              <w:rPr>
                <w:spacing w:val="-10"/>
                <w:sz w:val="24"/>
              </w:rPr>
              <w:t>0</w:t>
            </w:r>
          </w:p>
        </w:tc>
        <w:tc>
          <w:tcPr>
            <w:tcW w:w="1078" w:type="dxa"/>
          </w:tcPr>
          <w:p>
            <w:pPr>
              <w:pStyle w:val="TableParagraph"/>
              <w:spacing w:before="152"/>
              <w:ind w:left="9" w:right="8"/>
              <w:jc w:val="center"/>
              <w:rPr>
                <w:sz w:val="24"/>
              </w:rPr>
            </w:pPr>
            <w:r>
              <w:rPr>
                <w:spacing w:val="-10"/>
                <w:sz w:val="24"/>
              </w:rPr>
              <w:t>1</w:t>
            </w:r>
          </w:p>
        </w:tc>
        <w:tc>
          <w:tcPr>
            <w:tcW w:w="972" w:type="dxa"/>
          </w:tcPr>
          <w:p>
            <w:pPr>
              <w:pStyle w:val="TableParagraph"/>
              <w:spacing w:before="152"/>
              <w:ind w:left="2" w:right="2"/>
              <w:jc w:val="center"/>
              <w:rPr>
                <w:sz w:val="24"/>
              </w:rPr>
            </w:pPr>
            <w:r>
              <w:rPr>
                <w:spacing w:val="-10"/>
                <w:sz w:val="24"/>
              </w:rPr>
              <w:t>2</w:t>
            </w:r>
          </w:p>
        </w:tc>
      </w:tr>
      <w:tr>
        <w:trPr>
          <w:trHeight w:val="834" w:hRule="atLeast"/>
        </w:trPr>
        <w:tc>
          <w:tcPr>
            <w:tcW w:w="514" w:type="dxa"/>
          </w:tcPr>
          <w:p>
            <w:pPr>
              <w:pStyle w:val="TableParagraph"/>
              <w:spacing w:line="270" w:lineRule="exact"/>
              <w:ind w:left="107"/>
              <w:rPr>
                <w:sz w:val="24"/>
              </w:rPr>
            </w:pPr>
            <w:r>
              <w:rPr>
                <w:spacing w:val="-10"/>
                <w:sz w:val="24"/>
              </w:rPr>
              <w:t>4</w:t>
            </w:r>
          </w:p>
        </w:tc>
        <w:tc>
          <w:tcPr>
            <w:tcW w:w="3815" w:type="dxa"/>
          </w:tcPr>
          <w:p>
            <w:pPr>
              <w:pStyle w:val="TableParagraph"/>
              <w:spacing w:line="276" w:lineRule="auto"/>
              <w:ind w:left="107"/>
              <w:rPr>
                <w:sz w:val="24"/>
              </w:rPr>
            </w:pPr>
            <w:r>
              <w:rPr>
                <w:sz w:val="24"/>
              </w:rPr>
              <w:t>Я</w:t>
            </w:r>
            <w:r>
              <w:rPr>
                <w:spacing w:val="-7"/>
                <w:sz w:val="24"/>
              </w:rPr>
              <w:t> </w:t>
            </w:r>
            <w:r>
              <w:rPr>
                <w:sz w:val="24"/>
              </w:rPr>
              <w:t>смотрю</w:t>
            </w:r>
            <w:r>
              <w:rPr>
                <w:spacing w:val="-6"/>
                <w:sz w:val="24"/>
              </w:rPr>
              <w:t> </w:t>
            </w:r>
            <w:r>
              <w:rPr>
                <w:sz w:val="24"/>
              </w:rPr>
              <w:t>ТВ,</w:t>
            </w:r>
            <w:r>
              <w:rPr>
                <w:spacing w:val="-7"/>
                <w:sz w:val="24"/>
              </w:rPr>
              <w:t> </w:t>
            </w:r>
            <w:r>
              <w:rPr>
                <w:sz w:val="24"/>
              </w:rPr>
              <w:t>видео</w:t>
            </w:r>
            <w:r>
              <w:rPr>
                <w:spacing w:val="-7"/>
                <w:sz w:val="24"/>
              </w:rPr>
              <w:t> </w:t>
            </w:r>
            <w:r>
              <w:rPr>
                <w:sz w:val="24"/>
              </w:rPr>
              <w:t>в</w:t>
            </w:r>
            <w:r>
              <w:rPr>
                <w:spacing w:val="-8"/>
                <w:sz w:val="24"/>
              </w:rPr>
              <w:t> </w:t>
            </w:r>
            <w:r>
              <w:rPr>
                <w:sz w:val="24"/>
              </w:rPr>
              <w:t>интернете</w:t>
            </w:r>
            <w:r>
              <w:rPr>
                <w:spacing w:val="-7"/>
                <w:sz w:val="24"/>
              </w:rPr>
              <w:t> </w:t>
            </w:r>
            <w:r>
              <w:rPr>
                <w:sz w:val="24"/>
              </w:rPr>
              <w:t>и др. на русском языке</w:t>
            </w:r>
          </w:p>
        </w:tc>
        <w:tc>
          <w:tcPr>
            <w:tcW w:w="1134" w:type="dxa"/>
          </w:tcPr>
          <w:p>
            <w:pPr>
              <w:pStyle w:val="TableParagraph"/>
              <w:spacing w:before="152"/>
              <w:ind w:left="7" w:right="1"/>
              <w:jc w:val="center"/>
              <w:rPr>
                <w:sz w:val="24"/>
              </w:rPr>
            </w:pPr>
            <w:r>
              <w:rPr>
                <w:spacing w:val="-5"/>
                <w:sz w:val="24"/>
              </w:rPr>
              <w:t>–2</w:t>
            </w:r>
          </w:p>
        </w:tc>
        <w:tc>
          <w:tcPr>
            <w:tcW w:w="843" w:type="dxa"/>
          </w:tcPr>
          <w:p>
            <w:pPr>
              <w:pStyle w:val="TableParagraph"/>
              <w:spacing w:before="152"/>
              <w:ind w:left="4" w:right="2"/>
              <w:jc w:val="center"/>
              <w:rPr>
                <w:sz w:val="24"/>
              </w:rPr>
            </w:pPr>
            <w:r>
              <w:rPr>
                <w:spacing w:val="-5"/>
                <w:sz w:val="24"/>
              </w:rPr>
              <w:t>–1</w:t>
            </w:r>
          </w:p>
        </w:tc>
        <w:tc>
          <w:tcPr>
            <w:tcW w:w="1220" w:type="dxa"/>
          </w:tcPr>
          <w:p>
            <w:pPr>
              <w:pStyle w:val="TableParagraph"/>
              <w:spacing w:before="152"/>
              <w:ind w:left="3"/>
              <w:jc w:val="center"/>
              <w:rPr>
                <w:sz w:val="24"/>
              </w:rPr>
            </w:pPr>
            <w:r>
              <w:rPr>
                <w:spacing w:val="-10"/>
                <w:sz w:val="24"/>
              </w:rPr>
              <w:t>0</w:t>
            </w:r>
          </w:p>
        </w:tc>
        <w:tc>
          <w:tcPr>
            <w:tcW w:w="1078" w:type="dxa"/>
          </w:tcPr>
          <w:p>
            <w:pPr>
              <w:pStyle w:val="TableParagraph"/>
              <w:spacing w:before="152"/>
              <w:ind w:left="9" w:right="8"/>
              <w:jc w:val="center"/>
              <w:rPr>
                <w:sz w:val="24"/>
              </w:rPr>
            </w:pPr>
            <w:r>
              <w:rPr>
                <w:spacing w:val="-10"/>
                <w:sz w:val="24"/>
              </w:rPr>
              <w:t>1</w:t>
            </w:r>
          </w:p>
        </w:tc>
        <w:tc>
          <w:tcPr>
            <w:tcW w:w="972" w:type="dxa"/>
          </w:tcPr>
          <w:p>
            <w:pPr>
              <w:pStyle w:val="TableParagraph"/>
              <w:spacing w:before="152"/>
              <w:ind w:left="2" w:right="2"/>
              <w:jc w:val="center"/>
              <w:rPr>
                <w:sz w:val="24"/>
              </w:rPr>
            </w:pPr>
            <w:r>
              <w:rPr>
                <w:spacing w:val="-10"/>
                <w:sz w:val="24"/>
              </w:rPr>
              <w:t>2</w:t>
            </w:r>
          </w:p>
        </w:tc>
      </w:tr>
    </w:tbl>
    <w:p>
      <w:pPr>
        <w:pStyle w:val="BodyText"/>
        <w:spacing w:before="270"/>
        <w:ind w:left="0" w:right="0" w:firstLine="0"/>
        <w:jc w:val="left"/>
        <w:rPr>
          <w:i/>
          <w:sz w:val="24"/>
        </w:rPr>
      </w:pPr>
    </w:p>
    <w:p>
      <w:pPr>
        <w:spacing w:before="0"/>
        <w:ind w:left="285" w:right="6142" w:firstLine="0"/>
        <w:jc w:val="left"/>
        <w:rPr>
          <w:i/>
          <w:sz w:val="24"/>
        </w:rPr>
      </w:pPr>
      <w:r>
        <w:rPr>
          <w:i/>
          <w:sz w:val="24"/>
        </w:rPr>
        <w:drawing>
          <wp:anchor distT="0" distB="0" distL="0" distR="0" allowOverlap="1" layoutInCell="1" locked="0" behindDoc="0" simplePos="0" relativeHeight="15754240">
            <wp:simplePos x="0" y="0"/>
            <wp:positionH relativeFrom="page">
              <wp:posOffset>3635409</wp:posOffset>
            </wp:positionH>
            <wp:positionV relativeFrom="paragraph">
              <wp:posOffset>-216741</wp:posOffset>
            </wp:positionV>
            <wp:extent cx="3366702" cy="1872074"/>
            <wp:effectExtent l="0" t="0" r="0" b="0"/>
            <wp:wrapNone/>
            <wp:docPr id="83" name="Image 83"/>
            <wp:cNvGraphicFramePr>
              <a:graphicFrameLocks/>
            </wp:cNvGraphicFramePr>
            <a:graphic>
              <a:graphicData uri="http://schemas.openxmlformats.org/drawingml/2006/picture">
                <pic:pic>
                  <pic:nvPicPr>
                    <pic:cNvPr id="83" name="Image 83"/>
                    <pic:cNvPicPr/>
                  </pic:nvPicPr>
                  <pic:blipFill>
                    <a:blip r:embed="rId48" cstate="print"/>
                    <a:stretch>
                      <a:fillRect/>
                    </a:stretch>
                  </pic:blipFill>
                  <pic:spPr>
                    <a:xfrm>
                      <a:off x="0" y="0"/>
                      <a:ext cx="3366702" cy="1872074"/>
                    </a:xfrm>
                    <a:prstGeom prst="rect">
                      <a:avLst/>
                    </a:prstGeom>
                  </pic:spPr>
                </pic:pic>
              </a:graphicData>
            </a:graphic>
          </wp:anchor>
        </w:drawing>
      </w:r>
      <w:r>
        <w:rPr>
          <w:i/>
          <w:sz w:val="24"/>
        </w:rPr>
        <w:t>Оцени,</w:t>
      </w:r>
      <w:r>
        <w:rPr>
          <w:i/>
          <w:spacing w:val="-1"/>
          <w:sz w:val="24"/>
        </w:rPr>
        <w:t> </w:t>
      </w:r>
      <w:r>
        <w:rPr>
          <w:i/>
          <w:sz w:val="24"/>
        </w:rPr>
        <w:t>пожалуйста,</w:t>
      </w:r>
      <w:r>
        <w:rPr>
          <w:i/>
          <w:spacing w:val="-1"/>
          <w:sz w:val="24"/>
        </w:rPr>
        <w:t> </w:t>
      </w:r>
      <w:r>
        <w:rPr>
          <w:i/>
          <w:sz w:val="24"/>
        </w:rPr>
        <w:t>степень</w:t>
      </w:r>
      <w:r>
        <w:rPr>
          <w:i/>
          <w:spacing w:val="-1"/>
          <w:sz w:val="24"/>
        </w:rPr>
        <w:t> </w:t>
      </w:r>
      <w:r>
        <w:rPr>
          <w:i/>
          <w:sz w:val="24"/>
        </w:rPr>
        <w:t>своего согласия</w:t>
      </w:r>
      <w:r>
        <w:rPr>
          <w:i/>
          <w:spacing w:val="-11"/>
          <w:sz w:val="24"/>
        </w:rPr>
        <w:t> </w:t>
      </w:r>
      <w:r>
        <w:rPr>
          <w:i/>
          <w:sz w:val="24"/>
        </w:rPr>
        <w:t>с</w:t>
      </w:r>
      <w:r>
        <w:rPr>
          <w:i/>
          <w:spacing w:val="-8"/>
          <w:sz w:val="24"/>
        </w:rPr>
        <w:t> </w:t>
      </w:r>
      <w:r>
        <w:rPr>
          <w:i/>
          <w:sz w:val="24"/>
        </w:rPr>
        <w:t>утверждениями</w:t>
      </w:r>
      <w:r>
        <w:rPr>
          <w:i/>
          <w:spacing w:val="-9"/>
          <w:sz w:val="24"/>
        </w:rPr>
        <w:t> </w:t>
      </w:r>
      <w:r>
        <w:rPr>
          <w:i/>
          <w:sz w:val="24"/>
        </w:rPr>
        <w:t>по</w:t>
      </w:r>
      <w:r>
        <w:rPr>
          <w:i/>
          <w:spacing w:val="-9"/>
          <w:sz w:val="24"/>
        </w:rPr>
        <w:t> </w:t>
      </w:r>
      <w:r>
        <w:rPr>
          <w:i/>
          <w:sz w:val="24"/>
        </w:rPr>
        <w:t>шкале от -2 — полностью НЕ согласен до 2 — полностью согласен.</w:t>
      </w: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ind w:left="0" w:right="0" w:firstLine="0"/>
        <w:jc w:val="left"/>
        <w:rPr>
          <w:i/>
        </w:rPr>
      </w:pPr>
    </w:p>
    <w:p>
      <w:pPr>
        <w:pStyle w:val="BodyText"/>
        <w:spacing w:before="124"/>
        <w:ind w:left="0" w:right="0" w:firstLine="0"/>
        <w:jc w:val="left"/>
        <w:rPr>
          <w:i/>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0"/>
        <w:gridCol w:w="3593"/>
        <w:gridCol w:w="708"/>
        <w:gridCol w:w="1276"/>
        <w:gridCol w:w="1277"/>
        <w:gridCol w:w="991"/>
        <w:gridCol w:w="1245"/>
      </w:tblGrid>
      <w:tr>
        <w:trPr>
          <w:trHeight w:val="2104" w:hRule="atLeast"/>
        </w:trPr>
        <w:tc>
          <w:tcPr>
            <w:tcW w:w="480" w:type="dxa"/>
          </w:tcPr>
          <w:p>
            <w:pPr>
              <w:pStyle w:val="TableParagraph"/>
              <w:rPr>
                <w:i/>
                <w:sz w:val="24"/>
              </w:rPr>
            </w:pPr>
          </w:p>
          <w:p>
            <w:pPr>
              <w:pStyle w:val="TableParagraph"/>
              <w:spacing w:before="241"/>
              <w:rPr>
                <w:i/>
                <w:sz w:val="24"/>
              </w:rPr>
            </w:pPr>
          </w:p>
          <w:p>
            <w:pPr>
              <w:pStyle w:val="TableParagraph"/>
              <w:spacing w:before="1"/>
              <w:ind w:left="10"/>
              <w:jc w:val="center"/>
              <w:rPr>
                <w:b/>
                <w:sz w:val="24"/>
              </w:rPr>
            </w:pPr>
            <w:r>
              <w:rPr>
                <w:b/>
                <w:spacing w:val="-10"/>
                <w:sz w:val="24"/>
              </w:rPr>
              <w:t>№</w:t>
            </w:r>
          </w:p>
        </w:tc>
        <w:tc>
          <w:tcPr>
            <w:tcW w:w="3593" w:type="dxa"/>
          </w:tcPr>
          <w:p>
            <w:pPr>
              <w:pStyle w:val="TableParagraph"/>
              <w:rPr>
                <w:i/>
                <w:sz w:val="24"/>
              </w:rPr>
            </w:pPr>
          </w:p>
          <w:p>
            <w:pPr>
              <w:pStyle w:val="TableParagraph"/>
              <w:spacing w:before="241"/>
              <w:rPr>
                <w:i/>
                <w:sz w:val="24"/>
              </w:rPr>
            </w:pPr>
          </w:p>
          <w:p>
            <w:pPr>
              <w:pStyle w:val="TableParagraph"/>
              <w:spacing w:before="1"/>
              <w:ind w:left="1058"/>
              <w:rPr>
                <w:b/>
                <w:sz w:val="24"/>
              </w:rPr>
            </w:pPr>
            <w:r>
              <w:rPr>
                <w:b/>
                <w:spacing w:val="-2"/>
                <w:sz w:val="24"/>
              </w:rPr>
              <w:t>Утверждения</w:t>
            </w:r>
          </w:p>
        </w:tc>
        <w:tc>
          <w:tcPr>
            <w:tcW w:w="708" w:type="dxa"/>
          </w:tcPr>
          <w:p>
            <w:pPr>
              <w:pStyle w:val="TableParagraph"/>
              <w:spacing w:line="276" w:lineRule="auto"/>
              <w:ind w:left="124" w:right="119" w:firstLine="26"/>
              <w:jc w:val="both"/>
              <w:rPr>
                <w:i/>
                <w:sz w:val="24"/>
              </w:rPr>
            </w:pPr>
            <w:r>
              <w:rPr>
                <w:i/>
                <w:spacing w:val="-4"/>
                <w:sz w:val="24"/>
              </w:rPr>
              <w:t>Пол нос тью </w:t>
            </w:r>
            <w:r>
              <w:rPr>
                <w:i/>
                <w:spacing w:val="-6"/>
                <w:sz w:val="24"/>
              </w:rPr>
              <w:t>НЕ</w:t>
            </w:r>
          </w:p>
          <w:p>
            <w:pPr>
              <w:pStyle w:val="TableParagraph"/>
              <w:spacing w:line="276" w:lineRule="auto"/>
              <w:ind w:left="124" w:right="117" w:firstLine="14"/>
              <w:rPr>
                <w:i/>
                <w:sz w:val="24"/>
              </w:rPr>
            </w:pPr>
            <w:r>
              <w:rPr>
                <w:i/>
                <w:spacing w:val="-4"/>
                <w:sz w:val="24"/>
              </w:rPr>
              <w:t>согл асен</w:t>
            </w:r>
          </w:p>
        </w:tc>
        <w:tc>
          <w:tcPr>
            <w:tcW w:w="1276" w:type="dxa"/>
          </w:tcPr>
          <w:p>
            <w:pPr>
              <w:pStyle w:val="TableParagraph"/>
              <w:spacing w:before="195"/>
              <w:rPr>
                <w:i/>
                <w:sz w:val="24"/>
              </w:rPr>
            </w:pPr>
          </w:p>
          <w:p>
            <w:pPr>
              <w:pStyle w:val="TableParagraph"/>
              <w:spacing w:line="276" w:lineRule="auto"/>
              <w:ind w:left="149" w:right="134"/>
              <w:jc w:val="center"/>
              <w:rPr>
                <w:i/>
                <w:sz w:val="24"/>
              </w:rPr>
            </w:pPr>
            <w:r>
              <w:rPr>
                <w:i/>
                <w:spacing w:val="-2"/>
                <w:sz w:val="24"/>
              </w:rPr>
              <w:t>Скорее </w:t>
            </w:r>
            <w:r>
              <w:rPr>
                <w:i/>
                <w:spacing w:val="-6"/>
                <w:sz w:val="24"/>
              </w:rPr>
              <w:t>НЕ</w:t>
            </w:r>
          </w:p>
          <w:p>
            <w:pPr>
              <w:pStyle w:val="TableParagraph"/>
              <w:spacing w:line="275" w:lineRule="exact"/>
              <w:ind w:left="149" w:right="141"/>
              <w:jc w:val="center"/>
              <w:rPr>
                <w:i/>
                <w:sz w:val="24"/>
              </w:rPr>
            </w:pPr>
            <w:r>
              <w:rPr>
                <w:i/>
                <w:spacing w:val="-2"/>
                <w:sz w:val="24"/>
              </w:rPr>
              <w:t>согласен</w:t>
            </w:r>
          </w:p>
        </w:tc>
        <w:tc>
          <w:tcPr>
            <w:tcW w:w="1277" w:type="dxa"/>
          </w:tcPr>
          <w:p>
            <w:pPr>
              <w:pStyle w:val="TableParagraph"/>
              <w:spacing w:before="34"/>
              <w:rPr>
                <w:i/>
                <w:sz w:val="24"/>
              </w:rPr>
            </w:pPr>
          </w:p>
          <w:p>
            <w:pPr>
              <w:pStyle w:val="TableParagraph"/>
              <w:spacing w:line="276" w:lineRule="auto" w:before="1"/>
              <w:ind w:left="148" w:right="135"/>
              <w:jc w:val="center"/>
              <w:rPr>
                <w:i/>
                <w:sz w:val="24"/>
              </w:rPr>
            </w:pPr>
            <w:r>
              <w:rPr>
                <w:i/>
                <w:sz w:val="24"/>
              </w:rPr>
              <w:t>В</w:t>
            </w:r>
            <w:r>
              <w:rPr>
                <w:i/>
                <w:spacing w:val="-15"/>
                <w:sz w:val="24"/>
              </w:rPr>
              <w:t> </w:t>
            </w:r>
            <w:r>
              <w:rPr>
                <w:i/>
                <w:sz w:val="24"/>
              </w:rPr>
              <w:t>чем-</w:t>
            </w:r>
            <w:r>
              <w:rPr>
                <w:i/>
                <w:sz w:val="24"/>
              </w:rPr>
              <w:t>то </w:t>
            </w:r>
            <w:r>
              <w:rPr>
                <w:i/>
                <w:spacing w:val="-2"/>
                <w:sz w:val="24"/>
              </w:rPr>
              <w:t>согласен, </w:t>
            </w:r>
            <w:r>
              <w:rPr>
                <w:i/>
                <w:sz w:val="24"/>
              </w:rPr>
              <w:t>в чем-то </w:t>
            </w:r>
            <w:r>
              <w:rPr>
                <w:i/>
                <w:spacing w:val="-4"/>
                <w:sz w:val="24"/>
              </w:rPr>
              <w:t>нет</w:t>
            </w:r>
          </w:p>
        </w:tc>
        <w:tc>
          <w:tcPr>
            <w:tcW w:w="991" w:type="dxa"/>
          </w:tcPr>
          <w:p>
            <w:pPr>
              <w:pStyle w:val="TableParagraph"/>
              <w:spacing w:before="195"/>
              <w:rPr>
                <w:i/>
                <w:sz w:val="24"/>
              </w:rPr>
            </w:pPr>
          </w:p>
          <w:p>
            <w:pPr>
              <w:pStyle w:val="TableParagraph"/>
              <w:spacing w:line="276" w:lineRule="auto"/>
              <w:ind w:left="114" w:right="107" w:firstLine="2"/>
              <w:jc w:val="center"/>
              <w:rPr>
                <w:i/>
                <w:sz w:val="24"/>
              </w:rPr>
            </w:pPr>
            <w:r>
              <w:rPr>
                <w:i/>
                <w:spacing w:val="-2"/>
                <w:sz w:val="24"/>
              </w:rPr>
              <w:t>Скорее согласе </w:t>
            </w:r>
            <w:r>
              <w:rPr>
                <w:i/>
                <w:spacing w:val="-10"/>
                <w:sz w:val="24"/>
              </w:rPr>
              <w:t>н</w:t>
            </w:r>
          </w:p>
        </w:tc>
        <w:tc>
          <w:tcPr>
            <w:tcW w:w="1245" w:type="dxa"/>
          </w:tcPr>
          <w:p>
            <w:pPr>
              <w:pStyle w:val="TableParagraph"/>
              <w:spacing w:before="195"/>
              <w:rPr>
                <w:i/>
                <w:sz w:val="24"/>
              </w:rPr>
            </w:pPr>
          </w:p>
          <w:p>
            <w:pPr>
              <w:pStyle w:val="TableParagraph"/>
              <w:spacing w:line="276" w:lineRule="auto"/>
              <w:ind w:left="539" w:right="95" w:hanging="430"/>
              <w:rPr>
                <w:i/>
                <w:sz w:val="24"/>
              </w:rPr>
            </w:pPr>
            <w:r>
              <w:rPr>
                <w:i/>
                <w:spacing w:val="-2"/>
                <w:sz w:val="24"/>
              </w:rPr>
              <w:t>Полность </w:t>
            </w:r>
            <w:r>
              <w:rPr>
                <w:i/>
                <w:spacing w:val="-10"/>
                <w:sz w:val="24"/>
              </w:rPr>
              <w:t>ю</w:t>
            </w:r>
          </w:p>
          <w:p>
            <w:pPr>
              <w:pStyle w:val="TableParagraph"/>
              <w:spacing w:line="275" w:lineRule="exact"/>
              <w:ind w:left="186"/>
              <w:rPr>
                <w:i/>
                <w:sz w:val="24"/>
              </w:rPr>
            </w:pPr>
            <w:r>
              <w:rPr>
                <w:i/>
                <w:spacing w:val="-2"/>
                <w:sz w:val="24"/>
              </w:rPr>
              <w:t>согласен</w:t>
            </w:r>
          </w:p>
        </w:tc>
      </w:tr>
      <w:tr>
        <w:trPr>
          <w:trHeight w:val="1151" w:hRule="atLeast"/>
        </w:trPr>
        <w:tc>
          <w:tcPr>
            <w:tcW w:w="480" w:type="dxa"/>
          </w:tcPr>
          <w:p>
            <w:pPr>
              <w:pStyle w:val="TableParagraph"/>
              <w:spacing w:line="270" w:lineRule="exact"/>
              <w:ind w:left="10" w:right="142"/>
              <w:jc w:val="center"/>
              <w:rPr>
                <w:sz w:val="24"/>
              </w:rPr>
            </w:pPr>
            <w:r>
              <w:rPr>
                <w:spacing w:val="-10"/>
                <w:sz w:val="24"/>
              </w:rPr>
              <w:t>5</w:t>
            </w:r>
          </w:p>
        </w:tc>
        <w:tc>
          <w:tcPr>
            <w:tcW w:w="3593" w:type="dxa"/>
          </w:tcPr>
          <w:p>
            <w:pPr>
              <w:pStyle w:val="TableParagraph"/>
              <w:spacing w:line="276" w:lineRule="auto"/>
              <w:ind w:left="105"/>
              <w:rPr>
                <w:sz w:val="24"/>
              </w:rPr>
            </w:pPr>
            <w:r>
              <w:rPr>
                <w:sz w:val="24"/>
              </w:rPr>
              <w:t>У</w:t>
            </w:r>
            <w:r>
              <w:rPr>
                <w:spacing w:val="-10"/>
                <w:sz w:val="24"/>
              </w:rPr>
              <w:t> </w:t>
            </w:r>
            <w:r>
              <w:rPr>
                <w:sz w:val="24"/>
              </w:rPr>
              <w:t>меня</w:t>
            </w:r>
            <w:r>
              <w:rPr>
                <w:spacing w:val="-10"/>
                <w:sz w:val="24"/>
              </w:rPr>
              <w:t> </w:t>
            </w:r>
            <w:r>
              <w:rPr>
                <w:sz w:val="24"/>
              </w:rPr>
              <w:t>есть</w:t>
            </w:r>
            <w:r>
              <w:rPr>
                <w:spacing w:val="-9"/>
                <w:sz w:val="24"/>
              </w:rPr>
              <w:t> </w:t>
            </w:r>
            <w:r>
              <w:rPr>
                <w:sz w:val="24"/>
              </w:rPr>
              <w:t>друзья,</w:t>
            </w:r>
            <w:r>
              <w:rPr>
                <w:spacing w:val="-10"/>
                <w:sz w:val="24"/>
              </w:rPr>
              <w:t> </w:t>
            </w:r>
            <w:r>
              <w:rPr>
                <w:sz w:val="24"/>
              </w:rPr>
              <w:t>приехавшие из моей страны/региона (или живущие там сейчас)</w:t>
            </w:r>
          </w:p>
        </w:tc>
        <w:tc>
          <w:tcPr>
            <w:tcW w:w="708" w:type="dxa"/>
          </w:tcPr>
          <w:p>
            <w:pPr>
              <w:pStyle w:val="TableParagraph"/>
              <w:spacing w:before="34"/>
              <w:rPr>
                <w:i/>
                <w:sz w:val="24"/>
              </w:rPr>
            </w:pPr>
          </w:p>
          <w:p>
            <w:pPr>
              <w:pStyle w:val="TableParagraph"/>
              <w:spacing w:before="1"/>
              <w:ind w:left="10" w:right="5"/>
              <w:jc w:val="center"/>
              <w:rPr>
                <w:sz w:val="24"/>
              </w:rPr>
            </w:pPr>
            <w:r>
              <w:rPr>
                <w:spacing w:val="-2"/>
                <w:sz w:val="24"/>
              </w:rPr>
              <w:t>-</w:t>
            </w:r>
            <w:r>
              <w:rPr>
                <w:spacing w:val="-12"/>
                <w:sz w:val="24"/>
              </w:rPr>
              <w:t>2</w:t>
            </w:r>
          </w:p>
        </w:tc>
        <w:tc>
          <w:tcPr>
            <w:tcW w:w="1276" w:type="dxa"/>
          </w:tcPr>
          <w:p>
            <w:pPr>
              <w:pStyle w:val="TableParagraph"/>
              <w:spacing w:before="34"/>
              <w:rPr>
                <w:i/>
                <w:sz w:val="24"/>
              </w:rPr>
            </w:pPr>
          </w:p>
          <w:p>
            <w:pPr>
              <w:pStyle w:val="TableParagraph"/>
              <w:spacing w:before="1"/>
              <w:ind w:left="149" w:right="140"/>
              <w:jc w:val="center"/>
              <w:rPr>
                <w:sz w:val="24"/>
              </w:rPr>
            </w:pPr>
            <w:r>
              <w:rPr>
                <w:spacing w:val="-2"/>
                <w:sz w:val="24"/>
              </w:rPr>
              <w:t>-</w:t>
            </w:r>
            <w:r>
              <w:rPr>
                <w:spacing w:val="-12"/>
                <w:sz w:val="24"/>
              </w:rPr>
              <w:t>1</w:t>
            </w:r>
          </w:p>
        </w:tc>
        <w:tc>
          <w:tcPr>
            <w:tcW w:w="1277" w:type="dxa"/>
          </w:tcPr>
          <w:p>
            <w:pPr>
              <w:pStyle w:val="TableParagraph"/>
              <w:spacing w:before="34"/>
              <w:rPr>
                <w:i/>
                <w:sz w:val="24"/>
              </w:rPr>
            </w:pPr>
          </w:p>
          <w:p>
            <w:pPr>
              <w:pStyle w:val="TableParagraph"/>
              <w:spacing w:before="1"/>
              <w:ind w:left="148" w:right="136"/>
              <w:jc w:val="center"/>
              <w:rPr>
                <w:sz w:val="24"/>
              </w:rPr>
            </w:pPr>
            <w:r>
              <w:rPr>
                <w:spacing w:val="-10"/>
                <w:sz w:val="24"/>
              </w:rPr>
              <w:t>0</w:t>
            </w:r>
          </w:p>
        </w:tc>
        <w:tc>
          <w:tcPr>
            <w:tcW w:w="991" w:type="dxa"/>
          </w:tcPr>
          <w:p>
            <w:pPr>
              <w:pStyle w:val="TableParagraph"/>
              <w:spacing w:before="34"/>
              <w:rPr>
                <w:i/>
                <w:sz w:val="24"/>
              </w:rPr>
            </w:pPr>
          </w:p>
          <w:p>
            <w:pPr>
              <w:pStyle w:val="TableParagraph"/>
              <w:spacing w:before="1"/>
              <w:ind w:left="6"/>
              <w:jc w:val="center"/>
              <w:rPr>
                <w:sz w:val="24"/>
              </w:rPr>
            </w:pPr>
            <w:r>
              <w:rPr>
                <w:spacing w:val="-10"/>
                <w:sz w:val="24"/>
              </w:rPr>
              <w:t>1</w:t>
            </w:r>
          </w:p>
        </w:tc>
        <w:tc>
          <w:tcPr>
            <w:tcW w:w="1245" w:type="dxa"/>
          </w:tcPr>
          <w:p>
            <w:pPr>
              <w:pStyle w:val="TableParagraph"/>
              <w:spacing w:before="34"/>
              <w:rPr>
                <w:i/>
                <w:sz w:val="24"/>
              </w:rPr>
            </w:pPr>
          </w:p>
          <w:p>
            <w:pPr>
              <w:pStyle w:val="TableParagraph"/>
              <w:spacing w:before="1"/>
              <w:ind w:left="12"/>
              <w:jc w:val="center"/>
              <w:rPr>
                <w:sz w:val="24"/>
              </w:rPr>
            </w:pPr>
            <w:r>
              <w:rPr>
                <w:spacing w:val="-10"/>
                <w:sz w:val="24"/>
              </w:rPr>
              <w:t>2</w:t>
            </w:r>
          </w:p>
        </w:tc>
      </w:tr>
      <w:tr>
        <w:trPr>
          <w:trHeight w:val="518" w:hRule="atLeast"/>
        </w:trPr>
        <w:tc>
          <w:tcPr>
            <w:tcW w:w="480" w:type="dxa"/>
          </w:tcPr>
          <w:p>
            <w:pPr>
              <w:pStyle w:val="TableParagraph"/>
              <w:spacing w:line="270" w:lineRule="exact"/>
              <w:ind w:left="10" w:right="142"/>
              <w:jc w:val="center"/>
              <w:rPr>
                <w:sz w:val="24"/>
              </w:rPr>
            </w:pPr>
            <w:r>
              <w:rPr>
                <w:spacing w:val="-10"/>
                <w:sz w:val="24"/>
              </w:rPr>
              <w:t>6</w:t>
            </w:r>
          </w:p>
        </w:tc>
        <w:tc>
          <w:tcPr>
            <w:tcW w:w="3593" w:type="dxa"/>
          </w:tcPr>
          <w:p>
            <w:pPr>
              <w:pStyle w:val="TableParagraph"/>
              <w:spacing w:line="270" w:lineRule="exact"/>
              <w:ind w:left="105"/>
              <w:rPr>
                <w:sz w:val="24"/>
              </w:rPr>
            </w:pPr>
            <w:r>
              <w:rPr>
                <w:sz w:val="24"/>
              </w:rPr>
              <w:t>У</w:t>
            </w:r>
            <w:r>
              <w:rPr>
                <w:spacing w:val="-5"/>
                <w:sz w:val="24"/>
              </w:rPr>
              <w:t> </w:t>
            </w:r>
            <w:r>
              <w:rPr>
                <w:sz w:val="24"/>
              </w:rPr>
              <w:t>меня</w:t>
            </w:r>
            <w:r>
              <w:rPr>
                <w:spacing w:val="-2"/>
                <w:sz w:val="24"/>
              </w:rPr>
              <w:t> </w:t>
            </w:r>
            <w:r>
              <w:rPr>
                <w:sz w:val="24"/>
              </w:rPr>
              <w:t>есть</w:t>
            </w:r>
            <w:r>
              <w:rPr>
                <w:spacing w:val="-1"/>
                <w:sz w:val="24"/>
              </w:rPr>
              <w:t> </w:t>
            </w:r>
            <w:r>
              <w:rPr>
                <w:sz w:val="24"/>
              </w:rPr>
              <w:t>друзья</w:t>
            </w:r>
            <w:r>
              <w:rPr>
                <w:spacing w:val="-2"/>
                <w:sz w:val="24"/>
              </w:rPr>
              <w:t> </w:t>
            </w:r>
            <w:r>
              <w:rPr>
                <w:sz w:val="24"/>
              </w:rPr>
              <w:t>из</w:t>
            </w:r>
            <w:r>
              <w:rPr>
                <w:spacing w:val="-2"/>
                <w:sz w:val="24"/>
              </w:rPr>
              <w:t> России</w:t>
            </w:r>
          </w:p>
        </w:tc>
        <w:tc>
          <w:tcPr>
            <w:tcW w:w="708" w:type="dxa"/>
          </w:tcPr>
          <w:p>
            <w:pPr>
              <w:pStyle w:val="TableParagraph"/>
              <w:spacing w:line="270" w:lineRule="exact"/>
              <w:ind w:left="10" w:right="5"/>
              <w:jc w:val="center"/>
              <w:rPr>
                <w:sz w:val="24"/>
              </w:rPr>
            </w:pPr>
            <w:r>
              <w:rPr>
                <w:spacing w:val="-2"/>
                <w:sz w:val="24"/>
              </w:rPr>
              <w:t>-</w:t>
            </w:r>
            <w:r>
              <w:rPr>
                <w:spacing w:val="-12"/>
                <w:sz w:val="24"/>
              </w:rPr>
              <w:t>2</w:t>
            </w:r>
          </w:p>
        </w:tc>
        <w:tc>
          <w:tcPr>
            <w:tcW w:w="1276" w:type="dxa"/>
          </w:tcPr>
          <w:p>
            <w:pPr>
              <w:pStyle w:val="TableParagraph"/>
              <w:spacing w:line="270" w:lineRule="exact"/>
              <w:ind w:left="149" w:right="140"/>
              <w:jc w:val="center"/>
              <w:rPr>
                <w:sz w:val="24"/>
              </w:rPr>
            </w:pPr>
            <w:r>
              <w:rPr>
                <w:spacing w:val="-2"/>
                <w:sz w:val="24"/>
              </w:rPr>
              <w:t>-</w:t>
            </w:r>
            <w:r>
              <w:rPr>
                <w:spacing w:val="-12"/>
                <w:sz w:val="24"/>
              </w:rPr>
              <w:t>1</w:t>
            </w:r>
          </w:p>
        </w:tc>
        <w:tc>
          <w:tcPr>
            <w:tcW w:w="1277" w:type="dxa"/>
          </w:tcPr>
          <w:p>
            <w:pPr>
              <w:pStyle w:val="TableParagraph"/>
              <w:spacing w:line="270" w:lineRule="exact"/>
              <w:ind w:left="148" w:right="136"/>
              <w:jc w:val="center"/>
              <w:rPr>
                <w:sz w:val="24"/>
              </w:rPr>
            </w:pPr>
            <w:r>
              <w:rPr>
                <w:spacing w:val="-10"/>
                <w:sz w:val="24"/>
              </w:rPr>
              <w:t>0</w:t>
            </w:r>
          </w:p>
        </w:tc>
        <w:tc>
          <w:tcPr>
            <w:tcW w:w="991" w:type="dxa"/>
          </w:tcPr>
          <w:p>
            <w:pPr>
              <w:pStyle w:val="TableParagraph"/>
              <w:spacing w:line="270" w:lineRule="exact"/>
              <w:ind w:left="6"/>
              <w:jc w:val="center"/>
              <w:rPr>
                <w:sz w:val="24"/>
              </w:rPr>
            </w:pPr>
            <w:r>
              <w:rPr>
                <w:spacing w:val="-10"/>
                <w:sz w:val="24"/>
              </w:rPr>
              <w:t>1</w:t>
            </w:r>
          </w:p>
        </w:tc>
        <w:tc>
          <w:tcPr>
            <w:tcW w:w="1245" w:type="dxa"/>
          </w:tcPr>
          <w:p>
            <w:pPr>
              <w:pStyle w:val="TableParagraph"/>
              <w:spacing w:line="270" w:lineRule="exact"/>
              <w:ind w:left="12"/>
              <w:jc w:val="center"/>
              <w:rPr>
                <w:sz w:val="24"/>
              </w:rPr>
            </w:pPr>
            <w:r>
              <w:rPr>
                <w:spacing w:val="-10"/>
                <w:sz w:val="24"/>
              </w:rPr>
              <w:t>2</w:t>
            </w:r>
          </w:p>
        </w:tc>
      </w:tr>
      <w:tr>
        <w:trPr>
          <w:trHeight w:val="835" w:hRule="atLeast"/>
        </w:trPr>
        <w:tc>
          <w:tcPr>
            <w:tcW w:w="480" w:type="dxa"/>
          </w:tcPr>
          <w:p>
            <w:pPr>
              <w:pStyle w:val="TableParagraph"/>
              <w:spacing w:line="270" w:lineRule="exact"/>
              <w:ind w:left="10" w:right="142"/>
              <w:jc w:val="center"/>
              <w:rPr>
                <w:sz w:val="24"/>
              </w:rPr>
            </w:pPr>
            <w:r>
              <w:rPr>
                <w:spacing w:val="-10"/>
                <w:sz w:val="24"/>
              </w:rPr>
              <w:t>7</w:t>
            </w:r>
          </w:p>
        </w:tc>
        <w:tc>
          <w:tcPr>
            <w:tcW w:w="3593" w:type="dxa"/>
          </w:tcPr>
          <w:p>
            <w:pPr>
              <w:pStyle w:val="TableParagraph"/>
              <w:spacing w:line="276" w:lineRule="auto"/>
              <w:ind w:left="105"/>
              <w:rPr>
                <w:sz w:val="24"/>
              </w:rPr>
            </w:pPr>
            <w:r>
              <w:rPr>
                <w:sz w:val="24"/>
              </w:rPr>
              <w:t>Мне</w:t>
            </w:r>
            <w:r>
              <w:rPr>
                <w:spacing w:val="-7"/>
                <w:sz w:val="24"/>
              </w:rPr>
              <w:t> </w:t>
            </w:r>
            <w:r>
              <w:rPr>
                <w:sz w:val="24"/>
              </w:rPr>
              <w:t>нравится</w:t>
            </w:r>
            <w:r>
              <w:rPr>
                <w:spacing w:val="-6"/>
                <w:sz w:val="24"/>
              </w:rPr>
              <w:t> </w:t>
            </w:r>
            <w:r>
              <w:rPr>
                <w:sz w:val="24"/>
              </w:rPr>
              <w:t>жить</w:t>
            </w:r>
            <w:r>
              <w:rPr>
                <w:spacing w:val="-4"/>
                <w:sz w:val="24"/>
              </w:rPr>
              <w:t> </w:t>
            </w:r>
            <w:r>
              <w:rPr>
                <w:sz w:val="24"/>
              </w:rPr>
              <w:t>у</w:t>
            </w:r>
            <w:r>
              <w:rPr>
                <w:spacing w:val="-13"/>
                <w:sz w:val="24"/>
              </w:rPr>
              <w:t> </w:t>
            </w:r>
            <w:r>
              <w:rPr>
                <w:sz w:val="24"/>
              </w:rPr>
              <w:t>меня</w:t>
            </w:r>
            <w:r>
              <w:rPr>
                <w:spacing w:val="-6"/>
                <w:sz w:val="24"/>
              </w:rPr>
              <w:t> </w:t>
            </w:r>
            <w:r>
              <w:rPr>
                <w:sz w:val="24"/>
              </w:rPr>
              <w:t>на </w:t>
            </w:r>
            <w:r>
              <w:rPr>
                <w:spacing w:val="-2"/>
                <w:sz w:val="24"/>
              </w:rPr>
              <w:t>родине</w:t>
            </w:r>
          </w:p>
        </w:tc>
        <w:tc>
          <w:tcPr>
            <w:tcW w:w="708" w:type="dxa"/>
          </w:tcPr>
          <w:p>
            <w:pPr>
              <w:pStyle w:val="TableParagraph"/>
              <w:spacing w:before="152"/>
              <w:ind w:left="10" w:right="5"/>
              <w:jc w:val="center"/>
              <w:rPr>
                <w:sz w:val="24"/>
              </w:rPr>
            </w:pPr>
            <w:r>
              <w:rPr>
                <w:spacing w:val="-2"/>
                <w:sz w:val="24"/>
              </w:rPr>
              <w:t>-</w:t>
            </w:r>
            <w:r>
              <w:rPr>
                <w:spacing w:val="-12"/>
                <w:sz w:val="24"/>
              </w:rPr>
              <w:t>2</w:t>
            </w:r>
          </w:p>
        </w:tc>
        <w:tc>
          <w:tcPr>
            <w:tcW w:w="1276" w:type="dxa"/>
          </w:tcPr>
          <w:p>
            <w:pPr>
              <w:pStyle w:val="TableParagraph"/>
              <w:spacing w:before="152"/>
              <w:ind w:left="149" w:right="140"/>
              <w:jc w:val="center"/>
              <w:rPr>
                <w:sz w:val="24"/>
              </w:rPr>
            </w:pPr>
            <w:r>
              <w:rPr>
                <w:spacing w:val="-2"/>
                <w:sz w:val="24"/>
              </w:rPr>
              <w:t>-</w:t>
            </w:r>
            <w:r>
              <w:rPr>
                <w:spacing w:val="-12"/>
                <w:sz w:val="24"/>
              </w:rPr>
              <w:t>1</w:t>
            </w:r>
          </w:p>
        </w:tc>
        <w:tc>
          <w:tcPr>
            <w:tcW w:w="1277" w:type="dxa"/>
          </w:tcPr>
          <w:p>
            <w:pPr>
              <w:pStyle w:val="TableParagraph"/>
              <w:spacing w:before="152"/>
              <w:ind w:left="148" w:right="136"/>
              <w:jc w:val="center"/>
              <w:rPr>
                <w:sz w:val="24"/>
              </w:rPr>
            </w:pPr>
            <w:r>
              <w:rPr>
                <w:spacing w:val="-10"/>
                <w:sz w:val="24"/>
              </w:rPr>
              <w:t>0</w:t>
            </w:r>
          </w:p>
        </w:tc>
        <w:tc>
          <w:tcPr>
            <w:tcW w:w="991" w:type="dxa"/>
          </w:tcPr>
          <w:p>
            <w:pPr>
              <w:pStyle w:val="TableParagraph"/>
              <w:spacing w:before="152"/>
              <w:ind w:left="6"/>
              <w:jc w:val="center"/>
              <w:rPr>
                <w:sz w:val="24"/>
              </w:rPr>
            </w:pPr>
            <w:r>
              <w:rPr>
                <w:spacing w:val="-10"/>
                <w:sz w:val="24"/>
              </w:rPr>
              <w:t>1</w:t>
            </w:r>
          </w:p>
        </w:tc>
        <w:tc>
          <w:tcPr>
            <w:tcW w:w="1245" w:type="dxa"/>
          </w:tcPr>
          <w:p>
            <w:pPr>
              <w:pStyle w:val="TableParagraph"/>
              <w:spacing w:before="152"/>
              <w:ind w:left="12"/>
              <w:jc w:val="center"/>
              <w:rPr>
                <w:sz w:val="24"/>
              </w:rPr>
            </w:pPr>
            <w:r>
              <w:rPr>
                <w:spacing w:val="-10"/>
                <w:sz w:val="24"/>
              </w:rPr>
              <w:t>2</w:t>
            </w:r>
          </w:p>
        </w:tc>
      </w:tr>
      <w:tr>
        <w:trPr>
          <w:trHeight w:val="518" w:hRule="atLeast"/>
        </w:trPr>
        <w:tc>
          <w:tcPr>
            <w:tcW w:w="480" w:type="dxa"/>
          </w:tcPr>
          <w:p>
            <w:pPr>
              <w:pStyle w:val="TableParagraph"/>
              <w:spacing w:line="270" w:lineRule="exact"/>
              <w:ind w:left="10" w:right="142"/>
              <w:jc w:val="center"/>
              <w:rPr>
                <w:sz w:val="24"/>
              </w:rPr>
            </w:pPr>
            <w:r>
              <w:rPr>
                <w:spacing w:val="-10"/>
                <w:sz w:val="24"/>
              </w:rPr>
              <w:t>8</w:t>
            </w:r>
          </w:p>
        </w:tc>
        <w:tc>
          <w:tcPr>
            <w:tcW w:w="3593" w:type="dxa"/>
          </w:tcPr>
          <w:p>
            <w:pPr>
              <w:pStyle w:val="TableParagraph"/>
              <w:spacing w:line="270" w:lineRule="exact"/>
              <w:ind w:left="105"/>
              <w:rPr>
                <w:sz w:val="24"/>
              </w:rPr>
            </w:pPr>
            <w:r>
              <w:rPr>
                <w:sz w:val="24"/>
              </w:rPr>
              <w:t>Мне</w:t>
            </w:r>
            <w:r>
              <w:rPr>
                <w:spacing w:val="-2"/>
                <w:sz w:val="24"/>
              </w:rPr>
              <w:t> </w:t>
            </w:r>
            <w:r>
              <w:rPr>
                <w:sz w:val="24"/>
              </w:rPr>
              <w:t>нравится жить в</w:t>
            </w:r>
            <w:r>
              <w:rPr>
                <w:spacing w:val="-3"/>
                <w:sz w:val="24"/>
              </w:rPr>
              <w:t> </w:t>
            </w:r>
            <w:r>
              <w:rPr>
                <w:spacing w:val="-2"/>
                <w:sz w:val="24"/>
              </w:rPr>
              <w:t>России</w:t>
            </w:r>
          </w:p>
        </w:tc>
        <w:tc>
          <w:tcPr>
            <w:tcW w:w="708" w:type="dxa"/>
          </w:tcPr>
          <w:p>
            <w:pPr>
              <w:pStyle w:val="TableParagraph"/>
              <w:spacing w:line="270" w:lineRule="exact"/>
              <w:ind w:left="10" w:right="5"/>
              <w:jc w:val="center"/>
              <w:rPr>
                <w:sz w:val="24"/>
              </w:rPr>
            </w:pPr>
            <w:r>
              <w:rPr>
                <w:spacing w:val="-2"/>
                <w:sz w:val="24"/>
              </w:rPr>
              <w:t>-</w:t>
            </w:r>
            <w:r>
              <w:rPr>
                <w:spacing w:val="-12"/>
                <w:sz w:val="24"/>
              </w:rPr>
              <w:t>2</w:t>
            </w:r>
          </w:p>
        </w:tc>
        <w:tc>
          <w:tcPr>
            <w:tcW w:w="1276" w:type="dxa"/>
          </w:tcPr>
          <w:p>
            <w:pPr>
              <w:pStyle w:val="TableParagraph"/>
              <w:spacing w:line="270" w:lineRule="exact"/>
              <w:ind w:left="149" w:right="140"/>
              <w:jc w:val="center"/>
              <w:rPr>
                <w:sz w:val="24"/>
              </w:rPr>
            </w:pPr>
            <w:r>
              <w:rPr>
                <w:spacing w:val="-2"/>
                <w:sz w:val="24"/>
              </w:rPr>
              <w:t>-</w:t>
            </w:r>
            <w:r>
              <w:rPr>
                <w:spacing w:val="-12"/>
                <w:sz w:val="24"/>
              </w:rPr>
              <w:t>1</w:t>
            </w:r>
          </w:p>
        </w:tc>
        <w:tc>
          <w:tcPr>
            <w:tcW w:w="1277" w:type="dxa"/>
          </w:tcPr>
          <w:p>
            <w:pPr>
              <w:pStyle w:val="TableParagraph"/>
              <w:spacing w:line="270" w:lineRule="exact"/>
              <w:ind w:left="148" w:right="136"/>
              <w:jc w:val="center"/>
              <w:rPr>
                <w:sz w:val="24"/>
              </w:rPr>
            </w:pPr>
            <w:r>
              <w:rPr>
                <w:spacing w:val="-10"/>
                <w:sz w:val="24"/>
              </w:rPr>
              <w:t>0</w:t>
            </w:r>
          </w:p>
        </w:tc>
        <w:tc>
          <w:tcPr>
            <w:tcW w:w="991" w:type="dxa"/>
          </w:tcPr>
          <w:p>
            <w:pPr>
              <w:pStyle w:val="TableParagraph"/>
              <w:spacing w:line="270" w:lineRule="exact"/>
              <w:ind w:left="6"/>
              <w:jc w:val="center"/>
              <w:rPr>
                <w:sz w:val="24"/>
              </w:rPr>
            </w:pPr>
            <w:r>
              <w:rPr>
                <w:spacing w:val="-10"/>
                <w:sz w:val="24"/>
              </w:rPr>
              <w:t>1</w:t>
            </w:r>
          </w:p>
        </w:tc>
        <w:tc>
          <w:tcPr>
            <w:tcW w:w="1245" w:type="dxa"/>
          </w:tcPr>
          <w:p>
            <w:pPr>
              <w:pStyle w:val="TableParagraph"/>
              <w:spacing w:line="270" w:lineRule="exact"/>
              <w:ind w:left="12"/>
              <w:jc w:val="center"/>
              <w:rPr>
                <w:sz w:val="24"/>
              </w:rPr>
            </w:pPr>
            <w:r>
              <w:rPr>
                <w:spacing w:val="-10"/>
                <w:sz w:val="24"/>
              </w:rPr>
              <w:t>2</w:t>
            </w:r>
          </w:p>
        </w:tc>
      </w:tr>
    </w:tbl>
    <w:p>
      <w:pPr>
        <w:pStyle w:val="TableParagraph"/>
        <w:spacing w:after="0" w:line="270" w:lineRule="exact"/>
        <w:jc w:val="center"/>
        <w:rPr>
          <w:sz w:val="24"/>
        </w:rPr>
        <w:sectPr>
          <w:pgSz w:w="11910" w:h="16840"/>
          <w:pgMar w:header="0" w:footer="970" w:top="1040" w:bottom="1220" w:left="1417" w:right="283"/>
        </w:sectPr>
      </w:pPr>
    </w:p>
    <w:p>
      <w:pPr>
        <w:spacing w:line="321" w:lineRule="exact" w:before="72"/>
        <w:ind w:left="2632" w:right="0" w:firstLine="0"/>
        <w:jc w:val="left"/>
        <w:rPr>
          <w:b/>
          <w:sz w:val="28"/>
        </w:rPr>
      </w:pPr>
      <w:r>
        <w:rPr>
          <w:b/>
          <w:sz w:val="28"/>
        </w:rPr>
        <w:t>Бланк</w:t>
      </w:r>
      <w:r>
        <w:rPr>
          <w:b/>
          <w:spacing w:val="-6"/>
          <w:sz w:val="28"/>
        </w:rPr>
        <w:t> </w:t>
      </w:r>
      <w:r>
        <w:rPr>
          <w:b/>
          <w:sz w:val="28"/>
        </w:rPr>
        <w:t>методики</w:t>
      </w:r>
      <w:r>
        <w:rPr>
          <w:b/>
          <w:spacing w:val="-6"/>
          <w:sz w:val="28"/>
        </w:rPr>
        <w:t> </w:t>
      </w:r>
      <w:r>
        <w:rPr>
          <w:b/>
          <w:sz w:val="28"/>
        </w:rPr>
        <w:t>для</w:t>
      </w:r>
      <w:r>
        <w:rPr>
          <w:b/>
          <w:spacing w:val="-6"/>
          <w:sz w:val="28"/>
        </w:rPr>
        <w:t> </w:t>
      </w:r>
      <w:r>
        <w:rPr>
          <w:b/>
          <w:sz w:val="28"/>
        </w:rPr>
        <w:t>средней</w:t>
      </w:r>
      <w:r>
        <w:rPr>
          <w:b/>
          <w:spacing w:val="-6"/>
          <w:sz w:val="28"/>
        </w:rPr>
        <w:t> </w:t>
      </w:r>
      <w:r>
        <w:rPr>
          <w:b/>
          <w:spacing w:val="-2"/>
          <w:sz w:val="28"/>
        </w:rPr>
        <w:t>школы</w:t>
      </w:r>
    </w:p>
    <w:p>
      <w:pPr>
        <w:pStyle w:val="Heading5"/>
        <w:ind w:right="560"/>
      </w:pPr>
      <w:r>
        <w:rPr/>
        <w:t>Оцени</w:t>
      </w:r>
      <w:r>
        <w:rPr>
          <w:spacing w:val="-6"/>
        </w:rPr>
        <w:t> </w:t>
      </w:r>
      <w:r>
        <w:rPr/>
        <w:t>по</w:t>
      </w:r>
      <w:r>
        <w:rPr>
          <w:spacing w:val="-2"/>
        </w:rPr>
        <w:t> </w:t>
      </w:r>
      <w:r>
        <w:rPr/>
        <w:t>шкале</w:t>
      </w:r>
      <w:r>
        <w:rPr>
          <w:spacing w:val="-4"/>
        </w:rPr>
        <w:t> </w:t>
      </w:r>
      <w:r>
        <w:rPr/>
        <w:t>от</w:t>
      </w:r>
      <w:r>
        <w:rPr>
          <w:spacing w:val="-6"/>
        </w:rPr>
        <w:t> </w:t>
      </w:r>
      <w:r>
        <w:rPr/>
        <w:t>-2</w:t>
      </w:r>
      <w:r>
        <w:rPr>
          <w:spacing w:val="-2"/>
        </w:rPr>
        <w:t> </w:t>
      </w:r>
      <w:r>
        <w:rPr/>
        <w:t>«Никогда»</w:t>
      </w:r>
      <w:r>
        <w:rPr>
          <w:spacing w:val="-2"/>
        </w:rPr>
        <w:t> </w:t>
      </w:r>
      <w:r>
        <w:rPr/>
        <w:t>до</w:t>
      </w:r>
      <w:r>
        <w:rPr>
          <w:spacing w:val="-2"/>
        </w:rPr>
        <w:t> </w:t>
      </w:r>
      <w:r>
        <w:rPr/>
        <w:t>+2</w:t>
      </w:r>
      <w:r>
        <w:rPr>
          <w:spacing w:val="-6"/>
        </w:rPr>
        <w:t> </w:t>
      </w:r>
      <w:r>
        <w:rPr/>
        <w:t>«Всегда»,</w:t>
      </w:r>
      <w:r>
        <w:rPr>
          <w:spacing w:val="-4"/>
        </w:rPr>
        <w:t> </w:t>
      </w:r>
      <w:r>
        <w:rPr/>
        <w:t>насколько</w:t>
      </w:r>
      <w:r>
        <w:rPr>
          <w:spacing w:val="-4"/>
        </w:rPr>
        <w:t> </w:t>
      </w:r>
      <w:r>
        <w:rPr/>
        <w:t>часто</w:t>
      </w:r>
      <w:r>
        <w:rPr>
          <w:spacing w:val="-2"/>
        </w:rPr>
        <w:t> </w:t>
      </w:r>
      <w:r>
        <w:rPr/>
        <w:t>ты используешь родной язык и русский язык в разных ситуациях.</w:t>
      </w:r>
    </w:p>
    <w:p>
      <w:pPr>
        <w:pStyle w:val="BodyText"/>
        <w:spacing w:before="51"/>
        <w:ind w:left="0" w:right="0" w:firstLine="0"/>
        <w:jc w:val="left"/>
        <w:rPr>
          <w:i/>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1"/>
        <w:gridCol w:w="4172"/>
        <w:gridCol w:w="1076"/>
        <w:gridCol w:w="934"/>
        <w:gridCol w:w="1047"/>
        <w:gridCol w:w="922"/>
        <w:gridCol w:w="912"/>
      </w:tblGrid>
      <w:tr>
        <w:trPr>
          <w:trHeight w:val="1151" w:hRule="atLeast"/>
        </w:trPr>
        <w:tc>
          <w:tcPr>
            <w:tcW w:w="511" w:type="dxa"/>
          </w:tcPr>
          <w:p>
            <w:pPr>
              <w:pStyle w:val="TableParagraph"/>
              <w:spacing w:before="39"/>
              <w:rPr>
                <w:i/>
                <w:sz w:val="24"/>
              </w:rPr>
            </w:pPr>
          </w:p>
          <w:p>
            <w:pPr>
              <w:pStyle w:val="TableParagraph"/>
              <w:ind w:left="134"/>
              <w:rPr>
                <w:b/>
                <w:sz w:val="24"/>
              </w:rPr>
            </w:pPr>
            <w:r>
              <w:rPr>
                <w:b/>
                <w:spacing w:val="-10"/>
                <w:sz w:val="24"/>
              </w:rPr>
              <w:t>№</w:t>
            </w:r>
          </w:p>
        </w:tc>
        <w:tc>
          <w:tcPr>
            <w:tcW w:w="4172" w:type="dxa"/>
          </w:tcPr>
          <w:p>
            <w:pPr>
              <w:pStyle w:val="TableParagraph"/>
              <w:spacing w:before="39"/>
              <w:rPr>
                <w:i/>
                <w:sz w:val="24"/>
              </w:rPr>
            </w:pPr>
          </w:p>
          <w:p>
            <w:pPr>
              <w:pStyle w:val="TableParagraph"/>
              <w:ind w:left="1348"/>
              <w:rPr>
                <w:b/>
                <w:sz w:val="24"/>
              </w:rPr>
            </w:pPr>
            <w:r>
              <w:rPr>
                <w:b/>
                <w:spacing w:val="-2"/>
                <w:sz w:val="24"/>
              </w:rPr>
              <w:t>Утверждения</w:t>
            </w:r>
          </w:p>
        </w:tc>
        <w:tc>
          <w:tcPr>
            <w:tcW w:w="1076" w:type="dxa"/>
          </w:tcPr>
          <w:p>
            <w:pPr>
              <w:pStyle w:val="TableParagraph"/>
              <w:spacing w:before="34"/>
              <w:rPr>
                <w:i/>
                <w:sz w:val="24"/>
              </w:rPr>
            </w:pPr>
          </w:p>
          <w:p>
            <w:pPr>
              <w:pStyle w:val="TableParagraph"/>
              <w:spacing w:before="1"/>
              <w:ind w:left="7" w:right="1"/>
              <w:jc w:val="center"/>
              <w:rPr>
                <w:i/>
                <w:sz w:val="24"/>
              </w:rPr>
            </w:pPr>
            <w:r>
              <w:rPr>
                <w:i/>
                <w:spacing w:val="-2"/>
                <w:sz w:val="24"/>
              </w:rPr>
              <w:t>Никогда</w:t>
            </w:r>
          </w:p>
        </w:tc>
        <w:tc>
          <w:tcPr>
            <w:tcW w:w="934" w:type="dxa"/>
          </w:tcPr>
          <w:p>
            <w:pPr>
              <w:pStyle w:val="TableParagraph"/>
              <w:spacing w:before="34"/>
              <w:rPr>
                <w:i/>
                <w:sz w:val="24"/>
              </w:rPr>
            </w:pPr>
          </w:p>
          <w:p>
            <w:pPr>
              <w:pStyle w:val="TableParagraph"/>
              <w:spacing w:before="1"/>
              <w:ind w:left="8" w:right="1"/>
              <w:jc w:val="center"/>
              <w:rPr>
                <w:i/>
                <w:sz w:val="24"/>
              </w:rPr>
            </w:pPr>
            <w:r>
              <w:rPr>
                <w:i/>
                <w:spacing w:val="-4"/>
                <w:sz w:val="24"/>
              </w:rPr>
              <w:t>Редко</w:t>
            </w:r>
          </w:p>
        </w:tc>
        <w:tc>
          <w:tcPr>
            <w:tcW w:w="1047" w:type="dxa"/>
          </w:tcPr>
          <w:p>
            <w:pPr>
              <w:pStyle w:val="TableParagraph"/>
              <w:spacing w:line="276" w:lineRule="auto"/>
              <w:ind w:left="375" w:hanging="173"/>
              <w:rPr>
                <w:i/>
                <w:sz w:val="24"/>
              </w:rPr>
            </w:pPr>
            <w:r>
              <w:rPr>
                <w:i/>
                <w:spacing w:val="-4"/>
                <w:sz w:val="24"/>
              </w:rPr>
              <w:t>Время </w:t>
            </w:r>
            <w:r>
              <w:rPr>
                <w:i/>
                <w:spacing w:val="-6"/>
                <w:sz w:val="24"/>
              </w:rPr>
              <w:t>от</w:t>
            </w:r>
          </w:p>
          <w:p>
            <w:pPr>
              <w:pStyle w:val="TableParagraph"/>
              <w:ind w:left="106"/>
              <w:rPr>
                <w:i/>
                <w:sz w:val="24"/>
              </w:rPr>
            </w:pPr>
            <w:r>
              <w:rPr>
                <w:i/>
                <w:spacing w:val="-2"/>
                <w:sz w:val="24"/>
              </w:rPr>
              <w:t>времени</w:t>
            </w:r>
          </w:p>
        </w:tc>
        <w:tc>
          <w:tcPr>
            <w:tcW w:w="922" w:type="dxa"/>
          </w:tcPr>
          <w:p>
            <w:pPr>
              <w:pStyle w:val="TableParagraph"/>
              <w:spacing w:before="34"/>
              <w:rPr>
                <w:i/>
                <w:sz w:val="24"/>
              </w:rPr>
            </w:pPr>
          </w:p>
          <w:p>
            <w:pPr>
              <w:pStyle w:val="TableParagraph"/>
              <w:spacing w:before="1"/>
              <w:ind w:left="7" w:right="2"/>
              <w:jc w:val="center"/>
              <w:rPr>
                <w:i/>
                <w:sz w:val="24"/>
              </w:rPr>
            </w:pPr>
            <w:r>
              <w:rPr>
                <w:i/>
                <w:spacing w:val="-2"/>
                <w:sz w:val="24"/>
              </w:rPr>
              <w:t>Часто</w:t>
            </w:r>
          </w:p>
        </w:tc>
        <w:tc>
          <w:tcPr>
            <w:tcW w:w="912" w:type="dxa"/>
          </w:tcPr>
          <w:p>
            <w:pPr>
              <w:pStyle w:val="TableParagraph"/>
              <w:spacing w:before="34"/>
              <w:rPr>
                <w:i/>
                <w:sz w:val="24"/>
              </w:rPr>
            </w:pPr>
          </w:p>
          <w:p>
            <w:pPr>
              <w:pStyle w:val="TableParagraph"/>
              <w:spacing w:before="1"/>
              <w:ind w:left="7" w:right="3"/>
              <w:jc w:val="center"/>
              <w:rPr>
                <w:i/>
                <w:sz w:val="24"/>
              </w:rPr>
            </w:pPr>
            <w:r>
              <w:rPr>
                <w:i/>
                <w:spacing w:val="-2"/>
                <w:sz w:val="24"/>
              </w:rPr>
              <w:t>Всегда</w:t>
            </w:r>
          </w:p>
        </w:tc>
      </w:tr>
      <w:tr>
        <w:trPr>
          <w:trHeight w:val="517" w:hRule="atLeast"/>
        </w:trPr>
        <w:tc>
          <w:tcPr>
            <w:tcW w:w="511" w:type="dxa"/>
          </w:tcPr>
          <w:p>
            <w:pPr>
              <w:pStyle w:val="TableParagraph"/>
              <w:spacing w:line="270" w:lineRule="exact"/>
              <w:ind w:left="107"/>
              <w:rPr>
                <w:sz w:val="24"/>
              </w:rPr>
            </w:pPr>
            <w:r>
              <w:rPr>
                <w:spacing w:val="-10"/>
                <w:sz w:val="24"/>
              </w:rPr>
              <w:t>1</w:t>
            </w:r>
          </w:p>
        </w:tc>
        <w:tc>
          <w:tcPr>
            <w:tcW w:w="4172" w:type="dxa"/>
          </w:tcPr>
          <w:p>
            <w:pPr>
              <w:pStyle w:val="TableParagraph"/>
              <w:spacing w:line="270" w:lineRule="exact"/>
              <w:ind w:left="107"/>
              <w:rPr>
                <w:sz w:val="24"/>
              </w:rPr>
            </w:pPr>
            <w:r>
              <w:rPr>
                <w:sz w:val="24"/>
              </w:rPr>
              <w:t>Я</w:t>
            </w:r>
            <w:r>
              <w:rPr>
                <w:spacing w:val="-4"/>
                <w:sz w:val="24"/>
              </w:rPr>
              <w:t> </w:t>
            </w:r>
            <w:r>
              <w:rPr>
                <w:sz w:val="24"/>
              </w:rPr>
              <w:t>говорю</w:t>
            </w:r>
            <w:r>
              <w:rPr>
                <w:spacing w:val="-2"/>
                <w:sz w:val="24"/>
              </w:rPr>
              <w:t> </w:t>
            </w:r>
            <w:r>
              <w:rPr>
                <w:sz w:val="24"/>
              </w:rPr>
              <w:t>дома</w:t>
            </w:r>
            <w:r>
              <w:rPr>
                <w:spacing w:val="-4"/>
                <w:sz w:val="24"/>
              </w:rPr>
              <w:t> </w:t>
            </w:r>
            <w:r>
              <w:rPr>
                <w:sz w:val="24"/>
              </w:rPr>
              <w:t>на</w:t>
            </w:r>
            <w:r>
              <w:rPr>
                <w:spacing w:val="-2"/>
                <w:sz w:val="24"/>
              </w:rPr>
              <w:t> </w:t>
            </w:r>
            <w:r>
              <w:rPr>
                <w:sz w:val="24"/>
              </w:rPr>
              <w:t>родном</w:t>
            </w:r>
            <w:r>
              <w:rPr>
                <w:spacing w:val="-2"/>
                <w:sz w:val="24"/>
              </w:rPr>
              <w:t> языке</w:t>
            </w:r>
          </w:p>
        </w:tc>
        <w:tc>
          <w:tcPr>
            <w:tcW w:w="1076" w:type="dxa"/>
          </w:tcPr>
          <w:p>
            <w:pPr>
              <w:pStyle w:val="TableParagraph"/>
              <w:spacing w:line="270" w:lineRule="exact"/>
              <w:ind w:left="7"/>
              <w:jc w:val="center"/>
              <w:rPr>
                <w:sz w:val="24"/>
              </w:rPr>
            </w:pPr>
            <w:r>
              <w:rPr>
                <w:spacing w:val="-2"/>
                <w:sz w:val="24"/>
              </w:rPr>
              <w:t>-</w:t>
            </w:r>
            <w:r>
              <w:rPr>
                <w:spacing w:val="-12"/>
                <w:sz w:val="24"/>
              </w:rPr>
              <w:t>2</w:t>
            </w:r>
          </w:p>
        </w:tc>
        <w:tc>
          <w:tcPr>
            <w:tcW w:w="934" w:type="dxa"/>
          </w:tcPr>
          <w:p>
            <w:pPr>
              <w:pStyle w:val="TableParagraph"/>
              <w:spacing w:line="270" w:lineRule="exact"/>
              <w:ind w:left="8"/>
              <w:jc w:val="center"/>
              <w:rPr>
                <w:sz w:val="24"/>
              </w:rPr>
            </w:pPr>
            <w:r>
              <w:rPr>
                <w:spacing w:val="-2"/>
                <w:sz w:val="24"/>
              </w:rPr>
              <w:t>-</w:t>
            </w:r>
            <w:r>
              <w:rPr>
                <w:spacing w:val="-12"/>
                <w:sz w:val="24"/>
              </w:rPr>
              <w:t>1</w:t>
            </w:r>
          </w:p>
        </w:tc>
        <w:tc>
          <w:tcPr>
            <w:tcW w:w="1047" w:type="dxa"/>
          </w:tcPr>
          <w:p>
            <w:pPr>
              <w:pStyle w:val="TableParagraph"/>
              <w:spacing w:line="270" w:lineRule="exact"/>
              <w:ind w:left="8" w:right="1"/>
              <w:jc w:val="center"/>
              <w:rPr>
                <w:sz w:val="24"/>
              </w:rPr>
            </w:pPr>
            <w:r>
              <w:rPr>
                <w:spacing w:val="-10"/>
                <w:sz w:val="24"/>
              </w:rPr>
              <w:t>0</w:t>
            </w:r>
          </w:p>
        </w:tc>
        <w:tc>
          <w:tcPr>
            <w:tcW w:w="922" w:type="dxa"/>
          </w:tcPr>
          <w:p>
            <w:pPr>
              <w:pStyle w:val="TableParagraph"/>
              <w:spacing w:line="270" w:lineRule="exact"/>
              <w:ind w:left="7"/>
              <w:jc w:val="center"/>
              <w:rPr>
                <w:sz w:val="24"/>
              </w:rPr>
            </w:pPr>
            <w:r>
              <w:rPr>
                <w:spacing w:val="-10"/>
                <w:sz w:val="24"/>
              </w:rPr>
              <w:t>1</w:t>
            </w:r>
          </w:p>
        </w:tc>
        <w:tc>
          <w:tcPr>
            <w:tcW w:w="912" w:type="dxa"/>
          </w:tcPr>
          <w:p>
            <w:pPr>
              <w:pStyle w:val="TableParagraph"/>
              <w:spacing w:line="270" w:lineRule="exact"/>
              <w:ind w:left="7"/>
              <w:jc w:val="center"/>
              <w:rPr>
                <w:sz w:val="24"/>
              </w:rPr>
            </w:pPr>
            <w:r>
              <w:rPr>
                <w:spacing w:val="-10"/>
                <w:sz w:val="24"/>
              </w:rPr>
              <w:t>2</w:t>
            </w:r>
          </w:p>
        </w:tc>
      </w:tr>
      <w:tr>
        <w:trPr>
          <w:trHeight w:val="517" w:hRule="atLeast"/>
        </w:trPr>
        <w:tc>
          <w:tcPr>
            <w:tcW w:w="511" w:type="dxa"/>
          </w:tcPr>
          <w:p>
            <w:pPr>
              <w:pStyle w:val="TableParagraph"/>
              <w:spacing w:line="270" w:lineRule="exact"/>
              <w:ind w:left="107"/>
              <w:rPr>
                <w:sz w:val="24"/>
              </w:rPr>
            </w:pPr>
            <w:r>
              <w:rPr>
                <w:spacing w:val="-10"/>
                <w:sz w:val="24"/>
              </w:rPr>
              <w:t>2</w:t>
            </w:r>
          </w:p>
        </w:tc>
        <w:tc>
          <w:tcPr>
            <w:tcW w:w="4172" w:type="dxa"/>
          </w:tcPr>
          <w:p>
            <w:pPr>
              <w:pStyle w:val="TableParagraph"/>
              <w:spacing w:line="270" w:lineRule="exact"/>
              <w:ind w:left="107"/>
              <w:rPr>
                <w:sz w:val="24"/>
              </w:rPr>
            </w:pPr>
            <w:r>
              <w:rPr>
                <w:sz w:val="24"/>
              </w:rPr>
              <w:t>Я</w:t>
            </w:r>
            <w:r>
              <w:rPr>
                <w:spacing w:val="-4"/>
                <w:sz w:val="24"/>
              </w:rPr>
              <w:t> </w:t>
            </w:r>
            <w:r>
              <w:rPr>
                <w:sz w:val="24"/>
              </w:rPr>
              <w:t>говорю</w:t>
            </w:r>
            <w:r>
              <w:rPr>
                <w:spacing w:val="-2"/>
                <w:sz w:val="24"/>
              </w:rPr>
              <w:t> </w:t>
            </w:r>
            <w:r>
              <w:rPr>
                <w:sz w:val="24"/>
              </w:rPr>
              <w:t>дома</w:t>
            </w:r>
            <w:r>
              <w:rPr>
                <w:spacing w:val="-3"/>
                <w:sz w:val="24"/>
              </w:rPr>
              <w:t> </w:t>
            </w:r>
            <w:r>
              <w:rPr>
                <w:sz w:val="24"/>
              </w:rPr>
              <w:t>на</w:t>
            </w:r>
            <w:r>
              <w:rPr>
                <w:spacing w:val="-2"/>
                <w:sz w:val="24"/>
              </w:rPr>
              <w:t> </w:t>
            </w:r>
            <w:r>
              <w:rPr>
                <w:sz w:val="24"/>
              </w:rPr>
              <w:t>русском</w:t>
            </w:r>
            <w:r>
              <w:rPr>
                <w:spacing w:val="-2"/>
                <w:sz w:val="24"/>
              </w:rPr>
              <w:t> языке</w:t>
            </w:r>
          </w:p>
        </w:tc>
        <w:tc>
          <w:tcPr>
            <w:tcW w:w="1076" w:type="dxa"/>
          </w:tcPr>
          <w:p>
            <w:pPr>
              <w:pStyle w:val="TableParagraph"/>
              <w:spacing w:line="270" w:lineRule="exact"/>
              <w:ind w:left="7"/>
              <w:jc w:val="center"/>
              <w:rPr>
                <w:sz w:val="24"/>
              </w:rPr>
            </w:pPr>
            <w:r>
              <w:rPr>
                <w:spacing w:val="-2"/>
                <w:sz w:val="24"/>
              </w:rPr>
              <w:t>-</w:t>
            </w:r>
            <w:r>
              <w:rPr>
                <w:spacing w:val="-12"/>
                <w:sz w:val="24"/>
              </w:rPr>
              <w:t>2</w:t>
            </w:r>
          </w:p>
        </w:tc>
        <w:tc>
          <w:tcPr>
            <w:tcW w:w="934" w:type="dxa"/>
          </w:tcPr>
          <w:p>
            <w:pPr>
              <w:pStyle w:val="TableParagraph"/>
              <w:spacing w:line="270" w:lineRule="exact"/>
              <w:ind w:left="8"/>
              <w:jc w:val="center"/>
              <w:rPr>
                <w:sz w:val="24"/>
              </w:rPr>
            </w:pPr>
            <w:r>
              <w:rPr>
                <w:spacing w:val="-2"/>
                <w:sz w:val="24"/>
              </w:rPr>
              <w:t>-</w:t>
            </w:r>
            <w:r>
              <w:rPr>
                <w:spacing w:val="-12"/>
                <w:sz w:val="24"/>
              </w:rPr>
              <w:t>1</w:t>
            </w:r>
          </w:p>
        </w:tc>
        <w:tc>
          <w:tcPr>
            <w:tcW w:w="1047" w:type="dxa"/>
          </w:tcPr>
          <w:p>
            <w:pPr>
              <w:pStyle w:val="TableParagraph"/>
              <w:spacing w:line="270" w:lineRule="exact"/>
              <w:ind w:left="8" w:right="1"/>
              <w:jc w:val="center"/>
              <w:rPr>
                <w:sz w:val="24"/>
              </w:rPr>
            </w:pPr>
            <w:r>
              <w:rPr>
                <w:spacing w:val="-10"/>
                <w:sz w:val="24"/>
              </w:rPr>
              <w:t>0</w:t>
            </w:r>
          </w:p>
        </w:tc>
        <w:tc>
          <w:tcPr>
            <w:tcW w:w="922" w:type="dxa"/>
          </w:tcPr>
          <w:p>
            <w:pPr>
              <w:pStyle w:val="TableParagraph"/>
              <w:spacing w:line="270" w:lineRule="exact"/>
              <w:ind w:left="7"/>
              <w:jc w:val="center"/>
              <w:rPr>
                <w:sz w:val="24"/>
              </w:rPr>
            </w:pPr>
            <w:r>
              <w:rPr>
                <w:spacing w:val="-10"/>
                <w:sz w:val="24"/>
              </w:rPr>
              <w:t>1</w:t>
            </w:r>
          </w:p>
        </w:tc>
        <w:tc>
          <w:tcPr>
            <w:tcW w:w="912" w:type="dxa"/>
          </w:tcPr>
          <w:p>
            <w:pPr>
              <w:pStyle w:val="TableParagraph"/>
              <w:spacing w:line="270" w:lineRule="exact"/>
              <w:ind w:left="7"/>
              <w:jc w:val="center"/>
              <w:rPr>
                <w:sz w:val="24"/>
              </w:rPr>
            </w:pPr>
            <w:r>
              <w:rPr>
                <w:spacing w:val="-10"/>
                <w:sz w:val="24"/>
              </w:rPr>
              <w:t>2</w:t>
            </w:r>
          </w:p>
        </w:tc>
      </w:tr>
      <w:tr>
        <w:trPr>
          <w:trHeight w:val="835" w:hRule="atLeast"/>
        </w:trPr>
        <w:tc>
          <w:tcPr>
            <w:tcW w:w="511" w:type="dxa"/>
          </w:tcPr>
          <w:p>
            <w:pPr>
              <w:pStyle w:val="TableParagraph"/>
              <w:spacing w:line="271" w:lineRule="exact"/>
              <w:ind w:left="107"/>
              <w:rPr>
                <w:sz w:val="24"/>
              </w:rPr>
            </w:pPr>
            <w:r>
              <w:rPr>
                <w:spacing w:val="-10"/>
                <w:sz w:val="24"/>
              </w:rPr>
              <w:t>3</w:t>
            </w:r>
          </w:p>
        </w:tc>
        <w:tc>
          <w:tcPr>
            <w:tcW w:w="4172" w:type="dxa"/>
          </w:tcPr>
          <w:p>
            <w:pPr>
              <w:pStyle w:val="TableParagraph"/>
              <w:spacing w:line="276" w:lineRule="auto"/>
              <w:ind w:left="107"/>
              <w:rPr>
                <w:sz w:val="24"/>
              </w:rPr>
            </w:pPr>
            <w:r>
              <w:rPr>
                <w:sz w:val="24"/>
              </w:rPr>
              <w:t>Я</w:t>
            </w:r>
            <w:r>
              <w:rPr>
                <w:spacing w:val="-7"/>
                <w:sz w:val="24"/>
              </w:rPr>
              <w:t> </w:t>
            </w:r>
            <w:r>
              <w:rPr>
                <w:sz w:val="24"/>
              </w:rPr>
              <w:t>пишу</w:t>
            </w:r>
            <w:r>
              <w:rPr>
                <w:spacing w:val="-14"/>
                <w:sz w:val="24"/>
              </w:rPr>
              <w:t> </w:t>
            </w:r>
            <w:r>
              <w:rPr>
                <w:sz w:val="24"/>
              </w:rPr>
              <w:t>в</w:t>
            </w:r>
            <w:r>
              <w:rPr>
                <w:spacing w:val="-8"/>
                <w:sz w:val="24"/>
              </w:rPr>
              <w:t> </w:t>
            </w:r>
            <w:r>
              <w:rPr>
                <w:sz w:val="24"/>
              </w:rPr>
              <w:t>мессенджерах</w:t>
            </w:r>
            <w:r>
              <w:rPr>
                <w:spacing w:val="-5"/>
                <w:sz w:val="24"/>
              </w:rPr>
              <w:t> </w:t>
            </w:r>
            <w:r>
              <w:rPr>
                <w:sz w:val="24"/>
              </w:rPr>
              <w:t>(СМС,</w:t>
            </w:r>
            <w:r>
              <w:rPr>
                <w:spacing w:val="-7"/>
                <w:sz w:val="24"/>
              </w:rPr>
              <w:t> </w:t>
            </w:r>
            <w:r>
              <w:rPr>
                <w:sz w:val="24"/>
              </w:rPr>
              <w:t>ВК, Вотсап и др.) на родном языке</w:t>
            </w:r>
          </w:p>
        </w:tc>
        <w:tc>
          <w:tcPr>
            <w:tcW w:w="1076" w:type="dxa"/>
          </w:tcPr>
          <w:p>
            <w:pPr>
              <w:pStyle w:val="TableParagraph"/>
              <w:spacing w:before="153"/>
              <w:ind w:left="7"/>
              <w:jc w:val="center"/>
              <w:rPr>
                <w:sz w:val="24"/>
              </w:rPr>
            </w:pPr>
            <w:r>
              <w:rPr>
                <w:spacing w:val="-2"/>
                <w:sz w:val="24"/>
              </w:rPr>
              <w:t>-</w:t>
            </w:r>
            <w:r>
              <w:rPr>
                <w:spacing w:val="-12"/>
                <w:sz w:val="24"/>
              </w:rPr>
              <w:t>2</w:t>
            </w:r>
          </w:p>
        </w:tc>
        <w:tc>
          <w:tcPr>
            <w:tcW w:w="934" w:type="dxa"/>
          </w:tcPr>
          <w:p>
            <w:pPr>
              <w:pStyle w:val="TableParagraph"/>
              <w:spacing w:before="153"/>
              <w:ind w:left="8"/>
              <w:jc w:val="center"/>
              <w:rPr>
                <w:sz w:val="24"/>
              </w:rPr>
            </w:pPr>
            <w:r>
              <w:rPr>
                <w:spacing w:val="-2"/>
                <w:sz w:val="24"/>
              </w:rPr>
              <w:t>-</w:t>
            </w:r>
            <w:r>
              <w:rPr>
                <w:spacing w:val="-12"/>
                <w:sz w:val="24"/>
              </w:rPr>
              <w:t>1</w:t>
            </w:r>
          </w:p>
        </w:tc>
        <w:tc>
          <w:tcPr>
            <w:tcW w:w="1047" w:type="dxa"/>
          </w:tcPr>
          <w:p>
            <w:pPr>
              <w:pStyle w:val="TableParagraph"/>
              <w:spacing w:before="153"/>
              <w:ind w:left="8" w:right="1"/>
              <w:jc w:val="center"/>
              <w:rPr>
                <w:sz w:val="24"/>
              </w:rPr>
            </w:pPr>
            <w:r>
              <w:rPr>
                <w:spacing w:val="-10"/>
                <w:sz w:val="24"/>
              </w:rPr>
              <w:t>0</w:t>
            </w:r>
          </w:p>
        </w:tc>
        <w:tc>
          <w:tcPr>
            <w:tcW w:w="922" w:type="dxa"/>
          </w:tcPr>
          <w:p>
            <w:pPr>
              <w:pStyle w:val="TableParagraph"/>
              <w:spacing w:before="153"/>
              <w:ind w:left="7"/>
              <w:jc w:val="center"/>
              <w:rPr>
                <w:sz w:val="24"/>
              </w:rPr>
            </w:pPr>
            <w:r>
              <w:rPr>
                <w:spacing w:val="-10"/>
                <w:sz w:val="24"/>
              </w:rPr>
              <w:t>1</w:t>
            </w:r>
          </w:p>
        </w:tc>
        <w:tc>
          <w:tcPr>
            <w:tcW w:w="912" w:type="dxa"/>
          </w:tcPr>
          <w:p>
            <w:pPr>
              <w:pStyle w:val="TableParagraph"/>
              <w:spacing w:before="153"/>
              <w:ind w:left="7"/>
              <w:jc w:val="center"/>
              <w:rPr>
                <w:sz w:val="24"/>
              </w:rPr>
            </w:pPr>
            <w:r>
              <w:rPr>
                <w:spacing w:val="-10"/>
                <w:sz w:val="24"/>
              </w:rPr>
              <w:t>2</w:t>
            </w:r>
          </w:p>
        </w:tc>
      </w:tr>
      <w:tr>
        <w:trPr>
          <w:trHeight w:val="834" w:hRule="atLeast"/>
        </w:trPr>
        <w:tc>
          <w:tcPr>
            <w:tcW w:w="511" w:type="dxa"/>
          </w:tcPr>
          <w:p>
            <w:pPr>
              <w:pStyle w:val="TableParagraph"/>
              <w:spacing w:line="270" w:lineRule="exact"/>
              <w:ind w:left="107"/>
              <w:rPr>
                <w:sz w:val="24"/>
              </w:rPr>
            </w:pPr>
            <w:r>
              <w:rPr>
                <w:spacing w:val="-10"/>
                <w:sz w:val="24"/>
              </w:rPr>
              <w:t>4</w:t>
            </w:r>
          </w:p>
        </w:tc>
        <w:tc>
          <w:tcPr>
            <w:tcW w:w="4172" w:type="dxa"/>
          </w:tcPr>
          <w:p>
            <w:pPr>
              <w:pStyle w:val="TableParagraph"/>
              <w:spacing w:line="276" w:lineRule="auto"/>
              <w:ind w:left="107"/>
              <w:rPr>
                <w:sz w:val="24"/>
              </w:rPr>
            </w:pPr>
            <w:r>
              <w:rPr>
                <w:sz w:val="24"/>
              </w:rPr>
              <w:t>Я</w:t>
            </w:r>
            <w:r>
              <w:rPr>
                <w:spacing w:val="-7"/>
                <w:sz w:val="24"/>
              </w:rPr>
              <w:t> </w:t>
            </w:r>
            <w:r>
              <w:rPr>
                <w:sz w:val="24"/>
              </w:rPr>
              <w:t>пишу</w:t>
            </w:r>
            <w:r>
              <w:rPr>
                <w:spacing w:val="-14"/>
                <w:sz w:val="24"/>
              </w:rPr>
              <w:t> </w:t>
            </w:r>
            <w:r>
              <w:rPr>
                <w:sz w:val="24"/>
              </w:rPr>
              <w:t>в</w:t>
            </w:r>
            <w:r>
              <w:rPr>
                <w:spacing w:val="-8"/>
                <w:sz w:val="24"/>
              </w:rPr>
              <w:t> </w:t>
            </w:r>
            <w:r>
              <w:rPr>
                <w:sz w:val="24"/>
              </w:rPr>
              <w:t>мессенджерах</w:t>
            </w:r>
            <w:r>
              <w:rPr>
                <w:spacing w:val="-5"/>
                <w:sz w:val="24"/>
              </w:rPr>
              <w:t> </w:t>
            </w:r>
            <w:r>
              <w:rPr>
                <w:sz w:val="24"/>
              </w:rPr>
              <w:t>(СМС,</w:t>
            </w:r>
            <w:r>
              <w:rPr>
                <w:spacing w:val="-7"/>
                <w:sz w:val="24"/>
              </w:rPr>
              <w:t> </w:t>
            </w:r>
            <w:r>
              <w:rPr>
                <w:sz w:val="24"/>
              </w:rPr>
              <w:t>ВК, Вотсап и др.) на русском языке</w:t>
            </w:r>
          </w:p>
        </w:tc>
        <w:tc>
          <w:tcPr>
            <w:tcW w:w="1076" w:type="dxa"/>
          </w:tcPr>
          <w:p>
            <w:pPr>
              <w:pStyle w:val="TableParagraph"/>
              <w:spacing w:before="152"/>
              <w:ind w:left="7"/>
              <w:jc w:val="center"/>
              <w:rPr>
                <w:sz w:val="24"/>
              </w:rPr>
            </w:pPr>
            <w:r>
              <w:rPr>
                <w:spacing w:val="-2"/>
                <w:sz w:val="24"/>
              </w:rPr>
              <w:t>-</w:t>
            </w:r>
            <w:r>
              <w:rPr>
                <w:spacing w:val="-12"/>
                <w:sz w:val="24"/>
              </w:rPr>
              <w:t>2</w:t>
            </w:r>
          </w:p>
        </w:tc>
        <w:tc>
          <w:tcPr>
            <w:tcW w:w="934" w:type="dxa"/>
          </w:tcPr>
          <w:p>
            <w:pPr>
              <w:pStyle w:val="TableParagraph"/>
              <w:spacing w:before="152"/>
              <w:ind w:left="8"/>
              <w:jc w:val="center"/>
              <w:rPr>
                <w:sz w:val="24"/>
              </w:rPr>
            </w:pPr>
            <w:r>
              <w:rPr>
                <w:spacing w:val="-2"/>
                <w:sz w:val="24"/>
              </w:rPr>
              <w:t>-</w:t>
            </w:r>
            <w:r>
              <w:rPr>
                <w:spacing w:val="-12"/>
                <w:sz w:val="24"/>
              </w:rPr>
              <w:t>1</w:t>
            </w:r>
          </w:p>
        </w:tc>
        <w:tc>
          <w:tcPr>
            <w:tcW w:w="1047" w:type="dxa"/>
          </w:tcPr>
          <w:p>
            <w:pPr>
              <w:pStyle w:val="TableParagraph"/>
              <w:spacing w:before="152"/>
              <w:ind w:left="8" w:right="1"/>
              <w:jc w:val="center"/>
              <w:rPr>
                <w:sz w:val="24"/>
              </w:rPr>
            </w:pPr>
            <w:r>
              <w:rPr>
                <w:spacing w:val="-10"/>
                <w:sz w:val="24"/>
              </w:rPr>
              <w:t>0</w:t>
            </w:r>
          </w:p>
        </w:tc>
        <w:tc>
          <w:tcPr>
            <w:tcW w:w="922" w:type="dxa"/>
          </w:tcPr>
          <w:p>
            <w:pPr>
              <w:pStyle w:val="TableParagraph"/>
              <w:spacing w:before="152"/>
              <w:ind w:left="7"/>
              <w:jc w:val="center"/>
              <w:rPr>
                <w:sz w:val="24"/>
              </w:rPr>
            </w:pPr>
            <w:r>
              <w:rPr>
                <w:spacing w:val="-10"/>
                <w:sz w:val="24"/>
              </w:rPr>
              <w:t>1</w:t>
            </w:r>
          </w:p>
        </w:tc>
        <w:tc>
          <w:tcPr>
            <w:tcW w:w="912" w:type="dxa"/>
          </w:tcPr>
          <w:p>
            <w:pPr>
              <w:pStyle w:val="TableParagraph"/>
              <w:spacing w:before="152"/>
              <w:ind w:left="7"/>
              <w:jc w:val="center"/>
              <w:rPr>
                <w:sz w:val="24"/>
              </w:rPr>
            </w:pPr>
            <w:r>
              <w:rPr>
                <w:spacing w:val="-10"/>
                <w:sz w:val="24"/>
              </w:rPr>
              <w:t>2</w:t>
            </w:r>
          </w:p>
        </w:tc>
      </w:tr>
      <w:tr>
        <w:trPr>
          <w:trHeight w:val="834" w:hRule="atLeast"/>
        </w:trPr>
        <w:tc>
          <w:tcPr>
            <w:tcW w:w="511" w:type="dxa"/>
          </w:tcPr>
          <w:p>
            <w:pPr>
              <w:pStyle w:val="TableParagraph"/>
              <w:spacing w:line="270" w:lineRule="exact"/>
              <w:ind w:left="107"/>
              <w:rPr>
                <w:sz w:val="24"/>
              </w:rPr>
            </w:pPr>
            <w:r>
              <w:rPr>
                <w:spacing w:val="-10"/>
                <w:sz w:val="24"/>
              </w:rPr>
              <w:t>5</w:t>
            </w:r>
          </w:p>
        </w:tc>
        <w:tc>
          <w:tcPr>
            <w:tcW w:w="4172" w:type="dxa"/>
          </w:tcPr>
          <w:p>
            <w:pPr>
              <w:pStyle w:val="TableParagraph"/>
              <w:spacing w:line="276" w:lineRule="auto"/>
              <w:ind w:left="107"/>
              <w:rPr>
                <w:sz w:val="24"/>
              </w:rPr>
            </w:pPr>
            <w:r>
              <w:rPr>
                <w:sz w:val="24"/>
              </w:rPr>
              <w:t>Я</w:t>
            </w:r>
            <w:r>
              <w:rPr>
                <w:spacing w:val="-6"/>
                <w:sz w:val="24"/>
              </w:rPr>
              <w:t> </w:t>
            </w:r>
            <w:r>
              <w:rPr>
                <w:sz w:val="24"/>
              </w:rPr>
              <w:t>смотрю</w:t>
            </w:r>
            <w:r>
              <w:rPr>
                <w:spacing w:val="-5"/>
                <w:sz w:val="24"/>
              </w:rPr>
              <w:t> </w:t>
            </w:r>
            <w:r>
              <w:rPr>
                <w:sz w:val="24"/>
              </w:rPr>
              <w:t>ТВ,</w:t>
            </w:r>
            <w:r>
              <w:rPr>
                <w:spacing w:val="-6"/>
                <w:sz w:val="24"/>
              </w:rPr>
              <w:t> </w:t>
            </w:r>
            <w:r>
              <w:rPr>
                <w:sz w:val="24"/>
              </w:rPr>
              <w:t>видео</w:t>
            </w:r>
            <w:r>
              <w:rPr>
                <w:spacing w:val="-6"/>
                <w:sz w:val="24"/>
              </w:rPr>
              <w:t> </w:t>
            </w:r>
            <w:r>
              <w:rPr>
                <w:sz w:val="24"/>
              </w:rPr>
              <w:t>в</w:t>
            </w:r>
            <w:r>
              <w:rPr>
                <w:spacing w:val="-7"/>
                <w:sz w:val="24"/>
              </w:rPr>
              <w:t> </w:t>
            </w:r>
            <w:r>
              <w:rPr>
                <w:sz w:val="24"/>
              </w:rPr>
              <w:t>интернете</w:t>
            </w:r>
            <w:r>
              <w:rPr>
                <w:spacing w:val="-6"/>
                <w:sz w:val="24"/>
              </w:rPr>
              <w:t> </w:t>
            </w:r>
            <w:r>
              <w:rPr>
                <w:sz w:val="24"/>
              </w:rPr>
              <w:t>и</w:t>
            </w:r>
            <w:r>
              <w:rPr>
                <w:spacing w:val="-6"/>
                <w:sz w:val="24"/>
              </w:rPr>
              <w:t> </w:t>
            </w:r>
            <w:r>
              <w:rPr>
                <w:sz w:val="24"/>
              </w:rPr>
              <w:t>др. на родном языке</w:t>
            </w:r>
          </w:p>
        </w:tc>
        <w:tc>
          <w:tcPr>
            <w:tcW w:w="1076" w:type="dxa"/>
          </w:tcPr>
          <w:p>
            <w:pPr>
              <w:pStyle w:val="TableParagraph"/>
              <w:spacing w:before="152"/>
              <w:ind w:left="7"/>
              <w:jc w:val="center"/>
              <w:rPr>
                <w:sz w:val="24"/>
              </w:rPr>
            </w:pPr>
            <w:r>
              <w:rPr>
                <w:spacing w:val="-2"/>
                <w:sz w:val="24"/>
              </w:rPr>
              <w:t>-</w:t>
            </w:r>
            <w:r>
              <w:rPr>
                <w:spacing w:val="-12"/>
                <w:sz w:val="24"/>
              </w:rPr>
              <w:t>2</w:t>
            </w:r>
          </w:p>
        </w:tc>
        <w:tc>
          <w:tcPr>
            <w:tcW w:w="934" w:type="dxa"/>
          </w:tcPr>
          <w:p>
            <w:pPr>
              <w:pStyle w:val="TableParagraph"/>
              <w:spacing w:before="152"/>
              <w:ind w:left="8"/>
              <w:jc w:val="center"/>
              <w:rPr>
                <w:sz w:val="24"/>
              </w:rPr>
            </w:pPr>
            <w:r>
              <w:rPr>
                <w:spacing w:val="-2"/>
                <w:sz w:val="24"/>
              </w:rPr>
              <w:t>-</w:t>
            </w:r>
            <w:r>
              <w:rPr>
                <w:spacing w:val="-12"/>
                <w:sz w:val="24"/>
              </w:rPr>
              <w:t>1</w:t>
            </w:r>
          </w:p>
        </w:tc>
        <w:tc>
          <w:tcPr>
            <w:tcW w:w="1047" w:type="dxa"/>
          </w:tcPr>
          <w:p>
            <w:pPr>
              <w:pStyle w:val="TableParagraph"/>
              <w:spacing w:before="152"/>
              <w:ind w:left="8" w:right="1"/>
              <w:jc w:val="center"/>
              <w:rPr>
                <w:sz w:val="24"/>
              </w:rPr>
            </w:pPr>
            <w:r>
              <w:rPr>
                <w:spacing w:val="-10"/>
                <w:sz w:val="24"/>
              </w:rPr>
              <w:t>0</w:t>
            </w:r>
          </w:p>
        </w:tc>
        <w:tc>
          <w:tcPr>
            <w:tcW w:w="922" w:type="dxa"/>
          </w:tcPr>
          <w:p>
            <w:pPr>
              <w:pStyle w:val="TableParagraph"/>
              <w:spacing w:before="152"/>
              <w:ind w:left="7"/>
              <w:jc w:val="center"/>
              <w:rPr>
                <w:sz w:val="24"/>
              </w:rPr>
            </w:pPr>
            <w:r>
              <w:rPr>
                <w:spacing w:val="-10"/>
                <w:sz w:val="24"/>
              </w:rPr>
              <w:t>1</w:t>
            </w:r>
          </w:p>
        </w:tc>
        <w:tc>
          <w:tcPr>
            <w:tcW w:w="912" w:type="dxa"/>
          </w:tcPr>
          <w:p>
            <w:pPr>
              <w:pStyle w:val="TableParagraph"/>
              <w:spacing w:before="152"/>
              <w:ind w:left="7"/>
              <w:jc w:val="center"/>
              <w:rPr>
                <w:sz w:val="24"/>
              </w:rPr>
            </w:pPr>
            <w:r>
              <w:rPr>
                <w:spacing w:val="-10"/>
                <w:sz w:val="24"/>
              </w:rPr>
              <w:t>2</w:t>
            </w:r>
          </w:p>
        </w:tc>
      </w:tr>
      <w:tr>
        <w:trPr>
          <w:trHeight w:val="835" w:hRule="atLeast"/>
        </w:trPr>
        <w:tc>
          <w:tcPr>
            <w:tcW w:w="511" w:type="dxa"/>
          </w:tcPr>
          <w:p>
            <w:pPr>
              <w:pStyle w:val="TableParagraph"/>
              <w:spacing w:line="270" w:lineRule="exact"/>
              <w:ind w:left="107"/>
              <w:rPr>
                <w:sz w:val="24"/>
              </w:rPr>
            </w:pPr>
            <w:r>
              <w:rPr>
                <w:spacing w:val="-10"/>
                <w:sz w:val="24"/>
              </w:rPr>
              <w:t>6</w:t>
            </w:r>
          </w:p>
        </w:tc>
        <w:tc>
          <w:tcPr>
            <w:tcW w:w="4172" w:type="dxa"/>
          </w:tcPr>
          <w:p>
            <w:pPr>
              <w:pStyle w:val="TableParagraph"/>
              <w:spacing w:line="276" w:lineRule="auto"/>
              <w:ind w:left="107"/>
              <w:rPr>
                <w:sz w:val="24"/>
              </w:rPr>
            </w:pPr>
            <w:r>
              <w:rPr>
                <w:sz w:val="24"/>
              </w:rPr>
              <w:t>Я</w:t>
            </w:r>
            <w:r>
              <w:rPr>
                <w:spacing w:val="-6"/>
                <w:sz w:val="24"/>
              </w:rPr>
              <w:t> </w:t>
            </w:r>
            <w:r>
              <w:rPr>
                <w:sz w:val="24"/>
              </w:rPr>
              <w:t>смотрю</w:t>
            </w:r>
            <w:r>
              <w:rPr>
                <w:spacing w:val="-5"/>
                <w:sz w:val="24"/>
              </w:rPr>
              <w:t> </w:t>
            </w:r>
            <w:r>
              <w:rPr>
                <w:sz w:val="24"/>
              </w:rPr>
              <w:t>ТВ,</w:t>
            </w:r>
            <w:r>
              <w:rPr>
                <w:spacing w:val="-6"/>
                <w:sz w:val="24"/>
              </w:rPr>
              <w:t> </w:t>
            </w:r>
            <w:r>
              <w:rPr>
                <w:sz w:val="24"/>
              </w:rPr>
              <w:t>видео</w:t>
            </w:r>
            <w:r>
              <w:rPr>
                <w:spacing w:val="-6"/>
                <w:sz w:val="24"/>
              </w:rPr>
              <w:t> </w:t>
            </w:r>
            <w:r>
              <w:rPr>
                <w:sz w:val="24"/>
              </w:rPr>
              <w:t>в</w:t>
            </w:r>
            <w:r>
              <w:rPr>
                <w:spacing w:val="-7"/>
                <w:sz w:val="24"/>
              </w:rPr>
              <w:t> </w:t>
            </w:r>
            <w:r>
              <w:rPr>
                <w:sz w:val="24"/>
              </w:rPr>
              <w:t>интернете</w:t>
            </w:r>
            <w:r>
              <w:rPr>
                <w:spacing w:val="-6"/>
                <w:sz w:val="24"/>
              </w:rPr>
              <w:t> </w:t>
            </w:r>
            <w:r>
              <w:rPr>
                <w:sz w:val="24"/>
              </w:rPr>
              <w:t>и</w:t>
            </w:r>
            <w:r>
              <w:rPr>
                <w:spacing w:val="-6"/>
                <w:sz w:val="24"/>
              </w:rPr>
              <w:t> </w:t>
            </w:r>
            <w:r>
              <w:rPr>
                <w:sz w:val="24"/>
              </w:rPr>
              <w:t>др. на русском языке</w:t>
            </w:r>
          </w:p>
        </w:tc>
        <w:tc>
          <w:tcPr>
            <w:tcW w:w="1076" w:type="dxa"/>
          </w:tcPr>
          <w:p>
            <w:pPr>
              <w:pStyle w:val="TableParagraph"/>
              <w:spacing w:before="152"/>
              <w:ind w:left="7"/>
              <w:jc w:val="center"/>
              <w:rPr>
                <w:sz w:val="24"/>
              </w:rPr>
            </w:pPr>
            <w:r>
              <w:rPr>
                <w:spacing w:val="-2"/>
                <w:sz w:val="24"/>
              </w:rPr>
              <w:t>-</w:t>
            </w:r>
            <w:r>
              <w:rPr>
                <w:spacing w:val="-12"/>
                <w:sz w:val="24"/>
              </w:rPr>
              <w:t>2</w:t>
            </w:r>
          </w:p>
        </w:tc>
        <w:tc>
          <w:tcPr>
            <w:tcW w:w="934" w:type="dxa"/>
          </w:tcPr>
          <w:p>
            <w:pPr>
              <w:pStyle w:val="TableParagraph"/>
              <w:spacing w:before="152"/>
              <w:ind w:left="8"/>
              <w:jc w:val="center"/>
              <w:rPr>
                <w:sz w:val="24"/>
              </w:rPr>
            </w:pPr>
            <w:r>
              <w:rPr>
                <w:spacing w:val="-2"/>
                <w:sz w:val="24"/>
              </w:rPr>
              <w:t>-</w:t>
            </w:r>
            <w:r>
              <w:rPr>
                <w:spacing w:val="-12"/>
                <w:sz w:val="24"/>
              </w:rPr>
              <w:t>1</w:t>
            </w:r>
          </w:p>
        </w:tc>
        <w:tc>
          <w:tcPr>
            <w:tcW w:w="1047" w:type="dxa"/>
          </w:tcPr>
          <w:p>
            <w:pPr>
              <w:pStyle w:val="TableParagraph"/>
              <w:spacing w:before="152"/>
              <w:ind w:left="8" w:right="1"/>
              <w:jc w:val="center"/>
              <w:rPr>
                <w:sz w:val="24"/>
              </w:rPr>
            </w:pPr>
            <w:r>
              <w:rPr>
                <w:spacing w:val="-10"/>
                <w:sz w:val="24"/>
              </w:rPr>
              <w:t>0</w:t>
            </w:r>
          </w:p>
        </w:tc>
        <w:tc>
          <w:tcPr>
            <w:tcW w:w="922" w:type="dxa"/>
          </w:tcPr>
          <w:p>
            <w:pPr>
              <w:pStyle w:val="TableParagraph"/>
              <w:spacing w:before="152"/>
              <w:ind w:left="7"/>
              <w:jc w:val="center"/>
              <w:rPr>
                <w:sz w:val="24"/>
              </w:rPr>
            </w:pPr>
            <w:r>
              <w:rPr>
                <w:spacing w:val="-10"/>
                <w:sz w:val="24"/>
              </w:rPr>
              <w:t>1</w:t>
            </w:r>
          </w:p>
        </w:tc>
        <w:tc>
          <w:tcPr>
            <w:tcW w:w="912" w:type="dxa"/>
          </w:tcPr>
          <w:p>
            <w:pPr>
              <w:pStyle w:val="TableParagraph"/>
              <w:spacing w:before="152"/>
              <w:ind w:left="7"/>
              <w:jc w:val="center"/>
              <w:rPr>
                <w:sz w:val="24"/>
              </w:rPr>
            </w:pPr>
            <w:r>
              <w:rPr>
                <w:spacing w:val="-10"/>
                <w:sz w:val="24"/>
              </w:rPr>
              <w:t>2</w:t>
            </w:r>
          </w:p>
        </w:tc>
      </w:tr>
    </w:tbl>
    <w:p>
      <w:pPr>
        <w:pStyle w:val="Heading5"/>
        <w:spacing w:before="319"/>
        <w:ind w:right="560"/>
      </w:pPr>
      <w:r>
        <w:rPr/>
        <w:t>Оцени</w:t>
      </w:r>
      <w:r>
        <w:rPr>
          <w:spacing w:val="-6"/>
        </w:rPr>
        <w:t> </w:t>
      </w:r>
      <w:r>
        <w:rPr/>
        <w:t>по</w:t>
      </w:r>
      <w:r>
        <w:rPr>
          <w:spacing w:val="-2"/>
        </w:rPr>
        <w:t> </w:t>
      </w:r>
      <w:r>
        <w:rPr/>
        <w:t>шкале</w:t>
      </w:r>
      <w:r>
        <w:rPr>
          <w:spacing w:val="-4"/>
        </w:rPr>
        <w:t> </w:t>
      </w:r>
      <w:r>
        <w:rPr/>
        <w:t>от</w:t>
      </w:r>
      <w:r>
        <w:rPr>
          <w:spacing w:val="-6"/>
        </w:rPr>
        <w:t> </w:t>
      </w:r>
      <w:r>
        <w:rPr/>
        <w:t>-2</w:t>
      </w:r>
      <w:r>
        <w:rPr>
          <w:spacing w:val="-2"/>
        </w:rPr>
        <w:t> </w:t>
      </w:r>
      <w:r>
        <w:rPr/>
        <w:t>«Никогда»</w:t>
      </w:r>
      <w:r>
        <w:rPr>
          <w:spacing w:val="-2"/>
        </w:rPr>
        <w:t> </w:t>
      </w:r>
      <w:r>
        <w:rPr/>
        <w:t>до</w:t>
      </w:r>
      <w:r>
        <w:rPr>
          <w:spacing w:val="-2"/>
        </w:rPr>
        <w:t> </w:t>
      </w:r>
      <w:r>
        <w:rPr/>
        <w:t>+2</w:t>
      </w:r>
      <w:r>
        <w:rPr>
          <w:spacing w:val="-6"/>
        </w:rPr>
        <w:t> </w:t>
      </w:r>
      <w:r>
        <w:rPr/>
        <w:t>«Всегда»,</w:t>
      </w:r>
      <w:r>
        <w:rPr>
          <w:spacing w:val="-4"/>
        </w:rPr>
        <w:t> </w:t>
      </w:r>
      <w:r>
        <w:rPr/>
        <w:t>насколько</w:t>
      </w:r>
      <w:r>
        <w:rPr>
          <w:spacing w:val="-4"/>
        </w:rPr>
        <w:t> </w:t>
      </w:r>
      <w:r>
        <w:rPr/>
        <w:t>часто</w:t>
      </w:r>
      <w:r>
        <w:rPr>
          <w:spacing w:val="-2"/>
        </w:rPr>
        <w:t> </w:t>
      </w:r>
      <w:r>
        <w:rPr/>
        <w:t>ты общаешься с российскими сверстниками и приехавшими из твоей </w:t>
      </w:r>
      <w:r>
        <w:rPr>
          <w:spacing w:val="-2"/>
        </w:rPr>
        <w:t>страны/региона.</w:t>
      </w:r>
    </w:p>
    <w:p>
      <w:pPr>
        <w:pStyle w:val="BodyText"/>
        <w:spacing w:before="51" w:after="1"/>
        <w:ind w:left="0" w:right="0" w:firstLine="0"/>
        <w:jc w:val="left"/>
        <w:rPr>
          <w:i/>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1"/>
        <w:gridCol w:w="4172"/>
        <w:gridCol w:w="1078"/>
        <w:gridCol w:w="898"/>
        <w:gridCol w:w="1047"/>
        <w:gridCol w:w="902"/>
        <w:gridCol w:w="964"/>
      </w:tblGrid>
      <w:tr>
        <w:trPr>
          <w:trHeight w:val="1154" w:hRule="atLeast"/>
        </w:trPr>
        <w:tc>
          <w:tcPr>
            <w:tcW w:w="511" w:type="dxa"/>
          </w:tcPr>
          <w:p>
            <w:pPr>
              <w:pStyle w:val="TableParagraph"/>
              <w:spacing w:before="42"/>
              <w:rPr>
                <w:i/>
                <w:sz w:val="24"/>
              </w:rPr>
            </w:pPr>
          </w:p>
          <w:p>
            <w:pPr>
              <w:pStyle w:val="TableParagraph"/>
              <w:ind w:left="134"/>
              <w:rPr>
                <w:b/>
                <w:sz w:val="24"/>
              </w:rPr>
            </w:pPr>
            <w:r>
              <w:rPr>
                <w:b/>
                <w:spacing w:val="-10"/>
                <w:sz w:val="24"/>
              </w:rPr>
              <w:t>№</w:t>
            </w:r>
          </w:p>
        </w:tc>
        <w:tc>
          <w:tcPr>
            <w:tcW w:w="4172" w:type="dxa"/>
          </w:tcPr>
          <w:p>
            <w:pPr>
              <w:pStyle w:val="TableParagraph"/>
              <w:spacing w:before="42"/>
              <w:rPr>
                <w:i/>
                <w:sz w:val="24"/>
              </w:rPr>
            </w:pPr>
          </w:p>
          <w:p>
            <w:pPr>
              <w:pStyle w:val="TableParagraph"/>
              <w:ind w:left="1348"/>
              <w:rPr>
                <w:b/>
                <w:sz w:val="24"/>
              </w:rPr>
            </w:pPr>
            <w:r>
              <w:rPr>
                <w:b/>
                <w:spacing w:val="-2"/>
                <w:sz w:val="24"/>
              </w:rPr>
              <w:t>Утверждения</w:t>
            </w:r>
          </w:p>
        </w:tc>
        <w:tc>
          <w:tcPr>
            <w:tcW w:w="1078" w:type="dxa"/>
          </w:tcPr>
          <w:p>
            <w:pPr>
              <w:pStyle w:val="TableParagraph"/>
              <w:spacing w:before="37"/>
              <w:rPr>
                <w:i/>
                <w:sz w:val="24"/>
              </w:rPr>
            </w:pPr>
          </w:p>
          <w:p>
            <w:pPr>
              <w:pStyle w:val="TableParagraph"/>
              <w:ind w:left="9"/>
              <w:jc w:val="center"/>
              <w:rPr>
                <w:i/>
                <w:sz w:val="24"/>
              </w:rPr>
            </w:pPr>
            <w:r>
              <w:rPr>
                <w:i/>
                <w:spacing w:val="-2"/>
                <w:sz w:val="24"/>
              </w:rPr>
              <w:t>Никогда</w:t>
            </w:r>
          </w:p>
        </w:tc>
        <w:tc>
          <w:tcPr>
            <w:tcW w:w="898" w:type="dxa"/>
          </w:tcPr>
          <w:p>
            <w:pPr>
              <w:pStyle w:val="TableParagraph"/>
              <w:spacing w:before="37"/>
              <w:rPr>
                <w:i/>
                <w:sz w:val="24"/>
              </w:rPr>
            </w:pPr>
          </w:p>
          <w:p>
            <w:pPr>
              <w:pStyle w:val="TableParagraph"/>
              <w:ind w:left="1"/>
              <w:jc w:val="center"/>
              <w:rPr>
                <w:i/>
                <w:sz w:val="24"/>
              </w:rPr>
            </w:pPr>
            <w:r>
              <w:rPr>
                <w:i/>
                <w:spacing w:val="-4"/>
                <w:sz w:val="24"/>
              </w:rPr>
              <w:t>Редко</w:t>
            </w:r>
          </w:p>
        </w:tc>
        <w:tc>
          <w:tcPr>
            <w:tcW w:w="1047" w:type="dxa"/>
          </w:tcPr>
          <w:p>
            <w:pPr>
              <w:pStyle w:val="TableParagraph"/>
              <w:spacing w:line="276" w:lineRule="auto"/>
              <w:ind w:left="376" w:hanging="173"/>
              <w:rPr>
                <w:i/>
                <w:sz w:val="24"/>
              </w:rPr>
            </w:pPr>
            <w:r>
              <w:rPr>
                <w:i/>
                <w:spacing w:val="-4"/>
                <w:sz w:val="24"/>
              </w:rPr>
              <w:t>Время </w:t>
            </w:r>
            <w:r>
              <w:rPr>
                <w:i/>
                <w:spacing w:val="-6"/>
                <w:sz w:val="24"/>
              </w:rPr>
              <w:t>от</w:t>
            </w:r>
          </w:p>
          <w:p>
            <w:pPr>
              <w:pStyle w:val="TableParagraph"/>
              <w:spacing w:line="275" w:lineRule="exact"/>
              <w:ind w:left="107"/>
              <w:rPr>
                <w:i/>
                <w:sz w:val="24"/>
              </w:rPr>
            </w:pPr>
            <w:r>
              <w:rPr>
                <w:i/>
                <w:spacing w:val="-2"/>
                <w:sz w:val="24"/>
              </w:rPr>
              <w:t>времени</w:t>
            </w:r>
          </w:p>
        </w:tc>
        <w:tc>
          <w:tcPr>
            <w:tcW w:w="902" w:type="dxa"/>
          </w:tcPr>
          <w:p>
            <w:pPr>
              <w:pStyle w:val="TableParagraph"/>
              <w:spacing w:before="37"/>
              <w:rPr>
                <w:i/>
                <w:sz w:val="24"/>
              </w:rPr>
            </w:pPr>
          </w:p>
          <w:p>
            <w:pPr>
              <w:pStyle w:val="TableParagraph"/>
              <w:ind w:left="4" w:right="2"/>
              <w:jc w:val="center"/>
              <w:rPr>
                <w:i/>
                <w:sz w:val="24"/>
              </w:rPr>
            </w:pPr>
            <w:r>
              <w:rPr>
                <w:i/>
                <w:spacing w:val="-2"/>
                <w:sz w:val="24"/>
              </w:rPr>
              <w:t>Часто</w:t>
            </w:r>
          </w:p>
        </w:tc>
        <w:tc>
          <w:tcPr>
            <w:tcW w:w="964" w:type="dxa"/>
          </w:tcPr>
          <w:p>
            <w:pPr>
              <w:pStyle w:val="TableParagraph"/>
              <w:spacing w:before="37"/>
              <w:rPr>
                <w:i/>
                <w:sz w:val="24"/>
              </w:rPr>
            </w:pPr>
          </w:p>
          <w:p>
            <w:pPr>
              <w:pStyle w:val="TableParagraph"/>
              <w:ind w:left="7"/>
              <w:jc w:val="center"/>
              <w:rPr>
                <w:i/>
                <w:sz w:val="24"/>
              </w:rPr>
            </w:pPr>
            <w:r>
              <w:rPr>
                <w:i/>
                <w:spacing w:val="-2"/>
                <w:sz w:val="24"/>
              </w:rPr>
              <w:t>Всегда</w:t>
            </w:r>
          </w:p>
        </w:tc>
      </w:tr>
      <w:tr>
        <w:trPr>
          <w:trHeight w:val="1468" w:hRule="atLeast"/>
        </w:trPr>
        <w:tc>
          <w:tcPr>
            <w:tcW w:w="511" w:type="dxa"/>
          </w:tcPr>
          <w:p>
            <w:pPr>
              <w:pStyle w:val="TableParagraph"/>
              <w:spacing w:line="270" w:lineRule="exact"/>
              <w:ind w:left="107"/>
              <w:rPr>
                <w:sz w:val="24"/>
              </w:rPr>
            </w:pPr>
            <w:r>
              <w:rPr>
                <w:spacing w:val="-10"/>
                <w:sz w:val="24"/>
              </w:rPr>
              <w:t>7</w:t>
            </w:r>
          </w:p>
        </w:tc>
        <w:tc>
          <w:tcPr>
            <w:tcW w:w="4172" w:type="dxa"/>
          </w:tcPr>
          <w:p>
            <w:pPr>
              <w:pStyle w:val="TableParagraph"/>
              <w:spacing w:line="276" w:lineRule="auto"/>
              <w:ind w:left="107"/>
              <w:rPr>
                <w:sz w:val="24"/>
              </w:rPr>
            </w:pPr>
            <w:r>
              <w:rPr>
                <w:sz w:val="24"/>
              </w:rPr>
              <w:t>Я общаюсь в социальных сетях с мальчиками или девочками, приехавшими</w:t>
            </w:r>
            <w:r>
              <w:rPr>
                <w:spacing w:val="-13"/>
                <w:sz w:val="24"/>
              </w:rPr>
              <w:t> </w:t>
            </w:r>
            <w:r>
              <w:rPr>
                <w:sz w:val="24"/>
              </w:rPr>
              <w:t>из</w:t>
            </w:r>
            <w:r>
              <w:rPr>
                <w:spacing w:val="-13"/>
                <w:sz w:val="24"/>
              </w:rPr>
              <w:t> </w:t>
            </w:r>
            <w:r>
              <w:rPr>
                <w:sz w:val="24"/>
              </w:rPr>
              <w:t>моей</w:t>
            </w:r>
            <w:r>
              <w:rPr>
                <w:spacing w:val="-13"/>
                <w:sz w:val="24"/>
              </w:rPr>
              <w:t> </w:t>
            </w:r>
            <w:r>
              <w:rPr>
                <w:sz w:val="24"/>
              </w:rPr>
              <w:t>страны/региона (или живущими там сейчас)</w:t>
            </w:r>
          </w:p>
        </w:tc>
        <w:tc>
          <w:tcPr>
            <w:tcW w:w="1078" w:type="dxa"/>
          </w:tcPr>
          <w:p>
            <w:pPr>
              <w:pStyle w:val="TableParagraph"/>
              <w:spacing w:before="193"/>
              <w:rPr>
                <w:i/>
                <w:sz w:val="24"/>
              </w:rPr>
            </w:pPr>
          </w:p>
          <w:p>
            <w:pPr>
              <w:pStyle w:val="TableParagraph"/>
              <w:spacing w:before="1"/>
              <w:ind w:left="9"/>
              <w:jc w:val="center"/>
              <w:rPr>
                <w:sz w:val="24"/>
              </w:rPr>
            </w:pPr>
            <w:r>
              <w:rPr>
                <w:spacing w:val="-2"/>
                <w:sz w:val="24"/>
              </w:rPr>
              <w:t>-</w:t>
            </w:r>
            <w:r>
              <w:rPr>
                <w:spacing w:val="-12"/>
                <w:sz w:val="24"/>
              </w:rPr>
              <w:t>2</w:t>
            </w:r>
          </w:p>
        </w:tc>
        <w:tc>
          <w:tcPr>
            <w:tcW w:w="898" w:type="dxa"/>
          </w:tcPr>
          <w:p>
            <w:pPr>
              <w:pStyle w:val="TableParagraph"/>
              <w:spacing w:before="193"/>
              <w:rPr>
                <w:i/>
                <w:sz w:val="24"/>
              </w:rPr>
            </w:pPr>
          </w:p>
          <w:p>
            <w:pPr>
              <w:pStyle w:val="TableParagraph"/>
              <w:spacing w:before="1"/>
              <w:ind w:left="1"/>
              <w:jc w:val="center"/>
              <w:rPr>
                <w:sz w:val="24"/>
              </w:rPr>
            </w:pPr>
            <w:r>
              <w:rPr>
                <w:spacing w:val="-2"/>
                <w:sz w:val="24"/>
              </w:rPr>
              <w:t>-</w:t>
            </w:r>
            <w:r>
              <w:rPr>
                <w:spacing w:val="-12"/>
                <w:sz w:val="24"/>
              </w:rPr>
              <w:t>1</w:t>
            </w:r>
          </w:p>
        </w:tc>
        <w:tc>
          <w:tcPr>
            <w:tcW w:w="1047" w:type="dxa"/>
          </w:tcPr>
          <w:p>
            <w:pPr>
              <w:pStyle w:val="TableParagraph"/>
              <w:spacing w:before="193"/>
              <w:rPr>
                <w:i/>
                <w:sz w:val="24"/>
              </w:rPr>
            </w:pPr>
          </w:p>
          <w:p>
            <w:pPr>
              <w:pStyle w:val="TableParagraph"/>
              <w:spacing w:before="1"/>
              <w:ind w:left="8"/>
              <w:jc w:val="center"/>
              <w:rPr>
                <w:sz w:val="24"/>
              </w:rPr>
            </w:pPr>
            <w:r>
              <w:rPr>
                <w:spacing w:val="-10"/>
                <w:sz w:val="24"/>
              </w:rPr>
              <w:t>0</w:t>
            </w:r>
          </w:p>
        </w:tc>
        <w:tc>
          <w:tcPr>
            <w:tcW w:w="902" w:type="dxa"/>
          </w:tcPr>
          <w:p>
            <w:pPr>
              <w:pStyle w:val="TableParagraph"/>
              <w:spacing w:before="193"/>
              <w:rPr>
                <w:i/>
                <w:sz w:val="24"/>
              </w:rPr>
            </w:pPr>
          </w:p>
          <w:p>
            <w:pPr>
              <w:pStyle w:val="TableParagraph"/>
              <w:spacing w:before="1"/>
              <w:ind w:left="4"/>
              <w:jc w:val="center"/>
              <w:rPr>
                <w:sz w:val="24"/>
              </w:rPr>
            </w:pPr>
            <w:r>
              <w:rPr>
                <w:spacing w:val="-10"/>
                <w:sz w:val="24"/>
              </w:rPr>
              <w:t>1</w:t>
            </w:r>
          </w:p>
        </w:tc>
        <w:tc>
          <w:tcPr>
            <w:tcW w:w="964" w:type="dxa"/>
          </w:tcPr>
          <w:p>
            <w:pPr>
              <w:pStyle w:val="TableParagraph"/>
              <w:spacing w:before="193"/>
              <w:rPr>
                <w:i/>
                <w:sz w:val="24"/>
              </w:rPr>
            </w:pPr>
          </w:p>
          <w:p>
            <w:pPr>
              <w:pStyle w:val="TableParagraph"/>
              <w:spacing w:before="1"/>
              <w:ind w:left="7" w:right="2"/>
              <w:jc w:val="center"/>
              <w:rPr>
                <w:sz w:val="24"/>
              </w:rPr>
            </w:pPr>
            <w:r>
              <w:rPr>
                <w:spacing w:val="-10"/>
                <w:sz w:val="24"/>
              </w:rPr>
              <w:t>2</w:t>
            </w:r>
          </w:p>
        </w:tc>
      </w:tr>
      <w:tr>
        <w:trPr>
          <w:trHeight w:val="834" w:hRule="atLeast"/>
        </w:trPr>
        <w:tc>
          <w:tcPr>
            <w:tcW w:w="511" w:type="dxa"/>
          </w:tcPr>
          <w:p>
            <w:pPr>
              <w:pStyle w:val="TableParagraph"/>
              <w:spacing w:line="270" w:lineRule="exact"/>
              <w:ind w:left="107"/>
              <w:rPr>
                <w:sz w:val="24"/>
              </w:rPr>
            </w:pPr>
            <w:r>
              <w:rPr>
                <w:spacing w:val="-10"/>
                <w:sz w:val="24"/>
              </w:rPr>
              <w:t>8</w:t>
            </w:r>
          </w:p>
        </w:tc>
        <w:tc>
          <w:tcPr>
            <w:tcW w:w="4172" w:type="dxa"/>
          </w:tcPr>
          <w:p>
            <w:pPr>
              <w:pStyle w:val="TableParagraph"/>
              <w:spacing w:line="276" w:lineRule="auto"/>
              <w:ind w:left="107"/>
              <w:rPr>
                <w:sz w:val="24"/>
              </w:rPr>
            </w:pPr>
            <w:r>
              <w:rPr>
                <w:sz w:val="24"/>
              </w:rPr>
              <w:t>Я общаюсь в социальных сетях с мальчиками</w:t>
            </w:r>
            <w:r>
              <w:rPr>
                <w:spacing w:val="-10"/>
                <w:sz w:val="24"/>
              </w:rPr>
              <w:t> </w:t>
            </w:r>
            <w:r>
              <w:rPr>
                <w:sz w:val="24"/>
              </w:rPr>
              <w:t>или</w:t>
            </w:r>
            <w:r>
              <w:rPr>
                <w:spacing w:val="-9"/>
                <w:sz w:val="24"/>
              </w:rPr>
              <w:t> </w:t>
            </w:r>
            <w:r>
              <w:rPr>
                <w:sz w:val="24"/>
              </w:rPr>
              <w:t>девочками</w:t>
            </w:r>
            <w:r>
              <w:rPr>
                <w:spacing w:val="-10"/>
                <w:sz w:val="24"/>
              </w:rPr>
              <w:t> </w:t>
            </w:r>
            <w:r>
              <w:rPr>
                <w:sz w:val="24"/>
              </w:rPr>
              <w:t>из</w:t>
            </w:r>
            <w:r>
              <w:rPr>
                <w:spacing w:val="-10"/>
                <w:sz w:val="24"/>
              </w:rPr>
              <w:t> </w:t>
            </w:r>
            <w:r>
              <w:rPr>
                <w:sz w:val="24"/>
              </w:rPr>
              <w:t>России</w:t>
            </w:r>
          </w:p>
        </w:tc>
        <w:tc>
          <w:tcPr>
            <w:tcW w:w="1078" w:type="dxa"/>
          </w:tcPr>
          <w:p>
            <w:pPr>
              <w:pStyle w:val="TableParagraph"/>
              <w:spacing w:before="152"/>
              <w:ind w:left="9"/>
              <w:jc w:val="center"/>
              <w:rPr>
                <w:sz w:val="24"/>
              </w:rPr>
            </w:pPr>
            <w:r>
              <w:rPr>
                <w:spacing w:val="-2"/>
                <w:sz w:val="24"/>
              </w:rPr>
              <w:t>-</w:t>
            </w:r>
            <w:r>
              <w:rPr>
                <w:spacing w:val="-12"/>
                <w:sz w:val="24"/>
              </w:rPr>
              <w:t>2</w:t>
            </w:r>
          </w:p>
        </w:tc>
        <w:tc>
          <w:tcPr>
            <w:tcW w:w="898" w:type="dxa"/>
          </w:tcPr>
          <w:p>
            <w:pPr>
              <w:pStyle w:val="TableParagraph"/>
              <w:spacing w:before="152"/>
              <w:ind w:left="1"/>
              <w:jc w:val="center"/>
              <w:rPr>
                <w:sz w:val="24"/>
              </w:rPr>
            </w:pPr>
            <w:r>
              <w:rPr>
                <w:spacing w:val="-2"/>
                <w:sz w:val="24"/>
              </w:rPr>
              <w:t>-</w:t>
            </w:r>
            <w:r>
              <w:rPr>
                <w:spacing w:val="-12"/>
                <w:sz w:val="24"/>
              </w:rPr>
              <w:t>1</w:t>
            </w:r>
          </w:p>
        </w:tc>
        <w:tc>
          <w:tcPr>
            <w:tcW w:w="1047" w:type="dxa"/>
          </w:tcPr>
          <w:p>
            <w:pPr>
              <w:pStyle w:val="TableParagraph"/>
              <w:spacing w:before="152"/>
              <w:ind w:left="8"/>
              <w:jc w:val="center"/>
              <w:rPr>
                <w:sz w:val="24"/>
              </w:rPr>
            </w:pPr>
            <w:r>
              <w:rPr>
                <w:spacing w:val="-10"/>
                <w:sz w:val="24"/>
              </w:rPr>
              <w:t>0</w:t>
            </w:r>
          </w:p>
        </w:tc>
        <w:tc>
          <w:tcPr>
            <w:tcW w:w="902" w:type="dxa"/>
          </w:tcPr>
          <w:p>
            <w:pPr>
              <w:pStyle w:val="TableParagraph"/>
              <w:spacing w:before="152"/>
              <w:ind w:left="4"/>
              <w:jc w:val="center"/>
              <w:rPr>
                <w:sz w:val="24"/>
              </w:rPr>
            </w:pPr>
            <w:r>
              <w:rPr>
                <w:spacing w:val="-10"/>
                <w:sz w:val="24"/>
              </w:rPr>
              <w:t>1</w:t>
            </w:r>
          </w:p>
        </w:tc>
        <w:tc>
          <w:tcPr>
            <w:tcW w:w="964" w:type="dxa"/>
          </w:tcPr>
          <w:p>
            <w:pPr>
              <w:pStyle w:val="TableParagraph"/>
              <w:spacing w:before="152"/>
              <w:ind w:left="7" w:right="2"/>
              <w:jc w:val="center"/>
              <w:rPr>
                <w:sz w:val="24"/>
              </w:rPr>
            </w:pPr>
            <w:r>
              <w:rPr>
                <w:spacing w:val="-10"/>
                <w:sz w:val="24"/>
              </w:rPr>
              <w:t>2</w:t>
            </w:r>
          </w:p>
        </w:tc>
      </w:tr>
    </w:tbl>
    <w:p>
      <w:pPr>
        <w:pStyle w:val="Heading5"/>
        <w:spacing w:line="322" w:lineRule="exact" w:before="316"/>
      </w:pPr>
      <w:r>
        <w:rPr/>
        <w:t>Оцени,</w:t>
      </w:r>
      <w:r>
        <w:rPr>
          <w:spacing w:val="-12"/>
        </w:rPr>
        <w:t> </w:t>
      </w:r>
      <w:r>
        <w:rPr/>
        <w:t>пожалуйста,</w:t>
      </w:r>
      <w:r>
        <w:rPr>
          <w:spacing w:val="-7"/>
        </w:rPr>
        <w:t> </w:t>
      </w:r>
      <w:r>
        <w:rPr/>
        <w:t>степень</w:t>
      </w:r>
      <w:r>
        <w:rPr>
          <w:spacing w:val="-7"/>
        </w:rPr>
        <w:t> </w:t>
      </w:r>
      <w:r>
        <w:rPr/>
        <w:t>своего</w:t>
      </w:r>
      <w:r>
        <w:rPr>
          <w:spacing w:val="-5"/>
        </w:rPr>
        <w:t> </w:t>
      </w:r>
      <w:r>
        <w:rPr/>
        <w:t>согласия</w:t>
      </w:r>
      <w:r>
        <w:rPr>
          <w:spacing w:val="-3"/>
        </w:rPr>
        <w:t> </w:t>
      </w:r>
      <w:r>
        <w:rPr/>
        <w:t>с</w:t>
      </w:r>
      <w:r>
        <w:rPr>
          <w:spacing w:val="-6"/>
        </w:rPr>
        <w:t> </w:t>
      </w:r>
      <w:r>
        <w:rPr/>
        <w:t>утверждениями</w:t>
      </w:r>
      <w:r>
        <w:rPr>
          <w:spacing w:val="-6"/>
        </w:rPr>
        <w:t> </w:t>
      </w:r>
      <w:r>
        <w:rPr/>
        <w:t>по</w:t>
      </w:r>
      <w:r>
        <w:rPr>
          <w:spacing w:val="-5"/>
        </w:rPr>
        <w:t> </w:t>
      </w:r>
      <w:r>
        <w:rPr/>
        <w:t>шкале</w:t>
      </w:r>
      <w:r>
        <w:rPr>
          <w:spacing w:val="-8"/>
        </w:rPr>
        <w:t> </w:t>
      </w:r>
      <w:r>
        <w:rPr>
          <w:spacing w:val="-5"/>
        </w:rPr>
        <w:t>от</w:t>
      </w:r>
    </w:p>
    <w:p>
      <w:pPr>
        <w:pStyle w:val="Heading5"/>
      </w:pPr>
      <w:r>
        <w:rPr/>
        <w:t>-2</w:t>
      </w:r>
      <w:r>
        <w:rPr>
          <w:spacing w:val="-6"/>
        </w:rPr>
        <w:t> </w:t>
      </w:r>
      <w:r>
        <w:rPr/>
        <w:t>—</w:t>
      </w:r>
      <w:r>
        <w:rPr>
          <w:spacing w:val="-4"/>
        </w:rPr>
        <w:t> </w:t>
      </w:r>
      <w:r>
        <w:rPr/>
        <w:t>полностью</w:t>
      </w:r>
      <w:r>
        <w:rPr>
          <w:spacing w:val="-5"/>
        </w:rPr>
        <w:t> </w:t>
      </w:r>
      <w:r>
        <w:rPr/>
        <w:t>НЕ</w:t>
      </w:r>
      <w:r>
        <w:rPr>
          <w:spacing w:val="-5"/>
        </w:rPr>
        <w:t> </w:t>
      </w:r>
      <w:r>
        <w:rPr/>
        <w:t>согласен</w:t>
      </w:r>
      <w:r>
        <w:rPr>
          <w:spacing w:val="-3"/>
        </w:rPr>
        <w:t> </w:t>
      </w:r>
      <w:r>
        <w:rPr/>
        <w:t>до</w:t>
      </w:r>
      <w:r>
        <w:rPr>
          <w:spacing w:val="-3"/>
        </w:rPr>
        <w:t> </w:t>
      </w:r>
      <w:r>
        <w:rPr/>
        <w:t>2</w:t>
      </w:r>
      <w:r>
        <w:rPr>
          <w:spacing w:val="-3"/>
        </w:rPr>
        <w:t> </w:t>
      </w:r>
      <w:r>
        <w:rPr/>
        <w:t>—</w:t>
      </w:r>
      <w:r>
        <w:rPr>
          <w:spacing w:val="-4"/>
        </w:rPr>
        <w:t> </w:t>
      </w:r>
      <w:r>
        <w:rPr/>
        <w:t>полностью</w:t>
      </w:r>
      <w:r>
        <w:rPr>
          <w:spacing w:val="-5"/>
        </w:rPr>
        <w:t> </w:t>
      </w:r>
      <w:r>
        <w:rPr>
          <w:spacing w:val="-2"/>
        </w:rPr>
        <w:t>согласен.</w:t>
      </w:r>
    </w:p>
    <w:p>
      <w:pPr>
        <w:pStyle w:val="BodyText"/>
        <w:spacing w:before="54" w:after="1"/>
        <w:ind w:left="0" w:right="0" w:firstLine="0"/>
        <w:jc w:val="left"/>
        <w:rPr>
          <w:i/>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
        <w:gridCol w:w="3174"/>
        <w:gridCol w:w="1419"/>
        <w:gridCol w:w="1135"/>
        <w:gridCol w:w="1275"/>
        <w:gridCol w:w="994"/>
        <w:gridCol w:w="1417"/>
      </w:tblGrid>
      <w:tr>
        <w:trPr>
          <w:trHeight w:val="1152" w:hRule="atLeast"/>
        </w:trPr>
        <w:tc>
          <w:tcPr>
            <w:tcW w:w="478" w:type="dxa"/>
          </w:tcPr>
          <w:p>
            <w:pPr>
              <w:pStyle w:val="TableParagraph"/>
              <w:spacing w:before="40"/>
              <w:rPr>
                <w:i/>
                <w:sz w:val="24"/>
              </w:rPr>
            </w:pPr>
          </w:p>
          <w:p>
            <w:pPr>
              <w:pStyle w:val="TableParagraph"/>
              <w:ind w:left="117"/>
              <w:rPr>
                <w:b/>
                <w:sz w:val="24"/>
              </w:rPr>
            </w:pPr>
            <w:r>
              <w:rPr>
                <w:b/>
                <w:spacing w:val="-10"/>
                <w:sz w:val="24"/>
              </w:rPr>
              <w:t>№</w:t>
            </w:r>
          </w:p>
        </w:tc>
        <w:tc>
          <w:tcPr>
            <w:tcW w:w="3174" w:type="dxa"/>
          </w:tcPr>
          <w:p>
            <w:pPr>
              <w:pStyle w:val="TableParagraph"/>
              <w:spacing w:before="40"/>
              <w:rPr>
                <w:i/>
                <w:sz w:val="24"/>
              </w:rPr>
            </w:pPr>
          </w:p>
          <w:p>
            <w:pPr>
              <w:pStyle w:val="TableParagraph"/>
              <w:ind w:left="848"/>
              <w:rPr>
                <w:b/>
                <w:sz w:val="24"/>
              </w:rPr>
            </w:pPr>
            <w:r>
              <w:rPr>
                <w:b/>
                <w:spacing w:val="-2"/>
                <w:sz w:val="24"/>
              </w:rPr>
              <w:t>Утверждения</w:t>
            </w:r>
          </w:p>
        </w:tc>
        <w:tc>
          <w:tcPr>
            <w:tcW w:w="1419" w:type="dxa"/>
          </w:tcPr>
          <w:p>
            <w:pPr>
              <w:pStyle w:val="TableParagraph"/>
              <w:spacing w:line="276" w:lineRule="auto"/>
              <w:ind w:left="7"/>
              <w:jc w:val="center"/>
              <w:rPr>
                <w:i/>
                <w:sz w:val="24"/>
              </w:rPr>
            </w:pPr>
            <w:r>
              <w:rPr>
                <w:i/>
                <w:spacing w:val="-2"/>
                <w:sz w:val="24"/>
              </w:rPr>
              <w:t>Полностью </w:t>
            </w:r>
            <w:r>
              <w:rPr>
                <w:i/>
                <w:spacing w:val="-6"/>
                <w:sz w:val="24"/>
              </w:rPr>
              <w:t>НЕ</w:t>
            </w:r>
          </w:p>
          <w:p>
            <w:pPr>
              <w:pStyle w:val="TableParagraph"/>
              <w:spacing w:line="275" w:lineRule="exact"/>
              <w:ind w:left="7" w:right="2"/>
              <w:jc w:val="center"/>
              <w:rPr>
                <w:i/>
                <w:sz w:val="24"/>
              </w:rPr>
            </w:pPr>
            <w:r>
              <w:rPr>
                <w:i/>
                <w:spacing w:val="-2"/>
                <w:sz w:val="24"/>
              </w:rPr>
              <w:t>согласен</w:t>
            </w:r>
          </w:p>
        </w:tc>
        <w:tc>
          <w:tcPr>
            <w:tcW w:w="1135" w:type="dxa"/>
          </w:tcPr>
          <w:p>
            <w:pPr>
              <w:pStyle w:val="TableParagraph"/>
              <w:spacing w:line="276" w:lineRule="auto"/>
              <w:ind w:left="202" w:right="194"/>
              <w:jc w:val="center"/>
              <w:rPr>
                <w:i/>
                <w:sz w:val="24"/>
              </w:rPr>
            </w:pPr>
            <w:r>
              <w:rPr>
                <w:i/>
                <w:spacing w:val="-2"/>
                <w:sz w:val="24"/>
              </w:rPr>
              <w:t>Скорее </w:t>
            </w:r>
            <w:r>
              <w:rPr>
                <w:i/>
                <w:spacing w:val="-6"/>
                <w:sz w:val="24"/>
              </w:rPr>
              <w:t>НЕ</w:t>
            </w:r>
          </w:p>
          <w:p>
            <w:pPr>
              <w:pStyle w:val="TableParagraph"/>
              <w:spacing w:line="275" w:lineRule="exact"/>
              <w:ind w:left="111" w:right="110"/>
              <w:jc w:val="center"/>
              <w:rPr>
                <w:i/>
                <w:sz w:val="24"/>
              </w:rPr>
            </w:pPr>
            <w:r>
              <w:rPr>
                <w:i/>
                <w:spacing w:val="-2"/>
                <w:sz w:val="24"/>
              </w:rPr>
              <w:t>согласен</w:t>
            </w:r>
          </w:p>
        </w:tc>
        <w:tc>
          <w:tcPr>
            <w:tcW w:w="1275" w:type="dxa"/>
          </w:tcPr>
          <w:p>
            <w:pPr>
              <w:pStyle w:val="TableParagraph"/>
              <w:spacing w:line="276" w:lineRule="auto" w:before="253"/>
              <w:ind w:left="164" w:right="149" w:hanging="8"/>
              <w:rPr>
                <w:i/>
                <w:sz w:val="24"/>
              </w:rPr>
            </w:pPr>
            <w:r>
              <w:rPr>
                <w:i/>
                <w:sz w:val="24"/>
              </w:rPr>
              <w:t>В</w:t>
            </w:r>
            <w:r>
              <w:rPr>
                <w:i/>
                <w:spacing w:val="-15"/>
                <w:sz w:val="24"/>
              </w:rPr>
              <w:t> </w:t>
            </w:r>
            <w:r>
              <w:rPr>
                <w:i/>
                <w:sz w:val="24"/>
              </w:rPr>
              <w:t>чем-</w:t>
            </w:r>
            <w:r>
              <w:rPr>
                <w:i/>
                <w:sz w:val="24"/>
              </w:rPr>
              <w:t>то </w:t>
            </w:r>
            <w:r>
              <w:rPr>
                <w:i/>
                <w:spacing w:val="-2"/>
                <w:sz w:val="24"/>
              </w:rPr>
              <w:t>согласен,</w:t>
            </w:r>
          </w:p>
        </w:tc>
        <w:tc>
          <w:tcPr>
            <w:tcW w:w="994" w:type="dxa"/>
          </w:tcPr>
          <w:p>
            <w:pPr>
              <w:pStyle w:val="TableParagraph"/>
              <w:spacing w:line="276" w:lineRule="auto"/>
              <w:ind w:left="116" w:right="108" w:firstLine="2"/>
              <w:jc w:val="center"/>
              <w:rPr>
                <w:i/>
                <w:sz w:val="24"/>
              </w:rPr>
            </w:pPr>
            <w:r>
              <w:rPr>
                <w:i/>
                <w:spacing w:val="-2"/>
                <w:sz w:val="24"/>
              </w:rPr>
              <w:t>Скорее согласе </w:t>
            </w:r>
            <w:r>
              <w:rPr>
                <w:i/>
                <w:spacing w:val="-10"/>
                <w:sz w:val="24"/>
              </w:rPr>
              <w:t>н</w:t>
            </w:r>
          </w:p>
        </w:tc>
        <w:tc>
          <w:tcPr>
            <w:tcW w:w="1417" w:type="dxa"/>
          </w:tcPr>
          <w:p>
            <w:pPr>
              <w:pStyle w:val="TableParagraph"/>
              <w:spacing w:line="276" w:lineRule="auto" w:before="153"/>
              <w:ind w:left="264" w:hanging="161"/>
              <w:rPr>
                <w:i/>
                <w:sz w:val="24"/>
              </w:rPr>
            </w:pPr>
            <w:r>
              <w:rPr>
                <w:i/>
                <w:spacing w:val="-2"/>
                <w:sz w:val="24"/>
              </w:rPr>
              <w:t>Полностью согласен</w:t>
            </w:r>
          </w:p>
        </w:tc>
      </w:tr>
    </w:tbl>
    <w:p>
      <w:pPr>
        <w:pStyle w:val="TableParagraph"/>
        <w:spacing w:after="0" w:line="276" w:lineRule="auto"/>
        <w:rPr>
          <w:i/>
          <w:sz w:val="24"/>
        </w:rPr>
        <w:sectPr>
          <w:pgSz w:w="11910" w:h="16840"/>
          <w:pgMar w:header="0" w:footer="970" w:top="1040" w:bottom="1220" w:left="1417" w:right="283"/>
        </w:sect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
        <w:gridCol w:w="3174"/>
        <w:gridCol w:w="1419"/>
        <w:gridCol w:w="1135"/>
        <w:gridCol w:w="1275"/>
        <w:gridCol w:w="994"/>
        <w:gridCol w:w="1417"/>
      </w:tblGrid>
      <w:tr>
        <w:trPr>
          <w:trHeight w:val="835" w:hRule="atLeast"/>
        </w:trPr>
        <w:tc>
          <w:tcPr>
            <w:tcW w:w="478" w:type="dxa"/>
          </w:tcPr>
          <w:p>
            <w:pPr>
              <w:pStyle w:val="TableParagraph"/>
              <w:rPr>
                <w:sz w:val="24"/>
              </w:rPr>
            </w:pPr>
          </w:p>
        </w:tc>
        <w:tc>
          <w:tcPr>
            <w:tcW w:w="3174" w:type="dxa"/>
          </w:tcPr>
          <w:p>
            <w:pPr>
              <w:pStyle w:val="TableParagraph"/>
              <w:rPr>
                <w:sz w:val="24"/>
              </w:rPr>
            </w:pPr>
          </w:p>
        </w:tc>
        <w:tc>
          <w:tcPr>
            <w:tcW w:w="1419" w:type="dxa"/>
          </w:tcPr>
          <w:p>
            <w:pPr>
              <w:pStyle w:val="TableParagraph"/>
              <w:rPr>
                <w:sz w:val="24"/>
              </w:rPr>
            </w:pPr>
          </w:p>
        </w:tc>
        <w:tc>
          <w:tcPr>
            <w:tcW w:w="1135" w:type="dxa"/>
          </w:tcPr>
          <w:p>
            <w:pPr>
              <w:pStyle w:val="TableParagraph"/>
              <w:rPr>
                <w:sz w:val="24"/>
              </w:rPr>
            </w:pPr>
          </w:p>
        </w:tc>
        <w:tc>
          <w:tcPr>
            <w:tcW w:w="1275" w:type="dxa"/>
          </w:tcPr>
          <w:p>
            <w:pPr>
              <w:pStyle w:val="TableParagraph"/>
              <w:spacing w:line="276" w:lineRule="auto"/>
              <w:ind w:left="433" w:right="170" w:hanging="255"/>
              <w:rPr>
                <w:i/>
                <w:sz w:val="24"/>
              </w:rPr>
            </w:pPr>
            <w:r>
              <w:rPr>
                <w:i/>
                <w:sz w:val="24"/>
              </w:rPr>
              <w:t>в</w:t>
            </w:r>
            <w:r>
              <w:rPr>
                <w:i/>
                <w:spacing w:val="-15"/>
                <w:sz w:val="24"/>
              </w:rPr>
              <w:t> </w:t>
            </w:r>
            <w:r>
              <w:rPr>
                <w:i/>
                <w:sz w:val="24"/>
              </w:rPr>
              <w:t>чем-</w:t>
            </w:r>
            <w:r>
              <w:rPr>
                <w:i/>
                <w:sz w:val="24"/>
              </w:rPr>
              <w:t>то </w:t>
            </w:r>
            <w:r>
              <w:rPr>
                <w:i/>
                <w:spacing w:val="-4"/>
                <w:sz w:val="24"/>
              </w:rPr>
              <w:t>нет</w:t>
            </w:r>
          </w:p>
        </w:tc>
        <w:tc>
          <w:tcPr>
            <w:tcW w:w="994" w:type="dxa"/>
          </w:tcPr>
          <w:p>
            <w:pPr>
              <w:pStyle w:val="TableParagraph"/>
              <w:rPr>
                <w:sz w:val="24"/>
              </w:rPr>
            </w:pPr>
          </w:p>
        </w:tc>
        <w:tc>
          <w:tcPr>
            <w:tcW w:w="1417" w:type="dxa"/>
          </w:tcPr>
          <w:p>
            <w:pPr>
              <w:pStyle w:val="TableParagraph"/>
              <w:rPr>
                <w:sz w:val="24"/>
              </w:rPr>
            </w:pPr>
          </w:p>
        </w:tc>
      </w:tr>
      <w:tr>
        <w:trPr>
          <w:trHeight w:val="1470" w:hRule="atLeast"/>
        </w:trPr>
        <w:tc>
          <w:tcPr>
            <w:tcW w:w="478" w:type="dxa"/>
          </w:tcPr>
          <w:p>
            <w:pPr>
              <w:pStyle w:val="TableParagraph"/>
              <w:spacing w:line="273" w:lineRule="exact"/>
              <w:ind w:right="130"/>
              <w:jc w:val="center"/>
              <w:rPr>
                <w:sz w:val="24"/>
              </w:rPr>
            </w:pPr>
            <w:r>
              <w:rPr>
                <w:spacing w:val="-10"/>
                <w:sz w:val="24"/>
              </w:rPr>
              <w:t>9</w:t>
            </w:r>
          </w:p>
        </w:tc>
        <w:tc>
          <w:tcPr>
            <w:tcW w:w="3174" w:type="dxa"/>
          </w:tcPr>
          <w:p>
            <w:pPr>
              <w:pStyle w:val="TableParagraph"/>
              <w:spacing w:line="276" w:lineRule="auto"/>
              <w:ind w:left="107" w:right="174"/>
              <w:rPr>
                <w:sz w:val="24"/>
              </w:rPr>
            </w:pPr>
            <w:r>
              <w:rPr>
                <w:sz w:val="24"/>
              </w:rPr>
              <w:t>У меня есть друзья, приехавшие из моей страны/региона (или живущие</w:t>
            </w:r>
            <w:r>
              <w:rPr>
                <w:spacing w:val="-15"/>
                <w:sz w:val="24"/>
              </w:rPr>
              <w:t> </w:t>
            </w:r>
            <w:r>
              <w:rPr>
                <w:sz w:val="24"/>
              </w:rPr>
              <w:t>там</w:t>
            </w:r>
            <w:r>
              <w:rPr>
                <w:spacing w:val="-15"/>
                <w:sz w:val="24"/>
              </w:rPr>
              <w:t> </w:t>
            </w:r>
            <w:r>
              <w:rPr>
                <w:sz w:val="24"/>
              </w:rPr>
              <w:t>сейчас)</w:t>
            </w:r>
          </w:p>
        </w:tc>
        <w:tc>
          <w:tcPr>
            <w:tcW w:w="1419" w:type="dxa"/>
          </w:tcPr>
          <w:p>
            <w:pPr>
              <w:pStyle w:val="TableParagraph"/>
              <w:spacing w:before="195"/>
              <w:rPr>
                <w:i/>
                <w:sz w:val="24"/>
              </w:rPr>
            </w:pPr>
          </w:p>
          <w:p>
            <w:pPr>
              <w:pStyle w:val="TableParagraph"/>
              <w:ind w:left="7" w:right="1"/>
              <w:jc w:val="center"/>
              <w:rPr>
                <w:sz w:val="24"/>
              </w:rPr>
            </w:pPr>
            <w:r>
              <w:rPr>
                <w:spacing w:val="-2"/>
                <w:sz w:val="24"/>
              </w:rPr>
              <w:t>-</w:t>
            </w:r>
            <w:r>
              <w:rPr>
                <w:spacing w:val="-12"/>
                <w:sz w:val="24"/>
              </w:rPr>
              <w:t>2</w:t>
            </w:r>
          </w:p>
        </w:tc>
        <w:tc>
          <w:tcPr>
            <w:tcW w:w="1135" w:type="dxa"/>
          </w:tcPr>
          <w:p>
            <w:pPr>
              <w:pStyle w:val="TableParagraph"/>
              <w:spacing w:before="195"/>
              <w:rPr>
                <w:i/>
                <w:sz w:val="24"/>
              </w:rPr>
            </w:pPr>
          </w:p>
          <w:p>
            <w:pPr>
              <w:pStyle w:val="TableParagraph"/>
              <w:ind w:left="112" w:right="110"/>
              <w:jc w:val="center"/>
              <w:rPr>
                <w:sz w:val="24"/>
              </w:rPr>
            </w:pPr>
            <w:r>
              <w:rPr>
                <w:spacing w:val="-2"/>
                <w:sz w:val="24"/>
              </w:rPr>
              <w:t>-</w:t>
            </w:r>
            <w:r>
              <w:rPr>
                <w:spacing w:val="-12"/>
                <w:sz w:val="24"/>
              </w:rPr>
              <w:t>1</w:t>
            </w:r>
          </w:p>
        </w:tc>
        <w:tc>
          <w:tcPr>
            <w:tcW w:w="1275" w:type="dxa"/>
          </w:tcPr>
          <w:p>
            <w:pPr>
              <w:pStyle w:val="TableParagraph"/>
              <w:spacing w:before="195"/>
              <w:rPr>
                <w:i/>
                <w:sz w:val="24"/>
              </w:rPr>
            </w:pPr>
          </w:p>
          <w:p>
            <w:pPr>
              <w:pStyle w:val="TableParagraph"/>
              <w:ind w:left="4" w:right="4"/>
              <w:jc w:val="center"/>
              <w:rPr>
                <w:sz w:val="24"/>
              </w:rPr>
            </w:pPr>
            <w:r>
              <w:rPr>
                <w:spacing w:val="-10"/>
                <w:sz w:val="24"/>
              </w:rPr>
              <w:t>0</w:t>
            </w:r>
          </w:p>
        </w:tc>
        <w:tc>
          <w:tcPr>
            <w:tcW w:w="994" w:type="dxa"/>
          </w:tcPr>
          <w:p>
            <w:pPr>
              <w:pStyle w:val="TableParagraph"/>
              <w:spacing w:before="195"/>
              <w:rPr>
                <w:i/>
                <w:sz w:val="24"/>
              </w:rPr>
            </w:pPr>
          </w:p>
          <w:p>
            <w:pPr>
              <w:pStyle w:val="TableParagraph"/>
              <w:ind w:left="7"/>
              <w:jc w:val="center"/>
              <w:rPr>
                <w:sz w:val="24"/>
              </w:rPr>
            </w:pPr>
            <w:r>
              <w:rPr>
                <w:spacing w:val="-10"/>
                <w:sz w:val="24"/>
              </w:rPr>
              <w:t>1</w:t>
            </w:r>
          </w:p>
        </w:tc>
        <w:tc>
          <w:tcPr>
            <w:tcW w:w="1417" w:type="dxa"/>
          </w:tcPr>
          <w:p>
            <w:pPr>
              <w:pStyle w:val="TableParagraph"/>
              <w:spacing w:before="195"/>
              <w:rPr>
                <w:i/>
                <w:sz w:val="24"/>
              </w:rPr>
            </w:pPr>
          </w:p>
          <w:p>
            <w:pPr>
              <w:pStyle w:val="TableParagraph"/>
              <w:jc w:val="center"/>
              <w:rPr>
                <w:sz w:val="24"/>
              </w:rPr>
            </w:pPr>
            <w:r>
              <w:rPr>
                <w:spacing w:val="-10"/>
                <w:sz w:val="24"/>
              </w:rPr>
              <w:t>2</w:t>
            </w:r>
          </w:p>
        </w:tc>
      </w:tr>
      <w:tr>
        <w:trPr>
          <w:trHeight w:val="834" w:hRule="atLeast"/>
        </w:trPr>
        <w:tc>
          <w:tcPr>
            <w:tcW w:w="478" w:type="dxa"/>
          </w:tcPr>
          <w:p>
            <w:pPr>
              <w:pStyle w:val="TableParagraph"/>
              <w:spacing w:line="270" w:lineRule="exact"/>
              <w:ind w:right="10"/>
              <w:jc w:val="center"/>
              <w:rPr>
                <w:sz w:val="24"/>
              </w:rPr>
            </w:pPr>
            <w:r>
              <w:rPr>
                <w:spacing w:val="-5"/>
                <w:sz w:val="24"/>
              </w:rPr>
              <w:t>10</w:t>
            </w:r>
          </w:p>
        </w:tc>
        <w:tc>
          <w:tcPr>
            <w:tcW w:w="3174" w:type="dxa"/>
          </w:tcPr>
          <w:p>
            <w:pPr>
              <w:pStyle w:val="TableParagraph"/>
              <w:spacing w:line="276" w:lineRule="auto"/>
              <w:ind w:left="107" w:right="174"/>
              <w:rPr>
                <w:sz w:val="24"/>
              </w:rPr>
            </w:pPr>
            <w:r>
              <w:rPr>
                <w:sz w:val="24"/>
              </w:rPr>
              <w:t>У</w:t>
            </w:r>
            <w:r>
              <w:rPr>
                <w:spacing w:val="-11"/>
                <w:sz w:val="24"/>
              </w:rPr>
              <w:t> </w:t>
            </w:r>
            <w:r>
              <w:rPr>
                <w:sz w:val="24"/>
              </w:rPr>
              <w:t>меня</w:t>
            </w:r>
            <w:r>
              <w:rPr>
                <w:spacing w:val="-11"/>
                <w:sz w:val="24"/>
              </w:rPr>
              <w:t> </w:t>
            </w:r>
            <w:r>
              <w:rPr>
                <w:sz w:val="24"/>
              </w:rPr>
              <w:t>есть</w:t>
            </w:r>
            <w:r>
              <w:rPr>
                <w:spacing w:val="-10"/>
                <w:sz w:val="24"/>
              </w:rPr>
              <w:t> </w:t>
            </w:r>
            <w:r>
              <w:rPr>
                <w:sz w:val="24"/>
              </w:rPr>
              <w:t>друзья</w:t>
            </w:r>
            <w:r>
              <w:rPr>
                <w:spacing w:val="-11"/>
                <w:sz w:val="24"/>
              </w:rPr>
              <w:t> </w:t>
            </w:r>
            <w:r>
              <w:rPr>
                <w:sz w:val="24"/>
              </w:rPr>
              <w:t>из </w:t>
            </w:r>
            <w:r>
              <w:rPr>
                <w:spacing w:val="-2"/>
                <w:sz w:val="24"/>
              </w:rPr>
              <w:t>России</w:t>
            </w:r>
          </w:p>
        </w:tc>
        <w:tc>
          <w:tcPr>
            <w:tcW w:w="1419" w:type="dxa"/>
          </w:tcPr>
          <w:p>
            <w:pPr>
              <w:pStyle w:val="TableParagraph"/>
              <w:spacing w:before="152"/>
              <w:ind w:left="7" w:right="1"/>
              <w:jc w:val="center"/>
              <w:rPr>
                <w:sz w:val="24"/>
              </w:rPr>
            </w:pPr>
            <w:r>
              <w:rPr>
                <w:spacing w:val="-2"/>
                <w:sz w:val="24"/>
              </w:rPr>
              <w:t>-</w:t>
            </w:r>
            <w:r>
              <w:rPr>
                <w:spacing w:val="-12"/>
                <w:sz w:val="24"/>
              </w:rPr>
              <w:t>2</w:t>
            </w:r>
          </w:p>
        </w:tc>
        <w:tc>
          <w:tcPr>
            <w:tcW w:w="1135" w:type="dxa"/>
          </w:tcPr>
          <w:p>
            <w:pPr>
              <w:pStyle w:val="TableParagraph"/>
              <w:spacing w:before="152"/>
              <w:ind w:left="112" w:right="110"/>
              <w:jc w:val="center"/>
              <w:rPr>
                <w:sz w:val="24"/>
              </w:rPr>
            </w:pPr>
            <w:r>
              <w:rPr>
                <w:spacing w:val="-2"/>
                <w:sz w:val="24"/>
              </w:rPr>
              <w:t>-</w:t>
            </w:r>
            <w:r>
              <w:rPr>
                <w:spacing w:val="-12"/>
                <w:sz w:val="24"/>
              </w:rPr>
              <w:t>1</w:t>
            </w:r>
          </w:p>
        </w:tc>
        <w:tc>
          <w:tcPr>
            <w:tcW w:w="1275" w:type="dxa"/>
          </w:tcPr>
          <w:p>
            <w:pPr>
              <w:pStyle w:val="TableParagraph"/>
              <w:spacing w:before="152"/>
              <w:ind w:left="4" w:right="4"/>
              <w:jc w:val="center"/>
              <w:rPr>
                <w:sz w:val="24"/>
              </w:rPr>
            </w:pPr>
            <w:r>
              <w:rPr>
                <w:spacing w:val="-10"/>
                <w:sz w:val="24"/>
              </w:rPr>
              <w:t>0</w:t>
            </w:r>
          </w:p>
        </w:tc>
        <w:tc>
          <w:tcPr>
            <w:tcW w:w="994" w:type="dxa"/>
          </w:tcPr>
          <w:p>
            <w:pPr>
              <w:pStyle w:val="TableParagraph"/>
              <w:spacing w:before="152"/>
              <w:ind w:left="7"/>
              <w:jc w:val="center"/>
              <w:rPr>
                <w:sz w:val="24"/>
              </w:rPr>
            </w:pPr>
            <w:r>
              <w:rPr>
                <w:spacing w:val="-10"/>
                <w:sz w:val="24"/>
              </w:rPr>
              <w:t>1</w:t>
            </w:r>
          </w:p>
        </w:tc>
        <w:tc>
          <w:tcPr>
            <w:tcW w:w="1417" w:type="dxa"/>
          </w:tcPr>
          <w:p>
            <w:pPr>
              <w:pStyle w:val="TableParagraph"/>
              <w:spacing w:before="152"/>
              <w:jc w:val="center"/>
              <w:rPr>
                <w:sz w:val="24"/>
              </w:rPr>
            </w:pPr>
            <w:r>
              <w:rPr>
                <w:spacing w:val="-10"/>
                <w:sz w:val="24"/>
              </w:rPr>
              <w:t>2</w:t>
            </w:r>
          </w:p>
        </w:tc>
      </w:tr>
      <w:tr>
        <w:trPr>
          <w:trHeight w:val="835" w:hRule="atLeast"/>
        </w:trPr>
        <w:tc>
          <w:tcPr>
            <w:tcW w:w="478" w:type="dxa"/>
          </w:tcPr>
          <w:p>
            <w:pPr>
              <w:pStyle w:val="TableParagraph"/>
              <w:spacing w:line="270" w:lineRule="exact"/>
              <w:ind w:right="10"/>
              <w:jc w:val="center"/>
              <w:rPr>
                <w:sz w:val="24"/>
              </w:rPr>
            </w:pPr>
            <w:r>
              <w:rPr>
                <w:spacing w:val="-5"/>
                <w:sz w:val="24"/>
              </w:rPr>
              <w:t>11</w:t>
            </w:r>
          </w:p>
        </w:tc>
        <w:tc>
          <w:tcPr>
            <w:tcW w:w="3174" w:type="dxa"/>
          </w:tcPr>
          <w:p>
            <w:pPr>
              <w:pStyle w:val="TableParagraph"/>
              <w:spacing w:line="276" w:lineRule="auto"/>
              <w:ind w:left="107" w:right="174"/>
              <w:rPr>
                <w:sz w:val="24"/>
              </w:rPr>
            </w:pPr>
            <w:r>
              <w:rPr>
                <w:sz w:val="24"/>
              </w:rPr>
              <w:t>Мне</w:t>
            </w:r>
            <w:r>
              <w:rPr>
                <w:spacing w:val="-9"/>
                <w:sz w:val="24"/>
              </w:rPr>
              <w:t> </w:t>
            </w:r>
            <w:r>
              <w:rPr>
                <w:sz w:val="24"/>
              </w:rPr>
              <w:t>нравится</w:t>
            </w:r>
            <w:r>
              <w:rPr>
                <w:spacing w:val="-8"/>
                <w:sz w:val="24"/>
              </w:rPr>
              <w:t> </w:t>
            </w:r>
            <w:r>
              <w:rPr>
                <w:sz w:val="24"/>
              </w:rPr>
              <w:t>жить</w:t>
            </w:r>
            <w:r>
              <w:rPr>
                <w:spacing w:val="-7"/>
                <w:sz w:val="24"/>
              </w:rPr>
              <w:t> </w:t>
            </w:r>
            <w:r>
              <w:rPr>
                <w:sz w:val="24"/>
              </w:rPr>
              <w:t>у</w:t>
            </w:r>
            <w:r>
              <w:rPr>
                <w:spacing w:val="-15"/>
                <w:sz w:val="24"/>
              </w:rPr>
              <w:t> </w:t>
            </w:r>
            <w:r>
              <w:rPr>
                <w:sz w:val="24"/>
              </w:rPr>
              <w:t>меня на родине</w:t>
            </w:r>
          </w:p>
        </w:tc>
        <w:tc>
          <w:tcPr>
            <w:tcW w:w="1419" w:type="dxa"/>
          </w:tcPr>
          <w:p>
            <w:pPr>
              <w:pStyle w:val="TableParagraph"/>
              <w:spacing w:before="152"/>
              <w:ind w:left="7" w:right="1"/>
              <w:jc w:val="center"/>
              <w:rPr>
                <w:sz w:val="24"/>
              </w:rPr>
            </w:pPr>
            <w:r>
              <w:rPr>
                <w:spacing w:val="-2"/>
                <w:sz w:val="24"/>
              </w:rPr>
              <w:t>-</w:t>
            </w:r>
            <w:r>
              <w:rPr>
                <w:spacing w:val="-12"/>
                <w:sz w:val="24"/>
              </w:rPr>
              <w:t>2</w:t>
            </w:r>
          </w:p>
        </w:tc>
        <w:tc>
          <w:tcPr>
            <w:tcW w:w="1135" w:type="dxa"/>
          </w:tcPr>
          <w:p>
            <w:pPr>
              <w:pStyle w:val="TableParagraph"/>
              <w:spacing w:before="152"/>
              <w:ind w:left="112" w:right="110"/>
              <w:jc w:val="center"/>
              <w:rPr>
                <w:sz w:val="24"/>
              </w:rPr>
            </w:pPr>
            <w:r>
              <w:rPr>
                <w:spacing w:val="-2"/>
                <w:sz w:val="24"/>
              </w:rPr>
              <w:t>-</w:t>
            </w:r>
            <w:r>
              <w:rPr>
                <w:spacing w:val="-12"/>
                <w:sz w:val="24"/>
              </w:rPr>
              <w:t>1</w:t>
            </w:r>
          </w:p>
        </w:tc>
        <w:tc>
          <w:tcPr>
            <w:tcW w:w="1275" w:type="dxa"/>
          </w:tcPr>
          <w:p>
            <w:pPr>
              <w:pStyle w:val="TableParagraph"/>
              <w:spacing w:before="152"/>
              <w:ind w:left="4" w:right="4"/>
              <w:jc w:val="center"/>
              <w:rPr>
                <w:sz w:val="24"/>
              </w:rPr>
            </w:pPr>
            <w:r>
              <w:rPr>
                <w:spacing w:val="-10"/>
                <w:sz w:val="24"/>
              </w:rPr>
              <w:t>0</w:t>
            </w:r>
          </w:p>
        </w:tc>
        <w:tc>
          <w:tcPr>
            <w:tcW w:w="994" w:type="dxa"/>
          </w:tcPr>
          <w:p>
            <w:pPr>
              <w:pStyle w:val="TableParagraph"/>
              <w:spacing w:before="152"/>
              <w:ind w:left="7"/>
              <w:jc w:val="center"/>
              <w:rPr>
                <w:sz w:val="24"/>
              </w:rPr>
            </w:pPr>
            <w:r>
              <w:rPr>
                <w:spacing w:val="-10"/>
                <w:sz w:val="24"/>
              </w:rPr>
              <w:t>1</w:t>
            </w:r>
          </w:p>
        </w:tc>
        <w:tc>
          <w:tcPr>
            <w:tcW w:w="1417" w:type="dxa"/>
          </w:tcPr>
          <w:p>
            <w:pPr>
              <w:pStyle w:val="TableParagraph"/>
              <w:spacing w:before="152"/>
              <w:jc w:val="center"/>
              <w:rPr>
                <w:sz w:val="24"/>
              </w:rPr>
            </w:pPr>
            <w:r>
              <w:rPr>
                <w:spacing w:val="-10"/>
                <w:sz w:val="24"/>
              </w:rPr>
              <w:t>2</w:t>
            </w:r>
          </w:p>
        </w:tc>
      </w:tr>
      <w:tr>
        <w:trPr>
          <w:trHeight w:val="517" w:hRule="atLeast"/>
        </w:trPr>
        <w:tc>
          <w:tcPr>
            <w:tcW w:w="478" w:type="dxa"/>
          </w:tcPr>
          <w:p>
            <w:pPr>
              <w:pStyle w:val="TableParagraph"/>
              <w:spacing w:line="270" w:lineRule="exact"/>
              <w:ind w:right="10"/>
              <w:jc w:val="center"/>
              <w:rPr>
                <w:sz w:val="24"/>
              </w:rPr>
            </w:pPr>
            <w:r>
              <w:rPr>
                <w:spacing w:val="-5"/>
                <w:sz w:val="24"/>
              </w:rPr>
              <w:t>12</w:t>
            </w:r>
          </w:p>
        </w:tc>
        <w:tc>
          <w:tcPr>
            <w:tcW w:w="3174" w:type="dxa"/>
          </w:tcPr>
          <w:p>
            <w:pPr>
              <w:pStyle w:val="TableParagraph"/>
              <w:spacing w:line="270" w:lineRule="exact"/>
              <w:ind w:left="107"/>
              <w:rPr>
                <w:sz w:val="24"/>
              </w:rPr>
            </w:pPr>
            <w:r>
              <w:rPr>
                <w:sz w:val="24"/>
              </w:rPr>
              <w:t>Мне</w:t>
            </w:r>
            <w:r>
              <w:rPr>
                <w:spacing w:val="-2"/>
                <w:sz w:val="24"/>
              </w:rPr>
              <w:t> </w:t>
            </w:r>
            <w:r>
              <w:rPr>
                <w:sz w:val="24"/>
              </w:rPr>
              <w:t>нравится жить в</w:t>
            </w:r>
            <w:r>
              <w:rPr>
                <w:spacing w:val="-3"/>
                <w:sz w:val="24"/>
              </w:rPr>
              <w:t> </w:t>
            </w:r>
            <w:r>
              <w:rPr>
                <w:spacing w:val="-2"/>
                <w:sz w:val="24"/>
              </w:rPr>
              <w:t>России</w:t>
            </w:r>
          </w:p>
        </w:tc>
        <w:tc>
          <w:tcPr>
            <w:tcW w:w="1419" w:type="dxa"/>
          </w:tcPr>
          <w:p>
            <w:pPr>
              <w:pStyle w:val="TableParagraph"/>
              <w:spacing w:line="270" w:lineRule="exact"/>
              <w:ind w:left="7" w:right="1"/>
              <w:jc w:val="center"/>
              <w:rPr>
                <w:sz w:val="24"/>
              </w:rPr>
            </w:pPr>
            <w:r>
              <w:rPr>
                <w:spacing w:val="-2"/>
                <w:sz w:val="24"/>
              </w:rPr>
              <w:t>-</w:t>
            </w:r>
            <w:r>
              <w:rPr>
                <w:spacing w:val="-12"/>
                <w:sz w:val="24"/>
              </w:rPr>
              <w:t>2</w:t>
            </w:r>
          </w:p>
        </w:tc>
        <w:tc>
          <w:tcPr>
            <w:tcW w:w="1135" w:type="dxa"/>
          </w:tcPr>
          <w:p>
            <w:pPr>
              <w:pStyle w:val="TableParagraph"/>
              <w:spacing w:line="270" w:lineRule="exact"/>
              <w:ind w:left="112" w:right="110"/>
              <w:jc w:val="center"/>
              <w:rPr>
                <w:sz w:val="24"/>
              </w:rPr>
            </w:pPr>
            <w:r>
              <w:rPr>
                <w:spacing w:val="-2"/>
                <w:sz w:val="24"/>
              </w:rPr>
              <w:t>-</w:t>
            </w:r>
            <w:r>
              <w:rPr>
                <w:spacing w:val="-12"/>
                <w:sz w:val="24"/>
              </w:rPr>
              <w:t>1</w:t>
            </w:r>
          </w:p>
        </w:tc>
        <w:tc>
          <w:tcPr>
            <w:tcW w:w="1275" w:type="dxa"/>
          </w:tcPr>
          <w:p>
            <w:pPr>
              <w:pStyle w:val="TableParagraph"/>
              <w:spacing w:line="270" w:lineRule="exact"/>
              <w:ind w:left="4" w:right="4"/>
              <w:jc w:val="center"/>
              <w:rPr>
                <w:sz w:val="24"/>
              </w:rPr>
            </w:pPr>
            <w:r>
              <w:rPr>
                <w:spacing w:val="-10"/>
                <w:sz w:val="24"/>
              </w:rPr>
              <w:t>0</w:t>
            </w:r>
          </w:p>
        </w:tc>
        <w:tc>
          <w:tcPr>
            <w:tcW w:w="994" w:type="dxa"/>
          </w:tcPr>
          <w:p>
            <w:pPr>
              <w:pStyle w:val="TableParagraph"/>
              <w:spacing w:line="270" w:lineRule="exact"/>
              <w:ind w:left="7"/>
              <w:jc w:val="center"/>
              <w:rPr>
                <w:sz w:val="24"/>
              </w:rPr>
            </w:pPr>
            <w:r>
              <w:rPr>
                <w:spacing w:val="-10"/>
                <w:sz w:val="24"/>
              </w:rPr>
              <w:t>1</w:t>
            </w:r>
          </w:p>
        </w:tc>
        <w:tc>
          <w:tcPr>
            <w:tcW w:w="1417" w:type="dxa"/>
          </w:tcPr>
          <w:p>
            <w:pPr>
              <w:pStyle w:val="TableParagraph"/>
              <w:spacing w:line="270" w:lineRule="exact"/>
              <w:jc w:val="center"/>
              <w:rPr>
                <w:sz w:val="24"/>
              </w:rPr>
            </w:pPr>
            <w:r>
              <w:rPr>
                <w:spacing w:val="-10"/>
                <w:sz w:val="24"/>
              </w:rPr>
              <w:t>2</w:t>
            </w:r>
          </w:p>
        </w:tc>
      </w:tr>
      <w:tr>
        <w:trPr>
          <w:trHeight w:val="834" w:hRule="atLeast"/>
        </w:trPr>
        <w:tc>
          <w:tcPr>
            <w:tcW w:w="478" w:type="dxa"/>
          </w:tcPr>
          <w:p>
            <w:pPr>
              <w:pStyle w:val="TableParagraph"/>
              <w:spacing w:line="270" w:lineRule="exact"/>
              <w:ind w:right="10"/>
              <w:jc w:val="center"/>
              <w:rPr>
                <w:sz w:val="24"/>
              </w:rPr>
            </w:pPr>
            <w:r>
              <w:rPr>
                <w:spacing w:val="-5"/>
                <w:sz w:val="24"/>
              </w:rPr>
              <w:t>13</w:t>
            </w:r>
          </w:p>
        </w:tc>
        <w:tc>
          <w:tcPr>
            <w:tcW w:w="3174" w:type="dxa"/>
          </w:tcPr>
          <w:p>
            <w:pPr>
              <w:pStyle w:val="TableParagraph"/>
              <w:spacing w:line="276" w:lineRule="auto"/>
              <w:ind w:left="107"/>
              <w:rPr>
                <w:sz w:val="24"/>
              </w:rPr>
            </w:pPr>
            <w:r>
              <w:rPr>
                <w:sz w:val="24"/>
              </w:rPr>
              <w:t>Я</w:t>
            </w:r>
            <w:r>
              <w:rPr>
                <w:spacing w:val="-4"/>
                <w:sz w:val="24"/>
              </w:rPr>
              <w:t> </w:t>
            </w:r>
            <w:r>
              <w:rPr>
                <w:sz w:val="24"/>
              </w:rPr>
              <w:t>хорошо</w:t>
            </w:r>
            <w:r>
              <w:rPr>
                <w:spacing w:val="-7"/>
                <w:sz w:val="24"/>
              </w:rPr>
              <w:t> </w:t>
            </w:r>
            <w:r>
              <w:rPr>
                <w:sz w:val="24"/>
              </w:rPr>
              <w:t>понимаю</w:t>
            </w:r>
            <w:r>
              <w:rPr>
                <w:spacing w:val="-4"/>
                <w:sz w:val="24"/>
              </w:rPr>
              <w:t> </w:t>
            </w:r>
            <w:r>
              <w:rPr>
                <w:sz w:val="24"/>
              </w:rPr>
              <w:t>шутки</w:t>
            </w:r>
            <w:r>
              <w:rPr>
                <w:spacing w:val="-6"/>
                <w:sz w:val="24"/>
              </w:rPr>
              <w:t> </w:t>
            </w:r>
            <w:r>
              <w:rPr>
                <w:sz w:val="24"/>
              </w:rPr>
              <w:t>и юмор</w:t>
            </w:r>
            <w:r>
              <w:rPr>
                <w:spacing w:val="-2"/>
                <w:sz w:val="24"/>
              </w:rPr>
              <w:t> </w:t>
            </w:r>
            <w:r>
              <w:rPr>
                <w:sz w:val="24"/>
              </w:rPr>
              <w:t>на</w:t>
            </w:r>
            <w:r>
              <w:rPr>
                <w:spacing w:val="-2"/>
                <w:sz w:val="24"/>
              </w:rPr>
              <w:t> </w:t>
            </w:r>
            <w:r>
              <w:rPr>
                <w:sz w:val="24"/>
              </w:rPr>
              <w:t>моем</w:t>
            </w:r>
            <w:r>
              <w:rPr>
                <w:spacing w:val="-2"/>
                <w:sz w:val="24"/>
              </w:rPr>
              <w:t> </w:t>
            </w:r>
            <w:r>
              <w:rPr>
                <w:sz w:val="24"/>
              </w:rPr>
              <w:t>родном</w:t>
            </w:r>
            <w:r>
              <w:rPr>
                <w:spacing w:val="-2"/>
                <w:sz w:val="24"/>
              </w:rPr>
              <w:t> </w:t>
            </w:r>
            <w:r>
              <w:rPr>
                <w:spacing w:val="-4"/>
                <w:sz w:val="24"/>
              </w:rPr>
              <w:t>языке</w:t>
            </w:r>
          </w:p>
        </w:tc>
        <w:tc>
          <w:tcPr>
            <w:tcW w:w="1419" w:type="dxa"/>
          </w:tcPr>
          <w:p>
            <w:pPr>
              <w:pStyle w:val="TableParagraph"/>
              <w:spacing w:before="152"/>
              <w:ind w:left="7" w:right="1"/>
              <w:jc w:val="center"/>
              <w:rPr>
                <w:sz w:val="24"/>
              </w:rPr>
            </w:pPr>
            <w:r>
              <w:rPr>
                <w:spacing w:val="-2"/>
                <w:sz w:val="24"/>
              </w:rPr>
              <w:t>-</w:t>
            </w:r>
            <w:r>
              <w:rPr>
                <w:spacing w:val="-12"/>
                <w:sz w:val="24"/>
              </w:rPr>
              <w:t>2</w:t>
            </w:r>
          </w:p>
        </w:tc>
        <w:tc>
          <w:tcPr>
            <w:tcW w:w="1135" w:type="dxa"/>
          </w:tcPr>
          <w:p>
            <w:pPr>
              <w:pStyle w:val="TableParagraph"/>
              <w:spacing w:before="152"/>
              <w:ind w:left="112" w:right="110"/>
              <w:jc w:val="center"/>
              <w:rPr>
                <w:sz w:val="24"/>
              </w:rPr>
            </w:pPr>
            <w:r>
              <w:rPr>
                <w:spacing w:val="-2"/>
                <w:sz w:val="24"/>
              </w:rPr>
              <w:t>-</w:t>
            </w:r>
            <w:r>
              <w:rPr>
                <w:spacing w:val="-12"/>
                <w:sz w:val="24"/>
              </w:rPr>
              <w:t>1</w:t>
            </w:r>
          </w:p>
        </w:tc>
        <w:tc>
          <w:tcPr>
            <w:tcW w:w="1275" w:type="dxa"/>
          </w:tcPr>
          <w:p>
            <w:pPr>
              <w:pStyle w:val="TableParagraph"/>
              <w:spacing w:before="152"/>
              <w:ind w:left="4" w:right="4"/>
              <w:jc w:val="center"/>
              <w:rPr>
                <w:sz w:val="24"/>
              </w:rPr>
            </w:pPr>
            <w:r>
              <w:rPr>
                <w:spacing w:val="-10"/>
                <w:sz w:val="24"/>
              </w:rPr>
              <w:t>0</w:t>
            </w:r>
          </w:p>
        </w:tc>
        <w:tc>
          <w:tcPr>
            <w:tcW w:w="994" w:type="dxa"/>
          </w:tcPr>
          <w:p>
            <w:pPr>
              <w:pStyle w:val="TableParagraph"/>
              <w:spacing w:before="152"/>
              <w:ind w:left="7"/>
              <w:jc w:val="center"/>
              <w:rPr>
                <w:sz w:val="24"/>
              </w:rPr>
            </w:pPr>
            <w:r>
              <w:rPr>
                <w:spacing w:val="-10"/>
                <w:sz w:val="24"/>
              </w:rPr>
              <w:t>1</w:t>
            </w:r>
          </w:p>
        </w:tc>
        <w:tc>
          <w:tcPr>
            <w:tcW w:w="1417" w:type="dxa"/>
          </w:tcPr>
          <w:p>
            <w:pPr>
              <w:pStyle w:val="TableParagraph"/>
              <w:spacing w:before="152"/>
              <w:jc w:val="center"/>
              <w:rPr>
                <w:sz w:val="24"/>
              </w:rPr>
            </w:pPr>
            <w:r>
              <w:rPr>
                <w:spacing w:val="-10"/>
                <w:sz w:val="24"/>
              </w:rPr>
              <w:t>2</w:t>
            </w:r>
          </w:p>
        </w:tc>
      </w:tr>
      <w:tr>
        <w:trPr>
          <w:trHeight w:val="834" w:hRule="atLeast"/>
        </w:trPr>
        <w:tc>
          <w:tcPr>
            <w:tcW w:w="478" w:type="dxa"/>
          </w:tcPr>
          <w:p>
            <w:pPr>
              <w:pStyle w:val="TableParagraph"/>
              <w:spacing w:line="270" w:lineRule="exact"/>
              <w:ind w:right="10"/>
              <w:jc w:val="center"/>
              <w:rPr>
                <w:sz w:val="24"/>
              </w:rPr>
            </w:pPr>
            <w:r>
              <w:rPr>
                <w:spacing w:val="-5"/>
                <w:sz w:val="24"/>
              </w:rPr>
              <w:t>14</w:t>
            </w:r>
          </w:p>
        </w:tc>
        <w:tc>
          <w:tcPr>
            <w:tcW w:w="3174" w:type="dxa"/>
          </w:tcPr>
          <w:p>
            <w:pPr>
              <w:pStyle w:val="TableParagraph"/>
              <w:spacing w:line="276" w:lineRule="auto"/>
              <w:ind w:left="107"/>
              <w:rPr>
                <w:sz w:val="24"/>
              </w:rPr>
            </w:pPr>
            <w:r>
              <w:rPr>
                <w:sz w:val="24"/>
              </w:rPr>
              <w:t>Я</w:t>
            </w:r>
            <w:r>
              <w:rPr>
                <w:spacing w:val="-9"/>
                <w:sz w:val="24"/>
              </w:rPr>
              <w:t> </w:t>
            </w:r>
            <w:r>
              <w:rPr>
                <w:sz w:val="24"/>
              </w:rPr>
              <w:t>хорошо</w:t>
            </w:r>
            <w:r>
              <w:rPr>
                <w:spacing w:val="-12"/>
                <w:sz w:val="24"/>
              </w:rPr>
              <w:t> </w:t>
            </w:r>
            <w:r>
              <w:rPr>
                <w:sz w:val="24"/>
              </w:rPr>
              <w:t>понимаю</w:t>
            </w:r>
            <w:r>
              <w:rPr>
                <w:spacing w:val="-9"/>
                <w:sz w:val="24"/>
              </w:rPr>
              <w:t> </w:t>
            </w:r>
            <w:r>
              <w:rPr>
                <w:sz w:val="24"/>
              </w:rPr>
              <w:t>шутки</w:t>
            </w:r>
            <w:r>
              <w:rPr>
                <w:spacing w:val="-11"/>
                <w:sz w:val="24"/>
              </w:rPr>
              <w:t> </w:t>
            </w:r>
            <w:r>
              <w:rPr>
                <w:sz w:val="24"/>
              </w:rPr>
              <w:t>и юмор на русском языке</w:t>
            </w:r>
          </w:p>
        </w:tc>
        <w:tc>
          <w:tcPr>
            <w:tcW w:w="1419" w:type="dxa"/>
          </w:tcPr>
          <w:p>
            <w:pPr>
              <w:pStyle w:val="TableParagraph"/>
              <w:spacing w:before="152"/>
              <w:ind w:left="7" w:right="1"/>
              <w:jc w:val="center"/>
              <w:rPr>
                <w:sz w:val="24"/>
              </w:rPr>
            </w:pPr>
            <w:r>
              <w:rPr>
                <w:spacing w:val="-2"/>
                <w:sz w:val="24"/>
              </w:rPr>
              <w:t>-</w:t>
            </w:r>
            <w:r>
              <w:rPr>
                <w:spacing w:val="-12"/>
                <w:sz w:val="24"/>
              </w:rPr>
              <w:t>2</w:t>
            </w:r>
          </w:p>
        </w:tc>
        <w:tc>
          <w:tcPr>
            <w:tcW w:w="1135" w:type="dxa"/>
          </w:tcPr>
          <w:p>
            <w:pPr>
              <w:pStyle w:val="TableParagraph"/>
              <w:spacing w:before="152"/>
              <w:ind w:left="112" w:right="110"/>
              <w:jc w:val="center"/>
              <w:rPr>
                <w:sz w:val="24"/>
              </w:rPr>
            </w:pPr>
            <w:r>
              <w:rPr>
                <w:spacing w:val="-2"/>
                <w:sz w:val="24"/>
              </w:rPr>
              <w:t>-</w:t>
            </w:r>
            <w:r>
              <w:rPr>
                <w:spacing w:val="-12"/>
                <w:sz w:val="24"/>
              </w:rPr>
              <w:t>1</w:t>
            </w:r>
          </w:p>
        </w:tc>
        <w:tc>
          <w:tcPr>
            <w:tcW w:w="1275" w:type="dxa"/>
          </w:tcPr>
          <w:p>
            <w:pPr>
              <w:pStyle w:val="TableParagraph"/>
              <w:spacing w:before="152"/>
              <w:ind w:left="4" w:right="4"/>
              <w:jc w:val="center"/>
              <w:rPr>
                <w:sz w:val="24"/>
              </w:rPr>
            </w:pPr>
            <w:r>
              <w:rPr>
                <w:spacing w:val="-10"/>
                <w:sz w:val="24"/>
              </w:rPr>
              <w:t>0</w:t>
            </w:r>
          </w:p>
        </w:tc>
        <w:tc>
          <w:tcPr>
            <w:tcW w:w="994" w:type="dxa"/>
          </w:tcPr>
          <w:p>
            <w:pPr>
              <w:pStyle w:val="TableParagraph"/>
              <w:spacing w:before="152"/>
              <w:ind w:left="7"/>
              <w:jc w:val="center"/>
              <w:rPr>
                <w:sz w:val="24"/>
              </w:rPr>
            </w:pPr>
            <w:r>
              <w:rPr>
                <w:spacing w:val="-10"/>
                <w:sz w:val="24"/>
              </w:rPr>
              <w:t>1</w:t>
            </w:r>
          </w:p>
        </w:tc>
        <w:tc>
          <w:tcPr>
            <w:tcW w:w="1417" w:type="dxa"/>
          </w:tcPr>
          <w:p>
            <w:pPr>
              <w:pStyle w:val="TableParagraph"/>
              <w:spacing w:before="152"/>
              <w:jc w:val="center"/>
              <w:rPr>
                <w:sz w:val="24"/>
              </w:rPr>
            </w:pPr>
            <w:r>
              <w:rPr>
                <w:spacing w:val="-10"/>
                <w:sz w:val="24"/>
              </w:rPr>
              <w:t>2</w:t>
            </w:r>
          </w:p>
        </w:tc>
      </w:tr>
    </w:tbl>
    <w:p>
      <w:pPr>
        <w:spacing w:before="292"/>
        <w:ind w:left="0" w:right="278" w:firstLine="0"/>
        <w:jc w:val="center"/>
        <w:rPr>
          <w:b/>
          <w:sz w:val="28"/>
        </w:rPr>
      </w:pPr>
      <w:r>
        <w:rPr>
          <w:b/>
          <w:sz w:val="28"/>
        </w:rPr>
        <w:t>Бланк</w:t>
      </w:r>
      <w:r>
        <w:rPr>
          <w:b/>
          <w:spacing w:val="-7"/>
          <w:sz w:val="28"/>
        </w:rPr>
        <w:t> </w:t>
      </w:r>
      <w:r>
        <w:rPr>
          <w:b/>
          <w:sz w:val="28"/>
        </w:rPr>
        <w:t>методики</w:t>
      </w:r>
      <w:r>
        <w:rPr>
          <w:b/>
          <w:spacing w:val="-6"/>
          <w:sz w:val="28"/>
        </w:rPr>
        <w:t> </w:t>
      </w:r>
      <w:r>
        <w:rPr>
          <w:b/>
          <w:sz w:val="28"/>
        </w:rPr>
        <w:t>старшая</w:t>
      </w:r>
      <w:r>
        <w:rPr>
          <w:b/>
          <w:spacing w:val="-7"/>
          <w:sz w:val="28"/>
        </w:rPr>
        <w:t> </w:t>
      </w:r>
      <w:r>
        <w:rPr>
          <w:b/>
          <w:spacing w:val="-4"/>
          <w:sz w:val="28"/>
        </w:rPr>
        <w:t>школа</w:t>
      </w:r>
    </w:p>
    <w:p>
      <w:pPr>
        <w:pStyle w:val="Heading5"/>
        <w:spacing w:before="317"/>
        <w:ind w:right="560"/>
      </w:pPr>
      <w:r>
        <w:rPr/>
        <w:t>Оцени</w:t>
      </w:r>
      <w:r>
        <w:rPr>
          <w:spacing w:val="-6"/>
        </w:rPr>
        <w:t> </w:t>
      </w:r>
      <w:r>
        <w:rPr/>
        <w:t>по</w:t>
      </w:r>
      <w:r>
        <w:rPr>
          <w:spacing w:val="-2"/>
        </w:rPr>
        <w:t> </w:t>
      </w:r>
      <w:r>
        <w:rPr/>
        <w:t>шкале</w:t>
      </w:r>
      <w:r>
        <w:rPr>
          <w:spacing w:val="-4"/>
        </w:rPr>
        <w:t> </w:t>
      </w:r>
      <w:r>
        <w:rPr/>
        <w:t>от</w:t>
      </w:r>
      <w:r>
        <w:rPr>
          <w:spacing w:val="-6"/>
        </w:rPr>
        <w:t> </w:t>
      </w:r>
      <w:r>
        <w:rPr/>
        <w:t>-2</w:t>
      </w:r>
      <w:r>
        <w:rPr>
          <w:spacing w:val="-2"/>
        </w:rPr>
        <w:t> </w:t>
      </w:r>
      <w:r>
        <w:rPr/>
        <w:t>«Никогда»</w:t>
      </w:r>
      <w:r>
        <w:rPr>
          <w:spacing w:val="-2"/>
        </w:rPr>
        <w:t> </w:t>
      </w:r>
      <w:r>
        <w:rPr/>
        <w:t>до</w:t>
      </w:r>
      <w:r>
        <w:rPr>
          <w:spacing w:val="-2"/>
        </w:rPr>
        <w:t> </w:t>
      </w:r>
      <w:r>
        <w:rPr/>
        <w:t>+2</w:t>
      </w:r>
      <w:r>
        <w:rPr>
          <w:spacing w:val="-6"/>
        </w:rPr>
        <w:t> </w:t>
      </w:r>
      <w:r>
        <w:rPr/>
        <w:t>«Всегда»,</w:t>
      </w:r>
      <w:r>
        <w:rPr>
          <w:spacing w:val="-4"/>
        </w:rPr>
        <w:t> </w:t>
      </w:r>
      <w:r>
        <w:rPr/>
        <w:t>насколько</w:t>
      </w:r>
      <w:r>
        <w:rPr>
          <w:spacing w:val="-4"/>
        </w:rPr>
        <w:t> </w:t>
      </w:r>
      <w:r>
        <w:rPr/>
        <w:t>часто ты используешь родной язык и русский язык в разных ситуациях.</w:t>
      </w:r>
    </w:p>
    <w:p>
      <w:pPr>
        <w:pStyle w:val="BodyText"/>
        <w:spacing w:before="52"/>
        <w:ind w:left="0" w:right="0" w:firstLine="0"/>
        <w:jc w:val="left"/>
        <w:rPr>
          <w:i/>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6"/>
        <w:gridCol w:w="3814"/>
        <w:gridCol w:w="1133"/>
        <w:gridCol w:w="842"/>
        <w:gridCol w:w="1219"/>
        <w:gridCol w:w="1074"/>
        <w:gridCol w:w="971"/>
      </w:tblGrid>
      <w:tr>
        <w:trPr>
          <w:trHeight w:val="834" w:hRule="atLeast"/>
        </w:trPr>
        <w:tc>
          <w:tcPr>
            <w:tcW w:w="516" w:type="dxa"/>
          </w:tcPr>
          <w:p>
            <w:pPr>
              <w:pStyle w:val="TableParagraph"/>
              <w:spacing w:before="159"/>
              <w:ind w:left="136"/>
              <w:rPr>
                <w:b/>
                <w:sz w:val="24"/>
              </w:rPr>
            </w:pPr>
            <w:r>
              <w:rPr>
                <w:b/>
                <w:spacing w:val="-10"/>
                <w:sz w:val="24"/>
              </w:rPr>
              <w:t>№</w:t>
            </w:r>
          </w:p>
        </w:tc>
        <w:tc>
          <w:tcPr>
            <w:tcW w:w="3814" w:type="dxa"/>
          </w:tcPr>
          <w:p>
            <w:pPr>
              <w:pStyle w:val="TableParagraph"/>
              <w:spacing w:before="159"/>
              <w:ind w:left="1168"/>
              <w:rPr>
                <w:b/>
                <w:sz w:val="24"/>
              </w:rPr>
            </w:pPr>
            <w:r>
              <w:rPr>
                <w:b/>
                <w:spacing w:val="-2"/>
                <w:sz w:val="24"/>
              </w:rPr>
              <w:t>Утверждения</w:t>
            </w:r>
          </w:p>
        </w:tc>
        <w:tc>
          <w:tcPr>
            <w:tcW w:w="1133" w:type="dxa"/>
          </w:tcPr>
          <w:p>
            <w:pPr>
              <w:pStyle w:val="TableParagraph"/>
              <w:spacing w:before="155"/>
              <w:ind w:left="118" w:right="111"/>
              <w:jc w:val="center"/>
              <w:rPr>
                <w:i/>
                <w:sz w:val="24"/>
              </w:rPr>
            </w:pPr>
            <w:r>
              <w:rPr>
                <w:i/>
                <w:spacing w:val="-2"/>
                <w:sz w:val="24"/>
              </w:rPr>
              <w:t>Никогда</w:t>
            </w:r>
          </w:p>
        </w:tc>
        <w:tc>
          <w:tcPr>
            <w:tcW w:w="842" w:type="dxa"/>
          </w:tcPr>
          <w:p>
            <w:pPr>
              <w:pStyle w:val="TableParagraph"/>
              <w:spacing w:before="155"/>
              <w:ind w:left="12" w:right="7"/>
              <w:jc w:val="center"/>
              <w:rPr>
                <w:i/>
                <w:sz w:val="24"/>
              </w:rPr>
            </w:pPr>
            <w:r>
              <w:rPr>
                <w:i/>
                <w:spacing w:val="-4"/>
                <w:sz w:val="24"/>
              </w:rPr>
              <w:t>Редко</w:t>
            </w:r>
          </w:p>
        </w:tc>
        <w:tc>
          <w:tcPr>
            <w:tcW w:w="1219" w:type="dxa"/>
          </w:tcPr>
          <w:p>
            <w:pPr>
              <w:pStyle w:val="TableParagraph"/>
              <w:spacing w:line="276" w:lineRule="auto"/>
              <w:ind w:left="194" w:right="98" w:hanging="80"/>
              <w:rPr>
                <w:i/>
                <w:sz w:val="24"/>
              </w:rPr>
            </w:pPr>
            <w:r>
              <w:rPr>
                <w:i/>
                <w:sz w:val="24"/>
              </w:rPr>
              <w:t>Время</w:t>
            </w:r>
            <w:r>
              <w:rPr>
                <w:i/>
                <w:spacing w:val="-15"/>
                <w:sz w:val="24"/>
              </w:rPr>
              <w:t> </w:t>
            </w:r>
            <w:r>
              <w:rPr>
                <w:i/>
                <w:sz w:val="24"/>
              </w:rPr>
              <w:t>от </w:t>
            </w:r>
            <w:r>
              <w:rPr>
                <w:i/>
                <w:spacing w:val="-2"/>
                <w:sz w:val="24"/>
              </w:rPr>
              <w:t>времени</w:t>
            </w:r>
          </w:p>
        </w:tc>
        <w:tc>
          <w:tcPr>
            <w:tcW w:w="1074" w:type="dxa"/>
          </w:tcPr>
          <w:p>
            <w:pPr>
              <w:pStyle w:val="TableParagraph"/>
              <w:spacing w:before="155"/>
              <w:ind w:left="9" w:right="2"/>
              <w:jc w:val="center"/>
              <w:rPr>
                <w:i/>
                <w:sz w:val="24"/>
              </w:rPr>
            </w:pPr>
            <w:r>
              <w:rPr>
                <w:i/>
                <w:spacing w:val="-2"/>
                <w:sz w:val="24"/>
              </w:rPr>
              <w:t>Часто</w:t>
            </w:r>
          </w:p>
        </w:tc>
        <w:tc>
          <w:tcPr>
            <w:tcW w:w="971" w:type="dxa"/>
          </w:tcPr>
          <w:p>
            <w:pPr>
              <w:pStyle w:val="TableParagraph"/>
              <w:spacing w:before="155"/>
              <w:ind w:left="15"/>
              <w:jc w:val="center"/>
              <w:rPr>
                <w:i/>
                <w:sz w:val="24"/>
              </w:rPr>
            </w:pPr>
            <w:r>
              <w:rPr>
                <w:i/>
                <w:spacing w:val="-2"/>
                <w:sz w:val="24"/>
              </w:rPr>
              <w:t>Всегда</w:t>
            </w:r>
          </w:p>
        </w:tc>
      </w:tr>
      <w:tr>
        <w:trPr>
          <w:trHeight w:val="518" w:hRule="atLeast"/>
        </w:trPr>
        <w:tc>
          <w:tcPr>
            <w:tcW w:w="516" w:type="dxa"/>
          </w:tcPr>
          <w:p>
            <w:pPr>
              <w:pStyle w:val="TableParagraph"/>
              <w:spacing w:line="268" w:lineRule="exact"/>
              <w:ind w:left="107"/>
              <w:rPr>
                <w:sz w:val="24"/>
              </w:rPr>
            </w:pPr>
            <w:r>
              <w:rPr>
                <w:spacing w:val="-5"/>
                <w:sz w:val="24"/>
              </w:rPr>
              <w:t>1.</w:t>
            </w:r>
          </w:p>
        </w:tc>
        <w:tc>
          <w:tcPr>
            <w:tcW w:w="3814" w:type="dxa"/>
          </w:tcPr>
          <w:p>
            <w:pPr>
              <w:pStyle w:val="TableParagraph"/>
              <w:spacing w:line="270" w:lineRule="exact"/>
              <w:ind w:left="105"/>
              <w:rPr>
                <w:sz w:val="24"/>
              </w:rPr>
            </w:pPr>
            <w:r>
              <w:rPr>
                <w:sz w:val="24"/>
              </w:rPr>
              <w:t>Я</w:t>
            </w:r>
            <w:r>
              <w:rPr>
                <w:spacing w:val="-4"/>
                <w:sz w:val="24"/>
              </w:rPr>
              <w:t> </w:t>
            </w:r>
            <w:r>
              <w:rPr>
                <w:sz w:val="24"/>
              </w:rPr>
              <w:t>говорю</w:t>
            </w:r>
            <w:r>
              <w:rPr>
                <w:spacing w:val="-2"/>
                <w:sz w:val="24"/>
              </w:rPr>
              <w:t> </w:t>
            </w:r>
            <w:r>
              <w:rPr>
                <w:sz w:val="24"/>
              </w:rPr>
              <w:t>дома</w:t>
            </w:r>
            <w:r>
              <w:rPr>
                <w:spacing w:val="-4"/>
                <w:sz w:val="24"/>
              </w:rPr>
              <w:t> </w:t>
            </w:r>
            <w:r>
              <w:rPr>
                <w:sz w:val="24"/>
              </w:rPr>
              <w:t>на</w:t>
            </w:r>
            <w:r>
              <w:rPr>
                <w:spacing w:val="-2"/>
                <w:sz w:val="24"/>
              </w:rPr>
              <w:t> </w:t>
            </w:r>
            <w:r>
              <w:rPr>
                <w:sz w:val="24"/>
              </w:rPr>
              <w:t>родном</w:t>
            </w:r>
            <w:r>
              <w:rPr>
                <w:spacing w:val="-2"/>
                <w:sz w:val="24"/>
              </w:rPr>
              <w:t> языке</w:t>
            </w:r>
          </w:p>
        </w:tc>
        <w:tc>
          <w:tcPr>
            <w:tcW w:w="1133" w:type="dxa"/>
          </w:tcPr>
          <w:p>
            <w:pPr>
              <w:pStyle w:val="TableParagraph"/>
              <w:spacing w:line="270" w:lineRule="exact"/>
              <w:ind w:left="118" w:right="110"/>
              <w:jc w:val="center"/>
              <w:rPr>
                <w:sz w:val="24"/>
              </w:rPr>
            </w:pPr>
            <w:r>
              <w:rPr>
                <w:spacing w:val="-2"/>
                <w:sz w:val="24"/>
              </w:rPr>
              <w:t>-</w:t>
            </w:r>
            <w:r>
              <w:rPr>
                <w:spacing w:val="-12"/>
                <w:sz w:val="24"/>
              </w:rPr>
              <w:t>2</w:t>
            </w:r>
          </w:p>
        </w:tc>
        <w:tc>
          <w:tcPr>
            <w:tcW w:w="842" w:type="dxa"/>
          </w:tcPr>
          <w:p>
            <w:pPr>
              <w:pStyle w:val="TableParagraph"/>
              <w:spacing w:line="270" w:lineRule="exact"/>
              <w:ind w:left="12" w:right="7"/>
              <w:jc w:val="center"/>
              <w:rPr>
                <w:sz w:val="24"/>
              </w:rPr>
            </w:pPr>
            <w:r>
              <w:rPr>
                <w:spacing w:val="-2"/>
                <w:sz w:val="24"/>
              </w:rPr>
              <w:t>-</w:t>
            </w:r>
            <w:r>
              <w:rPr>
                <w:spacing w:val="-12"/>
                <w:sz w:val="24"/>
              </w:rPr>
              <w:t>1</w:t>
            </w:r>
          </w:p>
        </w:tc>
        <w:tc>
          <w:tcPr>
            <w:tcW w:w="1219" w:type="dxa"/>
          </w:tcPr>
          <w:p>
            <w:pPr>
              <w:pStyle w:val="TableParagraph"/>
              <w:spacing w:line="270" w:lineRule="exact"/>
              <w:ind w:left="91" w:right="80"/>
              <w:jc w:val="center"/>
              <w:rPr>
                <w:sz w:val="24"/>
              </w:rPr>
            </w:pPr>
            <w:r>
              <w:rPr>
                <w:spacing w:val="-10"/>
                <w:sz w:val="24"/>
              </w:rPr>
              <w:t>0</w:t>
            </w:r>
          </w:p>
        </w:tc>
        <w:tc>
          <w:tcPr>
            <w:tcW w:w="1074" w:type="dxa"/>
          </w:tcPr>
          <w:p>
            <w:pPr>
              <w:pStyle w:val="TableParagraph"/>
              <w:spacing w:line="270" w:lineRule="exact"/>
              <w:ind w:left="9"/>
              <w:jc w:val="center"/>
              <w:rPr>
                <w:sz w:val="24"/>
              </w:rPr>
            </w:pPr>
            <w:r>
              <w:rPr>
                <w:spacing w:val="-10"/>
                <w:sz w:val="24"/>
              </w:rPr>
              <w:t>1</w:t>
            </w:r>
          </w:p>
        </w:tc>
        <w:tc>
          <w:tcPr>
            <w:tcW w:w="971" w:type="dxa"/>
          </w:tcPr>
          <w:p>
            <w:pPr>
              <w:pStyle w:val="TableParagraph"/>
              <w:spacing w:line="270" w:lineRule="exact"/>
              <w:ind w:left="15" w:right="2"/>
              <w:jc w:val="center"/>
              <w:rPr>
                <w:sz w:val="24"/>
              </w:rPr>
            </w:pPr>
            <w:r>
              <w:rPr>
                <w:spacing w:val="-10"/>
                <w:sz w:val="24"/>
              </w:rPr>
              <w:t>2</w:t>
            </w:r>
          </w:p>
        </w:tc>
      </w:tr>
      <w:tr>
        <w:trPr>
          <w:trHeight w:val="517" w:hRule="atLeast"/>
        </w:trPr>
        <w:tc>
          <w:tcPr>
            <w:tcW w:w="516" w:type="dxa"/>
          </w:tcPr>
          <w:p>
            <w:pPr>
              <w:pStyle w:val="TableParagraph"/>
              <w:spacing w:line="268" w:lineRule="exact"/>
              <w:ind w:left="107"/>
              <w:rPr>
                <w:sz w:val="24"/>
              </w:rPr>
            </w:pPr>
            <w:r>
              <w:rPr>
                <w:spacing w:val="-5"/>
                <w:sz w:val="24"/>
              </w:rPr>
              <w:t>2.</w:t>
            </w:r>
          </w:p>
        </w:tc>
        <w:tc>
          <w:tcPr>
            <w:tcW w:w="3814" w:type="dxa"/>
          </w:tcPr>
          <w:p>
            <w:pPr>
              <w:pStyle w:val="TableParagraph"/>
              <w:spacing w:line="270" w:lineRule="exact"/>
              <w:ind w:left="105"/>
              <w:rPr>
                <w:sz w:val="24"/>
              </w:rPr>
            </w:pPr>
            <w:r>
              <w:rPr>
                <w:sz w:val="24"/>
              </w:rPr>
              <w:t>Я</w:t>
            </w:r>
            <w:r>
              <w:rPr>
                <w:spacing w:val="-4"/>
                <w:sz w:val="24"/>
              </w:rPr>
              <w:t> </w:t>
            </w:r>
            <w:r>
              <w:rPr>
                <w:sz w:val="24"/>
              </w:rPr>
              <w:t>говорю</w:t>
            </w:r>
            <w:r>
              <w:rPr>
                <w:spacing w:val="-2"/>
                <w:sz w:val="24"/>
              </w:rPr>
              <w:t> </w:t>
            </w:r>
            <w:r>
              <w:rPr>
                <w:sz w:val="24"/>
              </w:rPr>
              <w:t>дома</w:t>
            </w:r>
            <w:r>
              <w:rPr>
                <w:spacing w:val="-3"/>
                <w:sz w:val="24"/>
              </w:rPr>
              <w:t> </w:t>
            </w:r>
            <w:r>
              <w:rPr>
                <w:sz w:val="24"/>
              </w:rPr>
              <w:t>на</w:t>
            </w:r>
            <w:r>
              <w:rPr>
                <w:spacing w:val="-2"/>
                <w:sz w:val="24"/>
              </w:rPr>
              <w:t> </w:t>
            </w:r>
            <w:r>
              <w:rPr>
                <w:sz w:val="24"/>
              </w:rPr>
              <w:t>русском</w:t>
            </w:r>
            <w:r>
              <w:rPr>
                <w:spacing w:val="-2"/>
                <w:sz w:val="24"/>
              </w:rPr>
              <w:t> языке</w:t>
            </w:r>
          </w:p>
        </w:tc>
        <w:tc>
          <w:tcPr>
            <w:tcW w:w="1133" w:type="dxa"/>
          </w:tcPr>
          <w:p>
            <w:pPr>
              <w:pStyle w:val="TableParagraph"/>
              <w:spacing w:line="270" w:lineRule="exact"/>
              <w:ind w:left="118" w:right="110"/>
              <w:jc w:val="center"/>
              <w:rPr>
                <w:sz w:val="24"/>
              </w:rPr>
            </w:pPr>
            <w:r>
              <w:rPr>
                <w:spacing w:val="-2"/>
                <w:sz w:val="24"/>
              </w:rPr>
              <w:t>-</w:t>
            </w:r>
            <w:r>
              <w:rPr>
                <w:spacing w:val="-12"/>
                <w:sz w:val="24"/>
              </w:rPr>
              <w:t>2</w:t>
            </w:r>
          </w:p>
        </w:tc>
        <w:tc>
          <w:tcPr>
            <w:tcW w:w="842" w:type="dxa"/>
          </w:tcPr>
          <w:p>
            <w:pPr>
              <w:pStyle w:val="TableParagraph"/>
              <w:spacing w:line="270" w:lineRule="exact"/>
              <w:ind w:left="12" w:right="7"/>
              <w:jc w:val="center"/>
              <w:rPr>
                <w:sz w:val="24"/>
              </w:rPr>
            </w:pPr>
            <w:r>
              <w:rPr>
                <w:spacing w:val="-2"/>
                <w:sz w:val="24"/>
              </w:rPr>
              <w:t>-</w:t>
            </w:r>
            <w:r>
              <w:rPr>
                <w:spacing w:val="-12"/>
                <w:sz w:val="24"/>
              </w:rPr>
              <w:t>1</w:t>
            </w:r>
          </w:p>
        </w:tc>
        <w:tc>
          <w:tcPr>
            <w:tcW w:w="1219" w:type="dxa"/>
          </w:tcPr>
          <w:p>
            <w:pPr>
              <w:pStyle w:val="TableParagraph"/>
              <w:spacing w:line="270" w:lineRule="exact"/>
              <w:ind w:left="91" w:right="80"/>
              <w:jc w:val="center"/>
              <w:rPr>
                <w:sz w:val="24"/>
              </w:rPr>
            </w:pPr>
            <w:r>
              <w:rPr>
                <w:spacing w:val="-10"/>
                <w:sz w:val="24"/>
              </w:rPr>
              <w:t>0</w:t>
            </w:r>
          </w:p>
        </w:tc>
        <w:tc>
          <w:tcPr>
            <w:tcW w:w="1074" w:type="dxa"/>
          </w:tcPr>
          <w:p>
            <w:pPr>
              <w:pStyle w:val="TableParagraph"/>
              <w:spacing w:line="270" w:lineRule="exact"/>
              <w:ind w:left="9"/>
              <w:jc w:val="center"/>
              <w:rPr>
                <w:sz w:val="24"/>
              </w:rPr>
            </w:pPr>
            <w:r>
              <w:rPr>
                <w:spacing w:val="-10"/>
                <w:sz w:val="24"/>
              </w:rPr>
              <w:t>1</w:t>
            </w:r>
          </w:p>
        </w:tc>
        <w:tc>
          <w:tcPr>
            <w:tcW w:w="971" w:type="dxa"/>
          </w:tcPr>
          <w:p>
            <w:pPr>
              <w:pStyle w:val="TableParagraph"/>
              <w:spacing w:line="270" w:lineRule="exact"/>
              <w:ind w:left="15" w:right="2"/>
              <w:jc w:val="center"/>
              <w:rPr>
                <w:sz w:val="24"/>
              </w:rPr>
            </w:pPr>
            <w:r>
              <w:rPr>
                <w:spacing w:val="-10"/>
                <w:sz w:val="24"/>
              </w:rPr>
              <w:t>2</w:t>
            </w:r>
          </w:p>
        </w:tc>
      </w:tr>
      <w:tr>
        <w:trPr>
          <w:trHeight w:val="835" w:hRule="atLeast"/>
        </w:trPr>
        <w:tc>
          <w:tcPr>
            <w:tcW w:w="516" w:type="dxa"/>
          </w:tcPr>
          <w:p>
            <w:pPr>
              <w:pStyle w:val="TableParagraph"/>
              <w:spacing w:line="268" w:lineRule="exact"/>
              <w:ind w:left="107"/>
              <w:rPr>
                <w:sz w:val="24"/>
              </w:rPr>
            </w:pPr>
            <w:r>
              <w:rPr>
                <w:spacing w:val="-5"/>
                <w:sz w:val="24"/>
              </w:rPr>
              <w:t>3.</w:t>
            </w:r>
          </w:p>
        </w:tc>
        <w:tc>
          <w:tcPr>
            <w:tcW w:w="3814" w:type="dxa"/>
          </w:tcPr>
          <w:p>
            <w:pPr>
              <w:pStyle w:val="TableParagraph"/>
              <w:spacing w:line="276" w:lineRule="auto"/>
              <w:ind w:left="105" w:right="129"/>
              <w:rPr>
                <w:sz w:val="24"/>
              </w:rPr>
            </w:pPr>
            <w:r>
              <w:rPr>
                <w:sz w:val="24"/>
              </w:rPr>
              <w:t>Я пишу в мессенджерах (СМС, ВК,</w:t>
            </w:r>
            <w:r>
              <w:rPr>
                <w:spacing w:val="-6"/>
                <w:sz w:val="24"/>
              </w:rPr>
              <w:t> </w:t>
            </w:r>
            <w:r>
              <w:rPr>
                <w:sz w:val="24"/>
              </w:rPr>
              <w:t>Вотсап</w:t>
            </w:r>
            <w:r>
              <w:rPr>
                <w:spacing w:val="-6"/>
                <w:sz w:val="24"/>
              </w:rPr>
              <w:t> </w:t>
            </w:r>
            <w:r>
              <w:rPr>
                <w:sz w:val="24"/>
              </w:rPr>
              <w:t>и</w:t>
            </w:r>
            <w:r>
              <w:rPr>
                <w:spacing w:val="-6"/>
                <w:sz w:val="24"/>
              </w:rPr>
              <w:t> </w:t>
            </w:r>
            <w:r>
              <w:rPr>
                <w:sz w:val="24"/>
              </w:rPr>
              <w:t>др.)</w:t>
            </w:r>
            <w:r>
              <w:rPr>
                <w:spacing w:val="-6"/>
                <w:sz w:val="24"/>
              </w:rPr>
              <w:t> </w:t>
            </w:r>
            <w:r>
              <w:rPr>
                <w:sz w:val="24"/>
              </w:rPr>
              <w:t>на</w:t>
            </w:r>
            <w:r>
              <w:rPr>
                <w:spacing w:val="-6"/>
                <w:sz w:val="24"/>
              </w:rPr>
              <w:t> </w:t>
            </w:r>
            <w:r>
              <w:rPr>
                <w:sz w:val="24"/>
              </w:rPr>
              <w:t>родном</w:t>
            </w:r>
            <w:r>
              <w:rPr>
                <w:spacing w:val="-7"/>
                <w:sz w:val="24"/>
              </w:rPr>
              <w:t> </w:t>
            </w:r>
            <w:r>
              <w:rPr>
                <w:sz w:val="24"/>
              </w:rPr>
              <w:t>языке</w:t>
            </w:r>
          </w:p>
        </w:tc>
        <w:tc>
          <w:tcPr>
            <w:tcW w:w="1133" w:type="dxa"/>
          </w:tcPr>
          <w:p>
            <w:pPr>
              <w:pStyle w:val="TableParagraph"/>
              <w:spacing w:before="153"/>
              <w:ind w:left="118" w:right="110"/>
              <w:jc w:val="center"/>
              <w:rPr>
                <w:sz w:val="24"/>
              </w:rPr>
            </w:pPr>
            <w:r>
              <w:rPr>
                <w:spacing w:val="-2"/>
                <w:sz w:val="24"/>
              </w:rPr>
              <w:t>-</w:t>
            </w:r>
            <w:r>
              <w:rPr>
                <w:spacing w:val="-12"/>
                <w:sz w:val="24"/>
              </w:rPr>
              <w:t>2</w:t>
            </w:r>
          </w:p>
        </w:tc>
        <w:tc>
          <w:tcPr>
            <w:tcW w:w="842" w:type="dxa"/>
          </w:tcPr>
          <w:p>
            <w:pPr>
              <w:pStyle w:val="TableParagraph"/>
              <w:spacing w:before="153"/>
              <w:ind w:left="12" w:right="7"/>
              <w:jc w:val="center"/>
              <w:rPr>
                <w:sz w:val="24"/>
              </w:rPr>
            </w:pPr>
            <w:r>
              <w:rPr>
                <w:spacing w:val="-2"/>
                <w:sz w:val="24"/>
              </w:rPr>
              <w:t>-</w:t>
            </w:r>
            <w:r>
              <w:rPr>
                <w:spacing w:val="-12"/>
                <w:sz w:val="24"/>
              </w:rPr>
              <w:t>1</w:t>
            </w:r>
          </w:p>
        </w:tc>
        <w:tc>
          <w:tcPr>
            <w:tcW w:w="1219" w:type="dxa"/>
          </w:tcPr>
          <w:p>
            <w:pPr>
              <w:pStyle w:val="TableParagraph"/>
              <w:spacing w:before="153"/>
              <w:ind w:left="91" w:right="80"/>
              <w:jc w:val="center"/>
              <w:rPr>
                <w:sz w:val="24"/>
              </w:rPr>
            </w:pPr>
            <w:r>
              <w:rPr>
                <w:spacing w:val="-10"/>
                <w:sz w:val="24"/>
              </w:rPr>
              <w:t>0</w:t>
            </w:r>
          </w:p>
        </w:tc>
        <w:tc>
          <w:tcPr>
            <w:tcW w:w="1074" w:type="dxa"/>
          </w:tcPr>
          <w:p>
            <w:pPr>
              <w:pStyle w:val="TableParagraph"/>
              <w:spacing w:before="153"/>
              <w:ind w:left="9"/>
              <w:jc w:val="center"/>
              <w:rPr>
                <w:sz w:val="24"/>
              </w:rPr>
            </w:pPr>
            <w:r>
              <w:rPr>
                <w:spacing w:val="-10"/>
                <w:sz w:val="24"/>
              </w:rPr>
              <w:t>1</w:t>
            </w:r>
          </w:p>
        </w:tc>
        <w:tc>
          <w:tcPr>
            <w:tcW w:w="971" w:type="dxa"/>
          </w:tcPr>
          <w:p>
            <w:pPr>
              <w:pStyle w:val="TableParagraph"/>
              <w:spacing w:before="153"/>
              <w:ind w:left="15" w:right="2"/>
              <w:jc w:val="center"/>
              <w:rPr>
                <w:sz w:val="24"/>
              </w:rPr>
            </w:pPr>
            <w:r>
              <w:rPr>
                <w:spacing w:val="-10"/>
                <w:sz w:val="24"/>
              </w:rPr>
              <w:t>2</w:t>
            </w:r>
          </w:p>
        </w:tc>
      </w:tr>
      <w:tr>
        <w:trPr>
          <w:trHeight w:val="1151" w:hRule="atLeast"/>
        </w:trPr>
        <w:tc>
          <w:tcPr>
            <w:tcW w:w="516" w:type="dxa"/>
          </w:tcPr>
          <w:p>
            <w:pPr>
              <w:pStyle w:val="TableParagraph"/>
              <w:spacing w:line="268" w:lineRule="exact"/>
              <w:ind w:left="107"/>
              <w:rPr>
                <w:sz w:val="24"/>
              </w:rPr>
            </w:pPr>
            <w:r>
              <w:rPr>
                <w:spacing w:val="-5"/>
                <w:sz w:val="24"/>
              </w:rPr>
              <w:t>4.</w:t>
            </w:r>
          </w:p>
        </w:tc>
        <w:tc>
          <w:tcPr>
            <w:tcW w:w="3814" w:type="dxa"/>
          </w:tcPr>
          <w:p>
            <w:pPr>
              <w:pStyle w:val="TableParagraph"/>
              <w:spacing w:line="276" w:lineRule="auto"/>
              <w:ind w:left="105" w:right="180"/>
              <w:rPr>
                <w:sz w:val="24"/>
              </w:rPr>
            </w:pPr>
            <w:r>
              <w:rPr>
                <w:sz w:val="24"/>
              </w:rPr>
              <w:t>Я</w:t>
            </w:r>
            <w:r>
              <w:rPr>
                <w:spacing w:val="-8"/>
                <w:sz w:val="24"/>
              </w:rPr>
              <w:t> </w:t>
            </w:r>
            <w:r>
              <w:rPr>
                <w:sz w:val="24"/>
              </w:rPr>
              <w:t>пишу</w:t>
            </w:r>
            <w:r>
              <w:rPr>
                <w:spacing w:val="-15"/>
                <w:sz w:val="24"/>
              </w:rPr>
              <w:t> </w:t>
            </w:r>
            <w:r>
              <w:rPr>
                <w:sz w:val="24"/>
              </w:rPr>
              <w:t>в</w:t>
            </w:r>
            <w:r>
              <w:rPr>
                <w:spacing w:val="-9"/>
                <w:sz w:val="24"/>
              </w:rPr>
              <w:t> </w:t>
            </w:r>
            <w:r>
              <w:rPr>
                <w:sz w:val="24"/>
              </w:rPr>
              <w:t>мессенджерах</w:t>
            </w:r>
            <w:r>
              <w:rPr>
                <w:spacing w:val="-6"/>
                <w:sz w:val="24"/>
              </w:rPr>
              <w:t> </w:t>
            </w:r>
            <w:r>
              <w:rPr>
                <w:sz w:val="24"/>
              </w:rPr>
              <w:t>(СМС, ВК, Вотсап и др.) на русском </w:t>
            </w:r>
            <w:r>
              <w:rPr>
                <w:spacing w:val="-2"/>
                <w:sz w:val="24"/>
              </w:rPr>
              <w:t>языке</w:t>
            </w:r>
          </w:p>
        </w:tc>
        <w:tc>
          <w:tcPr>
            <w:tcW w:w="1133" w:type="dxa"/>
          </w:tcPr>
          <w:p>
            <w:pPr>
              <w:pStyle w:val="TableParagraph"/>
              <w:spacing w:before="34"/>
              <w:rPr>
                <w:i/>
                <w:sz w:val="24"/>
              </w:rPr>
            </w:pPr>
          </w:p>
          <w:p>
            <w:pPr>
              <w:pStyle w:val="TableParagraph"/>
              <w:spacing w:before="1"/>
              <w:ind w:left="118" w:right="110"/>
              <w:jc w:val="center"/>
              <w:rPr>
                <w:sz w:val="24"/>
              </w:rPr>
            </w:pPr>
            <w:r>
              <w:rPr>
                <w:spacing w:val="-2"/>
                <w:sz w:val="24"/>
              </w:rPr>
              <w:t>-</w:t>
            </w:r>
            <w:r>
              <w:rPr>
                <w:spacing w:val="-12"/>
                <w:sz w:val="24"/>
              </w:rPr>
              <w:t>2</w:t>
            </w:r>
          </w:p>
        </w:tc>
        <w:tc>
          <w:tcPr>
            <w:tcW w:w="842" w:type="dxa"/>
          </w:tcPr>
          <w:p>
            <w:pPr>
              <w:pStyle w:val="TableParagraph"/>
              <w:spacing w:before="34"/>
              <w:rPr>
                <w:i/>
                <w:sz w:val="24"/>
              </w:rPr>
            </w:pPr>
          </w:p>
          <w:p>
            <w:pPr>
              <w:pStyle w:val="TableParagraph"/>
              <w:spacing w:before="1"/>
              <w:ind w:left="12" w:right="7"/>
              <w:jc w:val="center"/>
              <w:rPr>
                <w:sz w:val="24"/>
              </w:rPr>
            </w:pPr>
            <w:r>
              <w:rPr>
                <w:spacing w:val="-2"/>
                <w:sz w:val="24"/>
              </w:rPr>
              <w:t>-</w:t>
            </w:r>
            <w:r>
              <w:rPr>
                <w:spacing w:val="-12"/>
                <w:sz w:val="24"/>
              </w:rPr>
              <w:t>1</w:t>
            </w:r>
          </w:p>
        </w:tc>
        <w:tc>
          <w:tcPr>
            <w:tcW w:w="1219" w:type="dxa"/>
          </w:tcPr>
          <w:p>
            <w:pPr>
              <w:pStyle w:val="TableParagraph"/>
              <w:spacing w:before="34"/>
              <w:rPr>
                <w:i/>
                <w:sz w:val="24"/>
              </w:rPr>
            </w:pPr>
          </w:p>
          <w:p>
            <w:pPr>
              <w:pStyle w:val="TableParagraph"/>
              <w:spacing w:before="1"/>
              <w:ind w:left="91" w:right="80"/>
              <w:jc w:val="center"/>
              <w:rPr>
                <w:sz w:val="24"/>
              </w:rPr>
            </w:pPr>
            <w:r>
              <w:rPr>
                <w:spacing w:val="-10"/>
                <w:sz w:val="24"/>
              </w:rPr>
              <w:t>0</w:t>
            </w:r>
          </w:p>
        </w:tc>
        <w:tc>
          <w:tcPr>
            <w:tcW w:w="1074" w:type="dxa"/>
          </w:tcPr>
          <w:p>
            <w:pPr>
              <w:pStyle w:val="TableParagraph"/>
              <w:spacing w:before="34"/>
              <w:rPr>
                <w:i/>
                <w:sz w:val="24"/>
              </w:rPr>
            </w:pPr>
          </w:p>
          <w:p>
            <w:pPr>
              <w:pStyle w:val="TableParagraph"/>
              <w:spacing w:before="1"/>
              <w:ind w:left="9"/>
              <w:jc w:val="center"/>
              <w:rPr>
                <w:sz w:val="24"/>
              </w:rPr>
            </w:pPr>
            <w:r>
              <w:rPr>
                <w:spacing w:val="-10"/>
                <w:sz w:val="24"/>
              </w:rPr>
              <w:t>1</w:t>
            </w:r>
          </w:p>
        </w:tc>
        <w:tc>
          <w:tcPr>
            <w:tcW w:w="971" w:type="dxa"/>
          </w:tcPr>
          <w:p>
            <w:pPr>
              <w:pStyle w:val="TableParagraph"/>
              <w:spacing w:before="34"/>
              <w:rPr>
                <w:i/>
                <w:sz w:val="24"/>
              </w:rPr>
            </w:pPr>
          </w:p>
          <w:p>
            <w:pPr>
              <w:pStyle w:val="TableParagraph"/>
              <w:spacing w:before="1"/>
              <w:ind w:left="15" w:right="2"/>
              <w:jc w:val="center"/>
              <w:rPr>
                <w:sz w:val="24"/>
              </w:rPr>
            </w:pPr>
            <w:r>
              <w:rPr>
                <w:spacing w:val="-10"/>
                <w:sz w:val="24"/>
              </w:rPr>
              <w:t>2</w:t>
            </w:r>
          </w:p>
        </w:tc>
      </w:tr>
      <w:tr>
        <w:trPr>
          <w:trHeight w:val="518" w:hRule="atLeast"/>
        </w:trPr>
        <w:tc>
          <w:tcPr>
            <w:tcW w:w="516" w:type="dxa"/>
          </w:tcPr>
          <w:p>
            <w:pPr>
              <w:pStyle w:val="TableParagraph"/>
              <w:spacing w:line="268" w:lineRule="exact"/>
              <w:ind w:left="107"/>
              <w:rPr>
                <w:sz w:val="24"/>
              </w:rPr>
            </w:pPr>
            <w:r>
              <w:rPr>
                <w:spacing w:val="-5"/>
                <w:sz w:val="24"/>
              </w:rPr>
              <w:t>5.</w:t>
            </w:r>
          </w:p>
        </w:tc>
        <w:tc>
          <w:tcPr>
            <w:tcW w:w="3814" w:type="dxa"/>
          </w:tcPr>
          <w:p>
            <w:pPr>
              <w:pStyle w:val="TableParagraph"/>
              <w:spacing w:line="270" w:lineRule="exact"/>
              <w:ind w:left="105"/>
              <w:rPr>
                <w:sz w:val="24"/>
              </w:rPr>
            </w:pPr>
            <w:r>
              <w:rPr>
                <w:sz w:val="24"/>
              </w:rPr>
              <w:t>Я</w:t>
            </w:r>
            <w:r>
              <w:rPr>
                <w:spacing w:val="-2"/>
                <w:sz w:val="24"/>
              </w:rPr>
              <w:t> </w:t>
            </w:r>
            <w:r>
              <w:rPr>
                <w:sz w:val="24"/>
              </w:rPr>
              <w:t>думаю</w:t>
            </w:r>
            <w:r>
              <w:rPr>
                <w:spacing w:val="-2"/>
                <w:sz w:val="24"/>
              </w:rPr>
              <w:t> </w:t>
            </w:r>
            <w:r>
              <w:rPr>
                <w:sz w:val="24"/>
              </w:rPr>
              <w:t>на</w:t>
            </w:r>
            <w:r>
              <w:rPr>
                <w:spacing w:val="-3"/>
                <w:sz w:val="24"/>
              </w:rPr>
              <w:t> </w:t>
            </w:r>
            <w:r>
              <w:rPr>
                <w:sz w:val="24"/>
              </w:rPr>
              <w:t>родном</w:t>
            </w:r>
            <w:r>
              <w:rPr>
                <w:spacing w:val="-2"/>
                <w:sz w:val="24"/>
              </w:rPr>
              <w:t> языке</w:t>
            </w:r>
          </w:p>
        </w:tc>
        <w:tc>
          <w:tcPr>
            <w:tcW w:w="1133" w:type="dxa"/>
          </w:tcPr>
          <w:p>
            <w:pPr>
              <w:pStyle w:val="TableParagraph"/>
              <w:spacing w:line="270" w:lineRule="exact"/>
              <w:ind w:left="118" w:right="110"/>
              <w:jc w:val="center"/>
              <w:rPr>
                <w:sz w:val="24"/>
              </w:rPr>
            </w:pPr>
            <w:r>
              <w:rPr>
                <w:spacing w:val="-2"/>
                <w:sz w:val="24"/>
              </w:rPr>
              <w:t>-</w:t>
            </w:r>
            <w:r>
              <w:rPr>
                <w:spacing w:val="-12"/>
                <w:sz w:val="24"/>
              </w:rPr>
              <w:t>2</w:t>
            </w:r>
          </w:p>
        </w:tc>
        <w:tc>
          <w:tcPr>
            <w:tcW w:w="842" w:type="dxa"/>
          </w:tcPr>
          <w:p>
            <w:pPr>
              <w:pStyle w:val="TableParagraph"/>
              <w:spacing w:line="270" w:lineRule="exact"/>
              <w:ind w:left="12" w:right="7"/>
              <w:jc w:val="center"/>
              <w:rPr>
                <w:sz w:val="24"/>
              </w:rPr>
            </w:pPr>
            <w:r>
              <w:rPr>
                <w:spacing w:val="-2"/>
                <w:sz w:val="24"/>
              </w:rPr>
              <w:t>-</w:t>
            </w:r>
            <w:r>
              <w:rPr>
                <w:spacing w:val="-12"/>
                <w:sz w:val="24"/>
              </w:rPr>
              <w:t>1</w:t>
            </w:r>
          </w:p>
        </w:tc>
        <w:tc>
          <w:tcPr>
            <w:tcW w:w="1219" w:type="dxa"/>
          </w:tcPr>
          <w:p>
            <w:pPr>
              <w:pStyle w:val="TableParagraph"/>
              <w:spacing w:line="270" w:lineRule="exact"/>
              <w:ind w:left="91" w:right="80"/>
              <w:jc w:val="center"/>
              <w:rPr>
                <w:sz w:val="24"/>
              </w:rPr>
            </w:pPr>
            <w:r>
              <w:rPr>
                <w:spacing w:val="-10"/>
                <w:sz w:val="24"/>
              </w:rPr>
              <w:t>0</w:t>
            </w:r>
          </w:p>
        </w:tc>
        <w:tc>
          <w:tcPr>
            <w:tcW w:w="1074" w:type="dxa"/>
          </w:tcPr>
          <w:p>
            <w:pPr>
              <w:pStyle w:val="TableParagraph"/>
              <w:spacing w:line="270" w:lineRule="exact"/>
              <w:ind w:left="9"/>
              <w:jc w:val="center"/>
              <w:rPr>
                <w:sz w:val="24"/>
              </w:rPr>
            </w:pPr>
            <w:r>
              <w:rPr>
                <w:spacing w:val="-10"/>
                <w:sz w:val="24"/>
              </w:rPr>
              <w:t>1</w:t>
            </w:r>
          </w:p>
        </w:tc>
        <w:tc>
          <w:tcPr>
            <w:tcW w:w="971" w:type="dxa"/>
          </w:tcPr>
          <w:p>
            <w:pPr>
              <w:pStyle w:val="TableParagraph"/>
              <w:spacing w:line="270" w:lineRule="exact"/>
              <w:ind w:left="15" w:right="2"/>
              <w:jc w:val="center"/>
              <w:rPr>
                <w:sz w:val="24"/>
              </w:rPr>
            </w:pPr>
            <w:r>
              <w:rPr>
                <w:spacing w:val="-10"/>
                <w:sz w:val="24"/>
              </w:rPr>
              <w:t>2</w:t>
            </w:r>
          </w:p>
        </w:tc>
      </w:tr>
      <w:tr>
        <w:trPr>
          <w:trHeight w:val="515" w:hRule="atLeast"/>
        </w:trPr>
        <w:tc>
          <w:tcPr>
            <w:tcW w:w="516" w:type="dxa"/>
          </w:tcPr>
          <w:p>
            <w:pPr>
              <w:pStyle w:val="TableParagraph"/>
              <w:spacing w:line="268" w:lineRule="exact"/>
              <w:ind w:left="107"/>
              <w:rPr>
                <w:sz w:val="24"/>
              </w:rPr>
            </w:pPr>
            <w:r>
              <w:rPr>
                <w:spacing w:val="-5"/>
                <w:sz w:val="24"/>
              </w:rPr>
              <w:t>6.</w:t>
            </w:r>
          </w:p>
        </w:tc>
        <w:tc>
          <w:tcPr>
            <w:tcW w:w="3814" w:type="dxa"/>
          </w:tcPr>
          <w:p>
            <w:pPr>
              <w:pStyle w:val="TableParagraph"/>
              <w:spacing w:line="270" w:lineRule="exact"/>
              <w:ind w:left="105"/>
              <w:rPr>
                <w:sz w:val="24"/>
              </w:rPr>
            </w:pPr>
            <w:r>
              <w:rPr>
                <w:sz w:val="24"/>
              </w:rPr>
              <w:t>Я</w:t>
            </w:r>
            <w:r>
              <w:rPr>
                <w:spacing w:val="-2"/>
                <w:sz w:val="24"/>
              </w:rPr>
              <w:t> </w:t>
            </w:r>
            <w:r>
              <w:rPr>
                <w:sz w:val="24"/>
              </w:rPr>
              <w:t>думаю</w:t>
            </w:r>
            <w:r>
              <w:rPr>
                <w:spacing w:val="-2"/>
                <w:sz w:val="24"/>
              </w:rPr>
              <w:t> </w:t>
            </w:r>
            <w:r>
              <w:rPr>
                <w:sz w:val="24"/>
              </w:rPr>
              <w:t>на</w:t>
            </w:r>
            <w:r>
              <w:rPr>
                <w:spacing w:val="-2"/>
                <w:sz w:val="24"/>
              </w:rPr>
              <w:t> </w:t>
            </w:r>
            <w:r>
              <w:rPr>
                <w:sz w:val="24"/>
              </w:rPr>
              <w:t>русском</w:t>
            </w:r>
            <w:r>
              <w:rPr>
                <w:spacing w:val="-2"/>
                <w:sz w:val="24"/>
              </w:rPr>
              <w:t> языке</w:t>
            </w:r>
          </w:p>
        </w:tc>
        <w:tc>
          <w:tcPr>
            <w:tcW w:w="1133" w:type="dxa"/>
          </w:tcPr>
          <w:p>
            <w:pPr>
              <w:pStyle w:val="TableParagraph"/>
              <w:spacing w:line="270" w:lineRule="exact"/>
              <w:ind w:left="118" w:right="110"/>
              <w:jc w:val="center"/>
              <w:rPr>
                <w:sz w:val="24"/>
              </w:rPr>
            </w:pPr>
            <w:r>
              <w:rPr>
                <w:spacing w:val="-2"/>
                <w:sz w:val="24"/>
              </w:rPr>
              <w:t>-</w:t>
            </w:r>
            <w:r>
              <w:rPr>
                <w:spacing w:val="-12"/>
                <w:sz w:val="24"/>
              </w:rPr>
              <w:t>2</w:t>
            </w:r>
          </w:p>
        </w:tc>
        <w:tc>
          <w:tcPr>
            <w:tcW w:w="842" w:type="dxa"/>
          </w:tcPr>
          <w:p>
            <w:pPr>
              <w:pStyle w:val="TableParagraph"/>
              <w:spacing w:line="270" w:lineRule="exact"/>
              <w:ind w:left="12" w:right="7"/>
              <w:jc w:val="center"/>
              <w:rPr>
                <w:sz w:val="24"/>
              </w:rPr>
            </w:pPr>
            <w:r>
              <w:rPr>
                <w:spacing w:val="-2"/>
                <w:sz w:val="24"/>
              </w:rPr>
              <w:t>-</w:t>
            </w:r>
            <w:r>
              <w:rPr>
                <w:spacing w:val="-12"/>
                <w:sz w:val="24"/>
              </w:rPr>
              <w:t>1</w:t>
            </w:r>
          </w:p>
        </w:tc>
        <w:tc>
          <w:tcPr>
            <w:tcW w:w="1219" w:type="dxa"/>
          </w:tcPr>
          <w:p>
            <w:pPr>
              <w:pStyle w:val="TableParagraph"/>
              <w:spacing w:line="270" w:lineRule="exact"/>
              <w:ind w:left="91" w:right="80"/>
              <w:jc w:val="center"/>
              <w:rPr>
                <w:sz w:val="24"/>
              </w:rPr>
            </w:pPr>
            <w:r>
              <w:rPr>
                <w:spacing w:val="-10"/>
                <w:sz w:val="24"/>
              </w:rPr>
              <w:t>0</w:t>
            </w:r>
          </w:p>
        </w:tc>
        <w:tc>
          <w:tcPr>
            <w:tcW w:w="1074" w:type="dxa"/>
          </w:tcPr>
          <w:p>
            <w:pPr>
              <w:pStyle w:val="TableParagraph"/>
              <w:spacing w:line="270" w:lineRule="exact"/>
              <w:ind w:left="9"/>
              <w:jc w:val="center"/>
              <w:rPr>
                <w:sz w:val="24"/>
              </w:rPr>
            </w:pPr>
            <w:r>
              <w:rPr>
                <w:spacing w:val="-10"/>
                <w:sz w:val="24"/>
              </w:rPr>
              <w:t>1</w:t>
            </w:r>
          </w:p>
        </w:tc>
        <w:tc>
          <w:tcPr>
            <w:tcW w:w="971" w:type="dxa"/>
          </w:tcPr>
          <w:p>
            <w:pPr>
              <w:pStyle w:val="TableParagraph"/>
              <w:spacing w:line="270" w:lineRule="exact"/>
              <w:ind w:left="15" w:right="2"/>
              <w:jc w:val="center"/>
              <w:rPr>
                <w:sz w:val="24"/>
              </w:rPr>
            </w:pPr>
            <w:r>
              <w:rPr>
                <w:spacing w:val="-10"/>
                <w:sz w:val="24"/>
              </w:rPr>
              <w:t>2</w:t>
            </w:r>
          </w:p>
        </w:tc>
      </w:tr>
      <w:tr>
        <w:trPr>
          <w:trHeight w:val="837" w:hRule="atLeast"/>
        </w:trPr>
        <w:tc>
          <w:tcPr>
            <w:tcW w:w="516" w:type="dxa"/>
          </w:tcPr>
          <w:p>
            <w:pPr>
              <w:pStyle w:val="TableParagraph"/>
              <w:spacing w:line="271" w:lineRule="exact"/>
              <w:ind w:left="107"/>
              <w:rPr>
                <w:sz w:val="24"/>
              </w:rPr>
            </w:pPr>
            <w:r>
              <w:rPr>
                <w:spacing w:val="-5"/>
                <w:sz w:val="24"/>
              </w:rPr>
              <w:t>7.</w:t>
            </w:r>
          </w:p>
        </w:tc>
        <w:tc>
          <w:tcPr>
            <w:tcW w:w="3814" w:type="dxa"/>
          </w:tcPr>
          <w:p>
            <w:pPr>
              <w:pStyle w:val="TableParagraph"/>
              <w:spacing w:line="276" w:lineRule="auto"/>
              <w:ind w:left="105"/>
              <w:rPr>
                <w:sz w:val="24"/>
              </w:rPr>
            </w:pPr>
            <w:r>
              <w:rPr>
                <w:sz w:val="24"/>
              </w:rPr>
              <w:t>Я</w:t>
            </w:r>
            <w:r>
              <w:rPr>
                <w:spacing w:val="-7"/>
                <w:sz w:val="24"/>
              </w:rPr>
              <w:t> </w:t>
            </w:r>
            <w:r>
              <w:rPr>
                <w:sz w:val="24"/>
              </w:rPr>
              <w:t>смотрю</w:t>
            </w:r>
            <w:r>
              <w:rPr>
                <w:spacing w:val="-6"/>
                <w:sz w:val="24"/>
              </w:rPr>
              <w:t> </w:t>
            </w:r>
            <w:r>
              <w:rPr>
                <w:sz w:val="24"/>
              </w:rPr>
              <w:t>ТВ,</w:t>
            </w:r>
            <w:r>
              <w:rPr>
                <w:spacing w:val="-7"/>
                <w:sz w:val="24"/>
              </w:rPr>
              <w:t> </w:t>
            </w:r>
            <w:r>
              <w:rPr>
                <w:sz w:val="24"/>
              </w:rPr>
              <w:t>видео</w:t>
            </w:r>
            <w:r>
              <w:rPr>
                <w:spacing w:val="-7"/>
                <w:sz w:val="24"/>
              </w:rPr>
              <w:t> </w:t>
            </w:r>
            <w:r>
              <w:rPr>
                <w:sz w:val="24"/>
              </w:rPr>
              <w:t>в</w:t>
            </w:r>
            <w:r>
              <w:rPr>
                <w:spacing w:val="-8"/>
                <w:sz w:val="24"/>
              </w:rPr>
              <w:t> </w:t>
            </w:r>
            <w:r>
              <w:rPr>
                <w:sz w:val="24"/>
              </w:rPr>
              <w:t>интернете</w:t>
            </w:r>
            <w:r>
              <w:rPr>
                <w:spacing w:val="-7"/>
                <w:sz w:val="24"/>
              </w:rPr>
              <w:t> </w:t>
            </w:r>
            <w:r>
              <w:rPr>
                <w:sz w:val="24"/>
              </w:rPr>
              <w:t>и др. на родном языке</w:t>
            </w:r>
          </w:p>
        </w:tc>
        <w:tc>
          <w:tcPr>
            <w:tcW w:w="1133" w:type="dxa"/>
          </w:tcPr>
          <w:p>
            <w:pPr>
              <w:pStyle w:val="TableParagraph"/>
              <w:spacing w:before="155"/>
              <w:ind w:left="118" w:right="110"/>
              <w:jc w:val="center"/>
              <w:rPr>
                <w:sz w:val="24"/>
              </w:rPr>
            </w:pPr>
            <w:r>
              <w:rPr>
                <w:spacing w:val="-2"/>
                <w:sz w:val="24"/>
              </w:rPr>
              <w:t>-</w:t>
            </w:r>
            <w:r>
              <w:rPr>
                <w:spacing w:val="-12"/>
                <w:sz w:val="24"/>
              </w:rPr>
              <w:t>2</w:t>
            </w:r>
          </w:p>
        </w:tc>
        <w:tc>
          <w:tcPr>
            <w:tcW w:w="842" w:type="dxa"/>
          </w:tcPr>
          <w:p>
            <w:pPr>
              <w:pStyle w:val="TableParagraph"/>
              <w:spacing w:before="155"/>
              <w:ind w:left="12" w:right="7"/>
              <w:jc w:val="center"/>
              <w:rPr>
                <w:sz w:val="24"/>
              </w:rPr>
            </w:pPr>
            <w:r>
              <w:rPr>
                <w:spacing w:val="-2"/>
                <w:sz w:val="24"/>
              </w:rPr>
              <w:t>-</w:t>
            </w:r>
            <w:r>
              <w:rPr>
                <w:spacing w:val="-12"/>
                <w:sz w:val="24"/>
              </w:rPr>
              <w:t>1</w:t>
            </w:r>
          </w:p>
        </w:tc>
        <w:tc>
          <w:tcPr>
            <w:tcW w:w="1219" w:type="dxa"/>
          </w:tcPr>
          <w:p>
            <w:pPr>
              <w:pStyle w:val="TableParagraph"/>
              <w:spacing w:before="155"/>
              <w:ind w:left="91" w:right="80"/>
              <w:jc w:val="center"/>
              <w:rPr>
                <w:sz w:val="24"/>
              </w:rPr>
            </w:pPr>
            <w:r>
              <w:rPr>
                <w:spacing w:val="-10"/>
                <w:sz w:val="24"/>
              </w:rPr>
              <w:t>0</w:t>
            </w:r>
          </w:p>
        </w:tc>
        <w:tc>
          <w:tcPr>
            <w:tcW w:w="1074" w:type="dxa"/>
          </w:tcPr>
          <w:p>
            <w:pPr>
              <w:pStyle w:val="TableParagraph"/>
              <w:spacing w:before="155"/>
              <w:ind w:left="9"/>
              <w:jc w:val="center"/>
              <w:rPr>
                <w:sz w:val="24"/>
              </w:rPr>
            </w:pPr>
            <w:r>
              <w:rPr>
                <w:spacing w:val="-10"/>
                <w:sz w:val="24"/>
              </w:rPr>
              <w:t>1</w:t>
            </w:r>
          </w:p>
        </w:tc>
        <w:tc>
          <w:tcPr>
            <w:tcW w:w="971" w:type="dxa"/>
          </w:tcPr>
          <w:p>
            <w:pPr>
              <w:pStyle w:val="TableParagraph"/>
              <w:spacing w:before="155"/>
              <w:ind w:left="15" w:right="2"/>
              <w:jc w:val="center"/>
              <w:rPr>
                <w:sz w:val="24"/>
              </w:rPr>
            </w:pPr>
            <w:r>
              <w:rPr>
                <w:spacing w:val="-10"/>
                <w:sz w:val="24"/>
              </w:rPr>
              <w:t>2</w:t>
            </w:r>
          </w:p>
        </w:tc>
      </w:tr>
    </w:tbl>
    <w:p>
      <w:pPr>
        <w:pStyle w:val="TableParagraph"/>
        <w:spacing w:after="0"/>
        <w:jc w:val="center"/>
        <w:rPr>
          <w:sz w:val="24"/>
        </w:rPr>
        <w:sectPr>
          <w:type w:val="continuous"/>
          <w:pgSz w:w="11910" w:h="16840"/>
          <w:pgMar w:header="0" w:footer="970" w:top="1100" w:bottom="1220" w:left="1417" w:right="283"/>
        </w:sect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6"/>
        <w:gridCol w:w="3814"/>
        <w:gridCol w:w="1133"/>
        <w:gridCol w:w="842"/>
        <w:gridCol w:w="1219"/>
        <w:gridCol w:w="1074"/>
        <w:gridCol w:w="971"/>
      </w:tblGrid>
      <w:tr>
        <w:trPr>
          <w:trHeight w:val="835" w:hRule="atLeast"/>
        </w:trPr>
        <w:tc>
          <w:tcPr>
            <w:tcW w:w="516" w:type="dxa"/>
          </w:tcPr>
          <w:p>
            <w:pPr>
              <w:pStyle w:val="TableParagraph"/>
              <w:spacing w:line="270" w:lineRule="exact"/>
              <w:ind w:left="107"/>
              <w:rPr>
                <w:sz w:val="24"/>
              </w:rPr>
            </w:pPr>
            <w:r>
              <w:rPr>
                <w:spacing w:val="-5"/>
                <w:sz w:val="24"/>
              </w:rPr>
              <w:t>8.</w:t>
            </w:r>
          </w:p>
        </w:tc>
        <w:tc>
          <w:tcPr>
            <w:tcW w:w="3814" w:type="dxa"/>
          </w:tcPr>
          <w:p>
            <w:pPr>
              <w:pStyle w:val="TableParagraph"/>
              <w:spacing w:line="276" w:lineRule="auto"/>
              <w:ind w:left="105"/>
              <w:rPr>
                <w:sz w:val="24"/>
              </w:rPr>
            </w:pPr>
            <w:r>
              <w:rPr>
                <w:sz w:val="24"/>
              </w:rPr>
              <w:t>Я</w:t>
            </w:r>
            <w:r>
              <w:rPr>
                <w:spacing w:val="-7"/>
                <w:sz w:val="24"/>
              </w:rPr>
              <w:t> </w:t>
            </w:r>
            <w:r>
              <w:rPr>
                <w:sz w:val="24"/>
              </w:rPr>
              <w:t>смотрю</w:t>
            </w:r>
            <w:r>
              <w:rPr>
                <w:spacing w:val="-6"/>
                <w:sz w:val="24"/>
              </w:rPr>
              <w:t> </w:t>
            </w:r>
            <w:r>
              <w:rPr>
                <w:sz w:val="24"/>
              </w:rPr>
              <w:t>ТВ,</w:t>
            </w:r>
            <w:r>
              <w:rPr>
                <w:spacing w:val="-7"/>
                <w:sz w:val="24"/>
              </w:rPr>
              <w:t> </w:t>
            </w:r>
            <w:r>
              <w:rPr>
                <w:sz w:val="24"/>
              </w:rPr>
              <w:t>видео</w:t>
            </w:r>
            <w:r>
              <w:rPr>
                <w:spacing w:val="-7"/>
                <w:sz w:val="24"/>
              </w:rPr>
              <w:t> </w:t>
            </w:r>
            <w:r>
              <w:rPr>
                <w:sz w:val="24"/>
              </w:rPr>
              <w:t>в</w:t>
            </w:r>
            <w:r>
              <w:rPr>
                <w:spacing w:val="-8"/>
                <w:sz w:val="24"/>
              </w:rPr>
              <w:t> </w:t>
            </w:r>
            <w:r>
              <w:rPr>
                <w:sz w:val="24"/>
              </w:rPr>
              <w:t>интернете</w:t>
            </w:r>
            <w:r>
              <w:rPr>
                <w:spacing w:val="-7"/>
                <w:sz w:val="24"/>
              </w:rPr>
              <w:t> </w:t>
            </w:r>
            <w:r>
              <w:rPr>
                <w:sz w:val="24"/>
              </w:rPr>
              <w:t>и др. на русском языке</w:t>
            </w:r>
          </w:p>
        </w:tc>
        <w:tc>
          <w:tcPr>
            <w:tcW w:w="1133" w:type="dxa"/>
          </w:tcPr>
          <w:p>
            <w:pPr>
              <w:pStyle w:val="TableParagraph"/>
              <w:spacing w:before="155"/>
              <w:ind w:left="118" w:right="110"/>
              <w:jc w:val="center"/>
              <w:rPr>
                <w:sz w:val="24"/>
              </w:rPr>
            </w:pPr>
            <w:r>
              <w:rPr>
                <w:spacing w:val="-2"/>
                <w:sz w:val="24"/>
              </w:rPr>
              <w:t>-</w:t>
            </w:r>
            <w:r>
              <w:rPr>
                <w:spacing w:val="-12"/>
                <w:sz w:val="24"/>
              </w:rPr>
              <w:t>2</w:t>
            </w:r>
          </w:p>
        </w:tc>
        <w:tc>
          <w:tcPr>
            <w:tcW w:w="842" w:type="dxa"/>
          </w:tcPr>
          <w:p>
            <w:pPr>
              <w:pStyle w:val="TableParagraph"/>
              <w:spacing w:before="155"/>
              <w:ind w:left="12" w:right="7"/>
              <w:jc w:val="center"/>
              <w:rPr>
                <w:sz w:val="24"/>
              </w:rPr>
            </w:pPr>
            <w:r>
              <w:rPr>
                <w:spacing w:val="-2"/>
                <w:sz w:val="24"/>
              </w:rPr>
              <w:t>-</w:t>
            </w:r>
            <w:r>
              <w:rPr>
                <w:spacing w:val="-12"/>
                <w:sz w:val="24"/>
              </w:rPr>
              <w:t>1</w:t>
            </w:r>
          </w:p>
        </w:tc>
        <w:tc>
          <w:tcPr>
            <w:tcW w:w="1219" w:type="dxa"/>
          </w:tcPr>
          <w:p>
            <w:pPr>
              <w:pStyle w:val="TableParagraph"/>
              <w:spacing w:before="155"/>
              <w:ind w:left="91" w:right="80"/>
              <w:jc w:val="center"/>
              <w:rPr>
                <w:sz w:val="24"/>
              </w:rPr>
            </w:pPr>
            <w:r>
              <w:rPr>
                <w:spacing w:val="-10"/>
                <w:sz w:val="24"/>
              </w:rPr>
              <w:t>0</w:t>
            </w:r>
          </w:p>
        </w:tc>
        <w:tc>
          <w:tcPr>
            <w:tcW w:w="1074" w:type="dxa"/>
          </w:tcPr>
          <w:p>
            <w:pPr>
              <w:pStyle w:val="TableParagraph"/>
              <w:spacing w:before="155"/>
              <w:ind w:left="9"/>
              <w:jc w:val="center"/>
              <w:rPr>
                <w:sz w:val="24"/>
              </w:rPr>
            </w:pPr>
            <w:r>
              <w:rPr>
                <w:spacing w:val="-10"/>
                <w:sz w:val="24"/>
              </w:rPr>
              <w:t>1</w:t>
            </w:r>
          </w:p>
        </w:tc>
        <w:tc>
          <w:tcPr>
            <w:tcW w:w="971" w:type="dxa"/>
          </w:tcPr>
          <w:p>
            <w:pPr>
              <w:pStyle w:val="TableParagraph"/>
              <w:spacing w:before="155"/>
              <w:ind w:left="15" w:right="2"/>
              <w:jc w:val="center"/>
              <w:rPr>
                <w:sz w:val="24"/>
              </w:rPr>
            </w:pPr>
            <w:r>
              <w:rPr>
                <w:spacing w:val="-10"/>
                <w:sz w:val="24"/>
              </w:rPr>
              <w:t>2</w:t>
            </w:r>
          </w:p>
        </w:tc>
      </w:tr>
      <w:tr>
        <w:trPr>
          <w:trHeight w:val="834" w:hRule="atLeast"/>
        </w:trPr>
        <w:tc>
          <w:tcPr>
            <w:tcW w:w="516" w:type="dxa"/>
          </w:tcPr>
          <w:p>
            <w:pPr>
              <w:pStyle w:val="TableParagraph"/>
              <w:spacing w:line="270" w:lineRule="exact"/>
              <w:ind w:left="107"/>
              <w:rPr>
                <w:sz w:val="24"/>
              </w:rPr>
            </w:pPr>
            <w:r>
              <w:rPr>
                <w:spacing w:val="-5"/>
                <w:sz w:val="24"/>
              </w:rPr>
              <w:t>9.</w:t>
            </w:r>
          </w:p>
        </w:tc>
        <w:tc>
          <w:tcPr>
            <w:tcW w:w="3814" w:type="dxa"/>
          </w:tcPr>
          <w:p>
            <w:pPr>
              <w:pStyle w:val="TableParagraph"/>
              <w:spacing w:line="276" w:lineRule="auto"/>
              <w:ind w:left="105" w:right="180"/>
              <w:rPr>
                <w:sz w:val="24"/>
              </w:rPr>
            </w:pPr>
            <w:r>
              <w:rPr>
                <w:sz w:val="24"/>
              </w:rPr>
              <w:t>Я</w:t>
            </w:r>
            <w:r>
              <w:rPr>
                <w:spacing w:val="-8"/>
                <w:sz w:val="24"/>
              </w:rPr>
              <w:t> </w:t>
            </w:r>
            <w:r>
              <w:rPr>
                <w:sz w:val="24"/>
              </w:rPr>
              <w:t>читаю</w:t>
            </w:r>
            <w:r>
              <w:rPr>
                <w:spacing w:val="-9"/>
                <w:sz w:val="24"/>
              </w:rPr>
              <w:t> </w:t>
            </w:r>
            <w:r>
              <w:rPr>
                <w:sz w:val="24"/>
              </w:rPr>
              <w:t>(книги,</w:t>
            </w:r>
            <w:r>
              <w:rPr>
                <w:spacing w:val="-10"/>
                <w:sz w:val="24"/>
              </w:rPr>
              <w:t> </w:t>
            </w:r>
            <w:r>
              <w:rPr>
                <w:sz w:val="24"/>
              </w:rPr>
              <w:t>посты</w:t>
            </w:r>
            <w:r>
              <w:rPr>
                <w:spacing w:val="-8"/>
                <w:sz w:val="24"/>
              </w:rPr>
              <w:t> </w:t>
            </w:r>
            <w:r>
              <w:rPr>
                <w:sz w:val="24"/>
              </w:rPr>
              <w:t>в</w:t>
            </w:r>
            <w:r>
              <w:rPr>
                <w:spacing w:val="-9"/>
                <w:sz w:val="24"/>
              </w:rPr>
              <w:t> </w:t>
            </w:r>
            <w:r>
              <w:rPr>
                <w:sz w:val="24"/>
              </w:rPr>
              <w:t>соцсетях и пр.) на родном языке</w:t>
            </w:r>
          </w:p>
        </w:tc>
        <w:tc>
          <w:tcPr>
            <w:tcW w:w="1133" w:type="dxa"/>
          </w:tcPr>
          <w:p>
            <w:pPr>
              <w:pStyle w:val="TableParagraph"/>
              <w:spacing w:before="155"/>
              <w:ind w:left="118" w:right="110"/>
              <w:jc w:val="center"/>
              <w:rPr>
                <w:sz w:val="24"/>
              </w:rPr>
            </w:pPr>
            <w:r>
              <w:rPr>
                <w:spacing w:val="-2"/>
                <w:sz w:val="24"/>
              </w:rPr>
              <w:t>-</w:t>
            </w:r>
            <w:r>
              <w:rPr>
                <w:spacing w:val="-12"/>
                <w:sz w:val="24"/>
              </w:rPr>
              <w:t>2</w:t>
            </w:r>
          </w:p>
        </w:tc>
        <w:tc>
          <w:tcPr>
            <w:tcW w:w="842" w:type="dxa"/>
          </w:tcPr>
          <w:p>
            <w:pPr>
              <w:pStyle w:val="TableParagraph"/>
              <w:spacing w:before="155"/>
              <w:ind w:left="12" w:right="7"/>
              <w:jc w:val="center"/>
              <w:rPr>
                <w:sz w:val="24"/>
              </w:rPr>
            </w:pPr>
            <w:r>
              <w:rPr>
                <w:spacing w:val="-2"/>
                <w:sz w:val="24"/>
              </w:rPr>
              <w:t>-</w:t>
            </w:r>
            <w:r>
              <w:rPr>
                <w:spacing w:val="-12"/>
                <w:sz w:val="24"/>
              </w:rPr>
              <w:t>1</w:t>
            </w:r>
          </w:p>
        </w:tc>
        <w:tc>
          <w:tcPr>
            <w:tcW w:w="1219" w:type="dxa"/>
          </w:tcPr>
          <w:p>
            <w:pPr>
              <w:pStyle w:val="TableParagraph"/>
              <w:spacing w:before="155"/>
              <w:ind w:left="91" w:right="80"/>
              <w:jc w:val="center"/>
              <w:rPr>
                <w:sz w:val="24"/>
              </w:rPr>
            </w:pPr>
            <w:r>
              <w:rPr>
                <w:spacing w:val="-10"/>
                <w:sz w:val="24"/>
              </w:rPr>
              <w:t>0</w:t>
            </w:r>
          </w:p>
        </w:tc>
        <w:tc>
          <w:tcPr>
            <w:tcW w:w="1074" w:type="dxa"/>
          </w:tcPr>
          <w:p>
            <w:pPr>
              <w:pStyle w:val="TableParagraph"/>
              <w:spacing w:before="155"/>
              <w:ind w:left="9"/>
              <w:jc w:val="center"/>
              <w:rPr>
                <w:sz w:val="24"/>
              </w:rPr>
            </w:pPr>
            <w:r>
              <w:rPr>
                <w:spacing w:val="-10"/>
                <w:sz w:val="24"/>
              </w:rPr>
              <w:t>1</w:t>
            </w:r>
          </w:p>
        </w:tc>
        <w:tc>
          <w:tcPr>
            <w:tcW w:w="971" w:type="dxa"/>
          </w:tcPr>
          <w:p>
            <w:pPr>
              <w:pStyle w:val="TableParagraph"/>
              <w:spacing w:before="155"/>
              <w:ind w:left="15" w:right="2"/>
              <w:jc w:val="center"/>
              <w:rPr>
                <w:sz w:val="24"/>
              </w:rPr>
            </w:pPr>
            <w:r>
              <w:rPr>
                <w:spacing w:val="-10"/>
                <w:sz w:val="24"/>
              </w:rPr>
              <w:t>2</w:t>
            </w:r>
          </w:p>
        </w:tc>
      </w:tr>
      <w:tr>
        <w:trPr>
          <w:trHeight w:val="834" w:hRule="atLeast"/>
        </w:trPr>
        <w:tc>
          <w:tcPr>
            <w:tcW w:w="516" w:type="dxa"/>
          </w:tcPr>
          <w:p>
            <w:pPr>
              <w:pStyle w:val="TableParagraph"/>
              <w:spacing w:line="270" w:lineRule="exact"/>
              <w:ind w:left="107"/>
              <w:rPr>
                <w:sz w:val="24"/>
              </w:rPr>
            </w:pPr>
            <w:r>
              <w:rPr>
                <w:spacing w:val="-5"/>
                <w:sz w:val="24"/>
              </w:rPr>
              <w:t>10.</w:t>
            </w:r>
          </w:p>
        </w:tc>
        <w:tc>
          <w:tcPr>
            <w:tcW w:w="3814" w:type="dxa"/>
          </w:tcPr>
          <w:p>
            <w:pPr>
              <w:pStyle w:val="TableParagraph"/>
              <w:spacing w:line="276" w:lineRule="auto"/>
              <w:ind w:left="105" w:right="180"/>
              <w:rPr>
                <w:sz w:val="24"/>
              </w:rPr>
            </w:pPr>
            <w:r>
              <w:rPr>
                <w:sz w:val="24"/>
              </w:rPr>
              <w:t>Я</w:t>
            </w:r>
            <w:r>
              <w:rPr>
                <w:spacing w:val="-8"/>
                <w:sz w:val="24"/>
              </w:rPr>
              <w:t> </w:t>
            </w:r>
            <w:r>
              <w:rPr>
                <w:sz w:val="24"/>
              </w:rPr>
              <w:t>читаю</w:t>
            </w:r>
            <w:r>
              <w:rPr>
                <w:spacing w:val="-9"/>
                <w:sz w:val="24"/>
              </w:rPr>
              <w:t> </w:t>
            </w:r>
            <w:r>
              <w:rPr>
                <w:sz w:val="24"/>
              </w:rPr>
              <w:t>(книги,</w:t>
            </w:r>
            <w:r>
              <w:rPr>
                <w:spacing w:val="-10"/>
                <w:sz w:val="24"/>
              </w:rPr>
              <w:t> </w:t>
            </w:r>
            <w:r>
              <w:rPr>
                <w:sz w:val="24"/>
              </w:rPr>
              <w:t>посты</w:t>
            </w:r>
            <w:r>
              <w:rPr>
                <w:spacing w:val="-8"/>
                <w:sz w:val="24"/>
              </w:rPr>
              <w:t> </w:t>
            </w:r>
            <w:r>
              <w:rPr>
                <w:sz w:val="24"/>
              </w:rPr>
              <w:t>в</w:t>
            </w:r>
            <w:r>
              <w:rPr>
                <w:spacing w:val="-9"/>
                <w:sz w:val="24"/>
              </w:rPr>
              <w:t> </w:t>
            </w:r>
            <w:r>
              <w:rPr>
                <w:sz w:val="24"/>
              </w:rPr>
              <w:t>соцсетях и пр.) на русском языке</w:t>
            </w:r>
          </w:p>
        </w:tc>
        <w:tc>
          <w:tcPr>
            <w:tcW w:w="1133" w:type="dxa"/>
          </w:tcPr>
          <w:p>
            <w:pPr>
              <w:pStyle w:val="TableParagraph"/>
              <w:spacing w:before="155"/>
              <w:ind w:left="118" w:right="110"/>
              <w:jc w:val="center"/>
              <w:rPr>
                <w:sz w:val="24"/>
              </w:rPr>
            </w:pPr>
            <w:r>
              <w:rPr>
                <w:spacing w:val="-2"/>
                <w:sz w:val="24"/>
              </w:rPr>
              <w:t>-</w:t>
            </w:r>
            <w:r>
              <w:rPr>
                <w:spacing w:val="-12"/>
                <w:sz w:val="24"/>
              </w:rPr>
              <w:t>2</w:t>
            </w:r>
          </w:p>
        </w:tc>
        <w:tc>
          <w:tcPr>
            <w:tcW w:w="842" w:type="dxa"/>
          </w:tcPr>
          <w:p>
            <w:pPr>
              <w:pStyle w:val="TableParagraph"/>
              <w:spacing w:before="155"/>
              <w:ind w:left="12" w:right="7"/>
              <w:jc w:val="center"/>
              <w:rPr>
                <w:sz w:val="24"/>
              </w:rPr>
            </w:pPr>
            <w:r>
              <w:rPr>
                <w:spacing w:val="-2"/>
                <w:sz w:val="24"/>
              </w:rPr>
              <w:t>-</w:t>
            </w:r>
            <w:r>
              <w:rPr>
                <w:spacing w:val="-12"/>
                <w:sz w:val="24"/>
              </w:rPr>
              <w:t>1</w:t>
            </w:r>
          </w:p>
        </w:tc>
        <w:tc>
          <w:tcPr>
            <w:tcW w:w="1219" w:type="dxa"/>
          </w:tcPr>
          <w:p>
            <w:pPr>
              <w:pStyle w:val="TableParagraph"/>
              <w:spacing w:before="155"/>
              <w:ind w:left="91" w:right="80"/>
              <w:jc w:val="center"/>
              <w:rPr>
                <w:sz w:val="24"/>
              </w:rPr>
            </w:pPr>
            <w:r>
              <w:rPr>
                <w:spacing w:val="-10"/>
                <w:sz w:val="24"/>
              </w:rPr>
              <w:t>0</w:t>
            </w:r>
          </w:p>
        </w:tc>
        <w:tc>
          <w:tcPr>
            <w:tcW w:w="1074" w:type="dxa"/>
          </w:tcPr>
          <w:p>
            <w:pPr>
              <w:pStyle w:val="TableParagraph"/>
              <w:spacing w:before="155"/>
              <w:ind w:left="9"/>
              <w:jc w:val="center"/>
              <w:rPr>
                <w:sz w:val="24"/>
              </w:rPr>
            </w:pPr>
            <w:r>
              <w:rPr>
                <w:spacing w:val="-10"/>
                <w:sz w:val="24"/>
              </w:rPr>
              <w:t>1</w:t>
            </w:r>
          </w:p>
        </w:tc>
        <w:tc>
          <w:tcPr>
            <w:tcW w:w="971" w:type="dxa"/>
          </w:tcPr>
          <w:p>
            <w:pPr>
              <w:pStyle w:val="TableParagraph"/>
              <w:spacing w:before="155"/>
              <w:ind w:left="15" w:right="2"/>
              <w:jc w:val="center"/>
              <w:rPr>
                <w:sz w:val="24"/>
              </w:rPr>
            </w:pPr>
            <w:r>
              <w:rPr>
                <w:spacing w:val="-10"/>
                <w:sz w:val="24"/>
              </w:rPr>
              <w:t>2</w:t>
            </w:r>
          </w:p>
        </w:tc>
      </w:tr>
      <w:tr>
        <w:trPr>
          <w:trHeight w:val="834" w:hRule="atLeast"/>
        </w:trPr>
        <w:tc>
          <w:tcPr>
            <w:tcW w:w="516" w:type="dxa"/>
          </w:tcPr>
          <w:p>
            <w:pPr>
              <w:pStyle w:val="TableParagraph"/>
              <w:spacing w:line="270" w:lineRule="exact"/>
              <w:ind w:left="107"/>
              <w:rPr>
                <w:sz w:val="24"/>
              </w:rPr>
            </w:pPr>
            <w:r>
              <w:rPr>
                <w:spacing w:val="-5"/>
                <w:sz w:val="24"/>
              </w:rPr>
              <w:t>11.</w:t>
            </w:r>
          </w:p>
        </w:tc>
        <w:tc>
          <w:tcPr>
            <w:tcW w:w="3814" w:type="dxa"/>
          </w:tcPr>
          <w:p>
            <w:pPr>
              <w:pStyle w:val="TableParagraph"/>
              <w:spacing w:line="276" w:lineRule="auto"/>
              <w:ind w:left="105"/>
              <w:rPr>
                <w:sz w:val="24"/>
              </w:rPr>
            </w:pPr>
            <w:r>
              <w:rPr>
                <w:sz w:val="24"/>
              </w:rPr>
              <w:t>Я слушаю (музыку, аудиокниги, подкасты</w:t>
            </w:r>
            <w:r>
              <w:rPr>
                <w:spacing w:val="-4"/>
                <w:sz w:val="24"/>
              </w:rPr>
              <w:t> </w:t>
            </w:r>
            <w:r>
              <w:rPr>
                <w:sz w:val="24"/>
              </w:rPr>
              <w:t>и пр.)</w:t>
            </w:r>
            <w:r>
              <w:rPr>
                <w:spacing w:val="-1"/>
                <w:sz w:val="24"/>
              </w:rPr>
              <w:t> </w:t>
            </w:r>
            <w:r>
              <w:rPr>
                <w:sz w:val="24"/>
              </w:rPr>
              <w:t>на</w:t>
            </w:r>
            <w:r>
              <w:rPr>
                <w:spacing w:val="-1"/>
                <w:sz w:val="24"/>
              </w:rPr>
              <w:t> </w:t>
            </w:r>
            <w:r>
              <w:rPr>
                <w:sz w:val="24"/>
              </w:rPr>
              <w:t>родном</w:t>
            </w:r>
            <w:r>
              <w:rPr>
                <w:spacing w:val="-2"/>
                <w:sz w:val="24"/>
              </w:rPr>
              <w:t> </w:t>
            </w:r>
            <w:r>
              <w:rPr>
                <w:spacing w:val="-2"/>
                <w:sz w:val="24"/>
              </w:rPr>
              <w:t>языке</w:t>
            </w:r>
          </w:p>
        </w:tc>
        <w:tc>
          <w:tcPr>
            <w:tcW w:w="1133" w:type="dxa"/>
          </w:tcPr>
          <w:p>
            <w:pPr>
              <w:pStyle w:val="TableParagraph"/>
              <w:spacing w:before="155"/>
              <w:ind w:left="118" w:right="110"/>
              <w:jc w:val="center"/>
              <w:rPr>
                <w:sz w:val="24"/>
              </w:rPr>
            </w:pPr>
            <w:r>
              <w:rPr>
                <w:spacing w:val="-2"/>
                <w:sz w:val="24"/>
              </w:rPr>
              <w:t>-</w:t>
            </w:r>
            <w:r>
              <w:rPr>
                <w:spacing w:val="-12"/>
                <w:sz w:val="24"/>
              </w:rPr>
              <w:t>2</w:t>
            </w:r>
          </w:p>
        </w:tc>
        <w:tc>
          <w:tcPr>
            <w:tcW w:w="842" w:type="dxa"/>
          </w:tcPr>
          <w:p>
            <w:pPr>
              <w:pStyle w:val="TableParagraph"/>
              <w:spacing w:before="155"/>
              <w:ind w:left="12" w:right="7"/>
              <w:jc w:val="center"/>
              <w:rPr>
                <w:sz w:val="24"/>
              </w:rPr>
            </w:pPr>
            <w:r>
              <w:rPr>
                <w:spacing w:val="-2"/>
                <w:sz w:val="24"/>
              </w:rPr>
              <w:t>-</w:t>
            </w:r>
            <w:r>
              <w:rPr>
                <w:spacing w:val="-12"/>
                <w:sz w:val="24"/>
              </w:rPr>
              <w:t>1</w:t>
            </w:r>
          </w:p>
        </w:tc>
        <w:tc>
          <w:tcPr>
            <w:tcW w:w="1219" w:type="dxa"/>
          </w:tcPr>
          <w:p>
            <w:pPr>
              <w:pStyle w:val="TableParagraph"/>
              <w:spacing w:before="155"/>
              <w:ind w:left="91" w:right="80"/>
              <w:jc w:val="center"/>
              <w:rPr>
                <w:sz w:val="24"/>
              </w:rPr>
            </w:pPr>
            <w:r>
              <w:rPr>
                <w:spacing w:val="-10"/>
                <w:sz w:val="24"/>
              </w:rPr>
              <w:t>0</w:t>
            </w:r>
          </w:p>
        </w:tc>
        <w:tc>
          <w:tcPr>
            <w:tcW w:w="1074" w:type="dxa"/>
          </w:tcPr>
          <w:p>
            <w:pPr>
              <w:pStyle w:val="TableParagraph"/>
              <w:spacing w:before="155"/>
              <w:ind w:left="9"/>
              <w:jc w:val="center"/>
              <w:rPr>
                <w:sz w:val="24"/>
              </w:rPr>
            </w:pPr>
            <w:r>
              <w:rPr>
                <w:spacing w:val="-10"/>
                <w:sz w:val="24"/>
              </w:rPr>
              <w:t>1</w:t>
            </w:r>
          </w:p>
        </w:tc>
        <w:tc>
          <w:tcPr>
            <w:tcW w:w="971" w:type="dxa"/>
          </w:tcPr>
          <w:p>
            <w:pPr>
              <w:pStyle w:val="TableParagraph"/>
              <w:spacing w:before="155"/>
              <w:ind w:left="15" w:right="2"/>
              <w:jc w:val="center"/>
              <w:rPr>
                <w:sz w:val="24"/>
              </w:rPr>
            </w:pPr>
            <w:r>
              <w:rPr>
                <w:spacing w:val="-10"/>
                <w:sz w:val="24"/>
              </w:rPr>
              <w:t>2</w:t>
            </w:r>
          </w:p>
        </w:tc>
      </w:tr>
      <w:tr>
        <w:trPr>
          <w:trHeight w:val="837" w:hRule="atLeast"/>
        </w:trPr>
        <w:tc>
          <w:tcPr>
            <w:tcW w:w="516" w:type="dxa"/>
          </w:tcPr>
          <w:p>
            <w:pPr>
              <w:pStyle w:val="TableParagraph"/>
              <w:spacing w:line="270" w:lineRule="exact"/>
              <w:ind w:left="107"/>
              <w:rPr>
                <w:sz w:val="24"/>
              </w:rPr>
            </w:pPr>
            <w:r>
              <w:rPr>
                <w:spacing w:val="-5"/>
                <w:sz w:val="24"/>
              </w:rPr>
              <w:t>12.</w:t>
            </w:r>
          </w:p>
        </w:tc>
        <w:tc>
          <w:tcPr>
            <w:tcW w:w="3814" w:type="dxa"/>
          </w:tcPr>
          <w:p>
            <w:pPr>
              <w:pStyle w:val="TableParagraph"/>
              <w:spacing w:line="276" w:lineRule="auto"/>
              <w:ind w:left="105"/>
              <w:rPr>
                <w:sz w:val="24"/>
              </w:rPr>
            </w:pPr>
            <w:r>
              <w:rPr>
                <w:sz w:val="24"/>
              </w:rPr>
              <w:t>Я слушаю (музыку, аудиокниги, подкасты</w:t>
            </w:r>
            <w:r>
              <w:rPr>
                <w:spacing w:val="-8"/>
                <w:sz w:val="24"/>
              </w:rPr>
              <w:t> </w:t>
            </w:r>
            <w:r>
              <w:rPr>
                <w:sz w:val="24"/>
              </w:rPr>
              <w:t>и</w:t>
            </w:r>
            <w:r>
              <w:rPr>
                <w:spacing w:val="-7"/>
                <w:sz w:val="24"/>
              </w:rPr>
              <w:t> </w:t>
            </w:r>
            <w:r>
              <w:rPr>
                <w:sz w:val="24"/>
              </w:rPr>
              <w:t>пр.)</w:t>
            </w:r>
            <w:r>
              <w:rPr>
                <w:spacing w:val="-8"/>
                <w:sz w:val="24"/>
              </w:rPr>
              <w:t> </w:t>
            </w:r>
            <w:r>
              <w:rPr>
                <w:sz w:val="24"/>
              </w:rPr>
              <w:t>на</w:t>
            </w:r>
            <w:r>
              <w:rPr>
                <w:spacing w:val="-8"/>
                <w:sz w:val="24"/>
              </w:rPr>
              <w:t> </w:t>
            </w:r>
            <w:r>
              <w:rPr>
                <w:sz w:val="24"/>
              </w:rPr>
              <w:t>русском</w:t>
            </w:r>
            <w:r>
              <w:rPr>
                <w:spacing w:val="-9"/>
                <w:sz w:val="24"/>
              </w:rPr>
              <w:t> </w:t>
            </w:r>
            <w:r>
              <w:rPr>
                <w:sz w:val="24"/>
              </w:rPr>
              <w:t>языке</w:t>
            </w:r>
          </w:p>
        </w:tc>
        <w:tc>
          <w:tcPr>
            <w:tcW w:w="1133" w:type="dxa"/>
          </w:tcPr>
          <w:p>
            <w:pPr>
              <w:pStyle w:val="TableParagraph"/>
              <w:spacing w:before="155"/>
              <w:ind w:left="118" w:right="110"/>
              <w:jc w:val="center"/>
              <w:rPr>
                <w:sz w:val="24"/>
              </w:rPr>
            </w:pPr>
            <w:r>
              <w:rPr>
                <w:spacing w:val="-2"/>
                <w:sz w:val="24"/>
              </w:rPr>
              <w:t>-</w:t>
            </w:r>
            <w:r>
              <w:rPr>
                <w:spacing w:val="-12"/>
                <w:sz w:val="24"/>
              </w:rPr>
              <w:t>2</w:t>
            </w:r>
          </w:p>
        </w:tc>
        <w:tc>
          <w:tcPr>
            <w:tcW w:w="842" w:type="dxa"/>
          </w:tcPr>
          <w:p>
            <w:pPr>
              <w:pStyle w:val="TableParagraph"/>
              <w:spacing w:before="155"/>
              <w:ind w:left="12" w:right="7"/>
              <w:jc w:val="center"/>
              <w:rPr>
                <w:sz w:val="24"/>
              </w:rPr>
            </w:pPr>
            <w:r>
              <w:rPr>
                <w:spacing w:val="-2"/>
                <w:sz w:val="24"/>
              </w:rPr>
              <w:t>-</w:t>
            </w:r>
            <w:r>
              <w:rPr>
                <w:spacing w:val="-12"/>
                <w:sz w:val="24"/>
              </w:rPr>
              <w:t>1</w:t>
            </w:r>
          </w:p>
        </w:tc>
        <w:tc>
          <w:tcPr>
            <w:tcW w:w="1219" w:type="dxa"/>
          </w:tcPr>
          <w:p>
            <w:pPr>
              <w:pStyle w:val="TableParagraph"/>
              <w:spacing w:before="155"/>
              <w:ind w:left="91" w:right="80"/>
              <w:jc w:val="center"/>
              <w:rPr>
                <w:sz w:val="24"/>
              </w:rPr>
            </w:pPr>
            <w:r>
              <w:rPr>
                <w:spacing w:val="-10"/>
                <w:sz w:val="24"/>
              </w:rPr>
              <w:t>0</w:t>
            </w:r>
          </w:p>
        </w:tc>
        <w:tc>
          <w:tcPr>
            <w:tcW w:w="1074" w:type="dxa"/>
          </w:tcPr>
          <w:p>
            <w:pPr>
              <w:pStyle w:val="TableParagraph"/>
              <w:spacing w:before="155"/>
              <w:ind w:left="9"/>
              <w:jc w:val="center"/>
              <w:rPr>
                <w:sz w:val="24"/>
              </w:rPr>
            </w:pPr>
            <w:r>
              <w:rPr>
                <w:spacing w:val="-10"/>
                <w:sz w:val="24"/>
              </w:rPr>
              <w:t>1</w:t>
            </w:r>
          </w:p>
        </w:tc>
        <w:tc>
          <w:tcPr>
            <w:tcW w:w="971" w:type="dxa"/>
          </w:tcPr>
          <w:p>
            <w:pPr>
              <w:pStyle w:val="TableParagraph"/>
              <w:spacing w:before="155"/>
              <w:ind w:left="15" w:right="2"/>
              <w:jc w:val="center"/>
              <w:rPr>
                <w:sz w:val="24"/>
              </w:rPr>
            </w:pPr>
            <w:r>
              <w:rPr>
                <w:spacing w:val="-10"/>
                <w:sz w:val="24"/>
              </w:rPr>
              <w:t>2</w:t>
            </w:r>
          </w:p>
        </w:tc>
      </w:tr>
    </w:tbl>
    <w:p>
      <w:pPr>
        <w:pStyle w:val="BodyText"/>
        <w:spacing w:before="163"/>
        <w:ind w:left="0" w:right="0" w:firstLine="0"/>
        <w:jc w:val="left"/>
        <w:rPr>
          <w:i/>
          <w:sz w:val="28"/>
        </w:rPr>
      </w:pPr>
    </w:p>
    <w:p>
      <w:pPr>
        <w:pStyle w:val="Heading5"/>
        <w:ind w:right="560"/>
      </w:pPr>
      <w:r>
        <w:rPr/>
        <w:t>Оцени</w:t>
      </w:r>
      <w:r>
        <w:rPr>
          <w:spacing w:val="-6"/>
        </w:rPr>
        <w:t> </w:t>
      </w:r>
      <w:r>
        <w:rPr/>
        <w:t>по</w:t>
      </w:r>
      <w:r>
        <w:rPr>
          <w:spacing w:val="-2"/>
        </w:rPr>
        <w:t> </w:t>
      </w:r>
      <w:r>
        <w:rPr/>
        <w:t>шкале</w:t>
      </w:r>
      <w:r>
        <w:rPr>
          <w:spacing w:val="-4"/>
        </w:rPr>
        <w:t> </w:t>
      </w:r>
      <w:r>
        <w:rPr/>
        <w:t>от</w:t>
      </w:r>
      <w:r>
        <w:rPr>
          <w:spacing w:val="-6"/>
        </w:rPr>
        <w:t> </w:t>
      </w:r>
      <w:r>
        <w:rPr/>
        <w:t>-2</w:t>
      </w:r>
      <w:r>
        <w:rPr>
          <w:spacing w:val="-2"/>
        </w:rPr>
        <w:t> </w:t>
      </w:r>
      <w:r>
        <w:rPr/>
        <w:t>«Никогда»</w:t>
      </w:r>
      <w:r>
        <w:rPr>
          <w:spacing w:val="-2"/>
        </w:rPr>
        <w:t> </w:t>
      </w:r>
      <w:r>
        <w:rPr/>
        <w:t>до</w:t>
      </w:r>
      <w:r>
        <w:rPr>
          <w:spacing w:val="-2"/>
        </w:rPr>
        <w:t> </w:t>
      </w:r>
      <w:r>
        <w:rPr/>
        <w:t>+2</w:t>
      </w:r>
      <w:r>
        <w:rPr>
          <w:spacing w:val="-6"/>
        </w:rPr>
        <w:t> </w:t>
      </w:r>
      <w:r>
        <w:rPr/>
        <w:t>«Всегда»,</w:t>
      </w:r>
      <w:r>
        <w:rPr>
          <w:spacing w:val="-4"/>
        </w:rPr>
        <w:t> </w:t>
      </w:r>
      <w:r>
        <w:rPr/>
        <w:t>насколько</w:t>
      </w:r>
      <w:r>
        <w:rPr>
          <w:spacing w:val="-4"/>
        </w:rPr>
        <w:t> </w:t>
      </w:r>
      <w:r>
        <w:rPr/>
        <w:t>часто</w:t>
      </w:r>
      <w:r>
        <w:rPr>
          <w:spacing w:val="-2"/>
        </w:rPr>
        <w:t> </w:t>
      </w:r>
      <w:r>
        <w:rPr/>
        <w:t>ты общаешься с российскими сверстниками и приехавшими из твоей </w:t>
      </w:r>
      <w:r>
        <w:rPr>
          <w:spacing w:val="-2"/>
        </w:rPr>
        <w:t>страны/региона.</w:t>
      </w:r>
    </w:p>
    <w:p>
      <w:pPr>
        <w:pStyle w:val="BodyText"/>
        <w:spacing w:before="52"/>
        <w:ind w:left="0" w:right="0" w:firstLine="0"/>
        <w:jc w:val="left"/>
        <w:rPr>
          <w:i/>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6"/>
        <w:gridCol w:w="3821"/>
        <w:gridCol w:w="1130"/>
        <w:gridCol w:w="842"/>
        <w:gridCol w:w="1217"/>
        <w:gridCol w:w="1072"/>
        <w:gridCol w:w="971"/>
      </w:tblGrid>
      <w:tr>
        <w:trPr>
          <w:trHeight w:val="834" w:hRule="atLeast"/>
        </w:trPr>
        <w:tc>
          <w:tcPr>
            <w:tcW w:w="516" w:type="dxa"/>
          </w:tcPr>
          <w:p>
            <w:pPr>
              <w:pStyle w:val="TableParagraph"/>
              <w:spacing w:before="159"/>
              <w:ind w:left="56" w:right="48"/>
              <w:jc w:val="center"/>
              <w:rPr>
                <w:b/>
                <w:sz w:val="24"/>
              </w:rPr>
            </w:pPr>
            <w:r>
              <w:rPr>
                <w:b/>
                <w:spacing w:val="-10"/>
                <w:sz w:val="24"/>
              </w:rPr>
              <w:t>№</w:t>
            </w:r>
          </w:p>
        </w:tc>
        <w:tc>
          <w:tcPr>
            <w:tcW w:w="3821" w:type="dxa"/>
          </w:tcPr>
          <w:p>
            <w:pPr>
              <w:pStyle w:val="TableParagraph"/>
              <w:spacing w:before="159"/>
              <w:ind w:left="1170"/>
              <w:rPr>
                <w:b/>
                <w:sz w:val="24"/>
              </w:rPr>
            </w:pPr>
            <w:r>
              <w:rPr>
                <w:b/>
                <w:spacing w:val="-2"/>
                <w:sz w:val="24"/>
              </w:rPr>
              <w:t>Утверждения</w:t>
            </w:r>
          </w:p>
        </w:tc>
        <w:tc>
          <w:tcPr>
            <w:tcW w:w="1130" w:type="dxa"/>
          </w:tcPr>
          <w:p>
            <w:pPr>
              <w:pStyle w:val="TableParagraph"/>
              <w:spacing w:before="155"/>
              <w:ind w:left="89" w:right="84"/>
              <w:jc w:val="center"/>
              <w:rPr>
                <w:i/>
                <w:sz w:val="24"/>
              </w:rPr>
            </w:pPr>
            <w:r>
              <w:rPr>
                <w:i/>
                <w:spacing w:val="-2"/>
                <w:sz w:val="24"/>
              </w:rPr>
              <w:t>Никогда</w:t>
            </w:r>
          </w:p>
        </w:tc>
        <w:tc>
          <w:tcPr>
            <w:tcW w:w="842" w:type="dxa"/>
          </w:tcPr>
          <w:p>
            <w:pPr>
              <w:pStyle w:val="TableParagraph"/>
              <w:spacing w:before="155"/>
              <w:ind w:left="12" w:right="1"/>
              <w:jc w:val="center"/>
              <w:rPr>
                <w:i/>
                <w:sz w:val="24"/>
              </w:rPr>
            </w:pPr>
            <w:r>
              <w:rPr>
                <w:i/>
                <w:spacing w:val="-4"/>
                <w:sz w:val="24"/>
              </w:rPr>
              <w:t>Редко</w:t>
            </w:r>
          </w:p>
        </w:tc>
        <w:tc>
          <w:tcPr>
            <w:tcW w:w="1217" w:type="dxa"/>
          </w:tcPr>
          <w:p>
            <w:pPr>
              <w:pStyle w:val="TableParagraph"/>
              <w:spacing w:line="276" w:lineRule="auto"/>
              <w:ind w:left="193" w:right="97" w:hanging="80"/>
              <w:rPr>
                <w:i/>
                <w:sz w:val="24"/>
              </w:rPr>
            </w:pPr>
            <w:r>
              <w:rPr>
                <w:i/>
                <w:sz w:val="24"/>
              </w:rPr>
              <w:t>Время</w:t>
            </w:r>
            <w:r>
              <w:rPr>
                <w:i/>
                <w:spacing w:val="-15"/>
                <w:sz w:val="24"/>
              </w:rPr>
              <w:t> </w:t>
            </w:r>
            <w:r>
              <w:rPr>
                <w:i/>
                <w:sz w:val="24"/>
              </w:rPr>
              <w:t>от </w:t>
            </w:r>
            <w:r>
              <w:rPr>
                <w:i/>
                <w:spacing w:val="-2"/>
                <w:sz w:val="24"/>
              </w:rPr>
              <w:t>времени</w:t>
            </w:r>
          </w:p>
        </w:tc>
        <w:tc>
          <w:tcPr>
            <w:tcW w:w="1072" w:type="dxa"/>
          </w:tcPr>
          <w:p>
            <w:pPr>
              <w:pStyle w:val="TableParagraph"/>
              <w:spacing w:before="155"/>
              <w:ind w:left="11" w:right="1"/>
              <w:jc w:val="center"/>
              <w:rPr>
                <w:i/>
                <w:sz w:val="24"/>
              </w:rPr>
            </w:pPr>
            <w:r>
              <w:rPr>
                <w:i/>
                <w:spacing w:val="-2"/>
                <w:sz w:val="24"/>
              </w:rPr>
              <w:t>Часто</w:t>
            </w:r>
          </w:p>
        </w:tc>
        <w:tc>
          <w:tcPr>
            <w:tcW w:w="971" w:type="dxa"/>
          </w:tcPr>
          <w:p>
            <w:pPr>
              <w:pStyle w:val="TableParagraph"/>
              <w:spacing w:before="155"/>
              <w:ind w:left="15"/>
              <w:jc w:val="center"/>
              <w:rPr>
                <w:i/>
                <w:sz w:val="24"/>
              </w:rPr>
            </w:pPr>
            <w:r>
              <w:rPr>
                <w:i/>
                <w:spacing w:val="-2"/>
                <w:sz w:val="24"/>
              </w:rPr>
              <w:t>Всегда</w:t>
            </w:r>
          </w:p>
        </w:tc>
      </w:tr>
      <w:tr>
        <w:trPr>
          <w:trHeight w:val="1154" w:hRule="atLeast"/>
        </w:trPr>
        <w:tc>
          <w:tcPr>
            <w:tcW w:w="516" w:type="dxa"/>
          </w:tcPr>
          <w:p>
            <w:pPr>
              <w:pStyle w:val="TableParagraph"/>
              <w:spacing w:line="271" w:lineRule="exact"/>
              <w:ind w:left="8" w:right="56"/>
              <w:jc w:val="center"/>
              <w:rPr>
                <w:sz w:val="24"/>
              </w:rPr>
            </w:pPr>
            <w:r>
              <w:rPr>
                <w:spacing w:val="-5"/>
                <w:sz w:val="24"/>
              </w:rPr>
              <w:t>13</w:t>
            </w:r>
          </w:p>
        </w:tc>
        <w:tc>
          <w:tcPr>
            <w:tcW w:w="3821" w:type="dxa"/>
          </w:tcPr>
          <w:p>
            <w:pPr>
              <w:pStyle w:val="TableParagraph"/>
              <w:spacing w:line="276" w:lineRule="auto"/>
              <w:ind w:left="105" w:right="153"/>
              <w:rPr>
                <w:sz w:val="24"/>
              </w:rPr>
            </w:pPr>
            <w:r>
              <w:rPr>
                <w:sz w:val="24"/>
              </w:rPr>
              <w:t>Я провожу время с мальчиками или</w:t>
            </w:r>
            <w:r>
              <w:rPr>
                <w:spacing w:val="-13"/>
                <w:sz w:val="24"/>
              </w:rPr>
              <w:t> </w:t>
            </w:r>
            <w:r>
              <w:rPr>
                <w:sz w:val="24"/>
              </w:rPr>
              <w:t>девочками,</w:t>
            </w:r>
            <w:r>
              <w:rPr>
                <w:spacing w:val="-13"/>
                <w:sz w:val="24"/>
              </w:rPr>
              <w:t> </w:t>
            </w:r>
            <w:r>
              <w:rPr>
                <w:sz w:val="24"/>
              </w:rPr>
              <w:t>приехавшими</w:t>
            </w:r>
            <w:r>
              <w:rPr>
                <w:spacing w:val="-13"/>
                <w:sz w:val="24"/>
              </w:rPr>
              <w:t> </w:t>
            </w:r>
            <w:r>
              <w:rPr>
                <w:sz w:val="24"/>
              </w:rPr>
              <w:t>из моей страны/региона</w:t>
            </w:r>
          </w:p>
        </w:tc>
        <w:tc>
          <w:tcPr>
            <w:tcW w:w="1130" w:type="dxa"/>
          </w:tcPr>
          <w:p>
            <w:pPr>
              <w:pStyle w:val="TableParagraph"/>
              <w:spacing w:before="37"/>
              <w:rPr>
                <w:i/>
                <w:sz w:val="24"/>
              </w:rPr>
            </w:pPr>
          </w:p>
          <w:p>
            <w:pPr>
              <w:pStyle w:val="TableParagraph"/>
              <w:ind w:left="90" w:right="84"/>
              <w:jc w:val="center"/>
              <w:rPr>
                <w:sz w:val="24"/>
              </w:rPr>
            </w:pPr>
            <w:r>
              <w:rPr>
                <w:spacing w:val="-2"/>
                <w:sz w:val="24"/>
              </w:rPr>
              <w:t>-</w:t>
            </w:r>
            <w:r>
              <w:rPr>
                <w:spacing w:val="-12"/>
                <w:sz w:val="24"/>
              </w:rPr>
              <w:t>2</w:t>
            </w:r>
          </w:p>
        </w:tc>
        <w:tc>
          <w:tcPr>
            <w:tcW w:w="842" w:type="dxa"/>
          </w:tcPr>
          <w:p>
            <w:pPr>
              <w:pStyle w:val="TableParagraph"/>
              <w:spacing w:before="37"/>
              <w:rPr>
                <w:i/>
                <w:sz w:val="24"/>
              </w:rPr>
            </w:pPr>
          </w:p>
          <w:p>
            <w:pPr>
              <w:pStyle w:val="TableParagraph"/>
              <w:ind w:left="12"/>
              <w:jc w:val="center"/>
              <w:rPr>
                <w:sz w:val="24"/>
              </w:rPr>
            </w:pPr>
            <w:r>
              <w:rPr>
                <w:spacing w:val="-2"/>
                <w:sz w:val="24"/>
              </w:rPr>
              <w:t>-</w:t>
            </w:r>
            <w:r>
              <w:rPr>
                <w:spacing w:val="-12"/>
                <w:sz w:val="24"/>
              </w:rPr>
              <w:t>1</w:t>
            </w:r>
          </w:p>
        </w:tc>
        <w:tc>
          <w:tcPr>
            <w:tcW w:w="1217" w:type="dxa"/>
          </w:tcPr>
          <w:p>
            <w:pPr>
              <w:pStyle w:val="TableParagraph"/>
              <w:spacing w:before="37"/>
              <w:rPr>
                <w:i/>
                <w:sz w:val="24"/>
              </w:rPr>
            </w:pPr>
          </w:p>
          <w:p>
            <w:pPr>
              <w:pStyle w:val="TableParagraph"/>
              <w:ind w:left="10"/>
              <w:jc w:val="center"/>
              <w:rPr>
                <w:sz w:val="24"/>
              </w:rPr>
            </w:pPr>
            <w:r>
              <w:rPr>
                <w:spacing w:val="-10"/>
                <w:sz w:val="24"/>
              </w:rPr>
              <w:t>0</w:t>
            </w:r>
          </w:p>
        </w:tc>
        <w:tc>
          <w:tcPr>
            <w:tcW w:w="1072" w:type="dxa"/>
          </w:tcPr>
          <w:p>
            <w:pPr>
              <w:pStyle w:val="TableParagraph"/>
              <w:spacing w:before="37"/>
              <w:rPr>
                <w:i/>
                <w:sz w:val="24"/>
              </w:rPr>
            </w:pPr>
          </w:p>
          <w:p>
            <w:pPr>
              <w:pStyle w:val="TableParagraph"/>
              <w:ind w:left="11"/>
              <w:jc w:val="center"/>
              <w:rPr>
                <w:sz w:val="24"/>
              </w:rPr>
            </w:pPr>
            <w:r>
              <w:rPr>
                <w:spacing w:val="-10"/>
                <w:sz w:val="24"/>
              </w:rPr>
              <w:t>1</w:t>
            </w:r>
          </w:p>
        </w:tc>
        <w:tc>
          <w:tcPr>
            <w:tcW w:w="971" w:type="dxa"/>
          </w:tcPr>
          <w:p>
            <w:pPr>
              <w:pStyle w:val="TableParagraph"/>
              <w:spacing w:before="37"/>
              <w:rPr>
                <w:i/>
                <w:sz w:val="24"/>
              </w:rPr>
            </w:pPr>
          </w:p>
          <w:p>
            <w:pPr>
              <w:pStyle w:val="TableParagraph"/>
              <w:ind w:left="15" w:right="2"/>
              <w:jc w:val="center"/>
              <w:rPr>
                <w:sz w:val="24"/>
              </w:rPr>
            </w:pPr>
            <w:r>
              <w:rPr>
                <w:spacing w:val="-10"/>
                <w:sz w:val="24"/>
              </w:rPr>
              <w:t>2</w:t>
            </w:r>
          </w:p>
        </w:tc>
      </w:tr>
      <w:tr>
        <w:trPr>
          <w:trHeight w:val="834" w:hRule="atLeast"/>
        </w:trPr>
        <w:tc>
          <w:tcPr>
            <w:tcW w:w="516" w:type="dxa"/>
          </w:tcPr>
          <w:p>
            <w:pPr>
              <w:pStyle w:val="TableParagraph"/>
              <w:spacing w:line="270" w:lineRule="exact"/>
              <w:ind w:left="8" w:right="56"/>
              <w:jc w:val="center"/>
              <w:rPr>
                <w:sz w:val="24"/>
              </w:rPr>
            </w:pPr>
            <w:r>
              <w:rPr>
                <w:spacing w:val="-5"/>
                <w:sz w:val="24"/>
              </w:rPr>
              <w:t>14</w:t>
            </w:r>
          </w:p>
        </w:tc>
        <w:tc>
          <w:tcPr>
            <w:tcW w:w="3821" w:type="dxa"/>
          </w:tcPr>
          <w:p>
            <w:pPr>
              <w:pStyle w:val="TableParagraph"/>
              <w:spacing w:line="276" w:lineRule="auto"/>
              <w:ind w:left="105" w:right="153"/>
              <w:rPr>
                <w:sz w:val="24"/>
              </w:rPr>
            </w:pPr>
            <w:r>
              <w:rPr>
                <w:sz w:val="24"/>
              </w:rPr>
              <w:t>Я</w:t>
            </w:r>
            <w:r>
              <w:rPr>
                <w:spacing w:val="-9"/>
                <w:sz w:val="24"/>
              </w:rPr>
              <w:t> </w:t>
            </w:r>
            <w:r>
              <w:rPr>
                <w:sz w:val="24"/>
              </w:rPr>
              <w:t>провожу</w:t>
            </w:r>
            <w:r>
              <w:rPr>
                <w:spacing w:val="-14"/>
                <w:sz w:val="24"/>
              </w:rPr>
              <w:t> </w:t>
            </w:r>
            <w:r>
              <w:rPr>
                <w:sz w:val="24"/>
              </w:rPr>
              <w:t>время</w:t>
            </w:r>
            <w:r>
              <w:rPr>
                <w:spacing w:val="-8"/>
                <w:sz w:val="24"/>
              </w:rPr>
              <w:t> </w:t>
            </w:r>
            <w:r>
              <w:rPr>
                <w:sz w:val="24"/>
              </w:rPr>
              <w:t>с</w:t>
            </w:r>
            <w:r>
              <w:rPr>
                <w:spacing w:val="-10"/>
                <w:sz w:val="24"/>
              </w:rPr>
              <w:t> </w:t>
            </w:r>
            <w:r>
              <w:rPr>
                <w:sz w:val="24"/>
              </w:rPr>
              <w:t>мальчиками или девочками из России</w:t>
            </w:r>
          </w:p>
        </w:tc>
        <w:tc>
          <w:tcPr>
            <w:tcW w:w="1130" w:type="dxa"/>
          </w:tcPr>
          <w:p>
            <w:pPr>
              <w:pStyle w:val="TableParagraph"/>
              <w:spacing w:before="152"/>
              <w:ind w:left="90" w:right="84"/>
              <w:jc w:val="center"/>
              <w:rPr>
                <w:sz w:val="24"/>
              </w:rPr>
            </w:pPr>
            <w:r>
              <w:rPr>
                <w:spacing w:val="-2"/>
                <w:sz w:val="24"/>
              </w:rPr>
              <w:t>-</w:t>
            </w:r>
            <w:r>
              <w:rPr>
                <w:spacing w:val="-12"/>
                <w:sz w:val="24"/>
              </w:rPr>
              <w:t>2</w:t>
            </w:r>
          </w:p>
        </w:tc>
        <w:tc>
          <w:tcPr>
            <w:tcW w:w="842" w:type="dxa"/>
          </w:tcPr>
          <w:p>
            <w:pPr>
              <w:pStyle w:val="TableParagraph"/>
              <w:spacing w:before="152"/>
              <w:ind w:left="12"/>
              <w:jc w:val="center"/>
              <w:rPr>
                <w:sz w:val="24"/>
              </w:rPr>
            </w:pPr>
            <w:r>
              <w:rPr>
                <w:spacing w:val="-2"/>
                <w:sz w:val="24"/>
              </w:rPr>
              <w:t>-</w:t>
            </w:r>
            <w:r>
              <w:rPr>
                <w:spacing w:val="-12"/>
                <w:sz w:val="24"/>
              </w:rPr>
              <w:t>1</w:t>
            </w:r>
          </w:p>
        </w:tc>
        <w:tc>
          <w:tcPr>
            <w:tcW w:w="1217" w:type="dxa"/>
          </w:tcPr>
          <w:p>
            <w:pPr>
              <w:pStyle w:val="TableParagraph"/>
              <w:spacing w:before="152"/>
              <w:ind w:left="10"/>
              <w:jc w:val="center"/>
              <w:rPr>
                <w:sz w:val="24"/>
              </w:rPr>
            </w:pPr>
            <w:r>
              <w:rPr>
                <w:spacing w:val="-10"/>
                <w:sz w:val="24"/>
              </w:rPr>
              <w:t>0</w:t>
            </w:r>
          </w:p>
        </w:tc>
        <w:tc>
          <w:tcPr>
            <w:tcW w:w="1072" w:type="dxa"/>
          </w:tcPr>
          <w:p>
            <w:pPr>
              <w:pStyle w:val="TableParagraph"/>
              <w:spacing w:before="152"/>
              <w:ind w:left="11"/>
              <w:jc w:val="center"/>
              <w:rPr>
                <w:sz w:val="24"/>
              </w:rPr>
            </w:pPr>
            <w:r>
              <w:rPr>
                <w:spacing w:val="-10"/>
                <w:sz w:val="24"/>
              </w:rPr>
              <w:t>1</w:t>
            </w:r>
          </w:p>
        </w:tc>
        <w:tc>
          <w:tcPr>
            <w:tcW w:w="971" w:type="dxa"/>
          </w:tcPr>
          <w:p>
            <w:pPr>
              <w:pStyle w:val="TableParagraph"/>
              <w:spacing w:before="152"/>
              <w:ind w:left="15" w:right="2"/>
              <w:jc w:val="center"/>
              <w:rPr>
                <w:sz w:val="24"/>
              </w:rPr>
            </w:pPr>
            <w:r>
              <w:rPr>
                <w:spacing w:val="-10"/>
                <w:sz w:val="24"/>
              </w:rPr>
              <w:t>2</w:t>
            </w:r>
          </w:p>
        </w:tc>
      </w:tr>
      <w:tr>
        <w:trPr>
          <w:trHeight w:val="1785" w:hRule="atLeast"/>
        </w:trPr>
        <w:tc>
          <w:tcPr>
            <w:tcW w:w="516" w:type="dxa"/>
          </w:tcPr>
          <w:p>
            <w:pPr>
              <w:pStyle w:val="TableParagraph"/>
              <w:spacing w:line="270" w:lineRule="exact"/>
              <w:ind w:left="8" w:right="56"/>
              <w:jc w:val="center"/>
              <w:rPr>
                <w:sz w:val="24"/>
              </w:rPr>
            </w:pPr>
            <w:r>
              <w:rPr>
                <w:spacing w:val="-5"/>
                <w:sz w:val="24"/>
              </w:rPr>
              <w:t>15</w:t>
            </w:r>
          </w:p>
        </w:tc>
        <w:tc>
          <w:tcPr>
            <w:tcW w:w="3821" w:type="dxa"/>
          </w:tcPr>
          <w:p>
            <w:pPr>
              <w:pStyle w:val="TableParagraph"/>
              <w:spacing w:line="276" w:lineRule="auto"/>
              <w:ind w:left="105" w:right="153"/>
              <w:rPr>
                <w:sz w:val="24"/>
              </w:rPr>
            </w:pPr>
            <w:r>
              <w:rPr>
                <w:sz w:val="24"/>
              </w:rPr>
              <w:t>Я</w:t>
            </w:r>
            <w:r>
              <w:rPr>
                <w:spacing w:val="-8"/>
                <w:sz w:val="24"/>
              </w:rPr>
              <w:t> </w:t>
            </w:r>
            <w:r>
              <w:rPr>
                <w:sz w:val="24"/>
              </w:rPr>
              <w:t>общаюсь</w:t>
            </w:r>
            <w:r>
              <w:rPr>
                <w:spacing w:val="-8"/>
                <w:sz w:val="24"/>
              </w:rPr>
              <w:t> </w:t>
            </w:r>
            <w:r>
              <w:rPr>
                <w:sz w:val="24"/>
              </w:rPr>
              <w:t>в</w:t>
            </w:r>
            <w:r>
              <w:rPr>
                <w:spacing w:val="-9"/>
                <w:sz w:val="24"/>
              </w:rPr>
              <w:t> </w:t>
            </w:r>
            <w:r>
              <w:rPr>
                <w:sz w:val="24"/>
              </w:rPr>
              <w:t>социальных</w:t>
            </w:r>
            <w:r>
              <w:rPr>
                <w:spacing w:val="-7"/>
                <w:sz w:val="24"/>
              </w:rPr>
              <w:t> </w:t>
            </w:r>
            <w:r>
              <w:rPr>
                <w:sz w:val="24"/>
              </w:rPr>
              <w:t>сетях</w:t>
            </w:r>
            <w:r>
              <w:rPr>
                <w:spacing w:val="-6"/>
                <w:sz w:val="24"/>
              </w:rPr>
              <w:t> </w:t>
            </w:r>
            <w:r>
              <w:rPr>
                <w:sz w:val="24"/>
              </w:rPr>
              <w:t>с мальчиками или девочками, приехавшими из моей страны/региона (или живущими там сейчас)</w:t>
            </w:r>
          </w:p>
        </w:tc>
        <w:tc>
          <w:tcPr>
            <w:tcW w:w="1130" w:type="dxa"/>
          </w:tcPr>
          <w:p>
            <w:pPr>
              <w:pStyle w:val="TableParagraph"/>
              <w:rPr>
                <w:i/>
                <w:sz w:val="24"/>
              </w:rPr>
            </w:pPr>
          </w:p>
          <w:p>
            <w:pPr>
              <w:pStyle w:val="TableParagraph"/>
              <w:spacing w:before="75"/>
              <w:rPr>
                <w:i/>
                <w:sz w:val="24"/>
              </w:rPr>
            </w:pPr>
          </w:p>
          <w:p>
            <w:pPr>
              <w:pStyle w:val="TableParagraph"/>
              <w:ind w:left="90" w:right="84"/>
              <w:jc w:val="center"/>
              <w:rPr>
                <w:sz w:val="24"/>
              </w:rPr>
            </w:pPr>
            <w:r>
              <w:rPr>
                <w:spacing w:val="-2"/>
                <w:sz w:val="24"/>
              </w:rPr>
              <w:t>-</w:t>
            </w:r>
            <w:r>
              <w:rPr>
                <w:spacing w:val="-12"/>
                <w:sz w:val="24"/>
              </w:rPr>
              <w:t>2</w:t>
            </w:r>
          </w:p>
        </w:tc>
        <w:tc>
          <w:tcPr>
            <w:tcW w:w="842" w:type="dxa"/>
          </w:tcPr>
          <w:p>
            <w:pPr>
              <w:pStyle w:val="TableParagraph"/>
              <w:rPr>
                <w:i/>
                <w:sz w:val="24"/>
              </w:rPr>
            </w:pPr>
          </w:p>
          <w:p>
            <w:pPr>
              <w:pStyle w:val="TableParagraph"/>
              <w:spacing w:before="75"/>
              <w:rPr>
                <w:i/>
                <w:sz w:val="24"/>
              </w:rPr>
            </w:pPr>
          </w:p>
          <w:p>
            <w:pPr>
              <w:pStyle w:val="TableParagraph"/>
              <w:ind w:left="12"/>
              <w:jc w:val="center"/>
              <w:rPr>
                <w:sz w:val="24"/>
              </w:rPr>
            </w:pPr>
            <w:r>
              <w:rPr>
                <w:spacing w:val="-2"/>
                <w:sz w:val="24"/>
              </w:rPr>
              <w:t>-</w:t>
            </w:r>
            <w:r>
              <w:rPr>
                <w:spacing w:val="-12"/>
                <w:sz w:val="24"/>
              </w:rPr>
              <w:t>1</w:t>
            </w:r>
          </w:p>
        </w:tc>
        <w:tc>
          <w:tcPr>
            <w:tcW w:w="1217" w:type="dxa"/>
          </w:tcPr>
          <w:p>
            <w:pPr>
              <w:pStyle w:val="TableParagraph"/>
              <w:rPr>
                <w:i/>
                <w:sz w:val="24"/>
              </w:rPr>
            </w:pPr>
          </w:p>
          <w:p>
            <w:pPr>
              <w:pStyle w:val="TableParagraph"/>
              <w:spacing w:before="75"/>
              <w:rPr>
                <w:i/>
                <w:sz w:val="24"/>
              </w:rPr>
            </w:pPr>
          </w:p>
          <w:p>
            <w:pPr>
              <w:pStyle w:val="TableParagraph"/>
              <w:ind w:left="10"/>
              <w:jc w:val="center"/>
              <w:rPr>
                <w:sz w:val="24"/>
              </w:rPr>
            </w:pPr>
            <w:r>
              <w:rPr>
                <w:spacing w:val="-10"/>
                <w:sz w:val="24"/>
              </w:rPr>
              <w:t>0</w:t>
            </w:r>
          </w:p>
        </w:tc>
        <w:tc>
          <w:tcPr>
            <w:tcW w:w="1072" w:type="dxa"/>
          </w:tcPr>
          <w:p>
            <w:pPr>
              <w:pStyle w:val="TableParagraph"/>
              <w:rPr>
                <w:i/>
                <w:sz w:val="24"/>
              </w:rPr>
            </w:pPr>
          </w:p>
          <w:p>
            <w:pPr>
              <w:pStyle w:val="TableParagraph"/>
              <w:spacing w:before="75"/>
              <w:rPr>
                <w:i/>
                <w:sz w:val="24"/>
              </w:rPr>
            </w:pPr>
          </w:p>
          <w:p>
            <w:pPr>
              <w:pStyle w:val="TableParagraph"/>
              <w:ind w:left="11"/>
              <w:jc w:val="center"/>
              <w:rPr>
                <w:sz w:val="24"/>
              </w:rPr>
            </w:pPr>
            <w:r>
              <w:rPr>
                <w:spacing w:val="-10"/>
                <w:sz w:val="24"/>
              </w:rPr>
              <w:t>1</w:t>
            </w:r>
          </w:p>
        </w:tc>
        <w:tc>
          <w:tcPr>
            <w:tcW w:w="971" w:type="dxa"/>
          </w:tcPr>
          <w:p>
            <w:pPr>
              <w:pStyle w:val="TableParagraph"/>
              <w:rPr>
                <w:i/>
                <w:sz w:val="24"/>
              </w:rPr>
            </w:pPr>
          </w:p>
          <w:p>
            <w:pPr>
              <w:pStyle w:val="TableParagraph"/>
              <w:spacing w:before="75"/>
              <w:rPr>
                <w:i/>
                <w:sz w:val="24"/>
              </w:rPr>
            </w:pPr>
          </w:p>
          <w:p>
            <w:pPr>
              <w:pStyle w:val="TableParagraph"/>
              <w:ind w:left="15" w:right="2"/>
              <w:jc w:val="center"/>
              <w:rPr>
                <w:sz w:val="24"/>
              </w:rPr>
            </w:pPr>
            <w:r>
              <w:rPr>
                <w:spacing w:val="-10"/>
                <w:sz w:val="24"/>
              </w:rPr>
              <w:t>2</w:t>
            </w:r>
          </w:p>
        </w:tc>
      </w:tr>
      <w:tr>
        <w:trPr>
          <w:trHeight w:val="1153" w:hRule="atLeast"/>
        </w:trPr>
        <w:tc>
          <w:tcPr>
            <w:tcW w:w="516" w:type="dxa"/>
          </w:tcPr>
          <w:p>
            <w:pPr>
              <w:pStyle w:val="TableParagraph"/>
              <w:spacing w:line="270" w:lineRule="exact"/>
              <w:ind w:left="8" w:right="56"/>
              <w:jc w:val="center"/>
              <w:rPr>
                <w:sz w:val="24"/>
              </w:rPr>
            </w:pPr>
            <w:r>
              <w:rPr>
                <w:spacing w:val="-5"/>
                <w:sz w:val="24"/>
              </w:rPr>
              <w:t>16</w:t>
            </w:r>
          </w:p>
        </w:tc>
        <w:tc>
          <w:tcPr>
            <w:tcW w:w="3821" w:type="dxa"/>
          </w:tcPr>
          <w:p>
            <w:pPr>
              <w:pStyle w:val="TableParagraph"/>
              <w:spacing w:line="276" w:lineRule="auto"/>
              <w:ind w:left="105"/>
              <w:rPr>
                <w:sz w:val="24"/>
              </w:rPr>
            </w:pPr>
            <w:r>
              <w:rPr>
                <w:sz w:val="24"/>
              </w:rPr>
              <w:t>Я</w:t>
            </w:r>
            <w:r>
              <w:rPr>
                <w:spacing w:val="-8"/>
                <w:sz w:val="24"/>
              </w:rPr>
              <w:t> </w:t>
            </w:r>
            <w:r>
              <w:rPr>
                <w:sz w:val="24"/>
              </w:rPr>
              <w:t>общаюсь</w:t>
            </w:r>
            <w:r>
              <w:rPr>
                <w:spacing w:val="-8"/>
                <w:sz w:val="24"/>
              </w:rPr>
              <w:t> </w:t>
            </w:r>
            <w:r>
              <w:rPr>
                <w:sz w:val="24"/>
              </w:rPr>
              <w:t>в</w:t>
            </w:r>
            <w:r>
              <w:rPr>
                <w:spacing w:val="-9"/>
                <w:sz w:val="24"/>
              </w:rPr>
              <w:t> </w:t>
            </w:r>
            <w:r>
              <w:rPr>
                <w:sz w:val="24"/>
              </w:rPr>
              <w:t>социальных</w:t>
            </w:r>
            <w:r>
              <w:rPr>
                <w:spacing w:val="-7"/>
                <w:sz w:val="24"/>
              </w:rPr>
              <w:t> </w:t>
            </w:r>
            <w:r>
              <w:rPr>
                <w:sz w:val="24"/>
              </w:rPr>
              <w:t>сетях</w:t>
            </w:r>
            <w:r>
              <w:rPr>
                <w:spacing w:val="-6"/>
                <w:sz w:val="24"/>
              </w:rPr>
              <w:t> </w:t>
            </w:r>
            <w:r>
              <w:rPr>
                <w:sz w:val="24"/>
              </w:rPr>
              <w:t>с мальчиками или девочками из </w:t>
            </w:r>
            <w:r>
              <w:rPr>
                <w:spacing w:val="-2"/>
                <w:sz w:val="24"/>
              </w:rPr>
              <w:t>России</w:t>
            </w:r>
          </w:p>
        </w:tc>
        <w:tc>
          <w:tcPr>
            <w:tcW w:w="1130" w:type="dxa"/>
          </w:tcPr>
          <w:p>
            <w:pPr>
              <w:pStyle w:val="TableParagraph"/>
              <w:spacing w:before="37"/>
              <w:rPr>
                <w:i/>
                <w:sz w:val="24"/>
              </w:rPr>
            </w:pPr>
          </w:p>
          <w:p>
            <w:pPr>
              <w:pStyle w:val="TableParagraph"/>
              <w:ind w:left="90" w:right="84"/>
              <w:jc w:val="center"/>
              <w:rPr>
                <w:sz w:val="24"/>
              </w:rPr>
            </w:pPr>
            <w:r>
              <w:rPr>
                <w:spacing w:val="-2"/>
                <w:sz w:val="24"/>
              </w:rPr>
              <w:t>-</w:t>
            </w:r>
            <w:r>
              <w:rPr>
                <w:spacing w:val="-12"/>
                <w:sz w:val="24"/>
              </w:rPr>
              <w:t>2</w:t>
            </w:r>
          </w:p>
        </w:tc>
        <w:tc>
          <w:tcPr>
            <w:tcW w:w="842" w:type="dxa"/>
          </w:tcPr>
          <w:p>
            <w:pPr>
              <w:pStyle w:val="TableParagraph"/>
              <w:spacing w:before="37"/>
              <w:rPr>
                <w:i/>
                <w:sz w:val="24"/>
              </w:rPr>
            </w:pPr>
          </w:p>
          <w:p>
            <w:pPr>
              <w:pStyle w:val="TableParagraph"/>
              <w:ind w:left="12"/>
              <w:jc w:val="center"/>
              <w:rPr>
                <w:sz w:val="24"/>
              </w:rPr>
            </w:pPr>
            <w:r>
              <w:rPr>
                <w:spacing w:val="-2"/>
                <w:sz w:val="24"/>
              </w:rPr>
              <w:t>-</w:t>
            </w:r>
            <w:r>
              <w:rPr>
                <w:spacing w:val="-12"/>
                <w:sz w:val="24"/>
              </w:rPr>
              <w:t>1</w:t>
            </w:r>
          </w:p>
        </w:tc>
        <w:tc>
          <w:tcPr>
            <w:tcW w:w="1217" w:type="dxa"/>
          </w:tcPr>
          <w:p>
            <w:pPr>
              <w:pStyle w:val="TableParagraph"/>
              <w:spacing w:before="37"/>
              <w:rPr>
                <w:i/>
                <w:sz w:val="24"/>
              </w:rPr>
            </w:pPr>
          </w:p>
          <w:p>
            <w:pPr>
              <w:pStyle w:val="TableParagraph"/>
              <w:ind w:left="10"/>
              <w:jc w:val="center"/>
              <w:rPr>
                <w:sz w:val="24"/>
              </w:rPr>
            </w:pPr>
            <w:r>
              <w:rPr>
                <w:spacing w:val="-10"/>
                <w:sz w:val="24"/>
              </w:rPr>
              <w:t>0</w:t>
            </w:r>
          </w:p>
        </w:tc>
        <w:tc>
          <w:tcPr>
            <w:tcW w:w="1072" w:type="dxa"/>
          </w:tcPr>
          <w:p>
            <w:pPr>
              <w:pStyle w:val="TableParagraph"/>
              <w:spacing w:before="37"/>
              <w:rPr>
                <w:i/>
                <w:sz w:val="24"/>
              </w:rPr>
            </w:pPr>
          </w:p>
          <w:p>
            <w:pPr>
              <w:pStyle w:val="TableParagraph"/>
              <w:ind w:left="11"/>
              <w:jc w:val="center"/>
              <w:rPr>
                <w:sz w:val="24"/>
              </w:rPr>
            </w:pPr>
            <w:r>
              <w:rPr>
                <w:spacing w:val="-10"/>
                <w:sz w:val="24"/>
              </w:rPr>
              <w:t>1</w:t>
            </w:r>
          </w:p>
        </w:tc>
        <w:tc>
          <w:tcPr>
            <w:tcW w:w="971" w:type="dxa"/>
          </w:tcPr>
          <w:p>
            <w:pPr>
              <w:pStyle w:val="TableParagraph"/>
              <w:spacing w:before="37"/>
              <w:rPr>
                <w:i/>
                <w:sz w:val="24"/>
              </w:rPr>
            </w:pPr>
          </w:p>
          <w:p>
            <w:pPr>
              <w:pStyle w:val="TableParagraph"/>
              <w:ind w:left="15" w:right="2"/>
              <w:jc w:val="center"/>
              <w:rPr>
                <w:sz w:val="24"/>
              </w:rPr>
            </w:pPr>
            <w:r>
              <w:rPr>
                <w:spacing w:val="-10"/>
                <w:sz w:val="24"/>
              </w:rPr>
              <w:t>2</w:t>
            </w:r>
          </w:p>
        </w:tc>
      </w:tr>
    </w:tbl>
    <w:p>
      <w:pPr>
        <w:pStyle w:val="TableParagraph"/>
        <w:spacing w:after="0"/>
        <w:jc w:val="center"/>
        <w:rPr>
          <w:sz w:val="24"/>
        </w:rPr>
        <w:sectPr>
          <w:type w:val="continuous"/>
          <w:pgSz w:w="11910" w:h="16840"/>
          <w:pgMar w:header="0" w:footer="970" w:top="1100" w:bottom="1220" w:left="1417" w:right="283"/>
        </w:sectPr>
      </w:pPr>
    </w:p>
    <w:p>
      <w:pPr>
        <w:pStyle w:val="Heading5"/>
        <w:spacing w:before="67"/>
      </w:pPr>
      <w:r>
        <w:rPr/>
        <w:t>Оцени,</w:t>
      </w:r>
      <w:r>
        <w:rPr>
          <w:spacing w:val="-10"/>
        </w:rPr>
        <w:t> </w:t>
      </w:r>
      <w:r>
        <w:rPr/>
        <w:t>пожалуйста,</w:t>
      </w:r>
      <w:r>
        <w:rPr>
          <w:spacing w:val="-7"/>
        </w:rPr>
        <w:t> </w:t>
      </w:r>
      <w:r>
        <w:rPr/>
        <w:t>степень</w:t>
      </w:r>
      <w:r>
        <w:rPr>
          <w:spacing w:val="-7"/>
        </w:rPr>
        <w:t> </w:t>
      </w:r>
      <w:r>
        <w:rPr/>
        <w:t>своего</w:t>
      </w:r>
      <w:r>
        <w:rPr>
          <w:spacing w:val="-5"/>
        </w:rPr>
        <w:t> </w:t>
      </w:r>
      <w:r>
        <w:rPr/>
        <w:t>согласия</w:t>
      </w:r>
      <w:r>
        <w:rPr>
          <w:spacing w:val="-7"/>
        </w:rPr>
        <w:t> </w:t>
      </w:r>
      <w:r>
        <w:rPr/>
        <w:t>с</w:t>
      </w:r>
      <w:r>
        <w:rPr>
          <w:spacing w:val="-7"/>
        </w:rPr>
        <w:t> </w:t>
      </w:r>
      <w:r>
        <w:rPr/>
        <w:t>утверждениями</w:t>
      </w:r>
      <w:r>
        <w:rPr>
          <w:spacing w:val="-6"/>
        </w:rPr>
        <w:t> </w:t>
      </w:r>
      <w:r>
        <w:rPr/>
        <w:t>по</w:t>
      </w:r>
      <w:r>
        <w:rPr>
          <w:spacing w:val="-5"/>
        </w:rPr>
        <w:t> </w:t>
      </w:r>
      <w:r>
        <w:rPr/>
        <w:t>шкале</w:t>
      </w:r>
      <w:r>
        <w:rPr>
          <w:spacing w:val="-8"/>
        </w:rPr>
        <w:t> </w:t>
      </w:r>
      <w:r>
        <w:rPr>
          <w:spacing w:val="-5"/>
        </w:rPr>
        <w:t>от</w:t>
      </w:r>
    </w:p>
    <w:p>
      <w:pPr>
        <w:pStyle w:val="Heading5"/>
        <w:spacing w:before="3"/>
      </w:pPr>
      <w:r>
        <w:rPr/>
        <w:t>-2</w:t>
      </w:r>
      <w:r>
        <w:rPr>
          <w:spacing w:val="-6"/>
        </w:rPr>
        <w:t> </w:t>
      </w:r>
      <w:r>
        <w:rPr/>
        <w:t>—</w:t>
      </w:r>
      <w:r>
        <w:rPr>
          <w:spacing w:val="-4"/>
        </w:rPr>
        <w:t> </w:t>
      </w:r>
      <w:r>
        <w:rPr/>
        <w:t>полностью</w:t>
      </w:r>
      <w:r>
        <w:rPr>
          <w:spacing w:val="-5"/>
        </w:rPr>
        <w:t> </w:t>
      </w:r>
      <w:r>
        <w:rPr/>
        <w:t>НЕ</w:t>
      </w:r>
      <w:r>
        <w:rPr>
          <w:spacing w:val="-4"/>
        </w:rPr>
        <w:t> </w:t>
      </w:r>
      <w:r>
        <w:rPr/>
        <w:t>согласен</w:t>
      </w:r>
      <w:r>
        <w:rPr>
          <w:spacing w:val="-4"/>
        </w:rPr>
        <w:t> </w:t>
      </w:r>
      <w:r>
        <w:rPr/>
        <w:t>до</w:t>
      </w:r>
      <w:r>
        <w:rPr>
          <w:spacing w:val="-2"/>
        </w:rPr>
        <w:t> </w:t>
      </w:r>
      <w:r>
        <w:rPr/>
        <w:t>2</w:t>
      </w:r>
      <w:r>
        <w:rPr>
          <w:spacing w:val="-3"/>
        </w:rPr>
        <w:t> </w:t>
      </w:r>
      <w:r>
        <w:rPr/>
        <w:t>—</w:t>
      </w:r>
      <w:r>
        <w:rPr>
          <w:spacing w:val="-4"/>
        </w:rPr>
        <w:t> </w:t>
      </w:r>
      <w:r>
        <w:rPr/>
        <w:t>полностью</w:t>
      </w:r>
      <w:r>
        <w:rPr>
          <w:spacing w:val="-5"/>
        </w:rPr>
        <w:t> </w:t>
      </w:r>
      <w:r>
        <w:rPr>
          <w:spacing w:val="-2"/>
        </w:rPr>
        <w:t>согласен.</w:t>
      </w:r>
    </w:p>
    <w:p>
      <w:pPr>
        <w:pStyle w:val="BodyText"/>
        <w:spacing w:before="52"/>
        <w:ind w:left="0" w:right="0" w:firstLine="0"/>
        <w:jc w:val="left"/>
        <w:rPr>
          <w:i/>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
        <w:gridCol w:w="3581"/>
        <w:gridCol w:w="1133"/>
        <w:gridCol w:w="1135"/>
        <w:gridCol w:w="1133"/>
        <w:gridCol w:w="993"/>
        <w:gridCol w:w="1103"/>
      </w:tblGrid>
      <w:tr>
        <w:trPr>
          <w:trHeight w:val="1362" w:hRule="atLeast"/>
        </w:trPr>
        <w:tc>
          <w:tcPr>
            <w:tcW w:w="492" w:type="dxa"/>
          </w:tcPr>
          <w:p>
            <w:pPr>
              <w:pStyle w:val="TableParagraph"/>
              <w:spacing w:before="145"/>
              <w:rPr>
                <w:i/>
                <w:sz w:val="24"/>
              </w:rPr>
            </w:pPr>
          </w:p>
          <w:p>
            <w:pPr>
              <w:pStyle w:val="TableParagraph"/>
              <w:ind w:left="124"/>
              <w:rPr>
                <w:b/>
                <w:sz w:val="24"/>
              </w:rPr>
            </w:pPr>
            <w:r>
              <w:rPr>
                <w:b/>
                <w:spacing w:val="-10"/>
                <w:sz w:val="24"/>
              </w:rPr>
              <w:t>№</w:t>
            </w:r>
          </w:p>
        </w:tc>
        <w:tc>
          <w:tcPr>
            <w:tcW w:w="3581" w:type="dxa"/>
          </w:tcPr>
          <w:p>
            <w:pPr>
              <w:pStyle w:val="TableParagraph"/>
              <w:spacing w:before="145"/>
              <w:rPr>
                <w:i/>
                <w:sz w:val="24"/>
              </w:rPr>
            </w:pPr>
          </w:p>
          <w:p>
            <w:pPr>
              <w:pStyle w:val="TableParagraph"/>
              <w:ind w:left="1050"/>
              <w:rPr>
                <w:b/>
                <w:sz w:val="24"/>
              </w:rPr>
            </w:pPr>
            <w:r>
              <w:rPr>
                <w:b/>
                <w:spacing w:val="-2"/>
                <w:sz w:val="24"/>
              </w:rPr>
              <w:t>Утверждения</w:t>
            </w:r>
          </w:p>
        </w:tc>
        <w:tc>
          <w:tcPr>
            <w:tcW w:w="1133" w:type="dxa"/>
          </w:tcPr>
          <w:p>
            <w:pPr>
              <w:pStyle w:val="TableParagraph"/>
              <w:spacing w:line="276" w:lineRule="auto" w:before="140"/>
              <w:ind w:left="261" w:hanging="118"/>
              <w:rPr>
                <w:i/>
                <w:sz w:val="22"/>
              </w:rPr>
            </w:pPr>
            <w:r>
              <w:rPr>
                <w:i/>
                <w:spacing w:val="-2"/>
                <w:sz w:val="22"/>
              </w:rPr>
              <w:t>Полност </w:t>
            </w:r>
            <w:r>
              <w:rPr>
                <w:i/>
                <w:sz w:val="22"/>
              </w:rPr>
              <w:t>ью НЕ</w:t>
            </w:r>
          </w:p>
          <w:p>
            <w:pPr>
              <w:pStyle w:val="TableParagraph"/>
              <w:spacing w:line="252" w:lineRule="exact"/>
              <w:ind w:left="160"/>
              <w:rPr>
                <w:i/>
                <w:sz w:val="22"/>
              </w:rPr>
            </w:pPr>
            <w:r>
              <w:rPr>
                <w:i/>
                <w:spacing w:val="-2"/>
                <w:sz w:val="22"/>
              </w:rPr>
              <w:t>согласен</w:t>
            </w:r>
          </w:p>
        </w:tc>
        <w:tc>
          <w:tcPr>
            <w:tcW w:w="1135" w:type="dxa"/>
          </w:tcPr>
          <w:p>
            <w:pPr>
              <w:pStyle w:val="TableParagraph"/>
              <w:spacing w:line="276" w:lineRule="auto" w:before="140"/>
              <w:ind w:left="120" w:right="110"/>
              <w:jc w:val="center"/>
              <w:rPr>
                <w:i/>
                <w:sz w:val="22"/>
              </w:rPr>
            </w:pPr>
            <w:r>
              <w:rPr>
                <w:i/>
                <w:spacing w:val="-2"/>
                <w:sz w:val="22"/>
              </w:rPr>
              <w:t>Скорее </w:t>
            </w:r>
            <w:r>
              <w:rPr>
                <w:i/>
                <w:spacing w:val="-6"/>
                <w:sz w:val="22"/>
              </w:rPr>
              <w:t>НЕ</w:t>
            </w:r>
          </w:p>
          <w:p>
            <w:pPr>
              <w:pStyle w:val="TableParagraph"/>
              <w:spacing w:line="252" w:lineRule="exact"/>
              <w:ind w:left="7"/>
              <w:jc w:val="center"/>
              <w:rPr>
                <w:i/>
                <w:sz w:val="22"/>
              </w:rPr>
            </w:pPr>
            <w:r>
              <w:rPr>
                <w:i/>
                <w:spacing w:val="-2"/>
                <w:sz w:val="22"/>
              </w:rPr>
              <w:t>согласен</w:t>
            </w:r>
          </w:p>
        </w:tc>
        <w:tc>
          <w:tcPr>
            <w:tcW w:w="1133" w:type="dxa"/>
          </w:tcPr>
          <w:p>
            <w:pPr>
              <w:pStyle w:val="TableParagraph"/>
              <w:spacing w:line="276" w:lineRule="auto"/>
              <w:ind w:left="118" w:right="108"/>
              <w:jc w:val="center"/>
              <w:rPr>
                <w:i/>
                <w:sz w:val="22"/>
              </w:rPr>
            </w:pPr>
            <w:r>
              <w:rPr>
                <w:i/>
                <w:sz w:val="22"/>
              </w:rPr>
              <w:t>В</w:t>
            </w:r>
            <w:r>
              <w:rPr>
                <w:i/>
                <w:spacing w:val="-14"/>
                <w:sz w:val="22"/>
              </w:rPr>
              <w:t> </w:t>
            </w:r>
            <w:r>
              <w:rPr>
                <w:i/>
                <w:sz w:val="22"/>
              </w:rPr>
              <w:t>чем-</w:t>
            </w:r>
            <w:r>
              <w:rPr>
                <w:i/>
                <w:sz w:val="22"/>
              </w:rPr>
              <w:t>то </w:t>
            </w:r>
            <w:r>
              <w:rPr>
                <w:i/>
                <w:spacing w:val="-2"/>
                <w:sz w:val="22"/>
              </w:rPr>
              <w:t>согласен, </w:t>
            </w:r>
            <w:r>
              <w:rPr>
                <w:i/>
                <w:sz w:val="22"/>
              </w:rPr>
              <w:t>в чем-то </w:t>
            </w:r>
            <w:r>
              <w:rPr>
                <w:i/>
                <w:spacing w:val="-4"/>
                <w:sz w:val="22"/>
              </w:rPr>
              <w:t>нет</w:t>
            </w:r>
          </w:p>
        </w:tc>
        <w:tc>
          <w:tcPr>
            <w:tcW w:w="993" w:type="dxa"/>
          </w:tcPr>
          <w:p>
            <w:pPr>
              <w:pStyle w:val="TableParagraph"/>
              <w:spacing w:line="276" w:lineRule="auto" w:before="140"/>
              <w:ind w:left="149" w:right="135" w:hanging="1"/>
              <w:jc w:val="center"/>
              <w:rPr>
                <w:i/>
                <w:sz w:val="22"/>
              </w:rPr>
            </w:pPr>
            <w:r>
              <w:rPr>
                <w:i/>
                <w:spacing w:val="-2"/>
                <w:sz w:val="22"/>
              </w:rPr>
              <w:t>Скорее согласе </w:t>
            </w:r>
            <w:r>
              <w:rPr>
                <w:i/>
                <w:spacing w:val="-10"/>
                <w:sz w:val="22"/>
              </w:rPr>
              <w:t>н</w:t>
            </w:r>
          </w:p>
        </w:tc>
        <w:tc>
          <w:tcPr>
            <w:tcW w:w="1103" w:type="dxa"/>
          </w:tcPr>
          <w:p>
            <w:pPr>
              <w:pStyle w:val="TableParagraph"/>
              <w:spacing w:line="276" w:lineRule="auto" w:before="140"/>
              <w:ind w:left="423" w:right="114" w:hanging="291"/>
              <w:rPr>
                <w:i/>
                <w:sz w:val="22"/>
              </w:rPr>
            </w:pPr>
            <w:r>
              <w:rPr>
                <w:i/>
                <w:spacing w:val="-2"/>
                <w:sz w:val="22"/>
              </w:rPr>
              <w:t>Полност </w:t>
            </w:r>
            <w:r>
              <w:rPr>
                <w:i/>
                <w:spacing w:val="-6"/>
                <w:sz w:val="22"/>
              </w:rPr>
              <w:t>ью</w:t>
            </w:r>
          </w:p>
          <w:p>
            <w:pPr>
              <w:pStyle w:val="TableParagraph"/>
              <w:spacing w:line="252" w:lineRule="exact"/>
              <w:ind w:left="150"/>
              <w:rPr>
                <w:i/>
                <w:sz w:val="22"/>
              </w:rPr>
            </w:pPr>
            <w:r>
              <w:rPr>
                <w:i/>
                <w:spacing w:val="-2"/>
                <w:sz w:val="22"/>
              </w:rPr>
              <w:t>согласен</w:t>
            </w:r>
          </w:p>
        </w:tc>
      </w:tr>
      <w:tr>
        <w:trPr>
          <w:trHeight w:val="1151" w:hRule="atLeast"/>
        </w:trPr>
        <w:tc>
          <w:tcPr>
            <w:tcW w:w="492" w:type="dxa"/>
          </w:tcPr>
          <w:p>
            <w:pPr>
              <w:pStyle w:val="TableParagraph"/>
              <w:spacing w:line="268" w:lineRule="exact"/>
              <w:ind w:left="107"/>
              <w:rPr>
                <w:sz w:val="24"/>
              </w:rPr>
            </w:pPr>
            <w:r>
              <w:rPr>
                <w:spacing w:val="-5"/>
                <w:sz w:val="24"/>
              </w:rPr>
              <w:t>1.</w:t>
            </w:r>
          </w:p>
        </w:tc>
        <w:tc>
          <w:tcPr>
            <w:tcW w:w="3581" w:type="dxa"/>
          </w:tcPr>
          <w:p>
            <w:pPr>
              <w:pStyle w:val="TableParagraph"/>
              <w:spacing w:line="276" w:lineRule="auto"/>
              <w:ind w:left="105"/>
              <w:rPr>
                <w:sz w:val="24"/>
              </w:rPr>
            </w:pPr>
            <w:r>
              <w:rPr>
                <w:sz w:val="24"/>
              </w:rPr>
              <w:t>У</w:t>
            </w:r>
            <w:r>
              <w:rPr>
                <w:spacing w:val="-10"/>
                <w:sz w:val="24"/>
              </w:rPr>
              <w:t> </w:t>
            </w:r>
            <w:r>
              <w:rPr>
                <w:sz w:val="24"/>
              </w:rPr>
              <w:t>меня</w:t>
            </w:r>
            <w:r>
              <w:rPr>
                <w:spacing w:val="-10"/>
                <w:sz w:val="24"/>
              </w:rPr>
              <w:t> </w:t>
            </w:r>
            <w:r>
              <w:rPr>
                <w:sz w:val="24"/>
              </w:rPr>
              <w:t>есть</w:t>
            </w:r>
            <w:r>
              <w:rPr>
                <w:spacing w:val="-9"/>
                <w:sz w:val="24"/>
              </w:rPr>
              <w:t> </w:t>
            </w:r>
            <w:r>
              <w:rPr>
                <w:sz w:val="24"/>
              </w:rPr>
              <w:t>друзья,</w:t>
            </w:r>
            <w:r>
              <w:rPr>
                <w:spacing w:val="-10"/>
                <w:sz w:val="24"/>
              </w:rPr>
              <w:t> </w:t>
            </w:r>
            <w:r>
              <w:rPr>
                <w:sz w:val="24"/>
              </w:rPr>
              <w:t>приехавшие из моей страны/региона (или живущие там сейчас)</w:t>
            </w:r>
          </w:p>
        </w:tc>
        <w:tc>
          <w:tcPr>
            <w:tcW w:w="1133" w:type="dxa"/>
          </w:tcPr>
          <w:p>
            <w:pPr>
              <w:pStyle w:val="TableParagraph"/>
              <w:spacing w:before="37"/>
              <w:rPr>
                <w:i/>
                <w:sz w:val="24"/>
              </w:rPr>
            </w:pPr>
          </w:p>
          <w:p>
            <w:pPr>
              <w:pStyle w:val="TableParagraph"/>
              <w:ind w:left="2"/>
              <w:jc w:val="center"/>
              <w:rPr>
                <w:sz w:val="24"/>
              </w:rPr>
            </w:pPr>
            <w:r>
              <w:rPr>
                <w:spacing w:val="-2"/>
                <w:sz w:val="24"/>
              </w:rPr>
              <w:t>-</w:t>
            </w:r>
            <w:r>
              <w:rPr>
                <w:spacing w:val="-12"/>
                <w:sz w:val="24"/>
              </w:rPr>
              <w:t>2</w:t>
            </w:r>
          </w:p>
        </w:tc>
        <w:tc>
          <w:tcPr>
            <w:tcW w:w="1135" w:type="dxa"/>
          </w:tcPr>
          <w:p>
            <w:pPr>
              <w:pStyle w:val="TableParagraph"/>
              <w:spacing w:before="37"/>
              <w:rPr>
                <w:i/>
                <w:sz w:val="24"/>
              </w:rPr>
            </w:pPr>
          </w:p>
          <w:p>
            <w:pPr>
              <w:pStyle w:val="TableParagraph"/>
              <w:ind w:left="6"/>
              <w:jc w:val="center"/>
              <w:rPr>
                <w:sz w:val="24"/>
              </w:rPr>
            </w:pPr>
            <w:r>
              <w:rPr>
                <w:spacing w:val="-2"/>
                <w:sz w:val="24"/>
              </w:rPr>
              <w:t>-</w:t>
            </w:r>
            <w:r>
              <w:rPr>
                <w:spacing w:val="-12"/>
                <w:sz w:val="24"/>
              </w:rPr>
              <w:t>1</w:t>
            </w:r>
          </w:p>
        </w:tc>
        <w:tc>
          <w:tcPr>
            <w:tcW w:w="1133" w:type="dxa"/>
          </w:tcPr>
          <w:p>
            <w:pPr>
              <w:pStyle w:val="TableParagraph"/>
              <w:spacing w:before="37"/>
              <w:rPr>
                <w:i/>
                <w:sz w:val="24"/>
              </w:rPr>
            </w:pPr>
          </w:p>
          <w:p>
            <w:pPr>
              <w:pStyle w:val="TableParagraph"/>
              <w:ind w:left="118" w:right="108"/>
              <w:jc w:val="center"/>
              <w:rPr>
                <w:sz w:val="24"/>
              </w:rPr>
            </w:pPr>
            <w:r>
              <w:rPr>
                <w:spacing w:val="-10"/>
                <w:sz w:val="24"/>
              </w:rPr>
              <w:t>0</w:t>
            </w:r>
          </w:p>
        </w:tc>
        <w:tc>
          <w:tcPr>
            <w:tcW w:w="993" w:type="dxa"/>
          </w:tcPr>
          <w:p>
            <w:pPr>
              <w:pStyle w:val="TableParagraph"/>
              <w:spacing w:before="37"/>
              <w:rPr>
                <w:i/>
                <w:sz w:val="24"/>
              </w:rPr>
            </w:pPr>
          </w:p>
          <w:p>
            <w:pPr>
              <w:pStyle w:val="TableParagraph"/>
              <w:ind w:left="12"/>
              <w:jc w:val="center"/>
              <w:rPr>
                <w:sz w:val="24"/>
              </w:rPr>
            </w:pPr>
            <w:r>
              <w:rPr>
                <w:spacing w:val="-10"/>
                <w:sz w:val="24"/>
              </w:rPr>
              <w:t>1</w:t>
            </w:r>
          </w:p>
        </w:tc>
        <w:tc>
          <w:tcPr>
            <w:tcW w:w="1103" w:type="dxa"/>
          </w:tcPr>
          <w:p>
            <w:pPr>
              <w:pStyle w:val="TableParagraph"/>
              <w:spacing w:before="37"/>
              <w:rPr>
                <w:i/>
                <w:sz w:val="24"/>
              </w:rPr>
            </w:pPr>
          </w:p>
          <w:p>
            <w:pPr>
              <w:pStyle w:val="TableParagraph"/>
              <w:ind w:left="14"/>
              <w:jc w:val="center"/>
              <w:rPr>
                <w:sz w:val="24"/>
              </w:rPr>
            </w:pPr>
            <w:r>
              <w:rPr>
                <w:spacing w:val="-10"/>
                <w:sz w:val="24"/>
              </w:rPr>
              <w:t>2</w:t>
            </w:r>
          </w:p>
        </w:tc>
      </w:tr>
      <w:tr>
        <w:trPr>
          <w:trHeight w:val="518" w:hRule="atLeast"/>
        </w:trPr>
        <w:tc>
          <w:tcPr>
            <w:tcW w:w="492" w:type="dxa"/>
          </w:tcPr>
          <w:p>
            <w:pPr>
              <w:pStyle w:val="TableParagraph"/>
              <w:spacing w:line="271" w:lineRule="exact"/>
              <w:ind w:left="107"/>
              <w:rPr>
                <w:sz w:val="24"/>
              </w:rPr>
            </w:pPr>
            <w:r>
              <w:rPr>
                <w:spacing w:val="-5"/>
                <w:sz w:val="24"/>
              </w:rPr>
              <w:t>2.</w:t>
            </w:r>
          </w:p>
        </w:tc>
        <w:tc>
          <w:tcPr>
            <w:tcW w:w="3581" w:type="dxa"/>
          </w:tcPr>
          <w:p>
            <w:pPr>
              <w:pStyle w:val="TableParagraph"/>
              <w:spacing w:line="273" w:lineRule="exact"/>
              <w:ind w:left="105"/>
              <w:rPr>
                <w:sz w:val="24"/>
              </w:rPr>
            </w:pPr>
            <w:r>
              <w:rPr>
                <w:sz w:val="24"/>
              </w:rPr>
              <w:t>У</w:t>
            </w:r>
            <w:r>
              <w:rPr>
                <w:spacing w:val="-5"/>
                <w:sz w:val="24"/>
              </w:rPr>
              <w:t> </w:t>
            </w:r>
            <w:r>
              <w:rPr>
                <w:sz w:val="24"/>
              </w:rPr>
              <w:t>меня</w:t>
            </w:r>
            <w:r>
              <w:rPr>
                <w:spacing w:val="-2"/>
                <w:sz w:val="24"/>
              </w:rPr>
              <w:t> </w:t>
            </w:r>
            <w:r>
              <w:rPr>
                <w:sz w:val="24"/>
              </w:rPr>
              <w:t>есть</w:t>
            </w:r>
            <w:r>
              <w:rPr>
                <w:spacing w:val="-1"/>
                <w:sz w:val="24"/>
              </w:rPr>
              <w:t> </w:t>
            </w:r>
            <w:r>
              <w:rPr>
                <w:sz w:val="24"/>
              </w:rPr>
              <w:t>друзья</w:t>
            </w:r>
            <w:r>
              <w:rPr>
                <w:spacing w:val="-2"/>
                <w:sz w:val="24"/>
              </w:rPr>
              <w:t> </w:t>
            </w:r>
            <w:r>
              <w:rPr>
                <w:sz w:val="24"/>
              </w:rPr>
              <w:t>из</w:t>
            </w:r>
            <w:r>
              <w:rPr>
                <w:spacing w:val="-2"/>
                <w:sz w:val="24"/>
              </w:rPr>
              <w:t> России</w:t>
            </w:r>
          </w:p>
        </w:tc>
        <w:tc>
          <w:tcPr>
            <w:tcW w:w="1133" w:type="dxa"/>
          </w:tcPr>
          <w:p>
            <w:pPr>
              <w:pStyle w:val="TableParagraph"/>
              <w:spacing w:line="273" w:lineRule="exact"/>
              <w:ind w:left="2"/>
              <w:jc w:val="center"/>
              <w:rPr>
                <w:sz w:val="24"/>
              </w:rPr>
            </w:pPr>
            <w:r>
              <w:rPr>
                <w:spacing w:val="-2"/>
                <w:sz w:val="24"/>
              </w:rPr>
              <w:t>-</w:t>
            </w:r>
            <w:r>
              <w:rPr>
                <w:spacing w:val="-12"/>
                <w:sz w:val="24"/>
              </w:rPr>
              <w:t>2</w:t>
            </w:r>
          </w:p>
        </w:tc>
        <w:tc>
          <w:tcPr>
            <w:tcW w:w="1135" w:type="dxa"/>
          </w:tcPr>
          <w:p>
            <w:pPr>
              <w:pStyle w:val="TableParagraph"/>
              <w:spacing w:line="273" w:lineRule="exact"/>
              <w:ind w:left="6"/>
              <w:jc w:val="center"/>
              <w:rPr>
                <w:sz w:val="24"/>
              </w:rPr>
            </w:pPr>
            <w:r>
              <w:rPr>
                <w:spacing w:val="-2"/>
                <w:sz w:val="24"/>
              </w:rPr>
              <w:t>-</w:t>
            </w:r>
            <w:r>
              <w:rPr>
                <w:spacing w:val="-12"/>
                <w:sz w:val="24"/>
              </w:rPr>
              <w:t>1</w:t>
            </w:r>
          </w:p>
        </w:tc>
        <w:tc>
          <w:tcPr>
            <w:tcW w:w="1133" w:type="dxa"/>
          </w:tcPr>
          <w:p>
            <w:pPr>
              <w:pStyle w:val="TableParagraph"/>
              <w:spacing w:line="273" w:lineRule="exact"/>
              <w:ind w:left="118" w:right="108"/>
              <w:jc w:val="center"/>
              <w:rPr>
                <w:sz w:val="24"/>
              </w:rPr>
            </w:pPr>
            <w:r>
              <w:rPr>
                <w:spacing w:val="-10"/>
                <w:sz w:val="24"/>
              </w:rPr>
              <w:t>0</w:t>
            </w:r>
          </w:p>
        </w:tc>
        <w:tc>
          <w:tcPr>
            <w:tcW w:w="993" w:type="dxa"/>
          </w:tcPr>
          <w:p>
            <w:pPr>
              <w:pStyle w:val="TableParagraph"/>
              <w:spacing w:line="273" w:lineRule="exact"/>
              <w:ind w:left="12"/>
              <w:jc w:val="center"/>
              <w:rPr>
                <w:sz w:val="24"/>
              </w:rPr>
            </w:pPr>
            <w:r>
              <w:rPr>
                <w:spacing w:val="-10"/>
                <w:sz w:val="24"/>
              </w:rPr>
              <w:t>1</w:t>
            </w:r>
          </w:p>
        </w:tc>
        <w:tc>
          <w:tcPr>
            <w:tcW w:w="1103" w:type="dxa"/>
          </w:tcPr>
          <w:p>
            <w:pPr>
              <w:pStyle w:val="TableParagraph"/>
              <w:spacing w:line="273" w:lineRule="exact"/>
              <w:ind w:left="14"/>
              <w:jc w:val="center"/>
              <w:rPr>
                <w:sz w:val="24"/>
              </w:rPr>
            </w:pPr>
            <w:r>
              <w:rPr>
                <w:spacing w:val="-10"/>
                <w:sz w:val="24"/>
              </w:rPr>
              <w:t>2</w:t>
            </w:r>
          </w:p>
        </w:tc>
      </w:tr>
      <w:tr>
        <w:trPr>
          <w:trHeight w:val="834" w:hRule="atLeast"/>
        </w:trPr>
        <w:tc>
          <w:tcPr>
            <w:tcW w:w="492" w:type="dxa"/>
          </w:tcPr>
          <w:p>
            <w:pPr>
              <w:pStyle w:val="TableParagraph"/>
              <w:spacing w:line="268" w:lineRule="exact"/>
              <w:ind w:left="107"/>
              <w:rPr>
                <w:sz w:val="24"/>
              </w:rPr>
            </w:pPr>
            <w:r>
              <w:rPr>
                <w:spacing w:val="-5"/>
                <w:sz w:val="24"/>
              </w:rPr>
              <w:t>3.</w:t>
            </w:r>
          </w:p>
        </w:tc>
        <w:tc>
          <w:tcPr>
            <w:tcW w:w="3581" w:type="dxa"/>
          </w:tcPr>
          <w:p>
            <w:pPr>
              <w:pStyle w:val="TableParagraph"/>
              <w:spacing w:line="278" w:lineRule="auto"/>
              <w:ind w:left="105"/>
              <w:rPr>
                <w:sz w:val="24"/>
              </w:rPr>
            </w:pPr>
            <w:r>
              <w:rPr>
                <w:sz w:val="24"/>
              </w:rPr>
              <w:t>Мне</w:t>
            </w:r>
            <w:r>
              <w:rPr>
                <w:spacing w:val="-8"/>
                <w:sz w:val="24"/>
              </w:rPr>
              <w:t> </w:t>
            </w:r>
            <w:r>
              <w:rPr>
                <w:sz w:val="24"/>
              </w:rPr>
              <w:t>нравится</w:t>
            </w:r>
            <w:r>
              <w:rPr>
                <w:spacing w:val="-7"/>
                <w:sz w:val="24"/>
              </w:rPr>
              <w:t> </w:t>
            </w:r>
            <w:r>
              <w:rPr>
                <w:sz w:val="24"/>
              </w:rPr>
              <w:t>жить</w:t>
            </w:r>
            <w:r>
              <w:rPr>
                <w:spacing w:val="-5"/>
                <w:sz w:val="24"/>
              </w:rPr>
              <w:t> </w:t>
            </w:r>
            <w:r>
              <w:rPr>
                <w:sz w:val="24"/>
              </w:rPr>
              <w:t>у</w:t>
            </w:r>
            <w:r>
              <w:rPr>
                <w:spacing w:val="-14"/>
                <w:sz w:val="24"/>
              </w:rPr>
              <w:t> </w:t>
            </w:r>
            <w:r>
              <w:rPr>
                <w:sz w:val="24"/>
              </w:rPr>
              <w:t>меня</w:t>
            </w:r>
            <w:r>
              <w:rPr>
                <w:spacing w:val="-7"/>
                <w:sz w:val="24"/>
              </w:rPr>
              <w:t> </w:t>
            </w:r>
            <w:r>
              <w:rPr>
                <w:sz w:val="24"/>
              </w:rPr>
              <w:t>на </w:t>
            </w:r>
            <w:r>
              <w:rPr>
                <w:spacing w:val="-2"/>
                <w:sz w:val="24"/>
              </w:rPr>
              <w:t>родине</w:t>
            </w:r>
          </w:p>
        </w:tc>
        <w:tc>
          <w:tcPr>
            <w:tcW w:w="1133" w:type="dxa"/>
          </w:tcPr>
          <w:p>
            <w:pPr>
              <w:pStyle w:val="TableParagraph"/>
              <w:spacing w:before="152"/>
              <w:ind w:left="2"/>
              <w:jc w:val="center"/>
              <w:rPr>
                <w:sz w:val="24"/>
              </w:rPr>
            </w:pPr>
            <w:r>
              <w:rPr>
                <w:spacing w:val="-2"/>
                <w:sz w:val="24"/>
              </w:rPr>
              <w:t>-</w:t>
            </w:r>
            <w:r>
              <w:rPr>
                <w:spacing w:val="-12"/>
                <w:sz w:val="24"/>
              </w:rPr>
              <w:t>2</w:t>
            </w:r>
          </w:p>
        </w:tc>
        <w:tc>
          <w:tcPr>
            <w:tcW w:w="1135" w:type="dxa"/>
          </w:tcPr>
          <w:p>
            <w:pPr>
              <w:pStyle w:val="TableParagraph"/>
              <w:spacing w:before="152"/>
              <w:ind w:left="6"/>
              <w:jc w:val="center"/>
              <w:rPr>
                <w:sz w:val="24"/>
              </w:rPr>
            </w:pPr>
            <w:r>
              <w:rPr>
                <w:spacing w:val="-2"/>
                <w:sz w:val="24"/>
              </w:rPr>
              <w:t>-</w:t>
            </w:r>
            <w:r>
              <w:rPr>
                <w:spacing w:val="-12"/>
                <w:sz w:val="24"/>
              </w:rPr>
              <w:t>1</w:t>
            </w:r>
          </w:p>
        </w:tc>
        <w:tc>
          <w:tcPr>
            <w:tcW w:w="1133" w:type="dxa"/>
          </w:tcPr>
          <w:p>
            <w:pPr>
              <w:pStyle w:val="TableParagraph"/>
              <w:spacing w:before="152"/>
              <w:ind w:left="118" w:right="108"/>
              <w:jc w:val="center"/>
              <w:rPr>
                <w:sz w:val="24"/>
              </w:rPr>
            </w:pPr>
            <w:r>
              <w:rPr>
                <w:spacing w:val="-10"/>
                <w:sz w:val="24"/>
              </w:rPr>
              <w:t>0</w:t>
            </w:r>
          </w:p>
        </w:tc>
        <w:tc>
          <w:tcPr>
            <w:tcW w:w="993" w:type="dxa"/>
          </w:tcPr>
          <w:p>
            <w:pPr>
              <w:pStyle w:val="TableParagraph"/>
              <w:spacing w:before="152"/>
              <w:ind w:left="12"/>
              <w:jc w:val="center"/>
              <w:rPr>
                <w:sz w:val="24"/>
              </w:rPr>
            </w:pPr>
            <w:r>
              <w:rPr>
                <w:spacing w:val="-10"/>
                <w:sz w:val="24"/>
              </w:rPr>
              <w:t>1</w:t>
            </w:r>
          </w:p>
        </w:tc>
        <w:tc>
          <w:tcPr>
            <w:tcW w:w="1103" w:type="dxa"/>
          </w:tcPr>
          <w:p>
            <w:pPr>
              <w:pStyle w:val="TableParagraph"/>
              <w:spacing w:before="152"/>
              <w:ind w:left="14"/>
              <w:jc w:val="center"/>
              <w:rPr>
                <w:sz w:val="24"/>
              </w:rPr>
            </w:pPr>
            <w:r>
              <w:rPr>
                <w:spacing w:val="-10"/>
                <w:sz w:val="24"/>
              </w:rPr>
              <w:t>2</w:t>
            </w:r>
          </w:p>
        </w:tc>
      </w:tr>
      <w:tr>
        <w:trPr>
          <w:trHeight w:val="518" w:hRule="atLeast"/>
        </w:trPr>
        <w:tc>
          <w:tcPr>
            <w:tcW w:w="492" w:type="dxa"/>
          </w:tcPr>
          <w:p>
            <w:pPr>
              <w:pStyle w:val="TableParagraph"/>
              <w:spacing w:line="268" w:lineRule="exact"/>
              <w:ind w:left="107"/>
              <w:rPr>
                <w:sz w:val="24"/>
              </w:rPr>
            </w:pPr>
            <w:r>
              <w:rPr>
                <w:spacing w:val="-5"/>
                <w:sz w:val="24"/>
              </w:rPr>
              <w:t>4.</w:t>
            </w:r>
          </w:p>
        </w:tc>
        <w:tc>
          <w:tcPr>
            <w:tcW w:w="3581" w:type="dxa"/>
          </w:tcPr>
          <w:p>
            <w:pPr>
              <w:pStyle w:val="TableParagraph"/>
              <w:spacing w:line="270" w:lineRule="exact"/>
              <w:ind w:left="105"/>
              <w:rPr>
                <w:sz w:val="24"/>
              </w:rPr>
            </w:pPr>
            <w:r>
              <w:rPr>
                <w:sz w:val="24"/>
              </w:rPr>
              <w:t>Мне</w:t>
            </w:r>
            <w:r>
              <w:rPr>
                <w:spacing w:val="-2"/>
                <w:sz w:val="24"/>
              </w:rPr>
              <w:t> </w:t>
            </w:r>
            <w:r>
              <w:rPr>
                <w:sz w:val="24"/>
              </w:rPr>
              <w:t>нравится жить в</w:t>
            </w:r>
            <w:r>
              <w:rPr>
                <w:spacing w:val="-3"/>
                <w:sz w:val="24"/>
              </w:rPr>
              <w:t> </w:t>
            </w:r>
            <w:r>
              <w:rPr>
                <w:spacing w:val="-2"/>
                <w:sz w:val="24"/>
              </w:rPr>
              <w:t>России</w:t>
            </w:r>
          </w:p>
        </w:tc>
        <w:tc>
          <w:tcPr>
            <w:tcW w:w="1133" w:type="dxa"/>
          </w:tcPr>
          <w:p>
            <w:pPr>
              <w:pStyle w:val="TableParagraph"/>
              <w:spacing w:line="270" w:lineRule="exact"/>
              <w:ind w:left="2"/>
              <w:jc w:val="center"/>
              <w:rPr>
                <w:sz w:val="24"/>
              </w:rPr>
            </w:pPr>
            <w:r>
              <w:rPr>
                <w:spacing w:val="-2"/>
                <w:sz w:val="24"/>
              </w:rPr>
              <w:t>-</w:t>
            </w:r>
            <w:r>
              <w:rPr>
                <w:spacing w:val="-12"/>
                <w:sz w:val="24"/>
              </w:rPr>
              <w:t>2</w:t>
            </w:r>
          </w:p>
        </w:tc>
        <w:tc>
          <w:tcPr>
            <w:tcW w:w="1135" w:type="dxa"/>
          </w:tcPr>
          <w:p>
            <w:pPr>
              <w:pStyle w:val="TableParagraph"/>
              <w:spacing w:line="270" w:lineRule="exact"/>
              <w:ind w:left="6"/>
              <w:jc w:val="center"/>
              <w:rPr>
                <w:sz w:val="24"/>
              </w:rPr>
            </w:pPr>
            <w:r>
              <w:rPr>
                <w:spacing w:val="-2"/>
                <w:sz w:val="24"/>
              </w:rPr>
              <w:t>-</w:t>
            </w:r>
            <w:r>
              <w:rPr>
                <w:spacing w:val="-12"/>
                <w:sz w:val="24"/>
              </w:rPr>
              <w:t>1</w:t>
            </w:r>
          </w:p>
        </w:tc>
        <w:tc>
          <w:tcPr>
            <w:tcW w:w="1133" w:type="dxa"/>
          </w:tcPr>
          <w:p>
            <w:pPr>
              <w:pStyle w:val="TableParagraph"/>
              <w:spacing w:line="270" w:lineRule="exact"/>
              <w:ind w:left="118" w:right="108"/>
              <w:jc w:val="center"/>
              <w:rPr>
                <w:sz w:val="24"/>
              </w:rPr>
            </w:pPr>
            <w:r>
              <w:rPr>
                <w:spacing w:val="-10"/>
                <w:sz w:val="24"/>
              </w:rPr>
              <w:t>0</w:t>
            </w:r>
          </w:p>
        </w:tc>
        <w:tc>
          <w:tcPr>
            <w:tcW w:w="993" w:type="dxa"/>
          </w:tcPr>
          <w:p>
            <w:pPr>
              <w:pStyle w:val="TableParagraph"/>
              <w:spacing w:line="270" w:lineRule="exact"/>
              <w:ind w:left="12"/>
              <w:jc w:val="center"/>
              <w:rPr>
                <w:sz w:val="24"/>
              </w:rPr>
            </w:pPr>
            <w:r>
              <w:rPr>
                <w:spacing w:val="-10"/>
                <w:sz w:val="24"/>
              </w:rPr>
              <w:t>1</w:t>
            </w:r>
          </w:p>
        </w:tc>
        <w:tc>
          <w:tcPr>
            <w:tcW w:w="1103" w:type="dxa"/>
          </w:tcPr>
          <w:p>
            <w:pPr>
              <w:pStyle w:val="TableParagraph"/>
              <w:spacing w:line="270" w:lineRule="exact"/>
              <w:ind w:left="14"/>
              <w:jc w:val="center"/>
              <w:rPr>
                <w:sz w:val="24"/>
              </w:rPr>
            </w:pPr>
            <w:r>
              <w:rPr>
                <w:spacing w:val="-10"/>
                <w:sz w:val="24"/>
              </w:rPr>
              <w:t>2</w:t>
            </w:r>
          </w:p>
        </w:tc>
      </w:tr>
      <w:tr>
        <w:trPr>
          <w:trHeight w:val="834" w:hRule="atLeast"/>
        </w:trPr>
        <w:tc>
          <w:tcPr>
            <w:tcW w:w="492" w:type="dxa"/>
          </w:tcPr>
          <w:p>
            <w:pPr>
              <w:pStyle w:val="TableParagraph"/>
              <w:spacing w:line="268" w:lineRule="exact"/>
              <w:ind w:left="107"/>
              <w:rPr>
                <w:sz w:val="24"/>
              </w:rPr>
            </w:pPr>
            <w:r>
              <w:rPr>
                <w:spacing w:val="-5"/>
                <w:sz w:val="24"/>
              </w:rPr>
              <w:t>5.</w:t>
            </w:r>
          </w:p>
        </w:tc>
        <w:tc>
          <w:tcPr>
            <w:tcW w:w="3581" w:type="dxa"/>
          </w:tcPr>
          <w:p>
            <w:pPr>
              <w:pStyle w:val="TableParagraph"/>
              <w:spacing w:line="276" w:lineRule="auto"/>
              <w:ind w:left="105" w:right="165"/>
              <w:rPr>
                <w:sz w:val="24"/>
              </w:rPr>
            </w:pPr>
            <w:r>
              <w:rPr>
                <w:sz w:val="24"/>
              </w:rPr>
              <w:t>В</w:t>
            </w:r>
            <w:r>
              <w:rPr>
                <w:spacing w:val="-15"/>
                <w:sz w:val="24"/>
              </w:rPr>
              <w:t> </w:t>
            </w:r>
            <w:r>
              <w:rPr>
                <w:sz w:val="24"/>
              </w:rPr>
              <w:t>будущем</w:t>
            </w:r>
            <w:r>
              <w:rPr>
                <w:spacing w:val="-14"/>
                <w:sz w:val="24"/>
              </w:rPr>
              <w:t> </w:t>
            </w:r>
            <w:r>
              <w:rPr>
                <w:sz w:val="24"/>
              </w:rPr>
              <w:t>я</w:t>
            </w:r>
            <w:r>
              <w:rPr>
                <w:spacing w:val="-13"/>
                <w:sz w:val="24"/>
              </w:rPr>
              <w:t> </w:t>
            </w:r>
            <w:r>
              <w:rPr>
                <w:sz w:val="24"/>
              </w:rPr>
              <w:t>планирую вернуться на родину</w:t>
            </w:r>
          </w:p>
        </w:tc>
        <w:tc>
          <w:tcPr>
            <w:tcW w:w="1133" w:type="dxa"/>
          </w:tcPr>
          <w:p>
            <w:pPr>
              <w:pStyle w:val="TableParagraph"/>
              <w:spacing w:before="152"/>
              <w:ind w:left="2"/>
              <w:jc w:val="center"/>
              <w:rPr>
                <w:sz w:val="24"/>
              </w:rPr>
            </w:pPr>
            <w:r>
              <w:rPr>
                <w:spacing w:val="-2"/>
                <w:sz w:val="24"/>
              </w:rPr>
              <w:t>-</w:t>
            </w:r>
            <w:r>
              <w:rPr>
                <w:spacing w:val="-12"/>
                <w:sz w:val="24"/>
              </w:rPr>
              <w:t>2</w:t>
            </w:r>
          </w:p>
        </w:tc>
        <w:tc>
          <w:tcPr>
            <w:tcW w:w="1135" w:type="dxa"/>
          </w:tcPr>
          <w:p>
            <w:pPr>
              <w:pStyle w:val="TableParagraph"/>
              <w:spacing w:before="152"/>
              <w:ind w:left="6"/>
              <w:jc w:val="center"/>
              <w:rPr>
                <w:sz w:val="24"/>
              </w:rPr>
            </w:pPr>
            <w:r>
              <w:rPr>
                <w:spacing w:val="-2"/>
                <w:sz w:val="24"/>
              </w:rPr>
              <w:t>-</w:t>
            </w:r>
            <w:r>
              <w:rPr>
                <w:spacing w:val="-12"/>
                <w:sz w:val="24"/>
              </w:rPr>
              <w:t>1</w:t>
            </w:r>
          </w:p>
        </w:tc>
        <w:tc>
          <w:tcPr>
            <w:tcW w:w="1133" w:type="dxa"/>
          </w:tcPr>
          <w:p>
            <w:pPr>
              <w:pStyle w:val="TableParagraph"/>
              <w:spacing w:before="152"/>
              <w:ind w:left="118" w:right="108"/>
              <w:jc w:val="center"/>
              <w:rPr>
                <w:sz w:val="24"/>
              </w:rPr>
            </w:pPr>
            <w:r>
              <w:rPr>
                <w:spacing w:val="-10"/>
                <w:sz w:val="24"/>
              </w:rPr>
              <w:t>0</w:t>
            </w:r>
          </w:p>
        </w:tc>
        <w:tc>
          <w:tcPr>
            <w:tcW w:w="993" w:type="dxa"/>
          </w:tcPr>
          <w:p>
            <w:pPr>
              <w:pStyle w:val="TableParagraph"/>
              <w:spacing w:before="152"/>
              <w:ind w:left="12"/>
              <w:jc w:val="center"/>
              <w:rPr>
                <w:sz w:val="24"/>
              </w:rPr>
            </w:pPr>
            <w:r>
              <w:rPr>
                <w:spacing w:val="-10"/>
                <w:sz w:val="24"/>
              </w:rPr>
              <w:t>1</w:t>
            </w:r>
          </w:p>
        </w:tc>
        <w:tc>
          <w:tcPr>
            <w:tcW w:w="1103" w:type="dxa"/>
          </w:tcPr>
          <w:p>
            <w:pPr>
              <w:pStyle w:val="TableParagraph"/>
              <w:spacing w:before="152"/>
              <w:ind w:left="14"/>
              <w:jc w:val="center"/>
              <w:rPr>
                <w:sz w:val="24"/>
              </w:rPr>
            </w:pPr>
            <w:r>
              <w:rPr>
                <w:spacing w:val="-10"/>
                <w:sz w:val="24"/>
              </w:rPr>
              <w:t>2</w:t>
            </w:r>
          </w:p>
        </w:tc>
      </w:tr>
      <w:tr>
        <w:trPr>
          <w:trHeight w:val="835" w:hRule="atLeast"/>
        </w:trPr>
        <w:tc>
          <w:tcPr>
            <w:tcW w:w="492" w:type="dxa"/>
          </w:tcPr>
          <w:p>
            <w:pPr>
              <w:pStyle w:val="TableParagraph"/>
              <w:spacing w:line="268" w:lineRule="exact"/>
              <w:ind w:left="107"/>
              <w:rPr>
                <w:sz w:val="24"/>
              </w:rPr>
            </w:pPr>
            <w:r>
              <w:rPr>
                <w:spacing w:val="-5"/>
                <w:sz w:val="24"/>
              </w:rPr>
              <w:t>6.</w:t>
            </w:r>
          </w:p>
        </w:tc>
        <w:tc>
          <w:tcPr>
            <w:tcW w:w="3581" w:type="dxa"/>
          </w:tcPr>
          <w:p>
            <w:pPr>
              <w:pStyle w:val="TableParagraph"/>
              <w:spacing w:line="276" w:lineRule="auto"/>
              <w:ind w:left="105"/>
              <w:rPr>
                <w:sz w:val="24"/>
              </w:rPr>
            </w:pPr>
            <w:r>
              <w:rPr>
                <w:sz w:val="24"/>
              </w:rPr>
              <w:t>В</w:t>
            </w:r>
            <w:r>
              <w:rPr>
                <w:spacing w:val="-9"/>
                <w:sz w:val="24"/>
              </w:rPr>
              <w:t> </w:t>
            </w:r>
            <w:r>
              <w:rPr>
                <w:sz w:val="24"/>
              </w:rPr>
              <w:t>будущем</w:t>
            </w:r>
            <w:r>
              <w:rPr>
                <w:spacing w:val="-9"/>
                <w:sz w:val="24"/>
              </w:rPr>
              <w:t> </w:t>
            </w:r>
            <w:r>
              <w:rPr>
                <w:sz w:val="24"/>
              </w:rPr>
              <w:t>я</w:t>
            </w:r>
            <w:r>
              <w:rPr>
                <w:spacing w:val="-8"/>
                <w:sz w:val="24"/>
              </w:rPr>
              <w:t> </w:t>
            </w:r>
            <w:r>
              <w:rPr>
                <w:sz w:val="24"/>
              </w:rPr>
              <w:t>планирую</w:t>
            </w:r>
            <w:r>
              <w:rPr>
                <w:spacing w:val="-6"/>
                <w:sz w:val="24"/>
              </w:rPr>
              <w:t> </w:t>
            </w:r>
            <w:r>
              <w:rPr>
                <w:sz w:val="24"/>
              </w:rPr>
              <w:t>жить</w:t>
            </w:r>
            <w:r>
              <w:rPr>
                <w:spacing w:val="-7"/>
                <w:sz w:val="24"/>
              </w:rPr>
              <w:t> </w:t>
            </w:r>
            <w:r>
              <w:rPr>
                <w:sz w:val="24"/>
              </w:rPr>
              <w:t>в </w:t>
            </w:r>
            <w:r>
              <w:rPr>
                <w:spacing w:val="-2"/>
                <w:sz w:val="24"/>
              </w:rPr>
              <w:t>России</w:t>
            </w:r>
          </w:p>
        </w:tc>
        <w:tc>
          <w:tcPr>
            <w:tcW w:w="1133" w:type="dxa"/>
          </w:tcPr>
          <w:p>
            <w:pPr>
              <w:pStyle w:val="TableParagraph"/>
              <w:spacing w:before="152"/>
              <w:ind w:left="2"/>
              <w:jc w:val="center"/>
              <w:rPr>
                <w:sz w:val="24"/>
              </w:rPr>
            </w:pPr>
            <w:r>
              <w:rPr>
                <w:spacing w:val="-2"/>
                <w:sz w:val="24"/>
              </w:rPr>
              <w:t>-</w:t>
            </w:r>
            <w:r>
              <w:rPr>
                <w:spacing w:val="-12"/>
                <w:sz w:val="24"/>
              </w:rPr>
              <w:t>2</w:t>
            </w:r>
          </w:p>
        </w:tc>
        <w:tc>
          <w:tcPr>
            <w:tcW w:w="1135" w:type="dxa"/>
          </w:tcPr>
          <w:p>
            <w:pPr>
              <w:pStyle w:val="TableParagraph"/>
              <w:spacing w:before="152"/>
              <w:ind w:left="6"/>
              <w:jc w:val="center"/>
              <w:rPr>
                <w:sz w:val="24"/>
              </w:rPr>
            </w:pPr>
            <w:r>
              <w:rPr>
                <w:spacing w:val="-2"/>
                <w:sz w:val="24"/>
              </w:rPr>
              <w:t>-</w:t>
            </w:r>
            <w:r>
              <w:rPr>
                <w:spacing w:val="-12"/>
                <w:sz w:val="24"/>
              </w:rPr>
              <w:t>1</w:t>
            </w:r>
          </w:p>
        </w:tc>
        <w:tc>
          <w:tcPr>
            <w:tcW w:w="1133" w:type="dxa"/>
          </w:tcPr>
          <w:p>
            <w:pPr>
              <w:pStyle w:val="TableParagraph"/>
              <w:spacing w:before="152"/>
              <w:ind w:left="118" w:right="108"/>
              <w:jc w:val="center"/>
              <w:rPr>
                <w:sz w:val="24"/>
              </w:rPr>
            </w:pPr>
            <w:r>
              <w:rPr>
                <w:spacing w:val="-10"/>
                <w:sz w:val="24"/>
              </w:rPr>
              <w:t>0</w:t>
            </w:r>
          </w:p>
        </w:tc>
        <w:tc>
          <w:tcPr>
            <w:tcW w:w="993" w:type="dxa"/>
          </w:tcPr>
          <w:p>
            <w:pPr>
              <w:pStyle w:val="TableParagraph"/>
              <w:spacing w:before="152"/>
              <w:ind w:left="12"/>
              <w:jc w:val="center"/>
              <w:rPr>
                <w:sz w:val="24"/>
              </w:rPr>
            </w:pPr>
            <w:r>
              <w:rPr>
                <w:spacing w:val="-10"/>
                <w:sz w:val="24"/>
              </w:rPr>
              <w:t>1</w:t>
            </w:r>
          </w:p>
        </w:tc>
        <w:tc>
          <w:tcPr>
            <w:tcW w:w="1103" w:type="dxa"/>
          </w:tcPr>
          <w:p>
            <w:pPr>
              <w:pStyle w:val="TableParagraph"/>
              <w:spacing w:before="152"/>
              <w:ind w:left="14"/>
              <w:jc w:val="center"/>
              <w:rPr>
                <w:sz w:val="24"/>
              </w:rPr>
            </w:pPr>
            <w:r>
              <w:rPr>
                <w:spacing w:val="-10"/>
                <w:sz w:val="24"/>
              </w:rPr>
              <w:t>2</w:t>
            </w:r>
          </w:p>
        </w:tc>
      </w:tr>
      <w:tr>
        <w:trPr>
          <w:trHeight w:val="834" w:hRule="atLeast"/>
        </w:trPr>
        <w:tc>
          <w:tcPr>
            <w:tcW w:w="492" w:type="dxa"/>
          </w:tcPr>
          <w:p>
            <w:pPr>
              <w:pStyle w:val="TableParagraph"/>
              <w:spacing w:line="268" w:lineRule="exact"/>
              <w:ind w:left="107"/>
              <w:rPr>
                <w:sz w:val="24"/>
              </w:rPr>
            </w:pPr>
            <w:r>
              <w:rPr>
                <w:spacing w:val="-5"/>
                <w:sz w:val="24"/>
              </w:rPr>
              <w:t>7.</w:t>
            </w:r>
          </w:p>
        </w:tc>
        <w:tc>
          <w:tcPr>
            <w:tcW w:w="3581" w:type="dxa"/>
          </w:tcPr>
          <w:p>
            <w:pPr>
              <w:pStyle w:val="TableParagraph"/>
              <w:spacing w:line="276" w:lineRule="auto"/>
              <w:ind w:left="105" w:right="165"/>
              <w:rPr>
                <w:sz w:val="24"/>
              </w:rPr>
            </w:pPr>
            <w:r>
              <w:rPr>
                <w:sz w:val="24"/>
              </w:rPr>
              <w:t>Мне</w:t>
            </w:r>
            <w:r>
              <w:rPr>
                <w:spacing w:val="-15"/>
                <w:sz w:val="24"/>
              </w:rPr>
              <w:t> </w:t>
            </w:r>
            <w:r>
              <w:rPr>
                <w:sz w:val="24"/>
              </w:rPr>
              <w:t>нравится</w:t>
            </w:r>
            <w:r>
              <w:rPr>
                <w:spacing w:val="-14"/>
                <w:sz w:val="24"/>
              </w:rPr>
              <w:t> </w:t>
            </w:r>
            <w:r>
              <w:rPr>
                <w:sz w:val="24"/>
              </w:rPr>
              <w:t>пища,</w:t>
            </w:r>
            <w:r>
              <w:rPr>
                <w:spacing w:val="-14"/>
                <w:sz w:val="24"/>
              </w:rPr>
              <w:t> </w:t>
            </w:r>
            <w:r>
              <w:rPr>
                <w:sz w:val="24"/>
              </w:rPr>
              <w:t>которую едят у меня на родине</w:t>
            </w:r>
          </w:p>
        </w:tc>
        <w:tc>
          <w:tcPr>
            <w:tcW w:w="1133" w:type="dxa"/>
          </w:tcPr>
          <w:p>
            <w:pPr>
              <w:pStyle w:val="TableParagraph"/>
              <w:spacing w:before="152"/>
              <w:ind w:left="2"/>
              <w:jc w:val="center"/>
              <w:rPr>
                <w:sz w:val="24"/>
              </w:rPr>
            </w:pPr>
            <w:r>
              <w:rPr>
                <w:spacing w:val="-2"/>
                <w:sz w:val="24"/>
              </w:rPr>
              <w:t>-</w:t>
            </w:r>
            <w:r>
              <w:rPr>
                <w:spacing w:val="-12"/>
                <w:sz w:val="24"/>
              </w:rPr>
              <w:t>2</w:t>
            </w:r>
          </w:p>
        </w:tc>
        <w:tc>
          <w:tcPr>
            <w:tcW w:w="1135" w:type="dxa"/>
          </w:tcPr>
          <w:p>
            <w:pPr>
              <w:pStyle w:val="TableParagraph"/>
              <w:spacing w:before="152"/>
              <w:ind w:left="6"/>
              <w:jc w:val="center"/>
              <w:rPr>
                <w:sz w:val="24"/>
              </w:rPr>
            </w:pPr>
            <w:r>
              <w:rPr>
                <w:spacing w:val="-2"/>
                <w:sz w:val="24"/>
              </w:rPr>
              <w:t>-</w:t>
            </w:r>
            <w:r>
              <w:rPr>
                <w:spacing w:val="-12"/>
                <w:sz w:val="24"/>
              </w:rPr>
              <w:t>1</w:t>
            </w:r>
          </w:p>
        </w:tc>
        <w:tc>
          <w:tcPr>
            <w:tcW w:w="1133" w:type="dxa"/>
          </w:tcPr>
          <w:p>
            <w:pPr>
              <w:pStyle w:val="TableParagraph"/>
              <w:spacing w:before="152"/>
              <w:ind w:left="118" w:right="108"/>
              <w:jc w:val="center"/>
              <w:rPr>
                <w:sz w:val="24"/>
              </w:rPr>
            </w:pPr>
            <w:r>
              <w:rPr>
                <w:spacing w:val="-10"/>
                <w:sz w:val="24"/>
              </w:rPr>
              <w:t>0</w:t>
            </w:r>
          </w:p>
        </w:tc>
        <w:tc>
          <w:tcPr>
            <w:tcW w:w="993" w:type="dxa"/>
          </w:tcPr>
          <w:p>
            <w:pPr>
              <w:pStyle w:val="TableParagraph"/>
              <w:spacing w:before="152"/>
              <w:ind w:left="12"/>
              <w:jc w:val="center"/>
              <w:rPr>
                <w:sz w:val="24"/>
              </w:rPr>
            </w:pPr>
            <w:r>
              <w:rPr>
                <w:spacing w:val="-10"/>
                <w:sz w:val="24"/>
              </w:rPr>
              <w:t>1</w:t>
            </w:r>
          </w:p>
        </w:tc>
        <w:tc>
          <w:tcPr>
            <w:tcW w:w="1103" w:type="dxa"/>
          </w:tcPr>
          <w:p>
            <w:pPr>
              <w:pStyle w:val="TableParagraph"/>
              <w:spacing w:before="152"/>
              <w:ind w:left="14"/>
              <w:jc w:val="center"/>
              <w:rPr>
                <w:sz w:val="24"/>
              </w:rPr>
            </w:pPr>
            <w:r>
              <w:rPr>
                <w:spacing w:val="-10"/>
                <w:sz w:val="24"/>
              </w:rPr>
              <w:t>2</w:t>
            </w:r>
          </w:p>
        </w:tc>
      </w:tr>
      <w:tr>
        <w:trPr>
          <w:trHeight w:val="834" w:hRule="atLeast"/>
        </w:trPr>
        <w:tc>
          <w:tcPr>
            <w:tcW w:w="492" w:type="dxa"/>
          </w:tcPr>
          <w:p>
            <w:pPr>
              <w:pStyle w:val="TableParagraph"/>
              <w:spacing w:line="268" w:lineRule="exact"/>
              <w:ind w:left="107"/>
              <w:rPr>
                <w:sz w:val="24"/>
              </w:rPr>
            </w:pPr>
            <w:r>
              <w:rPr>
                <w:spacing w:val="-5"/>
                <w:sz w:val="24"/>
              </w:rPr>
              <w:t>8.</w:t>
            </w:r>
          </w:p>
        </w:tc>
        <w:tc>
          <w:tcPr>
            <w:tcW w:w="3581" w:type="dxa"/>
          </w:tcPr>
          <w:p>
            <w:pPr>
              <w:pStyle w:val="TableParagraph"/>
              <w:spacing w:line="276" w:lineRule="auto"/>
              <w:ind w:left="105" w:right="165"/>
              <w:rPr>
                <w:sz w:val="24"/>
              </w:rPr>
            </w:pPr>
            <w:r>
              <w:rPr>
                <w:sz w:val="24"/>
              </w:rPr>
              <w:t>Мне</w:t>
            </w:r>
            <w:r>
              <w:rPr>
                <w:spacing w:val="-15"/>
                <w:sz w:val="24"/>
              </w:rPr>
              <w:t> </w:t>
            </w:r>
            <w:r>
              <w:rPr>
                <w:sz w:val="24"/>
              </w:rPr>
              <w:t>нравится</w:t>
            </w:r>
            <w:r>
              <w:rPr>
                <w:spacing w:val="-14"/>
                <w:sz w:val="24"/>
              </w:rPr>
              <w:t> </w:t>
            </w:r>
            <w:r>
              <w:rPr>
                <w:sz w:val="24"/>
              </w:rPr>
              <w:t>пища,</w:t>
            </w:r>
            <w:r>
              <w:rPr>
                <w:spacing w:val="-14"/>
                <w:sz w:val="24"/>
              </w:rPr>
              <w:t> </w:t>
            </w:r>
            <w:r>
              <w:rPr>
                <w:sz w:val="24"/>
              </w:rPr>
              <w:t>которую едят в России</w:t>
            </w:r>
          </w:p>
        </w:tc>
        <w:tc>
          <w:tcPr>
            <w:tcW w:w="1133" w:type="dxa"/>
          </w:tcPr>
          <w:p>
            <w:pPr>
              <w:pStyle w:val="TableParagraph"/>
              <w:spacing w:before="152"/>
              <w:ind w:left="2"/>
              <w:jc w:val="center"/>
              <w:rPr>
                <w:sz w:val="24"/>
              </w:rPr>
            </w:pPr>
            <w:r>
              <w:rPr>
                <w:spacing w:val="-2"/>
                <w:sz w:val="24"/>
              </w:rPr>
              <w:t>-</w:t>
            </w:r>
            <w:r>
              <w:rPr>
                <w:spacing w:val="-12"/>
                <w:sz w:val="24"/>
              </w:rPr>
              <w:t>2</w:t>
            </w:r>
          </w:p>
        </w:tc>
        <w:tc>
          <w:tcPr>
            <w:tcW w:w="1135" w:type="dxa"/>
          </w:tcPr>
          <w:p>
            <w:pPr>
              <w:pStyle w:val="TableParagraph"/>
              <w:spacing w:before="152"/>
              <w:ind w:left="6"/>
              <w:jc w:val="center"/>
              <w:rPr>
                <w:sz w:val="24"/>
              </w:rPr>
            </w:pPr>
            <w:r>
              <w:rPr>
                <w:spacing w:val="-2"/>
                <w:sz w:val="24"/>
              </w:rPr>
              <w:t>-</w:t>
            </w:r>
            <w:r>
              <w:rPr>
                <w:spacing w:val="-12"/>
                <w:sz w:val="24"/>
              </w:rPr>
              <w:t>1</w:t>
            </w:r>
          </w:p>
        </w:tc>
        <w:tc>
          <w:tcPr>
            <w:tcW w:w="1133" w:type="dxa"/>
          </w:tcPr>
          <w:p>
            <w:pPr>
              <w:pStyle w:val="TableParagraph"/>
              <w:spacing w:before="152"/>
              <w:ind w:left="118" w:right="108"/>
              <w:jc w:val="center"/>
              <w:rPr>
                <w:sz w:val="24"/>
              </w:rPr>
            </w:pPr>
            <w:r>
              <w:rPr>
                <w:spacing w:val="-10"/>
                <w:sz w:val="24"/>
              </w:rPr>
              <w:t>0</w:t>
            </w:r>
          </w:p>
        </w:tc>
        <w:tc>
          <w:tcPr>
            <w:tcW w:w="993" w:type="dxa"/>
          </w:tcPr>
          <w:p>
            <w:pPr>
              <w:pStyle w:val="TableParagraph"/>
              <w:spacing w:before="152"/>
              <w:ind w:left="12"/>
              <w:jc w:val="center"/>
              <w:rPr>
                <w:sz w:val="24"/>
              </w:rPr>
            </w:pPr>
            <w:r>
              <w:rPr>
                <w:spacing w:val="-10"/>
                <w:sz w:val="24"/>
              </w:rPr>
              <w:t>1</w:t>
            </w:r>
          </w:p>
        </w:tc>
        <w:tc>
          <w:tcPr>
            <w:tcW w:w="1103" w:type="dxa"/>
          </w:tcPr>
          <w:p>
            <w:pPr>
              <w:pStyle w:val="TableParagraph"/>
              <w:spacing w:before="152"/>
              <w:ind w:left="14"/>
              <w:jc w:val="center"/>
              <w:rPr>
                <w:sz w:val="24"/>
              </w:rPr>
            </w:pPr>
            <w:r>
              <w:rPr>
                <w:spacing w:val="-10"/>
                <w:sz w:val="24"/>
              </w:rPr>
              <w:t>2</w:t>
            </w:r>
          </w:p>
        </w:tc>
      </w:tr>
      <w:tr>
        <w:trPr>
          <w:trHeight w:val="834" w:hRule="atLeast"/>
        </w:trPr>
        <w:tc>
          <w:tcPr>
            <w:tcW w:w="492" w:type="dxa"/>
          </w:tcPr>
          <w:p>
            <w:pPr>
              <w:pStyle w:val="TableParagraph"/>
              <w:spacing w:line="268" w:lineRule="exact"/>
              <w:ind w:left="107"/>
              <w:rPr>
                <w:sz w:val="24"/>
              </w:rPr>
            </w:pPr>
            <w:r>
              <w:rPr>
                <w:spacing w:val="-5"/>
                <w:sz w:val="24"/>
              </w:rPr>
              <w:t>9.</w:t>
            </w:r>
          </w:p>
        </w:tc>
        <w:tc>
          <w:tcPr>
            <w:tcW w:w="3581" w:type="dxa"/>
          </w:tcPr>
          <w:p>
            <w:pPr>
              <w:pStyle w:val="TableParagraph"/>
              <w:spacing w:line="276" w:lineRule="auto"/>
              <w:ind w:left="105" w:right="165"/>
              <w:rPr>
                <w:sz w:val="24"/>
              </w:rPr>
            </w:pPr>
            <w:r>
              <w:rPr>
                <w:sz w:val="24"/>
              </w:rPr>
              <w:t>Я</w:t>
            </w:r>
            <w:r>
              <w:rPr>
                <w:spacing w:val="-4"/>
                <w:sz w:val="24"/>
              </w:rPr>
              <w:t> </w:t>
            </w:r>
            <w:r>
              <w:rPr>
                <w:sz w:val="24"/>
              </w:rPr>
              <w:t>хорошо</w:t>
            </w:r>
            <w:r>
              <w:rPr>
                <w:spacing w:val="-7"/>
                <w:sz w:val="24"/>
              </w:rPr>
              <w:t> </w:t>
            </w:r>
            <w:r>
              <w:rPr>
                <w:sz w:val="24"/>
              </w:rPr>
              <w:t>понимаю</w:t>
            </w:r>
            <w:r>
              <w:rPr>
                <w:spacing w:val="-4"/>
                <w:sz w:val="24"/>
              </w:rPr>
              <w:t> </w:t>
            </w:r>
            <w:r>
              <w:rPr>
                <w:sz w:val="24"/>
              </w:rPr>
              <w:t>шутки</w:t>
            </w:r>
            <w:r>
              <w:rPr>
                <w:spacing w:val="-6"/>
                <w:sz w:val="24"/>
              </w:rPr>
              <w:t> </w:t>
            </w:r>
            <w:r>
              <w:rPr>
                <w:sz w:val="24"/>
              </w:rPr>
              <w:t>и юмор</w:t>
            </w:r>
            <w:r>
              <w:rPr>
                <w:spacing w:val="-2"/>
                <w:sz w:val="24"/>
              </w:rPr>
              <w:t> </w:t>
            </w:r>
            <w:r>
              <w:rPr>
                <w:sz w:val="24"/>
              </w:rPr>
              <w:t>на</w:t>
            </w:r>
            <w:r>
              <w:rPr>
                <w:spacing w:val="-2"/>
                <w:sz w:val="24"/>
              </w:rPr>
              <w:t> </w:t>
            </w:r>
            <w:r>
              <w:rPr>
                <w:sz w:val="24"/>
              </w:rPr>
              <w:t>моем</w:t>
            </w:r>
            <w:r>
              <w:rPr>
                <w:spacing w:val="-2"/>
                <w:sz w:val="24"/>
              </w:rPr>
              <w:t> </w:t>
            </w:r>
            <w:r>
              <w:rPr>
                <w:sz w:val="24"/>
              </w:rPr>
              <w:t>родном</w:t>
            </w:r>
            <w:r>
              <w:rPr>
                <w:spacing w:val="-2"/>
                <w:sz w:val="24"/>
              </w:rPr>
              <w:t> </w:t>
            </w:r>
            <w:r>
              <w:rPr>
                <w:spacing w:val="-4"/>
                <w:sz w:val="24"/>
              </w:rPr>
              <w:t>языке</w:t>
            </w:r>
          </w:p>
        </w:tc>
        <w:tc>
          <w:tcPr>
            <w:tcW w:w="1133" w:type="dxa"/>
          </w:tcPr>
          <w:p>
            <w:pPr>
              <w:pStyle w:val="TableParagraph"/>
              <w:spacing w:before="152"/>
              <w:ind w:left="2"/>
              <w:jc w:val="center"/>
              <w:rPr>
                <w:sz w:val="24"/>
              </w:rPr>
            </w:pPr>
            <w:r>
              <w:rPr>
                <w:spacing w:val="-2"/>
                <w:sz w:val="24"/>
              </w:rPr>
              <w:t>-</w:t>
            </w:r>
            <w:r>
              <w:rPr>
                <w:spacing w:val="-12"/>
                <w:sz w:val="24"/>
              </w:rPr>
              <w:t>2</w:t>
            </w:r>
          </w:p>
        </w:tc>
        <w:tc>
          <w:tcPr>
            <w:tcW w:w="1135" w:type="dxa"/>
          </w:tcPr>
          <w:p>
            <w:pPr>
              <w:pStyle w:val="TableParagraph"/>
              <w:spacing w:before="152"/>
              <w:ind w:left="6"/>
              <w:jc w:val="center"/>
              <w:rPr>
                <w:sz w:val="24"/>
              </w:rPr>
            </w:pPr>
            <w:r>
              <w:rPr>
                <w:spacing w:val="-2"/>
                <w:sz w:val="24"/>
              </w:rPr>
              <w:t>-</w:t>
            </w:r>
            <w:r>
              <w:rPr>
                <w:spacing w:val="-12"/>
                <w:sz w:val="24"/>
              </w:rPr>
              <w:t>1</w:t>
            </w:r>
          </w:p>
        </w:tc>
        <w:tc>
          <w:tcPr>
            <w:tcW w:w="1133" w:type="dxa"/>
          </w:tcPr>
          <w:p>
            <w:pPr>
              <w:pStyle w:val="TableParagraph"/>
              <w:spacing w:before="152"/>
              <w:ind w:left="118" w:right="108"/>
              <w:jc w:val="center"/>
              <w:rPr>
                <w:sz w:val="24"/>
              </w:rPr>
            </w:pPr>
            <w:r>
              <w:rPr>
                <w:spacing w:val="-10"/>
                <w:sz w:val="24"/>
              </w:rPr>
              <w:t>0</w:t>
            </w:r>
          </w:p>
        </w:tc>
        <w:tc>
          <w:tcPr>
            <w:tcW w:w="993" w:type="dxa"/>
          </w:tcPr>
          <w:p>
            <w:pPr>
              <w:pStyle w:val="TableParagraph"/>
              <w:spacing w:before="152"/>
              <w:ind w:left="12"/>
              <w:jc w:val="center"/>
              <w:rPr>
                <w:sz w:val="24"/>
              </w:rPr>
            </w:pPr>
            <w:r>
              <w:rPr>
                <w:spacing w:val="-10"/>
                <w:sz w:val="24"/>
              </w:rPr>
              <w:t>1</w:t>
            </w:r>
          </w:p>
        </w:tc>
        <w:tc>
          <w:tcPr>
            <w:tcW w:w="1103" w:type="dxa"/>
          </w:tcPr>
          <w:p>
            <w:pPr>
              <w:pStyle w:val="TableParagraph"/>
              <w:spacing w:before="152"/>
              <w:ind w:left="14"/>
              <w:jc w:val="center"/>
              <w:rPr>
                <w:sz w:val="24"/>
              </w:rPr>
            </w:pPr>
            <w:r>
              <w:rPr>
                <w:spacing w:val="-10"/>
                <w:sz w:val="24"/>
              </w:rPr>
              <w:t>2</w:t>
            </w:r>
          </w:p>
        </w:tc>
      </w:tr>
      <w:tr>
        <w:trPr>
          <w:trHeight w:val="835" w:hRule="atLeast"/>
        </w:trPr>
        <w:tc>
          <w:tcPr>
            <w:tcW w:w="492" w:type="dxa"/>
          </w:tcPr>
          <w:p>
            <w:pPr>
              <w:pStyle w:val="TableParagraph"/>
              <w:spacing w:line="268" w:lineRule="exact"/>
              <w:ind w:left="107"/>
              <w:rPr>
                <w:sz w:val="24"/>
              </w:rPr>
            </w:pPr>
            <w:r>
              <w:rPr>
                <w:spacing w:val="-5"/>
                <w:sz w:val="24"/>
              </w:rPr>
              <w:t>10.</w:t>
            </w:r>
          </w:p>
        </w:tc>
        <w:tc>
          <w:tcPr>
            <w:tcW w:w="3581" w:type="dxa"/>
          </w:tcPr>
          <w:p>
            <w:pPr>
              <w:pStyle w:val="TableParagraph"/>
              <w:spacing w:line="276" w:lineRule="auto"/>
              <w:ind w:left="105" w:right="165"/>
              <w:rPr>
                <w:sz w:val="24"/>
              </w:rPr>
            </w:pPr>
            <w:r>
              <w:rPr>
                <w:sz w:val="24"/>
              </w:rPr>
              <w:t>Я</w:t>
            </w:r>
            <w:r>
              <w:rPr>
                <w:spacing w:val="-9"/>
                <w:sz w:val="24"/>
              </w:rPr>
              <w:t> </w:t>
            </w:r>
            <w:r>
              <w:rPr>
                <w:sz w:val="24"/>
              </w:rPr>
              <w:t>хорошо</w:t>
            </w:r>
            <w:r>
              <w:rPr>
                <w:spacing w:val="-12"/>
                <w:sz w:val="24"/>
              </w:rPr>
              <w:t> </w:t>
            </w:r>
            <w:r>
              <w:rPr>
                <w:sz w:val="24"/>
              </w:rPr>
              <w:t>понимаю</w:t>
            </w:r>
            <w:r>
              <w:rPr>
                <w:spacing w:val="-9"/>
                <w:sz w:val="24"/>
              </w:rPr>
              <w:t> </w:t>
            </w:r>
            <w:r>
              <w:rPr>
                <w:sz w:val="24"/>
              </w:rPr>
              <w:t>шутки</w:t>
            </w:r>
            <w:r>
              <w:rPr>
                <w:spacing w:val="-11"/>
                <w:sz w:val="24"/>
              </w:rPr>
              <w:t> </w:t>
            </w:r>
            <w:r>
              <w:rPr>
                <w:sz w:val="24"/>
              </w:rPr>
              <w:t>и юмор на русском языке</w:t>
            </w:r>
          </w:p>
        </w:tc>
        <w:tc>
          <w:tcPr>
            <w:tcW w:w="1133" w:type="dxa"/>
          </w:tcPr>
          <w:p>
            <w:pPr>
              <w:pStyle w:val="TableParagraph"/>
              <w:spacing w:before="152"/>
              <w:ind w:left="2"/>
              <w:jc w:val="center"/>
              <w:rPr>
                <w:sz w:val="24"/>
              </w:rPr>
            </w:pPr>
            <w:r>
              <w:rPr>
                <w:spacing w:val="-2"/>
                <w:sz w:val="24"/>
              </w:rPr>
              <w:t>-</w:t>
            </w:r>
            <w:r>
              <w:rPr>
                <w:spacing w:val="-12"/>
                <w:sz w:val="24"/>
              </w:rPr>
              <w:t>2</w:t>
            </w:r>
          </w:p>
        </w:tc>
        <w:tc>
          <w:tcPr>
            <w:tcW w:w="1135" w:type="dxa"/>
          </w:tcPr>
          <w:p>
            <w:pPr>
              <w:pStyle w:val="TableParagraph"/>
              <w:spacing w:before="152"/>
              <w:ind w:left="6"/>
              <w:jc w:val="center"/>
              <w:rPr>
                <w:sz w:val="24"/>
              </w:rPr>
            </w:pPr>
            <w:r>
              <w:rPr>
                <w:spacing w:val="-2"/>
                <w:sz w:val="24"/>
              </w:rPr>
              <w:t>-</w:t>
            </w:r>
            <w:r>
              <w:rPr>
                <w:spacing w:val="-12"/>
                <w:sz w:val="24"/>
              </w:rPr>
              <w:t>1</w:t>
            </w:r>
          </w:p>
        </w:tc>
        <w:tc>
          <w:tcPr>
            <w:tcW w:w="1133" w:type="dxa"/>
          </w:tcPr>
          <w:p>
            <w:pPr>
              <w:pStyle w:val="TableParagraph"/>
              <w:spacing w:before="152"/>
              <w:ind w:left="118" w:right="108"/>
              <w:jc w:val="center"/>
              <w:rPr>
                <w:sz w:val="24"/>
              </w:rPr>
            </w:pPr>
            <w:r>
              <w:rPr>
                <w:spacing w:val="-10"/>
                <w:sz w:val="24"/>
              </w:rPr>
              <w:t>0</w:t>
            </w:r>
          </w:p>
        </w:tc>
        <w:tc>
          <w:tcPr>
            <w:tcW w:w="993" w:type="dxa"/>
          </w:tcPr>
          <w:p>
            <w:pPr>
              <w:pStyle w:val="TableParagraph"/>
              <w:spacing w:before="152"/>
              <w:ind w:left="12"/>
              <w:jc w:val="center"/>
              <w:rPr>
                <w:sz w:val="24"/>
              </w:rPr>
            </w:pPr>
            <w:r>
              <w:rPr>
                <w:spacing w:val="-10"/>
                <w:sz w:val="24"/>
              </w:rPr>
              <w:t>1</w:t>
            </w:r>
          </w:p>
        </w:tc>
        <w:tc>
          <w:tcPr>
            <w:tcW w:w="1103" w:type="dxa"/>
          </w:tcPr>
          <w:p>
            <w:pPr>
              <w:pStyle w:val="TableParagraph"/>
              <w:spacing w:before="152"/>
              <w:ind w:left="14"/>
              <w:jc w:val="center"/>
              <w:rPr>
                <w:sz w:val="24"/>
              </w:rPr>
            </w:pPr>
            <w:r>
              <w:rPr>
                <w:spacing w:val="-10"/>
                <w:sz w:val="24"/>
              </w:rPr>
              <w:t>2</w:t>
            </w:r>
          </w:p>
        </w:tc>
      </w:tr>
      <w:tr>
        <w:trPr>
          <w:trHeight w:val="1151" w:hRule="atLeast"/>
        </w:trPr>
        <w:tc>
          <w:tcPr>
            <w:tcW w:w="492" w:type="dxa"/>
          </w:tcPr>
          <w:p>
            <w:pPr>
              <w:pStyle w:val="TableParagraph"/>
              <w:spacing w:line="268" w:lineRule="exact"/>
              <w:ind w:left="107"/>
              <w:rPr>
                <w:sz w:val="24"/>
              </w:rPr>
            </w:pPr>
            <w:r>
              <w:rPr>
                <w:spacing w:val="-5"/>
                <w:sz w:val="24"/>
              </w:rPr>
              <w:t>11.</w:t>
            </w:r>
          </w:p>
        </w:tc>
        <w:tc>
          <w:tcPr>
            <w:tcW w:w="3581" w:type="dxa"/>
          </w:tcPr>
          <w:p>
            <w:pPr>
              <w:pStyle w:val="TableParagraph"/>
              <w:spacing w:line="276" w:lineRule="auto"/>
              <w:ind w:left="105" w:right="165"/>
              <w:rPr>
                <w:sz w:val="24"/>
              </w:rPr>
            </w:pPr>
            <w:r>
              <w:rPr>
                <w:sz w:val="24"/>
              </w:rPr>
              <w:t>Меня</w:t>
            </w:r>
            <w:r>
              <w:rPr>
                <w:spacing w:val="-13"/>
                <w:sz w:val="24"/>
              </w:rPr>
              <w:t> </w:t>
            </w:r>
            <w:r>
              <w:rPr>
                <w:sz w:val="24"/>
              </w:rPr>
              <w:t>радуют</w:t>
            </w:r>
            <w:r>
              <w:rPr>
                <w:spacing w:val="-13"/>
                <w:sz w:val="24"/>
              </w:rPr>
              <w:t> </w:t>
            </w:r>
            <w:r>
              <w:rPr>
                <w:sz w:val="24"/>
              </w:rPr>
              <w:t>достижения</w:t>
            </w:r>
            <w:r>
              <w:rPr>
                <w:spacing w:val="-13"/>
                <w:sz w:val="24"/>
              </w:rPr>
              <w:t> </w:t>
            </w:r>
            <w:r>
              <w:rPr>
                <w:sz w:val="24"/>
              </w:rPr>
              <w:t>(в спорте, науке и др.) моей родной страны</w:t>
            </w:r>
          </w:p>
        </w:tc>
        <w:tc>
          <w:tcPr>
            <w:tcW w:w="1133" w:type="dxa"/>
          </w:tcPr>
          <w:p>
            <w:pPr>
              <w:pStyle w:val="TableParagraph"/>
              <w:spacing w:before="34"/>
              <w:rPr>
                <w:i/>
                <w:sz w:val="24"/>
              </w:rPr>
            </w:pPr>
          </w:p>
          <w:p>
            <w:pPr>
              <w:pStyle w:val="TableParagraph"/>
              <w:spacing w:before="1"/>
              <w:ind w:left="2"/>
              <w:jc w:val="center"/>
              <w:rPr>
                <w:sz w:val="24"/>
              </w:rPr>
            </w:pPr>
            <w:r>
              <w:rPr>
                <w:spacing w:val="-2"/>
                <w:sz w:val="24"/>
              </w:rPr>
              <w:t>-</w:t>
            </w:r>
            <w:r>
              <w:rPr>
                <w:spacing w:val="-12"/>
                <w:sz w:val="24"/>
              </w:rPr>
              <w:t>2</w:t>
            </w:r>
          </w:p>
        </w:tc>
        <w:tc>
          <w:tcPr>
            <w:tcW w:w="1135" w:type="dxa"/>
          </w:tcPr>
          <w:p>
            <w:pPr>
              <w:pStyle w:val="TableParagraph"/>
              <w:spacing w:before="34"/>
              <w:rPr>
                <w:i/>
                <w:sz w:val="24"/>
              </w:rPr>
            </w:pPr>
          </w:p>
          <w:p>
            <w:pPr>
              <w:pStyle w:val="TableParagraph"/>
              <w:spacing w:before="1"/>
              <w:ind w:left="6"/>
              <w:jc w:val="center"/>
              <w:rPr>
                <w:sz w:val="24"/>
              </w:rPr>
            </w:pPr>
            <w:r>
              <w:rPr>
                <w:spacing w:val="-2"/>
                <w:sz w:val="24"/>
              </w:rPr>
              <w:t>-</w:t>
            </w:r>
            <w:r>
              <w:rPr>
                <w:spacing w:val="-12"/>
                <w:sz w:val="24"/>
              </w:rPr>
              <w:t>1</w:t>
            </w:r>
          </w:p>
        </w:tc>
        <w:tc>
          <w:tcPr>
            <w:tcW w:w="1133" w:type="dxa"/>
          </w:tcPr>
          <w:p>
            <w:pPr>
              <w:pStyle w:val="TableParagraph"/>
              <w:spacing w:before="34"/>
              <w:rPr>
                <w:i/>
                <w:sz w:val="24"/>
              </w:rPr>
            </w:pPr>
          </w:p>
          <w:p>
            <w:pPr>
              <w:pStyle w:val="TableParagraph"/>
              <w:spacing w:before="1"/>
              <w:ind w:left="118" w:right="108"/>
              <w:jc w:val="center"/>
              <w:rPr>
                <w:sz w:val="24"/>
              </w:rPr>
            </w:pPr>
            <w:r>
              <w:rPr>
                <w:spacing w:val="-10"/>
                <w:sz w:val="24"/>
              </w:rPr>
              <w:t>0</w:t>
            </w:r>
          </w:p>
        </w:tc>
        <w:tc>
          <w:tcPr>
            <w:tcW w:w="993" w:type="dxa"/>
          </w:tcPr>
          <w:p>
            <w:pPr>
              <w:pStyle w:val="TableParagraph"/>
              <w:spacing w:before="34"/>
              <w:rPr>
                <w:i/>
                <w:sz w:val="24"/>
              </w:rPr>
            </w:pPr>
          </w:p>
          <w:p>
            <w:pPr>
              <w:pStyle w:val="TableParagraph"/>
              <w:spacing w:before="1"/>
              <w:ind w:left="12"/>
              <w:jc w:val="center"/>
              <w:rPr>
                <w:sz w:val="24"/>
              </w:rPr>
            </w:pPr>
            <w:r>
              <w:rPr>
                <w:spacing w:val="-10"/>
                <w:sz w:val="24"/>
              </w:rPr>
              <w:t>1</w:t>
            </w:r>
          </w:p>
        </w:tc>
        <w:tc>
          <w:tcPr>
            <w:tcW w:w="1103" w:type="dxa"/>
          </w:tcPr>
          <w:p>
            <w:pPr>
              <w:pStyle w:val="TableParagraph"/>
              <w:spacing w:before="34"/>
              <w:rPr>
                <w:i/>
                <w:sz w:val="24"/>
              </w:rPr>
            </w:pPr>
          </w:p>
          <w:p>
            <w:pPr>
              <w:pStyle w:val="TableParagraph"/>
              <w:spacing w:before="1"/>
              <w:ind w:left="14"/>
              <w:jc w:val="center"/>
              <w:rPr>
                <w:sz w:val="24"/>
              </w:rPr>
            </w:pPr>
            <w:r>
              <w:rPr>
                <w:spacing w:val="-10"/>
                <w:sz w:val="24"/>
              </w:rPr>
              <w:t>2</w:t>
            </w:r>
          </w:p>
        </w:tc>
      </w:tr>
      <w:tr>
        <w:trPr>
          <w:trHeight w:val="834" w:hRule="atLeast"/>
        </w:trPr>
        <w:tc>
          <w:tcPr>
            <w:tcW w:w="492" w:type="dxa"/>
          </w:tcPr>
          <w:p>
            <w:pPr>
              <w:pStyle w:val="TableParagraph"/>
              <w:spacing w:line="268" w:lineRule="exact"/>
              <w:ind w:left="107"/>
              <w:rPr>
                <w:sz w:val="24"/>
              </w:rPr>
            </w:pPr>
            <w:r>
              <w:rPr>
                <w:spacing w:val="-5"/>
                <w:sz w:val="24"/>
              </w:rPr>
              <w:t>12.</w:t>
            </w:r>
          </w:p>
        </w:tc>
        <w:tc>
          <w:tcPr>
            <w:tcW w:w="3581" w:type="dxa"/>
          </w:tcPr>
          <w:p>
            <w:pPr>
              <w:pStyle w:val="TableParagraph"/>
              <w:spacing w:line="276" w:lineRule="auto"/>
              <w:ind w:left="105"/>
              <w:rPr>
                <w:sz w:val="24"/>
              </w:rPr>
            </w:pPr>
            <w:r>
              <w:rPr>
                <w:sz w:val="24"/>
              </w:rPr>
              <w:t>Меня</w:t>
            </w:r>
            <w:r>
              <w:rPr>
                <w:spacing w:val="-13"/>
                <w:sz w:val="24"/>
              </w:rPr>
              <w:t> </w:t>
            </w:r>
            <w:r>
              <w:rPr>
                <w:sz w:val="24"/>
              </w:rPr>
              <w:t>радуют</w:t>
            </w:r>
            <w:r>
              <w:rPr>
                <w:spacing w:val="-13"/>
                <w:sz w:val="24"/>
              </w:rPr>
              <w:t> </w:t>
            </w:r>
            <w:r>
              <w:rPr>
                <w:sz w:val="24"/>
              </w:rPr>
              <w:t>достижения</w:t>
            </w:r>
            <w:r>
              <w:rPr>
                <w:spacing w:val="-13"/>
                <w:sz w:val="24"/>
              </w:rPr>
              <w:t> </w:t>
            </w:r>
            <w:r>
              <w:rPr>
                <w:sz w:val="24"/>
              </w:rPr>
              <w:t>(в спорте, науке и др.) России</w:t>
            </w:r>
          </w:p>
        </w:tc>
        <w:tc>
          <w:tcPr>
            <w:tcW w:w="1133" w:type="dxa"/>
          </w:tcPr>
          <w:p>
            <w:pPr>
              <w:pStyle w:val="TableParagraph"/>
              <w:spacing w:before="152"/>
              <w:ind w:left="2"/>
              <w:jc w:val="center"/>
              <w:rPr>
                <w:sz w:val="24"/>
              </w:rPr>
            </w:pPr>
            <w:r>
              <w:rPr>
                <w:spacing w:val="-2"/>
                <w:sz w:val="24"/>
              </w:rPr>
              <w:t>-</w:t>
            </w:r>
            <w:r>
              <w:rPr>
                <w:spacing w:val="-12"/>
                <w:sz w:val="24"/>
              </w:rPr>
              <w:t>2</w:t>
            </w:r>
          </w:p>
        </w:tc>
        <w:tc>
          <w:tcPr>
            <w:tcW w:w="1135" w:type="dxa"/>
          </w:tcPr>
          <w:p>
            <w:pPr>
              <w:pStyle w:val="TableParagraph"/>
              <w:spacing w:before="152"/>
              <w:ind w:left="6"/>
              <w:jc w:val="center"/>
              <w:rPr>
                <w:sz w:val="24"/>
              </w:rPr>
            </w:pPr>
            <w:r>
              <w:rPr>
                <w:spacing w:val="-2"/>
                <w:sz w:val="24"/>
              </w:rPr>
              <w:t>-</w:t>
            </w:r>
            <w:r>
              <w:rPr>
                <w:spacing w:val="-12"/>
                <w:sz w:val="24"/>
              </w:rPr>
              <w:t>1</w:t>
            </w:r>
          </w:p>
        </w:tc>
        <w:tc>
          <w:tcPr>
            <w:tcW w:w="1133" w:type="dxa"/>
          </w:tcPr>
          <w:p>
            <w:pPr>
              <w:pStyle w:val="TableParagraph"/>
              <w:spacing w:before="152"/>
              <w:ind w:left="118" w:right="108"/>
              <w:jc w:val="center"/>
              <w:rPr>
                <w:sz w:val="24"/>
              </w:rPr>
            </w:pPr>
            <w:r>
              <w:rPr>
                <w:spacing w:val="-10"/>
                <w:sz w:val="24"/>
              </w:rPr>
              <w:t>0</w:t>
            </w:r>
          </w:p>
        </w:tc>
        <w:tc>
          <w:tcPr>
            <w:tcW w:w="993" w:type="dxa"/>
          </w:tcPr>
          <w:p>
            <w:pPr>
              <w:pStyle w:val="TableParagraph"/>
              <w:spacing w:before="152"/>
              <w:ind w:left="12"/>
              <w:jc w:val="center"/>
              <w:rPr>
                <w:sz w:val="24"/>
              </w:rPr>
            </w:pPr>
            <w:r>
              <w:rPr>
                <w:spacing w:val="-10"/>
                <w:sz w:val="24"/>
              </w:rPr>
              <w:t>1</w:t>
            </w:r>
          </w:p>
        </w:tc>
        <w:tc>
          <w:tcPr>
            <w:tcW w:w="1103" w:type="dxa"/>
          </w:tcPr>
          <w:p>
            <w:pPr>
              <w:pStyle w:val="TableParagraph"/>
              <w:spacing w:before="152"/>
              <w:ind w:left="14"/>
              <w:jc w:val="center"/>
              <w:rPr>
                <w:sz w:val="24"/>
              </w:rPr>
            </w:pPr>
            <w:r>
              <w:rPr>
                <w:spacing w:val="-10"/>
                <w:sz w:val="24"/>
              </w:rPr>
              <w:t>2</w:t>
            </w:r>
          </w:p>
        </w:tc>
      </w:tr>
    </w:tbl>
    <w:p>
      <w:pPr>
        <w:pStyle w:val="TableParagraph"/>
        <w:spacing w:after="0"/>
        <w:jc w:val="center"/>
        <w:rPr>
          <w:sz w:val="24"/>
        </w:rPr>
        <w:sectPr>
          <w:pgSz w:w="11910" w:h="16840"/>
          <w:pgMar w:header="0" w:footer="970" w:top="1040" w:bottom="1220" w:left="1417" w:right="283"/>
        </w:sectPr>
      </w:pPr>
    </w:p>
    <w:p>
      <w:pPr>
        <w:pStyle w:val="Heading2"/>
        <w:numPr>
          <w:ilvl w:val="0"/>
          <w:numId w:val="15"/>
        </w:numPr>
        <w:tabs>
          <w:tab w:pos="705" w:val="left" w:leader="none"/>
        </w:tabs>
        <w:spacing w:line="240" w:lineRule="auto" w:before="72" w:after="0"/>
        <w:ind w:left="705" w:right="0" w:hanging="420"/>
        <w:jc w:val="both"/>
      </w:pPr>
      <w:bookmarkStart w:name="_bookmark28" w:id="30"/>
      <w:bookmarkEnd w:id="30"/>
      <w:r>
        <w:rPr>
          <w:b w:val="0"/>
        </w:rPr>
      </w:r>
      <w:r>
        <w:rPr/>
        <w:t>Детский</w:t>
      </w:r>
      <w:r>
        <w:rPr>
          <w:spacing w:val="-12"/>
        </w:rPr>
        <w:t> </w:t>
      </w:r>
      <w:r>
        <w:rPr/>
        <w:t>опросник</w:t>
      </w:r>
      <w:r>
        <w:rPr>
          <w:spacing w:val="-10"/>
        </w:rPr>
        <w:t> </w:t>
      </w:r>
      <w:r>
        <w:rPr/>
        <w:t>аккультурационного</w:t>
      </w:r>
      <w:r>
        <w:rPr>
          <w:spacing w:val="-9"/>
        </w:rPr>
        <w:t> </w:t>
      </w:r>
      <w:r>
        <w:rPr>
          <w:spacing w:val="-2"/>
        </w:rPr>
        <w:t>стресса</w:t>
      </w:r>
    </w:p>
    <w:p>
      <w:pPr>
        <w:pStyle w:val="Heading3"/>
        <w:spacing w:before="293"/>
      </w:pPr>
      <w:r>
        <w:rPr/>
        <w:t>Описание</w:t>
      </w:r>
      <w:r>
        <w:rPr>
          <w:spacing w:val="-2"/>
        </w:rPr>
        <w:t> методики</w:t>
      </w:r>
    </w:p>
    <w:p>
      <w:pPr>
        <w:pStyle w:val="Heading4"/>
        <w:spacing w:before="232"/>
        <w:ind w:right="561"/>
      </w:pPr>
      <w:r>
        <w:rPr/>
        <w:t>Детский опросник аккультурационного стресса </w:t>
      </w:r>
      <w:r>
        <w:rPr>
          <w:i/>
        </w:rPr>
        <w:t>(Acculturative Stress Inventory for Children, ASIC) </w:t>
      </w:r>
      <w:r>
        <w:rPr/>
        <w:t>(</w:t>
      </w:r>
      <w:r>
        <w:rPr>
          <w:i/>
        </w:rPr>
        <w:t>Suarez-Morales, Dillon, Szapocznik, </w:t>
      </w:r>
      <w:r>
        <w:rPr/>
        <w:t>2007) является методикой, позволяющей замерить уровень аккультурационного стресса у детей в возрасте от 10 лет. Считается, что у детей в ситуации миграции на первый план выступают проблемы, связанные с воспринимаемой дискриминацией, а также с общением с другими членами нового общества, с языком и общим пониженным эмоциональным фоном.</w:t>
      </w:r>
    </w:p>
    <w:p>
      <w:pPr>
        <w:pStyle w:val="Heading4"/>
        <w:spacing w:before="241"/>
        <w:ind w:right="571"/>
      </w:pPr>
      <w:r>
        <w:rPr/>
        <w:t>Опросник состоит из 12 утверждений и кроме общего показателя аккультурационного стресса включает в себя две шкалы:</w:t>
      </w:r>
    </w:p>
    <w:p>
      <w:pPr>
        <w:pStyle w:val="Heading4"/>
        <w:numPr>
          <w:ilvl w:val="1"/>
          <w:numId w:val="15"/>
        </w:numPr>
        <w:tabs>
          <w:tab w:pos="1109" w:val="left" w:leader="none"/>
        </w:tabs>
        <w:spacing w:line="240" w:lineRule="auto" w:before="0" w:after="0"/>
        <w:ind w:left="424" w:right="564" w:firstLine="0"/>
        <w:jc w:val="both"/>
      </w:pPr>
      <w:r>
        <w:rPr/>
        <w:t>воспринимаемая</w:t>
      </w:r>
      <w:r>
        <w:rPr>
          <w:spacing w:val="-9"/>
        </w:rPr>
        <w:t> </w:t>
      </w:r>
      <w:r>
        <w:rPr/>
        <w:t>дискриминация</w:t>
      </w:r>
      <w:r>
        <w:rPr>
          <w:spacing w:val="-5"/>
        </w:rPr>
        <w:t> </w:t>
      </w:r>
      <w:r>
        <w:rPr/>
        <w:t>—</w:t>
      </w:r>
      <w:r>
        <w:rPr>
          <w:spacing w:val="-9"/>
        </w:rPr>
        <w:t> </w:t>
      </w:r>
      <w:r>
        <w:rPr/>
        <w:t>ощущение</w:t>
      </w:r>
      <w:r>
        <w:rPr>
          <w:spacing w:val="-9"/>
        </w:rPr>
        <w:t> </w:t>
      </w:r>
      <w:r>
        <w:rPr/>
        <w:t>негативного</w:t>
      </w:r>
      <w:r>
        <w:rPr>
          <w:spacing w:val="-11"/>
        </w:rPr>
        <w:t> </w:t>
      </w:r>
      <w:r>
        <w:rPr/>
        <w:t>отношения окружающих, связанного с групповой принадлежностью ребенка;</w:t>
      </w:r>
    </w:p>
    <w:p>
      <w:pPr>
        <w:pStyle w:val="Heading4"/>
        <w:numPr>
          <w:ilvl w:val="1"/>
          <w:numId w:val="15"/>
        </w:numPr>
        <w:tabs>
          <w:tab w:pos="1463" w:val="left" w:leader="none"/>
        </w:tabs>
        <w:spacing w:line="240" w:lineRule="auto" w:before="0" w:after="0"/>
        <w:ind w:left="424" w:right="566" w:firstLine="0"/>
        <w:jc w:val="both"/>
      </w:pPr>
      <w:r>
        <w:rPr/>
        <w:t>стресс, связанный с миграцией, — шкала, отражающая трудности ребенка, связанные с вхождением в культуру новой группы (языковые, коммуникативные, эмоциональные).</w:t>
      </w:r>
    </w:p>
    <w:p>
      <w:pPr>
        <w:pStyle w:val="Heading4"/>
        <w:spacing w:before="239"/>
      </w:pPr>
      <w:r>
        <w:rPr/>
        <w:t>На</w:t>
      </w:r>
      <w:r>
        <w:rPr>
          <w:spacing w:val="-8"/>
        </w:rPr>
        <w:t> </w:t>
      </w:r>
      <w:r>
        <w:rPr/>
        <w:t>русский</w:t>
      </w:r>
      <w:r>
        <w:rPr>
          <w:spacing w:val="-5"/>
        </w:rPr>
        <w:t> </w:t>
      </w:r>
      <w:r>
        <w:rPr/>
        <w:t>язык</w:t>
      </w:r>
      <w:r>
        <w:rPr>
          <w:spacing w:val="-5"/>
        </w:rPr>
        <w:t> </w:t>
      </w:r>
      <w:r>
        <w:rPr/>
        <w:t>опросник</w:t>
      </w:r>
      <w:r>
        <w:rPr>
          <w:spacing w:val="-6"/>
        </w:rPr>
        <w:t> </w:t>
      </w:r>
      <w:r>
        <w:rPr/>
        <w:t>переведен</w:t>
      </w:r>
      <w:r>
        <w:rPr>
          <w:spacing w:val="-5"/>
        </w:rPr>
        <w:t> </w:t>
      </w:r>
      <w:r>
        <w:rPr/>
        <w:t>и</w:t>
      </w:r>
      <w:r>
        <w:rPr>
          <w:spacing w:val="-8"/>
        </w:rPr>
        <w:t> </w:t>
      </w:r>
      <w:r>
        <w:rPr/>
        <w:t>адаптирован</w:t>
      </w:r>
      <w:r>
        <w:rPr>
          <w:spacing w:val="-5"/>
        </w:rPr>
        <w:t> </w:t>
      </w:r>
      <w:r>
        <w:rPr/>
        <w:t>О.Е.</w:t>
      </w:r>
      <w:r>
        <w:rPr>
          <w:spacing w:val="-6"/>
        </w:rPr>
        <w:t> </w:t>
      </w:r>
      <w:r>
        <w:rPr>
          <w:spacing w:val="-2"/>
        </w:rPr>
        <w:t>Хухлаевым.</w:t>
      </w:r>
    </w:p>
    <w:p>
      <w:pPr>
        <w:pStyle w:val="Heading3"/>
        <w:spacing w:before="248"/>
      </w:pPr>
      <w:r>
        <w:rPr/>
        <w:t>Проведение</w:t>
      </w:r>
      <w:r>
        <w:rPr>
          <w:spacing w:val="-10"/>
        </w:rPr>
        <w:t> </w:t>
      </w:r>
      <w:r>
        <w:rPr>
          <w:spacing w:val="-2"/>
        </w:rPr>
        <w:t>методики</w:t>
      </w:r>
    </w:p>
    <w:p>
      <w:pPr>
        <w:pStyle w:val="Heading4"/>
        <w:spacing w:line="242" w:lineRule="auto" w:before="232"/>
        <w:ind w:right="568"/>
      </w:pPr>
      <w:r>
        <w:rPr/>
        <w:t>Проведение методики осуществляется под контролем психолога. Ребенку показывают бланк опросника (см. </w:t>
      </w:r>
      <w:r>
        <w:rPr>
          <w:i/>
        </w:rPr>
        <w:t>Приложение 14</w:t>
      </w:r>
      <w:r>
        <w:rPr/>
        <w:t>) и дают инструкцию:</w:t>
      </w:r>
    </w:p>
    <w:p>
      <w:pPr>
        <w:pStyle w:val="Heading5"/>
        <w:spacing w:before="235"/>
        <w:ind w:right="565"/>
        <w:jc w:val="both"/>
      </w:pPr>
      <w:r>
        <w:rPr/>
        <w:t>«Прочитай утверждения о некоторых вещах, которые могут случаться в жизни.</w:t>
      </w:r>
      <w:r>
        <w:rPr>
          <w:spacing w:val="-9"/>
        </w:rPr>
        <w:t> </w:t>
      </w:r>
      <w:r>
        <w:rPr/>
        <w:t>О</w:t>
      </w:r>
      <w:r>
        <w:rPr>
          <w:spacing w:val="-12"/>
        </w:rPr>
        <w:t> </w:t>
      </w:r>
      <w:r>
        <w:rPr/>
        <w:t>каких-то</w:t>
      </w:r>
      <w:r>
        <w:rPr>
          <w:spacing w:val="-10"/>
        </w:rPr>
        <w:t> </w:t>
      </w:r>
      <w:r>
        <w:rPr/>
        <w:t>ты,</w:t>
      </w:r>
      <w:r>
        <w:rPr>
          <w:spacing w:val="-10"/>
        </w:rPr>
        <w:t> </w:t>
      </w:r>
      <w:r>
        <w:rPr/>
        <w:t>возможно,</w:t>
      </w:r>
      <w:r>
        <w:rPr>
          <w:spacing w:val="-9"/>
        </w:rPr>
        <w:t> </w:t>
      </w:r>
      <w:r>
        <w:rPr/>
        <w:t>думал/а,</w:t>
      </w:r>
      <w:r>
        <w:rPr>
          <w:spacing w:val="-12"/>
        </w:rPr>
        <w:t> </w:t>
      </w:r>
      <w:r>
        <w:rPr/>
        <w:t>о</w:t>
      </w:r>
      <w:r>
        <w:rPr>
          <w:spacing w:val="-8"/>
        </w:rPr>
        <w:t> </w:t>
      </w:r>
      <w:r>
        <w:rPr/>
        <w:t>других,</w:t>
      </w:r>
      <w:r>
        <w:rPr>
          <w:spacing w:val="-9"/>
        </w:rPr>
        <w:t> </w:t>
      </w:r>
      <w:r>
        <w:rPr/>
        <w:t>возможно,</w:t>
      </w:r>
      <w:r>
        <w:rPr>
          <w:spacing w:val="-9"/>
        </w:rPr>
        <w:t> </w:t>
      </w:r>
      <w:r>
        <w:rPr/>
        <w:t>нет.</w:t>
      </w:r>
      <w:r>
        <w:rPr>
          <w:spacing w:val="-9"/>
        </w:rPr>
        <w:t> </w:t>
      </w:r>
      <w:r>
        <w:rPr/>
        <w:t>Вначале скажи, относится ли это утверждение к тебе или нет, случается ли такое в твоей жизни? Затем, если случается, скажи, насколько это тебя беспокоит.</w:t>
      </w:r>
      <w:r>
        <w:rPr>
          <w:spacing w:val="-12"/>
        </w:rPr>
        <w:t> </w:t>
      </w:r>
      <w:r>
        <w:rPr/>
        <w:t>Выбери</w:t>
      </w:r>
      <w:r>
        <w:rPr>
          <w:spacing w:val="-10"/>
        </w:rPr>
        <w:t> </w:t>
      </w:r>
      <w:r>
        <w:rPr/>
        <w:t>один</w:t>
      </w:r>
      <w:r>
        <w:rPr>
          <w:spacing w:val="-11"/>
        </w:rPr>
        <w:t> </w:t>
      </w:r>
      <w:r>
        <w:rPr/>
        <w:t>вариант</w:t>
      </w:r>
      <w:r>
        <w:rPr>
          <w:spacing w:val="-12"/>
        </w:rPr>
        <w:t> </w:t>
      </w:r>
      <w:r>
        <w:rPr/>
        <w:t>ответа</w:t>
      </w:r>
      <w:r>
        <w:rPr>
          <w:spacing w:val="-10"/>
        </w:rPr>
        <w:t> </w:t>
      </w:r>
      <w:r>
        <w:rPr/>
        <w:t>от</w:t>
      </w:r>
      <w:r>
        <w:rPr>
          <w:spacing w:val="-12"/>
        </w:rPr>
        <w:t> </w:t>
      </w:r>
      <w:r>
        <w:rPr/>
        <w:t>«Не</w:t>
      </w:r>
      <w:r>
        <w:rPr>
          <w:spacing w:val="-11"/>
        </w:rPr>
        <w:t> </w:t>
      </w:r>
      <w:r>
        <w:rPr/>
        <w:t>беспокоит</w:t>
      </w:r>
      <w:r>
        <w:rPr>
          <w:spacing w:val="-12"/>
        </w:rPr>
        <w:t> </w:t>
      </w:r>
      <w:r>
        <w:rPr/>
        <w:t>меня»</w:t>
      </w:r>
      <w:r>
        <w:rPr>
          <w:spacing w:val="-10"/>
        </w:rPr>
        <w:t> </w:t>
      </w:r>
      <w:r>
        <w:rPr/>
        <w:t>до</w:t>
      </w:r>
      <w:r>
        <w:rPr>
          <w:spacing w:val="-10"/>
        </w:rPr>
        <w:t> </w:t>
      </w:r>
      <w:r>
        <w:rPr/>
        <w:t>«Очень сильно беспокоит меня».</w:t>
      </w:r>
    </w:p>
    <w:p>
      <w:pPr>
        <w:pStyle w:val="Heading4"/>
        <w:spacing w:before="241"/>
        <w:ind w:right="564"/>
      </w:pPr>
      <w:r>
        <w:rPr/>
        <w:t>Если на какое-либо утверждение ребенок отвечает, что оно к нему не относится, в бланк ставится 0 и психолог переходит к следующему утверждению. Если ребенок сообщает, что оно к нему относится, случается в его</w:t>
      </w:r>
      <w:r>
        <w:rPr>
          <w:spacing w:val="-15"/>
        </w:rPr>
        <w:t> </w:t>
      </w:r>
      <w:r>
        <w:rPr/>
        <w:t>жизни,</w:t>
      </w:r>
      <w:r>
        <w:rPr>
          <w:spacing w:val="-18"/>
        </w:rPr>
        <w:t> </w:t>
      </w:r>
      <w:r>
        <w:rPr/>
        <w:t>психолог</w:t>
      </w:r>
      <w:r>
        <w:rPr>
          <w:spacing w:val="-17"/>
        </w:rPr>
        <w:t> </w:t>
      </w:r>
      <w:r>
        <w:rPr/>
        <w:t>просит</w:t>
      </w:r>
      <w:r>
        <w:rPr>
          <w:spacing w:val="-16"/>
        </w:rPr>
        <w:t> </w:t>
      </w:r>
      <w:r>
        <w:rPr/>
        <w:t>(как</w:t>
      </w:r>
      <w:r>
        <w:rPr>
          <w:spacing w:val="-16"/>
        </w:rPr>
        <w:t> </w:t>
      </w:r>
      <w:r>
        <w:rPr/>
        <w:t>сказано</w:t>
      </w:r>
      <w:r>
        <w:rPr>
          <w:spacing w:val="-17"/>
        </w:rPr>
        <w:t> </w:t>
      </w:r>
      <w:r>
        <w:rPr/>
        <w:t>в</w:t>
      </w:r>
      <w:r>
        <w:rPr>
          <w:spacing w:val="-17"/>
        </w:rPr>
        <w:t> </w:t>
      </w:r>
      <w:r>
        <w:rPr/>
        <w:t>инструкции</w:t>
      </w:r>
      <w:r>
        <w:rPr>
          <w:spacing w:val="-15"/>
        </w:rPr>
        <w:t> </w:t>
      </w:r>
      <w:r>
        <w:rPr/>
        <w:t>выше)</w:t>
      </w:r>
      <w:r>
        <w:rPr>
          <w:spacing w:val="-18"/>
        </w:rPr>
        <w:t> </w:t>
      </w:r>
      <w:r>
        <w:rPr/>
        <w:t>оценить</w:t>
      </w:r>
      <w:r>
        <w:rPr>
          <w:spacing w:val="-16"/>
        </w:rPr>
        <w:t> </w:t>
      </w:r>
      <w:r>
        <w:rPr/>
        <w:t>степень, в которой то, что описано в утверждении, его беспокоит.</w:t>
      </w:r>
    </w:p>
    <w:p>
      <w:pPr>
        <w:pStyle w:val="Heading4"/>
        <w:spacing w:before="238"/>
        <w:ind w:right="566"/>
      </w:pPr>
      <w:r>
        <w:rPr/>
        <w:t>Для обработки результатов опросника необходимо подсчитать сумму баллов по каждой из шкал. В шкалу «Воспринимаемая дискриминация» входят вопросы с 1 по 8 (включительно), в шкалу «Стресс, связанный с миграцией» соответственно вопросы с 9 по 12 (включительно).</w:t>
      </w:r>
    </w:p>
    <w:p>
      <w:pPr>
        <w:pStyle w:val="Heading4"/>
        <w:spacing w:before="241"/>
        <w:ind w:right="566"/>
      </w:pPr>
      <w:r>
        <w:rPr/>
        <w:t>Также допустимо использование общего показателя аккультурационного стресса</w:t>
      </w:r>
      <w:r>
        <w:rPr>
          <w:spacing w:val="46"/>
          <w:w w:val="150"/>
        </w:rPr>
        <w:t> </w:t>
      </w:r>
      <w:r>
        <w:rPr/>
        <w:t>как</w:t>
      </w:r>
      <w:r>
        <w:rPr>
          <w:spacing w:val="47"/>
          <w:w w:val="150"/>
        </w:rPr>
        <w:t> </w:t>
      </w:r>
      <w:r>
        <w:rPr/>
        <w:t>среднего</w:t>
      </w:r>
      <w:r>
        <w:rPr>
          <w:spacing w:val="47"/>
          <w:w w:val="150"/>
        </w:rPr>
        <w:t> </w:t>
      </w:r>
      <w:r>
        <w:rPr/>
        <w:t>значения</w:t>
      </w:r>
      <w:r>
        <w:rPr>
          <w:spacing w:val="46"/>
          <w:w w:val="150"/>
        </w:rPr>
        <w:t> </w:t>
      </w:r>
      <w:r>
        <w:rPr/>
        <w:t>по</w:t>
      </w:r>
      <w:r>
        <w:rPr>
          <w:spacing w:val="47"/>
          <w:w w:val="150"/>
        </w:rPr>
        <w:t> </w:t>
      </w:r>
      <w:r>
        <w:rPr/>
        <w:t>всем</w:t>
      </w:r>
      <w:r>
        <w:rPr>
          <w:spacing w:val="46"/>
          <w:w w:val="150"/>
        </w:rPr>
        <w:t> </w:t>
      </w:r>
      <w:r>
        <w:rPr/>
        <w:t>12</w:t>
      </w:r>
      <w:r>
        <w:rPr>
          <w:spacing w:val="47"/>
          <w:w w:val="150"/>
        </w:rPr>
        <w:t> </w:t>
      </w:r>
      <w:r>
        <w:rPr/>
        <w:t>утверждениям</w:t>
      </w:r>
      <w:r>
        <w:rPr>
          <w:spacing w:val="46"/>
          <w:w w:val="150"/>
        </w:rPr>
        <w:t> </w:t>
      </w:r>
      <w:r>
        <w:rPr/>
        <w:t>опросника.</w:t>
      </w:r>
      <w:r>
        <w:rPr>
          <w:spacing w:val="47"/>
          <w:w w:val="150"/>
        </w:rPr>
        <w:t> </w:t>
      </w:r>
      <w:r>
        <w:rPr>
          <w:spacing w:val="-5"/>
        </w:rPr>
        <w:t>По</w:t>
      </w:r>
    </w:p>
    <w:p>
      <w:pPr>
        <w:pStyle w:val="Heading4"/>
        <w:spacing w:after="0"/>
        <w:sectPr>
          <w:pgSz w:w="11910" w:h="16840"/>
          <w:pgMar w:header="0" w:footer="970" w:top="1040" w:bottom="1220" w:left="1417" w:right="283"/>
        </w:sectPr>
      </w:pPr>
    </w:p>
    <w:p>
      <w:pPr>
        <w:pStyle w:val="Heading4"/>
        <w:spacing w:before="67"/>
        <w:ind w:right="559"/>
      </w:pPr>
      <w:r>
        <w:rPr/>
        <w:t>данным, полученные в оригинальном исследовании в США, показатели воспринимаемой</w:t>
      </w:r>
      <w:r>
        <w:rPr>
          <w:spacing w:val="-10"/>
        </w:rPr>
        <w:t> </w:t>
      </w:r>
      <w:r>
        <w:rPr/>
        <w:t>дискриминации</w:t>
      </w:r>
      <w:r>
        <w:rPr>
          <w:spacing w:val="-10"/>
        </w:rPr>
        <w:t> </w:t>
      </w:r>
      <w:r>
        <w:rPr/>
        <w:t>от</w:t>
      </w:r>
      <w:r>
        <w:rPr>
          <w:spacing w:val="-10"/>
        </w:rPr>
        <w:t> </w:t>
      </w:r>
      <w:r>
        <w:rPr/>
        <w:t>14</w:t>
      </w:r>
      <w:r>
        <w:rPr>
          <w:spacing w:val="-12"/>
        </w:rPr>
        <w:t> </w:t>
      </w:r>
      <w:r>
        <w:rPr/>
        <w:t>до</w:t>
      </w:r>
      <w:r>
        <w:rPr>
          <w:spacing w:val="-12"/>
        </w:rPr>
        <w:t> </w:t>
      </w:r>
      <w:r>
        <w:rPr/>
        <w:t>18</w:t>
      </w:r>
      <w:r>
        <w:rPr>
          <w:spacing w:val="-9"/>
        </w:rPr>
        <w:t> </w:t>
      </w:r>
      <w:r>
        <w:rPr/>
        <w:t>баллов</w:t>
      </w:r>
      <w:r>
        <w:rPr>
          <w:spacing w:val="-11"/>
        </w:rPr>
        <w:t> </w:t>
      </w:r>
      <w:r>
        <w:rPr/>
        <w:t>можно</w:t>
      </w:r>
      <w:r>
        <w:rPr>
          <w:spacing w:val="-9"/>
        </w:rPr>
        <w:t> </w:t>
      </w:r>
      <w:r>
        <w:rPr/>
        <w:t>считать</w:t>
      </w:r>
      <w:r>
        <w:rPr>
          <w:spacing w:val="-12"/>
        </w:rPr>
        <w:t> </w:t>
      </w:r>
      <w:r>
        <w:rPr/>
        <w:t>средними, а выше 27 — крайне высокими. По шкале «Стресс, связанный с миграцией» средними показателями можно считать 2–5 баллов, а 9 и более — очень высокими. По общему уровню аккультурационного стресса средними показателями можно считать 16–23 балла, а 35 и более — очень высокими.</w:t>
      </w:r>
    </w:p>
    <w:p>
      <w:pPr>
        <w:pStyle w:val="Heading3"/>
        <w:spacing w:before="248"/>
        <w:ind w:left="0" w:right="560"/>
        <w:jc w:val="right"/>
      </w:pPr>
      <w:r>
        <w:rPr/>
        <w:t>Таблица</w:t>
      </w:r>
      <w:r>
        <w:rPr>
          <w:spacing w:val="-5"/>
        </w:rPr>
        <w:t> 25</w:t>
      </w:r>
    </w:p>
    <w:p>
      <w:pPr>
        <w:spacing w:before="239"/>
        <w:ind w:left="417" w:right="0" w:firstLine="0"/>
        <w:jc w:val="center"/>
        <w:rPr>
          <w:b/>
          <w:sz w:val="28"/>
        </w:rPr>
      </w:pPr>
      <w:r>
        <w:rPr>
          <w:b/>
          <w:sz w:val="28"/>
        </w:rPr>
        <w:t>Показатели</w:t>
      </w:r>
      <w:r>
        <w:rPr>
          <w:b/>
          <w:spacing w:val="-11"/>
          <w:sz w:val="28"/>
        </w:rPr>
        <w:t> </w:t>
      </w:r>
      <w:r>
        <w:rPr>
          <w:b/>
          <w:sz w:val="28"/>
        </w:rPr>
        <w:t>аккультурационного</w:t>
      </w:r>
      <w:r>
        <w:rPr>
          <w:b/>
          <w:spacing w:val="-6"/>
          <w:sz w:val="28"/>
        </w:rPr>
        <w:t> </w:t>
      </w:r>
      <w:r>
        <w:rPr>
          <w:b/>
          <w:sz w:val="28"/>
        </w:rPr>
        <w:t>стресса</w:t>
      </w:r>
      <w:r>
        <w:rPr>
          <w:b/>
          <w:spacing w:val="-6"/>
          <w:sz w:val="28"/>
        </w:rPr>
        <w:t> </w:t>
      </w:r>
      <w:r>
        <w:rPr>
          <w:b/>
          <w:sz w:val="28"/>
        </w:rPr>
        <w:t>в</w:t>
      </w:r>
      <w:r>
        <w:rPr>
          <w:b/>
          <w:spacing w:val="-8"/>
          <w:sz w:val="28"/>
        </w:rPr>
        <w:t> </w:t>
      </w:r>
      <w:r>
        <w:rPr>
          <w:b/>
          <w:spacing w:val="-5"/>
          <w:sz w:val="28"/>
        </w:rPr>
        <w:t>США</w:t>
      </w:r>
    </w:p>
    <w:p>
      <w:pPr>
        <w:pStyle w:val="BodyText"/>
        <w:ind w:left="0" w:right="0" w:firstLine="0"/>
        <w:jc w:val="left"/>
        <w:rPr>
          <w:b/>
        </w:rPr>
      </w:pPr>
    </w:p>
    <w:p>
      <w:pPr>
        <w:pStyle w:val="BodyText"/>
        <w:spacing w:before="104"/>
        <w:ind w:left="0" w:right="0" w:firstLine="0"/>
        <w:jc w:val="left"/>
        <w:rPr>
          <w:b/>
        </w:rPr>
      </w:pPr>
    </w:p>
    <w:tbl>
      <w:tblPr>
        <w:tblW w:w="0" w:type="auto"/>
        <w:jc w:val="left"/>
        <w:tblInd w:w="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53"/>
        <w:gridCol w:w="2269"/>
        <w:gridCol w:w="2351"/>
        <w:gridCol w:w="2086"/>
      </w:tblGrid>
      <w:tr>
        <w:trPr>
          <w:trHeight w:val="957" w:hRule="atLeast"/>
        </w:trPr>
        <w:tc>
          <w:tcPr>
            <w:tcW w:w="2653" w:type="dxa"/>
            <w:vMerge w:val="restart"/>
          </w:tcPr>
          <w:p>
            <w:pPr>
              <w:pStyle w:val="TableParagraph"/>
              <w:spacing w:before="61"/>
              <w:rPr>
                <w:b/>
                <w:sz w:val="24"/>
              </w:rPr>
            </w:pPr>
          </w:p>
          <w:p>
            <w:pPr>
              <w:pStyle w:val="TableParagraph"/>
              <w:ind w:left="203"/>
              <w:rPr>
                <w:b/>
                <w:sz w:val="24"/>
              </w:rPr>
            </w:pPr>
            <w:r>
              <w:rPr>
                <w:b/>
                <w:sz w:val="24"/>
              </w:rPr>
              <w:t>Шкалы </w:t>
            </w:r>
            <w:r>
              <w:rPr>
                <w:b/>
                <w:spacing w:val="-2"/>
                <w:sz w:val="24"/>
              </w:rPr>
              <w:t>опросника</w:t>
            </w:r>
          </w:p>
        </w:tc>
        <w:tc>
          <w:tcPr>
            <w:tcW w:w="6706" w:type="dxa"/>
            <w:gridSpan w:val="3"/>
          </w:tcPr>
          <w:p>
            <w:pPr>
              <w:pStyle w:val="TableParagraph"/>
              <w:spacing w:before="61"/>
              <w:rPr>
                <w:b/>
                <w:sz w:val="24"/>
              </w:rPr>
            </w:pPr>
          </w:p>
          <w:p>
            <w:pPr>
              <w:pStyle w:val="TableParagraph"/>
              <w:ind w:left="116"/>
              <w:jc w:val="center"/>
              <w:rPr>
                <w:b/>
                <w:sz w:val="24"/>
              </w:rPr>
            </w:pPr>
            <w:r>
              <w:rPr>
                <w:b/>
                <w:sz w:val="24"/>
              </w:rPr>
              <w:t>Средние</w:t>
            </w:r>
            <w:r>
              <w:rPr>
                <w:b/>
                <w:spacing w:val="-5"/>
                <w:sz w:val="24"/>
              </w:rPr>
              <w:t> </w:t>
            </w:r>
            <w:r>
              <w:rPr>
                <w:b/>
                <w:sz w:val="24"/>
              </w:rPr>
              <w:t>показатели</w:t>
            </w:r>
            <w:r>
              <w:rPr>
                <w:b/>
                <w:spacing w:val="-3"/>
                <w:sz w:val="24"/>
              </w:rPr>
              <w:t> </w:t>
            </w:r>
            <w:r>
              <w:rPr>
                <w:b/>
                <w:sz w:val="24"/>
              </w:rPr>
              <w:t>и</w:t>
            </w:r>
            <w:r>
              <w:rPr>
                <w:b/>
                <w:spacing w:val="-5"/>
                <w:sz w:val="24"/>
              </w:rPr>
              <w:t> </w:t>
            </w:r>
            <w:r>
              <w:rPr>
                <w:b/>
                <w:sz w:val="24"/>
              </w:rPr>
              <w:t>стандартное</w:t>
            </w:r>
            <w:r>
              <w:rPr>
                <w:b/>
                <w:spacing w:val="-4"/>
                <w:sz w:val="24"/>
              </w:rPr>
              <w:t> </w:t>
            </w:r>
            <w:r>
              <w:rPr>
                <w:b/>
                <w:spacing w:val="-2"/>
                <w:sz w:val="24"/>
              </w:rPr>
              <w:t>отклонение</w:t>
            </w:r>
          </w:p>
        </w:tc>
      </w:tr>
      <w:tr>
        <w:trPr>
          <w:trHeight w:val="1230" w:hRule="atLeast"/>
        </w:trPr>
        <w:tc>
          <w:tcPr>
            <w:tcW w:w="2653" w:type="dxa"/>
            <w:vMerge/>
            <w:tcBorders>
              <w:top w:val="nil"/>
            </w:tcBorders>
          </w:tcPr>
          <w:p>
            <w:pPr>
              <w:rPr>
                <w:sz w:val="2"/>
                <w:szCs w:val="2"/>
              </w:rPr>
            </w:pPr>
          </w:p>
        </w:tc>
        <w:tc>
          <w:tcPr>
            <w:tcW w:w="2269" w:type="dxa"/>
          </w:tcPr>
          <w:p>
            <w:pPr>
              <w:pStyle w:val="TableParagraph"/>
              <w:spacing w:before="56"/>
              <w:rPr>
                <w:b/>
                <w:sz w:val="24"/>
              </w:rPr>
            </w:pPr>
          </w:p>
          <w:p>
            <w:pPr>
              <w:pStyle w:val="TableParagraph"/>
              <w:ind w:left="116"/>
              <w:jc w:val="center"/>
              <w:rPr>
                <w:i/>
                <w:sz w:val="24"/>
              </w:rPr>
            </w:pPr>
            <w:r>
              <w:rPr>
                <w:i/>
                <w:spacing w:val="-2"/>
                <w:sz w:val="24"/>
              </w:rPr>
              <w:t>Испаноговорящие</w:t>
            </w:r>
          </w:p>
        </w:tc>
        <w:tc>
          <w:tcPr>
            <w:tcW w:w="2351" w:type="dxa"/>
          </w:tcPr>
          <w:p>
            <w:pPr>
              <w:pStyle w:val="TableParagraph"/>
              <w:spacing w:before="56"/>
              <w:rPr>
                <w:b/>
                <w:sz w:val="24"/>
              </w:rPr>
            </w:pPr>
          </w:p>
          <w:p>
            <w:pPr>
              <w:pStyle w:val="TableParagraph"/>
              <w:ind w:left="115"/>
              <w:jc w:val="center"/>
              <w:rPr>
                <w:i/>
                <w:sz w:val="24"/>
              </w:rPr>
            </w:pPr>
            <w:r>
              <w:rPr>
                <w:i/>
                <w:spacing w:val="-2"/>
                <w:sz w:val="24"/>
              </w:rPr>
              <w:t>Афроамериканцы</w:t>
            </w:r>
          </w:p>
        </w:tc>
        <w:tc>
          <w:tcPr>
            <w:tcW w:w="2086" w:type="dxa"/>
          </w:tcPr>
          <w:p>
            <w:pPr>
              <w:pStyle w:val="TableParagraph"/>
              <w:spacing w:before="56"/>
              <w:rPr>
                <w:b/>
                <w:sz w:val="24"/>
              </w:rPr>
            </w:pPr>
          </w:p>
          <w:p>
            <w:pPr>
              <w:pStyle w:val="TableParagraph"/>
              <w:ind w:left="705" w:right="278" w:hanging="305"/>
              <w:rPr>
                <w:i/>
                <w:sz w:val="24"/>
              </w:rPr>
            </w:pPr>
            <w:r>
              <w:rPr>
                <w:i/>
                <w:sz w:val="24"/>
              </w:rPr>
              <w:t>Мигранты</w:t>
            </w:r>
            <w:r>
              <w:rPr>
                <w:i/>
                <w:spacing w:val="-15"/>
                <w:sz w:val="24"/>
              </w:rPr>
              <w:t> </w:t>
            </w:r>
            <w:r>
              <w:rPr>
                <w:i/>
                <w:sz w:val="24"/>
              </w:rPr>
              <w:t>из </w:t>
            </w:r>
            <w:r>
              <w:rPr>
                <w:i/>
                <w:spacing w:val="-2"/>
                <w:sz w:val="24"/>
              </w:rPr>
              <w:t>Европы</w:t>
            </w:r>
          </w:p>
        </w:tc>
      </w:tr>
      <w:tr>
        <w:trPr>
          <w:trHeight w:val="1233" w:hRule="atLeast"/>
        </w:trPr>
        <w:tc>
          <w:tcPr>
            <w:tcW w:w="2653" w:type="dxa"/>
          </w:tcPr>
          <w:p>
            <w:pPr>
              <w:pStyle w:val="TableParagraph"/>
              <w:spacing w:before="61"/>
              <w:rPr>
                <w:b/>
                <w:sz w:val="24"/>
              </w:rPr>
            </w:pPr>
          </w:p>
          <w:p>
            <w:pPr>
              <w:pStyle w:val="TableParagraph"/>
              <w:ind w:left="203"/>
              <w:rPr>
                <w:b/>
                <w:sz w:val="24"/>
              </w:rPr>
            </w:pPr>
            <w:r>
              <w:rPr>
                <w:b/>
                <w:spacing w:val="-2"/>
                <w:sz w:val="24"/>
              </w:rPr>
              <w:t>Воспринимаемая дискриминация</w:t>
            </w:r>
          </w:p>
        </w:tc>
        <w:tc>
          <w:tcPr>
            <w:tcW w:w="2269" w:type="dxa"/>
          </w:tcPr>
          <w:p>
            <w:pPr>
              <w:pStyle w:val="TableParagraph"/>
              <w:spacing w:before="56"/>
              <w:rPr>
                <w:b/>
                <w:sz w:val="24"/>
              </w:rPr>
            </w:pPr>
          </w:p>
          <w:p>
            <w:pPr>
              <w:pStyle w:val="TableParagraph"/>
              <w:ind w:left="714"/>
              <w:rPr>
                <w:sz w:val="24"/>
              </w:rPr>
            </w:pPr>
            <w:r>
              <w:rPr>
                <w:sz w:val="24"/>
              </w:rPr>
              <w:t>18.3 </w:t>
            </w:r>
            <w:r>
              <w:rPr>
                <w:spacing w:val="-2"/>
                <w:sz w:val="24"/>
              </w:rPr>
              <w:t>(9.4)</w:t>
            </w:r>
          </w:p>
        </w:tc>
        <w:tc>
          <w:tcPr>
            <w:tcW w:w="2351" w:type="dxa"/>
          </w:tcPr>
          <w:p>
            <w:pPr>
              <w:pStyle w:val="TableParagraph"/>
              <w:spacing w:before="56"/>
              <w:rPr>
                <w:b/>
                <w:sz w:val="24"/>
              </w:rPr>
            </w:pPr>
          </w:p>
          <w:p>
            <w:pPr>
              <w:pStyle w:val="TableParagraph"/>
              <w:ind w:left="692"/>
              <w:rPr>
                <w:sz w:val="24"/>
              </w:rPr>
            </w:pPr>
            <w:r>
              <w:rPr>
                <w:sz w:val="24"/>
              </w:rPr>
              <w:t>15.8 </w:t>
            </w:r>
            <w:r>
              <w:rPr>
                <w:spacing w:val="-2"/>
                <w:sz w:val="24"/>
              </w:rPr>
              <w:t>(10.1)</w:t>
            </w:r>
          </w:p>
        </w:tc>
        <w:tc>
          <w:tcPr>
            <w:tcW w:w="2086" w:type="dxa"/>
          </w:tcPr>
          <w:p>
            <w:pPr>
              <w:pStyle w:val="TableParagraph"/>
              <w:spacing w:before="56"/>
              <w:rPr>
                <w:b/>
                <w:sz w:val="24"/>
              </w:rPr>
            </w:pPr>
          </w:p>
          <w:p>
            <w:pPr>
              <w:pStyle w:val="TableParagraph"/>
              <w:ind w:left="621"/>
              <w:rPr>
                <w:sz w:val="24"/>
              </w:rPr>
            </w:pPr>
            <w:r>
              <w:rPr>
                <w:sz w:val="24"/>
              </w:rPr>
              <w:t>14.1 </w:t>
            </w:r>
            <w:r>
              <w:rPr>
                <w:spacing w:val="-2"/>
                <w:sz w:val="24"/>
              </w:rPr>
              <w:t>(8.5)</w:t>
            </w:r>
          </w:p>
        </w:tc>
      </w:tr>
      <w:tr>
        <w:trPr>
          <w:trHeight w:val="956" w:hRule="atLeast"/>
        </w:trPr>
        <w:tc>
          <w:tcPr>
            <w:tcW w:w="2653" w:type="dxa"/>
          </w:tcPr>
          <w:p>
            <w:pPr>
              <w:pStyle w:val="TableParagraph"/>
              <w:spacing w:before="97"/>
              <w:ind w:left="203" w:right="376"/>
              <w:rPr>
                <w:b/>
                <w:sz w:val="24"/>
              </w:rPr>
            </w:pPr>
            <w:r>
              <w:rPr>
                <w:b/>
                <w:sz w:val="24"/>
              </w:rPr>
              <w:t>Стресс,</w:t>
            </w:r>
            <w:r>
              <w:rPr>
                <w:b/>
                <w:spacing w:val="-15"/>
                <w:sz w:val="24"/>
              </w:rPr>
              <w:t> </w:t>
            </w:r>
            <w:r>
              <w:rPr>
                <w:b/>
                <w:sz w:val="24"/>
              </w:rPr>
              <w:t>связанный с миграцией</w:t>
            </w:r>
          </w:p>
        </w:tc>
        <w:tc>
          <w:tcPr>
            <w:tcW w:w="2269" w:type="dxa"/>
          </w:tcPr>
          <w:p>
            <w:pPr>
              <w:pStyle w:val="TableParagraph"/>
              <w:spacing w:before="56"/>
              <w:rPr>
                <w:b/>
                <w:sz w:val="24"/>
              </w:rPr>
            </w:pPr>
          </w:p>
          <w:p>
            <w:pPr>
              <w:pStyle w:val="TableParagraph"/>
              <w:ind w:left="774"/>
              <w:rPr>
                <w:sz w:val="24"/>
              </w:rPr>
            </w:pPr>
            <w:r>
              <w:rPr>
                <w:sz w:val="24"/>
              </w:rPr>
              <w:t>4.4 </w:t>
            </w:r>
            <w:r>
              <w:rPr>
                <w:spacing w:val="-2"/>
                <w:sz w:val="24"/>
              </w:rPr>
              <w:t>(4.5)</w:t>
            </w:r>
          </w:p>
        </w:tc>
        <w:tc>
          <w:tcPr>
            <w:tcW w:w="2351" w:type="dxa"/>
          </w:tcPr>
          <w:p>
            <w:pPr>
              <w:pStyle w:val="TableParagraph"/>
              <w:spacing w:before="56"/>
              <w:rPr>
                <w:b/>
                <w:sz w:val="24"/>
              </w:rPr>
            </w:pPr>
          </w:p>
          <w:p>
            <w:pPr>
              <w:pStyle w:val="TableParagraph"/>
              <w:ind w:left="812"/>
              <w:rPr>
                <w:sz w:val="24"/>
              </w:rPr>
            </w:pPr>
            <w:r>
              <w:rPr>
                <w:sz w:val="24"/>
              </w:rPr>
              <w:t>2.1 </w:t>
            </w:r>
            <w:r>
              <w:rPr>
                <w:spacing w:val="-2"/>
                <w:sz w:val="24"/>
              </w:rPr>
              <w:t>(2.7)</w:t>
            </w:r>
          </w:p>
        </w:tc>
        <w:tc>
          <w:tcPr>
            <w:tcW w:w="2086" w:type="dxa"/>
          </w:tcPr>
          <w:p>
            <w:pPr>
              <w:pStyle w:val="TableParagraph"/>
              <w:spacing w:before="56"/>
              <w:rPr>
                <w:b/>
                <w:sz w:val="24"/>
              </w:rPr>
            </w:pPr>
          </w:p>
          <w:p>
            <w:pPr>
              <w:pStyle w:val="TableParagraph"/>
              <w:ind w:left="681"/>
              <w:rPr>
                <w:sz w:val="24"/>
              </w:rPr>
            </w:pPr>
            <w:r>
              <w:rPr>
                <w:sz w:val="24"/>
              </w:rPr>
              <w:t>1.9 </w:t>
            </w:r>
            <w:r>
              <w:rPr>
                <w:spacing w:val="-2"/>
                <w:sz w:val="24"/>
              </w:rPr>
              <w:t>(3.0)</w:t>
            </w:r>
          </w:p>
        </w:tc>
      </w:tr>
      <w:tr>
        <w:trPr>
          <w:trHeight w:val="1506" w:hRule="atLeast"/>
        </w:trPr>
        <w:tc>
          <w:tcPr>
            <w:tcW w:w="2653" w:type="dxa"/>
          </w:tcPr>
          <w:p>
            <w:pPr>
              <w:pStyle w:val="TableParagraph"/>
              <w:spacing w:before="61"/>
              <w:rPr>
                <w:b/>
                <w:sz w:val="24"/>
              </w:rPr>
            </w:pPr>
          </w:p>
          <w:p>
            <w:pPr>
              <w:pStyle w:val="TableParagraph"/>
              <w:ind w:left="203"/>
              <w:rPr>
                <w:b/>
                <w:sz w:val="24"/>
              </w:rPr>
            </w:pPr>
            <w:r>
              <w:rPr>
                <w:b/>
                <w:spacing w:val="-2"/>
                <w:sz w:val="24"/>
              </w:rPr>
              <w:t>Общий аккультурационный стресс</w:t>
            </w:r>
          </w:p>
        </w:tc>
        <w:tc>
          <w:tcPr>
            <w:tcW w:w="2269" w:type="dxa"/>
          </w:tcPr>
          <w:p>
            <w:pPr>
              <w:pStyle w:val="TableParagraph"/>
              <w:spacing w:before="56"/>
              <w:rPr>
                <w:b/>
                <w:sz w:val="24"/>
              </w:rPr>
            </w:pPr>
          </w:p>
          <w:p>
            <w:pPr>
              <w:pStyle w:val="TableParagraph"/>
              <w:ind w:left="654"/>
              <w:rPr>
                <w:sz w:val="24"/>
              </w:rPr>
            </w:pPr>
            <w:r>
              <w:rPr>
                <w:sz w:val="24"/>
              </w:rPr>
              <w:t>22.7 </w:t>
            </w:r>
            <w:r>
              <w:rPr>
                <w:spacing w:val="-2"/>
                <w:sz w:val="24"/>
              </w:rPr>
              <w:t>(12.1)</w:t>
            </w:r>
          </w:p>
        </w:tc>
        <w:tc>
          <w:tcPr>
            <w:tcW w:w="2351" w:type="dxa"/>
          </w:tcPr>
          <w:p>
            <w:pPr>
              <w:pStyle w:val="TableParagraph"/>
              <w:spacing w:before="56"/>
              <w:rPr>
                <w:b/>
                <w:sz w:val="24"/>
              </w:rPr>
            </w:pPr>
          </w:p>
          <w:p>
            <w:pPr>
              <w:pStyle w:val="TableParagraph"/>
              <w:ind w:left="692"/>
              <w:rPr>
                <w:sz w:val="24"/>
              </w:rPr>
            </w:pPr>
            <w:r>
              <w:rPr>
                <w:sz w:val="24"/>
              </w:rPr>
              <w:t>17.9 </w:t>
            </w:r>
            <w:r>
              <w:rPr>
                <w:spacing w:val="-2"/>
                <w:sz w:val="24"/>
              </w:rPr>
              <w:t>(12.0)</w:t>
            </w:r>
          </w:p>
        </w:tc>
        <w:tc>
          <w:tcPr>
            <w:tcW w:w="2086" w:type="dxa"/>
          </w:tcPr>
          <w:p>
            <w:pPr>
              <w:pStyle w:val="TableParagraph"/>
              <w:spacing w:before="56"/>
              <w:rPr>
                <w:b/>
                <w:sz w:val="24"/>
              </w:rPr>
            </w:pPr>
          </w:p>
          <w:p>
            <w:pPr>
              <w:pStyle w:val="TableParagraph"/>
              <w:ind w:left="561"/>
              <w:rPr>
                <w:sz w:val="24"/>
              </w:rPr>
            </w:pPr>
            <w:r>
              <w:rPr>
                <w:sz w:val="24"/>
              </w:rPr>
              <w:t>16.1 </w:t>
            </w:r>
            <w:r>
              <w:rPr>
                <w:spacing w:val="-2"/>
                <w:sz w:val="24"/>
              </w:rPr>
              <w:t>(10.1)</w:t>
            </w:r>
          </w:p>
        </w:tc>
      </w:tr>
    </w:tbl>
    <w:p>
      <w:pPr>
        <w:pStyle w:val="Heading4"/>
        <w:spacing w:before="235"/>
        <w:ind w:right="565"/>
      </w:pPr>
      <w:r>
        <w:rPr/>
        <w:t>По результатам апробации в 2022 г.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w:t>
      </w:r>
      <w:r>
        <w:rPr>
          <w:spacing w:val="-6"/>
        </w:rPr>
        <w:t> </w:t>
      </w:r>
      <w:r>
        <w:rPr/>
        <w:t>на</w:t>
      </w:r>
      <w:r>
        <w:rPr>
          <w:spacing w:val="-5"/>
        </w:rPr>
        <w:t> </w:t>
      </w:r>
      <w:r>
        <w:rPr/>
        <w:t>основании</w:t>
      </w:r>
      <w:r>
        <w:rPr>
          <w:spacing w:val="-5"/>
        </w:rPr>
        <w:t> </w:t>
      </w:r>
      <w:r>
        <w:rPr/>
        <w:t>статистического</w:t>
      </w:r>
      <w:r>
        <w:rPr>
          <w:spacing w:val="-4"/>
        </w:rPr>
        <w:t> </w:t>
      </w:r>
      <w:r>
        <w:rPr/>
        <w:t>анализа</w:t>
      </w:r>
      <w:r>
        <w:rPr>
          <w:spacing w:val="-6"/>
        </w:rPr>
        <w:t> </w:t>
      </w:r>
      <w:r>
        <w:rPr/>
        <w:t>распределения</w:t>
      </w:r>
      <w:r>
        <w:rPr>
          <w:spacing w:val="-8"/>
        </w:rPr>
        <w:t> </w:t>
      </w:r>
      <w:r>
        <w:rPr/>
        <w:t>показателей у детей — иностранных граждан, выделены следующие нормативы.</w:t>
      </w:r>
    </w:p>
    <w:p>
      <w:pPr>
        <w:pStyle w:val="Heading4"/>
        <w:spacing w:after="0"/>
        <w:sectPr>
          <w:pgSz w:w="11910" w:h="16840"/>
          <w:pgMar w:header="0" w:footer="970" w:top="1040" w:bottom="1220" w:left="1417" w:right="283"/>
        </w:sectPr>
      </w:pPr>
    </w:p>
    <w:p>
      <w:pPr>
        <w:spacing w:before="74"/>
        <w:ind w:left="1196" w:right="0" w:firstLine="7045"/>
        <w:jc w:val="left"/>
        <w:rPr>
          <w:b/>
          <w:sz w:val="28"/>
        </w:rPr>
      </w:pPr>
      <w:r>
        <w:rPr>
          <w:b/>
          <w:i/>
          <w:sz w:val="28"/>
        </w:rPr>
        <w:t>Таблица</w:t>
      </w:r>
      <w:r>
        <w:rPr>
          <w:b/>
          <w:i/>
          <w:spacing w:val="-18"/>
          <w:sz w:val="28"/>
        </w:rPr>
        <w:t> </w:t>
      </w:r>
      <w:r>
        <w:rPr>
          <w:b/>
          <w:i/>
          <w:sz w:val="28"/>
        </w:rPr>
        <w:t>24 </w:t>
      </w:r>
      <w:r>
        <w:rPr>
          <w:b/>
          <w:sz w:val="28"/>
        </w:rPr>
        <w:t>Пересмотренные критерии оценки по шкале на выборках несовершеннолетних детей иностранных граждан в России</w:t>
      </w:r>
    </w:p>
    <w:p>
      <w:pPr>
        <w:pStyle w:val="BodyText"/>
        <w:ind w:left="0" w:right="0" w:firstLine="0"/>
        <w:jc w:val="left"/>
        <w:rPr>
          <w:b/>
        </w:rPr>
      </w:pPr>
    </w:p>
    <w:p>
      <w:pPr>
        <w:pStyle w:val="BodyText"/>
        <w:ind w:left="0" w:right="0" w:firstLine="0"/>
        <w:jc w:val="left"/>
        <w:rPr>
          <w:b/>
        </w:rPr>
      </w:pPr>
    </w:p>
    <w:p>
      <w:pPr>
        <w:pStyle w:val="BodyText"/>
        <w:spacing w:before="34"/>
        <w:ind w:left="0" w:right="0" w:firstLine="0"/>
        <w:jc w:val="left"/>
        <w:rPr>
          <w:b/>
        </w:rPr>
      </w:pPr>
    </w:p>
    <w:tbl>
      <w:tblPr>
        <w:tblW w:w="0" w:type="auto"/>
        <w:jc w:val="left"/>
        <w:tblInd w:w="5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92"/>
        <w:gridCol w:w="2609"/>
        <w:gridCol w:w="2417"/>
        <w:gridCol w:w="2023"/>
      </w:tblGrid>
      <w:tr>
        <w:trPr>
          <w:trHeight w:val="714" w:hRule="atLeast"/>
        </w:trPr>
        <w:tc>
          <w:tcPr>
            <w:tcW w:w="1892" w:type="dxa"/>
            <w:vMerge w:val="restart"/>
          </w:tcPr>
          <w:p>
            <w:pPr>
              <w:pStyle w:val="TableParagraph"/>
              <w:spacing w:before="61"/>
              <w:rPr>
                <w:b/>
                <w:sz w:val="24"/>
              </w:rPr>
            </w:pPr>
          </w:p>
          <w:p>
            <w:pPr>
              <w:pStyle w:val="TableParagraph"/>
              <w:ind w:left="527"/>
              <w:rPr>
                <w:b/>
                <w:sz w:val="24"/>
              </w:rPr>
            </w:pPr>
            <w:r>
              <w:rPr>
                <w:b/>
                <w:spacing w:val="-2"/>
                <w:sz w:val="24"/>
              </w:rPr>
              <w:t>Уровни</w:t>
            </w:r>
          </w:p>
        </w:tc>
        <w:tc>
          <w:tcPr>
            <w:tcW w:w="7049" w:type="dxa"/>
            <w:gridSpan w:val="3"/>
          </w:tcPr>
          <w:p>
            <w:pPr>
              <w:pStyle w:val="TableParagraph"/>
              <w:spacing w:before="61"/>
              <w:rPr>
                <w:b/>
                <w:sz w:val="24"/>
              </w:rPr>
            </w:pPr>
          </w:p>
          <w:p>
            <w:pPr>
              <w:pStyle w:val="TableParagraph"/>
              <w:ind w:left="12"/>
              <w:jc w:val="center"/>
              <w:rPr>
                <w:b/>
                <w:sz w:val="24"/>
              </w:rPr>
            </w:pPr>
            <w:r>
              <w:rPr>
                <w:b/>
                <w:sz w:val="24"/>
              </w:rPr>
              <w:t>Субшкалы</w:t>
            </w:r>
            <w:r>
              <w:rPr>
                <w:b/>
                <w:spacing w:val="-4"/>
                <w:sz w:val="24"/>
              </w:rPr>
              <w:t> </w:t>
            </w:r>
            <w:r>
              <w:rPr>
                <w:b/>
                <w:spacing w:val="-2"/>
                <w:sz w:val="24"/>
              </w:rPr>
              <w:t>(N=241)</w:t>
            </w:r>
          </w:p>
        </w:tc>
      </w:tr>
      <w:tr>
        <w:trPr>
          <w:trHeight w:val="1269" w:hRule="atLeast"/>
        </w:trPr>
        <w:tc>
          <w:tcPr>
            <w:tcW w:w="1892" w:type="dxa"/>
            <w:vMerge/>
            <w:tcBorders>
              <w:top w:val="nil"/>
            </w:tcBorders>
          </w:tcPr>
          <w:p>
            <w:pPr>
              <w:rPr>
                <w:sz w:val="2"/>
                <w:szCs w:val="2"/>
              </w:rPr>
            </w:pPr>
          </w:p>
        </w:tc>
        <w:tc>
          <w:tcPr>
            <w:tcW w:w="2609" w:type="dxa"/>
          </w:tcPr>
          <w:p>
            <w:pPr>
              <w:pStyle w:val="TableParagraph"/>
              <w:spacing w:before="56"/>
              <w:rPr>
                <w:b/>
                <w:sz w:val="24"/>
              </w:rPr>
            </w:pPr>
          </w:p>
          <w:p>
            <w:pPr>
              <w:pStyle w:val="TableParagraph"/>
              <w:ind w:left="268" w:right="255" w:firstLine="3"/>
              <w:jc w:val="center"/>
              <w:rPr>
                <w:sz w:val="24"/>
              </w:rPr>
            </w:pPr>
            <w:r>
              <w:rPr>
                <w:spacing w:val="-4"/>
                <w:sz w:val="24"/>
              </w:rPr>
              <w:t>Общий </w:t>
            </w:r>
            <w:r>
              <w:rPr>
                <w:spacing w:val="-2"/>
                <w:sz w:val="24"/>
              </w:rPr>
              <w:t>аккультурационный стресс</w:t>
            </w:r>
          </w:p>
        </w:tc>
        <w:tc>
          <w:tcPr>
            <w:tcW w:w="2417" w:type="dxa"/>
          </w:tcPr>
          <w:p>
            <w:pPr>
              <w:pStyle w:val="TableParagraph"/>
              <w:spacing w:before="56"/>
              <w:rPr>
                <w:b/>
                <w:sz w:val="24"/>
              </w:rPr>
            </w:pPr>
          </w:p>
          <w:p>
            <w:pPr>
              <w:pStyle w:val="TableParagraph"/>
              <w:ind w:left="405" w:hanging="75"/>
              <w:rPr>
                <w:sz w:val="24"/>
              </w:rPr>
            </w:pPr>
            <w:r>
              <w:rPr>
                <w:spacing w:val="-2"/>
                <w:sz w:val="24"/>
              </w:rPr>
              <w:t>Воспринимаемая дискриминация</w:t>
            </w:r>
          </w:p>
        </w:tc>
        <w:tc>
          <w:tcPr>
            <w:tcW w:w="2023" w:type="dxa"/>
          </w:tcPr>
          <w:p>
            <w:pPr>
              <w:pStyle w:val="TableParagraph"/>
              <w:spacing w:before="56"/>
              <w:rPr>
                <w:b/>
                <w:sz w:val="24"/>
              </w:rPr>
            </w:pPr>
          </w:p>
          <w:p>
            <w:pPr>
              <w:pStyle w:val="TableParagraph"/>
              <w:ind w:left="386" w:right="369" w:firstLine="2"/>
              <w:jc w:val="center"/>
              <w:rPr>
                <w:sz w:val="24"/>
              </w:rPr>
            </w:pPr>
            <w:r>
              <w:rPr>
                <w:spacing w:val="-2"/>
                <w:sz w:val="24"/>
              </w:rPr>
              <w:t>Стресс, </w:t>
            </w:r>
            <w:r>
              <w:rPr>
                <w:sz w:val="24"/>
              </w:rPr>
              <w:t>связанный</w:t>
            </w:r>
            <w:r>
              <w:rPr>
                <w:spacing w:val="-15"/>
                <w:sz w:val="24"/>
              </w:rPr>
              <w:t> </w:t>
            </w:r>
            <w:r>
              <w:rPr>
                <w:sz w:val="24"/>
              </w:rPr>
              <w:t>с </w:t>
            </w:r>
            <w:r>
              <w:rPr>
                <w:spacing w:val="-2"/>
                <w:sz w:val="24"/>
              </w:rPr>
              <w:t>миграцией</w:t>
            </w:r>
          </w:p>
        </w:tc>
      </w:tr>
      <w:tr>
        <w:trPr>
          <w:trHeight w:val="716" w:hRule="atLeast"/>
        </w:trPr>
        <w:tc>
          <w:tcPr>
            <w:tcW w:w="1892" w:type="dxa"/>
          </w:tcPr>
          <w:p>
            <w:pPr>
              <w:pStyle w:val="TableParagraph"/>
              <w:spacing w:before="56"/>
              <w:rPr>
                <w:b/>
                <w:sz w:val="24"/>
              </w:rPr>
            </w:pPr>
          </w:p>
          <w:p>
            <w:pPr>
              <w:pStyle w:val="TableParagraph"/>
              <w:ind w:left="100"/>
              <w:rPr>
                <w:sz w:val="24"/>
              </w:rPr>
            </w:pPr>
            <w:r>
              <w:rPr>
                <w:sz w:val="24"/>
              </w:rPr>
              <w:t>Ниже</w:t>
            </w:r>
            <w:r>
              <w:rPr>
                <w:spacing w:val="-5"/>
                <w:sz w:val="24"/>
              </w:rPr>
              <w:t> </w:t>
            </w:r>
            <w:r>
              <w:rPr>
                <w:spacing w:val="-2"/>
                <w:sz w:val="24"/>
              </w:rPr>
              <w:t>среднего</w:t>
            </w:r>
          </w:p>
        </w:tc>
        <w:tc>
          <w:tcPr>
            <w:tcW w:w="2609" w:type="dxa"/>
          </w:tcPr>
          <w:p>
            <w:pPr>
              <w:pStyle w:val="TableParagraph"/>
              <w:spacing w:before="56"/>
              <w:rPr>
                <w:b/>
                <w:sz w:val="24"/>
              </w:rPr>
            </w:pPr>
          </w:p>
          <w:p>
            <w:pPr>
              <w:pStyle w:val="TableParagraph"/>
              <w:ind w:left="13"/>
              <w:jc w:val="center"/>
              <w:rPr>
                <w:sz w:val="24"/>
              </w:rPr>
            </w:pPr>
            <w:r>
              <w:rPr>
                <w:spacing w:val="-2"/>
                <w:sz w:val="24"/>
              </w:rPr>
              <w:t>&lt;5.58</w:t>
            </w:r>
          </w:p>
        </w:tc>
        <w:tc>
          <w:tcPr>
            <w:tcW w:w="2417" w:type="dxa"/>
          </w:tcPr>
          <w:p>
            <w:pPr>
              <w:pStyle w:val="TableParagraph"/>
              <w:spacing w:before="56"/>
              <w:rPr>
                <w:b/>
                <w:sz w:val="24"/>
              </w:rPr>
            </w:pPr>
          </w:p>
          <w:p>
            <w:pPr>
              <w:pStyle w:val="TableParagraph"/>
              <w:ind w:left="18" w:right="3"/>
              <w:jc w:val="center"/>
              <w:rPr>
                <w:sz w:val="24"/>
              </w:rPr>
            </w:pPr>
            <w:r>
              <w:rPr>
                <w:spacing w:val="-5"/>
                <w:sz w:val="24"/>
              </w:rPr>
              <w:t>&lt;3</w:t>
            </w:r>
          </w:p>
        </w:tc>
        <w:tc>
          <w:tcPr>
            <w:tcW w:w="2023" w:type="dxa"/>
          </w:tcPr>
          <w:p>
            <w:pPr>
              <w:pStyle w:val="TableParagraph"/>
              <w:spacing w:before="56"/>
              <w:rPr>
                <w:b/>
                <w:sz w:val="24"/>
              </w:rPr>
            </w:pPr>
          </w:p>
          <w:p>
            <w:pPr>
              <w:pStyle w:val="TableParagraph"/>
              <w:ind w:left="15"/>
              <w:jc w:val="center"/>
              <w:rPr>
                <w:sz w:val="24"/>
              </w:rPr>
            </w:pPr>
            <w:r>
              <w:rPr>
                <w:spacing w:val="-2"/>
                <w:sz w:val="24"/>
              </w:rPr>
              <w:t>&lt;1.41</w:t>
            </w:r>
          </w:p>
        </w:tc>
      </w:tr>
      <w:tr>
        <w:trPr>
          <w:trHeight w:val="714" w:hRule="atLeast"/>
        </w:trPr>
        <w:tc>
          <w:tcPr>
            <w:tcW w:w="1892" w:type="dxa"/>
          </w:tcPr>
          <w:p>
            <w:pPr>
              <w:pStyle w:val="TableParagraph"/>
              <w:spacing w:before="56"/>
              <w:rPr>
                <w:b/>
                <w:sz w:val="24"/>
              </w:rPr>
            </w:pPr>
          </w:p>
          <w:p>
            <w:pPr>
              <w:pStyle w:val="TableParagraph"/>
              <w:ind w:left="100"/>
              <w:rPr>
                <w:sz w:val="24"/>
              </w:rPr>
            </w:pPr>
            <w:r>
              <w:rPr>
                <w:spacing w:val="-2"/>
                <w:sz w:val="24"/>
              </w:rPr>
              <w:t>Средний</w:t>
            </w:r>
          </w:p>
        </w:tc>
        <w:tc>
          <w:tcPr>
            <w:tcW w:w="2609" w:type="dxa"/>
          </w:tcPr>
          <w:p>
            <w:pPr>
              <w:pStyle w:val="TableParagraph"/>
              <w:spacing w:before="56"/>
              <w:rPr>
                <w:b/>
                <w:sz w:val="24"/>
              </w:rPr>
            </w:pPr>
          </w:p>
          <w:p>
            <w:pPr>
              <w:pStyle w:val="TableParagraph"/>
              <w:ind w:left="702"/>
              <w:rPr>
                <w:sz w:val="24"/>
              </w:rPr>
            </w:pPr>
            <w:r>
              <w:rPr>
                <w:sz w:val="24"/>
              </w:rPr>
              <w:t>5.58 – </w:t>
            </w:r>
            <w:r>
              <w:rPr>
                <w:spacing w:val="-2"/>
                <w:sz w:val="24"/>
              </w:rPr>
              <w:t>26.86</w:t>
            </w:r>
          </w:p>
        </w:tc>
        <w:tc>
          <w:tcPr>
            <w:tcW w:w="2417" w:type="dxa"/>
          </w:tcPr>
          <w:p>
            <w:pPr>
              <w:pStyle w:val="TableParagraph"/>
              <w:spacing w:before="56"/>
              <w:rPr>
                <w:b/>
                <w:sz w:val="24"/>
              </w:rPr>
            </w:pPr>
          </w:p>
          <w:p>
            <w:pPr>
              <w:pStyle w:val="TableParagraph"/>
              <w:ind w:left="18"/>
              <w:jc w:val="center"/>
              <w:rPr>
                <w:sz w:val="24"/>
              </w:rPr>
            </w:pPr>
            <w:r>
              <w:rPr>
                <w:sz w:val="24"/>
              </w:rPr>
              <w:t>3 – </w:t>
            </w:r>
            <w:r>
              <w:rPr>
                <w:spacing w:val="-2"/>
                <w:sz w:val="24"/>
              </w:rPr>
              <w:t>18.74</w:t>
            </w:r>
          </w:p>
        </w:tc>
        <w:tc>
          <w:tcPr>
            <w:tcW w:w="2023" w:type="dxa"/>
          </w:tcPr>
          <w:p>
            <w:pPr>
              <w:pStyle w:val="TableParagraph"/>
              <w:spacing w:before="56"/>
              <w:rPr>
                <w:b/>
                <w:sz w:val="24"/>
              </w:rPr>
            </w:pPr>
          </w:p>
          <w:p>
            <w:pPr>
              <w:pStyle w:val="TableParagraph"/>
              <w:ind w:left="470"/>
              <w:rPr>
                <w:sz w:val="24"/>
              </w:rPr>
            </w:pPr>
            <w:r>
              <w:rPr>
                <w:sz w:val="24"/>
              </w:rPr>
              <w:t>1.41 – </w:t>
            </w:r>
            <w:r>
              <w:rPr>
                <w:spacing w:val="-4"/>
                <w:sz w:val="24"/>
              </w:rPr>
              <w:t>9.95</w:t>
            </w:r>
          </w:p>
        </w:tc>
      </w:tr>
      <w:tr>
        <w:trPr>
          <w:trHeight w:val="716" w:hRule="atLeast"/>
        </w:trPr>
        <w:tc>
          <w:tcPr>
            <w:tcW w:w="1892" w:type="dxa"/>
          </w:tcPr>
          <w:p>
            <w:pPr>
              <w:pStyle w:val="TableParagraph"/>
              <w:spacing w:before="56"/>
              <w:rPr>
                <w:b/>
                <w:sz w:val="24"/>
              </w:rPr>
            </w:pPr>
          </w:p>
          <w:p>
            <w:pPr>
              <w:pStyle w:val="TableParagraph"/>
              <w:ind w:left="100"/>
              <w:rPr>
                <w:sz w:val="24"/>
              </w:rPr>
            </w:pPr>
            <w:r>
              <w:rPr>
                <w:sz w:val="24"/>
              </w:rPr>
              <w:t>Выше</w:t>
            </w:r>
            <w:r>
              <w:rPr>
                <w:spacing w:val="-2"/>
                <w:sz w:val="24"/>
              </w:rPr>
              <w:t> среднего</w:t>
            </w:r>
          </w:p>
        </w:tc>
        <w:tc>
          <w:tcPr>
            <w:tcW w:w="2609" w:type="dxa"/>
          </w:tcPr>
          <w:p>
            <w:pPr>
              <w:pStyle w:val="TableParagraph"/>
              <w:spacing w:before="56"/>
              <w:rPr>
                <w:b/>
                <w:sz w:val="24"/>
              </w:rPr>
            </w:pPr>
          </w:p>
          <w:p>
            <w:pPr>
              <w:pStyle w:val="TableParagraph"/>
              <w:ind w:left="13"/>
              <w:jc w:val="center"/>
              <w:rPr>
                <w:sz w:val="24"/>
              </w:rPr>
            </w:pPr>
            <w:r>
              <w:rPr>
                <w:spacing w:val="-2"/>
                <w:sz w:val="24"/>
              </w:rPr>
              <w:t>&gt;26.86</w:t>
            </w:r>
          </w:p>
        </w:tc>
        <w:tc>
          <w:tcPr>
            <w:tcW w:w="2417" w:type="dxa"/>
          </w:tcPr>
          <w:p>
            <w:pPr>
              <w:pStyle w:val="TableParagraph"/>
              <w:spacing w:before="56"/>
              <w:rPr>
                <w:b/>
                <w:sz w:val="24"/>
              </w:rPr>
            </w:pPr>
          </w:p>
          <w:p>
            <w:pPr>
              <w:pStyle w:val="TableParagraph"/>
              <w:ind w:left="18"/>
              <w:jc w:val="center"/>
              <w:rPr>
                <w:sz w:val="24"/>
              </w:rPr>
            </w:pPr>
            <w:r>
              <w:rPr>
                <w:spacing w:val="-2"/>
                <w:sz w:val="24"/>
              </w:rPr>
              <w:t>&gt;18.74</w:t>
            </w:r>
          </w:p>
        </w:tc>
        <w:tc>
          <w:tcPr>
            <w:tcW w:w="2023" w:type="dxa"/>
          </w:tcPr>
          <w:p>
            <w:pPr>
              <w:pStyle w:val="TableParagraph"/>
              <w:spacing w:before="56"/>
              <w:rPr>
                <w:b/>
                <w:sz w:val="24"/>
              </w:rPr>
            </w:pPr>
          </w:p>
          <w:p>
            <w:pPr>
              <w:pStyle w:val="TableParagraph"/>
              <w:ind w:left="15"/>
              <w:jc w:val="center"/>
              <w:rPr>
                <w:sz w:val="24"/>
              </w:rPr>
            </w:pPr>
            <w:r>
              <w:rPr>
                <w:spacing w:val="-2"/>
                <w:sz w:val="24"/>
              </w:rPr>
              <w:t>&gt;9.95</w:t>
            </w:r>
          </w:p>
        </w:tc>
      </w:tr>
    </w:tbl>
    <w:p>
      <w:pPr>
        <w:spacing w:before="234"/>
        <w:ind w:left="285" w:right="568" w:firstLine="0"/>
        <w:jc w:val="both"/>
        <w:rPr>
          <w:sz w:val="24"/>
        </w:rPr>
      </w:pPr>
      <w:r>
        <w:rPr>
          <w:i/>
          <w:sz w:val="24"/>
        </w:rPr>
        <w:t>Примечание. </w:t>
      </w:r>
      <w:r>
        <w:rPr>
          <w:sz w:val="24"/>
        </w:rPr>
        <w:t>Значимых гендерных различий не выявлено, в связи с чем оценка производится без учета пола ребенка (t-критерий Стьюдента для независимых выборок).</w:t>
      </w:r>
    </w:p>
    <w:p>
      <w:pPr>
        <w:pStyle w:val="Heading3"/>
        <w:spacing w:before="248"/>
      </w:pPr>
      <w:r>
        <w:rPr/>
        <w:t>Психометрические</w:t>
      </w:r>
      <w:r>
        <w:rPr>
          <w:spacing w:val="-16"/>
        </w:rPr>
        <w:t> </w:t>
      </w:r>
      <w:r>
        <w:rPr/>
        <w:t>характеристики</w:t>
      </w:r>
      <w:r>
        <w:rPr>
          <w:spacing w:val="-14"/>
        </w:rPr>
        <w:t> </w:t>
      </w:r>
      <w:r>
        <w:rPr>
          <w:spacing w:val="-2"/>
        </w:rPr>
        <w:t>методики</w:t>
      </w:r>
    </w:p>
    <w:p>
      <w:pPr>
        <w:spacing w:before="235"/>
        <w:ind w:left="285" w:right="562" w:firstLine="0"/>
        <w:jc w:val="both"/>
        <w:rPr>
          <w:sz w:val="28"/>
        </w:rPr>
      </w:pPr>
      <w:r>
        <w:rPr>
          <w:sz w:val="28"/>
        </w:rPr>
        <w:t>При разработке опросника аккультурационного стресса за основу была взята уже имеющаяся методика «Шкала социального, поведенческого, семейного</w:t>
      </w:r>
      <w:r>
        <w:rPr>
          <w:spacing w:val="-1"/>
          <w:sz w:val="28"/>
        </w:rPr>
        <w:t> </w:t>
      </w:r>
      <w:r>
        <w:rPr>
          <w:sz w:val="28"/>
        </w:rPr>
        <w:t>и средового аккультурационного стресса для детей» </w:t>
      </w:r>
      <w:r>
        <w:rPr>
          <w:i/>
          <w:sz w:val="28"/>
        </w:rPr>
        <w:t>(Societal, Attitudinal, Familial and Environmental, Acculturative Stress Scale for Children; SAFE-C) </w:t>
      </w:r>
      <w:r>
        <w:rPr>
          <w:sz w:val="28"/>
        </w:rPr>
        <w:t>(</w:t>
      </w:r>
      <w:r>
        <w:rPr>
          <w:i/>
          <w:sz w:val="28"/>
        </w:rPr>
        <w:t>Chavez </w:t>
      </w:r>
      <w:r>
        <w:rPr>
          <w:sz w:val="28"/>
        </w:rPr>
        <w:t>et al., 1997).</w:t>
      </w:r>
    </w:p>
    <w:p>
      <w:pPr>
        <w:pStyle w:val="Heading4"/>
        <w:spacing w:before="238"/>
        <w:ind w:right="566"/>
      </w:pPr>
      <w:r>
        <w:rPr/>
        <w:t>Авторы посчитали необходимым создать отдельную шкалу аккультурационного стресса как независимую методику в связи с тем, что в рамках</w:t>
      </w:r>
      <w:r>
        <w:rPr>
          <w:spacing w:val="76"/>
        </w:rPr>
        <w:t> </w:t>
      </w:r>
      <w:r>
        <w:rPr/>
        <w:t>опросника</w:t>
      </w:r>
      <w:r>
        <w:rPr>
          <w:spacing w:val="46"/>
          <w:w w:val="150"/>
        </w:rPr>
        <w:t> </w:t>
      </w:r>
      <w:r>
        <w:rPr>
          <w:i/>
        </w:rPr>
        <w:t>SAFE-C</w:t>
      </w:r>
      <w:r>
        <w:rPr>
          <w:i/>
          <w:spacing w:val="78"/>
        </w:rPr>
        <w:t> </w:t>
      </w:r>
      <w:r>
        <w:rPr/>
        <w:t>оказалось</w:t>
      </w:r>
      <w:r>
        <w:rPr>
          <w:spacing w:val="77"/>
        </w:rPr>
        <w:t> </w:t>
      </w:r>
      <w:r>
        <w:rPr/>
        <w:t>затруднительно</w:t>
      </w:r>
      <w:r>
        <w:rPr>
          <w:spacing w:val="79"/>
        </w:rPr>
        <w:t> </w:t>
      </w:r>
      <w:r>
        <w:rPr/>
        <w:t>выделить</w:t>
      </w:r>
      <w:r>
        <w:rPr>
          <w:spacing w:val="77"/>
        </w:rPr>
        <w:t> </w:t>
      </w:r>
      <w:r>
        <w:rPr/>
        <w:t>из</w:t>
      </w:r>
      <w:r>
        <w:rPr>
          <w:spacing w:val="77"/>
        </w:rPr>
        <w:t> </w:t>
      </w:r>
      <w:r>
        <w:rPr>
          <w:spacing w:val="-2"/>
        </w:rPr>
        <w:t>шкалы</w:t>
      </w:r>
    </w:p>
    <w:p>
      <w:pPr>
        <w:pStyle w:val="Heading4"/>
        <w:spacing w:before="2"/>
        <w:ind w:right="562"/>
      </w:pPr>
      <w:r>
        <w:rPr/>
        <w:t>«социального стресса» отдельные факторы, непосредственно свидетельствующие</w:t>
      </w:r>
      <w:r>
        <w:rPr>
          <w:spacing w:val="-18"/>
        </w:rPr>
        <w:t> </w:t>
      </w:r>
      <w:r>
        <w:rPr/>
        <w:t>о</w:t>
      </w:r>
      <w:r>
        <w:rPr>
          <w:spacing w:val="-17"/>
        </w:rPr>
        <w:t> </w:t>
      </w:r>
      <w:r>
        <w:rPr/>
        <w:t>стрессе</w:t>
      </w:r>
      <w:r>
        <w:rPr>
          <w:spacing w:val="-18"/>
        </w:rPr>
        <w:t> </w:t>
      </w:r>
      <w:r>
        <w:rPr/>
        <w:t>аккультурационном.</w:t>
      </w:r>
      <w:r>
        <w:rPr>
          <w:spacing w:val="-17"/>
        </w:rPr>
        <w:t> </w:t>
      </w:r>
      <w:r>
        <w:rPr/>
        <w:t>Кроме</w:t>
      </w:r>
      <w:r>
        <w:rPr>
          <w:spacing w:val="-18"/>
        </w:rPr>
        <w:t> </w:t>
      </w:r>
      <w:r>
        <w:rPr/>
        <w:t>того,</w:t>
      </w:r>
      <w:r>
        <w:rPr>
          <w:spacing w:val="-17"/>
        </w:rPr>
        <w:t> </w:t>
      </w:r>
      <w:r>
        <w:rPr/>
        <w:t>трехфакторная структура изначального опросника </w:t>
      </w:r>
      <w:r>
        <w:rPr>
          <w:i/>
        </w:rPr>
        <w:t>SAFE-C </w:t>
      </w:r>
      <w:r>
        <w:rPr/>
        <w:t>не была подтверждена эмпирически факторным анализом, таким образом нельзя говорить о ее соответствии реальным данным. Поэтому из шкалы </w:t>
      </w:r>
      <w:r>
        <w:rPr>
          <w:i/>
        </w:rPr>
        <w:t>SAFE-C </w:t>
      </w:r>
      <w:r>
        <w:rPr/>
        <w:t>для опросника аккультурационного стресса было выделено 20 утверждений, которые в процессе валидизации были сокращены до 12. Опросник был апробирован на 325 учащихся начальной школы США (средний возраст = 10.47, SD = .56) различных культурных групп.</w:t>
      </w:r>
    </w:p>
    <w:p>
      <w:pPr>
        <w:pStyle w:val="Heading4"/>
        <w:spacing w:before="240"/>
        <w:ind w:right="566"/>
      </w:pPr>
      <w:r>
        <w:rPr/>
        <w:t>Надежность методики и согласованность утверждений внутри шкал были проверены с помощью коэффициента альфа Кронбаха. Целиком для опросника</w:t>
      </w:r>
      <w:r>
        <w:rPr>
          <w:spacing w:val="75"/>
        </w:rPr>
        <w:t> </w:t>
      </w:r>
      <w:r>
        <w:rPr>
          <w:i/>
        </w:rPr>
        <w:t>ASIC</w:t>
      </w:r>
      <w:r>
        <w:rPr>
          <w:i/>
          <w:spacing w:val="77"/>
        </w:rPr>
        <w:t> </w:t>
      </w:r>
      <w:r>
        <w:rPr/>
        <w:t>показатель</w:t>
      </w:r>
      <w:r>
        <w:rPr>
          <w:spacing w:val="75"/>
        </w:rPr>
        <w:t> </w:t>
      </w:r>
      <w:r>
        <w:rPr/>
        <w:t>был</w:t>
      </w:r>
      <w:r>
        <w:rPr>
          <w:spacing w:val="74"/>
        </w:rPr>
        <w:t> </w:t>
      </w:r>
      <w:r>
        <w:rPr/>
        <w:t>равен</w:t>
      </w:r>
      <w:r>
        <w:rPr>
          <w:spacing w:val="75"/>
        </w:rPr>
        <w:t> </w:t>
      </w:r>
      <w:r>
        <w:rPr/>
        <w:t>.82.</w:t>
      </w:r>
      <w:r>
        <w:rPr>
          <w:spacing w:val="75"/>
        </w:rPr>
        <w:t> </w:t>
      </w:r>
      <w:r>
        <w:rPr/>
        <w:t>Для</w:t>
      </w:r>
      <w:r>
        <w:rPr>
          <w:spacing w:val="76"/>
        </w:rPr>
        <w:t> </w:t>
      </w:r>
      <w:r>
        <w:rPr/>
        <w:t>шкалы</w:t>
      </w:r>
      <w:r>
        <w:rPr>
          <w:spacing w:val="76"/>
        </w:rPr>
        <w:t> </w:t>
      </w:r>
      <w:r>
        <w:rPr>
          <w:spacing w:val="-2"/>
        </w:rPr>
        <w:t>«Воспринимаемая</w:t>
      </w:r>
    </w:p>
    <w:p>
      <w:pPr>
        <w:pStyle w:val="Heading4"/>
        <w:spacing w:after="0"/>
        <w:sectPr>
          <w:pgSz w:w="11910" w:h="16840"/>
          <w:pgMar w:header="0" w:footer="970" w:top="1040" w:bottom="1160" w:left="1417" w:right="283"/>
        </w:sectPr>
      </w:pPr>
    </w:p>
    <w:p>
      <w:pPr>
        <w:pStyle w:val="Heading4"/>
        <w:spacing w:before="67"/>
        <w:ind w:right="561"/>
      </w:pPr>
      <w:r>
        <w:rPr/>
        <w:t>дискриминация»</w:t>
      </w:r>
      <w:r>
        <w:rPr>
          <w:spacing w:val="-16"/>
        </w:rPr>
        <w:t> </w:t>
      </w:r>
      <w:r>
        <w:rPr/>
        <w:t>—</w:t>
      </w:r>
      <w:r>
        <w:rPr>
          <w:spacing w:val="-17"/>
        </w:rPr>
        <w:t> </w:t>
      </w:r>
      <w:r>
        <w:rPr/>
        <w:t>.79,</w:t>
      </w:r>
      <w:r>
        <w:rPr>
          <w:spacing w:val="-18"/>
        </w:rPr>
        <w:t> </w:t>
      </w:r>
      <w:r>
        <w:rPr/>
        <w:t>для</w:t>
      </w:r>
      <w:r>
        <w:rPr>
          <w:spacing w:val="-16"/>
        </w:rPr>
        <w:t> </w:t>
      </w:r>
      <w:r>
        <w:rPr/>
        <w:t>шкалы</w:t>
      </w:r>
      <w:r>
        <w:rPr>
          <w:spacing w:val="-17"/>
        </w:rPr>
        <w:t> </w:t>
      </w:r>
      <w:r>
        <w:rPr/>
        <w:t>«Стресс,</w:t>
      </w:r>
      <w:r>
        <w:rPr>
          <w:spacing w:val="-18"/>
        </w:rPr>
        <w:t> </w:t>
      </w:r>
      <w:r>
        <w:rPr/>
        <w:t>связанный</w:t>
      </w:r>
      <w:r>
        <w:rPr>
          <w:spacing w:val="-16"/>
        </w:rPr>
        <w:t> </w:t>
      </w:r>
      <w:r>
        <w:rPr/>
        <w:t>с</w:t>
      </w:r>
      <w:r>
        <w:rPr>
          <w:spacing w:val="-17"/>
        </w:rPr>
        <w:t> </w:t>
      </w:r>
      <w:r>
        <w:rPr/>
        <w:t>иммиграцией»</w:t>
      </w:r>
      <w:r>
        <w:rPr>
          <w:spacing w:val="-15"/>
        </w:rPr>
        <w:t> </w:t>
      </w:r>
      <w:r>
        <w:rPr/>
        <w:t>—</w:t>
      </w:r>
      <w:r>
        <w:rPr>
          <w:spacing w:val="-17"/>
        </w:rPr>
        <w:t> </w:t>
      </w:r>
      <w:r>
        <w:rPr/>
        <w:t>.72, что является хорошими показателями, говорящими о внутренней непротиворечивости инструмента.</w:t>
      </w:r>
    </w:p>
    <w:p>
      <w:pPr>
        <w:pStyle w:val="Heading4"/>
        <w:spacing w:before="242"/>
        <w:ind w:right="567"/>
      </w:pPr>
      <w:r>
        <w:rPr/>
        <w:t>Проверка</w:t>
      </w:r>
      <w:r>
        <w:rPr>
          <w:spacing w:val="-18"/>
        </w:rPr>
        <w:t> </w:t>
      </w:r>
      <w:r>
        <w:rPr/>
        <w:t>опросника</w:t>
      </w:r>
      <w:r>
        <w:rPr>
          <w:spacing w:val="-17"/>
        </w:rPr>
        <w:t> </w:t>
      </w:r>
      <w:r>
        <w:rPr/>
        <w:t>на</w:t>
      </w:r>
      <w:r>
        <w:rPr>
          <w:spacing w:val="-17"/>
        </w:rPr>
        <w:t> </w:t>
      </w:r>
      <w:r>
        <w:rPr/>
        <w:t>ретестовую</w:t>
      </w:r>
      <w:r>
        <w:rPr>
          <w:spacing w:val="-17"/>
        </w:rPr>
        <w:t> </w:t>
      </w:r>
      <w:r>
        <w:rPr/>
        <w:t>надежность,</w:t>
      </w:r>
      <w:r>
        <w:rPr>
          <w:spacing w:val="-16"/>
        </w:rPr>
        <w:t> </w:t>
      </w:r>
      <w:r>
        <w:rPr/>
        <w:t>проведенная</w:t>
      </w:r>
      <w:r>
        <w:rPr>
          <w:spacing w:val="-15"/>
        </w:rPr>
        <w:t> </w:t>
      </w:r>
      <w:r>
        <w:rPr/>
        <w:t>через</w:t>
      </w:r>
      <w:r>
        <w:rPr>
          <w:spacing w:val="-17"/>
        </w:rPr>
        <w:t> </w:t>
      </w:r>
      <w:r>
        <w:rPr/>
        <w:t>две</w:t>
      </w:r>
      <w:r>
        <w:rPr>
          <w:spacing w:val="-16"/>
        </w:rPr>
        <w:t> </w:t>
      </w:r>
      <w:r>
        <w:rPr/>
        <w:t>недели после основного исследования, также продемонстрировала высокие результаты: для опросника в целом r = .84; для шкалы «Воспринимаемая дискриминация»</w:t>
      </w:r>
      <w:r>
        <w:rPr>
          <w:spacing w:val="16"/>
        </w:rPr>
        <w:t> </w:t>
      </w:r>
      <w:r>
        <w:rPr/>
        <w:t>r</w:t>
      </w:r>
      <w:r>
        <w:rPr>
          <w:spacing w:val="20"/>
        </w:rPr>
        <w:t> </w:t>
      </w:r>
      <w:r>
        <w:rPr/>
        <w:t>=</w:t>
      </w:r>
      <w:r>
        <w:rPr>
          <w:spacing w:val="20"/>
        </w:rPr>
        <w:t> </w:t>
      </w:r>
      <w:r>
        <w:rPr/>
        <w:t>.93;</w:t>
      </w:r>
      <w:r>
        <w:rPr>
          <w:spacing w:val="18"/>
        </w:rPr>
        <w:t> </w:t>
      </w:r>
      <w:r>
        <w:rPr/>
        <w:t>для</w:t>
      </w:r>
      <w:r>
        <w:rPr>
          <w:spacing w:val="20"/>
        </w:rPr>
        <w:t> </w:t>
      </w:r>
      <w:r>
        <w:rPr/>
        <w:t>шкалы</w:t>
      </w:r>
      <w:r>
        <w:rPr>
          <w:spacing w:val="20"/>
        </w:rPr>
        <w:t> </w:t>
      </w:r>
      <w:r>
        <w:rPr/>
        <w:t>«Стресс,</w:t>
      </w:r>
      <w:r>
        <w:rPr>
          <w:spacing w:val="19"/>
        </w:rPr>
        <w:t> </w:t>
      </w:r>
      <w:r>
        <w:rPr/>
        <w:t>связанный</w:t>
      </w:r>
      <w:r>
        <w:rPr>
          <w:spacing w:val="20"/>
        </w:rPr>
        <w:t> </w:t>
      </w:r>
      <w:r>
        <w:rPr/>
        <w:t>с</w:t>
      </w:r>
      <w:r>
        <w:rPr>
          <w:spacing w:val="20"/>
        </w:rPr>
        <w:t> </w:t>
      </w:r>
      <w:r>
        <w:rPr/>
        <w:t>иммиграцией»</w:t>
      </w:r>
      <w:r>
        <w:rPr>
          <w:spacing w:val="19"/>
        </w:rPr>
        <w:t> </w:t>
      </w:r>
      <w:r>
        <w:rPr/>
        <w:t>r</w:t>
      </w:r>
      <w:r>
        <w:rPr>
          <w:spacing w:val="17"/>
        </w:rPr>
        <w:t> </w:t>
      </w:r>
      <w:r>
        <w:rPr>
          <w:spacing w:val="-10"/>
        </w:rPr>
        <w:t>=</w:t>
      </w:r>
    </w:p>
    <w:p>
      <w:pPr>
        <w:pStyle w:val="Heading4"/>
        <w:spacing w:before="1"/>
        <w:ind w:right="567"/>
      </w:pPr>
      <w:r>
        <w:rPr/>
        <w:t>.77. Таким образом, полученные результаты являются достаточно </w:t>
      </w:r>
      <w:r>
        <w:rPr>
          <w:spacing w:val="-2"/>
        </w:rPr>
        <w:t>устойчивыми.</w:t>
      </w:r>
    </w:p>
    <w:p>
      <w:pPr>
        <w:spacing w:line="240" w:lineRule="auto" w:before="239"/>
        <w:ind w:left="285" w:right="563" w:firstLine="0"/>
        <w:jc w:val="both"/>
        <w:rPr>
          <w:sz w:val="28"/>
        </w:rPr>
      </w:pPr>
      <w:r>
        <w:rPr>
          <w:sz w:val="28"/>
        </w:rPr>
        <w:t>Конструктная валидность</w:t>
      </w:r>
      <w:r>
        <w:rPr>
          <w:spacing w:val="-4"/>
          <w:sz w:val="28"/>
        </w:rPr>
        <w:t> </w:t>
      </w:r>
      <w:r>
        <w:rPr>
          <w:sz w:val="28"/>
        </w:rPr>
        <w:t>опросника (дискриминатная</w:t>
      </w:r>
      <w:r>
        <w:rPr>
          <w:spacing w:val="-2"/>
          <w:sz w:val="28"/>
        </w:rPr>
        <w:t> </w:t>
      </w:r>
      <w:r>
        <w:rPr>
          <w:sz w:val="28"/>
        </w:rPr>
        <w:t>и конвергентная)</w:t>
      </w:r>
      <w:r>
        <w:rPr>
          <w:spacing w:val="-2"/>
          <w:sz w:val="28"/>
        </w:rPr>
        <w:t> </w:t>
      </w:r>
      <w:r>
        <w:rPr>
          <w:sz w:val="28"/>
        </w:rPr>
        <w:t>была проверена с помощью выявления корреляционных взаимосвязей между шкалами и двумя различными методиками: измерением общего уровня тревожности (</w:t>
      </w:r>
      <w:r>
        <w:rPr>
          <w:i/>
          <w:sz w:val="28"/>
        </w:rPr>
        <w:t>The Revised Children’s Manifest Anxiety Scale, RCMAS, Reynolds &amp; Richmond, 1978</w:t>
      </w:r>
      <w:r>
        <w:rPr>
          <w:sz w:val="28"/>
        </w:rPr>
        <w:t>) и опросником ежедневных стрессоров </w:t>
      </w:r>
      <w:r>
        <w:rPr>
          <w:i/>
          <w:sz w:val="28"/>
        </w:rPr>
        <w:t>(The Daily Hassles Questionnaire,</w:t>
      </w:r>
      <w:r>
        <w:rPr>
          <w:i/>
          <w:spacing w:val="-4"/>
          <w:sz w:val="28"/>
        </w:rPr>
        <w:t> </w:t>
      </w:r>
      <w:r>
        <w:rPr>
          <w:i/>
          <w:sz w:val="28"/>
        </w:rPr>
        <w:t>Rowlison</w:t>
      </w:r>
      <w:r>
        <w:rPr>
          <w:i/>
          <w:spacing w:val="-1"/>
          <w:sz w:val="28"/>
        </w:rPr>
        <w:t> </w:t>
      </w:r>
      <w:r>
        <w:rPr>
          <w:i/>
          <w:sz w:val="28"/>
        </w:rPr>
        <w:t>&amp;</w:t>
      </w:r>
      <w:r>
        <w:rPr>
          <w:i/>
          <w:spacing w:val="-9"/>
          <w:sz w:val="28"/>
        </w:rPr>
        <w:t> </w:t>
      </w:r>
      <w:r>
        <w:rPr>
          <w:i/>
          <w:sz w:val="28"/>
        </w:rPr>
        <w:t>Felner,</w:t>
      </w:r>
      <w:r>
        <w:rPr>
          <w:i/>
          <w:spacing w:val="-4"/>
          <w:sz w:val="28"/>
        </w:rPr>
        <w:t> </w:t>
      </w:r>
      <w:r>
        <w:rPr>
          <w:i/>
          <w:sz w:val="28"/>
        </w:rPr>
        <w:t>1988</w:t>
      </w:r>
      <w:r>
        <w:rPr>
          <w:sz w:val="28"/>
        </w:rPr>
        <w:t>).</w:t>
      </w:r>
      <w:r>
        <w:rPr>
          <w:spacing w:val="-4"/>
          <w:sz w:val="28"/>
        </w:rPr>
        <w:t> </w:t>
      </w:r>
      <w:r>
        <w:rPr>
          <w:sz w:val="28"/>
        </w:rPr>
        <w:t>Были</w:t>
      </w:r>
      <w:r>
        <w:rPr>
          <w:spacing w:val="-3"/>
          <w:sz w:val="28"/>
        </w:rPr>
        <w:t> </w:t>
      </w:r>
      <w:r>
        <w:rPr>
          <w:sz w:val="28"/>
        </w:rPr>
        <w:t>выявленызначимые</w:t>
      </w:r>
      <w:r>
        <w:rPr>
          <w:spacing w:val="-3"/>
          <w:sz w:val="28"/>
        </w:rPr>
        <w:t> </w:t>
      </w:r>
      <w:r>
        <w:rPr>
          <w:sz w:val="28"/>
        </w:rPr>
        <w:t>корреляции как общего показателя аккультурационного стресса, так и каждой из шкал. Результаты корреляционного анализа представлены в таблице.</w:t>
      </w:r>
    </w:p>
    <w:p>
      <w:pPr>
        <w:pStyle w:val="Heading3"/>
        <w:spacing w:line="321" w:lineRule="exact" w:before="7"/>
        <w:ind w:left="8245"/>
        <w:jc w:val="left"/>
      </w:pPr>
      <w:r>
        <w:rPr/>
        <w:t>Таблица</w:t>
      </w:r>
      <w:r>
        <w:rPr>
          <w:spacing w:val="-5"/>
        </w:rPr>
        <w:t> 25</w:t>
      </w:r>
    </w:p>
    <w:p>
      <w:pPr>
        <w:spacing w:line="321" w:lineRule="exact" w:before="0"/>
        <w:ind w:left="623" w:right="0" w:firstLine="0"/>
        <w:jc w:val="left"/>
        <w:rPr>
          <w:b/>
          <w:sz w:val="28"/>
        </w:rPr>
      </w:pPr>
      <w:r>
        <w:rPr>
          <w:b/>
          <w:sz w:val="28"/>
        </w:rPr>
        <w:t>Корреляция</w:t>
      </w:r>
      <w:r>
        <w:rPr>
          <w:b/>
          <w:spacing w:val="-9"/>
          <w:sz w:val="28"/>
        </w:rPr>
        <w:t> </w:t>
      </w:r>
      <w:r>
        <w:rPr>
          <w:b/>
          <w:sz w:val="28"/>
        </w:rPr>
        <w:t>между</w:t>
      </w:r>
      <w:r>
        <w:rPr>
          <w:b/>
          <w:spacing w:val="-6"/>
          <w:sz w:val="28"/>
        </w:rPr>
        <w:t> </w:t>
      </w:r>
      <w:r>
        <w:rPr>
          <w:b/>
          <w:sz w:val="28"/>
        </w:rPr>
        <w:t>шкалами</w:t>
      </w:r>
      <w:r>
        <w:rPr>
          <w:b/>
          <w:spacing w:val="-7"/>
          <w:sz w:val="28"/>
        </w:rPr>
        <w:t> </w:t>
      </w:r>
      <w:r>
        <w:rPr>
          <w:b/>
          <w:sz w:val="28"/>
        </w:rPr>
        <w:t>методики</w:t>
      </w:r>
      <w:r>
        <w:rPr>
          <w:b/>
          <w:spacing w:val="-5"/>
          <w:sz w:val="28"/>
        </w:rPr>
        <w:t> </w:t>
      </w:r>
      <w:r>
        <w:rPr>
          <w:b/>
          <w:sz w:val="28"/>
        </w:rPr>
        <w:t>ASIC</w:t>
      </w:r>
      <w:r>
        <w:rPr>
          <w:b/>
          <w:spacing w:val="-5"/>
          <w:sz w:val="28"/>
        </w:rPr>
        <w:t> </w:t>
      </w:r>
      <w:r>
        <w:rPr>
          <w:b/>
          <w:sz w:val="28"/>
        </w:rPr>
        <w:t>и</w:t>
      </w:r>
      <w:r>
        <w:rPr>
          <w:b/>
          <w:spacing w:val="-6"/>
          <w:sz w:val="28"/>
        </w:rPr>
        <w:t> </w:t>
      </w:r>
      <w:r>
        <w:rPr>
          <w:b/>
          <w:sz w:val="28"/>
        </w:rPr>
        <w:t>иными</w:t>
      </w:r>
      <w:r>
        <w:rPr>
          <w:b/>
          <w:spacing w:val="-4"/>
          <w:sz w:val="28"/>
        </w:rPr>
        <w:t> </w:t>
      </w:r>
      <w:r>
        <w:rPr>
          <w:b/>
          <w:spacing w:val="-2"/>
          <w:sz w:val="28"/>
        </w:rPr>
        <w:t>опросниками</w:t>
      </w:r>
    </w:p>
    <w:p>
      <w:pPr>
        <w:pStyle w:val="BodyText"/>
        <w:spacing w:before="96"/>
        <w:ind w:left="0" w:right="0" w:firstLine="0"/>
        <w:jc w:val="left"/>
        <w:rPr>
          <w:b/>
        </w:rPr>
      </w:pPr>
    </w:p>
    <w:tbl>
      <w:tblPr>
        <w:tblW w:w="0" w:type="auto"/>
        <w:jc w:val="left"/>
        <w:tblInd w:w="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077"/>
        <w:gridCol w:w="2371"/>
        <w:gridCol w:w="2191"/>
        <w:gridCol w:w="1715"/>
      </w:tblGrid>
      <w:tr>
        <w:trPr>
          <w:trHeight w:val="1026" w:hRule="atLeast"/>
        </w:trPr>
        <w:tc>
          <w:tcPr>
            <w:tcW w:w="3077" w:type="dxa"/>
          </w:tcPr>
          <w:p>
            <w:pPr>
              <w:pStyle w:val="TableParagraph"/>
              <w:rPr>
                <w:sz w:val="26"/>
              </w:rPr>
            </w:pPr>
          </w:p>
        </w:tc>
        <w:tc>
          <w:tcPr>
            <w:tcW w:w="2371" w:type="dxa"/>
          </w:tcPr>
          <w:p>
            <w:pPr>
              <w:pStyle w:val="TableParagraph"/>
              <w:spacing w:before="97"/>
              <w:ind w:left="201"/>
              <w:rPr>
                <w:b/>
                <w:sz w:val="24"/>
              </w:rPr>
            </w:pPr>
            <w:r>
              <w:rPr>
                <w:b/>
                <w:spacing w:val="-2"/>
                <w:sz w:val="24"/>
              </w:rPr>
              <w:t>Воспринимаемая дискриминация</w:t>
            </w:r>
          </w:p>
        </w:tc>
        <w:tc>
          <w:tcPr>
            <w:tcW w:w="2191" w:type="dxa"/>
          </w:tcPr>
          <w:p>
            <w:pPr>
              <w:pStyle w:val="TableParagraph"/>
              <w:spacing w:before="97"/>
              <w:ind w:left="331" w:right="348" w:hanging="4"/>
              <w:jc w:val="center"/>
              <w:rPr>
                <w:b/>
                <w:sz w:val="24"/>
              </w:rPr>
            </w:pPr>
            <w:r>
              <w:rPr>
                <w:b/>
                <w:spacing w:val="-2"/>
                <w:sz w:val="24"/>
              </w:rPr>
              <w:t>Стресс, </w:t>
            </w:r>
            <w:r>
              <w:rPr>
                <w:b/>
                <w:sz w:val="24"/>
              </w:rPr>
              <w:t>связанный с </w:t>
            </w:r>
            <w:r>
              <w:rPr>
                <w:b/>
                <w:spacing w:val="-2"/>
                <w:sz w:val="24"/>
              </w:rPr>
              <w:t>иммиграцией</w:t>
            </w:r>
          </w:p>
        </w:tc>
        <w:tc>
          <w:tcPr>
            <w:tcW w:w="1715" w:type="dxa"/>
          </w:tcPr>
          <w:p>
            <w:pPr>
              <w:pStyle w:val="TableParagraph"/>
              <w:spacing w:before="97"/>
              <w:ind w:left="301" w:right="213" w:firstLine="21"/>
              <w:rPr>
                <w:b/>
                <w:i/>
                <w:sz w:val="24"/>
              </w:rPr>
            </w:pPr>
            <w:r>
              <w:rPr>
                <w:b/>
                <w:spacing w:val="-2"/>
                <w:sz w:val="24"/>
              </w:rPr>
              <w:t>Общий показател </w:t>
            </w:r>
            <w:r>
              <w:rPr>
                <w:b/>
                <w:sz w:val="24"/>
              </w:rPr>
              <w:t>ь </w:t>
            </w:r>
            <w:r>
              <w:rPr>
                <w:b/>
                <w:i/>
                <w:sz w:val="24"/>
              </w:rPr>
              <w:t>ASIC</w:t>
            </w:r>
          </w:p>
        </w:tc>
      </w:tr>
      <w:tr>
        <w:trPr>
          <w:trHeight w:val="992" w:hRule="atLeast"/>
        </w:trPr>
        <w:tc>
          <w:tcPr>
            <w:tcW w:w="3077" w:type="dxa"/>
          </w:tcPr>
          <w:p>
            <w:pPr>
              <w:pStyle w:val="TableParagraph"/>
              <w:spacing w:before="56"/>
              <w:rPr>
                <w:b/>
                <w:sz w:val="24"/>
              </w:rPr>
            </w:pPr>
          </w:p>
          <w:p>
            <w:pPr>
              <w:pStyle w:val="TableParagraph"/>
              <w:ind w:left="100" w:right="611"/>
              <w:rPr>
                <w:sz w:val="24"/>
              </w:rPr>
            </w:pPr>
            <w:r>
              <w:rPr>
                <w:sz w:val="24"/>
              </w:rPr>
              <w:t>Опросник</w:t>
            </w:r>
            <w:r>
              <w:rPr>
                <w:spacing w:val="-15"/>
                <w:sz w:val="24"/>
              </w:rPr>
              <w:t> </w:t>
            </w:r>
            <w:r>
              <w:rPr>
                <w:sz w:val="24"/>
              </w:rPr>
              <w:t>ежедневных </w:t>
            </w:r>
            <w:r>
              <w:rPr>
                <w:spacing w:val="-2"/>
                <w:sz w:val="24"/>
              </w:rPr>
              <w:t>стрессоров</w:t>
            </w:r>
          </w:p>
        </w:tc>
        <w:tc>
          <w:tcPr>
            <w:tcW w:w="2371" w:type="dxa"/>
          </w:tcPr>
          <w:p>
            <w:pPr>
              <w:pStyle w:val="TableParagraph"/>
              <w:spacing w:before="92"/>
              <w:ind w:right="1096"/>
              <w:jc w:val="right"/>
              <w:rPr>
                <w:sz w:val="24"/>
              </w:rPr>
            </w:pPr>
            <w:r>
              <w:rPr>
                <w:spacing w:val="-2"/>
                <w:sz w:val="24"/>
              </w:rPr>
              <w:t>.60</w:t>
            </w:r>
            <w:r>
              <w:rPr>
                <w:spacing w:val="-2"/>
                <w:sz w:val="24"/>
                <w:vertAlign w:val="superscript"/>
              </w:rPr>
              <w:t>**</w:t>
            </w:r>
          </w:p>
        </w:tc>
        <w:tc>
          <w:tcPr>
            <w:tcW w:w="2191" w:type="dxa"/>
          </w:tcPr>
          <w:p>
            <w:pPr>
              <w:pStyle w:val="TableParagraph"/>
              <w:spacing w:before="92"/>
              <w:ind w:left="1044"/>
              <w:rPr>
                <w:sz w:val="24"/>
              </w:rPr>
            </w:pPr>
            <w:r>
              <w:rPr>
                <w:spacing w:val="-2"/>
                <w:sz w:val="24"/>
              </w:rPr>
              <w:t>.29</w:t>
            </w:r>
            <w:r>
              <w:rPr>
                <w:spacing w:val="-2"/>
                <w:sz w:val="24"/>
                <w:vertAlign w:val="superscript"/>
              </w:rPr>
              <w:t>**</w:t>
            </w:r>
          </w:p>
        </w:tc>
        <w:tc>
          <w:tcPr>
            <w:tcW w:w="1715" w:type="dxa"/>
          </w:tcPr>
          <w:p>
            <w:pPr>
              <w:pStyle w:val="TableParagraph"/>
              <w:spacing w:before="92"/>
              <w:ind w:left="558"/>
              <w:rPr>
                <w:sz w:val="24"/>
              </w:rPr>
            </w:pPr>
            <w:r>
              <w:rPr>
                <w:spacing w:val="-2"/>
                <w:sz w:val="24"/>
              </w:rPr>
              <w:t>.57</w:t>
            </w:r>
            <w:r>
              <w:rPr>
                <w:spacing w:val="-2"/>
                <w:sz w:val="24"/>
                <w:vertAlign w:val="superscript"/>
              </w:rPr>
              <w:t>**</w:t>
            </w:r>
          </w:p>
        </w:tc>
      </w:tr>
      <w:tr>
        <w:trPr>
          <w:trHeight w:val="993" w:hRule="atLeast"/>
        </w:trPr>
        <w:tc>
          <w:tcPr>
            <w:tcW w:w="3077" w:type="dxa"/>
          </w:tcPr>
          <w:p>
            <w:pPr>
              <w:pStyle w:val="TableParagraph"/>
              <w:spacing w:before="56"/>
              <w:rPr>
                <w:b/>
                <w:sz w:val="24"/>
              </w:rPr>
            </w:pPr>
          </w:p>
          <w:p>
            <w:pPr>
              <w:pStyle w:val="TableParagraph"/>
              <w:ind w:left="100" w:right="640"/>
              <w:rPr>
                <w:i/>
                <w:sz w:val="24"/>
              </w:rPr>
            </w:pPr>
            <w:r>
              <w:rPr>
                <w:sz w:val="24"/>
              </w:rPr>
              <w:t>Общий уровень тревожности</w:t>
            </w:r>
            <w:r>
              <w:rPr>
                <w:spacing w:val="-15"/>
                <w:sz w:val="24"/>
              </w:rPr>
              <w:t> </w:t>
            </w:r>
            <w:r>
              <w:rPr>
                <w:i/>
                <w:sz w:val="24"/>
              </w:rPr>
              <w:t>(RCMAS)</w:t>
            </w:r>
          </w:p>
        </w:tc>
        <w:tc>
          <w:tcPr>
            <w:tcW w:w="2371" w:type="dxa"/>
          </w:tcPr>
          <w:p>
            <w:pPr>
              <w:pStyle w:val="TableParagraph"/>
              <w:spacing w:before="92"/>
              <w:ind w:right="1096"/>
              <w:jc w:val="right"/>
              <w:rPr>
                <w:sz w:val="24"/>
              </w:rPr>
            </w:pPr>
            <w:r>
              <w:rPr>
                <w:spacing w:val="-2"/>
                <w:sz w:val="24"/>
              </w:rPr>
              <w:t>.52</w:t>
            </w:r>
            <w:r>
              <w:rPr>
                <w:spacing w:val="-2"/>
                <w:sz w:val="24"/>
                <w:vertAlign w:val="superscript"/>
              </w:rPr>
              <w:t>**</w:t>
            </w:r>
          </w:p>
        </w:tc>
        <w:tc>
          <w:tcPr>
            <w:tcW w:w="2191" w:type="dxa"/>
          </w:tcPr>
          <w:p>
            <w:pPr>
              <w:pStyle w:val="TableParagraph"/>
              <w:spacing w:before="92"/>
              <w:ind w:left="1044"/>
              <w:rPr>
                <w:sz w:val="24"/>
              </w:rPr>
            </w:pPr>
            <w:r>
              <w:rPr>
                <w:spacing w:val="-2"/>
                <w:sz w:val="24"/>
              </w:rPr>
              <w:t>.36</w:t>
            </w:r>
            <w:r>
              <w:rPr>
                <w:spacing w:val="-2"/>
                <w:sz w:val="24"/>
                <w:vertAlign w:val="superscript"/>
              </w:rPr>
              <w:t>**</w:t>
            </w:r>
          </w:p>
        </w:tc>
        <w:tc>
          <w:tcPr>
            <w:tcW w:w="1715" w:type="dxa"/>
          </w:tcPr>
          <w:p>
            <w:pPr>
              <w:pStyle w:val="TableParagraph"/>
              <w:spacing w:before="92"/>
              <w:ind w:left="558"/>
              <w:rPr>
                <w:sz w:val="24"/>
              </w:rPr>
            </w:pPr>
            <w:r>
              <w:rPr>
                <w:spacing w:val="-2"/>
                <w:sz w:val="24"/>
              </w:rPr>
              <w:t>.55</w:t>
            </w:r>
            <w:r>
              <w:rPr>
                <w:spacing w:val="-2"/>
                <w:sz w:val="24"/>
                <w:vertAlign w:val="superscript"/>
              </w:rPr>
              <w:t>**</w:t>
            </w:r>
          </w:p>
        </w:tc>
      </w:tr>
      <w:tr>
        <w:trPr>
          <w:trHeight w:val="990" w:hRule="atLeast"/>
        </w:trPr>
        <w:tc>
          <w:tcPr>
            <w:tcW w:w="3077" w:type="dxa"/>
          </w:tcPr>
          <w:p>
            <w:pPr>
              <w:pStyle w:val="TableParagraph"/>
              <w:spacing w:before="56"/>
              <w:rPr>
                <w:b/>
                <w:sz w:val="24"/>
              </w:rPr>
            </w:pPr>
          </w:p>
          <w:p>
            <w:pPr>
              <w:pStyle w:val="TableParagraph"/>
              <w:ind w:left="100" w:right="611"/>
              <w:rPr>
                <w:sz w:val="24"/>
              </w:rPr>
            </w:pPr>
            <w:r>
              <w:rPr>
                <w:spacing w:val="-2"/>
                <w:sz w:val="24"/>
              </w:rPr>
              <w:t>Воспринимаемая дискриминация</w:t>
            </w:r>
          </w:p>
        </w:tc>
        <w:tc>
          <w:tcPr>
            <w:tcW w:w="2371" w:type="dxa"/>
          </w:tcPr>
          <w:p>
            <w:pPr>
              <w:pStyle w:val="TableParagraph"/>
              <w:spacing w:before="92"/>
              <w:ind w:right="1093"/>
              <w:jc w:val="right"/>
              <w:rPr>
                <w:sz w:val="24"/>
              </w:rPr>
            </w:pPr>
            <w:r>
              <w:rPr>
                <w:spacing w:val="-10"/>
                <w:sz w:val="24"/>
              </w:rPr>
              <w:t>–</w:t>
            </w:r>
          </w:p>
        </w:tc>
        <w:tc>
          <w:tcPr>
            <w:tcW w:w="2191" w:type="dxa"/>
          </w:tcPr>
          <w:p>
            <w:pPr>
              <w:pStyle w:val="TableParagraph"/>
              <w:spacing w:before="92"/>
              <w:ind w:left="1044"/>
              <w:rPr>
                <w:sz w:val="24"/>
              </w:rPr>
            </w:pPr>
            <w:r>
              <w:rPr>
                <w:spacing w:val="-2"/>
                <w:sz w:val="24"/>
              </w:rPr>
              <w:t>.42</w:t>
            </w:r>
            <w:r>
              <w:rPr>
                <w:spacing w:val="-2"/>
                <w:sz w:val="24"/>
                <w:vertAlign w:val="superscript"/>
              </w:rPr>
              <w:t>**</w:t>
            </w:r>
          </w:p>
        </w:tc>
        <w:tc>
          <w:tcPr>
            <w:tcW w:w="1715" w:type="dxa"/>
          </w:tcPr>
          <w:p>
            <w:pPr>
              <w:pStyle w:val="TableParagraph"/>
              <w:spacing w:before="92"/>
              <w:ind w:left="558"/>
              <w:rPr>
                <w:sz w:val="24"/>
              </w:rPr>
            </w:pPr>
            <w:r>
              <w:rPr>
                <w:spacing w:val="-2"/>
                <w:sz w:val="24"/>
              </w:rPr>
              <w:t>.94</w:t>
            </w:r>
            <w:r>
              <w:rPr>
                <w:spacing w:val="-2"/>
                <w:sz w:val="24"/>
                <w:vertAlign w:val="superscript"/>
              </w:rPr>
              <w:t>**</w:t>
            </w:r>
          </w:p>
        </w:tc>
      </w:tr>
      <w:tr>
        <w:trPr>
          <w:trHeight w:val="992" w:hRule="atLeast"/>
        </w:trPr>
        <w:tc>
          <w:tcPr>
            <w:tcW w:w="3077" w:type="dxa"/>
          </w:tcPr>
          <w:p>
            <w:pPr>
              <w:pStyle w:val="TableParagraph"/>
              <w:spacing w:before="56"/>
              <w:rPr>
                <w:b/>
                <w:sz w:val="24"/>
              </w:rPr>
            </w:pPr>
          </w:p>
          <w:p>
            <w:pPr>
              <w:pStyle w:val="TableParagraph"/>
              <w:ind w:left="100" w:right="611"/>
              <w:rPr>
                <w:sz w:val="24"/>
              </w:rPr>
            </w:pPr>
            <w:r>
              <w:rPr>
                <w:sz w:val="24"/>
              </w:rPr>
              <w:t>Стресс,</w:t>
            </w:r>
            <w:r>
              <w:rPr>
                <w:spacing w:val="-15"/>
                <w:sz w:val="24"/>
              </w:rPr>
              <w:t> </w:t>
            </w:r>
            <w:r>
              <w:rPr>
                <w:sz w:val="24"/>
              </w:rPr>
              <w:t>связанный</w:t>
            </w:r>
            <w:r>
              <w:rPr>
                <w:spacing w:val="-15"/>
                <w:sz w:val="24"/>
              </w:rPr>
              <w:t> </w:t>
            </w:r>
            <w:r>
              <w:rPr>
                <w:sz w:val="24"/>
              </w:rPr>
              <w:t>с </w:t>
            </w:r>
            <w:r>
              <w:rPr>
                <w:spacing w:val="-2"/>
                <w:sz w:val="24"/>
              </w:rPr>
              <w:t>иммиграцией</w:t>
            </w:r>
          </w:p>
        </w:tc>
        <w:tc>
          <w:tcPr>
            <w:tcW w:w="2371" w:type="dxa"/>
          </w:tcPr>
          <w:p>
            <w:pPr>
              <w:pStyle w:val="TableParagraph"/>
              <w:spacing w:before="92"/>
              <w:ind w:right="1096"/>
              <w:jc w:val="right"/>
              <w:rPr>
                <w:sz w:val="24"/>
              </w:rPr>
            </w:pPr>
            <w:r>
              <w:rPr>
                <w:spacing w:val="-2"/>
                <w:sz w:val="24"/>
              </w:rPr>
              <w:t>.42</w:t>
            </w:r>
            <w:r>
              <w:rPr>
                <w:spacing w:val="-2"/>
                <w:sz w:val="24"/>
                <w:vertAlign w:val="superscript"/>
              </w:rPr>
              <w:t>**</w:t>
            </w:r>
          </w:p>
        </w:tc>
        <w:tc>
          <w:tcPr>
            <w:tcW w:w="2191" w:type="dxa"/>
          </w:tcPr>
          <w:p>
            <w:pPr>
              <w:pStyle w:val="TableParagraph"/>
              <w:spacing w:before="92"/>
              <w:ind w:left="1003"/>
              <w:rPr>
                <w:sz w:val="24"/>
              </w:rPr>
            </w:pPr>
            <w:r>
              <w:rPr>
                <w:spacing w:val="-10"/>
                <w:sz w:val="24"/>
              </w:rPr>
              <w:t>–</w:t>
            </w:r>
          </w:p>
        </w:tc>
        <w:tc>
          <w:tcPr>
            <w:tcW w:w="1715" w:type="dxa"/>
          </w:tcPr>
          <w:p>
            <w:pPr>
              <w:pStyle w:val="TableParagraph"/>
              <w:spacing w:before="92"/>
              <w:ind w:left="558"/>
              <w:rPr>
                <w:sz w:val="24"/>
              </w:rPr>
            </w:pPr>
            <w:r>
              <w:rPr>
                <w:spacing w:val="-2"/>
                <w:sz w:val="24"/>
              </w:rPr>
              <w:t>.72</w:t>
            </w:r>
            <w:r>
              <w:rPr>
                <w:spacing w:val="-2"/>
                <w:sz w:val="24"/>
                <w:vertAlign w:val="superscript"/>
              </w:rPr>
              <w:t>**</w:t>
            </w:r>
          </w:p>
        </w:tc>
      </w:tr>
      <w:tr>
        <w:trPr>
          <w:trHeight w:val="714" w:hRule="atLeast"/>
        </w:trPr>
        <w:tc>
          <w:tcPr>
            <w:tcW w:w="3077" w:type="dxa"/>
          </w:tcPr>
          <w:p>
            <w:pPr>
              <w:pStyle w:val="TableParagraph"/>
              <w:spacing w:before="56"/>
              <w:rPr>
                <w:b/>
                <w:sz w:val="24"/>
              </w:rPr>
            </w:pPr>
          </w:p>
          <w:p>
            <w:pPr>
              <w:pStyle w:val="TableParagraph"/>
              <w:ind w:left="100"/>
              <w:rPr>
                <w:i/>
                <w:sz w:val="24"/>
              </w:rPr>
            </w:pPr>
            <w:r>
              <w:rPr>
                <w:sz w:val="24"/>
              </w:rPr>
              <w:t>Общий</w:t>
            </w:r>
            <w:r>
              <w:rPr>
                <w:spacing w:val="-8"/>
                <w:sz w:val="24"/>
              </w:rPr>
              <w:t> </w:t>
            </w:r>
            <w:r>
              <w:rPr>
                <w:sz w:val="24"/>
              </w:rPr>
              <w:t>показатель</w:t>
            </w:r>
            <w:r>
              <w:rPr>
                <w:spacing w:val="-3"/>
                <w:sz w:val="24"/>
              </w:rPr>
              <w:t> </w:t>
            </w:r>
            <w:r>
              <w:rPr>
                <w:i/>
                <w:spacing w:val="-4"/>
                <w:sz w:val="24"/>
              </w:rPr>
              <w:t>ASIC</w:t>
            </w:r>
          </w:p>
        </w:tc>
        <w:tc>
          <w:tcPr>
            <w:tcW w:w="2371" w:type="dxa"/>
          </w:tcPr>
          <w:p>
            <w:pPr>
              <w:pStyle w:val="TableParagraph"/>
              <w:spacing w:before="92"/>
              <w:ind w:right="1096"/>
              <w:jc w:val="right"/>
              <w:rPr>
                <w:sz w:val="24"/>
              </w:rPr>
            </w:pPr>
            <w:r>
              <w:rPr>
                <w:spacing w:val="-2"/>
                <w:sz w:val="24"/>
              </w:rPr>
              <w:t>.94</w:t>
            </w:r>
            <w:r>
              <w:rPr>
                <w:spacing w:val="-2"/>
                <w:sz w:val="24"/>
                <w:vertAlign w:val="superscript"/>
              </w:rPr>
              <w:t>**</w:t>
            </w:r>
          </w:p>
        </w:tc>
        <w:tc>
          <w:tcPr>
            <w:tcW w:w="2191" w:type="dxa"/>
          </w:tcPr>
          <w:p>
            <w:pPr>
              <w:pStyle w:val="TableParagraph"/>
              <w:spacing w:before="92"/>
              <w:ind w:left="1044"/>
              <w:rPr>
                <w:sz w:val="24"/>
              </w:rPr>
            </w:pPr>
            <w:r>
              <w:rPr>
                <w:spacing w:val="-2"/>
                <w:sz w:val="24"/>
              </w:rPr>
              <w:t>.72</w:t>
            </w:r>
            <w:r>
              <w:rPr>
                <w:spacing w:val="-2"/>
                <w:sz w:val="24"/>
                <w:vertAlign w:val="superscript"/>
              </w:rPr>
              <w:t>**</w:t>
            </w:r>
          </w:p>
        </w:tc>
        <w:tc>
          <w:tcPr>
            <w:tcW w:w="1715" w:type="dxa"/>
          </w:tcPr>
          <w:p>
            <w:pPr>
              <w:pStyle w:val="TableParagraph"/>
              <w:spacing w:before="92"/>
              <w:ind w:left="40"/>
              <w:jc w:val="center"/>
              <w:rPr>
                <w:sz w:val="24"/>
              </w:rPr>
            </w:pPr>
            <w:r>
              <w:rPr>
                <w:spacing w:val="-10"/>
                <w:sz w:val="24"/>
              </w:rPr>
              <w:t>–</w:t>
            </w:r>
          </w:p>
        </w:tc>
      </w:tr>
      <w:tr>
        <w:trPr>
          <w:trHeight w:val="765" w:hRule="atLeast"/>
        </w:trPr>
        <w:tc>
          <w:tcPr>
            <w:tcW w:w="3077" w:type="dxa"/>
          </w:tcPr>
          <w:p>
            <w:pPr>
              <w:pStyle w:val="TableParagraph"/>
              <w:spacing w:before="92"/>
              <w:ind w:left="100"/>
              <w:rPr>
                <w:i/>
                <w:sz w:val="24"/>
              </w:rPr>
            </w:pPr>
            <w:r>
              <w:rPr>
                <w:i/>
                <w:spacing w:val="-2"/>
                <w:sz w:val="24"/>
              </w:rPr>
              <w:t>Примечание:</w:t>
            </w:r>
          </w:p>
          <w:p>
            <w:pPr>
              <w:pStyle w:val="TableParagraph"/>
              <w:ind w:left="100"/>
              <w:rPr>
                <w:sz w:val="24"/>
              </w:rPr>
            </w:pPr>
            <w:r>
              <w:rPr>
                <w:i/>
                <w:sz w:val="24"/>
              </w:rPr>
              <w:t>n</w:t>
            </w:r>
            <w:r>
              <w:rPr>
                <w:i/>
                <w:spacing w:val="-1"/>
                <w:sz w:val="24"/>
              </w:rPr>
              <w:t> </w:t>
            </w:r>
            <w:r>
              <w:rPr>
                <w:sz w:val="24"/>
              </w:rPr>
              <w:t>=</w:t>
            </w:r>
            <w:r>
              <w:rPr>
                <w:spacing w:val="-1"/>
                <w:sz w:val="24"/>
              </w:rPr>
              <w:t> </w:t>
            </w:r>
            <w:r>
              <w:rPr>
                <w:sz w:val="24"/>
              </w:rPr>
              <w:t>139;</w:t>
            </w:r>
            <w:r>
              <w:rPr>
                <w:spacing w:val="-1"/>
                <w:sz w:val="24"/>
              </w:rPr>
              <w:t> </w:t>
            </w:r>
            <w:r>
              <w:rPr>
                <w:sz w:val="24"/>
                <w:vertAlign w:val="superscript"/>
              </w:rPr>
              <w:t>**</w:t>
            </w:r>
            <w:r>
              <w:rPr>
                <w:i/>
                <w:sz w:val="24"/>
                <w:vertAlign w:val="baseline"/>
              </w:rPr>
              <w:t>p </w:t>
            </w:r>
            <w:r>
              <w:rPr>
                <w:sz w:val="24"/>
                <w:vertAlign w:val="baseline"/>
              </w:rPr>
              <w:t>&lt;</w:t>
            </w:r>
            <w:r>
              <w:rPr>
                <w:spacing w:val="-2"/>
                <w:sz w:val="24"/>
                <w:vertAlign w:val="baseline"/>
              </w:rPr>
              <w:t> </w:t>
            </w:r>
            <w:r>
              <w:rPr>
                <w:spacing w:val="-4"/>
                <w:sz w:val="24"/>
                <w:vertAlign w:val="baseline"/>
              </w:rPr>
              <w:t>.001</w:t>
            </w:r>
          </w:p>
        </w:tc>
        <w:tc>
          <w:tcPr>
            <w:tcW w:w="2371" w:type="dxa"/>
          </w:tcPr>
          <w:p>
            <w:pPr>
              <w:pStyle w:val="TableParagraph"/>
              <w:rPr>
                <w:sz w:val="26"/>
              </w:rPr>
            </w:pPr>
          </w:p>
        </w:tc>
        <w:tc>
          <w:tcPr>
            <w:tcW w:w="2191" w:type="dxa"/>
          </w:tcPr>
          <w:p>
            <w:pPr>
              <w:pStyle w:val="TableParagraph"/>
              <w:rPr>
                <w:sz w:val="26"/>
              </w:rPr>
            </w:pPr>
          </w:p>
        </w:tc>
        <w:tc>
          <w:tcPr>
            <w:tcW w:w="1715" w:type="dxa"/>
          </w:tcPr>
          <w:p>
            <w:pPr>
              <w:pStyle w:val="TableParagraph"/>
              <w:rPr>
                <w:sz w:val="26"/>
              </w:rPr>
            </w:pPr>
          </w:p>
        </w:tc>
      </w:tr>
    </w:tbl>
    <w:p>
      <w:pPr>
        <w:pStyle w:val="TableParagraph"/>
        <w:spacing w:after="0"/>
        <w:rPr>
          <w:sz w:val="26"/>
        </w:rPr>
        <w:sectPr>
          <w:pgSz w:w="11910" w:h="16840"/>
          <w:pgMar w:header="0" w:footer="970" w:top="1040" w:bottom="1220" w:left="1417" w:right="283"/>
        </w:sectPr>
      </w:pPr>
    </w:p>
    <w:p>
      <w:pPr>
        <w:pStyle w:val="Heading4"/>
        <w:spacing w:before="67"/>
        <w:ind w:right="567"/>
      </w:pPr>
      <w:r>
        <w:rPr/>
        <w:t>Таким образом, уровень аккультурационного стресса оказывается взаимосвязан с различными общими стрессогенными факторами, с которыми дети могут сталкиваться ежедневно, а также с общим уровнем тревожности, свойственным ребенку.</w:t>
      </w:r>
    </w:p>
    <w:p>
      <w:pPr>
        <w:pStyle w:val="Heading4"/>
        <w:spacing w:before="241"/>
        <w:ind w:right="561"/>
      </w:pPr>
      <w:r>
        <w:rPr/>
        <w:t>Прогностическая валидность опросника была проверена с помощью многомерного ковариационного анализа </w:t>
      </w:r>
      <w:r>
        <w:rPr>
          <w:i/>
        </w:rPr>
        <w:t>(MANCOVA и ANCOVA)</w:t>
      </w:r>
      <w:r>
        <w:rPr/>
        <w:t>. Были проверены переменные: наличие работы и уровень образования у матери и отца, а также культурная принадлежность детей. Значимые различия были выявлены</w:t>
      </w:r>
      <w:r>
        <w:rPr>
          <w:spacing w:val="27"/>
        </w:rPr>
        <w:t>  </w:t>
      </w:r>
      <w:r>
        <w:rPr/>
        <w:t>только</w:t>
      </w:r>
      <w:r>
        <w:rPr>
          <w:spacing w:val="27"/>
        </w:rPr>
        <w:t>  </w:t>
      </w:r>
      <w:r>
        <w:rPr/>
        <w:t>по</w:t>
      </w:r>
      <w:r>
        <w:rPr>
          <w:spacing w:val="28"/>
        </w:rPr>
        <w:t>  </w:t>
      </w:r>
      <w:r>
        <w:rPr/>
        <w:t>фактору</w:t>
      </w:r>
      <w:r>
        <w:rPr>
          <w:spacing w:val="26"/>
        </w:rPr>
        <w:t>  </w:t>
      </w:r>
      <w:r>
        <w:rPr/>
        <w:t>культурной</w:t>
      </w:r>
      <w:r>
        <w:rPr>
          <w:spacing w:val="26"/>
        </w:rPr>
        <w:t>  </w:t>
      </w:r>
      <w:r>
        <w:rPr/>
        <w:t>принадлежности:</w:t>
      </w:r>
      <w:r>
        <w:rPr>
          <w:spacing w:val="32"/>
        </w:rPr>
        <w:t>  </w:t>
      </w:r>
      <w:r>
        <w:rPr/>
        <w:t>для</w:t>
      </w:r>
      <w:r>
        <w:rPr>
          <w:spacing w:val="28"/>
        </w:rPr>
        <w:t>  </w:t>
      </w:r>
      <w:r>
        <w:rPr>
          <w:spacing w:val="-2"/>
        </w:rPr>
        <w:t>шкалы</w:t>
      </w:r>
    </w:p>
    <w:p>
      <w:pPr>
        <w:pStyle w:val="Heading4"/>
        <w:spacing w:before="1"/>
        <w:ind w:right="566"/>
      </w:pPr>
      <w:r>
        <w:rPr/>
        <w:t>«Воспринимаемая дискриминация» [F(2, 247) = 3.69, p = .026, ή² =.03], для шкалы</w:t>
      </w:r>
      <w:r>
        <w:rPr>
          <w:spacing w:val="20"/>
        </w:rPr>
        <w:t> </w:t>
      </w:r>
      <w:r>
        <w:rPr/>
        <w:t>«Стресс,</w:t>
      </w:r>
      <w:r>
        <w:rPr>
          <w:spacing w:val="20"/>
        </w:rPr>
        <w:t> </w:t>
      </w:r>
      <w:r>
        <w:rPr/>
        <w:t>связанный</w:t>
      </w:r>
      <w:r>
        <w:rPr>
          <w:spacing w:val="19"/>
        </w:rPr>
        <w:t> </w:t>
      </w:r>
      <w:r>
        <w:rPr/>
        <w:t>с</w:t>
      </w:r>
      <w:r>
        <w:rPr>
          <w:spacing w:val="20"/>
        </w:rPr>
        <w:t> </w:t>
      </w:r>
      <w:r>
        <w:rPr/>
        <w:t>иммиграцией»</w:t>
      </w:r>
      <w:r>
        <w:rPr>
          <w:spacing w:val="20"/>
        </w:rPr>
        <w:t> </w:t>
      </w:r>
      <w:r>
        <w:rPr/>
        <w:t>[F(2,</w:t>
      </w:r>
      <w:r>
        <w:rPr>
          <w:spacing w:val="19"/>
        </w:rPr>
        <w:t> </w:t>
      </w:r>
      <w:r>
        <w:rPr/>
        <w:t>247)</w:t>
      </w:r>
      <w:r>
        <w:rPr>
          <w:spacing w:val="21"/>
        </w:rPr>
        <w:t> </w:t>
      </w:r>
      <w:r>
        <w:rPr/>
        <w:t>=</w:t>
      </w:r>
      <w:r>
        <w:rPr>
          <w:spacing w:val="20"/>
        </w:rPr>
        <w:t> </w:t>
      </w:r>
      <w:r>
        <w:rPr/>
        <w:t>10.79,</w:t>
      </w:r>
      <w:r>
        <w:rPr>
          <w:spacing w:val="18"/>
        </w:rPr>
        <w:t> </w:t>
      </w:r>
      <w:r>
        <w:rPr/>
        <w:t>p</w:t>
      </w:r>
      <w:r>
        <w:rPr>
          <w:spacing w:val="21"/>
        </w:rPr>
        <w:t> </w:t>
      </w:r>
      <w:r>
        <w:rPr/>
        <w:t>=</w:t>
      </w:r>
      <w:r>
        <w:rPr>
          <w:spacing w:val="21"/>
        </w:rPr>
        <w:t> </w:t>
      </w:r>
      <w:r>
        <w:rPr/>
        <w:t>.000,</w:t>
      </w:r>
      <w:r>
        <w:rPr>
          <w:spacing w:val="19"/>
        </w:rPr>
        <w:t> </w:t>
      </w:r>
      <w:r>
        <w:rPr/>
        <w:t>ή²</w:t>
      </w:r>
      <w:r>
        <w:rPr>
          <w:spacing w:val="18"/>
        </w:rPr>
        <w:t> </w:t>
      </w:r>
      <w:r>
        <w:rPr>
          <w:spacing w:val="-10"/>
        </w:rPr>
        <w:t>=</w:t>
      </w:r>
    </w:p>
    <w:p>
      <w:pPr>
        <w:pStyle w:val="Heading4"/>
        <w:spacing w:line="322" w:lineRule="exact"/>
      </w:pPr>
      <w:r>
        <w:rPr/>
        <w:t>.08]</w:t>
      </w:r>
      <w:r>
        <w:rPr>
          <w:spacing w:val="5"/>
        </w:rPr>
        <w:t> </w:t>
      </w:r>
      <w:r>
        <w:rPr/>
        <w:t>и</w:t>
      </w:r>
      <w:r>
        <w:rPr>
          <w:spacing w:val="7"/>
        </w:rPr>
        <w:t> </w:t>
      </w:r>
      <w:r>
        <w:rPr/>
        <w:t>для</w:t>
      </w:r>
      <w:r>
        <w:rPr>
          <w:spacing w:val="5"/>
        </w:rPr>
        <w:t> </w:t>
      </w:r>
      <w:r>
        <w:rPr/>
        <w:t>общего</w:t>
      </w:r>
      <w:r>
        <w:rPr>
          <w:spacing w:val="8"/>
        </w:rPr>
        <w:t> </w:t>
      </w:r>
      <w:r>
        <w:rPr/>
        <w:t>показателя</w:t>
      </w:r>
      <w:r>
        <w:rPr>
          <w:spacing w:val="6"/>
        </w:rPr>
        <w:t> </w:t>
      </w:r>
      <w:r>
        <w:rPr/>
        <w:t>аккультурационного</w:t>
      </w:r>
      <w:r>
        <w:rPr>
          <w:spacing w:val="8"/>
        </w:rPr>
        <w:t> </w:t>
      </w:r>
      <w:r>
        <w:rPr/>
        <w:t>стресса</w:t>
      </w:r>
      <w:r>
        <w:rPr>
          <w:spacing w:val="7"/>
        </w:rPr>
        <w:t> </w:t>
      </w:r>
      <w:r>
        <w:rPr/>
        <w:t>[F(2,</w:t>
      </w:r>
      <w:r>
        <w:rPr>
          <w:spacing w:val="6"/>
        </w:rPr>
        <w:t> </w:t>
      </w:r>
      <w:r>
        <w:rPr/>
        <w:t>247)</w:t>
      </w:r>
      <w:r>
        <w:rPr>
          <w:spacing w:val="7"/>
        </w:rPr>
        <w:t> </w:t>
      </w:r>
      <w:r>
        <w:rPr/>
        <w:t>=</w:t>
      </w:r>
      <w:r>
        <w:rPr>
          <w:spacing w:val="7"/>
        </w:rPr>
        <w:t> </w:t>
      </w:r>
      <w:r>
        <w:rPr/>
        <w:t>7.15,</w:t>
      </w:r>
      <w:r>
        <w:rPr>
          <w:spacing w:val="5"/>
        </w:rPr>
        <w:t> </w:t>
      </w:r>
      <w:r>
        <w:rPr>
          <w:spacing w:val="-10"/>
        </w:rPr>
        <w:t>p</w:t>
      </w:r>
    </w:p>
    <w:p>
      <w:pPr>
        <w:pStyle w:val="Heading4"/>
        <w:ind w:right="560"/>
      </w:pPr>
      <w:r>
        <w:rPr/>
        <w:t>= .001, ή² = .06]. Значимые различия между подгруппами выборок были обнаружены только у американских детей испанского происхождения и американских детей европейского происхождения, при этом по всем показателям аккультурационного стресса различий между группами американских</w:t>
      </w:r>
      <w:r>
        <w:rPr>
          <w:spacing w:val="-1"/>
        </w:rPr>
        <w:t> </w:t>
      </w:r>
      <w:r>
        <w:rPr/>
        <w:t>детей-мигрантов</w:t>
      </w:r>
      <w:r>
        <w:rPr>
          <w:spacing w:val="-2"/>
        </w:rPr>
        <w:t> </w:t>
      </w:r>
      <w:r>
        <w:rPr/>
        <w:t>европейского</w:t>
      </w:r>
      <w:r>
        <w:rPr>
          <w:spacing w:val="-1"/>
        </w:rPr>
        <w:t> </w:t>
      </w:r>
      <w:r>
        <w:rPr/>
        <w:t>и</w:t>
      </w:r>
      <w:r>
        <w:rPr>
          <w:spacing w:val="-3"/>
        </w:rPr>
        <w:t> </w:t>
      </w:r>
      <w:r>
        <w:rPr/>
        <w:t>африканского</w:t>
      </w:r>
      <w:r>
        <w:rPr>
          <w:spacing w:val="-1"/>
        </w:rPr>
        <w:t> </w:t>
      </w:r>
      <w:r>
        <w:rPr/>
        <w:t>происхождения выявлено не было.</w:t>
      </w:r>
    </w:p>
    <w:p>
      <w:pPr>
        <w:pStyle w:val="Heading4"/>
        <w:spacing w:before="240"/>
        <w:ind w:right="568"/>
      </w:pPr>
      <w:r>
        <w:rPr/>
        <w:t>Таким образом, опросник продемонстрировал хорошие показатели надежности и валидности. Представляется возможным его применение для диагностики уровня аккультурационного стресса у детей, адаптирующихся к новой культуре.</w:t>
      </w:r>
    </w:p>
    <w:p>
      <w:pPr>
        <w:pStyle w:val="Heading4"/>
        <w:spacing w:before="241"/>
        <w:ind w:right="561"/>
      </w:pPr>
      <w:r>
        <w:rPr/>
        <w:t>В 2022 г. методика была адаптирована для детей — иностранных граждан в рамках апробации в 12 регионах РФ программы оценки особых образовательных потребностей ребенка-мигранта в сферах психологического благополучия,</w:t>
      </w:r>
      <w:r>
        <w:rPr>
          <w:spacing w:val="-16"/>
        </w:rPr>
        <w:t> </w:t>
      </w:r>
      <w:r>
        <w:rPr/>
        <w:t>социальных</w:t>
      </w:r>
      <w:r>
        <w:rPr>
          <w:spacing w:val="-15"/>
        </w:rPr>
        <w:t> </w:t>
      </w:r>
      <w:r>
        <w:rPr/>
        <w:t>навыков</w:t>
      </w:r>
      <w:r>
        <w:rPr>
          <w:spacing w:val="-17"/>
        </w:rPr>
        <w:t> </w:t>
      </w:r>
      <w:r>
        <w:rPr/>
        <w:t>и</w:t>
      </w:r>
      <w:r>
        <w:rPr>
          <w:spacing w:val="-18"/>
        </w:rPr>
        <w:t> </w:t>
      </w:r>
      <w:r>
        <w:rPr/>
        <w:t>культурной</w:t>
      </w:r>
      <w:r>
        <w:rPr>
          <w:spacing w:val="-17"/>
        </w:rPr>
        <w:t> </w:t>
      </w:r>
      <w:r>
        <w:rPr/>
        <w:t>адаптации</w:t>
      </w:r>
      <w:r>
        <w:rPr>
          <w:spacing w:val="-15"/>
        </w:rPr>
        <w:t> </w:t>
      </w:r>
      <w:r>
        <w:rPr/>
        <w:t>(N</w:t>
      </w:r>
      <w:r>
        <w:rPr>
          <w:spacing w:val="-17"/>
        </w:rPr>
        <w:t> </w:t>
      </w:r>
      <w:r>
        <w:rPr/>
        <w:t>=</w:t>
      </w:r>
      <w:r>
        <w:rPr>
          <w:spacing w:val="-16"/>
        </w:rPr>
        <w:t> </w:t>
      </w:r>
      <w:r>
        <w:rPr/>
        <w:t>241).</w:t>
      </w:r>
      <w:r>
        <w:rPr>
          <w:spacing w:val="-16"/>
        </w:rPr>
        <w:t> </w:t>
      </w:r>
      <w:r>
        <w:rPr/>
        <w:t>Шкалы методики показали достаточную степень внутренней согласованности (альфа Кронбаха 0.865).</w:t>
      </w:r>
    </w:p>
    <w:p>
      <w:pPr>
        <w:pStyle w:val="Heading4"/>
        <w:spacing w:before="241"/>
        <w:ind w:right="559"/>
      </w:pPr>
      <w:r>
        <w:rPr/>
        <w:t>В исследовании обнаружены предсказуемые корреляции со шкалами следующих методик. Общий аккультурационный стресс имеет положительную</w:t>
      </w:r>
      <w:r>
        <w:rPr>
          <w:spacing w:val="-5"/>
        </w:rPr>
        <w:t> </w:t>
      </w:r>
      <w:r>
        <w:rPr/>
        <w:t>значимую</w:t>
      </w:r>
      <w:r>
        <w:rPr>
          <w:spacing w:val="-5"/>
        </w:rPr>
        <w:t> </w:t>
      </w:r>
      <w:r>
        <w:rPr/>
        <w:t>корреляцию</w:t>
      </w:r>
      <w:r>
        <w:rPr>
          <w:spacing w:val="-6"/>
        </w:rPr>
        <w:t> </w:t>
      </w:r>
      <w:r>
        <w:rPr/>
        <w:t>с социальной</w:t>
      </w:r>
      <w:r>
        <w:rPr>
          <w:spacing w:val="-3"/>
        </w:rPr>
        <w:t> </w:t>
      </w:r>
      <w:r>
        <w:rPr/>
        <w:t>тревожностью</w:t>
      </w:r>
      <w:r>
        <w:rPr>
          <w:spacing w:val="-2"/>
        </w:rPr>
        <w:t> </w:t>
      </w:r>
      <w:r>
        <w:rPr/>
        <w:t>/</w:t>
      </w:r>
      <w:r>
        <w:rPr>
          <w:spacing w:val="-5"/>
        </w:rPr>
        <w:t> </w:t>
      </w:r>
      <w:r>
        <w:rPr/>
        <w:t>«Шкала социального</w:t>
      </w:r>
      <w:r>
        <w:rPr>
          <w:spacing w:val="40"/>
        </w:rPr>
        <w:t> </w:t>
      </w:r>
      <w:r>
        <w:rPr/>
        <w:t>избегания</w:t>
      </w:r>
      <w:r>
        <w:rPr>
          <w:spacing w:val="40"/>
        </w:rPr>
        <w:t> </w:t>
      </w:r>
      <w:r>
        <w:rPr/>
        <w:t>и</w:t>
      </w:r>
      <w:r>
        <w:rPr>
          <w:spacing w:val="40"/>
        </w:rPr>
        <w:t> </w:t>
      </w:r>
      <w:r>
        <w:rPr/>
        <w:t>дистресса»</w:t>
      </w:r>
      <w:r>
        <w:rPr>
          <w:spacing w:val="40"/>
        </w:rPr>
        <w:t> </w:t>
      </w:r>
      <w:r>
        <w:rPr/>
        <w:t>(0.368,</w:t>
      </w:r>
      <w:r>
        <w:rPr>
          <w:spacing w:val="40"/>
        </w:rPr>
        <w:t> </w:t>
      </w:r>
      <w:r>
        <w:rPr/>
        <w:t>P&lt;0.01)</w:t>
      </w:r>
      <w:r>
        <w:rPr>
          <w:spacing w:val="40"/>
        </w:rPr>
        <w:t> </w:t>
      </w:r>
      <w:r>
        <w:rPr/>
        <w:t>и</w:t>
      </w:r>
      <w:r>
        <w:rPr>
          <w:spacing w:val="40"/>
        </w:rPr>
        <w:t> </w:t>
      </w:r>
      <w:r>
        <w:rPr/>
        <w:t>с</w:t>
      </w:r>
      <w:r>
        <w:rPr>
          <w:spacing w:val="40"/>
        </w:rPr>
        <w:t> </w:t>
      </w:r>
      <w:r>
        <w:rPr/>
        <w:t>депрессивностью</w:t>
      </w:r>
      <w:r>
        <w:rPr>
          <w:spacing w:val="40"/>
        </w:rPr>
        <w:t> </w:t>
      </w:r>
      <w:r>
        <w:rPr/>
        <w:t>/</w:t>
      </w:r>
    </w:p>
    <w:p>
      <w:pPr>
        <w:pStyle w:val="Heading4"/>
        <w:ind w:right="560"/>
      </w:pPr>
      <w:r>
        <w:rPr/>
        <w:t>«Шкала депрессивности» (0.538, P&lt;0.01), но отрицательную корреляцию со шкалой психологического благополучия Уорик–Эдинбург (-0.362, P&lt;0.01). Шкала</w:t>
      </w:r>
      <w:r>
        <w:rPr>
          <w:spacing w:val="-1"/>
        </w:rPr>
        <w:t> </w:t>
      </w:r>
      <w:r>
        <w:rPr/>
        <w:t>также имеет</w:t>
      </w:r>
      <w:r>
        <w:rPr>
          <w:spacing w:val="-2"/>
        </w:rPr>
        <w:t> </w:t>
      </w:r>
      <w:r>
        <w:rPr/>
        <w:t>положительную</w:t>
      </w:r>
      <w:r>
        <w:rPr>
          <w:spacing w:val="-2"/>
        </w:rPr>
        <w:t> </w:t>
      </w:r>
      <w:r>
        <w:rPr/>
        <w:t>значимую</w:t>
      </w:r>
      <w:r>
        <w:rPr>
          <w:spacing w:val="-2"/>
        </w:rPr>
        <w:t> </w:t>
      </w:r>
      <w:r>
        <w:rPr/>
        <w:t>корреляцию</w:t>
      </w:r>
      <w:r>
        <w:rPr>
          <w:spacing w:val="-2"/>
        </w:rPr>
        <w:t> </w:t>
      </w:r>
      <w:r>
        <w:rPr/>
        <w:t>с</w:t>
      </w:r>
      <w:r>
        <w:rPr>
          <w:spacing w:val="-1"/>
        </w:rPr>
        <w:t> </w:t>
      </w:r>
      <w:r>
        <w:rPr/>
        <w:t>краткой шкалой социокультурной дезадаптации (0.300, P&lt;0.01). Это доказывает внешнюю валидность методики «Детский опросник аккультурационного стресса» при диагностике детей — иностранных граждан.</w:t>
      </w:r>
    </w:p>
    <w:p>
      <w:pPr>
        <w:pStyle w:val="Heading4"/>
        <w:spacing w:after="0"/>
        <w:sectPr>
          <w:pgSz w:w="11910" w:h="16840"/>
          <w:pgMar w:header="0" w:footer="970" w:top="1040" w:bottom="1220" w:left="1417" w:right="283"/>
        </w:sectPr>
      </w:pPr>
    </w:p>
    <w:p>
      <w:pPr>
        <w:pStyle w:val="Heading3"/>
        <w:ind w:left="4101"/>
        <w:jc w:val="left"/>
      </w:pPr>
      <w:r>
        <w:rPr/>
        <w:t>Приложение</w:t>
      </w:r>
      <w:r>
        <w:rPr>
          <w:spacing w:val="-6"/>
        </w:rPr>
        <w:t> </w:t>
      </w:r>
      <w:r>
        <w:rPr/>
        <w:t>14.</w:t>
      </w:r>
      <w:r>
        <w:rPr>
          <w:spacing w:val="-4"/>
        </w:rPr>
        <w:t> </w:t>
      </w:r>
      <w:r>
        <w:rPr/>
        <w:t>Бланк</w:t>
      </w:r>
      <w:r>
        <w:rPr>
          <w:spacing w:val="-3"/>
        </w:rPr>
        <w:t> </w:t>
      </w:r>
      <w:r>
        <w:rPr/>
        <w:t>методики</w:t>
      </w:r>
      <w:r>
        <w:rPr>
          <w:spacing w:val="-3"/>
        </w:rPr>
        <w:t> </w:t>
      </w:r>
      <w:r>
        <w:rPr/>
        <w:t>для</w:t>
      </w:r>
      <w:r>
        <w:rPr>
          <w:spacing w:val="-6"/>
        </w:rPr>
        <w:t> </w:t>
      </w:r>
      <w:r>
        <w:rPr>
          <w:spacing w:val="-2"/>
        </w:rPr>
        <w:t>детей</w:t>
      </w:r>
    </w:p>
    <w:p>
      <w:pPr>
        <w:spacing w:before="270"/>
        <w:ind w:left="285" w:right="856" w:firstLine="0"/>
        <w:jc w:val="both"/>
        <w:rPr>
          <w:i/>
          <w:sz w:val="24"/>
        </w:rPr>
      </w:pPr>
      <w:r>
        <w:rPr>
          <w:i/>
          <w:sz w:val="24"/>
        </w:rPr>
        <w:t>Прочитай утверждения о некоторых вещах, которые могут случаться в жизни. О некоторых ты, возможно, думал/а, о некоторых, возможно, нет. Вначале скажи: относится ли это утверждение к тебе или нет, </w:t>
      </w:r>
      <w:r>
        <w:rPr>
          <w:i/>
          <w:sz w:val="24"/>
          <w:u w:val="single"/>
        </w:rPr>
        <w:t>случается ли такое в твоей жизни?</w:t>
      </w:r>
      <w:r>
        <w:rPr>
          <w:i/>
          <w:sz w:val="24"/>
        </w:rPr>
        <w:t> Затем, если случается, скажи, насколько это тебя беспокоит. Выбери один вариант ответа от «Не беспокоит меня» до «Очень сильно беспокоит меня».</w:t>
      </w:r>
    </w:p>
    <w:p>
      <w:pPr>
        <w:pStyle w:val="BodyText"/>
        <w:spacing w:before="100"/>
        <w:ind w:left="0" w:right="0" w:firstLine="0"/>
        <w:jc w:val="left"/>
        <w:rPr>
          <w:i/>
        </w:rPr>
      </w:pPr>
    </w:p>
    <w:tbl>
      <w:tblPr>
        <w:tblW w:w="0" w:type="auto"/>
        <w:jc w:val="left"/>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
        <w:gridCol w:w="2720"/>
        <w:gridCol w:w="1107"/>
        <w:gridCol w:w="992"/>
        <w:gridCol w:w="1136"/>
        <w:gridCol w:w="1134"/>
        <w:gridCol w:w="1136"/>
        <w:gridCol w:w="1134"/>
      </w:tblGrid>
      <w:tr>
        <w:trPr>
          <w:trHeight w:val="1785" w:hRule="atLeast"/>
        </w:trPr>
        <w:tc>
          <w:tcPr>
            <w:tcW w:w="538" w:type="dxa"/>
          </w:tcPr>
          <w:p>
            <w:pPr>
              <w:pStyle w:val="TableParagraph"/>
              <w:spacing w:before="238"/>
              <w:rPr>
                <w:i/>
                <w:sz w:val="24"/>
              </w:rPr>
            </w:pPr>
          </w:p>
          <w:p>
            <w:pPr>
              <w:pStyle w:val="TableParagraph"/>
              <w:spacing w:before="1"/>
              <w:ind w:left="107"/>
              <w:rPr>
                <w:b/>
                <w:sz w:val="24"/>
              </w:rPr>
            </w:pPr>
            <w:r>
              <w:rPr>
                <w:b/>
                <w:spacing w:val="-10"/>
                <w:sz w:val="24"/>
              </w:rPr>
              <w:t>№</w:t>
            </w:r>
          </w:p>
        </w:tc>
        <w:tc>
          <w:tcPr>
            <w:tcW w:w="2720" w:type="dxa"/>
          </w:tcPr>
          <w:p>
            <w:pPr>
              <w:pStyle w:val="TableParagraph"/>
              <w:spacing w:before="238"/>
              <w:rPr>
                <w:i/>
                <w:sz w:val="24"/>
              </w:rPr>
            </w:pPr>
          </w:p>
          <w:p>
            <w:pPr>
              <w:pStyle w:val="TableParagraph"/>
              <w:spacing w:before="1"/>
              <w:ind w:left="104"/>
              <w:rPr>
                <w:b/>
                <w:sz w:val="24"/>
              </w:rPr>
            </w:pPr>
            <w:r>
              <w:rPr>
                <w:b/>
                <w:spacing w:val="-2"/>
                <w:sz w:val="24"/>
              </w:rPr>
              <w:t>Утверждение</w:t>
            </w:r>
          </w:p>
        </w:tc>
        <w:tc>
          <w:tcPr>
            <w:tcW w:w="1107" w:type="dxa"/>
          </w:tcPr>
          <w:p>
            <w:pPr>
              <w:pStyle w:val="TableParagraph"/>
              <w:spacing w:line="276" w:lineRule="auto" w:before="152"/>
              <w:ind w:left="107" w:right="223"/>
              <w:rPr>
                <w:i/>
                <w:sz w:val="24"/>
              </w:rPr>
            </w:pPr>
            <w:r>
              <w:rPr>
                <w:i/>
                <w:spacing w:val="-6"/>
                <w:sz w:val="24"/>
              </w:rPr>
              <w:t>Не </w:t>
            </w:r>
            <w:r>
              <w:rPr>
                <w:i/>
                <w:spacing w:val="-2"/>
                <w:sz w:val="24"/>
              </w:rPr>
              <w:t>относи </w:t>
            </w:r>
            <w:r>
              <w:rPr>
                <w:i/>
                <w:sz w:val="24"/>
              </w:rPr>
              <w:t>тся ко </w:t>
            </w:r>
            <w:r>
              <w:rPr>
                <w:i/>
                <w:spacing w:val="-4"/>
                <w:sz w:val="24"/>
              </w:rPr>
              <w:t>мне</w:t>
            </w:r>
          </w:p>
        </w:tc>
        <w:tc>
          <w:tcPr>
            <w:tcW w:w="992" w:type="dxa"/>
          </w:tcPr>
          <w:p>
            <w:pPr>
              <w:pStyle w:val="TableParagraph"/>
              <w:spacing w:line="276" w:lineRule="auto" w:before="152"/>
              <w:ind w:left="106" w:right="181"/>
              <w:rPr>
                <w:i/>
                <w:sz w:val="24"/>
              </w:rPr>
            </w:pPr>
            <w:r>
              <w:rPr>
                <w:i/>
                <w:spacing w:val="-6"/>
                <w:sz w:val="24"/>
              </w:rPr>
              <w:t>Не </w:t>
            </w:r>
            <w:r>
              <w:rPr>
                <w:i/>
                <w:spacing w:val="-2"/>
                <w:sz w:val="24"/>
              </w:rPr>
              <w:t>беспок </w:t>
            </w:r>
            <w:r>
              <w:rPr>
                <w:i/>
                <w:spacing w:val="-4"/>
                <w:sz w:val="24"/>
              </w:rPr>
              <w:t>оит</w:t>
            </w:r>
          </w:p>
          <w:p>
            <w:pPr>
              <w:pStyle w:val="TableParagraph"/>
              <w:spacing w:before="2"/>
              <w:ind w:left="106"/>
              <w:rPr>
                <w:i/>
                <w:sz w:val="24"/>
              </w:rPr>
            </w:pPr>
            <w:r>
              <w:rPr>
                <w:i/>
                <w:spacing w:val="-4"/>
                <w:sz w:val="24"/>
              </w:rPr>
              <w:t>меня</w:t>
            </w:r>
          </w:p>
        </w:tc>
        <w:tc>
          <w:tcPr>
            <w:tcW w:w="1136" w:type="dxa"/>
          </w:tcPr>
          <w:p>
            <w:pPr>
              <w:pStyle w:val="TableParagraph"/>
              <w:spacing w:line="276" w:lineRule="auto"/>
              <w:ind w:left="106" w:right="120"/>
              <w:rPr>
                <w:i/>
                <w:sz w:val="24"/>
              </w:rPr>
            </w:pPr>
            <w:r>
              <w:rPr>
                <w:i/>
                <w:spacing w:val="-2"/>
                <w:sz w:val="24"/>
              </w:rPr>
              <w:t>Почти никогда </w:t>
            </w:r>
            <w:r>
              <w:rPr>
                <w:i/>
                <w:spacing w:val="-6"/>
                <w:sz w:val="24"/>
              </w:rPr>
              <w:t>не </w:t>
            </w:r>
            <w:r>
              <w:rPr>
                <w:i/>
                <w:spacing w:val="-2"/>
                <w:sz w:val="24"/>
              </w:rPr>
              <w:t>беспоко </w:t>
            </w:r>
            <w:r>
              <w:rPr>
                <w:i/>
                <w:sz w:val="24"/>
              </w:rPr>
              <w:t>ит</w:t>
            </w:r>
            <w:r>
              <w:rPr>
                <w:i/>
                <w:spacing w:val="-2"/>
                <w:sz w:val="24"/>
              </w:rPr>
              <w:t> </w:t>
            </w:r>
            <w:r>
              <w:rPr>
                <w:i/>
                <w:spacing w:val="-4"/>
                <w:sz w:val="24"/>
              </w:rPr>
              <w:t>меня</w:t>
            </w:r>
          </w:p>
        </w:tc>
        <w:tc>
          <w:tcPr>
            <w:tcW w:w="1134" w:type="dxa"/>
          </w:tcPr>
          <w:p>
            <w:pPr>
              <w:pStyle w:val="TableParagraph"/>
              <w:spacing w:before="34"/>
              <w:rPr>
                <w:i/>
                <w:sz w:val="24"/>
              </w:rPr>
            </w:pPr>
          </w:p>
          <w:p>
            <w:pPr>
              <w:pStyle w:val="TableParagraph"/>
              <w:spacing w:line="276" w:lineRule="auto" w:before="1"/>
              <w:ind w:left="105" w:right="173"/>
              <w:jc w:val="both"/>
              <w:rPr>
                <w:i/>
                <w:sz w:val="24"/>
              </w:rPr>
            </w:pPr>
            <w:r>
              <w:rPr>
                <w:i/>
                <w:spacing w:val="-2"/>
                <w:sz w:val="24"/>
              </w:rPr>
              <w:t>Иногда беспоко </w:t>
            </w:r>
            <w:r>
              <w:rPr>
                <w:i/>
                <w:sz w:val="24"/>
              </w:rPr>
              <w:t>ит</w:t>
            </w:r>
            <w:r>
              <w:rPr>
                <w:i/>
                <w:spacing w:val="-2"/>
                <w:sz w:val="24"/>
              </w:rPr>
              <w:t> </w:t>
            </w:r>
            <w:r>
              <w:rPr>
                <w:i/>
                <w:spacing w:val="-4"/>
                <w:sz w:val="24"/>
              </w:rPr>
              <w:t>меня</w:t>
            </w:r>
          </w:p>
        </w:tc>
        <w:tc>
          <w:tcPr>
            <w:tcW w:w="1136" w:type="dxa"/>
          </w:tcPr>
          <w:p>
            <w:pPr>
              <w:pStyle w:val="TableParagraph"/>
              <w:spacing w:before="34"/>
              <w:rPr>
                <w:i/>
                <w:sz w:val="24"/>
              </w:rPr>
            </w:pPr>
          </w:p>
          <w:p>
            <w:pPr>
              <w:pStyle w:val="TableParagraph"/>
              <w:spacing w:line="276" w:lineRule="auto" w:before="1"/>
              <w:ind w:left="104"/>
              <w:rPr>
                <w:i/>
                <w:sz w:val="24"/>
              </w:rPr>
            </w:pPr>
            <w:r>
              <w:rPr>
                <w:i/>
                <w:spacing w:val="-2"/>
                <w:sz w:val="24"/>
              </w:rPr>
              <w:t>Сильно беспоко </w:t>
            </w:r>
            <w:r>
              <w:rPr>
                <w:i/>
                <w:sz w:val="24"/>
              </w:rPr>
              <w:t>ит</w:t>
            </w:r>
            <w:r>
              <w:rPr>
                <w:i/>
                <w:spacing w:val="-2"/>
                <w:sz w:val="24"/>
              </w:rPr>
              <w:t> </w:t>
            </w:r>
            <w:r>
              <w:rPr>
                <w:i/>
                <w:spacing w:val="-4"/>
                <w:sz w:val="24"/>
              </w:rPr>
              <w:t>меня</w:t>
            </w:r>
          </w:p>
        </w:tc>
        <w:tc>
          <w:tcPr>
            <w:tcW w:w="1134" w:type="dxa"/>
          </w:tcPr>
          <w:p>
            <w:pPr>
              <w:pStyle w:val="TableParagraph"/>
              <w:spacing w:line="276" w:lineRule="auto" w:before="152"/>
              <w:ind w:left="103"/>
              <w:rPr>
                <w:i/>
                <w:sz w:val="24"/>
              </w:rPr>
            </w:pPr>
            <w:r>
              <w:rPr>
                <w:i/>
                <w:spacing w:val="-4"/>
                <w:sz w:val="24"/>
              </w:rPr>
              <w:t>Очень </w:t>
            </w:r>
            <w:r>
              <w:rPr>
                <w:i/>
                <w:spacing w:val="-2"/>
                <w:sz w:val="24"/>
              </w:rPr>
              <w:t>сильно беспоко </w:t>
            </w:r>
            <w:r>
              <w:rPr>
                <w:i/>
                <w:sz w:val="24"/>
              </w:rPr>
              <w:t>ит</w:t>
            </w:r>
            <w:r>
              <w:rPr>
                <w:i/>
                <w:spacing w:val="-2"/>
                <w:sz w:val="24"/>
              </w:rPr>
              <w:t> </w:t>
            </w:r>
            <w:r>
              <w:rPr>
                <w:i/>
                <w:spacing w:val="-4"/>
                <w:sz w:val="24"/>
              </w:rPr>
              <w:t>меня</w:t>
            </w:r>
          </w:p>
        </w:tc>
      </w:tr>
      <w:tr>
        <w:trPr>
          <w:trHeight w:val="2104" w:hRule="atLeast"/>
        </w:trPr>
        <w:tc>
          <w:tcPr>
            <w:tcW w:w="538" w:type="dxa"/>
          </w:tcPr>
          <w:p>
            <w:pPr>
              <w:pStyle w:val="TableParagraph"/>
              <w:spacing w:line="273" w:lineRule="exact"/>
              <w:ind w:left="107"/>
              <w:rPr>
                <w:sz w:val="24"/>
              </w:rPr>
            </w:pPr>
            <w:r>
              <w:rPr>
                <w:spacing w:val="-10"/>
                <w:sz w:val="24"/>
              </w:rPr>
              <w:t>1</w:t>
            </w:r>
          </w:p>
        </w:tc>
        <w:tc>
          <w:tcPr>
            <w:tcW w:w="2720" w:type="dxa"/>
          </w:tcPr>
          <w:p>
            <w:pPr>
              <w:pStyle w:val="TableParagraph"/>
              <w:spacing w:line="276" w:lineRule="auto"/>
              <w:ind w:left="104" w:right="179"/>
              <w:rPr>
                <w:sz w:val="24"/>
              </w:rPr>
            </w:pPr>
            <w:r>
              <w:rPr>
                <w:sz w:val="24"/>
              </w:rPr>
              <w:t>Мне</w:t>
            </w:r>
            <w:r>
              <w:rPr>
                <w:spacing w:val="-15"/>
                <w:sz w:val="24"/>
              </w:rPr>
              <w:t> </w:t>
            </w:r>
            <w:r>
              <w:rPr>
                <w:sz w:val="24"/>
              </w:rPr>
              <w:t>часто</w:t>
            </w:r>
            <w:r>
              <w:rPr>
                <w:spacing w:val="-14"/>
                <w:sz w:val="24"/>
              </w:rPr>
              <w:t> </w:t>
            </w:r>
            <w:r>
              <w:rPr>
                <w:sz w:val="24"/>
              </w:rPr>
              <w:t>кажется,</w:t>
            </w:r>
            <w:r>
              <w:rPr>
                <w:spacing w:val="-14"/>
                <w:sz w:val="24"/>
              </w:rPr>
              <w:t> </w:t>
            </w:r>
            <w:r>
              <w:rPr>
                <w:sz w:val="24"/>
              </w:rPr>
              <w:t>что люди,</w:t>
            </w:r>
            <w:r>
              <w:rPr>
                <w:spacing w:val="-14"/>
                <w:sz w:val="24"/>
              </w:rPr>
              <w:t> </w:t>
            </w:r>
            <w:r>
              <w:rPr>
                <w:sz w:val="24"/>
              </w:rPr>
              <w:t>которые</w:t>
            </w:r>
            <w:r>
              <w:rPr>
                <w:spacing w:val="-15"/>
                <w:sz w:val="24"/>
              </w:rPr>
              <w:t> </w:t>
            </w:r>
            <w:r>
              <w:rPr>
                <w:sz w:val="24"/>
              </w:rPr>
              <w:t>должны помогать, на самом деле не обращают на меня никакого </w:t>
            </w:r>
            <w:r>
              <w:rPr>
                <w:spacing w:val="-2"/>
                <w:sz w:val="24"/>
              </w:rPr>
              <w:t>внимания</w:t>
            </w:r>
          </w:p>
        </w:tc>
        <w:tc>
          <w:tcPr>
            <w:tcW w:w="1107" w:type="dxa"/>
          </w:tcPr>
          <w:p>
            <w:pPr>
              <w:pStyle w:val="TableParagraph"/>
              <w:rPr>
                <w:i/>
                <w:sz w:val="24"/>
              </w:rPr>
            </w:pPr>
          </w:p>
          <w:p>
            <w:pPr>
              <w:pStyle w:val="TableParagraph"/>
              <w:spacing w:before="236"/>
              <w:rPr>
                <w:i/>
                <w:sz w:val="24"/>
              </w:rPr>
            </w:pPr>
          </w:p>
          <w:p>
            <w:pPr>
              <w:pStyle w:val="TableParagraph"/>
              <w:ind w:left="107"/>
              <w:rPr>
                <w:sz w:val="24"/>
              </w:rPr>
            </w:pPr>
            <w:r>
              <w:rPr>
                <w:spacing w:val="-10"/>
                <w:sz w:val="24"/>
              </w:rPr>
              <w:t>0</w:t>
            </w:r>
          </w:p>
        </w:tc>
        <w:tc>
          <w:tcPr>
            <w:tcW w:w="992" w:type="dxa"/>
          </w:tcPr>
          <w:p>
            <w:pPr>
              <w:pStyle w:val="TableParagraph"/>
              <w:rPr>
                <w:i/>
                <w:sz w:val="24"/>
              </w:rPr>
            </w:pPr>
          </w:p>
          <w:p>
            <w:pPr>
              <w:pStyle w:val="TableParagraph"/>
              <w:spacing w:before="236"/>
              <w:rPr>
                <w:i/>
                <w:sz w:val="24"/>
              </w:rPr>
            </w:pPr>
          </w:p>
          <w:p>
            <w:pPr>
              <w:pStyle w:val="TableParagraph"/>
              <w:ind w:left="106"/>
              <w:rPr>
                <w:sz w:val="24"/>
              </w:rPr>
            </w:pPr>
            <w:r>
              <w:rPr>
                <w:spacing w:val="-10"/>
                <w:sz w:val="24"/>
              </w:rPr>
              <w:t>1</w:t>
            </w:r>
          </w:p>
        </w:tc>
        <w:tc>
          <w:tcPr>
            <w:tcW w:w="1136" w:type="dxa"/>
          </w:tcPr>
          <w:p>
            <w:pPr>
              <w:pStyle w:val="TableParagraph"/>
              <w:rPr>
                <w:i/>
                <w:sz w:val="24"/>
              </w:rPr>
            </w:pPr>
          </w:p>
          <w:p>
            <w:pPr>
              <w:pStyle w:val="TableParagraph"/>
              <w:spacing w:before="236"/>
              <w:rPr>
                <w:i/>
                <w:sz w:val="24"/>
              </w:rPr>
            </w:pPr>
          </w:p>
          <w:p>
            <w:pPr>
              <w:pStyle w:val="TableParagraph"/>
              <w:ind w:left="106"/>
              <w:rPr>
                <w:sz w:val="24"/>
              </w:rPr>
            </w:pPr>
            <w:r>
              <w:rPr>
                <w:spacing w:val="-10"/>
                <w:sz w:val="24"/>
              </w:rPr>
              <w:t>2</w:t>
            </w:r>
          </w:p>
        </w:tc>
        <w:tc>
          <w:tcPr>
            <w:tcW w:w="1134" w:type="dxa"/>
          </w:tcPr>
          <w:p>
            <w:pPr>
              <w:pStyle w:val="TableParagraph"/>
              <w:rPr>
                <w:i/>
                <w:sz w:val="24"/>
              </w:rPr>
            </w:pPr>
          </w:p>
          <w:p>
            <w:pPr>
              <w:pStyle w:val="TableParagraph"/>
              <w:spacing w:before="236"/>
              <w:rPr>
                <w:i/>
                <w:sz w:val="24"/>
              </w:rPr>
            </w:pPr>
          </w:p>
          <w:p>
            <w:pPr>
              <w:pStyle w:val="TableParagraph"/>
              <w:ind w:left="105"/>
              <w:rPr>
                <w:sz w:val="24"/>
              </w:rPr>
            </w:pPr>
            <w:r>
              <w:rPr>
                <w:spacing w:val="-10"/>
                <w:sz w:val="24"/>
              </w:rPr>
              <w:t>3</w:t>
            </w:r>
          </w:p>
        </w:tc>
        <w:tc>
          <w:tcPr>
            <w:tcW w:w="1136" w:type="dxa"/>
          </w:tcPr>
          <w:p>
            <w:pPr>
              <w:pStyle w:val="TableParagraph"/>
              <w:rPr>
                <w:i/>
                <w:sz w:val="24"/>
              </w:rPr>
            </w:pPr>
          </w:p>
          <w:p>
            <w:pPr>
              <w:pStyle w:val="TableParagraph"/>
              <w:spacing w:before="236"/>
              <w:rPr>
                <w:i/>
                <w:sz w:val="24"/>
              </w:rPr>
            </w:pPr>
          </w:p>
          <w:p>
            <w:pPr>
              <w:pStyle w:val="TableParagraph"/>
              <w:ind w:left="104"/>
              <w:rPr>
                <w:sz w:val="24"/>
              </w:rPr>
            </w:pPr>
            <w:r>
              <w:rPr>
                <w:spacing w:val="-10"/>
                <w:sz w:val="24"/>
              </w:rPr>
              <w:t>4</w:t>
            </w:r>
          </w:p>
        </w:tc>
        <w:tc>
          <w:tcPr>
            <w:tcW w:w="1134" w:type="dxa"/>
          </w:tcPr>
          <w:p>
            <w:pPr>
              <w:pStyle w:val="TableParagraph"/>
              <w:rPr>
                <w:i/>
                <w:sz w:val="24"/>
              </w:rPr>
            </w:pPr>
          </w:p>
          <w:p>
            <w:pPr>
              <w:pStyle w:val="TableParagraph"/>
              <w:spacing w:before="236"/>
              <w:rPr>
                <w:i/>
                <w:sz w:val="24"/>
              </w:rPr>
            </w:pPr>
          </w:p>
          <w:p>
            <w:pPr>
              <w:pStyle w:val="TableParagraph"/>
              <w:ind w:left="103"/>
              <w:rPr>
                <w:sz w:val="24"/>
              </w:rPr>
            </w:pPr>
            <w:r>
              <w:rPr>
                <w:spacing w:val="-10"/>
                <w:sz w:val="24"/>
              </w:rPr>
              <w:t>5</w:t>
            </w:r>
          </w:p>
        </w:tc>
      </w:tr>
      <w:tr>
        <w:trPr>
          <w:trHeight w:val="1154" w:hRule="atLeast"/>
        </w:trPr>
        <w:tc>
          <w:tcPr>
            <w:tcW w:w="538" w:type="dxa"/>
          </w:tcPr>
          <w:p>
            <w:pPr>
              <w:pStyle w:val="TableParagraph"/>
              <w:spacing w:line="273" w:lineRule="exact"/>
              <w:ind w:left="107"/>
              <w:rPr>
                <w:sz w:val="24"/>
              </w:rPr>
            </w:pPr>
            <w:r>
              <w:rPr>
                <w:spacing w:val="-10"/>
                <w:sz w:val="24"/>
              </w:rPr>
              <w:t>2</w:t>
            </w:r>
          </w:p>
        </w:tc>
        <w:tc>
          <w:tcPr>
            <w:tcW w:w="2720" w:type="dxa"/>
          </w:tcPr>
          <w:p>
            <w:pPr>
              <w:pStyle w:val="TableParagraph"/>
              <w:spacing w:line="276" w:lineRule="auto"/>
              <w:ind w:left="104" w:right="246"/>
              <w:jc w:val="both"/>
              <w:rPr>
                <w:sz w:val="24"/>
              </w:rPr>
            </w:pPr>
            <w:r>
              <w:rPr>
                <w:sz w:val="24"/>
              </w:rPr>
              <w:t>Меня</w:t>
            </w:r>
            <w:r>
              <w:rPr>
                <w:spacing w:val="-15"/>
                <w:sz w:val="24"/>
              </w:rPr>
              <w:t> </w:t>
            </w:r>
            <w:r>
              <w:rPr>
                <w:sz w:val="24"/>
              </w:rPr>
              <w:t>беспокоит,</w:t>
            </w:r>
            <w:r>
              <w:rPr>
                <w:spacing w:val="-15"/>
                <w:sz w:val="24"/>
              </w:rPr>
              <w:t> </w:t>
            </w:r>
            <w:r>
              <w:rPr>
                <w:sz w:val="24"/>
              </w:rPr>
              <w:t>когда люди заставляют меня быть</w:t>
            </w:r>
            <w:r>
              <w:rPr>
                <w:spacing w:val="-2"/>
                <w:sz w:val="24"/>
              </w:rPr>
              <w:t> </w:t>
            </w:r>
            <w:r>
              <w:rPr>
                <w:sz w:val="24"/>
              </w:rPr>
              <w:t>таким/ой,</w:t>
            </w:r>
            <w:r>
              <w:rPr>
                <w:spacing w:val="-3"/>
                <w:sz w:val="24"/>
              </w:rPr>
              <w:t> </w:t>
            </w:r>
            <w:r>
              <w:rPr>
                <w:sz w:val="24"/>
              </w:rPr>
              <w:t>как</w:t>
            </w:r>
            <w:r>
              <w:rPr>
                <w:spacing w:val="-3"/>
                <w:sz w:val="24"/>
              </w:rPr>
              <w:t> </w:t>
            </w:r>
            <w:r>
              <w:rPr>
                <w:sz w:val="24"/>
              </w:rPr>
              <w:t>все</w:t>
            </w:r>
          </w:p>
        </w:tc>
        <w:tc>
          <w:tcPr>
            <w:tcW w:w="1107" w:type="dxa"/>
          </w:tcPr>
          <w:p>
            <w:pPr>
              <w:pStyle w:val="TableParagraph"/>
              <w:spacing w:before="37"/>
              <w:rPr>
                <w:i/>
                <w:sz w:val="24"/>
              </w:rPr>
            </w:pPr>
          </w:p>
          <w:p>
            <w:pPr>
              <w:pStyle w:val="TableParagraph"/>
              <w:ind w:left="107"/>
              <w:rPr>
                <w:sz w:val="24"/>
              </w:rPr>
            </w:pPr>
            <w:r>
              <w:rPr>
                <w:spacing w:val="-10"/>
                <w:sz w:val="24"/>
              </w:rPr>
              <w:t>0</w:t>
            </w:r>
          </w:p>
        </w:tc>
        <w:tc>
          <w:tcPr>
            <w:tcW w:w="992" w:type="dxa"/>
          </w:tcPr>
          <w:p>
            <w:pPr>
              <w:pStyle w:val="TableParagraph"/>
              <w:spacing w:before="37"/>
              <w:rPr>
                <w:i/>
                <w:sz w:val="24"/>
              </w:rPr>
            </w:pPr>
          </w:p>
          <w:p>
            <w:pPr>
              <w:pStyle w:val="TableParagraph"/>
              <w:ind w:left="106"/>
              <w:rPr>
                <w:sz w:val="24"/>
              </w:rPr>
            </w:pPr>
            <w:r>
              <w:rPr>
                <w:spacing w:val="-10"/>
                <w:sz w:val="24"/>
              </w:rPr>
              <w:t>1</w:t>
            </w:r>
          </w:p>
        </w:tc>
        <w:tc>
          <w:tcPr>
            <w:tcW w:w="1136" w:type="dxa"/>
          </w:tcPr>
          <w:p>
            <w:pPr>
              <w:pStyle w:val="TableParagraph"/>
              <w:spacing w:before="37"/>
              <w:rPr>
                <w:i/>
                <w:sz w:val="24"/>
              </w:rPr>
            </w:pPr>
          </w:p>
          <w:p>
            <w:pPr>
              <w:pStyle w:val="TableParagraph"/>
              <w:ind w:left="106"/>
              <w:rPr>
                <w:sz w:val="24"/>
              </w:rPr>
            </w:pPr>
            <w:r>
              <w:rPr>
                <w:spacing w:val="-10"/>
                <w:sz w:val="24"/>
              </w:rPr>
              <w:t>2</w:t>
            </w:r>
          </w:p>
        </w:tc>
        <w:tc>
          <w:tcPr>
            <w:tcW w:w="1134" w:type="dxa"/>
          </w:tcPr>
          <w:p>
            <w:pPr>
              <w:pStyle w:val="TableParagraph"/>
              <w:spacing w:before="37"/>
              <w:rPr>
                <w:i/>
                <w:sz w:val="24"/>
              </w:rPr>
            </w:pPr>
          </w:p>
          <w:p>
            <w:pPr>
              <w:pStyle w:val="TableParagraph"/>
              <w:ind w:left="105"/>
              <w:rPr>
                <w:sz w:val="24"/>
              </w:rPr>
            </w:pPr>
            <w:r>
              <w:rPr>
                <w:spacing w:val="-10"/>
                <w:sz w:val="24"/>
              </w:rPr>
              <w:t>3</w:t>
            </w:r>
          </w:p>
        </w:tc>
        <w:tc>
          <w:tcPr>
            <w:tcW w:w="1136" w:type="dxa"/>
          </w:tcPr>
          <w:p>
            <w:pPr>
              <w:pStyle w:val="TableParagraph"/>
              <w:spacing w:before="37"/>
              <w:rPr>
                <w:i/>
                <w:sz w:val="24"/>
              </w:rPr>
            </w:pPr>
          </w:p>
          <w:p>
            <w:pPr>
              <w:pStyle w:val="TableParagraph"/>
              <w:ind w:left="104"/>
              <w:rPr>
                <w:sz w:val="24"/>
              </w:rPr>
            </w:pPr>
            <w:r>
              <w:rPr>
                <w:spacing w:val="-10"/>
                <w:sz w:val="24"/>
              </w:rPr>
              <w:t>4</w:t>
            </w:r>
          </w:p>
        </w:tc>
        <w:tc>
          <w:tcPr>
            <w:tcW w:w="1134" w:type="dxa"/>
          </w:tcPr>
          <w:p>
            <w:pPr>
              <w:pStyle w:val="TableParagraph"/>
              <w:spacing w:before="37"/>
              <w:rPr>
                <w:i/>
                <w:sz w:val="24"/>
              </w:rPr>
            </w:pPr>
          </w:p>
          <w:p>
            <w:pPr>
              <w:pStyle w:val="TableParagraph"/>
              <w:ind w:left="103"/>
              <w:rPr>
                <w:sz w:val="24"/>
              </w:rPr>
            </w:pPr>
            <w:r>
              <w:rPr>
                <w:spacing w:val="-10"/>
                <w:sz w:val="24"/>
              </w:rPr>
              <w:t>5</w:t>
            </w:r>
          </w:p>
        </w:tc>
      </w:tr>
      <w:tr>
        <w:trPr>
          <w:trHeight w:val="1468" w:hRule="atLeast"/>
        </w:trPr>
        <w:tc>
          <w:tcPr>
            <w:tcW w:w="538" w:type="dxa"/>
          </w:tcPr>
          <w:p>
            <w:pPr>
              <w:pStyle w:val="TableParagraph"/>
              <w:spacing w:line="270" w:lineRule="exact"/>
              <w:ind w:left="107"/>
              <w:rPr>
                <w:sz w:val="24"/>
              </w:rPr>
            </w:pPr>
            <w:r>
              <w:rPr>
                <w:spacing w:val="-10"/>
                <w:sz w:val="24"/>
              </w:rPr>
              <w:t>3</w:t>
            </w:r>
          </w:p>
        </w:tc>
        <w:tc>
          <w:tcPr>
            <w:tcW w:w="2720" w:type="dxa"/>
          </w:tcPr>
          <w:p>
            <w:pPr>
              <w:pStyle w:val="TableParagraph"/>
              <w:spacing w:line="276" w:lineRule="auto"/>
              <w:ind w:left="104"/>
              <w:rPr>
                <w:sz w:val="24"/>
              </w:rPr>
            </w:pPr>
            <w:r>
              <w:rPr>
                <w:sz w:val="24"/>
              </w:rPr>
              <w:t>Из-за моей национальности</w:t>
            </w:r>
            <w:r>
              <w:rPr>
                <w:spacing w:val="-9"/>
                <w:sz w:val="24"/>
              </w:rPr>
              <w:t> </w:t>
            </w:r>
            <w:r>
              <w:rPr>
                <w:sz w:val="24"/>
              </w:rPr>
              <w:t>я</w:t>
            </w:r>
            <w:r>
              <w:rPr>
                <w:spacing w:val="-12"/>
                <w:sz w:val="24"/>
              </w:rPr>
              <w:t> </w:t>
            </w:r>
            <w:r>
              <w:rPr>
                <w:sz w:val="24"/>
              </w:rPr>
              <w:t>не получаю</w:t>
            </w:r>
            <w:r>
              <w:rPr>
                <w:spacing w:val="-9"/>
                <w:sz w:val="24"/>
              </w:rPr>
              <w:t> </w:t>
            </w:r>
            <w:r>
              <w:rPr>
                <w:sz w:val="24"/>
              </w:rPr>
              <w:t>тех</w:t>
            </w:r>
            <w:r>
              <w:rPr>
                <w:spacing w:val="-8"/>
                <w:sz w:val="24"/>
              </w:rPr>
              <w:t> </w:t>
            </w:r>
            <w:r>
              <w:rPr>
                <w:sz w:val="24"/>
              </w:rPr>
              <w:t>оценок, которые</w:t>
            </w:r>
            <w:r>
              <w:rPr>
                <w:spacing w:val="-1"/>
                <w:sz w:val="24"/>
              </w:rPr>
              <w:t> </w:t>
            </w:r>
            <w:r>
              <w:rPr>
                <w:spacing w:val="-2"/>
                <w:sz w:val="24"/>
              </w:rPr>
              <w:t>заслуживаю</w:t>
            </w:r>
          </w:p>
        </w:tc>
        <w:tc>
          <w:tcPr>
            <w:tcW w:w="1107" w:type="dxa"/>
          </w:tcPr>
          <w:p>
            <w:pPr>
              <w:pStyle w:val="TableParagraph"/>
              <w:spacing w:before="193"/>
              <w:rPr>
                <w:i/>
                <w:sz w:val="24"/>
              </w:rPr>
            </w:pPr>
          </w:p>
          <w:p>
            <w:pPr>
              <w:pStyle w:val="TableParagraph"/>
              <w:ind w:left="107"/>
              <w:rPr>
                <w:sz w:val="24"/>
              </w:rPr>
            </w:pPr>
            <w:r>
              <w:rPr>
                <w:spacing w:val="-10"/>
                <w:sz w:val="24"/>
              </w:rPr>
              <w:t>0</w:t>
            </w:r>
          </w:p>
        </w:tc>
        <w:tc>
          <w:tcPr>
            <w:tcW w:w="992" w:type="dxa"/>
          </w:tcPr>
          <w:p>
            <w:pPr>
              <w:pStyle w:val="TableParagraph"/>
              <w:spacing w:before="193"/>
              <w:rPr>
                <w:i/>
                <w:sz w:val="24"/>
              </w:rPr>
            </w:pPr>
          </w:p>
          <w:p>
            <w:pPr>
              <w:pStyle w:val="TableParagraph"/>
              <w:ind w:left="106"/>
              <w:rPr>
                <w:sz w:val="24"/>
              </w:rPr>
            </w:pPr>
            <w:r>
              <w:rPr>
                <w:spacing w:val="-10"/>
                <w:sz w:val="24"/>
              </w:rPr>
              <w:t>1</w:t>
            </w:r>
          </w:p>
        </w:tc>
        <w:tc>
          <w:tcPr>
            <w:tcW w:w="1136" w:type="dxa"/>
          </w:tcPr>
          <w:p>
            <w:pPr>
              <w:pStyle w:val="TableParagraph"/>
              <w:spacing w:before="193"/>
              <w:rPr>
                <w:i/>
                <w:sz w:val="24"/>
              </w:rPr>
            </w:pPr>
          </w:p>
          <w:p>
            <w:pPr>
              <w:pStyle w:val="TableParagraph"/>
              <w:ind w:left="106"/>
              <w:rPr>
                <w:sz w:val="24"/>
              </w:rPr>
            </w:pPr>
            <w:r>
              <w:rPr>
                <w:spacing w:val="-10"/>
                <w:sz w:val="24"/>
              </w:rPr>
              <w:t>2</w:t>
            </w:r>
          </w:p>
        </w:tc>
        <w:tc>
          <w:tcPr>
            <w:tcW w:w="1134" w:type="dxa"/>
          </w:tcPr>
          <w:p>
            <w:pPr>
              <w:pStyle w:val="TableParagraph"/>
              <w:spacing w:before="193"/>
              <w:rPr>
                <w:i/>
                <w:sz w:val="24"/>
              </w:rPr>
            </w:pPr>
          </w:p>
          <w:p>
            <w:pPr>
              <w:pStyle w:val="TableParagraph"/>
              <w:ind w:left="105"/>
              <w:rPr>
                <w:sz w:val="24"/>
              </w:rPr>
            </w:pPr>
            <w:r>
              <w:rPr>
                <w:spacing w:val="-10"/>
                <w:sz w:val="24"/>
              </w:rPr>
              <w:t>3</w:t>
            </w:r>
          </w:p>
        </w:tc>
        <w:tc>
          <w:tcPr>
            <w:tcW w:w="1136" w:type="dxa"/>
          </w:tcPr>
          <w:p>
            <w:pPr>
              <w:pStyle w:val="TableParagraph"/>
              <w:spacing w:before="193"/>
              <w:rPr>
                <w:i/>
                <w:sz w:val="24"/>
              </w:rPr>
            </w:pPr>
          </w:p>
          <w:p>
            <w:pPr>
              <w:pStyle w:val="TableParagraph"/>
              <w:ind w:left="104"/>
              <w:rPr>
                <w:sz w:val="24"/>
              </w:rPr>
            </w:pPr>
            <w:r>
              <w:rPr>
                <w:spacing w:val="-10"/>
                <w:sz w:val="24"/>
              </w:rPr>
              <w:t>4</w:t>
            </w:r>
          </w:p>
        </w:tc>
        <w:tc>
          <w:tcPr>
            <w:tcW w:w="1134" w:type="dxa"/>
          </w:tcPr>
          <w:p>
            <w:pPr>
              <w:pStyle w:val="TableParagraph"/>
              <w:spacing w:before="193"/>
              <w:rPr>
                <w:i/>
                <w:sz w:val="24"/>
              </w:rPr>
            </w:pPr>
          </w:p>
          <w:p>
            <w:pPr>
              <w:pStyle w:val="TableParagraph"/>
              <w:ind w:left="103"/>
              <w:rPr>
                <w:sz w:val="24"/>
              </w:rPr>
            </w:pPr>
            <w:r>
              <w:rPr>
                <w:spacing w:val="-10"/>
                <w:sz w:val="24"/>
              </w:rPr>
              <w:t>5</w:t>
            </w:r>
          </w:p>
        </w:tc>
      </w:tr>
      <w:tr>
        <w:trPr>
          <w:trHeight w:val="2421" w:hRule="atLeast"/>
        </w:trPr>
        <w:tc>
          <w:tcPr>
            <w:tcW w:w="538" w:type="dxa"/>
          </w:tcPr>
          <w:p>
            <w:pPr>
              <w:pStyle w:val="TableParagraph"/>
              <w:spacing w:line="270" w:lineRule="exact"/>
              <w:ind w:left="107"/>
              <w:rPr>
                <w:sz w:val="24"/>
              </w:rPr>
            </w:pPr>
            <w:r>
              <w:rPr>
                <w:spacing w:val="-10"/>
                <w:sz w:val="24"/>
              </w:rPr>
              <w:t>4</w:t>
            </w:r>
          </w:p>
        </w:tc>
        <w:tc>
          <w:tcPr>
            <w:tcW w:w="2720" w:type="dxa"/>
          </w:tcPr>
          <w:p>
            <w:pPr>
              <w:pStyle w:val="TableParagraph"/>
              <w:spacing w:line="276" w:lineRule="auto"/>
              <w:ind w:left="104" w:right="116"/>
              <w:rPr>
                <w:sz w:val="24"/>
              </w:rPr>
            </w:pPr>
            <w:r>
              <w:rPr>
                <w:sz w:val="24"/>
              </w:rPr>
              <w:t>Многие</w:t>
            </w:r>
            <w:r>
              <w:rPr>
                <w:spacing w:val="-14"/>
                <w:sz w:val="24"/>
              </w:rPr>
              <w:t> </w:t>
            </w:r>
            <w:r>
              <w:rPr>
                <w:sz w:val="24"/>
              </w:rPr>
              <w:t>верят,</w:t>
            </w:r>
            <w:r>
              <w:rPr>
                <w:spacing w:val="-13"/>
                <w:sz w:val="24"/>
              </w:rPr>
              <w:t> </w:t>
            </w:r>
            <w:r>
              <w:rPr>
                <w:sz w:val="24"/>
              </w:rPr>
              <w:t>что</w:t>
            </w:r>
            <w:r>
              <w:rPr>
                <w:spacing w:val="-13"/>
                <w:sz w:val="24"/>
              </w:rPr>
              <w:t> </w:t>
            </w:r>
            <w:r>
              <w:rPr>
                <w:sz w:val="24"/>
              </w:rPr>
              <w:t>люди моей национальности действуют, думают определенным</w:t>
            </w:r>
            <w:r>
              <w:rPr>
                <w:spacing w:val="-8"/>
                <w:sz w:val="24"/>
              </w:rPr>
              <w:t> </w:t>
            </w:r>
            <w:r>
              <w:rPr>
                <w:sz w:val="24"/>
              </w:rPr>
              <w:t>образом, и они относятся ко мне так, как будто это </w:t>
            </w:r>
            <w:r>
              <w:rPr>
                <w:spacing w:val="-2"/>
                <w:sz w:val="24"/>
              </w:rPr>
              <w:t>правда</w:t>
            </w:r>
          </w:p>
        </w:tc>
        <w:tc>
          <w:tcPr>
            <w:tcW w:w="1107" w:type="dxa"/>
          </w:tcPr>
          <w:p>
            <w:pPr>
              <w:pStyle w:val="TableParagraph"/>
              <w:rPr>
                <w:i/>
                <w:sz w:val="24"/>
              </w:rPr>
            </w:pPr>
          </w:p>
          <w:p>
            <w:pPr>
              <w:pStyle w:val="TableParagraph"/>
              <w:rPr>
                <w:i/>
                <w:sz w:val="24"/>
              </w:rPr>
            </w:pPr>
          </w:p>
          <w:p>
            <w:pPr>
              <w:pStyle w:val="TableParagraph"/>
              <w:spacing w:before="119"/>
              <w:rPr>
                <w:i/>
                <w:sz w:val="24"/>
              </w:rPr>
            </w:pPr>
          </w:p>
          <w:p>
            <w:pPr>
              <w:pStyle w:val="TableParagraph"/>
              <w:ind w:left="107"/>
              <w:rPr>
                <w:sz w:val="24"/>
              </w:rPr>
            </w:pPr>
            <w:r>
              <w:rPr>
                <w:spacing w:val="-10"/>
                <w:sz w:val="24"/>
              </w:rPr>
              <w:t>0</w:t>
            </w:r>
          </w:p>
        </w:tc>
        <w:tc>
          <w:tcPr>
            <w:tcW w:w="992" w:type="dxa"/>
          </w:tcPr>
          <w:p>
            <w:pPr>
              <w:pStyle w:val="TableParagraph"/>
              <w:rPr>
                <w:i/>
                <w:sz w:val="24"/>
              </w:rPr>
            </w:pPr>
          </w:p>
          <w:p>
            <w:pPr>
              <w:pStyle w:val="TableParagraph"/>
              <w:rPr>
                <w:i/>
                <w:sz w:val="24"/>
              </w:rPr>
            </w:pPr>
          </w:p>
          <w:p>
            <w:pPr>
              <w:pStyle w:val="TableParagraph"/>
              <w:spacing w:before="119"/>
              <w:rPr>
                <w:i/>
                <w:sz w:val="24"/>
              </w:rPr>
            </w:pPr>
          </w:p>
          <w:p>
            <w:pPr>
              <w:pStyle w:val="TableParagraph"/>
              <w:ind w:left="106"/>
              <w:rPr>
                <w:sz w:val="24"/>
              </w:rPr>
            </w:pPr>
            <w:r>
              <w:rPr>
                <w:spacing w:val="-10"/>
                <w:sz w:val="24"/>
              </w:rPr>
              <w:t>1</w:t>
            </w:r>
          </w:p>
        </w:tc>
        <w:tc>
          <w:tcPr>
            <w:tcW w:w="1136" w:type="dxa"/>
          </w:tcPr>
          <w:p>
            <w:pPr>
              <w:pStyle w:val="TableParagraph"/>
              <w:rPr>
                <w:i/>
                <w:sz w:val="24"/>
              </w:rPr>
            </w:pPr>
          </w:p>
          <w:p>
            <w:pPr>
              <w:pStyle w:val="TableParagraph"/>
              <w:rPr>
                <w:i/>
                <w:sz w:val="24"/>
              </w:rPr>
            </w:pPr>
          </w:p>
          <w:p>
            <w:pPr>
              <w:pStyle w:val="TableParagraph"/>
              <w:spacing w:before="119"/>
              <w:rPr>
                <w:i/>
                <w:sz w:val="24"/>
              </w:rPr>
            </w:pPr>
          </w:p>
          <w:p>
            <w:pPr>
              <w:pStyle w:val="TableParagraph"/>
              <w:ind w:left="106"/>
              <w:rPr>
                <w:sz w:val="24"/>
              </w:rPr>
            </w:pPr>
            <w:r>
              <w:rPr>
                <w:spacing w:val="-10"/>
                <w:sz w:val="24"/>
              </w:rPr>
              <w:t>2</w:t>
            </w:r>
          </w:p>
        </w:tc>
        <w:tc>
          <w:tcPr>
            <w:tcW w:w="1134" w:type="dxa"/>
          </w:tcPr>
          <w:p>
            <w:pPr>
              <w:pStyle w:val="TableParagraph"/>
              <w:rPr>
                <w:i/>
                <w:sz w:val="24"/>
              </w:rPr>
            </w:pPr>
          </w:p>
          <w:p>
            <w:pPr>
              <w:pStyle w:val="TableParagraph"/>
              <w:rPr>
                <w:i/>
                <w:sz w:val="24"/>
              </w:rPr>
            </w:pPr>
          </w:p>
          <w:p>
            <w:pPr>
              <w:pStyle w:val="TableParagraph"/>
              <w:spacing w:before="119"/>
              <w:rPr>
                <w:i/>
                <w:sz w:val="24"/>
              </w:rPr>
            </w:pPr>
          </w:p>
          <w:p>
            <w:pPr>
              <w:pStyle w:val="TableParagraph"/>
              <w:ind w:left="105"/>
              <w:rPr>
                <w:sz w:val="24"/>
              </w:rPr>
            </w:pPr>
            <w:r>
              <w:rPr>
                <w:spacing w:val="-10"/>
                <w:sz w:val="24"/>
              </w:rPr>
              <w:t>3</w:t>
            </w:r>
          </w:p>
        </w:tc>
        <w:tc>
          <w:tcPr>
            <w:tcW w:w="1136" w:type="dxa"/>
          </w:tcPr>
          <w:p>
            <w:pPr>
              <w:pStyle w:val="TableParagraph"/>
              <w:rPr>
                <w:i/>
                <w:sz w:val="24"/>
              </w:rPr>
            </w:pPr>
          </w:p>
          <w:p>
            <w:pPr>
              <w:pStyle w:val="TableParagraph"/>
              <w:rPr>
                <w:i/>
                <w:sz w:val="24"/>
              </w:rPr>
            </w:pPr>
          </w:p>
          <w:p>
            <w:pPr>
              <w:pStyle w:val="TableParagraph"/>
              <w:spacing w:before="119"/>
              <w:rPr>
                <w:i/>
                <w:sz w:val="24"/>
              </w:rPr>
            </w:pPr>
          </w:p>
          <w:p>
            <w:pPr>
              <w:pStyle w:val="TableParagraph"/>
              <w:ind w:left="104"/>
              <w:rPr>
                <w:sz w:val="24"/>
              </w:rPr>
            </w:pPr>
            <w:r>
              <w:rPr>
                <w:spacing w:val="-10"/>
                <w:sz w:val="24"/>
              </w:rPr>
              <w:t>4</w:t>
            </w:r>
          </w:p>
        </w:tc>
        <w:tc>
          <w:tcPr>
            <w:tcW w:w="1134" w:type="dxa"/>
          </w:tcPr>
          <w:p>
            <w:pPr>
              <w:pStyle w:val="TableParagraph"/>
              <w:rPr>
                <w:i/>
                <w:sz w:val="24"/>
              </w:rPr>
            </w:pPr>
          </w:p>
          <w:p>
            <w:pPr>
              <w:pStyle w:val="TableParagraph"/>
              <w:rPr>
                <w:i/>
                <w:sz w:val="24"/>
              </w:rPr>
            </w:pPr>
          </w:p>
          <w:p>
            <w:pPr>
              <w:pStyle w:val="TableParagraph"/>
              <w:spacing w:before="119"/>
              <w:rPr>
                <w:i/>
                <w:sz w:val="24"/>
              </w:rPr>
            </w:pPr>
          </w:p>
          <w:p>
            <w:pPr>
              <w:pStyle w:val="TableParagraph"/>
              <w:ind w:left="103"/>
              <w:rPr>
                <w:sz w:val="24"/>
              </w:rPr>
            </w:pPr>
            <w:r>
              <w:rPr>
                <w:spacing w:val="-10"/>
                <w:sz w:val="24"/>
              </w:rPr>
              <w:t>5</w:t>
            </w:r>
          </w:p>
        </w:tc>
      </w:tr>
      <w:tr>
        <w:trPr>
          <w:trHeight w:val="2104" w:hRule="atLeast"/>
        </w:trPr>
        <w:tc>
          <w:tcPr>
            <w:tcW w:w="538" w:type="dxa"/>
          </w:tcPr>
          <w:p>
            <w:pPr>
              <w:pStyle w:val="TableParagraph"/>
              <w:spacing w:line="270" w:lineRule="exact"/>
              <w:ind w:left="107"/>
              <w:rPr>
                <w:sz w:val="24"/>
              </w:rPr>
            </w:pPr>
            <w:r>
              <w:rPr>
                <w:spacing w:val="-10"/>
                <w:sz w:val="24"/>
              </w:rPr>
              <w:t>5</w:t>
            </w:r>
          </w:p>
        </w:tc>
        <w:tc>
          <w:tcPr>
            <w:tcW w:w="2720" w:type="dxa"/>
          </w:tcPr>
          <w:p>
            <w:pPr>
              <w:pStyle w:val="TableParagraph"/>
              <w:spacing w:line="276" w:lineRule="auto"/>
              <w:ind w:left="104" w:right="131"/>
              <w:rPr>
                <w:sz w:val="24"/>
              </w:rPr>
            </w:pPr>
            <w:r>
              <w:rPr>
                <w:sz w:val="24"/>
              </w:rPr>
              <w:t>Я чувствую, что из-за моей национальности другие иногда не включают меня в то, чем</w:t>
            </w:r>
            <w:r>
              <w:rPr>
                <w:spacing w:val="-14"/>
                <w:sz w:val="24"/>
              </w:rPr>
              <w:t> </w:t>
            </w:r>
            <w:r>
              <w:rPr>
                <w:sz w:val="24"/>
              </w:rPr>
              <w:t>занимаются</w:t>
            </w:r>
            <w:r>
              <w:rPr>
                <w:spacing w:val="-13"/>
                <w:sz w:val="24"/>
              </w:rPr>
              <w:t> </w:t>
            </w:r>
            <w:r>
              <w:rPr>
                <w:sz w:val="24"/>
              </w:rPr>
              <w:t>(в</w:t>
            </w:r>
            <w:r>
              <w:rPr>
                <w:spacing w:val="-14"/>
                <w:sz w:val="24"/>
              </w:rPr>
              <w:t> </w:t>
            </w:r>
            <w:r>
              <w:rPr>
                <w:sz w:val="24"/>
              </w:rPr>
              <w:t>свои игры, например)</w:t>
            </w:r>
          </w:p>
        </w:tc>
        <w:tc>
          <w:tcPr>
            <w:tcW w:w="1107" w:type="dxa"/>
          </w:tcPr>
          <w:p>
            <w:pPr>
              <w:pStyle w:val="TableParagraph"/>
              <w:rPr>
                <w:i/>
                <w:sz w:val="24"/>
              </w:rPr>
            </w:pPr>
          </w:p>
          <w:p>
            <w:pPr>
              <w:pStyle w:val="TableParagraph"/>
              <w:spacing w:before="236"/>
              <w:rPr>
                <w:i/>
                <w:sz w:val="24"/>
              </w:rPr>
            </w:pPr>
          </w:p>
          <w:p>
            <w:pPr>
              <w:pStyle w:val="TableParagraph"/>
              <w:ind w:left="107"/>
              <w:rPr>
                <w:sz w:val="24"/>
              </w:rPr>
            </w:pPr>
            <w:r>
              <w:rPr>
                <w:spacing w:val="-10"/>
                <w:sz w:val="24"/>
              </w:rPr>
              <w:t>0</w:t>
            </w:r>
          </w:p>
        </w:tc>
        <w:tc>
          <w:tcPr>
            <w:tcW w:w="992" w:type="dxa"/>
          </w:tcPr>
          <w:p>
            <w:pPr>
              <w:pStyle w:val="TableParagraph"/>
              <w:rPr>
                <w:i/>
                <w:sz w:val="24"/>
              </w:rPr>
            </w:pPr>
          </w:p>
          <w:p>
            <w:pPr>
              <w:pStyle w:val="TableParagraph"/>
              <w:spacing w:before="236"/>
              <w:rPr>
                <w:i/>
                <w:sz w:val="24"/>
              </w:rPr>
            </w:pPr>
          </w:p>
          <w:p>
            <w:pPr>
              <w:pStyle w:val="TableParagraph"/>
              <w:ind w:left="106"/>
              <w:rPr>
                <w:sz w:val="24"/>
              </w:rPr>
            </w:pPr>
            <w:r>
              <w:rPr>
                <w:spacing w:val="-10"/>
                <w:sz w:val="24"/>
              </w:rPr>
              <w:t>1</w:t>
            </w:r>
          </w:p>
        </w:tc>
        <w:tc>
          <w:tcPr>
            <w:tcW w:w="1136" w:type="dxa"/>
          </w:tcPr>
          <w:p>
            <w:pPr>
              <w:pStyle w:val="TableParagraph"/>
              <w:rPr>
                <w:i/>
                <w:sz w:val="24"/>
              </w:rPr>
            </w:pPr>
          </w:p>
          <w:p>
            <w:pPr>
              <w:pStyle w:val="TableParagraph"/>
              <w:spacing w:before="236"/>
              <w:rPr>
                <w:i/>
                <w:sz w:val="24"/>
              </w:rPr>
            </w:pPr>
          </w:p>
          <w:p>
            <w:pPr>
              <w:pStyle w:val="TableParagraph"/>
              <w:ind w:left="106"/>
              <w:rPr>
                <w:sz w:val="24"/>
              </w:rPr>
            </w:pPr>
            <w:r>
              <w:rPr>
                <w:spacing w:val="-10"/>
                <w:sz w:val="24"/>
              </w:rPr>
              <w:t>2</w:t>
            </w:r>
          </w:p>
        </w:tc>
        <w:tc>
          <w:tcPr>
            <w:tcW w:w="1134" w:type="dxa"/>
          </w:tcPr>
          <w:p>
            <w:pPr>
              <w:pStyle w:val="TableParagraph"/>
              <w:rPr>
                <w:i/>
                <w:sz w:val="24"/>
              </w:rPr>
            </w:pPr>
          </w:p>
          <w:p>
            <w:pPr>
              <w:pStyle w:val="TableParagraph"/>
              <w:spacing w:before="236"/>
              <w:rPr>
                <w:i/>
                <w:sz w:val="24"/>
              </w:rPr>
            </w:pPr>
          </w:p>
          <w:p>
            <w:pPr>
              <w:pStyle w:val="TableParagraph"/>
              <w:ind w:left="105"/>
              <w:rPr>
                <w:sz w:val="24"/>
              </w:rPr>
            </w:pPr>
            <w:r>
              <w:rPr>
                <w:spacing w:val="-10"/>
                <w:sz w:val="24"/>
              </w:rPr>
              <w:t>3</w:t>
            </w:r>
          </w:p>
        </w:tc>
        <w:tc>
          <w:tcPr>
            <w:tcW w:w="1136" w:type="dxa"/>
          </w:tcPr>
          <w:p>
            <w:pPr>
              <w:pStyle w:val="TableParagraph"/>
              <w:rPr>
                <w:i/>
                <w:sz w:val="24"/>
              </w:rPr>
            </w:pPr>
          </w:p>
          <w:p>
            <w:pPr>
              <w:pStyle w:val="TableParagraph"/>
              <w:spacing w:before="236"/>
              <w:rPr>
                <w:i/>
                <w:sz w:val="24"/>
              </w:rPr>
            </w:pPr>
          </w:p>
          <w:p>
            <w:pPr>
              <w:pStyle w:val="TableParagraph"/>
              <w:ind w:left="104"/>
              <w:rPr>
                <w:sz w:val="24"/>
              </w:rPr>
            </w:pPr>
            <w:r>
              <w:rPr>
                <w:spacing w:val="-10"/>
                <w:sz w:val="24"/>
              </w:rPr>
              <w:t>4</w:t>
            </w:r>
          </w:p>
        </w:tc>
        <w:tc>
          <w:tcPr>
            <w:tcW w:w="1134" w:type="dxa"/>
          </w:tcPr>
          <w:p>
            <w:pPr>
              <w:pStyle w:val="TableParagraph"/>
              <w:rPr>
                <w:i/>
                <w:sz w:val="24"/>
              </w:rPr>
            </w:pPr>
          </w:p>
          <w:p>
            <w:pPr>
              <w:pStyle w:val="TableParagraph"/>
              <w:spacing w:before="236"/>
              <w:rPr>
                <w:i/>
                <w:sz w:val="24"/>
              </w:rPr>
            </w:pPr>
          </w:p>
          <w:p>
            <w:pPr>
              <w:pStyle w:val="TableParagraph"/>
              <w:ind w:left="103"/>
              <w:rPr>
                <w:sz w:val="24"/>
              </w:rPr>
            </w:pPr>
            <w:r>
              <w:rPr>
                <w:spacing w:val="-10"/>
                <w:sz w:val="24"/>
              </w:rPr>
              <w:t>5</w:t>
            </w:r>
          </w:p>
        </w:tc>
      </w:tr>
    </w:tbl>
    <w:p>
      <w:pPr>
        <w:pStyle w:val="TableParagraph"/>
        <w:spacing w:after="0"/>
        <w:rPr>
          <w:sz w:val="24"/>
        </w:rPr>
        <w:sectPr>
          <w:pgSz w:w="11910" w:h="16840"/>
          <w:pgMar w:header="0" w:footer="970" w:top="1040" w:bottom="1220" w:left="1417" w:right="283"/>
        </w:sectPr>
      </w:pPr>
    </w:p>
    <w:tbl>
      <w:tblPr>
        <w:tblW w:w="0" w:type="auto"/>
        <w:jc w:val="left"/>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
        <w:gridCol w:w="2720"/>
        <w:gridCol w:w="1107"/>
        <w:gridCol w:w="992"/>
        <w:gridCol w:w="1136"/>
        <w:gridCol w:w="1134"/>
        <w:gridCol w:w="1136"/>
        <w:gridCol w:w="1134"/>
      </w:tblGrid>
      <w:tr>
        <w:trPr>
          <w:trHeight w:val="1471" w:hRule="atLeast"/>
        </w:trPr>
        <w:tc>
          <w:tcPr>
            <w:tcW w:w="538" w:type="dxa"/>
          </w:tcPr>
          <w:p>
            <w:pPr>
              <w:pStyle w:val="TableParagraph"/>
              <w:spacing w:line="273" w:lineRule="exact"/>
              <w:ind w:left="107"/>
              <w:rPr>
                <w:sz w:val="24"/>
              </w:rPr>
            </w:pPr>
            <w:r>
              <w:rPr>
                <w:spacing w:val="-10"/>
                <w:sz w:val="24"/>
              </w:rPr>
              <w:t>6</w:t>
            </w:r>
          </w:p>
        </w:tc>
        <w:tc>
          <w:tcPr>
            <w:tcW w:w="2720" w:type="dxa"/>
          </w:tcPr>
          <w:p>
            <w:pPr>
              <w:pStyle w:val="TableParagraph"/>
              <w:spacing w:line="276" w:lineRule="auto"/>
              <w:ind w:left="104" w:right="179"/>
              <w:rPr>
                <w:sz w:val="24"/>
              </w:rPr>
            </w:pPr>
            <w:r>
              <w:rPr>
                <w:sz w:val="24"/>
              </w:rPr>
              <w:t>У меня больше того, что</w:t>
            </w:r>
            <w:r>
              <w:rPr>
                <w:spacing w:val="-10"/>
                <w:sz w:val="24"/>
              </w:rPr>
              <w:t> </w:t>
            </w:r>
            <w:r>
              <w:rPr>
                <w:sz w:val="24"/>
              </w:rPr>
              <w:t>мне</w:t>
            </w:r>
            <w:r>
              <w:rPr>
                <w:spacing w:val="-11"/>
                <w:sz w:val="24"/>
              </w:rPr>
              <w:t> </w:t>
            </w:r>
            <w:r>
              <w:rPr>
                <w:sz w:val="24"/>
              </w:rPr>
              <w:t>мешает,</w:t>
            </w:r>
            <w:r>
              <w:rPr>
                <w:spacing w:val="-10"/>
                <w:sz w:val="24"/>
              </w:rPr>
              <w:t> </w:t>
            </w:r>
            <w:r>
              <w:rPr>
                <w:sz w:val="24"/>
              </w:rPr>
              <w:t>чем</w:t>
            </w:r>
            <w:r>
              <w:rPr>
                <w:spacing w:val="-7"/>
                <w:sz w:val="24"/>
              </w:rPr>
              <w:t> </w:t>
            </w:r>
            <w:r>
              <w:rPr>
                <w:sz w:val="24"/>
              </w:rPr>
              <w:t>у большинства других </w:t>
            </w:r>
            <w:r>
              <w:rPr>
                <w:spacing w:val="-2"/>
                <w:sz w:val="24"/>
              </w:rPr>
              <w:t>людей</w:t>
            </w:r>
          </w:p>
        </w:tc>
        <w:tc>
          <w:tcPr>
            <w:tcW w:w="1107" w:type="dxa"/>
          </w:tcPr>
          <w:p>
            <w:pPr>
              <w:pStyle w:val="TableParagraph"/>
              <w:spacing w:before="196"/>
              <w:rPr>
                <w:i/>
                <w:sz w:val="24"/>
              </w:rPr>
            </w:pPr>
          </w:p>
          <w:p>
            <w:pPr>
              <w:pStyle w:val="TableParagraph"/>
              <w:ind w:left="107"/>
              <w:rPr>
                <w:sz w:val="24"/>
              </w:rPr>
            </w:pPr>
            <w:r>
              <w:rPr>
                <w:spacing w:val="-10"/>
                <w:sz w:val="24"/>
              </w:rPr>
              <w:t>0</w:t>
            </w:r>
          </w:p>
        </w:tc>
        <w:tc>
          <w:tcPr>
            <w:tcW w:w="992" w:type="dxa"/>
          </w:tcPr>
          <w:p>
            <w:pPr>
              <w:pStyle w:val="TableParagraph"/>
              <w:spacing w:before="196"/>
              <w:rPr>
                <w:i/>
                <w:sz w:val="24"/>
              </w:rPr>
            </w:pPr>
          </w:p>
          <w:p>
            <w:pPr>
              <w:pStyle w:val="TableParagraph"/>
              <w:ind w:left="106"/>
              <w:rPr>
                <w:sz w:val="24"/>
              </w:rPr>
            </w:pPr>
            <w:r>
              <w:rPr>
                <w:spacing w:val="-10"/>
                <w:sz w:val="24"/>
              </w:rPr>
              <w:t>1</w:t>
            </w:r>
          </w:p>
        </w:tc>
        <w:tc>
          <w:tcPr>
            <w:tcW w:w="1136" w:type="dxa"/>
          </w:tcPr>
          <w:p>
            <w:pPr>
              <w:pStyle w:val="TableParagraph"/>
              <w:spacing w:before="196"/>
              <w:rPr>
                <w:i/>
                <w:sz w:val="24"/>
              </w:rPr>
            </w:pPr>
          </w:p>
          <w:p>
            <w:pPr>
              <w:pStyle w:val="TableParagraph"/>
              <w:ind w:left="106"/>
              <w:rPr>
                <w:sz w:val="24"/>
              </w:rPr>
            </w:pPr>
            <w:r>
              <w:rPr>
                <w:spacing w:val="-10"/>
                <w:sz w:val="24"/>
              </w:rPr>
              <w:t>2</w:t>
            </w:r>
          </w:p>
        </w:tc>
        <w:tc>
          <w:tcPr>
            <w:tcW w:w="1134" w:type="dxa"/>
          </w:tcPr>
          <w:p>
            <w:pPr>
              <w:pStyle w:val="TableParagraph"/>
              <w:spacing w:before="196"/>
              <w:rPr>
                <w:i/>
                <w:sz w:val="24"/>
              </w:rPr>
            </w:pPr>
          </w:p>
          <w:p>
            <w:pPr>
              <w:pStyle w:val="TableParagraph"/>
              <w:ind w:left="105"/>
              <w:rPr>
                <w:sz w:val="24"/>
              </w:rPr>
            </w:pPr>
            <w:r>
              <w:rPr>
                <w:spacing w:val="-10"/>
                <w:sz w:val="24"/>
              </w:rPr>
              <w:t>3</w:t>
            </w:r>
          </w:p>
        </w:tc>
        <w:tc>
          <w:tcPr>
            <w:tcW w:w="1136" w:type="dxa"/>
          </w:tcPr>
          <w:p>
            <w:pPr>
              <w:pStyle w:val="TableParagraph"/>
              <w:spacing w:before="196"/>
              <w:rPr>
                <w:i/>
                <w:sz w:val="24"/>
              </w:rPr>
            </w:pPr>
          </w:p>
          <w:p>
            <w:pPr>
              <w:pStyle w:val="TableParagraph"/>
              <w:ind w:left="104"/>
              <w:rPr>
                <w:sz w:val="24"/>
              </w:rPr>
            </w:pPr>
            <w:r>
              <w:rPr>
                <w:spacing w:val="-10"/>
                <w:sz w:val="24"/>
              </w:rPr>
              <w:t>4</w:t>
            </w:r>
          </w:p>
        </w:tc>
        <w:tc>
          <w:tcPr>
            <w:tcW w:w="1134" w:type="dxa"/>
          </w:tcPr>
          <w:p>
            <w:pPr>
              <w:pStyle w:val="TableParagraph"/>
              <w:spacing w:before="196"/>
              <w:rPr>
                <w:i/>
                <w:sz w:val="24"/>
              </w:rPr>
            </w:pPr>
          </w:p>
          <w:p>
            <w:pPr>
              <w:pStyle w:val="TableParagraph"/>
              <w:ind w:left="103"/>
              <w:rPr>
                <w:sz w:val="24"/>
              </w:rPr>
            </w:pPr>
            <w:r>
              <w:rPr>
                <w:spacing w:val="-10"/>
                <w:sz w:val="24"/>
              </w:rPr>
              <w:t>5</w:t>
            </w:r>
          </w:p>
        </w:tc>
      </w:tr>
      <w:tr>
        <w:trPr>
          <w:trHeight w:val="1151" w:hRule="atLeast"/>
        </w:trPr>
        <w:tc>
          <w:tcPr>
            <w:tcW w:w="538" w:type="dxa"/>
          </w:tcPr>
          <w:p>
            <w:pPr>
              <w:pStyle w:val="TableParagraph"/>
              <w:spacing w:line="270" w:lineRule="exact"/>
              <w:ind w:left="107"/>
              <w:rPr>
                <w:sz w:val="24"/>
              </w:rPr>
            </w:pPr>
            <w:r>
              <w:rPr>
                <w:spacing w:val="-10"/>
                <w:sz w:val="24"/>
              </w:rPr>
              <w:t>7</w:t>
            </w:r>
          </w:p>
        </w:tc>
        <w:tc>
          <w:tcPr>
            <w:tcW w:w="2720" w:type="dxa"/>
          </w:tcPr>
          <w:p>
            <w:pPr>
              <w:pStyle w:val="TableParagraph"/>
              <w:spacing w:line="276" w:lineRule="auto"/>
              <w:ind w:left="104"/>
              <w:rPr>
                <w:sz w:val="24"/>
              </w:rPr>
            </w:pPr>
            <w:r>
              <w:rPr>
                <w:sz w:val="24"/>
              </w:rPr>
              <w:t>Мне трудно рассказать своим</w:t>
            </w:r>
            <w:r>
              <w:rPr>
                <w:spacing w:val="-11"/>
                <w:sz w:val="24"/>
              </w:rPr>
              <w:t> </w:t>
            </w:r>
            <w:r>
              <w:rPr>
                <w:sz w:val="24"/>
              </w:rPr>
              <w:t>друзьям,</w:t>
            </w:r>
            <w:r>
              <w:rPr>
                <w:spacing w:val="-10"/>
                <w:sz w:val="24"/>
              </w:rPr>
              <w:t> </w:t>
            </w:r>
            <w:r>
              <w:rPr>
                <w:sz w:val="24"/>
              </w:rPr>
              <w:t>что</w:t>
            </w:r>
            <w:r>
              <w:rPr>
                <w:spacing w:val="-10"/>
                <w:sz w:val="24"/>
              </w:rPr>
              <w:t> </w:t>
            </w:r>
            <w:r>
              <w:rPr>
                <w:sz w:val="24"/>
              </w:rPr>
              <w:t>я</w:t>
            </w:r>
            <w:r>
              <w:rPr>
                <w:spacing w:val="-10"/>
                <w:sz w:val="24"/>
              </w:rPr>
              <w:t> </w:t>
            </w:r>
            <w:r>
              <w:rPr>
                <w:sz w:val="24"/>
              </w:rPr>
              <w:t>на самом деле чувствую</w:t>
            </w:r>
          </w:p>
        </w:tc>
        <w:tc>
          <w:tcPr>
            <w:tcW w:w="1107" w:type="dxa"/>
          </w:tcPr>
          <w:p>
            <w:pPr>
              <w:pStyle w:val="TableParagraph"/>
              <w:spacing w:before="34"/>
              <w:rPr>
                <w:i/>
                <w:sz w:val="24"/>
              </w:rPr>
            </w:pPr>
          </w:p>
          <w:p>
            <w:pPr>
              <w:pStyle w:val="TableParagraph"/>
              <w:spacing w:before="1"/>
              <w:ind w:left="107"/>
              <w:rPr>
                <w:sz w:val="24"/>
              </w:rPr>
            </w:pPr>
            <w:r>
              <w:rPr>
                <w:spacing w:val="-10"/>
                <w:sz w:val="24"/>
              </w:rPr>
              <w:t>0</w:t>
            </w:r>
          </w:p>
        </w:tc>
        <w:tc>
          <w:tcPr>
            <w:tcW w:w="992" w:type="dxa"/>
          </w:tcPr>
          <w:p>
            <w:pPr>
              <w:pStyle w:val="TableParagraph"/>
              <w:spacing w:before="34"/>
              <w:rPr>
                <w:i/>
                <w:sz w:val="24"/>
              </w:rPr>
            </w:pPr>
          </w:p>
          <w:p>
            <w:pPr>
              <w:pStyle w:val="TableParagraph"/>
              <w:spacing w:before="1"/>
              <w:ind w:left="106"/>
              <w:rPr>
                <w:sz w:val="24"/>
              </w:rPr>
            </w:pPr>
            <w:r>
              <w:rPr>
                <w:spacing w:val="-10"/>
                <w:sz w:val="24"/>
              </w:rPr>
              <w:t>1</w:t>
            </w:r>
          </w:p>
        </w:tc>
        <w:tc>
          <w:tcPr>
            <w:tcW w:w="1136" w:type="dxa"/>
          </w:tcPr>
          <w:p>
            <w:pPr>
              <w:pStyle w:val="TableParagraph"/>
              <w:spacing w:before="34"/>
              <w:rPr>
                <w:i/>
                <w:sz w:val="24"/>
              </w:rPr>
            </w:pPr>
          </w:p>
          <w:p>
            <w:pPr>
              <w:pStyle w:val="TableParagraph"/>
              <w:spacing w:before="1"/>
              <w:ind w:left="106"/>
              <w:rPr>
                <w:sz w:val="24"/>
              </w:rPr>
            </w:pPr>
            <w:r>
              <w:rPr>
                <w:spacing w:val="-10"/>
                <w:sz w:val="24"/>
              </w:rPr>
              <w:t>2</w:t>
            </w:r>
          </w:p>
        </w:tc>
        <w:tc>
          <w:tcPr>
            <w:tcW w:w="1134" w:type="dxa"/>
          </w:tcPr>
          <w:p>
            <w:pPr>
              <w:pStyle w:val="TableParagraph"/>
              <w:spacing w:before="34"/>
              <w:rPr>
                <w:i/>
                <w:sz w:val="24"/>
              </w:rPr>
            </w:pPr>
          </w:p>
          <w:p>
            <w:pPr>
              <w:pStyle w:val="TableParagraph"/>
              <w:spacing w:before="1"/>
              <w:ind w:left="105"/>
              <w:rPr>
                <w:sz w:val="24"/>
              </w:rPr>
            </w:pPr>
            <w:r>
              <w:rPr>
                <w:spacing w:val="-10"/>
                <w:sz w:val="24"/>
              </w:rPr>
              <w:t>3</w:t>
            </w:r>
          </w:p>
        </w:tc>
        <w:tc>
          <w:tcPr>
            <w:tcW w:w="1136" w:type="dxa"/>
          </w:tcPr>
          <w:p>
            <w:pPr>
              <w:pStyle w:val="TableParagraph"/>
              <w:spacing w:before="34"/>
              <w:rPr>
                <w:i/>
                <w:sz w:val="24"/>
              </w:rPr>
            </w:pPr>
          </w:p>
          <w:p>
            <w:pPr>
              <w:pStyle w:val="TableParagraph"/>
              <w:spacing w:before="1"/>
              <w:ind w:left="104"/>
              <w:rPr>
                <w:sz w:val="24"/>
              </w:rPr>
            </w:pPr>
            <w:r>
              <w:rPr>
                <w:spacing w:val="-10"/>
                <w:sz w:val="24"/>
              </w:rPr>
              <w:t>4</w:t>
            </w:r>
          </w:p>
        </w:tc>
        <w:tc>
          <w:tcPr>
            <w:tcW w:w="1134" w:type="dxa"/>
          </w:tcPr>
          <w:p>
            <w:pPr>
              <w:pStyle w:val="TableParagraph"/>
              <w:spacing w:before="34"/>
              <w:rPr>
                <w:i/>
                <w:sz w:val="24"/>
              </w:rPr>
            </w:pPr>
          </w:p>
          <w:p>
            <w:pPr>
              <w:pStyle w:val="TableParagraph"/>
              <w:spacing w:before="1"/>
              <w:ind w:left="103"/>
              <w:rPr>
                <w:sz w:val="24"/>
              </w:rPr>
            </w:pPr>
            <w:r>
              <w:rPr>
                <w:spacing w:val="-10"/>
                <w:sz w:val="24"/>
              </w:rPr>
              <w:t>5</w:t>
            </w:r>
          </w:p>
        </w:tc>
      </w:tr>
      <w:tr>
        <w:trPr>
          <w:trHeight w:val="1471" w:hRule="atLeast"/>
        </w:trPr>
        <w:tc>
          <w:tcPr>
            <w:tcW w:w="538" w:type="dxa"/>
          </w:tcPr>
          <w:p>
            <w:pPr>
              <w:pStyle w:val="TableParagraph"/>
              <w:spacing w:line="270" w:lineRule="exact"/>
              <w:ind w:left="107"/>
              <w:rPr>
                <w:sz w:val="24"/>
              </w:rPr>
            </w:pPr>
            <w:r>
              <w:rPr>
                <w:spacing w:val="-10"/>
                <w:sz w:val="24"/>
              </w:rPr>
              <w:t>8</w:t>
            </w:r>
          </w:p>
        </w:tc>
        <w:tc>
          <w:tcPr>
            <w:tcW w:w="2720" w:type="dxa"/>
          </w:tcPr>
          <w:p>
            <w:pPr>
              <w:pStyle w:val="TableParagraph"/>
              <w:spacing w:line="276" w:lineRule="auto"/>
              <w:ind w:left="104"/>
              <w:rPr>
                <w:sz w:val="24"/>
              </w:rPr>
            </w:pPr>
            <w:r>
              <w:rPr>
                <w:sz w:val="24"/>
              </w:rPr>
              <w:t>Я</w:t>
            </w:r>
            <w:r>
              <w:rPr>
                <w:spacing w:val="-13"/>
                <w:sz w:val="24"/>
              </w:rPr>
              <w:t> </w:t>
            </w:r>
            <w:r>
              <w:rPr>
                <w:sz w:val="24"/>
              </w:rPr>
              <w:t>чувствую</w:t>
            </w:r>
            <w:r>
              <w:rPr>
                <w:spacing w:val="-12"/>
                <w:sz w:val="24"/>
              </w:rPr>
              <w:t> </w:t>
            </w:r>
            <w:r>
              <w:rPr>
                <w:sz w:val="24"/>
              </w:rPr>
              <w:t>себя</w:t>
            </w:r>
            <w:r>
              <w:rPr>
                <w:spacing w:val="-13"/>
                <w:sz w:val="24"/>
              </w:rPr>
              <w:t> </w:t>
            </w:r>
            <w:r>
              <w:rPr>
                <w:sz w:val="24"/>
              </w:rPr>
              <w:t>плохо, когда другие шутят о людях моей </w:t>
            </w:r>
            <w:r>
              <w:rPr>
                <w:spacing w:val="-2"/>
                <w:sz w:val="24"/>
              </w:rPr>
              <w:t>национальности</w:t>
            </w:r>
          </w:p>
        </w:tc>
        <w:tc>
          <w:tcPr>
            <w:tcW w:w="1107" w:type="dxa"/>
          </w:tcPr>
          <w:p>
            <w:pPr>
              <w:pStyle w:val="TableParagraph"/>
              <w:spacing w:before="195"/>
              <w:rPr>
                <w:i/>
                <w:sz w:val="24"/>
              </w:rPr>
            </w:pPr>
          </w:p>
          <w:p>
            <w:pPr>
              <w:pStyle w:val="TableParagraph"/>
              <w:ind w:left="107"/>
              <w:rPr>
                <w:sz w:val="24"/>
              </w:rPr>
            </w:pPr>
            <w:r>
              <w:rPr>
                <w:spacing w:val="-10"/>
                <w:sz w:val="24"/>
              </w:rPr>
              <w:t>0</w:t>
            </w:r>
          </w:p>
        </w:tc>
        <w:tc>
          <w:tcPr>
            <w:tcW w:w="992" w:type="dxa"/>
          </w:tcPr>
          <w:p>
            <w:pPr>
              <w:pStyle w:val="TableParagraph"/>
              <w:spacing w:before="195"/>
              <w:rPr>
                <w:i/>
                <w:sz w:val="24"/>
              </w:rPr>
            </w:pPr>
          </w:p>
          <w:p>
            <w:pPr>
              <w:pStyle w:val="TableParagraph"/>
              <w:ind w:left="106"/>
              <w:rPr>
                <w:sz w:val="24"/>
              </w:rPr>
            </w:pPr>
            <w:r>
              <w:rPr>
                <w:spacing w:val="-10"/>
                <w:sz w:val="24"/>
              </w:rPr>
              <w:t>1</w:t>
            </w:r>
          </w:p>
        </w:tc>
        <w:tc>
          <w:tcPr>
            <w:tcW w:w="1136" w:type="dxa"/>
          </w:tcPr>
          <w:p>
            <w:pPr>
              <w:pStyle w:val="TableParagraph"/>
              <w:spacing w:before="195"/>
              <w:rPr>
                <w:i/>
                <w:sz w:val="24"/>
              </w:rPr>
            </w:pPr>
          </w:p>
          <w:p>
            <w:pPr>
              <w:pStyle w:val="TableParagraph"/>
              <w:ind w:left="106"/>
              <w:rPr>
                <w:sz w:val="24"/>
              </w:rPr>
            </w:pPr>
            <w:r>
              <w:rPr>
                <w:spacing w:val="-10"/>
                <w:sz w:val="24"/>
              </w:rPr>
              <w:t>2</w:t>
            </w:r>
          </w:p>
        </w:tc>
        <w:tc>
          <w:tcPr>
            <w:tcW w:w="1134" w:type="dxa"/>
          </w:tcPr>
          <w:p>
            <w:pPr>
              <w:pStyle w:val="TableParagraph"/>
              <w:spacing w:before="195"/>
              <w:rPr>
                <w:i/>
                <w:sz w:val="24"/>
              </w:rPr>
            </w:pPr>
          </w:p>
          <w:p>
            <w:pPr>
              <w:pStyle w:val="TableParagraph"/>
              <w:ind w:left="105"/>
              <w:rPr>
                <w:sz w:val="24"/>
              </w:rPr>
            </w:pPr>
            <w:r>
              <w:rPr>
                <w:spacing w:val="-10"/>
                <w:sz w:val="24"/>
              </w:rPr>
              <w:t>3</w:t>
            </w:r>
          </w:p>
        </w:tc>
        <w:tc>
          <w:tcPr>
            <w:tcW w:w="1136" w:type="dxa"/>
          </w:tcPr>
          <w:p>
            <w:pPr>
              <w:pStyle w:val="TableParagraph"/>
              <w:spacing w:before="195"/>
              <w:rPr>
                <w:i/>
                <w:sz w:val="24"/>
              </w:rPr>
            </w:pPr>
          </w:p>
          <w:p>
            <w:pPr>
              <w:pStyle w:val="TableParagraph"/>
              <w:ind w:left="104"/>
              <w:rPr>
                <w:sz w:val="24"/>
              </w:rPr>
            </w:pPr>
            <w:r>
              <w:rPr>
                <w:spacing w:val="-10"/>
                <w:sz w:val="24"/>
              </w:rPr>
              <w:t>4</w:t>
            </w:r>
          </w:p>
        </w:tc>
        <w:tc>
          <w:tcPr>
            <w:tcW w:w="1134" w:type="dxa"/>
          </w:tcPr>
          <w:p>
            <w:pPr>
              <w:pStyle w:val="TableParagraph"/>
              <w:spacing w:before="195"/>
              <w:rPr>
                <w:i/>
                <w:sz w:val="24"/>
              </w:rPr>
            </w:pPr>
          </w:p>
          <w:p>
            <w:pPr>
              <w:pStyle w:val="TableParagraph"/>
              <w:ind w:left="103"/>
              <w:rPr>
                <w:sz w:val="24"/>
              </w:rPr>
            </w:pPr>
            <w:r>
              <w:rPr>
                <w:spacing w:val="-10"/>
                <w:sz w:val="24"/>
              </w:rPr>
              <w:t>5</w:t>
            </w:r>
          </w:p>
        </w:tc>
      </w:tr>
      <w:tr>
        <w:trPr>
          <w:trHeight w:val="1151" w:hRule="atLeast"/>
        </w:trPr>
        <w:tc>
          <w:tcPr>
            <w:tcW w:w="538" w:type="dxa"/>
          </w:tcPr>
          <w:p>
            <w:pPr>
              <w:pStyle w:val="TableParagraph"/>
              <w:spacing w:line="270" w:lineRule="exact"/>
              <w:ind w:left="107"/>
              <w:rPr>
                <w:sz w:val="24"/>
              </w:rPr>
            </w:pPr>
            <w:r>
              <w:rPr>
                <w:spacing w:val="-10"/>
                <w:sz w:val="24"/>
              </w:rPr>
              <w:t>9</w:t>
            </w:r>
          </w:p>
        </w:tc>
        <w:tc>
          <w:tcPr>
            <w:tcW w:w="2720" w:type="dxa"/>
          </w:tcPr>
          <w:p>
            <w:pPr>
              <w:pStyle w:val="TableParagraph"/>
              <w:spacing w:line="276" w:lineRule="auto"/>
              <w:ind w:left="104" w:right="116"/>
              <w:rPr>
                <w:sz w:val="24"/>
              </w:rPr>
            </w:pPr>
            <w:r>
              <w:rPr>
                <w:sz w:val="24"/>
              </w:rPr>
              <w:t>Мне</w:t>
            </w:r>
            <w:r>
              <w:rPr>
                <w:spacing w:val="-15"/>
                <w:sz w:val="24"/>
              </w:rPr>
              <w:t> </w:t>
            </w:r>
            <w:r>
              <w:rPr>
                <w:sz w:val="24"/>
              </w:rPr>
              <w:t>трудно</w:t>
            </w:r>
            <w:r>
              <w:rPr>
                <w:spacing w:val="-14"/>
                <w:sz w:val="24"/>
              </w:rPr>
              <w:t> </w:t>
            </w:r>
            <w:r>
              <w:rPr>
                <w:sz w:val="24"/>
              </w:rPr>
              <w:t>быть</w:t>
            </w:r>
            <w:r>
              <w:rPr>
                <w:spacing w:val="-13"/>
                <w:sz w:val="24"/>
              </w:rPr>
              <w:t> </w:t>
            </w:r>
            <w:r>
              <w:rPr>
                <w:sz w:val="24"/>
              </w:rPr>
              <w:t>вдали от страны, в которой я жил/а раньше</w:t>
            </w:r>
          </w:p>
        </w:tc>
        <w:tc>
          <w:tcPr>
            <w:tcW w:w="1107" w:type="dxa"/>
          </w:tcPr>
          <w:p>
            <w:pPr>
              <w:pStyle w:val="TableParagraph"/>
              <w:spacing w:before="34"/>
              <w:rPr>
                <w:i/>
                <w:sz w:val="24"/>
              </w:rPr>
            </w:pPr>
          </w:p>
          <w:p>
            <w:pPr>
              <w:pStyle w:val="TableParagraph"/>
              <w:spacing w:before="1"/>
              <w:ind w:left="107"/>
              <w:rPr>
                <w:sz w:val="24"/>
              </w:rPr>
            </w:pPr>
            <w:r>
              <w:rPr>
                <w:spacing w:val="-10"/>
                <w:sz w:val="24"/>
              </w:rPr>
              <w:t>0</w:t>
            </w:r>
          </w:p>
        </w:tc>
        <w:tc>
          <w:tcPr>
            <w:tcW w:w="992" w:type="dxa"/>
          </w:tcPr>
          <w:p>
            <w:pPr>
              <w:pStyle w:val="TableParagraph"/>
              <w:spacing w:before="34"/>
              <w:rPr>
                <w:i/>
                <w:sz w:val="24"/>
              </w:rPr>
            </w:pPr>
          </w:p>
          <w:p>
            <w:pPr>
              <w:pStyle w:val="TableParagraph"/>
              <w:spacing w:before="1"/>
              <w:ind w:left="106"/>
              <w:rPr>
                <w:sz w:val="24"/>
              </w:rPr>
            </w:pPr>
            <w:r>
              <w:rPr>
                <w:spacing w:val="-10"/>
                <w:sz w:val="24"/>
              </w:rPr>
              <w:t>1</w:t>
            </w:r>
          </w:p>
        </w:tc>
        <w:tc>
          <w:tcPr>
            <w:tcW w:w="1136" w:type="dxa"/>
          </w:tcPr>
          <w:p>
            <w:pPr>
              <w:pStyle w:val="TableParagraph"/>
              <w:spacing w:before="34"/>
              <w:rPr>
                <w:i/>
                <w:sz w:val="24"/>
              </w:rPr>
            </w:pPr>
          </w:p>
          <w:p>
            <w:pPr>
              <w:pStyle w:val="TableParagraph"/>
              <w:spacing w:before="1"/>
              <w:ind w:left="106"/>
              <w:rPr>
                <w:sz w:val="24"/>
              </w:rPr>
            </w:pPr>
            <w:r>
              <w:rPr>
                <w:spacing w:val="-10"/>
                <w:sz w:val="24"/>
              </w:rPr>
              <w:t>2</w:t>
            </w:r>
          </w:p>
        </w:tc>
        <w:tc>
          <w:tcPr>
            <w:tcW w:w="1134" w:type="dxa"/>
          </w:tcPr>
          <w:p>
            <w:pPr>
              <w:pStyle w:val="TableParagraph"/>
              <w:spacing w:before="34"/>
              <w:rPr>
                <w:i/>
                <w:sz w:val="24"/>
              </w:rPr>
            </w:pPr>
          </w:p>
          <w:p>
            <w:pPr>
              <w:pStyle w:val="TableParagraph"/>
              <w:spacing w:before="1"/>
              <w:ind w:left="105"/>
              <w:rPr>
                <w:sz w:val="24"/>
              </w:rPr>
            </w:pPr>
            <w:r>
              <w:rPr>
                <w:spacing w:val="-10"/>
                <w:sz w:val="24"/>
              </w:rPr>
              <w:t>3</w:t>
            </w:r>
          </w:p>
        </w:tc>
        <w:tc>
          <w:tcPr>
            <w:tcW w:w="1136" w:type="dxa"/>
          </w:tcPr>
          <w:p>
            <w:pPr>
              <w:pStyle w:val="TableParagraph"/>
              <w:spacing w:before="34"/>
              <w:rPr>
                <w:i/>
                <w:sz w:val="24"/>
              </w:rPr>
            </w:pPr>
          </w:p>
          <w:p>
            <w:pPr>
              <w:pStyle w:val="TableParagraph"/>
              <w:spacing w:before="1"/>
              <w:ind w:left="104"/>
              <w:rPr>
                <w:sz w:val="24"/>
              </w:rPr>
            </w:pPr>
            <w:r>
              <w:rPr>
                <w:spacing w:val="-10"/>
                <w:sz w:val="24"/>
              </w:rPr>
              <w:t>4</w:t>
            </w:r>
          </w:p>
        </w:tc>
        <w:tc>
          <w:tcPr>
            <w:tcW w:w="1134" w:type="dxa"/>
          </w:tcPr>
          <w:p>
            <w:pPr>
              <w:pStyle w:val="TableParagraph"/>
              <w:spacing w:before="34"/>
              <w:rPr>
                <w:i/>
                <w:sz w:val="24"/>
              </w:rPr>
            </w:pPr>
          </w:p>
          <w:p>
            <w:pPr>
              <w:pStyle w:val="TableParagraph"/>
              <w:spacing w:before="1"/>
              <w:ind w:left="103"/>
              <w:rPr>
                <w:sz w:val="24"/>
              </w:rPr>
            </w:pPr>
            <w:r>
              <w:rPr>
                <w:spacing w:val="-10"/>
                <w:sz w:val="24"/>
              </w:rPr>
              <w:t>5</w:t>
            </w:r>
          </w:p>
        </w:tc>
      </w:tr>
      <w:tr>
        <w:trPr>
          <w:trHeight w:val="834" w:hRule="atLeast"/>
        </w:trPr>
        <w:tc>
          <w:tcPr>
            <w:tcW w:w="538" w:type="dxa"/>
          </w:tcPr>
          <w:p>
            <w:pPr>
              <w:pStyle w:val="TableParagraph"/>
              <w:spacing w:line="270" w:lineRule="exact"/>
              <w:ind w:left="107"/>
              <w:rPr>
                <w:sz w:val="24"/>
              </w:rPr>
            </w:pPr>
            <w:r>
              <w:rPr>
                <w:spacing w:val="-5"/>
                <w:sz w:val="24"/>
              </w:rPr>
              <w:t>10</w:t>
            </w:r>
          </w:p>
        </w:tc>
        <w:tc>
          <w:tcPr>
            <w:tcW w:w="2720" w:type="dxa"/>
          </w:tcPr>
          <w:p>
            <w:pPr>
              <w:pStyle w:val="TableParagraph"/>
              <w:spacing w:line="276" w:lineRule="auto"/>
              <w:ind w:left="104"/>
              <w:rPr>
                <w:sz w:val="24"/>
              </w:rPr>
            </w:pPr>
            <w:r>
              <w:rPr>
                <w:sz w:val="24"/>
              </w:rPr>
              <w:t>Здесь,</w:t>
            </w:r>
            <w:r>
              <w:rPr>
                <w:spacing w:val="-9"/>
                <w:sz w:val="24"/>
              </w:rPr>
              <w:t> </w:t>
            </w:r>
            <w:r>
              <w:rPr>
                <w:sz w:val="24"/>
              </w:rPr>
              <w:t>в</w:t>
            </w:r>
            <w:r>
              <w:rPr>
                <w:spacing w:val="-10"/>
                <w:sz w:val="24"/>
              </w:rPr>
              <w:t> </w:t>
            </w:r>
            <w:r>
              <w:rPr>
                <w:sz w:val="24"/>
              </w:rPr>
              <w:t>России,</w:t>
            </w:r>
            <w:r>
              <w:rPr>
                <w:spacing w:val="-9"/>
                <w:sz w:val="24"/>
              </w:rPr>
              <w:t> </w:t>
            </w:r>
            <w:r>
              <w:rPr>
                <w:sz w:val="24"/>
              </w:rPr>
              <w:t>я</w:t>
            </w:r>
            <w:r>
              <w:rPr>
                <w:spacing w:val="-9"/>
                <w:sz w:val="24"/>
              </w:rPr>
              <w:t> </w:t>
            </w:r>
            <w:r>
              <w:rPr>
                <w:sz w:val="24"/>
              </w:rPr>
              <w:t>не чувствую себя дома</w:t>
            </w:r>
          </w:p>
        </w:tc>
        <w:tc>
          <w:tcPr>
            <w:tcW w:w="1107" w:type="dxa"/>
          </w:tcPr>
          <w:p>
            <w:pPr>
              <w:pStyle w:val="TableParagraph"/>
              <w:spacing w:before="152"/>
              <w:ind w:left="107"/>
              <w:rPr>
                <w:sz w:val="24"/>
              </w:rPr>
            </w:pPr>
            <w:r>
              <w:rPr>
                <w:spacing w:val="-10"/>
                <w:sz w:val="24"/>
              </w:rPr>
              <w:t>0</w:t>
            </w:r>
          </w:p>
        </w:tc>
        <w:tc>
          <w:tcPr>
            <w:tcW w:w="992" w:type="dxa"/>
          </w:tcPr>
          <w:p>
            <w:pPr>
              <w:pStyle w:val="TableParagraph"/>
              <w:spacing w:before="152"/>
              <w:ind w:left="106"/>
              <w:rPr>
                <w:sz w:val="24"/>
              </w:rPr>
            </w:pPr>
            <w:r>
              <w:rPr>
                <w:spacing w:val="-10"/>
                <w:sz w:val="24"/>
              </w:rPr>
              <w:t>1</w:t>
            </w:r>
          </w:p>
        </w:tc>
        <w:tc>
          <w:tcPr>
            <w:tcW w:w="1136" w:type="dxa"/>
          </w:tcPr>
          <w:p>
            <w:pPr>
              <w:pStyle w:val="TableParagraph"/>
              <w:spacing w:before="152"/>
              <w:ind w:left="106"/>
              <w:rPr>
                <w:sz w:val="24"/>
              </w:rPr>
            </w:pPr>
            <w:r>
              <w:rPr>
                <w:spacing w:val="-10"/>
                <w:sz w:val="24"/>
              </w:rPr>
              <w:t>2</w:t>
            </w:r>
          </w:p>
        </w:tc>
        <w:tc>
          <w:tcPr>
            <w:tcW w:w="1134" w:type="dxa"/>
          </w:tcPr>
          <w:p>
            <w:pPr>
              <w:pStyle w:val="TableParagraph"/>
              <w:spacing w:before="152"/>
              <w:ind w:left="105"/>
              <w:rPr>
                <w:sz w:val="24"/>
              </w:rPr>
            </w:pPr>
            <w:r>
              <w:rPr>
                <w:spacing w:val="-10"/>
                <w:sz w:val="24"/>
              </w:rPr>
              <w:t>3</w:t>
            </w:r>
          </w:p>
        </w:tc>
        <w:tc>
          <w:tcPr>
            <w:tcW w:w="1136" w:type="dxa"/>
          </w:tcPr>
          <w:p>
            <w:pPr>
              <w:pStyle w:val="TableParagraph"/>
              <w:spacing w:before="152"/>
              <w:ind w:left="104"/>
              <w:rPr>
                <w:sz w:val="24"/>
              </w:rPr>
            </w:pPr>
            <w:r>
              <w:rPr>
                <w:spacing w:val="-10"/>
                <w:sz w:val="24"/>
              </w:rPr>
              <w:t>4</w:t>
            </w:r>
          </w:p>
        </w:tc>
        <w:tc>
          <w:tcPr>
            <w:tcW w:w="1134" w:type="dxa"/>
          </w:tcPr>
          <w:p>
            <w:pPr>
              <w:pStyle w:val="TableParagraph"/>
              <w:spacing w:before="152"/>
              <w:ind w:left="103"/>
              <w:rPr>
                <w:sz w:val="24"/>
              </w:rPr>
            </w:pPr>
            <w:r>
              <w:rPr>
                <w:spacing w:val="-10"/>
                <w:sz w:val="24"/>
              </w:rPr>
              <w:t>5</w:t>
            </w:r>
          </w:p>
        </w:tc>
      </w:tr>
      <w:tr>
        <w:trPr>
          <w:trHeight w:val="1787" w:hRule="atLeast"/>
        </w:trPr>
        <w:tc>
          <w:tcPr>
            <w:tcW w:w="538" w:type="dxa"/>
          </w:tcPr>
          <w:p>
            <w:pPr>
              <w:pStyle w:val="TableParagraph"/>
              <w:spacing w:line="270" w:lineRule="exact"/>
              <w:ind w:left="107"/>
              <w:rPr>
                <w:sz w:val="24"/>
              </w:rPr>
            </w:pPr>
            <w:r>
              <w:rPr>
                <w:spacing w:val="-5"/>
                <w:sz w:val="24"/>
              </w:rPr>
              <w:t>11</w:t>
            </w:r>
          </w:p>
        </w:tc>
        <w:tc>
          <w:tcPr>
            <w:tcW w:w="2720" w:type="dxa"/>
          </w:tcPr>
          <w:p>
            <w:pPr>
              <w:pStyle w:val="TableParagraph"/>
              <w:spacing w:line="276" w:lineRule="auto"/>
              <w:ind w:left="104"/>
              <w:rPr>
                <w:sz w:val="24"/>
              </w:rPr>
            </w:pPr>
            <w:r>
              <w:rPr>
                <w:sz w:val="24"/>
              </w:rPr>
              <w:t>Люди думают, что я стесняюсь, когда на самом</w:t>
            </w:r>
            <w:r>
              <w:rPr>
                <w:spacing w:val="-14"/>
                <w:sz w:val="24"/>
              </w:rPr>
              <w:t> </w:t>
            </w:r>
            <w:r>
              <w:rPr>
                <w:sz w:val="24"/>
              </w:rPr>
              <w:t>деле</w:t>
            </w:r>
            <w:r>
              <w:rPr>
                <w:spacing w:val="-14"/>
                <w:sz w:val="24"/>
              </w:rPr>
              <w:t> </w:t>
            </w:r>
            <w:r>
              <w:rPr>
                <w:sz w:val="24"/>
              </w:rPr>
              <w:t>мне</w:t>
            </w:r>
            <w:r>
              <w:rPr>
                <w:spacing w:val="-14"/>
                <w:sz w:val="24"/>
              </w:rPr>
              <w:t> </w:t>
            </w:r>
            <w:r>
              <w:rPr>
                <w:sz w:val="24"/>
              </w:rPr>
              <w:t>просто трудно говорить по- </w:t>
            </w:r>
            <w:r>
              <w:rPr>
                <w:spacing w:val="-2"/>
                <w:sz w:val="24"/>
              </w:rPr>
              <w:t>русски</w:t>
            </w:r>
          </w:p>
        </w:tc>
        <w:tc>
          <w:tcPr>
            <w:tcW w:w="1107" w:type="dxa"/>
          </w:tcPr>
          <w:p>
            <w:pPr>
              <w:pStyle w:val="TableParagraph"/>
              <w:rPr>
                <w:i/>
                <w:sz w:val="24"/>
              </w:rPr>
            </w:pPr>
          </w:p>
          <w:p>
            <w:pPr>
              <w:pStyle w:val="TableParagraph"/>
              <w:spacing w:before="76"/>
              <w:rPr>
                <w:i/>
                <w:sz w:val="24"/>
              </w:rPr>
            </w:pPr>
          </w:p>
          <w:p>
            <w:pPr>
              <w:pStyle w:val="TableParagraph"/>
              <w:ind w:left="107"/>
              <w:rPr>
                <w:sz w:val="24"/>
              </w:rPr>
            </w:pPr>
            <w:r>
              <w:rPr>
                <w:spacing w:val="-10"/>
                <w:sz w:val="24"/>
              </w:rPr>
              <w:t>0</w:t>
            </w:r>
          </w:p>
        </w:tc>
        <w:tc>
          <w:tcPr>
            <w:tcW w:w="992" w:type="dxa"/>
          </w:tcPr>
          <w:p>
            <w:pPr>
              <w:pStyle w:val="TableParagraph"/>
              <w:rPr>
                <w:i/>
                <w:sz w:val="24"/>
              </w:rPr>
            </w:pPr>
          </w:p>
          <w:p>
            <w:pPr>
              <w:pStyle w:val="TableParagraph"/>
              <w:spacing w:before="76"/>
              <w:rPr>
                <w:i/>
                <w:sz w:val="24"/>
              </w:rPr>
            </w:pPr>
          </w:p>
          <w:p>
            <w:pPr>
              <w:pStyle w:val="TableParagraph"/>
              <w:ind w:left="106"/>
              <w:rPr>
                <w:sz w:val="24"/>
              </w:rPr>
            </w:pPr>
            <w:r>
              <w:rPr>
                <w:spacing w:val="-10"/>
                <w:sz w:val="24"/>
              </w:rPr>
              <w:t>1</w:t>
            </w:r>
          </w:p>
        </w:tc>
        <w:tc>
          <w:tcPr>
            <w:tcW w:w="1136" w:type="dxa"/>
          </w:tcPr>
          <w:p>
            <w:pPr>
              <w:pStyle w:val="TableParagraph"/>
              <w:rPr>
                <w:i/>
                <w:sz w:val="24"/>
              </w:rPr>
            </w:pPr>
          </w:p>
          <w:p>
            <w:pPr>
              <w:pStyle w:val="TableParagraph"/>
              <w:spacing w:before="76"/>
              <w:rPr>
                <w:i/>
                <w:sz w:val="24"/>
              </w:rPr>
            </w:pPr>
          </w:p>
          <w:p>
            <w:pPr>
              <w:pStyle w:val="TableParagraph"/>
              <w:ind w:left="106"/>
              <w:rPr>
                <w:sz w:val="24"/>
              </w:rPr>
            </w:pPr>
            <w:r>
              <w:rPr>
                <w:spacing w:val="-10"/>
                <w:sz w:val="24"/>
              </w:rPr>
              <w:t>2</w:t>
            </w:r>
          </w:p>
        </w:tc>
        <w:tc>
          <w:tcPr>
            <w:tcW w:w="1134" w:type="dxa"/>
          </w:tcPr>
          <w:p>
            <w:pPr>
              <w:pStyle w:val="TableParagraph"/>
              <w:rPr>
                <w:i/>
                <w:sz w:val="24"/>
              </w:rPr>
            </w:pPr>
          </w:p>
          <w:p>
            <w:pPr>
              <w:pStyle w:val="TableParagraph"/>
              <w:spacing w:before="76"/>
              <w:rPr>
                <w:i/>
                <w:sz w:val="24"/>
              </w:rPr>
            </w:pPr>
          </w:p>
          <w:p>
            <w:pPr>
              <w:pStyle w:val="TableParagraph"/>
              <w:ind w:left="105"/>
              <w:rPr>
                <w:sz w:val="24"/>
              </w:rPr>
            </w:pPr>
            <w:r>
              <w:rPr>
                <w:spacing w:val="-10"/>
                <w:sz w:val="24"/>
              </w:rPr>
              <w:t>3</w:t>
            </w:r>
          </w:p>
        </w:tc>
        <w:tc>
          <w:tcPr>
            <w:tcW w:w="1136" w:type="dxa"/>
          </w:tcPr>
          <w:p>
            <w:pPr>
              <w:pStyle w:val="TableParagraph"/>
              <w:rPr>
                <w:i/>
                <w:sz w:val="24"/>
              </w:rPr>
            </w:pPr>
          </w:p>
          <w:p>
            <w:pPr>
              <w:pStyle w:val="TableParagraph"/>
              <w:spacing w:before="76"/>
              <w:rPr>
                <w:i/>
                <w:sz w:val="24"/>
              </w:rPr>
            </w:pPr>
          </w:p>
          <w:p>
            <w:pPr>
              <w:pStyle w:val="TableParagraph"/>
              <w:ind w:left="104"/>
              <w:rPr>
                <w:sz w:val="24"/>
              </w:rPr>
            </w:pPr>
            <w:r>
              <w:rPr>
                <w:spacing w:val="-10"/>
                <w:sz w:val="24"/>
              </w:rPr>
              <w:t>4</w:t>
            </w:r>
          </w:p>
        </w:tc>
        <w:tc>
          <w:tcPr>
            <w:tcW w:w="1134" w:type="dxa"/>
          </w:tcPr>
          <w:p>
            <w:pPr>
              <w:pStyle w:val="TableParagraph"/>
              <w:rPr>
                <w:i/>
                <w:sz w:val="24"/>
              </w:rPr>
            </w:pPr>
          </w:p>
          <w:p>
            <w:pPr>
              <w:pStyle w:val="TableParagraph"/>
              <w:spacing w:before="76"/>
              <w:rPr>
                <w:i/>
                <w:sz w:val="24"/>
              </w:rPr>
            </w:pPr>
          </w:p>
          <w:p>
            <w:pPr>
              <w:pStyle w:val="TableParagraph"/>
              <w:ind w:left="103"/>
              <w:rPr>
                <w:sz w:val="24"/>
              </w:rPr>
            </w:pPr>
            <w:r>
              <w:rPr>
                <w:spacing w:val="-10"/>
                <w:sz w:val="24"/>
              </w:rPr>
              <w:t>5</w:t>
            </w:r>
          </w:p>
        </w:tc>
      </w:tr>
      <w:tr>
        <w:trPr>
          <w:trHeight w:val="834" w:hRule="atLeast"/>
        </w:trPr>
        <w:tc>
          <w:tcPr>
            <w:tcW w:w="538" w:type="dxa"/>
          </w:tcPr>
          <w:p>
            <w:pPr>
              <w:pStyle w:val="TableParagraph"/>
              <w:spacing w:line="270" w:lineRule="exact"/>
              <w:ind w:left="107"/>
              <w:rPr>
                <w:sz w:val="24"/>
              </w:rPr>
            </w:pPr>
            <w:r>
              <w:rPr>
                <w:spacing w:val="-5"/>
                <w:sz w:val="24"/>
              </w:rPr>
              <w:t>12</w:t>
            </w:r>
          </w:p>
        </w:tc>
        <w:tc>
          <w:tcPr>
            <w:tcW w:w="2720" w:type="dxa"/>
          </w:tcPr>
          <w:p>
            <w:pPr>
              <w:pStyle w:val="TableParagraph"/>
              <w:spacing w:line="276" w:lineRule="auto"/>
              <w:ind w:left="104"/>
              <w:rPr>
                <w:sz w:val="24"/>
              </w:rPr>
            </w:pPr>
            <w:r>
              <w:rPr>
                <w:sz w:val="24"/>
              </w:rPr>
              <w:t>Я</w:t>
            </w:r>
            <w:r>
              <w:rPr>
                <w:spacing w:val="-10"/>
                <w:sz w:val="24"/>
              </w:rPr>
              <w:t> </w:t>
            </w:r>
            <w:r>
              <w:rPr>
                <w:sz w:val="24"/>
              </w:rPr>
              <w:t>много</w:t>
            </w:r>
            <w:r>
              <w:rPr>
                <w:spacing w:val="-10"/>
                <w:sz w:val="24"/>
              </w:rPr>
              <w:t> </w:t>
            </w:r>
            <w:r>
              <w:rPr>
                <w:sz w:val="24"/>
              </w:rPr>
              <w:t>думаю</w:t>
            </w:r>
            <w:r>
              <w:rPr>
                <w:spacing w:val="-10"/>
                <w:sz w:val="24"/>
              </w:rPr>
              <w:t> </w:t>
            </w:r>
            <w:r>
              <w:rPr>
                <w:sz w:val="24"/>
              </w:rPr>
              <w:t>о</w:t>
            </w:r>
            <w:r>
              <w:rPr>
                <w:spacing w:val="-10"/>
                <w:sz w:val="24"/>
              </w:rPr>
              <w:t> </w:t>
            </w:r>
            <w:r>
              <w:rPr>
                <w:sz w:val="24"/>
              </w:rPr>
              <w:t>моей родине и ее культуре</w:t>
            </w:r>
          </w:p>
        </w:tc>
        <w:tc>
          <w:tcPr>
            <w:tcW w:w="1107" w:type="dxa"/>
          </w:tcPr>
          <w:p>
            <w:pPr>
              <w:pStyle w:val="TableParagraph"/>
              <w:spacing w:before="152"/>
              <w:ind w:left="107"/>
              <w:rPr>
                <w:sz w:val="24"/>
              </w:rPr>
            </w:pPr>
            <w:r>
              <w:rPr>
                <w:spacing w:val="-10"/>
                <w:sz w:val="24"/>
              </w:rPr>
              <w:t>0</w:t>
            </w:r>
          </w:p>
        </w:tc>
        <w:tc>
          <w:tcPr>
            <w:tcW w:w="992" w:type="dxa"/>
          </w:tcPr>
          <w:p>
            <w:pPr>
              <w:pStyle w:val="TableParagraph"/>
              <w:spacing w:before="152"/>
              <w:ind w:left="106"/>
              <w:rPr>
                <w:sz w:val="24"/>
              </w:rPr>
            </w:pPr>
            <w:r>
              <w:rPr>
                <w:spacing w:val="-10"/>
                <w:sz w:val="24"/>
              </w:rPr>
              <w:t>1</w:t>
            </w:r>
          </w:p>
        </w:tc>
        <w:tc>
          <w:tcPr>
            <w:tcW w:w="1136" w:type="dxa"/>
          </w:tcPr>
          <w:p>
            <w:pPr>
              <w:pStyle w:val="TableParagraph"/>
              <w:spacing w:before="152"/>
              <w:ind w:left="106"/>
              <w:rPr>
                <w:sz w:val="24"/>
              </w:rPr>
            </w:pPr>
            <w:r>
              <w:rPr>
                <w:spacing w:val="-10"/>
                <w:sz w:val="24"/>
              </w:rPr>
              <w:t>2</w:t>
            </w:r>
          </w:p>
        </w:tc>
        <w:tc>
          <w:tcPr>
            <w:tcW w:w="1134" w:type="dxa"/>
          </w:tcPr>
          <w:p>
            <w:pPr>
              <w:pStyle w:val="TableParagraph"/>
              <w:spacing w:before="152"/>
              <w:ind w:left="105"/>
              <w:rPr>
                <w:sz w:val="24"/>
              </w:rPr>
            </w:pPr>
            <w:r>
              <w:rPr>
                <w:spacing w:val="-10"/>
                <w:sz w:val="24"/>
              </w:rPr>
              <w:t>3</w:t>
            </w:r>
          </w:p>
        </w:tc>
        <w:tc>
          <w:tcPr>
            <w:tcW w:w="1136" w:type="dxa"/>
          </w:tcPr>
          <w:p>
            <w:pPr>
              <w:pStyle w:val="TableParagraph"/>
              <w:spacing w:before="152"/>
              <w:ind w:left="104"/>
              <w:rPr>
                <w:sz w:val="24"/>
              </w:rPr>
            </w:pPr>
            <w:r>
              <w:rPr>
                <w:spacing w:val="-10"/>
                <w:sz w:val="24"/>
              </w:rPr>
              <w:t>4</w:t>
            </w:r>
          </w:p>
        </w:tc>
        <w:tc>
          <w:tcPr>
            <w:tcW w:w="1134" w:type="dxa"/>
          </w:tcPr>
          <w:p>
            <w:pPr>
              <w:pStyle w:val="TableParagraph"/>
              <w:spacing w:before="152"/>
              <w:ind w:left="103"/>
              <w:rPr>
                <w:sz w:val="24"/>
              </w:rPr>
            </w:pPr>
            <w:r>
              <w:rPr>
                <w:spacing w:val="-10"/>
                <w:sz w:val="24"/>
              </w:rPr>
              <w:t>5</w:t>
            </w:r>
          </w:p>
        </w:tc>
      </w:tr>
    </w:tbl>
    <w:p>
      <w:pPr>
        <w:pStyle w:val="TableParagraph"/>
        <w:spacing w:after="0"/>
        <w:rPr>
          <w:sz w:val="24"/>
        </w:rPr>
        <w:sectPr>
          <w:type w:val="continuous"/>
          <w:pgSz w:w="11910" w:h="16840"/>
          <w:pgMar w:header="0" w:footer="970" w:top="1100" w:bottom="1220" w:left="1417" w:right="283"/>
        </w:sectPr>
      </w:pPr>
    </w:p>
    <w:p>
      <w:pPr>
        <w:pStyle w:val="Heading2"/>
        <w:numPr>
          <w:ilvl w:val="0"/>
          <w:numId w:val="15"/>
        </w:numPr>
        <w:tabs>
          <w:tab w:pos="707" w:val="left" w:leader="none"/>
        </w:tabs>
        <w:spacing w:line="278" w:lineRule="auto" w:before="72" w:after="0"/>
        <w:ind w:left="285" w:right="804" w:firstLine="0"/>
        <w:jc w:val="left"/>
      </w:pPr>
      <w:bookmarkStart w:name="_bookmark29" w:id="31"/>
      <w:bookmarkEnd w:id="31"/>
      <w:r>
        <w:rPr>
          <w:b w:val="0"/>
        </w:rPr>
      </w:r>
      <w:r>
        <w:rPr/>
        <w:t>Карта</w:t>
      </w:r>
      <w:r>
        <w:rPr>
          <w:spacing w:val="-4"/>
        </w:rPr>
        <w:t> </w:t>
      </w:r>
      <w:r>
        <w:rPr/>
        <w:t>стандартизованного</w:t>
      </w:r>
      <w:r>
        <w:rPr>
          <w:spacing w:val="-4"/>
        </w:rPr>
        <w:t> </w:t>
      </w:r>
      <w:r>
        <w:rPr/>
        <w:t>наблюдения</w:t>
      </w:r>
      <w:r>
        <w:rPr>
          <w:spacing w:val="-7"/>
        </w:rPr>
        <w:t> </w:t>
      </w:r>
      <w:r>
        <w:rPr/>
        <w:t>детей</w:t>
      </w:r>
      <w:r>
        <w:rPr>
          <w:spacing w:val="-7"/>
        </w:rPr>
        <w:t> </w:t>
      </w:r>
      <w:r>
        <w:rPr/>
        <w:t>и</w:t>
      </w:r>
      <w:r>
        <w:rPr>
          <w:spacing w:val="-6"/>
        </w:rPr>
        <w:t> </w:t>
      </w:r>
      <w:r>
        <w:rPr/>
        <w:t>подростков</w:t>
      </w:r>
      <w:r>
        <w:rPr>
          <w:spacing w:val="-6"/>
        </w:rPr>
        <w:t> </w:t>
      </w:r>
      <w:r>
        <w:rPr/>
        <w:t>из</w:t>
      </w:r>
      <w:r>
        <w:rPr>
          <w:spacing w:val="-5"/>
        </w:rPr>
        <w:t> </w:t>
      </w:r>
      <w:r>
        <w:rPr/>
        <w:t>семей мигрантов «Стратегии адаптации»</w:t>
      </w:r>
    </w:p>
    <w:p>
      <w:pPr>
        <w:pStyle w:val="Heading3"/>
        <w:spacing w:before="237"/>
      </w:pPr>
      <w:r>
        <w:rPr/>
        <w:t>Описание</w:t>
      </w:r>
      <w:r>
        <w:rPr>
          <w:spacing w:val="-2"/>
        </w:rPr>
        <w:t> методики</w:t>
      </w:r>
    </w:p>
    <w:p>
      <w:pPr>
        <w:pStyle w:val="Heading4"/>
        <w:spacing w:before="233"/>
        <w:ind w:right="564"/>
      </w:pPr>
      <w:r>
        <w:rPr/>
        <w:t>Карта стандартизованного наблюдения «Стратегии адаптации» позволяет сделать вывод о том, как дети из семей мигрантов адаптируются к образовательным средам с социокультурной точки зрения. Методика разработана по принципу известного и хорошо себя зарекомендовавшего метода «Карта Стотта», направленного на оценку адаптации ребенка к школе (</w:t>
      </w:r>
      <w:r>
        <w:rPr>
          <w:i/>
        </w:rPr>
        <w:t>Прихожан, Толстых, </w:t>
      </w:r>
      <w:r>
        <w:rPr/>
        <w:t>1991). В основе методики лежат четыре шкалы, соответствующие стратегиям социокультурной адаптации, или аккультурации, которые описал канадский психолог Джон Берри. Стратегии затрагивают два основных вопроса об идентичности человека с опытом миграции: его отношение к унаследованной культуре (потребность ее сохранить) и к культуре принимающей группы (потребность наладить межкультурный контакт) (</w:t>
      </w:r>
      <w:r>
        <w:rPr>
          <w:i/>
        </w:rPr>
        <w:t>Berry</w:t>
      </w:r>
      <w:r>
        <w:rPr/>
        <w:t>, 1990).</w:t>
      </w:r>
    </w:p>
    <w:p>
      <w:pPr>
        <w:pStyle w:val="ListParagraph"/>
        <w:numPr>
          <w:ilvl w:val="1"/>
          <w:numId w:val="15"/>
        </w:numPr>
        <w:tabs>
          <w:tab w:pos="2240" w:val="left" w:leader="none"/>
        </w:tabs>
        <w:spacing w:line="322" w:lineRule="exact" w:before="1" w:after="0"/>
        <w:ind w:left="2240" w:right="0" w:hanging="1255"/>
        <w:jc w:val="both"/>
        <w:rPr>
          <w:sz w:val="28"/>
        </w:rPr>
      </w:pPr>
      <w:r>
        <w:rPr>
          <w:i/>
          <w:sz w:val="28"/>
        </w:rPr>
        <w:t>Ассимиляция</w:t>
      </w:r>
      <w:r>
        <w:rPr>
          <w:i/>
          <w:spacing w:val="47"/>
          <w:sz w:val="28"/>
        </w:rPr>
        <w:t> </w:t>
      </w:r>
      <w:r>
        <w:rPr>
          <w:sz w:val="28"/>
        </w:rPr>
        <w:t>—</w:t>
      </w:r>
      <w:r>
        <w:rPr>
          <w:spacing w:val="46"/>
          <w:sz w:val="28"/>
        </w:rPr>
        <w:t> </w:t>
      </w:r>
      <w:r>
        <w:rPr>
          <w:sz w:val="28"/>
        </w:rPr>
        <w:t>стратегия,</w:t>
      </w:r>
      <w:r>
        <w:rPr>
          <w:spacing w:val="48"/>
          <w:sz w:val="28"/>
        </w:rPr>
        <w:t> </w:t>
      </w:r>
      <w:r>
        <w:rPr>
          <w:sz w:val="28"/>
        </w:rPr>
        <w:t>при</w:t>
      </w:r>
      <w:r>
        <w:rPr>
          <w:spacing w:val="46"/>
          <w:sz w:val="28"/>
        </w:rPr>
        <w:t> </w:t>
      </w:r>
      <w:r>
        <w:rPr>
          <w:sz w:val="28"/>
        </w:rPr>
        <w:t>которой</w:t>
      </w:r>
      <w:r>
        <w:rPr>
          <w:spacing w:val="48"/>
          <w:sz w:val="28"/>
        </w:rPr>
        <w:t> </w:t>
      </w:r>
      <w:r>
        <w:rPr>
          <w:sz w:val="28"/>
        </w:rPr>
        <w:t>культурные</w:t>
      </w:r>
      <w:r>
        <w:rPr>
          <w:spacing w:val="47"/>
          <w:sz w:val="28"/>
        </w:rPr>
        <w:t> </w:t>
      </w:r>
      <w:r>
        <w:rPr>
          <w:spacing w:val="-2"/>
          <w:sz w:val="28"/>
        </w:rPr>
        <w:t>нормы</w:t>
      </w:r>
    </w:p>
    <w:p>
      <w:pPr>
        <w:pStyle w:val="Heading4"/>
        <w:ind w:right="569"/>
      </w:pPr>
      <w:r>
        <w:rPr/>
        <w:t>«большинства», то есть принимающего сообщества, становятся для человека более значимыми, чем нормы его исходной культуры. В этом случае в поведении человека доминирует стремление полностью встроиться в новую культуру и отказаться от прошлой идентичности.</w:t>
      </w:r>
    </w:p>
    <w:p>
      <w:pPr>
        <w:pStyle w:val="Heading4"/>
        <w:numPr>
          <w:ilvl w:val="1"/>
          <w:numId w:val="15"/>
        </w:numPr>
        <w:tabs>
          <w:tab w:pos="1682" w:val="left" w:leader="none"/>
        </w:tabs>
        <w:spacing w:line="240" w:lineRule="auto" w:before="1" w:after="0"/>
        <w:ind w:left="285" w:right="561" w:firstLine="700"/>
        <w:jc w:val="both"/>
      </w:pPr>
      <w:r>
        <w:rPr>
          <w:i/>
        </w:rPr>
        <w:t>Сепарация</w:t>
      </w:r>
      <w:r>
        <w:rPr>
          <w:i/>
          <w:spacing w:val="-5"/>
        </w:rPr>
        <w:t> </w:t>
      </w:r>
      <w:r>
        <w:rPr/>
        <w:t>—</w:t>
      </w:r>
      <w:r>
        <w:rPr>
          <w:spacing w:val="-5"/>
        </w:rPr>
        <w:t> </w:t>
      </w:r>
      <w:r>
        <w:rPr/>
        <w:t>стратегия,</w:t>
      </w:r>
      <w:r>
        <w:rPr>
          <w:spacing w:val="-4"/>
        </w:rPr>
        <w:t> </w:t>
      </w:r>
      <w:r>
        <w:rPr/>
        <w:t>при</w:t>
      </w:r>
      <w:r>
        <w:rPr>
          <w:spacing w:val="-4"/>
        </w:rPr>
        <w:t> </w:t>
      </w:r>
      <w:r>
        <w:rPr/>
        <w:t>которой</w:t>
      </w:r>
      <w:r>
        <w:rPr>
          <w:spacing w:val="-4"/>
        </w:rPr>
        <w:t> </w:t>
      </w:r>
      <w:r>
        <w:rPr/>
        <w:t>человек</w:t>
      </w:r>
      <w:r>
        <w:rPr>
          <w:spacing w:val="-4"/>
        </w:rPr>
        <w:t> </w:t>
      </w:r>
      <w:r>
        <w:rPr/>
        <w:t>с</w:t>
      </w:r>
      <w:r>
        <w:rPr>
          <w:spacing w:val="-5"/>
        </w:rPr>
        <w:t> </w:t>
      </w:r>
      <w:r>
        <w:rPr/>
        <w:t>опытом</w:t>
      </w:r>
      <w:r>
        <w:rPr>
          <w:spacing w:val="-4"/>
        </w:rPr>
        <w:t> </w:t>
      </w:r>
      <w:r>
        <w:rPr/>
        <w:t>миграции, наоборот, стремится сохранить особенности своей исходной культуры и превозносит ее значимость, игнорируя или принижая культурную специфику новой среды.</w:t>
      </w:r>
    </w:p>
    <w:p>
      <w:pPr>
        <w:pStyle w:val="Heading4"/>
        <w:numPr>
          <w:ilvl w:val="1"/>
          <w:numId w:val="15"/>
        </w:numPr>
        <w:tabs>
          <w:tab w:pos="1322" w:val="left" w:leader="none"/>
        </w:tabs>
        <w:spacing w:line="240" w:lineRule="auto" w:before="0" w:after="0"/>
        <w:ind w:left="285" w:right="564" w:firstLine="700"/>
        <w:jc w:val="both"/>
      </w:pPr>
      <w:r>
        <w:rPr>
          <w:i/>
        </w:rPr>
        <w:t>Маргинализация </w:t>
      </w:r>
      <w:r>
        <w:rPr/>
        <w:t>— стратегия, при которой в равной степени происходит отказ как от новой, так и от исходной культуры. Человек не поддерживает предыдущую культурную идентичность и не устанавливает отношений</w:t>
      </w:r>
      <w:r>
        <w:rPr>
          <w:spacing w:val="-12"/>
        </w:rPr>
        <w:t> </w:t>
      </w:r>
      <w:r>
        <w:rPr/>
        <w:t>с</w:t>
      </w:r>
      <w:r>
        <w:rPr>
          <w:spacing w:val="-14"/>
        </w:rPr>
        <w:t> </w:t>
      </w:r>
      <w:r>
        <w:rPr/>
        <w:t>окружающим</w:t>
      </w:r>
      <w:r>
        <w:rPr>
          <w:spacing w:val="-12"/>
        </w:rPr>
        <w:t> </w:t>
      </w:r>
      <w:r>
        <w:rPr/>
        <w:t>сообществом</w:t>
      </w:r>
      <w:r>
        <w:rPr>
          <w:spacing w:val="-12"/>
        </w:rPr>
        <w:t> </w:t>
      </w:r>
      <w:r>
        <w:rPr/>
        <w:t>(часто</w:t>
      </w:r>
      <w:r>
        <w:rPr>
          <w:spacing w:val="-11"/>
        </w:rPr>
        <w:t> </w:t>
      </w:r>
      <w:r>
        <w:rPr/>
        <w:t>это</w:t>
      </w:r>
      <w:r>
        <w:rPr>
          <w:spacing w:val="-9"/>
        </w:rPr>
        <w:t> </w:t>
      </w:r>
      <w:r>
        <w:rPr/>
        <w:t>связано</w:t>
      </w:r>
      <w:r>
        <w:rPr>
          <w:spacing w:val="-13"/>
        </w:rPr>
        <w:t> </w:t>
      </w:r>
      <w:r>
        <w:rPr/>
        <w:t>с</w:t>
      </w:r>
      <w:r>
        <w:rPr>
          <w:spacing w:val="-12"/>
        </w:rPr>
        <w:t> </w:t>
      </w:r>
      <w:r>
        <w:rPr/>
        <w:t>дискриминацией со стороны принимающей группы).</w:t>
      </w:r>
    </w:p>
    <w:p>
      <w:pPr>
        <w:pStyle w:val="Heading4"/>
        <w:numPr>
          <w:ilvl w:val="1"/>
          <w:numId w:val="15"/>
        </w:numPr>
        <w:tabs>
          <w:tab w:pos="1308" w:val="left" w:leader="none"/>
        </w:tabs>
        <w:spacing w:line="240" w:lineRule="auto" w:before="0" w:after="0"/>
        <w:ind w:left="285" w:right="564" w:firstLine="700"/>
        <w:jc w:val="both"/>
      </w:pPr>
      <w:r>
        <w:rPr>
          <w:i/>
        </w:rPr>
        <w:t>Интеграция</w:t>
      </w:r>
      <w:r>
        <w:rPr>
          <w:i/>
          <w:spacing w:val="-14"/>
        </w:rPr>
        <w:t> </w:t>
      </w:r>
      <w:r>
        <w:rPr/>
        <w:t>—</w:t>
      </w:r>
      <w:r>
        <w:rPr>
          <w:spacing w:val="-14"/>
        </w:rPr>
        <w:t> </w:t>
      </w:r>
      <w:r>
        <w:rPr/>
        <w:t>стратегия,</w:t>
      </w:r>
      <w:r>
        <w:rPr>
          <w:spacing w:val="-14"/>
        </w:rPr>
        <w:t> </w:t>
      </w:r>
      <w:r>
        <w:rPr/>
        <w:t>при</w:t>
      </w:r>
      <w:r>
        <w:rPr>
          <w:spacing w:val="-14"/>
        </w:rPr>
        <w:t> </w:t>
      </w:r>
      <w:r>
        <w:rPr/>
        <w:t>которой</w:t>
      </w:r>
      <w:r>
        <w:rPr>
          <w:spacing w:val="-14"/>
        </w:rPr>
        <w:t> </w:t>
      </w:r>
      <w:r>
        <w:rPr/>
        <w:t>для</w:t>
      </w:r>
      <w:r>
        <w:rPr>
          <w:spacing w:val="-14"/>
        </w:rPr>
        <w:t> </w:t>
      </w:r>
      <w:r>
        <w:rPr/>
        <w:t>человека</w:t>
      </w:r>
      <w:r>
        <w:rPr>
          <w:spacing w:val="-14"/>
        </w:rPr>
        <w:t> </w:t>
      </w:r>
      <w:r>
        <w:rPr/>
        <w:t>одинаково</w:t>
      </w:r>
      <w:r>
        <w:rPr>
          <w:spacing w:val="-14"/>
        </w:rPr>
        <w:t> </w:t>
      </w:r>
      <w:r>
        <w:rPr/>
        <w:t>важно поддерживать связь и с исходной, и с новой культурой. Он определяет себя в логике бикультурализма и легко устанавливает межкультурные связи (</w:t>
      </w:r>
      <w:r>
        <w:rPr>
          <w:i/>
        </w:rPr>
        <w:t>Лебедева, Татарко, </w:t>
      </w:r>
      <w:r>
        <w:rPr/>
        <w:t>2009).</w:t>
      </w:r>
    </w:p>
    <w:p>
      <w:pPr>
        <w:pStyle w:val="Heading4"/>
        <w:spacing w:before="240"/>
        <w:ind w:right="564"/>
      </w:pPr>
      <w:r>
        <w:rPr/>
        <w:t>Карта</w:t>
      </w:r>
      <w:r>
        <w:rPr>
          <w:spacing w:val="-8"/>
        </w:rPr>
        <w:t> </w:t>
      </w:r>
      <w:r>
        <w:rPr/>
        <w:t>наблюдений</w:t>
      </w:r>
      <w:r>
        <w:rPr>
          <w:spacing w:val="-5"/>
        </w:rPr>
        <w:t> </w:t>
      </w:r>
      <w:r>
        <w:rPr/>
        <w:t>«Стратегии</w:t>
      </w:r>
      <w:r>
        <w:rPr>
          <w:spacing w:val="-2"/>
        </w:rPr>
        <w:t> </w:t>
      </w:r>
      <w:r>
        <w:rPr/>
        <w:t>адаптации»</w:t>
      </w:r>
      <w:r>
        <w:rPr>
          <w:spacing w:val="-6"/>
        </w:rPr>
        <w:t> </w:t>
      </w:r>
      <w:r>
        <w:rPr/>
        <w:t>может</w:t>
      </w:r>
      <w:r>
        <w:rPr>
          <w:spacing w:val="-5"/>
        </w:rPr>
        <w:t> </w:t>
      </w:r>
      <w:r>
        <w:rPr/>
        <w:t>использоваться</w:t>
      </w:r>
      <w:r>
        <w:rPr>
          <w:spacing w:val="-5"/>
        </w:rPr>
        <w:t> </w:t>
      </w:r>
      <w:r>
        <w:rPr/>
        <w:t>для</w:t>
      </w:r>
      <w:r>
        <w:rPr>
          <w:spacing w:val="-5"/>
        </w:rPr>
        <w:t> </w:t>
      </w:r>
      <w:r>
        <w:rPr/>
        <w:t>анализа поведения школьников любого возраста.</w:t>
      </w:r>
    </w:p>
    <w:p>
      <w:pPr>
        <w:pStyle w:val="Heading4"/>
        <w:spacing w:line="322" w:lineRule="exact" w:before="240"/>
      </w:pPr>
      <w:r>
        <w:rPr/>
        <w:t>Следует</w:t>
      </w:r>
      <w:r>
        <w:rPr>
          <w:spacing w:val="62"/>
        </w:rPr>
        <w:t>  </w:t>
      </w:r>
      <w:r>
        <w:rPr/>
        <w:t>отметить,</w:t>
      </w:r>
      <w:r>
        <w:rPr>
          <w:spacing w:val="63"/>
        </w:rPr>
        <w:t>  </w:t>
      </w:r>
      <w:r>
        <w:rPr/>
        <w:t>что</w:t>
      </w:r>
      <w:r>
        <w:rPr>
          <w:spacing w:val="65"/>
        </w:rPr>
        <w:t>  </w:t>
      </w:r>
      <w:r>
        <w:rPr/>
        <w:t>по</w:t>
      </w:r>
      <w:r>
        <w:rPr>
          <w:spacing w:val="65"/>
        </w:rPr>
        <w:t>  </w:t>
      </w:r>
      <w:r>
        <w:rPr/>
        <w:t>результатам</w:t>
      </w:r>
      <w:r>
        <w:rPr>
          <w:spacing w:val="64"/>
        </w:rPr>
        <w:t>  </w:t>
      </w:r>
      <w:r>
        <w:rPr/>
        <w:t>апробации</w:t>
      </w:r>
      <w:r>
        <w:rPr>
          <w:spacing w:val="64"/>
        </w:rPr>
        <w:t>  </w:t>
      </w:r>
      <w:r>
        <w:rPr/>
        <w:t>методики</w:t>
      </w:r>
      <w:r>
        <w:rPr>
          <w:spacing w:val="65"/>
        </w:rPr>
        <w:t>  </w:t>
      </w:r>
      <w:r>
        <w:rPr>
          <w:spacing w:val="-2"/>
        </w:rPr>
        <w:t>шкала</w:t>
      </w:r>
    </w:p>
    <w:p>
      <w:pPr>
        <w:pStyle w:val="Heading4"/>
        <w:ind w:right="563"/>
      </w:pPr>
      <w:r>
        <w:rPr/>
        <w:t>«Ассимиляция» не показала достаточный уровень надежности, вследствие чего она не рекомендована к использованию. Таким образом методика позволяет диагносцировать три из четырех стратегий аккультурации.</w:t>
      </w:r>
    </w:p>
    <w:p>
      <w:pPr>
        <w:pStyle w:val="Heading4"/>
        <w:spacing w:after="0"/>
        <w:sectPr>
          <w:pgSz w:w="11910" w:h="16840"/>
          <w:pgMar w:header="0" w:footer="970" w:top="1040" w:bottom="1220" w:left="1417" w:right="283"/>
        </w:sectPr>
      </w:pPr>
    </w:p>
    <w:p>
      <w:pPr>
        <w:pStyle w:val="Heading3"/>
      </w:pPr>
      <w:r>
        <w:rPr/>
        <w:t>Проведение</w:t>
      </w:r>
      <w:r>
        <w:rPr>
          <w:spacing w:val="-10"/>
        </w:rPr>
        <w:t> </w:t>
      </w:r>
      <w:r>
        <w:rPr>
          <w:spacing w:val="-2"/>
        </w:rPr>
        <w:t>методики</w:t>
      </w:r>
    </w:p>
    <w:p>
      <w:pPr>
        <w:pStyle w:val="Heading4"/>
        <w:spacing w:before="236"/>
        <w:ind w:right="561"/>
      </w:pPr>
      <w:r>
        <w:rPr/>
        <w:t>Методика предполагает оценку поведенческих проявлений конкретного ученика по заданным параметрам (см. </w:t>
      </w:r>
      <w:r>
        <w:rPr>
          <w:i/>
        </w:rPr>
        <w:t>Приложение 15)</w:t>
      </w:r>
      <w:r>
        <w:rPr/>
        <w:t>. Психолог может как сам проводить наблюдение, так и использовать опыт педагога или классного руководителя, который в течение длительного времени взаимодействует с классом и наблюдает учеников в различных ситуациях (</w:t>
      </w:r>
      <w:r>
        <w:rPr>
          <w:i/>
        </w:rPr>
        <w:t>Прихожан, Толстых, </w:t>
      </w:r>
      <w:r>
        <w:rPr/>
        <w:t>1991). Педагог или психолог заполняет протокол — карту наблюдения за учеником. Наличие какого-либо поведенческого индикатора обозначается в протоколе знаком «+», а его отсутствие знаком «–». Поведенческие индикаторы имеют неодинаковый информативный вес, поэтому при обработке результатов необходим перевод первичных показателей в сырые баллы, а затем — в проценты, которые показывают выраженность каждой стратегии адаптации.</w:t>
      </w:r>
    </w:p>
    <w:p>
      <w:pPr>
        <w:pStyle w:val="Heading3"/>
        <w:spacing w:line="321" w:lineRule="exact" w:before="248"/>
        <w:ind w:left="7682"/>
        <w:jc w:val="center"/>
      </w:pPr>
      <w:r>
        <w:rPr/>
        <w:t>Таблица</w:t>
      </w:r>
      <w:r>
        <w:rPr>
          <w:spacing w:val="-5"/>
        </w:rPr>
        <w:t> 26</w:t>
      </w:r>
    </w:p>
    <w:p>
      <w:pPr>
        <w:spacing w:line="321" w:lineRule="exact" w:before="0"/>
        <w:ind w:left="0" w:right="279" w:firstLine="0"/>
        <w:jc w:val="center"/>
        <w:rPr>
          <w:b/>
          <w:sz w:val="28"/>
        </w:rPr>
      </w:pPr>
      <w:r>
        <w:rPr>
          <w:b/>
          <w:sz w:val="28"/>
        </w:rPr>
        <w:t>Информативный</w:t>
      </w:r>
      <w:r>
        <w:rPr>
          <w:b/>
          <w:spacing w:val="-12"/>
          <w:sz w:val="28"/>
        </w:rPr>
        <w:t> </w:t>
      </w:r>
      <w:r>
        <w:rPr>
          <w:b/>
          <w:sz w:val="28"/>
        </w:rPr>
        <w:t>вес</w:t>
      </w:r>
      <w:r>
        <w:rPr>
          <w:b/>
          <w:spacing w:val="-11"/>
          <w:sz w:val="28"/>
        </w:rPr>
        <w:t> </w:t>
      </w:r>
      <w:r>
        <w:rPr>
          <w:b/>
          <w:sz w:val="28"/>
        </w:rPr>
        <w:t>поведенческих</w:t>
      </w:r>
      <w:r>
        <w:rPr>
          <w:b/>
          <w:spacing w:val="-10"/>
          <w:sz w:val="28"/>
        </w:rPr>
        <w:t> </w:t>
      </w:r>
      <w:r>
        <w:rPr>
          <w:b/>
          <w:spacing w:val="-2"/>
          <w:sz w:val="28"/>
        </w:rPr>
        <w:t>индикаторов</w:t>
      </w:r>
    </w:p>
    <w:p>
      <w:pPr>
        <w:pStyle w:val="BodyText"/>
        <w:ind w:left="0" w:right="0" w:firstLine="0"/>
        <w:jc w:val="left"/>
        <w:rPr>
          <w:b/>
        </w:rPr>
      </w:pPr>
    </w:p>
    <w:p>
      <w:pPr>
        <w:pStyle w:val="BodyText"/>
        <w:spacing w:before="149"/>
        <w:ind w:left="0" w:right="0" w:firstLine="0"/>
        <w:jc w:val="left"/>
        <w:rPr>
          <w:b/>
        </w:rPr>
      </w:pPr>
    </w:p>
    <w:tbl>
      <w:tblPr>
        <w:tblW w:w="0" w:type="auto"/>
        <w:jc w:val="left"/>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21"/>
        <w:gridCol w:w="6791"/>
      </w:tblGrid>
      <w:tr>
        <w:trPr>
          <w:trHeight w:val="474" w:hRule="atLeast"/>
        </w:trPr>
        <w:tc>
          <w:tcPr>
            <w:tcW w:w="2821" w:type="dxa"/>
            <w:vMerge w:val="restart"/>
          </w:tcPr>
          <w:p>
            <w:pPr>
              <w:pStyle w:val="TableParagraph"/>
              <w:spacing w:before="97"/>
              <w:ind w:left="100"/>
              <w:rPr>
                <w:b/>
                <w:sz w:val="24"/>
              </w:rPr>
            </w:pPr>
            <w:r>
              <w:rPr>
                <w:b/>
                <w:spacing w:val="-2"/>
                <w:sz w:val="24"/>
              </w:rPr>
              <w:t>Сепарация</w:t>
            </w:r>
          </w:p>
        </w:tc>
        <w:tc>
          <w:tcPr>
            <w:tcW w:w="6791" w:type="dxa"/>
          </w:tcPr>
          <w:p>
            <w:pPr>
              <w:pStyle w:val="TableParagraph"/>
              <w:spacing w:before="92"/>
              <w:ind w:left="99"/>
              <w:rPr>
                <w:sz w:val="24"/>
              </w:rPr>
            </w:pPr>
            <w:r>
              <w:rPr>
                <w:sz w:val="24"/>
              </w:rPr>
              <w:t>За</w:t>
            </w:r>
            <w:r>
              <w:rPr>
                <w:spacing w:val="-3"/>
                <w:sz w:val="24"/>
              </w:rPr>
              <w:t> </w:t>
            </w:r>
            <w:r>
              <w:rPr>
                <w:sz w:val="24"/>
              </w:rPr>
              <w:t>индикаторы 1–7 —</w:t>
            </w:r>
            <w:r>
              <w:rPr>
                <w:spacing w:val="-4"/>
                <w:sz w:val="24"/>
              </w:rPr>
              <w:t> </w:t>
            </w:r>
            <w:r>
              <w:rPr>
                <w:sz w:val="24"/>
              </w:rPr>
              <w:t>по 1 </w:t>
            </w:r>
            <w:r>
              <w:rPr>
                <w:spacing w:val="-4"/>
                <w:sz w:val="24"/>
              </w:rPr>
              <w:t>баллу</w:t>
            </w:r>
          </w:p>
        </w:tc>
      </w:tr>
      <w:tr>
        <w:trPr>
          <w:trHeight w:val="477" w:hRule="atLeast"/>
        </w:trPr>
        <w:tc>
          <w:tcPr>
            <w:tcW w:w="2821" w:type="dxa"/>
            <w:vMerge/>
            <w:tcBorders>
              <w:top w:val="nil"/>
            </w:tcBorders>
          </w:tcPr>
          <w:p>
            <w:pPr>
              <w:rPr>
                <w:sz w:val="2"/>
                <w:szCs w:val="2"/>
              </w:rPr>
            </w:pPr>
          </w:p>
        </w:tc>
        <w:tc>
          <w:tcPr>
            <w:tcW w:w="6791" w:type="dxa"/>
          </w:tcPr>
          <w:p>
            <w:pPr>
              <w:pStyle w:val="TableParagraph"/>
              <w:spacing w:before="92"/>
              <w:ind w:left="99"/>
              <w:rPr>
                <w:sz w:val="24"/>
              </w:rPr>
            </w:pPr>
            <w:r>
              <w:rPr>
                <w:sz w:val="24"/>
              </w:rPr>
              <w:t>За</w:t>
            </w:r>
            <w:r>
              <w:rPr>
                <w:spacing w:val="-2"/>
                <w:sz w:val="24"/>
              </w:rPr>
              <w:t> </w:t>
            </w:r>
            <w:r>
              <w:rPr>
                <w:sz w:val="24"/>
              </w:rPr>
              <w:t>индикаторы 8–13 —</w:t>
            </w:r>
            <w:r>
              <w:rPr>
                <w:spacing w:val="-3"/>
                <w:sz w:val="24"/>
              </w:rPr>
              <w:t> </w:t>
            </w:r>
            <w:r>
              <w:rPr>
                <w:sz w:val="24"/>
              </w:rPr>
              <w:t>по 2 </w:t>
            </w:r>
            <w:r>
              <w:rPr>
                <w:spacing w:val="-2"/>
                <w:sz w:val="24"/>
              </w:rPr>
              <w:t>балла</w:t>
            </w:r>
          </w:p>
        </w:tc>
      </w:tr>
      <w:tr>
        <w:trPr>
          <w:trHeight w:val="476" w:hRule="atLeast"/>
        </w:trPr>
        <w:tc>
          <w:tcPr>
            <w:tcW w:w="2821" w:type="dxa"/>
            <w:vMerge w:val="restart"/>
          </w:tcPr>
          <w:p>
            <w:pPr>
              <w:pStyle w:val="TableParagraph"/>
              <w:spacing w:before="97"/>
              <w:ind w:left="100"/>
              <w:rPr>
                <w:b/>
                <w:sz w:val="24"/>
              </w:rPr>
            </w:pPr>
            <w:r>
              <w:rPr>
                <w:b/>
                <w:spacing w:val="-2"/>
                <w:sz w:val="24"/>
              </w:rPr>
              <w:t>Маргинализация</w:t>
            </w:r>
          </w:p>
        </w:tc>
        <w:tc>
          <w:tcPr>
            <w:tcW w:w="6791" w:type="dxa"/>
          </w:tcPr>
          <w:p>
            <w:pPr>
              <w:pStyle w:val="TableParagraph"/>
              <w:spacing w:before="92"/>
              <w:ind w:left="99"/>
              <w:rPr>
                <w:sz w:val="24"/>
              </w:rPr>
            </w:pPr>
            <w:r>
              <w:rPr>
                <w:sz w:val="24"/>
              </w:rPr>
              <w:t>За</w:t>
            </w:r>
            <w:r>
              <w:rPr>
                <w:spacing w:val="-3"/>
                <w:sz w:val="24"/>
              </w:rPr>
              <w:t> </w:t>
            </w:r>
            <w:r>
              <w:rPr>
                <w:sz w:val="24"/>
              </w:rPr>
              <w:t>индикаторы 1–6 —</w:t>
            </w:r>
            <w:r>
              <w:rPr>
                <w:spacing w:val="-4"/>
                <w:sz w:val="24"/>
              </w:rPr>
              <w:t> </w:t>
            </w:r>
            <w:r>
              <w:rPr>
                <w:sz w:val="24"/>
              </w:rPr>
              <w:t>по 1 </w:t>
            </w:r>
            <w:r>
              <w:rPr>
                <w:spacing w:val="-4"/>
                <w:sz w:val="24"/>
              </w:rPr>
              <w:t>баллу</w:t>
            </w:r>
          </w:p>
        </w:tc>
      </w:tr>
      <w:tr>
        <w:trPr>
          <w:trHeight w:val="474" w:hRule="atLeast"/>
        </w:trPr>
        <w:tc>
          <w:tcPr>
            <w:tcW w:w="2821" w:type="dxa"/>
            <w:vMerge/>
            <w:tcBorders>
              <w:top w:val="nil"/>
            </w:tcBorders>
          </w:tcPr>
          <w:p>
            <w:pPr>
              <w:rPr>
                <w:sz w:val="2"/>
                <w:szCs w:val="2"/>
              </w:rPr>
            </w:pPr>
          </w:p>
        </w:tc>
        <w:tc>
          <w:tcPr>
            <w:tcW w:w="6791" w:type="dxa"/>
          </w:tcPr>
          <w:p>
            <w:pPr>
              <w:pStyle w:val="TableParagraph"/>
              <w:spacing w:before="92"/>
              <w:ind w:left="99"/>
              <w:rPr>
                <w:sz w:val="24"/>
              </w:rPr>
            </w:pPr>
            <w:r>
              <w:rPr>
                <w:sz w:val="24"/>
              </w:rPr>
              <w:t>За</w:t>
            </w:r>
            <w:r>
              <w:rPr>
                <w:spacing w:val="-2"/>
                <w:sz w:val="24"/>
              </w:rPr>
              <w:t> </w:t>
            </w:r>
            <w:r>
              <w:rPr>
                <w:sz w:val="24"/>
              </w:rPr>
              <w:t>индикаторы 7–11 —</w:t>
            </w:r>
            <w:r>
              <w:rPr>
                <w:spacing w:val="-3"/>
                <w:sz w:val="24"/>
              </w:rPr>
              <w:t> </w:t>
            </w:r>
            <w:r>
              <w:rPr>
                <w:sz w:val="24"/>
              </w:rPr>
              <w:t>по 2 </w:t>
            </w:r>
            <w:r>
              <w:rPr>
                <w:spacing w:val="-2"/>
                <w:sz w:val="24"/>
              </w:rPr>
              <w:t>балла</w:t>
            </w:r>
          </w:p>
        </w:tc>
      </w:tr>
      <w:tr>
        <w:trPr>
          <w:trHeight w:val="476" w:hRule="atLeast"/>
        </w:trPr>
        <w:tc>
          <w:tcPr>
            <w:tcW w:w="2821" w:type="dxa"/>
            <w:vMerge w:val="restart"/>
          </w:tcPr>
          <w:p>
            <w:pPr>
              <w:pStyle w:val="TableParagraph"/>
              <w:spacing w:before="97"/>
              <w:ind w:left="100"/>
              <w:rPr>
                <w:b/>
                <w:sz w:val="24"/>
              </w:rPr>
            </w:pPr>
            <w:r>
              <w:rPr>
                <w:b/>
                <w:spacing w:val="-2"/>
                <w:sz w:val="24"/>
              </w:rPr>
              <w:t>Интеграция</w:t>
            </w:r>
          </w:p>
        </w:tc>
        <w:tc>
          <w:tcPr>
            <w:tcW w:w="6791" w:type="dxa"/>
          </w:tcPr>
          <w:p>
            <w:pPr>
              <w:pStyle w:val="TableParagraph"/>
              <w:spacing w:before="92"/>
              <w:ind w:left="99"/>
              <w:rPr>
                <w:sz w:val="24"/>
              </w:rPr>
            </w:pPr>
            <w:r>
              <w:rPr>
                <w:sz w:val="24"/>
              </w:rPr>
              <w:t>За</w:t>
            </w:r>
            <w:r>
              <w:rPr>
                <w:spacing w:val="-2"/>
                <w:sz w:val="24"/>
              </w:rPr>
              <w:t> </w:t>
            </w:r>
            <w:r>
              <w:rPr>
                <w:sz w:val="24"/>
              </w:rPr>
              <w:t>индикаторы 1–10 —</w:t>
            </w:r>
            <w:r>
              <w:rPr>
                <w:spacing w:val="-3"/>
                <w:sz w:val="24"/>
              </w:rPr>
              <w:t> </w:t>
            </w:r>
            <w:r>
              <w:rPr>
                <w:sz w:val="24"/>
              </w:rPr>
              <w:t>по 1 </w:t>
            </w:r>
            <w:r>
              <w:rPr>
                <w:spacing w:val="-4"/>
                <w:sz w:val="24"/>
              </w:rPr>
              <w:t>баллу</w:t>
            </w:r>
          </w:p>
        </w:tc>
      </w:tr>
      <w:tr>
        <w:trPr>
          <w:trHeight w:val="476" w:hRule="atLeast"/>
        </w:trPr>
        <w:tc>
          <w:tcPr>
            <w:tcW w:w="2821" w:type="dxa"/>
            <w:vMerge/>
            <w:tcBorders>
              <w:top w:val="nil"/>
            </w:tcBorders>
          </w:tcPr>
          <w:p>
            <w:pPr>
              <w:rPr>
                <w:sz w:val="2"/>
                <w:szCs w:val="2"/>
              </w:rPr>
            </w:pPr>
          </w:p>
        </w:tc>
        <w:tc>
          <w:tcPr>
            <w:tcW w:w="6791" w:type="dxa"/>
          </w:tcPr>
          <w:p>
            <w:pPr>
              <w:pStyle w:val="TableParagraph"/>
              <w:spacing w:before="92"/>
              <w:ind w:left="99"/>
              <w:rPr>
                <w:sz w:val="24"/>
              </w:rPr>
            </w:pPr>
            <w:r>
              <w:rPr>
                <w:sz w:val="24"/>
              </w:rPr>
              <w:t>За</w:t>
            </w:r>
            <w:r>
              <w:rPr>
                <w:spacing w:val="-2"/>
                <w:sz w:val="24"/>
              </w:rPr>
              <w:t> </w:t>
            </w:r>
            <w:r>
              <w:rPr>
                <w:sz w:val="24"/>
              </w:rPr>
              <w:t>индикаторы 11–12</w:t>
            </w:r>
            <w:r>
              <w:rPr>
                <w:spacing w:val="-3"/>
                <w:sz w:val="24"/>
              </w:rPr>
              <w:t> </w:t>
            </w:r>
            <w:r>
              <w:rPr>
                <w:sz w:val="24"/>
              </w:rPr>
              <w:t>— по 2 </w:t>
            </w:r>
            <w:r>
              <w:rPr>
                <w:spacing w:val="-2"/>
                <w:sz w:val="24"/>
              </w:rPr>
              <w:t>балла</w:t>
            </w:r>
          </w:p>
        </w:tc>
      </w:tr>
    </w:tbl>
    <w:p>
      <w:pPr>
        <w:pStyle w:val="Heading4"/>
        <w:spacing w:before="235"/>
        <w:ind w:right="562" w:firstLine="700"/>
      </w:pPr>
      <w:r>
        <w:rPr/>
        <w:t>Баллы суммируются, в результате каждой шкале присваивается определенное количество баллов. Затем баллы по каждой шкале переводятся в проценты от максимально возможного их количества по следующим формулам (где n — количество баллов, набранных по данной шкале).</w:t>
      </w:r>
    </w:p>
    <w:p>
      <w:pPr>
        <w:pStyle w:val="Heading3"/>
        <w:spacing w:before="249"/>
        <w:ind w:left="0" w:right="561"/>
        <w:jc w:val="right"/>
      </w:pPr>
      <w:r>
        <w:rPr/>
        <w:t>Таблица</w:t>
      </w:r>
      <w:r>
        <w:rPr>
          <w:spacing w:val="-6"/>
        </w:rPr>
        <w:t> </w:t>
      </w:r>
      <w:r>
        <w:rPr>
          <w:spacing w:val="-5"/>
        </w:rPr>
        <w:t>27</w:t>
      </w:r>
    </w:p>
    <w:p>
      <w:pPr>
        <w:spacing w:before="237"/>
        <w:ind w:left="0" w:right="279" w:firstLine="0"/>
        <w:jc w:val="center"/>
        <w:rPr>
          <w:b/>
          <w:sz w:val="28"/>
        </w:rPr>
      </w:pPr>
      <w:r>
        <w:rPr>
          <w:b/>
          <w:sz w:val="28"/>
        </w:rPr>
        <w:t>Формулы</w:t>
      </w:r>
      <w:r>
        <w:rPr>
          <w:b/>
          <w:spacing w:val="-6"/>
          <w:sz w:val="28"/>
        </w:rPr>
        <w:t> </w:t>
      </w:r>
      <w:r>
        <w:rPr>
          <w:b/>
          <w:sz w:val="28"/>
        </w:rPr>
        <w:t>перевода</w:t>
      </w:r>
      <w:r>
        <w:rPr>
          <w:b/>
          <w:spacing w:val="-5"/>
          <w:sz w:val="28"/>
        </w:rPr>
        <w:t> </w:t>
      </w:r>
      <w:r>
        <w:rPr>
          <w:b/>
          <w:sz w:val="28"/>
        </w:rPr>
        <w:t>баллов</w:t>
      </w:r>
      <w:r>
        <w:rPr>
          <w:b/>
          <w:spacing w:val="-6"/>
          <w:sz w:val="28"/>
        </w:rPr>
        <w:t> </w:t>
      </w:r>
      <w:r>
        <w:rPr>
          <w:b/>
          <w:sz w:val="28"/>
        </w:rPr>
        <w:t>в</w:t>
      </w:r>
      <w:r>
        <w:rPr>
          <w:b/>
          <w:spacing w:val="-5"/>
          <w:sz w:val="28"/>
        </w:rPr>
        <w:t> </w:t>
      </w:r>
      <w:r>
        <w:rPr>
          <w:b/>
          <w:spacing w:val="-2"/>
          <w:sz w:val="28"/>
        </w:rPr>
        <w:t>проценты</w:t>
      </w:r>
    </w:p>
    <w:p>
      <w:pPr>
        <w:pStyle w:val="BodyText"/>
        <w:ind w:left="0" w:right="0" w:firstLine="0"/>
        <w:jc w:val="left"/>
        <w:rPr>
          <w:b/>
        </w:rPr>
      </w:pPr>
    </w:p>
    <w:p>
      <w:pPr>
        <w:pStyle w:val="BodyText"/>
        <w:spacing w:before="104"/>
        <w:ind w:left="0" w:right="0" w:firstLine="0"/>
        <w:jc w:val="left"/>
        <w:rPr>
          <w:b/>
        </w:rPr>
      </w:pPr>
    </w:p>
    <w:tbl>
      <w:tblPr>
        <w:tblW w:w="0" w:type="auto"/>
        <w:jc w:val="left"/>
        <w:tblInd w:w="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52"/>
        <w:gridCol w:w="6040"/>
      </w:tblGrid>
      <w:tr>
        <w:trPr>
          <w:trHeight w:val="752" w:hRule="atLeast"/>
        </w:trPr>
        <w:tc>
          <w:tcPr>
            <w:tcW w:w="2852" w:type="dxa"/>
          </w:tcPr>
          <w:p>
            <w:pPr>
              <w:pStyle w:val="TableParagraph"/>
              <w:spacing w:before="92"/>
              <w:ind w:left="160"/>
              <w:rPr>
                <w:sz w:val="24"/>
              </w:rPr>
            </w:pPr>
            <w:r>
              <w:rPr>
                <w:spacing w:val="-2"/>
                <w:sz w:val="24"/>
              </w:rPr>
              <w:t>Сепарация</w:t>
            </w:r>
          </w:p>
        </w:tc>
        <w:tc>
          <w:tcPr>
            <w:tcW w:w="6040" w:type="dxa"/>
          </w:tcPr>
          <w:p>
            <w:pPr>
              <w:pStyle w:val="TableParagraph"/>
              <w:spacing w:before="92"/>
              <w:ind w:left="97" w:right="2409"/>
              <w:rPr>
                <w:sz w:val="24"/>
              </w:rPr>
            </w:pPr>
            <w:r>
              <w:rPr>
                <w:sz w:val="24"/>
              </w:rPr>
              <w:t>х</w:t>
            </w:r>
            <w:r>
              <w:rPr>
                <w:spacing w:val="-5"/>
                <w:sz w:val="24"/>
              </w:rPr>
              <w:t> </w:t>
            </w:r>
            <w:r>
              <w:rPr>
                <w:sz w:val="24"/>
              </w:rPr>
              <w:t>=</w:t>
            </w:r>
            <w:r>
              <w:rPr>
                <w:spacing w:val="-7"/>
                <w:sz w:val="24"/>
              </w:rPr>
              <w:t> </w:t>
            </w:r>
            <w:r>
              <w:rPr>
                <w:sz w:val="24"/>
              </w:rPr>
              <w:t>n×100÷29</w:t>
            </w:r>
            <w:r>
              <w:rPr>
                <w:spacing w:val="-7"/>
                <w:sz w:val="24"/>
              </w:rPr>
              <w:t> </w:t>
            </w:r>
            <w:r>
              <w:rPr>
                <w:sz w:val="24"/>
              </w:rPr>
              <w:t>для</w:t>
            </w:r>
            <w:r>
              <w:rPr>
                <w:spacing w:val="-7"/>
                <w:sz w:val="24"/>
              </w:rPr>
              <w:t> </w:t>
            </w:r>
            <w:r>
              <w:rPr>
                <w:sz w:val="24"/>
              </w:rPr>
              <w:t>детей</w:t>
            </w:r>
            <w:r>
              <w:rPr>
                <w:spacing w:val="-8"/>
                <w:sz w:val="24"/>
              </w:rPr>
              <w:t> </w:t>
            </w:r>
            <w:r>
              <w:rPr>
                <w:sz w:val="24"/>
              </w:rPr>
              <w:t>11–18</w:t>
            </w:r>
            <w:r>
              <w:rPr>
                <w:spacing w:val="-7"/>
                <w:sz w:val="24"/>
              </w:rPr>
              <w:t> </w:t>
            </w:r>
            <w:r>
              <w:rPr>
                <w:sz w:val="24"/>
              </w:rPr>
              <w:t>лет х = n×100÷23 для детей 7–10 лет</w:t>
            </w:r>
          </w:p>
        </w:tc>
      </w:tr>
      <w:tr>
        <w:trPr>
          <w:trHeight w:val="750" w:hRule="atLeast"/>
        </w:trPr>
        <w:tc>
          <w:tcPr>
            <w:tcW w:w="2852" w:type="dxa"/>
          </w:tcPr>
          <w:p>
            <w:pPr>
              <w:pStyle w:val="TableParagraph"/>
              <w:spacing w:before="92"/>
              <w:ind w:left="100"/>
              <w:rPr>
                <w:sz w:val="24"/>
              </w:rPr>
            </w:pPr>
            <w:r>
              <w:rPr>
                <w:spacing w:val="-2"/>
                <w:sz w:val="24"/>
              </w:rPr>
              <w:t>Маргинализация</w:t>
            </w:r>
          </w:p>
        </w:tc>
        <w:tc>
          <w:tcPr>
            <w:tcW w:w="6040" w:type="dxa"/>
          </w:tcPr>
          <w:p>
            <w:pPr>
              <w:pStyle w:val="TableParagraph"/>
              <w:spacing w:before="92"/>
              <w:ind w:left="97" w:right="2409"/>
              <w:rPr>
                <w:sz w:val="24"/>
              </w:rPr>
            </w:pPr>
            <w:r>
              <w:rPr>
                <w:sz w:val="24"/>
              </w:rPr>
              <w:t>х</w:t>
            </w:r>
            <w:r>
              <w:rPr>
                <w:spacing w:val="-5"/>
                <w:sz w:val="24"/>
              </w:rPr>
              <w:t> </w:t>
            </w:r>
            <w:r>
              <w:rPr>
                <w:sz w:val="24"/>
              </w:rPr>
              <w:t>=</w:t>
            </w:r>
            <w:r>
              <w:rPr>
                <w:spacing w:val="-7"/>
                <w:sz w:val="24"/>
              </w:rPr>
              <w:t> </w:t>
            </w:r>
            <w:r>
              <w:rPr>
                <w:sz w:val="24"/>
              </w:rPr>
              <w:t>n×100÷16</w:t>
            </w:r>
            <w:r>
              <w:rPr>
                <w:spacing w:val="-7"/>
                <w:sz w:val="24"/>
              </w:rPr>
              <w:t> </w:t>
            </w:r>
            <w:r>
              <w:rPr>
                <w:sz w:val="24"/>
              </w:rPr>
              <w:t>для</w:t>
            </w:r>
            <w:r>
              <w:rPr>
                <w:spacing w:val="-7"/>
                <w:sz w:val="24"/>
              </w:rPr>
              <w:t> </w:t>
            </w:r>
            <w:r>
              <w:rPr>
                <w:sz w:val="24"/>
              </w:rPr>
              <w:t>детей</w:t>
            </w:r>
            <w:r>
              <w:rPr>
                <w:spacing w:val="-8"/>
                <w:sz w:val="24"/>
              </w:rPr>
              <w:t> </w:t>
            </w:r>
            <w:r>
              <w:rPr>
                <w:sz w:val="24"/>
              </w:rPr>
              <w:t>11–18</w:t>
            </w:r>
            <w:r>
              <w:rPr>
                <w:spacing w:val="-7"/>
                <w:sz w:val="24"/>
              </w:rPr>
              <w:t> </w:t>
            </w:r>
            <w:r>
              <w:rPr>
                <w:sz w:val="24"/>
              </w:rPr>
              <w:t>лет х = n×100÷9 для детей 7–10 лет</w:t>
            </w:r>
          </w:p>
        </w:tc>
      </w:tr>
      <w:tr>
        <w:trPr>
          <w:trHeight w:val="752" w:hRule="atLeast"/>
        </w:trPr>
        <w:tc>
          <w:tcPr>
            <w:tcW w:w="2852" w:type="dxa"/>
          </w:tcPr>
          <w:p>
            <w:pPr>
              <w:pStyle w:val="TableParagraph"/>
              <w:spacing w:before="92"/>
              <w:ind w:left="100"/>
              <w:rPr>
                <w:sz w:val="24"/>
              </w:rPr>
            </w:pPr>
            <w:r>
              <w:rPr>
                <w:spacing w:val="-2"/>
                <w:sz w:val="24"/>
              </w:rPr>
              <w:t>Интеграция</w:t>
            </w:r>
          </w:p>
        </w:tc>
        <w:tc>
          <w:tcPr>
            <w:tcW w:w="6040" w:type="dxa"/>
          </w:tcPr>
          <w:p>
            <w:pPr>
              <w:pStyle w:val="TableParagraph"/>
              <w:spacing w:before="92"/>
              <w:ind w:left="97" w:right="2409"/>
              <w:rPr>
                <w:sz w:val="24"/>
              </w:rPr>
            </w:pPr>
            <w:r>
              <w:rPr>
                <w:sz w:val="24"/>
              </w:rPr>
              <w:t>х</w:t>
            </w:r>
            <w:r>
              <w:rPr>
                <w:spacing w:val="-5"/>
                <w:sz w:val="24"/>
              </w:rPr>
              <w:t> </w:t>
            </w:r>
            <w:r>
              <w:rPr>
                <w:sz w:val="24"/>
              </w:rPr>
              <w:t>=</w:t>
            </w:r>
            <w:r>
              <w:rPr>
                <w:spacing w:val="-7"/>
                <w:sz w:val="24"/>
              </w:rPr>
              <w:t> </w:t>
            </w:r>
            <w:r>
              <w:rPr>
                <w:sz w:val="24"/>
              </w:rPr>
              <w:t>n×100÷14</w:t>
            </w:r>
            <w:r>
              <w:rPr>
                <w:spacing w:val="-7"/>
                <w:sz w:val="24"/>
              </w:rPr>
              <w:t> </w:t>
            </w:r>
            <w:r>
              <w:rPr>
                <w:sz w:val="24"/>
              </w:rPr>
              <w:t>для</w:t>
            </w:r>
            <w:r>
              <w:rPr>
                <w:spacing w:val="-7"/>
                <w:sz w:val="24"/>
              </w:rPr>
              <w:t> </w:t>
            </w:r>
            <w:r>
              <w:rPr>
                <w:sz w:val="24"/>
              </w:rPr>
              <w:t>детей</w:t>
            </w:r>
            <w:r>
              <w:rPr>
                <w:spacing w:val="-8"/>
                <w:sz w:val="24"/>
              </w:rPr>
              <w:t> </w:t>
            </w:r>
            <w:r>
              <w:rPr>
                <w:sz w:val="24"/>
              </w:rPr>
              <w:t>11–18</w:t>
            </w:r>
            <w:r>
              <w:rPr>
                <w:spacing w:val="-7"/>
                <w:sz w:val="24"/>
              </w:rPr>
              <w:t> </w:t>
            </w:r>
            <w:r>
              <w:rPr>
                <w:sz w:val="24"/>
              </w:rPr>
              <w:t>лет х = n×100÷12 для детей 7–10 лет</w:t>
            </w:r>
          </w:p>
        </w:tc>
      </w:tr>
    </w:tbl>
    <w:p>
      <w:pPr>
        <w:pStyle w:val="TableParagraph"/>
        <w:spacing w:after="0"/>
        <w:rPr>
          <w:sz w:val="24"/>
        </w:rPr>
        <w:sectPr>
          <w:pgSz w:w="11910" w:h="16840"/>
          <w:pgMar w:header="0" w:footer="970" w:top="1040" w:bottom="1160" w:left="1417" w:right="283"/>
        </w:sectPr>
      </w:pPr>
    </w:p>
    <w:p>
      <w:pPr>
        <w:pStyle w:val="Heading4"/>
        <w:spacing w:before="67"/>
        <w:ind w:right="567" w:firstLine="700"/>
      </w:pPr>
      <w:r>
        <w:rPr/>
        <w:t>Проценты показывают, насколько сильно выражена определенная стратегия</w:t>
      </w:r>
      <w:r>
        <w:rPr>
          <w:spacing w:val="-3"/>
        </w:rPr>
        <w:t> </w:t>
      </w:r>
      <w:r>
        <w:rPr/>
        <w:t>социокультурной</w:t>
      </w:r>
      <w:r>
        <w:rPr>
          <w:spacing w:val="-3"/>
        </w:rPr>
        <w:t> </w:t>
      </w:r>
      <w:r>
        <w:rPr/>
        <w:t>адаптации.</w:t>
      </w:r>
      <w:r>
        <w:rPr>
          <w:spacing w:val="-5"/>
        </w:rPr>
        <w:t> </w:t>
      </w:r>
      <w:r>
        <w:rPr/>
        <w:t>Для</w:t>
      </w:r>
      <w:r>
        <w:rPr>
          <w:spacing w:val="-3"/>
        </w:rPr>
        <w:t> </w:t>
      </w:r>
      <w:r>
        <w:rPr/>
        <w:t>каждой</w:t>
      </w:r>
      <w:r>
        <w:rPr>
          <w:spacing w:val="-3"/>
        </w:rPr>
        <w:t> </w:t>
      </w:r>
      <w:r>
        <w:rPr/>
        <w:t>стратегии</w:t>
      </w:r>
      <w:r>
        <w:rPr>
          <w:spacing w:val="-3"/>
        </w:rPr>
        <w:t> </w:t>
      </w:r>
      <w:r>
        <w:rPr/>
        <w:t>шкалы</w:t>
      </w:r>
      <w:r>
        <w:rPr>
          <w:spacing w:val="-3"/>
        </w:rPr>
        <w:t> </w:t>
      </w:r>
      <w:r>
        <w:rPr/>
        <w:t>разбиты на пять интервалов:</w:t>
      </w:r>
    </w:p>
    <w:p>
      <w:pPr>
        <w:pStyle w:val="Heading4"/>
        <w:numPr>
          <w:ilvl w:val="1"/>
          <w:numId w:val="15"/>
        </w:numPr>
        <w:tabs>
          <w:tab w:pos="1384" w:val="left" w:leader="none"/>
        </w:tabs>
        <w:spacing w:line="322" w:lineRule="exact" w:before="2" w:after="0"/>
        <w:ind w:left="1384" w:right="0" w:hanging="379"/>
        <w:jc w:val="left"/>
      </w:pPr>
      <w:r>
        <w:rPr/>
        <w:t>0–20%</w:t>
      </w:r>
      <w:r>
        <w:rPr>
          <w:spacing w:val="-6"/>
        </w:rPr>
        <w:t> </w:t>
      </w:r>
      <w:r>
        <w:rPr/>
        <w:t>—</w:t>
      </w:r>
      <w:r>
        <w:rPr>
          <w:spacing w:val="-4"/>
        </w:rPr>
        <w:t> </w:t>
      </w:r>
      <w:r>
        <w:rPr/>
        <w:t>слабая</w:t>
      </w:r>
      <w:r>
        <w:rPr>
          <w:spacing w:val="-7"/>
        </w:rPr>
        <w:t> </w:t>
      </w:r>
      <w:r>
        <w:rPr/>
        <w:t>выраженность</w:t>
      </w:r>
      <w:r>
        <w:rPr>
          <w:spacing w:val="-5"/>
        </w:rPr>
        <w:t> </w:t>
      </w:r>
      <w:r>
        <w:rPr/>
        <w:t>данного</w:t>
      </w:r>
      <w:r>
        <w:rPr>
          <w:spacing w:val="-5"/>
        </w:rPr>
        <w:t> </w:t>
      </w:r>
      <w:r>
        <w:rPr>
          <w:spacing w:val="-2"/>
        </w:rPr>
        <w:t>качества;</w:t>
      </w:r>
    </w:p>
    <w:p>
      <w:pPr>
        <w:pStyle w:val="Heading4"/>
        <w:numPr>
          <w:ilvl w:val="1"/>
          <w:numId w:val="15"/>
        </w:numPr>
        <w:tabs>
          <w:tab w:pos="1384" w:val="left" w:leader="none"/>
        </w:tabs>
        <w:spacing w:line="322" w:lineRule="exact" w:before="0" w:after="0"/>
        <w:ind w:left="1384" w:right="0" w:hanging="379"/>
        <w:jc w:val="left"/>
      </w:pPr>
      <w:r>
        <w:rPr/>
        <w:t>20–40%</w:t>
      </w:r>
      <w:r>
        <w:rPr>
          <w:spacing w:val="-4"/>
        </w:rPr>
        <w:t> </w:t>
      </w:r>
      <w:r>
        <w:rPr/>
        <w:t>—</w:t>
      </w:r>
      <w:r>
        <w:rPr>
          <w:spacing w:val="-4"/>
        </w:rPr>
        <w:t> </w:t>
      </w:r>
      <w:r>
        <w:rPr/>
        <w:t>заметная</w:t>
      </w:r>
      <w:r>
        <w:rPr>
          <w:spacing w:val="-3"/>
        </w:rPr>
        <w:t> </w:t>
      </w:r>
      <w:r>
        <w:rPr>
          <w:spacing w:val="-2"/>
        </w:rPr>
        <w:t>выраженность;</w:t>
      </w:r>
    </w:p>
    <w:p>
      <w:pPr>
        <w:pStyle w:val="Heading4"/>
        <w:numPr>
          <w:ilvl w:val="1"/>
          <w:numId w:val="15"/>
        </w:numPr>
        <w:tabs>
          <w:tab w:pos="1384" w:val="left" w:leader="none"/>
        </w:tabs>
        <w:spacing w:line="322" w:lineRule="exact" w:before="0" w:after="0"/>
        <w:ind w:left="1384" w:right="0" w:hanging="379"/>
        <w:jc w:val="left"/>
      </w:pPr>
      <w:r>
        <w:rPr/>
        <w:t>40–60%</w:t>
      </w:r>
      <w:r>
        <w:rPr>
          <w:spacing w:val="-5"/>
        </w:rPr>
        <w:t> </w:t>
      </w:r>
      <w:r>
        <w:rPr/>
        <w:t>—</w:t>
      </w:r>
      <w:r>
        <w:rPr>
          <w:spacing w:val="-4"/>
        </w:rPr>
        <w:t> </w:t>
      </w:r>
      <w:r>
        <w:rPr/>
        <w:t>сильная</w:t>
      </w:r>
      <w:r>
        <w:rPr>
          <w:spacing w:val="-3"/>
        </w:rPr>
        <w:t> </w:t>
      </w:r>
      <w:r>
        <w:rPr>
          <w:spacing w:val="-2"/>
        </w:rPr>
        <w:t>выраженность;</w:t>
      </w:r>
    </w:p>
    <w:p>
      <w:pPr>
        <w:pStyle w:val="Heading4"/>
        <w:numPr>
          <w:ilvl w:val="1"/>
          <w:numId w:val="15"/>
        </w:numPr>
        <w:tabs>
          <w:tab w:pos="1384" w:val="left" w:leader="none"/>
        </w:tabs>
        <w:spacing w:line="240" w:lineRule="auto" w:before="0" w:after="0"/>
        <w:ind w:left="1384" w:right="0" w:hanging="379"/>
        <w:jc w:val="left"/>
      </w:pPr>
      <w:r>
        <w:rPr/>
        <w:t>60–80%</w:t>
      </w:r>
      <w:r>
        <w:rPr>
          <w:spacing w:val="-4"/>
        </w:rPr>
        <w:t> </w:t>
      </w:r>
      <w:r>
        <w:rPr/>
        <w:t>—</w:t>
      </w:r>
      <w:r>
        <w:rPr>
          <w:spacing w:val="-5"/>
        </w:rPr>
        <w:t> </w:t>
      </w:r>
      <w:r>
        <w:rPr/>
        <w:t>очень</w:t>
      </w:r>
      <w:r>
        <w:rPr>
          <w:spacing w:val="-7"/>
        </w:rPr>
        <w:t> </w:t>
      </w:r>
      <w:r>
        <w:rPr/>
        <w:t>сильная</w:t>
      </w:r>
      <w:r>
        <w:rPr>
          <w:spacing w:val="-2"/>
        </w:rPr>
        <w:t> выраженность;</w:t>
      </w:r>
    </w:p>
    <w:p>
      <w:pPr>
        <w:pStyle w:val="Heading4"/>
        <w:numPr>
          <w:ilvl w:val="1"/>
          <w:numId w:val="15"/>
        </w:numPr>
        <w:tabs>
          <w:tab w:pos="1384" w:val="left" w:leader="none"/>
        </w:tabs>
        <w:spacing w:line="240" w:lineRule="auto" w:before="2" w:after="0"/>
        <w:ind w:left="1384" w:right="0" w:hanging="379"/>
        <w:jc w:val="left"/>
      </w:pPr>
      <w:r>
        <w:rPr/>
        <w:t>80–100%</w:t>
      </w:r>
      <w:r>
        <w:rPr>
          <w:spacing w:val="-8"/>
        </w:rPr>
        <w:t> </w:t>
      </w:r>
      <w:r>
        <w:rPr/>
        <w:t>—</w:t>
      </w:r>
      <w:r>
        <w:rPr>
          <w:spacing w:val="-7"/>
        </w:rPr>
        <w:t> </w:t>
      </w:r>
      <w:r>
        <w:rPr/>
        <w:t>чрезмерная</w:t>
      </w:r>
      <w:r>
        <w:rPr>
          <w:spacing w:val="-6"/>
        </w:rPr>
        <w:t> </w:t>
      </w:r>
      <w:r>
        <w:rPr/>
        <w:t>выраженность</w:t>
      </w:r>
      <w:r>
        <w:rPr>
          <w:spacing w:val="-7"/>
        </w:rPr>
        <w:t> </w:t>
      </w:r>
      <w:r>
        <w:rPr>
          <w:spacing w:val="-2"/>
        </w:rPr>
        <w:t>качества.</w:t>
      </w:r>
    </w:p>
    <w:p>
      <w:pPr>
        <w:pStyle w:val="Heading4"/>
        <w:spacing w:before="239"/>
        <w:ind w:right="565"/>
      </w:pPr>
      <w:r>
        <w:rPr/>
        <w:t>Стратегия аккультурации ученика — основной параметр для оценки его взаимодействия с новой культурной средой. Применение стратегии интеграции говорит о том, что процесс социокультурной адаптации идет оптимально.</w:t>
      </w:r>
      <w:r>
        <w:rPr>
          <w:spacing w:val="-10"/>
        </w:rPr>
        <w:t> </w:t>
      </w:r>
      <w:r>
        <w:rPr/>
        <w:t>Выявление</w:t>
      </w:r>
      <w:r>
        <w:rPr>
          <w:spacing w:val="-12"/>
        </w:rPr>
        <w:t> </w:t>
      </w:r>
      <w:r>
        <w:rPr/>
        <w:t>остальных</w:t>
      </w:r>
      <w:r>
        <w:rPr>
          <w:spacing w:val="-9"/>
        </w:rPr>
        <w:t> </w:t>
      </w:r>
      <w:r>
        <w:rPr/>
        <w:t>стратегий</w:t>
      </w:r>
      <w:r>
        <w:rPr>
          <w:spacing w:val="-11"/>
        </w:rPr>
        <w:t> </w:t>
      </w:r>
      <w:r>
        <w:rPr/>
        <w:t>предполагает</w:t>
      </w:r>
      <w:r>
        <w:rPr>
          <w:spacing w:val="-12"/>
        </w:rPr>
        <w:t> </w:t>
      </w:r>
      <w:r>
        <w:rPr/>
        <w:t>помощь</w:t>
      </w:r>
      <w:r>
        <w:rPr>
          <w:spacing w:val="-11"/>
        </w:rPr>
        <w:t> </w:t>
      </w:r>
      <w:r>
        <w:rPr/>
        <w:t>ученику</w:t>
      </w:r>
      <w:r>
        <w:rPr>
          <w:spacing w:val="-13"/>
        </w:rPr>
        <w:t> </w:t>
      </w:r>
      <w:r>
        <w:rPr/>
        <w:t>в нахождении баланса между культурами (</w:t>
      </w:r>
      <w:r>
        <w:rPr>
          <w:i/>
        </w:rPr>
        <w:t>Ушакова</w:t>
      </w:r>
      <w:r>
        <w:rPr/>
        <w:t>, 2014).</w:t>
      </w:r>
    </w:p>
    <w:p>
      <w:pPr>
        <w:pStyle w:val="Heading4"/>
        <w:spacing w:before="241"/>
        <w:ind w:right="565"/>
      </w:pPr>
      <w:r>
        <w:rPr/>
        <w:t>По результатам апробации в 2022 г.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w:t>
      </w:r>
      <w:r>
        <w:rPr>
          <w:spacing w:val="-6"/>
        </w:rPr>
        <w:t> </w:t>
      </w:r>
      <w:r>
        <w:rPr/>
        <w:t>на</w:t>
      </w:r>
      <w:r>
        <w:rPr>
          <w:spacing w:val="-5"/>
        </w:rPr>
        <w:t> </w:t>
      </w:r>
      <w:r>
        <w:rPr/>
        <w:t>основании</w:t>
      </w:r>
      <w:r>
        <w:rPr>
          <w:spacing w:val="-5"/>
        </w:rPr>
        <w:t> </w:t>
      </w:r>
      <w:r>
        <w:rPr/>
        <w:t>статистического</w:t>
      </w:r>
      <w:r>
        <w:rPr>
          <w:spacing w:val="-4"/>
        </w:rPr>
        <w:t> </w:t>
      </w:r>
      <w:r>
        <w:rPr/>
        <w:t>анализа</w:t>
      </w:r>
      <w:r>
        <w:rPr>
          <w:spacing w:val="-6"/>
        </w:rPr>
        <w:t> </w:t>
      </w:r>
      <w:r>
        <w:rPr/>
        <w:t>распределения</w:t>
      </w:r>
      <w:r>
        <w:rPr>
          <w:spacing w:val="-8"/>
        </w:rPr>
        <w:t> </w:t>
      </w:r>
      <w:r>
        <w:rPr/>
        <w:t>показателей у детей — иностранных граждан, выделены следующие нормативы.</w:t>
      </w:r>
    </w:p>
    <w:p>
      <w:pPr>
        <w:pStyle w:val="Heading4"/>
        <w:spacing w:after="0"/>
        <w:sectPr>
          <w:pgSz w:w="11910" w:h="16840"/>
          <w:pgMar w:header="0" w:footer="970" w:top="1040" w:bottom="1220" w:left="1417" w:right="283"/>
        </w:sectPr>
      </w:pPr>
    </w:p>
    <w:p>
      <w:pPr>
        <w:pStyle w:val="Heading3"/>
        <w:ind w:left="0" w:right="564"/>
        <w:jc w:val="right"/>
      </w:pPr>
      <w:r>
        <w:rPr/>
        <w:t>Таблица</w:t>
      </w:r>
      <w:r>
        <w:rPr>
          <w:spacing w:val="-6"/>
        </w:rPr>
        <w:t> </w:t>
      </w:r>
      <w:r>
        <w:rPr>
          <w:spacing w:val="-5"/>
        </w:rPr>
        <w:t>28</w:t>
      </w:r>
    </w:p>
    <w:p>
      <w:pPr>
        <w:spacing w:line="235" w:lineRule="auto" w:before="246"/>
        <w:ind w:left="1021" w:right="0" w:firstLine="249"/>
        <w:jc w:val="left"/>
        <w:rPr>
          <w:b/>
          <w:sz w:val="28"/>
        </w:rPr>
      </w:pPr>
      <w:r>
        <w:rPr>
          <w:b/>
          <w:sz w:val="28"/>
        </w:rPr>
        <w:t>Пересмотренные критерии оценки по шкале на выборках несовершеннолетних</w:t>
      </w:r>
      <w:r>
        <w:rPr>
          <w:b/>
          <w:spacing w:val="-5"/>
          <w:sz w:val="28"/>
        </w:rPr>
        <w:t> </w:t>
      </w:r>
      <w:r>
        <w:rPr>
          <w:b/>
          <w:sz w:val="28"/>
        </w:rPr>
        <w:t>детей</w:t>
      </w:r>
      <w:r>
        <w:rPr>
          <w:b/>
          <w:spacing w:val="-5"/>
          <w:sz w:val="28"/>
        </w:rPr>
        <w:t> </w:t>
      </w:r>
      <w:r>
        <w:rPr>
          <w:sz w:val="28"/>
        </w:rPr>
        <w:t>—</w:t>
      </w:r>
      <w:r>
        <w:rPr>
          <w:spacing w:val="-7"/>
          <w:sz w:val="28"/>
        </w:rPr>
        <w:t> </w:t>
      </w:r>
      <w:r>
        <w:rPr>
          <w:b/>
          <w:sz w:val="28"/>
        </w:rPr>
        <w:t>иностранных</w:t>
      </w:r>
      <w:r>
        <w:rPr>
          <w:b/>
          <w:spacing w:val="-5"/>
          <w:sz w:val="28"/>
        </w:rPr>
        <w:t> </w:t>
      </w:r>
      <w:r>
        <w:rPr>
          <w:b/>
          <w:sz w:val="28"/>
        </w:rPr>
        <w:t>граждан</w:t>
      </w:r>
      <w:r>
        <w:rPr>
          <w:b/>
          <w:spacing w:val="-6"/>
          <w:sz w:val="28"/>
        </w:rPr>
        <w:t> </w:t>
      </w:r>
      <w:r>
        <w:rPr>
          <w:b/>
          <w:sz w:val="28"/>
        </w:rPr>
        <w:t>в</w:t>
      </w:r>
      <w:r>
        <w:rPr>
          <w:b/>
          <w:spacing w:val="-7"/>
          <w:sz w:val="28"/>
        </w:rPr>
        <w:t> </w:t>
      </w:r>
      <w:r>
        <w:rPr>
          <w:b/>
          <w:sz w:val="28"/>
        </w:rPr>
        <w:t>России</w:t>
      </w:r>
    </w:p>
    <w:p>
      <w:pPr>
        <w:pStyle w:val="BodyText"/>
        <w:ind w:left="0" w:right="0" w:firstLine="0"/>
        <w:jc w:val="left"/>
        <w:rPr>
          <w:b/>
        </w:rPr>
      </w:pPr>
    </w:p>
    <w:p>
      <w:pPr>
        <w:pStyle w:val="BodyText"/>
        <w:ind w:left="0" w:right="0" w:firstLine="0"/>
        <w:jc w:val="left"/>
        <w:rPr>
          <w:b/>
        </w:rPr>
      </w:pPr>
    </w:p>
    <w:p>
      <w:pPr>
        <w:pStyle w:val="BodyText"/>
        <w:spacing w:before="120"/>
        <w:ind w:left="0" w:right="0" w:firstLine="0"/>
        <w:jc w:val="left"/>
        <w:rPr>
          <w:b/>
        </w:rPr>
      </w:pPr>
    </w:p>
    <w:tbl>
      <w:tblPr>
        <w:tblW w:w="0" w:type="auto"/>
        <w:jc w:val="left"/>
        <w:tblInd w:w="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66"/>
        <w:gridCol w:w="1256"/>
        <w:gridCol w:w="1416"/>
        <w:gridCol w:w="1419"/>
        <w:gridCol w:w="1278"/>
        <w:gridCol w:w="1275"/>
        <w:gridCol w:w="1278"/>
      </w:tblGrid>
      <w:tr>
        <w:trPr>
          <w:trHeight w:val="762" w:hRule="atLeast"/>
        </w:trPr>
        <w:tc>
          <w:tcPr>
            <w:tcW w:w="1966" w:type="dxa"/>
          </w:tcPr>
          <w:p>
            <w:pPr>
              <w:pStyle w:val="TableParagraph"/>
              <w:rPr>
                <w:sz w:val="26"/>
              </w:rPr>
            </w:pPr>
          </w:p>
        </w:tc>
        <w:tc>
          <w:tcPr>
            <w:tcW w:w="2672" w:type="dxa"/>
            <w:gridSpan w:val="2"/>
          </w:tcPr>
          <w:p>
            <w:pPr>
              <w:pStyle w:val="TableParagraph"/>
              <w:spacing w:before="61"/>
              <w:rPr>
                <w:b/>
                <w:sz w:val="24"/>
              </w:rPr>
            </w:pPr>
          </w:p>
          <w:p>
            <w:pPr>
              <w:pStyle w:val="TableParagraph"/>
              <w:ind w:left="736"/>
              <w:rPr>
                <w:b/>
                <w:sz w:val="24"/>
              </w:rPr>
            </w:pPr>
            <w:r>
              <w:rPr>
                <w:b/>
                <w:spacing w:val="-2"/>
                <w:sz w:val="24"/>
              </w:rPr>
              <w:t>Сепарация</w:t>
            </w:r>
          </w:p>
        </w:tc>
        <w:tc>
          <w:tcPr>
            <w:tcW w:w="2697" w:type="dxa"/>
            <w:gridSpan w:val="2"/>
          </w:tcPr>
          <w:p>
            <w:pPr>
              <w:pStyle w:val="TableParagraph"/>
              <w:spacing w:before="61"/>
              <w:rPr>
                <w:b/>
                <w:sz w:val="24"/>
              </w:rPr>
            </w:pPr>
          </w:p>
          <w:p>
            <w:pPr>
              <w:pStyle w:val="TableParagraph"/>
              <w:ind w:left="402"/>
              <w:rPr>
                <w:b/>
                <w:sz w:val="24"/>
              </w:rPr>
            </w:pPr>
            <w:r>
              <w:rPr>
                <w:b/>
                <w:spacing w:val="-2"/>
                <w:sz w:val="24"/>
              </w:rPr>
              <w:t>Маргинализация</w:t>
            </w:r>
          </w:p>
        </w:tc>
        <w:tc>
          <w:tcPr>
            <w:tcW w:w="2553" w:type="dxa"/>
            <w:gridSpan w:val="2"/>
          </w:tcPr>
          <w:p>
            <w:pPr>
              <w:pStyle w:val="TableParagraph"/>
              <w:spacing w:before="61"/>
              <w:rPr>
                <w:b/>
                <w:sz w:val="24"/>
              </w:rPr>
            </w:pPr>
          </w:p>
          <w:p>
            <w:pPr>
              <w:pStyle w:val="TableParagraph"/>
              <w:ind w:left="612"/>
              <w:rPr>
                <w:b/>
                <w:sz w:val="24"/>
              </w:rPr>
            </w:pPr>
            <w:r>
              <w:rPr>
                <w:b/>
                <w:spacing w:val="-2"/>
                <w:sz w:val="24"/>
              </w:rPr>
              <w:t>Интеграция</w:t>
            </w:r>
          </w:p>
        </w:tc>
      </w:tr>
      <w:tr>
        <w:trPr>
          <w:trHeight w:val="1763" w:hRule="atLeast"/>
        </w:trPr>
        <w:tc>
          <w:tcPr>
            <w:tcW w:w="1966" w:type="dxa"/>
          </w:tcPr>
          <w:p>
            <w:pPr>
              <w:pStyle w:val="TableParagraph"/>
              <w:rPr>
                <w:sz w:val="26"/>
              </w:rPr>
            </w:pPr>
          </w:p>
        </w:tc>
        <w:tc>
          <w:tcPr>
            <w:tcW w:w="1256" w:type="dxa"/>
          </w:tcPr>
          <w:p>
            <w:pPr>
              <w:pStyle w:val="TableParagraph"/>
              <w:spacing w:before="37"/>
              <w:rPr>
                <w:b/>
                <w:sz w:val="24"/>
              </w:rPr>
            </w:pPr>
          </w:p>
          <w:p>
            <w:pPr>
              <w:pStyle w:val="TableParagraph"/>
              <w:ind w:left="217" w:right="120" w:hanging="77"/>
              <w:rPr>
                <w:sz w:val="24"/>
              </w:rPr>
            </w:pPr>
            <w:r>
              <w:rPr>
                <w:spacing w:val="-2"/>
                <w:sz w:val="24"/>
              </w:rPr>
              <w:t>Начальна </w:t>
            </w:r>
            <w:r>
              <w:rPr>
                <w:sz w:val="24"/>
              </w:rPr>
              <w:t>я школа</w:t>
            </w:r>
          </w:p>
          <w:p>
            <w:pPr>
              <w:pStyle w:val="TableParagraph"/>
              <w:spacing w:before="241"/>
              <w:ind w:left="152"/>
              <w:rPr>
                <w:sz w:val="24"/>
              </w:rPr>
            </w:pPr>
            <w:r>
              <w:rPr>
                <w:sz w:val="24"/>
              </w:rPr>
              <w:t>(N</w:t>
            </w:r>
            <w:r>
              <w:rPr>
                <w:spacing w:val="-2"/>
                <w:sz w:val="24"/>
              </w:rPr>
              <w:t> </w:t>
            </w:r>
            <w:r>
              <w:rPr>
                <w:sz w:val="24"/>
              </w:rPr>
              <w:t>=</w:t>
            </w:r>
            <w:r>
              <w:rPr>
                <w:spacing w:val="-1"/>
                <w:sz w:val="24"/>
              </w:rPr>
              <w:t> </w:t>
            </w:r>
            <w:r>
              <w:rPr>
                <w:spacing w:val="-4"/>
                <w:sz w:val="24"/>
              </w:rPr>
              <w:t>331)</w:t>
            </w:r>
          </w:p>
        </w:tc>
        <w:tc>
          <w:tcPr>
            <w:tcW w:w="1416" w:type="dxa"/>
          </w:tcPr>
          <w:p>
            <w:pPr>
              <w:pStyle w:val="TableParagraph"/>
              <w:spacing w:before="37"/>
              <w:rPr>
                <w:b/>
                <w:sz w:val="24"/>
              </w:rPr>
            </w:pPr>
          </w:p>
          <w:p>
            <w:pPr>
              <w:pStyle w:val="TableParagraph"/>
              <w:ind w:left="16"/>
              <w:jc w:val="center"/>
              <w:rPr>
                <w:sz w:val="24"/>
              </w:rPr>
            </w:pPr>
            <w:r>
              <w:rPr>
                <w:sz w:val="24"/>
              </w:rPr>
              <w:t>Средняя</w:t>
            </w:r>
            <w:r>
              <w:rPr>
                <w:spacing w:val="-15"/>
                <w:sz w:val="24"/>
              </w:rPr>
              <w:t> </w:t>
            </w:r>
            <w:r>
              <w:rPr>
                <w:sz w:val="24"/>
              </w:rPr>
              <w:t>и </w:t>
            </w:r>
            <w:r>
              <w:rPr>
                <w:spacing w:val="-2"/>
                <w:sz w:val="24"/>
              </w:rPr>
              <w:t>старшая школа</w:t>
            </w:r>
          </w:p>
          <w:p>
            <w:pPr>
              <w:pStyle w:val="TableParagraph"/>
              <w:spacing w:before="241"/>
              <w:ind w:left="16" w:right="3"/>
              <w:jc w:val="center"/>
              <w:rPr>
                <w:sz w:val="24"/>
              </w:rPr>
            </w:pPr>
            <w:r>
              <w:rPr>
                <w:sz w:val="24"/>
              </w:rPr>
              <w:t>(N</w:t>
            </w:r>
            <w:r>
              <w:rPr>
                <w:spacing w:val="-2"/>
                <w:sz w:val="24"/>
              </w:rPr>
              <w:t> </w:t>
            </w:r>
            <w:r>
              <w:rPr>
                <w:sz w:val="24"/>
              </w:rPr>
              <w:t>=</w:t>
            </w:r>
            <w:r>
              <w:rPr>
                <w:spacing w:val="-1"/>
                <w:sz w:val="24"/>
              </w:rPr>
              <w:t> </w:t>
            </w:r>
            <w:r>
              <w:rPr>
                <w:spacing w:val="-4"/>
                <w:sz w:val="24"/>
              </w:rPr>
              <w:t>336)</w:t>
            </w:r>
          </w:p>
        </w:tc>
        <w:tc>
          <w:tcPr>
            <w:tcW w:w="1419" w:type="dxa"/>
            <w:tcBorders>
              <w:right w:val="single" w:sz="4" w:space="0" w:color="000000"/>
            </w:tcBorders>
          </w:tcPr>
          <w:p>
            <w:pPr>
              <w:pStyle w:val="TableParagraph"/>
              <w:spacing w:before="37"/>
              <w:rPr>
                <w:b/>
                <w:sz w:val="24"/>
              </w:rPr>
            </w:pPr>
          </w:p>
          <w:p>
            <w:pPr>
              <w:pStyle w:val="TableParagraph"/>
              <w:ind w:left="12"/>
              <w:jc w:val="center"/>
              <w:rPr>
                <w:sz w:val="24"/>
              </w:rPr>
            </w:pPr>
            <w:r>
              <w:rPr>
                <w:spacing w:val="-2"/>
                <w:sz w:val="24"/>
              </w:rPr>
              <w:t>Начальная школа</w:t>
            </w:r>
          </w:p>
          <w:p>
            <w:pPr>
              <w:pStyle w:val="TableParagraph"/>
              <w:spacing w:before="241"/>
              <w:ind w:left="12" w:right="1"/>
              <w:jc w:val="center"/>
              <w:rPr>
                <w:sz w:val="24"/>
              </w:rPr>
            </w:pPr>
            <w:r>
              <w:rPr>
                <w:sz w:val="24"/>
              </w:rPr>
              <w:t>(N</w:t>
            </w:r>
            <w:r>
              <w:rPr>
                <w:spacing w:val="-2"/>
                <w:sz w:val="24"/>
              </w:rPr>
              <w:t> </w:t>
            </w:r>
            <w:r>
              <w:rPr>
                <w:sz w:val="24"/>
              </w:rPr>
              <w:t>=</w:t>
            </w:r>
            <w:r>
              <w:rPr>
                <w:spacing w:val="-1"/>
                <w:sz w:val="24"/>
              </w:rPr>
              <w:t> </w:t>
            </w:r>
            <w:r>
              <w:rPr>
                <w:spacing w:val="-4"/>
                <w:sz w:val="24"/>
              </w:rPr>
              <w:t>315)</w:t>
            </w:r>
          </w:p>
        </w:tc>
        <w:tc>
          <w:tcPr>
            <w:tcW w:w="1278" w:type="dxa"/>
            <w:tcBorders>
              <w:left w:val="single" w:sz="4" w:space="0" w:color="000000"/>
            </w:tcBorders>
          </w:tcPr>
          <w:p>
            <w:pPr>
              <w:pStyle w:val="TableParagraph"/>
              <w:spacing w:before="37"/>
              <w:rPr>
                <w:b/>
                <w:sz w:val="24"/>
              </w:rPr>
            </w:pPr>
          </w:p>
          <w:p>
            <w:pPr>
              <w:pStyle w:val="TableParagraph"/>
              <w:ind w:left="21" w:right="1"/>
              <w:jc w:val="center"/>
              <w:rPr>
                <w:sz w:val="24"/>
              </w:rPr>
            </w:pPr>
            <w:r>
              <w:rPr>
                <w:sz w:val="24"/>
              </w:rPr>
              <w:t>Средняя</w:t>
            </w:r>
            <w:r>
              <w:rPr>
                <w:spacing w:val="-15"/>
                <w:sz w:val="24"/>
              </w:rPr>
              <w:t> </w:t>
            </w:r>
            <w:r>
              <w:rPr>
                <w:sz w:val="24"/>
              </w:rPr>
              <w:t>и </w:t>
            </w:r>
            <w:r>
              <w:rPr>
                <w:spacing w:val="-2"/>
                <w:sz w:val="24"/>
              </w:rPr>
              <w:t>старшая школа</w:t>
            </w:r>
          </w:p>
          <w:p>
            <w:pPr>
              <w:pStyle w:val="TableParagraph"/>
              <w:spacing w:before="241"/>
              <w:ind w:left="21" w:right="4"/>
              <w:jc w:val="center"/>
              <w:rPr>
                <w:sz w:val="24"/>
              </w:rPr>
            </w:pPr>
            <w:r>
              <w:rPr>
                <w:sz w:val="24"/>
              </w:rPr>
              <w:t>(N</w:t>
            </w:r>
            <w:r>
              <w:rPr>
                <w:spacing w:val="-2"/>
                <w:sz w:val="24"/>
              </w:rPr>
              <w:t> </w:t>
            </w:r>
            <w:r>
              <w:rPr>
                <w:sz w:val="24"/>
              </w:rPr>
              <w:t>=</w:t>
            </w:r>
            <w:r>
              <w:rPr>
                <w:spacing w:val="-1"/>
                <w:sz w:val="24"/>
              </w:rPr>
              <w:t> </w:t>
            </w:r>
            <w:r>
              <w:rPr>
                <w:spacing w:val="-4"/>
                <w:sz w:val="24"/>
              </w:rPr>
              <w:t>341)</w:t>
            </w:r>
          </w:p>
        </w:tc>
        <w:tc>
          <w:tcPr>
            <w:tcW w:w="1275" w:type="dxa"/>
          </w:tcPr>
          <w:p>
            <w:pPr>
              <w:pStyle w:val="TableParagraph"/>
              <w:spacing w:before="37"/>
              <w:rPr>
                <w:b/>
                <w:sz w:val="24"/>
              </w:rPr>
            </w:pPr>
          </w:p>
          <w:p>
            <w:pPr>
              <w:pStyle w:val="TableParagraph"/>
              <w:ind w:left="223" w:right="135" w:hanging="77"/>
              <w:rPr>
                <w:sz w:val="24"/>
              </w:rPr>
            </w:pPr>
            <w:r>
              <w:rPr>
                <w:spacing w:val="-2"/>
                <w:sz w:val="24"/>
              </w:rPr>
              <w:t>Начальна </w:t>
            </w:r>
            <w:r>
              <w:rPr>
                <w:sz w:val="24"/>
              </w:rPr>
              <w:t>я школа</w:t>
            </w:r>
          </w:p>
          <w:p>
            <w:pPr>
              <w:pStyle w:val="TableParagraph"/>
              <w:spacing w:before="241"/>
              <w:ind w:left="190"/>
              <w:rPr>
                <w:sz w:val="24"/>
              </w:rPr>
            </w:pPr>
            <w:r>
              <w:rPr>
                <w:sz w:val="24"/>
              </w:rPr>
              <w:t>(N</w:t>
            </w:r>
            <w:r>
              <w:rPr>
                <w:spacing w:val="-2"/>
                <w:sz w:val="24"/>
              </w:rPr>
              <w:t> =315)</w:t>
            </w:r>
          </w:p>
        </w:tc>
        <w:tc>
          <w:tcPr>
            <w:tcW w:w="1278" w:type="dxa"/>
          </w:tcPr>
          <w:p>
            <w:pPr>
              <w:pStyle w:val="TableParagraph"/>
              <w:spacing w:before="37"/>
              <w:rPr>
                <w:b/>
                <w:sz w:val="24"/>
              </w:rPr>
            </w:pPr>
          </w:p>
          <w:p>
            <w:pPr>
              <w:pStyle w:val="TableParagraph"/>
              <w:ind w:left="13" w:right="1"/>
              <w:jc w:val="center"/>
              <w:rPr>
                <w:sz w:val="24"/>
              </w:rPr>
            </w:pPr>
            <w:r>
              <w:rPr>
                <w:sz w:val="24"/>
              </w:rPr>
              <w:t>Средняя</w:t>
            </w:r>
            <w:r>
              <w:rPr>
                <w:spacing w:val="-15"/>
                <w:sz w:val="24"/>
              </w:rPr>
              <w:t> </w:t>
            </w:r>
            <w:r>
              <w:rPr>
                <w:sz w:val="24"/>
              </w:rPr>
              <w:t>и </w:t>
            </w:r>
            <w:r>
              <w:rPr>
                <w:spacing w:val="-2"/>
                <w:sz w:val="24"/>
              </w:rPr>
              <w:t>старшая школа</w:t>
            </w:r>
          </w:p>
          <w:p>
            <w:pPr>
              <w:pStyle w:val="TableParagraph"/>
              <w:spacing w:before="241"/>
              <w:ind w:left="13" w:right="1"/>
              <w:jc w:val="center"/>
              <w:rPr>
                <w:sz w:val="24"/>
              </w:rPr>
            </w:pPr>
            <w:r>
              <w:rPr>
                <w:sz w:val="24"/>
              </w:rPr>
              <w:t>(N</w:t>
            </w:r>
            <w:r>
              <w:rPr>
                <w:spacing w:val="-2"/>
                <w:sz w:val="24"/>
              </w:rPr>
              <w:t> =341)</w:t>
            </w:r>
          </w:p>
        </w:tc>
      </w:tr>
      <w:tr>
        <w:trPr>
          <w:trHeight w:val="697" w:hRule="atLeast"/>
        </w:trPr>
        <w:tc>
          <w:tcPr>
            <w:tcW w:w="1966" w:type="dxa"/>
          </w:tcPr>
          <w:p>
            <w:pPr>
              <w:pStyle w:val="TableParagraph"/>
              <w:spacing w:before="37"/>
              <w:rPr>
                <w:b/>
                <w:sz w:val="24"/>
              </w:rPr>
            </w:pPr>
          </w:p>
          <w:p>
            <w:pPr>
              <w:pStyle w:val="TableParagraph"/>
              <w:ind w:left="100"/>
              <w:rPr>
                <w:sz w:val="24"/>
              </w:rPr>
            </w:pPr>
            <w:r>
              <w:rPr>
                <w:sz w:val="24"/>
              </w:rPr>
              <w:t>Норма</w:t>
            </w:r>
            <w:r>
              <w:rPr>
                <w:spacing w:val="-3"/>
                <w:sz w:val="24"/>
              </w:rPr>
              <w:t> </w:t>
            </w:r>
            <w:r>
              <w:rPr>
                <w:spacing w:val="-2"/>
                <w:sz w:val="24"/>
              </w:rPr>
              <w:t>(80%)</w:t>
            </w:r>
          </w:p>
        </w:tc>
        <w:tc>
          <w:tcPr>
            <w:tcW w:w="1256" w:type="dxa"/>
          </w:tcPr>
          <w:p>
            <w:pPr>
              <w:pStyle w:val="TableParagraph"/>
              <w:spacing w:before="37"/>
              <w:rPr>
                <w:b/>
                <w:sz w:val="24"/>
              </w:rPr>
            </w:pPr>
          </w:p>
          <w:p>
            <w:pPr>
              <w:pStyle w:val="TableParagraph"/>
              <w:ind w:left="16"/>
              <w:jc w:val="center"/>
              <w:rPr>
                <w:sz w:val="24"/>
              </w:rPr>
            </w:pPr>
            <w:r>
              <w:rPr>
                <w:spacing w:val="-5"/>
                <w:sz w:val="24"/>
              </w:rPr>
              <w:t>0–1</w:t>
            </w:r>
          </w:p>
        </w:tc>
        <w:tc>
          <w:tcPr>
            <w:tcW w:w="1416" w:type="dxa"/>
          </w:tcPr>
          <w:p>
            <w:pPr>
              <w:pStyle w:val="TableParagraph"/>
              <w:spacing w:before="37"/>
              <w:rPr>
                <w:b/>
                <w:sz w:val="24"/>
              </w:rPr>
            </w:pPr>
          </w:p>
          <w:p>
            <w:pPr>
              <w:pStyle w:val="TableParagraph"/>
              <w:ind w:left="16" w:right="3"/>
              <w:jc w:val="center"/>
              <w:rPr>
                <w:sz w:val="24"/>
              </w:rPr>
            </w:pPr>
            <w:r>
              <w:rPr>
                <w:spacing w:val="-10"/>
                <w:sz w:val="24"/>
              </w:rPr>
              <w:t>0</w:t>
            </w:r>
          </w:p>
        </w:tc>
        <w:tc>
          <w:tcPr>
            <w:tcW w:w="1419" w:type="dxa"/>
            <w:tcBorders>
              <w:right w:val="single" w:sz="4" w:space="0" w:color="000000"/>
            </w:tcBorders>
          </w:tcPr>
          <w:p>
            <w:pPr>
              <w:pStyle w:val="TableParagraph"/>
              <w:spacing w:before="37"/>
              <w:rPr>
                <w:b/>
                <w:sz w:val="24"/>
              </w:rPr>
            </w:pPr>
          </w:p>
          <w:p>
            <w:pPr>
              <w:pStyle w:val="TableParagraph"/>
              <w:ind w:left="12" w:right="2"/>
              <w:jc w:val="center"/>
              <w:rPr>
                <w:sz w:val="24"/>
              </w:rPr>
            </w:pPr>
            <w:r>
              <w:rPr>
                <w:sz w:val="24"/>
              </w:rPr>
              <w:t>&lt;</w:t>
            </w:r>
            <w:r>
              <w:rPr>
                <w:spacing w:val="-1"/>
                <w:sz w:val="24"/>
              </w:rPr>
              <w:t> </w:t>
            </w:r>
            <w:r>
              <w:rPr>
                <w:spacing w:val="-4"/>
                <w:sz w:val="24"/>
              </w:rPr>
              <w:t>5,04</w:t>
            </w:r>
          </w:p>
        </w:tc>
        <w:tc>
          <w:tcPr>
            <w:tcW w:w="1278" w:type="dxa"/>
            <w:tcBorders>
              <w:left w:val="single" w:sz="4" w:space="0" w:color="000000"/>
            </w:tcBorders>
          </w:tcPr>
          <w:p>
            <w:pPr>
              <w:pStyle w:val="TableParagraph"/>
              <w:spacing w:before="37"/>
              <w:rPr>
                <w:b/>
                <w:sz w:val="24"/>
              </w:rPr>
            </w:pPr>
          </w:p>
          <w:p>
            <w:pPr>
              <w:pStyle w:val="TableParagraph"/>
              <w:ind w:left="21"/>
              <w:jc w:val="center"/>
              <w:rPr>
                <w:sz w:val="24"/>
              </w:rPr>
            </w:pPr>
            <w:r>
              <w:rPr>
                <w:sz w:val="24"/>
              </w:rPr>
              <w:t>&lt;</w:t>
            </w:r>
            <w:r>
              <w:rPr>
                <w:spacing w:val="-1"/>
                <w:sz w:val="24"/>
              </w:rPr>
              <w:t> </w:t>
            </w:r>
            <w:r>
              <w:rPr>
                <w:spacing w:val="-4"/>
                <w:sz w:val="24"/>
              </w:rPr>
              <w:t>5,19</w:t>
            </w:r>
          </w:p>
        </w:tc>
        <w:tc>
          <w:tcPr>
            <w:tcW w:w="1275" w:type="dxa"/>
          </w:tcPr>
          <w:p>
            <w:pPr>
              <w:pStyle w:val="TableParagraph"/>
              <w:spacing w:before="37"/>
              <w:rPr>
                <w:b/>
                <w:sz w:val="24"/>
              </w:rPr>
            </w:pPr>
          </w:p>
          <w:p>
            <w:pPr>
              <w:pStyle w:val="TableParagraph"/>
              <w:ind w:left="13"/>
              <w:jc w:val="center"/>
              <w:rPr>
                <w:sz w:val="24"/>
              </w:rPr>
            </w:pPr>
            <w:r>
              <w:rPr>
                <w:spacing w:val="-5"/>
                <w:sz w:val="24"/>
              </w:rPr>
              <w:t>0–1</w:t>
            </w:r>
          </w:p>
        </w:tc>
        <w:tc>
          <w:tcPr>
            <w:tcW w:w="1278" w:type="dxa"/>
          </w:tcPr>
          <w:p>
            <w:pPr>
              <w:pStyle w:val="TableParagraph"/>
              <w:spacing w:before="37"/>
              <w:rPr>
                <w:b/>
                <w:sz w:val="24"/>
              </w:rPr>
            </w:pPr>
          </w:p>
          <w:p>
            <w:pPr>
              <w:pStyle w:val="TableParagraph"/>
              <w:ind w:left="13"/>
              <w:jc w:val="center"/>
              <w:rPr>
                <w:sz w:val="24"/>
              </w:rPr>
            </w:pPr>
            <w:r>
              <w:rPr>
                <w:spacing w:val="-10"/>
                <w:sz w:val="24"/>
              </w:rPr>
              <w:t>0</w:t>
            </w:r>
          </w:p>
        </w:tc>
      </w:tr>
      <w:tr>
        <w:trPr>
          <w:trHeight w:val="971" w:hRule="atLeast"/>
        </w:trPr>
        <w:tc>
          <w:tcPr>
            <w:tcW w:w="1966" w:type="dxa"/>
          </w:tcPr>
          <w:p>
            <w:pPr>
              <w:pStyle w:val="TableParagraph"/>
              <w:spacing w:before="34"/>
              <w:rPr>
                <w:b/>
                <w:sz w:val="24"/>
              </w:rPr>
            </w:pPr>
          </w:p>
          <w:p>
            <w:pPr>
              <w:pStyle w:val="TableParagraph"/>
              <w:ind w:left="100" w:right="478"/>
              <w:rPr>
                <w:sz w:val="24"/>
              </w:rPr>
            </w:pPr>
            <w:r>
              <w:rPr>
                <w:spacing w:val="-2"/>
                <w:sz w:val="24"/>
              </w:rPr>
              <w:t>Пограничная </w:t>
            </w:r>
            <w:r>
              <w:rPr>
                <w:sz w:val="24"/>
              </w:rPr>
              <w:t>группа</w:t>
            </w:r>
            <w:r>
              <w:rPr>
                <w:spacing w:val="-4"/>
                <w:sz w:val="24"/>
              </w:rPr>
              <w:t> </w:t>
            </w:r>
            <w:r>
              <w:rPr>
                <w:spacing w:val="-2"/>
                <w:sz w:val="24"/>
              </w:rPr>
              <w:t>(10%)</w:t>
            </w:r>
          </w:p>
        </w:tc>
        <w:tc>
          <w:tcPr>
            <w:tcW w:w="1256" w:type="dxa"/>
          </w:tcPr>
          <w:p>
            <w:pPr>
              <w:pStyle w:val="TableParagraph"/>
              <w:spacing w:before="34"/>
              <w:rPr>
                <w:b/>
                <w:sz w:val="24"/>
              </w:rPr>
            </w:pPr>
          </w:p>
          <w:p>
            <w:pPr>
              <w:pStyle w:val="TableParagraph"/>
              <w:ind w:left="16"/>
              <w:jc w:val="center"/>
              <w:rPr>
                <w:sz w:val="24"/>
              </w:rPr>
            </w:pPr>
            <w:r>
              <w:rPr>
                <w:spacing w:val="-5"/>
                <w:sz w:val="24"/>
              </w:rPr>
              <w:t>2–3</w:t>
            </w:r>
          </w:p>
        </w:tc>
        <w:tc>
          <w:tcPr>
            <w:tcW w:w="1416" w:type="dxa"/>
          </w:tcPr>
          <w:p>
            <w:pPr>
              <w:pStyle w:val="TableParagraph"/>
              <w:spacing w:before="34"/>
              <w:rPr>
                <w:b/>
                <w:sz w:val="24"/>
              </w:rPr>
            </w:pPr>
          </w:p>
          <w:p>
            <w:pPr>
              <w:pStyle w:val="TableParagraph"/>
              <w:ind w:left="16" w:right="1"/>
              <w:jc w:val="center"/>
              <w:rPr>
                <w:sz w:val="24"/>
              </w:rPr>
            </w:pPr>
            <w:r>
              <w:rPr>
                <w:spacing w:val="-2"/>
                <w:sz w:val="24"/>
              </w:rPr>
              <w:t>1-</w:t>
            </w:r>
            <w:r>
              <w:rPr>
                <w:spacing w:val="-10"/>
                <w:sz w:val="24"/>
              </w:rPr>
              <w:t>2</w:t>
            </w:r>
          </w:p>
        </w:tc>
        <w:tc>
          <w:tcPr>
            <w:tcW w:w="1419" w:type="dxa"/>
            <w:tcBorders>
              <w:right w:val="single" w:sz="4" w:space="0" w:color="000000"/>
            </w:tcBorders>
          </w:tcPr>
          <w:p>
            <w:pPr>
              <w:pStyle w:val="TableParagraph"/>
              <w:spacing w:before="34"/>
              <w:rPr>
                <w:b/>
                <w:sz w:val="24"/>
              </w:rPr>
            </w:pPr>
          </w:p>
          <w:p>
            <w:pPr>
              <w:pStyle w:val="TableParagraph"/>
              <w:ind w:left="12" w:right="2"/>
              <w:jc w:val="center"/>
              <w:rPr>
                <w:sz w:val="24"/>
              </w:rPr>
            </w:pPr>
            <w:r>
              <w:rPr>
                <w:sz w:val="24"/>
              </w:rPr>
              <w:t>5,04 – </w:t>
            </w:r>
            <w:r>
              <w:rPr>
                <w:spacing w:val="-2"/>
                <w:sz w:val="24"/>
              </w:rPr>
              <w:t>11,96</w:t>
            </w:r>
          </w:p>
        </w:tc>
        <w:tc>
          <w:tcPr>
            <w:tcW w:w="1278" w:type="dxa"/>
            <w:tcBorders>
              <w:left w:val="single" w:sz="4" w:space="0" w:color="000000"/>
            </w:tcBorders>
          </w:tcPr>
          <w:p>
            <w:pPr>
              <w:pStyle w:val="TableParagraph"/>
              <w:spacing w:before="34"/>
              <w:rPr>
                <w:b/>
                <w:sz w:val="24"/>
              </w:rPr>
            </w:pPr>
          </w:p>
          <w:p>
            <w:pPr>
              <w:pStyle w:val="TableParagraph"/>
              <w:ind w:left="342"/>
              <w:rPr>
                <w:sz w:val="24"/>
              </w:rPr>
            </w:pPr>
            <w:r>
              <w:rPr>
                <w:sz w:val="24"/>
              </w:rPr>
              <w:t>5,19 </w:t>
            </w:r>
            <w:r>
              <w:rPr>
                <w:spacing w:val="-10"/>
                <w:sz w:val="24"/>
              </w:rPr>
              <w:t>–</w:t>
            </w:r>
          </w:p>
          <w:p>
            <w:pPr>
              <w:pStyle w:val="TableParagraph"/>
              <w:ind w:left="370"/>
              <w:rPr>
                <w:sz w:val="24"/>
              </w:rPr>
            </w:pPr>
            <w:r>
              <w:rPr>
                <w:spacing w:val="-2"/>
                <w:sz w:val="24"/>
              </w:rPr>
              <w:t>12,09</w:t>
            </w:r>
          </w:p>
        </w:tc>
        <w:tc>
          <w:tcPr>
            <w:tcW w:w="1275" w:type="dxa"/>
          </w:tcPr>
          <w:p>
            <w:pPr>
              <w:pStyle w:val="TableParagraph"/>
              <w:spacing w:before="34"/>
              <w:rPr>
                <w:b/>
                <w:sz w:val="24"/>
              </w:rPr>
            </w:pPr>
          </w:p>
          <w:p>
            <w:pPr>
              <w:pStyle w:val="TableParagraph"/>
              <w:ind w:left="13"/>
              <w:jc w:val="center"/>
              <w:rPr>
                <w:sz w:val="24"/>
              </w:rPr>
            </w:pPr>
            <w:r>
              <w:rPr>
                <w:spacing w:val="-5"/>
                <w:sz w:val="24"/>
              </w:rPr>
              <w:t>2–3</w:t>
            </w:r>
          </w:p>
        </w:tc>
        <w:tc>
          <w:tcPr>
            <w:tcW w:w="1278" w:type="dxa"/>
          </w:tcPr>
          <w:p>
            <w:pPr>
              <w:pStyle w:val="TableParagraph"/>
              <w:spacing w:before="34"/>
              <w:rPr>
                <w:b/>
                <w:sz w:val="24"/>
              </w:rPr>
            </w:pPr>
          </w:p>
          <w:p>
            <w:pPr>
              <w:pStyle w:val="TableParagraph"/>
              <w:ind w:left="13"/>
              <w:jc w:val="center"/>
              <w:rPr>
                <w:sz w:val="24"/>
              </w:rPr>
            </w:pPr>
            <w:r>
              <w:rPr>
                <w:spacing w:val="-10"/>
                <w:sz w:val="24"/>
              </w:rPr>
              <w:t>1</w:t>
            </w:r>
          </w:p>
        </w:tc>
      </w:tr>
      <w:tr>
        <w:trPr>
          <w:trHeight w:val="974" w:hRule="atLeast"/>
        </w:trPr>
        <w:tc>
          <w:tcPr>
            <w:tcW w:w="1966" w:type="dxa"/>
          </w:tcPr>
          <w:p>
            <w:pPr>
              <w:pStyle w:val="TableParagraph"/>
              <w:spacing w:before="37"/>
              <w:rPr>
                <w:b/>
                <w:sz w:val="24"/>
              </w:rPr>
            </w:pPr>
          </w:p>
          <w:p>
            <w:pPr>
              <w:pStyle w:val="TableParagraph"/>
              <w:tabs>
                <w:tab w:pos="1284" w:val="left" w:leader="none"/>
              </w:tabs>
              <w:ind w:left="100" w:right="80"/>
              <w:rPr>
                <w:sz w:val="24"/>
              </w:rPr>
            </w:pPr>
            <w:r>
              <w:rPr>
                <w:spacing w:val="-2"/>
                <w:sz w:val="24"/>
              </w:rPr>
              <w:t>Группа</w:t>
            </w:r>
            <w:r>
              <w:rPr>
                <w:sz w:val="24"/>
              </w:rPr>
              <w:tab/>
            </w:r>
            <w:r>
              <w:rPr>
                <w:spacing w:val="-4"/>
                <w:sz w:val="24"/>
              </w:rPr>
              <w:t>риска </w:t>
            </w:r>
            <w:r>
              <w:rPr>
                <w:spacing w:val="-2"/>
                <w:sz w:val="24"/>
              </w:rPr>
              <w:t>(10%)</w:t>
            </w:r>
          </w:p>
        </w:tc>
        <w:tc>
          <w:tcPr>
            <w:tcW w:w="1256" w:type="dxa"/>
          </w:tcPr>
          <w:p>
            <w:pPr>
              <w:pStyle w:val="TableParagraph"/>
              <w:spacing w:before="37"/>
              <w:rPr>
                <w:b/>
                <w:sz w:val="24"/>
              </w:rPr>
            </w:pPr>
          </w:p>
          <w:p>
            <w:pPr>
              <w:pStyle w:val="TableParagraph"/>
              <w:ind w:left="16"/>
              <w:jc w:val="center"/>
              <w:rPr>
                <w:sz w:val="24"/>
              </w:rPr>
            </w:pPr>
            <w:r>
              <w:rPr>
                <w:sz w:val="24"/>
              </w:rPr>
              <w:t>≥ </w:t>
            </w:r>
            <w:r>
              <w:rPr>
                <w:spacing w:val="-10"/>
                <w:sz w:val="24"/>
              </w:rPr>
              <w:t>3</w:t>
            </w:r>
          </w:p>
        </w:tc>
        <w:tc>
          <w:tcPr>
            <w:tcW w:w="1416" w:type="dxa"/>
          </w:tcPr>
          <w:p>
            <w:pPr>
              <w:pStyle w:val="TableParagraph"/>
              <w:spacing w:before="37"/>
              <w:rPr>
                <w:b/>
                <w:sz w:val="24"/>
              </w:rPr>
            </w:pPr>
          </w:p>
          <w:p>
            <w:pPr>
              <w:pStyle w:val="TableParagraph"/>
              <w:ind w:left="16" w:right="4"/>
              <w:jc w:val="center"/>
              <w:rPr>
                <w:sz w:val="24"/>
              </w:rPr>
            </w:pPr>
            <w:r>
              <w:rPr>
                <w:sz w:val="24"/>
              </w:rPr>
              <w:t>≥ </w:t>
            </w:r>
            <w:r>
              <w:rPr>
                <w:spacing w:val="-10"/>
                <w:sz w:val="24"/>
              </w:rPr>
              <w:t>3</w:t>
            </w:r>
          </w:p>
        </w:tc>
        <w:tc>
          <w:tcPr>
            <w:tcW w:w="1419" w:type="dxa"/>
            <w:tcBorders>
              <w:right w:val="single" w:sz="4" w:space="0" w:color="000000"/>
            </w:tcBorders>
          </w:tcPr>
          <w:p>
            <w:pPr>
              <w:pStyle w:val="TableParagraph"/>
              <w:spacing w:before="37"/>
              <w:rPr>
                <w:b/>
                <w:sz w:val="24"/>
              </w:rPr>
            </w:pPr>
          </w:p>
          <w:p>
            <w:pPr>
              <w:pStyle w:val="TableParagraph"/>
              <w:ind w:left="12" w:right="2"/>
              <w:jc w:val="center"/>
              <w:rPr>
                <w:sz w:val="24"/>
              </w:rPr>
            </w:pPr>
            <w:r>
              <w:rPr>
                <w:sz w:val="24"/>
              </w:rPr>
              <w:t>&gt;</w:t>
            </w:r>
            <w:r>
              <w:rPr>
                <w:spacing w:val="-1"/>
                <w:sz w:val="24"/>
              </w:rPr>
              <w:t> </w:t>
            </w:r>
            <w:r>
              <w:rPr>
                <w:spacing w:val="-4"/>
                <w:sz w:val="24"/>
              </w:rPr>
              <w:t>11,96</w:t>
            </w:r>
          </w:p>
        </w:tc>
        <w:tc>
          <w:tcPr>
            <w:tcW w:w="1278" w:type="dxa"/>
            <w:tcBorders>
              <w:left w:val="single" w:sz="4" w:space="0" w:color="000000"/>
            </w:tcBorders>
          </w:tcPr>
          <w:p>
            <w:pPr>
              <w:pStyle w:val="TableParagraph"/>
              <w:spacing w:before="37"/>
              <w:rPr>
                <w:b/>
                <w:sz w:val="24"/>
              </w:rPr>
            </w:pPr>
          </w:p>
          <w:p>
            <w:pPr>
              <w:pStyle w:val="TableParagraph"/>
              <w:ind w:left="21"/>
              <w:jc w:val="center"/>
              <w:rPr>
                <w:sz w:val="24"/>
              </w:rPr>
            </w:pPr>
            <w:r>
              <w:rPr>
                <w:sz w:val="24"/>
              </w:rPr>
              <w:t>&gt;</w:t>
            </w:r>
            <w:r>
              <w:rPr>
                <w:spacing w:val="-1"/>
                <w:sz w:val="24"/>
              </w:rPr>
              <w:t> </w:t>
            </w:r>
            <w:r>
              <w:rPr>
                <w:spacing w:val="-4"/>
                <w:sz w:val="24"/>
              </w:rPr>
              <w:t>12,09</w:t>
            </w:r>
          </w:p>
        </w:tc>
        <w:tc>
          <w:tcPr>
            <w:tcW w:w="1275" w:type="dxa"/>
          </w:tcPr>
          <w:p>
            <w:pPr>
              <w:pStyle w:val="TableParagraph"/>
              <w:spacing w:before="37"/>
              <w:rPr>
                <w:b/>
                <w:sz w:val="24"/>
              </w:rPr>
            </w:pPr>
          </w:p>
          <w:p>
            <w:pPr>
              <w:pStyle w:val="TableParagraph"/>
              <w:ind w:left="13"/>
              <w:jc w:val="center"/>
              <w:rPr>
                <w:sz w:val="24"/>
              </w:rPr>
            </w:pPr>
            <w:r>
              <w:rPr>
                <w:sz w:val="24"/>
              </w:rPr>
              <w:t>≥ </w:t>
            </w:r>
            <w:r>
              <w:rPr>
                <w:spacing w:val="-10"/>
                <w:sz w:val="24"/>
              </w:rPr>
              <w:t>3</w:t>
            </w:r>
          </w:p>
        </w:tc>
        <w:tc>
          <w:tcPr>
            <w:tcW w:w="1278" w:type="dxa"/>
          </w:tcPr>
          <w:p>
            <w:pPr>
              <w:pStyle w:val="TableParagraph"/>
              <w:spacing w:before="37"/>
              <w:rPr>
                <w:b/>
                <w:sz w:val="24"/>
              </w:rPr>
            </w:pPr>
          </w:p>
          <w:p>
            <w:pPr>
              <w:pStyle w:val="TableParagraph"/>
              <w:ind w:left="13"/>
              <w:jc w:val="center"/>
              <w:rPr>
                <w:sz w:val="24"/>
              </w:rPr>
            </w:pPr>
            <w:r>
              <w:rPr>
                <w:sz w:val="24"/>
              </w:rPr>
              <w:t>≥ </w:t>
            </w:r>
            <w:r>
              <w:rPr>
                <w:spacing w:val="-10"/>
                <w:sz w:val="24"/>
              </w:rPr>
              <w:t>2</w:t>
            </w:r>
          </w:p>
        </w:tc>
      </w:tr>
    </w:tbl>
    <w:p>
      <w:pPr>
        <w:spacing w:before="233"/>
        <w:ind w:left="285" w:right="567" w:firstLine="0"/>
        <w:jc w:val="both"/>
        <w:rPr>
          <w:sz w:val="24"/>
        </w:rPr>
      </w:pPr>
      <w:r>
        <w:rPr>
          <w:b/>
          <w:i/>
          <w:sz w:val="24"/>
        </w:rPr>
        <w:t>Примечание. </w:t>
      </w:r>
      <w:r>
        <w:rPr>
          <w:sz w:val="24"/>
        </w:rPr>
        <w:t>Значимых гендерных различий не выявлено, в связи с чем оценка производится без учета пола ребенка (t-критерий Стьюдента для независимых выборок).</w:t>
      </w:r>
    </w:p>
    <w:p>
      <w:pPr>
        <w:pStyle w:val="BodyText"/>
        <w:ind w:left="0" w:right="0" w:firstLine="0"/>
        <w:jc w:val="left"/>
        <w:rPr>
          <w:sz w:val="24"/>
        </w:rPr>
      </w:pPr>
    </w:p>
    <w:p>
      <w:pPr>
        <w:pStyle w:val="BodyText"/>
        <w:spacing w:before="258"/>
        <w:ind w:left="0" w:right="0" w:firstLine="0"/>
        <w:jc w:val="left"/>
        <w:rPr>
          <w:sz w:val="24"/>
        </w:rPr>
      </w:pPr>
    </w:p>
    <w:p>
      <w:pPr>
        <w:pStyle w:val="Heading3"/>
        <w:spacing w:before="0"/>
      </w:pPr>
      <w:r>
        <w:rPr/>
        <w:t>Применение</w:t>
      </w:r>
      <w:r>
        <w:rPr>
          <w:spacing w:val="-6"/>
        </w:rPr>
        <w:t> </w:t>
      </w:r>
      <w:r>
        <w:rPr/>
        <w:t>методики</w:t>
      </w:r>
      <w:r>
        <w:rPr>
          <w:spacing w:val="-4"/>
        </w:rPr>
        <w:t> </w:t>
      </w:r>
      <w:r>
        <w:rPr/>
        <w:t>в</w:t>
      </w:r>
      <w:r>
        <w:rPr>
          <w:spacing w:val="-5"/>
        </w:rPr>
        <w:t> </w:t>
      </w:r>
      <w:r>
        <w:rPr>
          <w:spacing w:val="-2"/>
        </w:rPr>
        <w:t>России</w:t>
      </w:r>
    </w:p>
    <w:p>
      <w:pPr>
        <w:pStyle w:val="Heading4"/>
        <w:spacing w:before="232"/>
        <w:ind w:right="560"/>
      </w:pPr>
      <w:r>
        <w:rPr/>
        <w:t>Исследование стратегий адаптации детей и подростков из семей мигрантов, проведенное А.Б. Пантелеевым, показало, что для разных возрастных групп характерен</w:t>
      </w:r>
      <w:r>
        <w:rPr>
          <w:spacing w:val="-12"/>
        </w:rPr>
        <w:t> </w:t>
      </w:r>
      <w:r>
        <w:rPr/>
        <w:t>неодинаковый</w:t>
      </w:r>
      <w:r>
        <w:rPr>
          <w:spacing w:val="-12"/>
        </w:rPr>
        <w:t> </w:t>
      </w:r>
      <w:r>
        <w:rPr/>
        <w:t>профиль</w:t>
      </w:r>
      <w:r>
        <w:rPr>
          <w:spacing w:val="-13"/>
        </w:rPr>
        <w:t> </w:t>
      </w:r>
      <w:r>
        <w:rPr/>
        <w:t>аккультурации.</w:t>
      </w:r>
      <w:r>
        <w:rPr>
          <w:spacing w:val="-13"/>
        </w:rPr>
        <w:t> </w:t>
      </w:r>
      <w:r>
        <w:rPr/>
        <w:t>Так,</w:t>
      </w:r>
      <w:r>
        <w:rPr>
          <w:spacing w:val="-13"/>
        </w:rPr>
        <w:t> </w:t>
      </w:r>
      <w:r>
        <w:rPr/>
        <w:t>среди</w:t>
      </w:r>
      <w:r>
        <w:rPr>
          <w:spacing w:val="-12"/>
        </w:rPr>
        <w:t> </w:t>
      </w:r>
      <w:r>
        <w:rPr/>
        <w:t>детей</w:t>
      </w:r>
      <w:r>
        <w:rPr>
          <w:spacing w:val="-12"/>
        </w:rPr>
        <w:t> </w:t>
      </w:r>
      <w:r>
        <w:rPr/>
        <w:t>11–14</w:t>
      </w:r>
      <w:r>
        <w:rPr>
          <w:spacing w:val="-12"/>
        </w:rPr>
        <w:t> </w:t>
      </w:r>
      <w:r>
        <w:rPr/>
        <w:t>лет наибольшие значения получены по шкале «сепарация» (среднее значение — 35,7%, а = 5,75). Для группы старших подростков характерны высокие значения по шкале «маргинализация» (среднее значение — 31,1%, а = 5,75).</w:t>
      </w:r>
    </w:p>
    <w:p>
      <w:pPr>
        <w:pStyle w:val="Heading4"/>
        <w:spacing w:before="241"/>
        <w:ind w:right="567"/>
      </w:pPr>
      <w:r>
        <w:rPr/>
        <w:t>Эти данные подкрепляются результатами корреляционного анализа: чем старше ребенок, тем менее вероятно, что он будет придерживаться стратегии ассимиляции, и более вероятна маргинализация (</w:t>
      </w:r>
      <w:r>
        <w:rPr>
          <w:i/>
        </w:rPr>
        <w:t>Пантелеев</w:t>
      </w:r>
      <w:r>
        <w:rPr/>
        <w:t>, 2007).</w:t>
      </w:r>
    </w:p>
    <w:p>
      <w:pPr>
        <w:pStyle w:val="Heading4"/>
        <w:spacing w:before="239"/>
        <w:ind w:right="569"/>
      </w:pPr>
      <w:r>
        <w:rPr/>
        <w:t>Методика может применяться и для изучения настроенности взрослых участников образовательного процесса на межкультурный диалог. Так, при изучении развитости культуры межнационального общения как личностного профессионально</w:t>
      </w:r>
      <w:r>
        <w:rPr>
          <w:spacing w:val="43"/>
        </w:rPr>
        <w:t>  </w:t>
      </w:r>
      <w:r>
        <w:rPr/>
        <w:t>значимого</w:t>
      </w:r>
      <w:r>
        <w:rPr>
          <w:spacing w:val="43"/>
        </w:rPr>
        <w:t>  </w:t>
      </w:r>
      <w:r>
        <w:rPr/>
        <w:t>качества</w:t>
      </w:r>
      <w:r>
        <w:rPr>
          <w:spacing w:val="43"/>
        </w:rPr>
        <w:t>  </w:t>
      </w:r>
      <w:r>
        <w:rPr/>
        <w:t>педагога</w:t>
      </w:r>
      <w:r>
        <w:rPr>
          <w:spacing w:val="44"/>
        </w:rPr>
        <w:t>  </w:t>
      </w:r>
      <w:r>
        <w:rPr/>
        <w:t>было</w:t>
      </w:r>
      <w:r>
        <w:rPr>
          <w:spacing w:val="43"/>
        </w:rPr>
        <w:t>  </w:t>
      </w:r>
      <w:r>
        <w:rPr/>
        <w:t>обнаружено,</w:t>
      </w:r>
      <w:r>
        <w:rPr>
          <w:spacing w:val="43"/>
        </w:rPr>
        <w:t>  </w:t>
      </w:r>
      <w:r>
        <w:rPr>
          <w:spacing w:val="-5"/>
        </w:rPr>
        <w:t>что</w:t>
      </w:r>
    </w:p>
    <w:p>
      <w:pPr>
        <w:pStyle w:val="Heading4"/>
        <w:spacing w:after="0"/>
        <w:sectPr>
          <w:pgSz w:w="11910" w:h="16840"/>
          <w:pgMar w:header="0" w:footer="970" w:top="1040" w:bottom="1220" w:left="1417" w:right="283"/>
        </w:sectPr>
      </w:pPr>
    </w:p>
    <w:p>
      <w:pPr>
        <w:pStyle w:val="Heading4"/>
        <w:spacing w:line="242" w:lineRule="auto" w:before="67"/>
        <w:ind w:right="569"/>
      </w:pPr>
      <w:r>
        <w:rPr/>
        <w:t>интеграция является доминирующей стратегией взаимодействия в поликультурной среде современной школы (</w:t>
      </w:r>
      <w:r>
        <w:rPr>
          <w:i/>
        </w:rPr>
        <w:t>Мирошниченко</w:t>
      </w:r>
      <w:r>
        <w:rPr/>
        <w:t>, 2019).</w:t>
      </w:r>
    </w:p>
    <w:p>
      <w:pPr>
        <w:pStyle w:val="Heading4"/>
        <w:spacing w:before="236"/>
        <w:ind w:right="561"/>
      </w:pPr>
      <w:r>
        <w:rPr/>
        <w:t>В 2022 г. методика была адаптирована для детей — иностранных граждан в рамках апробации в 12 регионах РФ программы оценки особых образовательных потребностей ребенка-мигранта в сферах психологического благополучия,</w:t>
      </w:r>
      <w:r>
        <w:rPr>
          <w:spacing w:val="-15"/>
        </w:rPr>
        <w:t> </w:t>
      </w:r>
      <w:r>
        <w:rPr/>
        <w:t>социальных</w:t>
      </w:r>
      <w:r>
        <w:rPr>
          <w:spacing w:val="-14"/>
        </w:rPr>
        <w:t> </w:t>
      </w:r>
      <w:r>
        <w:rPr/>
        <w:t>навыков</w:t>
      </w:r>
      <w:r>
        <w:rPr>
          <w:spacing w:val="-16"/>
        </w:rPr>
        <w:t> </w:t>
      </w:r>
      <w:r>
        <w:rPr/>
        <w:t>и</w:t>
      </w:r>
      <w:r>
        <w:rPr>
          <w:spacing w:val="-17"/>
        </w:rPr>
        <w:t> </w:t>
      </w:r>
      <w:r>
        <w:rPr/>
        <w:t>культурной</w:t>
      </w:r>
      <w:r>
        <w:rPr>
          <w:spacing w:val="-17"/>
        </w:rPr>
        <w:t> </w:t>
      </w:r>
      <w:r>
        <w:rPr/>
        <w:t>адаптации</w:t>
      </w:r>
      <w:r>
        <w:rPr>
          <w:spacing w:val="-14"/>
        </w:rPr>
        <w:t> </w:t>
      </w:r>
      <w:r>
        <w:rPr/>
        <w:t>(N</w:t>
      </w:r>
      <w:r>
        <w:rPr>
          <w:spacing w:val="-16"/>
        </w:rPr>
        <w:t> </w:t>
      </w:r>
      <w:r>
        <w:rPr/>
        <w:t>нач.</w:t>
      </w:r>
      <w:r>
        <w:rPr>
          <w:spacing w:val="-15"/>
        </w:rPr>
        <w:t> </w:t>
      </w:r>
      <w:r>
        <w:rPr/>
        <w:t>шк.</w:t>
      </w:r>
      <w:r>
        <w:rPr>
          <w:spacing w:val="-15"/>
        </w:rPr>
        <w:t> </w:t>
      </w:r>
      <w:r>
        <w:rPr/>
        <w:t>=</w:t>
      </w:r>
      <w:r>
        <w:rPr>
          <w:spacing w:val="-17"/>
        </w:rPr>
        <w:t> </w:t>
      </w:r>
      <w:r>
        <w:rPr/>
        <w:t>323, N ср. шк. + ст. шк. = 343, N общ. = 666). Шкалы методики показали достаточную степень внутренней согласованности (альфа Кронбаха 0.635 – 0.845), кроме шкалы ассимиляции, которая была рекомендована к исключению из методики в настоящей ситуации.</w:t>
      </w:r>
    </w:p>
    <w:p>
      <w:pPr>
        <w:pStyle w:val="Heading4"/>
        <w:spacing w:before="240"/>
        <w:ind w:right="560"/>
      </w:pPr>
      <w:r>
        <w:rPr/>
        <w:t>В исследовании обнаружены предсказуемые корреляции со шкалами следующих методик. По субшкале сепарации выявлена отрицательная корреляция с включенностью ребенка-мигранта в культуру принимающего общества</w:t>
      </w:r>
      <w:r>
        <w:rPr>
          <w:spacing w:val="-17"/>
        </w:rPr>
        <w:t> </w:t>
      </w:r>
      <w:r>
        <w:rPr/>
        <w:t>(-0.317,</w:t>
      </w:r>
      <w:r>
        <w:rPr>
          <w:spacing w:val="-17"/>
        </w:rPr>
        <w:t> </w:t>
      </w:r>
      <w:r>
        <w:rPr/>
        <w:t>P&lt;0.01),</w:t>
      </w:r>
      <w:r>
        <w:rPr>
          <w:spacing w:val="-15"/>
        </w:rPr>
        <w:t> </w:t>
      </w:r>
      <w:r>
        <w:rPr/>
        <w:t>по</w:t>
      </w:r>
      <w:r>
        <w:rPr>
          <w:spacing w:val="-16"/>
        </w:rPr>
        <w:t> </w:t>
      </w:r>
      <w:r>
        <w:rPr/>
        <w:t>шкале</w:t>
      </w:r>
      <w:r>
        <w:rPr>
          <w:spacing w:val="-17"/>
        </w:rPr>
        <w:t> </w:t>
      </w:r>
      <w:r>
        <w:rPr/>
        <w:t>социальных</w:t>
      </w:r>
      <w:r>
        <w:rPr>
          <w:spacing w:val="-16"/>
        </w:rPr>
        <w:t> </w:t>
      </w:r>
      <w:r>
        <w:rPr/>
        <w:t>навыков</w:t>
      </w:r>
      <w:r>
        <w:rPr>
          <w:spacing w:val="-15"/>
        </w:rPr>
        <w:t> </w:t>
      </w:r>
      <w:r>
        <w:rPr/>
        <w:t>также</w:t>
      </w:r>
      <w:r>
        <w:rPr>
          <w:spacing w:val="-16"/>
        </w:rPr>
        <w:t> </w:t>
      </w:r>
      <w:r>
        <w:rPr/>
        <w:t>отрицательная корреляция (-0.282, P&lt;0.01). По шкале маргинализации выявлена значимая отрицательная корреляция с социальными навыками (-0.287, P&lt;0.01). Шкала интеграции показала значимую положительную корреляцию с социальными навыками (0.358, P&lt;0.01), с включенностью ребенка-мигранта в культуру принимающего общества (0.205, P&lt;0.01) и с общей удовлетворенностью жизнью школьника (0.230, p&lt;0.01)</w:t>
      </w:r>
    </w:p>
    <w:p>
      <w:pPr>
        <w:pStyle w:val="Heading4"/>
        <w:spacing w:before="160"/>
        <w:ind w:right="569" w:firstLine="566"/>
      </w:pPr>
      <w:r>
        <w:rPr/>
        <w:t>Приведенные данные доказывает внешнюю валидность методики при диагностике детей — иностранных граждан.</w:t>
      </w:r>
    </w:p>
    <w:p>
      <w:pPr>
        <w:pStyle w:val="Heading4"/>
        <w:spacing w:after="0"/>
        <w:sectPr>
          <w:pgSz w:w="11910" w:h="16840"/>
          <w:pgMar w:header="0" w:footer="970" w:top="1040" w:bottom="1220" w:left="1417" w:right="283"/>
        </w:sectPr>
      </w:pPr>
    </w:p>
    <w:p>
      <w:pPr>
        <w:pStyle w:val="Heading3"/>
        <w:ind w:left="0" w:right="562"/>
        <w:jc w:val="right"/>
      </w:pPr>
      <w:r>
        <w:rPr/>
        <w:t>Приложение</w:t>
      </w:r>
      <w:r>
        <w:rPr>
          <w:spacing w:val="-8"/>
        </w:rPr>
        <w:t> </w:t>
      </w:r>
      <w:r>
        <w:rPr>
          <w:spacing w:val="-5"/>
        </w:rPr>
        <w:t>15.</w:t>
      </w:r>
    </w:p>
    <w:p>
      <w:pPr>
        <w:pStyle w:val="Heading3"/>
        <w:spacing w:before="202"/>
        <w:ind w:left="286" w:right="566"/>
        <w:jc w:val="center"/>
      </w:pPr>
      <w:r>
        <w:rPr/>
        <w:t>Протокол</w:t>
      </w:r>
      <w:r>
        <w:rPr>
          <w:spacing w:val="-6"/>
        </w:rPr>
        <w:t> </w:t>
      </w:r>
      <w:r>
        <w:rPr>
          <w:spacing w:val="-2"/>
        </w:rPr>
        <w:t>наблюдения</w:t>
      </w:r>
    </w:p>
    <w:p>
      <w:pPr>
        <w:tabs>
          <w:tab w:pos="5253" w:val="left" w:leader="none"/>
          <w:tab w:pos="6784" w:val="left" w:leader="none"/>
          <w:tab w:pos="9579" w:val="left" w:leader="none"/>
        </w:tabs>
        <w:spacing w:before="190"/>
        <w:ind w:left="285" w:right="0" w:firstLine="0"/>
        <w:jc w:val="left"/>
        <w:rPr>
          <w:sz w:val="24"/>
        </w:rPr>
      </w:pPr>
      <w:r>
        <w:rPr>
          <w:sz w:val="24"/>
        </w:rPr>
        <w:t>Фамилия, имя ученика </w:t>
      </w:r>
      <w:r>
        <w:rPr>
          <w:sz w:val="24"/>
          <w:u w:val="single"/>
        </w:rPr>
        <w:tab/>
      </w:r>
      <w:r>
        <w:rPr>
          <w:sz w:val="24"/>
        </w:rPr>
        <w:t>Возраст </w:t>
      </w:r>
      <w:r>
        <w:rPr>
          <w:sz w:val="24"/>
          <w:u w:val="single"/>
        </w:rPr>
        <w:tab/>
      </w:r>
      <w:r>
        <w:rPr>
          <w:sz w:val="24"/>
        </w:rPr>
        <w:t>Дата заполнения </w:t>
      </w:r>
      <w:r>
        <w:rPr>
          <w:sz w:val="24"/>
          <w:u w:val="single"/>
        </w:rPr>
        <w:tab/>
      </w:r>
    </w:p>
    <w:p>
      <w:pPr>
        <w:pStyle w:val="BodyText"/>
        <w:spacing w:before="33"/>
        <w:ind w:left="0" w:right="0" w:firstLine="0"/>
        <w:jc w:val="left"/>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06"/>
        <w:gridCol w:w="5864"/>
        <w:gridCol w:w="1545"/>
      </w:tblGrid>
      <w:tr>
        <w:trPr>
          <w:trHeight w:val="1151" w:hRule="atLeast"/>
        </w:trPr>
        <w:tc>
          <w:tcPr>
            <w:tcW w:w="2006" w:type="dxa"/>
          </w:tcPr>
          <w:p>
            <w:pPr>
              <w:pStyle w:val="TableParagraph"/>
              <w:spacing w:before="39"/>
              <w:rPr>
                <w:sz w:val="24"/>
              </w:rPr>
            </w:pPr>
          </w:p>
          <w:p>
            <w:pPr>
              <w:pStyle w:val="TableParagraph"/>
              <w:ind w:left="10" w:right="1"/>
              <w:jc w:val="center"/>
              <w:rPr>
                <w:b/>
                <w:sz w:val="24"/>
              </w:rPr>
            </w:pPr>
            <w:r>
              <w:rPr>
                <w:b/>
                <w:spacing w:val="-2"/>
                <w:sz w:val="24"/>
              </w:rPr>
              <w:t>Стратегия</w:t>
            </w:r>
          </w:p>
        </w:tc>
        <w:tc>
          <w:tcPr>
            <w:tcW w:w="5864" w:type="dxa"/>
          </w:tcPr>
          <w:p>
            <w:pPr>
              <w:pStyle w:val="TableParagraph"/>
              <w:spacing w:before="39"/>
              <w:rPr>
                <w:sz w:val="24"/>
              </w:rPr>
            </w:pPr>
          </w:p>
          <w:p>
            <w:pPr>
              <w:pStyle w:val="TableParagraph"/>
              <w:ind w:left="1481"/>
              <w:rPr>
                <w:b/>
                <w:sz w:val="24"/>
              </w:rPr>
            </w:pPr>
            <w:r>
              <w:rPr>
                <w:b/>
                <w:sz w:val="24"/>
              </w:rPr>
              <w:t>Поведенческий</w:t>
            </w:r>
            <w:r>
              <w:rPr>
                <w:b/>
                <w:spacing w:val="-3"/>
                <w:sz w:val="24"/>
              </w:rPr>
              <w:t> </w:t>
            </w:r>
            <w:r>
              <w:rPr>
                <w:b/>
                <w:spacing w:val="-2"/>
                <w:sz w:val="24"/>
              </w:rPr>
              <w:t>индикатор</w:t>
            </w:r>
          </w:p>
        </w:tc>
        <w:tc>
          <w:tcPr>
            <w:tcW w:w="1545" w:type="dxa"/>
          </w:tcPr>
          <w:p>
            <w:pPr>
              <w:pStyle w:val="TableParagraph"/>
              <w:spacing w:line="276" w:lineRule="auto"/>
              <w:ind w:left="108" w:right="92" w:hanging="5"/>
              <w:jc w:val="center"/>
              <w:rPr>
                <w:b/>
                <w:sz w:val="24"/>
              </w:rPr>
            </w:pPr>
            <w:r>
              <w:rPr>
                <w:b/>
                <w:spacing w:val="-2"/>
                <w:sz w:val="24"/>
              </w:rPr>
              <w:t>Результат наблюдения </w:t>
            </w:r>
            <w:r>
              <w:rPr>
                <w:b/>
                <w:sz w:val="24"/>
              </w:rPr>
              <w:t>(+ или –)</w:t>
            </w:r>
          </w:p>
        </w:tc>
      </w:tr>
      <w:tr>
        <w:trPr>
          <w:trHeight w:val="834" w:hRule="atLeast"/>
        </w:trPr>
        <w:tc>
          <w:tcPr>
            <w:tcW w:w="2006"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1"/>
              <w:rPr>
                <w:sz w:val="24"/>
              </w:rPr>
            </w:pPr>
          </w:p>
          <w:p>
            <w:pPr>
              <w:pStyle w:val="TableParagraph"/>
              <w:ind w:left="426"/>
              <w:rPr>
                <w:b/>
                <w:i/>
                <w:sz w:val="24"/>
              </w:rPr>
            </w:pPr>
            <w:r>
              <w:rPr>
                <w:b/>
                <w:i/>
                <w:spacing w:val="-2"/>
                <w:sz w:val="24"/>
              </w:rPr>
              <w:t>Сепарация</w:t>
            </w:r>
          </w:p>
        </w:tc>
        <w:tc>
          <w:tcPr>
            <w:tcW w:w="5864" w:type="dxa"/>
          </w:tcPr>
          <w:p>
            <w:pPr>
              <w:pStyle w:val="TableParagraph"/>
              <w:spacing w:line="276" w:lineRule="auto"/>
              <w:ind w:left="108" w:right="188"/>
              <w:rPr>
                <w:sz w:val="24"/>
              </w:rPr>
            </w:pPr>
            <w:r>
              <w:rPr>
                <w:sz w:val="24"/>
              </w:rPr>
              <w:t>1.</w:t>
            </w:r>
            <w:r>
              <w:rPr>
                <w:spacing w:val="-11"/>
                <w:sz w:val="24"/>
              </w:rPr>
              <w:t> </w:t>
            </w:r>
            <w:r>
              <w:rPr>
                <w:sz w:val="24"/>
              </w:rPr>
              <w:t>Старается</w:t>
            </w:r>
            <w:r>
              <w:rPr>
                <w:spacing w:val="-11"/>
                <w:sz w:val="24"/>
              </w:rPr>
              <w:t> </w:t>
            </w:r>
            <w:r>
              <w:rPr>
                <w:sz w:val="24"/>
              </w:rPr>
              <w:t>минимально</w:t>
            </w:r>
            <w:r>
              <w:rPr>
                <w:spacing w:val="-11"/>
                <w:sz w:val="24"/>
              </w:rPr>
              <w:t> </w:t>
            </w:r>
            <w:r>
              <w:rPr>
                <w:sz w:val="24"/>
              </w:rPr>
              <w:t>пользоваться</w:t>
            </w:r>
            <w:r>
              <w:rPr>
                <w:spacing w:val="-11"/>
                <w:sz w:val="24"/>
              </w:rPr>
              <w:t> </w:t>
            </w:r>
            <w:r>
              <w:rPr>
                <w:sz w:val="24"/>
              </w:rPr>
              <w:t>русским языком, не стремится учить новые слова</w:t>
            </w:r>
          </w:p>
        </w:tc>
        <w:tc>
          <w:tcPr>
            <w:tcW w:w="1545" w:type="dxa"/>
          </w:tcPr>
          <w:p>
            <w:pPr>
              <w:pStyle w:val="TableParagraph"/>
              <w:rPr>
                <w:sz w:val="24"/>
              </w:rPr>
            </w:pPr>
          </w:p>
        </w:tc>
      </w:tr>
      <w:tr>
        <w:trPr>
          <w:trHeight w:val="835" w:hRule="atLeast"/>
        </w:trPr>
        <w:tc>
          <w:tcPr>
            <w:tcW w:w="2006" w:type="dxa"/>
            <w:vMerge/>
            <w:tcBorders>
              <w:top w:val="nil"/>
            </w:tcBorders>
          </w:tcPr>
          <w:p>
            <w:pPr>
              <w:rPr>
                <w:sz w:val="2"/>
                <w:szCs w:val="2"/>
              </w:rPr>
            </w:pPr>
          </w:p>
        </w:tc>
        <w:tc>
          <w:tcPr>
            <w:tcW w:w="5864" w:type="dxa"/>
          </w:tcPr>
          <w:p>
            <w:pPr>
              <w:pStyle w:val="TableParagraph"/>
              <w:spacing w:line="276" w:lineRule="auto"/>
              <w:ind w:left="108"/>
              <w:rPr>
                <w:sz w:val="24"/>
              </w:rPr>
            </w:pPr>
            <w:r>
              <w:rPr>
                <w:sz w:val="24"/>
              </w:rPr>
              <w:t>2.</w:t>
            </w:r>
            <w:r>
              <w:rPr>
                <w:spacing w:val="-8"/>
                <w:sz w:val="24"/>
              </w:rPr>
              <w:t> </w:t>
            </w:r>
            <w:r>
              <w:rPr>
                <w:sz w:val="24"/>
              </w:rPr>
              <w:t>Отказывается</w:t>
            </w:r>
            <w:r>
              <w:rPr>
                <w:spacing w:val="-8"/>
                <w:sz w:val="24"/>
              </w:rPr>
              <w:t> </w:t>
            </w:r>
            <w:r>
              <w:rPr>
                <w:sz w:val="24"/>
              </w:rPr>
              <w:t>принимать</w:t>
            </w:r>
            <w:r>
              <w:rPr>
                <w:spacing w:val="-5"/>
                <w:sz w:val="24"/>
              </w:rPr>
              <w:t> </w:t>
            </w:r>
            <w:r>
              <w:rPr>
                <w:sz w:val="24"/>
              </w:rPr>
              <w:t>участие</w:t>
            </w:r>
            <w:r>
              <w:rPr>
                <w:spacing w:val="-8"/>
                <w:sz w:val="24"/>
              </w:rPr>
              <w:t> </w:t>
            </w:r>
            <w:r>
              <w:rPr>
                <w:sz w:val="24"/>
              </w:rPr>
              <w:t>в</w:t>
            </w:r>
            <w:r>
              <w:rPr>
                <w:spacing w:val="-8"/>
                <w:sz w:val="24"/>
              </w:rPr>
              <w:t> </w:t>
            </w:r>
            <w:r>
              <w:rPr>
                <w:sz w:val="24"/>
              </w:rPr>
              <w:t>жизни</w:t>
            </w:r>
            <w:r>
              <w:rPr>
                <w:spacing w:val="-8"/>
                <w:sz w:val="24"/>
              </w:rPr>
              <w:t> </w:t>
            </w:r>
            <w:r>
              <w:rPr>
                <w:sz w:val="24"/>
              </w:rPr>
              <w:t>класса, объясняя</w:t>
            </w:r>
            <w:r>
              <w:rPr>
                <w:spacing w:val="-2"/>
                <w:sz w:val="24"/>
              </w:rPr>
              <w:t> </w:t>
            </w:r>
            <w:r>
              <w:rPr>
                <w:sz w:val="24"/>
              </w:rPr>
              <w:t>это</w:t>
            </w:r>
            <w:r>
              <w:rPr>
                <w:spacing w:val="-1"/>
                <w:sz w:val="24"/>
              </w:rPr>
              <w:t> </w:t>
            </w:r>
            <w:r>
              <w:rPr>
                <w:sz w:val="24"/>
              </w:rPr>
              <w:t>тем,</w:t>
            </w:r>
            <w:r>
              <w:rPr>
                <w:spacing w:val="-1"/>
                <w:sz w:val="24"/>
              </w:rPr>
              <w:t> </w:t>
            </w:r>
            <w:r>
              <w:rPr>
                <w:sz w:val="24"/>
              </w:rPr>
              <w:t>что</w:t>
            </w:r>
            <w:r>
              <w:rPr>
                <w:spacing w:val="-1"/>
                <w:sz w:val="24"/>
              </w:rPr>
              <w:t> </w:t>
            </w:r>
            <w:r>
              <w:rPr>
                <w:sz w:val="24"/>
              </w:rPr>
              <w:t>так</w:t>
            </w:r>
            <w:r>
              <w:rPr>
                <w:spacing w:val="-2"/>
                <w:sz w:val="24"/>
              </w:rPr>
              <w:t> </w:t>
            </w:r>
            <w:r>
              <w:rPr>
                <w:sz w:val="24"/>
              </w:rPr>
              <w:t>не</w:t>
            </w:r>
            <w:r>
              <w:rPr>
                <w:spacing w:val="-2"/>
                <w:sz w:val="24"/>
              </w:rPr>
              <w:t> </w:t>
            </w:r>
            <w:r>
              <w:rPr>
                <w:sz w:val="24"/>
              </w:rPr>
              <w:t>принято</w:t>
            </w:r>
            <w:r>
              <w:rPr>
                <w:spacing w:val="-1"/>
                <w:sz w:val="24"/>
              </w:rPr>
              <w:t> </w:t>
            </w:r>
            <w:r>
              <w:rPr>
                <w:sz w:val="24"/>
              </w:rPr>
              <w:t>в</w:t>
            </w:r>
            <w:r>
              <w:rPr>
                <w:spacing w:val="-2"/>
                <w:sz w:val="24"/>
              </w:rPr>
              <w:t> </w:t>
            </w:r>
            <w:r>
              <w:rPr>
                <w:sz w:val="24"/>
              </w:rPr>
              <w:t>его</w:t>
            </w:r>
            <w:r>
              <w:rPr>
                <w:spacing w:val="-1"/>
                <w:sz w:val="24"/>
              </w:rPr>
              <w:t> </w:t>
            </w:r>
            <w:r>
              <w:rPr>
                <w:spacing w:val="-2"/>
                <w:sz w:val="24"/>
              </w:rPr>
              <w:t>культуре</w:t>
            </w:r>
          </w:p>
        </w:tc>
        <w:tc>
          <w:tcPr>
            <w:tcW w:w="1545" w:type="dxa"/>
          </w:tcPr>
          <w:p>
            <w:pPr>
              <w:pStyle w:val="TableParagraph"/>
              <w:rPr>
                <w:sz w:val="24"/>
              </w:rPr>
            </w:pPr>
          </w:p>
        </w:tc>
      </w:tr>
      <w:tr>
        <w:trPr>
          <w:trHeight w:val="518" w:hRule="atLeast"/>
        </w:trPr>
        <w:tc>
          <w:tcPr>
            <w:tcW w:w="2006" w:type="dxa"/>
            <w:vMerge/>
            <w:tcBorders>
              <w:top w:val="nil"/>
            </w:tcBorders>
          </w:tcPr>
          <w:p>
            <w:pPr>
              <w:rPr>
                <w:sz w:val="2"/>
                <w:szCs w:val="2"/>
              </w:rPr>
            </w:pPr>
          </w:p>
        </w:tc>
        <w:tc>
          <w:tcPr>
            <w:tcW w:w="5864" w:type="dxa"/>
          </w:tcPr>
          <w:p>
            <w:pPr>
              <w:pStyle w:val="TableParagraph"/>
              <w:spacing w:line="270" w:lineRule="exact"/>
              <w:ind w:left="108"/>
              <w:rPr>
                <w:sz w:val="24"/>
              </w:rPr>
            </w:pPr>
            <w:r>
              <w:rPr>
                <w:sz w:val="24"/>
              </w:rPr>
              <w:t>3.</w:t>
            </w:r>
            <w:r>
              <w:rPr>
                <w:spacing w:val="-5"/>
                <w:sz w:val="24"/>
              </w:rPr>
              <w:t> </w:t>
            </w:r>
            <w:r>
              <w:rPr>
                <w:sz w:val="24"/>
              </w:rPr>
              <w:t>Скрупулезно</w:t>
            </w:r>
            <w:r>
              <w:rPr>
                <w:spacing w:val="-4"/>
                <w:sz w:val="24"/>
              </w:rPr>
              <w:t> </w:t>
            </w:r>
            <w:r>
              <w:rPr>
                <w:sz w:val="24"/>
              </w:rPr>
              <w:t>следует</w:t>
            </w:r>
            <w:r>
              <w:rPr>
                <w:spacing w:val="-2"/>
                <w:sz w:val="24"/>
              </w:rPr>
              <w:t> </w:t>
            </w:r>
            <w:r>
              <w:rPr>
                <w:sz w:val="24"/>
              </w:rPr>
              <w:t>национальным</w:t>
            </w:r>
            <w:r>
              <w:rPr>
                <w:spacing w:val="-6"/>
                <w:sz w:val="24"/>
              </w:rPr>
              <w:t> </w:t>
            </w:r>
            <w:r>
              <w:rPr>
                <w:spacing w:val="-2"/>
                <w:sz w:val="24"/>
              </w:rPr>
              <w:t>традициям</w:t>
            </w:r>
          </w:p>
        </w:tc>
        <w:tc>
          <w:tcPr>
            <w:tcW w:w="1545" w:type="dxa"/>
          </w:tcPr>
          <w:p>
            <w:pPr>
              <w:pStyle w:val="TableParagraph"/>
              <w:rPr>
                <w:sz w:val="24"/>
              </w:rPr>
            </w:pPr>
          </w:p>
        </w:tc>
      </w:tr>
      <w:tr>
        <w:trPr>
          <w:trHeight w:val="834" w:hRule="atLeast"/>
        </w:trPr>
        <w:tc>
          <w:tcPr>
            <w:tcW w:w="2006" w:type="dxa"/>
            <w:vMerge/>
            <w:tcBorders>
              <w:top w:val="nil"/>
            </w:tcBorders>
          </w:tcPr>
          <w:p>
            <w:pPr>
              <w:rPr>
                <w:sz w:val="2"/>
                <w:szCs w:val="2"/>
              </w:rPr>
            </w:pPr>
          </w:p>
        </w:tc>
        <w:tc>
          <w:tcPr>
            <w:tcW w:w="5864" w:type="dxa"/>
          </w:tcPr>
          <w:p>
            <w:pPr>
              <w:pStyle w:val="TableParagraph"/>
              <w:spacing w:line="276" w:lineRule="auto"/>
              <w:ind w:left="108"/>
              <w:rPr>
                <w:sz w:val="24"/>
              </w:rPr>
            </w:pPr>
            <w:r>
              <w:rPr>
                <w:sz w:val="24"/>
              </w:rPr>
              <w:t>4.</w:t>
            </w:r>
            <w:r>
              <w:rPr>
                <w:spacing w:val="-6"/>
                <w:sz w:val="24"/>
              </w:rPr>
              <w:t> </w:t>
            </w:r>
            <w:r>
              <w:rPr>
                <w:sz w:val="24"/>
              </w:rPr>
              <w:t>Другие</w:t>
            </w:r>
            <w:r>
              <w:rPr>
                <w:spacing w:val="-7"/>
                <w:sz w:val="24"/>
              </w:rPr>
              <w:t> </w:t>
            </w:r>
            <w:r>
              <w:rPr>
                <w:sz w:val="24"/>
              </w:rPr>
              <w:t>дети</w:t>
            </w:r>
            <w:r>
              <w:rPr>
                <w:spacing w:val="-5"/>
                <w:sz w:val="24"/>
              </w:rPr>
              <w:t> </w:t>
            </w:r>
            <w:r>
              <w:rPr>
                <w:sz w:val="24"/>
              </w:rPr>
              <w:t>отвергают</w:t>
            </w:r>
            <w:r>
              <w:rPr>
                <w:spacing w:val="-6"/>
                <w:sz w:val="24"/>
              </w:rPr>
              <w:t> </w:t>
            </w:r>
            <w:r>
              <w:rPr>
                <w:sz w:val="24"/>
              </w:rPr>
              <w:t>его/ее</w:t>
            </w:r>
            <w:r>
              <w:rPr>
                <w:spacing w:val="-8"/>
                <w:sz w:val="24"/>
              </w:rPr>
              <w:t> </w:t>
            </w:r>
            <w:r>
              <w:rPr>
                <w:sz w:val="24"/>
              </w:rPr>
              <w:t>из-за</w:t>
            </w:r>
            <w:r>
              <w:rPr>
                <w:spacing w:val="-7"/>
                <w:sz w:val="24"/>
              </w:rPr>
              <w:t> </w:t>
            </w:r>
            <w:r>
              <w:rPr>
                <w:sz w:val="24"/>
              </w:rPr>
              <w:t>заносчивости</w:t>
            </w:r>
            <w:r>
              <w:rPr>
                <w:spacing w:val="-5"/>
                <w:sz w:val="24"/>
              </w:rPr>
              <w:t> </w:t>
            </w:r>
            <w:r>
              <w:rPr>
                <w:sz w:val="24"/>
              </w:rPr>
              <w:t>и </w:t>
            </w:r>
            <w:r>
              <w:rPr>
                <w:spacing w:val="-2"/>
                <w:sz w:val="24"/>
              </w:rPr>
              <w:t>высокомерия</w:t>
            </w:r>
          </w:p>
        </w:tc>
        <w:tc>
          <w:tcPr>
            <w:tcW w:w="1545" w:type="dxa"/>
          </w:tcPr>
          <w:p>
            <w:pPr>
              <w:pStyle w:val="TableParagraph"/>
              <w:rPr>
                <w:sz w:val="24"/>
              </w:rPr>
            </w:pPr>
          </w:p>
        </w:tc>
      </w:tr>
      <w:tr>
        <w:trPr>
          <w:trHeight w:val="834" w:hRule="atLeast"/>
        </w:trPr>
        <w:tc>
          <w:tcPr>
            <w:tcW w:w="2006" w:type="dxa"/>
            <w:vMerge/>
            <w:tcBorders>
              <w:top w:val="nil"/>
            </w:tcBorders>
          </w:tcPr>
          <w:p>
            <w:pPr>
              <w:rPr>
                <w:sz w:val="2"/>
                <w:szCs w:val="2"/>
              </w:rPr>
            </w:pPr>
          </w:p>
        </w:tc>
        <w:tc>
          <w:tcPr>
            <w:tcW w:w="5864" w:type="dxa"/>
          </w:tcPr>
          <w:p>
            <w:pPr>
              <w:pStyle w:val="TableParagraph"/>
              <w:spacing w:line="276" w:lineRule="auto"/>
              <w:ind w:left="108"/>
              <w:rPr>
                <w:sz w:val="24"/>
              </w:rPr>
            </w:pPr>
            <w:r>
              <w:rPr>
                <w:sz w:val="24"/>
              </w:rPr>
              <w:t>5.</w:t>
            </w:r>
            <w:r>
              <w:rPr>
                <w:spacing w:val="-6"/>
                <w:sz w:val="24"/>
              </w:rPr>
              <w:t> </w:t>
            </w:r>
            <w:r>
              <w:rPr>
                <w:sz w:val="24"/>
              </w:rPr>
              <w:t>Не</w:t>
            </w:r>
            <w:r>
              <w:rPr>
                <w:spacing w:val="-8"/>
                <w:sz w:val="24"/>
              </w:rPr>
              <w:t> </w:t>
            </w:r>
            <w:r>
              <w:rPr>
                <w:sz w:val="24"/>
              </w:rPr>
              <w:t>проявляет</w:t>
            </w:r>
            <w:r>
              <w:rPr>
                <w:spacing w:val="-6"/>
                <w:sz w:val="24"/>
              </w:rPr>
              <w:t> </w:t>
            </w:r>
            <w:r>
              <w:rPr>
                <w:sz w:val="24"/>
              </w:rPr>
              <w:t>интереса</w:t>
            </w:r>
            <w:r>
              <w:rPr>
                <w:spacing w:val="-7"/>
                <w:sz w:val="24"/>
              </w:rPr>
              <w:t> </w:t>
            </w:r>
            <w:r>
              <w:rPr>
                <w:sz w:val="24"/>
              </w:rPr>
              <w:t>к</w:t>
            </w:r>
            <w:r>
              <w:rPr>
                <w:spacing w:val="-6"/>
                <w:sz w:val="24"/>
              </w:rPr>
              <w:t> </w:t>
            </w:r>
            <w:r>
              <w:rPr>
                <w:sz w:val="24"/>
              </w:rPr>
              <w:t>русским</w:t>
            </w:r>
            <w:r>
              <w:rPr>
                <w:spacing w:val="-7"/>
                <w:sz w:val="24"/>
              </w:rPr>
              <w:t> </w:t>
            </w:r>
            <w:r>
              <w:rPr>
                <w:sz w:val="24"/>
              </w:rPr>
              <w:t>коллективным играм, считая их неинтересными</w:t>
            </w:r>
          </w:p>
        </w:tc>
        <w:tc>
          <w:tcPr>
            <w:tcW w:w="1545" w:type="dxa"/>
          </w:tcPr>
          <w:p>
            <w:pPr>
              <w:pStyle w:val="TableParagraph"/>
              <w:rPr>
                <w:sz w:val="24"/>
              </w:rPr>
            </w:pPr>
          </w:p>
        </w:tc>
      </w:tr>
      <w:tr>
        <w:trPr>
          <w:trHeight w:val="516" w:hRule="atLeast"/>
        </w:trPr>
        <w:tc>
          <w:tcPr>
            <w:tcW w:w="2006" w:type="dxa"/>
            <w:vMerge/>
            <w:tcBorders>
              <w:top w:val="nil"/>
            </w:tcBorders>
          </w:tcPr>
          <w:p>
            <w:pPr>
              <w:rPr>
                <w:sz w:val="2"/>
                <w:szCs w:val="2"/>
              </w:rPr>
            </w:pPr>
          </w:p>
        </w:tc>
        <w:tc>
          <w:tcPr>
            <w:tcW w:w="5864" w:type="dxa"/>
          </w:tcPr>
          <w:p>
            <w:pPr>
              <w:pStyle w:val="TableParagraph"/>
              <w:spacing w:line="271" w:lineRule="exact"/>
              <w:ind w:left="108"/>
              <w:rPr>
                <w:sz w:val="24"/>
              </w:rPr>
            </w:pPr>
            <w:r>
              <w:rPr>
                <w:sz w:val="24"/>
              </w:rPr>
              <w:t>6.</w:t>
            </w:r>
            <w:r>
              <w:rPr>
                <w:spacing w:val="-3"/>
                <w:sz w:val="24"/>
              </w:rPr>
              <w:t> </w:t>
            </w:r>
            <w:r>
              <w:rPr>
                <w:sz w:val="24"/>
              </w:rPr>
              <w:t>Часто</w:t>
            </w:r>
            <w:r>
              <w:rPr>
                <w:spacing w:val="-1"/>
                <w:sz w:val="24"/>
              </w:rPr>
              <w:t> </w:t>
            </w:r>
            <w:r>
              <w:rPr>
                <w:sz w:val="24"/>
              </w:rPr>
              <w:t>сидит</w:t>
            </w:r>
            <w:r>
              <w:rPr>
                <w:spacing w:val="-1"/>
                <w:sz w:val="24"/>
              </w:rPr>
              <w:t> </w:t>
            </w:r>
            <w:r>
              <w:rPr>
                <w:sz w:val="24"/>
              </w:rPr>
              <w:t>один/на,</w:t>
            </w:r>
            <w:r>
              <w:rPr>
                <w:spacing w:val="-4"/>
                <w:sz w:val="24"/>
              </w:rPr>
              <w:t> </w:t>
            </w:r>
            <w:r>
              <w:rPr>
                <w:sz w:val="24"/>
              </w:rPr>
              <w:t>ни</w:t>
            </w:r>
            <w:r>
              <w:rPr>
                <w:spacing w:val="-1"/>
                <w:sz w:val="24"/>
              </w:rPr>
              <w:t> </w:t>
            </w:r>
            <w:r>
              <w:rPr>
                <w:sz w:val="24"/>
              </w:rPr>
              <w:t>с</w:t>
            </w:r>
            <w:r>
              <w:rPr>
                <w:spacing w:val="-2"/>
                <w:sz w:val="24"/>
              </w:rPr>
              <w:t> </w:t>
            </w:r>
            <w:r>
              <w:rPr>
                <w:sz w:val="24"/>
              </w:rPr>
              <w:t>кем</w:t>
            </w:r>
            <w:r>
              <w:rPr>
                <w:spacing w:val="-2"/>
                <w:sz w:val="24"/>
              </w:rPr>
              <w:t> </w:t>
            </w:r>
            <w:r>
              <w:rPr>
                <w:sz w:val="24"/>
              </w:rPr>
              <w:t>не</w:t>
            </w:r>
            <w:r>
              <w:rPr>
                <w:spacing w:val="-1"/>
                <w:sz w:val="24"/>
              </w:rPr>
              <w:t> </w:t>
            </w:r>
            <w:r>
              <w:rPr>
                <w:spacing w:val="-2"/>
                <w:sz w:val="24"/>
              </w:rPr>
              <w:t>общается</w:t>
            </w:r>
          </w:p>
        </w:tc>
        <w:tc>
          <w:tcPr>
            <w:tcW w:w="1545" w:type="dxa"/>
          </w:tcPr>
          <w:p>
            <w:pPr>
              <w:pStyle w:val="TableParagraph"/>
              <w:rPr>
                <w:sz w:val="24"/>
              </w:rPr>
            </w:pPr>
          </w:p>
        </w:tc>
      </w:tr>
      <w:tr>
        <w:trPr>
          <w:trHeight w:val="834" w:hRule="atLeast"/>
        </w:trPr>
        <w:tc>
          <w:tcPr>
            <w:tcW w:w="2006" w:type="dxa"/>
            <w:vMerge/>
            <w:tcBorders>
              <w:top w:val="nil"/>
            </w:tcBorders>
          </w:tcPr>
          <w:p>
            <w:pPr>
              <w:rPr>
                <w:sz w:val="2"/>
                <w:szCs w:val="2"/>
              </w:rPr>
            </w:pPr>
          </w:p>
        </w:tc>
        <w:tc>
          <w:tcPr>
            <w:tcW w:w="5864" w:type="dxa"/>
          </w:tcPr>
          <w:p>
            <w:pPr>
              <w:pStyle w:val="TableParagraph"/>
              <w:spacing w:line="276" w:lineRule="auto"/>
              <w:ind w:left="108"/>
              <w:rPr>
                <w:sz w:val="24"/>
              </w:rPr>
            </w:pPr>
            <w:r>
              <w:rPr>
                <w:sz w:val="24"/>
              </w:rPr>
              <w:t>7.</w:t>
            </w:r>
            <w:r>
              <w:rPr>
                <w:spacing w:val="-5"/>
                <w:sz w:val="24"/>
              </w:rPr>
              <w:t> </w:t>
            </w:r>
            <w:r>
              <w:rPr>
                <w:sz w:val="24"/>
              </w:rPr>
              <w:t>Все</w:t>
            </w:r>
            <w:r>
              <w:rPr>
                <w:spacing w:val="-4"/>
                <w:sz w:val="24"/>
              </w:rPr>
              <w:t> </w:t>
            </w:r>
            <w:r>
              <w:rPr>
                <w:sz w:val="24"/>
              </w:rPr>
              <w:t>время</w:t>
            </w:r>
            <w:r>
              <w:rPr>
                <w:spacing w:val="-5"/>
                <w:sz w:val="24"/>
              </w:rPr>
              <w:t> </w:t>
            </w:r>
            <w:r>
              <w:rPr>
                <w:sz w:val="24"/>
              </w:rPr>
              <w:t>говорит,</w:t>
            </w:r>
            <w:r>
              <w:rPr>
                <w:spacing w:val="-5"/>
                <w:sz w:val="24"/>
              </w:rPr>
              <w:t> </w:t>
            </w:r>
            <w:r>
              <w:rPr>
                <w:sz w:val="24"/>
              </w:rPr>
              <w:t>что</w:t>
            </w:r>
            <w:r>
              <w:rPr>
                <w:spacing w:val="-5"/>
                <w:sz w:val="24"/>
              </w:rPr>
              <w:t> </w:t>
            </w:r>
            <w:r>
              <w:rPr>
                <w:sz w:val="24"/>
              </w:rPr>
              <w:t>в</w:t>
            </w:r>
            <w:r>
              <w:rPr>
                <w:spacing w:val="-6"/>
                <w:sz w:val="24"/>
              </w:rPr>
              <w:t> </w:t>
            </w:r>
            <w:r>
              <w:rPr>
                <w:sz w:val="24"/>
              </w:rPr>
              <w:t>его/ее</w:t>
            </w:r>
            <w:r>
              <w:rPr>
                <w:spacing w:val="-7"/>
                <w:sz w:val="24"/>
              </w:rPr>
              <w:t> </w:t>
            </w:r>
            <w:r>
              <w:rPr>
                <w:sz w:val="24"/>
              </w:rPr>
              <w:t>культуре</w:t>
            </w:r>
            <w:r>
              <w:rPr>
                <w:spacing w:val="-6"/>
                <w:sz w:val="24"/>
              </w:rPr>
              <w:t> </w:t>
            </w:r>
            <w:r>
              <w:rPr>
                <w:sz w:val="24"/>
              </w:rPr>
              <w:t>все</w:t>
            </w:r>
            <w:r>
              <w:rPr>
                <w:spacing w:val="-4"/>
                <w:sz w:val="24"/>
              </w:rPr>
              <w:t> </w:t>
            </w:r>
            <w:r>
              <w:rPr>
                <w:sz w:val="24"/>
              </w:rPr>
              <w:t>самое лучшее — и еда, и одежда, и традиции</w:t>
            </w:r>
          </w:p>
        </w:tc>
        <w:tc>
          <w:tcPr>
            <w:tcW w:w="1545" w:type="dxa"/>
          </w:tcPr>
          <w:p>
            <w:pPr>
              <w:pStyle w:val="TableParagraph"/>
              <w:rPr>
                <w:sz w:val="24"/>
              </w:rPr>
            </w:pPr>
          </w:p>
        </w:tc>
      </w:tr>
      <w:tr>
        <w:trPr>
          <w:trHeight w:val="834" w:hRule="atLeast"/>
        </w:trPr>
        <w:tc>
          <w:tcPr>
            <w:tcW w:w="2006" w:type="dxa"/>
            <w:vMerge/>
            <w:tcBorders>
              <w:top w:val="nil"/>
            </w:tcBorders>
          </w:tcPr>
          <w:p>
            <w:pPr>
              <w:rPr>
                <w:sz w:val="2"/>
                <w:szCs w:val="2"/>
              </w:rPr>
            </w:pPr>
          </w:p>
        </w:tc>
        <w:tc>
          <w:tcPr>
            <w:tcW w:w="5864" w:type="dxa"/>
            <w:shd w:val="clear" w:color="auto" w:fill="EDEBE0"/>
          </w:tcPr>
          <w:p>
            <w:pPr>
              <w:pStyle w:val="TableParagraph"/>
              <w:spacing w:line="276" w:lineRule="auto"/>
              <w:ind w:left="108"/>
              <w:rPr>
                <w:sz w:val="24"/>
              </w:rPr>
            </w:pPr>
            <w:r>
              <w:rPr>
                <w:sz w:val="24"/>
              </w:rPr>
              <w:t>8.</w:t>
            </w:r>
            <w:r>
              <w:rPr>
                <w:spacing w:val="-7"/>
                <w:sz w:val="24"/>
              </w:rPr>
              <w:t> </w:t>
            </w:r>
            <w:r>
              <w:rPr>
                <w:sz w:val="24"/>
              </w:rPr>
              <w:t>Часто</w:t>
            </w:r>
            <w:r>
              <w:rPr>
                <w:spacing w:val="-7"/>
                <w:sz w:val="24"/>
              </w:rPr>
              <w:t> </w:t>
            </w:r>
            <w:r>
              <w:rPr>
                <w:sz w:val="24"/>
              </w:rPr>
              <w:t>конфликтует</w:t>
            </w:r>
            <w:r>
              <w:rPr>
                <w:spacing w:val="-7"/>
                <w:sz w:val="24"/>
              </w:rPr>
              <w:t> </w:t>
            </w:r>
            <w:r>
              <w:rPr>
                <w:sz w:val="24"/>
              </w:rPr>
              <w:t>с</w:t>
            </w:r>
            <w:r>
              <w:rPr>
                <w:spacing w:val="-6"/>
                <w:sz w:val="24"/>
              </w:rPr>
              <w:t> </w:t>
            </w:r>
            <w:r>
              <w:rPr>
                <w:sz w:val="24"/>
              </w:rPr>
              <w:t>другими</w:t>
            </w:r>
            <w:r>
              <w:rPr>
                <w:spacing w:val="-7"/>
                <w:sz w:val="24"/>
              </w:rPr>
              <w:t> </w:t>
            </w:r>
            <w:r>
              <w:rPr>
                <w:sz w:val="24"/>
              </w:rPr>
              <w:t>детьми</w:t>
            </w:r>
            <w:r>
              <w:rPr>
                <w:spacing w:val="-7"/>
                <w:sz w:val="24"/>
              </w:rPr>
              <w:t> </w:t>
            </w:r>
            <w:r>
              <w:rPr>
                <w:sz w:val="24"/>
              </w:rPr>
              <w:t>на национальной почве</w:t>
            </w:r>
          </w:p>
        </w:tc>
        <w:tc>
          <w:tcPr>
            <w:tcW w:w="1545" w:type="dxa"/>
            <w:shd w:val="clear" w:color="auto" w:fill="EDEBE0"/>
          </w:tcPr>
          <w:p>
            <w:pPr>
              <w:pStyle w:val="TableParagraph"/>
              <w:rPr>
                <w:sz w:val="24"/>
              </w:rPr>
            </w:pPr>
          </w:p>
        </w:tc>
      </w:tr>
      <w:tr>
        <w:trPr>
          <w:trHeight w:val="834" w:hRule="atLeast"/>
        </w:trPr>
        <w:tc>
          <w:tcPr>
            <w:tcW w:w="2006" w:type="dxa"/>
            <w:vMerge/>
            <w:tcBorders>
              <w:top w:val="nil"/>
            </w:tcBorders>
          </w:tcPr>
          <w:p>
            <w:pPr>
              <w:rPr>
                <w:sz w:val="2"/>
                <w:szCs w:val="2"/>
              </w:rPr>
            </w:pPr>
          </w:p>
        </w:tc>
        <w:tc>
          <w:tcPr>
            <w:tcW w:w="5864" w:type="dxa"/>
            <w:shd w:val="clear" w:color="auto" w:fill="EDEBE0"/>
          </w:tcPr>
          <w:p>
            <w:pPr>
              <w:pStyle w:val="TableParagraph"/>
              <w:spacing w:line="276" w:lineRule="auto"/>
              <w:ind w:left="108" w:right="188"/>
              <w:rPr>
                <w:sz w:val="24"/>
              </w:rPr>
            </w:pPr>
            <w:r>
              <w:rPr>
                <w:sz w:val="24"/>
              </w:rPr>
              <w:t>9.</w:t>
            </w:r>
            <w:r>
              <w:rPr>
                <w:spacing w:val="-9"/>
                <w:sz w:val="24"/>
              </w:rPr>
              <w:t> </w:t>
            </w:r>
            <w:r>
              <w:rPr>
                <w:sz w:val="24"/>
              </w:rPr>
              <w:t>Не</w:t>
            </w:r>
            <w:r>
              <w:rPr>
                <w:spacing w:val="-6"/>
                <w:sz w:val="24"/>
              </w:rPr>
              <w:t> </w:t>
            </w:r>
            <w:r>
              <w:rPr>
                <w:sz w:val="24"/>
              </w:rPr>
              <w:t>упускает</w:t>
            </w:r>
            <w:r>
              <w:rPr>
                <w:spacing w:val="-9"/>
                <w:sz w:val="24"/>
              </w:rPr>
              <w:t> </w:t>
            </w:r>
            <w:r>
              <w:rPr>
                <w:sz w:val="24"/>
              </w:rPr>
              <w:t>случая</w:t>
            </w:r>
            <w:r>
              <w:rPr>
                <w:spacing w:val="-9"/>
                <w:sz w:val="24"/>
              </w:rPr>
              <w:t> </w:t>
            </w:r>
            <w:r>
              <w:rPr>
                <w:sz w:val="24"/>
              </w:rPr>
              <w:t>пренебрежительно</w:t>
            </w:r>
            <w:r>
              <w:rPr>
                <w:spacing w:val="-9"/>
                <w:sz w:val="24"/>
              </w:rPr>
              <w:t> </w:t>
            </w:r>
            <w:r>
              <w:rPr>
                <w:sz w:val="24"/>
              </w:rPr>
              <w:t>высказаться о принимающей культуре</w:t>
            </w:r>
          </w:p>
        </w:tc>
        <w:tc>
          <w:tcPr>
            <w:tcW w:w="1545" w:type="dxa"/>
            <w:shd w:val="clear" w:color="auto" w:fill="EDEBE0"/>
          </w:tcPr>
          <w:p>
            <w:pPr>
              <w:pStyle w:val="TableParagraph"/>
              <w:rPr>
                <w:sz w:val="24"/>
              </w:rPr>
            </w:pPr>
          </w:p>
        </w:tc>
      </w:tr>
      <w:tr>
        <w:trPr>
          <w:trHeight w:val="518" w:hRule="atLeast"/>
        </w:trPr>
        <w:tc>
          <w:tcPr>
            <w:tcW w:w="2006" w:type="dxa"/>
            <w:vMerge/>
            <w:tcBorders>
              <w:top w:val="nil"/>
            </w:tcBorders>
          </w:tcPr>
          <w:p>
            <w:pPr>
              <w:rPr>
                <w:sz w:val="2"/>
                <w:szCs w:val="2"/>
              </w:rPr>
            </w:pPr>
          </w:p>
        </w:tc>
        <w:tc>
          <w:tcPr>
            <w:tcW w:w="5864" w:type="dxa"/>
            <w:shd w:val="clear" w:color="auto" w:fill="EDEBE0"/>
          </w:tcPr>
          <w:p>
            <w:pPr>
              <w:pStyle w:val="TableParagraph"/>
              <w:spacing w:line="273" w:lineRule="exact"/>
              <w:ind w:left="108"/>
              <w:rPr>
                <w:sz w:val="24"/>
              </w:rPr>
            </w:pPr>
            <w:r>
              <w:rPr>
                <w:sz w:val="24"/>
              </w:rPr>
              <w:t>10.</w:t>
            </w:r>
            <w:r>
              <w:rPr>
                <w:spacing w:val="-3"/>
                <w:sz w:val="24"/>
              </w:rPr>
              <w:t> </w:t>
            </w:r>
            <w:r>
              <w:rPr>
                <w:sz w:val="24"/>
              </w:rPr>
              <w:t>Всячески</w:t>
            </w:r>
            <w:r>
              <w:rPr>
                <w:spacing w:val="-2"/>
                <w:sz w:val="24"/>
              </w:rPr>
              <w:t> </w:t>
            </w:r>
            <w:r>
              <w:rPr>
                <w:sz w:val="24"/>
              </w:rPr>
              <w:t>превозносит</w:t>
            </w:r>
            <w:r>
              <w:rPr>
                <w:spacing w:val="-2"/>
                <w:sz w:val="24"/>
              </w:rPr>
              <w:t> </w:t>
            </w:r>
            <w:r>
              <w:rPr>
                <w:sz w:val="24"/>
              </w:rPr>
              <w:t>свою</w:t>
            </w:r>
            <w:r>
              <w:rPr>
                <w:spacing w:val="-2"/>
                <w:sz w:val="24"/>
              </w:rPr>
              <w:t> культуру</w:t>
            </w:r>
          </w:p>
        </w:tc>
        <w:tc>
          <w:tcPr>
            <w:tcW w:w="1545" w:type="dxa"/>
            <w:shd w:val="clear" w:color="auto" w:fill="EDEBE0"/>
          </w:tcPr>
          <w:p>
            <w:pPr>
              <w:pStyle w:val="TableParagraph"/>
              <w:rPr>
                <w:sz w:val="24"/>
              </w:rPr>
            </w:pPr>
          </w:p>
        </w:tc>
      </w:tr>
      <w:tr>
        <w:trPr>
          <w:trHeight w:val="1151" w:hRule="atLeast"/>
        </w:trPr>
        <w:tc>
          <w:tcPr>
            <w:tcW w:w="2006" w:type="dxa"/>
            <w:vMerge/>
            <w:tcBorders>
              <w:top w:val="nil"/>
            </w:tcBorders>
          </w:tcPr>
          <w:p>
            <w:pPr>
              <w:rPr>
                <w:sz w:val="2"/>
                <w:szCs w:val="2"/>
              </w:rPr>
            </w:pPr>
          </w:p>
        </w:tc>
        <w:tc>
          <w:tcPr>
            <w:tcW w:w="5864" w:type="dxa"/>
            <w:shd w:val="clear" w:color="auto" w:fill="EDEBE0"/>
          </w:tcPr>
          <w:p>
            <w:pPr>
              <w:pStyle w:val="TableParagraph"/>
              <w:spacing w:line="276" w:lineRule="auto"/>
              <w:ind w:left="108"/>
              <w:rPr>
                <w:sz w:val="24"/>
              </w:rPr>
            </w:pPr>
            <w:r>
              <w:rPr>
                <w:sz w:val="24"/>
              </w:rPr>
              <w:t>11. Одевается в соответствии с нормами своей культуры,</w:t>
            </w:r>
            <w:r>
              <w:rPr>
                <w:spacing w:val="-7"/>
                <w:sz w:val="24"/>
              </w:rPr>
              <w:t> </w:t>
            </w:r>
            <w:r>
              <w:rPr>
                <w:sz w:val="24"/>
              </w:rPr>
              <w:t>даже</w:t>
            </w:r>
            <w:r>
              <w:rPr>
                <w:spacing w:val="-8"/>
                <w:sz w:val="24"/>
              </w:rPr>
              <w:t> </w:t>
            </w:r>
            <w:r>
              <w:rPr>
                <w:sz w:val="24"/>
              </w:rPr>
              <w:t>если</w:t>
            </w:r>
            <w:r>
              <w:rPr>
                <w:spacing w:val="-6"/>
                <w:sz w:val="24"/>
              </w:rPr>
              <w:t> </w:t>
            </w:r>
            <w:r>
              <w:rPr>
                <w:sz w:val="24"/>
              </w:rPr>
              <w:t>это</w:t>
            </w:r>
            <w:r>
              <w:rPr>
                <w:spacing w:val="-7"/>
                <w:sz w:val="24"/>
              </w:rPr>
              <w:t> </w:t>
            </w:r>
            <w:r>
              <w:rPr>
                <w:sz w:val="24"/>
              </w:rPr>
              <w:t>вызывает</w:t>
            </w:r>
            <w:r>
              <w:rPr>
                <w:spacing w:val="-7"/>
                <w:sz w:val="24"/>
              </w:rPr>
              <w:t> </w:t>
            </w:r>
            <w:r>
              <w:rPr>
                <w:sz w:val="24"/>
              </w:rPr>
              <w:t>непонимание</w:t>
            </w:r>
            <w:r>
              <w:rPr>
                <w:spacing w:val="-8"/>
                <w:sz w:val="24"/>
              </w:rPr>
              <w:t> </w:t>
            </w:r>
            <w:r>
              <w:rPr>
                <w:sz w:val="24"/>
              </w:rPr>
              <w:t>и насмешки со стороны других детей</w:t>
            </w:r>
          </w:p>
        </w:tc>
        <w:tc>
          <w:tcPr>
            <w:tcW w:w="1545" w:type="dxa"/>
            <w:shd w:val="clear" w:color="auto" w:fill="EDEBE0"/>
          </w:tcPr>
          <w:p>
            <w:pPr>
              <w:pStyle w:val="TableParagraph"/>
              <w:rPr>
                <w:sz w:val="24"/>
              </w:rPr>
            </w:pPr>
          </w:p>
        </w:tc>
      </w:tr>
      <w:tr>
        <w:trPr>
          <w:trHeight w:val="834" w:hRule="atLeast"/>
        </w:trPr>
        <w:tc>
          <w:tcPr>
            <w:tcW w:w="2006" w:type="dxa"/>
            <w:vMerge/>
            <w:tcBorders>
              <w:top w:val="nil"/>
            </w:tcBorders>
          </w:tcPr>
          <w:p>
            <w:pPr>
              <w:rPr>
                <w:sz w:val="2"/>
                <w:szCs w:val="2"/>
              </w:rPr>
            </w:pPr>
          </w:p>
        </w:tc>
        <w:tc>
          <w:tcPr>
            <w:tcW w:w="5864" w:type="dxa"/>
            <w:shd w:val="clear" w:color="auto" w:fill="EDEBE0"/>
          </w:tcPr>
          <w:p>
            <w:pPr>
              <w:pStyle w:val="TableParagraph"/>
              <w:spacing w:line="276" w:lineRule="auto"/>
              <w:ind w:left="108"/>
              <w:rPr>
                <w:sz w:val="24"/>
              </w:rPr>
            </w:pPr>
            <w:r>
              <w:rPr>
                <w:sz w:val="24"/>
              </w:rPr>
              <w:t>12. В школе во время уроков и в свободное время общается</w:t>
            </w:r>
            <w:r>
              <w:rPr>
                <w:spacing w:val="-8"/>
                <w:sz w:val="24"/>
              </w:rPr>
              <w:t> </w:t>
            </w:r>
            <w:r>
              <w:rPr>
                <w:sz w:val="24"/>
              </w:rPr>
              <w:t>только</w:t>
            </w:r>
            <w:r>
              <w:rPr>
                <w:spacing w:val="-8"/>
                <w:sz w:val="24"/>
              </w:rPr>
              <w:t> </w:t>
            </w:r>
            <w:r>
              <w:rPr>
                <w:sz w:val="24"/>
              </w:rPr>
              <w:t>с</w:t>
            </w:r>
            <w:r>
              <w:rPr>
                <w:spacing w:val="-9"/>
                <w:sz w:val="24"/>
              </w:rPr>
              <w:t> </w:t>
            </w:r>
            <w:r>
              <w:rPr>
                <w:sz w:val="24"/>
              </w:rPr>
              <w:t>представителями</w:t>
            </w:r>
            <w:r>
              <w:rPr>
                <w:spacing w:val="-8"/>
                <w:sz w:val="24"/>
              </w:rPr>
              <w:t> </w:t>
            </w:r>
            <w:r>
              <w:rPr>
                <w:sz w:val="24"/>
              </w:rPr>
              <w:t>своей</w:t>
            </w:r>
            <w:r>
              <w:rPr>
                <w:spacing w:val="-8"/>
                <w:sz w:val="24"/>
              </w:rPr>
              <w:t> </w:t>
            </w:r>
            <w:r>
              <w:rPr>
                <w:sz w:val="24"/>
              </w:rPr>
              <w:t>культуры</w:t>
            </w:r>
          </w:p>
        </w:tc>
        <w:tc>
          <w:tcPr>
            <w:tcW w:w="1545" w:type="dxa"/>
            <w:shd w:val="clear" w:color="auto" w:fill="EDEBE0"/>
          </w:tcPr>
          <w:p>
            <w:pPr>
              <w:pStyle w:val="TableParagraph"/>
              <w:rPr>
                <w:sz w:val="24"/>
              </w:rPr>
            </w:pPr>
          </w:p>
        </w:tc>
      </w:tr>
      <w:tr>
        <w:trPr>
          <w:trHeight w:val="1154" w:hRule="atLeast"/>
        </w:trPr>
        <w:tc>
          <w:tcPr>
            <w:tcW w:w="2006" w:type="dxa"/>
            <w:vMerge/>
            <w:tcBorders>
              <w:top w:val="nil"/>
            </w:tcBorders>
          </w:tcPr>
          <w:p>
            <w:pPr>
              <w:rPr>
                <w:sz w:val="2"/>
                <w:szCs w:val="2"/>
              </w:rPr>
            </w:pPr>
          </w:p>
        </w:tc>
        <w:tc>
          <w:tcPr>
            <w:tcW w:w="5864" w:type="dxa"/>
            <w:shd w:val="clear" w:color="auto" w:fill="EDEBE0"/>
          </w:tcPr>
          <w:p>
            <w:pPr>
              <w:pStyle w:val="TableParagraph"/>
              <w:spacing w:line="276" w:lineRule="auto"/>
              <w:ind w:left="108" w:right="355"/>
              <w:jc w:val="both"/>
              <w:rPr>
                <w:sz w:val="24"/>
              </w:rPr>
            </w:pPr>
            <w:r>
              <w:rPr>
                <w:sz w:val="24"/>
              </w:rPr>
              <w:t>13.</w:t>
            </w:r>
            <w:r>
              <w:rPr>
                <w:spacing w:val="-5"/>
                <w:sz w:val="24"/>
              </w:rPr>
              <w:t> </w:t>
            </w:r>
            <w:r>
              <w:rPr>
                <w:sz w:val="24"/>
              </w:rPr>
              <w:t>Говорит,</w:t>
            </w:r>
            <w:r>
              <w:rPr>
                <w:spacing w:val="-5"/>
                <w:sz w:val="24"/>
              </w:rPr>
              <w:t> </w:t>
            </w:r>
            <w:r>
              <w:rPr>
                <w:sz w:val="24"/>
              </w:rPr>
              <w:t>что</w:t>
            </w:r>
            <w:r>
              <w:rPr>
                <w:spacing w:val="-5"/>
                <w:sz w:val="24"/>
              </w:rPr>
              <w:t> </w:t>
            </w:r>
            <w:r>
              <w:rPr>
                <w:sz w:val="24"/>
              </w:rPr>
              <w:t>все</w:t>
            </w:r>
            <w:r>
              <w:rPr>
                <w:spacing w:val="-6"/>
                <w:sz w:val="24"/>
              </w:rPr>
              <w:t> </w:t>
            </w:r>
            <w:r>
              <w:rPr>
                <w:sz w:val="24"/>
              </w:rPr>
              <w:t>равно</w:t>
            </w:r>
            <w:r>
              <w:rPr>
                <w:spacing w:val="-3"/>
                <w:sz w:val="24"/>
              </w:rPr>
              <w:t> </w:t>
            </w:r>
            <w:r>
              <w:rPr>
                <w:sz w:val="24"/>
              </w:rPr>
              <w:t>уедет</w:t>
            </w:r>
            <w:r>
              <w:rPr>
                <w:spacing w:val="-5"/>
                <w:sz w:val="24"/>
              </w:rPr>
              <w:t> </w:t>
            </w:r>
            <w:r>
              <w:rPr>
                <w:sz w:val="24"/>
              </w:rPr>
              <w:t>на</w:t>
            </w:r>
            <w:r>
              <w:rPr>
                <w:spacing w:val="-6"/>
                <w:sz w:val="24"/>
              </w:rPr>
              <w:t> </w:t>
            </w:r>
            <w:r>
              <w:rPr>
                <w:sz w:val="24"/>
              </w:rPr>
              <w:t>родину,</w:t>
            </w:r>
            <w:r>
              <w:rPr>
                <w:spacing w:val="-5"/>
                <w:sz w:val="24"/>
              </w:rPr>
              <w:t> </w:t>
            </w:r>
            <w:r>
              <w:rPr>
                <w:sz w:val="24"/>
              </w:rPr>
              <w:t>поэтому незачем учить русский</w:t>
            </w:r>
            <w:r>
              <w:rPr>
                <w:spacing w:val="-3"/>
                <w:sz w:val="24"/>
              </w:rPr>
              <w:t> </w:t>
            </w:r>
            <w:r>
              <w:rPr>
                <w:sz w:val="24"/>
              </w:rPr>
              <w:t>язык</w:t>
            </w:r>
            <w:r>
              <w:rPr>
                <w:spacing w:val="-1"/>
                <w:sz w:val="24"/>
              </w:rPr>
              <w:t> </w:t>
            </w:r>
            <w:r>
              <w:rPr>
                <w:sz w:val="24"/>
              </w:rPr>
              <w:t>и учиться</w:t>
            </w:r>
            <w:r>
              <w:rPr>
                <w:spacing w:val="-1"/>
                <w:sz w:val="24"/>
              </w:rPr>
              <w:t> </w:t>
            </w:r>
            <w:r>
              <w:rPr>
                <w:sz w:val="24"/>
              </w:rPr>
              <w:t>в</w:t>
            </w:r>
            <w:r>
              <w:rPr>
                <w:spacing w:val="-2"/>
                <w:sz w:val="24"/>
              </w:rPr>
              <w:t> </w:t>
            </w:r>
            <w:r>
              <w:rPr>
                <w:sz w:val="24"/>
              </w:rPr>
              <w:t>российской </w:t>
            </w:r>
            <w:r>
              <w:rPr>
                <w:spacing w:val="-2"/>
                <w:sz w:val="24"/>
              </w:rPr>
              <w:t>школе</w:t>
            </w:r>
          </w:p>
        </w:tc>
        <w:tc>
          <w:tcPr>
            <w:tcW w:w="1545" w:type="dxa"/>
            <w:shd w:val="clear" w:color="auto" w:fill="EDEBE0"/>
          </w:tcPr>
          <w:p>
            <w:pPr>
              <w:pStyle w:val="TableParagraph"/>
              <w:rPr>
                <w:sz w:val="24"/>
              </w:rPr>
            </w:pPr>
          </w:p>
        </w:tc>
      </w:tr>
      <w:tr>
        <w:trPr>
          <w:trHeight w:val="633" w:hRule="atLeast"/>
        </w:trPr>
        <w:tc>
          <w:tcPr>
            <w:tcW w:w="2006" w:type="dxa"/>
          </w:tcPr>
          <w:p>
            <w:pPr>
              <w:pStyle w:val="TableParagraph"/>
              <w:spacing w:before="56"/>
              <w:ind w:left="10"/>
              <w:jc w:val="center"/>
              <w:rPr>
                <w:b/>
                <w:i/>
                <w:sz w:val="24"/>
              </w:rPr>
            </w:pPr>
            <w:r>
              <w:rPr>
                <w:b/>
                <w:i/>
                <w:spacing w:val="-2"/>
                <w:sz w:val="24"/>
              </w:rPr>
              <w:t>Маргинализация</w:t>
            </w:r>
          </w:p>
        </w:tc>
        <w:tc>
          <w:tcPr>
            <w:tcW w:w="5864" w:type="dxa"/>
          </w:tcPr>
          <w:p>
            <w:pPr>
              <w:pStyle w:val="TableParagraph"/>
              <w:spacing w:line="270" w:lineRule="exact"/>
              <w:ind w:left="108"/>
              <w:rPr>
                <w:sz w:val="24"/>
              </w:rPr>
            </w:pPr>
            <w:r>
              <w:rPr>
                <w:sz w:val="24"/>
              </w:rPr>
              <w:t>1.</w:t>
            </w:r>
            <w:r>
              <w:rPr>
                <w:spacing w:val="1"/>
                <w:sz w:val="24"/>
              </w:rPr>
              <w:t> </w:t>
            </w:r>
            <w:r>
              <w:rPr>
                <w:sz w:val="24"/>
              </w:rPr>
              <w:t>«Меняет</w:t>
            </w:r>
            <w:r>
              <w:rPr>
                <w:spacing w:val="-3"/>
                <w:sz w:val="24"/>
              </w:rPr>
              <w:t> </w:t>
            </w:r>
            <w:r>
              <w:rPr>
                <w:sz w:val="24"/>
              </w:rPr>
              <w:t>маски»:</w:t>
            </w:r>
            <w:r>
              <w:rPr>
                <w:spacing w:val="-2"/>
                <w:sz w:val="24"/>
              </w:rPr>
              <w:t> </w:t>
            </w:r>
            <w:r>
              <w:rPr>
                <w:sz w:val="24"/>
              </w:rPr>
              <w:t>в</w:t>
            </w:r>
            <w:r>
              <w:rPr>
                <w:spacing w:val="-4"/>
                <w:sz w:val="24"/>
              </w:rPr>
              <w:t> </w:t>
            </w:r>
            <w:r>
              <w:rPr>
                <w:sz w:val="24"/>
              </w:rPr>
              <w:t>классе</w:t>
            </w:r>
            <w:r>
              <w:rPr>
                <w:spacing w:val="-3"/>
                <w:sz w:val="24"/>
              </w:rPr>
              <w:t> </w:t>
            </w:r>
            <w:r>
              <w:rPr>
                <w:spacing w:val="-2"/>
                <w:sz w:val="24"/>
              </w:rPr>
              <w:t>демонстрирует</w:t>
            </w:r>
          </w:p>
          <w:p>
            <w:pPr>
              <w:pStyle w:val="TableParagraph"/>
              <w:spacing w:before="41"/>
              <w:ind w:left="108"/>
              <w:rPr>
                <w:sz w:val="24"/>
              </w:rPr>
            </w:pPr>
            <w:r>
              <w:rPr>
                <w:sz w:val="24"/>
              </w:rPr>
              <w:t>лояльность</w:t>
            </w:r>
            <w:r>
              <w:rPr>
                <w:spacing w:val="-8"/>
                <w:sz w:val="24"/>
              </w:rPr>
              <w:t> </w:t>
            </w:r>
            <w:r>
              <w:rPr>
                <w:sz w:val="24"/>
              </w:rPr>
              <w:t>принимающей</w:t>
            </w:r>
            <w:r>
              <w:rPr>
                <w:spacing w:val="-5"/>
                <w:sz w:val="24"/>
              </w:rPr>
              <w:t> </w:t>
            </w:r>
            <w:r>
              <w:rPr>
                <w:sz w:val="24"/>
              </w:rPr>
              <w:t>культуре,</w:t>
            </w:r>
            <w:r>
              <w:rPr>
                <w:spacing w:val="-4"/>
                <w:sz w:val="24"/>
              </w:rPr>
              <w:t> </w:t>
            </w:r>
            <w:r>
              <w:rPr>
                <w:sz w:val="24"/>
              </w:rPr>
              <w:t>а</w:t>
            </w:r>
            <w:r>
              <w:rPr>
                <w:spacing w:val="-5"/>
                <w:sz w:val="24"/>
              </w:rPr>
              <w:t> </w:t>
            </w:r>
            <w:r>
              <w:rPr>
                <w:spacing w:val="-2"/>
                <w:sz w:val="24"/>
              </w:rPr>
              <w:t>среди</w:t>
            </w:r>
          </w:p>
        </w:tc>
        <w:tc>
          <w:tcPr>
            <w:tcW w:w="1545" w:type="dxa"/>
          </w:tcPr>
          <w:p>
            <w:pPr>
              <w:pStyle w:val="TableParagraph"/>
              <w:rPr>
                <w:sz w:val="24"/>
              </w:rPr>
            </w:pPr>
          </w:p>
        </w:tc>
      </w:tr>
    </w:tbl>
    <w:p>
      <w:pPr>
        <w:pStyle w:val="TableParagraph"/>
        <w:spacing w:after="0"/>
        <w:rPr>
          <w:sz w:val="24"/>
        </w:rPr>
        <w:sectPr>
          <w:pgSz w:w="11910" w:h="16840"/>
          <w:pgMar w:header="0" w:footer="970" w:top="1040" w:bottom="1220" w:left="1417" w:right="283"/>
        </w:sect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06"/>
        <w:gridCol w:w="5864"/>
        <w:gridCol w:w="1545"/>
      </w:tblGrid>
      <w:tr>
        <w:trPr>
          <w:trHeight w:val="835" w:hRule="atLeast"/>
        </w:trPr>
        <w:tc>
          <w:tcPr>
            <w:tcW w:w="2006" w:type="dxa"/>
            <w:vMerge w:val="restart"/>
          </w:tcPr>
          <w:p>
            <w:pPr>
              <w:pStyle w:val="TableParagraph"/>
              <w:rPr>
                <w:sz w:val="24"/>
              </w:rPr>
            </w:pPr>
          </w:p>
        </w:tc>
        <w:tc>
          <w:tcPr>
            <w:tcW w:w="5864" w:type="dxa"/>
          </w:tcPr>
          <w:p>
            <w:pPr>
              <w:pStyle w:val="TableParagraph"/>
              <w:spacing w:line="276" w:lineRule="auto"/>
              <w:ind w:left="108"/>
              <w:rPr>
                <w:sz w:val="24"/>
              </w:rPr>
            </w:pPr>
            <w:r>
              <w:rPr>
                <w:sz w:val="24"/>
              </w:rPr>
              <w:t>представителей</w:t>
            </w:r>
            <w:r>
              <w:rPr>
                <w:spacing w:val="-10"/>
                <w:sz w:val="24"/>
              </w:rPr>
              <w:t> </w:t>
            </w:r>
            <w:r>
              <w:rPr>
                <w:sz w:val="24"/>
              </w:rPr>
              <w:t>своей</w:t>
            </w:r>
            <w:r>
              <w:rPr>
                <w:spacing w:val="-10"/>
                <w:sz w:val="24"/>
              </w:rPr>
              <w:t> </w:t>
            </w:r>
            <w:r>
              <w:rPr>
                <w:sz w:val="24"/>
              </w:rPr>
              <w:t>культуры</w:t>
            </w:r>
            <w:r>
              <w:rPr>
                <w:spacing w:val="-9"/>
                <w:sz w:val="24"/>
              </w:rPr>
              <w:t> </w:t>
            </w:r>
            <w:r>
              <w:rPr>
                <w:sz w:val="24"/>
              </w:rPr>
              <w:t>—</w:t>
            </w:r>
            <w:r>
              <w:rPr>
                <w:spacing w:val="-10"/>
                <w:sz w:val="24"/>
              </w:rPr>
              <w:t> </w:t>
            </w:r>
            <w:r>
              <w:rPr>
                <w:sz w:val="24"/>
              </w:rPr>
              <w:t>приверженность традициям собственной страны</w:t>
            </w:r>
          </w:p>
        </w:tc>
        <w:tc>
          <w:tcPr>
            <w:tcW w:w="1545" w:type="dxa"/>
          </w:tcPr>
          <w:p>
            <w:pPr>
              <w:pStyle w:val="TableParagraph"/>
              <w:rPr>
                <w:sz w:val="24"/>
              </w:rPr>
            </w:pPr>
          </w:p>
        </w:tc>
      </w:tr>
      <w:tr>
        <w:trPr>
          <w:trHeight w:val="834" w:hRule="atLeast"/>
        </w:trPr>
        <w:tc>
          <w:tcPr>
            <w:tcW w:w="2006" w:type="dxa"/>
            <w:vMerge/>
            <w:tcBorders>
              <w:top w:val="nil"/>
            </w:tcBorders>
          </w:tcPr>
          <w:p>
            <w:pPr>
              <w:rPr>
                <w:sz w:val="2"/>
                <w:szCs w:val="2"/>
              </w:rPr>
            </w:pPr>
          </w:p>
        </w:tc>
        <w:tc>
          <w:tcPr>
            <w:tcW w:w="5864" w:type="dxa"/>
          </w:tcPr>
          <w:p>
            <w:pPr>
              <w:pStyle w:val="TableParagraph"/>
              <w:spacing w:line="276" w:lineRule="auto"/>
              <w:ind w:left="108"/>
              <w:rPr>
                <w:sz w:val="24"/>
              </w:rPr>
            </w:pPr>
            <w:r>
              <w:rPr>
                <w:sz w:val="24"/>
              </w:rPr>
              <w:t>2.</w:t>
            </w:r>
            <w:r>
              <w:rPr>
                <w:spacing w:val="-7"/>
                <w:sz w:val="24"/>
              </w:rPr>
              <w:t> </w:t>
            </w:r>
            <w:r>
              <w:rPr>
                <w:sz w:val="24"/>
              </w:rPr>
              <w:t>Во</w:t>
            </w:r>
            <w:r>
              <w:rPr>
                <w:spacing w:val="-7"/>
                <w:sz w:val="24"/>
              </w:rPr>
              <w:t> </w:t>
            </w:r>
            <w:r>
              <w:rPr>
                <w:sz w:val="24"/>
              </w:rPr>
              <w:t>время</w:t>
            </w:r>
            <w:r>
              <w:rPr>
                <w:spacing w:val="-7"/>
                <w:sz w:val="24"/>
              </w:rPr>
              <w:t> </w:t>
            </w:r>
            <w:r>
              <w:rPr>
                <w:sz w:val="24"/>
              </w:rPr>
              <w:t>разговоров</w:t>
            </w:r>
            <w:r>
              <w:rPr>
                <w:spacing w:val="-6"/>
                <w:sz w:val="24"/>
              </w:rPr>
              <w:t> </w:t>
            </w:r>
            <w:r>
              <w:rPr>
                <w:sz w:val="24"/>
              </w:rPr>
              <w:t>о</w:t>
            </w:r>
            <w:r>
              <w:rPr>
                <w:spacing w:val="-7"/>
                <w:sz w:val="24"/>
              </w:rPr>
              <w:t> </w:t>
            </w:r>
            <w:r>
              <w:rPr>
                <w:sz w:val="24"/>
              </w:rPr>
              <w:t>собственной</w:t>
            </w:r>
            <w:r>
              <w:rPr>
                <w:spacing w:val="-7"/>
                <w:sz w:val="24"/>
              </w:rPr>
              <w:t> </w:t>
            </w:r>
            <w:r>
              <w:rPr>
                <w:sz w:val="24"/>
              </w:rPr>
              <w:t>культурной принадлежности проявляет признаки тревоги</w:t>
            </w:r>
          </w:p>
        </w:tc>
        <w:tc>
          <w:tcPr>
            <w:tcW w:w="1545" w:type="dxa"/>
          </w:tcPr>
          <w:p>
            <w:pPr>
              <w:pStyle w:val="TableParagraph"/>
              <w:rPr>
                <w:sz w:val="24"/>
              </w:rPr>
            </w:pPr>
          </w:p>
        </w:tc>
      </w:tr>
      <w:tr>
        <w:trPr>
          <w:trHeight w:val="628" w:hRule="atLeast"/>
        </w:trPr>
        <w:tc>
          <w:tcPr>
            <w:tcW w:w="2006" w:type="dxa"/>
            <w:vMerge/>
            <w:tcBorders>
              <w:top w:val="nil"/>
            </w:tcBorders>
          </w:tcPr>
          <w:p>
            <w:pPr>
              <w:rPr>
                <w:sz w:val="2"/>
                <w:szCs w:val="2"/>
              </w:rPr>
            </w:pPr>
          </w:p>
        </w:tc>
        <w:tc>
          <w:tcPr>
            <w:tcW w:w="5864" w:type="dxa"/>
          </w:tcPr>
          <w:p>
            <w:pPr>
              <w:pStyle w:val="TableParagraph"/>
              <w:spacing w:line="273" w:lineRule="exact"/>
              <w:ind w:left="108"/>
              <w:rPr>
                <w:sz w:val="24"/>
              </w:rPr>
            </w:pPr>
            <w:r>
              <w:rPr>
                <w:sz w:val="24"/>
              </w:rPr>
              <w:t>3.</w:t>
            </w:r>
            <w:r>
              <w:rPr>
                <w:spacing w:val="-3"/>
                <w:sz w:val="24"/>
              </w:rPr>
              <w:t> </w:t>
            </w:r>
            <w:r>
              <w:rPr>
                <w:sz w:val="24"/>
              </w:rPr>
              <w:t>Никогда</w:t>
            </w:r>
            <w:r>
              <w:rPr>
                <w:spacing w:val="-4"/>
                <w:sz w:val="24"/>
              </w:rPr>
              <w:t> </w:t>
            </w:r>
            <w:r>
              <w:rPr>
                <w:sz w:val="24"/>
              </w:rPr>
              <w:t>не</w:t>
            </w:r>
            <w:r>
              <w:rPr>
                <w:spacing w:val="-4"/>
                <w:sz w:val="24"/>
              </w:rPr>
              <w:t> </w:t>
            </w:r>
            <w:r>
              <w:rPr>
                <w:sz w:val="24"/>
              </w:rPr>
              <w:t>приглашает</w:t>
            </w:r>
            <w:r>
              <w:rPr>
                <w:spacing w:val="-3"/>
                <w:sz w:val="24"/>
              </w:rPr>
              <w:t> </w:t>
            </w:r>
            <w:r>
              <w:rPr>
                <w:sz w:val="24"/>
              </w:rPr>
              <w:t>своих</w:t>
            </w:r>
            <w:r>
              <w:rPr>
                <w:spacing w:val="-1"/>
                <w:sz w:val="24"/>
              </w:rPr>
              <w:t> </w:t>
            </w:r>
            <w:r>
              <w:rPr>
                <w:sz w:val="24"/>
              </w:rPr>
              <w:t>русских</w:t>
            </w:r>
            <w:r>
              <w:rPr>
                <w:spacing w:val="-2"/>
                <w:sz w:val="24"/>
              </w:rPr>
              <w:t> </w:t>
            </w:r>
            <w:r>
              <w:rPr>
                <w:sz w:val="24"/>
              </w:rPr>
              <w:t>друзей</w:t>
            </w:r>
            <w:r>
              <w:rPr>
                <w:spacing w:val="-2"/>
                <w:sz w:val="24"/>
              </w:rPr>
              <w:t> домой</w:t>
            </w:r>
          </w:p>
        </w:tc>
        <w:tc>
          <w:tcPr>
            <w:tcW w:w="1545" w:type="dxa"/>
          </w:tcPr>
          <w:p>
            <w:pPr>
              <w:pStyle w:val="TableParagraph"/>
              <w:rPr>
                <w:sz w:val="24"/>
              </w:rPr>
            </w:pPr>
          </w:p>
        </w:tc>
      </w:tr>
      <w:tr>
        <w:trPr>
          <w:trHeight w:val="1151" w:hRule="atLeast"/>
        </w:trPr>
        <w:tc>
          <w:tcPr>
            <w:tcW w:w="2006" w:type="dxa"/>
            <w:vMerge/>
            <w:tcBorders>
              <w:top w:val="nil"/>
            </w:tcBorders>
          </w:tcPr>
          <w:p>
            <w:pPr>
              <w:rPr>
                <w:sz w:val="2"/>
                <w:szCs w:val="2"/>
              </w:rPr>
            </w:pPr>
          </w:p>
        </w:tc>
        <w:tc>
          <w:tcPr>
            <w:tcW w:w="5864" w:type="dxa"/>
          </w:tcPr>
          <w:p>
            <w:pPr>
              <w:pStyle w:val="TableParagraph"/>
              <w:spacing w:line="276" w:lineRule="auto"/>
              <w:ind w:left="108" w:right="188"/>
              <w:rPr>
                <w:sz w:val="24"/>
              </w:rPr>
            </w:pPr>
            <w:r>
              <w:rPr>
                <w:sz w:val="24"/>
              </w:rPr>
              <w:t>4.</w:t>
            </w:r>
            <w:r>
              <w:rPr>
                <w:spacing w:val="-6"/>
                <w:sz w:val="24"/>
              </w:rPr>
              <w:t> </w:t>
            </w:r>
            <w:r>
              <w:rPr>
                <w:sz w:val="24"/>
              </w:rPr>
              <w:t>Стремится</w:t>
            </w:r>
            <w:r>
              <w:rPr>
                <w:spacing w:val="-6"/>
                <w:sz w:val="24"/>
              </w:rPr>
              <w:t> </w:t>
            </w:r>
            <w:r>
              <w:rPr>
                <w:sz w:val="24"/>
              </w:rPr>
              <w:t>свести</w:t>
            </w:r>
            <w:r>
              <w:rPr>
                <w:spacing w:val="-6"/>
                <w:sz w:val="24"/>
              </w:rPr>
              <w:t> </w:t>
            </w:r>
            <w:r>
              <w:rPr>
                <w:sz w:val="24"/>
              </w:rPr>
              <w:t>к</w:t>
            </w:r>
            <w:r>
              <w:rPr>
                <w:spacing w:val="-6"/>
                <w:sz w:val="24"/>
              </w:rPr>
              <w:t> </w:t>
            </w:r>
            <w:r>
              <w:rPr>
                <w:sz w:val="24"/>
              </w:rPr>
              <w:t>минимуму</w:t>
            </w:r>
            <w:r>
              <w:rPr>
                <w:spacing w:val="-11"/>
                <w:sz w:val="24"/>
              </w:rPr>
              <w:t> </w:t>
            </w:r>
            <w:r>
              <w:rPr>
                <w:sz w:val="24"/>
              </w:rPr>
              <w:t>контакты</w:t>
            </w:r>
            <w:r>
              <w:rPr>
                <w:spacing w:val="-4"/>
                <w:sz w:val="24"/>
              </w:rPr>
              <w:t> </w:t>
            </w:r>
            <w:r>
              <w:rPr>
                <w:sz w:val="24"/>
              </w:rPr>
              <w:t>родителей и других старших родственников с учителями и русскими одноклассниками</w:t>
            </w:r>
          </w:p>
        </w:tc>
        <w:tc>
          <w:tcPr>
            <w:tcW w:w="1545" w:type="dxa"/>
          </w:tcPr>
          <w:p>
            <w:pPr>
              <w:pStyle w:val="TableParagraph"/>
              <w:rPr>
                <w:sz w:val="24"/>
              </w:rPr>
            </w:pPr>
          </w:p>
        </w:tc>
      </w:tr>
      <w:tr>
        <w:trPr>
          <w:trHeight w:val="518" w:hRule="atLeast"/>
        </w:trPr>
        <w:tc>
          <w:tcPr>
            <w:tcW w:w="2006" w:type="dxa"/>
            <w:vMerge/>
            <w:tcBorders>
              <w:top w:val="nil"/>
            </w:tcBorders>
          </w:tcPr>
          <w:p>
            <w:pPr>
              <w:rPr>
                <w:sz w:val="2"/>
                <w:szCs w:val="2"/>
              </w:rPr>
            </w:pPr>
          </w:p>
        </w:tc>
        <w:tc>
          <w:tcPr>
            <w:tcW w:w="5864" w:type="dxa"/>
          </w:tcPr>
          <w:p>
            <w:pPr>
              <w:pStyle w:val="TableParagraph"/>
              <w:spacing w:line="271" w:lineRule="exact"/>
              <w:ind w:left="108"/>
              <w:rPr>
                <w:sz w:val="24"/>
              </w:rPr>
            </w:pPr>
            <w:r>
              <w:rPr>
                <w:sz w:val="24"/>
              </w:rPr>
              <w:t>5.</w:t>
            </w:r>
            <w:r>
              <w:rPr>
                <w:spacing w:val="-5"/>
                <w:sz w:val="24"/>
              </w:rPr>
              <w:t> </w:t>
            </w:r>
            <w:r>
              <w:rPr>
                <w:sz w:val="24"/>
              </w:rPr>
              <w:t>Больше</w:t>
            </w:r>
            <w:r>
              <w:rPr>
                <w:spacing w:val="-2"/>
                <w:sz w:val="24"/>
              </w:rPr>
              <w:t> </w:t>
            </w:r>
            <w:r>
              <w:rPr>
                <w:sz w:val="24"/>
              </w:rPr>
              <w:t>тянется</w:t>
            </w:r>
            <w:r>
              <w:rPr>
                <w:spacing w:val="-3"/>
                <w:sz w:val="24"/>
              </w:rPr>
              <w:t> </w:t>
            </w:r>
            <w:r>
              <w:rPr>
                <w:sz w:val="24"/>
              </w:rPr>
              <w:t>к</w:t>
            </w:r>
            <w:r>
              <w:rPr>
                <w:spacing w:val="-2"/>
                <w:sz w:val="24"/>
              </w:rPr>
              <w:t> </w:t>
            </w:r>
            <w:r>
              <w:rPr>
                <w:sz w:val="24"/>
              </w:rPr>
              <w:t>аутсайдерам</w:t>
            </w:r>
            <w:r>
              <w:rPr>
                <w:spacing w:val="-3"/>
                <w:sz w:val="24"/>
              </w:rPr>
              <w:t> </w:t>
            </w:r>
            <w:r>
              <w:rPr>
                <w:sz w:val="24"/>
              </w:rPr>
              <w:t>в</w:t>
            </w:r>
            <w:r>
              <w:rPr>
                <w:spacing w:val="-2"/>
                <w:sz w:val="24"/>
              </w:rPr>
              <w:t> классе</w:t>
            </w:r>
          </w:p>
        </w:tc>
        <w:tc>
          <w:tcPr>
            <w:tcW w:w="1545" w:type="dxa"/>
          </w:tcPr>
          <w:p>
            <w:pPr>
              <w:pStyle w:val="TableParagraph"/>
              <w:rPr>
                <w:sz w:val="24"/>
              </w:rPr>
            </w:pPr>
          </w:p>
        </w:tc>
      </w:tr>
      <w:tr>
        <w:trPr>
          <w:trHeight w:val="518" w:hRule="atLeast"/>
        </w:trPr>
        <w:tc>
          <w:tcPr>
            <w:tcW w:w="2006" w:type="dxa"/>
            <w:vMerge/>
            <w:tcBorders>
              <w:top w:val="nil"/>
            </w:tcBorders>
          </w:tcPr>
          <w:p>
            <w:pPr>
              <w:rPr>
                <w:sz w:val="2"/>
                <w:szCs w:val="2"/>
              </w:rPr>
            </w:pPr>
          </w:p>
        </w:tc>
        <w:tc>
          <w:tcPr>
            <w:tcW w:w="5864" w:type="dxa"/>
          </w:tcPr>
          <w:p>
            <w:pPr>
              <w:pStyle w:val="TableParagraph"/>
              <w:spacing w:line="270" w:lineRule="exact"/>
              <w:ind w:left="108"/>
              <w:rPr>
                <w:sz w:val="24"/>
              </w:rPr>
            </w:pPr>
            <w:r>
              <w:rPr>
                <w:sz w:val="24"/>
              </w:rPr>
              <w:t>6.</w:t>
            </w:r>
            <w:r>
              <w:rPr>
                <w:spacing w:val="-2"/>
                <w:sz w:val="24"/>
              </w:rPr>
              <w:t> </w:t>
            </w:r>
            <w:r>
              <w:rPr>
                <w:sz w:val="24"/>
              </w:rPr>
              <w:t>Очень</w:t>
            </w:r>
            <w:r>
              <w:rPr>
                <w:spacing w:val="-1"/>
                <w:sz w:val="24"/>
              </w:rPr>
              <w:t> </w:t>
            </w:r>
            <w:r>
              <w:rPr>
                <w:spacing w:val="-2"/>
                <w:sz w:val="24"/>
              </w:rPr>
              <w:t>замкнут/а</w:t>
            </w:r>
          </w:p>
        </w:tc>
        <w:tc>
          <w:tcPr>
            <w:tcW w:w="1545" w:type="dxa"/>
          </w:tcPr>
          <w:p>
            <w:pPr>
              <w:pStyle w:val="TableParagraph"/>
              <w:rPr>
                <w:sz w:val="24"/>
              </w:rPr>
            </w:pPr>
          </w:p>
        </w:tc>
      </w:tr>
      <w:tr>
        <w:trPr>
          <w:trHeight w:val="1151" w:hRule="atLeast"/>
        </w:trPr>
        <w:tc>
          <w:tcPr>
            <w:tcW w:w="2006" w:type="dxa"/>
            <w:vMerge/>
            <w:tcBorders>
              <w:top w:val="nil"/>
            </w:tcBorders>
          </w:tcPr>
          <w:p>
            <w:pPr>
              <w:rPr>
                <w:sz w:val="2"/>
                <w:szCs w:val="2"/>
              </w:rPr>
            </w:pPr>
          </w:p>
        </w:tc>
        <w:tc>
          <w:tcPr>
            <w:tcW w:w="5864" w:type="dxa"/>
            <w:shd w:val="clear" w:color="auto" w:fill="EDEBE0"/>
          </w:tcPr>
          <w:p>
            <w:pPr>
              <w:pStyle w:val="TableParagraph"/>
              <w:spacing w:line="276" w:lineRule="auto"/>
              <w:ind w:left="108"/>
              <w:rPr>
                <w:sz w:val="24"/>
              </w:rPr>
            </w:pPr>
            <w:r>
              <w:rPr>
                <w:sz w:val="24"/>
              </w:rPr>
              <w:t>7. Постоянно подвергаясь насмешкам со стороны других</w:t>
            </w:r>
            <w:r>
              <w:rPr>
                <w:spacing w:val="-6"/>
                <w:sz w:val="24"/>
              </w:rPr>
              <w:t> </w:t>
            </w:r>
            <w:r>
              <w:rPr>
                <w:sz w:val="24"/>
              </w:rPr>
              <w:t>детей,</w:t>
            </w:r>
            <w:r>
              <w:rPr>
                <w:spacing w:val="-7"/>
                <w:sz w:val="24"/>
              </w:rPr>
              <w:t> </w:t>
            </w:r>
            <w:r>
              <w:rPr>
                <w:sz w:val="24"/>
              </w:rPr>
              <w:t>все</w:t>
            </w:r>
            <w:r>
              <w:rPr>
                <w:spacing w:val="-8"/>
                <w:sz w:val="24"/>
              </w:rPr>
              <w:t> </w:t>
            </w:r>
            <w:r>
              <w:rPr>
                <w:sz w:val="24"/>
              </w:rPr>
              <w:t>чаще</w:t>
            </w:r>
            <w:r>
              <w:rPr>
                <w:spacing w:val="-7"/>
                <w:sz w:val="24"/>
              </w:rPr>
              <w:t> </w:t>
            </w:r>
            <w:r>
              <w:rPr>
                <w:sz w:val="24"/>
              </w:rPr>
              <w:t>стыдится</w:t>
            </w:r>
            <w:r>
              <w:rPr>
                <w:spacing w:val="-7"/>
                <w:sz w:val="24"/>
              </w:rPr>
              <w:t> </w:t>
            </w:r>
            <w:r>
              <w:rPr>
                <w:sz w:val="24"/>
              </w:rPr>
              <w:t>своей</w:t>
            </w:r>
            <w:r>
              <w:rPr>
                <w:spacing w:val="-7"/>
                <w:sz w:val="24"/>
              </w:rPr>
              <w:t> </w:t>
            </w:r>
            <w:r>
              <w:rPr>
                <w:sz w:val="24"/>
              </w:rPr>
              <w:t>культурной </w:t>
            </w:r>
            <w:r>
              <w:rPr>
                <w:spacing w:val="-2"/>
                <w:sz w:val="24"/>
              </w:rPr>
              <w:t>принадлежности</w:t>
            </w:r>
          </w:p>
        </w:tc>
        <w:tc>
          <w:tcPr>
            <w:tcW w:w="1545" w:type="dxa"/>
            <w:shd w:val="clear" w:color="auto" w:fill="EDEBE0"/>
          </w:tcPr>
          <w:p>
            <w:pPr>
              <w:pStyle w:val="TableParagraph"/>
              <w:rPr>
                <w:sz w:val="24"/>
              </w:rPr>
            </w:pPr>
          </w:p>
        </w:tc>
      </w:tr>
      <w:tr>
        <w:trPr>
          <w:trHeight w:val="834" w:hRule="atLeast"/>
        </w:trPr>
        <w:tc>
          <w:tcPr>
            <w:tcW w:w="2006" w:type="dxa"/>
            <w:vMerge/>
            <w:tcBorders>
              <w:top w:val="nil"/>
            </w:tcBorders>
          </w:tcPr>
          <w:p>
            <w:pPr>
              <w:rPr>
                <w:sz w:val="2"/>
                <w:szCs w:val="2"/>
              </w:rPr>
            </w:pPr>
          </w:p>
        </w:tc>
        <w:tc>
          <w:tcPr>
            <w:tcW w:w="5864" w:type="dxa"/>
            <w:shd w:val="clear" w:color="auto" w:fill="EDEBE0"/>
          </w:tcPr>
          <w:p>
            <w:pPr>
              <w:pStyle w:val="TableParagraph"/>
              <w:spacing w:line="276" w:lineRule="auto"/>
              <w:ind w:left="108"/>
              <w:rPr>
                <w:sz w:val="24"/>
              </w:rPr>
            </w:pPr>
            <w:r>
              <w:rPr>
                <w:sz w:val="24"/>
              </w:rPr>
              <w:t>8.</w:t>
            </w:r>
            <w:r>
              <w:rPr>
                <w:spacing w:val="-4"/>
                <w:sz w:val="24"/>
              </w:rPr>
              <w:t> </w:t>
            </w:r>
            <w:r>
              <w:rPr>
                <w:sz w:val="24"/>
              </w:rPr>
              <w:t>Говорит,</w:t>
            </w:r>
            <w:r>
              <w:rPr>
                <w:spacing w:val="-4"/>
                <w:sz w:val="24"/>
              </w:rPr>
              <w:t> </w:t>
            </w:r>
            <w:r>
              <w:rPr>
                <w:sz w:val="24"/>
              </w:rPr>
              <w:t>что</w:t>
            </w:r>
            <w:r>
              <w:rPr>
                <w:spacing w:val="-2"/>
                <w:sz w:val="24"/>
              </w:rPr>
              <w:t> </w:t>
            </w:r>
            <w:r>
              <w:rPr>
                <w:sz w:val="24"/>
              </w:rPr>
              <w:t>у</w:t>
            </w:r>
            <w:r>
              <w:rPr>
                <w:spacing w:val="-11"/>
                <w:sz w:val="24"/>
              </w:rPr>
              <w:t> </w:t>
            </w:r>
            <w:r>
              <w:rPr>
                <w:sz w:val="24"/>
              </w:rPr>
              <w:t>него/нее</w:t>
            </w:r>
            <w:r>
              <w:rPr>
                <w:spacing w:val="-5"/>
                <w:sz w:val="24"/>
              </w:rPr>
              <w:t> </w:t>
            </w:r>
            <w:r>
              <w:rPr>
                <w:sz w:val="24"/>
              </w:rPr>
              <w:t>нет</w:t>
            </w:r>
            <w:r>
              <w:rPr>
                <w:spacing w:val="-4"/>
                <w:sz w:val="24"/>
              </w:rPr>
              <w:t> </w:t>
            </w:r>
            <w:r>
              <w:rPr>
                <w:sz w:val="24"/>
              </w:rPr>
              <w:t>будущего</w:t>
            </w:r>
            <w:r>
              <w:rPr>
                <w:spacing w:val="-4"/>
                <w:sz w:val="24"/>
              </w:rPr>
              <w:t> </w:t>
            </w:r>
            <w:r>
              <w:rPr>
                <w:sz w:val="24"/>
              </w:rPr>
              <w:t>ни</w:t>
            </w:r>
            <w:r>
              <w:rPr>
                <w:spacing w:val="-4"/>
                <w:sz w:val="24"/>
              </w:rPr>
              <w:t> </w:t>
            </w:r>
            <w:r>
              <w:rPr>
                <w:sz w:val="24"/>
              </w:rPr>
              <w:t>на</w:t>
            </w:r>
            <w:r>
              <w:rPr>
                <w:spacing w:val="-5"/>
                <w:sz w:val="24"/>
              </w:rPr>
              <w:t> </w:t>
            </w:r>
            <w:r>
              <w:rPr>
                <w:sz w:val="24"/>
              </w:rPr>
              <w:t>родине, ни в принимающей стране</w:t>
            </w:r>
          </w:p>
        </w:tc>
        <w:tc>
          <w:tcPr>
            <w:tcW w:w="1545" w:type="dxa"/>
            <w:shd w:val="clear" w:color="auto" w:fill="EDEBE0"/>
          </w:tcPr>
          <w:p>
            <w:pPr>
              <w:pStyle w:val="TableParagraph"/>
              <w:rPr>
                <w:sz w:val="24"/>
              </w:rPr>
            </w:pPr>
          </w:p>
        </w:tc>
      </w:tr>
      <w:tr>
        <w:trPr>
          <w:trHeight w:val="1151" w:hRule="atLeast"/>
        </w:trPr>
        <w:tc>
          <w:tcPr>
            <w:tcW w:w="2006" w:type="dxa"/>
            <w:vMerge/>
            <w:tcBorders>
              <w:top w:val="nil"/>
            </w:tcBorders>
          </w:tcPr>
          <w:p>
            <w:pPr>
              <w:rPr>
                <w:sz w:val="2"/>
                <w:szCs w:val="2"/>
              </w:rPr>
            </w:pPr>
          </w:p>
        </w:tc>
        <w:tc>
          <w:tcPr>
            <w:tcW w:w="5864" w:type="dxa"/>
            <w:shd w:val="clear" w:color="auto" w:fill="EDEBE0"/>
          </w:tcPr>
          <w:p>
            <w:pPr>
              <w:pStyle w:val="TableParagraph"/>
              <w:spacing w:line="276" w:lineRule="auto"/>
              <w:ind w:left="108" w:right="188"/>
              <w:rPr>
                <w:sz w:val="24"/>
              </w:rPr>
            </w:pPr>
            <w:r>
              <w:rPr>
                <w:sz w:val="24"/>
              </w:rPr>
              <w:t>9. Всячески дает понять, что чувствует себя отвергнутым/ой</w:t>
            </w:r>
            <w:r>
              <w:rPr>
                <w:spacing w:val="-6"/>
                <w:sz w:val="24"/>
              </w:rPr>
              <w:t> </w:t>
            </w:r>
            <w:r>
              <w:rPr>
                <w:sz w:val="24"/>
              </w:rPr>
              <w:t>и</w:t>
            </w:r>
            <w:r>
              <w:rPr>
                <w:spacing w:val="-7"/>
                <w:sz w:val="24"/>
              </w:rPr>
              <w:t> </w:t>
            </w:r>
            <w:r>
              <w:rPr>
                <w:sz w:val="24"/>
              </w:rPr>
              <w:t>в</w:t>
            </w:r>
            <w:r>
              <w:rPr>
                <w:spacing w:val="-7"/>
                <w:sz w:val="24"/>
              </w:rPr>
              <w:t> </w:t>
            </w:r>
            <w:r>
              <w:rPr>
                <w:sz w:val="24"/>
              </w:rPr>
              <w:t>родной,</w:t>
            </w:r>
            <w:r>
              <w:rPr>
                <w:spacing w:val="-6"/>
                <w:sz w:val="24"/>
              </w:rPr>
              <w:t> </w:t>
            </w:r>
            <w:r>
              <w:rPr>
                <w:sz w:val="24"/>
              </w:rPr>
              <w:t>и</w:t>
            </w:r>
            <w:r>
              <w:rPr>
                <w:spacing w:val="-7"/>
                <w:sz w:val="24"/>
              </w:rPr>
              <w:t> </w:t>
            </w:r>
            <w:r>
              <w:rPr>
                <w:sz w:val="24"/>
              </w:rPr>
              <w:t>в</w:t>
            </w:r>
            <w:r>
              <w:rPr>
                <w:spacing w:val="-9"/>
                <w:sz w:val="24"/>
              </w:rPr>
              <w:t> </w:t>
            </w:r>
            <w:r>
              <w:rPr>
                <w:sz w:val="24"/>
              </w:rPr>
              <w:t>принимающей </w:t>
            </w:r>
            <w:r>
              <w:rPr>
                <w:spacing w:val="-2"/>
                <w:sz w:val="24"/>
              </w:rPr>
              <w:t>культуре</w:t>
            </w:r>
          </w:p>
        </w:tc>
        <w:tc>
          <w:tcPr>
            <w:tcW w:w="1545" w:type="dxa"/>
            <w:shd w:val="clear" w:color="auto" w:fill="EDEBE0"/>
          </w:tcPr>
          <w:p>
            <w:pPr>
              <w:pStyle w:val="TableParagraph"/>
              <w:rPr>
                <w:sz w:val="24"/>
              </w:rPr>
            </w:pPr>
          </w:p>
        </w:tc>
      </w:tr>
      <w:tr>
        <w:trPr>
          <w:trHeight w:val="834" w:hRule="atLeast"/>
        </w:trPr>
        <w:tc>
          <w:tcPr>
            <w:tcW w:w="2006" w:type="dxa"/>
            <w:vMerge/>
            <w:tcBorders>
              <w:top w:val="nil"/>
            </w:tcBorders>
          </w:tcPr>
          <w:p>
            <w:pPr>
              <w:rPr>
                <w:sz w:val="2"/>
                <w:szCs w:val="2"/>
              </w:rPr>
            </w:pPr>
          </w:p>
        </w:tc>
        <w:tc>
          <w:tcPr>
            <w:tcW w:w="5864" w:type="dxa"/>
            <w:shd w:val="clear" w:color="auto" w:fill="EDEBE0"/>
          </w:tcPr>
          <w:p>
            <w:pPr>
              <w:pStyle w:val="TableParagraph"/>
              <w:spacing w:line="276" w:lineRule="auto"/>
              <w:ind w:left="108"/>
              <w:rPr>
                <w:sz w:val="24"/>
              </w:rPr>
            </w:pPr>
            <w:r>
              <w:rPr>
                <w:sz w:val="24"/>
              </w:rPr>
              <w:t>10.</w:t>
            </w:r>
            <w:r>
              <w:rPr>
                <w:spacing w:val="-3"/>
                <w:sz w:val="24"/>
              </w:rPr>
              <w:t> </w:t>
            </w:r>
            <w:r>
              <w:rPr>
                <w:sz w:val="24"/>
              </w:rPr>
              <w:t>Приходит</w:t>
            </w:r>
            <w:r>
              <w:rPr>
                <w:spacing w:val="-3"/>
                <w:sz w:val="24"/>
              </w:rPr>
              <w:t> </w:t>
            </w:r>
            <w:r>
              <w:rPr>
                <w:sz w:val="24"/>
              </w:rPr>
              <w:t>в</w:t>
            </w:r>
            <w:r>
              <w:rPr>
                <w:spacing w:val="-4"/>
                <w:sz w:val="24"/>
              </w:rPr>
              <w:t> </w:t>
            </w:r>
            <w:r>
              <w:rPr>
                <w:sz w:val="24"/>
              </w:rPr>
              <w:t>школу</w:t>
            </w:r>
            <w:r>
              <w:rPr>
                <w:spacing w:val="-11"/>
                <w:sz w:val="24"/>
              </w:rPr>
              <w:t> </w:t>
            </w:r>
            <w:r>
              <w:rPr>
                <w:sz w:val="24"/>
              </w:rPr>
              <w:t>в</w:t>
            </w:r>
            <w:r>
              <w:rPr>
                <w:spacing w:val="-3"/>
                <w:sz w:val="24"/>
              </w:rPr>
              <w:t> </w:t>
            </w:r>
            <w:r>
              <w:rPr>
                <w:sz w:val="24"/>
              </w:rPr>
              <w:t>одной</w:t>
            </w:r>
            <w:r>
              <w:rPr>
                <w:spacing w:val="-3"/>
                <w:sz w:val="24"/>
              </w:rPr>
              <w:t> </w:t>
            </w:r>
            <w:r>
              <w:rPr>
                <w:sz w:val="24"/>
              </w:rPr>
              <w:t>одежде,</w:t>
            </w:r>
            <w:r>
              <w:rPr>
                <w:spacing w:val="-3"/>
                <w:sz w:val="24"/>
              </w:rPr>
              <w:t> </w:t>
            </w:r>
            <w:r>
              <w:rPr>
                <w:sz w:val="24"/>
              </w:rPr>
              <w:t>а</w:t>
            </w:r>
            <w:r>
              <w:rPr>
                <w:spacing w:val="-4"/>
                <w:sz w:val="24"/>
              </w:rPr>
              <w:t> </w:t>
            </w:r>
            <w:r>
              <w:rPr>
                <w:sz w:val="24"/>
              </w:rPr>
              <w:t>потом</w:t>
            </w:r>
            <w:r>
              <w:rPr>
                <w:spacing w:val="-6"/>
                <w:sz w:val="24"/>
              </w:rPr>
              <w:t> </w:t>
            </w:r>
            <w:r>
              <w:rPr>
                <w:sz w:val="24"/>
              </w:rPr>
              <w:t>тайком переодевается в другую, более современную</w:t>
            </w:r>
          </w:p>
        </w:tc>
        <w:tc>
          <w:tcPr>
            <w:tcW w:w="1545" w:type="dxa"/>
            <w:shd w:val="clear" w:color="auto" w:fill="EDEBE0"/>
          </w:tcPr>
          <w:p>
            <w:pPr>
              <w:pStyle w:val="TableParagraph"/>
              <w:rPr>
                <w:sz w:val="24"/>
              </w:rPr>
            </w:pPr>
          </w:p>
        </w:tc>
      </w:tr>
      <w:tr>
        <w:trPr>
          <w:trHeight w:val="1151" w:hRule="atLeast"/>
        </w:trPr>
        <w:tc>
          <w:tcPr>
            <w:tcW w:w="2006" w:type="dxa"/>
            <w:vMerge/>
            <w:tcBorders>
              <w:top w:val="nil"/>
            </w:tcBorders>
          </w:tcPr>
          <w:p>
            <w:pPr>
              <w:rPr>
                <w:sz w:val="2"/>
                <w:szCs w:val="2"/>
              </w:rPr>
            </w:pPr>
          </w:p>
        </w:tc>
        <w:tc>
          <w:tcPr>
            <w:tcW w:w="5864" w:type="dxa"/>
            <w:shd w:val="clear" w:color="auto" w:fill="EDEBE0"/>
          </w:tcPr>
          <w:p>
            <w:pPr>
              <w:pStyle w:val="TableParagraph"/>
              <w:spacing w:line="276" w:lineRule="auto"/>
              <w:ind w:left="108"/>
              <w:rPr>
                <w:sz w:val="24"/>
              </w:rPr>
            </w:pPr>
            <w:r>
              <w:rPr>
                <w:sz w:val="24"/>
              </w:rPr>
              <w:t>11. В классе не принимается ни представителями собственной</w:t>
            </w:r>
            <w:r>
              <w:rPr>
                <w:spacing w:val="-11"/>
                <w:sz w:val="24"/>
              </w:rPr>
              <w:t> </w:t>
            </w:r>
            <w:r>
              <w:rPr>
                <w:sz w:val="24"/>
              </w:rPr>
              <w:t>культуры,</w:t>
            </w:r>
            <w:r>
              <w:rPr>
                <w:spacing w:val="-10"/>
                <w:sz w:val="24"/>
              </w:rPr>
              <w:t> </w:t>
            </w:r>
            <w:r>
              <w:rPr>
                <w:sz w:val="24"/>
              </w:rPr>
              <w:t>ни</w:t>
            </w:r>
            <w:r>
              <w:rPr>
                <w:spacing w:val="-11"/>
                <w:sz w:val="24"/>
              </w:rPr>
              <w:t> </w:t>
            </w:r>
            <w:r>
              <w:rPr>
                <w:sz w:val="24"/>
              </w:rPr>
              <w:t>представителями</w:t>
            </w:r>
            <w:r>
              <w:rPr>
                <w:spacing w:val="-13"/>
                <w:sz w:val="24"/>
              </w:rPr>
              <w:t> </w:t>
            </w:r>
            <w:r>
              <w:rPr>
                <w:sz w:val="24"/>
              </w:rPr>
              <w:t>культуры</w:t>
            </w:r>
          </w:p>
          <w:p>
            <w:pPr>
              <w:pStyle w:val="TableParagraph"/>
              <w:ind w:left="108"/>
              <w:rPr>
                <w:sz w:val="24"/>
              </w:rPr>
            </w:pPr>
            <w:r>
              <w:rPr>
                <w:spacing w:val="-2"/>
                <w:sz w:val="24"/>
              </w:rPr>
              <w:t>«большинства»</w:t>
            </w:r>
          </w:p>
        </w:tc>
        <w:tc>
          <w:tcPr>
            <w:tcW w:w="1545" w:type="dxa"/>
            <w:shd w:val="clear" w:color="auto" w:fill="EDEBE0"/>
          </w:tcPr>
          <w:p>
            <w:pPr>
              <w:pStyle w:val="TableParagraph"/>
              <w:rPr>
                <w:sz w:val="24"/>
              </w:rPr>
            </w:pPr>
          </w:p>
        </w:tc>
      </w:tr>
      <w:tr>
        <w:trPr>
          <w:trHeight w:val="1152" w:hRule="atLeast"/>
        </w:trPr>
        <w:tc>
          <w:tcPr>
            <w:tcW w:w="2006"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46"/>
              <w:rPr>
                <w:sz w:val="24"/>
              </w:rPr>
            </w:pPr>
          </w:p>
          <w:p>
            <w:pPr>
              <w:pStyle w:val="TableParagraph"/>
              <w:spacing w:before="1"/>
              <w:ind w:left="335"/>
              <w:rPr>
                <w:b/>
                <w:i/>
                <w:sz w:val="24"/>
              </w:rPr>
            </w:pPr>
            <w:r>
              <w:rPr>
                <w:b/>
                <w:i/>
                <w:spacing w:val="-2"/>
                <w:sz w:val="24"/>
              </w:rPr>
              <w:t>Интеграция</w:t>
            </w:r>
          </w:p>
        </w:tc>
        <w:tc>
          <w:tcPr>
            <w:tcW w:w="5864" w:type="dxa"/>
          </w:tcPr>
          <w:p>
            <w:pPr>
              <w:pStyle w:val="TableParagraph"/>
              <w:spacing w:line="276" w:lineRule="auto"/>
              <w:ind w:left="108"/>
              <w:rPr>
                <w:sz w:val="24"/>
              </w:rPr>
            </w:pPr>
            <w:r>
              <w:rPr>
                <w:sz w:val="24"/>
              </w:rPr>
              <w:t>1. Проявляет искренний интерес к культуре принимающей страны и при этом с удовольствием рассказывает</w:t>
            </w:r>
            <w:r>
              <w:rPr>
                <w:spacing w:val="-8"/>
                <w:sz w:val="24"/>
              </w:rPr>
              <w:t> </w:t>
            </w:r>
            <w:r>
              <w:rPr>
                <w:sz w:val="24"/>
              </w:rPr>
              <w:t>об</w:t>
            </w:r>
            <w:r>
              <w:rPr>
                <w:spacing w:val="-6"/>
                <w:sz w:val="24"/>
              </w:rPr>
              <w:t> </w:t>
            </w:r>
            <w:r>
              <w:rPr>
                <w:sz w:val="24"/>
              </w:rPr>
              <w:t>обычаях</w:t>
            </w:r>
            <w:r>
              <w:rPr>
                <w:spacing w:val="-6"/>
                <w:sz w:val="24"/>
              </w:rPr>
              <w:t> </w:t>
            </w:r>
            <w:r>
              <w:rPr>
                <w:sz w:val="24"/>
              </w:rPr>
              <w:t>и</w:t>
            </w:r>
            <w:r>
              <w:rPr>
                <w:spacing w:val="-10"/>
                <w:sz w:val="24"/>
              </w:rPr>
              <w:t> </w:t>
            </w:r>
            <w:r>
              <w:rPr>
                <w:sz w:val="24"/>
              </w:rPr>
              <w:t>традициях</w:t>
            </w:r>
            <w:r>
              <w:rPr>
                <w:spacing w:val="-6"/>
                <w:sz w:val="24"/>
              </w:rPr>
              <w:t> </w:t>
            </w:r>
            <w:r>
              <w:rPr>
                <w:sz w:val="24"/>
              </w:rPr>
              <w:t>своей</w:t>
            </w:r>
            <w:r>
              <w:rPr>
                <w:spacing w:val="-8"/>
                <w:sz w:val="24"/>
              </w:rPr>
              <w:t> </w:t>
            </w:r>
            <w:r>
              <w:rPr>
                <w:sz w:val="24"/>
              </w:rPr>
              <w:t>культуры</w:t>
            </w:r>
          </w:p>
        </w:tc>
        <w:tc>
          <w:tcPr>
            <w:tcW w:w="1545" w:type="dxa"/>
          </w:tcPr>
          <w:p>
            <w:pPr>
              <w:pStyle w:val="TableParagraph"/>
              <w:rPr>
                <w:sz w:val="24"/>
              </w:rPr>
            </w:pPr>
          </w:p>
        </w:tc>
      </w:tr>
      <w:tr>
        <w:trPr>
          <w:trHeight w:val="834" w:hRule="atLeast"/>
        </w:trPr>
        <w:tc>
          <w:tcPr>
            <w:tcW w:w="2006" w:type="dxa"/>
            <w:vMerge/>
            <w:tcBorders>
              <w:top w:val="nil"/>
            </w:tcBorders>
          </w:tcPr>
          <w:p>
            <w:pPr>
              <w:rPr>
                <w:sz w:val="2"/>
                <w:szCs w:val="2"/>
              </w:rPr>
            </w:pPr>
          </w:p>
        </w:tc>
        <w:tc>
          <w:tcPr>
            <w:tcW w:w="5864" w:type="dxa"/>
          </w:tcPr>
          <w:p>
            <w:pPr>
              <w:pStyle w:val="TableParagraph"/>
              <w:spacing w:line="276" w:lineRule="auto"/>
              <w:ind w:left="108"/>
              <w:rPr>
                <w:sz w:val="24"/>
              </w:rPr>
            </w:pPr>
            <w:r>
              <w:rPr>
                <w:sz w:val="24"/>
              </w:rPr>
              <w:t>2.</w:t>
            </w:r>
            <w:r>
              <w:rPr>
                <w:spacing w:val="-7"/>
                <w:sz w:val="24"/>
              </w:rPr>
              <w:t> </w:t>
            </w:r>
            <w:r>
              <w:rPr>
                <w:sz w:val="24"/>
              </w:rPr>
              <w:t>С</w:t>
            </w:r>
            <w:r>
              <w:rPr>
                <w:spacing w:val="-5"/>
                <w:sz w:val="24"/>
              </w:rPr>
              <w:t> </w:t>
            </w:r>
            <w:r>
              <w:rPr>
                <w:sz w:val="24"/>
              </w:rPr>
              <w:t>удовольствием</w:t>
            </w:r>
            <w:r>
              <w:rPr>
                <w:spacing w:val="-8"/>
                <w:sz w:val="24"/>
              </w:rPr>
              <w:t> </w:t>
            </w:r>
            <w:r>
              <w:rPr>
                <w:sz w:val="24"/>
              </w:rPr>
              <w:t>приглашает</w:t>
            </w:r>
            <w:r>
              <w:rPr>
                <w:spacing w:val="-7"/>
                <w:sz w:val="24"/>
              </w:rPr>
              <w:t> </w:t>
            </w:r>
            <w:r>
              <w:rPr>
                <w:sz w:val="24"/>
              </w:rPr>
              <w:t>в</w:t>
            </w:r>
            <w:r>
              <w:rPr>
                <w:spacing w:val="-8"/>
                <w:sz w:val="24"/>
              </w:rPr>
              <w:t> </w:t>
            </w:r>
            <w:r>
              <w:rPr>
                <w:sz w:val="24"/>
              </w:rPr>
              <w:t>гости</w:t>
            </w:r>
            <w:r>
              <w:rPr>
                <w:spacing w:val="-6"/>
                <w:sz w:val="24"/>
              </w:rPr>
              <w:t> </w:t>
            </w:r>
            <w:r>
              <w:rPr>
                <w:sz w:val="24"/>
              </w:rPr>
              <w:t>своих</w:t>
            </w:r>
            <w:r>
              <w:rPr>
                <w:spacing w:val="-5"/>
                <w:sz w:val="24"/>
              </w:rPr>
              <w:t> </w:t>
            </w:r>
            <w:r>
              <w:rPr>
                <w:sz w:val="24"/>
              </w:rPr>
              <w:t>русских </w:t>
            </w:r>
            <w:r>
              <w:rPr>
                <w:spacing w:val="-2"/>
                <w:sz w:val="24"/>
              </w:rPr>
              <w:t>друзей</w:t>
            </w:r>
          </w:p>
        </w:tc>
        <w:tc>
          <w:tcPr>
            <w:tcW w:w="1545" w:type="dxa"/>
          </w:tcPr>
          <w:p>
            <w:pPr>
              <w:pStyle w:val="TableParagraph"/>
              <w:rPr>
                <w:sz w:val="24"/>
              </w:rPr>
            </w:pPr>
          </w:p>
        </w:tc>
      </w:tr>
      <w:tr>
        <w:trPr>
          <w:trHeight w:val="1153" w:hRule="atLeast"/>
        </w:trPr>
        <w:tc>
          <w:tcPr>
            <w:tcW w:w="2006" w:type="dxa"/>
            <w:vMerge/>
            <w:tcBorders>
              <w:top w:val="nil"/>
            </w:tcBorders>
          </w:tcPr>
          <w:p>
            <w:pPr>
              <w:rPr>
                <w:sz w:val="2"/>
                <w:szCs w:val="2"/>
              </w:rPr>
            </w:pPr>
          </w:p>
        </w:tc>
        <w:tc>
          <w:tcPr>
            <w:tcW w:w="5864" w:type="dxa"/>
          </w:tcPr>
          <w:p>
            <w:pPr>
              <w:pStyle w:val="TableParagraph"/>
              <w:spacing w:line="276" w:lineRule="auto"/>
              <w:ind w:left="108"/>
              <w:rPr>
                <w:sz w:val="24"/>
              </w:rPr>
            </w:pPr>
            <w:r>
              <w:rPr>
                <w:sz w:val="24"/>
              </w:rPr>
              <w:t>3. Никогда не высказывается негативно о культуре принимающей страны и при этом с достоинством высказывается</w:t>
            </w:r>
            <w:r>
              <w:rPr>
                <w:spacing w:val="-11"/>
                <w:sz w:val="24"/>
              </w:rPr>
              <w:t> </w:t>
            </w:r>
            <w:r>
              <w:rPr>
                <w:sz w:val="24"/>
              </w:rPr>
              <w:t>о</w:t>
            </w:r>
            <w:r>
              <w:rPr>
                <w:spacing w:val="-11"/>
                <w:sz w:val="24"/>
              </w:rPr>
              <w:t> </w:t>
            </w:r>
            <w:r>
              <w:rPr>
                <w:sz w:val="24"/>
              </w:rPr>
              <w:t>своей</w:t>
            </w:r>
            <w:r>
              <w:rPr>
                <w:spacing w:val="-11"/>
                <w:sz w:val="24"/>
              </w:rPr>
              <w:t> </w:t>
            </w:r>
            <w:r>
              <w:rPr>
                <w:sz w:val="24"/>
              </w:rPr>
              <w:t>культурной</w:t>
            </w:r>
            <w:r>
              <w:rPr>
                <w:spacing w:val="-11"/>
                <w:sz w:val="24"/>
              </w:rPr>
              <w:t> </w:t>
            </w:r>
            <w:r>
              <w:rPr>
                <w:sz w:val="24"/>
              </w:rPr>
              <w:t>принадлежности</w:t>
            </w:r>
          </w:p>
        </w:tc>
        <w:tc>
          <w:tcPr>
            <w:tcW w:w="1545" w:type="dxa"/>
          </w:tcPr>
          <w:p>
            <w:pPr>
              <w:pStyle w:val="TableParagraph"/>
              <w:rPr>
                <w:sz w:val="24"/>
              </w:rPr>
            </w:pPr>
          </w:p>
        </w:tc>
      </w:tr>
      <w:tr>
        <w:trPr>
          <w:trHeight w:val="1152" w:hRule="atLeast"/>
        </w:trPr>
        <w:tc>
          <w:tcPr>
            <w:tcW w:w="2006" w:type="dxa"/>
            <w:vMerge/>
            <w:tcBorders>
              <w:top w:val="nil"/>
            </w:tcBorders>
          </w:tcPr>
          <w:p>
            <w:pPr>
              <w:rPr>
                <w:sz w:val="2"/>
                <w:szCs w:val="2"/>
              </w:rPr>
            </w:pPr>
          </w:p>
        </w:tc>
        <w:tc>
          <w:tcPr>
            <w:tcW w:w="5864" w:type="dxa"/>
          </w:tcPr>
          <w:p>
            <w:pPr>
              <w:pStyle w:val="TableParagraph"/>
              <w:spacing w:line="276" w:lineRule="auto"/>
              <w:ind w:left="108"/>
              <w:rPr>
                <w:sz w:val="24"/>
              </w:rPr>
            </w:pPr>
            <w:r>
              <w:rPr>
                <w:sz w:val="24"/>
              </w:rPr>
              <w:t>4.</w:t>
            </w:r>
            <w:r>
              <w:rPr>
                <w:spacing w:val="-6"/>
                <w:sz w:val="24"/>
              </w:rPr>
              <w:t> </w:t>
            </w:r>
            <w:r>
              <w:rPr>
                <w:sz w:val="24"/>
              </w:rPr>
              <w:t>В</w:t>
            </w:r>
            <w:r>
              <w:rPr>
                <w:spacing w:val="-8"/>
                <w:sz w:val="24"/>
              </w:rPr>
              <w:t> </w:t>
            </w:r>
            <w:r>
              <w:rPr>
                <w:sz w:val="24"/>
              </w:rPr>
              <w:t>общении</w:t>
            </w:r>
            <w:r>
              <w:rPr>
                <w:spacing w:val="-6"/>
                <w:sz w:val="24"/>
              </w:rPr>
              <w:t> </w:t>
            </w:r>
            <w:r>
              <w:rPr>
                <w:sz w:val="24"/>
              </w:rPr>
              <w:t>и</w:t>
            </w:r>
            <w:r>
              <w:rPr>
                <w:spacing w:val="-6"/>
                <w:sz w:val="24"/>
              </w:rPr>
              <w:t> </w:t>
            </w:r>
            <w:r>
              <w:rPr>
                <w:sz w:val="24"/>
              </w:rPr>
              <w:t>разговорах</w:t>
            </w:r>
            <w:r>
              <w:rPr>
                <w:spacing w:val="-4"/>
                <w:sz w:val="24"/>
              </w:rPr>
              <w:t> </w:t>
            </w:r>
            <w:r>
              <w:rPr>
                <w:sz w:val="24"/>
              </w:rPr>
              <w:t>больше</w:t>
            </w:r>
            <w:r>
              <w:rPr>
                <w:spacing w:val="-7"/>
                <w:sz w:val="24"/>
              </w:rPr>
              <w:t> </w:t>
            </w:r>
            <w:r>
              <w:rPr>
                <w:sz w:val="24"/>
              </w:rPr>
              <w:t>фокусируется</w:t>
            </w:r>
            <w:r>
              <w:rPr>
                <w:spacing w:val="-6"/>
                <w:sz w:val="24"/>
              </w:rPr>
              <w:t> </w:t>
            </w:r>
            <w:r>
              <w:rPr>
                <w:sz w:val="24"/>
              </w:rPr>
              <w:t>на положительных сторонах как своей, так и принимающей культуры</w:t>
            </w:r>
          </w:p>
        </w:tc>
        <w:tc>
          <w:tcPr>
            <w:tcW w:w="1545" w:type="dxa"/>
          </w:tcPr>
          <w:p>
            <w:pPr>
              <w:pStyle w:val="TableParagraph"/>
              <w:rPr>
                <w:sz w:val="24"/>
              </w:rPr>
            </w:pPr>
          </w:p>
        </w:tc>
      </w:tr>
    </w:tbl>
    <w:p>
      <w:pPr>
        <w:pStyle w:val="TableParagraph"/>
        <w:spacing w:after="0"/>
        <w:rPr>
          <w:sz w:val="24"/>
        </w:rPr>
        <w:sectPr>
          <w:type w:val="continuous"/>
          <w:pgSz w:w="11910" w:h="16840"/>
          <w:pgMar w:header="0" w:footer="970" w:top="1100" w:bottom="1220" w:left="1417" w:right="283"/>
        </w:sect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06"/>
        <w:gridCol w:w="5864"/>
        <w:gridCol w:w="1545"/>
      </w:tblGrid>
      <w:tr>
        <w:trPr>
          <w:trHeight w:val="835" w:hRule="atLeast"/>
        </w:trPr>
        <w:tc>
          <w:tcPr>
            <w:tcW w:w="2006" w:type="dxa"/>
            <w:vMerge w:val="restart"/>
          </w:tcPr>
          <w:p>
            <w:pPr>
              <w:pStyle w:val="TableParagraph"/>
              <w:rPr>
                <w:sz w:val="24"/>
              </w:rPr>
            </w:pPr>
          </w:p>
        </w:tc>
        <w:tc>
          <w:tcPr>
            <w:tcW w:w="5864" w:type="dxa"/>
          </w:tcPr>
          <w:p>
            <w:pPr>
              <w:pStyle w:val="TableParagraph"/>
              <w:spacing w:line="276" w:lineRule="auto"/>
              <w:ind w:left="108"/>
              <w:rPr>
                <w:sz w:val="24"/>
              </w:rPr>
            </w:pPr>
            <w:r>
              <w:rPr>
                <w:sz w:val="24"/>
              </w:rPr>
              <w:t>5.</w:t>
            </w:r>
            <w:r>
              <w:rPr>
                <w:spacing w:val="-7"/>
                <w:sz w:val="24"/>
              </w:rPr>
              <w:t> </w:t>
            </w:r>
            <w:r>
              <w:rPr>
                <w:sz w:val="24"/>
              </w:rPr>
              <w:t>С</w:t>
            </w:r>
            <w:r>
              <w:rPr>
                <w:spacing w:val="-5"/>
                <w:sz w:val="24"/>
              </w:rPr>
              <w:t> </w:t>
            </w:r>
            <w:r>
              <w:rPr>
                <w:sz w:val="24"/>
              </w:rPr>
              <w:t>уважением</w:t>
            </w:r>
            <w:r>
              <w:rPr>
                <w:spacing w:val="-8"/>
                <w:sz w:val="24"/>
              </w:rPr>
              <w:t> </w:t>
            </w:r>
            <w:r>
              <w:rPr>
                <w:sz w:val="24"/>
              </w:rPr>
              <w:t>относится</w:t>
            </w:r>
            <w:r>
              <w:rPr>
                <w:spacing w:val="-7"/>
                <w:sz w:val="24"/>
              </w:rPr>
              <w:t> </w:t>
            </w:r>
            <w:r>
              <w:rPr>
                <w:sz w:val="24"/>
              </w:rPr>
              <w:t>к</w:t>
            </w:r>
            <w:r>
              <w:rPr>
                <w:spacing w:val="-7"/>
                <w:sz w:val="24"/>
              </w:rPr>
              <w:t> </w:t>
            </w:r>
            <w:r>
              <w:rPr>
                <w:sz w:val="24"/>
              </w:rPr>
              <w:t>одноклассникам</w:t>
            </w:r>
            <w:r>
              <w:rPr>
                <w:spacing w:val="-8"/>
                <w:sz w:val="24"/>
              </w:rPr>
              <w:t> </w:t>
            </w:r>
            <w:r>
              <w:rPr>
                <w:sz w:val="24"/>
              </w:rPr>
              <w:t>любой культурной принадлежности</w:t>
            </w:r>
          </w:p>
        </w:tc>
        <w:tc>
          <w:tcPr>
            <w:tcW w:w="1545" w:type="dxa"/>
          </w:tcPr>
          <w:p>
            <w:pPr>
              <w:pStyle w:val="TableParagraph"/>
              <w:rPr>
                <w:sz w:val="24"/>
              </w:rPr>
            </w:pPr>
          </w:p>
        </w:tc>
      </w:tr>
      <w:tr>
        <w:trPr>
          <w:trHeight w:val="1153" w:hRule="atLeast"/>
        </w:trPr>
        <w:tc>
          <w:tcPr>
            <w:tcW w:w="2006" w:type="dxa"/>
            <w:vMerge/>
            <w:tcBorders>
              <w:top w:val="nil"/>
            </w:tcBorders>
          </w:tcPr>
          <w:p>
            <w:pPr>
              <w:rPr>
                <w:sz w:val="2"/>
                <w:szCs w:val="2"/>
              </w:rPr>
            </w:pPr>
          </w:p>
        </w:tc>
        <w:tc>
          <w:tcPr>
            <w:tcW w:w="5864" w:type="dxa"/>
          </w:tcPr>
          <w:p>
            <w:pPr>
              <w:pStyle w:val="TableParagraph"/>
              <w:spacing w:line="276" w:lineRule="auto"/>
              <w:ind w:left="108"/>
              <w:rPr>
                <w:sz w:val="24"/>
              </w:rPr>
            </w:pPr>
            <w:r>
              <w:rPr>
                <w:sz w:val="24"/>
              </w:rPr>
              <w:t>6. Легко усваивает нормы и правила принимающей страны,</w:t>
            </w:r>
            <w:r>
              <w:rPr>
                <w:spacing w:val="-6"/>
                <w:sz w:val="24"/>
              </w:rPr>
              <w:t> </w:t>
            </w:r>
            <w:r>
              <w:rPr>
                <w:sz w:val="24"/>
              </w:rPr>
              <w:t>при</w:t>
            </w:r>
            <w:r>
              <w:rPr>
                <w:spacing w:val="-6"/>
                <w:sz w:val="24"/>
              </w:rPr>
              <w:t> </w:t>
            </w:r>
            <w:r>
              <w:rPr>
                <w:sz w:val="24"/>
              </w:rPr>
              <w:t>этом</w:t>
            </w:r>
            <w:r>
              <w:rPr>
                <w:spacing w:val="-7"/>
                <w:sz w:val="24"/>
              </w:rPr>
              <w:t> </w:t>
            </w:r>
            <w:r>
              <w:rPr>
                <w:sz w:val="24"/>
              </w:rPr>
              <w:t>бережно</w:t>
            </w:r>
            <w:r>
              <w:rPr>
                <w:spacing w:val="-6"/>
                <w:sz w:val="24"/>
              </w:rPr>
              <w:t> </w:t>
            </w:r>
            <w:r>
              <w:rPr>
                <w:sz w:val="24"/>
              </w:rPr>
              <w:t>относясь</w:t>
            </w:r>
            <w:r>
              <w:rPr>
                <w:spacing w:val="-6"/>
                <w:sz w:val="24"/>
              </w:rPr>
              <w:t> </w:t>
            </w:r>
            <w:r>
              <w:rPr>
                <w:sz w:val="24"/>
              </w:rPr>
              <w:t>к</w:t>
            </w:r>
            <w:r>
              <w:rPr>
                <w:spacing w:val="-8"/>
                <w:sz w:val="24"/>
              </w:rPr>
              <w:t> </w:t>
            </w:r>
            <w:r>
              <w:rPr>
                <w:sz w:val="24"/>
              </w:rPr>
              <w:t>традициям</w:t>
            </w:r>
            <w:r>
              <w:rPr>
                <w:spacing w:val="-7"/>
                <w:sz w:val="24"/>
              </w:rPr>
              <w:t> </w:t>
            </w:r>
            <w:r>
              <w:rPr>
                <w:sz w:val="24"/>
              </w:rPr>
              <w:t>своей </w:t>
            </w:r>
            <w:r>
              <w:rPr>
                <w:spacing w:val="-2"/>
                <w:sz w:val="24"/>
              </w:rPr>
              <w:t>культуры</w:t>
            </w:r>
          </w:p>
        </w:tc>
        <w:tc>
          <w:tcPr>
            <w:tcW w:w="1545" w:type="dxa"/>
          </w:tcPr>
          <w:p>
            <w:pPr>
              <w:pStyle w:val="TableParagraph"/>
              <w:rPr>
                <w:sz w:val="24"/>
              </w:rPr>
            </w:pPr>
          </w:p>
        </w:tc>
      </w:tr>
      <w:tr>
        <w:trPr>
          <w:trHeight w:val="1151" w:hRule="atLeast"/>
        </w:trPr>
        <w:tc>
          <w:tcPr>
            <w:tcW w:w="2006" w:type="dxa"/>
            <w:vMerge/>
            <w:tcBorders>
              <w:top w:val="nil"/>
            </w:tcBorders>
          </w:tcPr>
          <w:p>
            <w:pPr>
              <w:rPr>
                <w:sz w:val="2"/>
                <w:szCs w:val="2"/>
              </w:rPr>
            </w:pPr>
          </w:p>
        </w:tc>
        <w:tc>
          <w:tcPr>
            <w:tcW w:w="5864" w:type="dxa"/>
          </w:tcPr>
          <w:p>
            <w:pPr>
              <w:pStyle w:val="TableParagraph"/>
              <w:spacing w:line="276" w:lineRule="auto"/>
              <w:ind w:left="108"/>
              <w:rPr>
                <w:sz w:val="24"/>
              </w:rPr>
            </w:pPr>
            <w:r>
              <w:rPr>
                <w:sz w:val="24"/>
              </w:rPr>
              <w:t>7. Старается выучить русский язык и при этом с удовольствием</w:t>
            </w:r>
            <w:r>
              <w:rPr>
                <w:spacing w:val="-8"/>
                <w:sz w:val="24"/>
              </w:rPr>
              <w:t> </w:t>
            </w:r>
            <w:r>
              <w:rPr>
                <w:sz w:val="24"/>
              </w:rPr>
              <w:t>рассказывает,</w:t>
            </w:r>
            <w:r>
              <w:rPr>
                <w:spacing w:val="-7"/>
                <w:sz w:val="24"/>
              </w:rPr>
              <w:t> </w:t>
            </w:r>
            <w:r>
              <w:rPr>
                <w:sz w:val="24"/>
              </w:rPr>
              <w:t>как</w:t>
            </w:r>
            <w:r>
              <w:rPr>
                <w:spacing w:val="-7"/>
                <w:sz w:val="24"/>
              </w:rPr>
              <w:t> </w:t>
            </w:r>
            <w:r>
              <w:rPr>
                <w:sz w:val="24"/>
              </w:rPr>
              <w:t>звучит</w:t>
            </w:r>
            <w:r>
              <w:rPr>
                <w:spacing w:val="-7"/>
                <w:sz w:val="24"/>
              </w:rPr>
              <w:t> </w:t>
            </w:r>
            <w:r>
              <w:rPr>
                <w:sz w:val="24"/>
              </w:rPr>
              <w:t>то</w:t>
            </w:r>
            <w:r>
              <w:rPr>
                <w:spacing w:val="-7"/>
                <w:sz w:val="24"/>
              </w:rPr>
              <w:t> </w:t>
            </w:r>
            <w:r>
              <w:rPr>
                <w:sz w:val="24"/>
              </w:rPr>
              <w:t>или</w:t>
            </w:r>
            <w:r>
              <w:rPr>
                <w:spacing w:val="-6"/>
                <w:sz w:val="24"/>
              </w:rPr>
              <w:t> </w:t>
            </w:r>
            <w:r>
              <w:rPr>
                <w:sz w:val="24"/>
              </w:rPr>
              <w:t>иное слово на его родном языке</w:t>
            </w:r>
          </w:p>
        </w:tc>
        <w:tc>
          <w:tcPr>
            <w:tcW w:w="1545" w:type="dxa"/>
          </w:tcPr>
          <w:p>
            <w:pPr>
              <w:pStyle w:val="TableParagraph"/>
              <w:rPr>
                <w:sz w:val="24"/>
              </w:rPr>
            </w:pPr>
          </w:p>
        </w:tc>
      </w:tr>
      <w:tr>
        <w:trPr>
          <w:trHeight w:val="1152" w:hRule="atLeast"/>
        </w:trPr>
        <w:tc>
          <w:tcPr>
            <w:tcW w:w="2006" w:type="dxa"/>
            <w:vMerge/>
            <w:tcBorders>
              <w:top w:val="nil"/>
            </w:tcBorders>
          </w:tcPr>
          <w:p>
            <w:pPr>
              <w:rPr>
                <w:sz w:val="2"/>
                <w:szCs w:val="2"/>
              </w:rPr>
            </w:pPr>
          </w:p>
        </w:tc>
        <w:tc>
          <w:tcPr>
            <w:tcW w:w="5864" w:type="dxa"/>
          </w:tcPr>
          <w:p>
            <w:pPr>
              <w:pStyle w:val="TableParagraph"/>
              <w:spacing w:line="276" w:lineRule="auto"/>
              <w:ind w:left="108" w:right="188"/>
              <w:rPr>
                <w:sz w:val="24"/>
              </w:rPr>
            </w:pPr>
            <w:r>
              <w:rPr>
                <w:sz w:val="24"/>
              </w:rPr>
              <w:t>8.</w:t>
            </w:r>
            <w:r>
              <w:rPr>
                <w:spacing w:val="-6"/>
                <w:sz w:val="24"/>
              </w:rPr>
              <w:t> </w:t>
            </w:r>
            <w:r>
              <w:rPr>
                <w:sz w:val="24"/>
              </w:rPr>
              <w:t>Общается</w:t>
            </w:r>
            <w:r>
              <w:rPr>
                <w:spacing w:val="-6"/>
                <w:sz w:val="24"/>
              </w:rPr>
              <w:t> </w:t>
            </w:r>
            <w:r>
              <w:rPr>
                <w:sz w:val="24"/>
              </w:rPr>
              <w:t>и</w:t>
            </w:r>
            <w:r>
              <w:rPr>
                <w:spacing w:val="-6"/>
                <w:sz w:val="24"/>
              </w:rPr>
              <w:t> </w:t>
            </w:r>
            <w:r>
              <w:rPr>
                <w:sz w:val="24"/>
              </w:rPr>
              <w:t>с</w:t>
            </w:r>
            <w:r>
              <w:rPr>
                <w:spacing w:val="-7"/>
                <w:sz w:val="24"/>
              </w:rPr>
              <w:t> </w:t>
            </w:r>
            <w:r>
              <w:rPr>
                <w:sz w:val="24"/>
              </w:rPr>
              <w:t>российскими</w:t>
            </w:r>
            <w:r>
              <w:rPr>
                <w:spacing w:val="-6"/>
                <w:sz w:val="24"/>
              </w:rPr>
              <w:t> </w:t>
            </w:r>
            <w:r>
              <w:rPr>
                <w:sz w:val="24"/>
              </w:rPr>
              <w:t>школьниками,</w:t>
            </w:r>
            <w:r>
              <w:rPr>
                <w:spacing w:val="-6"/>
                <w:sz w:val="24"/>
              </w:rPr>
              <w:t> </w:t>
            </w:r>
            <w:r>
              <w:rPr>
                <w:sz w:val="24"/>
              </w:rPr>
              <w:t>и</w:t>
            </w:r>
            <w:r>
              <w:rPr>
                <w:spacing w:val="-7"/>
                <w:sz w:val="24"/>
              </w:rPr>
              <w:t> </w:t>
            </w:r>
            <w:r>
              <w:rPr>
                <w:sz w:val="24"/>
              </w:rPr>
              <w:t>с детьми своей культуры, не делая различий по национальному признаку</w:t>
            </w:r>
          </w:p>
        </w:tc>
        <w:tc>
          <w:tcPr>
            <w:tcW w:w="1545" w:type="dxa"/>
          </w:tcPr>
          <w:p>
            <w:pPr>
              <w:pStyle w:val="TableParagraph"/>
              <w:rPr>
                <w:sz w:val="24"/>
              </w:rPr>
            </w:pPr>
          </w:p>
        </w:tc>
      </w:tr>
      <w:tr>
        <w:trPr>
          <w:trHeight w:val="1151" w:hRule="atLeast"/>
        </w:trPr>
        <w:tc>
          <w:tcPr>
            <w:tcW w:w="2006" w:type="dxa"/>
            <w:vMerge/>
            <w:tcBorders>
              <w:top w:val="nil"/>
            </w:tcBorders>
          </w:tcPr>
          <w:p>
            <w:pPr>
              <w:rPr>
                <w:sz w:val="2"/>
                <w:szCs w:val="2"/>
              </w:rPr>
            </w:pPr>
          </w:p>
        </w:tc>
        <w:tc>
          <w:tcPr>
            <w:tcW w:w="5864" w:type="dxa"/>
          </w:tcPr>
          <w:p>
            <w:pPr>
              <w:pStyle w:val="TableParagraph"/>
              <w:spacing w:line="276" w:lineRule="auto"/>
              <w:ind w:left="108" w:right="188"/>
              <w:rPr>
                <w:sz w:val="24"/>
              </w:rPr>
            </w:pPr>
            <w:r>
              <w:rPr>
                <w:sz w:val="24"/>
              </w:rPr>
              <w:t>9.</w:t>
            </w:r>
            <w:r>
              <w:rPr>
                <w:spacing w:val="-7"/>
                <w:sz w:val="24"/>
              </w:rPr>
              <w:t> </w:t>
            </w:r>
            <w:r>
              <w:rPr>
                <w:sz w:val="24"/>
              </w:rPr>
              <w:t>Не</w:t>
            </w:r>
            <w:r>
              <w:rPr>
                <w:spacing w:val="-9"/>
                <w:sz w:val="24"/>
              </w:rPr>
              <w:t> </w:t>
            </w:r>
            <w:r>
              <w:rPr>
                <w:sz w:val="24"/>
              </w:rPr>
              <w:t>стесняется</w:t>
            </w:r>
            <w:r>
              <w:rPr>
                <w:spacing w:val="-7"/>
                <w:sz w:val="24"/>
              </w:rPr>
              <w:t> </w:t>
            </w:r>
            <w:r>
              <w:rPr>
                <w:sz w:val="24"/>
              </w:rPr>
              <w:t>при</w:t>
            </w:r>
            <w:r>
              <w:rPr>
                <w:spacing w:val="-7"/>
                <w:sz w:val="24"/>
              </w:rPr>
              <w:t> </w:t>
            </w:r>
            <w:r>
              <w:rPr>
                <w:sz w:val="24"/>
              </w:rPr>
              <w:t>необходимости</w:t>
            </w:r>
            <w:r>
              <w:rPr>
                <w:spacing w:val="-6"/>
                <w:sz w:val="24"/>
              </w:rPr>
              <w:t> </w:t>
            </w:r>
            <w:r>
              <w:rPr>
                <w:sz w:val="24"/>
              </w:rPr>
              <w:t>говорить</w:t>
            </w:r>
            <w:r>
              <w:rPr>
                <w:spacing w:val="-9"/>
                <w:sz w:val="24"/>
              </w:rPr>
              <w:t> </w:t>
            </w:r>
            <w:r>
              <w:rPr>
                <w:sz w:val="24"/>
              </w:rPr>
              <w:t>на родном языке, но также с удовольствием учит и использует русский язык</w:t>
            </w:r>
          </w:p>
        </w:tc>
        <w:tc>
          <w:tcPr>
            <w:tcW w:w="1545" w:type="dxa"/>
          </w:tcPr>
          <w:p>
            <w:pPr>
              <w:pStyle w:val="TableParagraph"/>
              <w:rPr>
                <w:sz w:val="24"/>
              </w:rPr>
            </w:pPr>
          </w:p>
        </w:tc>
      </w:tr>
      <w:tr>
        <w:trPr>
          <w:trHeight w:val="1153" w:hRule="atLeast"/>
        </w:trPr>
        <w:tc>
          <w:tcPr>
            <w:tcW w:w="2006" w:type="dxa"/>
            <w:vMerge/>
            <w:tcBorders>
              <w:top w:val="nil"/>
            </w:tcBorders>
          </w:tcPr>
          <w:p>
            <w:pPr>
              <w:rPr>
                <w:sz w:val="2"/>
                <w:szCs w:val="2"/>
              </w:rPr>
            </w:pPr>
          </w:p>
        </w:tc>
        <w:tc>
          <w:tcPr>
            <w:tcW w:w="5864" w:type="dxa"/>
          </w:tcPr>
          <w:p>
            <w:pPr>
              <w:pStyle w:val="TableParagraph"/>
              <w:spacing w:line="276" w:lineRule="auto"/>
              <w:ind w:left="108" w:right="188"/>
              <w:rPr>
                <w:sz w:val="24"/>
              </w:rPr>
            </w:pPr>
            <w:r>
              <w:rPr>
                <w:sz w:val="24"/>
              </w:rPr>
              <w:t>10. С удовольствием выступает в качестве переводчика</w:t>
            </w:r>
            <w:r>
              <w:rPr>
                <w:spacing w:val="-9"/>
                <w:sz w:val="24"/>
              </w:rPr>
              <w:t> </w:t>
            </w:r>
            <w:r>
              <w:rPr>
                <w:sz w:val="24"/>
              </w:rPr>
              <w:t>для</w:t>
            </w:r>
            <w:r>
              <w:rPr>
                <w:spacing w:val="-8"/>
                <w:sz w:val="24"/>
              </w:rPr>
              <w:t> </w:t>
            </w:r>
            <w:r>
              <w:rPr>
                <w:sz w:val="24"/>
              </w:rPr>
              <w:t>своих</w:t>
            </w:r>
            <w:r>
              <w:rPr>
                <w:spacing w:val="-9"/>
                <w:sz w:val="24"/>
              </w:rPr>
              <w:t> </w:t>
            </w:r>
            <w:r>
              <w:rPr>
                <w:sz w:val="24"/>
              </w:rPr>
              <w:t>знакомых,</w:t>
            </w:r>
            <w:r>
              <w:rPr>
                <w:spacing w:val="-8"/>
                <w:sz w:val="24"/>
              </w:rPr>
              <w:t> </w:t>
            </w:r>
            <w:r>
              <w:rPr>
                <w:sz w:val="24"/>
              </w:rPr>
              <w:t>плохо</w:t>
            </w:r>
            <w:r>
              <w:rPr>
                <w:spacing w:val="-8"/>
                <w:sz w:val="24"/>
              </w:rPr>
              <w:t> </w:t>
            </w:r>
            <w:r>
              <w:rPr>
                <w:sz w:val="24"/>
              </w:rPr>
              <w:t>владеющих русским языком</w:t>
            </w:r>
          </w:p>
        </w:tc>
        <w:tc>
          <w:tcPr>
            <w:tcW w:w="1545" w:type="dxa"/>
          </w:tcPr>
          <w:p>
            <w:pPr>
              <w:pStyle w:val="TableParagraph"/>
              <w:rPr>
                <w:sz w:val="24"/>
              </w:rPr>
            </w:pPr>
          </w:p>
        </w:tc>
      </w:tr>
      <w:tr>
        <w:trPr>
          <w:trHeight w:val="835" w:hRule="atLeast"/>
        </w:trPr>
        <w:tc>
          <w:tcPr>
            <w:tcW w:w="2006" w:type="dxa"/>
            <w:vMerge/>
            <w:tcBorders>
              <w:top w:val="nil"/>
            </w:tcBorders>
          </w:tcPr>
          <w:p>
            <w:pPr>
              <w:rPr>
                <w:sz w:val="2"/>
                <w:szCs w:val="2"/>
              </w:rPr>
            </w:pPr>
          </w:p>
        </w:tc>
        <w:tc>
          <w:tcPr>
            <w:tcW w:w="5864" w:type="dxa"/>
            <w:shd w:val="clear" w:color="auto" w:fill="EDEBE0"/>
          </w:tcPr>
          <w:p>
            <w:pPr>
              <w:pStyle w:val="TableParagraph"/>
              <w:spacing w:line="276" w:lineRule="auto"/>
              <w:ind w:left="108"/>
              <w:rPr>
                <w:sz w:val="24"/>
              </w:rPr>
            </w:pPr>
            <w:r>
              <w:rPr>
                <w:sz w:val="24"/>
              </w:rPr>
              <w:t>11.</w:t>
            </w:r>
            <w:r>
              <w:rPr>
                <w:spacing w:val="-10"/>
                <w:sz w:val="24"/>
              </w:rPr>
              <w:t> </w:t>
            </w:r>
            <w:r>
              <w:rPr>
                <w:sz w:val="24"/>
              </w:rPr>
              <w:t>Угощает</w:t>
            </w:r>
            <w:r>
              <w:rPr>
                <w:spacing w:val="-10"/>
                <w:sz w:val="24"/>
              </w:rPr>
              <w:t> </w:t>
            </w:r>
            <w:r>
              <w:rPr>
                <w:sz w:val="24"/>
              </w:rPr>
              <w:t>одноклассников</w:t>
            </w:r>
            <w:r>
              <w:rPr>
                <w:spacing w:val="-11"/>
                <w:sz w:val="24"/>
              </w:rPr>
              <w:t> </w:t>
            </w:r>
            <w:r>
              <w:rPr>
                <w:sz w:val="24"/>
              </w:rPr>
              <w:t>блюдами</w:t>
            </w:r>
            <w:r>
              <w:rPr>
                <w:spacing w:val="-10"/>
                <w:sz w:val="24"/>
              </w:rPr>
              <w:t> </w:t>
            </w:r>
            <w:r>
              <w:rPr>
                <w:sz w:val="24"/>
              </w:rPr>
              <w:t>национальной </w:t>
            </w:r>
            <w:r>
              <w:rPr>
                <w:spacing w:val="-4"/>
                <w:sz w:val="24"/>
              </w:rPr>
              <w:t>кухни</w:t>
            </w:r>
          </w:p>
        </w:tc>
        <w:tc>
          <w:tcPr>
            <w:tcW w:w="1545" w:type="dxa"/>
            <w:shd w:val="clear" w:color="auto" w:fill="EDEBE0"/>
          </w:tcPr>
          <w:p>
            <w:pPr>
              <w:pStyle w:val="TableParagraph"/>
              <w:rPr>
                <w:sz w:val="24"/>
              </w:rPr>
            </w:pPr>
          </w:p>
        </w:tc>
      </w:tr>
      <w:tr>
        <w:trPr>
          <w:trHeight w:val="515" w:hRule="atLeast"/>
        </w:trPr>
        <w:tc>
          <w:tcPr>
            <w:tcW w:w="2006" w:type="dxa"/>
            <w:vMerge/>
            <w:tcBorders>
              <w:top w:val="nil"/>
            </w:tcBorders>
          </w:tcPr>
          <w:p>
            <w:pPr>
              <w:rPr>
                <w:sz w:val="2"/>
                <w:szCs w:val="2"/>
              </w:rPr>
            </w:pPr>
          </w:p>
        </w:tc>
        <w:tc>
          <w:tcPr>
            <w:tcW w:w="5864" w:type="dxa"/>
            <w:shd w:val="clear" w:color="auto" w:fill="EDEBE0"/>
          </w:tcPr>
          <w:p>
            <w:pPr>
              <w:pStyle w:val="TableParagraph"/>
              <w:spacing w:line="270" w:lineRule="exact"/>
              <w:ind w:left="108"/>
              <w:rPr>
                <w:sz w:val="24"/>
              </w:rPr>
            </w:pPr>
            <w:r>
              <w:rPr>
                <w:sz w:val="24"/>
              </w:rPr>
              <w:t>12.</w:t>
            </w:r>
            <w:r>
              <w:rPr>
                <w:spacing w:val="-4"/>
                <w:sz w:val="24"/>
              </w:rPr>
              <w:t> </w:t>
            </w:r>
            <w:r>
              <w:rPr>
                <w:sz w:val="24"/>
              </w:rPr>
              <w:t>Учит</w:t>
            </w:r>
            <w:r>
              <w:rPr>
                <w:spacing w:val="-3"/>
                <w:sz w:val="24"/>
              </w:rPr>
              <w:t> </w:t>
            </w:r>
            <w:r>
              <w:rPr>
                <w:sz w:val="24"/>
              </w:rPr>
              <w:t>одноклассников</w:t>
            </w:r>
            <w:r>
              <w:rPr>
                <w:spacing w:val="-4"/>
                <w:sz w:val="24"/>
              </w:rPr>
              <w:t> </w:t>
            </w:r>
            <w:r>
              <w:rPr>
                <w:sz w:val="24"/>
              </w:rPr>
              <w:t>играм</w:t>
            </w:r>
            <w:r>
              <w:rPr>
                <w:spacing w:val="-3"/>
                <w:sz w:val="24"/>
              </w:rPr>
              <w:t> </w:t>
            </w:r>
            <w:r>
              <w:rPr>
                <w:sz w:val="24"/>
              </w:rPr>
              <w:t>своего</w:t>
            </w:r>
            <w:r>
              <w:rPr>
                <w:spacing w:val="-3"/>
                <w:sz w:val="24"/>
              </w:rPr>
              <w:t> </w:t>
            </w:r>
            <w:r>
              <w:rPr>
                <w:spacing w:val="-2"/>
                <w:sz w:val="24"/>
              </w:rPr>
              <w:t>народа</w:t>
            </w:r>
          </w:p>
        </w:tc>
        <w:tc>
          <w:tcPr>
            <w:tcW w:w="1545" w:type="dxa"/>
            <w:shd w:val="clear" w:color="auto" w:fill="EDEBE0"/>
          </w:tcPr>
          <w:p>
            <w:pPr>
              <w:pStyle w:val="TableParagraph"/>
              <w:rPr>
                <w:sz w:val="24"/>
              </w:rPr>
            </w:pPr>
          </w:p>
        </w:tc>
      </w:tr>
    </w:tbl>
    <w:p>
      <w:pPr>
        <w:pStyle w:val="BodyText"/>
        <w:spacing w:before="58"/>
        <w:ind w:left="0" w:right="0" w:firstLine="0"/>
        <w:jc w:val="left"/>
        <w:rPr>
          <w:sz w:val="24"/>
        </w:rPr>
      </w:pPr>
    </w:p>
    <w:p>
      <w:pPr>
        <w:spacing w:line="242" w:lineRule="auto" w:before="0"/>
        <w:ind w:left="285" w:right="0" w:firstLine="69"/>
        <w:jc w:val="left"/>
        <w:rPr>
          <w:sz w:val="24"/>
        </w:rPr>
      </w:pPr>
      <w:r>
        <w:rPr>
          <w:i/>
          <w:sz w:val="24"/>
        </w:rPr>
        <w:t>Примечание.</w:t>
      </w:r>
      <w:r>
        <w:rPr>
          <w:i/>
          <w:spacing w:val="-3"/>
          <w:sz w:val="24"/>
        </w:rPr>
        <w:t> </w:t>
      </w:r>
      <w:r>
        <w:rPr>
          <w:sz w:val="24"/>
        </w:rPr>
        <w:t>При</w:t>
      </w:r>
      <w:r>
        <w:rPr>
          <w:spacing w:val="-3"/>
          <w:sz w:val="24"/>
        </w:rPr>
        <w:t> </w:t>
      </w:r>
      <w:r>
        <w:rPr>
          <w:sz w:val="24"/>
        </w:rPr>
        <w:t>передаче</w:t>
      </w:r>
      <w:r>
        <w:rPr>
          <w:spacing w:val="-4"/>
          <w:sz w:val="24"/>
        </w:rPr>
        <w:t> </w:t>
      </w:r>
      <w:r>
        <w:rPr>
          <w:sz w:val="24"/>
        </w:rPr>
        <w:t>бланка</w:t>
      </w:r>
      <w:r>
        <w:rPr>
          <w:spacing w:val="-4"/>
          <w:sz w:val="24"/>
        </w:rPr>
        <w:t> </w:t>
      </w:r>
      <w:r>
        <w:rPr>
          <w:sz w:val="24"/>
        </w:rPr>
        <w:t>педагогу</w:t>
      </w:r>
      <w:r>
        <w:rPr>
          <w:spacing w:val="-8"/>
          <w:sz w:val="24"/>
        </w:rPr>
        <w:t> </w:t>
      </w:r>
      <w:r>
        <w:rPr>
          <w:sz w:val="24"/>
        </w:rPr>
        <w:t>для</w:t>
      </w:r>
      <w:r>
        <w:rPr>
          <w:spacing w:val="-3"/>
          <w:sz w:val="24"/>
        </w:rPr>
        <w:t> </w:t>
      </w:r>
      <w:r>
        <w:rPr>
          <w:sz w:val="24"/>
        </w:rPr>
        <w:t>заполнения</w:t>
      </w:r>
      <w:r>
        <w:rPr>
          <w:spacing w:val="-3"/>
          <w:sz w:val="24"/>
        </w:rPr>
        <w:t> </w:t>
      </w:r>
      <w:r>
        <w:rPr>
          <w:sz w:val="24"/>
        </w:rPr>
        <w:t>из</w:t>
      </w:r>
      <w:r>
        <w:rPr>
          <w:spacing w:val="-3"/>
          <w:sz w:val="24"/>
        </w:rPr>
        <w:t> </w:t>
      </w:r>
      <w:r>
        <w:rPr>
          <w:sz w:val="24"/>
        </w:rPr>
        <w:t>него</w:t>
      </w:r>
      <w:r>
        <w:rPr>
          <w:spacing w:val="-2"/>
          <w:sz w:val="24"/>
        </w:rPr>
        <w:t> </w:t>
      </w:r>
      <w:r>
        <w:rPr>
          <w:sz w:val="24"/>
        </w:rPr>
        <w:t>убираются</w:t>
      </w:r>
      <w:r>
        <w:rPr>
          <w:spacing w:val="-3"/>
          <w:sz w:val="24"/>
        </w:rPr>
        <w:t> </w:t>
      </w:r>
      <w:r>
        <w:rPr>
          <w:sz w:val="24"/>
        </w:rPr>
        <w:t>названия стратегий аккультурации.</w:t>
      </w:r>
    </w:p>
    <w:p>
      <w:pPr>
        <w:spacing w:after="0" w:line="242" w:lineRule="auto"/>
        <w:jc w:val="left"/>
        <w:rPr>
          <w:sz w:val="24"/>
        </w:rPr>
        <w:sectPr>
          <w:type w:val="continuous"/>
          <w:pgSz w:w="11910" w:h="16840"/>
          <w:pgMar w:header="0" w:footer="970" w:top="1100" w:bottom="1220" w:left="1417" w:right="283"/>
        </w:sectPr>
      </w:pPr>
    </w:p>
    <w:p>
      <w:pPr>
        <w:pStyle w:val="Heading2"/>
        <w:numPr>
          <w:ilvl w:val="0"/>
          <w:numId w:val="15"/>
        </w:numPr>
        <w:tabs>
          <w:tab w:pos="1271" w:val="left" w:leader="none"/>
        </w:tabs>
        <w:spacing w:line="240" w:lineRule="auto" w:before="72" w:after="0"/>
        <w:ind w:left="1271" w:right="0" w:hanging="420"/>
        <w:jc w:val="left"/>
      </w:pPr>
      <w:bookmarkStart w:name="_bookmark30" w:id="32"/>
      <w:bookmarkEnd w:id="32"/>
      <w:r>
        <w:rPr>
          <w:b w:val="0"/>
        </w:rPr>
      </w:r>
      <w:r>
        <w:rPr/>
        <w:t>Краткая</w:t>
      </w:r>
      <w:r>
        <w:rPr>
          <w:spacing w:val="-11"/>
        </w:rPr>
        <w:t> </w:t>
      </w:r>
      <w:r>
        <w:rPr/>
        <w:t>шкала</w:t>
      </w:r>
      <w:r>
        <w:rPr>
          <w:spacing w:val="-10"/>
        </w:rPr>
        <w:t> </w:t>
      </w:r>
      <w:r>
        <w:rPr/>
        <w:t>социокультурной</w:t>
      </w:r>
      <w:r>
        <w:rPr>
          <w:spacing w:val="-12"/>
        </w:rPr>
        <w:t> </w:t>
      </w:r>
      <w:r>
        <w:rPr>
          <w:spacing w:val="-2"/>
        </w:rPr>
        <w:t>дезадаптации</w:t>
      </w:r>
    </w:p>
    <w:p>
      <w:pPr>
        <w:pStyle w:val="Heading3"/>
        <w:spacing w:before="245"/>
      </w:pPr>
      <w:r>
        <w:rPr/>
        <w:t>Описание</w:t>
      </w:r>
      <w:r>
        <w:rPr>
          <w:spacing w:val="-3"/>
        </w:rPr>
        <w:t> </w:t>
      </w:r>
      <w:r>
        <w:rPr>
          <w:spacing w:val="-2"/>
        </w:rPr>
        <w:t>методики</w:t>
      </w:r>
    </w:p>
    <w:p>
      <w:pPr>
        <w:spacing w:before="232"/>
        <w:ind w:left="285" w:right="560" w:firstLine="0"/>
        <w:jc w:val="both"/>
        <w:rPr>
          <w:sz w:val="28"/>
        </w:rPr>
      </w:pPr>
      <w:r>
        <w:rPr>
          <w:sz w:val="28"/>
        </w:rPr>
        <w:t>Краткая шкала социокультурной дезадаптации для школьников-мигрантов представляет собой русскоязычную сокращенную версию части опросника </w:t>
      </w:r>
      <w:r>
        <w:rPr>
          <w:i/>
          <w:sz w:val="28"/>
        </w:rPr>
        <w:t>MIRIPS (Mutual Intercultural Relations In Plural Societies, </w:t>
      </w:r>
      <w:r>
        <w:rPr>
          <w:sz w:val="28"/>
        </w:rPr>
        <w:t>или Взаимные межкультурные отношения в плюралистических обществах); (</w:t>
      </w:r>
      <w:r>
        <w:rPr>
          <w:i/>
          <w:sz w:val="28"/>
        </w:rPr>
        <w:t>Berry, Lepshokova, Grigoryev, </w:t>
      </w:r>
      <w:r>
        <w:rPr>
          <w:sz w:val="28"/>
        </w:rPr>
        <w:t>2021).</w:t>
      </w:r>
    </w:p>
    <w:p>
      <w:pPr>
        <w:pStyle w:val="Heading4"/>
        <w:spacing w:before="241"/>
        <w:ind w:right="559"/>
      </w:pPr>
      <w:r>
        <w:rPr>
          <w:i/>
        </w:rPr>
        <w:t>MIRIPS </w:t>
      </w:r>
      <w:r>
        <w:rPr/>
        <w:t>— один из крупнейших международных проектов, посвященных изучению межкультурных отношений. Ученые, входящие в состав научного объединения, исследуют вопросы культурной безопасности, этноцентризма, иерархии</w:t>
      </w:r>
      <w:r>
        <w:rPr>
          <w:spacing w:val="-11"/>
        </w:rPr>
        <w:t> </w:t>
      </w:r>
      <w:r>
        <w:rPr/>
        <w:t>и</w:t>
      </w:r>
      <w:r>
        <w:rPr>
          <w:spacing w:val="-11"/>
        </w:rPr>
        <w:t> </w:t>
      </w:r>
      <w:r>
        <w:rPr/>
        <w:t>взаимодействия</w:t>
      </w:r>
      <w:r>
        <w:rPr>
          <w:spacing w:val="-11"/>
        </w:rPr>
        <w:t> </w:t>
      </w:r>
      <w:r>
        <w:rPr/>
        <w:t>в</w:t>
      </w:r>
      <w:r>
        <w:rPr>
          <w:spacing w:val="-12"/>
        </w:rPr>
        <w:t> </w:t>
      </w:r>
      <w:r>
        <w:rPr/>
        <w:t>плюралистических</w:t>
      </w:r>
      <w:r>
        <w:rPr>
          <w:spacing w:val="-10"/>
        </w:rPr>
        <w:t> </w:t>
      </w:r>
      <w:r>
        <w:rPr/>
        <w:t>обществах.</w:t>
      </w:r>
      <w:r>
        <w:rPr>
          <w:spacing w:val="-12"/>
        </w:rPr>
        <w:t> </w:t>
      </w:r>
      <w:r>
        <w:rPr/>
        <w:t>Авторы</w:t>
      </w:r>
      <w:r>
        <w:rPr>
          <w:spacing w:val="-11"/>
        </w:rPr>
        <w:t> </w:t>
      </w:r>
      <w:r>
        <w:rPr/>
        <w:t>перевода и</w:t>
      </w:r>
      <w:r>
        <w:rPr>
          <w:spacing w:val="-8"/>
        </w:rPr>
        <w:t> </w:t>
      </w:r>
      <w:r>
        <w:rPr/>
        <w:t>адаптации</w:t>
      </w:r>
      <w:r>
        <w:rPr>
          <w:spacing w:val="-8"/>
        </w:rPr>
        <w:t> </w:t>
      </w:r>
      <w:r>
        <w:rPr/>
        <w:t>опросника</w:t>
      </w:r>
      <w:r>
        <w:rPr>
          <w:spacing w:val="-5"/>
        </w:rPr>
        <w:t> </w:t>
      </w:r>
      <w:r>
        <w:rPr>
          <w:i/>
        </w:rPr>
        <w:t>MIRIPS</w:t>
      </w:r>
      <w:r>
        <w:rPr>
          <w:i/>
          <w:spacing w:val="-7"/>
        </w:rPr>
        <w:t> </w:t>
      </w:r>
      <w:r>
        <w:rPr/>
        <w:t>—</w:t>
      </w:r>
      <w:r>
        <w:rPr>
          <w:spacing w:val="-11"/>
        </w:rPr>
        <w:t> </w:t>
      </w:r>
      <w:r>
        <w:rPr/>
        <w:t>российские</w:t>
      </w:r>
      <w:r>
        <w:rPr>
          <w:spacing w:val="-11"/>
        </w:rPr>
        <w:t> </w:t>
      </w:r>
      <w:r>
        <w:rPr/>
        <w:t>исследователи</w:t>
      </w:r>
      <w:r>
        <w:rPr>
          <w:spacing w:val="-8"/>
        </w:rPr>
        <w:t> </w:t>
      </w:r>
      <w:r>
        <w:rPr/>
        <w:t>Н.М.</w:t>
      </w:r>
      <w:r>
        <w:rPr>
          <w:spacing w:val="-10"/>
        </w:rPr>
        <w:t> </w:t>
      </w:r>
      <w:r>
        <w:rPr/>
        <w:t>Лебедева</w:t>
      </w:r>
      <w:r>
        <w:rPr>
          <w:spacing w:val="-9"/>
        </w:rPr>
        <w:t> </w:t>
      </w:r>
      <w:r>
        <w:rPr/>
        <w:t>и А.Н. Татарко (</w:t>
      </w:r>
      <w:r>
        <w:rPr>
          <w:i/>
        </w:rPr>
        <w:t>Межкультурные отношения в постсоветском пространстве</w:t>
      </w:r>
      <w:r>
        <w:rPr/>
        <w:t>, </w:t>
      </w:r>
      <w:r>
        <w:rPr>
          <w:spacing w:val="-2"/>
        </w:rPr>
        <w:t>2017).</w:t>
      </w:r>
    </w:p>
    <w:p>
      <w:pPr>
        <w:pStyle w:val="Heading4"/>
        <w:spacing w:before="240"/>
        <w:ind w:right="562"/>
      </w:pPr>
      <w:r>
        <w:rPr/>
        <w:t>Методика</w:t>
      </w:r>
      <w:r>
        <w:rPr>
          <w:spacing w:val="-2"/>
        </w:rPr>
        <w:t> </w:t>
      </w:r>
      <w:r>
        <w:rPr/>
        <w:t>предназначена</w:t>
      </w:r>
      <w:r>
        <w:rPr>
          <w:spacing w:val="-3"/>
        </w:rPr>
        <w:t> </w:t>
      </w:r>
      <w:r>
        <w:rPr/>
        <w:t>для</w:t>
      </w:r>
      <w:r>
        <w:rPr>
          <w:spacing w:val="-3"/>
        </w:rPr>
        <w:t> </w:t>
      </w:r>
      <w:r>
        <w:rPr/>
        <w:t>определения</w:t>
      </w:r>
      <w:r>
        <w:rPr>
          <w:spacing w:val="-2"/>
        </w:rPr>
        <w:t> </w:t>
      </w:r>
      <w:r>
        <w:rPr/>
        <w:t>уровня</w:t>
      </w:r>
      <w:r>
        <w:rPr>
          <w:spacing w:val="-4"/>
        </w:rPr>
        <w:t> </w:t>
      </w:r>
      <w:r>
        <w:rPr/>
        <w:t>социальной</w:t>
      </w:r>
      <w:r>
        <w:rPr>
          <w:spacing w:val="-4"/>
        </w:rPr>
        <w:t> </w:t>
      </w:r>
      <w:r>
        <w:rPr/>
        <w:t>дезадаптации</w:t>
      </w:r>
      <w:r>
        <w:rPr>
          <w:spacing w:val="-2"/>
        </w:rPr>
        <w:t> </w:t>
      </w:r>
      <w:r>
        <w:rPr/>
        <w:t>у детей-мигрантов. Применяется в работе с мигрантами школьного возраста. Представляет собой опросник из 11 утверждений, позволяющих оценить субъективную степень сложностей, с которыми сталкивается учащийся- мигрант в повседневной жизни на новом месте.</w:t>
      </w:r>
    </w:p>
    <w:p>
      <w:pPr>
        <w:pStyle w:val="Heading3"/>
        <w:spacing w:before="246"/>
      </w:pPr>
      <w:r>
        <w:rPr/>
        <w:t>Проведение</w:t>
      </w:r>
      <w:r>
        <w:rPr>
          <w:spacing w:val="-10"/>
        </w:rPr>
        <w:t> </w:t>
      </w:r>
      <w:r>
        <w:rPr>
          <w:spacing w:val="-2"/>
        </w:rPr>
        <w:t>методики</w:t>
      </w:r>
    </w:p>
    <w:p>
      <w:pPr>
        <w:pStyle w:val="Heading4"/>
        <w:spacing w:before="235"/>
        <w:ind w:right="561"/>
      </w:pPr>
      <w:r>
        <w:rPr/>
        <w:t>Психолог предлагает школьнику-мигранту самостоятельно пройти опросник из</w:t>
      </w:r>
      <w:r>
        <w:rPr>
          <w:spacing w:val="-13"/>
        </w:rPr>
        <w:t> </w:t>
      </w:r>
      <w:r>
        <w:rPr/>
        <w:t>11</w:t>
      </w:r>
      <w:r>
        <w:rPr>
          <w:spacing w:val="-11"/>
        </w:rPr>
        <w:t> </w:t>
      </w:r>
      <w:r>
        <w:rPr/>
        <w:t>утверждений</w:t>
      </w:r>
      <w:r>
        <w:rPr>
          <w:spacing w:val="-12"/>
        </w:rPr>
        <w:t> </w:t>
      </w:r>
      <w:r>
        <w:rPr/>
        <w:t>(см.</w:t>
      </w:r>
      <w:r>
        <w:rPr>
          <w:spacing w:val="-10"/>
        </w:rPr>
        <w:t> </w:t>
      </w:r>
      <w:r>
        <w:rPr>
          <w:i/>
        </w:rPr>
        <w:t>Приложение</w:t>
      </w:r>
      <w:r>
        <w:rPr>
          <w:i/>
          <w:spacing w:val="-12"/>
        </w:rPr>
        <w:t> </w:t>
      </w:r>
      <w:r>
        <w:rPr>
          <w:i/>
        </w:rPr>
        <w:t>16</w:t>
      </w:r>
      <w:r>
        <w:rPr/>
        <w:t>).</w:t>
      </w:r>
      <w:r>
        <w:rPr>
          <w:spacing w:val="-13"/>
        </w:rPr>
        <w:t> </w:t>
      </w:r>
      <w:r>
        <w:rPr/>
        <w:t>На</w:t>
      </w:r>
      <w:r>
        <w:rPr>
          <w:spacing w:val="-12"/>
        </w:rPr>
        <w:t> </w:t>
      </w:r>
      <w:r>
        <w:rPr/>
        <w:t>каждое</w:t>
      </w:r>
      <w:r>
        <w:rPr>
          <w:spacing w:val="-11"/>
        </w:rPr>
        <w:t> </w:t>
      </w:r>
      <w:r>
        <w:rPr/>
        <w:t>утверждение</w:t>
      </w:r>
      <w:r>
        <w:rPr>
          <w:spacing w:val="-12"/>
        </w:rPr>
        <w:t> </w:t>
      </w:r>
      <w:r>
        <w:rPr/>
        <w:t>испытуемый выбирает</w:t>
      </w:r>
      <w:r>
        <w:rPr>
          <w:spacing w:val="-12"/>
        </w:rPr>
        <w:t> </w:t>
      </w:r>
      <w:r>
        <w:rPr/>
        <w:t>наиболее</w:t>
      </w:r>
      <w:r>
        <w:rPr>
          <w:spacing w:val="-12"/>
        </w:rPr>
        <w:t> </w:t>
      </w:r>
      <w:r>
        <w:rPr/>
        <w:t>подходящий</w:t>
      </w:r>
      <w:r>
        <w:rPr>
          <w:spacing w:val="-12"/>
        </w:rPr>
        <w:t> </w:t>
      </w:r>
      <w:r>
        <w:rPr/>
        <w:t>для</w:t>
      </w:r>
      <w:r>
        <w:rPr>
          <w:spacing w:val="-9"/>
        </w:rPr>
        <w:t> </w:t>
      </w:r>
      <w:r>
        <w:rPr/>
        <w:t>него</w:t>
      </w:r>
      <w:r>
        <w:rPr>
          <w:spacing w:val="-9"/>
        </w:rPr>
        <w:t> </w:t>
      </w:r>
      <w:r>
        <w:rPr/>
        <w:t>ответ</w:t>
      </w:r>
      <w:r>
        <w:rPr>
          <w:spacing w:val="-10"/>
        </w:rPr>
        <w:t> </w:t>
      </w:r>
      <w:r>
        <w:rPr/>
        <w:t>по</w:t>
      </w:r>
      <w:r>
        <w:rPr>
          <w:spacing w:val="-9"/>
        </w:rPr>
        <w:t> </w:t>
      </w:r>
      <w:r>
        <w:rPr/>
        <w:t>четырехбалльной</w:t>
      </w:r>
      <w:r>
        <w:rPr>
          <w:spacing w:val="-9"/>
        </w:rPr>
        <w:t> </w:t>
      </w:r>
      <w:r>
        <w:rPr/>
        <w:t>шкале:</w:t>
      </w:r>
      <w:r>
        <w:rPr>
          <w:spacing w:val="-9"/>
        </w:rPr>
        <w:t> </w:t>
      </w:r>
      <w:r>
        <w:rPr>
          <w:spacing w:val="-5"/>
        </w:rPr>
        <w:t>от</w:t>
      </w:r>
    </w:p>
    <w:p>
      <w:pPr>
        <w:pStyle w:val="Heading4"/>
        <w:ind w:right="564"/>
      </w:pPr>
      <w:r>
        <w:rPr/>
        <w:t>4 — «очень трудно» до 1 — «очень легко». Результаты суммируются, наибольший балл означает более высокую социокультурную дезадаптацию.</w:t>
      </w:r>
    </w:p>
    <w:p>
      <w:pPr>
        <w:pStyle w:val="Heading4"/>
        <w:spacing w:before="238"/>
        <w:ind w:right="565"/>
      </w:pPr>
      <w:r>
        <w:rPr/>
        <w:t>В 2022 г. по результатам апробации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w:t>
      </w:r>
      <w:r>
        <w:rPr>
          <w:spacing w:val="-6"/>
        </w:rPr>
        <w:t> </w:t>
      </w:r>
      <w:r>
        <w:rPr/>
        <w:t>на</w:t>
      </w:r>
      <w:r>
        <w:rPr>
          <w:spacing w:val="-5"/>
        </w:rPr>
        <w:t> </w:t>
      </w:r>
      <w:r>
        <w:rPr/>
        <w:t>основании</w:t>
      </w:r>
      <w:r>
        <w:rPr>
          <w:spacing w:val="-5"/>
        </w:rPr>
        <w:t> </w:t>
      </w:r>
      <w:r>
        <w:rPr/>
        <w:t>статистического</w:t>
      </w:r>
      <w:r>
        <w:rPr>
          <w:spacing w:val="-4"/>
        </w:rPr>
        <w:t> </w:t>
      </w:r>
      <w:r>
        <w:rPr/>
        <w:t>анализа</w:t>
      </w:r>
      <w:r>
        <w:rPr>
          <w:spacing w:val="-6"/>
        </w:rPr>
        <w:t> </w:t>
      </w:r>
      <w:r>
        <w:rPr/>
        <w:t>распределения</w:t>
      </w:r>
      <w:r>
        <w:rPr>
          <w:spacing w:val="-8"/>
        </w:rPr>
        <w:t> </w:t>
      </w:r>
      <w:r>
        <w:rPr/>
        <w:t>показателей у детей — иностранных граждан, выделены следующие нормативы.</w:t>
      </w:r>
    </w:p>
    <w:p>
      <w:pPr>
        <w:pStyle w:val="Heading4"/>
        <w:spacing w:after="0"/>
        <w:sectPr>
          <w:pgSz w:w="11910" w:h="16840"/>
          <w:pgMar w:header="0" w:footer="970" w:top="1040" w:bottom="1220" w:left="1417" w:right="283"/>
        </w:sectPr>
      </w:pPr>
    </w:p>
    <w:p>
      <w:pPr>
        <w:pStyle w:val="Heading3"/>
        <w:ind w:left="0" w:right="562"/>
        <w:jc w:val="right"/>
      </w:pPr>
      <w:r>
        <w:rPr/>
        <w:t>Таблица</w:t>
      </w:r>
      <w:r>
        <w:rPr>
          <w:spacing w:val="-5"/>
        </w:rPr>
        <w:t> 29</w:t>
      </w:r>
    </w:p>
    <w:p>
      <w:pPr>
        <w:spacing w:before="240"/>
        <w:ind w:left="2954" w:right="569" w:hanging="2346"/>
        <w:jc w:val="left"/>
        <w:rPr>
          <w:b/>
          <w:sz w:val="28"/>
        </w:rPr>
      </w:pPr>
      <w:r>
        <w:rPr>
          <w:b/>
          <w:sz w:val="28"/>
        </w:rPr>
        <w:t>Критерии</w:t>
      </w:r>
      <w:r>
        <w:rPr>
          <w:b/>
          <w:spacing w:val="-6"/>
          <w:sz w:val="28"/>
        </w:rPr>
        <w:t> </w:t>
      </w:r>
      <w:r>
        <w:rPr>
          <w:b/>
          <w:sz w:val="28"/>
        </w:rPr>
        <w:t>оценки</w:t>
      </w:r>
      <w:r>
        <w:rPr>
          <w:b/>
          <w:spacing w:val="-6"/>
          <w:sz w:val="28"/>
        </w:rPr>
        <w:t> </w:t>
      </w:r>
      <w:r>
        <w:rPr>
          <w:b/>
          <w:sz w:val="28"/>
        </w:rPr>
        <w:t>по</w:t>
      </w:r>
      <w:r>
        <w:rPr>
          <w:b/>
          <w:spacing w:val="-4"/>
          <w:sz w:val="28"/>
        </w:rPr>
        <w:t> </w:t>
      </w:r>
      <w:r>
        <w:rPr>
          <w:b/>
          <w:sz w:val="28"/>
        </w:rPr>
        <w:t>шкале</w:t>
      </w:r>
      <w:r>
        <w:rPr>
          <w:b/>
          <w:spacing w:val="-5"/>
          <w:sz w:val="28"/>
        </w:rPr>
        <w:t> </w:t>
      </w:r>
      <w:r>
        <w:rPr>
          <w:b/>
          <w:sz w:val="28"/>
        </w:rPr>
        <w:t>на</w:t>
      </w:r>
      <w:r>
        <w:rPr>
          <w:b/>
          <w:spacing w:val="-4"/>
          <w:sz w:val="28"/>
        </w:rPr>
        <w:t> </w:t>
      </w:r>
      <w:r>
        <w:rPr>
          <w:b/>
          <w:sz w:val="28"/>
        </w:rPr>
        <w:t>выборках</w:t>
      </w:r>
      <w:r>
        <w:rPr>
          <w:b/>
          <w:spacing w:val="-5"/>
          <w:sz w:val="28"/>
        </w:rPr>
        <w:t> </w:t>
      </w:r>
      <w:r>
        <w:rPr>
          <w:b/>
          <w:sz w:val="28"/>
        </w:rPr>
        <w:t>несовершеннолетних</w:t>
      </w:r>
      <w:r>
        <w:rPr>
          <w:b/>
          <w:spacing w:val="-4"/>
          <w:sz w:val="28"/>
        </w:rPr>
        <w:t> </w:t>
      </w:r>
      <w:r>
        <w:rPr>
          <w:b/>
          <w:sz w:val="28"/>
        </w:rPr>
        <w:t>детей иностранных граждан в России</w:t>
      </w:r>
    </w:p>
    <w:p>
      <w:pPr>
        <w:pStyle w:val="BodyText"/>
        <w:ind w:left="0" w:right="0" w:firstLine="0"/>
        <w:jc w:val="left"/>
        <w:rPr>
          <w:b/>
        </w:rPr>
      </w:pPr>
    </w:p>
    <w:p>
      <w:pPr>
        <w:pStyle w:val="BodyText"/>
        <w:ind w:left="0" w:right="0" w:firstLine="0"/>
        <w:jc w:val="left"/>
        <w:rPr>
          <w:b/>
        </w:rPr>
      </w:pPr>
    </w:p>
    <w:p>
      <w:pPr>
        <w:pStyle w:val="BodyText"/>
        <w:spacing w:before="113"/>
        <w:ind w:left="0" w:right="0" w:firstLine="0"/>
        <w:jc w:val="left"/>
        <w:rPr>
          <w:b/>
        </w:rPr>
      </w:pPr>
    </w:p>
    <w:tbl>
      <w:tblPr>
        <w:tblW w:w="0" w:type="auto"/>
        <w:jc w:val="left"/>
        <w:tblInd w:w="3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88"/>
        <w:gridCol w:w="5528"/>
      </w:tblGrid>
      <w:tr>
        <w:trPr>
          <w:trHeight w:val="1232" w:hRule="atLeast"/>
        </w:trPr>
        <w:tc>
          <w:tcPr>
            <w:tcW w:w="3788" w:type="dxa"/>
          </w:tcPr>
          <w:p>
            <w:pPr>
              <w:pStyle w:val="TableParagraph"/>
              <w:spacing w:before="258"/>
              <w:ind w:left="19"/>
              <w:jc w:val="center"/>
              <w:rPr>
                <w:b/>
                <w:sz w:val="24"/>
              </w:rPr>
            </w:pPr>
            <w:r>
              <w:rPr>
                <w:b/>
                <w:spacing w:val="-2"/>
                <w:sz w:val="24"/>
              </w:rPr>
              <w:t>Уровни</w:t>
            </w:r>
          </w:p>
        </w:tc>
        <w:tc>
          <w:tcPr>
            <w:tcW w:w="5528" w:type="dxa"/>
          </w:tcPr>
          <w:p>
            <w:pPr>
              <w:pStyle w:val="TableParagraph"/>
              <w:spacing w:before="258"/>
              <w:ind w:left="13"/>
              <w:jc w:val="center"/>
              <w:rPr>
                <w:b/>
                <w:sz w:val="24"/>
              </w:rPr>
            </w:pPr>
            <w:r>
              <w:rPr>
                <w:b/>
                <w:sz w:val="24"/>
              </w:rPr>
              <w:t>Средняя</w:t>
            </w:r>
            <w:r>
              <w:rPr>
                <w:b/>
                <w:spacing w:val="-3"/>
                <w:sz w:val="24"/>
              </w:rPr>
              <w:t> </w:t>
            </w:r>
            <w:r>
              <w:rPr>
                <w:b/>
                <w:sz w:val="24"/>
              </w:rPr>
              <w:t>и</w:t>
            </w:r>
            <w:r>
              <w:rPr>
                <w:b/>
                <w:spacing w:val="-4"/>
                <w:sz w:val="24"/>
              </w:rPr>
              <w:t> </w:t>
            </w:r>
            <w:r>
              <w:rPr>
                <w:b/>
                <w:sz w:val="24"/>
              </w:rPr>
              <w:t>старшая</w:t>
            </w:r>
            <w:r>
              <w:rPr>
                <w:b/>
                <w:spacing w:val="-2"/>
                <w:sz w:val="24"/>
              </w:rPr>
              <w:t> </w:t>
            </w:r>
            <w:r>
              <w:rPr>
                <w:b/>
                <w:sz w:val="24"/>
              </w:rPr>
              <w:t>школа</w:t>
            </w:r>
            <w:r>
              <w:rPr>
                <w:b/>
                <w:spacing w:val="-2"/>
                <w:sz w:val="24"/>
              </w:rPr>
              <w:t> (N=338)</w:t>
            </w:r>
          </w:p>
        </w:tc>
      </w:tr>
      <w:tr>
        <w:trPr>
          <w:trHeight w:val="775" w:hRule="atLeast"/>
        </w:trPr>
        <w:tc>
          <w:tcPr>
            <w:tcW w:w="3788" w:type="dxa"/>
          </w:tcPr>
          <w:p>
            <w:pPr>
              <w:pStyle w:val="TableParagraph"/>
              <w:spacing w:before="232"/>
              <w:ind w:left="160"/>
              <w:rPr>
                <w:sz w:val="24"/>
              </w:rPr>
            </w:pPr>
            <w:r>
              <w:rPr>
                <w:sz w:val="24"/>
              </w:rPr>
              <w:t>Ниже</w:t>
            </w:r>
            <w:r>
              <w:rPr>
                <w:spacing w:val="-5"/>
                <w:sz w:val="24"/>
              </w:rPr>
              <w:t> </w:t>
            </w:r>
            <w:r>
              <w:rPr>
                <w:spacing w:val="-2"/>
                <w:sz w:val="24"/>
              </w:rPr>
              <w:t>среднего</w:t>
            </w:r>
          </w:p>
        </w:tc>
        <w:tc>
          <w:tcPr>
            <w:tcW w:w="5528" w:type="dxa"/>
          </w:tcPr>
          <w:p>
            <w:pPr>
              <w:pStyle w:val="TableParagraph"/>
              <w:spacing w:before="232"/>
              <w:ind w:left="13"/>
              <w:jc w:val="center"/>
              <w:rPr>
                <w:sz w:val="24"/>
              </w:rPr>
            </w:pPr>
            <w:r>
              <w:rPr>
                <w:spacing w:val="-2"/>
                <w:sz w:val="24"/>
              </w:rPr>
              <w:t>&lt;15.72</w:t>
            </w:r>
          </w:p>
        </w:tc>
      </w:tr>
      <w:tr>
        <w:trPr>
          <w:trHeight w:val="776" w:hRule="atLeast"/>
        </w:trPr>
        <w:tc>
          <w:tcPr>
            <w:tcW w:w="3788" w:type="dxa"/>
          </w:tcPr>
          <w:p>
            <w:pPr>
              <w:pStyle w:val="TableParagraph"/>
              <w:spacing w:before="234"/>
              <w:ind w:left="100"/>
              <w:rPr>
                <w:sz w:val="24"/>
              </w:rPr>
            </w:pPr>
            <w:r>
              <w:rPr>
                <w:spacing w:val="-2"/>
                <w:sz w:val="24"/>
              </w:rPr>
              <w:t>Средний</w:t>
            </w:r>
          </w:p>
        </w:tc>
        <w:tc>
          <w:tcPr>
            <w:tcW w:w="5528" w:type="dxa"/>
          </w:tcPr>
          <w:p>
            <w:pPr>
              <w:pStyle w:val="TableParagraph"/>
              <w:spacing w:before="234"/>
              <w:ind w:left="2102"/>
              <w:rPr>
                <w:sz w:val="24"/>
              </w:rPr>
            </w:pPr>
            <w:r>
              <w:rPr>
                <w:sz w:val="24"/>
              </w:rPr>
              <w:t>15.72 – </w:t>
            </w:r>
            <w:r>
              <w:rPr>
                <w:spacing w:val="-2"/>
                <w:sz w:val="24"/>
              </w:rPr>
              <w:t>25.74</w:t>
            </w:r>
          </w:p>
        </w:tc>
      </w:tr>
      <w:tr>
        <w:trPr>
          <w:trHeight w:val="776" w:hRule="atLeast"/>
        </w:trPr>
        <w:tc>
          <w:tcPr>
            <w:tcW w:w="3788" w:type="dxa"/>
          </w:tcPr>
          <w:p>
            <w:pPr>
              <w:pStyle w:val="TableParagraph"/>
              <w:spacing w:before="234"/>
              <w:ind w:left="100"/>
              <w:rPr>
                <w:sz w:val="24"/>
              </w:rPr>
            </w:pPr>
            <w:r>
              <w:rPr>
                <w:sz w:val="24"/>
              </w:rPr>
              <w:t>Выше</w:t>
            </w:r>
            <w:r>
              <w:rPr>
                <w:spacing w:val="-2"/>
                <w:sz w:val="24"/>
              </w:rPr>
              <w:t> среднего</w:t>
            </w:r>
          </w:p>
        </w:tc>
        <w:tc>
          <w:tcPr>
            <w:tcW w:w="5528" w:type="dxa"/>
          </w:tcPr>
          <w:p>
            <w:pPr>
              <w:pStyle w:val="TableParagraph"/>
              <w:spacing w:before="234"/>
              <w:ind w:left="13"/>
              <w:jc w:val="center"/>
              <w:rPr>
                <w:sz w:val="24"/>
              </w:rPr>
            </w:pPr>
            <w:r>
              <w:rPr>
                <w:spacing w:val="-2"/>
                <w:sz w:val="24"/>
              </w:rPr>
              <w:t>&gt;25.74</w:t>
            </w:r>
          </w:p>
        </w:tc>
      </w:tr>
    </w:tbl>
    <w:p>
      <w:pPr>
        <w:spacing w:before="233"/>
        <w:ind w:left="285" w:right="561" w:firstLine="0"/>
        <w:jc w:val="both"/>
        <w:rPr>
          <w:sz w:val="24"/>
        </w:rPr>
      </w:pPr>
      <w:r>
        <w:rPr>
          <w:i/>
          <w:sz w:val="24"/>
        </w:rPr>
        <w:t>Примечание</w:t>
      </w:r>
      <w:r>
        <w:rPr>
          <w:sz w:val="24"/>
        </w:rPr>
        <w:t>. Значимых гендерных различий не выявлено, в связи с чем оценка производится без учета пола ребенка (t-критерий Стьюдента для независимых выборок)</w:t>
      </w:r>
    </w:p>
    <w:p>
      <w:pPr>
        <w:pStyle w:val="BodyText"/>
        <w:ind w:left="0" w:right="0" w:firstLine="0"/>
        <w:jc w:val="left"/>
        <w:rPr>
          <w:sz w:val="24"/>
        </w:rPr>
      </w:pPr>
    </w:p>
    <w:p>
      <w:pPr>
        <w:pStyle w:val="BodyText"/>
        <w:spacing w:before="251"/>
        <w:ind w:left="0" w:right="0" w:firstLine="0"/>
        <w:jc w:val="left"/>
        <w:rPr>
          <w:sz w:val="24"/>
        </w:rPr>
      </w:pPr>
    </w:p>
    <w:p>
      <w:pPr>
        <w:pStyle w:val="Heading3"/>
        <w:spacing w:line="244" w:lineRule="auto" w:before="0"/>
        <w:ind w:right="563"/>
      </w:pPr>
      <w:r>
        <w:rPr/>
        <w:t>Психометрические характеристики методики и </w:t>
      </w:r>
      <w:r>
        <w:rPr>
          <w:b w:val="0"/>
          <w:i w:val="0"/>
        </w:rPr>
        <w:t>а</w:t>
      </w:r>
      <w:r>
        <w:rPr/>
        <w:t>даптация на русском </w:t>
      </w:r>
      <w:r>
        <w:rPr>
          <w:spacing w:val="-2"/>
        </w:rPr>
        <w:t>языке</w:t>
      </w:r>
    </w:p>
    <w:p>
      <w:pPr>
        <w:pStyle w:val="Heading4"/>
        <w:spacing w:before="229"/>
        <w:ind w:right="559"/>
      </w:pPr>
      <w:r>
        <w:rPr/>
        <w:t>Валидность и надежность полной версия опросника социокультурной адаптации (20 вопросов) показана на репрезентативных выборках (</w:t>
      </w:r>
      <w:r>
        <w:rPr>
          <w:i/>
        </w:rPr>
        <w:t>Ward, Kennedy, </w:t>
      </w:r>
      <w:r>
        <w:rPr/>
        <w:t>1999). В исследованиях, проводившихся в рамках проекта </w:t>
      </w:r>
      <w:r>
        <w:rPr>
          <w:i/>
        </w:rPr>
        <w:t>MIRIPS</w:t>
      </w:r>
      <w:r>
        <w:rPr/>
        <w:t>, значение альфа Кронбаха находится в диапазоне от .81 до .97. Данный опросник был переведен на русский язык и адаптирован (</w:t>
      </w:r>
      <w:r>
        <w:rPr>
          <w:i/>
        </w:rPr>
        <w:t>Лебедева, Татарко, </w:t>
      </w:r>
      <w:r>
        <w:rPr>
          <w:spacing w:val="-2"/>
        </w:rPr>
        <w:t>2009).</w:t>
      </w:r>
    </w:p>
    <w:p>
      <w:pPr>
        <w:pStyle w:val="Heading4"/>
        <w:spacing w:before="239"/>
        <w:ind w:right="560"/>
      </w:pPr>
      <w:r>
        <w:rPr/>
        <w:t>В</w:t>
      </w:r>
      <w:r>
        <w:rPr>
          <w:spacing w:val="-11"/>
        </w:rPr>
        <w:t> </w:t>
      </w:r>
      <w:r>
        <w:rPr/>
        <w:t>исследовании,</w:t>
      </w:r>
      <w:r>
        <w:rPr>
          <w:spacing w:val="-12"/>
        </w:rPr>
        <w:t> </w:t>
      </w:r>
      <w:r>
        <w:rPr/>
        <w:t>посвященном</w:t>
      </w:r>
      <w:r>
        <w:rPr>
          <w:spacing w:val="-11"/>
        </w:rPr>
        <w:t> </w:t>
      </w:r>
      <w:r>
        <w:rPr/>
        <w:t>межкультурному</w:t>
      </w:r>
      <w:r>
        <w:rPr>
          <w:spacing w:val="-15"/>
        </w:rPr>
        <w:t> </w:t>
      </w:r>
      <w:r>
        <w:rPr/>
        <w:t>взаимодействию</w:t>
      </w:r>
      <w:r>
        <w:rPr>
          <w:spacing w:val="-12"/>
        </w:rPr>
        <w:t> </w:t>
      </w:r>
      <w:r>
        <w:rPr/>
        <w:t>мигрантов</w:t>
      </w:r>
      <w:r>
        <w:rPr>
          <w:spacing w:val="-12"/>
        </w:rPr>
        <w:t> </w:t>
      </w:r>
      <w:r>
        <w:rPr/>
        <w:t>и москвичей, на репрезентативной выборке этнических мигрантов, владеющих русским</w:t>
      </w:r>
      <w:r>
        <w:rPr>
          <w:spacing w:val="-6"/>
        </w:rPr>
        <w:t> </w:t>
      </w:r>
      <w:r>
        <w:rPr/>
        <w:t>языком</w:t>
      </w:r>
      <w:r>
        <w:rPr>
          <w:spacing w:val="-6"/>
        </w:rPr>
        <w:t> </w:t>
      </w:r>
      <w:r>
        <w:rPr/>
        <w:t>на</w:t>
      </w:r>
      <w:r>
        <w:rPr>
          <w:spacing w:val="-6"/>
        </w:rPr>
        <w:t> </w:t>
      </w:r>
      <w:r>
        <w:rPr/>
        <w:t>достаточном</w:t>
      </w:r>
      <w:r>
        <w:rPr>
          <w:spacing w:val="-6"/>
        </w:rPr>
        <w:t> </w:t>
      </w:r>
      <w:r>
        <w:rPr/>
        <w:t>для</w:t>
      </w:r>
      <w:r>
        <w:rPr>
          <w:spacing w:val="-6"/>
        </w:rPr>
        <w:t> </w:t>
      </w:r>
      <w:r>
        <w:rPr/>
        <w:t>корректного</w:t>
      </w:r>
      <w:r>
        <w:rPr>
          <w:spacing w:val="-6"/>
        </w:rPr>
        <w:t> </w:t>
      </w:r>
      <w:r>
        <w:rPr/>
        <w:t>прохождения</w:t>
      </w:r>
      <w:r>
        <w:rPr>
          <w:spacing w:val="-8"/>
        </w:rPr>
        <w:t> </w:t>
      </w:r>
      <w:r>
        <w:rPr/>
        <w:t>опроса</w:t>
      </w:r>
      <w:r>
        <w:rPr>
          <w:spacing w:val="-6"/>
        </w:rPr>
        <w:t> </w:t>
      </w:r>
      <w:r>
        <w:rPr/>
        <w:t>уровне (N = 378, M = 31.2, SD = 9.8), коэффициент альфа Кронбаха составил .84 (</w:t>
      </w:r>
      <w:r>
        <w:rPr>
          <w:i/>
        </w:rPr>
        <w:t>Lebedeva, Tatarko, Berry</w:t>
      </w:r>
      <w:r>
        <w:rPr/>
        <w:t>, 2016). В исследовании, проводившемся в Латвии, выборку мигрантов составили этнические русские (N = 336, M = 42,8, SD = 21,5), и коэффициент согласованности тоже оказался высоким (</w:t>
      </w:r>
      <w:r>
        <w:rPr>
          <w:i/>
        </w:rPr>
        <w:t>Lebedeva, Tatarko, Berry</w:t>
      </w:r>
      <w:r>
        <w:rPr/>
        <w:t>, 2016).</w:t>
      </w:r>
    </w:p>
    <w:p>
      <w:pPr>
        <w:pStyle w:val="Heading4"/>
        <w:spacing w:before="242"/>
        <w:ind w:right="560"/>
      </w:pPr>
      <w:r>
        <w:rPr/>
        <w:t>В сокращенной версии в методику внесены изменения, которые сделали возможным ее использование для школьников-мигрантов. Во-первых, из оригинальной версии были удалены описания возможных трудностей, не репрезентативных</w:t>
      </w:r>
      <w:r>
        <w:rPr>
          <w:spacing w:val="64"/>
        </w:rPr>
        <w:t> </w:t>
      </w:r>
      <w:r>
        <w:rPr/>
        <w:t>для</w:t>
      </w:r>
      <w:r>
        <w:rPr>
          <w:spacing w:val="66"/>
        </w:rPr>
        <w:t> </w:t>
      </w:r>
      <w:r>
        <w:rPr/>
        <w:t>детей</w:t>
      </w:r>
      <w:r>
        <w:rPr>
          <w:spacing w:val="69"/>
        </w:rPr>
        <w:t> </w:t>
      </w:r>
      <w:r>
        <w:rPr/>
        <w:t>и</w:t>
      </w:r>
      <w:r>
        <w:rPr>
          <w:spacing w:val="67"/>
        </w:rPr>
        <w:t> </w:t>
      </w:r>
      <w:r>
        <w:rPr/>
        <w:t>подростков.</w:t>
      </w:r>
      <w:r>
        <w:rPr>
          <w:spacing w:val="67"/>
        </w:rPr>
        <w:t> </w:t>
      </w:r>
      <w:r>
        <w:rPr/>
        <w:t>Во-вторых,</w:t>
      </w:r>
      <w:r>
        <w:rPr>
          <w:spacing w:val="65"/>
        </w:rPr>
        <w:t> </w:t>
      </w:r>
      <w:r>
        <w:rPr/>
        <w:t>отдельные</w:t>
      </w:r>
      <w:r>
        <w:rPr>
          <w:spacing w:val="66"/>
        </w:rPr>
        <w:t> </w:t>
      </w:r>
      <w:r>
        <w:rPr>
          <w:spacing w:val="-2"/>
        </w:rPr>
        <w:t>пункты</w:t>
      </w:r>
    </w:p>
    <w:p>
      <w:pPr>
        <w:pStyle w:val="Heading4"/>
        <w:spacing w:after="0"/>
        <w:sectPr>
          <w:pgSz w:w="11910" w:h="16840"/>
          <w:pgMar w:header="0" w:footer="970" w:top="1040" w:bottom="1200" w:left="1417" w:right="283"/>
        </w:sectPr>
      </w:pPr>
    </w:p>
    <w:p>
      <w:pPr>
        <w:pStyle w:val="Heading4"/>
        <w:spacing w:line="242" w:lineRule="auto" w:before="67"/>
        <w:ind w:right="568"/>
      </w:pPr>
      <w:r>
        <w:rPr/>
        <w:t>оригинальной</w:t>
      </w:r>
      <w:r>
        <w:rPr>
          <w:spacing w:val="-18"/>
        </w:rPr>
        <w:t> </w:t>
      </w:r>
      <w:r>
        <w:rPr/>
        <w:t>версии</w:t>
      </w:r>
      <w:r>
        <w:rPr>
          <w:spacing w:val="-17"/>
        </w:rPr>
        <w:t> </w:t>
      </w:r>
      <w:r>
        <w:rPr/>
        <w:t>были</w:t>
      </w:r>
      <w:r>
        <w:rPr>
          <w:spacing w:val="-18"/>
        </w:rPr>
        <w:t> </w:t>
      </w:r>
      <w:r>
        <w:rPr/>
        <w:t>переформулированы</w:t>
      </w:r>
      <w:r>
        <w:rPr>
          <w:spacing w:val="-17"/>
        </w:rPr>
        <w:t> </w:t>
      </w:r>
      <w:r>
        <w:rPr/>
        <w:t>таким</w:t>
      </w:r>
      <w:r>
        <w:rPr>
          <w:spacing w:val="-18"/>
        </w:rPr>
        <w:t> </w:t>
      </w:r>
      <w:r>
        <w:rPr/>
        <w:t>образом,</w:t>
      </w:r>
      <w:r>
        <w:rPr>
          <w:spacing w:val="-17"/>
        </w:rPr>
        <w:t> </w:t>
      </w:r>
      <w:r>
        <w:rPr/>
        <w:t>чтобы</w:t>
      </w:r>
      <w:r>
        <w:rPr>
          <w:spacing w:val="-18"/>
        </w:rPr>
        <w:t> </w:t>
      </w:r>
      <w:r>
        <w:rPr/>
        <w:t>больше подходить для тестирования детей и подростков.</w:t>
      </w:r>
    </w:p>
    <w:p>
      <w:pPr>
        <w:pStyle w:val="Heading4"/>
        <w:spacing w:before="236"/>
        <w:ind w:right="559"/>
      </w:pPr>
      <w:r>
        <w:rPr/>
        <w:t>В 2022 г. методика была адаптирована для детей — иностранных граждан в рамках апробации в 12 регионах РФ программы оценки особых образовательных потребностей ребенка-мигранта в сферах психологического благополучия,</w:t>
      </w:r>
      <w:r>
        <w:rPr>
          <w:spacing w:val="-2"/>
        </w:rPr>
        <w:t> </w:t>
      </w:r>
      <w:r>
        <w:rPr/>
        <w:t>социальных</w:t>
      </w:r>
      <w:r>
        <w:rPr>
          <w:spacing w:val="-1"/>
        </w:rPr>
        <w:t> </w:t>
      </w:r>
      <w:r>
        <w:rPr/>
        <w:t>навыков</w:t>
      </w:r>
      <w:r>
        <w:rPr>
          <w:spacing w:val="-2"/>
        </w:rPr>
        <w:t> </w:t>
      </w:r>
      <w:r>
        <w:rPr/>
        <w:t>и</w:t>
      </w:r>
      <w:r>
        <w:rPr>
          <w:spacing w:val="-1"/>
        </w:rPr>
        <w:t> </w:t>
      </w:r>
      <w:r>
        <w:rPr/>
        <w:t>культурной</w:t>
      </w:r>
      <w:r>
        <w:rPr>
          <w:spacing w:val="-1"/>
        </w:rPr>
        <w:t> </w:t>
      </w:r>
      <w:r>
        <w:rPr/>
        <w:t>адаптации</w:t>
      </w:r>
      <w:r>
        <w:rPr>
          <w:spacing w:val="-1"/>
        </w:rPr>
        <w:t> </w:t>
      </w:r>
      <w:r>
        <w:rPr/>
        <w:t>(N ср.</w:t>
      </w:r>
      <w:r>
        <w:rPr>
          <w:spacing w:val="-2"/>
        </w:rPr>
        <w:t> </w:t>
      </w:r>
      <w:r>
        <w:rPr/>
        <w:t>шк.</w:t>
      </w:r>
      <w:r>
        <w:rPr>
          <w:spacing w:val="-1"/>
        </w:rPr>
        <w:t> </w:t>
      </w:r>
      <w:r>
        <w:rPr/>
        <w:t>=</w:t>
      </w:r>
      <w:r>
        <w:rPr>
          <w:spacing w:val="-2"/>
        </w:rPr>
        <w:t> </w:t>
      </w:r>
      <w:r>
        <w:rPr/>
        <w:t>217, N</w:t>
      </w:r>
      <w:r>
        <w:rPr>
          <w:spacing w:val="-18"/>
        </w:rPr>
        <w:t> </w:t>
      </w:r>
      <w:r>
        <w:rPr/>
        <w:t>ст.</w:t>
      </w:r>
      <w:r>
        <w:rPr>
          <w:spacing w:val="-17"/>
        </w:rPr>
        <w:t> </w:t>
      </w:r>
      <w:r>
        <w:rPr/>
        <w:t>шк.</w:t>
      </w:r>
      <w:r>
        <w:rPr>
          <w:spacing w:val="-18"/>
        </w:rPr>
        <w:t> </w:t>
      </w:r>
      <w:r>
        <w:rPr/>
        <w:t>=</w:t>
      </w:r>
      <w:r>
        <w:rPr>
          <w:spacing w:val="-17"/>
        </w:rPr>
        <w:t> </w:t>
      </w:r>
      <w:r>
        <w:rPr/>
        <w:t>121,</w:t>
      </w:r>
      <w:r>
        <w:rPr>
          <w:spacing w:val="-18"/>
        </w:rPr>
        <w:t> </w:t>
      </w:r>
      <w:r>
        <w:rPr/>
        <w:t>N</w:t>
      </w:r>
      <w:r>
        <w:rPr>
          <w:spacing w:val="-17"/>
        </w:rPr>
        <w:t> </w:t>
      </w:r>
      <w:r>
        <w:rPr/>
        <w:t>общ.</w:t>
      </w:r>
      <w:r>
        <w:rPr>
          <w:spacing w:val="-18"/>
        </w:rPr>
        <w:t> </w:t>
      </w:r>
      <w:r>
        <w:rPr/>
        <w:t>=</w:t>
      </w:r>
      <w:r>
        <w:rPr>
          <w:spacing w:val="-17"/>
        </w:rPr>
        <w:t> </w:t>
      </w:r>
      <w:r>
        <w:rPr/>
        <w:t>338).</w:t>
      </w:r>
      <w:r>
        <w:rPr>
          <w:spacing w:val="-18"/>
        </w:rPr>
        <w:t> </w:t>
      </w:r>
      <w:r>
        <w:rPr/>
        <w:t>Шкалы</w:t>
      </w:r>
      <w:r>
        <w:rPr>
          <w:spacing w:val="-17"/>
        </w:rPr>
        <w:t> </w:t>
      </w:r>
      <w:r>
        <w:rPr/>
        <w:t>методики</w:t>
      </w:r>
      <w:r>
        <w:rPr>
          <w:spacing w:val="-18"/>
        </w:rPr>
        <w:t> </w:t>
      </w:r>
      <w:r>
        <w:rPr/>
        <w:t>показали</w:t>
      </w:r>
      <w:r>
        <w:rPr>
          <w:spacing w:val="-17"/>
        </w:rPr>
        <w:t> </w:t>
      </w:r>
      <w:r>
        <w:rPr/>
        <w:t>достаточную</w:t>
      </w:r>
      <w:r>
        <w:rPr>
          <w:spacing w:val="-18"/>
        </w:rPr>
        <w:t> </w:t>
      </w:r>
      <w:r>
        <w:rPr/>
        <w:t>степень внутренней согласованности (альфа Кронбаха 0.868).</w:t>
      </w:r>
    </w:p>
    <w:p>
      <w:pPr>
        <w:pStyle w:val="Heading4"/>
        <w:spacing w:before="240"/>
        <w:ind w:right="560"/>
      </w:pPr>
      <w:r>
        <w:rPr/>
        <w:t>В исследовании обнаружены предсказуемые корреляции со шкалами следующих методик: отрицательная корреляция со шкалой Культурная гармония — Культурный конфликт / Опросник «Интеграция бикультурной идентичности» (-0.513, P&lt;0.01); с субшкалой российской идентичности / Методика измерения гражданской идентичности для детей и подростков (- 0.449, P&lt;0.01). Обнаружена значимая отрицательная корреляция с результатами исследования включенности ребенка-мигранта в культуру принимающего</w:t>
      </w:r>
      <w:r>
        <w:rPr>
          <w:spacing w:val="-12"/>
        </w:rPr>
        <w:t> </w:t>
      </w:r>
      <w:r>
        <w:rPr/>
        <w:t>общества</w:t>
      </w:r>
      <w:r>
        <w:rPr>
          <w:spacing w:val="-12"/>
        </w:rPr>
        <w:t> </w:t>
      </w:r>
      <w:r>
        <w:rPr/>
        <w:t>/</w:t>
      </w:r>
      <w:r>
        <w:rPr>
          <w:spacing w:val="-12"/>
        </w:rPr>
        <w:t> </w:t>
      </w:r>
      <w:r>
        <w:rPr/>
        <w:t>Опросник</w:t>
      </w:r>
      <w:r>
        <w:rPr>
          <w:spacing w:val="-11"/>
        </w:rPr>
        <w:t> </w:t>
      </w:r>
      <w:r>
        <w:rPr/>
        <w:t>аккультурации</w:t>
      </w:r>
      <w:r>
        <w:rPr>
          <w:spacing w:val="-13"/>
        </w:rPr>
        <w:t> </w:t>
      </w:r>
      <w:r>
        <w:rPr/>
        <w:t>для</w:t>
      </w:r>
      <w:r>
        <w:rPr>
          <w:spacing w:val="-13"/>
        </w:rPr>
        <w:t> </w:t>
      </w:r>
      <w:r>
        <w:rPr/>
        <w:t>детей</w:t>
      </w:r>
      <w:r>
        <w:rPr>
          <w:spacing w:val="-13"/>
        </w:rPr>
        <w:t> </w:t>
      </w:r>
      <w:r>
        <w:rPr/>
        <w:t>и</w:t>
      </w:r>
      <w:r>
        <w:rPr>
          <w:spacing w:val="-11"/>
        </w:rPr>
        <w:t> </w:t>
      </w:r>
      <w:r>
        <w:rPr/>
        <w:t>подростков</w:t>
      </w:r>
      <w:r>
        <w:rPr>
          <w:spacing w:val="-12"/>
        </w:rPr>
        <w:t> </w:t>
      </w:r>
      <w:r>
        <w:rPr/>
        <w:t>(- 0.389, P&lt;0.01). Обнаружена значимая положительная корреляция с показателями аккультурационного стрессса (0.304, P&lt;0.01). Это доказывает внешнюю валидность методики «Краткая шкала социокультурной дезадаптации» при диагностике детей — иностранных граждан.</w:t>
      </w:r>
    </w:p>
    <w:p>
      <w:pPr>
        <w:pStyle w:val="Heading4"/>
        <w:spacing w:after="0"/>
        <w:sectPr>
          <w:pgSz w:w="11910" w:h="16840"/>
          <w:pgMar w:header="0" w:footer="970" w:top="1040" w:bottom="1220" w:left="1417" w:right="283"/>
        </w:sectPr>
      </w:pPr>
    </w:p>
    <w:p>
      <w:pPr>
        <w:pStyle w:val="Heading3"/>
        <w:ind w:left="5431"/>
        <w:jc w:val="left"/>
      </w:pPr>
      <w:r>
        <w:rPr/>
        <w:t>Приложение</w:t>
      </w:r>
      <w:r>
        <w:rPr>
          <w:spacing w:val="-6"/>
        </w:rPr>
        <w:t> </w:t>
      </w:r>
      <w:r>
        <w:rPr/>
        <w:t>16.</w:t>
      </w:r>
      <w:r>
        <w:rPr>
          <w:spacing w:val="-3"/>
        </w:rPr>
        <w:t> </w:t>
      </w:r>
      <w:r>
        <w:rPr/>
        <w:t>Бланк</w:t>
      </w:r>
      <w:r>
        <w:rPr>
          <w:spacing w:val="-2"/>
        </w:rPr>
        <w:t> методики</w:t>
      </w:r>
    </w:p>
    <w:p>
      <w:pPr>
        <w:pStyle w:val="Heading5"/>
        <w:spacing w:before="195"/>
        <w:ind w:right="560"/>
      </w:pPr>
      <w:r>
        <w:rPr/>
        <w:t>Отметь,</w:t>
      </w:r>
      <w:r>
        <w:rPr>
          <w:spacing w:val="-4"/>
        </w:rPr>
        <w:t> </w:t>
      </w:r>
      <w:r>
        <w:rPr/>
        <w:t>пожалуйста,</w:t>
      </w:r>
      <w:r>
        <w:rPr>
          <w:spacing w:val="-4"/>
        </w:rPr>
        <w:t> </w:t>
      </w:r>
      <w:r>
        <w:rPr/>
        <w:t>в</w:t>
      </w:r>
      <w:r>
        <w:rPr>
          <w:spacing w:val="-3"/>
        </w:rPr>
        <w:t> </w:t>
      </w:r>
      <w:r>
        <w:rPr/>
        <w:t>какой</w:t>
      </w:r>
      <w:r>
        <w:rPr>
          <w:spacing w:val="-2"/>
        </w:rPr>
        <w:t> </w:t>
      </w:r>
      <w:r>
        <w:rPr/>
        <w:t>мере</w:t>
      </w:r>
      <w:r>
        <w:rPr>
          <w:spacing w:val="-3"/>
        </w:rPr>
        <w:t> </w:t>
      </w:r>
      <w:r>
        <w:rPr/>
        <w:t>тебе</w:t>
      </w:r>
      <w:r>
        <w:rPr>
          <w:spacing w:val="-3"/>
        </w:rPr>
        <w:t> </w:t>
      </w:r>
      <w:r>
        <w:rPr/>
        <w:t>в</w:t>
      </w:r>
      <w:r>
        <w:rPr>
          <w:spacing w:val="-3"/>
        </w:rPr>
        <w:t> </w:t>
      </w:r>
      <w:r>
        <w:rPr/>
        <w:t>России</w:t>
      </w:r>
      <w:r>
        <w:rPr>
          <w:spacing w:val="-2"/>
        </w:rPr>
        <w:t> </w:t>
      </w:r>
      <w:r>
        <w:rPr/>
        <w:t>трудно</w:t>
      </w:r>
      <w:r>
        <w:rPr>
          <w:spacing w:val="-6"/>
        </w:rPr>
        <w:t> </w:t>
      </w:r>
      <w:r>
        <w:rPr/>
        <w:t>или</w:t>
      </w:r>
      <w:r>
        <w:rPr>
          <w:spacing w:val="-2"/>
        </w:rPr>
        <w:t> </w:t>
      </w:r>
      <w:r>
        <w:rPr/>
        <w:t>легко.</w:t>
      </w:r>
      <w:r>
        <w:rPr>
          <w:spacing w:val="-4"/>
        </w:rPr>
        <w:t> </w:t>
      </w:r>
      <w:r>
        <w:rPr/>
        <w:t>Выбери ОДИН вариант ответа в КАЖДОЙ СТРОКЕ и обведи соответствующую </w:t>
      </w:r>
      <w:r>
        <w:rPr>
          <w:spacing w:val="-2"/>
        </w:rPr>
        <w:t>цифру.</w:t>
      </w:r>
    </w:p>
    <w:p>
      <w:pPr>
        <w:pStyle w:val="BodyText"/>
        <w:spacing w:before="51" w:after="1"/>
        <w:ind w:left="0" w:right="0" w:firstLine="0"/>
        <w:jc w:val="left"/>
        <w:rPr>
          <w:i/>
        </w:rPr>
      </w:pPr>
    </w:p>
    <w:tbl>
      <w:tblPr>
        <w:tblW w:w="0" w:type="auto"/>
        <w:jc w:val="left"/>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4393"/>
        <w:gridCol w:w="1056"/>
        <w:gridCol w:w="1056"/>
        <w:gridCol w:w="1059"/>
        <w:gridCol w:w="1056"/>
      </w:tblGrid>
      <w:tr>
        <w:trPr>
          <w:trHeight w:val="1036" w:hRule="atLeast"/>
        </w:trPr>
        <w:tc>
          <w:tcPr>
            <w:tcW w:w="566" w:type="dxa"/>
          </w:tcPr>
          <w:p>
            <w:pPr>
              <w:pStyle w:val="TableParagraph"/>
              <w:spacing w:before="1"/>
              <w:ind w:left="107"/>
              <w:rPr>
                <w:b/>
                <w:sz w:val="24"/>
              </w:rPr>
            </w:pPr>
            <w:r>
              <w:rPr>
                <w:b/>
                <w:spacing w:val="-10"/>
                <w:sz w:val="24"/>
              </w:rPr>
              <w:t>№</w:t>
            </w:r>
          </w:p>
          <w:p>
            <w:pPr>
              <w:pStyle w:val="TableParagraph"/>
              <w:spacing w:before="240"/>
              <w:ind w:left="107"/>
              <w:rPr>
                <w:b/>
                <w:sz w:val="24"/>
              </w:rPr>
            </w:pPr>
            <w:r>
              <w:rPr>
                <w:b/>
                <w:spacing w:val="-5"/>
                <w:sz w:val="24"/>
              </w:rPr>
              <w:t>п/п</w:t>
            </w:r>
          </w:p>
        </w:tc>
        <w:tc>
          <w:tcPr>
            <w:tcW w:w="4393" w:type="dxa"/>
          </w:tcPr>
          <w:p>
            <w:pPr>
              <w:pStyle w:val="TableParagraph"/>
              <w:spacing w:before="258"/>
              <w:ind w:left="108"/>
              <w:rPr>
                <w:b/>
                <w:sz w:val="24"/>
              </w:rPr>
            </w:pPr>
            <w:r>
              <w:rPr>
                <w:b/>
                <w:spacing w:val="-2"/>
                <w:sz w:val="24"/>
              </w:rPr>
              <w:t>Утверждение</w:t>
            </w:r>
          </w:p>
        </w:tc>
        <w:tc>
          <w:tcPr>
            <w:tcW w:w="1056" w:type="dxa"/>
          </w:tcPr>
          <w:p>
            <w:pPr>
              <w:pStyle w:val="TableParagraph"/>
              <w:spacing w:line="278" w:lineRule="auto" w:before="95"/>
              <w:ind w:left="105" w:right="172"/>
              <w:rPr>
                <w:i/>
                <w:sz w:val="24"/>
              </w:rPr>
            </w:pPr>
            <w:r>
              <w:rPr>
                <w:i/>
                <w:spacing w:val="-4"/>
                <w:sz w:val="24"/>
              </w:rPr>
              <w:t>Очень </w:t>
            </w:r>
            <w:r>
              <w:rPr>
                <w:i/>
                <w:spacing w:val="-2"/>
                <w:sz w:val="24"/>
              </w:rPr>
              <w:t>трудно</w:t>
            </w:r>
          </w:p>
        </w:tc>
        <w:tc>
          <w:tcPr>
            <w:tcW w:w="1056" w:type="dxa"/>
          </w:tcPr>
          <w:p>
            <w:pPr>
              <w:pStyle w:val="TableParagraph"/>
              <w:spacing w:before="253"/>
              <w:ind w:left="108"/>
              <w:rPr>
                <w:i/>
                <w:sz w:val="24"/>
              </w:rPr>
            </w:pPr>
            <w:r>
              <w:rPr>
                <w:i/>
                <w:spacing w:val="-2"/>
                <w:sz w:val="24"/>
              </w:rPr>
              <w:t>Трудно</w:t>
            </w:r>
          </w:p>
        </w:tc>
        <w:tc>
          <w:tcPr>
            <w:tcW w:w="1059" w:type="dxa"/>
          </w:tcPr>
          <w:p>
            <w:pPr>
              <w:pStyle w:val="TableParagraph"/>
              <w:spacing w:before="253"/>
              <w:ind w:left="108"/>
              <w:rPr>
                <w:i/>
                <w:sz w:val="24"/>
              </w:rPr>
            </w:pPr>
            <w:r>
              <w:rPr>
                <w:i/>
                <w:spacing w:val="-2"/>
                <w:sz w:val="24"/>
              </w:rPr>
              <w:t>Легко</w:t>
            </w:r>
          </w:p>
        </w:tc>
        <w:tc>
          <w:tcPr>
            <w:tcW w:w="1056" w:type="dxa"/>
          </w:tcPr>
          <w:p>
            <w:pPr>
              <w:pStyle w:val="TableParagraph"/>
              <w:spacing w:line="278" w:lineRule="auto" w:before="95"/>
              <w:ind w:left="108" w:right="172"/>
              <w:rPr>
                <w:i/>
                <w:sz w:val="24"/>
              </w:rPr>
            </w:pPr>
            <w:r>
              <w:rPr>
                <w:i/>
                <w:spacing w:val="-4"/>
                <w:sz w:val="24"/>
              </w:rPr>
              <w:t>Очень </w:t>
            </w:r>
            <w:r>
              <w:rPr>
                <w:i/>
                <w:spacing w:val="-2"/>
                <w:sz w:val="24"/>
              </w:rPr>
              <w:t>легко</w:t>
            </w:r>
          </w:p>
        </w:tc>
      </w:tr>
      <w:tr>
        <w:trPr>
          <w:trHeight w:val="515" w:hRule="atLeast"/>
        </w:trPr>
        <w:tc>
          <w:tcPr>
            <w:tcW w:w="566" w:type="dxa"/>
          </w:tcPr>
          <w:p>
            <w:pPr>
              <w:pStyle w:val="TableParagraph"/>
              <w:spacing w:line="270" w:lineRule="exact"/>
              <w:ind w:left="107"/>
              <w:rPr>
                <w:sz w:val="24"/>
              </w:rPr>
            </w:pPr>
            <w:r>
              <w:rPr>
                <w:spacing w:val="-10"/>
                <w:sz w:val="24"/>
              </w:rPr>
              <w:t>1</w:t>
            </w:r>
          </w:p>
        </w:tc>
        <w:tc>
          <w:tcPr>
            <w:tcW w:w="4393" w:type="dxa"/>
          </w:tcPr>
          <w:p>
            <w:pPr>
              <w:pStyle w:val="TableParagraph"/>
              <w:spacing w:line="270" w:lineRule="exact"/>
              <w:ind w:left="108"/>
              <w:rPr>
                <w:sz w:val="24"/>
              </w:rPr>
            </w:pPr>
            <w:r>
              <w:rPr>
                <w:sz w:val="24"/>
              </w:rPr>
              <w:t>Заводить</w:t>
            </w:r>
            <w:r>
              <w:rPr>
                <w:spacing w:val="-5"/>
                <w:sz w:val="24"/>
              </w:rPr>
              <w:t> </w:t>
            </w:r>
            <w:r>
              <w:rPr>
                <w:spacing w:val="-2"/>
                <w:sz w:val="24"/>
              </w:rPr>
              <w:t>друзей</w:t>
            </w:r>
          </w:p>
        </w:tc>
        <w:tc>
          <w:tcPr>
            <w:tcW w:w="1056" w:type="dxa"/>
          </w:tcPr>
          <w:p>
            <w:pPr>
              <w:pStyle w:val="TableParagraph"/>
              <w:spacing w:line="270" w:lineRule="exact"/>
              <w:ind w:left="105"/>
              <w:rPr>
                <w:sz w:val="24"/>
              </w:rPr>
            </w:pPr>
            <w:r>
              <w:rPr>
                <w:spacing w:val="-10"/>
                <w:sz w:val="24"/>
              </w:rPr>
              <w:t>4</w:t>
            </w:r>
          </w:p>
        </w:tc>
        <w:tc>
          <w:tcPr>
            <w:tcW w:w="1056" w:type="dxa"/>
          </w:tcPr>
          <w:p>
            <w:pPr>
              <w:pStyle w:val="TableParagraph"/>
              <w:spacing w:line="270" w:lineRule="exact"/>
              <w:ind w:left="108"/>
              <w:rPr>
                <w:sz w:val="24"/>
              </w:rPr>
            </w:pPr>
            <w:r>
              <w:rPr>
                <w:spacing w:val="-10"/>
                <w:sz w:val="24"/>
              </w:rPr>
              <w:t>3</w:t>
            </w:r>
          </w:p>
        </w:tc>
        <w:tc>
          <w:tcPr>
            <w:tcW w:w="1059" w:type="dxa"/>
          </w:tcPr>
          <w:p>
            <w:pPr>
              <w:pStyle w:val="TableParagraph"/>
              <w:spacing w:line="270" w:lineRule="exact"/>
              <w:ind w:left="108"/>
              <w:rPr>
                <w:sz w:val="24"/>
              </w:rPr>
            </w:pPr>
            <w:r>
              <w:rPr>
                <w:spacing w:val="-10"/>
                <w:sz w:val="24"/>
              </w:rPr>
              <w:t>2</w:t>
            </w:r>
          </w:p>
        </w:tc>
        <w:tc>
          <w:tcPr>
            <w:tcW w:w="1056" w:type="dxa"/>
          </w:tcPr>
          <w:p>
            <w:pPr>
              <w:pStyle w:val="TableParagraph"/>
              <w:spacing w:line="270" w:lineRule="exact"/>
              <w:ind w:left="108"/>
              <w:rPr>
                <w:sz w:val="24"/>
              </w:rPr>
            </w:pPr>
            <w:r>
              <w:rPr>
                <w:spacing w:val="-10"/>
                <w:sz w:val="24"/>
              </w:rPr>
              <w:t>1</w:t>
            </w:r>
          </w:p>
        </w:tc>
      </w:tr>
      <w:tr>
        <w:trPr>
          <w:trHeight w:val="518" w:hRule="atLeast"/>
        </w:trPr>
        <w:tc>
          <w:tcPr>
            <w:tcW w:w="566" w:type="dxa"/>
          </w:tcPr>
          <w:p>
            <w:pPr>
              <w:pStyle w:val="TableParagraph"/>
              <w:spacing w:line="273" w:lineRule="exact"/>
              <w:ind w:left="107"/>
              <w:rPr>
                <w:sz w:val="24"/>
              </w:rPr>
            </w:pPr>
            <w:r>
              <w:rPr>
                <w:spacing w:val="-10"/>
                <w:sz w:val="24"/>
              </w:rPr>
              <w:t>2</w:t>
            </w:r>
          </w:p>
        </w:tc>
        <w:tc>
          <w:tcPr>
            <w:tcW w:w="4393" w:type="dxa"/>
          </w:tcPr>
          <w:p>
            <w:pPr>
              <w:pStyle w:val="TableParagraph"/>
              <w:spacing w:line="273" w:lineRule="exact"/>
              <w:ind w:left="108"/>
              <w:rPr>
                <w:sz w:val="24"/>
              </w:rPr>
            </w:pPr>
            <w:r>
              <w:rPr>
                <w:sz w:val="24"/>
              </w:rPr>
              <w:t>Есть</w:t>
            </w:r>
            <w:r>
              <w:rPr>
                <w:spacing w:val="-2"/>
                <w:sz w:val="24"/>
              </w:rPr>
              <w:t> </w:t>
            </w:r>
            <w:r>
              <w:rPr>
                <w:sz w:val="24"/>
              </w:rPr>
              <w:t>продукты,</w:t>
            </w:r>
            <w:r>
              <w:rPr>
                <w:spacing w:val="-2"/>
                <w:sz w:val="24"/>
              </w:rPr>
              <w:t> </w:t>
            </w:r>
            <w:r>
              <w:rPr>
                <w:sz w:val="24"/>
              </w:rPr>
              <w:t>которые</w:t>
            </w:r>
            <w:r>
              <w:rPr>
                <w:spacing w:val="-2"/>
                <w:sz w:val="24"/>
              </w:rPr>
              <w:t> </w:t>
            </w:r>
            <w:r>
              <w:rPr>
                <w:sz w:val="24"/>
              </w:rPr>
              <w:t>ты</w:t>
            </w:r>
            <w:r>
              <w:rPr>
                <w:spacing w:val="-2"/>
                <w:sz w:val="24"/>
              </w:rPr>
              <w:t> любишь</w:t>
            </w:r>
          </w:p>
        </w:tc>
        <w:tc>
          <w:tcPr>
            <w:tcW w:w="1056" w:type="dxa"/>
          </w:tcPr>
          <w:p>
            <w:pPr>
              <w:pStyle w:val="TableParagraph"/>
              <w:spacing w:line="273" w:lineRule="exact"/>
              <w:ind w:left="105"/>
              <w:rPr>
                <w:sz w:val="24"/>
              </w:rPr>
            </w:pPr>
            <w:r>
              <w:rPr>
                <w:spacing w:val="-10"/>
                <w:sz w:val="24"/>
              </w:rPr>
              <w:t>4</w:t>
            </w:r>
          </w:p>
        </w:tc>
        <w:tc>
          <w:tcPr>
            <w:tcW w:w="1056" w:type="dxa"/>
          </w:tcPr>
          <w:p>
            <w:pPr>
              <w:pStyle w:val="TableParagraph"/>
              <w:spacing w:line="273" w:lineRule="exact"/>
              <w:ind w:left="108"/>
              <w:rPr>
                <w:sz w:val="24"/>
              </w:rPr>
            </w:pPr>
            <w:r>
              <w:rPr>
                <w:spacing w:val="-10"/>
                <w:sz w:val="24"/>
              </w:rPr>
              <w:t>3</w:t>
            </w:r>
          </w:p>
        </w:tc>
        <w:tc>
          <w:tcPr>
            <w:tcW w:w="1059" w:type="dxa"/>
          </w:tcPr>
          <w:p>
            <w:pPr>
              <w:pStyle w:val="TableParagraph"/>
              <w:spacing w:line="273" w:lineRule="exact"/>
              <w:ind w:left="108"/>
              <w:rPr>
                <w:sz w:val="24"/>
              </w:rPr>
            </w:pPr>
            <w:r>
              <w:rPr>
                <w:spacing w:val="-10"/>
                <w:sz w:val="24"/>
              </w:rPr>
              <w:t>2</w:t>
            </w:r>
          </w:p>
        </w:tc>
        <w:tc>
          <w:tcPr>
            <w:tcW w:w="1056" w:type="dxa"/>
          </w:tcPr>
          <w:p>
            <w:pPr>
              <w:pStyle w:val="TableParagraph"/>
              <w:spacing w:line="273" w:lineRule="exact"/>
              <w:ind w:left="108"/>
              <w:rPr>
                <w:sz w:val="24"/>
              </w:rPr>
            </w:pPr>
            <w:r>
              <w:rPr>
                <w:spacing w:val="-10"/>
                <w:sz w:val="24"/>
              </w:rPr>
              <w:t>1</w:t>
            </w:r>
          </w:p>
        </w:tc>
      </w:tr>
      <w:tr>
        <w:trPr>
          <w:trHeight w:val="517" w:hRule="atLeast"/>
        </w:trPr>
        <w:tc>
          <w:tcPr>
            <w:tcW w:w="566" w:type="dxa"/>
          </w:tcPr>
          <w:p>
            <w:pPr>
              <w:pStyle w:val="TableParagraph"/>
              <w:spacing w:line="270" w:lineRule="exact"/>
              <w:ind w:left="107"/>
              <w:rPr>
                <w:sz w:val="24"/>
              </w:rPr>
            </w:pPr>
            <w:r>
              <w:rPr>
                <w:spacing w:val="-10"/>
                <w:sz w:val="24"/>
              </w:rPr>
              <w:t>3</w:t>
            </w:r>
          </w:p>
        </w:tc>
        <w:tc>
          <w:tcPr>
            <w:tcW w:w="4393" w:type="dxa"/>
          </w:tcPr>
          <w:p>
            <w:pPr>
              <w:pStyle w:val="TableParagraph"/>
              <w:spacing w:line="270" w:lineRule="exact"/>
              <w:ind w:left="108"/>
              <w:rPr>
                <w:sz w:val="24"/>
              </w:rPr>
            </w:pPr>
            <w:r>
              <w:rPr>
                <w:sz w:val="24"/>
              </w:rPr>
              <w:t>Учиться</w:t>
            </w:r>
            <w:r>
              <w:rPr>
                <w:spacing w:val="-2"/>
                <w:sz w:val="24"/>
              </w:rPr>
              <w:t> </w:t>
            </w:r>
            <w:r>
              <w:rPr>
                <w:sz w:val="24"/>
              </w:rPr>
              <w:t>в</w:t>
            </w:r>
            <w:r>
              <w:rPr>
                <w:spacing w:val="-2"/>
                <w:sz w:val="24"/>
              </w:rPr>
              <w:t> школе</w:t>
            </w:r>
          </w:p>
        </w:tc>
        <w:tc>
          <w:tcPr>
            <w:tcW w:w="1056" w:type="dxa"/>
          </w:tcPr>
          <w:p>
            <w:pPr>
              <w:pStyle w:val="TableParagraph"/>
              <w:spacing w:line="270" w:lineRule="exact"/>
              <w:ind w:left="105"/>
              <w:rPr>
                <w:sz w:val="24"/>
              </w:rPr>
            </w:pPr>
            <w:r>
              <w:rPr>
                <w:spacing w:val="-10"/>
                <w:sz w:val="24"/>
              </w:rPr>
              <w:t>4</w:t>
            </w:r>
          </w:p>
        </w:tc>
        <w:tc>
          <w:tcPr>
            <w:tcW w:w="1056" w:type="dxa"/>
          </w:tcPr>
          <w:p>
            <w:pPr>
              <w:pStyle w:val="TableParagraph"/>
              <w:spacing w:line="270" w:lineRule="exact"/>
              <w:ind w:left="108"/>
              <w:rPr>
                <w:sz w:val="24"/>
              </w:rPr>
            </w:pPr>
            <w:r>
              <w:rPr>
                <w:spacing w:val="-10"/>
                <w:sz w:val="24"/>
              </w:rPr>
              <w:t>3</w:t>
            </w:r>
          </w:p>
        </w:tc>
        <w:tc>
          <w:tcPr>
            <w:tcW w:w="1059" w:type="dxa"/>
          </w:tcPr>
          <w:p>
            <w:pPr>
              <w:pStyle w:val="TableParagraph"/>
              <w:spacing w:line="270" w:lineRule="exact"/>
              <w:ind w:left="108"/>
              <w:rPr>
                <w:sz w:val="24"/>
              </w:rPr>
            </w:pPr>
            <w:r>
              <w:rPr>
                <w:spacing w:val="-10"/>
                <w:sz w:val="24"/>
              </w:rPr>
              <w:t>2</w:t>
            </w:r>
          </w:p>
        </w:tc>
        <w:tc>
          <w:tcPr>
            <w:tcW w:w="1056" w:type="dxa"/>
          </w:tcPr>
          <w:p>
            <w:pPr>
              <w:pStyle w:val="TableParagraph"/>
              <w:spacing w:line="270" w:lineRule="exact"/>
              <w:ind w:left="108"/>
              <w:rPr>
                <w:sz w:val="24"/>
              </w:rPr>
            </w:pPr>
            <w:r>
              <w:rPr>
                <w:spacing w:val="-10"/>
                <w:sz w:val="24"/>
              </w:rPr>
              <w:t>1</w:t>
            </w:r>
          </w:p>
        </w:tc>
      </w:tr>
      <w:tr>
        <w:trPr>
          <w:trHeight w:val="517" w:hRule="atLeast"/>
        </w:trPr>
        <w:tc>
          <w:tcPr>
            <w:tcW w:w="566" w:type="dxa"/>
          </w:tcPr>
          <w:p>
            <w:pPr>
              <w:pStyle w:val="TableParagraph"/>
              <w:spacing w:line="270" w:lineRule="exact"/>
              <w:ind w:left="107"/>
              <w:rPr>
                <w:sz w:val="24"/>
              </w:rPr>
            </w:pPr>
            <w:r>
              <w:rPr>
                <w:spacing w:val="-10"/>
                <w:sz w:val="24"/>
              </w:rPr>
              <w:t>4</w:t>
            </w:r>
          </w:p>
        </w:tc>
        <w:tc>
          <w:tcPr>
            <w:tcW w:w="4393" w:type="dxa"/>
          </w:tcPr>
          <w:p>
            <w:pPr>
              <w:pStyle w:val="TableParagraph"/>
              <w:spacing w:line="270" w:lineRule="exact"/>
              <w:ind w:left="108"/>
              <w:rPr>
                <w:sz w:val="24"/>
              </w:rPr>
            </w:pPr>
            <w:r>
              <w:rPr>
                <w:sz w:val="24"/>
              </w:rPr>
              <w:t>Жить</w:t>
            </w:r>
            <w:r>
              <w:rPr>
                <w:spacing w:val="-3"/>
                <w:sz w:val="24"/>
              </w:rPr>
              <w:t> </w:t>
            </w:r>
            <w:r>
              <w:rPr>
                <w:sz w:val="24"/>
              </w:rPr>
              <w:t>в</w:t>
            </w:r>
            <w:r>
              <w:rPr>
                <w:spacing w:val="-2"/>
                <w:sz w:val="24"/>
              </w:rPr>
              <w:t> </w:t>
            </w:r>
            <w:r>
              <w:rPr>
                <w:sz w:val="24"/>
              </w:rPr>
              <w:t>этом </w:t>
            </w:r>
            <w:r>
              <w:rPr>
                <w:spacing w:val="-2"/>
                <w:sz w:val="24"/>
              </w:rPr>
              <w:t>климате</w:t>
            </w:r>
          </w:p>
        </w:tc>
        <w:tc>
          <w:tcPr>
            <w:tcW w:w="1056" w:type="dxa"/>
          </w:tcPr>
          <w:p>
            <w:pPr>
              <w:pStyle w:val="TableParagraph"/>
              <w:spacing w:line="270" w:lineRule="exact"/>
              <w:ind w:left="105"/>
              <w:rPr>
                <w:sz w:val="24"/>
              </w:rPr>
            </w:pPr>
            <w:r>
              <w:rPr>
                <w:spacing w:val="-10"/>
                <w:sz w:val="24"/>
              </w:rPr>
              <w:t>4</w:t>
            </w:r>
          </w:p>
        </w:tc>
        <w:tc>
          <w:tcPr>
            <w:tcW w:w="1056" w:type="dxa"/>
          </w:tcPr>
          <w:p>
            <w:pPr>
              <w:pStyle w:val="TableParagraph"/>
              <w:spacing w:line="270" w:lineRule="exact"/>
              <w:ind w:left="108"/>
              <w:rPr>
                <w:sz w:val="24"/>
              </w:rPr>
            </w:pPr>
            <w:r>
              <w:rPr>
                <w:spacing w:val="-10"/>
                <w:sz w:val="24"/>
              </w:rPr>
              <w:t>3</w:t>
            </w:r>
          </w:p>
        </w:tc>
        <w:tc>
          <w:tcPr>
            <w:tcW w:w="1059" w:type="dxa"/>
          </w:tcPr>
          <w:p>
            <w:pPr>
              <w:pStyle w:val="TableParagraph"/>
              <w:spacing w:line="270" w:lineRule="exact"/>
              <w:ind w:left="108"/>
              <w:rPr>
                <w:sz w:val="24"/>
              </w:rPr>
            </w:pPr>
            <w:r>
              <w:rPr>
                <w:spacing w:val="-10"/>
                <w:sz w:val="24"/>
              </w:rPr>
              <w:t>2</w:t>
            </w:r>
          </w:p>
        </w:tc>
        <w:tc>
          <w:tcPr>
            <w:tcW w:w="1056" w:type="dxa"/>
          </w:tcPr>
          <w:p>
            <w:pPr>
              <w:pStyle w:val="TableParagraph"/>
              <w:spacing w:line="270" w:lineRule="exact"/>
              <w:ind w:left="108"/>
              <w:rPr>
                <w:sz w:val="24"/>
              </w:rPr>
            </w:pPr>
            <w:r>
              <w:rPr>
                <w:spacing w:val="-10"/>
                <w:sz w:val="24"/>
              </w:rPr>
              <w:t>1</w:t>
            </w:r>
          </w:p>
        </w:tc>
      </w:tr>
      <w:tr>
        <w:trPr>
          <w:trHeight w:val="515" w:hRule="atLeast"/>
        </w:trPr>
        <w:tc>
          <w:tcPr>
            <w:tcW w:w="566" w:type="dxa"/>
          </w:tcPr>
          <w:p>
            <w:pPr>
              <w:pStyle w:val="TableParagraph"/>
              <w:spacing w:line="270" w:lineRule="exact"/>
              <w:ind w:left="107"/>
              <w:rPr>
                <w:sz w:val="24"/>
              </w:rPr>
            </w:pPr>
            <w:r>
              <w:rPr>
                <w:spacing w:val="-10"/>
                <w:sz w:val="24"/>
              </w:rPr>
              <w:t>5</w:t>
            </w:r>
          </w:p>
        </w:tc>
        <w:tc>
          <w:tcPr>
            <w:tcW w:w="4393" w:type="dxa"/>
          </w:tcPr>
          <w:p>
            <w:pPr>
              <w:pStyle w:val="TableParagraph"/>
              <w:spacing w:line="270" w:lineRule="exact"/>
              <w:ind w:left="108"/>
              <w:rPr>
                <w:sz w:val="24"/>
              </w:rPr>
            </w:pPr>
            <w:r>
              <w:rPr>
                <w:sz w:val="24"/>
              </w:rPr>
              <w:t>Пользоваться</w:t>
            </w:r>
            <w:r>
              <w:rPr>
                <w:spacing w:val="-6"/>
                <w:sz w:val="24"/>
              </w:rPr>
              <w:t> </w:t>
            </w:r>
            <w:r>
              <w:rPr>
                <w:spacing w:val="-2"/>
                <w:sz w:val="24"/>
              </w:rPr>
              <w:t>транспортом</w:t>
            </w:r>
          </w:p>
        </w:tc>
        <w:tc>
          <w:tcPr>
            <w:tcW w:w="1056" w:type="dxa"/>
          </w:tcPr>
          <w:p>
            <w:pPr>
              <w:pStyle w:val="TableParagraph"/>
              <w:spacing w:line="270" w:lineRule="exact"/>
              <w:ind w:left="105"/>
              <w:rPr>
                <w:sz w:val="24"/>
              </w:rPr>
            </w:pPr>
            <w:r>
              <w:rPr>
                <w:spacing w:val="-10"/>
                <w:sz w:val="24"/>
              </w:rPr>
              <w:t>4</w:t>
            </w:r>
          </w:p>
        </w:tc>
        <w:tc>
          <w:tcPr>
            <w:tcW w:w="1056" w:type="dxa"/>
          </w:tcPr>
          <w:p>
            <w:pPr>
              <w:pStyle w:val="TableParagraph"/>
              <w:spacing w:line="270" w:lineRule="exact"/>
              <w:ind w:left="108"/>
              <w:rPr>
                <w:sz w:val="24"/>
              </w:rPr>
            </w:pPr>
            <w:r>
              <w:rPr>
                <w:spacing w:val="-10"/>
                <w:sz w:val="24"/>
              </w:rPr>
              <w:t>3</w:t>
            </w:r>
          </w:p>
        </w:tc>
        <w:tc>
          <w:tcPr>
            <w:tcW w:w="1059" w:type="dxa"/>
          </w:tcPr>
          <w:p>
            <w:pPr>
              <w:pStyle w:val="TableParagraph"/>
              <w:spacing w:line="270" w:lineRule="exact"/>
              <w:ind w:left="108"/>
              <w:rPr>
                <w:sz w:val="24"/>
              </w:rPr>
            </w:pPr>
            <w:r>
              <w:rPr>
                <w:spacing w:val="-10"/>
                <w:sz w:val="24"/>
              </w:rPr>
              <w:t>2</w:t>
            </w:r>
          </w:p>
        </w:tc>
        <w:tc>
          <w:tcPr>
            <w:tcW w:w="1056" w:type="dxa"/>
          </w:tcPr>
          <w:p>
            <w:pPr>
              <w:pStyle w:val="TableParagraph"/>
              <w:spacing w:line="270" w:lineRule="exact"/>
              <w:ind w:left="108"/>
              <w:rPr>
                <w:sz w:val="24"/>
              </w:rPr>
            </w:pPr>
            <w:r>
              <w:rPr>
                <w:spacing w:val="-10"/>
                <w:sz w:val="24"/>
              </w:rPr>
              <w:t>1</w:t>
            </w:r>
          </w:p>
        </w:tc>
      </w:tr>
      <w:tr>
        <w:trPr>
          <w:trHeight w:val="518" w:hRule="atLeast"/>
        </w:trPr>
        <w:tc>
          <w:tcPr>
            <w:tcW w:w="566" w:type="dxa"/>
          </w:tcPr>
          <w:p>
            <w:pPr>
              <w:pStyle w:val="TableParagraph"/>
              <w:spacing w:line="273" w:lineRule="exact"/>
              <w:ind w:left="107"/>
              <w:rPr>
                <w:sz w:val="24"/>
              </w:rPr>
            </w:pPr>
            <w:r>
              <w:rPr>
                <w:spacing w:val="-10"/>
                <w:sz w:val="24"/>
              </w:rPr>
              <w:t>6</w:t>
            </w:r>
          </w:p>
        </w:tc>
        <w:tc>
          <w:tcPr>
            <w:tcW w:w="4393" w:type="dxa"/>
          </w:tcPr>
          <w:p>
            <w:pPr>
              <w:pStyle w:val="TableParagraph"/>
              <w:spacing w:line="273" w:lineRule="exact"/>
              <w:ind w:left="108"/>
              <w:rPr>
                <w:sz w:val="24"/>
              </w:rPr>
            </w:pPr>
            <w:r>
              <w:rPr>
                <w:sz w:val="24"/>
              </w:rPr>
              <w:t>Выполнять</w:t>
            </w:r>
            <w:r>
              <w:rPr>
                <w:spacing w:val="-4"/>
                <w:sz w:val="24"/>
              </w:rPr>
              <w:t> </w:t>
            </w:r>
            <w:r>
              <w:rPr>
                <w:sz w:val="24"/>
              </w:rPr>
              <w:t>требования</w:t>
            </w:r>
            <w:r>
              <w:rPr>
                <w:spacing w:val="-6"/>
                <w:sz w:val="24"/>
              </w:rPr>
              <w:t> </w:t>
            </w:r>
            <w:r>
              <w:rPr>
                <w:spacing w:val="-2"/>
                <w:sz w:val="24"/>
              </w:rPr>
              <w:t>учителей</w:t>
            </w:r>
          </w:p>
        </w:tc>
        <w:tc>
          <w:tcPr>
            <w:tcW w:w="1056" w:type="dxa"/>
          </w:tcPr>
          <w:p>
            <w:pPr>
              <w:pStyle w:val="TableParagraph"/>
              <w:spacing w:line="273" w:lineRule="exact"/>
              <w:ind w:left="105"/>
              <w:rPr>
                <w:sz w:val="24"/>
              </w:rPr>
            </w:pPr>
            <w:r>
              <w:rPr>
                <w:spacing w:val="-10"/>
                <w:sz w:val="24"/>
              </w:rPr>
              <w:t>4</w:t>
            </w:r>
          </w:p>
        </w:tc>
        <w:tc>
          <w:tcPr>
            <w:tcW w:w="1056" w:type="dxa"/>
          </w:tcPr>
          <w:p>
            <w:pPr>
              <w:pStyle w:val="TableParagraph"/>
              <w:spacing w:line="273" w:lineRule="exact"/>
              <w:ind w:left="108"/>
              <w:rPr>
                <w:sz w:val="24"/>
              </w:rPr>
            </w:pPr>
            <w:r>
              <w:rPr>
                <w:spacing w:val="-10"/>
                <w:sz w:val="24"/>
              </w:rPr>
              <w:t>3</w:t>
            </w:r>
          </w:p>
        </w:tc>
        <w:tc>
          <w:tcPr>
            <w:tcW w:w="1059" w:type="dxa"/>
          </w:tcPr>
          <w:p>
            <w:pPr>
              <w:pStyle w:val="TableParagraph"/>
              <w:spacing w:line="273" w:lineRule="exact"/>
              <w:ind w:left="108"/>
              <w:rPr>
                <w:sz w:val="24"/>
              </w:rPr>
            </w:pPr>
            <w:r>
              <w:rPr>
                <w:spacing w:val="-10"/>
                <w:sz w:val="24"/>
              </w:rPr>
              <w:t>2</w:t>
            </w:r>
          </w:p>
        </w:tc>
        <w:tc>
          <w:tcPr>
            <w:tcW w:w="1056" w:type="dxa"/>
          </w:tcPr>
          <w:p>
            <w:pPr>
              <w:pStyle w:val="TableParagraph"/>
              <w:spacing w:line="273" w:lineRule="exact"/>
              <w:ind w:left="108"/>
              <w:rPr>
                <w:sz w:val="24"/>
              </w:rPr>
            </w:pPr>
            <w:r>
              <w:rPr>
                <w:spacing w:val="-10"/>
                <w:sz w:val="24"/>
              </w:rPr>
              <w:t>1</w:t>
            </w:r>
          </w:p>
        </w:tc>
      </w:tr>
      <w:tr>
        <w:trPr>
          <w:trHeight w:val="517" w:hRule="atLeast"/>
        </w:trPr>
        <w:tc>
          <w:tcPr>
            <w:tcW w:w="566" w:type="dxa"/>
          </w:tcPr>
          <w:p>
            <w:pPr>
              <w:pStyle w:val="TableParagraph"/>
              <w:spacing w:line="270" w:lineRule="exact"/>
              <w:ind w:left="107"/>
              <w:rPr>
                <w:sz w:val="24"/>
              </w:rPr>
            </w:pPr>
            <w:r>
              <w:rPr>
                <w:spacing w:val="-10"/>
                <w:sz w:val="24"/>
              </w:rPr>
              <w:t>7</w:t>
            </w:r>
          </w:p>
        </w:tc>
        <w:tc>
          <w:tcPr>
            <w:tcW w:w="4393" w:type="dxa"/>
          </w:tcPr>
          <w:p>
            <w:pPr>
              <w:pStyle w:val="TableParagraph"/>
              <w:spacing w:line="270" w:lineRule="exact"/>
              <w:ind w:left="108"/>
              <w:rPr>
                <w:sz w:val="24"/>
              </w:rPr>
            </w:pPr>
            <w:r>
              <w:rPr>
                <w:sz w:val="24"/>
              </w:rPr>
              <w:t>Добиваться</w:t>
            </w:r>
            <w:r>
              <w:rPr>
                <w:spacing w:val="-4"/>
                <w:sz w:val="24"/>
              </w:rPr>
              <w:t> </w:t>
            </w:r>
            <w:r>
              <w:rPr>
                <w:sz w:val="24"/>
              </w:rPr>
              <w:t>понимания</w:t>
            </w:r>
            <w:r>
              <w:rPr>
                <w:spacing w:val="-6"/>
                <w:sz w:val="24"/>
              </w:rPr>
              <w:t> </w:t>
            </w:r>
            <w:r>
              <w:rPr>
                <w:sz w:val="24"/>
              </w:rPr>
              <w:t>от</w:t>
            </w:r>
            <w:r>
              <w:rPr>
                <w:spacing w:val="-3"/>
                <w:sz w:val="24"/>
              </w:rPr>
              <w:t> </w:t>
            </w:r>
            <w:r>
              <w:rPr>
                <w:sz w:val="24"/>
              </w:rPr>
              <w:t>других</w:t>
            </w:r>
            <w:r>
              <w:rPr>
                <w:spacing w:val="-1"/>
                <w:sz w:val="24"/>
              </w:rPr>
              <w:t> </w:t>
            </w:r>
            <w:r>
              <w:rPr>
                <w:spacing w:val="-4"/>
                <w:sz w:val="24"/>
              </w:rPr>
              <w:t>людей</w:t>
            </w:r>
          </w:p>
        </w:tc>
        <w:tc>
          <w:tcPr>
            <w:tcW w:w="1056" w:type="dxa"/>
          </w:tcPr>
          <w:p>
            <w:pPr>
              <w:pStyle w:val="TableParagraph"/>
              <w:spacing w:line="270" w:lineRule="exact"/>
              <w:ind w:left="105"/>
              <w:rPr>
                <w:sz w:val="24"/>
              </w:rPr>
            </w:pPr>
            <w:r>
              <w:rPr>
                <w:spacing w:val="-10"/>
                <w:sz w:val="24"/>
              </w:rPr>
              <w:t>4</w:t>
            </w:r>
          </w:p>
        </w:tc>
        <w:tc>
          <w:tcPr>
            <w:tcW w:w="1056" w:type="dxa"/>
          </w:tcPr>
          <w:p>
            <w:pPr>
              <w:pStyle w:val="TableParagraph"/>
              <w:spacing w:line="270" w:lineRule="exact"/>
              <w:ind w:left="108"/>
              <w:rPr>
                <w:sz w:val="24"/>
              </w:rPr>
            </w:pPr>
            <w:r>
              <w:rPr>
                <w:spacing w:val="-10"/>
                <w:sz w:val="24"/>
              </w:rPr>
              <w:t>3</w:t>
            </w:r>
          </w:p>
        </w:tc>
        <w:tc>
          <w:tcPr>
            <w:tcW w:w="1059" w:type="dxa"/>
          </w:tcPr>
          <w:p>
            <w:pPr>
              <w:pStyle w:val="TableParagraph"/>
              <w:spacing w:line="270" w:lineRule="exact"/>
              <w:ind w:left="108"/>
              <w:rPr>
                <w:sz w:val="24"/>
              </w:rPr>
            </w:pPr>
            <w:r>
              <w:rPr>
                <w:spacing w:val="-10"/>
                <w:sz w:val="24"/>
              </w:rPr>
              <w:t>2</w:t>
            </w:r>
          </w:p>
        </w:tc>
        <w:tc>
          <w:tcPr>
            <w:tcW w:w="1056" w:type="dxa"/>
          </w:tcPr>
          <w:p>
            <w:pPr>
              <w:pStyle w:val="TableParagraph"/>
              <w:spacing w:line="270" w:lineRule="exact"/>
              <w:ind w:left="108"/>
              <w:rPr>
                <w:sz w:val="24"/>
              </w:rPr>
            </w:pPr>
            <w:r>
              <w:rPr>
                <w:spacing w:val="-10"/>
                <w:sz w:val="24"/>
              </w:rPr>
              <w:t>1</w:t>
            </w:r>
          </w:p>
        </w:tc>
      </w:tr>
      <w:tr>
        <w:trPr>
          <w:trHeight w:val="518" w:hRule="atLeast"/>
        </w:trPr>
        <w:tc>
          <w:tcPr>
            <w:tcW w:w="566" w:type="dxa"/>
          </w:tcPr>
          <w:p>
            <w:pPr>
              <w:pStyle w:val="TableParagraph"/>
              <w:spacing w:line="270" w:lineRule="exact"/>
              <w:ind w:left="107"/>
              <w:rPr>
                <w:sz w:val="24"/>
              </w:rPr>
            </w:pPr>
            <w:r>
              <w:rPr>
                <w:spacing w:val="-10"/>
                <w:sz w:val="24"/>
              </w:rPr>
              <w:t>8</w:t>
            </w:r>
          </w:p>
        </w:tc>
        <w:tc>
          <w:tcPr>
            <w:tcW w:w="4393" w:type="dxa"/>
          </w:tcPr>
          <w:p>
            <w:pPr>
              <w:pStyle w:val="TableParagraph"/>
              <w:spacing w:line="270" w:lineRule="exact"/>
              <w:ind w:left="108"/>
              <w:rPr>
                <w:sz w:val="24"/>
              </w:rPr>
            </w:pPr>
            <w:r>
              <w:rPr>
                <w:sz w:val="24"/>
              </w:rPr>
              <w:t>Делать</w:t>
            </w:r>
            <w:r>
              <w:rPr>
                <w:spacing w:val="-5"/>
                <w:sz w:val="24"/>
              </w:rPr>
              <w:t> </w:t>
            </w:r>
            <w:r>
              <w:rPr>
                <w:spacing w:val="-2"/>
                <w:sz w:val="24"/>
              </w:rPr>
              <w:t>покупки</w:t>
            </w:r>
          </w:p>
        </w:tc>
        <w:tc>
          <w:tcPr>
            <w:tcW w:w="1056" w:type="dxa"/>
          </w:tcPr>
          <w:p>
            <w:pPr>
              <w:pStyle w:val="TableParagraph"/>
              <w:spacing w:line="270" w:lineRule="exact"/>
              <w:ind w:left="105"/>
              <w:rPr>
                <w:sz w:val="24"/>
              </w:rPr>
            </w:pPr>
            <w:r>
              <w:rPr>
                <w:spacing w:val="-10"/>
                <w:sz w:val="24"/>
              </w:rPr>
              <w:t>4</w:t>
            </w:r>
          </w:p>
        </w:tc>
        <w:tc>
          <w:tcPr>
            <w:tcW w:w="1056" w:type="dxa"/>
          </w:tcPr>
          <w:p>
            <w:pPr>
              <w:pStyle w:val="TableParagraph"/>
              <w:spacing w:line="270" w:lineRule="exact"/>
              <w:ind w:left="108"/>
              <w:rPr>
                <w:sz w:val="24"/>
              </w:rPr>
            </w:pPr>
            <w:r>
              <w:rPr>
                <w:spacing w:val="-10"/>
                <w:sz w:val="24"/>
              </w:rPr>
              <w:t>3</w:t>
            </w:r>
          </w:p>
        </w:tc>
        <w:tc>
          <w:tcPr>
            <w:tcW w:w="1059" w:type="dxa"/>
          </w:tcPr>
          <w:p>
            <w:pPr>
              <w:pStyle w:val="TableParagraph"/>
              <w:spacing w:line="270" w:lineRule="exact"/>
              <w:ind w:left="108"/>
              <w:rPr>
                <w:sz w:val="24"/>
              </w:rPr>
            </w:pPr>
            <w:r>
              <w:rPr>
                <w:spacing w:val="-10"/>
                <w:sz w:val="24"/>
              </w:rPr>
              <w:t>2</w:t>
            </w:r>
          </w:p>
        </w:tc>
        <w:tc>
          <w:tcPr>
            <w:tcW w:w="1056" w:type="dxa"/>
          </w:tcPr>
          <w:p>
            <w:pPr>
              <w:pStyle w:val="TableParagraph"/>
              <w:spacing w:line="270" w:lineRule="exact"/>
              <w:ind w:left="108"/>
              <w:rPr>
                <w:sz w:val="24"/>
              </w:rPr>
            </w:pPr>
            <w:r>
              <w:rPr>
                <w:spacing w:val="-10"/>
                <w:sz w:val="24"/>
              </w:rPr>
              <w:t>1</w:t>
            </w:r>
          </w:p>
        </w:tc>
      </w:tr>
      <w:tr>
        <w:trPr>
          <w:trHeight w:val="515" w:hRule="atLeast"/>
        </w:trPr>
        <w:tc>
          <w:tcPr>
            <w:tcW w:w="566" w:type="dxa"/>
          </w:tcPr>
          <w:p>
            <w:pPr>
              <w:pStyle w:val="TableParagraph"/>
              <w:spacing w:line="270" w:lineRule="exact"/>
              <w:ind w:left="107"/>
              <w:rPr>
                <w:sz w:val="24"/>
              </w:rPr>
            </w:pPr>
            <w:r>
              <w:rPr>
                <w:spacing w:val="-10"/>
                <w:sz w:val="24"/>
              </w:rPr>
              <w:t>9</w:t>
            </w:r>
          </w:p>
        </w:tc>
        <w:tc>
          <w:tcPr>
            <w:tcW w:w="4393" w:type="dxa"/>
          </w:tcPr>
          <w:p>
            <w:pPr>
              <w:pStyle w:val="TableParagraph"/>
              <w:spacing w:line="270" w:lineRule="exact"/>
              <w:ind w:left="108"/>
              <w:rPr>
                <w:sz w:val="24"/>
              </w:rPr>
            </w:pPr>
            <w:r>
              <w:rPr>
                <w:sz w:val="24"/>
              </w:rPr>
              <w:t>Понимать</w:t>
            </w:r>
            <w:r>
              <w:rPr>
                <w:spacing w:val="-3"/>
                <w:sz w:val="24"/>
              </w:rPr>
              <w:t> </w:t>
            </w:r>
            <w:r>
              <w:rPr>
                <w:sz w:val="24"/>
              </w:rPr>
              <w:t>шутки</w:t>
            </w:r>
            <w:r>
              <w:rPr>
                <w:spacing w:val="-3"/>
                <w:sz w:val="24"/>
              </w:rPr>
              <w:t> </w:t>
            </w:r>
            <w:r>
              <w:rPr>
                <w:sz w:val="24"/>
              </w:rPr>
              <w:t>и</w:t>
            </w:r>
            <w:r>
              <w:rPr>
                <w:spacing w:val="-3"/>
                <w:sz w:val="24"/>
              </w:rPr>
              <w:t> </w:t>
            </w:r>
            <w:r>
              <w:rPr>
                <w:spacing w:val="-4"/>
                <w:sz w:val="24"/>
              </w:rPr>
              <w:t>юмор</w:t>
            </w:r>
          </w:p>
        </w:tc>
        <w:tc>
          <w:tcPr>
            <w:tcW w:w="1056" w:type="dxa"/>
          </w:tcPr>
          <w:p>
            <w:pPr>
              <w:pStyle w:val="TableParagraph"/>
              <w:spacing w:line="270" w:lineRule="exact"/>
              <w:ind w:left="105"/>
              <w:rPr>
                <w:sz w:val="24"/>
              </w:rPr>
            </w:pPr>
            <w:r>
              <w:rPr>
                <w:spacing w:val="-10"/>
                <w:sz w:val="24"/>
              </w:rPr>
              <w:t>4</w:t>
            </w:r>
          </w:p>
        </w:tc>
        <w:tc>
          <w:tcPr>
            <w:tcW w:w="1056" w:type="dxa"/>
          </w:tcPr>
          <w:p>
            <w:pPr>
              <w:pStyle w:val="TableParagraph"/>
              <w:spacing w:line="270" w:lineRule="exact"/>
              <w:ind w:left="108"/>
              <w:rPr>
                <w:sz w:val="24"/>
              </w:rPr>
            </w:pPr>
            <w:r>
              <w:rPr>
                <w:spacing w:val="-10"/>
                <w:sz w:val="24"/>
              </w:rPr>
              <w:t>3</w:t>
            </w:r>
          </w:p>
        </w:tc>
        <w:tc>
          <w:tcPr>
            <w:tcW w:w="1059" w:type="dxa"/>
          </w:tcPr>
          <w:p>
            <w:pPr>
              <w:pStyle w:val="TableParagraph"/>
              <w:spacing w:line="270" w:lineRule="exact"/>
              <w:ind w:left="108"/>
              <w:rPr>
                <w:sz w:val="24"/>
              </w:rPr>
            </w:pPr>
            <w:r>
              <w:rPr>
                <w:spacing w:val="-10"/>
                <w:sz w:val="24"/>
              </w:rPr>
              <w:t>2</w:t>
            </w:r>
          </w:p>
        </w:tc>
        <w:tc>
          <w:tcPr>
            <w:tcW w:w="1056" w:type="dxa"/>
          </w:tcPr>
          <w:p>
            <w:pPr>
              <w:pStyle w:val="TableParagraph"/>
              <w:spacing w:line="270" w:lineRule="exact"/>
              <w:ind w:left="108"/>
              <w:rPr>
                <w:sz w:val="24"/>
              </w:rPr>
            </w:pPr>
            <w:r>
              <w:rPr>
                <w:spacing w:val="-10"/>
                <w:sz w:val="24"/>
              </w:rPr>
              <w:t>1</w:t>
            </w:r>
          </w:p>
        </w:tc>
      </w:tr>
      <w:tr>
        <w:trPr>
          <w:trHeight w:val="518" w:hRule="atLeast"/>
        </w:trPr>
        <w:tc>
          <w:tcPr>
            <w:tcW w:w="566" w:type="dxa"/>
          </w:tcPr>
          <w:p>
            <w:pPr>
              <w:pStyle w:val="TableParagraph"/>
              <w:spacing w:line="273" w:lineRule="exact"/>
              <w:ind w:left="107"/>
              <w:rPr>
                <w:sz w:val="24"/>
              </w:rPr>
            </w:pPr>
            <w:r>
              <w:rPr>
                <w:spacing w:val="-5"/>
                <w:sz w:val="24"/>
              </w:rPr>
              <w:t>10</w:t>
            </w:r>
          </w:p>
        </w:tc>
        <w:tc>
          <w:tcPr>
            <w:tcW w:w="4393" w:type="dxa"/>
          </w:tcPr>
          <w:p>
            <w:pPr>
              <w:pStyle w:val="TableParagraph"/>
              <w:spacing w:line="273" w:lineRule="exact"/>
              <w:ind w:left="108"/>
              <w:rPr>
                <w:sz w:val="24"/>
              </w:rPr>
            </w:pPr>
            <w:r>
              <w:rPr>
                <w:sz w:val="24"/>
              </w:rPr>
              <w:t>Соблюдать</w:t>
            </w:r>
            <w:r>
              <w:rPr>
                <w:spacing w:val="-4"/>
                <w:sz w:val="24"/>
              </w:rPr>
              <w:t> </w:t>
            </w:r>
            <w:r>
              <w:rPr>
                <w:sz w:val="24"/>
              </w:rPr>
              <w:t>нормы</w:t>
            </w:r>
            <w:r>
              <w:rPr>
                <w:spacing w:val="-3"/>
                <w:sz w:val="24"/>
              </w:rPr>
              <w:t> </w:t>
            </w:r>
            <w:r>
              <w:rPr>
                <w:sz w:val="24"/>
              </w:rPr>
              <w:t>своей</w:t>
            </w:r>
            <w:r>
              <w:rPr>
                <w:spacing w:val="-2"/>
                <w:sz w:val="24"/>
              </w:rPr>
              <w:t> религии</w:t>
            </w:r>
          </w:p>
        </w:tc>
        <w:tc>
          <w:tcPr>
            <w:tcW w:w="1056" w:type="dxa"/>
          </w:tcPr>
          <w:p>
            <w:pPr>
              <w:pStyle w:val="TableParagraph"/>
              <w:spacing w:line="273" w:lineRule="exact"/>
              <w:ind w:left="105"/>
              <w:rPr>
                <w:sz w:val="24"/>
              </w:rPr>
            </w:pPr>
            <w:r>
              <w:rPr>
                <w:spacing w:val="-10"/>
                <w:sz w:val="24"/>
              </w:rPr>
              <w:t>4</w:t>
            </w:r>
          </w:p>
        </w:tc>
        <w:tc>
          <w:tcPr>
            <w:tcW w:w="1056" w:type="dxa"/>
          </w:tcPr>
          <w:p>
            <w:pPr>
              <w:pStyle w:val="TableParagraph"/>
              <w:spacing w:line="273" w:lineRule="exact"/>
              <w:ind w:left="108"/>
              <w:rPr>
                <w:sz w:val="24"/>
              </w:rPr>
            </w:pPr>
            <w:r>
              <w:rPr>
                <w:spacing w:val="-10"/>
                <w:sz w:val="24"/>
              </w:rPr>
              <w:t>3</w:t>
            </w:r>
          </w:p>
        </w:tc>
        <w:tc>
          <w:tcPr>
            <w:tcW w:w="1059" w:type="dxa"/>
          </w:tcPr>
          <w:p>
            <w:pPr>
              <w:pStyle w:val="TableParagraph"/>
              <w:spacing w:line="273" w:lineRule="exact"/>
              <w:ind w:left="108"/>
              <w:rPr>
                <w:sz w:val="24"/>
              </w:rPr>
            </w:pPr>
            <w:r>
              <w:rPr>
                <w:spacing w:val="-10"/>
                <w:sz w:val="24"/>
              </w:rPr>
              <w:t>2</w:t>
            </w:r>
          </w:p>
        </w:tc>
        <w:tc>
          <w:tcPr>
            <w:tcW w:w="1056" w:type="dxa"/>
          </w:tcPr>
          <w:p>
            <w:pPr>
              <w:pStyle w:val="TableParagraph"/>
              <w:spacing w:line="273" w:lineRule="exact"/>
              <w:ind w:left="108"/>
              <w:rPr>
                <w:sz w:val="24"/>
              </w:rPr>
            </w:pPr>
            <w:r>
              <w:rPr>
                <w:spacing w:val="-10"/>
                <w:sz w:val="24"/>
              </w:rPr>
              <w:t>1</w:t>
            </w:r>
          </w:p>
        </w:tc>
      </w:tr>
      <w:tr>
        <w:trPr>
          <w:trHeight w:val="517" w:hRule="atLeast"/>
        </w:trPr>
        <w:tc>
          <w:tcPr>
            <w:tcW w:w="566" w:type="dxa"/>
          </w:tcPr>
          <w:p>
            <w:pPr>
              <w:pStyle w:val="TableParagraph"/>
              <w:spacing w:line="270" w:lineRule="exact"/>
              <w:ind w:left="107"/>
              <w:rPr>
                <w:sz w:val="24"/>
              </w:rPr>
            </w:pPr>
            <w:r>
              <w:rPr>
                <w:spacing w:val="-5"/>
                <w:sz w:val="24"/>
              </w:rPr>
              <w:t>11</w:t>
            </w:r>
          </w:p>
        </w:tc>
        <w:tc>
          <w:tcPr>
            <w:tcW w:w="4393" w:type="dxa"/>
          </w:tcPr>
          <w:p>
            <w:pPr>
              <w:pStyle w:val="TableParagraph"/>
              <w:spacing w:line="270" w:lineRule="exact"/>
              <w:ind w:left="108"/>
              <w:rPr>
                <w:sz w:val="24"/>
              </w:rPr>
            </w:pPr>
            <w:r>
              <w:rPr>
                <w:sz w:val="24"/>
              </w:rPr>
              <w:t>Общаться</w:t>
            </w:r>
            <w:r>
              <w:rPr>
                <w:spacing w:val="-2"/>
                <w:sz w:val="24"/>
              </w:rPr>
              <w:t> </w:t>
            </w:r>
            <w:r>
              <w:rPr>
                <w:sz w:val="24"/>
              </w:rPr>
              <w:t>с</w:t>
            </w:r>
            <w:r>
              <w:rPr>
                <w:spacing w:val="-2"/>
                <w:sz w:val="24"/>
              </w:rPr>
              <w:t> одноклассниками</w:t>
            </w:r>
          </w:p>
        </w:tc>
        <w:tc>
          <w:tcPr>
            <w:tcW w:w="1056" w:type="dxa"/>
          </w:tcPr>
          <w:p>
            <w:pPr>
              <w:pStyle w:val="TableParagraph"/>
              <w:spacing w:line="270" w:lineRule="exact"/>
              <w:ind w:left="105"/>
              <w:rPr>
                <w:sz w:val="24"/>
              </w:rPr>
            </w:pPr>
            <w:r>
              <w:rPr>
                <w:spacing w:val="-10"/>
                <w:sz w:val="24"/>
              </w:rPr>
              <w:t>4</w:t>
            </w:r>
          </w:p>
        </w:tc>
        <w:tc>
          <w:tcPr>
            <w:tcW w:w="1056" w:type="dxa"/>
          </w:tcPr>
          <w:p>
            <w:pPr>
              <w:pStyle w:val="TableParagraph"/>
              <w:spacing w:line="270" w:lineRule="exact"/>
              <w:ind w:left="108"/>
              <w:rPr>
                <w:sz w:val="24"/>
              </w:rPr>
            </w:pPr>
            <w:r>
              <w:rPr>
                <w:spacing w:val="-10"/>
                <w:sz w:val="24"/>
              </w:rPr>
              <w:t>3</w:t>
            </w:r>
          </w:p>
        </w:tc>
        <w:tc>
          <w:tcPr>
            <w:tcW w:w="1059" w:type="dxa"/>
          </w:tcPr>
          <w:p>
            <w:pPr>
              <w:pStyle w:val="TableParagraph"/>
              <w:spacing w:line="270" w:lineRule="exact"/>
              <w:ind w:left="108"/>
              <w:rPr>
                <w:sz w:val="24"/>
              </w:rPr>
            </w:pPr>
            <w:r>
              <w:rPr>
                <w:spacing w:val="-10"/>
                <w:sz w:val="24"/>
              </w:rPr>
              <w:t>2</w:t>
            </w:r>
          </w:p>
        </w:tc>
        <w:tc>
          <w:tcPr>
            <w:tcW w:w="1056" w:type="dxa"/>
          </w:tcPr>
          <w:p>
            <w:pPr>
              <w:pStyle w:val="TableParagraph"/>
              <w:spacing w:line="270" w:lineRule="exact"/>
              <w:ind w:left="108"/>
              <w:rPr>
                <w:sz w:val="24"/>
              </w:rPr>
            </w:pPr>
            <w:r>
              <w:rPr>
                <w:spacing w:val="-10"/>
                <w:sz w:val="24"/>
              </w:rPr>
              <w:t>1</w:t>
            </w:r>
          </w:p>
        </w:tc>
      </w:tr>
    </w:tbl>
    <w:p>
      <w:pPr>
        <w:pStyle w:val="TableParagraph"/>
        <w:spacing w:after="0" w:line="270" w:lineRule="exact"/>
        <w:rPr>
          <w:sz w:val="24"/>
        </w:rPr>
        <w:sectPr>
          <w:pgSz w:w="11910" w:h="16840"/>
          <w:pgMar w:header="0" w:footer="970" w:top="1040" w:bottom="1220" w:left="1417" w:right="283"/>
        </w:sectPr>
      </w:pPr>
    </w:p>
    <w:p>
      <w:pPr>
        <w:pStyle w:val="Heading2"/>
        <w:numPr>
          <w:ilvl w:val="0"/>
          <w:numId w:val="15"/>
        </w:numPr>
        <w:tabs>
          <w:tab w:pos="941" w:val="left" w:leader="none"/>
          <w:tab w:pos="2514" w:val="left" w:leader="none"/>
          <w:tab w:pos="4160" w:val="left" w:leader="none"/>
          <w:tab w:pos="6118" w:val="left" w:leader="none"/>
          <w:tab w:pos="8193" w:val="left" w:leader="none"/>
          <w:tab w:pos="8948" w:val="left" w:leader="none"/>
        </w:tabs>
        <w:spacing w:line="278" w:lineRule="auto" w:before="72" w:after="0"/>
        <w:ind w:left="285" w:right="566" w:firstLine="0"/>
        <w:jc w:val="left"/>
      </w:pPr>
      <w:bookmarkStart w:name="_bookmark31" w:id="33"/>
      <w:bookmarkEnd w:id="33"/>
      <w:r>
        <w:rPr>
          <w:b w:val="0"/>
        </w:rPr>
      </w:r>
      <w:r>
        <w:rPr>
          <w:spacing w:val="-2"/>
        </w:rPr>
        <w:t>Методика</w:t>
      </w:r>
      <w:r>
        <w:rPr/>
        <w:tab/>
      </w:r>
      <w:r>
        <w:rPr>
          <w:spacing w:val="-2"/>
        </w:rPr>
        <w:t>измерения</w:t>
      </w:r>
      <w:r>
        <w:rPr/>
        <w:tab/>
      </w:r>
      <w:r>
        <w:rPr>
          <w:spacing w:val="-2"/>
        </w:rPr>
        <w:t>гражданской</w:t>
      </w:r>
      <w:r>
        <w:rPr/>
        <w:tab/>
      </w:r>
      <w:r>
        <w:rPr>
          <w:spacing w:val="-2"/>
        </w:rPr>
        <w:t>идентичности</w:t>
      </w:r>
      <w:r>
        <w:rPr/>
        <w:tab/>
      </w:r>
      <w:r>
        <w:rPr>
          <w:spacing w:val="-4"/>
        </w:rPr>
        <w:t>для</w:t>
      </w:r>
      <w:r>
        <w:rPr/>
        <w:tab/>
      </w:r>
      <w:r>
        <w:rPr>
          <w:spacing w:val="-2"/>
        </w:rPr>
        <w:t>детей </w:t>
      </w:r>
      <w:r>
        <w:rPr/>
        <w:t>и подростков</w:t>
      </w:r>
    </w:p>
    <w:p>
      <w:pPr>
        <w:pStyle w:val="Heading3"/>
        <w:spacing w:before="237"/>
      </w:pPr>
      <w:r>
        <w:rPr/>
        <w:t>Описание</w:t>
      </w:r>
      <w:r>
        <w:rPr>
          <w:spacing w:val="-2"/>
        </w:rPr>
        <w:t> методики</w:t>
      </w:r>
    </w:p>
    <w:p>
      <w:pPr>
        <w:spacing w:line="240" w:lineRule="auto" w:before="233"/>
        <w:ind w:left="285" w:right="562" w:firstLine="0"/>
        <w:jc w:val="both"/>
        <w:rPr>
          <w:sz w:val="28"/>
        </w:rPr>
      </w:pPr>
      <w:r>
        <w:rPr>
          <w:sz w:val="28"/>
        </w:rPr>
        <w:t>Методика измерения гражданской идентичности для детей и подростков </w:t>
      </w:r>
      <w:r>
        <w:rPr>
          <w:i/>
          <w:sz w:val="28"/>
        </w:rPr>
        <w:t>(Measure of Youth’s Ethnic and National Identity, MYENI) </w:t>
      </w:r>
      <w:r>
        <w:rPr>
          <w:sz w:val="28"/>
        </w:rPr>
        <w:t>была разработана в 2015 году коллективом исследователей из Мангейма, Германия (</w:t>
      </w:r>
      <w:r>
        <w:rPr>
          <w:i/>
          <w:sz w:val="28"/>
        </w:rPr>
        <w:t>Leszczensky, Santiago, </w:t>
      </w:r>
      <w:r>
        <w:rPr>
          <w:sz w:val="28"/>
        </w:rPr>
        <w:t>2015). Перевод на русский язык и адаптация О.Е. Хухлаева.</w:t>
      </w:r>
    </w:p>
    <w:p>
      <w:pPr>
        <w:pStyle w:val="Heading4"/>
        <w:spacing w:before="241"/>
        <w:ind w:right="569"/>
      </w:pPr>
      <w:r>
        <w:rPr/>
        <w:t>Главной причиной для разработки методики, по словам создателей, стала объективная</w:t>
      </w:r>
      <w:r>
        <w:rPr>
          <w:spacing w:val="-11"/>
        </w:rPr>
        <w:t> </w:t>
      </w:r>
      <w:r>
        <w:rPr/>
        <w:t>нехватка</w:t>
      </w:r>
      <w:r>
        <w:rPr>
          <w:spacing w:val="-11"/>
        </w:rPr>
        <w:t> </w:t>
      </w:r>
      <w:r>
        <w:rPr/>
        <w:t>исследований</w:t>
      </w:r>
      <w:r>
        <w:rPr>
          <w:spacing w:val="-11"/>
        </w:rPr>
        <w:t> </w:t>
      </w:r>
      <w:r>
        <w:rPr/>
        <w:t>по</w:t>
      </w:r>
      <w:r>
        <w:rPr>
          <w:spacing w:val="-13"/>
        </w:rPr>
        <w:t> </w:t>
      </w:r>
      <w:r>
        <w:rPr/>
        <w:t>теме</w:t>
      </w:r>
      <w:r>
        <w:rPr>
          <w:spacing w:val="-11"/>
        </w:rPr>
        <w:t> </w:t>
      </w:r>
      <w:r>
        <w:rPr/>
        <w:t>идентичности</w:t>
      </w:r>
      <w:r>
        <w:rPr>
          <w:spacing w:val="-13"/>
        </w:rPr>
        <w:t> </w:t>
      </w:r>
      <w:r>
        <w:rPr/>
        <w:t>мигрантов,</w:t>
      </w:r>
      <w:r>
        <w:rPr>
          <w:spacing w:val="-12"/>
        </w:rPr>
        <w:t> </w:t>
      </w:r>
      <w:r>
        <w:rPr/>
        <w:t>а</w:t>
      </w:r>
      <w:r>
        <w:rPr>
          <w:spacing w:val="-11"/>
        </w:rPr>
        <w:t> </w:t>
      </w:r>
      <w:r>
        <w:rPr/>
        <w:t>также отсутствие адекватных инструментов измерения как этнической, так и национальной идентичности молодых мигрантов.</w:t>
      </w:r>
    </w:p>
    <w:p>
      <w:pPr>
        <w:pStyle w:val="Heading4"/>
        <w:spacing w:before="239"/>
        <w:ind w:right="565"/>
      </w:pPr>
      <w:r>
        <w:rPr/>
        <w:t>Методика</w:t>
      </w:r>
      <w:r>
        <w:rPr>
          <w:spacing w:val="-10"/>
        </w:rPr>
        <w:t> </w:t>
      </w:r>
      <w:r>
        <w:rPr/>
        <w:t>применяется</w:t>
      </w:r>
      <w:r>
        <w:rPr>
          <w:spacing w:val="-10"/>
        </w:rPr>
        <w:t> </w:t>
      </w:r>
      <w:r>
        <w:rPr/>
        <w:t>для</w:t>
      </w:r>
      <w:r>
        <w:rPr>
          <w:spacing w:val="-10"/>
        </w:rPr>
        <w:t> </w:t>
      </w:r>
      <w:r>
        <w:rPr/>
        <w:t>измерения</w:t>
      </w:r>
      <w:r>
        <w:rPr>
          <w:spacing w:val="-10"/>
        </w:rPr>
        <w:t> </w:t>
      </w:r>
      <w:r>
        <w:rPr/>
        <w:t>российской</w:t>
      </w:r>
      <w:r>
        <w:rPr>
          <w:spacing w:val="-10"/>
        </w:rPr>
        <w:t> </w:t>
      </w:r>
      <w:r>
        <w:rPr/>
        <w:t>гражданской</w:t>
      </w:r>
      <w:r>
        <w:rPr>
          <w:spacing w:val="-10"/>
        </w:rPr>
        <w:t> </w:t>
      </w:r>
      <w:r>
        <w:rPr/>
        <w:t>идентичности школьников и их идентичности со страной исхода. Под российской гражданской идентичностью</w:t>
      </w:r>
      <w:r>
        <w:rPr>
          <w:spacing w:val="-1"/>
        </w:rPr>
        <w:t> </w:t>
      </w:r>
      <w:r>
        <w:rPr/>
        <w:t>в</w:t>
      </w:r>
      <w:r>
        <w:rPr>
          <w:spacing w:val="-1"/>
        </w:rPr>
        <w:t> </w:t>
      </w:r>
      <w:r>
        <w:rPr/>
        <w:t>данном</w:t>
      </w:r>
      <w:r>
        <w:rPr>
          <w:spacing w:val="-3"/>
        </w:rPr>
        <w:t> </w:t>
      </w:r>
      <w:r>
        <w:rPr/>
        <w:t>случае понимается</w:t>
      </w:r>
      <w:r>
        <w:rPr>
          <w:spacing w:val="-2"/>
        </w:rPr>
        <w:t> </w:t>
      </w:r>
      <w:r>
        <w:rPr/>
        <w:t>ощущение связи со страной, куда переехала семья ребенка — Россией. Под идентичностью со страной исхода — переживание тождества со страной исхода (родиной).</w:t>
      </w:r>
    </w:p>
    <w:p>
      <w:pPr>
        <w:pStyle w:val="Heading4"/>
        <w:spacing w:before="240"/>
        <w:ind w:right="571"/>
      </w:pPr>
      <w:r>
        <w:rPr/>
        <w:t>Применяется с мигрантами в возрасте от 8 до 17 лет. Представляет собой опросник из 14 утверждений.</w:t>
      </w:r>
    </w:p>
    <w:p>
      <w:pPr>
        <w:pStyle w:val="Heading3"/>
        <w:spacing w:before="250"/>
      </w:pPr>
      <w:r>
        <w:rPr/>
        <w:t>Проведение</w:t>
      </w:r>
      <w:r>
        <w:rPr>
          <w:spacing w:val="-10"/>
        </w:rPr>
        <w:t> </w:t>
      </w:r>
      <w:r>
        <w:rPr>
          <w:spacing w:val="-2"/>
        </w:rPr>
        <w:t>методики</w:t>
      </w:r>
    </w:p>
    <w:p>
      <w:pPr>
        <w:pStyle w:val="Heading4"/>
        <w:spacing w:before="232"/>
        <w:ind w:right="561"/>
      </w:pPr>
      <w:r>
        <w:rPr/>
        <w:t>Психолог предлагает школьнику ответить на вопрос, кем он себя считает, выбрав</w:t>
      </w:r>
      <w:r>
        <w:rPr>
          <w:spacing w:val="-15"/>
        </w:rPr>
        <w:t> </w:t>
      </w:r>
      <w:r>
        <w:rPr/>
        <w:t>одно</w:t>
      </w:r>
      <w:r>
        <w:rPr>
          <w:spacing w:val="-12"/>
        </w:rPr>
        <w:t> </w:t>
      </w:r>
      <w:r>
        <w:rPr/>
        <w:t>из</w:t>
      </w:r>
      <w:r>
        <w:rPr>
          <w:spacing w:val="-15"/>
        </w:rPr>
        <w:t> </w:t>
      </w:r>
      <w:r>
        <w:rPr/>
        <w:t>пяти</w:t>
      </w:r>
      <w:r>
        <w:rPr>
          <w:spacing w:val="-14"/>
        </w:rPr>
        <w:t> </w:t>
      </w:r>
      <w:r>
        <w:rPr/>
        <w:t>утверждений.</w:t>
      </w:r>
      <w:r>
        <w:rPr>
          <w:spacing w:val="-15"/>
        </w:rPr>
        <w:t> </w:t>
      </w:r>
      <w:r>
        <w:rPr/>
        <w:t>Затем</w:t>
      </w:r>
      <w:r>
        <w:rPr>
          <w:spacing w:val="-15"/>
        </w:rPr>
        <w:t> </w:t>
      </w:r>
      <w:r>
        <w:rPr/>
        <w:t>ребенку</w:t>
      </w:r>
      <w:r>
        <w:rPr>
          <w:spacing w:val="-16"/>
        </w:rPr>
        <w:t> </w:t>
      </w:r>
      <w:r>
        <w:rPr/>
        <w:t>предлагается</w:t>
      </w:r>
      <w:r>
        <w:rPr>
          <w:spacing w:val="-12"/>
        </w:rPr>
        <w:t> </w:t>
      </w:r>
      <w:r>
        <w:rPr/>
        <w:t>опросник</w:t>
      </w:r>
      <w:r>
        <w:rPr>
          <w:spacing w:val="-12"/>
        </w:rPr>
        <w:t> </w:t>
      </w:r>
      <w:r>
        <w:rPr/>
        <w:t>из</w:t>
      </w:r>
      <w:r>
        <w:rPr>
          <w:spacing w:val="-15"/>
        </w:rPr>
        <w:t> </w:t>
      </w:r>
      <w:r>
        <w:rPr/>
        <w:t>12 утверждений, на которые учащийся отвечает, оценивая степень своего согласия.</w:t>
      </w:r>
      <w:r>
        <w:rPr>
          <w:spacing w:val="-2"/>
        </w:rPr>
        <w:t> </w:t>
      </w:r>
      <w:r>
        <w:rPr/>
        <w:t>Он</w:t>
      </w:r>
      <w:r>
        <w:rPr>
          <w:spacing w:val="2"/>
        </w:rPr>
        <w:t> </w:t>
      </w:r>
      <w:r>
        <w:rPr/>
        <w:t>выбирает соответствующее</w:t>
      </w:r>
      <w:r>
        <w:rPr>
          <w:spacing w:val="1"/>
        </w:rPr>
        <w:t> </w:t>
      </w:r>
      <w:r>
        <w:rPr/>
        <w:t>число</w:t>
      </w:r>
      <w:r>
        <w:rPr>
          <w:spacing w:val="-1"/>
        </w:rPr>
        <w:t> </w:t>
      </w:r>
      <w:r>
        <w:rPr/>
        <w:t>по</w:t>
      </w:r>
      <w:r>
        <w:rPr>
          <w:spacing w:val="1"/>
        </w:rPr>
        <w:t> </w:t>
      </w:r>
      <w:r>
        <w:rPr/>
        <w:t>пятибалльной</w:t>
      </w:r>
      <w:r>
        <w:rPr>
          <w:spacing w:val="8"/>
        </w:rPr>
        <w:t> </w:t>
      </w:r>
      <w:r>
        <w:rPr/>
        <w:t>шкале, где</w:t>
      </w:r>
      <w:r>
        <w:rPr>
          <w:spacing w:val="-1"/>
        </w:rPr>
        <w:t> </w:t>
      </w:r>
      <w:r>
        <w:rPr>
          <w:spacing w:val="-10"/>
        </w:rPr>
        <w:t>1</w:t>
      </w:r>
    </w:p>
    <w:p>
      <w:pPr>
        <w:pStyle w:val="Heading4"/>
        <w:spacing w:line="320" w:lineRule="exact"/>
      </w:pPr>
      <w:r>
        <w:rPr/>
        <w:t>—</w:t>
      </w:r>
      <w:r>
        <w:rPr>
          <w:spacing w:val="-5"/>
        </w:rPr>
        <w:t> </w:t>
      </w:r>
      <w:r>
        <w:rPr/>
        <w:t>«совсем</w:t>
      </w:r>
      <w:r>
        <w:rPr>
          <w:spacing w:val="-8"/>
        </w:rPr>
        <w:t> </w:t>
      </w:r>
      <w:r>
        <w:rPr/>
        <w:t>не</w:t>
      </w:r>
      <w:r>
        <w:rPr>
          <w:spacing w:val="-4"/>
        </w:rPr>
        <w:t> </w:t>
      </w:r>
      <w:r>
        <w:rPr/>
        <w:t>согласен»,</w:t>
      </w:r>
      <w:r>
        <w:rPr>
          <w:spacing w:val="-5"/>
        </w:rPr>
        <w:t> </w:t>
      </w:r>
      <w:r>
        <w:rPr/>
        <w:t>а</w:t>
      </w:r>
      <w:r>
        <w:rPr>
          <w:spacing w:val="-4"/>
        </w:rPr>
        <w:t> </w:t>
      </w:r>
      <w:r>
        <w:rPr/>
        <w:t>5</w:t>
      </w:r>
      <w:r>
        <w:rPr>
          <w:spacing w:val="-1"/>
        </w:rPr>
        <w:t> </w:t>
      </w:r>
      <w:r>
        <w:rPr/>
        <w:t>—</w:t>
      </w:r>
      <w:r>
        <w:rPr>
          <w:spacing w:val="-5"/>
        </w:rPr>
        <w:t> </w:t>
      </w:r>
      <w:r>
        <w:rPr/>
        <w:t>«полностью</w:t>
      </w:r>
      <w:r>
        <w:rPr>
          <w:spacing w:val="-5"/>
        </w:rPr>
        <w:t> </w:t>
      </w:r>
      <w:r>
        <w:rPr/>
        <w:t>согласен»</w:t>
      </w:r>
      <w:r>
        <w:rPr>
          <w:spacing w:val="-5"/>
        </w:rPr>
        <w:t> </w:t>
      </w:r>
      <w:r>
        <w:rPr/>
        <w:t>(см.</w:t>
      </w:r>
      <w:r>
        <w:rPr>
          <w:spacing w:val="-7"/>
        </w:rPr>
        <w:t> </w:t>
      </w:r>
      <w:r>
        <w:rPr>
          <w:i/>
        </w:rPr>
        <w:t>Приложение</w:t>
      </w:r>
      <w:r>
        <w:rPr>
          <w:i/>
          <w:spacing w:val="-3"/>
        </w:rPr>
        <w:t> </w:t>
      </w:r>
      <w:r>
        <w:rPr>
          <w:i/>
          <w:spacing w:val="-4"/>
        </w:rPr>
        <w:t>17</w:t>
      </w:r>
      <w:r>
        <w:rPr>
          <w:spacing w:val="-4"/>
        </w:rPr>
        <w:t>).</w:t>
      </w:r>
    </w:p>
    <w:p>
      <w:pPr>
        <w:pStyle w:val="Heading4"/>
        <w:spacing w:before="240"/>
        <w:ind w:right="562"/>
      </w:pPr>
      <w:r>
        <w:rPr/>
        <w:t>Ответы на первый вопрос (№ 0) не обрабатываются в числовом виде. Выбор ответа дает информацию о когнитивной составляющей идентичности — кем себя считает ребенок.</w:t>
      </w:r>
    </w:p>
    <w:p>
      <w:pPr>
        <w:spacing w:before="241"/>
        <w:ind w:left="285" w:right="562" w:firstLine="0"/>
        <w:jc w:val="both"/>
        <w:rPr>
          <w:sz w:val="28"/>
        </w:rPr>
      </w:pPr>
      <w:r>
        <w:rPr>
          <w:sz w:val="28"/>
        </w:rPr>
        <w:t>По остальным вопросам подсчитывается сумма баллов по шкалам: </w:t>
      </w:r>
      <w:r>
        <w:rPr>
          <w:i/>
          <w:sz w:val="28"/>
        </w:rPr>
        <w:t>Идентичность со страной исхода (родиной) </w:t>
      </w:r>
      <w:r>
        <w:rPr>
          <w:sz w:val="28"/>
        </w:rPr>
        <w:t>(вопросы № 1–6) и </w:t>
      </w:r>
      <w:r>
        <w:rPr>
          <w:i/>
          <w:sz w:val="28"/>
        </w:rPr>
        <w:t>Российская идентичность </w:t>
      </w:r>
      <w:r>
        <w:rPr>
          <w:sz w:val="28"/>
        </w:rPr>
        <w:t>(вопросы № 7–12).</w:t>
      </w:r>
    </w:p>
    <w:p>
      <w:pPr>
        <w:spacing w:line="240" w:lineRule="auto" w:before="239"/>
        <w:ind w:left="285" w:right="559" w:firstLine="0"/>
        <w:jc w:val="both"/>
        <w:rPr>
          <w:sz w:val="28"/>
        </w:rPr>
      </w:pPr>
      <w:r>
        <w:rPr>
          <w:sz w:val="28"/>
        </w:rPr>
        <w:t>Для последующего анализа важна оценка значимости каждой из идентичностей: </w:t>
      </w:r>
      <w:r>
        <w:rPr>
          <w:i/>
          <w:sz w:val="28"/>
        </w:rPr>
        <w:t>Идентичности</w:t>
      </w:r>
      <w:r>
        <w:rPr>
          <w:i/>
          <w:spacing w:val="-3"/>
          <w:sz w:val="28"/>
        </w:rPr>
        <w:t> </w:t>
      </w:r>
      <w:r>
        <w:rPr>
          <w:i/>
          <w:sz w:val="28"/>
        </w:rPr>
        <w:t>со</w:t>
      </w:r>
      <w:r>
        <w:rPr>
          <w:i/>
          <w:spacing w:val="-2"/>
          <w:sz w:val="28"/>
        </w:rPr>
        <w:t> </w:t>
      </w:r>
      <w:r>
        <w:rPr>
          <w:i/>
          <w:sz w:val="28"/>
        </w:rPr>
        <w:t>страной</w:t>
      </w:r>
      <w:r>
        <w:rPr>
          <w:i/>
          <w:spacing w:val="-2"/>
          <w:sz w:val="28"/>
        </w:rPr>
        <w:t> </w:t>
      </w:r>
      <w:r>
        <w:rPr>
          <w:i/>
          <w:sz w:val="28"/>
        </w:rPr>
        <w:t>исхода</w:t>
      </w:r>
      <w:r>
        <w:rPr>
          <w:i/>
          <w:spacing w:val="-1"/>
          <w:sz w:val="28"/>
        </w:rPr>
        <w:t> </w:t>
      </w:r>
      <w:r>
        <w:rPr>
          <w:i/>
          <w:sz w:val="28"/>
        </w:rPr>
        <w:t>(родиной) </w:t>
      </w:r>
      <w:r>
        <w:rPr>
          <w:sz w:val="28"/>
        </w:rPr>
        <w:t>и</w:t>
      </w:r>
      <w:r>
        <w:rPr>
          <w:spacing w:val="-3"/>
          <w:sz w:val="28"/>
        </w:rPr>
        <w:t> </w:t>
      </w:r>
      <w:r>
        <w:rPr>
          <w:i/>
          <w:sz w:val="28"/>
        </w:rPr>
        <w:t>Гражданской</w:t>
      </w:r>
      <w:r>
        <w:rPr>
          <w:sz w:val="28"/>
        </w:rPr>
        <w:t>. Также важно их соотношение. Если балл по </w:t>
      </w:r>
      <w:r>
        <w:rPr>
          <w:i/>
          <w:sz w:val="28"/>
        </w:rPr>
        <w:t>Идентичности с родиной </w:t>
      </w:r>
      <w:r>
        <w:rPr>
          <w:sz w:val="28"/>
        </w:rPr>
        <w:t>выше на два пункта, чем по </w:t>
      </w:r>
      <w:r>
        <w:rPr>
          <w:i/>
          <w:sz w:val="28"/>
        </w:rPr>
        <w:t>Российской</w:t>
      </w:r>
      <w:r>
        <w:rPr>
          <w:sz w:val="28"/>
        </w:rPr>
        <w:t>, можно говорить о ее преобладании. О преобладании </w:t>
      </w:r>
      <w:r>
        <w:rPr>
          <w:i/>
          <w:sz w:val="28"/>
        </w:rPr>
        <w:t>Российской идентичности </w:t>
      </w:r>
      <w:r>
        <w:rPr>
          <w:sz w:val="28"/>
        </w:rPr>
        <w:t>можно говорить, если балл по ней выше</w:t>
      </w:r>
      <w:r>
        <w:rPr>
          <w:spacing w:val="-15"/>
          <w:sz w:val="28"/>
        </w:rPr>
        <w:t> </w:t>
      </w:r>
      <w:r>
        <w:rPr>
          <w:sz w:val="28"/>
        </w:rPr>
        <w:t>более</w:t>
      </w:r>
      <w:r>
        <w:rPr>
          <w:spacing w:val="-15"/>
          <w:sz w:val="28"/>
        </w:rPr>
        <w:t> </w:t>
      </w:r>
      <w:r>
        <w:rPr>
          <w:sz w:val="28"/>
        </w:rPr>
        <w:t>чем</w:t>
      </w:r>
      <w:r>
        <w:rPr>
          <w:spacing w:val="-17"/>
          <w:sz w:val="28"/>
        </w:rPr>
        <w:t> </w:t>
      </w:r>
      <w:r>
        <w:rPr>
          <w:sz w:val="28"/>
        </w:rPr>
        <w:t>на</w:t>
      </w:r>
      <w:r>
        <w:rPr>
          <w:spacing w:val="-15"/>
          <w:sz w:val="28"/>
        </w:rPr>
        <w:t> </w:t>
      </w:r>
      <w:r>
        <w:rPr>
          <w:sz w:val="28"/>
        </w:rPr>
        <w:t>два</w:t>
      </w:r>
      <w:r>
        <w:rPr>
          <w:spacing w:val="-15"/>
          <w:sz w:val="28"/>
        </w:rPr>
        <w:t> </w:t>
      </w:r>
      <w:r>
        <w:rPr>
          <w:sz w:val="28"/>
        </w:rPr>
        <w:t>пункта,</w:t>
      </w:r>
      <w:r>
        <w:rPr>
          <w:spacing w:val="-15"/>
          <w:sz w:val="28"/>
        </w:rPr>
        <w:t> </w:t>
      </w:r>
      <w:r>
        <w:rPr>
          <w:sz w:val="28"/>
        </w:rPr>
        <w:t>чем</w:t>
      </w:r>
      <w:r>
        <w:rPr>
          <w:spacing w:val="-15"/>
          <w:sz w:val="28"/>
        </w:rPr>
        <w:t> </w:t>
      </w:r>
      <w:r>
        <w:rPr>
          <w:sz w:val="28"/>
        </w:rPr>
        <w:t>по</w:t>
      </w:r>
      <w:r>
        <w:rPr>
          <w:spacing w:val="-13"/>
          <w:sz w:val="28"/>
        </w:rPr>
        <w:t> </w:t>
      </w:r>
      <w:r>
        <w:rPr>
          <w:i/>
          <w:sz w:val="28"/>
        </w:rPr>
        <w:t>Идентичности</w:t>
      </w:r>
      <w:r>
        <w:rPr>
          <w:i/>
          <w:spacing w:val="-14"/>
          <w:sz w:val="28"/>
        </w:rPr>
        <w:t> </w:t>
      </w:r>
      <w:r>
        <w:rPr>
          <w:i/>
          <w:sz w:val="28"/>
        </w:rPr>
        <w:t>со</w:t>
      </w:r>
      <w:r>
        <w:rPr>
          <w:i/>
          <w:spacing w:val="-14"/>
          <w:sz w:val="28"/>
        </w:rPr>
        <w:t> </w:t>
      </w:r>
      <w:r>
        <w:rPr>
          <w:i/>
          <w:sz w:val="28"/>
        </w:rPr>
        <w:t>страной</w:t>
      </w:r>
      <w:r>
        <w:rPr>
          <w:i/>
          <w:spacing w:val="-14"/>
          <w:sz w:val="28"/>
        </w:rPr>
        <w:t> </w:t>
      </w:r>
      <w:r>
        <w:rPr>
          <w:i/>
          <w:sz w:val="28"/>
        </w:rPr>
        <w:t>исхода</w:t>
      </w:r>
      <w:r>
        <w:rPr>
          <w:sz w:val="28"/>
        </w:rPr>
        <w:t>.</w:t>
      </w:r>
      <w:r>
        <w:rPr>
          <w:spacing w:val="-15"/>
          <w:sz w:val="28"/>
        </w:rPr>
        <w:t> </w:t>
      </w:r>
      <w:r>
        <w:rPr>
          <w:sz w:val="28"/>
        </w:rPr>
        <w:t>Если</w:t>
      </w:r>
    </w:p>
    <w:p>
      <w:pPr>
        <w:spacing w:after="0" w:line="240" w:lineRule="auto"/>
        <w:jc w:val="both"/>
        <w:rPr>
          <w:sz w:val="28"/>
        </w:rPr>
        <w:sectPr>
          <w:pgSz w:w="11910" w:h="16840"/>
          <w:pgMar w:header="0" w:footer="970" w:top="1040" w:bottom="1220" w:left="1417" w:right="283"/>
        </w:sectPr>
      </w:pPr>
    </w:p>
    <w:p>
      <w:pPr>
        <w:pStyle w:val="Heading4"/>
        <w:spacing w:line="242" w:lineRule="auto" w:before="67"/>
        <w:ind w:right="570"/>
      </w:pPr>
      <w:r>
        <w:rPr/>
        <w:t>разница менее двух пунктов, можно говорить о балансе (равновесии) </w:t>
      </w:r>
      <w:r>
        <w:rPr>
          <w:spacing w:val="-2"/>
        </w:rPr>
        <w:t>идентичностей.</w:t>
      </w:r>
    </w:p>
    <w:p>
      <w:pPr>
        <w:pStyle w:val="Heading4"/>
        <w:spacing w:before="236"/>
        <w:ind w:right="564"/>
      </w:pPr>
      <w:r>
        <w:rPr/>
        <w:t>По результатам апробации в 2022 г.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w:t>
      </w:r>
      <w:r>
        <w:rPr>
          <w:spacing w:val="-6"/>
        </w:rPr>
        <w:t> </w:t>
      </w:r>
      <w:r>
        <w:rPr/>
        <w:t>на</w:t>
      </w:r>
      <w:r>
        <w:rPr>
          <w:spacing w:val="-5"/>
        </w:rPr>
        <w:t> </w:t>
      </w:r>
      <w:r>
        <w:rPr/>
        <w:t>основании</w:t>
      </w:r>
      <w:r>
        <w:rPr>
          <w:spacing w:val="-5"/>
        </w:rPr>
        <w:t> </w:t>
      </w:r>
      <w:r>
        <w:rPr/>
        <w:t>статистического</w:t>
      </w:r>
      <w:r>
        <w:rPr>
          <w:spacing w:val="-4"/>
        </w:rPr>
        <w:t> </w:t>
      </w:r>
      <w:r>
        <w:rPr/>
        <w:t>анализа</w:t>
      </w:r>
      <w:r>
        <w:rPr>
          <w:spacing w:val="-6"/>
        </w:rPr>
        <w:t> </w:t>
      </w:r>
      <w:r>
        <w:rPr/>
        <w:t>распределения</w:t>
      </w:r>
      <w:r>
        <w:rPr>
          <w:spacing w:val="-8"/>
        </w:rPr>
        <w:t> </w:t>
      </w:r>
      <w:r>
        <w:rPr/>
        <w:t>показателей у детей — иностранных граждан, выделены следующие нормативы.</w:t>
      </w:r>
    </w:p>
    <w:p>
      <w:pPr>
        <w:pStyle w:val="Heading3"/>
        <w:spacing w:before="247"/>
        <w:ind w:left="8245"/>
        <w:jc w:val="left"/>
      </w:pPr>
      <w:r>
        <w:rPr/>
        <w:t>Таблица</w:t>
      </w:r>
      <w:r>
        <w:rPr>
          <w:spacing w:val="-3"/>
        </w:rPr>
        <w:t> </w:t>
      </w:r>
      <w:r>
        <w:rPr>
          <w:spacing w:val="-5"/>
        </w:rPr>
        <w:t>30</w:t>
      </w:r>
    </w:p>
    <w:p>
      <w:pPr>
        <w:spacing w:before="238"/>
        <w:ind w:left="1196" w:right="0" w:firstLine="74"/>
        <w:jc w:val="left"/>
        <w:rPr>
          <w:b/>
          <w:sz w:val="28"/>
        </w:rPr>
      </w:pPr>
      <w:r>
        <w:rPr>
          <w:b/>
          <w:sz w:val="28"/>
        </w:rPr>
        <w:t>Пересмотренные критерии оценки по шкале на выборках несовершеннолетних</w:t>
      </w:r>
      <w:r>
        <w:rPr>
          <w:b/>
          <w:spacing w:val="-6"/>
          <w:sz w:val="28"/>
        </w:rPr>
        <w:t> </w:t>
      </w:r>
      <w:r>
        <w:rPr>
          <w:b/>
          <w:sz w:val="28"/>
        </w:rPr>
        <w:t>детей</w:t>
      </w:r>
      <w:r>
        <w:rPr>
          <w:b/>
          <w:spacing w:val="-9"/>
          <w:sz w:val="28"/>
        </w:rPr>
        <w:t> </w:t>
      </w:r>
      <w:r>
        <w:rPr>
          <w:b/>
          <w:sz w:val="28"/>
        </w:rPr>
        <w:t>иностранных</w:t>
      </w:r>
      <w:r>
        <w:rPr>
          <w:b/>
          <w:spacing w:val="-6"/>
          <w:sz w:val="28"/>
        </w:rPr>
        <w:t> </w:t>
      </w:r>
      <w:r>
        <w:rPr>
          <w:b/>
          <w:sz w:val="28"/>
        </w:rPr>
        <w:t>граждан</w:t>
      </w:r>
      <w:r>
        <w:rPr>
          <w:b/>
          <w:spacing w:val="-7"/>
          <w:sz w:val="28"/>
        </w:rPr>
        <w:t> </w:t>
      </w:r>
      <w:r>
        <w:rPr>
          <w:b/>
          <w:sz w:val="28"/>
        </w:rPr>
        <w:t>в</w:t>
      </w:r>
      <w:r>
        <w:rPr>
          <w:b/>
          <w:spacing w:val="-8"/>
          <w:sz w:val="28"/>
        </w:rPr>
        <w:t> </w:t>
      </w:r>
      <w:r>
        <w:rPr>
          <w:b/>
          <w:sz w:val="28"/>
        </w:rPr>
        <w:t>России</w:t>
      </w:r>
    </w:p>
    <w:p>
      <w:pPr>
        <w:pStyle w:val="BodyText"/>
        <w:ind w:left="0" w:right="0" w:firstLine="0"/>
        <w:jc w:val="left"/>
        <w:rPr>
          <w:b/>
        </w:rPr>
      </w:pPr>
    </w:p>
    <w:p>
      <w:pPr>
        <w:pStyle w:val="BodyText"/>
        <w:spacing w:before="103"/>
        <w:ind w:left="0" w:right="0" w:firstLine="0"/>
        <w:jc w:val="left"/>
        <w:rPr>
          <w:b/>
        </w:rPr>
      </w:pPr>
    </w:p>
    <w:tbl>
      <w:tblPr>
        <w:tblW w:w="0" w:type="auto"/>
        <w:jc w:val="left"/>
        <w:tblInd w:w="4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95"/>
        <w:gridCol w:w="3032"/>
        <w:gridCol w:w="3030"/>
      </w:tblGrid>
      <w:tr>
        <w:trPr>
          <w:trHeight w:val="992" w:hRule="atLeast"/>
        </w:trPr>
        <w:tc>
          <w:tcPr>
            <w:tcW w:w="2895" w:type="dxa"/>
          </w:tcPr>
          <w:p>
            <w:pPr>
              <w:pStyle w:val="TableParagraph"/>
              <w:spacing w:before="61"/>
              <w:rPr>
                <w:b/>
                <w:sz w:val="24"/>
              </w:rPr>
            </w:pPr>
          </w:p>
          <w:p>
            <w:pPr>
              <w:pStyle w:val="TableParagraph"/>
              <w:ind w:left="585" w:hanging="197"/>
              <w:rPr>
                <w:b/>
                <w:sz w:val="24"/>
              </w:rPr>
            </w:pPr>
            <w:r>
              <w:rPr>
                <w:b/>
                <w:sz w:val="24"/>
              </w:rPr>
              <w:t>Средняя</w:t>
            </w:r>
            <w:r>
              <w:rPr>
                <w:b/>
                <w:spacing w:val="-15"/>
                <w:sz w:val="24"/>
              </w:rPr>
              <w:t> </w:t>
            </w:r>
            <w:r>
              <w:rPr>
                <w:b/>
                <w:sz w:val="24"/>
              </w:rPr>
              <w:t>и</w:t>
            </w:r>
            <w:r>
              <w:rPr>
                <w:b/>
                <w:spacing w:val="-15"/>
                <w:sz w:val="24"/>
              </w:rPr>
              <w:t> </w:t>
            </w:r>
            <w:r>
              <w:rPr>
                <w:b/>
                <w:sz w:val="24"/>
              </w:rPr>
              <w:t>старшая школа (N = 344)</w:t>
            </w:r>
          </w:p>
        </w:tc>
        <w:tc>
          <w:tcPr>
            <w:tcW w:w="3032" w:type="dxa"/>
          </w:tcPr>
          <w:p>
            <w:pPr>
              <w:pStyle w:val="TableParagraph"/>
              <w:spacing w:before="61"/>
              <w:rPr>
                <w:b/>
                <w:sz w:val="24"/>
              </w:rPr>
            </w:pPr>
          </w:p>
          <w:p>
            <w:pPr>
              <w:pStyle w:val="TableParagraph"/>
              <w:ind w:left="18"/>
              <w:jc w:val="center"/>
              <w:rPr>
                <w:b/>
                <w:sz w:val="24"/>
              </w:rPr>
            </w:pPr>
            <w:r>
              <w:rPr>
                <w:b/>
                <w:sz w:val="24"/>
              </w:rPr>
              <w:t>Российская</w:t>
            </w:r>
            <w:r>
              <w:rPr>
                <w:b/>
                <w:spacing w:val="-4"/>
                <w:sz w:val="24"/>
              </w:rPr>
              <w:t> </w:t>
            </w:r>
            <w:r>
              <w:rPr>
                <w:b/>
                <w:spacing w:val="-2"/>
                <w:sz w:val="24"/>
              </w:rPr>
              <w:t>идентичность</w:t>
            </w:r>
          </w:p>
        </w:tc>
        <w:tc>
          <w:tcPr>
            <w:tcW w:w="3030" w:type="dxa"/>
          </w:tcPr>
          <w:p>
            <w:pPr>
              <w:pStyle w:val="TableParagraph"/>
              <w:spacing w:before="61"/>
              <w:rPr>
                <w:b/>
                <w:sz w:val="24"/>
              </w:rPr>
            </w:pPr>
          </w:p>
          <w:p>
            <w:pPr>
              <w:pStyle w:val="TableParagraph"/>
              <w:ind w:left="587" w:right="107" w:hanging="461"/>
              <w:rPr>
                <w:b/>
                <w:sz w:val="24"/>
              </w:rPr>
            </w:pPr>
            <w:r>
              <w:rPr>
                <w:b/>
                <w:sz w:val="24"/>
              </w:rPr>
              <w:t>Идентичность</w:t>
            </w:r>
            <w:r>
              <w:rPr>
                <w:b/>
                <w:spacing w:val="-15"/>
                <w:sz w:val="24"/>
              </w:rPr>
              <w:t> </w:t>
            </w:r>
            <w:r>
              <w:rPr>
                <w:b/>
                <w:sz w:val="24"/>
              </w:rPr>
              <w:t>со</w:t>
            </w:r>
            <w:r>
              <w:rPr>
                <w:b/>
                <w:spacing w:val="-15"/>
                <w:sz w:val="24"/>
              </w:rPr>
              <w:t> </w:t>
            </w:r>
            <w:r>
              <w:rPr>
                <w:b/>
                <w:sz w:val="24"/>
              </w:rPr>
              <w:t>страной исхода (родиной)</w:t>
            </w:r>
          </w:p>
        </w:tc>
      </w:tr>
      <w:tr>
        <w:trPr>
          <w:trHeight w:val="695" w:hRule="atLeast"/>
        </w:trPr>
        <w:tc>
          <w:tcPr>
            <w:tcW w:w="2895" w:type="dxa"/>
          </w:tcPr>
          <w:p>
            <w:pPr>
              <w:pStyle w:val="TableParagraph"/>
              <w:spacing w:before="37"/>
              <w:rPr>
                <w:b/>
                <w:sz w:val="24"/>
              </w:rPr>
            </w:pPr>
          </w:p>
          <w:p>
            <w:pPr>
              <w:pStyle w:val="TableParagraph"/>
              <w:ind w:left="100"/>
              <w:rPr>
                <w:sz w:val="24"/>
              </w:rPr>
            </w:pPr>
            <w:r>
              <w:rPr>
                <w:sz w:val="24"/>
              </w:rPr>
              <w:t>Ниже</w:t>
            </w:r>
            <w:r>
              <w:rPr>
                <w:spacing w:val="-5"/>
                <w:sz w:val="24"/>
              </w:rPr>
              <w:t> </w:t>
            </w:r>
            <w:r>
              <w:rPr>
                <w:spacing w:val="-2"/>
                <w:sz w:val="24"/>
              </w:rPr>
              <w:t>среднего</w:t>
            </w:r>
          </w:p>
        </w:tc>
        <w:tc>
          <w:tcPr>
            <w:tcW w:w="3032" w:type="dxa"/>
          </w:tcPr>
          <w:p>
            <w:pPr>
              <w:pStyle w:val="TableParagraph"/>
              <w:spacing w:before="37"/>
              <w:rPr>
                <w:b/>
                <w:sz w:val="24"/>
              </w:rPr>
            </w:pPr>
          </w:p>
          <w:p>
            <w:pPr>
              <w:pStyle w:val="TableParagraph"/>
              <w:ind w:left="18" w:right="3"/>
              <w:jc w:val="center"/>
              <w:rPr>
                <w:sz w:val="24"/>
              </w:rPr>
            </w:pPr>
            <w:r>
              <w:rPr>
                <w:sz w:val="24"/>
              </w:rPr>
              <w:t>&lt;</w:t>
            </w:r>
            <w:r>
              <w:rPr>
                <w:spacing w:val="-1"/>
                <w:sz w:val="24"/>
              </w:rPr>
              <w:t> </w:t>
            </w:r>
            <w:r>
              <w:rPr>
                <w:spacing w:val="-4"/>
                <w:sz w:val="24"/>
              </w:rPr>
              <w:t>18,38</w:t>
            </w:r>
          </w:p>
        </w:tc>
        <w:tc>
          <w:tcPr>
            <w:tcW w:w="3030" w:type="dxa"/>
          </w:tcPr>
          <w:p>
            <w:pPr>
              <w:pStyle w:val="TableParagraph"/>
              <w:spacing w:before="37"/>
              <w:rPr>
                <w:b/>
                <w:sz w:val="24"/>
              </w:rPr>
            </w:pPr>
          </w:p>
          <w:p>
            <w:pPr>
              <w:pStyle w:val="TableParagraph"/>
              <w:ind w:left="18"/>
              <w:jc w:val="center"/>
              <w:rPr>
                <w:sz w:val="24"/>
              </w:rPr>
            </w:pPr>
            <w:r>
              <w:rPr>
                <w:sz w:val="24"/>
              </w:rPr>
              <w:t>&lt;</w:t>
            </w:r>
            <w:r>
              <w:rPr>
                <w:spacing w:val="-1"/>
                <w:sz w:val="24"/>
              </w:rPr>
              <w:t> </w:t>
            </w:r>
            <w:r>
              <w:rPr>
                <w:spacing w:val="-4"/>
                <w:sz w:val="24"/>
              </w:rPr>
              <w:t>19,04</w:t>
            </w:r>
          </w:p>
        </w:tc>
      </w:tr>
      <w:tr>
        <w:trPr>
          <w:trHeight w:val="697" w:hRule="atLeast"/>
        </w:trPr>
        <w:tc>
          <w:tcPr>
            <w:tcW w:w="2895" w:type="dxa"/>
          </w:tcPr>
          <w:p>
            <w:pPr>
              <w:pStyle w:val="TableParagraph"/>
              <w:spacing w:before="37"/>
              <w:rPr>
                <w:b/>
                <w:sz w:val="24"/>
              </w:rPr>
            </w:pPr>
          </w:p>
          <w:p>
            <w:pPr>
              <w:pStyle w:val="TableParagraph"/>
              <w:ind w:left="100"/>
              <w:rPr>
                <w:sz w:val="24"/>
              </w:rPr>
            </w:pPr>
            <w:r>
              <w:rPr>
                <w:spacing w:val="-2"/>
                <w:sz w:val="24"/>
              </w:rPr>
              <w:t>Средний</w:t>
            </w:r>
          </w:p>
        </w:tc>
        <w:tc>
          <w:tcPr>
            <w:tcW w:w="3032" w:type="dxa"/>
          </w:tcPr>
          <w:p>
            <w:pPr>
              <w:pStyle w:val="TableParagraph"/>
              <w:spacing w:before="37"/>
              <w:rPr>
                <w:b/>
                <w:sz w:val="24"/>
              </w:rPr>
            </w:pPr>
          </w:p>
          <w:p>
            <w:pPr>
              <w:pStyle w:val="TableParagraph"/>
              <w:ind w:left="18" w:right="2"/>
              <w:jc w:val="center"/>
              <w:rPr>
                <w:sz w:val="24"/>
              </w:rPr>
            </w:pPr>
            <w:r>
              <w:rPr>
                <w:sz w:val="24"/>
              </w:rPr>
              <w:t>18,38 – </w:t>
            </w:r>
            <w:r>
              <w:rPr>
                <w:spacing w:val="-2"/>
                <w:sz w:val="24"/>
              </w:rPr>
              <w:t>27,78</w:t>
            </w:r>
          </w:p>
        </w:tc>
        <w:tc>
          <w:tcPr>
            <w:tcW w:w="3030" w:type="dxa"/>
          </w:tcPr>
          <w:p>
            <w:pPr>
              <w:pStyle w:val="TableParagraph"/>
              <w:spacing w:before="37"/>
              <w:rPr>
                <w:b/>
                <w:sz w:val="24"/>
              </w:rPr>
            </w:pPr>
          </w:p>
          <w:p>
            <w:pPr>
              <w:pStyle w:val="TableParagraph"/>
              <w:ind w:left="18" w:right="1"/>
              <w:jc w:val="center"/>
              <w:rPr>
                <w:sz w:val="24"/>
              </w:rPr>
            </w:pPr>
            <w:r>
              <w:rPr>
                <w:sz w:val="24"/>
              </w:rPr>
              <w:t>19,04 – </w:t>
            </w:r>
            <w:r>
              <w:rPr>
                <w:spacing w:val="-2"/>
                <w:sz w:val="24"/>
              </w:rPr>
              <w:t>28,92</w:t>
            </w:r>
          </w:p>
        </w:tc>
      </w:tr>
      <w:tr>
        <w:trPr>
          <w:trHeight w:val="695" w:hRule="atLeast"/>
        </w:trPr>
        <w:tc>
          <w:tcPr>
            <w:tcW w:w="2895" w:type="dxa"/>
          </w:tcPr>
          <w:p>
            <w:pPr>
              <w:pStyle w:val="TableParagraph"/>
              <w:spacing w:before="34"/>
              <w:rPr>
                <w:b/>
                <w:sz w:val="24"/>
              </w:rPr>
            </w:pPr>
          </w:p>
          <w:p>
            <w:pPr>
              <w:pStyle w:val="TableParagraph"/>
              <w:ind w:left="100"/>
              <w:rPr>
                <w:sz w:val="24"/>
              </w:rPr>
            </w:pPr>
            <w:r>
              <w:rPr>
                <w:sz w:val="24"/>
              </w:rPr>
              <w:t>Выше</w:t>
            </w:r>
            <w:r>
              <w:rPr>
                <w:spacing w:val="-2"/>
                <w:sz w:val="24"/>
              </w:rPr>
              <w:t> среднего</w:t>
            </w:r>
          </w:p>
        </w:tc>
        <w:tc>
          <w:tcPr>
            <w:tcW w:w="3032" w:type="dxa"/>
          </w:tcPr>
          <w:p>
            <w:pPr>
              <w:pStyle w:val="TableParagraph"/>
              <w:spacing w:before="34"/>
              <w:rPr>
                <w:b/>
                <w:sz w:val="24"/>
              </w:rPr>
            </w:pPr>
          </w:p>
          <w:p>
            <w:pPr>
              <w:pStyle w:val="TableParagraph"/>
              <w:ind w:left="18" w:right="3"/>
              <w:jc w:val="center"/>
              <w:rPr>
                <w:sz w:val="24"/>
              </w:rPr>
            </w:pPr>
            <w:r>
              <w:rPr>
                <w:sz w:val="24"/>
              </w:rPr>
              <w:t>&gt;</w:t>
            </w:r>
            <w:r>
              <w:rPr>
                <w:spacing w:val="-1"/>
                <w:sz w:val="24"/>
              </w:rPr>
              <w:t> </w:t>
            </w:r>
            <w:r>
              <w:rPr>
                <w:spacing w:val="-4"/>
                <w:sz w:val="24"/>
              </w:rPr>
              <w:t>27,78</w:t>
            </w:r>
          </w:p>
        </w:tc>
        <w:tc>
          <w:tcPr>
            <w:tcW w:w="3030" w:type="dxa"/>
          </w:tcPr>
          <w:p>
            <w:pPr>
              <w:pStyle w:val="TableParagraph"/>
              <w:spacing w:before="34"/>
              <w:rPr>
                <w:b/>
                <w:sz w:val="24"/>
              </w:rPr>
            </w:pPr>
          </w:p>
          <w:p>
            <w:pPr>
              <w:pStyle w:val="TableParagraph"/>
              <w:ind w:left="18"/>
              <w:jc w:val="center"/>
              <w:rPr>
                <w:sz w:val="24"/>
              </w:rPr>
            </w:pPr>
            <w:r>
              <w:rPr>
                <w:sz w:val="24"/>
              </w:rPr>
              <w:t>&gt;</w:t>
            </w:r>
            <w:r>
              <w:rPr>
                <w:spacing w:val="-1"/>
                <w:sz w:val="24"/>
              </w:rPr>
              <w:t> </w:t>
            </w:r>
            <w:r>
              <w:rPr>
                <w:spacing w:val="-4"/>
                <w:sz w:val="24"/>
              </w:rPr>
              <w:t>28,92</w:t>
            </w:r>
          </w:p>
        </w:tc>
      </w:tr>
    </w:tbl>
    <w:p>
      <w:pPr>
        <w:spacing w:before="233"/>
        <w:ind w:left="285" w:right="568" w:firstLine="0"/>
        <w:jc w:val="both"/>
        <w:rPr>
          <w:sz w:val="24"/>
        </w:rPr>
      </w:pPr>
      <w:r>
        <w:rPr>
          <w:i/>
          <w:sz w:val="24"/>
        </w:rPr>
        <w:t>Примечание</w:t>
      </w:r>
      <w:r>
        <w:rPr>
          <w:sz w:val="24"/>
        </w:rPr>
        <w:t>. Значимые гендерные различия не выявлены, в связи с чем оценка производится без учета пола ребенка (t-критерий Стьюдента для независимых выборок).</w:t>
      </w:r>
    </w:p>
    <w:p>
      <w:pPr>
        <w:pStyle w:val="Heading3"/>
        <w:spacing w:before="248"/>
      </w:pPr>
      <w:r>
        <w:rPr/>
        <w:t>Психометрические</w:t>
      </w:r>
      <w:r>
        <w:rPr>
          <w:spacing w:val="-16"/>
        </w:rPr>
        <w:t> </w:t>
      </w:r>
      <w:r>
        <w:rPr/>
        <w:t>характеристики</w:t>
      </w:r>
      <w:r>
        <w:rPr>
          <w:spacing w:val="-14"/>
        </w:rPr>
        <w:t> </w:t>
      </w:r>
      <w:r>
        <w:rPr>
          <w:spacing w:val="-2"/>
        </w:rPr>
        <w:t>методики</w:t>
      </w:r>
    </w:p>
    <w:p>
      <w:pPr>
        <w:pStyle w:val="Heading4"/>
        <w:spacing w:before="233"/>
        <w:ind w:right="562"/>
      </w:pPr>
      <w:r>
        <w:rPr/>
        <w:t>Теоретическим основанием методики является теория социальной идентичности Г. Теджфела (</w:t>
      </w:r>
      <w:r>
        <w:rPr>
          <w:i/>
        </w:rPr>
        <w:t>Tajfel</w:t>
      </w:r>
      <w:r>
        <w:rPr/>
        <w:t>, 1978), определившего этническую идентичность как «часть личностной идентичности, обусловленную пониманием</w:t>
      </w:r>
      <w:r>
        <w:rPr>
          <w:spacing w:val="-18"/>
        </w:rPr>
        <w:t> </w:t>
      </w:r>
      <w:r>
        <w:rPr/>
        <w:t>своей</w:t>
      </w:r>
      <w:r>
        <w:rPr>
          <w:spacing w:val="-17"/>
        </w:rPr>
        <w:t> </w:t>
      </w:r>
      <w:r>
        <w:rPr/>
        <w:t>принадлежности</w:t>
      </w:r>
      <w:r>
        <w:rPr>
          <w:spacing w:val="-18"/>
        </w:rPr>
        <w:t> </w:t>
      </w:r>
      <w:r>
        <w:rPr/>
        <w:t>к</w:t>
      </w:r>
      <w:r>
        <w:rPr>
          <w:spacing w:val="-17"/>
        </w:rPr>
        <w:t> </w:t>
      </w:r>
      <w:r>
        <w:rPr/>
        <w:t>социальной</w:t>
      </w:r>
      <w:r>
        <w:rPr>
          <w:spacing w:val="-16"/>
        </w:rPr>
        <w:t> </w:t>
      </w:r>
      <w:r>
        <w:rPr/>
        <w:t>группе</w:t>
      </w:r>
      <w:r>
        <w:rPr>
          <w:spacing w:val="-18"/>
        </w:rPr>
        <w:t> </w:t>
      </w:r>
      <w:r>
        <w:rPr/>
        <w:t>или</w:t>
      </w:r>
      <w:r>
        <w:rPr>
          <w:spacing w:val="-15"/>
        </w:rPr>
        <w:t> </w:t>
      </w:r>
      <w:r>
        <w:rPr/>
        <w:t>группам,</w:t>
      </w:r>
      <w:r>
        <w:rPr>
          <w:spacing w:val="-17"/>
        </w:rPr>
        <w:t> </w:t>
      </w:r>
      <w:r>
        <w:rPr/>
        <w:t>а</w:t>
      </w:r>
      <w:r>
        <w:rPr>
          <w:spacing w:val="-17"/>
        </w:rPr>
        <w:t> </w:t>
      </w:r>
      <w:r>
        <w:rPr/>
        <w:t>также ценностью и эмоциональной значимостью таковой принадлежности».</w:t>
      </w:r>
    </w:p>
    <w:p>
      <w:pPr>
        <w:pStyle w:val="Heading4"/>
        <w:spacing w:before="241"/>
        <w:ind w:right="567"/>
      </w:pPr>
      <w:r>
        <w:rPr/>
        <w:t>Таким образом, в составляющие этнической идентичности входят когнитивный компонент (понимание собственной принадлежности к социальной группе), оценочный компонент (личное отношение к этому) и эмоциональный компонент (значимость принадлежности).</w:t>
      </w:r>
    </w:p>
    <w:p>
      <w:pPr>
        <w:spacing w:before="241"/>
        <w:ind w:left="285" w:right="564" w:firstLine="0"/>
        <w:jc w:val="both"/>
        <w:rPr>
          <w:sz w:val="28"/>
        </w:rPr>
      </w:pPr>
      <w:r>
        <w:rPr>
          <w:sz w:val="28"/>
        </w:rPr>
        <w:t>При создании методики были использованы инструменты, широко применявшиеся ранее: </w:t>
      </w:r>
      <w:r>
        <w:rPr>
          <w:i/>
          <w:sz w:val="28"/>
        </w:rPr>
        <w:t>Multigroup Ethnic Identity Measure, </w:t>
      </w:r>
      <w:r>
        <w:rPr>
          <w:sz w:val="28"/>
        </w:rPr>
        <w:t>или </w:t>
      </w:r>
      <w:r>
        <w:rPr>
          <w:i/>
          <w:sz w:val="28"/>
        </w:rPr>
        <w:t>MEIM-R</w:t>
      </w:r>
      <w:r>
        <w:rPr>
          <w:sz w:val="28"/>
        </w:rPr>
        <w:t>, методика измерения этнической идентичности (</w:t>
      </w:r>
      <w:r>
        <w:rPr>
          <w:i/>
          <w:sz w:val="28"/>
        </w:rPr>
        <w:t>Phinney</w:t>
      </w:r>
      <w:r>
        <w:rPr>
          <w:sz w:val="28"/>
        </w:rPr>
        <w:t>, 1992; </w:t>
      </w:r>
      <w:r>
        <w:rPr>
          <w:i/>
          <w:sz w:val="28"/>
        </w:rPr>
        <w:t>Phinney and Ong</w:t>
      </w:r>
      <w:r>
        <w:rPr>
          <w:sz w:val="28"/>
        </w:rPr>
        <w:t>, 2007) и </w:t>
      </w:r>
      <w:r>
        <w:rPr>
          <w:i/>
          <w:sz w:val="28"/>
        </w:rPr>
        <w:t>Ethnic Identity Scale</w:t>
      </w:r>
      <w:r>
        <w:rPr>
          <w:sz w:val="28"/>
        </w:rPr>
        <w:t>, или </w:t>
      </w:r>
      <w:r>
        <w:rPr>
          <w:i/>
          <w:sz w:val="28"/>
        </w:rPr>
        <w:t>EIS</w:t>
      </w:r>
      <w:r>
        <w:rPr>
          <w:sz w:val="28"/>
        </w:rPr>
        <w:t>, также измеряющая этническую идентичность</w:t>
      </w:r>
      <w:r>
        <w:rPr>
          <w:spacing w:val="40"/>
          <w:sz w:val="28"/>
        </w:rPr>
        <w:t> </w:t>
      </w:r>
      <w:r>
        <w:rPr>
          <w:sz w:val="28"/>
        </w:rPr>
        <w:t>(</w:t>
      </w:r>
      <w:r>
        <w:rPr>
          <w:i/>
          <w:sz w:val="28"/>
        </w:rPr>
        <w:t>Umaña-Taylor</w:t>
      </w:r>
      <w:r>
        <w:rPr>
          <w:i/>
          <w:spacing w:val="40"/>
          <w:sz w:val="28"/>
        </w:rPr>
        <w:t> </w:t>
      </w:r>
      <w:r>
        <w:rPr>
          <w:sz w:val="28"/>
        </w:rPr>
        <w:t>et</w:t>
      </w:r>
      <w:r>
        <w:rPr>
          <w:spacing w:val="40"/>
          <w:sz w:val="28"/>
        </w:rPr>
        <w:t> </w:t>
      </w:r>
      <w:r>
        <w:rPr>
          <w:sz w:val="28"/>
        </w:rPr>
        <w:t>al.,</w:t>
      </w:r>
      <w:r>
        <w:rPr>
          <w:spacing w:val="40"/>
          <w:sz w:val="28"/>
        </w:rPr>
        <w:t> </w:t>
      </w:r>
      <w:r>
        <w:rPr>
          <w:sz w:val="28"/>
        </w:rPr>
        <w:t>2004).</w:t>
      </w:r>
      <w:r>
        <w:rPr>
          <w:spacing w:val="40"/>
          <w:sz w:val="28"/>
        </w:rPr>
        <w:t> </w:t>
      </w:r>
      <w:r>
        <w:rPr>
          <w:sz w:val="28"/>
        </w:rPr>
        <w:t>Обе</w:t>
      </w:r>
      <w:r>
        <w:rPr>
          <w:spacing w:val="40"/>
          <w:sz w:val="28"/>
        </w:rPr>
        <w:t> </w:t>
      </w:r>
      <w:r>
        <w:rPr>
          <w:sz w:val="28"/>
        </w:rPr>
        <w:t>методики</w:t>
      </w:r>
      <w:r>
        <w:rPr>
          <w:spacing w:val="40"/>
          <w:sz w:val="28"/>
        </w:rPr>
        <w:t> </w:t>
      </w:r>
      <w:r>
        <w:rPr>
          <w:sz w:val="28"/>
        </w:rPr>
        <w:t>показали</w:t>
      </w:r>
      <w:r>
        <w:rPr>
          <w:spacing w:val="40"/>
          <w:sz w:val="28"/>
        </w:rPr>
        <w:t> </w:t>
      </w:r>
      <w:r>
        <w:rPr>
          <w:sz w:val="28"/>
        </w:rPr>
        <w:t>высокую</w:t>
      </w:r>
    </w:p>
    <w:p>
      <w:pPr>
        <w:spacing w:after="0"/>
        <w:jc w:val="both"/>
        <w:rPr>
          <w:sz w:val="28"/>
        </w:rPr>
        <w:sectPr>
          <w:pgSz w:w="11910" w:h="16840"/>
          <w:pgMar w:header="0" w:footer="970" w:top="1040" w:bottom="1220" w:left="1417" w:right="283"/>
        </w:sectPr>
      </w:pPr>
    </w:p>
    <w:p>
      <w:pPr>
        <w:pStyle w:val="Heading4"/>
        <w:spacing w:line="242" w:lineRule="auto" w:before="67"/>
        <w:ind w:right="572"/>
      </w:pPr>
      <w:r>
        <w:rPr/>
        <w:t>надежность и валидность на репрезентативных выборках в различных </w:t>
      </w:r>
      <w:r>
        <w:rPr>
          <w:spacing w:val="-2"/>
        </w:rPr>
        <w:t>исследованиях.</w:t>
      </w:r>
    </w:p>
    <w:p>
      <w:pPr>
        <w:pStyle w:val="Heading4"/>
        <w:spacing w:before="236"/>
        <w:ind w:right="561"/>
      </w:pPr>
      <w:r>
        <w:rPr/>
        <w:t>Для разработки методики исследователи отобрали утверждения, наиболее понятные детям школьного возраста (как местного населения, так и мигрантов), предварительно подтвердив «понятность» на репрезентативной выборке.</w:t>
      </w:r>
      <w:r>
        <w:rPr>
          <w:spacing w:val="-14"/>
        </w:rPr>
        <w:t> </w:t>
      </w:r>
      <w:r>
        <w:rPr/>
        <w:t>Эмпирическая</w:t>
      </w:r>
      <w:r>
        <w:rPr>
          <w:spacing w:val="-13"/>
        </w:rPr>
        <w:t> </w:t>
      </w:r>
      <w:r>
        <w:rPr/>
        <w:t>часть</w:t>
      </w:r>
      <w:r>
        <w:rPr>
          <w:spacing w:val="-14"/>
        </w:rPr>
        <w:t> </w:t>
      </w:r>
      <w:r>
        <w:rPr/>
        <w:t>исследования</w:t>
      </w:r>
      <w:r>
        <w:rPr>
          <w:spacing w:val="-13"/>
        </w:rPr>
        <w:t> </w:t>
      </w:r>
      <w:r>
        <w:rPr/>
        <w:t>проводилась</w:t>
      </w:r>
      <w:r>
        <w:rPr>
          <w:spacing w:val="-14"/>
        </w:rPr>
        <w:t> </w:t>
      </w:r>
      <w:r>
        <w:rPr/>
        <w:t>в</w:t>
      </w:r>
      <w:r>
        <w:rPr>
          <w:spacing w:val="-14"/>
        </w:rPr>
        <w:t> </w:t>
      </w:r>
      <w:r>
        <w:rPr/>
        <w:t>Германии</w:t>
      </w:r>
      <w:r>
        <w:rPr>
          <w:spacing w:val="-13"/>
        </w:rPr>
        <w:t> </w:t>
      </w:r>
      <w:r>
        <w:rPr/>
        <w:t>в</w:t>
      </w:r>
      <w:r>
        <w:rPr>
          <w:spacing w:val="-14"/>
        </w:rPr>
        <w:t> </w:t>
      </w:r>
      <w:r>
        <w:rPr/>
        <w:t>рамках проекта «Дружба и идентичность в школе» (</w:t>
      </w:r>
      <w:r>
        <w:rPr>
          <w:i/>
        </w:rPr>
        <w:t>Leszczensky, Santiago, </w:t>
      </w:r>
      <w:r>
        <w:rPr/>
        <w:t>2015) с учениками школ с высокой долей мигрантов (1668 школьников в возрасте от 9 до 17 лет, средний возраст — 12.8 лет). 18% выборки составили ученики младшей школы, 36% — средней и 46% — старшей школы. 63% имели бэкграунд, связанный с эмиграцией. Большинство (38%) имели турецкие корни, 10% и 7% — польские и русские соответственно.</w:t>
      </w:r>
    </w:p>
    <w:p>
      <w:pPr>
        <w:pStyle w:val="Heading4"/>
        <w:spacing w:before="239"/>
        <w:ind w:right="568"/>
      </w:pPr>
      <w:r>
        <w:rPr/>
        <w:t>Инвариантность измерения была протестирована на выборке местных жителей</w:t>
      </w:r>
      <w:r>
        <w:rPr>
          <w:spacing w:val="-8"/>
        </w:rPr>
        <w:t> </w:t>
      </w:r>
      <w:r>
        <w:rPr/>
        <w:t>и</w:t>
      </w:r>
      <w:r>
        <w:rPr>
          <w:spacing w:val="-9"/>
        </w:rPr>
        <w:t> </w:t>
      </w:r>
      <w:r>
        <w:rPr/>
        <w:t>мигрантов</w:t>
      </w:r>
      <w:r>
        <w:rPr>
          <w:spacing w:val="-9"/>
        </w:rPr>
        <w:t> </w:t>
      </w:r>
      <w:r>
        <w:rPr/>
        <w:t>всех</w:t>
      </w:r>
      <w:r>
        <w:rPr>
          <w:spacing w:val="-8"/>
        </w:rPr>
        <w:t> </w:t>
      </w:r>
      <w:r>
        <w:rPr/>
        <w:t>возрастных</w:t>
      </w:r>
      <w:r>
        <w:rPr>
          <w:spacing w:val="-9"/>
        </w:rPr>
        <w:t> </w:t>
      </w:r>
      <w:r>
        <w:rPr/>
        <w:t>групп</w:t>
      </w:r>
      <w:r>
        <w:rPr>
          <w:spacing w:val="-8"/>
        </w:rPr>
        <w:t> </w:t>
      </w:r>
      <w:r>
        <w:rPr/>
        <w:t>и</w:t>
      </w:r>
      <w:r>
        <w:rPr>
          <w:spacing w:val="-9"/>
        </w:rPr>
        <w:t> </w:t>
      </w:r>
      <w:r>
        <w:rPr/>
        <w:t>поколений.</w:t>
      </w:r>
      <w:r>
        <w:rPr>
          <w:spacing w:val="-12"/>
        </w:rPr>
        <w:t> </w:t>
      </w:r>
      <w:r>
        <w:rPr/>
        <w:t>Для</w:t>
      </w:r>
      <w:r>
        <w:rPr>
          <w:spacing w:val="-9"/>
        </w:rPr>
        <w:t> </w:t>
      </w:r>
      <w:r>
        <w:rPr/>
        <w:t>этих</w:t>
      </w:r>
      <w:r>
        <w:rPr>
          <w:spacing w:val="-8"/>
        </w:rPr>
        <w:t> </w:t>
      </w:r>
      <w:r>
        <w:rPr/>
        <w:t>целей</w:t>
      </w:r>
      <w:r>
        <w:rPr>
          <w:spacing w:val="-9"/>
        </w:rPr>
        <w:t> </w:t>
      </w:r>
      <w:r>
        <w:rPr/>
        <w:t>был проведен отдельный конфирматорный факторный анализ для каждой группы и конфирматорный факторный мультигрупповой анализ.</w:t>
      </w:r>
    </w:p>
    <w:p>
      <w:pPr>
        <w:pStyle w:val="Heading4"/>
        <w:spacing w:before="241"/>
        <w:ind w:right="569"/>
      </w:pPr>
      <w:r>
        <w:rPr/>
        <w:t>Методика показала высокую надежность как на общей выборке (мигранты + местные),</w:t>
      </w:r>
      <w:r>
        <w:rPr>
          <w:spacing w:val="-2"/>
        </w:rPr>
        <w:t> </w:t>
      </w:r>
      <w:r>
        <w:rPr/>
        <w:t>так</w:t>
      </w:r>
      <w:r>
        <w:rPr>
          <w:spacing w:val="-2"/>
        </w:rPr>
        <w:t> </w:t>
      </w:r>
      <w:r>
        <w:rPr/>
        <w:t>и</w:t>
      </w:r>
      <w:r>
        <w:rPr>
          <w:spacing w:val="-3"/>
        </w:rPr>
        <w:t> </w:t>
      </w:r>
      <w:r>
        <w:rPr/>
        <w:t>на</w:t>
      </w:r>
      <w:r>
        <w:rPr>
          <w:spacing w:val="-1"/>
        </w:rPr>
        <w:t> </w:t>
      </w:r>
      <w:r>
        <w:rPr/>
        <w:t>каждой</w:t>
      </w:r>
      <w:r>
        <w:rPr>
          <w:spacing w:val="-2"/>
        </w:rPr>
        <w:t> </w:t>
      </w:r>
      <w:r>
        <w:rPr/>
        <w:t>из</w:t>
      </w:r>
      <w:r>
        <w:rPr>
          <w:spacing w:val="-2"/>
        </w:rPr>
        <w:t> </w:t>
      </w:r>
      <w:r>
        <w:rPr/>
        <w:t>вышеописанных</w:t>
      </w:r>
      <w:r>
        <w:rPr>
          <w:spacing w:val="-1"/>
        </w:rPr>
        <w:t> </w:t>
      </w:r>
      <w:r>
        <w:rPr/>
        <w:t>групп.</w:t>
      </w:r>
      <w:r>
        <w:rPr>
          <w:spacing w:val="-2"/>
        </w:rPr>
        <w:t> </w:t>
      </w:r>
      <w:r>
        <w:rPr/>
        <w:t>Значение</w:t>
      </w:r>
      <w:r>
        <w:rPr>
          <w:spacing w:val="-2"/>
        </w:rPr>
        <w:t> </w:t>
      </w:r>
      <w:r>
        <w:rPr/>
        <w:t>коэффициента альфа Кронбаха составило более .75 для всех шкал.</w:t>
      </w:r>
    </w:p>
    <w:p>
      <w:pPr>
        <w:pStyle w:val="Heading4"/>
        <w:spacing w:before="239"/>
        <w:ind w:right="563"/>
      </w:pPr>
      <w:r>
        <w:rPr/>
        <w:t>В 2022 г. методика была адаптирована для детей — иностранных граждан в рамках апробации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 (N ср. шк. + ст. шк. = 344). Шкалы методики показали достаточную степень внутренней согласованности (альфа Кронбаха 0.882).</w:t>
      </w:r>
    </w:p>
    <w:p>
      <w:pPr>
        <w:pStyle w:val="Heading4"/>
        <w:spacing w:before="240"/>
        <w:ind w:right="560"/>
      </w:pPr>
      <w:r>
        <w:rPr/>
        <w:t>В исследовании обнаружены предсказуемые корреляции со шкалами следующих методик. По субшкале российской идентичности выявлена значимая отрицательная корреляция с «Детским опросником аккультурационного стресса» (старшая школа) (-0.480, P&lt;0.01) и положительная</w:t>
      </w:r>
      <w:r>
        <w:rPr>
          <w:spacing w:val="-18"/>
        </w:rPr>
        <w:t> </w:t>
      </w:r>
      <w:r>
        <w:rPr/>
        <w:t>корреляция</w:t>
      </w:r>
      <w:r>
        <w:rPr>
          <w:spacing w:val="-17"/>
        </w:rPr>
        <w:t> </w:t>
      </w:r>
      <w:r>
        <w:rPr/>
        <w:t>со</w:t>
      </w:r>
      <w:r>
        <w:rPr>
          <w:spacing w:val="-18"/>
        </w:rPr>
        <w:t> </w:t>
      </w:r>
      <w:r>
        <w:rPr/>
        <w:t>шкалами</w:t>
      </w:r>
      <w:r>
        <w:rPr>
          <w:spacing w:val="-17"/>
        </w:rPr>
        <w:t> </w:t>
      </w:r>
      <w:r>
        <w:rPr/>
        <w:t>«Культурное</w:t>
      </w:r>
      <w:r>
        <w:rPr>
          <w:spacing w:val="-18"/>
        </w:rPr>
        <w:t> </w:t>
      </w:r>
      <w:r>
        <w:rPr/>
        <w:t>смешение</w:t>
      </w:r>
      <w:r>
        <w:rPr>
          <w:spacing w:val="-17"/>
        </w:rPr>
        <w:t> </w:t>
      </w:r>
      <w:r>
        <w:rPr/>
        <w:t>—</w:t>
      </w:r>
      <w:r>
        <w:rPr>
          <w:spacing w:val="-18"/>
        </w:rPr>
        <w:t> </w:t>
      </w:r>
      <w:r>
        <w:rPr/>
        <w:t>Культурная разобщенность» (0.426, P&lt;0.01) и «Культурная гармония — Культурный конфликт» (0.291, P&lt;0.01) опросника «Интеграция бикультурной идентичности». Для субшкалы идентичности со страной исхода (родиной) выявлена значимая положительная корреляция с субшкалой сохранения ребенком-мигрантом</w:t>
      </w:r>
      <w:r>
        <w:rPr>
          <w:spacing w:val="-18"/>
        </w:rPr>
        <w:t> </w:t>
      </w:r>
      <w:r>
        <w:rPr/>
        <w:t>родной</w:t>
      </w:r>
      <w:r>
        <w:rPr>
          <w:spacing w:val="-17"/>
        </w:rPr>
        <w:t> </w:t>
      </w:r>
      <w:r>
        <w:rPr/>
        <w:t>культурной</w:t>
      </w:r>
      <w:r>
        <w:rPr>
          <w:spacing w:val="-16"/>
        </w:rPr>
        <w:t> </w:t>
      </w:r>
      <w:r>
        <w:rPr/>
        <w:t>среды</w:t>
      </w:r>
      <w:r>
        <w:rPr>
          <w:spacing w:val="-15"/>
        </w:rPr>
        <w:t> </w:t>
      </w:r>
      <w:r>
        <w:rPr/>
        <w:t>/</w:t>
      </w:r>
      <w:r>
        <w:rPr>
          <w:spacing w:val="-17"/>
        </w:rPr>
        <w:t> </w:t>
      </w:r>
      <w:r>
        <w:rPr/>
        <w:t>Опросник</w:t>
      </w:r>
      <w:r>
        <w:rPr>
          <w:spacing w:val="-18"/>
        </w:rPr>
        <w:t> </w:t>
      </w:r>
      <w:r>
        <w:rPr/>
        <w:t>аккультурации</w:t>
      </w:r>
      <w:r>
        <w:rPr>
          <w:spacing w:val="-17"/>
        </w:rPr>
        <w:t> </w:t>
      </w:r>
      <w:r>
        <w:rPr/>
        <w:t>для детей и подростков (0.540, P&lt;0.01) и отрицательная корреляция с субшкалой включенности</w:t>
      </w:r>
      <w:r>
        <w:rPr>
          <w:spacing w:val="-4"/>
        </w:rPr>
        <w:t> </w:t>
      </w:r>
      <w:r>
        <w:rPr/>
        <w:t>ребенка-мигранта</w:t>
      </w:r>
      <w:r>
        <w:rPr>
          <w:spacing w:val="-4"/>
        </w:rPr>
        <w:t> </w:t>
      </w:r>
      <w:r>
        <w:rPr/>
        <w:t>в</w:t>
      </w:r>
      <w:r>
        <w:rPr>
          <w:spacing w:val="-6"/>
        </w:rPr>
        <w:t> </w:t>
      </w:r>
      <w:r>
        <w:rPr/>
        <w:t>культуру</w:t>
      </w:r>
      <w:r>
        <w:rPr>
          <w:spacing w:val="-5"/>
        </w:rPr>
        <w:t> </w:t>
      </w:r>
      <w:r>
        <w:rPr/>
        <w:t>принимающего</w:t>
      </w:r>
      <w:r>
        <w:rPr>
          <w:spacing w:val="-3"/>
        </w:rPr>
        <w:t> </w:t>
      </w:r>
      <w:r>
        <w:rPr/>
        <w:t>общества</w:t>
      </w:r>
      <w:r>
        <w:rPr>
          <w:spacing w:val="-5"/>
        </w:rPr>
        <w:t> </w:t>
      </w:r>
      <w:r>
        <w:rPr/>
        <w:t>(-0.267, </w:t>
      </w:r>
      <w:r>
        <w:rPr>
          <w:spacing w:val="-2"/>
        </w:rPr>
        <w:t>P&lt;0.01).</w:t>
      </w:r>
    </w:p>
    <w:p>
      <w:pPr>
        <w:pStyle w:val="Heading4"/>
        <w:spacing w:line="242" w:lineRule="auto" w:before="241"/>
        <w:ind w:right="566"/>
      </w:pPr>
      <w:r>
        <w:rPr/>
        <w:t>Приведенные данные доказывает внешнюю валидность методики при диагностике детей — иностранных граждан.</w:t>
      </w:r>
    </w:p>
    <w:p>
      <w:pPr>
        <w:pStyle w:val="Heading4"/>
        <w:spacing w:after="0" w:line="242" w:lineRule="auto"/>
        <w:sectPr>
          <w:pgSz w:w="11910" w:h="16840"/>
          <w:pgMar w:header="0" w:footer="970" w:top="1040" w:bottom="1220" w:left="1417" w:right="283"/>
        </w:sectPr>
      </w:pPr>
    </w:p>
    <w:p>
      <w:pPr>
        <w:pStyle w:val="Heading3"/>
        <w:spacing w:before="72"/>
        <w:ind w:left="5431"/>
        <w:jc w:val="left"/>
      </w:pPr>
      <w:r>
        <w:rPr/>
        <w:t>Приложение</w:t>
      </w:r>
      <w:r>
        <w:rPr>
          <w:spacing w:val="-6"/>
        </w:rPr>
        <w:t> </w:t>
      </w:r>
      <w:r>
        <w:rPr/>
        <w:t>17.</w:t>
      </w:r>
      <w:r>
        <w:rPr>
          <w:spacing w:val="-3"/>
        </w:rPr>
        <w:t> </w:t>
      </w:r>
      <w:r>
        <w:rPr/>
        <w:t>Бланк</w:t>
      </w:r>
      <w:r>
        <w:rPr>
          <w:spacing w:val="-2"/>
        </w:rPr>
        <w:t> методики</w:t>
      </w:r>
    </w:p>
    <w:p>
      <w:pPr>
        <w:pStyle w:val="BodyText"/>
        <w:spacing w:before="109"/>
        <w:ind w:left="0" w:right="0" w:firstLine="0"/>
        <w:jc w:val="left"/>
        <w:rPr>
          <w:b/>
          <w:i/>
          <w:sz w:val="28"/>
        </w:rPr>
      </w:pPr>
    </w:p>
    <w:p>
      <w:pPr>
        <w:spacing w:before="0"/>
        <w:ind w:left="1005" w:right="0" w:firstLine="0"/>
        <w:jc w:val="left"/>
        <w:rPr>
          <w:sz w:val="24"/>
        </w:rPr>
      </w:pPr>
      <w:r>
        <w:rPr>
          <w:b/>
          <w:sz w:val="24"/>
        </w:rPr>
        <w:t>Кем</w:t>
      </w:r>
      <w:r>
        <w:rPr>
          <w:b/>
          <w:spacing w:val="-6"/>
          <w:sz w:val="24"/>
        </w:rPr>
        <w:t> </w:t>
      </w:r>
      <w:r>
        <w:rPr>
          <w:b/>
          <w:sz w:val="24"/>
        </w:rPr>
        <w:t>ты</w:t>
      </w:r>
      <w:r>
        <w:rPr>
          <w:b/>
          <w:spacing w:val="-3"/>
          <w:sz w:val="24"/>
        </w:rPr>
        <w:t> </w:t>
      </w:r>
      <w:r>
        <w:rPr>
          <w:b/>
          <w:sz w:val="24"/>
        </w:rPr>
        <w:t>себя</w:t>
      </w:r>
      <w:r>
        <w:rPr>
          <w:b/>
          <w:spacing w:val="-2"/>
          <w:sz w:val="24"/>
        </w:rPr>
        <w:t> </w:t>
      </w:r>
      <w:r>
        <w:rPr>
          <w:b/>
          <w:sz w:val="24"/>
        </w:rPr>
        <w:t>считаешь?</w:t>
      </w:r>
      <w:r>
        <w:rPr>
          <w:b/>
          <w:spacing w:val="-1"/>
          <w:sz w:val="24"/>
        </w:rPr>
        <w:t> </w:t>
      </w:r>
      <w:r>
        <w:rPr>
          <w:sz w:val="24"/>
        </w:rPr>
        <w:t>(</w:t>
      </w:r>
      <w:r>
        <w:rPr>
          <w:i/>
          <w:sz w:val="24"/>
        </w:rPr>
        <w:t>выбери</w:t>
      </w:r>
      <w:r>
        <w:rPr>
          <w:i/>
          <w:spacing w:val="-2"/>
          <w:sz w:val="24"/>
        </w:rPr>
        <w:t> </w:t>
      </w:r>
      <w:r>
        <w:rPr>
          <w:i/>
          <w:sz w:val="24"/>
        </w:rPr>
        <w:t>один</w:t>
      </w:r>
      <w:r>
        <w:rPr>
          <w:i/>
          <w:spacing w:val="-3"/>
          <w:sz w:val="24"/>
        </w:rPr>
        <w:t> </w:t>
      </w:r>
      <w:r>
        <w:rPr>
          <w:i/>
          <w:sz w:val="24"/>
        </w:rPr>
        <w:t>вариант</w:t>
      </w:r>
      <w:r>
        <w:rPr>
          <w:i/>
          <w:spacing w:val="-3"/>
          <w:sz w:val="24"/>
        </w:rPr>
        <w:t> </w:t>
      </w:r>
      <w:r>
        <w:rPr>
          <w:i/>
          <w:spacing w:val="-2"/>
          <w:sz w:val="24"/>
        </w:rPr>
        <w:t>ответа</w:t>
      </w:r>
      <w:r>
        <w:rPr>
          <w:spacing w:val="-2"/>
          <w:sz w:val="24"/>
        </w:rPr>
        <w:t>)</w:t>
      </w:r>
    </w:p>
    <w:p>
      <w:pPr>
        <w:numPr>
          <w:ilvl w:val="0"/>
          <w:numId w:val="32"/>
        </w:numPr>
        <w:tabs>
          <w:tab w:pos="1004" w:val="left" w:leader="none"/>
        </w:tabs>
        <w:spacing w:line="287" w:lineRule="exact" w:before="0"/>
        <w:ind w:left="1004" w:right="0" w:hanging="359"/>
        <w:jc w:val="left"/>
        <w:rPr>
          <w:sz w:val="24"/>
        </w:rPr>
      </w:pPr>
      <w:r>
        <w:rPr>
          <w:sz w:val="24"/>
        </w:rPr>
        <w:t>Человеком</w:t>
      </w:r>
      <w:r>
        <w:rPr>
          <w:spacing w:val="-5"/>
          <w:sz w:val="24"/>
        </w:rPr>
        <w:t> </w:t>
      </w:r>
      <w:r>
        <w:rPr>
          <w:sz w:val="24"/>
        </w:rPr>
        <w:t>из</w:t>
      </w:r>
      <w:r>
        <w:rPr>
          <w:spacing w:val="-2"/>
          <w:sz w:val="24"/>
        </w:rPr>
        <w:t> </w:t>
      </w:r>
      <w:r>
        <w:rPr>
          <w:sz w:val="24"/>
        </w:rPr>
        <w:t>страны,</w:t>
      </w:r>
      <w:r>
        <w:rPr>
          <w:spacing w:val="-2"/>
          <w:sz w:val="24"/>
        </w:rPr>
        <w:t> </w:t>
      </w:r>
      <w:r>
        <w:rPr>
          <w:sz w:val="24"/>
        </w:rPr>
        <w:t>откуда</w:t>
      </w:r>
      <w:r>
        <w:rPr>
          <w:spacing w:val="-3"/>
          <w:sz w:val="24"/>
        </w:rPr>
        <w:t> </w:t>
      </w:r>
      <w:r>
        <w:rPr>
          <w:sz w:val="24"/>
        </w:rPr>
        <w:t>родом</w:t>
      </w:r>
      <w:r>
        <w:rPr>
          <w:spacing w:val="-2"/>
          <w:sz w:val="24"/>
        </w:rPr>
        <w:t> </w:t>
      </w:r>
      <w:r>
        <w:rPr>
          <w:sz w:val="24"/>
        </w:rPr>
        <w:t>моя</w:t>
      </w:r>
      <w:r>
        <w:rPr>
          <w:spacing w:val="-2"/>
          <w:sz w:val="24"/>
        </w:rPr>
        <w:t> </w:t>
      </w:r>
      <w:r>
        <w:rPr>
          <w:spacing w:val="-4"/>
          <w:sz w:val="24"/>
        </w:rPr>
        <w:t>семья</w:t>
      </w:r>
    </w:p>
    <w:p>
      <w:pPr>
        <w:numPr>
          <w:ilvl w:val="0"/>
          <w:numId w:val="32"/>
        </w:numPr>
        <w:tabs>
          <w:tab w:pos="1004" w:val="left" w:leader="none"/>
        </w:tabs>
        <w:spacing w:line="281" w:lineRule="exact" w:before="0"/>
        <w:ind w:left="1004" w:right="0" w:hanging="359"/>
        <w:jc w:val="left"/>
        <w:rPr>
          <w:sz w:val="24"/>
        </w:rPr>
      </w:pPr>
      <w:r>
        <w:rPr>
          <w:sz w:val="24"/>
        </w:rPr>
        <w:t>В</w:t>
      </w:r>
      <w:r>
        <w:rPr>
          <w:spacing w:val="-5"/>
          <w:sz w:val="24"/>
        </w:rPr>
        <w:t> </w:t>
      </w:r>
      <w:r>
        <w:rPr>
          <w:sz w:val="24"/>
        </w:rPr>
        <w:t>большей</w:t>
      </w:r>
      <w:r>
        <w:rPr>
          <w:spacing w:val="-2"/>
          <w:sz w:val="24"/>
        </w:rPr>
        <w:t> </w:t>
      </w:r>
      <w:r>
        <w:rPr>
          <w:sz w:val="24"/>
        </w:rPr>
        <w:t>степени</w:t>
      </w:r>
      <w:r>
        <w:rPr>
          <w:spacing w:val="-2"/>
          <w:sz w:val="24"/>
        </w:rPr>
        <w:t> </w:t>
      </w:r>
      <w:r>
        <w:rPr>
          <w:sz w:val="24"/>
        </w:rPr>
        <w:t>человеком</w:t>
      </w:r>
      <w:r>
        <w:rPr>
          <w:spacing w:val="-3"/>
          <w:sz w:val="24"/>
        </w:rPr>
        <w:t> </w:t>
      </w:r>
      <w:r>
        <w:rPr>
          <w:sz w:val="24"/>
        </w:rPr>
        <w:t>из</w:t>
      </w:r>
      <w:r>
        <w:rPr>
          <w:spacing w:val="-2"/>
          <w:sz w:val="24"/>
        </w:rPr>
        <w:t> </w:t>
      </w:r>
      <w:r>
        <w:rPr>
          <w:sz w:val="24"/>
        </w:rPr>
        <w:t>страны,</w:t>
      </w:r>
      <w:r>
        <w:rPr>
          <w:spacing w:val="-2"/>
          <w:sz w:val="24"/>
        </w:rPr>
        <w:t> </w:t>
      </w:r>
      <w:r>
        <w:rPr>
          <w:sz w:val="24"/>
        </w:rPr>
        <w:t>откуда</w:t>
      </w:r>
      <w:r>
        <w:rPr>
          <w:spacing w:val="-3"/>
          <w:sz w:val="24"/>
        </w:rPr>
        <w:t> </w:t>
      </w:r>
      <w:r>
        <w:rPr>
          <w:sz w:val="24"/>
        </w:rPr>
        <w:t>родом</w:t>
      </w:r>
      <w:r>
        <w:rPr>
          <w:spacing w:val="-2"/>
          <w:sz w:val="24"/>
        </w:rPr>
        <w:t> </w:t>
      </w:r>
      <w:r>
        <w:rPr>
          <w:sz w:val="24"/>
        </w:rPr>
        <w:t>моя</w:t>
      </w:r>
      <w:r>
        <w:rPr>
          <w:spacing w:val="-2"/>
          <w:sz w:val="24"/>
        </w:rPr>
        <w:t> семья</w:t>
      </w:r>
    </w:p>
    <w:p>
      <w:pPr>
        <w:numPr>
          <w:ilvl w:val="0"/>
          <w:numId w:val="32"/>
        </w:numPr>
        <w:tabs>
          <w:tab w:pos="1004" w:val="left" w:leader="none"/>
        </w:tabs>
        <w:spacing w:line="281" w:lineRule="exact" w:before="0"/>
        <w:ind w:left="1004" w:right="0" w:hanging="359"/>
        <w:jc w:val="left"/>
        <w:rPr>
          <w:sz w:val="24"/>
        </w:rPr>
      </w:pPr>
      <w:r>
        <w:rPr>
          <w:sz w:val="24"/>
        </w:rPr>
        <w:t>В</w:t>
      </w:r>
      <w:r>
        <w:rPr>
          <w:spacing w:val="-5"/>
          <w:sz w:val="24"/>
        </w:rPr>
        <w:t> </w:t>
      </w:r>
      <w:r>
        <w:rPr>
          <w:sz w:val="24"/>
        </w:rPr>
        <w:t>большей</w:t>
      </w:r>
      <w:r>
        <w:rPr>
          <w:spacing w:val="-2"/>
          <w:sz w:val="24"/>
        </w:rPr>
        <w:t> </w:t>
      </w:r>
      <w:r>
        <w:rPr>
          <w:sz w:val="24"/>
        </w:rPr>
        <w:t>степени</w:t>
      </w:r>
      <w:r>
        <w:rPr>
          <w:spacing w:val="-2"/>
          <w:sz w:val="24"/>
        </w:rPr>
        <w:t> россиянином/русским</w:t>
      </w:r>
    </w:p>
    <w:p>
      <w:pPr>
        <w:numPr>
          <w:ilvl w:val="0"/>
          <w:numId w:val="32"/>
        </w:numPr>
        <w:tabs>
          <w:tab w:pos="1004" w:val="left" w:leader="none"/>
        </w:tabs>
        <w:spacing w:line="281" w:lineRule="exact" w:before="0"/>
        <w:ind w:left="1004" w:right="0" w:hanging="359"/>
        <w:jc w:val="left"/>
        <w:rPr>
          <w:sz w:val="24"/>
        </w:rPr>
      </w:pPr>
      <w:r>
        <w:rPr>
          <w:spacing w:val="-2"/>
          <w:sz w:val="24"/>
        </w:rPr>
        <w:t>Россиянином/русским</w:t>
      </w:r>
    </w:p>
    <w:p>
      <w:pPr>
        <w:numPr>
          <w:ilvl w:val="0"/>
          <w:numId w:val="32"/>
        </w:numPr>
        <w:tabs>
          <w:tab w:pos="1004" w:val="left" w:leader="none"/>
        </w:tabs>
        <w:spacing w:line="287" w:lineRule="exact" w:before="0"/>
        <w:ind w:left="1004" w:right="0" w:hanging="359"/>
        <w:jc w:val="left"/>
        <w:rPr>
          <w:sz w:val="24"/>
        </w:rPr>
      </w:pPr>
      <w:r>
        <w:rPr>
          <w:sz w:val="24"/>
        </w:rPr>
        <w:t>И</w:t>
      </w:r>
      <w:r>
        <w:rPr>
          <w:spacing w:val="-3"/>
          <w:sz w:val="24"/>
        </w:rPr>
        <w:t> </w:t>
      </w:r>
      <w:r>
        <w:rPr>
          <w:sz w:val="24"/>
        </w:rPr>
        <w:t>тем</w:t>
      </w:r>
      <w:r>
        <w:rPr>
          <w:spacing w:val="-2"/>
          <w:sz w:val="24"/>
        </w:rPr>
        <w:t> </w:t>
      </w:r>
      <w:r>
        <w:rPr>
          <w:sz w:val="24"/>
        </w:rPr>
        <w:t>и</w:t>
      </w:r>
      <w:r>
        <w:rPr>
          <w:spacing w:val="-1"/>
          <w:sz w:val="24"/>
        </w:rPr>
        <w:t> </w:t>
      </w:r>
      <w:r>
        <w:rPr>
          <w:sz w:val="24"/>
        </w:rPr>
        <w:t>другим</w:t>
      </w:r>
      <w:r>
        <w:rPr>
          <w:spacing w:val="-2"/>
          <w:sz w:val="24"/>
        </w:rPr>
        <w:t> </w:t>
      </w:r>
      <w:r>
        <w:rPr>
          <w:sz w:val="24"/>
        </w:rPr>
        <w:t>в</w:t>
      </w:r>
      <w:r>
        <w:rPr>
          <w:spacing w:val="-2"/>
          <w:sz w:val="24"/>
        </w:rPr>
        <w:t> </w:t>
      </w:r>
      <w:r>
        <w:rPr>
          <w:sz w:val="24"/>
        </w:rPr>
        <w:t>равной</w:t>
      </w:r>
      <w:r>
        <w:rPr>
          <w:spacing w:val="-1"/>
          <w:sz w:val="24"/>
        </w:rPr>
        <w:t> </w:t>
      </w:r>
      <w:r>
        <w:rPr>
          <w:spacing w:val="-2"/>
          <w:sz w:val="24"/>
        </w:rPr>
        <w:t>степени</w:t>
      </w:r>
    </w:p>
    <w:p>
      <w:pPr>
        <w:tabs>
          <w:tab w:pos="671" w:val="left" w:leader="none"/>
          <w:tab w:pos="1774" w:val="left" w:leader="none"/>
          <w:tab w:pos="2750" w:val="left" w:leader="none"/>
          <w:tab w:pos="3662" w:val="left" w:leader="none"/>
          <w:tab w:pos="4777" w:val="left" w:leader="none"/>
          <w:tab w:pos="5816" w:val="left" w:leader="none"/>
          <w:tab w:pos="6159" w:val="left" w:leader="none"/>
          <w:tab w:pos="7425" w:val="left" w:leader="none"/>
          <w:tab w:pos="8584" w:val="left" w:leader="none"/>
          <w:tab w:pos="8943" w:val="left" w:leader="none"/>
        </w:tabs>
        <w:spacing w:line="242" w:lineRule="auto" w:before="228"/>
        <w:ind w:left="285" w:right="569" w:firstLine="0"/>
        <w:jc w:val="left"/>
        <w:rPr>
          <w:i/>
          <w:sz w:val="24"/>
        </w:rPr>
      </w:pPr>
      <w:r>
        <w:rPr>
          <w:i/>
          <w:spacing w:val="-10"/>
          <w:sz w:val="24"/>
        </w:rPr>
        <w:t>В</w:t>
      </w:r>
      <w:r>
        <w:rPr>
          <w:i/>
          <w:sz w:val="24"/>
        </w:rPr>
        <w:tab/>
      </w:r>
      <w:r>
        <w:rPr>
          <w:i/>
          <w:spacing w:val="-2"/>
          <w:sz w:val="24"/>
        </w:rPr>
        <w:t>таблице</w:t>
      </w:r>
      <w:r>
        <w:rPr>
          <w:i/>
          <w:sz w:val="24"/>
        </w:rPr>
        <w:tab/>
      </w:r>
      <w:r>
        <w:rPr>
          <w:i/>
          <w:spacing w:val="-2"/>
          <w:sz w:val="24"/>
        </w:rPr>
        <w:t>выбери</w:t>
      </w:r>
      <w:r>
        <w:rPr>
          <w:i/>
          <w:sz w:val="24"/>
        </w:rPr>
        <w:tab/>
      </w:r>
      <w:r>
        <w:rPr>
          <w:i/>
          <w:spacing w:val="-4"/>
          <w:sz w:val="24"/>
        </w:rPr>
        <w:t>ОДИН</w:t>
      </w:r>
      <w:r>
        <w:rPr>
          <w:i/>
          <w:sz w:val="24"/>
        </w:rPr>
        <w:tab/>
      </w:r>
      <w:r>
        <w:rPr>
          <w:i/>
          <w:spacing w:val="-2"/>
          <w:sz w:val="24"/>
        </w:rPr>
        <w:t>вариант</w:t>
      </w:r>
      <w:r>
        <w:rPr>
          <w:i/>
          <w:sz w:val="24"/>
        </w:rPr>
        <w:tab/>
      </w:r>
      <w:r>
        <w:rPr>
          <w:i/>
          <w:spacing w:val="-2"/>
          <w:sz w:val="24"/>
        </w:rPr>
        <w:t>ответа</w:t>
      </w:r>
      <w:r>
        <w:rPr>
          <w:i/>
          <w:sz w:val="24"/>
        </w:rPr>
        <w:tab/>
      </w:r>
      <w:r>
        <w:rPr>
          <w:i/>
          <w:spacing w:val="-10"/>
          <w:sz w:val="24"/>
        </w:rPr>
        <w:t>в</w:t>
      </w:r>
      <w:r>
        <w:rPr>
          <w:i/>
          <w:sz w:val="24"/>
        </w:rPr>
        <w:tab/>
      </w:r>
      <w:r>
        <w:rPr>
          <w:i/>
          <w:spacing w:val="-2"/>
          <w:sz w:val="24"/>
        </w:rPr>
        <w:t>КАЖДОЙ</w:t>
      </w:r>
      <w:r>
        <w:rPr>
          <w:i/>
          <w:sz w:val="24"/>
        </w:rPr>
        <w:tab/>
      </w:r>
      <w:r>
        <w:rPr>
          <w:i/>
          <w:spacing w:val="-2"/>
          <w:sz w:val="24"/>
        </w:rPr>
        <w:t>СТРОКЕ</w:t>
      </w:r>
      <w:r>
        <w:rPr>
          <w:i/>
          <w:sz w:val="24"/>
        </w:rPr>
        <w:tab/>
      </w:r>
      <w:r>
        <w:rPr>
          <w:i/>
          <w:spacing w:val="-10"/>
          <w:sz w:val="24"/>
        </w:rPr>
        <w:t>и</w:t>
      </w:r>
      <w:r>
        <w:rPr>
          <w:i/>
          <w:sz w:val="24"/>
        </w:rPr>
        <w:tab/>
      </w:r>
      <w:r>
        <w:rPr>
          <w:i/>
          <w:spacing w:val="-2"/>
          <w:sz w:val="24"/>
        </w:rPr>
        <w:t>обведи </w:t>
      </w:r>
      <w:r>
        <w:rPr>
          <w:i/>
          <w:sz w:val="24"/>
        </w:rPr>
        <w:t>соответствующую цифру.</w:t>
      </w:r>
    </w:p>
    <w:p>
      <w:pPr>
        <w:pStyle w:val="BodyText"/>
        <w:ind w:left="0" w:right="0" w:firstLine="0"/>
        <w:jc w:val="left"/>
        <w:rPr>
          <w:i/>
        </w:rPr>
      </w:pPr>
    </w:p>
    <w:p>
      <w:pPr>
        <w:pStyle w:val="BodyText"/>
        <w:ind w:left="0" w:right="0" w:firstLine="0"/>
        <w:jc w:val="left"/>
        <w:rPr>
          <w:i/>
        </w:rPr>
      </w:pPr>
    </w:p>
    <w:p>
      <w:pPr>
        <w:pStyle w:val="BodyText"/>
        <w:spacing w:before="28"/>
        <w:ind w:left="0" w:right="0" w:firstLine="0"/>
        <w:jc w:val="left"/>
        <w:rPr>
          <w:i/>
        </w:rPr>
      </w:pPr>
    </w:p>
    <w:tbl>
      <w:tblPr>
        <w:tblW w:w="0" w:type="auto"/>
        <w:jc w:val="left"/>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024"/>
        <w:gridCol w:w="1202"/>
        <w:gridCol w:w="1132"/>
        <w:gridCol w:w="1274"/>
        <w:gridCol w:w="1134"/>
        <w:gridCol w:w="1132"/>
      </w:tblGrid>
      <w:tr>
        <w:trPr>
          <w:trHeight w:val="1468" w:hRule="atLeast"/>
        </w:trPr>
        <w:tc>
          <w:tcPr>
            <w:tcW w:w="847" w:type="dxa"/>
          </w:tcPr>
          <w:p>
            <w:pPr>
              <w:pStyle w:val="TableParagraph"/>
              <w:spacing w:line="276" w:lineRule="auto"/>
              <w:ind w:left="107" w:right="378"/>
              <w:rPr>
                <w:b/>
                <w:sz w:val="24"/>
              </w:rPr>
            </w:pPr>
            <w:r>
              <w:rPr>
                <w:b/>
                <w:spacing w:val="-10"/>
                <w:sz w:val="24"/>
              </w:rPr>
              <w:t>№ </w:t>
            </w:r>
            <w:r>
              <w:rPr>
                <w:b/>
                <w:spacing w:val="-4"/>
                <w:sz w:val="24"/>
              </w:rPr>
              <w:t>п/п</w:t>
            </w:r>
          </w:p>
        </w:tc>
        <w:tc>
          <w:tcPr>
            <w:tcW w:w="3024" w:type="dxa"/>
          </w:tcPr>
          <w:p>
            <w:pPr>
              <w:pStyle w:val="TableParagraph"/>
              <w:spacing w:line="275" w:lineRule="exact"/>
              <w:ind w:left="105"/>
              <w:rPr>
                <w:b/>
                <w:sz w:val="24"/>
              </w:rPr>
            </w:pPr>
            <w:r>
              <w:rPr>
                <w:b/>
                <w:spacing w:val="-2"/>
                <w:sz w:val="24"/>
              </w:rPr>
              <w:t>Утверждение</w:t>
            </w:r>
          </w:p>
        </w:tc>
        <w:tc>
          <w:tcPr>
            <w:tcW w:w="1202" w:type="dxa"/>
          </w:tcPr>
          <w:p>
            <w:pPr>
              <w:pStyle w:val="TableParagraph"/>
              <w:spacing w:line="276" w:lineRule="auto"/>
              <w:ind w:left="106" w:right="166"/>
              <w:rPr>
                <w:i/>
                <w:sz w:val="24"/>
              </w:rPr>
            </w:pPr>
            <w:r>
              <w:rPr>
                <w:i/>
                <w:spacing w:val="-2"/>
                <w:sz w:val="24"/>
              </w:rPr>
              <w:t>Полност </w:t>
            </w:r>
            <w:r>
              <w:rPr>
                <w:i/>
                <w:sz w:val="24"/>
              </w:rPr>
              <w:t>ью не </w:t>
            </w:r>
            <w:r>
              <w:rPr>
                <w:i/>
                <w:spacing w:val="-2"/>
                <w:sz w:val="24"/>
              </w:rPr>
              <w:t>согласен</w:t>
            </w:r>
          </w:p>
        </w:tc>
        <w:tc>
          <w:tcPr>
            <w:tcW w:w="1132" w:type="dxa"/>
          </w:tcPr>
          <w:p>
            <w:pPr>
              <w:pStyle w:val="TableParagraph"/>
              <w:spacing w:line="276" w:lineRule="auto"/>
              <w:ind w:left="106" w:right="282"/>
              <w:rPr>
                <w:i/>
                <w:sz w:val="24"/>
              </w:rPr>
            </w:pPr>
            <w:r>
              <w:rPr>
                <w:i/>
                <w:spacing w:val="-2"/>
                <w:sz w:val="24"/>
              </w:rPr>
              <w:t>Скорее </w:t>
            </w:r>
            <w:r>
              <w:rPr>
                <w:i/>
                <w:spacing w:val="-6"/>
                <w:sz w:val="24"/>
              </w:rPr>
              <w:t>не</w:t>
            </w:r>
          </w:p>
          <w:p>
            <w:pPr>
              <w:pStyle w:val="TableParagraph"/>
              <w:spacing w:line="275" w:lineRule="exact"/>
              <w:ind w:left="106"/>
              <w:rPr>
                <w:i/>
                <w:sz w:val="24"/>
              </w:rPr>
            </w:pPr>
            <w:r>
              <w:rPr>
                <w:i/>
                <w:spacing w:val="-2"/>
                <w:sz w:val="24"/>
              </w:rPr>
              <w:t>согласен</w:t>
            </w:r>
          </w:p>
        </w:tc>
        <w:tc>
          <w:tcPr>
            <w:tcW w:w="1274" w:type="dxa"/>
          </w:tcPr>
          <w:p>
            <w:pPr>
              <w:pStyle w:val="TableParagraph"/>
              <w:spacing w:line="276" w:lineRule="auto"/>
              <w:ind w:left="110" w:right="198"/>
              <w:jc w:val="both"/>
              <w:rPr>
                <w:i/>
                <w:sz w:val="24"/>
              </w:rPr>
            </w:pPr>
            <w:r>
              <w:rPr>
                <w:i/>
                <w:sz w:val="24"/>
              </w:rPr>
              <w:t>В</w:t>
            </w:r>
            <w:r>
              <w:rPr>
                <w:i/>
                <w:spacing w:val="-15"/>
                <w:sz w:val="24"/>
              </w:rPr>
              <w:t> </w:t>
            </w:r>
            <w:r>
              <w:rPr>
                <w:i/>
                <w:sz w:val="24"/>
              </w:rPr>
              <w:t>чем-</w:t>
            </w:r>
            <w:r>
              <w:rPr>
                <w:i/>
                <w:sz w:val="24"/>
              </w:rPr>
              <w:t>то </w:t>
            </w:r>
            <w:r>
              <w:rPr>
                <w:i/>
                <w:spacing w:val="-2"/>
                <w:sz w:val="24"/>
              </w:rPr>
              <w:t>согласен, </w:t>
            </w:r>
            <w:r>
              <w:rPr>
                <w:i/>
                <w:sz w:val="24"/>
              </w:rPr>
              <w:t>в чем-то </w:t>
            </w:r>
            <w:r>
              <w:rPr>
                <w:i/>
                <w:spacing w:val="-4"/>
                <w:sz w:val="24"/>
              </w:rPr>
              <w:t>нет</w:t>
            </w:r>
          </w:p>
        </w:tc>
        <w:tc>
          <w:tcPr>
            <w:tcW w:w="1134" w:type="dxa"/>
          </w:tcPr>
          <w:p>
            <w:pPr>
              <w:pStyle w:val="TableParagraph"/>
              <w:spacing w:line="276" w:lineRule="auto"/>
              <w:ind w:left="111" w:right="132"/>
              <w:rPr>
                <w:i/>
                <w:sz w:val="24"/>
              </w:rPr>
            </w:pPr>
            <w:r>
              <w:rPr>
                <w:i/>
                <w:spacing w:val="-2"/>
                <w:sz w:val="24"/>
              </w:rPr>
              <w:t>Скорее согласен</w:t>
            </w:r>
          </w:p>
        </w:tc>
        <w:tc>
          <w:tcPr>
            <w:tcW w:w="1132" w:type="dxa"/>
          </w:tcPr>
          <w:p>
            <w:pPr>
              <w:pStyle w:val="TableParagraph"/>
              <w:spacing w:line="276" w:lineRule="auto"/>
              <w:ind w:left="109" w:right="90"/>
              <w:rPr>
                <w:i/>
                <w:sz w:val="24"/>
              </w:rPr>
            </w:pPr>
            <w:r>
              <w:rPr>
                <w:i/>
                <w:spacing w:val="-2"/>
                <w:sz w:val="24"/>
              </w:rPr>
              <w:t>Полност </w:t>
            </w:r>
            <w:r>
              <w:rPr>
                <w:i/>
                <w:spacing w:val="-6"/>
                <w:sz w:val="24"/>
              </w:rPr>
              <w:t>ью</w:t>
            </w:r>
          </w:p>
          <w:p>
            <w:pPr>
              <w:pStyle w:val="TableParagraph"/>
              <w:spacing w:line="275" w:lineRule="exact"/>
              <w:ind w:left="109"/>
              <w:rPr>
                <w:i/>
                <w:sz w:val="24"/>
              </w:rPr>
            </w:pPr>
            <w:r>
              <w:rPr>
                <w:i/>
                <w:spacing w:val="-2"/>
                <w:sz w:val="24"/>
              </w:rPr>
              <w:t>согласен</w:t>
            </w:r>
          </w:p>
        </w:tc>
      </w:tr>
      <w:tr>
        <w:trPr>
          <w:trHeight w:val="834" w:hRule="atLeast"/>
        </w:trPr>
        <w:tc>
          <w:tcPr>
            <w:tcW w:w="847" w:type="dxa"/>
          </w:tcPr>
          <w:p>
            <w:pPr>
              <w:pStyle w:val="TableParagraph"/>
              <w:spacing w:line="270" w:lineRule="exact"/>
              <w:ind w:left="107"/>
              <w:rPr>
                <w:sz w:val="24"/>
              </w:rPr>
            </w:pPr>
            <w:r>
              <w:rPr>
                <w:spacing w:val="-10"/>
                <w:sz w:val="24"/>
              </w:rPr>
              <w:t>1</w:t>
            </w:r>
          </w:p>
        </w:tc>
        <w:tc>
          <w:tcPr>
            <w:tcW w:w="3024" w:type="dxa"/>
          </w:tcPr>
          <w:p>
            <w:pPr>
              <w:pStyle w:val="TableParagraph"/>
              <w:spacing w:line="278" w:lineRule="auto"/>
              <w:ind w:left="105" w:right="216"/>
              <w:rPr>
                <w:sz w:val="24"/>
              </w:rPr>
            </w:pPr>
            <w:r>
              <w:rPr>
                <w:sz w:val="24"/>
              </w:rPr>
              <w:t>Я</w:t>
            </w:r>
            <w:r>
              <w:rPr>
                <w:spacing w:val="-10"/>
                <w:sz w:val="24"/>
              </w:rPr>
              <w:t> </w:t>
            </w:r>
            <w:r>
              <w:rPr>
                <w:sz w:val="24"/>
              </w:rPr>
              <w:t>доволен/льна</w:t>
            </w:r>
            <w:r>
              <w:rPr>
                <w:spacing w:val="-11"/>
                <w:sz w:val="24"/>
              </w:rPr>
              <w:t> </w:t>
            </w:r>
            <w:r>
              <w:rPr>
                <w:sz w:val="24"/>
              </w:rPr>
              <w:t>тем,</w:t>
            </w:r>
            <w:r>
              <w:rPr>
                <w:spacing w:val="-10"/>
                <w:sz w:val="24"/>
              </w:rPr>
              <w:t> </w:t>
            </w:r>
            <w:r>
              <w:rPr>
                <w:sz w:val="24"/>
              </w:rPr>
              <w:t>что</w:t>
            </w:r>
            <w:r>
              <w:rPr>
                <w:spacing w:val="-10"/>
                <w:sz w:val="24"/>
              </w:rPr>
              <w:t> </w:t>
            </w:r>
            <w:r>
              <w:rPr>
                <w:sz w:val="24"/>
              </w:rPr>
              <w:t>я в России.</w:t>
            </w:r>
          </w:p>
        </w:tc>
        <w:tc>
          <w:tcPr>
            <w:tcW w:w="1202" w:type="dxa"/>
          </w:tcPr>
          <w:p>
            <w:pPr>
              <w:pStyle w:val="TableParagraph"/>
              <w:spacing w:before="155"/>
              <w:ind w:left="106"/>
              <w:rPr>
                <w:sz w:val="24"/>
              </w:rPr>
            </w:pPr>
            <w:r>
              <w:rPr>
                <w:spacing w:val="-10"/>
                <w:sz w:val="24"/>
              </w:rPr>
              <w:t>1</w:t>
            </w:r>
          </w:p>
        </w:tc>
        <w:tc>
          <w:tcPr>
            <w:tcW w:w="1132" w:type="dxa"/>
          </w:tcPr>
          <w:p>
            <w:pPr>
              <w:pStyle w:val="TableParagraph"/>
              <w:spacing w:before="155"/>
              <w:ind w:left="106"/>
              <w:rPr>
                <w:sz w:val="24"/>
              </w:rPr>
            </w:pPr>
            <w:r>
              <w:rPr>
                <w:spacing w:val="-10"/>
                <w:sz w:val="24"/>
              </w:rPr>
              <w:t>2</w:t>
            </w:r>
          </w:p>
        </w:tc>
        <w:tc>
          <w:tcPr>
            <w:tcW w:w="1274" w:type="dxa"/>
          </w:tcPr>
          <w:p>
            <w:pPr>
              <w:pStyle w:val="TableParagraph"/>
              <w:spacing w:before="155"/>
              <w:ind w:left="110"/>
              <w:rPr>
                <w:sz w:val="24"/>
              </w:rPr>
            </w:pPr>
            <w:r>
              <w:rPr>
                <w:spacing w:val="-10"/>
                <w:sz w:val="24"/>
              </w:rPr>
              <w:t>3</w:t>
            </w:r>
          </w:p>
        </w:tc>
        <w:tc>
          <w:tcPr>
            <w:tcW w:w="1134" w:type="dxa"/>
          </w:tcPr>
          <w:p>
            <w:pPr>
              <w:pStyle w:val="TableParagraph"/>
              <w:spacing w:before="155"/>
              <w:ind w:left="111"/>
              <w:rPr>
                <w:sz w:val="24"/>
              </w:rPr>
            </w:pPr>
            <w:r>
              <w:rPr>
                <w:spacing w:val="-10"/>
                <w:sz w:val="24"/>
              </w:rPr>
              <w:t>4</w:t>
            </w:r>
          </w:p>
        </w:tc>
        <w:tc>
          <w:tcPr>
            <w:tcW w:w="1132" w:type="dxa"/>
          </w:tcPr>
          <w:p>
            <w:pPr>
              <w:pStyle w:val="TableParagraph"/>
              <w:spacing w:before="155"/>
              <w:ind w:left="109"/>
              <w:rPr>
                <w:sz w:val="24"/>
              </w:rPr>
            </w:pPr>
            <w:r>
              <w:rPr>
                <w:spacing w:val="-10"/>
                <w:sz w:val="24"/>
              </w:rPr>
              <w:t>5</w:t>
            </w:r>
          </w:p>
        </w:tc>
      </w:tr>
      <w:tr>
        <w:trPr>
          <w:trHeight w:val="518" w:hRule="atLeast"/>
        </w:trPr>
        <w:tc>
          <w:tcPr>
            <w:tcW w:w="847" w:type="dxa"/>
          </w:tcPr>
          <w:p>
            <w:pPr>
              <w:pStyle w:val="TableParagraph"/>
              <w:spacing w:line="270" w:lineRule="exact"/>
              <w:ind w:left="107"/>
              <w:rPr>
                <w:sz w:val="24"/>
              </w:rPr>
            </w:pPr>
            <w:r>
              <w:rPr>
                <w:spacing w:val="-10"/>
                <w:sz w:val="24"/>
              </w:rPr>
              <w:t>2</w:t>
            </w:r>
          </w:p>
        </w:tc>
        <w:tc>
          <w:tcPr>
            <w:tcW w:w="3024" w:type="dxa"/>
          </w:tcPr>
          <w:p>
            <w:pPr>
              <w:pStyle w:val="TableParagraph"/>
              <w:spacing w:line="270" w:lineRule="exact"/>
              <w:ind w:left="105"/>
              <w:rPr>
                <w:sz w:val="24"/>
              </w:rPr>
            </w:pPr>
            <w:r>
              <w:rPr>
                <w:sz w:val="24"/>
              </w:rPr>
              <w:t>Я</w:t>
            </w:r>
            <w:r>
              <w:rPr>
                <w:spacing w:val="-3"/>
                <w:sz w:val="24"/>
              </w:rPr>
              <w:t> </w:t>
            </w:r>
            <w:r>
              <w:rPr>
                <w:sz w:val="24"/>
              </w:rPr>
              <w:t>рад/а</w:t>
            </w:r>
            <w:r>
              <w:rPr>
                <w:spacing w:val="-1"/>
                <w:sz w:val="24"/>
              </w:rPr>
              <w:t> </w:t>
            </w:r>
            <w:r>
              <w:rPr>
                <w:sz w:val="24"/>
              </w:rPr>
              <w:t>быть</w:t>
            </w:r>
            <w:r>
              <w:rPr>
                <w:spacing w:val="-2"/>
                <w:sz w:val="24"/>
              </w:rPr>
              <w:t> </w:t>
            </w:r>
            <w:r>
              <w:rPr>
                <w:sz w:val="24"/>
              </w:rPr>
              <w:t>в</w:t>
            </w:r>
            <w:r>
              <w:rPr>
                <w:spacing w:val="-1"/>
                <w:sz w:val="24"/>
              </w:rPr>
              <w:t> </w:t>
            </w:r>
            <w:r>
              <w:rPr>
                <w:spacing w:val="-2"/>
                <w:sz w:val="24"/>
              </w:rPr>
              <w:t>России</w:t>
            </w:r>
          </w:p>
        </w:tc>
        <w:tc>
          <w:tcPr>
            <w:tcW w:w="1202" w:type="dxa"/>
          </w:tcPr>
          <w:p>
            <w:pPr>
              <w:pStyle w:val="TableParagraph"/>
              <w:spacing w:line="270" w:lineRule="exact"/>
              <w:ind w:left="106"/>
              <w:rPr>
                <w:sz w:val="24"/>
              </w:rPr>
            </w:pPr>
            <w:r>
              <w:rPr>
                <w:spacing w:val="-10"/>
                <w:sz w:val="24"/>
              </w:rPr>
              <w:t>1</w:t>
            </w:r>
          </w:p>
        </w:tc>
        <w:tc>
          <w:tcPr>
            <w:tcW w:w="1132" w:type="dxa"/>
          </w:tcPr>
          <w:p>
            <w:pPr>
              <w:pStyle w:val="TableParagraph"/>
              <w:spacing w:line="270" w:lineRule="exact"/>
              <w:ind w:left="106"/>
              <w:rPr>
                <w:sz w:val="24"/>
              </w:rPr>
            </w:pPr>
            <w:r>
              <w:rPr>
                <w:spacing w:val="-10"/>
                <w:sz w:val="24"/>
              </w:rPr>
              <w:t>2</w:t>
            </w:r>
          </w:p>
        </w:tc>
        <w:tc>
          <w:tcPr>
            <w:tcW w:w="1274" w:type="dxa"/>
          </w:tcPr>
          <w:p>
            <w:pPr>
              <w:pStyle w:val="TableParagraph"/>
              <w:spacing w:line="270" w:lineRule="exact"/>
              <w:ind w:left="110"/>
              <w:rPr>
                <w:sz w:val="24"/>
              </w:rPr>
            </w:pPr>
            <w:r>
              <w:rPr>
                <w:spacing w:val="-10"/>
                <w:sz w:val="24"/>
              </w:rPr>
              <w:t>3</w:t>
            </w:r>
          </w:p>
        </w:tc>
        <w:tc>
          <w:tcPr>
            <w:tcW w:w="1134" w:type="dxa"/>
          </w:tcPr>
          <w:p>
            <w:pPr>
              <w:pStyle w:val="TableParagraph"/>
              <w:spacing w:line="270" w:lineRule="exact"/>
              <w:ind w:left="111"/>
              <w:rPr>
                <w:sz w:val="24"/>
              </w:rPr>
            </w:pPr>
            <w:r>
              <w:rPr>
                <w:spacing w:val="-10"/>
                <w:sz w:val="24"/>
              </w:rPr>
              <w:t>4</w:t>
            </w:r>
          </w:p>
        </w:tc>
        <w:tc>
          <w:tcPr>
            <w:tcW w:w="1132" w:type="dxa"/>
          </w:tcPr>
          <w:p>
            <w:pPr>
              <w:pStyle w:val="TableParagraph"/>
              <w:spacing w:line="270" w:lineRule="exact"/>
              <w:ind w:left="109"/>
              <w:rPr>
                <w:sz w:val="24"/>
              </w:rPr>
            </w:pPr>
            <w:r>
              <w:rPr>
                <w:spacing w:val="-10"/>
                <w:sz w:val="24"/>
              </w:rPr>
              <w:t>5</w:t>
            </w:r>
          </w:p>
        </w:tc>
      </w:tr>
      <w:tr>
        <w:trPr>
          <w:trHeight w:val="1152" w:hRule="atLeast"/>
        </w:trPr>
        <w:tc>
          <w:tcPr>
            <w:tcW w:w="847" w:type="dxa"/>
          </w:tcPr>
          <w:p>
            <w:pPr>
              <w:pStyle w:val="TableParagraph"/>
              <w:spacing w:line="271" w:lineRule="exact"/>
              <w:ind w:left="107"/>
              <w:rPr>
                <w:sz w:val="24"/>
              </w:rPr>
            </w:pPr>
            <w:r>
              <w:rPr>
                <w:spacing w:val="-10"/>
                <w:sz w:val="24"/>
              </w:rPr>
              <w:t>3</w:t>
            </w:r>
          </w:p>
        </w:tc>
        <w:tc>
          <w:tcPr>
            <w:tcW w:w="3024" w:type="dxa"/>
          </w:tcPr>
          <w:p>
            <w:pPr>
              <w:pStyle w:val="TableParagraph"/>
              <w:spacing w:line="276" w:lineRule="auto"/>
              <w:ind w:left="105" w:right="84"/>
              <w:rPr>
                <w:sz w:val="24"/>
              </w:rPr>
            </w:pPr>
            <w:r>
              <w:rPr>
                <w:sz w:val="24"/>
              </w:rPr>
              <w:t>Меня</w:t>
            </w:r>
            <w:r>
              <w:rPr>
                <w:spacing w:val="-12"/>
                <w:sz w:val="24"/>
              </w:rPr>
              <w:t> </w:t>
            </w:r>
            <w:r>
              <w:rPr>
                <w:sz w:val="24"/>
              </w:rPr>
              <w:t>беспокоит,</w:t>
            </w:r>
            <w:r>
              <w:rPr>
                <w:spacing w:val="-12"/>
                <w:sz w:val="24"/>
              </w:rPr>
              <w:t> </w:t>
            </w:r>
            <w:r>
              <w:rPr>
                <w:sz w:val="24"/>
              </w:rPr>
              <w:t>если</w:t>
            </w:r>
            <w:r>
              <w:rPr>
                <w:spacing w:val="-12"/>
                <w:sz w:val="24"/>
              </w:rPr>
              <w:t> </w:t>
            </w:r>
            <w:r>
              <w:rPr>
                <w:sz w:val="24"/>
              </w:rPr>
              <w:t>кто- то плохо отзывается о </w:t>
            </w:r>
            <w:r>
              <w:rPr>
                <w:spacing w:val="-2"/>
                <w:sz w:val="24"/>
              </w:rPr>
              <w:t>России</w:t>
            </w:r>
          </w:p>
        </w:tc>
        <w:tc>
          <w:tcPr>
            <w:tcW w:w="1202" w:type="dxa"/>
          </w:tcPr>
          <w:p>
            <w:pPr>
              <w:pStyle w:val="TableParagraph"/>
              <w:spacing w:before="35"/>
              <w:rPr>
                <w:i/>
                <w:sz w:val="24"/>
              </w:rPr>
            </w:pPr>
          </w:p>
          <w:p>
            <w:pPr>
              <w:pStyle w:val="TableParagraph"/>
              <w:ind w:left="106"/>
              <w:rPr>
                <w:sz w:val="24"/>
              </w:rPr>
            </w:pPr>
            <w:r>
              <w:rPr>
                <w:spacing w:val="-10"/>
                <w:sz w:val="24"/>
              </w:rPr>
              <w:t>1</w:t>
            </w:r>
          </w:p>
        </w:tc>
        <w:tc>
          <w:tcPr>
            <w:tcW w:w="1132" w:type="dxa"/>
          </w:tcPr>
          <w:p>
            <w:pPr>
              <w:pStyle w:val="TableParagraph"/>
              <w:spacing w:before="35"/>
              <w:rPr>
                <w:i/>
                <w:sz w:val="24"/>
              </w:rPr>
            </w:pPr>
          </w:p>
          <w:p>
            <w:pPr>
              <w:pStyle w:val="TableParagraph"/>
              <w:ind w:left="106"/>
              <w:rPr>
                <w:sz w:val="24"/>
              </w:rPr>
            </w:pPr>
            <w:r>
              <w:rPr>
                <w:spacing w:val="-10"/>
                <w:sz w:val="24"/>
              </w:rPr>
              <w:t>2</w:t>
            </w:r>
          </w:p>
        </w:tc>
        <w:tc>
          <w:tcPr>
            <w:tcW w:w="1274" w:type="dxa"/>
          </w:tcPr>
          <w:p>
            <w:pPr>
              <w:pStyle w:val="TableParagraph"/>
              <w:spacing w:before="35"/>
              <w:rPr>
                <w:i/>
                <w:sz w:val="24"/>
              </w:rPr>
            </w:pPr>
          </w:p>
          <w:p>
            <w:pPr>
              <w:pStyle w:val="TableParagraph"/>
              <w:ind w:left="110"/>
              <w:rPr>
                <w:sz w:val="24"/>
              </w:rPr>
            </w:pPr>
            <w:r>
              <w:rPr>
                <w:spacing w:val="-10"/>
                <w:sz w:val="24"/>
              </w:rPr>
              <w:t>3</w:t>
            </w:r>
          </w:p>
        </w:tc>
        <w:tc>
          <w:tcPr>
            <w:tcW w:w="1134" w:type="dxa"/>
          </w:tcPr>
          <w:p>
            <w:pPr>
              <w:pStyle w:val="TableParagraph"/>
              <w:spacing w:before="35"/>
              <w:rPr>
                <w:i/>
                <w:sz w:val="24"/>
              </w:rPr>
            </w:pPr>
          </w:p>
          <w:p>
            <w:pPr>
              <w:pStyle w:val="TableParagraph"/>
              <w:ind w:left="111"/>
              <w:rPr>
                <w:sz w:val="24"/>
              </w:rPr>
            </w:pPr>
            <w:r>
              <w:rPr>
                <w:spacing w:val="-10"/>
                <w:sz w:val="24"/>
              </w:rPr>
              <w:t>4</w:t>
            </w:r>
          </w:p>
        </w:tc>
        <w:tc>
          <w:tcPr>
            <w:tcW w:w="1132" w:type="dxa"/>
          </w:tcPr>
          <w:p>
            <w:pPr>
              <w:pStyle w:val="TableParagraph"/>
              <w:spacing w:before="35"/>
              <w:rPr>
                <w:i/>
                <w:sz w:val="24"/>
              </w:rPr>
            </w:pPr>
          </w:p>
          <w:p>
            <w:pPr>
              <w:pStyle w:val="TableParagraph"/>
              <w:ind w:left="109"/>
              <w:rPr>
                <w:sz w:val="24"/>
              </w:rPr>
            </w:pPr>
            <w:r>
              <w:rPr>
                <w:spacing w:val="-10"/>
                <w:sz w:val="24"/>
              </w:rPr>
              <w:t>5</w:t>
            </w:r>
          </w:p>
        </w:tc>
      </w:tr>
      <w:tr>
        <w:trPr>
          <w:trHeight w:val="834" w:hRule="atLeast"/>
        </w:trPr>
        <w:tc>
          <w:tcPr>
            <w:tcW w:w="847" w:type="dxa"/>
          </w:tcPr>
          <w:p>
            <w:pPr>
              <w:pStyle w:val="TableParagraph"/>
              <w:spacing w:line="270" w:lineRule="exact"/>
              <w:ind w:left="107"/>
              <w:rPr>
                <w:sz w:val="24"/>
              </w:rPr>
            </w:pPr>
            <w:r>
              <w:rPr>
                <w:spacing w:val="-10"/>
                <w:sz w:val="24"/>
              </w:rPr>
              <w:t>4</w:t>
            </w:r>
          </w:p>
        </w:tc>
        <w:tc>
          <w:tcPr>
            <w:tcW w:w="3024" w:type="dxa"/>
          </w:tcPr>
          <w:p>
            <w:pPr>
              <w:pStyle w:val="TableParagraph"/>
              <w:spacing w:line="278" w:lineRule="auto"/>
              <w:ind w:left="105"/>
              <w:rPr>
                <w:sz w:val="24"/>
              </w:rPr>
            </w:pPr>
            <w:r>
              <w:rPr>
                <w:sz w:val="24"/>
              </w:rPr>
              <w:t>Я</w:t>
            </w:r>
            <w:r>
              <w:rPr>
                <w:spacing w:val="-7"/>
                <w:sz w:val="24"/>
              </w:rPr>
              <w:t> </w:t>
            </w:r>
            <w:r>
              <w:rPr>
                <w:sz w:val="24"/>
              </w:rPr>
              <w:t>ценю</w:t>
            </w:r>
            <w:r>
              <w:rPr>
                <w:spacing w:val="-7"/>
                <w:sz w:val="24"/>
              </w:rPr>
              <w:t> </w:t>
            </w:r>
            <w:r>
              <w:rPr>
                <w:sz w:val="24"/>
              </w:rPr>
              <w:t>то,</w:t>
            </w:r>
            <w:r>
              <w:rPr>
                <w:spacing w:val="-7"/>
                <w:sz w:val="24"/>
              </w:rPr>
              <w:t> </w:t>
            </w:r>
            <w:r>
              <w:rPr>
                <w:sz w:val="24"/>
              </w:rPr>
              <w:t>что</w:t>
            </w:r>
            <w:r>
              <w:rPr>
                <w:spacing w:val="-7"/>
                <w:sz w:val="24"/>
              </w:rPr>
              <w:t> </w:t>
            </w:r>
            <w:r>
              <w:rPr>
                <w:sz w:val="24"/>
              </w:rPr>
              <w:t>я</w:t>
            </w:r>
            <w:r>
              <w:rPr>
                <w:spacing w:val="-7"/>
                <w:sz w:val="24"/>
              </w:rPr>
              <w:t> </w:t>
            </w:r>
            <w:r>
              <w:rPr>
                <w:sz w:val="24"/>
              </w:rPr>
              <w:t>сейчас</w:t>
            </w:r>
            <w:r>
              <w:rPr>
                <w:spacing w:val="-8"/>
                <w:sz w:val="24"/>
              </w:rPr>
              <w:t> </w:t>
            </w:r>
            <w:r>
              <w:rPr>
                <w:sz w:val="24"/>
              </w:rPr>
              <w:t>в </w:t>
            </w:r>
            <w:r>
              <w:rPr>
                <w:spacing w:val="-2"/>
                <w:sz w:val="24"/>
              </w:rPr>
              <w:t>России</w:t>
            </w:r>
          </w:p>
        </w:tc>
        <w:tc>
          <w:tcPr>
            <w:tcW w:w="1202" w:type="dxa"/>
          </w:tcPr>
          <w:p>
            <w:pPr>
              <w:pStyle w:val="TableParagraph"/>
              <w:spacing w:before="155"/>
              <w:ind w:left="106"/>
              <w:rPr>
                <w:sz w:val="24"/>
              </w:rPr>
            </w:pPr>
            <w:r>
              <w:rPr>
                <w:spacing w:val="-10"/>
                <w:sz w:val="24"/>
              </w:rPr>
              <w:t>1</w:t>
            </w:r>
          </w:p>
        </w:tc>
        <w:tc>
          <w:tcPr>
            <w:tcW w:w="1132" w:type="dxa"/>
          </w:tcPr>
          <w:p>
            <w:pPr>
              <w:pStyle w:val="TableParagraph"/>
              <w:spacing w:before="155"/>
              <w:ind w:left="106"/>
              <w:rPr>
                <w:sz w:val="24"/>
              </w:rPr>
            </w:pPr>
            <w:r>
              <w:rPr>
                <w:spacing w:val="-10"/>
                <w:sz w:val="24"/>
              </w:rPr>
              <w:t>2</w:t>
            </w:r>
          </w:p>
        </w:tc>
        <w:tc>
          <w:tcPr>
            <w:tcW w:w="1274" w:type="dxa"/>
          </w:tcPr>
          <w:p>
            <w:pPr>
              <w:pStyle w:val="TableParagraph"/>
              <w:spacing w:before="155"/>
              <w:ind w:left="110"/>
              <w:rPr>
                <w:sz w:val="24"/>
              </w:rPr>
            </w:pPr>
            <w:r>
              <w:rPr>
                <w:spacing w:val="-10"/>
                <w:sz w:val="24"/>
              </w:rPr>
              <w:t>3</w:t>
            </w:r>
          </w:p>
        </w:tc>
        <w:tc>
          <w:tcPr>
            <w:tcW w:w="1134" w:type="dxa"/>
          </w:tcPr>
          <w:p>
            <w:pPr>
              <w:pStyle w:val="TableParagraph"/>
              <w:spacing w:before="155"/>
              <w:ind w:left="111"/>
              <w:rPr>
                <w:sz w:val="24"/>
              </w:rPr>
            </w:pPr>
            <w:r>
              <w:rPr>
                <w:spacing w:val="-10"/>
                <w:sz w:val="24"/>
              </w:rPr>
              <w:t>4</w:t>
            </w:r>
          </w:p>
        </w:tc>
        <w:tc>
          <w:tcPr>
            <w:tcW w:w="1132" w:type="dxa"/>
          </w:tcPr>
          <w:p>
            <w:pPr>
              <w:pStyle w:val="TableParagraph"/>
              <w:spacing w:before="155"/>
              <w:ind w:left="109"/>
              <w:rPr>
                <w:sz w:val="24"/>
              </w:rPr>
            </w:pPr>
            <w:r>
              <w:rPr>
                <w:spacing w:val="-10"/>
                <w:sz w:val="24"/>
              </w:rPr>
              <w:t>5</w:t>
            </w:r>
          </w:p>
        </w:tc>
      </w:tr>
      <w:tr>
        <w:trPr>
          <w:trHeight w:val="834" w:hRule="atLeast"/>
        </w:trPr>
        <w:tc>
          <w:tcPr>
            <w:tcW w:w="847" w:type="dxa"/>
          </w:tcPr>
          <w:p>
            <w:pPr>
              <w:pStyle w:val="TableParagraph"/>
              <w:spacing w:line="270" w:lineRule="exact"/>
              <w:ind w:left="107"/>
              <w:rPr>
                <w:sz w:val="24"/>
              </w:rPr>
            </w:pPr>
            <w:r>
              <w:rPr>
                <w:spacing w:val="-10"/>
                <w:sz w:val="24"/>
              </w:rPr>
              <w:t>5</w:t>
            </w:r>
          </w:p>
        </w:tc>
        <w:tc>
          <w:tcPr>
            <w:tcW w:w="3024" w:type="dxa"/>
          </w:tcPr>
          <w:p>
            <w:pPr>
              <w:pStyle w:val="TableParagraph"/>
              <w:spacing w:line="278" w:lineRule="auto"/>
              <w:ind w:left="105"/>
              <w:rPr>
                <w:sz w:val="24"/>
              </w:rPr>
            </w:pPr>
            <w:r>
              <w:rPr>
                <w:sz w:val="24"/>
              </w:rPr>
              <w:t>Я чувствую сильную привязанность</w:t>
            </w:r>
            <w:r>
              <w:rPr>
                <w:spacing w:val="-15"/>
                <w:sz w:val="24"/>
              </w:rPr>
              <w:t> </w:t>
            </w:r>
            <w:r>
              <w:rPr>
                <w:sz w:val="24"/>
              </w:rPr>
              <w:t>к</w:t>
            </w:r>
            <w:r>
              <w:rPr>
                <w:spacing w:val="-15"/>
                <w:sz w:val="24"/>
              </w:rPr>
              <w:t> </w:t>
            </w:r>
            <w:r>
              <w:rPr>
                <w:sz w:val="24"/>
              </w:rPr>
              <w:t>России</w:t>
            </w:r>
          </w:p>
        </w:tc>
        <w:tc>
          <w:tcPr>
            <w:tcW w:w="1202" w:type="dxa"/>
          </w:tcPr>
          <w:p>
            <w:pPr>
              <w:pStyle w:val="TableParagraph"/>
              <w:spacing w:before="152"/>
              <w:ind w:left="106"/>
              <w:rPr>
                <w:sz w:val="24"/>
              </w:rPr>
            </w:pPr>
            <w:r>
              <w:rPr>
                <w:spacing w:val="-10"/>
                <w:sz w:val="24"/>
              </w:rPr>
              <w:t>1</w:t>
            </w:r>
          </w:p>
        </w:tc>
        <w:tc>
          <w:tcPr>
            <w:tcW w:w="1132" w:type="dxa"/>
          </w:tcPr>
          <w:p>
            <w:pPr>
              <w:pStyle w:val="TableParagraph"/>
              <w:spacing w:before="152"/>
              <w:ind w:left="106"/>
              <w:rPr>
                <w:sz w:val="24"/>
              </w:rPr>
            </w:pPr>
            <w:r>
              <w:rPr>
                <w:spacing w:val="-10"/>
                <w:sz w:val="24"/>
              </w:rPr>
              <w:t>2</w:t>
            </w:r>
          </w:p>
        </w:tc>
        <w:tc>
          <w:tcPr>
            <w:tcW w:w="1274" w:type="dxa"/>
          </w:tcPr>
          <w:p>
            <w:pPr>
              <w:pStyle w:val="TableParagraph"/>
              <w:spacing w:before="152"/>
              <w:ind w:left="110"/>
              <w:rPr>
                <w:sz w:val="24"/>
              </w:rPr>
            </w:pPr>
            <w:r>
              <w:rPr>
                <w:spacing w:val="-10"/>
                <w:sz w:val="24"/>
              </w:rPr>
              <w:t>3</w:t>
            </w:r>
          </w:p>
        </w:tc>
        <w:tc>
          <w:tcPr>
            <w:tcW w:w="1134" w:type="dxa"/>
          </w:tcPr>
          <w:p>
            <w:pPr>
              <w:pStyle w:val="TableParagraph"/>
              <w:spacing w:before="152"/>
              <w:ind w:left="111"/>
              <w:rPr>
                <w:sz w:val="24"/>
              </w:rPr>
            </w:pPr>
            <w:r>
              <w:rPr>
                <w:spacing w:val="-10"/>
                <w:sz w:val="24"/>
              </w:rPr>
              <w:t>4</w:t>
            </w:r>
          </w:p>
        </w:tc>
        <w:tc>
          <w:tcPr>
            <w:tcW w:w="1132" w:type="dxa"/>
          </w:tcPr>
          <w:p>
            <w:pPr>
              <w:pStyle w:val="TableParagraph"/>
              <w:spacing w:before="152"/>
              <w:ind w:left="109"/>
              <w:rPr>
                <w:sz w:val="24"/>
              </w:rPr>
            </w:pPr>
            <w:r>
              <w:rPr>
                <w:spacing w:val="-10"/>
                <w:sz w:val="24"/>
              </w:rPr>
              <w:t>5</w:t>
            </w:r>
          </w:p>
        </w:tc>
      </w:tr>
      <w:tr>
        <w:trPr>
          <w:trHeight w:val="835" w:hRule="atLeast"/>
        </w:trPr>
        <w:tc>
          <w:tcPr>
            <w:tcW w:w="847" w:type="dxa"/>
          </w:tcPr>
          <w:p>
            <w:pPr>
              <w:pStyle w:val="TableParagraph"/>
              <w:spacing w:line="270" w:lineRule="exact"/>
              <w:ind w:left="107"/>
              <w:rPr>
                <w:sz w:val="24"/>
              </w:rPr>
            </w:pPr>
            <w:r>
              <w:rPr>
                <w:spacing w:val="-10"/>
                <w:sz w:val="24"/>
              </w:rPr>
              <w:t>6</w:t>
            </w:r>
          </w:p>
        </w:tc>
        <w:tc>
          <w:tcPr>
            <w:tcW w:w="3024" w:type="dxa"/>
          </w:tcPr>
          <w:p>
            <w:pPr>
              <w:pStyle w:val="TableParagraph"/>
              <w:spacing w:line="278" w:lineRule="auto"/>
              <w:ind w:left="105"/>
              <w:rPr>
                <w:sz w:val="24"/>
              </w:rPr>
            </w:pPr>
            <w:r>
              <w:rPr>
                <w:sz w:val="24"/>
              </w:rPr>
              <w:t>Я</w:t>
            </w:r>
            <w:r>
              <w:rPr>
                <w:spacing w:val="-15"/>
                <w:sz w:val="24"/>
              </w:rPr>
              <w:t> </w:t>
            </w:r>
            <w:r>
              <w:rPr>
                <w:sz w:val="24"/>
              </w:rPr>
              <w:t>чувствую</w:t>
            </w:r>
            <w:r>
              <w:rPr>
                <w:spacing w:val="-13"/>
                <w:sz w:val="24"/>
              </w:rPr>
              <w:t> </w:t>
            </w:r>
            <w:r>
              <w:rPr>
                <w:sz w:val="24"/>
              </w:rPr>
              <w:t>себя</w:t>
            </w:r>
            <w:r>
              <w:rPr>
                <w:spacing w:val="-15"/>
                <w:sz w:val="24"/>
              </w:rPr>
              <w:t> </w:t>
            </w:r>
            <w:r>
              <w:rPr>
                <w:sz w:val="24"/>
              </w:rPr>
              <w:t>частью </w:t>
            </w:r>
            <w:r>
              <w:rPr>
                <w:spacing w:val="-2"/>
                <w:sz w:val="24"/>
              </w:rPr>
              <w:t>России</w:t>
            </w:r>
          </w:p>
        </w:tc>
        <w:tc>
          <w:tcPr>
            <w:tcW w:w="1202" w:type="dxa"/>
          </w:tcPr>
          <w:p>
            <w:pPr>
              <w:pStyle w:val="TableParagraph"/>
              <w:spacing w:before="153"/>
              <w:ind w:left="106"/>
              <w:rPr>
                <w:sz w:val="24"/>
              </w:rPr>
            </w:pPr>
            <w:r>
              <w:rPr>
                <w:spacing w:val="-10"/>
                <w:sz w:val="24"/>
              </w:rPr>
              <w:t>1</w:t>
            </w:r>
          </w:p>
        </w:tc>
        <w:tc>
          <w:tcPr>
            <w:tcW w:w="1132" w:type="dxa"/>
          </w:tcPr>
          <w:p>
            <w:pPr>
              <w:pStyle w:val="TableParagraph"/>
              <w:spacing w:before="153"/>
              <w:ind w:left="106"/>
              <w:rPr>
                <w:sz w:val="24"/>
              </w:rPr>
            </w:pPr>
            <w:r>
              <w:rPr>
                <w:spacing w:val="-10"/>
                <w:sz w:val="24"/>
              </w:rPr>
              <w:t>2</w:t>
            </w:r>
          </w:p>
        </w:tc>
        <w:tc>
          <w:tcPr>
            <w:tcW w:w="1274" w:type="dxa"/>
          </w:tcPr>
          <w:p>
            <w:pPr>
              <w:pStyle w:val="TableParagraph"/>
              <w:spacing w:before="153"/>
              <w:ind w:left="110"/>
              <w:rPr>
                <w:sz w:val="24"/>
              </w:rPr>
            </w:pPr>
            <w:r>
              <w:rPr>
                <w:spacing w:val="-10"/>
                <w:sz w:val="24"/>
              </w:rPr>
              <w:t>3</w:t>
            </w:r>
          </w:p>
        </w:tc>
        <w:tc>
          <w:tcPr>
            <w:tcW w:w="1134" w:type="dxa"/>
          </w:tcPr>
          <w:p>
            <w:pPr>
              <w:pStyle w:val="TableParagraph"/>
              <w:spacing w:before="153"/>
              <w:ind w:left="111"/>
              <w:rPr>
                <w:sz w:val="24"/>
              </w:rPr>
            </w:pPr>
            <w:r>
              <w:rPr>
                <w:spacing w:val="-10"/>
                <w:sz w:val="24"/>
              </w:rPr>
              <w:t>4</w:t>
            </w:r>
          </w:p>
        </w:tc>
        <w:tc>
          <w:tcPr>
            <w:tcW w:w="1132" w:type="dxa"/>
          </w:tcPr>
          <w:p>
            <w:pPr>
              <w:pStyle w:val="TableParagraph"/>
              <w:spacing w:before="153"/>
              <w:ind w:left="109"/>
              <w:rPr>
                <w:sz w:val="24"/>
              </w:rPr>
            </w:pPr>
            <w:r>
              <w:rPr>
                <w:spacing w:val="-10"/>
                <w:sz w:val="24"/>
              </w:rPr>
              <w:t>5</w:t>
            </w:r>
          </w:p>
        </w:tc>
      </w:tr>
      <w:tr>
        <w:trPr>
          <w:trHeight w:val="834" w:hRule="atLeast"/>
        </w:trPr>
        <w:tc>
          <w:tcPr>
            <w:tcW w:w="847" w:type="dxa"/>
          </w:tcPr>
          <w:p>
            <w:pPr>
              <w:pStyle w:val="TableParagraph"/>
              <w:spacing w:line="270" w:lineRule="exact"/>
              <w:ind w:left="107"/>
              <w:rPr>
                <w:sz w:val="24"/>
              </w:rPr>
            </w:pPr>
            <w:r>
              <w:rPr>
                <w:spacing w:val="-10"/>
                <w:sz w:val="24"/>
              </w:rPr>
              <w:t>7</w:t>
            </w:r>
          </w:p>
        </w:tc>
        <w:tc>
          <w:tcPr>
            <w:tcW w:w="3024" w:type="dxa"/>
          </w:tcPr>
          <w:p>
            <w:pPr>
              <w:pStyle w:val="TableParagraph"/>
              <w:spacing w:line="278" w:lineRule="auto"/>
              <w:ind w:left="105" w:right="216"/>
              <w:rPr>
                <w:sz w:val="24"/>
              </w:rPr>
            </w:pPr>
            <w:r>
              <w:rPr>
                <w:sz w:val="24"/>
              </w:rPr>
              <w:t>Я доволен/льна тем, откуда</w:t>
            </w:r>
            <w:r>
              <w:rPr>
                <w:spacing w:val="-13"/>
                <w:sz w:val="24"/>
              </w:rPr>
              <w:t> </w:t>
            </w:r>
            <w:r>
              <w:rPr>
                <w:sz w:val="24"/>
              </w:rPr>
              <w:t>родом</w:t>
            </w:r>
            <w:r>
              <w:rPr>
                <w:spacing w:val="-13"/>
                <w:sz w:val="24"/>
              </w:rPr>
              <w:t> </w:t>
            </w:r>
            <w:r>
              <w:rPr>
                <w:sz w:val="24"/>
              </w:rPr>
              <w:t>моя</w:t>
            </w:r>
            <w:r>
              <w:rPr>
                <w:spacing w:val="-13"/>
                <w:sz w:val="24"/>
              </w:rPr>
              <w:t> </w:t>
            </w:r>
            <w:r>
              <w:rPr>
                <w:sz w:val="24"/>
              </w:rPr>
              <w:t>семья</w:t>
            </w:r>
          </w:p>
        </w:tc>
        <w:tc>
          <w:tcPr>
            <w:tcW w:w="1202" w:type="dxa"/>
          </w:tcPr>
          <w:p>
            <w:pPr>
              <w:pStyle w:val="TableParagraph"/>
              <w:spacing w:before="152"/>
              <w:ind w:left="106"/>
              <w:rPr>
                <w:sz w:val="24"/>
              </w:rPr>
            </w:pPr>
            <w:r>
              <w:rPr>
                <w:spacing w:val="-10"/>
                <w:sz w:val="24"/>
              </w:rPr>
              <w:t>1</w:t>
            </w:r>
          </w:p>
        </w:tc>
        <w:tc>
          <w:tcPr>
            <w:tcW w:w="1132" w:type="dxa"/>
          </w:tcPr>
          <w:p>
            <w:pPr>
              <w:pStyle w:val="TableParagraph"/>
              <w:spacing w:before="152"/>
              <w:ind w:left="106"/>
              <w:rPr>
                <w:sz w:val="24"/>
              </w:rPr>
            </w:pPr>
            <w:r>
              <w:rPr>
                <w:spacing w:val="-10"/>
                <w:sz w:val="24"/>
              </w:rPr>
              <w:t>2</w:t>
            </w:r>
          </w:p>
        </w:tc>
        <w:tc>
          <w:tcPr>
            <w:tcW w:w="1274" w:type="dxa"/>
          </w:tcPr>
          <w:p>
            <w:pPr>
              <w:pStyle w:val="TableParagraph"/>
              <w:spacing w:before="152"/>
              <w:ind w:left="110"/>
              <w:rPr>
                <w:sz w:val="24"/>
              </w:rPr>
            </w:pPr>
            <w:r>
              <w:rPr>
                <w:spacing w:val="-10"/>
                <w:sz w:val="24"/>
              </w:rPr>
              <w:t>3</w:t>
            </w:r>
          </w:p>
        </w:tc>
        <w:tc>
          <w:tcPr>
            <w:tcW w:w="1134" w:type="dxa"/>
          </w:tcPr>
          <w:p>
            <w:pPr>
              <w:pStyle w:val="TableParagraph"/>
              <w:spacing w:before="152"/>
              <w:ind w:left="111"/>
              <w:rPr>
                <w:sz w:val="24"/>
              </w:rPr>
            </w:pPr>
            <w:r>
              <w:rPr>
                <w:spacing w:val="-10"/>
                <w:sz w:val="24"/>
              </w:rPr>
              <w:t>4</w:t>
            </w:r>
          </w:p>
        </w:tc>
        <w:tc>
          <w:tcPr>
            <w:tcW w:w="1132" w:type="dxa"/>
          </w:tcPr>
          <w:p>
            <w:pPr>
              <w:pStyle w:val="TableParagraph"/>
              <w:spacing w:before="152"/>
              <w:ind w:left="109"/>
              <w:rPr>
                <w:sz w:val="24"/>
              </w:rPr>
            </w:pPr>
            <w:r>
              <w:rPr>
                <w:spacing w:val="-10"/>
                <w:sz w:val="24"/>
              </w:rPr>
              <w:t>5</w:t>
            </w:r>
          </w:p>
        </w:tc>
      </w:tr>
      <w:tr>
        <w:trPr>
          <w:trHeight w:val="1151" w:hRule="atLeast"/>
        </w:trPr>
        <w:tc>
          <w:tcPr>
            <w:tcW w:w="847" w:type="dxa"/>
          </w:tcPr>
          <w:p>
            <w:pPr>
              <w:pStyle w:val="TableParagraph"/>
              <w:spacing w:line="270" w:lineRule="exact"/>
              <w:ind w:left="107"/>
              <w:rPr>
                <w:sz w:val="24"/>
              </w:rPr>
            </w:pPr>
            <w:r>
              <w:rPr>
                <w:spacing w:val="-10"/>
                <w:sz w:val="24"/>
              </w:rPr>
              <w:t>8</w:t>
            </w:r>
          </w:p>
        </w:tc>
        <w:tc>
          <w:tcPr>
            <w:tcW w:w="3024" w:type="dxa"/>
          </w:tcPr>
          <w:p>
            <w:pPr>
              <w:pStyle w:val="TableParagraph"/>
              <w:spacing w:line="276" w:lineRule="auto"/>
              <w:ind w:left="105" w:right="253"/>
              <w:jc w:val="both"/>
              <w:rPr>
                <w:sz w:val="24"/>
              </w:rPr>
            </w:pPr>
            <w:r>
              <w:rPr>
                <w:sz w:val="24"/>
              </w:rPr>
              <w:t>Я</w:t>
            </w:r>
            <w:r>
              <w:rPr>
                <w:spacing w:val="-10"/>
                <w:sz w:val="24"/>
              </w:rPr>
              <w:t> </w:t>
            </w:r>
            <w:r>
              <w:rPr>
                <w:sz w:val="24"/>
              </w:rPr>
              <w:t>рад/а,</w:t>
            </w:r>
            <w:r>
              <w:rPr>
                <w:spacing w:val="-10"/>
                <w:sz w:val="24"/>
              </w:rPr>
              <w:t> </w:t>
            </w:r>
            <w:r>
              <w:rPr>
                <w:sz w:val="24"/>
              </w:rPr>
              <w:t>что</w:t>
            </w:r>
            <w:r>
              <w:rPr>
                <w:spacing w:val="-10"/>
                <w:sz w:val="24"/>
              </w:rPr>
              <w:t> </w:t>
            </w:r>
            <w:r>
              <w:rPr>
                <w:sz w:val="24"/>
              </w:rPr>
              <w:t>я</w:t>
            </w:r>
            <w:r>
              <w:rPr>
                <w:spacing w:val="-10"/>
                <w:sz w:val="24"/>
              </w:rPr>
              <w:t> </w:t>
            </w:r>
            <w:r>
              <w:rPr>
                <w:sz w:val="24"/>
              </w:rPr>
              <w:t>родился/ась в</w:t>
            </w:r>
            <w:r>
              <w:rPr>
                <w:spacing w:val="-13"/>
                <w:sz w:val="24"/>
              </w:rPr>
              <w:t> </w:t>
            </w:r>
            <w:r>
              <w:rPr>
                <w:sz w:val="24"/>
              </w:rPr>
              <w:t>стране,</w:t>
            </w:r>
            <w:r>
              <w:rPr>
                <w:spacing w:val="-12"/>
                <w:sz w:val="24"/>
              </w:rPr>
              <w:t> </w:t>
            </w:r>
            <w:r>
              <w:rPr>
                <w:sz w:val="24"/>
              </w:rPr>
              <w:t>откуда</w:t>
            </w:r>
            <w:r>
              <w:rPr>
                <w:spacing w:val="-13"/>
                <w:sz w:val="24"/>
              </w:rPr>
              <w:t> </w:t>
            </w:r>
            <w:r>
              <w:rPr>
                <w:sz w:val="24"/>
              </w:rPr>
              <w:t>приехала моя семья</w:t>
            </w:r>
          </w:p>
        </w:tc>
        <w:tc>
          <w:tcPr>
            <w:tcW w:w="1202" w:type="dxa"/>
          </w:tcPr>
          <w:p>
            <w:pPr>
              <w:pStyle w:val="TableParagraph"/>
              <w:spacing w:before="37"/>
              <w:rPr>
                <w:i/>
                <w:sz w:val="24"/>
              </w:rPr>
            </w:pPr>
          </w:p>
          <w:p>
            <w:pPr>
              <w:pStyle w:val="TableParagraph"/>
              <w:ind w:left="106"/>
              <w:rPr>
                <w:sz w:val="24"/>
              </w:rPr>
            </w:pPr>
            <w:r>
              <w:rPr>
                <w:spacing w:val="-10"/>
                <w:sz w:val="24"/>
              </w:rPr>
              <w:t>1</w:t>
            </w:r>
          </w:p>
        </w:tc>
        <w:tc>
          <w:tcPr>
            <w:tcW w:w="1132" w:type="dxa"/>
          </w:tcPr>
          <w:p>
            <w:pPr>
              <w:pStyle w:val="TableParagraph"/>
              <w:spacing w:before="37"/>
              <w:rPr>
                <w:i/>
                <w:sz w:val="24"/>
              </w:rPr>
            </w:pPr>
          </w:p>
          <w:p>
            <w:pPr>
              <w:pStyle w:val="TableParagraph"/>
              <w:ind w:left="106"/>
              <w:rPr>
                <w:sz w:val="24"/>
              </w:rPr>
            </w:pPr>
            <w:r>
              <w:rPr>
                <w:spacing w:val="-10"/>
                <w:sz w:val="24"/>
              </w:rPr>
              <w:t>2</w:t>
            </w:r>
          </w:p>
        </w:tc>
        <w:tc>
          <w:tcPr>
            <w:tcW w:w="1274" w:type="dxa"/>
          </w:tcPr>
          <w:p>
            <w:pPr>
              <w:pStyle w:val="TableParagraph"/>
              <w:spacing w:before="37"/>
              <w:rPr>
                <w:i/>
                <w:sz w:val="24"/>
              </w:rPr>
            </w:pPr>
          </w:p>
          <w:p>
            <w:pPr>
              <w:pStyle w:val="TableParagraph"/>
              <w:ind w:left="110"/>
              <w:rPr>
                <w:sz w:val="24"/>
              </w:rPr>
            </w:pPr>
            <w:r>
              <w:rPr>
                <w:spacing w:val="-10"/>
                <w:sz w:val="24"/>
              </w:rPr>
              <w:t>3</w:t>
            </w:r>
          </w:p>
        </w:tc>
        <w:tc>
          <w:tcPr>
            <w:tcW w:w="1134" w:type="dxa"/>
          </w:tcPr>
          <w:p>
            <w:pPr>
              <w:pStyle w:val="TableParagraph"/>
              <w:spacing w:before="37"/>
              <w:rPr>
                <w:i/>
                <w:sz w:val="24"/>
              </w:rPr>
            </w:pPr>
          </w:p>
          <w:p>
            <w:pPr>
              <w:pStyle w:val="TableParagraph"/>
              <w:ind w:left="111"/>
              <w:rPr>
                <w:sz w:val="24"/>
              </w:rPr>
            </w:pPr>
            <w:r>
              <w:rPr>
                <w:spacing w:val="-10"/>
                <w:sz w:val="24"/>
              </w:rPr>
              <w:t>4</w:t>
            </w:r>
          </w:p>
        </w:tc>
        <w:tc>
          <w:tcPr>
            <w:tcW w:w="1132" w:type="dxa"/>
          </w:tcPr>
          <w:p>
            <w:pPr>
              <w:pStyle w:val="TableParagraph"/>
              <w:spacing w:before="37"/>
              <w:rPr>
                <w:i/>
                <w:sz w:val="24"/>
              </w:rPr>
            </w:pPr>
          </w:p>
          <w:p>
            <w:pPr>
              <w:pStyle w:val="TableParagraph"/>
              <w:ind w:left="109"/>
              <w:rPr>
                <w:sz w:val="24"/>
              </w:rPr>
            </w:pPr>
            <w:r>
              <w:rPr>
                <w:spacing w:val="-10"/>
                <w:sz w:val="24"/>
              </w:rPr>
              <w:t>5</w:t>
            </w:r>
          </w:p>
        </w:tc>
      </w:tr>
      <w:tr>
        <w:trPr>
          <w:trHeight w:val="1471" w:hRule="atLeast"/>
        </w:trPr>
        <w:tc>
          <w:tcPr>
            <w:tcW w:w="847" w:type="dxa"/>
          </w:tcPr>
          <w:p>
            <w:pPr>
              <w:pStyle w:val="TableParagraph"/>
              <w:spacing w:line="273" w:lineRule="exact"/>
              <w:ind w:left="107"/>
              <w:rPr>
                <w:sz w:val="24"/>
              </w:rPr>
            </w:pPr>
            <w:r>
              <w:rPr>
                <w:spacing w:val="-10"/>
                <w:sz w:val="24"/>
              </w:rPr>
              <w:t>9</w:t>
            </w:r>
          </w:p>
        </w:tc>
        <w:tc>
          <w:tcPr>
            <w:tcW w:w="3024" w:type="dxa"/>
          </w:tcPr>
          <w:p>
            <w:pPr>
              <w:pStyle w:val="TableParagraph"/>
              <w:spacing w:line="276" w:lineRule="auto"/>
              <w:ind w:left="105" w:right="84"/>
              <w:rPr>
                <w:sz w:val="24"/>
              </w:rPr>
            </w:pPr>
            <w:r>
              <w:rPr>
                <w:sz w:val="24"/>
              </w:rPr>
              <w:t>Меня</w:t>
            </w:r>
            <w:r>
              <w:rPr>
                <w:spacing w:val="-12"/>
                <w:sz w:val="24"/>
              </w:rPr>
              <w:t> </w:t>
            </w:r>
            <w:r>
              <w:rPr>
                <w:sz w:val="24"/>
              </w:rPr>
              <w:t>беспокоит,</w:t>
            </w:r>
            <w:r>
              <w:rPr>
                <w:spacing w:val="-12"/>
                <w:sz w:val="24"/>
              </w:rPr>
              <w:t> </w:t>
            </w:r>
            <w:r>
              <w:rPr>
                <w:sz w:val="24"/>
              </w:rPr>
              <w:t>если</w:t>
            </w:r>
            <w:r>
              <w:rPr>
                <w:spacing w:val="-12"/>
                <w:sz w:val="24"/>
              </w:rPr>
              <w:t> </w:t>
            </w:r>
            <w:r>
              <w:rPr>
                <w:sz w:val="24"/>
              </w:rPr>
              <w:t>кто- то плохо отзывается о стране происхождения моей семьи</w:t>
            </w:r>
          </w:p>
        </w:tc>
        <w:tc>
          <w:tcPr>
            <w:tcW w:w="1202" w:type="dxa"/>
          </w:tcPr>
          <w:p>
            <w:pPr>
              <w:pStyle w:val="TableParagraph"/>
              <w:spacing w:before="196"/>
              <w:rPr>
                <w:i/>
                <w:sz w:val="24"/>
              </w:rPr>
            </w:pPr>
          </w:p>
          <w:p>
            <w:pPr>
              <w:pStyle w:val="TableParagraph"/>
              <w:ind w:left="106"/>
              <w:rPr>
                <w:sz w:val="24"/>
              </w:rPr>
            </w:pPr>
            <w:r>
              <w:rPr>
                <w:spacing w:val="-10"/>
                <w:sz w:val="24"/>
              </w:rPr>
              <w:t>1</w:t>
            </w:r>
          </w:p>
        </w:tc>
        <w:tc>
          <w:tcPr>
            <w:tcW w:w="1132" w:type="dxa"/>
          </w:tcPr>
          <w:p>
            <w:pPr>
              <w:pStyle w:val="TableParagraph"/>
              <w:spacing w:before="196"/>
              <w:rPr>
                <w:i/>
                <w:sz w:val="24"/>
              </w:rPr>
            </w:pPr>
          </w:p>
          <w:p>
            <w:pPr>
              <w:pStyle w:val="TableParagraph"/>
              <w:ind w:left="106"/>
              <w:rPr>
                <w:sz w:val="24"/>
              </w:rPr>
            </w:pPr>
            <w:r>
              <w:rPr>
                <w:spacing w:val="-10"/>
                <w:sz w:val="24"/>
              </w:rPr>
              <w:t>2</w:t>
            </w:r>
          </w:p>
        </w:tc>
        <w:tc>
          <w:tcPr>
            <w:tcW w:w="1274" w:type="dxa"/>
          </w:tcPr>
          <w:p>
            <w:pPr>
              <w:pStyle w:val="TableParagraph"/>
              <w:spacing w:before="196"/>
              <w:rPr>
                <w:i/>
                <w:sz w:val="24"/>
              </w:rPr>
            </w:pPr>
          </w:p>
          <w:p>
            <w:pPr>
              <w:pStyle w:val="TableParagraph"/>
              <w:ind w:left="110"/>
              <w:rPr>
                <w:sz w:val="24"/>
              </w:rPr>
            </w:pPr>
            <w:r>
              <w:rPr>
                <w:spacing w:val="-10"/>
                <w:sz w:val="24"/>
              </w:rPr>
              <w:t>3</w:t>
            </w:r>
          </w:p>
        </w:tc>
        <w:tc>
          <w:tcPr>
            <w:tcW w:w="1134" w:type="dxa"/>
          </w:tcPr>
          <w:p>
            <w:pPr>
              <w:pStyle w:val="TableParagraph"/>
              <w:spacing w:before="196"/>
              <w:rPr>
                <w:i/>
                <w:sz w:val="24"/>
              </w:rPr>
            </w:pPr>
          </w:p>
          <w:p>
            <w:pPr>
              <w:pStyle w:val="TableParagraph"/>
              <w:ind w:left="111"/>
              <w:rPr>
                <w:sz w:val="24"/>
              </w:rPr>
            </w:pPr>
            <w:r>
              <w:rPr>
                <w:spacing w:val="-10"/>
                <w:sz w:val="24"/>
              </w:rPr>
              <w:t>4</w:t>
            </w:r>
          </w:p>
        </w:tc>
        <w:tc>
          <w:tcPr>
            <w:tcW w:w="1132" w:type="dxa"/>
          </w:tcPr>
          <w:p>
            <w:pPr>
              <w:pStyle w:val="TableParagraph"/>
              <w:spacing w:before="196"/>
              <w:rPr>
                <w:i/>
                <w:sz w:val="24"/>
              </w:rPr>
            </w:pPr>
          </w:p>
          <w:p>
            <w:pPr>
              <w:pStyle w:val="TableParagraph"/>
              <w:ind w:left="109"/>
              <w:rPr>
                <w:sz w:val="24"/>
              </w:rPr>
            </w:pPr>
            <w:r>
              <w:rPr>
                <w:spacing w:val="-10"/>
                <w:sz w:val="24"/>
              </w:rPr>
              <w:t>5</w:t>
            </w:r>
          </w:p>
        </w:tc>
      </w:tr>
    </w:tbl>
    <w:p>
      <w:pPr>
        <w:pStyle w:val="TableParagraph"/>
        <w:spacing w:after="0"/>
        <w:rPr>
          <w:sz w:val="24"/>
        </w:rPr>
        <w:sectPr>
          <w:pgSz w:w="11910" w:h="16840"/>
          <w:pgMar w:header="0" w:footer="970" w:top="1040" w:bottom="1220" w:left="1417" w:right="283"/>
        </w:sectPr>
      </w:pPr>
    </w:p>
    <w:tbl>
      <w:tblPr>
        <w:tblW w:w="0" w:type="auto"/>
        <w:jc w:val="left"/>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024"/>
        <w:gridCol w:w="1202"/>
        <w:gridCol w:w="1132"/>
        <w:gridCol w:w="1274"/>
        <w:gridCol w:w="1134"/>
        <w:gridCol w:w="1132"/>
      </w:tblGrid>
      <w:tr>
        <w:trPr>
          <w:trHeight w:val="835" w:hRule="atLeast"/>
        </w:trPr>
        <w:tc>
          <w:tcPr>
            <w:tcW w:w="847" w:type="dxa"/>
          </w:tcPr>
          <w:p>
            <w:pPr>
              <w:pStyle w:val="TableParagraph"/>
              <w:spacing w:line="273" w:lineRule="exact"/>
              <w:ind w:left="107"/>
              <w:rPr>
                <w:sz w:val="24"/>
              </w:rPr>
            </w:pPr>
            <w:r>
              <w:rPr>
                <w:spacing w:val="-5"/>
                <w:sz w:val="24"/>
              </w:rPr>
              <w:t>10</w:t>
            </w:r>
          </w:p>
        </w:tc>
        <w:tc>
          <w:tcPr>
            <w:tcW w:w="3024" w:type="dxa"/>
          </w:tcPr>
          <w:p>
            <w:pPr>
              <w:pStyle w:val="TableParagraph"/>
              <w:spacing w:line="276" w:lineRule="auto"/>
              <w:ind w:left="105" w:right="216"/>
              <w:rPr>
                <w:sz w:val="24"/>
              </w:rPr>
            </w:pPr>
            <w:r>
              <w:rPr>
                <w:sz w:val="24"/>
              </w:rPr>
              <w:t>Я</w:t>
            </w:r>
            <w:r>
              <w:rPr>
                <w:spacing w:val="-14"/>
                <w:sz w:val="24"/>
              </w:rPr>
              <w:t> </w:t>
            </w:r>
            <w:r>
              <w:rPr>
                <w:sz w:val="24"/>
              </w:rPr>
              <w:t>ценю</w:t>
            </w:r>
            <w:r>
              <w:rPr>
                <w:spacing w:val="-14"/>
                <w:sz w:val="24"/>
              </w:rPr>
              <w:t> </w:t>
            </w:r>
            <w:r>
              <w:rPr>
                <w:sz w:val="24"/>
              </w:rPr>
              <w:t>страну,</w:t>
            </w:r>
            <w:r>
              <w:rPr>
                <w:spacing w:val="-14"/>
                <w:sz w:val="24"/>
              </w:rPr>
              <w:t> </w:t>
            </w:r>
            <w:r>
              <w:rPr>
                <w:sz w:val="24"/>
              </w:rPr>
              <w:t>откуда родом моя семья</w:t>
            </w:r>
          </w:p>
        </w:tc>
        <w:tc>
          <w:tcPr>
            <w:tcW w:w="1202" w:type="dxa"/>
          </w:tcPr>
          <w:p>
            <w:pPr>
              <w:pStyle w:val="TableParagraph"/>
              <w:spacing w:before="155"/>
              <w:ind w:left="106"/>
              <w:rPr>
                <w:sz w:val="24"/>
              </w:rPr>
            </w:pPr>
            <w:r>
              <w:rPr>
                <w:spacing w:val="-10"/>
                <w:sz w:val="24"/>
              </w:rPr>
              <w:t>1</w:t>
            </w:r>
          </w:p>
        </w:tc>
        <w:tc>
          <w:tcPr>
            <w:tcW w:w="1132" w:type="dxa"/>
          </w:tcPr>
          <w:p>
            <w:pPr>
              <w:pStyle w:val="TableParagraph"/>
              <w:spacing w:before="155"/>
              <w:ind w:left="106"/>
              <w:rPr>
                <w:sz w:val="24"/>
              </w:rPr>
            </w:pPr>
            <w:r>
              <w:rPr>
                <w:spacing w:val="-10"/>
                <w:sz w:val="24"/>
              </w:rPr>
              <w:t>2</w:t>
            </w:r>
          </w:p>
        </w:tc>
        <w:tc>
          <w:tcPr>
            <w:tcW w:w="1274" w:type="dxa"/>
          </w:tcPr>
          <w:p>
            <w:pPr>
              <w:pStyle w:val="TableParagraph"/>
              <w:spacing w:before="155"/>
              <w:ind w:left="110"/>
              <w:rPr>
                <w:sz w:val="24"/>
              </w:rPr>
            </w:pPr>
            <w:r>
              <w:rPr>
                <w:spacing w:val="-10"/>
                <w:sz w:val="24"/>
              </w:rPr>
              <w:t>3</w:t>
            </w:r>
          </w:p>
        </w:tc>
        <w:tc>
          <w:tcPr>
            <w:tcW w:w="1134" w:type="dxa"/>
          </w:tcPr>
          <w:p>
            <w:pPr>
              <w:pStyle w:val="TableParagraph"/>
              <w:spacing w:before="155"/>
              <w:ind w:left="111"/>
              <w:rPr>
                <w:sz w:val="24"/>
              </w:rPr>
            </w:pPr>
            <w:r>
              <w:rPr>
                <w:spacing w:val="-10"/>
                <w:sz w:val="24"/>
              </w:rPr>
              <w:t>4</w:t>
            </w:r>
          </w:p>
        </w:tc>
        <w:tc>
          <w:tcPr>
            <w:tcW w:w="1132" w:type="dxa"/>
          </w:tcPr>
          <w:p>
            <w:pPr>
              <w:pStyle w:val="TableParagraph"/>
              <w:spacing w:before="155"/>
              <w:ind w:left="109"/>
              <w:rPr>
                <w:sz w:val="24"/>
              </w:rPr>
            </w:pPr>
            <w:r>
              <w:rPr>
                <w:spacing w:val="-10"/>
                <w:sz w:val="24"/>
              </w:rPr>
              <w:t>5</w:t>
            </w:r>
          </w:p>
        </w:tc>
      </w:tr>
      <w:tr>
        <w:trPr>
          <w:trHeight w:val="1153" w:hRule="atLeast"/>
        </w:trPr>
        <w:tc>
          <w:tcPr>
            <w:tcW w:w="847" w:type="dxa"/>
          </w:tcPr>
          <w:p>
            <w:pPr>
              <w:pStyle w:val="TableParagraph"/>
              <w:spacing w:line="273" w:lineRule="exact"/>
              <w:ind w:left="107"/>
              <w:rPr>
                <w:sz w:val="24"/>
              </w:rPr>
            </w:pPr>
            <w:r>
              <w:rPr>
                <w:spacing w:val="-5"/>
                <w:sz w:val="24"/>
              </w:rPr>
              <w:t>11</w:t>
            </w:r>
          </w:p>
        </w:tc>
        <w:tc>
          <w:tcPr>
            <w:tcW w:w="3024" w:type="dxa"/>
          </w:tcPr>
          <w:p>
            <w:pPr>
              <w:pStyle w:val="TableParagraph"/>
              <w:spacing w:line="276" w:lineRule="auto"/>
              <w:ind w:left="105"/>
              <w:rPr>
                <w:sz w:val="24"/>
              </w:rPr>
            </w:pPr>
            <w:r>
              <w:rPr>
                <w:sz w:val="24"/>
              </w:rPr>
              <w:t>Я чувствую сильную привязанность</w:t>
            </w:r>
            <w:r>
              <w:rPr>
                <w:spacing w:val="-15"/>
                <w:sz w:val="24"/>
              </w:rPr>
              <w:t> </w:t>
            </w:r>
            <w:r>
              <w:rPr>
                <w:sz w:val="24"/>
              </w:rPr>
              <w:t>к</w:t>
            </w:r>
            <w:r>
              <w:rPr>
                <w:spacing w:val="-15"/>
                <w:sz w:val="24"/>
              </w:rPr>
              <w:t> </w:t>
            </w:r>
            <w:r>
              <w:rPr>
                <w:sz w:val="24"/>
              </w:rPr>
              <w:t>стране, откуда</w:t>
            </w:r>
            <w:r>
              <w:rPr>
                <w:spacing w:val="-3"/>
                <w:sz w:val="24"/>
              </w:rPr>
              <w:t> </w:t>
            </w:r>
            <w:r>
              <w:rPr>
                <w:sz w:val="24"/>
              </w:rPr>
              <w:t>родом</w:t>
            </w:r>
            <w:r>
              <w:rPr>
                <w:spacing w:val="-2"/>
                <w:sz w:val="24"/>
              </w:rPr>
              <w:t> </w:t>
            </w:r>
            <w:r>
              <w:rPr>
                <w:sz w:val="24"/>
              </w:rPr>
              <w:t>моя</w:t>
            </w:r>
            <w:r>
              <w:rPr>
                <w:spacing w:val="-1"/>
                <w:sz w:val="24"/>
              </w:rPr>
              <w:t> </w:t>
            </w:r>
            <w:r>
              <w:rPr>
                <w:spacing w:val="-4"/>
                <w:sz w:val="24"/>
              </w:rPr>
              <w:t>семья</w:t>
            </w:r>
          </w:p>
        </w:tc>
        <w:tc>
          <w:tcPr>
            <w:tcW w:w="1202" w:type="dxa"/>
          </w:tcPr>
          <w:p>
            <w:pPr>
              <w:pStyle w:val="TableParagraph"/>
              <w:spacing w:before="37"/>
              <w:rPr>
                <w:i/>
                <w:sz w:val="24"/>
              </w:rPr>
            </w:pPr>
          </w:p>
          <w:p>
            <w:pPr>
              <w:pStyle w:val="TableParagraph"/>
              <w:ind w:left="106"/>
              <w:rPr>
                <w:sz w:val="24"/>
              </w:rPr>
            </w:pPr>
            <w:r>
              <w:rPr>
                <w:spacing w:val="-10"/>
                <w:sz w:val="24"/>
              </w:rPr>
              <w:t>1</w:t>
            </w:r>
          </w:p>
        </w:tc>
        <w:tc>
          <w:tcPr>
            <w:tcW w:w="1132" w:type="dxa"/>
          </w:tcPr>
          <w:p>
            <w:pPr>
              <w:pStyle w:val="TableParagraph"/>
              <w:spacing w:before="37"/>
              <w:rPr>
                <w:i/>
                <w:sz w:val="24"/>
              </w:rPr>
            </w:pPr>
          </w:p>
          <w:p>
            <w:pPr>
              <w:pStyle w:val="TableParagraph"/>
              <w:ind w:left="106"/>
              <w:rPr>
                <w:sz w:val="24"/>
              </w:rPr>
            </w:pPr>
            <w:r>
              <w:rPr>
                <w:spacing w:val="-10"/>
                <w:sz w:val="24"/>
              </w:rPr>
              <w:t>2</w:t>
            </w:r>
          </w:p>
        </w:tc>
        <w:tc>
          <w:tcPr>
            <w:tcW w:w="1274" w:type="dxa"/>
          </w:tcPr>
          <w:p>
            <w:pPr>
              <w:pStyle w:val="TableParagraph"/>
              <w:spacing w:before="37"/>
              <w:rPr>
                <w:i/>
                <w:sz w:val="24"/>
              </w:rPr>
            </w:pPr>
          </w:p>
          <w:p>
            <w:pPr>
              <w:pStyle w:val="TableParagraph"/>
              <w:ind w:left="110"/>
              <w:rPr>
                <w:sz w:val="24"/>
              </w:rPr>
            </w:pPr>
            <w:r>
              <w:rPr>
                <w:spacing w:val="-10"/>
                <w:sz w:val="24"/>
              </w:rPr>
              <w:t>3</w:t>
            </w:r>
          </w:p>
        </w:tc>
        <w:tc>
          <w:tcPr>
            <w:tcW w:w="1134" w:type="dxa"/>
          </w:tcPr>
          <w:p>
            <w:pPr>
              <w:pStyle w:val="TableParagraph"/>
              <w:spacing w:before="37"/>
              <w:rPr>
                <w:i/>
                <w:sz w:val="24"/>
              </w:rPr>
            </w:pPr>
          </w:p>
          <w:p>
            <w:pPr>
              <w:pStyle w:val="TableParagraph"/>
              <w:ind w:left="111"/>
              <w:rPr>
                <w:sz w:val="24"/>
              </w:rPr>
            </w:pPr>
            <w:r>
              <w:rPr>
                <w:spacing w:val="-10"/>
                <w:sz w:val="24"/>
              </w:rPr>
              <w:t>4</w:t>
            </w:r>
          </w:p>
        </w:tc>
        <w:tc>
          <w:tcPr>
            <w:tcW w:w="1132" w:type="dxa"/>
          </w:tcPr>
          <w:p>
            <w:pPr>
              <w:pStyle w:val="TableParagraph"/>
              <w:spacing w:before="37"/>
              <w:rPr>
                <w:i/>
                <w:sz w:val="24"/>
              </w:rPr>
            </w:pPr>
          </w:p>
          <w:p>
            <w:pPr>
              <w:pStyle w:val="TableParagraph"/>
              <w:ind w:left="109"/>
              <w:rPr>
                <w:sz w:val="24"/>
              </w:rPr>
            </w:pPr>
            <w:r>
              <w:rPr>
                <w:spacing w:val="-10"/>
                <w:sz w:val="24"/>
              </w:rPr>
              <w:t>5</w:t>
            </w:r>
          </w:p>
        </w:tc>
      </w:tr>
      <w:tr>
        <w:trPr>
          <w:trHeight w:val="1151" w:hRule="atLeast"/>
        </w:trPr>
        <w:tc>
          <w:tcPr>
            <w:tcW w:w="847" w:type="dxa"/>
          </w:tcPr>
          <w:p>
            <w:pPr>
              <w:pStyle w:val="TableParagraph"/>
              <w:spacing w:line="270" w:lineRule="exact"/>
              <w:ind w:left="107"/>
              <w:rPr>
                <w:sz w:val="24"/>
              </w:rPr>
            </w:pPr>
            <w:r>
              <w:rPr>
                <w:spacing w:val="-5"/>
                <w:sz w:val="24"/>
              </w:rPr>
              <w:t>12</w:t>
            </w:r>
          </w:p>
        </w:tc>
        <w:tc>
          <w:tcPr>
            <w:tcW w:w="3024" w:type="dxa"/>
          </w:tcPr>
          <w:p>
            <w:pPr>
              <w:pStyle w:val="TableParagraph"/>
              <w:spacing w:line="276" w:lineRule="auto"/>
              <w:ind w:left="105"/>
              <w:rPr>
                <w:sz w:val="24"/>
              </w:rPr>
            </w:pPr>
            <w:r>
              <w:rPr>
                <w:sz w:val="24"/>
              </w:rPr>
              <w:t>Я чувствую себя частью страны,</w:t>
            </w:r>
            <w:r>
              <w:rPr>
                <w:spacing w:val="-13"/>
                <w:sz w:val="24"/>
              </w:rPr>
              <w:t> </w:t>
            </w:r>
            <w:r>
              <w:rPr>
                <w:sz w:val="24"/>
              </w:rPr>
              <w:t>откуда</w:t>
            </w:r>
            <w:r>
              <w:rPr>
                <w:spacing w:val="-14"/>
                <w:sz w:val="24"/>
              </w:rPr>
              <w:t> </w:t>
            </w:r>
            <w:r>
              <w:rPr>
                <w:sz w:val="24"/>
              </w:rPr>
              <w:t>родом</w:t>
            </w:r>
            <w:r>
              <w:rPr>
                <w:spacing w:val="-13"/>
                <w:sz w:val="24"/>
              </w:rPr>
              <w:t> </w:t>
            </w:r>
            <w:r>
              <w:rPr>
                <w:sz w:val="24"/>
              </w:rPr>
              <w:t>моя </w:t>
            </w:r>
            <w:r>
              <w:rPr>
                <w:spacing w:val="-4"/>
                <w:sz w:val="24"/>
              </w:rPr>
              <w:t>семья</w:t>
            </w:r>
          </w:p>
        </w:tc>
        <w:tc>
          <w:tcPr>
            <w:tcW w:w="1202" w:type="dxa"/>
          </w:tcPr>
          <w:p>
            <w:pPr>
              <w:pStyle w:val="TableParagraph"/>
              <w:spacing w:before="34"/>
              <w:rPr>
                <w:i/>
                <w:sz w:val="24"/>
              </w:rPr>
            </w:pPr>
          </w:p>
          <w:p>
            <w:pPr>
              <w:pStyle w:val="TableParagraph"/>
              <w:spacing w:before="1"/>
              <w:ind w:left="106"/>
              <w:rPr>
                <w:sz w:val="24"/>
              </w:rPr>
            </w:pPr>
            <w:r>
              <w:rPr>
                <w:spacing w:val="-10"/>
                <w:sz w:val="24"/>
              </w:rPr>
              <w:t>1</w:t>
            </w:r>
          </w:p>
        </w:tc>
        <w:tc>
          <w:tcPr>
            <w:tcW w:w="1132" w:type="dxa"/>
          </w:tcPr>
          <w:p>
            <w:pPr>
              <w:pStyle w:val="TableParagraph"/>
              <w:spacing w:before="34"/>
              <w:rPr>
                <w:i/>
                <w:sz w:val="24"/>
              </w:rPr>
            </w:pPr>
          </w:p>
          <w:p>
            <w:pPr>
              <w:pStyle w:val="TableParagraph"/>
              <w:spacing w:before="1"/>
              <w:ind w:left="106"/>
              <w:rPr>
                <w:sz w:val="24"/>
              </w:rPr>
            </w:pPr>
            <w:r>
              <w:rPr>
                <w:spacing w:val="-10"/>
                <w:sz w:val="24"/>
              </w:rPr>
              <w:t>2</w:t>
            </w:r>
          </w:p>
        </w:tc>
        <w:tc>
          <w:tcPr>
            <w:tcW w:w="1274" w:type="dxa"/>
          </w:tcPr>
          <w:p>
            <w:pPr>
              <w:pStyle w:val="TableParagraph"/>
              <w:spacing w:before="34"/>
              <w:rPr>
                <w:i/>
                <w:sz w:val="24"/>
              </w:rPr>
            </w:pPr>
          </w:p>
          <w:p>
            <w:pPr>
              <w:pStyle w:val="TableParagraph"/>
              <w:spacing w:before="1"/>
              <w:ind w:left="110"/>
              <w:rPr>
                <w:sz w:val="24"/>
              </w:rPr>
            </w:pPr>
            <w:r>
              <w:rPr>
                <w:spacing w:val="-10"/>
                <w:sz w:val="24"/>
              </w:rPr>
              <w:t>3</w:t>
            </w:r>
          </w:p>
        </w:tc>
        <w:tc>
          <w:tcPr>
            <w:tcW w:w="1134" w:type="dxa"/>
          </w:tcPr>
          <w:p>
            <w:pPr>
              <w:pStyle w:val="TableParagraph"/>
              <w:spacing w:before="34"/>
              <w:rPr>
                <w:i/>
                <w:sz w:val="24"/>
              </w:rPr>
            </w:pPr>
          </w:p>
          <w:p>
            <w:pPr>
              <w:pStyle w:val="TableParagraph"/>
              <w:spacing w:before="1"/>
              <w:ind w:left="111"/>
              <w:rPr>
                <w:sz w:val="24"/>
              </w:rPr>
            </w:pPr>
            <w:r>
              <w:rPr>
                <w:spacing w:val="-10"/>
                <w:sz w:val="24"/>
              </w:rPr>
              <w:t>4</w:t>
            </w:r>
          </w:p>
        </w:tc>
        <w:tc>
          <w:tcPr>
            <w:tcW w:w="1132" w:type="dxa"/>
          </w:tcPr>
          <w:p>
            <w:pPr>
              <w:pStyle w:val="TableParagraph"/>
              <w:spacing w:before="34"/>
              <w:rPr>
                <w:i/>
                <w:sz w:val="24"/>
              </w:rPr>
            </w:pPr>
          </w:p>
          <w:p>
            <w:pPr>
              <w:pStyle w:val="TableParagraph"/>
              <w:spacing w:before="1"/>
              <w:ind w:left="109"/>
              <w:rPr>
                <w:sz w:val="24"/>
              </w:rPr>
            </w:pPr>
            <w:r>
              <w:rPr>
                <w:spacing w:val="-10"/>
                <w:sz w:val="24"/>
              </w:rPr>
              <w:t>5</w:t>
            </w:r>
          </w:p>
        </w:tc>
      </w:tr>
    </w:tbl>
    <w:p>
      <w:pPr>
        <w:pStyle w:val="TableParagraph"/>
        <w:spacing w:after="0"/>
        <w:rPr>
          <w:sz w:val="24"/>
        </w:rPr>
        <w:sectPr>
          <w:type w:val="continuous"/>
          <w:pgSz w:w="11910" w:h="16840"/>
          <w:pgMar w:header="0" w:footer="970" w:top="1100" w:bottom="1220" w:left="1417" w:right="283"/>
        </w:sectPr>
      </w:pPr>
    </w:p>
    <w:p>
      <w:pPr>
        <w:pStyle w:val="Heading2"/>
        <w:numPr>
          <w:ilvl w:val="0"/>
          <w:numId w:val="15"/>
        </w:numPr>
        <w:tabs>
          <w:tab w:pos="1271" w:val="left" w:leader="none"/>
        </w:tabs>
        <w:spacing w:line="240" w:lineRule="auto" w:before="72" w:after="0"/>
        <w:ind w:left="1271" w:right="0" w:hanging="420"/>
        <w:jc w:val="left"/>
      </w:pPr>
      <w:bookmarkStart w:name="_bookmark32" w:id="34"/>
      <w:bookmarkEnd w:id="34"/>
      <w:r>
        <w:rPr>
          <w:b w:val="0"/>
        </w:rPr>
      </w:r>
      <w:r>
        <w:rPr/>
        <w:t>Опросник</w:t>
      </w:r>
      <w:r>
        <w:rPr>
          <w:spacing w:val="-13"/>
        </w:rPr>
        <w:t> </w:t>
      </w:r>
      <w:r>
        <w:rPr/>
        <w:t>«Интеграция</w:t>
      </w:r>
      <w:r>
        <w:rPr>
          <w:spacing w:val="-10"/>
        </w:rPr>
        <w:t> </w:t>
      </w:r>
      <w:r>
        <w:rPr/>
        <w:t>бикультурной</w:t>
      </w:r>
      <w:r>
        <w:rPr>
          <w:spacing w:val="-10"/>
        </w:rPr>
        <w:t> </w:t>
      </w:r>
      <w:r>
        <w:rPr>
          <w:spacing w:val="-2"/>
        </w:rPr>
        <w:t>идентичности»</w:t>
      </w:r>
    </w:p>
    <w:p>
      <w:pPr>
        <w:pStyle w:val="Heading3"/>
        <w:spacing w:before="245"/>
      </w:pPr>
      <w:r>
        <w:rPr/>
        <w:t>Описание</w:t>
      </w:r>
      <w:r>
        <w:rPr>
          <w:spacing w:val="-2"/>
        </w:rPr>
        <w:t> методики</w:t>
      </w:r>
    </w:p>
    <w:p>
      <w:pPr>
        <w:spacing w:line="240" w:lineRule="auto" w:before="232"/>
        <w:ind w:left="285" w:right="561" w:firstLine="0"/>
        <w:jc w:val="both"/>
        <w:rPr>
          <w:sz w:val="28"/>
        </w:rPr>
      </w:pPr>
      <w:r>
        <w:rPr>
          <w:sz w:val="28"/>
        </w:rPr>
        <w:t>Опросник «Интеграция бикультурной идентичности» </w:t>
      </w:r>
      <w:r>
        <w:rPr>
          <w:i/>
          <w:sz w:val="28"/>
        </w:rPr>
        <w:t>(The Bicultural Identity Integration Scale–Version 2) </w:t>
      </w:r>
      <w:r>
        <w:rPr>
          <w:sz w:val="28"/>
        </w:rPr>
        <w:t>разработан на базе концепции бикультурной идентичности В. Бенет-Мартинес (</w:t>
      </w:r>
      <w:r>
        <w:rPr>
          <w:i/>
          <w:sz w:val="28"/>
        </w:rPr>
        <w:t>Benet-Martínez, Haritatos, </w:t>
      </w:r>
      <w:r>
        <w:rPr>
          <w:sz w:val="28"/>
        </w:rPr>
        <w:t>2005; </w:t>
      </w:r>
      <w:r>
        <w:rPr>
          <w:i/>
          <w:sz w:val="28"/>
        </w:rPr>
        <w:t>Benet- Martínez, Leu, Lee, Morris, </w:t>
      </w:r>
      <w:r>
        <w:rPr>
          <w:sz w:val="28"/>
        </w:rPr>
        <w:t>2002). Бикультурная идентичность — это идентичность человека, считающего себя принадлежащим к двум культурам одновременно. Она возникает, когда человек воспринимает себя представителем двух культур, что часто (но необязательно) случается в ситуации миграции.</w:t>
      </w:r>
    </w:p>
    <w:p>
      <w:pPr>
        <w:pStyle w:val="Heading4"/>
        <w:spacing w:before="240"/>
        <w:ind w:right="570"/>
      </w:pPr>
      <w:r>
        <w:rPr/>
        <w:t>Таким образом, опросник применим только к тем старшим подросткам, кто ощущает себя носителем минимум двух культур (например, русской и таджикской). У таких подростков он измеряет особенности бикультурной идентичности — степень ее интеграции.</w:t>
      </w:r>
    </w:p>
    <w:p>
      <w:pPr>
        <w:pStyle w:val="Heading4"/>
        <w:spacing w:before="241"/>
        <w:ind w:right="564"/>
      </w:pPr>
      <w:r>
        <w:rPr/>
        <w:t>Интеграция бикультурной идентичности, измеряемая опросником, может идти двумя путями одновременно. Первый путь — обретение культурной гармонии. В случае неудачи подросток ощущает конфликт культур. Второй путь</w:t>
      </w:r>
      <w:r>
        <w:rPr>
          <w:spacing w:val="-5"/>
        </w:rPr>
        <w:t> </w:t>
      </w:r>
      <w:r>
        <w:rPr/>
        <w:t>—</w:t>
      </w:r>
      <w:r>
        <w:rPr>
          <w:spacing w:val="-6"/>
        </w:rPr>
        <w:t> </w:t>
      </w:r>
      <w:r>
        <w:rPr/>
        <w:t>смешение</w:t>
      </w:r>
      <w:r>
        <w:rPr>
          <w:spacing w:val="-6"/>
        </w:rPr>
        <w:t> </w:t>
      </w:r>
      <w:r>
        <w:rPr/>
        <w:t>культур.</w:t>
      </w:r>
      <w:r>
        <w:rPr>
          <w:spacing w:val="-7"/>
        </w:rPr>
        <w:t> </w:t>
      </w:r>
      <w:r>
        <w:rPr/>
        <w:t>В</w:t>
      </w:r>
      <w:r>
        <w:rPr>
          <w:spacing w:val="-6"/>
        </w:rPr>
        <w:t> </w:t>
      </w:r>
      <w:r>
        <w:rPr/>
        <w:t>случае</w:t>
      </w:r>
      <w:r>
        <w:rPr>
          <w:spacing w:val="-6"/>
        </w:rPr>
        <w:t> </w:t>
      </w:r>
      <w:r>
        <w:rPr/>
        <w:t>неудачи</w:t>
      </w:r>
      <w:r>
        <w:rPr>
          <w:spacing w:val="-5"/>
        </w:rPr>
        <w:t> </w:t>
      </w:r>
      <w:r>
        <w:rPr/>
        <w:t>подросток</w:t>
      </w:r>
      <w:r>
        <w:rPr>
          <w:spacing w:val="-6"/>
        </w:rPr>
        <w:t> </w:t>
      </w:r>
      <w:r>
        <w:rPr/>
        <w:t>ощущает</w:t>
      </w:r>
      <w:r>
        <w:rPr>
          <w:spacing w:val="-7"/>
        </w:rPr>
        <w:t> </w:t>
      </w:r>
      <w:r>
        <w:rPr/>
        <w:t>культурную разобщенность, «отдаленность» друг от друга культурных идентичностей.</w:t>
      </w:r>
    </w:p>
    <w:p>
      <w:pPr>
        <w:pStyle w:val="Heading4"/>
        <w:spacing w:line="242" w:lineRule="auto" w:before="239"/>
        <w:ind w:right="572"/>
      </w:pPr>
      <w:r>
        <w:rPr/>
        <w:t>Опросник измеряет успешность обоих путей интеграции бикультурной </w:t>
      </w:r>
      <w:r>
        <w:rPr>
          <w:spacing w:val="-2"/>
        </w:rPr>
        <w:t>идентичности.</w:t>
      </w:r>
    </w:p>
    <w:p>
      <w:pPr>
        <w:pStyle w:val="Heading4"/>
        <w:numPr>
          <w:ilvl w:val="1"/>
          <w:numId w:val="15"/>
        </w:numPr>
        <w:tabs>
          <w:tab w:pos="1365" w:val="left" w:leader="none"/>
          <w:tab w:pos="1410" w:val="left" w:leader="none"/>
        </w:tabs>
        <w:spacing w:line="240" w:lineRule="auto" w:before="0" w:after="0"/>
        <w:ind w:left="1365" w:right="561" w:hanging="360"/>
        <w:jc w:val="both"/>
      </w:pPr>
      <w:r>
        <w:rPr>
          <w:i/>
        </w:rPr>
        <w:t>Культурная</w:t>
      </w:r>
      <w:r>
        <w:rPr>
          <w:i/>
          <w:spacing w:val="40"/>
        </w:rPr>
        <w:t> </w:t>
      </w:r>
      <w:r>
        <w:rPr>
          <w:i/>
        </w:rPr>
        <w:t>гармония vs Конфликт культур</w:t>
      </w:r>
      <w:r>
        <w:rPr/>
        <w:t>. Эта шкала показывает, насколько в восприятии человека особенности двух культур, к которым</w:t>
      </w:r>
      <w:r>
        <w:rPr>
          <w:spacing w:val="-18"/>
        </w:rPr>
        <w:t> </w:t>
      </w:r>
      <w:r>
        <w:rPr/>
        <w:t>он</w:t>
      </w:r>
      <w:r>
        <w:rPr>
          <w:spacing w:val="-17"/>
        </w:rPr>
        <w:t> </w:t>
      </w:r>
      <w:r>
        <w:rPr/>
        <w:t>принадлежит,</w:t>
      </w:r>
      <w:r>
        <w:rPr>
          <w:spacing w:val="-18"/>
        </w:rPr>
        <w:t> </w:t>
      </w:r>
      <w:r>
        <w:rPr/>
        <w:t>либо</w:t>
      </w:r>
      <w:r>
        <w:rPr>
          <w:spacing w:val="-17"/>
        </w:rPr>
        <w:t> </w:t>
      </w:r>
      <w:r>
        <w:rPr/>
        <w:t>гармонично</w:t>
      </w:r>
      <w:r>
        <w:rPr>
          <w:spacing w:val="-18"/>
        </w:rPr>
        <w:t> </w:t>
      </w:r>
      <w:r>
        <w:rPr/>
        <w:t>сочетаются</w:t>
      </w:r>
      <w:r>
        <w:rPr>
          <w:spacing w:val="-17"/>
        </w:rPr>
        <w:t> </w:t>
      </w:r>
      <w:r>
        <w:rPr/>
        <w:t>между</w:t>
      </w:r>
      <w:r>
        <w:rPr>
          <w:spacing w:val="-18"/>
        </w:rPr>
        <w:t> </w:t>
      </w:r>
      <w:r>
        <w:rPr/>
        <w:t>собой, либо находятся в конфликте (пример утверждения: «Мне легко находить согласие между моей этнической и русской культурой»).</w:t>
      </w:r>
    </w:p>
    <w:p>
      <w:pPr>
        <w:pStyle w:val="Heading4"/>
        <w:numPr>
          <w:ilvl w:val="1"/>
          <w:numId w:val="15"/>
        </w:numPr>
        <w:tabs>
          <w:tab w:pos="1365" w:val="left" w:leader="none"/>
          <w:tab w:pos="1482" w:val="left" w:leader="none"/>
        </w:tabs>
        <w:spacing w:line="240" w:lineRule="auto" w:before="0" w:after="0"/>
        <w:ind w:left="1365" w:right="560" w:hanging="360"/>
        <w:jc w:val="both"/>
      </w:pPr>
      <w:r>
        <w:rPr/>
        <w:tab/>
      </w:r>
      <w:r>
        <w:rPr>
          <w:i/>
        </w:rPr>
        <w:t>Культурное смешение vs Культурная разобщенность</w:t>
      </w:r>
      <w:r>
        <w:rPr/>
        <w:t>. Эта шкала отражает степень целостности бикультурной идентичности, насколько</w:t>
      </w:r>
      <w:r>
        <w:rPr>
          <w:spacing w:val="-10"/>
        </w:rPr>
        <w:t> </w:t>
      </w:r>
      <w:r>
        <w:rPr/>
        <w:t>идентичности</w:t>
      </w:r>
      <w:r>
        <w:rPr>
          <w:spacing w:val="-11"/>
        </w:rPr>
        <w:t> </w:t>
      </w:r>
      <w:r>
        <w:rPr/>
        <w:t>двух</w:t>
      </w:r>
      <w:r>
        <w:rPr>
          <w:spacing w:val="-10"/>
        </w:rPr>
        <w:t> </w:t>
      </w:r>
      <w:r>
        <w:rPr/>
        <w:t>культур,</w:t>
      </w:r>
      <w:r>
        <w:rPr>
          <w:spacing w:val="-10"/>
        </w:rPr>
        <w:t> </w:t>
      </w:r>
      <w:r>
        <w:rPr/>
        <w:t>ее</w:t>
      </w:r>
      <w:r>
        <w:rPr>
          <w:spacing w:val="-10"/>
        </w:rPr>
        <w:t> </w:t>
      </w:r>
      <w:r>
        <w:rPr/>
        <w:t>составляющих,</w:t>
      </w:r>
      <w:r>
        <w:rPr>
          <w:spacing w:val="-11"/>
        </w:rPr>
        <w:t> </w:t>
      </w:r>
      <w:r>
        <w:rPr/>
        <w:t>сочетаются друг с другом по различным параметрам либо разобщены (пример утверждения: «Я чувствую себя представителем своей этнической группы и русским одновременно»).</w:t>
      </w:r>
    </w:p>
    <w:p>
      <w:pPr>
        <w:pStyle w:val="Heading4"/>
        <w:spacing w:before="234"/>
        <w:ind w:right="561"/>
      </w:pPr>
      <w:r>
        <w:rPr/>
        <w:t>Опросник «Интеграция бикультурной идентичности» представляет собой набор из 15 утверждений, согласие с которыми нужно оценить по пятибалльной шкале (от «полностью не согласен» до «полностью согласен»). Утверждения относятся к одной из двух представленных шкал и могут быть как прямыми, так и обратными.</w:t>
      </w:r>
    </w:p>
    <w:p>
      <w:pPr>
        <w:pStyle w:val="Heading4"/>
        <w:spacing w:after="0"/>
        <w:sectPr>
          <w:pgSz w:w="11910" w:h="16840"/>
          <w:pgMar w:header="0" w:footer="970" w:top="1040" w:bottom="1220" w:left="1417" w:right="283"/>
        </w:sectPr>
      </w:pPr>
    </w:p>
    <w:p>
      <w:pPr>
        <w:pStyle w:val="Heading3"/>
      </w:pPr>
      <w:r>
        <w:rPr/>
        <w:t>Проведение</w:t>
      </w:r>
      <w:r>
        <w:rPr>
          <w:spacing w:val="-10"/>
        </w:rPr>
        <w:t> </w:t>
      </w:r>
      <w:r>
        <w:rPr>
          <w:spacing w:val="-2"/>
        </w:rPr>
        <w:t>методики</w:t>
      </w:r>
    </w:p>
    <w:p>
      <w:pPr>
        <w:pStyle w:val="Heading4"/>
        <w:spacing w:before="236"/>
        <w:ind w:right="561"/>
      </w:pPr>
      <w:r>
        <w:rPr/>
        <w:t>Респонденты получают бланки опросника, содержащего 15 утверждений и шкалу</w:t>
      </w:r>
      <w:r>
        <w:rPr>
          <w:spacing w:val="-17"/>
        </w:rPr>
        <w:t> </w:t>
      </w:r>
      <w:r>
        <w:rPr/>
        <w:t>их</w:t>
      </w:r>
      <w:r>
        <w:rPr>
          <w:spacing w:val="-12"/>
        </w:rPr>
        <w:t> </w:t>
      </w:r>
      <w:r>
        <w:rPr/>
        <w:t>оценки</w:t>
      </w:r>
      <w:r>
        <w:rPr>
          <w:spacing w:val="-11"/>
        </w:rPr>
        <w:t> </w:t>
      </w:r>
      <w:r>
        <w:rPr/>
        <w:t>(см.</w:t>
      </w:r>
      <w:r>
        <w:rPr>
          <w:spacing w:val="-11"/>
        </w:rPr>
        <w:t> </w:t>
      </w:r>
      <w:r>
        <w:rPr>
          <w:i/>
        </w:rPr>
        <w:t>Приложение</w:t>
      </w:r>
      <w:r>
        <w:rPr>
          <w:i/>
          <w:spacing w:val="-12"/>
        </w:rPr>
        <w:t> </w:t>
      </w:r>
      <w:r>
        <w:rPr>
          <w:i/>
        </w:rPr>
        <w:t>18</w:t>
      </w:r>
      <w:r>
        <w:rPr/>
        <w:t>).</w:t>
      </w:r>
      <w:r>
        <w:rPr>
          <w:spacing w:val="-13"/>
        </w:rPr>
        <w:t> </w:t>
      </w:r>
      <w:r>
        <w:rPr/>
        <w:t>По</w:t>
      </w:r>
      <w:r>
        <w:rPr>
          <w:spacing w:val="-12"/>
        </w:rPr>
        <w:t> </w:t>
      </w:r>
      <w:r>
        <w:rPr/>
        <w:t>каждому</w:t>
      </w:r>
      <w:r>
        <w:rPr>
          <w:spacing w:val="-14"/>
        </w:rPr>
        <w:t> </w:t>
      </w:r>
      <w:r>
        <w:rPr/>
        <w:t>утверждению</w:t>
      </w:r>
      <w:r>
        <w:rPr>
          <w:spacing w:val="-13"/>
        </w:rPr>
        <w:t> </w:t>
      </w:r>
      <w:r>
        <w:rPr/>
        <w:t>необходимо выбрать</w:t>
      </w:r>
      <w:r>
        <w:rPr>
          <w:spacing w:val="-10"/>
        </w:rPr>
        <w:t> </w:t>
      </w:r>
      <w:r>
        <w:rPr/>
        <w:t>наиболее</w:t>
      </w:r>
      <w:r>
        <w:rPr>
          <w:spacing w:val="-8"/>
        </w:rPr>
        <w:t> </w:t>
      </w:r>
      <w:r>
        <w:rPr/>
        <w:t>подходящий</w:t>
      </w:r>
      <w:r>
        <w:rPr>
          <w:spacing w:val="-8"/>
        </w:rPr>
        <w:t> </w:t>
      </w:r>
      <w:r>
        <w:rPr/>
        <w:t>вариант</w:t>
      </w:r>
      <w:r>
        <w:rPr>
          <w:spacing w:val="-7"/>
        </w:rPr>
        <w:t> </w:t>
      </w:r>
      <w:r>
        <w:rPr/>
        <w:t>—</w:t>
      </w:r>
      <w:r>
        <w:rPr>
          <w:spacing w:val="-9"/>
        </w:rPr>
        <w:t> </w:t>
      </w:r>
      <w:r>
        <w:rPr/>
        <w:t>обвести</w:t>
      </w:r>
      <w:r>
        <w:rPr>
          <w:spacing w:val="-8"/>
        </w:rPr>
        <w:t> </w:t>
      </w:r>
      <w:r>
        <w:rPr/>
        <w:t>в</w:t>
      </w:r>
      <w:r>
        <w:rPr>
          <w:spacing w:val="-9"/>
        </w:rPr>
        <w:t> </w:t>
      </w:r>
      <w:r>
        <w:rPr/>
        <w:t>бланке</w:t>
      </w:r>
      <w:r>
        <w:rPr>
          <w:spacing w:val="-9"/>
        </w:rPr>
        <w:t> </w:t>
      </w:r>
      <w:r>
        <w:rPr/>
        <w:t>соответствующий номер кружочком. Методика заполняется индивидуально и отражает представления</w:t>
      </w:r>
      <w:r>
        <w:rPr>
          <w:spacing w:val="-18"/>
        </w:rPr>
        <w:t> </w:t>
      </w:r>
      <w:r>
        <w:rPr/>
        <w:t>респондента</w:t>
      </w:r>
      <w:r>
        <w:rPr>
          <w:spacing w:val="-17"/>
        </w:rPr>
        <w:t> </w:t>
      </w:r>
      <w:r>
        <w:rPr/>
        <w:t>о</w:t>
      </w:r>
      <w:r>
        <w:rPr>
          <w:spacing w:val="-18"/>
        </w:rPr>
        <w:t> </w:t>
      </w:r>
      <w:r>
        <w:rPr/>
        <w:t>собственной</w:t>
      </w:r>
      <w:r>
        <w:rPr>
          <w:spacing w:val="-17"/>
        </w:rPr>
        <w:t> </w:t>
      </w:r>
      <w:r>
        <w:rPr/>
        <w:t>бикультурной</w:t>
      </w:r>
      <w:r>
        <w:rPr>
          <w:spacing w:val="-18"/>
        </w:rPr>
        <w:t> </w:t>
      </w:r>
      <w:r>
        <w:rPr/>
        <w:t>идентичности.</w:t>
      </w:r>
      <w:r>
        <w:rPr>
          <w:spacing w:val="-17"/>
        </w:rPr>
        <w:t> </w:t>
      </w:r>
      <w:r>
        <w:rPr/>
        <w:t>Перед заполнением опросника необходимо уточнить у подростка-мигранта, к каким культурам он/а себя относит.</w:t>
      </w:r>
    </w:p>
    <w:p>
      <w:pPr>
        <w:pStyle w:val="Heading4"/>
        <w:spacing w:before="239"/>
        <w:ind w:right="563"/>
      </w:pPr>
      <w:r>
        <w:rPr/>
        <w:t>Для подсчета результатов опросника необходимо суммировать баллы по каждому утверждению. Утверждения 1–10 относятся к шкале «Культурная гармония</w:t>
      </w:r>
      <w:r>
        <w:rPr>
          <w:spacing w:val="-9"/>
        </w:rPr>
        <w:t> </w:t>
      </w:r>
      <w:r>
        <w:rPr>
          <w:i/>
        </w:rPr>
        <w:t>vs</w:t>
      </w:r>
      <w:r>
        <w:rPr>
          <w:i/>
          <w:spacing w:val="-9"/>
        </w:rPr>
        <w:t> </w:t>
      </w:r>
      <w:r>
        <w:rPr/>
        <w:t>Культурный</w:t>
      </w:r>
      <w:r>
        <w:rPr>
          <w:spacing w:val="-10"/>
        </w:rPr>
        <w:t> </w:t>
      </w:r>
      <w:r>
        <w:rPr/>
        <w:t>конфликт»,</w:t>
      </w:r>
      <w:r>
        <w:rPr>
          <w:spacing w:val="-12"/>
        </w:rPr>
        <w:t> </w:t>
      </w:r>
      <w:r>
        <w:rPr/>
        <w:t>из</w:t>
      </w:r>
      <w:r>
        <w:rPr>
          <w:spacing w:val="-11"/>
        </w:rPr>
        <w:t> </w:t>
      </w:r>
      <w:r>
        <w:rPr/>
        <w:t>них</w:t>
      </w:r>
      <w:r>
        <w:rPr>
          <w:spacing w:val="-6"/>
        </w:rPr>
        <w:t> </w:t>
      </w:r>
      <w:r>
        <w:rPr/>
        <w:t>вопросы</w:t>
      </w:r>
      <w:r>
        <w:rPr>
          <w:spacing w:val="-10"/>
        </w:rPr>
        <w:t> </w:t>
      </w:r>
      <w:r>
        <w:rPr/>
        <w:t>с</w:t>
      </w:r>
      <w:r>
        <w:rPr>
          <w:spacing w:val="-10"/>
        </w:rPr>
        <w:t> </w:t>
      </w:r>
      <w:r>
        <w:rPr/>
        <w:t>4</w:t>
      </w:r>
      <w:r>
        <w:rPr>
          <w:spacing w:val="-9"/>
        </w:rPr>
        <w:t> </w:t>
      </w:r>
      <w:r>
        <w:rPr/>
        <w:t>по</w:t>
      </w:r>
      <w:r>
        <w:rPr>
          <w:spacing w:val="-9"/>
        </w:rPr>
        <w:t> </w:t>
      </w:r>
      <w:r>
        <w:rPr/>
        <w:t>10</w:t>
      </w:r>
      <w:r>
        <w:rPr>
          <w:spacing w:val="-9"/>
        </w:rPr>
        <w:t> </w:t>
      </w:r>
      <w:r>
        <w:rPr/>
        <w:t>(включительно) являются обратными. Утверждения 11–15 относятся к шкале «Культурное смешение </w:t>
      </w:r>
      <w:r>
        <w:rPr>
          <w:i/>
        </w:rPr>
        <w:t>vs </w:t>
      </w:r>
      <w:r>
        <w:rPr/>
        <w:t>Культурная разобщенность», обратными среди них являются вопросы 14–15.</w:t>
      </w:r>
    </w:p>
    <w:p>
      <w:pPr>
        <w:spacing w:before="241"/>
        <w:ind w:left="285" w:right="561" w:firstLine="0"/>
        <w:jc w:val="both"/>
        <w:rPr>
          <w:sz w:val="28"/>
        </w:rPr>
      </w:pPr>
      <w:r>
        <w:rPr>
          <w:sz w:val="28"/>
        </w:rPr>
        <w:t>По результатам апробации в 2022 г. в 12 регионах РФ программы оценки особых образовательных потребностей ребенка-мигранта в сферах психологического</w:t>
      </w:r>
      <w:r>
        <w:rPr>
          <w:spacing w:val="-15"/>
          <w:sz w:val="28"/>
        </w:rPr>
        <w:t> </w:t>
      </w:r>
      <w:r>
        <w:rPr>
          <w:sz w:val="28"/>
        </w:rPr>
        <w:t>благополучия,</w:t>
      </w:r>
      <w:r>
        <w:rPr>
          <w:spacing w:val="-14"/>
          <w:sz w:val="28"/>
        </w:rPr>
        <w:t> </w:t>
      </w:r>
      <w:r>
        <w:rPr>
          <w:sz w:val="28"/>
        </w:rPr>
        <w:t>социальных</w:t>
      </w:r>
      <w:r>
        <w:rPr>
          <w:spacing w:val="-16"/>
          <w:sz w:val="28"/>
        </w:rPr>
        <w:t> </w:t>
      </w:r>
      <w:r>
        <w:rPr>
          <w:sz w:val="28"/>
        </w:rPr>
        <w:t>навыков</w:t>
      </w:r>
      <w:r>
        <w:rPr>
          <w:spacing w:val="-15"/>
          <w:sz w:val="28"/>
        </w:rPr>
        <w:t> </w:t>
      </w:r>
      <w:r>
        <w:rPr>
          <w:sz w:val="28"/>
        </w:rPr>
        <w:t>и</w:t>
      </w:r>
      <w:r>
        <w:rPr>
          <w:spacing w:val="-16"/>
          <w:sz w:val="28"/>
        </w:rPr>
        <w:t> </w:t>
      </w:r>
      <w:r>
        <w:rPr>
          <w:sz w:val="28"/>
        </w:rPr>
        <w:t>культурной</w:t>
      </w:r>
      <w:r>
        <w:rPr>
          <w:spacing w:val="-6"/>
          <w:sz w:val="28"/>
        </w:rPr>
        <w:t> </w:t>
      </w:r>
      <w:r>
        <w:rPr>
          <w:sz w:val="24"/>
        </w:rPr>
        <w:t>адаптации, на основании статистического анализа распределения показателей </w:t>
      </w:r>
      <w:r>
        <w:rPr>
          <w:sz w:val="28"/>
        </w:rPr>
        <w:t>у детей — иностранных граждан, выделены следующие нормативы.</w:t>
      </w:r>
    </w:p>
    <w:p>
      <w:pPr>
        <w:pStyle w:val="Heading3"/>
        <w:spacing w:line="322" w:lineRule="exact" w:before="246"/>
        <w:ind w:left="8245"/>
        <w:jc w:val="left"/>
      </w:pPr>
      <w:r>
        <w:rPr/>
        <w:t>Таблица</w:t>
      </w:r>
      <w:r>
        <w:rPr>
          <w:spacing w:val="-6"/>
        </w:rPr>
        <w:t> </w:t>
      </w:r>
      <w:r>
        <w:rPr>
          <w:spacing w:val="-5"/>
        </w:rPr>
        <w:t>31</w:t>
      </w:r>
    </w:p>
    <w:p>
      <w:pPr>
        <w:spacing w:line="276" w:lineRule="auto" w:before="0"/>
        <w:ind w:left="1021" w:right="0" w:firstLine="249"/>
        <w:jc w:val="left"/>
        <w:rPr>
          <w:b/>
          <w:sz w:val="28"/>
        </w:rPr>
      </w:pPr>
      <w:r>
        <w:rPr>
          <w:b/>
          <w:sz w:val="28"/>
        </w:rPr>
        <w:t>Пересмотренные критерии оценки по шкале на выборках несовершеннолетних</w:t>
      </w:r>
      <w:r>
        <w:rPr>
          <w:b/>
          <w:spacing w:val="-5"/>
          <w:sz w:val="28"/>
        </w:rPr>
        <w:t> </w:t>
      </w:r>
      <w:r>
        <w:rPr>
          <w:b/>
          <w:sz w:val="28"/>
        </w:rPr>
        <w:t>детей</w:t>
      </w:r>
      <w:r>
        <w:rPr>
          <w:b/>
          <w:spacing w:val="-5"/>
          <w:sz w:val="28"/>
        </w:rPr>
        <w:t> </w:t>
      </w:r>
      <w:r>
        <w:rPr>
          <w:b/>
          <w:sz w:val="28"/>
        </w:rPr>
        <w:t>—</w:t>
      </w:r>
      <w:r>
        <w:rPr>
          <w:b/>
          <w:spacing w:val="-7"/>
          <w:sz w:val="28"/>
        </w:rPr>
        <w:t> </w:t>
      </w:r>
      <w:r>
        <w:rPr>
          <w:b/>
          <w:sz w:val="28"/>
        </w:rPr>
        <w:t>иностранных</w:t>
      </w:r>
      <w:r>
        <w:rPr>
          <w:b/>
          <w:spacing w:val="-5"/>
          <w:sz w:val="28"/>
        </w:rPr>
        <w:t> </w:t>
      </w:r>
      <w:r>
        <w:rPr>
          <w:b/>
          <w:sz w:val="28"/>
        </w:rPr>
        <w:t>граждан</w:t>
      </w:r>
      <w:r>
        <w:rPr>
          <w:b/>
          <w:spacing w:val="-6"/>
          <w:sz w:val="28"/>
        </w:rPr>
        <w:t> </w:t>
      </w:r>
      <w:r>
        <w:rPr>
          <w:b/>
          <w:sz w:val="28"/>
        </w:rPr>
        <w:t>в</w:t>
      </w:r>
      <w:r>
        <w:rPr>
          <w:b/>
          <w:spacing w:val="-7"/>
          <w:sz w:val="28"/>
        </w:rPr>
        <w:t> </w:t>
      </w:r>
      <w:r>
        <w:rPr>
          <w:b/>
          <w:sz w:val="28"/>
        </w:rPr>
        <w:t>России</w:t>
      </w:r>
    </w:p>
    <w:p>
      <w:pPr>
        <w:pStyle w:val="BodyText"/>
        <w:ind w:left="0" w:right="0" w:firstLine="0"/>
        <w:jc w:val="left"/>
        <w:rPr>
          <w:b/>
        </w:rPr>
      </w:pPr>
    </w:p>
    <w:p>
      <w:pPr>
        <w:pStyle w:val="BodyText"/>
        <w:ind w:left="0" w:right="0" w:firstLine="0"/>
        <w:jc w:val="left"/>
        <w:rPr>
          <w:b/>
        </w:rPr>
      </w:pPr>
    </w:p>
    <w:p>
      <w:pPr>
        <w:pStyle w:val="BodyText"/>
        <w:spacing w:before="21"/>
        <w:ind w:left="0" w:right="0" w:firstLine="0"/>
        <w:jc w:val="left"/>
        <w:rPr>
          <w:b/>
        </w:rPr>
      </w:pPr>
    </w:p>
    <w:tbl>
      <w:tblPr>
        <w:tblW w:w="0" w:type="auto"/>
        <w:jc w:val="left"/>
        <w:tblInd w:w="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219"/>
        <w:gridCol w:w="2412"/>
        <w:gridCol w:w="3543"/>
      </w:tblGrid>
      <w:tr>
        <w:trPr>
          <w:trHeight w:val="716" w:hRule="atLeast"/>
        </w:trPr>
        <w:tc>
          <w:tcPr>
            <w:tcW w:w="3219" w:type="dxa"/>
            <w:vMerge w:val="restart"/>
          </w:tcPr>
          <w:p>
            <w:pPr>
              <w:pStyle w:val="TableParagraph"/>
              <w:spacing w:before="99"/>
              <w:ind w:left="21"/>
              <w:jc w:val="center"/>
              <w:rPr>
                <w:b/>
                <w:sz w:val="24"/>
              </w:rPr>
            </w:pPr>
            <w:r>
              <w:rPr>
                <w:b/>
                <w:spacing w:val="-2"/>
                <w:sz w:val="24"/>
              </w:rPr>
              <w:t>Уровни</w:t>
            </w:r>
          </w:p>
        </w:tc>
        <w:tc>
          <w:tcPr>
            <w:tcW w:w="5955" w:type="dxa"/>
            <w:gridSpan w:val="2"/>
          </w:tcPr>
          <w:p>
            <w:pPr>
              <w:pStyle w:val="TableParagraph"/>
              <w:spacing w:before="99"/>
              <w:ind w:left="1706"/>
              <w:rPr>
                <w:b/>
                <w:sz w:val="24"/>
              </w:rPr>
            </w:pPr>
            <w:r>
              <w:rPr>
                <w:b/>
                <w:sz w:val="24"/>
              </w:rPr>
              <w:t>Старшая</w:t>
            </w:r>
            <w:r>
              <w:rPr>
                <w:b/>
                <w:spacing w:val="-4"/>
                <w:sz w:val="24"/>
              </w:rPr>
              <w:t> </w:t>
            </w:r>
            <w:r>
              <w:rPr>
                <w:b/>
                <w:sz w:val="24"/>
              </w:rPr>
              <w:t>школа</w:t>
            </w:r>
            <w:r>
              <w:rPr>
                <w:b/>
                <w:spacing w:val="-4"/>
                <w:sz w:val="24"/>
              </w:rPr>
              <w:t> </w:t>
            </w:r>
            <w:r>
              <w:rPr>
                <w:b/>
                <w:spacing w:val="-2"/>
                <w:sz w:val="24"/>
              </w:rPr>
              <w:t>(N=90)</w:t>
            </w:r>
          </w:p>
        </w:tc>
      </w:tr>
      <w:tr>
        <w:trPr>
          <w:trHeight w:val="1670" w:hRule="atLeast"/>
        </w:trPr>
        <w:tc>
          <w:tcPr>
            <w:tcW w:w="3219" w:type="dxa"/>
            <w:vMerge/>
            <w:tcBorders>
              <w:top w:val="nil"/>
            </w:tcBorders>
          </w:tcPr>
          <w:p>
            <w:pPr>
              <w:rPr>
                <w:sz w:val="2"/>
                <w:szCs w:val="2"/>
              </w:rPr>
            </w:pPr>
          </w:p>
        </w:tc>
        <w:tc>
          <w:tcPr>
            <w:tcW w:w="2412" w:type="dxa"/>
          </w:tcPr>
          <w:p>
            <w:pPr>
              <w:pStyle w:val="TableParagraph"/>
              <w:spacing w:line="276" w:lineRule="auto" w:before="99"/>
              <w:ind w:left="508" w:right="489" w:firstLine="1"/>
              <w:jc w:val="center"/>
              <w:rPr>
                <w:b/>
                <w:sz w:val="24"/>
              </w:rPr>
            </w:pPr>
            <w:r>
              <w:rPr>
                <w:b/>
                <w:spacing w:val="-2"/>
                <w:sz w:val="24"/>
              </w:rPr>
              <w:t>Культурная </w:t>
            </w:r>
            <w:r>
              <w:rPr>
                <w:b/>
                <w:sz w:val="24"/>
              </w:rPr>
              <w:t>гармония vs </w:t>
            </w:r>
            <w:r>
              <w:rPr>
                <w:b/>
                <w:spacing w:val="-2"/>
                <w:sz w:val="24"/>
              </w:rPr>
              <w:t>Культурный конфликт</w:t>
            </w:r>
          </w:p>
        </w:tc>
        <w:tc>
          <w:tcPr>
            <w:tcW w:w="3543" w:type="dxa"/>
          </w:tcPr>
          <w:p>
            <w:pPr>
              <w:pStyle w:val="TableParagraph"/>
              <w:spacing w:line="276" w:lineRule="auto" w:before="99"/>
              <w:ind w:left="259" w:right="236" w:firstLine="163"/>
              <w:rPr>
                <w:b/>
                <w:sz w:val="24"/>
              </w:rPr>
            </w:pPr>
            <w:r>
              <w:rPr>
                <w:b/>
                <w:sz w:val="24"/>
              </w:rPr>
              <w:t>Культурное смешение vs Культурная</w:t>
            </w:r>
            <w:r>
              <w:rPr>
                <w:b/>
                <w:spacing w:val="-15"/>
                <w:sz w:val="24"/>
              </w:rPr>
              <w:t> </w:t>
            </w:r>
            <w:r>
              <w:rPr>
                <w:b/>
                <w:sz w:val="24"/>
              </w:rPr>
              <w:t>разобщенность</w:t>
            </w:r>
          </w:p>
        </w:tc>
      </w:tr>
      <w:tr>
        <w:trPr>
          <w:trHeight w:val="716" w:hRule="atLeast"/>
        </w:trPr>
        <w:tc>
          <w:tcPr>
            <w:tcW w:w="3219" w:type="dxa"/>
          </w:tcPr>
          <w:p>
            <w:pPr>
              <w:pStyle w:val="TableParagraph"/>
              <w:spacing w:before="94"/>
              <w:ind w:left="100"/>
              <w:rPr>
                <w:sz w:val="24"/>
              </w:rPr>
            </w:pPr>
            <w:r>
              <w:rPr>
                <w:sz w:val="24"/>
              </w:rPr>
              <w:t>Ниже</w:t>
            </w:r>
            <w:r>
              <w:rPr>
                <w:spacing w:val="-5"/>
                <w:sz w:val="24"/>
              </w:rPr>
              <w:t> </w:t>
            </w:r>
            <w:r>
              <w:rPr>
                <w:spacing w:val="-2"/>
                <w:sz w:val="24"/>
              </w:rPr>
              <w:t>среднего</w:t>
            </w:r>
          </w:p>
        </w:tc>
        <w:tc>
          <w:tcPr>
            <w:tcW w:w="2412" w:type="dxa"/>
          </w:tcPr>
          <w:p>
            <w:pPr>
              <w:pStyle w:val="TableParagraph"/>
              <w:spacing w:before="94"/>
              <w:ind w:left="19"/>
              <w:jc w:val="center"/>
              <w:rPr>
                <w:sz w:val="24"/>
              </w:rPr>
            </w:pPr>
            <w:r>
              <w:rPr>
                <w:spacing w:val="-2"/>
                <w:sz w:val="24"/>
              </w:rPr>
              <w:t>&lt;34.3</w:t>
            </w:r>
          </w:p>
        </w:tc>
        <w:tc>
          <w:tcPr>
            <w:tcW w:w="3543" w:type="dxa"/>
          </w:tcPr>
          <w:p>
            <w:pPr>
              <w:pStyle w:val="TableParagraph"/>
              <w:spacing w:before="94"/>
              <w:ind w:left="18"/>
              <w:jc w:val="center"/>
              <w:rPr>
                <w:sz w:val="24"/>
              </w:rPr>
            </w:pPr>
            <w:r>
              <w:rPr>
                <w:spacing w:val="-2"/>
                <w:sz w:val="24"/>
              </w:rPr>
              <w:t>&lt;16.4</w:t>
            </w:r>
          </w:p>
        </w:tc>
      </w:tr>
      <w:tr>
        <w:trPr>
          <w:trHeight w:val="716" w:hRule="atLeast"/>
        </w:trPr>
        <w:tc>
          <w:tcPr>
            <w:tcW w:w="3219" w:type="dxa"/>
          </w:tcPr>
          <w:p>
            <w:pPr>
              <w:pStyle w:val="TableParagraph"/>
              <w:spacing w:before="94"/>
              <w:ind w:left="100"/>
              <w:rPr>
                <w:sz w:val="24"/>
              </w:rPr>
            </w:pPr>
            <w:r>
              <w:rPr>
                <w:spacing w:val="-2"/>
                <w:sz w:val="24"/>
              </w:rPr>
              <w:t>Средний</w:t>
            </w:r>
          </w:p>
        </w:tc>
        <w:tc>
          <w:tcPr>
            <w:tcW w:w="2412" w:type="dxa"/>
          </w:tcPr>
          <w:p>
            <w:pPr>
              <w:pStyle w:val="TableParagraph"/>
              <w:spacing w:before="94"/>
              <w:ind w:left="664"/>
              <w:rPr>
                <w:sz w:val="24"/>
              </w:rPr>
            </w:pPr>
            <w:r>
              <w:rPr>
                <w:sz w:val="24"/>
              </w:rPr>
              <w:t>34.3 – </w:t>
            </w:r>
            <w:r>
              <w:rPr>
                <w:spacing w:val="-4"/>
                <w:sz w:val="24"/>
              </w:rPr>
              <w:t>46.6</w:t>
            </w:r>
          </w:p>
        </w:tc>
        <w:tc>
          <w:tcPr>
            <w:tcW w:w="3543" w:type="dxa"/>
          </w:tcPr>
          <w:p>
            <w:pPr>
              <w:pStyle w:val="TableParagraph"/>
              <w:spacing w:before="94"/>
              <w:ind w:left="1228"/>
              <w:rPr>
                <w:sz w:val="24"/>
              </w:rPr>
            </w:pPr>
            <w:r>
              <w:rPr>
                <w:sz w:val="24"/>
              </w:rPr>
              <w:t>16.4 – </w:t>
            </w:r>
            <w:r>
              <w:rPr>
                <w:spacing w:val="-4"/>
                <w:sz w:val="24"/>
              </w:rPr>
              <w:t>24.0</w:t>
            </w:r>
          </w:p>
        </w:tc>
      </w:tr>
      <w:tr>
        <w:trPr>
          <w:trHeight w:val="719" w:hRule="atLeast"/>
        </w:trPr>
        <w:tc>
          <w:tcPr>
            <w:tcW w:w="3219" w:type="dxa"/>
          </w:tcPr>
          <w:p>
            <w:pPr>
              <w:pStyle w:val="TableParagraph"/>
              <w:spacing w:before="94"/>
              <w:ind w:left="100"/>
              <w:rPr>
                <w:sz w:val="24"/>
              </w:rPr>
            </w:pPr>
            <w:r>
              <w:rPr>
                <w:sz w:val="24"/>
              </w:rPr>
              <w:t>Выше</w:t>
            </w:r>
            <w:r>
              <w:rPr>
                <w:spacing w:val="-2"/>
                <w:sz w:val="24"/>
              </w:rPr>
              <w:t> среднего</w:t>
            </w:r>
          </w:p>
        </w:tc>
        <w:tc>
          <w:tcPr>
            <w:tcW w:w="2412" w:type="dxa"/>
          </w:tcPr>
          <w:p>
            <w:pPr>
              <w:pStyle w:val="TableParagraph"/>
              <w:spacing w:before="94"/>
              <w:ind w:left="19"/>
              <w:jc w:val="center"/>
              <w:rPr>
                <w:sz w:val="24"/>
              </w:rPr>
            </w:pPr>
            <w:r>
              <w:rPr>
                <w:spacing w:val="-2"/>
                <w:sz w:val="24"/>
              </w:rPr>
              <w:t>&gt;46.6</w:t>
            </w:r>
          </w:p>
        </w:tc>
        <w:tc>
          <w:tcPr>
            <w:tcW w:w="3543" w:type="dxa"/>
          </w:tcPr>
          <w:p>
            <w:pPr>
              <w:pStyle w:val="TableParagraph"/>
              <w:spacing w:before="94"/>
              <w:ind w:left="18"/>
              <w:jc w:val="center"/>
              <w:rPr>
                <w:sz w:val="24"/>
              </w:rPr>
            </w:pPr>
            <w:r>
              <w:rPr>
                <w:spacing w:val="-2"/>
                <w:sz w:val="24"/>
              </w:rPr>
              <w:t>&gt;24.0</w:t>
            </w:r>
          </w:p>
        </w:tc>
      </w:tr>
    </w:tbl>
    <w:p>
      <w:pPr>
        <w:spacing w:before="234"/>
        <w:ind w:left="285" w:right="0" w:firstLine="0"/>
        <w:jc w:val="left"/>
        <w:rPr>
          <w:sz w:val="24"/>
        </w:rPr>
      </w:pPr>
      <w:r>
        <w:rPr>
          <w:i/>
          <w:sz w:val="24"/>
        </w:rPr>
        <w:t>Примечание.</w:t>
      </w:r>
      <w:r>
        <w:rPr>
          <w:i/>
          <w:spacing w:val="80"/>
          <w:w w:val="150"/>
          <w:sz w:val="24"/>
        </w:rPr>
        <w:t> </w:t>
      </w:r>
      <w:r>
        <w:rPr>
          <w:sz w:val="24"/>
        </w:rPr>
        <w:t>Значимых</w:t>
      </w:r>
      <w:r>
        <w:rPr>
          <w:spacing w:val="80"/>
          <w:w w:val="150"/>
          <w:sz w:val="24"/>
        </w:rPr>
        <w:t> </w:t>
      </w:r>
      <w:r>
        <w:rPr>
          <w:sz w:val="24"/>
        </w:rPr>
        <w:t>гендерных</w:t>
      </w:r>
      <w:r>
        <w:rPr>
          <w:spacing w:val="80"/>
          <w:w w:val="150"/>
          <w:sz w:val="24"/>
        </w:rPr>
        <w:t> </w:t>
      </w:r>
      <w:r>
        <w:rPr>
          <w:sz w:val="24"/>
        </w:rPr>
        <w:t>различий</w:t>
      </w:r>
      <w:r>
        <w:rPr>
          <w:spacing w:val="80"/>
          <w:w w:val="150"/>
          <w:sz w:val="24"/>
        </w:rPr>
        <w:t> </w:t>
      </w:r>
      <w:r>
        <w:rPr>
          <w:sz w:val="24"/>
        </w:rPr>
        <w:t>не</w:t>
      </w:r>
      <w:r>
        <w:rPr>
          <w:spacing w:val="80"/>
          <w:w w:val="150"/>
          <w:sz w:val="24"/>
        </w:rPr>
        <w:t> </w:t>
      </w:r>
      <w:r>
        <w:rPr>
          <w:sz w:val="24"/>
        </w:rPr>
        <w:t>выявлено,</w:t>
      </w:r>
      <w:r>
        <w:rPr>
          <w:spacing w:val="80"/>
          <w:w w:val="150"/>
          <w:sz w:val="24"/>
        </w:rPr>
        <w:t> </w:t>
      </w:r>
      <w:r>
        <w:rPr>
          <w:sz w:val="24"/>
        </w:rPr>
        <w:t>в</w:t>
      </w:r>
      <w:r>
        <w:rPr>
          <w:spacing w:val="80"/>
          <w:w w:val="150"/>
          <w:sz w:val="24"/>
        </w:rPr>
        <w:t> </w:t>
      </w:r>
      <w:r>
        <w:rPr>
          <w:sz w:val="24"/>
        </w:rPr>
        <w:t>связи</w:t>
      </w:r>
      <w:r>
        <w:rPr>
          <w:spacing w:val="80"/>
          <w:w w:val="150"/>
          <w:sz w:val="24"/>
        </w:rPr>
        <w:t> </w:t>
      </w:r>
      <w:r>
        <w:rPr>
          <w:sz w:val="24"/>
        </w:rPr>
        <w:t>с</w:t>
      </w:r>
      <w:r>
        <w:rPr>
          <w:spacing w:val="80"/>
          <w:w w:val="150"/>
          <w:sz w:val="24"/>
        </w:rPr>
        <w:t> </w:t>
      </w:r>
      <w:r>
        <w:rPr>
          <w:sz w:val="24"/>
        </w:rPr>
        <w:t>чем</w:t>
      </w:r>
      <w:r>
        <w:rPr>
          <w:spacing w:val="80"/>
          <w:w w:val="150"/>
          <w:sz w:val="24"/>
        </w:rPr>
        <w:t> </w:t>
      </w:r>
      <w:r>
        <w:rPr>
          <w:sz w:val="24"/>
        </w:rPr>
        <w:t>оценка производится без учета пола ребенка (t-критерий Стьюдента для независимых выборок).</w:t>
      </w:r>
    </w:p>
    <w:p>
      <w:pPr>
        <w:spacing w:after="0"/>
        <w:jc w:val="left"/>
        <w:rPr>
          <w:sz w:val="24"/>
        </w:rPr>
        <w:sectPr>
          <w:pgSz w:w="11910" w:h="16840"/>
          <w:pgMar w:header="0" w:footer="970" w:top="1040" w:bottom="1220" w:left="1417" w:right="283"/>
        </w:sectPr>
      </w:pPr>
    </w:p>
    <w:p>
      <w:pPr>
        <w:pStyle w:val="Heading3"/>
      </w:pPr>
      <w:r>
        <w:rPr/>
        <w:t>Психометрические</w:t>
      </w:r>
      <w:r>
        <w:rPr>
          <w:spacing w:val="-13"/>
        </w:rPr>
        <w:t> </w:t>
      </w:r>
      <w:r>
        <w:rPr/>
        <w:t>характеристики</w:t>
      </w:r>
      <w:r>
        <w:rPr>
          <w:spacing w:val="-13"/>
        </w:rPr>
        <w:t> </w:t>
      </w:r>
      <w:r>
        <w:rPr>
          <w:spacing w:val="-2"/>
        </w:rPr>
        <w:t>методики</w:t>
      </w:r>
    </w:p>
    <w:p>
      <w:pPr>
        <w:pStyle w:val="Heading4"/>
        <w:spacing w:before="236"/>
        <w:ind w:right="557"/>
      </w:pPr>
      <w:r>
        <w:rPr/>
        <w:t>Пилотная версия опросника «Интеграция бикультурной идентичности» </w:t>
      </w:r>
      <w:r>
        <w:rPr>
          <w:i/>
        </w:rPr>
        <w:t>(The Bicultural</w:t>
      </w:r>
      <w:r>
        <w:rPr>
          <w:i/>
          <w:spacing w:val="-6"/>
        </w:rPr>
        <w:t> </w:t>
      </w:r>
      <w:r>
        <w:rPr>
          <w:i/>
        </w:rPr>
        <w:t>Identity</w:t>
      </w:r>
      <w:r>
        <w:rPr>
          <w:i/>
          <w:spacing w:val="-6"/>
        </w:rPr>
        <w:t> </w:t>
      </w:r>
      <w:r>
        <w:rPr>
          <w:i/>
        </w:rPr>
        <w:t>Integration</w:t>
      </w:r>
      <w:r>
        <w:rPr>
          <w:i/>
          <w:spacing w:val="-6"/>
        </w:rPr>
        <w:t> </w:t>
      </w:r>
      <w:r>
        <w:rPr>
          <w:i/>
        </w:rPr>
        <w:t>Scale</w:t>
      </w:r>
      <w:r>
        <w:rPr>
          <w:i/>
          <w:spacing w:val="-2"/>
        </w:rPr>
        <w:t> </w:t>
      </w:r>
      <w:r>
        <w:rPr>
          <w:i/>
        </w:rPr>
        <w:t>—</w:t>
      </w:r>
      <w:r>
        <w:rPr>
          <w:i/>
          <w:spacing w:val="-6"/>
        </w:rPr>
        <w:t> </w:t>
      </w:r>
      <w:r>
        <w:rPr>
          <w:i/>
        </w:rPr>
        <w:t>Pilot</w:t>
      </w:r>
      <w:r>
        <w:rPr>
          <w:i/>
          <w:spacing w:val="-6"/>
        </w:rPr>
        <w:t> </w:t>
      </w:r>
      <w:r>
        <w:rPr>
          <w:i/>
        </w:rPr>
        <w:t>Version)</w:t>
      </w:r>
      <w:r>
        <w:rPr>
          <w:i/>
          <w:spacing w:val="-6"/>
        </w:rPr>
        <w:t> </w:t>
      </w:r>
      <w:r>
        <w:rPr/>
        <w:t>была</w:t>
      </w:r>
      <w:r>
        <w:rPr>
          <w:spacing w:val="-6"/>
        </w:rPr>
        <w:t> </w:t>
      </w:r>
      <w:r>
        <w:rPr/>
        <w:t>разработана</w:t>
      </w:r>
      <w:r>
        <w:rPr>
          <w:spacing w:val="-6"/>
        </w:rPr>
        <w:t> </w:t>
      </w:r>
      <w:r>
        <w:rPr/>
        <w:t>В.</w:t>
      </w:r>
      <w:r>
        <w:rPr>
          <w:spacing w:val="-7"/>
        </w:rPr>
        <w:t> </w:t>
      </w:r>
      <w:r>
        <w:rPr/>
        <w:t>Бенет- Мартинес и коллегами в 2002 году. В ее основу легла теория автора о сложносоставной</w:t>
      </w:r>
      <w:r>
        <w:rPr>
          <w:spacing w:val="-4"/>
        </w:rPr>
        <w:t> </w:t>
      </w:r>
      <w:r>
        <w:rPr/>
        <w:t>структуре</w:t>
      </w:r>
      <w:r>
        <w:rPr>
          <w:spacing w:val="-4"/>
        </w:rPr>
        <w:t> </w:t>
      </w:r>
      <w:r>
        <w:rPr/>
        <w:t>бикультурной</w:t>
      </w:r>
      <w:r>
        <w:rPr>
          <w:spacing w:val="-4"/>
        </w:rPr>
        <w:t> </w:t>
      </w:r>
      <w:r>
        <w:rPr/>
        <w:t>идентичности,</w:t>
      </w:r>
      <w:r>
        <w:rPr>
          <w:spacing w:val="-5"/>
        </w:rPr>
        <w:t> </w:t>
      </w:r>
      <w:r>
        <w:rPr/>
        <w:t>включающей</w:t>
      </w:r>
      <w:r>
        <w:rPr>
          <w:spacing w:val="-4"/>
        </w:rPr>
        <w:t> </w:t>
      </w:r>
      <w:r>
        <w:rPr/>
        <w:t>в</w:t>
      </w:r>
      <w:r>
        <w:rPr>
          <w:spacing w:val="-6"/>
        </w:rPr>
        <w:t> </w:t>
      </w:r>
      <w:r>
        <w:rPr/>
        <w:t>себя четыре параметра: культурную гармонию, культурный конфликт, культурное смешение и культурную разобщенность. Опросник содержал большое количество утверждений с невысоким уровнем их согласованности внутри шкал, поэтому авторы приняли решение о необходимости его доработки. К следующей версии </w:t>
      </w:r>
      <w:r>
        <w:rPr>
          <w:i/>
        </w:rPr>
        <w:t>(The Bicultural Identity Integration Scale — 1 Version) </w:t>
      </w:r>
      <w:r>
        <w:rPr/>
        <w:t>утверждения были доработаны, их количество увеличено, а затем с помощью факторного</w:t>
      </w:r>
      <w:r>
        <w:rPr>
          <w:spacing w:val="-10"/>
        </w:rPr>
        <w:t> </w:t>
      </w:r>
      <w:r>
        <w:rPr/>
        <w:t>анализа</w:t>
      </w:r>
      <w:r>
        <w:rPr>
          <w:spacing w:val="-14"/>
        </w:rPr>
        <w:t> </w:t>
      </w:r>
      <w:r>
        <w:rPr/>
        <w:t>сокращено</w:t>
      </w:r>
      <w:r>
        <w:rPr>
          <w:spacing w:val="-10"/>
        </w:rPr>
        <w:t> </w:t>
      </w:r>
      <w:r>
        <w:rPr/>
        <w:t>до</w:t>
      </w:r>
      <w:r>
        <w:rPr>
          <w:spacing w:val="-10"/>
        </w:rPr>
        <w:t> </w:t>
      </w:r>
      <w:r>
        <w:rPr/>
        <w:t>32,</w:t>
      </w:r>
      <w:r>
        <w:rPr>
          <w:spacing w:val="-12"/>
        </w:rPr>
        <w:t> </w:t>
      </w:r>
      <w:r>
        <w:rPr/>
        <w:t>каждое</w:t>
      </w:r>
      <w:r>
        <w:rPr>
          <w:spacing w:val="-7"/>
        </w:rPr>
        <w:t> </w:t>
      </w:r>
      <w:r>
        <w:rPr/>
        <w:t>из</w:t>
      </w:r>
      <w:r>
        <w:rPr>
          <w:spacing w:val="-12"/>
        </w:rPr>
        <w:t> </w:t>
      </w:r>
      <w:r>
        <w:rPr/>
        <w:t>которых</w:t>
      </w:r>
      <w:r>
        <w:rPr>
          <w:spacing w:val="-10"/>
        </w:rPr>
        <w:t> </w:t>
      </w:r>
      <w:r>
        <w:rPr/>
        <w:t>требовалось</w:t>
      </w:r>
      <w:r>
        <w:rPr>
          <w:spacing w:val="-12"/>
        </w:rPr>
        <w:t> </w:t>
      </w:r>
      <w:r>
        <w:rPr/>
        <w:t>оценить по восьмибалльной шкале Лайкерта. Все это существенно усложняло заполнение и обработку данных опросника. Шкал в опроснике по-прежнему оставалось</w:t>
      </w:r>
      <w:r>
        <w:rPr>
          <w:spacing w:val="-14"/>
        </w:rPr>
        <w:t> </w:t>
      </w:r>
      <w:r>
        <w:rPr/>
        <w:t>четыре</w:t>
      </w:r>
      <w:r>
        <w:rPr>
          <w:spacing w:val="-13"/>
        </w:rPr>
        <w:t> </w:t>
      </w:r>
      <w:r>
        <w:rPr/>
        <w:t>(</w:t>
      </w:r>
      <w:r>
        <w:rPr>
          <w:i/>
        </w:rPr>
        <w:t>Benet-Martínez,</w:t>
      </w:r>
      <w:r>
        <w:rPr>
          <w:i/>
          <w:spacing w:val="-14"/>
        </w:rPr>
        <w:t> </w:t>
      </w:r>
      <w:r>
        <w:rPr>
          <w:i/>
        </w:rPr>
        <w:t>Haritatos,</w:t>
      </w:r>
      <w:r>
        <w:rPr>
          <w:i/>
          <w:spacing w:val="-14"/>
        </w:rPr>
        <w:t> </w:t>
      </w:r>
      <w:r>
        <w:rPr>
          <w:i/>
        </w:rPr>
        <w:t>2005;</w:t>
      </w:r>
      <w:r>
        <w:rPr>
          <w:i/>
          <w:spacing w:val="-13"/>
        </w:rPr>
        <w:t> </w:t>
      </w:r>
      <w:r>
        <w:rPr>
          <w:i/>
        </w:rPr>
        <w:t>Cheng,</w:t>
      </w:r>
      <w:r>
        <w:rPr>
          <w:i/>
          <w:spacing w:val="-14"/>
        </w:rPr>
        <w:t> </w:t>
      </w:r>
      <w:r>
        <w:rPr>
          <w:i/>
        </w:rPr>
        <w:t>Lee,</w:t>
      </w:r>
      <w:r>
        <w:rPr>
          <w:i/>
          <w:spacing w:val="-14"/>
        </w:rPr>
        <w:t> </w:t>
      </w:r>
      <w:r>
        <w:rPr>
          <w:i/>
        </w:rPr>
        <w:t>Benet-Martínez, </w:t>
      </w:r>
      <w:r>
        <w:rPr>
          <w:spacing w:val="-2"/>
        </w:rPr>
        <w:t>2006).</w:t>
      </w:r>
    </w:p>
    <w:p>
      <w:pPr>
        <w:pStyle w:val="Heading4"/>
        <w:spacing w:before="239"/>
        <w:ind w:right="562"/>
      </w:pPr>
      <w:r>
        <w:rPr/>
        <w:t>Современная методика является второй, переработанной и дополненной версией. В результате исследовательского, а затем конфирматорного факторного анализа количество утверждений в опроснике сократилось до 17, однако каждое из них имеет высокую факторную нагрузку по соответствующей шкале. Количество шкал уменьшилось до двух, каждая из которых обладает высоким уровнем согласованности утверждений по показателю альфа Кронбаха: «Культурное смешение </w:t>
      </w:r>
      <w:r>
        <w:rPr>
          <w:i/>
        </w:rPr>
        <w:t>vs </w:t>
      </w:r>
      <w:r>
        <w:rPr/>
        <w:t>Культурная разобщенность»</w:t>
      </w:r>
      <w:r>
        <w:rPr>
          <w:spacing w:val="-13"/>
        </w:rPr>
        <w:t> </w:t>
      </w:r>
      <w:r>
        <w:rPr/>
        <w:t>(α</w:t>
      </w:r>
      <w:r>
        <w:rPr>
          <w:spacing w:val="-13"/>
        </w:rPr>
        <w:t> </w:t>
      </w:r>
      <w:r>
        <w:rPr/>
        <w:t>=</w:t>
      </w:r>
      <w:r>
        <w:rPr>
          <w:spacing w:val="-12"/>
        </w:rPr>
        <w:t> </w:t>
      </w:r>
      <w:r>
        <w:rPr/>
        <w:t>.81),</w:t>
      </w:r>
      <w:r>
        <w:rPr>
          <w:spacing w:val="-13"/>
        </w:rPr>
        <w:t> </w:t>
      </w:r>
      <w:r>
        <w:rPr/>
        <w:t>«Культурная</w:t>
      </w:r>
      <w:r>
        <w:rPr>
          <w:spacing w:val="-12"/>
        </w:rPr>
        <w:t> </w:t>
      </w:r>
      <w:r>
        <w:rPr/>
        <w:t>гармония</w:t>
      </w:r>
      <w:r>
        <w:rPr>
          <w:spacing w:val="-6"/>
        </w:rPr>
        <w:t> </w:t>
      </w:r>
      <w:r>
        <w:rPr>
          <w:i/>
        </w:rPr>
        <w:t>vs</w:t>
      </w:r>
      <w:r>
        <w:rPr>
          <w:i/>
          <w:spacing w:val="-11"/>
        </w:rPr>
        <w:t> </w:t>
      </w:r>
      <w:r>
        <w:rPr/>
        <w:t>Культурный</w:t>
      </w:r>
      <w:r>
        <w:rPr>
          <w:spacing w:val="-12"/>
        </w:rPr>
        <w:t> </w:t>
      </w:r>
      <w:r>
        <w:rPr/>
        <w:t>конфликт»</w:t>
      </w:r>
      <w:r>
        <w:rPr>
          <w:spacing w:val="-12"/>
        </w:rPr>
        <w:t> </w:t>
      </w:r>
      <w:r>
        <w:rPr>
          <w:spacing w:val="-5"/>
        </w:rPr>
        <w:t>(α</w:t>
      </w:r>
    </w:p>
    <w:p>
      <w:pPr>
        <w:pStyle w:val="Heading4"/>
      </w:pPr>
      <w:r>
        <w:rPr/>
        <w:t>= </w:t>
      </w:r>
      <w:r>
        <w:rPr>
          <w:spacing w:val="-2"/>
        </w:rPr>
        <w:t>.86).</w:t>
      </w:r>
    </w:p>
    <w:p>
      <w:pPr>
        <w:pStyle w:val="Heading4"/>
        <w:spacing w:before="240"/>
        <w:ind w:right="561"/>
      </w:pPr>
      <w:r>
        <w:rPr/>
        <w:t>Шкалы опросника также продемонстрировали хорошие показатели ретестовой надежности: шкала «Культурное смешение </w:t>
      </w:r>
      <w:r>
        <w:rPr>
          <w:i/>
        </w:rPr>
        <w:t>vs </w:t>
      </w:r>
      <w:r>
        <w:rPr/>
        <w:t>Культурная разобщенность»</w:t>
      </w:r>
      <w:r>
        <w:rPr>
          <w:spacing w:val="-2"/>
        </w:rPr>
        <w:t> </w:t>
      </w:r>
      <w:r>
        <w:rPr/>
        <w:t>(r =</w:t>
      </w:r>
      <w:r>
        <w:rPr>
          <w:spacing w:val="-1"/>
        </w:rPr>
        <w:t> </w:t>
      </w:r>
      <w:r>
        <w:rPr/>
        <w:t>.73),</w:t>
      </w:r>
      <w:r>
        <w:rPr>
          <w:spacing w:val="-1"/>
        </w:rPr>
        <w:t> </w:t>
      </w:r>
      <w:r>
        <w:rPr/>
        <w:t>«Культурная гармония</w:t>
      </w:r>
      <w:r>
        <w:rPr>
          <w:spacing w:val="6"/>
        </w:rPr>
        <w:t> </w:t>
      </w:r>
      <w:r>
        <w:rPr>
          <w:i/>
        </w:rPr>
        <w:t>vs </w:t>
      </w:r>
      <w:r>
        <w:rPr/>
        <w:t>Культурный конфликт»</w:t>
      </w:r>
      <w:r>
        <w:rPr>
          <w:spacing w:val="-1"/>
        </w:rPr>
        <w:t> </w:t>
      </w:r>
      <w:r>
        <w:rPr>
          <w:spacing w:val="-5"/>
        </w:rPr>
        <w:t>(r</w:t>
      </w:r>
    </w:p>
    <w:p>
      <w:pPr>
        <w:pStyle w:val="Heading4"/>
        <w:spacing w:before="1"/>
      </w:pPr>
      <w:r>
        <w:rPr/>
        <w:t>= </w:t>
      </w:r>
      <w:r>
        <w:rPr>
          <w:spacing w:val="-2"/>
        </w:rPr>
        <w:t>.77).</w:t>
      </w:r>
    </w:p>
    <w:p>
      <w:pPr>
        <w:pStyle w:val="Heading4"/>
        <w:spacing w:before="240"/>
        <w:ind w:right="560"/>
      </w:pPr>
      <w:r>
        <w:rPr/>
        <w:t>Это говорит об устойчивости результатов теста, полученных у различных респондентов через определенный промежуток времени после проведения основного</w:t>
      </w:r>
      <w:r>
        <w:rPr>
          <w:spacing w:val="-5"/>
        </w:rPr>
        <w:t> </w:t>
      </w:r>
      <w:r>
        <w:rPr/>
        <w:t>исследования</w:t>
      </w:r>
      <w:r>
        <w:rPr>
          <w:spacing w:val="-2"/>
        </w:rPr>
        <w:t> </w:t>
      </w:r>
      <w:r>
        <w:rPr/>
        <w:t>(N</w:t>
      </w:r>
      <w:r>
        <w:rPr>
          <w:spacing w:val="-3"/>
        </w:rPr>
        <w:t> </w:t>
      </w:r>
      <w:r>
        <w:rPr/>
        <w:t>=</w:t>
      </w:r>
      <w:r>
        <w:rPr>
          <w:spacing w:val="-6"/>
        </w:rPr>
        <w:t> </w:t>
      </w:r>
      <w:r>
        <w:rPr/>
        <w:t>239,</w:t>
      </w:r>
      <w:r>
        <w:rPr>
          <w:spacing w:val="-5"/>
        </w:rPr>
        <w:t> </w:t>
      </w:r>
      <w:r>
        <w:rPr/>
        <w:t>M</w:t>
      </w:r>
      <w:r>
        <w:rPr>
          <w:spacing w:val="-3"/>
        </w:rPr>
        <w:t> </w:t>
      </w:r>
      <w:r>
        <w:rPr/>
        <w:t>=</w:t>
      </w:r>
      <w:r>
        <w:rPr>
          <w:spacing w:val="-5"/>
        </w:rPr>
        <w:t> </w:t>
      </w:r>
      <w:r>
        <w:rPr/>
        <w:t>6.9,</w:t>
      </w:r>
      <w:r>
        <w:rPr>
          <w:spacing w:val="-2"/>
        </w:rPr>
        <w:t> </w:t>
      </w:r>
      <w:r>
        <w:rPr/>
        <w:t>SD</w:t>
      </w:r>
      <w:r>
        <w:rPr>
          <w:spacing w:val="-7"/>
        </w:rPr>
        <w:t> </w:t>
      </w:r>
      <w:r>
        <w:rPr/>
        <w:t>=</w:t>
      </w:r>
      <w:r>
        <w:rPr>
          <w:spacing w:val="-2"/>
        </w:rPr>
        <w:t> </w:t>
      </w:r>
      <w:r>
        <w:rPr/>
        <w:t>.9,</w:t>
      </w:r>
      <w:r>
        <w:rPr>
          <w:spacing w:val="-3"/>
        </w:rPr>
        <w:t> </w:t>
      </w:r>
      <w:r>
        <w:rPr/>
        <w:t>временной</w:t>
      </w:r>
      <w:r>
        <w:rPr>
          <w:spacing w:val="-5"/>
        </w:rPr>
        <w:t> </w:t>
      </w:r>
      <w:r>
        <w:rPr/>
        <w:t>промежуток — 5–10 дней).</w:t>
      </w:r>
    </w:p>
    <w:p>
      <w:pPr>
        <w:pStyle w:val="Heading4"/>
        <w:spacing w:before="241"/>
        <w:ind w:right="561"/>
      </w:pPr>
      <w:r>
        <w:rPr/>
        <w:t>При проверке статистической модели, включающей в себя два фактора (шкалы) бикультурной идентичности, были получены хорошие показатели конфирматорного</w:t>
      </w:r>
      <w:r>
        <w:rPr>
          <w:spacing w:val="-4"/>
        </w:rPr>
        <w:t> </w:t>
      </w:r>
      <w:r>
        <w:rPr/>
        <w:t>факторного анализа</w:t>
      </w:r>
      <w:r>
        <w:rPr>
          <w:vertAlign w:val="superscript"/>
        </w:rPr>
        <w:t>[5]</w:t>
      </w:r>
      <w:r>
        <w:rPr>
          <w:vertAlign w:val="baseline"/>
        </w:rPr>
        <w:t>,</w:t>
      </w:r>
      <w:r>
        <w:rPr>
          <w:spacing w:val="-3"/>
          <w:vertAlign w:val="baseline"/>
        </w:rPr>
        <w:t> </w:t>
      </w:r>
      <w:r>
        <w:rPr>
          <w:vertAlign w:val="baseline"/>
        </w:rPr>
        <w:t>что</w:t>
      </w:r>
      <w:r>
        <w:rPr>
          <w:spacing w:val="-4"/>
          <w:vertAlign w:val="baseline"/>
        </w:rPr>
        <w:t> </w:t>
      </w:r>
      <w:r>
        <w:rPr>
          <w:vertAlign w:val="baseline"/>
        </w:rPr>
        <w:t>демонстрирует высокий</w:t>
      </w:r>
      <w:r>
        <w:rPr>
          <w:spacing w:val="-2"/>
          <w:vertAlign w:val="baseline"/>
        </w:rPr>
        <w:t> </w:t>
      </w:r>
      <w:r>
        <w:rPr>
          <w:vertAlign w:val="baseline"/>
        </w:rPr>
        <w:t>уровень соответствия модели реальным данным.</w:t>
      </w:r>
    </w:p>
    <w:p>
      <w:pPr>
        <w:pStyle w:val="Heading4"/>
        <w:spacing w:before="239"/>
        <w:ind w:right="568"/>
      </w:pPr>
      <w:r>
        <w:rPr/>
        <w:t>Для проверки конструктной валидности шкал опросника в рамках его апробации было</w:t>
      </w:r>
      <w:r>
        <w:rPr>
          <w:spacing w:val="-2"/>
        </w:rPr>
        <w:t> </w:t>
      </w:r>
      <w:r>
        <w:rPr/>
        <w:t>проведено исследование,</w:t>
      </w:r>
      <w:r>
        <w:rPr>
          <w:spacing w:val="-1"/>
        </w:rPr>
        <w:t> </w:t>
      </w:r>
      <w:r>
        <w:rPr/>
        <w:t>выявляющее их</w:t>
      </w:r>
      <w:r>
        <w:rPr>
          <w:spacing w:val="-2"/>
        </w:rPr>
        <w:t> </w:t>
      </w:r>
      <w:r>
        <w:rPr/>
        <w:t>(шкал)</w:t>
      </w:r>
      <w:r>
        <w:rPr>
          <w:spacing w:val="-1"/>
        </w:rPr>
        <w:t> </w:t>
      </w:r>
      <w:r>
        <w:rPr/>
        <w:t>корреляции с различными показателями.</w:t>
      </w:r>
    </w:p>
    <w:p>
      <w:pPr>
        <w:pStyle w:val="Heading4"/>
        <w:spacing w:after="0"/>
        <w:sectPr>
          <w:pgSz w:w="11910" w:h="16840"/>
          <w:pgMar w:header="0" w:footer="970" w:top="1040" w:bottom="1220" w:left="1417" w:right="283"/>
        </w:sectPr>
      </w:pPr>
    </w:p>
    <w:p>
      <w:pPr>
        <w:pStyle w:val="Heading4"/>
        <w:spacing w:before="67"/>
        <w:ind w:right="560"/>
      </w:pPr>
      <w:r>
        <w:rPr/>
        <w:t>Шкала «Культурная гармония </w:t>
      </w:r>
      <w:r>
        <w:rPr>
          <w:i/>
        </w:rPr>
        <w:t>vs </w:t>
      </w:r>
      <w:r>
        <w:rPr/>
        <w:t>Культурный конфликт» положительно взаимосвязана (коэффициент корреляции </w:t>
      </w:r>
      <w:r>
        <w:rPr>
          <w:i/>
        </w:rPr>
        <w:t>Пирсона</w:t>
      </w:r>
      <w:r>
        <w:rPr/>
        <w:t>) с показателем вовлеченности этнической идентичности (опросник </w:t>
      </w:r>
      <w:r>
        <w:rPr>
          <w:i/>
        </w:rPr>
        <w:t>MEIM Дж. Финни</w:t>
      </w:r>
      <w:r>
        <w:rPr/>
        <w:t>), с показателями</w:t>
      </w:r>
      <w:r>
        <w:rPr>
          <w:spacing w:val="-14"/>
        </w:rPr>
        <w:t> </w:t>
      </w:r>
      <w:r>
        <w:rPr/>
        <w:t>ментального</w:t>
      </w:r>
      <w:r>
        <w:rPr>
          <w:spacing w:val="-14"/>
        </w:rPr>
        <w:t> </w:t>
      </w:r>
      <w:r>
        <w:rPr/>
        <w:t>здоровья</w:t>
      </w:r>
      <w:r>
        <w:rPr>
          <w:spacing w:val="-11"/>
        </w:rPr>
        <w:t> </w:t>
      </w:r>
      <w:r>
        <w:rPr>
          <w:i/>
        </w:rPr>
        <w:t>(К.</w:t>
      </w:r>
      <w:r>
        <w:rPr>
          <w:i/>
          <w:spacing w:val="-14"/>
        </w:rPr>
        <w:t> </w:t>
      </w:r>
      <w:r>
        <w:rPr>
          <w:i/>
        </w:rPr>
        <w:t>Вард)</w:t>
      </w:r>
      <w:r>
        <w:rPr>
          <w:i/>
          <w:spacing w:val="-16"/>
        </w:rPr>
        <w:t> </w:t>
      </w:r>
      <w:r>
        <w:rPr/>
        <w:t>и</w:t>
      </w:r>
      <w:r>
        <w:rPr>
          <w:spacing w:val="-14"/>
        </w:rPr>
        <w:t> </w:t>
      </w:r>
      <w:r>
        <w:rPr/>
        <w:t>ориентации</w:t>
      </w:r>
      <w:r>
        <w:rPr>
          <w:spacing w:val="-16"/>
        </w:rPr>
        <w:t> </w:t>
      </w:r>
      <w:r>
        <w:rPr/>
        <w:t>на</w:t>
      </w:r>
      <w:r>
        <w:rPr>
          <w:spacing w:val="-14"/>
        </w:rPr>
        <w:t> </w:t>
      </w:r>
      <w:r>
        <w:rPr/>
        <w:t>мейнстримную культуру</w:t>
      </w:r>
      <w:r>
        <w:rPr>
          <w:spacing w:val="-12"/>
        </w:rPr>
        <w:t> </w:t>
      </w:r>
      <w:r>
        <w:rPr/>
        <w:t>(Ванкуверский</w:t>
      </w:r>
      <w:r>
        <w:rPr>
          <w:spacing w:val="-11"/>
        </w:rPr>
        <w:t> </w:t>
      </w:r>
      <w:r>
        <w:rPr/>
        <w:t>индекс</w:t>
      </w:r>
      <w:r>
        <w:rPr>
          <w:spacing w:val="-11"/>
        </w:rPr>
        <w:t> </w:t>
      </w:r>
      <w:r>
        <w:rPr/>
        <w:t>аккультурации)</w:t>
      </w:r>
      <w:r>
        <w:rPr>
          <w:spacing w:val="-11"/>
        </w:rPr>
        <w:t> </w:t>
      </w:r>
      <w:r>
        <w:rPr/>
        <w:t>на</w:t>
      </w:r>
      <w:r>
        <w:rPr>
          <w:spacing w:val="-11"/>
        </w:rPr>
        <w:t> </w:t>
      </w:r>
      <w:r>
        <w:rPr/>
        <w:t>уровне</w:t>
      </w:r>
      <w:r>
        <w:rPr>
          <w:spacing w:val="-11"/>
        </w:rPr>
        <w:t> </w:t>
      </w:r>
      <w:r>
        <w:rPr/>
        <w:t>значимости</w:t>
      </w:r>
      <w:r>
        <w:rPr>
          <w:spacing w:val="-3"/>
        </w:rPr>
        <w:t> </w:t>
      </w:r>
      <w:r>
        <w:rPr>
          <w:i/>
        </w:rPr>
        <w:t>p</w:t>
      </w:r>
      <w:r>
        <w:rPr>
          <w:i/>
          <w:spacing w:val="-10"/>
        </w:rPr>
        <w:t> </w:t>
      </w:r>
      <w:r>
        <w:rPr/>
        <w:t>&lt;</w:t>
      </w:r>
      <w:r>
        <w:rPr>
          <w:spacing w:val="-11"/>
        </w:rPr>
        <w:t> </w:t>
      </w:r>
      <w:r>
        <w:rPr/>
        <w:t>.01. Шкала отрицательно взаимосвязана с показателями аккультурационного стресса и нейротизма (</w:t>
      </w:r>
      <w:r>
        <w:rPr>
          <w:i/>
        </w:rPr>
        <w:t>Benet-Martínez, Haritatos</w:t>
      </w:r>
      <w:r>
        <w:rPr/>
        <w:t>, 2005; </w:t>
      </w:r>
      <w:r>
        <w:rPr>
          <w:i/>
        </w:rPr>
        <w:t>Miller, Kim, Benet- Martínez,</w:t>
      </w:r>
      <w:r>
        <w:rPr>
          <w:i/>
          <w:spacing w:val="-4"/>
        </w:rPr>
        <w:t> </w:t>
      </w:r>
      <w:r>
        <w:rPr/>
        <w:t>2011).</w:t>
      </w:r>
      <w:r>
        <w:rPr>
          <w:spacing w:val="-5"/>
        </w:rPr>
        <w:t> </w:t>
      </w:r>
      <w:r>
        <w:rPr/>
        <w:t>На</w:t>
      </w:r>
      <w:r>
        <w:rPr>
          <w:spacing w:val="-4"/>
        </w:rPr>
        <w:t> </w:t>
      </w:r>
      <w:r>
        <w:rPr/>
        <w:t>основании</w:t>
      </w:r>
      <w:r>
        <w:rPr>
          <w:spacing w:val="-4"/>
        </w:rPr>
        <w:t> </w:t>
      </w:r>
      <w:r>
        <w:rPr/>
        <w:t>полученных</w:t>
      </w:r>
      <w:r>
        <w:rPr>
          <w:spacing w:val="-3"/>
        </w:rPr>
        <w:t> </w:t>
      </w:r>
      <w:r>
        <w:rPr/>
        <w:t>результатов</w:t>
      </w:r>
      <w:r>
        <w:rPr>
          <w:spacing w:val="-4"/>
        </w:rPr>
        <w:t> </w:t>
      </w:r>
      <w:r>
        <w:rPr/>
        <w:t>авторы</w:t>
      </w:r>
      <w:r>
        <w:rPr>
          <w:spacing w:val="-4"/>
        </w:rPr>
        <w:t> </w:t>
      </w:r>
      <w:r>
        <w:rPr/>
        <w:t>делают</w:t>
      </w:r>
      <w:r>
        <w:rPr>
          <w:spacing w:val="-5"/>
        </w:rPr>
        <w:t> </w:t>
      </w:r>
      <w:r>
        <w:rPr/>
        <w:t>вывод, что шкала «Культурная гармония </w:t>
      </w:r>
      <w:r>
        <w:rPr>
          <w:i/>
        </w:rPr>
        <w:t>vs </w:t>
      </w:r>
      <w:r>
        <w:rPr/>
        <w:t>Культурный конфликт» в целом соотносится с аффективным компонентом бикультурной идентичности и в большой степени обусловлена контекстом взаимодействия и факторами </w:t>
      </w:r>
      <w:r>
        <w:rPr>
          <w:spacing w:val="-2"/>
        </w:rPr>
        <w:t>аккультурации.</w:t>
      </w:r>
    </w:p>
    <w:p>
      <w:pPr>
        <w:pStyle w:val="Heading4"/>
        <w:spacing w:before="241"/>
        <w:ind w:right="559"/>
      </w:pPr>
      <w:r>
        <w:rPr/>
        <w:t>Шкала «Культурное смешение </w:t>
      </w:r>
      <w:r>
        <w:rPr>
          <w:i/>
        </w:rPr>
        <w:t>vs </w:t>
      </w:r>
      <w:r>
        <w:rPr/>
        <w:t>Культурная разобщенность» также положительно коррелирует с показателем вовлеченности этнической идентичности (опросник </w:t>
      </w:r>
      <w:r>
        <w:rPr>
          <w:i/>
        </w:rPr>
        <w:t>MEIM Дж</w:t>
      </w:r>
      <w:r>
        <w:rPr/>
        <w:t>. </w:t>
      </w:r>
      <w:r>
        <w:rPr>
          <w:i/>
        </w:rPr>
        <w:t>Финни</w:t>
      </w:r>
      <w:r>
        <w:rPr/>
        <w:t>) и открытости новому опыту (на уровне значимости </w:t>
      </w:r>
      <w:r>
        <w:rPr>
          <w:i/>
        </w:rPr>
        <w:t>p</w:t>
      </w:r>
      <w:r>
        <w:rPr/>
        <w:t>&lt;.01) и отрицательно — с языковыми барьерами коммуникации и аккультурации и культурной изоляцией (</w:t>
      </w:r>
      <w:r>
        <w:rPr>
          <w:i/>
        </w:rPr>
        <w:t>Benet-Martínez, Haritatos, </w:t>
      </w:r>
      <w:r>
        <w:rPr/>
        <w:t>2005).</w:t>
      </w:r>
    </w:p>
    <w:p>
      <w:pPr>
        <w:pStyle w:val="Heading4"/>
        <w:spacing w:before="241"/>
        <w:ind w:right="564"/>
      </w:pPr>
      <w:r>
        <w:rPr/>
        <w:t>Таким образом, значимыми факторами, связанными с формированием бикультурной идентичности, оказываются: взаимодействие с культурой большинства (в случае опросника — американской) и выбор аккультурационной стратегии интеграции. Однако различные особенности и факторы, связанные с психологической адаптацией человека в рамках новой культуры и с давлением культурного контекста (за исключением языкового), не играют значимой роли при формировании бикультурной идентичности.</w:t>
      </w:r>
    </w:p>
    <w:p>
      <w:pPr>
        <w:pStyle w:val="Heading4"/>
        <w:spacing w:before="240"/>
        <w:ind w:right="560"/>
      </w:pPr>
      <w:r>
        <w:rPr/>
        <w:t>Дальнейший анализ данных респондентов, принадлежащих к первому и второму</w:t>
      </w:r>
      <w:r>
        <w:rPr>
          <w:spacing w:val="-11"/>
        </w:rPr>
        <w:t> </w:t>
      </w:r>
      <w:r>
        <w:rPr/>
        <w:t>поколениям</w:t>
      </w:r>
      <w:r>
        <w:rPr>
          <w:spacing w:val="-8"/>
        </w:rPr>
        <w:t> </w:t>
      </w:r>
      <w:r>
        <w:rPr/>
        <w:t>обладающих</w:t>
      </w:r>
      <w:r>
        <w:rPr>
          <w:spacing w:val="-8"/>
        </w:rPr>
        <w:t> </w:t>
      </w:r>
      <w:r>
        <w:rPr/>
        <w:t>бикультурной</w:t>
      </w:r>
      <w:r>
        <w:rPr>
          <w:spacing w:val="-8"/>
        </w:rPr>
        <w:t> </w:t>
      </w:r>
      <w:r>
        <w:rPr/>
        <w:t>идентичностью,</w:t>
      </w:r>
      <w:r>
        <w:rPr>
          <w:spacing w:val="-9"/>
        </w:rPr>
        <w:t> </w:t>
      </w:r>
      <w:r>
        <w:rPr/>
        <w:t>показал,</w:t>
      </w:r>
      <w:r>
        <w:rPr>
          <w:spacing w:val="-9"/>
        </w:rPr>
        <w:t> </w:t>
      </w:r>
      <w:r>
        <w:rPr/>
        <w:t>что статистическая модель оказывается значимой в обоих случаях, однако в ней существуют различия по влиянию отдельных показателей на оба фактора бикультурной идентичности. Аккультурационный стресс оказывается значимым предиктором показателя «Культурная гармония </w:t>
      </w:r>
      <w:r>
        <w:rPr>
          <w:i/>
        </w:rPr>
        <w:t>vs </w:t>
      </w:r>
      <w:r>
        <w:rPr/>
        <w:t>Культурный конфликт» только у представителей второго поколения (β = .19, p &lt; .0001), у них же — снижению уровня культурной гармонии и формированию конфликтной идентичности способствует показатель депрессии (β = –.19, p &lt;</w:t>
      </w:r>
    </w:p>
    <w:p>
      <w:pPr>
        <w:pStyle w:val="Heading4"/>
        <w:spacing w:before="2"/>
        <w:ind w:right="561"/>
        <w:rPr>
          <w:i/>
        </w:rPr>
      </w:pPr>
      <w:r>
        <w:rPr/>
        <w:t>.001). У первого поколения на шкалу «Культурная гармония </w:t>
      </w:r>
      <w:r>
        <w:rPr>
          <w:i/>
        </w:rPr>
        <w:t>vs </w:t>
      </w:r>
      <w:r>
        <w:rPr/>
        <w:t>Культурный конфликт» незначительное отрицательное влияние оказывает только показатель нейротизма (β = –.14, p &lt; .02). Что касается шкалы «Культурное смешение </w:t>
      </w:r>
      <w:r>
        <w:rPr>
          <w:i/>
        </w:rPr>
        <w:t>vs </w:t>
      </w:r>
      <w:r>
        <w:rPr/>
        <w:t>Культурная разобщенность», то здесь значимые различия существуют только по показателю «этническая идентичность», которая становится</w:t>
      </w:r>
      <w:r>
        <w:rPr>
          <w:spacing w:val="39"/>
        </w:rPr>
        <w:t> </w:t>
      </w:r>
      <w:r>
        <w:rPr/>
        <w:t>более</w:t>
      </w:r>
      <w:r>
        <w:rPr>
          <w:spacing w:val="40"/>
        </w:rPr>
        <w:t> </w:t>
      </w:r>
      <w:r>
        <w:rPr/>
        <w:t>важной</w:t>
      </w:r>
      <w:r>
        <w:rPr>
          <w:spacing w:val="40"/>
        </w:rPr>
        <w:t> </w:t>
      </w:r>
      <w:r>
        <w:rPr/>
        <w:t>для</w:t>
      </w:r>
      <w:r>
        <w:rPr>
          <w:spacing w:val="39"/>
        </w:rPr>
        <w:t> </w:t>
      </w:r>
      <w:r>
        <w:rPr/>
        <w:t>представителей</w:t>
      </w:r>
      <w:r>
        <w:rPr>
          <w:spacing w:val="42"/>
        </w:rPr>
        <w:t> </w:t>
      </w:r>
      <w:r>
        <w:rPr/>
        <w:t>второго</w:t>
      </w:r>
      <w:r>
        <w:rPr>
          <w:spacing w:val="40"/>
        </w:rPr>
        <w:t> </w:t>
      </w:r>
      <w:r>
        <w:rPr/>
        <w:t>поколения</w:t>
      </w:r>
      <w:r>
        <w:rPr>
          <w:spacing w:val="39"/>
        </w:rPr>
        <w:t> </w:t>
      </w:r>
      <w:r>
        <w:rPr/>
        <w:t>(β</w:t>
      </w:r>
      <w:r>
        <w:rPr>
          <w:spacing w:val="41"/>
        </w:rPr>
        <w:t> </w:t>
      </w:r>
      <w:r>
        <w:rPr/>
        <w:t>=.25,</w:t>
      </w:r>
      <w:r>
        <w:rPr>
          <w:spacing w:val="47"/>
        </w:rPr>
        <w:t> </w:t>
      </w:r>
      <w:r>
        <w:rPr>
          <w:i/>
          <w:spacing w:val="-10"/>
        </w:rPr>
        <w:t>p</w:t>
      </w:r>
    </w:p>
    <w:p>
      <w:pPr>
        <w:pStyle w:val="Heading4"/>
      </w:pPr>
      <w:r>
        <w:rPr/>
        <w:t>&lt;.0001).</w:t>
      </w:r>
      <w:r>
        <w:rPr>
          <w:spacing w:val="68"/>
          <w:w w:val="150"/>
        </w:rPr>
        <w:t> </w:t>
      </w:r>
      <w:r>
        <w:rPr/>
        <w:t>У</w:t>
      </w:r>
      <w:r>
        <w:rPr>
          <w:spacing w:val="69"/>
          <w:w w:val="150"/>
        </w:rPr>
        <w:t> </w:t>
      </w:r>
      <w:r>
        <w:rPr/>
        <w:t>первого</w:t>
      </w:r>
      <w:r>
        <w:rPr>
          <w:spacing w:val="69"/>
          <w:w w:val="150"/>
        </w:rPr>
        <w:t> </w:t>
      </w:r>
      <w:r>
        <w:rPr/>
        <w:t>и</w:t>
      </w:r>
      <w:r>
        <w:rPr>
          <w:spacing w:val="72"/>
          <w:w w:val="150"/>
        </w:rPr>
        <w:t> </w:t>
      </w:r>
      <w:r>
        <w:rPr/>
        <w:t>второго</w:t>
      </w:r>
      <w:r>
        <w:rPr>
          <w:spacing w:val="69"/>
          <w:w w:val="150"/>
        </w:rPr>
        <w:t> </w:t>
      </w:r>
      <w:r>
        <w:rPr/>
        <w:t>поколений,</w:t>
      </w:r>
      <w:r>
        <w:rPr>
          <w:spacing w:val="71"/>
          <w:w w:val="150"/>
        </w:rPr>
        <w:t> </w:t>
      </w:r>
      <w:r>
        <w:rPr/>
        <w:t>таким</w:t>
      </w:r>
      <w:r>
        <w:rPr>
          <w:spacing w:val="70"/>
          <w:w w:val="150"/>
        </w:rPr>
        <w:t> </w:t>
      </w:r>
      <w:r>
        <w:rPr/>
        <w:t>образом,</w:t>
      </w:r>
      <w:r>
        <w:rPr>
          <w:spacing w:val="70"/>
          <w:w w:val="150"/>
        </w:rPr>
        <w:t> </w:t>
      </w:r>
      <w:r>
        <w:rPr>
          <w:spacing w:val="-2"/>
        </w:rPr>
        <w:t>бикультурная</w:t>
      </w:r>
    </w:p>
    <w:p>
      <w:pPr>
        <w:pStyle w:val="Heading4"/>
        <w:spacing w:after="0"/>
        <w:sectPr>
          <w:pgSz w:w="11910" w:h="16840"/>
          <w:pgMar w:header="0" w:footer="970" w:top="1040" w:bottom="1220" w:left="1417" w:right="283"/>
        </w:sectPr>
      </w:pPr>
    </w:p>
    <w:p>
      <w:pPr>
        <w:pStyle w:val="Heading4"/>
        <w:spacing w:line="242" w:lineRule="auto" w:before="67"/>
        <w:ind w:right="565"/>
      </w:pPr>
      <w:r>
        <w:rPr/>
        <w:t>идентичность оказывается обусловленной как сходными, так и различными показателями культурной адаптации.</w:t>
      </w:r>
    </w:p>
    <w:p>
      <w:pPr>
        <w:pStyle w:val="Heading4"/>
        <w:spacing w:before="236"/>
        <w:ind w:right="561"/>
      </w:pPr>
      <w:r>
        <w:rPr/>
        <w:t>Учитывая разнообразие корреляционных связей шкал опросника, мы можем говорить о высоком уровне его конструктной валидности. Представляется возможным его использование на различных выборках для измерения показателей выраженности компонентов бикультурной идентичности старших подростков, принадлежащих к двум культурам одновременно.</w:t>
      </w:r>
    </w:p>
    <w:p>
      <w:pPr>
        <w:pStyle w:val="Heading4"/>
        <w:spacing w:before="240"/>
        <w:ind w:right="565"/>
      </w:pPr>
      <w:r>
        <w:rPr/>
        <w:t>На русском</w:t>
      </w:r>
      <w:r>
        <w:rPr>
          <w:spacing w:val="-1"/>
        </w:rPr>
        <w:t> </w:t>
      </w:r>
      <w:r>
        <w:rPr/>
        <w:t>языке предварительная адаптация опросника,</w:t>
      </w:r>
      <w:r>
        <w:rPr>
          <w:spacing w:val="-1"/>
        </w:rPr>
        <w:t> </w:t>
      </w:r>
      <w:r>
        <w:rPr/>
        <w:t>переведенного О.Е. Хухлаевым и М.Р. Бахтеевой, была осуществлена в рамках подготовки магистерской диссертации Бахтеевой на выборке из 82 учащихся школ Москвы и Казани (</w:t>
      </w:r>
      <w:r>
        <w:rPr>
          <w:i/>
        </w:rPr>
        <w:t>Бахтеева</w:t>
      </w:r>
      <w:r>
        <w:rPr/>
        <w:t>, 2021).</w:t>
      </w:r>
    </w:p>
    <w:p>
      <w:pPr>
        <w:pStyle w:val="Heading4"/>
        <w:spacing w:before="239"/>
        <w:ind w:right="563"/>
      </w:pPr>
      <w:r>
        <w:rPr/>
        <w:t>В 2022 г. методика была адаптирована для детей — иностранных граждан в рамках апробации в 12 регионах РФ программы оценки особых образовательных потребностей ребенка-мигранта в сферах психологического благополучия, социальных навыков и культурной адаптации (N=90). Шкалы методики показали достаточную степень внутренней согласованности (альфа Кронбаха 0.847).</w:t>
      </w:r>
    </w:p>
    <w:p>
      <w:pPr>
        <w:pStyle w:val="Heading4"/>
        <w:spacing w:before="241"/>
        <w:ind w:right="563"/>
      </w:pPr>
      <w:r>
        <w:rPr/>
        <w:t>В исследовании обнаружены предсказуемые корреляции со шкалами следующих методик. С субшкалой «Культурная гармония vs Культурный конфликт» выявлена значимая отрицательная корреляция с опросником психологического здоровья мигрантов (-0.431, P&lt;0.01), со стрессом, связанным с миграцией (-0.378, P&lt;0.01), и положительная корреляция с включенностью</w:t>
      </w:r>
      <w:r>
        <w:rPr>
          <w:spacing w:val="-18"/>
        </w:rPr>
        <w:t> </w:t>
      </w:r>
      <w:r>
        <w:rPr/>
        <w:t>ребенка-мигранта</w:t>
      </w:r>
      <w:r>
        <w:rPr>
          <w:spacing w:val="-17"/>
        </w:rPr>
        <w:t> </w:t>
      </w:r>
      <w:r>
        <w:rPr/>
        <w:t>в</w:t>
      </w:r>
      <w:r>
        <w:rPr>
          <w:spacing w:val="-18"/>
        </w:rPr>
        <w:t> </w:t>
      </w:r>
      <w:r>
        <w:rPr/>
        <w:t>культуру</w:t>
      </w:r>
      <w:r>
        <w:rPr>
          <w:spacing w:val="-17"/>
        </w:rPr>
        <w:t> </w:t>
      </w:r>
      <w:r>
        <w:rPr/>
        <w:t>принимающего</w:t>
      </w:r>
      <w:r>
        <w:rPr>
          <w:spacing w:val="-18"/>
        </w:rPr>
        <w:t> </w:t>
      </w:r>
      <w:r>
        <w:rPr/>
        <w:t>общества</w:t>
      </w:r>
      <w:r>
        <w:rPr>
          <w:spacing w:val="-17"/>
        </w:rPr>
        <w:t> </w:t>
      </w:r>
      <w:r>
        <w:rPr/>
        <w:t>(0.425, p&lt;0.01). С субшкалой «Культурное смешение vs Культурная разобщенность» выявлена значимая отрицательная корреляция с опросником психологического здоровья мигрантов (-0.290, P&lt;0.01) и положительная корреляция с включенностью ребенка-мигранта в культуру принимающего общества (-0.403, P&lt;0.01).</w:t>
      </w:r>
    </w:p>
    <w:p>
      <w:pPr>
        <w:pStyle w:val="Heading4"/>
        <w:spacing w:before="241"/>
        <w:ind w:right="569"/>
      </w:pPr>
      <w:r>
        <w:rPr/>
        <w:t>Приведенные данные доказывают внешнюю валидность методики при диагностике детей — иностранных граждан.</w:t>
      </w:r>
    </w:p>
    <w:p>
      <w:pPr>
        <w:pStyle w:val="BodyText"/>
        <w:spacing w:before="240"/>
        <w:ind w:left="285" w:right="0" w:firstLine="0"/>
        <w:jc w:val="left"/>
      </w:pPr>
      <w:r>
        <w:rPr>
          <w:vertAlign w:val="superscript"/>
        </w:rPr>
        <w:t>[5]</w:t>
      </w:r>
      <w:r>
        <w:rPr>
          <w:spacing w:val="-4"/>
          <w:vertAlign w:val="baseline"/>
        </w:rPr>
        <w:t> </w:t>
      </w:r>
      <w:r>
        <w:rPr>
          <w:vertAlign w:val="baseline"/>
        </w:rPr>
        <w:t>CFI</w:t>
      </w:r>
      <w:r>
        <w:rPr>
          <w:spacing w:val="-3"/>
          <w:vertAlign w:val="baseline"/>
        </w:rPr>
        <w:t> </w:t>
      </w:r>
      <w:r>
        <w:rPr>
          <w:vertAlign w:val="baseline"/>
        </w:rPr>
        <w:t>=</w:t>
      </w:r>
      <w:r>
        <w:rPr>
          <w:spacing w:val="-3"/>
          <w:vertAlign w:val="baseline"/>
        </w:rPr>
        <w:t> </w:t>
      </w:r>
      <w:r>
        <w:rPr>
          <w:vertAlign w:val="baseline"/>
        </w:rPr>
        <w:t>.850,</w:t>
      </w:r>
      <w:r>
        <w:rPr>
          <w:spacing w:val="-3"/>
          <w:vertAlign w:val="baseline"/>
        </w:rPr>
        <w:t> </w:t>
      </w:r>
      <w:r>
        <w:rPr>
          <w:vertAlign w:val="baseline"/>
        </w:rPr>
        <w:t>RMSEA</w:t>
      </w:r>
      <w:r>
        <w:rPr>
          <w:spacing w:val="-5"/>
          <w:vertAlign w:val="baseline"/>
        </w:rPr>
        <w:t> </w:t>
      </w:r>
      <w:r>
        <w:rPr>
          <w:vertAlign w:val="baseline"/>
        </w:rPr>
        <w:t>=</w:t>
      </w:r>
      <w:r>
        <w:rPr>
          <w:spacing w:val="-3"/>
          <w:vertAlign w:val="baseline"/>
        </w:rPr>
        <w:t> </w:t>
      </w:r>
      <w:r>
        <w:rPr>
          <w:vertAlign w:val="baseline"/>
        </w:rPr>
        <w:t>.070</w:t>
      </w:r>
      <w:r>
        <w:rPr>
          <w:spacing w:val="-2"/>
          <w:vertAlign w:val="baseline"/>
        </w:rPr>
        <w:t> </w:t>
      </w:r>
      <w:r>
        <w:rPr>
          <w:vertAlign w:val="baseline"/>
        </w:rPr>
        <w:t>(90%</w:t>
      </w:r>
      <w:r>
        <w:rPr>
          <w:spacing w:val="-4"/>
          <w:vertAlign w:val="baseline"/>
        </w:rPr>
        <w:t> </w:t>
      </w:r>
      <w:r>
        <w:rPr>
          <w:vertAlign w:val="baseline"/>
        </w:rPr>
        <w:t>CI</w:t>
      </w:r>
      <w:r>
        <w:rPr>
          <w:spacing w:val="-3"/>
          <w:vertAlign w:val="baseline"/>
        </w:rPr>
        <w:t> </w:t>
      </w:r>
      <w:r>
        <w:rPr>
          <w:vertAlign w:val="baseline"/>
        </w:rPr>
        <w:t>[.062,</w:t>
      </w:r>
      <w:r>
        <w:rPr>
          <w:spacing w:val="-5"/>
          <w:vertAlign w:val="baseline"/>
        </w:rPr>
        <w:t> </w:t>
      </w:r>
      <w:r>
        <w:rPr>
          <w:vertAlign w:val="baseline"/>
        </w:rPr>
        <w:t>.079]),</w:t>
      </w:r>
      <w:r>
        <w:rPr>
          <w:spacing w:val="-3"/>
          <w:vertAlign w:val="baseline"/>
        </w:rPr>
        <w:t> </w:t>
      </w:r>
      <w:r>
        <w:rPr>
          <w:vertAlign w:val="baseline"/>
        </w:rPr>
        <w:t>SRMR</w:t>
      </w:r>
      <w:r>
        <w:rPr>
          <w:spacing w:val="-4"/>
          <w:vertAlign w:val="baseline"/>
        </w:rPr>
        <w:t> </w:t>
      </w:r>
      <w:r>
        <w:rPr>
          <w:vertAlign w:val="baseline"/>
        </w:rPr>
        <w:t>=</w:t>
      </w:r>
      <w:r>
        <w:rPr>
          <w:spacing w:val="-3"/>
          <w:vertAlign w:val="baseline"/>
        </w:rPr>
        <w:t> </w:t>
      </w:r>
      <w:r>
        <w:rPr>
          <w:vertAlign w:val="baseline"/>
        </w:rPr>
        <w:t>.072.</w:t>
      </w:r>
      <w:r>
        <w:rPr>
          <w:spacing w:val="5"/>
          <w:vertAlign w:val="baseline"/>
        </w:rPr>
        <w:t> </w:t>
      </w:r>
      <w:r>
        <w:rPr>
          <w:vertAlign w:val="baseline"/>
        </w:rPr>
        <w:t>χ2</w:t>
      </w:r>
      <w:r>
        <w:rPr>
          <w:spacing w:val="-4"/>
          <w:vertAlign w:val="baseline"/>
        </w:rPr>
        <w:t> </w:t>
      </w:r>
      <w:r>
        <w:rPr>
          <w:vertAlign w:val="baseline"/>
        </w:rPr>
        <w:t>(118)</w:t>
      </w:r>
      <w:r>
        <w:rPr>
          <w:spacing w:val="-3"/>
          <w:vertAlign w:val="baseline"/>
        </w:rPr>
        <w:t> </w:t>
      </w:r>
      <w:r>
        <w:rPr>
          <w:vertAlign w:val="baseline"/>
        </w:rPr>
        <w:t>=</w:t>
      </w:r>
      <w:r>
        <w:rPr>
          <w:spacing w:val="-3"/>
          <w:vertAlign w:val="baseline"/>
        </w:rPr>
        <w:t> </w:t>
      </w:r>
      <w:r>
        <w:rPr>
          <w:vertAlign w:val="baseline"/>
        </w:rPr>
        <w:t>364.071,</w:t>
      </w:r>
      <w:r>
        <w:rPr>
          <w:spacing w:val="-2"/>
          <w:vertAlign w:val="baseline"/>
        </w:rPr>
        <w:t> </w:t>
      </w:r>
      <w:r>
        <w:rPr>
          <w:i/>
          <w:vertAlign w:val="baseline"/>
        </w:rPr>
        <w:t>P</w:t>
      </w:r>
      <w:r>
        <w:rPr>
          <w:i/>
          <w:spacing w:val="-5"/>
          <w:vertAlign w:val="baseline"/>
        </w:rPr>
        <w:t> </w:t>
      </w:r>
      <w:r>
        <w:rPr>
          <w:vertAlign w:val="baseline"/>
        </w:rPr>
        <w:t>&lt;</w:t>
      </w:r>
      <w:r>
        <w:rPr>
          <w:spacing w:val="-3"/>
          <w:vertAlign w:val="baseline"/>
        </w:rPr>
        <w:t> </w:t>
      </w:r>
      <w:r>
        <w:rPr>
          <w:spacing w:val="-2"/>
          <w:vertAlign w:val="baseline"/>
        </w:rPr>
        <w:t>.0001.</w:t>
      </w:r>
    </w:p>
    <w:p>
      <w:pPr>
        <w:pStyle w:val="BodyText"/>
        <w:spacing w:after="0"/>
        <w:jc w:val="left"/>
        <w:sectPr>
          <w:pgSz w:w="11910" w:h="16840"/>
          <w:pgMar w:header="0" w:footer="970" w:top="1040" w:bottom="1220" w:left="1417" w:right="283"/>
        </w:sectPr>
      </w:pPr>
    </w:p>
    <w:p>
      <w:pPr>
        <w:pStyle w:val="Heading5"/>
        <w:spacing w:before="74"/>
        <w:ind w:right="560" w:firstLine="5146"/>
        <w:jc w:val="both"/>
        <w:rPr>
          <w:i w:val="0"/>
        </w:rPr>
      </w:pPr>
      <w:r>
        <w:rPr>
          <w:b/>
        </w:rPr>
        <w:t>Приложение</w:t>
      </w:r>
      <w:r>
        <w:rPr>
          <w:b/>
          <w:spacing w:val="-12"/>
        </w:rPr>
        <w:t> </w:t>
      </w:r>
      <w:r>
        <w:rPr>
          <w:b/>
        </w:rPr>
        <w:t>18.</w:t>
      </w:r>
      <w:r>
        <w:rPr>
          <w:b/>
          <w:spacing w:val="-10"/>
        </w:rPr>
        <w:t> </w:t>
      </w:r>
      <w:r>
        <w:rPr>
          <w:b/>
        </w:rPr>
        <w:t>Бланк</w:t>
      </w:r>
      <w:r>
        <w:rPr>
          <w:b/>
          <w:spacing w:val="-9"/>
        </w:rPr>
        <w:t> </w:t>
      </w:r>
      <w:r>
        <w:rPr>
          <w:b/>
        </w:rPr>
        <w:t>методики </w:t>
      </w:r>
      <w:r>
        <w:rPr/>
        <w:t>Прочитайте</w:t>
      </w:r>
      <w:r>
        <w:rPr>
          <w:spacing w:val="-11"/>
        </w:rPr>
        <w:t> </w:t>
      </w:r>
      <w:r>
        <w:rPr/>
        <w:t>утверждения</w:t>
      </w:r>
      <w:r>
        <w:rPr>
          <w:spacing w:val="-14"/>
        </w:rPr>
        <w:t> </w:t>
      </w:r>
      <w:r>
        <w:rPr/>
        <w:t>и</w:t>
      </w:r>
      <w:r>
        <w:rPr>
          <w:spacing w:val="-10"/>
        </w:rPr>
        <w:t> </w:t>
      </w:r>
      <w:r>
        <w:rPr/>
        <w:t>отметьте,</w:t>
      </w:r>
      <w:r>
        <w:rPr>
          <w:spacing w:val="-11"/>
        </w:rPr>
        <w:t> </w:t>
      </w:r>
      <w:r>
        <w:rPr/>
        <w:t>насколько</w:t>
      </w:r>
      <w:r>
        <w:rPr>
          <w:spacing w:val="-10"/>
        </w:rPr>
        <w:t> </w:t>
      </w:r>
      <w:r>
        <w:rPr/>
        <w:t>каждое</w:t>
      </w:r>
      <w:r>
        <w:rPr>
          <w:spacing w:val="-13"/>
        </w:rPr>
        <w:t> </w:t>
      </w:r>
      <w:r>
        <w:rPr/>
        <w:t>из</w:t>
      </w:r>
      <w:r>
        <w:rPr>
          <w:spacing w:val="-11"/>
        </w:rPr>
        <w:t> </w:t>
      </w:r>
      <w:r>
        <w:rPr/>
        <w:t>них</w:t>
      </w:r>
      <w:r>
        <w:rPr>
          <w:spacing w:val="-11"/>
        </w:rPr>
        <w:t> </w:t>
      </w:r>
      <w:r>
        <w:rPr/>
        <w:t>относится к</w:t>
      </w:r>
      <w:r>
        <w:rPr>
          <w:spacing w:val="-4"/>
        </w:rPr>
        <w:t> </w:t>
      </w:r>
      <w:r>
        <w:rPr/>
        <w:t>Вам.</w:t>
      </w:r>
      <w:r>
        <w:rPr>
          <w:spacing w:val="-5"/>
        </w:rPr>
        <w:t> </w:t>
      </w:r>
      <w:r>
        <w:rPr/>
        <w:t>Выберите</w:t>
      </w:r>
      <w:r>
        <w:rPr>
          <w:spacing w:val="-7"/>
        </w:rPr>
        <w:t> </w:t>
      </w:r>
      <w:r>
        <w:rPr/>
        <w:t>в</w:t>
      </w:r>
      <w:r>
        <w:rPr>
          <w:spacing w:val="-4"/>
        </w:rPr>
        <w:t> </w:t>
      </w:r>
      <w:r>
        <w:rPr/>
        <w:t>каждом</w:t>
      </w:r>
      <w:r>
        <w:rPr>
          <w:spacing w:val="-4"/>
        </w:rPr>
        <w:t> </w:t>
      </w:r>
      <w:r>
        <w:rPr/>
        <w:t>утверждении</w:t>
      </w:r>
      <w:r>
        <w:rPr>
          <w:spacing w:val="-3"/>
        </w:rPr>
        <w:t> </w:t>
      </w:r>
      <w:r>
        <w:rPr/>
        <w:t>наиболее</w:t>
      </w:r>
      <w:r>
        <w:rPr>
          <w:spacing w:val="-4"/>
        </w:rPr>
        <w:t> </w:t>
      </w:r>
      <w:r>
        <w:rPr/>
        <w:t>подходящий Вам</w:t>
      </w:r>
      <w:r>
        <w:rPr>
          <w:spacing w:val="-4"/>
        </w:rPr>
        <w:t> </w:t>
      </w:r>
      <w:r>
        <w:rPr/>
        <w:t>вариант и обведите в бланке соответствующий номер. Здесь нет правильных и неправильных ответов</w:t>
      </w:r>
      <w:r>
        <w:rPr>
          <w:i w:val="0"/>
        </w:rPr>
        <w:t>.</w:t>
      </w:r>
    </w:p>
    <w:p>
      <w:pPr>
        <w:pStyle w:val="BodyText"/>
        <w:ind w:left="0" w:right="0" w:firstLine="0"/>
        <w:jc w:val="left"/>
      </w:pPr>
    </w:p>
    <w:p>
      <w:pPr>
        <w:pStyle w:val="BodyText"/>
        <w:spacing w:before="64"/>
        <w:ind w:left="0" w:right="0" w:firstLine="0"/>
        <w:jc w:val="left"/>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3203"/>
        <w:gridCol w:w="1196"/>
        <w:gridCol w:w="1133"/>
        <w:gridCol w:w="1275"/>
        <w:gridCol w:w="1135"/>
        <w:gridCol w:w="993"/>
      </w:tblGrid>
      <w:tr>
        <w:trPr>
          <w:trHeight w:val="1103" w:hRule="atLeast"/>
        </w:trPr>
        <w:tc>
          <w:tcPr>
            <w:tcW w:w="562" w:type="dxa"/>
          </w:tcPr>
          <w:p>
            <w:pPr>
              <w:pStyle w:val="TableParagraph"/>
              <w:ind w:left="107" w:right="93"/>
              <w:rPr>
                <w:b/>
                <w:sz w:val="24"/>
              </w:rPr>
            </w:pPr>
            <w:r>
              <w:rPr>
                <w:b/>
                <w:spacing w:val="-10"/>
                <w:sz w:val="24"/>
              </w:rPr>
              <w:t>№ </w:t>
            </w:r>
            <w:r>
              <w:rPr>
                <w:b/>
                <w:spacing w:val="-4"/>
                <w:sz w:val="24"/>
              </w:rPr>
              <w:t>п/п</w:t>
            </w:r>
          </w:p>
        </w:tc>
        <w:tc>
          <w:tcPr>
            <w:tcW w:w="3203" w:type="dxa"/>
          </w:tcPr>
          <w:p>
            <w:pPr>
              <w:pStyle w:val="TableParagraph"/>
              <w:spacing w:line="273" w:lineRule="exact"/>
              <w:ind w:left="107"/>
              <w:rPr>
                <w:b/>
                <w:sz w:val="24"/>
              </w:rPr>
            </w:pPr>
            <w:r>
              <w:rPr>
                <w:b/>
                <w:spacing w:val="-2"/>
                <w:sz w:val="24"/>
              </w:rPr>
              <w:t>Утверждение</w:t>
            </w:r>
          </w:p>
        </w:tc>
        <w:tc>
          <w:tcPr>
            <w:tcW w:w="1196" w:type="dxa"/>
          </w:tcPr>
          <w:p>
            <w:pPr>
              <w:pStyle w:val="TableParagraph"/>
              <w:ind w:left="106" w:right="157"/>
              <w:rPr>
                <w:i/>
                <w:sz w:val="24"/>
              </w:rPr>
            </w:pPr>
            <w:r>
              <w:rPr>
                <w:i/>
                <w:spacing w:val="-2"/>
                <w:sz w:val="24"/>
              </w:rPr>
              <w:t>Полност </w:t>
            </w:r>
            <w:r>
              <w:rPr>
                <w:i/>
                <w:sz w:val="24"/>
              </w:rPr>
              <w:t>ью не </w:t>
            </w:r>
            <w:r>
              <w:rPr>
                <w:i/>
                <w:spacing w:val="-2"/>
                <w:sz w:val="24"/>
              </w:rPr>
              <w:t>согласен</w:t>
            </w:r>
          </w:p>
        </w:tc>
        <w:tc>
          <w:tcPr>
            <w:tcW w:w="1133" w:type="dxa"/>
          </w:tcPr>
          <w:p>
            <w:pPr>
              <w:pStyle w:val="TableParagraph"/>
              <w:ind w:left="103" w:right="291"/>
              <w:rPr>
                <w:i/>
                <w:sz w:val="24"/>
              </w:rPr>
            </w:pPr>
            <w:r>
              <w:rPr>
                <w:i/>
                <w:spacing w:val="-2"/>
                <w:sz w:val="24"/>
              </w:rPr>
              <w:t>Скорее </w:t>
            </w:r>
            <w:r>
              <w:rPr>
                <w:i/>
                <w:spacing w:val="-6"/>
                <w:sz w:val="24"/>
              </w:rPr>
              <w:t>не</w:t>
            </w:r>
          </w:p>
          <w:p>
            <w:pPr>
              <w:pStyle w:val="TableParagraph"/>
              <w:ind w:left="103"/>
              <w:rPr>
                <w:i/>
                <w:sz w:val="24"/>
              </w:rPr>
            </w:pPr>
            <w:r>
              <w:rPr>
                <w:i/>
                <w:spacing w:val="-2"/>
                <w:sz w:val="24"/>
              </w:rPr>
              <w:t>согласен</w:t>
            </w:r>
          </w:p>
        </w:tc>
        <w:tc>
          <w:tcPr>
            <w:tcW w:w="1275" w:type="dxa"/>
          </w:tcPr>
          <w:p>
            <w:pPr>
              <w:pStyle w:val="TableParagraph"/>
              <w:ind w:left="105" w:right="203"/>
              <w:jc w:val="both"/>
              <w:rPr>
                <w:i/>
                <w:sz w:val="24"/>
              </w:rPr>
            </w:pPr>
            <w:r>
              <w:rPr>
                <w:i/>
                <w:sz w:val="24"/>
              </w:rPr>
              <w:t>В</w:t>
            </w:r>
            <w:r>
              <w:rPr>
                <w:i/>
                <w:spacing w:val="-15"/>
                <w:sz w:val="24"/>
              </w:rPr>
              <w:t> </w:t>
            </w:r>
            <w:r>
              <w:rPr>
                <w:i/>
                <w:sz w:val="24"/>
              </w:rPr>
              <w:t>чем-</w:t>
            </w:r>
            <w:r>
              <w:rPr>
                <w:i/>
                <w:sz w:val="24"/>
              </w:rPr>
              <w:t>то </w:t>
            </w:r>
            <w:r>
              <w:rPr>
                <w:i/>
                <w:spacing w:val="-2"/>
                <w:sz w:val="24"/>
              </w:rPr>
              <w:t>согласен, </w:t>
            </w:r>
            <w:r>
              <w:rPr>
                <w:i/>
                <w:sz w:val="24"/>
              </w:rPr>
              <w:t>в</w:t>
            </w:r>
            <w:r>
              <w:rPr>
                <w:i/>
                <w:spacing w:val="-5"/>
                <w:sz w:val="24"/>
              </w:rPr>
              <w:t> </w:t>
            </w:r>
            <w:r>
              <w:rPr>
                <w:i/>
                <w:sz w:val="24"/>
              </w:rPr>
              <w:t>чем-</w:t>
            </w:r>
            <w:r>
              <w:rPr>
                <w:i/>
                <w:spacing w:val="-5"/>
                <w:sz w:val="24"/>
              </w:rPr>
              <w:t>то</w:t>
            </w:r>
          </w:p>
          <w:p>
            <w:pPr>
              <w:pStyle w:val="TableParagraph"/>
              <w:spacing w:line="264" w:lineRule="exact"/>
              <w:ind w:left="105"/>
              <w:rPr>
                <w:i/>
                <w:sz w:val="24"/>
              </w:rPr>
            </w:pPr>
            <w:r>
              <w:rPr>
                <w:i/>
                <w:spacing w:val="-5"/>
                <w:sz w:val="24"/>
              </w:rPr>
              <w:t>нет</w:t>
            </w:r>
          </w:p>
        </w:tc>
        <w:tc>
          <w:tcPr>
            <w:tcW w:w="1135" w:type="dxa"/>
          </w:tcPr>
          <w:p>
            <w:pPr>
              <w:pStyle w:val="TableParagraph"/>
              <w:ind w:left="105" w:right="139"/>
              <w:rPr>
                <w:i/>
                <w:sz w:val="24"/>
              </w:rPr>
            </w:pPr>
            <w:r>
              <w:rPr>
                <w:i/>
                <w:spacing w:val="-2"/>
                <w:sz w:val="24"/>
              </w:rPr>
              <w:t>Скорее согласен</w:t>
            </w:r>
          </w:p>
        </w:tc>
        <w:tc>
          <w:tcPr>
            <w:tcW w:w="993" w:type="dxa"/>
          </w:tcPr>
          <w:p>
            <w:pPr>
              <w:pStyle w:val="TableParagraph"/>
              <w:ind w:left="103" w:right="116"/>
              <w:rPr>
                <w:i/>
                <w:sz w:val="24"/>
              </w:rPr>
            </w:pPr>
            <w:r>
              <w:rPr>
                <w:i/>
                <w:spacing w:val="-2"/>
                <w:sz w:val="24"/>
              </w:rPr>
              <w:t>Полнос </w:t>
            </w:r>
            <w:r>
              <w:rPr>
                <w:i/>
                <w:spacing w:val="-4"/>
                <w:sz w:val="24"/>
              </w:rPr>
              <w:t>тью </w:t>
            </w:r>
            <w:r>
              <w:rPr>
                <w:i/>
                <w:spacing w:val="-2"/>
                <w:sz w:val="24"/>
              </w:rPr>
              <w:t>согласе</w:t>
            </w:r>
          </w:p>
          <w:p>
            <w:pPr>
              <w:pStyle w:val="TableParagraph"/>
              <w:spacing w:line="264" w:lineRule="exact"/>
              <w:ind w:left="103"/>
              <w:rPr>
                <w:i/>
                <w:sz w:val="24"/>
              </w:rPr>
            </w:pPr>
            <w:r>
              <w:rPr>
                <w:i/>
                <w:spacing w:val="-10"/>
                <w:sz w:val="24"/>
              </w:rPr>
              <w:t>н</w:t>
            </w:r>
          </w:p>
        </w:tc>
      </w:tr>
      <w:tr>
        <w:trPr>
          <w:trHeight w:val="1104" w:hRule="atLeast"/>
        </w:trPr>
        <w:tc>
          <w:tcPr>
            <w:tcW w:w="562" w:type="dxa"/>
          </w:tcPr>
          <w:p>
            <w:pPr>
              <w:pStyle w:val="TableParagraph"/>
              <w:spacing w:line="268" w:lineRule="exact"/>
              <w:ind w:left="107"/>
              <w:rPr>
                <w:sz w:val="24"/>
              </w:rPr>
            </w:pPr>
            <w:r>
              <w:rPr>
                <w:spacing w:val="-5"/>
                <w:sz w:val="24"/>
              </w:rPr>
              <w:t>1.</w:t>
            </w:r>
          </w:p>
        </w:tc>
        <w:tc>
          <w:tcPr>
            <w:tcW w:w="3203" w:type="dxa"/>
          </w:tcPr>
          <w:p>
            <w:pPr>
              <w:pStyle w:val="TableParagraph"/>
              <w:ind w:left="107" w:right="414"/>
              <w:rPr>
                <w:sz w:val="24"/>
              </w:rPr>
            </w:pPr>
            <w:r>
              <w:rPr>
                <w:sz w:val="24"/>
              </w:rPr>
              <w:t>Мне легко находить согласие</w:t>
            </w:r>
            <w:r>
              <w:rPr>
                <w:spacing w:val="-3"/>
                <w:sz w:val="24"/>
              </w:rPr>
              <w:t> </w:t>
            </w:r>
            <w:r>
              <w:rPr>
                <w:sz w:val="24"/>
              </w:rPr>
              <w:t>между</w:t>
            </w:r>
            <w:r>
              <w:rPr>
                <w:spacing w:val="-5"/>
                <w:sz w:val="24"/>
              </w:rPr>
              <w:t> </w:t>
            </w:r>
            <w:r>
              <w:rPr>
                <w:spacing w:val="-4"/>
                <w:sz w:val="24"/>
              </w:rPr>
              <w:t>моей</w:t>
            </w:r>
          </w:p>
          <w:p>
            <w:pPr>
              <w:pStyle w:val="TableParagraph"/>
              <w:spacing w:line="270" w:lineRule="atLeast"/>
              <w:ind w:left="107"/>
              <w:rPr>
                <w:sz w:val="24"/>
              </w:rPr>
            </w:pPr>
            <w:r>
              <w:rPr>
                <w:sz w:val="24"/>
              </w:rPr>
              <w:t>этнической</w:t>
            </w:r>
            <w:r>
              <w:rPr>
                <w:spacing w:val="-15"/>
                <w:sz w:val="24"/>
              </w:rPr>
              <w:t> </w:t>
            </w:r>
            <w:r>
              <w:rPr>
                <w:sz w:val="24"/>
              </w:rPr>
              <w:t>и</w:t>
            </w:r>
            <w:r>
              <w:rPr>
                <w:spacing w:val="-15"/>
                <w:sz w:val="24"/>
              </w:rPr>
              <w:t> </w:t>
            </w:r>
            <w:r>
              <w:rPr>
                <w:sz w:val="24"/>
              </w:rPr>
              <w:t>русской </w:t>
            </w:r>
            <w:r>
              <w:rPr>
                <w:spacing w:val="-2"/>
                <w:sz w:val="24"/>
              </w:rPr>
              <w:t>культурой</w:t>
            </w:r>
          </w:p>
        </w:tc>
        <w:tc>
          <w:tcPr>
            <w:tcW w:w="1196" w:type="dxa"/>
          </w:tcPr>
          <w:p>
            <w:pPr>
              <w:pStyle w:val="TableParagraph"/>
              <w:spacing w:line="268" w:lineRule="exact"/>
              <w:ind w:left="106"/>
              <w:rPr>
                <w:sz w:val="24"/>
              </w:rPr>
            </w:pPr>
            <w:r>
              <w:rPr>
                <w:spacing w:val="-10"/>
                <w:sz w:val="24"/>
              </w:rPr>
              <w:t>1</w:t>
            </w:r>
          </w:p>
        </w:tc>
        <w:tc>
          <w:tcPr>
            <w:tcW w:w="1133" w:type="dxa"/>
          </w:tcPr>
          <w:p>
            <w:pPr>
              <w:pStyle w:val="TableParagraph"/>
              <w:spacing w:line="268" w:lineRule="exact"/>
              <w:ind w:left="103"/>
              <w:rPr>
                <w:sz w:val="24"/>
              </w:rPr>
            </w:pPr>
            <w:r>
              <w:rPr>
                <w:spacing w:val="-10"/>
                <w:sz w:val="24"/>
              </w:rPr>
              <w:t>2</w:t>
            </w:r>
          </w:p>
        </w:tc>
        <w:tc>
          <w:tcPr>
            <w:tcW w:w="1275" w:type="dxa"/>
          </w:tcPr>
          <w:p>
            <w:pPr>
              <w:pStyle w:val="TableParagraph"/>
              <w:spacing w:line="268" w:lineRule="exact"/>
              <w:ind w:left="105"/>
              <w:rPr>
                <w:sz w:val="24"/>
              </w:rPr>
            </w:pPr>
            <w:r>
              <w:rPr>
                <w:spacing w:val="-10"/>
                <w:sz w:val="24"/>
              </w:rPr>
              <w:t>3</w:t>
            </w:r>
          </w:p>
        </w:tc>
        <w:tc>
          <w:tcPr>
            <w:tcW w:w="1135" w:type="dxa"/>
          </w:tcPr>
          <w:p>
            <w:pPr>
              <w:pStyle w:val="TableParagraph"/>
              <w:spacing w:line="268" w:lineRule="exact"/>
              <w:ind w:left="105"/>
              <w:rPr>
                <w:sz w:val="24"/>
              </w:rPr>
            </w:pPr>
            <w:r>
              <w:rPr>
                <w:spacing w:val="-10"/>
                <w:sz w:val="24"/>
              </w:rPr>
              <w:t>4</w:t>
            </w:r>
          </w:p>
        </w:tc>
        <w:tc>
          <w:tcPr>
            <w:tcW w:w="993" w:type="dxa"/>
          </w:tcPr>
          <w:p>
            <w:pPr>
              <w:pStyle w:val="TableParagraph"/>
              <w:spacing w:line="268" w:lineRule="exact"/>
              <w:ind w:left="103"/>
              <w:rPr>
                <w:sz w:val="24"/>
              </w:rPr>
            </w:pPr>
            <w:r>
              <w:rPr>
                <w:spacing w:val="-10"/>
                <w:sz w:val="24"/>
              </w:rPr>
              <w:t>5</w:t>
            </w:r>
          </w:p>
        </w:tc>
      </w:tr>
      <w:tr>
        <w:trPr>
          <w:trHeight w:val="827" w:hRule="atLeast"/>
        </w:trPr>
        <w:tc>
          <w:tcPr>
            <w:tcW w:w="562" w:type="dxa"/>
          </w:tcPr>
          <w:p>
            <w:pPr>
              <w:pStyle w:val="TableParagraph"/>
              <w:spacing w:line="268" w:lineRule="exact"/>
              <w:ind w:left="107"/>
              <w:rPr>
                <w:sz w:val="24"/>
              </w:rPr>
            </w:pPr>
            <w:r>
              <w:rPr>
                <w:spacing w:val="-5"/>
                <w:sz w:val="24"/>
              </w:rPr>
              <w:t>2.</w:t>
            </w:r>
          </w:p>
        </w:tc>
        <w:tc>
          <w:tcPr>
            <w:tcW w:w="3203" w:type="dxa"/>
          </w:tcPr>
          <w:p>
            <w:pPr>
              <w:pStyle w:val="TableParagraph"/>
              <w:ind w:left="107" w:right="414"/>
              <w:rPr>
                <w:sz w:val="24"/>
              </w:rPr>
            </w:pPr>
            <w:r>
              <w:rPr>
                <w:sz w:val="24"/>
              </w:rPr>
              <w:t>Я редко испытываю внутренние</w:t>
            </w:r>
            <w:r>
              <w:rPr>
                <w:spacing w:val="-15"/>
                <w:sz w:val="24"/>
              </w:rPr>
              <w:t> </w:t>
            </w:r>
            <w:r>
              <w:rPr>
                <w:sz w:val="24"/>
              </w:rPr>
              <w:t>противоречия</w:t>
            </w:r>
          </w:p>
          <w:p>
            <w:pPr>
              <w:pStyle w:val="TableParagraph"/>
              <w:spacing w:line="264" w:lineRule="exact"/>
              <w:ind w:left="107"/>
              <w:rPr>
                <w:sz w:val="24"/>
              </w:rPr>
            </w:pPr>
            <w:r>
              <w:rPr>
                <w:sz w:val="24"/>
              </w:rPr>
              <w:t>из-за</w:t>
            </w:r>
            <w:r>
              <w:rPr>
                <w:spacing w:val="-2"/>
                <w:sz w:val="24"/>
              </w:rPr>
              <w:t> </w:t>
            </w:r>
            <w:r>
              <w:rPr>
                <w:sz w:val="24"/>
              </w:rPr>
              <w:t>своей</w:t>
            </w:r>
            <w:r>
              <w:rPr>
                <w:spacing w:val="-1"/>
                <w:sz w:val="24"/>
              </w:rPr>
              <w:t> </w:t>
            </w:r>
            <w:r>
              <w:rPr>
                <w:spacing w:val="-2"/>
                <w:sz w:val="24"/>
              </w:rPr>
              <w:t>бикультурности</w:t>
            </w:r>
          </w:p>
        </w:tc>
        <w:tc>
          <w:tcPr>
            <w:tcW w:w="1196" w:type="dxa"/>
          </w:tcPr>
          <w:p>
            <w:pPr>
              <w:pStyle w:val="TableParagraph"/>
              <w:spacing w:line="268" w:lineRule="exact"/>
              <w:ind w:left="106"/>
              <w:rPr>
                <w:sz w:val="24"/>
              </w:rPr>
            </w:pPr>
            <w:r>
              <w:rPr>
                <w:spacing w:val="-10"/>
                <w:sz w:val="24"/>
              </w:rPr>
              <w:t>1</w:t>
            </w:r>
          </w:p>
        </w:tc>
        <w:tc>
          <w:tcPr>
            <w:tcW w:w="1133" w:type="dxa"/>
          </w:tcPr>
          <w:p>
            <w:pPr>
              <w:pStyle w:val="TableParagraph"/>
              <w:spacing w:line="268" w:lineRule="exact"/>
              <w:ind w:left="103"/>
              <w:rPr>
                <w:sz w:val="24"/>
              </w:rPr>
            </w:pPr>
            <w:r>
              <w:rPr>
                <w:spacing w:val="-10"/>
                <w:sz w:val="24"/>
              </w:rPr>
              <w:t>2</w:t>
            </w:r>
          </w:p>
        </w:tc>
        <w:tc>
          <w:tcPr>
            <w:tcW w:w="1275" w:type="dxa"/>
          </w:tcPr>
          <w:p>
            <w:pPr>
              <w:pStyle w:val="TableParagraph"/>
              <w:spacing w:line="268" w:lineRule="exact"/>
              <w:ind w:left="105"/>
              <w:rPr>
                <w:sz w:val="24"/>
              </w:rPr>
            </w:pPr>
            <w:r>
              <w:rPr>
                <w:spacing w:val="-10"/>
                <w:sz w:val="24"/>
              </w:rPr>
              <w:t>3</w:t>
            </w:r>
          </w:p>
        </w:tc>
        <w:tc>
          <w:tcPr>
            <w:tcW w:w="1135" w:type="dxa"/>
          </w:tcPr>
          <w:p>
            <w:pPr>
              <w:pStyle w:val="TableParagraph"/>
              <w:spacing w:line="268" w:lineRule="exact"/>
              <w:ind w:left="105"/>
              <w:rPr>
                <w:sz w:val="24"/>
              </w:rPr>
            </w:pPr>
            <w:r>
              <w:rPr>
                <w:spacing w:val="-10"/>
                <w:sz w:val="24"/>
              </w:rPr>
              <w:t>4</w:t>
            </w:r>
          </w:p>
        </w:tc>
        <w:tc>
          <w:tcPr>
            <w:tcW w:w="993" w:type="dxa"/>
          </w:tcPr>
          <w:p>
            <w:pPr>
              <w:pStyle w:val="TableParagraph"/>
              <w:spacing w:line="268" w:lineRule="exact"/>
              <w:ind w:left="103"/>
              <w:rPr>
                <w:sz w:val="24"/>
              </w:rPr>
            </w:pPr>
            <w:r>
              <w:rPr>
                <w:spacing w:val="-10"/>
                <w:sz w:val="24"/>
              </w:rPr>
              <w:t>5</w:t>
            </w:r>
          </w:p>
        </w:tc>
      </w:tr>
      <w:tr>
        <w:trPr>
          <w:trHeight w:val="827" w:hRule="atLeast"/>
        </w:trPr>
        <w:tc>
          <w:tcPr>
            <w:tcW w:w="562" w:type="dxa"/>
          </w:tcPr>
          <w:p>
            <w:pPr>
              <w:pStyle w:val="TableParagraph"/>
              <w:spacing w:line="268" w:lineRule="exact"/>
              <w:ind w:left="107"/>
              <w:rPr>
                <w:sz w:val="24"/>
              </w:rPr>
            </w:pPr>
            <w:r>
              <w:rPr>
                <w:spacing w:val="-5"/>
                <w:sz w:val="24"/>
              </w:rPr>
              <w:t>3.</w:t>
            </w:r>
          </w:p>
        </w:tc>
        <w:tc>
          <w:tcPr>
            <w:tcW w:w="3203" w:type="dxa"/>
          </w:tcPr>
          <w:p>
            <w:pPr>
              <w:pStyle w:val="TableParagraph"/>
              <w:ind w:left="107" w:right="165"/>
              <w:rPr>
                <w:sz w:val="24"/>
              </w:rPr>
            </w:pPr>
            <w:r>
              <w:rPr>
                <w:sz w:val="24"/>
              </w:rPr>
              <w:t>Я легко нахожу баланс между</w:t>
            </w:r>
            <w:r>
              <w:rPr>
                <w:spacing w:val="-15"/>
                <w:sz w:val="24"/>
              </w:rPr>
              <w:t> </w:t>
            </w:r>
            <w:r>
              <w:rPr>
                <w:sz w:val="24"/>
              </w:rPr>
              <w:t>своей</w:t>
            </w:r>
            <w:r>
              <w:rPr>
                <w:spacing w:val="-11"/>
                <w:sz w:val="24"/>
              </w:rPr>
              <w:t> </w:t>
            </w:r>
            <w:r>
              <w:rPr>
                <w:sz w:val="24"/>
              </w:rPr>
              <w:t>этнической</w:t>
            </w:r>
            <w:r>
              <w:rPr>
                <w:spacing w:val="-11"/>
                <w:sz w:val="24"/>
              </w:rPr>
              <w:t> </w:t>
            </w:r>
            <w:r>
              <w:rPr>
                <w:sz w:val="24"/>
              </w:rPr>
              <w:t>и</w:t>
            </w:r>
          </w:p>
          <w:p>
            <w:pPr>
              <w:pStyle w:val="TableParagraph"/>
              <w:spacing w:line="264" w:lineRule="exact"/>
              <w:ind w:left="107"/>
              <w:rPr>
                <w:sz w:val="24"/>
              </w:rPr>
            </w:pPr>
            <w:r>
              <w:rPr>
                <w:sz w:val="24"/>
              </w:rPr>
              <w:t>русской</w:t>
            </w:r>
            <w:r>
              <w:rPr>
                <w:spacing w:val="-4"/>
                <w:sz w:val="24"/>
              </w:rPr>
              <w:t> </w:t>
            </w:r>
            <w:r>
              <w:rPr>
                <w:spacing w:val="-2"/>
                <w:sz w:val="24"/>
              </w:rPr>
              <w:t>культурами</w:t>
            </w:r>
          </w:p>
        </w:tc>
        <w:tc>
          <w:tcPr>
            <w:tcW w:w="1196" w:type="dxa"/>
          </w:tcPr>
          <w:p>
            <w:pPr>
              <w:pStyle w:val="TableParagraph"/>
              <w:spacing w:line="268" w:lineRule="exact"/>
              <w:ind w:left="106"/>
              <w:rPr>
                <w:sz w:val="24"/>
              </w:rPr>
            </w:pPr>
            <w:r>
              <w:rPr>
                <w:spacing w:val="-10"/>
                <w:sz w:val="24"/>
              </w:rPr>
              <w:t>1</w:t>
            </w:r>
          </w:p>
        </w:tc>
        <w:tc>
          <w:tcPr>
            <w:tcW w:w="1133" w:type="dxa"/>
          </w:tcPr>
          <w:p>
            <w:pPr>
              <w:pStyle w:val="TableParagraph"/>
              <w:spacing w:line="268" w:lineRule="exact"/>
              <w:ind w:left="103"/>
              <w:rPr>
                <w:sz w:val="24"/>
              </w:rPr>
            </w:pPr>
            <w:r>
              <w:rPr>
                <w:spacing w:val="-10"/>
                <w:sz w:val="24"/>
              </w:rPr>
              <w:t>2</w:t>
            </w:r>
          </w:p>
        </w:tc>
        <w:tc>
          <w:tcPr>
            <w:tcW w:w="1275" w:type="dxa"/>
          </w:tcPr>
          <w:p>
            <w:pPr>
              <w:pStyle w:val="TableParagraph"/>
              <w:spacing w:line="268" w:lineRule="exact"/>
              <w:ind w:left="105"/>
              <w:rPr>
                <w:sz w:val="24"/>
              </w:rPr>
            </w:pPr>
            <w:r>
              <w:rPr>
                <w:spacing w:val="-10"/>
                <w:sz w:val="24"/>
              </w:rPr>
              <w:t>3</w:t>
            </w:r>
          </w:p>
        </w:tc>
        <w:tc>
          <w:tcPr>
            <w:tcW w:w="1135" w:type="dxa"/>
          </w:tcPr>
          <w:p>
            <w:pPr>
              <w:pStyle w:val="TableParagraph"/>
              <w:spacing w:line="268" w:lineRule="exact"/>
              <w:ind w:left="105"/>
              <w:rPr>
                <w:sz w:val="24"/>
              </w:rPr>
            </w:pPr>
            <w:r>
              <w:rPr>
                <w:spacing w:val="-10"/>
                <w:sz w:val="24"/>
              </w:rPr>
              <w:t>4</w:t>
            </w:r>
          </w:p>
        </w:tc>
        <w:tc>
          <w:tcPr>
            <w:tcW w:w="993" w:type="dxa"/>
          </w:tcPr>
          <w:p>
            <w:pPr>
              <w:pStyle w:val="TableParagraph"/>
              <w:spacing w:line="268" w:lineRule="exact"/>
              <w:ind w:left="103"/>
              <w:rPr>
                <w:sz w:val="24"/>
              </w:rPr>
            </w:pPr>
            <w:r>
              <w:rPr>
                <w:spacing w:val="-10"/>
                <w:sz w:val="24"/>
              </w:rPr>
              <w:t>5</w:t>
            </w:r>
          </w:p>
        </w:tc>
      </w:tr>
      <w:tr>
        <w:trPr>
          <w:trHeight w:val="1104" w:hRule="atLeast"/>
        </w:trPr>
        <w:tc>
          <w:tcPr>
            <w:tcW w:w="562" w:type="dxa"/>
          </w:tcPr>
          <w:p>
            <w:pPr>
              <w:pStyle w:val="TableParagraph"/>
              <w:spacing w:line="268" w:lineRule="exact"/>
              <w:ind w:left="107"/>
              <w:rPr>
                <w:sz w:val="24"/>
              </w:rPr>
            </w:pPr>
            <w:r>
              <w:rPr>
                <w:spacing w:val="-5"/>
                <w:sz w:val="24"/>
              </w:rPr>
              <w:t>4.</w:t>
            </w:r>
          </w:p>
        </w:tc>
        <w:tc>
          <w:tcPr>
            <w:tcW w:w="3203" w:type="dxa"/>
          </w:tcPr>
          <w:p>
            <w:pPr>
              <w:pStyle w:val="TableParagraph"/>
              <w:ind w:left="107"/>
              <w:rPr>
                <w:sz w:val="24"/>
              </w:rPr>
            </w:pPr>
            <w:r>
              <w:rPr>
                <w:sz w:val="24"/>
              </w:rPr>
              <w:t>Я</w:t>
            </w:r>
            <w:r>
              <w:rPr>
                <w:spacing w:val="-12"/>
                <w:sz w:val="24"/>
              </w:rPr>
              <w:t> </w:t>
            </w:r>
            <w:r>
              <w:rPr>
                <w:sz w:val="24"/>
              </w:rPr>
              <w:t>чувствую</w:t>
            </w:r>
            <w:r>
              <w:rPr>
                <w:spacing w:val="-11"/>
                <w:sz w:val="24"/>
              </w:rPr>
              <w:t> </w:t>
            </w:r>
            <w:r>
              <w:rPr>
                <w:sz w:val="24"/>
              </w:rPr>
              <w:t>себя</w:t>
            </w:r>
            <w:r>
              <w:rPr>
                <w:spacing w:val="-12"/>
                <w:sz w:val="24"/>
              </w:rPr>
              <w:t> </w:t>
            </w:r>
            <w:r>
              <w:rPr>
                <w:sz w:val="24"/>
              </w:rPr>
              <w:t>будто</w:t>
            </w:r>
            <w:r>
              <w:rPr>
                <w:spacing w:val="-12"/>
                <w:sz w:val="24"/>
              </w:rPr>
              <w:t> </w:t>
            </w:r>
            <w:r>
              <w:rPr>
                <w:sz w:val="24"/>
              </w:rPr>
              <w:t>«в ловушке» между своей этнической и русской</w:t>
            </w:r>
          </w:p>
          <w:p>
            <w:pPr>
              <w:pStyle w:val="TableParagraph"/>
              <w:spacing w:line="264" w:lineRule="exact"/>
              <w:ind w:left="107"/>
              <w:rPr>
                <w:sz w:val="24"/>
              </w:rPr>
            </w:pPr>
            <w:r>
              <w:rPr>
                <w:spacing w:val="-2"/>
                <w:sz w:val="24"/>
              </w:rPr>
              <w:t>культурой*</w:t>
            </w:r>
          </w:p>
        </w:tc>
        <w:tc>
          <w:tcPr>
            <w:tcW w:w="1196" w:type="dxa"/>
          </w:tcPr>
          <w:p>
            <w:pPr>
              <w:pStyle w:val="TableParagraph"/>
              <w:spacing w:line="268" w:lineRule="exact"/>
              <w:ind w:left="106"/>
              <w:rPr>
                <w:sz w:val="24"/>
              </w:rPr>
            </w:pPr>
            <w:r>
              <w:rPr>
                <w:spacing w:val="-10"/>
                <w:sz w:val="24"/>
              </w:rPr>
              <w:t>1</w:t>
            </w:r>
          </w:p>
        </w:tc>
        <w:tc>
          <w:tcPr>
            <w:tcW w:w="1133" w:type="dxa"/>
          </w:tcPr>
          <w:p>
            <w:pPr>
              <w:pStyle w:val="TableParagraph"/>
              <w:spacing w:line="268" w:lineRule="exact"/>
              <w:ind w:left="103"/>
              <w:rPr>
                <w:sz w:val="24"/>
              </w:rPr>
            </w:pPr>
            <w:r>
              <w:rPr>
                <w:spacing w:val="-10"/>
                <w:sz w:val="24"/>
              </w:rPr>
              <w:t>2</w:t>
            </w:r>
          </w:p>
        </w:tc>
        <w:tc>
          <w:tcPr>
            <w:tcW w:w="1275" w:type="dxa"/>
          </w:tcPr>
          <w:p>
            <w:pPr>
              <w:pStyle w:val="TableParagraph"/>
              <w:spacing w:line="268" w:lineRule="exact"/>
              <w:ind w:left="105"/>
              <w:rPr>
                <w:sz w:val="24"/>
              </w:rPr>
            </w:pPr>
            <w:r>
              <w:rPr>
                <w:spacing w:val="-10"/>
                <w:sz w:val="24"/>
              </w:rPr>
              <w:t>3</w:t>
            </w:r>
          </w:p>
        </w:tc>
        <w:tc>
          <w:tcPr>
            <w:tcW w:w="1135" w:type="dxa"/>
          </w:tcPr>
          <w:p>
            <w:pPr>
              <w:pStyle w:val="TableParagraph"/>
              <w:spacing w:line="268" w:lineRule="exact"/>
              <w:ind w:left="105"/>
              <w:rPr>
                <w:sz w:val="24"/>
              </w:rPr>
            </w:pPr>
            <w:r>
              <w:rPr>
                <w:spacing w:val="-10"/>
                <w:sz w:val="24"/>
              </w:rPr>
              <w:t>4</w:t>
            </w:r>
          </w:p>
        </w:tc>
        <w:tc>
          <w:tcPr>
            <w:tcW w:w="993" w:type="dxa"/>
          </w:tcPr>
          <w:p>
            <w:pPr>
              <w:pStyle w:val="TableParagraph"/>
              <w:spacing w:line="268" w:lineRule="exact"/>
              <w:ind w:left="103"/>
              <w:rPr>
                <w:sz w:val="24"/>
              </w:rPr>
            </w:pPr>
            <w:r>
              <w:rPr>
                <w:spacing w:val="-10"/>
                <w:sz w:val="24"/>
              </w:rPr>
              <w:t>5</w:t>
            </w:r>
          </w:p>
        </w:tc>
      </w:tr>
      <w:tr>
        <w:trPr>
          <w:trHeight w:val="830" w:hRule="atLeast"/>
        </w:trPr>
        <w:tc>
          <w:tcPr>
            <w:tcW w:w="562" w:type="dxa"/>
          </w:tcPr>
          <w:p>
            <w:pPr>
              <w:pStyle w:val="TableParagraph"/>
              <w:spacing w:line="270" w:lineRule="exact"/>
              <w:ind w:left="107"/>
              <w:rPr>
                <w:sz w:val="24"/>
              </w:rPr>
            </w:pPr>
            <w:r>
              <w:rPr>
                <w:spacing w:val="-5"/>
                <w:sz w:val="24"/>
              </w:rPr>
              <w:t>5.</w:t>
            </w:r>
          </w:p>
        </w:tc>
        <w:tc>
          <w:tcPr>
            <w:tcW w:w="3203" w:type="dxa"/>
          </w:tcPr>
          <w:p>
            <w:pPr>
              <w:pStyle w:val="TableParagraph"/>
              <w:ind w:left="107"/>
              <w:rPr>
                <w:sz w:val="24"/>
              </w:rPr>
            </w:pPr>
            <w:r>
              <w:rPr>
                <w:sz w:val="24"/>
              </w:rPr>
              <w:t>Я чувствую разрыв между своей</w:t>
            </w:r>
            <w:r>
              <w:rPr>
                <w:spacing w:val="-14"/>
                <w:sz w:val="24"/>
              </w:rPr>
              <w:t> </w:t>
            </w:r>
            <w:r>
              <w:rPr>
                <w:sz w:val="24"/>
              </w:rPr>
              <w:t>этнической</w:t>
            </w:r>
            <w:r>
              <w:rPr>
                <w:spacing w:val="-14"/>
                <w:sz w:val="24"/>
              </w:rPr>
              <w:t> </w:t>
            </w:r>
            <w:r>
              <w:rPr>
                <w:sz w:val="24"/>
              </w:rPr>
              <w:t>и</w:t>
            </w:r>
            <w:r>
              <w:rPr>
                <w:spacing w:val="-14"/>
                <w:sz w:val="24"/>
              </w:rPr>
              <w:t> </w:t>
            </w:r>
            <w:r>
              <w:rPr>
                <w:sz w:val="24"/>
              </w:rPr>
              <w:t>русской</w:t>
            </w:r>
          </w:p>
          <w:p>
            <w:pPr>
              <w:pStyle w:val="TableParagraph"/>
              <w:spacing w:line="264" w:lineRule="exact"/>
              <w:ind w:left="107"/>
              <w:rPr>
                <w:sz w:val="24"/>
              </w:rPr>
            </w:pPr>
            <w:r>
              <w:rPr>
                <w:spacing w:val="-2"/>
                <w:sz w:val="24"/>
              </w:rPr>
              <w:t>культурой*</w:t>
            </w:r>
          </w:p>
        </w:tc>
        <w:tc>
          <w:tcPr>
            <w:tcW w:w="1196" w:type="dxa"/>
          </w:tcPr>
          <w:p>
            <w:pPr>
              <w:pStyle w:val="TableParagraph"/>
              <w:spacing w:line="270" w:lineRule="exact"/>
              <w:ind w:left="106"/>
              <w:rPr>
                <w:sz w:val="24"/>
              </w:rPr>
            </w:pPr>
            <w:r>
              <w:rPr>
                <w:spacing w:val="-10"/>
                <w:sz w:val="24"/>
              </w:rPr>
              <w:t>1</w:t>
            </w:r>
          </w:p>
        </w:tc>
        <w:tc>
          <w:tcPr>
            <w:tcW w:w="1133" w:type="dxa"/>
          </w:tcPr>
          <w:p>
            <w:pPr>
              <w:pStyle w:val="TableParagraph"/>
              <w:spacing w:line="270" w:lineRule="exact"/>
              <w:ind w:left="103"/>
              <w:rPr>
                <w:sz w:val="24"/>
              </w:rPr>
            </w:pPr>
            <w:r>
              <w:rPr>
                <w:spacing w:val="-10"/>
                <w:sz w:val="24"/>
              </w:rPr>
              <w:t>2</w:t>
            </w:r>
          </w:p>
        </w:tc>
        <w:tc>
          <w:tcPr>
            <w:tcW w:w="1275" w:type="dxa"/>
          </w:tcPr>
          <w:p>
            <w:pPr>
              <w:pStyle w:val="TableParagraph"/>
              <w:spacing w:line="270" w:lineRule="exact"/>
              <w:ind w:left="105"/>
              <w:rPr>
                <w:sz w:val="24"/>
              </w:rPr>
            </w:pPr>
            <w:r>
              <w:rPr>
                <w:spacing w:val="-10"/>
                <w:sz w:val="24"/>
              </w:rPr>
              <w:t>3</w:t>
            </w:r>
          </w:p>
        </w:tc>
        <w:tc>
          <w:tcPr>
            <w:tcW w:w="1135" w:type="dxa"/>
          </w:tcPr>
          <w:p>
            <w:pPr>
              <w:pStyle w:val="TableParagraph"/>
              <w:spacing w:line="270" w:lineRule="exact"/>
              <w:ind w:left="105"/>
              <w:rPr>
                <w:sz w:val="24"/>
              </w:rPr>
            </w:pPr>
            <w:r>
              <w:rPr>
                <w:spacing w:val="-10"/>
                <w:sz w:val="24"/>
              </w:rPr>
              <w:t>4</w:t>
            </w:r>
          </w:p>
        </w:tc>
        <w:tc>
          <w:tcPr>
            <w:tcW w:w="993" w:type="dxa"/>
          </w:tcPr>
          <w:p>
            <w:pPr>
              <w:pStyle w:val="TableParagraph"/>
              <w:spacing w:line="270" w:lineRule="exact"/>
              <w:ind w:left="103"/>
              <w:rPr>
                <w:sz w:val="24"/>
              </w:rPr>
            </w:pPr>
            <w:r>
              <w:rPr>
                <w:spacing w:val="-10"/>
                <w:sz w:val="24"/>
              </w:rPr>
              <w:t>5</w:t>
            </w:r>
          </w:p>
        </w:tc>
      </w:tr>
      <w:tr>
        <w:trPr>
          <w:trHeight w:val="1379" w:hRule="atLeast"/>
        </w:trPr>
        <w:tc>
          <w:tcPr>
            <w:tcW w:w="562" w:type="dxa"/>
          </w:tcPr>
          <w:p>
            <w:pPr>
              <w:pStyle w:val="TableParagraph"/>
              <w:spacing w:line="268" w:lineRule="exact"/>
              <w:ind w:left="107"/>
              <w:rPr>
                <w:sz w:val="24"/>
              </w:rPr>
            </w:pPr>
            <w:r>
              <w:rPr>
                <w:spacing w:val="-5"/>
                <w:sz w:val="24"/>
              </w:rPr>
              <w:t>6.</w:t>
            </w:r>
          </w:p>
        </w:tc>
        <w:tc>
          <w:tcPr>
            <w:tcW w:w="3203" w:type="dxa"/>
          </w:tcPr>
          <w:p>
            <w:pPr>
              <w:pStyle w:val="TableParagraph"/>
              <w:ind w:left="107" w:right="165"/>
              <w:rPr>
                <w:sz w:val="24"/>
              </w:rPr>
            </w:pPr>
            <w:r>
              <w:rPr>
                <w:sz w:val="24"/>
              </w:rPr>
              <w:t>Быть бикультурным/ой для меня — это ощущать, что две</w:t>
            </w:r>
            <w:r>
              <w:rPr>
                <w:spacing w:val="-15"/>
                <w:sz w:val="24"/>
              </w:rPr>
              <w:t> </w:t>
            </w:r>
            <w:r>
              <w:rPr>
                <w:sz w:val="24"/>
              </w:rPr>
              <w:t>культуры</w:t>
            </w:r>
            <w:r>
              <w:rPr>
                <w:spacing w:val="-15"/>
                <w:sz w:val="24"/>
              </w:rPr>
              <w:t> </w:t>
            </w:r>
            <w:r>
              <w:rPr>
                <w:sz w:val="24"/>
              </w:rPr>
              <w:t>одновременно</w:t>
            </w:r>
          </w:p>
          <w:p>
            <w:pPr>
              <w:pStyle w:val="TableParagraph"/>
              <w:spacing w:line="270" w:lineRule="atLeast"/>
              <w:ind w:left="107" w:right="414"/>
              <w:rPr>
                <w:sz w:val="24"/>
              </w:rPr>
            </w:pPr>
            <w:r>
              <w:rPr>
                <w:sz w:val="24"/>
              </w:rPr>
              <w:t>тянут</w:t>
            </w:r>
            <w:r>
              <w:rPr>
                <w:spacing w:val="-13"/>
                <w:sz w:val="24"/>
              </w:rPr>
              <w:t> </w:t>
            </w:r>
            <w:r>
              <w:rPr>
                <w:sz w:val="24"/>
              </w:rPr>
              <w:t>меня</w:t>
            </w:r>
            <w:r>
              <w:rPr>
                <w:spacing w:val="-13"/>
                <w:sz w:val="24"/>
              </w:rPr>
              <w:t> </w:t>
            </w:r>
            <w:r>
              <w:rPr>
                <w:sz w:val="24"/>
              </w:rPr>
              <w:t>в</w:t>
            </w:r>
            <w:r>
              <w:rPr>
                <w:spacing w:val="-14"/>
                <w:sz w:val="24"/>
              </w:rPr>
              <w:t> </w:t>
            </w:r>
            <w:r>
              <w:rPr>
                <w:sz w:val="24"/>
              </w:rPr>
              <w:t>разные </w:t>
            </w:r>
            <w:r>
              <w:rPr>
                <w:spacing w:val="-2"/>
                <w:sz w:val="24"/>
              </w:rPr>
              <w:t>стороны*</w:t>
            </w:r>
          </w:p>
        </w:tc>
        <w:tc>
          <w:tcPr>
            <w:tcW w:w="1196" w:type="dxa"/>
          </w:tcPr>
          <w:p>
            <w:pPr>
              <w:pStyle w:val="TableParagraph"/>
              <w:spacing w:line="268" w:lineRule="exact"/>
              <w:ind w:left="106"/>
              <w:rPr>
                <w:sz w:val="24"/>
              </w:rPr>
            </w:pPr>
            <w:r>
              <w:rPr>
                <w:spacing w:val="-10"/>
                <w:sz w:val="24"/>
              </w:rPr>
              <w:t>1</w:t>
            </w:r>
          </w:p>
        </w:tc>
        <w:tc>
          <w:tcPr>
            <w:tcW w:w="1133" w:type="dxa"/>
          </w:tcPr>
          <w:p>
            <w:pPr>
              <w:pStyle w:val="TableParagraph"/>
              <w:spacing w:line="268" w:lineRule="exact"/>
              <w:ind w:left="103"/>
              <w:rPr>
                <w:sz w:val="24"/>
              </w:rPr>
            </w:pPr>
            <w:r>
              <w:rPr>
                <w:spacing w:val="-10"/>
                <w:sz w:val="24"/>
              </w:rPr>
              <w:t>2</w:t>
            </w:r>
          </w:p>
        </w:tc>
        <w:tc>
          <w:tcPr>
            <w:tcW w:w="1275" w:type="dxa"/>
          </w:tcPr>
          <w:p>
            <w:pPr>
              <w:pStyle w:val="TableParagraph"/>
              <w:spacing w:line="268" w:lineRule="exact"/>
              <w:ind w:left="105"/>
              <w:rPr>
                <w:sz w:val="24"/>
              </w:rPr>
            </w:pPr>
            <w:r>
              <w:rPr>
                <w:spacing w:val="-10"/>
                <w:sz w:val="24"/>
              </w:rPr>
              <w:t>3</w:t>
            </w:r>
          </w:p>
        </w:tc>
        <w:tc>
          <w:tcPr>
            <w:tcW w:w="1135" w:type="dxa"/>
          </w:tcPr>
          <w:p>
            <w:pPr>
              <w:pStyle w:val="TableParagraph"/>
              <w:spacing w:line="268" w:lineRule="exact"/>
              <w:ind w:left="105"/>
              <w:rPr>
                <w:sz w:val="24"/>
              </w:rPr>
            </w:pPr>
            <w:r>
              <w:rPr>
                <w:spacing w:val="-10"/>
                <w:sz w:val="24"/>
              </w:rPr>
              <w:t>4</w:t>
            </w:r>
          </w:p>
        </w:tc>
        <w:tc>
          <w:tcPr>
            <w:tcW w:w="993" w:type="dxa"/>
          </w:tcPr>
          <w:p>
            <w:pPr>
              <w:pStyle w:val="TableParagraph"/>
              <w:spacing w:line="268" w:lineRule="exact"/>
              <w:ind w:left="103"/>
              <w:rPr>
                <w:sz w:val="24"/>
              </w:rPr>
            </w:pPr>
            <w:r>
              <w:rPr>
                <w:spacing w:val="-10"/>
                <w:sz w:val="24"/>
              </w:rPr>
              <w:t>5</w:t>
            </w:r>
          </w:p>
        </w:tc>
      </w:tr>
      <w:tr>
        <w:trPr>
          <w:trHeight w:val="828" w:hRule="atLeast"/>
        </w:trPr>
        <w:tc>
          <w:tcPr>
            <w:tcW w:w="562" w:type="dxa"/>
          </w:tcPr>
          <w:p>
            <w:pPr>
              <w:pStyle w:val="TableParagraph"/>
              <w:spacing w:line="267" w:lineRule="exact"/>
              <w:ind w:left="107"/>
              <w:rPr>
                <w:sz w:val="24"/>
              </w:rPr>
            </w:pPr>
            <w:r>
              <w:rPr>
                <w:spacing w:val="-5"/>
                <w:sz w:val="24"/>
              </w:rPr>
              <w:t>7.</w:t>
            </w:r>
          </w:p>
        </w:tc>
        <w:tc>
          <w:tcPr>
            <w:tcW w:w="3203" w:type="dxa"/>
          </w:tcPr>
          <w:p>
            <w:pPr>
              <w:pStyle w:val="TableParagraph"/>
              <w:ind w:left="107"/>
              <w:rPr>
                <w:sz w:val="24"/>
              </w:rPr>
            </w:pPr>
            <w:r>
              <w:rPr>
                <w:sz w:val="24"/>
              </w:rPr>
              <w:t>Я чувствую, что моя этническая</w:t>
            </w:r>
            <w:r>
              <w:rPr>
                <w:spacing w:val="-15"/>
                <w:sz w:val="24"/>
              </w:rPr>
              <w:t> </w:t>
            </w:r>
            <w:r>
              <w:rPr>
                <w:sz w:val="24"/>
              </w:rPr>
              <w:t>и</w:t>
            </w:r>
            <w:r>
              <w:rPr>
                <w:spacing w:val="-15"/>
                <w:sz w:val="24"/>
              </w:rPr>
              <w:t> </w:t>
            </w:r>
            <w:r>
              <w:rPr>
                <w:sz w:val="24"/>
              </w:rPr>
              <w:t>русская</w:t>
            </w:r>
          </w:p>
          <w:p>
            <w:pPr>
              <w:pStyle w:val="TableParagraph"/>
              <w:spacing w:line="264" w:lineRule="exact"/>
              <w:ind w:left="107"/>
              <w:rPr>
                <w:sz w:val="24"/>
              </w:rPr>
            </w:pPr>
            <w:r>
              <w:rPr>
                <w:sz w:val="24"/>
              </w:rPr>
              <w:t>культура</w:t>
            </w:r>
            <w:r>
              <w:rPr>
                <w:spacing w:val="-7"/>
                <w:sz w:val="24"/>
              </w:rPr>
              <w:t> </w:t>
            </w:r>
            <w:r>
              <w:rPr>
                <w:spacing w:val="-2"/>
                <w:sz w:val="24"/>
              </w:rPr>
              <w:t>несовместимы*</w:t>
            </w:r>
          </w:p>
        </w:tc>
        <w:tc>
          <w:tcPr>
            <w:tcW w:w="1196" w:type="dxa"/>
          </w:tcPr>
          <w:p>
            <w:pPr>
              <w:pStyle w:val="TableParagraph"/>
              <w:spacing w:line="267" w:lineRule="exact"/>
              <w:ind w:left="106"/>
              <w:rPr>
                <w:sz w:val="24"/>
              </w:rPr>
            </w:pPr>
            <w:r>
              <w:rPr>
                <w:spacing w:val="-10"/>
                <w:sz w:val="24"/>
              </w:rPr>
              <w:t>1</w:t>
            </w:r>
          </w:p>
        </w:tc>
        <w:tc>
          <w:tcPr>
            <w:tcW w:w="1133" w:type="dxa"/>
          </w:tcPr>
          <w:p>
            <w:pPr>
              <w:pStyle w:val="TableParagraph"/>
              <w:spacing w:line="267" w:lineRule="exact"/>
              <w:ind w:left="103"/>
              <w:rPr>
                <w:sz w:val="24"/>
              </w:rPr>
            </w:pPr>
            <w:r>
              <w:rPr>
                <w:spacing w:val="-10"/>
                <w:sz w:val="24"/>
              </w:rPr>
              <w:t>2</w:t>
            </w:r>
          </w:p>
        </w:tc>
        <w:tc>
          <w:tcPr>
            <w:tcW w:w="1275" w:type="dxa"/>
          </w:tcPr>
          <w:p>
            <w:pPr>
              <w:pStyle w:val="TableParagraph"/>
              <w:spacing w:line="267" w:lineRule="exact"/>
              <w:ind w:left="105"/>
              <w:rPr>
                <w:sz w:val="24"/>
              </w:rPr>
            </w:pPr>
            <w:r>
              <w:rPr>
                <w:spacing w:val="-10"/>
                <w:sz w:val="24"/>
              </w:rPr>
              <w:t>3</w:t>
            </w:r>
          </w:p>
        </w:tc>
        <w:tc>
          <w:tcPr>
            <w:tcW w:w="1135" w:type="dxa"/>
          </w:tcPr>
          <w:p>
            <w:pPr>
              <w:pStyle w:val="TableParagraph"/>
              <w:spacing w:line="267" w:lineRule="exact"/>
              <w:ind w:left="105"/>
              <w:rPr>
                <w:sz w:val="24"/>
              </w:rPr>
            </w:pPr>
            <w:r>
              <w:rPr>
                <w:spacing w:val="-10"/>
                <w:sz w:val="24"/>
              </w:rPr>
              <w:t>4</w:t>
            </w:r>
          </w:p>
        </w:tc>
        <w:tc>
          <w:tcPr>
            <w:tcW w:w="993" w:type="dxa"/>
          </w:tcPr>
          <w:p>
            <w:pPr>
              <w:pStyle w:val="TableParagraph"/>
              <w:spacing w:line="267" w:lineRule="exact"/>
              <w:ind w:left="103"/>
              <w:rPr>
                <w:sz w:val="24"/>
              </w:rPr>
            </w:pPr>
            <w:r>
              <w:rPr>
                <w:spacing w:val="-10"/>
                <w:sz w:val="24"/>
              </w:rPr>
              <w:t>5</w:t>
            </w:r>
          </w:p>
        </w:tc>
      </w:tr>
      <w:tr>
        <w:trPr>
          <w:trHeight w:val="1379" w:hRule="atLeast"/>
        </w:trPr>
        <w:tc>
          <w:tcPr>
            <w:tcW w:w="562" w:type="dxa"/>
          </w:tcPr>
          <w:p>
            <w:pPr>
              <w:pStyle w:val="TableParagraph"/>
              <w:spacing w:line="268" w:lineRule="exact"/>
              <w:ind w:left="107"/>
              <w:rPr>
                <w:sz w:val="24"/>
              </w:rPr>
            </w:pPr>
            <w:r>
              <w:rPr>
                <w:spacing w:val="-5"/>
                <w:sz w:val="24"/>
              </w:rPr>
              <w:t>8.</w:t>
            </w:r>
          </w:p>
        </w:tc>
        <w:tc>
          <w:tcPr>
            <w:tcW w:w="3203" w:type="dxa"/>
          </w:tcPr>
          <w:p>
            <w:pPr>
              <w:pStyle w:val="TableParagraph"/>
              <w:ind w:left="107" w:right="165"/>
              <w:rPr>
                <w:sz w:val="24"/>
              </w:rPr>
            </w:pPr>
            <w:r>
              <w:rPr>
                <w:sz w:val="24"/>
              </w:rPr>
              <w:t>Я чувствую противоречие между способами поведения, принятыми в русской</w:t>
            </w:r>
            <w:r>
              <w:rPr>
                <w:spacing w:val="-14"/>
                <w:sz w:val="24"/>
              </w:rPr>
              <w:t> </w:t>
            </w:r>
            <w:r>
              <w:rPr>
                <w:sz w:val="24"/>
              </w:rPr>
              <w:t>и</w:t>
            </w:r>
            <w:r>
              <w:rPr>
                <w:spacing w:val="-14"/>
                <w:sz w:val="24"/>
              </w:rPr>
              <w:t> </w:t>
            </w:r>
            <w:r>
              <w:rPr>
                <w:sz w:val="24"/>
              </w:rPr>
              <w:t>моей</w:t>
            </w:r>
            <w:r>
              <w:rPr>
                <w:spacing w:val="-14"/>
                <w:sz w:val="24"/>
              </w:rPr>
              <w:t> </w:t>
            </w:r>
            <w:r>
              <w:rPr>
                <w:sz w:val="24"/>
              </w:rPr>
              <w:t>этнической</w:t>
            </w:r>
          </w:p>
          <w:p>
            <w:pPr>
              <w:pStyle w:val="TableParagraph"/>
              <w:spacing w:line="264" w:lineRule="exact"/>
              <w:ind w:left="107"/>
              <w:rPr>
                <w:sz w:val="24"/>
              </w:rPr>
            </w:pPr>
            <w:r>
              <w:rPr>
                <w:spacing w:val="-2"/>
                <w:sz w:val="24"/>
              </w:rPr>
              <w:t>культуре*</w:t>
            </w:r>
          </w:p>
        </w:tc>
        <w:tc>
          <w:tcPr>
            <w:tcW w:w="1196" w:type="dxa"/>
          </w:tcPr>
          <w:p>
            <w:pPr>
              <w:pStyle w:val="TableParagraph"/>
              <w:spacing w:line="268" w:lineRule="exact"/>
              <w:ind w:left="106"/>
              <w:rPr>
                <w:sz w:val="24"/>
              </w:rPr>
            </w:pPr>
            <w:r>
              <w:rPr>
                <w:spacing w:val="-10"/>
                <w:sz w:val="24"/>
              </w:rPr>
              <w:t>1</w:t>
            </w:r>
          </w:p>
        </w:tc>
        <w:tc>
          <w:tcPr>
            <w:tcW w:w="1133" w:type="dxa"/>
          </w:tcPr>
          <w:p>
            <w:pPr>
              <w:pStyle w:val="TableParagraph"/>
              <w:spacing w:line="268" w:lineRule="exact"/>
              <w:ind w:left="103"/>
              <w:rPr>
                <w:sz w:val="24"/>
              </w:rPr>
            </w:pPr>
            <w:r>
              <w:rPr>
                <w:spacing w:val="-10"/>
                <w:sz w:val="24"/>
              </w:rPr>
              <w:t>2</w:t>
            </w:r>
          </w:p>
        </w:tc>
        <w:tc>
          <w:tcPr>
            <w:tcW w:w="1275" w:type="dxa"/>
          </w:tcPr>
          <w:p>
            <w:pPr>
              <w:pStyle w:val="TableParagraph"/>
              <w:spacing w:line="268" w:lineRule="exact"/>
              <w:ind w:left="105"/>
              <w:rPr>
                <w:sz w:val="24"/>
              </w:rPr>
            </w:pPr>
            <w:r>
              <w:rPr>
                <w:spacing w:val="-10"/>
                <w:sz w:val="24"/>
              </w:rPr>
              <w:t>3</w:t>
            </w:r>
          </w:p>
        </w:tc>
        <w:tc>
          <w:tcPr>
            <w:tcW w:w="1135" w:type="dxa"/>
          </w:tcPr>
          <w:p>
            <w:pPr>
              <w:pStyle w:val="TableParagraph"/>
              <w:spacing w:line="268" w:lineRule="exact"/>
              <w:ind w:left="105"/>
              <w:rPr>
                <w:sz w:val="24"/>
              </w:rPr>
            </w:pPr>
            <w:r>
              <w:rPr>
                <w:spacing w:val="-10"/>
                <w:sz w:val="24"/>
              </w:rPr>
              <w:t>4</w:t>
            </w:r>
          </w:p>
        </w:tc>
        <w:tc>
          <w:tcPr>
            <w:tcW w:w="993" w:type="dxa"/>
          </w:tcPr>
          <w:p>
            <w:pPr>
              <w:pStyle w:val="TableParagraph"/>
              <w:spacing w:line="268" w:lineRule="exact"/>
              <w:ind w:left="103"/>
              <w:rPr>
                <w:sz w:val="24"/>
              </w:rPr>
            </w:pPr>
            <w:r>
              <w:rPr>
                <w:spacing w:val="-10"/>
                <w:sz w:val="24"/>
              </w:rPr>
              <w:t>5</w:t>
            </w:r>
          </w:p>
        </w:tc>
      </w:tr>
      <w:tr>
        <w:trPr>
          <w:trHeight w:val="827" w:hRule="atLeast"/>
        </w:trPr>
        <w:tc>
          <w:tcPr>
            <w:tcW w:w="562" w:type="dxa"/>
          </w:tcPr>
          <w:p>
            <w:pPr>
              <w:pStyle w:val="TableParagraph"/>
              <w:spacing w:line="268" w:lineRule="exact"/>
              <w:ind w:left="107"/>
              <w:rPr>
                <w:sz w:val="24"/>
              </w:rPr>
            </w:pPr>
            <w:r>
              <w:rPr>
                <w:spacing w:val="-5"/>
                <w:sz w:val="24"/>
              </w:rPr>
              <w:t>9.</w:t>
            </w:r>
          </w:p>
        </w:tc>
        <w:tc>
          <w:tcPr>
            <w:tcW w:w="3203" w:type="dxa"/>
          </w:tcPr>
          <w:p>
            <w:pPr>
              <w:pStyle w:val="TableParagraph"/>
              <w:ind w:left="107"/>
              <w:rPr>
                <w:sz w:val="24"/>
              </w:rPr>
            </w:pPr>
            <w:r>
              <w:rPr>
                <w:sz w:val="24"/>
              </w:rPr>
              <w:t>Я</w:t>
            </w:r>
            <w:r>
              <w:rPr>
                <w:spacing w:val="-8"/>
                <w:sz w:val="24"/>
              </w:rPr>
              <w:t> </w:t>
            </w:r>
            <w:r>
              <w:rPr>
                <w:sz w:val="24"/>
              </w:rPr>
              <w:t>ощущаю</w:t>
            </w:r>
            <w:r>
              <w:rPr>
                <w:spacing w:val="-8"/>
                <w:sz w:val="24"/>
              </w:rPr>
              <w:t> </w:t>
            </w:r>
            <w:r>
              <w:rPr>
                <w:sz w:val="24"/>
              </w:rPr>
              <w:t>себя</w:t>
            </w:r>
            <w:r>
              <w:rPr>
                <w:spacing w:val="-8"/>
                <w:sz w:val="24"/>
              </w:rPr>
              <w:t> </w:t>
            </w:r>
            <w:r>
              <w:rPr>
                <w:sz w:val="24"/>
              </w:rPr>
              <w:t>как</w:t>
            </w:r>
            <w:r>
              <w:rPr>
                <w:spacing w:val="-8"/>
                <w:sz w:val="24"/>
              </w:rPr>
              <w:t> </w:t>
            </w:r>
            <w:r>
              <w:rPr>
                <w:sz w:val="24"/>
              </w:rPr>
              <w:t>бы</w:t>
            </w:r>
            <w:r>
              <w:rPr>
                <w:spacing w:val="-8"/>
                <w:sz w:val="24"/>
              </w:rPr>
              <w:t> </w:t>
            </w:r>
            <w:r>
              <w:rPr>
                <w:sz w:val="24"/>
              </w:rPr>
              <w:t>в движении между двумя</w:t>
            </w:r>
          </w:p>
          <w:p>
            <w:pPr>
              <w:pStyle w:val="TableParagraph"/>
              <w:spacing w:line="264" w:lineRule="exact"/>
              <w:ind w:left="107"/>
              <w:rPr>
                <w:sz w:val="24"/>
              </w:rPr>
            </w:pPr>
            <w:r>
              <w:rPr>
                <w:spacing w:val="-2"/>
                <w:sz w:val="24"/>
              </w:rPr>
              <w:t>культурами*</w:t>
            </w:r>
          </w:p>
        </w:tc>
        <w:tc>
          <w:tcPr>
            <w:tcW w:w="1196" w:type="dxa"/>
          </w:tcPr>
          <w:p>
            <w:pPr>
              <w:pStyle w:val="TableParagraph"/>
              <w:spacing w:line="268" w:lineRule="exact"/>
              <w:ind w:left="106"/>
              <w:rPr>
                <w:sz w:val="24"/>
              </w:rPr>
            </w:pPr>
            <w:r>
              <w:rPr>
                <w:spacing w:val="-10"/>
                <w:sz w:val="24"/>
              </w:rPr>
              <w:t>1</w:t>
            </w:r>
          </w:p>
        </w:tc>
        <w:tc>
          <w:tcPr>
            <w:tcW w:w="1133" w:type="dxa"/>
          </w:tcPr>
          <w:p>
            <w:pPr>
              <w:pStyle w:val="TableParagraph"/>
              <w:spacing w:line="268" w:lineRule="exact"/>
              <w:ind w:left="103"/>
              <w:rPr>
                <w:sz w:val="24"/>
              </w:rPr>
            </w:pPr>
            <w:r>
              <w:rPr>
                <w:spacing w:val="-10"/>
                <w:sz w:val="24"/>
              </w:rPr>
              <w:t>2</w:t>
            </w:r>
          </w:p>
        </w:tc>
        <w:tc>
          <w:tcPr>
            <w:tcW w:w="1275" w:type="dxa"/>
          </w:tcPr>
          <w:p>
            <w:pPr>
              <w:pStyle w:val="TableParagraph"/>
              <w:spacing w:line="268" w:lineRule="exact"/>
              <w:ind w:left="105"/>
              <w:rPr>
                <w:sz w:val="24"/>
              </w:rPr>
            </w:pPr>
            <w:r>
              <w:rPr>
                <w:spacing w:val="-10"/>
                <w:sz w:val="24"/>
              </w:rPr>
              <w:t>3</w:t>
            </w:r>
          </w:p>
        </w:tc>
        <w:tc>
          <w:tcPr>
            <w:tcW w:w="1135" w:type="dxa"/>
          </w:tcPr>
          <w:p>
            <w:pPr>
              <w:pStyle w:val="TableParagraph"/>
              <w:spacing w:line="268" w:lineRule="exact"/>
              <w:ind w:left="105"/>
              <w:rPr>
                <w:sz w:val="24"/>
              </w:rPr>
            </w:pPr>
            <w:r>
              <w:rPr>
                <w:spacing w:val="-10"/>
                <w:sz w:val="24"/>
              </w:rPr>
              <w:t>4</w:t>
            </w:r>
          </w:p>
        </w:tc>
        <w:tc>
          <w:tcPr>
            <w:tcW w:w="993" w:type="dxa"/>
          </w:tcPr>
          <w:p>
            <w:pPr>
              <w:pStyle w:val="TableParagraph"/>
              <w:spacing w:line="268" w:lineRule="exact"/>
              <w:ind w:left="103"/>
              <w:rPr>
                <w:sz w:val="24"/>
              </w:rPr>
            </w:pPr>
            <w:r>
              <w:rPr>
                <w:spacing w:val="-10"/>
                <w:sz w:val="24"/>
              </w:rPr>
              <w:t>5</w:t>
            </w:r>
          </w:p>
        </w:tc>
      </w:tr>
      <w:tr>
        <w:trPr>
          <w:trHeight w:val="1104" w:hRule="atLeast"/>
        </w:trPr>
        <w:tc>
          <w:tcPr>
            <w:tcW w:w="562" w:type="dxa"/>
          </w:tcPr>
          <w:p>
            <w:pPr>
              <w:pStyle w:val="TableParagraph"/>
              <w:spacing w:line="268" w:lineRule="exact"/>
              <w:ind w:left="107"/>
              <w:rPr>
                <w:sz w:val="24"/>
              </w:rPr>
            </w:pPr>
            <w:r>
              <w:rPr>
                <w:spacing w:val="-5"/>
                <w:sz w:val="24"/>
              </w:rPr>
              <w:t>10.</w:t>
            </w:r>
          </w:p>
        </w:tc>
        <w:tc>
          <w:tcPr>
            <w:tcW w:w="3203" w:type="dxa"/>
          </w:tcPr>
          <w:p>
            <w:pPr>
              <w:pStyle w:val="TableParagraph"/>
              <w:ind w:left="107"/>
              <w:rPr>
                <w:sz w:val="24"/>
              </w:rPr>
            </w:pPr>
            <w:r>
              <w:rPr>
                <w:sz w:val="24"/>
              </w:rPr>
              <w:t>Я чувствую, что запутался/лась</w:t>
            </w:r>
            <w:r>
              <w:rPr>
                <w:spacing w:val="-15"/>
                <w:sz w:val="24"/>
              </w:rPr>
              <w:t> </w:t>
            </w:r>
            <w:r>
              <w:rPr>
                <w:sz w:val="24"/>
              </w:rPr>
              <w:t>между</w:t>
            </w:r>
            <w:r>
              <w:rPr>
                <w:spacing w:val="-15"/>
                <w:sz w:val="24"/>
              </w:rPr>
              <w:t> </w:t>
            </w:r>
            <w:r>
              <w:rPr>
                <w:sz w:val="24"/>
              </w:rPr>
              <w:t>своей этнической и русской</w:t>
            </w:r>
          </w:p>
          <w:p>
            <w:pPr>
              <w:pStyle w:val="TableParagraph"/>
              <w:spacing w:line="264" w:lineRule="exact"/>
              <w:ind w:left="107"/>
              <w:rPr>
                <w:sz w:val="24"/>
              </w:rPr>
            </w:pPr>
            <w:r>
              <w:rPr>
                <w:spacing w:val="-2"/>
                <w:sz w:val="24"/>
              </w:rPr>
              <w:t>культурой*</w:t>
            </w:r>
          </w:p>
        </w:tc>
        <w:tc>
          <w:tcPr>
            <w:tcW w:w="1196" w:type="dxa"/>
          </w:tcPr>
          <w:p>
            <w:pPr>
              <w:pStyle w:val="TableParagraph"/>
              <w:spacing w:line="268" w:lineRule="exact"/>
              <w:ind w:left="106"/>
              <w:rPr>
                <w:sz w:val="24"/>
              </w:rPr>
            </w:pPr>
            <w:r>
              <w:rPr>
                <w:spacing w:val="-10"/>
                <w:sz w:val="24"/>
              </w:rPr>
              <w:t>1</w:t>
            </w:r>
          </w:p>
        </w:tc>
        <w:tc>
          <w:tcPr>
            <w:tcW w:w="1133" w:type="dxa"/>
          </w:tcPr>
          <w:p>
            <w:pPr>
              <w:pStyle w:val="TableParagraph"/>
              <w:spacing w:line="268" w:lineRule="exact"/>
              <w:ind w:left="103"/>
              <w:rPr>
                <w:sz w:val="24"/>
              </w:rPr>
            </w:pPr>
            <w:r>
              <w:rPr>
                <w:spacing w:val="-10"/>
                <w:sz w:val="24"/>
              </w:rPr>
              <w:t>2</w:t>
            </w:r>
          </w:p>
        </w:tc>
        <w:tc>
          <w:tcPr>
            <w:tcW w:w="1275" w:type="dxa"/>
          </w:tcPr>
          <w:p>
            <w:pPr>
              <w:pStyle w:val="TableParagraph"/>
              <w:spacing w:line="268" w:lineRule="exact"/>
              <w:ind w:left="105"/>
              <w:rPr>
                <w:sz w:val="24"/>
              </w:rPr>
            </w:pPr>
            <w:r>
              <w:rPr>
                <w:spacing w:val="-10"/>
                <w:sz w:val="24"/>
              </w:rPr>
              <w:t>3</w:t>
            </w:r>
          </w:p>
        </w:tc>
        <w:tc>
          <w:tcPr>
            <w:tcW w:w="1135" w:type="dxa"/>
          </w:tcPr>
          <w:p>
            <w:pPr>
              <w:pStyle w:val="TableParagraph"/>
              <w:spacing w:line="268" w:lineRule="exact"/>
              <w:ind w:left="105"/>
              <w:rPr>
                <w:sz w:val="24"/>
              </w:rPr>
            </w:pPr>
            <w:r>
              <w:rPr>
                <w:spacing w:val="-10"/>
                <w:sz w:val="24"/>
              </w:rPr>
              <w:t>4</w:t>
            </w:r>
          </w:p>
        </w:tc>
        <w:tc>
          <w:tcPr>
            <w:tcW w:w="993" w:type="dxa"/>
          </w:tcPr>
          <w:p>
            <w:pPr>
              <w:pStyle w:val="TableParagraph"/>
              <w:spacing w:line="268" w:lineRule="exact"/>
              <w:ind w:left="103"/>
              <w:rPr>
                <w:sz w:val="24"/>
              </w:rPr>
            </w:pPr>
            <w:r>
              <w:rPr>
                <w:spacing w:val="-10"/>
                <w:sz w:val="24"/>
              </w:rPr>
              <w:t>5</w:t>
            </w:r>
          </w:p>
        </w:tc>
      </w:tr>
    </w:tbl>
    <w:p>
      <w:pPr>
        <w:pStyle w:val="TableParagraph"/>
        <w:spacing w:after="0" w:line="268" w:lineRule="exact"/>
        <w:rPr>
          <w:sz w:val="24"/>
        </w:rPr>
        <w:sectPr>
          <w:pgSz w:w="11910" w:h="16840"/>
          <w:pgMar w:header="0" w:footer="970" w:top="1040" w:bottom="1606" w:left="1417" w:right="283"/>
        </w:sect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3203"/>
        <w:gridCol w:w="1196"/>
        <w:gridCol w:w="1133"/>
        <w:gridCol w:w="1275"/>
        <w:gridCol w:w="1135"/>
        <w:gridCol w:w="993"/>
      </w:tblGrid>
      <w:tr>
        <w:trPr>
          <w:trHeight w:val="1106" w:hRule="atLeast"/>
        </w:trPr>
        <w:tc>
          <w:tcPr>
            <w:tcW w:w="562" w:type="dxa"/>
          </w:tcPr>
          <w:p>
            <w:pPr>
              <w:pStyle w:val="TableParagraph"/>
              <w:spacing w:line="270" w:lineRule="exact"/>
              <w:ind w:right="34"/>
              <w:jc w:val="center"/>
              <w:rPr>
                <w:sz w:val="24"/>
              </w:rPr>
            </w:pPr>
            <w:r>
              <w:rPr>
                <w:spacing w:val="-5"/>
                <w:sz w:val="24"/>
              </w:rPr>
              <w:t>11.</w:t>
            </w:r>
          </w:p>
        </w:tc>
        <w:tc>
          <w:tcPr>
            <w:tcW w:w="3203" w:type="dxa"/>
          </w:tcPr>
          <w:p>
            <w:pPr>
              <w:pStyle w:val="TableParagraph"/>
              <w:ind w:left="107"/>
              <w:rPr>
                <w:sz w:val="24"/>
              </w:rPr>
            </w:pPr>
            <w:r>
              <w:rPr>
                <w:sz w:val="24"/>
              </w:rPr>
              <w:t>Я чувствую себя </w:t>
            </w:r>
            <w:r>
              <w:rPr>
                <w:spacing w:val="-2"/>
                <w:sz w:val="24"/>
              </w:rPr>
              <w:t>представителем/льницей</w:t>
            </w:r>
          </w:p>
          <w:p>
            <w:pPr>
              <w:pStyle w:val="TableParagraph"/>
              <w:spacing w:line="270" w:lineRule="atLeast"/>
              <w:ind w:left="107"/>
              <w:rPr>
                <w:sz w:val="24"/>
              </w:rPr>
            </w:pPr>
            <w:r>
              <w:rPr>
                <w:sz w:val="24"/>
              </w:rPr>
              <w:t>своей</w:t>
            </w:r>
            <w:r>
              <w:rPr>
                <w:spacing w:val="-14"/>
                <w:sz w:val="24"/>
              </w:rPr>
              <w:t> </w:t>
            </w:r>
            <w:r>
              <w:rPr>
                <w:sz w:val="24"/>
              </w:rPr>
              <w:t>этнической</w:t>
            </w:r>
            <w:r>
              <w:rPr>
                <w:spacing w:val="-14"/>
                <w:sz w:val="24"/>
              </w:rPr>
              <w:t> </w:t>
            </w:r>
            <w:r>
              <w:rPr>
                <w:sz w:val="24"/>
              </w:rPr>
              <w:t>группы</w:t>
            </w:r>
            <w:r>
              <w:rPr>
                <w:spacing w:val="-14"/>
                <w:sz w:val="24"/>
              </w:rPr>
              <w:t> </w:t>
            </w:r>
            <w:r>
              <w:rPr>
                <w:sz w:val="24"/>
              </w:rPr>
              <w:t>и русским/ой одновременно</w:t>
            </w:r>
          </w:p>
        </w:tc>
        <w:tc>
          <w:tcPr>
            <w:tcW w:w="1196" w:type="dxa"/>
          </w:tcPr>
          <w:p>
            <w:pPr>
              <w:pStyle w:val="TableParagraph"/>
              <w:spacing w:line="270" w:lineRule="exact"/>
              <w:ind w:left="106"/>
              <w:rPr>
                <w:sz w:val="24"/>
              </w:rPr>
            </w:pPr>
            <w:r>
              <w:rPr>
                <w:spacing w:val="-10"/>
                <w:sz w:val="24"/>
              </w:rPr>
              <w:t>1</w:t>
            </w:r>
          </w:p>
        </w:tc>
        <w:tc>
          <w:tcPr>
            <w:tcW w:w="1133" w:type="dxa"/>
          </w:tcPr>
          <w:p>
            <w:pPr>
              <w:pStyle w:val="TableParagraph"/>
              <w:spacing w:line="270" w:lineRule="exact"/>
              <w:ind w:left="103"/>
              <w:rPr>
                <w:sz w:val="24"/>
              </w:rPr>
            </w:pPr>
            <w:r>
              <w:rPr>
                <w:spacing w:val="-10"/>
                <w:sz w:val="24"/>
              </w:rPr>
              <w:t>2</w:t>
            </w:r>
          </w:p>
        </w:tc>
        <w:tc>
          <w:tcPr>
            <w:tcW w:w="1275" w:type="dxa"/>
          </w:tcPr>
          <w:p>
            <w:pPr>
              <w:pStyle w:val="TableParagraph"/>
              <w:spacing w:line="270" w:lineRule="exact"/>
              <w:ind w:left="105"/>
              <w:rPr>
                <w:sz w:val="24"/>
              </w:rPr>
            </w:pPr>
            <w:r>
              <w:rPr>
                <w:spacing w:val="-10"/>
                <w:sz w:val="24"/>
              </w:rPr>
              <w:t>3</w:t>
            </w:r>
          </w:p>
        </w:tc>
        <w:tc>
          <w:tcPr>
            <w:tcW w:w="1135" w:type="dxa"/>
          </w:tcPr>
          <w:p>
            <w:pPr>
              <w:pStyle w:val="TableParagraph"/>
              <w:spacing w:line="270" w:lineRule="exact"/>
              <w:ind w:left="105"/>
              <w:rPr>
                <w:sz w:val="24"/>
              </w:rPr>
            </w:pPr>
            <w:r>
              <w:rPr>
                <w:spacing w:val="-10"/>
                <w:sz w:val="24"/>
              </w:rPr>
              <w:t>4</w:t>
            </w:r>
          </w:p>
        </w:tc>
        <w:tc>
          <w:tcPr>
            <w:tcW w:w="993" w:type="dxa"/>
          </w:tcPr>
          <w:p>
            <w:pPr>
              <w:pStyle w:val="TableParagraph"/>
              <w:spacing w:line="270" w:lineRule="exact"/>
              <w:ind w:left="103"/>
              <w:rPr>
                <w:sz w:val="24"/>
              </w:rPr>
            </w:pPr>
            <w:r>
              <w:rPr>
                <w:spacing w:val="-10"/>
                <w:sz w:val="24"/>
              </w:rPr>
              <w:t>5</w:t>
            </w:r>
          </w:p>
        </w:tc>
      </w:tr>
      <w:tr>
        <w:trPr>
          <w:trHeight w:val="1655" w:hRule="atLeast"/>
        </w:trPr>
        <w:tc>
          <w:tcPr>
            <w:tcW w:w="562" w:type="dxa"/>
          </w:tcPr>
          <w:p>
            <w:pPr>
              <w:pStyle w:val="TableParagraph"/>
              <w:spacing w:line="268" w:lineRule="exact"/>
              <w:ind w:right="34"/>
              <w:jc w:val="center"/>
              <w:rPr>
                <w:sz w:val="24"/>
              </w:rPr>
            </w:pPr>
            <w:r>
              <w:rPr>
                <w:spacing w:val="-5"/>
                <w:sz w:val="24"/>
              </w:rPr>
              <w:t>12.</w:t>
            </w:r>
          </w:p>
        </w:tc>
        <w:tc>
          <w:tcPr>
            <w:tcW w:w="3203" w:type="dxa"/>
          </w:tcPr>
          <w:p>
            <w:pPr>
              <w:pStyle w:val="TableParagraph"/>
              <w:ind w:left="107"/>
              <w:rPr>
                <w:sz w:val="24"/>
              </w:rPr>
            </w:pPr>
            <w:r>
              <w:rPr>
                <w:sz w:val="24"/>
              </w:rPr>
              <w:t>Мне</w:t>
            </w:r>
            <w:r>
              <w:rPr>
                <w:spacing w:val="-14"/>
                <w:sz w:val="24"/>
              </w:rPr>
              <w:t> </w:t>
            </w:r>
            <w:r>
              <w:rPr>
                <w:sz w:val="24"/>
              </w:rPr>
              <w:t>проще</w:t>
            </w:r>
            <w:r>
              <w:rPr>
                <w:spacing w:val="-14"/>
                <w:sz w:val="24"/>
              </w:rPr>
              <w:t> </w:t>
            </w:r>
            <w:r>
              <w:rPr>
                <w:sz w:val="24"/>
              </w:rPr>
              <w:t>объединять</w:t>
            </w:r>
            <w:r>
              <w:rPr>
                <w:spacing w:val="-14"/>
                <w:sz w:val="24"/>
              </w:rPr>
              <w:t> </w:t>
            </w:r>
            <w:r>
              <w:rPr>
                <w:sz w:val="24"/>
              </w:rPr>
              <w:t>свою этническую и русскую культуру, чем ощущать принадлежность только к этнической или только к</w:t>
            </w:r>
          </w:p>
          <w:p>
            <w:pPr>
              <w:pStyle w:val="TableParagraph"/>
              <w:spacing w:line="264" w:lineRule="exact"/>
              <w:ind w:left="107"/>
              <w:rPr>
                <w:sz w:val="24"/>
              </w:rPr>
            </w:pPr>
            <w:r>
              <w:rPr>
                <w:sz w:val="24"/>
              </w:rPr>
              <w:t>русской</w:t>
            </w:r>
            <w:r>
              <w:rPr>
                <w:spacing w:val="-4"/>
                <w:sz w:val="24"/>
              </w:rPr>
              <w:t> </w:t>
            </w:r>
            <w:r>
              <w:rPr>
                <w:spacing w:val="-2"/>
                <w:sz w:val="24"/>
              </w:rPr>
              <w:t>культуре</w:t>
            </w:r>
          </w:p>
        </w:tc>
        <w:tc>
          <w:tcPr>
            <w:tcW w:w="1196" w:type="dxa"/>
          </w:tcPr>
          <w:p>
            <w:pPr>
              <w:pStyle w:val="TableParagraph"/>
              <w:spacing w:line="268" w:lineRule="exact"/>
              <w:ind w:left="106"/>
              <w:rPr>
                <w:sz w:val="24"/>
              </w:rPr>
            </w:pPr>
            <w:r>
              <w:rPr>
                <w:spacing w:val="-10"/>
                <w:sz w:val="24"/>
              </w:rPr>
              <w:t>1</w:t>
            </w:r>
          </w:p>
        </w:tc>
        <w:tc>
          <w:tcPr>
            <w:tcW w:w="1133" w:type="dxa"/>
          </w:tcPr>
          <w:p>
            <w:pPr>
              <w:pStyle w:val="TableParagraph"/>
              <w:spacing w:line="268" w:lineRule="exact"/>
              <w:ind w:left="103"/>
              <w:rPr>
                <w:sz w:val="24"/>
              </w:rPr>
            </w:pPr>
            <w:r>
              <w:rPr>
                <w:spacing w:val="-10"/>
                <w:sz w:val="24"/>
              </w:rPr>
              <w:t>2</w:t>
            </w:r>
          </w:p>
        </w:tc>
        <w:tc>
          <w:tcPr>
            <w:tcW w:w="1275" w:type="dxa"/>
          </w:tcPr>
          <w:p>
            <w:pPr>
              <w:pStyle w:val="TableParagraph"/>
              <w:spacing w:line="268" w:lineRule="exact"/>
              <w:ind w:left="105"/>
              <w:rPr>
                <w:sz w:val="24"/>
              </w:rPr>
            </w:pPr>
            <w:r>
              <w:rPr>
                <w:spacing w:val="-10"/>
                <w:sz w:val="24"/>
              </w:rPr>
              <w:t>3</w:t>
            </w:r>
          </w:p>
        </w:tc>
        <w:tc>
          <w:tcPr>
            <w:tcW w:w="1135" w:type="dxa"/>
          </w:tcPr>
          <w:p>
            <w:pPr>
              <w:pStyle w:val="TableParagraph"/>
              <w:spacing w:line="268" w:lineRule="exact"/>
              <w:ind w:left="105"/>
              <w:rPr>
                <w:sz w:val="24"/>
              </w:rPr>
            </w:pPr>
            <w:r>
              <w:rPr>
                <w:spacing w:val="-10"/>
                <w:sz w:val="24"/>
              </w:rPr>
              <w:t>4</w:t>
            </w:r>
          </w:p>
        </w:tc>
        <w:tc>
          <w:tcPr>
            <w:tcW w:w="993" w:type="dxa"/>
          </w:tcPr>
          <w:p>
            <w:pPr>
              <w:pStyle w:val="TableParagraph"/>
              <w:spacing w:line="268" w:lineRule="exact"/>
              <w:ind w:left="103"/>
              <w:rPr>
                <w:sz w:val="24"/>
              </w:rPr>
            </w:pPr>
            <w:r>
              <w:rPr>
                <w:spacing w:val="-10"/>
                <w:sz w:val="24"/>
              </w:rPr>
              <w:t>5</w:t>
            </w:r>
          </w:p>
        </w:tc>
      </w:tr>
      <w:tr>
        <w:trPr>
          <w:trHeight w:val="551" w:hRule="atLeast"/>
        </w:trPr>
        <w:tc>
          <w:tcPr>
            <w:tcW w:w="562" w:type="dxa"/>
          </w:tcPr>
          <w:p>
            <w:pPr>
              <w:pStyle w:val="TableParagraph"/>
              <w:spacing w:line="268" w:lineRule="exact"/>
              <w:ind w:right="34"/>
              <w:jc w:val="center"/>
              <w:rPr>
                <w:sz w:val="24"/>
              </w:rPr>
            </w:pPr>
            <w:r>
              <w:rPr>
                <w:spacing w:val="-5"/>
                <w:sz w:val="24"/>
              </w:rPr>
              <w:t>13.</w:t>
            </w:r>
          </w:p>
        </w:tc>
        <w:tc>
          <w:tcPr>
            <w:tcW w:w="3203" w:type="dxa"/>
          </w:tcPr>
          <w:p>
            <w:pPr>
              <w:pStyle w:val="TableParagraph"/>
              <w:spacing w:line="268" w:lineRule="exact"/>
              <w:ind w:left="107"/>
              <w:rPr>
                <w:sz w:val="24"/>
              </w:rPr>
            </w:pPr>
            <w:r>
              <w:rPr>
                <w:sz w:val="24"/>
              </w:rPr>
              <w:t>Я</w:t>
            </w:r>
            <w:r>
              <w:rPr>
                <w:spacing w:val="-4"/>
                <w:sz w:val="24"/>
              </w:rPr>
              <w:t> </w:t>
            </w:r>
            <w:r>
              <w:rPr>
                <w:sz w:val="24"/>
              </w:rPr>
              <w:t>чувствую</w:t>
            </w:r>
            <w:r>
              <w:rPr>
                <w:spacing w:val="-2"/>
                <w:sz w:val="24"/>
              </w:rPr>
              <w:t> </w:t>
            </w:r>
            <w:r>
              <w:rPr>
                <w:sz w:val="24"/>
              </w:rPr>
              <w:t>себя</w:t>
            </w:r>
            <w:r>
              <w:rPr>
                <w:spacing w:val="-3"/>
                <w:sz w:val="24"/>
              </w:rPr>
              <w:t> </w:t>
            </w:r>
            <w:r>
              <w:rPr>
                <w:spacing w:val="-2"/>
                <w:sz w:val="24"/>
              </w:rPr>
              <w:t>частью</w:t>
            </w:r>
          </w:p>
          <w:p>
            <w:pPr>
              <w:pStyle w:val="TableParagraph"/>
              <w:spacing w:line="264" w:lineRule="exact"/>
              <w:ind w:left="107"/>
              <w:rPr>
                <w:sz w:val="24"/>
              </w:rPr>
            </w:pPr>
            <w:r>
              <w:rPr>
                <w:sz w:val="24"/>
              </w:rPr>
              <w:t>единой</w:t>
            </w:r>
            <w:r>
              <w:rPr>
                <w:spacing w:val="-4"/>
                <w:sz w:val="24"/>
              </w:rPr>
              <w:t> </w:t>
            </w:r>
            <w:r>
              <w:rPr>
                <w:spacing w:val="-2"/>
                <w:sz w:val="24"/>
              </w:rPr>
              <w:t>культуры</w:t>
            </w:r>
          </w:p>
        </w:tc>
        <w:tc>
          <w:tcPr>
            <w:tcW w:w="1196" w:type="dxa"/>
          </w:tcPr>
          <w:p>
            <w:pPr>
              <w:pStyle w:val="TableParagraph"/>
              <w:spacing w:line="268" w:lineRule="exact"/>
              <w:ind w:left="106"/>
              <w:rPr>
                <w:sz w:val="24"/>
              </w:rPr>
            </w:pPr>
            <w:r>
              <w:rPr>
                <w:spacing w:val="-10"/>
                <w:sz w:val="24"/>
              </w:rPr>
              <w:t>1</w:t>
            </w:r>
          </w:p>
        </w:tc>
        <w:tc>
          <w:tcPr>
            <w:tcW w:w="1133" w:type="dxa"/>
          </w:tcPr>
          <w:p>
            <w:pPr>
              <w:pStyle w:val="TableParagraph"/>
              <w:spacing w:line="268" w:lineRule="exact"/>
              <w:ind w:left="103"/>
              <w:rPr>
                <w:sz w:val="24"/>
              </w:rPr>
            </w:pPr>
            <w:r>
              <w:rPr>
                <w:spacing w:val="-10"/>
                <w:sz w:val="24"/>
              </w:rPr>
              <w:t>2</w:t>
            </w:r>
          </w:p>
        </w:tc>
        <w:tc>
          <w:tcPr>
            <w:tcW w:w="1275" w:type="dxa"/>
          </w:tcPr>
          <w:p>
            <w:pPr>
              <w:pStyle w:val="TableParagraph"/>
              <w:spacing w:line="268" w:lineRule="exact"/>
              <w:ind w:left="105"/>
              <w:rPr>
                <w:sz w:val="24"/>
              </w:rPr>
            </w:pPr>
            <w:r>
              <w:rPr>
                <w:spacing w:val="-10"/>
                <w:sz w:val="24"/>
              </w:rPr>
              <w:t>3</w:t>
            </w:r>
          </w:p>
        </w:tc>
        <w:tc>
          <w:tcPr>
            <w:tcW w:w="1135" w:type="dxa"/>
          </w:tcPr>
          <w:p>
            <w:pPr>
              <w:pStyle w:val="TableParagraph"/>
              <w:spacing w:line="268" w:lineRule="exact"/>
              <w:ind w:left="105"/>
              <w:rPr>
                <w:sz w:val="24"/>
              </w:rPr>
            </w:pPr>
            <w:r>
              <w:rPr>
                <w:spacing w:val="-10"/>
                <w:sz w:val="24"/>
              </w:rPr>
              <w:t>4</w:t>
            </w:r>
          </w:p>
        </w:tc>
        <w:tc>
          <w:tcPr>
            <w:tcW w:w="993" w:type="dxa"/>
          </w:tcPr>
          <w:p>
            <w:pPr>
              <w:pStyle w:val="TableParagraph"/>
              <w:spacing w:line="268" w:lineRule="exact"/>
              <w:ind w:left="103"/>
              <w:rPr>
                <w:sz w:val="24"/>
              </w:rPr>
            </w:pPr>
            <w:r>
              <w:rPr>
                <w:spacing w:val="-10"/>
                <w:sz w:val="24"/>
              </w:rPr>
              <w:t>5</w:t>
            </w:r>
          </w:p>
        </w:tc>
      </w:tr>
      <w:tr>
        <w:trPr>
          <w:trHeight w:val="828" w:hRule="atLeast"/>
        </w:trPr>
        <w:tc>
          <w:tcPr>
            <w:tcW w:w="562" w:type="dxa"/>
          </w:tcPr>
          <w:p>
            <w:pPr>
              <w:pStyle w:val="TableParagraph"/>
              <w:spacing w:line="268" w:lineRule="exact"/>
              <w:ind w:right="34"/>
              <w:jc w:val="center"/>
              <w:rPr>
                <w:sz w:val="24"/>
              </w:rPr>
            </w:pPr>
            <w:r>
              <w:rPr>
                <w:spacing w:val="-5"/>
                <w:sz w:val="24"/>
              </w:rPr>
              <w:t>14.</w:t>
            </w:r>
          </w:p>
        </w:tc>
        <w:tc>
          <w:tcPr>
            <w:tcW w:w="3203" w:type="dxa"/>
          </w:tcPr>
          <w:p>
            <w:pPr>
              <w:pStyle w:val="TableParagraph"/>
              <w:spacing w:line="268" w:lineRule="exact"/>
              <w:ind w:left="107"/>
              <w:rPr>
                <w:sz w:val="24"/>
              </w:rPr>
            </w:pPr>
            <w:r>
              <w:rPr>
                <w:sz w:val="24"/>
              </w:rPr>
              <w:t>Я</w:t>
            </w:r>
            <w:r>
              <w:rPr>
                <w:spacing w:val="-3"/>
                <w:sz w:val="24"/>
              </w:rPr>
              <w:t> </w:t>
            </w:r>
            <w:r>
              <w:rPr>
                <w:sz w:val="24"/>
              </w:rPr>
              <w:t>не</w:t>
            </w:r>
            <w:r>
              <w:rPr>
                <w:spacing w:val="-2"/>
                <w:sz w:val="24"/>
              </w:rPr>
              <w:t> </w:t>
            </w:r>
            <w:r>
              <w:rPr>
                <w:sz w:val="24"/>
              </w:rPr>
              <w:t>смешиваю</w:t>
            </w:r>
            <w:r>
              <w:rPr>
                <w:spacing w:val="-2"/>
                <w:sz w:val="24"/>
              </w:rPr>
              <w:t> </w:t>
            </w:r>
            <w:r>
              <w:rPr>
                <w:spacing w:val="-4"/>
                <w:sz w:val="24"/>
              </w:rPr>
              <w:t>свою</w:t>
            </w:r>
          </w:p>
          <w:p>
            <w:pPr>
              <w:pStyle w:val="TableParagraph"/>
              <w:spacing w:line="270" w:lineRule="atLeast"/>
              <w:ind w:left="107"/>
              <w:rPr>
                <w:sz w:val="24"/>
              </w:rPr>
            </w:pPr>
            <w:r>
              <w:rPr>
                <w:sz w:val="24"/>
              </w:rPr>
              <w:t>этническую</w:t>
            </w:r>
            <w:r>
              <w:rPr>
                <w:spacing w:val="-15"/>
                <w:sz w:val="24"/>
              </w:rPr>
              <w:t> </w:t>
            </w:r>
            <w:r>
              <w:rPr>
                <w:sz w:val="24"/>
              </w:rPr>
              <w:t>и</w:t>
            </w:r>
            <w:r>
              <w:rPr>
                <w:spacing w:val="-15"/>
                <w:sz w:val="24"/>
              </w:rPr>
              <w:t> </w:t>
            </w:r>
            <w:r>
              <w:rPr>
                <w:sz w:val="24"/>
              </w:rPr>
              <w:t>русскую </w:t>
            </w:r>
            <w:r>
              <w:rPr>
                <w:spacing w:val="-2"/>
                <w:sz w:val="24"/>
              </w:rPr>
              <w:t>культуру*</w:t>
            </w:r>
          </w:p>
        </w:tc>
        <w:tc>
          <w:tcPr>
            <w:tcW w:w="1196" w:type="dxa"/>
          </w:tcPr>
          <w:p>
            <w:pPr>
              <w:pStyle w:val="TableParagraph"/>
              <w:spacing w:line="268" w:lineRule="exact"/>
              <w:ind w:left="106"/>
              <w:rPr>
                <w:sz w:val="24"/>
              </w:rPr>
            </w:pPr>
            <w:r>
              <w:rPr>
                <w:spacing w:val="-10"/>
                <w:sz w:val="24"/>
              </w:rPr>
              <w:t>1</w:t>
            </w:r>
          </w:p>
        </w:tc>
        <w:tc>
          <w:tcPr>
            <w:tcW w:w="1133" w:type="dxa"/>
          </w:tcPr>
          <w:p>
            <w:pPr>
              <w:pStyle w:val="TableParagraph"/>
              <w:spacing w:line="268" w:lineRule="exact"/>
              <w:ind w:left="103"/>
              <w:rPr>
                <w:sz w:val="24"/>
              </w:rPr>
            </w:pPr>
            <w:r>
              <w:rPr>
                <w:spacing w:val="-10"/>
                <w:sz w:val="24"/>
              </w:rPr>
              <w:t>2</w:t>
            </w:r>
          </w:p>
        </w:tc>
        <w:tc>
          <w:tcPr>
            <w:tcW w:w="1275" w:type="dxa"/>
          </w:tcPr>
          <w:p>
            <w:pPr>
              <w:pStyle w:val="TableParagraph"/>
              <w:spacing w:line="268" w:lineRule="exact"/>
              <w:ind w:left="105"/>
              <w:rPr>
                <w:sz w:val="24"/>
              </w:rPr>
            </w:pPr>
            <w:r>
              <w:rPr>
                <w:spacing w:val="-10"/>
                <w:sz w:val="24"/>
              </w:rPr>
              <w:t>3</w:t>
            </w:r>
          </w:p>
        </w:tc>
        <w:tc>
          <w:tcPr>
            <w:tcW w:w="1135" w:type="dxa"/>
          </w:tcPr>
          <w:p>
            <w:pPr>
              <w:pStyle w:val="TableParagraph"/>
              <w:spacing w:line="268" w:lineRule="exact"/>
              <w:ind w:left="105"/>
              <w:rPr>
                <w:sz w:val="24"/>
              </w:rPr>
            </w:pPr>
            <w:r>
              <w:rPr>
                <w:spacing w:val="-10"/>
                <w:sz w:val="24"/>
              </w:rPr>
              <w:t>4</w:t>
            </w:r>
          </w:p>
        </w:tc>
        <w:tc>
          <w:tcPr>
            <w:tcW w:w="993" w:type="dxa"/>
          </w:tcPr>
          <w:p>
            <w:pPr>
              <w:pStyle w:val="TableParagraph"/>
              <w:spacing w:line="268" w:lineRule="exact"/>
              <w:ind w:left="103"/>
              <w:rPr>
                <w:sz w:val="24"/>
              </w:rPr>
            </w:pPr>
            <w:r>
              <w:rPr>
                <w:spacing w:val="-10"/>
                <w:sz w:val="24"/>
              </w:rPr>
              <w:t>5</w:t>
            </w:r>
          </w:p>
        </w:tc>
      </w:tr>
      <w:tr>
        <w:trPr>
          <w:trHeight w:val="827" w:hRule="atLeast"/>
        </w:trPr>
        <w:tc>
          <w:tcPr>
            <w:tcW w:w="562" w:type="dxa"/>
          </w:tcPr>
          <w:p>
            <w:pPr>
              <w:pStyle w:val="TableParagraph"/>
              <w:spacing w:line="268" w:lineRule="exact"/>
              <w:ind w:right="34"/>
              <w:jc w:val="center"/>
              <w:rPr>
                <w:sz w:val="24"/>
              </w:rPr>
            </w:pPr>
            <w:r>
              <w:rPr>
                <w:spacing w:val="-5"/>
                <w:sz w:val="24"/>
              </w:rPr>
              <w:t>15.</w:t>
            </w:r>
          </w:p>
        </w:tc>
        <w:tc>
          <w:tcPr>
            <w:tcW w:w="3203" w:type="dxa"/>
          </w:tcPr>
          <w:p>
            <w:pPr>
              <w:pStyle w:val="TableParagraph"/>
              <w:ind w:left="107" w:right="330"/>
              <w:rPr>
                <w:sz w:val="24"/>
              </w:rPr>
            </w:pPr>
            <w:r>
              <w:rPr>
                <w:sz w:val="24"/>
              </w:rPr>
              <w:t>Моя этническая и русская культура</w:t>
            </w:r>
            <w:r>
              <w:rPr>
                <w:spacing w:val="-4"/>
                <w:sz w:val="24"/>
              </w:rPr>
              <w:t> </w:t>
            </w:r>
            <w:r>
              <w:rPr>
                <w:sz w:val="24"/>
              </w:rPr>
              <w:t>отделены</w:t>
            </w:r>
            <w:r>
              <w:rPr>
                <w:spacing w:val="-2"/>
                <w:sz w:val="24"/>
              </w:rPr>
              <w:t> </w:t>
            </w:r>
            <w:r>
              <w:rPr>
                <w:sz w:val="24"/>
              </w:rPr>
              <w:t>друг</w:t>
            </w:r>
            <w:r>
              <w:rPr>
                <w:spacing w:val="-1"/>
                <w:sz w:val="24"/>
              </w:rPr>
              <w:t> </w:t>
            </w:r>
            <w:r>
              <w:rPr>
                <w:spacing w:val="-5"/>
                <w:sz w:val="24"/>
              </w:rPr>
              <w:t>от</w:t>
            </w:r>
          </w:p>
          <w:p>
            <w:pPr>
              <w:pStyle w:val="TableParagraph"/>
              <w:spacing w:line="264" w:lineRule="exact"/>
              <w:ind w:left="107"/>
              <w:rPr>
                <w:sz w:val="24"/>
              </w:rPr>
            </w:pPr>
            <w:r>
              <w:rPr>
                <w:spacing w:val="-2"/>
                <w:sz w:val="24"/>
              </w:rPr>
              <w:t>друга*</w:t>
            </w:r>
          </w:p>
        </w:tc>
        <w:tc>
          <w:tcPr>
            <w:tcW w:w="1196" w:type="dxa"/>
          </w:tcPr>
          <w:p>
            <w:pPr>
              <w:pStyle w:val="TableParagraph"/>
              <w:spacing w:line="268" w:lineRule="exact"/>
              <w:ind w:left="106"/>
              <w:rPr>
                <w:sz w:val="24"/>
              </w:rPr>
            </w:pPr>
            <w:r>
              <w:rPr>
                <w:spacing w:val="-10"/>
                <w:sz w:val="24"/>
              </w:rPr>
              <w:t>1</w:t>
            </w:r>
          </w:p>
        </w:tc>
        <w:tc>
          <w:tcPr>
            <w:tcW w:w="1133" w:type="dxa"/>
          </w:tcPr>
          <w:p>
            <w:pPr>
              <w:pStyle w:val="TableParagraph"/>
              <w:spacing w:line="268" w:lineRule="exact"/>
              <w:ind w:left="103"/>
              <w:rPr>
                <w:sz w:val="24"/>
              </w:rPr>
            </w:pPr>
            <w:r>
              <w:rPr>
                <w:spacing w:val="-10"/>
                <w:sz w:val="24"/>
              </w:rPr>
              <w:t>2</w:t>
            </w:r>
          </w:p>
        </w:tc>
        <w:tc>
          <w:tcPr>
            <w:tcW w:w="1275" w:type="dxa"/>
          </w:tcPr>
          <w:p>
            <w:pPr>
              <w:pStyle w:val="TableParagraph"/>
              <w:spacing w:line="268" w:lineRule="exact"/>
              <w:ind w:left="105"/>
              <w:rPr>
                <w:sz w:val="24"/>
              </w:rPr>
            </w:pPr>
            <w:r>
              <w:rPr>
                <w:spacing w:val="-10"/>
                <w:sz w:val="24"/>
              </w:rPr>
              <w:t>3</w:t>
            </w:r>
          </w:p>
        </w:tc>
        <w:tc>
          <w:tcPr>
            <w:tcW w:w="1135" w:type="dxa"/>
          </w:tcPr>
          <w:p>
            <w:pPr>
              <w:pStyle w:val="TableParagraph"/>
              <w:spacing w:line="268" w:lineRule="exact"/>
              <w:ind w:left="105"/>
              <w:rPr>
                <w:sz w:val="24"/>
              </w:rPr>
            </w:pPr>
            <w:r>
              <w:rPr>
                <w:spacing w:val="-10"/>
                <w:sz w:val="24"/>
              </w:rPr>
              <w:t>4</w:t>
            </w:r>
          </w:p>
        </w:tc>
        <w:tc>
          <w:tcPr>
            <w:tcW w:w="993" w:type="dxa"/>
          </w:tcPr>
          <w:p>
            <w:pPr>
              <w:pStyle w:val="TableParagraph"/>
              <w:spacing w:line="268" w:lineRule="exact"/>
              <w:ind w:left="103"/>
              <w:rPr>
                <w:sz w:val="24"/>
              </w:rPr>
            </w:pPr>
            <w:r>
              <w:rPr>
                <w:spacing w:val="-10"/>
                <w:sz w:val="24"/>
              </w:rPr>
              <w:t>5</w:t>
            </w:r>
          </w:p>
        </w:tc>
      </w:tr>
    </w:tbl>
    <w:p>
      <w:pPr>
        <w:pStyle w:val="BodyText"/>
        <w:spacing w:before="56"/>
        <w:ind w:left="0" w:right="0" w:firstLine="0"/>
        <w:jc w:val="left"/>
        <w:rPr>
          <w:sz w:val="24"/>
        </w:rPr>
      </w:pPr>
    </w:p>
    <w:p>
      <w:pPr>
        <w:spacing w:before="0"/>
        <w:ind w:left="285" w:right="0" w:firstLine="0"/>
        <w:jc w:val="left"/>
        <w:rPr>
          <w:sz w:val="24"/>
        </w:rPr>
      </w:pPr>
      <w:r>
        <w:rPr>
          <w:i/>
          <w:sz w:val="24"/>
        </w:rPr>
        <w:t>Прим.</w:t>
      </w:r>
      <w:r>
        <w:rPr>
          <w:i/>
          <w:spacing w:val="-2"/>
          <w:sz w:val="24"/>
        </w:rPr>
        <w:t> </w:t>
      </w:r>
      <w:r>
        <w:rPr>
          <w:sz w:val="24"/>
        </w:rPr>
        <w:t>* – обратные </w:t>
      </w:r>
      <w:r>
        <w:rPr>
          <w:spacing w:val="-2"/>
          <w:sz w:val="24"/>
        </w:rPr>
        <w:t>утверждения.</w:t>
      </w:r>
    </w:p>
    <w:p>
      <w:pPr>
        <w:spacing w:after="0"/>
        <w:jc w:val="left"/>
        <w:rPr>
          <w:sz w:val="24"/>
        </w:rPr>
        <w:sectPr>
          <w:type w:val="continuous"/>
          <w:pgSz w:w="11910" w:h="16840"/>
          <w:pgMar w:header="0" w:footer="970" w:top="1100" w:bottom="1220" w:left="1417" w:right="283"/>
        </w:sectPr>
      </w:pPr>
    </w:p>
    <w:p>
      <w:pPr>
        <w:pStyle w:val="Heading8"/>
        <w:spacing w:before="74"/>
        <w:ind w:left="7745" w:firstLine="0"/>
      </w:pPr>
      <w:r>
        <w:rPr>
          <w:spacing w:val="-2"/>
        </w:rPr>
        <w:t>Приложение</w:t>
      </w:r>
      <w:r>
        <w:rPr/>
        <w:t> </w:t>
      </w:r>
      <w:r>
        <w:rPr>
          <w:spacing w:val="-5"/>
        </w:rPr>
        <w:t>19.</w:t>
      </w:r>
    </w:p>
    <w:p>
      <w:pPr>
        <w:pStyle w:val="Heading8"/>
      </w:pPr>
      <w:r>
        <w:rPr/>
        <w:t>Рекомендованный</w:t>
      </w:r>
      <w:r>
        <w:rPr>
          <w:spacing w:val="-9"/>
        </w:rPr>
        <w:t> </w:t>
      </w:r>
      <w:r>
        <w:rPr/>
        <w:t>образец</w:t>
      </w:r>
      <w:r>
        <w:rPr>
          <w:spacing w:val="-9"/>
        </w:rPr>
        <w:t> </w:t>
      </w:r>
      <w:r>
        <w:rPr/>
        <w:t>сбора</w:t>
      </w:r>
      <w:r>
        <w:rPr>
          <w:spacing w:val="-9"/>
        </w:rPr>
        <w:t> </w:t>
      </w:r>
      <w:r>
        <w:rPr/>
        <w:t>дополнительной</w:t>
      </w:r>
      <w:r>
        <w:rPr>
          <w:spacing w:val="-9"/>
        </w:rPr>
        <w:t> </w:t>
      </w:r>
      <w:r>
        <w:rPr/>
        <w:t>социально-демографической информации о ребенке</w:t>
      </w:r>
    </w:p>
    <w:p>
      <w:pPr>
        <w:pStyle w:val="BodyText"/>
        <w:spacing w:before="70"/>
        <w:ind w:left="0" w:right="0" w:firstLine="0"/>
        <w:jc w:val="left"/>
        <w:rPr>
          <w:b/>
          <w:i/>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99"/>
        <w:gridCol w:w="5574"/>
      </w:tblGrid>
      <w:tr>
        <w:trPr>
          <w:trHeight w:val="1033" w:hRule="atLeast"/>
        </w:trPr>
        <w:tc>
          <w:tcPr>
            <w:tcW w:w="9573" w:type="dxa"/>
            <w:gridSpan w:val="2"/>
          </w:tcPr>
          <w:p>
            <w:pPr>
              <w:pStyle w:val="TableParagraph"/>
              <w:spacing w:line="275" w:lineRule="exact"/>
              <w:ind w:left="5"/>
              <w:jc w:val="center"/>
              <w:rPr>
                <w:b/>
                <w:sz w:val="24"/>
              </w:rPr>
            </w:pPr>
            <w:r>
              <w:rPr>
                <w:b/>
                <w:sz w:val="24"/>
              </w:rPr>
              <w:t>Общая</w:t>
            </w:r>
            <w:r>
              <w:rPr>
                <w:b/>
                <w:spacing w:val="-3"/>
                <w:sz w:val="24"/>
              </w:rPr>
              <w:t> </w:t>
            </w:r>
            <w:r>
              <w:rPr>
                <w:b/>
                <w:sz w:val="24"/>
              </w:rPr>
              <w:t>информация</w:t>
            </w:r>
            <w:r>
              <w:rPr>
                <w:b/>
                <w:spacing w:val="-3"/>
                <w:sz w:val="24"/>
              </w:rPr>
              <w:t> </w:t>
            </w:r>
            <w:r>
              <w:rPr>
                <w:b/>
                <w:sz w:val="24"/>
              </w:rPr>
              <w:t>о</w:t>
            </w:r>
            <w:r>
              <w:rPr>
                <w:b/>
                <w:spacing w:val="-2"/>
                <w:sz w:val="24"/>
              </w:rPr>
              <w:t> ребенке</w:t>
            </w:r>
          </w:p>
          <w:p>
            <w:pPr>
              <w:pStyle w:val="TableParagraph"/>
              <w:spacing w:before="237"/>
              <w:ind w:left="5" w:right="2"/>
              <w:jc w:val="center"/>
              <w:rPr>
                <w:i/>
                <w:sz w:val="24"/>
              </w:rPr>
            </w:pPr>
            <w:r>
              <w:rPr>
                <w:i/>
                <w:sz w:val="24"/>
              </w:rPr>
              <w:t>(оставьте</w:t>
            </w:r>
            <w:r>
              <w:rPr>
                <w:i/>
                <w:spacing w:val="-5"/>
                <w:sz w:val="24"/>
              </w:rPr>
              <w:t> </w:t>
            </w:r>
            <w:r>
              <w:rPr>
                <w:i/>
                <w:sz w:val="24"/>
              </w:rPr>
              <w:t>без</w:t>
            </w:r>
            <w:r>
              <w:rPr>
                <w:i/>
                <w:spacing w:val="-2"/>
                <w:sz w:val="24"/>
              </w:rPr>
              <w:t> </w:t>
            </w:r>
            <w:r>
              <w:rPr>
                <w:i/>
                <w:sz w:val="24"/>
              </w:rPr>
              <w:t>ответа</w:t>
            </w:r>
            <w:r>
              <w:rPr>
                <w:i/>
                <w:spacing w:val="-2"/>
                <w:sz w:val="24"/>
              </w:rPr>
              <w:t> </w:t>
            </w:r>
            <w:r>
              <w:rPr>
                <w:i/>
                <w:sz w:val="24"/>
              </w:rPr>
              <w:t>пункты,</w:t>
            </w:r>
            <w:r>
              <w:rPr>
                <w:i/>
                <w:spacing w:val="-2"/>
                <w:sz w:val="24"/>
              </w:rPr>
              <w:t> </w:t>
            </w:r>
            <w:r>
              <w:rPr>
                <w:i/>
                <w:sz w:val="24"/>
              </w:rPr>
              <w:t>по</w:t>
            </w:r>
            <w:r>
              <w:rPr>
                <w:i/>
                <w:spacing w:val="-2"/>
                <w:sz w:val="24"/>
              </w:rPr>
              <w:t> </w:t>
            </w:r>
            <w:r>
              <w:rPr>
                <w:i/>
                <w:sz w:val="24"/>
              </w:rPr>
              <w:t>которым</w:t>
            </w:r>
            <w:r>
              <w:rPr>
                <w:i/>
                <w:spacing w:val="-2"/>
                <w:sz w:val="24"/>
              </w:rPr>
              <w:t> </w:t>
            </w:r>
            <w:r>
              <w:rPr>
                <w:i/>
                <w:sz w:val="24"/>
              </w:rPr>
              <w:t>у</w:t>
            </w:r>
            <w:r>
              <w:rPr>
                <w:i/>
                <w:spacing w:val="-3"/>
                <w:sz w:val="24"/>
              </w:rPr>
              <w:t> </w:t>
            </w:r>
            <w:r>
              <w:rPr>
                <w:i/>
                <w:sz w:val="24"/>
              </w:rPr>
              <w:t>вас</w:t>
            </w:r>
            <w:r>
              <w:rPr>
                <w:i/>
                <w:spacing w:val="-3"/>
                <w:sz w:val="24"/>
              </w:rPr>
              <w:t> </w:t>
            </w:r>
            <w:r>
              <w:rPr>
                <w:i/>
                <w:sz w:val="24"/>
              </w:rPr>
              <w:t>нет</w:t>
            </w:r>
            <w:r>
              <w:rPr>
                <w:i/>
                <w:spacing w:val="-2"/>
                <w:sz w:val="24"/>
              </w:rPr>
              <w:t> информации)</w:t>
            </w:r>
          </w:p>
        </w:tc>
      </w:tr>
      <w:tr>
        <w:trPr>
          <w:trHeight w:val="517" w:hRule="atLeast"/>
        </w:trPr>
        <w:tc>
          <w:tcPr>
            <w:tcW w:w="3999" w:type="dxa"/>
          </w:tcPr>
          <w:p>
            <w:pPr>
              <w:pStyle w:val="TableParagraph"/>
              <w:spacing w:line="270" w:lineRule="exact"/>
              <w:ind w:left="107"/>
              <w:rPr>
                <w:sz w:val="24"/>
              </w:rPr>
            </w:pPr>
            <w:r>
              <w:rPr>
                <w:sz w:val="24"/>
              </w:rPr>
              <w:t>Дата</w:t>
            </w:r>
            <w:r>
              <w:rPr>
                <w:spacing w:val="-2"/>
                <w:sz w:val="24"/>
              </w:rPr>
              <w:t> заполнения</w:t>
            </w:r>
          </w:p>
        </w:tc>
        <w:tc>
          <w:tcPr>
            <w:tcW w:w="5574" w:type="dxa"/>
          </w:tcPr>
          <w:p>
            <w:pPr>
              <w:pStyle w:val="TableParagraph"/>
              <w:rPr>
                <w:sz w:val="24"/>
              </w:rPr>
            </w:pPr>
          </w:p>
        </w:tc>
      </w:tr>
      <w:tr>
        <w:trPr>
          <w:trHeight w:val="518" w:hRule="atLeast"/>
        </w:trPr>
        <w:tc>
          <w:tcPr>
            <w:tcW w:w="3999" w:type="dxa"/>
          </w:tcPr>
          <w:p>
            <w:pPr>
              <w:pStyle w:val="TableParagraph"/>
              <w:spacing w:line="270" w:lineRule="exact"/>
              <w:ind w:left="107"/>
              <w:rPr>
                <w:sz w:val="24"/>
              </w:rPr>
            </w:pPr>
            <w:r>
              <w:rPr>
                <w:sz w:val="24"/>
              </w:rPr>
              <w:t>Пол</w:t>
            </w:r>
            <w:r>
              <w:rPr>
                <w:spacing w:val="-3"/>
                <w:sz w:val="24"/>
              </w:rPr>
              <w:t> </w:t>
            </w:r>
            <w:r>
              <w:rPr>
                <w:sz w:val="24"/>
              </w:rPr>
              <w:t>(обвести</w:t>
            </w:r>
            <w:r>
              <w:rPr>
                <w:spacing w:val="-1"/>
                <w:sz w:val="24"/>
              </w:rPr>
              <w:t> </w:t>
            </w:r>
            <w:r>
              <w:rPr>
                <w:spacing w:val="-2"/>
                <w:sz w:val="24"/>
              </w:rPr>
              <w:t>цифру)</w:t>
            </w:r>
          </w:p>
        </w:tc>
        <w:tc>
          <w:tcPr>
            <w:tcW w:w="5574" w:type="dxa"/>
          </w:tcPr>
          <w:p>
            <w:pPr>
              <w:pStyle w:val="TableParagraph"/>
              <w:tabs>
                <w:tab w:pos="2940" w:val="left" w:leader="none"/>
              </w:tabs>
              <w:spacing w:line="270" w:lineRule="exact"/>
              <w:ind w:left="813"/>
              <w:rPr>
                <w:sz w:val="24"/>
              </w:rPr>
            </w:pPr>
            <w:r>
              <w:rPr>
                <w:sz w:val="24"/>
              </w:rPr>
              <w:t>1</w:t>
            </w:r>
            <w:r>
              <w:rPr>
                <w:spacing w:val="-2"/>
                <w:sz w:val="24"/>
              </w:rPr>
              <w:t> </w:t>
            </w:r>
            <w:r>
              <w:rPr>
                <w:sz w:val="24"/>
              </w:rPr>
              <w:t>– </w:t>
            </w:r>
            <w:r>
              <w:rPr>
                <w:spacing w:val="-2"/>
                <w:sz w:val="24"/>
              </w:rPr>
              <w:t>мужской</w:t>
            </w:r>
            <w:r>
              <w:rPr>
                <w:sz w:val="24"/>
              </w:rPr>
              <w:tab/>
              <w:t>2 – </w:t>
            </w:r>
            <w:r>
              <w:rPr>
                <w:spacing w:val="-2"/>
                <w:sz w:val="24"/>
              </w:rPr>
              <w:t>женский</w:t>
            </w:r>
          </w:p>
        </w:tc>
      </w:tr>
      <w:tr>
        <w:trPr>
          <w:trHeight w:val="516" w:hRule="atLeast"/>
        </w:trPr>
        <w:tc>
          <w:tcPr>
            <w:tcW w:w="3999" w:type="dxa"/>
          </w:tcPr>
          <w:p>
            <w:pPr>
              <w:pStyle w:val="TableParagraph"/>
              <w:spacing w:line="270" w:lineRule="exact"/>
              <w:ind w:left="107"/>
              <w:rPr>
                <w:sz w:val="24"/>
              </w:rPr>
            </w:pPr>
            <w:r>
              <w:rPr>
                <w:spacing w:val="-2"/>
                <w:sz w:val="24"/>
              </w:rPr>
              <w:t>Возраст</w:t>
            </w:r>
          </w:p>
        </w:tc>
        <w:tc>
          <w:tcPr>
            <w:tcW w:w="5574" w:type="dxa"/>
          </w:tcPr>
          <w:p>
            <w:pPr>
              <w:pStyle w:val="TableParagraph"/>
              <w:rPr>
                <w:sz w:val="24"/>
              </w:rPr>
            </w:pPr>
          </w:p>
        </w:tc>
      </w:tr>
      <w:tr>
        <w:trPr>
          <w:trHeight w:val="518" w:hRule="atLeast"/>
        </w:trPr>
        <w:tc>
          <w:tcPr>
            <w:tcW w:w="3999" w:type="dxa"/>
          </w:tcPr>
          <w:p>
            <w:pPr>
              <w:pStyle w:val="TableParagraph"/>
              <w:spacing w:line="270" w:lineRule="exact"/>
              <w:ind w:left="107"/>
              <w:rPr>
                <w:sz w:val="24"/>
              </w:rPr>
            </w:pPr>
            <w:r>
              <w:rPr>
                <w:sz w:val="24"/>
              </w:rPr>
              <w:t>Страна</w:t>
            </w:r>
            <w:r>
              <w:rPr>
                <w:spacing w:val="-2"/>
                <w:sz w:val="24"/>
              </w:rPr>
              <w:t> </w:t>
            </w:r>
            <w:r>
              <w:rPr>
                <w:sz w:val="24"/>
              </w:rPr>
              <w:t>исхода</w:t>
            </w:r>
            <w:r>
              <w:rPr>
                <w:spacing w:val="-2"/>
                <w:sz w:val="24"/>
              </w:rPr>
              <w:t> (Родина)</w:t>
            </w:r>
          </w:p>
        </w:tc>
        <w:tc>
          <w:tcPr>
            <w:tcW w:w="5574" w:type="dxa"/>
          </w:tcPr>
          <w:p>
            <w:pPr>
              <w:pStyle w:val="TableParagraph"/>
              <w:rPr>
                <w:sz w:val="24"/>
              </w:rPr>
            </w:pPr>
          </w:p>
        </w:tc>
      </w:tr>
      <w:tr>
        <w:trPr>
          <w:trHeight w:val="518" w:hRule="atLeast"/>
        </w:trPr>
        <w:tc>
          <w:tcPr>
            <w:tcW w:w="3999" w:type="dxa"/>
          </w:tcPr>
          <w:p>
            <w:pPr>
              <w:pStyle w:val="TableParagraph"/>
              <w:spacing w:line="270" w:lineRule="exact"/>
              <w:ind w:left="107"/>
              <w:rPr>
                <w:sz w:val="24"/>
              </w:rPr>
            </w:pPr>
            <w:r>
              <w:rPr>
                <w:sz w:val="24"/>
              </w:rPr>
              <w:t>Родной</w:t>
            </w:r>
            <w:r>
              <w:rPr>
                <w:spacing w:val="-2"/>
                <w:sz w:val="24"/>
              </w:rPr>
              <w:t> </w:t>
            </w:r>
            <w:r>
              <w:rPr>
                <w:spacing w:val="-4"/>
                <w:sz w:val="24"/>
              </w:rPr>
              <w:t>язык</w:t>
            </w:r>
          </w:p>
        </w:tc>
        <w:tc>
          <w:tcPr>
            <w:tcW w:w="5574" w:type="dxa"/>
          </w:tcPr>
          <w:p>
            <w:pPr>
              <w:pStyle w:val="TableParagraph"/>
              <w:rPr>
                <w:sz w:val="24"/>
              </w:rPr>
            </w:pPr>
          </w:p>
        </w:tc>
      </w:tr>
      <w:tr>
        <w:trPr>
          <w:trHeight w:val="517" w:hRule="atLeast"/>
        </w:trPr>
        <w:tc>
          <w:tcPr>
            <w:tcW w:w="3999" w:type="dxa"/>
          </w:tcPr>
          <w:p>
            <w:pPr>
              <w:pStyle w:val="TableParagraph"/>
              <w:spacing w:line="270" w:lineRule="exact"/>
              <w:ind w:left="107"/>
              <w:rPr>
                <w:sz w:val="24"/>
              </w:rPr>
            </w:pPr>
            <w:r>
              <w:rPr>
                <w:sz w:val="24"/>
              </w:rPr>
              <w:t>Регион/место</w:t>
            </w:r>
            <w:r>
              <w:rPr>
                <w:spacing w:val="-7"/>
                <w:sz w:val="24"/>
              </w:rPr>
              <w:t> </w:t>
            </w:r>
            <w:r>
              <w:rPr>
                <w:sz w:val="24"/>
              </w:rPr>
              <w:t>проживания</w:t>
            </w:r>
            <w:r>
              <w:rPr>
                <w:spacing w:val="-4"/>
                <w:sz w:val="24"/>
              </w:rPr>
              <w:t> </w:t>
            </w:r>
            <w:r>
              <w:rPr>
                <w:sz w:val="24"/>
              </w:rPr>
              <w:t>в</w:t>
            </w:r>
            <w:r>
              <w:rPr>
                <w:spacing w:val="-4"/>
                <w:sz w:val="24"/>
              </w:rPr>
              <w:t> </w:t>
            </w:r>
            <w:r>
              <w:rPr>
                <w:spacing w:val="-2"/>
                <w:sz w:val="24"/>
              </w:rPr>
              <w:t>России</w:t>
            </w:r>
          </w:p>
        </w:tc>
        <w:tc>
          <w:tcPr>
            <w:tcW w:w="5574" w:type="dxa"/>
          </w:tcPr>
          <w:p>
            <w:pPr>
              <w:pStyle w:val="TableParagraph"/>
              <w:rPr>
                <w:sz w:val="24"/>
              </w:rPr>
            </w:pPr>
          </w:p>
        </w:tc>
      </w:tr>
      <w:tr>
        <w:trPr>
          <w:trHeight w:val="834" w:hRule="atLeast"/>
        </w:trPr>
        <w:tc>
          <w:tcPr>
            <w:tcW w:w="3999" w:type="dxa"/>
          </w:tcPr>
          <w:p>
            <w:pPr>
              <w:pStyle w:val="TableParagraph"/>
              <w:spacing w:line="276" w:lineRule="auto"/>
              <w:ind w:left="107" w:right="192"/>
              <w:rPr>
                <w:sz w:val="24"/>
              </w:rPr>
            </w:pPr>
            <w:r>
              <w:rPr>
                <w:sz w:val="24"/>
              </w:rPr>
              <w:t>Сколько</w:t>
            </w:r>
            <w:r>
              <w:rPr>
                <w:spacing w:val="-10"/>
                <w:sz w:val="24"/>
              </w:rPr>
              <w:t> </w:t>
            </w:r>
            <w:r>
              <w:rPr>
                <w:sz w:val="24"/>
              </w:rPr>
              <w:t>лет</w:t>
            </w:r>
            <w:r>
              <w:rPr>
                <w:spacing w:val="-10"/>
                <w:sz w:val="24"/>
              </w:rPr>
              <w:t> </w:t>
            </w:r>
            <w:r>
              <w:rPr>
                <w:sz w:val="24"/>
              </w:rPr>
              <w:t>ребенок</w:t>
            </w:r>
            <w:r>
              <w:rPr>
                <w:spacing w:val="-10"/>
                <w:sz w:val="24"/>
              </w:rPr>
              <w:t> </w:t>
            </w:r>
            <w:r>
              <w:rPr>
                <w:sz w:val="24"/>
              </w:rPr>
              <w:t>живет</w:t>
            </w:r>
            <w:r>
              <w:rPr>
                <w:spacing w:val="-10"/>
                <w:sz w:val="24"/>
              </w:rPr>
              <w:t> </w:t>
            </w:r>
            <w:r>
              <w:rPr>
                <w:sz w:val="24"/>
              </w:rPr>
              <w:t>в </w:t>
            </w:r>
            <w:r>
              <w:rPr>
                <w:spacing w:val="-2"/>
                <w:sz w:val="24"/>
              </w:rPr>
              <w:t>России?</w:t>
            </w:r>
          </w:p>
        </w:tc>
        <w:tc>
          <w:tcPr>
            <w:tcW w:w="5574" w:type="dxa"/>
          </w:tcPr>
          <w:p>
            <w:pPr>
              <w:pStyle w:val="TableParagraph"/>
              <w:rPr>
                <w:sz w:val="24"/>
              </w:rPr>
            </w:pPr>
          </w:p>
        </w:tc>
      </w:tr>
      <w:tr>
        <w:trPr>
          <w:trHeight w:val="1034" w:hRule="atLeast"/>
        </w:trPr>
        <w:tc>
          <w:tcPr>
            <w:tcW w:w="3999" w:type="dxa"/>
          </w:tcPr>
          <w:p>
            <w:pPr>
              <w:pStyle w:val="TableParagraph"/>
              <w:spacing w:line="278" w:lineRule="auto" w:before="92"/>
              <w:ind w:left="107"/>
              <w:rPr>
                <w:sz w:val="24"/>
              </w:rPr>
            </w:pPr>
            <w:r>
              <w:rPr>
                <w:sz w:val="24"/>
              </w:rPr>
              <w:t>Уровень</w:t>
            </w:r>
            <w:r>
              <w:rPr>
                <w:spacing w:val="-13"/>
                <w:sz w:val="24"/>
              </w:rPr>
              <w:t> </w:t>
            </w:r>
            <w:r>
              <w:rPr>
                <w:sz w:val="24"/>
              </w:rPr>
              <w:t>знания</w:t>
            </w:r>
            <w:r>
              <w:rPr>
                <w:spacing w:val="-13"/>
                <w:sz w:val="24"/>
              </w:rPr>
              <w:t> </w:t>
            </w:r>
            <w:r>
              <w:rPr>
                <w:sz w:val="24"/>
              </w:rPr>
              <w:t>русского</w:t>
            </w:r>
            <w:r>
              <w:rPr>
                <w:spacing w:val="-13"/>
                <w:sz w:val="24"/>
              </w:rPr>
              <w:t> </w:t>
            </w:r>
            <w:r>
              <w:rPr>
                <w:sz w:val="24"/>
              </w:rPr>
              <w:t>языка (обвести цифру)</w:t>
            </w:r>
          </w:p>
        </w:tc>
        <w:tc>
          <w:tcPr>
            <w:tcW w:w="5574" w:type="dxa"/>
          </w:tcPr>
          <w:p>
            <w:pPr>
              <w:pStyle w:val="TableParagraph"/>
              <w:tabs>
                <w:tab w:pos="2239" w:val="left" w:leader="none"/>
              </w:tabs>
              <w:spacing w:line="270" w:lineRule="exact"/>
              <w:ind w:left="107"/>
              <w:rPr>
                <w:sz w:val="24"/>
              </w:rPr>
            </w:pPr>
            <w:r>
              <w:rPr>
                <w:sz w:val="24"/>
              </w:rPr>
              <w:t>1 – </w:t>
            </w:r>
            <w:r>
              <w:rPr>
                <w:spacing w:val="-2"/>
                <w:sz w:val="24"/>
              </w:rPr>
              <w:t>начальный</w:t>
            </w:r>
            <w:r>
              <w:rPr>
                <w:sz w:val="24"/>
              </w:rPr>
              <w:tab/>
              <w:t>2 –</w:t>
            </w:r>
            <w:r>
              <w:rPr>
                <w:spacing w:val="-3"/>
                <w:sz w:val="24"/>
              </w:rPr>
              <w:t> </w:t>
            </w:r>
            <w:r>
              <w:rPr>
                <w:spacing w:val="-2"/>
                <w:sz w:val="24"/>
              </w:rPr>
              <w:t>средний</w:t>
            </w:r>
          </w:p>
          <w:p>
            <w:pPr>
              <w:pStyle w:val="TableParagraph"/>
              <w:tabs>
                <w:tab w:pos="2171" w:val="left" w:leader="none"/>
              </w:tabs>
              <w:spacing w:before="240"/>
              <w:ind w:left="107"/>
              <w:rPr>
                <w:sz w:val="24"/>
              </w:rPr>
            </w:pPr>
            <w:r>
              <w:rPr>
                <w:sz w:val="24"/>
              </w:rPr>
              <w:t>3 – </w:t>
            </w:r>
            <w:r>
              <w:rPr>
                <w:spacing w:val="-2"/>
                <w:sz w:val="24"/>
              </w:rPr>
              <w:t>хороший</w:t>
            </w:r>
            <w:r>
              <w:rPr>
                <w:sz w:val="24"/>
              </w:rPr>
              <w:tab/>
              <w:t>4</w:t>
            </w:r>
            <w:r>
              <w:rPr>
                <w:spacing w:val="1"/>
                <w:sz w:val="24"/>
              </w:rPr>
              <w:t> </w:t>
            </w:r>
            <w:r>
              <w:rPr>
                <w:sz w:val="24"/>
              </w:rPr>
              <w:t>–</w:t>
            </w:r>
            <w:r>
              <w:rPr>
                <w:spacing w:val="-3"/>
                <w:sz w:val="24"/>
              </w:rPr>
              <w:t> </w:t>
            </w:r>
            <w:r>
              <w:rPr>
                <w:spacing w:val="-2"/>
                <w:sz w:val="24"/>
              </w:rPr>
              <w:t>отличный.</w:t>
            </w:r>
          </w:p>
        </w:tc>
      </w:tr>
      <w:tr>
        <w:trPr>
          <w:trHeight w:val="518" w:hRule="atLeast"/>
        </w:trPr>
        <w:tc>
          <w:tcPr>
            <w:tcW w:w="3999" w:type="dxa"/>
          </w:tcPr>
          <w:p>
            <w:pPr>
              <w:pStyle w:val="TableParagraph"/>
              <w:spacing w:line="270" w:lineRule="exact"/>
              <w:ind w:left="107"/>
              <w:rPr>
                <w:sz w:val="24"/>
              </w:rPr>
            </w:pPr>
            <w:r>
              <w:rPr>
                <w:sz w:val="24"/>
              </w:rPr>
              <w:t>В</w:t>
            </w:r>
            <w:r>
              <w:rPr>
                <w:spacing w:val="-4"/>
                <w:sz w:val="24"/>
              </w:rPr>
              <w:t> </w:t>
            </w:r>
            <w:r>
              <w:rPr>
                <w:sz w:val="24"/>
              </w:rPr>
              <w:t>каком</w:t>
            </w:r>
            <w:r>
              <w:rPr>
                <w:spacing w:val="-3"/>
                <w:sz w:val="24"/>
              </w:rPr>
              <w:t> </w:t>
            </w:r>
            <w:r>
              <w:rPr>
                <w:sz w:val="24"/>
              </w:rPr>
              <w:t>классе</w:t>
            </w:r>
            <w:r>
              <w:rPr>
                <w:spacing w:val="1"/>
                <w:sz w:val="24"/>
              </w:rPr>
              <w:t> </w:t>
            </w:r>
            <w:r>
              <w:rPr>
                <w:sz w:val="24"/>
              </w:rPr>
              <w:t>учится</w:t>
            </w:r>
            <w:r>
              <w:rPr>
                <w:spacing w:val="-1"/>
                <w:sz w:val="24"/>
              </w:rPr>
              <w:t> </w:t>
            </w:r>
            <w:r>
              <w:rPr>
                <w:spacing w:val="-2"/>
                <w:sz w:val="24"/>
              </w:rPr>
              <w:t>сейчас</w:t>
            </w:r>
          </w:p>
        </w:tc>
        <w:tc>
          <w:tcPr>
            <w:tcW w:w="5574" w:type="dxa"/>
          </w:tcPr>
          <w:p>
            <w:pPr>
              <w:pStyle w:val="TableParagraph"/>
              <w:rPr>
                <w:sz w:val="24"/>
              </w:rPr>
            </w:pPr>
          </w:p>
        </w:tc>
      </w:tr>
      <w:tr>
        <w:trPr>
          <w:trHeight w:val="834" w:hRule="atLeast"/>
        </w:trPr>
        <w:tc>
          <w:tcPr>
            <w:tcW w:w="3999" w:type="dxa"/>
          </w:tcPr>
          <w:p>
            <w:pPr>
              <w:pStyle w:val="TableParagraph"/>
              <w:spacing w:line="276" w:lineRule="auto"/>
              <w:ind w:left="107"/>
              <w:rPr>
                <w:sz w:val="24"/>
              </w:rPr>
            </w:pPr>
            <w:r>
              <w:rPr>
                <w:sz w:val="24"/>
              </w:rPr>
              <w:t>Сколько</w:t>
            </w:r>
            <w:r>
              <w:rPr>
                <w:spacing w:val="-10"/>
                <w:sz w:val="24"/>
              </w:rPr>
              <w:t> </w:t>
            </w:r>
            <w:r>
              <w:rPr>
                <w:sz w:val="24"/>
              </w:rPr>
              <w:t>лет/месяцев</w:t>
            </w:r>
            <w:r>
              <w:rPr>
                <w:spacing w:val="-10"/>
                <w:sz w:val="24"/>
              </w:rPr>
              <w:t> </w:t>
            </w:r>
            <w:r>
              <w:rPr>
                <w:sz w:val="24"/>
              </w:rPr>
              <w:t>учится</w:t>
            </w:r>
            <w:r>
              <w:rPr>
                <w:spacing w:val="-10"/>
                <w:sz w:val="24"/>
              </w:rPr>
              <w:t> </w:t>
            </w:r>
            <w:r>
              <w:rPr>
                <w:sz w:val="24"/>
              </w:rPr>
              <w:t>в</w:t>
            </w:r>
            <w:r>
              <w:rPr>
                <w:spacing w:val="-11"/>
                <w:sz w:val="24"/>
              </w:rPr>
              <w:t> </w:t>
            </w:r>
            <w:r>
              <w:rPr>
                <w:sz w:val="24"/>
              </w:rPr>
              <w:t>вашей </w:t>
            </w:r>
            <w:r>
              <w:rPr>
                <w:spacing w:val="-2"/>
                <w:sz w:val="24"/>
              </w:rPr>
              <w:t>школе</w:t>
            </w:r>
          </w:p>
        </w:tc>
        <w:tc>
          <w:tcPr>
            <w:tcW w:w="5574" w:type="dxa"/>
          </w:tcPr>
          <w:p>
            <w:pPr>
              <w:pStyle w:val="TableParagraph"/>
              <w:rPr>
                <w:sz w:val="24"/>
              </w:rPr>
            </w:pPr>
          </w:p>
        </w:tc>
      </w:tr>
      <w:tr>
        <w:trPr>
          <w:trHeight w:val="1151" w:hRule="atLeast"/>
        </w:trPr>
        <w:tc>
          <w:tcPr>
            <w:tcW w:w="3999" w:type="dxa"/>
          </w:tcPr>
          <w:p>
            <w:pPr>
              <w:pStyle w:val="TableParagraph"/>
              <w:spacing w:line="276" w:lineRule="auto"/>
              <w:ind w:left="107"/>
              <w:rPr>
                <w:sz w:val="24"/>
              </w:rPr>
            </w:pPr>
            <w:r>
              <w:rPr>
                <w:sz w:val="24"/>
              </w:rPr>
              <w:t>Учился</w:t>
            </w:r>
            <w:r>
              <w:rPr>
                <w:spacing w:val="-7"/>
                <w:sz w:val="24"/>
              </w:rPr>
              <w:t> </w:t>
            </w:r>
            <w:r>
              <w:rPr>
                <w:sz w:val="24"/>
              </w:rPr>
              <w:t>ли</w:t>
            </w:r>
            <w:r>
              <w:rPr>
                <w:spacing w:val="-6"/>
                <w:sz w:val="24"/>
              </w:rPr>
              <w:t> </w:t>
            </w:r>
            <w:r>
              <w:rPr>
                <w:sz w:val="24"/>
              </w:rPr>
              <w:t>в</w:t>
            </w:r>
            <w:r>
              <w:rPr>
                <w:spacing w:val="-8"/>
                <w:sz w:val="24"/>
              </w:rPr>
              <w:t> </w:t>
            </w:r>
            <w:r>
              <w:rPr>
                <w:sz w:val="24"/>
              </w:rPr>
              <w:t>другой</w:t>
            </w:r>
            <w:r>
              <w:rPr>
                <w:spacing w:val="-7"/>
                <w:sz w:val="24"/>
              </w:rPr>
              <w:t> </w:t>
            </w:r>
            <w:r>
              <w:rPr>
                <w:sz w:val="24"/>
              </w:rPr>
              <w:t>школе</w:t>
            </w:r>
            <w:r>
              <w:rPr>
                <w:spacing w:val="-8"/>
                <w:sz w:val="24"/>
              </w:rPr>
              <w:t> </w:t>
            </w:r>
            <w:r>
              <w:rPr>
                <w:sz w:val="24"/>
              </w:rPr>
              <w:t>в</w:t>
            </w:r>
            <w:r>
              <w:rPr>
                <w:spacing w:val="-8"/>
                <w:sz w:val="24"/>
              </w:rPr>
              <w:t> </w:t>
            </w:r>
            <w:r>
              <w:rPr>
                <w:sz w:val="24"/>
              </w:rPr>
              <w:t>России? Если да, то сколько времени (если </w:t>
            </w:r>
            <w:r>
              <w:rPr>
                <w:spacing w:val="-2"/>
                <w:sz w:val="24"/>
              </w:rPr>
              <w:t>известно)?</w:t>
            </w:r>
          </w:p>
        </w:tc>
        <w:tc>
          <w:tcPr>
            <w:tcW w:w="5574" w:type="dxa"/>
          </w:tcPr>
          <w:p>
            <w:pPr>
              <w:pStyle w:val="TableParagraph"/>
              <w:rPr>
                <w:sz w:val="24"/>
              </w:rPr>
            </w:pPr>
          </w:p>
        </w:tc>
      </w:tr>
      <w:tr>
        <w:trPr>
          <w:trHeight w:val="1034" w:hRule="atLeast"/>
        </w:trPr>
        <w:tc>
          <w:tcPr>
            <w:tcW w:w="3999" w:type="dxa"/>
          </w:tcPr>
          <w:p>
            <w:pPr>
              <w:pStyle w:val="TableParagraph"/>
              <w:spacing w:line="276" w:lineRule="auto" w:before="95"/>
              <w:ind w:left="107" w:right="192"/>
              <w:rPr>
                <w:sz w:val="24"/>
              </w:rPr>
            </w:pPr>
            <w:r>
              <w:rPr>
                <w:sz w:val="24"/>
              </w:rPr>
              <w:t>Миграционные</w:t>
            </w:r>
            <w:r>
              <w:rPr>
                <w:spacing w:val="-15"/>
                <w:sz w:val="24"/>
              </w:rPr>
              <w:t> </w:t>
            </w:r>
            <w:r>
              <w:rPr>
                <w:sz w:val="24"/>
              </w:rPr>
              <w:t>намерения</w:t>
            </w:r>
            <w:r>
              <w:rPr>
                <w:spacing w:val="-15"/>
                <w:sz w:val="24"/>
              </w:rPr>
              <w:t> </w:t>
            </w:r>
            <w:r>
              <w:rPr>
                <w:sz w:val="24"/>
              </w:rPr>
              <w:t>семьи (если известно, обвести цифру)</w:t>
            </w:r>
          </w:p>
        </w:tc>
        <w:tc>
          <w:tcPr>
            <w:tcW w:w="5574" w:type="dxa"/>
          </w:tcPr>
          <w:p>
            <w:pPr>
              <w:pStyle w:val="TableParagraph"/>
              <w:tabs>
                <w:tab w:pos="2900" w:val="left" w:leader="none"/>
              </w:tabs>
              <w:spacing w:line="271" w:lineRule="exact"/>
              <w:ind w:left="107"/>
              <w:rPr>
                <w:sz w:val="24"/>
              </w:rPr>
            </w:pPr>
            <w:r>
              <w:rPr>
                <w:sz w:val="24"/>
              </w:rPr>
              <w:t>1</w:t>
            </w:r>
            <w:r>
              <w:rPr>
                <w:spacing w:val="-1"/>
                <w:sz w:val="24"/>
              </w:rPr>
              <w:t> </w:t>
            </w:r>
            <w:r>
              <w:rPr>
                <w:sz w:val="24"/>
              </w:rPr>
              <w:t>–</w:t>
            </w:r>
            <w:r>
              <w:rPr>
                <w:spacing w:val="-1"/>
                <w:sz w:val="24"/>
              </w:rPr>
              <w:t> </w:t>
            </w:r>
            <w:r>
              <w:rPr>
                <w:sz w:val="24"/>
              </w:rPr>
              <w:t>остаться</w:t>
            </w:r>
            <w:r>
              <w:rPr>
                <w:spacing w:val="-2"/>
                <w:sz w:val="24"/>
              </w:rPr>
              <w:t> </w:t>
            </w:r>
            <w:r>
              <w:rPr>
                <w:sz w:val="24"/>
              </w:rPr>
              <w:t>в</w:t>
            </w:r>
            <w:r>
              <w:rPr>
                <w:spacing w:val="-1"/>
                <w:sz w:val="24"/>
              </w:rPr>
              <w:t> </w:t>
            </w:r>
            <w:r>
              <w:rPr>
                <w:spacing w:val="-2"/>
                <w:sz w:val="24"/>
              </w:rPr>
              <w:t>России;</w:t>
            </w:r>
            <w:r>
              <w:rPr>
                <w:sz w:val="24"/>
              </w:rPr>
              <w:tab/>
              <w:t>2</w:t>
            </w:r>
            <w:r>
              <w:rPr>
                <w:spacing w:val="-3"/>
                <w:sz w:val="24"/>
              </w:rPr>
              <w:t> </w:t>
            </w:r>
            <w:r>
              <w:rPr>
                <w:sz w:val="24"/>
              </w:rPr>
              <w:t>–</w:t>
            </w:r>
            <w:r>
              <w:rPr>
                <w:spacing w:val="-2"/>
                <w:sz w:val="24"/>
              </w:rPr>
              <w:t> </w:t>
            </w:r>
            <w:r>
              <w:rPr>
                <w:sz w:val="24"/>
              </w:rPr>
              <w:t>вернуться</w:t>
            </w:r>
            <w:r>
              <w:rPr>
                <w:spacing w:val="-1"/>
                <w:sz w:val="24"/>
              </w:rPr>
              <w:t> </w:t>
            </w:r>
            <w:r>
              <w:rPr>
                <w:sz w:val="24"/>
              </w:rPr>
              <w:t>на</w:t>
            </w:r>
            <w:r>
              <w:rPr>
                <w:spacing w:val="-2"/>
                <w:sz w:val="24"/>
              </w:rPr>
              <w:t> родину;</w:t>
            </w:r>
          </w:p>
          <w:p>
            <w:pPr>
              <w:pStyle w:val="TableParagraph"/>
              <w:tabs>
                <w:tab w:pos="3144" w:val="left" w:leader="none"/>
              </w:tabs>
              <w:spacing w:before="240"/>
              <w:ind w:left="107"/>
              <w:rPr>
                <w:sz w:val="24"/>
              </w:rPr>
            </w:pPr>
            <w:r>
              <w:rPr>
                <w:sz w:val="24"/>
              </w:rPr>
              <w:t>3</w:t>
            </w:r>
            <w:r>
              <w:rPr>
                <w:spacing w:val="-2"/>
                <w:sz w:val="24"/>
              </w:rPr>
              <w:t> </w:t>
            </w:r>
            <w:r>
              <w:rPr>
                <w:sz w:val="24"/>
              </w:rPr>
              <w:t>–</w:t>
            </w:r>
            <w:r>
              <w:rPr>
                <w:spacing w:val="1"/>
                <w:sz w:val="24"/>
              </w:rPr>
              <w:t> </w:t>
            </w:r>
            <w:r>
              <w:rPr>
                <w:sz w:val="24"/>
              </w:rPr>
              <w:t>уехать</w:t>
            </w:r>
            <w:r>
              <w:rPr>
                <w:spacing w:val="-1"/>
                <w:sz w:val="24"/>
              </w:rPr>
              <w:t> </w:t>
            </w:r>
            <w:r>
              <w:rPr>
                <w:sz w:val="24"/>
              </w:rPr>
              <w:t>в</w:t>
            </w:r>
            <w:r>
              <w:rPr>
                <w:spacing w:val="-2"/>
                <w:sz w:val="24"/>
              </w:rPr>
              <w:t> </w:t>
            </w:r>
            <w:r>
              <w:rPr>
                <w:sz w:val="24"/>
              </w:rPr>
              <w:t>третью</w:t>
            </w:r>
            <w:r>
              <w:rPr>
                <w:spacing w:val="-1"/>
                <w:sz w:val="24"/>
              </w:rPr>
              <w:t> </w:t>
            </w:r>
            <w:r>
              <w:rPr>
                <w:spacing w:val="-2"/>
                <w:sz w:val="24"/>
              </w:rPr>
              <w:t>страну;</w:t>
            </w:r>
            <w:r>
              <w:rPr>
                <w:sz w:val="24"/>
              </w:rPr>
              <w:tab/>
              <w:t>4</w:t>
            </w:r>
            <w:r>
              <w:rPr>
                <w:spacing w:val="2"/>
                <w:sz w:val="24"/>
              </w:rPr>
              <w:t> </w:t>
            </w:r>
            <w:r>
              <w:rPr>
                <w:sz w:val="24"/>
              </w:rPr>
              <w:t>– </w:t>
            </w:r>
            <w:r>
              <w:rPr>
                <w:spacing w:val="-2"/>
                <w:sz w:val="24"/>
              </w:rPr>
              <w:t>неопределенные.</w:t>
            </w:r>
          </w:p>
        </w:tc>
      </w:tr>
      <w:tr>
        <w:trPr>
          <w:trHeight w:val="1034" w:hRule="atLeast"/>
        </w:trPr>
        <w:tc>
          <w:tcPr>
            <w:tcW w:w="3999" w:type="dxa"/>
          </w:tcPr>
          <w:p>
            <w:pPr>
              <w:pStyle w:val="TableParagraph"/>
              <w:spacing w:line="276" w:lineRule="auto" w:before="95"/>
              <w:ind w:left="107" w:right="192"/>
              <w:rPr>
                <w:sz w:val="24"/>
              </w:rPr>
            </w:pPr>
            <w:r>
              <w:rPr>
                <w:sz w:val="24"/>
              </w:rPr>
              <w:t>Как</w:t>
            </w:r>
            <w:r>
              <w:rPr>
                <w:spacing w:val="-10"/>
                <w:sz w:val="24"/>
              </w:rPr>
              <w:t> </w:t>
            </w:r>
            <w:r>
              <w:rPr>
                <w:sz w:val="24"/>
              </w:rPr>
              <w:t>часто</w:t>
            </w:r>
            <w:r>
              <w:rPr>
                <w:spacing w:val="-10"/>
                <w:sz w:val="24"/>
              </w:rPr>
              <w:t> </w:t>
            </w:r>
            <w:r>
              <w:rPr>
                <w:sz w:val="24"/>
              </w:rPr>
              <w:t>ребенок</w:t>
            </w:r>
            <w:r>
              <w:rPr>
                <w:spacing w:val="-10"/>
                <w:sz w:val="24"/>
              </w:rPr>
              <w:t> </w:t>
            </w:r>
            <w:r>
              <w:rPr>
                <w:sz w:val="24"/>
              </w:rPr>
              <w:t>бывает</w:t>
            </w:r>
            <w:r>
              <w:rPr>
                <w:spacing w:val="-10"/>
                <w:sz w:val="24"/>
              </w:rPr>
              <w:t> </w:t>
            </w:r>
            <w:r>
              <w:rPr>
                <w:sz w:val="24"/>
              </w:rPr>
              <w:t>на родине? (обвести цифру)</w:t>
            </w:r>
          </w:p>
        </w:tc>
        <w:tc>
          <w:tcPr>
            <w:tcW w:w="5574" w:type="dxa"/>
          </w:tcPr>
          <w:p>
            <w:pPr>
              <w:pStyle w:val="TableParagraph"/>
              <w:tabs>
                <w:tab w:pos="2434" w:val="left" w:leader="none"/>
              </w:tabs>
              <w:spacing w:line="270" w:lineRule="exact"/>
              <w:ind w:left="107"/>
              <w:rPr>
                <w:sz w:val="24"/>
              </w:rPr>
            </w:pPr>
            <w:r>
              <w:rPr>
                <w:sz w:val="24"/>
              </w:rPr>
              <w:t>1</w:t>
            </w:r>
            <w:r>
              <w:rPr>
                <w:spacing w:val="-3"/>
                <w:sz w:val="24"/>
              </w:rPr>
              <w:t> </w:t>
            </w:r>
            <w:r>
              <w:rPr>
                <w:sz w:val="24"/>
              </w:rPr>
              <w:t>– раз в</w:t>
            </w:r>
            <w:r>
              <w:rPr>
                <w:spacing w:val="-1"/>
                <w:sz w:val="24"/>
              </w:rPr>
              <w:t> </w:t>
            </w:r>
            <w:r>
              <w:rPr>
                <w:sz w:val="24"/>
              </w:rPr>
              <w:t>год и </w:t>
            </w:r>
            <w:r>
              <w:rPr>
                <w:spacing w:val="-4"/>
                <w:sz w:val="24"/>
              </w:rPr>
              <w:t>чаще;</w:t>
            </w:r>
            <w:r>
              <w:rPr>
                <w:sz w:val="24"/>
              </w:rPr>
              <w:tab/>
              <w:t>2</w:t>
            </w:r>
            <w:r>
              <w:rPr>
                <w:spacing w:val="-1"/>
                <w:sz w:val="24"/>
              </w:rPr>
              <w:t> </w:t>
            </w:r>
            <w:r>
              <w:rPr>
                <w:sz w:val="24"/>
              </w:rPr>
              <w:t>–</w:t>
            </w:r>
            <w:r>
              <w:rPr>
                <w:spacing w:val="-1"/>
                <w:sz w:val="24"/>
              </w:rPr>
              <w:t> </w:t>
            </w:r>
            <w:r>
              <w:rPr>
                <w:sz w:val="24"/>
              </w:rPr>
              <w:t>один</w:t>
            </w:r>
            <w:r>
              <w:rPr>
                <w:spacing w:val="-1"/>
                <w:sz w:val="24"/>
              </w:rPr>
              <w:t> </w:t>
            </w:r>
            <w:r>
              <w:rPr>
                <w:sz w:val="24"/>
              </w:rPr>
              <w:t>раз</w:t>
            </w:r>
            <w:r>
              <w:rPr>
                <w:spacing w:val="-1"/>
                <w:sz w:val="24"/>
              </w:rPr>
              <w:t> </w:t>
            </w:r>
            <w:r>
              <w:rPr>
                <w:sz w:val="24"/>
              </w:rPr>
              <w:t>в</w:t>
            </w:r>
            <w:r>
              <w:rPr>
                <w:spacing w:val="-2"/>
                <w:sz w:val="24"/>
              </w:rPr>
              <w:t> </w:t>
            </w:r>
            <w:r>
              <w:rPr>
                <w:sz w:val="24"/>
              </w:rPr>
              <w:t>несколько</w:t>
            </w:r>
            <w:r>
              <w:rPr>
                <w:spacing w:val="-4"/>
                <w:sz w:val="24"/>
              </w:rPr>
              <w:t> лет;</w:t>
            </w:r>
          </w:p>
          <w:p>
            <w:pPr>
              <w:pStyle w:val="TableParagraph"/>
              <w:spacing w:before="242"/>
              <w:ind w:left="107"/>
              <w:rPr>
                <w:sz w:val="24"/>
              </w:rPr>
            </w:pPr>
            <w:r>
              <w:rPr>
                <w:sz w:val="24"/>
              </w:rPr>
              <w:t>3</w:t>
            </w:r>
            <w:r>
              <w:rPr>
                <w:spacing w:val="-1"/>
                <w:sz w:val="24"/>
              </w:rPr>
              <w:t> </w:t>
            </w:r>
            <w:r>
              <w:rPr>
                <w:sz w:val="24"/>
              </w:rPr>
              <w:t>– давно</w:t>
            </w:r>
            <w:r>
              <w:rPr>
                <w:spacing w:val="-1"/>
                <w:sz w:val="24"/>
              </w:rPr>
              <w:t> </w:t>
            </w:r>
            <w:r>
              <w:rPr>
                <w:sz w:val="24"/>
              </w:rPr>
              <w:t>не</w:t>
            </w:r>
            <w:r>
              <w:rPr>
                <w:spacing w:val="-1"/>
                <w:sz w:val="24"/>
              </w:rPr>
              <w:t> </w:t>
            </w:r>
            <w:r>
              <w:rPr>
                <w:spacing w:val="-2"/>
                <w:sz w:val="24"/>
              </w:rPr>
              <w:t>был(а)</w:t>
            </w:r>
          </w:p>
        </w:tc>
      </w:tr>
      <w:tr>
        <w:trPr>
          <w:trHeight w:val="1036" w:hRule="atLeast"/>
        </w:trPr>
        <w:tc>
          <w:tcPr>
            <w:tcW w:w="3999" w:type="dxa"/>
          </w:tcPr>
          <w:p>
            <w:pPr>
              <w:pStyle w:val="TableParagraph"/>
              <w:spacing w:before="253"/>
              <w:ind w:left="107"/>
              <w:rPr>
                <w:sz w:val="24"/>
              </w:rPr>
            </w:pPr>
            <w:r>
              <w:rPr>
                <w:sz w:val="24"/>
              </w:rPr>
              <w:t>На</w:t>
            </w:r>
            <w:r>
              <w:rPr>
                <w:spacing w:val="-4"/>
                <w:sz w:val="24"/>
              </w:rPr>
              <w:t> </w:t>
            </w:r>
            <w:r>
              <w:rPr>
                <w:sz w:val="24"/>
              </w:rPr>
              <w:t>каком</w:t>
            </w:r>
            <w:r>
              <w:rPr>
                <w:spacing w:val="-2"/>
                <w:sz w:val="24"/>
              </w:rPr>
              <w:t> </w:t>
            </w:r>
            <w:r>
              <w:rPr>
                <w:sz w:val="24"/>
              </w:rPr>
              <w:t>языке</w:t>
            </w:r>
            <w:r>
              <w:rPr>
                <w:spacing w:val="-1"/>
                <w:sz w:val="24"/>
              </w:rPr>
              <w:t> </w:t>
            </w:r>
            <w:r>
              <w:rPr>
                <w:sz w:val="24"/>
              </w:rPr>
              <w:t>говорят</w:t>
            </w:r>
            <w:r>
              <w:rPr>
                <w:spacing w:val="-1"/>
                <w:sz w:val="24"/>
              </w:rPr>
              <w:t> </w:t>
            </w:r>
            <w:r>
              <w:rPr>
                <w:spacing w:val="-2"/>
                <w:sz w:val="24"/>
              </w:rPr>
              <w:t>дома?</w:t>
            </w:r>
          </w:p>
        </w:tc>
        <w:tc>
          <w:tcPr>
            <w:tcW w:w="5574" w:type="dxa"/>
          </w:tcPr>
          <w:p>
            <w:pPr>
              <w:pStyle w:val="TableParagraph"/>
              <w:tabs>
                <w:tab w:pos="2580" w:val="left" w:leader="none"/>
              </w:tabs>
              <w:spacing w:line="273" w:lineRule="exact"/>
              <w:ind w:left="107"/>
              <w:rPr>
                <w:sz w:val="24"/>
              </w:rPr>
            </w:pPr>
            <w:r>
              <w:rPr>
                <w:sz w:val="24"/>
              </w:rPr>
              <w:t>1 – только</w:t>
            </w:r>
            <w:r>
              <w:rPr>
                <w:spacing w:val="-3"/>
                <w:sz w:val="24"/>
              </w:rPr>
              <w:t> </w:t>
            </w:r>
            <w:r>
              <w:rPr>
                <w:sz w:val="24"/>
              </w:rPr>
              <w:t>на</w:t>
            </w:r>
            <w:r>
              <w:rPr>
                <w:spacing w:val="-1"/>
                <w:sz w:val="24"/>
              </w:rPr>
              <w:t> </w:t>
            </w:r>
            <w:r>
              <w:rPr>
                <w:spacing w:val="-2"/>
                <w:sz w:val="24"/>
              </w:rPr>
              <w:t>родном;</w:t>
            </w:r>
            <w:r>
              <w:rPr>
                <w:sz w:val="24"/>
              </w:rPr>
              <w:tab/>
              <w:t>2 –</w:t>
            </w:r>
            <w:r>
              <w:rPr>
                <w:spacing w:val="-1"/>
                <w:sz w:val="24"/>
              </w:rPr>
              <w:t> </w:t>
            </w:r>
            <w:r>
              <w:rPr>
                <w:sz w:val="24"/>
              </w:rPr>
              <w:t>на</w:t>
            </w:r>
            <w:r>
              <w:rPr>
                <w:spacing w:val="-1"/>
                <w:sz w:val="24"/>
              </w:rPr>
              <w:t> </w:t>
            </w:r>
            <w:r>
              <w:rPr>
                <w:sz w:val="24"/>
              </w:rPr>
              <w:t>русском</w:t>
            </w:r>
            <w:r>
              <w:rPr>
                <w:spacing w:val="-2"/>
                <w:sz w:val="24"/>
              </w:rPr>
              <w:t> </w:t>
            </w:r>
            <w:r>
              <w:rPr>
                <w:sz w:val="24"/>
              </w:rPr>
              <w:t>и </w:t>
            </w:r>
            <w:r>
              <w:rPr>
                <w:spacing w:val="-2"/>
                <w:sz w:val="24"/>
              </w:rPr>
              <w:t>родном;</w:t>
            </w:r>
          </w:p>
          <w:p>
            <w:pPr>
              <w:pStyle w:val="TableParagraph"/>
              <w:spacing w:before="240"/>
              <w:ind w:left="107"/>
              <w:rPr>
                <w:sz w:val="24"/>
              </w:rPr>
            </w:pPr>
            <w:r>
              <w:rPr>
                <w:sz w:val="24"/>
              </w:rPr>
              <w:t>3 –</w:t>
            </w:r>
            <w:r>
              <w:rPr>
                <w:spacing w:val="60"/>
                <w:sz w:val="24"/>
              </w:rPr>
              <w:t> </w:t>
            </w:r>
            <w:r>
              <w:rPr>
                <w:sz w:val="24"/>
              </w:rPr>
              <w:t>только</w:t>
            </w:r>
            <w:r>
              <w:rPr>
                <w:spacing w:val="-3"/>
                <w:sz w:val="24"/>
              </w:rPr>
              <w:t> </w:t>
            </w:r>
            <w:r>
              <w:rPr>
                <w:sz w:val="24"/>
              </w:rPr>
              <w:t>на</w:t>
            </w:r>
            <w:r>
              <w:rPr>
                <w:spacing w:val="-1"/>
                <w:sz w:val="24"/>
              </w:rPr>
              <w:t> </w:t>
            </w:r>
            <w:r>
              <w:rPr>
                <w:spacing w:val="-2"/>
                <w:sz w:val="24"/>
              </w:rPr>
              <w:t>русском</w:t>
            </w:r>
          </w:p>
        </w:tc>
      </w:tr>
      <w:tr>
        <w:trPr>
          <w:trHeight w:val="835" w:hRule="atLeast"/>
        </w:trPr>
        <w:tc>
          <w:tcPr>
            <w:tcW w:w="3999" w:type="dxa"/>
          </w:tcPr>
          <w:p>
            <w:pPr>
              <w:pStyle w:val="TableParagraph"/>
              <w:spacing w:line="276" w:lineRule="auto"/>
              <w:ind w:left="107" w:right="192"/>
              <w:rPr>
                <w:sz w:val="24"/>
              </w:rPr>
            </w:pPr>
            <w:r>
              <w:rPr>
                <w:sz w:val="24"/>
              </w:rPr>
              <w:t>Сколько</w:t>
            </w:r>
            <w:r>
              <w:rPr>
                <w:spacing w:val="-10"/>
                <w:sz w:val="24"/>
              </w:rPr>
              <w:t> </w:t>
            </w:r>
            <w:r>
              <w:rPr>
                <w:sz w:val="24"/>
              </w:rPr>
              <w:t>человек</w:t>
            </w:r>
            <w:r>
              <w:rPr>
                <w:spacing w:val="-10"/>
                <w:sz w:val="24"/>
              </w:rPr>
              <w:t> </w:t>
            </w:r>
            <w:r>
              <w:rPr>
                <w:sz w:val="24"/>
              </w:rPr>
              <w:t>в</w:t>
            </w:r>
            <w:r>
              <w:rPr>
                <w:spacing w:val="-11"/>
                <w:sz w:val="24"/>
              </w:rPr>
              <w:t> </w:t>
            </w:r>
            <w:r>
              <w:rPr>
                <w:sz w:val="24"/>
              </w:rPr>
              <w:t>семье,</w:t>
            </w:r>
            <w:r>
              <w:rPr>
                <w:spacing w:val="-10"/>
                <w:sz w:val="24"/>
              </w:rPr>
              <w:t> </w:t>
            </w:r>
            <w:r>
              <w:rPr>
                <w:sz w:val="24"/>
              </w:rPr>
              <w:t>полная или неполная семья</w:t>
            </w:r>
          </w:p>
        </w:tc>
        <w:tc>
          <w:tcPr>
            <w:tcW w:w="5574" w:type="dxa"/>
          </w:tcPr>
          <w:p>
            <w:pPr>
              <w:pStyle w:val="TableParagraph"/>
              <w:rPr>
                <w:sz w:val="24"/>
              </w:rPr>
            </w:pPr>
          </w:p>
        </w:tc>
      </w:tr>
    </w:tbl>
    <w:p>
      <w:pPr>
        <w:pStyle w:val="TableParagraph"/>
        <w:spacing w:after="0"/>
        <w:rPr>
          <w:sz w:val="24"/>
        </w:rPr>
        <w:sectPr>
          <w:pgSz w:w="11910" w:h="16840"/>
          <w:pgMar w:header="0" w:footer="970" w:top="1040" w:bottom="1493" w:left="1417" w:right="283"/>
        </w:sect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99"/>
        <w:gridCol w:w="1289"/>
        <w:gridCol w:w="2196"/>
        <w:gridCol w:w="2087"/>
      </w:tblGrid>
      <w:tr>
        <w:trPr>
          <w:trHeight w:val="835" w:hRule="atLeast"/>
        </w:trPr>
        <w:tc>
          <w:tcPr>
            <w:tcW w:w="3999" w:type="dxa"/>
          </w:tcPr>
          <w:p>
            <w:pPr>
              <w:pStyle w:val="TableParagraph"/>
              <w:spacing w:line="276" w:lineRule="auto"/>
              <w:ind w:left="107" w:right="192"/>
              <w:rPr>
                <w:sz w:val="24"/>
              </w:rPr>
            </w:pPr>
            <w:r>
              <w:rPr>
                <w:sz w:val="24"/>
              </w:rPr>
              <w:t>Сколько</w:t>
            </w:r>
            <w:r>
              <w:rPr>
                <w:spacing w:val="-8"/>
                <w:sz w:val="24"/>
              </w:rPr>
              <w:t> </w:t>
            </w:r>
            <w:r>
              <w:rPr>
                <w:sz w:val="24"/>
              </w:rPr>
              <w:t>братьев</w:t>
            </w:r>
            <w:r>
              <w:rPr>
                <w:spacing w:val="-9"/>
                <w:sz w:val="24"/>
              </w:rPr>
              <w:t> </w:t>
            </w:r>
            <w:r>
              <w:rPr>
                <w:sz w:val="24"/>
              </w:rPr>
              <w:t>и/или</w:t>
            </w:r>
            <w:r>
              <w:rPr>
                <w:spacing w:val="-10"/>
                <w:sz w:val="24"/>
              </w:rPr>
              <w:t> </w:t>
            </w:r>
            <w:r>
              <w:rPr>
                <w:sz w:val="24"/>
              </w:rPr>
              <w:t>сестер</w:t>
            </w:r>
            <w:r>
              <w:rPr>
                <w:spacing w:val="40"/>
                <w:sz w:val="24"/>
              </w:rPr>
              <w:t> </w:t>
            </w:r>
            <w:r>
              <w:rPr>
                <w:sz w:val="24"/>
              </w:rPr>
              <w:t>в </w:t>
            </w:r>
            <w:r>
              <w:rPr>
                <w:spacing w:val="-4"/>
                <w:sz w:val="24"/>
              </w:rPr>
              <w:t>семье</w:t>
            </w:r>
          </w:p>
        </w:tc>
        <w:tc>
          <w:tcPr>
            <w:tcW w:w="5572" w:type="dxa"/>
            <w:gridSpan w:val="3"/>
          </w:tcPr>
          <w:p>
            <w:pPr>
              <w:pStyle w:val="TableParagraph"/>
              <w:rPr>
                <w:sz w:val="22"/>
              </w:rPr>
            </w:pPr>
          </w:p>
        </w:tc>
      </w:tr>
      <w:tr>
        <w:trPr>
          <w:trHeight w:val="1036" w:hRule="atLeast"/>
        </w:trPr>
        <w:tc>
          <w:tcPr>
            <w:tcW w:w="3999" w:type="dxa"/>
          </w:tcPr>
          <w:p>
            <w:pPr>
              <w:pStyle w:val="TableParagraph"/>
              <w:spacing w:before="253"/>
              <w:ind w:left="107"/>
              <w:rPr>
                <w:sz w:val="24"/>
              </w:rPr>
            </w:pPr>
            <w:r>
              <w:rPr>
                <w:sz w:val="24"/>
              </w:rPr>
              <w:t>Статус</w:t>
            </w:r>
            <w:r>
              <w:rPr>
                <w:spacing w:val="-3"/>
                <w:sz w:val="24"/>
              </w:rPr>
              <w:t> </w:t>
            </w:r>
            <w:r>
              <w:rPr>
                <w:sz w:val="24"/>
              </w:rPr>
              <w:t>в</w:t>
            </w:r>
            <w:r>
              <w:rPr>
                <w:spacing w:val="-1"/>
                <w:sz w:val="24"/>
              </w:rPr>
              <w:t> </w:t>
            </w:r>
            <w:r>
              <w:rPr>
                <w:sz w:val="24"/>
              </w:rPr>
              <w:t>семье</w:t>
            </w:r>
            <w:r>
              <w:rPr>
                <w:spacing w:val="-2"/>
                <w:sz w:val="24"/>
              </w:rPr>
              <w:t> </w:t>
            </w:r>
            <w:r>
              <w:rPr>
                <w:sz w:val="24"/>
              </w:rPr>
              <w:t>(обвести</w:t>
            </w:r>
            <w:r>
              <w:rPr>
                <w:spacing w:val="-1"/>
                <w:sz w:val="24"/>
              </w:rPr>
              <w:t> </w:t>
            </w:r>
            <w:r>
              <w:rPr>
                <w:spacing w:val="-2"/>
                <w:sz w:val="24"/>
              </w:rPr>
              <w:t>цифру)</w:t>
            </w:r>
          </w:p>
        </w:tc>
        <w:tc>
          <w:tcPr>
            <w:tcW w:w="5572" w:type="dxa"/>
            <w:gridSpan w:val="3"/>
          </w:tcPr>
          <w:p>
            <w:pPr>
              <w:pStyle w:val="TableParagraph"/>
              <w:tabs>
                <w:tab w:pos="3180" w:val="left" w:leader="none"/>
              </w:tabs>
              <w:spacing w:line="273" w:lineRule="exact"/>
              <w:ind w:left="107"/>
              <w:rPr>
                <w:sz w:val="24"/>
              </w:rPr>
            </w:pPr>
            <w:r>
              <w:rPr>
                <w:sz w:val="24"/>
              </w:rPr>
              <w:t>1</w:t>
            </w:r>
            <w:r>
              <w:rPr>
                <w:spacing w:val="-2"/>
                <w:sz w:val="24"/>
              </w:rPr>
              <w:t> </w:t>
            </w:r>
            <w:r>
              <w:rPr>
                <w:sz w:val="24"/>
              </w:rPr>
              <w:t>–</w:t>
            </w:r>
            <w:r>
              <w:rPr>
                <w:spacing w:val="-1"/>
                <w:sz w:val="24"/>
              </w:rPr>
              <w:t> </w:t>
            </w:r>
            <w:r>
              <w:rPr>
                <w:sz w:val="24"/>
              </w:rPr>
              <w:t>единственный</w:t>
            </w:r>
            <w:r>
              <w:rPr>
                <w:spacing w:val="-1"/>
                <w:sz w:val="24"/>
              </w:rPr>
              <w:t> </w:t>
            </w:r>
            <w:r>
              <w:rPr>
                <w:spacing w:val="-2"/>
                <w:sz w:val="24"/>
              </w:rPr>
              <w:t>ребенок;</w:t>
            </w:r>
            <w:r>
              <w:rPr>
                <w:sz w:val="24"/>
              </w:rPr>
              <w:tab/>
              <w:t>2 – </w:t>
            </w:r>
            <w:r>
              <w:rPr>
                <w:spacing w:val="-2"/>
                <w:sz w:val="24"/>
              </w:rPr>
              <w:t>младший;</w:t>
            </w:r>
          </w:p>
          <w:p>
            <w:pPr>
              <w:pStyle w:val="TableParagraph"/>
              <w:tabs>
                <w:tab w:pos="3174" w:val="left" w:leader="none"/>
              </w:tabs>
              <w:spacing w:before="240"/>
              <w:ind w:left="107"/>
              <w:rPr>
                <w:sz w:val="24"/>
              </w:rPr>
            </w:pPr>
            <w:r>
              <w:rPr>
                <w:sz w:val="24"/>
              </w:rPr>
              <w:t>3</w:t>
            </w:r>
            <w:r>
              <w:rPr>
                <w:spacing w:val="-2"/>
                <w:sz w:val="24"/>
              </w:rPr>
              <w:t> </w:t>
            </w:r>
            <w:r>
              <w:rPr>
                <w:sz w:val="24"/>
              </w:rPr>
              <w:t>– </w:t>
            </w:r>
            <w:r>
              <w:rPr>
                <w:spacing w:val="-2"/>
                <w:sz w:val="24"/>
              </w:rPr>
              <w:t>средний;</w:t>
            </w:r>
            <w:r>
              <w:rPr>
                <w:sz w:val="24"/>
              </w:rPr>
              <w:tab/>
              <w:t>4</w:t>
            </w:r>
            <w:r>
              <w:rPr>
                <w:spacing w:val="1"/>
                <w:sz w:val="24"/>
              </w:rPr>
              <w:t> </w:t>
            </w:r>
            <w:r>
              <w:rPr>
                <w:sz w:val="24"/>
              </w:rPr>
              <w:t>– </w:t>
            </w:r>
            <w:r>
              <w:rPr>
                <w:spacing w:val="-2"/>
                <w:sz w:val="24"/>
              </w:rPr>
              <w:t>старший.</w:t>
            </w:r>
          </w:p>
        </w:tc>
      </w:tr>
      <w:tr>
        <w:trPr>
          <w:trHeight w:val="1350" w:hRule="atLeast"/>
        </w:trPr>
        <w:tc>
          <w:tcPr>
            <w:tcW w:w="3999" w:type="dxa"/>
          </w:tcPr>
          <w:p>
            <w:pPr>
              <w:pStyle w:val="TableParagraph"/>
              <w:spacing w:line="276" w:lineRule="auto" w:before="253"/>
              <w:ind w:left="107"/>
              <w:rPr>
                <w:sz w:val="24"/>
              </w:rPr>
            </w:pPr>
            <w:r>
              <w:rPr>
                <w:sz w:val="24"/>
              </w:rPr>
              <w:t>Успеваемость</w:t>
            </w:r>
            <w:r>
              <w:rPr>
                <w:spacing w:val="-15"/>
                <w:sz w:val="24"/>
              </w:rPr>
              <w:t> </w:t>
            </w:r>
            <w:r>
              <w:rPr>
                <w:sz w:val="24"/>
              </w:rPr>
              <w:t>(в-целом,</w:t>
            </w:r>
            <w:r>
              <w:rPr>
                <w:spacing w:val="-15"/>
                <w:sz w:val="24"/>
              </w:rPr>
              <w:t> </w:t>
            </w:r>
            <w:r>
              <w:rPr>
                <w:sz w:val="24"/>
              </w:rPr>
              <w:t>если известно, обвести цифру)</w:t>
            </w:r>
          </w:p>
        </w:tc>
        <w:tc>
          <w:tcPr>
            <w:tcW w:w="5572" w:type="dxa"/>
            <w:gridSpan w:val="3"/>
          </w:tcPr>
          <w:p>
            <w:pPr>
              <w:pStyle w:val="TableParagraph"/>
              <w:tabs>
                <w:tab w:pos="3081" w:val="left" w:leader="none"/>
              </w:tabs>
              <w:spacing w:line="276" w:lineRule="auto"/>
              <w:ind w:left="107" w:right="2175"/>
              <w:rPr>
                <w:sz w:val="24"/>
              </w:rPr>
            </w:pPr>
            <w:r>
              <w:rPr>
                <w:sz w:val="24"/>
              </w:rPr>
              <w:t>1 – неудовлетворительная;</w:t>
              <w:tab/>
              <w:t>2</w:t>
            </w:r>
            <w:r>
              <w:rPr>
                <w:spacing w:val="-15"/>
                <w:sz w:val="24"/>
              </w:rPr>
              <w:t> </w:t>
            </w:r>
            <w:r>
              <w:rPr>
                <w:sz w:val="24"/>
              </w:rPr>
              <w:t>– </w:t>
            </w:r>
            <w:r>
              <w:rPr>
                <w:spacing w:val="-2"/>
                <w:sz w:val="24"/>
              </w:rPr>
              <w:t>удовлетворительна;</w:t>
            </w:r>
          </w:p>
          <w:p>
            <w:pPr>
              <w:pStyle w:val="TableParagraph"/>
              <w:tabs>
                <w:tab w:pos="3095" w:val="left" w:leader="none"/>
              </w:tabs>
              <w:spacing w:before="194"/>
              <w:ind w:left="107"/>
              <w:rPr>
                <w:sz w:val="24"/>
              </w:rPr>
            </w:pPr>
            <w:r>
              <w:rPr>
                <w:sz w:val="24"/>
              </w:rPr>
              <w:t>3 – </w:t>
            </w:r>
            <w:r>
              <w:rPr>
                <w:spacing w:val="-2"/>
                <w:sz w:val="24"/>
              </w:rPr>
              <w:t>хорошая;</w:t>
            </w:r>
            <w:r>
              <w:rPr>
                <w:sz w:val="24"/>
              </w:rPr>
              <w:tab/>
              <w:t>4</w:t>
            </w:r>
            <w:r>
              <w:rPr>
                <w:spacing w:val="1"/>
                <w:sz w:val="24"/>
              </w:rPr>
              <w:t> </w:t>
            </w:r>
            <w:r>
              <w:rPr>
                <w:sz w:val="24"/>
              </w:rPr>
              <w:t>– </w:t>
            </w:r>
            <w:r>
              <w:rPr>
                <w:spacing w:val="-2"/>
                <w:sz w:val="24"/>
              </w:rPr>
              <w:t>отличная.</w:t>
            </w:r>
          </w:p>
        </w:tc>
      </w:tr>
      <w:tr>
        <w:trPr>
          <w:trHeight w:val="1036" w:hRule="atLeast"/>
        </w:trPr>
        <w:tc>
          <w:tcPr>
            <w:tcW w:w="3999" w:type="dxa"/>
          </w:tcPr>
          <w:p>
            <w:pPr>
              <w:pStyle w:val="TableParagraph"/>
              <w:spacing w:line="276" w:lineRule="auto" w:before="95"/>
              <w:ind w:left="107" w:right="192"/>
              <w:rPr>
                <w:sz w:val="24"/>
              </w:rPr>
            </w:pPr>
            <w:r>
              <w:rPr>
                <w:sz w:val="24"/>
              </w:rPr>
              <w:t>Кто помогает делать уроки (возможно</w:t>
            </w:r>
            <w:r>
              <w:rPr>
                <w:spacing w:val="-15"/>
                <w:sz w:val="24"/>
              </w:rPr>
              <w:t> </w:t>
            </w:r>
            <w:r>
              <w:rPr>
                <w:sz w:val="24"/>
              </w:rPr>
              <w:t>несколько</w:t>
            </w:r>
            <w:r>
              <w:rPr>
                <w:spacing w:val="-15"/>
                <w:sz w:val="24"/>
              </w:rPr>
              <w:t> </w:t>
            </w:r>
            <w:r>
              <w:rPr>
                <w:sz w:val="24"/>
              </w:rPr>
              <w:t>вариантов)</w:t>
            </w:r>
          </w:p>
        </w:tc>
        <w:tc>
          <w:tcPr>
            <w:tcW w:w="5572" w:type="dxa"/>
            <w:gridSpan w:val="3"/>
          </w:tcPr>
          <w:p>
            <w:pPr>
              <w:pStyle w:val="TableParagraph"/>
              <w:tabs>
                <w:tab w:pos="2086" w:val="left" w:leader="none"/>
              </w:tabs>
              <w:spacing w:line="273" w:lineRule="exact"/>
              <w:ind w:left="107"/>
              <w:rPr>
                <w:sz w:val="24"/>
              </w:rPr>
            </w:pPr>
            <w:r>
              <w:rPr>
                <w:sz w:val="24"/>
              </w:rPr>
              <w:t>1 – </w:t>
            </w:r>
            <w:r>
              <w:rPr>
                <w:spacing w:val="-2"/>
                <w:sz w:val="24"/>
              </w:rPr>
              <w:t>родители;</w:t>
            </w:r>
            <w:r>
              <w:rPr>
                <w:sz w:val="24"/>
              </w:rPr>
              <w:tab/>
              <w:t>2</w:t>
            </w:r>
            <w:r>
              <w:rPr>
                <w:spacing w:val="-1"/>
                <w:sz w:val="24"/>
              </w:rPr>
              <w:t> </w:t>
            </w:r>
            <w:r>
              <w:rPr>
                <w:sz w:val="24"/>
              </w:rPr>
              <w:t>–</w:t>
            </w:r>
            <w:r>
              <w:rPr>
                <w:spacing w:val="-3"/>
                <w:sz w:val="24"/>
              </w:rPr>
              <w:t> </w:t>
            </w:r>
            <w:r>
              <w:rPr>
                <w:spacing w:val="-2"/>
                <w:sz w:val="24"/>
              </w:rPr>
              <w:t>братья/сестры;</w:t>
            </w:r>
          </w:p>
          <w:p>
            <w:pPr>
              <w:pStyle w:val="TableParagraph"/>
              <w:tabs>
                <w:tab w:pos="4205" w:val="left" w:leader="none"/>
              </w:tabs>
              <w:spacing w:before="240"/>
              <w:ind w:left="107"/>
              <w:rPr>
                <w:sz w:val="24"/>
              </w:rPr>
            </w:pPr>
            <w:r>
              <w:rPr>
                <w:sz w:val="24"/>
              </w:rPr>
              <w:t>3</w:t>
            </w:r>
            <w:r>
              <w:rPr>
                <w:spacing w:val="-1"/>
                <w:sz w:val="24"/>
              </w:rPr>
              <w:t> </w:t>
            </w:r>
            <w:r>
              <w:rPr>
                <w:sz w:val="24"/>
              </w:rPr>
              <w:t>–</w:t>
            </w:r>
            <w:r>
              <w:rPr>
                <w:spacing w:val="-1"/>
                <w:sz w:val="24"/>
              </w:rPr>
              <w:t> </w:t>
            </w:r>
            <w:r>
              <w:rPr>
                <w:sz w:val="24"/>
              </w:rPr>
              <w:t>родственники;</w:t>
            </w:r>
            <w:r>
              <w:rPr>
                <w:spacing w:val="59"/>
                <w:sz w:val="24"/>
              </w:rPr>
              <w:t> </w:t>
            </w:r>
            <w:r>
              <w:rPr>
                <w:sz w:val="24"/>
              </w:rPr>
              <w:t>4 – </w:t>
            </w:r>
            <w:r>
              <w:rPr>
                <w:spacing w:val="-2"/>
                <w:sz w:val="24"/>
              </w:rPr>
              <w:t>сверстники;</w:t>
            </w:r>
            <w:r>
              <w:rPr>
                <w:sz w:val="24"/>
              </w:rPr>
              <w:tab/>
              <w:t>5</w:t>
            </w:r>
            <w:r>
              <w:rPr>
                <w:spacing w:val="1"/>
                <w:sz w:val="24"/>
              </w:rPr>
              <w:t> </w:t>
            </w:r>
            <w:r>
              <w:rPr>
                <w:sz w:val="24"/>
              </w:rPr>
              <w:t>–</w:t>
            </w:r>
            <w:r>
              <w:rPr>
                <w:spacing w:val="-3"/>
                <w:sz w:val="24"/>
              </w:rPr>
              <w:t> </w:t>
            </w:r>
            <w:r>
              <w:rPr>
                <w:spacing w:val="-2"/>
                <w:sz w:val="24"/>
              </w:rPr>
              <w:t>никто.</w:t>
            </w:r>
          </w:p>
        </w:tc>
      </w:tr>
      <w:tr>
        <w:trPr>
          <w:trHeight w:val="1034" w:hRule="atLeast"/>
        </w:trPr>
        <w:tc>
          <w:tcPr>
            <w:tcW w:w="3999" w:type="dxa"/>
          </w:tcPr>
          <w:p>
            <w:pPr>
              <w:pStyle w:val="TableParagraph"/>
              <w:spacing w:line="278" w:lineRule="auto" w:before="92"/>
              <w:ind w:left="107"/>
              <w:rPr>
                <w:sz w:val="24"/>
              </w:rPr>
            </w:pPr>
            <w:r>
              <w:rPr>
                <w:sz w:val="24"/>
              </w:rPr>
              <w:t>Статус</w:t>
            </w:r>
            <w:r>
              <w:rPr>
                <w:spacing w:val="-13"/>
                <w:sz w:val="24"/>
              </w:rPr>
              <w:t> </w:t>
            </w:r>
            <w:r>
              <w:rPr>
                <w:sz w:val="24"/>
              </w:rPr>
              <w:t>по</w:t>
            </w:r>
            <w:r>
              <w:rPr>
                <w:spacing w:val="-12"/>
                <w:sz w:val="24"/>
              </w:rPr>
              <w:t> </w:t>
            </w:r>
            <w:r>
              <w:rPr>
                <w:sz w:val="24"/>
              </w:rPr>
              <w:t>социометрическом</w:t>
            </w:r>
            <w:r>
              <w:rPr>
                <w:spacing w:val="-13"/>
                <w:sz w:val="24"/>
              </w:rPr>
              <w:t> </w:t>
            </w:r>
            <w:r>
              <w:rPr>
                <w:sz w:val="24"/>
              </w:rPr>
              <w:t>тесту (обвести цифру)</w:t>
            </w:r>
          </w:p>
        </w:tc>
        <w:tc>
          <w:tcPr>
            <w:tcW w:w="5572" w:type="dxa"/>
            <w:gridSpan w:val="3"/>
          </w:tcPr>
          <w:p>
            <w:pPr>
              <w:pStyle w:val="TableParagraph"/>
              <w:tabs>
                <w:tab w:pos="3058" w:val="left" w:leader="none"/>
              </w:tabs>
              <w:spacing w:line="270" w:lineRule="exact"/>
              <w:ind w:left="107"/>
              <w:rPr>
                <w:sz w:val="24"/>
              </w:rPr>
            </w:pPr>
            <w:r>
              <w:rPr>
                <w:sz w:val="24"/>
              </w:rPr>
              <w:t>1 – </w:t>
            </w:r>
            <w:r>
              <w:rPr>
                <w:spacing w:val="-2"/>
                <w:sz w:val="24"/>
              </w:rPr>
              <w:t>высокостатусный;</w:t>
            </w:r>
            <w:r>
              <w:rPr>
                <w:sz w:val="24"/>
              </w:rPr>
              <w:tab/>
              <w:t>2</w:t>
            </w:r>
            <w:r>
              <w:rPr>
                <w:spacing w:val="1"/>
                <w:sz w:val="24"/>
              </w:rPr>
              <w:t> </w:t>
            </w:r>
            <w:r>
              <w:rPr>
                <w:sz w:val="24"/>
              </w:rPr>
              <w:t>– </w:t>
            </w:r>
            <w:r>
              <w:rPr>
                <w:spacing w:val="-2"/>
                <w:sz w:val="24"/>
              </w:rPr>
              <w:t>среднестатусный;</w:t>
            </w:r>
          </w:p>
          <w:p>
            <w:pPr>
              <w:pStyle w:val="TableParagraph"/>
              <w:tabs>
                <w:tab w:pos="3090" w:val="left" w:leader="none"/>
              </w:tabs>
              <w:spacing w:before="240"/>
              <w:ind w:left="107"/>
              <w:rPr>
                <w:sz w:val="24"/>
              </w:rPr>
            </w:pPr>
            <w:r>
              <w:rPr>
                <w:sz w:val="24"/>
              </w:rPr>
              <w:t>3 – </w:t>
            </w:r>
            <w:r>
              <w:rPr>
                <w:spacing w:val="-2"/>
                <w:sz w:val="24"/>
              </w:rPr>
              <w:t>низкостатусный;</w:t>
            </w:r>
            <w:r>
              <w:rPr>
                <w:sz w:val="24"/>
              </w:rPr>
              <w:tab/>
              <w:t>4</w:t>
            </w:r>
            <w:r>
              <w:rPr>
                <w:spacing w:val="1"/>
                <w:sz w:val="24"/>
              </w:rPr>
              <w:t> </w:t>
            </w:r>
            <w:r>
              <w:rPr>
                <w:sz w:val="24"/>
              </w:rPr>
              <w:t>– </w:t>
            </w:r>
            <w:r>
              <w:rPr>
                <w:spacing w:val="-2"/>
                <w:sz w:val="24"/>
              </w:rPr>
              <w:t>отвергаемый.</w:t>
            </w:r>
          </w:p>
        </w:tc>
      </w:tr>
      <w:tr>
        <w:trPr>
          <w:trHeight w:val="681" w:hRule="atLeast"/>
        </w:trPr>
        <w:tc>
          <w:tcPr>
            <w:tcW w:w="3999" w:type="dxa"/>
          </w:tcPr>
          <w:p>
            <w:pPr>
              <w:pStyle w:val="TableParagraph"/>
              <w:spacing w:before="75"/>
              <w:ind w:left="107"/>
              <w:rPr>
                <w:sz w:val="24"/>
              </w:rPr>
            </w:pPr>
            <w:r>
              <w:rPr>
                <w:sz w:val="24"/>
              </w:rPr>
              <w:t>Сколько</w:t>
            </w:r>
            <w:r>
              <w:rPr>
                <w:spacing w:val="-3"/>
                <w:sz w:val="24"/>
              </w:rPr>
              <w:t> </w:t>
            </w:r>
            <w:r>
              <w:rPr>
                <w:sz w:val="24"/>
              </w:rPr>
              <w:t>детей</w:t>
            </w:r>
            <w:r>
              <w:rPr>
                <w:spacing w:val="-2"/>
                <w:sz w:val="24"/>
              </w:rPr>
              <w:t> </w:t>
            </w:r>
            <w:r>
              <w:rPr>
                <w:sz w:val="24"/>
              </w:rPr>
              <w:t>в</w:t>
            </w:r>
            <w:r>
              <w:rPr>
                <w:spacing w:val="-3"/>
                <w:sz w:val="24"/>
              </w:rPr>
              <w:t> </w:t>
            </w:r>
            <w:r>
              <w:rPr>
                <w:spacing w:val="-2"/>
                <w:sz w:val="24"/>
              </w:rPr>
              <w:t>классе</w:t>
            </w:r>
          </w:p>
        </w:tc>
        <w:tc>
          <w:tcPr>
            <w:tcW w:w="1289" w:type="dxa"/>
          </w:tcPr>
          <w:p>
            <w:pPr>
              <w:pStyle w:val="TableParagraph"/>
              <w:tabs>
                <w:tab w:pos="1232" w:val="left" w:leader="none"/>
              </w:tabs>
              <w:spacing w:before="75"/>
              <w:ind w:left="107"/>
              <w:rPr>
                <w:sz w:val="24"/>
              </w:rPr>
            </w:pPr>
            <w:r>
              <w:rPr>
                <w:spacing w:val="-2"/>
                <w:sz w:val="24"/>
              </w:rPr>
              <w:t>Всего</w:t>
            </w:r>
            <w:r>
              <w:rPr>
                <w:sz w:val="24"/>
                <w:u w:val="single"/>
              </w:rPr>
              <w:tab/>
            </w:r>
          </w:p>
        </w:tc>
        <w:tc>
          <w:tcPr>
            <w:tcW w:w="2196" w:type="dxa"/>
          </w:tcPr>
          <w:p>
            <w:pPr>
              <w:pStyle w:val="TableParagraph"/>
              <w:tabs>
                <w:tab w:pos="2121" w:val="left" w:leader="none"/>
              </w:tabs>
              <w:spacing w:before="75"/>
              <w:ind w:left="105"/>
              <w:rPr>
                <w:sz w:val="24"/>
              </w:rPr>
            </w:pPr>
            <w:r>
              <w:rPr>
                <w:sz w:val="24"/>
              </w:rPr>
              <w:t>Иностр.</w:t>
            </w:r>
            <w:r>
              <w:rPr>
                <w:spacing w:val="-2"/>
                <w:sz w:val="24"/>
              </w:rPr>
              <w:t> граждан</w:t>
            </w:r>
            <w:r>
              <w:rPr>
                <w:sz w:val="24"/>
                <w:u w:val="single"/>
              </w:rPr>
              <w:tab/>
            </w:r>
          </w:p>
        </w:tc>
        <w:tc>
          <w:tcPr>
            <w:tcW w:w="2087" w:type="dxa"/>
          </w:tcPr>
          <w:p>
            <w:pPr>
              <w:pStyle w:val="TableParagraph"/>
              <w:tabs>
                <w:tab w:pos="2028" w:val="left" w:leader="none"/>
              </w:tabs>
              <w:spacing w:before="75"/>
              <w:ind w:left="106"/>
              <w:rPr>
                <w:sz w:val="24"/>
              </w:rPr>
            </w:pPr>
            <w:r>
              <w:rPr>
                <w:sz w:val="24"/>
              </w:rPr>
              <w:t>С</w:t>
            </w:r>
            <w:r>
              <w:rPr>
                <w:spacing w:val="-1"/>
                <w:sz w:val="24"/>
              </w:rPr>
              <w:t> </w:t>
            </w:r>
            <w:r>
              <w:rPr>
                <w:sz w:val="24"/>
              </w:rPr>
              <w:t>мигр. </w:t>
            </w:r>
            <w:r>
              <w:rPr>
                <w:spacing w:val="-2"/>
                <w:sz w:val="24"/>
              </w:rPr>
              <w:t>опытом</w:t>
            </w:r>
            <w:r>
              <w:rPr>
                <w:sz w:val="24"/>
                <w:u w:val="single"/>
              </w:rPr>
              <w:tab/>
            </w:r>
          </w:p>
        </w:tc>
      </w:tr>
    </w:tbl>
    <w:p>
      <w:pPr>
        <w:pStyle w:val="TableParagraph"/>
        <w:spacing w:after="0"/>
        <w:rPr>
          <w:sz w:val="24"/>
        </w:rPr>
        <w:sectPr>
          <w:type w:val="continuous"/>
          <w:pgSz w:w="11910" w:h="16840"/>
          <w:pgMar w:header="0" w:footer="970" w:top="1100" w:bottom="1220" w:left="1417" w:right="283"/>
        </w:sectPr>
      </w:pPr>
    </w:p>
    <w:p>
      <w:pPr>
        <w:pStyle w:val="Heading2"/>
        <w:ind w:left="285"/>
      </w:pPr>
      <w:bookmarkStart w:name="_bookmark33" w:id="35"/>
      <w:bookmarkEnd w:id="35"/>
      <w:r>
        <w:rPr>
          <w:b w:val="0"/>
        </w:rPr>
      </w:r>
      <w:r>
        <w:rPr>
          <w:spacing w:val="-2"/>
        </w:rPr>
        <w:t>Библиография</w:t>
      </w:r>
    </w:p>
    <w:p>
      <w:pPr>
        <w:pStyle w:val="BodyText"/>
        <w:spacing w:before="177"/>
        <w:ind w:left="0" w:right="0" w:firstLine="0"/>
        <w:jc w:val="left"/>
        <w:rPr>
          <w:b/>
          <w:sz w:val="28"/>
        </w:rPr>
      </w:pPr>
    </w:p>
    <w:p>
      <w:pPr>
        <w:pStyle w:val="Heading4"/>
        <w:numPr>
          <w:ilvl w:val="0"/>
          <w:numId w:val="33"/>
        </w:numPr>
        <w:tabs>
          <w:tab w:pos="928" w:val="left" w:leader="none"/>
        </w:tabs>
        <w:spacing w:line="240" w:lineRule="auto" w:before="0" w:after="0"/>
        <w:ind w:left="928" w:right="560" w:hanging="360"/>
        <w:jc w:val="both"/>
      </w:pPr>
      <w:r>
        <w:rPr/>
        <w:t>Александров</w:t>
      </w:r>
      <w:r>
        <w:rPr>
          <w:spacing w:val="-1"/>
        </w:rPr>
        <w:t> </w:t>
      </w:r>
      <w:r>
        <w:rPr/>
        <w:t>Д.А., Баранова В.В., Иванюшина В.А. Дети из семей мигрантов в школах Санкт-Петербурга: предварительные данные: рабочие</w:t>
      </w:r>
      <w:r>
        <w:rPr>
          <w:spacing w:val="-8"/>
        </w:rPr>
        <w:t> </w:t>
      </w:r>
      <w:r>
        <w:rPr/>
        <w:t>материалы</w:t>
      </w:r>
      <w:r>
        <w:rPr>
          <w:spacing w:val="-10"/>
        </w:rPr>
        <w:t> </w:t>
      </w:r>
      <w:r>
        <w:rPr/>
        <w:t>НУЛ</w:t>
      </w:r>
      <w:r>
        <w:rPr>
          <w:spacing w:val="-8"/>
        </w:rPr>
        <w:t> </w:t>
      </w:r>
      <w:r>
        <w:rPr/>
        <w:t>СОН</w:t>
      </w:r>
      <w:r>
        <w:rPr>
          <w:spacing w:val="-9"/>
        </w:rPr>
        <w:t> </w:t>
      </w:r>
      <w:r>
        <w:rPr/>
        <w:t>/</w:t>
      </w:r>
      <w:r>
        <w:rPr>
          <w:spacing w:val="-7"/>
        </w:rPr>
        <w:t> </w:t>
      </w:r>
      <w:r>
        <w:rPr/>
        <w:t>СПб.:</w:t>
      </w:r>
      <w:r>
        <w:rPr>
          <w:spacing w:val="-7"/>
        </w:rPr>
        <w:t> </w:t>
      </w:r>
      <w:r>
        <w:rPr/>
        <w:t>Изд-во</w:t>
      </w:r>
      <w:r>
        <w:rPr>
          <w:spacing w:val="-7"/>
        </w:rPr>
        <w:t> </w:t>
      </w:r>
      <w:r>
        <w:rPr/>
        <w:t>Политех.</w:t>
      </w:r>
      <w:r>
        <w:rPr>
          <w:spacing w:val="-8"/>
        </w:rPr>
        <w:t> </w:t>
      </w:r>
      <w:r>
        <w:rPr/>
        <w:t>ун-та.</w:t>
      </w:r>
      <w:r>
        <w:rPr>
          <w:spacing w:val="-8"/>
        </w:rPr>
        <w:t> </w:t>
      </w:r>
      <w:r>
        <w:rPr/>
        <w:t>—</w:t>
      </w:r>
      <w:r>
        <w:rPr>
          <w:spacing w:val="-8"/>
        </w:rPr>
        <w:t> </w:t>
      </w:r>
      <w:r>
        <w:rPr/>
        <w:t>2011.</w:t>
      </w:r>
      <w:r>
        <w:rPr>
          <w:spacing w:val="-7"/>
        </w:rPr>
        <w:t> </w:t>
      </w:r>
      <w:r>
        <w:rPr/>
        <w:t>— 100 с.</w:t>
      </w:r>
    </w:p>
    <w:p>
      <w:pPr>
        <w:pStyle w:val="Heading4"/>
        <w:numPr>
          <w:ilvl w:val="0"/>
          <w:numId w:val="33"/>
        </w:numPr>
        <w:tabs>
          <w:tab w:pos="928" w:val="left" w:leader="none"/>
          <w:tab w:pos="4146" w:val="left" w:leader="none"/>
          <w:tab w:pos="7118" w:val="left" w:leader="none"/>
        </w:tabs>
        <w:spacing w:line="240" w:lineRule="auto" w:before="0" w:after="0"/>
        <w:ind w:left="928" w:right="561" w:hanging="360"/>
        <w:jc w:val="both"/>
      </w:pPr>
      <w:r>
        <w:rPr/>
        <w:t>Андрющенко А.В.,</w:t>
        <w:tab/>
        <w:t>Дробижев М.Ю.,</w:t>
        <w:tab/>
        <w:t>Добровольский</w:t>
      </w:r>
      <w:r>
        <w:rPr>
          <w:spacing w:val="-15"/>
        </w:rPr>
        <w:t> </w:t>
      </w:r>
      <w:r>
        <w:rPr/>
        <w:t>А.</w:t>
      </w:r>
      <w:r>
        <w:rPr>
          <w:spacing w:val="-17"/>
        </w:rPr>
        <w:t> </w:t>
      </w:r>
      <w:r>
        <w:rPr/>
        <w:t>В. Сравнительная оценка шкал CES-D, BDT и HADS в диагностике депрессий в общемедицинской практике // Журнал неврологии и психиатрии. — 2003. — № 5. — С. 11–18.</w:t>
      </w:r>
    </w:p>
    <w:p>
      <w:pPr>
        <w:pStyle w:val="Heading4"/>
        <w:numPr>
          <w:ilvl w:val="0"/>
          <w:numId w:val="33"/>
        </w:numPr>
        <w:tabs>
          <w:tab w:pos="928" w:val="left" w:leader="none"/>
        </w:tabs>
        <w:spacing w:line="240" w:lineRule="auto" w:before="0" w:after="0"/>
        <w:ind w:left="928" w:right="564" w:hanging="360"/>
        <w:jc w:val="both"/>
      </w:pPr>
      <w:r>
        <w:rPr/>
        <w:t>Антипина</w:t>
      </w:r>
      <w:r>
        <w:rPr>
          <w:spacing w:val="-4"/>
        </w:rPr>
        <w:t> </w:t>
      </w:r>
      <w:r>
        <w:rPr/>
        <w:t>Г.С. Теоретико-методологические проблемы исследования малых социальных групп. Л. — 1982. — 112 с.</w:t>
      </w:r>
    </w:p>
    <w:p>
      <w:pPr>
        <w:pStyle w:val="Heading4"/>
        <w:numPr>
          <w:ilvl w:val="0"/>
          <w:numId w:val="33"/>
        </w:numPr>
        <w:tabs>
          <w:tab w:pos="928" w:val="left" w:leader="none"/>
        </w:tabs>
        <w:spacing w:line="240" w:lineRule="auto" w:before="0" w:after="0"/>
        <w:ind w:left="928" w:right="566" w:hanging="360"/>
        <w:jc w:val="both"/>
      </w:pPr>
      <w:r>
        <w:rPr/>
        <w:t>Бахтеева</w:t>
      </w:r>
      <w:r>
        <w:rPr>
          <w:spacing w:val="-6"/>
        </w:rPr>
        <w:t> </w:t>
      </w:r>
      <w:r>
        <w:rPr/>
        <w:t>М.Р. Особенности интеграции бикультурной идентичности и психологическое благополучие у детей из семей иноэтничных мигрантов. Автореферат выпускной квалификационной работы (магистерская диссертация). 2021. Электронный документ </w:t>
      </w:r>
      <w:hyperlink r:id="rId49">
        <w:r>
          <w:rPr>
            <w:spacing w:val="-2"/>
          </w:rPr>
          <w:t>http://psychlib.ru/resource/pdf/studwork/BakhteyevaMR_2021/BakhteyevaM</w:t>
        </w:r>
      </w:hyperlink>
      <w:r>
        <w:rPr>
          <w:spacing w:val="-2"/>
        </w:rPr>
        <w:t> </w:t>
      </w:r>
      <w:hyperlink r:id="rId49">
        <w:r>
          <w:rPr>
            <w:spacing w:val="-2"/>
          </w:rPr>
          <w:t>R_5.pdf#page=1</w:t>
        </w:r>
      </w:hyperlink>
    </w:p>
    <w:p>
      <w:pPr>
        <w:pStyle w:val="Heading4"/>
        <w:numPr>
          <w:ilvl w:val="0"/>
          <w:numId w:val="33"/>
        </w:numPr>
        <w:tabs>
          <w:tab w:pos="928" w:val="left" w:leader="none"/>
        </w:tabs>
        <w:spacing w:line="240" w:lineRule="auto" w:before="0" w:after="0"/>
        <w:ind w:left="928" w:right="562" w:hanging="360"/>
        <w:jc w:val="both"/>
      </w:pPr>
      <w:r>
        <w:rPr/>
        <w:t>Васькова</w:t>
      </w:r>
      <w:r>
        <w:rPr>
          <w:spacing w:val="-4"/>
        </w:rPr>
        <w:t> </w:t>
      </w:r>
      <w:r>
        <w:rPr/>
        <w:t>О.В. Взаимосвязь феноменов интеграции и внутригруппового структурирования в ученической группе старших подростков. М. — 2013. — 174 с.</w:t>
      </w:r>
    </w:p>
    <w:p>
      <w:pPr>
        <w:pStyle w:val="Heading4"/>
        <w:numPr>
          <w:ilvl w:val="0"/>
          <w:numId w:val="33"/>
        </w:numPr>
        <w:tabs>
          <w:tab w:pos="928" w:val="left" w:leader="none"/>
        </w:tabs>
        <w:spacing w:line="240" w:lineRule="auto" w:before="0" w:after="0"/>
        <w:ind w:left="928" w:right="566" w:hanging="360"/>
        <w:jc w:val="both"/>
      </w:pPr>
      <w:r>
        <w:rPr/>
        <w:t>Громыко</w:t>
      </w:r>
      <w:r>
        <w:rPr>
          <w:spacing w:val="-1"/>
        </w:rPr>
        <w:t> </w:t>
      </w:r>
      <w:r>
        <w:rPr/>
        <w:t>Ю.А. Взаимосвязь статусной позиции первоклассника в ученической</w:t>
      </w:r>
      <w:r>
        <w:rPr>
          <w:spacing w:val="-11"/>
        </w:rPr>
        <w:t> </w:t>
      </w:r>
      <w:r>
        <w:rPr/>
        <w:t>группе</w:t>
      </w:r>
      <w:r>
        <w:rPr>
          <w:spacing w:val="-16"/>
        </w:rPr>
        <w:t> </w:t>
      </w:r>
      <w:r>
        <w:rPr/>
        <w:t>с</w:t>
      </w:r>
      <w:r>
        <w:rPr>
          <w:spacing w:val="-13"/>
        </w:rPr>
        <w:t> </w:t>
      </w:r>
      <w:r>
        <w:rPr/>
        <w:t>его</w:t>
      </w:r>
      <w:r>
        <w:rPr>
          <w:spacing w:val="-12"/>
        </w:rPr>
        <w:t> </w:t>
      </w:r>
      <w:r>
        <w:rPr/>
        <w:t>готовностью</w:t>
      </w:r>
      <w:r>
        <w:rPr>
          <w:spacing w:val="-14"/>
        </w:rPr>
        <w:t> </w:t>
      </w:r>
      <w:r>
        <w:rPr/>
        <w:t>к</w:t>
      </w:r>
      <w:r>
        <w:rPr>
          <w:spacing w:val="-15"/>
        </w:rPr>
        <w:t> </w:t>
      </w:r>
      <w:r>
        <w:rPr/>
        <w:t>школе</w:t>
      </w:r>
      <w:r>
        <w:rPr>
          <w:spacing w:val="-13"/>
        </w:rPr>
        <w:t> </w:t>
      </w:r>
      <w:r>
        <w:rPr/>
        <w:t>и</w:t>
      </w:r>
      <w:r>
        <w:rPr>
          <w:spacing w:val="-15"/>
        </w:rPr>
        <w:t> </w:t>
      </w:r>
      <w:r>
        <w:rPr/>
        <w:t>динамикой</w:t>
      </w:r>
      <w:r>
        <w:rPr>
          <w:spacing w:val="-13"/>
        </w:rPr>
        <w:t> </w:t>
      </w:r>
      <w:r>
        <w:rPr/>
        <w:t>успешности освоения школьной программы. М. — 2011. — 122 с.</w:t>
      </w:r>
    </w:p>
    <w:p>
      <w:pPr>
        <w:pStyle w:val="Heading4"/>
        <w:numPr>
          <w:ilvl w:val="0"/>
          <w:numId w:val="33"/>
        </w:numPr>
        <w:tabs>
          <w:tab w:pos="928" w:val="left" w:leader="none"/>
        </w:tabs>
        <w:spacing w:line="240" w:lineRule="auto" w:before="0" w:after="0"/>
        <w:ind w:left="928" w:right="560" w:hanging="360"/>
        <w:jc w:val="both"/>
      </w:pPr>
      <w:r>
        <w:rPr/>
        <w:t>Ильин В.А., Кондратьев</w:t>
      </w:r>
      <w:r>
        <w:rPr>
          <w:spacing w:val="-4"/>
        </w:rPr>
        <w:t> </w:t>
      </w:r>
      <w:r>
        <w:rPr/>
        <w:t>М.Ю. Азбука социального психолога-практика. Справочно-энциклопедическое издание / М.: ПЕР СЭ. — 2007. — 464 с.</w:t>
      </w:r>
    </w:p>
    <w:p>
      <w:pPr>
        <w:pStyle w:val="Heading4"/>
        <w:numPr>
          <w:ilvl w:val="0"/>
          <w:numId w:val="33"/>
        </w:numPr>
        <w:tabs>
          <w:tab w:pos="928" w:val="left" w:leader="none"/>
          <w:tab w:pos="2041" w:val="left" w:leader="none"/>
          <w:tab w:pos="3144" w:val="left" w:leader="none"/>
          <w:tab w:pos="3229" w:val="left" w:leader="none"/>
          <w:tab w:pos="5011" w:val="left" w:leader="none"/>
          <w:tab w:pos="5380" w:val="left" w:leader="none"/>
          <w:tab w:pos="6564" w:val="left" w:leader="none"/>
          <w:tab w:pos="7677" w:val="left" w:leader="none"/>
          <w:tab w:pos="7781" w:val="left" w:leader="none"/>
          <w:tab w:pos="9483" w:val="left" w:leader="none"/>
        </w:tabs>
        <w:spacing w:line="240" w:lineRule="auto" w:before="0" w:after="0"/>
        <w:ind w:left="928" w:right="558" w:hanging="360"/>
        <w:jc w:val="left"/>
      </w:pPr>
      <w:r>
        <w:rPr/>
        <w:t>Каскаева Д.С.,</w:t>
        <w:tab/>
        <w:tab/>
        <w:t>Петрова М. .,</w:t>
        <w:tab/>
        <w:tab/>
        <w:t>Евсюков А.А.,</w:t>
        <w:tab/>
        <w:t>Ольховская</w:t>
      </w:r>
      <w:r>
        <w:rPr>
          <w:spacing w:val="-18"/>
        </w:rPr>
        <w:t> </w:t>
      </w:r>
      <w:r>
        <w:rPr/>
        <w:t>Е.В. </w:t>
      </w:r>
      <w:r>
        <w:rPr>
          <w:spacing w:val="-2"/>
        </w:rPr>
        <w:t>Эффективность</w:t>
      </w:r>
      <w:r>
        <w:rPr/>
        <w:tab/>
      </w:r>
      <w:r>
        <w:rPr>
          <w:spacing w:val="-2"/>
        </w:rPr>
        <w:t>ингибиторов</w:t>
      </w:r>
      <w:r>
        <w:rPr/>
        <w:tab/>
      </w:r>
      <w:r>
        <w:rPr>
          <w:spacing w:val="-2"/>
        </w:rPr>
        <w:t>обратного</w:t>
      </w:r>
      <w:r>
        <w:rPr/>
        <w:tab/>
      </w:r>
      <w:r>
        <w:rPr>
          <w:spacing w:val="-2"/>
        </w:rPr>
        <w:t>захвата</w:t>
      </w:r>
      <w:r>
        <w:rPr/>
        <w:tab/>
        <w:tab/>
      </w:r>
      <w:r>
        <w:rPr>
          <w:spacing w:val="-2"/>
        </w:rPr>
        <w:t>серотонина</w:t>
      </w:r>
      <w:r>
        <w:rPr/>
        <w:tab/>
      </w:r>
      <w:r>
        <w:rPr>
          <w:spacing w:val="-10"/>
        </w:rPr>
        <w:t>и </w:t>
      </w:r>
      <w:r>
        <w:rPr/>
        <w:t>селективных</w:t>
      </w:r>
      <w:r>
        <w:rPr>
          <w:spacing w:val="40"/>
        </w:rPr>
        <w:t> </w:t>
      </w:r>
      <w:r>
        <w:rPr/>
        <w:t>стимуляторов</w:t>
      </w:r>
      <w:r>
        <w:rPr>
          <w:spacing w:val="40"/>
        </w:rPr>
        <w:t> </w:t>
      </w:r>
      <w:r>
        <w:rPr/>
        <w:t>в</w:t>
      </w:r>
      <w:r>
        <w:rPr>
          <w:spacing w:val="40"/>
        </w:rPr>
        <w:t> </w:t>
      </w:r>
      <w:r>
        <w:rPr/>
        <w:t>комплексном</w:t>
      </w:r>
      <w:r>
        <w:rPr>
          <w:spacing w:val="40"/>
        </w:rPr>
        <w:t> </w:t>
      </w:r>
      <w:r>
        <w:rPr/>
        <w:t>лечении</w:t>
      </w:r>
      <w:r>
        <w:rPr>
          <w:spacing w:val="40"/>
        </w:rPr>
        <w:t> </w:t>
      </w:r>
      <w:r>
        <w:rPr/>
        <w:t>больных</w:t>
      </w:r>
      <w:r>
        <w:rPr>
          <w:spacing w:val="40"/>
        </w:rPr>
        <w:t> </w:t>
      </w:r>
      <w:r>
        <w:rPr/>
        <w:t>с</w:t>
      </w:r>
      <w:r>
        <w:rPr>
          <w:spacing w:val="40"/>
        </w:rPr>
        <w:t> </w:t>
      </w:r>
      <w:r>
        <w:rPr/>
        <w:t>ИБС</w:t>
      </w:r>
      <w:r>
        <w:rPr>
          <w:spacing w:val="40"/>
        </w:rPr>
        <w:t> </w:t>
      </w:r>
      <w:r>
        <w:rPr/>
        <w:t>в амбулаторной</w:t>
      </w:r>
      <w:r>
        <w:rPr>
          <w:spacing w:val="-8"/>
        </w:rPr>
        <w:t> </w:t>
      </w:r>
      <w:r>
        <w:rPr/>
        <w:t>практике</w:t>
      </w:r>
      <w:r>
        <w:rPr>
          <w:spacing w:val="-6"/>
        </w:rPr>
        <w:t> </w:t>
      </w:r>
      <w:r>
        <w:rPr/>
        <w:t>—</w:t>
      </w:r>
      <w:r>
        <w:rPr>
          <w:spacing w:val="-6"/>
        </w:rPr>
        <w:t> </w:t>
      </w:r>
      <w:r>
        <w:rPr/>
        <w:t>Текст</w:t>
      </w:r>
      <w:r>
        <w:rPr>
          <w:spacing w:val="-6"/>
        </w:rPr>
        <w:t> </w:t>
      </w:r>
      <w:r>
        <w:rPr/>
        <w:t>электронный</w:t>
      </w:r>
      <w:r>
        <w:rPr>
          <w:spacing w:val="-8"/>
        </w:rPr>
        <w:t> </w:t>
      </w:r>
      <w:r>
        <w:rPr/>
        <w:t>//</w:t>
      </w:r>
      <w:r>
        <w:rPr>
          <w:spacing w:val="-7"/>
        </w:rPr>
        <w:t> </w:t>
      </w:r>
      <w:r>
        <w:rPr/>
        <w:t>ЗВ.</w:t>
      </w:r>
      <w:r>
        <w:rPr>
          <w:spacing w:val="-7"/>
        </w:rPr>
        <w:t> </w:t>
      </w:r>
      <w:r>
        <w:rPr/>
        <w:t>—</w:t>
      </w:r>
      <w:r>
        <w:rPr>
          <w:spacing w:val="-6"/>
        </w:rPr>
        <w:t> </w:t>
      </w:r>
      <w:r>
        <w:rPr/>
        <w:t>2013.</w:t>
      </w:r>
      <w:r>
        <w:rPr>
          <w:spacing w:val="-7"/>
        </w:rPr>
        <w:t> </w:t>
      </w:r>
      <w:r>
        <w:rPr/>
        <w:t>—</w:t>
      </w:r>
      <w:r>
        <w:rPr>
          <w:spacing w:val="-6"/>
        </w:rPr>
        <w:t> </w:t>
      </w:r>
      <w:r>
        <w:rPr/>
        <w:t>№1</w:t>
      </w:r>
      <w:r>
        <w:rPr>
          <w:spacing w:val="-6"/>
        </w:rPr>
        <w:t> </w:t>
      </w:r>
      <w:r>
        <w:rPr/>
        <w:t>(18). </w:t>
      </w:r>
      <w:r>
        <w:rPr>
          <w:spacing w:val="-4"/>
        </w:rPr>
        <w:t>URL:</w:t>
      </w:r>
      <w:r>
        <w:rPr/>
        <w:tab/>
      </w:r>
      <w:r>
        <w:rPr>
          <w:spacing w:val="-2"/>
        </w:rPr>
        <w:t>https://cyberleninka.ru/article/n/effektivnost-ingibitorov-obratnogo- zahvata-serotonina-i-selektivnyh-stimulyatorov-v-kompleksnom-lechenii- bolnyh-s-ibs-v-ambulatornoy</w:t>
      </w:r>
    </w:p>
    <w:p>
      <w:pPr>
        <w:pStyle w:val="Heading4"/>
        <w:numPr>
          <w:ilvl w:val="0"/>
          <w:numId w:val="33"/>
        </w:numPr>
        <w:tabs>
          <w:tab w:pos="928" w:val="left" w:leader="none"/>
        </w:tabs>
        <w:spacing w:line="240" w:lineRule="auto" w:before="0" w:after="0"/>
        <w:ind w:left="928" w:right="560" w:hanging="360"/>
        <w:jc w:val="both"/>
      </w:pPr>
      <w:r>
        <w:rPr/>
        <w:t>Клименкова Е.Н., Холмогорова А.Б. Валидизация методик диагностики социальной тревожности на российской подростковой выборке. / Консультативная психология и психотерапия. — 2017. — Т. 25. — № 1.</w:t>
      </w:r>
    </w:p>
    <w:p>
      <w:pPr>
        <w:pStyle w:val="Heading4"/>
        <w:spacing w:line="322" w:lineRule="exact" w:before="1"/>
        <w:ind w:left="928"/>
      </w:pPr>
      <w:r>
        <w:rPr/>
        <w:t>—</w:t>
      </w:r>
      <w:r>
        <w:rPr>
          <w:spacing w:val="-1"/>
        </w:rPr>
        <w:t> </w:t>
      </w:r>
      <w:r>
        <w:rPr/>
        <w:t>С.</w:t>
      </w:r>
      <w:r>
        <w:rPr>
          <w:spacing w:val="-2"/>
        </w:rPr>
        <w:t> 28–39.</w:t>
      </w:r>
    </w:p>
    <w:p>
      <w:pPr>
        <w:pStyle w:val="Heading4"/>
        <w:numPr>
          <w:ilvl w:val="0"/>
          <w:numId w:val="33"/>
        </w:numPr>
        <w:tabs>
          <w:tab w:pos="928" w:val="left" w:leader="none"/>
        </w:tabs>
        <w:spacing w:line="240" w:lineRule="auto" w:before="0" w:after="0"/>
        <w:ind w:left="928" w:right="567" w:hanging="360"/>
        <w:jc w:val="both"/>
        <w:rPr>
          <w:sz w:val="26"/>
        </w:rPr>
      </w:pPr>
      <w:r>
        <w:rPr/>
        <w:t>Коломинский</w:t>
      </w:r>
      <w:r>
        <w:rPr>
          <w:spacing w:val="-1"/>
        </w:rPr>
        <w:t> </w:t>
      </w:r>
      <w:r>
        <w:rPr/>
        <w:t>Я.Л. Психология детского коллектива: Система личных взаимоотношений. Минск: Нар. Асвета. — 1984. — 239 с.</w:t>
      </w:r>
    </w:p>
    <w:p>
      <w:pPr>
        <w:pStyle w:val="Heading4"/>
        <w:numPr>
          <w:ilvl w:val="0"/>
          <w:numId w:val="33"/>
        </w:numPr>
        <w:tabs>
          <w:tab w:pos="928" w:val="left" w:leader="none"/>
        </w:tabs>
        <w:spacing w:line="240" w:lineRule="auto" w:before="0" w:after="0"/>
        <w:ind w:left="928" w:right="561" w:hanging="360"/>
        <w:jc w:val="both"/>
        <w:rPr>
          <w:sz w:val="26"/>
        </w:rPr>
      </w:pPr>
      <w:r>
        <w:rPr/>
        <w:t>Краснова-Гольева В.В., Холмогорова А.Б. Апробация шкалы социального избегания и дистресса (social avoidance and distress scale, SADS) во взрослой популяционной выборке. / XVI съезд психиатров России.</w:t>
      </w:r>
      <w:r>
        <w:rPr>
          <w:spacing w:val="75"/>
        </w:rPr>
        <w:t>   </w:t>
      </w:r>
      <w:r>
        <w:rPr/>
        <w:t>Всероссийская</w:t>
      </w:r>
      <w:r>
        <w:rPr>
          <w:spacing w:val="75"/>
        </w:rPr>
        <w:t>   </w:t>
      </w:r>
      <w:r>
        <w:rPr/>
        <w:t>научно-практическая</w:t>
      </w:r>
      <w:r>
        <w:rPr>
          <w:spacing w:val="75"/>
        </w:rPr>
        <w:t>   </w:t>
      </w:r>
      <w:r>
        <w:rPr/>
        <w:t>конференция</w:t>
      </w:r>
      <w:r>
        <w:rPr>
          <w:spacing w:val="76"/>
        </w:rPr>
        <w:t>   </w:t>
      </w:r>
      <w:r>
        <w:rPr/>
        <w:t>с</w:t>
      </w:r>
    </w:p>
    <w:p>
      <w:pPr>
        <w:pStyle w:val="Heading4"/>
        <w:spacing w:after="0" w:line="240" w:lineRule="auto"/>
        <w:jc w:val="both"/>
        <w:rPr>
          <w:sz w:val="26"/>
        </w:rPr>
        <w:sectPr>
          <w:pgSz w:w="11910" w:h="16840"/>
          <w:pgMar w:header="0" w:footer="970" w:top="1040" w:bottom="1220" w:left="1417" w:right="283"/>
        </w:sectPr>
      </w:pPr>
    </w:p>
    <w:p>
      <w:pPr>
        <w:pStyle w:val="Heading4"/>
        <w:spacing w:line="242" w:lineRule="auto" w:before="67"/>
        <w:ind w:left="928" w:right="563"/>
      </w:pPr>
      <w:r>
        <w:rPr/>
        <w:t>международным участием «Психиатрия на этапах реформ: проблемы и перспективы». Тезисы. — 2015. — с. 299.</w:t>
      </w:r>
    </w:p>
    <w:p>
      <w:pPr>
        <w:pStyle w:val="Heading4"/>
        <w:numPr>
          <w:ilvl w:val="0"/>
          <w:numId w:val="33"/>
        </w:numPr>
        <w:tabs>
          <w:tab w:pos="928" w:val="left" w:leader="none"/>
        </w:tabs>
        <w:spacing w:line="240" w:lineRule="auto" w:before="0" w:after="0"/>
        <w:ind w:left="928" w:right="562" w:hanging="360"/>
        <w:jc w:val="both"/>
        <w:rPr>
          <w:sz w:val="26"/>
        </w:rPr>
      </w:pPr>
      <w:r>
        <w:rPr/>
        <w:t>Межкультурная компетентность педагога в поликультурном пространстве:</w:t>
      </w:r>
      <w:r>
        <w:rPr>
          <w:spacing w:val="-18"/>
        </w:rPr>
        <w:t> </w:t>
      </w:r>
      <w:r>
        <w:rPr/>
        <w:t>Научно-методические</w:t>
      </w:r>
      <w:r>
        <w:rPr>
          <w:spacing w:val="-17"/>
        </w:rPr>
        <w:t> </w:t>
      </w:r>
      <w:r>
        <w:rPr/>
        <w:t>материалы</w:t>
      </w:r>
      <w:r>
        <w:rPr>
          <w:spacing w:val="-18"/>
        </w:rPr>
        <w:t> </w:t>
      </w:r>
      <w:r>
        <w:rPr/>
        <w:t>/</w:t>
      </w:r>
      <w:r>
        <w:rPr>
          <w:spacing w:val="-17"/>
        </w:rPr>
        <w:t> </w:t>
      </w:r>
      <w:r>
        <w:rPr/>
        <w:t>под</w:t>
      </w:r>
      <w:r>
        <w:rPr>
          <w:spacing w:val="-18"/>
        </w:rPr>
        <w:t> </w:t>
      </w:r>
      <w:r>
        <w:rPr/>
        <w:t>ред.</w:t>
      </w:r>
      <w:r>
        <w:rPr>
          <w:spacing w:val="-17"/>
        </w:rPr>
        <w:t> </w:t>
      </w:r>
      <w:r>
        <w:rPr/>
        <w:t>Хухлаева</w:t>
      </w:r>
      <w:r>
        <w:rPr>
          <w:spacing w:val="-10"/>
        </w:rPr>
        <w:t> </w:t>
      </w:r>
      <w:r>
        <w:rPr/>
        <w:t>О.Е., Чибисовой М. Ю. — СПб.: ООО Книжный дом». — 2008. — 408 с.</w:t>
      </w:r>
    </w:p>
    <w:p>
      <w:pPr>
        <w:pStyle w:val="Heading4"/>
        <w:numPr>
          <w:ilvl w:val="0"/>
          <w:numId w:val="33"/>
        </w:numPr>
        <w:tabs>
          <w:tab w:pos="927" w:val="left" w:leader="none"/>
        </w:tabs>
        <w:spacing w:line="321" w:lineRule="exact" w:before="0" w:after="0"/>
        <w:ind w:left="927" w:right="0" w:hanging="359"/>
        <w:jc w:val="both"/>
        <w:rPr>
          <w:sz w:val="26"/>
        </w:rPr>
      </w:pPr>
      <w:r>
        <w:rPr/>
        <w:t>Межкультурные</w:t>
      </w:r>
      <w:r>
        <w:rPr>
          <w:spacing w:val="-14"/>
        </w:rPr>
        <w:t> </w:t>
      </w:r>
      <w:r>
        <w:rPr/>
        <w:t>отношения</w:t>
      </w:r>
      <w:r>
        <w:rPr>
          <w:spacing w:val="-9"/>
        </w:rPr>
        <w:t> </w:t>
      </w:r>
      <w:r>
        <w:rPr/>
        <w:t>в</w:t>
      </w:r>
      <w:r>
        <w:rPr>
          <w:spacing w:val="-11"/>
        </w:rPr>
        <w:t> </w:t>
      </w:r>
      <w:r>
        <w:rPr/>
        <w:t>постсоветском</w:t>
      </w:r>
      <w:r>
        <w:rPr>
          <w:spacing w:val="-12"/>
        </w:rPr>
        <w:t> </w:t>
      </w:r>
      <w:r>
        <w:rPr/>
        <w:t>пространстве:</w:t>
      </w:r>
      <w:r>
        <w:rPr>
          <w:spacing w:val="-7"/>
        </w:rPr>
        <w:t> </w:t>
      </w:r>
      <w:r>
        <w:rPr>
          <w:spacing w:val="-2"/>
        </w:rPr>
        <w:t>монография.</w:t>
      </w:r>
    </w:p>
    <w:p>
      <w:pPr>
        <w:pStyle w:val="Heading4"/>
        <w:spacing w:line="242" w:lineRule="auto"/>
        <w:ind w:left="928" w:right="560"/>
      </w:pPr>
      <w:r>
        <w:rPr/>
        <w:t>// Под ред. Н.М.</w:t>
      </w:r>
      <w:r>
        <w:rPr>
          <w:spacing w:val="-2"/>
        </w:rPr>
        <w:t> </w:t>
      </w:r>
      <w:r>
        <w:rPr/>
        <w:t>Лебедевой и А.Н.</w:t>
      </w:r>
      <w:r>
        <w:rPr>
          <w:spacing w:val="-2"/>
        </w:rPr>
        <w:t> </w:t>
      </w:r>
      <w:r>
        <w:rPr/>
        <w:t>Татарко. — М.: Изд-во Менеджер. — 2017. — 492 с.: ил.</w:t>
      </w:r>
    </w:p>
    <w:p>
      <w:pPr>
        <w:pStyle w:val="Heading4"/>
        <w:numPr>
          <w:ilvl w:val="0"/>
          <w:numId w:val="33"/>
        </w:numPr>
        <w:tabs>
          <w:tab w:pos="928" w:val="left" w:leader="none"/>
        </w:tabs>
        <w:spacing w:line="240" w:lineRule="auto" w:before="0" w:after="0"/>
        <w:ind w:left="928" w:right="566" w:hanging="360"/>
        <w:jc w:val="both"/>
        <w:rPr>
          <w:sz w:val="26"/>
        </w:rPr>
      </w:pPr>
      <w:r>
        <w:rPr/>
        <w:t>Минакова</w:t>
      </w:r>
      <w:r>
        <w:rPr>
          <w:spacing w:val="-2"/>
        </w:rPr>
        <w:t> </w:t>
      </w:r>
      <w:r>
        <w:rPr/>
        <w:t>Е.А. Психологические особенности интеграции старшеклассников-мигрантов в условиях современного мегаполиса // дис. канд. психол. наук: 19.00.13. / М. — 2008. — 159 с.</w:t>
      </w:r>
    </w:p>
    <w:p>
      <w:pPr>
        <w:pStyle w:val="Heading4"/>
        <w:numPr>
          <w:ilvl w:val="0"/>
          <w:numId w:val="33"/>
        </w:numPr>
        <w:tabs>
          <w:tab w:pos="928" w:val="left" w:leader="none"/>
        </w:tabs>
        <w:spacing w:line="240" w:lineRule="auto" w:before="0" w:after="0"/>
        <w:ind w:left="928" w:right="562" w:hanging="360"/>
        <w:jc w:val="both"/>
        <w:rPr>
          <w:sz w:val="26"/>
        </w:rPr>
      </w:pPr>
      <w:r>
        <w:rPr/>
        <w:t>Мирошниченко Е.В. Развитие культуры межнационального общения у будущих педагогов в процессе обучения в вузе: дис. — Хабаровск: ТОГУ. — 2019.</w:t>
      </w:r>
    </w:p>
    <w:p>
      <w:pPr>
        <w:pStyle w:val="Heading4"/>
        <w:numPr>
          <w:ilvl w:val="0"/>
          <w:numId w:val="33"/>
        </w:numPr>
        <w:tabs>
          <w:tab w:pos="928" w:val="left" w:leader="none"/>
        </w:tabs>
        <w:spacing w:line="240" w:lineRule="auto" w:before="0" w:after="0"/>
        <w:ind w:left="928" w:right="561" w:hanging="360"/>
        <w:jc w:val="both"/>
        <w:rPr>
          <w:sz w:val="26"/>
        </w:rPr>
      </w:pPr>
      <w:r>
        <w:rPr/>
        <w:t>Морено</w:t>
      </w:r>
      <w:r>
        <w:rPr>
          <w:spacing w:val="-1"/>
        </w:rPr>
        <w:t> </w:t>
      </w:r>
      <w:r>
        <w:rPr/>
        <w:t>Дж.</w:t>
      </w:r>
      <w:r>
        <w:rPr>
          <w:spacing w:val="-2"/>
        </w:rPr>
        <w:t> </w:t>
      </w:r>
      <w:r>
        <w:rPr/>
        <w:t>Л. Социометрия: Экспериментальный метод и наука об обществе. М.: Акад. Проект. — 2001. — 383 с.</w:t>
      </w:r>
    </w:p>
    <w:p>
      <w:pPr>
        <w:pStyle w:val="Heading4"/>
        <w:numPr>
          <w:ilvl w:val="0"/>
          <w:numId w:val="33"/>
        </w:numPr>
        <w:tabs>
          <w:tab w:pos="928" w:val="left" w:leader="none"/>
        </w:tabs>
        <w:spacing w:line="240" w:lineRule="auto" w:before="0" w:after="0"/>
        <w:ind w:left="928" w:right="559" w:hanging="360"/>
        <w:jc w:val="both"/>
        <w:rPr>
          <w:sz w:val="26"/>
        </w:rPr>
      </w:pPr>
      <w:r>
        <w:rPr/>
        <w:t>Нартова-Бочавер</w:t>
      </w:r>
      <w:r>
        <w:rPr>
          <w:spacing w:val="-1"/>
        </w:rPr>
        <w:t> </w:t>
      </w:r>
      <w:r>
        <w:rPr/>
        <w:t>С.К.,</w:t>
      </w:r>
      <w:r>
        <w:rPr>
          <w:spacing w:val="40"/>
        </w:rPr>
        <w:t> </w:t>
      </w:r>
      <w:r>
        <w:rPr/>
        <w:t>Подлипняк</w:t>
      </w:r>
      <w:r>
        <w:rPr>
          <w:spacing w:val="-1"/>
        </w:rPr>
        <w:t> </w:t>
      </w:r>
      <w:r>
        <w:rPr/>
        <w:t>М.Б.,</w:t>
      </w:r>
      <w:r>
        <w:rPr>
          <w:spacing w:val="40"/>
        </w:rPr>
        <w:t> </w:t>
      </w:r>
      <w:r>
        <w:rPr/>
        <w:t>Хохлова</w:t>
      </w:r>
      <w:r>
        <w:rPr>
          <w:spacing w:val="-1"/>
        </w:rPr>
        <w:t> </w:t>
      </w:r>
      <w:r>
        <w:rPr/>
        <w:t>А.Ю.</w:t>
      </w:r>
      <w:r>
        <w:rPr>
          <w:spacing w:val="40"/>
        </w:rPr>
        <w:t> </w:t>
      </w:r>
      <w:r>
        <w:rPr/>
        <w:t>Вера</w:t>
      </w:r>
      <w:r>
        <w:rPr>
          <w:spacing w:val="40"/>
        </w:rPr>
        <w:t> </w:t>
      </w:r>
      <w:r>
        <w:rPr/>
        <w:t>в справедливый мир и психологическое благополучие у глухих и слышащих</w:t>
      </w:r>
      <w:r>
        <w:rPr>
          <w:spacing w:val="-8"/>
        </w:rPr>
        <w:t> </w:t>
      </w:r>
      <w:r>
        <w:rPr/>
        <w:t>подростков</w:t>
      </w:r>
      <w:r>
        <w:rPr>
          <w:spacing w:val="-9"/>
        </w:rPr>
        <w:t> </w:t>
      </w:r>
      <w:r>
        <w:rPr/>
        <w:t>и</w:t>
      </w:r>
      <w:r>
        <w:rPr>
          <w:spacing w:val="-6"/>
        </w:rPr>
        <w:t> </w:t>
      </w:r>
      <w:r>
        <w:rPr/>
        <w:t>взрослых</w:t>
      </w:r>
      <w:r>
        <w:rPr>
          <w:spacing w:val="-8"/>
        </w:rPr>
        <w:t> </w:t>
      </w:r>
      <w:r>
        <w:rPr/>
        <w:t>[Электронный</w:t>
      </w:r>
      <w:r>
        <w:rPr>
          <w:spacing w:val="-8"/>
        </w:rPr>
        <w:t> </w:t>
      </w:r>
      <w:r>
        <w:rPr/>
        <w:t>ресурс]</w:t>
      </w:r>
      <w:r>
        <w:rPr>
          <w:spacing w:val="-9"/>
        </w:rPr>
        <w:t> </w:t>
      </w:r>
      <w:r>
        <w:rPr/>
        <w:t>//</w:t>
      </w:r>
      <w:r>
        <w:rPr>
          <w:spacing w:val="-8"/>
        </w:rPr>
        <w:t> </w:t>
      </w:r>
      <w:r>
        <w:rPr/>
        <w:t>Клиническая и специальная психология. — 2013. — Том 2. — № 3.</w:t>
      </w:r>
    </w:p>
    <w:p>
      <w:pPr>
        <w:pStyle w:val="Heading4"/>
        <w:numPr>
          <w:ilvl w:val="0"/>
          <w:numId w:val="33"/>
        </w:numPr>
        <w:tabs>
          <w:tab w:pos="928" w:val="left" w:leader="none"/>
          <w:tab w:pos="4617" w:val="left" w:leader="none"/>
          <w:tab w:pos="7662" w:val="left" w:leader="none"/>
        </w:tabs>
        <w:spacing w:line="240" w:lineRule="auto" w:before="0" w:after="0"/>
        <w:ind w:left="928" w:right="562" w:hanging="360"/>
        <w:jc w:val="both"/>
        <w:rPr>
          <w:sz w:val="26"/>
        </w:rPr>
      </w:pPr>
      <w:r>
        <w:rPr/>
        <w:t>Нартова-Бочавер С.К.,</w:t>
        <w:tab/>
        <w:t>Резниченко С.И.,</w:t>
        <w:tab/>
        <w:t>Дмитриева</w:t>
      </w:r>
      <w:r>
        <w:rPr>
          <w:spacing w:val="-18"/>
        </w:rPr>
        <w:t> </w:t>
      </w:r>
      <w:r>
        <w:rPr/>
        <w:t>Н.С., Кузнецова</w:t>
      </w:r>
      <w:r>
        <w:rPr>
          <w:spacing w:val="-4"/>
        </w:rPr>
        <w:t> </w:t>
      </w:r>
      <w:r>
        <w:rPr/>
        <w:t>В.Б.,</w:t>
      </w:r>
      <w:r>
        <w:rPr>
          <w:spacing w:val="-4"/>
        </w:rPr>
        <w:t> </w:t>
      </w:r>
      <w:r>
        <w:rPr/>
        <w:t>Брагинец</w:t>
      </w:r>
      <w:r>
        <w:rPr>
          <w:spacing w:val="-3"/>
        </w:rPr>
        <w:t> </w:t>
      </w:r>
      <w:r>
        <w:rPr/>
        <w:t>Е.И. Метод</w:t>
      </w:r>
      <w:r>
        <w:rPr>
          <w:spacing w:val="-1"/>
        </w:rPr>
        <w:t> </w:t>
      </w:r>
      <w:r>
        <w:rPr/>
        <w:t>оценки</w:t>
      </w:r>
      <w:r>
        <w:rPr>
          <w:spacing w:val="-1"/>
        </w:rPr>
        <w:t> </w:t>
      </w:r>
      <w:r>
        <w:rPr/>
        <w:t>дружественности</w:t>
      </w:r>
      <w:r>
        <w:rPr>
          <w:spacing w:val="-1"/>
        </w:rPr>
        <w:t> </w:t>
      </w:r>
      <w:r>
        <w:rPr/>
        <w:t>жилища: опросник «Функциональность домашней среды» // Психологический журнал. — 2015. — Т. 36. — № 4. — c. 71–83.</w:t>
      </w:r>
    </w:p>
    <w:p>
      <w:pPr>
        <w:pStyle w:val="Heading4"/>
        <w:numPr>
          <w:ilvl w:val="0"/>
          <w:numId w:val="33"/>
        </w:numPr>
        <w:tabs>
          <w:tab w:pos="928" w:val="left" w:leader="none"/>
        </w:tabs>
        <w:spacing w:line="240" w:lineRule="auto" w:before="0" w:after="0"/>
        <w:ind w:left="928" w:right="564" w:hanging="360"/>
        <w:jc w:val="both"/>
        <w:rPr>
          <w:sz w:val="26"/>
        </w:rPr>
      </w:pPr>
      <w:r>
        <w:rPr/>
        <w:t>Павлова Т.С., Холмогорова</w:t>
      </w:r>
      <w:r>
        <w:rPr>
          <w:spacing w:val="-3"/>
        </w:rPr>
        <w:t> </w:t>
      </w:r>
      <w:r>
        <w:rPr/>
        <w:t>А.Б. Психологические факторы социальной тревожности в студенческом возрасте. / Консультативная психология и психотерапия. — 2011. — №1. — с. 29–43.</w:t>
      </w:r>
    </w:p>
    <w:p>
      <w:pPr>
        <w:pStyle w:val="Heading4"/>
        <w:numPr>
          <w:ilvl w:val="0"/>
          <w:numId w:val="33"/>
        </w:numPr>
        <w:tabs>
          <w:tab w:pos="928" w:val="left" w:leader="none"/>
        </w:tabs>
        <w:spacing w:line="240" w:lineRule="auto" w:before="0" w:after="0"/>
        <w:ind w:left="928" w:right="559" w:hanging="360"/>
        <w:jc w:val="both"/>
        <w:rPr>
          <w:sz w:val="26"/>
        </w:rPr>
      </w:pPr>
      <w:r>
        <w:rPr/>
        <w:t>Павлова</w:t>
      </w:r>
      <w:r>
        <w:rPr>
          <w:spacing w:val="-2"/>
        </w:rPr>
        <w:t> </w:t>
      </w:r>
      <w:r>
        <w:rPr/>
        <w:t>Т.С. Копинг-стратегии подростков с антивитальными переживаниями. // Психологическая наука и образование. — 2013. — с. </w:t>
      </w:r>
      <w:r>
        <w:rPr>
          <w:spacing w:val="-4"/>
        </w:rPr>
        <w:t>1–14.</w:t>
      </w:r>
    </w:p>
    <w:p>
      <w:pPr>
        <w:pStyle w:val="Heading4"/>
        <w:numPr>
          <w:ilvl w:val="0"/>
          <w:numId w:val="33"/>
        </w:numPr>
        <w:tabs>
          <w:tab w:pos="928" w:val="left" w:leader="none"/>
        </w:tabs>
        <w:spacing w:line="240" w:lineRule="auto" w:before="0" w:after="0"/>
        <w:ind w:left="928" w:right="566" w:hanging="360"/>
        <w:jc w:val="both"/>
        <w:rPr>
          <w:sz w:val="26"/>
        </w:rPr>
      </w:pPr>
      <w:r>
        <w:rPr/>
        <w:t>Павлова</w:t>
      </w:r>
      <w:r>
        <w:rPr>
          <w:spacing w:val="-3"/>
        </w:rPr>
        <w:t> </w:t>
      </w:r>
      <w:r>
        <w:rPr/>
        <w:t>Т.С. Психологические факторы социальной тревожности в детском и подростковом возрасте. // Москва. — 2014. — 179 с.</w:t>
      </w:r>
    </w:p>
    <w:p>
      <w:pPr>
        <w:pStyle w:val="Heading4"/>
        <w:numPr>
          <w:ilvl w:val="0"/>
          <w:numId w:val="33"/>
        </w:numPr>
        <w:tabs>
          <w:tab w:pos="928" w:val="left" w:leader="none"/>
        </w:tabs>
        <w:spacing w:line="240" w:lineRule="auto" w:before="0" w:after="0"/>
        <w:ind w:left="928" w:right="560" w:hanging="360"/>
        <w:jc w:val="both"/>
        <w:rPr>
          <w:sz w:val="26"/>
        </w:rPr>
      </w:pPr>
      <w:r>
        <w:rPr/>
        <w:t>Пантелеев</w:t>
      </w:r>
      <w:r>
        <w:rPr>
          <w:spacing w:val="-4"/>
        </w:rPr>
        <w:t> </w:t>
      </w:r>
      <w:r>
        <w:rPr/>
        <w:t>А.Б. Психолого-педагогические технологии адаптации детей и подростков из семей мигрантов в системе образования / Москва. — 2007. — Т. 217.</w:t>
      </w:r>
    </w:p>
    <w:p>
      <w:pPr>
        <w:pStyle w:val="Heading4"/>
        <w:numPr>
          <w:ilvl w:val="0"/>
          <w:numId w:val="33"/>
        </w:numPr>
        <w:tabs>
          <w:tab w:pos="928" w:val="left" w:leader="none"/>
        </w:tabs>
        <w:spacing w:line="240" w:lineRule="auto" w:before="0" w:after="0"/>
        <w:ind w:left="928" w:right="560" w:hanging="360"/>
        <w:jc w:val="both"/>
        <w:rPr>
          <w:sz w:val="26"/>
        </w:rPr>
      </w:pPr>
      <w:r>
        <w:rPr/>
        <w:t>Прихожан А.М.,</w:t>
      </w:r>
      <w:r>
        <w:rPr>
          <w:spacing w:val="40"/>
        </w:rPr>
        <w:t> </w:t>
      </w:r>
      <w:r>
        <w:rPr/>
        <w:t>Толстых Н.Н.</w:t>
      </w:r>
      <w:r>
        <w:rPr>
          <w:spacing w:val="40"/>
        </w:rPr>
        <w:t> </w:t>
      </w:r>
      <w:r>
        <w:rPr/>
        <w:t>Школьная</w:t>
      </w:r>
      <w:r>
        <w:rPr>
          <w:spacing w:val="40"/>
        </w:rPr>
        <w:t> </w:t>
      </w:r>
      <w:r>
        <w:rPr/>
        <w:t>дезадаптация.</w:t>
      </w:r>
      <w:r>
        <w:rPr>
          <w:spacing w:val="40"/>
        </w:rPr>
        <w:t> </w:t>
      </w:r>
      <w:r>
        <w:rPr/>
        <w:t>Карта наблюдений</w:t>
      </w:r>
      <w:r>
        <w:rPr>
          <w:spacing w:val="-8"/>
        </w:rPr>
        <w:t> </w:t>
      </w:r>
      <w:r>
        <w:rPr/>
        <w:t>Д.</w:t>
      </w:r>
      <w:r>
        <w:rPr>
          <w:spacing w:val="-2"/>
        </w:rPr>
        <w:t> </w:t>
      </w:r>
      <w:r>
        <w:rPr/>
        <w:t>Стотта</w:t>
      </w:r>
      <w:r>
        <w:rPr>
          <w:spacing w:val="-9"/>
        </w:rPr>
        <w:t> </w:t>
      </w:r>
      <w:r>
        <w:rPr/>
        <w:t>/</w:t>
      </w:r>
      <w:r>
        <w:rPr>
          <w:spacing w:val="-8"/>
        </w:rPr>
        <w:t> </w:t>
      </w:r>
      <w:r>
        <w:rPr/>
        <w:t>Рабочая</w:t>
      </w:r>
      <w:r>
        <w:rPr>
          <w:spacing w:val="-8"/>
        </w:rPr>
        <w:t> </w:t>
      </w:r>
      <w:r>
        <w:rPr/>
        <w:t>книга</w:t>
      </w:r>
      <w:r>
        <w:rPr>
          <w:spacing w:val="-9"/>
        </w:rPr>
        <w:t> </w:t>
      </w:r>
      <w:r>
        <w:rPr/>
        <w:t>школьного</w:t>
      </w:r>
      <w:r>
        <w:rPr>
          <w:spacing w:val="-8"/>
        </w:rPr>
        <w:t> </w:t>
      </w:r>
      <w:r>
        <w:rPr/>
        <w:t>психолога.</w:t>
      </w:r>
      <w:r>
        <w:rPr>
          <w:spacing w:val="-7"/>
        </w:rPr>
        <w:t> </w:t>
      </w:r>
      <w:r>
        <w:rPr/>
        <w:t>—</w:t>
      </w:r>
      <w:r>
        <w:rPr>
          <w:spacing w:val="-9"/>
        </w:rPr>
        <w:t> </w:t>
      </w:r>
      <w:r>
        <w:rPr/>
        <w:t>1991.</w:t>
      </w:r>
      <w:r>
        <w:rPr>
          <w:spacing w:val="-9"/>
        </w:rPr>
        <w:t> </w:t>
      </w:r>
      <w:r>
        <w:rPr/>
        <w:t>— С. 168–179.</w:t>
      </w:r>
    </w:p>
    <w:p>
      <w:pPr>
        <w:pStyle w:val="Heading4"/>
        <w:numPr>
          <w:ilvl w:val="0"/>
          <w:numId w:val="33"/>
        </w:numPr>
        <w:tabs>
          <w:tab w:pos="928" w:val="left" w:leader="none"/>
        </w:tabs>
        <w:spacing w:line="242" w:lineRule="auto" w:before="0" w:after="0"/>
        <w:ind w:left="928" w:right="564" w:hanging="360"/>
        <w:jc w:val="both"/>
        <w:rPr>
          <w:sz w:val="26"/>
        </w:rPr>
      </w:pPr>
      <w:r>
        <w:rPr/>
        <w:t>Репина</w:t>
      </w:r>
      <w:r>
        <w:rPr>
          <w:spacing w:val="-2"/>
        </w:rPr>
        <w:t> </w:t>
      </w:r>
      <w:r>
        <w:rPr/>
        <w:t>Т.А. Социально-психологическая характеристика группы детского сада. М.: Педагогика. — 1988. — 230 с.</w:t>
      </w:r>
    </w:p>
    <w:p>
      <w:pPr>
        <w:pStyle w:val="Heading4"/>
        <w:numPr>
          <w:ilvl w:val="0"/>
          <w:numId w:val="33"/>
        </w:numPr>
        <w:tabs>
          <w:tab w:pos="928" w:val="left" w:leader="none"/>
        </w:tabs>
        <w:spacing w:line="240" w:lineRule="auto" w:before="0" w:after="0"/>
        <w:ind w:left="928" w:right="562" w:hanging="360"/>
        <w:jc w:val="both"/>
        <w:rPr>
          <w:sz w:val="26"/>
        </w:rPr>
      </w:pPr>
      <w:r>
        <w:rPr/>
        <w:t>Сафронова</w:t>
      </w:r>
      <w:r>
        <w:rPr>
          <w:spacing w:val="-5"/>
        </w:rPr>
        <w:t> </w:t>
      </w:r>
      <w:r>
        <w:rPr/>
        <w:t>М.В., Слободская Е.Р., Гудман,</w:t>
      </w:r>
      <w:r>
        <w:rPr>
          <w:spacing w:val="-2"/>
        </w:rPr>
        <w:t> </w:t>
      </w:r>
      <w:r>
        <w:rPr/>
        <w:t>Р., Савина Н.Н. Социально- экономическое положение семьи и психическое здоровье школьников. Сибирский психологический журнал. — 2003. — 18. — pp. 78-85.</w:t>
      </w:r>
    </w:p>
    <w:p>
      <w:pPr>
        <w:pStyle w:val="Heading4"/>
        <w:spacing w:after="0" w:line="240" w:lineRule="auto"/>
        <w:jc w:val="both"/>
        <w:rPr>
          <w:sz w:val="26"/>
        </w:rPr>
        <w:sectPr>
          <w:pgSz w:w="11910" w:h="16840"/>
          <w:pgMar w:header="0" w:footer="970" w:top="1040" w:bottom="1220" w:left="1417" w:right="283"/>
        </w:sectPr>
      </w:pPr>
    </w:p>
    <w:p>
      <w:pPr>
        <w:pStyle w:val="Heading4"/>
        <w:numPr>
          <w:ilvl w:val="0"/>
          <w:numId w:val="33"/>
        </w:numPr>
        <w:tabs>
          <w:tab w:pos="928" w:val="left" w:leader="none"/>
        </w:tabs>
        <w:spacing w:line="240" w:lineRule="auto" w:before="67" w:after="0"/>
        <w:ind w:left="928" w:right="560" w:hanging="360"/>
        <w:jc w:val="both"/>
        <w:rPr>
          <w:sz w:val="26"/>
        </w:rPr>
      </w:pPr>
      <w:r>
        <w:rPr/>
        <w:t>Семенова</w:t>
      </w:r>
      <w:r>
        <w:rPr>
          <w:spacing w:val="-3"/>
        </w:rPr>
        <w:t> </w:t>
      </w:r>
      <w:r>
        <w:rPr/>
        <w:t>Н.Б.,</w:t>
      </w:r>
      <w:r>
        <w:rPr>
          <w:spacing w:val="80"/>
          <w:w w:val="150"/>
        </w:rPr>
        <w:t> </w:t>
      </w:r>
      <w:r>
        <w:rPr/>
        <w:t>Мартынова</w:t>
      </w:r>
      <w:r>
        <w:rPr>
          <w:spacing w:val="-2"/>
        </w:rPr>
        <w:t> </w:t>
      </w:r>
      <w:r>
        <w:rPr/>
        <w:t>Т.Ф.</w:t>
      </w:r>
      <w:r>
        <w:rPr>
          <w:spacing w:val="80"/>
          <w:w w:val="150"/>
        </w:rPr>
        <w:t> </w:t>
      </w:r>
      <w:r>
        <w:rPr/>
        <w:t>Возможности</w:t>
      </w:r>
      <w:r>
        <w:rPr>
          <w:spacing w:val="80"/>
          <w:w w:val="150"/>
        </w:rPr>
        <w:t> </w:t>
      </w:r>
      <w:r>
        <w:rPr/>
        <w:t>использования</w:t>
      </w:r>
      <w:r>
        <w:rPr>
          <w:spacing w:val="80"/>
          <w:w w:val="150"/>
        </w:rPr>
        <w:t> </w:t>
      </w:r>
      <w:r>
        <w:rPr/>
        <w:t>теста Р.</w:t>
      </w:r>
      <w:r>
        <w:rPr>
          <w:spacing w:val="-4"/>
        </w:rPr>
        <w:t> </w:t>
      </w:r>
      <w:r>
        <w:rPr/>
        <w:t>Гудмана для оценки психического здоровья детей и подростков Республики Саха (Якутия). Якутский медицинский журнал. — 2012. —</w:t>
      </w:r>
    </w:p>
    <w:p>
      <w:pPr>
        <w:pStyle w:val="Heading4"/>
        <w:spacing w:line="322" w:lineRule="exact" w:before="2"/>
        <w:ind w:left="928"/>
      </w:pPr>
      <w:r>
        <w:rPr/>
        <w:t>2.</w:t>
      </w:r>
      <w:r>
        <w:rPr>
          <w:spacing w:val="-5"/>
        </w:rPr>
        <w:t> </w:t>
      </w:r>
      <w:r>
        <w:rPr/>
        <w:t>—</w:t>
      </w:r>
      <w:r>
        <w:rPr>
          <w:spacing w:val="-3"/>
        </w:rPr>
        <w:t> </w:t>
      </w:r>
      <w:r>
        <w:rPr/>
        <w:t>pp.</w:t>
      </w:r>
      <w:r>
        <w:rPr>
          <w:spacing w:val="-3"/>
        </w:rPr>
        <w:t> </w:t>
      </w:r>
      <w:r>
        <w:rPr/>
        <w:t>67-</w:t>
      </w:r>
      <w:r>
        <w:rPr>
          <w:spacing w:val="-5"/>
        </w:rPr>
        <w:t>69.</w:t>
      </w:r>
    </w:p>
    <w:p>
      <w:pPr>
        <w:pStyle w:val="Heading4"/>
        <w:numPr>
          <w:ilvl w:val="0"/>
          <w:numId w:val="33"/>
        </w:numPr>
        <w:tabs>
          <w:tab w:pos="928" w:val="left" w:leader="none"/>
          <w:tab w:pos="1974" w:val="left" w:leader="none"/>
          <w:tab w:pos="2937" w:val="left" w:leader="none"/>
          <w:tab w:pos="3748" w:val="left" w:leader="none"/>
          <w:tab w:pos="3900" w:val="left" w:leader="none"/>
          <w:tab w:pos="4423" w:val="left" w:leader="none"/>
          <w:tab w:pos="4555" w:val="left" w:leader="none"/>
          <w:tab w:pos="5251" w:val="left" w:leader="none"/>
          <w:tab w:pos="5783" w:val="left" w:leader="none"/>
          <w:tab w:pos="5992" w:val="left" w:leader="none"/>
          <w:tab w:pos="6300" w:val="left" w:leader="none"/>
          <w:tab w:pos="6996" w:val="left" w:leader="none"/>
          <w:tab w:pos="7620" w:val="left" w:leader="none"/>
          <w:tab w:pos="7680" w:val="left" w:leader="none"/>
          <w:tab w:pos="7903" w:val="left" w:leader="none"/>
          <w:tab w:pos="8307" w:val="left" w:leader="none"/>
          <w:tab w:pos="9005" w:val="left" w:leader="none"/>
        </w:tabs>
        <w:spacing w:line="240" w:lineRule="auto" w:before="0" w:after="0"/>
        <w:ind w:left="928" w:right="558" w:hanging="360"/>
        <w:jc w:val="left"/>
        <w:rPr>
          <w:sz w:val="26"/>
        </w:rPr>
      </w:pPr>
      <w:r>
        <w:rPr/>
        <w:t>Семионенкова Н.В.,</w:t>
        <w:tab/>
        <w:t>Аргунова И.А.,</w:t>
        <w:tab/>
        <w:tab/>
        <w:t>Титова Н.Е.,</w:t>
        <w:tab/>
        <w:tab/>
        <w:tab/>
        <w:t>Хлопьева</w:t>
      </w:r>
      <w:r>
        <w:rPr>
          <w:spacing w:val="-18"/>
        </w:rPr>
        <w:t> </w:t>
      </w:r>
      <w:r>
        <w:rPr/>
        <w:t>Н.В. Тревожно-депрессивные</w:t>
      </w:r>
      <w:r>
        <w:rPr>
          <w:spacing w:val="-8"/>
        </w:rPr>
        <w:t> </w:t>
      </w:r>
      <w:r>
        <w:rPr/>
        <w:t>расстройства</w:t>
      </w:r>
      <w:r>
        <w:rPr>
          <w:spacing w:val="-6"/>
        </w:rPr>
        <w:t> </w:t>
      </w:r>
      <w:r>
        <w:rPr/>
        <w:t>у</w:t>
      </w:r>
      <w:r>
        <w:rPr>
          <w:spacing w:val="-7"/>
        </w:rPr>
        <w:t> </w:t>
      </w:r>
      <w:r>
        <w:rPr/>
        <w:t>работников</w:t>
      </w:r>
      <w:r>
        <w:rPr>
          <w:spacing w:val="-7"/>
        </w:rPr>
        <w:t> </w:t>
      </w:r>
      <w:r>
        <w:rPr/>
        <w:t>здравоохранения — </w:t>
      </w:r>
      <w:r>
        <w:rPr>
          <w:spacing w:val="-2"/>
        </w:rPr>
        <w:t>Текст</w:t>
      </w:r>
      <w:r>
        <w:rPr/>
        <w:tab/>
      </w:r>
      <w:r>
        <w:rPr>
          <w:spacing w:val="-2"/>
        </w:rPr>
        <w:t>электронный</w:t>
      </w:r>
      <w:r>
        <w:rPr/>
        <w:tab/>
        <w:tab/>
      </w:r>
      <w:r>
        <w:rPr>
          <w:spacing w:val="-6"/>
        </w:rPr>
        <w:t>//</w:t>
      </w:r>
      <w:r>
        <w:rPr/>
        <w:tab/>
      </w:r>
      <w:r>
        <w:rPr>
          <w:spacing w:val="-2"/>
        </w:rPr>
        <w:t>Вестник</w:t>
      </w:r>
      <w:r>
        <w:rPr/>
        <w:tab/>
      </w:r>
      <w:r>
        <w:rPr>
          <w:spacing w:val="-2"/>
        </w:rPr>
        <w:t>Смоленской</w:t>
      </w:r>
      <w:r>
        <w:rPr/>
        <w:tab/>
      </w:r>
      <w:r>
        <w:rPr>
          <w:spacing w:val="-2"/>
        </w:rPr>
        <w:t>государственной медицинской</w:t>
      </w:r>
      <w:r>
        <w:rPr/>
        <w:tab/>
      </w:r>
      <w:r>
        <w:rPr>
          <w:spacing w:val="-2"/>
        </w:rPr>
        <w:t>академии.</w:t>
      </w:r>
      <w:r>
        <w:rPr/>
        <w:tab/>
        <w:tab/>
      </w:r>
      <w:r>
        <w:rPr>
          <w:spacing w:val="-10"/>
        </w:rPr>
        <w:t>—</w:t>
      </w:r>
      <w:r>
        <w:rPr/>
        <w:tab/>
      </w:r>
      <w:r>
        <w:rPr>
          <w:spacing w:val="-4"/>
        </w:rPr>
        <w:t>2011.</w:t>
      </w:r>
      <w:r>
        <w:rPr/>
        <w:tab/>
        <w:tab/>
      </w:r>
      <w:r>
        <w:rPr>
          <w:spacing w:val="-10"/>
        </w:rPr>
        <w:t>—</w:t>
      </w:r>
      <w:r>
        <w:rPr/>
        <w:tab/>
      </w:r>
      <w:r>
        <w:rPr>
          <w:spacing w:val="-10"/>
        </w:rPr>
        <w:t>№</w:t>
      </w:r>
      <w:r>
        <w:rPr/>
        <w:tab/>
        <w:tab/>
      </w:r>
      <w:r>
        <w:rPr>
          <w:spacing w:val="-6"/>
        </w:rPr>
        <w:t>2.</w:t>
      </w:r>
      <w:r>
        <w:rPr/>
        <w:tab/>
        <w:tab/>
      </w:r>
      <w:r>
        <w:rPr>
          <w:spacing w:val="-10"/>
        </w:rPr>
        <w:t>—</w:t>
      </w:r>
      <w:r>
        <w:rPr/>
        <w:tab/>
      </w:r>
      <w:r>
        <w:rPr>
          <w:spacing w:val="-4"/>
        </w:rPr>
        <w:t>URL: </w:t>
      </w:r>
      <w:r>
        <w:rPr>
          <w:spacing w:val="-2"/>
        </w:rPr>
        <w:t>https://cyberleninka.ru/article/n/trevozhno-depressivnye-rasstroystva-u- rabotnikov-zdravoohraneniya.</w:t>
      </w:r>
    </w:p>
    <w:p>
      <w:pPr>
        <w:pStyle w:val="Heading4"/>
        <w:numPr>
          <w:ilvl w:val="0"/>
          <w:numId w:val="33"/>
        </w:numPr>
        <w:tabs>
          <w:tab w:pos="928" w:val="left" w:leader="none"/>
        </w:tabs>
        <w:spacing w:line="240" w:lineRule="auto" w:before="0" w:after="0"/>
        <w:ind w:left="928" w:right="564" w:hanging="360"/>
        <w:jc w:val="both"/>
        <w:rPr>
          <w:sz w:val="26"/>
        </w:rPr>
      </w:pPr>
      <w:r>
        <w:rPr/>
        <w:t>Слободская</w:t>
      </w:r>
      <w:r>
        <w:rPr>
          <w:spacing w:val="-2"/>
        </w:rPr>
        <w:t> </w:t>
      </w:r>
      <w:r>
        <w:rPr/>
        <w:t>Е.Р., Гудман</w:t>
      </w:r>
      <w:r>
        <w:rPr>
          <w:spacing w:val="-2"/>
        </w:rPr>
        <w:t> </w:t>
      </w:r>
      <w:r>
        <w:rPr/>
        <w:t>Р., Рябиченко</w:t>
      </w:r>
      <w:r>
        <w:rPr>
          <w:spacing w:val="-3"/>
        </w:rPr>
        <w:t> </w:t>
      </w:r>
      <w:r>
        <w:rPr/>
        <w:t>Т.И. Психосоциальные факторы эмоциональных проблем и отклонений в поведении подростков. Психиатрия. — 2006. — 2. — c. 28–36.</w:t>
      </w:r>
    </w:p>
    <w:p>
      <w:pPr>
        <w:pStyle w:val="Heading4"/>
        <w:numPr>
          <w:ilvl w:val="0"/>
          <w:numId w:val="33"/>
        </w:numPr>
        <w:tabs>
          <w:tab w:pos="928" w:val="left" w:leader="none"/>
        </w:tabs>
        <w:spacing w:line="240" w:lineRule="auto" w:before="2" w:after="0"/>
        <w:ind w:left="928" w:right="560" w:hanging="360"/>
        <w:jc w:val="both"/>
        <w:rPr>
          <w:sz w:val="26"/>
        </w:rPr>
      </w:pPr>
      <w:r>
        <w:rPr/>
        <w:t>Солдатова</w:t>
      </w:r>
      <w:r>
        <w:rPr>
          <w:spacing w:val="-5"/>
        </w:rPr>
        <w:t> </w:t>
      </w:r>
      <w:r>
        <w:rPr/>
        <w:t>Г.У.,</w:t>
      </w:r>
      <w:r>
        <w:rPr>
          <w:spacing w:val="40"/>
        </w:rPr>
        <w:t> </w:t>
      </w:r>
      <w:r>
        <w:rPr/>
        <w:t>Макарчук</w:t>
      </w:r>
      <w:r>
        <w:rPr>
          <w:spacing w:val="-1"/>
        </w:rPr>
        <w:t> </w:t>
      </w:r>
      <w:r>
        <w:rPr/>
        <w:t>А.В.,</w:t>
      </w:r>
      <w:r>
        <w:rPr>
          <w:spacing w:val="40"/>
        </w:rPr>
        <w:t> </w:t>
      </w:r>
      <w:r>
        <w:rPr/>
        <w:t>Пантелеев</w:t>
      </w:r>
      <w:r>
        <w:rPr>
          <w:spacing w:val="-2"/>
        </w:rPr>
        <w:t> </w:t>
      </w:r>
      <w:r>
        <w:rPr/>
        <w:t>А.Б.</w:t>
      </w:r>
      <w:r>
        <w:rPr>
          <w:spacing w:val="40"/>
        </w:rPr>
        <w:t> </w:t>
      </w:r>
      <w:r>
        <w:rPr/>
        <w:t>Программа</w:t>
      </w:r>
      <w:r>
        <w:rPr>
          <w:spacing w:val="40"/>
        </w:rPr>
        <w:t> </w:t>
      </w:r>
      <w:r>
        <w:rPr/>
        <w:t>оценки адаптации детей и подростков из семей мигрантов к поликультурной образовательной среде // Межкультурная компетентность педагога в поликультурном образовательном пространстве. Научно-методические материалы</w:t>
      </w:r>
      <w:r>
        <w:rPr>
          <w:spacing w:val="-1"/>
        </w:rPr>
        <w:t> </w:t>
      </w:r>
      <w:r>
        <w:rPr/>
        <w:t>/ Под ред. О.Е. Хухлаева, М.Ю. Чибисовой. — СПб. — 2008.</w:t>
      </w:r>
    </w:p>
    <w:p>
      <w:pPr>
        <w:pStyle w:val="Heading4"/>
        <w:spacing w:line="320" w:lineRule="exact"/>
        <w:ind w:left="928"/>
      </w:pPr>
      <w:r>
        <w:rPr/>
        <w:t>—</w:t>
      </w:r>
      <w:r>
        <w:rPr>
          <w:spacing w:val="-1"/>
        </w:rPr>
        <w:t> </w:t>
      </w:r>
      <w:r>
        <w:rPr/>
        <w:t>c.</w:t>
      </w:r>
      <w:r>
        <w:rPr>
          <w:spacing w:val="-1"/>
        </w:rPr>
        <w:t> </w:t>
      </w:r>
      <w:r>
        <w:rPr>
          <w:spacing w:val="-2"/>
        </w:rPr>
        <w:t>352–372.</w:t>
      </w:r>
    </w:p>
    <w:p>
      <w:pPr>
        <w:pStyle w:val="Heading4"/>
        <w:numPr>
          <w:ilvl w:val="0"/>
          <w:numId w:val="33"/>
        </w:numPr>
        <w:tabs>
          <w:tab w:pos="928" w:val="left" w:leader="none"/>
        </w:tabs>
        <w:spacing w:line="240" w:lineRule="auto" w:before="0" w:after="0"/>
        <w:ind w:left="928" w:right="561" w:hanging="360"/>
        <w:jc w:val="both"/>
        <w:rPr>
          <w:sz w:val="26"/>
        </w:rPr>
      </w:pPr>
      <w:r>
        <w:rPr/>
        <w:t>Стратегии межкультурного взаимодействия мигрантов и населения России:</w:t>
      </w:r>
      <w:r>
        <w:rPr>
          <w:spacing w:val="40"/>
        </w:rPr>
        <w:t> </w:t>
      </w:r>
      <w:r>
        <w:rPr/>
        <w:t>Сборник</w:t>
      </w:r>
      <w:r>
        <w:rPr>
          <w:spacing w:val="40"/>
        </w:rPr>
        <w:t> </w:t>
      </w:r>
      <w:r>
        <w:rPr/>
        <w:t>научных</w:t>
      </w:r>
      <w:r>
        <w:rPr>
          <w:spacing w:val="40"/>
        </w:rPr>
        <w:t> </w:t>
      </w:r>
      <w:r>
        <w:rPr/>
        <w:t>статей</w:t>
      </w:r>
      <w:r>
        <w:rPr>
          <w:spacing w:val="40"/>
        </w:rPr>
        <w:t> </w:t>
      </w:r>
      <w:r>
        <w:rPr/>
        <w:t>/</w:t>
      </w:r>
      <w:r>
        <w:rPr>
          <w:spacing w:val="40"/>
        </w:rPr>
        <w:t> </w:t>
      </w:r>
      <w:r>
        <w:rPr/>
        <w:t>Под</w:t>
      </w:r>
      <w:r>
        <w:rPr>
          <w:spacing w:val="40"/>
        </w:rPr>
        <w:t> </w:t>
      </w:r>
      <w:r>
        <w:rPr/>
        <w:t>ред.</w:t>
      </w:r>
      <w:r>
        <w:rPr>
          <w:spacing w:val="40"/>
        </w:rPr>
        <w:t> </w:t>
      </w:r>
      <w:r>
        <w:rPr/>
        <w:t>Лебедевой Н.М.</w:t>
      </w:r>
      <w:r>
        <w:rPr>
          <w:spacing w:val="-3"/>
        </w:rPr>
        <w:t> </w:t>
      </w:r>
      <w:r>
        <w:rPr/>
        <w:t>и</w:t>
      </w:r>
      <w:r>
        <w:rPr>
          <w:spacing w:val="40"/>
        </w:rPr>
        <w:t> </w:t>
      </w:r>
      <w:r>
        <w:rPr/>
        <w:t>Татарко А.Н. — М.: РУДН. — 2009. — 420 с.</w:t>
      </w:r>
    </w:p>
    <w:p>
      <w:pPr>
        <w:pStyle w:val="Heading4"/>
        <w:numPr>
          <w:ilvl w:val="0"/>
          <w:numId w:val="33"/>
        </w:numPr>
        <w:tabs>
          <w:tab w:pos="928" w:val="left" w:leader="none"/>
        </w:tabs>
        <w:spacing w:line="240" w:lineRule="auto" w:before="1" w:after="0"/>
        <w:ind w:left="928" w:right="561" w:hanging="360"/>
        <w:jc w:val="both"/>
        <w:rPr>
          <w:sz w:val="26"/>
        </w:rPr>
      </w:pPr>
      <w:r>
        <w:rPr/>
        <w:t>Сычев</w:t>
      </w:r>
      <w:r>
        <w:rPr>
          <w:spacing w:val="-3"/>
        </w:rPr>
        <w:t> </w:t>
      </w:r>
      <w:r>
        <w:rPr/>
        <w:t>О.А.,</w:t>
      </w:r>
      <w:r>
        <w:rPr>
          <w:spacing w:val="40"/>
        </w:rPr>
        <w:t> </w:t>
      </w:r>
      <w:r>
        <w:rPr/>
        <w:t>Гордеева</w:t>
      </w:r>
      <w:r>
        <w:rPr>
          <w:spacing w:val="-2"/>
        </w:rPr>
        <w:t> </w:t>
      </w:r>
      <w:r>
        <w:rPr/>
        <w:t>Т.О.,</w:t>
      </w:r>
      <w:r>
        <w:rPr>
          <w:spacing w:val="40"/>
        </w:rPr>
        <w:t> </w:t>
      </w:r>
      <w:r>
        <w:rPr/>
        <w:t>Лункина</w:t>
      </w:r>
      <w:r>
        <w:rPr>
          <w:spacing w:val="-3"/>
        </w:rPr>
        <w:t> </w:t>
      </w:r>
      <w:r>
        <w:rPr/>
        <w:t>М.В.,</w:t>
      </w:r>
      <w:r>
        <w:rPr>
          <w:spacing w:val="40"/>
        </w:rPr>
        <w:t> </w:t>
      </w:r>
      <w:r>
        <w:rPr/>
        <w:t>Осин</w:t>
      </w:r>
      <w:r>
        <w:rPr>
          <w:spacing w:val="-1"/>
        </w:rPr>
        <w:t> </w:t>
      </w:r>
      <w:r>
        <w:rPr/>
        <w:t>Е.Н.,</w:t>
      </w:r>
      <w:r>
        <w:rPr>
          <w:spacing w:val="40"/>
        </w:rPr>
        <w:t> </w:t>
      </w:r>
      <w:r>
        <w:rPr/>
        <w:t>Сиднева</w:t>
      </w:r>
      <w:r>
        <w:rPr>
          <w:spacing w:val="-2"/>
        </w:rPr>
        <w:t> </w:t>
      </w:r>
      <w:r>
        <w:rPr/>
        <w:t>А.Н. Многомерная шкала удовлетворенности жизнью школьников // Психологическая наука и образование. — 2018. — Т. 23. — № 6. — c.5–</w:t>
      </w:r>
    </w:p>
    <w:p>
      <w:pPr>
        <w:pStyle w:val="Heading4"/>
        <w:spacing w:line="321" w:lineRule="exact"/>
        <w:ind w:left="928"/>
      </w:pPr>
      <w:r>
        <w:rPr/>
        <w:t>15.</w:t>
      </w:r>
      <w:r>
        <w:rPr>
          <w:spacing w:val="-4"/>
        </w:rPr>
        <w:t> </w:t>
      </w:r>
      <w:r>
        <w:rPr/>
        <w:t>Doi:</w:t>
      </w:r>
      <w:r>
        <w:rPr>
          <w:spacing w:val="-2"/>
        </w:rPr>
        <w:t> 10.17759/pse.2018230601</w:t>
      </w:r>
    </w:p>
    <w:p>
      <w:pPr>
        <w:pStyle w:val="Heading4"/>
        <w:numPr>
          <w:ilvl w:val="0"/>
          <w:numId w:val="33"/>
        </w:numPr>
        <w:tabs>
          <w:tab w:pos="928" w:val="left" w:leader="none"/>
        </w:tabs>
        <w:spacing w:line="240" w:lineRule="auto" w:before="2" w:after="0"/>
        <w:ind w:left="928" w:right="560" w:hanging="360"/>
        <w:jc w:val="both"/>
        <w:rPr>
          <w:sz w:val="26"/>
        </w:rPr>
      </w:pPr>
      <w:r>
        <w:rPr/>
        <w:t>Ушакова</w:t>
      </w:r>
      <w:r>
        <w:rPr>
          <w:spacing w:val="-3"/>
        </w:rPr>
        <w:t> </w:t>
      </w:r>
      <w:r>
        <w:rPr/>
        <w:t>С.С. Социокультурная адаптация этнических мигрантов и их детей</w:t>
      </w:r>
      <w:r>
        <w:rPr>
          <w:spacing w:val="-13"/>
        </w:rPr>
        <w:t> </w:t>
      </w:r>
      <w:r>
        <w:rPr/>
        <w:t>в</w:t>
      </w:r>
      <w:r>
        <w:rPr>
          <w:spacing w:val="-14"/>
        </w:rPr>
        <w:t> </w:t>
      </w:r>
      <w:r>
        <w:rPr/>
        <w:t>поликультурном</w:t>
      </w:r>
      <w:r>
        <w:rPr>
          <w:spacing w:val="-16"/>
        </w:rPr>
        <w:t> </w:t>
      </w:r>
      <w:r>
        <w:rPr/>
        <w:t>пространстве</w:t>
      </w:r>
      <w:r>
        <w:rPr>
          <w:spacing w:val="-14"/>
        </w:rPr>
        <w:t> </w:t>
      </w:r>
      <w:r>
        <w:rPr/>
        <w:t>мегаполиса</w:t>
      </w:r>
      <w:r>
        <w:rPr>
          <w:spacing w:val="-13"/>
        </w:rPr>
        <w:t> </w:t>
      </w:r>
      <w:r>
        <w:rPr/>
        <w:t>(на</w:t>
      </w:r>
      <w:r>
        <w:rPr>
          <w:spacing w:val="-13"/>
        </w:rPr>
        <w:t> </w:t>
      </w:r>
      <w:r>
        <w:rPr/>
        <w:t>материалах</w:t>
      </w:r>
      <w:r>
        <w:rPr>
          <w:spacing w:val="-13"/>
        </w:rPr>
        <w:t> </w:t>
      </w:r>
      <w:r>
        <w:rPr/>
        <w:t>города Москвы) / Коммуникология. — 2014. — № 2.</w:t>
      </w:r>
    </w:p>
    <w:p>
      <w:pPr>
        <w:pStyle w:val="Heading4"/>
        <w:numPr>
          <w:ilvl w:val="0"/>
          <w:numId w:val="33"/>
        </w:numPr>
        <w:tabs>
          <w:tab w:pos="928" w:val="left" w:leader="none"/>
        </w:tabs>
        <w:spacing w:line="240" w:lineRule="auto" w:before="0" w:after="0"/>
        <w:ind w:left="928" w:right="562" w:hanging="360"/>
        <w:jc w:val="both"/>
        <w:rPr>
          <w:sz w:val="26"/>
        </w:rPr>
      </w:pPr>
      <w:r>
        <w:rPr/>
        <w:t>Чернышова</w:t>
      </w:r>
      <w:r>
        <w:rPr>
          <w:spacing w:val="-1"/>
        </w:rPr>
        <w:t> </w:t>
      </w:r>
      <w:r>
        <w:rPr/>
        <w:t>Е.А. Взаимосвязь особенностей систем личностных конструктов</w:t>
      </w:r>
      <w:r>
        <w:rPr>
          <w:spacing w:val="-14"/>
        </w:rPr>
        <w:t> </w:t>
      </w:r>
      <w:r>
        <w:rPr/>
        <w:t>студентов</w:t>
      </w:r>
      <w:r>
        <w:rPr>
          <w:spacing w:val="-14"/>
        </w:rPr>
        <w:t> </w:t>
      </w:r>
      <w:r>
        <w:rPr/>
        <w:t>и</w:t>
      </w:r>
      <w:r>
        <w:rPr>
          <w:spacing w:val="-13"/>
        </w:rPr>
        <w:t> </w:t>
      </w:r>
      <w:r>
        <w:rPr/>
        <w:t>их</w:t>
      </w:r>
      <w:r>
        <w:rPr>
          <w:spacing w:val="-13"/>
        </w:rPr>
        <w:t> </w:t>
      </w:r>
      <w:r>
        <w:rPr/>
        <w:t>статусной</w:t>
      </w:r>
      <w:r>
        <w:rPr>
          <w:spacing w:val="-15"/>
        </w:rPr>
        <w:t> </w:t>
      </w:r>
      <w:r>
        <w:rPr/>
        <w:t>позиции</w:t>
      </w:r>
      <w:r>
        <w:rPr>
          <w:spacing w:val="-13"/>
        </w:rPr>
        <w:t> </w:t>
      </w:r>
      <w:r>
        <w:rPr/>
        <w:t>в</w:t>
      </w:r>
      <w:r>
        <w:rPr>
          <w:spacing w:val="-14"/>
        </w:rPr>
        <w:t> </w:t>
      </w:r>
      <w:r>
        <w:rPr/>
        <w:t>учебных</w:t>
      </w:r>
      <w:r>
        <w:rPr>
          <w:spacing w:val="-13"/>
        </w:rPr>
        <w:t> </w:t>
      </w:r>
      <w:r>
        <w:rPr/>
        <w:t>группах.</w:t>
      </w:r>
      <w:r>
        <w:rPr>
          <w:spacing w:val="-14"/>
        </w:rPr>
        <w:t> </w:t>
      </w:r>
      <w:r>
        <w:rPr/>
        <w:t>М.</w:t>
      </w:r>
      <w:r>
        <w:rPr>
          <w:spacing w:val="-6"/>
        </w:rPr>
        <w:t> </w:t>
      </w:r>
      <w:r>
        <w:rPr/>
        <w:t>— 2012. — 151 с.</w:t>
      </w:r>
    </w:p>
    <w:p>
      <w:pPr>
        <w:pStyle w:val="Heading4"/>
        <w:numPr>
          <w:ilvl w:val="0"/>
          <w:numId w:val="33"/>
        </w:numPr>
        <w:tabs>
          <w:tab w:pos="928" w:val="left" w:leader="none"/>
        </w:tabs>
        <w:spacing w:line="240" w:lineRule="auto" w:before="0" w:after="0"/>
        <w:ind w:left="928" w:right="562" w:hanging="360"/>
        <w:jc w:val="both"/>
        <w:rPr>
          <w:sz w:val="26"/>
        </w:rPr>
      </w:pPr>
      <w:r>
        <w:rPr/>
        <w:t>Achenbach</w:t>
      </w:r>
      <w:r>
        <w:rPr>
          <w:spacing w:val="-1"/>
        </w:rPr>
        <w:t> </w:t>
      </w:r>
      <w:r>
        <w:rPr/>
        <w:t>T.M. Manual for the ASEBA School-Age Forms and Profiles: an integranted system of multi-informant assessment. Burlington: ASEBA. — 2007. — 238 p. — ISBN 0-938565-73-7</w:t>
      </w:r>
    </w:p>
    <w:p>
      <w:pPr>
        <w:pStyle w:val="Heading4"/>
        <w:numPr>
          <w:ilvl w:val="0"/>
          <w:numId w:val="33"/>
        </w:numPr>
        <w:tabs>
          <w:tab w:pos="928" w:val="left" w:leader="none"/>
        </w:tabs>
        <w:spacing w:line="240" w:lineRule="auto" w:before="0" w:after="0"/>
        <w:ind w:left="928" w:right="563" w:hanging="360"/>
        <w:jc w:val="both"/>
        <w:rPr>
          <w:sz w:val="26"/>
        </w:rPr>
      </w:pPr>
      <w:r>
        <w:rPr/>
        <w:t>Achenbach</w:t>
      </w:r>
      <w:r>
        <w:rPr>
          <w:spacing w:val="-1"/>
        </w:rPr>
        <w:t> </w:t>
      </w:r>
      <w:r>
        <w:rPr/>
        <w:t>T.M. Manual for the Child Behavior Checklist/4-18 and 1991 profile.</w:t>
      </w:r>
      <w:r>
        <w:rPr>
          <w:spacing w:val="-8"/>
        </w:rPr>
        <w:t> </w:t>
      </w:r>
      <w:r>
        <w:rPr/>
        <w:t>Burlington,</w:t>
      </w:r>
      <w:r>
        <w:rPr>
          <w:spacing w:val="-9"/>
        </w:rPr>
        <w:t> </w:t>
      </w:r>
      <w:r>
        <w:rPr/>
        <w:t>VT:</w:t>
      </w:r>
      <w:r>
        <w:rPr>
          <w:spacing w:val="-8"/>
        </w:rPr>
        <w:t> </w:t>
      </w:r>
      <w:r>
        <w:rPr/>
        <w:t>University</w:t>
      </w:r>
      <w:r>
        <w:rPr>
          <w:spacing w:val="-12"/>
        </w:rPr>
        <w:t> </w:t>
      </w:r>
      <w:r>
        <w:rPr/>
        <w:t>of</w:t>
      </w:r>
      <w:r>
        <w:rPr>
          <w:spacing w:val="-9"/>
        </w:rPr>
        <w:t> </w:t>
      </w:r>
      <w:r>
        <w:rPr/>
        <w:t>Vermont,</w:t>
      </w:r>
      <w:r>
        <w:rPr>
          <w:spacing w:val="-9"/>
        </w:rPr>
        <w:t> </w:t>
      </w:r>
      <w:r>
        <w:rPr/>
        <w:t>Department</w:t>
      </w:r>
      <w:r>
        <w:rPr>
          <w:spacing w:val="-8"/>
        </w:rPr>
        <w:t> </w:t>
      </w:r>
      <w:r>
        <w:rPr/>
        <w:t>of</w:t>
      </w:r>
      <w:r>
        <w:rPr>
          <w:spacing w:val="-11"/>
        </w:rPr>
        <w:t> </w:t>
      </w:r>
      <w:r>
        <w:rPr/>
        <w:t>Psychiatry.</w:t>
      </w:r>
      <w:r>
        <w:rPr>
          <w:spacing w:val="-2"/>
        </w:rPr>
        <w:t> </w:t>
      </w:r>
      <w:r>
        <w:rPr/>
        <w:t>— </w:t>
      </w:r>
      <w:r>
        <w:rPr>
          <w:spacing w:val="-4"/>
        </w:rPr>
        <w:t>1991.</w:t>
      </w:r>
    </w:p>
    <w:p>
      <w:pPr>
        <w:pStyle w:val="Heading4"/>
        <w:numPr>
          <w:ilvl w:val="0"/>
          <w:numId w:val="33"/>
        </w:numPr>
        <w:tabs>
          <w:tab w:pos="928" w:val="left" w:leader="none"/>
        </w:tabs>
        <w:spacing w:line="240" w:lineRule="auto" w:before="0" w:after="0"/>
        <w:ind w:left="928" w:right="562" w:hanging="360"/>
        <w:jc w:val="both"/>
        <w:rPr>
          <w:sz w:val="26"/>
        </w:rPr>
      </w:pPr>
      <w:r>
        <w:rPr/>
        <w:t>Anthony</w:t>
      </w:r>
      <w:r>
        <w:rPr>
          <w:spacing w:val="-5"/>
        </w:rPr>
        <w:t> </w:t>
      </w:r>
      <w:r>
        <w:rPr/>
        <w:t>R., Moore G., Page</w:t>
      </w:r>
      <w:r>
        <w:rPr>
          <w:spacing w:val="-1"/>
        </w:rPr>
        <w:t> </w:t>
      </w:r>
      <w:r>
        <w:rPr/>
        <w:t>N.</w:t>
      </w:r>
      <w:r>
        <w:rPr>
          <w:spacing w:val="-3"/>
        </w:rPr>
        <w:t> </w:t>
      </w:r>
      <w:r>
        <w:rPr/>
        <w:t>et al.</w:t>
      </w:r>
      <w:r>
        <w:rPr>
          <w:spacing w:val="-1"/>
        </w:rPr>
        <w:t> </w:t>
      </w:r>
      <w:r>
        <w:rPr/>
        <w:t>Measurement invariance of the short Warwick-Edinburgh Mental Wellbeing Scale and latent mean differences (SWEMWBS)</w:t>
      </w:r>
      <w:r>
        <w:rPr>
          <w:spacing w:val="-10"/>
        </w:rPr>
        <w:t> </w:t>
      </w:r>
      <w:r>
        <w:rPr/>
        <w:t>in</w:t>
      </w:r>
      <w:r>
        <w:rPr>
          <w:spacing w:val="-9"/>
        </w:rPr>
        <w:t> </w:t>
      </w:r>
      <w:r>
        <w:rPr/>
        <w:t>young</w:t>
      </w:r>
      <w:r>
        <w:rPr>
          <w:spacing w:val="-12"/>
        </w:rPr>
        <w:t> </w:t>
      </w:r>
      <w:r>
        <w:rPr/>
        <w:t>people</w:t>
      </w:r>
      <w:r>
        <w:rPr>
          <w:spacing w:val="-12"/>
        </w:rPr>
        <w:t> </w:t>
      </w:r>
      <w:r>
        <w:rPr/>
        <w:t>by</w:t>
      </w:r>
      <w:r>
        <w:rPr>
          <w:spacing w:val="-14"/>
        </w:rPr>
        <w:t> </w:t>
      </w:r>
      <w:r>
        <w:rPr/>
        <w:t>current</w:t>
      </w:r>
      <w:r>
        <w:rPr>
          <w:spacing w:val="-12"/>
        </w:rPr>
        <w:t> </w:t>
      </w:r>
      <w:r>
        <w:rPr/>
        <w:t>care</w:t>
      </w:r>
      <w:r>
        <w:rPr>
          <w:spacing w:val="-10"/>
        </w:rPr>
        <w:t> </w:t>
      </w:r>
      <w:r>
        <w:rPr/>
        <w:t>status. Qual</w:t>
      </w:r>
      <w:r>
        <w:rPr>
          <w:spacing w:val="-9"/>
        </w:rPr>
        <w:t> </w:t>
      </w:r>
      <w:r>
        <w:rPr/>
        <w:t>Life</w:t>
      </w:r>
      <w:r>
        <w:rPr>
          <w:spacing w:val="-12"/>
        </w:rPr>
        <w:t> </w:t>
      </w:r>
      <w:r>
        <w:rPr/>
        <w:t>Res.</w:t>
      </w:r>
      <w:r>
        <w:rPr>
          <w:spacing w:val="-9"/>
        </w:rPr>
        <w:t> </w:t>
      </w:r>
      <w:r>
        <w:rPr/>
        <w:t>—</w:t>
      </w:r>
      <w:r>
        <w:rPr>
          <w:spacing w:val="-12"/>
        </w:rPr>
        <w:t> </w:t>
      </w:r>
      <w:r>
        <w:rPr/>
        <w:t>2021. </w:t>
      </w:r>
      <w:r>
        <w:rPr>
          <w:spacing w:val="-2"/>
        </w:rPr>
        <w:t>https://doi.org/10.1007/s11136-021-02896-0</w:t>
      </w:r>
    </w:p>
    <w:p>
      <w:pPr>
        <w:pStyle w:val="Heading4"/>
        <w:spacing w:after="0" w:line="240" w:lineRule="auto"/>
        <w:jc w:val="both"/>
        <w:rPr>
          <w:sz w:val="26"/>
        </w:rPr>
        <w:sectPr>
          <w:pgSz w:w="11910" w:h="16840"/>
          <w:pgMar w:header="0" w:footer="970" w:top="1040" w:bottom="1220" w:left="1417" w:right="283"/>
        </w:sectPr>
      </w:pPr>
    </w:p>
    <w:p>
      <w:pPr>
        <w:pStyle w:val="Heading4"/>
        <w:numPr>
          <w:ilvl w:val="0"/>
          <w:numId w:val="33"/>
        </w:numPr>
        <w:tabs>
          <w:tab w:pos="928" w:val="left" w:leader="none"/>
        </w:tabs>
        <w:spacing w:line="240" w:lineRule="auto" w:before="67" w:after="0"/>
        <w:ind w:left="928" w:right="561" w:hanging="360"/>
        <w:jc w:val="both"/>
        <w:rPr>
          <w:sz w:val="26"/>
        </w:rPr>
      </w:pPr>
      <w:r>
        <w:rPr/>
        <w:t>Antony</w:t>
      </w:r>
      <w:r>
        <w:rPr>
          <w:spacing w:val="-5"/>
        </w:rPr>
        <w:t> </w:t>
      </w:r>
      <w:r>
        <w:rPr/>
        <w:t>M., Orsillo S., Roemer L. Practitioner’s Guide to empirically based Measures</w:t>
      </w:r>
      <w:r>
        <w:rPr>
          <w:spacing w:val="-15"/>
        </w:rPr>
        <w:t> </w:t>
      </w:r>
      <w:r>
        <w:rPr/>
        <w:t>of</w:t>
      </w:r>
      <w:r>
        <w:rPr>
          <w:spacing w:val="-13"/>
        </w:rPr>
        <w:t> </w:t>
      </w:r>
      <w:r>
        <w:rPr/>
        <w:t>Anxiety.</w:t>
      </w:r>
      <w:r>
        <w:rPr>
          <w:spacing w:val="-14"/>
        </w:rPr>
        <w:t> </w:t>
      </w:r>
      <w:r>
        <w:rPr/>
        <w:t>/</w:t>
      </w:r>
      <w:r>
        <w:rPr>
          <w:spacing w:val="-13"/>
        </w:rPr>
        <w:t> </w:t>
      </w:r>
      <w:r>
        <w:rPr/>
        <w:t>Kluwer</w:t>
      </w:r>
      <w:r>
        <w:rPr>
          <w:spacing w:val="-13"/>
        </w:rPr>
        <w:t> </w:t>
      </w:r>
      <w:r>
        <w:rPr/>
        <w:t>Academic/Plenum</w:t>
      </w:r>
      <w:r>
        <w:rPr>
          <w:spacing w:val="-17"/>
        </w:rPr>
        <w:t> </w:t>
      </w:r>
      <w:r>
        <w:rPr/>
        <w:t>Publishers.</w:t>
      </w:r>
      <w:r>
        <w:rPr>
          <w:spacing w:val="-10"/>
        </w:rPr>
        <w:t> </w:t>
      </w:r>
      <w:r>
        <w:rPr/>
        <w:t>—</w:t>
      </w:r>
      <w:r>
        <w:rPr>
          <w:spacing w:val="-13"/>
        </w:rPr>
        <w:t> </w:t>
      </w:r>
      <w:r>
        <w:rPr/>
        <w:t>2001.</w:t>
      </w:r>
      <w:r>
        <w:rPr>
          <w:spacing w:val="-14"/>
        </w:rPr>
        <w:t> </w:t>
      </w:r>
      <w:r>
        <w:rPr/>
        <w:t>—</w:t>
      </w:r>
      <w:r>
        <w:rPr>
          <w:spacing w:val="-16"/>
        </w:rPr>
        <w:t> </w:t>
      </w:r>
      <w:r>
        <w:rPr/>
        <w:t>417 </w:t>
      </w:r>
      <w:r>
        <w:rPr>
          <w:spacing w:val="-6"/>
        </w:rPr>
        <w:t>p.</w:t>
      </w:r>
    </w:p>
    <w:p>
      <w:pPr>
        <w:pStyle w:val="Heading4"/>
        <w:numPr>
          <w:ilvl w:val="0"/>
          <w:numId w:val="33"/>
        </w:numPr>
        <w:tabs>
          <w:tab w:pos="928" w:val="left" w:leader="none"/>
        </w:tabs>
        <w:spacing w:line="240" w:lineRule="auto" w:before="2" w:after="0"/>
        <w:ind w:left="928" w:right="563" w:hanging="360"/>
        <w:jc w:val="both"/>
        <w:rPr>
          <w:sz w:val="26"/>
        </w:rPr>
      </w:pPr>
      <w:r>
        <w:rPr/>
        <w:t>Arbona</w:t>
      </w:r>
      <w:r>
        <w:rPr>
          <w:spacing w:val="-2"/>
        </w:rPr>
        <w:t> </w:t>
      </w:r>
      <w:r>
        <w:rPr/>
        <w:t>C., Burridge</w:t>
      </w:r>
      <w:r>
        <w:rPr>
          <w:spacing w:val="-1"/>
        </w:rPr>
        <w:t> </w:t>
      </w:r>
      <w:r>
        <w:rPr/>
        <w:t>A., Olvera</w:t>
      </w:r>
      <w:r>
        <w:rPr>
          <w:spacing w:val="-2"/>
        </w:rPr>
        <w:t> </w:t>
      </w:r>
      <w:r>
        <w:rPr/>
        <w:t>N. The Center for Epidemiological Studies Depression</w:t>
      </w:r>
      <w:r>
        <w:rPr>
          <w:spacing w:val="-11"/>
        </w:rPr>
        <w:t> </w:t>
      </w:r>
      <w:r>
        <w:rPr/>
        <w:t>Scale</w:t>
      </w:r>
      <w:r>
        <w:rPr>
          <w:spacing w:val="-12"/>
        </w:rPr>
        <w:t> </w:t>
      </w:r>
      <w:r>
        <w:rPr/>
        <w:t>(CES-D):</w:t>
      </w:r>
      <w:r>
        <w:rPr>
          <w:spacing w:val="-11"/>
        </w:rPr>
        <w:t> </w:t>
      </w:r>
      <w:r>
        <w:rPr/>
        <w:t>measurement</w:t>
      </w:r>
      <w:r>
        <w:rPr>
          <w:spacing w:val="-11"/>
        </w:rPr>
        <w:t> </w:t>
      </w:r>
      <w:r>
        <w:rPr/>
        <w:t>equivalence</w:t>
      </w:r>
      <w:r>
        <w:rPr>
          <w:spacing w:val="-12"/>
        </w:rPr>
        <w:t> </w:t>
      </w:r>
      <w:r>
        <w:rPr/>
        <w:t>across</w:t>
      </w:r>
      <w:r>
        <w:rPr>
          <w:spacing w:val="-13"/>
        </w:rPr>
        <w:t> </w:t>
      </w:r>
      <w:r>
        <w:rPr/>
        <w:t>gender</w:t>
      </w:r>
      <w:r>
        <w:rPr>
          <w:spacing w:val="-14"/>
        </w:rPr>
        <w:t> </w:t>
      </w:r>
      <w:r>
        <w:rPr/>
        <w:t>groups</w:t>
      </w:r>
      <w:r>
        <w:rPr>
          <w:spacing w:val="-13"/>
        </w:rPr>
        <w:t> </w:t>
      </w:r>
      <w:r>
        <w:rPr/>
        <w:t>in Hispanic college students. — Текст: электронный // Journal of Affective Disorders.</w:t>
      </w:r>
      <w:r>
        <w:rPr>
          <w:spacing w:val="63"/>
          <w:w w:val="150"/>
        </w:rPr>
        <w:t>  </w:t>
      </w:r>
      <w:r>
        <w:rPr/>
        <w:t>—</w:t>
      </w:r>
      <w:r>
        <w:rPr>
          <w:spacing w:val="63"/>
          <w:w w:val="150"/>
        </w:rPr>
        <w:t>  </w:t>
      </w:r>
      <w:r>
        <w:rPr/>
        <w:t>2017.</w:t>
      </w:r>
      <w:r>
        <w:rPr>
          <w:spacing w:val="63"/>
          <w:w w:val="150"/>
        </w:rPr>
        <w:t>  </w:t>
      </w:r>
      <w:r>
        <w:rPr/>
        <w:t>—</w:t>
      </w:r>
      <w:r>
        <w:rPr>
          <w:spacing w:val="63"/>
          <w:w w:val="150"/>
        </w:rPr>
        <w:t>  </w:t>
      </w:r>
      <w:r>
        <w:rPr/>
        <w:t>Т.</w:t>
      </w:r>
      <w:r>
        <w:rPr>
          <w:spacing w:val="62"/>
          <w:w w:val="150"/>
        </w:rPr>
        <w:t>  </w:t>
      </w:r>
      <w:r>
        <w:rPr/>
        <w:t>219.</w:t>
      </w:r>
      <w:r>
        <w:rPr>
          <w:spacing w:val="62"/>
          <w:w w:val="150"/>
        </w:rPr>
        <w:t>  </w:t>
      </w:r>
      <w:r>
        <w:rPr/>
        <w:t>—</w:t>
      </w:r>
      <w:r>
        <w:rPr>
          <w:spacing w:val="63"/>
          <w:w w:val="150"/>
        </w:rPr>
        <w:t>  </w:t>
      </w:r>
      <w:r>
        <w:rPr/>
        <w:t>С.</w:t>
      </w:r>
      <w:r>
        <w:rPr>
          <w:spacing w:val="62"/>
          <w:w w:val="150"/>
        </w:rPr>
        <w:t>  </w:t>
      </w:r>
      <w:r>
        <w:rPr/>
        <w:t>112–118.</w:t>
      </w:r>
      <w:r>
        <w:rPr>
          <w:spacing w:val="-2"/>
        </w:rPr>
        <w:t> </w:t>
      </w:r>
      <w:r>
        <w:rPr/>
        <w:t>—</w:t>
      </w:r>
      <w:r>
        <w:rPr>
          <w:spacing w:val="63"/>
          <w:w w:val="150"/>
        </w:rPr>
        <w:t>  </w:t>
      </w:r>
      <w:r>
        <w:rPr/>
        <w:t>URL:</w:t>
      </w:r>
    </w:p>
    <w:p>
      <w:pPr>
        <w:pStyle w:val="Heading4"/>
        <w:spacing w:line="322" w:lineRule="exact" w:before="1"/>
        <w:ind w:left="928"/>
        <w:jc w:val="left"/>
      </w:pPr>
      <w:hyperlink r:id="rId50">
        <w:r>
          <w:rPr>
            <w:spacing w:val="-2"/>
          </w:rPr>
          <w:t>https://www.sciencedirect.com/science/article/abs/pii/S0165032716323898</w:t>
        </w:r>
      </w:hyperlink>
    </w:p>
    <w:p>
      <w:pPr>
        <w:pStyle w:val="Heading4"/>
        <w:numPr>
          <w:ilvl w:val="0"/>
          <w:numId w:val="33"/>
        </w:numPr>
        <w:tabs>
          <w:tab w:pos="928" w:val="left" w:leader="none"/>
        </w:tabs>
        <w:spacing w:line="240" w:lineRule="auto" w:before="0" w:after="0"/>
        <w:ind w:left="928" w:right="564" w:hanging="360"/>
        <w:jc w:val="both"/>
        <w:rPr>
          <w:sz w:val="26"/>
        </w:rPr>
      </w:pPr>
      <w:r>
        <w:rPr/>
        <w:t>Bates</w:t>
      </w:r>
      <w:r>
        <w:rPr>
          <w:spacing w:val="-5"/>
        </w:rPr>
        <w:t> </w:t>
      </w:r>
      <w:r>
        <w:rPr/>
        <w:t>J.E.,</w:t>
      </w:r>
      <w:r>
        <w:rPr>
          <w:spacing w:val="-7"/>
        </w:rPr>
        <w:t> </w:t>
      </w:r>
      <w:r>
        <w:rPr/>
        <w:t>Dodge</w:t>
      </w:r>
      <w:r>
        <w:rPr>
          <w:spacing w:val="-5"/>
        </w:rPr>
        <w:t> </w:t>
      </w:r>
      <w:r>
        <w:rPr/>
        <w:t>K.A.,</w:t>
      </w:r>
      <w:r>
        <w:rPr>
          <w:spacing w:val="-7"/>
        </w:rPr>
        <w:t> </w:t>
      </w:r>
      <w:r>
        <w:rPr/>
        <w:t>Jordan</w:t>
      </w:r>
      <w:r>
        <w:rPr>
          <w:spacing w:val="-5"/>
        </w:rPr>
        <w:t> </w:t>
      </w:r>
      <w:r>
        <w:rPr/>
        <w:t>K.Y.,</w:t>
      </w:r>
      <w:r>
        <w:rPr>
          <w:spacing w:val="-7"/>
        </w:rPr>
        <w:t> </w:t>
      </w:r>
      <w:r>
        <w:rPr/>
        <w:t>Laird R.</w:t>
      </w:r>
      <w:r>
        <w:rPr>
          <w:spacing w:val="-3"/>
        </w:rPr>
        <w:t> </w:t>
      </w:r>
      <w:r>
        <w:rPr/>
        <w:t>D.,</w:t>
      </w:r>
      <w:r>
        <w:rPr>
          <w:spacing w:val="-7"/>
        </w:rPr>
        <w:t> </w:t>
      </w:r>
      <w:r>
        <w:rPr/>
        <w:t>Pettit</w:t>
      </w:r>
      <w:r>
        <w:rPr>
          <w:spacing w:val="-5"/>
        </w:rPr>
        <w:t> </w:t>
      </w:r>
      <w:r>
        <w:rPr/>
        <w:t>G.S.</w:t>
      </w:r>
      <w:r>
        <w:rPr>
          <w:spacing w:val="-7"/>
        </w:rPr>
        <w:t> </w:t>
      </w:r>
      <w:r>
        <w:rPr/>
        <w:t>Peer</w:t>
      </w:r>
      <w:r>
        <w:rPr>
          <w:spacing w:val="-5"/>
        </w:rPr>
        <w:t> </w:t>
      </w:r>
      <w:r>
        <w:rPr/>
        <w:t>rejection</w:t>
      </w:r>
      <w:r>
        <w:rPr>
          <w:spacing w:val="-5"/>
        </w:rPr>
        <w:t> </w:t>
      </w:r>
      <w:r>
        <w:rPr/>
        <w:t>in childhood, involvement with antisocial peers in early adolescence, and the development of externalizing behavior problems / Development and Psychopathology. — 2001. — № 13. — P. 337–354.</w:t>
      </w:r>
    </w:p>
    <w:p>
      <w:pPr>
        <w:pStyle w:val="Heading4"/>
        <w:numPr>
          <w:ilvl w:val="0"/>
          <w:numId w:val="33"/>
        </w:numPr>
        <w:tabs>
          <w:tab w:pos="928" w:val="left" w:leader="none"/>
        </w:tabs>
        <w:spacing w:line="240" w:lineRule="auto" w:before="0" w:after="0"/>
        <w:ind w:left="928" w:right="560" w:hanging="360"/>
        <w:jc w:val="both"/>
        <w:rPr>
          <w:sz w:val="26"/>
        </w:rPr>
      </w:pPr>
      <w:r>
        <w:rPr/>
        <w:t>Bauman S. The reliability and validity of the brief acculturation rating scale for Mexican Americans-II for children and adolescents // Hisp. J. Behav. Sci. 2005. — Vol. 27. — № 4. — p. 426–441.</w:t>
      </w:r>
    </w:p>
    <w:p>
      <w:pPr>
        <w:pStyle w:val="Heading4"/>
        <w:numPr>
          <w:ilvl w:val="0"/>
          <w:numId w:val="33"/>
        </w:numPr>
        <w:tabs>
          <w:tab w:pos="928" w:val="left" w:leader="none"/>
        </w:tabs>
        <w:spacing w:line="240" w:lineRule="auto" w:before="0" w:after="0"/>
        <w:ind w:left="928" w:right="562" w:hanging="360"/>
        <w:jc w:val="both"/>
        <w:rPr>
          <w:sz w:val="26"/>
        </w:rPr>
      </w:pPr>
      <w:r>
        <w:rPr/>
        <w:t>Bellini S., Peters,</w:t>
      </w:r>
      <w:r>
        <w:rPr>
          <w:spacing w:val="-1"/>
        </w:rPr>
        <w:t> </w:t>
      </w:r>
      <w:r>
        <w:rPr/>
        <w:t>J. Social skills training for youth with autism spectrum disorders. Child and Adolescent Psychiatric Clinics of North America. — 2008. — 17. — p. 857-873.</w:t>
      </w:r>
    </w:p>
    <w:p>
      <w:pPr>
        <w:pStyle w:val="Heading4"/>
        <w:numPr>
          <w:ilvl w:val="0"/>
          <w:numId w:val="33"/>
        </w:numPr>
        <w:tabs>
          <w:tab w:pos="928" w:val="left" w:leader="none"/>
        </w:tabs>
        <w:spacing w:line="240" w:lineRule="auto" w:before="0" w:after="0"/>
        <w:ind w:left="928" w:right="560" w:hanging="360"/>
        <w:jc w:val="both"/>
        <w:rPr>
          <w:sz w:val="26"/>
        </w:rPr>
      </w:pPr>
      <w:r>
        <w:rPr/>
        <w:t>Benet-Martínez</w:t>
      </w:r>
      <w:r>
        <w:rPr>
          <w:spacing w:val="-1"/>
        </w:rPr>
        <w:t> </w:t>
      </w:r>
      <w:r>
        <w:rPr/>
        <w:t>V., Haritatos</w:t>
      </w:r>
      <w:r>
        <w:rPr>
          <w:spacing w:val="-2"/>
        </w:rPr>
        <w:t> </w:t>
      </w:r>
      <w:r>
        <w:rPr/>
        <w:t>J. Bicultural identity integration (BII): Components and psychosocial antecedents.</w:t>
      </w:r>
      <w:r>
        <w:rPr>
          <w:spacing w:val="27"/>
        </w:rPr>
        <w:t> </w:t>
      </w:r>
      <w:r>
        <w:rPr/>
        <w:t>Journal of Personality. — 2005.</w:t>
      </w:r>
    </w:p>
    <w:p>
      <w:pPr>
        <w:pStyle w:val="Heading4"/>
        <w:ind w:left="928"/>
      </w:pPr>
      <w:r>
        <w:rPr/>
        <w:t>—73.</w:t>
      </w:r>
      <w:r>
        <w:rPr>
          <w:spacing w:val="-9"/>
        </w:rPr>
        <w:t> </w:t>
      </w:r>
      <w:r>
        <w:rPr/>
        <w:t>—</w:t>
      </w:r>
      <w:r>
        <w:rPr>
          <w:spacing w:val="-7"/>
        </w:rPr>
        <w:t> </w:t>
      </w:r>
      <w:r>
        <w:rPr/>
        <w:t>p.</w:t>
      </w:r>
      <w:r>
        <w:rPr>
          <w:spacing w:val="-6"/>
        </w:rPr>
        <w:t> </w:t>
      </w:r>
      <w:r>
        <w:rPr/>
        <w:t>1015–1050.</w:t>
      </w:r>
      <w:r>
        <w:rPr>
          <w:spacing w:val="-7"/>
        </w:rPr>
        <w:t> </w:t>
      </w:r>
      <w:r>
        <w:rPr/>
        <w:t>doi:</w:t>
      </w:r>
      <w:r>
        <w:rPr>
          <w:spacing w:val="-4"/>
        </w:rPr>
        <w:t> </w:t>
      </w:r>
      <w:r>
        <w:rPr/>
        <w:t>10.1111/j.1467-</w:t>
      </w:r>
      <w:r>
        <w:rPr>
          <w:spacing w:val="-2"/>
        </w:rPr>
        <w:t>6494.2005.00337.x</w:t>
      </w:r>
    </w:p>
    <w:p>
      <w:pPr>
        <w:pStyle w:val="Heading4"/>
        <w:numPr>
          <w:ilvl w:val="0"/>
          <w:numId w:val="33"/>
        </w:numPr>
        <w:tabs>
          <w:tab w:pos="928" w:val="left" w:leader="none"/>
        </w:tabs>
        <w:spacing w:line="240" w:lineRule="auto" w:before="0" w:after="0"/>
        <w:ind w:left="928" w:right="562" w:hanging="360"/>
        <w:jc w:val="both"/>
        <w:rPr>
          <w:sz w:val="26"/>
        </w:rPr>
      </w:pPr>
      <w:r>
        <w:rPr/>
        <w:t>Benet-Martínez</w:t>
      </w:r>
      <w:r>
        <w:rPr>
          <w:spacing w:val="-2"/>
        </w:rPr>
        <w:t> </w:t>
      </w:r>
      <w:r>
        <w:rPr/>
        <w:t>V.,</w:t>
      </w:r>
      <w:r>
        <w:rPr>
          <w:spacing w:val="40"/>
        </w:rPr>
        <w:t> </w:t>
      </w:r>
      <w:r>
        <w:rPr/>
        <w:t>Leu</w:t>
      </w:r>
      <w:r>
        <w:rPr>
          <w:spacing w:val="-1"/>
        </w:rPr>
        <w:t> </w:t>
      </w:r>
      <w:r>
        <w:rPr/>
        <w:t>J.,</w:t>
      </w:r>
      <w:r>
        <w:rPr>
          <w:spacing w:val="40"/>
        </w:rPr>
        <w:t> </w:t>
      </w:r>
      <w:r>
        <w:rPr/>
        <w:t>Lee</w:t>
      </w:r>
      <w:r>
        <w:rPr>
          <w:spacing w:val="-2"/>
        </w:rPr>
        <w:t> </w:t>
      </w:r>
      <w:r>
        <w:rPr/>
        <w:t>F.,</w:t>
      </w:r>
      <w:r>
        <w:rPr>
          <w:spacing w:val="40"/>
        </w:rPr>
        <w:t> </w:t>
      </w:r>
      <w:r>
        <w:rPr/>
        <w:t>Morris M.</w:t>
      </w:r>
      <w:r>
        <w:rPr>
          <w:spacing w:val="40"/>
        </w:rPr>
        <w:t> </w:t>
      </w:r>
      <w:r>
        <w:rPr/>
        <w:t>Negotiating</w:t>
      </w:r>
      <w:r>
        <w:rPr>
          <w:spacing w:val="40"/>
        </w:rPr>
        <w:t> </w:t>
      </w:r>
      <w:r>
        <w:rPr/>
        <w:t>biculturalism: Cultural frame-switching in biculturals with oppositional vs. compatible cultural identities. Journal of Cross-Cultural Psychology. — 2002. — 33. —</w:t>
      </w:r>
    </w:p>
    <w:p>
      <w:pPr>
        <w:pStyle w:val="Heading4"/>
        <w:spacing w:line="321" w:lineRule="exact"/>
        <w:ind w:left="928"/>
      </w:pPr>
      <w:r>
        <w:rPr/>
        <w:t>p.</w:t>
      </w:r>
      <w:r>
        <w:rPr>
          <w:spacing w:val="-5"/>
        </w:rPr>
        <w:t> </w:t>
      </w:r>
      <w:r>
        <w:rPr/>
        <w:t>492–516.</w:t>
      </w:r>
      <w:r>
        <w:rPr>
          <w:spacing w:val="-5"/>
        </w:rPr>
        <w:t> </w:t>
      </w:r>
      <w:r>
        <w:rPr/>
        <w:t>doi:</w:t>
      </w:r>
      <w:r>
        <w:rPr>
          <w:spacing w:val="-6"/>
        </w:rPr>
        <w:t> </w:t>
      </w:r>
      <w:r>
        <w:rPr>
          <w:spacing w:val="-2"/>
        </w:rPr>
        <w:t>10.1177/0022022102033005005</w:t>
      </w:r>
    </w:p>
    <w:p>
      <w:pPr>
        <w:pStyle w:val="Heading4"/>
        <w:numPr>
          <w:ilvl w:val="0"/>
          <w:numId w:val="33"/>
        </w:numPr>
        <w:tabs>
          <w:tab w:pos="928" w:val="left" w:leader="none"/>
        </w:tabs>
        <w:spacing w:line="240" w:lineRule="auto" w:before="0" w:after="0"/>
        <w:ind w:left="928" w:right="567" w:hanging="360"/>
        <w:jc w:val="both"/>
        <w:rPr>
          <w:sz w:val="26"/>
        </w:rPr>
      </w:pPr>
      <w:r>
        <w:rPr/>
        <w:t>Berry</w:t>
      </w:r>
      <w:r>
        <w:rPr>
          <w:spacing w:val="-6"/>
        </w:rPr>
        <w:t> </w:t>
      </w:r>
      <w:r>
        <w:rPr/>
        <w:t>J.</w:t>
      </w:r>
      <w:r>
        <w:rPr>
          <w:spacing w:val="-1"/>
        </w:rPr>
        <w:t> </w:t>
      </w:r>
      <w:r>
        <w:rPr/>
        <w:t>W, Lepshokova</w:t>
      </w:r>
      <w:r>
        <w:rPr>
          <w:spacing w:val="-1"/>
        </w:rPr>
        <w:t> </w:t>
      </w:r>
      <w:r>
        <w:rPr/>
        <w:t>Z., Grigoryev D. How Shall We All Live Together? Meta‐Analytical Review of the Mutual Intercultural Relations in Plural Societies Project // Applied Psychology. — 2021.</w:t>
      </w:r>
    </w:p>
    <w:p>
      <w:pPr>
        <w:pStyle w:val="Heading4"/>
        <w:numPr>
          <w:ilvl w:val="0"/>
          <w:numId w:val="33"/>
        </w:numPr>
        <w:tabs>
          <w:tab w:pos="928" w:val="left" w:leader="none"/>
        </w:tabs>
        <w:spacing w:line="240" w:lineRule="auto" w:before="2" w:after="0"/>
        <w:ind w:left="928" w:right="561" w:hanging="360"/>
        <w:jc w:val="both"/>
        <w:rPr>
          <w:sz w:val="26"/>
        </w:rPr>
      </w:pPr>
      <w:r>
        <w:rPr/>
        <w:t>Berry</w:t>
      </w:r>
      <w:r>
        <w:rPr>
          <w:spacing w:val="-5"/>
        </w:rPr>
        <w:t> </w:t>
      </w:r>
      <w:r>
        <w:rPr/>
        <w:t>J. W. The role of psychology in ethnic studies. — Canadian Ethnic Studies. — 1990. — 22. — p. 8-21.</w:t>
      </w:r>
    </w:p>
    <w:p>
      <w:pPr>
        <w:pStyle w:val="Heading4"/>
        <w:numPr>
          <w:ilvl w:val="0"/>
          <w:numId w:val="33"/>
        </w:numPr>
        <w:tabs>
          <w:tab w:pos="928" w:val="left" w:leader="none"/>
          <w:tab w:pos="2466" w:val="left" w:leader="none"/>
          <w:tab w:pos="3690" w:val="left" w:leader="none"/>
          <w:tab w:pos="6364" w:val="left" w:leader="none"/>
          <w:tab w:pos="7724" w:val="left" w:leader="none"/>
          <w:tab w:pos="9012" w:val="left" w:leader="none"/>
        </w:tabs>
        <w:spacing w:line="240" w:lineRule="auto" w:before="0" w:after="0"/>
        <w:ind w:left="928" w:right="560" w:hanging="360"/>
        <w:jc w:val="both"/>
        <w:rPr>
          <w:i/>
          <w:sz w:val="26"/>
        </w:rPr>
      </w:pPr>
      <w:r>
        <w:rPr/>
        <w:t>Birman D., Chan W.-Y. Screening and Assessing Immigrant and Refugee Youth</w:t>
      </w:r>
      <w:r>
        <w:rPr>
          <w:spacing w:val="-17"/>
        </w:rPr>
        <w:t> </w:t>
      </w:r>
      <w:r>
        <w:rPr/>
        <w:t>in</w:t>
      </w:r>
      <w:r>
        <w:rPr>
          <w:spacing w:val="-15"/>
        </w:rPr>
        <w:t> </w:t>
      </w:r>
      <w:r>
        <w:rPr/>
        <w:t>School-Based</w:t>
      </w:r>
      <w:r>
        <w:rPr>
          <w:spacing w:val="-15"/>
        </w:rPr>
        <w:t> </w:t>
      </w:r>
      <w:r>
        <w:rPr/>
        <w:t>Mental</w:t>
      </w:r>
      <w:r>
        <w:rPr>
          <w:spacing w:val="-15"/>
        </w:rPr>
        <w:t> </w:t>
      </w:r>
      <w:r>
        <w:rPr/>
        <w:t>Health</w:t>
      </w:r>
      <w:r>
        <w:rPr>
          <w:spacing w:val="-17"/>
        </w:rPr>
        <w:t> </w:t>
      </w:r>
      <w:r>
        <w:rPr/>
        <w:t>Programs.</w:t>
      </w:r>
      <w:r>
        <w:rPr>
          <w:spacing w:val="-3"/>
        </w:rPr>
        <w:t> </w:t>
      </w:r>
      <w:r>
        <w:rPr/>
        <w:t>Center</w:t>
      </w:r>
      <w:r>
        <w:rPr>
          <w:spacing w:val="-16"/>
        </w:rPr>
        <w:t> </w:t>
      </w:r>
      <w:r>
        <w:rPr/>
        <w:t>for</w:t>
      </w:r>
      <w:r>
        <w:rPr>
          <w:spacing w:val="-16"/>
        </w:rPr>
        <w:t> </w:t>
      </w:r>
      <w:r>
        <w:rPr/>
        <w:t>Health</w:t>
      </w:r>
      <w:r>
        <w:rPr>
          <w:spacing w:val="-17"/>
        </w:rPr>
        <w:t> </w:t>
      </w:r>
      <w:r>
        <w:rPr/>
        <w:t>and</w:t>
      </w:r>
      <w:r>
        <w:rPr>
          <w:spacing w:val="-15"/>
        </w:rPr>
        <w:t> </w:t>
      </w:r>
      <w:r>
        <w:rPr/>
        <w:t>Health </w:t>
      </w:r>
      <w:r>
        <w:rPr>
          <w:spacing w:val="-4"/>
        </w:rPr>
        <w:t>Care</w:t>
      </w:r>
      <w:r>
        <w:rPr/>
        <w:tab/>
      </w:r>
      <w:r>
        <w:rPr>
          <w:spacing w:val="-6"/>
        </w:rPr>
        <w:t>in</w:t>
      </w:r>
      <w:r>
        <w:rPr/>
        <w:tab/>
        <w:t>Schools. Paper</w:t>
        <w:tab/>
      </w:r>
      <w:r>
        <w:rPr>
          <w:spacing w:val="-4"/>
        </w:rPr>
        <w:t>14.</w:t>
      </w:r>
      <w:r>
        <w:rPr/>
        <w:tab/>
      </w:r>
      <w:r>
        <w:rPr>
          <w:spacing w:val="-10"/>
        </w:rPr>
        <w:t>—</w:t>
      </w:r>
      <w:r>
        <w:rPr/>
        <w:tab/>
      </w:r>
      <w:r>
        <w:rPr>
          <w:spacing w:val="-2"/>
        </w:rPr>
        <w:t>2008.</w:t>
      </w:r>
    </w:p>
    <w:p>
      <w:pPr>
        <w:pStyle w:val="Heading5"/>
        <w:spacing w:line="322" w:lineRule="exact" w:before="1"/>
        <w:ind w:left="928"/>
      </w:pPr>
      <w:hyperlink r:id="rId51">
        <w:r>
          <w:rPr>
            <w:spacing w:val="-2"/>
          </w:rPr>
          <w:t>https://hsrc.himmelfarb.gwu.edu/sphhs_centers_chhcs/14</w:t>
        </w:r>
      </w:hyperlink>
    </w:p>
    <w:p>
      <w:pPr>
        <w:pStyle w:val="Heading4"/>
        <w:numPr>
          <w:ilvl w:val="0"/>
          <w:numId w:val="33"/>
        </w:numPr>
        <w:tabs>
          <w:tab w:pos="928" w:val="left" w:leader="none"/>
        </w:tabs>
        <w:spacing w:line="240" w:lineRule="auto" w:before="0" w:after="0"/>
        <w:ind w:left="928" w:right="565" w:hanging="360"/>
        <w:jc w:val="both"/>
        <w:rPr>
          <w:sz w:val="26"/>
        </w:rPr>
      </w:pPr>
      <w:r>
        <w:rPr/>
        <w:t>Bjarta</w:t>
      </w:r>
      <w:r>
        <w:rPr>
          <w:spacing w:val="-3"/>
        </w:rPr>
        <w:t> </w:t>
      </w:r>
      <w:r>
        <w:rPr/>
        <w:t>A.</w:t>
      </w:r>
      <w:r>
        <w:rPr>
          <w:spacing w:val="-2"/>
        </w:rPr>
        <w:t> </w:t>
      </w:r>
      <w:r>
        <w:rPr/>
        <w:t>et</w:t>
      </w:r>
      <w:r>
        <w:rPr>
          <w:spacing w:val="-1"/>
        </w:rPr>
        <w:t> </w:t>
      </w:r>
      <w:r>
        <w:rPr/>
        <w:t>al.</w:t>
      </w:r>
      <w:r>
        <w:rPr>
          <w:spacing w:val="-2"/>
        </w:rPr>
        <w:t> </w:t>
      </w:r>
      <w:r>
        <w:rPr/>
        <w:t>Assessing</w:t>
      </w:r>
      <w:r>
        <w:rPr>
          <w:spacing w:val="-1"/>
        </w:rPr>
        <w:t> </w:t>
      </w:r>
      <w:r>
        <w:rPr/>
        <w:t>Severity</w:t>
      </w:r>
      <w:r>
        <w:rPr>
          <w:spacing w:val="-6"/>
        </w:rPr>
        <w:t> </w:t>
      </w:r>
      <w:r>
        <w:rPr/>
        <w:t>of</w:t>
      </w:r>
      <w:r>
        <w:rPr>
          <w:spacing w:val="-2"/>
        </w:rPr>
        <w:t> </w:t>
      </w:r>
      <w:r>
        <w:rPr/>
        <w:t>Psychological</w:t>
      </w:r>
      <w:r>
        <w:rPr>
          <w:spacing w:val="-1"/>
        </w:rPr>
        <w:t> </w:t>
      </w:r>
      <w:r>
        <w:rPr/>
        <w:t>Distress</w:t>
      </w:r>
      <w:r>
        <w:rPr>
          <w:spacing w:val="-1"/>
        </w:rPr>
        <w:t> </w:t>
      </w:r>
      <w:r>
        <w:rPr/>
        <w:t>among</w:t>
      </w:r>
      <w:r>
        <w:rPr>
          <w:spacing w:val="-1"/>
        </w:rPr>
        <w:t> </w:t>
      </w:r>
      <w:r>
        <w:rPr/>
        <w:t>Refugees with</w:t>
      </w:r>
      <w:r>
        <w:rPr>
          <w:spacing w:val="-8"/>
        </w:rPr>
        <w:t> </w:t>
      </w:r>
      <w:r>
        <w:rPr/>
        <w:t>the</w:t>
      </w:r>
      <w:r>
        <w:rPr>
          <w:spacing w:val="-9"/>
        </w:rPr>
        <w:t> </w:t>
      </w:r>
      <w:r>
        <w:rPr/>
        <w:t>Refugee</w:t>
      </w:r>
      <w:r>
        <w:rPr>
          <w:spacing w:val="-9"/>
        </w:rPr>
        <w:t> </w:t>
      </w:r>
      <w:r>
        <w:rPr/>
        <w:t>Health</w:t>
      </w:r>
      <w:r>
        <w:rPr>
          <w:spacing w:val="-8"/>
        </w:rPr>
        <w:t> </w:t>
      </w:r>
      <w:r>
        <w:rPr/>
        <w:t>Screener,</w:t>
      </w:r>
      <w:r>
        <w:rPr>
          <w:spacing w:val="-9"/>
        </w:rPr>
        <w:t> </w:t>
      </w:r>
      <w:r>
        <w:rPr/>
        <w:t>13-items</w:t>
      </w:r>
      <w:r>
        <w:rPr>
          <w:spacing w:val="-6"/>
        </w:rPr>
        <w:t> </w:t>
      </w:r>
      <w:r>
        <w:rPr/>
        <w:t>Version</w:t>
      </w:r>
      <w:r>
        <w:rPr>
          <w:spacing w:val="-8"/>
        </w:rPr>
        <w:t> </w:t>
      </w:r>
      <w:r>
        <w:rPr/>
        <w:t>//</w:t>
      </w:r>
      <w:r>
        <w:rPr>
          <w:spacing w:val="-10"/>
        </w:rPr>
        <w:t> </w:t>
      </w:r>
      <w:r>
        <w:rPr/>
        <w:t>Journal</w:t>
      </w:r>
      <w:r>
        <w:rPr>
          <w:spacing w:val="-8"/>
        </w:rPr>
        <w:t> </w:t>
      </w:r>
      <w:r>
        <w:rPr/>
        <w:t>of</w:t>
      </w:r>
      <w:r>
        <w:rPr>
          <w:spacing w:val="-13"/>
        </w:rPr>
        <w:t> </w:t>
      </w:r>
      <w:r>
        <w:rPr/>
        <w:t>Nervous</w:t>
      </w:r>
      <w:r>
        <w:rPr>
          <w:spacing w:val="-8"/>
        </w:rPr>
        <w:t> </w:t>
      </w:r>
      <w:r>
        <w:rPr/>
        <w:t>and Mental Disease. — 2018 (in press).</w:t>
      </w:r>
    </w:p>
    <w:p>
      <w:pPr>
        <w:pStyle w:val="Heading4"/>
        <w:numPr>
          <w:ilvl w:val="0"/>
          <w:numId w:val="33"/>
        </w:numPr>
        <w:tabs>
          <w:tab w:pos="928" w:val="left" w:leader="none"/>
        </w:tabs>
        <w:spacing w:line="240" w:lineRule="auto" w:before="0" w:after="0"/>
        <w:ind w:left="928" w:right="562" w:hanging="360"/>
        <w:jc w:val="both"/>
        <w:rPr>
          <w:sz w:val="26"/>
        </w:rPr>
      </w:pPr>
      <w:r>
        <w:rPr/>
        <w:t>Borecki</w:t>
      </w:r>
      <w:r>
        <w:rPr>
          <w:spacing w:val="-18"/>
        </w:rPr>
        <w:t> </w:t>
      </w:r>
      <w:r>
        <w:rPr/>
        <w:t>S.,</w:t>
      </w:r>
      <w:r>
        <w:rPr>
          <w:spacing w:val="-17"/>
        </w:rPr>
        <w:t> </w:t>
      </w:r>
      <w:r>
        <w:rPr/>
        <w:t>Geist</w:t>
      </w:r>
      <w:r>
        <w:rPr>
          <w:spacing w:val="-18"/>
        </w:rPr>
        <w:t> </w:t>
      </w:r>
      <w:r>
        <w:rPr/>
        <w:t>C.R.</w:t>
      </w:r>
      <w:r>
        <w:rPr>
          <w:spacing w:val="-17"/>
        </w:rPr>
        <w:t> </w:t>
      </w:r>
      <w:r>
        <w:rPr/>
        <w:t>Social</w:t>
      </w:r>
      <w:r>
        <w:rPr>
          <w:spacing w:val="-18"/>
        </w:rPr>
        <w:t> </w:t>
      </w:r>
      <w:r>
        <w:rPr/>
        <w:t>avoidance</w:t>
      </w:r>
      <w:r>
        <w:rPr>
          <w:spacing w:val="-17"/>
        </w:rPr>
        <w:t> </w:t>
      </w:r>
      <w:r>
        <w:rPr/>
        <w:t>and</w:t>
      </w:r>
      <w:r>
        <w:rPr>
          <w:spacing w:val="-18"/>
        </w:rPr>
        <w:t> </w:t>
      </w:r>
      <w:r>
        <w:rPr/>
        <w:t>distress</w:t>
      </w:r>
      <w:r>
        <w:rPr>
          <w:spacing w:val="-17"/>
        </w:rPr>
        <w:t> </w:t>
      </w:r>
      <w:r>
        <w:rPr/>
        <w:t>as</w:t>
      </w:r>
      <w:r>
        <w:rPr>
          <w:spacing w:val="-18"/>
        </w:rPr>
        <w:t> </w:t>
      </w:r>
      <w:r>
        <w:rPr/>
        <w:t>a</w:t>
      </w:r>
      <w:r>
        <w:rPr>
          <w:spacing w:val="-17"/>
        </w:rPr>
        <w:t> </w:t>
      </w:r>
      <w:r>
        <w:rPr/>
        <w:t>predictor</w:t>
      </w:r>
      <w:r>
        <w:rPr>
          <w:spacing w:val="-18"/>
        </w:rPr>
        <w:t> </w:t>
      </w:r>
      <w:r>
        <w:rPr/>
        <w:t>of</w:t>
      </w:r>
      <w:r>
        <w:rPr>
          <w:spacing w:val="-17"/>
        </w:rPr>
        <w:t> </w:t>
      </w:r>
      <w:r>
        <w:rPr/>
        <w:t>perceived locus</w:t>
      </w:r>
      <w:r>
        <w:rPr>
          <w:spacing w:val="-1"/>
        </w:rPr>
        <w:t> </w:t>
      </w:r>
      <w:r>
        <w:rPr/>
        <w:t>of control</w:t>
      </w:r>
      <w:r>
        <w:rPr>
          <w:spacing w:val="-1"/>
        </w:rPr>
        <w:t> </w:t>
      </w:r>
      <w:r>
        <w:rPr/>
        <w:t>and</w:t>
      </w:r>
      <w:r>
        <w:rPr>
          <w:spacing w:val="-1"/>
        </w:rPr>
        <w:t> </w:t>
      </w:r>
      <w:r>
        <w:rPr/>
        <w:t>level of self-esteem. / Journal of</w:t>
      </w:r>
      <w:r>
        <w:rPr>
          <w:spacing w:val="-2"/>
        </w:rPr>
        <w:t> </w:t>
      </w:r>
      <w:r>
        <w:rPr/>
        <w:t>Clinical Psychology. — 1982. — № 38. — pp. 611–613.</w:t>
      </w:r>
    </w:p>
    <w:p>
      <w:pPr>
        <w:pStyle w:val="Heading4"/>
        <w:numPr>
          <w:ilvl w:val="0"/>
          <w:numId w:val="33"/>
        </w:numPr>
        <w:tabs>
          <w:tab w:pos="928" w:val="left" w:leader="none"/>
        </w:tabs>
        <w:spacing w:line="240" w:lineRule="auto" w:before="0" w:after="0"/>
        <w:ind w:left="928" w:right="562" w:hanging="360"/>
        <w:jc w:val="both"/>
        <w:rPr>
          <w:sz w:val="26"/>
        </w:rPr>
      </w:pPr>
      <w:r>
        <w:rPr/>
        <w:t>Brownell C.A., Gifford-Smith</w:t>
      </w:r>
      <w:r>
        <w:rPr>
          <w:spacing w:val="-1"/>
        </w:rPr>
        <w:t> </w:t>
      </w:r>
      <w:r>
        <w:rPr/>
        <w:t>M.</w:t>
      </w:r>
      <w:r>
        <w:rPr>
          <w:spacing w:val="-3"/>
        </w:rPr>
        <w:t> </w:t>
      </w:r>
      <w:r>
        <w:rPr/>
        <w:t>E. Childhood peer relationships: social acceptance,</w:t>
      </w:r>
      <w:r>
        <w:rPr>
          <w:spacing w:val="-14"/>
        </w:rPr>
        <w:t> </w:t>
      </w:r>
      <w:r>
        <w:rPr/>
        <w:t>friendships,</w:t>
      </w:r>
      <w:r>
        <w:rPr>
          <w:spacing w:val="-14"/>
        </w:rPr>
        <w:t> </w:t>
      </w:r>
      <w:r>
        <w:rPr/>
        <w:t>and</w:t>
      </w:r>
      <w:r>
        <w:rPr>
          <w:spacing w:val="-13"/>
        </w:rPr>
        <w:t> </w:t>
      </w:r>
      <w:r>
        <w:rPr/>
        <w:t>peer</w:t>
      </w:r>
      <w:r>
        <w:rPr>
          <w:spacing w:val="-13"/>
        </w:rPr>
        <w:t> </w:t>
      </w:r>
      <w:r>
        <w:rPr/>
        <w:t>networks</w:t>
      </w:r>
      <w:r>
        <w:rPr>
          <w:spacing w:val="-12"/>
        </w:rPr>
        <w:t> </w:t>
      </w:r>
      <w:r>
        <w:rPr/>
        <w:t>/</w:t>
      </w:r>
      <w:r>
        <w:rPr>
          <w:spacing w:val="-13"/>
        </w:rPr>
        <w:t> </w:t>
      </w:r>
      <w:r>
        <w:rPr/>
        <w:t>Journal</w:t>
      </w:r>
      <w:r>
        <w:rPr>
          <w:spacing w:val="-13"/>
        </w:rPr>
        <w:t> </w:t>
      </w:r>
      <w:r>
        <w:rPr/>
        <w:t>of</w:t>
      </w:r>
      <w:r>
        <w:rPr>
          <w:spacing w:val="-11"/>
        </w:rPr>
        <w:t> </w:t>
      </w:r>
      <w:r>
        <w:rPr/>
        <w:t>School</w:t>
      </w:r>
      <w:r>
        <w:rPr>
          <w:spacing w:val="-4"/>
        </w:rPr>
        <w:t> </w:t>
      </w:r>
      <w:r>
        <w:rPr/>
        <w:t>Psychology.</w:t>
      </w:r>
      <w:r>
        <w:rPr>
          <w:spacing w:val="-11"/>
        </w:rPr>
        <w:t> </w:t>
      </w:r>
      <w:r>
        <w:rPr/>
        <w:t>— 2003. — № 41. — P. 235–284.</w:t>
      </w:r>
    </w:p>
    <w:p>
      <w:pPr>
        <w:pStyle w:val="Heading4"/>
        <w:spacing w:after="0" w:line="240" w:lineRule="auto"/>
        <w:jc w:val="both"/>
        <w:rPr>
          <w:sz w:val="26"/>
        </w:rPr>
        <w:sectPr>
          <w:pgSz w:w="11910" w:h="16840"/>
          <w:pgMar w:header="0" w:footer="970" w:top="1040" w:bottom="1220" w:left="1417" w:right="283"/>
        </w:sectPr>
      </w:pPr>
    </w:p>
    <w:p>
      <w:pPr>
        <w:pStyle w:val="Heading4"/>
        <w:numPr>
          <w:ilvl w:val="0"/>
          <w:numId w:val="33"/>
        </w:numPr>
        <w:tabs>
          <w:tab w:pos="928" w:val="left" w:leader="none"/>
        </w:tabs>
        <w:spacing w:line="240" w:lineRule="auto" w:before="67" w:after="0"/>
        <w:ind w:left="928" w:right="559" w:hanging="360"/>
        <w:jc w:val="both"/>
        <w:rPr>
          <w:sz w:val="26"/>
        </w:rPr>
      </w:pPr>
      <w:r>
        <w:rPr/>
        <w:t>Bukowski</w:t>
      </w:r>
      <w:r>
        <w:rPr>
          <w:spacing w:val="-9"/>
        </w:rPr>
        <w:t> </w:t>
      </w:r>
      <w:r>
        <w:rPr/>
        <w:t>W.</w:t>
      </w:r>
      <w:r>
        <w:rPr>
          <w:spacing w:val="-2"/>
        </w:rPr>
        <w:t> </w:t>
      </w:r>
      <w:r>
        <w:rPr/>
        <w:t>M.,</w:t>
      </w:r>
      <w:r>
        <w:rPr>
          <w:spacing w:val="-9"/>
        </w:rPr>
        <w:t> </w:t>
      </w:r>
      <w:r>
        <w:rPr/>
        <w:t>Newcomb</w:t>
      </w:r>
      <w:r>
        <w:rPr>
          <w:spacing w:val="-1"/>
        </w:rPr>
        <w:t> </w:t>
      </w:r>
      <w:r>
        <w:rPr/>
        <w:t>A.</w:t>
      </w:r>
      <w:r>
        <w:rPr>
          <w:spacing w:val="-4"/>
        </w:rPr>
        <w:t> </w:t>
      </w:r>
      <w:r>
        <w:rPr/>
        <w:t>F.,</w:t>
      </w:r>
      <w:r>
        <w:rPr>
          <w:spacing w:val="-9"/>
        </w:rPr>
        <w:t> </w:t>
      </w:r>
      <w:r>
        <w:rPr/>
        <w:t>Pattee</w:t>
      </w:r>
      <w:r>
        <w:rPr>
          <w:spacing w:val="-10"/>
        </w:rPr>
        <w:t> </w:t>
      </w:r>
      <w:r>
        <w:rPr/>
        <w:t>L.</w:t>
      </w:r>
      <w:r>
        <w:rPr>
          <w:spacing w:val="-9"/>
        </w:rPr>
        <w:t> </w:t>
      </w:r>
      <w:r>
        <w:rPr/>
        <w:t>Сhildren's</w:t>
      </w:r>
      <w:r>
        <w:rPr>
          <w:spacing w:val="-9"/>
        </w:rPr>
        <w:t> </w:t>
      </w:r>
      <w:r>
        <w:rPr/>
        <w:t>peer</w:t>
      </w:r>
      <w:r>
        <w:rPr>
          <w:spacing w:val="-10"/>
        </w:rPr>
        <w:t> </w:t>
      </w:r>
      <w:r>
        <w:rPr/>
        <w:t>relations:</w:t>
      </w:r>
      <w:r>
        <w:rPr>
          <w:spacing w:val="-9"/>
        </w:rPr>
        <w:t> </w:t>
      </w:r>
      <w:r>
        <w:rPr/>
        <w:t>a</w:t>
      </w:r>
      <w:r>
        <w:rPr>
          <w:spacing w:val="-8"/>
        </w:rPr>
        <w:t> </w:t>
      </w:r>
      <w:r>
        <w:rPr/>
        <w:t>meta- analytic review of popular, rejected, neglected, controversial, and average sociometric</w:t>
      </w:r>
      <w:r>
        <w:rPr>
          <w:spacing w:val="-15"/>
        </w:rPr>
        <w:t> </w:t>
      </w:r>
      <w:r>
        <w:rPr/>
        <w:t>status.</w:t>
      </w:r>
      <w:r>
        <w:rPr>
          <w:spacing w:val="-15"/>
        </w:rPr>
        <w:t> </w:t>
      </w:r>
      <w:r>
        <w:rPr/>
        <w:t>/</w:t>
      </w:r>
      <w:r>
        <w:rPr>
          <w:spacing w:val="-12"/>
        </w:rPr>
        <w:t> </w:t>
      </w:r>
      <w:r>
        <w:rPr/>
        <w:t>Psychological</w:t>
      </w:r>
      <w:r>
        <w:rPr>
          <w:spacing w:val="-14"/>
        </w:rPr>
        <w:t> </w:t>
      </w:r>
      <w:r>
        <w:rPr/>
        <w:t>Bulletin.</w:t>
      </w:r>
      <w:r>
        <w:rPr>
          <w:spacing w:val="-7"/>
        </w:rPr>
        <w:t> </w:t>
      </w:r>
      <w:r>
        <w:rPr/>
        <w:t>—</w:t>
      </w:r>
      <w:r>
        <w:rPr>
          <w:spacing w:val="-12"/>
        </w:rPr>
        <w:t> </w:t>
      </w:r>
      <w:r>
        <w:rPr/>
        <w:t>1993.</w:t>
      </w:r>
      <w:r>
        <w:rPr>
          <w:spacing w:val="-15"/>
        </w:rPr>
        <w:t> </w:t>
      </w:r>
      <w:r>
        <w:rPr/>
        <w:t>—</w:t>
      </w:r>
      <w:r>
        <w:rPr>
          <w:spacing w:val="-15"/>
        </w:rPr>
        <w:t> </w:t>
      </w:r>
      <w:r>
        <w:rPr/>
        <w:t>№</w:t>
      </w:r>
      <w:r>
        <w:rPr>
          <w:spacing w:val="-14"/>
        </w:rPr>
        <w:t> </w:t>
      </w:r>
      <w:r>
        <w:rPr/>
        <w:t>113.</w:t>
      </w:r>
      <w:r>
        <w:rPr>
          <w:spacing w:val="-14"/>
        </w:rPr>
        <w:t> </w:t>
      </w:r>
      <w:r>
        <w:rPr/>
        <w:t>—</w:t>
      </w:r>
      <w:r>
        <w:rPr>
          <w:spacing w:val="-12"/>
        </w:rPr>
        <w:t> </w:t>
      </w:r>
      <w:r>
        <w:rPr/>
        <w:t>P.</w:t>
      </w:r>
      <w:r>
        <w:rPr>
          <w:spacing w:val="-13"/>
        </w:rPr>
        <w:t> </w:t>
      </w:r>
      <w:r>
        <w:rPr/>
        <w:t>99–128.</w:t>
      </w:r>
    </w:p>
    <w:p>
      <w:pPr>
        <w:pStyle w:val="Heading4"/>
        <w:numPr>
          <w:ilvl w:val="0"/>
          <w:numId w:val="33"/>
        </w:numPr>
        <w:tabs>
          <w:tab w:pos="928" w:val="left" w:leader="none"/>
        </w:tabs>
        <w:spacing w:line="240" w:lineRule="auto" w:before="2" w:after="0"/>
        <w:ind w:left="928" w:right="569" w:hanging="360"/>
        <w:jc w:val="both"/>
        <w:rPr>
          <w:sz w:val="26"/>
        </w:rPr>
      </w:pPr>
      <w:r>
        <w:rPr/>
        <w:t>Bukowski</w:t>
      </w:r>
      <w:r>
        <w:rPr>
          <w:spacing w:val="-1"/>
        </w:rPr>
        <w:t> </w:t>
      </w:r>
      <w:r>
        <w:rPr/>
        <w:t>W.</w:t>
      </w:r>
      <w:r>
        <w:rPr>
          <w:spacing w:val="-3"/>
        </w:rPr>
        <w:t> </w:t>
      </w:r>
      <w:r>
        <w:rPr/>
        <w:t>M., Newcomb A.</w:t>
      </w:r>
      <w:r>
        <w:rPr>
          <w:spacing w:val="-2"/>
        </w:rPr>
        <w:t> </w:t>
      </w:r>
      <w:r>
        <w:rPr/>
        <w:t>F. Variability in peer group perceptions: Support for the «controversial» sociometric classification group / Developmental Psychology. — 1985. —№ 21. — p. 1032–1038.</w:t>
      </w:r>
    </w:p>
    <w:p>
      <w:pPr>
        <w:pStyle w:val="Heading4"/>
        <w:numPr>
          <w:ilvl w:val="0"/>
          <w:numId w:val="33"/>
        </w:numPr>
        <w:tabs>
          <w:tab w:pos="928" w:val="left" w:leader="none"/>
        </w:tabs>
        <w:spacing w:line="240" w:lineRule="auto" w:before="0" w:after="0"/>
        <w:ind w:left="928" w:right="562" w:hanging="360"/>
        <w:jc w:val="both"/>
        <w:rPr>
          <w:sz w:val="26"/>
        </w:rPr>
      </w:pPr>
      <w:r>
        <w:rPr/>
        <w:t>Butcher</w:t>
      </w:r>
      <w:r>
        <w:rPr>
          <w:spacing w:val="-2"/>
        </w:rPr>
        <w:t> </w:t>
      </w:r>
      <w:r>
        <w:rPr/>
        <w:t>J.</w:t>
      </w:r>
      <w:r>
        <w:rPr>
          <w:spacing w:val="-4"/>
        </w:rPr>
        <w:t> </w:t>
      </w:r>
      <w:r>
        <w:rPr/>
        <w:t>N. Psychological Evaluation, in Mental Health Services for Refugees.</w:t>
      </w:r>
      <w:r>
        <w:rPr>
          <w:spacing w:val="-7"/>
        </w:rPr>
        <w:t> </w:t>
      </w:r>
      <w:r>
        <w:rPr/>
        <w:t>In:</w:t>
      </w:r>
      <w:r>
        <w:rPr>
          <w:spacing w:val="-6"/>
        </w:rPr>
        <w:t> </w:t>
      </w:r>
      <w:r>
        <w:rPr/>
        <w:t>Westermyer</w:t>
      </w:r>
      <w:r>
        <w:rPr>
          <w:spacing w:val="-2"/>
        </w:rPr>
        <w:t> </w:t>
      </w:r>
      <w:r>
        <w:rPr/>
        <w:t>J.,</w:t>
      </w:r>
      <w:r>
        <w:rPr>
          <w:spacing w:val="-4"/>
        </w:rPr>
        <w:t> </w:t>
      </w:r>
      <w:r>
        <w:rPr/>
        <w:t>Williams</w:t>
      </w:r>
      <w:r>
        <w:rPr>
          <w:spacing w:val="-2"/>
        </w:rPr>
        <w:t> </w:t>
      </w:r>
      <w:r>
        <w:rPr/>
        <w:t>C.,</w:t>
      </w:r>
      <w:r>
        <w:rPr>
          <w:spacing w:val="-8"/>
        </w:rPr>
        <w:t> </w:t>
      </w:r>
      <w:r>
        <w:rPr/>
        <w:t>Nguyen</w:t>
      </w:r>
      <w:r>
        <w:rPr>
          <w:spacing w:val="-3"/>
        </w:rPr>
        <w:t> </w:t>
      </w:r>
      <w:r>
        <w:rPr/>
        <w:t>A.,</w:t>
      </w:r>
      <w:r>
        <w:rPr>
          <w:spacing w:val="-8"/>
        </w:rPr>
        <w:t> </w:t>
      </w:r>
      <w:r>
        <w:rPr/>
        <w:t>editors.</w:t>
      </w:r>
      <w:r>
        <w:rPr>
          <w:spacing w:val="-9"/>
        </w:rPr>
        <w:t> </w:t>
      </w:r>
      <w:r>
        <w:rPr/>
        <w:t>//</w:t>
      </w:r>
      <w:r>
        <w:rPr>
          <w:spacing w:val="-8"/>
        </w:rPr>
        <w:t> </w:t>
      </w:r>
      <w:r>
        <w:rPr/>
        <w:t>Washington, DC: Government Printing Office. — 1991. — p. 111–22</w:t>
      </w:r>
    </w:p>
    <w:p>
      <w:pPr>
        <w:pStyle w:val="Heading4"/>
        <w:numPr>
          <w:ilvl w:val="0"/>
          <w:numId w:val="33"/>
        </w:numPr>
        <w:tabs>
          <w:tab w:pos="928" w:val="left" w:leader="none"/>
        </w:tabs>
        <w:spacing w:line="240" w:lineRule="auto" w:before="0" w:after="0"/>
        <w:ind w:left="928" w:right="565" w:hanging="360"/>
        <w:jc w:val="both"/>
        <w:rPr>
          <w:sz w:val="26"/>
        </w:rPr>
      </w:pPr>
      <w:r>
        <w:rPr/>
        <w:t>Cappas C.L., Dubow E.</w:t>
      </w:r>
      <w:r>
        <w:rPr>
          <w:spacing w:val="-2"/>
        </w:rPr>
        <w:t> </w:t>
      </w:r>
      <w:r>
        <w:rPr/>
        <w:t>F. Peer social status and reports of children's adjustment by</w:t>
      </w:r>
      <w:r>
        <w:rPr>
          <w:spacing w:val="-1"/>
        </w:rPr>
        <w:t> </w:t>
      </w:r>
      <w:r>
        <w:rPr/>
        <w:t>their teachers, by</w:t>
      </w:r>
      <w:r>
        <w:rPr>
          <w:spacing w:val="-1"/>
        </w:rPr>
        <w:t> </w:t>
      </w:r>
      <w:r>
        <w:rPr/>
        <w:t>their peers, and by</w:t>
      </w:r>
      <w:r>
        <w:rPr>
          <w:spacing w:val="-1"/>
        </w:rPr>
        <w:t> </w:t>
      </w:r>
      <w:r>
        <w:rPr/>
        <w:t>their self-ratings / Journal of School Psychology. 1988. № 26. — P. 69–75.</w:t>
      </w:r>
    </w:p>
    <w:p>
      <w:pPr>
        <w:pStyle w:val="Heading4"/>
        <w:numPr>
          <w:ilvl w:val="0"/>
          <w:numId w:val="33"/>
        </w:numPr>
        <w:tabs>
          <w:tab w:pos="928" w:val="left" w:leader="none"/>
        </w:tabs>
        <w:spacing w:line="240" w:lineRule="auto" w:before="0" w:after="0"/>
        <w:ind w:left="928" w:right="563" w:hanging="360"/>
        <w:jc w:val="both"/>
        <w:rPr>
          <w:sz w:val="26"/>
        </w:rPr>
      </w:pPr>
      <w:r>
        <w:rPr/>
        <w:t>Carter</w:t>
      </w:r>
      <w:r>
        <w:rPr>
          <w:spacing w:val="-2"/>
        </w:rPr>
        <w:t> </w:t>
      </w:r>
      <w:r>
        <w:rPr/>
        <w:t>A.</w:t>
      </w:r>
      <w:r>
        <w:rPr>
          <w:spacing w:val="-4"/>
        </w:rPr>
        <w:t> </w:t>
      </w:r>
      <w:r>
        <w:rPr/>
        <w:t>S., Grigorenko E.</w:t>
      </w:r>
      <w:r>
        <w:rPr>
          <w:spacing w:val="-3"/>
        </w:rPr>
        <w:t> </w:t>
      </w:r>
      <w:r>
        <w:rPr/>
        <w:t>L., Pauls</w:t>
      </w:r>
      <w:r>
        <w:rPr>
          <w:spacing w:val="-1"/>
        </w:rPr>
        <w:t> </w:t>
      </w:r>
      <w:r>
        <w:rPr/>
        <w:t>D.</w:t>
      </w:r>
      <w:r>
        <w:rPr>
          <w:spacing w:val="-4"/>
        </w:rPr>
        <w:t> </w:t>
      </w:r>
      <w:r>
        <w:rPr/>
        <w:t>L. A Russian adaptation of the child behavior checklist: Psychometric properties and associations with child and maternal affective symptomatology and family functioning. J Abnorm Child Psychol.</w:t>
      </w:r>
      <w:r>
        <w:rPr>
          <w:spacing w:val="-2"/>
        </w:rPr>
        <w:t> </w:t>
      </w:r>
      <w:r>
        <w:rPr/>
        <w:t>—</w:t>
      </w:r>
      <w:r>
        <w:rPr>
          <w:spacing w:val="-5"/>
        </w:rPr>
        <w:t> </w:t>
      </w:r>
      <w:r>
        <w:rPr/>
        <w:t>1995.</w:t>
      </w:r>
      <w:r>
        <w:rPr>
          <w:spacing w:val="-2"/>
        </w:rPr>
        <w:t> </w:t>
      </w:r>
      <w:r>
        <w:rPr/>
        <w:t>—</w:t>
      </w:r>
      <w:r>
        <w:rPr>
          <w:spacing w:val="-5"/>
        </w:rPr>
        <w:t> </w:t>
      </w:r>
      <w:r>
        <w:rPr/>
        <w:t>23.</w:t>
      </w:r>
      <w:r>
        <w:rPr>
          <w:spacing w:val="-3"/>
        </w:rPr>
        <w:t> </w:t>
      </w:r>
      <w:r>
        <w:rPr/>
        <w:t>—</w:t>
      </w:r>
      <w:r>
        <w:rPr>
          <w:spacing w:val="-5"/>
        </w:rPr>
        <w:t> </w:t>
      </w:r>
      <w:r>
        <w:rPr/>
        <w:t>p.</w:t>
      </w:r>
      <w:r>
        <w:rPr>
          <w:spacing w:val="-3"/>
        </w:rPr>
        <w:t> </w:t>
      </w:r>
      <w:r>
        <w:rPr/>
        <w:t>661–684.</w:t>
      </w:r>
      <w:r>
        <w:rPr>
          <w:spacing w:val="-3"/>
        </w:rPr>
        <w:t> </w:t>
      </w:r>
      <w:r>
        <w:rPr/>
        <w:t>https://doi.org/10.1007/BF01447471</w:t>
      </w:r>
    </w:p>
    <w:p>
      <w:pPr>
        <w:pStyle w:val="Heading4"/>
        <w:numPr>
          <w:ilvl w:val="0"/>
          <w:numId w:val="33"/>
        </w:numPr>
        <w:tabs>
          <w:tab w:pos="928" w:val="left" w:leader="none"/>
        </w:tabs>
        <w:spacing w:line="240" w:lineRule="auto" w:before="0" w:after="0"/>
        <w:ind w:left="928" w:right="564" w:hanging="360"/>
        <w:jc w:val="both"/>
        <w:rPr>
          <w:sz w:val="26"/>
        </w:rPr>
      </w:pPr>
      <w:r>
        <w:rPr/>
        <w:t>Chavez</w:t>
      </w:r>
      <w:r>
        <w:rPr>
          <w:spacing w:val="-1"/>
        </w:rPr>
        <w:t> </w:t>
      </w:r>
      <w:r>
        <w:rPr/>
        <w:t>D.</w:t>
      </w:r>
      <w:r>
        <w:rPr>
          <w:spacing w:val="-3"/>
        </w:rPr>
        <w:t> </w:t>
      </w:r>
      <w:r>
        <w:rPr/>
        <w:t>V.,</w:t>
      </w:r>
      <w:r>
        <w:rPr>
          <w:spacing w:val="40"/>
        </w:rPr>
        <w:t> </w:t>
      </w:r>
      <w:r>
        <w:rPr/>
        <w:t>Moran V.</w:t>
      </w:r>
      <w:r>
        <w:rPr>
          <w:spacing w:val="-3"/>
        </w:rPr>
        <w:t> </w:t>
      </w:r>
      <w:r>
        <w:rPr/>
        <w:t>R.,</w:t>
      </w:r>
      <w:r>
        <w:rPr>
          <w:spacing w:val="40"/>
        </w:rPr>
        <w:t> </w:t>
      </w:r>
      <w:r>
        <w:rPr/>
        <w:t>Reid S.</w:t>
      </w:r>
      <w:r>
        <w:rPr>
          <w:spacing w:val="-3"/>
        </w:rPr>
        <w:t> </w:t>
      </w:r>
      <w:r>
        <w:rPr/>
        <w:t>L.,</w:t>
      </w:r>
      <w:r>
        <w:rPr>
          <w:spacing w:val="40"/>
        </w:rPr>
        <w:t> </w:t>
      </w:r>
      <w:r>
        <w:rPr/>
        <w:t>Lopez</w:t>
      </w:r>
      <w:r>
        <w:rPr>
          <w:spacing w:val="-3"/>
        </w:rPr>
        <w:t> </w:t>
      </w:r>
      <w:r>
        <w:rPr/>
        <w:t>M.</w:t>
      </w:r>
      <w:r>
        <w:rPr>
          <w:spacing w:val="40"/>
        </w:rPr>
        <w:t> </w:t>
      </w:r>
      <w:r>
        <w:rPr/>
        <w:t>Acculturative</w:t>
      </w:r>
      <w:r>
        <w:rPr>
          <w:spacing w:val="40"/>
        </w:rPr>
        <w:t> </w:t>
      </w:r>
      <w:r>
        <w:rPr/>
        <w:t>stress</w:t>
      </w:r>
      <w:r>
        <w:rPr>
          <w:spacing w:val="40"/>
        </w:rPr>
        <w:t> </w:t>
      </w:r>
      <w:r>
        <w:rPr/>
        <w:t>in children: A modification of the SAFE Scale. Hispanic Journal of Behavioral Sciences. — 1997. — 19. — 34–45. doi: 10.1177/07399863970191002</w:t>
      </w:r>
    </w:p>
    <w:p>
      <w:pPr>
        <w:pStyle w:val="Heading4"/>
        <w:numPr>
          <w:ilvl w:val="0"/>
          <w:numId w:val="33"/>
        </w:numPr>
        <w:tabs>
          <w:tab w:pos="928" w:val="left" w:leader="none"/>
        </w:tabs>
        <w:spacing w:line="240" w:lineRule="auto" w:before="0" w:after="0"/>
        <w:ind w:left="928" w:right="559" w:hanging="360"/>
        <w:jc w:val="both"/>
        <w:rPr>
          <w:sz w:val="26"/>
        </w:rPr>
      </w:pPr>
      <w:r>
        <w:rPr/>
        <w:t>Cheng</w:t>
      </w:r>
      <w:r>
        <w:rPr>
          <w:spacing w:val="-1"/>
        </w:rPr>
        <w:t> </w:t>
      </w:r>
      <w:r>
        <w:rPr/>
        <w:t>C.-Y., Lee</w:t>
      </w:r>
      <w:r>
        <w:rPr>
          <w:spacing w:val="-2"/>
        </w:rPr>
        <w:t> </w:t>
      </w:r>
      <w:r>
        <w:rPr/>
        <w:t>F., Benet-Martínez</w:t>
      </w:r>
      <w:r>
        <w:rPr>
          <w:spacing w:val="-2"/>
        </w:rPr>
        <w:t> </w:t>
      </w:r>
      <w:r>
        <w:rPr/>
        <w:t>V. Assimilation and contrast effects in cultural frame-switching: Bicultural Identity Integration (BII) and valence of cultural cues. Journal of Cross-Cultural Psychology. — 2006. — 37. — p. 742–760. doi: 10.1177/0022022106292081</w:t>
      </w:r>
    </w:p>
    <w:p>
      <w:pPr>
        <w:pStyle w:val="Heading4"/>
        <w:numPr>
          <w:ilvl w:val="0"/>
          <w:numId w:val="33"/>
        </w:numPr>
        <w:tabs>
          <w:tab w:pos="928" w:val="left" w:leader="none"/>
        </w:tabs>
        <w:spacing w:line="240" w:lineRule="auto" w:before="1" w:after="0"/>
        <w:ind w:left="928" w:right="562" w:hanging="360"/>
        <w:jc w:val="both"/>
        <w:rPr>
          <w:sz w:val="26"/>
        </w:rPr>
      </w:pPr>
      <w:r>
        <w:rPr/>
        <w:t>Chin</w:t>
      </w:r>
      <w:r>
        <w:rPr>
          <w:spacing w:val="-1"/>
        </w:rPr>
        <w:t> </w:t>
      </w:r>
      <w:r>
        <w:rPr/>
        <w:t>W.</w:t>
      </w:r>
      <w:r>
        <w:rPr>
          <w:spacing w:val="-2"/>
        </w:rPr>
        <w:t> </w:t>
      </w:r>
      <w:r>
        <w:rPr/>
        <w:t>Y.,</w:t>
      </w:r>
      <w:r>
        <w:rPr>
          <w:spacing w:val="40"/>
        </w:rPr>
        <w:t> </w:t>
      </w:r>
      <w:r>
        <w:rPr/>
        <w:t>Choi E.</w:t>
      </w:r>
      <w:r>
        <w:rPr>
          <w:spacing w:val="-5"/>
        </w:rPr>
        <w:t> </w:t>
      </w:r>
      <w:r>
        <w:rPr/>
        <w:t>P.</w:t>
      </w:r>
      <w:r>
        <w:rPr>
          <w:spacing w:val="-3"/>
        </w:rPr>
        <w:t> </w:t>
      </w:r>
      <w:r>
        <w:rPr/>
        <w:t>H,</w:t>
      </w:r>
      <w:r>
        <w:rPr>
          <w:spacing w:val="40"/>
        </w:rPr>
        <w:t> </w:t>
      </w:r>
      <w:r>
        <w:rPr/>
        <w:t>Chan K.</w:t>
      </w:r>
      <w:r>
        <w:rPr>
          <w:spacing w:val="-2"/>
        </w:rPr>
        <w:t> </w:t>
      </w:r>
      <w:r>
        <w:rPr/>
        <w:t>T.</w:t>
      </w:r>
      <w:r>
        <w:rPr>
          <w:spacing w:val="-2"/>
        </w:rPr>
        <w:t> </w:t>
      </w:r>
      <w:r>
        <w:rPr/>
        <w:t>Y,</w:t>
      </w:r>
      <w:r>
        <w:rPr>
          <w:spacing w:val="40"/>
        </w:rPr>
        <w:t> </w:t>
      </w:r>
      <w:r>
        <w:rPr/>
        <w:t>Wong C.</w:t>
      </w:r>
      <w:r>
        <w:rPr>
          <w:spacing w:val="-2"/>
        </w:rPr>
        <w:t> </w:t>
      </w:r>
      <w:r>
        <w:rPr/>
        <w:t>K.</w:t>
      </w:r>
      <w:r>
        <w:rPr>
          <w:spacing w:val="-3"/>
        </w:rPr>
        <w:t> </w:t>
      </w:r>
      <w:r>
        <w:rPr/>
        <w:t>H.</w:t>
      </w:r>
      <w:r>
        <w:rPr>
          <w:spacing w:val="40"/>
        </w:rPr>
        <w:t> </w:t>
      </w:r>
      <w:r>
        <w:rPr/>
        <w:t>The</w:t>
      </w:r>
      <w:r>
        <w:rPr>
          <w:spacing w:val="40"/>
        </w:rPr>
        <w:t> </w:t>
      </w:r>
      <w:r>
        <w:rPr/>
        <w:t>psychometric properties of the Center for Epidemiologic Studies Depression Scale in Chinese primary care patients: factor structure, construct validity, reliability, sensitivity</w:t>
      </w:r>
      <w:r>
        <w:rPr>
          <w:spacing w:val="-18"/>
        </w:rPr>
        <w:t> </w:t>
      </w:r>
      <w:r>
        <w:rPr/>
        <w:t>and</w:t>
      </w:r>
      <w:r>
        <w:rPr>
          <w:spacing w:val="-15"/>
        </w:rPr>
        <w:t> </w:t>
      </w:r>
      <w:r>
        <w:rPr/>
        <w:t>responsiveness.</w:t>
      </w:r>
      <w:r>
        <w:rPr>
          <w:spacing w:val="-12"/>
        </w:rPr>
        <w:t> </w:t>
      </w:r>
      <w:r>
        <w:rPr/>
        <w:t>—</w:t>
      </w:r>
      <w:r>
        <w:rPr>
          <w:spacing w:val="-15"/>
        </w:rPr>
        <w:t> </w:t>
      </w:r>
      <w:r>
        <w:rPr/>
        <w:t>Текст:</w:t>
      </w:r>
      <w:r>
        <w:rPr>
          <w:spacing w:val="-15"/>
        </w:rPr>
        <w:t> </w:t>
      </w:r>
      <w:r>
        <w:rPr/>
        <w:t>электронный</w:t>
      </w:r>
      <w:r>
        <w:rPr>
          <w:spacing w:val="-14"/>
        </w:rPr>
        <w:t> </w:t>
      </w:r>
      <w:r>
        <w:rPr/>
        <w:t>//</w:t>
      </w:r>
      <w:r>
        <w:rPr>
          <w:spacing w:val="-15"/>
        </w:rPr>
        <w:t> </w:t>
      </w:r>
      <w:r>
        <w:rPr/>
        <w:t>PLoS</w:t>
      </w:r>
      <w:r>
        <w:rPr>
          <w:spacing w:val="-17"/>
        </w:rPr>
        <w:t> </w:t>
      </w:r>
      <w:r>
        <w:rPr/>
        <w:t>One.</w:t>
      </w:r>
      <w:r>
        <w:rPr>
          <w:spacing w:val="-15"/>
        </w:rPr>
        <w:t> </w:t>
      </w:r>
      <w:r>
        <w:rPr/>
        <w:t>—</w:t>
      </w:r>
      <w:r>
        <w:rPr>
          <w:spacing w:val="-15"/>
        </w:rPr>
        <w:t> </w:t>
      </w:r>
      <w:r>
        <w:rPr/>
        <w:t>2015.</w:t>
      </w:r>
    </w:p>
    <w:p>
      <w:pPr>
        <w:pStyle w:val="Heading4"/>
        <w:tabs>
          <w:tab w:pos="2089" w:val="left" w:leader="none"/>
          <w:tab w:pos="3210" w:val="left" w:leader="none"/>
          <w:tab w:pos="4442" w:val="left" w:leader="none"/>
          <w:tab w:pos="5601" w:val="left" w:leader="none"/>
          <w:tab w:pos="6750" w:val="left" w:leader="none"/>
          <w:tab w:pos="7841" w:val="left" w:leader="none"/>
          <w:tab w:pos="9003" w:val="left" w:leader="none"/>
        </w:tabs>
        <w:spacing w:line="322" w:lineRule="exact"/>
        <w:ind w:left="928"/>
        <w:jc w:val="left"/>
      </w:pPr>
      <w:r>
        <w:rPr>
          <w:spacing w:val="-10"/>
        </w:rPr>
        <w:t>—</w:t>
      </w:r>
      <w:r>
        <w:rPr/>
        <w:tab/>
      </w:r>
      <w:r>
        <w:rPr>
          <w:spacing w:val="-5"/>
        </w:rPr>
        <w:t>Т.</w:t>
      </w:r>
      <w:r>
        <w:rPr/>
        <w:tab/>
      </w:r>
      <w:r>
        <w:rPr>
          <w:spacing w:val="-5"/>
        </w:rPr>
        <w:t>10.</w:t>
      </w:r>
      <w:r>
        <w:rPr/>
        <w:tab/>
      </w:r>
      <w:r>
        <w:rPr>
          <w:spacing w:val="-10"/>
        </w:rPr>
        <w:t>—</w:t>
      </w:r>
      <w:r>
        <w:rPr/>
        <w:tab/>
      </w:r>
      <w:r>
        <w:rPr>
          <w:spacing w:val="-10"/>
        </w:rPr>
        <w:t>№</w:t>
      </w:r>
      <w:r>
        <w:rPr/>
        <w:tab/>
      </w:r>
      <w:r>
        <w:rPr>
          <w:spacing w:val="-5"/>
        </w:rPr>
        <w:t>8.</w:t>
      </w:r>
      <w:r>
        <w:rPr/>
        <w:tab/>
      </w:r>
      <w:r>
        <w:rPr>
          <w:spacing w:val="-10"/>
        </w:rPr>
        <w:t>—</w:t>
      </w:r>
      <w:r>
        <w:rPr/>
        <w:tab/>
      </w:r>
      <w:r>
        <w:rPr>
          <w:spacing w:val="-4"/>
        </w:rPr>
        <w:t>URL:</w:t>
      </w:r>
    </w:p>
    <w:p>
      <w:pPr>
        <w:pStyle w:val="Heading4"/>
        <w:spacing w:line="322" w:lineRule="exact"/>
        <w:ind w:left="928"/>
        <w:jc w:val="left"/>
      </w:pPr>
      <w:hyperlink r:id="rId52">
        <w:r>
          <w:rPr>
            <w:spacing w:val="-2"/>
          </w:rPr>
          <w:t>https://journals.plos.org/plosone/article?id=10.1371/journal.pone.0135131</w:t>
        </w:r>
      </w:hyperlink>
    </w:p>
    <w:p>
      <w:pPr>
        <w:pStyle w:val="Heading4"/>
        <w:numPr>
          <w:ilvl w:val="0"/>
          <w:numId w:val="33"/>
        </w:numPr>
        <w:tabs>
          <w:tab w:pos="928" w:val="left" w:leader="none"/>
        </w:tabs>
        <w:spacing w:line="240" w:lineRule="auto" w:before="0" w:after="0"/>
        <w:ind w:left="928" w:right="570" w:hanging="360"/>
        <w:jc w:val="both"/>
        <w:rPr>
          <w:sz w:val="26"/>
        </w:rPr>
      </w:pPr>
      <w:r>
        <w:rPr/>
        <w:t>Cillessen</w:t>
      </w:r>
      <w:r>
        <w:rPr>
          <w:spacing w:val="-2"/>
        </w:rPr>
        <w:t> </w:t>
      </w:r>
      <w:r>
        <w:rPr/>
        <w:t>A.</w:t>
      </w:r>
      <w:r>
        <w:rPr>
          <w:spacing w:val="-5"/>
        </w:rPr>
        <w:t> </w:t>
      </w:r>
      <w:r>
        <w:rPr/>
        <w:t>H. The</w:t>
      </w:r>
      <w:r>
        <w:rPr>
          <w:spacing w:val="-2"/>
        </w:rPr>
        <w:t> </w:t>
      </w:r>
      <w:r>
        <w:rPr/>
        <w:t>self-perpetuating</w:t>
      </w:r>
      <w:r>
        <w:rPr>
          <w:spacing w:val="-1"/>
        </w:rPr>
        <w:t> </w:t>
      </w:r>
      <w:r>
        <w:rPr/>
        <w:t>nature of</w:t>
      </w:r>
      <w:r>
        <w:rPr>
          <w:spacing w:val="-2"/>
        </w:rPr>
        <w:t> </w:t>
      </w:r>
      <w:r>
        <w:rPr/>
        <w:t>children's</w:t>
      </w:r>
      <w:r>
        <w:rPr>
          <w:spacing w:val="-1"/>
        </w:rPr>
        <w:t> </w:t>
      </w:r>
      <w:r>
        <w:rPr/>
        <w:t>peer</w:t>
      </w:r>
      <w:r>
        <w:rPr>
          <w:spacing w:val="-1"/>
        </w:rPr>
        <w:t> </w:t>
      </w:r>
      <w:r>
        <w:rPr/>
        <w:t>relationships // Kampen: Mondiss. — 1991. — 155 p.</w:t>
      </w:r>
    </w:p>
    <w:p>
      <w:pPr>
        <w:pStyle w:val="Heading4"/>
        <w:numPr>
          <w:ilvl w:val="0"/>
          <w:numId w:val="33"/>
        </w:numPr>
        <w:tabs>
          <w:tab w:pos="928" w:val="left" w:leader="none"/>
        </w:tabs>
        <w:spacing w:line="240" w:lineRule="auto" w:before="0" w:after="0"/>
        <w:ind w:left="928" w:right="562" w:hanging="360"/>
        <w:jc w:val="both"/>
        <w:rPr>
          <w:sz w:val="26"/>
        </w:rPr>
      </w:pPr>
      <w:r>
        <w:rPr/>
        <w:t>Clark D.</w:t>
      </w:r>
      <w:r>
        <w:rPr>
          <w:spacing w:val="-2"/>
        </w:rPr>
        <w:t> </w:t>
      </w:r>
      <w:r>
        <w:rPr/>
        <w:t>M., Edelmann R.</w:t>
      </w:r>
      <w:r>
        <w:rPr>
          <w:spacing w:val="-1"/>
        </w:rPr>
        <w:t> </w:t>
      </w:r>
      <w:r>
        <w:rPr/>
        <w:t>J., Winton E.</w:t>
      </w:r>
      <w:r>
        <w:rPr>
          <w:spacing w:val="-2"/>
        </w:rPr>
        <w:t> </w:t>
      </w:r>
      <w:r>
        <w:rPr/>
        <w:t>C. Social anxiety, fear of negative evaluation and the detection of negative emotion in others. / Behaviour Research and Therapy. — 1995. — №33. — p. 193-196.</w:t>
      </w:r>
    </w:p>
    <w:p>
      <w:pPr>
        <w:pStyle w:val="Heading4"/>
        <w:numPr>
          <w:ilvl w:val="0"/>
          <w:numId w:val="33"/>
        </w:numPr>
        <w:tabs>
          <w:tab w:pos="928" w:val="left" w:leader="none"/>
        </w:tabs>
        <w:spacing w:line="240" w:lineRule="auto" w:before="1" w:after="0"/>
        <w:ind w:left="928" w:right="563" w:hanging="360"/>
        <w:jc w:val="both"/>
        <w:rPr>
          <w:sz w:val="26"/>
        </w:rPr>
      </w:pPr>
      <w:r>
        <w:rPr/>
        <w:t>Collin-Vezina</w:t>
      </w:r>
      <w:r>
        <w:rPr>
          <w:spacing w:val="-2"/>
        </w:rPr>
        <w:t> </w:t>
      </w:r>
      <w:r>
        <w:rPr/>
        <w:t>D.,</w:t>
      </w:r>
      <w:r>
        <w:rPr>
          <w:spacing w:val="40"/>
        </w:rPr>
        <w:t> </w:t>
      </w:r>
      <w:r>
        <w:rPr/>
        <w:t>Coleman</w:t>
      </w:r>
      <w:r>
        <w:rPr>
          <w:spacing w:val="-1"/>
        </w:rPr>
        <w:t> </w:t>
      </w:r>
      <w:r>
        <w:rPr/>
        <w:t>K.,</w:t>
      </w:r>
      <w:r>
        <w:rPr>
          <w:spacing w:val="40"/>
        </w:rPr>
        <w:t> </w:t>
      </w:r>
      <w:r>
        <w:rPr/>
        <w:t>Milne</w:t>
      </w:r>
      <w:r>
        <w:rPr>
          <w:spacing w:val="-2"/>
        </w:rPr>
        <w:t> </w:t>
      </w:r>
      <w:r>
        <w:rPr/>
        <w:t>L.,</w:t>
      </w:r>
      <w:r>
        <w:rPr>
          <w:spacing w:val="40"/>
        </w:rPr>
        <w:t> </w:t>
      </w:r>
      <w:r>
        <w:rPr/>
        <w:t>Sell</w:t>
      </w:r>
      <w:r>
        <w:rPr>
          <w:spacing w:val="-4"/>
        </w:rPr>
        <w:t> </w:t>
      </w:r>
      <w:r>
        <w:rPr/>
        <w:t>J.,</w:t>
      </w:r>
      <w:r>
        <w:rPr>
          <w:spacing w:val="40"/>
        </w:rPr>
        <w:t> </w:t>
      </w:r>
      <w:r>
        <w:rPr/>
        <w:t>Daigneault I.</w:t>
      </w:r>
      <w:r>
        <w:rPr>
          <w:spacing w:val="40"/>
        </w:rPr>
        <w:t> </w:t>
      </w:r>
      <w:r>
        <w:rPr/>
        <w:t>Trauma experiences, maltreatment-related impairments, and resilience among child welfare youth in residential care. International Journal of Mental Health and Addiction. —</w:t>
      </w:r>
      <w:r>
        <w:rPr>
          <w:spacing w:val="-2"/>
        </w:rPr>
        <w:t> </w:t>
      </w:r>
      <w:r>
        <w:rPr/>
        <w:t>2011. — 9(5). — p.</w:t>
      </w:r>
      <w:r>
        <w:rPr>
          <w:spacing w:val="-3"/>
        </w:rPr>
        <w:t> </w:t>
      </w:r>
      <w:r>
        <w:rPr/>
        <w:t>577-589. doi: 10.1007/s11469-011-9323-8</w:t>
      </w:r>
    </w:p>
    <w:p>
      <w:pPr>
        <w:pStyle w:val="Heading4"/>
        <w:numPr>
          <w:ilvl w:val="0"/>
          <w:numId w:val="33"/>
        </w:numPr>
        <w:tabs>
          <w:tab w:pos="928" w:val="left" w:leader="none"/>
        </w:tabs>
        <w:spacing w:line="240" w:lineRule="auto" w:before="0" w:after="0"/>
        <w:ind w:left="928" w:right="560" w:hanging="360"/>
        <w:jc w:val="both"/>
        <w:rPr>
          <w:sz w:val="26"/>
        </w:rPr>
      </w:pPr>
      <w:r>
        <w:rPr/>
        <w:t>Daigneault</w:t>
      </w:r>
      <w:r>
        <w:rPr>
          <w:spacing w:val="-1"/>
        </w:rPr>
        <w:t> </w:t>
      </w:r>
      <w:r>
        <w:rPr/>
        <w:t>I.,</w:t>
      </w:r>
      <w:r>
        <w:rPr>
          <w:spacing w:val="-2"/>
        </w:rPr>
        <w:t> </w:t>
      </w:r>
      <w:r>
        <w:rPr/>
        <w:t>Dion</w:t>
      </w:r>
      <w:r>
        <w:rPr>
          <w:spacing w:val="-3"/>
        </w:rPr>
        <w:t> </w:t>
      </w:r>
      <w:r>
        <w:rPr/>
        <w:t>J.,</w:t>
      </w:r>
      <w:r>
        <w:rPr>
          <w:spacing w:val="-1"/>
        </w:rPr>
        <w:t> </w:t>
      </w:r>
      <w:r>
        <w:rPr/>
        <w:t>Hébert</w:t>
      </w:r>
      <w:r>
        <w:rPr>
          <w:spacing w:val="-3"/>
        </w:rPr>
        <w:t> </w:t>
      </w:r>
      <w:r>
        <w:rPr/>
        <w:t>M.,</w:t>
      </w:r>
      <w:r>
        <w:rPr>
          <w:spacing w:val="-2"/>
        </w:rPr>
        <w:t> </w:t>
      </w:r>
      <w:r>
        <w:rPr/>
        <w:t>McDuff</w:t>
      </w:r>
      <w:r>
        <w:rPr>
          <w:spacing w:val="-4"/>
        </w:rPr>
        <w:t> </w:t>
      </w:r>
      <w:r>
        <w:rPr/>
        <w:t>P.,</w:t>
      </w:r>
      <w:r>
        <w:rPr>
          <w:spacing w:val="-2"/>
        </w:rPr>
        <w:t> </w:t>
      </w:r>
      <w:r>
        <w:rPr/>
        <w:t>Collin-Vézina</w:t>
      </w:r>
      <w:r>
        <w:rPr>
          <w:spacing w:val="-2"/>
        </w:rPr>
        <w:t> </w:t>
      </w:r>
      <w:r>
        <w:rPr/>
        <w:t>D.</w:t>
      </w:r>
      <w:r>
        <w:rPr>
          <w:spacing w:val="-1"/>
        </w:rPr>
        <w:t> </w:t>
      </w:r>
      <w:r>
        <w:rPr/>
        <w:t>Psychometric properties of the Child and Youth Resilience Measure (CYRM-28) among samples</w:t>
      </w:r>
      <w:r>
        <w:rPr>
          <w:spacing w:val="-18"/>
        </w:rPr>
        <w:t> </w:t>
      </w:r>
      <w:r>
        <w:rPr/>
        <w:t>of</w:t>
      </w:r>
      <w:r>
        <w:rPr>
          <w:spacing w:val="-17"/>
        </w:rPr>
        <w:t> </w:t>
      </w:r>
      <w:r>
        <w:rPr/>
        <w:t>French</w:t>
      </w:r>
      <w:r>
        <w:rPr>
          <w:spacing w:val="-17"/>
        </w:rPr>
        <w:t> </w:t>
      </w:r>
      <w:r>
        <w:rPr/>
        <w:t>Canadian</w:t>
      </w:r>
      <w:r>
        <w:rPr>
          <w:spacing w:val="-17"/>
        </w:rPr>
        <w:t> </w:t>
      </w:r>
      <w:r>
        <w:rPr/>
        <w:t>youth.</w:t>
      </w:r>
      <w:r>
        <w:rPr>
          <w:spacing w:val="-15"/>
        </w:rPr>
        <w:t> </w:t>
      </w:r>
      <w:r>
        <w:rPr/>
        <w:t>Child</w:t>
      </w:r>
      <w:r>
        <w:rPr>
          <w:spacing w:val="-17"/>
        </w:rPr>
        <w:t> </w:t>
      </w:r>
      <w:r>
        <w:rPr/>
        <w:t>Abuse</w:t>
      </w:r>
      <w:r>
        <w:rPr>
          <w:spacing w:val="-18"/>
        </w:rPr>
        <w:t> </w:t>
      </w:r>
      <w:r>
        <w:rPr/>
        <w:t>&amp;</w:t>
      </w:r>
      <w:r>
        <w:rPr>
          <w:spacing w:val="-17"/>
        </w:rPr>
        <w:t> </w:t>
      </w:r>
      <w:r>
        <w:rPr/>
        <w:t>Neglect.</w:t>
      </w:r>
      <w:r>
        <w:rPr>
          <w:spacing w:val="-16"/>
        </w:rPr>
        <w:t> </w:t>
      </w:r>
      <w:r>
        <w:rPr/>
        <w:t>—</w:t>
      </w:r>
      <w:r>
        <w:rPr>
          <w:spacing w:val="-18"/>
        </w:rPr>
        <w:t> </w:t>
      </w:r>
      <w:r>
        <w:rPr/>
        <w:t>2013.</w:t>
      </w:r>
      <w:r>
        <w:rPr>
          <w:spacing w:val="-17"/>
        </w:rPr>
        <w:t> </w:t>
      </w:r>
      <w:r>
        <w:rPr/>
        <w:t>—</w:t>
      </w:r>
      <w:r>
        <w:rPr>
          <w:spacing w:val="-18"/>
        </w:rPr>
        <w:t> </w:t>
      </w:r>
      <w:r>
        <w:rPr/>
        <w:t>37(2).</w:t>
      </w:r>
    </w:p>
    <w:p>
      <w:pPr>
        <w:pStyle w:val="Heading4"/>
        <w:spacing w:before="1"/>
        <w:ind w:left="928"/>
      </w:pPr>
      <w:r>
        <w:rPr/>
        <w:t>—</w:t>
      </w:r>
      <w:r>
        <w:rPr>
          <w:spacing w:val="-4"/>
        </w:rPr>
        <w:t> </w:t>
      </w:r>
      <w:r>
        <w:rPr/>
        <w:t>p.</w:t>
      </w:r>
      <w:r>
        <w:rPr>
          <w:spacing w:val="-4"/>
        </w:rPr>
        <w:t> </w:t>
      </w:r>
      <w:r>
        <w:rPr/>
        <w:t>160–171.</w:t>
      </w:r>
      <w:r>
        <w:rPr>
          <w:spacing w:val="-4"/>
        </w:rPr>
        <w:t> </w:t>
      </w:r>
      <w:r>
        <w:rPr/>
        <w:t>doi:</w:t>
      </w:r>
      <w:r>
        <w:rPr>
          <w:spacing w:val="-5"/>
        </w:rPr>
        <w:t> </w:t>
      </w:r>
      <w:r>
        <w:rPr>
          <w:spacing w:val="-2"/>
        </w:rPr>
        <w:t>10.1016/j.chiabu.2012.06.004</w:t>
      </w:r>
    </w:p>
    <w:p>
      <w:pPr>
        <w:pStyle w:val="Heading4"/>
        <w:spacing w:after="0"/>
        <w:sectPr>
          <w:pgSz w:w="11910" w:h="16840"/>
          <w:pgMar w:header="0" w:footer="970" w:top="1040" w:bottom="1220" w:left="1417" w:right="283"/>
        </w:sectPr>
      </w:pPr>
    </w:p>
    <w:p>
      <w:pPr>
        <w:pStyle w:val="Heading4"/>
        <w:numPr>
          <w:ilvl w:val="0"/>
          <w:numId w:val="33"/>
        </w:numPr>
        <w:tabs>
          <w:tab w:pos="928" w:val="left" w:leader="none"/>
        </w:tabs>
        <w:spacing w:line="240" w:lineRule="auto" w:before="67" w:after="0"/>
        <w:ind w:left="928" w:right="559" w:hanging="360"/>
        <w:jc w:val="both"/>
        <w:rPr>
          <w:sz w:val="26"/>
        </w:rPr>
      </w:pPr>
      <w:r>
        <w:rPr/>
        <w:t>Derogatis L.</w:t>
      </w:r>
      <w:r>
        <w:rPr>
          <w:spacing w:val="-2"/>
        </w:rPr>
        <w:t> </w:t>
      </w:r>
      <w:r>
        <w:rPr/>
        <w:t>R.,</w:t>
      </w:r>
      <w:r>
        <w:rPr>
          <w:spacing w:val="40"/>
        </w:rPr>
        <w:t> </w:t>
      </w:r>
      <w:r>
        <w:rPr/>
        <w:t>Lipman R.</w:t>
      </w:r>
      <w:r>
        <w:rPr>
          <w:spacing w:val="-2"/>
        </w:rPr>
        <w:t> </w:t>
      </w:r>
      <w:r>
        <w:rPr/>
        <w:t>S.,</w:t>
      </w:r>
      <w:r>
        <w:rPr>
          <w:spacing w:val="40"/>
        </w:rPr>
        <w:t> </w:t>
      </w:r>
      <w:r>
        <w:rPr/>
        <w:t>Rickels</w:t>
      </w:r>
      <w:r>
        <w:rPr>
          <w:spacing w:val="-2"/>
        </w:rPr>
        <w:t> </w:t>
      </w:r>
      <w:r>
        <w:rPr/>
        <w:t>K.,</w:t>
      </w:r>
      <w:r>
        <w:rPr>
          <w:spacing w:val="40"/>
        </w:rPr>
        <w:t> </w:t>
      </w:r>
      <w:r>
        <w:rPr/>
        <w:t>Uhlenhuth E.</w:t>
      </w:r>
      <w:r>
        <w:rPr>
          <w:spacing w:val="-2"/>
        </w:rPr>
        <w:t> </w:t>
      </w:r>
      <w:r>
        <w:rPr/>
        <w:t>H.,</w:t>
      </w:r>
      <w:r>
        <w:rPr>
          <w:spacing w:val="40"/>
        </w:rPr>
        <w:t> </w:t>
      </w:r>
      <w:r>
        <w:rPr/>
        <w:t>Covi L.</w:t>
      </w:r>
      <w:r>
        <w:rPr>
          <w:spacing w:val="40"/>
        </w:rPr>
        <w:t> </w:t>
      </w:r>
      <w:r>
        <w:rPr/>
        <w:t>The Hopkins Symptom Checklist (HSCL): a self-report symptom inventory//Behav Sci. — 1974. — Vol.19:1 — 15 p.</w:t>
      </w:r>
    </w:p>
    <w:p>
      <w:pPr>
        <w:pStyle w:val="Heading4"/>
        <w:numPr>
          <w:ilvl w:val="0"/>
          <w:numId w:val="33"/>
        </w:numPr>
        <w:tabs>
          <w:tab w:pos="928" w:val="left" w:leader="none"/>
        </w:tabs>
        <w:spacing w:line="240" w:lineRule="auto" w:before="2" w:after="0"/>
        <w:ind w:left="928" w:right="565" w:hanging="360"/>
        <w:jc w:val="both"/>
        <w:rPr>
          <w:sz w:val="26"/>
        </w:rPr>
      </w:pPr>
      <w:r>
        <w:rPr/>
        <w:t>Direnfeld D.</w:t>
      </w:r>
      <w:r>
        <w:rPr>
          <w:spacing w:val="-1"/>
        </w:rPr>
        <w:t> </w:t>
      </w:r>
      <w:r>
        <w:rPr/>
        <w:t>M., Cox</w:t>
      </w:r>
      <w:r>
        <w:rPr>
          <w:spacing w:val="-3"/>
        </w:rPr>
        <w:t> </w:t>
      </w:r>
      <w:r>
        <w:rPr/>
        <w:t>B.</w:t>
      </w:r>
      <w:r>
        <w:rPr>
          <w:spacing w:val="-2"/>
        </w:rPr>
        <w:t> </w:t>
      </w:r>
      <w:r>
        <w:rPr/>
        <w:t>J., Ross L., Swinson R. P. A Comparison of Social Phobia Outcome Measures in Cognitive-Behavioral Group Therapy. / Behavior Modification. — 1998. — №22. — pp. 285-297.</w:t>
      </w:r>
    </w:p>
    <w:p>
      <w:pPr>
        <w:pStyle w:val="Heading4"/>
        <w:numPr>
          <w:ilvl w:val="0"/>
          <w:numId w:val="33"/>
        </w:numPr>
        <w:tabs>
          <w:tab w:pos="928" w:val="left" w:leader="none"/>
        </w:tabs>
        <w:spacing w:line="242" w:lineRule="auto" w:before="0" w:after="0"/>
        <w:ind w:left="928" w:right="560" w:hanging="360"/>
        <w:jc w:val="both"/>
        <w:rPr>
          <w:sz w:val="26"/>
        </w:rPr>
      </w:pPr>
      <w:r>
        <w:rPr/>
        <w:t>Eccles J.</w:t>
      </w:r>
      <w:r>
        <w:rPr>
          <w:spacing w:val="-3"/>
        </w:rPr>
        <w:t> </w:t>
      </w:r>
      <w:r>
        <w:rPr/>
        <w:t>S.,</w:t>
      </w:r>
      <w:r>
        <w:rPr>
          <w:spacing w:val="-8"/>
        </w:rPr>
        <w:t> </w:t>
      </w:r>
      <w:r>
        <w:rPr/>
        <w:t>Wigfield</w:t>
      </w:r>
      <w:r>
        <w:rPr>
          <w:spacing w:val="-1"/>
        </w:rPr>
        <w:t> </w:t>
      </w:r>
      <w:r>
        <w:rPr/>
        <w:t>A.</w:t>
      </w:r>
      <w:r>
        <w:rPr>
          <w:spacing w:val="-7"/>
        </w:rPr>
        <w:t> </w:t>
      </w:r>
      <w:r>
        <w:rPr/>
        <w:t>In</w:t>
      </w:r>
      <w:r>
        <w:rPr>
          <w:spacing w:val="-6"/>
        </w:rPr>
        <w:t> </w:t>
      </w:r>
      <w:r>
        <w:rPr/>
        <w:t>the</w:t>
      </w:r>
      <w:r>
        <w:rPr>
          <w:spacing w:val="-4"/>
        </w:rPr>
        <w:t> </w:t>
      </w:r>
      <w:r>
        <w:rPr/>
        <w:t>mind</w:t>
      </w:r>
      <w:r>
        <w:rPr>
          <w:spacing w:val="-6"/>
        </w:rPr>
        <w:t> </w:t>
      </w:r>
      <w:r>
        <w:rPr/>
        <w:t>of</w:t>
      </w:r>
      <w:r>
        <w:rPr>
          <w:spacing w:val="-7"/>
        </w:rPr>
        <w:t> </w:t>
      </w:r>
      <w:r>
        <w:rPr/>
        <w:t>the</w:t>
      </w:r>
      <w:r>
        <w:rPr>
          <w:spacing w:val="-9"/>
        </w:rPr>
        <w:t> </w:t>
      </w:r>
      <w:r>
        <w:rPr/>
        <w:t>actor:</w:t>
      </w:r>
      <w:r>
        <w:rPr>
          <w:spacing w:val="-6"/>
        </w:rPr>
        <w:t> </w:t>
      </w:r>
      <w:r>
        <w:rPr/>
        <w:t>the</w:t>
      </w:r>
      <w:r>
        <w:rPr>
          <w:spacing w:val="-7"/>
        </w:rPr>
        <w:t> </w:t>
      </w:r>
      <w:r>
        <w:rPr/>
        <w:t>structure</w:t>
      </w:r>
      <w:r>
        <w:rPr>
          <w:spacing w:val="-6"/>
        </w:rPr>
        <w:t> </w:t>
      </w:r>
      <w:r>
        <w:rPr/>
        <w:t>of</w:t>
      </w:r>
      <w:r>
        <w:rPr>
          <w:spacing w:val="-7"/>
        </w:rPr>
        <w:t> </w:t>
      </w:r>
      <w:r>
        <w:rPr/>
        <w:t>adolescents’ achievement task values and expectancy-related beliefs // Pers. Soc. Psychol.</w:t>
      </w:r>
    </w:p>
    <w:p>
      <w:pPr>
        <w:pStyle w:val="Heading4"/>
        <w:spacing w:line="317" w:lineRule="exact"/>
        <w:ind w:left="928"/>
      </w:pPr>
      <w:r>
        <w:rPr/>
        <w:t>—</w:t>
      </w:r>
      <w:r>
        <w:rPr>
          <w:spacing w:val="-3"/>
        </w:rPr>
        <w:t> </w:t>
      </w:r>
      <w:r>
        <w:rPr/>
        <w:t>1995.</w:t>
      </w:r>
      <w:r>
        <w:rPr>
          <w:spacing w:val="-3"/>
        </w:rPr>
        <w:t> </w:t>
      </w:r>
      <w:r>
        <w:rPr/>
        <w:t>—</w:t>
      </w:r>
      <w:r>
        <w:rPr>
          <w:spacing w:val="-3"/>
        </w:rPr>
        <w:t> </w:t>
      </w:r>
      <w:r>
        <w:rPr/>
        <w:t>Bull.</w:t>
      </w:r>
      <w:r>
        <w:rPr>
          <w:spacing w:val="-3"/>
        </w:rPr>
        <w:t> </w:t>
      </w:r>
      <w:r>
        <w:rPr/>
        <w:t>21.</w:t>
      </w:r>
      <w:r>
        <w:rPr>
          <w:spacing w:val="-3"/>
        </w:rPr>
        <w:t> </w:t>
      </w:r>
      <w:r>
        <w:rPr/>
        <w:t>—</w:t>
      </w:r>
      <w:r>
        <w:rPr>
          <w:spacing w:val="-3"/>
        </w:rPr>
        <w:t> </w:t>
      </w:r>
      <w:r>
        <w:rPr/>
        <w:t>P.</w:t>
      </w:r>
      <w:r>
        <w:rPr>
          <w:spacing w:val="-3"/>
        </w:rPr>
        <w:t> </w:t>
      </w:r>
      <w:r>
        <w:rPr/>
        <w:t>215-</w:t>
      </w:r>
      <w:r>
        <w:rPr>
          <w:spacing w:val="-5"/>
        </w:rPr>
        <w:t>225</w:t>
      </w:r>
    </w:p>
    <w:p>
      <w:pPr>
        <w:pStyle w:val="Heading4"/>
        <w:numPr>
          <w:ilvl w:val="0"/>
          <w:numId w:val="33"/>
        </w:numPr>
        <w:tabs>
          <w:tab w:pos="928" w:val="left" w:leader="none"/>
        </w:tabs>
        <w:spacing w:line="240" w:lineRule="auto" w:before="0" w:after="0"/>
        <w:ind w:left="928" w:right="560" w:hanging="360"/>
        <w:jc w:val="both"/>
        <w:rPr>
          <w:sz w:val="26"/>
        </w:rPr>
      </w:pPr>
      <w:r>
        <w:rPr/>
        <w:t>Evans L., Moylan A., Oei</w:t>
      </w:r>
      <w:r>
        <w:rPr>
          <w:spacing w:val="-1"/>
        </w:rPr>
        <w:t> </w:t>
      </w:r>
      <w:r>
        <w:rPr/>
        <w:t>T.</w:t>
      </w:r>
      <w:r>
        <w:rPr>
          <w:spacing w:val="-2"/>
        </w:rPr>
        <w:t> </w:t>
      </w:r>
      <w:r>
        <w:rPr/>
        <w:t>P.</w:t>
      </w:r>
      <w:r>
        <w:rPr>
          <w:spacing w:val="-3"/>
        </w:rPr>
        <w:t> </w:t>
      </w:r>
      <w:r>
        <w:rPr/>
        <w:t>S. Validity and clinical utility of the Fear Questionnaire for anxiety-disorder patients. / Psychological Assessment. — 1991. — №3. — pp. 391—397.</w:t>
      </w:r>
    </w:p>
    <w:p>
      <w:pPr>
        <w:pStyle w:val="Heading4"/>
        <w:numPr>
          <w:ilvl w:val="0"/>
          <w:numId w:val="33"/>
        </w:numPr>
        <w:tabs>
          <w:tab w:pos="928" w:val="left" w:leader="none"/>
        </w:tabs>
        <w:spacing w:line="240" w:lineRule="auto" w:before="0" w:after="0"/>
        <w:ind w:left="928" w:right="567" w:hanging="360"/>
        <w:jc w:val="both"/>
        <w:rPr>
          <w:sz w:val="26"/>
        </w:rPr>
      </w:pPr>
      <w:r>
        <w:rPr/>
        <w:t>Fang</w:t>
      </w:r>
      <w:r>
        <w:rPr>
          <w:spacing w:val="-3"/>
        </w:rPr>
        <w:t> </w:t>
      </w:r>
      <w:r>
        <w:rPr/>
        <w:t>L.,</w:t>
      </w:r>
      <w:r>
        <w:rPr>
          <w:spacing w:val="-14"/>
        </w:rPr>
        <w:t> </w:t>
      </w:r>
      <w:r>
        <w:rPr/>
        <w:t>Sun</w:t>
      </w:r>
      <w:r>
        <w:rPr>
          <w:spacing w:val="-2"/>
        </w:rPr>
        <w:t> </w:t>
      </w:r>
      <w:r>
        <w:rPr/>
        <w:t>R.</w:t>
      </w:r>
      <w:r>
        <w:rPr>
          <w:spacing w:val="-4"/>
        </w:rPr>
        <w:t> </w:t>
      </w:r>
      <w:r>
        <w:rPr/>
        <w:t>C.</w:t>
      </w:r>
      <w:r>
        <w:rPr>
          <w:spacing w:val="-4"/>
        </w:rPr>
        <w:t> </w:t>
      </w:r>
      <w:r>
        <w:rPr/>
        <w:t>F.,</w:t>
      </w:r>
      <w:r>
        <w:rPr>
          <w:spacing w:val="-13"/>
        </w:rPr>
        <w:t> </w:t>
      </w:r>
      <w:r>
        <w:rPr/>
        <w:t>Yuen</w:t>
      </w:r>
      <w:r>
        <w:rPr>
          <w:spacing w:val="-2"/>
        </w:rPr>
        <w:t> </w:t>
      </w:r>
      <w:r>
        <w:rPr/>
        <w:t>M.</w:t>
      </w:r>
      <w:r>
        <w:rPr>
          <w:spacing w:val="-13"/>
        </w:rPr>
        <w:t> </w:t>
      </w:r>
      <w:r>
        <w:rPr/>
        <w:t>Development</w:t>
      </w:r>
      <w:r>
        <w:rPr>
          <w:spacing w:val="-12"/>
        </w:rPr>
        <w:t> </w:t>
      </w:r>
      <w:r>
        <w:rPr/>
        <w:t>and</w:t>
      </w:r>
      <w:r>
        <w:rPr>
          <w:spacing w:val="-12"/>
        </w:rPr>
        <w:t> </w:t>
      </w:r>
      <w:r>
        <w:rPr/>
        <w:t>preliminary</w:t>
      </w:r>
      <w:r>
        <w:rPr>
          <w:spacing w:val="-16"/>
        </w:rPr>
        <w:t> </w:t>
      </w:r>
      <w:r>
        <w:rPr/>
        <w:t>validation</w:t>
      </w:r>
      <w:r>
        <w:rPr>
          <w:spacing w:val="-12"/>
        </w:rPr>
        <w:t> </w:t>
      </w:r>
      <w:r>
        <w:rPr/>
        <w:t>of</w:t>
      </w:r>
      <w:r>
        <w:rPr>
          <w:spacing w:val="-12"/>
        </w:rPr>
        <w:t> </w:t>
      </w:r>
      <w:r>
        <w:rPr/>
        <w:t>an acculturation scale for China’s rural to urban migrant children // Int. J. Intercult. Relations. Elsevier Ltd. — 2017. — Vol. 58. — p. 1–11.</w:t>
      </w:r>
    </w:p>
    <w:p>
      <w:pPr>
        <w:pStyle w:val="Heading4"/>
        <w:numPr>
          <w:ilvl w:val="0"/>
          <w:numId w:val="33"/>
        </w:numPr>
        <w:tabs>
          <w:tab w:pos="928" w:val="left" w:leader="none"/>
        </w:tabs>
        <w:spacing w:line="240" w:lineRule="auto" w:before="0" w:after="0"/>
        <w:ind w:left="928" w:right="562" w:hanging="360"/>
        <w:jc w:val="both"/>
        <w:rPr>
          <w:sz w:val="26"/>
        </w:rPr>
      </w:pPr>
      <w:r>
        <w:rPr/>
        <w:t>Fishwick R., Joseph S., Stewart-Brown S., Tennant R., Platt S. Monitoring positive mental health in Scotland: validating the Affectometer 2 scale and developing the Warwick-Edinburgh Mental Well-being Scale for the UK. Edinburgh: NHS Health Scotland. — 2006. — pp.1-99.</w:t>
      </w:r>
    </w:p>
    <w:p>
      <w:pPr>
        <w:pStyle w:val="Heading4"/>
        <w:numPr>
          <w:ilvl w:val="0"/>
          <w:numId w:val="33"/>
        </w:numPr>
        <w:tabs>
          <w:tab w:pos="928" w:val="left" w:leader="none"/>
        </w:tabs>
        <w:spacing w:line="242" w:lineRule="auto" w:before="0" w:after="0"/>
        <w:ind w:left="928" w:right="562" w:hanging="360"/>
        <w:jc w:val="both"/>
        <w:rPr>
          <w:sz w:val="26"/>
        </w:rPr>
      </w:pPr>
      <w:r>
        <w:rPr/>
        <w:t>Franco</w:t>
      </w:r>
      <w:r>
        <w:rPr>
          <w:spacing w:val="-5"/>
        </w:rPr>
        <w:t> </w:t>
      </w:r>
      <w:r>
        <w:rPr/>
        <w:t>J.</w:t>
      </w:r>
      <w:r>
        <w:rPr>
          <w:spacing w:val="-5"/>
        </w:rPr>
        <w:t> </w:t>
      </w:r>
      <w:r>
        <w:rPr/>
        <w:t>N.</w:t>
      </w:r>
      <w:r>
        <w:rPr>
          <w:spacing w:val="-18"/>
        </w:rPr>
        <w:t> </w:t>
      </w:r>
      <w:r>
        <w:rPr/>
        <w:t>An</w:t>
      </w:r>
      <w:r>
        <w:rPr>
          <w:spacing w:val="-16"/>
        </w:rPr>
        <w:t> </w:t>
      </w:r>
      <w:r>
        <w:rPr/>
        <w:t>Acculturation</w:t>
      </w:r>
      <w:r>
        <w:rPr>
          <w:spacing w:val="-17"/>
        </w:rPr>
        <w:t> </w:t>
      </w:r>
      <w:r>
        <w:rPr/>
        <w:t>Scale</w:t>
      </w:r>
      <w:r>
        <w:rPr>
          <w:spacing w:val="-18"/>
        </w:rPr>
        <w:t> </w:t>
      </w:r>
      <w:r>
        <w:rPr/>
        <w:t>for</w:t>
      </w:r>
      <w:r>
        <w:rPr>
          <w:spacing w:val="-17"/>
        </w:rPr>
        <w:t> </w:t>
      </w:r>
      <w:r>
        <w:rPr/>
        <w:t>Mexican-American</w:t>
      </w:r>
      <w:r>
        <w:rPr>
          <w:spacing w:val="-17"/>
        </w:rPr>
        <w:t> </w:t>
      </w:r>
      <w:r>
        <w:rPr/>
        <w:t>Children</w:t>
      </w:r>
      <w:r>
        <w:rPr>
          <w:spacing w:val="-17"/>
        </w:rPr>
        <w:t> </w:t>
      </w:r>
      <w:r>
        <w:rPr/>
        <w:t>//</w:t>
      </w:r>
      <w:r>
        <w:rPr>
          <w:spacing w:val="-17"/>
        </w:rPr>
        <w:t> </w:t>
      </w:r>
      <w:r>
        <w:rPr/>
        <w:t>J.</w:t>
      </w:r>
      <w:r>
        <w:rPr>
          <w:spacing w:val="-18"/>
        </w:rPr>
        <w:t> </w:t>
      </w:r>
      <w:r>
        <w:rPr/>
        <w:t>Gen. Psychol. — 1983. — Vol. 108. — № 2. — p. 175–181.</w:t>
      </w:r>
    </w:p>
    <w:p>
      <w:pPr>
        <w:pStyle w:val="Heading4"/>
        <w:numPr>
          <w:ilvl w:val="0"/>
          <w:numId w:val="33"/>
        </w:numPr>
        <w:tabs>
          <w:tab w:pos="928" w:val="left" w:leader="none"/>
        </w:tabs>
        <w:spacing w:line="240" w:lineRule="auto" w:before="0" w:after="0"/>
        <w:ind w:left="928" w:right="563" w:hanging="360"/>
        <w:jc w:val="both"/>
        <w:rPr>
          <w:sz w:val="26"/>
        </w:rPr>
      </w:pPr>
      <w:r>
        <w:rPr/>
        <w:t>Frankenberg E., Bongard</w:t>
      </w:r>
      <w:r>
        <w:rPr>
          <w:spacing w:val="-1"/>
        </w:rPr>
        <w:t> </w:t>
      </w:r>
      <w:r>
        <w:rPr/>
        <w:t>S. Development and preliminary validation of the Frankfurt Acculturation Scale for Children (FRACC-C) // Int. J. Intercult. Relations. Elsevier Ltd. — 2013. — Vol. 37. — № 3. — p. 323–334.</w:t>
      </w:r>
    </w:p>
    <w:p>
      <w:pPr>
        <w:pStyle w:val="Heading4"/>
        <w:numPr>
          <w:ilvl w:val="0"/>
          <w:numId w:val="33"/>
        </w:numPr>
        <w:tabs>
          <w:tab w:pos="928" w:val="left" w:leader="none"/>
        </w:tabs>
        <w:spacing w:line="240" w:lineRule="auto" w:before="0" w:after="0"/>
        <w:ind w:left="928" w:right="564" w:hanging="360"/>
        <w:jc w:val="both"/>
        <w:rPr>
          <w:sz w:val="26"/>
        </w:rPr>
      </w:pPr>
      <w:r>
        <w:rPr/>
        <w:t>Friend R., Watson D. Measurement of social-evaluative anxiety. / Journal of Consulting and Clinical Psychology. — 1969. — 33. — pp. 448-457</w:t>
      </w:r>
    </w:p>
    <w:p>
      <w:pPr>
        <w:pStyle w:val="Heading4"/>
        <w:numPr>
          <w:ilvl w:val="0"/>
          <w:numId w:val="33"/>
        </w:numPr>
        <w:tabs>
          <w:tab w:pos="928" w:val="left" w:leader="none"/>
        </w:tabs>
        <w:spacing w:line="240" w:lineRule="auto" w:before="0" w:after="0"/>
        <w:ind w:left="928" w:right="564" w:hanging="360"/>
        <w:jc w:val="both"/>
        <w:rPr>
          <w:sz w:val="26"/>
        </w:rPr>
      </w:pPr>
      <w:r>
        <w:rPr/>
        <w:t>Garcia</w:t>
      </w:r>
      <w:r>
        <w:rPr>
          <w:spacing w:val="-1"/>
        </w:rPr>
        <w:t> </w:t>
      </w:r>
      <w:r>
        <w:rPr/>
        <w:t>E., Gonzales</w:t>
      </w:r>
      <w:r>
        <w:rPr>
          <w:spacing w:val="-1"/>
        </w:rPr>
        <w:t> </w:t>
      </w:r>
      <w:r>
        <w:rPr/>
        <w:t>M.</w:t>
      </w:r>
      <w:r>
        <w:rPr>
          <w:spacing w:val="-3"/>
        </w:rPr>
        <w:t> </w:t>
      </w:r>
      <w:r>
        <w:rPr/>
        <w:t>P., Saiz</w:t>
      </w:r>
      <w:r>
        <w:rPr>
          <w:spacing w:val="-1"/>
        </w:rPr>
        <w:t> </w:t>
      </w:r>
      <w:r>
        <w:rPr/>
        <w:t>P.</w:t>
      </w:r>
      <w:r>
        <w:rPr>
          <w:spacing w:val="-2"/>
        </w:rPr>
        <w:t> </w:t>
      </w:r>
      <w:r>
        <w:rPr/>
        <w:t>A. et al. The Spanish version of the AUQUEI</w:t>
      </w:r>
      <w:r>
        <w:rPr>
          <w:spacing w:val="-3"/>
        </w:rPr>
        <w:t> </w:t>
      </w:r>
      <w:r>
        <w:rPr/>
        <w:t>questionnaire</w:t>
      </w:r>
      <w:r>
        <w:rPr>
          <w:spacing w:val="-5"/>
        </w:rPr>
        <w:t> </w:t>
      </w:r>
      <w:r>
        <w:rPr/>
        <w:t>(child</w:t>
      </w:r>
      <w:r>
        <w:rPr>
          <w:spacing w:val="-5"/>
        </w:rPr>
        <w:t> </w:t>
      </w:r>
      <w:r>
        <w:rPr/>
        <w:t>pictured</w:t>
      </w:r>
      <w:r>
        <w:rPr>
          <w:spacing w:val="-5"/>
        </w:rPr>
        <w:t> </w:t>
      </w:r>
      <w:r>
        <w:rPr/>
        <w:t>self</w:t>
      </w:r>
      <w:r>
        <w:rPr>
          <w:spacing w:val="-8"/>
        </w:rPr>
        <w:t> </w:t>
      </w:r>
      <w:r>
        <w:rPr/>
        <w:t>report).</w:t>
      </w:r>
      <w:r>
        <w:rPr>
          <w:spacing w:val="-6"/>
        </w:rPr>
        <w:t> </w:t>
      </w:r>
      <w:r>
        <w:rPr/>
        <w:t>5th</w:t>
      </w:r>
      <w:r>
        <w:rPr>
          <w:spacing w:val="-5"/>
        </w:rPr>
        <w:t> </w:t>
      </w:r>
      <w:r>
        <w:rPr/>
        <w:t>Annual</w:t>
      </w:r>
      <w:r>
        <w:rPr>
          <w:spacing w:val="-7"/>
        </w:rPr>
        <w:t> </w:t>
      </w:r>
      <w:r>
        <w:rPr/>
        <w:t>Conference</w:t>
      </w:r>
      <w:r>
        <w:rPr>
          <w:spacing w:val="-5"/>
        </w:rPr>
        <w:t> </w:t>
      </w:r>
      <w:r>
        <w:rPr/>
        <w:t>of the International Society for Quality of Life Research. Quality of Life Research. — 1998. — 7. — 597 p.</w:t>
      </w:r>
    </w:p>
    <w:p>
      <w:pPr>
        <w:pStyle w:val="Heading4"/>
        <w:numPr>
          <w:ilvl w:val="0"/>
          <w:numId w:val="33"/>
        </w:numPr>
        <w:tabs>
          <w:tab w:pos="928" w:val="left" w:leader="none"/>
        </w:tabs>
        <w:spacing w:line="240" w:lineRule="auto" w:before="0" w:after="0"/>
        <w:ind w:left="928" w:right="560" w:hanging="360"/>
        <w:jc w:val="both"/>
        <w:rPr>
          <w:sz w:val="26"/>
        </w:rPr>
      </w:pPr>
      <w:r>
        <w:rPr/>
        <w:t>Gerin P., Dazord A., Boissel</w:t>
      </w:r>
      <w:r>
        <w:rPr>
          <w:spacing w:val="-2"/>
        </w:rPr>
        <w:t> </w:t>
      </w:r>
      <w:r>
        <w:rPr/>
        <w:t>J.</w:t>
      </w:r>
      <w:r>
        <w:rPr>
          <w:spacing w:val="-3"/>
        </w:rPr>
        <w:t> </w:t>
      </w:r>
      <w:r>
        <w:rPr/>
        <w:t>P., Chifflet R. Quality of life assessment in therapeutic trials: rationale for and presentation of a more appropriate instrument</w:t>
      </w:r>
      <w:r>
        <w:rPr>
          <w:spacing w:val="-7"/>
        </w:rPr>
        <w:t> </w:t>
      </w:r>
      <w:r>
        <w:rPr/>
        <w:t>//</w:t>
      </w:r>
      <w:r>
        <w:rPr>
          <w:spacing w:val="-8"/>
        </w:rPr>
        <w:t> </w:t>
      </w:r>
      <w:r>
        <w:rPr/>
        <w:t>Fundamental</w:t>
      </w:r>
      <w:r>
        <w:rPr>
          <w:spacing w:val="-8"/>
        </w:rPr>
        <w:t> </w:t>
      </w:r>
      <w:r>
        <w:rPr/>
        <w:t>and</w:t>
      </w:r>
      <w:r>
        <w:rPr>
          <w:spacing w:val="-8"/>
        </w:rPr>
        <w:t> </w:t>
      </w:r>
      <w:r>
        <w:rPr/>
        <w:t>clinical</w:t>
      </w:r>
      <w:r>
        <w:rPr>
          <w:spacing w:val="-8"/>
        </w:rPr>
        <w:t> </w:t>
      </w:r>
      <w:r>
        <w:rPr/>
        <w:t>Pharmacology.</w:t>
      </w:r>
      <w:r>
        <w:rPr>
          <w:spacing w:val="-4"/>
        </w:rPr>
        <w:t> </w:t>
      </w:r>
      <w:r>
        <w:rPr/>
        <w:t>1992.</w:t>
      </w:r>
      <w:r>
        <w:rPr>
          <w:spacing w:val="-8"/>
        </w:rPr>
        <w:t> </w:t>
      </w:r>
      <w:r>
        <w:rPr/>
        <w:t>—</w:t>
      </w:r>
      <w:r>
        <w:rPr>
          <w:spacing w:val="-11"/>
        </w:rPr>
        <w:t> </w:t>
      </w:r>
      <w:r>
        <w:rPr/>
        <w:t>6.</w:t>
      </w:r>
      <w:r>
        <w:rPr>
          <w:spacing w:val="-9"/>
        </w:rPr>
        <w:t> </w:t>
      </w:r>
      <w:r>
        <w:rPr/>
        <w:t>—</w:t>
      </w:r>
      <w:r>
        <w:rPr>
          <w:spacing w:val="-9"/>
        </w:rPr>
        <w:t> </w:t>
      </w:r>
      <w:r>
        <w:rPr/>
        <w:t>pp.</w:t>
      </w:r>
      <w:r>
        <w:rPr>
          <w:spacing w:val="-9"/>
        </w:rPr>
        <w:t> </w:t>
      </w:r>
      <w:r>
        <w:rPr/>
        <w:t>263- </w:t>
      </w:r>
      <w:r>
        <w:rPr>
          <w:spacing w:val="-4"/>
        </w:rPr>
        <w:t>276.</w:t>
      </w:r>
    </w:p>
    <w:p>
      <w:pPr>
        <w:pStyle w:val="Heading4"/>
        <w:numPr>
          <w:ilvl w:val="0"/>
          <w:numId w:val="33"/>
        </w:numPr>
        <w:tabs>
          <w:tab w:pos="928" w:val="left" w:leader="none"/>
        </w:tabs>
        <w:spacing w:line="240" w:lineRule="auto" w:before="0" w:after="0"/>
        <w:ind w:left="928" w:right="570" w:hanging="360"/>
        <w:jc w:val="both"/>
        <w:rPr>
          <w:sz w:val="26"/>
        </w:rPr>
      </w:pPr>
      <w:r>
        <w:rPr/>
        <w:t>Goodman</w:t>
      </w:r>
      <w:r>
        <w:rPr>
          <w:spacing w:val="-1"/>
        </w:rPr>
        <w:t> </w:t>
      </w:r>
      <w:r>
        <w:rPr/>
        <w:t>R. Psychometric Properties of the Strengths and Difficulties Questionnaire. Journal of the American Academy of Child and Adolescent Psychiatry. — 2001. — 40 (11). — pp. 1337-1345.</w:t>
      </w:r>
    </w:p>
    <w:p>
      <w:pPr>
        <w:pStyle w:val="Heading4"/>
        <w:numPr>
          <w:ilvl w:val="0"/>
          <w:numId w:val="33"/>
        </w:numPr>
        <w:tabs>
          <w:tab w:pos="928" w:val="left" w:leader="none"/>
        </w:tabs>
        <w:spacing w:line="240" w:lineRule="auto" w:before="0" w:after="0"/>
        <w:ind w:left="928" w:right="561" w:hanging="360"/>
        <w:jc w:val="both"/>
        <w:rPr>
          <w:sz w:val="26"/>
        </w:rPr>
      </w:pPr>
      <w:r>
        <w:rPr/>
        <w:t>Goodman</w:t>
      </w:r>
      <w:r>
        <w:rPr>
          <w:spacing w:val="-2"/>
        </w:rPr>
        <w:t> </w:t>
      </w:r>
      <w:r>
        <w:rPr/>
        <w:t>R. The Strengths and Difficulties Questionnaire: A Research Note. Journal of Child Psychology and Psychiatry. — 1997. — 38 (5). — pp. 581– </w:t>
      </w:r>
      <w:r>
        <w:rPr>
          <w:spacing w:val="-4"/>
        </w:rPr>
        <w:t>586.</w:t>
      </w:r>
    </w:p>
    <w:p>
      <w:pPr>
        <w:pStyle w:val="Heading4"/>
        <w:numPr>
          <w:ilvl w:val="0"/>
          <w:numId w:val="33"/>
        </w:numPr>
        <w:tabs>
          <w:tab w:pos="928" w:val="left" w:leader="none"/>
        </w:tabs>
        <w:spacing w:line="240" w:lineRule="auto" w:before="0" w:after="0"/>
        <w:ind w:left="928" w:right="564" w:hanging="360"/>
        <w:jc w:val="both"/>
        <w:rPr>
          <w:sz w:val="26"/>
        </w:rPr>
      </w:pPr>
      <w:r>
        <w:rPr/>
        <w:t>Goodman</w:t>
      </w:r>
      <w:r>
        <w:rPr>
          <w:spacing w:val="-18"/>
        </w:rPr>
        <w:t> </w:t>
      </w:r>
      <w:r>
        <w:rPr/>
        <w:t>R.,</w:t>
      </w:r>
      <w:r>
        <w:rPr>
          <w:spacing w:val="-17"/>
        </w:rPr>
        <w:t> </w:t>
      </w:r>
      <w:r>
        <w:rPr/>
        <w:t>Scott,</w:t>
      </w:r>
      <w:r>
        <w:rPr>
          <w:spacing w:val="-18"/>
        </w:rPr>
        <w:t> </w:t>
      </w:r>
      <w:r>
        <w:rPr/>
        <w:t>S.</w:t>
      </w:r>
      <w:r>
        <w:rPr>
          <w:spacing w:val="-17"/>
        </w:rPr>
        <w:t> </w:t>
      </w:r>
      <w:r>
        <w:rPr/>
        <w:t>Comparing</w:t>
      </w:r>
      <w:r>
        <w:rPr>
          <w:spacing w:val="-18"/>
        </w:rPr>
        <w:t> </w:t>
      </w:r>
      <w:r>
        <w:rPr/>
        <w:t>the</w:t>
      </w:r>
      <w:r>
        <w:rPr>
          <w:spacing w:val="-17"/>
        </w:rPr>
        <w:t> </w:t>
      </w:r>
      <w:r>
        <w:rPr/>
        <w:t>Strengths</w:t>
      </w:r>
      <w:r>
        <w:rPr>
          <w:spacing w:val="-18"/>
        </w:rPr>
        <w:t> </w:t>
      </w:r>
      <w:r>
        <w:rPr/>
        <w:t>and</w:t>
      </w:r>
      <w:r>
        <w:rPr>
          <w:spacing w:val="-17"/>
        </w:rPr>
        <w:t> </w:t>
      </w:r>
      <w:r>
        <w:rPr/>
        <w:t>Difficulties</w:t>
      </w:r>
      <w:r>
        <w:rPr>
          <w:spacing w:val="-18"/>
        </w:rPr>
        <w:t> </w:t>
      </w:r>
      <w:r>
        <w:rPr/>
        <w:t>Questionnaire and the Child Behavior Checklist: Is Small Beautiful? Journal of Abnormal Child Psychology. — 1999. — 27 (1). — pp. 17-24.</w:t>
      </w:r>
    </w:p>
    <w:p>
      <w:pPr>
        <w:pStyle w:val="Heading4"/>
        <w:spacing w:after="0" w:line="240" w:lineRule="auto"/>
        <w:jc w:val="both"/>
        <w:rPr>
          <w:sz w:val="26"/>
        </w:rPr>
        <w:sectPr>
          <w:pgSz w:w="11910" w:h="16840"/>
          <w:pgMar w:header="0" w:footer="970" w:top="1040" w:bottom="1220" w:left="1417" w:right="283"/>
        </w:sectPr>
      </w:pPr>
    </w:p>
    <w:p>
      <w:pPr>
        <w:pStyle w:val="Heading4"/>
        <w:numPr>
          <w:ilvl w:val="0"/>
          <w:numId w:val="33"/>
        </w:numPr>
        <w:tabs>
          <w:tab w:pos="928" w:val="left" w:leader="none"/>
        </w:tabs>
        <w:spacing w:line="240" w:lineRule="auto" w:before="67" w:after="0"/>
        <w:ind w:left="928" w:right="564" w:hanging="360"/>
        <w:jc w:val="both"/>
        <w:rPr>
          <w:sz w:val="26"/>
        </w:rPr>
      </w:pPr>
      <w:r>
        <w:rPr/>
        <w:t>Goodman</w:t>
      </w:r>
      <w:r>
        <w:rPr>
          <w:spacing w:val="-2"/>
        </w:rPr>
        <w:t> </w:t>
      </w:r>
      <w:r>
        <w:rPr/>
        <w:t>R.,</w:t>
      </w:r>
      <w:r>
        <w:rPr>
          <w:spacing w:val="-9"/>
        </w:rPr>
        <w:t> </w:t>
      </w:r>
      <w:r>
        <w:rPr/>
        <w:t>Slobodskaya</w:t>
      </w:r>
      <w:r>
        <w:rPr>
          <w:spacing w:val="-2"/>
        </w:rPr>
        <w:t> </w:t>
      </w:r>
      <w:r>
        <w:rPr/>
        <w:t>H.</w:t>
      </w:r>
      <w:r>
        <w:rPr>
          <w:spacing w:val="-5"/>
        </w:rPr>
        <w:t> </w:t>
      </w:r>
      <w:r>
        <w:rPr/>
        <w:t>R.,</w:t>
      </w:r>
      <w:r>
        <w:rPr>
          <w:spacing w:val="-9"/>
        </w:rPr>
        <w:t> </w:t>
      </w:r>
      <w:r>
        <w:rPr/>
        <w:t>Knyazev</w:t>
      </w:r>
      <w:r>
        <w:rPr>
          <w:spacing w:val="-4"/>
        </w:rPr>
        <w:t> </w:t>
      </w:r>
      <w:r>
        <w:rPr/>
        <w:t>G.</w:t>
      </w:r>
      <w:r>
        <w:rPr>
          <w:spacing w:val="-5"/>
        </w:rPr>
        <w:t> </w:t>
      </w:r>
      <w:r>
        <w:rPr/>
        <w:t>G.</w:t>
      </w:r>
      <w:r>
        <w:rPr>
          <w:spacing w:val="-9"/>
        </w:rPr>
        <w:t> </w:t>
      </w:r>
      <w:r>
        <w:rPr/>
        <w:t>Russian</w:t>
      </w:r>
      <w:r>
        <w:rPr>
          <w:spacing w:val="-8"/>
        </w:rPr>
        <w:t> </w:t>
      </w:r>
      <w:r>
        <w:rPr/>
        <w:t>child</w:t>
      </w:r>
      <w:r>
        <w:rPr>
          <w:spacing w:val="-9"/>
        </w:rPr>
        <w:t> </w:t>
      </w:r>
      <w:r>
        <w:rPr/>
        <w:t>mental</w:t>
      </w:r>
      <w:r>
        <w:rPr>
          <w:spacing w:val="-8"/>
        </w:rPr>
        <w:t> </w:t>
      </w:r>
      <w:r>
        <w:rPr/>
        <w:t>health: a cross-sectional study of prevalence and risk factors. European Child and Adolescent Psychiatry. — 2005. — 14. — pp. 28-33.</w:t>
      </w:r>
    </w:p>
    <w:p>
      <w:pPr>
        <w:pStyle w:val="Heading4"/>
        <w:numPr>
          <w:ilvl w:val="0"/>
          <w:numId w:val="33"/>
        </w:numPr>
        <w:tabs>
          <w:tab w:pos="928" w:val="left" w:leader="none"/>
        </w:tabs>
        <w:spacing w:line="240" w:lineRule="auto" w:before="2" w:after="0"/>
        <w:ind w:left="928" w:right="560" w:hanging="360"/>
        <w:jc w:val="both"/>
        <w:rPr>
          <w:sz w:val="26"/>
        </w:rPr>
      </w:pPr>
      <w:r>
        <w:rPr/>
        <w:t>Grigorenko E.</w:t>
      </w:r>
      <w:r>
        <w:rPr>
          <w:spacing w:val="-2"/>
        </w:rPr>
        <w:t> </w:t>
      </w:r>
      <w:r>
        <w:rPr/>
        <w:t>L., Geiser</w:t>
      </w:r>
      <w:r>
        <w:rPr>
          <w:spacing w:val="-1"/>
        </w:rPr>
        <w:t> </w:t>
      </w:r>
      <w:r>
        <w:rPr/>
        <w:t>C., Slobodskaya H.</w:t>
      </w:r>
      <w:r>
        <w:rPr>
          <w:spacing w:val="-3"/>
        </w:rPr>
        <w:t> </w:t>
      </w:r>
      <w:r>
        <w:rPr/>
        <w:t>R., &amp; Francis, D. J. Cross- informant symptoms from</w:t>
      </w:r>
      <w:r>
        <w:rPr>
          <w:spacing w:val="-1"/>
        </w:rPr>
        <w:t> </w:t>
      </w:r>
      <w:r>
        <w:rPr/>
        <w:t>CBCL, TRF, and YSR: Trait and method variance in</w:t>
      </w:r>
      <w:r>
        <w:rPr>
          <w:spacing w:val="-10"/>
        </w:rPr>
        <w:t> </w:t>
      </w:r>
      <w:r>
        <w:rPr/>
        <w:t>a</w:t>
      </w:r>
      <w:r>
        <w:rPr>
          <w:spacing w:val="-13"/>
        </w:rPr>
        <w:t> </w:t>
      </w:r>
      <w:r>
        <w:rPr/>
        <w:t>normative</w:t>
      </w:r>
      <w:r>
        <w:rPr>
          <w:spacing w:val="-11"/>
        </w:rPr>
        <w:t> </w:t>
      </w:r>
      <w:r>
        <w:rPr/>
        <w:t>sample</w:t>
      </w:r>
      <w:r>
        <w:rPr>
          <w:spacing w:val="-11"/>
        </w:rPr>
        <w:t> </w:t>
      </w:r>
      <w:r>
        <w:rPr/>
        <w:t>of</w:t>
      </w:r>
      <w:r>
        <w:rPr>
          <w:spacing w:val="-11"/>
        </w:rPr>
        <w:t> </w:t>
      </w:r>
      <w:r>
        <w:rPr/>
        <w:t>Russian</w:t>
      </w:r>
      <w:r>
        <w:rPr>
          <w:spacing w:val="-10"/>
        </w:rPr>
        <w:t> </w:t>
      </w:r>
      <w:r>
        <w:rPr/>
        <w:t>youths.</w:t>
      </w:r>
      <w:r>
        <w:rPr>
          <w:spacing w:val="-8"/>
        </w:rPr>
        <w:t> </w:t>
      </w:r>
      <w:r>
        <w:rPr/>
        <w:t>Psychological</w:t>
      </w:r>
      <w:r>
        <w:rPr>
          <w:spacing w:val="-10"/>
        </w:rPr>
        <w:t> </w:t>
      </w:r>
      <w:r>
        <w:rPr/>
        <w:t>Assessment.</w:t>
      </w:r>
      <w:r>
        <w:rPr>
          <w:spacing w:val="-9"/>
        </w:rPr>
        <w:t> </w:t>
      </w:r>
      <w:r>
        <w:rPr/>
        <w:t>—</w:t>
      </w:r>
      <w:r>
        <w:rPr>
          <w:spacing w:val="-11"/>
        </w:rPr>
        <w:t> </w:t>
      </w:r>
      <w:r>
        <w:rPr/>
        <w:t>2010.</w:t>
      </w:r>
    </w:p>
    <w:p>
      <w:pPr>
        <w:pStyle w:val="Heading4"/>
        <w:spacing w:line="321" w:lineRule="exact"/>
        <w:ind w:left="928"/>
      </w:pPr>
      <w:r>
        <w:rPr/>
        <w:t>—</w:t>
      </w:r>
      <w:r>
        <w:rPr>
          <w:spacing w:val="-4"/>
        </w:rPr>
        <w:t> </w:t>
      </w:r>
      <w:r>
        <w:rPr/>
        <w:t>22(4).</w:t>
      </w:r>
      <w:r>
        <w:rPr>
          <w:spacing w:val="-3"/>
        </w:rPr>
        <w:t> </w:t>
      </w:r>
      <w:r>
        <w:rPr/>
        <w:t>—</w:t>
      </w:r>
      <w:r>
        <w:rPr>
          <w:spacing w:val="-4"/>
        </w:rPr>
        <w:t> </w:t>
      </w:r>
      <w:r>
        <w:rPr/>
        <w:t>pp.</w:t>
      </w:r>
      <w:r>
        <w:rPr>
          <w:spacing w:val="-3"/>
        </w:rPr>
        <w:t> </w:t>
      </w:r>
      <w:r>
        <w:rPr/>
        <w:t>893–911.</w:t>
      </w:r>
      <w:r>
        <w:rPr>
          <w:spacing w:val="-3"/>
        </w:rPr>
        <w:t> </w:t>
      </w:r>
      <w:r>
        <w:rPr>
          <w:spacing w:val="-2"/>
        </w:rPr>
        <w:t>https://doi.org/10.1037/a0020703</w:t>
      </w:r>
    </w:p>
    <w:p>
      <w:pPr>
        <w:pStyle w:val="Heading4"/>
        <w:numPr>
          <w:ilvl w:val="0"/>
          <w:numId w:val="33"/>
        </w:numPr>
        <w:tabs>
          <w:tab w:pos="927" w:val="left" w:leader="none"/>
        </w:tabs>
        <w:spacing w:line="322" w:lineRule="exact" w:before="2" w:after="0"/>
        <w:ind w:left="927" w:right="0" w:hanging="359"/>
        <w:jc w:val="both"/>
        <w:rPr>
          <w:sz w:val="26"/>
        </w:rPr>
      </w:pPr>
      <w:r>
        <w:rPr/>
        <w:t>Herbert</w:t>
      </w:r>
      <w:r>
        <w:rPr>
          <w:spacing w:val="-2"/>
        </w:rPr>
        <w:t> </w:t>
      </w:r>
      <w:r>
        <w:rPr/>
        <w:t>J.</w:t>
      </w:r>
      <w:r>
        <w:rPr>
          <w:spacing w:val="-4"/>
        </w:rPr>
        <w:t> </w:t>
      </w:r>
      <w:r>
        <w:rPr/>
        <w:t>D.</w:t>
      </w:r>
      <w:r>
        <w:rPr>
          <w:spacing w:val="66"/>
        </w:rPr>
        <w:t> </w:t>
      </w:r>
      <w:r>
        <w:rPr/>
        <w:t>Assessment</w:t>
      </w:r>
      <w:r>
        <w:rPr>
          <w:spacing w:val="67"/>
        </w:rPr>
        <w:t> </w:t>
      </w:r>
      <w:r>
        <w:rPr/>
        <w:t>of</w:t>
      </w:r>
      <w:r>
        <w:rPr>
          <w:spacing w:val="67"/>
        </w:rPr>
        <w:t> </w:t>
      </w:r>
      <w:r>
        <w:rPr/>
        <w:t>social</w:t>
      </w:r>
      <w:r>
        <w:rPr>
          <w:spacing w:val="67"/>
        </w:rPr>
        <w:t> </w:t>
      </w:r>
      <w:r>
        <w:rPr/>
        <w:t>anxiety</w:t>
      </w:r>
      <w:r>
        <w:rPr>
          <w:spacing w:val="63"/>
        </w:rPr>
        <w:t> </w:t>
      </w:r>
      <w:r>
        <w:rPr/>
        <w:t>and</w:t>
      </w:r>
      <w:r>
        <w:rPr>
          <w:spacing w:val="68"/>
        </w:rPr>
        <w:t> </w:t>
      </w:r>
      <w:r>
        <w:rPr/>
        <w:t>its</w:t>
      </w:r>
      <w:r>
        <w:rPr>
          <w:spacing w:val="67"/>
        </w:rPr>
        <w:t> </w:t>
      </w:r>
      <w:r>
        <w:rPr/>
        <w:t>clinical</w:t>
      </w:r>
      <w:r>
        <w:rPr>
          <w:spacing w:val="68"/>
        </w:rPr>
        <w:t> </w:t>
      </w:r>
      <w:r>
        <w:rPr/>
        <w:t>expressions.</w:t>
      </w:r>
      <w:r>
        <w:rPr>
          <w:spacing w:val="66"/>
        </w:rPr>
        <w:t> </w:t>
      </w:r>
      <w:r>
        <w:rPr>
          <w:spacing w:val="-10"/>
        </w:rPr>
        <w:t>/</w:t>
      </w:r>
    </w:p>
    <w:p>
      <w:pPr>
        <w:pStyle w:val="Heading4"/>
        <w:ind w:left="928" w:right="563"/>
      </w:pPr>
      <w:r>
        <w:rPr/>
        <w:t>J.</w:t>
      </w:r>
      <w:r>
        <w:rPr>
          <w:spacing w:val="-4"/>
        </w:rPr>
        <w:t> </w:t>
      </w:r>
      <w:r>
        <w:rPr/>
        <w:t>D.</w:t>
      </w:r>
      <w:r>
        <w:rPr>
          <w:spacing w:val="-4"/>
        </w:rPr>
        <w:t> </w:t>
      </w:r>
      <w:r>
        <w:rPr/>
        <w:t>Herbert,</w:t>
      </w:r>
      <w:r>
        <w:rPr>
          <w:spacing w:val="-3"/>
        </w:rPr>
        <w:t> </w:t>
      </w:r>
      <w:r>
        <w:rPr/>
        <w:t>L.</w:t>
      </w:r>
      <w:r>
        <w:rPr>
          <w:spacing w:val="-2"/>
        </w:rPr>
        <w:t> </w:t>
      </w:r>
      <w:r>
        <w:rPr/>
        <w:t>L.</w:t>
      </w:r>
      <w:r>
        <w:rPr>
          <w:spacing w:val="-3"/>
        </w:rPr>
        <w:t> </w:t>
      </w:r>
      <w:r>
        <w:rPr/>
        <w:t>Brandsma,</w:t>
      </w:r>
      <w:r>
        <w:rPr>
          <w:spacing w:val="-3"/>
        </w:rPr>
        <w:t> </w:t>
      </w:r>
      <w:r>
        <w:rPr/>
        <w:t>L.</w:t>
      </w:r>
      <w:r>
        <w:rPr>
          <w:spacing w:val="-2"/>
        </w:rPr>
        <w:t> </w:t>
      </w:r>
      <w:r>
        <w:rPr/>
        <w:t>Fischer</w:t>
      </w:r>
      <w:r>
        <w:rPr>
          <w:spacing w:val="-2"/>
        </w:rPr>
        <w:t> </w:t>
      </w:r>
      <w:r>
        <w:rPr/>
        <w:t>//</w:t>
      </w:r>
      <w:r>
        <w:rPr>
          <w:spacing w:val="-3"/>
        </w:rPr>
        <w:t> </w:t>
      </w:r>
      <w:r>
        <w:rPr/>
        <w:t>In</w:t>
      </w:r>
      <w:r>
        <w:rPr>
          <w:spacing w:val="-1"/>
        </w:rPr>
        <w:t> </w:t>
      </w:r>
      <w:r>
        <w:rPr/>
        <w:t>book:</w:t>
      </w:r>
      <w:r>
        <w:rPr>
          <w:spacing w:val="-1"/>
        </w:rPr>
        <w:t> </w:t>
      </w:r>
      <w:r>
        <w:rPr/>
        <w:t>Social</w:t>
      </w:r>
      <w:r>
        <w:rPr>
          <w:spacing w:val="-1"/>
        </w:rPr>
        <w:t> </w:t>
      </w:r>
      <w:r>
        <w:rPr/>
        <w:t>Anxiety:</w:t>
      </w:r>
      <w:r>
        <w:rPr>
          <w:spacing w:val="-1"/>
        </w:rPr>
        <w:t> </w:t>
      </w:r>
      <w:r>
        <w:rPr/>
        <w:t>Clinical, Developmental, and Social Perspectives: Third Edition. — 2014. — pp. 45– </w:t>
      </w:r>
      <w:r>
        <w:rPr>
          <w:spacing w:val="-4"/>
        </w:rPr>
        <w:t>94.</w:t>
      </w:r>
    </w:p>
    <w:p>
      <w:pPr>
        <w:pStyle w:val="Heading4"/>
        <w:numPr>
          <w:ilvl w:val="0"/>
          <w:numId w:val="33"/>
        </w:numPr>
        <w:tabs>
          <w:tab w:pos="928" w:val="left" w:leader="none"/>
        </w:tabs>
        <w:spacing w:line="240" w:lineRule="auto" w:before="0" w:after="0"/>
        <w:ind w:left="928" w:right="565" w:hanging="360"/>
        <w:jc w:val="both"/>
        <w:rPr>
          <w:sz w:val="26"/>
        </w:rPr>
      </w:pPr>
      <w:r>
        <w:rPr/>
        <w:t>Hollifield</w:t>
      </w:r>
      <w:r>
        <w:rPr>
          <w:spacing w:val="-18"/>
        </w:rPr>
        <w:t> </w:t>
      </w:r>
      <w:r>
        <w:rPr/>
        <w:t>M.</w:t>
      </w:r>
      <w:r>
        <w:rPr>
          <w:spacing w:val="-17"/>
        </w:rPr>
        <w:t> </w:t>
      </w:r>
      <w:r>
        <w:rPr/>
        <w:t>et</w:t>
      </w:r>
      <w:r>
        <w:rPr>
          <w:spacing w:val="-18"/>
        </w:rPr>
        <w:t> </w:t>
      </w:r>
      <w:r>
        <w:rPr/>
        <w:t>al.</w:t>
      </w:r>
      <w:r>
        <w:rPr>
          <w:spacing w:val="-17"/>
        </w:rPr>
        <w:t> </w:t>
      </w:r>
      <w:r>
        <w:rPr/>
        <w:t>The</w:t>
      </w:r>
      <w:r>
        <w:rPr>
          <w:spacing w:val="-18"/>
        </w:rPr>
        <w:t> </w:t>
      </w:r>
      <w:r>
        <w:rPr/>
        <w:t>range</w:t>
      </w:r>
      <w:r>
        <w:rPr>
          <w:spacing w:val="-17"/>
        </w:rPr>
        <w:t> </w:t>
      </w:r>
      <w:r>
        <w:rPr/>
        <w:t>of</w:t>
      </w:r>
      <w:r>
        <w:rPr>
          <w:spacing w:val="-18"/>
        </w:rPr>
        <w:t> </w:t>
      </w:r>
      <w:r>
        <w:rPr/>
        <w:t>symptoms</w:t>
      </w:r>
      <w:r>
        <w:rPr>
          <w:spacing w:val="-17"/>
        </w:rPr>
        <w:t> </w:t>
      </w:r>
      <w:r>
        <w:rPr/>
        <w:t>in</w:t>
      </w:r>
      <w:r>
        <w:rPr>
          <w:spacing w:val="-18"/>
        </w:rPr>
        <w:t> </w:t>
      </w:r>
      <w:r>
        <w:rPr/>
        <w:t>refugees</w:t>
      </w:r>
      <w:r>
        <w:rPr>
          <w:spacing w:val="-17"/>
        </w:rPr>
        <w:t> </w:t>
      </w:r>
      <w:r>
        <w:rPr/>
        <w:t>of</w:t>
      </w:r>
      <w:r>
        <w:rPr>
          <w:spacing w:val="-18"/>
        </w:rPr>
        <w:t> </w:t>
      </w:r>
      <w:r>
        <w:rPr/>
        <w:t>war:</w:t>
      </w:r>
      <w:r>
        <w:rPr>
          <w:spacing w:val="-17"/>
        </w:rPr>
        <w:t> </w:t>
      </w:r>
      <w:r>
        <w:rPr/>
        <w:t>the</w:t>
      </w:r>
      <w:r>
        <w:rPr>
          <w:spacing w:val="-18"/>
        </w:rPr>
        <w:t> </w:t>
      </w:r>
      <w:r>
        <w:rPr/>
        <w:t>New</w:t>
      </w:r>
      <w:r>
        <w:rPr>
          <w:spacing w:val="-17"/>
        </w:rPr>
        <w:t> </w:t>
      </w:r>
      <w:r>
        <w:rPr/>
        <w:t>Mexico Refugee</w:t>
      </w:r>
      <w:r>
        <w:rPr>
          <w:spacing w:val="-1"/>
        </w:rPr>
        <w:t> </w:t>
      </w:r>
      <w:r>
        <w:rPr/>
        <w:t>Symptom</w:t>
      </w:r>
      <w:r>
        <w:rPr>
          <w:spacing w:val="-3"/>
        </w:rPr>
        <w:t> </w:t>
      </w:r>
      <w:r>
        <w:rPr/>
        <w:t>Checklist-121//J Nerv</w:t>
      </w:r>
      <w:r>
        <w:rPr>
          <w:spacing w:val="-1"/>
        </w:rPr>
        <w:t> </w:t>
      </w:r>
      <w:r>
        <w:rPr/>
        <w:t>Ment Dis. — 2009. — Vol.</w:t>
      </w:r>
      <w:r>
        <w:rPr>
          <w:spacing w:val="-1"/>
        </w:rPr>
        <w:t> </w:t>
      </w:r>
      <w:r>
        <w:rPr/>
        <w:t>197,</w:t>
      </w:r>
      <w:r>
        <w:rPr>
          <w:spacing w:val="-1"/>
        </w:rPr>
        <w:t> </w:t>
      </w:r>
      <w:r>
        <w:rPr/>
        <w:t>№</w:t>
      </w:r>
    </w:p>
    <w:p>
      <w:pPr>
        <w:pStyle w:val="Heading4"/>
        <w:spacing w:line="322" w:lineRule="exact" w:before="1"/>
        <w:ind w:left="928"/>
      </w:pPr>
      <w:r>
        <w:rPr/>
        <w:t>2.</w:t>
      </w:r>
      <w:r>
        <w:rPr>
          <w:spacing w:val="-1"/>
        </w:rPr>
        <w:t> </w:t>
      </w:r>
      <w:r>
        <w:rPr/>
        <w:t>—</w:t>
      </w:r>
      <w:r>
        <w:rPr>
          <w:spacing w:val="-1"/>
        </w:rPr>
        <w:t> </w:t>
      </w:r>
      <w:r>
        <w:rPr/>
        <w:t>P.</w:t>
      </w:r>
      <w:r>
        <w:rPr>
          <w:spacing w:val="-2"/>
        </w:rPr>
        <w:t> 117–125.</w:t>
      </w:r>
    </w:p>
    <w:p>
      <w:pPr>
        <w:pStyle w:val="Heading4"/>
        <w:numPr>
          <w:ilvl w:val="0"/>
          <w:numId w:val="33"/>
        </w:numPr>
        <w:tabs>
          <w:tab w:pos="928" w:val="left" w:leader="none"/>
          <w:tab w:pos="3253" w:val="left" w:leader="none"/>
          <w:tab w:pos="6031" w:val="left" w:leader="none"/>
          <w:tab w:pos="8013" w:val="left" w:leader="none"/>
        </w:tabs>
        <w:spacing w:line="240" w:lineRule="auto" w:before="0" w:after="0"/>
        <w:ind w:left="928" w:right="560" w:hanging="360"/>
        <w:jc w:val="both"/>
        <w:rPr>
          <w:sz w:val="26"/>
        </w:rPr>
      </w:pPr>
      <w:r>
        <w:rPr/>
        <w:t>Hollifield M.,</w:t>
        <w:tab/>
        <w:t>Verbillis-Kolp S.,</w:t>
        <w:tab/>
        <w:t>Farmer B.,</w:t>
        <w:tab/>
        <w:t>Toolson</w:t>
      </w:r>
      <w:r>
        <w:rPr>
          <w:spacing w:val="-14"/>
        </w:rPr>
        <w:t> </w:t>
      </w:r>
      <w:r>
        <w:rPr/>
        <w:t>E.</w:t>
      </w:r>
      <w:r>
        <w:rPr>
          <w:spacing w:val="-16"/>
        </w:rPr>
        <w:t> </w:t>
      </w:r>
      <w:r>
        <w:rPr/>
        <w:t>C., Woldehaimanot T.,</w:t>
      </w:r>
      <w:r>
        <w:rPr>
          <w:spacing w:val="40"/>
        </w:rPr>
        <w:t> </w:t>
      </w:r>
      <w:r>
        <w:rPr/>
        <w:t>Yamazaki</w:t>
      </w:r>
      <w:r>
        <w:rPr>
          <w:spacing w:val="-3"/>
        </w:rPr>
        <w:t> </w:t>
      </w:r>
      <w:r>
        <w:rPr/>
        <w:t>J.,</w:t>
      </w:r>
      <w:r>
        <w:rPr>
          <w:spacing w:val="40"/>
        </w:rPr>
        <w:t> </w:t>
      </w:r>
      <w:r>
        <w:rPr/>
        <w:t>Holland A.,</w:t>
      </w:r>
      <w:r>
        <w:rPr>
          <w:spacing w:val="40"/>
        </w:rPr>
        <w:t> </w:t>
      </w:r>
      <w:r>
        <w:rPr/>
        <w:t>St.</w:t>
      </w:r>
      <w:r>
        <w:rPr>
          <w:spacing w:val="-3"/>
        </w:rPr>
        <w:t> </w:t>
      </w:r>
      <w:r>
        <w:rPr/>
        <w:t>Clair</w:t>
      </w:r>
      <w:r>
        <w:rPr>
          <w:spacing w:val="-5"/>
        </w:rPr>
        <w:t> </w:t>
      </w:r>
      <w:r>
        <w:rPr/>
        <w:t>J.,</w:t>
      </w:r>
      <w:r>
        <w:rPr>
          <w:spacing w:val="40"/>
        </w:rPr>
        <w:t> </w:t>
      </w:r>
      <w:r>
        <w:rPr/>
        <w:t>SooHoo J..</w:t>
      </w:r>
      <w:r>
        <w:rPr>
          <w:spacing w:val="40"/>
        </w:rPr>
        <w:t> </w:t>
      </w:r>
      <w:r>
        <w:rPr/>
        <w:t>The Refugee Health Screener-15 (RHS-15): development and validation of an instrument for anxiety, depression, and PTSD in refugees. Gen Hosp Psychiatry.</w:t>
      </w:r>
      <w:r>
        <w:rPr>
          <w:spacing w:val="75"/>
        </w:rPr>
        <w:t>   </w:t>
      </w:r>
      <w:r>
        <w:rPr/>
        <w:t>—</w:t>
      </w:r>
      <w:r>
        <w:rPr>
          <w:spacing w:val="76"/>
        </w:rPr>
        <w:t>   </w:t>
      </w:r>
      <w:r>
        <w:rPr/>
        <w:t>2013.</w:t>
      </w:r>
      <w:r>
        <w:rPr>
          <w:spacing w:val="75"/>
        </w:rPr>
        <w:t>   </w:t>
      </w:r>
      <w:r>
        <w:rPr/>
        <w:t>—</w:t>
      </w:r>
      <w:r>
        <w:rPr>
          <w:spacing w:val="75"/>
        </w:rPr>
        <w:t>   </w:t>
      </w:r>
      <w:r>
        <w:rPr/>
        <w:t>35(2).</w:t>
      </w:r>
      <w:r>
        <w:rPr>
          <w:spacing w:val="75"/>
        </w:rPr>
        <w:t>   </w:t>
      </w:r>
      <w:r>
        <w:rPr/>
        <w:t>—</w:t>
      </w:r>
      <w:r>
        <w:rPr>
          <w:spacing w:val="75"/>
        </w:rPr>
        <w:t>   </w:t>
      </w:r>
      <w:r>
        <w:rPr/>
        <w:t>pp.</w:t>
      </w:r>
      <w:r>
        <w:rPr>
          <w:spacing w:val="75"/>
        </w:rPr>
        <w:t>   </w:t>
      </w:r>
      <w:r>
        <w:rPr/>
        <w:t>202-209.</w:t>
      </w:r>
      <w:r>
        <w:rPr>
          <w:spacing w:val="75"/>
        </w:rPr>
        <w:t>   </w:t>
      </w:r>
      <w:r>
        <w:rPr/>
        <w:t>doi:</w:t>
      </w:r>
    </w:p>
    <w:p>
      <w:pPr>
        <w:pStyle w:val="Heading4"/>
        <w:spacing w:line="320" w:lineRule="exact"/>
        <w:ind w:left="928"/>
      </w:pPr>
      <w:r>
        <w:rPr/>
        <w:t>10.1016/j.genhosppsych.2012.12.002.</w:t>
      </w:r>
      <w:r>
        <w:rPr>
          <w:spacing w:val="-10"/>
        </w:rPr>
        <w:t> </w:t>
      </w:r>
      <w:r>
        <w:rPr/>
        <w:t>Epub</w:t>
      </w:r>
      <w:r>
        <w:rPr>
          <w:spacing w:val="-11"/>
        </w:rPr>
        <w:t> </w:t>
      </w:r>
      <w:r>
        <w:rPr/>
        <w:t>2013</w:t>
      </w:r>
      <w:r>
        <w:rPr>
          <w:spacing w:val="-8"/>
        </w:rPr>
        <w:t> </w:t>
      </w:r>
      <w:r>
        <w:rPr/>
        <w:t>Jan</w:t>
      </w:r>
      <w:r>
        <w:rPr>
          <w:spacing w:val="-11"/>
        </w:rPr>
        <w:t> </w:t>
      </w:r>
      <w:r>
        <w:rPr/>
        <w:t>22.</w:t>
      </w:r>
      <w:r>
        <w:rPr>
          <w:spacing w:val="-10"/>
        </w:rPr>
        <w:t> </w:t>
      </w:r>
      <w:r>
        <w:rPr/>
        <w:t>PMID:</w:t>
      </w:r>
      <w:r>
        <w:rPr>
          <w:spacing w:val="-7"/>
        </w:rPr>
        <w:t> </w:t>
      </w:r>
      <w:r>
        <w:rPr>
          <w:spacing w:val="-2"/>
        </w:rPr>
        <w:t>23347455</w:t>
      </w:r>
    </w:p>
    <w:p>
      <w:pPr>
        <w:pStyle w:val="Heading4"/>
        <w:numPr>
          <w:ilvl w:val="0"/>
          <w:numId w:val="33"/>
        </w:numPr>
        <w:tabs>
          <w:tab w:pos="928" w:val="left" w:leader="none"/>
        </w:tabs>
        <w:spacing w:line="240" w:lineRule="auto" w:before="2" w:after="0"/>
        <w:ind w:left="928" w:right="560" w:hanging="360"/>
        <w:jc w:val="both"/>
        <w:rPr>
          <w:sz w:val="26"/>
        </w:rPr>
      </w:pPr>
      <w:r>
        <w:rPr/>
        <w:t>Huebner</w:t>
      </w:r>
      <w:r>
        <w:rPr>
          <w:spacing w:val="-3"/>
        </w:rPr>
        <w:t> </w:t>
      </w:r>
      <w:r>
        <w:rPr/>
        <w:t>E.</w:t>
      </w:r>
      <w:r>
        <w:rPr>
          <w:spacing w:val="-4"/>
        </w:rPr>
        <w:t> </w:t>
      </w:r>
      <w:r>
        <w:rPr/>
        <w:t>S.</w:t>
      </w:r>
      <w:r>
        <w:rPr>
          <w:spacing w:val="-2"/>
        </w:rPr>
        <w:t> </w:t>
      </w:r>
      <w:r>
        <w:rPr/>
        <w:t>Preliminary</w:t>
      </w:r>
      <w:r>
        <w:rPr>
          <w:spacing w:val="-5"/>
        </w:rPr>
        <w:t> </w:t>
      </w:r>
      <w:r>
        <w:rPr/>
        <w:t>development</w:t>
      </w:r>
      <w:r>
        <w:rPr>
          <w:spacing w:val="-1"/>
        </w:rPr>
        <w:t> </w:t>
      </w:r>
      <w:r>
        <w:rPr/>
        <w:t>and</w:t>
      </w:r>
      <w:r>
        <w:rPr>
          <w:spacing w:val="-2"/>
        </w:rPr>
        <w:t> </w:t>
      </w:r>
      <w:r>
        <w:rPr/>
        <w:t>validation</w:t>
      </w:r>
      <w:r>
        <w:rPr>
          <w:spacing w:val="-3"/>
        </w:rPr>
        <w:t> </w:t>
      </w:r>
      <w:r>
        <w:rPr/>
        <w:t>of</w:t>
      </w:r>
      <w:r>
        <w:rPr>
          <w:spacing w:val="-4"/>
        </w:rPr>
        <w:t> </w:t>
      </w:r>
      <w:r>
        <w:rPr/>
        <w:t>a</w:t>
      </w:r>
      <w:r>
        <w:rPr>
          <w:spacing w:val="-2"/>
        </w:rPr>
        <w:t> </w:t>
      </w:r>
      <w:r>
        <w:rPr/>
        <w:t>Multidimensional Life</w:t>
      </w:r>
      <w:r>
        <w:rPr>
          <w:spacing w:val="-4"/>
        </w:rPr>
        <w:t> </w:t>
      </w:r>
      <w:r>
        <w:rPr/>
        <w:t>Satisfaction</w:t>
      </w:r>
      <w:r>
        <w:rPr>
          <w:spacing w:val="-3"/>
        </w:rPr>
        <w:t> </w:t>
      </w:r>
      <w:r>
        <w:rPr/>
        <w:t>Scale</w:t>
      </w:r>
      <w:r>
        <w:rPr>
          <w:spacing w:val="-4"/>
        </w:rPr>
        <w:t> </w:t>
      </w:r>
      <w:r>
        <w:rPr/>
        <w:t>for</w:t>
      </w:r>
      <w:r>
        <w:rPr>
          <w:spacing w:val="-4"/>
        </w:rPr>
        <w:t> </w:t>
      </w:r>
      <w:r>
        <w:rPr/>
        <w:t>Children</w:t>
      </w:r>
      <w:r>
        <w:rPr>
          <w:spacing w:val="-6"/>
        </w:rPr>
        <w:t> </w:t>
      </w:r>
      <w:r>
        <w:rPr/>
        <w:t>//</w:t>
      </w:r>
      <w:r>
        <w:rPr>
          <w:spacing w:val="-3"/>
        </w:rPr>
        <w:t> </w:t>
      </w:r>
      <w:r>
        <w:rPr/>
        <w:t>Psychological</w:t>
      </w:r>
      <w:r>
        <w:rPr>
          <w:spacing w:val="-3"/>
        </w:rPr>
        <w:t> </w:t>
      </w:r>
      <w:r>
        <w:rPr/>
        <w:t>Assessment. —</w:t>
      </w:r>
      <w:r>
        <w:rPr>
          <w:spacing w:val="-5"/>
        </w:rPr>
        <w:t> </w:t>
      </w:r>
      <w:r>
        <w:rPr/>
        <w:t>1994.</w:t>
      </w:r>
      <w:r>
        <w:rPr>
          <w:spacing w:val="-4"/>
        </w:rPr>
        <w:t> </w:t>
      </w:r>
      <w:r>
        <w:rPr/>
        <w:t>— Vol. 6(2). — p. 149— 158. doi: 10.1037/1040-3590.6.2.149.</w:t>
      </w:r>
    </w:p>
    <w:p>
      <w:pPr>
        <w:pStyle w:val="Heading4"/>
        <w:numPr>
          <w:ilvl w:val="0"/>
          <w:numId w:val="33"/>
        </w:numPr>
        <w:tabs>
          <w:tab w:pos="928" w:val="left" w:leader="none"/>
        </w:tabs>
        <w:spacing w:line="240" w:lineRule="auto" w:before="0" w:after="0"/>
        <w:ind w:left="928" w:right="566" w:hanging="360"/>
        <w:jc w:val="both"/>
        <w:rPr>
          <w:sz w:val="26"/>
        </w:rPr>
      </w:pPr>
      <w:r>
        <w:rPr/>
        <w:t>Huebner</w:t>
      </w:r>
      <w:r>
        <w:rPr>
          <w:spacing w:val="-1"/>
        </w:rPr>
        <w:t> </w:t>
      </w:r>
      <w:r>
        <w:rPr/>
        <w:t>E.</w:t>
      </w:r>
      <w:r>
        <w:rPr>
          <w:spacing w:val="-2"/>
        </w:rPr>
        <w:t> </w:t>
      </w:r>
      <w:r>
        <w:rPr/>
        <w:t>S., Zullig J., Saha</w:t>
      </w:r>
      <w:r>
        <w:rPr>
          <w:spacing w:val="-1"/>
        </w:rPr>
        <w:t> </w:t>
      </w:r>
      <w:r>
        <w:rPr/>
        <w:t>R. Factor structure and reliability of an abbreviated</w:t>
      </w:r>
      <w:r>
        <w:rPr>
          <w:spacing w:val="-4"/>
        </w:rPr>
        <w:t> </w:t>
      </w:r>
      <w:r>
        <w:rPr/>
        <w:t>version</w:t>
      </w:r>
      <w:r>
        <w:rPr>
          <w:spacing w:val="-4"/>
        </w:rPr>
        <w:t> </w:t>
      </w:r>
      <w:r>
        <w:rPr/>
        <w:t>of</w:t>
      </w:r>
      <w:r>
        <w:rPr>
          <w:spacing w:val="-5"/>
        </w:rPr>
        <w:t> </w:t>
      </w:r>
      <w:r>
        <w:rPr/>
        <w:t>the</w:t>
      </w:r>
      <w:r>
        <w:rPr>
          <w:spacing w:val="-5"/>
        </w:rPr>
        <w:t> </w:t>
      </w:r>
      <w:r>
        <w:rPr/>
        <w:t>Multidimensional</w:t>
      </w:r>
      <w:r>
        <w:rPr>
          <w:spacing w:val="-4"/>
        </w:rPr>
        <w:t> </w:t>
      </w:r>
      <w:r>
        <w:rPr/>
        <w:t>Students’</w:t>
      </w:r>
      <w:r>
        <w:rPr>
          <w:spacing w:val="-8"/>
        </w:rPr>
        <w:t> </w:t>
      </w:r>
      <w:r>
        <w:rPr/>
        <w:t>Life</w:t>
      </w:r>
      <w:r>
        <w:rPr>
          <w:spacing w:val="-5"/>
        </w:rPr>
        <w:t> </w:t>
      </w:r>
      <w:r>
        <w:rPr/>
        <w:t>Satisfaction</w:t>
      </w:r>
      <w:r>
        <w:rPr>
          <w:spacing w:val="-4"/>
        </w:rPr>
        <w:t> </w:t>
      </w:r>
      <w:r>
        <w:rPr/>
        <w:t>Scale</w:t>
      </w:r>
    </w:p>
    <w:p>
      <w:pPr>
        <w:pStyle w:val="Heading4"/>
        <w:spacing w:line="242" w:lineRule="auto"/>
        <w:ind w:left="928" w:right="561"/>
      </w:pPr>
      <w:r>
        <w:rPr/>
        <w:t>// Child Indicator Research. — 2012. — Vol.5. — p.561—657.doi: </w:t>
      </w:r>
      <w:r>
        <w:rPr>
          <w:spacing w:val="-2"/>
        </w:rPr>
        <w:t>10.1007/s12187-012-9140-z</w:t>
      </w:r>
    </w:p>
    <w:p>
      <w:pPr>
        <w:pStyle w:val="Heading4"/>
        <w:numPr>
          <w:ilvl w:val="0"/>
          <w:numId w:val="33"/>
        </w:numPr>
        <w:tabs>
          <w:tab w:pos="928" w:val="left" w:leader="none"/>
        </w:tabs>
        <w:spacing w:line="240" w:lineRule="auto" w:before="0" w:after="0"/>
        <w:ind w:left="928" w:right="560" w:hanging="360"/>
        <w:jc w:val="both"/>
        <w:rPr>
          <w:sz w:val="26"/>
        </w:rPr>
      </w:pPr>
      <w:r>
        <w:rPr/>
        <w:t>Jefferies</w:t>
      </w:r>
      <w:r>
        <w:rPr>
          <w:spacing w:val="-1"/>
        </w:rPr>
        <w:t> </w:t>
      </w:r>
      <w:r>
        <w:rPr/>
        <w:t>P., McGarrigle</w:t>
      </w:r>
      <w:r>
        <w:rPr>
          <w:spacing w:val="-1"/>
        </w:rPr>
        <w:t> </w:t>
      </w:r>
      <w:r>
        <w:rPr/>
        <w:t>L., Ungar</w:t>
      </w:r>
      <w:r>
        <w:rPr>
          <w:spacing w:val="-2"/>
        </w:rPr>
        <w:t> </w:t>
      </w:r>
      <w:r>
        <w:rPr/>
        <w:t>M. The CYRM-R: A Rasch-validated revision of the Child and Youth Resilience Measure. Journal of Evidence- Informed Social Work. — 2018. doi: 10.1080/23761407.2018.1548403</w:t>
      </w:r>
    </w:p>
    <w:p>
      <w:pPr>
        <w:pStyle w:val="Heading4"/>
        <w:numPr>
          <w:ilvl w:val="0"/>
          <w:numId w:val="33"/>
        </w:numPr>
        <w:tabs>
          <w:tab w:pos="928" w:val="left" w:leader="none"/>
        </w:tabs>
        <w:spacing w:line="240" w:lineRule="auto" w:before="0" w:after="0"/>
        <w:ind w:left="928" w:right="569" w:hanging="360"/>
        <w:jc w:val="both"/>
        <w:rPr>
          <w:sz w:val="26"/>
        </w:rPr>
      </w:pPr>
      <w:r>
        <w:rPr/>
        <w:t>Kaltenbach E. et al. Efficient identification of mental health problems in refugees in Germany: the Refugee Health Screener // Journal of Refugee Studies. — 2009.</w:t>
      </w:r>
    </w:p>
    <w:p>
      <w:pPr>
        <w:pStyle w:val="Heading4"/>
        <w:numPr>
          <w:ilvl w:val="0"/>
          <w:numId w:val="33"/>
        </w:numPr>
        <w:tabs>
          <w:tab w:pos="928" w:val="left" w:leader="none"/>
        </w:tabs>
        <w:spacing w:line="240" w:lineRule="auto" w:before="0" w:after="0"/>
        <w:ind w:left="928" w:right="564" w:hanging="360"/>
        <w:jc w:val="both"/>
        <w:rPr>
          <w:sz w:val="26"/>
        </w:rPr>
      </w:pPr>
      <w:r>
        <w:rPr/>
        <w:t>Kinzie</w:t>
      </w:r>
      <w:r>
        <w:rPr>
          <w:spacing w:val="-1"/>
        </w:rPr>
        <w:t> </w:t>
      </w:r>
      <w:r>
        <w:rPr/>
        <w:t>J.</w:t>
      </w:r>
      <w:r>
        <w:rPr>
          <w:spacing w:val="-3"/>
        </w:rPr>
        <w:t> </w:t>
      </w:r>
      <w:r>
        <w:rPr/>
        <w:t>D., Manson</w:t>
      </w:r>
      <w:r>
        <w:rPr>
          <w:spacing w:val="-2"/>
        </w:rPr>
        <w:t> </w:t>
      </w:r>
      <w:r>
        <w:rPr/>
        <w:t>S.</w:t>
      </w:r>
      <w:r>
        <w:rPr>
          <w:spacing w:val="-3"/>
        </w:rPr>
        <w:t> </w:t>
      </w:r>
      <w:r>
        <w:rPr/>
        <w:t>M. The use of self-rating scales in cross-cultural psychiatry</w:t>
      </w:r>
      <w:r>
        <w:rPr>
          <w:spacing w:val="-15"/>
        </w:rPr>
        <w:t> </w:t>
      </w:r>
      <w:r>
        <w:rPr/>
        <w:t>//</w:t>
      </w:r>
      <w:r>
        <w:rPr>
          <w:spacing w:val="-12"/>
        </w:rPr>
        <w:t> </w:t>
      </w:r>
      <w:r>
        <w:rPr/>
        <w:t>Hosp</w:t>
      </w:r>
      <w:r>
        <w:rPr>
          <w:spacing w:val="-12"/>
        </w:rPr>
        <w:t> </w:t>
      </w:r>
      <w:r>
        <w:rPr/>
        <w:t>Community</w:t>
      </w:r>
      <w:r>
        <w:rPr>
          <w:spacing w:val="-15"/>
        </w:rPr>
        <w:t> </w:t>
      </w:r>
      <w:r>
        <w:rPr/>
        <w:t>Psychiatry.</w:t>
      </w:r>
      <w:r>
        <w:rPr>
          <w:spacing w:val="-4"/>
        </w:rPr>
        <w:t> </w:t>
      </w:r>
      <w:r>
        <w:rPr/>
        <w:t>—</w:t>
      </w:r>
      <w:r>
        <w:rPr>
          <w:spacing w:val="-12"/>
        </w:rPr>
        <w:t> </w:t>
      </w:r>
      <w:r>
        <w:rPr/>
        <w:t>1987.</w:t>
      </w:r>
      <w:r>
        <w:rPr>
          <w:spacing w:val="-12"/>
        </w:rPr>
        <w:t> </w:t>
      </w:r>
      <w:r>
        <w:rPr/>
        <w:t>—</w:t>
      </w:r>
      <w:r>
        <w:rPr>
          <w:spacing w:val="-12"/>
        </w:rPr>
        <w:t> </w:t>
      </w:r>
      <w:r>
        <w:rPr/>
        <w:t>Vol.</w:t>
      </w:r>
      <w:r>
        <w:rPr>
          <w:spacing w:val="-12"/>
        </w:rPr>
        <w:t> </w:t>
      </w:r>
      <w:r>
        <w:rPr/>
        <w:t>38.</w:t>
      </w:r>
      <w:r>
        <w:rPr>
          <w:spacing w:val="-12"/>
        </w:rPr>
        <w:t> </w:t>
      </w:r>
      <w:r>
        <w:rPr/>
        <w:t>—</w:t>
      </w:r>
      <w:r>
        <w:rPr>
          <w:spacing w:val="-12"/>
        </w:rPr>
        <w:t> </w:t>
      </w:r>
      <w:r>
        <w:rPr/>
        <w:t>P.</w:t>
      </w:r>
      <w:r>
        <w:rPr>
          <w:spacing w:val="-12"/>
        </w:rPr>
        <w:t> </w:t>
      </w:r>
      <w:r>
        <w:rPr/>
        <w:t>190-206</w:t>
      </w:r>
    </w:p>
    <w:p>
      <w:pPr>
        <w:pStyle w:val="Heading4"/>
        <w:numPr>
          <w:ilvl w:val="0"/>
          <w:numId w:val="33"/>
        </w:numPr>
        <w:tabs>
          <w:tab w:pos="928" w:val="left" w:leader="none"/>
        </w:tabs>
        <w:spacing w:line="240" w:lineRule="auto" w:before="0" w:after="0"/>
        <w:ind w:left="928" w:right="559" w:hanging="360"/>
        <w:jc w:val="both"/>
        <w:rPr>
          <w:sz w:val="26"/>
        </w:rPr>
      </w:pPr>
      <w:r>
        <w:rPr/>
        <w:t>Kukaswadia A. et al. Development and validation of the bicultural youth acculturation questionnaire // PLoS One. — 2016. — Vol. 11. — № 8. — P. </w:t>
      </w:r>
      <w:r>
        <w:rPr>
          <w:spacing w:val="-4"/>
        </w:rPr>
        <w:t>1–16.</w:t>
      </w:r>
    </w:p>
    <w:p>
      <w:pPr>
        <w:pStyle w:val="Heading4"/>
        <w:numPr>
          <w:ilvl w:val="0"/>
          <w:numId w:val="33"/>
        </w:numPr>
        <w:tabs>
          <w:tab w:pos="928" w:val="left" w:leader="none"/>
        </w:tabs>
        <w:spacing w:line="240" w:lineRule="auto" w:before="0" w:after="0"/>
        <w:ind w:left="928" w:right="566" w:hanging="360"/>
        <w:jc w:val="both"/>
        <w:rPr>
          <w:sz w:val="26"/>
        </w:rPr>
      </w:pPr>
      <w:r>
        <w:rPr/>
        <w:t>Lebedeva</w:t>
      </w:r>
      <w:r>
        <w:rPr>
          <w:spacing w:val="-1"/>
        </w:rPr>
        <w:t> </w:t>
      </w:r>
      <w:r>
        <w:rPr/>
        <w:t>N, Tatarko A, Berry</w:t>
      </w:r>
      <w:r>
        <w:rPr>
          <w:spacing w:val="-5"/>
        </w:rPr>
        <w:t> </w:t>
      </w:r>
      <w:r>
        <w:rPr/>
        <w:t>J.</w:t>
      </w:r>
      <w:r>
        <w:rPr>
          <w:spacing w:val="-3"/>
        </w:rPr>
        <w:t> </w:t>
      </w:r>
      <w:r>
        <w:rPr/>
        <w:t>W. Social and psychological basis of multiculturalism:</w:t>
      </w:r>
      <w:r>
        <w:rPr>
          <w:spacing w:val="-18"/>
        </w:rPr>
        <w:t> </w:t>
      </w:r>
      <w:r>
        <w:rPr/>
        <w:t>Testing</w:t>
      </w:r>
      <w:r>
        <w:rPr>
          <w:spacing w:val="-17"/>
        </w:rPr>
        <w:t> </w:t>
      </w:r>
      <w:r>
        <w:rPr/>
        <w:t>of</w:t>
      </w:r>
      <w:r>
        <w:rPr>
          <w:spacing w:val="-18"/>
        </w:rPr>
        <w:t> </w:t>
      </w:r>
      <w:r>
        <w:rPr/>
        <w:t>intercultural</w:t>
      </w:r>
      <w:r>
        <w:rPr>
          <w:spacing w:val="-17"/>
        </w:rPr>
        <w:t> </w:t>
      </w:r>
      <w:r>
        <w:rPr/>
        <w:t>interaction</w:t>
      </w:r>
      <w:r>
        <w:rPr>
          <w:spacing w:val="-18"/>
        </w:rPr>
        <w:t> </w:t>
      </w:r>
      <w:r>
        <w:rPr/>
        <w:t>hypotheses</w:t>
      </w:r>
      <w:r>
        <w:rPr>
          <w:spacing w:val="-17"/>
        </w:rPr>
        <w:t> </w:t>
      </w:r>
      <w:r>
        <w:rPr/>
        <w:t>in</w:t>
      </w:r>
      <w:r>
        <w:rPr>
          <w:spacing w:val="-18"/>
        </w:rPr>
        <w:t> </w:t>
      </w:r>
      <w:r>
        <w:rPr/>
        <w:t>the</w:t>
      </w:r>
      <w:r>
        <w:rPr>
          <w:spacing w:val="-17"/>
        </w:rPr>
        <w:t> </w:t>
      </w:r>
      <w:r>
        <w:rPr/>
        <w:t>Russian context // Psikhologicheskii Zhurnal. — 2016. — Vol. 37(2). — P. 92–104.</w:t>
      </w:r>
    </w:p>
    <w:p>
      <w:pPr>
        <w:pStyle w:val="Heading4"/>
        <w:numPr>
          <w:ilvl w:val="0"/>
          <w:numId w:val="33"/>
        </w:numPr>
        <w:tabs>
          <w:tab w:pos="928" w:val="left" w:leader="none"/>
        </w:tabs>
        <w:spacing w:line="240" w:lineRule="auto" w:before="0" w:after="0"/>
        <w:ind w:left="928" w:right="564" w:hanging="360"/>
        <w:jc w:val="both"/>
        <w:rPr>
          <w:sz w:val="26"/>
        </w:rPr>
      </w:pPr>
      <w:r>
        <w:rPr/>
        <w:t>Lebedeva</w:t>
      </w:r>
      <w:r>
        <w:rPr>
          <w:spacing w:val="-2"/>
        </w:rPr>
        <w:t> </w:t>
      </w:r>
      <w:r>
        <w:rPr/>
        <w:t>N., Tatarko A., Berry</w:t>
      </w:r>
      <w:r>
        <w:rPr>
          <w:spacing w:val="-6"/>
        </w:rPr>
        <w:t> </w:t>
      </w:r>
      <w:r>
        <w:rPr/>
        <w:t>J.</w:t>
      </w:r>
      <w:r>
        <w:rPr>
          <w:spacing w:val="-1"/>
        </w:rPr>
        <w:t> </w:t>
      </w:r>
      <w:r>
        <w:rPr/>
        <w:t>W. Intercultural relations in Russia and Latvia: The relationship between contact and cultural security // Psychology in Russia. — 2016. — Vol. 9(1). — P. 41–56.</w:t>
      </w:r>
    </w:p>
    <w:p>
      <w:pPr>
        <w:pStyle w:val="Heading4"/>
        <w:spacing w:after="0" w:line="240" w:lineRule="auto"/>
        <w:jc w:val="both"/>
        <w:rPr>
          <w:sz w:val="26"/>
        </w:rPr>
        <w:sectPr>
          <w:pgSz w:w="11910" w:h="16840"/>
          <w:pgMar w:header="0" w:footer="970" w:top="1040" w:bottom="1220" w:left="1417" w:right="283"/>
        </w:sectPr>
      </w:pPr>
    </w:p>
    <w:p>
      <w:pPr>
        <w:pStyle w:val="Heading4"/>
        <w:numPr>
          <w:ilvl w:val="0"/>
          <w:numId w:val="33"/>
        </w:numPr>
        <w:tabs>
          <w:tab w:pos="928" w:val="left" w:leader="none"/>
        </w:tabs>
        <w:spacing w:line="240" w:lineRule="auto" w:before="67" w:after="0"/>
        <w:ind w:left="928" w:right="562" w:hanging="360"/>
        <w:jc w:val="both"/>
        <w:rPr>
          <w:sz w:val="26"/>
        </w:rPr>
      </w:pPr>
      <w:r>
        <w:rPr/>
        <w:t>Leszczensky</w:t>
      </w:r>
      <w:r>
        <w:rPr>
          <w:spacing w:val="-4"/>
        </w:rPr>
        <w:t> </w:t>
      </w:r>
      <w:r>
        <w:rPr/>
        <w:t>L, Santiago A. The Development and Test of a Measure of Youth’s Ethnic and National Identity // Methods, data, analyses. — 2015. — Vol. 9(1). — P. 87–110.</w:t>
      </w:r>
    </w:p>
    <w:p>
      <w:pPr>
        <w:pStyle w:val="Heading4"/>
        <w:numPr>
          <w:ilvl w:val="0"/>
          <w:numId w:val="33"/>
        </w:numPr>
        <w:tabs>
          <w:tab w:pos="928" w:val="left" w:leader="none"/>
        </w:tabs>
        <w:spacing w:line="240" w:lineRule="auto" w:before="2" w:after="0"/>
        <w:ind w:left="928" w:right="562" w:hanging="360"/>
        <w:jc w:val="both"/>
        <w:rPr>
          <w:sz w:val="26"/>
        </w:rPr>
      </w:pPr>
      <w:r>
        <w:rPr/>
        <w:t>Manificat</w:t>
      </w:r>
      <w:r>
        <w:rPr>
          <w:spacing w:val="-2"/>
        </w:rPr>
        <w:t> </w:t>
      </w:r>
      <w:r>
        <w:rPr/>
        <w:t>S.,</w:t>
      </w:r>
      <w:r>
        <w:rPr>
          <w:spacing w:val="-5"/>
        </w:rPr>
        <w:t> </w:t>
      </w:r>
      <w:r>
        <w:rPr/>
        <w:t>Dazord</w:t>
      </w:r>
      <w:r>
        <w:rPr>
          <w:spacing w:val="-3"/>
        </w:rPr>
        <w:t> </w:t>
      </w:r>
      <w:r>
        <w:rPr/>
        <w:t>A.</w:t>
      </w:r>
      <w:r>
        <w:rPr>
          <w:spacing w:val="-4"/>
        </w:rPr>
        <w:t> </w:t>
      </w:r>
      <w:r>
        <w:rPr/>
        <w:t>(Evaluation</w:t>
      </w:r>
      <w:r>
        <w:rPr>
          <w:spacing w:val="-6"/>
        </w:rPr>
        <w:t> </w:t>
      </w:r>
      <w:r>
        <w:rPr/>
        <w:t>of</w:t>
      </w:r>
      <w:r>
        <w:rPr>
          <w:spacing w:val="-3"/>
        </w:rPr>
        <w:t> </w:t>
      </w:r>
      <w:r>
        <w:rPr/>
        <w:t>the</w:t>
      </w:r>
      <w:r>
        <w:rPr>
          <w:spacing w:val="-6"/>
        </w:rPr>
        <w:t> </w:t>
      </w:r>
      <w:r>
        <w:rPr/>
        <w:t>Child's</w:t>
      </w:r>
      <w:r>
        <w:rPr>
          <w:spacing w:val="-2"/>
        </w:rPr>
        <w:t> </w:t>
      </w:r>
      <w:r>
        <w:rPr/>
        <w:t>Quality</w:t>
      </w:r>
      <w:r>
        <w:rPr>
          <w:spacing w:val="-6"/>
        </w:rPr>
        <w:t> </w:t>
      </w:r>
      <w:r>
        <w:rPr/>
        <w:t>of</w:t>
      </w:r>
      <w:r>
        <w:rPr>
          <w:spacing w:val="-3"/>
        </w:rPr>
        <w:t> </w:t>
      </w:r>
      <w:r>
        <w:rPr/>
        <w:t>Life:</w:t>
      </w:r>
      <w:r>
        <w:rPr>
          <w:spacing w:val="-2"/>
        </w:rPr>
        <w:t> </w:t>
      </w:r>
      <w:r>
        <w:rPr/>
        <w:t>Validation of a Questionnaire and First Results) [In French] Evaluation de la qualité de vie de l'enfant : validation d'un questionnaire, premiers résultats. Expansion Scienti¦que Française. — 1997. — 45(3). — pp.106-114</w:t>
      </w:r>
    </w:p>
    <w:p>
      <w:pPr>
        <w:pStyle w:val="Heading4"/>
        <w:numPr>
          <w:ilvl w:val="0"/>
          <w:numId w:val="33"/>
        </w:numPr>
        <w:tabs>
          <w:tab w:pos="928" w:val="left" w:leader="none"/>
        </w:tabs>
        <w:spacing w:line="240" w:lineRule="auto" w:before="1" w:after="0"/>
        <w:ind w:left="928" w:right="562" w:hanging="360"/>
        <w:jc w:val="both"/>
        <w:rPr>
          <w:sz w:val="26"/>
        </w:rPr>
      </w:pPr>
      <w:r>
        <w:rPr/>
        <w:t>Manificat</w:t>
      </w:r>
      <w:r>
        <w:rPr>
          <w:spacing w:val="-1"/>
        </w:rPr>
        <w:t> </w:t>
      </w:r>
      <w:r>
        <w:rPr/>
        <w:t>S., Dazord A. Infant, child and adolescent quality of life: surveys performed in a European context. Expert Review of Pharmacoeconomics &amp; Outcomes Research. — 2002. — 2(6). — pp. 589–596. doi:10.1586/14737167.2.6.589 </w:t>
      </w:r>
      <w:hyperlink r:id="rId53">
        <w:r>
          <w:rPr/>
          <w:t>https://doi.org/10.1586/14737167.2.6.589</w:t>
        </w:r>
      </w:hyperlink>
    </w:p>
    <w:p>
      <w:pPr>
        <w:pStyle w:val="Heading4"/>
        <w:numPr>
          <w:ilvl w:val="0"/>
          <w:numId w:val="33"/>
        </w:numPr>
        <w:tabs>
          <w:tab w:pos="928" w:val="left" w:leader="none"/>
        </w:tabs>
        <w:spacing w:line="240" w:lineRule="auto" w:before="0" w:after="0"/>
        <w:ind w:left="928" w:right="561" w:hanging="360"/>
        <w:jc w:val="both"/>
        <w:rPr>
          <w:sz w:val="26"/>
        </w:rPr>
      </w:pPr>
      <w:r>
        <w:rPr/>
        <w:t>Manificat S., Dazord</w:t>
      </w:r>
      <w:r>
        <w:rPr>
          <w:spacing w:val="-2"/>
        </w:rPr>
        <w:t> </w:t>
      </w:r>
      <w:r>
        <w:rPr/>
        <w:t>A., Langue</w:t>
      </w:r>
      <w:r>
        <w:rPr>
          <w:spacing w:val="-1"/>
        </w:rPr>
        <w:t> </w:t>
      </w:r>
      <w:r>
        <w:rPr/>
        <w:t>J, et al. Evaluation of the quality of life of infants and very young children: validation of a questionnaire. Multicenter European study. Arch Pediatr. — 2000. — 7(6). — pp. 605–614.</w:t>
      </w:r>
    </w:p>
    <w:p>
      <w:pPr>
        <w:pStyle w:val="Heading4"/>
        <w:numPr>
          <w:ilvl w:val="0"/>
          <w:numId w:val="33"/>
        </w:numPr>
        <w:tabs>
          <w:tab w:pos="928" w:val="left" w:leader="none"/>
        </w:tabs>
        <w:spacing w:line="240" w:lineRule="auto" w:before="0" w:after="0"/>
        <w:ind w:left="928" w:right="560" w:hanging="360"/>
        <w:jc w:val="both"/>
        <w:rPr>
          <w:sz w:val="26"/>
        </w:rPr>
      </w:pPr>
      <w:r>
        <w:rPr/>
        <w:t>Marulanda</w:t>
      </w:r>
      <w:r>
        <w:rPr>
          <w:spacing w:val="-2"/>
        </w:rPr>
        <w:t> </w:t>
      </w:r>
      <w:r>
        <w:rPr/>
        <w:t>S., Addington J. Resilience in individuals at clinical high risk for psychosis. Early Intervention in Psychiatry. — 2016. — 10. — pp. 212–219. Doi: 10.1111/eip.12174</w:t>
      </w:r>
    </w:p>
    <w:p>
      <w:pPr>
        <w:pStyle w:val="Heading4"/>
        <w:numPr>
          <w:ilvl w:val="0"/>
          <w:numId w:val="33"/>
        </w:numPr>
        <w:tabs>
          <w:tab w:pos="928" w:val="left" w:leader="none"/>
        </w:tabs>
        <w:spacing w:line="240" w:lineRule="auto" w:before="0" w:after="0"/>
        <w:ind w:left="928" w:right="564" w:hanging="360"/>
        <w:jc w:val="both"/>
        <w:rPr>
          <w:sz w:val="26"/>
        </w:rPr>
      </w:pPr>
      <w:r>
        <w:rPr/>
        <w:t>Mazlan</w:t>
      </w:r>
      <w:r>
        <w:rPr>
          <w:spacing w:val="-1"/>
        </w:rPr>
        <w:t> </w:t>
      </w:r>
      <w:r>
        <w:rPr/>
        <w:t>N.</w:t>
      </w:r>
      <w:r>
        <w:rPr>
          <w:spacing w:val="-4"/>
        </w:rPr>
        <w:t> </w:t>
      </w:r>
      <w:r>
        <w:rPr/>
        <w:t>H., Ahmad A. Validation of the malay-translated version of the center for epidemiological study–depression scale (CES-D) // Asean Journal of Psychiatry. — 2013. — Т. 15 — № 1. — pp. 54–65.</w:t>
      </w:r>
    </w:p>
    <w:p>
      <w:pPr>
        <w:pStyle w:val="Heading4"/>
        <w:numPr>
          <w:ilvl w:val="0"/>
          <w:numId w:val="33"/>
        </w:numPr>
        <w:tabs>
          <w:tab w:pos="928" w:val="left" w:leader="none"/>
        </w:tabs>
        <w:spacing w:line="240" w:lineRule="auto" w:before="0" w:after="0"/>
        <w:ind w:left="928" w:right="560" w:hanging="360"/>
        <w:jc w:val="both"/>
        <w:rPr>
          <w:sz w:val="26"/>
        </w:rPr>
      </w:pPr>
      <w:r>
        <w:rPr/>
        <w:t>McKay</w:t>
      </w:r>
      <w:r>
        <w:rPr>
          <w:spacing w:val="-5"/>
        </w:rPr>
        <w:t> </w:t>
      </w:r>
      <w:r>
        <w:rPr/>
        <w:t>M.</w:t>
      </w:r>
      <w:r>
        <w:rPr>
          <w:spacing w:val="-3"/>
        </w:rPr>
        <w:t> </w:t>
      </w:r>
      <w:r>
        <w:rPr/>
        <w:t>T., Andretta</w:t>
      </w:r>
      <w:r>
        <w:rPr>
          <w:spacing w:val="-1"/>
        </w:rPr>
        <w:t> </w:t>
      </w:r>
      <w:r>
        <w:rPr/>
        <w:t>J.</w:t>
      </w:r>
      <w:r>
        <w:rPr>
          <w:spacing w:val="-3"/>
        </w:rPr>
        <w:t> </w:t>
      </w:r>
      <w:r>
        <w:rPr/>
        <w:t>R. Evidence for the psychometric validity, internal consistency</w:t>
      </w:r>
      <w:r>
        <w:rPr>
          <w:spacing w:val="-18"/>
        </w:rPr>
        <w:t> </w:t>
      </w:r>
      <w:r>
        <w:rPr/>
        <w:t>and</w:t>
      </w:r>
      <w:r>
        <w:rPr>
          <w:spacing w:val="-13"/>
        </w:rPr>
        <w:t> </w:t>
      </w:r>
      <w:r>
        <w:rPr/>
        <w:t>measurement</w:t>
      </w:r>
      <w:r>
        <w:rPr>
          <w:spacing w:val="-15"/>
        </w:rPr>
        <w:t> </w:t>
      </w:r>
      <w:r>
        <w:rPr/>
        <w:t>invariance</w:t>
      </w:r>
      <w:r>
        <w:rPr>
          <w:spacing w:val="-18"/>
        </w:rPr>
        <w:t> </w:t>
      </w:r>
      <w:r>
        <w:rPr/>
        <w:t>of</w:t>
      </w:r>
      <w:r>
        <w:rPr>
          <w:spacing w:val="-15"/>
        </w:rPr>
        <w:t> </w:t>
      </w:r>
      <w:r>
        <w:rPr/>
        <w:t>Warwick</w:t>
      </w:r>
      <w:r>
        <w:rPr>
          <w:spacing w:val="-15"/>
        </w:rPr>
        <w:t> </w:t>
      </w:r>
      <w:r>
        <w:rPr/>
        <w:t>Edinburgh</w:t>
      </w:r>
      <w:r>
        <w:rPr>
          <w:spacing w:val="-15"/>
        </w:rPr>
        <w:t> </w:t>
      </w:r>
      <w:r>
        <w:rPr/>
        <w:t>Mental</w:t>
      </w:r>
      <w:r>
        <w:rPr>
          <w:spacing w:val="-15"/>
        </w:rPr>
        <w:t> </w:t>
      </w:r>
      <w:r>
        <w:rPr/>
        <w:t>Well- being Scale scores in Scottish and Irish adolescents. Psychiatry research. — 2017. — 255. — pp. 382–386.</w:t>
      </w:r>
    </w:p>
    <w:p>
      <w:pPr>
        <w:pStyle w:val="Heading4"/>
        <w:numPr>
          <w:ilvl w:val="0"/>
          <w:numId w:val="33"/>
        </w:numPr>
        <w:tabs>
          <w:tab w:pos="928" w:val="left" w:leader="none"/>
        </w:tabs>
        <w:spacing w:line="240" w:lineRule="auto" w:before="0" w:after="0"/>
        <w:ind w:left="928" w:right="561" w:hanging="360"/>
        <w:jc w:val="both"/>
        <w:rPr>
          <w:sz w:val="26"/>
        </w:rPr>
      </w:pPr>
      <w:r>
        <w:rPr/>
        <w:t>McMahon</w:t>
      </w:r>
      <w:r>
        <w:rPr>
          <w:spacing w:val="-1"/>
        </w:rPr>
        <w:t> </w:t>
      </w:r>
      <w:r>
        <w:rPr/>
        <w:t>E., Corcoran P., Keeley</w:t>
      </w:r>
      <w:r>
        <w:rPr>
          <w:spacing w:val="-5"/>
        </w:rPr>
        <w:t> </w:t>
      </w:r>
      <w:r>
        <w:rPr/>
        <w:t>H., Cannon</w:t>
      </w:r>
      <w:r>
        <w:rPr>
          <w:spacing w:val="-1"/>
        </w:rPr>
        <w:t> </w:t>
      </w:r>
      <w:r>
        <w:rPr/>
        <w:t>M., Carli</w:t>
      </w:r>
      <w:r>
        <w:rPr>
          <w:spacing w:val="-1"/>
        </w:rPr>
        <w:t> </w:t>
      </w:r>
      <w:r>
        <w:rPr/>
        <w:t>V., Wasserman</w:t>
      </w:r>
      <w:r>
        <w:rPr>
          <w:spacing w:val="-1"/>
        </w:rPr>
        <w:t> </w:t>
      </w:r>
      <w:r>
        <w:rPr/>
        <w:t>C., Wasserman</w:t>
      </w:r>
      <w:r>
        <w:rPr>
          <w:spacing w:val="-1"/>
        </w:rPr>
        <w:t> </w:t>
      </w:r>
      <w:r>
        <w:rPr/>
        <w:t>D. Mental health difficulties and suicidal behaviours among young migrants: Multicentre study of European adolescents. BJPsych Open.</w:t>
      </w:r>
    </w:p>
    <w:p>
      <w:pPr>
        <w:pStyle w:val="Heading4"/>
        <w:spacing w:line="322" w:lineRule="exact"/>
        <w:ind w:left="928"/>
      </w:pPr>
      <w:r>
        <w:rPr/>
        <w:t>—</w:t>
      </w:r>
      <w:r>
        <w:rPr>
          <w:spacing w:val="-5"/>
        </w:rPr>
        <w:t> </w:t>
      </w:r>
      <w:r>
        <w:rPr/>
        <w:t>2017.</w:t>
      </w:r>
      <w:r>
        <w:rPr>
          <w:spacing w:val="-3"/>
        </w:rPr>
        <w:t> </w:t>
      </w:r>
      <w:r>
        <w:rPr/>
        <w:t>—</w:t>
      </w:r>
      <w:r>
        <w:rPr>
          <w:spacing w:val="-3"/>
        </w:rPr>
        <w:t> </w:t>
      </w:r>
      <w:r>
        <w:rPr/>
        <w:t>3(6).</w:t>
      </w:r>
      <w:r>
        <w:rPr>
          <w:spacing w:val="-1"/>
        </w:rPr>
        <w:t> </w:t>
      </w:r>
      <w:r>
        <w:rPr/>
        <w:t>—</w:t>
      </w:r>
      <w:r>
        <w:rPr>
          <w:spacing w:val="-5"/>
        </w:rPr>
        <w:t> </w:t>
      </w:r>
      <w:r>
        <w:rPr/>
        <w:t>pp.</w:t>
      </w:r>
      <w:r>
        <w:rPr>
          <w:spacing w:val="-6"/>
        </w:rPr>
        <w:t> </w:t>
      </w:r>
      <w:r>
        <w:rPr/>
        <w:t>291-299.</w:t>
      </w:r>
      <w:r>
        <w:rPr>
          <w:spacing w:val="-2"/>
        </w:rPr>
        <w:t> doi:10.1192/bjpo.bp.117.005322</w:t>
      </w:r>
    </w:p>
    <w:p>
      <w:pPr>
        <w:pStyle w:val="Heading4"/>
        <w:numPr>
          <w:ilvl w:val="0"/>
          <w:numId w:val="33"/>
        </w:numPr>
        <w:tabs>
          <w:tab w:pos="928" w:val="left" w:leader="none"/>
        </w:tabs>
        <w:spacing w:line="240" w:lineRule="auto" w:before="0" w:after="0"/>
        <w:ind w:left="928" w:right="562" w:hanging="360"/>
        <w:jc w:val="both"/>
        <w:rPr>
          <w:sz w:val="26"/>
        </w:rPr>
      </w:pPr>
      <w:r>
        <w:rPr/>
        <w:t>Miller</w:t>
      </w:r>
      <w:r>
        <w:rPr>
          <w:spacing w:val="-1"/>
        </w:rPr>
        <w:t> </w:t>
      </w:r>
      <w:r>
        <w:rPr/>
        <w:t>M.</w:t>
      </w:r>
      <w:r>
        <w:rPr>
          <w:spacing w:val="-5"/>
        </w:rPr>
        <w:t> </w:t>
      </w:r>
      <w:r>
        <w:rPr/>
        <w:t>J.,</w:t>
      </w:r>
      <w:r>
        <w:rPr>
          <w:spacing w:val="40"/>
        </w:rPr>
        <w:t> </w:t>
      </w:r>
      <w:r>
        <w:rPr/>
        <w:t>Kim</w:t>
      </w:r>
      <w:r>
        <w:rPr>
          <w:spacing w:val="-5"/>
        </w:rPr>
        <w:t> </w:t>
      </w:r>
      <w:r>
        <w:rPr/>
        <w:t>J.,</w:t>
      </w:r>
      <w:r>
        <w:rPr>
          <w:spacing w:val="40"/>
        </w:rPr>
        <w:t> </w:t>
      </w:r>
      <w:r>
        <w:rPr/>
        <w:t>Benet-Martínez</w:t>
      </w:r>
      <w:r>
        <w:rPr>
          <w:spacing w:val="-3"/>
        </w:rPr>
        <w:t> </w:t>
      </w:r>
      <w:r>
        <w:rPr/>
        <w:t>V.</w:t>
      </w:r>
      <w:r>
        <w:rPr>
          <w:spacing w:val="40"/>
        </w:rPr>
        <w:t> </w:t>
      </w:r>
      <w:r>
        <w:rPr/>
        <w:t>Validating</w:t>
      </w:r>
      <w:r>
        <w:rPr>
          <w:spacing w:val="40"/>
        </w:rPr>
        <w:t> </w:t>
      </w:r>
      <w:r>
        <w:rPr/>
        <w:t>the</w:t>
      </w:r>
      <w:r>
        <w:rPr>
          <w:spacing w:val="40"/>
        </w:rPr>
        <w:t> </w:t>
      </w:r>
      <w:r>
        <w:rPr/>
        <w:t>Riverside Acculturation Stress Inventory with Asian Americans. Psychological Assessment. — 2011. — 23. — pp. 300–310. doi: 10.1037/a0021589</w:t>
      </w:r>
    </w:p>
    <w:p>
      <w:pPr>
        <w:pStyle w:val="Heading4"/>
        <w:numPr>
          <w:ilvl w:val="0"/>
          <w:numId w:val="33"/>
        </w:numPr>
        <w:tabs>
          <w:tab w:pos="928" w:val="left" w:leader="none"/>
        </w:tabs>
        <w:spacing w:line="240" w:lineRule="auto" w:before="0" w:after="0"/>
        <w:ind w:left="928" w:right="559" w:hanging="360"/>
        <w:jc w:val="both"/>
        <w:rPr>
          <w:sz w:val="26"/>
        </w:rPr>
      </w:pPr>
      <w:r>
        <w:rPr/>
        <w:t>Nguyen</w:t>
      </w:r>
      <w:r>
        <w:rPr>
          <w:spacing w:val="-2"/>
        </w:rPr>
        <w:t> </w:t>
      </w:r>
      <w:r>
        <w:rPr/>
        <w:t>H.</w:t>
      </w:r>
      <w:r>
        <w:rPr>
          <w:spacing w:val="-5"/>
        </w:rPr>
        <w:t> </w:t>
      </w:r>
      <w:r>
        <w:rPr/>
        <w:t>H.,</w:t>
      </w:r>
      <w:r>
        <w:rPr>
          <w:spacing w:val="-14"/>
        </w:rPr>
        <w:t> </w:t>
      </w:r>
      <w:r>
        <w:rPr/>
        <w:t>von</w:t>
      </w:r>
      <w:r>
        <w:rPr>
          <w:spacing w:val="-12"/>
        </w:rPr>
        <w:t> </w:t>
      </w:r>
      <w:r>
        <w:rPr/>
        <w:t>Eye A.</w:t>
      </w:r>
      <w:r>
        <w:rPr>
          <w:spacing w:val="-13"/>
        </w:rPr>
        <w:t> </w:t>
      </w:r>
      <w:r>
        <w:rPr/>
        <w:t>The</w:t>
      </w:r>
      <w:r>
        <w:rPr>
          <w:spacing w:val="-12"/>
        </w:rPr>
        <w:t> </w:t>
      </w:r>
      <w:r>
        <w:rPr/>
        <w:t>acculturation</w:t>
      </w:r>
      <w:r>
        <w:rPr>
          <w:spacing w:val="-14"/>
        </w:rPr>
        <w:t> </w:t>
      </w:r>
      <w:r>
        <w:rPr/>
        <w:t>scale</w:t>
      </w:r>
      <w:r>
        <w:rPr>
          <w:spacing w:val="-15"/>
        </w:rPr>
        <w:t> </w:t>
      </w:r>
      <w:r>
        <w:rPr/>
        <w:t>for</w:t>
      </w:r>
      <w:r>
        <w:rPr>
          <w:spacing w:val="-15"/>
        </w:rPr>
        <w:t> </w:t>
      </w:r>
      <w:r>
        <w:rPr/>
        <w:t>Vietnamese</w:t>
      </w:r>
      <w:r>
        <w:rPr>
          <w:spacing w:val="-12"/>
        </w:rPr>
        <w:t> </w:t>
      </w:r>
      <w:r>
        <w:rPr/>
        <w:t>adolescents (ASVA): A bidimensional perspective // Int. J. Behav. Dev. — 2002. — Vol.</w:t>
      </w:r>
    </w:p>
    <w:p>
      <w:pPr>
        <w:pStyle w:val="Heading4"/>
        <w:spacing w:line="322" w:lineRule="exact" w:before="1"/>
        <w:ind w:left="928"/>
      </w:pPr>
      <w:r>
        <w:rPr/>
        <w:t>26.</w:t>
      </w:r>
      <w:r>
        <w:rPr>
          <w:spacing w:val="-1"/>
        </w:rPr>
        <w:t> </w:t>
      </w:r>
      <w:r>
        <w:rPr/>
        <w:t>—</w:t>
      </w:r>
      <w:r>
        <w:rPr>
          <w:spacing w:val="-3"/>
        </w:rPr>
        <w:t> </w:t>
      </w:r>
      <w:r>
        <w:rPr/>
        <w:t>№ 3.</w:t>
      </w:r>
      <w:r>
        <w:rPr>
          <w:spacing w:val="-1"/>
        </w:rPr>
        <w:t> </w:t>
      </w:r>
      <w:r>
        <w:rPr/>
        <w:t>—</w:t>
      </w:r>
      <w:r>
        <w:rPr>
          <w:spacing w:val="-3"/>
        </w:rPr>
        <w:t> </w:t>
      </w:r>
      <w:r>
        <w:rPr/>
        <w:t>pp.</w:t>
      </w:r>
      <w:r>
        <w:rPr>
          <w:spacing w:val="-3"/>
        </w:rPr>
        <w:t> </w:t>
      </w:r>
      <w:r>
        <w:rPr>
          <w:spacing w:val="-2"/>
        </w:rPr>
        <w:t>202–213.</w:t>
      </w:r>
    </w:p>
    <w:p>
      <w:pPr>
        <w:pStyle w:val="Heading4"/>
        <w:numPr>
          <w:ilvl w:val="0"/>
          <w:numId w:val="33"/>
        </w:numPr>
        <w:tabs>
          <w:tab w:pos="928" w:val="left" w:leader="none"/>
        </w:tabs>
        <w:spacing w:line="240" w:lineRule="auto" w:before="0" w:after="0"/>
        <w:ind w:left="928" w:right="561" w:hanging="360"/>
        <w:jc w:val="both"/>
        <w:rPr>
          <w:sz w:val="26"/>
        </w:rPr>
      </w:pPr>
      <w:r>
        <w:rPr/>
        <w:t>Panter-Brick</w:t>
      </w:r>
      <w:r>
        <w:rPr>
          <w:spacing w:val="-1"/>
        </w:rPr>
        <w:t> </w:t>
      </w:r>
      <w:r>
        <w:rPr/>
        <w:t>C.,</w:t>
      </w:r>
      <w:r>
        <w:rPr>
          <w:spacing w:val="40"/>
        </w:rPr>
        <w:t> </w:t>
      </w:r>
      <w:r>
        <w:rPr/>
        <w:t>Hadfield</w:t>
      </w:r>
      <w:r>
        <w:rPr>
          <w:spacing w:val="-1"/>
        </w:rPr>
        <w:t> </w:t>
      </w:r>
      <w:r>
        <w:rPr/>
        <w:t>K.,</w:t>
      </w:r>
      <w:r>
        <w:rPr>
          <w:spacing w:val="40"/>
        </w:rPr>
        <w:t> </w:t>
      </w:r>
      <w:r>
        <w:rPr/>
        <w:t>Dajani</w:t>
      </w:r>
      <w:r>
        <w:rPr>
          <w:spacing w:val="-1"/>
        </w:rPr>
        <w:t> </w:t>
      </w:r>
      <w:r>
        <w:rPr/>
        <w:t>R.,</w:t>
      </w:r>
      <w:r>
        <w:rPr>
          <w:spacing w:val="40"/>
        </w:rPr>
        <w:t> </w:t>
      </w:r>
      <w:r>
        <w:rPr/>
        <w:t>Eggerman M.,</w:t>
      </w:r>
      <w:r>
        <w:rPr>
          <w:spacing w:val="40"/>
        </w:rPr>
        <w:t> </w:t>
      </w:r>
      <w:r>
        <w:rPr/>
        <w:t>Ager</w:t>
      </w:r>
      <w:r>
        <w:rPr>
          <w:spacing w:val="-2"/>
        </w:rPr>
        <w:t> </w:t>
      </w:r>
      <w:r>
        <w:rPr/>
        <w:t>A.,</w:t>
      </w:r>
      <w:r>
        <w:rPr>
          <w:spacing w:val="40"/>
        </w:rPr>
        <w:t> </w:t>
      </w:r>
      <w:r>
        <w:rPr/>
        <w:t>Ungar</w:t>
      </w:r>
      <w:r>
        <w:rPr>
          <w:spacing w:val="-2"/>
        </w:rPr>
        <w:t> </w:t>
      </w:r>
      <w:r>
        <w:rPr/>
        <w:t>M. Resilience in context: A brief and culturally grounded measure for Syrian refugee and Jordanian host-community adolescents. Child Development, 2018. — 89. — pp.1803–1820. doi: 10.1111/cdev.12868</w:t>
      </w:r>
    </w:p>
    <w:p>
      <w:pPr>
        <w:pStyle w:val="Heading4"/>
        <w:numPr>
          <w:ilvl w:val="0"/>
          <w:numId w:val="33"/>
        </w:numPr>
        <w:tabs>
          <w:tab w:pos="928" w:val="left" w:leader="none"/>
          <w:tab w:pos="1697" w:val="left" w:leader="none"/>
        </w:tabs>
        <w:spacing w:line="242" w:lineRule="auto" w:before="0" w:after="0"/>
        <w:ind w:left="928" w:right="568" w:hanging="360"/>
        <w:jc w:val="both"/>
      </w:pPr>
      <w:r>
        <w:rPr/>
        <w:t>Phinney J.S. The Multigroup Ethnic Identity Measure // Journal of Adolescent Research. — 1992. — Vol. 7. — P. 156–176.</w:t>
      </w:r>
    </w:p>
    <w:p>
      <w:pPr>
        <w:pStyle w:val="Heading4"/>
        <w:numPr>
          <w:ilvl w:val="0"/>
          <w:numId w:val="33"/>
        </w:numPr>
        <w:tabs>
          <w:tab w:pos="928" w:val="left" w:leader="none"/>
          <w:tab w:pos="1697" w:val="left" w:leader="none"/>
        </w:tabs>
        <w:spacing w:line="240" w:lineRule="auto" w:before="0" w:after="0"/>
        <w:ind w:left="928" w:right="567" w:hanging="360"/>
        <w:jc w:val="both"/>
      </w:pPr>
      <w:r>
        <w:rPr/>
        <w:t>Phinney J.S., Ong A. D. Conceptualization and measurement of ethnic identity: current status and future directions // Journal of Counseling Psychology. — 2007. — Vol. 54. — P. 271-281.</w:t>
      </w:r>
    </w:p>
    <w:p>
      <w:pPr>
        <w:pStyle w:val="Heading4"/>
        <w:spacing w:after="0" w:line="240" w:lineRule="auto"/>
        <w:jc w:val="both"/>
        <w:sectPr>
          <w:pgSz w:w="11910" w:h="16840"/>
          <w:pgMar w:header="0" w:footer="970" w:top="1040" w:bottom="1220" w:left="1417" w:right="283"/>
        </w:sectPr>
      </w:pPr>
    </w:p>
    <w:p>
      <w:pPr>
        <w:pStyle w:val="Heading4"/>
        <w:numPr>
          <w:ilvl w:val="0"/>
          <w:numId w:val="33"/>
        </w:numPr>
        <w:tabs>
          <w:tab w:pos="928" w:val="left" w:leader="none"/>
          <w:tab w:pos="1697" w:val="left" w:leader="none"/>
        </w:tabs>
        <w:spacing w:line="240" w:lineRule="auto" w:before="67" w:after="0"/>
        <w:ind w:left="928" w:right="564" w:hanging="360"/>
        <w:jc w:val="both"/>
      </w:pPr>
      <w:r>
        <w:rPr/>
        <w:t>Radloff L.S.</w:t>
      </w:r>
      <w:r>
        <w:rPr>
          <w:spacing w:val="80"/>
        </w:rPr>
        <w:t> </w:t>
      </w:r>
      <w:r>
        <w:rPr/>
        <w:t>The</w:t>
      </w:r>
      <w:r>
        <w:rPr>
          <w:spacing w:val="80"/>
        </w:rPr>
        <w:t> </w:t>
      </w:r>
      <w:r>
        <w:rPr/>
        <w:t>CES-D</w:t>
      </w:r>
      <w:r>
        <w:rPr>
          <w:spacing w:val="80"/>
        </w:rPr>
        <w:t> </w:t>
      </w:r>
      <w:r>
        <w:rPr/>
        <w:t>scale:</w:t>
      </w:r>
      <w:r>
        <w:rPr>
          <w:spacing w:val="80"/>
        </w:rPr>
        <w:t> </w:t>
      </w:r>
      <w:r>
        <w:rPr/>
        <w:t>a</w:t>
      </w:r>
      <w:r>
        <w:rPr>
          <w:spacing w:val="80"/>
        </w:rPr>
        <w:t> </w:t>
      </w:r>
      <w:r>
        <w:rPr/>
        <w:t>self-report</w:t>
      </w:r>
      <w:r>
        <w:rPr>
          <w:spacing w:val="80"/>
        </w:rPr>
        <w:t> </w:t>
      </w:r>
      <w:r>
        <w:rPr/>
        <w:t>depression</w:t>
      </w:r>
      <w:r>
        <w:rPr>
          <w:spacing w:val="80"/>
        </w:rPr>
        <w:t> </w:t>
      </w:r>
      <w:r>
        <w:rPr/>
        <w:t>scale</w:t>
      </w:r>
      <w:r>
        <w:rPr>
          <w:spacing w:val="80"/>
        </w:rPr>
        <w:t> </w:t>
      </w:r>
      <w:r>
        <w:rPr/>
        <w:t>for research in the general population. Текст: электронный // Applied psychological measurement. — 1977. — Т. 3. — № 1. — С. 385–401.</w:t>
      </w:r>
    </w:p>
    <w:p>
      <w:pPr>
        <w:pStyle w:val="Heading4"/>
        <w:numPr>
          <w:ilvl w:val="0"/>
          <w:numId w:val="33"/>
        </w:numPr>
        <w:tabs>
          <w:tab w:pos="928" w:val="left" w:leader="none"/>
          <w:tab w:pos="1697" w:val="left" w:leader="none"/>
        </w:tabs>
        <w:spacing w:line="240" w:lineRule="auto" w:before="2" w:after="0"/>
        <w:ind w:left="928" w:right="562" w:hanging="360"/>
        <w:jc w:val="both"/>
      </w:pPr>
      <w:r>
        <w:rPr/>
        <w:t>Resilience Research Centre. CYRM and ARM user manual. Halifax, NS: Resilience</w:t>
      </w:r>
      <w:r>
        <w:rPr>
          <w:spacing w:val="40"/>
        </w:rPr>
        <w:t> </w:t>
      </w:r>
      <w:r>
        <w:rPr/>
        <w:t>Research</w:t>
      </w:r>
      <w:r>
        <w:rPr>
          <w:spacing w:val="40"/>
        </w:rPr>
        <w:t> </w:t>
      </w:r>
      <w:r>
        <w:rPr/>
        <w:t>Centre,</w:t>
      </w:r>
      <w:r>
        <w:rPr>
          <w:spacing w:val="40"/>
        </w:rPr>
        <w:t> </w:t>
      </w:r>
      <w:r>
        <w:rPr/>
        <w:t>Dalhousie</w:t>
      </w:r>
      <w:r>
        <w:rPr>
          <w:spacing w:val="40"/>
        </w:rPr>
        <w:t> </w:t>
      </w:r>
      <w:r>
        <w:rPr/>
        <w:t>University.</w:t>
      </w:r>
      <w:r>
        <w:rPr>
          <w:spacing w:val="40"/>
        </w:rPr>
        <w:t> </w:t>
      </w:r>
      <w:r>
        <w:rPr/>
        <w:t>—</w:t>
      </w:r>
      <w:r>
        <w:rPr>
          <w:spacing w:val="40"/>
        </w:rPr>
        <w:t> </w:t>
      </w:r>
      <w:r>
        <w:rPr/>
        <w:t>2018.</w:t>
      </w:r>
      <w:r>
        <w:rPr>
          <w:spacing w:val="40"/>
        </w:rPr>
        <w:t> </w:t>
      </w:r>
      <w:r>
        <w:rPr/>
        <w:t>Retrieved from </w:t>
      </w:r>
      <w:hyperlink r:id="rId54">
        <w:r>
          <w:rPr/>
          <w:t>http://www.resilienceresearch.org/</w:t>
        </w:r>
      </w:hyperlink>
    </w:p>
    <w:p>
      <w:pPr>
        <w:pStyle w:val="Heading4"/>
        <w:numPr>
          <w:ilvl w:val="0"/>
          <w:numId w:val="33"/>
        </w:numPr>
        <w:tabs>
          <w:tab w:pos="928" w:val="left" w:leader="none"/>
          <w:tab w:pos="1697" w:val="left" w:leader="none"/>
        </w:tabs>
        <w:spacing w:line="240" w:lineRule="auto" w:before="0" w:after="0"/>
        <w:ind w:left="928" w:right="565" w:hanging="360"/>
        <w:jc w:val="both"/>
      </w:pPr>
      <w:r>
        <w:rPr/>
        <w:t>Reynolds C. R.,</w:t>
      </w:r>
      <w:r>
        <w:rPr>
          <w:spacing w:val="80"/>
        </w:rPr>
        <w:t> </w:t>
      </w:r>
      <w:r>
        <w:rPr/>
        <w:t>Richmond B. O.</w:t>
      </w:r>
      <w:r>
        <w:rPr>
          <w:spacing w:val="80"/>
        </w:rPr>
        <w:t> </w:t>
      </w:r>
      <w:r>
        <w:rPr/>
        <w:t>What</w:t>
      </w:r>
      <w:r>
        <w:rPr>
          <w:spacing w:val="80"/>
        </w:rPr>
        <w:t> </w:t>
      </w:r>
      <w:r>
        <w:rPr/>
        <w:t>I</w:t>
      </w:r>
      <w:r>
        <w:rPr>
          <w:spacing w:val="80"/>
        </w:rPr>
        <w:t> </w:t>
      </w:r>
      <w:r>
        <w:rPr/>
        <w:t>think</w:t>
      </w:r>
      <w:r>
        <w:rPr>
          <w:spacing w:val="80"/>
        </w:rPr>
        <w:t> </w:t>
      </w:r>
      <w:r>
        <w:rPr/>
        <w:t>and</w:t>
      </w:r>
      <w:r>
        <w:rPr>
          <w:spacing w:val="80"/>
        </w:rPr>
        <w:t> </w:t>
      </w:r>
      <w:r>
        <w:rPr/>
        <w:t>feel:</w:t>
      </w:r>
      <w:r>
        <w:rPr>
          <w:spacing w:val="80"/>
        </w:rPr>
        <w:t> </w:t>
      </w:r>
      <w:r>
        <w:rPr/>
        <w:t>A</w:t>
      </w:r>
      <w:r>
        <w:rPr>
          <w:spacing w:val="80"/>
        </w:rPr>
        <w:t> </w:t>
      </w:r>
      <w:r>
        <w:rPr/>
        <w:t>revised measure of children’s manifest anxiety. Journal of Abnormal Child Psychology, 1978. — 6. — pp. 271–280. doi: 10.1007/BF00919131</w:t>
      </w:r>
    </w:p>
    <w:p>
      <w:pPr>
        <w:pStyle w:val="Heading4"/>
        <w:numPr>
          <w:ilvl w:val="0"/>
          <w:numId w:val="33"/>
        </w:numPr>
        <w:tabs>
          <w:tab w:pos="928" w:val="left" w:leader="none"/>
          <w:tab w:pos="1697" w:val="left" w:leader="none"/>
          <w:tab w:pos="4334" w:val="left" w:leader="none"/>
          <w:tab w:pos="6564" w:val="left" w:leader="none"/>
          <w:tab w:pos="8644" w:val="left" w:leader="none"/>
        </w:tabs>
        <w:spacing w:line="240" w:lineRule="auto" w:before="0" w:after="0"/>
        <w:ind w:left="928" w:right="560" w:hanging="360"/>
        <w:jc w:val="both"/>
      </w:pPr>
      <w:r>
        <w:rPr/>
        <w:t>Robinson O.C.,</w:t>
        <w:tab/>
        <w:t>Lopez F.G.,</w:t>
        <w:tab/>
        <w:t>Ramos K.,</w:t>
        <w:tab/>
      </w:r>
      <w:r>
        <w:rPr>
          <w:spacing w:val="-2"/>
        </w:rPr>
        <w:t>Nartova- </w:t>
      </w:r>
      <w:r>
        <w:rPr/>
        <w:t>Bochaver</w:t>
      </w:r>
      <w:r>
        <w:rPr>
          <w:spacing w:val="-1"/>
        </w:rPr>
        <w:t> </w:t>
      </w:r>
      <w:r>
        <w:rPr/>
        <w:t>S.</w:t>
      </w:r>
      <w:r>
        <w:rPr>
          <w:spacing w:val="-3"/>
        </w:rPr>
        <w:t> </w:t>
      </w:r>
      <w:r>
        <w:rPr/>
        <w:t>Authenticity, Social Context, and Well-Being in the United States,</w:t>
      </w:r>
      <w:r>
        <w:rPr>
          <w:spacing w:val="-18"/>
        </w:rPr>
        <w:t> </w:t>
      </w:r>
      <w:r>
        <w:rPr/>
        <w:t>England,</w:t>
      </w:r>
      <w:r>
        <w:rPr>
          <w:spacing w:val="-17"/>
        </w:rPr>
        <w:t> </w:t>
      </w:r>
      <w:r>
        <w:rPr/>
        <w:t>and</w:t>
      </w:r>
      <w:r>
        <w:rPr>
          <w:spacing w:val="-18"/>
        </w:rPr>
        <w:t> </w:t>
      </w:r>
      <w:r>
        <w:rPr/>
        <w:t>Russia:</w:t>
      </w:r>
      <w:r>
        <w:rPr>
          <w:spacing w:val="-17"/>
        </w:rPr>
        <w:t> </w:t>
      </w:r>
      <w:r>
        <w:rPr/>
        <w:t>A</w:t>
      </w:r>
      <w:r>
        <w:rPr>
          <w:spacing w:val="-18"/>
        </w:rPr>
        <w:t> </w:t>
      </w:r>
      <w:r>
        <w:rPr/>
        <w:t>Three</w:t>
      </w:r>
      <w:r>
        <w:rPr>
          <w:spacing w:val="-17"/>
        </w:rPr>
        <w:t> </w:t>
      </w:r>
      <w:r>
        <w:rPr/>
        <w:t>Country</w:t>
      </w:r>
      <w:r>
        <w:rPr>
          <w:spacing w:val="-18"/>
        </w:rPr>
        <w:t> </w:t>
      </w:r>
      <w:r>
        <w:rPr/>
        <w:t>Comparative</w:t>
      </w:r>
      <w:r>
        <w:rPr>
          <w:spacing w:val="-17"/>
        </w:rPr>
        <w:t> </w:t>
      </w:r>
      <w:r>
        <w:rPr/>
        <w:t>Analysis</w:t>
      </w:r>
      <w:r>
        <w:rPr>
          <w:spacing w:val="-18"/>
        </w:rPr>
        <w:t> </w:t>
      </w:r>
      <w:r>
        <w:rPr/>
        <w:t>//</w:t>
      </w:r>
      <w:r>
        <w:rPr>
          <w:spacing w:val="-10"/>
        </w:rPr>
        <w:t> </w:t>
      </w:r>
      <w:r>
        <w:rPr/>
        <w:t>Journal of Cross-Cultural Psychology. — 2013. — Vol.</w:t>
      </w:r>
      <w:r>
        <w:rPr>
          <w:spacing w:val="-3"/>
        </w:rPr>
        <w:t> </w:t>
      </w:r>
      <w:r>
        <w:rPr/>
        <w:t>44. — No.</w:t>
      </w:r>
      <w:r>
        <w:rPr>
          <w:spacing w:val="-2"/>
        </w:rPr>
        <w:t> </w:t>
      </w:r>
      <w:r>
        <w:rPr/>
        <w:t>July. — pp.</w:t>
      </w:r>
      <w:r>
        <w:rPr>
          <w:spacing w:val="-6"/>
        </w:rPr>
        <w:t> </w:t>
      </w:r>
      <w:r>
        <w:rPr/>
        <w:t>719- </w:t>
      </w:r>
      <w:r>
        <w:rPr>
          <w:spacing w:val="-4"/>
        </w:rPr>
        <w:t>737.</w:t>
      </w:r>
    </w:p>
    <w:p>
      <w:pPr>
        <w:pStyle w:val="Heading4"/>
        <w:numPr>
          <w:ilvl w:val="0"/>
          <w:numId w:val="33"/>
        </w:numPr>
        <w:tabs>
          <w:tab w:pos="928" w:val="left" w:leader="none"/>
          <w:tab w:pos="1697" w:val="left" w:leader="none"/>
        </w:tabs>
        <w:spacing w:line="240" w:lineRule="auto" w:before="1" w:after="0"/>
        <w:ind w:left="928" w:right="566" w:hanging="360"/>
        <w:jc w:val="both"/>
      </w:pPr>
      <w:r>
        <w:rPr/>
        <w:t>Rowlison R. T., Felner R. D. Major life events, hassles, and adaptation in adolescence: Confounding in the conceptualization and measurement of life stress</w:t>
      </w:r>
      <w:r>
        <w:rPr>
          <w:spacing w:val="-3"/>
        </w:rPr>
        <w:t> </w:t>
      </w:r>
      <w:r>
        <w:rPr/>
        <w:t>and</w:t>
      </w:r>
      <w:r>
        <w:rPr>
          <w:spacing w:val="-5"/>
        </w:rPr>
        <w:t> </w:t>
      </w:r>
      <w:r>
        <w:rPr/>
        <w:t>adjustment</w:t>
      </w:r>
      <w:r>
        <w:rPr>
          <w:spacing w:val="-5"/>
        </w:rPr>
        <w:t> </w:t>
      </w:r>
      <w:r>
        <w:rPr/>
        <w:t>revisited.</w:t>
      </w:r>
      <w:r>
        <w:rPr>
          <w:spacing w:val="-5"/>
        </w:rPr>
        <w:t> </w:t>
      </w:r>
      <w:r>
        <w:rPr/>
        <w:t>Journal</w:t>
      </w:r>
      <w:r>
        <w:rPr>
          <w:spacing w:val="-7"/>
        </w:rPr>
        <w:t> </w:t>
      </w:r>
      <w:r>
        <w:rPr/>
        <w:t>of</w:t>
      </w:r>
      <w:r>
        <w:rPr>
          <w:spacing w:val="-7"/>
        </w:rPr>
        <w:t> </w:t>
      </w:r>
      <w:r>
        <w:rPr/>
        <w:t>Personality</w:t>
      </w:r>
      <w:r>
        <w:rPr>
          <w:spacing w:val="-8"/>
        </w:rPr>
        <w:t> </w:t>
      </w:r>
      <w:r>
        <w:rPr/>
        <w:t>and</w:t>
      </w:r>
      <w:r>
        <w:rPr>
          <w:spacing w:val="-3"/>
        </w:rPr>
        <w:t> </w:t>
      </w:r>
      <w:r>
        <w:rPr/>
        <w:t>Social</w:t>
      </w:r>
      <w:r>
        <w:rPr>
          <w:spacing w:val="-3"/>
        </w:rPr>
        <w:t> </w:t>
      </w:r>
      <w:r>
        <w:rPr/>
        <w:t>Psychology, 1988. — 55. — pp. 432–444. doi: 10.1037//0022-3514.55.3.432</w:t>
      </w:r>
    </w:p>
    <w:p>
      <w:pPr>
        <w:pStyle w:val="Heading4"/>
        <w:numPr>
          <w:ilvl w:val="0"/>
          <w:numId w:val="33"/>
        </w:numPr>
        <w:tabs>
          <w:tab w:pos="928" w:val="left" w:leader="none"/>
          <w:tab w:pos="1697" w:val="left" w:leader="none"/>
        </w:tabs>
        <w:spacing w:line="240" w:lineRule="auto" w:before="0" w:after="0"/>
        <w:ind w:left="928" w:right="560" w:hanging="360"/>
        <w:jc w:val="both"/>
      </w:pPr>
      <w:r>
        <w:rPr/>
        <w:t>Rutter M.</w:t>
      </w:r>
      <w:r>
        <w:rPr>
          <w:spacing w:val="80"/>
        </w:rPr>
        <w:t> </w:t>
      </w:r>
      <w:r>
        <w:rPr/>
        <w:t>A</w:t>
      </w:r>
      <w:r>
        <w:rPr>
          <w:spacing w:val="80"/>
        </w:rPr>
        <w:t> </w:t>
      </w:r>
      <w:r>
        <w:rPr/>
        <w:t>children's</w:t>
      </w:r>
      <w:r>
        <w:rPr>
          <w:spacing w:val="80"/>
        </w:rPr>
        <w:t> </w:t>
      </w:r>
      <w:r>
        <w:rPr/>
        <w:t>behavior</w:t>
      </w:r>
      <w:r>
        <w:rPr>
          <w:spacing w:val="80"/>
        </w:rPr>
        <w:t> </w:t>
      </w:r>
      <w:r>
        <w:rPr/>
        <w:t>questionnaire</w:t>
      </w:r>
      <w:r>
        <w:rPr>
          <w:spacing w:val="80"/>
        </w:rPr>
        <w:t> </w:t>
      </w:r>
      <w:r>
        <w:rPr/>
        <w:t>for</w:t>
      </w:r>
      <w:r>
        <w:rPr>
          <w:spacing w:val="80"/>
        </w:rPr>
        <w:t> </w:t>
      </w:r>
      <w:r>
        <w:rPr/>
        <w:t>completion</w:t>
      </w:r>
      <w:r>
        <w:rPr>
          <w:spacing w:val="80"/>
        </w:rPr>
        <w:t> </w:t>
      </w:r>
      <w:r>
        <w:rPr/>
        <w:t>by teachers: Preliminary findings. Journal of Child Psychology and Psychiatry.</w:t>
      </w:r>
    </w:p>
    <w:p>
      <w:pPr>
        <w:pStyle w:val="Heading4"/>
        <w:ind w:left="928"/>
      </w:pPr>
      <w:r>
        <w:rPr/>
        <w:t>—</w:t>
      </w:r>
      <w:r>
        <w:rPr>
          <w:spacing w:val="-5"/>
        </w:rPr>
        <w:t> </w:t>
      </w:r>
      <w:r>
        <w:rPr/>
        <w:t>1967.</w:t>
      </w:r>
      <w:r>
        <w:rPr>
          <w:spacing w:val="-2"/>
        </w:rPr>
        <w:t> </w:t>
      </w:r>
      <w:r>
        <w:rPr/>
        <w:t>—</w:t>
      </w:r>
      <w:r>
        <w:rPr>
          <w:spacing w:val="-2"/>
        </w:rPr>
        <w:t> </w:t>
      </w:r>
      <w:r>
        <w:rPr/>
        <w:t>8.</w:t>
      </w:r>
      <w:r>
        <w:rPr>
          <w:spacing w:val="-2"/>
        </w:rPr>
        <w:t> </w:t>
      </w:r>
      <w:r>
        <w:rPr/>
        <w:t>—</w:t>
      </w:r>
      <w:r>
        <w:rPr>
          <w:spacing w:val="-4"/>
        </w:rPr>
        <w:t> </w:t>
      </w:r>
      <w:r>
        <w:rPr/>
        <w:t>pp.1-</w:t>
      </w:r>
      <w:r>
        <w:rPr>
          <w:spacing w:val="-5"/>
        </w:rPr>
        <w:t>11.</w:t>
      </w:r>
    </w:p>
    <w:p>
      <w:pPr>
        <w:pStyle w:val="Heading4"/>
        <w:numPr>
          <w:ilvl w:val="0"/>
          <w:numId w:val="33"/>
        </w:numPr>
        <w:tabs>
          <w:tab w:pos="928" w:val="left" w:leader="none"/>
          <w:tab w:pos="1697" w:val="left" w:leader="none"/>
        </w:tabs>
        <w:spacing w:line="240" w:lineRule="auto" w:before="0" w:after="0"/>
        <w:ind w:left="928" w:right="560" w:hanging="360"/>
        <w:jc w:val="both"/>
      </w:pPr>
      <w:r>
        <w:rPr/>
        <w:t>Sarbhan</w:t>
      </w:r>
      <w:r>
        <w:rPr>
          <w:spacing w:val="-10"/>
        </w:rPr>
        <w:t> </w:t>
      </w:r>
      <w:r>
        <w:rPr/>
        <w:t>Singh,</w:t>
      </w:r>
      <w:r>
        <w:rPr>
          <w:spacing w:val="-12"/>
        </w:rPr>
        <w:t> </w:t>
      </w:r>
      <w:r>
        <w:rPr/>
        <w:t>Rafdzah</w:t>
      </w:r>
      <w:r>
        <w:rPr>
          <w:spacing w:val="-10"/>
        </w:rPr>
        <w:t> </w:t>
      </w:r>
      <w:r>
        <w:rPr/>
        <w:t>Ahmad</w:t>
      </w:r>
      <w:r>
        <w:rPr>
          <w:spacing w:val="-10"/>
        </w:rPr>
        <w:t> </w:t>
      </w:r>
      <w:r>
        <w:rPr/>
        <w:t>Zaki,</w:t>
      </w:r>
      <w:r>
        <w:rPr>
          <w:spacing w:val="-12"/>
        </w:rPr>
        <w:t> </w:t>
      </w:r>
      <w:r>
        <w:rPr/>
        <w:t>Nik</w:t>
      </w:r>
      <w:r>
        <w:rPr>
          <w:spacing w:val="-13"/>
        </w:rPr>
        <w:t> </w:t>
      </w:r>
      <w:r>
        <w:rPr/>
        <w:t>Daliana</w:t>
      </w:r>
      <w:r>
        <w:rPr>
          <w:spacing w:val="-11"/>
        </w:rPr>
        <w:t> </w:t>
      </w:r>
      <w:r>
        <w:rPr/>
        <w:t>Nik</w:t>
      </w:r>
      <w:r>
        <w:rPr>
          <w:spacing w:val="-10"/>
        </w:rPr>
        <w:t> </w:t>
      </w:r>
      <w:r>
        <w:rPr/>
        <w:t>Farid,</w:t>
      </w:r>
      <w:r>
        <w:rPr>
          <w:spacing w:val="-12"/>
        </w:rPr>
        <w:t> </w:t>
      </w:r>
      <w:r>
        <w:rPr/>
        <w:t>Kushilpal Kaur. Reliability analysis of the Malay version of the center for epidemiologic studies-depression scale (CESD) among adolescents in Malaysia / — Текст : электронный</w:t>
      </w:r>
      <w:r>
        <w:rPr>
          <w:spacing w:val="-4"/>
        </w:rPr>
        <w:t> </w:t>
      </w:r>
      <w:r>
        <w:rPr/>
        <w:t>//</w:t>
      </w:r>
      <w:r>
        <w:rPr>
          <w:spacing w:val="-6"/>
        </w:rPr>
        <w:t> </w:t>
      </w:r>
      <w:r>
        <w:rPr/>
        <w:t>Preventive</w:t>
      </w:r>
      <w:r>
        <w:rPr>
          <w:spacing w:val="-3"/>
        </w:rPr>
        <w:t> </w:t>
      </w:r>
      <w:r>
        <w:rPr/>
        <w:t>Medicine</w:t>
      </w:r>
      <w:r>
        <w:rPr>
          <w:spacing w:val="-3"/>
        </w:rPr>
        <w:t> </w:t>
      </w:r>
      <w:r>
        <w:rPr/>
        <w:t>Reports.</w:t>
      </w:r>
      <w:r>
        <w:rPr>
          <w:spacing w:val="-2"/>
        </w:rPr>
        <w:t> </w:t>
      </w:r>
      <w:r>
        <w:rPr/>
        <w:t>—</w:t>
      </w:r>
      <w:r>
        <w:rPr>
          <w:spacing w:val="-6"/>
        </w:rPr>
        <w:t> </w:t>
      </w:r>
      <w:r>
        <w:rPr/>
        <w:t>2021.</w:t>
      </w:r>
      <w:r>
        <w:rPr>
          <w:spacing w:val="-6"/>
        </w:rPr>
        <w:t> </w:t>
      </w:r>
      <w:r>
        <w:rPr/>
        <w:t>—</w:t>
      </w:r>
      <w:r>
        <w:rPr>
          <w:spacing w:val="-3"/>
        </w:rPr>
        <w:t> </w:t>
      </w:r>
      <w:r>
        <w:rPr/>
        <w:t>Т.</w:t>
      </w:r>
      <w:r>
        <w:rPr>
          <w:spacing w:val="-4"/>
        </w:rPr>
        <w:t> </w:t>
      </w:r>
      <w:r>
        <w:rPr/>
        <w:t>24.</w:t>
      </w:r>
      <w:r>
        <w:rPr>
          <w:spacing w:val="-4"/>
        </w:rPr>
        <w:t> </w:t>
      </w:r>
      <w:r>
        <w:rPr/>
        <w:t>—</w:t>
      </w:r>
      <w:r>
        <w:rPr>
          <w:spacing w:val="-4"/>
        </w:rPr>
        <w:t> </w:t>
      </w:r>
      <w:r>
        <w:rPr/>
        <w:t>С.</w:t>
      </w:r>
      <w:r>
        <w:rPr>
          <w:spacing w:val="-6"/>
        </w:rPr>
        <w:t> </w:t>
      </w:r>
      <w:r>
        <w:rPr/>
        <w:t>1015- </w:t>
      </w:r>
      <w:r>
        <w:rPr>
          <w:spacing w:val="-4"/>
        </w:rPr>
        <w:t>1085.</w:t>
      </w:r>
    </w:p>
    <w:p>
      <w:pPr>
        <w:pStyle w:val="Heading4"/>
        <w:numPr>
          <w:ilvl w:val="0"/>
          <w:numId w:val="33"/>
        </w:numPr>
        <w:tabs>
          <w:tab w:pos="928" w:val="left" w:leader="none"/>
          <w:tab w:pos="1697" w:val="left" w:leader="none"/>
        </w:tabs>
        <w:spacing w:line="240" w:lineRule="auto" w:before="1" w:after="0"/>
        <w:ind w:left="928" w:right="562" w:hanging="360"/>
        <w:jc w:val="both"/>
      </w:pPr>
      <w:r>
        <w:rPr/>
        <w:t>Sargent L. R.</w:t>
      </w:r>
      <w:r>
        <w:rPr>
          <w:spacing w:val="40"/>
        </w:rPr>
        <w:t> </w:t>
      </w:r>
      <w:r>
        <w:rPr/>
        <w:t>Social</w:t>
      </w:r>
      <w:r>
        <w:rPr>
          <w:spacing w:val="40"/>
        </w:rPr>
        <w:t> </w:t>
      </w:r>
      <w:r>
        <w:rPr/>
        <w:t>Skills</w:t>
      </w:r>
      <w:r>
        <w:rPr>
          <w:spacing w:val="40"/>
        </w:rPr>
        <w:t> </w:t>
      </w:r>
      <w:r>
        <w:rPr/>
        <w:t>for</w:t>
      </w:r>
      <w:r>
        <w:rPr>
          <w:spacing w:val="40"/>
        </w:rPr>
        <w:t> </w:t>
      </w:r>
      <w:r>
        <w:rPr/>
        <w:t>School</w:t>
      </w:r>
      <w:r>
        <w:rPr>
          <w:spacing w:val="40"/>
        </w:rPr>
        <w:t> </w:t>
      </w:r>
      <w:r>
        <w:rPr/>
        <w:t>and</w:t>
      </w:r>
      <w:r>
        <w:rPr>
          <w:spacing w:val="40"/>
        </w:rPr>
        <w:t> </w:t>
      </w:r>
      <w:r>
        <w:rPr/>
        <w:t>Community.</w:t>
      </w:r>
      <w:r>
        <w:rPr>
          <w:spacing w:val="40"/>
        </w:rPr>
        <w:t> </w:t>
      </w:r>
      <w:r>
        <w:rPr/>
        <w:t>Reston,</w:t>
      </w:r>
      <w:r>
        <w:rPr>
          <w:spacing w:val="40"/>
        </w:rPr>
        <w:t> </w:t>
      </w:r>
      <w:r>
        <w:rPr/>
        <w:t>VA: Division of Mental Retardation, Council</w:t>
      </w:r>
      <w:r>
        <w:rPr>
          <w:spacing w:val="25"/>
        </w:rPr>
        <w:t> </w:t>
      </w:r>
      <w:r>
        <w:rPr/>
        <w:t>for Exceptional Children, 1991. —</w:t>
      </w:r>
    </w:p>
    <w:p>
      <w:pPr>
        <w:pStyle w:val="Heading4"/>
        <w:spacing w:line="321" w:lineRule="exact"/>
        <w:ind w:left="928"/>
      </w:pPr>
      <w:r>
        <w:rPr/>
        <w:t>pp.</w:t>
      </w:r>
      <w:r>
        <w:rPr>
          <w:spacing w:val="-6"/>
        </w:rPr>
        <w:t> </w:t>
      </w:r>
      <w:r>
        <w:rPr>
          <w:spacing w:val="-2"/>
        </w:rPr>
        <w:t>269‐273.</w:t>
      </w:r>
    </w:p>
    <w:p>
      <w:pPr>
        <w:pStyle w:val="Heading4"/>
        <w:numPr>
          <w:ilvl w:val="0"/>
          <w:numId w:val="33"/>
        </w:numPr>
        <w:tabs>
          <w:tab w:pos="928" w:val="left" w:leader="none"/>
          <w:tab w:pos="1697" w:val="left" w:leader="none"/>
        </w:tabs>
        <w:spacing w:line="240" w:lineRule="auto" w:before="0" w:after="0"/>
        <w:ind w:left="928" w:right="566" w:hanging="360"/>
        <w:jc w:val="both"/>
      </w:pPr>
      <w:r>
        <w:rPr/>
        <w:t>Sarkadi A. et al. Is the Refugee Health Screener a Useful Tool when Screening</w:t>
      </w:r>
      <w:r>
        <w:rPr>
          <w:spacing w:val="-10"/>
        </w:rPr>
        <w:t> </w:t>
      </w:r>
      <w:r>
        <w:rPr/>
        <w:t>14-</w:t>
      </w:r>
      <w:r>
        <w:rPr>
          <w:spacing w:val="-11"/>
        </w:rPr>
        <w:t> </w:t>
      </w:r>
      <w:r>
        <w:rPr/>
        <w:t>to</w:t>
      </w:r>
      <w:r>
        <w:rPr>
          <w:spacing w:val="-8"/>
        </w:rPr>
        <w:t> </w:t>
      </w:r>
      <w:r>
        <w:rPr/>
        <w:t>18-Year-Old</w:t>
      </w:r>
      <w:r>
        <w:rPr>
          <w:spacing w:val="-8"/>
        </w:rPr>
        <w:t> </w:t>
      </w:r>
      <w:r>
        <w:rPr/>
        <w:t>Refugee</w:t>
      </w:r>
      <w:r>
        <w:rPr>
          <w:spacing w:val="-8"/>
        </w:rPr>
        <w:t> </w:t>
      </w:r>
      <w:r>
        <w:rPr/>
        <w:t>Adolescents</w:t>
      </w:r>
      <w:r>
        <w:rPr>
          <w:spacing w:val="-8"/>
        </w:rPr>
        <w:t> </w:t>
      </w:r>
      <w:r>
        <w:rPr/>
        <w:t>for</w:t>
      </w:r>
      <w:r>
        <w:rPr>
          <w:spacing w:val="-9"/>
        </w:rPr>
        <w:t> </w:t>
      </w:r>
      <w:r>
        <w:rPr/>
        <w:t>Emotional</w:t>
      </w:r>
      <w:r>
        <w:rPr>
          <w:spacing w:val="-8"/>
        </w:rPr>
        <w:t> </w:t>
      </w:r>
      <w:r>
        <w:rPr/>
        <w:t>Distress?</w:t>
      </w:r>
      <w:r>
        <w:rPr>
          <w:spacing w:val="-6"/>
        </w:rPr>
        <w:t> </w:t>
      </w:r>
      <w:r>
        <w:rPr/>
        <w:t>// Journal of Refugee Studies. — 2020. — Vol. 32. — Special Issue No. 1.</w:t>
      </w:r>
    </w:p>
    <w:p>
      <w:pPr>
        <w:pStyle w:val="Heading4"/>
        <w:numPr>
          <w:ilvl w:val="0"/>
          <w:numId w:val="33"/>
        </w:numPr>
        <w:tabs>
          <w:tab w:pos="928" w:val="left" w:leader="none"/>
          <w:tab w:pos="1697" w:val="left" w:leader="none"/>
        </w:tabs>
        <w:spacing w:line="240" w:lineRule="auto" w:before="0" w:after="0"/>
        <w:ind w:left="928" w:right="561" w:hanging="360"/>
        <w:jc w:val="both"/>
      </w:pPr>
      <w:r>
        <w:rPr/>
        <w:t>Schnettlera В.,</w:t>
      </w:r>
      <w:r>
        <w:rPr>
          <w:spacing w:val="80"/>
        </w:rPr>
        <w:t>   </w:t>
      </w:r>
      <w:r>
        <w:rPr/>
        <w:t>Orellanabc L.,</w:t>
      </w:r>
      <w:r>
        <w:rPr>
          <w:spacing w:val="80"/>
        </w:rPr>
        <w:t>   </w:t>
      </w:r>
      <w:r>
        <w:rPr/>
        <w:t>Sepúlvedabc J.,</w:t>
      </w:r>
      <w:r>
        <w:rPr>
          <w:spacing w:val="80"/>
        </w:rPr>
        <w:t>   </w:t>
      </w:r>
      <w:r>
        <w:rPr/>
        <w:t>Mirandaa H., Grunertd K., Lobose</w:t>
      </w:r>
      <w:r>
        <w:rPr>
          <w:spacing w:val="-1"/>
        </w:rPr>
        <w:t> </w:t>
      </w:r>
      <w:r>
        <w:rPr/>
        <w:t>G., Huechec C. Psychometric properties of the Multidimensional Students’ Life Satisfaction Scale in a sample of Chilean university students. Suma Psicologica. — 2017. — Vol.24. — pp. 97— 106. doi: 10.1016/j.sumpsi.2017.06.001</w:t>
      </w:r>
    </w:p>
    <w:p>
      <w:pPr>
        <w:pStyle w:val="Heading4"/>
        <w:numPr>
          <w:ilvl w:val="0"/>
          <w:numId w:val="33"/>
        </w:numPr>
        <w:tabs>
          <w:tab w:pos="928" w:val="left" w:leader="none"/>
          <w:tab w:pos="1697" w:val="left" w:leader="none"/>
        </w:tabs>
        <w:spacing w:line="240" w:lineRule="auto" w:before="0" w:after="0"/>
        <w:ind w:left="928" w:right="560" w:hanging="360"/>
        <w:jc w:val="both"/>
      </w:pPr>
      <w:r>
        <w:rPr/>
        <w:t>Shafer A. B. Meta-analysis of the factor structures of four depression questionnaires:</w:t>
      </w:r>
      <w:r>
        <w:rPr>
          <w:spacing w:val="-3"/>
        </w:rPr>
        <w:t> </w:t>
      </w:r>
      <w:r>
        <w:rPr/>
        <w:t>Beck,</w:t>
      </w:r>
      <w:r>
        <w:rPr>
          <w:spacing w:val="-7"/>
        </w:rPr>
        <w:t> </w:t>
      </w:r>
      <w:r>
        <w:rPr/>
        <w:t>CES-D,</w:t>
      </w:r>
      <w:r>
        <w:rPr>
          <w:spacing w:val="-5"/>
        </w:rPr>
        <w:t> </w:t>
      </w:r>
      <w:r>
        <w:rPr/>
        <w:t>Hamilton,</w:t>
      </w:r>
      <w:r>
        <w:rPr>
          <w:spacing w:val="-5"/>
        </w:rPr>
        <w:t> </w:t>
      </w:r>
      <w:r>
        <w:rPr/>
        <w:t>and</w:t>
      </w:r>
      <w:r>
        <w:rPr>
          <w:spacing w:val="-3"/>
        </w:rPr>
        <w:t> </w:t>
      </w:r>
      <w:r>
        <w:rPr/>
        <w:t>Zung.</w:t>
      </w:r>
      <w:r>
        <w:rPr>
          <w:spacing w:val="-2"/>
        </w:rPr>
        <w:t> </w:t>
      </w:r>
      <w:r>
        <w:rPr/>
        <w:t>—</w:t>
      </w:r>
      <w:r>
        <w:rPr>
          <w:spacing w:val="-5"/>
        </w:rPr>
        <w:t> </w:t>
      </w:r>
      <w:r>
        <w:rPr/>
        <w:t>Текст</w:t>
      </w:r>
      <w:r>
        <w:rPr>
          <w:spacing w:val="-4"/>
        </w:rPr>
        <w:t> </w:t>
      </w:r>
      <w:r>
        <w:rPr/>
        <w:t>электронный</w:t>
      </w:r>
      <w:r>
        <w:rPr>
          <w:spacing w:val="-6"/>
        </w:rPr>
        <w:t> </w:t>
      </w:r>
      <w:r>
        <w:rPr/>
        <w:t>// Journal of</w:t>
      </w:r>
      <w:r>
        <w:rPr>
          <w:spacing w:val="-1"/>
        </w:rPr>
        <w:t> </w:t>
      </w:r>
      <w:r>
        <w:rPr/>
        <w:t>clinical psychology. —</w:t>
      </w:r>
      <w:r>
        <w:rPr>
          <w:spacing w:val="-2"/>
        </w:rPr>
        <w:t> </w:t>
      </w:r>
      <w:r>
        <w:rPr/>
        <w:t>2006.</w:t>
      </w:r>
      <w:r>
        <w:rPr>
          <w:spacing w:val="-3"/>
        </w:rPr>
        <w:t> </w:t>
      </w:r>
      <w:r>
        <w:rPr/>
        <w:t>—</w:t>
      </w:r>
      <w:r>
        <w:rPr>
          <w:spacing w:val="-2"/>
        </w:rPr>
        <w:t> </w:t>
      </w:r>
      <w:r>
        <w:rPr/>
        <w:t>Т.</w:t>
      </w:r>
      <w:r>
        <w:rPr>
          <w:spacing w:val="-2"/>
        </w:rPr>
        <w:t> </w:t>
      </w:r>
      <w:r>
        <w:rPr/>
        <w:t>62.</w:t>
      </w:r>
      <w:r>
        <w:rPr>
          <w:spacing w:val="-2"/>
        </w:rPr>
        <w:t> </w:t>
      </w:r>
      <w:r>
        <w:rPr/>
        <w:t>—</w:t>
      </w:r>
      <w:r>
        <w:rPr>
          <w:spacing w:val="-2"/>
        </w:rPr>
        <w:t> </w:t>
      </w:r>
      <w:r>
        <w:rPr/>
        <w:t>№</w:t>
      </w:r>
      <w:r>
        <w:rPr>
          <w:spacing w:val="-1"/>
        </w:rPr>
        <w:t> </w:t>
      </w:r>
      <w:r>
        <w:rPr/>
        <w:t>1.</w:t>
      </w:r>
      <w:r>
        <w:rPr>
          <w:spacing w:val="-1"/>
        </w:rPr>
        <w:t> </w:t>
      </w:r>
      <w:r>
        <w:rPr/>
        <w:t>— С.</w:t>
      </w:r>
      <w:r>
        <w:rPr>
          <w:spacing w:val="-2"/>
        </w:rPr>
        <w:t> </w:t>
      </w:r>
      <w:r>
        <w:rPr/>
        <w:t>123–146.</w:t>
      </w:r>
      <w:r>
        <w:rPr>
          <w:spacing w:val="-2"/>
        </w:rPr>
        <w:t> </w:t>
      </w:r>
      <w:r>
        <w:rPr/>
        <w:t>— URL: </w:t>
      </w:r>
      <w:hyperlink r:id="rId55">
        <w:r>
          <w:rPr/>
          <w:t>https://onlinelibrary.wiley.com/doi/abs/10.1002/jclp.20213</w:t>
        </w:r>
      </w:hyperlink>
    </w:p>
    <w:p>
      <w:pPr>
        <w:pStyle w:val="Heading4"/>
        <w:numPr>
          <w:ilvl w:val="0"/>
          <w:numId w:val="33"/>
        </w:numPr>
        <w:tabs>
          <w:tab w:pos="928" w:val="left" w:leader="none"/>
          <w:tab w:pos="1697" w:val="left" w:leader="none"/>
        </w:tabs>
        <w:spacing w:line="240" w:lineRule="auto" w:before="1" w:after="0"/>
        <w:ind w:left="928" w:right="559" w:hanging="360"/>
        <w:jc w:val="both"/>
      </w:pPr>
      <w:r>
        <w:rPr/>
        <w:t>Skriner L. C., Chu B. C. Cross-ethnic measurement invariance of the SCARED</w:t>
      </w:r>
      <w:r>
        <w:rPr>
          <w:spacing w:val="-19"/>
        </w:rPr>
        <w:t> </w:t>
      </w:r>
      <w:r>
        <w:rPr/>
        <w:t>and</w:t>
      </w:r>
      <w:r>
        <w:rPr>
          <w:spacing w:val="-18"/>
        </w:rPr>
        <w:t> </w:t>
      </w:r>
      <w:r>
        <w:rPr/>
        <w:t>CES-D</w:t>
      </w:r>
      <w:r>
        <w:rPr>
          <w:spacing w:val="-19"/>
        </w:rPr>
        <w:t> </w:t>
      </w:r>
      <w:r>
        <w:rPr/>
        <w:t>in</w:t>
      </w:r>
      <w:r>
        <w:rPr>
          <w:spacing w:val="-17"/>
        </w:rPr>
        <w:t> </w:t>
      </w:r>
      <w:r>
        <w:rPr/>
        <w:t>a</w:t>
      </w:r>
      <w:r>
        <w:rPr>
          <w:spacing w:val="-18"/>
        </w:rPr>
        <w:t> </w:t>
      </w:r>
      <w:r>
        <w:rPr/>
        <w:t>youth</w:t>
      </w:r>
      <w:r>
        <w:rPr>
          <w:spacing w:val="-19"/>
        </w:rPr>
        <w:t> </w:t>
      </w:r>
      <w:r>
        <w:rPr/>
        <w:t>sample</w:t>
      </w:r>
      <w:r>
        <w:rPr>
          <w:spacing w:val="-18"/>
        </w:rPr>
        <w:t> </w:t>
      </w:r>
      <w:r>
        <w:rPr/>
        <w:t>//</w:t>
      </w:r>
      <w:r>
        <w:rPr>
          <w:spacing w:val="-18"/>
        </w:rPr>
        <w:t> </w:t>
      </w:r>
      <w:r>
        <w:rPr/>
        <w:t>Psychological</w:t>
      </w:r>
      <w:r>
        <w:rPr>
          <w:spacing w:val="-17"/>
        </w:rPr>
        <w:t> </w:t>
      </w:r>
      <w:r>
        <w:rPr/>
        <w:t>Assessment.</w:t>
      </w:r>
      <w:r>
        <w:rPr>
          <w:spacing w:val="-18"/>
        </w:rPr>
        <w:t> </w:t>
      </w:r>
      <w:r>
        <w:rPr/>
        <w:t>—</w:t>
      </w:r>
      <w:r>
        <w:rPr>
          <w:spacing w:val="-18"/>
        </w:rPr>
        <w:t> </w:t>
      </w:r>
      <w:r>
        <w:rPr/>
        <w:t>2014.</w:t>
      </w:r>
    </w:p>
    <w:p>
      <w:pPr>
        <w:pStyle w:val="Heading4"/>
        <w:spacing w:line="321" w:lineRule="exact"/>
        <w:ind w:left="928"/>
      </w:pPr>
      <w:r>
        <w:rPr/>
        <w:t>—</w:t>
      </w:r>
      <w:r>
        <w:rPr>
          <w:spacing w:val="-2"/>
        </w:rPr>
        <w:t> </w:t>
      </w:r>
      <w:r>
        <w:rPr/>
        <w:t>Т.</w:t>
      </w:r>
      <w:r>
        <w:rPr>
          <w:spacing w:val="-1"/>
        </w:rPr>
        <w:t> </w:t>
      </w:r>
      <w:r>
        <w:rPr/>
        <w:t>26.</w:t>
      </w:r>
      <w:r>
        <w:rPr>
          <w:spacing w:val="-1"/>
        </w:rPr>
        <w:t> </w:t>
      </w:r>
      <w:r>
        <w:rPr/>
        <w:t>—</w:t>
      </w:r>
      <w:r>
        <w:rPr>
          <w:spacing w:val="-1"/>
        </w:rPr>
        <w:t> </w:t>
      </w:r>
      <w:r>
        <w:rPr/>
        <w:t>№.</w:t>
      </w:r>
      <w:r>
        <w:rPr>
          <w:spacing w:val="-4"/>
        </w:rPr>
        <w:t> </w:t>
      </w:r>
      <w:r>
        <w:rPr/>
        <w:t>1.</w:t>
      </w:r>
      <w:r>
        <w:rPr>
          <w:spacing w:val="-1"/>
        </w:rPr>
        <w:t> </w:t>
      </w:r>
      <w:r>
        <w:rPr/>
        <w:t>—</w:t>
      </w:r>
      <w:r>
        <w:rPr>
          <w:spacing w:val="-3"/>
        </w:rPr>
        <w:t> </w:t>
      </w:r>
      <w:r>
        <w:rPr/>
        <w:t>С.</w:t>
      </w:r>
      <w:r>
        <w:rPr>
          <w:spacing w:val="-2"/>
        </w:rPr>
        <w:t> </w:t>
      </w:r>
      <w:r>
        <w:rPr>
          <w:spacing w:val="-4"/>
        </w:rPr>
        <w:t>332.</w:t>
      </w:r>
    </w:p>
    <w:p>
      <w:pPr>
        <w:pStyle w:val="Heading4"/>
        <w:spacing w:after="0" w:line="321" w:lineRule="exact"/>
        <w:sectPr>
          <w:pgSz w:w="11910" w:h="16840"/>
          <w:pgMar w:header="0" w:footer="970" w:top="1040" w:bottom="1220" w:left="1417" w:right="283"/>
        </w:sectPr>
      </w:pPr>
    </w:p>
    <w:p>
      <w:pPr>
        <w:pStyle w:val="Heading4"/>
        <w:numPr>
          <w:ilvl w:val="0"/>
          <w:numId w:val="33"/>
        </w:numPr>
        <w:tabs>
          <w:tab w:pos="928" w:val="left" w:leader="none"/>
          <w:tab w:pos="1697" w:val="left" w:leader="none"/>
        </w:tabs>
        <w:spacing w:line="240" w:lineRule="auto" w:before="67" w:after="0"/>
        <w:ind w:left="928" w:right="562" w:hanging="360"/>
        <w:jc w:val="both"/>
      </w:pPr>
      <w:r>
        <w:rPr/>
        <w:t>Steinmayr R., Dinger F., Spinath B. Motivation as a Mediator of Social Disparities in Academic Achievement // European Journal of Personality. — 2012. — Vol. 26. — pp. 335–349.</w:t>
      </w:r>
    </w:p>
    <w:p>
      <w:pPr>
        <w:pStyle w:val="Heading4"/>
        <w:numPr>
          <w:ilvl w:val="0"/>
          <w:numId w:val="33"/>
        </w:numPr>
        <w:tabs>
          <w:tab w:pos="928" w:val="left" w:leader="none"/>
          <w:tab w:pos="1697" w:val="left" w:leader="none"/>
        </w:tabs>
        <w:spacing w:line="240" w:lineRule="auto" w:before="2" w:after="0"/>
        <w:ind w:left="928" w:right="564" w:hanging="360"/>
        <w:jc w:val="both"/>
      </w:pPr>
      <w:r>
        <w:rPr/>
        <w:t>Steinmayr R., Spinath B. Konstruktion und Validierung einer Skala zur Erfassung subjektiver schulischer Werte (SESSW) [construction and validation of a scale for the assessment of school-related values] // Diagnostica. — 2010. — Vol 56. — pp. 195–211.</w:t>
      </w:r>
    </w:p>
    <w:p>
      <w:pPr>
        <w:pStyle w:val="Heading4"/>
        <w:numPr>
          <w:ilvl w:val="0"/>
          <w:numId w:val="33"/>
        </w:numPr>
        <w:tabs>
          <w:tab w:pos="928" w:val="left" w:leader="none"/>
          <w:tab w:pos="1697" w:val="left" w:leader="none"/>
        </w:tabs>
        <w:spacing w:line="240" w:lineRule="auto" w:before="1" w:after="0"/>
        <w:ind w:left="928" w:right="560" w:hanging="360"/>
        <w:jc w:val="both"/>
      </w:pPr>
      <w:r>
        <w:rPr/>
        <w:t>Steinmayr R.,</w:t>
      </w:r>
      <w:r>
        <w:rPr>
          <w:spacing w:val="40"/>
        </w:rPr>
        <w:t>  </w:t>
      </w:r>
      <w:r>
        <w:rPr/>
        <w:t>Weidinger A. F.,</w:t>
      </w:r>
      <w:r>
        <w:rPr>
          <w:spacing w:val="80"/>
          <w:w w:val="150"/>
        </w:rPr>
        <w:t> </w:t>
      </w:r>
      <w:r>
        <w:rPr/>
        <w:t>Schwinger M.,</w:t>
      </w:r>
      <w:r>
        <w:rPr>
          <w:spacing w:val="80"/>
          <w:w w:val="150"/>
        </w:rPr>
        <w:t> </w:t>
      </w:r>
      <w:r>
        <w:rPr/>
        <w:t>Spinath B.</w:t>
      </w:r>
      <w:r>
        <w:rPr>
          <w:spacing w:val="80"/>
          <w:w w:val="150"/>
        </w:rPr>
        <w:t> </w:t>
      </w:r>
      <w:r>
        <w:rPr/>
        <w:t>The Importance of Students’ Motivation for Their Academic Achievement — Replicating and Extending Previous Findings // Front.</w:t>
      </w:r>
      <w:r>
        <w:rPr>
          <w:spacing w:val="26"/>
        </w:rPr>
        <w:t> </w:t>
      </w:r>
      <w:r>
        <w:rPr/>
        <w:t>Psychol. — 2019. —</w:t>
      </w:r>
    </w:p>
    <w:p>
      <w:pPr>
        <w:pStyle w:val="Heading4"/>
        <w:spacing w:line="321" w:lineRule="exact"/>
        <w:ind w:left="928"/>
      </w:pPr>
      <w:r>
        <w:rPr/>
        <w:t>10.</w:t>
      </w:r>
      <w:r>
        <w:rPr>
          <w:spacing w:val="-5"/>
        </w:rPr>
        <w:t> </w:t>
      </w:r>
      <w:r>
        <w:rPr/>
        <w:t>—</w:t>
      </w:r>
      <w:r>
        <w:rPr>
          <w:spacing w:val="-4"/>
        </w:rPr>
        <w:t> </w:t>
      </w:r>
      <w:r>
        <w:rPr/>
        <w:t>1730 </w:t>
      </w:r>
      <w:r>
        <w:rPr>
          <w:spacing w:val="-5"/>
        </w:rPr>
        <w:t>p.</w:t>
      </w:r>
    </w:p>
    <w:p>
      <w:pPr>
        <w:pStyle w:val="Heading4"/>
        <w:numPr>
          <w:ilvl w:val="0"/>
          <w:numId w:val="33"/>
        </w:numPr>
        <w:tabs>
          <w:tab w:pos="928" w:val="left" w:leader="none"/>
          <w:tab w:pos="1697" w:val="left" w:leader="none"/>
        </w:tabs>
        <w:spacing w:line="240" w:lineRule="auto" w:before="0" w:after="0"/>
        <w:ind w:left="928" w:right="559" w:hanging="360"/>
        <w:jc w:val="both"/>
      </w:pPr>
      <w:r>
        <w:rPr/>
        <w:t>Stewart-Brown</w:t>
      </w:r>
      <w:r>
        <w:rPr>
          <w:spacing w:val="-2"/>
        </w:rPr>
        <w:t> </w:t>
      </w:r>
      <w:r>
        <w:rPr/>
        <w:t>S.,</w:t>
      </w:r>
      <w:r>
        <w:rPr>
          <w:spacing w:val="80"/>
          <w:w w:val="150"/>
        </w:rPr>
        <w:t> </w:t>
      </w:r>
      <w:r>
        <w:rPr/>
        <w:t>Tennant</w:t>
      </w:r>
      <w:r>
        <w:rPr>
          <w:spacing w:val="-1"/>
        </w:rPr>
        <w:t> </w:t>
      </w:r>
      <w:r>
        <w:rPr/>
        <w:t>A.,</w:t>
      </w:r>
      <w:r>
        <w:rPr>
          <w:spacing w:val="80"/>
          <w:w w:val="150"/>
        </w:rPr>
        <w:t> </w:t>
      </w:r>
      <w:r>
        <w:rPr/>
        <w:t>Tennant</w:t>
      </w:r>
      <w:r>
        <w:rPr>
          <w:spacing w:val="-2"/>
        </w:rPr>
        <w:t> </w:t>
      </w:r>
      <w:r>
        <w:rPr/>
        <w:t>R.,</w:t>
      </w:r>
      <w:r>
        <w:rPr>
          <w:spacing w:val="80"/>
          <w:w w:val="150"/>
        </w:rPr>
        <w:t> </w:t>
      </w:r>
      <w:r>
        <w:rPr/>
        <w:t>Platt</w:t>
      </w:r>
      <w:r>
        <w:rPr>
          <w:spacing w:val="-1"/>
        </w:rPr>
        <w:t> </w:t>
      </w:r>
      <w:r>
        <w:rPr/>
        <w:t>S.,</w:t>
      </w:r>
      <w:r>
        <w:rPr>
          <w:spacing w:val="80"/>
          <w:w w:val="150"/>
        </w:rPr>
        <w:t> </w:t>
      </w:r>
      <w:r>
        <w:rPr/>
        <w:t>Parkinson</w:t>
      </w:r>
      <w:r>
        <w:rPr>
          <w:spacing w:val="-3"/>
        </w:rPr>
        <w:t> </w:t>
      </w:r>
      <w:r>
        <w:rPr/>
        <w:t>J.,</w:t>
      </w:r>
      <w:r>
        <w:rPr>
          <w:spacing w:val="-3"/>
        </w:rPr>
        <w:t> </w:t>
      </w:r>
      <w:r>
        <w:rPr/>
        <w:t>Weich S. Internal construct validity of the Warwick-Edinburgh mental well- being scale (WEMWBS): a Rasch analysis using data from the Scottish health education</w:t>
      </w:r>
      <w:r>
        <w:rPr>
          <w:spacing w:val="-7"/>
        </w:rPr>
        <w:t> </w:t>
      </w:r>
      <w:r>
        <w:rPr/>
        <w:t>population</w:t>
      </w:r>
      <w:r>
        <w:rPr>
          <w:spacing w:val="-7"/>
        </w:rPr>
        <w:t> </w:t>
      </w:r>
      <w:r>
        <w:rPr/>
        <w:t>survey.</w:t>
      </w:r>
      <w:r>
        <w:rPr>
          <w:spacing w:val="-2"/>
        </w:rPr>
        <w:t> </w:t>
      </w:r>
      <w:r>
        <w:rPr/>
        <w:t>Health</w:t>
      </w:r>
      <w:r>
        <w:rPr>
          <w:spacing w:val="-5"/>
        </w:rPr>
        <w:t> </w:t>
      </w:r>
      <w:r>
        <w:rPr/>
        <w:t>and</w:t>
      </w:r>
      <w:r>
        <w:rPr>
          <w:spacing w:val="-7"/>
        </w:rPr>
        <w:t> </w:t>
      </w:r>
      <w:r>
        <w:rPr/>
        <w:t>quality</w:t>
      </w:r>
      <w:r>
        <w:rPr>
          <w:spacing w:val="-9"/>
        </w:rPr>
        <w:t> </w:t>
      </w:r>
      <w:r>
        <w:rPr/>
        <w:t>of</w:t>
      </w:r>
      <w:r>
        <w:rPr>
          <w:spacing w:val="-5"/>
        </w:rPr>
        <w:t> </w:t>
      </w:r>
      <w:r>
        <w:rPr/>
        <w:t>life</w:t>
      </w:r>
      <w:r>
        <w:rPr>
          <w:spacing w:val="-5"/>
        </w:rPr>
        <w:t> </w:t>
      </w:r>
      <w:r>
        <w:rPr/>
        <w:t>outcomes. —</w:t>
      </w:r>
      <w:r>
        <w:rPr>
          <w:spacing w:val="-5"/>
        </w:rPr>
        <w:t> </w:t>
      </w:r>
      <w:r>
        <w:rPr/>
        <w:t>2009.</w:t>
      </w:r>
      <w:r>
        <w:rPr>
          <w:spacing w:val="-8"/>
        </w:rPr>
        <w:t> </w:t>
      </w:r>
      <w:r>
        <w:rPr/>
        <w:t>—</w:t>
      </w:r>
    </w:p>
    <w:p>
      <w:pPr>
        <w:pStyle w:val="Heading4"/>
        <w:spacing w:line="322" w:lineRule="exact" w:before="1"/>
        <w:ind w:left="928"/>
      </w:pPr>
      <w:r>
        <w:rPr/>
        <w:t>7(1).</w:t>
      </w:r>
      <w:r>
        <w:rPr>
          <w:spacing w:val="-5"/>
        </w:rPr>
        <w:t> </w:t>
      </w:r>
      <w:r>
        <w:rPr/>
        <w:t>—</w:t>
      </w:r>
      <w:r>
        <w:rPr>
          <w:spacing w:val="-2"/>
        </w:rPr>
        <w:t> </w:t>
      </w:r>
      <w:r>
        <w:rPr/>
        <w:t>pp.</w:t>
      </w:r>
      <w:r>
        <w:rPr>
          <w:spacing w:val="-2"/>
        </w:rPr>
        <w:t> </w:t>
      </w:r>
      <w:r>
        <w:rPr>
          <w:spacing w:val="-4"/>
        </w:rPr>
        <w:t>1–8.</w:t>
      </w:r>
    </w:p>
    <w:p>
      <w:pPr>
        <w:pStyle w:val="Heading4"/>
        <w:numPr>
          <w:ilvl w:val="0"/>
          <w:numId w:val="33"/>
        </w:numPr>
        <w:tabs>
          <w:tab w:pos="928" w:val="left" w:leader="none"/>
          <w:tab w:pos="1697" w:val="left" w:leader="none"/>
        </w:tabs>
        <w:spacing w:line="240" w:lineRule="auto" w:before="0" w:after="0"/>
        <w:ind w:left="928" w:right="563" w:hanging="360"/>
        <w:jc w:val="both"/>
      </w:pPr>
      <w:r>
        <w:rPr/>
        <w:t>Suarez-Morales L.,</w:t>
      </w:r>
      <w:r>
        <w:rPr>
          <w:spacing w:val="80"/>
        </w:rPr>
        <w:t> </w:t>
      </w:r>
      <w:r>
        <w:rPr/>
        <w:t>Dillon F.,</w:t>
      </w:r>
      <w:r>
        <w:rPr>
          <w:spacing w:val="80"/>
        </w:rPr>
        <w:t> </w:t>
      </w:r>
      <w:r>
        <w:rPr/>
        <w:t>Szapocznik J.</w:t>
      </w:r>
      <w:r>
        <w:rPr>
          <w:spacing w:val="80"/>
        </w:rPr>
        <w:t> </w:t>
      </w:r>
      <w:r>
        <w:rPr/>
        <w:t>Validation</w:t>
      </w:r>
      <w:r>
        <w:rPr>
          <w:spacing w:val="80"/>
        </w:rPr>
        <w:t> </w:t>
      </w:r>
      <w:r>
        <w:rPr/>
        <w:t>of</w:t>
      </w:r>
      <w:r>
        <w:rPr>
          <w:spacing w:val="80"/>
        </w:rPr>
        <w:t> </w:t>
      </w:r>
      <w:r>
        <w:rPr/>
        <w:t>the Acculturative Stress Inventory for Children. Cultural Diversity and Ethnic Minority Psychology. — 2007. — Vol. 13. — No. 3. — pp. 216–224. doi: </w:t>
      </w:r>
      <w:r>
        <w:rPr>
          <w:spacing w:val="-2"/>
        </w:rPr>
        <w:t>10.1037/1099-9809.13.3.216</w:t>
      </w:r>
    </w:p>
    <w:p>
      <w:pPr>
        <w:pStyle w:val="Heading4"/>
        <w:numPr>
          <w:ilvl w:val="0"/>
          <w:numId w:val="33"/>
        </w:numPr>
        <w:tabs>
          <w:tab w:pos="928" w:val="left" w:leader="none"/>
          <w:tab w:pos="1697" w:val="left" w:leader="none"/>
        </w:tabs>
        <w:spacing w:line="240" w:lineRule="auto" w:before="1" w:after="0"/>
        <w:ind w:left="928" w:right="562" w:hanging="360"/>
        <w:jc w:val="both"/>
      </w:pPr>
      <w:r>
        <w:rPr/>
        <w:t>Tajfel H. Social categorization, social identity, and social comparison. Differentiation</w:t>
      </w:r>
      <w:r>
        <w:rPr>
          <w:spacing w:val="-13"/>
        </w:rPr>
        <w:t> </w:t>
      </w:r>
      <w:r>
        <w:rPr/>
        <w:t>between</w:t>
      </w:r>
      <w:r>
        <w:rPr>
          <w:spacing w:val="-12"/>
        </w:rPr>
        <w:t> </w:t>
      </w:r>
      <w:r>
        <w:rPr/>
        <w:t>social</w:t>
      </w:r>
      <w:r>
        <w:rPr>
          <w:spacing w:val="-15"/>
        </w:rPr>
        <w:t> </w:t>
      </w:r>
      <w:r>
        <w:rPr/>
        <w:t>groups</w:t>
      </w:r>
      <w:r>
        <w:rPr>
          <w:spacing w:val="-15"/>
        </w:rPr>
        <w:t> </w:t>
      </w:r>
      <w:r>
        <w:rPr/>
        <w:t>//</w:t>
      </w:r>
      <w:r>
        <w:rPr>
          <w:spacing w:val="-13"/>
        </w:rPr>
        <w:t> </w:t>
      </w:r>
      <w:r>
        <w:rPr/>
        <w:t>London:</w:t>
      </w:r>
      <w:r>
        <w:rPr>
          <w:spacing w:val="-13"/>
        </w:rPr>
        <w:t> </w:t>
      </w:r>
      <w:r>
        <w:rPr/>
        <w:t>Academic</w:t>
      </w:r>
      <w:r>
        <w:rPr>
          <w:spacing w:val="-13"/>
        </w:rPr>
        <w:t> </w:t>
      </w:r>
      <w:r>
        <w:rPr/>
        <w:t>Press.</w:t>
      </w:r>
      <w:r>
        <w:rPr>
          <w:spacing w:val="-6"/>
        </w:rPr>
        <w:t> </w:t>
      </w:r>
      <w:r>
        <w:rPr/>
        <w:t>—</w:t>
      </w:r>
      <w:r>
        <w:rPr>
          <w:spacing w:val="-13"/>
        </w:rPr>
        <w:t> </w:t>
      </w:r>
      <w:r>
        <w:rPr/>
        <w:t>1978.</w:t>
      </w:r>
      <w:r>
        <w:rPr>
          <w:spacing w:val="-14"/>
        </w:rPr>
        <w:t> </w:t>
      </w:r>
      <w:r>
        <w:rPr/>
        <w:t>—</w:t>
      </w:r>
    </w:p>
    <w:p>
      <w:pPr>
        <w:pStyle w:val="Heading4"/>
        <w:spacing w:line="321" w:lineRule="exact"/>
        <w:ind w:left="928"/>
      </w:pPr>
      <w:r>
        <w:rPr/>
        <w:t>pp.</w:t>
      </w:r>
      <w:r>
        <w:rPr>
          <w:spacing w:val="-5"/>
        </w:rPr>
        <w:t> </w:t>
      </w:r>
      <w:r>
        <w:rPr/>
        <w:t>61-</w:t>
      </w:r>
      <w:r>
        <w:rPr>
          <w:spacing w:val="-5"/>
        </w:rPr>
        <w:t>76.</w:t>
      </w:r>
    </w:p>
    <w:p>
      <w:pPr>
        <w:pStyle w:val="Heading4"/>
        <w:numPr>
          <w:ilvl w:val="0"/>
          <w:numId w:val="33"/>
        </w:numPr>
        <w:tabs>
          <w:tab w:pos="928" w:val="left" w:leader="none"/>
          <w:tab w:pos="1697" w:val="left" w:leader="none"/>
        </w:tabs>
        <w:spacing w:line="240" w:lineRule="auto" w:before="0" w:after="0"/>
        <w:ind w:left="928" w:right="561" w:hanging="360"/>
        <w:jc w:val="both"/>
      </w:pPr>
      <w:r>
        <w:rPr/>
        <w:t>Tennant R. et al. The Warwick-Edinburgh Mental Well-being Scale (WEMWBS): development and UK validation // Health and Quality of Life Outcomes. 2007. — 16. — 9.</w:t>
      </w:r>
    </w:p>
    <w:p>
      <w:pPr>
        <w:pStyle w:val="Heading4"/>
        <w:numPr>
          <w:ilvl w:val="0"/>
          <w:numId w:val="33"/>
        </w:numPr>
        <w:tabs>
          <w:tab w:pos="928" w:val="left" w:leader="none"/>
          <w:tab w:pos="1697" w:val="left" w:leader="none"/>
        </w:tabs>
        <w:spacing w:line="240" w:lineRule="auto" w:before="1" w:after="0"/>
        <w:ind w:left="928" w:right="566" w:hanging="360"/>
        <w:jc w:val="both"/>
      </w:pPr>
      <w:r>
        <w:rPr/>
        <w:t>Turner S. M., McCanna M., Beidel D. C. Discriminant validity of the social Avoidance</w:t>
      </w:r>
      <w:r>
        <w:rPr>
          <w:spacing w:val="40"/>
        </w:rPr>
        <w:t> </w:t>
      </w:r>
      <w:r>
        <w:rPr/>
        <w:t>and</w:t>
      </w:r>
      <w:r>
        <w:rPr>
          <w:spacing w:val="40"/>
        </w:rPr>
        <w:t> </w:t>
      </w:r>
      <w:r>
        <w:rPr/>
        <w:t>Distress</w:t>
      </w:r>
      <w:r>
        <w:rPr>
          <w:spacing w:val="40"/>
        </w:rPr>
        <w:t> </w:t>
      </w:r>
      <w:r>
        <w:rPr/>
        <w:t>and</w:t>
      </w:r>
      <w:r>
        <w:rPr>
          <w:spacing w:val="40"/>
        </w:rPr>
        <w:t> </w:t>
      </w:r>
      <w:r>
        <w:rPr/>
        <w:t>Fear</w:t>
      </w:r>
      <w:r>
        <w:rPr>
          <w:spacing w:val="40"/>
        </w:rPr>
        <w:t> </w:t>
      </w:r>
      <w:r>
        <w:rPr/>
        <w:t>of</w:t>
      </w:r>
      <w:r>
        <w:rPr>
          <w:spacing w:val="40"/>
        </w:rPr>
        <w:t> </w:t>
      </w:r>
      <w:r>
        <w:rPr/>
        <w:t>Negative</w:t>
      </w:r>
      <w:r>
        <w:rPr>
          <w:spacing w:val="40"/>
        </w:rPr>
        <w:t> </w:t>
      </w:r>
      <w:r>
        <w:rPr/>
        <w:t>Evaluation</w:t>
      </w:r>
      <w:r>
        <w:rPr>
          <w:spacing w:val="40"/>
        </w:rPr>
        <w:t> </w:t>
      </w:r>
      <w:r>
        <w:rPr/>
        <w:t>Scales.</w:t>
      </w:r>
      <w:r>
        <w:rPr>
          <w:spacing w:val="40"/>
        </w:rPr>
        <w:t> </w:t>
      </w:r>
      <w:r>
        <w:rPr/>
        <w:t>/ Behaviour Research and Therapy. — 1987. — № 25. — pp. 113–115.</w:t>
      </w:r>
    </w:p>
    <w:p>
      <w:pPr>
        <w:pStyle w:val="Heading4"/>
        <w:numPr>
          <w:ilvl w:val="0"/>
          <w:numId w:val="33"/>
        </w:numPr>
        <w:tabs>
          <w:tab w:pos="928" w:val="left" w:leader="none"/>
          <w:tab w:pos="1697" w:val="left" w:leader="none"/>
        </w:tabs>
        <w:spacing w:line="240" w:lineRule="auto" w:before="0" w:after="0"/>
        <w:ind w:left="928" w:right="560" w:hanging="360"/>
        <w:jc w:val="both"/>
      </w:pPr>
      <w:r>
        <w:rPr/>
        <w:t>Umaña-Taylor</w:t>
      </w:r>
      <w:r>
        <w:rPr>
          <w:spacing w:val="-7"/>
        </w:rPr>
        <w:t> </w:t>
      </w:r>
      <w:r>
        <w:rPr/>
        <w:t>A.</w:t>
      </w:r>
      <w:r>
        <w:rPr>
          <w:spacing w:val="-8"/>
        </w:rPr>
        <w:t> </w:t>
      </w:r>
      <w:r>
        <w:rPr/>
        <w:t>J.,</w:t>
      </w:r>
      <w:r>
        <w:rPr>
          <w:spacing w:val="-17"/>
        </w:rPr>
        <w:t> </w:t>
      </w:r>
      <w:r>
        <w:rPr/>
        <w:t>Yazedjian</w:t>
      </w:r>
      <w:r>
        <w:rPr>
          <w:spacing w:val="-6"/>
        </w:rPr>
        <w:t> </w:t>
      </w:r>
      <w:r>
        <w:rPr/>
        <w:t>A.,</w:t>
      </w:r>
      <w:r>
        <w:rPr>
          <w:spacing w:val="-17"/>
        </w:rPr>
        <w:t> </w:t>
      </w:r>
      <w:r>
        <w:rPr/>
        <w:t>Bámaca-Gómez</w:t>
      </w:r>
      <w:r>
        <w:rPr>
          <w:spacing w:val="-7"/>
        </w:rPr>
        <w:t> </w:t>
      </w:r>
      <w:r>
        <w:rPr/>
        <w:t>M.</w:t>
      </w:r>
      <w:r>
        <w:rPr>
          <w:spacing w:val="-17"/>
        </w:rPr>
        <w:t> </w:t>
      </w:r>
      <w:r>
        <w:rPr/>
        <w:t>Developing</w:t>
      </w:r>
      <w:r>
        <w:rPr>
          <w:spacing w:val="-16"/>
        </w:rPr>
        <w:t> </w:t>
      </w:r>
      <w:r>
        <w:rPr/>
        <w:t>the</w:t>
      </w:r>
      <w:r>
        <w:rPr>
          <w:spacing w:val="-7"/>
        </w:rPr>
        <w:t> </w:t>
      </w:r>
      <w:r>
        <w:rPr/>
        <w:t>Ethnic Identity</w:t>
      </w:r>
      <w:r>
        <w:rPr>
          <w:spacing w:val="40"/>
        </w:rPr>
        <w:t> </w:t>
      </w:r>
      <w:r>
        <w:rPr/>
        <w:t>Scale</w:t>
      </w:r>
      <w:r>
        <w:rPr>
          <w:spacing w:val="80"/>
        </w:rPr>
        <w:t> </w:t>
      </w:r>
      <w:r>
        <w:rPr/>
        <w:t>using</w:t>
      </w:r>
      <w:r>
        <w:rPr>
          <w:spacing w:val="80"/>
        </w:rPr>
        <w:t> </w:t>
      </w:r>
      <w:r>
        <w:rPr/>
        <w:t>Eriksonian</w:t>
      </w:r>
      <w:r>
        <w:rPr>
          <w:spacing w:val="80"/>
        </w:rPr>
        <w:t> </w:t>
      </w:r>
      <w:r>
        <w:rPr/>
        <w:t>and</w:t>
      </w:r>
      <w:r>
        <w:rPr>
          <w:spacing w:val="80"/>
        </w:rPr>
        <w:t> </w:t>
      </w:r>
      <w:r>
        <w:rPr/>
        <w:t>social</w:t>
      </w:r>
      <w:r>
        <w:rPr>
          <w:spacing w:val="80"/>
        </w:rPr>
        <w:t> </w:t>
      </w:r>
      <w:r>
        <w:rPr/>
        <w:t>identity</w:t>
      </w:r>
      <w:r>
        <w:rPr>
          <w:spacing w:val="40"/>
        </w:rPr>
        <w:t> </w:t>
      </w:r>
      <w:r>
        <w:rPr/>
        <w:t>perspectives</w:t>
      </w:r>
      <w:r>
        <w:rPr>
          <w:spacing w:val="80"/>
        </w:rPr>
        <w:t> </w:t>
      </w:r>
      <w:r>
        <w:rPr/>
        <w:t>// Identity: An International Journal of Theory and Research. — 2005. — Vol.</w:t>
      </w:r>
    </w:p>
    <w:p>
      <w:pPr>
        <w:pStyle w:val="Heading4"/>
        <w:spacing w:line="321" w:lineRule="exact"/>
        <w:ind w:left="928"/>
      </w:pPr>
      <w:r>
        <w:rPr/>
        <w:t>4.</w:t>
      </w:r>
      <w:r>
        <w:rPr>
          <w:spacing w:val="-2"/>
        </w:rPr>
        <w:t> </w:t>
      </w:r>
      <w:r>
        <w:rPr/>
        <w:t>—</w:t>
      </w:r>
      <w:r>
        <w:rPr>
          <w:spacing w:val="-2"/>
        </w:rPr>
        <w:t> </w:t>
      </w:r>
      <w:r>
        <w:rPr/>
        <w:t>pp.</w:t>
      </w:r>
      <w:r>
        <w:rPr>
          <w:spacing w:val="-1"/>
        </w:rPr>
        <w:t> </w:t>
      </w:r>
      <w:r>
        <w:rPr>
          <w:spacing w:val="-2"/>
        </w:rPr>
        <w:t>9–38.</w:t>
      </w:r>
    </w:p>
    <w:p>
      <w:pPr>
        <w:pStyle w:val="Heading4"/>
        <w:numPr>
          <w:ilvl w:val="0"/>
          <w:numId w:val="33"/>
        </w:numPr>
        <w:tabs>
          <w:tab w:pos="928" w:val="left" w:leader="none"/>
          <w:tab w:pos="1697" w:val="left" w:leader="none"/>
        </w:tabs>
        <w:spacing w:line="240" w:lineRule="auto" w:before="1" w:after="0"/>
        <w:ind w:left="928" w:right="560" w:hanging="360"/>
        <w:jc w:val="both"/>
      </w:pPr>
      <w:r>
        <w:rPr/>
        <w:t>Unger J. B. et al. The AHIMSA acculturation scale: A new measure of acculturation for adolescents in a multicultural society // J. Early Adolesc. — 2002. — Vol. 22. — № 3. — pp. 225–251.</w:t>
      </w:r>
    </w:p>
    <w:p>
      <w:pPr>
        <w:pStyle w:val="Heading4"/>
        <w:numPr>
          <w:ilvl w:val="0"/>
          <w:numId w:val="33"/>
        </w:numPr>
        <w:tabs>
          <w:tab w:pos="928" w:val="left" w:leader="none"/>
          <w:tab w:pos="1697" w:val="left" w:leader="none"/>
        </w:tabs>
        <w:spacing w:line="240" w:lineRule="auto" w:before="0" w:after="0"/>
        <w:ind w:left="928" w:right="562" w:hanging="360"/>
        <w:jc w:val="both"/>
      </w:pPr>
      <w:r>
        <w:rPr/>
        <w:t>Van de Vijver F. J. R.,</w:t>
      </w:r>
      <w:r>
        <w:rPr>
          <w:spacing w:val="40"/>
        </w:rPr>
        <w:t> </w:t>
      </w:r>
      <w:r>
        <w:rPr/>
        <w:t>Helms-Lorenz M.,</w:t>
      </w:r>
      <w:r>
        <w:rPr>
          <w:spacing w:val="40"/>
        </w:rPr>
        <w:t> </w:t>
      </w:r>
      <w:r>
        <w:rPr/>
        <w:t>Feltzer M. F.</w:t>
      </w:r>
      <w:r>
        <w:rPr>
          <w:spacing w:val="40"/>
        </w:rPr>
        <w:t> </w:t>
      </w:r>
      <w:r>
        <w:rPr/>
        <w:t>Acculturation and cognitive</w:t>
      </w:r>
      <w:r>
        <w:rPr>
          <w:spacing w:val="40"/>
        </w:rPr>
        <w:t> </w:t>
      </w:r>
      <w:r>
        <w:rPr/>
        <w:t>performance</w:t>
      </w:r>
      <w:r>
        <w:rPr>
          <w:spacing w:val="40"/>
        </w:rPr>
        <w:t> </w:t>
      </w:r>
      <w:r>
        <w:rPr/>
        <w:t>of</w:t>
      </w:r>
      <w:r>
        <w:rPr>
          <w:spacing w:val="40"/>
        </w:rPr>
        <w:t> </w:t>
      </w:r>
      <w:r>
        <w:rPr/>
        <w:t>migrant</w:t>
      </w:r>
      <w:r>
        <w:rPr>
          <w:spacing w:val="40"/>
        </w:rPr>
        <w:t> </w:t>
      </w:r>
      <w:r>
        <w:rPr/>
        <w:t>children</w:t>
      </w:r>
      <w:r>
        <w:rPr>
          <w:spacing w:val="40"/>
        </w:rPr>
        <w:t> </w:t>
      </w:r>
      <w:r>
        <w:rPr/>
        <w:t>in</w:t>
      </w:r>
      <w:r>
        <w:rPr>
          <w:spacing w:val="40"/>
        </w:rPr>
        <w:t> </w:t>
      </w:r>
      <w:r>
        <w:rPr/>
        <w:t>The</w:t>
      </w:r>
      <w:r>
        <w:rPr>
          <w:spacing w:val="40"/>
        </w:rPr>
        <w:t> </w:t>
      </w:r>
      <w:r>
        <w:rPr/>
        <w:t>Nether</w:t>
      </w:r>
      <w:r>
        <w:rPr>
          <w:spacing w:val="40"/>
        </w:rPr>
        <w:t> </w:t>
      </w:r>
      <w:r>
        <w:rPr/>
        <w:t>lands. International Journal of Psychology. — 1999. — 34. — pp. 149–162.</w:t>
      </w:r>
    </w:p>
    <w:p>
      <w:pPr>
        <w:pStyle w:val="Heading4"/>
        <w:numPr>
          <w:ilvl w:val="0"/>
          <w:numId w:val="33"/>
        </w:numPr>
        <w:tabs>
          <w:tab w:pos="928" w:val="left" w:leader="none"/>
          <w:tab w:pos="1697" w:val="left" w:leader="none"/>
        </w:tabs>
        <w:spacing w:line="240" w:lineRule="auto" w:before="0" w:after="0"/>
        <w:ind w:left="928" w:right="559" w:hanging="360"/>
        <w:jc w:val="both"/>
      </w:pPr>
      <w:r>
        <w:rPr/>
        <w:t>Vasin G., Lobaskova M., Gindina E. The Youth Self Report: validity of the Russian version. SHS Web of Conferences. — 2016. — 29. — pp. 20-41. </w:t>
      </w:r>
      <w:r>
        <w:rPr>
          <w:spacing w:val="-2"/>
        </w:rPr>
        <w:t>https://doi.org/10.1051/shsconf/20162902041</w:t>
      </w:r>
    </w:p>
    <w:p>
      <w:pPr>
        <w:pStyle w:val="Heading4"/>
        <w:spacing w:after="0" w:line="240" w:lineRule="auto"/>
        <w:jc w:val="both"/>
        <w:sectPr>
          <w:pgSz w:w="11910" w:h="16840"/>
          <w:pgMar w:header="0" w:footer="970" w:top="1040" w:bottom="1220" w:left="1417" w:right="283"/>
        </w:sectPr>
      </w:pPr>
    </w:p>
    <w:p>
      <w:pPr>
        <w:pStyle w:val="Heading4"/>
        <w:numPr>
          <w:ilvl w:val="0"/>
          <w:numId w:val="33"/>
        </w:numPr>
        <w:tabs>
          <w:tab w:pos="928" w:val="left" w:leader="none"/>
          <w:tab w:pos="1697" w:val="left" w:leader="none"/>
        </w:tabs>
        <w:spacing w:line="240" w:lineRule="auto" w:before="67" w:after="0"/>
        <w:ind w:left="928" w:right="559" w:hanging="360"/>
        <w:jc w:val="both"/>
      </w:pPr>
      <w:r>
        <w:rPr/>
        <w:t>Ward C, Kennedy A. The measurement of sociocultural adaptation // International Journal of Intercultural Relations. — 1999. — Vol. 23(4). — P. </w:t>
      </w:r>
      <w:r>
        <w:rPr>
          <w:spacing w:val="-2"/>
        </w:rPr>
        <w:t>659–677.</w:t>
      </w:r>
    </w:p>
    <w:p>
      <w:pPr>
        <w:pStyle w:val="Heading4"/>
        <w:numPr>
          <w:ilvl w:val="0"/>
          <w:numId w:val="33"/>
        </w:numPr>
        <w:tabs>
          <w:tab w:pos="928" w:val="left" w:leader="none"/>
          <w:tab w:pos="1697" w:val="left" w:leader="none"/>
        </w:tabs>
        <w:spacing w:line="240" w:lineRule="auto" w:before="2" w:after="0"/>
        <w:ind w:left="928" w:right="558" w:hanging="360"/>
        <w:jc w:val="both"/>
      </w:pPr>
      <w:r>
        <w:rPr/>
        <w:t>Zahradnik M., Stewart S. H., O’Connor R. M., Stevens D., Ungar M., Wekerle</w:t>
      </w:r>
      <w:r>
        <w:rPr>
          <w:spacing w:val="-1"/>
        </w:rPr>
        <w:t> </w:t>
      </w:r>
      <w:r>
        <w:rPr/>
        <w:t>C. Resilience moderates the relationship between exposure to violence and posttraumatic re-experiencing in Mi’kmaq youth. International Journal of Mental Health and Addiction. — 2010. — 8. — pp. 408–420. </w:t>
      </w:r>
      <w:r>
        <w:rPr>
          <w:spacing w:val="-2"/>
        </w:rPr>
        <w:t>doi:10.1007/s11469-009-9228-y</w:t>
      </w:r>
    </w:p>
    <w:p>
      <w:pPr>
        <w:pStyle w:val="Heading4"/>
        <w:spacing w:after="0" w:line="240" w:lineRule="auto"/>
        <w:jc w:val="both"/>
        <w:sectPr>
          <w:pgSz w:w="11910" w:h="16840"/>
          <w:pgMar w:header="0" w:footer="970" w:top="1040" w:bottom="1220" w:left="1417" w:right="283"/>
        </w:sectPr>
      </w:pPr>
    </w:p>
    <w:p>
      <w:pPr>
        <w:pStyle w:val="BodyText"/>
        <w:ind w:left="0" w:right="0" w:firstLine="0"/>
        <w:jc w:val="left"/>
      </w:pPr>
      <w:r>
        <w:rPr/>
        <w:drawing>
          <wp:anchor distT="0" distB="0" distL="0" distR="0" allowOverlap="1" layoutInCell="1" locked="0" behindDoc="0" simplePos="0" relativeHeight="15757312">
            <wp:simplePos x="0" y="0"/>
            <wp:positionH relativeFrom="page">
              <wp:posOffset>0</wp:posOffset>
            </wp:positionH>
            <wp:positionV relativeFrom="page">
              <wp:posOffset>3969300</wp:posOffset>
            </wp:positionV>
            <wp:extent cx="5328000" cy="3579610"/>
            <wp:effectExtent l="0" t="0" r="0" b="0"/>
            <wp:wrapNone/>
            <wp:docPr id="84" name="Image 84"/>
            <wp:cNvGraphicFramePr>
              <a:graphicFrameLocks/>
            </wp:cNvGraphicFramePr>
            <a:graphic>
              <a:graphicData uri="http://schemas.openxmlformats.org/drawingml/2006/picture">
                <pic:pic>
                  <pic:nvPicPr>
                    <pic:cNvPr id="84" name="Image 84"/>
                    <pic:cNvPicPr/>
                  </pic:nvPicPr>
                  <pic:blipFill>
                    <a:blip r:embed="rId57" cstate="print"/>
                    <a:stretch>
                      <a:fillRect/>
                    </a:stretch>
                  </pic:blipFill>
                  <pic:spPr>
                    <a:xfrm>
                      <a:off x="0" y="0"/>
                      <a:ext cx="5328000" cy="3579610"/>
                    </a:xfrm>
                    <a:prstGeom prst="rect">
                      <a:avLst/>
                    </a:prstGeom>
                  </pic:spPr>
                </pic:pic>
              </a:graphicData>
            </a:graphic>
          </wp:anchor>
        </w:drawing>
      </w:r>
      <w:r>
        <w:rPr/>
        <w:drawing>
          <wp:anchor distT="0" distB="0" distL="0" distR="0" allowOverlap="1" layoutInCell="1" locked="0" behindDoc="0" simplePos="0" relativeHeight="15757824">
            <wp:simplePos x="0" y="0"/>
            <wp:positionH relativeFrom="page">
              <wp:posOffset>1086260</wp:posOffset>
            </wp:positionH>
            <wp:positionV relativeFrom="page">
              <wp:posOffset>176482</wp:posOffset>
            </wp:positionV>
            <wp:extent cx="2760314" cy="90487"/>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58" cstate="print"/>
                    <a:stretch>
                      <a:fillRect/>
                    </a:stretch>
                  </pic:blipFill>
                  <pic:spPr>
                    <a:xfrm>
                      <a:off x="0" y="0"/>
                      <a:ext cx="2760314" cy="90487"/>
                    </a:xfrm>
                    <a:prstGeom prst="rect">
                      <a:avLst/>
                    </a:prstGeom>
                  </pic:spPr>
                </pic:pic>
              </a:graphicData>
            </a:graphic>
          </wp:anchor>
        </w:drawing>
      </w:r>
      <w:r>
        <w:rPr/>
        <w:drawing>
          <wp:anchor distT="0" distB="0" distL="0" distR="0" allowOverlap="1" layoutInCell="1" locked="0" behindDoc="0" simplePos="0" relativeHeight="15758336">
            <wp:simplePos x="0" y="0"/>
            <wp:positionH relativeFrom="page">
              <wp:posOffset>1087170</wp:posOffset>
            </wp:positionH>
            <wp:positionV relativeFrom="page">
              <wp:posOffset>415677</wp:posOffset>
            </wp:positionV>
            <wp:extent cx="3924057" cy="194309"/>
            <wp:effectExtent l="0" t="0" r="0" b="0"/>
            <wp:wrapNone/>
            <wp:docPr id="86" name="Image 86"/>
            <wp:cNvGraphicFramePr>
              <a:graphicFrameLocks/>
            </wp:cNvGraphicFramePr>
            <a:graphic>
              <a:graphicData uri="http://schemas.openxmlformats.org/drawingml/2006/picture">
                <pic:pic>
                  <pic:nvPicPr>
                    <pic:cNvPr id="86" name="Image 86"/>
                    <pic:cNvPicPr/>
                  </pic:nvPicPr>
                  <pic:blipFill>
                    <a:blip r:embed="rId59" cstate="print"/>
                    <a:stretch>
                      <a:fillRect/>
                    </a:stretch>
                  </pic:blipFill>
                  <pic:spPr>
                    <a:xfrm>
                      <a:off x="0" y="0"/>
                      <a:ext cx="3924057" cy="194309"/>
                    </a:xfrm>
                    <a:prstGeom prst="rect">
                      <a:avLst/>
                    </a:prstGeom>
                  </pic:spPr>
                </pic:pic>
              </a:graphicData>
            </a:graphic>
          </wp:anchor>
        </w:drawing>
      </w:r>
      <w:r>
        <w:rPr/>
        <w:drawing>
          <wp:anchor distT="0" distB="0" distL="0" distR="0" allowOverlap="1" layoutInCell="1" locked="0" behindDoc="0" simplePos="0" relativeHeight="15758848">
            <wp:simplePos x="0" y="0"/>
            <wp:positionH relativeFrom="page">
              <wp:posOffset>413943</wp:posOffset>
            </wp:positionH>
            <wp:positionV relativeFrom="page">
              <wp:posOffset>123181</wp:posOffset>
            </wp:positionV>
            <wp:extent cx="567727" cy="635507"/>
            <wp:effectExtent l="0" t="0" r="0" b="0"/>
            <wp:wrapNone/>
            <wp:docPr id="87" name="Image 87"/>
            <wp:cNvGraphicFramePr>
              <a:graphicFrameLocks/>
            </wp:cNvGraphicFramePr>
            <a:graphic>
              <a:graphicData uri="http://schemas.openxmlformats.org/drawingml/2006/picture">
                <pic:pic>
                  <pic:nvPicPr>
                    <pic:cNvPr id="87" name="Image 87"/>
                    <pic:cNvPicPr/>
                  </pic:nvPicPr>
                  <pic:blipFill>
                    <a:blip r:embed="rId60" cstate="print"/>
                    <a:stretch>
                      <a:fillRect/>
                    </a:stretch>
                  </pic:blipFill>
                  <pic:spPr>
                    <a:xfrm>
                      <a:off x="0" y="0"/>
                      <a:ext cx="567727" cy="635507"/>
                    </a:xfrm>
                    <a:prstGeom prst="rect">
                      <a:avLst/>
                    </a:prstGeom>
                  </pic:spPr>
                </pic:pic>
              </a:graphicData>
            </a:graphic>
          </wp:anchor>
        </w:drawing>
      </w: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spacing w:before="89"/>
        <w:ind w:left="0" w:right="0" w:firstLine="0"/>
        <w:jc w:val="left"/>
      </w:pPr>
    </w:p>
    <w:p>
      <w:pPr>
        <w:pStyle w:val="BodyText"/>
        <w:ind w:left="1073" w:right="0" w:firstLine="0"/>
        <w:jc w:val="left"/>
      </w:pPr>
      <w:r>
        <w:rPr/>
        <w:drawing>
          <wp:inline distT="0" distB="0" distL="0" distR="0">
            <wp:extent cx="3511949" cy="166687"/>
            <wp:effectExtent l="0" t="0" r="0" b="0"/>
            <wp:docPr id="88" name="Image 88"/>
            <wp:cNvGraphicFramePr>
              <a:graphicFrameLocks/>
            </wp:cNvGraphicFramePr>
            <a:graphic>
              <a:graphicData uri="http://schemas.openxmlformats.org/drawingml/2006/picture">
                <pic:pic>
                  <pic:nvPicPr>
                    <pic:cNvPr id="88" name="Image 88"/>
                    <pic:cNvPicPr/>
                  </pic:nvPicPr>
                  <pic:blipFill>
                    <a:blip r:embed="rId61" cstate="print"/>
                    <a:stretch>
                      <a:fillRect/>
                    </a:stretch>
                  </pic:blipFill>
                  <pic:spPr>
                    <a:xfrm>
                      <a:off x="0" y="0"/>
                      <a:ext cx="3511949" cy="166687"/>
                    </a:xfrm>
                    <a:prstGeom prst="rect">
                      <a:avLst/>
                    </a:prstGeom>
                  </pic:spPr>
                </pic:pic>
              </a:graphicData>
            </a:graphic>
          </wp:inline>
        </w:drawing>
      </w:r>
      <w:r>
        <w:rPr/>
      </w:r>
    </w:p>
    <w:p>
      <w:pPr>
        <w:pStyle w:val="BodyText"/>
        <w:spacing w:before="5"/>
        <w:ind w:left="0" w:right="0" w:firstLine="0"/>
        <w:jc w:val="left"/>
        <w:rPr>
          <w:sz w:val="11"/>
        </w:rPr>
      </w:pPr>
      <w:r>
        <w:rPr>
          <w:sz w:val="11"/>
        </w:rPr>
        <w:drawing>
          <wp:anchor distT="0" distB="0" distL="0" distR="0" allowOverlap="1" layoutInCell="1" locked="0" behindDoc="1" simplePos="0" relativeHeight="487613952">
            <wp:simplePos x="0" y="0"/>
            <wp:positionH relativeFrom="page">
              <wp:posOffset>1535727</wp:posOffset>
            </wp:positionH>
            <wp:positionV relativeFrom="paragraph">
              <wp:posOffset>99039</wp:posOffset>
            </wp:positionV>
            <wp:extent cx="2307447" cy="131159"/>
            <wp:effectExtent l="0" t="0" r="0" b="0"/>
            <wp:wrapTopAndBottom/>
            <wp:docPr id="89" name="Image 89"/>
            <wp:cNvGraphicFramePr>
              <a:graphicFrameLocks/>
            </wp:cNvGraphicFramePr>
            <a:graphic>
              <a:graphicData uri="http://schemas.openxmlformats.org/drawingml/2006/picture">
                <pic:pic>
                  <pic:nvPicPr>
                    <pic:cNvPr id="89" name="Image 89"/>
                    <pic:cNvPicPr/>
                  </pic:nvPicPr>
                  <pic:blipFill>
                    <a:blip r:embed="rId62" cstate="print"/>
                    <a:stretch>
                      <a:fillRect/>
                    </a:stretch>
                  </pic:blipFill>
                  <pic:spPr>
                    <a:xfrm>
                      <a:off x="0" y="0"/>
                      <a:ext cx="2307447" cy="131159"/>
                    </a:xfrm>
                    <a:prstGeom prst="rect">
                      <a:avLst/>
                    </a:prstGeom>
                  </pic:spPr>
                </pic:pic>
              </a:graphicData>
            </a:graphic>
          </wp:anchor>
        </w:drawing>
      </w:r>
      <w:r>
        <w:rPr>
          <w:sz w:val="11"/>
        </w:rPr>
        <mc:AlternateContent>
          <mc:Choice Requires="wps">
            <w:drawing>
              <wp:anchor distT="0" distB="0" distL="0" distR="0" allowOverlap="1" layoutInCell="1" locked="0" behindDoc="1" simplePos="0" relativeHeight="487614464">
                <wp:simplePos x="0" y="0"/>
                <wp:positionH relativeFrom="page">
                  <wp:posOffset>409517</wp:posOffset>
                </wp:positionH>
                <wp:positionV relativeFrom="paragraph">
                  <wp:posOffset>323027</wp:posOffset>
                </wp:positionV>
                <wp:extent cx="4575810" cy="582295"/>
                <wp:effectExtent l="0" t="0" r="0" b="0"/>
                <wp:wrapTopAndBottom/>
                <wp:docPr id="90" name="Group 90"/>
                <wp:cNvGraphicFramePr>
                  <a:graphicFrameLocks/>
                </wp:cNvGraphicFramePr>
                <a:graphic>
                  <a:graphicData uri="http://schemas.microsoft.com/office/word/2010/wordprocessingGroup">
                    <wpg:wgp>
                      <wpg:cNvPr id="90" name="Group 90"/>
                      <wpg:cNvGrpSpPr/>
                      <wpg:grpSpPr>
                        <a:xfrm>
                          <a:off x="0" y="0"/>
                          <a:ext cx="4575810" cy="582295"/>
                          <a:chExt cx="4575810" cy="582295"/>
                        </a:xfrm>
                      </wpg:grpSpPr>
                      <pic:pic>
                        <pic:nvPicPr>
                          <pic:cNvPr id="91" name="Image 91"/>
                          <pic:cNvPicPr/>
                        </pic:nvPicPr>
                        <pic:blipFill>
                          <a:blip r:embed="rId63" cstate="print"/>
                          <a:stretch>
                            <a:fillRect/>
                          </a:stretch>
                        </pic:blipFill>
                        <pic:spPr>
                          <a:xfrm>
                            <a:off x="380627" y="1717"/>
                            <a:ext cx="887839" cy="92236"/>
                          </a:xfrm>
                          <a:prstGeom prst="rect">
                            <a:avLst/>
                          </a:prstGeom>
                        </pic:spPr>
                      </pic:pic>
                      <pic:pic>
                        <pic:nvPicPr>
                          <pic:cNvPr id="92" name="Image 92"/>
                          <pic:cNvPicPr/>
                        </pic:nvPicPr>
                        <pic:blipFill>
                          <a:blip r:embed="rId64" cstate="print"/>
                          <a:stretch>
                            <a:fillRect/>
                          </a:stretch>
                        </pic:blipFill>
                        <pic:spPr>
                          <a:xfrm>
                            <a:off x="0" y="0"/>
                            <a:ext cx="4575747" cy="581947"/>
                          </a:xfrm>
                          <a:prstGeom prst="rect">
                            <a:avLst/>
                          </a:prstGeom>
                        </pic:spPr>
                      </pic:pic>
                    </wpg:wgp>
                  </a:graphicData>
                </a:graphic>
              </wp:anchor>
            </w:drawing>
          </mc:Choice>
          <mc:Fallback>
            <w:pict>
              <v:group style="position:absolute;margin-left:32.245499pt;margin-top:25.43520pt;width:360.3pt;height:45.85pt;mso-position-horizontal-relative:page;mso-position-vertical-relative:paragraph;z-index:-15702016;mso-wrap-distance-left:0;mso-wrap-distance-right:0" id="docshapegroup53" coordorigin="645,509" coordsize="7206,917">
                <v:shape style="position:absolute;left:1244;top:511;width:1399;height:146" type="#_x0000_t75" id="docshape54" stroked="false">
                  <v:imagedata r:id="rId63" o:title=""/>
                </v:shape>
                <v:shape style="position:absolute;left:644;top:508;width:7206;height:917" type="#_x0000_t75" id="docshape55" stroked="false">
                  <v:imagedata r:id="rId64" o:title=""/>
                </v:shape>
                <w10:wrap type="topAndBottom"/>
              </v:group>
            </w:pict>
          </mc:Fallback>
        </mc:AlternateContent>
      </w:r>
    </w:p>
    <w:p>
      <w:pPr>
        <w:pStyle w:val="BodyText"/>
        <w:spacing w:before="7"/>
        <w:ind w:left="0" w:right="0" w:firstLine="0"/>
        <w:jc w:val="left"/>
        <w:rPr>
          <w:sz w:val="10"/>
        </w:rPr>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spacing w:before="194"/>
        <w:ind w:left="0" w:right="0" w:firstLine="0"/>
        <w:jc w:val="left"/>
      </w:pPr>
      <w:r>
        <w:rPr/>
        <mc:AlternateContent>
          <mc:Choice Requires="wps">
            <w:drawing>
              <wp:anchor distT="0" distB="0" distL="0" distR="0" allowOverlap="1" layoutInCell="1" locked="0" behindDoc="1" simplePos="0" relativeHeight="487614976">
                <wp:simplePos x="0" y="0"/>
                <wp:positionH relativeFrom="page">
                  <wp:posOffset>524141</wp:posOffset>
                </wp:positionH>
                <wp:positionV relativeFrom="paragraph">
                  <wp:posOffset>505869</wp:posOffset>
                </wp:positionV>
                <wp:extent cx="367665" cy="137160"/>
                <wp:effectExtent l="0" t="0" r="0" b="0"/>
                <wp:wrapTopAndBottom/>
                <wp:docPr id="93" name="Group 93"/>
                <wp:cNvGraphicFramePr>
                  <a:graphicFrameLocks/>
                </wp:cNvGraphicFramePr>
                <a:graphic>
                  <a:graphicData uri="http://schemas.microsoft.com/office/word/2010/wordprocessingGroup">
                    <wpg:wgp>
                      <wpg:cNvPr id="93" name="Group 93"/>
                      <wpg:cNvGrpSpPr/>
                      <wpg:grpSpPr>
                        <a:xfrm>
                          <a:off x="0" y="0"/>
                          <a:ext cx="367665" cy="137160"/>
                          <a:chExt cx="367665" cy="137160"/>
                        </a:xfrm>
                      </wpg:grpSpPr>
                      <pic:pic>
                        <pic:nvPicPr>
                          <pic:cNvPr id="94" name="Image 94"/>
                          <pic:cNvPicPr/>
                        </pic:nvPicPr>
                        <pic:blipFill>
                          <a:blip r:embed="rId65" cstate="print"/>
                          <a:stretch>
                            <a:fillRect/>
                          </a:stretch>
                        </pic:blipFill>
                        <pic:spPr>
                          <a:xfrm>
                            <a:off x="0" y="0"/>
                            <a:ext cx="135068" cy="136536"/>
                          </a:xfrm>
                          <a:prstGeom prst="rect">
                            <a:avLst/>
                          </a:prstGeom>
                        </pic:spPr>
                      </pic:pic>
                      <wps:wsp>
                        <wps:cNvPr id="95" name="Graphic 95"/>
                        <wps:cNvSpPr/>
                        <wps:spPr>
                          <a:xfrm>
                            <a:off x="157957" y="107301"/>
                            <a:ext cx="29845" cy="29845"/>
                          </a:xfrm>
                          <a:custGeom>
                            <a:avLst/>
                            <a:gdLst/>
                            <a:ahLst/>
                            <a:cxnLst/>
                            <a:rect l="l" t="t" r="r" b="b"/>
                            <a:pathLst>
                              <a:path w="29845" h="29845">
                                <a:moveTo>
                                  <a:pt x="17412" y="0"/>
                                </a:moveTo>
                                <a:lnTo>
                                  <a:pt x="11847" y="0"/>
                                </a:lnTo>
                                <a:lnTo>
                                  <a:pt x="9377" y="659"/>
                                </a:lnTo>
                                <a:lnTo>
                                  <a:pt x="0" y="14602"/>
                                </a:lnTo>
                                <a:lnTo>
                                  <a:pt x="29" y="17385"/>
                                </a:lnTo>
                                <a:lnTo>
                                  <a:pt x="14630" y="29235"/>
                                </a:lnTo>
                                <a:lnTo>
                                  <a:pt x="17412" y="29203"/>
                                </a:lnTo>
                                <a:lnTo>
                                  <a:pt x="29264" y="14602"/>
                                </a:lnTo>
                                <a:lnTo>
                                  <a:pt x="29231" y="11818"/>
                                </a:lnTo>
                                <a:lnTo>
                                  <a:pt x="17412" y="0"/>
                                </a:lnTo>
                                <a:close/>
                              </a:path>
                            </a:pathLst>
                          </a:custGeom>
                          <a:solidFill>
                            <a:srgbClr val="231F20"/>
                          </a:solidFill>
                        </wps:spPr>
                        <wps:bodyPr wrap="square" lIns="0" tIns="0" rIns="0" bIns="0" rtlCol="0">
                          <a:prstTxWarp prst="textNoShape">
                            <a:avLst/>
                          </a:prstTxWarp>
                          <a:noAutofit/>
                        </wps:bodyPr>
                      </wps:wsp>
                      <pic:pic>
                        <pic:nvPicPr>
                          <pic:cNvPr id="96" name="Image 96"/>
                          <pic:cNvPicPr/>
                        </pic:nvPicPr>
                        <pic:blipFill>
                          <a:blip r:embed="rId66" cstate="print"/>
                          <a:stretch>
                            <a:fillRect/>
                          </a:stretch>
                        </pic:blipFill>
                        <pic:spPr>
                          <a:xfrm>
                            <a:off x="210107" y="2595"/>
                            <a:ext cx="157200" cy="133940"/>
                          </a:xfrm>
                          <a:prstGeom prst="rect">
                            <a:avLst/>
                          </a:prstGeom>
                        </pic:spPr>
                      </pic:pic>
                    </wpg:wgp>
                  </a:graphicData>
                </a:graphic>
              </wp:anchor>
            </w:drawing>
          </mc:Choice>
          <mc:Fallback>
            <w:pict>
              <v:group style="position:absolute;margin-left:41.271pt;margin-top:39.832230pt;width:28.95pt;height:10.8pt;mso-position-horizontal-relative:page;mso-position-vertical-relative:paragraph;z-index:-15701504;mso-wrap-distance-left:0;mso-wrap-distance-right:0" id="docshapegroup56" coordorigin="825,797" coordsize="579,216">
                <v:shape style="position:absolute;left:825;top:796;width:213;height:216" type="#_x0000_t75" id="docshape57" stroked="false">
                  <v:imagedata r:id="rId65" o:title=""/>
                </v:shape>
                <v:shape style="position:absolute;left:1074;top:965;width:47;height:47" id="docshape58" coordorigin="1074,966" coordsize="47,47" path="m1102,966l1093,966,1089,967,1074,989,1074,993,1097,1012,1102,1012,1120,989,1120,984,1102,966xe" filled="true" fillcolor="#231f20" stroked="false">
                  <v:path arrowok="t"/>
                  <v:fill type="solid"/>
                </v:shape>
                <v:shape style="position:absolute;left:1156;top:800;width:248;height:211" type="#_x0000_t75" id="docshape59" stroked="false">
                  <v:imagedata r:id="rId66" o:title=""/>
                </v:shape>
                <w10:wrap type="topAndBottom"/>
              </v:group>
            </w:pict>
          </mc:Fallback>
        </mc:AlternateContent>
      </w:r>
      <w:r>
        <w:rPr/>
        <w:drawing>
          <wp:anchor distT="0" distB="0" distL="0" distR="0" allowOverlap="1" layoutInCell="1" locked="0" behindDoc="1" simplePos="0" relativeHeight="487615488">
            <wp:simplePos x="0" y="0"/>
            <wp:positionH relativeFrom="page">
              <wp:posOffset>956541</wp:posOffset>
            </wp:positionH>
            <wp:positionV relativeFrom="paragraph">
              <wp:posOffset>508465</wp:posOffset>
            </wp:positionV>
            <wp:extent cx="863189" cy="171450"/>
            <wp:effectExtent l="0" t="0" r="0" b="0"/>
            <wp:wrapTopAndBottom/>
            <wp:docPr id="97" name="Image 97"/>
            <wp:cNvGraphicFramePr>
              <a:graphicFrameLocks/>
            </wp:cNvGraphicFramePr>
            <a:graphic>
              <a:graphicData uri="http://schemas.openxmlformats.org/drawingml/2006/picture">
                <pic:pic>
                  <pic:nvPicPr>
                    <pic:cNvPr id="97" name="Image 97"/>
                    <pic:cNvPicPr/>
                  </pic:nvPicPr>
                  <pic:blipFill>
                    <a:blip r:embed="rId67" cstate="print"/>
                    <a:stretch>
                      <a:fillRect/>
                    </a:stretch>
                  </pic:blipFill>
                  <pic:spPr>
                    <a:xfrm>
                      <a:off x="0" y="0"/>
                      <a:ext cx="863189" cy="171450"/>
                    </a:xfrm>
                    <a:prstGeom prst="rect">
                      <a:avLst/>
                    </a:prstGeom>
                  </pic:spPr>
                </pic:pic>
              </a:graphicData>
            </a:graphic>
          </wp:anchor>
        </w:drawing>
      </w:r>
      <w:r>
        <w:rPr/>
        <w:drawing>
          <wp:anchor distT="0" distB="0" distL="0" distR="0" allowOverlap="1" layoutInCell="1" locked="0" behindDoc="1" simplePos="0" relativeHeight="487616000">
            <wp:simplePos x="0" y="0"/>
            <wp:positionH relativeFrom="page">
              <wp:posOffset>1896000</wp:posOffset>
            </wp:positionH>
            <wp:positionV relativeFrom="paragraph">
              <wp:posOffset>284476</wp:posOffset>
            </wp:positionV>
            <wp:extent cx="2971067" cy="357187"/>
            <wp:effectExtent l="0" t="0" r="0" b="0"/>
            <wp:wrapTopAndBottom/>
            <wp:docPr id="98" name="Image 98"/>
            <wp:cNvGraphicFramePr>
              <a:graphicFrameLocks/>
            </wp:cNvGraphicFramePr>
            <a:graphic>
              <a:graphicData uri="http://schemas.openxmlformats.org/drawingml/2006/picture">
                <pic:pic>
                  <pic:nvPicPr>
                    <pic:cNvPr id="98" name="Image 98"/>
                    <pic:cNvPicPr/>
                  </pic:nvPicPr>
                  <pic:blipFill>
                    <a:blip r:embed="rId68" cstate="print"/>
                    <a:stretch>
                      <a:fillRect/>
                    </a:stretch>
                  </pic:blipFill>
                  <pic:spPr>
                    <a:xfrm>
                      <a:off x="0" y="0"/>
                      <a:ext cx="2971067" cy="357187"/>
                    </a:xfrm>
                    <a:prstGeom prst="rect">
                      <a:avLst/>
                    </a:prstGeom>
                  </pic:spPr>
                </pic:pic>
              </a:graphicData>
            </a:graphic>
          </wp:anchor>
        </w:drawing>
      </w:r>
    </w:p>
    <w:p>
      <w:pPr>
        <w:pStyle w:val="BodyText"/>
        <w:spacing w:after="0"/>
        <w:jc w:val="left"/>
        <w:sectPr>
          <w:footerReference w:type="default" r:id="rId56"/>
          <w:pgSz w:w="8400" w:h="11910"/>
          <w:pgMar w:header="0" w:footer="0" w:top="180" w:bottom="0" w:left="425" w:right="425"/>
        </w:sectPr>
      </w:pPr>
    </w:p>
    <w:p>
      <w:pPr>
        <w:pStyle w:val="BodyText"/>
        <w:ind w:left="360" w:right="0" w:firstLine="0"/>
        <w:jc w:val="left"/>
      </w:pPr>
      <w:r>
        <w:rPr/>
        <w:drawing>
          <wp:inline distT="0" distB="0" distL="0" distR="0">
            <wp:extent cx="4340327" cy="597408"/>
            <wp:effectExtent l="0" t="0" r="0" b="0"/>
            <wp:docPr id="99" name="Image 99" descr="F:\работа верстка\19-20\Мымрина А.Н\Приказ_распоряжение_СЗ.jpg"/>
            <wp:cNvGraphicFramePr>
              <a:graphicFrameLocks/>
            </wp:cNvGraphicFramePr>
            <a:graphic>
              <a:graphicData uri="http://schemas.openxmlformats.org/drawingml/2006/picture">
                <pic:pic>
                  <pic:nvPicPr>
                    <pic:cNvPr id="99" name="Image 99" descr="F:\работа верстка\19-20\Мымрина А.Н\Приказ_распоряжение_СЗ.jpg"/>
                    <pic:cNvPicPr/>
                  </pic:nvPicPr>
                  <pic:blipFill>
                    <a:blip r:embed="rId70" cstate="print"/>
                    <a:stretch>
                      <a:fillRect/>
                    </a:stretch>
                  </pic:blipFill>
                  <pic:spPr>
                    <a:xfrm>
                      <a:off x="0" y="0"/>
                      <a:ext cx="4340327" cy="597408"/>
                    </a:xfrm>
                    <a:prstGeom prst="rect">
                      <a:avLst/>
                    </a:prstGeom>
                  </pic:spPr>
                </pic:pic>
              </a:graphicData>
            </a:graphic>
          </wp:inline>
        </w:drawing>
      </w:r>
      <w:r>
        <w:rPr/>
      </w: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spacing w:before="58"/>
        <w:ind w:left="0" w:right="0" w:firstLine="0"/>
        <w:jc w:val="left"/>
        <w:rPr>
          <w:sz w:val="28"/>
        </w:rPr>
      </w:pPr>
    </w:p>
    <w:p>
      <w:pPr>
        <w:spacing w:before="0"/>
        <w:ind w:left="310" w:right="301" w:firstLine="0"/>
        <w:jc w:val="center"/>
        <w:rPr>
          <w:b/>
          <w:sz w:val="28"/>
        </w:rPr>
      </w:pPr>
      <w:r>
        <w:rPr>
          <w:b/>
          <w:color w:val="231F20"/>
          <w:spacing w:val="2"/>
          <w:sz w:val="28"/>
        </w:rPr>
        <w:t>МЕТОДИЧЕСКИЕ</w:t>
      </w:r>
      <w:r>
        <w:rPr>
          <w:b/>
          <w:color w:val="231F20"/>
          <w:spacing w:val="67"/>
          <w:sz w:val="28"/>
        </w:rPr>
        <w:t> </w:t>
      </w:r>
      <w:r>
        <w:rPr>
          <w:b/>
          <w:color w:val="231F20"/>
          <w:spacing w:val="-2"/>
          <w:sz w:val="28"/>
        </w:rPr>
        <w:t>РЕКОМЕНДАЦИИ</w:t>
      </w:r>
    </w:p>
    <w:p>
      <w:pPr>
        <w:spacing w:line="268" w:lineRule="auto" w:before="38"/>
        <w:ind w:left="1012" w:right="1010" w:firstLine="1034"/>
        <w:jc w:val="left"/>
        <w:rPr>
          <w:b/>
          <w:sz w:val="28"/>
        </w:rPr>
      </w:pPr>
      <w:r>
        <w:rPr>
          <w:b/>
          <w:color w:val="231F20"/>
          <w:sz w:val="28"/>
        </w:rPr>
        <w:t>по проведению программы психолого-педагогического</w:t>
      </w:r>
      <w:r>
        <w:rPr>
          <w:b/>
          <w:color w:val="231F20"/>
          <w:spacing w:val="-18"/>
          <w:sz w:val="28"/>
        </w:rPr>
        <w:t> </w:t>
      </w:r>
      <w:r>
        <w:rPr>
          <w:b/>
          <w:color w:val="231F20"/>
          <w:sz w:val="28"/>
        </w:rPr>
        <w:t>сопровождения процессов</w:t>
      </w:r>
      <w:r>
        <w:rPr>
          <w:b/>
          <w:color w:val="231F20"/>
          <w:spacing w:val="-18"/>
          <w:sz w:val="28"/>
        </w:rPr>
        <w:t> </w:t>
      </w:r>
      <w:r>
        <w:rPr>
          <w:b/>
          <w:color w:val="231F20"/>
          <w:sz w:val="28"/>
        </w:rPr>
        <w:t>обучения,</w:t>
      </w:r>
      <w:r>
        <w:rPr>
          <w:b/>
          <w:color w:val="231F20"/>
          <w:spacing w:val="-17"/>
          <w:sz w:val="28"/>
        </w:rPr>
        <w:t> </w:t>
      </w:r>
      <w:r>
        <w:rPr>
          <w:b/>
          <w:color w:val="231F20"/>
          <w:sz w:val="28"/>
        </w:rPr>
        <w:t>социальной,</w:t>
      </w:r>
      <w:r>
        <w:rPr>
          <w:b/>
          <w:color w:val="231F20"/>
          <w:spacing w:val="-18"/>
          <w:sz w:val="28"/>
        </w:rPr>
        <w:t> </w:t>
      </w:r>
      <w:r>
        <w:rPr>
          <w:b/>
          <w:color w:val="231F20"/>
          <w:sz w:val="28"/>
        </w:rPr>
        <w:t>языковой</w:t>
      </w:r>
    </w:p>
    <w:p>
      <w:pPr>
        <w:spacing w:line="320" w:lineRule="exact" w:before="0"/>
        <w:ind w:left="372" w:right="0" w:firstLine="0"/>
        <w:jc w:val="left"/>
        <w:rPr>
          <w:b/>
          <w:sz w:val="28"/>
        </w:rPr>
      </w:pPr>
      <w:r>
        <w:rPr>
          <w:b/>
          <w:color w:val="231F20"/>
          <w:sz w:val="28"/>
        </w:rPr>
        <w:t>и</w:t>
      </w:r>
      <w:r>
        <w:rPr>
          <w:b/>
          <w:color w:val="231F20"/>
          <w:spacing w:val="-11"/>
          <w:sz w:val="28"/>
        </w:rPr>
        <w:t> </w:t>
      </w:r>
      <w:r>
        <w:rPr>
          <w:b/>
          <w:color w:val="231F20"/>
          <w:sz w:val="28"/>
        </w:rPr>
        <w:t>культурной</w:t>
      </w:r>
      <w:r>
        <w:rPr>
          <w:b/>
          <w:color w:val="231F20"/>
          <w:spacing w:val="-9"/>
          <w:sz w:val="28"/>
        </w:rPr>
        <w:t> </w:t>
      </w:r>
      <w:r>
        <w:rPr>
          <w:b/>
          <w:color w:val="231F20"/>
          <w:sz w:val="28"/>
        </w:rPr>
        <w:t>адаптации</w:t>
      </w:r>
      <w:r>
        <w:rPr>
          <w:b/>
          <w:color w:val="231F20"/>
          <w:spacing w:val="-9"/>
          <w:sz w:val="28"/>
        </w:rPr>
        <w:t> </w:t>
      </w:r>
      <w:r>
        <w:rPr>
          <w:b/>
          <w:color w:val="231F20"/>
          <w:sz w:val="28"/>
        </w:rPr>
        <w:t>детей</w:t>
      </w:r>
      <w:r>
        <w:rPr>
          <w:b/>
          <w:color w:val="231F20"/>
          <w:spacing w:val="-9"/>
          <w:sz w:val="28"/>
        </w:rPr>
        <w:t> </w:t>
      </w:r>
      <w:r>
        <w:rPr>
          <w:b/>
          <w:color w:val="231F20"/>
          <w:sz w:val="28"/>
        </w:rPr>
        <w:t>иностранных</w:t>
      </w:r>
      <w:r>
        <w:rPr>
          <w:b/>
          <w:color w:val="231F20"/>
          <w:spacing w:val="-8"/>
          <w:sz w:val="28"/>
        </w:rPr>
        <w:t> </w:t>
      </w:r>
      <w:r>
        <w:rPr>
          <w:b/>
          <w:color w:val="231F20"/>
          <w:spacing w:val="-2"/>
          <w:sz w:val="28"/>
        </w:rPr>
        <w:t>граждан</w:t>
      </w:r>
    </w:p>
    <w:p>
      <w:pPr>
        <w:pStyle w:val="BodyText"/>
        <w:spacing w:before="147"/>
        <w:ind w:left="0" w:right="0" w:firstLine="0"/>
        <w:jc w:val="left"/>
        <w:rPr>
          <w:b/>
          <w:sz w:val="28"/>
        </w:rPr>
      </w:pPr>
    </w:p>
    <w:p>
      <w:pPr>
        <w:pStyle w:val="Heading7"/>
      </w:pPr>
      <w:r>
        <w:rPr>
          <w:color w:val="231F20"/>
        </w:rPr>
        <w:t>Под</w:t>
      </w:r>
      <w:r>
        <w:rPr>
          <w:color w:val="231F20"/>
          <w:spacing w:val="-8"/>
        </w:rPr>
        <w:t> </w:t>
      </w:r>
      <w:r>
        <w:rPr>
          <w:color w:val="231F20"/>
          <w:spacing w:val="-4"/>
        </w:rPr>
        <w:t>ред.</w:t>
      </w:r>
    </w:p>
    <w:p>
      <w:pPr>
        <w:pStyle w:val="Heading7"/>
        <w:spacing w:before="78"/>
      </w:pPr>
      <w:r>
        <w:rPr>
          <w:color w:val="231F20"/>
        </w:rPr>
        <w:t>О.Е.</w:t>
      </w:r>
      <w:r>
        <w:rPr>
          <w:color w:val="231F20"/>
          <w:spacing w:val="-6"/>
        </w:rPr>
        <w:t> </w:t>
      </w:r>
      <w:r>
        <w:rPr>
          <w:color w:val="231F20"/>
        </w:rPr>
        <w:t>Хухлаева,</w:t>
      </w:r>
      <w:r>
        <w:rPr>
          <w:color w:val="231F20"/>
          <w:spacing w:val="-3"/>
        </w:rPr>
        <w:t> </w:t>
      </w:r>
      <w:r>
        <w:rPr>
          <w:color w:val="231F20"/>
        </w:rPr>
        <w:t>М.Ю.</w:t>
      </w:r>
      <w:r>
        <w:rPr>
          <w:color w:val="231F20"/>
          <w:spacing w:val="-4"/>
        </w:rPr>
        <w:t> </w:t>
      </w:r>
      <w:r>
        <w:rPr>
          <w:color w:val="231F20"/>
        </w:rPr>
        <w:t>Чибисовой</w:t>
      </w:r>
      <w:r>
        <w:rPr>
          <w:color w:val="231F20"/>
          <w:spacing w:val="-4"/>
        </w:rPr>
        <w:t> </w:t>
      </w:r>
      <w:r>
        <w:rPr>
          <w:color w:val="231F20"/>
        </w:rPr>
        <w:t>и</w:t>
      </w:r>
      <w:r>
        <w:rPr>
          <w:color w:val="231F20"/>
          <w:spacing w:val="-4"/>
        </w:rPr>
        <w:t> </w:t>
      </w:r>
      <w:r>
        <w:rPr>
          <w:color w:val="231F20"/>
        </w:rPr>
        <w:t>Н.В.</w:t>
      </w:r>
      <w:r>
        <w:rPr>
          <w:color w:val="231F20"/>
          <w:spacing w:val="-3"/>
        </w:rPr>
        <w:t> </w:t>
      </w:r>
      <w:r>
        <w:rPr>
          <w:color w:val="231F20"/>
          <w:spacing w:val="-2"/>
        </w:rPr>
        <w:t>Ткаченко</w:t>
      </w:r>
    </w:p>
    <w:p>
      <w:pPr>
        <w:pStyle w:val="BodyText"/>
        <w:spacing w:before="192"/>
        <w:ind w:left="0" w:right="0" w:firstLine="0"/>
        <w:jc w:val="left"/>
        <w:rPr>
          <w:b/>
          <w:sz w:val="26"/>
        </w:rPr>
      </w:pPr>
    </w:p>
    <w:p>
      <w:pPr>
        <w:spacing w:line="278" w:lineRule="auto" w:before="1"/>
        <w:ind w:left="1295" w:right="1293" w:firstLine="0"/>
        <w:jc w:val="center"/>
        <w:rPr>
          <w:b/>
          <w:i/>
          <w:sz w:val="24"/>
        </w:rPr>
      </w:pPr>
      <w:r>
        <w:rPr>
          <w:b/>
          <w:i/>
          <w:color w:val="231F20"/>
          <w:spacing w:val="-2"/>
          <w:sz w:val="24"/>
        </w:rPr>
        <w:t>Рекомендовано</w:t>
      </w:r>
      <w:r>
        <w:rPr>
          <w:b/>
          <w:i/>
          <w:color w:val="231F20"/>
          <w:spacing w:val="-4"/>
          <w:sz w:val="24"/>
        </w:rPr>
        <w:t> </w:t>
      </w:r>
      <w:r>
        <w:rPr>
          <w:b/>
          <w:i/>
          <w:color w:val="231F20"/>
          <w:spacing w:val="-2"/>
          <w:sz w:val="24"/>
        </w:rPr>
        <w:t>к</w:t>
      </w:r>
      <w:r>
        <w:rPr>
          <w:b/>
          <w:i/>
          <w:color w:val="231F20"/>
          <w:spacing w:val="-4"/>
          <w:sz w:val="24"/>
        </w:rPr>
        <w:t> </w:t>
      </w:r>
      <w:r>
        <w:rPr>
          <w:b/>
          <w:i/>
          <w:color w:val="231F20"/>
          <w:spacing w:val="-2"/>
          <w:sz w:val="24"/>
        </w:rPr>
        <w:t>публикации</w:t>
      </w:r>
      <w:r>
        <w:rPr>
          <w:b/>
          <w:i/>
          <w:color w:val="231F20"/>
          <w:spacing w:val="-5"/>
          <w:sz w:val="24"/>
        </w:rPr>
        <w:t> </w:t>
      </w:r>
      <w:r>
        <w:rPr>
          <w:b/>
          <w:i/>
          <w:color w:val="231F20"/>
          <w:spacing w:val="-2"/>
          <w:sz w:val="24"/>
        </w:rPr>
        <w:t>Ученым</w:t>
      </w:r>
      <w:r>
        <w:rPr>
          <w:b/>
          <w:i/>
          <w:color w:val="231F20"/>
          <w:spacing w:val="-5"/>
          <w:sz w:val="24"/>
        </w:rPr>
        <w:t> </w:t>
      </w:r>
      <w:r>
        <w:rPr>
          <w:b/>
          <w:i/>
          <w:color w:val="231F20"/>
          <w:spacing w:val="-2"/>
          <w:sz w:val="24"/>
        </w:rPr>
        <w:t>советом </w:t>
      </w:r>
      <w:r>
        <w:rPr>
          <w:b/>
          <w:i/>
          <w:color w:val="231F20"/>
          <w:sz w:val="24"/>
        </w:rPr>
        <w:t>федерального государственного бюджетного образовательного учреждения высшего образования «Московский государственный психолого-педагогический университет»</w:t>
      </w:r>
    </w:p>
    <w:p>
      <w:pPr>
        <w:pStyle w:val="BodyText"/>
        <w:ind w:left="0" w:right="0" w:firstLine="0"/>
        <w:jc w:val="left"/>
        <w:rPr>
          <w:b/>
          <w:i/>
          <w:sz w:val="24"/>
        </w:rPr>
      </w:pPr>
    </w:p>
    <w:p>
      <w:pPr>
        <w:pStyle w:val="BodyText"/>
        <w:ind w:left="0" w:right="0" w:firstLine="0"/>
        <w:jc w:val="left"/>
        <w:rPr>
          <w:b/>
          <w:i/>
          <w:sz w:val="24"/>
        </w:rPr>
      </w:pPr>
    </w:p>
    <w:p>
      <w:pPr>
        <w:pStyle w:val="BodyText"/>
        <w:ind w:left="0" w:right="0" w:firstLine="0"/>
        <w:jc w:val="left"/>
        <w:rPr>
          <w:b/>
          <w:i/>
          <w:sz w:val="24"/>
        </w:rPr>
      </w:pPr>
    </w:p>
    <w:p>
      <w:pPr>
        <w:pStyle w:val="BodyText"/>
        <w:spacing w:before="119"/>
        <w:ind w:left="0" w:right="0" w:firstLine="0"/>
        <w:jc w:val="left"/>
        <w:rPr>
          <w:b/>
          <w:i/>
          <w:sz w:val="24"/>
        </w:rPr>
      </w:pPr>
    </w:p>
    <w:p>
      <w:pPr>
        <w:spacing w:before="0"/>
        <w:ind w:left="303" w:right="303" w:firstLine="0"/>
        <w:jc w:val="center"/>
        <w:rPr>
          <w:b/>
          <w:sz w:val="20"/>
        </w:rPr>
      </w:pPr>
      <w:r>
        <w:rPr>
          <w:b/>
          <w:color w:val="231F20"/>
          <w:sz w:val="20"/>
        </w:rPr>
        <w:t>Москва,</w:t>
      </w:r>
      <w:r>
        <w:rPr>
          <w:b/>
          <w:color w:val="231F20"/>
          <w:spacing w:val="-3"/>
          <w:sz w:val="20"/>
        </w:rPr>
        <w:t> </w:t>
      </w:r>
      <w:r>
        <w:rPr>
          <w:b/>
          <w:color w:val="231F20"/>
          <w:spacing w:val="-4"/>
          <w:sz w:val="20"/>
        </w:rPr>
        <w:t>2023</w:t>
      </w:r>
    </w:p>
    <w:p>
      <w:pPr>
        <w:spacing w:after="0"/>
        <w:jc w:val="center"/>
        <w:rPr>
          <w:b/>
          <w:sz w:val="20"/>
        </w:rPr>
        <w:sectPr>
          <w:footerReference w:type="default" r:id="rId69"/>
          <w:pgSz w:w="8400" w:h="11910"/>
          <w:pgMar w:header="0" w:footer="0" w:top="1000" w:bottom="280" w:left="425" w:right="425"/>
        </w:sectPr>
      </w:pPr>
    </w:p>
    <w:p>
      <w:pPr>
        <w:pStyle w:val="BodyText"/>
        <w:spacing w:line="228" w:lineRule="exact" w:before="77"/>
        <w:ind w:left="425" w:right="0" w:firstLine="0"/>
        <w:jc w:val="left"/>
      </w:pPr>
      <w:r>
        <w:rPr>
          <w:color w:val="231F20"/>
          <w:spacing w:val="-6"/>
        </w:rPr>
        <w:t>УДК</w:t>
      </w:r>
      <w:r>
        <w:rPr>
          <w:color w:val="231F20"/>
          <w:spacing w:val="-5"/>
        </w:rPr>
        <w:t> </w:t>
      </w:r>
      <w:r>
        <w:rPr>
          <w:color w:val="231F20"/>
          <w:spacing w:val="-2"/>
        </w:rPr>
        <w:t>37.015</w:t>
      </w:r>
    </w:p>
    <w:p>
      <w:pPr>
        <w:pStyle w:val="BodyText"/>
        <w:spacing w:line="226" w:lineRule="exact"/>
        <w:ind w:left="425" w:right="0" w:firstLine="0"/>
        <w:jc w:val="left"/>
      </w:pPr>
      <w:r>
        <w:rPr>
          <w:color w:val="231F20"/>
        </w:rPr>
        <w:t>ББК</w:t>
      </w:r>
      <w:r>
        <w:rPr>
          <w:color w:val="231F20"/>
          <w:spacing w:val="23"/>
        </w:rPr>
        <w:t> </w:t>
      </w:r>
      <w:r>
        <w:rPr>
          <w:color w:val="231F20"/>
          <w:spacing w:val="-4"/>
        </w:rPr>
        <w:t>88.8</w:t>
      </w:r>
    </w:p>
    <w:p>
      <w:pPr>
        <w:pStyle w:val="BodyText"/>
        <w:spacing w:line="228" w:lineRule="exact"/>
        <w:ind w:left="861" w:right="0" w:firstLine="0"/>
        <w:jc w:val="left"/>
      </w:pPr>
      <w:r>
        <w:rPr>
          <w:color w:val="231F20"/>
          <w:spacing w:val="-5"/>
        </w:rPr>
        <w:t>М54</w:t>
      </w:r>
    </w:p>
    <w:p>
      <w:pPr>
        <w:spacing w:line="235" w:lineRule="auto" w:before="225"/>
        <w:ind w:left="425" w:right="139" w:firstLine="0"/>
        <w:jc w:val="both"/>
        <w:rPr>
          <w:sz w:val="20"/>
        </w:rPr>
      </w:pPr>
      <w:r>
        <w:rPr>
          <w:b/>
          <w:color w:val="231F20"/>
          <w:sz w:val="20"/>
        </w:rPr>
        <w:t>Методические рекомендации</w:t>
      </w:r>
      <w:r>
        <w:rPr>
          <w:b/>
          <w:color w:val="231F20"/>
          <w:spacing w:val="40"/>
          <w:sz w:val="20"/>
        </w:rPr>
        <w:t> </w:t>
      </w:r>
      <w:r>
        <w:rPr>
          <w:b/>
          <w:color w:val="231F20"/>
          <w:sz w:val="20"/>
        </w:rPr>
        <w:t>по проведению программы психолого-педа- гогического сопровождения процессов обучения, социальной, языковой и культурной адаптации детей иностранных граждан / </w:t>
      </w:r>
      <w:r>
        <w:rPr>
          <w:color w:val="231F20"/>
          <w:sz w:val="20"/>
        </w:rPr>
        <w:t>Под ред. О.Е.</w:t>
      </w:r>
      <w:r>
        <w:rPr>
          <w:color w:val="231F20"/>
          <w:spacing w:val="-7"/>
          <w:sz w:val="20"/>
        </w:rPr>
        <w:t> </w:t>
      </w:r>
      <w:r>
        <w:rPr>
          <w:color w:val="231F20"/>
          <w:sz w:val="20"/>
        </w:rPr>
        <w:t>Хухлаева, М.Ю. Чибисовой и Н.В. Ткаченко. – М.: ФГБОУ ВО МГППУ, 2023. – 209 с.</w:t>
      </w:r>
    </w:p>
    <w:p>
      <w:pPr>
        <w:spacing w:line="228" w:lineRule="exact" w:before="225"/>
        <w:ind w:left="303" w:right="303" w:firstLine="0"/>
        <w:jc w:val="center"/>
        <w:rPr>
          <w:b/>
          <w:sz w:val="20"/>
        </w:rPr>
      </w:pPr>
      <w:r>
        <w:rPr>
          <w:b/>
          <w:color w:val="231F20"/>
          <w:spacing w:val="-2"/>
          <w:sz w:val="20"/>
        </w:rPr>
        <w:t>Рецензенты:</w:t>
      </w:r>
    </w:p>
    <w:p>
      <w:pPr>
        <w:pStyle w:val="BodyText"/>
        <w:spacing w:line="235" w:lineRule="auto" w:before="2"/>
        <w:ind w:left="1295" w:right="1293" w:firstLine="0"/>
        <w:jc w:val="center"/>
      </w:pPr>
      <w:r>
        <w:rPr>
          <w:color w:val="231F20"/>
        </w:rPr>
        <w:t>доктор</w:t>
      </w:r>
      <w:r>
        <w:rPr>
          <w:color w:val="231F20"/>
          <w:spacing w:val="-13"/>
        </w:rPr>
        <w:t> </w:t>
      </w:r>
      <w:r>
        <w:rPr>
          <w:color w:val="231F20"/>
        </w:rPr>
        <w:t>психологических</w:t>
      </w:r>
      <w:r>
        <w:rPr>
          <w:color w:val="231F20"/>
          <w:spacing w:val="-12"/>
        </w:rPr>
        <w:t> </w:t>
      </w:r>
      <w:r>
        <w:rPr>
          <w:color w:val="231F20"/>
        </w:rPr>
        <w:t>наук,</w:t>
      </w:r>
      <w:r>
        <w:rPr>
          <w:color w:val="231F20"/>
          <w:spacing w:val="-13"/>
        </w:rPr>
        <w:t> </w:t>
      </w:r>
      <w:r>
        <w:rPr>
          <w:color w:val="231F20"/>
        </w:rPr>
        <w:t>профессор</w:t>
      </w:r>
      <w:r>
        <w:rPr>
          <w:color w:val="231F20"/>
          <w:spacing w:val="-12"/>
        </w:rPr>
        <w:t> </w:t>
      </w:r>
      <w:r>
        <w:rPr>
          <w:color w:val="231F20"/>
        </w:rPr>
        <w:t>В.В.</w:t>
      </w:r>
      <w:r>
        <w:rPr>
          <w:color w:val="231F20"/>
          <w:spacing w:val="-13"/>
        </w:rPr>
        <w:t> </w:t>
      </w:r>
      <w:r>
        <w:rPr>
          <w:color w:val="231F20"/>
        </w:rPr>
        <w:t>Гриценко доктор психологических наук, профессор И.В. Вачков</w:t>
      </w:r>
    </w:p>
    <w:p>
      <w:pPr>
        <w:spacing w:line="232" w:lineRule="auto" w:before="221"/>
        <w:ind w:left="425" w:right="422" w:firstLine="283"/>
        <w:jc w:val="both"/>
        <w:rPr>
          <w:sz w:val="18"/>
        </w:rPr>
      </w:pPr>
      <w:r>
        <w:rPr>
          <w:color w:val="231F20"/>
          <w:sz w:val="18"/>
        </w:rPr>
        <w:t>В методических рекомендациях представлено описание программы психолого-пе- </w:t>
      </w:r>
      <w:r>
        <w:rPr>
          <w:color w:val="231F20"/>
          <w:spacing w:val="-2"/>
          <w:sz w:val="18"/>
        </w:rPr>
        <w:t>дагогического сопровождения процессов обучения, социальной, языковой и культурной </w:t>
      </w:r>
      <w:r>
        <w:rPr>
          <w:color w:val="231F20"/>
          <w:sz w:val="18"/>
        </w:rPr>
        <w:t>адаптации детей иностранных граждан. Ее цель – обеспечение социальной инклюзии детей-мигрантов через оказание им дифференцированной психолого-педагогической поддержки и создание в образовательном пространстве определенных образователь- ных условий в соответствии с их особыми образовательными потребностями в сферах психологического</w:t>
      </w:r>
      <w:r>
        <w:rPr>
          <w:color w:val="231F20"/>
          <w:spacing w:val="-8"/>
          <w:sz w:val="18"/>
        </w:rPr>
        <w:t> </w:t>
      </w:r>
      <w:r>
        <w:rPr>
          <w:color w:val="231F20"/>
          <w:sz w:val="18"/>
        </w:rPr>
        <w:t>благополучия,</w:t>
      </w:r>
      <w:r>
        <w:rPr>
          <w:color w:val="231F20"/>
          <w:spacing w:val="-8"/>
          <w:sz w:val="18"/>
        </w:rPr>
        <w:t> </w:t>
      </w:r>
      <w:r>
        <w:rPr>
          <w:color w:val="231F20"/>
          <w:sz w:val="18"/>
        </w:rPr>
        <w:t>социальных</w:t>
      </w:r>
      <w:r>
        <w:rPr>
          <w:color w:val="231F20"/>
          <w:spacing w:val="-8"/>
          <w:sz w:val="18"/>
        </w:rPr>
        <w:t> </w:t>
      </w:r>
      <w:r>
        <w:rPr>
          <w:color w:val="231F20"/>
          <w:sz w:val="18"/>
        </w:rPr>
        <w:t>навыков</w:t>
      </w:r>
      <w:r>
        <w:rPr>
          <w:color w:val="231F20"/>
          <w:spacing w:val="-8"/>
          <w:sz w:val="18"/>
        </w:rPr>
        <w:t> </w:t>
      </w:r>
      <w:r>
        <w:rPr>
          <w:color w:val="231F20"/>
          <w:sz w:val="18"/>
        </w:rPr>
        <w:t>и</w:t>
      </w:r>
      <w:r>
        <w:rPr>
          <w:color w:val="231F20"/>
          <w:spacing w:val="-8"/>
          <w:sz w:val="18"/>
        </w:rPr>
        <w:t> </w:t>
      </w:r>
      <w:r>
        <w:rPr>
          <w:color w:val="231F20"/>
          <w:sz w:val="18"/>
        </w:rPr>
        <w:t>культурной</w:t>
      </w:r>
      <w:r>
        <w:rPr>
          <w:color w:val="231F20"/>
          <w:spacing w:val="-8"/>
          <w:sz w:val="18"/>
        </w:rPr>
        <w:t> </w:t>
      </w:r>
      <w:r>
        <w:rPr>
          <w:color w:val="231F20"/>
          <w:sz w:val="18"/>
        </w:rPr>
        <w:t>адаптации.</w:t>
      </w:r>
      <w:r>
        <w:rPr>
          <w:color w:val="231F20"/>
          <w:spacing w:val="-8"/>
          <w:sz w:val="18"/>
        </w:rPr>
        <w:t> </w:t>
      </w:r>
      <w:r>
        <w:rPr>
          <w:color w:val="231F20"/>
          <w:sz w:val="18"/>
        </w:rPr>
        <w:t>Реали- зация данной программы обеспечивает освоение несовершеннолетним иностранным гражданином</w:t>
      </w:r>
      <w:r>
        <w:rPr>
          <w:color w:val="231F20"/>
          <w:spacing w:val="-4"/>
          <w:sz w:val="18"/>
        </w:rPr>
        <w:t> </w:t>
      </w:r>
      <w:r>
        <w:rPr>
          <w:color w:val="231F20"/>
          <w:sz w:val="18"/>
        </w:rPr>
        <w:t>основной</w:t>
      </w:r>
      <w:r>
        <w:rPr>
          <w:color w:val="231F20"/>
          <w:spacing w:val="-4"/>
          <w:sz w:val="18"/>
        </w:rPr>
        <w:t> </w:t>
      </w:r>
      <w:r>
        <w:rPr>
          <w:color w:val="231F20"/>
          <w:sz w:val="18"/>
        </w:rPr>
        <w:t>образовательной</w:t>
      </w:r>
      <w:r>
        <w:rPr>
          <w:color w:val="231F20"/>
          <w:spacing w:val="-4"/>
          <w:sz w:val="18"/>
        </w:rPr>
        <w:t> </w:t>
      </w:r>
      <w:r>
        <w:rPr>
          <w:color w:val="231F20"/>
          <w:sz w:val="18"/>
        </w:rPr>
        <w:t>программы</w:t>
      </w:r>
      <w:r>
        <w:rPr>
          <w:color w:val="231F20"/>
          <w:spacing w:val="-4"/>
          <w:sz w:val="18"/>
        </w:rPr>
        <w:t> </w:t>
      </w:r>
      <w:r>
        <w:rPr>
          <w:color w:val="231F20"/>
          <w:sz w:val="18"/>
        </w:rPr>
        <w:t>школы,</w:t>
      </w:r>
      <w:r>
        <w:rPr>
          <w:color w:val="231F20"/>
          <w:spacing w:val="-4"/>
          <w:sz w:val="18"/>
        </w:rPr>
        <w:t> </w:t>
      </w:r>
      <w:r>
        <w:rPr>
          <w:color w:val="231F20"/>
          <w:sz w:val="18"/>
        </w:rPr>
        <w:t>рост</w:t>
      </w:r>
      <w:r>
        <w:rPr>
          <w:color w:val="231F20"/>
          <w:spacing w:val="-4"/>
          <w:sz w:val="18"/>
        </w:rPr>
        <w:t> </w:t>
      </w:r>
      <w:r>
        <w:rPr>
          <w:color w:val="231F20"/>
          <w:sz w:val="18"/>
        </w:rPr>
        <w:t>качества</w:t>
      </w:r>
      <w:r>
        <w:rPr>
          <w:color w:val="231F20"/>
          <w:spacing w:val="-4"/>
          <w:sz w:val="18"/>
        </w:rPr>
        <w:t> </w:t>
      </w:r>
      <w:r>
        <w:rPr>
          <w:color w:val="231F20"/>
          <w:sz w:val="18"/>
        </w:rPr>
        <w:t>его</w:t>
      </w:r>
      <w:r>
        <w:rPr>
          <w:color w:val="231F20"/>
          <w:spacing w:val="-4"/>
          <w:sz w:val="18"/>
        </w:rPr>
        <w:t> </w:t>
      </w:r>
      <w:r>
        <w:rPr>
          <w:color w:val="231F20"/>
          <w:sz w:val="18"/>
        </w:rPr>
        <w:t>обучен- ности, формирование его функциональной грамотности, повышает эффективность со- циализации, а также снижает риски правонарушений, девиантного поведения и вовле- ченности детей иностранных граждан в деструктивные группы.</w:t>
      </w:r>
    </w:p>
    <w:p>
      <w:pPr>
        <w:spacing w:line="232" w:lineRule="auto" w:before="0"/>
        <w:ind w:left="425" w:right="423" w:firstLine="283"/>
        <w:jc w:val="both"/>
        <w:rPr>
          <w:sz w:val="18"/>
        </w:rPr>
      </w:pPr>
      <w:r>
        <w:rPr>
          <w:color w:val="231F20"/>
          <w:sz w:val="18"/>
        </w:rPr>
        <w:t>Методические рекомендации подготовлены в рамках НИР «Научно-методическая разработка</w:t>
      </w:r>
      <w:r>
        <w:rPr>
          <w:color w:val="231F20"/>
          <w:spacing w:val="-9"/>
          <w:sz w:val="18"/>
        </w:rPr>
        <w:t> </w:t>
      </w:r>
      <w:r>
        <w:rPr>
          <w:color w:val="231F20"/>
          <w:sz w:val="18"/>
        </w:rPr>
        <w:t>и</w:t>
      </w:r>
      <w:r>
        <w:rPr>
          <w:color w:val="231F20"/>
          <w:spacing w:val="-9"/>
          <w:sz w:val="18"/>
        </w:rPr>
        <w:t> </w:t>
      </w:r>
      <w:r>
        <w:rPr>
          <w:color w:val="231F20"/>
          <w:sz w:val="18"/>
        </w:rPr>
        <w:t>апробация</w:t>
      </w:r>
      <w:r>
        <w:rPr>
          <w:color w:val="231F20"/>
          <w:spacing w:val="-9"/>
          <w:sz w:val="18"/>
        </w:rPr>
        <w:t> </w:t>
      </w:r>
      <w:r>
        <w:rPr>
          <w:color w:val="231F20"/>
          <w:sz w:val="18"/>
        </w:rPr>
        <w:t>системы</w:t>
      </w:r>
      <w:r>
        <w:rPr>
          <w:color w:val="231F20"/>
          <w:spacing w:val="-9"/>
          <w:sz w:val="18"/>
        </w:rPr>
        <w:t> </w:t>
      </w:r>
      <w:r>
        <w:rPr>
          <w:color w:val="231F20"/>
          <w:sz w:val="18"/>
        </w:rPr>
        <w:t>выявления</w:t>
      </w:r>
      <w:r>
        <w:rPr>
          <w:color w:val="231F20"/>
          <w:spacing w:val="-9"/>
          <w:sz w:val="18"/>
        </w:rPr>
        <w:t> </w:t>
      </w:r>
      <w:r>
        <w:rPr>
          <w:color w:val="231F20"/>
          <w:sz w:val="18"/>
        </w:rPr>
        <w:t>особых</w:t>
      </w:r>
      <w:r>
        <w:rPr>
          <w:color w:val="231F20"/>
          <w:spacing w:val="-9"/>
          <w:sz w:val="18"/>
        </w:rPr>
        <w:t> </w:t>
      </w:r>
      <w:r>
        <w:rPr>
          <w:color w:val="231F20"/>
          <w:sz w:val="18"/>
        </w:rPr>
        <w:t>образовательных</w:t>
      </w:r>
      <w:r>
        <w:rPr>
          <w:color w:val="231F20"/>
          <w:spacing w:val="-9"/>
          <w:sz w:val="18"/>
        </w:rPr>
        <w:t> </w:t>
      </w:r>
      <w:r>
        <w:rPr>
          <w:color w:val="231F20"/>
          <w:sz w:val="18"/>
        </w:rPr>
        <w:t>потребностей</w:t>
      </w:r>
      <w:r>
        <w:rPr>
          <w:color w:val="231F20"/>
          <w:spacing w:val="-9"/>
          <w:sz w:val="18"/>
        </w:rPr>
        <w:t> </w:t>
      </w:r>
      <w:r>
        <w:rPr>
          <w:color w:val="231F20"/>
          <w:sz w:val="18"/>
        </w:rPr>
        <w:t>не- совершеннолетних иностранных граждан и необходимого психолого-педагогического сопровождения процессов их обучения, социальной и культурной адаптации», выпол- няемого</w:t>
      </w:r>
      <w:r>
        <w:rPr>
          <w:color w:val="231F20"/>
          <w:spacing w:val="-3"/>
          <w:sz w:val="18"/>
        </w:rPr>
        <w:t> </w:t>
      </w:r>
      <w:r>
        <w:rPr>
          <w:color w:val="231F20"/>
          <w:sz w:val="18"/>
        </w:rPr>
        <w:t>в</w:t>
      </w:r>
      <w:r>
        <w:rPr>
          <w:color w:val="231F20"/>
          <w:spacing w:val="-4"/>
          <w:sz w:val="18"/>
        </w:rPr>
        <w:t> </w:t>
      </w:r>
      <w:r>
        <w:rPr>
          <w:color w:val="231F20"/>
          <w:sz w:val="18"/>
        </w:rPr>
        <w:t>рамках</w:t>
      </w:r>
      <w:r>
        <w:rPr>
          <w:color w:val="231F20"/>
          <w:spacing w:val="-4"/>
          <w:sz w:val="18"/>
        </w:rPr>
        <w:t> </w:t>
      </w:r>
      <w:r>
        <w:rPr>
          <w:color w:val="231F20"/>
          <w:sz w:val="18"/>
        </w:rPr>
        <w:t>государственного</w:t>
      </w:r>
      <w:r>
        <w:rPr>
          <w:color w:val="231F20"/>
          <w:spacing w:val="-3"/>
          <w:sz w:val="18"/>
        </w:rPr>
        <w:t> </w:t>
      </w:r>
      <w:r>
        <w:rPr>
          <w:color w:val="231F20"/>
          <w:sz w:val="18"/>
        </w:rPr>
        <w:t>задания</w:t>
      </w:r>
      <w:r>
        <w:rPr>
          <w:color w:val="231F20"/>
          <w:spacing w:val="-4"/>
          <w:sz w:val="18"/>
        </w:rPr>
        <w:t> </w:t>
      </w:r>
      <w:r>
        <w:rPr>
          <w:color w:val="231F20"/>
          <w:sz w:val="18"/>
        </w:rPr>
        <w:t>ФГБОУ</w:t>
      </w:r>
      <w:r>
        <w:rPr>
          <w:color w:val="231F20"/>
          <w:spacing w:val="-3"/>
          <w:sz w:val="18"/>
        </w:rPr>
        <w:t> </w:t>
      </w:r>
      <w:r>
        <w:rPr>
          <w:color w:val="231F20"/>
          <w:sz w:val="18"/>
        </w:rPr>
        <w:t>ВО</w:t>
      </w:r>
      <w:r>
        <w:rPr>
          <w:color w:val="231F20"/>
          <w:spacing w:val="-3"/>
          <w:sz w:val="18"/>
        </w:rPr>
        <w:t> </w:t>
      </w:r>
      <w:r>
        <w:rPr>
          <w:color w:val="231F20"/>
          <w:sz w:val="18"/>
        </w:rPr>
        <w:t>МГППУ</w:t>
      </w:r>
      <w:r>
        <w:rPr>
          <w:color w:val="231F20"/>
          <w:spacing w:val="-3"/>
          <w:sz w:val="18"/>
        </w:rPr>
        <w:t> </w:t>
      </w:r>
      <w:r>
        <w:rPr>
          <w:color w:val="231F20"/>
          <w:sz w:val="18"/>
        </w:rPr>
        <w:t>на</w:t>
      </w:r>
      <w:r>
        <w:rPr>
          <w:color w:val="231F20"/>
          <w:spacing w:val="-4"/>
          <w:sz w:val="18"/>
        </w:rPr>
        <w:t> </w:t>
      </w:r>
      <w:r>
        <w:rPr>
          <w:color w:val="231F20"/>
          <w:sz w:val="18"/>
        </w:rPr>
        <w:t>2022</w:t>
      </w:r>
      <w:r>
        <w:rPr>
          <w:color w:val="231F20"/>
          <w:spacing w:val="-7"/>
          <w:sz w:val="18"/>
        </w:rPr>
        <w:t> </w:t>
      </w:r>
      <w:r>
        <w:rPr>
          <w:color w:val="231F20"/>
          <w:sz w:val="18"/>
        </w:rPr>
        <w:t>г.</w:t>
      </w:r>
      <w:r>
        <w:rPr>
          <w:color w:val="231F20"/>
          <w:spacing w:val="-4"/>
          <w:sz w:val="18"/>
        </w:rPr>
        <w:t> </w:t>
      </w:r>
      <w:r>
        <w:rPr>
          <w:color w:val="231F20"/>
          <w:sz w:val="18"/>
        </w:rPr>
        <w:t>По</w:t>
      </w:r>
      <w:r>
        <w:rPr>
          <w:color w:val="231F20"/>
          <w:spacing w:val="-3"/>
          <w:sz w:val="18"/>
        </w:rPr>
        <w:t> </w:t>
      </w:r>
      <w:r>
        <w:rPr>
          <w:color w:val="231F20"/>
          <w:sz w:val="18"/>
        </w:rPr>
        <w:t>резуль- татам</w:t>
      </w:r>
      <w:r>
        <w:rPr>
          <w:color w:val="231F20"/>
          <w:spacing w:val="-2"/>
          <w:sz w:val="18"/>
        </w:rPr>
        <w:t> </w:t>
      </w:r>
      <w:r>
        <w:rPr>
          <w:color w:val="231F20"/>
          <w:sz w:val="18"/>
        </w:rPr>
        <w:t>апробации</w:t>
      </w:r>
      <w:r>
        <w:rPr>
          <w:color w:val="231F20"/>
          <w:spacing w:val="-2"/>
          <w:sz w:val="18"/>
        </w:rPr>
        <w:t> </w:t>
      </w:r>
      <w:r>
        <w:rPr>
          <w:color w:val="231F20"/>
          <w:sz w:val="18"/>
        </w:rPr>
        <w:t>программы</w:t>
      </w:r>
      <w:r>
        <w:rPr>
          <w:color w:val="231F20"/>
          <w:spacing w:val="-2"/>
          <w:sz w:val="18"/>
        </w:rPr>
        <w:t> </w:t>
      </w:r>
      <w:r>
        <w:rPr>
          <w:color w:val="231F20"/>
          <w:sz w:val="18"/>
        </w:rPr>
        <w:t>психолого-педагогического</w:t>
      </w:r>
      <w:r>
        <w:rPr>
          <w:color w:val="231F20"/>
          <w:spacing w:val="-2"/>
          <w:sz w:val="18"/>
        </w:rPr>
        <w:t> </w:t>
      </w:r>
      <w:r>
        <w:rPr>
          <w:color w:val="231F20"/>
          <w:sz w:val="18"/>
        </w:rPr>
        <w:t>сопровождения</w:t>
      </w:r>
      <w:r>
        <w:rPr>
          <w:color w:val="231F20"/>
          <w:spacing w:val="-2"/>
          <w:sz w:val="18"/>
        </w:rPr>
        <w:t> </w:t>
      </w:r>
      <w:r>
        <w:rPr>
          <w:color w:val="231F20"/>
          <w:sz w:val="18"/>
        </w:rPr>
        <w:t>в</w:t>
      </w:r>
      <w:r>
        <w:rPr>
          <w:color w:val="231F20"/>
          <w:spacing w:val="-2"/>
          <w:sz w:val="18"/>
        </w:rPr>
        <w:t> </w:t>
      </w:r>
      <w:r>
        <w:rPr>
          <w:color w:val="231F20"/>
          <w:sz w:val="18"/>
        </w:rPr>
        <w:t>2023</w:t>
      </w:r>
      <w:r>
        <w:rPr>
          <w:color w:val="231F20"/>
          <w:spacing w:val="-2"/>
          <w:sz w:val="18"/>
        </w:rPr>
        <w:t> </w:t>
      </w:r>
      <w:r>
        <w:rPr>
          <w:color w:val="231F20"/>
          <w:sz w:val="18"/>
        </w:rPr>
        <w:t>году</w:t>
      </w:r>
      <w:r>
        <w:rPr>
          <w:color w:val="231F20"/>
          <w:spacing w:val="-2"/>
          <w:sz w:val="18"/>
        </w:rPr>
        <w:t> </w:t>
      </w:r>
      <w:r>
        <w:rPr>
          <w:color w:val="231F20"/>
          <w:sz w:val="18"/>
        </w:rPr>
        <w:t>в рамках</w:t>
      </w:r>
      <w:r>
        <w:rPr>
          <w:color w:val="231F20"/>
          <w:spacing w:val="-6"/>
          <w:sz w:val="18"/>
        </w:rPr>
        <w:t> </w:t>
      </w:r>
      <w:r>
        <w:rPr>
          <w:color w:val="231F20"/>
          <w:sz w:val="18"/>
        </w:rPr>
        <w:t>реализации</w:t>
      </w:r>
      <w:r>
        <w:rPr>
          <w:color w:val="231F20"/>
          <w:spacing w:val="-6"/>
          <w:sz w:val="18"/>
        </w:rPr>
        <w:t> </w:t>
      </w:r>
      <w:r>
        <w:rPr>
          <w:color w:val="231F20"/>
          <w:sz w:val="18"/>
        </w:rPr>
        <w:t>Государственного</w:t>
      </w:r>
      <w:r>
        <w:rPr>
          <w:color w:val="231F20"/>
          <w:spacing w:val="-6"/>
          <w:sz w:val="18"/>
        </w:rPr>
        <w:t> </w:t>
      </w:r>
      <w:r>
        <w:rPr>
          <w:color w:val="231F20"/>
          <w:sz w:val="18"/>
        </w:rPr>
        <w:t>задания</w:t>
      </w:r>
      <w:r>
        <w:rPr>
          <w:color w:val="231F20"/>
          <w:spacing w:val="-6"/>
          <w:sz w:val="18"/>
        </w:rPr>
        <w:t> </w:t>
      </w:r>
      <w:r>
        <w:rPr>
          <w:color w:val="231F20"/>
          <w:sz w:val="18"/>
        </w:rPr>
        <w:t>Министерства</w:t>
      </w:r>
      <w:r>
        <w:rPr>
          <w:color w:val="231F20"/>
          <w:spacing w:val="-6"/>
          <w:sz w:val="18"/>
        </w:rPr>
        <w:t> </w:t>
      </w:r>
      <w:r>
        <w:rPr>
          <w:color w:val="231F20"/>
          <w:sz w:val="18"/>
        </w:rPr>
        <w:t>просвещения</w:t>
      </w:r>
      <w:r>
        <w:rPr>
          <w:color w:val="231F20"/>
          <w:spacing w:val="-6"/>
          <w:sz w:val="18"/>
        </w:rPr>
        <w:t> </w:t>
      </w:r>
      <w:r>
        <w:rPr>
          <w:color w:val="231F20"/>
          <w:sz w:val="18"/>
        </w:rPr>
        <w:t>Российской Федерации № 073-00038-23-01 от 08.02.2023 г. «Оценка эффективности реализации программы психолого-педагогического сопровождения процессов обучения, социаль- ной, языковой и культурной адаптации детей иностранных граждан, обучающихся в общеобразовательных</w:t>
      </w:r>
      <w:r>
        <w:rPr>
          <w:color w:val="231F20"/>
          <w:spacing w:val="-2"/>
          <w:sz w:val="18"/>
        </w:rPr>
        <w:t> </w:t>
      </w:r>
      <w:r>
        <w:rPr>
          <w:color w:val="231F20"/>
          <w:sz w:val="18"/>
        </w:rPr>
        <w:t>организациях</w:t>
      </w:r>
      <w:r>
        <w:rPr>
          <w:color w:val="231F20"/>
          <w:spacing w:val="-2"/>
          <w:sz w:val="18"/>
        </w:rPr>
        <w:t> </w:t>
      </w:r>
      <w:r>
        <w:rPr>
          <w:color w:val="231F20"/>
          <w:sz w:val="18"/>
        </w:rPr>
        <w:t>(на</w:t>
      </w:r>
      <w:r>
        <w:rPr>
          <w:color w:val="231F20"/>
          <w:spacing w:val="-2"/>
          <w:sz w:val="18"/>
        </w:rPr>
        <w:t> </w:t>
      </w:r>
      <w:r>
        <w:rPr>
          <w:color w:val="231F20"/>
          <w:sz w:val="18"/>
        </w:rPr>
        <w:t>основе</w:t>
      </w:r>
      <w:r>
        <w:rPr>
          <w:color w:val="231F20"/>
          <w:spacing w:val="-2"/>
          <w:sz w:val="18"/>
        </w:rPr>
        <w:t> </w:t>
      </w:r>
      <w:r>
        <w:rPr>
          <w:color w:val="231F20"/>
          <w:sz w:val="18"/>
        </w:rPr>
        <w:t>доказательного</w:t>
      </w:r>
      <w:r>
        <w:rPr>
          <w:color w:val="231F20"/>
          <w:spacing w:val="-2"/>
          <w:sz w:val="18"/>
        </w:rPr>
        <w:t> </w:t>
      </w:r>
      <w:r>
        <w:rPr>
          <w:color w:val="231F20"/>
          <w:sz w:val="18"/>
        </w:rPr>
        <w:t>подхода</w:t>
      </w:r>
      <w:r>
        <w:rPr>
          <w:color w:val="231F20"/>
          <w:spacing w:val="-2"/>
          <w:sz w:val="18"/>
        </w:rPr>
        <w:t> </w:t>
      </w:r>
      <w:r>
        <w:rPr>
          <w:color w:val="231F20"/>
          <w:sz w:val="18"/>
        </w:rPr>
        <w:t>к</w:t>
      </w:r>
      <w:r>
        <w:rPr>
          <w:color w:val="231F20"/>
          <w:spacing w:val="-2"/>
          <w:sz w:val="18"/>
        </w:rPr>
        <w:t> </w:t>
      </w:r>
      <w:r>
        <w:rPr>
          <w:color w:val="231F20"/>
          <w:sz w:val="18"/>
        </w:rPr>
        <w:t>социальным практикам в сфере детства и дифференцированного подхода к обучению детей ино- </w:t>
      </w:r>
      <w:r>
        <w:rPr>
          <w:color w:val="231F20"/>
          <w:spacing w:val="-2"/>
          <w:sz w:val="18"/>
        </w:rPr>
        <w:t>странных граждан)» в текст методических рекомендаций внесена информация о резуль- </w:t>
      </w:r>
      <w:r>
        <w:rPr>
          <w:color w:val="231F20"/>
          <w:sz w:val="18"/>
        </w:rPr>
        <w:t>татах апробации, а также произведена коррекция содержания и методов программы.</w:t>
      </w:r>
    </w:p>
    <w:p>
      <w:pPr>
        <w:pStyle w:val="BodyText"/>
        <w:ind w:left="0" w:right="0" w:firstLine="0"/>
        <w:jc w:val="left"/>
        <w:rPr>
          <w:sz w:val="18"/>
        </w:rPr>
      </w:pPr>
    </w:p>
    <w:p>
      <w:pPr>
        <w:pStyle w:val="BodyText"/>
        <w:spacing w:before="20"/>
        <w:ind w:left="0" w:right="0" w:firstLine="0"/>
        <w:jc w:val="left"/>
        <w:rPr>
          <w:sz w:val="18"/>
        </w:rPr>
      </w:pPr>
    </w:p>
    <w:p>
      <w:pPr>
        <w:pStyle w:val="BodyText"/>
        <w:ind w:left="425" w:right="0" w:firstLine="0"/>
      </w:pPr>
      <w:r>
        <w:rPr>
          <w:color w:val="231F20"/>
        </w:rPr>
        <w:t>ISBN</w:t>
      </w:r>
      <w:r>
        <w:rPr>
          <w:color w:val="231F20"/>
          <w:spacing w:val="-4"/>
        </w:rPr>
        <w:t> </w:t>
      </w:r>
      <w:r>
        <w:rPr>
          <w:color w:val="231F20"/>
        </w:rPr>
        <w:t>978-5-94051-282-</w:t>
      </w:r>
      <w:r>
        <w:rPr>
          <w:color w:val="231F20"/>
          <w:spacing w:val="-10"/>
        </w:rPr>
        <w:t>0</w:t>
      </w:r>
    </w:p>
    <w:p>
      <w:pPr>
        <w:pStyle w:val="BodyText"/>
        <w:spacing w:before="218"/>
        <w:ind w:left="0" w:right="0" w:firstLine="0"/>
        <w:jc w:val="left"/>
      </w:pPr>
    </w:p>
    <w:p>
      <w:pPr>
        <w:pStyle w:val="BodyText"/>
        <w:spacing w:line="228" w:lineRule="exact"/>
        <w:ind w:left="4847" w:right="0" w:firstLine="0"/>
        <w:jc w:val="left"/>
      </w:pPr>
      <w:r>
        <w:rPr>
          <w:color w:val="231F20"/>
          <w:spacing w:val="-2"/>
        </w:rPr>
        <w:t>©</w:t>
      </w:r>
      <w:r>
        <w:rPr>
          <w:color w:val="231F20"/>
          <w:spacing w:val="-8"/>
        </w:rPr>
        <w:t> </w:t>
      </w:r>
      <w:r>
        <w:rPr>
          <w:color w:val="231F20"/>
          <w:spacing w:val="-2"/>
        </w:rPr>
        <w:t>ФГБОУ</w:t>
      </w:r>
      <w:r>
        <w:rPr>
          <w:color w:val="231F20"/>
          <w:spacing w:val="-6"/>
        </w:rPr>
        <w:t> </w:t>
      </w:r>
      <w:r>
        <w:rPr>
          <w:color w:val="231F20"/>
          <w:spacing w:val="-2"/>
        </w:rPr>
        <w:t>ВО</w:t>
      </w:r>
      <w:r>
        <w:rPr>
          <w:color w:val="231F20"/>
          <w:spacing w:val="-6"/>
        </w:rPr>
        <w:t> </w:t>
      </w:r>
      <w:r>
        <w:rPr>
          <w:color w:val="231F20"/>
          <w:spacing w:val="-2"/>
        </w:rPr>
        <w:t>МГППУ,</w:t>
      </w:r>
      <w:r>
        <w:rPr>
          <w:color w:val="231F20"/>
          <w:spacing w:val="-5"/>
        </w:rPr>
        <w:t> </w:t>
      </w:r>
      <w:r>
        <w:rPr>
          <w:color w:val="231F20"/>
          <w:spacing w:val="-2"/>
        </w:rPr>
        <w:t>2023.</w:t>
      </w:r>
    </w:p>
    <w:p>
      <w:pPr>
        <w:pStyle w:val="BodyText"/>
        <w:spacing w:line="226" w:lineRule="exact"/>
        <w:ind w:left="4847" w:right="0" w:firstLine="0"/>
        <w:jc w:val="left"/>
      </w:pPr>
      <w:r>
        <w:rPr>
          <w:color w:val="231F20"/>
        </w:rPr>
        <w:t>©</w:t>
      </w:r>
      <w:r>
        <w:rPr>
          <w:color w:val="231F20"/>
          <w:spacing w:val="-8"/>
        </w:rPr>
        <w:t> </w:t>
      </w:r>
      <w:r>
        <w:rPr>
          <w:color w:val="231F20"/>
        </w:rPr>
        <w:t>Хухлаев</w:t>
      </w:r>
      <w:r>
        <w:rPr>
          <w:color w:val="231F20"/>
          <w:spacing w:val="-9"/>
        </w:rPr>
        <w:t> </w:t>
      </w:r>
      <w:r>
        <w:rPr>
          <w:color w:val="231F20"/>
        </w:rPr>
        <w:t>О.Е.,</w:t>
      </w:r>
      <w:r>
        <w:rPr>
          <w:color w:val="231F20"/>
          <w:spacing w:val="-7"/>
        </w:rPr>
        <w:t> </w:t>
      </w:r>
      <w:r>
        <w:rPr>
          <w:color w:val="231F20"/>
          <w:spacing w:val="-2"/>
        </w:rPr>
        <w:t>2023.</w:t>
      </w:r>
    </w:p>
    <w:p>
      <w:pPr>
        <w:pStyle w:val="BodyText"/>
        <w:spacing w:line="226" w:lineRule="exact"/>
        <w:ind w:left="4847" w:right="0" w:firstLine="0"/>
        <w:jc w:val="left"/>
      </w:pPr>
      <w:r>
        <w:rPr>
          <w:color w:val="231F20"/>
        </w:rPr>
        <w:t>©</w:t>
      </w:r>
      <w:r>
        <w:rPr>
          <w:color w:val="231F20"/>
          <w:spacing w:val="-3"/>
        </w:rPr>
        <w:t> </w:t>
      </w:r>
      <w:r>
        <w:rPr>
          <w:color w:val="231F20"/>
        </w:rPr>
        <w:t>Чибисова</w:t>
      </w:r>
      <w:r>
        <w:rPr>
          <w:color w:val="231F20"/>
          <w:spacing w:val="-3"/>
        </w:rPr>
        <w:t> </w:t>
      </w:r>
      <w:r>
        <w:rPr>
          <w:color w:val="231F20"/>
        </w:rPr>
        <w:t>М.Ю.,</w:t>
      </w:r>
      <w:r>
        <w:rPr>
          <w:color w:val="231F20"/>
          <w:spacing w:val="-3"/>
        </w:rPr>
        <w:t> </w:t>
      </w:r>
      <w:r>
        <w:rPr>
          <w:color w:val="231F20"/>
          <w:spacing w:val="-2"/>
        </w:rPr>
        <w:t>2023.</w:t>
      </w:r>
    </w:p>
    <w:p>
      <w:pPr>
        <w:pStyle w:val="BodyText"/>
        <w:spacing w:line="228" w:lineRule="exact"/>
        <w:ind w:left="4847" w:right="0" w:firstLine="0"/>
        <w:jc w:val="left"/>
      </w:pPr>
      <w:r>
        <w:rPr>
          <w:color w:val="231F20"/>
        </w:rPr>
        <w:t>©</w:t>
      </w:r>
      <w:r>
        <w:rPr>
          <w:color w:val="231F20"/>
          <w:spacing w:val="-10"/>
        </w:rPr>
        <w:t> </w:t>
      </w:r>
      <w:r>
        <w:rPr>
          <w:color w:val="231F20"/>
        </w:rPr>
        <w:t>Ткаченко</w:t>
      </w:r>
      <w:r>
        <w:rPr>
          <w:color w:val="231F20"/>
          <w:spacing w:val="-10"/>
        </w:rPr>
        <w:t> </w:t>
      </w:r>
      <w:r>
        <w:rPr>
          <w:color w:val="231F20"/>
        </w:rPr>
        <w:t>Н.В.,</w:t>
      </w:r>
      <w:r>
        <w:rPr>
          <w:color w:val="231F20"/>
          <w:spacing w:val="-9"/>
        </w:rPr>
        <w:t> </w:t>
      </w:r>
      <w:r>
        <w:rPr>
          <w:color w:val="231F20"/>
          <w:spacing w:val="-2"/>
        </w:rPr>
        <w:t>2023.</w:t>
      </w:r>
    </w:p>
    <w:p>
      <w:pPr>
        <w:pStyle w:val="BodyText"/>
        <w:spacing w:after="0" w:line="228" w:lineRule="exact"/>
        <w:jc w:val="left"/>
        <w:sectPr>
          <w:footerReference w:type="default" r:id="rId71"/>
          <w:pgSz w:w="8400" w:h="11910"/>
          <w:pgMar w:header="0" w:footer="0" w:top="720" w:bottom="280" w:left="425" w:right="425"/>
        </w:sectPr>
      </w:pPr>
    </w:p>
    <w:p>
      <w:pPr>
        <w:spacing w:before="67"/>
        <w:ind w:left="303" w:right="303" w:firstLine="0"/>
        <w:jc w:val="center"/>
        <w:rPr>
          <w:b/>
          <w:sz w:val="28"/>
        </w:rPr>
      </w:pPr>
      <w:r>
        <w:rPr>
          <w:b/>
          <w:color w:val="231F20"/>
          <w:spacing w:val="-2"/>
          <w:sz w:val="28"/>
        </w:rPr>
        <w:t>Содержание</w:t>
      </w:r>
    </w:p>
    <w:p>
      <w:pPr>
        <w:tabs>
          <w:tab w:pos="7361" w:val="right" w:leader="dot"/>
        </w:tabs>
        <w:spacing w:before="155"/>
        <w:ind w:left="141" w:right="0" w:firstLine="0"/>
        <w:jc w:val="left"/>
        <w:rPr>
          <w:sz w:val="18"/>
        </w:rPr>
      </w:pPr>
      <w:hyperlink w:history="true" w:anchor="_bookmark34">
        <w:r>
          <w:rPr>
            <w:b/>
            <w:color w:val="2255A6"/>
            <w:spacing w:val="-2"/>
            <w:sz w:val="18"/>
            <w:u w:val="single" w:color="2255A6"/>
          </w:rPr>
          <w:t>ВВЕДЕНИЕ</w:t>
        </w:r>
        <w:r>
          <w:rPr>
            <w:color w:val="2255A6"/>
            <w:sz w:val="18"/>
          </w:rPr>
          <w:tab/>
        </w:r>
        <w:r>
          <w:rPr>
            <w:color w:val="231F20"/>
            <w:spacing w:val="-10"/>
            <w:sz w:val="18"/>
          </w:rPr>
          <w:t>6</w:t>
        </w:r>
      </w:hyperlink>
    </w:p>
    <w:p>
      <w:pPr>
        <w:spacing w:before="177"/>
        <w:ind w:left="303" w:right="303" w:firstLine="0"/>
        <w:jc w:val="center"/>
        <w:rPr>
          <w:b/>
          <w:sz w:val="18"/>
        </w:rPr>
      </w:pPr>
      <w:hyperlink w:history="true" w:anchor="_bookmark35">
        <w:r>
          <w:rPr>
            <w:b/>
            <w:color w:val="2255A6"/>
            <w:sz w:val="18"/>
            <w:u w:val="single" w:color="2255A6"/>
          </w:rPr>
          <w:t>РАЗДЕЛ</w:t>
        </w:r>
        <w:r>
          <w:rPr>
            <w:b/>
            <w:color w:val="2255A6"/>
            <w:spacing w:val="-9"/>
            <w:sz w:val="18"/>
            <w:u w:val="single" w:color="2255A6"/>
          </w:rPr>
          <w:t> </w:t>
        </w:r>
        <w:r>
          <w:rPr>
            <w:b/>
            <w:color w:val="2255A6"/>
            <w:spacing w:val="-5"/>
            <w:sz w:val="18"/>
            <w:u w:val="single" w:color="2255A6"/>
          </w:rPr>
          <w:t>1.</w:t>
        </w:r>
      </w:hyperlink>
    </w:p>
    <w:p>
      <w:pPr>
        <w:spacing w:line="247" w:lineRule="auto" w:before="7"/>
        <w:ind w:left="2092" w:right="1507" w:hanging="239"/>
        <w:jc w:val="left"/>
        <w:rPr>
          <w:b/>
          <w:sz w:val="18"/>
        </w:rPr>
      </w:pPr>
      <w:hyperlink w:history="true" w:anchor="_bookmark35">
        <w:r>
          <w:rPr>
            <w:b/>
            <w:color w:val="2255A6"/>
            <w:sz w:val="18"/>
            <w:u w:val="single" w:color="2255A6"/>
          </w:rPr>
          <w:t>Работа</w:t>
        </w:r>
        <w:r>
          <w:rPr>
            <w:b/>
            <w:color w:val="2255A6"/>
            <w:spacing w:val="-12"/>
            <w:sz w:val="18"/>
            <w:u w:val="single" w:color="2255A6"/>
          </w:rPr>
          <w:t> </w:t>
        </w:r>
        <w:r>
          <w:rPr>
            <w:b/>
            <w:color w:val="2255A6"/>
            <w:sz w:val="18"/>
            <w:u w:val="single" w:color="2255A6"/>
          </w:rPr>
          <w:t>педагога-психолога</w:t>
        </w:r>
        <w:r>
          <w:rPr>
            <w:b/>
            <w:color w:val="2255A6"/>
            <w:spacing w:val="-11"/>
            <w:sz w:val="18"/>
            <w:u w:val="single" w:color="2255A6"/>
          </w:rPr>
          <w:t> </w:t>
        </w:r>
        <w:r>
          <w:rPr>
            <w:b/>
            <w:color w:val="2255A6"/>
            <w:sz w:val="18"/>
            <w:u w:val="single" w:color="2255A6"/>
          </w:rPr>
          <w:t>по</w:t>
        </w:r>
        <w:r>
          <w:rPr>
            <w:b/>
            <w:color w:val="2255A6"/>
            <w:spacing w:val="-11"/>
            <w:sz w:val="18"/>
            <w:u w:val="single" w:color="2255A6"/>
          </w:rPr>
          <w:t> </w:t>
        </w:r>
        <w:r>
          <w:rPr>
            <w:b/>
            <w:color w:val="2255A6"/>
            <w:sz w:val="18"/>
            <w:u w:val="single" w:color="2255A6"/>
          </w:rPr>
          <w:t>индивидуальной</w:t>
        </w:r>
      </w:hyperlink>
      <w:r>
        <w:rPr>
          <w:b/>
          <w:color w:val="2255A6"/>
          <w:sz w:val="18"/>
        </w:rPr>
        <w:t> </w:t>
      </w:r>
      <w:hyperlink w:history="true" w:anchor="_bookmark35">
        <w:r>
          <w:rPr>
            <w:b/>
            <w:color w:val="2255A6"/>
            <w:sz w:val="18"/>
            <w:u w:val="single" w:color="2255A6"/>
          </w:rPr>
          <w:t>поддержке детей – иностранных граждан</w:t>
        </w:r>
      </w:hyperlink>
    </w:p>
    <w:p>
      <w:pPr>
        <w:pStyle w:val="ListParagraph"/>
        <w:numPr>
          <w:ilvl w:val="1"/>
          <w:numId w:val="34"/>
        </w:numPr>
        <w:tabs>
          <w:tab w:pos="411" w:val="left" w:leader="none"/>
        </w:tabs>
        <w:spacing w:line="240" w:lineRule="auto" w:before="59" w:after="0"/>
        <w:ind w:left="411" w:right="0" w:hanging="270"/>
        <w:jc w:val="left"/>
        <w:rPr>
          <w:sz w:val="18"/>
        </w:rPr>
      </w:pPr>
      <w:hyperlink w:history="true" w:anchor="_bookmark36">
        <w:r>
          <w:rPr>
            <w:color w:val="2255A6"/>
            <w:spacing w:val="-6"/>
            <w:sz w:val="18"/>
            <w:u w:val="single" w:color="2255A6"/>
          </w:rPr>
          <w:t> </w:t>
        </w:r>
        <w:r>
          <w:rPr>
            <w:color w:val="2255A6"/>
            <w:sz w:val="18"/>
            <w:u w:val="single" w:color="2255A6"/>
          </w:rPr>
          <w:t>​Планирование</w:t>
        </w:r>
        <w:r>
          <w:rPr>
            <w:color w:val="2255A6"/>
            <w:spacing w:val="-3"/>
            <w:sz w:val="18"/>
            <w:u w:val="single" w:color="2255A6"/>
          </w:rPr>
          <w:t> </w:t>
        </w:r>
        <w:r>
          <w:rPr>
            <w:color w:val="2255A6"/>
            <w:sz w:val="18"/>
            <w:u w:val="single" w:color="2255A6"/>
          </w:rPr>
          <w:t>и</w:t>
        </w:r>
        <w:r>
          <w:rPr>
            <w:color w:val="2255A6"/>
            <w:spacing w:val="-4"/>
            <w:sz w:val="18"/>
            <w:u w:val="single" w:color="2255A6"/>
          </w:rPr>
          <w:t> </w:t>
        </w:r>
        <w:r>
          <w:rPr>
            <w:color w:val="2255A6"/>
            <w:sz w:val="18"/>
            <w:u w:val="single" w:color="2255A6"/>
          </w:rPr>
          <w:t>организация</w:t>
        </w:r>
        <w:r>
          <w:rPr>
            <w:color w:val="2255A6"/>
            <w:spacing w:val="-3"/>
            <w:sz w:val="18"/>
            <w:u w:val="single" w:color="2255A6"/>
          </w:rPr>
          <w:t> </w:t>
        </w:r>
        <w:r>
          <w:rPr>
            <w:color w:val="2255A6"/>
            <w:sz w:val="18"/>
            <w:u w:val="single" w:color="2255A6"/>
          </w:rPr>
          <w:t>индивидуальной</w:t>
        </w:r>
        <w:r>
          <w:rPr>
            <w:color w:val="2255A6"/>
            <w:spacing w:val="-4"/>
            <w:sz w:val="18"/>
            <w:u w:val="single" w:color="2255A6"/>
          </w:rPr>
          <w:t> </w:t>
        </w:r>
        <w:r>
          <w:rPr>
            <w:color w:val="2255A6"/>
            <w:spacing w:val="-2"/>
            <w:sz w:val="18"/>
            <w:u w:val="single" w:color="2255A6"/>
          </w:rPr>
          <w:t>работы</w:t>
        </w:r>
      </w:hyperlink>
    </w:p>
    <w:p>
      <w:pPr>
        <w:tabs>
          <w:tab w:pos="7361" w:val="right" w:leader="dot"/>
        </w:tabs>
        <w:spacing w:before="7"/>
        <w:ind w:left="141" w:right="0" w:firstLine="0"/>
        <w:jc w:val="left"/>
        <w:rPr>
          <w:sz w:val="18"/>
        </w:rPr>
      </w:pPr>
      <w:hyperlink w:history="true" w:anchor="_bookmark36">
        <w:r>
          <w:rPr>
            <w:color w:val="2255A6"/>
            <w:sz w:val="18"/>
            <w:u w:val="single" w:color="2255A6"/>
          </w:rPr>
          <w:t>с</w:t>
        </w:r>
        <w:r>
          <w:rPr>
            <w:color w:val="2255A6"/>
            <w:spacing w:val="-2"/>
            <w:sz w:val="18"/>
            <w:u w:val="single" w:color="2255A6"/>
          </w:rPr>
          <w:t> </w:t>
        </w:r>
        <w:r>
          <w:rPr>
            <w:color w:val="2255A6"/>
            <w:sz w:val="18"/>
            <w:u w:val="single" w:color="2255A6"/>
          </w:rPr>
          <w:t>детьми</w:t>
        </w:r>
        <w:r>
          <w:rPr>
            <w:color w:val="2255A6"/>
            <w:spacing w:val="-2"/>
            <w:sz w:val="18"/>
            <w:u w:val="single" w:color="2255A6"/>
          </w:rPr>
          <w:t> </w:t>
        </w:r>
        <w:r>
          <w:rPr>
            <w:color w:val="2255A6"/>
            <w:sz w:val="18"/>
            <w:u w:val="single" w:color="2255A6"/>
          </w:rPr>
          <w:t>–</w:t>
        </w:r>
        <w:r>
          <w:rPr>
            <w:color w:val="2255A6"/>
            <w:spacing w:val="-1"/>
            <w:sz w:val="18"/>
            <w:u w:val="single" w:color="2255A6"/>
          </w:rPr>
          <w:t> </w:t>
        </w:r>
        <w:r>
          <w:rPr>
            <w:color w:val="2255A6"/>
            <w:sz w:val="18"/>
            <w:u w:val="single" w:color="2255A6"/>
          </w:rPr>
          <w:t>иностранными</w:t>
        </w:r>
        <w:r>
          <w:rPr>
            <w:color w:val="2255A6"/>
            <w:spacing w:val="-2"/>
            <w:sz w:val="18"/>
            <w:u w:val="single" w:color="2255A6"/>
          </w:rPr>
          <w:t> гражданами</w:t>
        </w:r>
        <w:r>
          <w:rPr>
            <w:color w:val="2255A6"/>
            <w:sz w:val="18"/>
          </w:rPr>
          <w:tab/>
        </w:r>
        <w:r>
          <w:rPr>
            <w:color w:val="231F20"/>
            <w:spacing w:val="-5"/>
            <w:sz w:val="18"/>
          </w:rPr>
          <w:t>19</w:t>
        </w:r>
      </w:hyperlink>
    </w:p>
    <w:p>
      <w:pPr>
        <w:pStyle w:val="ListParagraph"/>
        <w:numPr>
          <w:ilvl w:val="2"/>
          <w:numId w:val="34"/>
        </w:numPr>
        <w:tabs>
          <w:tab w:pos="830" w:val="left" w:leader="none"/>
          <w:tab w:pos="7361" w:val="right" w:leader="dot"/>
        </w:tabs>
        <w:spacing w:line="240" w:lineRule="auto" w:before="63" w:after="0"/>
        <w:ind w:left="830" w:right="0" w:hanging="405"/>
        <w:jc w:val="left"/>
        <w:rPr>
          <w:sz w:val="18"/>
        </w:rPr>
      </w:pPr>
      <w:hyperlink w:history="true" w:anchor="_bookmark36">
        <w:r>
          <w:rPr>
            <w:color w:val="2255A6"/>
            <w:sz w:val="18"/>
            <w:u w:val="single" w:color="2255A6"/>
          </w:rPr>
          <w:t> ​Принятие решения о целесообразности</w:t>
        </w:r>
        <w:r>
          <w:rPr>
            <w:color w:val="2255A6"/>
            <w:spacing w:val="-1"/>
            <w:sz w:val="18"/>
            <w:u w:val="single" w:color="2255A6"/>
          </w:rPr>
          <w:t> </w:t>
        </w:r>
        <w:r>
          <w:rPr>
            <w:color w:val="2255A6"/>
            <w:sz w:val="18"/>
            <w:u w:val="single" w:color="2255A6"/>
          </w:rPr>
          <w:t>индивидуальной</w:t>
        </w:r>
        <w:r>
          <w:rPr>
            <w:color w:val="2255A6"/>
            <w:spacing w:val="-1"/>
            <w:sz w:val="18"/>
            <w:u w:val="single" w:color="2255A6"/>
          </w:rPr>
          <w:t> </w:t>
        </w:r>
        <w:r>
          <w:rPr>
            <w:color w:val="2255A6"/>
            <w:spacing w:val="-2"/>
            <w:sz w:val="18"/>
            <w:u w:val="single" w:color="2255A6"/>
          </w:rPr>
          <w:t>работы</w:t>
        </w:r>
        <w:r>
          <w:rPr>
            <w:color w:val="2255A6"/>
            <w:sz w:val="18"/>
          </w:rPr>
          <w:tab/>
        </w:r>
        <w:r>
          <w:rPr>
            <w:color w:val="231F20"/>
            <w:spacing w:val="-5"/>
            <w:sz w:val="18"/>
          </w:rPr>
          <w:t>19</w:t>
        </w:r>
      </w:hyperlink>
    </w:p>
    <w:p>
      <w:pPr>
        <w:pStyle w:val="ListParagraph"/>
        <w:numPr>
          <w:ilvl w:val="2"/>
          <w:numId w:val="34"/>
        </w:numPr>
        <w:tabs>
          <w:tab w:pos="830" w:val="left" w:leader="none"/>
        </w:tabs>
        <w:spacing w:line="240" w:lineRule="auto" w:before="64" w:after="0"/>
        <w:ind w:left="830" w:right="0" w:hanging="405"/>
        <w:jc w:val="left"/>
        <w:rPr>
          <w:sz w:val="18"/>
        </w:rPr>
      </w:pPr>
      <w:hyperlink w:history="true" w:anchor="_bookmark37">
        <w:r>
          <w:rPr>
            <w:color w:val="2255A6"/>
            <w:spacing w:val="-8"/>
            <w:sz w:val="18"/>
            <w:u w:val="single" w:color="2255A6"/>
          </w:rPr>
          <w:t> </w:t>
        </w:r>
        <w:r>
          <w:rPr>
            <w:color w:val="2255A6"/>
            <w:sz w:val="18"/>
            <w:u w:val="single" w:color="2255A6"/>
          </w:rPr>
          <w:t>​Консилиум</w:t>
        </w:r>
        <w:r>
          <w:rPr>
            <w:color w:val="2255A6"/>
            <w:spacing w:val="-6"/>
            <w:sz w:val="18"/>
            <w:u w:val="single" w:color="2255A6"/>
          </w:rPr>
          <w:t> </w:t>
        </w:r>
        <w:r>
          <w:rPr>
            <w:color w:val="2255A6"/>
            <w:sz w:val="18"/>
            <w:u w:val="single" w:color="2255A6"/>
          </w:rPr>
          <w:t>и</w:t>
        </w:r>
        <w:r>
          <w:rPr>
            <w:color w:val="2255A6"/>
            <w:spacing w:val="-6"/>
            <w:sz w:val="18"/>
            <w:u w:val="single" w:color="2255A6"/>
          </w:rPr>
          <w:t> </w:t>
        </w:r>
        <w:r>
          <w:rPr>
            <w:color w:val="2255A6"/>
            <w:sz w:val="18"/>
            <w:u w:val="single" w:color="2255A6"/>
          </w:rPr>
          <w:t>ПМПК</w:t>
        </w:r>
        <w:r>
          <w:rPr>
            <w:color w:val="2255A6"/>
            <w:spacing w:val="-6"/>
            <w:sz w:val="18"/>
            <w:u w:val="single" w:color="2255A6"/>
          </w:rPr>
          <w:t> </w:t>
        </w:r>
        <w:r>
          <w:rPr>
            <w:color w:val="2255A6"/>
            <w:sz w:val="18"/>
            <w:u w:val="single" w:color="2255A6"/>
          </w:rPr>
          <w:t>как</w:t>
        </w:r>
        <w:r>
          <w:rPr>
            <w:color w:val="2255A6"/>
            <w:spacing w:val="-5"/>
            <w:sz w:val="18"/>
            <w:u w:val="single" w:color="2255A6"/>
          </w:rPr>
          <w:t> </w:t>
        </w:r>
        <w:r>
          <w:rPr>
            <w:color w:val="2255A6"/>
            <w:sz w:val="18"/>
            <w:u w:val="single" w:color="2255A6"/>
          </w:rPr>
          <w:t>механизмы</w:t>
        </w:r>
        <w:r>
          <w:rPr>
            <w:color w:val="2255A6"/>
            <w:spacing w:val="-6"/>
            <w:sz w:val="18"/>
            <w:u w:val="single" w:color="2255A6"/>
          </w:rPr>
          <w:t> </w:t>
        </w:r>
        <w:r>
          <w:rPr>
            <w:color w:val="2255A6"/>
            <w:sz w:val="18"/>
            <w:u w:val="single" w:color="2255A6"/>
          </w:rPr>
          <w:t>направления</w:t>
        </w:r>
        <w:r>
          <w:rPr>
            <w:color w:val="2255A6"/>
            <w:spacing w:val="-5"/>
            <w:sz w:val="18"/>
            <w:u w:val="single" w:color="2255A6"/>
          </w:rPr>
          <w:t> </w:t>
        </w:r>
        <w:r>
          <w:rPr>
            <w:color w:val="2255A6"/>
            <w:sz w:val="18"/>
            <w:u w:val="single" w:color="2255A6"/>
          </w:rPr>
          <w:t>учащегося-</w:t>
        </w:r>
        <w:r>
          <w:rPr>
            <w:color w:val="2255A6"/>
            <w:spacing w:val="-2"/>
            <w:sz w:val="18"/>
            <w:u w:val="single" w:color="2255A6"/>
          </w:rPr>
          <w:t>мигранта</w:t>
        </w:r>
      </w:hyperlink>
    </w:p>
    <w:p>
      <w:pPr>
        <w:tabs>
          <w:tab w:pos="7361" w:val="right" w:leader="dot"/>
        </w:tabs>
        <w:spacing w:before="7"/>
        <w:ind w:left="425" w:right="0" w:firstLine="0"/>
        <w:jc w:val="left"/>
        <w:rPr>
          <w:sz w:val="18"/>
        </w:rPr>
      </w:pPr>
      <w:hyperlink w:history="true" w:anchor="_bookmark37">
        <w:r>
          <w:rPr>
            <w:color w:val="2255A6"/>
            <w:sz w:val="18"/>
            <w:u w:val="single" w:color="2255A6"/>
          </w:rPr>
          <w:t>на</w:t>
        </w:r>
        <w:r>
          <w:rPr>
            <w:color w:val="2255A6"/>
            <w:spacing w:val="-4"/>
            <w:sz w:val="18"/>
            <w:u w:val="single" w:color="2255A6"/>
          </w:rPr>
          <w:t> </w:t>
        </w:r>
        <w:r>
          <w:rPr>
            <w:color w:val="2255A6"/>
            <w:sz w:val="18"/>
            <w:u w:val="single" w:color="2255A6"/>
          </w:rPr>
          <w:t>индивидуальную</w:t>
        </w:r>
        <w:r>
          <w:rPr>
            <w:color w:val="2255A6"/>
            <w:spacing w:val="-3"/>
            <w:sz w:val="18"/>
            <w:u w:val="single" w:color="2255A6"/>
          </w:rPr>
          <w:t> </w:t>
        </w:r>
        <w:r>
          <w:rPr>
            <w:color w:val="2255A6"/>
            <w:spacing w:val="-2"/>
            <w:sz w:val="18"/>
            <w:u w:val="single" w:color="2255A6"/>
          </w:rPr>
          <w:t>работу</w:t>
        </w:r>
        <w:r>
          <w:rPr>
            <w:color w:val="2255A6"/>
            <w:sz w:val="18"/>
          </w:rPr>
          <w:tab/>
        </w:r>
        <w:r>
          <w:rPr>
            <w:color w:val="231F20"/>
            <w:spacing w:val="-5"/>
            <w:sz w:val="18"/>
          </w:rPr>
          <w:t>20</w:t>
        </w:r>
      </w:hyperlink>
    </w:p>
    <w:p>
      <w:pPr>
        <w:pStyle w:val="ListParagraph"/>
        <w:numPr>
          <w:ilvl w:val="2"/>
          <w:numId w:val="34"/>
        </w:numPr>
        <w:tabs>
          <w:tab w:pos="830" w:val="left" w:leader="none"/>
          <w:tab w:pos="7361" w:val="right" w:leader="dot"/>
        </w:tabs>
        <w:spacing w:line="240" w:lineRule="auto" w:before="64" w:after="0"/>
        <w:ind w:left="830" w:right="0" w:hanging="405"/>
        <w:jc w:val="left"/>
        <w:rPr>
          <w:sz w:val="18"/>
        </w:rPr>
      </w:pPr>
      <w:hyperlink w:history="true" w:anchor="_bookmark38">
        <w:r>
          <w:rPr>
            <w:color w:val="2255A6"/>
            <w:spacing w:val="-7"/>
            <w:sz w:val="18"/>
            <w:u w:val="single" w:color="2255A6"/>
          </w:rPr>
          <w:t> </w:t>
        </w:r>
        <w:r>
          <w:rPr>
            <w:color w:val="2255A6"/>
            <w:sz w:val="18"/>
            <w:u w:val="single" w:color="2255A6"/>
          </w:rPr>
          <w:t>​Краткосрочная</w:t>
        </w:r>
        <w:r>
          <w:rPr>
            <w:color w:val="2255A6"/>
            <w:spacing w:val="-4"/>
            <w:sz w:val="18"/>
            <w:u w:val="single" w:color="2255A6"/>
          </w:rPr>
          <w:t> </w:t>
        </w:r>
        <w:r>
          <w:rPr>
            <w:color w:val="2255A6"/>
            <w:sz w:val="18"/>
            <w:u w:val="single" w:color="2255A6"/>
          </w:rPr>
          <w:t>работа</w:t>
        </w:r>
        <w:r>
          <w:rPr>
            <w:color w:val="2255A6"/>
            <w:spacing w:val="-4"/>
            <w:sz w:val="18"/>
            <w:u w:val="single" w:color="2255A6"/>
          </w:rPr>
          <w:t> </w:t>
        </w:r>
        <w:r>
          <w:rPr>
            <w:color w:val="2255A6"/>
            <w:sz w:val="18"/>
            <w:u w:val="single" w:color="2255A6"/>
          </w:rPr>
          <w:t>с</w:t>
        </w:r>
        <w:r>
          <w:rPr>
            <w:color w:val="2255A6"/>
            <w:spacing w:val="-4"/>
            <w:sz w:val="18"/>
            <w:u w:val="single" w:color="2255A6"/>
          </w:rPr>
          <w:t> </w:t>
        </w:r>
        <w:r>
          <w:rPr>
            <w:color w:val="2255A6"/>
            <w:sz w:val="18"/>
            <w:u w:val="single" w:color="2255A6"/>
          </w:rPr>
          <w:t>детьми-мигрантами:</w:t>
        </w:r>
        <w:r>
          <w:rPr>
            <w:color w:val="2255A6"/>
            <w:spacing w:val="-4"/>
            <w:sz w:val="18"/>
            <w:u w:val="single" w:color="2255A6"/>
          </w:rPr>
          <w:t> </w:t>
        </w:r>
        <w:r>
          <w:rPr>
            <w:color w:val="2255A6"/>
            <w:sz w:val="18"/>
            <w:u w:val="single" w:color="2255A6"/>
          </w:rPr>
          <w:t>возможные</w:t>
        </w:r>
        <w:r>
          <w:rPr>
            <w:color w:val="2255A6"/>
            <w:spacing w:val="-4"/>
            <w:sz w:val="18"/>
            <w:u w:val="single" w:color="2255A6"/>
          </w:rPr>
          <w:t> </w:t>
        </w:r>
        <w:r>
          <w:rPr>
            <w:color w:val="2255A6"/>
            <w:spacing w:val="-2"/>
            <w:sz w:val="18"/>
            <w:u w:val="single" w:color="2255A6"/>
          </w:rPr>
          <w:t>задачи</w:t>
        </w:r>
        <w:r>
          <w:rPr>
            <w:color w:val="2255A6"/>
            <w:sz w:val="18"/>
          </w:rPr>
          <w:tab/>
        </w:r>
        <w:r>
          <w:rPr>
            <w:color w:val="231F20"/>
            <w:spacing w:val="-5"/>
            <w:sz w:val="18"/>
          </w:rPr>
          <w:t>21</w:t>
        </w:r>
      </w:hyperlink>
    </w:p>
    <w:p>
      <w:pPr>
        <w:pStyle w:val="ListParagraph"/>
        <w:numPr>
          <w:ilvl w:val="2"/>
          <w:numId w:val="34"/>
        </w:numPr>
        <w:tabs>
          <w:tab w:pos="830" w:val="left" w:leader="none"/>
        </w:tabs>
        <w:spacing w:line="240" w:lineRule="auto" w:before="63" w:after="0"/>
        <w:ind w:left="830" w:right="0" w:hanging="405"/>
        <w:jc w:val="left"/>
        <w:rPr>
          <w:sz w:val="18"/>
        </w:rPr>
      </w:pPr>
      <w:hyperlink w:history="true" w:anchor="_bookmark39">
        <w:r>
          <w:rPr>
            <w:color w:val="2255A6"/>
            <w:spacing w:val="-5"/>
            <w:sz w:val="18"/>
            <w:u w:val="single" w:color="2255A6"/>
          </w:rPr>
          <w:t> </w:t>
        </w:r>
        <w:r>
          <w:rPr>
            <w:color w:val="2255A6"/>
            <w:sz w:val="18"/>
            <w:u w:val="single" w:color="2255A6"/>
          </w:rPr>
          <w:t>​Взаимодействие</w:t>
        </w:r>
        <w:r>
          <w:rPr>
            <w:color w:val="2255A6"/>
            <w:spacing w:val="-5"/>
            <w:sz w:val="18"/>
            <w:u w:val="single" w:color="2255A6"/>
          </w:rPr>
          <w:t> </w:t>
        </w:r>
        <w:r>
          <w:rPr>
            <w:color w:val="2255A6"/>
            <w:sz w:val="18"/>
            <w:u w:val="single" w:color="2255A6"/>
          </w:rPr>
          <w:t>с</w:t>
        </w:r>
        <w:r>
          <w:rPr>
            <w:color w:val="2255A6"/>
            <w:spacing w:val="-5"/>
            <w:sz w:val="18"/>
            <w:u w:val="single" w:color="2255A6"/>
          </w:rPr>
          <w:t> </w:t>
        </w:r>
        <w:r>
          <w:rPr>
            <w:color w:val="2255A6"/>
            <w:sz w:val="18"/>
            <w:u w:val="single" w:color="2255A6"/>
          </w:rPr>
          <w:t>классным</w:t>
        </w:r>
        <w:r>
          <w:rPr>
            <w:color w:val="2255A6"/>
            <w:spacing w:val="-4"/>
            <w:sz w:val="18"/>
            <w:u w:val="single" w:color="2255A6"/>
          </w:rPr>
          <w:t> </w:t>
        </w:r>
        <w:r>
          <w:rPr>
            <w:color w:val="2255A6"/>
            <w:sz w:val="18"/>
            <w:u w:val="single" w:color="2255A6"/>
          </w:rPr>
          <w:t>руководителем</w:t>
        </w:r>
        <w:r>
          <w:rPr>
            <w:color w:val="2255A6"/>
            <w:spacing w:val="-5"/>
            <w:sz w:val="18"/>
            <w:u w:val="single" w:color="2255A6"/>
          </w:rPr>
          <w:t> </w:t>
        </w:r>
        <w:r>
          <w:rPr>
            <w:color w:val="2255A6"/>
            <w:sz w:val="18"/>
            <w:u w:val="single" w:color="2255A6"/>
          </w:rPr>
          <w:t>и</w:t>
        </w:r>
        <w:r>
          <w:rPr>
            <w:color w:val="2255A6"/>
            <w:spacing w:val="-5"/>
            <w:sz w:val="18"/>
            <w:u w:val="single" w:color="2255A6"/>
          </w:rPr>
          <w:t> </w:t>
        </w:r>
        <w:r>
          <w:rPr>
            <w:color w:val="2255A6"/>
            <w:spacing w:val="-2"/>
            <w:sz w:val="18"/>
            <w:u w:val="single" w:color="2255A6"/>
          </w:rPr>
          <w:t>администрацией</w:t>
        </w:r>
      </w:hyperlink>
    </w:p>
    <w:p>
      <w:pPr>
        <w:tabs>
          <w:tab w:pos="7361" w:val="right" w:leader="dot"/>
        </w:tabs>
        <w:spacing w:before="8"/>
        <w:ind w:left="425" w:right="0" w:firstLine="0"/>
        <w:jc w:val="left"/>
        <w:rPr>
          <w:sz w:val="18"/>
        </w:rPr>
      </w:pPr>
      <w:hyperlink w:history="true" w:anchor="_bookmark39">
        <w:r>
          <w:rPr>
            <w:color w:val="2255A6"/>
            <w:sz w:val="18"/>
            <w:u w:val="single" w:color="2255A6"/>
          </w:rPr>
          <w:t>в</w:t>
        </w:r>
        <w:r>
          <w:rPr>
            <w:color w:val="2255A6"/>
            <w:spacing w:val="-8"/>
            <w:sz w:val="18"/>
            <w:u w:val="single" w:color="2255A6"/>
          </w:rPr>
          <w:t> </w:t>
        </w:r>
        <w:r>
          <w:rPr>
            <w:color w:val="2255A6"/>
            <w:sz w:val="18"/>
            <w:u w:val="single" w:color="2255A6"/>
          </w:rPr>
          <w:t>ходе</w:t>
        </w:r>
        <w:r>
          <w:rPr>
            <w:color w:val="2255A6"/>
            <w:spacing w:val="-6"/>
            <w:sz w:val="18"/>
            <w:u w:val="single" w:color="2255A6"/>
          </w:rPr>
          <w:t> </w:t>
        </w:r>
        <w:r>
          <w:rPr>
            <w:color w:val="2255A6"/>
            <w:sz w:val="18"/>
            <w:u w:val="single" w:color="2255A6"/>
          </w:rPr>
          <w:t>индивидуальной</w:t>
        </w:r>
        <w:r>
          <w:rPr>
            <w:color w:val="2255A6"/>
            <w:spacing w:val="-7"/>
            <w:sz w:val="18"/>
            <w:u w:val="single" w:color="2255A6"/>
          </w:rPr>
          <w:t> </w:t>
        </w:r>
        <w:r>
          <w:rPr>
            <w:color w:val="2255A6"/>
            <w:spacing w:val="-2"/>
            <w:sz w:val="18"/>
            <w:u w:val="single" w:color="2255A6"/>
          </w:rPr>
          <w:t>работы</w:t>
        </w:r>
        <w:r>
          <w:rPr>
            <w:color w:val="2255A6"/>
            <w:sz w:val="18"/>
          </w:rPr>
          <w:tab/>
        </w:r>
        <w:r>
          <w:rPr>
            <w:color w:val="231F20"/>
            <w:spacing w:val="-5"/>
            <w:sz w:val="18"/>
          </w:rPr>
          <w:t>23</w:t>
        </w:r>
      </w:hyperlink>
    </w:p>
    <w:p>
      <w:pPr>
        <w:pStyle w:val="ListParagraph"/>
        <w:numPr>
          <w:ilvl w:val="1"/>
          <w:numId w:val="34"/>
        </w:numPr>
        <w:tabs>
          <w:tab w:pos="411" w:val="left" w:leader="none"/>
        </w:tabs>
        <w:spacing w:line="240" w:lineRule="auto" w:before="120" w:after="0"/>
        <w:ind w:left="411" w:right="0" w:hanging="270"/>
        <w:jc w:val="left"/>
        <w:rPr>
          <w:sz w:val="18"/>
        </w:rPr>
      </w:pPr>
      <w:hyperlink w:history="true" w:anchor="_bookmark40">
        <w:r>
          <w:rPr>
            <w:color w:val="2255A6"/>
            <w:spacing w:val="-6"/>
            <w:sz w:val="18"/>
            <w:u w:val="single" w:color="2255A6"/>
          </w:rPr>
          <w:t> </w:t>
        </w:r>
        <w:r>
          <w:rPr>
            <w:color w:val="2255A6"/>
            <w:sz w:val="18"/>
            <w:u w:val="single" w:color="2255A6"/>
          </w:rPr>
          <w:t>​Учет</w:t>
        </w:r>
        <w:r>
          <w:rPr>
            <w:color w:val="2255A6"/>
            <w:spacing w:val="-5"/>
            <w:sz w:val="18"/>
            <w:u w:val="single" w:color="2255A6"/>
          </w:rPr>
          <w:t> </w:t>
        </w:r>
        <w:r>
          <w:rPr>
            <w:color w:val="2255A6"/>
            <w:sz w:val="18"/>
            <w:u w:val="single" w:color="2255A6"/>
          </w:rPr>
          <w:t>культурно-специфических</w:t>
        </w:r>
        <w:r>
          <w:rPr>
            <w:color w:val="2255A6"/>
            <w:spacing w:val="-5"/>
            <w:sz w:val="18"/>
            <w:u w:val="single" w:color="2255A6"/>
          </w:rPr>
          <w:t> </w:t>
        </w:r>
        <w:r>
          <w:rPr>
            <w:color w:val="2255A6"/>
            <w:sz w:val="18"/>
            <w:u w:val="single" w:color="2255A6"/>
          </w:rPr>
          <w:t>факторов</w:t>
        </w:r>
        <w:r>
          <w:rPr>
            <w:color w:val="2255A6"/>
            <w:spacing w:val="-6"/>
            <w:sz w:val="18"/>
            <w:u w:val="single" w:color="2255A6"/>
          </w:rPr>
          <w:t> </w:t>
        </w:r>
        <w:r>
          <w:rPr>
            <w:color w:val="2255A6"/>
            <w:sz w:val="18"/>
            <w:u w:val="single" w:color="2255A6"/>
          </w:rPr>
          <w:t>в</w:t>
        </w:r>
        <w:r>
          <w:rPr>
            <w:color w:val="2255A6"/>
            <w:spacing w:val="-6"/>
            <w:sz w:val="18"/>
            <w:u w:val="single" w:color="2255A6"/>
          </w:rPr>
          <w:t> </w:t>
        </w:r>
        <w:r>
          <w:rPr>
            <w:color w:val="2255A6"/>
            <w:spacing w:val="-2"/>
            <w:sz w:val="18"/>
            <w:u w:val="single" w:color="2255A6"/>
          </w:rPr>
          <w:t>консультативной</w:t>
        </w:r>
      </w:hyperlink>
    </w:p>
    <w:p>
      <w:pPr>
        <w:tabs>
          <w:tab w:pos="7361" w:val="right" w:leader="dot"/>
        </w:tabs>
        <w:spacing w:before="7"/>
        <w:ind w:left="141" w:right="0" w:firstLine="0"/>
        <w:jc w:val="left"/>
        <w:rPr>
          <w:sz w:val="18"/>
        </w:rPr>
      </w:pPr>
      <w:hyperlink w:history="true" w:anchor="_bookmark40">
        <w:r>
          <w:rPr>
            <w:color w:val="2255A6"/>
            <w:sz w:val="18"/>
            <w:u w:val="single" w:color="2255A6"/>
          </w:rPr>
          <w:t>и</w:t>
        </w:r>
        <w:r>
          <w:rPr>
            <w:color w:val="2255A6"/>
            <w:spacing w:val="-9"/>
            <w:sz w:val="18"/>
            <w:u w:val="single" w:color="2255A6"/>
          </w:rPr>
          <w:t> </w:t>
        </w:r>
        <w:r>
          <w:rPr>
            <w:color w:val="2255A6"/>
            <w:sz w:val="18"/>
            <w:u w:val="single" w:color="2255A6"/>
          </w:rPr>
          <w:t>коррекционной</w:t>
        </w:r>
        <w:r>
          <w:rPr>
            <w:color w:val="2255A6"/>
            <w:spacing w:val="-7"/>
            <w:sz w:val="18"/>
            <w:u w:val="single" w:color="2255A6"/>
          </w:rPr>
          <w:t> </w:t>
        </w:r>
        <w:r>
          <w:rPr>
            <w:color w:val="2255A6"/>
            <w:sz w:val="18"/>
            <w:u w:val="single" w:color="2255A6"/>
          </w:rPr>
          <w:t>работе</w:t>
        </w:r>
        <w:r>
          <w:rPr>
            <w:color w:val="2255A6"/>
            <w:spacing w:val="-6"/>
            <w:sz w:val="18"/>
            <w:u w:val="single" w:color="2255A6"/>
          </w:rPr>
          <w:t> </w:t>
        </w:r>
        <w:r>
          <w:rPr>
            <w:color w:val="2255A6"/>
            <w:sz w:val="18"/>
            <w:u w:val="single" w:color="2255A6"/>
          </w:rPr>
          <w:t>с</w:t>
        </w:r>
        <w:r>
          <w:rPr>
            <w:color w:val="2255A6"/>
            <w:spacing w:val="-6"/>
            <w:sz w:val="18"/>
            <w:u w:val="single" w:color="2255A6"/>
          </w:rPr>
          <w:t> </w:t>
        </w:r>
        <w:r>
          <w:rPr>
            <w:color w:val="2255A6"/>
            <w:sz w:val="18"/>
            <w:u w:val="single" w:color="2255A6"/>
          </w:rPr>
          <w:t>детьми-</w:t>
        </w:r>
        <w:r>
          <w:rPr>
            <w:color w:val="2255A6"/>
            <w:spacing w:val="-2"/>
            <w:sz w:val="18"/>
            <w:u w:val="single" w:color="2255A6"/>
          </w:rPr>
          <w:t>мигрантами</w:t>
        </w:r>
        <w:r>
          <w:rPr>
            <w:color w:val="2255A6"/>
            <w:sz w:val="18"/>
          </w:rPr>
          <w:tab/>
        </w:r>
        <w:r>
          <w:rPr>
            <w:color w:val="231F20"/>
            <w:spacing w:val="-5"/>
            <w:sz w:val="18"/>
          </w:rPr>
          <w:t>25</w:t>
        </w:r>
      </w:hyperlink>
    </w:p>
    <w:p>
      <w:pPr>
        <w:pStyle w:val="ListParagraph"/>
        <w:numPr>
          <w:ilvl w:val="1"/>
          <w:numId w:val="34"/>
        </w:numPr>
        <w:tabs>
          <w:tab w:pos="411" w:val="left" w:leader="none"/>
        </w:tabs>
        <w:spacing w:line="240" w:lineRule="auto" w:before="120" w:after="0"/>
        <w:ind w:left="411" w:right="0" w:hanging="270"/>
        <w:jc w:val="left"/>
        <w:rPr>
          <w:sz w:val="18"/>
        </w:rPr>
      </w:pPr>
      <w:hyperlink w:history="true" w:anchor="_bookmark41">
        <w:r>
          <w:rPr>
            <w:color w:val="2255A6"/>
            <w:spacing w:val="1"/>
            <w:sz w:val="18"/>
            <w:u w:val="single" w:color="2255A6"/>
          </w:rPr>
          <w:t> </w:t>
        </w:r>
        <w:r>
          <w:rPr>
            <w:color w:val="2255A6"/>
            <w:sz w:val="18"/>
            <w:u w:val="single" w:color="2255A6"/>
          </w:rPr>
          <w:t>​</w:t>
        </w:r>
        <w:r>
          <w:rPr>
            <w:color w:val="2255A6"/>
            <w:spacing w:val="-2"/>
            <w:sz w:val="18"/>
            <w:u w:val="single" w:color="2255A6"/>
          </w:rPr>
          <w:t>Использование</w:t>
        </w:r>
        <w:r>
          <w:rPr>
            <w:color w:val="2255A6"/>
            <w:spacing w:val="4"/>
            <w:sz w:val="18"/>
            <w:u w:val="single" w:color="2255A6"/>
          </w:rPr>
          <w:t> </w:t>
        </w:r>
        <w:r>
          <w:rPr>
            <w:color w:val="2255A6"/>
            <w:spacing w:val="-2"/>
            <w:sz w:val="18"/>
            <w:u w:val="single" w:color="2255A6"/>
          </w:rPr>
          <w:t>консультативных</w:t>
        </w:r>
        <w:r>
          <w:rPr>
            <w:color w:val="2255A6"/>
            <w:spacing w:val="4"/>
            <w:sz w:val="18"/>
            <w:u w:val="single" w:color="2255A6"/>
          </w:rPr>
          <w:t> </w:t>
        </w:r>
        <w:r>
          <w:rPr>
            <w:color w:val="2255A6"/>
            <w:spacing w:val="-2"/>
            <w:sz w:val="18"/>
            <w:u w:val="single" w:color="2255A6"/>
          </w:rPr>
          <w:t>подходов</w:t>
        </w:r>
        <w:r>
          <w:rPr>
            <w:color w:val="2255A6"/>
            <w:spacing w:val="2"/>
            <w:sz w:val="18"/>
            <w:u w:val="single" w:color="2255A6"/>
          </w:rPr>
          <w:t> </w:t>
        </w:r>
        <w:r>
          <w:rPr>
            <w:color w:val="2255A6"/>
            <w:spacing w:val="-2"/>
            <w:sz w:val="18"/>
            <w:u w:val="single" w:color="2255A6"/>
          </w:rPr>
          <w:t>и</w:t>
        </w:r>
        <w:r>
          <w:rPr>
            <w:color w:val="2255A6"/>
            <w:spacing w:val="3"/>
            <w:sz w:val="18"/>
            <w:u w:val="single" w:color="2255A6"/>
          </w:rPr>
          <w:t> </w:t>
        </w:r>
        <w:r>
          <w:rPr>
            <w:color w:val="2255A6"/>
            <w:spacing w:val="-2"/>
            <w:sz w:val="18"/>
            <w:u w:val="single" w:color="2255A6"/>
          </w:rPr>
          <w:t>стратегий</w:t>
        </w:r>
        <w:r>
          <w:rPr>
            <w:color w:val="2255A6"/>
            <w:spacing w:val="3"/>
            <w:sz w:val="18"/>
            <w:u w:val="single" w:color="2255A6"/>
          </w:rPr>
          <w:t> </w:t>
        </w:r>
        <w:r>
          <w:rPr>
            <w:color w:val="2255A6"/>
            <w:spacing w:val="-2"/>
            <w:sz w:val="18"/>
            <w:u w:val="single" w:color="2255A6"/>
          </w:rPr>
          <w:t>в</w:t>
        </w:r>
        <w:r>
          <w:rPr>
            <w:color w:val="2255A6"/>
            <w:spacing w:val="3"/>
            <w:sz w:val="18"/>
            <w:u w:val="single" w:color="2255A6"/>
          </w:rPr>
          <w:t> </w:t>
        </w:r>
        <w:r>
          <w:rPr>
            <w:color w:val="2255A6"/>
            <w:spacing w:val="-2"/>
            <w:sz w:val="18"/>
            <w:u w:val="single" w:color="2255A6"/>
          </w:rPr>
          <w:t>работе</w:t>
        </w:r>
      </w:hyperlink>
    </w:p>
    <w:p>
      <w:pPr>
        <w:tabs>
          <w:tab w:pos="7361" w:val="right" w:leader="dot"/>
        </w:tabs>
        <w:spacing w:before="7"/>
        <w:ind w:left="482" w:right="0" w:firstLine="0"/>
        <w:jc w:val="left"/>
        <w:rPr>
          <w:sz w:val="18"/>
        </w:rPr>
      </w:pPr>
      <w:hyperlink w:history="true" w:anchor="_bookmark41">
        <w:r>
          <w:rPr>
            <w:color w:val="2255A6"/>
            <w:sz w:val="18"/>
            <w:u w:val="single" w:color="2255A6"/>
          </w:rPr>
          <w:t>с</w:t>
        </w:r>
        <w:r>
          <w:rPr>
            <w:color w:val="2255A6"/>
            <w:spacing w:val="-2"/>
            <w:sz w:val="18"/>
            <w:u w:val="single" w:color="2255A6"/>
          </w:rPr>
          <w:t> </w:t>
        </w:r>
        <w:r>
          <w:rPr>
            <w:color w:val="2255A6"/>
            <w:sz w:val="18"/>
            <w:u w:val="single" w:color="2255A6"/>
          </w:rPr>
          <w:t>детьми</w:t>
        </w:r>
        <w:r>
          <w:rPr>
            <w:color w:val="2255A6"/>
            <w:spacing w:val="-2"/>
            <w:sz w:val="18"/>
            <w:u w:val="single" w:color="2255A6"/>
          </w:rPr>
          <w:t> </w:t>
        </w:r>
        <w:r>
          <w:rPr>
            <w:color w:val="2255A6"/>
            <w:sz w:val="18"/>
            <w:u w:val="single" w:color="2255A6"/>
          </w:rPr>
          <w:t>–</w:t>
        </w:r>
        <w:r>
          <w:rPr>
            <w:color w:val="2255A6"/>
            <w:spacing w:val="-1"/>
            <w:sz w:val="18"/>
            <w:u w:val="single" w:color="2255A6"/>
          </w:rPr>
          <w:t> </w:t>
        </w:r>
        <w:r>
          <w:rPr>
            <w:color w:val="2255A6"/>
            <w:sz w:val="18"/>
            <w:u w:val="single" w:color="2255A6"/>
          </w:rPr>
          <w:t>иностранными</w:t>
        </w:r>
        <w:r>
          <w:rPr>
            <w:color w:val="2255A6"/>
            <w:spacing w:val="-2"/>
            <w:sz w:val="18"/>
            <w:u w:val="single" w:color="2255A6"/>
          </w:rPr>
          <w:t> гражданами</w:t>
        </w:r>
        <w:r>
          <w:rPr>
            <w:color w:val="2255A6"/>
            <w:sz w:val="18"/>
          </w:rPr>
          <w:tab/>
        </w:r>
        <w:r>
          <w:rPr>
            <w:color w:val="231F20"/>
            <w:spacing w:val="-5"/>
            <w:sz w:val="18"/>
          </w:rPr>
          <w:t>30</w:t>
        </w:r>
      </w:hyperlink>
    </w:p>
    <w:p>
      <w:pPr>
        <w:pStyle w:val="ListParagraph"/>
        <w:numPr>
          <w:ilvl w:val="2"/>
          <w:numId w:val="34"/>
        </w:numPr>
        <w:tabs>
          <w:tab w:pos="830" w:val="left" w:leader="none"/>
          <w:tab w:pos="7361" w:val="right" w:leader="dot"/>
        </w:tabs>
        <w:spacing w:line="240" w:lineRule="auto" w:before="64" w:after="0"/>
        <w:ind w:left="830" w:right="0" w:hanging="405"/>
        <w:jc w:val="left"/>
        <w:rPr>
          <w:sz w:val="18"/>
        </w:rPr>
      </w:pPr>
      <w:hyperlink w:history="true" w:anchor="_bookmark41">
        <w:r>
          <w:rPr>
            <w:color w:val="2255A6"/>
            <w:spacing w:val="-7"/>
            <w:sz w:val="18"/>
            <w:u w:val="single" w:color="2255A6"/>
          </w:rPr>
          <w:t> </w:t>
        </w:r>
        <w:r>
          <w:rPr>
            <w:color w:val="2255A6"/>
            <w:sz w:val="18"/>
            <w:u w:val="single" w:color="2255A6"/>
          </w:rPr>
          <w:t>​Установление</w:t>
        </w:r>
        <w:r>
          <w:rPr>
            <w:color w:val="2255A6"/>
            <w:spacing w:val="-7"/>
            <w:sz w:val="18"/>
            <w:u w:val="single" w:color="2255A6"/>
          </w:rPr>
          <w:t> </w:t>
        </w:r>
        <w:r>
          <w:rPr>
            <w:color w:val="2255A6"/>
            <w:sz w:val="18"/>
            <w:u w:val="single" w:color="2255A6"/>
          </w:rPr>
          <w:t>контакта</w:t>
        </w:r>
        <w:r>
          <w:rPr>
            <w:color w:val="2255A6"/>
            <w:spacing w:val="-6"/>
            <w:sz w:val="18"/>
            <w:u w:val="single" w:color="2255A6"/>
          </w:rPr>
          <w:t> </w:t>
        </w:r>
        <w:r>
          <w:rPr>
            <w:color w:val="2255A6"/>
            <w:sz w:val="18"/>
            <w:u w:val="single" w:color="2255A6"/>
          </w:rPr>
          <w:t>с</w:t>
        </w:r>
        <w:r>
          <w:rPr>
            <w:color w:val="2255A6"/>
            <w:spacing w:val="-7"/>
            <w:sz w:val="18"/>
            <w:u w:val="single" w:color="2255A6"/>
          </w:rPr>
          <w:t> </w:t>
        </w:r>
        <w:r>
          <w:rPr>
            <w:color w:val="2255A6"/>
            <w:sz w:val="18"/>
            <w:u w:val="single" w:color="2255A6"/>
          </w:rPr>
          <w:t>ребенком</w:t>
        </w:r>
        <w:r>
          <w:rPr>
            <w:color w:val="2255A6"/>
            <w:spacing w:val="-6"/>
            <w:sz w:val="18"/>
            <w:u w:val="single" w:color="2255A6"/>
          </w:rPr>
          <w:t> </w:t>
        </w:r>
        <w:r>
          <w:rPr>
            <w:color w:val="2255A6"/>
            <w:sz w:val="18"/>
            <w:u w:val="single" w:color="2255A6"/>
          </w:rPr>
          <w:t>–</w:t>
        </w:r>
        <w:r>
          <w:rPr>
            <w:color w:val="2255A6"/>
            <w:spacing w:val="-7"/>
            <w:sz w:val="18"/>
            <w:u w:val="single" w:color="2255A6"/>
          </w:rPr>
          <w:t> </w:t>
        </w:r>
        <w:r>
          <w:rPr>
            <w:color w:val="2255A6"/>
            <w:sz w:val="18"/>
            <w:u w:val="single" w:color="2255A6"/>
          </w:rPr>
          <w:t>иностранным</w:t>
        </w:r>
        <w:r>
          <w:rPr>
            <w:color w:val="2255A6"/>
            <w:spacing w:val="-6"/>
            <w:sz w:val="18"/>
            <w:u w:val="single" w:color="2255A6"/>
          </w:rPr>
          <w:t> </w:t>
        </w:r>
        <w:r>
          <w:rPr>
            <w:color w:val="2255A6"/>
            <w:spacing w:val="-2"/>
            <w:sz w:val="18"/>
            <w:u w:val="single" w:color="2255A6"/>
          </w:rPr>
          <w:t>гражданином</w:t>
        </w:r>
        <w:r>
          <w:rPr>
            <w:color w:val="2255A6"/>
            <w:sz w:val="18"/>
          </w:rPr>
          <w:tab/>
        </w:r>
        <w:r>
          <w:rPr>
            <w:color w:val="231F20"/>
            <w:spacing w:val="-7"/>
            <w:sz w:val="18"/>
          </w:rPr>
          <w:t>30</w:t>
        </w:r>
      </w:hyperlink>
    </w:p>
    <w:p>
      <w:pPr>
        <w:pStyle w:val="ListParagraph"/>
        <w:numPr>
          <w:ilvl w:val="2"/>
          <w:numId w:val="34"/>
        </w:numPr>
        <w:tabs>
          <w:tab w:pos="830" w:val="left" w:leader="none"/>
          <w:tab w:pos="7361" w:val="right" w:leader="dot"/>
        </w:tabs>
        <w:spacing w:line="240" w:lineRule="auto" w:before="64" w:after="0"/>
        <w:ind w:left="830" w:right="0" w:hanging="405"/>
        <w:jc w:val="left"/>
        <w:rPr>
          <w:sz w:val="18"/>
        </w:rPr>
      </w:pPr>
      <w:hyperlink w:history="true" w:anchor="_bookmark42">
        <w:r>
          <w:rPr>
            <w:color w:val="2255A6"/>
            <w:spacing w:val="-6"/>
            <w:sz w:val="18"/>
            <w:u w:val="single" w:color="2255A6"/>
          </w:rPr>
          <w:t> </w:t>
        </w:r>
        <w:r>
          <w:rPr>
            <w:color w:val="2255A6"/>
            <w:sz w:val="18"/>
            <w:u w:val="single" w:color="2255A6"/>
          </w:rPr>
          <w:t>​Приемы</w:t>
        </w:r>
        <w:r>
          <w:rPr>
            <w:color w:val="2255A6"/>
            <w:spacing w:val="-5"/>
            <w:sz w:val="18"/>
            <w:u w:val="single" w:color="2255A6"/>
          </w:rPr>
          <w:t> </w:t>
        </w:r>
        <w:r>
          <w:rPr>
            <w:color w:val="2255A6"/>
            <w:sz w:val="18"/>
            <w:u w:val="single" w:color="2255A6"/>
          </w:rPr>
          <w:t>эффективной</w:t>
        </w:r>
        <w:r>
          <w:rPr>
            <w:color w:val="2255A6"/>
            <w:spacing w:val="-7"/>
            <w:sz w:val="18"/>
            <w:u w:val="single" w:color="2255A6"/>
          </w:rPr>
          <w:t> </w:t>
        </w:r>
        <w:r>
          <w:rPr>
            <w:color w:val="2255A6"/>
            <w:sz w:val="18"/>
            <w:u w:val="single" w:color="2255A6"/>
          </w:rPr>
          <w:t>коммуникации</w:t>
        </w:r>
        <w:r>
          <w:rPr>
            <w:color w:val="2255A6"/>
            <w:spacing w:val="-6"/>
            <w:sz w:val="18"/>
            <w:u w:val="single" w:color="2255A6"/>
          </w:rPr>
          <w:t> </w:t>
        </w:r>
        <w:r>
          <w:rPr>
            <w:color w:val="2255A6"/>
            <w:sz w:val="18"/>
            <w:u w:val="single" w:color="2255A6"/>
          </w:rPr>
          <w:t>с</w:t>
        </w:r>
        <w:r>
          <w:rPr>
            <w:color w:val="2255A6"/>
            <w:spacing w:val="-5"/>
            <w:sz w:val="18"/>
            <w:u w:val="single" w:color="2255A6"/>
          </w:rPr>
          <w:t> </w:t>
        </w:r>
        <w:r>
          <w:rPr>
            <w:color w:val="2255A6"/>
            <w:sz w:val="18"/>
            <w:u w:val="single" w:color="2255A6"/>
          </w:rPr>
          <w:t>ребенком</w:t>
        </w:r>
        <w:r>
          <w:rPr>
            <w:color w:val="2255A6"/>
            <w:spacing w:val="-6"/>
            <w:sz w:val="18"/>
            <w:u w:val="single" w:color="2255A6"/>
          </w:rPr>
          <w:t> </w:t>
        </w:r>
        <w:r>
          <w:rPr>
            <w:color w:val="2255A6"/>
            <w:sz w:val="18"/>
            <w:u w:val="single" w:color="2255A6"/>
          </w:rPr>
          <w:t>–</w:t>
        </w:r>
        <w:r>
          <w:rPr>
            <w:color w:val="2255A6"/>
            <w:spacing w:val="-5"/>
            <w:sz w:val="18"/>
            <w:u w:val="single" w:color="2255A6"/>
          </w:rPr>
          <w:t> </w:t>
        </w:r>
        <w:r>
          <w:rPr>
            <w:color w:val="2255A6"/>
            <w:sz w:val="18"/>
            <w:u w:val="single" w:color="2255A6"/>
          </w:rPr>
          <w:t>иностранным</w:t>
        </w:r>
        <w:r>
          <w:rPr>
            <w:color w:val="2255A6"/>
            <w:spacing w:val="-5"/>
            <w:sz w:val="18"/>
            <w:u w:val="single" w:color="2255A6"/>
          </w:rPr>
          <w:t> </w:t>
        </w:r>
        <w:r>
          <w:rPr>
            <w:color w:val="2255A6"/>
            <w:spacing w:val="-2"/>
            <w:sz w:val="18"/>
            <w:u w:val="single" w:color="2255A6"/>
          </w:rPr>
          <w:t>гражданином</w:t>
        </w:r>
        <w:r>
          <w:rPr>
            <w:color w:val="2255A6"/>
            <w:sz w:val="18"/>
          </w:rPr>
          <w:tab/>
        </w:r>
        <w:r>
          <w:rPr>
            <w:color w:val="231F20"/>
            <w:spacing w:val="-5"/>
            <w:sz w:val="18"/>
          </w:rPr>
          <w:t>31</w:t>
        </w:r>
      </w:hyperlink>
    </w:p>
    <w:p>
      <w:pPr>
        <w:pStyle w:val="ListParagraph"/>
        <w:numPr>
          <w:ilvl w:val="2"/>
          <w:numId w:val="34"/>
        </w:numPr>
        <w:tabs>
          <w:tab w:pos="830" w:val="left" w:leader="none"/>
        </w:tabs>
        <w:spacing w:line="240" w:lineRule="auto" w:before="63" w:after="0"/>
        <w:ind w:left="830" w:right="0" w:hanging="405"/>
        <w:jc w:val="left"/>
        <w:rPr>
          <w:sz w:val="18"/>
        </w:rPr>
      </w:pPr>
      <w:hyperlink w:history="true" w:anchor="_bookmark43">
        <w:r>
          <w:rPr>
            <w:color w:val="2255A6"/>
            <w:spacing w:val="-6"/>
            <w:sz w:val="18"/>
            <w:u w:val="single" w:color="2255A6"/>
          </w:rPr>
          <w:t> </w:t>
        </w:r>
        <w:r>
          <w:rPr>
            <w:color w:val="2255A6"/>
            <w:sz w:val="18"/>
            <w:u w:val="single" w:color="2255A6"/>
          </w:rPr>
          <w:t>​Использование</w:t>
        </w:r>
        <w:r>
          <w:rPr>
            <w:color w:val="2255A6"/>
            <w:spacing w:val="-5"/>
            <w:sz w:val="18"/>
            <w:u w:val="single" w:color="2255A6"/>
          </w:rPr>
          <w:t> </w:t>
        </w:r>
        <w:r>
          <w:rPr>
            <w:color w:val="2255A6"/>
            <w:sz w:val="18"/>
            <w:u w:val="single" w:color="2255A6"/>
          </w:rPr>
          <w:t>игровой</w:t>
        </w:r>
        <w:r>
          <w:rPr>
            <w:color w:val="2255A6"/>
            <w:spacing w:val="-7"/>
            <w:sz w:val="18"/>
            <w:u w:val="single" w:color="2255A6"/>
          </w:rPr>
          <w:t> </w:t>
        </w:r>
        <w:r>
          <w:rPr>
            <w:color w:val="2255A6"/>
            <w:sz w:val="18"/>
            <w:u w:val="single" w:color="2255A6"/>
          </w:rPr>
          <w:t>(недирективной</w:t>
        </w:r>
        <w:r>
          <w:rPr>
            <w:color w:val="2255A6"/>
            <w:spacing w:val="-6"/>
            <w:sz w:val="18"/>
            <w:u w:val="single" w:color="2255A6"/>
          </w:rPr>
          <w:t> </w:t>
        </w:r>
        <w:r>
          <w:rPr>
            <w:color w:val="2255A6"/>
            <w:sz w:val="18"/>
            <w:u w:val="single" w:color="2255A6"/>
          </w:rPr>
          <w:t>и</w:t>
        </w:r>
        <w:r>
          <w:rPr>
            <w:color w:val="2255A6"/>
            <w:spacing w:val="-6"/>
            <w:sz w:val="18"/>
            <w:u w:val="single" w:color="2255A6"/>
          </w:rPr>
          <w:t> </w:t>
        </w:r>
        <w:r>
          <w:rPr>
            <w:color w:val="2255A6"/>
            <w:spacing w:val="-2"/>
            <w:sz w:val="18"/>
            <w:u w:val="single" w:color="2255A6"/>
          </w:rPr>
          <w:t>директивной)</w:t>
        </w:r>
      </w:hyperlink>
    </w:p>
    <w:p>
      <w:pPr>
        <w:tabs>
          <w:tab w:pos="7361" w:val="right" w:leader="dot"/>
        </w:tabs>
        <w:spacing w:before="8"/>
        <w:ind w:left="425" w:right="0" w:firstLine="0"/>
        <w:jc w:val="left"/>
        <w:rPr>
          <w:sz w:val="18"/>
        </w:rPr>
      </w:pPr>
      <w:hyperlink w:history="true" w:anchor="_bookmark43">
        <w:r>
          <w:rPr>
            <w:color w:val="2255A6"/>
            <w:sz w:val="18"/>
            <w:u w:val="single" w:color="2255A6"/>
          </w:rPr>
          <w:t>и</w:t>
        </w:r>
        <w:r>
          <w:rPr>
            <w:color w:val="2255A6"/>
            <w:spacing w:val="-5"/>
            <w:sz w:val="18"/>
            <w:u w:val="single" w:color="2255A6"/>
          </w:rPr>
          <w:t> </w:t>
        </w:r>
        <w:r>
          <w:rPr>
            <w:color w:val="2255A6"/>
            <w:sz w:val="18"/>
            <w:u w:val="single" w:color="2255A6"/>
          </w:rPr>
          <w:t>арт-терапии</w:t>
        </w:r>
        <w:r>
          <w:rPr>
            <w:color w:val="2255A6"/>
            <w:spacing w:val="-3"/>
            <w:sz w:val="18"/>
            <w:u w:val="single" w:color="2255A6"/>
          </w:rPr>
          <w:t> </w:t>
        </w:r>
        <w:r>
          <w:rPr>
            <w:color w:val="2255A6"/>
            <w:sz w:val="18"/>
            <w:u w:val="single" w:color="2255A6"/>
          </w:rPr>
          <w:t>в</w:t>
        </w:r>
        <w:r>
          <w:rPr>
            <w:color w:val="2255A6"/>
            <w:spacing w:val="-3"/>
            <w:sz w:val="18"/>
            <w:u w:val="single" w:color="2255A6"/>
          </w:rPr>
          <w:t> </w:t>
        </w:r>
        <w:r>
          <w:rPr>
            <w:color w:val="2255A6"/>
            <w:sz w:val="18"/>
            <w:u w:val="single" w:color="2255A6"/>
          </w:rPr>
          <w:t>работе</w:t>
        </w:r>
        <w:r>
          <w:rPr>
            <w:color w:val="2255A6"/>
            <w:spacing w:val="-2"/>
            <w:sz w:val="18"/>
            <w:u w:val="single" w:color="2255A6"/>
          </w:rPr>
          <w:t> </w:t>
        </w:r>
        <w:r>
          <w:rPr>
            <w:color w:val="2255A6"/>
            <w:sz w:val="18"/>
            <w:u w:val="single" w:color="2255A6"/>
          </w:rPr>
          <w:t>с</w:t>
        </w:r>
        <w:r>
          <w:rPr>
            <w:color w:val="2255A6"/>
            <w:spacing w:val="-2"/>
            <w:sz w:val="18"/>
            <w:u w:val="single" w:color="2255A6"/>
          </w:rPr>
          <w:t> </w:t>
        </w:r>
        <w:r>
          <w:rPr>
            <w:color w:val="2255A6"/>
            <w:sz w:val="18"/>
            <w:u w:val="single" w:color="2255A6"/>
          </w:rPr>
          <w:t>детьми</w:t>
        </w:r>
        <w:r>
          <w:rPr>
            <w:color w:val="2255A6"/>
            <w:spacing w:val="-3"/>
            <w:sz w:val="18"/>
            <w:u w:val="single" w:color="2255A6"/>
          </w:rPr>
          <w:t> </w:t>
        </w:r>
        <w:r>
          <w:rPr>
            <w:color w:val="2255A6"/>
            <w:sz w:val="18"/>
            <w:u w:val="single" w:color="2255A6"/>
          </w:rPr>
          <w:t>–</w:t>
        </w:r>
        <w:r>
          <w:rPr>
            <w:color w:val="2255A6"/>
            <w:spacing w:val="-3"/>
            <w:sz w:val="18"/>
            <w:u w:val="single" w:color="2255A6"/>
          </w:rPr>
          <w:t> </w:t>
        </w:r>
        <w:r>
          <w:rPr>
            <w:color w:val="2255A6"/>
            <w:sz w:val="18"/>
            <w:u w:val="single" w:color="2255A6"/>
          </w:rPr>
          <w:t>иностранными</w:t>
        </w:r>
        <w:r>
          <w:rPr>
            <w:color w:val="2255A6"/>
            <w:spacing w:val="-2"/>
            <w:sz w:val="18"/>
            <w:u w:val="single" w:color="2255A6"/>
          </w:rPr>
          <w:t> гражданами</w:t>
        </w:r>
        <w:r>
          <w:rPr>
            <w:color w:val="2255A6"/>
            <w:sz w:val="18"/>
          </w:rPr>
          <w:tab/>
        </w:r>
        <w:r>
          <w:rPr>
            <w:color w:val="231F20"/>
            <w:spacing w:val="-5"/>
            <w:sz w:val="18"/>
          </w:rPr>
          <w:t>33</w:t>
        </w:r>
      </w:hyperlink>
    </w:p>
    <w:p>
      <w:pPr>
        <w:pStyle w:val="ListParagraph"/>
        <w:numPr>
          <w:ilvl w:val="2"/>
          <w:numId w:val="34"/>
        </w:numPr>
        <w:tabs>
          <w:tab w:pos="830" w:val="left" w:leader="none"/>
        </w:tabs>
        <w:spacing w:line="240" w:lineRule="auto" w:before="63" w:after="0"/>
        <w:ind w:left="830" w:right="0" w:hanging="405"/>
        <w:jc w:val="left"/>
        <w:rPr>
          <w:sz w:val="18"/>
        </w:rPr>
      </w:pPr>
      <w:hyperlink w:history="true" w:anchor="_bookmark44">
        <w:r>
          <w:rPr>
            <w:color w:val="2255A6"/>
            <w:spacing w:val="-8"/>
            <w:sz w:val="18"/>
            <w:u w:val="single" w:color="2255A6"/>
          </w:rPr>
          <w:t> </w:t>
        </w:r>
        <w:r>
          <w:rPr>
            <w:color w:val="2255A6"/>
            <w:sz w:val="18"/>
            <w:u w:val="single" w:color="2255A6"/>
          </w:rPr>
          <w:t>​Приемы</w:t>
        </w:r>
        <w:r>
          <w:rPr>
            <w:color w:val="2255A6"/>
            <w:spacing w:val="-8"/>
            <w:sz w:val="18"/>
            <w:u w:val="single" w:color="2255A6"/>
          </w:rPr>
          <w:t> </w:t>
        </w:r>
        <w:r>
          <w:rPr>
            <w:color w:val="2255A6"/>
            <w:sz w:val="18"/>
            <w:u w:val="single" w:color="2255A6"/>
          </w:rPr>
          <w:t>проведения</w:t>
        </w:r>
        <w:r>
          <w:rPr>
            <w:color w:val="2255A6"/>
            <w:spacing w:val="-8"/>
            <w:sz w:val="18"/>
            <w:u w:val="single" w:color="2255A6"/>
          </w:rPr>
          <w:t> </w:t>
        </w:r>
        <w:r>
          <w:rPr>
            <w:color w:val="2255A6"/>
            <w:sz w:val="18"/>
            <w:u w:val="single" w:color="2255A6"/>
          </w:rPr>
          <w:t>краткосрочного</w:t>
        </w:r>
        <w:r>
          <w:rPr>
            <w:color w:val="2255A6"/>
            <w:spacing w:val="-8"/>
            <w:sz w:val="18"/>
            <w:u w:val="single" w:color="2255A6"/>
          </w:rPr>
          <w:t> </w:t>
        </w:r>
        <w:r>
          <w:rPr>
            <w:color w:val="2255A6"/>
            <w:spacing w:val="-2"/>
            <w:sz w:val="18"/>
            <w:u w:val="single" w:color="2255A6"/>
          </w:rPr>
          <w:t>консультирования</w:t>
        </w:r>
      </w:hyperlink>
    </w:p>
    <w:p>
      <w:pPr>
        <w:tabs>
          <w:tab w:pos="7361" w:val="right" w:leader="dot"/>
        </w:tabs>
        <w:spacing w:before="7"/>
        <w:ind w:left="425" w:right="0" w:firstLine="0"/>
        <w:jc w:val="left"/>
        <w:rPr>
          <w:sz w:val="18"/>
        </w:rPr>
      </w:pPr>
      <w:hyperlink w:history="true" w:anchor="_bookmark44">
        <w:r>
          <w:rPr>
            <w:color w:val="2255A6"/>
            <w:sz w:val="18"/>
            <w:u w:val="single" w:color="2255A6"/>
          </w:rPr>
          <w:t>с</w:t>
        </w:r>
        <w:r>
          <w:rPr>
            <w:color w:val="2255A6"/>
            <w:spacing w:val="-2"/>
            <w:sz w:val="18"/>
            <w:u w:val="single" w:color="2255A6"/>
          </w:rPr>
          <w:t> </w:t>
        </w:r>
        <w:r>
          <w:rPr>
            <w:color w:val="2255A6"/>
            <w:sz w:val="18"/>
            <w:u w:val="single" w:color="2255A6"/>
          </w:rPr>
          <w:t>детьми</w:t>
        </w:r>
        <w:r>
          <w:rPr>
            <w:color w:val="2255A6"/>
            <w:spacing w:val="-2"/>
            <w:sz w:val="18"/>
            <w:u w:val="single" w:color="2255A6"/>
          </w:rPr>
          <w:t> </w:t>
        </w:r>
        <w:r>
          <w:rPr>
            <w:color w:val="2255A6"/>
            <w:sz w:val="18"/>
            <w:u w:val="single" w:color="2255A6"/>
          </w:rPr>
          <w:t>–</w:t>
        </w:r>
        <w:r>
          <w:rPr>
            <w:color w:val="2255A6"/>
            <w:spacing w:val="-1"/>
            <w:sz w:val="18"/>
            <w:u w:val="single" w:color="2255A6"/>
          </w:rPr>
          <w:t> </w:t>
        </w:r>
        <w:r>
          <w:rPr>
            <w:color w:val="2255A6"/>
            <w:sz w:val="18"/>
            <w:u w:val="single" w:color="2255A6"/>
          </w:rPr>
          <w:t>иностранными</w:t>
        </w:r>
        <w:r>
          <w:rPr>
            <w:color w:val="2255A6"/>
            <w:spacing w:val="-2"/>
            <w:sz w:val="18"/>
            <w:u w:val="single" w:color="2255A6"/>
          </w:rPr>
          <w:t> гражданами</w:t>
        </w:r>
        <w:r>
          <w:rPr>
            <w:color w:val="2255A6"/>
            <w:sz w:val="18"/>
          </w:rPr>
          <w:tab/>
        </w:r>
        <w:r>
          <w:rPr>
            <w:color w:val="231F20"/>
            <w:spacing w:val="-5"/>
            <w:sz w:val="18"/>
          </w:rPr>
          <w:t>37</w:t>
        </w:r>
      </w:hyperlink>
    </w:p>
    <w:p>
      <w:pPr>
        <w:pStyle w:val="ListParagraph"/>
        <w:numPr>
          <w:ilvl w:val="1"/>
          <w:numId w:val="34"/>
        </w:numPr>
        <w:tabs>
          <w:tab w:pos="411" w:val="left" w:leader="none"/>
        </w:tabs>
        <w:spacing w:line="240" w:lineRule="auto" w:before="121" w:after="0"/>
        <w:ind w:left="411" w:right="0" w:hanging="270"/>
        <w:jc w:val="left"/>
        <w:rPr>
          <w:sz w:val="18"/>
        </w:rPr>
      </w:pPr>
      <w:hyperlink w:history="true" w:anchor="_bookmark45">
        <w:r>
          <w:rPr>
            <w:color w:val="2255A6"/>
            <w:spacing w:val="-5"/>
            <w:sz w:val="18"/>
            <w:u w:val="single" w:color="2255A6"/>
          </w:rPr>
          <w:t> </w:t>
        </w:r>
        <w:r>
          <w:rPr>
            <w:color w:val="2255A6"/>
            <w:sz w:val="18"/>
            <w:u w:val="single" w:color="2255A6"/>
          </w:rPr>
          <w:t>​Психологическая</w:t>
        </w:r>
        <w:r>
          <w:rPr>
            <w:color w:val="2255A6"/>
            <w:spacing w:val="-2"/>
            <w:sz w:val="18"/>
            <w:u w:val="single" w:color="2255A6"/>
          </w:rPr>
          <w:t> </w:t>
        </w:r>
        <w:r>
          <w:rPr>
            <w:color w:val="2255A6"/>
            <w:sz w:val="18"/>
            <w:u w:val="single" w:color="2255A6"/>
          </w:rPr>
          <w:t>работа</w:t>
        </w:r>
        <w:r>
          <w:rPr>
            <w:color w:val="2255A6"/>
            <w:spacing w:val="-2"/>
            <w:sz w:val="18"/>
            <w:u w:val="single" w:color="2255A6"/>
          </w:rPr>
          <w:t> </w:t>
        </w:r>
        <w:r>
          <w:rPr>
            <w:color w:val="2255A6"/>
            <w:sz w:val="18"/>
            <w:u w:val="single" w:color="2255A6"/>
          </w:rPr>
          <w:t>с</w:t>
        </w:r>
        <w:r>
          <w:rPr>
            <w:color w:val="2255A6"/>
            <w:spacing w:val="-2"/>
            <w:sz w:val="18"/>
            <w:u w:val="single" w:color="2255A6"/>
          </w:rPr>
          <w:t> </w:t>
        </w:r>
        <w:r>
          <w:rPr>
            <w:color w:val="2255A6"/>
            <w:sz w:val="18"/>
            <w:u w:val="single" w:color="2255A6"/>
          </w:rPr>
          <w:t>детьми</w:t>
        </w:r>
        <w:r>
          <w:rPr>
            <w:color w:val="2255A6"/>
            <w:spacing w:val="-3"/>
            <w:sz w:val="18"/>
            <w:u w:val="single" w:color="2255A6"/>
          </w:rPr>
          <w:t> </w:t>
        </w:r>
        <w:r>
          <w:rPr>
            <w:color w:val="2255A6"/>
            <w:sz w:val="18"/>
            <w:u w:val="single" w:color="2255A6"/>
          </w:rPr>
          <w:t>–</w:t>
        </w:r>
        <w:r>
          <w:rPr>
            <w:color w:val="2255A6"/>
            <w:spacing w:val="-2"/>
            <w:sz w:val="18"/>
            <w:u w:val="single" w:color="2255A6"/>
          </w:rPr>
          <w:t> </w:t>
        </w:r>
        <w:r>
          <w:rPr>
            <w:color w:val="2255A6"/>
            <w:sz w:val="18"/>
            <w:u w:val="single" w:color="2255A6"/>
          </w:rPr>
          <w:t>иностранными</w:t>
        </w:r>
        <w:r>
          <w:rPr>
            <w:color w:val="2255A6"/>
            <w:spacing w:val="-3"/>
            <w:sz w:val="18"/>
            <w:u w:val="single" w:color="2255A6"/>
          </w:rPr>
          <w:t> </w:t>
        </w:r>
        <w:r>
          <w:rPr>
            <w:color w:val="2255A6"/>
            <w:spacing w:val="-2"/>
            <w:sz w:val="18"/>
            <w:u w:val="single" w:color="2255A6"/>
          </w:rPr>
          <w:t>гражданами,</w:t>
        </w:r>
      </w:hyperlink>
    </w:p>
    <w:p>
      <w:pPr>
        <w:tabs>
          <w:tab w:pos="7361" w:val="right" w:leader="dot"/>
        </w:tabs>
        <w:spacing w:before="7"/>
        <w:ind w:left="141" w:right="0" w:firstLine="0"/>
        <w:jc w:val="left"/>
        <w:rPr>
          <w:sz w:val="18"/>
        </w:rPr>
      </w:pPr>
      <w:hyperlink w:history="true" w:anchor="_bookmark45">
        <w:r>
          <w:rPr>
            <w:color w:val="2255A6"/>
            <w:sz w:val="18"/>
            <w:u w:val="single" w:color="2255A6"/>
          </w:rPr>
          <w:t>переживающими</w:t>
        </w:r>
        <w:r>
          <w:rPr>
            <w:color w:val="2255A6"/>
            <w:spacing w:val="-11"/>
            <w:sz w:val="18"/>
            <w:u w:val="single" w:color="2255A6"/>
          </w:rPr>
          <w:t> </w:t>
        </w:r>
        <w:r>
          <w:rPr>
            <w:color w:val="2255A6"/>
            <w:sz w:val="18"/>
            <w:u w:val="single" w:color="2255A6"/>
          </w:rPr>
          <w:t>последствия</w:t>
        </w:r>
        <w:r>
          <w:rPr>
            <w:color w:val="2255A6"/>
            <w:spacing w:val="-11"/>
            <w:sz w:val="18"/>
            <w:u w:val="single" w:color="2255A6"/>
          </w:rPr>
          <w:t> </w:t>
        </w:r>
        <w:r>
          <w:rPr>
            <w:color w:val="2255A6"/>
            <w:sz w:val="18"/>
            <w:u w:val="single" w:color="2255A6"/>
          </w:rPr>
          <w:t>психологической</w:t>
        </w:r>
        <w:r>
          <w:rPr>
            <w:color w:val="2255A6"/>
            <w:spacing w:val="-10"/>
            <w:sz w:val="18"/>
            <w:u w:val="single" w:color="2255A6"/>
          </w:rPr>
          <w:t> </w:t>
        </w:r>
        <w:r>
          <w:rPr>
            <w:color w:val="2255A6"/>
            <w:spacing w:val="-2"/>
            <w:sz w:val="18"/>
            <w:u w:val="single" w:color="2255A6"/>
          </w:rPr>
          <w:t>травмы</w:t>
        </w:r>
        <w:r>
          <w:rPr>
            <w:color w:val="2255A6"/>
            <w:sz w:val="18"/>
          </w:rPr>
          <w:tab/>
        </w:r>
        <w:r>
          <w:rPr>
            <w:color w:val="231F20"/>
            <w:spacing w:val="-5"/>
            <w:sz w:val="18"/>
          </w:rPr>
          <w:t>40</w:t>
        </w:r>
      </w:hyperlink>
    </w:p>
    <w:p>
      <w:pPr>
        <w:pStyle w:val="ListParagraph"/>
        <w:numPr>
          <w:ilvl w:val="2"/>
          <w:numId w:val="34"/>
        </w:numPr>
        <w:tabs>
          <w:tab w:pos="830" w:val="left" w:leader="none"/>
          <w:tab w:pos="7361" w:val="right" w:leader="dot"/>
        </w:tabs>
        <w:spacing w:line="240" w:lineRule="auto" w:before="63" w:after="0"/>
        <w:ind w:left="830" w:right="0" w:hanging="405"/>
        <w:jc w:val="left"/>
        <w:rPr>
          <w:sz w:val="18"/>
        </w:rPr>
      </w:pPr>
      <w:hyperlink w:history="true" w:anchor="_bookmark45">
        <w:r>
          <w:rPr>
            <w:color w:val="2255A6"/>
            <w:spacing w:val="-4"/>
            <w:sz w:val="18"/>
            <w:u w:val="single" w:color="2255A6"/>
          </w:rPr>
          <w:t> </w:t>
        </w:r>
        <w:r>
          <w:rPr>
            <w:color w:val="2255A6"/>
            <w:sz w:val="18"/>
            <w:u w:val="single" w:color="2255A6"/>
          </w:rPr>
          <w:t>​Психологическая</w:t>
        </w:r>
        <w:r>
          <w:rPr>
            <w:color w:val="2255A6"/>
            <w:spacing w:val="-4"/>
            <w:sz w:val="18"/>
            <w:u w:val="single" w:color="2255A6"/>
          </w:rPr>
          <w:t> </w:t>
        </w:r>
        <w:r>
          <w:rPr>
            <w:color w:val="2255A6"/>
            <w:sz w:val="18"/>
            <w:u w:val="single" w:color="2255A6"/>
          </w:rPr>
          <w:t>характеристика</w:t>
        </w:r>
        <w:r>
          <w:rPr>
            <w:color w:val="2255A6"/>
            <w:spacing w:val="-4"/>
            <w:sz w:val="18"/>
            <w:u w:val="single" w:color="2255A6"/>
          </w:rPr>
          <w:t> </w:t>
        </w:r>
        <w:r>
          <w:rPr>
            <w:color w:val="2255A6"/>
            <w:sz w:val="18"/>
            <w:u w:val="single" w:color="2255A6"/>
          </w:rPr>
          <w:t>травмы</w:t>
        </w:r>
        <w:r>
          <w:rPr>
            <w:color w:val="2255A6"/>
            <w:spacing w:val="-3"/>
            <w:sz w:val="18"/>
            <w:u w:val="single" w:color="2255A6"/>
          </w:rPr>
          <w:t> </w:t>
        </w:r>
        <w:r>
          <w:rPr>
            <w:color w:val="2255A6"/>
            <w:sz w:val="18"/>
            <w:u w:val="single" w:color="2255A6"/>
          </w:rPr>
          <w:t>и</w:t>
        </w:r>
        <w:r>
          <w:rPr>
            <w:color w:val="2255A6"/>
            <w:spacing w:val="-5"/>
            <w:sz w:val="18"/>
            <w:u w:val="single" w:color="2255A6"/>
          </w:rPr>
          <w:t> </w:t>
        </w:r>
        <w:r>
          <w:rPr>
            <w:color w:val="2255A6"/>
            <w:sz w:val="18"/>
            <w:u w:val="single" w:color="2255A6"/>
          </w:rPr>
          <w:t>ее</w:t>
        </w:r>
        <w:r>
          <w:rPr>
            <w:color w:val="2255A6"/>
            <w:spacing w:val="-3"/>
            <w:sz w:val="18"/>
            <w:u w:val="single" w:color="2255A6"/>
          </w:rPr>
          <w:t> </w:t>
        </w:r>
        <w:r>
          <w:rPr>
            <w:color w:val="2255A6"/>
            <w:spacing w:val="-2"/>
            <w:sz w:val="18"/>
            <w:u w:val="single" w:color="2255A6"/>
          </w:rPr>
          <w:t>последствий</w:t>
        </w:r>
        <w:r>
          <w:rPr>
            <w:color w:val="2255A6"/>
            <w:sz w:val="18"/>
          </w:rPr>
          <w:tab/>
        </w:r>
        <w:r>
          <w:rPr>
            <w:color w:val="231F20"/>
            <w:spacing w:val="-5"/>
            <w:sz w:val="18"/>
          </w:rPr>
          <w:t>40</w:t>
        </w:r>
      </w:hyperlink>
    </w:p>
    <w:p>
      <w:pPr>
        <w:pStyle w:val="ListParagraph"/>
        <w:numPr>
          <w:ilvl w:val="2"/>
          <w:numId w:val="34"/>
        </w:numPr>
        <w:tabs>
          <w:tab w:pos="830" w:val="left" w:leader="none"/>
          <w:tab w:pos="7361" w:val="right" w:leader="dot"/>
        </w:tabs>
        <w:spacing w:line="240" w:lineRule="auto" w:before="64" w:after="0"/>
        <w:ind w:left="830" w:right="0" w:hanging="405"/>
        <w:jc w:val="left"/>
        <w:rPr>
          <w:sz w:val="18"/>
        </w:rPr>
      </w:pPr>
      <w:hyperlink w:history="true" w:anchor="_bookmark46">
        <w:r>
          <w:rPr>
            <w:color w:val="2255A6"/>
            <w:spacing w:val="-8"/>
            <w:sz w:val="18"/>
            <w:u w:val="single" w:color="2255A6"/>
          </w:rPr>
          <w:t> </w:t>
        </w:r>
        <w:r>
          <w:rPr>
            <w:color w:val="2255A6"/>
            <w:sz w:val="18"/>
            <w:u w:val="single" w:color="2255A6"/>
          </w:rPr>
          <w:t>​Стратегии</w:t>
        </w:r>
        <w:r>
          <w:rPr>
            <w:color w:val="2255A6"/>
            <w:spacing w:val="-8"/>
            <w:sz w:val="18"/>
            <w:u w:val="single" w:color="2255A6"/>
          </w:rPr>
          <w:t> </w:t>
        </w:r>
        <w:r>
          <w:rPr>
            <w:color w:val="2255A6"/>
            <w:sz w:val="18"/>
            <w:u w:val="single" w:color="2255A6"/>
          </w:rPr>
          <w:t>поддержки</w:t>
        </w:r>
        <w:r>
          <w:rPr>
            <w:color w:val="2255A6"/>
            <w:spacing w:val="-9"/>
            <w:sz w:val="18"/>
            <w:u w:val="single" w:color="2255A6"/>
          </w:rPr>
          <w:t> </w:t>
        </w:r>
        <w:r>
          <w:rPr>
            <w:color w:val="2255A6"/>
            <w:sz w:val="18"/>
            <w:u w:val="single" w:color="2255A6"/>
          </w:rPr>
          <w:t>ребенка,</w:t>
        </w:r>
        <w:r>
          <w:rPr>
            <w:color w:val="2255A6"/>
            <w:spacing w:val="-7"/>
            <w:sz w:val="18"/>
            <w:u w:val="single" w:color="2255A6"/>
          </w:rPr>
          <w:t> </w:t>
        </w:r>
        <w:r>
          <w:rPr>
            <w:color w:val="2255A6"/>
            <w:sz w:val="18"/>
            <w:u w:val="single" w:color="2255A6"/>
          </w:rPr>
          <w:t>переживающего</w:t>
        </w:r>
        <w:r>
          <w:rPr>
            <w:color w:val="2255A6"/>
            <w:spacing w:val="-8"/>
            <w:sz w:val="18"/>
            <w:u w:val="single" w:color="2255A6"/>
          </w:rPr>
          <w:t> </w:t>
        </w:r>
        <w:r>
          <w:rPr>
            <w:color w:val="2255A6"/>
            <w:sz w:val="18"/>
            <w:u w:val="single" w:color="2255A6"/>
          </w:rPr>
          <w:t>последствия</w:t>
        </w:r>
        <w:r>
          <w:rPr>
            <w:color w:val="2255A6"/>
            <w:spacing w:val="-7"/>
            <w:sz w:val="18"/>
            <w:u w:val="single" w:color="2255A6"/>
          </w:rPr>
          <w:t> </w:t>
        </w:r>
        <w:r>
          <w:rPr>
            <w:color w:val="2255A6"/>
            <w:spacing w:val="-2"/>
            <w:sz w:val="18"/>
            <w:u w:val="single" w:color="2255A6"/>
          </w:rPr>
          <w:t>травмы</w:t>
        </w:r>
        <w:r>
          <w:rPr>
            <w:color w:val="2255A6"/>
            <w:sz w:val="18"/>
          </w:rPr>
          <w:tab/>
        </w:r>
        <w:r>
          <w:rPr>
            <w:color w:val="231F20"/>
            <w:spacing w:val="-5"/>
            <w:sz w:val="18"/>
          </w:rPr>
          <w:t>45</w:t>
        </w:r>
      </w:hyperlink>
    </w:p>
    <w:p>
      <w:pPr>
        <w:pStyle w:val="ListParagraph"/>
        <w:numPr>
          <w:ilvl w:val="2"/>
          <w:numId w:val="34"/>
        </w:numPr>
        <w:tabs>
          <w:tab w:pos="830" w:val="left" w:leader="none"/>
          <w:tab w:pos="7361" w:val="right" w:leader="dot"/>
        </w:tabs>
        <w:spacing w:line="240" w:lineRule="auto" w:before="64" w:after="0"/>
        <w:ind w:left="830" w:right="0" w:hanging="405"/>
        <w:jc w:val="left"/>
        <w:rPr>
          <w:sz w:val="18"/>
        </w:rPr>
      </w:pPr>
      <w:hyperlink w:history="true" w:anchor="_bookmark76">
        <w:r>
          <w:rPr>
            <w:color w:val="2255A6"/>
            <w:spacing w:val="-9"/>
            <w:sz w:val="18"/>
            <w:u w:val="single" w:color="2255A6"/>
          </w:rPr>
          <w:t> </w:t>
        </w:r>
        <w:r>
          <w:rPr>
            <w:color w:val="2255A6"/>
            <w:sz w:val="18"/>
            <w:u w:val="single" w:color="2255A6"/>
          </w:rPr>
          <w:t>​Рекомендации</w:t>
        </w:r>
        <w:r>
          <w:rPr>
            <w:color w:val="2255A6"/>
            <w:spacing w:val="-9"/>
            <w:sz w:val="18"/>
            <w:u w:val="single" w:color="2255A6"/>
          </w:rPr>
          <w:t> </w:t>
        </w:r>
        <w:r>
          <w:rPr>
            <w:color w:val="2255A6"/>
            <w:sz w:val="18"/>
            <w:u w:val="single" w:color="2255A6"/>
          </w:rPr>
          <w:t>для</w:t>
        </w:r>
        <w:r>
          <w:rPr>
            <w:color w:val="2255A6"/>
            <w:spacing w:val="-8"/>
            <w:sz w:val="18"/>
            <w:u w:val="single" w:color="2255A6"/>
          </w:rPr>
          <w:t> </w:t>
        </w:r>
        <w:r>
          <w:rPr>
            <w:color w:val="2255A6"/>
            <w:sz w:val="18"/>
            <w:u w:val="single" w:color="2255A6"/>
          </w:rPr>
          <w:t>педагогов</w:t>
        </w:r>
        <w:r>
          <w:rPr>
            <w:color w:val="2255A6"/>
            <w:spacing w:val="-9"/>
            <w:sz w:val="18"/>
            <w:u w:val="single" w:color="2255A6"/>
          </w:rPr>
          <w:t> </w:t>
        </w:r>
        <w:r>
          <w:rPr>
            <w:color w:val="2255A6"/>
            <w:sz w:val="18"/>
            <w:u w:val="single" w:color="2255A6"/>
          </w:rPr>
          <w:t>и</w:t>
        </w:r>
        <w:r>
          <w:rPr>
            <w:color w:val="2255A6"/>
            <w:spacing w:val="-9"/>
            <w:sz w:val="18"/>
            <w:u w:val="single" w:color="2255A6"/>
          </w:rPr>
          <w:t> </w:t>
        </w:r>
        <w:r>
          <w:rPr>
            <w:color w:val="2255A6"/>
            <w:spacing w:val="-2"/>
            <w:sz w:val="18"/>
            <w:u w:val="single" w:color="2255A6"/>
          </w:rPr>
          <w:t>родителей</w:t>
        </w:r>
        <w:r>
          <w:rPr>
            <w:color w:val="2255A6"/>
            <w:sz w:val="18"/>
          </w:rPr>
          <w:tab/>
        </w:r>
        <w:r>
          <w:rPr>
            <w:color w:val="231F20"/>
            <w:spacing w:val="-5"/>
            <w:sz w:val="18"/>
          </w:rPr>
          <w:t>46</w:t>
        </w:r>
      </w:hyperlink>
    </w:p>
    <w:p>
      <w:pPr>
        <w:pStyle w:val="ListParagraph"/>
        <w:numPr>
          <w:ilvl w:val="1"/>
          <w:numId w:val="34"/>
        </w:numPr>
        <w:tabs>
          <w:tab w:pos="411" w:val="left" w:leader="none"/>
        </w:tabs>
        <w:spacing w:line="240" w:lineRule="auto" w:before="120" w:after="0"/>
        <w:ind w:left="411" w:right="0" w:hanging="270"/>
        <w:jc w:val="left"/>
        <w:rPr>
          <w:sz w:val="18"/>
        </w:rPr>
      </w:pPr>
      <w:hyperlink w:history="true" w:anchor="_bookmark47">
        <w:r>
          <w:rPr>
            <w:color w:val="2255A6"/>
            <w:spacing w:val="-5"/>
            <w:sz w:val="18"/>
            <w:u w:val="single" w:color="2255A6"/>
          </w:rPr>
          <w:t> </w:t>
        </w:r>
        <w:r>
          <w:rPr>
            <w:color w:val="2255A6"/>
            <w:sz w:val="18"/>
            <w:u w:val="single" w:color="2255A6"/>
          </w:rPr>
          <w:t>​Специфические</w:t>
        </w:r>
        <w:r>
          <w:rPr>
            <w:color w:val="2255A6"/>
            <w:spacing w:val="-4"/>
            <w:sz w:val="18"/>
            <w:u w:val="single" w:color="2255A6"/>
          </w:rPr>
          <w:t> </w:t>
        </w:r>
        <w:r>
          <w:rPr>
            <w:color w:val="2255A6"/>
            <w:sz w:val="18"/>
            <w:u w:val="single" w:color="2255A6"/>
          </w:rPr>
          <w:t>техники</w:t>
        </w:r>
        <w:r>
          <w:rPr>
            <w:color w:val="2255A6"/>
            <w:spacing w:val="-4"/>
            <w:sz w:val="18"/>
            <w:u w:val="single" w:color="2255A6"/>
          </w:rPr>
          <w:t> </w:t>
        </w:r>
        <w:r>
          <w:rPr>
            <w:color w:val="2255A6"/>
            <w:sz w:val="18"/>
            <w:u w:val="single" w:color="2255A6"/>
          </w:rPr>
          <w:t>для</w:t>
        </w:r>
        <w:r>
          <w:rPr>
            <w:color w:val="2255A6"/>
            <w:spacing w:val="-5"/>
            <w:sz w:val="18"/>
            <w:u w:val="single" w:color="2255A6"/>
          </w:rPr>
          <w:t> </w:t>
        </w:r>
        <w:r>
          <w:rPr>
            <w:color w:val="2255A6"/>
            <w:sz w:val="18"/>
            <w:u w:val="single" w:color="2255A6"/>
          </w:rPr>
          <w:t>коррекционной</w:t>
        </w:r>
        <w:r>
          <w:rPr>
            <w:color w:val="2255A6"/>
            <w:spacing w:val="-4"/>
            <w:sz w:val="18"/>
            <w:u w:val="single" w:color="2255A6"/>
          </w:rPr>
          <w:t> </w:t>
        </w:r>
        <w:r>
          <w:rPr>
            <w:color w:val="2255A6"/>
            <w:sz w:val="18"/>
            <w:u w:val="single" w:color="2255A6"/>
          </w:rPr>
          <w:t>и</w:t>
        </w:r>
        <w:r>
          <w:rPr>
            <w:color w:val="2255A6"/>
            <w:spacing w:val="-4"/>
            <w:sz w:val="18"/>
            <w:u w:val="single" w:color="2255A6"/>
          </w:rPr>
          <w:t> </w:t>
        </w:r>
        <w:r>
          <w:rPr>
            <w:color w:val="2255A6"/>
            <w:spacing w:val="-2"/>
            <w:sz w:val="18"/>
            <w:u w:val="single" w:color="2255A6"/>
          </w:rPr>
          <w:t>консультативной</w:t>
        </w:r>
      </w:hyperlink>
    </w:p>
    <w:p>
      <w:pPr>
        <w:tabs>
          <w:tab w:pos="7361" w:val="right" w:leader="dot"/>
        </w:tabs>
        <w:spacing w:before="7"/>
        <w:ind w:left="141" w:right="0" w:firstLine="0"/>
        <w:jc w:val="left"/>
        <w:rPr>
          <w:sz w:val="18"/>
        </w:rPr>
      </w:pPr>
      <w:hyperlink w:history="true" w:anchor="_bookmark47">
        <w:r>
          <w:rPr>
            <w:color w:val="2255A6"/>
            <w:sz w:val="18"/>
            <w:u w:val="single" w:color="2255A6"/>
          </w:rPr>
          <w:t>работы</w:t>
        </w:r>
        <w:r>
          <w:rPr>
            <w:color w:val="2255A6"/>
            <w:spacing w:val="-4"/>
            <w:sz w:val="18"/>
            <w:u w:val="single" w:color="2255A6"/>
          </w:rPr>
          <w:t> </w:t>
        </w:r>
        <w:r>
          <w:rPr>
            <w:color w:val="2255A6"/>
            <w:sz w:val="18"/>
            <w:u w:val="single" w:color="2255A6"/>
          </w:rPr>
          <w:t>с</w:t>
        </w:r>
        <w:r>
          <w:rPr>
            <w:color w:val="2255A6"/>
            <w:spacing w:val="-2"/>
            <w:sz w:val="18"/>
            <w:u w:val="single" w:color="2255A6"/>
          </w:rPr>
          <w:t> </w:t>
        </w:r>
        <w:r>
          <w:rPr>
            <w:color w:val="2255A6"/>
            <w:sz w:val="18"/>
            <w:u w:val="single" w:color="2255A6"/>
          </w:rPr>
          <w:t>детьми</w:t>
        </w:r>
        <w:r>
          <w:rPr>
            <w:color w:val="2255A6"/>
            <w:spacing w:val="-2"/>
            <w:sz w:val="18"/>
            <w:u w:val="single" w:color="2255A6"/>
          </w:rPr>
          <w:t> </w:t>
        </w:r>
        <w:r>
          <w:rPr>
            <w:color w:val="2255A6"/>
            <w:sz w:val="18"/>
            <w:u w:val="single" w:color="2255A6"/>
          </w:rPr>
          <w:t>–</w:t>
        </w:r>
        <w:r>
          <w:rPr>
            <w:color w:val="2255A6"/>
            <w:spacing w:val="-2"/>
            <w:sz w:val="18"/>
            <w:u w:val="single" w:color="2255A6"/>
          </w:rPr>
          <w:t> </w:t>
        </w:r>
        <w:r>
          <w:rPr>
            <w:color w:val="2255A6"/>
            <w:sz w:val="18"/>
            <w:u w:val="single" w:color="2255A6"/>
          </w:rPr>
          <w:t>иностранными</w:t>
        </w:r>
        <w:r>
          <w:rPr>
            <w:color w:val="2255A6"/>
            <w:spacing w:val="-2"/>
            <w:sz w:val="18"/>
            <w:u w:val="single" w:color="2255A6"/>
          </w:rPr>
          <w:t> гражданами</w:t>
        </w:r>
        <w:r>
          <w:rPr>
            <w:color w:val="2255A6"/>
            <w:sz w:val="18"/>
          </w:rPr>
          <w:tab/>
        </w:r>
        <w:r>
          <w:rPr>
            <w:color w:val="231F20"/>
            <w:spacing w:val="-5"/>
            <w:sz w:val="18"/>
          </w:rPr>
          <w:t>50</w:t>
        </w:r>
      </w:hyperlink>
    </w:p>
    <w:p>
      <w:pPr>
        <w:pStyle w:val="ListParagraph"/>
        <w:numPr>
          <w:ilvl w:val="2"/>
          <w:numId w:val="34"/>
        </w:numPr>
        <w:tabs>
          <w:tab w:pos="830" w:val="left" w:leader="none"/>
        </w:tabs>
        <w:spacing w:line="240" w:lineRule="auto" w:before="64" w:after="0"/>
        <w:ind w:left="830" w:right="0" w:hanging="405"/>
        <w:jc w:val="left"/>
        <w:rPr>
          <w:sz w:val="18"/>
        </w:rPr>
      </w:pPr>
      <w:hyperlink w:history="true" w:anchor="_bookmark47">
        <w:r>
          <w:rPr>
            <w:color w:val="2255A6"/>
            <w:spacing w:val="-4"/>
            <w:sz w:val="18"/>
            <w:u w:val="single" w:color="2255A6"/>
          </w:rPr>
          <w:t> </w:t>
        </w:r>
        <w:r>
          <w:rPr>
            <w:color w:val="2255A6"/>
            <w:sz w:val="18"/>
            <w:u w:val="single" w:color="2255A6"/>
          </w:rPr>
          <w:t>​Приемы</w:t>
        </w:r>
        <w:r>
          <w:rPr>
            <w:color w:val="2255A6"/>
            <w:spacing w:val="-3"/>
            <w:sz w:val="18"/>
            <w:u w:val="single" w:color="2255A6"/>
          </w:rPr>
          <w:t> </w:t>
        </w:r>
        <w:r>
          <w:rPr>
            <w:color w:val="2255A6"/>
            <w:sz w:val="18"/>
            <w:u w:val="single" w:color="2255A6"/>
          </w:rPr>
          <w:t>обсуждения</w:t>
        </w:r>
        <w:r>
          <w:rPr>
            <w:color w:val="2255A6"/>
            <w:spacing w:val="-3"/>
            <w:sz w:val="18"/>
            <w:u w:val="single" w:color="2255A6"/>
          </w:rPr>
          <w:t> </w:t>
        </w:r>
        <w:r>
          <w:rPr>
            <w:color w:val="2255A6"/>
            <w:sz w:val="18"/>
            <w:u w:val="single" w:color="2255A6"/>
          </w:rPr>
          <w:t>трудностей,</w:t>
        </w:r>
        <w:r>
          <w:rPr>
            <w:color w:val="2255A6"/>
            <w:spacing w:val="-3"/>
            <w:sz w:val="18"/>
            <w:u w:val="single" w:color="2255A6"/>
          </w:rPr>
          <w:t> </w:t>
        </w:r>
        <w:r>
          <w:rPr>
            <w:color w:val="2255A6"/>
            <w:sz w:val="18"/>
            <w:u w:val="single" w:color="2255A6"/>
          </w:rPr>
          <w:t>связанных</w:t>
        </w:r>
        <w:r>
          <w:rPr>
            <w:color w:val="2255A6"/>
            <w:spacing w:val="-3"/>
            <w:sz w:val="18"/>
            <w:u w:val="single" w:color="2255A6"/>
          </w:rPr>
          <w:t> </w:t>
        </w:r>
        <w:r>
          <w:rPr>
            <w:color w:val="2255A6"/>
            <w:sz w:val="18"/>
            <w:u w:val="single" w:color="2255A6"/>
          </w:rPr>
          <w:t>со</w:t>
        </w:r>
        <w:r>
          <w:rPr>
            <w:color w:val="2255A6"/>
            <w:spacing w:val="-3"/>
            <w:sz w:val="18"/>
            <w:u w:val="single" w:color="2255A6"/>
          </w:rPr>
          <w:t> </w:t>
        </w:r>
        <w:r>
          <w:rPr>
            <w:color w:val="2255A6"/>
            <w:spacing w:val="-2"/>
            <w:sz w:val="18"/>
            <w:u w:val="single" w:color="2255A6"/>
          </w:rPr>
          <w:t>становлением</w:t>
        </w:r>
      </w:hyperlink>
    </w:p>
    <w:p>
      <w:pPr>
        <w:tabs>
          <w:tab w:pos="7361" w:val="right" w:leader="dot"/>
        </w:tabs>
        <w:spacing w:before="7"/>
        <w:ind w:left="425" w:right="0" w:firstLine="0"/>
        <w:jc w:val="left"/>
        <w:rPr>
          <w:sz w:val="18"/>
        </w:rPr>
      </w:pPr>
      <w:hyperlink w:history="true" w:anchor="_bookmark47">
        <w:r>
          <w:rPr>
            <w:color w:val="2255A6"/>
            <w:sz w:val="18"/>
            <w:u w:val="single" w:color="2255A6"/>
          </w:rPr>
          <w:t>этнической,</w:t>
        </w:r>
        <w:r>
          <w:rPr>
            <w:color w:val="2255A6"/>
            <w:spacing w:val="-12"/>
            <w:sz w:val="18"/>
            <w:u w:val="single" w:color="2255A6"/>
          </w:rPr>
          <w:t> </w:t>
        </w:r>
        <w:r>
          <w:rPr>
            <w:color w:val="2255A6"/>
            <w:sz w:val="18"/>
            <w:u w:val="single" w:color="2255A6"/>
          </w:rPr>
          <w:t>культурной</w:t>
        </w:r>
        <w:r>
          <w:rPr>
            <w:color w:val="2255A6"/>
            <w:spacing w:val="-10"/>
            <w:sz w:val="18"/>
            <w:u w:val="single" w:color="2255A6"/>
          </w:rPr>
          <w:t> </w:t>
        </w:r>
        <w:r>
          <w:rPr>
            <w:color w:val="2255A6"/>
            <w:sz w:val="18"/>
            <w:u w:val="single" w:color="2255A6"/>
          </w:rPr>
          <w:t>и</w:t>
        </w:r>
        <w:r>
          <w:rPr>
            <w:color w:val="2255A6"/>
            <w:spacing w:val="-10"/>
            <w:sz w:val="18"/>
            <w:u w:val="single" w:color="2255A6"/>
          </w:rPr>
          <w:t> </w:t>
        </w:r>
        <w:r>
          <w:rPr>
            <w:color w:val="2255A6"/>
            <w:sz w:val="18"/>
            <w:u w:val="single" w:color="2255A6"/>
          </w:rPr>
          <w:t>гражданской</w:t>
        </w:r>
        <w:r>
          <w:rPr>
            <w:color w:val="2255A6"/>
            <w:spacing w:val="-10"/>
            <w:sz w:val="18"/>
            <w:u w:val="single" w:color="2255A6"/>
          </w:rPr>
          <w:t> </w:t>
        </w:r>
        <w:r>
          <w:rPr>
            <w:color w:val="2255A6"/>
            <w:sz w:val="18"/>
            <w:u w:val="single" w:color="2255A6"/>
          </w:rPr>
          <w:t>идентичности</w:t>
        </w:r>
        <w:r>
          <w:rPr>
            <w:color w:val="2255A6"/>
            <w:spacing w:val="-10"/>
            <w:sz w:val="18"/>
            <w:u w:val="single" w:color="2255A6"/>
          </w:rPr>
          <w:t> </w:t>
        </w:r>
        <w:r>
          <w:rPr>
            <w:color w:val="2255A6"/>
            <w:sz w:val="18"/>
            <w:u w:val="single" w:color="2255A6"/>
          </w:rPr>
          <w:t>ребенка-</w:t>
        </w:r>
        <w:r>
          <w:rPr>
            <w:color w:val="2255A6"/>
            <w:spacing w:val="-2"/>
            <w:sz w:val="18"/>
            <w:u w:val="single" w:color="2255A6"/>
          </w:rPr>
          <w:t>мигранта</w:t>
        </w:r>
        <w:r>
          <w:rPr>
            <w:color w:val="2255A6"/>
            <w:sz w:val="18"/>
          </w:rPr>
          <w:tab/>
        </w:r>
        <w:r>
          <w:rPr>
            <w:color w:val="231F20"/>
            <w:spacing w:val="-5"/>
            <w:sz w:val="18"/>
          </w:rPr>
          <w:t>50</w:t>
        </w:r>
      </w:hyperlink>
    </w:p>
    <w:p>
      <w:pPr>
        <w:pStyle w:val="ListParagraph"/>
        <w:numPr>
          <w:ilvl w:val="2"/>
          <w:numId w:val="34"/>
        </w:numPr>
        <w:tabs>
          <w:tab w:pos="830" w:val="left" w:leader="none"/>
          <w:tab w:pos="7361" w:val="right" w:leader="dot"/>
        </w:tabs>
        <w:spacing w:line="240" w:lineRule="auto" w:before="64" w:after="0"/>
        <w:ind w:left="830" w:right="0" w:hanging="405"/>
        <w:jc w:val="left"/>
        <w:rPr>
          <w:sz w:val="18"/>
        </w:rPr>
      </w:pPr>
      <w:hyperlink w:history="true" w:anchor="_bookmark47">
        <w:r>
          <w:rPr>
            <w:color w:val="2255A6"/>
            <w:spacing w:val="-5"/>
            <w:sz w:val="18"/>
            <w:u w:val="single" w:color="2255A6"/>
          </w:rPr>
          <w:t> </w:t>
        </w:r>
        <w:r>
          <w:rPr>
            <w:color w:val="2255A6"/>
            <w:sz w:val="18"/>
            <w:u w:val="single" w:color="2255A6"/>
          </w:rPr>
          <w:t>​Арт-альбом</w:t>
        </w:r>
        <w:r>
          <w:rPr>
            <w:color w:val="2255A6"/>
            <w:spacing w:val="-5"/>
            <w:sz w:val="18"/>
            <w:u w:val="single" w:color="2255A6"/>
          </w:rPr>
          <w:t> </w:t>
        </w:r>
        <w:r>
          <w:rPr>
            <w:color w:val="2255A6"/>
            <w:sz w:val="18"/>
            <w:u w:val="single" w:color="2255A6"/>
          </w:rPr>
          <w:t>«Твоя</w:t>
        </w:r>
        <w:r>
          <w:rPr>
            <w:color w:val="2255A6"/>
            <w:spacing w:val="-5"/>
            <w:sz w:val="18"/>
            <w:u w:val="single" w:color="2255A6"/>
          </w:rPr>
          <w:t> </w:t>
        </w:r>
        <w:r>
          <w:rPr>
            <w:color w:val="2255A6"/>
            <w:sz w:val="18"/>
            <w:u w:val="single" w:color="2255A6"/>
          </w:rPr>
          <w:t>жизнь</w:t>
        </w:r>
        <w:r>
          <w:rPr>
            <w:color w:val="2255A6"/>
            <w:spacing w:val="-5"/>
            <w:sz w:val="18"/>
            <w:u w:val="single" w:color="2255A6"/>
          </w:rPr>
          <w:t> </w:t>
        </w:r>
        <w:r>
          <w:rPr>
            <w:color w:val="2255A6"/>
            <w:sz w:val="18"/>
            <w:u w:val="single" w:color="2255A6"/>
          </w:rPr>
          <w:t>на</w:t>
        </w:r>
        <w:r>
          <w:rPr>
            <w:color w:val="2255A6"/>
            <w:spacing w:val="-5"/>
            <w:sz w:val="18"/>
            <w:u w:val="single" w:color="2255A6"/>
          </w:rPr>
          <w:t> </w:t>
        </w:r>
        <w:r>
          <w:rPr>
            <w:color w:val="2255A6"/>
            <w:sz w:val="18"/>
            <w:u w:val="single" w:color="2255A6"/>
          </w:rPr>
          <w:t>новом</w:t>
        </w:r>
        <w:r>
          <w:rPr>
            <w:color w:val="2255A6"/>
            <w:spacing w:val="-4"/>
            <w:sz w:val="18"/>
            <w:u w:val="single" w:color="2255A6"/>
          </w:rPr>
          <w:t> </w:t>
        </w:r>
        <w:r>
          <w:rPr>
            <w:color w:val="2255A6"/>
            <w:spacing w:val="-2"/>
            <w:sz w:val="18"/>
            <w:u w:val="single" w:color="2255A6"/>
          </w:rPr>
          <w:t>месте»</w:t>
        </w:r>
        <w:r>
          <w:rPr>
            <w:color w:val="2255A6"/>
            <w:sz w:val="18"/>
          </w:rPr>
          <w:tab/>
        </w:r>
        <w:r>
          <w:rPr>
            <w:color w:val="231F20"/>
            <w:spacing w:val="-5"/>
            <w:sz w:val="18"/>
          </w:rPr>
          <w:t>50</w:t>
        </w:r>
      </w:hyperlink>
    </w:p>
    <w:p>
      <w:pPr>
        <w:pStyle w:val="ListParagraph"/>
        <w:numPr>
          <w:ilvl w:val="2"/>
          <w:numId w:val="34"/>
        </w:numPr>
        <w:tabs>
          <w:tab w:pos="830" w:val="left" w:leader="none"/>
          <w:tab w:pos="7361" w:val="right" w:leader="dot"/>
        </w:tabs>
        <w:spacing w:line="240" w:lineRule="auto" w:before="63" w:after="0"/>
        <w:ind w:left="830" w:right="0" w:hanging="405"/>
        <w:jc w:val="left"/>
        <w:rPr>
          <w:sz w:val="18"/>
        </w:rPr>
      </w:pPr>
      <w:hyperlink w:history="true" w:anchor="_bookmark78">
        <w:r>
          <w:rPr>
            <w:color w:val="2255A6"/>
            <w:spacing w:val="-10"/>
            <w:sz w:val="18"/>
            <w:u w:val="single" w:color="2255A6"/>
          </w:rPr>
          <w:t> </w:t>
        </w:r>
        <w:r>
          <w:rPr>
            <w:color w:val="2255A6"/>
            <w:sz w:val="18"/>
            <w:u w:val="single" w:color="2255A6"/>
          </w:rPr>
          <w:t>​Метод</w:t>
        </w:r>
        <w:r>
          <w:rPr>
            <w:color w:val="2255A6"/>
            <w:spacing w:val="-8"/>
            <w:sz w:val="18"/>
            <w:u w:val="single" w:color="2255A6"/>
          </w:rPr>
          <w:t> </w:t>
        </w:r>
        <w:r>
          <w:rPr>
            <w:color w:val="2255A6"/>
            <w:sz w:val="18"/>
            <w:u w:val="single" w:color="2255A6"/>
          </w:rPr>
          <w:t>диалогического</w:t>
        </w:r>
        <w:r>
          <w:rPr>
            <w:color w:val="2255A6"/>
            <w:spacing w:val="-8"/>
            <w:sz w:val="18"/>
            <w:u w:val="single" w:color="2255A6"/>
          </w:rPr>
          <w:t> </w:t>
        </w:r>
        <w:r>
          <w:rPr>
            <w:color w:val="2255A6"/>
            <w:sz w:val="18"/>
            <w:u w:val="single" w:color="2255A6"/>
          </w:rPr>
          <w:t>рассказывания</w:t>
        </w:r>
        <w:r>
          <w:rPr>
            <w:color w:val="2255A6"/>
            <w:spacing w:val="-8"/>
            <w:sz w:val="18"/>
            <w:u w:val="single" w:color="2255A6"/>
          </w:rPr>
          <w:t> </w:t>
        </w:r>
        <w:r>
          <w:rPr>
            <w:color w:val="2255A6"/>
            <w:spacing w:val="-2"/>
            <w:sz w:val="18"/>
            <w:u w:val="single" w:color="2255A6"/>
          </w:rPr>
          <w:t>историй</w:t>
        </w:r>
        <w:r>
          <w:rPr>
            <w:color w:val="2255A6"/>
            <w:sz w:val="18"/>
          </w:rPr>
          <w:tab/>
        </w:r>
        <w:r>
          <w:rPr>
            <w:color w:val="231F20"/>
            <w:spacing w:val="-5"/>
            <w:sz w:val="18"/>
          </w:rPr>
          <w:t>51</w:t>
        </w:r>
      </w:hyperlink>
    </w:p>
    <w:p>
      <w:pPr>
        <w:pStyle w:val="ListParagraph"/>
        <w:numPr>
          <w:ilvl w:val="2"/>
          <w:numId w:val="34"/>
        </w:numPr>
        <w:tabs>
          <w:tab w:pos="830" w:val="left" w:leader="none"/>
          <w:tab w:pos="7361" w:val="right" w:leader="dot"/>
        </w:tabs>
        <w:spacing w:line="240" w:lineRule="auto" w:before="64" w:after="0"/>
        <w:ind w:left="830" w:right="0" w:hanging="405"/>
        <w:jc w:val="left"/>
        <w:rPr>
          <w:sz w:val="18"/>
        </w:rPr>
      </w:pPr>
      <w:hyperlink w:history="true" w:anchor="_bookmark48">
        <w:r>
          <w:rPr>
            <w:color w:val="2255A6"/>
            <w:spacing w:val="-3"/>
            <w:sz w:val="18"/>
            <w:u w:val="single" w:color="2255A6"/>
          </w:rPr>
          <w:t> </w:t>
        </w:r>
        <w:r>
          <w:rPr>
            <w:color w:val="2255A6"/>
            <w:sz w:val="18"/>
            <w:u w:val="single" w:color="2255A6"/>
          </w:rPr>
          <w:t>​Ролевые</w:t>
        </w:r>
        <w:r>
          <w:rPr>
            <w:color w:val="2255A6"/>
            <w:spacing w:val="-3"/>
            <w:sz w:val="18"/>
            <w:u w:val="single" w:color="2255A6"/>
          </w:rPr>
          <w:t> </w:t>
        </w:r>
        <w:r>
          <w:rPr>
            <w:color w:val="2255A6"/>
            <w:sz w:val="18"/>
            <w:u w:val="single" w:color="2255A6"/>
          </w:rPr>
          <w:t>игры</w:t>
        </w:r>
        <w:r>
          <w:rPr>
            <w:color w:val="2255A6"/>
            <w:spacing w:val="-3"/>
            <w:sz w:val="18"/>
            <w:u w:val="single" w:color="2255A6"/>
          </w:rPr>
          <w:t> </w:t>
        </w:r>
        <w:r>
          <w:rPr>
            <w:color w:val="2255A6"/>
            <w:sz w:val="18"/>
            <w:u w:val="single" w:color="2255A6"/>
          </w:rPr>
          <w:t>в</w:t>
        </w:r>
        <w:r>
          <w:rPr>
            <w:color w:val="2255A6"/>
            <w:spacing w:val="-4"/>
            <w:sz w:val="18"/>
            <w:u w:val="single" w:color="2255A6"/>
          </w:rPr>
          <w:t> </w:t>
        </w:r>
        <w:r>
          <w:rPr>
            <w:color w:val="2255A6"/>
            <w:sz w:val="18"/>
            <w:u w:val="single" w:color="2255A6"/>
          </w:rPr>
          <w:t>индивидуальной</w:t>
        </w:r>
        <w:r>
          <w:rPr>
            <w:color w:val="2255A6"/>
            <w:spacing w:val="-3"/>
            <w:sz w:val="18"/>
            <w:u w:val="single" w:color="2255A6"/>
          </w:rPr>
          <w:t> </w:t>
        </w:r>
        <w:r>
          <w:rPr>
            <w:color w:val="2255A6"/>
            <w:spacing w:val="-2"/>
            <w:sz w:val="18"/>
            <w:u w:val="single" w:color="2255A6"/>
          </w:rPr>
          <w:t>работе</w:t>
        </w:r>
        <w:r>
          <w:rPr>
            <w:color w:val="2255A6"/>
            <w:sz w:val="18"/>
          </w:rPr>
          <w:tab/>
        </w:r>
        <w:r>
          <w:rPr>
            <w:color w:val="231F20"/>
            <w:spacing w:val="-5"/>
            <w:sz w:val="18"/>
          </w:rPr>
          <w:t>52</w:t>
        </w:r>
      </w:hyperlink>
    </w:p>
    <w:p>
      <w:pPr>
        <w:pStyle w:val="ListParagraph"/>
        <w:numPr>
          <w:ilvl w:val="2"/>
          <w:numId w:val="34"/>
        </w:numPr>
        <w:tabs>
          <w:tab w:pos="830" w:val="left" w:leader="none"/>
          <w:tab w:pos="7361" w:val="right" w:leader="dot"/>
        </w:tabs>
        <w:spacing w:line="240" w:lineRule="auto" w:before="64" w:after="0"/>
        <w:ind w:left="830" w:right="0" w:hanging="405"/>
        <w:jc w:val="left"/>
        <w:rPr>
          <w:sz w:val="18"/>
        </w:rPr>
      </w:pPr>
      <w:hyperlink w:history="true" w:anchor="_bookmark48">
        <w:r>
          <w:rPr>
            <w:color w:val="2255A6"/>
            <w:spacing w:val="-12"/>
            <w:sz w:val="18"/>
            <w:u w:val="single" w:color="2255A6"/>
          </w:rPr>
          <w:t> </w:t>
        </w:r>
        <w:r>
          <w:rPr>
            <w:color w:val="2255A6"/>
            <w:sz w:val="18"/>
            <w:u w:val="single" w:color="2255A6"/>
          </w:rPr>
          <w:t>​Ролевое</w:t>
        </w:r>
        <w:r>
          <w:rPr>
            <w:color w:val="2255A6"/>
            <w:spacing w:val="-9"/>
            <w:sz w:val="18"/>
            <w:u w:val="single" w:color="2255A6"/>
          </w:rPr>
          <w:t> </w:t>
        </w:r>
        <w:r>
          <w:rPr>
            <w:color w:val="2255A6"/>
            <w:sz w:val="18"/>
            <w:u w:val="single" w:color="2255A6"/>
          </w:rPr>
          <w:t>моделирование</w:t>
        </w:r>
        <w:r>
          <w:rPr>
            <w:color w:val="2255A6"/>
            <w:spacing w:val="-9"/>
            <w:sz w:val="18"/>
            <w:u w:val="single" w:color="2255A6"/>
          </w:rPr>
          <w:t> </w:t>
        </w:r>
        <w:r>
          <w:rPr>
            <w:color w:val="2255A6"/>
            <w:sz w:val="18"/>
            <w:u w:val="single" w:color="2255A6"/>
          </w:rPr>
          <w:t>и</w:t>
        </w:r>
        <w:r>
          <w:rPr>
            <w:color w:val="2255A6"/>
            <w:spacing w:val="-10"/>
            <w:sz w:val="18"/>
            <w:u w:val="single" w:color="2255A6"/>
          </w:rPr>
          <w:t> </w:t>
        </w:r>
        <w:r>
          <w:rPr>
            <w:color w:val="2255A6"/>
            <w:sz w:val="18"/>
            <w:u w:val="single" w:color="2255A6"/>
          </w:rPr>
          <w:t>разрешение</w:t>
        </w:r>
        <w:r>
          <w:rPr>
            <w:color w:val="2255A6"/>
            <w:spacing w:val="-9"/>
            <w:sz w:val="18"/>
            <w:u w:val="single" w:color="2255A6"/>
          </w:rPr>
          <w:t> </w:t>
        </w:r>
        <w:r>
          <w:rPr>
            <w:color w:val="2255A6"/>
            <w:sz w:val="18"/>
            <w:u w:val="single" w:color="2255A6"/>
          </w:rPr>
          <w:t>ситуаций</w:t>
        </w:r>
        <w:r>
          <w:rPr>
            <w:color w:val="2255A6"/>
            <w:spacing w:val="-10"/>
            <w:sz w:val="18"/>
            <w:u w:val="single" w:color="2255A6"/>
          </w:rPr>
          <w:t> </w:t>
        </w:r>
        <w:r>
          <w:rPr>
            <w:color w:val="2255A6"/>
            <w:sz w:val="18"/>
            <w:u w:val="single" w:color="2255A6"/>
          </w:rPr>
          <w:t>культурного</w:t>
        </w:r>
        <w:r>
          <w:rPr>
            <w:color w:val="2255A6"/>
            <w:spacing w:val="-9"/>
            <w:sz w:val="18"/>
            <w:u w:val="single" w:color="2255A6"/>
          </w:rPr>
          <w:t> </w:t>
        </w:r>
        <w:r>
          <w:rPr>
            <w:color w:val="2255A6"/>
            <w:spacing w:val="-2"/>
            <w:sz w:val="18"/>
            <w:u w:val="single" w:color="2255A6"/>
          </w:rPr>
          <w:t>ассимилятора</w:t>
        </w:r>
        <w:r>
          <w:rPr>
            <w:color w:val="2255A6"/>
            <w:sz w:val="18"/>
          </w:rPr>
          <w:tab/>
        </w:r>
        <w:r>
          <w:rPr>
            <w:color w:val="231F20"/>
            <w:spacing w:val="-5"/>
            <w:sz w:val="18"/>
          </w:rPr>
          <w:t>52</w:t>
        </w:r>
      </w:hyperlink>
    </w:p>
    <w:p>
      <w:pPr>
        <w:pStyle w:val="ListParagraph"/>
        <w:numPr>
          <w:ilvl w:val="2"/>
          <w:numId w:val="34"/>
        </w:numPr>
        <w:tabs>
          <w:tab w:pos="830" w:val="left" w:leader="none"/>
          <w:tab w:pos="7361" w:val="right" w:leader="dot"/>
        </w:tabs>
        <w:spacing w:line="240" w:lineRule="auto" w:before="63" w:after="0"/>
        <w:ind w:left="830" w:right="0" w:hanging="405"/>
        <w:jc w:val="left"/>
        <w:rPr>
          <w:sz w:val="18"/>
        </w:rPr>
      </w:pPr>
      <w:hyperlink w:history="true" w:anchor="_bookmark49">
        <w:r>
          <w:rPr>
            <w:color w:val="2255A6"/>
            <w:spacing w:val="-5"/>
            <w:sz w:val="18"/>
            <w:u w:val="single" w:color="2255A6"/>
          </w:rPr>
          <w:t> </w:t>
        </w:r>
        <w:r>
          <w:rPr>
            <w:color w:val="2255A6"/>
            <w:sz w:val="18"/>
            <w:u w:val="single" w:color="2255A6"/>
          </w:rPr>
          <w:t>​Арт-терапевтические</w:t>
        </w:r>
        <w:r>
          <w:rPr>
            <w:color w:val="2255A6"/>
            <w:spacing w:val="-5"/>
            <w:sz w:val="18"/>
            <w:u w:val="single" w:color="2255A6"/>
          </w:rPr>
          <w:t> </w:t>
        </w:r>
        <w:r>
          <w:rPr>
            <w:color w:val="2255A6"/>
            <w:sz w:val="18"/>
            <w:u w:val="single" w:color="2255A6"/>
          </w:rPr>
          <w:t>приемы</w:t>
        </w:r>
        <w:r>
          <w:rPr>
            <w:color w:val="2255A6"/>
            <w:spacing w:val="-5"/>
            <w:sz w:val="18"/>
            <w:u w:val="single" w:color="2255A6"/>
          </w:rPr>
          <w:t> </w:t>
        </w:r>
        <w:r>
          <w:rPr>
            <w:color w:val="2255A6"/>
            <w:sz w:val="18"/>
            <w:u w:val="single" w:color="2255A6"/>
          </w:rPr>
          <w:t>поддержки</w:t>
        </w:r>
        <w:r>
          <w:rPr>
            <w:color w:val="2255A6"/>
            <w:spacing w:val="-5"/>
            <w:sz w:val="18"/>
            <w:u w:val="single" w:color="2255A6"/>
          </w:rPr>
          <w:t> </w:t>
        </w:r>
        <w:r>
          <w:rPr>
            <w:color w:val="2255A6"/>
            <w:sz w:val="18"/>
            <w:u w:val="single" w:color="2255A6"/>
          </w:rPr>
          <w:t>адаптации</w:t>
        </w:r>
        <w:r>
          <w:rPr>
            <w:color w:val="2255A6"/>
            <w:spacing w:val="-6"/>
            <w:sz w:val="18"/>
            <w:u w:val="single" w:color="2255A6"/>
          </w:rPr>
          <w:t> </w:t>
        </w:r>
        <w:r>
          <w:rPr>
            <w:color w:val="2255A6"/>
            <w:sz w:val="18"/>
            <w:u w:val="single" w:color="2255A6"/>
          </w:rPr>
          <w:t>на</w:t>
        </w:r>
        <w:r>
          <w:rPr>
            <w:color w:val="2255A6"/>
            <w:spacing w:val="-5"/>
            <w:sz w:val="18"/>
            <w:u w:val="single" w:color="2255A6"/>
          </w:rPr>
          <w:t> </w:t>
        </w:r>
        <w:r>
          <w:rPr>
            <w:color w:val="2255A6"/>
            <w:sz w:val="18"/>
            <w:u w:val="single" w:color="2255A6"/>
          </w:rPr>
          <w:t>новом</w:t>
        </w:r>
        <w:r>
          <w:rPr>
            <w:color w:val="2255A6"/>
            <w:spacing w:val="-4"/>
            <w:sz w:val="18"/>
            <w:u w:val="single" w:color="2255A6"/>
          </w:rPr>
          <w:t> </w:t>
        </w:r>
        <w:r>
          <w:rPr>
            <w:color w:val="2255A6"/>
            <w:spacing w:val="-2"/>
            <w:sz w:val="18"/>
            <w:u w:val="single" w:color="2255A6"/>
          </w:rPr>
          <w:t>месте</w:t>
        </w:r>
        <w:r>
          <w:rPr>
            <w:color w:val="2255A6"/>
            <w:sz w:val="18"/>
          </w:rPr>
          <w:tab/>
        </w:r>
        <w:r>
          <w:rPr>
            <w:color w:val="231F20"/>
            <w:spacing w:val="-5"/>
            <w:sz w:val="18"/>
          </w:rPr>
          <w:t>53</w:t>
        </w:r>
      </w:hyperlink>
    </w:p>
    <w:p>
      <w:pPr>
        <w:pStyle w:val="ListParagraph"/>
        <w:spacing w:after="0" w:line="240" w:lineRule="auto"/>
        <w:jc w:val="left"/>
        <w:rPr>
          <w:sz w:val="18"/>
        </w:rPr>
        <w:sectPr>
          <w:footerReference w:type="default" r:id="rId72"/>
          <w:pgSz w:w="8400" w:h="11910"/>
          <w:pgMar w:header="0" w:footer="531" w:top="720" w:bottom="720" w:left="425" w:right="425"/>
          <w:pgNumType w:start="3"/>
        </w:sectPr>
      </w:pPr>
    </w:p>
    <w:p>
      <w:pPr>
        <w:spacing w:before="80"/>
        <w:ind w:left="141" w:right="139" w:firstLine="0"/>
        <w:jc w:val="right"/>
        <w:rPr>
          <w:rFonts w:ascii="Georgia" w:hAnsi="Georgia"/>
          <w:sz w:val="18"/>
        </w:rPr>
      </w:pPr>
      <w:r>
        <w:rPr>
          <w:rFonts w:ascii="Georgia" w:hAnsi="Georgia"/>
          <w:color w:val="231F20"/>
          <w:spacing w:val="-2"/>
          <w:sz w:val="18"/>
        </w:rPr>
        <w:t>Содержание</w:t>
      </w:r>
    </w:p>
    <w:p>
      <w:pPr>
        <w:spacing w:before="114"/>
        <w:ind w:left="303" w:right="303" w:firstLine="0"/>
        <w:jc w:val="center"/>
        <w:rPr>
          <w:b/>
          <w:sz w:val="18"/>
        </w:rPr>
      </w:pPr>
      <w:hyperlink w:history="true" w:anchor="_bookmark50">
        <w:r>
          <w:rPr>
            <w:b/>
            <w:color w:val="2255A6"/>
            <w:sz w:val="18"/>
            <w:u w:val="single" w:color="2255A6"/>
          </w:rPr>
          <w:t>РАЗДЕЛ</w:t>
        </w:r>
        <w:r>
          <w:rPr>
            <w:b/>
            <w:color w:val="2255A6"/>
            <w:spacing w:val="-9"/>
            <w:sz w:val="18"/>
            <w:u w:val="single" w:color="2255A6"/>
          </w:rPr>
          <w:t> </w:t>
        </w:r>
        <w:r>
          <w:rPr>
            <w:b/>
            <w:color w:val="2255A6"/>
            <w:spacing w:val="-5"/>
            <w:sz w:val="18"/>
            <w:u w:val="single" w:color="2255A6"/>
          </w:rPr>
          <w:t>2.</w:t>
        </w:r>
      </w:hyperlink>
    </w:p>
    <w:p>
      <w:pPr>
        <w:spacing w:line="249" w:lineRule="auto" w:before="9"/>
        <w:ind w:left="837" w:right="835" w:firstLine="118"/>
        <w:jc w:val="left"/>
        <w:rPr>
          <w:b/>
          <w:sz w:val="18"/>
        </w:rPr>
      </w:pPr>
      <w:hyperlink w:history="true" w:anchor="_bookmark50">
        <w:r>
          <w:rPr>
            <w:b/>
            <w:color w:val="2255A6"/>
            <w:sz w:val="18"/>
            <w:u w:val="single" w:color="2255A6"/>
          </w:rPr>
          <w:t>Методическое сопровождение педагогического коллектива в области</w:t>
        </w:r>
      </w:hyperlink>
      <w:r>
        <w:rPr>
          <w:b/>
          <w:color w:val="2255A6"/>
          <w:sz w:val="18"/>
        </w:rPr>
        <w:t> </w:t>
      </w:r>
      <w:hyperlink w:history="true" w:anchor="_bookmark50">
        <w:r>
          <w:rPr>
            <w:b/>
            <w:color w:val="2255A6"/>
            <w:sz w:val="18"/>
            <w:u w:val="single" w:color="2255A6"/>
          </w:rPr>
          <w:t>психолого-педагогического</w:t>
        </w:r>
        <w:r>
          <w:rPr>
            <w:b/>
            <w:color w:val="2255A6"/>
            <w:spacing w:val="-12"/>
            <w:sz w:val="18"/>
            <w:u w:val="single" w:color="2255A6"/>
          </w:rPr>
          <w:t> </w:t>
        </w:r>
        <w:r>
          <w:rPr>
            <w:b/>
            <w:color w:val="2255A6"/>
            <w:sz w:val="18"/>
            <w:u w:val="single" w:color="2255A6"/>
          </w:rPr>
          <w:t>сопровождения</w:t>
        </w:r>
        <w:r>
          <w:rPr>
            <w:b/>
            <w:color w:val="2255A6"/>
            <w:spacing w:val="-11"/>
            <w:sz w:val="18"/>
            <w:u w:val="single" w:color="2255A6"/>
          </w:rPr>
          <w:t> </w:t>
        </w:r>
        <w:r>
          <w:rPr>
            <w:b/>
            <w:color w:val="2255A6"/>
            <w:sz w:val="18"/>
            <w:u w:val="single" w:color="2255A6"/>
          </w:rPr>
          <w:t>детей</w:t>
        </w:r>
        <w:r>
          <w:rPr>
            <w:b/>
            <w:color w:val="2255A6"/>
            <w:spacing w:val="-11"/>
            <w:sz w:val="18"/>
            <w:u w:val="single" w:color="2255A6"/>
          </w:rPr>
          <w:t> </w:t>
        </w:r>
        <w:r>
          <w:rPr>
            <w:b/>
            <w:color w:val="2255A6"/>
            <w:sz w:val="18"/>
            <w:u w:val="single" w:color="2255A6"/>
          </w:rPr>
          <w:t>иностранных</w:t>
        </w:r>
        <w:r>
          <w:rPr>
            <w:b/>
            <w:color w:val="2255A6"/>
            <w:spacing w:val="-11"/>
            <w:sz w:val="18"/>
            <w:u w:val="single" w:color="2255A6"/>
          </w:rPr>
          <w:t> </w:t>
        </w:r>
        <w:r>
          <w:rPr>
            <w:b/>
            <w:color w:val="2255A6"/>
            <w:sz w:val="18"/>
            <w:u w:val="single" w:color="2255A6"/>
          </w:rPr>
          <w:t>граждан</w:t>
        </w:r>
      </w:hyperlink>
    </w:p>
    <w:p>
      <w:pPr>
        <w:pStyle w:val="ListParagraph"/>
        <w:numPr>
          <w:ilvl w:val="1"/>
          <w:numId w:val="35"/>
        </w:numPr>
        <w:tabs>
          <w:tab w:pos="411" w:val="left" w:leader="none"/>
        </w:tabs>
        <w:spacing w:line="244" w:lineRule="auto" w:before="54" w:after="0"/>
        <w:ind w:left="141" w:right="1716" w:firstLine="0"/>
        <w:jc w:val="left"/>
        <w:rPr>
          <w:sz w:val="18"/>
        </w:rPr>
      </w:pPr>
      <w:hyperlink w:history="true" w:anchor="_bookmark80">
        <w:r>
          <w:rPr>
            <w:color w:val="2255A6"/>
            <w:spacing w:val="-12"/>
            <w:sz w:val="18"/>
            <w:u w:val="single" w:color="2255A6"/>
          </w:rPr>
          <w:t> </w:t>
        </w:r>
        <w:r>
          <w:rPr>
            <w:color w:val="2255A6"/>
            <w:sz w:val="18"/>
            <w:u w:val="single" w:color="2255A6"/>
          </w:rPr>
          <w:t>​Организация</w:t>
        </w:r>
        <w:r>
          <w:rPr>
            <w:color w:val="2255A6"/>
            <w:spacing w:val="-11"/>
            <w:sz w:val="18"/>
            <w:u w:val="single" w:color="2255A6"/>
          </w:rPr>
          <w:t> </w:t>
        </w:r>
        <w:r>
          <w:rPr>
            <w:color w:val="2255A6"/>
            <w:sz w:val="18"/>
            <w:u w:val="single" w:color="2255A6"/>
          </w:rPr>
          <w:t>методической</w:t>
        </w:r>
        <w:r>
          <w:rPr>
            <w:color w:val="2255A6"/>
            <w:spacing w:val="-11"/>
            <w:sz w:val="18"/>
            <w:u w:val="single" w:color="2255A6"/>
          </w:rPr>
          <w:t> </w:t>
        </w:r>
        <w:r>
          <w:rPr>
            <w:color w:val="2255A6"/>
            <w:sz w:val="18"/>
            <w:u w:val="single" w:color="2255A6"/>
          </w:rPr>
          <w:t>поддержки</w:t>
        </w:r>
        <w:r>
          <w:rPr>
            <w:color w:val="2255A6"/>
            <w:spacing w:val="-11"/>
            <w:sz w:val="18"/>
            <w:u w:val="single" w:color="2255A6"/>
          </w:rPr>
          <w:t> </w:t>
        </w:r>
        <w:r>
          <w:rPr>
            <w:color w:val="2255A6"/>
            <w:sz w:val="18"/>
            <w:u w:val="single" w:color="2255A6"/>
          </w:rPr>
          <w:t>деятельности</w:t>
        </w:r>
        <w:r>
          <w:rPr>
            <w:color w:val="2255A6"/>
            <w:spacing w:val="-12"/>
            <w:sz w:val="18"/>
            <w:u w:val="single" w:color="2255A6"/>
          </w:rPr>
          <w:t> </w:t>
        </w:r>
        <w:r>
          <w:rPr>
            <w:color w:val="2255A6"/>
            <w:sz w:val="18"/>
            <w:u w:val="single" w:color="2255A6"/>
          </w:rPr>
          <w:t>педагогического</w:t>
        </w:r>
      </w:hyperlink>
      <w:r>
        <w:rPr>
          <w:color w:val="2255A6"/>
          <w:sz w:val="18"/>
        </w:rPr>
        <w:t> </w:t>
      </w:r>
      <w:hyperlink w:history="true" w:anchor="_bookmark80">
        <w:r>
          <w:rPr>
            <w:color w:val="2255A6"/>
            <w:sz w:val="18"/>
            <w:u w:val="single" w:color="2255A6"/>
          </w:rPr>
          <w:t>коллектива по обучению социальной, языковой и культурной адаптации</w:t>
        </w:r>
      </w:hyperlink>
    </w:p>
    <w:p>
      <w:pPr>
        <w:tabs>
          <w:tab w:pos="7181" w:val="left" w:leader="dot"/>
        </w:tabs>
        <w:spacing w:before="2"/>
        <w:ind w:left="141" w:right="0" w:firstLine="0"/>
        <w:jc w:val="left"/>
        <w:rPr>
          <w:sz w:val="18"/>
        </w:rPr>
      </w:pPr>
      <w:hyperlink w:history="true" w:anchor="_bookmark80">
        <w:r>
          <w:rPr>
            <w:color w:val="2255A6"/>
            <w:sz w:val="18"/>
            <w:u w:val="single" w:color="2255A6"/>
          </w:rPr>
          <w:t>детей</w:t>
        </w:r>
        <w:r>
          <w:rPr>
            <w:color w:val="2255A6"/>
            <w:spacing w:val="-1"/>
            <w:sz w:val="18"/>
            <w:u w:val="single" w:color="2255A6"/>
          </w:rPr>
          <w:t> </w:t>
        </w:r>
        <w:r>
          <w:rPr>
            <w:color w:val="2255A6"/>
            <w:sz w:val="18"/>
            <w:u w:val="single" w:color="2255A6"/>
          </w:rPr>
          <w:t>иностранных</w:t>
        </w:r>
        <w:r>
          <w:rPr>
            <w:color w:val="2255A6"/>
            <w:spacing w:val="2"/>
            <w:sz w:val="18"/>
            <w:u w:val="single" w:color="2255A6"/>
          </w:rPr>
          <w:t> </w:t>
        </w:r>
        <w:r>
          <w:rPr>
            <w:color w:val="2255A6"/>
            <w:spacing w:val="-2"/>
            <w:sz w:val="18"/>
            <w:u w:val="single" w:color="2255A6"/>
          </w:rPr>
          <w:t>граждан</w:t>
        </w:r>
        <w:r>
          <w:rPr>
            <w:color w:val="2255A6"/>
            <w:sz w:val="18"/>
          </w:rPr>
          <w:tab/>
        </w:r>
        <w:r>
          <w:rPr>
            <w:color w:val="231F20"/>
            <w:spacing w:val="-5"/>
            <w:sz w:val="18"/>
          </w:rPr>
          <w:t>58</w:t>
        </w:r>
      </w:hyperlink>
    </w:p>
    <w:p>
      <w:pPr>
        <w:pStyle w:val="ListParagraph"/>
        <w:numPr>
          <w:ilvl w:val="1"/>
          <w:numId w:val="35"/>
        </w:numPr>
        <w:tabs>
          <w:tab w:pos="411" w:val="left" w:leader="none"/>
          <w:tab w:pos="7181" w:val="left" w:leader="dot"/>
        </w:tabs>
        <w:spacing w:line="240" w:lineRule="auto" w:before="118" w:after="0"/>
        <w:ind w:left="411" w:right="0" w:hanging="270"/>
        <w:jc w:val="left"/>
        <w:rPr>
          <w:sz w:val="18"/>
        </w:rPr>
      </w:pPr>
      <w:hyperlink w:history="true" w:anchor="_bookmark51">
        <w:r>
          <w:rPr>
            <w:color w:val="2255A6"/>
            <w:spacing w:val="7"/>
            <w:sz w:val="18"/>
            <w:u w:val="single" w:color="2255A6"/>
          </w:rPr>
          <w:t> </w:t>
        </w:r>
        <w:r>
          <w:rPr>
            <w:color w:val="2255A6"/>
            <w:sz w:val="18"/>
            <w:u w:val="single" w:color="2255A6"/>
          </w:rPr>
          <w:t>​</w:t>
        </w:r>
        <w:r>
          <w:rPr>
            <w:color w:val="2255A6"/>
            <w:spacing w:val="-2"/>
            <w:sz w:val="18"/>
            <w:u w:val="single" w:color="2255A6"/>
          </w:rPr>
          <w:t>Технологии</w:t>
        </w:r>
        <w:r>
          <w:rPr>
            <w:color w:val="2255A6"/>
            <w:spacing w:val="7"/>
            <w:sz w:val="18"/>
            <w:u w:val="single" w:color="2255A6"/>
          </w:rPr>
          <w:t> </w:t>
        </w:r>
        <w:r>
          <w:rPr>
            <w:color w:val="2255A6"/>
            <w:spacing w:val="-2"/>
            <w:sz w:val="18"/>
            <w:u w:val="single" w:color="2255A6"/>
          </w:rPr>
          <w:t>повышения</w:t>
        </w:r>
        <w:r>
          <w:rPr>
            <w:color w:val="2255A6"/>
            <w:spacing w:val="7"/>
            <w:sz w:val="18"/>
            <w:u w:val="single" w:color="2255A6"/>
          </w:rPr>
          <w:t> </w:t>
        </w:r>
        <w:r>
          <w:rPr>
            <w:color w:val="2255A6"/>
            <w:spacing w:val="-2"/>
            <w:sz w:val="18"/>
            <w:u w:val="single" w:color="2255A6"/>
          </w:rPr>
          <w:t>межкультурной</w:t>
        </w:r>
        <w:r>
          <w:rPr>
            <w:color w:val="2255A6"/>
            <w:spacing w:val="7"/>
            <w:sz w:val="18"/>
            <w:u w:val="single" w:color="2255A6"/>
          </w:rPr>
          <w:t> </w:t>
        </w:r>
        <w:r>
          <w:rPr>
            <w:color w:val="2255A6"/>
            <w:spacing w:val="-2"/>
            <w:sz w:val="18"/>
            <w:u w:val="single" w:color="2255A6"/>
          </w:rPr>
          <w:t>компетентности</w:t>
        </w:r>
        <w:r>
          <w:rPr>
            <w:color w:val="2255A6"/>
            <w:spacing w:val="7"/>
            <w:sz w:val="18"/>
            <w:u w:val="single" w:color="2255A6"/>
          </w:rPr>
          <w:t> </w:t>
        </w:r>
        <w:r>
          <w:rPr>
            <w:color w:val="2255A6"/>
            <w:spacing w:val="-2"/>
            <w:sz w:val="18"/>
            <w:u w:val="single" w:color="2255A6"/>
          </w:rPr>
          <w:t>педагогов</w:t>
        </w:r>
        <w:r>
          <w:rPr>
            <w:color w:val="2255A6"/>
            <w:sz w:val="18"/>
          </w:rPr>
          <w:tab/>
        </w:r>
        <w:r>
          <w:rPr>
            <w:color w:val="231F20"/>
            <w:spacing w:val="-5"/>
            <w:sz w:val="18"/>
          </w:rPr>
          <w:t>64</w:t>
        </w:r>
      </w:hyperlink>
    </w:p>
    <w:p>
      <w:pPr>
        <w:pStyle w:val="ListParagraph"/>
        <w:numPr>
          <w:ilvl w:val="2"/>
          <w:numId w:val="35"/>
        </w:numPr>
        <w:tabs>
          <w:tab w:pos="785" w:val="left" w:leader="none"/>
        </w:tabs>
        <w:spacing w:line="240" w:lineRule="auto" w:before="62" w:after="0"/>
        <w:ind w:left="785" w:right="0" w:hanging="360"/>
        <w:jc w:val="left"/>
        <w:rPr>
          <w:sz w:val="18"/>
        </w:rPr>
      </w:pPr>
      <w:hyperlink w:history="true" w:anchor="_bookmark51">
        <w:r>
          <w:rPr>
            <w:color w:val="2255A6"/>
            <w:spacing w:val="-7"/>
            <w:sz w:val="18"/>
            <w:u w:val="single" w:color="2255A6"/>
          </w:rPr>
          <w:t> </w:t>
        </w:r>
        <w:r>
          <w:rPr>
            <w:color w:val="2255A6"/>
            <w:sz w:val="18"/>
            <w:u w:val="single" w:color="2255A6"/>
          </w:rPr>
          <w:t>​Интерактивные</w:t>
        </w:r>
        <w:r>
          <w:rPr>
            <w:color w:val="2255A6"/>
            <w:spacing w:val="-8"/>
            <w:sz w:val="18"/>
            <w:u w:val="single" w:color="2255A6"/>
          </w:rPr>
          <w:t> </w:t>
        </w:r>
        <w:r>
          <w:rPr>
            <w:color w:val="2255A6"/>
            <w:sz w:val="18"/>
            <w:u w:val="single" w:color="2255A6"/>
          </w:rPr>
          <w:t>семинары</w:t>
        </w:r>
        <w:r>
          <w:rPr>
            <w:color w:val="2255A6"/>
            <w:spacing w:val="-9"/>
            <w:sz w:val="18"/>
            <w:u w:val="single" w:color="2255A6"/>
          </w:rPr>
          <w:t> </w:t>
        </w:r>
        <w:r>
          <w:rPr>
            <w:color w:val="2255A6"/>
            <w:sz w:val="18"/>
            <w:u w:val="single" w:color="2255A6"/>
          </w:rPr>
          <w:t>по</w:t>
        </w:r>
        <w:r>
          <w:rPr>
            <w:color w:val="2255A6"/>
            <w:spacing w:val="-8"/>
            <w:sz w:val="18"/>
            <w:u w:val="single" w:color="2255A6"/>
          </w:rPr>
          <w:t> </w:t>
        </w:r>
        <w:r>
          <w:rPr>
            <w:color w:val="2255A6"/>
            <w:sz w:val="18"/>
            <w:u w:val="single" w:color="2255A6"/>
          </w:rPr>
          <w:t>проблеме</w:t>
        </w:r>
        <w:r>
          <w:rPr>
            <w:color w:val="2255A6"/>
            <w:spacing w:val="-8"/>
            <w:sz w:val="18"/>
            <w:u w:val="single" w:color="2255A6"/>
          </w:rPr>
          <w:t> </w:t>
        </w:r>
        <w:r>
          <w:rPr>
            <w:color w:val="2255A6"/>
            <w:spacing w:val="-2"/>
            <w:sz w:val="18"/>
            <w:u w:val="single" w:color="2255A6"/>
          </w:rPr>
          <w:t>межкультурной</w:t>
        </w:r>
      </w:hyperlink>
    </w:p>
    <w:p>
      <w:pPr>
        <w:tabs>
          <w:tab w:pos="7181" w:val="left" w:leader="dot"/>
        </w:tabs>
        <w:spacing w:before="5"/>
        <w:ind w:left="425" w:right="0" w:firstLine="0"/>
        <w:jc w:val="left"/>
        <w:rPr>
          <w:sz w:val="18"/>
        </w:rPr>
      </w:pPr>
      <w:hyperlink w:history="true" w:anchor="_bookmark51">
        <w:r>
          <w:rPr>
            <w:color w:val="2255A6"/>
            <w:spacing w:val="-2"/>
            <w:sz w:val="18"/>
            <w:u w:val="single" w:color="2255A6"/>
          </w:rPr>
          <w:t>компетентности</w:t>
        </w:r>
        <w:r>
          <w:rPr>
            <w:color w:val="2255A6"/>
            <w:spacing w:val="5"/>
            <w:sz w:val="18"/>
            <w:u w:val="single" w:color="2255A6"/>
          </w:rPr>
          <w:t> </w:t>
        </w:r>
        <w:r>
          <w:rPr>
            <w:color w:val="2255A6"/>
            <w:spacing w:val="-2"/>
            <w:sz w:val="18"/>
            <w:u w:val="single" w:color="2255A6"/>
          </w:rPr>
          <w:t>педагога</w:t>
        </w:r>
        <w:r>
          <w:rPr>
            <w:color w:val="2255A6"/>
            <w:sz w:val="18"/>
          </w:rPr>
          <w:tab/>
        </w:r>
        <w:r>
          <w:rPr>
            <w:color w:val="231F20"/>
            <w:spacing w:val="-5"/>
            <w:sz w:val="18"/>
          </w:rPr>
          <w:t>64</w:t>
        </w:r>
      </w:hyperlink>
    </w:p>
    <w:p>
      <w:pPr>
        <w:tabs>
          <w:tab w:pos="7181" w:val="left" w:leader="dot"/>
        </w:tabs>
        <w:spacing w:before="62"/>
        <w:ind w:left="425" w:right="0" w:firstLine="0"/>
        <w:jc w:val="left"/>
        <w:rPr>
          <w:sz w:val="18"/>
        </w:rPr>
      </w:pPr>
      <w:hyperlink w:history="true" w:anchor="_bookmark52">
        <w:r>
          <w:rPr>
            <w:color w:val="2255A6"/>
            <w:sz w:val="18"/>
            <w:u w:val="single" w:color="2255A6"/>
          </w:rPr>
          <w:t>2.2.2.</w:t>
        </w:r>
        <w:r>
          <w:rPr>
            <w:color w:val="2255A6"/>
            <w:spacing w:val="-8"/>
            <w:sz w:val="18"/>
            <w:u w:val="single" w:color="2255A6"/>
          </w:rPr>
          <w:t> </w:t>
        </w:r>
        <w:r>
          <w:rPr>
            <w:color w:val="2255A6"/>
            <w:sz w:val="18"/>
            <w:u w:val="single" w:color="2255A6"/>
          </w:rPr>
          <w:t>Межкультурный</w:t>
        </w:r>
        <w:r>
          <w:rPr>
            <w:color w:val="2255A6"/>
            <w:spacing w:val="-9"/>
            <w:sz w:val="18"/>
            <w:u w:val="single" w:color="2255A6"/>
          </w:rPr>
          <w:t> </w:t>
        </w:r>
        <w:r>
          <w:rPr>
            <w:color w:val="2255A6"/>
            <w:sz w:val="18"/>
            <w:u w:val="single" w:color="2255A6"/>
          </w:rPr>
          <w:t>тренинг</w:t>
        </w:r>
        <w:r>
          <w:rPr>
            <w:color w:val="2255A6"/>
            <w:spacing w:val="-9"/>
            <w:sz w:val="18"/>
            <w:u w:val="single" w:color="2255A6"/>
          </w:rPr>
          <w:t> </w:t>
        </w:r>
        <w:r>
          <w:rPr>
            <w:color w:val="2255A6"/>
            <w:sz w:val="18"/>
            <w:u w:val="single" w:color="2255A6"/>
          </w:rPr>
          <w:t>для</w:t>
        </w:r>
        <w:r>
          <w:rPr>
            <w:color w:val="2255A6"/>
            <w:spacing w:val="-7"/>
            <w:sz w:val="18"/>
            <w:u w:val="single" w:color="2255A6"/>
          </w:rPr>
          <w:t> </w:t>
        </w:r>
        <w:r>
          <w:rPr>
            <w:color w:val="2255A6"/>
            <w:spacing w:val="-2"/>
            <w:sz w:val="18"/>
            <w:u w:val="single" w:color="2255A6"/>
          </w:rPr>
          <w:t>педагогов</w:t>
        </w:r>
        <w:r>
          <w:rPr>
            <w:color w:val="2255A6"/>
            <w:sz w:val="18"/>
          </w:rPr>
          <w:tab/>
        </w:r>
        <w:r>
          <w:rPr>
            <w:color w:val="231F20"/>
            <w:spacing w:val="-5"/>
            <w:sz w:val="18"/>
          </w:rPr>
          <w:t>71</w:t>
        </w:r>
      </w:hyperlink>
    </w:p>
    <w:p>
      <w:pPr>
        <w:spacing w:before="175"/>
        <w:ind w:left="303" w:right="303" w:firstLine="0"/>
        <w:jc w:val="center"/>
        <w:rPr>
          <w:b/>
          <w:sz w:val="18"/>
        </w:rPr>
      </w:pPr>
      <w:hyperlink w:history="true" w:anchor="_bookmark53">
        <w:r>
          <w:rPr>
            <w:b/>
            <w:color w:val="2255A6"/>
            <w:sz w:val="18"/>
            <w:u w:val="single" w:color="2255A6"/>
          </w:rPr>
          <w:t>РАЗДЕЛ</w:t>
        </w:r>
        <w:r>
          <w:rPr>
            <w:b/>
            <w:color w:val="2255A6"/>
            <w:spacing w:val="-9"/>
            <w:sz w:val="18"/>
            <w:u w:val="single" w:color="2255A6"/>
          </w:rPr>
          <w:t> </w:t>
        </w:r>
        <w:r>
          <w:rPr>
            <w:b/>
            <w:color w:val="2255A6"/>
            <w:spacing w:val="-5"/>
            <w:sz w:val="18"/>
            <w:u w:val="single" w:color="2255A6"/>
          </w:rPr>
          <w:t>3.</w:t>
        </w:r>
      </w:hyperlink>
    </w:p>
    <w:p>
      <w:pPr>
        <w:spacing w:before="5"/>
        <w:ind w:left="1317" w:right="0" w:firstLine="0"/>
        <w:jc w:val="left"/>
        <w:rPr>
          <w:b/>
          <w:sz w:val="18"/>
        </w:rPr>
      </w:pPr>
      <w:hyperlink w:history="true" w:anchor="_bookmark53">
        <w:r>
          <w:rPr>
            <w:b/>
            <w:color w:val="2255A6"/>
            <w:sz w:val="18"/>
            <w:u w:val="single" w:color="2255A6"/>
          </w:rPr>
          <w:t>Работа</w:t>
        </w:r>
        <w:r>
          <w:rPr>
            <w:b/>
            <w:color w:val="2255A6"/>
            <w:spacing w:val="-6"/>
            <w:sz w:val="18"/>
            <w:u w:val="single" w:color="2255A6"/>
          </w:rPr>
          <w:t> </w:t>
        </w:r>
        <w:r>
          <w:rPr>
            <w:b/>
            <w:color w:val="2255A6"/>
            <w:sz w:val="18"/>
            <w:u w:val="single" w:color="2255A6"/>
          </w:rPr>
          <w:t>педагога</w:t>
        </w:r>
        <w:r>
          <w:rPr>
            <w:b/>
            <w:color w:val="2255A6"/>
            <w:spacing w:val="-6"/>
            <w:sz w:val="18"/>
            <w:u w:val="single" w:color="2255A6"/>
          </w:rPr>
          <w:t> </w:t>
        </w:r>
        <w:r>
          <w:rPr>
            <w:b/>
            <w:color w:val="2255A6"/>
            <w:sz w:val="18"/>
            <w:u w:val="single" w:color="2255A6"/>
          </w:rPr>
          <w:t>с</w:t>
        </w:r>
        <w:r>
          <w:rPr>
            <w:b/>
            <w:color w:val="2255A6"/>
            <w:spacing w:val="-6"/>
            <w:sz w:val="18"/>
            <w:u w:val="single" w:color="2255A6"/>
          </w:rPr>
          <w:t> </w:t>
        </w:r>
        <w:r>
          <w:rPr>
            <w:b/>
            <w:color w:val="2255A6"/>
            <w:sz w:val="18"/>
            <w:u w:val="single" w:color="2255A6"/>
          </w:rPr>
          <w:t>родителями</w:t>
        </w:r>
        <w:r>
          <w:rPr>
            <w:b/>
            <w:color w:val="2255A6"/>
            <w:spacing w:val="-7"/>
            <w:sz w:val="18"/>
            <w:u w:val="single" w:color="2255A6"/>
          </w:rPr>
          <w:t> </w:t>
        </w:r>
        <w:r>
          <w:rPr>
            <w:b/>
            <w:color w:val="2255A6"/>
            <w:sz w:val="18"/>
            <w:u w:val="single" w:color="2255A6"/>
          </w:rPr>
          <w:t>–</w:t>
        </w:r>
        <w:r>
          <w:rPr>
            <w:b/>
            <w:color w:val="2255A6"/>
            <w:spacing w:val="-6"/>
            <w:sz w:val="18"/>
            <w:u w:val="single" w:color="2255A6"/>
          </w:rPr>
          <w:t> </w:t>
        </w:r>
        <w:r>
          <w:rPr>
            <w:b/>
            <w:color w:val="2255A6"/>
            <w:sz w:val="18"/>
            <w:u w:val="single" w:color="2255A6"/>
          </w:rPr>
          <w:t>иностранными</w:t>
        </w:r>
        <w:r>
          <w:rPr>
            <w:b/>
            <w:color w:val="2255A6"/>
            <w:spacing w:val="-6"/>
            <w:sz w:val="18"/>
            <w:u w:val="single" w:color="2255A6"/>
          </w:rPr>
          <w:t> </w:t>
        </w:r>
        <w:r>
          <w:rPr>
            <w:b/>
            <w:color w:val="2255A6"/>
            <w:spacing w:val="-2"/>
            <w:sz w:val="18"/>
            <w:u w:val="single" w:color="2255A6"/>
          </w:rPr>
          <w:t>гражданами</w:t>
        </w:r>
      </w:hyperlink>
    </w:p>
    <w:p>
      <w:pPr>
        <w:pStyle w:val="ListParagraph"/>
        <w:numPr>
          <w:ilvl w:val="1"/>
          <w:numId w:val="36"/>
        </w:numPr>
        <w:tabs>
          <w:tab w:pos="408" w:val="left" w:leader="none"/>
          <w:tab w:pos="7181" w:val="left" w:leader="dot"/>
        </w:tabs>
        <w:spacing w:line="240" w:lineRule="auto" w:before="62" w:after="0"/>
        <w:ind w:left="408" w:right="0" w:hanging="267"/>
        <w:jc w:val="left"/>
        <w:rPr>
          <w:sz w:val="18"/>
        </w:rPr>
      </w:pPr>
      <w:hyperlink w:history="true" w:anchor="_bookmark54">
        <w:r>
          <w:rPr>
            <w:color w:val="2255A6"/>
            <w:spacing w:val="-11"/>
            <w:sz w:val="18"/>
            <w:u w:val="single" w:color="2255A6"/>
          </w:rPr>
          <w:t> </w:t>
        </w:r>
        <w:r>
          <w:rPr>
            <w:color w:val="2255A6"/>
            <w:sz w:val="18"/>
            <w:u w:val="single" w:color="2255A6"/>
          </w:rPr>
          <w:t>Методические</w:t>
        </w:r>
        <w:r>
          <w:rPr>
            <w:color w:val="2255A6"/>
            <w:spacing w:val="-8"/>
            <w:sz w:val="18"/>
            <w:u w:val="single" w:color="2255A6"/>
          </w:rPr>
          <w:t> </w:t>
        </w:r>
        <w:r>
          <w:rPr>
            <w:color w:val="2255A6"/>
            <w:sz w:val="18"/>
            <w:u w:val="single" w:color="2255A6"/>
          </w:rPr>
          <w:t>принципы</w:t>
        </w:r>
        <w:r>
          <w:rPr>
            <w:color w:val="2255A6"/>
            <w:spacing w:val="-8"/>
            <w:sz w:val="18"/>
            <w:u w:val="single" w:color="2255A6"/>
          </w:rPr>
          <w:t> </w:t>
        </w:r>
        <w:r>
          <w:rPr>
            <w:color w:val="2255A6"/>
            <w:sz w:val="18"/>
            <w:u w:val="single" w:color="2255A6"/>
          </w:rPr>
          <w:t>взаимодействия</w:t>
        </w:r>
        <w:r>
          <w:rPr>
            <w:color w:val="2255A6"/>
            <w:spacing w:val="-8"/>
            <w:sz w:val="18"/>
            <w:u w:val="single" w:color="2255A6"/>
          </w:rPr>
          <w:t> </w:t>
        </w:r>
        <w:r>
          <w:rPr>
            <w:color w:val="2255A6"/>
            <w:sz w:val="18"/>
            <w:u w:val="single" w:color="2255A6"/>
          </w:rPr>
          <w:t>с</w:t>
        </w:r>
        <w:r>
          <w:rPr>
            <w:color w:val="2255A6"/>
            <w:spacing w:val="-9"/>
            <w:sz w:val="18"/>
            <w:u w:val="single" w:color="2255A6"/>
          </w:rPr>
          <w:t> </w:t>
        </w:r>
        <w:r>
          <w:rPr>
            <w:color w:val="2255A6"/>
            <w:sz w:val="18"/>
            <w:u w:val="single" w:color="2255A6"/>
          </w:rPr>
          <w:t>родителями</w:t>
        </w:r>
        <w:r>
          <w:rPr>
            <w:color w:val="2255A6"/>
            <w:spacing w:val="-8"/>
            <w:sz w:val="18"/>
            <w:u w:val="single" w:color="2255A6"/>
          </w:rPr>
          <w:t> </w:t>
        </w:r>
        <w:r>
          <w:rPr>
            <w:color w:val="2255A6"/>
            <w:sz w:val="18"/>
            <w:u w:val="single" w:color="2255A6"/>
          </w:rPr>
          <w:t>–</w:t>
        </w:r>
        <w:r>
          <w:rPr>
            <w:color w:val="2255A6"/>
            <w:spacing w:val="-8"/>
            <w:sz w:val="18"/>
            <w:u w:val="single" w:color="2255A6"/>
          </w:rPr>
          <w:t> </w:t>
        </w:r>
        <w:r>
          <w:rPr>
            <w:color w:val="2255A6"/>
            <w:sz w:val="18"/>
            <w:u w:val="single" w:color="2255A6"/>
          </w:rPr>
          <w:t>иностранными</w:t>
        </w:r>
        <w:r>
          <w:rPr>
            <w:color w:val="2255A6"/>
            <w:spacing w:val="-8"/>
            <w:sz w:val="18"/>
            <w:u w:val="single" w:color="2255A6"/>
          </w:rPr>
          <w:t> </w:t>
        </w:r>
        <w:r>
          <w:rPr>
            <w:color w:val="2255A6"/>
            <w:spacing w:val="-2"/>
            <w:sz w:val="18"/>
            <w:u w:val="single" w:color="2255A6"/>
          </w:rPr>
          <w:t>гражданами</w:t>
        </w:r>
        <w:r>
          <w:rPr>
            <w:color w:val="2255A6"/>
            <w:sz w:val="18"/>
          </w:rPr>
          <w:tab/>
        </w:r>
        <w:r>
          <w:rPr>
            <w:color w:val="231F20"/>
            <w:spacing w:val="-5"/>
            <w:sz w:val="18"/>
          </w:rPr>
          <w:t>75</w:t>
        </w:r>
      </w:hyperlink>
    </w:p>
    <w:p>
      <w:pPr>
        <w:pStyle w:val="ListParagraph"/>
        <w:numPr>
          <w:ilvl w:val="2"/>
          <w:numId w:val="36"/>
        </w:numPr>
        <w:tabs>
          <w:tab w:pos="830" w:val="left" w:leader="none"/>
        </w:tabs>
        <w:spacing w:line="240" w:lineRule="auto" w:before="59" w:after="0"/>
        <w:ind w:left="830" w:right="0" w:hanging="405"/>
        <w:jc w:val="left"/>
        <w:rPr>
          <w:sz w:val="18"/>
        </w:rPr>
      </w:pPr>
      <w:hyperlink w:history="true" w:anchor="_bookmark54">
        <w:r>
          <w:rPr>
            <w:color w:val="2255A6"/>
            <w:spacing w:val="-6"/>
            <w:sz w:val="18"/>
            <w:u w:val="single" w:color="2255A6"/>
          </w:rPr>
          <w:t> </w:t>
        </w:r>
        <w:r>
          <w:rPr>
            <w:color w:val="2255A6"/>
            <w:sz w:val="18"/>
            <w:u w:val="single" w:color="2255A6"/>
          </w:rPr>
          <w:t>​Возможные</w:t>
        </w:r>
        <w:r>
          <w:rPr>
            <w:color w:val="2255A6"/>
            <w:spacing w:val="-6"/>
            <w:sz w:val="18"/>
            <w:u w:val="single" w:color="2255A6"/>
          </w:rPr>
          <w:t> </w:t>
        </w:r>
        <w:r>
          <w:rPr>
            <w:color w:val="2255A6"/>
            <w:sz w:val="18"/>
            <w:u w:val="single" w:color="2255A6"/>
          </w:rPr>
          <w:t>барьеры</w:t>
        </w:r>
        <w:r>
          <w:rPr>
            <w:color w:val="2255A6"/>
            <w:spacing w:val="-6"/>
            <w:sz w:val="18"/>
            <w:u w:val="single" w:color="2255A6"/>
          </w:rPr>
          <w:t> </w:t>
        </w:r>
        <w:r>
          <w:rPr>
            <w:color w:val="2255A6"/>
            <w:sz w:val="18"/>
            <w:u w:val="single" w:color="2255A6"/>
          </w:rPr>
          <w:t>во</w:t>
        </w:r>
        <w:r>
          <w:rPr>
            <w:color w:val="2255A6"/>
            <w:spacing w:val="-6"/>
            <w:sz w:val="18"/>
            <w:u w:val="single" w:color="2255A6"/>
          </w:rPr>
          <w:t> </w:t>
        </w:r>
        <w:r>
          <w:rPr>
            <w:color w:val="2255A6"/>
            <w:sz w:val="18"/>
            <w:u w:val="single" w:color="2255A6"/>
          </w:rPr>
          <w:t>взаимодействии</w:t>
        </w:r>
        <w:r>
          <w:rPr>
            <w:color w:val="2255A6"/>
            <w:spacing w:val="-6"/>
            <w:sz w:val="18"/>
            <w:u w:val="single" w:color="2255A6"/>
          </w:rPr>
          <w:t> </w:t>
        </w:r>
        <w:r>
          <w:rPr>
            <w:color w:val="2255A6"/>
            <w:sz w:val="18"/>
            <w:u w:val="single" w:color="2255A6"/>
          </w:rPr>
          <w:t>родителей-</w:t>
        </w:r>
        <w:r>
          <w:rPr>
            <w:color w:val="2255A6"/>
            <w:spacing w:val="-2"/>
            <w:sz w:val="18"/>
            <w:u w:val="single" w:color="2255A6"/>
          </w:rPr>
          <w:t>мигрантов</w:t>
        </w:r>
      </w:hyperlink>
    </w:p>
    <w:p>
      <w:pPr>
        <w:tabs>
          <w:tab w:pos="7181" w:val="left" w:leader="dot"/>
        </w:tabs>
        <w:spacing w:before="3"/>
        <w:ind w:left="425" w:right="0" w:firstLine="0"/>
        <w:jc w:val="left"/>
        <w:rPr>
          <w:sz w:val="18"/>
        </w:rPr>
      </w:pPr>
      <w:hyperlink w:history="true" w:anchor="_bookmark54">
        <w:r>
          <w:rPr>
            <w:color w:val="2255A6"/>
            <w:sz w:val="18"/>
            <w:u w:val="single" w:color="2255A6"/>
          </w:rPr>
          <w:t>с</w:t>
        </w:r>
        <w:r>
          <w:rPr>
            <w:color w:val="2255A6"/>
            <w:spacing w:val="-8"/>
            <w:sz w:val="18"/>
            <w:u w:val="single" w:color="2255A6"/>
          </w:rPr>
          <w:t> </w:t>
        </w:r>
        <w:r>
          <w:rPr>
            <w:color w:val="2255A6"/>
            <w:sz w:val="18"/>
            <w:u w:val="single" w:color="2255A6"/>
          </w:rPr>
          <w:t>образовательным</w:t>
        </w:r>
        <w:r>
          <w:rPr>
            <w:color w:val="2255A6"/>
            <w:spacing w:val="-5"/>
            <w:sz w:val="18"/>
            <w:u w:val="single" w:color="2255A6"/>
          </w:rPr>
          <w:t> </w:t>
        </w:r>
        <w:r>
          <w:rPr>
            <w:color w:val="2255A6"/>
            <w:spacing w:val="-2"/>
            <w:sz w:val="18"/>
            <w:u w:val="single" w:color="2255A6"/>
          </w:rPr>
          <w:t>учреждением</w:t>
        </w:r>
        <w:r>
          <w:rPr>
            <w:color w:val="2255A6"/>
            <w:sz w:val="18"/>
          </w:rPr>
          <w:tab/>
        </w:r>
        <w:r>
          <w:rPr>
            <w:color w:val="231F20"/>
            <w:spacing w:val="-5"/>
            <w:sz w:val="18"/>
          </w:rPr>
          <w:t>75</w:t>
        </w:r>
      </w:hyperlink>
    </w:p>
    <w:p>
      <w:pPr>
        <w:pStyle w:val="ListParagraph"/>
        <w:numPr>
          <w:ilvl w:val="2"/>
          <w:numId w:val="36"/>
        </w:numPr>
        <w:tabs>
          <w:tab w:pos="830" w:val="left" w:leader="none"/>
        </w:tabs>
        <w:spacing w:line="240" w:lineRule="auto" w:before="60" w:after="0"/>
        <w:ind w:left="830" w:right="0" w:hanging="405"/>
        <w:jc w:val="left"/>
        <w:rPr>
          <w:sz w:val="18"/>
        </w:rPr>
      </w:pPr>
      <w:hyperlink w:history="true" w:anchor="_bookmark55">
        <w:r>
          <w:rPr>
            <w:color w:val="2255A6"/>
            <w:spacing w:val="-5"/>
            <w:sz w:val="18"/>
            <w:u w:val="single" w:color="2255A6"/>
          </w:rPr>
          <w:t> </w:t>
        </w:r>
        <w:r>
          <w:rPr>
            <w:color w:val="2255A6"/>
            <w:sz w:val="18"/>
            <w:u w:val="single" w:color="2255A6"/>
          </w:rPr>
          <w:t>​Возможные</w:t>
        </w:r>
        <w:r>
          <w:rPr>
            <w:color w:val="2255A6"/>
            <w:spacing w:val="-4"/>
            <w:sz w:val="18"/>
            <w:u w:val="single" w:color="2255A6"/>
          </w:rPr>
          <w:t> </w:t>
        </w:r>
        <w:r>
          <w:rPr>
            <w:color w:val="2255A6"/>
            <w:sz w:val="18"/>
            <w:u w:val="single" w:color="2255A6"/>
          </w:rPr>
          <w:t>задачи</w:t>
        </w:r>
        <w:r>
          <w:rPr>
            <w:color w:val="2255A6"/>
            <w:spacing w:val="-5"/>
            <w:sz w:val="18"/>
            <w:u w:val="single" w:color="2255A6"/>
          </w:rPr>
          <w:t> </w:t>
        </w:r>
        <w:r>
          <w:rPr>
            <w:color w:val="2255A6"/>
            <w:sz w:val="18"/>
            <w:u w:val="single" w:color="2255A6"/>
          </w:rPr>
          <w:t>в</w:t>
        </w:r>
        <w:r>
          <w:rPr>
            <w:color w:val="2255A6"/>
            <w:spacing w:val="-5"/>
            <w:sz w:val="18"/>
            <w:u w:val="single" w:color="2255A6"/>
          </w:rPr>
          <w:t> </w:t>
        </w:r>
        <w:r>
          <w:rPr>
            <w:color w:val="2255A6"/>
            <w:sz w:val="18"/>
            <w:u w:val="single" w:color="2255A6"/>
          </w:rPr>
          <w:t>работе</w:t>
        </w:r>
        <w:r>
          <w:rPr>
            <w:color w:val="2255A6"/>
            <w:spacing w:val="-4"/>
            <w:sz w:val="18"/>
            <w:u w:val="single" w:color="2255A6"/>
          </w:rPr>
          <w:t> </w:t>
        </w:r>
        <w:r>
          <w:rPr>
            <w:color w:val="2255A6"/>
            <w:sz w:val="18"/>
            <w:u w:val="single" w:color="2255A6"/>
          </w:rPr>
          <w:t>с</w:t>
        </w:r>
        <w:r>
          <w:rPr>
            <w:color w:val="2255A6"/>
            <w:spacing w:val="-4"/>
            <w:sz w:val="18"/>
            <w:u w:val="single" w:color="2255A6"/>
          </w:rPr>
          <w:t> </w:t>
        </w:r>
        <w:r>
          <w:rPr>
            <w:color w:val="2255A6"/>
            <w:sz w:val="18"/>
            <w:u w:val="single" w:color="2255A6"/>
          </w:rPr>
          <w:t>родителями</w:t>
        </w:r>
        <w:r>
          <w:rPr>
            <w:color w:val="2255A6"/>
            <w:spacing w:val="-5"/>
            <w:sz w:val="18"/>
            <w:u w:val="single" w:color="2255A6"/>
          </w:rPr>
          <w:t> </w:t>
        </w:r>
        <w:r>
          <w:rPr>
            <w:color w:val="2255A6"/>
            <w:sz w:val="18"/>
            <w:u w:val="single" w:color="2255A6"/>
          </w:rPr>
          <w:t>–</w:t>
        </w:r>
        <w:r>
          <w:rPr>
            <w:color w:val="2255A6"/>
            <w:spacing w:val="-4"/>
            <w:sz w:val="18"/>
            <w:u w:val="single" w:color="2255A6"/>
          </w:rPr>
          <w:t> </w:t>
        </w:r>
        <w:r>
          <w:rPr>
            <w:color w:val="2255A6"/>
            <w:spacing w:val="-2"/>
            <w:sz w:val="18"/>
            <w:u w:val="single" w:color="2255A6"/>
          </w:rPr>
          <w:t>иностранными</w:t>
        </w:r>
      </w:hyperlink>
    </w:p>
    <w:p>
      <w:pPr>
        <w:tabs>
          <w:tab w:pos="7181" w:val="left" w:leader="dot"/>
        </w:tabs>
        <w:spacing w:before="3"/>
        <w:ind w:left="425" w:right="0" w:firstLine="0"/>
        <w:jc w:val="left"/>
        <w:rPr>
          <w:sz w:val="18"/>
        </w:rPr>
      </w:pPr>
      <w:hyperlink w:history="true" w:anchor="_bookmark55">
        <w:r>
          <w:rPr>
            <w:color w:val="2255A6"/>
            <w:sz w:val="18"/>
            <w:u w:val="single" w:color="2255A6"/>
          </w:rPr>
          <w:t>гражданами</w:t>
        </w:r>
        <w:r>
          <w:rPr>
            <w:color w:val="2255A6"/>
            <w:spacing w:val="-7"/>
            <w:sz w:val="18"/>
            <w:u w:val="single" w:color="2255A6"/>
          </w:rPr>
          <w:t> </w:t>
        </w:r>
        <w:r>
          <w:rPr>
            <w:color w:val="2255A6"/>
            <w:sz w:val="18"/>
            <w:u w:val="single" w:color="2255A6"/>
          </w:rPr>
          <w:t>в</w:t>
        </w:r>
        <w:r>
          <w:rPr>
            <w:color w:val="2255A6"/>
            <w:spacing w:val="-5"/>
            <w:sz w:val="18"/>
            <w:u w:val="single" w:color="2255A6"/>
          </w:rPr>
          <w:t> </w:t>
        </w:r>
        <w:r>
          <w:rPr>
            <w:color w:val="2255A6"/>
            <w:sz w:val="18"/>
            <w:u w:val="single" w:color="2255A6"/>
          </w:rPr>
          <w:t>соответствии</w:t>
        </w:r>
        <w:r>
          <w:rPr>
            <w:color w:val="2255A6"/>
            <w:spacing w:val="-5"/>
            <w:sz w:val="18"/>
            <w:u w:val="single" w:color="2255A6"/>
          </w:rPr>
          <w:t> </w:t>
        </w:r>
        <w:r>
          <w:rPr>
            <w:color w:val="2255A6"/>
            <w:sz w:val="18"/>
            <w:u w:val="single" w:color="2255A6"/>
          </w:rPr>
          <w:t>со</w:t>
        </w:r>
        <w:r>
          <w:rPr>
            <w:color w:val="2255A6"/>
            <w:spacing w:val="-4"/>
            <w:sz w:val="18"/>
            <w:u w:val="single" w:color="2255A6"/>
          </w:rPr>
          <w:t> </w:t>
        </w:r>
        <w:r>
          <w:rPr>
            <w:color w:val="2255A6"/>
            <w:sz w:val="18"/>
            <w:u w:val="single" w:color="2255A6"/>
          </w:rPr>
          <w:t>стадиями</w:t>
        </w:r>
        <w:r>
          <w:rPr>
            <w:color w:val="2255A6"/>
            <w:spacing w:val="-4"/>
            <w:sz w:val="18"/>
            <w:u w:val="single" w:color="2255A6"/>
          </w:rPr>
          <w:t> </w:t>
        </w:r>
        <w:r>
          <w:rPr>
            <w:color w:val="2255A6"/>
            <w:sz w:val="18"/>
            <w:u w:val="single" w:color="2255A6"/>
          </w:rPr>
          <w:t>их</w:t>
        </w:r>
        <w:r>
          <w:rPr>
            <w:color w:val="2255A6"/>
            <w:spacing w:val="-4"/>
            <w:sz w:val="18"/>
            <w:u w:val="single" w:color="2255A6"/>
          </w:rPr>
          <w:t> </w:t>
        </w:r>
        <w:r>
          <w:rPr>
            <w:color w:val="2255A6"/>
            <w:sz w:val="18"/>
            <w:u w:val="single" w:color="2255A6"/>
          </w:rPr>
          <w:t>адаптации</w:t>
        </w:r>
        <w:r>
          <w:rPr>
            <w:color w:val="2255A6"/>
            <w:spacing w:val="-5"/>
            <w:sz w:val="18"/>
            <w:u w:val="single" w:color="2255A6"/>
          </w:rPr>
          <w:t> </w:t>
        </w:r>
        <w:r>
          <w:rPr>
            <w:color w:val="2255A6"/>
            <w:sz w:val="18"/>
            <w:u w:val="single" w:color="2255A6"/>
          </w:rPr>
          <w:t>в</w:t>
        </w:r>
        <w:r>
          <w:rPr>
            <w:color w:val="2255A6"/>
            <w:spacing w:val="-5"/>
            <w:sz w:val="18"/>
            <w:u w:val="single" w:color="2255A6"/>
          </w:rPr>
          <w:t> </w:t>
        </w:r>
        <w:r>
          <w:rPr>
            <w:color w:val="2255A6"/>
            <w:sz w:val="18"/>
            <w:u w:val="single" w:color="2255A6"/>
          </w:rPr>
          <w:t>российском</w:t>
        </w:r>
        <w:r>
          <w:rPr>
            <w:color w:val="2255A6"/>
            <w:spacing w:val="-3"/>
            <w:sz w:val="18"/>
            <w:u w:val="single" w:color="2255A6"/>
          </w:rPr>
          <w:t> </w:t>
        </w:r>
        <w:r>
          <w:rPr>
            <w:color w:val="2255A6"/>
            <w:spacing w:val="-2"/>
            <w:sz w:val="18"/>
            <w:u w:val="single" w:color="2255A6"/>
          </w:rPr>
          <w:t>обществе</w:t>
        </w:r>
        <w:r>
          <w:rPr>
            <w:color w:val="2255A6"/>
            <w:sz w:val="18"/>
          </w:rPr>
          <w:tab/>
        </w:r>
        <w:r>
          <w:rPr>
            <w:color w:val="231F20"/>
            <w:spacing w:val="-5"/>
            <w:sz w:val="18"/>
          </w:rPr>
          <w:t>77</w:t>
        </w:r>
      </w:hyperlink>
    </w:p>
    <w:p>
      <w:pPr>
        <w:pStyle w:val="ListParagraph"/>
        <w:numPr>
          <w:ilvl w:val="1"/>
          <w:numId w:val="36"/>
        </w:numPr>
        <w:tabs>
          <w:tab w:pos="411" w:val="left" w:leader="none"/>
        </w:tabs>
        <w:spacing w:line="240" w:lineRule="auto" w:before="116" w:after="0"/>
        <w:ind w:left="411" w:right="0" w:hanging="270"/>
        <w:jc w:val="left"/>
        <w:rPr>
          <w:sz w:val="18"/>
        </w:rPr>
      </w:pPr>
      <w:hyperlink w:history="true" w:anchor="_bookmark56">
        <w:r>
          <w:rPr>
            <w:color w:val="2255A6"/>
            <w:spacing w:val="-9"/>
            <w:sz w:val="18"/>
            <w:u w:val="single" w:color="2255A6"/>
          </w:rPr>
          <w:t> </w:t>
        </w:r>
        <w:r>
          <w:rPr>
            <w:color w:val="2255A6"/>
            <w:sz w:val="18"/>
            <w:u w:val="single" w:color="2255A6"/>
          </w:rPr>
          <w:t>​Стратегии</w:t>
        </w:r>
        <w:r>
          <w:rPr>
            <w:color w:val="2255A6"/>
            <w:spacing w:val="-8"/>
            <w:sz w:val="18"/>
            <w:u w:val="single" w:color="2255A6"/>
          </w:rPr>
          <w:t> </w:t>
        </w:r>
        <w:r>
          <w:rPr>
            <w:color w:val="2255A6"/>
            <w:sz w:val="18"/>
            <w:u w:val="single" w:color="2255A6"/>
          </w:rPr>
          <w:t>индивидуального</w:t>
        </w:r>
        <w:r>
          <w:rPr>
            <w:color w:val="2255A6"/>
            <w:spacing w:val="-6"/>
            <w:sz w:val="18"/>
            <w:u w:val="single" w:color="2255A6"/>
          </w:rPr>
          <w:t> </w:t>
        </w:r>
        <w:r>
          <w:rPr>
            <w:color w:val="2255A6"/>
            <w:sz w:val="18"/>
            <w:u w:val="single" w:color="2255A6"/>
          </w:rPr>
          <w:t>взаимодействия</w:t>
        </w:r>
        <w:r>
          <w:rPr>
            <w:color w:val="2255A6"/>
            <w:spacing w:val="-7"/>
            <w:sz w:val="18"/>
            <w:u w:val="single" w:color="2255A6"/>
          </w:rPr>
          <w:t> </w:t>
        </w:r>
        <w:r>
          <w:rPr>
            <w:color w:val="2255A6"/>
            <w:sz w:val="18"/>
            <w:u w:val="single" w:color="2255A6"/>
          </w:rPr>
          <w:t>с</w:t>
        </w:r>
        <w:r>
          <w:rPr>
            <w:color w:val="2255A6"/>
            <w:spacing w:val="-7"/>
            <w:sz w:val="18"/>
            <w:u w:val="single" w:color="2255A6"/>
          </w:rPr>
          <w:t> </w:t>
        </w:r>
        <w:r>
          <w:rPr>
            <w:color w:val="2255A6"/>
            <w:sz w:val="18"/>
            <w:u w:val="single" w:color="2255A6"/>
          </w:rPr>
          <w:t>родителями</w:t>
        </w:r>
        <w:r>
          <w:rPr>
            <w:color w:val="2255A6"/>
            <w:spacing w:val="-7"/>
            <w:sz w:val="18"/>
            <w:u w:val="single" w:color="2255A6"/>
          </w:rPr>
          <w:t> </w:t>
        </w:r>
        <w:r>
          <w:rPr>
            <w:color w:val="2255A6"/>
            <w:spacing w:val="-10"/>
            <w:sz w:val="18"/>
            <w:u w:val="single" w:color="2255A6"/>
          </w:rPr>
          <w:t>–</w:t>
        </w:r>
      </w:hyperlink>
    </w:p>
    <w:p>
      <w:pPr>
        <w:tabs>
          <w:tab w:pos="7181" w:val="left" w:leader="dot"/>
        </w:tabs>
        <w:spacing w:before="3"/>
        <w:ind w:left="141" w:right="0" w:firstLine="0"/>
        <w:jc w:val="left"/>
        <w:rPr>
          <w:sz w:val="18"/>
        </w:rPr>
      </w:pPr>
      <w:hyperlink w:history="true" w:anchor="_bookmark56">
        <w:r>
          <w:rPr>
            <w:color w:val="2255A6"/>
            <w:sz w:val="18"/>
            <w:u w:val="single" w:color="2255A6"/>
          </w:rPr>
          <w:t>иностранными</w:t>
        </w:r>
        <w:r>
          <w:rPr>
            <w:color w:val="2255A6"/>
            <w:spacing w:val="-1"/>
            <w:sz w:val="18"/>
            <w:u w:val="single" w:color="2255A6"/>
          </w:rPr>
          <w:t> </w:t>
        </w:r>
        <w:r>
          <w:rPr>
            <w:color w:val="2255A6"/>
            <w:spacing w:val="-2"/>
            <w:sz w:val="18"/>
            <w:u w:val="single" w:color="2255A6"/>
          </w:rPr>
          <w:t>гражданами</w:t>
        </w:r>
        <w:r>
          <w:rPr>
            <w:color w:val="2255A6"/>
            <w:sz w:val="18"/>
          </w:rPr>
          <w:tab/>
        </w:r>
        <w:r>
          <w:rPr>
            <w:color w:val="231F20"/>
            <w:spacing w:val="-5"/>
            <w:sz w:val="18"/>
          </w:rPr>
          <w:t>80</w:t>
        </w:r>
      </w:hyperlink>
    </w:p>
    <w:p>
      <w:pPr>
        <w:pStyle w:val="ListParagraph"/>
        <w:numPr>
          <w:ilvl w:val="2"/>
          <w:numId w:val="36"/>
        </w:numPr>
        <w:tabs>
          <w:tab w:pos="830" w:val="left" w:leader="none"/>
          <w:tab w:pos="7181" w:val="left" w:leader="dot"/>
        </w:tabs>
        <w:spacing w:line="240" w:lineRule="auto" w:before="60" w:after="0"/>
        <w:ind w:left="830" w:right="0" w:hanging="405"/>
        <w:jc w:val="left"/>
        <w:rPr>
          <w:sz w:val="18"/>
        </w:rPr>
      </w:pPr>
      <w:hyperlink w:history="true" w:anchor="_bookmark56">
        <w:r>
          <w:rPr>
            <w:color w:val="2255A6"/>
            <w:spacing w:val="-8"/>
            <w:sz w:val="18"/>
            <w:u w:val="single" w:color="2255A6"/>
          </w:rPr>
          <w:t> </w:t>
        </w:r>
        <w:r>
          <w:rPr>
            <w:color w:val="2255A6"/>
            <w:sz w:val="18"/>
            <w:u w:val="single" w:color="2255A6"/>
          </w:rPr>
          <w:t>​Установление</w:t>
        </w:r>
        <w:r>
          <w:rPr>
            <w:color w:val="2255A6"/>
            <w:spacing w:val="-8"/>
            <w:sz w:val="18"/>
            <w:u w:val="single" w:color="2255A6"/>
          </w:rPr>
          <w:t> </w:t>
        </w:r>
        <w:r>
          <w:rPr>
            <w:color w:val="2255A6"/>
            <w:sz w:val="18"/>
            <w:u w:val="single" w:color="2255A6"/>
          </w:rPr>
          <w:t>и</w:t>
        </w:r>
        <w:r>
          <w:rPr>
            <w:color w:val="2255A6"/>
            <w:spacing w:val="-9"/>
            <w:sz w:val="18"/>
            <w:u w:val="single" w:color="2255A6"/>
          </w:rPr>
          <w:t> </w:t>
        </w:r>
        <w:r>
          <w:rPr>
            <w:color w:val="2255A6"/>
            <w:sz w:val="18"/>
            <w:u w:val="single" w:color="2255A6"/>
          </w:rPr>
          <w:t>поддержание</w:t>
        </w:r>
        <w:r>
          <w:rPr>
            <w:color w:val="2255A6"/>
            <w:spacing w:val="-8"/>
            <w:sz w:val="18"/>
            <w:u w:val="single" w:color="2255A6"/>
          </w:rPr>
          <w:t> </w:t>
        </w:r>
        <w:r>
          <w:rPr>
            <w:color w:val="2255A6"/>
            <w:sz w:val="18"/>
            <w:u w:val="single" w:color="2255A6"/>
          </w:rPr>
          <w:t>контакта</w:t>
        </w:r>
        <w:r>
          <w:rPr>
            <w:color w:val="2255A6"/>
            <w:spacing w:val="-8"/>
            <w:sz w:val="18"/>
            <w:u w:val="single" w:color="2255A6"/>
          </w:rPr>
          <w:t> </w:t>
        </w:r>
        <w:r>
          <w:rPr>
            <w:color w:val="2255A6"/>
            <w:sz w:val="18"/>
            <w:u w:val="single" w:color="2255A6"/>
          </w:rPr>
          <w:t>с</w:t>
        </w:r>
        <w:r>
          <w:rPr>
            <w:color w:val="2255A6"/>
            <w:spacing w:val="-7"/>
            <w:sz w:val="18"/>
            <w:u w:val="single" w:color="2255A6"/>
          </w:rPr>
          <w:t> </w:t>
        </w:r>
        <w:r>
          <w:rPr>
            <w:color w:val="2255A6"/>
            <w:sz w:val="18"/>
            <w:u w:val="single" w:color="2255A6"/>
          </w:rPr>
          <w:t>родителями-</w:t>
        </w:r>
        <w:r>
          <w:rPr>
            <w:color w:val="2255A6"/>
            <w:spacing w:val="-2"/>
            <w:sz w:val="18"/>
            <w:u w:val="single" w:color="2255A6"/>
          </w:rPr>
          <w:t>мигрантами</w:t>
        </w:r>
        <w:r>
          <w:rPr>
            <w:color w:val="2255A6"/>
            <w:sz w:val="18"/>
          </w:rPr>
          <w:tab/>
        </w:r>
        <w:r>
          <w:rPr>
            <w:color w:val="231F20"/>
            <w:spacing w:val="-5"/>
            <w:sz w:val="18"/>
          </w:rPr>
          <w:t>80</w:t>
        </w:r>
      </w:hyperlink>
    </w:p>
    <w:p>
      <w:pPr>
        <w:pStyle w:val="ListParagraph"/>
        <w:numPr>
          <w:ilvl w:val="2"/>
          <w:numId w:val="36"/>
        </w:numPr>
        <w:tabs>
          <w:tab w:pos="830" w:val="left" w:leader="none"/>
          <w:tab w:pos="7181" w:val="left" w:leader="dot"/>
        </w:tabs>
        <w:spacing w:line="240" w:lineRule="auto" w:before="60" w:after="0"/>
        <w:ind w:left="830" w:right="0" w:hanging="405"/>
        <w:jc w:val="left"/>
        <w:rPr>
          <w:sz w:val="18"/>
        </w:rPr>
      </w:pPr>
      <w:hyperlink w:history="true" w:anchor="_bookmark57">
        <w:r>
          <w:rPr>
            <w:color w:val="2255A6"/>
            <w:spacing w:val="-7"/>
            <w:sz w:val="18"/>
            <w:u w:val="single" w:color="2255A6"/>
          </w:rPr>
          <w:t> </w:t>
        </w:r>
        <w:r>
          <w:rPr>
            <w:color w:val="2255A6"/>
            <w:sz w:val="18"/>
            <w:u w:val="single" w:color="2255A6"/>
          </w:rPr>
          <w:t>​Сбор</w:t>
        </w:r>
        <w:r>
          <w:rPr>
            <w:color w:val="2255A6"/>
            <w:spacing w:val="-6"/>
            <w:sz w:val="18"/>
            <w:u w:val="single" w:color="2255A6"/>
          </w:rPr>
          <w:t> </w:t>
        </w:r>
        <w:r>
          <w:rPr>
            <w:color w:val="2255A6"/>
            <w:sz w:val="18"/>
            <w:u w:val="single" w:color="2255A6"/>
          </w:rPr>
          <w:t>необходимой</w:t>
        </w:r>
        <w:r>
          <w:rPr>
            <w:color w:val="2255A6"/>
            <w:spacing w:val="-6"/>
            <w:sz w:val="18"/>
            <w:u w:val="single" w:color="2255A6"/>
          </w:rPr>
          <w:t> </w:t>
        </w:r>
        <w:r>
          <w:rPr>
            <w:color w:val="2255A6"/>
            <w:sz w:val="18"/>
            <w:u w:val="single" w:color="2255A6"/>
          </w:rPr>
          <w:t>информации:</w:t>
        </w:r>
        <w:r>
          <w:rPr>
            <w:color w:val="2255A6"/>
            <w:spacing w:val="-7"/>
            <w:sz w:val="18"/>
            <w:u w:val="single" w:color="2255A6"/>
          </w:rPr>
          <w:t> </w:t>
        </w:r>
        <w:r>
          <w:rPr>
            <w:color w:val="2255A6"/>
            <w:sz w:val="18"/>
            <w:u w:val="single" w:color="2255A6"/>
          </w:rPr>
          <w:t>анкетирование</w:t>
        </w:r>
        <w:r>
          <w:rPr>
            <w:color w:val="2255A6"/>
            <w:spacing w:val="-6"/>
            <w:sz w:val="18"/>
            <w:u w:val="single" w:color="2255A6"/>
          </w:rPr>
          <w:t> </w:t>
        </w:r>
        <w:r>
          <w:rPr>
            <w:color w:val="2255A6"/>
            <w:sz w:val="18"/>
            <w:u w:val="single" w:color="2255A6"/>
          </w:rPr>
          <w:t>и</w:t>
        </w:r>
        <w:r>
          <w:rPr>
            <w:color w:val="2255A6"/>
            <w:spacing w:val="-6"/>
            <w:sz w:val="18"/>
            <w:u w:val="single" w:color="2255A6"/>
          </w:rPr>
          <w:t> </w:t>
        </w:r>
        <w:r>
          <w:rPr>
            <w:color w:val="2255A6"/>
            <w:sz w:val="18"/>
            <w:u w:val="single" w:color="2255A6"/>
          </w:rPr>
          <w:t>индивидуальные</w:t>
        </w:r>
        <w:r>
          <w:rPr>
            <w:color w:val="2255A6"/>
            <w:spacing w:val="-6"/>
            <w:sz w:val="18"/>
            <w:u w:val="single" w:color="2255A6"/>
          </w:rPr>
          <w:t> </w:t>
        </w:r>
        <w:r>
          <w:rPr>
            <w:color w:val="2255A6"/>
            <w:spacing w:val="-2"/>
            <w:sz w:val="18"/>
            <w:u w:val="single" w:color="2255A6"/>
          </w:rPr>
          <w:t>беседы</w:t>
        </w:r>
        <w:r>
          <w:rPr>
            <w:color w:val="2255A6"/>
            <w:sz w:val="18"/>
          </w:rPr>
          <w:tab/>
        </w:r>
        <w:r>
          <w:rPr>
            <w:color w:val="231F20"/>
            <w:spacing w:val="-5"/>
            <w:sz w:val="18"/>
          </w:rPr>
          <w:t>82</w:t>
        </w:r>
      </w:hyperlink>
    </w:p>
    <w:p>
      <w:pPr>
        <w:pStyle w:val="ListParagraph"/>
        <w:numPr>
          <w:ilvl w:val="2"/>
          <w:numId w:val="36"/>
        </w:numPr>
        <w:tabs>
          <w:tab w:pos="830" w:val="left" w:leader="none"/>
          <w:tab w:pos="7181" w:val="left" w:leader="dot"/>
        </w:tabs>
        <w:spacing w:line="240" w:lineRule="auto" w:before="60" w:after="0"/>
        <w:ind w:left="830" w:right="0" w:hanging="405"/>
        <w:jc w:val="left"/>
        <w:rPr>
          <w:sz w:val="18"/>
        </w:rPr>
      </w:pPr>
      <w:hyperlink w:history="true" w:anchor="_bookmark58">
        <w:r>
          <w:rPr>
            <w:color w:val="2255A6"/>
            <w:spacing w:val="-9"/>
            <w:sz w:val="18"/>
            <w:u w:val="single" w:color="2255A6"/>
          </w:rPr>
          <w:t> </w:t>
        </w:r>
        <w:r>
          <w:rPr>
            <w:color w:val="2255A6"/>
            <w:sz w:val="18"/>
            <w:u w:val="single" w:color="2255A6"/>
          </w:rPr>
          <w:t>​Использование</w:t>
        </w:r>
        <w:r>
          <w:rPr>
            <w:color w:val="2255A6"/>
            <w:spacing w:val="-7"/>
            <w:sz w:val="18"/>
            <w:u w:val="single" w:color="2255A6"/>
          </w:rPr>
          <w:t> </w:t>
        </w:r>
        <w:r>
          <w:rPr>
            <w:color w:val="2255A6"/>
            <w:sz w:val="18"/>
            <w:u w:val="single" w:color="2255A6"/>
          </w:rPr>
          <w:t>рекомендаций</w:t>
        </w:r>
        <w:r>
          <w:rPr>
            <w:color w:val="2255A6"/>
            <w:spacing w:val="-7"/>
            <w:sz w:val="18"/>
            <w:u w:val="single" w:color="2255A6"/>
          </w:rPr>
          <w:t> </w:t>
        </w:r>
        <w:r>
          <w:rPr>
            <w:color w:val="2255A6"/>
            <w:sz w:val="18"/>
            <w:u w:val="single" w:color="2255A6"/>
          </w:rPr>
          <w:t>в</w:t>
        </w:r>
        <w:r>
          <w:rPr>
            <w:color w:val="2255A6"/>
            <w:spacing w:val="-7"/>
            <w:sz w:val="18"/>
            <w:u w:val="single" w:color="2255A6"/>
          </w:rPr>
          <w:t> </w:t>
        </w:r>
        <w:r>
          <w:rPr>
            <w:color w:val="2255A6"/>
            <w:sz w:val="18"/>
            <w:u w:val="single" w:color="2255A6"/>
          </w:rPr>
          <w:t>работе</w:t>
        </w:r>
        <w:r>
          <w:rPr>
            <w:color w:val="2255A6"/>
            <w:spacing w:val="-7"/>
            <w:sz w:val="18"/>
            <w:u w:val="single" w:color="2255A6"/>
          </w:rPr>
          <w:t> </w:t>
        </w:r>
        <w:r>
          <w:rPr>
            <w:color w:val="2255A6"/>
            <w:sz w:val="18"/>
            <w:u w:val="single" w:color="2255A6"/>
          </w:rPr>
          <w:t>с</w:t>
        </w:r>
        <w:r>
          <w:rPr>
            <w:color w:val="2255A6"/>
            <w:spacing w:val="-6"/>
            <w:sz w:val="18"/>
            <w:u w:val="single" w:color="2255A6"/>
          </w:rPr>
          <w:t> </w:t>
        </w:r>
        <w:r>
          <w:rPr>
            <w:color w:val="2255A6"/>
            <w:sz w:val="18"/>
            <w:u w:val="single" w:color="2255A6"/>
          </w:rPr>
          <w:t>родителями-</w:t>
        </w:r>
        <w:r>
          <w:rPr>
            <w:color w:val="2255A6"/>
            <w:spacing w:val="-2"/>
            <w:sz w:val="18"/>
            <w:u w:val="single" w:color="2255A6"/>
          </w:rPr>
          <w:t>мигрантами</w:t>
        </w:r>
        <w:r>
          <w:rPr>
            <w:color w:val="2255A6"/>
            <w:sz w:val="18"/>
          </w:rPr>
          <w:tab/>
        </w:r>
        <w:r>
          <w:rPr>
            <w:color w:val="231F20"/>
            <w:spacing w:val="-5"/>
            <w:sz w:val="18"/>
          </w:rPr>
          <w:t>85</w:t>
        </w:r>
      </w:hyperlink>
    </w:p>
    <w:p>
      <w:pPr>
        <w:pStyle w:val="ListParagraph"/>
        <w:numPr>
          <w:ilvl w:val="1"/>
          <w:numId w:val="36"/>
        </w:numPr>
        <w:tabs>
          <w:tab w:pos="411" w:val="left" w:leader="none"/>
          <w:tab w:pos="7181" w:val="left" w:leader="dot"/>
        </w:tabs>
        <w:spacing w:line="240" w:lineRule="auto" w:before="116" w:after="0"/>
        <w:ind w:left="411" w:right="0" w:hanging="270"/>
        <w:jc w:val="left"/>
        <w:rPr>
          <w:sz w:val="18"/>
        </w:rPr>
      </w:pPr>
      <w:hyperlink w:history="true" w:anchor="_bookmark59">
        <w:r>
          <w:rPr>
            <w:color w:val="2255A6"/>
            <w:spacing w:val="-4"/>
            <w:sz w:val="18"/>
            <w:u w:val="single" w:color="2255A6"/>
          </w:rPr>
          <w:t> </w:t>
        </w:r>
        <w:r>
          <w:rPr>
            <w:color w:val="2255A6"/>
            <w:sz w:val="18"/>
            <w:u w:val="single" w:color="2255A6"/>
          </w:rPr>
          <w:t>​Стратегии</w:t>
        </w:r>
        <w:r>
          <w:rPr>
            <w:color w:val="2255A6"/>
            <w:spacing w:val="-5"/>
            <w:sz w:val="18"/>
            <w:u w:val="single" w:color="2255A6"/>
          </w:rPr>
          <w:t> </w:t>
        </w:r>
        <w:r>
          <w:rPr>
            <w:color w:val="2255A6"/>
            <w:sz w:val="18"/>
            <w:u w:val="single" w:color="2255A6"/>
          </w:rPr>
          <w:t>работы</w:t>
        </w:r>
        <w:r>
          <w:rPr>
            <w:color w:val="2255A6"/>
            <w:spacing w:val="-4"/>
            <w:sz w:val="18"/>
            <w:u w:val="single" w:color="2255A6"/>
          </w:rPr>
          <w:t> </w:t>
        </w:r>
        <w:r>
          <w:rPr>
            <w:color w:val="2255A6"/>
            <w:sz w:val="18"/>
            <w:u w:val="single" w:color="2255A6"/>
          </w:rPr>
          <w:t>с</w:t>
        </w:r>
        <w:r>
          <w:rPr>
            <w:color w:val="2255A6"/>
            <w:spacing w:val="-4"/>
            <w:sz w:val="18"/>
            <w:u w:val="single" w:color="2255A6"/>
          </w:rPr>
          <w:t> </w:t>
        </w:r>
        <w:r>
          <w:rPr>
            <w:color w:val="2255A6"/>
            <w:sz w:val="18"/>
            <w:u w:val="single" w:color="2255A6"/>
          </w:rPr>
          <w:t>родительским</w:t>
        </w:r>
        <w:r>
          <w:rPr>
            <w:color w:val="2255A6"/>
            <w:spacing w:val="-3"/>
            <w:sz w:val="18"/>
            <w:u w:val="single" w:color="2255A6"/>
          </w:rPr>
          <w:t> </w:t>
        </w:r>
        <w:r>
          <w:rPr>
            <w:color w:val="2255A6"/>
            <w:spacing w:val="-2"/>
            <w:sz w:val="18"/>
            <w:u w:val="single" w:color="2255A6"/>
          </w:rPr>
          <w:t>сообществом</w:t>
        </w:r>
        <w:r>
          <w:rPr>
            <w:color w:val="2255A6"/>
            <w:sz w:val="18"/>
          </w:rPr>
          <w:tab/>
        </w:r>
        <w:r>
          <w:rPr>
            <w:color w:val="231F20"/>
            <w:spacing w:val="-5"/>
            <w:sz w:val="18"/>
          </w:rPr>
          <w:t>87</w:t>
        </w:r>
      </w:hyperlink>
    </w:p>
    <w:p>
      <w:pPr>
        <w:pStyle w:val="ListParagraph"/>
        <w:numPr>
          <w:ilvl w:val="2"/>
          <w:numId w:val="36"/>
        </w:numPr>
        <w:tabs>
          <w:tab w:pos="830" w:val="left" w:leader="none"/>
          <w:tab w:pos="7181" w:val="left" w:leader="dot"/>
        </w:tabs>
        <w:spacing w:line="240" w:lineRule="auto" w:before="60" w:after="0"/>
        <w:ind w:left="830" w:right="0" w:hanging="405"/>
        <w:jc w:val="left"/>
        <w:rPr>
          <w:sz w:val="18"/>
        </w:rPr>
      </w:pPr>
      <w:hyperlink w:history="true" w:anchor="_bookmark59">
        <w:r>
          <w:rPr>
            <w:color w:val="2255A6"/>
            <w:spacing w:val="-3"/>
            <w:sz w:val="18"/>
            <w:u w:val="single" w:color="2255A6"/>
          </w:rPr>
          <w:t> </w:t>
        </w:r>
        <w:r>
          <w:rPr>
            <w:color w:val="2255A6"/>
            <w:sz w:val="18"/>
            <w:u w:val="single" w:color="2255A6"/>
          </w:rPr>
          <w:t>​Информационные</w:t>
        </w:r>
        <w:r>
          <w:rPr>
            <w:color w:val="2255A6"/>
            <w:spacing w:val="-3"/>
            <w:sz w:val="18"/>
            <w:u w:val="single" w:color="2255A6"/>
          </w:rPr>
          <w:t> </w:t>
        </w:r>
        <w:r>
          <w:rPr>
            <w:color w:val="2255A6"/>
            <w:sz w:val="18"/>
            <w:u w:val="single" w:color="2255A6"/>
          </w:rPr>
          <w:t>материалы</w:t>
        </w:r>
        <w:r>
          <w:rPr>
            <w:color w:val="2255A6"/>
            <w:spacing w:val="-3"/>
            <w:sz w:val="18"/>
            <w:u w:val="single" w:color="2255A6"/>
          </w:rPr>
          <w:t> </w:t>
        </w:r>
        <w:r>
          <w:rPr>
            <w:color w:val="2255A6"/>
            <w:sz w:val="18"/>
            <w:u w:val="single" w:color="2255A6"/>
          </w:rPr>
          <w:t>для</w:t>
        </w:r>
        <w:r>
          <w:rPr>
            <w:color w:val="2255A6"/>
            <w:spacing w:val="-2"/>
            <w:sz w:val="18"/>
            <w:u w:val="single" w:color="2255A6"/>
          </w:rPr>
          <w:t> родителей</w:t>
        </w:r>
        <w:r>
          <w:rPr>
            <w:color w:val="2255A6"/>
            <w:sz w:val="18"/>
          </w:rPr>
          <w:tab/>
        </w:r>
        <w:r>
          <w:rPr>
            <w:color w:val="231F20"/>
            <w:spacing w:val="-5"/>
            <w:sz w:val="18"/>
          </w:rPr>
          <w:t>87</w:t>
        </w:r>
      </w:hyperlink>
    </w:p>
    <w:p>
      <w:pPr>
        <w:pStyle w:val="ListParagraph"/>
        <w:numPr>
          <w:ilvl w:val="2"/>
          <w:numId w:val="36"/>
        </w:numPr>
        <w:tabs>
          <w:tab w:pos="830" w:val="left" w:leader="none"/>
        </w:tabs>
        <w:spacing w:line="240" w:lineRule="auto" w:before="59" w:after="0"/>
        <w:ind w:left="830" w:right="0" w:hanging="405"/>
        <w:jc w:val="left"/>
        <w:rPr>
          <w:sz w:val="18"/>
        </w:rPr>
      </w:pPr>
      <w:hyperlink w:history="true" w:anchor="_bookmark59">
        <w:r>
          <w:rPr>
            <w:color w:val="2255A6"/>
            <w:spacing w:val="-7"/>
            <w:sz w:val="18"/>
            <w:u w:val="single" w:color="2255A6"/>
          </w:rPr>
          <w:t> </w:t>
        </w:r>
        <w:r>
          <w:rPr>
            <w:color w:val="2255A6"/>
            <w:sz w:val="18"/>
            <w:u w:val="single" w:color="2255A6"/>
          </w:rPr>
          <w:t>​Создание</w:t>
        </w:r>
        <w:r>
          <w:rPr>
            <w:color w:val="2255A6"/>
            <w:spacing w:val="-4"/>
            <w:sz w:val="18"/>
            <w:u w:val="single" w:color="2255A6"/>
          </w:rPr>
          <w:t> </w:t>
        </w:r>
        <w:r>
          <w:rPr>
            <w:color w:val="2255A6"/>
            <w:sz w:val="18"/>
            <w:u w:val="single" w:color="2255A6"/>
          </w:rPr>
          <w:t>системы</w:t>
        </w:r>
        <w:r>
          <w:rPr>
            <w:color w:val="2255A6"/>
            <w:spacing w:val="-4"/>
            <w:sz w:val="18"/>
            <w:u w:val="single" w:color="2255A6"/>
          </w:rPr>
          <w:t> </w:t>
        </w:r>
        <w:r>
          <w:rPr>
            <w:color w:val="2255A6"/>
            <w:sz w:val="18"/>
            <w:u w:val="single" w:color="2255A6"/>
          </w:rPr>
          <w:t>поддержки</w:t>
        </w:r>
        <w:r>
          <w:rPr>
            <w:color w:val="2255A6"/>
            <w:spacing w:val="-5"/>
            <w:sz w:val="18"/>
            <w:u w:val="single" w:color="2255A6"/>
          </w:rPr>
          <w:t> </w:t>
        </w:r>
        <w:r>
          <w:rPr>
            <w:color w:val="2255A6"/>
            <w:sz w:val="18"/>
            <w:u w:val="single" w:color="2255A6"/>
          </w:rPr>
          <w:t>для</w:t>
        </w:r>
        <w:r>
          <w:rPr>
            <w:color w:val="2255A6"/>
            <w:spacing w:val="-4"/>
            <w:sz w:val="18"/>
            <w:u w:val="single" w:color="2255A6"/>
          </w:rPr>
          <w:t> </w:t>
        </w:r>
        <w:r>
          <w:rPr>
            <w:color w:val="2255A6"/>
            <w:sz w:val="18"/>
            <w:u w:val="single" w:color="2255A6"/>
          </w:rPr>
          <w:t>родителей</w:t>
        </w:r>
        <w:r>
          <w:rPr>
            <w:color w:val="2255A6"/>
            <w:spacing w:val="-4"/>
            <w:sz w:val="18"/>
            <w:u w:val="single" w:color="2255A6"/>
          </w:rPr>
          <w:t> </w:t>
        </w:r>
        <w:r>
          <w:rPr>
            <w:color w:val="2255A6"/>
            <w:sz w:val="18"/>
            <w:u w:val="single" w:color="2255A6"/>
          </w:rPr>
          <w:t>с</w:t>
        </w:r>
        <w:r>
          <w:rPr>
            <w:color w:val="2255A6"/>
            <w:spacing w:val="-4"/>
            <w:sz w:val="18"/>
            <w:u w:val="single" w:color="2255A6"/>
          </w:rPr>
          <w:t> </w:t>
        </w:r>
        <w:r>
          <w:rPr>
            <w:color w:val="2255A6"/>
            <w:spacing w:val="-2"/>
            <w:sz w:val="18"/>
            <w:u w:val="single" w:color="2255A6"/>
          </w:rPr>
          <w:t>низким</w:t>
        </w:r>
      </w:hyperlink>
    </w:p>
    <w:p>
      <w:pPr>
        <w:tabs>
          <w:tab w:pos="7181" w:val="left" w:leader="dot"/>
        </w:tabs>
        <w:spacing w:before="3"/>
        <w:ind w:left="425" w:right="0" w:firstLine="0"/>
        <w:jc w:val="left"/>
        <w:rPr>
          <w:sz w:val="18"/>
        </w:rPr>
      </w:pPr>
      <w:hyperlink w:history="true" w:anchor="_bookmark59">
        <w:r>
          <w:rPr>
            <w:color w:val="2255A6"/>
            <w:sz w:val="18"/>
            <w:u w:val="single" w:color="2255A6"/>
          </w:rPr>
          <w:t>уровнем</w:t>
        </w:r>
        <w:r>
          <w:rPr>
            <w:color w:val="2255A6"/>
            <w:spacing w:val="-4"/>
            <w:sz w:val="18"/>
            <w:u w:val="single" w:color="2255A6"/>
          </w:rPr>
          <w:t> </w:t>
        </w:r>
        <w:r>
          <w:rPr>
            <w:color w:val="2255A6"/>
            <w:sz w:val="18"/>
            <w:u w:val="single" w:color="2255A6"/>
          </w:rPr>
          <w:t>владения</w:t>
        </w:r>
        <w:r>
          <w:rPr>
            <w:color w:val="2255A6"/>
            <w:spacing w:val="-2"/>
            <w:sz w:val="18"/>
            <w:u w:val="single" w:color="2255A6"/>
          </w:rPr>
          <w:t> </w:t>
        </w:r>
        <w:r>
          <w:rPr>
            <w:color w:val="2255A6"/>
            <w:sz w:val="18"/>
            <w:u w:val="single" w:color="2255A6"/>
          </w:rPr>
          <w:t>русским</w:t>
        </w:r>
        <w:r>
          <w:rPr>
            <w:color w:val="2255A6"/>
            <w:spacing w:val="-2"/>
            <w:sz w:val="18"/>
            <w:u w:val="single" w:color="2255A6"/>
          </w:rPr>
          <w:t> языком</w:t>
        </w:r>
        <w:r>
          <w:rPr>
            <w:color w:val="2255A6"/>
            <w:sz w:val="18"/>
          </w:rPr>
          <w:tab/>
        </w:r>
        <w:r>
          <w:rPr>
            <w:color w:val="231F20"/>
            <w:spacing w:val="-5"/>
            <w:sz w:val="18"/>
          </w:rPr>
          <w:t>87</w:t>
        </w:r>
      </w:hyperlink>
    </w:p>
    <w:p>
      <w:pPr>
        <w:pStyle w:val="ListParagraph"/>
        <w:numPr>
          <w:ilvl w:val="2"/>
          <w:numId w:val="36"/>
        </w:numPr>
        <w:tabs>
          <w:tab w:pos="830" w:val="left" w:leader="none"/>
        </w:tabs>
        <w:spacing w:line="240" w:lineRule="auto" w:before="60" w:after="0"/>
        <w:ind w:left="830" w:right="0" w:hanging="405"/>
        <w:jc w:val="left"/>
        <w:rPr>
          <w:sz w:val="18"/>
        </w:rPr>
      </w:pPr>
      <w:hyperlink w:history="true" w:anchor="_bookmark83">
        <w:r>
          <w:rPr>
            <w:color w:val="2255A6"/>
            <w:spacing w:val="-9"/>
            <w:sz w:val="18"/>
            <w:u w:val="single" w:color="2255A6"/>
          </w:rPr>
          <w:t> </w:t>
        </w:r>
        <w:r>
          <w:rPr>
            <w:color w:val="2255A6"/>
            <w:sz w:val="18"/>
            <w:u w:val="single" w:color="2255A6"/>
          </w:rPr>
          <w:t>​Вовлечение</w:t>
        </w:r>
        <w:r>
          <w:rPr>
            <w:color w:val="2255A6"/>
            <w:spacing w:val="-6"/>
            <w:sz w:val="18"/>
            <w:u w:val="single" w:color="2255A6"/>
          </w:rPr>
          <w:t> </w:t>
        </w:r>
        <w:r>
          <w:rPr>
            <w:color w:val="2255A6"/>
            <w:sz w:val="18"/>
            <w:u w:val="single" w:color="2255A6"/>
          </w:rPr>
          <w:t>родителей</w:t>
        </w:r>
        <w:r>
          <w:rPr>
            <w:color w:val="2255A6"/>
            <w:spacing w:val="-8"/>
            <w:sz w:val="18"/>
            <w:u w:val="single" w:color="2255A6"/>
          </w:rPr>
          <w:t> </w:t>
        </w:r>
        <w:r>
          <w:rPr>
            <w:color w:val="2255A6"/>
            <w:sz w:val="18"/>
            <w:u w:val="single" w:color="2255A6"/>
          </w:rPr>
          <w:t>учащихся-мигрантов</w:t>
        </w:r>
        <w:r>
          <w:rPr>
            <w:color w:val="2255A6"/>
            <w:spacing w:val="-7"/>
            <w:sz w:val="18"/>
            <w:u w:val="single" w:color="2255A6"/>
          </w:rPr>
          <w:t> </w:t>
        </w:r>
        <w:r>
          <w:rPr>
            <w:color w:val="2255A6"/>
            <w:sz w:val="18"/>
            <w:u w:val="single" w:color="2255A6"/>
          </w:rPr>
          <w:t>в</w:t>
        </w:r>
        <w:r>
          <w:rPr>
            <w:color w:val="2255A6"/>
            <w:spacing w:val="-7"/>
            <w:sz w:val="18"/>
            <w:u w:val="single" w:color="2255A6"/>
          </w:rPr>
          <w:t> </w:t>
        </w:r>
        <w:r>
          <w:rPr>
            <w:color w:val="2255A6"/>
            <w:spacing w:val="-2"/>
            <w:sz w:val="18"/>
            <w:u w:val="single" w:color="2255A6"/>
          </w:rPr>
          <w:t>деятельность</w:t>
        </w:r>
      </w:hyperlink>
    </w:p>
    <w:p>
      <w:pPr>
        <w:tabs>
          <w:tab w:pos="7181" w:val="left" w:leader="dot"/>
        </w:tabs>
        <w:spacing w:before="3"/>
        <w:ind w:left="425" w:right="0" w:firstLine="0"/>
        <w:jc w:val="left"/>
        <w:rPr>
          <w:sz w:val="18"/>
        </w:rPr>
      </w:pPr>
      <w:hyperlink w:history="true" w:anchor="_bookmark83">
        <w:r>
          <w:rPr>
            <w:color w:val="2255A6"/>
            <w:sz w:val="18"/>
            <w:u w:val="single" w:color="2255A6"/>
          </w:rPr>
          <w:t>родительского</w:t>
        </w:r>
        <w:r>
          <w:rPr>
            <w:color w:val="2255A6"/>
            <w:spacing w:val="-10"/>
            <w:sz w:val="18"/>
            <w:u w:val="single" w:color="2255A6"/>
          </w:rPr>
          <w:t> </w:t>
        </w:r>
        <w:r>
          <w:rPr>
            <w:color w:val="2255A6"/>
            <w:sz w:val="18"/>
            <w:u w:val="single" w:color="2255A6"/>
          </w:rPr>
          <w:t>комитета</w:t>
        </w:r>
        <w:r>
          <w:rPr>
            <w:color w:val="2255A6"/>
            <w:spacing w:val="-10"/>
            <w:sz w:val="18"/>
            <w:u w:val="single" w:color="2255A6"/>
          </w:rPr>
          <w:t> </w:t>
        </w:r>
        <w:r>
          <w:rPr>
            <w:color w:val="2255A6"/>
            <w:sz w:val="18"/>
            <w:u w:val="single" w:color="2255A6"/>
          </w:rPr>
          <w:t>и</w:t>
        </w:r>
        <w:r>
          <w:rPr>
            <w:color w:val="2255A6"/>
            <w:spacing w:val="-10"/>
            <w:sz w:val="18"/>
            <w:u w:val="single" w:color="2255A6"/>
          </w:rPr>
          <w:t> </w:t>
        </w:r>
        <w:r>
          <w:rPr>
            <w:color w:val="2255A6"/>
            <w:sz w:val="18"/>
            <w:u w:val="single" w:color="2255A6"/>
          </w:rPr>
          <w:t>помощь</w:t>
        </w:r>
        <w:r>
          <w:rPr>
            <w:color w:val="2255A6"/>
            <w:spacing w:val="-9"/>
            <w:sz w:val="18"/>
            <w:u w:val="single" w:color="2255A6"/>
          </w:rPr>
          <w:t> </w:t>
        </w:r>
        <w:r>
          <w:rPr>
            <w:color w:val="2255A6"/>
            <w:spacing w:val="-2"/>
            <w:sz w:val="18"/>
            <w:u w:val="single" w:color="2255A6"/>
          </w:rPr>
          <w:t>классу</w:t>
        </w:r>
        <w:r>
          <w:rPr>
            <w:color w:val="2255A6"/>
            <w:sz w:val="18"/>
          </w:rPr>
          <w:tab/>
        </w:r>
        <w:r>
          <w:rPr>
            <w:color w:val="231F20"/>
            <w:spacing w:val="-5"/>
            <w:sz w:val="18"/>
          </w:rPr>
          <w:t>88</w:t>
        </w:r>
      </w:hyperlink>
    </w:p>
    <w:p>
      <w:pPr>
        <w:pStyle w:val="ListParagraph"/>
        <w:numPr>
          <w:ilvl w:val="2"/>
          <w:numId w:val="36"/>
        </w:numPr>
        <w:tabs>
          <w:tab w:pos="830" w:val="left" w:leader="none"/>
        </w:tabs>
        <w:spacing w:line="240" w:lineRule="auto" w:before="60" w:after="0"/>
        <w:ind w:left="830" w:right="0" w:hanging="405"/>
        <w:jc w:val="left"/>
        <w:rPr>
          <w:sz w:val="18"/>
        </w:rPr>
      </w:pPr>
      <w:hyperlink w:history="true" w:anchor="_bookmark83">
        <w:r>
          <w:rPr>
            <w:color w:val="2255A6"/>
            <w:spacing w:val="-11"/>
            <w:sz w:val="18"/>
            <w:u w:val="single" w:color="2255A6"/>
          </w:rPr>
          <w:t> </w:t>
        </w:r>
        <w:r>
          <w:rPr>
            <w:color w:val="2255A6"/>
            <w:sz w:val="18"/>
            <w:u w:val="single" w:color="2255A6"/>
          </w:rPr>
          <w:t>​Привлечение</w:t>
        </w:r>
        <w:r>
          <w:rPr>
            <w:color w:val="2255A6"/>
            <w:spacing w:val="-9"/>
            <w:sz w:val="18"/>
            <w:u w:val="single" w:color="2255A6"/>
          </w:rPr>
          <w:t> </w:t>
        </w:r>
        <w:r>
          <w:rPr>
            <w:color w:val="2255A6"/>
            <w:sz w:val="18"/>
            <w:u w:val="single" w:color="2255A6"/>
          </w:rPr>
          <w:t>родителей-мигрантов</w:t>
        </w:r>
        <w:r>
          <w:rPr>
            <w:color w:val="2255A6"/>
            <w:spacing w:val="-10"/>
            <w:sz w:val="18"/>
            <w:u w:val="single" w:color="2255A6"/>
          </w:rPr>
          <w:t> </w:t>
        </w:r>
        <w:r>
          <w:rPr>
            <w:color w:val="2255A6"/>
            <w:sz w:val="18"/>
            <w:u w:val="single" w:color="2255A6"/>
          </w:rPr>
          <w:t>к</w:t>
        </w:r>
        <w:r>
          <w:rPr>
            <w:color w:val="2255A6"/>
            <w:spacing w:val="-9"/>
            <w:sz w:val="18"/>
            <w:u w:val="single" w:color="2255A6"/>
          </w:rPr>
          <w:t> </w:t>
        </w:r>
        <w:r>
          <w:rPr>
            <w:color w:val="2255A6"/>
            <w:sz w:val="18"/>
            <w:u w:val="single" w:color="2255A6"/>
          </w:rPr>
          <w:t>подготовке</w:t>
        </w:r>
        <w:r>
          <w:rPr>
            <w:color w:val="2255A6"/>
            <w:spacing w:val="-8"/>
            <w:sz w:val="18"/>
            <w:u w:val="single" w:color="2255A6"/>
          </w:rPr>
          <w:t> </w:t>
        </w:r>
        <w:r>
          <w:rPr>
            <w:color w:val="2255A6"/>
            <w:spacing w:val="-2"/>
            <w:sz w:val="18"/>
            <w:u w:val="single" w:color="2255A6"/>
          </w:rPr>
          <w:t>мероприятий</w:t>
        </w:r>
      </w:hyperlink>
    </w:p>
    <w:p>
      <w:pPr>
        <w:tabs>
          <w:tab w:pos="7181" w:val="left" w:leader="dot"/>
        </w:tabs>
        <w:spacing w:before="3"/>
        <w:ind w:left="425" w:right="0" w:firstLine="0"/>
        <w:jc w:val="left"/>
        <w:rPr>
          <w:sz w:val="18"/>
        </w:rPr>
      </w:pPr>
      <w:hyperlink w:history="true" w:anchor="_bookmark83">
        <w:r>
          <w:rPr>
            <w:color w:val="2255A6"/>
            <w:spacing w:val="-2"/>
            <w:sz w:val="18"/>
            <w:u w:val="single" w:color="2255A6"/>
          </w:rPr>
          <w:t>этнокультурной</w:t>
        </w:r>
        <w:r>
          <w:rPr>
            <w:color w:val="2255A6"/>
            <w:spacing w:val="2"/>
            <w:sz w:val="18"/>
            <w:u w:val="single" w:color="2255A6"/>
          </w:rPr>
          <w:t> </w:t>
        </w:r>
        <w:r>
          <w:rPr>
            <w:color w:val="2255A6"/>
            <w:spacing w:val="-2"/>
            <w:sz w:val="18"/>
            <w:u w:val="single" w:color="2255A6"/>
          </w:rPr>
          <w:t>тематики</w:t>
        </w:r>
        <w:r>
          <w:rPr>
            <w:color w:val="2255A6"/>
            <w:sz w:val="18"/>
          </w:rPr>
          <w:tab/>
        </w:r>
        <w:r>
          <w:rPr>
            <w:color w:val="231F20"/>
            <w:spacing w:val="-5"/>
            <w:sz w:val="18"/>
          </w:rPr>
          <w:t>88</w:t>
        </w:r>
      </w:hyperlink>
    </w:p>
    <w:p>
      <w:pPr>
        <w:pStyle w:val="ListParagraph"/>
        <w:numPr>
          <w:ilvl w:val="2"/>
          <w:numId w:val="36"/>
        </w:numPr>
        <w:tabs>
          <w:tab w:pos="830" w:val="left" w:leader="none"/>
        </w:tabs>
        <w:spacing w:line="240" w:lineRule="auto" w:before="60" w:after="0"/>
        <w:ind w:left="830" w:right="0" w:hanging="405"/>
        <w:jc w:val="left"/>
        <w:rPr>
          <w:sz w:val="18"/>
        </w:rPr>
      </w:pPr>
      <w:hyperlink w:history="true" w:anchor="_bookmark60">
        <w:r>
          <w:rPr>
            <w:color w:val="2255A6"/>
            <w:spacing w:val="-7"/>
            <w:sz w:val="18"/>
            <w:u w:val="single" w:color="2255A6"/>
          </w:rPr>
          <w:t> </w:t>
        </w:r>
        <w:r>
          <w:rPr>
            <w:color w:val="2255A6"/>
            <w:sz w:val="18"/>
            <w:u w:val="single" w:color="2255A6"/>
          </w:rPr>
          <w:t>​Создание</w:t>
        </w:r>
        <w:r>
          <w:rPr>
            <w:color w:val="2255A6"/>
            <w:spacing w:val="-6"/>
            <w:sz w:val="18"/>
            <w:u w:val="single" w:color="2255A6"/>
          </w:rPr>
          <w:t> </w:t>
        </w:r>
        <w:r>
          <w:rPr>
            <w:color w:val="2255A6"/>
            <w:sz w:val="18"/>
            <w:u w:val="single" w:color="2255A6"/>
          </w:rPr>
          <w:t>внутришкольного</w:t>
        </w:r>
        <w:r>
          <w:rPr>
            <w:color w:val="2255A6"/>
            <w:spacing w:val="-7"/>
            <w:sz w:val="18"/>
            <w:u w:val="single" w:color="2255A6"/>
          </w:rPr>
          <w:t> </w:t>
        </w:r>
        <w:r>
          <w:rPr>
            <w:color w:val="2255A6"/>
            <w:sz w:val="18"/>
            <w:u w:val="single" w:color="2255A6"/>
          </w:rPr>
          <w:t>актива</w:t>
        </w:r>
        <w:r>
          <w:rPr>
            <w:color w:val="2255A6"/>
            <w:spacing w:val="-6"/>
            <w:sz w:val="18"/>
            <w:u w:val="single" w:color="2255A6"/>
          </w:rPr>
          <w:t> </w:t>
        </w:r>
        <w:r>
          <w:rPr>
            <w:color w:val="2255A6"/>
            <w:sz w:val="18"/>
            <w:u w:val="single" w:color="2255A6"/>
          </w:rPr>
          <w:t>из</w:t>
        </w:r>
        <w:r>
          <w:rPr>
            <w:color w:val="2255A6"/>
            <w:spacing w:val="-6"/>
            <w:sz w:val="18"/>
            <w:u w:val="single" w:color="2255A6"/>
          </w:rPr>
          <w:t> </w:t>
        </w:r>
        <w:r>
          <w:rPr>
            <w:color w:val="2255A6"/>
            <w:spacing w:val="-2"/>
            <w:sz w:val="18"/>
            <w:u w:val="single" w:color="2255A6"/>
          </w:rPr>
          <w:t>хорошо</w:t>
        </w:r>
      </w:hyperlink>
    </w:p>
    <w:p>
      <w:pPr>
        <w:tabs>
          <w:tab w:pos="7181" w:val="left" w:leader="dot"/>
        </w:tabs>
        <w:spacing w:before="5"/>
        <w:ind w:left="425" w:right="0" w:firstLine="0"/>
        <w:jc w:val="left"/>
        <w:rPr>
          <w:sz w:val="18"/>
        </w:rPr>
      </w:pPr>
      <w:hyperlink w:history="true" w:anchor="_bookmark60">
        <w:r>
          <w:rPr>
            <w:color w:val="2255A6"/>
            <w:spacing w:val="-2"/>
            <w:sz w:val="18"/>
            <w:u w:val="single" w:color="2255A6"/>
          </w:rPr>
          <w:t>адаптированных</w:t>
        </w:r>
        <w:r>
          <w:rPr>
            <w:color w:val="2255A6"/>
            <w:spacing w:val="31"/>
            <w:sz w:val="18"/>
            <w:u w:val="single" w:color="2255A6"/>
          </w:rPr>
          <w:t> </w:t>
        </w:r>
        <w:r>
          <w:rPr>
            <w:color w:val="2255A6"/>
            <w:spacing w:val="-2"/>
            <w:sz w:val="18"/>
            <w:u w:val="single" w:color="2255A6"/>
          </w:rPr>
          <w:t>родителей-мигрантов</w:t>
        </w:r>
        <w:r>
          <w:rPr>
            <w:color w:val="2255A6"/>
            <w:sz w:val="18"/>
          </w:rPr>
          <w:tab/>
        </w:r>
        <w:r>
          <w:rPr>
            <w:color w:val="231F20"/>
            <w:spacing w:val="-5"/>
            <w:sz w:val="18"/>
          </w:rPr>
          <w:t>90</w:t>
        </w:r>
      </w:hyperlink>
    </w:p>
    <w:p>
      <w:pPr>
        <w:spacing w:before="175"/>
        <w:ind w:left="303" w:right="303" w:firstLine="0"/>
        <w:jc w:val="center"/>
        <w:rPr>
          <w:b/>
          <w:sz w:val="18"/>
        </w:rPr>
      </w:pPr>
      <w:hyperlink w:history="true" w:anchor="_bookmark61">
        <w:r>
          <w:rPr>
            <w:b/>
            <w:color w:val="2255A6"/>
            <w:sz w:val="18"/>
            <w:u w:val="single" w:color="2255A6"/>
          </w:rPr>
          <w:t>РАЗДЕЛ</w:t>
        </w:r>
        <w:r>
          <w:rPr>
            <w:b/>
            <w:color w:val="2255A6"/>
            <w:spacing w:val="-9"/>
            <w:sz w:val="18"/>
            <w:u w:val="single" w:color="2255A6"/>
          </w:rPr>
          <w:t> </w:t>
        </w:r>
        <w:r>
          <w:rPr>
            <w:b/>
            <w:color w:val="2255A6"/>
            <w:spacing w:val="-5"/>
            <w:sz w:val="18"/>
            <w:u w:val="single" w:color="2255A6"/>
          </w:rPr>
          <w:t>4.</w:t>
        </w:r>
      </w:hyperlink>
    </w:p>
    <w:p>
      <w:pPr>
        <w:spacing w:before="5"/>
        <w:ind w:left="1304" w:right="0" w:firstLine="0"/>
        <w:jc w:val="left"/>
        <w:rPr>
          <w:b/>
          <w:sz w:val="18"/>
        </w:rPr>
      </w:pPr>
      <w:hyperlink w:history="true" w:anchor="_bookmark61">
        <w:r>
          <w:rPr>
            <w:b/>
            <w:color w:val="2255A6"/>
            <w:sz w:val="18"/>
            <w:u w:val="single" w:color="2255A6"/>
          </w:rPr>
          <w:t>Работа</w:t>
        </w:r>
        <w:r>
          <w:rPr>
            <w:b/>
            <w:color w:val="2255A6"/>
            <w:spacing w:val="-3"/>
            <w:sz w:val="18"/>
            <w:u w:val="single" w:color="2255A6"/>
          </w:rPr>
          <w:t> </w:t>
        </w:r>
        <w:r>
          <w:rPr>
            <w:b/>
            <w:color w:val="2255A6"/>
            <w:sz w:val="18"/>
            <w:u w:val="single" w:color="2255A6"/>
          </w:rPr>
          <w:t>педагога</w:t>
        </w:r>
        <w:r>
          <w:rPr>
            <w:b/>
            <w:color w:val="2255A6"/>
            <w:spacing w:val="-3"/>
            <w:sz w:val="18"/>
            <w:u w:val="single" w:color="2255A6"/>
          </w:rPr>
          <w:t> </w:t>
        </w:r>
        <w:r>
          <w:rPr>
            <w:b/>
            <w:color w:val="2255A6"/>
            <w:sz w:val="18"/>
            <w:u w:val="single" w:color="2255A6"/>
          </w:rPr>
          <w:t>с</w:t>
        </w:r>
        <w:r>
          <w:rPr>
            <w:b/>
            <w:color w:val="2255A6"/>
            <w:spacing w:val="-3"/>
            <w:sz w:val="18"/>
            <w:u w:val="single" w:color="2255A6"/>
          </w:rPr>
          <w:t> </w:t>
        </w:r>
        <w:r>
          <w:rPr>
            <w:b/>
            <w:color w:val="2255A6"/>
            <w:sz w:val="18"/>
            <w:u w:val="single" w:color="2255A6"/>
          </w:rPr>
          <w:t>ученическим</w:t>
        </w:r>
        <w:r>
          <w:rPr>
            <w:b/>
            <w:color w:val="2255A6"/>
            <w:spacing w:val="-3"/>
            <w:sz w:val="18"/>
            <w:u w:val="single" w:color="2255A6"/>
          </w:rPr>
          <w:t> </w:t>
        </w:r>
        <w:r>
          <w:rPr>
            <w:b/>
            <w:color w:val="2255A6"/>
            <w:sz w:val="18"/>
            <w:u w:val="single" w:color="2255A6"/>
          </w:rPr>
          <w:t>сообществом:</w:t>
        </w:r>
        <w:r>
          <w:rPr>
            <w:b/>
            <w:color w:val="2255A6"/>
            <w:spacing w:val="-3"/>
            <w:sz w:val="18"/>
            <w:u w:val="single" w:color="2255A6"/>
          </w:rPr>
          <w:t> </w:t>
        </w:r>
        <w:r>
          <w:rPr>
            <w:b/>
            <w:color w:val="2255A6"/>
            <w:sz w:val="18"/>
            <w:u w:val="single" w:color="2255A6"/>
          </w:rPr>
          <w:t>класс</w:t>
        </w:r>
        <w:r>
          <w:rPr>
            <w:b/>
            <w:color w:val="2255A6"/>
            <w:spacing w:val="-3"/>
            <w:sz w:val="18"/>
            <w:u w:val="single" w:color="2255A6"/>
          </w:rPr>
          <w:t> </w:t>
        </w:r>
        <w:r>
          <w:rPr>
            <w:b/>
            <w:color w:val="2255A6"/>
            <w:sz w:val="18"/>
            <w:u w:val="single" w:color="2255A6"/>
          </w:rPr>
          <w:t>и</w:t>
        </w:r>
        <w:r>
          <w:rPr>
            <w:b/>
            <w:color w:val="2255A6"/>
            <w:spacing w:val="-3"/>
            <w:sz w:val="18"/>
            <w:u w:val="single" w:color="2255A6"/>
          </w:rPr>
          <w:t> </w:t>
        </w:r>
        <w:r>
          <w:rPr>
            <w:b/>
            <w:color w:val="2255A6"/>
            <w:spacing w:val="-4"/>
            <w:sz w:val="18"/>
            <w:u w:val="single" w:color="2255A6"/>
          </w:rPr>
          <w:t>школа</w:t>
        </w:r>
      </w:hyperlink>
    </w:p>
    <w:p>
      <w:pPr>
        <w:pStyle w:val="ListParagraph"/>
        <w:numPr>
          <w:ilvl w:val="1"/>
          <w:numId w:val="37"/>
        </w:numPr>
        <w:tabs>
          <w:tab w:pos="411" w:val="left" w:leader="none"/>
          <w:tab w:pos="7181" w:val="left" w:leader="dot"/>
        </w:tabs>
        <w:spacing w:line="240" w:lineRule="auto" w:before="61" w:after="0"/>
        <w:ind w:left="411" w:right="0" w:hanging="270"/>
        <w:jc w:val="left"/>
        <w:rPr>
          <w:sz w:val="18"/>
        </w:rPr>
      </w:pPr>
      <w:hyperlink w:history="true" w:anchor="_bookmark62">
        <w:r>
          <w:rPr>
            <w:color w:val="2255A6"/>
            <w:sz w:val="18"/>
            <w:u w:val="single" w:color="2255A6"/>
          </w:rPr>
          <w:t> ​Общее </w:t>
        </w:r>
        <w:r>
          <w:rPr>
            <w:color w:val="2255A6"/>
            <w:spacing w:val="-2"/>
            <w:sz w:val="18"/>
            <w:u w:val="single" w:color="2255A6"/>
          </w:rPr>
          <w:t>описание</w:t>
        </w:r>
        <w:r>
          <w:rPr>
            <w:color w:val="2255A6"/>
            <w:sz w:val="18"/>
          </w:rPr>
          <w:tab/>
        </w:r>
        <w:r>
          <w:rPr>
            <w:color w:val="231F20"/>
            <w:spacing w:val="-5"/>
            <w:sz w:val="18"/>
          </w:rPr>
          <w:t>93</w:t>
        </w:r>
      </w:hyperlink>
    </w:p>
    <w:p>
      <w:pPr>
        <w:pStyle w:val="ListParagraph"/>
        <w:numPr>
          <w:ilvl w:val="1"/>
          <w:numId w:val="37"/>
        </w:numPr>
        <w:tabs>
          <w:tab w:pos="411" w:val="left" w:leader="none"/>
        </w:tabs>
        <w:spacing w:line="240" w:lineRule="auto" w:before="117" w:after="0"/>
        <w:ind w:left="411" w:right="0" w:hanging="270"/>
        <w:jc w:val="left"/>
        <w:rPr>
          <w:sz w:val="18"/>
        </w:rPr>
      </w:pPr>
      <w:hyperlink w:history="true" w:anchor="_bookmark85">
        <w:r>
          <w:rPr>
            <w:color w:val="2255A6"/>
            <w:spacing w:val="-8"/>
            <w:sz w:val="18"/>
            <w:u w:val="single" w:color="2255A6"/>
          </w:rPr>
          <w:t> </w:t>
        </w:r>
        <w:r>
          <w:rPr>
            <w:color w:val="2255A6"/>
            <w:sz w:val="18"/>
            <w:u w:val="single" w:color="2255A6"/>
          </w:rPr>
          <w:t>​Работа</w:t>
        </w:r>
        <w:r>
          <w:rPr>
            <w:color w:val="2255A6"/>
            <w:spacing w:val="-6"/>
            <w:sz w:val="18"/>
            <w:u w:val="single" w:color="2255A6"/>
          </w:rPr>
          <w:t> </w:t>
        </w:r>
        <w:r>
          <w:rPr>
            <w:color w:val="2255A6"/>
            <w:sz w:val="18"/>
            <w:u w:val="single" w:color="2255A6"/>
          </w:rPr>
          <w:t>педагога-психолога</w:t>
        </w:r>
        <w:r>
          <w:rPr>
            <w:color w:val="2255A6"/>
            <w:spacing w:val="-6"/>
            <w:sz w:val="18"/>
            <w:u w:val="single" w:color="2255A6"/>
          </w:rPr>
          <w:t> </w:t>
        </w:r>
        <w:r>
          <w:rPr>
            <w:color w:val="2255A6"/>
            <w:sz w:val="18"/>
            <w:u w:val="single" w:color="2255A6"/>
          </w:rPr>
          <w:t>в</w:t>
        </w:r>
        <w:r>
          <w:rPr>
            <w:color w:val="2255A6"/>
            <w:spacing w:val="-6"/>
            <w:sz w:val="18"/>
            <w:u w:val="single" w:color="2255A6"/>
          </w:rPr>
          <w:t> </w:t>
        </w:r>
        <w:r>
          <w:rPr>
            <w:color w:val="2255A6"/>
            <w:sz w:val="18"/>
            <w:u w:val="single" w:color="2255A6"/>
          </w:rPr>
          <w:t>области</w:t>
        </w:r>
        <w:r>
          <w:rPr>
            <w:color w:val="2255A6"/>
            <w:spacing w:val="-7"/>
            <w:sz w:val="18"/>
            <w:u w:val="single" w:color="2255A6"/>
          </w:rPr>
          <w:t> </w:t>
        </w:r>
        <w:r>
          <w:rPr>
            <w:color w:val="2255A6"/>
            <w:sz w:val="18"/>
            <w:u w:val="single" w:color="2255A6"/>
          </w:rPr>
          <w:t>адаптации</w:t>
        </w:r>
        <w:r>
          <w:rPr>
            <w:color w:val="2255A6"/>
            <w:spacing w:val="-6"/>
            <w:sz w:val="18"/>
            <w:u w:val="single" w:color="2255A6"/>
          </w:rPr>
          <w:t> </w:t>
        </w:r>
        <w:r>
          <w:rPr>
            <w:color w:val="2255A6"/>
            <w:spacing w:val="-2"/>
            <w:sz w:val="18"/>
            <w:u w:val="single" w:color="2255A6"/>
          </w:rPr>
          <w:t>детей</w:t>
        </w:r>
      </w:hyperlink>
    </w:p>
    <w:p>
      <w:pPr>
        <w:tabs>
          <w:tab w:pos="7181" w:val="left" w:leader="dot"/>
        </w:tabs>
        <w:spacing w:before="3"/>
        <w:ind w:left="141" w:right="0" w:firstLine="0"/>
        <w:jc w:val="left"/>
        <w:rPr>
          <w:sz w:val="18"/>
        </w:rPr>
      </w:pPr>
      <w:hyperlink w:history="true" w:anchor="_bookmark85">
        <w:r>
          <w:rPr>
            <w:color w:val="2255A6"/>
            <w:sz w:val="18"/>
            <w:u w:val="single" w:color="2255A6"/>
          </w:rPr>
          <w:t>иностранных</w:t>
        </w:r>
        <w:r>
          <w:rPr>
            <w:color w:val="2255A6"/>
            <w:spacing w:val="-4"/>
            <w:sz w:val="18"/>
            <w:u w:val="single" w:color="2255A6"/>
          </w:rPr>
          <w:t> </w:t>
        </w:r>
        <w:r>
          <w:rPr>
            <w:color w:val="2255A6"/>
            <w:sz w:val="18"/>
            <w:u w:val="single" w:color="2255A6"/>
          </w:rPr>
          <w:t>граждан</w:t>
        </w:r>
        <w:r>
          <w:rPr>
            <w:color w:val="2255A6"/>
            <w:spacing w:val="-3"/>
            <w:sz w:val="18"/>
            <w:u w:val="single" w:color="2255A6"/>
          </w:rPr>
          <w:t> </w:t>
        </w:r>
        <w:r>
          <w:rPr>
            <w:color w:val="2255A6"/>
            <w:sz w:val="18"/>
            <w:u w:val="single" w:color="2255A6"/>
          </w:rPr>
          <w:t>во</w:t>
        </w:r>
        <w:r>
          <w:rPr>
            <w:color w:val="2255A6"/>
            <w:spacing w:val="-2"/>
            <w:sz w:val="18"/>
            <w:u w:val="single" w:color="2255A6"/>
          </w:rPr>
          <w:t> </w:t>
        </w:r>
        <w:r>
          <w:rPr>
            <w:color w:val="2255A6"/>
            <w:sz w:val="18"/>
            <w:u w:val="single" w:color="2255A6"/>
          </w:rPr>
          <w:t>взаимодействии</w:t>
        </w:r>
        <w:r>
          <w:rPr>
            <w:color w:val="2255A6"/>
            <w:spacing w:val="-2"/>
            <w:sz w:val="18"/>
            <w:u w:val="single" w:color="2255A6"/>
          </w:rPr>
          <w:t> </w:t>
        </w:r>
        <w:r>
          <w:rPr>
            <w:color w:val="2255A6"/>
            <w:sz w:val="18"/>
            <w:u w:val="single" w:color="2255A6"/>
          </w:rPr>
          <w:t>с</w:t>
        </w:r>
        <w:r>
          <w:rPr>
            <w:color w:val="2255A6"/>
            <w:spacing w:val="-2"/>
            <w:sz w:val="18"/>
            <w:u w:val="single" w:color="2255A6"/>
          </w:rPr>
          <w:t> </w:t>
        </w:r>
        <w:r>
          <w:rPr>
            <w:color w:val="2255A6"/>
            <w:sz w:val="18"/>
            <w:u w:val="single" w:color="2255A6"/>
          </w:rPr>
          <w:t>ученическим</w:t>
        </w:r>
        <w:r>
          <w:rPr>
            <w:color w:val="2255A6"/>
            <w:spacing w:val="-1"/>
            <w:sz w:val="18"/>
            <w:u w:val="single" w:color="2255A6"/>
          </w:rPr>
          <w:t> </w:t>
        </w:r>
        <w:r>
          <w:rPr>
            <w:color w:val="2255A6"/>
            <w:spacing w:val="-2"/>
            <w:sz w:val="18"/>
            <w:u w:val="single" w:color="2255A6"/>
          </w:rPr>
          <w:t>сообществом</w:t>
        </w:r>
        <w:r>
          <w:rPr>
            <w:color w:val="2255A6"/>
            <w:sz w:val="18"/>
          </w:rPr>
          <w:tab/>
        </w:r>
        <w:r>
          <w:rPr>
            <w:color w:val="231F20"/>
            <w:spacing w:val="-5"/>
            <w:sz w:val="18"/>
          </w:rPr>
          <w:t>96</w:t>
        </w:r>
      </w:hyperlink>
    </w:p>
    <w:p>
      <w:pPr>
        <w:pStyle w:val="ListParagraph"/>
        <w:numPr>
          <w:ilvl w:val="2"/>
          <w:numId w:val="37"/>
        </w:numPr>
        <w:tabs>
          <w:tab w:pos="830" w:val="left" w:leader="none"/>
          <w:tab w:pos="7181" w:val="left" w:leader="dot"/>
        </w:tabs>
        <w:spacing w:line="240" w:lineRule="auto" w:before="60" w:after="0"/>
        <w:ind w:left="830" w:right="0" w:hanging="405"/>
        <w:jc w:val="left"/>
        <w:rPr>
          <w:sz w:val="18"/>
        </w:rPr>
      </w:pPr>
      <w:hyperlink w:history="true" w:anchor="_bookmark85">
        <w:r>
          <w:rPr>
            <w:color w:val="2255A6"/>
            <w:spacing w:val="-8"/>
            <w:sz w:val="18"/>
            <w:u w:val="single" w:color="2255A6"/>
          </w:rPr>
          <w:t> </w:t>
        </w:r>
        <w:r>
          <w:rPr>
            <w:color w:val="2255A6"/>
            <w:sz w:val="18"/>
            <w:u w:val="single" w:color="2255A6"/>
          </w:rPr>
          <w:t>​Психологические</w:t>
        </w:r>
        <w:r>
          <w:rPr>
            <w:color w:val="2255A6"/>
            <w:spacing w:val="-8"/>
            <w:sz w:val="18"/>
            <w:u w:val="single" w:color="2255A6"/>
          </w:rPr>
          <w:t> </w:t>
        </w:r>
        <w:r>
          <w:rPr>
            <w:color w:val="2255A6"/>
            <w:sz w:val="18"/>
            <w:u w:val="single" w:color="2255A6"/>
          </w:rPr>
          <w:t>тренинги</w:t>
        </w:r>
        <w:r>
          <w:rPr>
            <w:color w:val="2255A6"/>
            <w:spacing w:val="-8"/>
            <w:sz w:val="18"/>
            <w:u w:val="single" w:color="2255A6"/>
          </w:rPr>
          <w:t> </w:t>
        </w:r>
        <w:r>
          <w:rPr>
            <w:color w:val="2255A6"/>
            <w:sz w:val="18"/>
            <w:u w:val="single" w:color="2255A6"/>
          </w:rPr>
          <w:t>в</w:t>
        </w:r>
        <w:r>
          <w:rPr>
            <w:color w:val="2255A6"/>
            <w:spacing w:val="-9"/>
            <w:sz w:val="18"/>
            <w:u w:val="single" w:color="2255A6"/>
          </w:rPr>
          <w:t> </w:t>
        </w:r>
        <w:r>
          <w:rPr>
            <w:color w:val="2255A6"/>
            <w:sz w:val="18"/>
            <w:u w:val="single" w:color="2255A6"/>
          </w:rPr>
          <w:t>поликультурном</w:t>
        </w:r>
        <w:r>
          <w:rPr>
            <w:color w:val="2255A6"/>
            <w:spacing w:val="-7"/>
            <w:sz w:val="18"/>
            <w:u w:val="single" w:color="2255A6"/>
          </w:rPr>
          <w:t> </w:t>
        </w:r>
        <w:r>
          <w:rPr>
            <w:color w:val="2255A6"/>
            <w:spacing w:val="-2"/>
            <w:sz w:val="18"/>
            <w:u w:val="single" w:color="2255A6"/>
          </w:rPr>
          <w:t>классе</w:t>
        </w:r>
        <w:r>
          <w:rPr>
            <w:color w:val="2255A6"/>
            <w:sz w:val="18"/>
          </w:rPr>
          <w:tab/>
        </w:r>
        <w:r>
          <w:rPr>
            <w:color w:val="231F20"/>
            <w:spacing w:val="-5"/>
            <w:sz w:val="18"/>
          </w:rPr>
          <w:t>96</w:t>
        </w:r>
      </w:hyperlink>
    </w:p>
    <w:p>
      <w:pPr>
        <w:pStyle w:val="ListParagraph"/>
        <w:numPr>
          <w:ilvl w:val="2"/>
          <w:numId w:val="37"/>
        </w:numPr>
        <w:tabs>
          <w:tab w:pos="830" w:val="left" w:leader="none"/>
        </w:tabs>
        <w:spacing w:line="240" w:lineRule="auto" w:before="59" w:after="0"/>
        <w:ind w:left="830" w:right="0" w:hanging="405"/>
        <w:jc w:val="left"/>
        <w:rPr>
          <w:sz w:val="18"/>
        </w:rPr>
      </w:pPr>
      <w:hyperlink w:history="true" w:anchor="_bookmark63">
        <w:r>
          <w:rPr>
            <w:color w:val="2255A6"/>
            <w:spacing w:val="-4"/>
            <w:sz w:val="18"/>
            <w:u w:val="single" w:color="2255A6"/>
          </w:rPr>
          <w:t> </w:t>
        </w:r>
        <w:r>
          <w:rPr>
            <w:color w:val="2255A6"/>
            <w:sz w:val="18"/>
            <w:u w:val="single" w:color="2255A6"/>
          </w:rPr>
          <w:t>​Психологический</w:t>
        </w:r>
        <w:r>
          <w:rPr>
            <w:color w:val="2255A6"/>
            <w:spacing w:val="-5"/>
            <w:sz w:val="18"/>
            <w:u w:val="single" w:color="2255A6"/>
          </w:rPr>
          <w:t> </w:t>
        </w:r>
        <w:r>
          <w:rPr>
            <w:color w:val="2255A6"/>
            <w:sz w:val="18"/>
            <w:u w:val="single" w:color="2255A6"/>
          </w:rPr>
          <w:t>театр</w:t>
        </w:r>
        <w:r>
          <w:rPr>
            <w:color w:val="2255A6"/>
            <w:spacing w:val="-4"/>
            <w:sz w:val="18"/>
            <w:u w:val="single" w:color="2255A6"/>
          </w:rPr>
          <w:t> </w:t>
        </w:r>
        <w:r>
          <w:rPr>
            <w:color w:val="2255A6"/>
            <w:sz w:val="18"/>
            <w:u w:val="single" w:color="2255A6"/>
          </w:rPr>
          <w:t>как</w:t>
        </w:r>
        <w:r>
          <w:rPr>
            <w:color w:val="2255A6"/>
            <w:spacing w:val="-4"/>
            <w:sz w:val="18"/>
            <w:u w:val="single" w:color="2255A6"/>
          </w:rPr>
          <w:t> </w:t>
        </w:r>
        <w:r>
          <w:rPr>
            <w:color w:val="2255A6"/>
            <w:sz w:val="18"/>
            <w:u w:val="single" w:color="2255A6"/>
          </w:rPr>
          <w:t>технология</w:t>
        </w:r>
        <w:r>
          <w:rPr>
            <w:color w:val="2255A6"/>
            <w:spacing w:val="-3"/>
            <w:sz w:val="18"/>
            <w:u w:val="single" w:color="2255A6"/>
          </w:rPr>
          <w:t> </w:t>
        </w:r>
        <w:r>
          <w:rPr>
            <w:color w:val="2255A6"/>
            <w:spacing w:val="-2"/>
            <w:sz w:val="18"/>
            <w:u w:val="single" w:color="2255A6"/>
          </w:rPr>
          <w:t>групповой</w:t>
        </w:r>
      </w:hyperlink>
    </w:p>
    <w:p>
      <w:pPr>
        <w:tabs>
          <w:tab w:pos="7091" w:val="left" w:leader="dot"/>
        </w:tabs>
        <w:spacing w:before="3"/>
        <w:ind w:left="425" w:right="0" w:firstLine="0"/>
        <w:jc w:val="left"/>
        <w:rPr>
          <w:sz w:val="18"/>
        </w:rPr>
      </w:pPr>
      <w:hyperlink w:history="true" w:anchor="_bookmark63">
        <w:r>
          <w:rPr>
            <w:color w:val="2255A6"/>
            <w:spacing w:val="-2"/>
            <w:sz w:val="18"/>
            <w:u w:val="single" w:color="2255A6"/>
          </w:rPr>
          <w:t>психологической</w:t>
        </w:r>
        <w:r>
          <w:rPr>
            <w:color w:val="2255A6"/>
            <w:spacing w:val="4"/>
            <w:sz w:val="18"/>
            <w:u w:val="single" w:color="2255A6"/>
          </w:rPr>
          <w:t> </w:t>
        </w:r>
        <w:r>
          <w:rPr>
            <w:color w:val="2255A6"/>
            <w:spacing w:val="-2"/>
            <w:sz w:val="18"/>
            <w:u w:val="single" w:color="2255A6"/>
          </w:rPr>
          <w:t>работы</w:t>
        </w:r>
        <w:r>
          <w:rPr>
            <w:color w:val="2255A6"/>
            <w:spacing w:val="7"/>
            <w:sz w:val="18"/>
            <w:u w:val="single" w:color="2255A6"/>
          </w:rPr>
          <w:t> </w:t>
        </w:r>
        <w:r>
          <w:rPr>
            <w:color w:val="2255A6"/>
            <w:spacing w:val="-2"/>
            <w:sz w:val="18"/>
            <w:u w:val="single" w:color="2255A6"/>
          </w:rPr>
          <w:t>в</w:t>
        </w:r>
        <w:r>
          <w:rPr>
            <w:color w:val="2255A6"/>
            <w:spacing w:val="4"/>
            <w:sz w:val="18"/>
            <w:u w:val="single" w:color="2255A6"/>
          </w:rPr>
          <w:t> </w:t>
        </w:r>
        <w:r>
          <w:rPr>
            <w:color w:val="2255A6"/>
            <w:spacing w:val="-2"/>
            <w:sz w:val="18"/>
            <w:u w:val="single" w:color="2255A6"/>
          </w:rPr>
          <w:t>поликультурном</w:t>
        </w:r>
        <w:r>
          <w:rPr>
            <w:color w:val="2255A6"/>
            <w:spacing w:val="7"/>
            <w:sz w:val="18"/>
            <w:u w:val="single" w:color="2255A6"/>
          </w:rPr>
          <w:t> </w:t>
        </w:r>
        <w:r>
          <w:rPr>
            <w:color w:val="2255A6"/>
            <w:spacing w:val="-2"/>
            <w:sz w:val="18"/>
            <w:u w:val="single" w:color="2255A6"/>
          </w:rPr>
          <w:t>классе</w:t>
        </w:r>
        <w:r>
          <w:rPr>
            <w:color w:val="2255A6"/>
            <w:sz w:val="18"/>
          </w:rPr>
          <w:tab/>
        </w:r>
        <w:r>
          <w:rPr>
            <w:color w:val="231F20"/>
            <w:spacing w:val="-5"/>
            <w:sz w:val="18"/>
          </w:rPr>
          <w:t>104</w:t>
        </w:r>
      </w:hyperlink>
    </w:p>
    <w:p>
      <w:pPr>
        <w:spacing w:after="0"/>
        <w:jc w:val="left"/>
        <w:rPr>
          <w:sz w:val="18"/>
        </w:rPr>
        <w:sectPr>
          <w:pgSz w:w="8400" w:h="11910"/>
          <w:pgMar w:header="0" w:footer="531" w:top="400" w:bottom="740" w:left="425" w:right="425"/>
        </w:sectPr>
      </w:pPr>
    </w:p>
    <w:p>
      <w:pPr>
        <w:spacing w:before="80"/>
        <w:ind w:left="141" w:right="0" w:firstLine="0"/>
        <w:jc w:val="left"/>
        <w:rPr>
          <w:rFonts w:ascii="Georgia" w:hAnsi="Georgia"/>
          <w:sz w:val="18"/>
        </w:rPr>
      </w:pPr>
      <w:r>
        <w:rPr>
          <w:rFonts w:ascii="Georgia" w:hAnsi="Georgia"/>
          <w:color w:val="231F20"/>
          <w:spacing w:val="-2"/>
          <w:sz w:val="18"/>
        </w:rPr>
        <w:t>Содержание</w:t>
      </w:r>
    </w:p>
    <w:p>
      <w:pPr>
        <w:pStyle w:val="ListParagraph"/>
        <w:numPr>
          <w:ilvl w:val="2"/>
          <w:numId w:val="37"/>
        </w:numPr>
        <w:tabs>
          <w:tab w:pos="830" w:val="left" w:leader="none"/>
        </w:tabs>
        <w:spacing w:line="240" w:lineRule="auto" w:before="117" w:after="0"/>
        <w:ind w:left="830" w:right="0" w:hanging="405"/>
        <w:jc w:val="left"/>
        <w:rPr>
          <w:sz w:val="18"/>
        </w:rPr>
      </w:pPr>
      <w:hyperlink w:history="true" w:anchor="_bookmark64">
        <w:r>
          <w:rPr>
            <w:color w:val="2255A6"/>
            <w:spacing w:val="-9"/>
            <w:sz w:val="18"/>
            <w:u w:val="single" w:color="2255A6"/>
          </w:rPr>
          <w:t> </w:t>
        </w:r>
        <w:r>
          <w:rPr>
            <w:color w:val="2255A6"/>
            <w:sz w:val="18"/>
            <w:u w:val="single" w:color="2255A6"/>
          </w:rPr>
          <w:t>​Социально-эмоциональное</w:t>
        </w:r>
        <w:r>
          <w:rPr>
            <w:color w:val="2255A6"/>
            <w:spacing w:val="-6"/>
            <w:sz w:val="18"/>
            <w:u w:val="single" w:color="2255A6"/>
          </w:rPr>
          <w:t> </w:t>
        </w:r>
        <w:r>
          <w:rPr>
            <w:color w:val="2255A6"/>
            <w:sz w:val="18"/>
            <w:u w:val="single" w:color="2255A6"/>
          </w:rPr>
          <w:t>развитие</w:t>
        </w:r>
        <w:r>
          <w:rPr>
            <w:color w:val="2255A6"/>
            <w:spacing w:val="-6"/>
            <w:sz w:val="18"/>
            <w:u w:val="single" w:color="2255A6"/>
          </w:rPr>
          <w:t> </w:t>
        </w:r>
        <w:r>
          <w:rPr>
            <w:color w:val="2255A6"/>
            <w:sz w:val="18"/>
            <w:u w:val="single" w:color="2255A6"/>
          </w:rPr>
          <w:t>школьников</w:t>
        </w:r>
        <w:r>
          <w:rPr>
            <w:color w:val="2255A6"/>
            <w:spacing w:val="-6"/>
            <w:sz w:val="18"/>
            <w:u w:val="single" w:color="2255A6"/>
          </w:rPr>
          <w:t> </w:t>
        </w:r>
        <w:r>
          <w:rPr>
            <w:color w:val="2255A6"/>
            <w:sz w:val="18"/>
            <w:u w:val="single" w:color="2255A6"/>
          </w:rPr>
          <w:t>как</w:t>
        </w:r>
        <w:r>
          <w:rPr>
            <w:color w:val="2255A6"/>
            <w:spacing w:val="-6"/>
            <w:sz w:val="18"/>
            <w:u w:val="single" w:color="2255A6"/>
          </w:rPr>
          <w:t> </w:t>
        </w:r>
        <w:r>
          <w:rPr>
            <w:color w:val="2255A6"/>
            <w:spacing w:val="-2"/>
            <w:sz w:val="18"/>
            <w:u w:val="single" w:color="2255A6"/>
          </w:rPr>
          <w:t>основа</w:t>
        </w:r>
      </w:hyperlink>
    </w:p>
    <w:p>
      <w:pPr>
        <w:tabs>
          <w:tab w:pos="7098" w:val="left" w:leader="dot"/>
        </w:tabs>
        <w:spacing w:before="1"/>
        <w:ind w:left="425" w:right="0" w:firstLine="0"/>
        <w:jc w:val="left"/>
        <w:rPr>
          <w:sz w:val="18"/>
        </w:rPr>
      </w:pPr>
      <w:hyperlink w:history="true" w:anchor="_bookmark64">
        <w:r>
          <w:rPr>
            <w:color w:val="2255A6"/>
            <w:sz w:val="18"/>
            <w:u w:val="single" w:color="2255A6"/>
          </w:rPr>
          <w:t>социальной</w:t>
        </w:r>
        <w:r>
          <w:rPr>
            <w:color w:val="2255A6"/>
            <w:spacing w:val="-6"/>
            <w:sz w:val="18"/>
            <w:u w:val="single" w:color="2255A6"/>
          </w:rPr>
          <w:t> </w:t>
        </w:r>
        <w:r>
          <w:rPr>
            <w:color w:val="2255A6"/>
            <w:sz w:val="18"/>
            <w:u w:val="single" w:color="2255A6"/>
          </w:rPr>
          <w:t>адаптации</w:t>
        </w:r>
        <w:r>
          <w:rPr>
            <w:color w:val="2255A6"/>
            <w:spacing w:val="-5"/>
            <w:sz w:val="18"/>
            <w:u w:val="single" w:color="2255A6"/>
          </w:rPr>
          <w:t> </w:t>
        </w:r>
        <w:r>
          <w:rPr>
            <w:color w:val="2255A6"/>
            <w:sz w:val="18"/>
            <w:u w:val="single" w:color="2255A6"/>
          </w:rPr>
          <w:t>в</w:t>
        </w:r>
        <w:r>
          <w:rPr>
            <w:color w:val="2255A6"/>
            <w:spacing w:val="-6"/>
            <w:sz w:val="18"/>
            <w:u w:val="single" w:color="2255A6"/>
          </w:rPr>
          <w:t> </w:t>
        </w:r>
        <w:r>
          <w:rPr>
            <w:color w:val="2255A6"/>
            <w:sz w:val="18"/>
            <w:u w:val="single" w:color="2255A6"/>
          </w:rPr>
          <w:t>начальной</w:t>
        </w:r>
        <w:r>
          <w:rPr>
            <w:color w:val="2255A6"/>
            <w:spacing w:val="-5"/>
            <w:sz w:val="18"/>
            <w:u w:val="single" w:color="2255A6"/>
          </w:rPr>
          <w:t> </w:t>
        </w:r>
        <w:r>
          <w:rPr>
            <w:color w:val="2255A6"/>
            <w:spacing w:val="-4"/>
            <w:sz w:val="18"/>
            <w:u w:val="single" w:color="2255A6"/>
          </w:rPr>
          <w:t>школе</w:t>
        </w:r>
        <w:r>
          <w:rPr>
            <w:color w:val="2255A6"/>
            <w:sz w:val="18"/>
          </w:rPr>
          <w:tab/>
        </w:r>
        <w:r>
          <w:rPr>
            <w:color w:val="231F20"/>
            <w:spacing w:val="-5"/>
            <w:sz w:val="18"/>
          </w:rPr>
          <w:t>110</w:t>
        </w:r>
      </w:hyperlink>
    </w:p>
    <w:p>
      <w:pPr>
        <w:pStyle w:val="ListParagraph"/>
        <w:numPr>
          <w:ilvl w:val="1"/>
          <w:numId w:val="37"/>
        </w:numPr>
        <w:tabs>
          <w:tab w:pos="411" w:val="left" w:leader="none"/>
        </w:tabs>
        <w:spacing w:line="240" w:lineRule="auto" w:before="116" w:after="0"/>
        <w:ind w:left="411" w:right="0" w:hanging="270"/>
        <w:jc w:val="left"/>
        <w:rPr>
          <w:sz w:val="18"/>
        </w:rPr>
      </w:pPr>
      <w:hyperlink w:history="true" w:anchor="_bookmark91">
        <w:r>
          <w:rPr>
            <w:color w:val="2255A6"/>
            <w:spacing w:val="-7"/>
            <w:sz w:val="18"/>
            <w:u w:val="single" w:color="2255A6"/>
          </w:rPr>
          <w:t> </w:t>
        </w:r>
        <w:r>
          <w:rPr>
            <w:color w:val="2255A6"/>
            <w:sz w:val="18"/>
            <w:u w:val="single" w:color="2255A6"/>
          </w:rPr>
          <w:t>​Методы</w:t>
        </w:r>
        <w:r>
          <w:rPr>
            <w:color w:val="2255A6"/>
            <w:spacing w:val="-4"/>
            <w:sz w:val="18"/>
            <w:u w:val="single" w:color="2255A6"/>
          </w:rPr>
          <w:t> </w:t>
        </w:r>
        <w:r>
          <w:rPr>
            <w:color w:val="2255A6"/>
            <w:sz w:val="18"/>
            <w:u w:val="single" w:color="2255A6"/>
          </w:rPr>
          <w:t>воспитательной</w:t>
        </w:r>
        <w:r>
          <w:rPr>
            <w:color w:val="2255A6"/>
            <w:spacing w:val="-5"/>
            <w:sz w:val="18"/>
            <w:u w:val="single" w:color="2255A6"/>
          </w:rPr>
          <w:t> </w:t>
        </w:r>
        <w:r>
          <w:rPr>
            <w:color w:val="2255A6"/>
            <w:sz w:val="18"/>
            <w:u w:val="single" w:color="2255A6"/>
          </w:rPr>
          <w:t>работы</w:t>
        </w:r>
        <w:r>
          <w:rPr>
            <w:color w:val="2255A6"/>
            <w:spacing w:val="-5"/>
            <w:sz w:val="18"/>
            <w:u w:val="single" w:color="2255A6"/>
          </w:rPr>
          <w:t> </w:t>
        </w:r>
        <w:r>
          <w:rPr>
            <w:color w:val="2255A6"/>
            <w:sz w:val="18"/>
            <w:u w:val="single" w:color="2255A6"/>
          </w:rPr>
          <w:t>для</w:t>
        </w:r>
        <w:r>
          <w:rPr>
            <w:color w:val="2255A6"/>
            <w:spacing w:val="-4"/>
            <w:sz w:val="18"/>
            <w:u w:val="single" w:color="2255A6"/>
          </w:rPr>
          <w:t> </w:t>
        </w:r>
        <w:r>
          <w:rPr>
            <w:color w:val="2255A6"/>
            <w:sz w:val="18"/>
            <w:u w:val="single" w:color="2255A6"/>
          </w:rPr>
          <w:t>адаптации</w:t>
        </w:r>
        <w:r>
          <w:rPr>
            <w:color w:val="2255A6"/>
            <w:spacing w:val="-5"/>
            <w:sz w:val="18"/>
            <w:u w:val="single" w:color="2255A6"/>
          </w:rPr>
          <w:t> </w:t>
        </w:r>
        <w:r>
          <w:rPr>
            <w:color w:val="2255A6"/>
            <w:spacing w:val="-2"/>
            <w:sz w:val="18"/>
            <w:u w:val="single" w:color="2255A6"/>
          </w:rPr>
          <w:t>детей</w:t>
        </w:r>
      </w:hyperlink>
    </w:p>
    <w:p>
      <w:pPr>
        <w:tabs>
          <w:tab w:pos="7091" w:val="left" w:leader="dot"/>
        </w:tabs>
        <w:spacing w:before="3"/>
        <w:ind w:left="141" w:right="0" w:firstLine="0"/>
        <w:jc w:val="left"/>
        <w:rPr>
          <w:sz w:val="18"/>
        </w:rPr>
      </w:pPr>
      <w:hyperlink w:history="true" w:anchor="_bookmark91">
        <w:r>
          <w:rPr>
            <w:color w:val="2255A6"/>
            <w:sz w:val="18"/>
            <w:u w:val="single" w:color="2255A6"/>
          </w:rPr>
          <w:t>иностранных</w:t>
        </w:r>
        <w:r>
          <w:rPr>
            <w:color w:val="2255A6"/>
            <w:spacing w:val="-6"/>
            <w:sz w:val="18"/>
            <w:u w:val="single" w:color="2255A6"/>
          </w:rPr>
          <w:t> </w:t>
        </w:r>
        <w:r>
          <w:rPr>
            <w:color w:val="2255A6"/>
            <w:sz w:val="18"/>
            <w:u w:val="single" w:color="2255A6"/>
          </w:rPr>
          <w:t>граждан</w:t>
        </w:r>
        <w:r>
          <w:rPr>
            <w:color w:val="2255A6"/>
            <w:spacing w:val="-3"/>
            <w:sz w:val="18"/>
            <w:u w:val="single" w:color="2255A6"/>
          </w:rPr>
          <w:t> </w:t>
        </w:r>
        <w:r>
          <w:rPr>
            <w:color w:val="2255A6"/>
            <w:sz w:val="18"/>
            <w:u w:val="single" w:color="2255A6"/>
          </w:rPr>
          <w:t>во</w:t>
        </w:r>
        <w:r>
          <w:rPr>
            <w:color w:val="2255A6"/>
            <w:spacing w:val="-3"/>
            <w:sz w:val="18"/>
            <w:u w:val="single" w:color="2255A6"/>
          </w:rPr>
          <w:t> </w:t>
        </w:r>
        <w:r>
          <w:rPr>
            <w:color w:val="2255A6"/>
            <w:sz w:val="18"/>
            <w:u w:val="single" w:color="2255A6"/>
          </w:rPr>
          <w:t>взаимодействии</w:t>
        </w:r>
        <w:r>
          <w:rPr>
            <w:color w:val="2255A6"/>
            <w:spacing w:val="-4"/>
            <w:sz w:val="18"/>
            <w:u w:val="single" w:color="2255A6"/>
          </w:rPr>
          <w:t> </w:t>
        </w:r>
        <w:r>
          <w:rPr>
            <w:color w:val="2255A6"/>
            <w:sz w:val="18"/>
            <w:u w:val="single" w:color="2255A6"/>
          </w:rPr>
          <w:t>педагога</w:t>
        </w:r>
        <w:r>
          <w:rPr>
            <w:color w:val="2255A6"/>
            <w:spacing w:val="-3"/>
            <w:sz w:val="18"/>
            <w:u w:val="single" w:color="2255A6"/>
          </w:rPr>
          <w:t> </w:t>
        </w:r>
        <w:r>
          <w:rPr>
            <w:color w:val="2255A6"/>
            <w:sz w:val="18"/>
            <w:u w:val="single" w:color="2255A6"/>
          </w:rPr>
          <w:t>с</w:t>
        </w:r>
        <w:r>
          <w:rPr>
            <w:color w:val="2255A6"/>
            <w:spacing w:val="-3"/>
            <w:sz w:val="18"/>
            <w:u w:val="single" w:color="2255A6"/>
          </w:rPr>
          <w:t> </w:t>
        </w:r>
        <w:r>
          <w:rPr>
            <w:color w:val="2255A6"/>
            <w:sz w:val="18"/>
            <w:u w:val="single" w:color="2255A6"/>
          </w:rPr>
          <w:t>ученическим</w:t>
        </w:r>
        <w:r>
          <w:rPr>
            <w:color w:val="2255A6"/>
            <w:spacing w:val="-3"/>
            <w:sz w:val="18"/>
            <w:u w:val="single" w:color="2255A6"/>
          </w:rPr>
          <w:t> </w:t>
        </w:r>
        <w:r>
          <w:rPr>
            <w:color w:val="2255A6"/>
            <w:spacing w:val="-2"/>
            <w:sz w:val="18"/>
            <w:u w:val="single" w:color="2255A6"/>
          </w:rPr>
          <w:t>сообществом</w:t>
        </w:r>
        <w:r>
          <w:rPr>
            <w:color w:val="2255A6"/>
            <w:sz w:val="18"/>
          </w:rPr>
          <w:tab/>
        </w:r>
        <w:r>
          <w:rPr>
            <w:color w:val="231F20"/>
            <w:spacing w:val="-5"/>
            <w:sz w:val="18"/>
          </w:rPr>
          <w:t>121</w:t>
        </w:r>
      </w:hyperlink>
    </w:p>
    <w:p>
      <w:pPr>
        <w:pStyle w:val="ListParagraph"/>
        <w:numPr>
          <w:ilvl w:val="2"/>
          <w:numId w:val="37"/>
        </w:numPr>
        <w:tabs>
          <w:tab w:pos="830" w:val="left" w:leader="none"/>
        </w:tabs>
        <w:spacing w:line="240" w:lineRule="auto" w:before="60" w:after="0"/>
        <w:ind w:left="830" w:right="0" w:hanging="405"/>
        <w:jc w:val="left"/>
        <w:rPr>
          <w:sz w:val="18"/>
        </w:rPr>
      </w:pPr>
      <w:hyperlink w:history="true" w:anchor="_bookmark91">
        <w:r>
          <w:rPr>
            <w:color w:val="2255A6"/>
            <w:spacing w:val="-8"/>
            <w:sz w:val="18"/>
            <w:u w:val="single" w:color="2255A6"/>
          </w:rPr>
          <w:t> </w:t>
        </w:r>
        <w:r>
          <w:rPr>
            <w:color w:val="2255A6"/>
            <w:sz w:val="18"/>
            <w:u w:val="single" w:color="2255A6"/>
          </w:rPr>
          <w:t>​Организация</w:t>
        </w:r>
        <w:r>
          <w:rPr>
            <w:color w:val="2255A6"/>
            <w:spacing w:val="-5"/>
            <w:sz w:val="18"/>
            <w:u w:val="single" w:color="2255A6"/>
          </w:rPr>
          <w:t> </w:t>
        </w:r>
        <w:r>
          <w:rPr>
            <w:color w:val="2255A6"/>
            <w:sz w:val="18"/>
            <w:u w:val="single" w:color="2255A6"/>
          </w:rPr>
          <w:t>внутришкольного</w:t>
        </w:r>
        <w:r>
          <w:rPr>
            <w:color w:val="2255A6"/>
            <w:spacing w:val="-6"/>
            <w:sz w:val="18"/>
            <w:u w:val="single" w:color="2255A6"/>
          </w:rPr>
          <w:t> </w:t>
        </w:r>
        <w:r>
          <w:rPr>
            <w:color w:val="2255A6"/>
            <w:sz w:val="18"/>
            <w:u w:val="single" w:color="2255A6"/>
          </w:rPr>
          <w:t>наставничествапо</w:t>
        </w:r>
        <w:r>
          <w:rPr>
            <w:color w:val="2255A6"/>
            <w:spacing w:val="-5"/>
            <w:sz w:val="18"/>
            <w:u w:val="single" w:color="2255A6"/>
          </w:rPr>
          <w:t> </w:t>
        </w:r>
        <w:r>
          <w:rPr>
            <w:color w:val="2255A6"/>
            <w:spacing w:val="-2"/>
            <w:sz w:val="18"/>
            <w:u w:val="single" w:color="2255A6"/>
          </w:rPr>
          <w:t>отношению</w:t>
        </w:r>
      </w:hyperlink>
    </w:p>
    <w:p>
      <w:pPr>
        <w:tabs>
          <w:tab w:pos="7091" w:val="left" w:leader="dot"/>
        </w:tabs>
        <w:spacing w:before="3"/>
        <w:ind w:left="425" w:right="0" w:firstLine="0"/>
        <w:jc w:val="left"/>
        <w:rPr>
          <w:sz w:val="18"/>
        </w:rPr>
      </w:pPr>
      <w:hyperlink w:history="true" w:anchor="_bookmark91">
        <w:r>
          <w:rPr>
            <w:color w:val="2255A6"/>
            <w:sz w:val="18"/>
            <w:u w:val="single" w:color="2255A6"/>
          </w:rPr>
          <w:t>к</w:t>
        </w:r>
        <w:r>
          <w:rPr>
            <w:color w:val="2255A6"/>
            <w:spacing w:val="1"/>
            <w:sz w:val="18"/>
            <w:u w:val="single" w:color="2255A6"/>
          </w:rPr>
          <w:t> </w:t>
        </w:r>
        <w:r>
          <w:rPr>
            <w:color w:val="2255A6"/>
            <w:sz w:val="18"/>
            <w:u w:val="single" w:color="2255A6"/>
          </w:rPr>
          <w:t>детям</w:t>
        </w:r>
        <w:r>
          <w:rPr>
            <w:color w:val="2255A6"/>
            <w:spacing w:val="1"/>
            <w:sz w:val="18"/>
            <w:u w:val="single" w:color="2255A6"/>
          </w:rPr>
          <w:t> </w:t>
        </w:r>
        <w:r>
          <w:rPr>
            <w:color w:val="2255A6"/>
            <w:sz w:val="18"/>
            <w:u w:val="single" w:color="2255A6"/>
          </w:rPr>
          <w:t>иностранных</w:t>
        </w:r>
        <w:r>
          <w:rPr>
            <w:color w:val="2255A6"/>
            <w:spacing w:val="1"/>
            <w:sz w:val="18"/>
            <w:u w:val="single" w:color="2255A6"/>
          </w:rPr>
          <w:t> </w:t>
        </w:r>
        <w:r>
          <w:rPr>
            <w:color w:val="2255A6"/>
            <w:spacing w:val="-2"/>
            <w:sz w:val="18"/>
            <w:u w:val="single" w:color="2255A6"/>
          </w:rPr>
          <w:t>граждан</w:t>
        </w:r>
        <w:r>
          <w:rPr>
            <w:color w:val="2255A6"/>
            <w:sz w:val="18"/>
          </w:rPr>
          <w:tab/>
        </w:r>
        <w:r>
          <w:rPr>
            <w:color w:val="231F20"/>
            <w:spacing w:val="-5"/>
            <w:sz w:val="18"/>
          </w:rPr>
          <w:t>121</w:t>
        </w:r>
      </w:hyperlink>
    </w:p>
    <w:p>
      <w:pPr>
        <w:tabs>
          <w:tab w:pos="7091" w:val="left" w:leader="dot"/>
        </w:tabs>
        <w:spacing w:before="60"/>
        <w:ind w:left="425" w:right="0" w:firstLine="0"/>
        <w:jc w:val="left"/>
        <w:rPr>
          <w:sz w:val="18"/>
        </w:rPr>
      </w:pPr>
      <w:hyperlink w:history="true" w:anchor="_bookmark65">
        <w:r>
          <w:rPr>
            <w:color w:val="2255A6"/>
            <w:sz w:val="18"/>
            <w:u w:val="single" w:color="2255A6"/>
          </w:rPr>
          <w:t>Приложение.</w:t>
        </w:r>
      </w:hyperlink>
      <w:r>
        <w:rPr>
          <w:color w:val="2255A6"/>
          <w:spacing w:val="-9"/>
          <w:sz w:val="18"/>
          <w:u w:val="single" w:color="2255A6"/>
        </w:rPr>
        <w:t> </w:t>
      </w:r>
      <w:hyperlink w:history="true" w:anchor="_bookmark65">
        <w:r>
          <w:rPr>
            <w:color w:val="2255A6"/>
            <w:sz w:val="18"/>
            <w:u w:val="single" w:color="2255A6"/>
          </w:rPr>
          <w:t>Зарубежные</w:t>
        </w:r>
        <w:r>
          <w:rPr>
            <w:color w:val="2255A6"/>
            <w:spacing w:val="-8"/>
            <w:sz w:val="18"/>
            <w:u w:val="single" w:color="2255A6"/>
          </w:rPr>
          <w:t> </w:t>
        </w:r>
        <w:r>
          <w:rPr>
            <w:color w:val="2255A6"/>
            <w:sz w:val="18"/>
            <w:u w:val="single" w:color="2255A6"/>
          </w:rPr>
          <w:t>практики</w:t>
        </w:r>
        <w:r>
          <w:rPr>
            <w:color w:val="2255A6"/>
            <w:spacing w:val="-8"/>
            <w:sz w:val="18"/>
            <w:u w:val="single" w:color="2255A6"/>
          </w:rPr>
          <w:t> </w:t>
        </w:r>
        <w:r>
          <w:rPr>
            <w:color w:val="2255A6"/>
            <w:spacing w:val="-2"/>
            <w:sz w:val="18"/>
            <w:u w:val="single" w:color="2255A6"/>
          </w:rPr>
          <w:t>наставничества</w:t>
        </w:r>
        <w:r>
          <w:rPr>
            <w:color w:val="2255A6"/>
            <w:sz w:val="18"/>
          </w:rPr>
          <w:tab/>
        </w:r>
        <w:r>
          <w:rPr>
            <w:color w:val="231F20"/>
            <w:spacing w:val="-5"/>
            <w:sz w:val="18"/>
          </w:rPr>
          <w:t>131</w:t>
        </w:r>
      </w:hyperlink>
    </w:p>
    <w:p>
      <w:pPr>
        <w:pStyle w:val="ListParagraph"/>
        <w:numPr>
          <w:ilvl w:val="2"/>
          <w:numId w:val="37"/>
        </w:numPr>
        <w:tabs>
          <w:tab w:pos="830" w:val="left" w:leader="none"/>
          <w:tab w:pos="7091" w:val="left" w:leader="dot"/>
        </w:tabs>
        <w:spacing w:line="240" w:lineRule="auto" w:before="59" w:after="0"/>
        <w:ind w:left="830" w:right="0" w:hanging="405"/>
        <w:jc w:val="left"/>
        <w:rPr>
          <w:sz w:val="18"/>
        </w:rPr>
      </w:pPr>
      <w:hyperlink w:history="true" w:anchor="_bookmark92">
        <w:r>
          <w:rPr>
            <w:color w:val="2255A6"/>
            <w:spacing w:val="-10"/>
            <w:sz w:val="18"/>
            <w:u w:val="single" w:color="2255A6"/>
          </w:rPr>
          <w:t> </w:t>
        </w:r>
        <w:r>
          <w:rPr>
            <w:color w:val="2255A6"/>
            <w:sz w:val="18"/>
            <w:u w:val="single" w:color="2255A6"/>
          </w:rPr>
          <w:t>​Фестиваль</w:t>
        </w:r>
        <w:r>
          <w:rPr>
            <w:color w:val="2255A6"/>
            <w:spacing w:val="-8"/>
            <w:sz w:val="18"/>
            <w:u w:val="single" w:color="2255A6"/>
          </w:rPr>
          <w:t> </w:t>
        </w:r>
        <w:r>
          <w:rPr>
            <w:color w:val="2255A6"/>
            <w:sz w:val="18"/>
            <w:u w:val="single" w:color="2255A6"/>
          </w:rPr>
          <w:t>национальных</w:t>
        </w:r>
        <w:r>
          <w:rPr>
            <w:color w:val="2255A6"/>
            <w:spacing w:val="-8"/>
            <w:sz w:val="18"/>
            <w:u w:val="single" w:color="2255A6"/>
          </w:rPr>
          <w:t> </w:t>
        </w:r>
        <w:r>
          <w:rPr>
            <w:color w:val="2255A6"/>
            <w:sz w:val="18"/>
            <w:u w:val="single" w:color="2255A6"/>
          </w:rPr>
          <w:t>культур</w:t>
        </w:r>
        <w:r>
          <w:rPr>
            <w:color w:val="2255A6"/>
            <w:spacing w:val="-8"/>
            <w:sz w:val="18"/>
            <w:u w:val="single" w:color="2255A6"/>
          </w:rPr>
          <w:t> </w:t>
        </w:r>
        <w:r>
          <w:rPr>
            <w:color w:val="2255A6"/>
            <w:sz w:val="18"/>
            <w:u w:val="single" w:color="2255A6"/>
          </w:rPr>
          <w:t>как</w:t>
        </w:r>
        <w:r>
          <w:rPr>
            <w:color w:val="2255A6"/>
            <w:spacing w:val="-8"/>
            <w:sz w:val="18"/>
            <w:u w:val="single" w:color="2255A6"/>
          </w:rPr>
          <w:t> </w:t>
        </w:r>
        <w:r>
          <w:rPr>
            <w:color w:val="2255A6"/>
            <w:sz w:val="18"/>
            <w:u w:val="single" w:color="2255A6"/>
          </w:rPr>
          <w:t>технология</w:t>
        </w:r>
        <w:r>
          <w:rPr>
            <w:color w:val="2255A6"/>
            <w:spacing w:val="-8"/>
            <w:sz w:val="18"/>
            <w:u w:val="single" w:color="2255A6"/>
          </w:rPr>
          <w:t> </w:t>
        </w:r>
        <w:r>
          <w:rPr>
            <w:color w:val="2255A6"/>
            <w:sz w:val="18"/>
            <w:u w:val="single" w:color="2255A6"/>
          </w:rPr>
          <w:t>культурной</w:t>
        </w:r>
        <w:r>
          <w:rPr>
            <w:color w:val="2255A6"/>
            <w:spacing w:val="-8"/>
            <w:sz w:val="18"/>
            <w:u w:val="single" w:color="2255A6"/>
          </w:rPr>
          <w:t> </w:t>
        </w:r>
        <w:r>
          <w:rPr>
            <w:color w:val="2255A6"/>
            <w:spacing w:val="-2"/>
            <w:sz w:val="18"/>
            <w:u w:val="single" w:color="2255A6"/>
          </w:rPr>
          <w:t>адаптации</w:t>
        </w:r>
        <w:r>
          <w:rPr>
            <w:color w:val="2255A6"/>
            <w:sz w:val="18"/>
          </w:rPr>
          <w:tab/>
        </w:r>
        <w:r>
          <w:rPr>
            <w:color w:val="231F20"/>
            <w:spacing w:val="-5"/>
            <w:sz w:val="18"/>
          </w:rPr>
          <w:t>132</w:t>
        </w:r>
      </w:hyperlink>
    </w:p>
    <w:p>
      <w:pPr>
        <w:pStyle w:val="ListParagraph"/>
        <w:numPr>
          <w:ilvl w:val="2"/>
          <w:numId w:val="37"/>
        </w:numPr>
        <w:tabs>
          <w:tab w:pos="830" w:val="left" w:leader="none"/>
          <w:tab w:pos="7091" w:val="left" w:leader="dot"/>
        </w:tabs>
        <w:spacing w:line="240" w:lineRule="auto" w:before="60" w:after="0"/>
        <w:ind w:left="830" w:right="0" w:hanging="405"/>
        <w:jc w:val="left"/>
        <w:rPr>
          <w:sz w:val="18"/>
        </w:rPr>
      </w:pPr>
      <w:hyperlink w:history="true" w:anchor="_bookmark93">
        <w:r>
          <w:rPr>
            <w:color w:val="2255A6"/>
            <w:spacing w:val="-3"/>
            <w:sz w:val="18"/>
            <w:u w:val="single" w:color="2255A6"/>
          </w:rPr>
          <w:t> </w:t>
        </w:r>
        <w:r>
          <w:rPr>
            <w:color w:val="2255A6"/>
            <w:sz w:val="18"/>
            <w:u w:val="single" w:color="2255A6"/>
          </w:rPr>
          <w:t>​Театральная</w:t>
        </w:r>
        <w:r>
          <w:rPr>
            <w:color w:val="2255A6"/>
            <w:spacing w:val="-3"/>
            <w:sz w:val="18"/>
            <w:u w:val="single" w:color="2255A6"/>
          </w:rPr>
          <w:t> </w:t>
        </w:r>
        <w:r>
          <w:rPr>
            <w:color w:val="2255A6"/>
            <w:sz w:val="18"/>
            <w:u w:val="single" w:color="2255A6"/>
          </w:rPr>
          <w:t>деятельность</w:t>
        </w:r>
        <w:r>
          <w:rPr>
            <w:color w:val="2255A6"/>
            <w:spacing w:val="-3"/>
            <w:sz w:val="18"/>
            <w:u w:val="single" w:color="2255A6"/>
          </w:rPr>
          <w:t> </w:t>
        </w:r>
        <w:r>
          <w:rPr>
            <w:color w:val="2255A6"/>
            <w:sz w:val="18"/>
            <w:u w:val="single" w:color="2255A6"/>
          </w:rPr>
          <w:t>как</w:t>
        </w:r>
        <w:r>
          <w:rPr>
            <w:color w:val="2255A6"/>
            <w:spacing w:val="-3"/>
            <w:sz w:val="18"/>
            <w:u w:val="single" w:color="2255A6"/>
          </w:rPr>
          <w:t> </w:t>
        </w:r>
        <w:r>
          <w:rPr>
            <w:color w:val="2255A6"/>
            <w:sz w:val="18"/>
            <w:u w:val="single" w:color="2255A6"/>
          </w:rPr>
          <w:t>технология</w:t>
        </w:r>
        <w:r>
          <w:rPr>
            <w:color w:val="2255A6"/>
            <w:spacing w:val="-3"/>
            <w:sz w:val="18"/>
            <w:u w:val="single" w:color="2255A6"/>
          </w:rPr>
          <w:t> </w:t>
        </w:r>
        <w:r>
          <w:rPr>
            <w:color w:val="2255A6"/>
            <w:sz w:val="18"/>
            <w:u w:val="single" w:color="2255A6"/>
          </w:rPr>
          <w:t>работы</w:t>
        </w:r>
        <w:r>
          <w:rPr>
            <w:color w:val="2255A6"/>
            <w:spacing w:val="-3"/>
            <w:sz w:val="18"/>
            <w:u w:val="single" w:color="2255A6"/>
          </w:rPr>
          <w:t> </w:t>
        </w:r>
        <w:r>
          <w:rPr>
            <w:color w:val="2255A6"/>
            <w:sz w:val="18"/>
            <w:u w:val="single" w:color="2255A6"/>
          </w:rPr>
          <w:t>с</w:t>
        </w:r>
        <w:r>
          <w:rPr>
            <w:color w:val="2255A6"/>
            <w:spacing w:val="-3"/>
            <w:sz w:val="18"/>
            <w:u w:val="single" w:color="2255A6"/>
          </w:rPr>
          <w:t> </w:t>
        </w:r>
        <w:r>
          <w:rPr>
            <w:color w:val="2255A6"/>
            <w:sz w:val="18"/>
            <w:u w:val="single" w:color="2255A6"/>
          </w:rPr>
          <w:t>подростками-</w:t>
        </w:r>
        <w:r>
          <w:rPr>
            <w:color w:val="2255A6"/>
            <w:spacing w:val="-2"/>
            <w:sz w:val="18"/>
            <w:u w:val="single" w:color="2255A6"/>
          </w:rPr>
          <w:t>мигрантами</w:t>
        </w:r>
        <w:r>
          <w:rPr>
            <w:color w:val="2255A6"/>
            <w:sz w:val="18"/>
          </w:rPr>
          <w:tab/>
        </w:r>
        <w:r>
          <w:rPr>
            <w:color w:val="231F20"/>
            <w:spacing w:val="-5"/>
            <w:sz w:val="18"/>
          </w:rPr>
          <w:t>137</w:t>
        </w:r>
      </w:hyperlink>
    </w:p>
    <w:p>
      <w:pPr>
        <w:pStyle w:val="ListParagraph"/>
        <w:numPr>
          <w:ilvl w:val="2"/>
          <w:numId w:val="37"/>
        </w:numPr>
        <w:tabs>
          <w:tab w:pos="825" w:val="left" w:leader="none"/>
        </w:tabs>
        <w:spacing w:line="240" w:lineRule="auto" w:before="60" w:after="0"/>
        <w:ind w:left="825" w:right="0" w:hanging="400"/>
        <w:jc w:val="left"/>
        <w:rPr>
          <w:sz w:val="18"/>
        </w:rPr>
      </w:pPr>
      <w:hyperlink w:history="true" w:anchor="_bookmark66">
        <w:r>
          <w:rPr>
            <w:color w:val="2255A6"/>
            <w:sz w:val="18"/>
            <w:u w:val="single" w:color="2255A6"/>
          </w:rPr>
          <w:t> </w:t>
        </w:r>
        <w:r>
          <w:rPr>
            <w:color w:val="2255A6"/>
            <w:spacing w:val="-2"/>
            <w:sz w:val="18"/>
            <w:u w:val="single" w:color="2255A6"/>
          </w:rPr>
          <w:t>Креативные</w:t>
        </w:r>
        <w:r>
          <w:rPr>
            <w:color w:val="2255A6"/>
            <w:sz w:val="18"/>
            <w:u w:val="single" w:color="2255A6"/>
          </w:rPr>
          <w:t> </w:t>
        </w:r>
        <w:r>
          <w:rPr>
            <w:color w:val="2255A6"/>
            <w:spacing w:val="-2"/>
            <w:sz w:val="18"/>
            <w:u w:val="single" w:color="2255A6"/>
          </w:rPr>
          <w:t>коммуникативные</w:t>
        </w:r>
        <w:r>
          <w:rPr>
            <w:color w:val="2255A6"/>
            <w:spacing w:val="1"/>
            <w:sz w:val="18"/>
            <w:u w:val="single" w:color="2255A6"/>
          </w:rPr>
          <w:t> </w:t>
        </w:r>
        <w:r>
          <w:rPr>
            <w:color w:val="2255A6"/>
            <w:spacing w:val="-2"/>
            <w:sz w:val="18"/>
            <w:u w:val="single" w:color="2255A6"/>
          </w:rPr>
          <w:t>технологии</w:t>
        </w:r>
        <w:r>
          <w:rPr>
            <w:color w:val="2255A6"/>
            <w:sz w:val="18"/>
            <w:u w:val="single" w:color="2255A6"/>
          </w:rPr>
          <w:t> </w:t>
        </w:r>
        <w:r>
          <w:rPr>
            <w:color w:val="2255A6"/>
            <w:spacing w:val="-2"/>
            <w:sz w:val="18"/>
            <w:u w:val="single" w:color="2255A6"/>
          </w:rPr>
          <w:t>в</w:t>
        </w:r>
        <w:r>
          <w:rPr>
            <w:color w:val="2255A6"/>
            <w:spacing w:val="1"/>
            <w:sz w:val="18"/>
            <w:u w:val="single" w:color="2255A6"/>
          </w:rPr>
          <w:t> </w:t>
        </w:r>
        <w:r>
          <w:rPr>
            <w:color w:val="2255A6"/>
            <w:spacing w:val="-2"/>
            <w:sz w:val="18"/>
            <w:u w:val="single" w:color="2255A6"/>
          </w:rPr>
          <w:t>развитии</w:t>
        </w:r>
        <w:r>
          <w:rPr>
            <w:color w:val="2255A6"/>
            <w:sz w:val="18"/>
            <w:u w:val="single" w:color="2255A6"/>
          </w:rPr>
          <w:t> </w:t>
        </w:r>
        <w:r>
          <w:rPr>
            <w:color w:val="2255A6"/>
            <w:spacing w:val="-2"/>
            <w:sz w:val="18"/>
            <w:u w:val="single" w:color="2255A6"/>
          </w:rPr>
          <w:t>ценностей</w:t>
        </w:r>
        <w:r>
          <w:rPr>
            <w:color w:val="2255A6"/>
            <w:sz w:val="18"/>
            <w:u w:val="single" w:color="2255A6"/>
          </w:rPr>
          <w:t> </w:t>
        </w:r>
        <w:r>
          <w:rPr>
            <w:color w:val="2255A6"/>
            <w:spacing w:val="-2"/>
            <w:sz w:val="18"/>
            <w:u w:val="single" w:color="2255A6"/>
          </w:rPr>
          <w:t>культуры</w:t>
        </w:r>
        <w:r>
          <w:rPr>
            <w:color w:val="2255A6"/>
            <w:spacing w:val="1"/>
            <w:sz w:val="18"/>
            <w:u w:val="single" w:color="2255A6"/>
          </w:rPr>
          <w:t> </w:t>
        </w:r>
        <w:r>
          <w:rPr>
            <w:color w:val="2255A6"/>
            <w:spacing w:val="-2"/>
            <w:sz w:val="18"/>
            <w:u w:val="single" w:color="2255A6"/>
          </w:rPr>
          <w:t>мира</w:t>
        </w:r>
        <w:r>
          <w:rPr>
            <w:color w:val="2255A6"/>
            <w:spacing w:val="61"/>
            <w:sz w:val="18"/>
          </w:rPr>
          <w:t> </w:t>
        </w:r>
        <w:r>
          <w:rPr>
            <w:color w:val="231F20"/>
            <w:spacing w:val="-5"/>
            <w:sz w:val="18"/>
          </w:rPr>
          <w:t>147</w:t>
        </w:r>
      </w:hyperlink>
    </w:p>
    <w:p>
      <w:pPr>
        <w:pStyle w:val="ListParagraph"/>
        <w:numPr>
          <w:ilvl w:val="2"/>
          <w:numId w:val="37"/>
        </w:numPr>
        <w:tabs>
          <w:tab w:pos="830" w:val="left" w:leader="none"/>
        </w:tabs>
        <w:spacing w:line="240" w:lineRule="auto" w:before="60" w:after="0"/>
        <w:ind w:left="830" w:right="0" w:hanging="405"/>
        <w:jc w:val="left"/>
        <w:rPr>
          <w:sz w:val="18"/>
        </w:rPr>
      </w:pPr>
      <w:hyperlink w:history="true" w:anchor="_bookmark67">
        <w:r>
          <w:rPr>
            <w:color w:val="2255A6"/>
            <w:spacing w:val="-5"/>
            <w:sz w:val="18"/>
            <w:u w:val="single" w:color="2255A6"/>
          </w:rPr>
          <w:t> </w:t>
        </w:r>
        <w:r>
          <w:rPr>
            <w:color w:val="2255A6"/>
            <w:sz w:val="18"/>
            <w:u w:val="single" w:color="2255A6"/>
          </w:rPr>
          <w:t>​Школьная</w:t>
        </w:r>
        <w:r>
          <w:rPr>
            <w:color w:val="2255A6"/>
            <w:spacing w:val="-5"/>
            <w:sz w:val="18"/>
            <w:u w:val="single" w:color="2255A6"/>
          </w:rPr>
          <w:t> </w:t>
        </w:r>
        <w:r>
          <w:rPr>
            <w:color w:val="2255A6"/>
            <w:sz w:val="18"/>
            <w:u w:val="single" w:color="2255A6"/>
          </w:rPr>
          <w:t>служба</w:t>
        </w:r>
        <w:r>
          <w:rPr>
            <w:color w:val="2255A6"/>
            <w:spacing w:val="-5"/>
            <w:sz w:val="18"/>
            <w:u w:val="single" w:color="2255A6"/>
          </w:rPr>
          <w:t> </w:t>
        </w:r>
        <w:r>
          <w:rPr>
            <w:color w:val="2255A6"/>
            <w:sz w:val="18"/>
            <w:u w:val="single" w:color="2255A6"/>
          </w:rPr>
          <w:t>примирения</w:t>
        </w:r>
        <w:r>
          <w:rPr>
            <w:color w:val="2255A6"/>
            <w:spacing w:val="-5"/>
            <w:sz w:val="18"/>
            <w:u w:val="single" w:color="2255A6"/>
          </w:rPr>
          <w:t> </w:t>
        </w:r>
        <w:r>
          <w:rPr>
            <w:color w:val="2255A6"/>
            <w:sz w:val="18"/>
            <w:u w:val="single" w:color="2255A6"/>
          </w:rPr>
          <w:t>как</w:t>
        </w:r>
        <w:r>
          <w:rPr>
            <w:color w:val="2255A6"/>
            <w:spacing w:val="-5"/>
            <w:sz w:val="18"/>
            <w:u w:val="single" w:color="2255A6"/>
          </w:rPr>
          <w:t> </w:t>
        </w:r>
        <w:r>
          <w:rPr>
            <w:color w:val="2255A6"/>
            <w:sz w:val="18"/>
            <w:u w:val="single" w:color="2255A6"/>
          </w:rPr>
          <w:t>средство</w:t>
        </w:r>
        <w:r>
          <w:rPr>
            <w:color w:val="2255A6"/>
            <w:spacing w:val="-5"/>
            <w:sz w:val="18"/>
            <w:u w:val="single" w:color="2255A6"/>
          </w:rPr>
          <w:t> </w:t>
        </w:r>
        <w:r>
          <w:rPr>
            <w:color w:val="2255A6"/>
            <w:spacing w:val="-2"/>
            <w:sz w:val="18"/>
            <w:u w:val="single" w:color="2255A6"/>
          </w:rPr>
          <w:t>предотвращения</w:t>
        </w:r>
      </w:hyperlink>
    </w:p>
    <w:p>
      <w:pPr>
        <w:tabs>
          <w:tab w:pos="7091" w:val="left" w:leader="dot"/>
        </w:tabs>
        <w:spacing w:before="3"/>
        <w:ind w:left="425" w:right="0" w:firstLine="0"/>
        <w:jc w:val="left"/>
        <w:rPr>
          <w:sz w:val="18"/>
        </w:rPr>
      </w:pPr>
      <w:hyperlink w:history="true" w:anchor="_bookmark67">
        <w:r>
          <w:rPr>
            <w:color w:val="2255A6"/>
            <w:sz w:val="18"/>
            <w:u w:val="single" w:color="2255A6"/>
          </w:rPr>
          <w:t>и</w:t>
        </w:r>
        <w:r>
          <w:rPr>
            <w:color w:val="2255A6"/>
            <w:spacing w:val="-8"/>
            <w:sz w:val="18"/>
            <w:u w:val="single" w:color="2255A6"/>
          </w:rPr>
          <w:t> </w:t>
        </w:r>
        <w:r>
          <w:rPr>
            <w:color w:val="2255A6"/>
            <w:sz w:val="18"/>
            <w:u w:val="single" w:color="2255A6"/>
          </w:rPr>
          <w:t>разрешения</w:t>
        </w:r>
        <w:r>
          <w:rPr>
            <w:color w:val="2255A6"/>
            <w:spacing w:val="-7"/>
            <w:sz w:val="18"/>
            <w:u w:val="single" w:color="2255A6"/>
          </w:rPr>
          <w:t> </w:t>
        </w:r>
        <w:r>
          <w:rPr>
            <w:color w:val="2255A6"/>
            <w:sz w:val="18"/>
            <w:u w:val="single" w:color="2255A6"/>
          </w:rPr>
          <w:t>межкультурных</w:t>
        </w:r>
        <w:r>
          <w:rPr>
            <w:color w:val="2255A6"/>
            <w:spacing w:val="-7"/>
            <w:sz w:val="18"/>
            <w:u w:val="single" w:color="2255A6"/>
          </w:rPr>
          <w:t> </w:t>
        </w:r>
        <w:r>
          <w:rPr>
            <w:color w:val="2255A6"/>
            <w:spacing w:val="-2"/>
            <w:sz w:val="18"/>
            <w:u w:val="single" w:color="2255A6"/>
          </w:rPr>
          <w:t>конфликтов</w:t>
        </w:r>
        <w:r>
          <w:rPr>
            <w:color w:val="2255A6"/>
            <w:sz w:val="18"/>
          </w:rPr>
          <w:tab/>
        </w:r>
        <w:r>
          <w:rPr>
            <w:color w:val="231F20"/>
            <w:spacing w:val="-5"/>
            <w:sz w:val="18"/>
          </w:rPr>
          <w:t>153</w:t>
        </w:r>
      </w:hyperlink>
    </w:p>
    <w:p>
      <w:pPr>
        <w:pStyle w:val="ListParagraph"/>
        <w:numPr>
          <w:ilvl w:val="2"/>
          <w:numId w:val="37"/>
        </w:numPr>
        <w:tabs>
          <w:tab w:pos="830" w:val="left" w:leader="none"/>
        </w:tabs>
        <w:spacing w:line="240" w:lineRule="auto" w:before="59" w:after="0"/>
        <w:ind w:left="830" w:right="0" w:hanging="405"/>
        <w:jc w:val="left"/>
        <w:rPr>
          <w:sz w:val="18"/>
        </w:rPr>
      </w:pPr>
      <w:hyperlink w:history="true" w:anchor="_bookmark68">
        <w:r>
          <w:rPr>
            <w:color w:val="2255A6"/>
            <w:spacing w:val="-5"/>
            <w:sz w:val="18"/>
            <w:u w:val="single" w:color="2255A6"/>
          </w:rPr>
          <w:t> </w:t>
        </w:r>
        <w:r>
          <w:rPr>
            <w:color w:val="2255A6"/>
            <w:sz w:val="18"/>
            <w:u w:val="single" w:color="2255A6"/>
          </w:rPr>
          <w:t>​«Живая</w:t>
        </w:r>
        <w:r>
          <w:rPr>
            <w:color w:val="2255A6"/>
            <w:spacing w:val="-4"/>
            <w:sz w:val="18"/>
            <w:u w:val="single" w:color="2255A6"/>
          </w:rPr>
          <w:t> </w:t>
        </w:r>
        <w:r>
          <w:rPr>
            <w:color w:val="2255A6"/>
            <w:sz w:val="18"/>
            <w:u w:val="single" w:color="2255A6"/>
          </w:rPr>
          <w:t>библиотека»</w:t>
        </w:r>
        <w:r>
          <w:rPr>
            <w:color w:val="2255A6"/>
            <w:spacing w:val="-5"/>
            <w:sz w:val="18"/>
            <w:u w:val="single" w:color="2255A6"/>
          </w:rPr>
          <w:t> </w:t>
        </w:r>
        <w:r>
          <w:rPr>
            <w:color w:val="2255A6"/>
            <w:sz w:val="18"/>
            <w:u w:val="single" w:color="2255A6"/>
          </w:rPr>
          <w:t>как</w:t>
        </w:r>
        <w:r>
          <w:rPr>
            <w:color w:val="2255A6"/>
            <w:spacing w:val="-4"/>
            <w:sz w:val="18"/>
            <w:u w:val="single" w:color="2255A6"/>
          </w:rPr>
          <w:t> </w:t>
        </w:r>
        <w:r>
          <w:rPr>
            <w:color w:val="2255A6"/>
            <w:sz w:val="18"/>
            <w:u w:val="single" w:color="2255A6"/>
          </w:rPr>
          <w:t>универсальная</w:t>
        </w:r>
        <w:r>
          <w:rPr>
            <w:color w:val="2255A6"/>
            <w:spacing w:val="-4"/>
            <w:sz w:val="18"/>
            <w:u w:val="single" w:color="2255A6"/>
          </w:rPr>
          <w:t> </w:t>
        </w:r>
        <w:r>
          <w:rPr>
            <w:color w:val="2255A6"/>
            <w:spacing w:val="-2"/>
            <w:sz w:val="18"/>
            <w:u w:val="single" w:color="2255A6"/>
          </w:rPr>
          <w:t>технология</w:t>
        </w:r>
      </w:hyperlink>
    </w:p>
    <w:p>
      <w:pPr>
        <w:tabs>
          <w:tab w:pos="7091" w:val="left" w:leader="dot"/>
        </w:tabs>
        <w:spacing w:before="3"/>
        <w:ind w:left="425" w:right="0" w:firstLine="0"/>
        <w:jc w:val="left"/>
        <w:rPr>
          <w:sz w:val="18"/>
        </w:rPr>
      </w:pPr>
      <w:hyperlink w:history="true" w:anchor="_bookmark68">
        <w:r>
          <w:rPr>
            <w:color w:val="2255A6"/>
            <w:sz w:val="18"/>
            <w:u w:val="single" w:color="2255A6"/>
          </w:rPr>
          <w:t>снижения</w:t>
        </w:r>
        <w:r>
          <w:rPr>
            <w:color w:val="2255A6"/>
            <w:spacing w:val="-3"/>
            <w:sz w:val="18"/>
            <w:u w:val="single" w:color="2255A6"/>
          </w:rPr>
          <w:t> </w:t>
        </w:r>
        <w:r>
          <w:rPr>
            <w:color w:val="2255A6"/>
            <w:spacing w:val="-2"/>
            <w:sz w:val="18"/>
            <w:u w:val="single" w:color="2255A6"/>
          </w:rPr>
          <w:t>предубежденности</w:t>
        </w:r>
        <w:r>
          <w:rPr>
            <w:color w:val="2255A6"/>
            <w:sz w:val="18"/>
          </w:rPr>
          <w:tab/>
        </w:r>
        <w:r>
          <w:rPr>
            <w:color w:val="231F20"/>
            <w:spacing w:val="-5"/>
            <w:sz w:val="18"/>
          </w:rPr>
          <w:t>160</w:t>
        </w:r>
      </w:hyperlink>
    </w:p>
    <w:p>
      <w:pPr>
        <w:pStyle w:val="ListParagraph"/>
        <w:numPr>
          <w:ilvl w:val="2"/>
          <w:numId w:val="37"/>
        </w:numPr>
        <w:tabs>
          <w:tab w:pos="830" w:val="left" w:leader="none"/>
          <w:tab w:pos="7091" w:val="left" w:leader="dot"/>
        </w:tabs>
        <w:spacing w:line="240" w:lineRule="auto" w:before="60" w:after="0"/>
        <w:ind w:left="830" w:right="0" w:hanging="405"/>
        <w:jc w:val="left"/>
        <w:rPr>
          <w:sz w:val="18"/>
        </w:rPr>
      </w:pPr>
      <w:hyperlink w:history="true" w:anchor="_bookmark69">
        <w:r>
          <w:rPr>
            <w:color w:val="2255A6"/>
            <w:spacing w:val="-12"/>
            <w:sz w:val="18"/>
            <w:u w:val="single" w:color="2255A6"/>
          </w:rPr>
          <w:t> </w:t>
        </w:r>
        <w:r>
          <w:rPr>
            <w:color w:val="2255A6"/>
            <w:sz w:val="18"/>
            <w:u w:val="single" w:color="2255A6"/>
          </w:rPr>
          <w:t>​Интеграционное</w:t>
        </w:r>
        <w:r>
          <w:rPr>
            <w:color w:val="2255A6"/>
            <w:spacing w:val="-9"/>
            <w:sz w:val="18"/>
            <w:u w:val="single" w:color="2255A6"/>
          </w:rPr>
          <w:t> </w:t>
        </w:r>
        <w:r>
          <w:rPr>
            <w:color w:val="2255A6"/>
            <w:sz w:val="18"/>
            <w:u w:val="single" w:color="2255A6"/>
          </w:rPr>
          <w:t>межкультурное</w:t>
        </w:r>
        <w:r>
          <w:rPr>
            <w:color w:val="2255A6"/>
            <w:spacing w:val="-9"/>
            <w:sz w:val="18"/>
            <w:u w:val="single" w:color="2255A6"/>
          </w:rPr>
          <w:t> </w:t>
        </w:r>
        <w:r>
          <w:rPr>
            <w:color w:val="2255A6"/>
            <w:sz w:val="18"/>
            <w:u w:val="single" w:color="2255A6"/>
          </w:rPr>
          <w:t>краеведение</w:t>
        </w:r>
        <w:r>
          <w:rPr>
            <w:color w:val="2255A6"/>
            <w:spacing w:val="-9"/>
            <w:sz w:val="18"/>
            <w:u w:val="single" w:color="2255A6"/>
          </w:rPr>
          <w:t> </w:t>
        </w:r>
        <w:r>
          <w:rPr>
            <w:color w:val="2255A6"/>
            <w:sz w:val="18"/>
            <w:u w:val="single" w:color="2255A6"/>
          </w:rPr>
          <w:t>в</w:t>
        </w:r>
        <w:r>
          <w:rPr>
            <w:color w:val="2255A6"/>
            <w:spacing w:val="-9"/>
            <w:sz w:val="18"/>
            <w:u w:val="single" w:color="2255A6"/>
          </w:rPr>
          <w:t> </w:t>
        </w:r>
        <w:r>
          <w:rPr>
            <w:color w:val="2255A6"/>
            <w:sz w:val="18"/>
            <w:u w:val="single" w:color="2255A6"/>
          </w:rPr>
          <w:t>поликультурном</w:t>
        </w:r>
        <w:r>
          <w:rPr>
            <w:color w:val="2255A6"/>
            <w:spacing w:val="-9"/>
            <w:sz w:val="18"/>
            <w:u w:val="single" w:color="2255A6"/>
          </w:rPr>
          <w:t> </w:t>
        </w:r>
        <w:r>
          <w:rPr>
            <w:color w:val="2255A6"/>
            <w:spacing w:val="-2"/>
            <w:sz w:val="18"/>
            <w:u w:val="single" w:color="2255A6"/>
          </w:rPr>
          <w:t>классе</w:t>
        </w:r>
        <w:r>
          <w:rPr>
            <w:color w:val="2255A6"/>
            <w:sz w:val="18"/>
          </w:rPr>
          <w:tab/>
        </w:r>
        <w:r>
          <w:rPr>
            <w:color w:val="231F20"/>
            <w:spacing w:val="-5"/>
            <w:sz w:val="18"/>
          </w:rPr>
          <w:t>166</w:t>
        </w:r>
      </w:hyperlink>
    </w:p>
    <w:p>
      <w:pPr>
        <w:pStyle w:val="ListParagraph"/>
        <w:numPr>
          <w:ilvl w:val="1"/>
          <w:numId w:val="37"/>
        </w:numPr>
        <w:tabs>
          <w:tab w:pos="411" w:val="left" w:leader="none"/>
        </w:tabs>
        <w:spacing w:line="240" w:lineRule="auto" w:before="116" w:after="0"/>
        <w:ind w:left="411" w:right="0" w:hanging="270"/>
        <w:jc w:val="left"/>
        <w:rPr>
          <w:sz w:val="18"/>
        </w:rPr>
      </w:pPr>
      <w:hyperlink w:history="true" w:anchor="_bookmark70">
        <w:r>
          <w:rPr>
            <w:color w:val="2255A6"/>
            <w:spacing w:val="-5"/>
            <w:sz w:val="18"/>
            <w:u w:val="single" w:color="2255A6"/>
          </w:rPr>
          <w:t> </w:t>
        </w:r>
        <w:r>
          <w:rPr>
            <w:color w:val="2255A6"/>
            <w:sz w:val="18"/>
            <w:u w:val="single" w:color="2255A6"/>
          </w:rPr>
          <w:t>​Методы</w:t>
        </w:r>
        <w:r>
          <w:rPr>
            <w:color w:val="2255A6"/>
            <w:spacing w:val="-4"/>
            <w:sz w:val="18"/>
            <w:u w:val="single" w:color="2255A6"/>
          </w:rPr>
          <w:t> </w:t>
        </w:r>
        <w:r>
          <w:rPr>
            <w:color w:val="2255A6"/>
            <w:sz w:val="18"/>
            <w:u w:val="single" w:color="2255A6"/>
          </w:rPr>
          <w:t>учебной</w:t>
        </w:r>
        <w:r>
          <w:rPr>
            <w:color w:val="2255A6"/>
            <w:spacing w:val="-5"/>
            <w:sz w:val="18"/>
            <w:u w:val="single" w:color="2255A6"/>
          </w:rPr>
          <w:t> </w:t>
        </w:r>
        <w:r>
          <w:rPr>
            <w:color w:val="2255A6"/>
            <w:sz w:val="18"/>
            <w:u w:val="single" w:color="2255A6"/>
          </w:rPr>
          <w:t>работы</w:t>
        </w:r>
        <w:r>
          <w:rPr>
            <w:color w:val="2255A6"/>
            <w:spacing w:val="-4"/>
            <w:sz w:val="18"/>
            <w:u w:val="single" w:color="2255A6"/>
          </w:rPr>
          <w:t> </w:t>
        </w:r>
        <w:r>
          <w:rPr>
            <w:color w:val="2255A6"/>
            <w:sz w:val="18"/>
            <w:u w:val="single" w:color="2255A6"/>
          </w:rPr>
          <w:t>для</w:t>
        </w:r>
        <w:r>
          <w:rPr>
            <w:color w:val="2255A6"/>
            <w:spacing w:val="-4"/>
            <w:sz w:val="18"/>
            <w:u w:val="single" w:color="2255A6"/>
          </w:rPr>
          <w:t> </w:t>
        </w:r>
        <w:r>
          <w:rPr>
            <w:color w:val="2255A6"/>
            <w:sz w:val="18"/>
            <w:u w:val="single" w:color="2255A6"/>
          </w:rPr>
          <w:t>адаптации</w:t>
        </w:r>
        <w:r>
          <w:rPr>
            <w:color w:val="2255A6"/>
            <w:spacing w:val="-5"/>
            <w:sz w:val="18"/>
            <w:u w:val="single" w:color="2255A6"/>
          </w:rPr>
          <w:t> </w:t>
        </w:r>
        <w:r>
          <w:rPr>
            <w:color w:val="2255A6"/>
            <w:sz w:val="18"/>
            <w:u w:val="single" w:color="2255A6"/>
          </w:rPr>
          <w:t>детей</w:t>
        </w:r>
        <w:r>
          <w:rPr>
            <w:color w:val="2255A6"/>
            <w:spacing w:val="-5"/>
            <w:sz w:val="18"/>
            <w:u w:val="single" w:color="2255A6"/>
          </w:rPr>
          <w:t> </w:t>
        </w:r>
        <w:r>
          <w:rPr>
            <w:color w:val="2255A6"/>
            <w:spacing w:val="-2"/>
            <w:sz w:val="18"/>
            <w:u w:val="single" w:color="2255A6"/>
          </w:rPr>
          <w:t>иностранных</w:t>
        </w:r>
      </w:hyperlink>
    </w:p>
    <w:p>
      <w:pPr>
        <w:tabs>
          <w:tab w:pos="7091" w:val="left" w:leader="dot"/>
        </w:tabs>
        <w:spacing w:before="3"/>
        <w:ind w:left="141" w:right="0" w:firstLine="0"/>
        <w:jc w:val="left"/>
        <w:rPr>
          <w:sz w:val="18"/>
        </w:rPr>
      </w:pPr>
      <w:hyperlink w:history="true" w:anchor="_bookmark70">
        <w:r>
          <w:rPr>
            <w:color w:val="2255A6"/>
            <w:sz w:val="18"/>
            <w:u w:val="single" w:color="2255A6"/>
          </w:rPr>
          <w:t>граждан</w:t>
        </w:r>
        <w:r>
          <w:rPr>
            <w:color w:val="2255A6"/>
            <w:spacing w:val="-6"/>
            <w:sz w:val="18"/>
            <w:u w:val="single" w:color="2255A6"/>
          </w:rPr>
          <w:t> </w:t>
        </w:r>
        <w:r>
          <w:rPr>
            <w:color w:val="2255A6"/>
            <w:sz w:val="18"/>
            <w:u w:val="single" w:color="2255A6"/>
          </w:rPr>
          <w:t>во</w:t>
        </w:r>
        <w:r>
          <w:rPr>
            <w:color w:val="2255A6"/>
            <w:spacing w:val="-4"/>
            <w:sz w:val="18"/>
            <w:u w:val="single" w:color="2255A6"/>
          </w:rPr>
          <w:t> </w:t>
        </w:r>
        <w:r>
          <w:rPr>
            <w:color w:val="2255A6"/>
            <w:sz w:val="18"/>
            <w:u w:val="single" w:color="2255A6"/>
          </w:rPr>
          <w:t>взаимодействии</w:t>
        </w:r>
        <w:r>
          <w:rPr>
            <w:color w:val="2255A6"/>
            <w:spacing w:val="-6"/>
            <w:sz w:val="18"/>
            <w:u w:val="single" w:color="2255A6"/>
          </w:rPr>
          <w:t> </w:t>
        </w:r>
        <w:r>
          <w:rPr>
            <w:color w:val="2255A6"/>
            <w:sz w:val="18"/>
            <w:u w:val="single" w:color="2255A6"/>
          </w:rPr>
          <w:t>педагога</w:t>
        </w:r>
        <w:r>
          <w:rPr>
            <w:color w:val="2255A6"/>
            <w:spacing w:val="-4"/>
            <w:sz w:val="18"/>
            <w:u w:val="single" w:color="2255A6"/>
          </w:rPr>
          <w:t> </w:t>
        </w:r>
        <w:r>
          <w:rPr>
            <w:color w:val="2255A6"/>
            <w:sz w:val="18"/>
            <w:u w:val="single" w:color="2255A6"/>
          </w:rPr>
          <w:t>с</w:t>
        </w:r>
        <w:r>
          <w:rPr>
            <w:color w:val="2255A6"/>
            <w:spacing w:val="-5"/>
            <w:sz w:val="18"/>
            <w:u w:val="single" w:color="2255A6"/>
          </w:rPr>
          <w:t> </w:t>
        </w:r>
        <w:r>
          <w:rPr>
            <w:color w:val="2255A6"/>
            <w:sz w:val="18"/>
            <w:u w:val="single" w:color="2255A6"/>
          </w:rPr>
          <w:t>ученическим</w:t>
        </w:r>
        <w:r>
          <w:rPr>
            <w:color w:val="2255A6"/>
            <w:spacing w:val="-4"/>
            <w:sz w:val="18"/>
            <w:u w:val="single" w:color="2255A6"/>
          </w:rPr>
          <w:t> </w:t>
        </w:r>
        <w:r>
          <w:rPr>
            <w:color w:val="2255A6"/>
            <w:spacing w:val="-2"/>
            <w:sz w:val="18"/>
            <w:u w:val="single" w:color="2255A6"/>
          </w:rPr>
          <w:t>сообществом</w:t>
        </w:r>
        <w:r>
          <w:rPr>
            <w:color w:val="2255A6"/>
            <w:sz w:val="18"/>
          </w:rPr>
          <w:tab/>
        </w:r>
        <w:r>
          <w:rPr>
            <w:color w:val="231F20"/>
            <w:spacing w:val="-5"/>
            <w:sz w:val="18"/>
          </w:rPr>
          <w:t>176</w:t>
        </w:r>
      </w:hyperlink>
    </w:p>
    <w:p>
      <w:pPr>
        <w:pStyle w:val="ListParagraph"/>
        <w:numPr>
          <w:ilvl w:val="2"/>
          <w:numId w:val="37"/>
        </w:numPr>
        <w:tabs>
          <w:tab w:pos="830" w:val="left" w:leader="none"/>
          <w:tab w:pos="7091" w:val="left" w:leader="dot"/>
        </w:tabs>
        <w:spacing w:line="240" w:lineRule="auto" w:before="60" w:after="0"/>
        <w:ind w:left="830" w:right="0" w:hanging="405"/>
        <w:jc w:val="left"/>
        <w:rPr>
          <w:sz w:val="18"/>
        </w:rPr>
      </w:pPr>
      <w:hyperlink w:history="true" w:anchor="_bookmark70">
        <w:r>
          <w:rPr>
            <w:color w:val="2255A6"/>
            <w:spacing w:val="-11"/>
            <w:sz w:val="18"/>
            <w:u w:val="single" w:color="2255A6"/>
          </w:rPr>
          <w:t> </w:t>
        </w:r>
        <w:r>
          <w:rPr>
            <w:color w:val="2255A6"/>
            <w:sz w:val="18"/>
            <w:u w:val="single" w:color="2255A6"/>
          </w:rPr>
          <w:t>​Школьный</w:t>
        </w:r>
        <w:r>
          <w:rPr>
            <w:color w:val="2255A6"/>
            <w:spacing w:val="-9"/>
            <w:sz w:val="18"/>
            <w:u w:val="single" w:color="2255A6"/>
          </w:rPr>
          <w:t> </w:t>
        </w:r>
        <w:r>
          <w:rPr>
            <w:color w:val="2255A6"/>
            <w:sz w:val="18"/>
            <w:u w:val="single" w:color="2255A6"/>
          </w:rPr>
          <w:t>проект</w:t>
        </w:r>
        <w:r>
          <w:rPr>
            <w:color w:val="2255A6"/>
            <w:spacing w:val="-8"/>
            <w:sz w:val="18"/>
            <w:u w:val="single" w:color="2255A6"/>
          </w:rPr>
          <w:t> </w:t>
        </w:r>
        <w:r>
          <w:rPr>
            <w:color w:val="2255A6"/>
            <w:sz w:val="18"/>
            <w:u w:val="single" w:color="2255A6"/>
          </w:rPr>
          <w:t>в</w:t>
        </w:r>
        <w:r>
          <w:rPr>
            <w:color w:val="2255A6"/>
            <w:spacing w:val="-9"/>
            <w:sz w:val="18"/>
            <w:u w:val="single" w:color="2255A6"/>
          </w:rPr>
          <w:t> </w:t>
        </w:r>
        <w:r>
          <w:rPr>
            <w:color w:val="2255A6"/>
            <w:sz w:val="18"/>
            <w:u w:val="single" w:color="2255A6"/>
          </w:rPr>
          <w:t>формировании</w:t>
        </w:r>
        <w:r>
          <w:rPr>
            <w:color w:val="2255A6"/>
            <w:spacing w:val="-9"/>
            <w:sz w:val="18"/>
            <w:u w:val="single" w:color="2255A6"/>
          </w:rPr>
          <w:t> </w:t>
        </w:r>
        <w:r>
          <w:rPr>
            <w:color w:val="2255A6"/>
            <w:sz w:val="18"/>
            <w:u w:val="single" w:color="2255A6"/>
          </w:rPr>
          <w:t>инклюзивной</w:t>
        </w:r>
        <w:r>
          <w:rPr>
            <w:color w:val="2255A6"/>
            <w:spacing w:val="-9"/>
            <w:sz w:val="18"/>
            <w:u w:val="single" w:color="2255A6"/>
          </w:rPr>
          <w:t> </w:t>
        </w:r>
        <w:r>
          <w:rPr>
            <w:color w:val="2255A6"/>
            <w:sz w:val="18"/>
            <w:u w:val="single" w:color="2255A6"/>
          </w:rPr>
          <w:t>образовательной</w:t>
        </w:r>
        <w:r>
          <w:rPr>
            <w:color w:val="2255A6"/>
            <w:spacing w:val="-9"/>
            <w:sz w:val="18"/>
            <w:u w:val="single" w:color="2255A6"/>
          </w:rPr>
          <w:t> </w:t>
        </w:r>
        <w:r>
          <w:rPr>
            <w:color w:val="2255A6"/>
            <w:spacing w:val="-2"/>
            <w:sz w:val="18"/>
            <w:u w:val="single" w:color="2255A6"/>
          </w:rPr>
          <w:t>среды</w:t>
        </w:r>
        <w:r>
          <w:rPr>
            <w:color w:val="2255A6"/>
            <w:sz w:val="18"/>
          </w:rPr>
          <w:tab/>
        </w:r>
        <w:r>
          <w:rPr>
            <w:color w:val="231F20"/>
            <w:spacing w:val="-5"/>
            <w:sz w:val="18"/>
          </w:rPr>
          <w:t>176</w:t>
        </w:r>
      </w:hyperlink>
    </w:p>
    <w:p>
      <w:pPr>
        <w:pStyle w:val="ListParagraph"/>
        <w:numPr>
          <w:ilvl w:val="2"/>
          <w:numId w:val="37"/>
        </w:numPr>
        <w:tabs>
          <w:tab w:pos="830" w:val="left" w:leader="none"/>
          <w:tab w:pos="7091" w:val="left" w:leader="dot"/>
        </w:tabs>
        <w:spacing w:line="240" w:lineRule="auto" w:before="60" w:after="0"/>
        <w:ind w:left="830" w:right="0" w:hanging="405"/>
        <w:jc w:val="left"/>
        <w:rPr>
          <w:sz w:val="18"/>
        </w:rPr>
      </w:pPr>
      <w:hyperlink w:history="true" w:anchor="_bookmark71">
        <w:r>
          <w:rPr>
            <w:color w:val="2255A6"/>
            <w:spacing w:val="-9"/>
            <w:sz w:val="18"/>
            <w:u w:val="single" w:color="2255A6"/>
          </w:rPr>
          <w:t> </w:t>
        </w:r>
        <w:r>
          <w:rPr>
            <w:color w:val="2255A6"/>
            <w:sz w:val="18"/>
            <w:u w:val="single" w:color="2255A6"/>
          </w:rPr>
          <w:t>​Организация</w:t>
        </w:r>
        <w:r>
          <w:rPr>
            <w:color w:val="2255A6"/>
            <w:spacing w:val="-7"/>
            <w:sz w:val="18"/>
            <w:u w:val="single" w:color="2255A6"/>
          </w:rPr>
          <w:t> </w:t>
        </w:r>
        <w:r>
          <w:rPr>
            <w:color w:val="2255A6"/>
            <w:sz w:val="18"/>
            <w:u w:val="single" w:color="2255A6"/>
          </w:rPr>
          <w:t>групповой</w:t>
        </w:r>
        <w:r>
          <w:rPr>
            <w:color w:val="2255A6"/>
            <w:spacing w:val="-8"/>
            <w:sz w:val="18"/>
            <w:u w:val="single" w:color="2255A6"/>
          </w:rPr>
          <w:t> </w:t>
        </w:r>
        <w:r>
          <w:rPr>
            <w:color w:val="2255A6"/>
            <w:sz w:val="18"/>
            <w:u w:val="single" w:color="2255A6"/>
          </w:rPr>
          <w:t>работы</w:t>
        </w:r>
        <w:r>
          <w:rPr>
            <w:color w:val="2255A6"/>
            <w:spacing w:val="-6"/>
            <w:sz w:val="18"/>
            <w:u w:val="single" w:color="2255A6"/>
          </w:rPr>
          <w:t> </w:t>
        </w:r>
        <w:r>
          <w:rPr>
            <w:color w:val="2255A6"/>
            <w:sz w:val="18"/>
            <w:u w:val="single" w:color="2255A6"/>
          </w:rPr>
          <w:t>учащихся</w:t>
        </w:r>
        <w:r>
          <w:rPr>
            <w:color w:val="2255A6"/>
            <w:spacing w:val="-7"/>
            <w:sz w:val="18"/>
            <w:u w:val="single" w:color="2255A6"/>
          </w:rPr>
          <w:t> </w:t>
        </w:r>
        <w:r>
          <w:rPr>
            <w:color w:val="2255A6"/>
            <w:sz w:val="18"/>
            <w:u w:val="single" w:color="2255A6"/>
          </w:rPr>
          <w:t>в</w:t>
        </w:r>
        <w:r>
          <w:rPr>
            <w:color w:val="2255A6"/>
            <w:spacing w:val="-8"/>
            <w:sz w:val="18"/>
            <w:u w:val="single" w:color="2255A6"/>
          </w:rPr>
          <w:t> </w:t>
        </w:r>
        <w:r>
          <w:rPr>
            <w:color w:val="2255A6"/>
            <w:sz w:val="18"/>
            <w:u w:val="single" w:color="2255A6"/>
          </w:rPr>
          <w:t>поликультурном</w:t>
        </w:r>
        <w:r>
          <w:rPr>
            <w:color w:val="2255A6"/>
            <w:spacing w:val="-6"/>
            <w:sz w:val="18"/>
            <w:u w:val="single" w:color="2255A6"/>
          </w:rPr>
          <w:t> </w:t>
        </w:r>
        <w:r>
          <w:rPr>
            <w:color w:val="2255A6"/>
            <w:spacing w:val="-2"/>
            <w:sz w:val="18"/>
            <w:u w:val="single" w:color="2255A6"/>
          </w:rPr>
          <w:t>классе</w:t>
        </w:r>
        <w:r>
          <w:rPr>
            <w:color w:val="2255A6"/>
            <w:sz w:val="18"/>
          </w:rPr>
          <w:tab/>
        </w:r>
        <w:r>
          <w:rPr>
            <w:color w:val="231F20"/>
            <w:spacing w:val="-5"/>
            <w:sz w:val="18"/>
          </w:rPr>
          <w:t>186</w:t>
        </w:r>
      </w:hyperlink>
    </w:p>
    <w:p>
      <w:pPr>
        <w:tabs>
          <w:tab w:pos="7091" w:val="left" w:leader="dot"/>
        </w:tabs>
        <w:spacing w:before="173"/>
        <w:ind w:left="141" w:right="0" w:firstLine="0"/>
        <w:jc w:val="left"/>
        <w:rPr>
          <w:sz w:val="18"/>
        </w:rPr>
      </w:pPr>
      <w:hyperlink w:history="true" w:anchor="_bookmark72">
        <w:r>
          <w:rPr>
            <w:b/>
            <w:color w:val="2255A6"/>
            <w:spacing w:val="-2"/>
            <w:sz w:val="18"/>
            <w:u w:val="single" w:color="2255A6"/>
          </w:rPr>
          <w:t>СЛОВАРЬ</w:t>
        </w:r>
        <w:r>
          <w:rPr>
            <w:color w:val="2255A6"/>
            <w:sz w:val="18"/>
          </w:rPr>
          <w:tab/>
        </w:r>
        <w:r>
          <w:rPr>
            <w:color w:val="231F20"/>
            <w:spacing w:val="-5"/>
            <w:sz w:val="18"/>
          </w:rPr>
          <w:t>206</w:t>
        </w:r>
      </w:hyperlink>
    </w:p>
    <w:p>
      <w:pPr>
        <w:spacing w:after="0"/>
        <w:jc w:val="left"/>
        <w:rPr>
          <w:sz w:val="18"/>
        </w:rPr>
        <w:sectPr>
          <w:pgSz w:w="8400" w:h="11910"/>
          <w:pgMar w:header="0" w:footer="531" w:top="400" w:bottom="740" w:left="425" w:right="425"/>
        </w:sectPr>
      </w:pPr>
    </w:p>
    <w:p>
      <w:pPr>
        <w:spacing w:before="73"/>
        <w:ind w:left="303" w:right="303" w:firstLine="0"/>
        <w:jc w:val="center"/>
        <w:rPr>
          <w:b/>
          <w:sz w:val="20"/>
        </w:rPr>
      </w:pPr>
      <w:bookmarkStart w:name="_bookmark34" w:id="36"/>
      <w:bookmarkEnd w:id="36"/>
      <w:r>
        <w:rPr/>
      </w:r>
      <w:r>
        <w:rPr>
          <w:b/>
          <w:color w:val="231F20"/>
          <w:spacing w:val="-2"/>
          <w:sz w:val="20"/>
        </w:rPr>
        <w:t>Введение</w:t>
      </w:r>
    </w:p>
    <w:p>
      <w:pPr>
        <w:pStyle w:val="BodyText"/>
        <w:spacing w:line="235" w:lineRule="auto" w:before="170"/>
      </w:pPr>
      <w:r>
        <w:rPr>
          <w:color w:val="231F20"/>
        </w:rPr>
        <w:t>Методические рекомендации посвящены описанию программы психолого-педа- </w:t>
      </w:r>
      <w:r>
        <w:rPr>
          <w:color w:val="231F20"/>
          <w:spacing w:val="-2"/>
        </w:rPr>
        <w:t>гогического сопровождения процессов обучения, социальной, языковой и культурной </w:t>
      </w:r>
      <w:r>
        <w:rPr>
          <w:color w:val="231F20"/>
        </w:rPr>
        <w:t>адаптации детей иностранных граждан.</w:t>
      </w:r>
    </w:p>
    <w:p>
      <w:pPr>
        <w:pStyle w:val="BodyText"/>
        <w:spacing w:line="226" w:lineRule="exact"/>
        <w:ind w:left="425" w:right="0" w:firstLine="0"/>
      </w:pPr>
      <w:r>
        <w:rPr>
          <w:color w:val="231F20"/>
        </w:rPr>
        <w:t>Методические</w:t>
      </w:r>
      <w:r>
        <w:rPr>
          <w:color w:val="231F20"/>
          <w:spacing w:val="-9"/>
        </w:rPr>
        <w:t> </w:t>
      </w:r>
      <w:r>
        <w:rPr>
          <w:color w:val="231F20"/>
        </w:rPr>
        <w:t>рекомендации</w:t>
      </w:r>
      <w:r>
        <w:rPr>
          <w:color w:val="231F20"/>
          <w:spacing w:val="-6"/>
        </w:rPr>
        <w:t> </w:t>
      </w:r>
      <w:r>
        <w:rPr>
          <w:color w:val="231F20"/>
        </w:rPr>
        <w:t>состоят</w:t>
      </w:r>
      <w:r>
        <w:rPr>
          <w:color w:val="231F20"/>
          <w:spacing w:val="-6"/>
        </w:rPr>
        <w:t> </w:t>
      </w:r>
      <w:r>
        <w:rPr>
          <w:color w:val="231F20"/>
        </w:rPr>
        <w:t>из</w:t>
      </w:r>
      <w:r>
        <w:rPr>
          <w:color w:val="231F20"/>
          <w:spacing w:val="-7"/>
        </w:rPr>
        <w:t> </w:t>
      </w:r>
      <w:r>
        <w:rPr>
          <w:color w:val="231F20"/>
        </w:rPr>
        <w:t>введения</w:t>
      </w:r>
      <w:r>
        <w:rPr>
          <w:color w:val="231F20"/>
          <w:spacing w:val="-6"/>
        </w:rPr>
        <w:t> </w:t>
      </w:r>
      <w:r>
        <w:rPr>
          <w:color w:val="231F20"/>
        </w:rPr>
        <w:t>и</w:t>
      </w:r>
      <w:r>
        <w:rPr>
          <w:color w:val="231F20"/>
          <w:spacing w:val="-6"/>
        </w:rPr>
        <w:t> </w:t>
      </w:r>
      <w:r>
        <w:rPr>
          <w:color w:val="231F20"/>
        </w:rPr>
        <w:t>четырех</w:t>
      </w:r>
      <w:r>
        <w:rPr>
          <w:color w:val="231F20"/>
          <w:spacing w:val="-6"/>
        </w:rPr>
        <w:t> </w:t>
      </w:r>
      <w:r>
        <w:rPr>
          <w:color w:val="231F20"/>
          <w:spacing w:val="-2"/>
        </w:rPr>
        <w:t>разделов.</w:t>
      </w:r>
    </w:p>
    <w:p>
      <w:pPr>
        <w:pStyle w:val="BodyText"/>
        <w:spacing w:line="235" w:lineRule="auto" w:before="2"/>
      </w:pPr>
      <w:r>
        <w:rPr>
          <w:color w:val="231F20"/>
        </w:rPr>
        <w:t>Во введении приведено общее описание программы психолого-педагогического сопровождения процессов обучения, социальной, языковой и культурной адаптации детей</w:t>
      </w:r>
      <w:r>
        <w:rPr>
          <w:color w:val="231F20"/>
          <w:spacing w:val="-2"/>
        </w:rPr>
        <w:t> </w:t>
      </w:r>
      <w:r>
        <w:rPr>
          <w:color w:val="231F20"/>
        </w:rPr>
        <w:t>иностранных</w:t>
      </w:r>
      <w:r>
        <w:rPr>
          <w:color w:val="231F20"/>
          <w:spacing w:val="-2"/>
        </w:rPr>
        <w:t> </w:t>
      </w:r>
      <w:r>
        <w:rPr>
          <w:color w:val="231F20"/>
        </w:rPr>
        <w:t>граждан,</w:t>
      </w:r>
      <w:r>
        <w:rPr>
          <w:color w:val="231F20"/>
          <w:spacing w:val="-2"/>
        </w:rPr>
        <w:t> </w:t>
      </w:r>
      <w:r>
        <w:rPr>
          <w:color w:val="231F20"/>
        </w:rPr>
        <w:t>а</w:t>
      </w:r>
      <w:r>
        <w:rPr>
          <w:color w:val="231F20"/>
          <w:spacing w:val="-2"/>
        </w:rPr>
        <w:t> </w:t>
      </w:r>
      <w:r>
        <w:rPr>
          <w:color w:val="231F20"/>
        </w:rPr>
        <w:t>также</w:t>
      </w:r>
      <w:r>
        <w:rPr>
          <w:color w:val="231F20"/>
          <w:spacing w:val="-2"/>
        </w:rPr>
        <w:t> </w:t>
      </w:r>
      <w:r>
        <w:rPr>
          <w:color w:val="231F20"/>
        </w:rPr>
        <w:t>представлены</w:t>
      </w:r>
      <w:r>
        <w:rPr>
          <w:color w:val="231F20"/>
          <w:spacing w:val="-2"/>
        </w:rPr>
        <w:t> </w:t>
      </w:r>
      <w:r>
        <w:rPr/>
        <w:t>организационно-управленческие механизмы ее реализации.</w:t>
      </w:r>
    </w:p>
    <w:p>
      <w:pPr>
        <w:pStyle w:val="BodyText"/>
        <w:spacing w:line="237" w:lineRule="auto"/>
      </w:pPr>
      <w:r>
        <w:rPr>
          <w:color w:val="231F20"/>
        </w:rPr>
        <w:t>В первом разделе дано описание работы педагога-психолога по индивидуальной поддержке детей-иностранных граждан. Представлены рекомендации по планиро- ванию и организации данной работы, а также по учету культурно-специфических факторов в консультативной и коррекционной работе с данной категорией детей. Показаны</w:t>
      </w:r>
      <w:r>
        <w:rPr>
          <w:color w:val="231F20"/>
          <w:spacing w:val="-10"/>
        </w:rPr>
        <w:t> </w:t>
      </w:r>
      <w:r>
        <w:rPr>
          <w:color w:val="231F20"/>
        </w:rPr>
        <w:t>основные</w:t>
      </w:r>
      <w:r>
        <w:rPr>
          <w:color w:val="231F20"/>
          <w:spacing w:val="-10"/>
        </w:rPr>
        <w:t> </w:t>
      </w:r>
      <w:r>
        <w:rPr>
          <w:color w:val="231F20"/>
        </w:rPr>
        <w:t>консультативные</w:t>
      </w:r>
      <w:r>
        <w:rPr>
          <w:color w:val="231F20"/>
          <w:spacing w:val="-10"/>
        </w:rPr>
        <w:t> </w:t>
      </w:r>
      <w:r>
        <w:rPr>
          <w:color w:val="231F20"/>
        </w:rPr>
        <w:t>подходы</w:t>
      </w:r>
      <w:r>
        <w:rPr>
          <w:color w:val="231F20"/>
          <w:spacing w:val="-10"/>
        </w:rPr>
        <w:t> </w:t>
      </w:r>
      <w:r>
        <w:rPr>
          <w:color w:val="231F20"/>
        </w:rPr>
        <w:t>и</w:t>
      </w:r>
      <w:r>
        <w:rPr>
          <w:color w:val="231F20"/>
          <w:spacing w:val="-10"/>
        </w:rPr>
        <w:t> </w:t>
      </w:r>
      <w:r>
        <w:rPr>
          <w:color w:val="231F20"/>
        </w:rPr>
        <w:t>стратегий</w:t>
      </w:r>
      <w:r>
        <w:rPr>
          <w:color w:val="231F20"/>
          <w:spacing w:val="-10"/>
        </w:rPr>
        <w:t> </w:t>
      </w:r>
      <w:r>
        <w:rPr>
          <w:color w:val="231F20"/>
        </w:rPr>
        <w:t>в</w:t>
      </w:r>
      <w:r>
        <w:rPr>
          <w:color w:val="231F20"/>
          <w:spacing w:val="-10"/>
        </w:rPr>
        <w:t> </w:t>
      </w:r>
      <w:r>
        <w:rPr>
          <w:color w:val="231F20"/>
        </w:rPr>
        <w:t>индивидуальной</w:t>
      </w:r>
      <w:r>
        <w:rPr>
          <w:color w:val="231F20"/>
          <w:spacing w:val="-10"/>
        </w:rPr>
        <w:t> </w:t>
      </w:r>
      <w:r>
        <w:rPr>
          <w:color w:val="231F20"/>
        </w:rPr>
        <w:t>работе педагога-психолога</w:t>
      </w:r>
      <w:r>
        <w:rPr>
          <w:color w:val="231F20"/>
          <w:spacing w:val="-7"/>
        </w:rPr>
        <w:t> </w:t>
      </w:r>
      <w:r>
        <w:rPr>
          <w:color w:val="231F20"/>
        </w:rPr>
        <w:t>с</w:t>
      </w:r>
      <w:r>
        <w:rPr>
          <w:color w:val="231F20"/>
          <w:spacing w:val="-7"/>
        </w:rPr>
        <w:t> </w:t>
      </w:r>
      <w:r>
        <w:rPr>
          <w:color w:val="231F20"/>
        </w:rPr>
        <w:t>детьми</w:t>
      </w:r>
      <w:r>
        <w:rPr>
          <w:color w:val="231F20"/>
          <w:spacing w:val="-7"/>
        </w:rPr>
        <w:t> </w:t>
      </w:r>
      <w:r>
        <w:rPr>
          <w:color w:val="231F20"/>
        </w:rPr>
        <w:t>–</w:t>
      </w:r>
      <w:r>
        <w:rPr>
          <w:color w:val="231F20"/>
          <w:spacing w:val="-7"/>
        </w:rPr>
        <w:t> </w:t>
      </w:r>
      <w:r>
        <w:rPr>
          <w:color w:val="231F20"/>
        </w:rPr>
        <w:t>иностранными</w:t>
      </w:r>
      <w:r>
        <w:rPr>
          <w:color w:val="231F20"/>
          <w:spacing w:val="-7"/>
        </w:rPr>
        <w:t> </w:t>
      </w:r>
      <w:r>
        <w:rPr>
          <w:color w:val="231F20"/>
        </w:rPr>
        <w:t>гражданами.</w:t>
      </w:r>
      <w:r>
        <w:rPr>
          <w:color w:val="231F20"/>
          <w:spacing w:val="-7"/>
        </w:rPr>
        <w:t> </w:t>
      </w:r>
      <w:r>
        <w:rPr>
          <w:color w:val="231F20"/>
        </w:rPr>
        <w:t>Рассмотрены</w:t>
      </w:r>
      <w:r>
        <w:rPr>
          <w:color w:val="231F20"/>
          <w:spacing w:val="-7"/>
        </w:rPr>
        <w:t> </w:t>
      </w:r>
      <w:r>
        <w:rPr>
          <w:color w:val="231F20"/>
        </w:rPr>
        <w:t>специфиче- ские</w:t>
      </w:r>
      <w:r>
        <w:rPr>
          <w:color w:val="231F20"/>
          <w:spacing w:val="-3"/>
        </w:rPr>
        <w:t> </w:t>
      </w:r>
      <w:r>
        <w:rPr>
          <w:color w:val="231F20"/>
        </w:rPr>
        <w:t>техники</w:t>
      </w:r>
      <w:r>
        <w:rPr>
          <w:color w:val="231F20"/>
          <w:spacing w:val="-3"/>
        </w:rPr>
        <w:t> </w:t>
      </w:r>
      <w:r>
        <w:rPr>
          <w:color w:val="231F20"/>
        </w:rPr>
        <w:t>для</w:t>
      </w:r>
      <w:r>
        <w:rPr>
          <w:color w:val="231F20"/>
          <w:spacing w:val="-3"/>
        </w:rPr>
        <w:t> </w:t>
      </w:r>
      <w:r>
        <w:rPr>
          <w:color w:val="231F20"/>
        </w:rPr>
        <w:t>коррекционной</w:t>
      </w:r>
      <w:r>
        <w:rPr>
          <w:color w:val="231F20"/>
          <w:spacing w:val="-3"/>
        </w:rPr>
        <w:t> </w:t>
      </w:r>
      <w:r>
        <w:rPr>
          <w:color w:val="231F20"/>
        </w:rPr>
        <w:t>и</w:t>
      </w:r>
      <w:r>
        <w:rPr>
          <w:color w:val="231F20"/>
          <w:spacing w:val="-3"/>
        </w:rPr>
        <w:t> </w:t>
      </w:r>
      <w:r>
        <w:rPr>
          <w:color w:val="231F20"/>
        </w:rPr>
        <w:t>консультативной</w:t>
      </w:r>
      <w:r>
        <w:rPr>
          <w:color w:val="231F20"/>
          <w:spacing w:val="-3"/>
        </w:rPr>
        <w:t> </w:t>
      </w:r>
      <w:r>
        <w:rPr>
          <w:color w:val="231F20"/>
        </w:rPr>
        <w:t>работы</w:t>
      </w:r>
      <w:r>
        <w:rPr>
          <w:color w:val="231F20"/>
          <w:spacing w:val="-3"/>
        </w:rPr>
        <w:t> </w:t>
      </w:r>
      <w:r>
        <w:rPr>
          <w:color w:val="231F20"/>
        </w:rPr>
        <w:t>с</w:t>
      </w:r>
      <w:r>
        <w:rPr>
          <w:color w:val="231F20"/>
          <w:spacing w:val="-3"/>
        </w:rPr>
        <w:t> </w:t>
      </w:r>
      <w:r>
        <w:rPr>
          <w:color w:val="231F20"/>
        </w:rPr>
        <w:t>детьми</w:t>
      </w:r>
      <w:r>
        <w:rPr>
          <w:color w:val="231F20"/>
          <w:spacing w:val="-4"/>
        </w:rPr>
        <w:t> </w:t>
      </w:r>
      <w:r>
        <w:rPr>
          <w:color w:val="231F20"/>
        </w:rPr>
        <w:t>–</w:t>
      </w:r>
      <w:r>
        <w:rPr>
          <w:color w:val="231F20"/>
          <w:spacing w:val="-3"/>
        </w:rPr>
        <w:t> </w:t>
      </w:r>
      <w:r>
        <w:rPr>
          <w:color w:val="231F20"/>
        </w:rPr>
        <w:t>иностранны- ми гражданами. Отдельно описана психологическая работа с детьми данной катего- рии, переживающими последствия психологической травмы.</w:t>
      </w:r>
    </w:p>
    <w:p>
      <w:pPr>
        <w:pStyle w:val="BodyText"/>
        <w:spacing w:line="237" w:lineRule="auto"/>
      </w:pPr>
      <w:r>
        <w:rPr>
          <w:color w:val="231F20"/>
        </w:rPr>
        <w:t>Во втором разделе описана деятельность по сопровождению педагогического коллектива.</w:t>
      </w:r>
      <w:r>
        <w:rPr>
          <w:color w:val="231F20"/>
          <w:spacing w:val="-5"/>
        </w:rPr>
        <w:t> </w:t>
      </w:r>
      <w:r>
        <w:rPr>
          <w:color w:val="231F20"/>
        </w:rPr>
        <w:t>В</w:t>
      </w:r>
      <w:r>
        <w:rPr>
          <w:color w:val="231F20"/>
          <w:spacing w:val="-5"/>
        </w:rPr>
        <w:t> </w:t>
      </w:r>
      <w:r>
        <w:rPr>
          <w:color w:val="231F20"/>
        </w:rPr>
        <w:t>нем</w:t>
      </w:r>
      <w:r>
        <w:rPr>
          <w:color w:val="231F20"/>
          <w:spacing w:val="-5"/>
        </w:rPr>
        <w:t> </w:t>
      </w:r>
      <w:r>
        <w:rPr>
          <w:color w:val="231F20"/>
        </w:rPr>
        <w:t>представлена</w:t>
      </w:r>
      <w:r>
        <w:rPr>
          <w:color w:val="231F20"/>
          <w:spacing w:val="-5"/>
        </w:rPr>
        <w:t> </w:t>
      </w:r>
      <w:r>
        <w:rPr>
          <w:color w:val="231F20"/>
        </w:rPr>
        <w:t>система</w:t>
      </w:r>
      <w:r>
        <w:rPr>
          <w:color w:val="231F20"/>
          <w:spacing w:val="-5"/>
        </w:rPr>
        <w:t> </w:t>
      </w:r>
      <w:r>
        <w:rPr>
          <w:color w:val="231F20"/>
        </w:rPr>
        <w:t>повышения</w:t>
      </w:r>
      <w:r>
        <w:rPr>
          <w:color w:val="231F20"/>
          <w:spacing w:val="-5"/>
        </w:rPr>
        <w:t> </w:t>
      </w:r>
      <w:r>
        <w:rPr>
          <w:color w:val="231F20"/>
        </w:rPr>
        <w:t>квалификации</w:t>
      </w:r>
      <w:r>
        <w:rPr>
          <w:color w:val="231F20"/>
          <w:spacing w:val="-5"/>
        </w:rPr>
        <w:t> </w:t>
      </w:r>
      <w:r>
        <w:rPr>
          <w:color w:val="231F20"/>
        </w:rPr>
        <w:t>педагогического коллектива по теме формирования межкультурной компетентности педагога. Пока- заны способы организации методической поддержки деятельности педагогического коллектива по обучению социальной, языковой и культурной адаптации детей ино- странных граждан. Отдельно описан тренинг управленческих команд регионов по данной тематике.</w:t>
      </w:r>
    </w:p>
    <w:p>
      <w:pPr>
        <w:pStyle w:val="BodyText"/>
      </w:pPr>
      <w:r>
        <w:rPr>
          <w:color w:val="231F20"/>
        </w:rPr>
        <w:t>В третьем разделе представлены рекомендации по осуществлению работы педа- гога с родителями несовершеннолетних иностранных граждан. Изложены методи- ческие принципы взаимодействия с родителями – иностранными гражданами. По- казаны стратегии индивидуального взаимодействия с родителями – иностранными гражданами, а также стратегии работы с родительским сообществом.</w:t>
      </w:r>
    </w:p>
    <w:p>
      <w:pPr>
        <w:pStyle w:val="BodyText"/>
        <w:spacing w:line="237" w:lineRule="auto"/>
        <w:jc w:val="right"/>
      </w:pPr>
      <w:r>
        <w:rPr>
          <w:color w:val="231F20"/>
          <w:spacing w:val="-2"/>
        </w:rPr>
        <w:t>В</w:t>
      </w:r>
      <w:r>
        <w:rPr>
          <w:color w:val="231F20"/>
          <w:spacing w:val="-4"/>
        </w:rPr>
        <w:t> </w:t>
      </w:r>
      <w:r>
        <w:rPr>
          <w:color w:val="231F20"/>
          <w:spacing w:val="-2"/>
        </w:rPr>
        <w:t>четвертом</w:t>
      </w:r>
      <w:r>
        <w:rPr>
          <w:color w:val="231F20"/>
          <w:spacing w:val="-4"/>
        </w:rPr>
        <w:t> </w:t>
      </w:r>
      <w:r>
        <w:rPr>
          <w:color w:val="231F20"/>
          <w:spacing w:val="-2"/>
        </w:rPr>
        <w:t>разделе</w:t>
      </w:r>
      <w:r>
        <w:rPr>
          <w:color w:val="231F20"/>
          <w:spacing w:val="-4"/>
        </w:rPr>
        <w:t> </w:t>
      </w:r>
      <w:r>
        <w:rPr>
          <w:color w:val="231F20"/>
          <w:spacing w:val="-2"/>
        </w:rPr>
        <w:t>описана</w:t>
      </w:r>
      <w:r>
        <w:rPr>
          <w:color w:val="231F20"/>
          <w:spacing w:val="-4"/>
        </w:rPr>
        <w:t> </w:t>
      </w:r>
      <w:r>
        <w:rPr>
          <w:color w:val="231F20"/>
          <w:spacing w:val="-2"/>
        </w:rPr>
        <w:t>работа</w:t>
      </w:r>
      <w:r>
        <w:rPr>
          <w:color w:val="231F20"/>
          <w:spacing w:val="-4"/>
        </w:rPr>
        <w:t> </w:t>
      </w:r>
      <w:r>
        <w:rPr>
          <w:color w:val="231F20"/>
          <w:spacing w:val="-2"/>
        </w:rPr>
        <w:t>педагога</w:t>
      </w:r>
      <w:r>
        <w:rPr>
          <w:color w:val="231F20"/>
          <w:spacing w:val="-4"/>
        </w:rPr>
        <w:t> </w:t>
      </w:r>
      <w:r>
        <w:rPr>
          <w:color w:val="231F20"/>
          <w:spacing w:val="-2"/>
        </w:rPr>
        <w:t>с</w:t>
      </w:r>
      <w:r>
        <w:rPr>
          <w:color w:val="231F20"/>
          <w:spacing w:val="-4"/>
        </w:rPr>
        <w:t> </w:t>
      </w:r>
      <w:r>
        <w:rPr>
          <w:color w:val="231F20"/>
          <w:spacing w:val="-2"/>
        </w:rPr>
        <w:t>ученическим</w:t>
      </w:r>
      <w:r>
        <w:rPr>
          <w:color w:val="231F20"/>
          <w:spacing w:val="-4"/>
        </w:rPr>
        <w:t> </w:t>
      </w:r>
      <w:r>
        <w:rPr>
          <w:color w:val="231F20"/>
          <w:spacing w:val="-2"/>
        </w:rPr>
        <w:t>сообществом:</w:t>
      </w:r>
      <w:r>
        <w:rPr>
          <w:color w:val="231F20"/>
          <w:spacing w:val="-4"/>
        </w:rPr>
        <w:t> </w:t>
      </w:r>
      <w:r>
        <w:rPr>
          <w:color w:val="231F20"/>
          <w:spacing w:val="-2"/>
        </w:rPr>
        <w:t>отдель- ным</w:t>
      </w:r>
      <w:r>
        <w:rPr>
          <w:color w:val="231F20"/>
          <w:spacing w:val="-8"/>
        </w:rPr>
        <w:t> </w:t>
      </w:r>
      <w:r>
        <w:rPr>
          <w:color w:val="231F20"/>
          <w:spacing w:val="-2"/>
        </w:rPr>
        <w:t>классом</w:t>
      </w:r>
      <w:r>
        <w:rPr>
          <w:color w:val="231F20"/>
          <w:spacing w:val="-8"/>
        </w:rPr>
        <w:t> </w:t>
      </w:r>
      <w:r>
        <w:rPr>
          <w:color w:val="231F20"/>
          <w:spacing w:val="-2"/>
        </w:rPr>
        <w:t>и</w:t>
      </w:r>
      <w:r>
        <w:rPr>
          <w:color w:val="231F20"/>
          <w:spacing w:val="-8"/>
        </w:rPr>
        <w:t> </w:t>
      </w:r>
      <w:r>
        <w:rPr>
          <w:color w:val="231F20"/>
          <w:spacing w:val="-2"/>
        </w:rPr>
        <w:t>школой</w:t>
      </w:r>
      <w:r>
        <w:rPr>
          <w:color w:val="231F20"/>
          <w:spacing w:val="-8"/>
        </w:rPr>
        <w:t> </w:t>
      </w:r>
      <w:r>
        <w:rPr>
          <w:color w:val="231F20"/>
          <w:spacing w:val="-2"/>
        </w:rPr>
        <w:t>в</w:t>
      </w:r>
      <w:r>
        <w:rPr>
          <w:color w:val="231F20"/>
          <w:spacing w:val="-8"/>
        </w:rPr>
        <w:t> </w:t>
      </w:r>
      <w:r>
        <w:rPr>
          <w:color w:val="231F20"/>
          <w:spacing w:val="-2"/>
        </w:rPr>
        <w:t>целом.</w:t>
      </w:r>
      <w:r>
        <w:rPr>
          <w:color w:val="231F20"/>
          <w:spacing w:val="-8"/>
        </w:rPr>
        <w:t> </w:t>
      </w:r>
      <w:r>
        <w:rPr>
          <w:spacing w:val="-2"/>
        </w:rPr>
        <w:t>Представлены</w:t>
      </w:r>
      <w:r>
        <w:rPr>
          <w:spacing w:val="-8"/>
        </w:rPr>
        <w:t> </w:t>
      </w:r>
      <w:r>
        <w:rPr>
          <w:spacing w:val="-2"/>
        </w:rPr>
        <w:t>технологии</w:t>
      </w:r>
      <w:r>
        <w:rPr>
          <w:spacing w:val="-8"/>
        </w:rPr>
        <w:t> </w:t>
      </w:r>
      <w:r>
        <w:rPr>
          <w:spacing w:val="-2"/>
        </w:rPr>
        <w:t>работы</w:t>
      </w:r>
      <w:r>
        <w:rPr>
          <w:spacing w:val="-8"/>
        </w:rPr>
        <w:t> </w:t>
      </w:r>
      <w:r>
        <w:rPr>
          <w:spacing w:val="-2"/>
        </w:rPr>
        <w:t>педагога-психолога </w:t>
      </w:r>
      <w:r>
        <w:rPr/>
        <w:t>в области адаптации детей иностранных граждан во взаимодействии с ученическим сообществом</w:t>
      </w:r>
      <w:r>
        <w:rPr>
          <w:spacing w:val="1"/>
        </w:rPr>
        <w:t> </w:t>
      </w:r>
      <w:r>
        <w:rPr/>
        <w:t>(тренингового</w:t>
      </w:r>
      <w:r>
        <w:rPr>
          <w:spacing w:val="1"/>
        </w:rPr>
        <w:t> </w:t>
      </w:r>
      <w:r>
        <w:rPr/>
        <w:t>характера).</w:t>
      </w:r>
      <w:r>
        <w:rPr>
          <w:spacing w:val="1"/>
        </w:rPr>
        <w:t> </w:t>
      </w:r>
      <w:r>
        <w:rPr/>
        <w:t>Изложен</w:t>
      </w:r>
      <w:r>
        <w:rPr>
          <w:spacing w:val="1"/>
        </w:rPr>
        <w:t> </w:t>
      </w:r>
      <w:r>
        <w:rPr/>
        <w:t>ряд</w:t>
      </w:r>
      <w:r>
        <w:rPr>
          <w:spacing w:val="1"/>
        </w:rPr>
        <w:t> </w:t>
      </w:r>
      <w:r>
        <w:rPr/>
        <w:t>методов</w:t>
      </w:r>
      <w:r>
        <w:rPr>
          <w:spacing w:val="1"/>
        </w:rPr>
        <w:t> </w:t>
      </w:r>
      <w:r>
        <w:rPr/>
        <w:t>воспитательной</w:t>
      </w:r>
      <w:r>
        <w:rPr>
          <w:spacing w:val="1"/>
        </w:rPr>
        <w:t> </w:t>
      </w:r>
      <w:r>
        <w:rPr/>
        <w:t>рабо- ты</w:t>
      </w:r>
      <w:r>
        <w:rPr>
          <w:spacing w:val="-13"/>
        </w:rPr>
        <w:t> </w:t>
      </w:r>
      <w:r>
        <w:rPr/>
        <w:t>для</w:t>
      </w:r>
      <w:r>
        <w:rPr>
          <w:spacing w:val="-12"/>
        </w:rPr>
        <w:t> </w:t>
      </w:r>
      <w:r>
        <w:rPr/>
        <w:t>адаптации</w:t>
      </w:r>
      <w:r>
        <w:rPr>
          <w:spacing w:val="-13"/>
        </w:rPr>
        <w:t> </w:t>
      </w:r>
      <w:r>
        <w:rPr/>
        <w:t>детей</w:t>
      </w:r>
      <w:r>
        <w:rPr>
          <w:spacing w:val="-12"/>
        </w:rPr>
        <w:t> </w:t>
      </w:r>
      <w:r>
        <w:rPr/>
        <w:t>иностранных</w:t>
      </w:r>
      <w:r>
        <w:rPr>
          <w:spacing w:val="-13"/>
        </w:rPr>
        <w:t> </w:t>
      </w:r>
      <w:r>
        <w:rPr/>
        <w:t>граждан</w:t>
      </w:r>
      <w:r>
        <w:rPr>
          <w:spacing w:val="-12"/>
        </w:rPr>
        <w:t> </w:t>
      </w:r>
      <w:r>
        <w:rPr/>
        <w:t>во</w:t>
      </w:r>
      <w:r>
        <w:rPr>
          <w:spacing w:val="-13"/>
        </w:rPr>
        <w:t> </w:t>
      </w:r>
      <w:r>
        <w:rPr/>
        <w:t>взаимодействии</w:t>
      </w:r>
      <w:r>
        <w:rPr>
          <w:spacing w:val="-12"/>
        </w:rPr>
        <w:t> </w:t>
      </w:r>
      <w:r>
        <w:rPr/>
        <w:t>педагога</w:t>
      </w:r>
      <w:r>
        <w:rPr>
          <w:spacing w:val="-13"/>
        </w:rPr>
        <w:t> </w:t>
      </w:r>
      <w:r>
        <w:rPr/>
        <w:t>с</w:t>
      </w:r>
      <w:r>
        <w:rPr>
          <w:spacing w:val="-12"/>
        </w:rPr>
        <w:t> </w:t>
      </w:r>
      <w:r>
        <w:rPr/>
        <w:t>учениче- </w:t>
      </w:r>
      <w:r>
        <w:rPr>
          <w:spacing w:val="-2"/>
        </w:rPr>
        <w:t>ским</w:t>
      </w:r>
      <w:r>
        <w:rPr>
          <w:spacing w:val="-11"/>
        </w:rPr>
        <w:t> </w:t>
      </w:r>
      <w:r>
        <w:rPr>
          <w:spacing w:val="-2"/>
        </w:rPr>
        <w:t>сообществом.</w:t>
      </w:r>
      <w:r>
        <w:rPr>
          <w:spacing w:val="-10"/>
        </w:rPr>
        <w:t> </w:t>
      </w:r>
      <w:r>
        <w:rPr>
          <w:spacing w:val="-2"/>
        </w:rPr>
        <w:t>Также</w:t>
      </w:r>
      <w:r>
        <w:rPr>
          <w:spacing w:val="-11"/>
        </w:rPr>
        <w:t> </w:t>
      </w:r>
      <w:r>
        <w:rPr>
          <w:spacing w:val="-2"/>
        </w:rPr>
        <w:t>показаны</w:t>
      </w:r>
      <w:r>
        <w:rPr>
          <w:spacing w:val="-10"/>
        </w:rPr>
        <w:t> </w:t>
      </w:r>
      <w:r>
        <w:rPr>
          <w:spacing w:val="-2"/>
        </w:rPr>
        <w:t>возможные</w:t>
      </w:r>
      <w:r>
        <w:rPr>
          <w:spacing w:val="-11"/>
        </w:rPr>
        <w:t> </w:t>
      </w:r>
      <w:r>
        <w:rPr>
          <w:spacing w:val="-2"/>
        </w:rPr>
        <w:t>методы</w:t>
      </w:r>
      <w:r>
        <w:rPr>
          <w:spacing w:val="-10"/>
        </w:rPr>
        <w:t> </w:t>
      </w:r>
      <w:r>
        <w:rPr>
          <w:spacing w:val="-2"/>
        </w:rPr>
        <w:t>учебной</w:t>
      </w:r>
      <w:r>
        <w:rPr>
          <w:spacing w:val="-11"/>
        </w:rPr>
        <w:t> </w:t>
      </w:r>
      <w:r>
        <w:rPr>
          <w:spacing w:val="-2"/>
        </w:rPr>
        <w:t>работы</w:t>
      </w:r>
      <w:r>
        <w:rPr>
          <w:spacing w:val="-10"/>
        </w:rPr>
        <w:t> </w:t>
      </w:r>
      <w:r>
        <w:rPr>
          <w:spacing w:val="-2"/>
        </w:rPr>
        <w:t>для</w:t>
      </w:r>
      <w:r>
        <w:rPr>
          <w:spacing w:val="-11"/>
        </w:rPr>
        <w:t> </w:t>
      </w:r>
      <w:r>
        <w:rPr>
          <w:spacing w:val="-2"/>
        </w:rPr>
        <w:t>адаптации детей</w:t>
      </w:r>
      <w:r>
        <w:rPr>
          <w:spacing w:val="-5"/>
        </w:rPr>
        <w:t> </w:t>
      </w:r>
      <w:r>
        <w:rPr>
          <w:spacing w:val="-2"/>
        </w:rPr>
        <w:t>иностранных</w:t>
      </w:r>
      <w:r>
        <w:rPr>
          <w:spacing w:val="-4"/>
        </w:rPr>
        <w:t> </w:t>
      </w:r>
      <w:r>
        <w:rPr>
          <w:spacing w:val="-2"/>
        </w:rPr>
        <w:t>граждан</w:t>
      </w:r>
      <w:r>
        <w:rPr>
          <w:spacing w:val="-5"/>
        </w:rPr>
        <w:t> </w:t>
      </w:r>
      <w:r>
        <w:rPr>
          <w:spacing w:val="-2"/>
        </w:rPr>
        <w:t>во</w:t>
      </w:r>
      <w:r>
        <w:rPr>
          <w:spacing w:val="-4"/>
        </w:rPr>
        <w:t> </w:t>
      </w:r>
      <w:r>
        <w:rPr>
          <w:spacing w:val="-2"/>
        </w:rPr>
        <w:t>взаимодействии</w:t>
      </w:r>
      <w:r>
        <w:rPr>
          <w:spacing w:val="-5"/>
        </w:rPr>
        <w:t> </w:t>
      </w:r>
      <w:r>
        <w:rPr>
          <w:spacing w:val="-2"/>
        </w:rPr>
        <w:t>педагога</w:t>
      </w:r>
      <w:r>
        <w:rPr>
          <w:spacing w:val="-4"/>
        </w:rPr>
        <w:t> </w:t>
      </w:r>
      <w:r>
        <w:rPr>
          <w:spacing w:val="-2"/>
        </w:rPr>
        <w:t>с</w:t>
      </w:r>
      <w:r>
        <w:rPr>
          <w:spacing w:val="-4"/>
        </w:rPr>
        <w:t> </w:t>
      </w:r>
      <w:r>
        <w:rPr>
          <w:spacing w:val="-2"/>
        </w:rPr>
        <w:t>ученическим</w:t>
      </w:r>
      <w:r>
        <w:rPr>
          <w:spacing w:val="-4"/>
        </w:rPr>
        <w:t> </w:t>
      </w:r>
      <w:r>
        <w:rPr>
          <w:spacing w:val="-2"/>
        </w:rPr>
        <w:t>сообществом. </w:t>
      </w:r>
      <w:r>
        <w:rPr/>
        <w:t>В завершении методических рекомендаций приведен словарь основных терминов,</w:t>
      </w:r>
    </w:p>
    <w:p>
      <w:pPr>
        <w:pStyle w:val="BodyText"/>
        <w:spacing w:line="221" w:lineRule="exact"/>
        <w:ind w:right="0" w:firstLine="0"/>
        <w:jc w:val="left"/>
      </w:pPr>
      <w:r>
        <w:rPr/>
        <w:t>связанных</w:t>
      </w:r>
      <w:r>
        <w:rPr>
          <w:spacing w:val="-4"/>
        </w:rPr>
        <w:t> </w:t>
      </w:r>
      <w:r>
        <w:rPr/>
        <w:t>с</w:t>
      </w:r>
      <w:r>
        <w:rPr>
          <w:spacing w:val="-1"/>
        </w:rPr>
        <w:t> </w:t>
      </w:r>
      <w:r>
        <w:rPr/>
        <w:t>адаптацией</w:t>
      </w:r>
      <w:r>
        <w:rPr>
          <w:spacing w:val="-2"/>
        </w:rPr>
        <w:t> </w:t>
      </w:r>
      <w:r>
        <w:rPr/>
        <w:t>детей</w:t>
      </w:r>
      <w:r>
        <w:rPr>
          <w:spacing w:val="-2"/>
        </w:rPr>
        <w:t> </w:t>
      </w:r>
      <w:r>
        <w:rPr/>
        <w:t>иностранных</w:t>
      </w:r>
      <w:r>
        <w:rPr>
          <w:spacing w:val="-1"/>
        </w:rPr>
        <w:t> </w:t>
      </w:r>
      <w:r>
        <w:rPr>
          <w:spacing w:val="-2"/>
        </w:rPr>
        <w:t>граждан.</w:t>
      </w:r>
    </w:p>
    <w:p>
      <w:pPr>
        <w:pStyle w:val="BodyText"/>
        <w:spacing w:line="235" w:lineRule="auto" w:before="105"/>
      </w:pPr>
      <w:r>
        <w:rPr>
          <w:color w:val="231F20"/>
        </w:rPr>
        <w:t>Перейдем к описанию программы психолого-педагогического сопровождения процессов</w:t>
      </w:r>
      <w:r>
        <w:rPr>
          <w:color w:val="231F20"/>
          <w:spacing w:val="-7"/>
        </w:rPr>
        <w:t> </w:t>
      </w:r>
      <w:r>
        <w:rPr>
          <w:color w:val="231F20"/>
        </w:rPr>
        <w:t>обучения,</w:t>
      </w:r>
      <w:r>
        <w:rPr>
          <w:color w:val="231F20"/>
          <w:spacing w:val="-7"/>
        </w:rPr>
        <w:t> </w:t>
      </w:r>
      <w:r>
        <w:rPr>
          <w:color w:val="231F20"/>
        </w:rPr>
        <w:t>социальной,</w:t>
      </w:r>
      <w:r>
        <w:rPr>
          <w:color w:val="231F20"/>
          <w:spacing w:val="-7"/>
        </w:rPr>
        <w:t> </w:t>
      </w:r>
      <w:r>
        <w:rPr>
          <w:color w:val="231F20"/>
        </w:rPr>
        <w:t>языковой</w:t>
      </w:r>
      <w:r>
        <w:rPr>
          <w:color w:val="231F20"/>
          <w:spacing w:val="-7"/>
        </w:rPr>
        <w:t> </w:t>
      </w:r>
      <w:r>
        <w:rPr>
          <w:color w:val="231F20"/>
        </w:rPr>
        <w:t>и</w:t>
      </w:r>
      <w:r>
        <w:rPr>
          <w:color w:val="231F20"/>
          <w:spacing w:val="-7"/>
        </w:rPr>
        <w:t> </w:t>
      </w:r>
      <w:r>
        <w:rPr>
          <w:color w:val="231F20"/>
        </w:rPr>
        <w:t>культурной</w:t>
      </w:r>
      <w:r>
        <w:rPr>
          <w:color w:val="231F20"/>
          <w:spacing w:val="-7"/>
        </w:rPr>
        <w:t> </w:t>
      </w:r>
      <w:r>
        <w:rPr>
          <w:color w:val="231F20"/>
        </w:rPr>
        <w:t>адаптации</w:t>
      </w:r>
      <w:r>
        <w:rPr>
          <w:color w:val="231F20"/>
          <w:spacing w:val="-7"/>
        </w:rPr>
        <w:t> </w:t>
      </w:r>
      <w:r>
        <w:rPr>
          <w:color w:val="231F20"/>
        </w:rPr>
        <w:t>детей</w:t>
      </w:r>
      <w:r>
        <w:rPr>
          <w:color w:val="231F20"/>
          <w:spacing w:val="-7"/>
        </w:rPr>
        <w:t> </w:t>
      </w:r>
      <w:r>
        <w:rPr>
          <w:color w:val="231F20"/>
        </w:rPr>
        <w:t>иностран- ных граждан.</w:t>
      </w:r>
    </w:p>
    <w:p>
      <w:pPr>
        <w:pStyle w:val="BodyText"/>
        <w:spacing w:line="235" w:lineRule="auto" w:before="2"/>
      </w:pPr>
      <w:r>
        <w:rPr>
          <w:color w:val="231F20"/>
        </w:rPr>
        <w:t>Согласно</w:t>
      </w:r>
      <w:r>
        <w:rPr>
          <w:color w:val="231F20"/>
          <w:spacing w:val="-10"/>
        </w:rPr>
        <w:t> </w:t>
      </w:r>
      <w:r>
        <w:rPr>
          <w:color w:val="231F20"/>
        </w:rPr>
        <w:t>Методическим</w:t>
      </w:r>
      <w:r>
        <w:rPr>
          <w:color w:val="231F20"/>
          <w:spacing w:val="-10"/>
        </w:rPr>
        <w:t> </w:t>
      </w:r>
      <w:r>
        <w:rPr>
          <w:color w:val="231F20"/>
        </w:rPr>
        <w:t>рекомендациям</w:t>
      </w:r>
      <w:r>
        <w:rPr>
          <w:color w:val="231F20"/>
          <w:spacing w:val="-10"/>
        </w:rPr>
        <w:t> </w:t>
      </w:r>
      <w:r>
        <w:rPr>
          <w:color w:val="231F20"/>
        </w:rPr>
        <w:t>органам</w:t>
      </w:r>
      <w:r>
        <w:rPr>
          <w:color w:val="231F20"/>
          <w:spacing w:val="-10"/>
        </w:rPr>
        <w:t> </w:t>
      </w:r>
      <w:r>
        <w:rPr>
          <w:color w:val="231F20"/>
        </w:rPr>
        <w:t>исполнительной</w:t>
      </w:r>
      <w:r>
        <w:rPr>
          <w:color w:val="231F20"/>
          <w:spacing w:val="-10"/>
        </w:rPr>
        <w:t> </w:t>
      </w:r>
      <w:r>
        <w:rPr>
          <w:color w:val="231F20"/>
        </w:rPr>
        <w:t>власти</w:t>
      </w:r>
      <w:r>
        <w:rPr>
          <w:color w:val="231F20"/>
          <w:spacing w:val="-11"/>
        </w:rPr>
        <w:t> </w:t>
      </w:r>
      <w:r>
        <w:rPr>
          <w:color w:val="231F20"/>
        </w:rPr>
        <w:t>субъек- тов Российской федерации об организации работы общеобразовательных организа-</w:t>
      </w:r>
    </w:p>
    <w:p>
      <w:pPr>
        <w:pStyle w:val="BodyText"/>
        <w:spacing w:after="0" w:line="235" w:lineRule="auto"/>
        <w:sectPr>
          <w:pgSz w:w="8400" w:h="11910"/>
          <w:pgMar w:header="0" w:footer="531" w:top="720" w:bottom="740" w:left="425" w:right="425"/>
        </w:sectPr>
      </w:pPr>
    </w:p>
    <w:p>
      <w:pPr>
        <w:spacing w:before="80"/>
        <w:ind w:left="141" w:right="0" w:firstLine="0"/>
        <w:jc w:val="left"/>
        <w:rPr>
          <w:rFonts w:ascii="Georgia" w:hAnsi="Georgia"/>
          <w:sz w:val="18"/>
        </w:rPr>
      </w:pPr>
      <w:r>
        <w:rPr>
          <w:rFonts w:ascii="Georgia" w:hAnsi="Georgia"/>
          <w:color w:val="231F20"/>
          <w:spacing w:val="-2"/>
          <w:sz w:val="18"/>
        </w:rPr>
        <w:t>Введение</w:t>
      </w:r>
    </w:p>
    <w:p>
      <w:pPr>
        <w:pStyle w:val="BodyText"/>
        <w:spacing w:line="235" w:lineRule="auto" w:before="116"/>
        <w:ind w:firstLine="0"/>
      </w:pPr>
      <w:r>
        <w:rPr>
          <w:color w:val="231F20"/>
        </w:rPr>
        <w:t>ций по языковой и социокультурной адаптации детей иностранных граждан</w:t>
      </w:r>
      <w:r>
        <w:rPr>
          <w:color w:val="231F20"/>
          <w:vertAlign w:val="superscript"/>
        </w:rPr>
        <w:t>1</w:t>
      </w:r>
      <w:r>
        <w:rPr>
          <w:color w:val="231F20"/>
          <w:vertAlign w:val="baseline"/>
        </w:rPr>
        <w:t>, целью деятельности общеобразовательных организаций, осуществляющих языковую и со- циокультурную адаптацию детей иностранных граждан, выступает формирование инклюзивной образовательной среды, обеспечивающей включение несовершенно- летних</w:t>
      </w:r>
      <w:r>
        <w:rPr>
          <w:color w:val="231F20"/>
          <w:spacing w:val="-7"/>
          <w:vertAlign w:val="baseline"/>
        </w:rPr>
        <w:t> </w:t>
      </w:r>
      <w:r>
        <w:rPr>
          <w:color w:val="231F20"/>
          <w:vertAlign w:val="baseline"/>
        </w:rPr>
        <w:t>иностранных</w:t>
      </w:r>
      <w:r>
        <w:rPr>
          <w:color w:val="231F20"/>
          <w:spacing w:val="-7"/>
          <w:vertAlign w:val="baseline"/>
        </w:rPr>
        <w:t> </w:t>
      </w:r>
      <w:r>
        <w:rPr>
          <w:color w:val="231F20"/>
          <w:vertAlign w:val="baseline"/>
        </w:rPr>
        <w:t>граждан</w:t>
      </w:r>
      <w:r>
        <w:rPr>
          <w:color w:val="231F20"/>
          <w:spacing w:val="-7"/>
          <w:vertAlign w:val="baseline"/>
        </w:rPr>
        <w:t> </w:t>
      </w:r>
      <w:r>
        <w:rPr>
          <w:color w:val="231F20"/>
          <w:vertAlign w:val="baseline"/>
        </w:rPr>
        <w:t>в</w:t>
      </w:r>
      <w:r>
        <w:rPr>
          <w:color w:val="231F20"/>
          <w:spacing w:val="-7"/>
          <w:vertAlign w:val="baseline"/>
        </w:rPr>
        <w:t> </w:t>
      </w:r>
      <w:r>
        <w:rPr>
          <w:color w:val="231F20"/>
          <w:vertAlign w:val="baseline"/>
        </w:rPr>
        <w:t>российское</w:t>
      </w:r>
      <w:r>
        <w:rPr>
          <w:color w:val="231F20"/>
          <w:spacing w:val="-7"/>
          <w:vertAlign w:val="baseline"/>
        </w:rPr>
        <w:t> </w:t>
      </w:r>
      <w:r>
        <w:rPr>
          <w:color w:val="231F20"/>
          <w:vertAlign w:val="baseline"/>
        </w:rPr>
        <w:t>образовательное</w:t>
      </w:r>
      <w:r>
        <w:rPr>
          <w:color w:val="231F20"/>
          <w:spacing w:val="-7"/>
          <w:vertAlign w:val="baseline"/>
        </w:rPr>
        <w:t> </w:t>
      </w:r>
      <w:r>
        <w:rPr>
          <w:color w:val="231F20"/>
          <w:vertAlign w:val="baseline"/>
        </w:rPr>
        <w:t>пространство</w:t>
      </w:r>
      <w:r>
        <w:rPr>
          <w:color w:val="231F20"/>
          <w:spacing w:val="-7"/>
          <w:vertAlign w:val="baseline"/>
        </w:rPr>
        <w:t> </w:t>
      </w:r>
      <w:r>
        <w:rPr>
          <w:color w:val="231F20"/>
          <w:vertAlign w:val="baseline"/>
        </w:rPr>
        <w:t>с</w:t>
      </w:r>
      <w:r>
        <w:rPr>
          <w:color w:val="231F20"/>
          <w:spacing w:val="-7"/>
          <w:vertAlign w:val="baseline"/>
        </w:rPr>
        <w:t> </w:t>
      </w:r>
      <w:r>
        <w:rPr>
          <w:color w:val="231F20"/>
          <w:vertAlign w:val="baseline"/>
        </w:rPr>
        <w:t>сохране- нием культуры и идентичности, связанных со страной исхода.</w:t>
      </w:r>
    </w:p>
    <w:p>
      <w:pPr>
        <w:pStyle w:val="BodyText"/>
        <w:spacing w:line="235" w:lineRule="auto" w:before="3"/>
      </w:pPr>
      <w:r>
        <w:rPr/>
        <w:t>При</w:t>
      </w:r>
      <w:r>
        <w:rPr>
          <w:spacing w:val="-2"/>
        </w:rPr>
        <w:t> </w:t>
      </w:r>
      <w:r>
        <w:rPr/>
        <w:t>этом</w:t>
      </w:r>
      <w:r>
        <w:rPr>
          <w:spacing w:val="-2"/>
        </w:rPr>
        <w:t> </w:t>
      </w:r>
      <w:r>
        <w:rPr/>
        <w:t>инклюзивная</w:t>
      </w:r>
      <w:r>
        <w:rPr>
          <w:spacing w:val="-2"/>
        </w:rPr>
        <w:t> </w:t>
      </w:r>
      <w:r>
        <w:rPr/>
        <w:t>образовательная</w:t>
      </w:r>
      <w:r>
        <w:rPr>
          <w:spacing w:val="-2"/>
        </w:rPr>
        <w:t> </w:t>
      </w:r>
      <w:r>
        <w:rPr/>
        <w:t>среда</w:t>
      </w:r>
      <w:r>
        <w:rPr>
          <w:spacing w:val="-2"/>
        </w:rPr>
        <w:t> </w:t>
      </w:r>
      <w:r>
        <w:rPr/>
        <w:t>понимается</w:t>
      </w:r>
      <w:r>
        <w:rPr>
          <w:spacing w:val="-2"/>
        </w:rPr>
        <w:t> </w:t>
      </w:r>
      <w:r>
        <w:rPr/>
        <w:t>как</w:t>
      </w:r>
      <w:r>
        <w:rPr>
          <w:spacing w:val="-2"/>
        </w:rPr>
        <w:t> </w:t>
      </w:r>
      <w:r>
        <w:rPr/>
        <w:t>совокупность</w:t>
      </w:r>
      <w:r>
        <w:rPr>
          <w:spacing w:val="-2"/>
        </w:rPr>
        <w:t> </w:t>
      </w:r>
      <w:r>
        <w:rPr/>
        <w:t>мер, процедур, программ, правил и действий, которые создают школьную культуру, где разнообразие человеческих потребностей и ценностей не мешает, а способствует успеху и воспринимается как норма. Такая среда обеспечивает процесс социальной инклюзии – достижения равных возможностей (независимо от пола, возраста, соци- ального</w:t>
      </w:r>
      <w:r>
        <w:rPr>
          <w:spacing w:val="-1"/>
        </w:rPr>
        <w:t> </w:t>
      </w:r>
      <w:r>
        <w:rPr/>
        <w:t>статуса,</w:t>
      </w:r>
      <w:r>
        <w:rPr>
          <w:spacing w:val="-1"/>
        </w:rPr>
        <w:t> </w:t>
      </w:r>
      <w:r>
        <w:rPr/>
        <w:t>образования,</w:t>
      </w:r>
      <w:r>
        <w:rPr>
          <w:spacing w:val="-1"/>
        </w:rPr>
        <w:t> </w:t>
      </w:r>
      <w:r>
        <w:rPr/>
        <w:t>этнической</w:t>
      </w:r>
      <w:r>
        <w:rPr>
          <w:spacing w:val="-1"/>
        </w:rPr>
        <w:t> </w:t>
      </w:r>
      <w:r>
        <w:rPr/>
        <w:t>идентичности)</w:t>
      </w:r>
      <w:r>
        <w:rPr>
          <w:spacing w:val="-1"/>
        </w:rPr>
        <w:t> </w:t>
      </w:r>
      <w:r>
        <w:rPr/>
        <w:t>для</w:t>
      </w:r>
      <w:r>
        <w:rPr>
          <w:spacing w:val="-1"/>
        </w:rPr>
        <w:t> </w:t>
      </w:r>
      <w:r>
        <w:rPr/>
        <w:t>полноценного</w:t>
      </w:r>
      <w:r>
        <w:rPr>
          <w:spacing w:val="-1"/>
        </w:rPr>
        <w:t> </w:t>
      </w:r>
      <w:r>
        <w:rPr/>
        <w:t>и</w:t>
      </w:r>
      <w:r>
        <w:rPr>
          <w:spacing w:val="-1"/>
        </w:rPr>
        <w:t> </w:t>
      </w:r>
      <w:r>
        <w:rPr/>
        <w:t>актив- ного участия в образовательном процессе.</w:t>
      </w:r>
    </w:p>
    <w:p>
      <w:pPr>
        <w:pStyle w:val="BodyText"/>
        <w:spacing w:line="235" w:lineRule="auto" w:before="5"/>
      </w:pPr>
      <w:r>
        <w:rPr/>
        <w:t>В силу особенностей и потенциальной уязвимости детей иностранных граждан они сталкиваются с серьезными трудностями при обучении. Характеристики ребен- ка,</w:t>
      </w:r>
      <w:r>
        <w:rPr>
          <w:spacing w:val="-13"/>
        </w:rPr>
        <w:t> </w:t>
      </w:r>
      <w:r>
        <w:rPr/>
        <w:t>которые</w:t>
      </w:r>
      <w:r>
        <w:rPr>
          <w:spacing w:val="-12"/>
        </w:rPr>
        <w:t> </w:t>
      </w:r>
      <w:r>
        <w:rPr/>
        <w:t>определяют</w:t>
      </w:r>
      <w:r>
        <w:rPr>
          <w:spacing w:val="-13"/>
        </w:rPr>
        <w:t> </w:t>
      </w:r>
      <w:r>
        <w:rPr/>
        <w:t>необходимость</w:t>
      </w:r>
      <w:r>
        <w:rPr>
          <w:spacing w:val="-12"/>
        </w:rPr>
        <w:t> </w:t>
      </w:r>
      <w:r>
        <w:rPr/>
        <w:t>организации</w:t>
      </w:r>
      <w:r>
        <w:rPr>
          <w:spacing w:val="-13"/>
        </w:rPr>
        <w:t> </w:t>
      </w:r>
      <w:r>
        <w:rPr/>
        <w:t>специальной</w:t>
      </w:r>
      <w:r>
        <w:rPr>
          <w:spacing w:val="-12"/>
        </w:rPr>
        <w:t> </w:t>
      </w:r>
      <w:r>
        <w:rPr/>
        <w:t>психолого-педаго- гической помощи в развитии и обучении, принято называть особыми образователь- ными</w:t>
      </w:r>
      <w:r>
        <w:rPr>
          <w:spacing w:val="-7"/>
        </w:rPr>
        <w:t> </w:t>
      </w:r>
      <w:r>
        <w:rPr/>
        <w:t>потребностями.</w:t>
      </w:r>
      <w:r>
        <w:rPr>
          <w:spacing w:val="-7"/>
        </w:rPr>
        <w:t> </w:t>
      </w:r>
      <w:r>
        <w:rPr/>
        <w:t>Особые</w:t>
      </w:r>
      <w:r>
        <w:rPr>
          <w:spacing w:val="-7"/>
        </w:rPr>
        <w:t> </w:t>
      </w:r>
      <w:r>
        <w:rPr/>
        <w:t>(дополнительные)</w:t>
      </w:r>
      <w:r>
        <w:rPr>
          <w:spacing w:val="-7"/>
        </w:rPr>
        <w:t> </w:t>
      </w:r>
      <w:r>
        <w:rPr/>
        <w:t>образовательные</w:t>
      </w:r>
      <w:r>
        <w:rPr>
          <w:spacing w:val="-7"/>
        </w:rPr>
        <w:t> </w:t>
      </w:r>
      <w:r>
        <w:rPr/>
        <w:t>потребности</w:t>
      </w:r>
      <w:r>
        <w:rPr>
          <w:spacing w:val="-7"/>
        </w:rPr>
        <w:t> </w:t>
      </w:r>
      <w:r>
        <w:rPr/>
        <w:t>–</w:t>
      </w:r>
      <w:r>
        <w:rPr>
          <w:spacing w:val="-7"/>
        </w:rPr>
        <w:t> </w:t>
      </w:r>
      <w:r>
        <w:rPr/>
        <w:t>это потребности в условиях для оптимальной реализации актуальных и потенциальных возможностей</w:t>
      </w:r>
      <w:r>
        <w:rPr>
          <w:spacing w:val="-10"/>
        </w:rPr>
        <w:t> </w:t>
      </w:r>
      <w:r>
        <w:rPr/>
        <w:t>ребенка.</w:t>
      </w:r>
      <w:r>
        <w:rPr>
          <w:spacing w:val="-10"/>
        </w:rPr>
        <w:t> </w:t>
      </w:r>
      <w:r>
        <w:rPr/>
        <w:t>Они</w:t>
      </w:r>
      <w:r>
        <w:rPr>
          <w:spacing w:val="-10"/>
        </w:rPr>
        <w:t> </w:t>
      </w:r>
      <w:r>
        <w:rPr/>
        <w:t>могут</w:t>
      </w:r>
      <w:r>
        <w:rPr>
          <w:spacing w:val="-10"/>
        </w:rPr>
        <w:t> </w:t>
      </w:r>
      <w:r>
        <w:rPr/>
        <w:t>быть</w:t>
      </w:r>
      <w:r>
        <w:rPr>
          <w:spacing w:val="-10"/>
        </w:rPr>
        <w:t> </w:t>
      </w:r>
      <w:r>
        <w:rPr/>
        <w:t>связаны</w:t>
      </w:r>
      <w:r>
        <w:rPr>
          <w:spacing w:val="-10"/>
        </w:rPr>
        <w:t> </w:t>
      </w:r>
      <w:r>
        <w:rPr/>
        <w:t>как</w:t>
      </w:r>
      <w:r>
        <w:rPr>
          <w:spacing w:val="-10"/>
        </w:rPr>
        <w:t> </w:t>
      </w:r>
      <w:r>
        <w:rPr/>
        <w:t>с</w:t>
      </w:r>
      <w:r>
        <w:rPr>
          <w:spacing w:val="-10"/>
        </w:rPr>
        <w:t> </w:t>
      </w:r>
      <w:r>
        <w:rPr/>
        <w:t>развитием</w:t>
      </w:r>
      <w:r>
        <w:rPr>
          <w:spacing w:val="-10"/>
        </w:rPr>
        <w:t> </w:t>
      </w:r>
      <w:r>
        <w:rPr/>
        <w:t>отдельных</w:t>
      </w:r>
      <w:r>
        <w:rPr>
          <w:spacing w:val="-10"/>
        </w:rPr>
        <w:t> </w:t>
      </w:r>
      <w:r>
        <w:rPr/>
        <w:t>психиче- ских функций ребенка, так и со спецификой его социализации.</w:t>
      </w:r>
    </w:p>
    <w:p>
      <w:pPr>
        <w:spacing w:line="235" w:lineRule="auto" w:before="5"/>
        <w:ind w:left="141" w:right="139" w:firstLine="283"/>
        <w:jc w:val="right"/>
        <w:rPr>
          <w:sz w:val="20"/>
        </w:rPr>
      </w:pPr>
      <w:r>
        <w:rPr>
          <w:spacing w:val="-2"/>
          <w:sz w:val="20"/>
        </w:rPr>
        <w:t>Особые (дополнительные) </w:t>
      </w:r>
      <w:r>
        <w:rPr>
          <w:i/>
          <w:spacing w:val="-2"/>
          <w:sz w:val="20"/>
        </w:rPr>
        <w:t>образовательные потребности </w:t>
      </w:r>
      <w:r>
        <w:rPr>
          <w:spacing w:val="-2"/>
          <w:sz w:val="20"/>
        </w:rPr>
        <w:t>детей-мигрантов выде- ляются</w:t>
      </w:r>
      <w:r>
        <w:rPr>
          <w:spacing w:val="-3"/>
          <w:sz w:val="20"/>
        </w:rPr>
        <w:t> </w:t>
      </w:r>
      <w:r>
        <w:rPr>
          <w:spacing w:val="-2"/>
          <w:sz w:val="20"/>
        </w:rPr>
        <w:t>нами</w:t>
      </w:r>
      <w:r>
        <w:rPr>
          <w:spacing w:val="-3"/>
          <w:sz w:val="20"/>
        </w:rPr>
        <w:t> </w:t>
      </w:r>
      <w:r>
        <w:rPr>
          <w:spacing w:val="-2"/>
          <w:sz w:val="20"/>
        </w:rPr>
        <w:t>(Хухлаев,</w:t>
      </w:r>
      <w:r>
        <w:rPr>
          <w:spacing w:val="-3"/>
          <w:sz w:val="20"/>
        </w:rPr>
        <w:t> </w:t>
      </w:r>
      <w:r>
        <w:rPr>
          <w:spacing w:val="-2"/>
          <w:sz w:val="20"/>
        </w:rPr>
        <w:t>Чибисова,</w:t>
      </w:r>
      <w:r>
        <w:rPr>
          <w:spacing w:val="-3"/>
          <w:sz w:val="20"/>
        </w:rPr>
        <w:t> </w:t>
      </w:r>
      <w:r>
        <w:rPr>
          <w:spacing w:val="-2"/>
          <w:sz w:val="20"/>
        </w:rPr>
        <w:t>Шеманов,</w:t>
      </w:r>
      <w:r>
        <w:rPr>
          <w:spacing w:val="-3"/>
          <w:sz w:val="20"/>
        </w:rPr>
        <w:t> </w:t>
      </w:r>
      <w:r>
        <w:rPr>
          <w:spacing w:val="-2"/>
          <w:sz w:val="20"/>
        </w:rPr>
        <w:t>2015)</w:t>
      </w:r>
      <w:r>
        <w:rPr>
          <w:spacing w:val="-3"/>
          <w:sz w:val="20"/>
        </w:rPr>
        <w:t> </w:t>
      </w:r>
      <w:r>
        <w:rPr>
          <w:i/>
          <w:spacing w:val="-2"/>
          <w:sz w:val="20"/>
        </w:rPr>
        <w:t>на</w:t>
      </w:r>
      <w:r>
        <w:rPr>
          <w:i/>
          <w:spacing w:val="-3"/>
          <w:sz w:val="20"/>
        </w:rPr>
        <w:t> </w:t>
      </w:r>
      <w:r>
        <w:rPr>
          <w:i/>
          <w:spacing w:val="-2"/>
          <w:sz w:val="20"/>
        </w:rPr>
        <w:t>основе</w:t>
      </w:r>
      <w:r>
        <w:rPr>
          <w:i/>
          <w:spacing w:val="-3"/>
          <w:sz w:val="20"/>
        </w:rPr>
        <w:t> </w:t>
      </w:r>
      <w:r>
        <w:rPr>
          <w:i/>
          <w:spacing w:val="-2"/>
          <w:sz w:val="20"/>
        </w:rPr>
        <w:t>причин</w:t>
      </w:r>
      <w:r>
        <w:rPr>
          <w:i/>
          <w:spacing w:val="-3"/>
          <w:sz w:val="20"/>
        </w:rPr>
        <w:t> </w:t>
      </w:r>
      <w:r>
        <w:rPr>
          <w:i/>
          <w:spacing w:val="-2"/>
          <w:sz w:val="20"/>
        </w:rPr>
        <w:t>возможных</w:t>
      </w:r>
      <w:r>
        <w:rPr>
          <w:i/>
          <w:spacing w:val="-3"/>
          <w:sz w:val="20"/>
        </w:rPr>
        <w:t> </w:t>
      </w:r>
      <w:r>
        <w:rPr>
          <w:i/>
          <w:spacing w:val="-2"/>
          <w:sz w:val="20"/>
        </w:rPr>
        <w:t>обра- зовательных</w:t>
      </w:r>
      <w:r>
        <w:rPr>
          <w:i/>
          <w:spacing w:val="-4"/>
          <w:sz w:val="20"/>
        </w:rPr>
        <w:t> </w:t>
      </w:r>
      <w:r>
        <w:rPr>
          <w:i/>
          <w:spacing w:val="-2"/>
          <w:sz w:val="20"/>
        </w:rPr>
        <w:t>затруднений,</w:t>
      </w:r>
      <w:r>
        <w:rPr>
          <w:i/>
          <w:spacing w:val="-4"/>
          <w:sz w:val="20"/>
        </w:rPr>
        <w:t> </w:t>
      </w:r>
      <w:r>
        <w:rPr>
          <w:spacing w:val="-2"/>
          <w:sz w:val="20"/>
        </w:rPr>
        <w:t>которые</w:t>
      </w:r>
      <w:r>
        <w:rPr>
          <w:spacing w:val="-4"/>
          <w:sz w:val="20"/>
        </w:rPr>
        <w:t> </w:t>
      </w:r>
      <w:r>
        <w:rPr>
          <w:spacing w:val="-2"/>
          <w:sz w:val="20"/>
        </w:rPr>
        <w:t>могут</w:t>
      </w:r>
      <w:r>
        <w:rPr>
          <w:spacing w:val="-4"/>
          <w:sz w:val="20"/>
        </w:rPr>
        <w:t> </w:t>
      </w:r>
      <w:r>
        <w:rPr>
          <w:spacing w:val="-2"/>
          <w:sz w:val="20"/>
        </w:rPr>
        <w:t>присутствовать</w:t>
      </w:r>
      <w:r>
        <w:rPr>
          <w:spacing w:val="-4"/>
          <w:sz w:val="20"/>
        </w:rPr>
        <w:t> </w:t>
      </w:r>
      <w:r>
        <w:rPr>
          <w:spacing w:val="-2"/>
          <w:sz w:val="20"/>
        </w:rPr>
        <w:t>у</w:t>
      </w:r>
      <w:r>
        <w:rPr>
          <w:spacing w:val="-4"/>
          <w:sz w:val="20"/>
        </w:rPr>
        <w:t> </w:t>
      </w:r>
      <w:r>
        <w:rPr>
          <w:spacing w:val="-2"/>
          <w:sz w:val="20"/>
        </w:rPr>
        <w:t>данной</w:t>
      </w:r>
      <w:r>
        <w:rPr>
          <w:spacing w:val="-4"/>
          <w:sz w:val="20"/>
        </w:rPr>
        <w:t> </w:t>
      </w:r>
      <w:r>
        <w:rPr>
          <w:spacing w:val="-2"/>
          <w:sz w:val="20"/>
        </w:rPr>
        <w:t>группы</w:t>
      </w:r>
      <w:r>
        <w:rPr>
          <w:spacing w:val="-4"/>
          <w:sz w:val="20"/>
        </w:rPr>
        <w:t> </w:t>
      </w:r>
      <w:r>
        <w:rPr>
          <w:spacing w:val="-2"/>
          <w:sz w:val="20"/>
        </w:rPr>
        <w:t>учащихся. </w:t>
      </w:r>
      <w:r>
        <w:rPr>
          <w:i/>
          <w:sz w:val="20"/>
        </w:rPr>
        <w:t>Первая причина </w:t>
      </w:r>
      <w:r>
        <w:rPr>
          <w:sz w:val="20"/>
        </w:rPr>
        <w:t>– недостаточный уровень владения русским языком, что препят-</w:t>
      </w:r>
    </w:p>
    <w:p>
      <w:pPr>
        <w:pStyle w:val="BodyText"/>
        <w:spacing w:line="227" w:lineRule="exact"/>
        <w:ind w:right="0" w:firstLine="0"/>
      </w:pPr>
      <w:r>
        <w:rPr/>
        <w:t>ствует</w:t>
      </w:r>
      <w:r>
        <w:rPr>
          <w:spacing w:val="-6"/>
        </w:rPr>
        <w:t> </w:t>
      </w:r>
      <w:r>
        <w:rPr/>
        <w:t>успешному</w:t>
      </w:r>
      <w:r>
        <w:rPr>
          <w:spacing w:val="-6"/>
        </w:rPr>
        <w:t> </w:t>
      </w:r>
      <w:r>
        <w:rPr/>
        <w:t>освоению</w:t>
      </w:r>
      <w:r>
        <w:rPr>
          <w:spacing w:val="-7"/>
        </w:rPr>
        <w:t> </w:t>
      </w:r>
      <w:r>
        <w:rPr/>
        <w:t>образовательной</w:t>
      </w:r>
      <w:r>
        <w:rPr>
          <w:spacing w:val="-6"/>
        </w:rPr>
        <w:t> </w:t>
      </w:r>
      <w:r>
        <w:rPr/>
        <w:t>программы</w:t>
      </w:r>
      <w:r>
        <w:rPr>
          <w:spacing w:val="-6"/>
        </w:rPr>
        <w:t> </w:t>
      </w:r>
      <w:r>
        <w:rPr/>
        <w:t>и</w:t>
      </w:r>
      <w:r>
        <w:rPr>
          <w:spacing w:val="-6"/>
        </w:rPr>
        <w:t> </w:t>
      </w:r>
      <w:r>
        <w:rPr>
          <w:spacing w:val="-2"/>
        </w:rPr>
        <w:t>социализации.</w:t>
      </w:r>
    </w:p>
    <w:p>
      <w:pPr>
        <w:pStyle w:val="BodyText"/>
        <w:spacing w:line="235" w:lineRule="auto" w:before="1"/>
      </w:pPr>
      <w:r>
        <w:rPr>
          <w:i/>
        </w:rPr>
        <w:t>Вторая причина </w:t>
      </w:r>
      <w:r>
        <w:rPr/>
        <w:t>– несоответствие уровня знаний, полученных в стране исхода, российским образовательным стандартам; разные требования учебных программ.</w:t>
      </w:r>
    </w:p>
    <w:p>
      <w:pPr>
        <w:pStyle w:val="BodyText"/>
        <w:spacing w:line="235" w:lineRule="auto" w:before="2"/>
      </w:pPr>
      <w:r>
        <w:rPr>
          <w:i/>
        </w:rPr>
        <w:t>Третья</w:t>
      </w:r>
      <w:r>
        <w:rPr>
          <w:i/>
          <w:spacing w:val="-8"/>
        </w:rPr>
        <w:t> </w:t>
      </w:r>
      <w:r>
        <w:rPr>
          <w:i/>
        </w:rPr>
        <w:t>причина</w:t>
      </w:r>
      <w:r>
        <w:rPr>
          <w:i/>
          <w:spacing w:val="-8"/>
        </w:rPr>
        <w:t> </w:t>
      </w:r>
      <w:r>
        <w:rPr/>
        <w:t>–</w:t>
      </w:r>
      <w:r>
        <w:rPr>
          <w:spacing w:val="-8"/>
        </w:rPr>
        <w:t> </w:t>
      </w:r>
      <w:r>
        <w:rPr/>
        <w:t>эмоциональные</w:t>
      </w:r>
      <w:r>
        <w:rPr>
          <w:spacing w:val="-8"/>
        </w:rPr>
        <w:t> </w:t>
      </w:r>
      <w:r>
        <w:rPr/>
        <w:t>трудности,</w:t>
      </w:r>
      <w:r>
        <w:rPr>
          <w:spacing w:val="-8"/>
        </w:rPr>
        <w:t> </w:t>
      </w:r>
      <w:r>
        <w:rPr/>
        <w:t>вызванные</w:t>
      </w:r>
      <w:r>
        <w:rPr>
          <w:spacing w:val="-8"/>
        </w:rPr>
        <w:t> </w:t>
      </w:r>
      <w:r>
        <w:rPr/>
        <w:t>переживанием</w:t>
      </w:r>
      <w:r>
        <w:rPr>
          <w:spacing w:val="-8"/>
        </w:rPr>
        <w:t> </w:t>
      </w:r>
      <w:r>
        <w:rPr/>
        <w:t>миграци- онного стресса.</w:t>
      </w:r>
    </w:p>
    <w:p>
      <w:pPr>
        <w:pStyle w:val="BodyText"/>
        <w:spacing w:line="235" w:lineRule="auto" w:before="1"/>
      </w:pPr>
      <w:r>
        <w:rPr>
          <w:i/>
        </w:rPr>
        <w:t>Четвертая причина </w:t>
      </w:r>
      <w:r>
        <w:rPr/>
        <w:t>– отсутствие или нехватка соответствующих возрасту соци- альных навыков, по умолчанию наличествующих у представителей принимающего </w:t>
      </w:r>
      <w:r>
        <w:rPr>
          <w:spacing w:val="-2"/>
        </w:rPr>
        <w:t>общества.</w:t>
      </w:r>
    </w:p>
    <w:p>
      <w:pPr>
        <w:pStyle w:val="BodyText"/>
        <w:spacing w:line="235" w:lineRule="auto" w:before="2"/>
      </w:pPr>
      <w:r>
        <w:rPr>
          <w:i/>
        </w:rPr>
        <w:t>Пятая</w:t>
      </w:r>
      <w:r>
        <w:rPr>
          <w:i/>
          <w:spacing w:val="-2"/>
        </w:rPr>
        <w:t> </w:t>
      </w:r>
      <w:r>
        <w:rPr>
          <w:i/>
        </w:rPr>
        <w:t>причина</w:t>
      </w:r>
      <w:r>
        <w:rPr>
          <w:i/>
          <w:spacing w:val="-2"/>
        </w:rPr>
        <w:t> </w:t>
      </w:r>
      <w:r>
        <w:rPr/>
        <w:t>–</w:t>
      </w:r>
      <w:r>
        <w:rPr>
          <w:spacing w:val="-2"/>
        </w:rPr>
        <w:t> </w:t>
      </w:r>
      <w:r>
        <w:rPr/>
        <w:t>ориентация</w:t>
      </w:r>
      <w:r>
        <w:rPr>
          <w:spacing w:val="-2"/>
        </w:rPr>
        <w:t> </w:t>
      </w:r>
      <w:r>
        <w:rPr/>
        <w:t>на</w:t>
      </w:r>
      <w:r>
        <w:rPr>
          <w:spacing w:val="-2"/>
        </w:rPr>
        <w:t> </w:t>
      </w:r>
      <w:r>
        <w:rPr/>
        <w:t>нормы</w:t>
      </w:r>
      <w:r>
        <w:rPr>
          <w:spacing w:val="-2"/>
        </w:rPr>
        <w:t> </w:t>
      </w:r>
      <w:r>
        <w:rPr/>
        <w:t>и</w:t>
      </w:r>
      <w:r>
        <w:rPr>
          <w:spacing w:val="-2"/>
        </w:rPr>
        <w:t> </w:t>
      </w:r>
      <w:r>
        <w:rPr/>
        <w:t>правила</w:t>
      </w:r>
      <w:r>
        <w:rPr>
          <w:spacing w:val="-2"/>
        </w:rPr>
        <w:t> </w:t>
      </w:r>
      <w:r>
        <w:rPr/>
        <w:t>культуры</w:t>
      </w:r>
      <w:r>
        <w:rPr>
          <w:spacing w:val="-2"/>
        </w:rPr>
        <w:t> </w:t>
      </w:r>
      <w:r>
        <w:rPr/>
        <w:t>страны</w:t>
      </w:r>
      <w:r>
        <w:rPr>
          <w:spacing w:val="-2"/>
        </w:rPr>
        <w:t> </w:t>
      </w:r>
      <w:r>
        <w:rPr/>
        <w:t>и</w:t>
      </w:r>
      <w:r>
        <w:rPr>
          <w:spacing w:val="-2"/>
        </w:rPr>
        <w:t> </w:t>
      </w:r>
      <w:r>
        <w:rPr/>
        <w:t>региона</w:t>
      </w:r>
      <w:r>
        <w:rPr>
          <w:spacing w:val="-2"/>
        </w:rPr>
        <w:t> </w:t>
      </w:r>
      <w:r>
        <w:rPr/>
        <w:t>ис- хода, отличающиеся от принятых в регионе обучения в России.</w:t>
      </w:r>
    </w:p>
    <w:p>
      <w:pPr>
        <w:pStyle w:val="BodyText"/>
        <w:spacing w:line="225" w:lineRule="exact"/>
        <w:ind w:left="425" w:right="0" w:firstLine="0"/>
      </w:pPr>
      <w:r>
        <w:rPr>
          <w:color w:val="231F20"/>
        </w:rPr>
        <w:t>Согласно</w:t>
      </w:r>
      <w:r>
        <w:rPr>
          <w:color w:val="231F20"/>
          <w:spacing w:val="55"/>
        </w:rPr>
        <w:t> </w:t>
      </w:r>
      <w:r>
        <w:rPr>
          <w:color w:val="18171C"/>
        </w:rPr>
        <w:t>положениям</w:t>
      </w:r>
      <w:r>
        <w:rPr>
          <w:color w:val="18171C"/>
          <w:spacing w:val="55"/>
        </w:rPr>
        <w:t> </w:t>
      </w:r>
      <w:r>
        <w:rPr>
          <w:color w:val="18171C"/>
        </w:rPr>
        <w:t>статьи</w:t>
      </w:r>
      <w:r>
        <w:rPr>
          <w:color w:val="18171C"/>
          <w:spacing w:val="55"/>
        </w:rPr>
        <w:t> </w:t>
      </w:r>
      <w:r>
        <w:rPr>
          <w:color w:val="18171C"/>
        </w:rPr>
        <w:t>42</w:t>
      </w:r>
      <w:r>
        <w:rPr>
          <w:color w:val="18171C"/>
          <w:spacing w:val="55"/>
        </w:rPr>
        <w:t> </w:t>
      </w:r>
      <w:r>
        <w:rPr>
          <w:color w:val="18171C"/>
        </w:rPr>
        <w:t>Федерального</w:t>
      </w:r>
      <w:r>
        <w:rPr>
          <w:color w:val="18171C"/>
          <w:spacing w:val="55"/>
        </w:rPr>
        <w:t> </w:t>
      </w:r>
      <w:r>
        <w:rPr>
          <w:color w:val="18171C"/>
        </w:rPr>
        <w:t>закона</w:t>
      </w:r>
      <w:r>
        <w:rPr>
          <w:color w:val="18171C"/>
          <w:spacing w:val="55"/>
        </w:rPr>
        <w:t> </w:t>
      </w:r>
      <w:r>
        <w:rPr>
          <w:color w:val="18171C"/>
        </w:rPr>
        <w:t>от</w:t>
      </w:r>
      <w:r>
        <w:rPr>
          <w:color w:val="18171C"/>
          <w:spacing w:val="55"/>
        </w:rPr>
        <w:t> </w:t>
      </w:r>
      <w:r>
        <w:rPr>
          <w:color w:val="18171C"/>
        </w:rPr>
        <w:t>29</w:t>
      </w:r>
      <w:r>
        <w:rPr>
          <w:color w:val="18171C"/>
          <w:spacing w:val="56"/>
        </w:rPr>
        <w:t> </w:t>
      </w:r>
      <w:r>
        <w:rPr>
          <w:color w:val="18171C"/>
        </w:rPr>
        <w:t>декабря</w:t>
      </w:r>
      <w:r>
        <w:rPr>
          <w:color w:val="18171C"/>
          <w:spacing w:val="55"/>
        </w:rPr>
        <w:t> </w:t>
      </w:r>
      <w:r>
        <w:rPr>
          <w:color w:val="18171C"/>
        </w:rPr>
        <w:t>2012</w:t>
      </w:r>
      <w:r>
        <w:rPr>
          <w:color w:val="18171C"/>
          <w:spacing w:val="-2"/>
        </w:rPr>
        <w:t> </w:t>
      </w:r>
      <w:r>
        <w:rPr>
          <w:color w:val="18171C"/>
          <w:spacing w:val="-5"/>
        </w:rPr>
        <w:t>г.</w:t>
      </w:r>
    </w:p>
    <w:p>
      <w:pPr>
        <w:pStyle w:val="BodyText"/>
        <w:spacing w:line="235" w:lineRule="auto" w:before="2"/>
        <w:ind w:firstLine="0"/>
      </w:pPr>
      <w:r>
        <w:rPr>
          <w:color w:val="18171C"/>
        </w:rPr>
        <w:t>№ 273-ФЗ «Об образовании в Российской Федерации» </w:t>
      </w:r>
      <w:r>
        <w:rPr/>
        <w:t>психолого-педагогическая помощь оказывается детям, испытывающим трудности в освоении основных обще- образовательных программ, развитии и социальной адаптации. К этой категории от- носятся и дети иностранных граждан с выраженными особыми (дополнительными) образовательными потребностями. </w:t>
      </w:r>
      <w:r>
        <w:rPr>
          <w:color w:val="231F20"/>
        </w:rPr>
        <w:t>Очевидно, что именно третья, четвертая и пятая группы причин, обусловивших особые (дополнительные) образовательные потреб-</w:t>
      </w:r>
    </w:p>
    <w:p>
      <w:pPr>
        <w:pStyle w:val="BodyText"/>
        <w:spacing w:before="10"/>
        <w:ind w:left="0" w:right="0" w:firstLine="0"/>
        <w:jc w:val="left"/>
        <w:rPr>
          <w:sz w:val="11"/>
        </w:rPr>
      </w:pPr>
      <w:r>
        <w:rPr>
          <w:sz w:val="11"/>
        </w:rPr>
        <mc:AlternateContent>
          <mc:Choice Requires="wps">
            <w:drawing>
              <wp:anchor distT="0" distB="0" distL="0" distR="0" allowOverlap="1" layoutInCell="1" locked="0" behindDoc="1" simplePos="0" relativeHeight="487618560">
                <wp:simplePos x="0" y="0"/>
                <wp:positionH relativeFrom="page">
                  <wp:posOffset>360000</wp:posOffset>
                </wp:positionH>
                <wp:positionV relativeFrom="paragraph">
                  <wp:posOffset>101995</wp:posOffset>
                </wp:positionV>
                <wp:extent cx="1440180" cy="1270"/>
                <wp:effectExtent l="0" t="0" r="0" b="0"/>
                <wp:wrapTopAndBottom/>
                <wp:docPr id="101" name="Graphic 101"/>
                <wp:cNvGraphicFramePr>
                  <a:graphicFrameLocks/>
                </wp:cNvGraphicFramePr>
                <a:graphic>
                  <a:graphicData uri="http://schemas.microsoft.com/office/word/2010/wordprocessingShape">
                    <wps:wsp>
                      <wps:cNvPr id="101" name="Graphic 101"/>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5pt;margin-top:8.031157pt;width:113.4pt;height:.1pt;mso-position-horizontal-relative:page;mso-position-vertical-relative:paragraph;z-index:-15697920;mso-wrap-distance-left:0;mso-wrap-distance-right:0" id="docshape61" coordorigin="567,161" coordsize="2268,0" path="m567,161l2835,161e" filled="false" stroked="true" strokeweight=".5pt" strokecolor="#231f20">
                <v:path arrowok="t"/>
                <v:stroke dashstyle="solid"/>
                <w10:wrap type="topAndBottom"/>
              </v:shape>
            </w:pict>
          </mc:Fallback>
        </mc:AlternateContent>
      </w:r>
    </w:p>
    <w:p>
      <w:pPr>
        <w:spacing w:line="232" w:lineRule="auto" w:before="32"/>
        <w:ind w:left="141" w:right="139" w:firstLine="0"/>
        <w:jc w:val="both"/>
        <w:rPr>
          <w:sz w:val="18"/>
        </w:rPr>
      </w:pPr>
      <w:r>
        <w:rPr>
          <w:color w:val="231F20"/>
          <w:sz w:val="18"/>
          <w:vertAlign w:val="superscript"/>
        </w:rPr>
        <w:t>1</w:t>
      </w:r>
      <w:r>
        <w:rPr>
          <w:color w:val="231F20"/>
          <w:spacing w:val="80"/>
          <w:sz w:val="18"/>
          <w:vertAlign w:val="baseline"/>
        </w:rPr>
        <w:t> </w:t>
      </w:r>
      <w:r>
        <w:rPr>
          <w:color w:val="231F20"/>
          <w:sz w:val="18"/>
          <w:vertAlign w:val="baseline"/>
        </w:rPr>
        <w:t>Направлены руководителям органов исполнительной власти субъектов Российской Феде- рации, осуществляющих государственное управление в сфере образования (Письмо Минпро- свещения РФ № РР-202/07 от 16.08.2021).</w:t>
      </w:r>
    </w:p>
    <w:p>
      <w:pPr>
        <w:spacing w:after="0" w:line="232" w:lineRule="auto"/>
        <w:jc w:val="both"/>
        <w:rPr>
          <w:sz w:val="18"/>
        </w:rPr>
        <w:sectPr>
          <w:pgSz w:w="8400" w:h="11910"/>
          <w:pgMar w:header="0" w:footer="531"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Введение</w:t>
      </w:r>
    </w:p>
    <w:p>
      <w:pPr>
        <w:pStyle w:val="BodyText"/>
        <w:spacing w:line="230" w:lineRule="auto" w:before="119"/>
        <w:ind w:firstLine="0"/>
      </w:pPr>
      <w:r>
        <w:rPr>
          <w:color w:val="231F20"/>
        </w:rPr>
        <w:t>ности детей-мигрантов, являются «мишенями» программы психолого-педагогиче- ского сопровождения.</w:t>
      </w:r>
    </w:p>
    <w:p>
      <w:pPr>
        <w:pStyle w:val="BodyText"/>
        <w:spacing w:line="230" w:lineRule="auto"/>
      </w:pPr>
      <w:r>
        <w:rPr>
          <w:color w:val="231F20"/>
        </w:rPr>
        <w:t>Таким</w:t>
      </w:r>
      <w:r>
        <w:rPr>
          <w:color w:val="231F20"/>
          <w:spacing w:val="-10"/>
        </w:rPr>
        <w:t> </w:t>
      </w:r>
      <w:r>
        <w:rPr>
          <w:color w:val="231F20"/>
        </w:rPr>
        <w:t>образом,</w:t>
      </w:r>
      <w:r>
        <w:rPr>
          <w:color w:val="231F20"/>
          <w:spacing w:val="-9"/>
        </w:rPr>
        <w:t> </w:t>
      </w:r>
      <w:r>
        <w:rPr>
          <w:color w:val="231F20"/>
        </w:rPr>
        <w:t>цель</w:t>
      </w:r>
      <w:r>
        <w:rPr>
          <w:color w:val="231F20"/>
          <w:spacing w:val="-10"/>
        </w:rPr>
        <w:t> </w:t>
      </w:r>
      <w:r>
        <w:rPr>
          <w:color w:val="231F20"/>
        </w:rPr>
        <w:t>программы</w:t>
      </w:r>
      <w:r>
        <w:rPr>
          <w:color w:val="231F20"/>
          <w:spacing w:val="-10"/>
        </w:rPr>
        <w:t> </w:t>
      </w:r>
      <w:r>
        <w:rPr>
          <w:color w:val="231F20"/>
        </w:rPr>
        <w:t>психолого-педагогического</w:t>
      </w:r>
      <w:r>
        <w:rPr>
          <w:color w:val="231F20"/>
          <w:spacing w:val="-10"/>
        </w:rPr>
        <w:t> </w:t>
      </w:r>
      <w:r>
        <w:rPr>
          <w:color w:val="231F20"/>
        </w:rPr>
        <w:t>сопровождения</w:t>
      </w:r>
      <w:r>
        <w:rPr>
          <w:color w:val="231F20"/>
          <w:spacing w:val="-10"/>
        </w:rPr>
        <w:t> </w:t>
      </w:r>
      <w:r>
        <w:rPr>
          <w:color w:val="231F20"/>
        </w:rPr>
        <w:t>про- цессов обучения, социальной, языковой и культурной адаптации детей иностран- ных граждан (далее – программа) </w:t>
      </w:r>
      <w:r>
        <w:rPr/>
        <w:t>заключается в обеспечении социальной инклюзии детей-мигрантов</w:t>
      </w:r>
      <w:r>
        <w:rPr>
          <w:spacing w:val="-13"/>
        </w:rPr>
        <w:t> </w:t>
      </w:r>
      <w:r>
        <w:rPr/>
        <w:t>через</w:t>
      </w:r>
      <w:r>
        <w:rPr>
          <w:spacing w:val="-12"/>
        </w:rPr>
        <w:t> </w:t>
      </w:r>
      <w:r>
        <w:rPr/>
        <w:t>оказание</w:t>
      </w:r>
      <w:r>
        <w:rPr>
          <w:spacing w:val="-13"/>
        </w:rPr>
        <w:t> </w:t>
      </w:r>
      <w:r>
        <w:rPr/>
        <w:t>им</w:t>
      </w:r>
      <w:r>
        <w:rPr>
          <w:spacing w:val="-12"/>
        </w:rPr>
        <w:t> </w:t>
      </w:r>
      <w:r>
        <w:rPr/>
        <w:t>дифференцированной</w:t>
      </w:r>
      <w:r>
        <w:rPr>
          <w:spacing w:val="-13"/>
        </w:rPr>
        <w:t> </w:t>
      </w:r>
      <w:r>
        <w:rPr/>
        <w:t>психолого-педагогической поддержки</w:t>
      </w:r>
      <w:r>
        <w:rPr>
          <w:spacing w:val="-5"/>
        </w:rPr>
        <w:t> </w:t>
      </w:r>
      <w:r>
        <w:rPr/>
        <w:t>и</w:t>
      </w:r>
      <w:r>
        <w:rPr>
          <w:spacing w:val="-4"/>
        </w:rPr>
        <w:t> </w:t>
      </w:r>
      <w:r>
        <w:rPr/>
        <w:t>создание</w:t>
      </w:r>
      <w:r>
        <w:rPr>
          <w:spacing w:val="-4"/>
        </w:rPr>
        <w:t> </w:t>
      </w:r>
      <w:r>
        <w:rPr/>
        <w:t>в</w:t>
      </w:r>
      <w:r>
        <w:rPr>
          <w:spacing w:val="-4"/>
        </w:rPr>
        <w:t> </w:t>
      </w:r>
      <w:r>
        <w:rPr/>
        <w:t>образовательном</w:t>
      </w:r>
      <w:r>
        <w:rPr>
          <w:spacing w:val="-4"/>
        </w:rPr>
        <w:t> </w:t>
      </w:r>
      <w:r>
        <w:rPr/>
        <w:t>пространстве</w:t>
      </w:r>
      <w:r>
        <w:rPr>
          <w:spacing w:val="-4"/>
        </w:rPr>
        <w:t> </w:t>
      </w:r>
      <w:r>
        <w:rPr/>
        <w:t>определенных</w:t>
      </w:r>
      <w:r>
        <w:rPr>
          <w:spacing w:val="-5"/>
        </w:rPr>
        <w:t> </w:t>
      </w:r>
      <w:r>
        <w:rPr/>
        <w:t>образователь- ных условий в соответствии с их особыми образовательными потребностями в сфе- рах психологического благополучия, социальных навыков и культурной адаптации.</w:t>
      </w:r>
    </w:p>
    <w:p>
      <w:pPr>
        <w:pStyle w:val="BodyText"/>
        <w:spacing w:line="230" w:lineRule="auto"/>
        <w:ind w:right="140"/>
      </w:pPr>
      <w:r>
        <w:rPr>
          <w:b/>
        </w:rPr>
        <w:t>Задачи </w:t>
      </w:r>
      <w:r>
        <w:rPr/>
        <w:t>программы структурированы в соответствии с вышеуказанными тремя особыми (дополнительными) образовательными потребностями </w:t>
      </w:r>
      <w:r>
        <w:rPr>
          <w:color w:val="231F20"/>
        </w:rPr>
        <w:t>детей иностранных </w:t>
      </w:r>
      <w:r>
        <w:rPr>
          <w:color w:val="231F20"/>
          <w:spacing w:val="-2"/>
        </w:rPr>
        <w:t>граждан.</w:t>
      </w:r>
    </w:p>
    <w:p>
      <w:pPr>
        <w:spacing w:line="230" w:lineRule="auto" w:before="104"/>
        <w:ind w:left="425" w:right="139" w:firstLine="0"/>
        <w:jc w:val="both"/>
        <w:rPr>
          <w:b/>
          <w:i/>
          <w:sz w:val="20"/>
        </w:rPr>
      </w:pPr>
      <w:r>
        <w:rPr>
          <w:b/>
          <w:i/>
          <w:sz w:val="20"/>
        </w:rPr>
        <w:t>Задачи программы в области особых (дополнительных) образовательных по- требностей </w:t>
      </w:r>
      <w:r>
        <w:rPr>
          <w:b/>
          <w:i/>
          <w:color w:val="231F20"/>
          <w:sz w:val="20"/>
        </w:rPr>
        <w:t>детей иностранных граждан</w:t>
      </w:r>
    </w:p>
    <w:p>
      <w:pPr>
        <w:spacing w:line="216" w:lineRule="exact" w:before="0"/>
        <w:ind w:left="141" w:right="0" w:firstLine="0"/>
        <w:jc w:val="both"/>
        <w:rPr>
          <w:i/>
          <w:sz w:val="20"/>
        </w:rPr>
      </w:pPr>
      <w:r>
        <w:rPr>
          <w:i/>
          <w:sz w:val="20"/>
        </w:rPr>
        <w:t>А.</w:t>
      </w:r>
      <w:r>
        <w:rPr>
          <w:i/>
          <w:spacing w:val="47"/>
          <w:sz w:val="20"/>
        </w:rPr>
        <w:t> </w:t>
      </w:r>
      <w:r>
        <w:rPr>
          <w:i/>
          <w:sz w:val="20"/>
        </w:rPr>
        <w:t>Психологическое</w:t>
      </w:r>
      <w:r>
        <w:rPr>
          <w:i/>
          <w:spacing w:val="-5"/>
          <w:sz w:val="20"/>
        </w:rPr>
        <w:t> </w:t>
      </w:r>
      <w:r>
        <w:rPr>
          <w:i/>
          <w:spacing w:val="-2"/>
          <w:sz w:val="20"/>
        </w:rPr>
        <w:t>благополучие</w:t>
      </w:r>
    </w:p>
    <w:p>
      <w:pPr>
        <w:pStyle w:val="ListParagraph"/>
        <w:numPr>
          <w:ilvl w:val="0"/>
          <w:numId w:val="38"/>
        </w:numPr>
        <w:tabs>
          <w:tab w:pos="706" w:val="left" w:leader="none"/>
          <w:tab w:pos="708" w:val="left" w:leader="none"/>
        </w:tabs>
        <w:spacing w:line="230" w:lineRule="auto" w:before="3" w:after="0"/>
        <w:ind w:left="708" w:right="139" w:hanging="284"/>
        <w:jc w:val="both"/>
        <w:rPr>
          <w:sz w:val="20"/>
        </w:rPr>
      </w:pPr>
      <w:r>
        <w:rPr>
          <w:sz w:val="20"/>
        </w:rPr>
        <w:t>Снижение выраженности психологических трудностей: эмоциональных про- блем, проблем с поведением.</w:t>
      </w:r>
    </w:p>
    <w:p>
      <w:pPr>
        <w:pStyle w:val="ListParagraph"/>
        <w:numPr>
          <w:ilvl w:val="0"/>
          <w:numId w:val="38"/>
        </w:numPr>
        <w:tabs>
          <w:tab w:pos="706" w:val="left" w:leader="none"/>
          <w:tab w:pos="708" w:val="left" w:leader="none"/>
        </w:tabs>
        <w:spacing w:line="230" w:lineRule="auto" w:before="0" w:after="0"/>
        <w:ind w:left="708" w:right="139" w:hanging="284"/>
        <w:jc w:val="both"/>
        <w:rPr>
          <w:sz w:val="20"/>
        </w:rPr>
      </w:pPr>
      <w:r>
        <w:rPr>
          <w:spacing w:val="-2"/>
          <w:sz w:val="20"/>
        </w:rPr>
        <w:t>Повышение субъективного и психологического благополучия, уровня удовлет- </w:t>
      </w:r>
      <w:r>
        <w:rPr>
          <w:sz w:val="20"/>
        </w:rPr>
        <w:t>воренности жизнью в различных сферах.</w:t>
      </w:r>
    </w:p>
    <w:p>
      <w:pPr>
        <w:spacing w:line="216" w:lineRule="exact" w:before="0"/>
        <w:ind w:left="141" w:right="0" w:firstLine="0"/>
        <w:jc w:val="both"/>
        <w:rPr>
          <w:i/>
          <w:sz w:val="20"/>
        </w:rPr>
      </w:pPr>
      <w:r>
        <w:rPr>
          <w:i/>
          <w:sz w:val="20"/>
        </w:rPr>
        <w:t>Б.</w:t>
      </w:r>
      <w:r>
        <w:rPr>
          <w:i/>
          <w:spacing w:val="65"/>
          <w:sz w:val="20"/>
        </w:rPr>
        <w:t> </w:t>
      </w:r>
      <w:r>
        <w:rPr>
          <w:i/>
          <w:sz w:val="20"/>
        </w:rPr>
        <w:t>Социальные</w:t>
      </w:r>
      <w:r>
        <w:rPr>
          <w:i/>
          <w:spacing w:val="1"/>
          <w:sz w:val="20"/>
        </w:rPr>
        <w:t> </w:t>
      </w:r>
      <w:r>
        <w:rPr>
          <w:i/>
          <w:spacing w:val="-2"/>
          <w:sz w:val="20"/>
        </w:rPr>
        <w:t>навыки</w:t>
      </w:r>
    </w:p>
    <w:p>
      <w:pPr>
        <w:pStyle w:val="ListParagraph"/>
        <w:numPr>
          <w:ilvl w:val="0"/>
          <w:numId w:val="38"/>
        </w:numPr>
        <w:tabs>
          <w:tab w:pos="706" w:val="left" w:leader="none"/>
          <w:tab w:pos="708" w:val="left" w:leader="none"/>
        </w:tabs>
        <w:spacing w:line="230" w:lineRule="auto" w:before="1" w:after="0"/>
        <w:ind w:left="708" w:right="139" w:hanging="284"/>
        <w:jc w:val="both"/>
        <w:rPr>
          <w:sz w:val="20"/>
        </w:rPr>
      </w:pPr>
      <w:r>
        <w:rPr>
          <w:sz w:val="20"/>
        </w:rPr>
        <w:t>Формирование принятых в российском образовательном пространстве навы- ков</w:t>
      </w:r>
      <w:r>
        <w:rPr>
          <w:spacing w:val="-8"/>
          <w:sz w:val="20"/>
        </w:rPr>
        <w:t> </w:t>
      </w:r>
      <w:r>
        <w:rPr>
          <w:sz w:val="20"/>
        </w:rPr>
        <w:t>поведения</w:t>
      </w:r>
      <w:r>
        <w:rPr>
          <w:spacing w:val="-7"/>
          <w:sz w:val="20"/>
        </w:rPr>
        <w:t> </w:t>
      </w:r>
      <w:r>
        <w:rPr>
          <w:sz w:val="20"/>
        </w:rPr>
        <w:t>в</w:t>
      </w:r>
      <w:r>
        <w:rPr>
          <w:spacing w:val="-8"/>
          <w:sz w:val="20"/>
        </w:rPr>
        <w:t> </w:t>
      </w:r>
      <w:r>
        <w:rPr>
          <w:sz w:val="20"/>
        </w:rPr>
        <w:t>классе</w:t>
      </w:r>
      <w:r>
        <w:rPr>
          <w:spacing w:val="-7"/>
          <w:sz w:val="20"/>
        </w:rPr>
        <w:t> </w:t>
      </w:r>
      <w:r>
        <w:rPr>
          <w:sz w:val="20"/>
        </w:rPr>
        <w:t>и</w:t>
      </w:r>
      <w:r>
        <w:rPr>
          <w:spacing w:val="-8"/>
          <w:sz w:val="20"/>
        </w:rPr>
        <w:t> </w:t>
      </w:r>
      <w:r>
        <w:rPr>
          <w:sz w:val="20"/>
        </w:rPr>
        <w:t>в</w:t>
      </w:r>
      <w:r>
        <w:rPr>
          <w:spacing w:val="-8"/>
          <w:sz w:val="20"/>
        </w:rPr>
        <w:t> </w:t>
      </w:r>
      <w:r>
        <w:rPr>
          <w:sz w:val="20"/>
        </w:rPr>
        <w:t>школе,</w:t>
      </w:r>
      <w:r>
        <w:rPr>
          <w:spacing w:val="-7"/>
          <w:sz w:val="20"/>
        </w:rPr>
        <w:t> </w:t>
      </w:r>
      <w:r>
        <w:rPr>
          <w:sz w:val="20"/>
        </w:rPr>
        <w:t>выполнения</w:t>
      </w:r>
      <w:r>
        <w:rPr>
          <w:spacing w:val="-7"/>
          <w:sz w:val="20"/>
        </w:rPr>
        <w:t> </w:t>
      </w:r>
      <w:r>
        <w:rPr>
          <w:sz w:val="20"/>
        </w:rPr>
        <w:t>домашних</w:t>
      </w:r>
      <w:r>
        <w:rPr>
          <w:spacing w:val="-7"/>
          <w:sz w:val="20"/>
        </w:rPr>
        <w:t> </w:t>
      </w:r>
      <w:r>
        <w:rPr>
          <w:sz w:val="20"/>
        </w:rPr>
        <w:t>заданий,</w:t>
      </w:r>
      <w:r>
        <w:rPr>
          <w:spacing w:val="-7"/>
          <w:sz w:val="20"/>
        </w:rPr>
        <w:t> </w:t>
      </w:r>
      <w:r>
        <w:rPr>
          <w:sz w:val="20"/>
        </w:rPr>
        <w:t>взаимодей- ствия со сверстниками и взрослыми.</w:t>
      </w:r>
    </w:p>
    <w:p>
      <w:pPr>
        <w:spacing w:line="215" w:lineRule="exact" w:before="0"/>
        <w:ind w:left="141" w:right="0" w:firstLine="0"/>
        <w:jc w:val="both"/>
        <w:rPr>
          <w:i/>
          <w:sz w:val="20"/>
        </w:rPr>
      </w:pPr>
      <w:r>
        <w:rPr>
          <w:i/>
          <w:sz w:val="20"/>
        </w:rPr>
        <w:t>В.</w:t>
      </w:r>
      <w:r>
        <w:rPr>
          <w:i/>
          <w:spacing w:val="42"/>
          <w:sz w:val="20"/>
        </w:rPr>
        <w:t> </w:t>
      </w:r>
      <w:r>
        <w:rPr>
          <w:i/>
          <w:sz w:val="20"/>
        </w:rPr>
        <w:t>Культурная</w:t>
      </w:r>
      <w:r>
        <w:rPr>
          <w:i/>
          <w:spacing w:val="-8"/>
          <w:sz w:val="20"/>
        </w:rPr>
        <w:t> </w:t>
      </w:r>
      <w:r>
        <w:rPr>
          <w:i/>
          <w:spacing w:val="-2"/>
          <w:sz w:val="20"/>
        </w:rPr>
        <w:t>адаптация</w:t>
      </w:r>
    </w:p>
    <w:p>
      <w:pPr>
        <w:pStyle w:val="ListParagraph"/>
        <w:numPr>
          <w:ilvl w:val="0"/>
          <w:numId w:val="38"/>
        </w:numPr>
        <w:tabs>
          <w:tab w:pos="706" w:val="left" w:leader="none"/>
          <w:tab w:pos="708" w:val="left" w:leader="none"/>
        </w:tabs>
        <w:spacing w:line="232" w:lineRule="auto" w:before="0" w:after="0"/>
        <w:ind w:left="708" w:right="139" w:hanging="284"/>
        <w:jc w:val="both"/>
        <w:rPr>
          <w:sz w:val="20"/>
        </w:rPr>
      </w:pPr>
      <w:r>
        <w:rPr>
          <w:sz w:val="20"/>
        </w:rPr>
        <w:t>Обеспечение</w:t>
      </w:r>
      <w:r>
        <w:rPr>
          <w:spacing w:val="-2"/>
          <w:sz w:val="20"/>
        </w:rPr>
        <w:t> </w:t>
      </w:r>
      <w:r>
        <w:rPr>
          <w:sz w:val="20"/>
        </w:rPr>
        <w:t>объективной</w:t>
      </w:r>
      <w:r>
        <w:rPr>
          <w:spacing w:val="-2"/>
          <w:sz w:val="20"/>
        </w:rPr>
        <w:t> </w:t>
      </w:r>
      <w:r>
        <w:rPr>
          <w:sz w:val="20"/>
        </w:rPr>
        <w:t>и</w:t>
      </w:r>
      <w:r>
        <w:rPr>
          <w:spacing w:val="-2"/>
          <w:sz w:val="20"/>
        </w:rPr>
        <w:t> </w:t>
      </w:r>
      <w:r>
        <w:rPr>
          <w:sz w:val="20"/>
        </w:rPr>
        <w:t>субъективной</w:t>
      </w:r>
      <w:r>
        <w:rPr>
          <w:spacing w:val="-2"/>
          <w:sz w:val="20"/>
        </w:rPr>
        <w:t> </w:t>
      </w:r>
      <w:r>
        <w:rPr>
          <w:sz w:val="20"/>
        </w:rPr>
        <w:t>включенности</w:t>
      </w:r>
      <w:r>
        <w:rPr>
          <w:spacing w:val="-2"/>
          <w:sz w:val="20"/>
        </w:rPr>
        <w:t> </w:t>
      </w:r>
      <w:r>
        <w:rPr>
          <w:sz w:val="20"/>
        </w:rPr>
        <w:t>ребенка</w:t>
      </w:r>
      <w:r>
        <w:rPr>
          <w:spacing w:val="-2"/>
          <w:sz w:val="20"/>
        </w:rPr>
        <w:t> </w:t>
      </w:r>
      <w:r>
        <w:rPr>
          <w:sz w:val="20"/>
        </w:rPr>
        <w:t>в</w:t>
      </w:r>
      <w:r>
        <w:rPr>
          <w:spacing w:val="-2"/>
          <w:sz w:val="20"/>
        </w:rPr>
        <w:t> </w:t>
      </w:r>
      <w:r>
        <w:rPr>
          <w:sz w:val="20"/>
        </w:rPr>
        <w:t>школьное </w:t>
      </w:r>
      <w:r>
        <w:rPr>
          <w:spacing w:val="-2"/>
          <w:sz w:val="20"/>
        </w:rPr>
        <w:t>сообщество.</w:t>
      </w:r>
    </w:p>
    <w:p>
      <w:pPr>
        <w:pStyle w:val="ListParagraph"/>
        <w:numPr>
          <w:ilvl w:val="0"/>
          <w:numId w:val="38"/>
        </w:numPr>
        <w:tabs>
          <w:tab w:pos="707" w:val="left" w:leader="none"/>
        </w:tabs>
        <w:spacing w:line="218" w:lineRule="exact" w:before="0" w:after="0"/>
        <w:ind w:left="707" w:right="0" w:hanging="282"/>
        <w:jc w:val="both"/>
        <w:rPr>
          <w:sz w:val="20"/>
        </w:rPr>
      </w:pPr>
      <w:r>
        <w:rPr>
          <w:spacing w:val="-2"/>
          <w:sz w:val="20"/>
        </w:rPr>
        <w:t>Содействие</w:t>
      </w:r>
      <w:r>
        <w:rPr>
          <w:spacing w:val="2"/>
          <w:sz w:val="20"/>
        </w:rPr>
        <w:t> </w:t>
      </w:r>
      <w:r>
        <w:rPr>
          <w:spacing w:val="-2"/>
          <w:sz w:val="20"/>
        </w:rPr>
        <w:t>выбору</w:t>
      </w:r>
      <w:r>
        <w:rPr>
          <w:spacing w:val="5"/>
          <w:sz w:val="20"/>
        </w:rPr>
        <w:t> </w:t>
      </w:r>
      <w:r>
        <w:rPr>
          <w:spacing w:val="-2"/>
          <w:sz w:val="20"/>
        </w:rPr>
        <w:t>интеграции</w:t>
      </w:r>
      <w:r>
        <w:rPr>
          <w:spacing w:val="4"/>
          <w:sz w:val="20"/>
        </w:rPr>
        <w:t> </w:t>
      </w:r>
      <w:r>
        <w:rPr>
          <w:spacing w:val="-2"/>
          <w:sz w:val="20"/>
        </w:rPr>
        <w:t>как</w:t>
      </w:r>
      <w:r>
        <w:rPr>
          <w:spacing w:val="5"/>
          <w:sz w:val="20"/>
        </w:rPr>
        <w:t> </w:t>
      </w:r>
      <w:r>
        <w:rPr>
          <w:spacing w:val="-2"/>
          <w:sz w:val="20"/>
        </w:rPr>
        <w:t>предпочитаемой</w:t>
      </w:r>
      <w:r>
        <w:rPr>
          <w:spacing w:val="4"/>
          <w:sz w:val="20"/>
        </w:rPr>
        <w:t> </w:t>
      </w:r>
      <w:r>
        <w:rPr>
          <w:spacing w:val="-2"/>
          <w:sz w:val="20"/>
        </w:rPr>
        <w:t>стратегии</w:t>
      </w:r>
      <w:r>
        <w:rPr>
          <w:spacing w:val="5"/>
          <w:sz w:val="20"/>
        </w:rPr>
        <w:t> </w:t>
      </w:r>
      <w:r>
        <w:rPr>
          <w:spacing w:val="-2"/>
          <w:sz w:val="20"/>
        </w:rPr>
        <w:t>аккультурации.</w:t>
      </w:r>
    </w:p>
    <w:p>
      <w:pPr>
        <w:pStyle w:val="ListParagraph"/>
        <w:numPr>
          <w:ilvl w:val="0"/>
          <w:numId w:val="38"/>
        </w:numPr>
        <w:tabs>
          <w:tab w:pos="706" w:val="left" w:leader="none"/>
          <w:tab w:pos="708" w:val="left" w:leader="none"/>
        </w:tabs>
        <w:spacing w:line="232" w:lineRule="auto" w:before="2" w:after="0"/>
        <w:ind w:left="708" w:right="139" w:hanging="284"/>
        <w:jc w:val="both"/>
        <w:rPr>
          <w:sz w:val="20"/>
        </w:rPr>
      </w:pPr>
      <w:r>
        <w:rPr>
          <w:sz w:val="20"/>
        </w:rPr>
        <w:t>Содействие формированию российской гражданской идентичности при под- держании</w:t>
      </w:r>
      <w:r>
        <w:rPr>
          <w:spacing w:val="-5"/>
          <w:sz w:val="20"/>
        </w:rPr>
        <w:t> </w:t>
      </w:r>
      <w:r>
        <w:rPr>
          <w:sz w:val="20"/>
        </w:rPr>
        <w:t>идентичности</w:t>
      </w:r>
      <w:r>
        <w:rPr>
          <w:spacing w:val="-5"/>
          <w:sz w:val="20"/>
        </w:rPr>
        <w:t> </w:t>
      </w:r>
      <w:r>
        <w:rPr>
          <w:sz w:val="20"/>
        </w:rPr>
        <w:t>со</w:t>
      </w:r>
      <w:r>
        <w:rPr>
          <w:spacing w:val="-5"/>
          <w:sz w:val="20"/>
        </w:rPr>
        <w:t> </w:t>
      </w:r>
      <w:r>
        <w:rPr>
          <w:sz w:val="20"/>
        </w:rPr>
        <w:t>страной</w:t>
      </w:r>
      <w:r>
        <w:rPr>
          <w:spacing w:val="-5"/>
          <w:sz w:val="20"/>
        </w:rPr>
        <w:t> </w:t>
      </w:r>
      <w:r>
        <w:rPr>
          <w:sz w:val="20"/>
        </w:rPr>
        <w:t>исхода</w:t>
      </w:r>
      <w:r>
        <w:rPr>
          <w:spacing w:val="-5"/>
          <w:sz w:val="20"/>
        </w:rPr>
        <w:t> </w:t>
      </w:r>
      <w:r>
        <w:rPr>
          <w:sz w:val="20"/>
        </w:rPr>
        <w:t>и</w:t>
      </w:r>
      <w:r>
        <w:rPr>
          <w:spacing w:val="-5"/>
          <w:sz w:val="20"/>
        </w:rPr>
        <w:t> </w:t>
      </w:r>
      <w:r>
        <w:rPr>
          <w:sz w:val="20"/>
        </w:rPr>
        <w:t>обеспечению</w:t>
      </w:r>
      <w:r>
        <w:rPr>
          <w:spacing w:val="-5"/>
          <w:sz w:val="20"/>
        </w:rPr>
        <w:t> </w:t>
      </w:r>
      <w:r>
        <w:rPr>
          <w:sz w:val="20"/>
        </w:rPr>
        <w:t>их</w:t>
      </w:r>
      <w:r>
        <w:rPr>
          <w:spacing w:val="-5"/>
          <w:sz w:val="20"/>
        </w:rPr>
        <w:t> </w:t>
      </w:r>
      <w:r>
        <w:rPr>
          <w:sz w:val="20"/>
        </w:rPr>
        <w:t>бесконфликтно- го сочетания.</w:t>
      </w:r>
    </w:p>
    <w:p>
      <w:pPr>
        <w:pStyle w:val="BodyText"/>
        <w:spacing w:line="232" w:lineRule="auto" w:before="110"/>
      </w:pPr>
      <w:r>
        <w:rPr>
          <w:color w:val="231F20"/>
          <w:spacing w:val="-2"/>
        </w:rPr>
        <w:t>Решение данных задач обеспечивает освоение несовершеннолетним иностранным </w:t>
      </w:r>
      <w:r>
        <w:rPr>
          <w:color w:val="231F20"/>
        </w:rPr>
        <w:t>гражданином ООП школы, рост качества его обученности, формирование его функ- циональной грамотности, повышает эффективность социализации, а также снижает риски</w:t>
      </w:r>
      <w:r>
        <w:rPr>
          <w:color w:val="231F20"/>
          <w:spacing w:val="-7"/>
        </w:rPr>
        <w:t> </w:t>
      </w:r>
      <w:r>
        <w:rPr>
          <w:color w:val="231F20"/>
        </w:rPr>
        <w:t>правонарушений,</w:t>
      </w:r>
      <w:r>
        <w:rPr>
          <w:color w:val="231F20"/>
          <w:spacing w:val="-6"/>
        </w:rPr>
        <w:t> </w:t>
      </w:r>
      <w:r>
        <w:rPr>
          <w:color w:val="231F20"/>
        </w:rPr>
        <w:t>девиантного</w:t>
      </w:r>
      <w:r>
        <w:rPr>
          <w:color w:val="231F20"/>
          <w:spacing w:val="-7"/>
        </w:rPr>
        <w:t> </w:t>
      </w:r>
      <w:r>
        <w:rPr>
          <w:color w:val="231F20"/>
        </w:rPr>
        <w:t>поведения</w:t>
      </w:r>
      <w:r>
        <w:rPr>
          <w:color w:val="231F20"/>
          <w:spacing w:val="-7"/>
        </w:rPr>
        <w:t> </w:t>
      </w:r>
      <w:r>
        <w:rPr>
          <w:color w:val="231F20"/>
        </w:rPr>
        <w:t>и</w:t>
      </w:r>
      <w:r>
        <w:rPr>
          <w:color w:val="231F20"/>
          <w:spacing w:val="-7"/>
        </w:rPr>
        <w:t> </w:t>
      </w:r>
      <w:r>
        <w:rPr>
          <w:color w:val="231F20"/>
        </w:rPr>
        <w:t>вовлеченности</w:t>
      </w:r>
      <w:r>
        <w:rPr>
          <w:color w:val="231F20"/>
          <w:spacing w:val="-7"/>
        </w:rPr>
        <w:t> </w:t>
      </w:r>
      <w:r>
        <w:rPr>
          <w:color w:val="231F20"/>
        </w:rPr>
        <w:t>детей</w:t>
      </w:r>
      <w:r>
        <w:rPr>
          <w:color w:val="231F20"/>
          <w:spacing w:val="-7"/>
        </w:rPr>
        <w:t> </w:t>
      </w:r>
      <w:r>
        <w:rPr>
          <w:color w:val="231F20"/>
        </w:rPr>
        <w:t>иностранных граждан в деструктивные группы.</w:t>
      </w:r>
    </w:p>
    <w:p>
      <w:pPr>
        <w:spacing w:line="226" w:lineRule="exact" w:before="103"/>
        <w:ind w:left="425" w:right="0" w:firstLine="0"/>
        <w:jc w:val="both"/>
        <w:rPr>
          <w:b/>
          <w:i/>
          <w:sz w:val="20"/>
        </w:rPr>
      </w:pPr>
      <w:r>
        <w:rPr>
          <w:b/>
          <w:i/>
          <w:sz w:val="20"/>
        </w:rPr>
        <w:t>Содержание</w:t>
      </w:r>
      <w:r>
        <w:rPr>
          <w:b/>
          <w:i/>
          <w:spacing w:val="-10"/>
          <w:sz w:val="20"/>
        </w:rPr>
        <w:t> </w:t>
      </w:r>
      <w:r>
        <w:rPr>
          <w:b/>
          <w:i/>
          <w:spacing w:val="-2"/>
          <w:sz w:val="20"/>
        </w:rPr>
        <w:t>программы</w:t>
      </w:r>
    </w:p>
    <w:p>
      <w:pPr>
        <w:pStyle w:val="ListParagraph"/>
        <w:numPr>
          <w:ilvl w:val="0"/>
          <w:numId w:val="39"/>
        </w:numPr>
        <w:tabs>
          <w:tab w:pos="423" w:val="left" w:leader="none"/>
          <w:tab w:pos="425" w:val="left" w:leader="none"/>
        </w:tabs>
        <w:spacing w:line="230" w:lineRule="auto" w:before="3" w:after="0"/>
        <w:ind w:left="425" w:right="139" w:hanging="284"/>
        <w:jc w:val="both"/>
        <w:rPr>
          <w:sz w:val="20"/>
        </w:rPr>
      </w:pPr>
      <w:r>
        <w:rPr>
          <w:color w:val="231F20"/>
          <w:sz w:val="20"/>
        </w:rPr>
        <w:t>Научно-методологическая</w:t>
      </w:r>
      <w:r>
        <w:rPr>
          <w:color w:val="231F20"/>
          <w:spacing w:val="-3"/>
          <w:sz w:val="20"/>
        </w:rPr>
        <w:t> </w:t>
      </w:r>
      <w:r>
        <w:rPr>
          <w:color w:val="231F20"/>
          <w:sz w:val="20"/>
        </w:rPr>
        <w:t>концепция</w:t>
      </w:r>
      <w:r>
        <w:rPr>
          <w:color w:val="231F20"/>
          <w:spacing w:val="-3"/>
          <w:sz w:val="20"/>
        </w:rPr>
        <w:t> </w:t>
      </w:r>
      <w:r>
        <w:rPr>
          <w:color w:val="231F20"/>
          <w:sz w:val="20"/>
        </w:rPr>
        <w:t>программы</w:t>
      </w:r>
      <w:r>
        <w:rPr>
          <w:color w:val="231F20"/>
          <w:spacing w:val="-3"/>
          <w:sz w:val="20"/>
        </w:rPr>
        <w:t> </w:t>
      </w:r>
      <w:r>
        <w:rPr>
          <w:color w:val="231F20"/>
          <w:sz w:val="20"/>
        </w:rPr>
        <w:t>психолого-педагогического</w:t>
      </w:r>
      <w:r>
        <w:rPr>
          <w:color w:val="231F20"/>
          <w:spacing w:val="-3"/>
          <w:sz w:val="20"/>
        </w:rPr>
        <w:t> </w:t>
      </w:r>
      <w:r>
        <w:rPr>
          <w:color w:val="231F20"/>
          <w:sz w:val="20"/>
        </w:rPr>
        <w:t>со- провождения</w:t>
      </w:r>
      <w:r>
        <w:rPr>
          <w:color w:val="231F20"/>
          <w:spacing w:val="-13"/>
          <w:sz w:val="20"/>
        </w:rPr>
        <w:t> </w:t>
      </w:r>
      <w:r>
        <w:rPr>
          <w:color w:val="231F20"/>
          <w:sz w:val="20"/>
        </w:rPr>
        <w:t>процессов</w:t>
      </w:r>
      <w:r>
        <w:rPr>
          <w:color w:val="231F20"/>
          <w:spacing w:val="-12"/>
          <w:sz w:val="20"/>
        </w:rPr>
        <w:t> </w:t>
      </w:r>
      <w:r>
        <w:rPr>
          <w:color w:val="231F20"/>
          <w:sz w:val="20"/>
        </w:rPr>
        <w:t>обучения,</w:t>
      </w:r>
      <w:r>
        <w:rPr>
          <w:color w:val="231F20"/>
          <w:spacing w:val="-13"/>
          <w:sz w:val="20"/>
        </w:rPr>
        <w:t> </w:t>
      </w:r>
      <w:r>
        <w:rPr>
          <w:color w:val="231F20"/>
          <w:sz w:val="20"/>
        </w:rPr>
        <w:t>социальной,</w:t>
      </w:r>
      <w:r>
        <w:rPr>
          <w:color w:val="231F20"/>
          <w:spacing w:val="-12"/>
          <w:sz w:val="20"/>
        </w:rPr>
        <w:t> </w:t>
      </w:r>
      <w:r>
        <w:rPr>
          <w:color w:val="231F20"/>
          <w:sz w:val="20"/>
        </w:rPr>
        <w:t>языковой</w:t>
      </w:r>
      <w:r>
        <w:rPr>
          <w:color w:val="231F20"/>
          <w:spacing w:val="-13"/>
          <w:sz w:val="20"/>
        </w:rPr>
        <w:t> </w:t>
      </w:r>
      <w:r>
        <w:rPr>
          <w:color w:val="231F20"/>
          <w:sz w:val="20"/>
        </w:rPr>
        <w:t>и</w:t>
      </w:r>
      <w:r>
        <w:rPr>
          <w:color w:val="231F20"/>
          <w:spacing w:val="-12"/>
          <w:sz w:val="20"/>
        </w:rPr>
        <w:t> </w:t>
      </w:r>
      <w:r>
        <w:rPr>
          <w:color w:val="231F20"/>
          <w:sz w:val="20"/>
        </w:rPr>
        <w:t>культурной</w:t>
      </w:r>
      <w:r>
        <w:rPr>
          <w:color w:val="231F20"/>
          <w:spacing w:val="-13"/>
          <w:sz w:val="20"/>
        </w:rPr>
        <w:t> </w:t>
      </w:r>
      <w:r>
        <w:rPr>
          <w:color w:val="231F20"/>
          <w:sz w:val="20"/>
        </w:rPr>
        <w:t>адаптации детей иностранных граждан.</w:t>
      </w:r>
    </w:p>
    <w:p>
      <w:pPr>
        <w:pStyle w:val="ListParagraph"/>
        <w:numPr>
          <w:ilvl w:val="0"/>
          <w:numId w:val="39"/>
        </w:numPr>
        <w:tabs>
          <w:tab w:pos="423" w:val="left" w:leader="none"/>
          <w:tab w:pos="425" w:val="left" w:leader="none"/>
        </w:tabs>
        <w:spacing w:line="230" w:lineRule="auto" w:before="0" w:after="0"/>
        <w:ind w:left="425" w:right="139" w:hanging="284"/>
        <w:jc w:val="both"/>
        <w:rPr>
          <w:sz w:val="20"/>
        </w:rPr>
      </w:pPr>
      <w:r>
        <w:rPr>
          <w:color w:val="231F20"/>
          <w:sz w:val="20"/>
        </w:rPr>
        <w:t>Методические рекомендации по реализации программы психолого-педагогиче- ского сопровождения процессов обучения, социальной, языковой и культурной адаптации детей иностранных граждан.</w:t>
      </w:r>
    </w:p>
    <w:p>
      <w:pPr>
        <w:pStyle w:val="ListParagraph"/>
        <w:numPr>
          <w:ilvl w:val="0"/>
          <w:numId w:val="39"/>
        </w:numPr>
        <w:tabs>
          <w:tab w:pos="423" w:val="left" w:leader="none"/>
          <w:tab w:pos="425" w:val="left" w:leader="none"/>
        </w:tabs>
        <w:spacing w:line="232" w:lineRule="auto" w:before="0" w:after="0"/>
        <w:ind w:left="425" w:right="139" w:hanging="284"/>
        <w:jc w:val="both"/>
        <w:rPr>
          <w:sz w:val="20"/>
        </w:rPr>
      </w:pPr>
      <w:r>
        <w:rPr>
          <w:color w:val="231F20"/>
          <w:sz w:val="20"/>
        </w:rPr>
        <w:t>Пакет инструментария программы психолого-педагогического сопровождения процессов обучения, социальной, языковой и культурной адаптации детей ино- странных граждан.</w:t>
      </w:r>
    </w:p>
    <w:p>
      <w:pPr>
        <w:pStyle w:val="ListParagraph"/>
        <w:spacing w:after="0" w:line="232" w:lineRule="auto"/>
        <w:jc w:val="both"/>
        <w:rPr>
          <w:sz w:val="20"/>
        </w:rPr>
        <w:sectPr>
          <w:pgSz w:w="8400" w:h="11910"/>
          <w:pgMar w:header="0" w:footer="531" w:top="400" w:bottom="740" w:left="425" w:right="425"/>
        </w:sectPr>
      </w:pPr>
    </w:p>
    <w:p>
      <w:pPr>
        <w:spacing w:before="80"/>
        <w:ind w:left="141" w:right="0" w:firstLine="0"/>
        <w:jc w:val="left"/>
        <w:rPr>
          <w:rFonts w:ascii="Georgia" w:hAnsi="Georgia"/>
          <w:sz w:val="18"/>
        </w:rPr>
      </w:pPr>
      <w:r>
        <w:rPr>
          <w:rFonts w:ascii="Georgia" w:hAnsi="Georgia"/>
          <w:color w:val="231F20"/>
          <w:spacing w:val="-2"/>
          <w:sz w:val="18"/>
        </w:rPr>
        <w:t>Введение</w:t>
      </w:r>
    </w:p>
    <w:p>
      <w:pPr>
        <w:spacing w:line="228" w:lineRule="exact" w:before="112"/>
        <w:ind w:left="425" w:right="0" w:firstLine="0"/>
        <w:jc w:val="left"/>
        <w:rPr>
          <w:b/>
          <w:i/>
          <w:sz w:val="20"/>
        </w:rPr>
      </w:pPr>
      <w:r>
        <w:rPr>
          <w:color w:val="231F20"/>
          <w:sz w:val="20"/>
        </w:rPr>
        <w:t>В</w:t>
      </w:r>
      <w:r>
        <w:rPr>
          <w:color w:val="231F20"/>
          <w:spacing w:val="-5"/>
          <w:sz w:val="20"/>
        </w:rPr>
        <w:t> </w:t>
      </w:r>
      <w:r>
        <w:rPr>
          <w:color w:val="231F20"/>
          <w:sz w:val="20"/>
        </w:rPr>
        <w:t>программе</w:t>
      </w:r>
      <w:r>
        <w:rPr>
          <w:color w:val="231F20"/>
          <w:spacing w:val="-3"/>
          <w:sz w:val="20"/>
        </w:rPr>
        <w:t> </w:t>
      </w:r>
      <w:r>
        <w:rPr>
          <w:color w:val="231F20"/>
          <w:sz w:val="20"/>
        </w:rPr>
        <w:t>предусмотрено</w:t>
      </w:r>
      <w:r>
        <w:rPr>
          <w:color w:val="231F20"/>
          <w:spacing w:val="-2"/>
          <w:sz w:val="20"/>
        </w:rPr>
        <w:t> </w:t>
      </w:r>
      <w:r>
        <w:rPr>
          <w:color w:val="231F20"/>
          <w:sz w:val="20"/>
        </w:rPr>
        <w:t>четыре</w:t>
      </w:r>
      <w:r>
        <w:rPr>
          <w:color w:val="231F20"/>
          <w:spacing w:val="-4"/>
          <w:sz w:val="20"/>
        </w:rPr>
        <w:t> </w:t>
      </w:r>
      <w:r>
        <w:rPr>
          <w:b/>
          <w:i/>
          <w:color w:val="231F20"/>
          <w:sz w:val="20"/>
        </w:rPr>
        <w:t>н</w:t>
      </w:r>
      <w:r>
        <w:rPr>
          <w:b/>
          <w:i/>
          <w:sz w:val="20"/>
        </w:rPr>
        <w:t>аправления</w:t>
      </w:r>
      <w:r>
        <w:rPr>
          <w:b/>
          <w:i/>
          <w:spacing w:val="-3"/>
          <w:sz w:val="20"/>
        </w:rPr>
        <w:t> </w:t>
      </w:r>
      <w:r>
        <w:rPr>
          <w:b/>
          <w:i/>
          <w:spacing w:val="-2"/>
          <w:sz w:val="20"/>
        </w:rPr>
        <w:t>деятельности:</w:t>
      </w:r>
    </w:p>
    <w:p>
      <w:pPr>
        <w:pStyle w:val="ListParagraph"/>
        <w:numPr>
          <w:ilvl w:val="0"/>
          <w:numId w:val="40"/>
        </w:numPr>
        <w:tabs>
          <w:tab w:pos="425" w:val="left" w:leader="none"/>
        </w:tabs>
        <w:spacing w:line="235" w:lineRule="auto" w:before="2" w:after="0"/>
        <w:ind w:left="425" w:right="141" w:hanging="284"/>
        <w:jc w:val="left"/>
        <w:rPr>
          <w:sz w:val="20"/>
        </w:rPr>
      </w:pPr>
      <w:r>
        <w:rPr>
          <w:sz w:val="20"/>
        </w:rPr>
        <w:t>Работа</w:t>
      </w:r>
      <w:r>
        <w:rPr>
          <w:spacing w:val="39"/>
          <w:sz w:val="20"/>
        </w:rPr>
        <w:t> </w:t>
      </w:r>
      <w:r>
        <w:rPr>
          <w:sz w:val="20"/>
        </w:rPr>
        <w:t>педагога-психолога</w:t>
      </w:r>
      <w:r>
        <w:rPr>
          <w:spacing w:val="39"/>
          <w:sz w:val="20"/>
        </w:rPr>
        <w:t> </w:t>
      </w:r>
      <w:r>
        <w:rPr>
          <w:sz w:val="20"/>
        </w:rPr>
        <w:t>по</w:t>
      </w:r>
      <w:r>
        <w:rPr>
          <w:spacing w:val="39"/>
          <w:sz w:val="20"/>
        </w:rPr>
        <w:t> </w:t>
      </w:r>
      <w:r>
        <w:rPr>
          <w:sz w:val="20"/>
        </w:rPr>
        <w:t>индивидуальной</w:t>
      </w:r>
      <w:r>
        <w:rPr>
          <w:spacing w:val="39"/>
          <w:sz w:val="20"/>
        </w:rPr>
        <w:t> </w:t>
      </w:r>
      <w:r>
        <w:rPr>
          <w:sz w:val="20"/>
        </w:rPr>
        <w:t>поддержке</w:t>
      </w:r>
      <w:r>
        <w:rPr>
          <w:spacing w:val="39"/>
          <w:sz w:val="20"/>
        </w:rPr>
        <w:t> </w:t>
      </w:r>
      <w:r>
        <w:rPr>
          <w:sz w:val="20"/>
        </w:rPr>
        <w:t>де</w:t>
      </w:r>
      <w:r>
        <w:rPr>
          <w:color w:val="231F20"/>
          <w:sz w:val="20"/>
        </w:rPr>
        <w:t>тей</w:t>
      </w:r>
      <w:r>
        <w:rPr>
          <w:color w:val="231F20"/>
          <w:spacing w:val="39"/>
          <w:sz w:val="20"/>
        </w:rPr>
        <w:t> </w:t>
      </w:r>
      <w:r>
        <w:rPr>
          <w:color w:val="231F20"/>
          <w:sz w:val="20"/>
        </w:rPr>
        <w:t>иностранных </w:t>
      </w:r>
      <w:r>
        <w:rPr>
          <w:color w:val="231F20"/>
          <w:spacing w:val="-2"/>
          <w:sz w:val="20"/>
        </w:rPr>
        <w:t>граждан</w:t>
      </w:r>
      <w:r>
        <w:rPr>
          <w:spacing w:val="-2"/>
          <w:sz w:val="20"/>
        </w:rPr>
        <w:t>.</w:t>
      </w:r>
    </w:p>
    <w:p>
      <w:pPr>
        <w:pStyle w:val="ListParagraph"/>
        <w:numPr>
          <w:ilvl w:val="0"/>
          <w:numId w:val="40"/>
        </w:numPr>
        <w:tabs>
          <w:tab w:pos="425" w:val="left" w:leader="none"/>
        </w:tabs>
        <w:spacing w:line="235" w:lineRule="auto" w:before="1" w:after="0"/>
        <w:ind w:left="425" w:right="139" w:hanging="284"/>
        <w:jc w:val="left"/>
        <w:rPr>
          <w:sz w:val="20"/>
        </w:rPr>
      </w:pPr>
      <w:r>
        <w:rPr>
          <w:color w:val="231F20"/>
          <w:sz w:val="20"/>
        </w:rPr>
        <w:t>Методическое</w:t>
      </w:r>
      <w:r>
        <w:rPr>
          <w:color w:val="231F20"/>
          <w:spacing w:val="30"/>
          <w:sz w:val="20"/>
        </w:rPr>
        <w:t> </w:t>
      </w:r>
      <w:r>
        <w:rPr>
          <w:color w:val="231F20"/>
          <w:sz w:val="20"/>
        </w:rPr>
        <w:t>сопровождение</w:t>
      </w:r>
      <w:r>
        <w:rPr>
          <w:color w:val="231F20"/>
          <w:spacing w:val="30"/>
          <w:sz w:val="20"/>
        </w:rPr>
        <w:t> </w:t>
      </w:r>
      <w:r>
        <w:rPr>
          <w:sz w:val="20"/>
        </w:rPr>
        <w:t>педагогическ</w:t>
      </w:r>
      <w:r>
        <w:rPr>
          <w:color w:val="231F20"/>
          <w:sz w:val="20"/>
        </w:rPr>
        <w:t>ого</w:t>
      </w:r>
      <w:r>
        <w:rPr>
          <w:color w:val="231F20"/>
          <w:spacing w:val="30"/>
          <w:sz w:val="20"/>
        </w:rPr>
        <w:t> </w:t>
      </w:r>
      <w:r>
        <w:rPr>
          <w:sz w:val="20"/>
        </w:rPr>
        <w:t>коллектив</w:t>
      </w:r>
      <w:r>
        <w:rPr>
          <w:color w:val="231F20"/>
          <w:sz w:val="20"/>
        </w:rPr>
        <w:t>а</w:t>
      </w:r>
      <w:r>
        <w:rPr>
          <w:color w:val="231F20"/>
          <w:spacing w:val="30"/>
          <w:sz w:val="20"/>
        </w:rPr>
        <w:t> </w:t>
      </w:r>
      <w:r>
        <w:rPr>
          <w:color w:val="231F20"/>
          <w:sz w:val="20"/>
        </w:rPr>
        <w:t>в</w:t>
      </w:r>
      <w:r>
        <w:rPr>
          <w:color w:val="231F20"/>
          <w:spacing w:val="30"/>
          <w:sz w:val="20"/>
        </w:rPr>
        <w:t> </w:t>
      </w:r>
      <w:r>
        <w:rPr>
          <w:color w:val="231F20"/>
          <w:sz w:val="20"/>
        </w:rPr>
        <w:t>области</w:t>
      </w:r>
      <w:r>
        <w:rPr>
          <w:color w:val="231F20"/>
          <w:spacing w:val="30"/>
          <w:sz w:val="20"/>
        </w:rPr>
        <w:t> </w:t>
      </w:r>
      <w:r>
        <w:rPr>
          <w:color w:val="231F20"/>
          <w:sz w:val="20"/>
        </w:rPr>
        <w:t>психоло- го-педагогического сопровождения детей иностранных граждан</w:t>
      </w:r>
      <w:r>
        <w:rPr>
          <w:sz w:val="20"/>
        </w:rPr>
        <w:t>.</w:t>
      </w:r>
    </w:p>
    <w:p>
      <w:pPr>
        <w:pStyle w:val="ListParagraph"/>
        <w:numPr>
          <w:ilvl w:val="0"/>
          <w:numId w:val="40"/>
        </w:numPr>
        <w:tabs>
          <w:tab w:pos="424" w:val="left" w:leader="none"/>
        </w:tabs>
        <w:spacing w:line="219" w:lineRule="exact" w:before="0" w:after="0"/>
        <w:ind w:left="424" w:right="0" w:hanging="283"/>
        <w:jc w:val="left"/>
        <w:rPr>
          <w:sz w:val="20"/>
        </w:rPr>
      </w:pPr>
      <w:r>
        <w:rPr>
          <w:sz w:val="20"/>
        </w:rPr>
        <w:t>Работа</w:t>
      </w:r>
      <w:r>
        <w:rPr>
          <w:spacing w:val="-4"/>
          <w:sz w:val="20"/>
        </w:rPr>
        <w:t> </w:t>
      </w:r>
      <w:r>
        <w:rPr>
          <w:color w:val="231F20"/>
          <w:sz w:val="20"/>
        </w:rPr>
        <w:t>педагога</w:t>
      </w:r>
      <w:r>
        <w:rPr>
          <w:color w:val="231F20"/>
          <w:spacing w:val="-4"/>
          <w:sz w:val="20"/>
        </w:rPr>
        <w:t> </w:t>
      </w:r>
      <w:r>
        <w:rPr>
          <w:sz w:val="20"/>
        </w:rPr>
        <w:t>с</w:t>
      </w:r>
      <w:r>
        <w:rPr>
          <w:spacing w:val="-3"/>
          <w:sz w:val="20"/>
        </w:rPr>
        <w:t> </w:t>
      </w:r>
      <w:r>
        <w:rPr>
          <w:sz w:val="20"/>
        </w:rPr>
        <w:t>родителями</w:t>
      </w:r>
      <w:r>
        <w:rPr>
          <w:spacing w:val="-3"/>
          <w:sz w:val="20"/>
        </w:rPr>
        <w:t> </w:t>
      </w:r>
      <w:r>
        <w:rPr>
          <w:color w:val="231F20"/>
          <w:sz w:val="20"/>
        </w:rPr>
        <w:t>несовершеннолетних</w:t>
      </w:r>
      <w:r>
        <w:rPr>
          <w:color w:val="231F20"/>
          <w:spacing w:val="-3"/>
          <w:sz w:val="20"/>
        </w:rPr>
        <w:t> </w:t>
      </w:r>
      <w:r>
        <w:rPr>
          <w:color w:val="231F20"/>
          <w:sz w:val="20"/>
        </w:rPr>
        <w:t>иностранных</w:t>
      </w:r>
      <w:r>
        <w:rPr>
          <w:color w:val="231F20"/>
          <w:spacing w:val="-3"/>
          <w:sz w:val="20"/>
        </w:rPr>
        <w:t> </w:t>
      </w:r>
      <w:r>
        <w:rPr>
          <w:color w:val="231F20"/>
          <w:spacing w:val="-2"/>
          <w:sz w:val="20"/>
        </w:rPr>
        <w:t>граждан.</w:t>
      </w:r>
    </w:p>
    <w:p>
      <w:pPr>
        <w:pStyle w:val="ListParagraph"/>
        <w:numPr>
          <w:ilvl w:val="0"/>
          <w:numId w:val="40"/>
        </w:numPr>
        <w:tabs>
          <w:tab w:pos="424" w:val="left" w:leader="none"/>
        </w:tabs>
        <w:spacing w:line="226" w:lineRule="exact" w:before="0" w:after="0"/>
        <w:ind w:left="424" w:right="0" w:hanging="283"/>
        <w:jc w:val="left"/>
        <w:rPr>
          <w:sz w:val="20"/>
        </w:rPr>
      </w:pPr>
      <w:r>
        <w:rPr>
          <w:sz w:val="20"/>
        </w:rPr>
        <w:t>Работа</w:t>
      </w:r>
      <w:r>
        <w:rPr>
          <w:spacing w:val="-2"/>
          <w:sz w:val="20"/>
        </w:rPr>
        <w:t> </w:t>
      </w:r>
      <w:r>
        <w:rPr>
          <w:sz w:val="20"/>
        </w:rPr>
        <w:t>педагога</w:t>
      </w:r>
      <w:r>
        <w:rPr>
          <w:spacing w:val="-2"/>
          <w:sz w:val="20"/>
        </w:rPr>
        <w:t> </w:t>
      </w:r>
      <w:r>
        <w:rPr>
          <w:sz w:val="20"/>
        </w:rPr>
        <w:t>с</w:t>
      </w:r>
      <w:r>
        <w:rPr>
          <w:spacing w:val="-1"/>
          <w:sz w:val="20"/>
        </w:rPr>
        <w:t> </w:t>
      </w:r>
      <w:r>
        <w:rPr>
          <w:sz w:val="20"/>
        </w:rPr>
        <w:t>ученическим</w:t>
      </w:r>
      <w:r>
        <w:rPr>
          <w:spacing w:val="-2"/>
          <w:sz w:val="20"/>
        </w:rPr>
        <w:t> </w:t>
      </w:r>
      <w:r>
        <w:rPr>
          <w:sz w:val="20"/>
        </w:rPr>
        <w:t>сообществом:</w:t>
      </w:r>
      <w:r>
        <w:rPr>
          <w:spacing w:val="-1"/>
          <w:sz w:val="20"/>
        </w:rPr>
        <w:t> </w:t>
      </w:r>
      <w:r>
        <w:rPr>
          <w:sz w:val="20"/>
        </w:rPr>
        <w:t>класс</w:t>
      </w:r>
      <w:r>
        <w:rPr>
          <w:spacing w:val="-2"/>
          <w:sz w:val="20"/>
        </w:rPr>
        <w:t> </w:t>
      </w:r>
      <w:r>
        <w:rPr>
          <w:sz w:val="20"/>
        </w:rPr>
        <w:t>и</w:t>
      </w:r>
      <w:r>
        <w:rPr>
          <w:spacing w:val="-2"/>
          <w:sz w:val="20"/>
        </w:rPr>
        <w:t> школа.</w:t>
      </w:r>
    </w:p>
    <w:p>
      <w:pPr>
        <w:pStyle w:val="BodyText"/>
        <w:spacing w:line="232" w:lineRule="auto" w:before="111"/>
      </w:pPr>
      <w:r>
        <w:rPr/>
        <w:t>Описанию каждого из направлений деятельности посвящен соответствующий раздел методических рекомендаций и инструментария. Содержание деятельности п</w:t>
      </w:r>
      <w:r>
        <w:rPr>
          <w:color w:val="231F20"/>
        </w:rPr>
        <w:t>редставлено</w:t>
      </w:r>
      <w:r>
        <w:rPr>
          <w:color w:val="231F20"/>
          <w:spacing w:val="-7"/>
        </w:rPr>
        <w:t> </w:t>
      </w:r>
      <w:r>
        <w:rPr>
          <w:color w:val="231F20"/>
        </w:rPr>
        <w:t>в</w:t>
      </w:r>
      <w:r>
        <w:rPr>
          <w:color w:val="231F20"/>
          <w:spacing w:val="-7"/>
        </w:rPr>
        <w:t> </w:t>
      </w:r>
      <w:r>
        <w:rPr>
          <w:color w:val="231F20"/>
        </w:rPr>
        <w:t>виде</w:t>
      </w:r>
      <w:r>
        <w:rPr>
          <w:color w:val="231F20"/>
          <w:spacing w:val="-7"/>
        </w:rPr>
        <w:t> </w:t>
      </w:r>
      <w:r>
        <w:rPr>
          <w:color w:val="231F20"/>
        </w:rPr>
        <w:t>практик,</w:t>
      </w:r>
      <w:r>
        <w:rPr>
          <w:color w:val="231F20"/>
          <w:spacing w:val="-7"/>
        </w:rPr>
        <w:t> </w:t>
      </w:r>
      <w:r>
        <w:rPr>
          <w:color w:val="231F20"/>
        </w:rPr>
        <w:t>решающих</w:t>
      </w:r>
      <w:r>
        <w:rPr>
          <w:color w:val="231F20"/>
          <w:spacing w:val="-7"/>
        </w:rPr>
        <w:t> </w:t>
      </w:r>
      <w:r>
        <w:rPr>
          <w:color w:val="231F20"/>
        </w:rPr>
        <w:t>одну</w:t>
      </w:r>
      <w:r>
        <w:rPr>
          <w:color w:val="231F20"/>
          <w:spacing w:val="-7"/>
        </w:rPr>
        <w:t> </w:t>
      </w:r>
      <w:r>
        <w:rPr>
          <w:color w:val="231F20"/>
        </w:rPr>
        <w:t>или</w:t>
      </w:r>
      <w:r>
        <w:rPr>
          <w:color w:val="231F20"/>
          <w:spacing w:val="-7"/>
        </w:rPr>
        <w:t> </w:t>
      </w:r>
      <w:r>
        <w:rPr>
          <w:color w:val="231F20"/>
        </w:rPr>
        <w:t>несколько</w:t>
      </w:r>
      <w:r>
        <w:rPr>
          <w:color w:val="231F20"/>
          <w:spacing w:val="-7"/>
        </w:rPr>
        <w:t> </w:t>
      </w:r>
      <w:r>
        <w:rPr>
          <w:color w:val="231F20"/>
        </w:rPr>
        <w:t>задач</w:t>
      </w:r>
      <w:r>
        <w:rPr>
          <w:color w:val="231F20"/>
          <w:spacing w:val="-7"/>
        </w:rPr>
        <w:t> </w:t>
      </w:r>
      <w:r>
        <w:rPr>
          <w:color w:val="231F20"/>
        </w:rPr>
        <w:t>и</w:t>
      </w:r>
      <w:r>
        <w:rPr>
          <w:color w:val="231F20"/>
          <w:spacing w:val="-7"/>
        </w:rPr>
        <w:t> </w:t>
      </w:r>
      <w:r>
        <w:rPr>
          <w:color w:val="231F20"/>
        </w:rPr>
        <w:t>применяемых</w:t>
      </w:r>
      <w:r>
        <w:rPr>
          <w:color w:val="231F20"/>
          <w:spacing w:val="-7"/>
        </w:rPr>
        <w:t> </w:t>
      </w:r>
      <w:r>
        <w:rPr>
          <w:color w:val="231F20"/>
        </w:rPr>
        <w:t>в рамках</w:t>
      </w:r>
      <w:r>
        <w:rPr>
          <w:color w:val="231F20"/>
          <w:spacing w:val="-2"/>
        </w:rPr>
        <w:t> </w:t>
      </w:r>
      <w:r>
        <w:rPr>
          <w:color w:val="231F20"/>
        </w:rPr>
        <w:t>одного</w:t>
      </w:r>
      <w:r>
        <w:rPr>
          <w:color w:val="231F20"/>
          <w:spacing w:val="-2"/>
        </w:rPr>
        <w:t> </w:t>
      </w:r>
      <w:r>
        <w:rPr>
          <w:color w:val="231F20"/>
        </w:rPr>
        <w:t>или</w:t>
      </w:r>
      <w:r>
        <w:rPr>
          <w:color w:val="231F20"/>
          <w:spacing w:val="-2"/>
        </w:rPr>
        <w:t> </w:t>
      </w:r>
      <w:r>
        <w:rPr>
          <w:color w:val="231F20"/>
        </w:rPr>
        <w:t>нескольких</w:t>
      </w:r>
      <w:r>
        <w:rPr>
          <w:color w:val="231F20"/>
          <w:spacing w:val="-2"/>
        </w:rPr>
        <w:t> </w:t>
      </w:r>
      <w:r>
        <w:rPr>
          <w:color w:val="231F20"/>
        </w:rPr>
        <w:t>направлений</w:t>
      </w:r>
      <w:r>
        <w:rPr>
          <w:color w:val="231F20"/>
          <w:spacing w:val="-2"/>
        </w:rPr>
        <w:t> </w:t>
      </w:r>
      <w:r>
        <w:rPr>
          <w:color w:val="231F20"/>
        </w:rPr>
        <w:t>работы.</w:t>
      </w:r>
      <w:r>
        <w:rPr>
          <w:color w:val="231F20"/>
          <w:spacing w:val="-2"/>
        </w:rPr>
        <w:t> </w:t>
      </w:r>
      <w:r>
        <w:rPr>
          <w:color w:val="231F20"/>
        </w:rPr>
        <w:t>Те</w:t>
      </w:r>
      <w:r>
        <w:rPr>
          <w:color w:val="231F20"/>
          <w:spacing w:val="-2"/>
        </w:rPr>
        <w:t> </w:t>
      </w:r>
      <w:r>
        <w:rPr>
          <w:color w:val="231F20"/>
        </w:rPr>
        <w:t>практики,</w:t>
      </w:r>
      <w:r>
        <w:rPr>
          <w:color w:val="231F20"/>
          <w:spacing w:val="-2"/>
        </w:rPr>
        <w:t> </w:t>
      </w:r>
      <w:r>
        <w:rPr>
          <w:color w:val="231F20"/>
        </w:rPr>
        <w:t>доступа</w:t>
      </w:r>
      <w:r>
        <w:rPr>
          <w:color w:val="231F20"/>
          <w:spacing w:val="-2"/>
        </w:rPr>
        <w:t> </w:t>
      </w:r>
      <w:r>
        <w:rPr>
          <w:color w:val="231F20"/>
        </w:rPr>
        <w:t>к</w:t>
      </w:r>
      <w:r>
        <w:rPr>
          <w:color w:val="231F20"/>
          <w:spacing w:val="-2"/>
        </w:rPr>
        <w:t> </w:t>
      </w:r>
      <w:r>
        <w:rPr>
          <w:color w:val="231F20"/>
        </w:rPr>
        <w:t>подроб- ному изучению которых нет у педагога, представлены в виде развернутых инструк- ций в инструментарии программы. Таким образом, педагог, самостоятельно изучив материал, может реализовать его в профессиональной деятельности.</w:t>
      </w:r>
    </w:p>
    <w:p>
      <w:pPr>
        <w:pStyle w:val="BodyText"/>
        <w:spacing w:line="232" w:lineRule="auto" w:before="7"/>
      </w:pPr>
      <w:r>
        <w:rPr>
          <w:color w:val="231F20"/>
        </w:rPr>
        <w:t>При</w:t>
      </w:r>
      <w:r>
        <w:rPr>
          <w:color w:val="231F20"/>
          <w:spacing w:val="-10"/>
        </w:rPr>
        <w:t> </w:t>
      </w:r>
      <w:r>
        <w:rPr>
          <w:color w:val="231F20"/>
        </w:rPr>
        <w:t>отборе</w:t>
      </w:r>
      <w:r>
        <w:rPr>
          <w:color w:val="231F20"/>
          <w:spacing w:val="-10"/>
        </w:rPr>
        <w:t> </w:t>
      </w:r>
      <w:r>
        <w:rPr>
          <w:color w:val="231F20"/>
        </w:rPr>
        <w:t>и</w:t>
      </w:r>
      <w:r>
        <w:rPr>
          <w:color w:val="231F20"/>
          <w:spacing w:val="-10"/>
        </w:rPr>
        <w:t> </w:t>
      </w:r>
      <w:r>
        <w:rPr>
          <w:color w:val="231F20"/>
        </w:rPr>
        <w:t>подготовке</w:t>
      </w:r>
      <w:r>
        <w:rPr>
          <w:color w:val="231F20"/>
          <w:spacing w:val="-10"/>
        </w:rPr>
        <w:t> </w:t>
      </w:r>
      <w:r>
        <w:rPr>
          <w:color w:val="231F20"/>
        </w:rPr>
        <w:t>материала</w:t>
      </w:r>
      <w:r>
        <w:rPr>
          <w:color w:val="231F20"/>
          <w:spacing w:val="-10"/>
        </w:rPr>
        <w:t> </w:t>
      </w:r>
      <w:r>
        <w:rPr>
          <w:color w:val="231F20"/>
        </w:rPr>
        <w:t>авторский</w:t>
      </w:r>
      <w:r>
        <w:rPr>
          <w:color w:val="231F20"/>
          <w:spacing w:val="-10"/>
        </w:rPr>
        <w:t> </w:t>
      </w:r>
      <w:r>
        <w:rPr>
          <w:color w:val="231F20"/>
        </w:rPr>
        <w:t>коллектив</w:t>
      </w:r>
      <w:r>
        <w:rPr>
          <w:color w:val="231F20"/>
          <w:spacing w:val="-10"/>
        </w:rPr>
        <w:t> </w:t>
      </w:r>
      <w:r>
        <w:rPr>
          <w:color w:val="231F20"/>
        </w:rPr>
        <w:t>опирался</w:t>
      </w:r>
      <w:r>
        <w:rPr>
          <w:color w:val="231F20"/>
          <w:spacing w:val="-10"/>
        </w:rPr>
        <w:t> </w:t>
      </w:r>
      <w:r>
        <w:rPr>
          <w:color w:val="231F20"/>
        </w:rPr>
        <w:t>на</w:t>
      </w:r>
      <w:r>
        <w:rPr>
          <w:color w:val="231F20"/>
          <w:spacing w:val="-10"/>
        </w:rPr>
        <w:t> </w:t>
      </w:r>
      <w:r>
        <w:rPr>
          <w:color w:val="231F20"/>
        </w:rPr>
        <w:t>доказатель- ный подход в области психологических и социальных практик. Согласно </w:t>
      </w:r>
      <w:r>
        <w:rPr/>
        <w:t>Стандарту доказательности практик в сфере детства выделено </w:t>
      </w:r>
      <w:r>
        <w:rPr>
          <w:color w:val="231F20"/>
        </w:rPr>
        <w:t>четыре ключевые направления доказательного</w:t>
      </w:r>
      <w:r>
        <w:rPr>
          <w:color w:val="231F20"/>
          <w:spacing w:val="-9"/>
        </w:rPr>
        <w:t> </w:t>
      </w:r>
      <w:r>
        <w:rPr>
          <w:color w:val="231F20"/>
        </w:rPr>
        <w:t>анализа,</w:t>
      </w:r>
      <w:r>
        <w:rPr>
          <w:color w:val="231F20"/>
          <w:spacing w:val="-9"/>
        </w:rPr>
        <w:t> </w:t>
      </w:r>
      <w:r>
        <w:rPr>
          <w:color w:val="231F20"/>
        </w:rPr>
        <w:t>позволяющих</w:t>
      </w:r>
      <w:r>
        <w:rPr>
          <w:color w:val="231F20"/>
          <w:spacing w:val="-9"/>
        </w:rPr>
        <w:t> </w:t>
      </w:r>
      <w:r>
        <w:rPr>
          <w:color w:val="231F20"/>
        </w:rPr>
        <w:t>оценить</w:t>
      </w:r>
      <w:r>
        <w:rPr>
          <w:color w:val="231F20"/>
          <w:spacing w:val="-9"/>
        </w:rPr>
        <w:t> </w:t>
      </w:r>
      <w:r>
        <w:rPr>
          <w:color w:val="231F20"/>
        </w:rPr>
        <w:t>уровень</w:t>
      </w:r>
      <w:r>
        <w:rPr>
          <w:color w:val="231F20"/>
          <w:spacing w:val="-9"/>
        </w:rPr>
        <w:t> </w:t>
      </w:r>
      <w:r>
        <w:rPr>
          <w:color w:val="231F20"/>
        </w:rPr>
        <w:t>доказательности</w:t>
      </w:r>
      <w:r>
        <w:rPr>
          <w:color w:val="231F20"/>
          <w:spacing w:val="-9"/>
        </w:rPr>
        <w:t> </w:t>
      </w:r>
      <w:r>
        <w:rPr>
          <w:color w:val="231F20"/>
        </w:rPr>
        <w:t>социальной практики.</w:t>
      </w:r>
      <w:r>
        <w:rPr>
          <w:color w:val="231F20"/>
          <w:spacing w:val="-6"/>
        </w:rPr>
        <w:t> </w:t>
      </w:r>
      <w:r>
        <w:rPr>
          <w:color w:val="231F20"/>
        </w:rPr>
        <w:t>Это</w:t>
      </w:r>
      <w:r>
        <w:rPr>
          <w:color w:val="231F20"/>
          <w:spacing w:val="-6"/>
        </w:rPr>
        <w:t> </w:t>
      </w:r>
      <w:r>
        <w:rPr>
          <w:color w:val="231F20"/>
        </w:rPr>
        <w:t>регламентированность</w:t>
      </w:r>
      <w:r>
        <w:rPr>
          <w:color w:val="231F20"/>
          <w:spacing w:val="-6"/>
        </w:rPr>
        <w:t> </w:t>
      </w:r>
      <w:r>
        <w:rPr>
          <w:color w:val="231F20"/>
        </w:rPr>
        <w:t>практики;</w:t>
      </w:r>
      <w:r>
        <w:rPr>
          <w:color w:val="231F20"/>
          <w:spacing w:val="-6"/>
        </w:rPr>
        <w:t> </w:t>
      </w:r>
      <w:r>
        <w:rPr>
          <w:color w:val="231F20"/>
        </w:rPr>
        <w:t>обоснованность</w:t>
      </w:r>
      <w:r>
        <w:rPr>
          <w:color w:val="231F20"/>
          <w:spacing w:val="-6"/>
        </w:rPr>
        <w:t> </w:t>
      </w:r>
      <w:r>
        <w:rPr>
          <w:color w:val="231F20"/>
        </w:rPr>
        <w:t>практики;</w:t>
      </w:r>
      <w:r>
        <w:rPr>
          <w:color w:val="231F20"/>
          <w:spacing w:val="-6"/>
        </w:rPr>
        <w:t> </w:t>
      </w:r>
      <w:r>
        <w:rPr>
          <w:color w:val="231F20"/>
        </w:rPr>
        <w:t>результа- тивность</w:t>
      </w:r>
      <w:r>
        <w:rPr>
          <w:color w:val="231F20"/>
          <w:spacing w:val="-6"/>
        </w:rPr>
        <w:t> </w:t>
      </w:r>
      <w:r>
        <w:rPr>
          <w:color w:val="231F20"/>
        </w:rPr>
        <w:t>практики</w:t>
      </w:r>
      <w:r>
        <w:rPr>
          <w:color w:val="231F20"/>
          <w:spacing w:val="-6"/>
        </w:rPr>
        <w:t> </w:t>
      </w:r>
      <w:r>
        <w:rPr>
          <w:color w:val="231F20"/>
        </w:rPr>
        <w:t>(достижение</w:t>
      </w:r>
      <w:r>
        <w:rPr>
          <w:color w:val="231F20"/>
          <w:spacing w:val="-6"/>
        </w:rPr>
        <w:t> </w:t>
      </w:r>
      <w:r>
        <w:rPr>
          <w:color w:val="231F20"/>
        </w:rPr>
        <w:t>социальных</w:t>
      </w:r>
      <w:r>
        <w:rPr>
          <w:color w:val="231F20"/>
          <w:spacing w:val="-6"/>
        </w:rPr>
        <w:t> </w:t>
      </w:r>
      <w:r>
        <w:rPr>
          <w:color w:val="231F20"/>
        </w:rPr>
        <w:t>результатов);</w:t>
      </w:r>
      <w:r>
        <w:rPr>
          <w:color w:val="231F20"/>
          <w:spacing w:val="-6"/>
        </w:rPr>
        <w:t> </w:t>
      </w:r>
      <w:r>
        <w:rPr>
          <w:color w:val="231F20"/>
        </w:rPr>
        <w:t>доказанность</w:t>
      </w:r>
      <w:r>
        <w:rPr>
          <w:color w:val="231F20"/>
          <w:spacing w:val="-6"/>
        </w:rPr>
        <w:t> </w:t>
      </w:r>
      <w:r>
        <w:rPr>
          <w:color w:val="231F20"/>
        </w:rPr>
        <w:t>социальных результатов практики.</w:t>
      </w:r>
    </w:p>
    <w:p>
      <w:pPr>
        <w:pStyle w:val="BodyText"/>
        <w:jc w:val="right"/>
      </w:pPr>
      <w:r>
        <w:rPr>
          <w:color w:val="231F20"/>
        </w:rPr>
        <w:t>Предлагаемые</w:t>
      </w:r>
      <w:r>
        <w:rPr>
          <w:color w:val="231F20"/>
          <w:spacing w:val="-3"/>
        </w:rPr>
        <w:t> </w:t>
      </w:r>
      <w:r>
        <w:rPr>
          <w:color w:val="231F20"/>
        </w:rPr>
        <w:t>в</w:t>
      </w:r>
      <w:r>
        <w:rPr>
          <w:color w:val="231F20"/>
          <w:spacing w:val="-3"/>
        </w:rPr>
        <w:t> </w:t>
      </w:r>
      <w:r>
        <w:rPr>
          <w:color w:val="231F20"/>
        </w:rPr>
        <w:t>программе</w:t>
      </w:r>
      <w:r>
        <w:rPr>
          <w:color w:val="231F20"/>
          <w:spacing w:val="-3"/>
        </w:rPr>
        <w:t> </w:t>
      </w:r>
      <w:r>
        <w:rPr>
          <w:color w:val="231F20"/>
        </w:rPr>
        <w:t>практики</w:t>
      </w:r>
      <w:r>
        <w:rPr>
          <w:color w:val="231F20"/>
          <w:spacing w:val="-3"/>
        </w:rPr>
        <w:t> </w:t>
      </w:r>
      <w:r>
        <w:rPr>
          <w:color w:val="231F20"/>
        </w:rPr>
        <w:t>имеют</w:t>
      </w:r>
      <w:r>
        <w:rPr>
          <w:color w:val="231F20"/>
          <w:spacing w:val="-3"/>
        </w:rPr>
        <w:t> </w:t>
      </w:r>
      <w:r>
        <w:rPr>
          <w:color w:val="231F20"/>
        </w:rPr>
        <w:t>адекватное</w:t>
      </w:r>
      <w:r>
        <w:rPr>
          <w:color w:val="231F20"/>
          <w:spacing w:val="-3"/>
        </w:rPr>
        <w:t> </w:t>
      </w:r>
      <w:r>
        <w:rPr>
          <w:color w:val="231F20"/>
        </w:rPr>
        <w:t>теоретическое</w:t>
      </w:r>
      <w:r>
        <w:rPr>
          <w:color w:val="231F20"/>
          <w:spacing w:val="-3"/>
        </w:rPr>
        <w:t> </w:t>
      </w:r>
      <w:r>
        <w:rPr>
          <w:color w:val="231F20"/>
        </w:rPr>
        <w:t>обоснова- ние, что обозначается в тексте методических рекомендаций. Все практики в доста- точной</w:t>
      </w:r>
      <w:r>
        <w:rPr>
          <w:color w:val="231F20"/>
          <w:spacing w:val="-6"/>
        </w:rPr>
        <w:t> </w:t>
      </w:r>
      <w:r>
        <w:rPr>
          <w:color w:val="231F20"/>
        </w:rPr>
        <w:t>степени</w:t>
      </w:r>
      <w:r>
        <w:rPr>
          <w:color w:val="231F20"/>
          <w:spacing w:val="-6"/>
        </w:rPr>
        <w:t> </w:t>
      </w:r>
      <w:r>
        <w:rPr>
          <w:color w:val="231F20"/>
        </w:rPr>
        <w:t>регламентированы:</w:t>
      </w:r>
      <w:r>
        <w:rPr>
          <w:color w:val="231F20"/>
          <w:spacing w:val="-6"/>
        </w:rPr>
        <w:t> </w:t>
      </w:r>
      <w:r>
        <w:rPr>
          <w:color w:val="231F20"/>
        </w:rPr>
        <w:t>представлены</w:t>
      </w:r>
      <w:r>
        <w:rPr>
          <w:color w:val="231F20"/>
          <w:spacing w:val="-6"/>
        </w:rPr>
        <w:t> </w:t>
      </w:r>
      <w:r>
        <w:rPr>
          <w:color w:val="231F20"/>
        </w:rPr>
        <w:t>документы,</w:t>
      </w:r>
      <w:r>
        <w:rPr>
          <w:color w:val="231F20"/>
          <w:spacing w:val="-6"/>
        </w:rPr>
        <w:t> </w:t>
      </w:r>
      <w:r>
        <w:rPr>
          <w:color w:val="231F20"/>
        </w:rPr>
        <w:t>в</w:t>
      </w:r>
      <w:r>
        <w:rPr>
          <w:color w:val="231F20"/>
          <w:spacing w:val="-6"/>
        </w:rPr>
        <w:t> </w:t>
      </w:r>
      <w:r>
        <w:rPr>
          <w:color w:val="231F20"/>
        </w:rPr>
        <w:t>которых</w:t>
      </w:r>
      <w:r>
        <w:rPr>
          <w:color w:val="231F20"/>
          <w:spacing w:val="-6"/>
        </w:rPr>
        <w:t> </w:t>
      </w:r>
      <w:r>
        <w:rPr>
          <w:color w:val="231F20"/>
        </w:rPr>
        <w:t>закреплены </w:t>
      </w:r>
      <w:r>
        <w:rPr>
          <w:color w:val="231F20"/>
          <w:spacing w:val="-2"/>
        </w:rPr>
        <w:t>процедуры; обозначены формы и методы обеспечения качества работы специалистов, </w:t>
      </w:r>
      <w:r>
        <w:rPr>
          <w:color w:val="231F20"/>
        </w:rPr>
        <w:t>реализующих</w:t>
      </w:r>
      <w:r>
        <w:rPr>
          <w:color w:val="231F20"/>
          <w:spacing w:val="-9"/>
        </w:rPr>
        <w:t> </w:t>
      </w:r>
      <w:r>
        <w:rPr>
          <w:color w:val="231F20"/>
        </w:rPr>
        <w:t>практику;</w:t>
      </w:r>
      <w:r>
        <w:rPr>
          <w:color w:val="231F20"/>
          <w:spacing w:val="-9"/>
        </w:rPr>
        <w:t> </w:t>
      </w:r>
      <w:r>
        <w:rPr>
          <w:color w:val="231F20"/>
        </w:rPr>
        <w:t>показаны</w:t>
      </w:r>
      <w:r>
        <w:rPr>
          <w:color w:val="231F20"/>
          <w:spacing w:val="-9"/>
        </w:rPr>
        <w:t> </w:t>
      </w:r>
      <w:r>
        <w:rPr>
          <w:color w:val="231F20"/>
        </w:rPr>
        <w:t>требования</w:t>
      </w:r>
      <w:r>
        <w:rPr>
          <w:color w:val="231F20"/>
          <w:spacing w:val="-9"/>
        </w:rPr>
        <w:t> </w:t>
      </w:r>
      <w:r>
        <w:rPr>
          <w:color w:val="231F20"/>
        </w:rPr>
        <w:t>и</w:t>
      </w:r>
      <w:r>
        <w:rPr>
          <w:color w:val="231F20"/>
          <w:spacing w:val="-9"/>
        </w:rPr>
        <w:t> </w:t>
      </w:r>
      <w:r>
        <w:rPr>
          <w:color w:val="231F20"/>
        </w:rPr>
        <w:t>процедуры,</w:t>
      </w:r>
      <w:r>
        <w:rPr>
          <w:color w:val="231F20"/>
          <w:spacing w:val="-9"/>
        </w:rPr>
        <w:t> </w:t>
      </w:r>
      <w:r>
        <w:rPr>
          <w:color w:val="231F20"/>
        </w:rPr>
        <w:t>обязательные</w:t>
      </w:r>
      <w:r>
        <w:rPr>
          <w:color w:val="231F20"/>
          <w:spacing w:val="-9"/>
        </w:rPr>
        <w:t> </w:t>
      </w:r>
      <w:r>
        <w:rPr>
          <w:color w:val="231F20"/>
        </w:rPr>
        <w:t>в</w:t>
      </w:r>
      <w:r>
        <w:rPr>
          <w:color w:val="231F20"/>
          <w:spacing w:val="-9"/>
        </w:rPr>
        <w:t> </w:t>
      </w:r>
      <w:r>
        <w:rPr>
          <w:color w:val="231F20"/>
        </w:rPr>
        <w:t>процессе реализации</w:t>
      </w:r>
      <w:r>
        <w:rPr>
          <w:color w:val="231F20"/>
          <w:spacing w:val="-13"/>
        </w:rPr>
        <w:t> </w:t>
      </w:r>
      <w:r>
        <w:rPr>
          <w:color w:val="231F20"/>
        </w:rPr>
        <w:t>практики.</w:t>
      </w:r>
      <w:r>
        <w:rPr>
          <w:color w:val="231F20"/>
          <w:spacing w:val="-11"/>
        </w:rPr>
        <w:t> </w:t>
      </w:r>
      <w:r>
        <w:rPr>
          <w:color w:val="231F20"/>
        </w:rPr>
        <w:t>В</w:t>
      </w:r>
      <w:r>
        <w:rPr>
          <w:color w:val="231F20"/>
          <w:spacing w:val="-12"/>
        </w:rPr>
        <w:t> </w:t>
      </w:r>
      <w:r>
        <w:rPr>
          <w:color w:val="231F20"/>
        </w:rPr>
        <w:t>описании</w:t>
      </w:r>
      <w:r>
        <w:rPr>
          <w:color w:val="231F20"/>
          <w:spacing w:val="-12"/>
        </w:rPr>
        <w:t> </w:t>
      </w:r>
      <w:r>
        <w:rPr>
          <w:color w:val="231F20"/>
        </w:rPr>
        <w:t>практик</w:t>
      </w:r>
      <w:r>
        <w:rPr>
          <w:color w:val="231F20"/>
          <w:spacing w:val="-12"/>
        </w:rPr>
        <w:t> </w:t>
      </w:r>
      <w:r>
        <w:rPr>
          <w:color w:val="231F20"/>
        </w:rPr>
        <w:t>имеется</w:t>
      </w:r>
      <w:r>
        <w:rPr>
          <w:color w:val="231F20"/>
          <w:spacing w:val="-12"/>
        </w:rPr>
        <w:t> </w:t>
      </w:r>
      <w:r>
        <w:rPr>
          <w:color w:val="231F20"/>
        </w:rPr>
        <w:t>информация</w:t>
      </w:r>
      <w:r>
        <w:rPr>
          <w:color w:val="231F20"/>
          <w:spacing w:val="-12"/>
        </w:rPr>
        <w:t> </w:t>
      </w:r>
      <w:r>
        <w:rPr>
          <w:color w:val="231F20"/>
        </w:rPr>
        <w:t>о</w:t>
      </w:r>
      <w:r>
        <w:rPr>
          <w:color w:val="231F20"/>
          <w:spacing w:val="-12"/>
        </w:rPr>
        <w:t> </w:t>
      </w:r>
      <w:r>
        <w:rPr>
          <w:color w:val="231F20"/>
        </w:rPr>
        <w:t>получении</w:t>
      </w:r>
      <w:r>
        <w:rPr>
          <w:color w:val="231F20"/>
          <w:spacing w:val="-13"/>
        </w:rPr>
        <w:t> </w:t>
      </w:r>
      <w:r>
        <w:rPr>
          <w:color w:val="231F20"/>
        </w:rPr>
        <w:t>подроб- </w:t>
      </w:r>
      <w:r>
        <w:rPr>
          <w:color w:val="231F20"/>
          <w:spacing w:val="-2"/>
        </w:rPr>
        <w:t>ных</w:t>
      </w:r>
      <w:r>
        <w:rPr>
          <w:color w:val="231F20"/>
          <w:spacing w:val="-7"/>
        </w:rPr>
        <w:t> </w:t>
      </w:r>
      <w:r>
        <w:rPr>
          <w:color w:val="231F20"/>
          <w:spacing w:val="-2"/>
        </w:rPr>
        <w:t>регламентов</w:t>
      </w:r>
      <w:r>
        <w:rPr>
          <w:color w:val="231F20"/>
          <w:spacing w:val="-8"/>
        </w:rPr>
        <w:t> </w:t>
      </w:r>
      <w:r>
        <w:rPr>
          <w:color w:val="231F20"/>
          <w:spacing w:val="-2"/>
        </w:rPr>
        <w:t>(через</w:t>
      </w:r>
      <w:r>
        <w:rPr>
          <w:color w:val="231F20"/>
          <w:spacing w:val="-7"/>
        </w:rPr>
        <w:t> </w:t>
      </w:r>
      <w:r>
        <w:rPr>
          <w:color w:val="231F20"/>
          <w:spacing w:val="-2"/>
        </w:rPr>
        <w:t>обучение,</w:t>
      </w:r>
      <w:r>
        <w:rPr>
          <w:color w:val="231F20"/>
          <w:spacing w:val="-7"/>
        </w:rPr>
        <w:t> </w:t>
      </w:r>
      <w:r>
        <w:rPr>
          <w:color w:val="231F20"/>
          <w:spacing w:val="-2"/>
        </w:rPr>
        <w:t>знакомство</w:t>
      </w:r>
      <w:r>
        <w:rPr>
          <w:color w:val="231F20"/>
          <w:spacing w:val="-7"/>
        </w:rPr>
        <w:t> </w:t>
      </w:r>
      <w:r>
        <w:rPr>
          <w:color w:val="231F20"/>
          <w:spacing w:val="-2"/>
        </w:rPr>
        <w:t>с</w:t>
      </w:r>
      <w:r>
        <w:rPr>
          <w:color w:val="231F20"/>
          <w:spacing w:val="-7"/>
        </w:rPr>
        <w:t> </w:t>
      </w:r>
      <w:r>
        <w:rPr>
          <w:color w:val="231F20"/>
          <w:spacing w:val="-2"/>
        </w:rPr>
        <w:t>дополнительной</w:t>
      </w:r>
      <w:r>
        <w:rPr>
          <w:color w:val="231F20"/>
          <w:spacing w:val="-7"/>
        </w:rPr>
        <w:t> </w:t>
      </w:r>
      <w:r>
        <w:rPr>
          <w:color w:val="231F20"/>
          <w:spacing w:val="-2"/>
        </w:rPr>
        <w:t>литературой),</w:t>
      </w:r>
      <w:r>
        <w:rPr>
          <w:color w:val="231F20"/>
          <w:spacing w:val="-7"/>
        </w:rPr>
        <w:t> </w:t>
      </w:r>
      <w:r>
        <w:rPr>
          <w:color w:val="231F20"/>
          <w:spacing w:val="-2"/>
        </w:rPr>
        <w:t>при</w:t>
      </w:r>
      <w:r>
        <w:rPr>
          <w:color w:val="231F20"/>
          <w:spacing w:val="-7"/>
        </w:rPr>
        <w:t> </w:t>
      </w:r>
      <w:r>
        <w:rPr>
          <w:color w:val="231F20"/>
          <w:spacing w:val="-2"/>
        </w:rPr>
        <w:t>от- сутствии</w:t>
      </w:r>
      <w:r>
        <w:rPr>
          <w:color w:val="231F20"/>
          <w:spacing w:val="-5"/>
        </w:rPr>
        <w:t> </w:t>
      </w:r>
      <w:r>
        <w:rPr>
          <w:color w:val="231F20"/>
          <w:spacing w:val="-2"/>
        </w:rPr>
        <w:t>такой</w:t>
      </w:r>
      <w:r>
        <w:rPr>
          <w:color w:val="231F20"/>
          <w:spacing w:val="-5"/>
        </w:rPr>
        <w:t> </w:t>
      </w:r>
      <w:r>
        <w:rPr>
          <w:color w:val="231F20"/>
          <w:spacing w:val="-2"/>
        </w:rPr>
        <w:t>информации</w:t>
      </w:r>
      <w:r>
        <w:rPr>
          <w:color w:val="231F20"/>
          <w:spacing w:val="-5"/>
        </w:rPr>
        <w:t> </w:t>
      </w:r>
      <w:r>
        <w:rPr>
          <w:color w:val="231F20"/>
          <w:spacing w:val="-2"/>
        </w:rPr>
        <w:t>в</w:t>
      </w:r>
      <w:r>
        <w:rPr>
          <w:color w:val="231F20"/>
          <w:spacing w:val="-5"/>
        </w:rPr>
        <w:t> </w:t>
      </w:r>
      <w:r>
        <w:rPr>
          <w:color w:val="231F20"/>
          <w:spacing w:val="-2"/>
        </w:rPr>
        <w:t>инструментарии</w:t>
      </w:r>
      <w:r>
        <w:rPr>
          <w:color w:val="231F20"/>
          <w:spacing w:val="-5"/>
        </w:rPr>
        <w:t> </w:t>
      </w:r>
      <w:r>
        <w:rPr>
          <w:color w:val="231F20"/>
          <w:spacing w:val="-2"/>
        </w:rPr>
        <w:t>можно</w:t>
      </w:r>
      <w:r>
        <w:rPr>
          <w:color w:val="231F20"/>
          <w:spacing w:val="-5"/>
        </w:rPr>
        <w:t> </w:t>
      </w:r>
      <w:r>
        <w:rPr>
          <w:color w:val="231F20"/>
          <w:spacing w:val="-2"/>
        </w:rPr>
        <w:t>найти</w:t>
      </w:r>
      <w:r>
        <w:rPr>
          <w:color w:val="231F20"/>
          <w:spacing w:val="-5"/>
        </w:rPr>
        <w:t> </w:t>
      </w:r>
      <w:r>
        <w:rPr>
          <w:color w:val="231F20"/>
          <w:spacing w:val="-2"/>
        </w:rPr>
        <w:t>развернутые</w:t>
      </w:r>
      <w:r>
        <w:rPr>
          <w:color w:val="231F20"/>
          <w:spacing w:val="-5"/>
        </w:rPr>
        <w:t> </w:t>
      </w:r>
      <w:r>
        <w:rPr>
          <w:color w:val="231F20"/>
          <w:spacing w:val="-2"/>
        </w:rPr>
        <w:t>регламенты. </w:t>
      </w:r>
      <w:r>
        <w:rPr>
          <w:color w:val="231F20"/>
        </w:rPr>
        <w:t>Для оценки эффективности практик мы предлагаем использовать психодиагно- </w:t>
      </w:r>
      <w:r>
        <w:rPr>
          <w:color w:val="231F20"/>
          <w:spacing w:val="-2"/>
        </w:rPr>
        <w:t>стический комплекс, представленный в программе психолого-педагогической оценки </w:t>
      </w:r>
      <w:r>
        <w:rPr>
          <w:color w:val="231F20"/>
        </w:rPr>
        <w:t>особых образовательных потребностей детей иностранных граждан в сферах психо- </w:t>
      </w:r>
      <w:r>
        <w:rPr>
          <w:color w:val="231F20"/>
          <w:spacing w:val="-2"/>
        </w:rPr>
        <w:t>логического благополучия, социальных навыков и культурной адаптации (разработан </w:t>
      </w:r>
      <w:r>
        <w:rPr>
          <w:color w:val="231F20"/>
        </w:rPr>
        <w:t>ФГБОУ</w:t>
      </w:r>
      <w:r>
        <w:rPr>
          <w:color w:val="231F20"/>
          <w:spacing w:val="-8"/>
        </w:rPr>
        <w:t> </w:t>
      </w:r>
      <w:r>
        <w:rPr>
          <w:color w:val="231F20"/>
        </w:rPr>
        <w:t>ВО</w:t>
      </w:r>
      <w:r>
        <w:rPr>
          <w:color w:val="231F20"/>
          <w:spacing w:val="-8"/>
        </w:rPr>
        <w:t> </w:t>
      </w:r>
      <w:r>
        <w:rPr>
          <w:color w:val="231F20"/>
        </w:rPr>
        <w:t>МГППУ</w:t>
      </w:r>
      <w:r>
        <w:rPr>
          <w:color w:val="231F20"/>
          <w:spacing w:val="-8"/>
        </w:rPr>
        <w:t> </w:t>
      </w:r>
      <w:r>
        <w:rPr>
          <w:color w:val="231F20"/>
        </w:rPr>
        <w:t>в</w:t>
      </w:r>
      <w:r>
        <w:rPr>
          <w:color w:val="231F20"/>
          <w:spacing w:val="-8"/>
        </w:rPr>
        <w:t> </w:t>
      </w:r>
      <w:r>
        <w:rPr>
          <w:color w:val="231F20"/>
        </w:rPr>
        <w:t>2021</w:t>
      </w:r>
      <w:r>
        <w:rPr>
          <w:color w:val="231F20"/>
          <w:spacing w:val="-7"/>
        </w:rPr>
        <w:t> </w:t>
      </w:r>
      <w:r>
        <w:rPr>
          <w:color w:val="231F20"/>
        </w:rPr>
        <w:t>г.</w:t>
      </w:r>
      <w:r>
        <w:rPr>
          <w:color w:val="231F20"/>
          <w:spacing w:val="-8"/>
        </w:rPr>
        <w:t> </w:t>
      </w:r>
      <w:r>
        <w:rPr>
          <w:color w:val="231F20"/>
        </w:rPr>
        <w:t>и</w:t>
      </w:r>
      <w:r>
        <w:rPr>
          <w:color w:val="231F20"/>
          <w:spacing w:val="-8"/>
        </w:rPr>
        <w:t> </w:t>
      </w:r>
      <w:r>
        <w:rPr>
          <w:color w:val="231F20"/>
        </w:rPr>
        <w:t>апробирован</w:t>
      </w:r>
      <w:r>
        <w:rPr>
          <w:color w:val="231F20"/>
          <w:spacing w:val="-8"/>
        </w:rPr>
        <w:t> </w:t>
      </w:r>
      <w:r>
        <w:rPr>
          <w:color w:val="231F20"/>
        </w:rPr>
        <w:t>в</w:t>
      </w:r>
      <w:r>
        <w:rPr>
          <w:color w:val="231F20"/>
          <w:spacing w:val="-8"/>
        </w:rPr>
        <w:t> </w:t>
      </w:r>
      <w:r>
        <w:rPr>
          <w:color w:val="231F20"/>
        </w:rPr>
        <w:t>2022</w:t>
      </w:r>
      <w:r>
        <w:rPr>
          <w:color w:val="231F20"/>
          <w:spacing w:val="-7"/>
        </w:rPr>
        <w:t> </w:t>
      </w:r>
      <w:r>
        <w:rPr>
          <w:color w:val="231F20"/>
        </w:rPr>
        <w:t>г.).</w:t>
      </w:r>
      <w:r>
        <w:rPr>
          <w:color w:val="231F20"/>
          <w:spacing w:val="-8"/>
        </w:rPr>
        <w:t> </w:t>
      </w:r>
      <w:r>
        <w:rPr>
          <w:color w:val="231F20"/>
        </w:rPr>
        <w:t>Использование</w:t>
      </w:r>
      <w:r>
        <w:rPr>
          <w:color w:val="231F20"/>
          <w:spacing w:val="-8"/>
        </w:rPr>
        <w:t> </w:t>
      </w:r>
      <w:r>
        <w:rPr>
          <w:color w:val="231F20"/>
        </w:rPr>
        <w:t>данного</w:t>
      </w:r>
      <w:r>
        <w:rPr>
          <w:color w:val="231F20"/>
          <w:spacing w:val="-8"/>
        </w:rPr>
        <w:t> </w:t>
      </w:r>
      <w:r>
        <w:rPr>
          <w:color w:val="231F20"/>
        </w:rPr>
        <w:t>диаг- ностического</w:t>
      </w:r>
      <w:r>
        <w:rPr>
          <w:color w:val="231F20"/>
          <w:spacing w:val="39"/>
        </w:rPr>
        <w:t> </w:t>
      </w:r>
      <w:r>
        <w:rPr>
          <w:color w:val="231F20"/>
        </w:rPr>
        <w:t>комплекса</w:t>
      </w:r>
      <w:r>
        <w:rPr>
          <w:color w:val="231F20"/>
          <w:spacing w:val="40"/>
        </w:rPr>
        <w:t> </w:t>
      </w:r>
      <w:r>
        <w:rPr>
          <w:color w:val="231F20"/>
        </w:rPr>
        <w:t>в</w:t>
      </w:r>
      <w:r>
        <w:rPr>
          <w:color w:val="231F20"/>
          <w:spacing w:val="40"/>
        </w:rPr>
        <w:t> </w:t>
      </w:r>
      <w:r>
        <w:rPr>
          <w:color w:val="231F20"/>
        </w:rPr>
        <w:t>рамках</w:t>
      </w:r>
      <w:r>
        <w:rPr>
          <w:color w:val="231F20"/>
          <w:spacing w:val="39"/>
        </w:rPr>
        <w:t> </w:t>
      </w:r>
      <w:r>
        <w:rPr>
          <w:color w:val="231F20"/>
        </w:rPr>
        <w:t>реализации</w:t>
      </w:r>
      <w:r>
        <w:rPr>
          <w:color w:val="231F20"/>
          <w:spacing w:val="40"/>
        </w:rPr>
        <w:t> </w:t>
      </w:r>
      <w:r>
        <w:rPr>
          <w:color w:val="231F20"/>
        </w:rPr>
        <w:t>программы</w:t>
      </w:r>
      <w:r>
        <w:rPr>
          <w:color w:val="231F20"/>
          <w:spacing w:val="40"/>
        </w:rPr>
        <w:t> </w:t>
      </w:r>
      <w:r>
        <w:rPr>
          <w:color w:val="231F20"/>
        </w:rPr>
        <w:t>описано</w:t>
      </w:r>
      <w:r>
        <w:rPr>
          <w:color w:val="231F20"/>
          <w:spacing w:val="39"/>
        </w:rPr>
        <w:t> </w:t>
      </w:r>
      <w:r>
        <w:rPr>
          <w:color w:val="231F20"/>
        </w:rPr>
        <w:t>далее,</w:t>
      </w:r>
      <w:r>
        <w:rPr>
          <w:color w:val="231F20"/>
          <w:spacing w:val="40"/>
        </w:rPr>
        <w:t> </w:t>
      </w:r>
      <w:r>
        <w:rPr>
          <w:color w:val="231F20"/>
        </w:rPr>
        <w:t>во</w:t>
      </w:r>
      <w:r>
        <w:rPr>
          <w:color w:val="231F20"/>
          <w:spacing w:val="40"/>
        </w:rPr>
        <w:t> </w:t>
      </w:r>
      <w:r>
        <w:rPr>
          <w:color w:val="231F20"/>
          <w:spacing w:val="-4"/>
        </w:rPr>
        <w:t>вто-</w:t>
      </w:r>
    </w:p>
    <w:p>
      <w:pPr>
        <w:pStyle w:val="BodyText"/>
        <w:spacing w:line="207" w:lineRule="exact"/>
        <w:ind w:right="0" w:firstLine="0"/>
      </w:pPr>
      <w:r>
        <w:rPr>
          <w:color w:val="231F20"/>
        </w:rPr>
        <w:t>рой </w:t>
      </w:r>
      <w:r>
        <w:rPr>
          <w:color w:val="231F20"/>
          <w:spacing w:val="-2"/>
        </w:rPr>
        <w:t>части.</w:t>
      </w:r>
    </w:p>
    <w:p>
      <w:pPr>
        <w:pStyle w:val="BodyText"/>
        <w:spacing w:line="232" w:lineRule="auto" w:before="3"/>
      </w:pPr>
      <w:r>
        <w:rPr>
          <w:color w:val="231F20"/>
        </w:rPr>
        <w:t>В 2023 году была проведена апробация программы и осуществлен мониторинг эффективности</w:t>
      </w:r>
      <w:r>
        <w:rPr>
          <w:color w:val="231F20"/>
          <w:spacing w:val="-2"/>
        </w:rPr>
        <w:t> </w:t>
      </w:r>
      <w:r>
        <w:rPr>
          <w:color w:val="231F20"/>
        </w:rPr>
        <w:t>ее</w:t>
      </w:r>
      <w:r>
        <w:rPr>
          <w:color w:val="231F20"/>
          <w:spacing w:val="-2"/>
        </w:rPr>
        <w:t> </w:t>
      </w:r>
      <w:r>
        <w:rPr>
          <w:color w:val="231F20"/>
        </w:rPr>
        <w:t>реализации</w:t>
      </w:r>
      <w:r>
        <w:rPr>
          <w:color w:val="231F20"/>
          <w:spacing w:val="-2"/>
        </w:rPr>
        <w:t> </w:t>
      </w:r>
      <w:r>
        <w:rPr>
          <w:color w:val="231F20"/>
        </w:rPr>
        <w:t>(для</w:t>
      </w:r>
      <w:r>
        <w:rPr>
          <w:color w:val="231F20"/>
          <w:spacing w:val="-2"/>
        </w:rPr>
        <w:t> </w:t>
      </w:r>
      <w:r>
        <w:rPr>
          <w:color w:val="231F20"/>
        </w:rPr>
        <w:t>несовершеннолетних</w:t>
      </w:r>
      <w:r>
        <w:rPr>
          <w:color w:val="231F20"/>
          <w:spacing w:val="-2"/>
        </w:rPr>
        <w:t> </w:t>
      </w:r>
      <w:r>
        <w:rPr>
          <w:color w:val="231F20"/>
        </w:rPr>
        <w:t>иностранных</w:t>
      </w:r>
      <w:r>
        <w:rPr>
          <w:color w:val="231F20"/>
          <w:spacing w:val="-2"/>
        </w:rPr>
        <w:t> </w:t>
      </w:r>
      <w:r>
        <w:rPr>
          <w:color w:val="231F20"/>
        </w:rPr>
        <w:t>граждан,</w:t>
      </w:r>
      <w:r>
        <w:rPr>
          <w:color w:val="231F20"/>
          <w:spacing w:val="-2"/>
        </w:rPr>
        <w:t> </w:t>
      </w:r>
      <w:r>
        <w:rPr>
          <w:color w:val="231F20"/>
        </w:rPr>
        <w:t>обу- чающихся в условиях общеобразовательной школы).</w:t>
      </w:r>
    </w:p>
    <w:p>
      <w:pPr>
        <w:pStyle w:val="BodyText"/>
        <w:spacing w:line="232" w:lineRule="auto" w:before="3"/>
      </w:pPr>
      <w:r>
        <w:rPr>
          <w:color w:val="231F20"/>
        </w:rPr>
        <w:t>В апробации программы психолого-педагогического сопровождения приняли участие 1479 обучающихся из 101 образовательной организации 21 региона России. Из</w:t>
      </w:r>
      <w:r>
        <w:rPr>
          <w:color w:val="231F20"/>
          <w:spacing w:val="-3"/>
        </w:rPr>
        <w:t> </w:t>
      </w:r>
      <w:r>
        <w:rPr>
          <w:color w:val="231F20"/>
        </w:rPr>
        <w:t>них</w:t>
      </w:r>
      <w:r>
        <w:rPr>
          <w:color w:val="231F20"/>
          <w:spacing w:val="-3"/>
        </w:rPr>
        <w:t> </w:t>
      </w:r>
      <w:r>
        <w:rPr>
          <w:color w:val="231F20"/>
        </w:rPr>
        <w:t>–</w:t>
      </w:r>
      <w:r>
        <w:rPr>
          <w:color w:val="231F20"/>
          <w:spacing w:val="-3"/>
        </w:rPr>
        <w:t> </w:t>
      </w:r>
      <w:r>
        <w:rPr>
          <w:color w:val="231F20"/>
        </w:rPr>
        <w:t>358</w:t>
      </w:r>
      <w:r>
        <w:rPr>
          <w:color w:val="231F20"/>
          <w:spacing w:val="-3"/>
        </w:rPr>
        <w:t> </w:t>
      </w:r>
      <w:r>
        <w:rPr>
          <w:color w:val="231F20"/>
        </w:rPr>
        <w:t>несовершеннолетних</w:t>
      </w:r>
      <w:r>
        <w:rPr>
          <w:color w:val="231F20"/>
          <w:spacing w:val="-3"/>
        </w:rPr>
        <w:t> </w:t>
      </w:r>
      <w:r>
        <w:rPr>
          <w:color w:val="231F20"/>
        </w:rPr>
        <w:t>иностранных</w:t>
      </w:r>
      <w:r>
        <w:rPr>
          <w:color w:val="231F20"/>
          <w:spacing w:val="-3"/>
        </w:rPr>
        <w:t> </w:t>
      </w:r>
      <w:r>
        <w:rPr>
          <w:color w:val="231F20"/>
        </w:rPr>
        <w:t>граждан,</w:t>
      </w:r>
      <w:r>
        <w:rPr>
          <w:color w:val="231F20"/>
          <w:spacing w:val="-3"/>
        </w:rPr>
        <w:t> </w:t>
      </w:r>
      <w:r>
        <w:rPr>
          <w:color w:val="231F20"/>
        </w:rPr>
        <w:t>страна</w:t>
      </w:r>
      <w:r>
        <w:rPr>
          <w:color w:val="231F20"/>
          <w:spacing w:val="-3"/>
        </w:rPr>
        <w:t> </w:t>
      </w:r>
      <w:r>
        <w:rPr>
          <w:color w:val="231F20"/>
        </w:rPr>
        <w:t>происхождения</w:t>
      </w:r>
      <w:r>
        <w:rPr>
          <w:color w:val="231F20"/>
          <w:spacing w:val="-3"/>
        </w:rPr>
        <w:t> </w:t>
      </w:r>
      <w:r>
        <w:rPr>
          <w:color w:val="231F20"/>
        </w:rPr>
        <w:t>ко- торых:</w:t>
      </w:r>
      <w:r>
        <w:rPr>
          <w:color w:val="231F20"/>
          <w:spacing w:val="-13"/>
        </w:rPr>
        <w:t> </w:t>
      </w:r>
      <w:r>
        <w:rPr>
          <w:color w:val="231F20"/>
        </w:rPr>
        <w:t>Казахстан,</w:t>
      </w:r>
      <w:r>
        <w:rPr>
          <w:color w:val="231F20"/>
          <w:spacing w:val="-12"/>
        </w:rPr>
        <w:t> </w:t>
      </w:r>
      <w:r>
        <w:rPr>
          <w:color w:val="231F20"/>
        </w:rPr>
        <w:t>Кыргызстан,</w:t>
      </w:r>
      <w:r>
        <w:rPr>
          <w:color w:val="231F20"/>
          <w:spacing w:val="-13"/>
        </w:rPr>
        <w:t> </w:t>
      </w:r>
      <w:r>
        <w:rPr>
          <w:color w:val="231F20"/>
        </w:rPr>
        <w:t>Таджикистан,</w:t>
      </w:r>
      <w:r>
        <w:rPr>
          <w:color w:val="231F20"/>
          <w:spacing w:val="-12"/>
        </w:rPr>
        <w:t> </w:t>
      </w:r>
      <w:r>
        <w:rPr>
          <w:color w:val="231F20"/>
        </w:rPr>
        <w:t>Украина,</w:t>
      </w:r>
      <w:r>
        <w:rPr>
          <w:color w:val="231F20"/>
          <w:spacing w:val="-13"/>
        </w:rPr>
        <w:t> </w:t>
      </w:r>
      <w:r>
        <w:rPr>
          <w:color w:val="231F20"/>
        </w:rPr>
        <w:t>Армения,</w:t>
      </w:r>
      <w:r>
        <w:rPr>
          <w:color w:val="231F20"/>
          <w:spacing w:val="-12"/>
        </w:rPr>
        <w:t> </w:t>
      </w:r>
      <w:r>
        <w:rPr>
          <w:color w:val="231F20"/>
        </w:rPr>
        <w:t>Азербайджан,</w:t>
      </w:r>
      <w:r>
        <w:rPr>
          <w:color w:val="231F20"/>
          <w:spacing w:val="-13"/>
        </w:rPr>
        <w:t> </w:t>
      </w:r>
      <w:r>
        <w:rPr>
          <w:color w:val="231F20"/>
        </w:rPr>
        <w:t>Мол- дова. В апробации принимали участие 155 педагогов и педагогов-психологов и 66 </w:t>
      </w:r>
      <w:r>
        <w:rPr>
          <w:color w:val="231F20"/>
          <w:spacing w:val="-2"/>
        </w:rPr>
        <w:t>родителей.</w:t>
      </w:r>
    </w:p>
    <w:p>
      <w:pPr>
        <w:pStyle w:val="BodyText"/>
        <w:spacing w:after="0" w:line="232" w:lineRule="auto"/>
        <w:sectPr>
          <w:pgSz w:w="8400" w:h="11910"/>
          <w:pgMar w:header="0" w:footer="531"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Введение</w:t>
      </w:r>
    </w:p>
    <w:p>
      <w:pPr>
        <w:pStyle w:val="BodyText"/>
        <w:spacing w:line="235" w:lineRule="auto" w:before="116"/>
      </w:pPr>
      <w:r>
        <w:rPr>
          <w:color w:val="231F20"/>
          <w:spacing w:val="-2"/>
        </w:rPr>
        <w:t>Итоги апробации позволяют утверждать, что психолого-педагогические практики, </w:t>
      </w:r>
      <w:r>
        <w:rPr>
          <w:color w:val="231F20"/>
        </w:rPr>
        <w:t>включенные в программу психолого-педагогического сопровождения процессов об- учения,</w:t>
      </w:r>
      <w:r>
        <w:rPr>
          <w:color w:val="231F20"/>
          <w:spacing w:val="-1"/>
        </w:rPr>
        <w:t> </w:t>
      </w:r>
      <w:r>
        <w:rPr>
          <w:color w:val="231F20"/>
        </w:rPr>
        <w:t>социальной,</w:t>
      </w:r>
      <w:r>
        <w:rPr>
          <w:color w:val="231F20"/>
          <w:spacing w:val="-1"/>
        </w:rPr>
        <w:t> </w:t>
      </w:r>
      <w:r>
        <w:rPr>
          <w:color w:val="231F20"/>
        </w:rPr>
        <w:t>языковой</w:t>
      </w:r>
      <w:r>
        <w:rPr>
          <w:color w:val="231F20"/>
          <w:spacing w:val="-1"/>
        </w:rPr>
        <w:t> </w:t>
      </w:r>
      <w:r>
        <w:rPr>
          <w:color w:val="231F20"/>
        </w:rPr>
        <w:t>и</w:t>
      </w:r>
      <w:r>
        <w:rPr>
          <w:color w:val="231F20"/>
          <w:spacing w:val="-1"/>
        </w:rPr>
        <w:t> </w:t>
      </w:r>
      <w:r>
        <w:rPr>
          <w:color w:val="231F20"/>
        </w:rPr>
        <w:t>культурной</w:t>
      </w:r>
      <w:r>
        <w:rPr>
          <w:color w:val="231F20"/>
          <w:spacing w:val="-1"/>
        </w:rPr>
        <w:t> </w:t>
      </w:r>
      <w:r>
        <w:rPr>
          <w:color w:val="231F20"/>
        </w:rPr>
        <w:t>адаптации</w:t>
      </w:r>
      <w:r>
        <w:rPr>
          <w:color w:val="231F20"/>
          <w:spacing w:val="-1"/>
        </w:rPr>
        <w:t> </w:t>
      </w:r>
      <w:r>
        <w:rPr>
          <w:color w:val="231F20"/>
        </w:rPr>
        <w:t>детей</w:t>
      </w:r>
      <w:r>
        <w:rPr>
          <w:color w:val="231F20"/>
          <w:spacing w:val="-1"/>
        </w:rPr>
        <w:t> </w:t>
      </w:r>
      <w:r>
        <w:rPr>
          <w:color w:val="231F20"/>
        </w:rPr>
        <w:t>иностранных</w:t>
      </w:r>
      <w:r>
        <w:rPr>
          <w:color w:val="231F20"/>
          <w:spacing w:val="-1"/>
        </w:rPr>
        <w:t> </w:t>
      </w:r>
      <w:r>
        <w:rPr>
          <w:color w:val="231F20"/>
        </w:rPr>
        <w:t>граждан, действительно способствуют решению декларируемых в ней задач: дети-мигранты, принимавшие участие в мероприятиях, демонстрируют позитивную динамику пре- жде</w:t>
      </w:r>
      <w:r>
        <w:rPr>
          <w:color w:val="231F20"/>
          <w:spacing w:val="-7"/>
        </w:rPr>
        <w:t> </w:t>
      </w:r>
      <w:r>
        <w:rPr>
          <w:color w:val="231F20"/>
        </w:rPr>
        <w:t>всего</w:t>
      </w:r>
      <w:r>
        <w:rPr>
          <w:color w:val="231F20"/>
          <w:spacing w:val="-7"/>
        </w:rPr>
        <w:t> </w:t>
      </w:r>
      <w:r>
        <w:rPr>
          <w:color w:val="231F20"/>
        </w:rPr>
        <w:t>в</w:t>
      </w:r>
      <w:r>
        <w:rPr>
          <w:color w:val="231F20"/>
          <w:spacing w:val="-7"/>
        </w:rPr>
        <w:t> </w:t>
      </w:r>
      <w:r>
        <w:rPr>
          <w:color w:val="231F20"/>
        </w:rPr>
        <w:t>области</w:t>
      </w:r>
      <w:r>
        <w:rPr>
          <w:color w:val="231F20"/>
          <w:spacing w:val="-7"/>
        </w:rPr>
        <w:t> </w:t>
      </w:r>
      <w:r>
        <w:rPr>
          <w:color w:val="231F20"/>
        </w:rPr>
        <w:t>психологического</w:t>
      </w:r>
      <w:r>
        <w:rPr>
          <w:color w:val="231F20"/>
          <w:spacing w:val="-7"/>
        </w:rPr>
        <w:t> </w:t>
      </w:r>
      <w:r>
        <w:rPr>
          <w:color w:val="231F20"/>
        </w:rPr>
        <w:t>благополучия</w:t>
      </w:r>
      <w:r>
        <w:rPr>
          <w:color w:val="231F20"/>
          <w:spacing w:val="-7"/>
        </w:rPr>
        <w:t> </w:t>
      </w:r>
      <w:r>
        <w:rPr>
          <w:color w:val="231F20"/>
        </w:rPr>
        <w:t>и</w:t>
      </w:r>
      <w:r>
        <w:rPr>
          <w:color w:val="231F20"/>
          <w:spacing w:val="-7"/>
        </w:rPr>
        <w:t> </w:t>
      </w:r>
      <w:r>
        <w:rPr>
          <w:color w:val="231F20"/>
        </w:rPr>
        <w:t>культурной</w:t>
      </w:r>
      <w:r>
        <w:rPr>
          <w:color w:val="231F20"/>
          <w:spacing w:val="-7"/>
        </w:rPr>
        <w:t> </w:t>
      </w:r>
      <w:r>
        <w:rPr>
          <w:color w:val="231F20"/>
        </w:rPr>
        <w:t>адаптации,</w:t>
      </w:r>
      <w:r>
        <w:rPr>
          <w:color w:val="231F20"/>
          <w:spacing w:val="-7"/>
        </w:rPr>
        <w:t> </w:t>
      </w:r>
      <w:r>
        <w:rPr>
          <w:color w:val="231F20"/>
        </w:rPr>
        <w:t>а</w:t>
      </w:r>
      <w:r>
        <w:rPr>
          <w:color w:val="231F20"/>
          <w:spacing w:val="-7"/>
        </w:rPr>
        <w:t> </w:t>
      </w:r>
      <w:r>
        <w:rPr>
          <w:color w:val="231F20"/>
        </w:rPr>
        <w:t>в</w:t>
      </w:r>
      <w:r>
        <w:rPr>
          <w:color w:val="231F20"/>
          <w:spacing w:val="-7"/>
        </w:rPr>
        <w:t> </w:t>
      </w:r>
      <w:r>
        <w:rPr>
          <w:color w:val="231F20"/>
        </w:rPr>
        <w:t>от- сроченной</w:t>
      </w:r>
      <w:r>
        <w:rPr>
          <w:color w:val="231F20"/>
          <w:spacing w:val="-13"/>
        </w:rPr>
        <w:t> </w:t>
      </w:r>
      <w:r>
        <w:rPr>
          <w:color w:val="231F20"/>
        </w:rPr>
        <w:t>перспективе</w:t>
      </w:r>
      <w:r>
        <w:rPr>
          <w:color w:val="231F20"/>
          <w:spacing w:val="-12"/>
        </w:rPr>
        <w:t> </w:t>
      </w:r>
      <w:r>
        <w:rPr>
          <w:color w:val="231F20"/>
        </w:rPr>
        <w:t>и</w:t>
      </w:r>
      <w:r>
        <w:rPr>
          <w:color w:val="231F20"/>
          <w:spacing w:val="-13"/>
        </w:rPr>
        <w:t> </w:t>
      </w:r>
      <w:r>
        <w:rPr>
          <w:color w:val="231F20"/>
        </w:rPr>
        <w:t>социальных</w:t>
      </w:r>
      <w:r>
        <w:rPr>
          <w:color w:val="231F20"/>
          <w:spacing w:val="-12"/>
        </w:rPr>
        <w:t> </w:t>
      </w:r>
      <w:r>
        <w:rPr>
          <w:color w:val="231F20"/>
        </w:rPr>
        <w:t>навыков.</w:t>
      </w:r>
      <w:r>
        <w:rPr>
          <w:color w:val="231F20"/>
          <w:spacing w:val="-13"/>
        </w:rPr>
        <w:t> </w:t>
      </w:r>
      <w:r>
        <w:rPr>
          <w:color w:val="231F20"/>
        </w:rPr>
        <w:t>Однако</w:t>
      </w:r>
      <w:r>
        <w:rPr>
          <w:color w:val="231F20"/>
          <w:spacing w:val="-12"/>
        </w:rPr>
        <w:t> </w:t>
      </w:r>
      <w:r>
        <w:rPr>
          <w:color w:val="231F20"/>
        </w:rPr>
        <w:t>необходимо</w:t>
      </w:r>
      <w:r>
        <w:rPr>
          <w:color w:val="231F20"/>
          <w:spacing w:val="-13"/>
        </w:rPr>
        <w:t> </w:t>
      </w:r>
      <w:r>
        <w:rPr>
          <w:color w:val="231F20"/>
        </w:rPr>
        <w:t>подчеркнуть,</w:t>
      </w:r>
      <w:r>
        <w:rPr>
          <w:color w:val="231F20"/>
          <w:spacing w:val="-12"/>
        </w:rPr>
        <w:t> </w:t>
      </w:r>
      <w:r>
        <w:rPr>
          <w:color w:val="231F20"/>
        </w:rPr>
        <w:t>что данные результаты возможны при соблюдении следующих условий.</w:t>
      </w:r>
    </w:p>
    <w:p>
      <w:pPr>
        <w:pStyle w:val="BodyText"/>
        <w:spacing w:line="235" w:lineRule="auto" w:before="5"/>
      </w:pPr>
      <w:r>
        <w:rPr>
          <w:color w:val="231F20"/>
        </w:rPr>
        <w:t>Во-первых, реализация отдельных практик не оказывает влияния на социокуль- турную и психологическую адаптацию несовершеннолетних иностранных граждан. Необходима систематизированная деятельность, включающая реализацию практик различной направленности. Не представляется возможным перечислить обязатель- </w:t>
      </w:r>
      <w:r>
        <w:rPr>
          <w:color w:val="231F20"/>
          <w:spacing w:val="-2"/>
        </w:rPr>
        <w:t>ный</w:t>
      </w:r>
      <w:r>
        <w:rPr>
          <w:color w:val="231F20"/>
          <w:spacing w:val="-9"/>
        </w:rPr>
        <w:t> </w:t>
      </w:r>
      <w:r>
        <w:rPr>
          <w:color w:val="231F20"/>
          <w:spacing w:val="-2"/>
        </w:rPr>
        <w:t>минимум</w:t>
      </w:r>
      <w:r>
        <w:rPr>
          <w:color w:val="231F20"/>
          <w:spacing w:val="-9"/>
        </w:rPr>
        <w:t> </w:t>
      </w:r>
      <w:r>
        <w:rPr>
          <w:color w:val="231F20"/>
          <w:spacing w:val="-2"/>
        </w:rPr>
        <w:t>или</w:t>
      </w:r>
      <w:r>
        <w:rPr>
          <w:color w:val="231F20"/>
          <w:spacing w:val="-9"/>
        </w:rPr>
        <w:t> </w:t>
      </w:r>
      <w:r>
        <w:rPr>
          <w:color w:val="231F20"/>
          <w:spacing w:val="-2"/>
        </w:rPr>
        <w:t>рекомендовать</w:t>
      </w:r>
      <w:r>
        <w:rPr>
          <w:color w:val="231F20"/>
          <w:spacing w:val="-9"/>
        </w:rPr>
        <w:t> </w:t>
      </w:r>
      <w:r>
        <w:rPr>
          <w:color w:val="231F20"/>
          <w:spacing w:val="-2"/>
        </w:rPr>
        <w:t>жестко</w:t>
      </w:r>
      <w:r>
        <w:rPr>
          <w:color w:val="231F20"/>
          <w:spacing w:val="-9"/>
        </w:rPr>
        <w:t> </w:t>
      </w:r>
      <w:r>
        <w:rPr>
          <w:color w:val="231F20"/>
          <w:spacing w:val="-2"/>
        </w:rPr>
        <w:t>заданное</w:t>
      </w:r>
      <w:r>
        <w:rPr>
          <w:color w:val="231F20"/>
          <w:spacing w:val="-9"/>
        </w:rPr>
        <w:t> </w:t>
      </w:r>
      <w:r>
        <w:rPr>
          <w:color w:val="231F20"/>
          <w:spacing w:val="-2"/>
        </w:rPr>
        <w:t>количество</w:t>
      </w:r>
      <w:r>
        <w:rPr>
          <w:color w:val="231F20"/>
          <w:spacing w:val="-9"/>
        </w:rPr>
        <w:t> </w:t>
      </w:r>
      <w:r>
        <w:rPr>
          <w:color w:val="231F20"/>
          <w:spacing w:val="-2"/>
        </w:rPr>
        <w:t>подобных</w:t>
      </w:r>
      <w:r>
        <w:rPr>
          <w:color w:val="231F20"/>
          <w:spacing w:val="-9"/>
        </w:rPr>
        <w:t> </w:t>
      </w:r>
      <w:r>
        <w:rPr>
          <w:color w:val="231F20"/>
          <w:spacing w:val="-2"/>
        </w:rPr>
        <w:t>практик.</w:t>
      </w:r>
      <w:r>
        <w:rPr>
          <w:color w:val="231F20"/>
          <w:spacing w:val="-9"/>
        </w:rPr>
        <w:t> </w:t>
      </w:r>
      <w:r>
        <w:rPr>
          <w:color w:val="231F20"/>
          <w:spacing w:val="-2"/>
        </w:rPr>
        <w:t>При </w:t>
      </w:r>
      <w:r>
        <w:rPr>
          <w:color w:val="231F20"/>
        </w:rPr>
        <w:t>планировании</w:t>
      </w:r>
      <w:r>
        <w:rPr>
          <w:color w:val="231F20"/>
          <w:spacing w:val="-1"/>
        </w:rPr>
        <w:t> </w:t>
      </w:r>
      <w:r>
        <w:rPr>
          <w:color w:val="231F20"/>
        </w:rPr>
        <w:t>работы</w:t>
      </w:r>
      <w:r>
        <w:rPr>
          <w:color w:val="231F20"/>
          <w:spacing w:val="-1"/>
        </w:rPr>
        <w:t> </w:t>
      </w:r>
      <w:r>
        <w:rPr>
          <w:color w:val="231F20"/>
        </w:rPr>
        <w:t>общеобразовательных</w:t>
      </w:r>
      <w:r>
        <w:rPr>
          <w:color w:val="231F20"/>
          <w:spacing w:val="-1"/>
        </w:rPr>
        <w:t> </w:t>
      </w:r>
      <w:r>
        <w:rPr>
          <w:color w:val="231F20"/>
        </w:rPr>
        <w:t>организаций</w:t>
      </w:r>
      <w:r>
        <w:rPr>
          <w:color w:val="231F20"/>
          <w:spacing w:val="-1"/>
        </w:rPr>
        <w:t> </w:t>
      </w:r>
      <w:r>
        <w:rPr>
          <w:color w:val="231F20"/>
        </w:rPr>
        <w:t>по</w:t>
      </w:r>
      <w:r>
        <w:rPr>
          <w:color w:val="231F20"/>
          <w:spacing w:val="-1"/>
        </w:rPr>
        <w:t> </w:t>
      </w:r>
      <w:r>
        <w:rPr>
          <w:color w:val="231F20"/>
        </w:rPr>
        <w:t>языковой</w:t>
      </w:r>
      <w:r>
        <w:rPr>
          <w:color w:val="231F20"/>
          <w:spacing w:val="-1"/>
        </w:rPr>
        <w:t> </w:t>
      </w:r>
      <w:r>
        <w:rPr>
          <w:color w:val="231F20"/>
        </w:rPr>
        <w:t>и</w:t>
      </w:r>
      <w:r>
        <w:rPr>
          <w:color w:val="231F20"/>
          <w:spacing w:val="-1"/>
        </w:rPr>
        <w:t> </w:t>
      </w:r>
      <w:r>
        <w:rPr>
          <w:color w:val="231F20"/>
        </w:rPr>
        <w:t>социокуль- турной</w:t>
      </w:r>
      <w:r>
        <w:rPr>
          <w:color w:val="231F20"/>
          <w:spacing w:val="-13"/>
        </w:rPr>
        <w:t> </w:t>
      </w:r>
      <w:r>
        <w:rPr>
          <w:color w:val="231F20"/>
        </w:rPr>
        <w:t>адаптации</w:t>
      </w:r>
      <w:r>
        <w:rPr>
          <w:color w:val="231F20"/>
          <w:spacing w:val="-12"/>
        </w:rPr>
        <w:t> </w:t>
      </w:r>
      <w:r>
        <w:rPr>
          <w:color w:val="231F20"/>
        </w:rPr>
        <w:t>детей</w:t>
      </w:r>
      <w:r>
        <w:rPr>
          <w:color w:val="231F20"/>
          <w:spacing w:val="-13"/>
        </w:rPr>
        <w:t> </w:t>
      </w:r>
      <w:r>
        <w:rPr>
          <w:color w:val="231F20"/>
        </w:rPr>
        <w:t>иностранных</w:t>
      </w:r>
      <w:r>
        <w:rPr>
          <w:color w:val="231F20"/>
          <w:spacing w:val="-12"/>
        </w:rPr>
        <w:t> </w:t>
      </w:r>
      <w:r>
        <w:rPr>
          <w:color w:val="231F20"/>
        </w:rPr>
        <w:t>граждан</w:t>
      </w:r>
      <w:r>
        <w:rPr>
          <w:color w:val="231F20"/>
          <w:spacing w:val="-13"/>
        </w:rPr>
        <w:t> </w:t>
      </w:r>
      <w:r>
        <w:rPr>
          <w:color w:val="231F20"/>
        </w:rPr>
        <w:t>следует</w:t>
      </w:r>
      <w:r>
        <w:rPr>
          <w:color w:val="231F20"/>
          <w:spacing w:val="-12"/>
        </w:rPr>
        <w:t> </w:t>
      </w:r>
      <w:r>
        <w:rPr>
          <w:color w:val="231F20"/>
        </w:rPr>
        <w:t>предусмотреть</w:t>
      </w:r>
      <w:r>
        <w:rPr>
          <w:color w:val="231F20"/>
          <w:spacing w:val="-13"/>
        </w:rPr>
        <w:t> </w:t>
      </w:r>
      <w:r>
        <w:rPr>
          <w:color w:val="231F20"/>
        </w:rPr>
        <w:t>разнообразные по содержанию и форме практики, не ограничиваясь отдельными мероприятиями.</w:t>
      </w:r>
    </w:p>
    <w:p>
      <w:pPr>
        <w:pStyle w:val="BodyText"/>
        <w:spacing w:line="235" w:lineRule="auto" w:before="5"/>
      </w:pPr>
      <w:r>
        <w:rPr>
          <w:color w:val="231F20"/>
        </w:rPr>
        <w:t>Во-вторых, реализация программы будет эффективной при условии обеспече- ния методического сопровождения педагогов, работающих с несовершеннолетними иностранными гражданами. Необходимо предусмотреть проведение мероприятий, направленных на повышение межкультурной компетентности учителей, и форми- рование их профессиональных компетенций в области работы с данной категорией </w:t>
      </w:r>
      <w:r>
        <w:rPr>
          <w:color w:val="231F20"/>
          <w:spacing w:val="-2"/>
        </w:rPr>
        <w:t>обучающихся.</w:t>
      </w:r>
    </w:p>
    <w:p>
      <w:pPr>
        <w:spacing w:before="113"/>
        <w:ind w:left="425" w:right="0" w:firstLine="0"/>
        <w:jc w:val="both"/>
        <w:rPr>
          <w:b/>
          <w:i/>
          <w:sz w:val="20"/>
        </w:rPr>
      </w:pPr>
      <w:r>
        <w:rPr>
          <w:b/>
          <w:i/>
          <w:color w:val="231F20"/>
          <w:sz w:val="20"/>
        </w:rPr>
        <w:t>Управленческое</w:t>
      </w:r>
      <w:r>
        <w:rPr>
          <w:b/>
          <w:i/>
          <w:color w:val="231F20"/>
          <w:spacing w:val="-12"/>
          <w:sz w:val="20"/>
        </w:rPr>
        <w:t> </w:t>
      </w:r>
      <w:r>
        <w:rPr>
          <w:b/>
          <w:i/>
          <w:color w:val="231F20"/>
          <w:sz w:val="20"/>
        </w:rPr>
        <w:t>обеспечение</w:t>
      </w:r>
      <w:r>
        <w:rPr>
          <w:b/>
          <w:i/>
          <w:color w:val="231F20"/>
          <w:spacing w:val="-11"/>
          <w:sz w:val="20"/>
        </w:rPr>
        <w:t> </w:t>
      </w:r>
      <w:r>
        <w:rPr>
          <w:b/>
          <w:i/>
          <w:color w:val="231F20"/>
          <w:sz w:val="20"/>
        </w:rPr>
        <w:t>реализации</w:t>
      </w:r>
      <w:r>
        <w:rPr>
          <w:b/>
          <w:i/>
          <w:color w:val="231F20"/>
          <w:spacing w:val="-11"/>
          <w:sz w:val="20"/>
        </w:rPr>
        <w:t> </w:t>
      </w:r>
      <w:r>
        <w:rPr>
          <w:b/>
          <w:i/>
          <w:color w:val="231F20"/>
          <w:spacing w:val="-2"/>
          <w:sz w:val="20"/>
        </w:rPr>
        <w:t>программы</w:t>
      </w:r>
    </w:p>
    <w:p>
      <w:pPr>
        <w:pStyle w:val="BodyText"/>
      </w:pPr>
      <w:r>
        <w:rPr>
          <w:color w:val="231F20"/>
        </w:rPr>
        <w:t>Реализация</w:t>
      </w:r>
      <w:r>
        <w:rPr>
          <w:color w:val="231F20"/>
          <w:spacing w:val="-4"/>
        </w:rPr>
        <w:t> </w:t>
      </w:r>
      <w:r>
        <w:rPr>
          <w:color w:val="231F20"/>
        </w:rPr>
        <w:t>данной</w:t>
      </w:r>
      <w:r>
        <w:rPr>
          <w:color w:val="231F20"/>
          <w:spacing w:val="-5"/>
        </w:rPr>
        <w:t> </w:t>
      </w:r>
      <w:r>
        <w:rPr>
          <w:color w:val="231F20"/>
        </w:rPr>
        <w:t>программы</w:t>
      </w:r>
      <w:r>
        <w:rPr>
          <w:color w:val="231F20"/>
          <w:spacing w:val="-5"/>
        </w:rPr>
        <w:t> </w:t>
      </w:r>
      <w:r>
        <w:rPr>
          <w:color w:val="231F20"/>
        </w:rPr>
        <w:t>в</w:t>
      </w:r>
      <w:r>
        <w:rPr>
          <w:color w:val="231F20"/>
          <w:spacing w:val="-5"/>
        </w:rPr>
        <w:t> </w:t>
      </w:r>
      <w:r>
        <w:rPr>
          <w:color w:val="231F20"/>
        </w:rPr>
        <w:t>образовательной</w:t>
      </w:r>
      <w:r>
        <w:rPr>
          <w:color w:val="231F20"/>
          <w:spacing w:val="-5"/>
        </w:rPr>
        <w:t> </w:t>
      </w:r>
      <w:r>
        <w:rPr>
          <w:color w:val="231F20"/>
        </w:rPr>
        <w:t>организации</w:t>
      </w:r>
      <w:r>
        <w:rPr>
          <w:color w:val="231F20"/>
          <w:spacing w:val="-4"/>
        </w:rPr>
        <w:t> </w:t>
      </w:r>
      <w:r>
        <w:rPr>
          <w:color w:val="231F20"/>
        </w:rPr>
        <w:t>должна</w:t>
      </w:r>
      <w:r>
        <w:rPr>
          <w:color w:val="231F20"/>
          <w:spacing w:val="-4"/>
        </w:rPr>
        <w:t> </w:t>
      </w:r>
      <w:r>
        <w:rPr>
          <w:color w:val="231F20"/>
        </w:rPr>
        <w:t>регулиро- ваться</w:t>
      </w:r>
      <w:r>
        <w:rPr>
          <w:color w:val="231F20"/>
          <w:spacing w:val="-7"/>
        </w:rPr>
        <w:t> </w:t>
      </w:r>
      <w:r>
        <w:rPr>
          <w:color w:val="231F20"/>
        </w:rPr>
        <w:t>соответствующими</w:t>
      </w:r>
      <w:r>
        <w:rPr>
          <w:color w:val="231F20"/>
          <w:spacing w:val="-7"/>
        </w:rPr>
        <w:t> </w:t>
      </w:r>
      <w:r>
        <w:rPr>
          <w:color w:val="231F20"/>
        </w:rPr>
        <w:t>приказами</w:t>
      </w:r>
      <w:r>
        <w:rPr>
          <w:color w:val="231F20"/>
          <w:spacing w:val="-7"/>
        </w:rPr>
        <w:t> </w:t>
      </w:r>
      <w:r>
        <w:rPr>
          <w:color w:val="231F20"/>
        </w:rPr>
        <w:t>руководителя</w:t>
      </w:r>
      <w:r>
        <w:rPr>
          <w:color w:val="231F20"/>
          <w:spacing w:val="-7"/>
        </w:rPr>
        <w:t> </w:t>
      </w:r>
      <w:r>
        <w:rPr>
          <w:color w:val="231F20"/>
        </w:rPr>
        <w:t>и</w:t>
      </w:r>
      <w:r>
        <w:rPr>
          <w:color w:val="231F20"/>
          <w:spacing w:val="-7"/>
        </w:rPr>
        <w:t> </w:t>
      </w:r>
      <w:r>
        <w:rPr>
          <w:color w:val="231F20"/>
        </w:rPr>
        <w:t>локальными</w:t>
      </w:r>
      <w:r>
        <w:rPr>
          <w:color w:val="231F20"/>
          <w:spacing w:val="-7"/>
        </w:rPr>
        <w:t> </w:t>
      </w:r>
      <w:r>
        <w:rPr>
          <w:color w:val="231F20"/>
        </w:rPr>
        <w:t>актами.</w:t>
      </w:r>
      <w:r>
        <w:rPr>
          <w:color w:val="231F20"/>
          <w:spacing w:val="-7"/>
        </w:rPr>
        <w:t> </w:t>
      </w:r>
      <w:r>
        <w:rPr>
          <w:color w:val="231F20"/>
        </w:rPr>
        <w:t>Меропри- ятия</w:t>
      </w:r>
      <w:r>
        <w:rPr>
          <w:color w:val="231F20"/>
          <w:spacing w:val="-10"/>
        </w:rPr>
        <w:t> </w:t>
      </w:r>
      <w:r>
        <w:rPr>
          <w:color w:val="231F20"/>
        </w:rPr>
        <w:t>и</w:t>
      </w:r>
      <w:r>
        <w:rPr>
          <w:color w:val="231F20"/>
          <w:spacing w:val="-10"/>
        </w:rPr>
        <w:t> </w:t>
      </w:r>
      <w:r>
        <w:rPr>
          <w:color w:val="231F20"/>
        </w:rPr>
        <w:t>активности,</w:t>
      </w:r>
      <w:r>
        <w:rPr>
          <w:color w:val="231F20"/>
          <w:spacing w:val="-10"/>
        </w:rPr>
        <w:t> </w:t>
      </w:r>
      <w:r>
        <w:rPr>
          <w:color w:val="231F20"/>
        </w:rPr>
        <w:t>входящие</w:t>
      </w:r>
      <w:r>
        <w:rPr>
          <w:color w:val="231F20"/>
          <w:spacing w:val="-10"/>
        </w:rPr>
        <w:t> </w:t>
      </w:r>
      <w:r>
        <w:rPr>
          <w:color w:val="231F20"/>
        </w:rPr>
        <w:t>в</w:t>
      </w:r>
      <w:r>
        <w:rPr>
          <w:color w:val="231F20"/>
          <w:spacing w:val="-10"/>
        </w:rPr>
        <w:t> </w:t>
      </w:r>
      <w:r>
        <w:rPr>
          <w:color w:val="231F20"/>
        </w:rPr>
        <w:t>программу,</w:t>
      </w:r>
      <w:r>
        <w:rPr>
          <w:color w:val="231F20"/>
          <w:spacing w:val="-10"/>
        </w:rPr>
        <w:t> </w:t>
      </w:r>
      <w:r>
        <w:rPr>
          <w:color w:val="231F20"/>
        </w:rPr>
        <w:t>вносятся</w:t>
      </w:r>
      <w:r>
        <w:rPr>
          <w:color w:val="231F20"/>
          <w:spacing w:val="-10"/>
        </w:rPr>
        <w:t> </w:t>
      </w:r>
      <w:r>
        <w:rPr>
          <w:color w:val="231F20"/>
        </w:rPr>
        <w:t>в</w:t>
      </w:r>
      <w:r>
        <w:rPr>
          <w:color w:val="231F20"/>
          <w:spacing w:val="-10"/>
        </w:rPr>
        <w:t> </w:t>
      </w:r>
      <w:r>
        <w:rPr>
          <w:color w:val="231F20"/>
        </w:rPr>
        <w:t>циклограмму</w:t>
      </w:r>
      <w:r>
        <w:rPr>
          <w:color w:val="231F20"/>
          <w:spacing w:val="-10"/>
        </w:rPr>
        <w:t> </w:t>
      </w:r>
      <w:r>
        <w:rPr>
          <w:color w:val="231F20"/>
        </w:rPr>
        <w:t>работы</w:t>
      </w:r>
      <w:r>
        <w:rPr>
          <w:color w:val="231F20"/>
          <w:spacing w:val="-10"/>
        </w:rPr>
        <w:t> </w:t>
      </w:r>
      <w:r>
        <w:rPr>
          <w:color w:val="231F20"/>
        </w:rPr>
        <w:t>образова- тельной организации и систему внутришкольного контроля.</w:t>
      </w:r>
    </w:p>
    <w:p>
      <w:pPr>
        <w:pStyle w:val="BodyText"/>
        <w:spacing w:line="232" w:lineRule="auto" w:before="6"/>
        <w:ind w:firstLine="324"/>
      </w:pPr>
      <w:r>
        <w:rPr>
          <w:color w:val="231F20"/>
        </w:rPr>
        <w:t>Ответственность</w:t>
      </w:r>
      <w:r>
        <w:rPr>
          <w:color w:val="231F20"/>
          <w:spacing w:val="-12"/>
        </w:rPr>
        <w:t> </w:t>
      </w:r>
      <w:r>
        <w:rPr>
          <w:color w:val="231F20"/>
        </w:rPr>
        <w:t>за</w:t>
      </w:r>
      <w:r>
        <w:rPr>
          <w:color w:val="231F20"/>
          <w:spacing w:val="-13"/>
        </w:rPr>
        <w:t> </w:t>
      </w:r>
      <w:r>
        <w:rPr>
          <w:color w:val="231F20"/>
        </w:rPr>
        <w:t>реализацию</w:t>
      </w:r>
      <w:r>
        <w:rPr>
          <w:color w:val="231F20"/>
          <w:spacing w:val="-12"/>
        </w:rPr>
        <w:t> </w:t>
      </w:r>
      <w:r>
        <w:rPr>
          <w:color w:val="231F20"/>
        </w:rPr>
        <w:t>программы</w:t>
      </w:r>
      <w:r>
        <w:rPr>
          <w:color w:val="231F20"/>
          <w:spacing w:val="-12"/>
        </w:rPr>
        <w:t> </w:t>
      </w:r>
      <w:r>
        <w:rPr>
          <w:color w:val="231F20"/>
        </w:rPr>
        <w:t>в</w:t>
      </w:r>
      <w:r>
        <w:rPr>
          <w:color w:val="231F20"/>
          <w:spacing w:val="-13"/>
        </w:rPr>
        <w:t> </w:t>
      </w:r>
      <w:r>
        <w:rPr>
          <w:color w:val="231F20"/>
        </w:rPr>
        <w:t>образовательном</w:t>
      </w:r>
      <w:r>
        <w:rPr>
          <w:color w:val="231F20"/>
          <w:spacing w:val="-12"/>
        </w:rPr>
        <w:t> </w:t>
      </w:r>
      <w:r>
        <w:rPr>
          <w:color w:val="231F20"/>
        </w:rPr>
        <w:t>учреждении</w:t>
      </w:r>
      <w:r>
        <w:rPr>
          <w:color w:val="231F20"/>
          <w:spacing w:val="-12"/>
        </w:rPr>
        <w:t> </w:t>
      </w:r>
      <w:r>
        <w:rPr>
          <w:color w:val="231F20"/>
        </w:rPr>
        <w:t>несет заместитель</w:t>
      </w:r>
      <w:r>
        <w:rPr>
          <w:color w:val="231F20"/>
          <w:spacing w:val="-11"/>
        </w:rPr>
        <w:t> </w:t>
      </w:r>
      <w:r>
        <w:rPr>
          <w:color w:val="231F20"/>
        </w:rPr>
        <w:t>директора</w:t>
      </w:r>
      <w:r>
        <w:rPr>
          <w:color w:val="231F20"/>
          <w:spacing w:val="-10"/>
        </w:rPr>
        <w:t> </w:t>
      </w:r>
      <w:r>
        <w:rPr>
          <w:color w:val="231F20"/>
        </w:rPr>
        <w:t>по</w:t>
      </w:r>
      <w:r>
        <w:rPr>
          <w:color w:val="231F20"/>
          <w:spacing w:val="-10"/>
        </w:rPr>
        <w:t> </w:t>
      </w:r>
      <w:r>
        <w:rPr>
          <w:color w:val="231F20"/>
        </w:rPr>
        <w:t>УВР.</w:t>
      </w:r>
      <w:r>
        <w:rPr>
          <w:color w:val="231F20"/>
          <w:spacing w:val="-10"/>
        </w:rPr>
        <w:t> </w:t>
      </w:r>
      <w:r>
        <w:rPr>
          <w:color w:val="231F20"/>
        </w:rPr>
        <w:t>При</w:t>
      </w:r>
      <w:r>
        <w:rPr>
          <w:color w:val="231F20"/>
          <w:spacing w:val="-10"/>
        </w:rPr>
        <w:t> </w:t>
      </w:r>
      <w:r>
        <w:rPr>
          <w:color w:val="231F20"/>
        </w:rPr>
        <w:t>наличии</w:t>
      </w:r>
      <w:r>
        <w:rPr>
          <w:color w:val="231F20"/>
          <w:spacing w:val="-10"/>
        </w:rPr>
        <w:t> </w:t>
      </w:r>
      <w:r>
        <w:rPr>
          <w:color w:val="231F20"/>
        </w:rPr>
        <w:t>в</w:t>
      </w:r>
      <w:r>
        <w:rPr>
          <w:color w:val="231F20"/>
          <w:spacing w:val="-11"/>
        </w:rPr>
        <w:t> </w:t>
      </w:r>
      <w:r>
        <w:rPr>
          <w:color w:val="231F20"/>
        </w:rPr>
        <w:t>образовательном</w:t>
      </w:r>
      <w:r>
        <w:rPr>
          <w:color w:val="231F20"/>
          <w:spacing w:val="-11"/>
        </w:rPr>
        <w:t> </w:t>
      </w:r>
      <w:r>
        <w:rPr>
          <w:color w:val="231F20"/>
        </w:rPr>
        <w:t>учреждении</w:t>
      </w:r>
      <w:r>
        <w:rPr>
          <w:color w:val="231F20"/>
          <w:spacing w:val="-11"/>
        </w:rPr>
        <w:t> </w:t>
      </w:r>
      <w:r>
        <w:rPr>
          <w:color w:val="231F20"/>
        </w:rPr>
        <w:t>службы комплексного психолого-педагогического и социального сопровождения и поддер- жки обучающихся (далее – Службы) локальным нормативным актом образователь- ной организации закрепляется ее включенность в реализацию программы.</w:t>
      </w:r>
    </w:p>
    <w:p>
      <w:pPr>
        <w:pStyle w:val="BodyText"/>
        <w:spacing w:line="232" w:lineRule="auto" w:before="4"/>
      </w:pPr>
      <w:r>
        <w:rPr>
          <w:color w:val="231F20"/>
        </w:rPr>
        <w:t>В реализации программы непосредственное участие принимают сотрудники Службы или (при ее отсутствии) педагог-психолог, социальный педагог и учитель- логопед</w:t>
      </w:r>
      <w:r>
        <w:rPr>
          <w:color w:val="231F20"/>
          <w:spacing w:val="-8"/>
        </w:rPr>
        <w:t> </w:t>
      </w:r>
      <w:r>
        <w:rPr>
          <w:color w:val="231F20"/>
        </w:rPr>
        <w:t>(при</w:t>
      </w:r>
      <w:r>
        <w:rPr>
          <w:color w:val="231F20"/>
          <w:spacing w:val="-8"/>
        </w:rPr>
        <w:t> </w:t>
      </w:r>
      <w:r>
        <w:rPr>
          <w:color w:val="231F20"/>
        </w:rPr>
        <w:t>наличии).</w:t>
      </w:r>
      <w:r>
        <w:rPr>
          <w:color w:val="231F20"/>
          <w:spacing w:val="-8"/>
        </w:rPr>
        <w:t> </w:t>
      </w:r>
      <w:r>
        <w:rPr>
          <w:color w:val="231F20"/>
        </w:rPr>
        <w:t>Из</w:t>
      </w:r>
      <w:r>
        <w:rPr>
          <w:color w:val="231F20"/>
          <w:spacing w:val="-8"/>
        </w:rPr>
        <w:t> </w:t>
      </w:r>
      <w:r>
        <w:rPr>
          <w:color w:val="231F20"/>
        </w:rPr>
        <w:t>этих</w:t>
      </w:r>
      <w:r>
        <w:rPr>
          <w:color w:val="231F20"/>
          <w:spacing w:val="-8"/>
        </w:rPr>
        <w:t> </w:t>
      </w:r>
      <w:r>
        <w:rPr>
          <w:color w:val="231F20"/>
        </w:rPr>
        <w:t>сотрудников,</w:t>
      </w:r>
      <w:r>
        <w:rPr>
          <w:color w:val="231F20"/>
          <w:spacing w:val="-8"/>
        </w:rPr>
        <w:t> </w:t>
      </w:r>
      <w:r>
        <w:rPr>
          <w:color w:val="231F20"/>
        </w:rPr>
        <w:t>а</w:t>
      </w:r>
      <w:r>
        <w:rPr>
          <w:color w:val="231F20"/>
          <w:spacing w:val="-8"/>
        </w:rPr>
        <w:t> </w:t>
      </w:r>
      <w:r>
        <w:rPr>
          <w:color w:val="231F20"/>
        </w:rPr>
        <w:t>также</w:t>
      </w:r>
      <w:r>
        <w:rPr>
          <w:color w:val="231F20"/>
          <w:spacing w:val="-8"/>
        </w:rPr>
        <w:t> </w:t>
      </w:r>
      <w:r>
        <w:rPr>
          <w:color w:val="231F20"/>
        </w:rPr>
        <w:t>классных</w:t>
      </w:r>
      <w:r>
        <w:rPr>
          <w:color w:val="231F20"/>
          <w:spacing w:val="-8"/>
        </w:rPr>
        <w:t> </w:t>
      </w:r>
      <w:r>
        <w:rPr>
          <w:color w:val="231F20"/>
        </w:rPr>
        <w:t>руководителей,</w:t>
      </w:r>
      <w:r>
        <w:rPr>
          <w:color w:val="231F20"/>
          <w:spacing w:val="-8"/>
        </w:rPr>
        <w:t> </w:t>
      </w:r>
      <w:r>
        <w:rPr>
          <w:color w:val="231F20"/>
        </w:rPr>
        <w:t>рабо- тающих</w:t>
      </w:r>
      <w:r>
        <w:rPr>
          <w:color w:val="231F20"/>
          <w:spacing w:val="-6"/>
        </w:rPr>
        <w:t> </w:t>
      </w:r>
      <w:r>
        <w:rPr>
          <w:color w:val="231F20"/>
        </w:rPr>
        <w:t>в</w:t>
      </w:r>
      <w:r>
        <w:rPr>
          <w:color w:val="231F20"/>
          <w:spacing w:val="-6"/>
        </w:rPr>
        <w:t> </w:t>
      </w:r>
      <w:r>
        <w:rPr>
          <w:color w:val="231F20"/>
        </w:rPr>
        <w:t>классах</w:t>
      </w:r>
      <w:r>
        <w:rPr>
          <w:color w:val="231F20"/>
          <w:spacing w:val="-6"/>
        </w:rPr>
        <w:t> </w:t>
      </w:r>
      <w:r>
        <w:rPr>
          <w:color w:val="231F20"/>
        </w:rPr>
        <w:t>с</w:t>
      </w:r>
      <w:r>
        <w:rPr>
          <w:color w:val="231F20"/>
          <w:spacing w:val="-6"/>
        </w:rPr>
        <w:t> </w:t>
      </w:r>
      <w:r>
        <w:rPr>
          <w:color w:val="231F20"/>
        </w:rPr>
        <w:t>наибольшим</w:t>
      </w:r>
      <w:r>
        <w:rPr>
          <w:color w:val="231F20"/>
          <w:spacing w:val="-6"/>
        </w:rPr>
        <w:t> </w:t>
      </w:r>
      <w:r>
        <w:rPr>
          <w:color w:val="231F20"/>
        </w:rPr>
        <w:t>числом</w:t>
      </w:r>
      <w:r>
        <w:rPr>
          <w:color w:val="231F20"/>
          <w:spacing w:val="-6"/>
        </w:rPr>
        <w:t> </w:t>
      </w:r>
      <w:r>
        <w:rPr>
          <w:color w:val="231F20"/>
        </w:rPr>
        <w:t>детей</w:t>
      </w:r>
      <w:r>
        <w:rPr>
          <w:color w:val="231F20"/>
          <w:spacing w:val="-6"/>
        </w:rPr>
        <w:t> </w:t>
      </w:r>
      <w:r>
        <w:rPr>
          <w:color w:val="231F20"/>
        </w:rPr>
        <w:t>–</w:t>
      </w:r>
      <w:r>
        <w:rPr>
          <w:color w:val="231F20"/>
          <w:spacing w:val="-6"/>
        </w:rPr>
        <w:t> </w:t>
      </w:r>
      <w:r>
        <w:rPr>
          <w:color w:val="231F20"/>
        </w:rPr>
        <w:t>иностранных</w:t>
      </w:r>
      <w:r>
        <w:rPr>
          <w:color w:val="231F20"/>
          <w:spacing w:val="-6"/>
        </w:rPr>
        <w:t> </w:t>
      </w:r>
      <w:r>
        <w:rPr>
          <w:color w:val="231F20"/>
        </w:rPr>
        <w:t>граждан,</w:t>
      </w:r>
      <w:r>
        <w:rPr>
          <w:color w:val="231F20"/>
          <w:spacing w:val="-6"/>
        </w:rPr>
        <w:t> </w:t>
      </w:r>
      <w:r>
        <w:rPr>
          <w:color w:val="231F20"/>
        </w:rPr>
        <w:t>составляется внутришкольная</w:t>
      </w:r>
      <w:r>
        <w:rPr>
          <w:color w:val="231F20"/>
          <w:spacing w:val="-2"/>
        </w:rPr>
        <w:t> </w:t>
      </w:r>
      <w:r>
        <w:rPr>
          <w:color w:val="231F20"/>
        </w:rPr>
        <w:t>рабочая</w:t>
      </w:r>
      <w:r>
        <w:rPr>
          <w:color w:val="231F20"/>
          <w:spacing w:val="-2"/>
        </w:rPr>
        <w:t> </w:t>
      </w:r>
      <w:r>
        <w:rPr>
          <w:color w:val="231F20"/>
        </w:rPr>
        <w:t>группа</w:t>
      </w:r>
      <w:r>
        <w:rPr>
          <w:color w:val="231F20"/>
          <w:spacing w:val="-2"/>
        </w:rPr>
        <w:t> </w:t>
      </w:r>
      <w:r>
        <w:rPr>
          <w:color w:val="231F20"/>
        </w:rPr>
        <w:t>по</w:t>
      </w:r>
      <w:r>
        <w:rPr>
          <w:color w:val="231F20"/>
          <w:spacing w:val="-2"/>
        </w:rPr>
        <w:t> </w:t>
      </w:r>
      <w:r>
        <w:rPr>
          <w:color w:val="231F20"/>
        </w:rPr>
        <w:t>реализации</w:t>
      </w:r>
      <w:r>
        <w:rPr>
          <w:color w:val="231F20"/>
          <w:spacing w:val="-2"/>
        </w:rPr>
        <w:t> </w:t>
      </w:r>
      <w:r>
        <w:rPr>
          <w:color w:val="231F20"/>
        </w:rPr>
        <w:t>программы.</w:t>
      </w:r>
      <w:r>
        <w:rPr>
          <w:color w:val="231F20"/>
          <w:spacing w:val="-2"/>
        </w:rPr>
        <w:t> </w:t>
      </w:r>
      <w:r>
        <w:rPr>
          <w:color w:val="231F20"/>
        </w:rPr>
        <w:t>Если</w:t>
      </w:r>
      <w:r>
        <w:rPr>
          <w:color w:val="231F20"/>
          <w:spacing w:val="-2"/>
        </w:rPr>
        <w:t> </w:t>
      </w:r>
      <w:r>
        <w:rPr>
          <w:color w:val="231F20"/>
        </w:rPr>
        <w:t>в</w:t>
      </w:r>
      <w:r>
        <w:rPr>
          <w:color w:val="231F20"/>
          <w:spacing w:val="-2"/>
        </w:rPr>
        <w:t> </w:t>
      </w:r>
      <w:r>
        <w:rPr>
          <w:color w:val="231F20"/>
        </w:rPr>
        <w:t>образовательном учреждении есть внутришкольное объединение классных руководителей, в деятель- ность рабочий группы включается педагог, осуществляющий в этом объединении руководящую функцию. В состав рабочей группы также рекомендуется включить представителя</w:t>
      </w:r>
      <w:r>
        <w:rPr>
          <w:color w:val="231F20"/>
          <w:spacing w:val="-7"/>
        </w:rPr>
        <w:t> </w:t>
      </w:r>
      <w:r>
        <w:rPr>
          <w:color w:val="231F20"/>
        </w:rPr>
        <w:t>управляющего</w:t>
      </w:r>
      <w:r>
        <w:rPr>
          <w:color w:val="231F20"/>
          <w:spacing w:val="-7"/>
        </w:rPr>
        <w:t> </w:t>
      </w:r>
      <w:r>
        <w:rPr>
          <w:color w:val="231F20"/>
        </w:rPr>
        <w:t>совета</w:t>
      </w:r>
      <w:r>
        <w:rPr>
          <w:color w:val="231F20"/>
          <w:spacing w:val="-7"/>
        </w:rPr>
        <w:t> </w:t>
      </w:r>
      <w:r>
        <w:rPr>
          <w:color w:val="231F20"/>
        </w:rPr>
        <w:t>школы.</w:t>
      </w:r>
      <w:r>
        <w:rPr>
          <w:color w:val="231F20"/>
          <w:spacing w:val="-7"/>
        </w:rPr>
        <w:t> </w:t>
      </w:r>
      <w:r>
        <w:rPr>
          <w:color w:val="231F20"/>
        </w:rPr>
        <w:t>Возможно</w:t>
      </w:r>
      <w:r>
        <w:rPr>
          <w:color w:val="231F20"/>
          <w:spacing w:val="-7"/>
        </w:rPr>
        <w:t> </w:t>
      </w:r>
      <w:r>
        <w:rPr>
          <w:color w:val="231F20"/>
        </w:rPr>
        <w:t>создание</w:t>
      </w:r>
      <w:r>
        <w:rPr>
          <w:color w:val="231F20"/>
          <w:spacing w:val="-7"/>
        </w:rPr>
        <w:t> </w:t>
      </w:r>
      <w:r>
        <w:rPr>
          <w:color w:val="231F20"/>
        </w:rPr>
        <w:t>школьного</w:t>
      </w:r>
      <w:r>
        <w:rPr>
          <w:color w:val="231F20"/>
          <w:spacing w:val="-7"/>
        </w:rPr>
        <w:t> </w:t>
      </w:r>
      <w:r>
        <w:rPr>
          <w:color w:val="231F20"/>
        </w:rPr>
        <w:t>методи- ческого объединения педагогических работников, непосредственно вовлеченных в работу по программе.</w:t>
      </w:r>
    </w:p>
    <w:p>
      <w:pPr>
        <w:pStyle w:val="BodyText"/>
        <w:spacing w:line="230" w:lineRule="auto" w:before="12"/>
      </w:pPr>
      <w:r>
        <w:rPr>
          <w:color w:val="231F20"/>
        </w:rPr>
        <w:t>Процесс разработки и реализации плана рекомендуется обсудить на заседании внутришкольного объединения классных руководителей и согласовать с управляю-</w:t>
      </w:r>
    </w:p>
    <w:p>
      <w:pPr>
        <w:pStyle w:val="BodyText"/>
        <w:spacing w:after="0" w:line="230" w:lineRule="auto"/>
        <w:sectPr>
          <w:pgSz w:w="8400" w:h="11910"/>
          <w:pgMar w:header="0" w:footer="531" w:top="400" w:bottom="740" w:left="425" w:right="425"/>
        </w:sectPr>
      </w:pPr>
    </w:p>
    <w:p>
      <w:pPr>
        <w:spacing w:before="80"/>
        <w:ind w:left="141" w:right="0" w:firstLine="0"/>
        <w:jc w:val="left"/>
        <w:rPr>
          <w:rFonts w:ascii="Georgia" w:hAnsi="Georgia"/>
          <w:sz w:val="18"/>
        </w:rPr>
      </w:pPr>
      <w:r>
        <w:rPr>
          <w:rFonts w:ascii="Georgia" w:hAnsi="Georgia"/>
          <w:color w:val="231F20"/>
          <w:spacing w:val="-2"/>
          <w:sz w:val="18"/>
        </w:rPr>
        <w:t>Введение</w:t>
      </w:r>
    </w:p>
    <w:p>
      <w:pPr>
        <w:pStyle w:val="BodyText"/>
        <w:spacing w:line="237" w:lineRule="auto" w:before="114"/>
        <w:ind w:firstLine="0"/>
      </w:pPr>
      <w:r>
        <w:rPr>
          <w:color w:val="231F20"/>
        </w:rPr>
        <w:t>щим советом школы. На педагогическом совете в конкретном образовательном уч- реждении</w:t>
      </w:r>
      <w:r>
        <w:rPr>
          <w:color w:val="231F20"/>
          <w:spacing w:val="-1"/>
        </w:rPr>
        <w:t> </w:t>
      </w:r>
      <w:r>
        <w:rPr>
          <w:color w:val="231F20"/>
        </w:rPr>
        <w:t>годовая</w:t>
      </w:r>
      <w:r>
        <w:rPr>
          <w:color w:val="231F20"/>
          <w:spacing w:val="-1"/>
        </w:rPr>
        <w:t> </w:t>
      </w:r>
      <w:r>
        <w:rPr>
          <w:color w:val="231F20"/>
        </w:rPr>
        <w:t>программа</w:t>
      </w:r>
      <w:r>
        <w:rPr>
          <w:color w:val="231F20"/>
          <w:spacing w:val="-1"/>
        </w:rPr>
        <w:t> </w:t>
      </w:r>
      <w:r>
        <w:rPr>
          <w:color w:val="231F20"/>
        </w:rPr>
        <w:t>психолого-педагогического</w:t>
      </w:r>
      <w:r>
        <w:rPr>
          <w:color w:val="231F20"/>
          <w:spacing w:val="-1"/>
        </w:rPr>
        <w:t> </w:t>
      </w:r>
      <w:r>
        <w:rPr>
          <w:color w:val="231F20"/>
        </w:rPr>
        <w:t>сопровождения</w:t>
      </w:r>
      <w:r>
        <w:rPr>
          <w:color w:val="231F20"/>
          <w:spacing w:val="-1"/>
        </w:rPr>
        <w:t> </w:t>
      </w:r>
      <w:r>
        <w:rPr>
          <w:color w:val="231F20"/>
        </w:rPr>
        <w:t>процессов обучения, социальной, языковой и культурной адаптации детей – иностранных гра- ждан</w:t>
      </w:r>
      <w:r>
        <w:rPr>
          <w:color w:val="231F20"/>
          <w:spacing w:val="-2"/>
        </w:rPr>
        <w:t> </w:t>
      </w:r>
      <w:r>
        <w:rPr>
          <w:color w:val="231F20"/>
        </w:rPr>
        <w:t>проходит</w:t>
      </w:r>
      <w:r>
        <w:rPr>
          <w:color w:val="231F20"/>
          <w:spacing w:val="-2"/>
        </w:rPr>
        <w:t> </w:t>
      </w:r>
      <w:r>
        <w:rPr>
          <w:color w:val="231F20"/>
        </w:rPr>
        <w:t>обсуждение</w:t>
      </w:r>
      <w:r>
        <w:rPr>
          <w:color w:val="231F20"/>
          <w:spacing w:val="-2"/>
        </w:rPr>
        <w:t> </w:t>
      </w:r>
      <w:r>
        <w:rPr>
          <w:color w:val="231F20"/>
        </w:rPr>
        <w:t>и</w:t>
      </w:r>
      <w:r>
        <w:rPr>
          <w:color w:val="231F20"/>
          <w:spacing w:val="-2"/>
        </w:rPr>
        <w:t> </w:t>
      </w:r>
      <w:r>
        <w:rPr>
          <w:color w:val="231F20"/>
        </w:rPr>
        <w:t>доработку.</w:t>
      </w:r>
      <w:r>
        <w:rPr>
          <w:color w:val="231F20"/>
          <w:spacing w:val="-2"/>
        </w:rPr>
        <w:t> </w:t>
      </w:r>
      <w:r>
        <w:rPr>
          <w:color w:val="231F20"/>
        </w:rPr>
        <w:t>Формируются</w:t>
      </w:r>
      <w:r>
        <w:rPr>
          <w:color w:val="231F20"/>
          <w:spacing w:val="-2"/>
        </w:rPr>
        <w:t> </w:t>
      </w:r>
      <w:r>
        <w:rPr>
          <w:color w:val="231F20"/>
        </w:rPr>
        <w:t>индивидуальные</w:t>
      </w:r>
      <w:r>
        <w:rPr>
          <w:color w:val="231F20"/>
          <w:spacing w:val="-2"/>
        </w:rPr>
        <w:t> </w:t>
      </w:r>
      <w:r>
        <w:rPr>
          <w:color w:val="231F20"/>
        </w:rPr>
        <w:t>поручения, обеспечивающие взаимодействие специалистов общеобразовательной организации, необходимое для системного сопровождения обучающихся.</w:t>
      </w:r>
    </w:p>
    <w:p>
      <w:pPr>
        <w:pStyle w:val="BodyText"/>
        <w:spacing w:line="237" w:lineRule="auto"/>
      </w:pPr>
      <w:r>
        <w:rPr>
          <w:color w:val="231F20"/>
        </w:rPr>
        <w:t>В целом программа является инструментом создания психолого-педагогических условий</w:t>
      </w:r>
      <w:r>
        <w:rPr>
          <w:color w:val="231F20"/>
          <w:spacing w:val="-9"/>
        </w:rPr>
        <w:t> </w:t>
      </w:r>
      <w:r>
        <w:rPr>
          <w:color w:val="231F20"/>
        </w:rPr>
        <w:t>реализации</w:t>
      </w:r>
      <w:r>
        <w:rPr>
          <w:color w:val="231F20"/>
          <w:spacing w:val="-9"/>
        </w:rPr>
        <w:t> </w:t>
      </w:r>
      <w:r>
        <w:rPr>
          <w:color w:val="231F20"/>
        </w:rPr>
        <w:t>основной</w:t>
      </w:r>
      <w:r>
        <w:rPr>
          <w:color w:val="231F20"/>
          <w:spacing w:val="-9"/>
        </w:rPr>
        <w:t> </w:t>
      </w:r>
      <w:r>
        <w:rPr>
          <w:color w:val="231F20"/>
        </w:rPr>
        <w:t>образовательной</w:t>
      </w:r>
      <w:r>
        <w:rPr>
          <w:color w:val="231F20"/>
          <w:spacing w:val="-9"/>
        </w:rPr>
        <w:t> </w:t>
      </w:r>
      <w:r>
        <w:rPr>
          <w:color w:val="231F20"/>
        </w:rPr>
        <w:t>программы</w:t>
      </w:r>
      <w:r>
        <w:rPr>
          <w:color w:val="231F20"/>
          <w:spacing w:val="-9"/>
        </w:rPr>
        <w:t> </w:t>
      </w:r>
      <w:r>
        <w:rPr>
          <w:color w:val="231F20"/>
        </w:rPr>
        <w:t>для</w:t>
      </w:r>
      <w:r>
        <w:rPr>
          <w:color w:val="231F20"/>
          <w:spacing w:val="-9"/>
        </w:rPr>
        <w:t> </w:t>
      </w:r>
      <w:r>
        <w:rPr>
          <w:color w:val="231F20"/>
        </w:rPr>
        <w:t>несовершеннолетних иностранных граждан.</w:t>
      </w:r>
    </w:p>
    <w:p>
      <w:pPr>
        <w:pStyle w:val="BodyText"/>
      </w:pPr>
      <w:r>
        <w:rPr>
          <w:color w:val="231F20"/>
          <w:spacing w:val="-2"/>
        </w:rPr>
        <w:t>В</w:t>
      </w:r>
      <w:r>
        <w:rPr>
          <w:color w:val="231F20"/>
          <w:spacing w:val="-4"/>
        </w:rPr>
        <w:t> </w:t>
      </w:r>
      <w:r>
        <w:rPr>
          <w:color w:val="231F20"/>
          <w:spacing w:val="-2"/>
        </w:rPr>
        <w:t>рамках</w:t>
      </w:r>
      <w:r>
        <w:rPr>
          <w:color w:val="231F20"/>
          <w:spacing w:val="-4"/>
        </w:rPr>
        <w:t> </w:t>
      </w:r>
      <w:r>
        <w:rPr>
          <w:color w:val="231F20"/>
          <w:spacing w:val="-2"/>
        </w:rPr>
        <w:t>образовательного</w:t>
      </w:r>
      <w:r>
        <w:rPr>
          <w:color w:val="231F20"/>
          <w:spacing w:val="-4"/>
        </w:rPr>
        <w:t> </w:t>
      </w:r>
      <w:r>
        <w:rPr>
          <w:color w:val="231F20"/>
          <w:spacing w:val="-2"/>
        </w:rPr>
        <w:t>учреждения</w:t>
      </w:r>
      <w:r>
        <w:rPr>
          <w:color w:val="231F20"/>
          <w:spacing w:val="-4"/>
        </w:rPr>
        <w:t> </w:t>
      </w:r>
      <w:r>
        <w:rPr>
          <w:color w:val="231F20"/>
          <w:spacing w:val="-2"/>
        </w:rPr>
        <w:t>она</w:t>
      </w:r>
      <w:r>
        <w:rPr>
          <w:color w:val="231F20"/>
          <w:spacing w:val="-4"/>
        </w:rPr>
        <w:t> </w:t>
      </w:r>
      <w:r>
        <w:rPr>
          <w:color w:val="231F20"/>
          <w:spacing w:val="-2"/>
        </w:rPr>
        <w:t>реализуется</w:t>
      </w:r>
      <w:r>
        <w:rPr>
          <w:color w:val="231F20"/>
          <w:spacing w:val="-4"/>
        </w:rPr>
        <w:t> </w:t>
      </w:r>
      <w:r>
        <w:rPr>
          <w:color w:val="231F20"/>
          <w:spacing w:val="-2"/>
        </w:rPr>
        <w:t>посредством</w:t>
      </w:r>
      <w:r>
        <w:rPr>
          <w:color w:val="231F20"/>
          <w:spacing w:val="-4"/>
        </w:rPr>
        <w:t> </w:t>
      </w:r>
      <w:r>
        <w:rPr>
          <w:color w:val="231F20"/>
          <w:spacing w:val="-2"/>
        </w:rPr>
        <w:t>внесения</w:t>
      </w:r>
      <w:r>
        <w:rPr>
          <w:color w:val="231F20"/>
          <w:spacing w:val="-4"/>
        </w:rPr>
        <w:t> </w:t>
      </w:r>
      <w:r>
        <w:rPr>
          <w:color w:val="231F20"/>
          <w:spacing w:val="-2"/>
        </w:rPr>
        <w:t>до- </w:t>
      </w:r>
      <w:r>
        <w:rPr>
          <w:color w:val="231F20"/>
        </w:rPr>
        <w:t>полнений</w:t>
      </w:r>
      <w:r>
        <w:rPr>
          <w:color w:val="231F20"/>
          <w:spacing w:val="-9"/>
        </w:rPr>
        <w:t> </w:t>
      </w:r>
      <w:r>
        <w:rPr>
          <w:color w:val="231F20"/>
        </w:rPr>
        <w:t>в</w:t>
      </w:r>
      <w:r>
        <w:rPr>
          <w:color w:val="231F20"/>
          <w:spacing w:val="-9"/>
        </w:rPr>
        <w:t> </w:t>
      </w:r>
      <w:r>
        <w:rPr>
          <w:color w:val="231F20"/>
        </w:rPr>
        <w:t>Основную</w:t>
      </w:r>
      <w:r>
        <w:rPr>
          <w:color w:val="231F20"/>
          <w:spacing w:val="-9"/>
        </w:rPr>
        <w:t> </w:t>
      </w:r>
      <w:r>
        <w:rPr>
          <w:color w:val="231F20"/>
        </w:rPr>
        <w:t>образовательную</w:t>
      </w:r>
      <w:r>
        <w:rPr>
          <w:color w:val="231F20"/>
          <w:spacing w:val="-9"/>
        </w:rPr>
        <w:t> </w:t>
      </w:r>
      <w:r>
        <w:rPr>
          <w:color w:val="231F20"/>
        </w:rPr>
        <w:t>программу</w:t>
      </w:r>
      <w:r>
        <w:rPr>
          <w:color w:val="231F20"/>
          <w:spacing w:val="-9"/>
        </w:rPr>
        <w:t> </w:t>
      </w:r>
      <w:r>
        <w:rPr>
          <w:color w:val="231F20"/>
        </w:rPr>
        <w:t>(дошкольного,</w:t>
      </w:r>
      <w:r>
        <w:rPr>
          <w:color w:val="231F20"/>
          <w:spacing w:val="-9"/>
        </w:rPr>
        <w:t> </w:t>
      </w:r>
      <w:r>
        <w:rPr>
          <w:color w:val="231F20"/>
        </w:rPr>
        <w:t>начального</w:t>
      </w:r>
      <w:r>
        <w:rPr>
          <w:color w:val="231F20"/>
          <w:spacing w:val="-9"/>
        </w:rPr>
        <w:t> </w:t>
      </w:r>
      <w:r>
        <w:rPr>
          <w:color w:val="231F20"/>
        </w:rPr>
        <w:t>обще- го,</w:t>
      </w:r>
      <w:r>
        <w:rPr>
          <w:color w:val="231F20"/>
          <w:spacing w:val="-1"/>
        </w:rPr>
        <w:t> </w:t>
      </w:r>
      <w:r>
        <w:rPr>
          <w:color w:val="231F20"/>
        </w:rPr>
        <w:t>среднего</w:t>
      </w:r>
      <w:r>
        <w:rPr>
          <w:color w:val="231F20"/>
          <w:spacing w:val="-1"/>
        </w:rPr>
        <w:t> </w:t>
      </w:r>
      <w:r>
        <w:rPr>
          <w:color w:val="231F20"/>
        </w:rPr>
        <w:t>общего,</w:t>
      </w:r>
      <w:r>
        <w:rPr>
          <w:color w:val="231F20"/>
          <w:spacing w:val="-1"/>
        </w:rPr>
        <w:t> </w:t>
      </w:r>
      <w:r>
        <w:rPr>
          <w:color w:val="231F20"/>
        </w:rPr>
        <w:t>основного</w:t>
      </w:r>
      <w:r>
        <w:rPr>
          <w:color w:val="231F20"/>
          <w:spacing w:val="-1"/>
        </w:rPr>
        <w:t> </w:t>
      </w:r>
      <w:r>
        <w:rPr>
          <w:color w:val="231F20"/>
        </w:rPr>
        <w:t>общего</w:t>
      </w:r>
      <w:r>
        <w:rPr>
          <w:color w:val="231F20"/>
          <w:spacing w:val="-1"/>
        </w:rPr>
        <w:t> </w:t>
      </w:r>
      <w:r>
        <w:rPr>
          <w:color w:val="231F20"/>
        </w:rPr>
        <w:t>образования)</w:t>
      </w:r>
      <w:r>
        <w:rPr>
          <w:color w:val="231F20"/>
          <w:spacing w:val="-1"/>
        </w:rPr>
        <w:t> </w:t>
      </w:r>
      <w:r>
        <w:rPr>
          <w:color w:val="231F20"/>
        </w:rPr>
        <w:t>в</w:t>
      </w:r>
      <w:r>
        <w:rPr>
          <w:color w:val="231F20"/>
          <w:spacing w:val="-1"/>
        </w:rPr>
        <w:t> </w:t>
      </w:r>
      <w:r>
        <w:rPr>
          <w:color w:val="231F20"/>
        </w:rPr>
        <w:t>каждую</w:t>
      </w:r>
      <w:r>
        <w:rPr>
          <w:color w:val="231F20"/>
          <w:spacing w:val="-1"/>
        </w:rPr>
        <w:t> </w:t>
      </w:r>
      <w:r>
        <w:rPr>
          <w:color w:val="231F20"/>
        </w:rPr>
        <w:t>из</w:t>
      </w:r>
      <w:r>
        <w:rPr>
          <w:color w:val="231F20"/>
          <w:spacing w:val="-1"/>
        </w:rPr>
        <w:t> </w:t>
      </w:r>
      <w:r>
        <w:rPr>
          <w:color w:val="231F20"/>
        </w:rPr>
        <w:t>ее</w:t>
      </w:r>
      <w:r>
        <w:rPr>
          <w:color w:val="231F20"/>
          <w:spacing w:val="-1"/>
        </w:rPr>
        <w:t> </w:t>
      </w:r>
      <w:r>
        <w:rPr>
          <w:color w:val="231F20"/>
        </w:rPr>
        <w:t>составляющих:</w:t>
      </w:r>
    </w:p>
    <w:p>
      <w:pPr>
        <w:pStyle w:val="ListParagraph"/>
        <w:numPr>
          <w:ilvl w:val="0"/>
          <w:numId w:val="41"/>
        </w:numPr>
        <w:tabs>
          <w:tab w:pos="423" w:val="left" w:leader="none"/>
        </w:tabs>
        <w:spacing w:line="223" w:lineRule="exact" w:before="0" w:after="0"/>
        <w:ind w:left="423" w:right="0" w:hanging="282"/>
        <w:jc w:val="both"/>
        <w:rPr>
          <w:sz w:val="20"/>
        </w:rPr>
      </w:pPr>
      <w:r>
        <w:rPr>
          <w:sz w:val="20"/>
        </w:rPr>
        <w:t>Программу</w:t>
      </w:r>
      <w:r>
        <w:rPr>
          <w:spacing w:val="-3"/>
          <w:sz w:val="20"/>
        </w:rPr>
        <w:t> </w:t>
      </w:r>
      <w:r>
        <w:rPr>
          <w:sz w:val="20"/>
        </w:rPr>
        <w:t>воспитания и</w:t>
      </w:r>
      <w:r>
        <w:rPr>
          <w:spacing w:val="-1"/>
          <w:sz w:val="20"/>
        </w:rPr>
        <w:t> </w:t>
      </w:r>
      <w:r>
        <w:rPr>
          <w:sz w:val="20"/>
        </w:rPr>
        <w:t>социализации</w:t>
      </w:r>
      <w:r>
        <w:rPr>
          <w:spacing w:val="-1"/>
          <w:sz w:val="20"/>
        </w:rPr>
        <w:t> </w:t>
      </w:r>
      <w:r>
        <w:rPr>
          <w:spacing w:val="-2"/>
          <w:sz w:val="20"/>
        </w:rPr>
        <w:t>обучающихся.</w:t>
      </w:r>
    </w:p>
    <w:p>
      <w:pPr>
        <w:pStyle w:val="ListParagraph"/>
        <w:numPr>
          <w:ilvl w:val="0"/>
          <w:numId w:val="41"/>
        </w:numPr>
        <w:tabs>
          <w:tab w:pos="423" w:val="left" w:leader="none"/>
        </w:tabs>
        <w:spacing w:line="229" w:lineRule="exact" w:before="0" w:after="0"/>
        <w:ind w:left="423" w:right="0" w:hanging="282"/>
        <w:jc w:val="both"/>
        <w:rPr>
          <w:sz w:val="20"/>
        </w:rPr>
      </w:pPr>
      <w:r>
        <w:rPr>
          <w:sz w:val="20"/>
        </w:rPr>
        <w:t>Программу</w:t>
      </w:r>
      <w:r>
        <w:rPr>
          <w:spacing w:val="-14"/>
          <w:sz w:val="20"/>
        </w:rPr>
        <w:t> </w:t>
      </w:r>
      <w:r>
        <w:rPr>
          <w:sz w:val="20"/>
        </w:rPr>
        <w:t>коррекционной</w:t>
      </w:r>
      <w:r>
        <w:rPr>
          <w:spacing w:val="-11"/>
          <w:sz w:val="20"/>
        </w:rPr>
        <w:t> </w:t>
      </w:r>
      <w:r>
        <w:rPr>
          <w:spacing w:val="-2"/>
          <w:sz w:val="20"/>
        </w:rPr>
        <w:t>работы.</w:t>
      </w:r>
    </w:p>
    <w:p>
      <w:pPr>
        <w:spacing w:line="229" w:lineRule="exact" w:before="108"/>
        <w:ind w:left="425" w:right="0" w:firstLine="0"/>
        <w:jc w:val="both"/>
        <w:rPr>
          <w:b/>
          <w:i/>
          <w:sz w:val="20"/>
        </w:rPr>
      </w:pPr>
      <w:r>
        <w:rPr>
          <w:b/>
          <w:i/>
          <w:sz w:val="20"/>
        </w:rPr>
        <w:t>Программа</w:t>
      </w:r>
      <w:r>
        <w:rPr>
          <w:b/>
          <w:i/>
          <w:spacing w:val="-7"/>
          <w:sz w:val="20"/>
        </w:rPr>
        <w:t> </w:t>
      </w:r>
      <w:r>
        <w:rPr>
          <w:b/>
          <w:i/>
          <w:sz w:val="20"/>
        </w:rPr>
        <w:t>воспитания</w:t>
      </w:r>
      <w:r>
        <w:rPr>
          <w:b/>
          <w:i/>
          <w:spacing w:val="-8"/>
          <w:sz w:val="20"/>
        </w:rPr>
        <w:t> </w:t>
      </w:r>
      <w:r>
        <w:rPr>
          <w:b/>
          <w:i/>
          <w:sz w:val="20"/>
        </w:rPr>
        <w:t>и</w:t>
      </w:r>
      <w:r>
        <w:rPr>
          <w:b/>
          <w:i/>
          <w:spacing w:val="-7"/>
          <w:sz w:val="20"/>
        </w:rPr>
        <w:t> </w:t>
      </w:r>
      <w:r>
        <w:rPr>
          <w:b/>
          <w:i/>
          <w:sz w:val="20"/>
        </w:rPr>
        <w:t>социализации</w:t>
      </w:r>
      <w:r>
        <w:rPr>
          <w:b/>
          <w:i/>
          <w:spacing w:val="-7"/>
          <w:sz w:val="20"/>
        </w:rPr>
        <w:t> </w:t>
      </w:r>
      <w:r>
        <w:rPr>
          <w:b/>
          <w:i/>
          <w:spacing w:val="-2"/>
          <w:sz w:val="20"/>
        </w:rPr>
        <w:t>обучающихся</w:t>
      </w:r>
    </w:p>
    <w:p>
      <w:pPr>
        <w:pStyle w:val="BodyText"/>
        <w:spacing w:line="237" w:lineRule="auto" w:before="1"/>
      </w:pPr>
      <w:r>
        <w:rPr/>
        <w:t>Включение элементов </w:t>
      </w:r>
      <w:r>
        <w:rPr>
          <w:color w:val="231F20"/>
        </w:rPr>
        <w:t>программы психолого-педагогического сопровождения процессов</w:t>
      </w:r>
      <w:r>
        <w:rPr>
          <w:color w:val="231F20"/>
          <w:spacing w:val="-7"/>
        </w:rPr>
        <w:t> </w:t>
      </w:r>
      <w:r>
        <w:rPr>
          <w:color w:val="231F20"/>
        </w:rPr>
        <w:t>обучения,</w:t>
      </w:r>
      <w:r>
        <w:rPr>
          <w:color w:val="231F20"/>
          <w:spacing w:val="-7"/>
        </w:rPr>
        <w:t> </w:t>
      </w:r>
      <w:r>
        <w:rPr>
          <w:color w:val="231F20"/>
        </w:rPr>
        <w:t>социальной,</w:t>
      </w:r>
      <w:r>
        <w:rPr>
          <w:color w:val="231F20"/>
          <w:spacing w:val="-7"/>
        </w:rPr>
        <w:t> </w:t>
      </w:r>
      <w:r>
        <w:rPr>
          <w:color w:val="231F20"/>
        </w:rPr>
        <w:t>языковой</w:t>
      </w:r>
      <w:r>
        <w:rPr>
          <w:color w:val="231F20"/>
          <w:spacing w:val="-7"/>
        </w:rPr>
        <w:t> </w:t>
      </w:r>
      <w:r>
        <w:rPr>
          <w:color w:val="231F20"/>
        </w:rPr>
        <w:t>и</w:t>
      </w:r>
      <w:r>
        <w:rPr>
          <w:color w:val="231F20"/>
          <w:spacing w:val="-7"/>
        </w:rPr>
        <w:t> </w:t>
      </w:r>
      <w:r>
        <w:rPr>
          <w:color w:val="231F20"/>
        </w:rPr>
        <w:t>культурной</w:t>
      </w:r>
      <w:r>
        <w:rPr>
          <w:color w:val="231F20"/>
          <w:spacing w:val="-7"/>
        </w:rPr>
        <w:t> </w:t>
      </w:r>
      <w:r>
        <w:rPr>
          <w:color w:val="231F20"/>
        </w:rPr>
        <w:t>адаптации</w:t>
      </w:r>
      <w:r>
        <w:rPr>
          <w:color w:val="231F20"/>
          <w:spacing w:val="-7"/>
        </w:rPr>
        <w:t> </w:t>
      </w:r>
      <w:r>
        <w:rPr>
          <w:color w:val="231F20"/>
        </w:rPr>
        <w:t>детей</w:t>
      </w:r>
      <w:r>
        <w:rPr>
          <w:color w:val="231F20"/>
          <w:spacing w:val="-7"/>
        </w:rPr>
        <w:t> </w:t>
      </w:r>
      <w:r>
        <w:rPr>
          <w:color w:val="231F20"/>
        </w:rPr>
        <w:t>иностран- ных граждан в </w:t>
      </w:r>
      <w:r>
        <w:rPr/>
        <w:t>программу воспитания и социализации обучающихся основано на содержании </w:t>
      </w:r>
      <w:r>
        <w:rPr>
          <w:color w:val="151F26"/>
        </w:rPr>
        <w:t>Примерной рабочей программы воспитания для общеобразовательных организаций,</w:t>
      </w:r>
      <w:r>
        <w:rPr>
          <w:color w:val="151F26"/>
          <w:spacing w:val="-6"/>
        </w:rPr>
        <w:t> </w:t>
      </w:r>
      <w:r>
        <w:rPr>
          <w:color w:val="151F26"/>
        </w:rPr>
        <w:t>разработанной</w:t>
      </w:r>
      <w:r>
        <w:rPr>
          <w:color w:val="151F26"/>
          <w:spacing w:val="-6"/>
        </w:rPr>
        <w:t> </w:t>
      </w:r>
      <w:r>
        <w:rPr>
          <w:color w:val="151F26"/>
        </w:rPr>
        <w:t>Институтом</w:t>
      </w:r>
      <w:r>
        <w:rPr>
          <w:color w:val="151F26"/>
          <w:spacing w:val="-6"/>
        </w:rPr>
        <w:t> </w:t>
      </w:r>
      <w:r>
        <w:rPr>
          <w:color w:val="151F26"/>
        </w:rPr>
        <w:t>изучения</w:t>
      </w:r>
      <w:r>
        <w:rPr>
          <w:color w:val="151F26"/>
          <w:spacing w:val="-6"/>
        </w:rPr>
        <w:t> </w:t>
      </w:r>
      <w:r>
        <w:rPr>
          <w:color w:val="151F26"/>
        </w:rPr>
        <w:t>семьи,</w:t>
      </w:r>
      <w:r>
        <w:rPr>
          <w:color w:val="151F26"/>
          <w:spacing w:val="-6"/>
        </w:rPr>
        <w:t> </w:t>
      </w:r>
      <w:r>
        <w:rPr>
          <w:color w:val="151F26"/>
        </w:rPr>
        <w:t>детства</w:t>
      </w:r>
      <w:r>
        <w:rPr>
          <w:color w:val="151F26"/>
          <w:spacing w:val="-6"/>
        </w:rPr>
        <w:t> </w:t>
      </w:r>
      <w:r>
        <w:rPr>
          <w:color w:val="151F26"/>
        </w:rPr>
        <w:t>и</w:t>
      </w:r>
      <w:r>
        <w:rPr>
          <w:color w:val="151F26"/>
          <w:spacing w:val="-6"/>
        </w:rPr>
        <w:t> </w:t>
      </w:r>
      <w:r>
        <w:rPr>
          <w:color w:val="151F26"/>
        </w:rPr>
        <w:t>воспитания</w:t>
      </w:r>
      <w:r>
        <w:rPr>
          <w:color w:val="151F26"/>
          <w:spacing w:val="-6"/>
        </w:rPr>
        <w:t> </w:t>
      </w:r>
      <w:r>
        <w:rPr>
          <w:color w:val="151F26"/>
        </w:rPr>
        <w:t>РАО по</w:t>
      </w:r>
      <w:r>
        <w:rPr>
          <w:color w:val="151F26"/>
          <w:spacing w:val="-5"/>
        </w:rPr>
        <w:t> </w:t>
      </w:r>
      <w:r>
        <w:rPr>
          <w:color w:val="151F26"/>
        </w:rPr>
        <w:t>заданию</w:t>
      </w:r>
      <w:r>
        <w:rPr>
          <w:color w:val="151F26"/>
          <w:spacing w:val="-6"/>
        </w:rPr>
        <w:t> </w:t>
      </w:r>
      <w:r>
        <w:rPr>
          <w:color w:val="151F26"/>
        </w:rPr>
        <w:t>Министерства</w:t>
      </w:r>
      <w:r>
        <w:rPr>
          <w:color w:val="151F26"/>
          <w:spacing w:val="-6"/>
        </w:rPr>
        <w:t> </w:t>
      </w:r>
      <w:r>
        <w:rPr>
          <w:color w:val="151F26"/>
        </w:rPr>
        <w:t>просвещения</w:t>
      </w:r>
      <w:r>
        <w:rPr>
          <w:color w:val="151F26"/>
          <w:spacing w:val="-5"/>
        </w:rPr>
        <w:t> </w:t>
      </w:r>
      <w:r>
        <w:rPr>
          <w:color w:val="151F26"/>
        </w:rPr>
        <w:t>РФ,</w:t>
      </w:r>
      <w:r>
        <w:rPr>
          <w:color w:val="151F26"/>
          <w:spacing w:val="-5"/>
        </w:rPr>
        <w:t> </w:t>
      </w:r>
      <w:r>
        <w:rPr>
          <w:color w:val="151F26"/>
        </w:rPr>
        <w:t>одобренной</w:t>
      </w:r>
      <w:r>
        <w:rPr>
          <w:color w:val="151F26"/>
          <w:spacing w:val="-6"/>
        </w:rPr>
        <w:t> </w:t>
      </w:r>
      <w:r>
        <w:rPr>
          <w:color w:val="151F26"/>
        </w:rPr>
        <w:t>на</w:t>
      </w:r>
      <w:r>
        <w:rPr>
          <w:color w:val="151F26"/>
          <w:spacing w:val="-5"/>
        </w:rPr>
        <w:t> </w:t>
      </w:r>
      <w:r>
        <w:rPr>
          <w:color w:val="151F26"/>
        </w:rPr>
        <w:t>заседании</w:t>
      </w:r>
      <w:r>
        <w:rPr>
          <w:color w:val="151F26"/>
          <w:spacing w:val="-6"/>
        </w:rPr>
        <w:t> </w:t>
      </w:r>
      <w:r>
        <w:rPr>
          <w:color w:val="151F26"/>
        </w:rPr>
        <w:t>Федерального учебно-методического объединения по общему образованию 23 июня 2022 года.</w:t>
      </w:r>
    </w:p>
    <w:p>
      <w:pPr>
        <w:pStyle w:val="BodyText"/>
        <w:spacing w:line="242" w:lineRule="auto" w:before="3"/>
      </w:pPr>
      <w:r>
        <w:rPr>
          <w:color w:val="151F26"/>
        </w:rPr>
        <w:t>В</w:t>
      </w:r>
      <w:r>
        <w:rPr>
          <w:color w:val="151F26"/>
          <w:spacing w:val="-5"/>
        </w:rPr>
        <w:t> </w:t>
      </w:r>
      <w:r>
        <w:rPr>
          <w:color w:val="151F26"/>
        </w:rPr>
        <w:t>п.</w:t>
      </w:r>
      <w:r>
        <w:rPr>
          <w:color w:val="151F26"/>
          <w:spacing w:val="-4"/>
        </w:rPr>
        <w:t> </w:t>
      </w:r>
      <w:r>
        <w:rPr>
          <w:color w:val="151F26"/>
        </w:rPr>
        <w:t>9</w:t>
      </w:r>
      <w:r>
        <w:rPr>
          <w:color w:val="151F26"/>
          <w:spacing w:val="-5"/>
        </w:rPr>
        <w:t> </w:t>
      </w:r>
      <w:r>
        <w:rPr>
          <w:color w:val="231F20"/>
        </w:rPr>
        <w:t>календарного</w:t>
      </w:r>
      <w:r>
        <w:rPr>
          <w:color w:val="231F20"/>
          <w:spacing w:val="-5"/>
        </w:rPr>
        <w:t> </w:t>
      </w:r>
      <w:r>
        <w:rPr>
          <w:color w:val="231F20"/>
        </w:rPr>
        <w:t>плана</w:t>
      </w:r>
      <w:r>
        <w:rPr>
          <w:color w:val="231F20"/>
          <w:spacing w:val="-5"/>
        </w:rPr>
        <w:t> </w:t>
      </w:r>
      <w:r>
        <w:rPr>
          <w:color w:val="231F20"/>
        </w:rPr>
        <w:t>воспитательной</w:t>
      </w:r>
      <w:r>
        <w:rPr>
          <w:color w:val="231F20"/>
          <w:spacing w:val="-5"/>
        </w:rPr>
        <w:t> </w:t>
      </w:r>
      <w:r>
        <w:rPr>
          <w:color w:val="231F20"/>
        </w:rPr>
        <w:t>работы</w:t>
      </w:r>
      <w:r>
        <w:rPr>
          <w:color w:val="231F20"/>
          <w:spacing w:val="-5"/>
        </w:rPr>
        <w:t> </w:t>
      </w:r>
      <w:r>
        <w:rPr>
          <w:color w:val="231F20"/>
        </w:rPr>
        <w:t>организации</w:t>
      </w:r>
      <w:r>
        <w:rPr>
          <w:color w:val="231F20"/>
          <w:spacing w:val="-5"/>
        </w:rPr>
        <w:t> </w:t>
      </w:r>
      <w:r>
        <w:rPr>
          <w:color w:val="231F20"/>
        </w:rPr>
        <w:t>«Профилактика</w:t>
      </w:r>
      <w:r>
        <w:rPr>
          <w:color w:val="231F20"/>
          <w:spacing w:val="-5"/>
        </w:rPr>
        <w:t> </w:t>
      </w:r>
      <w:r>
        <w:rPr>
          <w:color w:val="231F20"/>
        </w:rPr>
        <w:t>и безопасность» указываются конкретные позиции, направленные в т.ч. на профилак- тику</w:t>
      </w:r>
      <w:r>
        <w:rPr>
          <w:color w:val="231F20"/>
          <w:spacing w:val="-13"/>
        </w:rPr>
        <w:t> </w:t>
      </w:r>
      <w:r>
        <w:rPr>
          <w:color w:val="231F20"/>
        </w:rPr>
        <w:t>расширения</w:t>
      </w:r>
      <w:r>
        <w:rPr>
          <w:color w:val="231F20"/>
          <w:spacing w:val="-12"/>
        </w:rPr>
        <w:t> </w:t>
      </w:r>
      <w:r>
        <w:rPr>
          <w:color w:val="231F20"/>
        </w:rPr>
        <w:t>групп</w:t>
      </w:r>
      <w:r>
        <w:rPr>
          <w:color w:val="231F20"/>
          <w:spacing w:val="-13"/>
        </w:rPr>
        <w:t> </w:t>
      </w:r>
      <w:r>
        <w:rPr>
          <w:color w:val="231F20"/>
        </w:rPr>
        <w:t>обучающихся,</w:t>
      </w:r>
      <w:r>
        <w:rPr>
          <w:color w:val="231F20"/>
          <w:spacing w:val="-12"/>
        </w:rPr>
        <w:t> </w:t>
      </w:r>
      <w:r>
        <w:rPr>
          <w:color w:val="231F20"/>
        </w:rPr>
        <w:t>требующих</w:t>
      </w:r>
      <w:r>
        <w:rPr>
          <w:color w:val="231F20"/>
          <w:spacing w:val="-13"/>
        </w:rPr>
        <w:t> </w:t>
      </w:r>
      <w:r>
        <w:rPr>
          <w:color w:val="231F20"/>
        </w:rPr>
        <w:t>специальной</w:t>
      </w:r>
      <w:r>
        <w:rPr>
          <w:color w:val="231F20"/>
          <w:spacing w:val="-12"/>
        </w:rPr>
        <w:t> </w:t>
      </w:r>
      <w:r>
        <w:rPr>
          <w:color w:val="231F20"/>
        </w:rPr>
        <w:t>психолого-педагоги- ческой поддержки и сопровождения (социально неадаптированные дети-мигранты).</w:t>
      </w:r>
    </w:p>
    <w:p>
      <w:pPr>
        <w:pStyle w:val="BodyText"/>
        <w:spacing w:line="247" w:lineRule="auto"/>
      </w:pPr>
      <w:r>
        <w:rPr>
          <w:color w:val="231F20"/>
        </w:rPr>
        <w:t>Согласно</w:t>
      </w:r>
      <w:r>
        <w:rPr>
          <w:color w:val="231F20"/>
          <w:spacing w:val="-13"/>
        </w:rPr>
        <w:t> </w:t>
      </w:r>
      <w:r>
        <w:rPr>
          <w:color w:val="231F20"/>
        </w:rPr>
        <w:t>п.</w:t>
      </w:r>
      <w:r>
        <w:rPr>
          <w:color w:val="231F20"/>
          <w:spacing w:val="-12"/>
        </w:rPr>
        <w:t> </w:t>
      </w:r>
      <w:r>
        <w:rPr>
          <w:color w:val="231F20"/>
        </w:rPr>
        <w:t>3.3</w:t>
      </w:r>
      <w:r>
        <w:rPr>
          <w:color w:val="231F20"/>
          <w:spacing w:val="-13"/>
        </w:rPr>
        <w:t> </w:t>
      </w:r>
      <w:r>
        <w:rPr>
          <w:color w:val="231F20"/>
        </w:rPr>
        <w:t>«Требования</w:t>
      </w:r>
      <w:r>
        <w:rPr>
          <w:color w:val="231F20"/>
          <w:spacing w:val="-12"/>
        </w:rPr>
        <w:t> </w:t>
      </w:r>
      <w:r>
        <w:rPr>
          <w:color w:val="231F20"/>
        </w:rPr>
        <w:t>к</w:t>
      </w:r>
      <w:r>
        <w:rPr>
          <w:color w:val="231F20"/>
          <w:spacing w:val="-13"/>
        </w:rPr>
        <w:t> </w:t>
      </w:r>
      <w:r>
        <w:rPr>
          <w:color w:val="231F20"/>
        </w:rPr>
        <w:t>условиям</w:t>
      </w:r>
      <w:r>
        <w:rPr>
          <w:color w:val="231F20"/>
          <w:spacing w:val="-12"/>
        </w:rPr>
        <w:t> </w:t>
      </w:r>
      <w:r>
        <w:rPr>
          <w:color w:val="231F20"/>
        </w:rPr>
        <w:t>работы</w:t>
      </w:r>
      <w:r>
        <w:rPr>
          <w:color w:val="231F20"/>
          <w:spacing w:val="-13"/>
        </w:rPr>
        <w:t> </w:t>
      </w:r>
      <w:r>
        <w:rPr>
          <w:color w:val="231F20"/>
        </w:rPr>
        <w:t>с</w:t>
      </w:r>
      <w:r>
        <w:rPr>
          <w:color w:val="231F20"/>
          <w:spacing w:val="-12"/>
        </w:rPr>
        <w:t> </w:t>
      </w:r>
      <w:r>
        <w:rPr>
          <w:color w:val="231F20"/>
        </w:rPr>
        <w:t>обучающимися</w:t>
      </w:r>
      <w:r>
        <w:rPr>
          <w:color w:val="231F20"/>
          <w:spacing w:val="-13"/>
        </w:rPr>
        <w:t> </w:t>
      </w:r>
      <w:r>
        <w:rPr>
          <w:color w:val="231F20"/>
        </w:rPr>
        <w:t>с</w:t>
      </w:r>
      <w:r>
        <w:rPr>
          <w:color w:val="231F20"/>
          <w:spacing w:val="-12"/>
        </w:rPr>
        <w:t> </w:t>
      </w:r>
      <w:r>
        <w:rPr>
          <w:color w:val="231F20"/>
        </w:rPr>
        <w:t>особыми</w:t>
      </w:r>
      <w:r>
        <w:rPr>
          <w:color w:val="231F20"/>
          <w:spacing w:val="-13"/>
        </w:rPr>
        <w:t> </w:t>
      </w:r>
      <w:r>
        <w:rPr>
          <w:color w:val="231F20"/>
        </w:rPr>
        <w:t>обра- зовательными</w:t>
      </w:r>
      <w:r>
        <w:rPr>
          <w:color w:val="231F20"/>
          <w:spacing w:val="-7"/>
        </w:rPr>
        <w:t> </w:t>
      </w:r>
      <w:r>
        <w:rPr>
          <w:color w:val="231F20"/>
        </w:rPr>
        <w:t>потребностями»</w:t>
      </w:r>
      <w:r>
        <w:rPr>
          <w:color w:val="231F20"/>
          <w:spacing w:val="-7"/>
        </w:rPr>
        <w:t> </w:t>
      </w:r>
      <w:r>
        <w:rPr>
          <w:color w:val="231F20"/>
        </w:rPr>
        <w:t>создаются</w:t>
      </w:r>
      <w:r>
        <w:rPr>
          <w:color w:val="231F20"/>
          <w:spacing w:val="-7"/>
        </w:rPr>
        <w:t> </w:t>
      </w:r>
      <w:r>
        <w:rPr>
          <w:color w:val="231F20"/>
        </w:rPr>
        <w:t>особые</w:t>
      </w:r>
      <w:r>
        <w:rPr>
          <w:color w:val="231F20"/>
          <w:spacing w:val="-7"/>
        </w:rPr>
        <w:t> </w:t>
      </w:r>
      <w:r>
        <w:rPr>
          <w:color w:val="231F20"/>
        </w:rPr>
        <w:t>условия</w:t>
      </w:r>
      <w:r>
        <w:rPr>
          <w:color w:val="231F20"/>
          <w:spacing w:val="-7"/>
        </w:rPr>
        <w:t> </w:t>
      </w:r>
      <w:r>
        <w:rPr>
          <w:color w:val="231F20"/>
        </w:rPr>
        <w:t>воспитательной</w:t>
      </w:r>
      <w:r>
        <w:rPr>
          <w:color w:val="231F20"/>
          <w:spacing w:val="-7"/>
        </w:rPr>
        <w:t> </w:t>
      </w:r>
      <w:r>
        <w:rPr>
          <w:color w:val="231F20"/>
        </w:rPr>
        <w:t>работы</w:t>
      </w:r>
      <w:r>
        <w:rPr>
          <w:color w:val="231F20"/>
          <w:spacing w:val="-7"/>
        </w:rPr>
        <w:t> </w:t>
      </w:r>
      <w:r>
        <w:rPr>
          <w:color w:val="231F20"/>
        </w:rPr>
        <w:t>«с категориями</w:t>
      </w:r>
      <w:r>
        <w:rPr>
          <w:color w:val="231F20"/>
          <w:spacing w:val="-12"/>
        </w:rPr>
        <w:t> </w:t>
      </w:r>
      <w:r>
        <w:rPr>
          <w:color w:val="231F20"/>
        </w:rPr>
        <w:t>обучающихся,</w:t>
      </w:r>
      <w:r>
        <w:rPr>
          <w:color w:val="231F20"/>
          <w:spacing w:val="-12"/>
        </w:rPr>
        <w:t> </w:t>
      </w:r>
      <w:r>
        <w:rPr>
          <w:color w:val="231F20"/>
        </w:rPr>
        <w:t>имеющих</w:t>
      </w:r>
      <w:r>
        <w:rPr>
          <w:color w:val="231F20"/>
          <w:spacing w:val="-12"/>
        </w:rPr>
        <w:t> </w:t>
      </w:r>
      <w:r>
        <w:rPr>
          <w:color w:val="231F20"/>
        </w:rPr>
        <w:t>особые</w:t>
      </w:r>
      <w:r>
        <w:rPr>
          <w:color w:val="231F20"/>
          <w:spacing w:val="-13"/>
        </w:rPr>
        <w:t> </w:t>
      </w:r>
      <w:r>
        <w:rPr>
          <w:color w:val="231F20"/>
        </w:rPr>
        <w:t>образовательные</w:t>
      </w:r>
      <w:r>
        <w:rPr>
          <w:color w:val="231F20"/>
          <w:spacing w:val="-11"/>
        </w:rPr>
        <w:t> </w:t>
      </w:r>
      <w:r>
        <w:rPr>
          <w:color w:val="231F20"/>
        </w:rPr>
        <w:t>потребности</w:t>
      </w:r>
      <w:r>
        <w:rPr>
          <w:color w:val="231F20"/>
          <w:spacing w:val="-12"/>
        </w:rPr>
        <w:t> </w:t>
      </w:r>
      <w:r>
        <w:rPr>
          <w:color w:val="231F20"/>
        </w:rPr>
        <w:t>…</w:t>
      </w:r>
      <w:r>
        <w:rPr>
          <w:color w:val="231F20"/>
          <w:spacing w:val="-12"/>
        </w:rPr>
        <w:t> </w:t>
      </w:r>
      <w:r>
        <w:rPr>
          <w:color w:val="231F20"/>
        </w:rPr>
        <w:t>из</w:t>
      </w:r>
      <w:r>
        <w:rPr>
          <w:color w:val="231F20"/>
          <w:spacing w:val="-12"/>
        </w:rPr>
        <w:t> </w:t>
      </w:r>
      <w:r>
        <w:rPr>
          <w:color w:val="231F20"/>
        </w:rPr>
        <w:t>со- циально уязвимых групп (например... из семей мигрантов, билингвы и др.)».</w:t>
      </w:r>
    </w:p>
    <w:p>
      <w:pPr>
        <w:pStyle w:val="BodyText"/>
        <w:spacing w:line="244" w:lineRule="auto" w:before="3"/>
      </w:pPr>
      <w:r>
        <w:rPr>
          <w:color w:val="231F20"/>
        </w:rPr>
        <w:t>Таким</w:t>
      </w:r>
      <w:r>
        <w:rPr>
          <w:color w:val="231F20"/>
          <w:spacing w:val="-13"/>
        </w:rPr>
        <w:t> </w:t>
      </w:r>
      <w:r>
        <w:rPr>
          <w:color w:val="231F20"/>
        </w:rPr>
        <w:t>образом,</w:t>
      </w:r>
      <w:r>
        <w:rPr>
          <w:color w:val="231F20"/>
          <w:spacing w:val="-12"/>
        </w:rPr>
        <w:t> </w:t>
      </w:r>
      <w:r>
        <w:rPr>
          <w:color w:val="231F20"/>
        </w:rPr>
        <w:t>программа</w:t>
      </w:r>
      <w:r>
        <w:rPr>
          <w:color w:val="231F20"/>
          <w:spacing w:val="-13"/>
        </w:rPr>
        <w:t> </w:t>
      </w:r>
      <w:r>
        <w:rPr>
          <w:color w:val="231F20"/>
        </w:rPr>
        <w:t>психолого-педагогического</w:t>
      </w:r>
      <w:r>
        <w:rPr>
          <w:color w:val="231F20"/>
          <w:spacing w:val="-12"/>
        </w:rPr>
        <w:t> </w:t>
      </w:r>
      <w:r>
        <w:rPr>
          <w:color w:val="231F20"/>
        </w:rPr>
        <w:t>сопровождения</w:t>
      </w:r>
      <w:r>
        <w:rPr>
          <w:color w:val="231F20"/>
          <w:spacing w:val="-13"/>
        </w:rPr>
        <w:t> </w:t>
      </w:r>
      <w:r>
        <w:rPr>
          <w:color w:val="231F20"/>
        </w:rPr>
        <w:t>процессов </w:t>
      </w:r>
      <w:r>
        <w:rPr>
          <w:color w:val="231F20"/>
          <w:spacing w:val="-2"/>
        </w:rPr>
        <w:t>обучения, социальной, языковой и культурной адаптации детей иностранных граждан </w:t>
      </w:r>
      <w:r>
        <w:rPr>
          <w:color w:val="231F20"/>
        </w:rPr>
        <w:t>содержит инструменты, позволяющие создать особые условия в воспитательной ра- боте</w:t>
      </w:r>
      <w:r>
        <w:rPr>
          <w:color w:val="231F20"/>
          <w:spacing w:val="-2"/>
        </w:rPr>
        <w:t> </w:t>
      </w:r>
      <w:r>
        <w:rPr>
          <w:color w:val="231F20"/>
        </w:rPr>
        <w:t>с</w:t>
      </w:r>
      <w:r>
        <w:rPr>
          <w:color w:val="231F20"/>
          <w:spacing w:val="-2"/>
        </w:rPr>
        <w:t> </w:t>
      </w:r>
      <w:r>
        <w:rPr>
          <w:color w:val="231F20"/>
        </w:rPr>
        <w:t>данной</w:t>
      </w:r>
      <w:r>
        <w:rPr>
          <w:color w:val="231F20"/>
          <w:spacing w:val="-2"/>
        </w:rPr>
        <w:t> </w:t>
      </w:r>
      <w:r>
        <w:rPr>
          <w:color w:val="231F20"/>
        </w:rPr>
        <w:t>категорией</w:t>
      </w:r>
      <w:r>
        <w:rPr>
          <w:color w:val="231F20"/>
          <w:spacing w:val="-2"/>
        </w:rPr>
        <w:t> </w:t>
      </w:r>
      <w:r>
        <w:rPr>
          <w:color w:val="231F20"/>
        </w:rPr>
        <w:t>детей</w:t>
      </w:r>
      <w:r>
        <w:rPr>
          <w:color w:val="231F20"/>
          <w:spacing w:val="-2"/>
        </w:rPr>
        <w:t> </w:t>
      </w:r>
      <w:r>
        <w:rPr>
          <w:color w:val="231F20"/>
        </w:rPr>
        <w:t>как</w:t>
      </w:r>
      <w:r>
        <w:rPr>
          <w:color w:val="231F20"/>
          <w:spacing w:val="-2"/>
        </w:rPr>
        <w:t> </w:t>
      </w:r>
      <w:r>
        <w:rPr>
          <w:color w:val="231F20"/>
        </w:rPr>
        <w:t>имеющей</w:t>
      </w:r>
      <w:r>
        <w:rPr>
          <w:color w:val="231F20"/>
          <w:spacing w:val="-2"/>
        </w:rPr>
        <w:t> </w:t>
      </w:r>
      <w:r>
        <w:rPr>
          <w:color w:val="231F20"/>
        </w:rPr>
        <w:t>особые</w:t>
      </w:r>
      <w:r>
        <w:rPr>
          <w:color w:val="231F20"/>
          <w:spacing w:val="-2"/>
        </w:rPr>
        <w:t> </w:t>
      </w:r>
      <w:r>
        <w:rPr>
          <w:color w:val="231F20"/>
        </w:rPr>
        <w:t>образовательные</w:t>
      </w:r>
      <w:r>
        <w:rPr>
          <w:color w:val="231F20"/>
          <w:spacing w:val="-2"/>
        </w:rPr>
        <w:t> </w:t>
      </w:r>
      <w:r>
        <w:rPr>
          <w:color w:val="231F20"/>
        </w:rPr>
        <w:t>потребности. Образовательному</w:t>
      </w:r>
      <w:r>
        <w:rPr>
          <w:color w:val="231F20"/>
          <w:spacing w:val="-3"/>
        </w:rPr>
        <w:t> </w:t>
      </w:r>
      <w:r>
        <w:rPr>
          <w:color w:val="231F20"/>
        </w:rPr>
        <w:t>учреждению</w:t>
      </w:r>
      <w:r>
        <w:rPr>
          <w:color w:val="231F20"/>
          <w:spacing w:val="-3"/>
        </w:rPr>
        <w:t> </w:t>
      </w:r>
      <w:r>
        <w:rPr>
          <w:color w:val="231F20"/>
        </w:rPr>
        <w:t>рекомендуется</w:t>
      </w:r>
      <w:r>
        <w:rPr>
          <w:color w:val="231F20"/>
          <w:spacing w:val="-3"/>
        </w:rPr>
        <w:t> </w:t>
      </w:r>
      <w:r>
        <w:rPr>
          <w:color w:val="231F20"/>
        </w:rPr>
        <w:t>формировать</w:t>
      </w:r>
      <w:r>
        <w:rPr>
          <w:color w:val="231F20"/>
          <w:spacing w:val="-3"/>
        </w:rPr>
        <w:t> </w:t>
      </w:r>
      <w:r>
        <w:rPr>
          <w:color w:val="231F20"/>
        </w:rPr>
        <w:t>календарный</w:t>
      </w:r>
      <w:r>
        <w:rPr>
          <w:color w:val="231F20"/>
          <w:spacing w:val="-3"/>
        </w:rPr>
        <w:t> </w:t>
      </w:r>
      <w:r>
        <w:rPr>
          <w:color w:val="231F20"/>
        </w:rPr>
        <w:t>план</w:t>
      </w:r>
      <w:r>
        <w:rPr>
          <w:color w:val="231F20"/>
          <w:spacing w:val="-3"/>
        </w:rPr>
        <w:t> </w:t>
      </w:r>
      <w:r>
        <w:rPr>
          <w:color w:val="231F20"/>
        </w:rPr>
        <w:t>вос- </w:t>
      </w:r>
      <w:r>
        <w:rPr>
          <w:color w:val="231F20"/>
          <w:spacing w:val="-2"/>
        </w:rPr>
        <w:t>питательной работы организации посредством включения необходимых элементов из </w:t>
      </w:r>
      <w:r>
        <w:rPr>
          <w:color w:val="231F20"/>
        </w:rPr>
        <w:t>содержания программы.</w:t>
      </w:r>
    </w:p>
    <w:p>
      <w:pPr>
        <w:pStyle w:val="BodyText"/>
        <w:spacing w:line="242" w:lineRule="auto"/>
      </w:pPr>
      <w:r>
        <w:rPr>
          <w:color w:val="231F20"/>
        </w:rPr>
        <w:t>Данная работа реализуется в зависимости от количества детей – иностранных граждан в образовательном учреждении, а также от результатов диагностики де-</w:t>
      </w:r>
      <w:r>
        <w:rPr>
          <w:color w:val="231F20"/>
          <w:spacing w:val="80"/>
        </w:rPr>
        <w:t> </w:t>
      </w:r>
      <w:r>
        <w:rPr>
          <w:color w:val="231F20"/>
        </w:rPr>
        <w:t>тей – иностранных граждан (см. ниже) и включает в себя практики, изложенные в Методических рекомендациях к программе в разделе 4.</w:t>
      </w:r>
      <w:r>
        <w:rPr>
          <w:color w:val="231F20"/>
          <w:spacing w:val="-5"/>
        </w:rPr>
        <w:t> </w:t>
      </w:r>
      <w:r>
        <w:rPr>
          <w:color w:val="231F20"/>
        </w:rPr>
        <w:t>Работа педагога с учениче- ским сообществом: класс и школа, в разделе 2.</w:t>
      </w:r>
      <w:r>
        <w:rPr>
          <w:color w:val="231F20"/>
          <w:spacing w:val="-4"/>
        </w:rPr>
        <w:t> </w:t>
      </w:r>
      <w:r>
        <w:rPr>
          <w:color w:val="231F20"/>
        </w:rPr>
        <w:t>Работа с педагогическим коллекти- вом,</w:t>
      </w:r>
      <w:r>
        <w:rPr>
          <w:color w:val="231F20"/>
          <w:spacing w:val="-11"/>
        </w:rPr>
        <w:t> </w:t>
      </w:r>
      <w:r>
        <w:rPr>
          <w:color w:val="231F20"/>
        </w:rPr>
        <w:t>в</w:t>
      </w:r>
      <w:r>
        <w:rPr>
          <w:color w:val="231F20"/>
          <w:spacing w:val="-11"/>
        </w:rPr>
        <w:t> </w:t>
      </w:r>
      <w:r>
        <w:rPr>
          <w:color w:val="231F20"/>
        </w:rPr>
        <w:t>разделе</w:t>
      </w:r>
      <w:r>
        <w:rPr>
          <w:color w:val="231F20"/>
          <w:spacing w:val="-12"/>
        </w:rPr>
        <w:t> </w:t>
      </w:r>
      <w:r>
        <w:rPr>
          <w:color w:val="231F20"/>
        </w:rPr>
        <w:t>3.</w:t>
      </w:r>
      <w:r>
        <w:rPr>
          <w:color w:val="231F20"/>
          <w:spacing w:val="-11"/>
        </w:rPr>
        <w:t> </w:t>
      </w:r>
      <w:r>
        <w:rPr>
          <w:color w:val="231F20"/>
        </w:rPr>
        <w:t>Работа</w:t>
      </w:r>
      <w:r>
        <w:rPr>
          <w:color w:val="231F20"/>
          <w:spacing w:val="-11"/>
        </w:rPr>
        <w:t> </w:t>
      </w:r>
      <w:r>
        <w:rPr>
          <w:color w:val="231F20"/>
        </w:rPr>
        <w:t>педагога-психолога</w:t>
      </w:r>
      <w:r>
        <w:rPr>
          <w:color w:val="231F20"/>
          <w:spacing w:val="-11"/>
        </w:rPr>
        <w:t> </w:t>
      </w:r>
      <w:r>
        <w:rPr>
          <w:color w:val="231F20"/>
        </w:rPr>
        <w:t>с</w:t>
      </w:r>
      <w:r>
        <w:rPr>
          <w:color w:val="231F20"/>
          <w:spacing w:val="-11"/>
        </w:rPr>
        <w:t> </w:t>
      </w:r>
      <w:r>
        <w:rPr>
          <w:color w:val="231F20"/>
        </w:rPr>
        <w:t>родителями</w:t>
      </w:r>
      <w:r>
        <w:rPr>
          <w:color w:val="231F20"/>
          <w:spacing w:val="-12"/>
        </w:rPr>
        <w:t> </w:t>
      </w:r>
      <w:r>
        <w:rPr>
          <w:color w:val="231F20"/>
        </w:rPr>
        <w:t>–</w:t>
      </w:r>
      <w:r>
        <w:rPr>
          <w:color w:val="231F20"/>
          <w:spacing w:val="-11"/>
        </w:rPr>
        <w:t> </w:t>
      </w:r>
      <w:r>
        <w:rPr>
          <w:color w:val="231F20"/>
        </w:rPr>
        <w:t>иностранными</w:t>
      </w:r>
      <w:r>
        <w:rPr>
          <w:color w:val="231F20"/>
          <w:spacing w:val="-11"/>
        </w:rPr>
        <w:t> </w:t>
      </w:r>
      <w:r>
        <w:rPr>
          <w:color w:val="231F20"/>
        </w:rPr>
        <w:t>граждана- ми (Стратегии работы с родительским сообществом).</w:t>
      </w:r>
    </w:p>
    <w:p>
      <w:pPr>
        <w:pStyle w:val="BodyText"/>
        <w:spacing w:after="0" w:line="242" w:lineRule="auto"/>
        <w:sectPr>
          <w:pgSz w:w="8400" w:h="11910"/>
          <w:pgMar w:header="0" w:footer="531"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Введение</w:t>
      </w:r>
    </w:p>
    <w:p>
      <w:pPr>
        <w:pStyle w:val="BodyText"/>
        <w:spacing w:before="112"/>
        <w:ind w:left="425" w:right="0" w:firstLine="0"/>
        <w:jc w:val="left"/>
      </w:pPr>
      <w:r>
        <w:rPr>
          <w:color w:val="231F20"/>
        </w:rPr>
        <w:t>Работа</w:t>
      </w:r>
      <w:r>
        <w:rPr>
          <w:color w:val="231F20"/>
          <w:spacing w:val="-2"/>
        </w:rPr>
        <w:t> </w:t>
      </w:r>
      <w:r>
        <w:rPr>
          <w:color w:val="231F20"/>
        </w:rPr>
        <w:t>строится</w:t>
      </w:r>
      <w:r>
        <w:rPr>
          <w:color w:val="231F20"/>
          <w:spacing w:val="-2"/>
        </w:rPr>
        <w:t> </w:t>
      </w:r>
      <w:r>
        <w:rPr>
          <w:color w:val="231F20"/>
        </w:rPr>
        <w:t>по</w:t>
      </w:r>
      <w:r>
        <w:rPr>
          <w:color w:val="231F20"/>
          <w:spacing w:val="-2"/>
        </w:rPr>
        <w:t> </w:t>
      </w:r>
      <w:r>
        <w:rPr>
          <w:color w:val="231F20"/>
        </w:rPr>
        <w:t>двум</w:t>
      </w:r>
      <w:r>
        <w:rPr>
          <w:color w:val="231F20"/>
          <w:spacing w:val="-2"/>
        </w:rPr>
        <w:t> уровням.</w:t>
      </w:r>
    </w:p>
    <w:p>
      <w:pPr>
        <w:pStyle w:val="ListParagraph"/>
        <w:numPr>
          <w:ilvl w:val="1"/>
          <w:numId w:val="40"/>
        </w:numPr>
        <w:tabs>
          <w:tab w:pos="588" w:val="left" w:leader="none"/>
        </w:tabs>
        <w:spacing w:line="235" w:lineRule="auto" w:before="0" w:after="0"/>
        <w:ind w:left="141" w:right="139" w:firstLine="283"/>
        <w:jc w:val="both"/>
        <w:rPr>
          <w:sz w:val="20"/>
        </w:rPr>
      </w:pPr>
      <w:r>
        <w:rPr>
          <w:b/>
          <w:color w:val="231F20"/>
          <w:sz w:val="20"/>
        </w:rPr>
        <w:t>й уровень – общешкольный. </w:t>
      </w:r>
      <w:r>
        <w:rPr>
          <w:color w:val="231F20"/>
          <w:sz w:val="20"/>
        </w:rPr>
        <w:t>Уровень мероприятий, нацеленных на работу с образовательной средой в целом. Для его осуществления можно использовать сле- дующие</w:t>
      </w:r>
      <w:r>
        <w:rPr>
          <w:color w:val="231F20"/>
          <w:spacing w:val="-1"/>
          <w:sz w:val="20"/>
        </w:rPr>
        <w:t> </w:t>
      </w:r>
      <w:r>
        <w:rPr>
          <w:color w:val="231F20"/>
          <w:sz w:val="20"/>
        </w:rPr>
        <w:t>практики</w:t>
      </w:r>
      <w:r>
        <w:rPr>
          <w:color w:val="231F20"/>
          <w:spacing w:val="-1"/>
          <w:sz w:val="20"/>
        </w:rPr>
        <w:t> </w:t>
      </w:r>
      <w:r>
        <w:rPr>
          <w:color w:val="231F20"/>
          <w:sz w:val="20"/>
        </w:rPr>
        <w:t>и</w:t>
      </w:r>
      <w:r>
        <w:rPr>
          <w:color w:val="231F20"/>
          <w:spacing w:val="-1"/>
          <w:sz w:val="20"/>
        </w:rPr>
        <w:t> </w:t>
      </w:r>
      <w:r>
        <w:rPr>
          <w:color w:val="231F20"/>
          <w:sz w:val="20"/>
        </w:rPr>
        <w:t>инструменты,</w:t>
      </w:r>
      <w:r>
        <w:rPr>
          <w:color w:val="231F20"/>
          <w:spacing w:val="-1"/>
          <w:sz w:val="20"/>
        </w:rPr>
        <w:t> </w:t>
      </w:r>
      <w:r>
        <w:rPr>
          <w:color w:val="231F20"/>
          <w:sz w:val="20"/>
        </w:rPr>
        <w:t>описанные</w:t>
      </w:r>
      <w:r>
        <w:rPr>
          <w:color w:val="231F20"/>
          <w:spacing w:val="-1"/>
          <w:sz w:val="20"/>
        </w:rPr>
        <w:t> </w:t>
      </w:r>
      <w:r>
        <w:rPr>
          <w:color w:val="231F20"/>
          <w:sz w:val="20"/>
        </w:rPr>
        <w:t>в</w:t>
      </w:r>
      <w:r>
        <w:rPr>
          <w:color w:val="231F20"/>
          <w:spacing w:val="-1"/>
          <w:sz w:val="20"/>
        </w:rPr>
        <w:t> </w:t>
      </w:r>
      <w:r>
        <w:rPr>
          <w:color w:val="231F20"/>
          <w:sz w:val="20"/>
        </w:rPr>
        <w:t>Методических</w:t>
      </w:r>
      <w:r>
        <w:rPr>
          <w:color w:val="231F20"/>
          <w:spacing w:val="-1"/>
          <w:sz w:val="20"/>
        </w:rPr>
        <w:t> </w:t>
      </w:r>
      <w:r>
        <w:rPr>
          <w:color w:val="231F20"/>
          <w:sz w:val="20"/>
        </w:rPr>
        <w:t>рекомендациях</w:t>
      </w:r>
      <w:r>
        <w:rPr>
          <w:color w:val="231F20"/>
          <w:spacing w:val="-1"/>
          <w:sz w:val="20"/>
        </w:rPr>
        <w:t> </w:t>
      </w:r>
      <w:r>
        <w:rPr>
          <w:color w:val="231F20"/>
          <w:sz w:val="20"/>
        </w:rPr>
        <w:t>и/или </w:t>
      </w:r>
      <w:r>
        <w:rPr>
          <w:color w:val="231F20"/>
          <w:spacing w:val="-2"/>
          <w:sz w:val="20"/>
        </w:rPr>
        <w:t>Инструментарии:</w:t>
      </w:r>
    </w:p>
    <w:p>
      <w:pPr>
        <w:pStyle w:val="ListParagraph"/>
        <w:numPr>
          <w:ilvl w:val="0"/>
          <w:numId w:val="41"/>
        </w:numPr>
        <w:tabs>
          <w:tab w:pos="423" w:val="left" w:leader="none"/>
          <w:tab w:pos="425" w:val="left" w:leader="none"/>
        </w:tabs>
        <w:spacing w:line="235" w:lineRule="auto" w:before="2" w:after="0"/>
        <w:ind w:left="425" w:right="139" w:hanging="284"/>
        <w:jc w:val="both"/>
        <w:rPr>
          <w:color w:val="231F20"/>
          <w:sz w:val="20"/>
        </w:rPr>
      </w:pPr>
      <w:r>
        <w:rPr>
          <w:color w:val="231F20"/>
          <w:sz w:val="20"/>
        </w:rPr>
        <w:t>Организация системы повышения квалификации педагогического коллектива по теме формирования межкультурной компетентности педагогов.</w:t>
      </w:r>
    </w:p>
    <w:p>
      <w:pPr>
        <w:pStyle w:val="ListParagraph"/>
        <w:numPr>
          <w:ilvl w:val="0"/>
          <w:numId w:val="41"/>
        </w:numPr>
        <w:tabs>
          <w:tab w:pos="423" w:val="left" w:leader="none"/>
          <w:tab w:pos="425" w:val="left" w:leader="none"/>
        </w:tabs>
        <w:spacing w:line="235" w:lineRule="auto" w:before="1" w:after="0"/>
        <w:ind w:left="425" w:right="140" w:hanging="284"/>
        <w:jc w:val="both"/>
        <w:rPr>
          <w:color w:val="231F20"/>
          <w:sz w:val="20"/>
        </w:rPr>
      </w:pPr>
      <w:r>
        <w:rPr>
          <w:color w:val="231F20"/>
          <w:sz w:val="20"/>
        </w:rPr>
        <w:t>Организация системы методической поддержки деятельности педагогического коллектива по обучению социальной, языковой и культурной адаптации детей – иностранных граждан.</w:t>
      </w:r>
    </w:p>
    <w:p>
      <w:pPr>
        <w:pStyle w:val="ListParagraph"/>
        <w:numPr>
          <w:ilvl w:val="0"/>
          <w:numId w:val="41"/>
        </w:numPr>
        <w:tabs>
          <w:tab w:pos="423" w:val="left" w:leader="none"/>
          <w:tab w:pos="425" w:val="left" w:leader="none"/>
        </w:tabs>
        <w:spacing w:line="235" w:lineRule="auto" w:before="2" w:after="0"/>
        <w:ind w:left="425" w:right="139" w:hanging="284"/>
        <w:jc w:val="both"/>
        <w:rPr>
          <w:color w:val="231F20"/>
          <w:sz w:val="20"/>
        </w:rPr>
      </w:pPr>
      <w:r>
        <w:rPr>
          <w:color w:val="231F20"/>
          <w:sz w:val="20"/>
        </w:rPr>
        <w:t>Создание</w:t>
      </w:r>
      <w:r>
        <w:rPr>
          <w:color w:val="231F20"/>
          <w:spacing w:val="-7"/>
          <w:sz w:val="20"/>
        </w:rPr>
        <w:t> </w:t>
      </w:r>
      <w:r>
        <w:rPr>
          <w:color w:val="231F20"/>
          <w:sz w:val="20"/>
        </w:rPr>
        <w:t>системы</w:t>
      </w:r>
      <w:r>
        <w:rPr>
          <w:color w:val="231F20"/>
          <w:spacing w:val="-7"/>
          <w:sz w:val="20"/>
        </w:rPr>
        <w:t> </w:t>
      </w:r>
      <w:r>
        <w:rPr>
          <w:color w:val="231F20"/>
          <w:sz w:val="20"/>
        </w:rPr>
        <w:t>поддержки</w:t>
      </w:r>
      <w:r>
        <w:rPr>
          <w:color w:val="231F20"/>
          <w:spacing w:val="-7"/>
          <w:sz w:val="20"/>
        </w:rPr>
        <w:t> </w:t>
      </w:r>
      <w:r>
        <w:rPr>
          <w:color w:val="231F20"/>
          <w:sz w:val="20"/>
        </w:rPr>
        <w:t>для</w:t>
      </w:r>
      <w:r>
        <w:rPr>
          <w:color w:val="231F20"/>
          <w:spacing w:val="-7"/>
          <w:sz w:val="20"/>
        </w:rPr>
        <w:t> </w:t>
      </w:r>
      <w:r>
        <w:rPr>
          <w:color w:val="231F20"/>
          <w:sz w:val="20"/>
        </w:rPr>
        <w:t>родителей</w:t>
      </w:r>
      <w:r>
        <w:rPr>
          <w:color w:val="231F20"/>
          <w:spacing w:val="-7"/>
          <w:sz w:val="20"/>
        </w:rPr>
        <w:t> </w:t>
      </w:r>
      <w:r>
        <w:rPr>
          <w:color w:val="231F20"/>
          <w:sz w:val="20"/>
        </w:rPr>
        <w:t>с</w:t>
      </w:r>
      <w:r>
        <w:rPr>
          <w:color w:val="231F20"/>
          <w:spacing w:val="-7"/>
          <w:sz w:val="20"/>
        </w:rPr>
        <w:t> </w:t>
      </w:r>
      <w:r>
        <w:rPr>
          <w:color w:val="231F20"/>
          <w:sz w:val="20"/>
        </w:rPr>
        <w:t>низким</w:t>
      </w:r>
      <w:r>
        <w:rPr>
          <w:color w:val="231F20"/>
          <w:spacing w:val="-7"/>
          <w:sz w:val="20"/>
        </w:rPr>
        <w:t> </w:t>
      </w:r>
      <w:r>
        <w:rPr>
          <w:color w:val="231F20"/>
          <w:sz w:val="20"/>
        </w:rPr>
        <w:t>уровнем</w:t>
      </w:r>
      <w:r>
        <w:rPr>
          <w:color w:val="231F20"/>
          <w:spacing w:val="-7"/>
          <w:sz w:val="20"/>
        </w:rPr>
        <w:t> </w:t>
      </w:r>
      <w:r>
        <w:rPr>
          <w:color w:val="231F20"/>
          <w:sz w:val="20"/>
        </w:rPr>
        <w:t>владения</w:t>
      </w:r>
      <w:r>
        <w:rPr>
          <w:color w:val="231F20"/>
          <w:spacing w:val="-7"/>
          <w:sz w:val="20"/>
        </w:rPr>
        <w:t> </w:t>
      </w:r>
      <w:r>
        <w:rPr>
          <w:color w:val="231F20"/>
          <w:sz w:val="20"/>
        </w:rPr>
        <w:t>русским </w:t>
      </w:r>
      <w:r>
        <w:rPr>
          <w:color w:val="231F20"/>
          <w:spacing w:val="-2"/>
          <w:sz w:val="20"/>
        </w:rPr>
        <w:t>языком.</w:t>
      </w:r>
    </w:p>
    <w:p>
      <w:pPr>
        <w:pStyle w:val="ListParagraph"/>
        <w:numPr>
          <w:ilvl w:val="0"/>
          <w:numId w:val="41"/>
        </w:numPr>
        <w:tabs>
          <w:tab w:pos="423" w:val="left" w:leader="none"/>
          <w:tab w:pos="425" w:val="left" w:leader="none"/>
        </w:tabs>
        <w:spacing w:line="240" w:lineRule="auto" w:before="0" w:after="0"/>
        <w:ind w:left="425" w:right="139" w:hanging="284"/>
        <w:jc w:val="both"/>
        <w:rPr>
          <w:color w:val="231F20"/>
          <w:sz w:val="20"/>
        </w:rPr>
      </w:pPr>
      <w:r>
        <w:rPr>
          <w:color w:val="231F20"/>
          <w:sz w:val="20"/>
        </w:rPr>
        <w:t>Привлечение</w:t>
      </w:r>
      <w:r>
        <w:rPr>
          <w:color w:val="231F20"/>
          <w:spacing w:val="-11"/>
          <w:sz w:val="20"/>
        </w:rPr>
        <w:t> </w:t>
      </w:r>
      <w:r>
        <w:rPr>
          <w:color w:val="231F20"/>
          <w:sz w:val="20"/>
        </w:rPr>
        <w:t>родителей-мигрантов</w:t>
      </w:r>
      <w:r>
        <w:rPr>
          <w:color w:val="231F20"/>
          <w:spacing w:val="-11"/>
          <w:sz w:val="20"/>
        </w:rPr>
        <w:t> </w:t>
      </w:r>
      <w:r>
        <w:rPr>
          <w:color w:val="231F20"/>
          <w:sz w:val="20"/>
        </w:rPr>
        <w:t>к</w:t>
      </w:r>
      <w:r>
        <w:rPr>
          <w:color w:val="231F20"/>
          <w:spacing w:val="-11"/>
          <w:sz w:val="20"/>
        </w:rPr>
        <w:t> </w:t>
      </w:r>
      <w:r>
        <w:rPr>
          <w:color w:val="231F20"/>
          <w:sz w:val="20"/>
        </w:rPr>
        <w:t>подготовке</w:t>
      </w:r>
      <w:r>
        <w:rPr>
          <w:color w:val="231F20"/>
          <w:spacing w:val="-11"/>
          <w:sz w:val="20"/>
        </w:rPr>
        <w:t> </w:t>
      </w:r>
      <w:r>
        <w:rPr>
          <w:color w:val="231F20"/>
          <w:sz w:val="20"/>
        </w:rPr>
        <w:t>общешкольных</w:t>
      </w:r>
      <w:r>
        <w:rPr>
          <w:color w:val="231F20"/>
          <w:spacing w:val="-11"/>
          <w:sz w:val="20"/>
        </w:rPr>
        <w:t> </w:t>
      </w:r>
      <w:r>
        <w:rPr>
          <w:color w:val="231F20"/>
          <w:sz w:val="20"/>
        </w:rPr>
        <w:t>мероприятий</w:t>
      </w:r>
      <w:r>
        <w:rPr>
          <w:color w:val="231F20"/>
          <w:spacing w:val="-11"/>
          <w:sz w:val="20"/>
        </w:rPr>
        <w:t> </w:t>
      </w:r>
      <w:r>
        <w:rPr>
          <w:color w:val="231F20"/>
          <w:sz w:val="20"/>
        </w:rPr>
        <w:t>эт- нокультурной тематики.</w:t>
      </w:r>
    </w:p>
    <w:p>
      <w:pPr>
        <w:pStyle w:val="ListParagraph"/>
        <w:numPr>
          <w:ilvl w:val="0"/>
          <w:numId w:val="41"/>
        </w:numPr>
        <w:tabs>
          <w:tab w:pos="425" w:val="left" w:leader="none"/>
        </w:tabs>
        <w:spacing w:line="240" w:lineRule="auto" w:before="0" w:after="0"/>
        <w:ind w:left="425" w:right="140" w:hanging="284"/>
        <w:jc w:val="left"/>
        <w:rPr>
          <w:color w:val="231F20"/>
          <w:sz w:val="20"/>
        </w:rPr>
      </w:pPr>
      <w:r>
        <w:rPr>
          <w:color w:val="231F20"/>
          <w:sz w:val="20"/>
        </w:rPr>
        <w:t>Создание</w:t>
      </w:r>
      <w:r>
        <w:rPr>
          <w:color w:val="231F20"/>
          <w:spacing w:val="80"/>
          <w:sz w:val="20"/>
        </w:rPr>
        <w:t> </w:t>
      </w:r>
      <w:r>
        <w:rPr>
          <w:color w:val="231F20"/>
          <w:sz w:val="20"/>
        </w:rPr>
        <w:t>внутришкольного</w:t>
      </w:r>
      <w:r>
        <w:rPr>
          <w:color w:val="231F20"/>
          <w:spacing w:val="80"/>
          <w:sz w:val="20"/>
        </w:rPr>
        <w:t> </w:t>
      </w:r>
      <w:r>
        <w:rPr>
          <w:color w:val="231F20"/>
          <w:sz w:val="20"/>
        </w:rPr>
        <w:t>актива</w:t>
      </w:r>
      <w:r>
        <w:rPr>
          <w:color w:val="231F20"/>
          <w:spacing w:val="80"/>
          <w:sz w:val="20"/>
        </w:rPr>
        <w:t> </w:t>
      </w:r>
      <w:r>
        <w:rPr>
          <w:color w:val="231F20"/>
          <w:sz w:val="20"/>
        </w:rPr>
        <w:t>из</w:t>
      </w:r>
      <w:r>
        <w:rPr>
          <w:color w:val="231F20"/>
          <w:spacing w:val="80"/>
          <w:sz w:val="20"/>
        </w:rPr>
        <w:t> </w:t>
      </w:r>
      <w:r>
        <w:rPr>
          <w:color w:val="231F20"/>
          <w:sz w:val="20"/>
        </w:rPr>
        <w:t>хорошо</w:t>
      </w:r>
      <w:r>
        <w:rPr>
          <w:color w:val="231F20"/>
          <w:spacing w:val="80"/>
          <w:sz w:val="20"/>
        </w:rPr>
        <w:t> </w:t>
      </w:r>
      <w:r>
        <w:rPr>
          <w:color w:val="231F20"/>
          <w:sz w:val="20"/>
        </w:rPr>
        <w:t>адаптированных</w:t>
      </w:r>
      <w:r>
        <w:rPr>
          <w:color w:val="231F20"/>
          <w:spacing w:val="80"/>
          <w:sz w:val="20"/>
        </w:rPr>
        <w:t> </w:t>
      </w:r>
      <w:r>
        <w:rPr>
          <w:color w:val="231F20"/>
          <w:sz w:val="20"/>
        </w:rPr>
        <w:t>родителей- </w:t>
      </w:r>
      <w:r>
        <w:rPr>
          <w:color w:val="231F20"/>
          <w:spacing w:val="-2"/>
          <w:sz w:val="20"/>
        </w:rPr>
        <w:t>мигрантов.</w:t>
      </w:r>
    </w:p>
    <w:p>
      <w:pPr>
        <w:pStyle w:val="ListParagraph"/>
        <w:numPr>
          <w:ilvl w:val="0"/>
          <w:numId w:val="41"/>
        </w:numPr>
        <w:tabs>
          <w:tab w:pos="425" w:val="left" w:leader="none"/>
        </w:tabs>
        <w:spacing w:line="240" w:lineRule="auto" w:before="0" w:after="0"/>
        <w:ind w:left="425" w:right="139" w:hanging="284"/>
        <w:jc w:val="left"/>
        <w:rPr>
          <w:color w:val="231F20"/>
          <w:sz w:val="20"/>
        </w:rPr>
      </w:pPr>
      <w:r>
        <w:rPr>
          <w:color w:val="231F20"/>
          <w:sz w:val="20"/>
        </w:rPr>
        <w:t>Организация</w:t>
      </w:r>
      <w:r>
        <w:rPr>
          <w:color w:val="231F20"/>
          <w:spacing w:val="-1"/>
          <w:sz w:val="20"/>
        </w:rPr>
        <w:t> </w:t>
      </w:r>
      <w:r>
        <w:rPr>
          <w:color w:val="231F20"/>
          <w:sz w:val="20"/>
        </w:rPr>
        <w:t>внутришкольного</w:t>
      </w:r>
      <w:r>
        <w:rPr>
          <w:color w:val="231F20"/>
          <w:spacing w:val="-1"/>
          <w:sz w:val="20"/>
        </w:rPr>
        <w:t> </w:t>
      </w:r>
      <w:r>
        <w:rPr>
          <w:color w:val="231F20"/>
          <w:sz w:val="20"/>
        </w:rPr>
        <w:t>наставничества</w:t>
      </w:r>
      <w:r>
        <w:rPr>
          <w:color w:val="231F20"/>
          <w:spacing w:val="-1"/>
          <w:sz w:val="20"/>
        </w:rPr>
        <w:t> </w:t>
      </w:r>
      <w:r>
        <w:rPr>
          <w:color w:val="231F20"/>
          <w:sz w:val="20"/>
        </w:rPr>
        <w:t>по</w:t>
      </w:r>
      <w:r>
        <w:rPr>
          <w:color w:val="231F20"/>
          <w:spacing w:val="-1"/>
          <w:sz w:val="20"/>
        </w:rPr>
        <w:t> </w:t>
      </w:r>
      <w:r>
        <w:rPr>
          <w:color w:val="231F20"/>
          <w:sz w:val="20"/>
        </w:rPr>
        <w:t>отношению</w:t>
      </w:r>
      <w:r>
        <w:rPr>
          <w:color w:val="231F20"/>
          <w:spacing w:val="-1"/>
          <w:sz w:val="20"/>
        </w:rPr>
        <w:t> </w:t>
      </w:r>
      <w:r>
        <w:rPr>
          <w:color w:val="231F20"/>
          <w:sz w:val="20"/>
        </w:rPr>
        <w:t>к</w:t>
      </w:r>
      <w:r>
        <w:rPr>
          <w:color w:val="231F20"/>
          <w:spacing w:val="-1"/>
          <w:sz w:val="20"/>
        </w:rPr>
        <w:t> </w:t>
      </w:r>
      <w:r>
        <w:rPr>
          <w:color w:val="231F20"/>
          <w:sz w:val="20"/>
        </w:rPr>
        <w:t>детям</w:t>
      </w:r>
      <w:r>
        <w:rPr>
          <w:color w:val="231F20"/>
          <w:spacing w:val="-1"/>
          <w:sz w:val="20"/>
        </w:rPr>
        <w:t> </w:t>
      </w:r>
      <w:r>
        <w:rPr>
          <w:color w:val="231F20"/>
          <w:sz w:val="20"/>
        </w:rPr>
        <w:t>иностран- ных граждан.</w:t>
      </w:r>
    </w:p>
    <w:p>
      <w:pPr>
        <w:pStyle w:val="ListParagraph"/>
        <w:numPr>
          <w:ilvl w:val="0"/>
          <w:numId w:val="41"/>
        </w:numPr>
        <w:tabs>
          <w:tab w:pos="425" w:val="left" w:leader="none"/>
        </w:tabs>
        <w:spacing w:line="240" w:lineRule="auto" w:before="0" w:after="0"/>
        <w:ind w:left="425" w:right="139" w:hanging="284"/>
        <w:jc w:val="left"/>
        <w:rPr>
          <w:color w:val="231F20"/>
          <w:sz w:val="20"/>
        </w:rPr>
      </w:pPr>
      <w:r>
        <w:rPr>
          <w:color w:val="231F20"/>
          <w:sz w:val="20"/>
        </w:rPr>
        <w:t>Проведение</w:t>
      </w:r>
      <w:r>
        <w:rPr>
          <w:color w:val="231F20"/>
          <w:spacing w:val="15"/>
          <w:sz w:val="20"/>
        </w:rPr>
        <w:t> </w:t>
      </w:r>
      <w:r>
        <w:rPr>
          <w:color w:val="231F20"/>
          <w:sz w:val="20"/>
        </w:rPr>
        <w:t>фестивалей</w:t>
      </w:r>
      <w:r>
        <w:rPr>
          <w:color w:val="231F20"/>
          <w:spacing w:val="15"/>
          <w:sz w:val="20"/>
        </w:rPr>
        <w:t> </w:t>
      </w:r>
      <w:r>
        <w:rPr>
          <w:color w:val="231F20"/>
          <w:sz w:val="20"/>
        </w:rPr>
        <w:t>национальных</w:t>
      </w:r>
      <w:r>
        <w:rPr>
          <w:color w:val="231F20"/>
          <w:spacing w:val="15"/>
          <w:sz w:val="20"/>
        </w:rPr>
        <w:t> </w:t>
      </w:r>
      <w:r>
        <w:rPr>
          <w:color w:val="231F20"/>
          <w:sz w:val="20"/>
        </w:rPr>
        <w:t>культур</w:t>
      </w:r>
      <w:r>
        <w:rPr>
          <w:color w:val="231F20"/>
          <w:spacing w:val="15"/>
          <w:sz w:val="20"/>
        </w:rPr>
        <w:t> </w:t>
      </w:r>
      <w:r>
        <w:rPr>
          <w:color w:val="231F20"/>
          <w:sz w:val="20"/>
        </w:rPr>
        <w:t>с</w:t>
      </w:r>
      <w:r>
        <w:rPr>
          <w:color w:val="231F20"/>
          <w:spacing w:val="15"/>
          <w:sz w:val="20"/>
        </w:rPr>
        <w:t> </w:t>
      </w:r>
      <w:r>
        <w:rPr>
          <w:color w:val="231F20"/>
          <w:sz w:val="20"/>
        </w:rPr>
        <w:t>привлечением</w:t>
      </w:r>
      <w:r>
        <w:rPr>
          <w:color w:val="231F20"/>
          <w:spacing w:val="15"/>
          <w:sz w:val="20"/>
        </w:rPr>
        <w:t> </w:t>
      </w:r>
      <w:r>
        <w:rPr>
          <w:color w:val="231F20"/>
          <w:sz w:val="20"/>
        </w:rPr>
        <w:t>инокультурных </w:t>
      </w:r>
      <w:r>
        <w:rPr>
          <w:color w:val="231F20"/>
          <w:spacing w:val="-2"/>
          <w:sz w:val="20"/>
        </w:rPr>
        <w:t>родителей.</w:t>
      </w:r>
    </w:p>
    <w:p>
      <w:pPr>
        <w:pStyle w:val="ListParagraph"/>
        <w:numPr>
          <w:ilvl w:val="0"/>
          <w:numId w:val="41"/>
        </w:numPr>
        <w:tabs>
          <w:tab w:pos="425" w:val="left" w:leader="none"/>
        </w:tabs>
        <w:spacing w:line="240" w:lineRule="auto" w:before="0" w:after="0"/>
        <w:ind w:left="425" w:right="139" w:hanging="284"/>
        <w:jc w:val="left"/>
        <w:rPr>
          <w:color w:val="231F20"/>
          <w:sz w:val="20"/>
        </w:rPr>
      </w:pPr>
      <w:r>
        <w:rPr>
          <w:color w:val="231F20"/>
          <w:sz w:val="20"/>
        </w:rPr>
        <w:t>Организация</w:t>
      </w:r>
      <w:r>
        <w:rPr>
          <w:color w:val="231F20"/>
          <w:spacing w:val="29"/>
          <w:sz w:val="20"/>
        </w:rPr>
        <w:t> </w:t>
      </w:r>
      <w:r>
        <w:rPr>
          <w:color w:val="231F20"/>
          <w:sz w:val="20"/>
        </w:rPr>
        <w:t>деятельности</w:t>
      </w:r>
      <w:r>
        <w:rPr>
          <w:color w:val="231F20"/>
          <w:spacing w:val="29"/>
          <w:sz w:val="20"/>
        </w:rPr>
        <w:t> </w:t>
      </w:r>
      <w:r>
        <w:rPr>
          <w:color w:val="231F20"/>
          <w:sz w:val="20"/>
        </w:rPr>
        <w:t>школьной</w:t>
      </w:r>
      <w:r>
        <w:rPr>
          <w:color w:val="231F20"/>
          <w:spacing w:val="29"/>
          <w:sz w:val="20"/>
        </w:rPr>
        <w:t> </w:t>
      </w:r>
      <w:r>
        <w:rPr>
          <w:color w:val="231F20"/>
          <w:sz w:val="20"/>
        </w:rPr>
        <w:t>службы</w:t>
      </w:r>
      <w:r>
        <w:rPr>
          <w:color w:val="231F20"/>
          <w:spacing w:val="29"/>
          <w:sz w:val="20"/>
        </w:rPr>
        <w:t> </w:t>
      </w:r>
      <w:r>
        <w:rPr>
          <w:color w:val="231F20"/>
          <w:sz w:val="20"/>
        </w:rPr>
        <w:t>примирения</w:t>
      </w:r>
      <w:r>
        <w:rPr>
          <w:color w:val="231F20"/>
          <w:spacing w:val="29"/>
          <w:sz w:val="20"/>
        </w:rPr>
        <w:t> </w:t>
      </w:r>
      <w:r>
        <w:rPr>
          <w:color w:val="231F20"/>
          <w:sz w:val="20"/>
        </w:rPr>
        <w:t>как</w:t>
      </w:r>
      <w:r>
        <w:rPr>
          <w:color w:val="231F20"/>
          <w:spacing w:val="29"/>
          <w:sz w:val="20"/>
        </w:rPr>
        <w:t> </w:t>
      </w:r>
      <w:r>
        <w:rPr>
          <w:color w:val="231F20"/>
          <w:sz w:val="20"/>
        </w:rPr>
        <w:t>средства</w:t>
      </w:r>
      <w:r>
        <w:rPr>
          <w:color w:val="231F20"/>
          <w:spacing w:val="29"/>
          <w:sz w:val="20"/>
        </w:rPr>
        <w:t> </w:t>
      </w:r>
      <w:r>
        <w:rPr>
          <w:color w:val="231F20"/>
          <w:sz w:val="20"/>
        </w:rPr>
        <w:t>предо- твращения и разрешения межкультурных конфликтов.</w:t>
      </w:r>
    </w:p>
    <w:p>
      <w:pPr>
        <w:pStyle w:val="ListParagraph"/>
        <w:numPr>
          <w:ilvl w:val="1"/>
          <w:numId w:val="40"/>
        </w:numPr>
        <w:tabs>
          <w:tab w:pos="588" w:val="left" w:leader="none"/>
        </w:tabs>
        <w:spacing w:line="240" w:lineRule="auto" w:before="55" w:after="0"/>
        <w:ind w:left="141" w:right="139" w:firstLine="283"/>
        <w:jc w:val="both"/>
        <w:rPr>
          <w:sz w:val="20"/>
        </w:rPr>
      </w:pPr>
      <w:r>
        <w:rPr>
          <w:b/>
          <w:color w:val="231F20"/>
          <w:sz w:val="20"/>
        </w:rPr>
        <w:t>й уровень – школьный класс. </w:t>
      </w:r>
      <w:r>
        <w:rPr>
          <w:color w:val="231F20"/>
          <w:sz w:val="20"/>
        </w:rPr>
        <w:t>Применяется в классах (группах), где при- сутствует как минимум один несовершеннолетний иностранный гражданин, слабо владеющий русским языком и/или, по данным психолого-педагогической оценки особых образовательных потребностей детей – иностранных граждан в сферах пси- хологического</w:t>
      </w:r>
      <w:r>
        <w:rPr>
          <w:color w:val="231F20"/>
          <w:spacing w:val="-13"/>
          <w:sz w:val="20"/>
        </w:rPr>
        <w:t> </w:t>
      </w:r>
      <w:r>
        <w:rPr>
          <w:color w:val="231F20"/>
          <w:sz w:val="20"/>
        </w:rPr>
        <w:t>благополучия,</w:t>
      </w:r>
      <w:r>
        <w:rPr>
          <w:color w:val="231F20"/>
          <w:spacing w:val="-12"/>
          <w:sz w:val="20"/>
        </w:rPr>
        <w:t> </w:t>
      </w:r>
      <w:r>
        <w:rPr>
          <w:color w:val="231F20"/>
          <w:sz w:val="20"/>
        </w:rPr>
        <w:t>социальных</w:t>
      </w:r>
      <w:r>
        <w:rPr>
          <w:color w:val="231F20"/>
          <w:spacing w:val="-13"/>
          <w:sz w:val="20"/>
        </w:rPr>
        <w:t> </w:t>
      </w:r>
      <w:r>
        <w:rPr>
          <w:color w:val="231F20"/>
          <w:sz w:val="20"/>
        </w:rPr>
        <w:t>навыков</w:t>
      </w:r>
      <w:r>
        <w:rPr>
          <w:color w:val="231F20"/>
          <w:spacing w:val="-12"/>
          <w:sz w:val="20"/>
        </w:rPr>
        <w:t> </w:t>
      </w:r>
      <w:r>
        <w:rPr>
          <w:color w:val="231F20"/>
          <w:sz w:val="20"/>
        </w:rPr>
        <w:t>и</w:t>
      </w:r>
      <w:r>
        <w:rPr>
          <w:color w:val="231F20"/>
          <w:spacing w:val="-13"/>
          <w:sz w:val="20"/>
        </w:rPr>
        <w:t> </w:t>
      </w:r>
      <w:r>
        <w:rPr>
          <w:color w:val="231F20"/>
          <w:sz w:val="20"/>
        </w:rPr>
        <w:t>культурной</w:t>
      </w:r>
      <w:r>
        <w:rPr>
          <w:color w:val="231F20"/>
          <w:spacing w:val="-12"/>
          <w:sz w:val="20"/>
        </w:rPr>
        <w:t> </w:t>
      </w:r>
      <w:r>
        <w:rPr>
          <w:color w:val="231F20"/>
          <w:sz w:val="20"/>
        </w:rPr>
        <w:t>адаптации,</w:t>
      </w:r>
      <w:r>
        <w:rPr>
          <w:color w:val="231F20"/>
          <w:spacing w:val="-13"/>
          <w:sz w:val="20"/>
        </w:rPr>
        <w:t> </w:t>
      </w:r>
      <w:r>
        <w:rPr>
          <w:color w:val="231F20"/>
          <w:sz w:val="20"/>
        </w:rPr>
        <w:t>относит- ся к дезадаптационному профилю. Если в классе (группе) нет таких детей, однако присутствуют дети, которые по результатам вышеуказанной диагностики относятся к смешанному профилю, рекомендуется рассмотреть использование отдельных со- ставляющих данного уровня.</w:t>
      </w:r>
    </w:p>
    <w:p>
      <w:pPr>
        <w:pStyle w:val="ListParagraph"/>
        <w:numPr>
          <w:ilvl w:val="0"/>
          <w:numId w:val="41"/>
        </w:numPr>
        <w:tabs>
          <w:tab w:pos="423" w:val="left" w:leader="none"/>
          <w:tab w:pos="425" w:val="left" w:leader="none"/>
        </w:tabs>
        <w:spacing w:line="235" w:lineRule="auto" w:before="0" w:after="0"/>
        <w:ind w:left="425" w:right="139" w:hanging="284"/>
        <w:jc w:val="both"/>
        <w:rPr>
          <w:color w:val="231F20"/>
          <w:sz w:val="20"/>
        </w:rPr>
      </w:pPr>
      <w:r>
        <w:rPr>
          <w:color w:val="231F20"/>
          <w:spacing w:val="-2"/>
          <w:sz w:val="20"/>
        </w:rPr>
        <w:t>Организация</w:t>
      </w:r>
      <w:r>
        <w:rPr>
          <w:color w:val="231F20"/>
          <w:spacing w:val="-5"/>
          <w:sz w:val="20"/>
        </w:rPr>
        <w:t> </w:t>
      </w:r>
      <w:r>
        <w:rPr>
          <w:color w:val="231F20"/>
          <w:spacing w:val="-2"/>
          <w:sz w:val="20"/>
        </w:rPr>
        <w:t>системы</w:t>
      </w:r>
      <w:r>
        <w:rPr>
          <w:color w:val="231F20"/>
          <w:spacing w:val="-5"/>
          <w:sz w:val="20"/>
        </w:rPr>
        <w:t> </w:t>
      </w:r>
      <w:r>
        <w:rPr>
          <w:color w:val="231F20"/>
          <w:spacing w:val="-2"/>
          <w:sz w:val="20"/>
        </w:rPr>
        <w:t>повышения</w:t>
      </w:r>
      <w:r>
        <w:rPr>
          <w:color w:val="231F20"/>
          <w:spacing w:val="-5"/>
          <w:sz w:val="20"/>
        </w:rPr>
        <w:t> </w:t>
      </w:r>
      <w:r>
        <w:rPr>
          <w:color w:val="231F20"/>
          <w:spacing w:val="-2"/>
          <w:sz w:val="20"/>
        </w:rPr>
        <w:t>квалификации</w:t>
      </w:r>
      <w:r>
        <w:rPr>
          <w:color w:val="231F20"/>
          <w:spacing w:val="-5"/>
          <w:sz w:val="20"/>
        </w:rPr>
        <w:t> </w:t>
      </w:r>
      <w:r>
        <w:rPr>
          <w:color w:val="231F20"/>
          <w:spacing w:val="-2"/>
          <w:sz w:val="20"/>
        </w:rPr>
        <w:t>педагогов,</w:t>
      </w:r>
      <w:r>
        <w:rPr>
          <w:color w:val="231F20"/>
          <w:spacing w:val="-5"/>
          <w:sz w:val="20"/>
        </w:rPr>
        <w:t> </w:t>
      </w:r>
      <w:r>
        <w:rPr>
          <w:color w:val="231F20"/>
          <w:spacing w:val="-2"/>
          <w:sz w:val="20"/>
        </w:rPr>
        <w:t>задействованных</w:t>
      </w:r>
      <w:r>
        <w:rPr>
          <w:color w:val="231F20"/>
          <w:spacing w:val="-5"/>
          <w:sz w:val="20"/>
        </w:rPr>
        <w:t> </w:t>
      </w:r>
      <w:r>
        <w:rPr>
          <w:color w:val="231F20"/>
          <w:spacing w:val="-2"/>
          <w:sz w:val="20"/>
        </w:rPr>
        <w:t>в</w:t>
      </w:r>
      <w:r>
        <w:rPr>
          <w:color w:val="231F20"/>
          <w:spacing w:val="-5"/>
          <w:sz w:val="20"/>
        </w:rPr>
        <w:t> </w:t>
      </w:r>
      <w:r>
        <w:rPr>
          <w:color w:val="231F20"/>
          <w:spacing w:val="-2"/>
          <w:sz w:val="20"/>
        </w:rPr>
        <w:t>об- </w:t>
      </w:r>
      <w:r>
        <w:rPr>
          <w:color w:val="231F20"/>
          <w:sz w:val="20"/>
        </w:rPr>
        <w:t>учении</w:t>
      </w:r>
      <w:r>
        <w:rPr>
          <w:color w:val="231F20"/>
          <w:spacing w:val="-13"/>
          <w:sz w:val="20"/>
        </w:rPr>
        <w:t> </w:t>
      </w:r>
      <w:r>
        <w:rPr>
          <w:color w:val="231F20"/>
          <w:sz w:val="20"/>
        </w:rPr>
        <w:t>класса,</w:t>
      </w:r>
      <w:r>
        <w:rPr>
          <w:color w:val="231F20"/>
          <w:spacing w:val="-12"/>
          <w:sz w:val="20"/>
        </w:rPr>
        <w:t> </w:t>
      </w:r>
      <w:r>
        <w:rPr>
          <w:color w:val="231F20"/>
          <w:sz w:val="20"/>
        </w:rPr>
        <w:t>по</w:t>
      </w:r>
      <w:r>
        <w:rPr>
          <w:color w:val="231F20"/>
          <w:spacing w:val="-13"/>
          <w:sz w:val="20"/>
        </w:rPr>
        <w:t> </w:t>
      </w:r>
      <w:r>
        <w:rPr>
          <w:color w:val="231F20"/>
          <w:sz w:val="20"/>
        </w:rPr>
        <w:t>теме</w:t>
      </w:r>
      <w:r>
        <w:rPr>
          <w:color w:val="231F20"/>
          <w:spacing w:val="-12"/>
          <w:sz w:val="20"/>
        </w:rPr>
        <w:t> </w:t>
      </w:r>
      <w:r>
        <w:rPr>
          <w:color w:val="231F20"/>
          <w:sz w:val="20"/>
        </w:rPr>
        <w:t>формирования</w:t>
      </w:r>
      <w:r>
        <w:rPr>
          <w:color w:val="231F20"/>
          <w:spacing w:val="-13"/>
          <w:sz w:val="20"/>
        </w:rPr>
        <w:t> </w:t>
      </w:r>
      <w:r>
        <w:rPr>
          <w:color w:val="231F20"/>
          <w:sz w:val="20"/>
        </w:rPr>
        <w:t>межкультурной</w:t>
      </w:r>
      <w:r>
        <w:rPr>
          <w:color w:val="231F20"/>
          <w:spacing w:val="-12"/>
          <w:sz w:val="20"/>
        </w:rPr>
        <w:t> </w:t>
      </w:r>
      <w:r>
        <w:rPr>
          <w:color w:val="231F20"/>
          <w:sz w:val="20"/>
        </w:rPr>
        <w:t>компетентности</w:t>
      </w:r>
      <w:r>
        <w:rPr>
          <w:color w:val="231F20"/>
          <w:spacing w:val="-13"/>
          <w:sz w:val="20"/>
        </w:rPr>
        <w:t> </w:t>
      </w:r>
      <w:r>
        <w:rPr>
          <w:color w:val="231F20"/>
          <w:sz w:val="20"/>
        </w:rPr>
        <w:t>педагогов.</w:t>
      </w:r>
    </w:p>
    <w:p>
      <w:pPr>
        <w:pStyle w:val="ListParagraph"/>
        <w:numPr>
          <w:ilvl w:val="0"/>
          <w:numId w:val="41"/>
        </w:numPr>
        <w:tabs>
          <w:tab w:pos="423" w:val="left" w:leader="none"/>
          <w:tab w:pos="425" w:val="left" w:leader="none"/>
        </w:tabs>
        <w:spacing w:line="235" w:lineRule="auto" w:before="1" w:after="0"/>
        <w:ind w:left="425" w:right="139" w:hanging="284"/>
        <w:jc w:val="both"/>
        <w:rPr>
          <w:color w:val="231F20"/>
          <w:sz w:val="20"/>
        </w:rPr>
      </w:pPr>
      <w:r>
        <w:rPr>
          <w:color w:val="231F20"/>
          <w:sz w:val="20"/>
        </w:rPr>
        <w:t>Организация системы методической поддержки деятельности педагогов, задей- ствованных</w:t>
      </w:r>
      <w:r>
        <w:rPr>
          <w:color w:val="231F20"/>
          <w:spacing w:val="-6"/>
          <w:sz w:val="20"/>
        </w:rPr>
        <w:t> </w:t>
      </w:r>
      <w:r>
        <w:rPr>
          <w:color w:val="231F20"/>
          <w:sz w:val="20"/>
        </w:rPr>
        <w:t>в</w:t>
      </w:r>
      <w:r>
        <w:rPr>
          <w:color w:val="231F20"/>
          <w:spacing w:val="-6"/>
          <w:sz w:val="20"/>
        </w:rPr>
        <w:t> </w:t>
      </w:r>
      <w:r>
        <w:rPr>
          <w:color w:val="231F20"/>
          <w:sz w:val="20"/>
        </w:rPr>
        <w:t>обучении</w:t>
      </w:r>
      <w:r>
        <w:rPr>
          <w:color w:val="231F20"/>
          <w:spacing w:val="-6"/>
          <w:sz w:val="20"/>
        </w:rPr>
        <w:t> </w:t>
      </w:r>
      <w:r>
        <w:rPr>
          <w:color w:val="231F20"/>
          <w:sz w:val="20"/>
        </w:rPr>
        <w:t>класса,</w:t>
      </w:r>
      <w:r>
        <w:rPr>
          <w:color w:val="231F20"/>
          <w:spacing w:val="-6"/>
          <w:sz w:val="20"/>
        </w:rPr>
        <w:t> </w:t>
      </w:r>
      <w:r>
        <w:rPr>
          <w:color w:val="231F20"/>
          <w:sz w:val="20"/>
        </w:rPr>
        <w:t>по</w:t>
      </w:r>
      <w:r>
        <w:rPr>
          <w:color w:val="231F20"/>
          <w:spacing w:val="-6"/>
          <w:sz w:val="20"/>
        </w:rPr>
        <w:t> </w:t>
      </w:r>
      <w:r>
        <w:rPr>
          <w:color w:val="231F20"/>
          <w:sz w:val="20"/>
        </w:rPr>
        <w:t>социальной,</w:t>
      </w:r>
      <w:r>
        <w:rPr>
          <w:color w:val="231F20"/>
          <w:spacing w:val="-6"/>
          <w:sz w:val="20"/>
        </w:rPr>
        <w:t> </w:t>
      </w:r>
      <w:r>
        <w:rPr>
          <w:color w:val="231F20"/>
          <w:sz w:val="20"/>
        </w:rPr>
        <w:t>языковой</w:t>
      </w:r>
      <w:r>
        <w:rPr>
          <w:color w:val="231F20"/>
          <w:spacing w:val="-6"/>
          <w:sz w:val="20"/>
        </w:rPr>
        <w:t> </w:t>
      </w:r>
      <w:r>
        <w:rPr>
          <w:color w:val="231F20"/>
          <w:sz w:val="20"/>
        </w:rPr>
        <w:t>и</w:t>
      </w:r>
      <w:r>
        <w:rPr>
          <w:color w:val="231F20"/>
          <w:spacing w:val="-6"/>
          <w:sz w:val="20"/>
        </w:rPr>
        <w:t> </w:t>
      </w:r>
      <w:r>
        <w:rPr>
          <w:color w:val="231F20"/>
          <w:sz w:val="20"/>
        </w:rPr>
        <w:t>культурной</w:t>
      </w:r>
      <w:r>
        <w:rPr>
          <w:color w:val="231F20"/>
          <w:spacing w:val="-6"/>
          <w:sz w:val="20"/>
        </w:rPr>
        <w:t> </w:t>
      </w:r>
      <w:r>
        <w:rPr>
          <w:color w:val="231F20"/>
          <w:sz w:val="20"/>
        </w:rPr>
        <w:t>адаптации детей – иностранных граждан.</w:t>
      </w:r>
    </w:p>
    <w:p>
      <w:pPr>
        <w:pStyle w:val="ListParagraph"/>
        <w:numPr>
          <w:ilvl w:val="0"/>
          <w:numId w:val="41"/>
        </w:numPr>
        <w:tabs>
          <w:tab w:pos="423" w:val="left" w:leader="none"/>
          <w:tab w:pos="425" w:val="left" w:leader="none"/>
        </w:tabs>
        <w:spacing w:line="235" w:lineRule="auto" w:before="2" w:after="0"/>
        <w:ind w:left="425" w:right="140" w:hanging="284"/>
        <w:jc w:val="both"/>
        <w:rPr>
          <w:color w:val="231F20"/>
          <w:sz w:val="20"/>
        </w:rPr>
      </w:pPr>
      <w:r>
        <w:rPr>
          <w:color w:val="231F20"/>
          <w:sz w:val="20"/>
        </w:rPr>
        <w:t>Организация</w:t>
      </w:r>
      <w:r>
        <w:rPr>
          <w:color w:val="231F20"/>
          <w:spacing w:val="-10"/>
          <w:sz w:val="20"/>
        </w:rPr>
        <w:t> </w:t>
      </w:r>
      <w:r>
        <w:rPr>
          <w:color w:val="231F20"/>
          <w:sz w:val="20"/>
        </w:rPr>
        <w:t>индивидуальной</w:t>
      </w:r>
      <w:r>
        <w:rPr>
          <w:color w:val="231F20"/>
          <w:spacing w:val="-10"/>
          <w:sz w:val="20"/>
        </w:rPr>
        <w:t> </w:t>
      </w:r>
      <w:r>
        <w:rPr>
          <w:color w:val="231F20"/>
          <w:sz w:val="20"/>
        </w:rPr>
        <w:t>поддержки</w:t>
      </w:r>
      <w:r>
        <w:rPr>
          <w:color w:val="231F20"/>
          <w:spacing w:val="-10"/>
          <w:sz w:val="20"/>
        </w:rPr>
        <w:t> </w:t>
      </w:r>
      <w:r>
        <w:rPr>
          <w:color w:val="231F20"/>
          <w:sz w:val="20"/>
        </w:rPr>
        <w:t>для</w:t>
      </w:r>
      <w:r>
        <w:rPr>
          <w:color w:val="231F20"/>
          <w:spacing w:val="-10"/>
          <w:sz w:val="20"/>
        </w:rPr>
        <w:t> </w:t>
      </w:r>
      <w:r>
        <w:rPr>
          <w:color w:val="231F20"/>
          <w:sz w:val="20"/>
        </w:rPr>
        <w:t>родителей</w:t>
      </w:r>
      <w:r>
        <w:rPr>
          <w:color w:val="231F20"/>
          <w:spacing w:val="-10"/>
          <w:sz w:val="20"/>
        </w:rPr>
        <w:t> </w:t>
      </w:r>
      <w:r>
        <w:rPr>
          <w:color w:val="231F20"/>
          <w:sz w:val="20"/>
        </w:rPr>
        <w:t>класса</w:t>
      </w:r>
      <w:r>
        <w:rPr>
          <w:color w:val="231F20"/>
          <w:spacing w:val="-10"/>
          <w:sz w:val="20"/>
        </w:rPr>
        <w:t> </w:t>
      </w:r>
      <w:r>
        <w:rPr>
          <w:color w:val="231F20"/>
          <w:sz w:val="20"/>
        </w:rPr>
        <w:t>с</w:t>
      </w:r>
      <w:r>
        <w:rPr>
          <w:color w:val="231F20"/>
          <w:spacing w:val="-10"/>
          <w:sz w:val="20"/>
        </w:rPr>
        <w:t> </w:t>
      </w:r>
      <w:r>
        <w:rPr>
          <w:color w:val="231F20"/>
          <w:sz w:val="20"/>
        </w:rPr>
        <w:t>низким</w:t>
      </w:r>
      <w:r>
        <w:rPr>
          <w:color w:val="231F20"/>
          <w:spacing w:val="-10"/>
          <w:sz w:val="20"/>
        </w:rPr>
        <w:t> </w:t>
      </w:r>
      <w:r>
        <w:rPr>
          <w:color w:val="231F20"/>
          <w:sz w:val="20"/>
        </w:rPr>
        <w:t>уровнем владения русским языком.</w:t>
      </w:r>
    </w:p>
    <w:p>
      <w:pPr>
        <w:pStyle w:val="ListParagraph"/>
        <w:numPr>
          <w:ilvl w:val="0"/>
          <w:numId w:val="41"/>
        </w:numPr>
        <w:tabs>
          <w:tab w:pos="423" w:val="left" w:leader="none"/>
          <w:tab w:pos="425" w:val="left" w:leader="none"/>
        </w:tabs>
        <w:spacing w:line="232" w:lineRule="auto" w:before="0" w:after="0"/>
        <w:ind w:left="425" w:right="140" w:hanging="284"/>
        <w:jc w:val="both"/>
        <w:rPr>
          <w:color w:val="231F20"/>
          <w:sz w:val="20"/>
        </w:rPr>
      </w:pPr>
      <w:r>
        <w:rPr>
          <w:color w:val="231F20"/>
          <w:sz w:val="20"/>
        </w:rPr>
        <w:t>Привлечение родителей-мигрантов к подготовке внутриклассных мероприятий этнокультурной тематики.</w:t>
      </w:r>
    </w:p>
    <w:p>
      <w:pPr>
        <w:pStyle w:val="ListParagraph"/>
        <w:numPr>
          <w:ilvl w:val="0"/>
          <w:numId w:val="41"/>
        </w:numPr>
        <w:tabs>
          <w:tab w:pos="423" w:val="left" w:leader="none"/>
          <w:tab w:pos="425" w:val="left" w:leader="none"/>
        </w:tabs>
        <w:spacing w:line="232" w:lineRule="auto" w:before="0" w:after="0"/>
        <w:ind w:left="425" w:right="139" w:hanging="284"/>
        <w:jc w:val="both"/>
        <w:rPr>
          <w:color w:val="231F20"/>
          <w:sz w:val="20"/>
        </w:rPr>
      </w:pPr>
      <w:r>
        <w:rPr>
          <w:color w:val="231F20"/>
          <w:sz w:val="20"/>
        </w:rPr>
        <w:t>Организация</w:t>
      </w:r>
      <w:r>
        <w:rPr>
          <w:color w:val="231F20"/>
          <w:spacing w:val="-8"/>
          <w:sz w:val="20"/>
        </w:rPr>
        <w:t> </w:t>
      </w:r>
      <w:r>
        <w:rPr>
          <w:color w:val="231F20"/>
          <w:sz w:val="20"/>
        </w:rPr>
        <w:t>наставничества</w:t>
      </w:r>
      <w:r>
        <w:rPr>
          <w:color w:val="231F20"/>
          <w:spacing w:val="-8"/>
          <w:sz w:val="20"/>
        </w:rPr>
        <w:t> </w:t>
      </w:r>
      <w:r>
        <w:rPr>
          <w:color w:val="231F20"/>
          <w:sz w:val="20"/>
        </w:rPr>
        <w:t>по</w:t>
      </w:r>
      <w:r>
        <w:rPr>
          <w:color w:val="231F20"/>
          <w:spacing w:val="-8"/>
          <w:sz w:val="20"/>
        </w:rPr>
        <w:t> </w:t>
      </w:r>
      <w:r>
        <w:rPr>
          <w:color w:val="231F20"/>
          <w:sz w:val="20"/>
        </w:rPr>
        <w:t>отношению</w:t>
      </w:r>
      <w:r>
        <w:rPr>
          <w:color w:val="231F20"/>
          <w:spacing w:val="-8"/>
          <w:sz w:val="20"/>
        </w:rPr>
        <w:t> </w:t>
      </w:r>
      <w:r>
        <w:rPr>
          <w:color w:val="231F20"/>
          <w:sz w:val="20"/>
        </w:rPr>
        <w:t>к</w:t>
      </w:r>
      <w:r>
        <w:rPr>
          <w:color w:val="231F20"/>
          <w:spacing w:val="-8"/>
          <w:sz w:val="20"/>
        </w:rPr>
        <w:t> </w:t>
      </w:r>
      <w:r>
        <w:rPr>
          <w:color w:val="231F20"/>
          <w:sz w:val="20"/>
        </w:rPr>
        <w:t>ребенку</w:t>
      </w:r>
      <w:r>
        <w:rPr>
          <w:color w:val="231F20"/>
          <w:spacing w:val="-8"/>
          <w:sz w:val="20"/>
        </w:rPr>
        <w:t> </w:t>
      </w:r>
      <w:r>
        <w:rPr>
          <w:color w:val="231F20"/>
          <w:sz w:val="20"/>
        </w:rPr>
        <w:t>–</w:t>
      </w:r>
      <w:r>
        <w:rPr>
          <w:color w:val="231F20"/>
          <w:spacing w:val="-8"/>
          <w:sz w:val="20"/>
        </w:rPr>
        <w:t> </w:t>
      </w:r>
      <w:r>
        <w:rPr>
          <w:color w:val="231F20"/>
          <w:sz w:val="20"/>
        </w:rPr>
        <w:t>иностранному</w:t>
      </w:r>
      <w:r>
        <w:rPr>
          <w:color w:val="231F20"/>
          <w:spacing w:val="-8"/>
          <w:sz w:val="20"/>
        </w:rPr>
        <w:t> </w:t>
      </w:r>
      <w:r>
        <w:rPr>
          <w:color w:val="231F20"/>
          <w:sz w:val="20"/>
        </w:rPr>
        <w:t>граждани- ну с дезадаптивным профилем аккультурации.</w:t>
      </w:r>
    </w:p>
    <w:p>
      <w:pPr>
        <w:pStyle w:val="ListParagraph"/>
        <w:numPr>
          <w:ilvl w:val="0"/>
          <w:numId w:val="41"/>
        </w:numPr>
        <w:tabs>
          <w:tab w:pos="423" w:val="left" w:leader="none"/>
          <w:tab w:pos="425" w:val="left" w:leader="none"/>
        </w:tabs>
        <w:spacing w:line="232" w:lineRule="auto" w:before="0" w:after="0"/>
        <w:ind w:left="425" w:right="139" w:hanging="284"/>
        <w:jc w:val="both"/>
        <w:rPr>
          <w:color w:val="231F20"/>
          <w:sz w:val="20"/>
        </w:rPr>
      </w:pPr>
      <w:r>
        <w:rPr>
          <w:color w:val="231F20"/>
          <w:sz w:val="20"/>
        </w:rPr>
        <w:t>Использование</w:t>
      </w:r>
      <w:r>
        <w:rPr>
          <w:color w:val="231F20"/>
          <w:spacing w:val="-2"/>
          <w:sz w:val="20"/>
        </w:rPr>
        <w:t> </w:t>
      </w:r>
      <w:r>
        <w:rPr>
          <w:color w:val="231F20"/>
          <w:sz w:val="20"/>
        </w:rPr>
        <w:t>школьных</w:t>
      </w:r>
      <w:r>
        <w:rPr>
          <w:color w:val="231F20"/>
          <w:spacing w:val="-2"/>
          <w:sz w:val="20"/>
        </w:rPr>
        <w:t> </w:t>
      </w:r>
      <w:r>
        <w:rPr>
          <w:color w:val="231F20"/>
          <w:sz w:val="20"/>
        </w:rPr>
        <w:t>проектов</w:t>
      </w:r>
      <w:r>
        <w:rPr>
          <w:color w:val="231F20"/>
          <w:spacing w:val="-2"/>
          <w:sz w:val="20"/>
        </w:rPr>
        <w:t> </w:t>
      </w:r>
      <w:r>
        <w:rPr>
          <w:color w:val="231F20"/>
          <w:sz w:val="20"/>
        </w:rPr>
        <w:t>в</w:t>
      </w:r>
      <w:r>
        <w:rPr>
          <w:color w:val="231F20"/>
          <w:spacing w:val="-2"/>
          <w:sz w:val="20"/>
        </w:rPr>
        <w:t> </w:t>
      </w:r>
      <w:r>
        <w:rPr>
          <w:color w:val="231F20"/>
          <w:sz w:val="20"/>
        </w:rPr>
        <w:t>формировании</w:t>
      </w:r>
      <w:r>
        <w:rPr>
          <w:color w:val="231F20"/>
          <w:spacing w:val="-2"/>
          <w:sz w:val="20"/>
        </w:rPr>
        <w:t> </w:t>
      </w:r>
      <w:r>
        <w:rPr>
          <w:color w:val="231F20"/>
          <w:sz w:val="20"/>
        </w:rPr>
        <w:t>инклюзивной</w:t>
      </w:r>
      <w:r>
        <w:rPr>
          <w:color w:val="231F20"/>
          <w:spacing w:val="-2"/>
          <w:sz w:val="20"/>
        </w:rPr>
        <w:t> </w:t>
      </w:r>
      <w:r>
        <w:rPr>
          <w:color w:val="231F20"/>
          <w:sz w:val="20"/>
        </w:rPr>
        <w:t>образователь- ной среды в классе.</w:t>
      </w:r>
    </w:p>
    <w:p>
      <w:pPr>
        <w:pStyle w:val="ListParagraph"/>
        <w:numPr>
          <w:ilvl w:val="0"/>
          <w:numId w:val="41"/>
        </w:numPr>
        <w:tabs>
          <w:tab w:pos="423" w:val="left" w:leader="none"/>
        </w:tabs>
        <w:spacing w:line="222" w:lineRule="exact" w:before="0" w:after="0"/>
        <w:ind w:left="423" w:right="0" w:hanging="282"/>
        <w:jc w:val="both"/>
        <w:rPr>
          <w:color w:val="231F20"/>
          <w:sz w:val="20"/>
        </w:rPr>
      </w:pPr>
      <w:r>
        <w:rPr>
          <w:color w:val="231F20"/>
          <w:sz w:val="20"/>
        </w:rPr>
        <w:t>Организация</w:t>
      </w:r>
      <w:r>
        <w:rPr>
          <w:color w:val="231F20"/>
          <w:spacing w:val="-9"/>
          <w:sz w:val="20"/>
        </w:rPr>
        <w:t> </w:t>
      </w:r>
      <w:r>
        <w:rPr>
          <w:color w:val="231F20"/>
          <w:sz w:val="20"/>
        </w:rPr>
        <w:t>групповой</w:t>
      </w:r>
      <w:r>
        <w:rPr>
          <w:color w:val="231F20"/>
          <w:spacing w:val="-8"/>
          <w:sz w:val="20"/>
        </w:rPr>
        <w:t> </w:t>
      </w:r>
      <w:r>
        <w:rPr>
          <w:color w:val="231F20"/>
          <w:sz w:val="20"/>
        </w:rPr>
        <w:t>учебной</w:t>
      </w:r>
      <w:r>
        <w:rPr>
          <w:color w:val="231F20"/>
          <w:spacing w:val="-9"/>
          <w:sz w:val="20"/>
        </w:rPr>
        <w:t> </w:t>
      </w:r>
      <w:r>
        <w:rPr>
          <w:color w:val="231F20"/>
          <w:sz w:val="20"/>
        </w:rPr>
        <w:t>работы</w:t>
      </w:r>
      <w:r>
        <w:rPr>
          <w:color w:val="231F20"/>
          <w:spacing w:val="-8"/>
          <w:sz w:val="20"/>
        </w:rPr>
        <w:t> </w:t>
      </w:r>
      <w:r>
        <w:rPr>
          <w:color w:val="231F20"/>
          <w:sz w:val="20"/>
        </w:rPr>
        <w:t>учащихся</w:t>
      </w:r>
      <w:r>
        <w:rPr>
          <w:color w:val="231F20"/>
          <w:spacing w:val="-9"/>
          <w:sz w:val="20"/>
        </w:rPr>
        <w:t> </w:t>
      </w:r>
      <w:r>
        <w:rPr>
          <w:color w:val="231F20"/>
          <w:sz w:val="20"/>
        </w:rPr>
        <w:t>в</w:t>
      </w:r>
      <w:r>
        <w:rPr>
          <w:color w:val="231F20"/>
          <w:spacing w:val="-8"/>
          <w:sz w:val="20"/>
        </w:rPr>
        <w:t> </w:t>
      </w:r>
      <w:r>
        <w:rPr>
          <w:color w:val="231F20"/>
          <w:sz w:val="20"/>
        </w:rPr>
        <w:t>поликультурном</w:t>
      </w:r>
      <w:r>
        <w:rPr>
          <w:color w:val="231F20"/>
          <w:spacing w:val="-8"/>
          <w:sz w:val="20"/>
        </w:rPr>
        <w:t> </w:t>
      </w:r>
      <w:r>
        <w:rPr>
          <w:color w:val="231F20"/>
          <w:spacing w:val="-2"/>
          <w:sz w:val="20"/>
        </w:rPr>
        <w:t>классе.</w:t>
      </w:r>
    </w:p>
    <w:p>
      <w:pPr>
        <w:pStyle w:val="ListParagraph"/>
        <w:spacing w:after="0" w:line="222" w:lineRule="exact"/>
        <w:jc w:val="both"/>
        <w:rPr>
          <w:sz w:val="20"/>
        </w:rPr>
        <w:sectPr>
          <w:pgSz w:w="8400" w:h="11910"/>
          <w:pgMar w:header="0" w:footer="531" w:top="400" w:bottom="740" w:left="425" w:right="425"/>
        </w:sectPr>
      </w:pPr>
    </w:p>
    <w:p>
      <w:pPr>
        <w:spacing w:before="80"/>
        <w:ind w:left="141" w:right="0" w:firstLine="0"/>
        <w:jc w:val="left"/>
        <w:rPr>
          <w:rFonts w:ascii="Georgia" w:hAnsi="Georgia"/>
          <w:sz w:val="18"/>
        </w:rPr>
      </w:pPr>
      <w:r>
        <w:rPr>
          <w:rFonts w:ascii="Georgia" w:hAnsi="Georgia"/>
          <w:color w:val="231F20"/>
          <w:spacing w:val="-2"/>
          <w:sz w:val="18"/>
        </w:rPr>
        <w:t>Введение</w:t>
      </w:r>
    </w:p>
    <w:p>
      <w:pPr>
        <w:pStyle w:val="ListParagraph"/>
        <w:numPr>
          <w:ilvl w:val="0"/>
          <w:numId w:val="41"/>
        </w:numPr>
        <w:tabs>
          <w:tab w:pos="423" w:val="left" w:leader="none"/>
          <w:tab w:pos="425" w:val="left" w:leader="none"/>
        </w:tabs>
        <w:spacing w:line="225" w:lineRule="auto" w:before="123" w:after="0"/>
        <w:ind w:left="425" w:right="139" w:hanging="284"/>
        <w:jc w:val="both"/>
        <w:rPr>
          <w:color w:val="231F20"/>
          <w:sz w:val="20"/>
        </w:rPr>
      </w:pPr>
      <w:r>
        <w:rPr>
          <w:color w:val="231F20"/>
          <w:sz w:val="20"/>
        </w:rPr>
        <w:t>Проведение интеграционных мероприятий («Живая библиотека», приветствен- ные семинары для родителей и пр.).</w:t>
      </w:r>
    </w:p>
    <w:p>
      <w:pPr>
        <w:spacing w:line="223" w:lineRule="exact" w:before="102"/>
        <w:ind w:left="425" w:right="0" w:firstLine="0"/>
        <w:jc w:val="both"/>
        <w:rPr>
          <w:b/>
          <w:i/>
          <w:sz w:val="20"/>
        </w:rPr>
      </w:pPr>
      <w:r>
        <w:rPr>
          <w:b/>
          <w:i/>
          <w:sz w:val="20"/>
        </w:rPr>
        <w:t>Программа</w:t>
      </w:r>
      <w:r>
        <w:rPr>
          <w:b/>
          <w:i/>
          <w:spacing w:val="-10"/>
          <w:sz w:val="20"/>
        </w:rPr>
        <w:t> </w:t>
      </w:r>
      <w:r>
        <w:rPr>
          <w:b/>
          <w:i/>
          <w:sz w:val="20"/>
        </w:rPr>
        <w:t>коррекционной</w:t>
      </w:r>
      <w:r>
        <w:rPr>
          <w:b/>
          <w:i/>
          <w:spacing w:val="-10"/>
          <w:sz w:val="20"/>
        </w:rPr>
        <w:t> </w:t>
      </w:r>
      <w:r>
        <w:rPr>
          <w:b/>
          <w:i/>
          <w:spacing w:val="-2"/>
          <w:sz w:val="20"/>
        </w:rPr>
        <w:t>работы</w:t>
      </w:r>
    </w:p>
    <w:p>
      <w:pPr>
        <w:pStyle w:val="BodyText"/>
        <w:spacing w:line="225" w:lineRule="auto" w:before="4"/>
      </w:pPr>
      <w:r>
        <w:rPr/>
        <w:t>Согласно</w:t>
      </w:r>
      <w:r>
        <w:rPr>
          <w:spacing w:val="-13"/>
        </w:rPr>
        <w:t> </w:t>
      </w:r>
      <w:r>
        <w:rPr/>
        <w:t>примерной</w:t>
      </w:r>
      <w:r>
        <w:rPr>
          <w:spacing w:val="-12"/>
        </w:rPr>
        <w:t> </w:t>
      </w:r>
      <w:r>
        <w:rPr/>
        <w:t>ООП</w:t>
      </w:r>
      <w:r>
        <w:rPr>
          <w:spacing w:val="-13"/>
        </w:rPr>
        <w:t> </w:t>
      </w:r>
      <w:r>
        <w:rPr/>
        <w:t>н</w:t>
      </w:r>
      <w:r>
        <w:rPr>
          <w:color w:val="231F20"/>
        </w:rPr>
        <w:t>аправления</w:t>
      </w:r>
      <w:r>
        <w:rPr>
          <w:color w:val="231F20"/>
          <w:spacing w:val="-12"/>
        </w:rPr>
        <w:t> </w:t>
      </w:r>
      <w:r>
        <w:rPr>
          <w:color w:val="231F20"/>
        </w:rPr>
        <w:t>коррекционной</w:t>
      </w:r>
      <w:r>
        <w:rPr>
          <w:color w:val="231F20"/>
          <w:spacing w:val="-13"/>
        </w:rPr>
        <w:t> </w:t>
      </w:r>
      <w:r>
        <w:rPr>
          <w:color w:val="231F20"/>
        </w:rPr>
        <w:t>работы:</w:t>
      </w:r>
      <w:r>
        <w:rPr>
          <w:color w:val="231F20"/>
          <w:spacing w:val="-12"/>
        </w:rPr>
        <w:t> </w:t>
      </w:r>
      <w:r>
        <w:rPr>
          <w:color w:val="231F20"/>
        </w:rPr>
        <w:t>диагностическое, коррекционно-развивающее,</w:t>
      </w:r>
      <w:r>
        <w:rPr>
          <w:color w:val="231F20"/>
          <w:spacing w:val="-13"/>
        </w:rPr>
        <w:t> </w:t>
      </w:r>
      <w:r>
        <w:rPr>
          <w:color w:val="231F20"/>
        </w:rPr>
        <w:t>психопрофилактическое,</w:t>
      </w:r>
      <w:r>
        <w:rPr>
          <w:color w:val="231F20"/>
          <w:spacing w:val="-12"/>
        </w:rPr>
        <w:t> </w:t>
      </w:r>
      <w:r>
        <w:rPr>
          <w:color w:val="231F20"/>
        </w:rPr>
        <w:t>консультативное,</w:t>
      </w:r>
      <w:r>
        <w:rPr>
          <w:color w:val="231F20"/>
          <w:spacing w:val="-13"/>
        </w:rPr>
        <w:t> </w:t>
      </w:r>
      <w:r>
        <w:rPr>
          <w:color w:val="231F20"/>
        </w:rPr>
        <w:t>информаци- онно-просветительское — раскрываются содержательно в разных организационных формах деятельности образовательной организации.</w:t>
      </w:r>
    </w:p>
    <w:p>
      <w:pPr>
        <w:spacing w:line="225" w:lineRule="auto" w:before="113"/>
        <w:ind w:left="425" w:right="139" w:firstLine="0"/>
        <w:jc w:val="both"/>
        <w:rPr>
          <w:b/>
          <w:i/>
          <w:sz w:val="20"/>
        </w:rPr>
      </w:pPr>
      <w:r>
        <w:rPr>
          <w:b/>
          <w:i/>
          <w:color w:val="231F20"/>
          <w:sz w:val="20"/>
        </w:rPr>
        <w:t>Характеристика содержания направлений коррекционной работы примени- тельно к реализации программы</w:t>
      </w:r>
    </w:p>
    <w:p>
      <w:pPr>
        <w:spacing w:line="211" w:lineRule="exact" w:before="0"/>
        <w:ind w:left="425" w:right="0" w:firstLine="0"/>
        <w:jc w:val="both"/>
        <w:rPr>
          <w:i/>
          <w:sz w:val="20"/>
        </w:rPr>
      </w:pPr>
      <w:r>
        <w:rPr>
          <w:i/>
          <w:color w:val="231F20"/>
          <w:sz w:val="20"/>
        </w:rPr>
        <w:t>Диагностическая</w:t>
      </w:r>
      <w:r>
        <w:rPr>
          <w:i/>
          <w:color w:val="231F20"/>
          <w:spacing w:val="-9"/>
          <w:sz w:val="20"/>
        </w:rPr>
        <w:t> </w:t>
      </w:r>
      <w:r>
        <w:rPr>
          <w:i/>
          <w:color w:val="231F20"/>
          <w:spacing w:val="-2"/>
          <w:sz w:val="20"/>
        </w:rPr>
        <w:t>работа</w:t>
      </w:r>
    </w:p>
    <w:p>
      <w:pPr>
        <w:pStyle w:val="BodyText"/>
        <w:spacing w:line="228" w:lineRule="auto" w:before="2"/>
      </w:pPr>
      <w:r>
        <w:rPr>
          <w:color w:val="231F20"/>
        </w:rPr>
        <w:t>Для</w:t>
      </w:r>
      <w:r>
        <w:rPr>
          <w:color w:val="231F20"/>
          <w:spacing w:val="-10"/>
        </w:rPr>
        <w:t> </w:t>
      </w:r>
      <w:r>
        <w:rPr>
          <w:color w:val="231F20"/>
        </w:rPr>
        <w:t>выполнения</w:t>
      </w:r>
      <w:r>
        <w:rPr>
          <w:color w:val="231F20"/>
          <w:spacing w:val="-10"/>
        </w:rPr>
        <w:t> </w:t>
      </w:r>
      <w:r>
        <w:rPr>
          <w:color w:val="231F20"/>
        </w:rPr>
        <w:t>задач</w:t>
      </w:r>
      <w:r>
        <w:rPr>
          <w:color w:val="231F20"/>
          <w:spacing w:val="-10"/>
        </w:rPr>
        <w:t> </w:t>
      </w:r>
      <w:r>
        <w:rPr>
          <w:color w:val="231F20"/>
        </w:rPr>
        <w:t>диагностической</w:t>
      </w:r>
      <w:r>
        <w:rPr>
          <w:color w:val="231F20"/>
          <w:spacing w:val="-10"/>
        </w:rPr>
        <w:t> </w:t>
      </w:r>
      <w:r>
        <w:rPr>
          <w:color w:val="231F20"/>
        </w:rPr>
        <w:t>работы</w:t>
      </w:r>
      <w:r>
        <w:rPr>
          <w:color w:val="231F20"/>
          <w:spacing w:val="-10"/>
        </w:rPr>
        <w:t> </w:t>
      </w:r>
      <w:r>
        <w:rPr>
          <w:color w:val="231F20"/>
        </w:rPr>
        <w:t>рекомендуется</w:t>
      </w:r>
      <w:r>
        <w:rPr>
          <w:color w:val="231F20"/>
          <w:spacing w:val="-10"/>
        </w:rPr>
        <w:t> </w:t>
      </w:r>
      <w:r>
        <w:rPr>
          <w:color w:val="231F20"/>
        </w:rPr>
        <w:t>использовать</w:t>
      </w:r>
      <w:r>
        <w:rPr>
          <w:color w:val="231F20"/>
          <w:spacing w:val="-10"/>
        </w:rPr>
        <w:t> </w:t>
      </w:r>
      <w:r>
        <w:rPr>
          <w:color w:val="231F20"/>
        </w:rPr>
        <w:t>про- грамму психолого-педагогической оценки особых образовательных потребностей детей</w:t>
      </w:r>
      <w:r>
        <w:rPr>
          <w:color w:val="231F20"/>
          <w:spacing w:val="-9"/>
        </w:rPr>
        <w:t> </w:t>
      </w:r>
      <w:r>
        <w:rPr>
          <w:color w:val="231F20"/>
        </w:rPr>
        <w:t>–</w:t>
      </w:r>
      <w:r>
        <w:rPr>
          <w:color w:val="231F20"/>
          <w:spacing w:val="-9"/>
        </w:rPr>
        <w:t> </w:t>
      </w:r>
      <w:r>
        <w:rPr>
          <w:color w:val="231F20"/>
        </w:rPr>
        <w:t>иностранных</w:t>
      </w:r>
      <w:r>
        <w:rPr>
          <w:color w:val="231F20"/>
          <w:spacing w:val="-9"/>
        </w:rPr>
        <w:t> </w:t>
      </w:r>
      <w:r>
        <w:rPr>
          <w:color w:val="231F20"/>
        </w:rPr>
        <w:t>граждан</w:t>
      </w:r>
      <w:r>
        <w:rPr>
          <w:color w:val="231F20"/>
          <w:spacing w:val="-9"/>
        </w:rPr>
        <w:t> </w:t>
      </w:r>
      <w:r>
        <w:rPr>
          <w:color w:val="231F20"/>
        </w:rPr>
        <w:t>в</w:t>
      </w:r>
      <w:r>
        <w:rPr>
          <w:color w:val="231F20"/>
          <w:spacing w:val="-9"/>
        </w:rPr>
        <w:t> </w:t>
      </w:r>
      <w:r>
        <w:rPr>
          <w:color w:val="231F20"/>
        </w:rPr>
        <w:t>сферах</w:t>
      </w:r>
      <w:r>
        <w:rPr>
          <w:color w:val="231F20"/>
          <w:spacing w:val="-9"/>
        </w:rPr>
        <w:t> </w:t>
      </w:r>
      <w:r>
        <w:rPr>
          <w:color w:val="231F20"/>
        </w:rPr>
        <w:t>психологического</w:t>
      </w:r>
      <w:r>
        <w:rPr>
          <w:color w:val="231F20"/>
          <w:spacing w:val="-9"/>
        </w:rPr>
        <w:t> </w:t>
      </w:r>
      <w:r>
        <w:rPr>
          <w:color w:val="231F20"/>
        </w:rPr>
        <w:t>благополучия,</w:t>
      </w:r>
      <w:r>
        <w:rPr>
          <w:color w:val="231F20"/>
          <w:spacing w:val="-9"/>
        </w:rPr>
        <w:t> </w:t>
      </w:r>
      <w:r>
        <w:rPr>
          <w:color w:val="231F20"/>
        </w:rPr>
        <w:t>социальных </w:t>
      </w:r>
      <w:r>
        <w:rPr>
          <w:color w:val="231F20"/>
          <w:spacing w:val="-2"/>
        </w:rPr>
        <w:t>навыков</w:t>
      </w:r>
      <w:r>
        <w:rPr>
          <w:color w:val="231F20"/>
          <w:spacing w:val="-11"/>
        </w:rPr>
        <w:t> </w:t>
      </w:r>
      <w:r>
        <w:rPr>
          <w:color w:val="231F20"/>
          <w:spacing w:val="-2"/>
        </w:rPr>
        <w:t>и</w:t>
      </w:r>
      <w:r>
        <w:rPr>
          <w:color w:val="231F20"/>
          <w:spacing w:val="-10"/>
        </w:rPr>
        <w:t> </w:t>
      </w:r>
      <w:r>
        <w:rPr>
          <w:color w:val="231F20"/>
          <w:spacing w:val="-2"/>
        </w:rPr>
        <w:t>культурной</w:t>
      </w:r>
      <w:r>
        <w:rPr>
          <w:color w:val="231F20"/>
          <w:spacing w:val="-11"/>
        </w:rPr>
        <w:t> </w:t>
      </w:r>
      <w:r>
        <w:rPr>
          <w:color w:val="231F20"/>
          <w:spacing w:val="-2"/>
        </w:rPr>
        <w:t>адаптации</w:t>
      </w:r>
      <w:r>
        <w:rPr>
          <w:color w:val="231F20"/>
          <w:spacing w:val="-10"/>
        </w:rPr>
        <w:t> </w:t>
      </w:r>
      <w:r>
        <w:rPr>
          <w:color w:val="231F20"/>
          <w:spacing w:val="-2"/>
        </w:rPr>
        <w:t>(разработана</w:t>
      </w:r>
      <w:r>
        <w:rPr>
          <w:color w:val="231F20"/>
          <w:spacing w:val="-11"/>
        </w:rPr>
        <w:t> </w:t>
      </w:r>
      <w:r>
        <w:rPr>
          <w:color w:val="231F20"/>
          <w:spacing w:val="-2"/>
        </w:rPr>
        <w:t>ФГБОУ</w:t>
      </w:r>
      <w:r>
        <w:rPr>
          <w:color w:val="231F20"/>
          <w:spacing w:val="-10"/>
        </w:rPr>
        <w:t> </w:t>
      </w:r>
      <w:r>
        <w:rPr>
          <w:color w:val="231F20"/>
          <w:spacing w:val="-2"/>
        </w:rPr>
        <w:t>ВО</w:t>
      </w:r>
      <w:r>
        <w:rPr>
          <w:color w:val="231F20"/>
          <w:spacing w:val="-11"/>
        </w:rPr>
        <w:t> </w:t>
      </w:r>
      <w:r>
        <w:rPr>
          <w:color w:val="231F20"/>
          <w:spacing w:val="-2"/>
        </w:rPr>
        <w:t>МГППУ</w:t>
      </w:r>
      <w:r>
        <w:rPr>
          <w:color w:val="231F20"/>
          <w:spacing w:val="-10"/>
        </w:rPr>
        <w:t> </w:t>
      </w:r>
      <w:r>
        <w:rPr>
          <w:color w:val="231F20"/>
          <w:spacing w:val="-2"/>
        </w:rPr>
        <w:t>в</w:t>
      </w:r>
      <w:r>
        <w:rPr>
          <w:color w:val="231F20"/>
          <w:spacing w:val="-11"/>
        </w:rPr>
        <w:t> </w:t>
      </w:r>
      <w:r>
        <w:rPr>
          <w:color w:val="231F20"/>
          <w:spacing w:val="-2"/>
        </w:rPr>
        <w:t>2021</w:t>
      </w:r>
      <w:r>
        <w:rPr>
          <w:color w:val="231F20"/>
          <w:spacing w:val="3"/>
        </w:rPr>
        <w:t> </w:t>
      </w:r>
      <w:r>
        <w:rPr>
          <w:color w:val="231F20"/>
          <w:spacing w:val="-2"/>
        </w:rPr>
        <w:t>г.</w:t>
      </w:r>
      <w:r>
        <w:rPr>
          <w:color w:val="231F20"/>
          <w:spacing w:val="-11"/>
        </w:rPr>
        <w:t> </w:t>
      </w:r>
      <w:r>
        <w:rPr>
          <w:color w:val="231F20"/>
          <w:spacing w:val="-2"/>
        </w:rPr>
        <w:t>и</w:t>
      </w:r>
      <w:r>
        <w:rPr>
          <w:color w:val="231F20"/>
          <w:spacing w:val="-10"/>
        </w:rPr>
        <w:t> </w:t>
      </w:r>
      <w:r>
        <w:rPr>
          <w:color w:val="231F20"/>
          <w:spacing w:val="-2"/>
        </w:rPr>
        <w:t>апроби- </w:t>
      </w:r>
      <w:r>
        <w:rPr>
          <w:color w:val="231F20"/>
        </w:rPr>
        <w:t>рована</w:t>
      </w:r>
      <w:r>
        <w:rPr>
          <w:color w:val="231F20"/>
          <w:spacing w:val="-9"/>
        </w:rPr>
        <w:t> </w:t>
      </w:r>
      <w:r>
        <w:rPr>
          <w:color w:val="231F20"/>
        </w:rPr>
        <w:t>в</w:t>
      </w:r>
      <w:r>
        <w:rPr>
          <w:color w:val="231F20"/>
          <w:spacing w:val="-9"/>
        </w:rPr>
        <w:t> </w:t>
      </w:r>
      <w:r>
        <w:rPr>
          <w:color w:val="231F20"/>
        </w:rPr>
        <w:t>2022</w:t>
      </w:r>
      <w:r>
        <w:rPr>
          <w:color w:val="231F20"/>
          <w:spacing w:val="-4"/>
        </w:rPr>
        <w:t> </w:t>
      </w:r>
      <w:r>
        <w:rPr>
          <w:color w:val="231F20"/>
        </w:rPr>
        <w:t>г.,</w:t>
      </w:r>
      <w:r>
        <w:rPr>
          <w:color w:val="231F20"/>
          <w:spacing w:val="-9"/>
        </w:rPr>
        <w:t> </w:t>
      </w:r>
      <w:r>
        <w:rPr>
          <w:color w:val="231F20"/>
        </w:rPr>
        <w:t>далее</w:t>
      </w:r>
      <w:r>
        <w:rPr>
          <w:color w:val="231F20"/>
          <w:spacing w:val="-9"/>
        </w:rPr>
        <w:t> </w:t>
      </w:r>
      <w:r>
        <w:rPr>
          <w:color w:val="231F20"/>
        </w:rPr>
        <w:t>–</w:t>
      </w:r>
      <w:r>
        <w:rPr>
          <w:color w:val="231F20"/>
          <w:spacing w:val="-9"/>
        </w:rPr>
        <w:t> </w:t>
      </w:r>
      <w:r>
        <w:rPr>
          <w:color w:val="231F20"/>
        </w:rPr>
        <w:t>диагностическая</w:t>
      </w:r>
      <w:r>
        <w:rPr>
          <w:color w:val="231F20"/>
          <w:spacing w:val="-9"/>
        </w:rPr>
        <w:t> </w:t>
      </w:r>
      <w:r>
        <w:rPr>
          <w:color w:val="231F20"/>
        </w:rPr>
        <w:t>программа).</w:t>
      </w:r>
      <w:r>
        <w:rPr>
          <w:color w:val="231F20"/>
          <w:spacing w:val="-9"/>
        </w:rPr>
        <w:t> </w:t>
      </w:r>
      <w:r>
        <w:rPr>
          <w:color w:val="231F20"/>
        </w:rPr>
        <w:t>При</w:t>
      </w:r>
      <w:r>
        <w:rPr>
          <w:color w:val="231F20"/>
          <w:spacing w:val="-9"/>
        </w:rPr>
        <w:t> </w:t>
      </w:r>
      <w:r>
        <w:rPr>
          <w:color w:val="231F20"/>
        </w:rPr>
        <w:t>фронтальной</w:t>
      </w:r>
      <w:r>
        <w:rPr>
          <w:color w:val="231F20"/>
          <w:spacing w:val="-9"/>
        </w:rPr>
        <w:t> </w:t>
      </w:r>
      <w:r>
        <w:rPr>
          <w:color w:val="231F20"/>
        </w:rPr>
        <w:t>диагностике всех</w:t>
      </w:r>
      <w:r>
        <w:rPr>
          <w:color w:val="231F20"/>
          <w:spacing w:val="-5"/>
        </w:rPr>
        <w:t> </w:t>
      </w:r>
      <w:r>
        <w:rPr>
          <w:color w:val="231F20"/>
        </w:rPr>
        <w:t>учащихся</w:t>
      </w:r>
      <w:r>
        <w:rPr>
          <w:color w:val="231F20"/>
          <w:spacing w:val="-5"/>
        </w:rPr>
        <w:t> </w:t>
      </w:r>
      <w:r>
        <w:rPr>
          <w:color w:val="231F20"/>
        </w:rPr>
        <w:t>–</w:t>
      </w:r>
      <w:r>
        <w:rPr>
          <w:color w:val="231F20"/>
          <w:spacing w:val="-5"/>
        </w:rPr>
        <w:t> </w:t>
      </w:r>
      <w:r>
        <w:rPr>
          <w:color w:val="231F20"/>
        </w:rPr>
        <w:t>иностранных</w:t>
      </w:r>
      <w:r>
        <w:rPr>
          <w:color w:val="231F20"/>
          <w:spacing w:val="-5"/>
        </w:rPr>
        <w:t> </w:t>
      </w:r>
      <w:r>
        <w:rPr>
          <w:color w:val="231F20"/>
        </w:rPr>
        <w:t>граждан</w:t>
      </w:r>
      <w:r>
        <w:rPr>
          <w:color w:val="231F20"/>
          <w:spacing w:val="-5"/>
        </w:rPr>
        <w:t> </w:t>
      </w:r>
      <w:r>
        <w:rPr>
          <w:color w:val="231F20"/>
        </w:rPr>
        <w:t>следует</w:t>
      </w:r>
      <w:r>
        <w:rPr>
          <w:color w:val="231F20"/>
          <w:spacing w:val="-5"/>
        </w:rPr>
        <w:t> </w:t>
      </w:r>
      <w:r>
        <w:rPr>
          <w:color w:val="231F20"/>
        </w:rPr>
        <w:t>применять</w:t>
      </w:r>
      <w:r>
        <w:rPr>
          <w:color w:val="231F20"/>
          <w:spacing w:val="-5"/>
        </w:rPr>
        <w:t> </w:t>
      </w:r>
      <w:r>
        <w:rPr>
          <w:color w:val="231F20"/>
        </w:rPr>
        <w:t>базовый</w:t>
      </w:r>
      <w:r>
        <w:rPr>
          <w:color w:val="231F20"/>
          <w:spacing w:val="-5"/>
        </w:rPr>
        <w:t> </w:t>
      </w:r>
      <w:r>
        <w:rPr>
          <w:color w:val="231F20"/>
        </w:rPr>
        <w:t>диагностический набор,</w:t>
      </w:r>
      <w:r>
        <w:rPr>
          <w:color w:val="231F20"/>
          <w:spacing w:val="-2"/>
        </w:rPr>
        <w:t> </w:t>
      </w:r>
      <w:r>
        <w:rPr>
          <w:color w:val="231F20"/>
        </w:rPr>
        <w:t>который</w:t>
      </w:r>
      <w:r>
        <w:rPr>
          <w:color w:val="231F20"/>
          <w:spacing w:val="-2"/>
        </w:rPr>
        <w:t> </w:t>
      </w:r>
      <w:r>
        <w:rPr>
          <w:color w:val="231F20"/>
        </w:rPr>
        <w:t>подходит</w:t>
      </w:r>
      <w:r>
        <w:rPr>
          <w:color w:val="231F20"/>
          <w:spacing w:val="-2"/>
        </w:rPr>
        <w:t> </w:t>
      </w:r>
      <w:r>
        <w:rPr>
          <w:color w:val="231F20"/>
        </w:rPr>
        <w:t>для</w:t>
      </w:r>
      <w:r>
        <w:rPr>
          <w:color w:val="231F20"/>
          <w:spacing w:val="-2"/>
        </w:rPr>
        <w:t> </w:t>
      </w:r>
      <w:r>
        <w:rPr>
          <w:color w:val="231F20"/>
        </w:rPr>
        <w:t>скрининговой</w:t>
      </w:r>
      <w:r>
        <w:rPr>
          <w:color w:val="231F20"/>
          <w:spacing w:val="-2"/>
        </w:rPr>
        <w:t> </w:t>
      </w:r>
      <w:r>
        <w:rPr>
          <w:color w:val="231F20"/>
        </w:rPr>
        <w:t>диагностики</w:t>
      </w:r>
      <w:r>
        <w:rPr>
          <w:color w:val="231F20"/>
          <w:spacing w:val="-2"/>
        </w:rPr>
        <w:t> </w:t>
      </w:r>
      <w:r>
        <w:rPr>
          <w:color w:val="231F20"/>
        </w:rPr>
        <w:t>и</w:t>
      </w:r>
      <w:r>
        <w:rPr>
          <w:color w:val="231F20"/>
          <w:spacing w:val="-2"/>
        </w:rPr>
        <w:t> </w:t>
      </w:r>
      <w:r>
        <w:rPr>
          <w:color w:val="231F20"/>
        </w:rPr>
        <w:t>включает</w:t>
      </w:r>
      <w:r>
        <w:rPr>
          <w:color w:val="231F20"/>
          <w:spacing w:val="-2"/>
        </w:rPr>
        <w:t> </w:t>
      </w:r>
      <w:r>
        <w:rPr>
          <w:color w:val="231F20"/>
        </w:rPr>
        <w:t>методики,</w:t>
      </w:r>
      <w:r>
        <w:rPr>
          <w:color w:val="231F20"/>
          <w:spacing w:val="-2"/>
        </w:rPr>
        <w:t> </w:t>
      </w:r>
      <w:r>
        <w:rPr>
          <w:color w:val="231F20"/>
        </w:rPr>
        <w:t>про- ведение и обработка которых возможны в короткие сроки.</w:t>
      </w:r>
    </w:p>
    <w:p>
      <w:pPr>
        <w:pStyle w:val="BodyText"/>
        <w:spacing w:line="228" w:lineRule="auto"/>
      </w:pPr>
      <w:r>
        <w:rPr/>
        <w:t>Базовый</w:t>
      </w:r>
      <w:r>
        <w:rPr>
          <w:spacing w:val="-8"/>
        </w:rPr>
        <w:t> </w:t>
      </w:r>
      <w:r>
        <w:rPr/>
        <w:t>набор</w:t>
      </w:r>
      <w:r>
        <w:rPr>
          <w:spacing w:val="-8"/>
        </w:rPr>
        <w:t> </w:t>
      </w:r>
      <w:r>
        <w:rPr/>
        <w:t>позволяет</w:t>
      </w:r>
      <w:r>
        <w:rPr>
          <w:spacing w:val="-8"/>
        </w:rPr>
        <w:t> </w:t>
      </w:r>
      <w:r>
        <w:rPr/>
        <w:t>сделать</w:t>
      </w:r>
      <w:r>
        <w:rPr>
          <w:spacing w:val="-8"/>
        </w:rPr>
        <w:t> </w:t>
      </w:r>
      <w:r>
        <w:rPr/>
        <w:t>обоснованный</w:t>
      </w:r>
      <w:r>
        <w:rPr>
          <w:spacing w:val="-8"/>
        </w:rPr>
        <w:t> </w:t>
      </w:r>
      <w:r>
        <w:rPr/>
        <w:t>вывод</w:t>
      </w:r>
      <w:r>
        <w:rPr>
          <w:spacing w:val="-8"/>
        </w:rPr>
        <w:t> </w:t>
      </w:r>
      <w:r>
        <w:rPr/>
        <w:t>о</w:t>
      </w:r>
      <w:r>
        <w:rPr>
          <w:spacing w:val="-8"/>
        </w:rPr>
        <w:t> </w:t>
      </w:r>
      <w:r>
        <w:rPr/>
        <w:t>психологическом</w:t>
      </w:r>
      <w:r>
        <w:rPr>
          <w:spacing w:val="-8"/>
        </w:rPr>
        <w:t> </w:t>
      </w:r>
      <w:r>
        <w:rPr/>
        <w:t>благо- получии, социальных навыках и культурной адаптации ребенка-мигранта. Рекомен- дуется</w:t>
      </w:r>
      <w:r>
        <w:rPr>
          <w:spacing w:val="-10"/>
        </w:rPr>
        <w:t> </w:t>
      </w:r>
      <w:r>
        <w:rPr/>
        <w:t>для</w:t>
      </w:r>
      <w:r>
        <w:rPr>
          <w:spacing w:val="-10"/>
        </w:rPr>
        <w:t> </w:t>
      </w:r>
      <w:r>
        <w:rPr/>
        <w:t>каждого</w:t>
      </w:r>
      <w:r>
        <w:rPr>
          <w:spacing w:val="-10"/>
        </w:rPr>
        <w:t> </w:t>
      </w:r>
      <w:r>
        <w:rPr/>
        <w:t>ребенка-мигранта</w:t>
      </w:r>
      <w:r>
        <w:rPr>
          <w:spacing w:val="-10"/>
        </w:rPr>
        <w:t> </w:t>
      </w:r>
      <w:r>
        <w:rPr/>
        <w:t>применять</w:t>
      </w:r>
      <w:r>
        <w:rPr>
          <w:spacing w:val="-10"/>
        </w:rPr>
        <w:t> </w:t>
      </w:r>
      <w:r>
        <w:rPr/>
        <w:t>полный</w:t>
      </w:r>
      <w:r>
        <w:rPr>
          <w:spacing w:val="-10"/>
        </w:rPr>
        <w:t> </w:t>
      </w:r>
      <w:r>
        <w:rPr/>
        <w:t>комплект</w:t>
      </w:r>
      <w:r>
        <w:rPr>
          <w:spacing w:val="-10"/>
        </w:rPr>
        <w:t> </w:t>
      </w:r>
      <w:r>
        <w:rPr/>
        <w:t>методик</w:t>
      </w:r>
      <w:r>
        <w:rPr>
          <w:spacing w:val="-10"/>
        </w:rPr>
        <w:t> </w:t>
      </w:r>
      <w:r>
        <w:rPr/>
        <w:t>базового набора,</w:t>
      </w:r>
      <w:r>
        <w:rPr>
          <w:spacing w:val="-13"/>
        </w:rPr>
        <w:t> </w:t>
      </w:r>
      <w:r>
        <w:rPr/>
        <w:t>поскольку</w:t>
      </w:r>
      <w:r>
        <w:rPr>
          <w:spacing w:val="-12"/>
        </w:rPr>
        <w:t> </w:t>
      </w:r>
      <w:r>
        <w:rPr/>
        <w:t>это</w:t>
      </w:r>
      <w:r>
        <w:rPr>
          <w:spacing w:val="-13"/>
        </w:rPr>
        <w:t> </w:t>
      </w:r>
      <w:r>
        <w:rPr/>
        <w:t>позволит</w:t>
      </w:r>
      <w:r>
        <w:rPr>
          <w:spacing w:val="-12"/>
        </w:rPr>
        <w:t> </w:t>
      </w:r>
      <w:r>
        <w:rPr/>
        <w:t>в</w:t>
      </w:r>
      <w:r>
        <w:rPr>
          <w:spacing w:val="-13"/>
        </w:rPr>
        <w:t> </w:t>
      </w:r>
      <w:r>
        <w:rPr/>
        <w:t>полной</w:t>
      </w:r>
      <w:r>
        <w:rPr>
          <w:spacing w:val="-12"/>
        </w:rPr>
        <w:t> </w:t>
      </w:r>
      <w:r>
        <w:rPr/>
        <w:t>мере</w:t>
      </w:r>
      <w:r>
        <w:rPr>
          <w:spacing w:val="-13"/>
        </w:rPr>
        <w:t> </w:t>
      </w:r>
      <w:r>
        <w:rPr/>
        <w:t>охарактеризовать</w:t>
      </w:r>
      <w:r>
        <w:rPr>
          <w:spacing w:val="-12"/>
        </w:rPr>
        <w:t> </w:t>
      </w:r>
      <w:r>
        <w:rPr/>
        <w:t>его</w:t>
      </w:r>
      <w:r>
        <w:rPr>
          <w:spacing w:val="-13"/>
        </w:rPr>
        <w:t> </w:t>
      </w:r>
      <w:r>
        <w:rPr/>
        <w:t>образовательные </w:t>
      </w:r>
      <w:r>
        <w:rPr>
          <w:spacing w:val="-2"/>
        </w:rPr>
        <w:t>потребности.</w:t>
      </w:r>
    </w:p>
    <w:p>
      <w:pPr>
        <w:pStyle w:val="BodyText"/>
        <w:spacing w:line="230" w:lineRule="auto"/>
      </w:pPr>
      <w:r>
        <w:rPr>
          <w:color w:val="231F20"/>
        </w:rPr>
        <w:t>В</w:t>
      </w:r>
      <w:r>
        <w:rPr>
          <w:color w:val="231F20"/>
          <w:spacing w:val="-13"/>
        </w:rPr>
        <w:t> </w:t>
      </w:r>
      <w:r>
        <w:rPr>
          <w:color w:val="231F20"/>
        </w:rPr>
        <w:t>методических</w:t>
      </w:r>
      <w:r>
        <w:rPr>
          <w:color w:val="231F20"/>
          <w:spacing w:val="-12"/>
        </w:rPr>
        <w:t> </w:t>
      </w:r>
      <w:r>
        <w:rPr>
          <w:color w:val="231F20"/>
        </w:rPr>
        <w:t>рекомендациях</w:t>
      </w:r>
      <w:r>
        <w:rPr>
          <w:color w:val="231F20"/>
          <w:spacing w:val="-13"/>
        </w:rPr>
        <w:t> </w:t>
      </w:r>
      <w:r>
        <w:rPr>
          <w:color w:val="231F20"/>
        </w:rPr>
        <w:t>по</w:t>
      </w:r>
      <w:r>
        <w:rPr>
          <w:color w:val="231F20"/>
          <w:spacing w:val="-12"/>
        </w:rPr>
        <w:t> </w:t>
      </w:r>
      <w:r>
        <w:rPr>
          <w:color w:val="231F20"/>
        </w:rPr>
        <w:t>проведению</w:t>
      </w:r>
      <w:r>
        <w:rPr>
          <w:color w:val="231F20"/>
          <w:spacing w:val="-13"/>
        </w:rPr>
        <w:t> </w:t>
      </w:r>
      <w:r>
        <w:rPr>
          <w:color w:val="231F20"/>
        </w:rPr>
        <w:t>диагностической</w:t>
      </w:r>
      <w:r>
        <w:rPr>
          <w:color w:val="231F20"/>
          <w:spacing w:val="-12"/>
        </w:rPr>
        <w:t> </w:t>
      </w:r>
      <w:r>
        <w:rPr>
          <w:color w:val="231F20"/>
        </w:rPr>
        <w:t>программы</w:t>
      </w:r>
      <w:r>
        <w:rPr>
          <w:color w:val="231F20"/>
          <w:spacing w:val="-13"/>
        </w:rPr>
        <w:t> </w:t>
      </w:r>
      <w:r>
        <w:rPr>
          <w:color w:val="231F20"/>
        </w:rPr>
        <w:t>опи- саны три профиля аккультурации учащегося – иностранного гражданина. В совре- менной</w:t>
      </w:r>
      <w:r>
        <w:rPr>
          <w:color w:val="231F20"/>
          <w:spacing w:val="-7"/>
        </w:rPr>
        <w:t> </w:t>
      </w:r>
      <w:r>
        <w:rPr>
          <w:color w:val="231F20"/>
        </w:rPr>
        <w:t>психологии</w:t>
      </w:r>
      <w:r>
        <w:rPr>
          <w:color w:val="231F20"/>
          <w:spacing w:val="-7"/>
        </w:rPr>
        <w:t> </w:t>
      </w:r>
      <w:r>
        <w:rPr>
          <w:color w:val="231F20"/>
        </w:rPr>
        <w:t>процесс</w:t>
      </w:r>
      <w:r>
        <w:rPr>
          <w:color w:val="231F20"/>
          <w:spacing w:val="-7"/>
        </w:rPr>
        <w:t> </w:t>
      </w:r>
      <w:r>
        <w:rPr>
          <w:color w:val="231F20"/>
        </w:rPr>
        <w:t>вхождения</w:t>
      </w:r>
      <w:r>
        <w:rPr>
          <w:color w:val="231F20"/>
          <w:spacing w:val="-7"/>
        </w:rPr>
        <w:t> </w:t>
      </w:r>
      <w:r>
        <w:rPr>
          <w:color w:val="231F20"/>
        </w:rPr>
        <w:t>в</w:t>
      </w:r>
      <w:r>
        <w:rPr>
          <w:color w:val="231F20"/>
          <w:spacing w:val="-7"/>
        </w:rPr>
        <w:t> </w:t>
      </w:r>
      <w:r>
        <w:rPr>
          <w:color w:val="231F20"/>
        </w:rPr>
        <w:t>новую</w:t>
      </w:r>
      <w:r>
        <w:rPr>
          <w:color w:val="231F20"/>
          <w:spacing w:val="-7"/>
        </w:rPr>
        <w:t> </w:t>
      </w:r>
      <w:r>
        <w:rPr>
          <w:color w:val="231F20"/>
        </w:rPr>
        <w:t>культуру</w:t>
      </w:r>
      <w:r>
        <w:rPr>
          <w:color w:val="231F20"/>
          <w:spacing w:val="-7"/>
        </w:rPr>
        <w:t> </w:t>
      </w:r>
      <w:r>
        <w:rPr>
          <w:color w:val="231F20"/>
        </w:rPr>
        <w:t>обозначен</w:t>
      </w:r>
      <w:r>
        <w:rPr>
          <w:color w:val="231F20"/>
          <w:spacing w:val="-7"/>
        </w:rPr>
        <w:t> </w:t>
      </w:r>
      <w:r>
        <w:rPr>
          <w:color w:val="231F20"/>
        </w:rPr>
        <w:t>специфическим термином – аккультурация. Это особая форма передачи культуры, которая происхо- дит в результате контакта ребенка с людьми и социальными институтами (в первую очередь – школой), принадлежащим к другим культурам.</w:t>
      </w:r>
    </w:p>
    <w:p>
      <w:pPr>
        <w:pStyle w:val="BodyText"/>
        <w:spacing w:line="235" w:lineRule="auto"/>
      </w:pPr>
      <w:r>
        <w:rPr>
          <w:color w:val="231F20"/>
        </w:rPr>
        <w:t>Профили аккультурации учащегося – иностранного гражданина построены на математико-статистическом анализе данных по выраженности трех из пяти особых (дополнительных) образовательных потребностей детей-иностранных граждан в области: а) психологического благополучия; б) социальных навыков; в) культурной </w:t>
      </w:r>
      <w:r>
        <w:rPr>
          <w:color w:val="231F20"/>
          <w:spacing w:val="-2"/>
        </w:rPr>
        <w:t>адаптации.</w:t>
      </w:r>
    </w:p>
    <w:p>
      <w:pPr>
        <w:pStyle w:val="ListParagraph"/>
        <w:numPr>
          <w:ilvl w:val="0"/>
          <w:numId w:val="41"/>
        </w:numPr>
        <w:tabs>
          <w:tab w:pos="423" w:val="left" w:leader="none"/>
          <w:tab w:pos="425" w:val="left" w:leader="none"/>
        </w:tabs>
        <w:spacing w:line="235" w:lineRule="auto" w:before="0" w:after="0"/>
        <w:ind w:left="425" w:right="140" w:hanging="284"/>
        <w:jc w:val="both"/>
        <w:rPr>
          <w:color w:val="231F20"/>
          <w:sz w:val="20"/>
        </w:rPr>
      </w:pPr>
      <w:r>
        <w:rPr>
          <w:sz w:val="20"/>
        </w:rPr>
        <w:t>Интеграционный профиль. Характерен для учащихся – иностранных граждан, успешно адаптирующихся в российской культурной среде.</w:t>
      </w:r>
    </w:p>
    <w:p>
      <w:pPr>
        <w:pStyle w:val="ListParagraph"/>
        <w:numPr>
          <w:ilvl w:val="0"/>
          <w:numId w:val="41"/>
        </w:numPr>
        <w:tabs>
          <w:tab w:pos="423" w:val="left" w:leader="none"/>
          <w:tab w:pos="425" w:val="left" w:leader="none"/>
        </w:tabs>
        <w:spacing w:line="232" w:lineRule="auto" w:before="2" w:after="0"/>
        <w:ind w:left="425" w:right="139" w:hanging="284"/>
        <w:jc w:val="both"/>
        <w:rPr>
          <w:color w:val="231F20"/>
          <w:sz w:val="20"/>
        </w:rPr>
      </w:pPr>
      <w:r>
        <w:rPr>
          <w:color w:val="231F20"/>
          <w:sz w:val="20"/>
        </w:rPr>
        <w:t>Смешанный</w:t>
      </w:r>
      <w:r>
        <w:rPr>
          <w:color w:val="231F20"/>
          <w:spacing w:val="-4"/>
          <w:sz w:val="20"/>
        </w:rPr>
        <w:t> </w:t>
      </w:r>
      <w:r>
        <w:rPr>
          <w:sz w:val="20"/>
        </w:rPr>
        <w:t>профиль.</w:t>
      </w:r>
      <w:r>
        <w:rPr>
          <w:spacing w:val="-4"/>
          <w:sz w:val="20"/>
        </w:rPr>
        <w:t> </w:t>
      </w:r>
      <w:r>
        <w:rPr>
          <w:sz w:val="20"/>
        </w:rPr>
        <w:t>Характерен</w:t>
      </w:r>
      <w:r>
        <w:rPr>
          <w:spacing w:val="-4"/>
          <w:sz w:val="20"/>
        </w:rPr>
        <w:t> </w:t>
      </w:r>
      <w:r>
        <w:rPr>
          <w:sz w:val="20"/>
        </w:rPr>
        <w:t>для</w:t>
      </w:r>
      <w:r>
        <w:rPr>
          <w:spacing w:val="-4"/>
          <w:sz w:val="20"/>
        </w:rPr>
        <w:t> </w:t>
      </w:r>
      <w:r>
        <w:rPr>
          <w:sz w:val="20"/>
        </w:rPr>
        <w:t>учащихся</w:t>
      </w:r>
      <w:r>
        <w:rPr>
          <w:spacing w:val="-4"/>
          <w:sz w:val="20"/>
        </w:rPr>
        <w:t> </w:t>
      </w:r>
      <w:r>
        <w:rPr>
          <w:sz w:val="20"/>
        </w:rPr>
        <w:t>–</w:t>
      </w:r>
      <w:r>
        <w:rPr>
          <w:spacing w:val="-4"/>
          <w:sz w:val="20"/>
        </w:rPr>
        <w:t> </w:t>
      </w:r>
      <w:r>
        <w:rPr>
          <w:sz w:val="20"/>
        </w:rPr>
        <w:t>иностранных</w:t>
      </w:r>
      <w:r>
        <w:rPr>
          <w:spacing w:val="-4"/>
          <w:sz w:val="20"/>
        </w:rPr>
        <w:t> </w:t>
      </w:r>
      <w:r>
        <w:rPr>
          <w:sz w:val="20"/>
        </w:rPr>
        <w:t>граждан,</w:t>
      </w:r>
      <w:r>
        <w:rPr>
          <w:spacing w:val="-4"/>
          <w:sz w:val="20"/>
        </w:rPr>
        <w:t> </w:t>
      </w:r>
      <w:r>
        <w:rPr>
          <w:sz w:val="20"/>
        </w:rPr>
        <w:t>адапти- рующихся в российской культурной среде менее успешно, чем школьники с ин- теграционным профилем, и испытывающих при этом процессе психологические </w:t>
      </w:r>
      <w:r>
        <w:rPr>
          <w:spacing w:val="-2"/>
          <w:sz w:val="20"/>
        </w:rPr>
        <w:t>трудности.</w:t>
      </w:r>
    </w:p>
    <w:p>
      <w:pPr>
        <w:pStyle w:val="ListParagraph"/>
        <w:numPr>
          <w:ilvl w:val="0"/>
          <w:numId w:val="41"/>
        </w:numPr>
        <w:tabs>
          <w:tab w:pos="423" w:val="left" w:leader="none"/>
          <w:tab w:pos="425" w:val="left" w:leader="none"/>
        </w:tabs>
        <w:spacing w:line="232" w:lineRule="auto" w:before="4" w:after="0"/>
        <w:ind w:left="425" w:right="140" w:hanging="284"/>
        <w:jc w:val="both"/>
        <w:rPr>
          <w:color w:val="231F20"/>
          <w:sz w:val="20"/>
        </w:rPr>
      </w:pPr>
      <w:r>
        <w:rPr>
          <w:sz w:val="20"/>
        </w:rPr>
        <w:t>Дезадаптивный профиль. Характерен для учащихся – иностранных граждан, с трудом адаптирующихся в российской культурной среде и испытывающих при этом наибольшие психологические трудности.</w:t>
      </w:r>
    </w:p>
    <w:p>
      <w:pPr>
        <w:pStyle w:val="BodyText"/>
        <w:spacing w:before="110"/>
      </w:pPr>
      <w:r>
        <w:rPr>
          <w:color w:val="231F20"/>
        </w:rPr>
        <w:t>По</w:t>
      </w:r>
      <w:r>
        <w:rPr>
          <w:color w:val="231F20"/>
          <w:spacing w:val="-13"/>
        </w:rPr>
        <w:t> </w:t>
      </w:r>
      <w:r>
        <w:rPr>
          <w:color w:val="231F20"/>
        </w:rPr>
        <w:t>результатам</w:t>
      </w:r>
      <w:r>
        <w:rPr>
          <w:color w:val="231F20"/>
          <w:spacing w:val="-12"/>
        </w:rPr>
        <w:t> </w:t>
      </w:r>
      <w:r>
        <w:rPr>
          <w:color w:val="231F20"/>
        </w:rPr>
        <w:t>использования</w:t>
      </w:r>
      <w:r>
        <w:rPr>
          <w:color w:val="231F20"/>
          <w:spacing w:val="-13"/>
        </w:rPr>
        <w:t> </w:t>
      </w:r>
      <w:r>
        <w:rPr>
          <w:color w:val="231F20"/>
        </w:rPr>
        <w:t>базового</w:t>
      </w:r>
      <w:r>
        <w:rPr>
          <w:color w:val="231F20"/>
          <w:spacing w:val="-12"/>
        </w:rPr>
        <w:t> </w:t>
      </w:r>
      <w:r>
        <w:rPr>
          <w:color w:val="231F20"/>
        </w:rPr>
        <w:t>набора</w:t>
      </w:r>
      <w:r>
        <w:rPr>
          <w:color w:val="231F20"/>
          <w:spacing w:val="-13"/>
        </w:rPr>
        <w:t> </w:t>
      </w:r>
      <w:r>
        <w:rPr>
          <w:color w:val="231F20"/>
        </w:rPr>
        <w:t>программы</w:t>
      </w:r>
      <w:r>
        <w:rPr>
          <w:color w:val="231F20"/>
          <w:spacing w:val="-12"/>
        </w:rPr>
        <w:t> </w:t>
      </w:r>
      <w:r>
        <w:rPr>
          <w:color w:val="231F20"/>
        </w:rPr>
        <w:t>диагностики</w:t>
      </w:r>
      <w:r>
        <w:rPr>
          <w:color w:val="231F20"/>
          <w:spacing w:val="-13"/>
        </w:rPr>
        <w:t> </w:t>
      </w:r>
      <w:r>
        <w:rPr>
          <w:color w:val="231F20"/>
        </w:rPr>
        <w:t>психолог </w:t>
      </w:r>
      <w:r>
        <w:rPr>
          <w:color w:val="231F20"/>
          <w:spacing w:val="-2"/>
        </w:rPr>
        <w:t>может</w:t>
      </w:r>
      <w:r>
        <w:rPr>
          <w:color w:val="231F20"/>
        </w:rPr>
        <w:t> </w:t>
      </w:r>
      <w:r>
        <w:rPr>
          <w:color w:val="231F20"/>
          <w:spacing w:val="-2"/>
        </w:rPr>
        <w:t>сделать</w:t>
      </w:r>
      <w:r>
        <w:rPr>
          <w:color w:val="231F20"/>
        </w:rPr>
        <w:t> </w:t>
      </w:r>
      <w:r>
        <w:rPr>
          <w:color w:val="231F20"/>
          <w:spacing w:val="-2"/>
        </w:rPr>
        <w:t>вывод,</w:t>
      </w:r>
      <w:r>
        <w:rPr>
          <w:color w:val="231F20"/>
        </w:rPr>
        <w:t> </w:t>
      </w:r>
      <w:r>
        <w:rPr>
          <w:color w:val="231F20"/>
          <w:spacing w:val="-2"/>
        </w:rPr>
        <w:t>насколько</w:t>
      </w:r>
      <w:r>
        <w:rPr>
          <w:color w:val="231F20"/>
          <w:spacing w:val="1"/>
        </w:rPr>
        <w:t> </w:t>
      </w:r>
      <w:r>
        <w:rPr>
          <w:color w:val="231F20"/>
          <w:spacing w:val="-2"/>
        </w:rPr>
        <w:t>данные</w:t>
      </w:r>
      <w:r>
        <w:rPr>
          <w:color w:val="231F20"/>
        </w:rPr>
        <w:t> </w:t>
      </w:r>
      <w:r>
        <w:rPr>
          <w:color w:val="231F20"/>
          <w:spacing w:val="-2"/>
        </w:rPr>
        <w:t>ребенка</w:t>
      </w:r>
      <w:r>
        <w:rPr>
          <w:color w:val="231F20"/>
        </w:rPr>
        <w:t> </w:t>
      </w:r>
      <w:r>
        <w:rPr>
          <w:color w:val="231F20"/>
          <w:spacing w:val="-2"/>
        </w:rPr>
        <w:t>соответствуют</w:t>
      </w:r>
      <w:r>
        <w:rPr>
          <w:color w:val="231F20"/>
        </w:rPr>
        <w:t> </w:t>
      </w:r>
      <w:r>
        <w:rPr>
          <w:color w:val="231F20"/>
          <w:spacing w:val="-2"/>
        </w:rPr>
        <w:t>средним</w:t>
      </w:r>
      <w:r>
        <w:rPr>
          <w:color w:val="231F20"/>
          <w:spacing w:val="1"/>
        </w:rPr>
        <w:t> </w:t>
      </w:r>
      <w:r>
        <w:rPr>
          <w:color w:val="231F20"/>
          <w:spacing w:val="-2"/>
        </w:rPr>
        <w:t>показателям</w:t>
      </w:r>
    </w:p>
    <w:p>
      <w:pPr>
        <w:pStyle w:val="BodyText"/>
        <w:spacing w:after="0"/>
        <w:sectPr>
          <w:pgSz w:w="8400" w:h="11910"/>
          <w:pgMar w:header="0" w:footer="531"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Введение</w:t>
      </w:r>
    </w:p>
    <w:p>
      <w:pPr>
        <w:pStyle w:val="BodyText"/>
        <w:spacing w:before="112"/>
        <w:ind w:firstLine="0"/>
      </w:pPr>
      <w:r>
        <w:rPr>
          <w:color w:val="231F20"/>
        </w:rPr>
        <w:t>того или иного профиля. Если ребенок показал как минимум одно соответствие де- задаптивному профилю, в этом случае нужна углубленная диагностика с помощью расширенного пакета.</w:t>
      </w:r>
    </w:p>
    <w:p>
      <w:pPr>
        <w:pStyle w:val="BodyText"/>
        <w:jc w:val="right"/>
      </w:pPr>
      <w:r>
        <w:rPr/>
        <w:t>Расширенный</w:t>
      </w:r>
      <w:r>
        <w:rPr>
          <w:spacing w:val="-4"/>
        </w:rPr>
        <w:t> </w:t>
      </w:r>
      <w:r>
        <w:rPr/>
        <w:t>пакет</w:t>
      </w:r>
      <w:r>
        <w:rPr>
          <w:spacing w:val="-4"/>
        </w:rPr>
        <w:t> </w:t>
      </w:r>
      <w:r>
        <w:rPr/>
        <w:t>программы</w:t>
      </w:r>
      <w:r>
        <w:rPr>
          <w:spacing w:val="-4"/>
        </w:rPr>
        <w:t> </w:t>
      </w:r>
      <w:r>
        <w:rPr/>
        <w:t>диагностики</w:t>
      </w:r>
      <w:r>
        <w:rPr>
          <w:spacing w:val="-4"/>
        </w:rPr>
        <w:t> </w:t>
      </w:r>
      <w:r>
        <w:rPr/>
        <w:t>предназначен</w:t>
      </w:r>
      <w:r>
        <w:rPr>
          <w:spacing w:val="-4"/>
        </w:rPr>
        <w:t> </w:t>
      </w:r>
      <w:r>
        <w:rPr/>
        <w:t>для</w:t>
      </w:r>
      <w:r>
        <w:rPr>
          <w:spacing w:val="-4"/>
        </w:rPr>
        <w:t> </w:t>
      </w:r>
      <w:r>
        <w:rPr/>
        <w:t>углубленной</w:t>
      </w:r>
      <w:r>
        <w:rPr>
          <w:spacing w:val="-4"/>
        </w:rPr>
        <w:t> </w:t>
      </w:r>
      <w:r>
        <w:rPr/>
        <w:t>диа- </w:t>
      </w:r>
      <w:r>
        <w:rPr>
          <w:spacing w:val="-2"/>
        </w:rPr>
        <w:t>гностики,</w:t>
      </w:r>
      <w:r>
        <w:rPr>
          <w:spacing w:val="-7"/>
        </w:rPr>
        <w:t> </w:t>
      </w:r>
      <w:r>
        <w:rPr>
          <w:spacing w:val="-2"/>
        </w:rPr>
        <w:t>включающей</w:t>
      </w:r>
      <w:r>
        <w:rPr>
          <w:spacing w:val="-7"/>
        </w:rPr>
        <w:t> </w:t>
      </w:r>
      <w:r>
        <w:rPr>
          <w:spacing w:val="-2"/>
        </w:rPr>
        <w:t>определение</w:t>
      </w:r>
      <w:r>
        <w:rPr>
          <w:spacing w:val="-7"/>
        </w:rPr>
        <w:t> </w:t>
      </w:r>
      <w:r>
        <w:rPr>
          <w:spacing w:val="-2"/>
        </w:rPr>
        <w:t>уровня</w:t>
      </w:r>
      <w:r>
        <w:rPr>
          <w:spacing w:val="-7"/>
        </w:rPr>
        <w:t> </w:t>
      </w:r>
      <w:r>
        <w:rPr>
          <w:spacing w:val="-2"/>
        </w:rPr>
        <w:t>актуального</w:t>
      </w:r>
      <w:r>
        <w:rPr>
          <w:spacing w:val="-7"/>
        </w:rPr>
        <w:t> </w:t>
      </w:r>
      <w:r>
        <w:rPr>
          <w:spacing w:val="-2"/>
        </w:rPr>
        <w:t>развития</w:t>
      </w:r>
      <w:r>
        <w:rPr>
          <w:spacing w:val="-7"/>
        </w:rPr>
        <w:t> </w:t>
      </w:r>
      <w:r>
        <w:rPr>
          <w:spacing w:val="-2"/>
        </w:rPr>
        <w:t>и</w:t>
      </w:r>
      <w:r>
        <w:rPr>
          <w:spacing w:val="-7"/>
        </w:rPr>
        <w:t> </w:t>
      </w:r>
      <w:r>
        <w:rPr>
          <w:spacing w:val="-2"/>
        </w:rPr>
        <w:t>зоны</w:t>
      </w:r>
      <w:r>
        <w:rPr>
          <w:spacing w:val="-7"/>
        </w:rPr>
        <w:t> </w:t>
      </w:r>
      <w:r>
        <w:rPr>
          <w:spacing w:val="-2"/>
        </w:rPr>
        <w:t>ближайшего развития обучающегося иностранного гражданина. Он позволяет провести дифферен- </w:t>
      </w:r>
      <w:r>
        <w:rPr/>
        <w:t>цированную оценку особых (дополнительных) образовательных потребностей в об- </w:t>
      </w:r>
      <w:r>
        <w:rPr>
          <w:spacing w:val="-2"/>
        </w:rPr>
        <w:t>ласти психологического благополучия, социальных навыков и культурной адаптации. </w:t>
      </w:r>
      <w:r>
        <w:rPr>
          <w:color w:val="231F20"/>
        </w:rPr>
        <w:t>Основным механизмом выработки и реализации индивидуальной стратегии со- провождения</w:t>
      </w:r>
      <w:r>
        <w:rPr>
          <w:color w:val="231F20"/>
          <w:spacing w:val="-10"/>
        </w:rPr>
        <w:t> </w:t>
      </w:r>
      <w:r>
        <w:rPr>
          <w:color w:val="231F20"/>
        </w:rPr>
        <w:t>детей</w:t>
      </w:r>
      <w:r>
        <w:rPr>
          <w:color w:val="231F20"/>
          <w:spacing w:val="-10"/>
        </w:rPr>
        <w:t> </w:t>
      </w:r>
      <w:r>
        <w:rPr>
          <w:color w:val="231F20"/>
        </w:rPr>
        <w:t>–</w:t>
      </w:r>
      <w:r>
        <w:rPr>
          <w:color w:val="231F20"/>
          <w:spacing w:val="-10"/>
        </w:rPr>
        <w:t> </w:t>
      </w:r>
      <w:r>
        <w:rPr>
          <w:color w:val="231F20"/>
        </w:rPr>
        <w:t>иностранных</w:t>
      </w:r>
      <w:r>
        <w:rPr>
          <w:color w:val="231F20"/>
          <w:spacing w:val="-9"/>
        </w:rPr>
        <w:t> </w:t>
      </w:r>
      <w:r>
        <w:rPr>
          <w:color w:val="231F20"/>
        </w:rPr>
        <w:t>граждан</w:t>
      </w:r>
      <w:r>
        <w:rPr>
          <w:color w:val="231F20"/>
          <w:spacing w:val="-10"/>
        </w:rPr>
        <w:t> </w:t>
      </w:r>
      <w:r>
        <w:rPr>
          <w:color w:val="231F20"/>
        </w:rPr>
        <w:t>является</w:t>
      </w:r>
      <w:r>
        <w:rPr>
          <w:color w:val="231F20"/>
          <w:spacing w:val="-10"/>
        </w:rPr>
        <w:t> </w:t>
      </w:r>
      <w:r>
        <w:rPr>
          <w:color w:val="231F20"/>
        </w:rPr>
        <w:t>психолого-педагогический</w:t>
      </w:r>
      <w:r>
        <w:rPr>
          <w:color w:val="231F20"/>
          <w:spacing w:val="-10"/>
        </w:rPr>
        <w:t> </w:t>
      </w:r>
      <w:r>
        <w:rPr>
          <w:color w:val="231F20"/>
        </w:rPr>
        <w:t>кон- силиум образовательной организации (далее – консилиум), одна из задач которого состоит</w:t>
      </w:r>
      <w:r>
        <w:rPr>
          <w:color w:val="231F20"/>
          <w:spacing w:val="-8"/>
        </w:rPr>
        <w:t> </w:t>
      </w:r>
      <w:r>
        <w:rPr>
          <w:color w:val="231F20"/>
        </w:rPr>
        <w:t>в</w:t>
      </w:r>
      <w:r>
        <w:rPr>
          <w:color w:val="231F20"/>
          <w:spacing w:val="-8"/>
        </w:rPr>
        <w:t> </w:t>
      </w:r>
      <w:r>
        <w:rPr>
          <w:color w:val="231F20"/>
        </w:rPr>
        <w:t>выявлении</w:t>
      </w:r>
      <w:r>
        <w:rPr>
          <w:color w:val="231F20"/>
          <w:spacing w:val="-8"/>
        </w:rPr>
        <w:t> </w:t>
      </w:r>
      <w:r>
        <w:rPr>
          <w:color w:val="231F20"/>
        </w:rPr>
        <w:t>трудностей</w:t>
      </w:r>
      <w:r>
        <w:rPr>
          <w:color w:val="231F20"/>
          <w:spacing w:val="-8"/>
        </w:rPr>
        <w:t> </w:t>
      </w:r>
      <w:r>
        <w:rPr>
          <w:color w:val="231F20"/>
        </w:rPr>
        <w:t>освоения</w:t>
      </w:r>
      <w:r>
        <w:rPr>
          <w:color w:val="231F20"/>
          <w:spacing w:val="-8"/>
        </w:rPr>
        <w:t> </w:t>
      </w:r>
      <w:r>
        <w:rPr>
          <w:color w:val="231F20"/>
        </w:rPr>
        <w:t>образовательных</w:t>
      </w:r>
      <w:r>
        <w:rPr>
          <w:color w:val="231F20"/>
          <w:spacing w:val="-8"/>
        </w:rPr>
        <w:t> </w:t>
      </w:r>
      <w:r>
        <w:rPr>
          <w:color w:val="231F20"/>
        </w:rPr>
        <w:t>программ,</w:t>
      </w:r>
      <w:r>
        <w:rPr>
          <w:color w:val="231F20"/>
          <w:spacing w:val="-8"/>
        </w:rPr>
        <w:t> </w:t>
      </w:r>
      <w:r>
        <w:rPr>
          <w:color w:val="231F20"/>
        </w:rPr>
        <w:t>особенностей в</w:t>
      </w:r>
      <w:r>
        <w:rPr>
          <w:color w:val="231F20"/>
          <w:spacing w:val="35"/>
        </w:rPr>
        <w:t> </w:t>
      </w:r>
      <w:r>
        <w:rPr>
          <w:color w:val="231F20"/>
        </w:rPr>
        <w:t>развитии,</w:t>
      </w:r>
      <w:r>
        <w:rPr>
          <w:color w:val="231F20"/>
          <w:spacing w:val="37"/>
        </w:rPr>
        <w:t> </w:t>
      </w:r>
      <w:r>
        <w:rPr>
          <w:color w:val="231F20"/>
        </w:rPr>
        <w:t>социальной</w:t>
      </w:r>
      <w:r>
        <w:rPr>
          <w:color w:val="231F20"/>
          <w:spacing w:val="37"/>
        </w:rPr>
        <w:t> </w:t>
      </w:r>
      <w:r>
        <w:rPr>
          <w:color w:val="231F20"/>
        </w:rPr>
        <w:t>адаптации</w:t>
      </w:r>
      <w:r>
        <w:rPr>
          <w:color w:val="231F20"/>
          <w:spacing w:val="37"/>
        </w:rPr>
        <w:t> </w:t>
      </w:r>
      <w:r>
        <w:rPr>
          <w:color w:val="231F20"/>
        </w:rPr>
        <w:t>и</w:t>
      </w:r>
      <w:r>
        <w:rPr>
          <w:color w:val="231F20"/>
          <w:spacing w:val="37"/>
        </w:rPr>
        <w:t> </w:t>
      </w:r>
      <w:r>
        <w:rPr>
          <w:color w:val="231F20"/>
        </w:rPr>
        <w:t>поведении</w:t>
      </w:r>
      <w:r>
        <w:rPr>
          <w:color w:val="231F20"/>
          <w:spacing w:val="37"/>
        </w:rPr>
        <w:t> </w:t>
      </w:r>
      <w:r>
        <w:rPr>
          <w:color w:val="231F20"/>
        </w:rPr>
        <w:t>обучающихся</w:t>
      </w:r>
      <w:r>
        <w:rPr>
          <w:color w:val="231F20"/>
          <w:spacing w:val="37"/>
        </w:rPr>
        <w:t> </w:t>
      </w:r>
      <w:r>
        <w:rPr>
          <w:color w:val="231F20"/>
        </w:rPr>
        <w:t>для</w:t>
      </w:r>
      <w:r>
        <w:rPr>
          <w:color w:val="231F20"/>
          <w:spacing w:val="37"/>
        </w:rPr>
        <w:t> </w:t>
      </w:r>
      <w:r>
        <w:rPr>
          <w:color w:val="231F20"/>
          <w:spacing w:val="-2"/>
        </w:rPr>
        <w:t>последующего</w:t>
      </w:r>
    </w:p>
    <w:p>
      <w:pPr>
        <w:pStyle w:val="BodyText"/>
        <w:ind w:right="0" w:firstLine="0"/>
      </w:pPr>
      <w:r>
        <w:rPr>
          <w:color w:val="231F20"/>
        </w:rPr>
        <w:t>принятия</w:t>
      </w:r>
      <w:r>
        <w:rPr>
          <w:color w:val="231F20"/>
          <w:spacing w:val="-14"/>
        </w:rPr>
        <w:t> </w:t>
      </w:r>
      <w:r>
        <w:rPr>
          <w:color w:val="231F20"/>
        </w:rPr>
        <w:t>решений</w:t>
      </w:r>
      <w:r>
        <w:rPr>
          <w:color w:val="231F20"/>
          <w:spacing w:val="-12"/>
        </w:rPr>
        <w:t> </w:t>
      </w:r>
      <w:r>
        <w:rPr>
          <w:color w:val="231F20"/>
        </w:rPr>
        <w:t>по</w:t>
      </w:r>
      <w:r>
        <w:rPr>
          <w:color w:val="231F20"/>
          <w:spacing w:val="-12"/>
        </w:rPr>
        <w:t> </w:t>
      </w:r>
      <w:r>
        <w:rPr>
          <w:color w:val="231F20"/>
        </w:rPr>
        <w:t>организации</w:t>
      </w:r>
      <w:r>
        <w:rPr>
          <w:color w:val="231F20"/>
          <w:spacing w:val="-12"/>
        </w:rPr>
        <w:t> </w:t>
      </w:r>
      <w:r>
        <w:rPr>
          <w:color w:val="231F20"/>
        </w:rPr>
        <w:t>психолого-педагогического</w:t>
      </w:r>
      <w:r>
        <w:rPr>
          <w:color w:val="231F20"/>
          <w:spacing w:val="-11"/>
        </w:rPr>
        <w:t> </w:t>
      </w:r>
      <w:r>
        <w:rPr>
          <w:color w:val="231F20"/>
          <w:spacing w:val="-2"/>
        </w:rPr>
        <w:t>сопровождения</w:t>
      </w:r>
      <w:r>
        <w:rPr>
          <w:color w:val="231F20"/>
          <w:spacing w:val="-2"/>
          <w:vertAlign w:val="superscript"/>
        </w:rPr>
        <w:t>1</w:t>
      </w:r>
      <w:r>
        <w:rPr>
          <w:color w:val="231F20"/>
          <w:spacing w:val="-2"/>
          <w:vertAlign w:val="baseline"/>
        </w:rPr>
        <w:t>.</w:t>
      </w:r>
    </w:p>
    <w:p>
      <w:pPr>
        <w:pStyle w:val="BodyText"/>
      </w:pPr>
      <w:r>
        <w:rPr>
          <w:color w:val="231F20"/>
        </w:rPr>
        <w:t>В ходе консилиума проводится обсуждение результатов базовой и расширен-</w:t>
      </w:r>
      <w:r>
        <w:rPr>
          <w:color w:val="231F20"/>
          <w:spacing w:val="40"/>
        </w:rPr>
        <w:t> </w:t>
      </w:r>
      <w:r>
        <w:rPr>
          <w:color w:val="231F20"/>
        </w:rPr>
        <w:t>ной диагностики особых (дополнительных) образовательных потребностей в обла- сти психологического благополучия, социальных навыков и культурной адаптации детей – иностранных граждан. По итогам консилиума составляется список несовер- шеннолетних иностранных граждан, нуждающихся в индивидуальном коррекцион- ном</w:t>
      </w:r>
      <w:r>
        <w:rPr>
          <w:color w:val="231F20"/>
          <w:spacing w:val="-13"/>
        </w:rPr>
        <w:t> </w:t>
      </w:r>
      <w:r>
        <w:rPr>
          <w:color w:val="231F20"/>
        </w:rPr>
        <w:t>сопровождении.</w:t>
      </w:r>
      <w:r>
        <w:rPr>
          <w:color w:val="231F20"/>
          <w:spacing w:val="-12"/>
        </w:rPr>
        <w:t> </w:t>
      </w:r>
      <w:r>
        <w:rPr>
          <w:color w:val="231F20"/>
        </w:rPr>
        <w:t>Для</w:t>
      </w:r>
      <w:r>
        <w:rPr>
          <w:color w:val="231F20"/>
          <w:spacing w:val="-13"/>
        </w:rPr>
        <w:t> </w:t>
      </w:r>
      <w:r>
        <w:rPr>
          <w:color w:val="231F20"/>
        </w:rPr>
        <w:t>каждого</w:t>
      </w:r>
      <w:r>
        <w:rPr>
          <w:color w:val="231F20"/>
          <w:spacing w:val="-12"/>
        </w:rPr>
        <w:t> </w:t>
      </w:r>
      <w:r>
        <w:rPr>
          <w:color w:val="231F20"/>
        </w:rPr>
        <w:t>из</w:t>
      </w:r>
      <w:r>
        <w:rPr>
          <w:color w:val="231F20"/>
          <w:spacing w:val="-13"/>
        </w:rPr>
        <w:t> </w:t>
      </w:r>
      <w:r>
        <w:rPr>
          <w:color w:val="231F20"/>
        </w:rPr>
        <w:t>них</w:t>
      </w:r>
      <w:r>
        <w:rPr>
          <w:color w:val="231F20"/>
          <w:spacing w:val="-12"/>
        </w:rPr>
        <w:t> </w:t>
      </w:r>
      <w:r>
        <w:rPr>
          <w:color w:val="231F20"/>
        </w:rPr>
        <w:t>разрабатывается</w:t>
      </w:r>
      <w:r>
        <w:rPr>
          <w:color w:val="231F20"/>
          <w:spacing w:val="-13"/>
        </w:rPr>
        <w:t> </w:t>
      </w:r>
      <w:r>
        <w:rPr>
          <w:color w:val="231F20"/>
        </w:rPr>
        <w:t>индивидуальный</w:t>
      </w:r>
      <w:r>
        <w:rPr>
          <w:color w:val="231F20"/>
          <w:spacing w:val="-12"/>
        </w:rPr>
        <w:t> </w:t>
      </w:r>
      <w:r>
        <w:rPr>
          <w:color w:val="231F20"/>
        </w:rPr>
        <w:t>план</w:t>
      </w:r>
      <w:r>
        <w:rPr>
          <w:color w:val="231F20"/>
          <w:spacing w:val="-13"/>
        </w:rPr>
        <w:t> </w:t>
      </w:r>
      <w:r>
        <w:rPr>
          <w:color w:val="231F20"/>
        </w:rPr>
        <w:t>кор- рекционной работы.</w:t>
      </w:r>
    </w:p>
    <w:p>
      <w:pPr>
        <w:pStyle w:val="BodyText"/>
        <w:spacing w:line="237" w:lineRule="auto" w:before="2"/>
      </w:pPr>
      <w:r>
        <w:rPr/>
        <w:t>В</w:t>
      </w:r>
      <w:r>
        <w:rPr>
          <w:spacing w:val="-9"/>
        </w:rPr>
        <w:t> </w:t>
      </w:r>
      <w:r>
        <w:rPr/>
        <w:t>случае</w:t>
      </w:r>
      <w:r>
        <w:rPr>
          <w:spacing w:val="-9"/>
        </w:rPr>
        <w:t> </w:t>
      </w:r>
      <w:r>
        <w:rPr/>
        <w:t>недостаточного</w:t>
      </w:r>
      <w:r>
        <w:rPr>
          <w:spacing w:val="-9"/>
        </w:rPr>
        <w:t> </w:t>
      </w:r>
      <w:r>
        <w:rPr/>
        <w:t>владения</w:t>
      </w:r>
      <w:r>
        <w:rPr>
          <w:spacing w:val="-9"/>
        </w:rPr>
        <w:t> </w:t>
      </w:r>
      <w:r>
        <w:rPr/>
        <w:t>русским</w:t>
      </w:r>
      <w:r>
        <w:rPr>
          <w:spacing w:val="-9"/>
        </w:rPr>
        <w:t> </w:t>
      </w:r>
      <w:r>
        <w:rPr/>
        <w:t>языком</w:t>
      </w:r>
      <w:r>
        <w:rPr>
          <w:spacing w:val="-9"/>
        </w:rPr>
        <w:t> </w:t>
      </w:r>
      <w:r>
        <w:rPr/>
        <w:t>и</w:t>
      </w:r>
      <w:r>
        <w:rPr>
          <w:spacing w:val="-9"/>
        </w:rPr>
        <w:t> </w:t>
      </w:r>
      <w:r>
        <w:rPr/>
        <w:t>выраженной</w:t>
      </w:r>
      <w:r>
        <w:rPr>
          <w:spacing w:val="-9"/>
        </w:rPr>
        <w:t> </w:t>
      </w:r>
      <w:r>
        <w:rPr/>
        <w:t>культурной</w:t>
      </w:r>
      <w:r>
        <w:rPr>
          <w:spacing w:val="-9"/>
        </w:rPr>
        <w:t> </w:t>
      </w:r>
      <w:r>
        <w:rPr/>
        <w:t>де- задаптации у учащегося – иностранного гражданина специалисты образовательной </w:t>
      </w:r>
      <w:r>
        <w:rPr>
          <w:spacing w:val="-2"/>
        </w:rPr>
        <w:t>организации</w:t>
      </w:r>
      <w:r>
        <w:rPr>
          <w:spacing w:val="-5"/>
        </w:rPr>
        <w:t> </w:t>
      </w:r>
      <w:r>
        <w:rPr>
          <w:spacing w:val="-2"/>
        </w:rPr>
        <w:t>могут</w:t>
      </w:r>
      <w:r>
        <w:rPr>
          <w:spacing w:val="-5"/>
        </w:rPr>
        <w:t> </w:t>
      </w:r>
      <w:r>
        <w:rPr>
          <w:spacing w:val="-2"/>
        </w:rPr>
        <w:t>испытывать</w:t>
      </w:r>
      <w:r>
        <w:rPr>
          <w:spacing w:val="-5"/>
        </w:rPr>
        <w:t> </w:t>
      </w:r>
      <w:r>
        <w:rPr>
          <w:spacing w:val="-2"/>
        </w:rPr>
        <w:t>затруднения</w:t>
      </w:r>
      <w:r>
        <w:rPr>
          <w:spacing w:val="-5"/>
        </w:rPr>
        <w:t> </w:t>
      </w:r>
      <w:r>
        <w:rPr>
          <w:spacing w:val="-2"/>
        </w:rPr>
        <w:t>в</w:t>
      </w:r>
      <w:r>
        <w:rPr>
          <w:spacing w:val="-5"/>
        </w:rPr>
        <w:t> </w:t>
      </w:r>
      <w:r>
        <w:rPr>
          <w:spacing w:val="-2"/>
        </w:rPr>
        <w:t>оценке</w:t>
      </w:r>
      <w:r>
        <w:rPr>
          <w:spacing w:val="-5"/>
        </w:rPr>
        <w:t> </w:t>
      </w:r>
      <w:r>
        <w:rPr>
          <w:spacing w:val="-2"/>
        </w:rPr>
        <w:t>его</w:t>
      </w:r>
      <w:r>
        <w:rPr>
          <w:spacing w:val="-5"/>
        </w:rPr>
        <w:t> </w:t>
      </w:r>
      <w:r>
        <w:rPr>
          <w:spacing w:val="-2"/>
        </w:rPr>
        <w:t>особых</w:t>
      </w:r>
      <w:r>
        <w:rPr>
          <w:spacing w:val="-5"/>
        </w:rPr>
        <w:t> </w:t>
      </w:r>
      <w:r>
        <w:rPr>
          <w:spacing w:val="-2"/>
        </w:rPr>
        <w:t>образовательных</w:t>
      </w:r>
      <w:r>
        <w:rPr>
          <w:spacing w:val="-5"/>
        </w:rPr>
        <w:t> </w:t>
      </w:r>
      <w:r>
        <w:rPr>
          <w:spacing w:val="-2"/>
        </w:rPr>
        <w:t>по- </w:t>
      </w:r>
      <w:r>
        <w:rPr/>
        <w:t>требностей, связанных с когнитивным и эмоционально-волевым развитием. Если не </w:t>
      </w:r>
      <w:r>
        <w:rPr>
          <w:spacing w:val="-2"/>
        </w:rPr>
        <w:t>представляется возможным оценить, насколько особые образовательные потребности </w:t>
      </w:r>
      <w:r>
        <w:rPr/>
        <w:t>учащегося</w:t>
      </w:r>
      <w:r>
        <w:rPr>
          <w:spacing w:val="-10"/>
        </w:rPr>
        <w:t> </w:t>
      </w:r>
      <w:r>
        <w:rPr/>
        <w:t>ограничиваются</w:t>
      </w:r>
      <w:r>
        <w:rPr>
          <w:spacing w:val="-10"/>
        </w:rPr>
        <w:t> </w:t>
      </w:r>
      <w:r>
        <w:rPr/>
        <w:t>его</w:t>
      </w:r>
      <w:r>
        <w:rPr>
          <w:spacing w:val="-10"/>
        </w:rPr>
        <w:t> </w:t>
      </w:r>
      <w:r>
        <w:rPr/>
        <w:t>миграционным</w:t>
      </w:r>
      <w:r>
        <w:rPr>
          <w:spacing w:val="-10"/>
        </w:rPr>
        <w:t> </w:t>
      </w:r>
      <w:r>
        <w:rPr/>
        <w:t>опытом</w:t>
      </w:r>
      <w:r>
        <w:rPr>
          <w:spacing w:val="-10"/>
        </w:rPr>
        <w:t> </w:t>
      </w:r>
      <w:r>
        <w:rPr/>
        <w:t>и</w:t>
      </w:r>
      <w:r>
        <w:rPr>
          <w:spacing w:val="-10"/>
        </w:rPr>
        <w:t> </w:t>
      </w:r>
      <w:r>
        <w:rPr/>
        <w:t>социальной</w:t>
      </w:r>
      <w:r>
        <w:rPr>
          <w:spacing w:val="-10"/>
        </w:rPr>
        <w:t> </w:t>
      </w:r>
      <w:r>
        <w:rPr/>
        <w:t>ситуацией</w:t>
      </w:r>
      <w:r>
        <w:rPr>
          <w:spacing w:val="-10"/>
        </w:rPr>
        <w:t> </w:t>
      </w:r>
      <w:r>
        <w:rPr/>
        <w:t>и</w:t>
      </w:r>
      <w:r>
        <w:rPr>
          <w:spacing w:val="-10"/>
        </w:rPr>
        <w:t> </w:t>
      </w:r>
      <w:r>
        <w:rPr/>
        <w:t>на- сколько</w:t>
      </w:r>
      <w:r>
        <w:rPr>
          <w:spacing w:val="-10"/>
        </w:rPr>
        <w:t> </w:t>
      </w:r>
      <w:r>
        <w:rPr/>
        <w:t>он</w:t>
      </w:r>
      <w:r>
        <w:rPr>
          <w:spacing w:val="-10"/>
        </w:rPr>
        <w:t> </w:t>
      </w:r>
      <w:r>
        <w:rPr/>
        <w:t>нуждается</w:t>
      </w:r>
      <w:r>
        <w:rPr>
          <w:spacing w:val="-10"/>
        </w:rPr>
        <w:t> </w:t>
      </w:r>
      <w:r>
        <w:rPr/>
        <w:t>в</w:t>
      </w:r>
      <w:r>
        <w:rPr>
          <w:spacing w:val="-10"/>
        </w:rPr>
        <w:t> </w:t>
      </w:r>
      <w:r>
        <w:rPr/>
        <w:t>специальной</w:t>
      </w:r>
      <w:r>
        <w:rPr>
          <w:spacing w:val="-10"/>
        </w:rPr>
        <w:t> </w:t>
      </w:r>
      <w:r>
        <w:rPr/>
        <w:t>поддержке</w:t>
      </w:r>
      <w:r>
        <w:rPr>
          <w:spacing w:val="-10"/>
        </w:rPr>
        <w:t> </w:t>
      </w:r>
      <w:r>
        <w:rPr/>
        <w:t>в</w:t>
      </w:r>
      <w:r>
        <w:rPr>
          <w:spacing w:val="-10"/>
        </w:rPr>
        <w:t> </w:t>
      </w:r>
      <w:r>
        <w:rPr/>
        <w:t>связи</w:t>
      </w:r>
      <w:r>
        <w:rPr>
          <w:spacing w:val="-10"/>
        </w:rPr>
        <w:t> </w:t>
      </w:r>
      <w:r>
        <w:rPr/>
        <w:t>с</w:t>
      </w:r>
      <w:r>
        <w:rPr>
          <w:spacing w:val="-10"/>
        </w:rPr>
        <w:t> </w:t>
      </w:r>
      <w:r>
        <w:rPr/>
        <w:t>его</w:t>
      </w:r>
      <w:r>
        <w:rPr>
          <w:spacing w:val="-10"/>
        </w:rPr>
        <w:t> </w:t>
      </w:r>
      <w:r>
        <w:rPr/>
        <w:t>когнитивными</w:t>
      </w:r>
      <w:r>
        <w:rPr>
          <w:spacing w:val="-10"/>
        </w:rPr>
        <w:t> </w:t>
      </w:r>
      <w:r>
        <w:rPr/>
        <w:t>или</w:t>
      </w:r>
      <w:r>
        <w:rPr>
          <w:spacing w:val="-10"/>
        </w:rPr>
        <w:t> </w:t>
      </w:r>
      <w:r>
        <w:rPr/>
        <w:t>эмо- ционально-волевыми</w:t>
      </w:r>
      <w:r>
        <w:rPr>
          <w:spacing w:val="-9"/>
        </w:rPr>
        <w:t> </w:t>
      </w:r>
      <w:r>
        <w:rPr/>
        <w:t>характеристиками,</w:t>
      </w:r>
      <w:r>
        <w:rPr>
          <w:spacing w:val="-9"/>
        </w:rPr>
        <w:t> </w:t>
      </w:r>
      <w:r>
        <w:rPr/>
        <w:t>необходимо</w:t>
      </w:r>
      <w:r>
        <w:rPr>
          <w:spacing w:val="-9"/>
        </w:rPr>
        <w:t> </w:t>
      </w:r>
      <w:r>
        <w:rPr/>
        <w:t>направить</w:t>
      </w:r>
      <w:r>
        <w:rPr>
          <w:spacing w:val="-9"/>
        </w:rPr>
        <w:t> </w:t>
      </w:r>
      <w:r>
        <w:rPr/>
        <w:t>такого</w:t>
      </w:r>
      <w:r>
        <w:rPr>
          <w:spacing w:val="-9"/>
        </w:rPr>
        <w:t> </w:t>
      </w:r>
      <w:r>
        <w:rPr/>
        <w:t>учащегося</w:t>
      </w:r>
      <w:r>
        <w:rPr>
          <w:spacing w:val="-9"/>
        </w:rPr>
        <w:t> </w:t>
      </w:r>
      <w:r>
        <w:rPr/>
        <w:t>на </w:t>
      </w:r>
      <w:r>
        <w:rPr>
          <w:spacing w:val="-2"/>
        </w:rPr>
        <w:t>ПМПК.</w:t>
      </w:r>
      <w:r>
        <w:rPr>
          <w:spacing w:val="-3"/>
        </w:rPr>
        <w:t> </w:t>
      </w:r>
      <w:r>
        <w:rPr>
          <w:spacing w:val="-2"/>
        </w:rPr>
        <w:t>В</w:t>
      </w:r>
      <w:r>
        <w:rPr>
          <w:spacing w:val="-3"/>
        </w:rPr>
        <w:t> </w:t>
      </w:r>
      <w:r>
        <w:rPr>
          <w:spacing w:val="-2"/>
        </w:rPr>
        <w:t>соответствии</w:t>
      </w:r>
      <w:r>
        <w:rPr>
          <w:spacing w:val="-3"/>
        </w:rPr>
        <w:t> </w:t>
      </w:r>
      <w:r>
        <w:rPr>
          <w:spacing w:val="-2"/>
        </w:rPr>
        <w:t>с</w:t>
      </w:r>
      <w:r>
        <w:rPr>
          <w:spacing w:val="-3"/>
        </w:rPr>
        <w:t> </w:t>
      </w:r>
      <w:r>
        <w:rPr>
          <w:spacing w:val="-2"/>
        </w:rPr>
        <w:t>заключением</w:t>
      </w:r>
      <w:r>
        <w:rPr>
          <w:spacing w:val="-3"/>
        </w:rPr>
        <w:t> </w:t>
      </w:r>
      <w:r>
        <w:rPr>
          <w:spacing w:val="-2"/>
        </w:rPr>
        <w:t>ПМПК</w:t>
      </w:r>
      <w:r>
        <w:rPr>
          <w:spacing w:val="-3"/>
        </w:rPr>
        <w:t> </w:t>
      </w:r>
      <w:r>
        <w:rPr>
          <w:spacing w:val="-2"/>
        </w:rPr>
        <w:t>учащемуся</w:t>
      </w:r>
      <w:r>
        <w:rPr>
          <w:spacing w:val="-3"/>
        </w:rPr>
        <w:t> </w:t>
      </w:r>
      <w:r>
        <w:rPr>
          <w:spacing w:val="-2"/>
        </w:rPr>
        <w:t>может</w:t>
      </w:r>
      <w:r>
        <w:rPr>
          <w:spacing w:val="-3"/>
        </w:rPr>
        <w:t> </w:t>
      </w:r>
      <w:r>
        <w:rPr>
          <w:spacing w:val="-2"/>
        </w:rPr>
        <w:t>быть</w:t>
      </w:r>
      <w:r>
        <w:rPr>
          <w:spacing w:val="-3"/>
        </w:rPr>
        <w:t> </w:t>
      </w:r>
      <w:r>
        <w:rPr>
          <w:spacing w:val="-2"/>
        </w:rPr>
        <w:t>рекомендовано </w:t>
      </w:r>
      <w:r>
        <w:rPr/>
        <w:t>обучение</w:t>
      </w:r>
      <w:r>
        <w:rPr>
          <w:spacing w:val="-12"/>
        </w:rPr>
        <w:t> </w:t>
      </w:r>
      <w:r>
        <w:rPr/>
        <w:t>по</w:t>
      </w:r>
      <w:r>
        <w:rPr>
          <w:spacing w:val="-12"/>
        </w:rPr>
        <w:t> </w:t>
      </w:r>
      <w:r>
        <w:rPr/>
        <w:t>адаптированной</w:t>
      </w:r>
      <w:r>
        <w:rPr>
          <w:spacing w:val="-12"/>
        </w:rPr>
        <w:t> </w:t>
      </w:r>
      <w:r>
        <w:rPr/>
        <w:t>образовательной</w:t>
      </w:r>
      <w:r>
        <w:rPr>
          <w:spacing w:val="-12"/>
        </w:rPr>
        <w:t> </w:t>
      </w:r>
      <w:r>
        <w:rPr/>
        <w:t>программе</w:t>
      </w:r>
      <w:r>
        <w:rPr>
          <w:spacing w:val="-12"/>
        </w:rPr>
        <w:t> </w:t>
      </w:r>
      <w:r>
        <w:rPr/>
        <w:t>или</w:t>
      </w:r>
      <w:r>
        <w:rPr>
          <w:spacing w:val="-12"/>
        </w:rPr>
        <w:t> </w:t>
      </w:r>
      <w:r>
        <w:rPr/>
        <w:t>коррекционная</w:t>
      </w:r>
      <w:r>
        <w:rPr>
          <w:spacing w:val="-12"/>
        </w:rPr>
        <w:t> </w:t>
      </w:r>
      <w:r>
        <w:rPr/>
        <w:t>работа, что</w:t>
      </w:r>
      <w:r>
        <w:rPr>
          <w:spacing w:val="-9"/>
        </w:rPr>
        <w:t> </w:t>
      </w:r>
      <w:r>
        <w:rPr/>
        <w:t>будет</w:t>
      </w:r>
      <w:r>
        <w:rPr>
          <w:spacing w:val="-9"/>
        </w:rPr>
        <w:t> </w:t>
      </w:r>
      <w:r>
        <w:rPr/>
        <w:t>дополняться</w:t>
      </w:r>
      <w:r>
        <w:rPr>
          <w:spacing w:val="-9"/>
        </w:rPr>
        <w:t> </w:t>
      </w:r>
      <w:r>
        <w:rPr/>
        <w:t>перечисленными</w:t>
      </w:r>
      <w:r>
        <w:rPr>
          <w:spacing w:val="-9"/>
        </w:rPr>
        <w:t> </w:t>
      </w:r>
      <w:r>
        <w:rPr/>
        <w:t>в</w:t>
      </w:r>
      <w:r>
        <w:rPr>
          <w:spacing w:val="-9"/>
        </w:rPr>
        <w:t> </w:t>
      </w:r>
      <w:r>
        <w:rPr/>
        <w:t>данной</w:t>
      </w:r>
      <w:r>
        <w:rPr>
          <w:spacing w:val="-9"/>
        </w:rPr>
        <w:t> </w:t>
      </w:r>
      <w:r>
        <w:rPr/>
        <w:t>концепции</w:t>
      </w:r>
      <w:r>
        <w:rPr>
          <w:spacing w:val="-9"/>
        </w:rPr>
        <w:t> </w:t>
      </w:r>
      <w:r>
        <w:rPr/>
        <w:t>направлениями</w:t>
      </w:r>
      <w:r>
        <w:rPr>
          <w:spacing w:val="-9"/>
        </w:rPr>
        <w:t> </w:t>
      </w:r>
      <w:r>
        <w:rPr/>
        <w:t>работы.</w:t>
      </w:r>
    </w:p>
    <w:p>
      <w:pPr>
        <w:spacing w:line="228" w:lineRule="exact" w:before="49"/>
        <w:ind w:left="425" w:right="0" w:firstLine="0"/>
        <w:jc w:val="both"/>
        <w:rPr>
          <w:i/>
          <w:sz w:val="20"/>
        </w:rPr>
      </w:pPr>
      <w:r>
        <w:rPr>
          <w:i/>
          <w:color w:val="231F20"/>
          <w:spacing w:val="-2"/>
          <w:sz w:val="20"/>
        </w:rPr>
        <w:t>Коррекционно-развивающая</w:t>
      </w:r>
      <w:r>
        <w:rPr>
          <w:i/>
          <w:color w:val="231F20"/>
          <w:spacing w:val="16"/>
          <w:sz w:val="20"/>
        </w:rPr>
        <w:t> </w:t>
      </w:r>
      <w:r>
        <w:rPr>
          <w:i/>
          <w:color w:val="231F20"/>
          <w:spacing w:val="-2"/>
          <w:sz w:val="20"/>
        </w:rPr>
        <w:t>и</w:t>
      </w:r>
      <w:r>
        <w:rPr>
          <w:i/>
          <w:color w:val="231F20"/>
          <w:spacing w:val="18"/>
          <w:sz w:val="20"/>
        </w:rPr>
        <w:t> </w:t>
      </w:r>
      <w:r>
        <w:rPr>
          <w:i/>
          <w:color w:val="231F20"/>
          <w:spacing w:val="-2"/>
          <w:sz w:val="20"/>
        </w:rPr>
        <w:t>психопрофилактическая</w:t>
      </w:r>
      <w:r>
        <w:rPr>
          <w:i/>
          <w:color w:val="231F20"/>
          <w:spacing w:val="18"/>
          <w:sz w:val="20"/>
        </w:rPr>
        <w:t> </w:t>
      </w:r>
      <w:r>
        <w:rPr>
          <w:i/>
          <w:color w:val="231F20"/>
          <w:spacing w:val="-2"/>
          <w:sz w:val="20"/>
        </w:rPr>
        <w:t>работа</w:t>
      </w:r>
    </w:p>
    <w:p>
      <w:pPr>
        <w:pStyle w:val="BodyText"/>
        <w:spacing w:line="235" w:lineRule="auto" w:before="1"/>
      </w:pPr>
      <w:r>
        <w:rPr>
          <w:color w:val="231F20"/>
        </w:rPr>
        <w:t>Данная работа реализуется в зависимости от результатов диагностики детей – иностранных граждан и включает в себя практики, изложенные в Методических ре- комендациях</w:t>
      </w:r>
      <w:r>
        <w:rPr>
          <w:color w:val="231F20"/>
          <w:spacing w:val="-2"/>
        </w:rPr>
        <w:t> </w:t>
      </w:r>
      <w:r>
        <w:rPr>
          <w:color w:val="231F20"/>
        </w:rPr>
        <w:t>к</w:t>
      </w:r>
      <w:r>
        <w:rPr>
          <w:color w:val="231F20"/>
          <w:spacing w:val="-2"/>
        </w:rPr>
        <w:t> </w:t>
      </w:r>
      <w:r>
        <w:rPr>
          <w:color w:val="231F20"/>
        </w:rPr>
        <w:t>программе</w:t>
      </w:r>
      <w:r>
        <w:rPr>
          <w:color w:val="231F20"/>
          <w:spacing w:val="-2"/>
        </w:rPr>
        <w:t> </w:t>
      </w:r>
      <w:r>
        <w:rPr>
          <w:color w:val="231F20"/>
        </w:rPr>
        <w:t>в</w:t>
      </w:r>
      <w:r>
        <w:rPr>
          <w:color w:val="231F20"/>
          <w:spacing w:val="-2"/>
        </w:rPr>
        <w:t> </w:t>
      </w:r>
      <w:r>
        <w:rPr>
          <w:color w:val="231F20"/>
        </w:rPr>
        <w:t>разделе</w:t>
      </w:r>
      <w:r>
        <w:rPr>
          <w:color w:val="231F20"/>
          <w:spacing w:val="-2"/>
        </w:rPr>
        <w:t> </w:t>
      </w:r>
      <w:r>
        <w:rPr>
          <w:color w:val="231F20"/>
        </w:rPr>
        <w:t>1.</w:t>
      </w:r>
      <w:r>
        <w:rPr>
          <w:color w:val="231F20"/>
          <w:spacing w:val="-2"/>
        </w:rPr>
        <w:t> </w:t>
      </w:r>
      <w:r>
        <w:rPr>
          <w:color w:val="231F20"/>
        </w:rPr>
        <w:t>Индивидуальная</w:t>
      </w:r>
      <w:r>
        <w:rPr>
          <w:color w:val="231F20"/>
          <w:spacing w:val="-2"/>
        </w:rPr>
        <w:t> </w:t>
      </w:r>
      <w:r>
        <w:rPr>
          <w:color w:val="231F20"/>
        </w:rPr>
        <w:t>работа</w:t>
      </w:r>
      <w:r>
        <w:rPr>
          <w:color w:val="231F20"/>
          <w:spacing w:val="-2"/>
        </w:rPr>
        <w:t> </w:t>
      </w:r>
      <w:r>
        <w:rPr>
          <w:color w:val="231F20"/>
        </w:rPr>
        <w:t>педагога-психолога</w:t>
      </w:r>
      <w:r>
        <w:rPr>
          <w:color w:val="231F20"/>
          <w:spacing w:val="-2"/>
        </w:rPr>
        <w:t> </w:t>
      </w:r>
      <w:r>
        <w:rPr>
          <w:color w:val="231F20"/>
        </w:rPr>
        <w:t>с детьми – иностранными гражданами и в разделе 4. Работа педагога с ученическим сообществом: класс и школа.</w:t>
      </w:r>
    </w:p>
    <w:p>
      <w:pPr>
        <w:spacing w:line="228" w:lineRule="exact" w:before="56"/>
        <w:ind w:left="425" w:right="0" w:firstLine="0"/>
        <w:jc w:val="both"/>
        <w:rPr>
          <w:i/>
          <w:sz w:val="20"/>
        </w:rPr>
      </w:pPr>
      <w:r>
        <w:rPr>
          <w:i/>
          <w:color w:val="231F20"/>
          <w:spacing w:val="-2"/>
          <w:sz w:val="20"/>
        </w:rPr>
        <w:t>Консультативная</w:t>
      </w:r>
      <w:r>
        <w:rPr>
          <w:i/>
          <w:color w:val="231F20"/>
          <w:spacing w:val="12"/>
          <w:sz w:val="20"/>
        </w:rPr>
        <w:t> </w:t>
      </w:r>
      <w:r>
        <w:rPr>
          <w:i/>
          <w:color w:val="231F20"/>
          <w:spacing w:val="-2"/>
          <w:sz w:val="20"/>
        </w:rPr>
        <w:t>работа</w:t>
      </w:r>
    </w:p>
    <w:p>
      <w:pPr>
        <w:pStyle w:val="BodyText"/>
        <w:spacing w:line="235" w:lineRule="auto" w:before="2"/>
      </w:pPr>
      <w:r>
        <w:rPr>
          <w:color w:val="231F20"/>
        </w:rPr>
        <w:t>Данная работа реализуется в зависимости от результатов диагностики детей – иностранных</w:t>
      </w:r>
      <w:r>
        <w:rPr>
          <w:color w:val="231F20"/>
          <w:spacing w:val="3"/>
        </w:rPr>
        <w:t> </w:t>
      </w:r>
      <w:r>
        <w:rPr>
          <w:color w:val="231F20"/>
        </w:rPr>
        <w:t>граждан</w:t>
      </w:r>
      <w:r>
        <w:rPr>
          <w:color w:val="231F20"/>
          <w:spacing w:val="4"/>
        </w:rPr>
        <w:t> </w:t>
      </w:r>
      <w:r>
        <w:rPr>
          <w:color w:val="231F20"/>
        </w:rPr>
        <w:t>и</w:t>
      </w:r>
      <w:r>
        <w:rPr>
          <w:color w:val="231F20"/>
          <w:spacing w:val="4"/>
        </w:rPr>
        <w:t> </w:t>
      </w:r>
      <w:r>
        <w:rPr>
          <w:color w:val="231F20"/>
        </w:rPr>
        <w:t>включает</w:t>
      </w:r>
      <w:r>
        <w:rPr>
          <w:color w:val="231F20"/>
          <w:spacing w:val="3"/>
        </w:rPr>
        <w:t> </w:t>
      </w:r>
      <w:r>
        <w:rPr>
          <w:color w:val="231F20"/>
        </w:rPr>
        <w:t>в</w:t>
      </w:r>
      <w:r>
        <w:rPr>
          <w:color w:val="231F20"/>
          <w:spacing w:val="4"/>
        </w:rPr>
        <w:t> </w:t>
      </w:r>
      <w:r>
        <w:rPr>
          <w:color w:val="231F20"/>
        </w:rPr>
        <w:t>себя</w:t>
      </w:r>
      <w:r>
        <w:rPr>
          <w:color w:val="231F20"/>
          <w:spacing w:val="4"/>
        </w:rPr>
        <w:t> </w:t>
      </w:r>
      <w:r>
        <w:rPr>
          <w:color w:val="231F20"/>
        </w:rPr>
        <w:t>практики,</w:t>
      </w:r>
      <w:r>
        <w:rPr>
          <w:color w:val="231F20"/>
          <w:spacing w:val="3"/>
        </w:rPr>
        <w:t> </w:t>
      </w:r>
      <w:r>
        <w:rPr>
          <w:color w:val="231F20"/>
        </w:rPr>
        <w:t>изложенные</w:t>
      </w:r>
      <w:r>
        <w:rPr>
          <w:color w:val="231F20"/>
          <w:spacing w:val="4"/>
        </w:rPr>
        <w:t> </w:t>
      </w:r>
      <w:r>
        <w:rPr>
          <w:color w:val="231F20"/>
        </w:rPr>
        <w:t>в</w:t>
      </w:r>
      <w:r>
        <w:rPr>
          <w:color w:val="231F20"/>
          <w:spacing w:val="4"/>
        </w:rPr>
        <w:t> </w:t>
      </w:r>
      <w:r>
        <w:rPr>
          <w:color w:val="231F20"/>
        </w:rPr>
        <w:t>Методических</w:t>
      </w:r>
      <w:r>
        <w:rPr>
          <w:color w:val="231F20"/>
          <w:spacing w:val="4"/>
        </w:rPr>
        <w:t> </w:t>
      </w:r>
      <w:r>
        <w:rPr>
          <w:color w:val="231F20"/>
          <w:spacing w:val="-5"/>
        </w:rPr>
        <w:t>ре-</w:t>
      </w:r>
    </w:p>
    <w:p>
      <w:pPr>
        <w:pStyle w:val="BodyText"/>
        <w:spacing w:before="1"/>
        <w:ind w:left="0" w:right="0" w:firstLine="0"/>
        <w:jc w:val="left"/>
        <w:rPr>
          <w:sz w:val="13"/>
        </w:rPr>
      </w:pPr>
      <w:r>
        <w:rPr>
          <w:sz w:val="13"/>
        </w:rPr>
        <mc:AlternateContent>
          <mc:Choice Requires="wps">
            <w:drawing>
              <wp:anchor distT="0" distB="0" distL="0" distR="0" allowOverlap="1" layoutInCell="1" locked="0" behindDoc="1" simplePos="0" relativeHeight="487619072">
                <wp:simplePos x="0" y="0"/>
                <wp:positionH relativeFrom="page">
                  <wp:posOffset>359999</wp:posOffset>
                </wp:positionH>
                <wp:positionV relativeFrom="paragraph">
                  <wp:posOffset>111354</wp:posOffset>
                </wp:positionV>
                <wp:extent cx="1440180" cy="1270"/>
                <wp:effectExtent l="0" t="0" r="0" b="0"/>
                <wp:wrapTopAndBottom/>
                <wp:docPr id="102" name="Graphic 102"/>
                <wp:cNvGraphicFramePr>
                  <a:graphicFrameLocks/>
                </wp:cNvGraphicFramePr>
                <a:graphic>
                  <a:graphicData uri="http://schemas.microsoft.com/office/word/2010/wordprocessingShape">
                    <wps:wsp>
                      <wps:cNvPr id="102" name="Graphic 102"/>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399pt;margin-top:8.768041pt;width:113.4pt;height:.1pt;mso-position-horizontal-relative:page;mso-position-vertical-relative:paragraph;z-index:-15697408;mso-wrap-distance-left:0;mso-wrap-distance-right:0" id="docshape62" coordorigin="567,175" coordsize="2268,0" path="m567,175l2835,175e" filled="false" stroked="true" strokeweight=".5pt" strokecolor="#231f20">
                <v:path arrowok="t"/>
                <v:stroke dashstyle="solid"/>
                <w10:wrap type="topAndBottom"/>
              </v:shape>
            </w:pict>
          </mc:Fallback>
        </mc:AlternateContent>
      </w:r>
    </w:p>
    <w:p>
      <w:pPr>
        <w:spacing w:line="232" w:lineRule="auto" w:before="32"/>
        <w:ind w:left="141" w:right="139" w:firstLine="0"/>
        <w:jc w:val="both"/>
        <w:rPr>
          <w:sz w:val="18"/>
        </w:rPr>
      </w:pPr>
      <w:r>
        <w:rPr>
          <w:color w:val="231F20"/>
          <w:sz w:val="18"/>
          <w:vertAlign w:val="superscript"/>
        </w:rPr>
        <w:t>1</w:t>
      </w:r>
      <w:r>
        <w:rPr>
          <w:color w:val="231F20"/>
          <w:spacing w:val="80"/>
          <w:sz w:val="18"/>
          <w:vertAlign w:val="baseline"/>
        </w:rPr>
        <w:t> </w:t>
      </w:r>
      <w:r>
        <w:rPr>
          <w:color w:val="231F20"/>
          <w:sz w:val="18"/>
          <w:vertAlign w:val="baseline"/>
        </w:rPr>
        <w:t>Примерное положение о психолого-педагогическом консилиуме образовательной органи- зации,</w:t>
      </w:r>
      <w:r>
        <w:rPr>
          <w:color w:val="231F20"/>
          <w:spacing w:val="-3"/>
          <w:sz w:val="18"/>
          <w:vertAlign w:val="baseline"/>
        </w:rPr>
        <w:t> </w:t>
      </w:r>
      <w:r>
        <w:rPr>
          <w:color w:val="231F20"/>
          <w:sz w:val="18"/>
          <w:vertAlign w:val="baseline"/>
        </w:rPr>
        <w:t>утвержденное</w:t>
      </w:r>
      <w:r>
        <w:rPr>
          <w:color w:val="231F20"/>
          <w:spacing w:val="-3"/>
          <w:sz w:val="18"/>
          <w:vertAlign w:val="baseline"/>
        </w:rPr>
        <w:t> </w:t>
      </w:r>
      <w:r>
        <w:rPr>
          <w:color w:val="231F20"/>
          <w:sz w:val="18"/>
          <w:vertAlign w:val="baseline"/>
        </w:rPr>
        <w:t>распоряжением</w:t>
      </w:r>
      <w:r>
        <w:rPr>
          <w:color w:val="231F20"/>
          <w:spacing w:val="-3"/>
          <w:sz w:val="18"/>
          <w:vertAlign w:val="baseline"/>
        </w:rPr>
        <w:t> </w:t>
      </w:r>
      <w:r>
        <w:rPr>
          <w:color w:val="231F20"/>
          <w:sz w:val="18"/>
          <w:vertAlign w:val="baseline"/>
        </w:rPr>
        <w:t>Министерства</w:t>
      </w:r>
      <w:r>
        <w:rPr>
          <w:color w:val="231F20"/>
          <w:spacing w:val="-3"/>
          <w:sz w:val="18"/>
          <w:vertAlign w:val="baseline"/>
        </w:rPr>
        <w:t> </w:t>
      </w:r>
      <w:r>
        <w:rPr>
          <w:color w:val="231F20"/>
          <w:sz w:val="18"/>
          <w:vertAlign w:val="baseline"/>
        </w:rPr>
        <w:t>просвещения</w:t>
      </w:r>
      <w:r>
        <w:rPr>
          <w:color w:val="231F20"/>
          <w:spacing w:val="-3"/>
          <w:sz w:val="18"/>
          <w:vertAlign w:val="baseline"/>
        </w:rPr>
        <w:t> </w:t>
      </w:r>
      <w:r>
        <w:rPr>
          <w:color w:val="231F20"/>
          <w:sz w:val="18"/>
          <w:vertAlign w:val="baseline"/>
        </w:rPr>
        <w:t>Российской</w:t>
      </w:r>
      <w:r>
        <w:rPr>
          <w:color w:val="231F20"/>
          <w:spacing w:val="-3"/>
          <w:sz w:val="18"/>
          <w:vertAlign w:val="baseline"/>
        </w:rPr>
        <w:t> </w:t>
      </w:r>
      <w:r>
        <w:rPr>
          <w:color w:val="231F20"/>
          <w:sz w:val="18"/>
          <w:vertAlign w:val="baseline"/>
        </w:rPr>
        <w:t>Федерации</w:t>
      </w:r>
      <w:r>
        <w:rPr>
          <w:color w:val="231F20"/>
          <w:spacing w:val="-3"/>
          <w:sz w:val="18"/>
          <w:vertAlign w:val="baseline"/>
        </w:rPr>
        <w:t> </w:t>
      </w:r>
      <w:r>
        <w:rPr>
          <w:color w:val="231F20"/>
          <w:sz w:val="18"/>
          <w:vertAlign w:val="baseline"/>
        </w:rPr>
        <w:t>от</w:t>
      </w:r>
      <w:r>
        <w:rPr>
          <w:color w:val="231F20"/>
          <w:spacing w:val="-3"/>
          <w:sz w:val="18"/>
          <w:vertAlign w:val="baseline"/>
        </w:rPr>
        <w:t> </w:t>
      </w:r>
      <w:r>
        <w:rPr>
          <w:color w:val="231F20"/>
          <w:sz w:val="18"/>
          <w:vertAlign w:val="baseline"/>
        </w:rPr>
        <w:t>9 сентября 2019 г. № Р-93.</w:t>
      </w:r>
    </w:p>
    <w:p>
      <w:pPr>
        <w:spacing w:after="0" w:line="232" w:lineRule="auto"/>
        <w:jc w:val="both"/>
        <w:rPr>
          <w:sz w:val="18"/>
        </w:rPr>
        <w:sectPr>
          <w:pgSz w:w="8400" w:h="11910"/>
          <w:pgMar w:header="0" w:footer="531" w:top="400" w:bottom="720" w:left="425" w:right="425"/>
        </w:sectPr>
      </w:pPr>
    </w:p>
    <w:p>
      <w:pPr>
        <w:spacing w:before="80"/>
        <w:ind w:left="141" w:right="0" w:firstLine="0"/>
        <w:jc w:val="left"/>
        <w:rPr>
          <w:rFonts w:ascii="Georgia" w:hAnsi="Georgia"/>
          <w:sz w:val="18"/>
        </w:rPr>
      </w:pPr>
      <w:r>
        <w:rPr>
          <w:rFonts w:ascii="Georgia" w:hAnsi="Georgia"/>
          <w:color w:val="231F20"/>
          <w:spacing w:val="-2"/>
          <w:sz w:val="18"/>
        </w:rPr>
        <w:t>Введение</w:t>
      </w:r>
    </w:p>
    <w:p>
      <w:pPr>
        <w:pStyle w:val="BodyText"/>
        <w:spacing w:line="235" w:lineRule="auto" w:before="116"/>
        <w:ind w:firstLine="0"/>
      </w:pPr>
      <w:r>
        <w:rPr>
          <w:color w:val="231F20"/>
        </w:rPr>
        <w:t>комендациях</w:t>
      </w:r>
      <w:r>
        <w:rPr>
          <w:color w:val="231F20"/>
          <w:spacing w:val="-13"/>
        </w:rPr>
        <w:t> </w:t>
      </w:r>
      <w:r>
        <w:rPr>
          <w:color w:val="231F20"/>
        </w:rPr>
        <w:t>к</w:t>
      </w:r>
      <w:r>
        <w:rPr>
          <w:color w:val="231F20"/>
          <w:spacing w:val="-12"/>
        </w:rPr>
        <w:t> </w:t>
      </w:r>
      <w:r>
        <w:rPr>
          <w:color w:val="231F20"/>
        </w:rPr>
        <w:t>программе</w:t>
      </w:r>
      <w:r>
        <w:rPr>
          <w:color w:val="231F20"/>
          <w:spacing w:val="-13"/>
        </w:rPr>
        <w:t> </w:t>
      </w:r>
      <w:r>
        <w:rPr>
          <w:color w:val="231F20"/>
        </w:rPr>
        <w:t>в</w:t>
      </w:r>
      <w:r>
        <w:rPr>
          <w:color w:val="231F20"/>
          <w:spacing w:val="-12"/>
        </w:rPr>
        <w:t> </w:t>
      </w:r>
      <w:r>
        <w:rPr>
          <w:color w:val="231F20"/>
        </w:rPr>
        <w:t>разделе</w:t>
      </w:r>
      <w:r>
        <w:rPr>
          <w:color w:val="231F20"/>
          <w:spacing w:val="-13"/>
        </w:rPr>
        <w:t> </w:t>
      </w:r>
      <w:r>
        <w:rPr>
          <w:color w:val="231F20"/>
        </w:rPr>
        <w:t>1.</w:t>
      </w:r>
      <w:r>
        <w:rPr>
          <w:color w:val="231F20"/>
          <w:spacing w:val="-12"/>
        </w:rPr>
        <w:t> </w:t>
      </w:r>
      <w:r>
        <w:rPr/>
        <w:t>Работа</w:t>
      </w:r>
      <w:r>
        <w:rPr>
          <w:spacing w:val="-13"/>
        </w:rPr>
        <w:t> </w:t>
      </w:r>
      <w:r>
        <w:rPr/>
        <w:t>педагога-психолога</w:t>
      </w:r>
      <w:r>
        <w:rPr>
          <w:spacing w:val="-12"/>
        </w:rPr>
        <w:t> </w:t>
      </w:r>
      <w:r>
        <w:rPr/>
        <w:t>по</w:t>
      </w:r>
      <w:r>
        <w:rPr>
          <w:spacing w:val="-13"/>
        </w:rPr>
        <w:t> </w:t>
      </w:r>
      <w:r>
        <w:rPr/>
        <w:t>индивидуальной поддержке</w:t>
      </w:r>
      <w:r>
        <w:rPr>
          <w:spacing w:val="-5"/>
        </w:rPr>
        <w:t> </w:t>
      </w:r>
      <w:r>
        <w:rPr/>
        <w:t>де</w:t>
      </w:r>
      <w:r>
        <w:rPr>
          <w:color w:val="231F20"/>
        </w:rPr>
        <w:t>тей</w:t>
      </w:r>
      <w:r>
        <w:rPr>
          <w:color w:val="231F20"/>
          <w:spacing w:val="-5"/>
        </w:rPr>
        <w:t> </w:t>
      </w:r>
      <w:r>
        <w:rPr>
          <w:color w:val="231F20"/>
        </w:rPr>
        <w:t>–</w:t>
      </w:r>
      <w:r>
        <w:rPr>
          <w:color w:val="231F20"/>
          <w:spacing w:val="-5"/>
        </w:rPr>
        <w:t> </w:t>
      </w:r>
      <w:r>
        <w:rPr>
          <w:color w:val="231F20"/>
        </w:rPr>
        <w:t>иностранных</w:t>
      </w:r>
      <w:r>
        <w:rPr>
          <w:color w:val="231F20"/>
          <w:spacing w:val="-5"/>
        </w:rPr>
        <w:t> </w:t>
      </w:r>
      <w:r>
        <w:rPr>
          <w:color w:val="231F20"/>
        </w:rPr>
        <w:t>граждан,</w:t>
      </w:r>
      <w:r>
        <w:rPr>
          <w:color w:val="231F20"/>
          <w:spacing w:val="-5"/>
        </w:rPr>
        <w:t> </w:t>
      </w:r>
      <w:r>
        <w:rPr>
          <w:color w:val="231F20"/>
        </w:rPr>
        <w:t>в</w:t>
      </w:r>
      <w:r>
        <w:rPr>
          <w:color w:val="231F20"/>
          <w:spacing w:val="-5"/>
        </w:rPr>
        <w:t> </w:t>
      </w:r>
      <w:r>
        <w:rPr>
          <w:color w:val="231F20"/>
        </w:rPr>
        <w:t>разделе</w:t>
      </w:r>
      <w:r>
        <w:rPr>
          <w:color w:val="231F20"/>
          <w:spacing w:val="-5"/>
        </w:rPr>
        <w:t> </w:t>
      </w:r>
      <w:r>
        <w:rPr>
          <w:color w:val="231F20"/>
        </w:rPr>
        <w:t>2.</w:t>
      </w:r>
      <w:r>
        <w:rPr>
          <w:color w:val="231F20"/>
          <w:spacing w:val="-5"/>
        </w:rPr>
        <w:t> </w:t>
      </w:r>
      <w:r>
        <w:rPr>
          <w:color w:val="231F20"/>
        </w:rPr>
        <w:t>Методическое</w:t>
      </w:r>
      <w:r>
        <w:rPr>
          <w:color w:val="231F20"/>
          <w:spacing w:val="-5"/>
        </w:rPr>
        <w:t> </w:t>
      </w:r>
      <w:r>
        <w:rPr>
          <w:color w:val="231F20"/>
        </w:rPr>
        <w:t>сопровождение </w:t>
      </w:r>
      <w:r>
        <w:rPr>
          <w:spacing w:val="-2"/>
        </w:rPr>
        <w:t>педагогическ</w:t>
      </w:r>
      <w:r>
        <w:rPr>
          <w:color w:val="231F20"/>
          <w:spacing w:val="-2"/>
        </w:rPr>
        <w:t>ого</w:t>
      </w:r>
      <w:r>
        <w:rPr>
          <w:color w:val="231F20"/>
          <w:spacing w:val="-3"/>
        </w:rPr>
        <w:t> </w:t>
      </w:r>
      <w:r>
        <w:rPr>
          <w:spacing w:val="-2"/>
        </w:rPr>
        <w:t>коллектив</w:t>
      </w:r>
      <w:r>
        <w:rPr>
          <w:color w:val="231F20"/>
          <w:spacing w:val="-2"/>
        </w:rPr>
        <w:t>а</w:t>
      </w:r>
      <w:r>
        <w:rPr>
          <w:color w:val="231F20"/>
          <w:spacing w:val="-3"/>
        </w:rPr>
        <w:t> </w:t>
      </w:r>
      <w:r>
        <w:rPr>
          <w:color w:val="231F20"/>
          <w:spacing w:val="-2"/>
        </w:rPr>
        <w:t>в</w:t>
      </w:r>
      <w:r>
        <w:rPr>
          <w:color w:val="231F20"/>
          <w:spacing w:val="-3"/>
        </w:rPr>
        <w:t> </w:t>
      </w:r>
      <w:r>
        <w:rPr>
          <w:color w:val="231F20"/>
          <w:spacing w:val="-2"/>
        </w:rPr>
        <w:t>области</w:t>
      </w:r>
      <w:r>
        <w:rPr>
          <w:color w:val="231F20"/>
          <w:spacing w:val="-3"/>
        </w:rPr>
        <w:t> </w:t>
      </w:r>
      <w:r>
        <w:rPr>
          <w:color w:val="231F20"/>
          <w:spacing w:val="-2"/>
        </w:rPr>
        <w:t>психолого-педагогического</w:t>
      </w:r>
      <w:r>
        <w:rPr>
          <w:color w:val="231F20"/>
          <w:spacing w:val="-3"/>
        </w:rPr>
        <w:t> </w:t>
      </w:r>
      <w:r>
        <w:rPr>
          <w:color w:val="231F20"/>
          <w:spacing w:val="-2"/>
        </w:rPr>
        <w:t>сопровождения</w:t>
      </w:r>
      <w:r>
        <w:rPr>
          <w:color w:val="231F20"/>
          <w:spacing w:val="-3"/>
        </w:rPr>
        <w:t> </w:t>
      </w:r>
      <w:r>
        <w:rPr>
          <w:color w:val="231F20"/>
          <w:spacing w:val="-2"/>
        </w:rPr>
        <w:t>де- </w:t>
      </w:r>
      <w:r>
        <w:rPr>
          <w:color w:val="231F20"/>
        </w:rPr>
        <w:t>тей – иностранных граждан и разделе 3. </w:t>
      </w:r>
      <w:r>
        <w:rPr/>
        <w:t>Работа </w:t>
      </w:r>
      <w:r>
        <w:rPr>
          <w:color w:val="231F20"/>
        </w:rPr>
        <w:t>педагога </w:t>
      </w:r>
      <w:r>
        <w:rPr/>
        <w:t>с родителями </w:t>
      </w:r>
      <w:r>
        <w:rPr>
          <w:color w:val="231F20"/>
        </w:rPr>
        <w:t>несовершен- нолетних иностранных граждан.</w:t>
      </w:r>
    </w:p>
    <w:p>
      <w:pPr>
        <w:spacing w:line="228" w:lineRule="exact" w:before="56"/>
        <w:ind w:left="425" w:right="0" w:firstLine="0"/>
        <w:jc w:val="both"/>
        <w:rPr>
          <w:i/>
          <w:sz w:val="20"/>
        </w:rPr>
      </w:pPr>
      <w:r>
        <w:rPr>
          <w:i/>
          <w:color w:val="231F20"/>
          <w:spacing w:val="-2"/>
          <w:sz w:val="20"/>
        </w:rPr>
        <w:t>Информационно-просветительская</w:t>
      </w:r>
      <w:r>
        <w:rPr>
          <w:i/>
          <w:color w:val="231F20"/>
          <w:spacing w:val="34"/>
          <w:sz w:val="20"/>
        </w:rPr>
        <w:t> </w:t>
      </w:r>
      <w:r>
        <w:rPr>
          <w:i/>
          <w:color w:val="231F20"/>
          <w:spacing w:val="-2"/>
          <w:sz w:val="20"/>
        </w:rPr>
        <w:t>работа</w:t>
      </w:r>
    </w:p>
    <w:p>
      <w:pPr>
        <w:pStyle w:val="BodyText"/>
        <w:spacing w:line="235" w:lineRule="auto" w:before="2"/>
      </w:pPr>
      <w:r>
        <w:rPr>
          <w:color w:val="231F20"/>
        </w:rPr>
        <w:t>Данная</w:t>
      </w:r>
      <w:r>
        <w:rPr>
          <w:color w:val="231F20"/>
          <w:spacing w:val="-2"/>
        </w:rPr>
        <w:t> </w:t>
      </w:r>
      <w:r>
        <w:rPr>
          <w:color w:val="231F20"/>
        </w:rPr>
        <w:t>работа</w:t>
      </w:r>
      <w:r>
        <w:rPr>
          <w:color w:val="231F20"/>
          <w:spacing w:val="-2"/>
        </w:rPr>
        <w:t> </w:t>
      </w:r>
      <w:r>
        <w:rPr>
          <w:color w:val="231F20"/>
        </w:rPr>
        <w:t>реализуется</w:t>
      </w:r>
      <w:r>
        <w:rPr>
          <w:color w:val="231F20"/>
          <w:spacing w:val="-2"/>
        </w:rPr>
        <w:t> </w:t>
      </w:r>
      <w:r>
        <w:rPr>
          <w:color w:val="231F20"/>
        </w:rPr>
        <w:t>в</w:t>
      </w:r>
      <w:r>
        <w:rPr>
          <w:color w:val="231F20"/>
          <w:spacing w:val="-2"/>
        </w:rPr>
        <w:t> </w:t>
      </w:r>
      <w:r>
        <w:rPr>
          <w:color w:val="231F20"/>
        </w:rPr>
        <w:t>зависимости</w:t>
      </w:r>
      <w:r>
        <w:rPr>
          <w:color w:val="231F20"/>
          <w:spacing w:val="-2"/>
        </w:rPr>
        <w:t> </w:t>
      </w:r>
      <w:r>
        <w:rPr>
          <w:color w:val="231F20"/>
        </w:rPr>
        <w:t>от</w:t>
      </w:r>
      <w:r>
        <w:rPr>
          <w:color w:val="231F20"/>
          <w:spacing w:val="-2"/>
        </w:rPr>
        <w:t> </w:t>
      </w:r>
      <w:r>
        <w:rPr>
          <w:color w:val="231F20"/>
        </w:rPr>
        <w:t>результатов</w:t>
      </w:r>
      <w:r>
        <w:rPr>
          <w:color w:val="231F20"/>
          <w:spacing w:val="-2"/>
        </w:rPr>
        <w:t> </w:t>
      </w:r>
      <w:r>
        <w:rPr>
          <w:color w:val="231F20"/>
        </w:rPr>
        <w:t>диагностики</w:t>
      </w:r>
      <w:r>
        <w:rPr>
          <w:color w:val="231F20"/>
          <w:spacing w:val="-2"/>
        </w:rPr>
        <w:t> </w:t>
      </w:r>
      <w:r>
        <w:rPr>
          <w:color w:val="231F20"/>
        </w:rPr>
        <w:t>детей</w:t>
      </w:r>
      <w:r>
        <w:rPr>
          <w:color w:val="231F20"/>
          <w:spacing w:val="-2"/>
        </w:rPr>
        <w:t> </w:t>
      </w:r>
      <w:r>
        <w:rPr>
          <w:color w:val="231F20"/>
        </w:rPr>
        <w:t>ино- странных граждан и включает в себя практики, изложенные в Методических реко- мендациях к программе в разделе 2. Методическое сопровождение </w:t>
      </w:r>
      <w:r>
        <w:rPr/>
        <w:t>педагогическ</w:t>
      </w:r>
      <w:r>
        <w:rPr>
          <w:color w:val="231F20"/>
        </w:rPr>
        <w:t>ого </w:t>
      </w:r>
      <w:r>
        <w:rPr/>
        <w:t>коллектив</w:t>
      </w:r>
      <w:r>
        <w:rPr>
          <w:color w:val="231F20"/>
        </w:rPr>
        <w:t>а в области психолого-педагогического сопровождения детей – иностран- ных граждан и разделе 3. </w:t>
      </w:r>
      <w:r>
        <w:rPr/>
        <w:t>Работа </w:t>
      </w:r>
      <w:r>
        <w:rPr>
          <w:color w:val="231F20"/>
        </w:rPr>
        <w:t>педагога </w:t>
      </w:r>
      <w:r>
        <w:rPr/>
        <w:t>с родителями </w:t>
      </w:r>
      <w:r>
        <w:rPr>
          <w:color w:val="231F20"/>
        </w:rPr>
        <w:t>несовершеннолетних ино- странных граждан и разделе 4. Работа педагога с ученическим сообществом: класс</w:t>
      </w:r>
      <w:r>
        <w:rPr>
          <w:color w:val="231F20"/>
          <w:spacing w:val="80"/>
        </w:rPr>
        <w:t> </w:t>
      </w:r>
      <w:r>
        <w:rPr>
          <w:color w:val="231F20"/>
        </w:rPr>
        <w:t>и школа.</w:t>
      </w:r>
    </w:p>
    <w:p>
      <w:pPr>
        <w:spacing w:line="228" w:lineRule="exact" w:before="114"/>
        <w:ind w:left="425" w:right="0" w:firstLine="0"/>
        <w:jc w:val="both"/>
        <w:rPr>
          <w:b/>
          <w:i/>
          <w:sz w:val="20"/>
        </w:rPr>
      </w:pPr>
      <w:r>
        <w:rPr>
          <w:b/>
          <w:i/>
          <w:color w:val="231F20"/>
          <w:spacing w:val="-2"/>
          <w:sz w:val="20"/>
        </w:rPr>
        <w:t>Рекомендации</w:t>
      </w:r>
      <w:r>
        <w:rPr>
          <w:b/>
          <w:i/>
          <w:color w:val="231F20"/>
          <w:spacing w:val="2"/>
          <w:sz w:val="20"/>
        </w:rPr>
        <w:t> </w:t>
      </w:r>
      <w:r>
        <w:rPr>
          <w:b/>
          <w:i/>
          <w:color w:val="231F20"/>
          <w:spacing w:val="-2"/>
          <w:sz w:val="20"/>
        </w:rPr>
        <w:t>по</w:t>
      </w:r>
      <w:r>
        <w:rPr>
          <w:b/>
          <w:i/>
          <w:color w:val="231F20"/>
          <w:spacing w:val="5"/>
          <w:sz w:val="20"/>
        </w:rPr>
        <w:t> </w:t>
      </w:r>
      <w:r>
        <w:rPr>
          <w:b/>
          <w:i/>
          <w:color w:val="231F20"/>
          <w:spacing w:val="-2"/>
          <w:sz w:val="20"/>
        </w:rPr>
        <w:t>организации</w:t>
      </w:r>
      <w:r>
        <w:rPr>
          <w:b/>
          <w:i/>
          <w:color w:val="231F20"/>
          <w:spacing w:val="3"/>
          <w:sz w:val="20"/>
        </w:rPr>
        <w:t> </w:t>
      </w:r>
      <w:r>
        <w:rPr>
          <w:b/>
          <w:i/>
          <w:color w:val="231F20"/>
          <w:spacing w:val="-2"/>
          <w:sz w:val="20"/>
        </w:rPr>
        <w:t>коррекционной</w:t>
      </w:r>
      <w:r>
        <w:rPr>
          <w:b/>
          <w:i/>
          <w:color w:val="231F20"/>
          <w:spacing w:val="3"/>
          <w:sz w:val="20"/>
        </w:rPr>
        <w:t> </w:t>
      </w:r>
      <w:r>
        <w:rPr>
          <w:b/>
          <w:i/>
          <w:color w:val="231F20"/>
          <w:spacing w:val="-2"/>
          <w:sz w:val="20"/>
        </w:rPr>
        <w:t>работы</w:t>
      </w:r>
    </w:p>
    <w:p>
      <w:pPr>
        <w:pStyle w:val="BodyText"/>
        <w:spacing w:line="235" w:lineRule="auto" w:before="1"/>
      </w:pPr>
      <w:r>
        <w:rPr>
          <w:color w:val="231F20"/>
        </w:rPr>
        <w:t>Представляем рекомендации по организации коррекционной работы в зависи- мости от результатов диагностики особых образовательных потребностей учаще- гося</w:t>
      </w:r>
      <w:r>
        <w:rPr>
          <w:color w:val="231F20"/>
          <w:spacing w:val="-13"/>
        </w:rPr>
        <w:t> </w:t>
      </w:r>
      <w:r>
        <w:rPr>
          <w:color w:val="231F20"/>
        </w:rPr>
        <w:t>–</w:t>
      </w:r>
      <w:r>
        <w:rPr>
          <w:color w:val="231F20"/>
          <w:spacing w:val="-12"/>
        </w:rPr>
        <w:t> </w:t>
      </w:r>
      <w:r>
        <w:rPr>
          <w:color w:val="231F20"/>
        </w:rPr>
        <w:t>иностранного</w:t>
      </w:r>
      <w:r>
        <w:rPr>
          <w:color w:val="231F20"/>
          <w:spacing w:val="-13"/>
        </w:rPr>
        <w:t> </w:t>
      </w:r>
      <w:r>
        <w:rPr>
          <w:color w:val="231F20"/>
        </w:rPr>
        <w:t>гражданина</w:t>
      </w:r>
      <w:r>
        <w:rPr>
          <w:color w:val="231F20"/>
          <w:spacing w:val="-12"/>
        </w:rPr>
        <w:t> </w:t>
      </w:r>
      <w:r>
        <w:rPr>
          <w:color w:val="231F20"/>
        </w:rPr>
        <w:t>в</w:t>
      </w:r>
      <w:r>
        <w:rPr>
          <w:color w:val="231F20"/>
          <w:spacing w:val="-13"/>
        </w:rPr>
        <w:t> </w:t>
      </w:r>
      <w:r>
        <w:rPr>
          <w:color w:val="231F20"/>
        </w:rPr>
        <w:t>области</w:t>
      </w:r>
      <w:r>
        <w:rPr>
          <w:color w:val="231F20"/>
          <w:spacing w:val="-12"/>
        </w:rPr>
        <w:t> </w:t>
      </w:r>
      <w:r>
        <w:rPr>
          <w:color w:val="231F20"/>
        </w:rPr>
        <w:t>психологического</w:t>
      </w:r>
      <w:r>
        <w:rPr>
          <w:color w:val="231F20"/>
          <w:spacing w:val="-13"/>
        </w:rPr>
        <w:t> </w:t>
      </w:r>
      <w:r>
        <w:rPr>
          <w:color w:val="231F20"/>
        </w:rPr>
        <w:t>благополучия,</w:t>
      </w:r>
      <w:r>
        <w:rPr>
          <w:color w:val="231F20"/>
          <w:spacing w:val="-12"/>
        </w:rPr>
        <w:t> </w:t>
      </w:r>
      <w:r>
        <w:rPr>
          <w:color w:val="231F20"/>
        </w:rPr>
        <w:t>социаль- ных навыков и культурной адаптации.</w:t>
      </w:r>
    </w:p>
    <w:p>
      <w:pPr>
        <w:pStyle w:val="BodyText"/>
        <w:spacing w:line="235" w:lineRule="auto" w:before="3"/>
      </w:pPr>
      <w:r>
        <w:rPr>
          <w:color w:val="231F20"/>
        </w:rPr>
        <w:t>Мы рекомендуем выделить три уровня организации коррекционной работы с не- совершеннолетним иностранным гражданином.</w:t>
      </w:r>
    </w:p>
    <w:p>
      <w:pPr>
        <w:spacing w:line="228" w:lineRule="exact" w:before="54"/>
        <w:ind w:left="425" w:right="0" w:firstLine="0"/>
        <w:jc w:val="both"/>
        <w:rPr>
          <w:i/>
          <w:sz w:val="20"/>
        </w:rPr>
      </w:pPr>
      <w:r>
        <w:rPr>
          <w:i/>
          <w:color w:val="231F20"/>
          <w:sz w:val="20"/>
        </w:rPr>
        <w:t>Уровень</w:t>
      </w:r>
      <w:r>
        <w:rPr>
          <w:i/>
          <w:color w:val="231F20"/>
          <w:spacing w:val="-10"/>
          <w:sz w:val="20"/>
        </w:rPr>
        <w:t> </w:t>
      </w:r>
      <w:r>
        <w:rPr>
          <w:i/>
          <w:color w:val="231F20"/>
          <w:sz w:val="20"/>
        </w:rPr>
        <w:t>1.</w:t>
      </w:r>
      <w:r>
        <w:rPr>
          <w:i/>
          <w:color w:val="231F20"/>
          <w:spacing w:val="-9"/>
          <w:sz w:val="20"/>
        </w:rPr>
        <w:t> </w:t>
      </w:r>
      <w:r>
        <w:rPr>
          <w:i/>
          <w:color w:val="231F20"/>
          <w:sz w:val="20"/>
        </w:rPr>
        <w:t>Профилактическое</w:t>
      </w:r>
      <w:r>
        <w:rPr>
          <w:i/>
          <w:color w:val="231F20"/>
          <w:spacing w:val="-8"/>
          <w:sz w:val="20"/>
        </w:rPr>
        <w:t> </w:t>
      </w:r>
      <w:r>
        <w:rPr>
          <w:i/>
          <w:color w:val="231F20"/>
          <w:spacing w:val="-2"/>
          <w:sz w:val="20"/>
        </w:rPr>
        <w:t>сопровождение.</w:t>
      </w:r>
    </w:p>
    <w:p>
      <w:pPr>
        <w:pStyle w:val="BodyText"/>
        <w:spacing w:line="235" w:lineRule="auto" w:before="2"/>
      </w:pPr>
      <w:r>
        <w:rPr>
          <w:color w:val="231F20"/>
        </w:rPr>
        <w:t>Осуществляется</w:t>
      </w:r>
      <w:r>
        <w:rPr>
          <w:color w:val="231F20"/>
          <w:spacing w:val="-5"/>
        </w:rPr>
        <w:t> </w:t>
      </w:r>
      <w:r>
        <w:rPr>
          <w:color w:val="231F20"/>
        </w:rPr>
        <w:t>по</w:t>
      </w:r>
      <w:r>
        <w:rPr>
          <w:color w:val="231F20"/>
          <w:spacing w:val="-5"/>
        </w:rPr>
        <w:t> </w:t>
      </w:r>
      <w:r>
        <w:rPr>
          <w:color w:val="231F20"/>
        </w:rPr>
        <w:t>отношению</w:t>
      </w:r>
      <w:r>
        <w:rPr>
          <w:color w:val="231F20"/>
          <w:spacing w:val="-5"/>
        </w:rPr>
        <w:t> </w:t>
      </w:r>
      <w:r>
        <w:rPr>
          <w:color w:val="231F20"/>
        </w:rPr>
        <w:t>к</w:t>
      </w:r>
      <w:r>
        <w:rPr>
          <w:color w:val="231F20"/>
          <w:spacing w:val="-5"/>
        </w:rPr>
        <w:t> </w:t>
      </w:r>
      <w:r>
        <w:rPr>
          <w:color w:val="231F20"/>
        </w:rPr>
        <w:t>школьнику</w:t>
      </w:r>
      <w:r>
        <w:rPr>
          <w:color w:val="231F20"/>
          <w:spacing w:val="-5"/>
        </w:rPr>
        <w:t> </w:t>
      </w:r>
      <w:r>
        <w:rPr>
          <w:color w:val="231F20"/>
        </w:rPr>
        <w:t>–</w:t>
      </w:r>
      <w:r>
        <w:rPr>
          <w:color w:val="231F20"/>
          <w:spacing w:val="-5"/>
        </w:rPr>
        <w:t> </w:t>
      </w:r>
      <w:r>
        <w:rPr>
          <w:color w:val="231F20"/>
        </w:rPr>
        <w:t>иностранному</w:t>
      </w:r>
      <w:r>
        <w:rPr>
          <w:color w:val="231F20"/>
          <w:spacing w:val="-5"/>
        </w:rPr>
        <w:t> </w:t>
      </w:r>
      <w:r>
        <w:rPr>
          <w:color w:val="231F20"/>
        </w:rPr>
        <w:t>гражданину</w:t>
      </w:r>
      <w:r>
        <w:rPr>
          <w:color w:val="231F20"/>
          <w:spacing w:val="-5"/>
        </w:rPr>
        <w:t> </w:t>
      </w:r>
      <w:r>
        <w:rPr>
          <w:color w:val="231F20"/>
        </w:rPr>
        <w:t>с</w:t>
      </w:r>
      <w:r>
        <w:rPr>
          <w:color w:val="231F20"/>
          <w:spacing w:val="-5"/>
        </w:rPr>
        <w:t> </w:t>
      </w:r>
      <w:r>
        <w:rPr>
          <w:color w:val="231F20"/>
        </w:rPr>
        <w:t>инте- грационным профилем аккультурации.</w:t>
      </w:r>
    </w:p>
    <w:p>
      <w:pPr>
        <w:pStyle w:val="BodyText"/>
        <w:spacing w:line="225" w:lineRule="exact"/>
        <w:ind w:left="425" w:right="0" w:firstLine="0"/>
      </w:pPr>
      <w:r>
        <w:rPr>
          <w:color w:val="231F20"/>
        </w:rPr>
        <w:t>В</w:t>
      </w:r>
      <w:r>
        <w:rPr>
          <w:color w:val="231F20"/>
          <w:spacing w:val="-6"/>
        </w:rPr>
        <w:t> </w:t>
      </w:r>
      <w:r>
        <w:rPr>
          <w:color w:val="231F20"/>
        </w:rPr>
        <w:t>него</w:t>
      </w:r>
      <w:r>
        <w:rPr>
          <w:color w:val="231F20"/>
          <w:spacing w:val="-3"/>
        </w:rPr>
        <w:t> </w:t>
      </w:r>
      <w:r>
        <w:rPr>
          <w:color w:val="231F20"/>
          <w:spacing w:val="-2"/>
        </w:rPr>
        <w:t>входит:</w:t>
      </w:r>
    </w:p>
    <w:p>
      <w:pPr>
        <w:pStyle w:val="ListParagraph"/>
        <w:numPr>
          <w:ilvl w:val="0"/>
          <w:numId w:val="41"/>
        </w:numPr>
        <w:tabs>
          <w:tab w:pos="423" w:val="left" w:leader="none"/>
          <w:tab w:pos="425" w:val="left" w:leader="none"/>
        </w:tabs>
        <w:spacing w:line="235" w:lineRule="auto" w:before="1" w:after="0"/>
        <w:ind w:left="425" w:right="139" w:hanging="284"/>
        <w:jc w:val="both"/>
        <w:rPr>
          <w:color w:val="231F20"/>
          <w:sz w:val="20"/>
        </w:rPr>
      </w:pPr>
      <w:r>
        <w:rPr>
          <w:color w:val="231F20"/>
          <w:sz w:val="20"/>
        </w:rPr>
        <w:t>Задействование несовершеннолетнего иностранного гражданина в совместной деятельности с детьми принимающего общества (школьный проект, использова- ние креативных коммуникативных технологий, организация групповой учебной работы и пр.).</w:t>
      </w:r>
    </w:p>
    <w:p>
      <w:pPr>
        <w:pStyle w:val="ListParagraph"/>
        <w:numPr>
          <w:ilvl w:val="0"/>
          <w:numId w:val="41"/>
        </w:numPr>
        <w:tabs>
          <w:tab w:pos="423" w:val="left" w:leader="none"/>
          <w:tab w:pos="425" w:val="left" w:leader="none"/>
        </w:tabs>
        <w:spacing w:line="235" w:lineRule="auto" w:before="3" w:after="0"/>
        <w:ind w:left="425" w:right="140" w:hanging="284"/>
        <w:jc w:val="both"/>
        <w:rPr>
          <w:color w:val="231F20"/>
          <w:sz w:val="20"/>
        </w:rPr>
      </w:pPr>
      <w:r>
        <w:rPr>
          <w:color w:val="231F20"/>
          <w:sz w:val="20"/>
        </w:rPr>
        <w:t>При наличии межгрупповой враждебности и ощущения ребенком дискримина- ции – проведение «Живой библиотеки».</w:t>
      </w:r>
    </w:p>
    <w:p>
      <w:pPr>
        <w:spacing w:line="228" w:lineRule="exact" w:before="54"/>
        <w:ind w:left="425" w:right="0" w:firstLine="0"/>
        <w:jc w:val="left"/>
        <w:rPr>
          <w:i/>
          <w:sz w:val="20"/>
        </w:rPr>
      </w:pPr>
      <w:r>
        <w:rPr>
          <w:i/>
          <w:color w:val="231F20"/>
          <w:sz w:val="20"/>
        </w:rPr>
        <w:t>Уровень</w:t>
      </w:r>
      <w:r>
        <w:rPr>
          <w:i/>
          <w:color w:val="231F20"/>
          <w:spacing w:val="-10"/>
          <w:sz w:val="20"/>
        </w:rPr>
        <w:t> </w:t>
      </w:r>
      <w:r>
        <w:rPr>
          <w:i/>
          <w:color w:val="231F20"/>
          <w:sz w:val="20"/>
        </w:rPr>
        <w:t>2.</w:t>
      </w:r>
      <w:r>
        <w:rPr>
          <w:i/>
          <w:color w:val="231F20"/>
          <w:spacing w:val="-8"/>
          <w:sz w:val="20"/>
        </w:rPr>
        <w:t> </w:t>
      </w:r>
      <w:r>
        <w:rPr>
          <w:i/>
          <w:color w:val="231F20"/>
          <w:sz w:val="20"/>
        </w:rPr>
        <w:t>Профилактическое</w:t>
      </w:r>
      <w:r>
        <w:rPr>
          <w:i/>
          <w:color w:val="231F20"/>
          <w:spacing w:val="-9"/>
          <w:sz w:val="20"/>
        </w:rPr>
        <w:t> </w:t>
      </w:r>
      <w:r>
        <w:rPr>
          <w:i/>
          <w:color w:val="231F20"/>
          <w:sz w:val="20"/>
        </w:rPr>
        <w:t>коррекционное</w:t>
      </w:r>
      <w:r>
        <w:rPr>
          <w:i/>
          <w:color w:val="231F20"/>
          <w:spacing w:val="-8"/>
          <w:sz w:val="20"/>
        </w:rPr>
        <w:t> </w:t>
      </w:r>
      <w:r>
        <w:rPr>
          <w:i/>
          <w:color w:val="231F20"/>
          <w:spacing w:val="-2"/>
          <w:sz w:val="20"/>
        </w:rPr>
        <w:t>сопровождение.</w:t>
      </w:r>
    </w:p>
    <w:p>
      <w:pPr>
        <w:pStyle w:val="BodyText"/>
        <w:spacing w:line="235" w:lineRule="auto" w:before="2"/>
        <w:ind w:right="0"/>
        <w:jc w:val="left"/>
      </w:pPr>
      <w:r>
        <w:rPr>
          <w:color w:val="231F20"/>
        </w:rPr>
        <w:t>Осуществляется</w:t>
      </w:r>
      <w:r>
        <w:rPr>
          <w:color w:val="231F20"/>
          <w:spacing w:val="-7"/>
        </w:rPr>
        <w:t> </w:t>
      </w:r>
      <w:r>
        <w:rPr>
          <w:color w:val="231F20"/>
        </w:rPr>
        <w:t>по</w:t>
      </w:r>
      <w:r>
        <w:rPr>
          <w:color w:val="231F20"/>
          <w:spacing w:val="-7"/>
        </w:rPr>
        <w:t> </w:t>
      </w:r>
      <w:r>
        <w:rPr>
          <w:color w:val="231F20"/>
        </w:rPr>
        <w:t>отношению</w:t>
      </w:r>
      <w:r>
        <w:rPr>
          <w:color w:val="231F20"/>
          <w:spacing w:val="-7"/>
        </w:rPr>
        <w:t> </w:t>
      </w:r>
      <w:r>
        <w:rPr>
          <w:color w:val="231F20"/>
        </w:rPr>
        <w:t>к</w:t>
      </w:r>
      <w:r>
        <w:rPr>
          <w:color w:val="231F20"/>
          <w:spacing w:val="-7"/>
        </w:rPr>
        <w:t> </w:t>
      </w:r>
      <w:r>
        <w:rPr>
          <w:color w:val="231F20"/>
        </w:rPr>
        <w:t>школьнику</w:t>
      </w:r>
      <w:r>
        <w:rPr>
          <w:color w:val="231F20"/>
          <w:spacing w:val="-7"/>
        </w:rPr>
        <w:t> </w:t>
      </w:r>
      <w:r>
        <w:rPr>
          <w:color w:val="231F20"/>
        </w:rPr>
        <w:t>–</w:t>
      </w:r>
      <w:r>
        <w:rPr>
          <w:color w:val="231F20"/>
          <w:spacing w:val="-7"/>
        </w:rPr>
        <w:t> </w:t>
      </w:r>
      <w:r>
        <w:rPr>
          <w:color w:val="231F20"/>
        </w:rPr>
        <w:t>иностранному</w:t>
      </w:r>
      <w:r>
        <w:rPr>
          <w:color w:val="231F20"/>
          <w:spacing w:val="-7"/>
        </w:rPr>
        <w:t> </w:t>
      </w:r>
      <w:r>
        <w:rPr>
          <w:color w:val="231F20"/>
        </w:rPr>
        <w:t>гражданину</w:t>
      </w:r>
      <w:r>
        <w:rPr>
          <w:color w:val="231F20"/>
          <w:spacing w:val="-7"/>
        </w:rPr>
        <w:t> </w:t>
      </w:r>
      <w:r>
        <w:rPr>
          <w:color w:val="231F20"/>
        </w:rPr>
        <w:t>со</w:t>
      </w:r>
      <w:r>
        <w:rPr>
          <w:color w:val="231F20"/>
          <w:spacing w:val="-7"/>
        </w:rPr>
        <w:t> </w:t>
      </w:r>
      <w:r>
        <w:rPr>
          <w:color w:val="231F20"/>
        </w:rPr>
        <w:t>сме- шанным профилем аккультурации.</w:t>
      </w:r>
    </w:p>
    <w:p>
      <w:pPr>
        <w:pStyle w:val="BodyText"/>
        <w:spacing w:line="225" w:lineRule="exact"/>
        <w:ind w:left="425" w:right="0" w:firstLine="0"/>
        <w:jc w:val="left"/>
      </w:pPr>
      <w:r>
        <w:rPr>
          <w:color w:val="231F20"/>
        </w:rPr>
        <w:t>В</w:t>
      </w:r>
      <w:r>
        <w:rPr>
          <w:color w:val="231F20"/>
          <w:spacing w:val="-6"/>
        </w:rPr>
        <w:t> </w:t>
      </w:r>
      <w:r>
        <w:rPr>
          <w:color w:val="231F20"/>
        </w:rPr>
        <w:t>него</w:t>
      </w:r>
      <w:r>
        <w:rPr>
          <w:color w:val="231F20"/>
          <w:spacing w:val="-3"/>
        </w:rPr>
        <w:t> </w:t>
      </w:r>
      <w:r>
        <w:rPr>
          <w:color w:val="231F20"/>
          <w:spacing w:val="-2"/>
        </w:rPr>
        <w:t>входит:</w:t>
      </w:r>
    </w:p>
    <w:p>
      <w:pPr>
        <w:pStyle w:val="ListParagraph"/>
        <w:numPr>
          <w:ilvl w:val="0"/>
          <w:numId w:val="41"/>
        </w:numPr>
        <w:tabs>
          <w:tab w:pos="423" w:val="left" w:leader="none"/>
          <w:tab w:pos="425" w:val="left" w:leader="none"/>
        </w:tabs>
        <w:spacing w:line="235" w:lineRule="auto" w:before="2" w:after="0"/>
        <w:ind w:left="425" w:right="139" w:hanging="284"/>
        <w:jc w:val="both"/>
        <w:rPr>
          <w:color w:val="231F20"/>
          <w:sz w:val="20"/>
        </w:rPr>
      </w:pPr>
      <w:r>
        <w:rPr>
          <w:color w:val="231F20"/>
          <w:spacing w:val="-2"/>
          <w:sz w:val="20"/>
        </w:rPr>
        <w:t>Индивидуальная</w:t>
      </w:r>
      <w:r>
        <w:rPr>
          <w:color w:val="231F20"/>
          <w:spacing w:val="-4"/>
          <w:sz w:val="20"/>
        </w:rPr>
        <w:t> </w:t>
      </w:r>
      <w:r>
        <w:rPr>
          <w:color w:val="231F20"/>
          <w:spacing w:val="-2"/>
          <w:sz w:val="20"/>
        </w:rPr>
        <w:t>коррекционная</w:t>
      </w:r>
      <w:r>
        <w:rPr>
          <w:color w:val="231F20"/>
          <w:spacing w:val="-4"/>
          <w:sz w:val="20"/>
        </w:rPr>
        <w:t> </w:t>
      </w:r>
      <w:r>
        <w:rPr>
          <w:color w:val="231F20"/>
          <w:spacing w:val="-2"/>
          <w:sz w:val="20"/>
        </w:rPr>
        <w:t>и</w:t>
      </w:r>
      <w:r>
        <w:rPr>
          <w:color w:val="231F20"/>
          <w:spacing w:val="-4"/>
          <w:sz w:val="20"/>
        </w:rPr>
        <w:t> </w:t>
      </w:r>
      <w:r>
        <w:rPr>
          <w:color w:val="231F20"/>
          <w:spacing w:val="-2"/>
          <w:sz w:val="20"/>
        </w:rPr>
        <w:t>консультативная</w:t>
      </w:r>
      <w:r>
        <w:rPr>
          <w:color w:val="231F20"/>
          <w:spacing w:val="-4"/>
          <w:sz w:val="20"/>
        </w:rPr>
        <w:t> </w:t>
      </w:r>
      <w:r>
        <w:rPr>
          <w:color w:val="231F20"/>
          <w:spacing w:val="-2"/>
          <w:sz w:val="20"/>
        </w:rPr>
        <w:t>работа.</w:t>
      </w:r>
      <w:r>
        <w:rPr>
          <w:color w:val="231F20"/>
          <w:spacing w:val="-4"/>
          <w:sz w:val="20"/>
        </w:rPr>
        <w:t> </w:t>
      </w:r>
      <w:r>
        <w:rPr>
          <w:color w:val="231F20"/>
          <w:spacing w:val="-2"/>
          <w:sz w:val="20"/>
        </w:rPr>
        <w:t>Тематика</w:t>
      </w:r>
      <w:r>
        <w:rPr>
          <w:color w:val="231F20"/>
          <w:spacing w:val="-4"/>
          <w:sz w:val="20"/>
        </w:rPr>
        <w:t> </w:t>
      </w:r>
      <w:r>
        <w:rPr>
          <w:color w:val="231F20"/>
          <w:spacing w:val="-2"/>
          <w:sz w:val="20"/>
        </w:rPr>
        <w:t>и</w:t>
      </w:r>
      <w:r>
        <w:rPr>
          <w:color w:val="231F20"/>
          <w:spacing w:val="-4"/>
          <w:sz w:val="20"/>
        </w:rPr>
        <w:t> </w:t>
      </w:r>
      <w:r>
        <w:rPr>
          <w:color w:val="231F20"/>
          <w:spacing w:val="-2"/>
          <w:sz w:val="20"/>
        </w:rPr>
        <w:t>количество </w:t>
      </w:r>
      <w:r>
        <w:rPr>
          <w:color w:val="231F20"/>
          <w:sz w:val="20"/>
        </w:rPr>
        <w:t>индивидуальных</w:t>
      </w:r>
      <w:r>
        <w:rPr>
          <w:color w:val="231F20"/>
          <w:spacing w:val="-11"/>
          <w:sz w:val="20"/>
        </w:rPr>
        <w:t> </w:t>
      </w:r>
      <w:r>
        <w:rPr>
          <w:color w:val="231F20"/>
          <w:sz w:val="20"/>
        </w:rPr>
        <w:t>встреч</w:t>
      </w:r>
      <w:r>
        <w:rPr>
          <w:color w:val="231F20"/>
          <w:spacing w:val="-11"/>
          <w:sz w:val="20"/>
        </w:rPr>
        <w:t> </w:t>
      </w:r>
      <w:r>
        <w:rPr>
          <w:color w:val="231F20"/>
          <w:sz w:val="20"/>
        </w:rPr>
        <w:t>определяются</w:t>
      </w:r>
      <w:r>
        <w:rPr>
          <w:color w:val="231F20"/>
          <w:spacing w:val="-11"/>
          <w:sz w:val="20"/>
        </w:rPr>
        <w:t> </w:t>
      </w:r>
      <w:r>
        <w:rPr>
          <w:color w:val="231F20"/>
          <w:sz w:val="20"/>
        </w:rPr>
        <w:t>в</w:t>
      </w:r>
      <w:r>
        <w:rPr>
          <w:color w:val="231F20"/>
          <w:spacing w:val="-11"/>
          <w:sz w:val="20"/>
        </w:rPr>
        <w:t> </w:t>
      </w:r>
      <w:r>
        <w:rPr>
          <w:color w:val="231F20"/>
          <w:sz w:val="20"/>
        </w:rPr>
        <w:t>зависимости</w:t>
      </w:r>
      <w:r>
        <w:rPr>
          <w:color w:val="231F20"/>
          <w:spacing w:val="-11"/>
          <w:sz w:val="20"/>
        </w:rPr>
        <w:t> </w:t>
      </w:r>
      <w:r>
        <w:rPr>
          <w:color w:val="231F20"/>
          <w:sz w:val="20"/>
        </w:rPr>
        <w:t>от</w:t>
      </w:r>
      <w:r>
        <w:rPr>
          <w:color w:val="231F20"/>
          <w:spacing w:val="-11"/>
          <w:sz w:val="20"/>
        </w:rPr>
        <w:t> </w:t>
      </w:r>
      <w:r>
        <w:rPr>
          <w:color w:val="231F20"/>
          <w:sz w:val="20"/>
        </w:rPr>
        <w:t>результатов</w:t>
      </w:r>
      <w:r>
        <w:rPr>
          <w:color w:val="231F20"/>
          <w:spacing w:val="-11"/>
          <w:sz w:val="20"/>
        </w:rPr>
        <w:t> </w:t>
      </w:r>
      <w:r>
        <w:rPr>
          <w:color w:val="231F20"/>
          <w:sz w:val="20"/>
        </w:rPr>
        <w:t>углубленной диагностики. Содержательно работа регламентируется технологиями, представ- ленными в разделе 1. </w:t>
      </w:r>
      <w:r>
        <w:rPr>
          <w:sz w:val="20"/>
        </w:rPr>
        <w:t>Работа педагога-психолога по индивидуальной поддержке де</w:t>
      </w:r>
      <w:r>
        <w:rPr>
          <w:color w:val="231F20"/>
          <w:sz w:val="20"/>
        </w:rPr>
        <w:t>тей иностранных граждан</w:t>
      </w:r>
      <w:r>
        <w:rPr>
          <w:sz w:val="20"/>
        </w:rPr>
        <w:t>.</w:t>
      </w:r>
    </w:p>
    <w:p>
      <w:pPr>
        <w:pStyle w:val="ListParagraph"/>
        <w:numPr>
          <w:ilvl w:val="0"/>
          <w:numId w:val="41"/>
        </w:numPr>
        <w:tabs>
          <w:tab w:pos="423" w:val="left" w:leader="none"/>
          <w:tab w:pos="425" w:val="left" w:leader="none"/>
        </w:tabs>
        <w:spacing w:line="235" w:lineRule="auto" w:before="3" w:after="0"/>
        <w:ind w:left="425" w:right="139" w:hanging="284"/>
        <w:jc w:val="both"/>
        <w:rPr>
          <w:color w:val="231F20"/>
          <w:sz w:val="20"/>
        </w:rPr>
      </w:pPr>
      <w:r>
        <w:rPr>
          <w:color w:val="231F20"/>
          <w:spacing w:val="-2"/>
          <w:sz w:val="20"/>
        </w:rPr>
        <w:t>Индивидуальная</w:t>
      </w:r>
      <w:r>
        <w:rPr>
          <w:color w:val="231F20"/>
          <w:spacing w:val="-4"/>
          <w:sz w:val="20"/>
        </w:rPr>
        <w:t> </w:t>
      </w:r>
      <w:r>
        <w:rPr>
          <w:color w:val="231F20"/>
          <w:spacing w:val="-2"/>
          <w:sz w:val="20"/>
        </w:rPr>
        <w:t>коррекционная</w:t>
      </w:r>
      <w:r>
        <w:rPr>
          <w:color w:val="231F20"/>
          <w:spacing w:val="-4"/>
          <w:sz w:val="20"/>
        </w:rPr>
        <w:t> </w:t>
      </w:r>
      <w:r>
        <w:rPr>
          <w:color w:val="231F20"/>
          <w:spacing w:val="-2"/>
          <w:sz w:val="20"/>
        </w:rPr>
        <w:t>и</w:t>
      </w:r>
      <w:r>
        <w:rPr>
          <w:color w:val="231F20"/>
          <w:spacing w:val="-4"/>
          <w:sz w:val="20"/>
        </w:rPr>
        <w:t> </w:t>
      </w:r>
      <w:r>
        <w:rPr>
          <w:color w:val="231F20"/>
          <w:spacing w:val="-2"/>
          <w:sz w:val="20"/>
        </w:rPr>
        <w:t>консультативная</w:t>
      </w:r>
      <w:r>
        <w:rPr>
          <w:color w:val="231F20"/>
          <w:spacing w:val="-4"/>
          <w:sz w:val="20"/>
        </w:rPr>
        <w:t> </w:t>
      </w:r>
      <w:r>
        <w:rPr>
          <w:color w:val="231F20"/>
          <w:spacing w:val="-2"/>
          <w:sz w:val="20"/>
        </w:rPr>
        <w:t>работа.</w:t>
      </w:r>
      <w:r>
        <w:rPr>
          <w:color w:val="231F20"/>
          <w:spacing w:val="-4"/>
          <w:sz w:val="20"/>
        </w:rPr>
        <w:t> </w:t>
      </w:r>
      <w:r>
        <w:rPr>
          <w:color w:val="231F20"/>
          <w:spacing w:val="-2"/>
          <w:sz w:val="20"/>
        </w:rPr>
        <w:t>Тематика</w:t>
      </w:r>
      <w:r>
        <w:rPr>
          <w:color w:val="231F20"/>
          <w:spacing w:val="-4"/>
          <w:sz w:val="20"/>
        </w:rPr>
        <w:t> </w:t>
      </w:r>
      <w:r>
        <w:rPr>
          <w:color w:val="231F20"/>
          <w:spacing w:val="-2"/>
          <w:sz w:val="20"/>
        </w:rPr>
        <w:t>и</w:t>
      </w:r>
      <w:r>
        <w:rPr>
          <w:color w:val="231F20"/>
          <w:spacing w:val="-4"/>
          <w:sz w:val="20"/>
        </w:rPr>
        <w:t> </w:t>
      </w:r>
      <w:r>
        <w:rPr>
          <w:color w:val="231F20"/>
          <w:spacing w:val="-2"/>
          <w:sz w:val="20"/>
        </w:rPr>
        <w:t>количество </w:t>
      </w:r>
      <w:r>
        <w:rPr>
          <w:color w:val="231F20"/>
          <w:sz w:val="20"/>
        </w:rPr>
        <w:t>индивидуальных встреч определяются индивидуально в зависимости от резуль- татов</w:t>
      </w:r>
      <w:r>
        <w:rPr>
          <w:color w:val="231F20"/>
          <w:spacing w:val="-1"/>
          <w:sz w:val="20"/>
        </w:rPr>
        <w:t> </w:t>
      </w:r>
      <w:r>
        <w:rPr>
          <w:color w:val="231F20"/>
          <w:sz w:val="20"/>
        </w:rPr>
        <w:t>углубленной</w:t>
      </w:r>
      <w:r>
        <w:rPr>
          <w:color w:val="231F20"/>
          <w:spacing w:val="-1"/>
          <w:sz w:val="20"/>
        </w:rPr>
        <w:t> </w:t>
      </w:r>
      <w:r>
        <w:rPr>
          <w:color w:val="231F20"/>
          <w:sz w:val="20"/>
        </w:rPr>
        <w:t>диагностики.</w:t>
      </w:r>
      <w:r>
        <w:rPr>
          <w:color w:val="231F20"/>
          <w:spacing w:val="-1"/>
          <w:sz w:val="20"/>
        </w:rPr>
        <w:t> </w:t>
      </w:r>
      <w:r>
        <w:rPr>
          <w:color w:val="231F20"/>
          <w:sz w:val="20"/>
        </w:rPr>
        <w:t>Содержательно</w:t>
      </w:r>
      <w:r>
        <w:rPr>
          <w:color w:val="231F20"/>
          <w:spacing w:val="-1"/>
          <w:sz w:val="20"/>
        </w:rPr>
        <w:t> </w:t>
      </w:r>
      <w:r>
        <w:rPr>
          <w:color w:val="231F20"/>
          <w:sz w:val="20"/>
        </w:rPr>
        <w:t>работа</w:t>
      </w:r>
      <w:r>
        <w:rPr>
          <w:color w:val="231F20"/>
          <w:spacing w:val="-1"/>
          <w:sz w:val="20"/>
        </w:rPr>
        <w:t> </w:t>
      </w:r>
      <w:r>
        <w:rPr>
          <w:color w:val="231F20"/>
          <w:sz w:val="20"/>
        </w:rPr>
        <w:t>регламентируется</w:t>
      </w:r>
      <w:r>
        <w:rPr>
          <w:color w:val="231F20"/>
          <w:spacing w:val="-1"/>
          <w:sz w:val="20"/>
        </w:rPr>
        <w:t> </w:t>
      </w:r>
      <w:r>
        <w:rPr>
          <w:color w:val="231F20"/>
          <w:sz w:val="20"/>
        </w:rPr>
        <w:t>техно- логиями, представленными в разделе 1. </w:t>
      </w:r>
      <w:r>
        <w:rPr>
          <w:sz w:val="20"/>
        </w:rPr>
        <w:t>Работа педагога-психолога по индивиду- альной</w:t>
      </w:r>
      <w:r>
        <w:rPr>
          <w:spacing w:val="20"/>
          <w:sz w:val="20"/>
        </w:rPr>
        <w:t> </w:t>
      </w:r>
      <w:r>
        <w:rPr>
          <w:sz w:val="20"/>
        </w:rPr>
        <w:t>поддержке</w:t>
      </w:r>
      <w:r>
        <w:rPr>
          <w:spacing w:val="20"/>
          <w:sz w:val="20"/>
        </w:rPr>
        <w:t> </w:t>
      </w:r>
      <w:r>
        <w:rPr>
          <w:sz w:val="20"/>
        </w:rPr>
        <w:t>де</w:t>
      </w:r>
      <w:r>
        <w:rPr>
          <w:color w:val="231F20"/>
          <w:sz w:val="20"/>
        </w:rPr>
        <w:t>тей</w:t>
      </w:r>
      <w:r>
        <w:rPr>
          <w:color w:val="231F20"/>
          <w:spacing w:val="20"/>
          <w:sz w:val="20"/>
        </w:rPr>
        <w:t> </w:t>
      </w:r>
      <w:r>
        <w:rPr>
          <w:color w:val="231F20"/>
          <w:sz w:val="20"/>
        </w:rPr>
        <w:t>иностранных</w:t>
      </w:r>
      <w:r>
        <w:rPr>
          <w:color w:val="231F20"/>
          <w:spacing w:val="20"/>
          <w:sz w:val="20"/>
        </w:rPr>
        <w:t> </w:t>
      </w:r>
      <w:r>
        <w:rPr>
          <w:color w:val="231F20"/>
          <w:sz w:val="20"/>
        </w:rPr>
        <w:t>граждан</w:t>
      </w:r>
      <w:r>
        <w:rPr>
          <w:color w:val="231F20"/>
          <w:spacing w:val="20"/>
          <w:sz w:val="20"/>
        </w:rPr>
        <w:t> </w:t>
      </w:r>
      <w:r>
        <w:rPr>
          <w:b/>
          <w:color w:val="231F20"/>
          <w:sz w:val="20"/>
        </w:rPr>
        <w:t>(</w:t>
      </w:r>
      <w:r>
        <w:rPr>
          <w:color w:val="231F20"/>
          <w:sz w:val="20"/>
        </w:rPr>
        <w:t>Методические</w:t>
      </w:r>
      <w:r>
        <w:rPr>
          <w:color w:val="231F20"/>
          <w:spacing w:val="20"/>
          <w:sz w:val="20"/>
        </w:rPr>
        <w:t> </w:t>
      </w:r>
      <w:r>
        <w:rPr>
          <w:color w:val="231F20"/>
          <w:sz w:val="20"/>
        </w:rPr>
        <w:t>рекомендации</w:t>
      </w:r>
      <w:r>
        <w:rPr>
          <w:color w:val="231F20"/>
          <w:spacing w:val="20"/>
          <w:sz w:val="20"/>
        </w:rPr>
        <w:t> </w:t>
      </w:r>
      <w:r>
        <w:rPr>
          <w:color w:val="231F20"/>
          <w:sz w:val="20"/>
        </w:rPr>
        <w:t>и</w:t>
      </w:r>
    </w:p>
    <w:p>
      <w:pPr>
        <w:pStyle w:val="ListParagraph"/>
        <w:spacing w:after="0" w:line="235" w:lineRule="auto"/>
        <w:jc w:val="both"/>
        <w:rPr>
          <w:sz w:val="20"/>
        </w:rPr>
        <w:sectPr>
          <w:pgSz w:w="8400" w:h="11910"/>
          <w:pgMar w:header="0" w:footer="531"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Введение</w:t>
      </w:r>
    </w:p>
    <w:p>
      <w:pPr>
        <w:pStyle w:val="BodyText"/>
        <w:spacing w:line="235" w:lineRule="auto" w:before="116"/>
        <w:ind w:left="425" w:firstLine="0"/>
      </w:pPr>
      <w:r>
        <w:rPr>
          <w:color w:val="231F20"/>
        </w:rPr>
        <w:t>Инструментарий).</w:t>
      </w:r>
      <w:r>
        <w:rPr>
          <w:color w:val="231F20"/>
          <w:spacing w:val="-2"/>
        </w:rPr>
        <w:t> </w:t>
      </w:r>
      <w:r>
        <w:rPr/>
        <w:t>При</w:t>
      </w:r>
      <w:r>
        <w:rPr>
          <w:spacing w:val="-2"/>
        </w:rPr>
        <w:t> </w:t>
      </w:r>
      <w:r>
        <w:rPr/>
        <w:t>этом</w:t>
      </w:r>
      <w:r>
        <w:rPr>
          <w:spacing w:val="-2"/>
        </w:rPr>
        <w:t> </w:t>
      </w:r>
      <w:r>
        <w:rPr/>
        <w:t>р</w:t>
      </w:r>
      <w:r>
        <w:rPr>
          <w:color w:val="231F20"/>
        </w:rPr>
        <w:t>екомендуется</w:t>
      </w:r>
      <w:r>
        <w:rPr>
          <w:color w:val="231F20"/>
          <w:spacing w:val="-2"/>
        </w:rPr>
        <w:t> </w:t>
      </w:r>
      <w:r>
        <w:rPr>
          <w:color w:val="231F20"/>
        </w:rPr>
        <w:t>проводить</w:t>
      </w:r>
      <w:r>
        <w:rPr>
          <w:color w:val="231F20"/>
          <w:spacing w:val="-2"/>
        </w:rPr>
        <w:t> </w:t>
      </w:r>
      <w:r>
        <w:rPr>
          <w:color w:val="231F20"/>
        </w:rPr>
        <w:t>не</w:t>
      </w:r>
      <w:r>
        <w:rPr>
          <w:color w:val="231F20"/>
          <w:spacing w:val="-2"/>
        </w:rPr>
        <w:t> </w:t>
      </w:r>
      <w:r>
        <w:rPr>
          <w:color w:val="231F20"/>
        </w:rPr>
        <w:t>менее</w:t>
      </w:r>
      <w:r>
        <w:rPr>
          <w:color w:val="231F20"/>
          <w:spacing w:val="-2"/>
        </w:rPr>
        <w:t> </w:t>
      </w:r>
      <w:r>
        <w:rPr>
          <w:color w:val="231F20"/>
        </w:rPr>
        <w:t>4</w:t>
      </w:r>
      <w:r>
        <w:rPr>
          <w:color w:val="231F20"/>
          <w:spacing w:val="-2"/>
        </w:rPr>
        <w:t> </w:t>
      </w:r>
      <w:r>
        <w:rPr>
          <w:color w:val="231F20"/>
        </w:rPr>
        <w:t>встреч</w:t>
      </w:r>
      <w:r>
        <w:rPr>
          <w:color w:val="231F20"/>
          <w:spacing w:val="-2"/>
        </w:rPr>
        <w:t> </w:t>
      </w:r>
      <w:r>
        <w:rPr>
          <w:color w:val="231F20"/>
        </w:rPr>
        <w:t>с</w:t>
      </w:r>
      <w:r>
        <w:rPr>
          <w:color w:val="231F20"/>
          <w:spacing w:val="-2"/>
        </w:rPr>
        <w:t> </w:t>
      </w:r>
      <w:r>
        <w:rPr>
          <w:color w:val="231F20"/>
        </w:rPr>
        <w:t>ребен- ком за семестр.</w:t>
      </w:r>
    </w:p>
    <w:p>
      <w:pPr>
        <w:pStyle w:val="ListParagraph"/>
        <w:numPr>
          <w:ilvl w:val="0"/>
          <w:numId w:val="41"/>
        </w:numPr>
        <w:tabs>
          <w:tab w:pos="423" w:val="left" w:leader="none"/>
          <w:tab w:pos="425" w:val="left" w:leader="none"/>
        </w:tabs>
        <w:spacing w:line="235" w:lineRule="auto" w:before="1" w:after="0"/>
        <w:ind w:left="425" w:right="140" w:hanging="284"/>
        <w:jc w:val="both"/>
        <w:rPr>
          <w:color w:val="231F20"/>
          <w:sz w:val="20"/>
        </w:rPr>
      </w:pPr>
      <w:r>
        <w:rPr>
          <w:color w:val="231F20"/>
          <w:sz w:val="20"/>
        </w:rPr>
        <w:t>Обучение педагогов алгоритму разбора педагогического случая, связанного с адаптацией детей.</w:t>
      </w:r>
    </w:p>
    <w:p>
      <w:pPr>
        <w:pStyle w:val="ListParagraph"/>
        <w:numPr>
          <w:ilvl w:val="0"/>
          <w:numId w:val="41"/>
        </w:numPr>
        <w:tabs>
          <w:tab w:pos="423" w:val="left" w:leader="none"/>
          <w:tab w:pos="425" w:val="left" w:leader="none"/>
        </w:tabs>
        <w:spacing w:line="232" w:lineRule="auto" w:before="3" w:after="0"/>
        <w:ind w:left="425" w:right="139" w:hanging="284"/>
        <w:jc w:val="both"/>
        <w:rPr>
          <w:color w:val="231F20"/>
          <w:sz w:val="20"/>
        </w:rPr>
      </w:pPr>
      <w:r>
        <w:rPr>
          <w:color w:val="231F20"/>
          <w:sz w:val="20"/>
        </w:rPr>
        <w:t>Проведение</w:t>
      </w:r>
      <w:r>
        <w:rPr>
          <w:color w:val="231F20"/>
          <w:spacing w:val="-6"/>
          <w:sz w:val="20"/>
        </w:rPr>
        <w:t> </w:t>
      </w:r>
      <w:r>
        <w:rPr>
          <w:color w:val="231F20"/>
          <w:sz w:val="20"/>
        </w:rPr>
        <w:t>в</w:t>
      </w:r>
      <w:r>
        <w:rPr>
          <w:color w:val="231F20"/>
          <w:spacing w:val="-6"/>
          <w:sz w:val="20"/>
        </w:rPr>
        <w:t> </w:t>
      </w:r>
      <w:r>
        <w:rPr>
          <w:color w:val="231F20"/>
          <w:sz w:val="20"/>
        </w:rPr>
        <w:t>классе,</w:t>
      </w:r>
      <w:r>
        <w:rPr>
          <w:color w:val="231F20"/>
          <w:spacing w:val="-6"/>
          <w:sz w:val="20"/>
        </w:rPr>
        <w:t> </w:t>
      </w:r>
      <w:r>
        <w:rPr>
          <w:color w:val="231F20"/>
          <w:sz w:val="20"/>
        </w:rPr>
        <w:t>где</w:t>
      </w:r>
      <w:r>
        <w:rPr>
          <w:color w:val="231F20"/>
          <w:spacing w:val="-6"/>
          <w:sz w:val="20"/>
        </w:rPr>
        <w:t> </w:t>
      </w:r>
      <w:r>
        <w:rPr>
          <w:color w:val="231F20"/>
          <w:sz w:val="20"/>
        </w:rPr>
        <w:t>учится</w:t>
      </w:r>
      <w:r>
        <w:rPr>
          <w:color w:val="231F20"/>
          <w:spacing w:val="-6"/>
          <w:sz w:val="20"/>
        </w:rPr>
        <w:t> </w:t>
      </w:r>
      <w:r>
        <w:rPr>
          <w:color w:val="231F20"/>
          <w:sz w:val="20"/>
        </w:rPr>
        <w:t>ребенок,</w:t>
      </w:r>
      <w:r>
        <w:rPr>
          <w:color w:val="231F20"/>
          <w:spacing w:val="-6"/>
          <w:sz w:val="20"/>
        </w:rPr>
        <w:t> </w:t>
      </w:r>
      <w:r>
        <w:rPr>
          <w:color w:val="231F20"/>
          <w:sz w:val="20"/>
        </w:rPr>
        <w:t>межкультурного</w:t>
      </w:r>
      <w:r>
        <w:rPr>
          <w:color w:val="231F20"/>
          <w:spacing w:val="-6"/>
          <w:sz w:val="20"/>
        </w:rPr>
        <w:t> </w:t>
      </w:r>
      <w:r>
        <w:rPr>
          <w:color w:val="231F20"/>
          <w:sz w:val="20"/>
        </w:rPr>
        <w:t>тренинга</w:t>
      </w:r>
      <w:r>
        <w:rPr>
          <w:color w:val="231F20"/>
          <w:spacing w:val="-6"/>
          <w:sz w:val="20"/>
        </w:rPr>
        <w:t> </w:t>
      </w:r>
      <w:r>
        <w:rPr>
          <w:color w:val="231F20"/>
          <w:sz w:val="20"/>
        </w:rPr>
        <w:t>(см.</w:t>
      </w:r>
      <w:r>
        <w:rPr>
          <w:color w:val="231F20"/>
          <w:spacing w:val="-6"/>
          <w:sz w:val="20"/>
        </w:rPr>
        <w:t> </w:t>
      </w:r>
      <w:r>
        <w:rPr>
          <w:color w:val="231F20"/>
          <w:sz w:val="20"/>
        </w:rPr>
        <w:t>Методи- ческие рекомендации и Инструментарий, раздел 4), не менее 2 занятий.</w:t>
      </w:r>
    </w:p>
    <w:p>
      <w:pPr>
        <w:pStyle w:val="ListParagraph"/>
        <w:numPr>
          <w:ilvl w:val="0"/>
          <w:numId w:val="41"/>
        </w:numPr>
        <w:tabs>
          <w:tab w:pos="423" w:val="left" w:leader="none"/>
          <w:tab w:pos="425" w:val="left" w:leader="none"/>
        </w:tabs>
        <w:spacing w:line="232" w:lineRule="auto" w:before="2" w:after="0"/>
        <w:ind w:left="425" w:right="139" w:hanging="284"/>
        <w:jc w:val="both"/>
        <w:rPr>
          <w:color w:val="231F20"/>
          <w:sz w:val="20"/>
        </w:rPr>
      </w:pPr>
      <w:r>
        <w:rPr>
          <w:color w:val="231F20"/>
          <w:sz w:val="20"/>
        </w:rPr>
        <w:t>Задействование несовершеннолетнего иностранного гражданина в совместной деятельности с детьми принимающего общества (школьный проект, использова- ние креативных коммуникативных технологий, организация групповой учебной работы и пр.).</w:t>
      </w:r>
    </w:p>
    <w:p>
      <w:pPr>
        <w:pStyle w:val="ListParagraph"/>
        <w:numPr>
          <w:ilvl w:val="0"/>
          <w:numId w:val="41"/>
        </w:numPr>
        <w:tabs>
          <w:tab w:pos="423" w:val="left" w:leader="none"/>
          <w:tab w:pos="425" w:val="left" w:leader="none"/>
        </w:tabs>
        <w:spacing w:line="232" w:lineRule="auto" w:before="4" w:after="0"/>
        <w:ind w:left="425" w:right="140" w:hanging="284"/>
        <w:jc w:val="both"/>
        <w:rPr>
          <w:color w:val="231F20"/>
          <w:sz w:val="20"/>
        </w:rPr>
      </w:pPr>
      <w:r>
        <w:rPr>
          <w:color w:val="231F20"/>
          <w:sz w:val="20"/>
        </w:rPr>
        <w:t>При наличии межгрупповой враждебности и ощущения ребенком дискримина- ции – проведение «Живой библиотеки».</w:t>
      </w:r>
    </w:p>
    <w:p>
      <w:pPr>
        <w:spacing w:line="227" w:lineRule="exact" w:before="53"/>
        <w:ind w:left="425" w:right="0" w:firstLine="0"/>
        <w:jc w:val="left"/>
        <w:rPr>
          <w:i/>
          <w:sz w:val="20"/>
        </w:rPr>
      </w:pPr>
      <w:r>
        <w:rPr>
          <w:i/>
          <w:color w:val="231F20"/>
          <w:sz w:val="20"/>
        </w:rPr>
        <w:t>Уровень</w:t>
      </w:r>
      <w:r>
        <w:rPr>
          <w:i/>
          <w:color w:val="231F20"/>
          <w:spacing w:val="-9"/>
          <w:sz w:val="20"/>
        </w:rPr>
        <w:t> </w:t>
      </w:r>
      <w:r>
        <w:rPr>
          <w:i/>
          <w:color w:val="231F20"/>
          <w:sz w:val="20"/>
        </w:rPr>
        <w:t>3.</w:t>
      </w:r>
      <w:r>
        <w:rPr>
          <w:i/>
          <w:color w:val="231F20"/>
          <w:spacing w:val="-7"/>
          <w:sz w:val="20"/>
        </w:rPr>
        <w:t> </w:t>
      </w:r>
      <w:r>
        <w:rPr>
          <w:i/>
          <w:color w:val="231F20"/>
          <w:sz w:val="20"/>
        </w:rPr>
        <w:t>Коррекционная</w:t>
      </w:r>
      <w:r>
        <w:rPr>
          <w:i/>
          <w:color w:val="231F20"/>
          <w:spacing w:val="-7"/>
          <w:sz w:val="20"/>
        </w:rPr>
        <w:t> </w:t>
      </w:r>
      <w:r>
        <w:rPr>
          <w:i/>
          <w:color w:val="231F20"/>
          <w:spacing w:val="-2"/>
          <w:sz w:val="20"/>
        </w:rPr>
        <w:t>работа.</w:t>
      </w:r>
    </w:p>
    <w:p>
      <w:pPr>
        <w:pStyle w:val="BodyText"/>
        <w:spacing w:line="232" w:lineRule="auto" w:before="2"/>
        <w:ind w:right="0"/>
        <w:jc w:val="left"/>
      </w:pPr>
      <w:r>
        <w:rPr>
          <w:color w:val="231F20"/>
        </w:rPr>
        <w:t>Осуществляется</w:t>
      </w:r>
      <w:r>
        <w:rPr>
          <w:color w:val="231F20"/>
          <w:spacing w:val="-2"/>
        </w:rPr>
        <w:t> </w:t>
      </w:r>
      <w:r>
        <w:rPr>
          <w:color w:val="231F20"/>
        </w:rPr>
        <w:t>по</w:t>
      </w:r>
      <w:r>
        <w:rPr>
          <w:color w:val="231F20"/>
          <w:spacing w:val="-2"/>
        </w:rPr>
        <w:t> </w:t>
      </w:r>
      <w:r>
        <w:rPr>
          <w:color w:val="231F20"/>
        </w:rPr>
        <w:t>отношению</w:t>
      </w:r>
      <w:r>
        <w:rPr>
          <w:color w:val="231F20"/>
          <w:spacing w:val="-2"/>
        </w:rPr>
        <w:t> </w:t>
      </w:r>
      <w:r>
        <w:rPr>
          <w:color w:val="231F20"/>
        </w:rPr>
        <w:t>к</w:t>
      </w:r>
      <w:r>
        <w:rPr>
          <w:color w:val="231F20"/>
          <w:spacing w:val="-2"/>
        </w:rPr>
        <w:t> </w:t>
      </w:r>
      <w:r>
        <w:rPr>
          <w:color w:val="231F20"/>
        </w:rPr>
        <w:t>школьнику</w:t>
      </w:r>
      <w:r>
        <w:rPr>
          <w:color w:val="231F20"/>
          <w:spacing w:val="-2"/>
        </w:rPr>
        <w:t> </w:t>
      </w:r>
      <w:r>
        <w:rPr>
          <w:color w:val="231F20"/>
        </w:rPr>
        <w:t>–</w:t>
      </w:r>
      <w:r>
        <w:rPr>
          <w:color w:val="231F20"/>
          <w:spacing w:val="-2"/>
        </w:rPr>
        <w:t> </w:t>
      </w:r>
      <w:r>
        <w:rPr>
          <w:color w:val="231F20"/>
        </w:rPr>
        <w:t>иностранному</w:t>
      </w:r>
      <w:r>
        <w:rPr>
          <w:color w:val="231F20"/>
          <w:spacing w:val="-2"/>
        </w:rPr>
        <w:t> </w:t>
      </w:r>
      <w:r>
        <w:rPr>
          <w:color w:val="231F20"/>
        </w:rPr>
        <w:t>гражданину</w:t>
      </w:r>
      <w:r>
        <w:rPr>
          <w:color w:val="231F20"/>
          <w:spacing w:val="-2"/>
        </w:rPr>
        <w:t> </w:t>
      </w:r>
      <w:r>
        <w:rPr>
          <w:color w:val="231F20"/>
        </w:rPr>
        <w:t>с</w:t>
      </w:r>
      <w:r>
        <w:rPr>
          <w:color w:val="231F20"/>
          <w:spacing w:val="-2"/>
        </w:rPr>
        <w:t> </w:t>
      </w:r>
      <w:r>
        <w:rPr>
          <w:color w:val="231F20"/>
        </w:rPr>
        <w:t>деза- даптивным профилем аккультурации.</w:t>
      </w:r>
    </w:p>
    <w:p>
      <w:pPr>
        <w:pStyle w:val="BodyText"/>
        <w:spacing w:line="223" w:lineRule="exact"/>
        <w:ind w:left="425" w:right="0" w:firstLine="0"/>
        <w:jc w:val="left"/>
      </w:pPr>
      <w:r>
        <w:rPr>
          <w:color w:val="231F20"/>
        </w:rPr>
        <w:t>В</w:t>
      </w:r>
      <w:r>
        <w:rPr>
          <w:color w:val="231F20"/>
          <w:spacing w:val="-6"/>
        </w:rPr>
        <w:t> </w:t>
      </w:r>
      <w:r>
        <w:rPr>
          <w:color w:val="231F20"/>
        </w:rPr>
        <w:t>него</w:t>
      </w:r>
      <w:r>
        <w:rPr>
          <w:color w:val="231F20"/>
          <w:spacing w:val="-3"/>
        </w:rPr>
        <w:t> </w:t>
      </w:r>
      <w:r>
        <w:rPr>
          <w:color w:val="231F20"/>
          <w:spacing w:val="-2"/>
        </w:rPr>
        <w:t>входит:</w:t>
      </w:r>
    </w:p>
    <w:p>
      <w:pPr>
        <w:pStyle w:val="ListParagraph"/>
        <w:numPr>
          <w:ilvl w:val="0"/>
          <w:numId w:val="41"/>
        </w:numPr>
        <w:tabs>
          <w:tab w:pos="423" w:val="left" w:leader="none"/>
          <w:tab w:pos="425" w:val="left" w:leader="none"/>
        </w:tabs>
        <w:spacing w:line="232" w:lineRule="auto" w:before="3" w:after="0"/>
        <w:ind w:left="425" w:right="139" w:hanging="284"/>
        <w:jc w:val="both"/>
        <w:rPr>
          <w:color w:val="231F20"/>
          <w:sz w:val="20"/>
        </w:rPr>
      </w:pPr>
      <w:r>
        <w:rPr>
          <w:color w:val="231F20"/>
          <w:spacing w:val="-2"/>
          <w:sz w:val="20"/>
        </w:rPr>
        <w:t>Индивидуальная</w:t>
      </w:r>
      <w:r>
        <w:rPr>
          <w:color w:val="231F20"/>
          <w:spacing w:val="-4"/>
          <w:sz w:val="20"/>
        </w:rPr>
        <w:t> </w:t>
      </w:r>
      <w:r>
        <w:rPr>
          <w:color w:val="231F20"/>
          <w:spacing w:val="-2"/>
          <w:sz w:val="20"/>
        </w:rPr>
        <w:t>коррекционная</w:t>
      </w:r>
      <w:r>
        <w:rPr>
          <w:color w:val="231F20"/>
          <w:spacing w:val="-4"/>
          <w:sz w:val="20"/>
        </w:rPr>
        <w:t> </w:t>
      </w:r>
      <w:r>
        <w:rPr>
          <w:color w:val="231F20"/>
          <w:spacing w:val="-2"/>
          <w:sz w:val="20"/>
        </w:rPr>
        <w:t>и</w:t>
      </w:r>
      <w:r>
        <w:rPr>
          <w:color w:val="231F20"/>
          <w:spacing w:val="-4"/>
          <w:sz w:val="20"/>
        </w:rPr>
        <w:t> </w:t>
      </w:r>
      <w:r>
        <w:rPr>
          <w:color w:val="231F20"/>
          <w:spacing w:val="-2"/>
          <w:sz w:val="20"/>
        </w:rPr>
        <w:t>консультативная</w:t>
      </w:r>
      <w:r>
        <w:rPr>
          <w:color w:val="231F20"/>
          <w:spacing w:val="-4"/>
          <w:sz w:val="20"/>
        </w:rPr>
        <w:t> </w:t>
      </w:r>
      <w:r>
        <w:rPr>
          <w:color w:val="231F20"/>
          <w:spacing w:val="-2"/>
          <w:sz w:val="20"/>
        </w:rPr>
        <w:t>работа.</w:t>
      </w:r>
      <w:r>
        <w:rPr>
          <w:color w:val="231F20"/>
          <w:spacing w:val="-4"/>
          <w:sz w:val="20"/>
        </w:rPr>
        <w:t> </w:t>
      </w:r>
      <w:r>
        <w:rPr>
          <w:color w:val="231F20"/>
          <w:spacing w:val="-2"/>
          <w:sz w:val="20"/>
        </w:rPr>
        <w:t>Тематика</w:t>
      </w:r>
      <w:r>
        <w:rPr>
          <w:color w:val="231F20"/>
          <w:spacing w:val="-4"/>
          <w:sz w:val="20"/>
        </w:rPr>
        <w:t> </w:t>
      </w:r>
      <w:r>
        <w:rPr>
          <w:color w:val="231F20"/>
          <w:spacing w:val="-2"/>
          <w:sz w:val="20"/>
        </w:rPr>
        <w:t>и</w:t>
      </w:r>
      <w:r>
        <w:rPr>
          <w:color w:val="231F20"/>
          <w:spacing w:val="-4"/>
          <w:sz w:val="20"/>
        </w:rPr>
        <w:t> </w:t>
      </w:r>
      <w:r>
        <w:rPr>
          <w:color w:val="231F20"/>
          <w:spacing w:val="-2"/>
          <w:sz w:val="20"/>
        </w:rPr>
        <w:t>количество </w:t>
      </w:r>
      <w:r>
        <w:rPr>
          <w:color w:val="231F20"/>
          <w:sz w:val="20"/>
        </w:rPr>
        <w:t>индивидуальных встреч определяются индивидуально в зависимости от резуль- татов</w:t>
      </w:r>
      <w:r>
        <w:rPr>
          <w:color w:val="231F20"/>
          <w:spacing w:val="-1"/>
          <w:sz w:val="20"/>
        </w:rPr>
        <w:t> </w:t>
      </w:r>
      <w:r>
        <w:rPr>
          <w:color w:val="231F20"/>
          <w:sz w:val="20"/>
        </w:rPr>
        <w:t>углубленной</w:t>
      </w:r>
      <w:r>
        <w:rPr>
          <w:color w:val="231F20"/>
          <w:spacing w:val="-1"/>
          <w:sz w:val="20"/>
        </w:rPr>
        <w:t> </w:t>
      </w:r>
      <w:r>
        <w:rPr>
          <w:color w:val="231F20"/>
          <w:sz w:val="20"/>
        </w:rPr>
        <w:t>диагностики.</w:t>
      </w:r>
      <w:r>
        <w:rPr>
          <w:color w:val="231F20"/>
          <w:spacing w:val="-1"/>
          <w:sz w:val="20"/>
        </w:rPr>
        <w:t> </w:t>
      </w:r>
      <w:r>
        <w:rPr>
          <w:color w:val="231F20"/>
          <w:sz w:val="20"/>
        </w:rPr>
        <w:t>Содержательно</w:t>
      </w:r>
      <w:r>
        <w:rPr>
          <w:color w:val="231F20"/>
          <w:spacing w:val="-1"/>
          <w:sz w:val="20"/>
        </w:rPr>
        <w:t> </w:t>
      </w:r>
      <w:r>
        <w:rPr>
          <w:color w:val="231F20"/>
          <w:sz w:val="20"/>
        </w:rPr>
        <w:t>работа</w:t>
      </w:r>
      <w:r>
        <w:rPr>
          <w:color w:val="231F20"/>
          <w:spacing w:val="-1"/>
          <w:sz w:val="20"/>
        </w:rPr>
        <w:t> </w:t>
      </w:r>
      <w:r>
        <w:rPr>
          <w:color w:val="231F20"/>
          <w:sz w:val="20"/>
        </w:rPr>
        <w:t>регламентируется</w:t>
      </w:r>
      <w:r>
        <w:rPr>
          <w:color w:val="231F20"/>
          <w:spacing w:val="-1"/>
          <w:sz w:val="20"/>
        </w:rPr>
        <w:t> </w:t>
      </w:r>
      <w:r>
        <w:rPr>
          <w:color w:val="231F20"/>
          <w:sz w:val="20"/>
        </w:rPr>
        <w:t>техно- логиями, представленными в разделе 1. </w:t>
      </w:r>
      <w:r>
        <w:rPr>
          <w:sz w:val="20"/>
        </w:rPr>
        <w:t>Работа педагога-психолога по индивиду- альной поддержке де</w:t>
      </w:r>
      <w:r>
        <w:rPr>
          <w:color w:val="231F20"/>
          <w:sz w:val="20"/>
        </w:rPr>
        <w:t>тей иностранных граждан </w:t>
      </w:r>
      <w:r>
        <w:rPr>
          <w:b/>
          <w:color w:val="231F20"/>
          <w:sz w:val="20"/>
        </w:rPr>
        <w:t>(</w:t>
      </w:r>
      <w:r>
        <w:rPr>
          <w:color w:val="231F20"/>
          <w:sz w:val="20"/>
        </w:rPr>
        <w:t>Методические рекомендации и Инструментарий).</w:t>
      </w:r>
      <w:r>
        <w:rPr>
          <w:color w:val="231F20"/>
          <w:spacing w:val="-2"/>
          <w:sz w:val="20"/>
        </w:rPr>
        <w:t> </w:t>
      </w:r>
      <w:r>
        <w:rPr>
          <w:color w:val="231F20"/>
          <w:sz w:val="20"/>
        </w:rPr>
        <w:t>При</w:t>
      </w:r>
      <w:r>
        <w:rPr>
          <w:color w:val="231F20"/>
          <w:spacing w:val="-2"/>
          <w:sz w:val="20"/>
        </w:rPr>
        <w:t> </w:t>
      </w:r>
      <w:r>
        <w:rPr>
          <w:color w:val="231F20"/>
          <w:sz w:val="20"/>
        </w:rPr>
        <w:t>этом</w:t>
      </w:r>
      <w:r>
        <w:rPr>
          <w:color w:val="231F20"/>
          <w:spacing w:val="-2"/>
          <w:sz w:val="20"/>
        </w:rPr>
        <w:t> </w:t>
      </w:r>
      <w:r>
        <w:rPr>
          <w:color w:val="231F20"/>
          <w:sz w:val="20"/>
        </w:rPr>
        <w:t>рекомендуется</w:t>
      </w:r>
      <w:r>
        <w:rPr>
          <w:color w:val="231F20"/>
          <w:spacing w:val="-2"/>
          <w:sz w:val="20"/>
        </w:rPr>
        <w:t> </w:t>
      </w:r>
      <w:r>
        <w:rPr>
          <w:color w:val="231F20"/>
          <w:sz w:val="20"/>
        </w:rPr>
        <w:t>проводить</w:t>
      </w:r>
      <w:r>
        <w:rPr>
          <w:color w:val="231F20"/>
          <w:spacing w:val="-2"/>
          <w:sz w:val="20"/>
        </w:rPr>
        <w:t> </w:t>
      </w:r>
      <w:r>
        <w:rPr>
          <w:color w:val="231F20"/>
          <w:sz w:val="20"/>
        </w:rPr>
        <w:t>не</w:t>
      </w:r>
      <w:r>
        <w:rPr>
          <w:color w:val="231F20"/>
          <w:spacing w:val="-2"/>
          <w:sz w:val="20"/>
        </w:rPr>
        <w:t> </w:t>
      </w:r>
      <w:r>
        <w:rPr>
          <w:color w:val="231F20"/>
          <w:sz w:val="20"/>
        </w:rPr>
        <w:t>менее</w:t>
      </w:r>
      <w:r>
        <w:rPr>
          <w:color w:val="231F20"/>
          <w:spacing w:val="-2"/>
          <w:sz w:val="20"/>
        </w:rPr>
        <w:t> </w:t>
      </w:r>
      <w:r>
        <w:rPr>
          <w:color w:val="231F20"/>
          <w:sz w:val="20"/>
        </w:rPr>
        <w:t>8</w:t>
      </w:r>
      <w:r>
        <w:rPr>
          <w:color w:val="231F20"/>
          <w:spacing w:val="-2"/>
          <w:sz w:val="20"/>
        </w:rPr>
        <w:t> </w:t>
      </w:r>
      <w:r>
        <w:rPr>
          <w:color w:val="231F20"/>
          <w:sz w:val="20"/>
        </w:rPr>
        <w:t>встреч</w:t>
      </w:r>
      <w:r>
        <w:rPr>
          <w:color w:val="231F20"/>
          <w:spacing w:val="-2"/>
          <w:sz w:val="20"/>
        </w:rPr>
        <w:t> </w:t>
      </w:r>
      <w:r>
        <w:rPr>
          <w:color w:val="231F20"/>
          <w:sz w:val="20"/>
        </w:rPr>
        <w:t>с</w:t>
      </w:r>
      <w:r>
        <w:rPr>
          <w:color w:val="231F20"/>
          <w:spacing w:val="-2"/>
          <w:sz w:val="20"/>
        </w:rPr>
        <w:t> </w:t>
      </w:r>
      <w:r>
        <w:rPr>
          <w:color w:val="231F20"/>
          <w:sz w:val="20"/>
        </w:rPr>
        <w:t>ребен- ком за семестр.</w:t>
      </w:r>
    </w:p>
    <w:p>
      <w:pPr>
        <w:pStyle w:val="ListParagraph"/>
        <w:numPr>
          <w:ilvl w:val="0"/>
          <w:numId w:val="41"/>
        </w:numPr>
        <w:tabs>
          <w:tab w:pos="423" w:val="left" w:leader="none"/>
          <w:tab w:pos="425" w:val="left" w:leader="none"/>
        </w:tabs>
        <w:spacing w:line="232" w:lineRule="auto" w:before="6" w:after="0"/>
        <w:ind w:left="425" w:right="140" w:hanging="284"/>
        <w:jc w:val="both"/>
        <w:rPr>
          <w:color w:val="231F20"/>
          <w:sz w:val="20"/>
        </w:rPr>
      </w:pPr>
      <w:r>
        <w:rPr>
          <w:color w:val="231F20"/>
          <w:sz w:val="20"/>
        </w:rPr>
        <w:t>Обучение педагогов алгоритму разбора педагогического случая, связанного с адаптацией детей.</w:t>
      </w:r>
    </w:p>
    <w:p>
      <w:pPr>
        <w:pStyle w:val="ListParagraph"/>
        <w:numPr>
          <w:ilvl w:val="0"/>
          <w:numId w:val="41"/>
        </w:numPr>
        <w:tabs>
          <w:tab w:pos="423" w:val="left" w:leader="none"/>
        </w:tabs>
        <w:spacing w:line="223" w:lineRule="exact" w:before="0" w:after="0"/>
        <w:ind w:left="423" w:right="0" w:hanging="282"/>
        <w:jc w:val="both"/>
        <w:rPr>
          <w:color w:val="231F20"/>
          <w:sz w:val="20"/>
        </w:rPr>
      </w:pPr>
      <w:r>
        <w:rPr>
          <w:color w:val="231F20"/>
          <w:sz w:val="20"/>
        </w:rPr>
        <w:t>Для</w:t>
      </w:r>
      <w:r>
        <w:rPr>
          <w:color w:val="231F20"/>
          <w:spacing w:val="12"/>
          <w:sz w:val="20"/>
        </w:rPr>
        <w:t> </w:t>
      </w:r>
      <w:r>
        <w:rPr>
          <w:color w:val="231F20"/>
          <w:sz w:val="20"/>
        </w:rPr>
        <w:t>учеников</w:t>
      </w:r>
      <w:r>
        <w:rPr>
          <w:color w:val="231F20"/>
          <w:spacing w:val="14"/>
          <w:sz w:val="20"/>
        </w:rPr>
        <w:t> </w:t>
      </w:r>
      <w:r>
        <w:rPr>
          <w:color w:val="231F20"/>
          <w:sz w:val="20"/>
        </w:rPr>
        <w:t>начальной</w:t>
      </w:r>
      <w:r>
        <w:rPr>
          <w:color w:val="231F20"/>
          <w:spacing w:val="14"/>
          <w:sz w:val="20"/>
        </w:rPr>
        <w:t> </w:t>
      </w:r>
      <w:r>
        <w:rPr>
          <w:color w:val="231F20"/>
          <w:sz w:val="20"/>
        </w:rPr>
        <w:t>школы</w:t>
      </w:r>
      <w:r>
        <w:rPr>
          <w:color w:val="231F20"/>
          <w:spacing w:val="14"/>
          <w:sz w:val="20"/>
        </w:rPr>
        <w:t> </w:t>
      </w:r>
      <w:r>
        <w:rPr>
          <w:color w:val="231F20"/>
          <w:sz w:val="20"/>
        </w:rPr>
        <w:t>–</w:t>
      </w:r>
      <w:r>
        <w:rPr>
          <w:color w:val="231F20"/>
          <w:spacing w:val="14"/>
          <w:sz w:val="20"/>
        </w:rPr>
        <w:t> </w:t>
      </w:r>
      <w:r>
        <w:rPr>
          <w:color w:val="231F20"/>
          <w:sz w:val="20"/>
        </w:rPr>
        <w:t>проведение</w:t>
      </w:r>
      <w:r>
        <w:rPr>
          <w:color w:val="231F20"/>
          <w:spacing w:val="14"/>
          <w:sz w:val="20"/>
        </w:rPr>
        <w:t> </w:t>
      </w:r>
      <w:r>
        <w:rPr>
          <w:color w:val="231F20"/>
          <w:sz w:val="20"/>
        </w:rPr>
        <w:t>занятий</w:t>
      </w:r>
      <w:r>
        <w:rPr>
          <w:color w:val="231F20"/>
          <w:spacing w:val="14"/>
          <w:sz w:val="20"/>
        </w:rPr>
        <w:t> </w:t>
      </w:r>
      <w:r>
        <w:rPr>
          <w:color w:val="231F20"/>
          <w:sz w:val="20"/>
        </w:rPr>
        <w:t>с</w:t>
      </w:r>
      <w:r>
        <w:rPr>
          <w:color w:val="231F20"/>
          <w:spacing w:val="14"/>
          <w:sz w:val="20"/>
        </w:rPr>
        <w:t> </w:t>
      </w:r>
      <w:r>
        <w:rPr>
          <w:color w:val="231F20"/>
          <w:sz w:val="20"/>
        </w:rPr>
        <w:t>классом</w:t>
      </w:r>
      <w:r>
        <w:rPr>
          <w:color w:val="231F20"/>
          <w:spacing w:val="14"/>
          <w:sz w:val="20"/>
        </w:rPr>
        <w:t> </w:t>
      </w:r>
      <w:r>
        <w:rPr>
          <w:color w:val="231F20"/>
          <w:sz w:val="20"/>
        </w:rPr>
        <w:t>по</w:t>
      </w:r>
      <w:r>
        <w:rPr>
          <w:color w:val="231F20"/>
          <w:spacing w:val="15"/>
          <w:sz w:val="20"/>
        </w:rPr>
        <w:t> </w:t>
      </w:r>
      <w:r>
        <w:rPr>
          <w:color w:val="231F20"/>
          <w:spacing w:val="-2"/>
          <w:sz w:val="20"/>
        </w:rPr>
        <w:t>технологии</w:t>
      </w:r>
    </w:p>
    <w:p>
      <w:pPr>
        <w:pStyle w:val="BodyText"/>
        <w:spacing w:line="232" w:lineRule="auto" w:before="3"/>
        <w:ind w:left="425" w:firstLine="0"/>
      </w:pPr>
      <w:r>
        <w:rPr>
          <w:color w:val="231F20"/>
        </w:rPr>
        <w:t>«Социально-эмоциональное</w:t>
      </w:r>
      <w:r>
        <w:rPr>
          <w:color w:val="231F20"/>
          <w:spacing w:val="-9"/>
        </w:rPr>
        <w:t> </w:t>
      </w:r>
      <w:r>
        <w:rPr>
          <w:color w:val="231F20"/>
        </w:rPr>
        <w:t>развитие</w:t>
      </w:r>
      <w:r>
        <w:rPr>
          <w:color w:val="231F20"/>
          <w:spacing w:val="-9"/>
        </w:rPr>
        <w:t> </w:t>
      </w:r>
      <w:r>
        <w:rPr>
          <w:color w:val="231F20"/>
        </w:rPr>
        <w:t>школьников</w:t>
      </w:r>
      <w:r>
        <w:rPr>
          <w:color w:val="231F20"/>
          <w:spacing w:val="-9"/>
        </w:rPr>
        <w:t> </w:t>
      </w:r>
      <w:r>
        <w:rPr>
          <w:color w:val="231F20"/>
        </w:rPr>
        <w:t>как</w:t>
      </w:r>
      <w:r>
        <w:rPr>
          <w:color w:val="231F20"/>
          <w:spacing w:val="-9"/>
        </w:rPr>
        <w:t> </w:t>
      </w:r>
      <w:r>
        <w:rPr>
          <w:color w:val="231F20"/>
        </w:rPr>
        <w:t>основа</w:t>
      </w:r>
      <w:r>
        <w:rPr>
          <w:color w:val="231F20"/>
          <w:spacing w:val="-9"/>
        </w:rPr>
        <w:t> </w:t>
      </w:r>
      <w:r>
        <w:rPr>
          <w:color w:val="231F20"/>
        </w:rPr>
        <w:t>социальной</w:t>
      </w:r>
      <w:r>
        <w:rPr>
          <w:color w:val="231F20"/>
          <w:spacing w:val="-9"/>
        </w:rPr>
        <w:t> </w:t>
      </w:r>
      <w:r>
        <w:rPr>
          <w:color w:val="231F20"/>
        </w:rPr>
        <w:t>адапта- ции в начальной школе» (см. Методические рекомендации).</w:t>
      </w:r>
    </w:p>
    <w:p>
      <w:pPr>
        <w:pStyle w:val="ListParagraph"/>
        <w:numPr>
          <w:ilvl w:val="0"/>
          <w:numId w:val="41"/>
        </w:numPr>
        <w:tabs>
          <w:tab w:pos="423" w:val="left" w:leader="none"/>
          <w:tab w:pos="425" w:val="left" w:leader="none"/>
        </w:tabs>
        <w:spacing w:line="232" w:lineRule="auto" w:before="2" w:after="0"/>
        <w:ind w:left="425" w:right="139" w:hanging="284"/>
        <w:jc w:val="both"/>
        <w:rPr>
          <w:color w:val="231F20"/>
          <w:sz w:val="20"/>
        </w:rPr>
      </w:pPr>
      <w:r>
        <w:rPr>
          <w:color w:val="231F20"/>
          <w:sz w:val="20"/>
        </w:rPr>
        <w:t>Для</w:t>
      </w:r>
      <w:r>
        <w:rPr>
          <w:color w:val="231F20"/>
          <w:spacing w:val="-1"/>
          <w:sz w:val="20"/>
        </w:rPr>
        <w:t> </w:t>
      </w:r>
      <w:r>
        <w:rPr>
          <w:color w:val="231F20"/>
          <w:sz w:val="20"/>
        </w:rPr>
        <w:t>детей</w:t>
      </w:r>
      <w:r>
        <w:rPr>
          <w:color w:val="231F20"/>
          <w:spacing w:val="-1"/>
          <w:sz w:val="20"/>
        </w:rPr>
        <w:t> </w:t>
      </w:r>
      <w:r>
        <w:rPr>
          <w:color w:val="231F20"/>
          <w:sz w:val="20"/>
        </w:rPr>
        <w:t>средней</w:t>
      </w:r>
      <w:r>
        <w:rPr>
          <w:color w:val="231F20"/>
          <w:spacing w:val="-1"/>
          <w:sz w:val="20"/>
        </w:rPr>
        <w:t> </w:t>
      </w:r>
      <w:r>
        <w:rPr>
          <w:color w:val="231F20"/>
          <w:sz w:val="20"/>
        </w:rPr>
        <w:t>и</w:t>
      </w:r>
      <w:r>
        <w:rPr>
          <w:color w:val="231F20"/>
          <w:spacing w:val="-1"/>
          <w:sz w:val="20"/>
        </w:rPr>
        <w:t> </w:t>
      </w:r>
      <w:r>
        <w:rPr>
          <w:color w:val="231F20"/>
          <w:sz w:val="20"/>
        </w:rPr>
        <w:t>старшей</w:t>
      </w:r>
      <w:r>
        <w:rPr>
          <w:color w:val="231F20"/>
          <w:spacing w:val="-1"/>
          <w:sz w:val="20"/>
        </w:rPr>
        <w:t> </w:t>
      </w:r>
      <w:r>
        <w:rPr>
          <w:color w:val="231F20"/>
          <w:sz w:val="20"/>
        </w:rPr>
        <w:t>школы</w:t>
      </w:r>
      <w:r>
        <w:rPr>
          <w:color w:val="231F20"/>
          <w:spacing w:val="-1"/>
          <w:sz w:val="20"/>
        </w:rPr>
        <w:t> </w:t>
      </w:r>
      <w:r>
        <w:rPr>
          <w:color w:val="231F20"/>
          <w:sz w:val="20"/>
        </w:rPr>
        <w:t>–</w:t>
      </w:r>
      <w:r>
        <w:rPr>
          <w:color w:val="231F20"/>
          <w:spacing w:val="-1"/>
          <w:sz w:val="20"/>
        </w:rPr>
        <w:t> </w:t>
      </w:r>
      <w:r>
        <w:rPr>
          <w:color w:val="231F20"/>
          <w:sz w:val="20"/>
        </w:rPr>
        <w:t>проведение</w:t>
      </w:r>
      <w:r>
        <w:rPr>
          <w:color w:val="231F20"/>
          <w:spacing w:val="-1"/>
          <w:sz w:val="20"/>
        </w:rPr>
        <w:t> </w:t>
      </w:r>
      <w:r>
        <w:rPr>
          <w:color w:val="231F20"/>
          <w:sz w:val="20"/>
        </w:rPr>
        <w:t>занятий</w:t>
      </w:r>
      <w:r>
        <w:rPr>
          <w:color w:val="231F20"/>
          <w:spacing w:val="-1"/>
          <w:sz w:val="20"/>
        </w:rPr>
        <w:t> </w:t>
      </w:r>
      <w:r>
        <w:rPr>
          <w:color w:val="231F20"/>
          <w:sz w:val="20"/>
        </w:rPr>
        <w:t>с</w:t>
      </w:r>
      <w:r>
        <w:rPr>
          <w:color w:val="231F20"/>
          <w:spacing w:val="-1"/>
          <w:sz w:val="20"/>
        </w:rPr>
        <w:t> </w:t>
      </w:r>
      <w:r>
        <w:rPr>
          <w:color w:val="231F20"/>
          <w:sz w:val="20"/>
        </w:rPr>
        <w:t>классом</w:t>
      </w:r>
      <w:r>
        <w:rPr>
          <w:color w:val="231F20"/>
          <w:spacing w:val="-1"/>
          <w:sz w:val="20"/>
        </w:rPr>
        <w:t> </w:t>
      </w:r>
      <w:r>
        <w:rPr>
          <w:color w:val="231F20"/>
          <w:sz w:val="20"/>
        </w:rPr>
        <w:t>с</w:t>
      </w:r>
      <w:r>
        <w:rPr>
          <w:color w:val="231F20"/>
          <w:spacing w:val="-1"/>
          <w:sz w:val="20"/>
        </w:rPr>
        <w:t> </w:t>
      </w:r>
      <w:r>
        <w:rPr>
          <w:color w:val="231F20"/>
          <w:sz w:val="20"/>
        </w:rPr>
        <w:t>использо- ванием технологий психологического театра.</w:t>
      </w:r>
    </w:p>
    <w:p>
      <w:pPr>
        <w:pStyle w:val="ListParagraph"/>
        <w:numPr>
          <w:ilvl w:val="0"/>
          <w:numId w:val="41"/>
        </w:numPr>
        <w:tabs>
          <w:tab w:pos="423" w:val="left" w:leader="none"/>
          <w:tab w:pos="425" w:val="left" w:leader="none"/>
        </w:tabs>
        <w:spacing w:line="232" w:lineRule="auto" w:before="1" w:after="0"/>
        <w:ind w:left="425" w:right="139" w:hanging="284"/>
        <w:jc w:val="both"/>
        <w:rPr>
          <w:color w:val="231F20"/>
          <w:sz w:val="20"/>
        </w:rPr>
      </w:pPr>
      <w:r>
        <w:rPr>
          <w:color w:val="231F20"/>
          <w:sz w:val="20"/>
        </w:rPr>
        <w:t>Проведение</w:t>
      </w:r>
      <w:r>
        <w:rPr>
          <w:color w:val="231F20"/>
          <w:spacing w:val="-6"/>
          <w:sz w:val="20"/>
        </w:rPr>
        <w:t> </w:t>
      </w:r>
      <w:r>
        <w:rPr>
          <w:color w:val="231F20"/>
          <w:sz w:val="20"/>
        </w:rPr>
        <w:t>в</w:t>
      </w:r>
      <w:r>
        <w:rPr>
          <w:color w:val="231F20"/>
          <w:spacing w:val="-6"/>
          <w:sz w:val="20"/>
        </w:rPr>
        <w:t> </w:t>
      </w:r>
      <w:r>
        <w:rPr>
          <w:color w:val="231F20"/>
          <w:sz w:val="20"/>
        </w:rPr>
        <w:t>классе,</w:t>
      </w:r>
      <w:r>
        <w:rPr>
          <w:color w:val="231F20"/>
          <w:spacing w:val="-6"/>
          <w:sz w:val="20"/>
        </w:rPr>
        <w:t> </w:t>
      </w:r>
      <w:r>
        <w:rPr>
          <w:color w:val="231F20"/>
          <w:sz w:val="20"/>
        </w:rPr>
        <w:t>где</w:t>
      </w:r>
      <w:r>
        <w:rPr>
          <w:color w:val="231F20"/>
          <w:spacing w:val="-6"/>
          <w:sz w:val="20"/>
        </w:rPr>
        <w:t> </w:t>
      </w:r>
      <w:r>
        <w:rPr>
          <w:color w:val="231F20"/>
          <w:sz w:val="20"/>
        </w:rPr>
        <w:t>учится</w:t>
      </w:r>
      <w:r>
        <w:rPr>
          <w:color w:val="231F20"/>
          <w:spacing w:val="-6"/>
          <w:sz w:val="20"/>
        </w:rPr>
        <w:t> </w:t>
      </w:r>
      <w:r>
        <w:rPr>
          <w:color w:val="231F20"/>
          <w:sz w:val="20"/>
        </w:rPr>
        <w:t>ребенок,</w:t>
      </w:r>
      <w:r>
        <w:rPr>
          <w:color w:val="231F20"/>
          <w:spacing w:val="-6"/>
          <w:sz w:val="20"/>
        </w:rPr>
        <w:t> </w:t>
      </w:r>
      <w:r>
        <w:rPr>
          <w:color w:val="231F20"/>
          <w:sz w:val="20"/>
        </w:rPr>
        <w:t>межкультурного</w:t>
      </w:r>
      <w:r>
        <w:rPr>
          <w:color w:val="231F20"/>
          <w:spacing w:val="-6"/>
          <w:sz w:val="20"/>
        </w:rPr>
        <w:t> </w:t>
      </w:r>
      <w:r>
        <w:rPr>
          <w:color w:val="231F20"/>
          <w:sz w:val="20"/>
        </w:rPr>
        <w:t>тренинга</w:t>
      </w:r>
      <w:r>
        <w:rPr>
          <w:color w:val="231F20"/>
          <w:spacing w:val="-6"/>
          <w:sz w:val="20"/>
        </w:rPr>
        <w:t> </w:t>
      </w:r>
      <w:r>
        <w:rPr>
          <w:color w:val="231F20"/>
          <w:sz w:val="20"/>
        </w:rPr>
        <w:t>(см.</w:t>
      </w:r>
      <w:r>
        <w:rPr>
          <w:color w:val="231F20"/>
          <w:spacing w:val="-6"/>
          <w:sz w:val="20"/>
        </w:rPr>
        <w:t> </w:t>
      </w:r>
      <w:r>
        <w:rPr>
          <w:color w:val="231F20"/>
          <w:sz w:val="20"/>
        </w:rPr>
        <w:t>Методи- ческие рекомендации и Инструментарий, раздел 4), не менее 4 занятий.</w:t>
      </w:r>
    </w:p>
    <w:p>
      <w:pPr>
        <w:pStyle w:val="ListParagraph"/>
        <w:numPr>
          <w:ilvl w:val="0"/>
          <w:numId w:val="41"/>
        </w:numPr>
        <w:tabs>
          <w:tab w:pos="423" w:val="left" w:leader="none"/>
          <w:tab w:pos="425" w:val="left" w:leader="none"/>
        </w:tabs>
        <w:spacing w:line="232" w:lineRule="auto" w:before="2" w:after="0"/>
        <w:ind w:left="425" w:right="139" w:hanging="284"/>
        <w:jc w:val="both"/>
        <w:rPr>
          <w:color w:val="231F20"/>
          <w:sz w:val="20"/>
        </w:rPr>
      </w:pPr>
      <w:r>
        <w:rPr>
          <w:color w:val="231F20"/>
          <w:sz w:val="20"/>
        </w:rPr>
        <w:t>Задействование ребенка – иностранного гражданина в совместной деятельности</w:t>
      </w:r>
      <w:r>
        <w:rPr>
          <w:color w:val="231F20"/>
          <w:spacing w:val="40"/>
          <w:sz w:val="20"/>
        </w:rPr>
        <w:t> </w:t>
      </w:r>
      <w:r>
        <w:rPr>
          <w:color w:val="231F20"/>
          <w:sz w:val="20"/>
        </w:rPr>
        <w:t>с</w:t>
      </w:r>
      <w:r>
        <w:rPr>
          <w:color w:val="231F20"/>
          <w:spacing w:val="-10"/>
          <w:sz w:val="20"/>
        </w:rPr>
        <w:t> </w:t>
      </w:r>
      <w:r>
        <w:rPr>
          <w:color w:val="231F20"/>
          <w:sz w:val="20"/>
        </w:rPr>
        <w:t>детьми</w:t>
      </w:r>
      <w:r>
        <w:rPr>
          <w:color w:val="231F20"/>
          <w:spacing w:val="-11"/>
          <w:sz w:val="20"/>
        </w:rPr>
        <w:t> </w:t>
      </w:r>
      <w:r>
        <w:rPr>
          <w:color w:val="231F20"/>
          <w:sz w:val="20"/>
        </w:rPr>
        <w:t>принимающего</w:t>
      </w:r>
      <w:r>
        <w:rPr>
          <w:color w:val="231F20"/>
          <w:spacing w:val="-10"/>
          <w:sz w:val="20"/>
        </w:rPr>
        <w:t> </w:t>
      </w:r>
      <w:r>
        <w:rPr>
          <w:color w:val="231F20"/>
          <w:sz w:val="20"/>
        </w:rPr>
        <w:t>общества</w:t>
      </w:r>
      <w:r>
        <w:rPr>
          <w:color w:val="231F20"/>
          <w:spacing w:val="-10"/>
          <w:sz w:val="20"/>
        </w:rPr>
        <w:t> </w:t>
      </w:r>
      <w:r>
        <w:rPr>
          <w:color w:val="231F20"/>
          <w:sz w:val="20"/>
        </w:rPr>
        <w:t>(школьный</w:t>
      </w:r>
      <w:r>
        <w:rPr>
          <w:color w:val="231F20"/>
          <w:spacing w:val="-11"/>
          <w:sz w:val="20"/>
        </w:rPr>
        <w:t> </w:t>
      </w:r>
      <w:r>
        <w:rPr>
          <w:color w:val="231F20"/>
          <w:sz w:val="20"/>
        </w:rPr>
        <w:t>проект,</w:t>
      </w:r>
      <w:r>
        <w:rPr>
          <w:color w:val="231F20"/>
          <w:spacing w:val="-10"/>
          <w:sz w:val="20"/>
        </w:rPr>
        <w:t> </w:t>
      </w:r>
      <w:r>
        <w:rPr>
          <w:color w:val="231F20"/>
          <w:sz w:val="20"/>
        </w:rPr>
        <w:t>использование</w:t>
      </w:r>
      <w:r>
        <w:rPr>
          <w:color w:val="231F20"/>
          <w:spacing w:val="-10"/>
          <w:sz w:val="20"/>
        </w:rPr>
        <w:t> </w:t>
      </w:r>
      <w:r>
        <w:rPr>
          <w:color w:val="231F20"/>
          <w:sz w:val="20"/>
        </w:rPr>
        <w:t>креативных коммуникативных технологий, организация групповой учебной работы и пр.).</w:t>
      </w:r>
    </w:p>
    <w:p>
      <w:pPr>
        <w:pStyle w:val="ListParagraph"/>
        <w:numPr>
          <w:ilvl w:val="0"/>
          <w:numId w:val="41"/>
        </w:numPr>
        <w:tabs>
          <w:tab w:pos="423" w:val="left" w:leader="none"/>
          <w:tab w:pos="425" w:val="left" w:leader="none"/>
        </w:tabs>
        <w:spacing w:line="232" w:lineRule="auto" w:before="3" w:after="0"/>
        <w:ind w:left="425" w:right="140" w:hanging="284"/>
        <w:jc w:val="both"/>
        <w:rPr>
          <w:color w:val="231F20"/>
          <w:sz w:val="20"/>
        </w:rPr>
      </w:pPr>
      <w:r>
        <w:rPr>
          <w:color w:val="231F20"/>
          <w:sz w:val="20"/>
        </w:rPr>
        <w:t>При наличии межгрупповой враждебности и ощущения ребенком дискримина- ции – проведение «Живой библиотеки».</w:t>
      </w:r>
    </w:p>
    <w:p>
      <w:pPr>
        <w:pStyle w:val="BodyText"/>
        <w:spacing w:line="232" w:lineRule="auto" w:before="115"/>
      </w:pPr>
      <w:r>
        <w:rPr>
          <w:color w:val="231F20"/>
        </w:rPr>
        <w:t>В сопровождении несовершеннолетних иностранных граждан целесообразно со- четать индивидуальную работу и групповые активности, причем эти формы рабо-</w:t>
      </w:r>
      <w:r>
        <w:rPr>
          <w:color w:val="231F20"/>
          <w:spacing w:val="40"/>
        </w:rPr>
        <w:t> </w:t>
      </w:r>
      <w:r>
        <w:rPr>
          <w:color w:val="231F20"/>
        </w:rPr>
        <w:t>ты могут реализовываться параллельно. Также возможно проводить работу в малых группах (по 3–4 человека), и с такими группами возможно, помимо активностей для индивидуальной работы, использовать элементы театральной деятельности.</w:t>
      </w:r>
    </w:p>
    <w:p>
      <w:pPr>
        <w:pStyle w:val="BodyText"/>
        <w:spacing w:line="232" w:lineRule="auto" w:before="5"/>
      </w:pPr>
      <w:r>
        <w:rPr>
          <w:color w:val="231F20"/>
        </w:rPr>
        <w:t>Описанные в программе методы и технологии реализуются различными катего- риями педагогических работников. Технологии индивидуальной коррекционной ра- боты</w:t>
      </w:r>
      <w:r>
        <w:rPr>
          <w:color w:val="231F20"/>
          <w:spacing w:val="10"/>
        </w:rPr>
        <w:t> </w:t>
      </w:r>
      <w:r>
        <w:rPr>
          <w:color w:val="231F20"/>
        </w:rPr>
        <w:t>с</w:t>
      </w:r>
      <w:r>
        <w:rPr>
          <w:color w:val="231F20"/>
          <w:spacing w:val="13"/>
        </w:rPr>
        <w:t> </w:t>
      </w:r>
      <w:r>
        <w:rPr>
          <w:color w:val="231F20"/>
        </w:rPr>
        <w:t>учащимися</w:t>
      </w:r>
      <w:r>
        <w:rPr>
          <w:color w:val="231F20"/>
          <w:spacing w:val="12"/>
        </w:rPr>
        <w:t> </w:t>
      </w:r>
      <w:r>
        <w:rPr>
          <w:color w:val="231F20"/>
        </w:rPr>
        <w:t>–</w:t>
      </w:r>
      <w:r>
        <w:rPr>
          <w:color w:val="231F20"/>
          <w:spacing w:val="13"/>
        </w:rPr>
        <w:t> </w:t>
      </w:r>
      <w:r>
        <w:rPr>
          <w:color w:val="231F20"/>
        </w:rPr>
        <w:t>несовершеннолетними</w:t>
      </w:r>
      <w:r>
        <w:rPr>
          <w:color w:val="231F20"/>
          <w:spacing w:val="12"/>
        </w:rPr>
        <w:t> </w:t>
      </w:r>
      <w:r>
        <w:rPr>
          <w:color w:val="231F20"/>
        </w:rPr>
        <w:t>иностранными</w:t>
      </w:r>
      <w:r>
        <w:rPr>
          <w:color w:val="231F20"/>
          <w:spacing w:val="13"/>
        </w:rPr>
        <w:t> </w:t>
      </w:r>
      <w:r>
        <w:rPr>
          <w:color w:val="231F20"/>
        </w:rPr>
        <w:t>гражданами,</w:t>
      </w:r>
      <w:r>
        <w:rPr>
          <w:color w:val="231F20"/>
          <w:spacing w:val="13"/>
        </w:rPr>
        <w:t> </w:t>
      </w:r>
      <w:r>
        <w:rPr>
          <w:color w:val="231F20"/>
          <w:spacing w:val="-2"/>
        </w:rPr>
        <w:t>описанные</w:t>
      </w:r>
    </w:p>
    <w:p>
      <w:pPr>
        <w:pStyle w:val="BodyText"/>
        <w:spacing w:after="0" w:line="232" w:lineRule="auto"/>
        <w:sectPr>
          <w:pgSz w:w="8400" w:h="11910"/>
          <w:pgMar w:header="0" w:footer="531" w:top="400" w:bottom="740" w:left="425" w:right="425"/>
        </w:sectPr>
      </w:pPr>
    </w:p>
    <w:p>
      <w:pPr>
        <w:spacing w:before="80"/>
        <w:ind w:left="141" w:right="0" w:firstLine="0"/>
        <w:jc w:val="left"/>
        <w:rPr>
          <w:rFonts w:ascii="Georgia" w:hAnsi="Georgia"/>
          <w:sz w:val="18"/>
        </w:rPr>
      </w:pPr>
      <w:r>
        <w:rPr>
          <w:rFonts w:ascii="Georgia" w:hAnsi="Georgia"/>
          <w:color w:val="231F20"/>
          <w:spacing w:val="-2"/>
          <w:sz w:val="18"/>
        </w:rPr>
        <w:t>Введение</w:t>
      </w:r>
    </w:p>
    <w:p>
      <w:pPr>
        <w:pStyle w:val="BodyText"/>
        <w:spacing w:line="232" w:lineRule="auto" w:before="118"/>
        <w:ind w:firstLine="0"/>
      </w:pPr>
      <w:r>
        <w:rPr>
          <w:color w:val="231F20"/>
        </w:rPr>
        <w:t>в</w:t>
      </w:r>
      <w:r>
        <w:rPr>
          <w:color w:val="231F20"/>
          <w:spacing w:val="-8"/>
        </w:rPr>
        <w:t> </w:t>
      </w:r>
      <w:r>
        <w:rPr>
          <w:color w:val="231F20"/>
        </w:rPr>
        <w:t>разделе</w:t>
      </w:r>
      <w:r>
        <w:rPr>
          <w:color w:val="231F20"/>
          <w:spacing w:val="-8"/>
        </w:rPr>
        <w:t> </w:t>
      </w:r>
      <w:r>
        <w:rPr>
          <w:color w:val="231F20"/>
        </w:rPr>
        <w:t>1,</w:t>
      </w:r>
      <w:r>
        <w:rPr>
          <w:color w:val="231F20"/>
          <w:spacing w:val="-8"/>
        </w:rPr>
        <w:t> </w:t>
      </w:r>
      <w:r>
        <w:rPr>
          <w:color w:val="231F20"/>
        </w:rPr>
        <w:t>реализуются</w:t>
      </w:r>
      <w:r>
        <w:rPr>
          <w:color w:val="231F20"/>
          <w:spacing w:val="-8"/>
        </w:rPr>
        <w:t> </w:t>
      </w:r>
      <w:r>
        <w:rPr>
          <w:color w:val="231F20"/>
        </w:rPr>
        <w:t>только</w:t>
      </w:r>
      <w:r>
        <w:rPr>
          <w:color w:val="231F20"/>
          <w:spacing w:val="-8"/>
        </w:rPr>
        <w:t> </w:t>
      </w:r>
      <w:r>
        <w:rPr>
          <w:color w:val="231F20"/>
        </w:rPr>
        <w:t>педагогом-психологом.</w:t>
      </w:r>
      <w:r>
        <w:rPr>
          <w:color w:val="231F20"/>
          <w:spacing w:val="-8"/>
        </w:rPr>
        <w:t> </w:t>
      </w:r>
      <w:r>
        <w:rPr>
          <w:color w:val="231F20"/>
        </w:rPr>
        <w:t>Технологии</w:t>
      </w:r>
      <w:r>
        <w:rPr>
          <w:color w:val="231F20"/>
          <w:spacing w:val="-8"/>
        </w:rPr>
        <w:t> </w:t>
      </w:r>
      <w:r>
        <w:rPr>
          <w:color w:val="231F20"/>
        </w:rPr>
        <w:t>взаимодействия с</w:t>
      </w:r>
      <w:r>
        <w:rPr>
          <w:color w:val="231F20"/>
          <w:spacing w:val="-6"/>
        </w:rPr>
        <w:t> </w:t>
      </w:r>
      <w:r>
        <w:rPr>
          <w:color w:val="231F20"/>
        </w:rPr>
        <w:t>родителями-мигрантами,</w:t>
      </w:r>
      <w:r>
        <w:rPr>
          <w:color w:val="231F20"/>
          <w:spacing w:val="-6"/>
        </w:rPr>
        <w:t> </w:t>
      </w:r>
      <w:r>
        <w:rPr>
          <w:color w:val="231F20"/>
        </w:rPr>
        <w:t>описанные</w:t>
      </w:r>
      <w:r>
        <w:rPr>
          <w:color w:val="231F20"/>
          <w:spacing w:val="-6"/>
        </w:rPr>
        <w:t> </w:t>
      </w:r>
      <w:r>
        <w:rPr>
          <w:color w:val="231F20"/>
        </w:rPr>
        <w:t>в</w:t>
      </w:r>
      <w:r>
        <w:rPr>
          <w:color w:val="231F20"/>
          <w:spacing w:val="-6"/>
        </w:rPr>
        <w:t> </w:t>
      </w:r>
      <w:r>
        <w:rPr>
          <w:color w:val="231F20"/>
        </w:rPr>
        <w:t>разделе</w:t>
      </w:r>
      <w:r>
        <w:rPr>
          <w:color w:val="231F20"/>
          <w:spacing w:val="-6"/>
        </w:rPr>
        <w:t> </w:t>
      </w:r>
      <w:r>
        <w:rPr>
          <w:color w:val="231F20"/>
        </w:rPr>
        <w:t>3,</w:t>
      </w:r>
      <w:r>
        <w:rPr>
          <w:color w:val="231F20"/>
          <w:spacing w:val="-6"/>
        </w:rPr>
        <w:t> </w:t>
      </w:r>
      <w:r>
        <w:rPr>
          <w:color w:val="231F20"/>
        </w:rPr>
        <w:t>могут</w:t>
      </w:r>
      <w:r>
        <w:rPr>
          <w:color w:val="231F20"/>
          <w:spacing w:val="-6"/>
        </w:rPr>
        <w:t> </w:t>
      </w:r>
      <w:r>
        <w:rPr>
          <w:color w:val="231F20"/>
        </w:rPr>
        <w:t>реализовываться</w:t>
      </w:r>
      <w:r>
        <w:rPr>
          <w:color w:val="231F20"/>
          <w:spacing w:val="-6"/>
        </w:rPr>
        <w:t> </w:t>
      </w:r>
      <w:r>
        <w:rPr>
          <w:color w:val="231F20"/>
        </w:rPr>
        <w:t>различны- ми специалистами службы комплексного психолого-педагогического и социального сопровождения</w:t>
      </w:r>
      <w:r>
        <w:rPr>
          <w:color w:val="231F20"/>
          <w:spacing w:val="-2"/>
        </w:rPr>
        <w:t> </w:t>
      </w:r>
      <w:r>
        <w:rPr>
          <w:color w:val="231F20"/>
        </w:rPr>
        <w:t>и</w:t>
      </w:r>
      <w:r>
        <w:rPr>
          <w:color w:val="231F20"/>
          <w:spacing w:val="-2"/>
        </w:rPr>
        <w:t> </w:t>
      </w:r>
      <w:r>
        <w:rPr>
          <w:color w:val="231F20"/>
        </w:rPr>
        <w:t>поддержки</w:t>
      </w:r>
      <w:r>
        <w:rPr>
          <w:color w:val="231F20"/>
          <w:spacing w:val="-2"/>
        </w:rPr>
        <w:t> </w:t>
      </w:r>
      <w:r>
        <w:rPr>
          <w:color w:val="231F20"/>
        </w:rPr>
        <w:t>обучающихся</w:t>
      </w:r>
      <w:r>
        <w:rPr>
          <w:color w:val="231F20"/>
          <w:spacing w:val="-2"/>
        </w:rPr>
        <w:t> </w:t>
      </w:r>
      <w:r>
        <w:rPr>
          <w:color w:val="231F20"/>
        </w:rPr>
        <w:t>(педагогом-психологом,</w:t>
      </w:r>
      <w:r>
        <w:rPr>
          <w:color w:val="231F20"/>
          <w:spacing w:val="-2"/>
        </w:rPr>
        <w:t> </w:t>
      </w:r>
      <w:r>
        <w:rPr>
          <w:color w:val="231F20"/>
        </w:rPr>
        <w:t>социальным</w:t>
      </w:r>
      <w:r>
        <w:rPr>
          <w:color w:val="231F20"/>
          <w:spacing w:val="-2"/>
        </w:rPr>
        <w:t> </w:t>
      </w:r>
      <w:r>
        <w:rPr>
          <w:color w:val="231F20"/>
        </w:rPr>
        <w:t>пе- дагогом), а также заместителем директора по воспитательной работе и классными </w:t>
      </w:r>
      <w:r>
        <w:rPr>
          <w:color w:val="231F20"/>
          <w:spacing w:val="-2"/>
        </w:rPr>
        <w:t>руководителями.</w:t>
      </w:r>
    </w:p>
    <w:p>
      <w:pPr>
        <w:pStyle w:val="BodyText"/>
        <w:spacing w:line="232" w:lineRule="auto" w:before="5"/>
      </w:pPr>
      <w:r>
        <w:rPr>
          <w:color w:val="231F20"/>
        </w:rPr>
        <w:t>Программа в целом и данные методические рекомендации подготовлены в рам- ках</w:t>
      </w:r>
      <w:r>
        <w:rPr>
          <w:color w:val="231F20"/>
          <w:spacing w:val="-3"/>
        </w:rPr>
        <w:t> </w:t>
      </w:r>
      <w:r>
        <w:rPr>
          <w:color w:val="231F20"/>
        </w:rPr>
        <w:t>НИР</w:t>
      </w:r>
      <w:r>
        <w:rPr>
          <w:color w:val="231F20"/>
          <w:spacing w:val="-3"/>
        </w:rPr>
        <w:t> </w:t>
      </w:r>
      <w:r>
        <w:rPr>
          <w:color w:val="231F20"/>
        </w:rPr>
        <w:t>«Научно-методическая</w:t>
      </w:r>
      <w:r>
        <w:rPr>
          <w:color w:val="231F20"/>
          <w:spacing w:val="-3"/>
        </w:rPr>
        <w:t> </w:t>
      </w:r>
      <w:r>
        <w:rPr>
          <w:color w:val="231F20"/>
        </w:rPr>
        <w:t>разработка</w:t>
      </w:r>
      <w:r>
        <w:rPr>
          <w:color w:val="231F20"/>
          <w:spacing w:val="-3"/>
        </w:rPr>
        <w:t> </w:t>
      </w:r>
      <w:r>
        <w:rPr>
          <w:color w:val="231F20"/>
        </w:rPr>
        <w:t>и</w:t>
      </w:r>
      <w:r>
        <w:rPr>
          <w:color w:val="231F20"/>
          <w:spacing w:val="-3"/>
        </w:rPr>
        <w:t> </w:t>
      </w:r>
      <w:r>
        <w:rPr>
          <w:color w:val="231F20"/>
        </w:rPr>
        <w:t>апробация</w:t>
      </w:r>
      <w:r>
        <w:rPr>
          <w:color w:val="231F20"/>
          <w:spacing w:val="-3"/>
        </w:rPr>
        <w:t> </w:t>
      </w:r>
      <w:r>
        <w:rPr>
          <w:color w:val="231F20"/>
        </w:rPr>
        <w:t>системы</w:t>
      </w:r>
      <w:r>
        <w:rPr>
          <w:color w:val="231F20"/>
          <w:spacing w:val="-3"/>
        </w:rPr>
        <w:t> </w:t>
      </w:r>
      <w:r>
        <w:rPr>
          <w:color w:val="231F20"/>
        </w:rPr>
        <w:t>выявления</w:t>
      </w:r>
      <w:r>
        <w:rPr>
          <w:color w:val="231F20"/>
          <w:spacing w:val="-3"/>
        </w:rPr>
        <w:t> </w:t>
      </w:r>
      <w:r>
        <w:rPr>
          <w:color w:val="231F20"/>
        </w:rPr>
        <w:t>особых образовательных потребностей несовершеннолетних иностранных граждан и необ- ходимого психолого-педагогического сопровождения процессов их обучения, соци- альной</w:t>
      </w:r>
      <w:r>
        <w:rPr>
          <w:color w:val="231F20"/>
          <w:spacing w:val="-1"/>
        </w:rPr>
        <w:t> </w:t>
      </w:r>
      <w:r>
        <w:rPr>
          <w:color w:val="231F20"/>
        </w:rPr>
        <w:t>и</w:t>
      </w:r>
      <w:r>
        <w:rPr>
          <w:color w:val="231F20"/>
          <w:spacing w:val="-1"/>
        </w:rPr>
        <w:t> </w:t>
      </w:r>
      <w:r>
        <w:rPr>
          <w:color w:val="231F20"/>
        </w:rPr>
        <w:t>культурной</w:t>
      </w:r>
      <w:r>
        <w:rPr>
          <w:color w:val="231F20"/>
          <w:spacing w:val="-1"/>
        </w:rPr>
        <w:t> </w:t>
      </w:r>
      <w:r>
        <w:rPr>
          <w:color w:val="231F20"/>
        </w:rPr>
        <w:t>адаптации»,</w:t>
      </w:r>
      <w:r>
        <w:rPr>
          <w:color w:val="231F20"/>
          <w:spacing w:val="-1"/>
        </w:rPr>
        <w:t> </w:t>
      </w:r>
      <w:r>
        <w:rPr>
          <w:color w:val="231F20"/>
        </w:rPr>
        <w:t>выполняемого</w:t>
      </w:r>
      <w:r>
        <w:rPr>
          <w:color w:val="231F20"/>
          <w:spacing w:val="-1"/>
        </w:rPr>
        <w:t> </w:t>
      </w:r>
      <w:r>
        <w:rPr>
          <w:color w:val="231F20"/>
        </w:rPr>
        <w:t>в</w:t>
      </w:r>
      <w:r>
        <w:rPr>
          <w:color w:val="231F20"/>
          <w:spacing w:val="-1"/>
        </w:rPr>
        <w:t> </w:t>
      </w:r>
      <w:r>
        <w:rPr>
          <w:color w:val="231F20"/>
        </w:rPr>
        <w:t>рамках</w:t>
      </w:r>
      <w:r>
        <w:rPr>
          <w:color w:val="231F20"/>
          <w:spacing w:val="-1"/>
        </w:rPr>
        <w:t> </w:t>
      </w:r>
      <w:r>
        <w:rPr>
          <w:color w:val="231F20"/>
        </w:rPr>
        <w:t>государственного</w:t>
      </w:r>
      <w:r>
        <w:rPr>
          <w:color w:val="231F20"/>
          <w:spacing w:val="-1"/>
        </w:rPr>
        <w:t> </w:t>
      </w:r>
      <w:r>
        <w:rPr>
          <w:color w:val="231F20"/>
        </w:rPr>
        <w:t>задания ФГБОУ ВО МГППУ на 2022 г. (приказ Министерства просвещения РФ No 1021 от 27.12.2021), в том числе посредством проведения программы дополнительного про- фессионального образования «Психолого-педагогическая оценка особых образо- вательных потребностей детей иностранных граждан в сферах психологического </w:t>
      </w:r>
      <w:r>
        <w:rPr>
          <w:color w:val="231F20"/>
          <w:spacing w:val="-2"/>
        </w:rPr>
        <w:t>благополучия, социальных навыков и культурной адаптации». Программа психолого- </w:t>
      </w:r>
      <w:r>
        <w:rPr>
          <w:color w:val="231F20"/>
        </w:rPr>
        <w:t>педагогического сопровождения несовершеннолетних иностранных граждан в 2023 году прошла апробацию в рамках</w:t>
      </w:r>
      <w:r>
        <w:rPr>
          <w:color w:val="231F20"/>
          <w:spacing w:val="40"/>
        </w:rPr>
        <w:t> </w:t>
      </w:r>
      <w:r>
        <w:rPr>
          <w:color w:val="231F20"/>
        </w:rPr>
        <w:t>НИР «Оценка эффективности реализации про- граммы психолого-педагогического сопровождения процессов обучения, социаль- ной, языковой и культурной адаптации детей иностранных граждан, обучающихся</w:t>
      </w:r>
      <w:r>
        <w:rPr>
          <w:color w:val="231F20"/>
          <w:spacing w:val="80"/>
        </w:rPr>
        <w:t> </w:t>
      </w:r>
      <w:r>
        <w:rPr>
          <w:color w:val="231F20"/>
        </w:rPr>
        <w:t>в</w:t>
      </w:r>
      <w:r>
        <w:rPr>
          <w:color w:val="231F20"/>
          <w:spacing w:val="-4"/>
        </w:rPr>
        <w:t> </w:t>
      </w:r>
      <w:r>
        <w:rPr>
          <w:color w:val="231F20"/>
        </w:rPr>
        <w:t>общеобразовательных</w:t>
      </w:r>
      <w:r>
        <w:rPr>
          <w:color w:val="231F20"/>
          <w:spacing w:val="-4"/>
        </w:rPr>
        <w:t> </w:t>
      </w:r>
      <w:r>
        <w:rPr>
          <w:color w:val="231F20"/>
        </w:rPr>
        <w:t>организациях</w:t>
      </w:r>
      <w:r>
        <w:rPr>
          <w:color w:val="231F20"/>
          <w:spacing w:val="-4"/>
        </w:rPr>
        <w:t> </w:t>
      </w:r>
      <w:r>
        <w:rPr>
          <w:color w:val="231F20"/>
        </w:rPr>
        <w:t>(на</w:t>
      </w:r>
      <w:r>
        <w:rPr>
          <w:color w:val="231F20"/>
          <w:spacing w:val="-4"/>
        </w:rPr>
        <w:t> </w:t>
      </w:r>
      <w:r>
        <w:rPr>
          <w:color w:val="231F20"/>
        </w:rPr>
        <w:t>основе</w:t>
      </w:r>
      <w:r>
        <w:rPr>
          <w:color w:val="231F20"/>
          <w:spacing w:val="-4"/>
        </w:rPr>
        <w:t> </w:t>
      </w:r>
      <w:r>
        <w:rPr>
          <w:color w:val="231F20"/>
        </w:rPr>
        <w:t>доказательного</w:t>
      </w:r>
      <w:r>
        <w:rPr>
          <w:color w:val="231F20"/>
          <w:spacing w:val="-4"/>
        </w:rPr>
        <w:t> </w:t>
      </w:r>
      <w:r>
        <w:rPr>
          <w:color w:val="231F20"/>
        </w:rPr>
        <w:t>подхода</w:t>
      </w:r>
      <w:r>
        <w:rPr>
          <w:color w:val="231F20"/>
          <w:spacing w:val="-4"/>
        </w:rPr>
        <w:t> </w:t>
      </w:r>
      <w:r>
        <w:rPr>
          <w:color w:val="231F20"/>
        </w:rPr>
        <w:t>к</w:t>
      </w:r>
      <w:r>
        <w:rPr>
          <w:color w:val="231F20"/>
          <w:spacing w:val="-4"/>
        </w:rPr>
        <w:t> </w:t>
      </w:r>
      <w:r>
        <w:rPr>
          <w:color w:val="231F20"/>
        </w:rPr>
        <w:t>социаль- ным практикам в сфере детства и дифференцированного подхода к обучению детей иностранных граждан)», выполняемой в рамках государственного задания ФГБОУ ВО</w:t>
      </w:r>
      <w:r>
        <w:rPr>
          <w:color w:val="231F20"/>
          <w:spacing w:val="-6"/>
        </w:rPr>
        <w:t> </w:t>
      </w:r>
      <w:r>
        <w:rPr>
          <w:color w:val="231F20"/>
        </w:rPr>
        <w:t>МГППУ</w:t>
      </w:r>
      <w:r>
        <w:rPr>
          <w:color w:val="231F20"/>
          <w:spacing w:val="-6"/>
        </w:rPr>
        <w:t> </w:t>
      </w:r>
      <w:r>
        <w:rPr>
          <w:color w:val="231F20"/>
        </w:rPr>
        <w:t>на</w:t>
      </w:r>
      <w:r>
        <w:rPr>
          <w:color w:val="231F20"/>
          <w:spacing w:val="-6"/>
        </w:rPr>
        <w:t> </w:t>
      </w:r>
      <w:r>
        <w:rPr>
          <w:color w:val="231F20"/>
        </w:rPr>
        <w:t>2023</w:t>
      </w:r>
      <w:r>
        <w:rPr>
          <w:color w:val="231F20"/>
          <w:spacing w:val="-6"/>
        </w:rPr>
        <w:t> </w:t>
      </w:r>
      <w:r>
        <w:rPr>
          <w:color w:val="231F20"/>
        </w:rPr>
        <w:t>№</w:t>
      </w:r>
      <w:r>
        <w:rPr>
          <w:color w:val="231F20"/>
          <w:spacing w:val="-6"/>
        </w:rPr>
        <w:t> </w:t>
      </w:r>
      <w:r>
        <w:rPr>
          <w:color w:val="231F20"/>
        </w:rPr>
        <w:t>073-00038-23-01</w:t>
      </w:r>
      <w:r>
        <w:rPr>
          <w:color w:val="231F20"/>
          <w:spacing w:val="-6"/>
        </w:rPr>
        <w:t> </w:t>
      </w:r>
      <w:r>
        <w:rPr>
          <w:color w:val="231F20"/>
        </w:rPr>
        <w:t>от</w:t>
      </w:r>
      <w:r>
        <w:rPr>
          <w:color w:val="231F20"/>
          <w:spacing w:val="-6"/>
        </w:rPr>
        <w:t> </w:t>
      </w:r>
      <w:r>
        <w:rPr>
          <w:color w:val="231F20"/>
        </w:rPr>
        <w:t>08.02.2023</w:t>
      </w:r>
      <w:r>
        <w:rPr>
          <w:color w:val="231F20"/>
          <w:spacing w:val="-6"/>
        </w:rPr>
        <w:t> </w:t>
      </w:r>
      <w:r>
        <w:rPr>
          <w:color w:val="231F20"/>
        </w:rPr>
        <w:t>г.</w:t>
      </w:r>
      <w:r>
        <w:rPr>
          <w:color w:val="231F20"/>
          <w:spacing w:val="-6"/>
        </w:rPr>
        <w:t> </w:t>
      </w:r>
      <w:r>
        <w:rPr>
          <w:color w:val="231F20"/>
        </w:rPr>
        <w:t>На</w:t>
      </w:r>
      <w:r>
        <w:rPr>
          <w:color w:val="231F20"/>
          <w:spacing w:val="-6"/>
        </w:rPr>
        <w:t> </w:t>
      </w:r>
      <w:r>
        <w:rPr>
          <w:color w:val="231F20"/>
        </w:rPr>
        <w:t>основе</w:t>
      </w:r>
      <w:r>
        <w:rPr>
          <w:color w:val="231F20"/>
          <w:spacing w:val="-6"/>
        </w:rPr>
        <w:t> </w:t>
      </w:r>
      <w:r>
        <w:rPr>
          <w:color w:val="231F20"/>
        </w:rPr>
        <w:t>результатов</w:t>
      </w:r>
      <w:r>
        <w:rPr>
          <w:color w:val="231F20"/>
          <w:spacing w:val="-6"/>
        </w:rPr>
        <w:t> </w:t>
      </w:r>
      <w:r>
        <w:rPr>
          <w:color w:val="231F20"/>
        </w:rPr>
        <w:t>апро- бации была осуществлена коррекция содержания и методов программы психолого- педагогического сопровождения процессов обучения, социальной, языковой и куль- турной адаптации детей иностранных граждан.</w:t>
      </w:r>
    </w:p>
    <w:p>
      <w:pPr>
        <w:pStyle w:val="BodyText"/>
        <w:spacing w:line="232" w:lineRule="auto" w:before="19"/>
      </w:pPr>
      <w:r>
        <w:rPr>
          <w:color w:val="231F20"/>
        </w:rPr>
        <w:t>Материалы</w:t>
      </w:r>
      <w:r>
        <w:rPr>
          <w:color w:val="231F20"/>
          <w:spacing w:val="-3"/>
        </w:rPr>
        <w:t> </w:t>
      </w:r>
      <w:r>
        <w:rPr>
          <w:color w:val="231F20"/>
        </w:rPr>
        <w:t>методических</w:t>
      </w:r>
      <w:r>
        <w:rPr>
          <w:color w:val="231F20"/>
          <w:spacing w:val="-3"/>
        </w:rPr>
        <w:t> </w:t>
      </w:r>
      <w:r>
        <w:rPr>
          <w:color w:val="231F20"/>
        </w:rPr>
        <w:t>рекомендаций</w:t>
      </w:r>
      <w:r>
        <w:rPr>
          <w:color w:val="231F20"/>
          <w:spacing w:val="-3"/>
        </w:rPr>
        <w:t> </w:t>
      </w:r>
      <w:r>
        <w:rPr>
          <w:color w:val="231F20"/>
        </w:rPr>
        <w:t>подготовлены</w:t>
      </w:r>
      <w:r>
        <w:rPr>
          <w:color w:val="231F20"/>
          <w:spacing w:val="-3"/>
        </w:rPr>
        <w:t> </w:t>
      </w:r>
      <w:r>
        <w:rPr>
          <w:color w:val="231F20"/>
        </w:rPr>
        <w:t>коллективом</w:t>
      </w:r>
      <w:r>
        <w:rPr>
          <w:color w:val="231F20"/>
          <w:spacing w:val="-3"/>
        </w:rPr>
        <w:t> </w:t>
      </w:r>
      <w:r>
        <w:rPr>
          <w:color w:val="231F20"/>
        </w:rPr>
        <w:t>авторов</w:t>
      </w:r>
      <w:r>
        <w:rPr>
          <w:color w:val="231F20"/>
          <w:spacing w:val="-3"/>
        </w:rPr>
        <w:t> </w:t>
      </w:r>
      <w:r>
        <w:rPr>
          <w:color w:val="231F20"/>
        </w:rPr>
        <w:t>под общей</w:t>
      </w:r>
      <w:r>
        <w:rPr>
          <w:color w:val="231F20"/>
          <w:spacing w:val="-13"/>
        </w:rPr>
        <w:t> </w:t>
      </w:r>
      <w:r>
        <w:rPr>
          <w:color w:val="231F20"/>
        </w:rPr>
        <w:t>редакцией</w:t>
      </w:r>
      <w:r>
        <w:rPr>
          <w:color w:val="231F20"/>
          <w:spacing w:val="-12"/>
        </w:rPr>
        <w:t> </w:t>
      </w:r>
      <w:r>
        <w:rPr>
          <w:color w:val="231F20"/>
        </w:rPr>
        <w:t>М.Ю.</w:t>
      </w:r>
      <w:r>
        <w:rPr>
          <w:color w:val="231F20"/>
          <w:spacing w:val="-13"/>
        </w:rPr>
        <w:t> </w:t>
      </w:r>
      <w:r>
        <w:rPr>
          <w:color w:val="231F20"/>
        </w:rPr>
        <w:t>Чибисовой</w:t>
      </w:r>
      <w:r>
        <w:rPr>
          <w:color w:val="231F20"/>
          <w:spacing w:val="-12"/>
        </w:rPr>
        <w:t> </w:t>
      </w:r>
      <w:r>
        <w:rPr>
          <w:color w:val="231F20"/>
        </w:rPr>
        <w:t>(1</w:t>
      </w:r>
      <w:r>
        <w:rPr>
          <w:color w:val="231F20"/>
          <w:spacing w:val="-13"/>
        </w:rPr>
        <w:t> </w:t>
      </w:r>
      <w:r>
        <w:rPr>
          <w:color w:val="231F20"/>
        </w:rPr>
        <w:t>и</w:t>
      </w:r>
      <w:r>
        <w:rPr>
          <w:color w:val="231F20"/>
          <w:spacing w:val="-12"/>
        </w:rPr>
        <w:t> </w:t>
      </w:r>
      <w:r>
        <w:rPr>
          <w:color w:val="231F20"/>
        </w:rPr>
        <w:t>3</w:t>
      </w:r>
      <w:r>
        <w:rPr>
          <w:color w:val="231F20"/>
          <w:spacing w:val="-13"/>
        </w:rPr>
        <w:t> </w:t>
      </w:r>
      <w:r>
        <w:rPr>
          <w:color w:val="231F20"/>
        </w:rPr>
        <w:t>раздел),</w:t>
      </w:r>
      <w:r>
        <w:rPr>
          <w:color w:val="231F20"/>
          <w:spacing w:val="-12"/>
        </w:rPr>
        <w:t> </w:t>
      </w:r>
      <w:r>
        <w:rPr>
          <w:color w:val="231F20"/>
        </w:rPr>
        <w:t>О.Е.</w:t>
      </w:r>
      <w:r>
        <w:rPr>
          <w:color w:val="231F20"/>
          <w:spacing w:val="-13"/>
        </w:rPr>
        <w:t> </w:t>
      </w:r>
      <w:r>
        <w:rPr>
          <w:color w:val="231F20"/>
        </w:rPr>
        <w:t>Хухлаева</w:t>
      </w:r>
      <w:r>
        <w:rPr>
          <w:color w:val="231F20"/>
          <w:spacing w:val="-12"/>
        </w:rPr>
        <w:t> </w:t>
      </w:r>
      <w:r>
        <w:rPr>
          <w:color w:val="231F20"/>
        </w:rPr>
        <w:t>(4</w:t>
      </w:r>
      <w:r>
        <w:rPr>
          <w:color w:val="231F20"/>
          <w:spacing w:val="-13"/>
        </w:rPr>
        <w:t> </w:t>
      </w:r>
      <w:r>
        <w:rPr>
          <w:color w:val="231F20"/>
        </w:rPr>
        <w:t>раздел)</w:t>
      </w:r>
      <w:r>
        <w:rPr>
          <w:color w:val="231F20"/>
          <w:spacing w:val="-12"/>
        </w:rPr>
        <w:t> </w:t>
      </w:r>
      <w:r>
        <w:rPr>
          <w:color w:val="231F20"/>
        </w:rPr>
        <w:t>и</w:t>
      </w:r>
      <w:r>
        <w:rPr>
          <w:color w:val="231F20"/>
          <w:spacing w:val="-13"/>
        </w:rPr>
        <w:t> </w:t>
      </w:r>
      <w:r>
        <w:rPr>
          <w:color w:val="231F20"/>
        </w:rPr>
        <w:t>Н.В.</w:t>
      </w:r>
      <w:r>
        <w:rPr>
          <w:color w:val="231F20"/>
          <w:spacing w:val="-12"/>
        </w:rPr>
        <w:t> </w:t>
      </w:r>
      <w:r>
        <w:rPr>
          <w:color w:val="231F20"/>
        </w:rPr>
        <w:t>Тка- ченко (2 раздел). Авторство каждого из параграфов указано под его наименованием в тексте.</w:t>
      </w:r>
    </w:p>
    <w:p>
      <w:pPr>
        <w:pStyle w:val="BodyText"/>
        <w:spacing w:line="232" w:lineRule="auto" w:before="4"/>
      </w:pPr>
      <w:r>
        <w:rPr>
          <w:color w:val="231F20"/>
        </w:rPr>
        <w:t>По каждому методу и технологии, описанным в методических рекомендациях, даны</w:t>
      </w:r>
      <w:r>
        <w:rPr>
          <w:color w:val="231F20"/>
          <w:spacing w:val="-12"/>
        </w:rPr>
        <w:t> </w:t>
      </w:r>
      <w:r>
        <w:rPr>
          <w:color w:val="231F20"/>
        </w:rPr>
        <w:t>инструкции</w:t>
      </w:r>
      <w:r>
        <w:rPr>
          <w:color w:val="231F20"/>
          <w:spacing w:val="-12"/>
        </w:rPr>
        <w:t> </w:t>
      </w:r>
      <w:r>
        <w:rPr>
          <w:color w:val="231F20"/>
        </w:rPr>
        <w:t>по</w:t>
      </w:r>
      <w:r>
        <w:rPr>
          <w:color w:val="231F20"/>
          <w:spacing w:val="-12"/>
        </w:rPr>
        <w:t> </w:t>
      </w:r>
      <w:r>
        <w:rPr>
          <w:color w:val="231F20"/>
        </w:rPr>
        <w:t>возможной</w:t>
      </w:r>
      <w:r>
        <w:rPr>
          <w:color w:val="231F20"/>
          <w:spacing w:val="-12"/>
        </w:rPr>
        <w:t> </w:t>
      </w:r>
      <w:r>
        <w:rPr>
          <w:color w:val="231F20"/>
        </w:rPr>
        <w:t>траектории</w:t>
      </w:r>
      <w:r>
        <w:rPr>
          <w:color w:val="231F20"/>
          <w:spacing w:val="-12"/>
        </w:rPr>
        <w:t> </w:t>
      </w:r>
      <w:r>
        <w:rPr>
          <w:color w:val="231F20"/>
        </w:rPr>
        <w:t>их</w:t>
      </w:r>
      <w:r>
        <w:rPr>
          <w:color w:val="231F20"/>
          <w:spacing w:val="-12"/>
        </w:rPr>
        <w:t> </w:t>
      </w:r>
      <w:r>
        <w:rPr>
          <w:color w:val="231F20"/>
        </w:rPr>
        <w:t>более</w:t>
      </w:r>
      <w:r>
        <w:rPr>
          <w:color w:val="231F20"/>
          <w:spacing w:val="-12"/>
        </w:rPr>
        <w:t> </w:t>
      </w:r>
      <w:r>
        <w:rPr>
          <w:color w:val="231F20"/>
        </w:rPr>
        <w:t>глубокого</w:t>
      </w:r>
      <w:r>
        <w:rPr>
          <w:color w:val="231F20"/>
          <w:spacing w:val="-12"/>
        </w:rPr>
        <w:t> </w:t>
      </w:r>
      <w:r>
        <w:rPr>
          <w:color w:val="231F20"/>
        </w:rPr>
        <w:t>освоения.</w:t>
      </w:r>
      <w:r>
        <w:rPr>
          <w:color w:val="231F20"/>
          <w:spacing w:val="-12"/>
        </w:rPr>
        <w:t> </w:t>
      </w:r>
      <w:r>
        <w:rPr>
          <w:color w:val="231F20"/>
        </w:rPr>
        <w:t>Отдельные методы (практики), по которым отсутствуют возможности более подробного озна- комления</w:t>
      </w:r>
      <w:r>
        <w:rPr>
          <w:color w:val="231F20"/>
          <w:spacing w:val="-13"/>
        </w:rPr>
        <w:t> </w:t>
      </w:r>
      <w:r>
        <w:rPr>
          <w:color w:val="231F20"/>
        </w:rPr>
        <w:t>в</w:t>
      </w:r>
      <w:r>
        <w:rPr>
          <w:color w:val="231F20"/>
          <w:spacing w:val="-12"/>
        </w:rPr>
        <w:t> </w:t>
      </w:r>
      <w:r>
        <w:rPr>
          <w:color w:val="231F20"/>
        </w:rPr>
        <w:t>русскоязычном</w:t>
      </w:r>
      <w:r>
        <w:rPr>
          <w:color w:val="231F20"/>
          <w:spacing w:val="-13"/>
        </w:rPr>
        <w:t> </w:t>
      </w:r>
      <w:r>
        <w:rPr>
          <w:color w:val="231F20"/>
        </w:rPr>
        <w:t>пространстве,</w:t>
      </w:r>
      <w:r>
        <w:rPr>
          <w:color w:val="231F20"/>
          <w:spacing w:val="-12"/>
        </w:rPr>
        <w:t> </w:t>
      </w:r>
      <w:r>
        <w:rPr>
          <w:color w:val="231F20"/>
        </w:rPr>
        <w:t>более</w:t>
      </w:r>
      <w:r>
        <w:rPr>
          <w:color w:val="231F20"/>
          <w:spacing w:val="-13"/>
        </w:rPr>
        <w:t> </w:t>
      </w:r>
      <w:r>
        <w:rPr>
          <w:color w:val="231F20"/>
        </w:rPr>
        <w:t>подробно</w:t>
      </w:r>
      <w:r>
        <w:rPr>
          <w:color w:val="231F20"/>
          <w:spacing w:val="-12"/>
        </w:rPr>
        <w:t> </w:t>
      </w:r>
      <w:r>
        <w:rPr>
          <w:color w:val="231F20"/>
        </w:rPr>
        <w:t>изложены</w:t>
      </w:r>
      <w:r>
        <w:rPr>
          <w:color w:val="231F20"/>
          <w:spacing w:val="-13"/>
        </w:rPr>
        <w:t> </w:t>
      </w:r>
      <w:r>
        <w:rPr>
          <w:color w:val="231F20"/>
        </w:rPr>
        <w:t>в</w:t>
      </w:r>
      <w:r>
        <w:rPr>
          <w:color w:val="231F20"/>
          <w:spacing w:val="-12"/>
        </w:rPr>
        <w:t> </w:t>
      </w:r>
      <w:r>
        <w:rPr>
          <w:color w:val="231F20"/>
        </w:rPr>
        <w:t>Пакете</w:t>
      </w:r>
      <w:r>
        <w:rPr>
          <w:color w:val="231F20"/>
          <w:spacing w:val="-13"/>
        </w:rPr>
        <w:t> </w:t>
      </w:r>
      <w:r>
        <w:rPr>
          <w:color w:val="231F20"/>
        </w:rPr>
        <w:t>инстру- ментария программы психолого-педагогического сопровождения процессов обуче- ния, социальной, языковой и культурной адаптации детей иностранных граждан.</w:t>
      </w:r>
    </w:p>
    <w:p>
      <w:pPr>
        <w:pStyle w:val="BodyText"/>
        <w:spacing w:before="110"/>
        <w:ind w:left="0" w:right="0" w:firstLine="0"/>
        <w:jc w:val="left"/>
      </w:pPr>
    </w:p>
    <w:p>
      <w:pPr>
        <w:spacing w:line="206" w:lineRule="exact" w:before="0"/>
        <w:ind w:left="425" w:right="0" w:firstLine="0"/>
        <w:jc w:val="left"/>
        <w:rPr>
          <w:b/>
          <w:sz w:val="18"/>
        </w:rPr>
      </w:pPr>
      <w:r>
        <w:rPr>
          <w:b/>
          <w:color w:val="231F20"/>
          <w:spacing w:val="-2"/>
          <w:sz w:val="18"/>
        </w:rPr>
        <w:t>Литература</w:t>
      </w:r>
    </w:p>
    <w:p>
      <w:pPr>
        <w:pStyle w:val="ListParagraph"/>
        <w:numPr>
          <w:ilvl w:val="0"/>
          <w:numId w:val="42"/>
        </w:numPr>
        <w:tabs>
          <w:tab w:pos="708" w:val="left" w:leader="none"/>
        </w:tabs>
        <w:spacing w:line="240" w:lineRule="auto" w:before="0" w:after="0"/>
        <w:ind w:left="708" w:right="423" w:hanging="284"/>
        <w:jc w:val="both"/>
        <w:rPr>
          <w:sz w:val="18"/>
        </w:rPr>
      </w:pPr>
      <w:r>
        <w:rPr>
          <w:color w:val="231F20"/>
          <w:sz w:val="18"/>
        </w:rPr>
        <w:t>Подушкина Т.Г., Станилевский В.В. Доказательный подход в социальной сфере: основные</w:t>
      </w:r>
      <w:r>
        <w:rPr>
          <w:color w:val="231F20"/>
          <w:spacing w:val="-2"/>
          <w:sz w:val="18"/>
        </w:rPr>
        <w:t> </w:t>
      </w:r>
      <w:r>
        <w:rPr>
          <w:color w:val="231F20"/>
          <w:sz w:val="18"/>
        </w:rPr>
        <w:t>понятия</w:t>
      </w:r>
      <w:r>
        <w:rPr>
          <w:color w:val="231F20"/>
          <w:spacing w:val="-2"/>
          <w:sz w:val="18"/>
        </w:rPr>
        <w:t> </w:t>
      </w:r>
      <w:r>
        <w:rPr>
          <w:color w:val="231F20"/>
          <w:sz w:val="18"/>
        </w:rPr>
        <w:t>и</w:t>
      </w:r>
      <w:r>
        <w:rPr>
          <w:color w:val="231F20"/>
          <w:spacing w:val="-2"/>
          <w:sz w:val="18"/>
        </w:rPr>
        <w:t> </w:t>
      </w:r>
      <w:r>
        <w:rPr>
          <w:color w:val="231F20"/>
          <w:sz w:val="18"/>
        </w:rPr>
        <w:t>принципы,</w:t>
      </w:r>
      <w:r>
        <w:rPr>
          <w:color w:val="231F20"/>
          <w:spacing w:val="-2"/>
          <w:sz w:val="18"/>
        </w:rPr>
        <w:t> </w:t>
      </w:r>
      <w:r>
        <w:rPr>
          <w:color w:val="231F20"/>
          <w:sz w:val="18"/>
        </w:rPr>
        <w:t>история,</w:t>
      </w:r>
      <w:r>
        <w:rPr>
          <w:color w:val="231F20"/>
          <w:spacing w:val="-2"/>
          <w:sz w:val="18"/>
        </w:rPr>
        <w:t> </w:t>
      </w:r>
      <w:r>
        <w:rPr>
          <w:color w:val="231F20"/>
          <w:sz w:val="18"/>
        </w:rPr>
        <w:t>перспективы</w:t>
      </w:r>
      <w:r>
        <w:rPr>
          <w:color w:val="231F20"/>
          <w:spacing w:val="-2"/>
          <w:sz w:val="18"/>
        </w:rPr>
        <w:t> </w:t>
      </w:r>
      <w:r>
        <w:rPr>
          <w:color w:val="231F20"/>
          <w:sz w:val="18"/>
        </w:rPr>
        <w:t>[Электронный</w:t>
      </w:r>
      <w:r>
        <w:rPr>
          <w:color w:val="231F20"/>
          <w:spacing w:val="-2"/>
          <w:sz w:val="18"/>
        </w:rPr>
        <w:t> </w:t>
      </w:r>
      <w:r>
        <w:rPr>
          <w:color w:val="231F20"/>
          <w:sz w:val="18"/>
        </w:rPr>
        <w:t>ресурс]</w:t>
      </w:r>
      <w:r>
        <w:rPr>
          <w:color w:val="231F20"/>
          <w:spacing w:val="-2"/>
          <w:sz w:val="18"/>
        </w:rPr>
        <w:t> </w:t>
      </w:r>
      <w:r>
        <w:rPr>
          <w:color w:val="231F20"/>
          <w:sz w:val="18"/>
        </w:rPr>
        <w:t>//</w:t>
      </w:r>
      <w:r>
        <w:rPr>
          <w:color w:val="231F20"/>
          <w:spacing w:val="-2"/>
          <w:sz w:val="18"/>
        </w:rPr>
        <w:t> </w:t>
      </w:r>
      <w:r>
        <w:rPr>
          <w:color w:val="231F20"/>
          <w:sz w:val="18"/>
        </w:rPr>
        <w:t>Со- циальные</w:t>
      </w:r>
      <w:r>
        <w:rPr>
          <w:color w:val="231F20"/>
          <w:spacing w:val="-7"/>
          <w:sz w:val="18"/>
        </w:rPr>
        <w:t> </w:t>
      </w:r>
      <w:r>
        <w:rPr>
          <w:color w:val="231F20"/>
          <w:sz w:val="18"/>
        </w:rPr>
        <w:t>науки</w:t>
      </w:r>
      <w:r>
        <w:rPr>
          <w:color w:val="231F20"/>
          <w:spacing w:val="-7"/>
          <w:sz w:val="18"/>
        </w:rPr>
        <w:t> </w:t>
      </w:r>
      <w:r>
        <w:rPr>
          <w:color w:val="231F20"/>
          <w:sz w:val="18"/>
        </w:rPr>
        <w:t>и</w:t>
      </w:r>
      <w:r>
        <w:rPr>
          <w:color w:val="231F20"/>
          <w:spacing w:val="-7"/>
          <w:sz w:val="18"/>
        </w:rPr>
        <w:t> </w:t>
      </w:r>
      <w:r>
        <w:rPr>
          <w:color w:val="231F20"/>
          <w:sz w:val="18"/>
        </w:rPr>
        <w:t>детство.</w:t>
      </w:r>
      <w:r>
        <w:rPr>
          <w:color w:val="231F20"/>
          <w:spacing w:val="-7"/>
          <w:sz w:val="18"/>
        </w:rPr>
        <w:t> </w:t>
      </w:r>
      <w:r>
        <w:rPr>
          <w:color w:val="231F20"/>
          <w:sz w:val="18"/>
        </w:rPr>
        <w:t>2020.</w:t>
      </w:r>
      <w:r>
        <w:rPr>
          <w:color w:val="231F20"/>
          <w:spacing w:val="-7"/>
          <w:sz w:val="18"/>
        </w:rPr>
        <w:t> </w:t>
      </w:r>
      <w:r>
        <w:rPr>
          <w:color w:val="231F20"/>
          <w:sz w:val="18"/>
        </w:rPr>
        <w:t>Том</w:t>
      </w:r>
      <w:r>
        <w:rPr>
          <w:color w:val="231F20"/>
          <w:spacing w:val="-7"/>
          <w:sz w:val="18"/>
        </w:rPr>
        <w:t> </w:t>
      </w:r>
      <w:r>
        <w:rPr>
          <w:color w:val="231F20"/>
          <w:sz w:val="18"/>
        </w:rPr>
        <w:t>1.</w:t>
      </w:r>
      <w:r>
        <w:rPr>
          <w:color w:val="231F20"/>
          <w:spacing w:val="-7"/>
          <w:sz w:val="18"/>
        </w:rPr>
        <w:t> </w:t>
      </w:r>
      <w:r>
        <w:rPr>
          <w:color w:val="231F20"/>
          <w:sz w:val="18"/>
        </w:rPr>
        <w:t>№</w:t>
      </w:r>
      <w:r>
        <w:rPr>
          <w:color w:val="231F20"/>
          <w:spacing w:val="-7"/>
          <w:sz w:val="18"/>
        </w:rPr>
        <w:t> </w:t>
      </w:r>
      <w:r>
        <w:rPr>
          <w:color w:val="231F20"/>
          <w:sz w:val="18"/>
        </w:rPr>
        <w:t>1.</w:t>
      </w:r>
      <w:r>
        <w:rPr>
          <w:color w:val="231F20"/>
          <w:spacing w:val="-7"/>
          <w:sz w:val="18"/>
        </w:rPr>
        <w:t> </w:t>
      </w:r>
      <w:r>
        <w:rPr>
          <w:color w:val="231F20"/>
          <w:sz w:val="18"/>
        </w:rPr>
        <w:t>С.</w:t>
      </w:r>
      <w:r>
        <w:rPr>
          <w:color w:val="231F20"/>
          <w:spacing w:val="-7"/>
          <w:sz w:val="18"/>
        </w:rPr>
        <w:t> </w:t>
      </w:r>
      <w:r>
        <w:rPr>
          <w:color w:val="231F20"/>
          <w:sz w:val="18"/>
        </w:rPr>
        <w:t>8–26.</w:t>
      </w:r>
      <w:r>
        <w:rPr>
          <w:color w:val="231F20"/>
          <w:spacing w:val="-4"/>
          <w:sz w:val="18"/>
        </w:rPr>
        <w:t> </w:t>
      </w:r>
      <w:r>
        <w:rPr>
          <w:color w:val="231F20"/>
          <w:sz w:val="18"/>
        </w:rPr>
        <w:t>DOI:</w:t>
      </w:r>
      <w:r>
        <w:rPr>
          <w:color w:val="231F20"/>
          <w:spacing w:val="-3"/>
          <w:sz w:val="18"/>
        </w:rPr>
        <w:t> </w:t>
      </w:r>
      <w:r>
        <w:rPr>
          <w:color w:val="231F20"/>
          <w:sz w:val="18"/>
        </w:rPr>
        <w:t>10.17759/ssc.2020010101 </w:t>
      </w:r>
      <w:hyperlink r:id="rId73">
        <w:r>
          <w:rPr>
            <w:color w:val="2255A6"/>
            <w:spacing w:val="-2"/>
            <w:sz w:val="18"/>
            <w:u w:val="single" w:color="2255A6"/>
          </w:rPr>
          <w:t>https://psyjournals.ru/ssc/2020/n1/Busygina_Podushkina_Stanilevsky.shtml</w:t>
        </w:r>
      </w:hyperlink>
      <w:r>
        <w:rPr>
          <w:color w:val="231F20"/>
          <w:spacing w:val="-2"/>
          <w:sz w:val="18"/>
        </w:rPr>
        <w:t>.</w:t>
      </w:r>
    </w:p>
    <w:p>
      <w:pPr>
        <w:pStyle w:val="ListParagraph"/>
        <w:numPr>
          <w:ilvl w:val="0"/>
          <w:numId w:val="42"/>
        </w:numPr>
        <w:tabs>
          <w:tab w:pos="708" w:val="left" w:leader="none"/>
        </w:tabs>
        <w:spacing w:line="240" w:lineRule="auto" w:before="0" w:after="0"/>
        <w:ind w:left="708" w:right="423" w:hanging="284"/>
        <w:jc w:val="both"/>
        <w:rPr>
          <w:sz w:val="18"/>
        </w:rPr>
      </w:pPr>
      <w:r>
        <w:rPr>
          <w:color w:val="231F20"/>
          <w:sz w:val="18"/>
        </w:rPr>
        <w:t>Хухлаев</w:t>
      </w:r>
      <w:r>
        <w:rPr>
          <w:color w:val="231F20"/>
          <w:spacing w:val="-2"/>
          <w:sz w:val="18"/>
        </w:rPr>
        <w:t> </w:t>
      </w:r>
      <w:r>
        <w:rPr>
          <w:color w:val="231F20"/>
          <w:sz w:val="18"/>
        </w:rPr>
        <w:t>О.Е.,</w:t>
      </w:r>
      <w:r>
        <w:rPr>
          <w:color w:val="231F20"/>
          <w:spacing w:val="-2"/>
          <w:sz w:val="18"/>
        </w:rPr>
        <w:t> </w:t>
      </w:r>
      <w:r>
        <w:rPr>
          <w:color w:val="231F20"/>
          <w:sz w:val="18"/>
        </w:rPr>
        <w:t>Чибисова</w:t>
      </w:r>
      <w:r>
        <w:rPr>
          <w:color w:val="231F20"/>
          <w:spacing w:val="-2"/>
          <w:sz w:val="18"/>
        </w:rPr>
        <w:t> </w:t>
      </w:r>
      <w:r>
        <w:rPr>
          <w:color w:val="231F20"/>
          <w:sz w:val="18"/>
        </w:rPr>
        <w:t>М.Ю.,</w:t>
      </w:r>
      <w:r>
        <w:rPr>
          <w:color w:val="231F20"/>
          <w:spacing w:val="-2"/>
          <w:sz w:val="18"/>
        </w:rPr>
        <w:t> </w:t>
      </w:r>
      <w:r>
        <w:rPr>
          <w:color w:val="231F20"/>
          <w:sz w:val="18"/>
        </w:rPr>
        <w:t>Шеманов</w:t>
      </w:r>
      <w:r>
        <w:rPr>
          <w:color w:val="231F20"/>
          <w:spacing w:val="-2"/>
          <w:sz w:val="18"/>
        </w:rPr>
        <w:t> </w:t>
      </w:r>
      <w:r>
        <w:rPr>
          <w:color w:val="231F20"/>
          <w:sz w:val="18"/>
        </w:rPr>
        <w:t>А.Ю.</w:t>
      </w:r>
      <w:r>
        <w:rPr>
          <w:color w:val="231F20"/>
          <w:spacing w:val="-2"/>
          <w:sz w:val="18"/>
        </w:rPr>
        <w:t> </w:t>
      </w:r>
      <w:r>
        <w:rPr>
          <w:color w:val="231F20"/>
          <w:sz w:val="18"/>
        </w:rPr>
        <w:t>Инклюзивный</w:t>
      </w:r>
      <w:r>
        <w:rPr>
          <w:color w:val="231F20"/>
          <w:spacing w:val="-2"/>
          <w:sz w:val="18"/>
        </w:rPr>
        <w:t> </w:t>
      </w:r>
      <w:r>
        <w:rPr>
          <w:color w:val="231F20"/>
          <w:sz w:val="18"/>
        </w:rPr>
        <w:t>подход</w:t>
      </w:r>
      <w:r>
        <w:rPr>
          <w:color w:val="231F20"/>
          <w:spacing w:val="-2"/>
          <w:sz w:val="18"/>
        </w:rPr>
        <w:t> </w:t>
      </w:r>
      <w:r>
        <w:rPr>
          <w:color w:val="231F20"/>
          <w:sz w:val="18"/>
        </w:rPr>
        <w:t>в</w:t>
      </w:r>
      <w:r>
        <w:rPr>
          <w:color w:val="231F20"/>
          <w:spacing w:val="-2"/>
          <w:sz w:val="18"/>
        </w:rPr>
        <w:t> </w:t>
      </w:r>
      <w:r>
        <w:rPr>
          <w:color w:val="231F20"/>
          <w:sz w:val="18"/>
        </w:rPr>
        <w:t>интеграции </w:t>
      </w:r>
      <w:r>
        <w:rPr>
          <w:color w:val="231F20"/>
          <w:spacing w:val="-2"/>
          <w:sz w:val="18"/>
        </w:rPr>
        <w:t>детей-мигрантов в образовании // Психологическая наука и образование, 2015. Т. 20.</w:t>
      </w:r>
    </w:p>
    <w:p>
      <w:pPr>
        <w:spacing w:line="205" w:lineRule="exact" w:before="0"/>
        <w:ind w:left="708" w:right="0" w:firstLine="0"/>
        <w:jc w:val="both"/>
        <w:rPr>
          <w:sz w:val="18"/>
        </w:rPr>
      </w:pPr>
      <w:r>
        <w:rPr>
          <w:color w:val="231F20"/>
          <w:sz w:val="18"/>
        </w:rPr>
        <w:t>№</w:t>
      </w:r>
      <w:r>
        <w:rPr>
          <w:color w:val="231F20"/>
          <w:spacing w:val="1"/>
          <w:sz w:val="18"/>
        </w:rPr>
        <w:t> </w:t>
      </w:r>
      <w:r>
        <w:rPr>
          <w:color w:val="231F20"/>
          <w:sz w:val="18"/>
        </w:rPr>
        <w:t>1.</w:t>
      </w:r>
      <w:r>
        <w:rPr>
          <w:color w:val="231F20"/>
          <w:spacing w:val="3"/>
          <w:sz w:val="18"/>
        </w:rPr>
        <w:t> </w:t>
      </w:r>
      <w:r>
        <w:rPr>
          <w:color w:val="231F20"/>
          <w:sz w:val="18"/>
        </w:rPr>
        <w:t>С.</w:t>
      </w:r>
      <w:r>
        <w:rPr>
          <w:color w:val="231F20"/>
          <w:spacing w:val="3"/>
          <w:sz w:val="18"/>
        </w:rPr>
        <w:t> </w:t>
      </w:r>
      <w:r>
        <w:rPr>
          <w:color w:val="231F20"/>
          <w:sz w:val="18"/>
        </w:rPr>
        <w:t>15–27.</w:t>
      </w:r>
      <w:r>
        <w:rPr>
          <w:color w:val="231F20"/>
          <w:spacing w:val="7"/>
          <w:sz w:val="18"/>
        </w:rPr>
        <w:t> </w:t>
      </w:r>
      <w:r>
        <w:rPr>
          <w:color w:val="231F20"/>
          <w:sz w:val="18"/>
        </w:rPr>
        <w:t>DOI:</w:t>
      </w:r>
      <w:r>
        <w:rPr>
          <w:color w:val="231F20"/>
          <w:spacing w:val="3"/>
          <w:sz w:val="18"/>
        </w:rPr>
        <w:t> </w:t>
      </w:r>
      <w:r>
        <w:rPr>
          <w:color w:val="231F20"/>
          <w:spacing w:val="-2"/>
          <w:sz w:val="18"/>
        </w:rPr>
        <w:t>10.17759/pse.2015200103.</w:t>
      </w:r>
    </w:p>
    <w:p>
      <w:pPr>
        <w:spacing w:after="0" w:line="205" w:lineRule="exact"/>
        <w:jc w:val="both"/>
        <w:rPr>
          <w:sz w:val="18"/>
        </w:rPr>
        <w:sectPr>
          <w:pgSz w:w="8400" w:h="11910"/>
          <w:pgMar w:header="0" w:footer="531" w:top="400" w:bottom="740" w:left="425" w:right="425"/>
        </w:sect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spacing w:before="299"/>
        <w:ind w:left="0" w:right="0" w:firstLine="0"/>
        <w:jc w:val="left"/>
        <w:rPr>
          <w:sz w:val="28"/>
        </w:rPr>
      </w:pPr>
    </w:p>
    <w:p>
      <w:pPr>
        <w:spacing w:before="1"/>
        <w:ind w:left="303" w:right="303" w:firstLine="0"/>
        <w:jc w:val="center"/>
        <w:rPr>
          <w:rFonts w:ascii="Georgia" w:hAnsi="Georgia"/>
          <w:b/>
          <w:sz w:val="28"/>
        </w:rPr>
      </w:pPr>
      <w:bookmarkStart w:name="_bookmark35" w:id="37"/>
      <w:bookmarkEnd w:id="37"/>
      <w:r>
        <w:rPr/>
      </w:r>
      <w:r>
        <w:rPr>
          <w:rFonts w:ascii="Georgia" w:hAnsi="Georgia"/>
          <w:b/>
          <w:color w:val="231F20"/>
          <w:w w:val="90"/>
          <w:sz w:val="28"/>
        </w:rPr>
        <w:t>РАЗДЕЛ</w:t>
      </w:r>
      <w:r>
        <w:rPr>
          <w:rFonts w:ascii="Georgia" w:hAnsi="Georgia"/>
          <w:b/>
          <w:color w:val="231F20"/>
          <w:spacing w:val="6"/>
          <w:sz w:val="28"/>
        </w:rPr>
        <w:t> </w:t>
      </w:r>
      <w:r>
        <w:rPr>
          <w:rFonts w:ascii="Georgia" w:hAnsi="Georgia"/>
          <w:b/>
          <w:color w:val="231F20"/>
          <w:spacing w:val="-5"/>
          <w:sz w:val="28"/>
        </w:rPr>
        <w:t>1.</w:t>
      </w:r>
    </w:p>
    <w:p>
      <w:pPr>
        <w:spacing w:line="348" w:lineRule="auto" w:before="255"/>
        <w:ind w:left="303" w:right="302" w:firstLine="0"/>
        <w:jc w:val="center"/>
        <w:rPr>
          <w:rFonts w:ascii="Georgia" w:hAnsi="Georgia"/>
          <w:b/>
          <w:sz w:val="28"/>
        </w:rPr>
      </w:pPr>
      <w:r>
        <w:rPr>
          <w:rFonts w:ascii="Georgia" w:hAnsi="Georgia"/>
          <w:b/>
          <w:color w:val="231F20"/>
          <w:w w:val="90"/>
          <w:sz w:val="28"/>
        </w:rPr>
        <w:t>Работа педагога-психолога по индивидуальной </w:t>
      </w:r>
      <w:r>
        <w:rPr>
          <w:rFonts w:ascii="Georgia" w:hAnsi="Georgia"/>
          <w:b/>
          <w:color w:val="231F20"/>
          <w:spacing w:val="-10"/>
          <w:sz w:val="28"/>
        </w:rPr>
        <w:t>поддержке</w:t>
      </w:r>
      <w:r>
        <w:rPr>
          <w:rFonts w:ascii="Georgia" w:hAnsi="Georgia"/>
          <w:b/>
          <w:color w:val="231F20"/>
          <w:spacing w:val="17"/>
          <w:sz w:val="28"/>
        </w:rPr>
        <w:t> </w:t>
      </w:r>
      <w:r>
        <w:rPr>
          <w:rFonts w:ascii="Georgia" w:hAnsi="Georgia"/>
          <w:b/>
          <w:color w:val="231F20"/>
          <w:spacing w:val="-10"/>
          <w:sz w:val="28"/>
        </w:rPr>
        <w:t>детей</w:t>
      </w:r>
      <w:r>
        <w:rPr>
          <w:rFonts w:ascii="Georgia" w:hAnsi="Georgia"/>
          <w:b/>
          <w:color w:val="231F20"/>
          <w:spacing w:val="-8"/>
          <w:sz w:val="28"/>
        </w:rPr>
        <w:t> </w:t>
      </w:r>
      <w:r>
        <w:rPr>
          <w:rFonts w:ascii="Georgia" w:hAnsi="Georgia"/>
          <w:b/>
          <w:color w:val="231F20"/>
          <w:spacing w:val="-10"/>
          <w:sz w:val="28"/>
        </w:rPr>
        <w:t>–</w:t>
      </w:r>
      <w:r>
        <w:rPr>
          <w:rFonts w:ascii="Georgia" w:hAnsi="Georgia"/>
          <w:b/>
          <w:color w:val="231F20"/>
          <w:spacing w:val="-8"/>
          <w:sz w:val="28"/>
        </w:rPr>
        <w:t> </w:t>
      </w:r>
      <w:r>
        <w:rPr>
          <w:rFonts w:ascii="Georgia" w:hAnsi="Georgia"/>
          <w:b/>
          <w:color w:val="231F20"/>
          <w:spacing w:val="-10"/>
          <w:sz w:val="28"/>
        </w:rPr>
        <w:t>иностранных</w:t>
      </w:r>
      <w:r>
        <w:rPr>
          <w:rFonts w:ascii="Georgia" w:hAnsi="Georgia"/>
          <w:b/>
          <w:color w:val="231F20"/>
          <w:spacing w:val="-7"/>
          <w:sz w:val="28"/>
        </w:rPr>
        <w:t> </w:t>
      </w:r>
      <w:r>
        <w:rPr>
          <w:rFonts w:ascii="Georgia" w:hAnsi="Georgia"/>
          <w:b/>
          <w:color w:val="231F20"/>
          <w:spacing w:val="-10"/>
          <w:sz w:val="28"/>
        </w:rPr>
        <w:t>граждан</w:t>
      </w:r>
    </w:p>
    <w:p>
      <w:pPr>
        <w:spacing w:after="0" w:line="348" w:lineRule="auto"/>
        <w:jc w:val="center"/>
        <w:rPr>
          <w:rFonts w:ascii="Georgia" w:hAnsi="Georgia"/>
          <w:b/>
          <w:sz w:val="28"/>
        </w:rPr>
        <w:sectPr>
          <w:footerReference w:type="default" r:id="rId74"/>
          <w:pgSz w:w="8400" w:h="11910"/>
          <w:pgMar w:header="0" w:footer="0" w:top="1340" w:bottom="280" w:left="425" w:right="425"/>
        </w:sectPr>
      </w:pPr>
    </w:p>
    <w:p>
      <w:pPr>
        <w:numPr>
          <w:ilvl w:val="1"/>
          <w:numId w:val="43"/>
        </w:numPr>
        <w:tabs>
          <w:tab w:pos="1456" w:val="left" w:leader="none"/>
          <w:tab w:pos="2011" w:val="left" w:leader="none"/>
        </w:tabs>
        <w:spacing w:line="235" w:lineRule="auto" w:before="77"/>
        <w:ind w:left="2011" w:right="1103" w:hanging="905"/>
        <w:jc w:val="left"/>
        <w:rPr>
          <w:b/>
          <w:color w:val="231F20"/>
          <w:sz w:val="20"/>
        </w:rPr>
      </w:pPr>
      <w:bookmarkStart w:name="_bookmark36" w:id="38"/>
      <w:bookmarkEnd w:id="38"/>
      <w:r>
        <w:rPr/>
      </w:r>
      <w:r>
        <w:rPr>
          <w:b/>
          <w:color w:val="231F20"/>
          <w:sz w:val="20"/>
        </w:rPr>
        <w:t>Планирование</w:t>
      </w:r>
      <w:r>
        <w:rPr>
          <w:b/>
          <w:color w:val="231F20"/>
          <w:spacing w:val="-10"/>
          <w:sz w:val="20"/>
        </w:rPr>
        <w:t> </w:t>
      </w:r>
      <w:r>
        <w:rPr>
          <w:b/>
          <w:color w:val="231F20"/>
          <w:sz w:val="20"/>
        </w:rPr>
        <w:t>и</w:t>
      </w:r>
      <w:r>
        <w:rPr>
          <w:b/>
          <w:color w:val="231F20"/>
          <w:spacing w:val="-10"/>
          <w:sz w:val="20"/>
        </w:rPr>
        <w:t> </w:t>
      </w:r>
      <w:r>
        <w:rPr>
          <w:b/>
          <w:color w:val="231F20"/>
          <w:sz w:val="20"/>
        </w:rPr>
        <w:t>организация</w:t>
      </w:r>
      <w:r>
        <w:rPr>
          <w:b/>
          <w:color w:val="231F20"/>
          <w:spacing w:val="-10"/>
          <w:sz w:val="20"/>
        </w:rPr>
        <w:t> </w:t>
      </w:r>
      <w:r>
        <w:rPr>
          <w:b/>
          <w:color w:val="231F20"/>
          <w:sz w:val="20"/>
        </w:rPr>
        <w:t>индивидуальной</w:t>
      </w:r>
      <w:r>
        <w:rPr>
          <w:b/>
          <w:color w:val="231F20"/>
          <w:spacing w:val="-10"/>
          <w:sz w:val="20"/>
        </w:rPr>
        <w:t> </w:t>
      </w:r>
      <w:r>
        <w:rPr>
          <w:b/>
          <w:color w:val="231F20"/>
          <w:sz w:val="20"/>
        </w:rPr>
        <w:t>работы с детьми – иностранными гражданами</w:t>
      </w:r>
    </w:p>
    <w:p>
      <w:pPr>
        <w:spacing w:before="168"/>
        <w:ind w:left="6067" w:right="0" w:firstLine="0"/>
        <w:jc w:val="both"/>
        <w:rPr>
          <w:i/>
          <w:sz w:val="20"/>
        </w:rPr>
      </w:pPr>
      <w:r>
        <w:rPr>
          <w:i/>
          <w:color w:val="231F20"/>
          <w:sz w:val="20"/>
        </w:rPr>
        <w:t>М.Ю. </w:t>
      </w:r>
      <w:r>
        <w:rPr>
          <w:i/>
          <w:color w:val="231F20"/>
          <w:spacing w:val="-2"/>
          <w:sz w:val="20"/>
        </w:rPr>
        <w:t>Чибисова</w:t>
      </w:r>
    </w:p>
    <w:p>
      <w:pPr>
        <w:numPr>
          <w:ilvl w:val="2"/>
          <w:numId w:val="43"/>
        </w:numPr>
        <w:tabs>
          <w:tab w:pos="1101" w:val="left" w:leader="none"/>
        </w:tabs>
        <w:spacing w:before="109"/>
        <w:ind w:left="1101" w:right="0" w:hanging="500"/>
        <w:jc w:val="both"/>
        <w:rPr>
          <w:b/>
          <w:sz w:val="20"/>
        </w:rPr>
      </w:pPr>
      <w:r>
        <w:rPr>
          <w:b/>
          <w:color w:val="231F20"/>
          <w:sz w:val="20"/>
        </w:rPr>
        <w:t>Принятие</w:t>
      </w:r>
      <w:r>
        <w:rPr>
          <w:b/>
          <w:color w:val="231F20"/>
          <w:spacing w:val="-4"/>
          <w:sz w:val="20"/>
        </w:rPr>
        <w:t> </w:t>
      </w:r>
      <w:r>
        <w:rPr>
          <w:b/>
          <w:color w:val="231F20"/>
          <w:sz w:val="20"/>
        </w:rPr>
        <w:t>решения</w:t>
      </w:r>
      <w:r>
        <w:rPr>
          <w:b/>
          <w:color w:val="231F20"/>
          <w:spacing w:val="-3"/>
          <w:sz w:val="20"/>
        </w:rPr>
        <w:t> </w:t>
      </w:r>
      <w:r>
        <w:rPr>
          <w:b/>
          <w:color w:val="231F20"/>
          <w:sz w:val="20"/>
        </w:rPr>
        <w:t>о</w:t>
      </w:r>
      <w:r>
        <w:rPr>
          <w:b/>
          <w:color w:val="231F20"/>
          <w:spacing w:val="-3"/>
          <w:sz w:val="20"/>
        </w:rPr>
        <w:t> </w:t>
      </w:r>
      <w:r>
        <w:rPr>
          <w:b/>
          <w:color w:val="231F20"/>
          <w:sz w:val="20"/>
        </w:rPr>
        <w:t>целесообразности</w:t>
      </w:r>
      <w:r>
        <w:rPr>
          <w:b/>
          <w:color w:val="231F20"/>
          <w:spacing w:val="-4"/>
          <w:sz w:val="20"/>
        </w:rPr>
        <w:t> </w:t>
      </w:r>
      <w:r>
        <w:rPr>
          <w:b/>
          <w:color w:val="231F20"/>
          <w:sz w:val="20"/>
        </w:rPr>
        <w:t>индивидуальной</w:t>
      </w:r>
      <w:r>
        <w:rPr>
          <w:b/>
          <w:color w:val="231F20"/>
          <w:spacing w:val="-3"/>
          <w:sz w:val="20"/>
        </w:rPr>
        <w:t> </w:t>
      </w:r>
      <w:r>
        <w:rPr>
          <w:b/>
          <w:color w:val="231F20"/>
          <w:spacing w:val="-2"/>
          <w:sz w:val="20"/>
        </w:rPr>
        <w:t>работы</w:t>
      </w:r>
    </w:p>
    <w:p>
      <w:pPr>
        <w:pStyle w:val="BodyText"/>
        <w:spacing w:before="113"/>
      </w:pPr>
      <w:r>
        <w:rPr>
          <w:color w:val="231F20"/>
        </w:rPr>
        <w:t>Индивидуальная работа педагога-психолога образовательной организации с уча- щимся – несовершеннолетним иностранным гражданином может быть целесообраз- на при следующих условиях:</w:t>
      </w:r>
    </w:p>
    <w:p>
      <w:pPr>
        <w:pStyle w:val="ListParagraph"/>
        <w:numPr>
          <w:ilvl w:val="0"/>
          <w:numId w:val="44"/>
        </w:numPr>
        <w:tabs>
          <w:tab w:pos="425" w:val="left" w:leader="none"/>
        </w:tabs>
        <w:spacing w:line="237" w:lineRule="auto" w:before="0" w:after="0"/>
        <w:ind w:left="425" w:right="139" w:hanging="284"/>
        <w:jc w:val="both"/>
        <w:rPr>
          <w:sz w:val="20"/>
        </w:rPr>
      </w:pPr>
      <w:r>
        <w:rPr>
          <w:color w:val="231F20"/>
          <w:sz w:val="20"/>
        </w:rPr>
        <w:t>Уровень</w:t>
      </w:r>
      <w:r>
        <w:rPr>
          <w:color w:val="231F20"/>
          <w:spacing w:val="-13"/>
          <w:sz w:val="20"/>
        </w:rPr>
        <w:t> </w:t>
      </w:r>
      <w:r>
        <w:rPr>
          <w:color w:val="231F20"/>
          <w:sz w:val="20"/>
        </w:rPr>
        <w:t>владения</w:t>
      </w:r>
      <w:r>
        <w:rPr>
          <w:color w:val="231F20"/>
          <w:spacing w:val="-12"/>
          <w:sz w:val="20"/>
        </w:rPr>
        <w:t> </w:t>
      </w:r>
      <w:r>
        <w:rPr>
          <w:color w:val="231F20"/>
          <w:sz w:val="20"/>
        </w:rPr>
        <w:t>русским</w:t>
      </w:r>
      <w:r>
        <w:rPr>
          <w:color w:val="231F20"/>
          <w:spacing w:val="-13"/>
          <w:sz w:val="20"/>
        </w:rPr>
        <w:t> </w:t>
      </w:r>
      <w:r>
        <w:rPr>
          <w:color w:val="231F20"/>
          <w:sz w:val="20"/>
        </w:rPr>
        <w:t>языком</w:t>
      </w:r>
      <w:r>
        <w:rPr>
          <w:color w:val="231F20"/>
          <w:spacing w:val="-12"/>
          <w:sz w:val="20"/>
        </w:rPr>
        <w:t> </w:t>
      </w:r>
      <w:r>
        <w:rPr>
          <w:color w:val="231F20"/>
          <w:sz w:val="20"/>
        </w:rPr>
        <w:t>у</w:t>
      </w:r>
      <w:r>
        <w:rPr>
          <w:color w:val="231F20"/>
          <w:spacing w:val="-13"/>
          <w:sz w:val="20"/>
        </w:rPr>
        <w:t> </w:t>
      </w:r>
      <w:r>
        <w:rPr>
          <w:color w:val="231F20"/>
          <w:sz w:val="20"/>
        </w:rPr>
        <w:t>ребенка</w:t>
      </w:r>
      <w:r>
        <w:rPr>
          <w:color w:val="231F20"/>
          <w:spacing w:val="-12"/>
          <w:sz w:val="20"/>
        </w:rPr>
        <w:t> </w:t>
      </w:r>
      <w:r>
        <w:rPr>
          <w:color w:val="231F20"/>
          <w:sz w:val="20"/>
        </w:rPr>
        <w:t>достаточен</w:t>
      </w:r>
      <w:r>
        <w:rPr>
          <w:color w:val="231F20"/>
          <w:spacing w:val="-13"/>
          <w:sz w:val="20"/>
        </w:rPr>
        <w:t> </w:t>
      </w:r>
      <w:r>
        <w:rPr>
          <w:color w:val="231F20"/>
          <w:sz w:val="20"/>
        </w:rPr>
        <w:t>для</w:t>
      </w:r>
      <w:r>
        <w:rPr>
          <w:color w:val="231F20"/>
          <w:spacing w:val="-12"/>
          <w:sz w:val="20"/>
        </w:rPr>
        <w:t> </w:t>
      </w:r>
      <w:r>
        <w:rPr>
          <w:color w:val="231F20"/>
          <w:sz w:val="20"/>
        </w:rPr>
        <w:t>понимания</w:t>
      </w:r>
      <w:r>
        <w:rPr>
          <w:color w:val="231F20"/>
          <w:spacing w:val="-13"/>
          <w:sz w:val="20"/>
        </w:rPr>
        <w:t> </w:t>
      </w:r>
      <w:r>
        <w:rPr>
          <w:color w:val="231F20"/>
          <w:sz w:val="20"/>
        </w:rPr>
        <w:t>обращен- ной к нему речи психолога и для участия в предлагаемых активностях. При этом от</w:t>
      </w:r>
      <w:r>
        <w:rPr>
          <w:color w:val="231F20"/>
          <w:spacing w:val="-1"/>
          <w:sz w:val="20"/>
        </w:rPr>
        <w:t> </w:t>
      </w:r>
      <w:r>
        <w:rPr>
          <w:color w:val="231F20"/>
          <w:sz w:val="20"/>
        </w:rPr>
        <w:t>психолога</w:t>
      </w:r>
      <w:r>
        <w:rPr>
          <w:color w:val="231F20"/>
          <w:spacing w:val="-1"/>
          <w:sz w:val="20"/>
        </w:rPr>
        <w:t> </w:t>
      </w:r>
      <w:r>
        <w:rPr>
          <w:color w:val="231F20"/>
          <w:sz w:val="20"/>
        </w:rPr>
        <w:t>требуется</w:t>
      </w:r>
      <w:r>
        <w:rPr>
          <w:color w:val="231F20"/>
          <w:spacing w:val="-1"/>
          <w:sz w:val="20"/>
        </w:rPr>
        <w:t> </w:t>
      </w:r>
      <w:r>
        <w:rPr>
          <w:color w:val="231F20"/>
          <w:sz w:val="20"/>
        </w:rPr>
        <w:t>адаптировать</w:t>
      </w:r>
      <w:r>
        <w:rPr>
          <w:color w:val="231F20"/>
          <w:spacing w:val="-1"/>
          <w:sz w:val="20"/>
        </w:rPr>
        <w:t> </w:t>
      </w:r>
      <w:r>
        <w:rPr>
          <w:color w:val="231F20"/>
          <w:sz w:val="20"/>
        </w:rPr>
        <w:t>темп</w:t>
      </w:r>
      <w:r>
        <w:rPr>
          <w:color w:val="231F20"/>
          <w:spacing w:val="-1"/>
          <w:sz w:val="20"/>
        </w:rPr>
        <w:t> </w:t>
      </w:r>
      <w:r>
        <w:rPr>
          <w:color w:val="231F20"/>
          <w:sz w:val="20"/>
        </w:rPr>
        <w:t>речи</w:t>
      </w:r>
      <w:r>
        <w:rPr>
          <w:color w:val="231F20"/>
          <w:spacing w:val="-1"/>
          <w:sz w:val="20"/>
        </w:rPr>
        <w:t> </w:t>
      </w:r>
      <w:r>
        <w:rPr>
          <w:color w:val="231F20"/>
          <w:sz w:val="20"/>
        </w:rPr>
        <w:t>и</w:t>
      </w:r>
      <w:r>
        <w:rPr>
          <w:color w:val="231F20"/>
          <w:spacing w:val="-1"/>
          <w:sz w:val="20"/>
        </w:rPr>
        <w:t> </w:t>
      </w:r>
      <w:r>
        <w:rPr>
          <w:color w:val="231F20"/>
          <w:sz w:val="20"/>
        </w:rPr>
        <w:t>лексику,</w:t>
      </w:r>
      <w:r>
        <w:rPr>
          <w:color w:val="231F20"/>
          <w:spacing w:val="-1"/>
          <w:sz w:val="20"/>
        </w:rPr>
        <w:t> </w:t>
      </w:r>
      <w:r>
        <w:rPr>
          <w:color w:val="231F20"/>
          <w:sz w:val="20"/>
        </w:rPr>
        <w:t>а</w:t>
      </w:r>
      <w:r>
        <w:rPr>
          <w:color w:val="231F20"/>
          <w:spacing w:val="-1"/>
          <w:sz w:val="20"/>
        </w:rPr>
        <w:t> </w:t>
      </w:r>
      <w:r>
        <w:rPr>
          <w:color w:val="231F20"/>
          <w:sz w:val="20"/>
        </w:rPr>
        <w:t>также</w:t>
      </w:r>
      <w:r>
        <w:rPr>
          <w:color w:val="231F20"/>
          <w:spacing w:val="-1"/>
          <w:sz w:val="20"/>
        </w:rPr>
        <w:t> </w:t>
      </w:r>
      <w:r>
        <w:rPr>
          <w:color w:val="231F20"/>
          <w:sz w:val="20"/>
        </w:rPr>
        <w:t>подбирать</w:t>
      </w:r>
      <w:r>
        <w:rPr>
          <w:color w:val="231F20"/>
          <w:spacing w:val="-1"/>
          <w:sz w:val="20"/>
        </w:rPr>
        <w:t> </w:t>
      </w:r>
      <w:r>
        <w:rPr>
          <w:color w:val="231F20"/>
          <w:sz w:val="20"/>
        </w:rPr>
        <w:t>ак- тивности, не требующие высокой речевой компетентности (арт-терапевтические активности и пр.).</w:t>
      </w:r>
    </w:p>
    <w:p>
      <w:pPr>
        <w:pStyle w:val="BodyText"/>
        <w:ind w:left="425"/>
      </w:pPr>
      <w:r>
        <w:rPr>
          <w:color w:val="231F20"/>
        </w:rPr>
        <w:t>Если уровень владения русским языком у школьника недостаточен, однако специфика особых (дополнительных) потребностей ребенка предполагает инди- видуальную поддержку, следует рассмотреть иные формы работы, прежде всего включение ребенка в групповые активности, и начать индивидуальную работу, как</w:t>
      </w:r>
      <w:r>
        <w:rPr>
          <w:color w:val="231F20"/>
          <w:spacing w:val="-4"/>
        </w:rPr>
        <w:t> </w:t>
      </w:r>
      <w:r>
        <w:rPr>
          <w:color w:val="231F20"/>
        </w:rPr>
        <w:t>только</w:t>
      </w:r>
      <w:r>
        <w:rPr>
          <w:color w:val="231F20"/>
          <w:spacing w:val="-4"/>
        </w:rPr>
        <w:t> </w:t>
      </w:r>
      <w:r>
        <w:rPr>
          <w:color w:val="231F20"/>
        </w:rPr>
        <w:t>будет</w:t>
      </w:r>
      <w:r>
        <w:rPr>
          <w:color w:val="231F20"/>
          <w:spacing w:val="-4"/>
        </w:rPr>
        <w:t> </w:t>
      </w:r>
      <w:r>
        <w:rPr>
          <w:color w:val="231F20"/>
        </w:rPr>
        <w:t>достигнут</w:t>
      </w:r>
      <w:r>
        <w:rPr>
          <w:color w:val="231F20"/>
          <w:spacing w:val="-4"/>
        </w:rPr>
        <w:t> </w:t>
      </w:r>
      <w:r>
        <w:rPr>
          <w:color w:val="231F20"/>
        </w:rPr>
        <w:t>минимально</w:t>
      </w:r>
      <w:r>
        <w:rPr>
          <w:color w:val="231F20"/>
          <w:spacing w:val="-4"/>
        </w:rPr>
        <w:t> </w:t>
      </w:r>
      <w:r>
        <w:rPr>
          <w:color w:val="231F20"/>
        </w:rPr>
        <w:t>необходимый</w:t>
      </w:r>
      <w:r>
        <w:rPr>
          <w:color w:val="231F20"/>
          <w:spacing w:val="-5"/>
        </w:rPr>
        <w:t> </w:t>
      </w:r>
      <w:r>
        <w:rPr>
          <w:color w:val="231F20"/>
        </w:rPr>
        <w:t>уровень</w:t>
      </w:r>
      <w:r>
        <w:rPr>
          <w:color w:val="231F20"/>
          <w:spacing w:val="-5"/>
        </w:rPr>
        <w:t> </w:t>
      </w:r>
      <w:r>
        <w:rPr>
          <w:color w:val="231F20"/>
        </w:rPr>
        <w:t>владения</w:t>
      </w:r>
      <w:r>
        <w:rPr>
          <w:color w:val="231F20"/>
          <w:spacing w:val="-4"/>
        </w:rPr>
        <w:t> </w:t>
      </w:r>
      <w:r>
        <w:rPr>
          <w:color w:val="231F20"/>
        </w:rPr>
        <w:t>языком.</w:t>
      </w:r>
    </w:p>
    <w:p>
      <w:pPr>
        <w:pStyle w:val="ListParagraph"/>
        <w:numPr>
          <w:ilvl w:val="0"/>
          <w:numId w:val="44"/>
        </w:numPr>
        <w:tabs>
          <w:tab w:pos="425" w:val="left" w:leader="none"/>
        </w:tabs>
        <w:spacing w:line="237" w:lineRule="auto" w:before="0" w:after="0"/>
        <w:ind w:left="425" w:right="139" w:hanging="284"/>
        <w:jc w:val="both"/>
        <w:rPr>
          <w:sz w:val="20"/>
        </w:rPr>
      </w:pPr>
      <w:r>
        <w:rPr>
          <w:color w:val="231F20"/>
          <w:sz w:val="20"/>
        </w:rPr>
        <w:t>Ребенок</w:t>
      </w:r>
      <w:r>
        <w:rPr>
          <w:color w:val="231F20"/>
          <w:spacing w:val="-8"/>
          <w:sz w:val="20"/>
        </w:rPr>
        <w:t> </w:t>
      </w:r>
      <w:r>
        <w:rPr>
          <w:color w:val="231F20"/>
          <w:sz w:val="20"/>
        </w:rPr>
        <w:t>не</w:t>
      </w:r>
      <w:r>
        <w:rPr>
          <w:color w:val="231F20"/>
          <w:spacing w:val="-8"/>
          <w:sz w:val="20"/>
        </w:rPr>
        <w:t> </w:t>
      </w:r>
      <w:r>
        <w:rPr>
          <w:color w:val="231F20"/>
          <w:sz w:val="20"/>
        </w:rPr>
        <w:t>демонстрирует</w:t>
      </w:r>
      <w:r>
        <w:rPr>
          <w:color w:val="231F20"/>
          <w:spacing w:val="-8"/>
          <w:sz w:val="20"/>
        </w:rPr>
        <w:t> </w:t>
      </w:r>
      <w:r>
        <w:rPr>
          <w:color w:val="231F20"/>
          <w:sz w:val="20"/>
        </w:rPr>
        <w:t>признаков</w:t>
      </w:r>
      <w:r>
        <w:rPr>
          <w:color w:val="231F20"/>
          <w:spacing w:val="-8"/>
          <w:sz w:val="20"/>
        </w:rPr>
        <w:t> </w:t>
      </w:r>
      <w:r>
        <w:rPr>
          <w:color w:val="231F20"/>
          <w:sz w:val="20"/>
        </w:rPr>
        <w:t>возможных</w:t>
      </w:r>
      <w:r>
        <w:rPr>
          <w:color w:val="231F20"/>
          <w:spacing w:val="-8"/>
          <w:sz w:val="20"/>
        </w:rPr>
        <w:t> </w:t>
      </w:r>
      <w:r>
        <w:rPr>
          <w:color w:val="231F20"/>
          <w:sz w:val="20"/>
        </w:rPr>
        <w:t>серьезных</w:t>
      </w:r>
      <w:r>
        <w:rPr>
          <w:color w:val="231F20"/>
          <w:spacing w:val="-8"/>
          <w:sz w:val="20"/>
        </w:rPr>
        <w:t> </w:t>
      </w:r>
      <w:r>
        <w:rPr>
          <w:color w:val="231F20"/>
          <w:sz w:val="20"/>
        </w:rPr>
        <w:t>психологических</w:t>
      </w:r>
      <w:r>
        <w:rPr>
          <w:color w:val="231F20"/>
          <w:spacing w:val="-8"/>
          <w:sz w:val="20"/>
        </w:rPr>
        <w:t> </w:t>
      </w:r>
      <w:r>
        <w:rPr>
          <w:color w:val="231F20"/>
          <w:sz w:val="20"/>
        </w:rPr>
        <w:t>на- рушений, психотической симптоматики, интеллектуально сохранен. Однако при наличии</w:t>
      </w:r>
      <w:r>
        <w:rPr>
          <w:color w:val="231F20"/>
          <w:spacing w:val="-9"/>
          <w:sz w:val="20"/>
        </w:rPr>
        <w:t> </w:t>
      </w:r>
      <w:r>
        <w:rPr>
          <w:color w:val="231F20"/>
          <w:sz w:val="20"/>
        </w:rPr>
        <w:t>подобных</w:t>
      </w:r>
      <w:r>
        <w:rPr>
          <w:color w:val="231F20"/>
          <w:spacing w:val="-9"/>
          <w:sz w:val="20"/>
        </w:rPr>
        <w:t> </w:t>
      </w:r>
      <w:r>
        <w:rPr>
          <w:color w:val="231F20"/>
          <w:sz w:val="20"/>
        </w:rPr>
        <w:t>признаков</w:t>
      </w:r>
      <w:r>
        <w:rPr>
          <w:color w:val="231F20"/>
          <w:spacing w:val="-9"/>
          <w:sz w:val="20"/>
        </w:rPr>
        <w:t> </w:t>
      </w:r>
      <w:r>
        <w:rPr>
          <w:color w:val="231F20"/>
          <w:sz w:val="20"/>
        </w:rPr>
        <w:t>и/или</w:t>
      </w:r>
      <w:r>
        <w:rPr>
          <w:color w:val="231F20"/>
          <w:spacing w:val="-9"/>
          <w:sz w:val="20"/>
        </w:rPr>
        <w:t> </w:t>
      </w:r>
      <w:r>
        <w:rPr>
          <w:color w:val="231F20"/>
          <w:sz w:val="20"/>
        </w:rPr>
        <w:t>возникших</w:t>
      </w:r>
      <w:r>
        <w:rPr>
          <w:color w:val="231F20"/>
          <w:spacing w:val="-9"/>
          <w:sz w:val="20"/>
        </w:rPr>
        <w:t> </w:t>
      </w:r>
      <w:r>
        <w:rPr>
          <w:color w:val="231F20"/>
          <w:sz w:val="20"/>
        </w:rPr>
        <w:t>у</w:t>
      </w:r>
      <w:r>
        <w:rPr>
          <w:color w:val="231F20"/>
          <w:spacing w:val="-9"/>
          <w:sz w:val="20"/>
        </w:rPr>
        <w:t> </w:t>
      </w:r>
      <w:r>
        <w:rPr>
          <w:color w:val="231F20"/>
          <w:sz w:val="20"/>
        </w:rPr>
        <w:t>специалиста</w:t>
      </w:r>
      <w:r>
        <w:rPr>
          <w:color w:val="231F20"/>
          <w:spacing w:val="-9"/>
          <w:sz w:val="20"/>
        </w:rPr>
        <w:t> </w:t>
      </w:r>
      <w:r>
        <w:rPr>
          <w:color w:val="231F20"/>
          <w:sz w:val="20"/>
        </w:rPr>
        <w:t>сомнений</w:t>
      </w:r>
      <w:r>
        <w:rPr>
          <w:color w:val="231F20"/>
          <w:spacing w:val="-9"/>
          <w:sz w:val="20"/>
        </w:rPr>
        <w:t> </w:t>
      </w:r>
      <w:r>
        <w:rPr>
          <w:color w:val="231F20"/>
          <w:sz w:val="20"/>
        </w:rPr>
        <w:t>по</w:t>
      </w:r>
      <w:r>
        <w:rPr>
          <w:color w:val="231F20"/>
          <w:spacing w:val="-9"/>
          <w:sz w:val="20"/>
        </w:rPr>
        <w:t> </w:t>
      </w:r>
      <w:r>
        <w:rPr>
          <w:color w:val="231F20"/>
          <w:sz w:val="20"/>
        </w:rPr>
        <w:t>этому поводу следует направить учащегося на психолого-медико-педагогическую ко- </w:t>
      </w:r>
      <w:r>
        <w:rPr>
          <w:color w:val="231F20"/>
          <w:spacing w:val="-2"/>
          <w:sz w:val="20"/>
        </w:rPr>
        <w:t>миссию.</w:t>
      </w:r>
    </w:p>
    <w:p>
      <w:pPr>
        <w:pStyle w:val="ListParagraph"/>
        <w:numPr>
          <w:ilvl w:val="0"/>
          <w:numId w:val="44"/>
        </w:numPr>
        <w:tabs>
          <w:tab w:pos="425" w:val="left" w:leader="none"/>
        </w:tabs>
        <w:spacing w:line="240" w:lineRule="auto" w:before="0" w:after="0"/>
        <w:ind w:left="425" w:right="139" w:hanging="284"/>
        <w:jc w:val="both"/>
        <w:rPr>
          <w:sz w:val="20"/>
        </w:rPr>
      </w:pPr>
      <w:r>
        <w:rPr>
          <w:color w:val="231F20"/>
          <w:sz w:val="20"/>
        </w:rPr>
        <w:t>Несовершеннолетний</w:t>
      </w:r>
      <w:r>
        <w:rPr>
          <w:color w:val="231F20"/>
          <w:spacing w:val="-13"/>
          <w:sz w:val="20"/>
        </w:rPr>
        <w:t> </w:t>
      </w:r>
      <w:r>
        <w:rPr>
          <w:color w:val="231F20"/>
          <w:sz w:val="20"/>
        </w:rPr>
        <w:t>иностранный</w:t>
      </w:r>
      <w:r>
        <w:rPr>
          <w:color w:val="231F20"/>
          <w:spacing w:val="-12"/>
          <w:sz w:val="20"/>
        </w:rPr>
        <w:t> </w:t>
      </w:r>
      <w:r>
        <w:rPr>
          <w:color w:val="231F20"/>
          <w:sz w:val="20"/>
        </w:rPr>
        <w:t>гражданин</w:t>
      </w:r>
      <w:r>
        <w:rPr>
          <w:color w:val="231F20"/>
          <w:spacing w:val="-13"/>
          <w:sz w:val="20"/>
        </w:rPr>
        <w:t> </w:t>
      </w:r>
      <w:r>
        <w:rPr>
          <w:color w:val="231F20"/>
          <w:sz w:val="20"/>
        </w:rPr>
        <w:t>имеет</w:t>
      </w:r>
      <w:r>
        <w:rPr>
          <w:color w:val="231F20"/>
          <w:spacing w:val="-12"/>
          <w:sz w:val="20"/>
        </w:rPr>
        <w:t> </w:t>
      </w:r>
      <w:r>
        <w:rPr>
          <w:color w:val="231F20"/>
          <w:sz w:val="20"/>
        </w:rPr>
        <w:t>смешанный</w:t>
      </w:r>
      <w:r>
        <w:rPr>
          <w:color w:val="231F20"/>
          <w:spacing w:val="-13"/>
          <w:sz w:val="20"/>
        </w:rPr>
        <w:t> </w:t>
      </w:r>
      <w:r>
        <w:rPr>
          <w:color w:val="231F20"/>
          <w:sz w:val="20"/>
        </w:rPr>
        <w:t>или</w:t>
      </w:r>
      <w:r>
        <w:rPr>
          <w:color w:val="231F20"/>
          <w:spacing w:val="-12"/>
          <w:sz w:val="20"/>
        </w:rPr>
        <w:t> </w:t>
      </w:r>
      <w:r>
        <w:rPr>
          <w:color w:val="231F20"/>
          <w:sz w:val="20"/>
        </w:rPr>
        <w:t>дезадаптив- ный аккультурационный профиль (по итогам диагностики особых образователь- ных потребностей) и нуждается в психолого-педагогической поддержке в связи</w:t>
      </w:r>
      <w:r>
        <w:rPr>
          <w:color w:val="231F20"/>
          <w:spacing w:val="80"/>
          <w:sz w:val="20"/>
        </w:rPr>
        <w:t> </w:t>
      </w:r>
      <w:r>
        <w:rPr>
          <w:color w:val="231F20"/>
          <w:sz w:val="20"/>
        </w:rPr>
        <w:t>с</w:t>
      </w:r>
      <w:r>
        <w:rPr>
          <w:color w:val="231F20"/>
          <w:spacing w:val="37"/>
          <w:sz w:val="20"/>
        </w:rPr>
        <w:t> </w:t>
      </w:r>
      <w:r>
        <w:rPr>
          <w:color w:val="231F20"/>
          <w:sz w:val="20"/>
        </w:rPr>
        <w:t>особыми</w:t>
      </w:r>
      <w:r>
        <w:rPr>
          <w:color w:val="231F20"/>
          <w:spacing w:val="37"/>
          <w:sz w:val="20"/>
        </w:rPr>
        <w:t> </w:t>
      </w:r>
      <w:r>
        <w:rPr>
          <w:color w:val="231F20"/>
          <w:sz w:val="20"/>
        </w:rPr>
        <w:t>(дополнительными)</w:t>
      </w:r>
      <w:r>
        <w:rPr>
          <w:color w:val="231F20"/>
          <w:spacing w:val="37"/>
          <w:sz w:val="20"/>
        </w:rPr>
        <w:t> </w:t>
      </w:r>
      <w:r>
        <w:rPr>
          <w:color w:val="231F20"/>
          <w:sz w:val="20"/>
        </w:rPr>
        <w:t>образовательными</w:t>
      </w:r>
      <w:r>
        <w:rPr>
          <w:color w:val="231F20"/>
          <w:spacing w:val="37"/>
          <w:sz w:val="20"/>
        </w:rPr>
        <w:t> </w:t>
      </w:r>
      <w:r>
        <w:rPr>
          <w:color w:val="231F20"/>
          <w:sz w:val="20"/>
        </w:rPr>
        <w:t>потребностями,</w:t>
      </w:r>
      <w:r>
        <w:rPr>
          <w:color w:val="231F20"/>
          <w:spacing w:val="37"/>
          <w:sz w:val="20"/>
        </w:rPr>
        <w:t> </w:t>
      </w:r>
      <w:r>
        <w:rPr>
          <w:color w:val="231F20"/>
          <w:sz w:val="20"/>
        </w:rPr>
        <w:t>связанными с</w:t>
      </w:r>
      <w:r>
        <w:rPr>
          <w:color w:val="231F20"/>
          <w:spacing w:val="40"/>
          <w:sz w:val="20"/>
        </w:rPr>
        <w:t> </w:t>
      </w:r>
      <w:r>
        <w:rPr>
          <w:color w:val="231F20"/>
          <w:sz w:val="20"/>
        </w:rPr>
        <w:t>психологическим</w:t>
      </w:r>
      <w:r>
        <w:rPr>
          <w:color w:val="231F20"/>
          <w:spacing w:val="40"/>
          <w:sz w:val="20"/>
        </w:rPr>
        <w:t> </w:t>
      </w:r>
      <w:r>
        <w:rPr>
          <w:color w:val="231F20"/>
          <w:sz w:val="20"/>
        </w:rPr>
        <w:t>благополучием,</w:t>
      </w:r>
      <w:r>
        <w:rPr>
          <w:color w:val="231F20"/>
          <w:spacing w:val="40"/>
          <w:sz w:val="20"/>
        </w:rPr>
        <w:t> </w:t>
      </w:r>
      <w:r>
        <w:rPr>
          <w:color w:val="231F20"/>
          <w:sz w:val="20"/>
        </w:rPr>
        <w:t>сформированностью</w:t>
      </w:r>
      <w:r>
        <w:rPr>
          <w:color w:val="231F20"/>
          <w:spacing w:val="40"/>
          <w:sz w:val="20"/>
        </w:rPr>
        <w:t> </w:t>
      </w:r>
      <w:r>
        <w:rPr>
          <w:color w:val="231F20"/>
          <w:sz w:val="20"/>
        </w:rPr>
        <w:t>социальных</w:t>
      </w:r>
      <w:r>
        <w:rPr>
          <w:color w:val="231F20"/>
          <w:spacing w:val="40"/>
          <w:sz w:val="20"/>
        </w:rPr>
        <w:t> </w:t>
      </w:r>
      <w:r>
        <w:rPr>
          <w:color w:val="231F20"/>
          <w:sz w:val="20"/>
        </w:rPr>
        <w:t>навыков и культурной адаптацией, причем имеются выраженные трудности в одной или нескольких</w:t>
      </w:r>
      <w:r>
        <w:rPr>
          <w:color w:val="231F20"/>
          <w:spacing w:val="-3"/>
          <w:sz w:val="20"/>
        </w:rPr>
        <w:t> </w:t>
      </w:r>
      <w:r>
        <w:rPr>
          <w:color w:val="231F20"/>
          <w:sz w:val="20"/>
        </w:rPr>
        <w:t>группах</w:t>
      </w:r>
      <w:r>
        <w:rPr>
          <w:color w:val="231F20"/>
          <w:spacing w:val="-3"/>
          <w:sz w:val="20"/>
        </w:rPr>
        <w:t> </w:t>
      </w:r>
      <w:r>
        <w:rPr>
          <w:color w:val="231F20"/>
          <w:sz w:val="20"/>
        </w:rPr>
        <w:t>потребностей.</w:t>
      </w:r>
      <w:r>
        <w:rPr>
          <w:color w:val="231F20"/>
          <w:spacing w:val="-3"/>
          <w:sz w:val="20"/>
        </w:rPr>
        <w:t> </w:t>
      </w:r>
      <w:r>
        <w:rPr>
          <w:color w:val="231F20"/>
          <w:sz w:val="20"/>
        </w:rPr>
        <w:t>Выраженными</w:t>
      </w:r>
      <w:r>
        <w:rPr>
          <w:color w:val="231F20"/>
          <w:spacing w:val="-3"/>
          <w:sz w:val="20"/>
        </w:rPr>
        <w:t> </w:t>
      </w:r>
      <w:r>
        <w:rPr>
          <w:color w:val="231F20"/>
          <w:sz w:val="20"/>
        </w:rPr>
        <w:t>будем</w:t>
      </w:r>
      <w:r>
        <w:rPr>
          <w:color w:val="231F20"/>
          <w:spacing w:val="-3"/>
          <w:sz w:val="20"/>
        </w:rPr>
        <w:t> </w:t>
      </w:r>
      <w:r>
        <w:rPr>
          <w:color w:val="231F20"/>
          <w:sz w:val="20"/>
        </w:rPr>
        <w:t>называть</w:t>
      </w:r>
      <w:r>
        <w:rPr>
          <w:color w:val="231F20"/>
          <w:spacing w:val="-3"/>
          <w:sz w:val="20"/>
        </w:rPr>
        <w:t> </w:t>
      </w:r>
      <w:r>
        <w:rPr>
          <w:color w:val="231F20"/>
          <w:sz w:val="20"/>
        </w:rPr>
        <w:t>трудности,</w:t>
      </w:r>
      <w:r>
        <w:rPr>
          <w:color w:val="231F20"/>
          <w:spacing w:val="-3"/>
          <w:sz w:val="20"/>
        </w:rPr>
        <w:t> </w:t>
      </w:r>
      <w:r>
        <w:rPr>
          <w:color w:val="231F20"/>
          <w:sz w:val="20"/>
        </w:rPr>
        <w:t>су- щественно</w:t>
      </w:r>
      <w:r>
        <w:rPr>
          <w:color w:val="231F20"/>
          <w:spacing w:val="-12"/>
          <w:sz w:val="20"/>
        </w:rPr>
        <w:t> </w:t>
      </w:r>
      <w:r>
        <w:rPr>
          <w:color w:val="231F20"/>
          <w:sz w:val="20"/>
        </w:rPr>
        <w:t>осложняющие</w:t>
      </w:r>
      <w:r>
        <w:rPr>
          <w:color w:val="231F20"/>
          <w:spacing w:val="-12"/>
          <w:sz w:val="20"/>
        </w:rPr>
        <w:t> </w:t>
      </w:r>
      <w:r>
        <w:rPr>
          <w:color w:val="231F20"/>
          <w:sz w:val="20"/>
        </w:rPr>
        <w:t>возможность</w:t>
      </w:r>
      <w:r>
        <w:rPr>
          <w:color w:val="231F20"/>
          <w:spacing w:val="-12"/>
          <w:sz w:val="20"/>
        </w:rPr>
        <w:t> </w:t>
      </w:r>
      <w:r>
        <w:rPr>
          <w:color w:val="231F20"/>
          <w:sz w:val="20"/>
        </w:rPr>
        <w:t>овладения</w:t>
      </w:r>
      <w:r>
        <w:rPr>
          <w:color w:val="231F20"/>
          <w:spacing w:val="-12"/>
          <w:sz w:val="20"/>
        </w:rPr>
        <w:t> </w:t>
      </w:r>
      <w:r>
        <w:rPr>
          <w:color w:val="231F20"/>
          <w:sz w:val="20"/>
        </w:rPr>
        <w:t>образовательной</w:t>
      </w:r>
      <w:r>
        <w:rPr>
          <w:color w:val="231F20"/>
          <w:spacing w:val="-12"/>
          <w:sz w:val="20"/>
        </w:rPr>
        <w:t> </w:t>
      </w:r>
      <w:r>
        <w:rPr>
          <w:color w:val="231F20"/>
          <w:sz w:val="20"/>
        </w:rPr>
        <w:t>программой</w:t>
      </w:r>
      <w:r>
        <w:rPr>
          <w:color w:val="231F20"/>
          <w:spacing w:val="-12"/>
          <w:sz w:val="20"/>
        </w:rPr>
        <w:t> </w:t>
      </w:r>
      <w:r>
        <w:rPr>
          <w:color w:val="231F20"/>
          <w:sz w:val="20"/>
        </w:rPr>
        <w:t>и </w:t>
      </w:r>
      <w:r>
        <w:rPr>
          <w:color w:val="231F20"/>
          <w:spacing w:val="-2"/>
          <w:sz w:val="20"/>
        </w:rPr>
        <w:t>социализации в группе сверстников. Если трудности учащегося имеют умеренный </w:t>
      </w:r>
      <w:r>
        <w:rPr>
          <w:color w:val="231F20"/>
          <w:sz w:val="20"/>
        </w:rPr>
        <w:t>характер и достаточный уровень поддержки может быть обеспечен в ходе учеб- ной, внеучебной деятельности и дополнительного образования, индивидуальная работа</w:t>
      </w:r>
      <w:r>
        <w:rPr>
          <w:color w:val="231F20"/>
          <w:spacing w:val="-3"/>
          <w:sz w:val="20"/>
        </w:rPr>
        <w:t> </w:t>
      </w:r>
      <w:r>
        <w:rPr>
          <w:color w:val="231F20"/>
          <w:sz w:val="20"/>
        </w:rPr>
        <w:t>педагога-психолога</w:t>
      </w:r>
      <w:r>
        <w:rPr>
          <w:color w:val="231F20"/>
          <w:spacing w:val="-3"/>
          <w:sz w:val="20"/>
        </w:rPr>
        <w:t> </w:t>
      </w:r>
      <w:r>
        <w:rPr>
          <w:color w:val="231F20"/>
          <w:sz w:val="20"/>
        </w:rPr>
        <w:t>с</w:t>
      </w:r>
      <w:r>
        <w:rPr>
          <w:color w:val="231F20"/>
          <w:spacing w:val="-3"/>
          <w:sz w:val="20"/>
        </w:rPr>
        <w:t> </w:t>
      </w:r>
      <w:r>
        <w:rPr>
          <w:color w:val="231F20"/>
          <w:sz w:val="20"/>
        </w:rPr>
        <w:t>учащимся</w:t>
      </w:r>
      <w:r>
        <w:rPr>
          <w:color w:val="231F20"/>
          <w:spacing w:val="-3"/>
          <w:sz w:val="20"/>
        </w:rPr>
        <w:t> </w:t>
      </w:r>
      <w:r>
        <w:rPr>
          <w:color w:val="231F20"/>
          <w:sz w:val="20"/>
        </w:rPr>
        <w:t>нецелесообразна.</w:t>
      </w:r>
      <w:r>
        <w:rPr>
          <w:color w:val="231F20"/>
          <w:spacing w:val="-3"/>
          <w:sz w:val="20"/>
        </w:rPr>
        <w:t> </w:t>
      </w:r>
      <w:r>
        <w:rPr>
          <w:color w:val="231F20"/>
          <w:sz w:val="20"/>
        </w:rPr>
        <w:t>Обсуждение,</w:t>
      </w:r>
      <w:r>
        <w:rPr>
          <w:color w:val="231F20"/>
          <w:spacing w:val="-3"/>
          <w:sz w:val="20"/>
        </w:rPr>
        <w:t> </w:t>
      </w:r>
      <w:r>
        <w:rPr>
          <w:color w:val="231F20"/>
          <w:sz w:val="20"/>
        </w:rPr>
        <w:t>насколько степень</w:t>
      </w:r>
      <w:r>
        <w:rPr>
          <w:color w:val="231F20"/>
          <w:spacing w:val="-8"/>
          <w:sz w:val="20"/>
        </w:rPr>
        <w:t> </w:t>
      </w:r>
      <w:r>
        <w:rPr>
          <w:color w:val="231F20"/>
          <w:sz w:val="20"/>
        </w:rPr>
        <w:t>выраженности</w:t>
      </w:r>
      <w:r>
        <w:rPr>
          <w:color w:val="231F20"/>
          <w:spacing w:val="-8"/>
          <w:sz w:val="20"/>
        </w:rPr>
        <w:t> </w:t>
      </w:r>
      <w:r>
        <w:rPr>
          <w:color w:val="231F20"/>
          <w:sz w:val="20"/>
        </w:rPr>
        <w:t>трудностей</w:t>
      </w:r>
      <w:r>
        <w:rPr>
          <w:color w:val="231F20"/>
          <w:spacing w:val="-8"/>
          <w:sz w:val="20"/>
        </w:rPr>
        <w:t> </w:t>
      </w:r>
      <w:r>
        <w:rPr>
          <w:color w:val="231F20"/>
          <w:sz w:val="20"/>
        </w:rPr>
        <w:t>ребенка</w:t>
      </w:r>
      <w:r>
        <w:rPr>
          <w:color w:val="231F20"/>
          <w:spacing w:val="-8"/>
          <w:sz w:val="20"/>
        </w:rPr>
        <w:t> </w:t>
      </w:r>
      <w:r>
        <w:rPr>
          <w:color w:val="231F20"/>
          <w:sz w:val="20"/>
        </w:rPr>
        <w:t>требует</w:t>
      </w:r>
      <w:r>
        <w:rPr>
          <w:color w:val="231F20"/>
          <w:spacing w:val="-8"/>
          <w:sz w:val="20"/>
        </w:rPr>
        <w:t> </w:t>
      </w:r>
      <w:r>
        <w:rPr>
          <w:color w:val="231F20"/>
          <w:sz w:val="20"/>
        </w:rPr>
        <w:t>индивидуальной</w:t>
      </w:r>
      <w:r>
        <w:rPr>
          <w:color w:val="231F20"/>
          <w:spacing w:val="-8"/>
          <w:sz w:val="20"/>
        </w:rPr>
        <w:t> </w:t>
      </w:r>
      <w:r>
        <w:rPr>
          <w:color w:val="231F20"/>
          <w:sz w:val="20"/>
        </w:rPr>
        <w:t>работы,</w:t>
      </w:r>
      <w:r>
        <w:rPr>
          <w:color w:val="231F20"/>
          <w:spacing w:val="-8"/>
          <w:sz w:val="20"/>
        </w:rPr>
        <w:t> </w:t>
      </w:r>
      <w:r>
        <w:rPr>
          <w:color w:val="231F20"/>
          <w:sz w:val="20"/>
        </w:rPr>
        <w:t>про- исходит в рамках консилиума.</w:t>
      </w:r>
    </w:p>
    <w:p>
      <w:pPr>
        <w:pStyle w:val="BodyText"/>
        <w:ind w:left="425"/>
      </w:pPr>
      <w:r>
        <w:rPr>
          <w:color w:val="231F20"/>
        </w:rPr>
        <w:t>Если учащийся имеет интеграционный аккультурационный профиль и его особые (дополнительные) образовательные потребности преимущественно свя- заны с недостаточным уровнем владения русским языком или недостаточной предметной подготовкой, тогда как в области психологического благополучия, сформированности социальных навыков и культурной адаптации существенных затруднений</w:t>
      </w:r>
      <w:r>
        <w:rPr>
          <w:color w:val="231F20"/>
          <w:spacing w:val="-11"/>
        </w:rPr>
        <w:t> </w:t>
      </w:r>
      <w:r>
        <w:rPr>
          <w:color w:val="231F20"/>
        </w:rPr>
        <w:t>не</w:t>
      </w:r>
      <w:r>
        <w:rPr>
          <w:color w:val="231F20"/>
          <w:spacing w:val="-11"/>
        </w:rPr>
        <w:t> </w:t>
      </w:r>
      <w:r>
        <w:rPr>
          <w:color w:val="231F20"/>
        </w:rPr>
        <w:t>наблюдается,</w:t>
      </w:r>
      <w:r>
        <w:rPr>
          <w:color w:val="231F20"/>
          <w:spacing w:val="-11"/>
        </w:rPr>
        <w:t> </w:t>
      </w:r>
      <w:r>
        <w:rPr>
          <w:color w:val="231F20"/>
        </w:rPr>
        <w:t>также</w:t>
      </w:r>
      <w:r>
        <w:rPr>
          <w:color w:val="231F20"/>
          <w:spacing w:val="-11"/>
        </w:rPr>
        <w:t> </w:t>
      </w:r>
      <w:r>
        <w:rPr>
          <w:color w:val="231F20"/>
        </w:rPr>
        <w:t>нецелесообразно</w:t>
      </w:r>
      <w:r>
        <w:rPr>
          <w:color w:val="231F20"/>
          <w:spacing w:val="-11"/>
        </w:rPr>
        <w:t> </w:t>
      </w:r>
      <w:r>
        <w:rPr>
          <w:color w:val="231F20"/>
        </w:rPr>
        <w:t>проводить</w:t>
      </w:r>
      <w:r>
        <w:rPr>
          <w:color w:val="231F20"/>
          <w:spacing w:val="-11"/>
        </w:rPr>
        <w:t> </w:t>
      </w:r>
      <w:r>
        <w:rPr>
          <w:color w:val="231F20"/>
        </w:rPr>
        <w:t>индивидуальную коррекционную работу.</w:t>
      </w:r>
    </w:p>
    <w:p>
      <w:pPr>
        <w:pStyle w:val="BodyText"/>
        <w:spacing w:after="0"/>
        <w:sectPr>
          <w:footerReference w:type="default" r:id="rId75"/>
          <w:pgSz w:w="8400" w:h="11910"/>
          <w:pgMar w:header="0" w:footer="528" w:top="720" w:bottom="720" w:left="425" w:right="425"/>
          <w:pgNumType w:start="19"/>
        </w:sectPr>
      </w:pPr>
    </w:p>
    <w:p>
      <w:pPr>
        <w:spacing w:before="80"/>
        <w:ind w:left="141" w:right="139" w:firstLine="0"/>
        <w:jc w:val="right"/>
        <w:rPr>
          <w:rFonts w:ascii="Georgia" w:hAnsi="Georgia"/>
          <w:sz w:val="18"/>
        </w:rPr>
      </w:pPr>
      <w:bookmarkStart w:name="_bookmark37" w:id="39"/>
      <w:bookmarkEnd w:id="39"/>
      <w:r>
        <w:rPr/>
      </w:r>
      <w:r>
        <w:rPr>
          <w:rFonts w:ascii="Georgia" w:hAnsi="Georgia"/>
          <w:color w:val="231F20"/>
          <w:spacing w:val="-2"/>
          <w:sz w:val="18"/>
        </w:rPr>
        <w:t>Раздел</w:t>
      </w:r>
      <w:r>
        <w:rPr>
          <w:rFonts w:ascii="Georgia" w:hAnsi="Georgia"/>
          <w:color w:val="231F20"/>
          <w:spacing w:val="-5"/>
          <w:sz w:val="18"/>
        </w:rPr>
        <w:t> 1.</w:t>
      </w:r>
    </w:p>
    <w:p>
      <w:pPr>
        <w:pStyle w:val="BodyText"/>
        <w:spacing w:line="235" w:lineRule="auto" w:before="116"/>
        <w:ind w:left="425"/>
      </w:pPr>
      <w:r>
        <w:rPr>
          <w:color w:val="231F20"/>
        </w:rPr>
        <w:t>Вместе</w:t>
      </w:r>
      <w:r>
        <w:rPr>
          <w:color w:val="231F20"/>
          <w:spacing w:val="-7"/>
        </w:rPr>
        <w:t> </w:t>
      </w:r>
      <w:r>
        <w:rPr>
          <w:color w:val="231F20"/>
        </w:rPr>
        <w:t>с</w:t>
      </w:r>
      <w:r>
        <w:rPr>
          <w:color w:val="231F20"/>
          <w:spacing w:val="-6"/>
        </w:rPr>
        <w:t> </w:t>
      </w:r>
      <w:r>
        <w:rPr>
          <w:color w:val="231F20"/>
        </w:rPr>
        <w:t>тем</w:t>
      </w:r>
      <w:r>
        <w:rPr>
          <w:color w:val="231F20"/>
          <w:spacing w:val="-7"/>
        </w:rPr>
        <w:t> </w:t>
      </w:r>
      <w:r>
        <w:rPr>
          <w:color w:val="231F20"/>
        </w:rPr>
        <w:t>по</w:t>
      </w:r>
      <w:r>
        <w:rPr>
          <w:color w:val="231F20"/>
          <w:spacing w:val="-6"/>
        </w:rPr>
        <w:t> </w:t>
      </w:r>
      <w:r>
        <w:rPr>
          <w:color w:val="231F20"/>
        </w:rPr>
        <w:t>запросу</w:t>
      </w:r>
      <w:r>
        <w:rPr>
          <w:color w:val="231F20"/>
          <w:spacing w:val="-6"/>
        </w:rPr>
        <w:t> </w:t>
      </w:r>
      <w:r>
        <w:rPr>
          <w:color w:val="231F20"/>
        </w:rPr>
        <w:t>родителей</w:t>
      </w:r>
      <w:r>
        <w:rPr>
          <w:color w:val="231F20"/>
          <w:spacing w:val="-7"/>
        </w:rPr>
        <w:t> </w:t>
      </w:r>
      <w:r>
        <w:rPr>
          <w:color w:val="231F20"/>
        </w:rPr>
        <w:t>или</w:t>
      </w:r>
      <w:r>
        <w:rPr>
          <w:color w:val="231F20"/>
          <w:spacing w:val="-6"/>
        </w:rPr>
        <w:t> </w:t>
      </w:r>
      <w:r>
        <w:rPr>
          <w:color w:val="231F20"/>
        </w:rPr>
        <w:t>законных</w:t>
      </w:r>
      <w:r>
        <w:rPr>
          <w:color w:val="231F20"/>
          <w:spacing w:val="-6"/>
        </w:rPr>
        <w:t> </w:t>
      </w:r>
      <w:r>
        <w:rPr>
          <w:color w:val="231F20"/>
        </w:rPr>
        <w:t>представителей</w:t>
      </w:r>
      <w:r>
        <w:rPr>
          <w:color w:val="231F20"/>
          <w:spacing w:val="-7"/>
        </w:rPr>
        <w:t> </w:t>
      </w:r>
      <w:r>
        <w:rPr>
          <w:color w:val="231F20"/>
        </w:rPr>
        <w:t>учащегося</w:t>
      </w:r>
      <w:r>
        <w:rPr>
          <w:color w:val="231F20"/>
          <w:spacing w:val="-7"/>
        </w:rPr>
        <w:t> </w:t>
      </w:r>
      <w:r>
        <w:rPr>
          <w:color w:val="231F20"/>
        </w:rPr>
        <w:t>и при наличии соответствующих кадровых и временных ресурсов возможна орга- низация индивидуальной коррекционной работы с учащимися, имеющими инте- грационный аккультурационный профиль.</w:t>
      </w:r>
    </w:p>
    <w:p>
      <w:pPr>
        <w:pStyle w:val="ListParagraph"/>
        <w:numPr>
          <w:ilvl w:val="0"/>
          <w:numId w:val="44"/>
        </w:numPr>
        <w:tabs>
          <w:tab w:pos="425" w:val="left" w:leader="none"/>
        </w:tabs>
        <w:spacing w:line="235" w:lineRule="auto" w:before="2" w:after="0"/>
        <w:ind w:left="425" w:right="139" w:hanging="284"/>
        <w:jc w:val="both"/>
        <w:rPr>
          <w:sz w:val="20"/>
        </w:rPr>
      </w:pPr>
      <w:r>
        <w:rPr>
          <w:color w:val="231F20"/>
          <w:sz w:val="20"/>
        </w:rPr>
        <w:t>Родители</w:t>
      </w:r>
      <w:r>
        <w:rPr>
          <w:color w:val="231F20"/>
          <w:spacing w:val="-9"/>
          <w:sz w:val="20"/>
        </w:rPr>
        <w:t> </w:t>
      </w:r>
      <w:r>
        <w:rPr>
          <w:color w:val="231F20"/>
          <w:sz w:val="20"/>
        </w:rPr>
        <w:t>или</w:t>
      </w:r>
      <w:r>
        <w:rPr>
          <w:color w:val="231F20"/>
          <w:spacing w:val="-9"/>
          <w:sz w:val="20"/>
        </w:rPr>
        <w:t> </w:t>
      </w:r>
      <w:r>
        <w:rPr>
          <w:color w:val="231F20"/>
          <w:sz w:val="20"/>
        </w:rPr>
        <w:t>законные</w:t>
      </w:r>
      <w:r>
        <w:rPr>
          <w:color w:val="231F20"/>
          <w:spacing w:val="-9"/>
          <w:sz w:val="20"/>
        </w:rPr>
        <w:t> </w:t>
      </w:r>
      <w:r>
        <w:rPr>
          <w:color w:val="231F20"/>
          <w:sz w:val="20"/>
        </w:rPr>
        <w:t>представители</w:t>
      </w:r>
      <w:r>
        <w:rPr>
          <w:color w:val="231F20"/>
          <w:spacing w:val="-9"/>
          <w:sz w:val="20"/>
        </w:rPr>
        <w:t> </w:t>
      </w:r>
      <w:r>
        <w:rPr>
          <w:color w:val="231F20"/>
          <w:sz w:val="20"/>
        </w:rPr>
        <w:t>несовершеннолетнего</w:t>
      </w:r>
      <w:r>
        <w:rPr>
          <w:color w:val="231F20"/>
          <w:spacing w:val="-9"/>
          <w:sz w:val="20"/>
        </w:rPr>
        <w:t> </w:t>
      </w:r>
      <w:r>
        <w:rPr>
          <w:color w:val="231F20"/>
          <w:sz w:val="20"/>
        </w:rPr>
        <w:t>иностранного</w:t>
      </w:r>
      <w:r>
        <w:rPr>
          <w:color w:val="231F20"/>
          <w:spacing w:val="-9"/>
          <w:sz w:val="20"/>
        </w:rPr>
        <w:t> </w:t>
      </w:r>
      <w:r>
        <w:rPr>
          <w:color w:val="231F20"/>
          <w:sz w:val="20"/>
        </w:rPr>
        <w:t>граж- данина выразили согласие, что с ним будет вестись психологическая работа. Для этого</w:t>
      </w:r>
      <w:r>
        <w:rPr>
          <w:color w:val="231F20"/>
          <w:spacing w:val="-11"/>
          <w:sz w:val="20"/>
        </w:rPr>
        <w:t> </w:t>
      </w:r>
      <w:r>
        <w:rPr>
          <w:color w:val="231F20"/>
          <w:sz w:val="20"/>
        </w:rPr>
        <w:t>они</w:t>
      </w:r>
      <w:r>
        <w:rPr>
          <w:color w:val="231F20"/>
          <w:spacing w:val="-11"/>
          <w:sz w:val="20"/>
        </w:rPr>
        <w:t> </w:t>
      </w:r>
      <w:r>
        <w:rPr>
          <w:color w:val="231F20"/>
          <w:sz w:val="20"/>
        </w:rPr>
        <w:t>должны</w:t>
      </w:r>
      <w:r>
        <w:rPr>
          <w:color w:val="231F20"/>
          <w:spacing w:val="-11"/>
          <w:sz w:val="20"/>
        </w:rPr>
        <w:t> </w:t>
      </w:r>
      <w:r>
        <w:rPr>
          <w:color w:val="231F20"/>
          <w:sz w:val="20"/>
        </w:rPr>
        <w:t>подписать</w:t>
      </w:r>
      <w:r>
        <w:rPr>
          <w:color w:val="231F20"/>
          <w:spacing w:val="-11"/>
          <w:sz w:val="20"/>
        </w:rPr>
        <w:t> </w:t>
      </w:r>
      <w:r>
        <w:rPr>
          <w:color w:val="231F20"/>
          <w:sz w:val="20"/>
        </w:rPr>
        <w:t>принятую</w:t>
      </w:r>
      <w:r>
        <w:rPr>
          <w:color w:val="231F20"/>
          <w:spacing w:val="-11"/>
          <w:sz w:val="20"/>
        </w:rPr>
        <w:t> </w:t>
      </w:r>
      <w:r>
        <w:rPr>
          <w:color w:val="231F20"/>
          <w:sz w:val="20"/>
        </w:rPr>
        <w:t>в</w:t>
      </w:r>
      <w:r>
        <w:rPr>
          <w:color w:val="231F20"/>
          <w:spacing w:val="-11"/>
          <w:sz w:val="20"/>
        </w:rPr>
        <w:t> </w:t>
      </w:r>
      <w:r>
        <w:rPr>
          <w:color w:val="231F20"/>
          <w:sz w:val="20"/>
        </w:rPr>
        <w:t>образовательной</w:t>
      </w:r>
      <w:r>
        <w:rPr>
          <w:color w:val="231F20"/>
          <w:spacing w:val="-11"/>
          <w:sz w:val="20"/>
        </w:rPr>
        <w:t> </w:t>
      </w:r>
      <w:r>
        <w:rPr>
          <w:color w:val="231F20"/>
          <w:sz w:val="20"/>
        </w:rPr>
        <w:t>организации</w:t>
      </w:r>
      <w:r>
        <w:rPr>
          <w:color w:val="231F20"/>
          <w:spacing w:val="-11"/>
          <w:sz w:val="20"/>
        </w:rPr>
        <w:t> </w:t>
      </w:r>
      <w:r>
        <w:rPr>
          <w:color w:val="231F20"/>
          <w:sz w:val="20"/>
        </w:rPr>
        <w:t>форму</w:t>
      </w:r>
      <w:r>
        <w:rPr>
          <w:color w:val="231F20"/>
          <w:spacing w:val="-11"/>
          <w:sz w:val="20"/>
        </w:rPr>
        <w:t> </w:t>
      </w:r>
      <w:r>
        <w:rPr>
          <w:color w:val="231F20"/>
          <w:sz w:val="20"/>
        </w:rPr>
        <w:t>со- гласия на участие ребенка в различных видах работы психолога.</w:t>
      </w:r>
    </w:p>
    <w:p>
      <w:pPr>
        <w:pStyle w:val="ListParagraph"/>
        <w:numPr>
          <w:ilvl w:val="0"/>
          <w:numId w:val="44"/>
        </w:numPr>
        <w:tabs>
          <w:tab w:pos="425" w:val="left" w:leader="none"/>
        </w:tabs>
        <w:spacing w:line="235" w:lineRule="auto" w:before="3" w:after="0"/>
        <w:ind w:left="425" w:right="139" w:hanging="284"/>
        <w:jc w:val="both"/>
        <w:rPr>
          <w:sz w:val="20"/>
        </w:rPr>
      </w:pPr>
      <w:r>
        <w:rPr>
          <w:color w:val="231F20"/>
          <w:sz w:val="20"/>
        </w:rPr>
        <w:t>Организационная и кадровая обеспеченность данной работы. Индивидуальная коррекционная</w:t>
      </w:r>
      <w:r>
        <w:rPr>
          <w:color w:val="231F20"/>
          <w:spacing w:val="-4"/>
          <w:sz w:val="20"/>
        </w:rPr>
        <w:t> </w:t>
      </w:r>
      <w:r>
        <w:rPr>
          <w:color w:val="231F20"/>
          <w:sz w:val="20"/>
        </w:rPr>
        <w:t>работа</w:t>
      </w:r>
      <w:r>
        <w:rPr>
          <w:color w:val="231F20"/>
          <w:spacing w:val="-4"/>
          <w:sz w:val="20"/>
        </w:rPr>
        <w:t> </w:t>
      </w:r>
      <w:r>
        <w:rPr>
          <w:color w:val="231F20"/>
          <w:sz w:val="20"/>
        </w:rPr>
        <w:t>с</w:t>
      </w:r>
      <w:r>
        <w:rPr>
          <w:color w:val="231F20"/>
          <w:spacing w:val="-4"/>
          <w:sz w:val="20"/>
        </w:rPr>
        <w:t> </w:t>
      </w:r>
      <w:r>
        <w:rPr>
          <w:color w:val="231F20"/>
          <w:sz w:val="20"/>
        </w:rPr>
        <w:t>ребенком-мигрантом</w:t>
      </w:r>
      <w:r>
        <w:rPr>
          <w:color w:val="231F20"/>
          <w:spacing w:val="-4"/>
          <w:sz w:val="20"/>
        </w:rPr>
        <w:t> </w:t>
      </w:r>
      <w:r>
        <w:rPr>
          <w:color w:val="231F20"/>
          <w:sz w:val="20"/>
        </w:rPr>
        <w:t>возможна</w:t>
      </w:r>
      <w:r>
        <w:rPr>
          <w:color w:val="231F20"/>
          <w:spacing w:val="-4"/>
          <w:sz w:val="20"/>
        </w:rPr>
        <w:t> </w:t>
      </w:r>
      <w:r>
        <w:rPr>
          <w:color w:val="231F20"/>
          <w:sz w:val="20"/>
        </w:rPr>
        <w:t>только</w:t>
      </w:r>
      <w:r>
        <w:rPr>
          <w:color w:val="231F20"/>
          <w:spacing w:val="-4"/>
          <w:sz w:val="20"/>
        </w:rPr>
        <w:t> </w:t>
      </w:r>
      <w:r>
        <w:rPr>
          <w:color w:val="231F20"/>
          <w:sz w:val="20"/>
        </w:rPr>
        <w:t>в</w:t>
      </w:r>
      <w:r>
        <w:rPr>
          <w:color w:val="231F20"/>
          <w:spacing w:val="-4"/>
          <w:sz w:val="20"/>
        </w:rPr>
        <w:t> </w:t>
      </w:r>
      <w:r>
        <w:rPr>
          <w:color w:val="231F20"/>
          <w:sz w:val="20"/>
        </w:rPr>
        <w:t>том</w:t>
      </w:r>
      <w:r>
        <w:rPr>
          <w:color w:val="231F20"/>
          <w:spacing w:val="-4"/>
          <w:sz w:val="20"/>
        </w:rPr>
        <w:t> </w:t>
      </w:r>
      <w:r>
        <w:rPr>
          <w:color w:val="231F20"/>
          <w:sz w:val="20"/>
        </w:rPr>
        <w:t>случае,</w:t>
      </w:r>
      <w:r>
        <w:rPr>
          <w:color w:val="231F20"/>
          <w:spacing w:val="-4"/>
          <w:sz w:val="20"/>
        </w:rPr>
        <w:t> </w:t>
      </w:r>
      <w:r>
        <w:rPr>
          <w:color w:val="231F20"/>
          <w:sz w:val="20"/>
        </w:rPr>
        <w:t>ког- да в образовательной организации выделено специальное помещение и есть не- обходимые материалы, а также имеется специалист, владеющий необходимыми компетенциями. Также следует учитывать количество учащихся, приходящихся на одного педагога-психолога, и наличие в его плане работы других задач и ак- тивностей. В ряде случаев может потребоваться совместная с администрацией образовательной организации приоритизация задач, решением которых будет заниматься педагог-психолог. По итогам этого обсуждения может быть принято решение о включении индивидуальных коррекционных занятий с учащимися с миграционным опытом в план работы педагога-психолога или же направление учащегося в психолого-медико-социальный центр или аналогичные структуры.</w:t>
      </w:r>
    </w:p>
    <w:p>
      <w:pPr>
        <w:pStyle w:val="BodyText"/>
        <w:spacing w:before="3"/>
        <w:ind w:left="0" w:right="0" w:firstLine="0"/>
        <w:jc w:val="left"/>
      </w:pPr>
    </w:p>
    <w:p>
      <w:pPr>
        <w:numPr>
          <w:ilvl w:val="2"/>
          <w:numId w:val="43"/>
        </w:numPr>
        <w:tabs>
          <w:tab w:pos="1564" w:val="left" w:leader="none"/>
          <w:tab w:pos="1742" w:val="left" w:leader="none"/>
        </w:tabs>
        <w:spacing w:line="235" w:lineRule="auto" w:before="0"/>
        <w:ind w:left="1564" w:right="1240" w:hanging="322"/>
        <w:jc w:val="left"/>
        <w:rPr>
          <w:b/>
          <w:sz w:val="20"/>
        </w:rPr>
      </w:pPr>
      <w:r>
        <w:rPr>
          <w:b/>
          <w:color w:val="231F20"/>
          <w:sz w:val="20"/>
        </w:rPr>
        <w:t>Консилиум</w:t>
      </w:r>
      <w:r>
        <w:rPr>
          <w:b/>
          <w:color w:val="231F20"/>
          <w:spacing w:val="-12"/>
          <w:sz w:val="20"/>
        </w:rPr>
        <w:t> </w:t>
      </w:r>
      <w:r>
        <w:rPr>
          <w:b/>
          <w:color w:val="231F20"/>
          <w:sz w:val="20"/>
        </w:rPr>
        <w:t>и</w:t>
      </w:r>
      <w:r>
        <w:rPr>
          <w:b/>
          <w:color w:val="231F20"/>
          <w:spacing w:val="-12"/>
          <w:sz w:val="20"/>
        </w:rPr>
        <w:t> </w:t>
      </w:r>
      <w:r>
        <w:rPr>
          <w:b/>
          <w:color w:val="231F20"/>
          <w:sz w:val="20"/>
        </w:rPr>
        <w:t>ПМПК</w:t>
      </w:r>
      <w:r>
        <w:rPr>
          <w:b/>
          <w:color w:val="231F20"/>
          <w:spacing w:val="-12"/>
          <w:sz w:val="20"/>
        </w:rPr>
        <w:t> </w:t>
      </w:r>
      <w:r>
        <w:rPr>
          <w:b/>
          <w:color w:val="231F20"/>
          <w:sz w:val="20"/>
        </w:rPr>
        <w:t>как</w:t>
      </w:r>
      <w:r>
        <w:rPr>
          <w:b/>
          <w:color w:val="231F20"/>
          <w:spacing w:val="-12"/>
          <w:sz w:val="20"/>
        </w:rPr>
        <w:t> </w:t>
      </w:r>
      <w:r>
        <w:rPr>
          <w:b/>
          <w:color w:val="231F20"/>
          <w:sz w:val="20"/>
        </w:rPr>
        <w:t>механизмы</w:t>
      </w:r>
      <w:r>
        <w:rPr>
          <w:b/>
          <w:color w:val="231F20"/>
          <w:spacing w:val="-12"/>
          <w:sz w:val="20"/>
        </w:rPr>
        <w:t> </w:t>
      </w:r>
      <w:r>
        <w:rPr>
          <w:b/>
          <w:color w:val="231F20"/>
          <w:sz w:val="20"/>
        </w:rPr>
        <w:t>направления учащегося-мигранта на индивидуальную работу</w:t>
      </w:r>
    </w:p>
    <w:p>
      <w:pPr>
        <w:pStyle w:val="BodyText"/>
        <w:spacing w:line="235" w:lineRule="auto" w:before="115"/>
      </w:pPr>
      <w:r>
        <w:rPr/>
        <w:t>Основным механизмом выработки и реализации индивидуальной стратегии со- провождения</w:t>
      </w:r>
      <w:r>
        <w:rPr>
          <w:spacing w:val="-10"/>
        </w:rPr>
        <w:t> </w:t>
      </w:r>
      <w:r>
        <w:rPr/>
        <w:t>детей</w:t>
      </w:r>
      <w:r>
        <w:rPr>
          <w:spacing w:val="-10"/>
        </w:rPr>
        <w:t> </w:t>
      </w:r>
      <w:r>
        <w:rPr/>
        <w:t>–</w:t>
      </w:r>
      <w:r>
        <w:rPr>
          <w:spacing w:val="-10"/>
        </w:rPr>
        <w:t> </w:t>
      </w:r>
      <w:r>
        <w:rPr/>
        <w:t>иностранных</w:t>
      </w:r>
      <w:r>
        <w:rPr>
          <w:spacing w:val="-9"/>
        </w:rPr>
        <w:t> </w:t>
      </w:r>
      <w:r>
        <w:rPr/>
        <w:t>граждан</w:t>
      </w:r>
      <w:r>
        <w:rPr>
          <w:spacing w:val="-10"/>
        </w:rPr>
        <w:t> </w:t>
      </w:r>
      <w:r>
        <w:rPr/>
        <w:t>является</w:t>
      </w:r>
      <w:r>
        <w:rPr>
          <w:spacing w:val="-10"/>
        </w:rPr>
        <w:t> </w:t>
      </w:r>
      <w:r>
        <w:rPr/>
        <w:t>психолого-педагогический</w:t>
      </w:r>
      <w:r>
        <w:rPr>
          <w:spacing w:val="-10"/>
        </w:rPr>
        <w:t> </w:t>
      </w:r>
      <w:r>
        <w:rPr/>
        <w:t>кон- силиум образовательной организации (далее – консилиум), одна из задач которого состоит в выявлении трудностей в освоении образовательных программ, особенно- стей</w:t>
      </w:r>
      <w:r>
        <w:rPr>
          <w:spacing w:val="-13"/>
        </w:rPr>
        <w:t> </w:t>
      </w:r>
      <w:r>
        <w:rPr/>
        <w:t>в</w:t>
      </w:r>
      <w:r>
        <w:rPr>
          <w:spacing w:val="-12"/>
        </w:rPr>
        <w:t> </w:t>
      </w:r>
      <w:r>
        <w:rPr/>
        <w:t>развитии,</w:t>
      </w:r>
      <w:r>
        <w:rPr>
          <w:spacing w:val="-13"/>
        </w:rPr>
        <w:t> </w:t>
      </w:r>
      <w:r>
        <w:rPr/>
        <w:t>социальной</w:t>
      </w:r>
      <w:r>
        <w:rPr>
          <w:spacing w:val="-12"/>
        </w:rPr>
        <w:t> </w:t>
      </w:r>
      <w:r>
        <w:rPr/>
        <w:t>адаптации</w:t>
      </w:r>
      <w:r>
        <w:rPr>
          <w:spacing w:val="-13"/>
        </w:rPr>
        <w:t> </w:t>
      </w:r>
      <w:r>
        <w:rPr/>
        <w:t>и</w:t>
      </w:r>
      <w:r>
        <w:rPr>
          <w:spacing w:val="-12"/>
        </w:rPr>
        <w:t> </w:t>
      </w:r>
      <w:r>
        <w:rPr/>
        <w:t>поведении</w:t>
      </w:r>
      <w:r>
        <w:rPr>
          <w:spacing w:val="-13"/>
        </w:rPr>
        <w:t> </w:t>
      </w:r>
      <w:r>
        <w:rPr/>
        <w:t>обучающихся</w:t>
      </w:r>
      <w:r>
        <w:rPr>
          <w:spacing w:val="-12"/>
        </w:rPr>
        <w:t> </w:t>
      </w:r>
      <w:r>
        <w:rPr/>
        <w:t>для</w:t>
      </w:r>
      <w:r>
        <w:rPr>
          <w:spacing w:val="-13"/>
        </w:rPr>
        <w:t> </w:t>
      </w:r>
      <w:r>
        <w:rPr/>
        <w:t>последующего принятия решений по организации психолого-педагогического сопровождения.</w:t>
      </w:r>
    </w:p>
    <w:p>
      <w:pPr>
        <w:pStyle w:val="BodyText"/>
        <w:spacing w:line="235" w:lineRule="auto" w:before="3"/>
      </w:pPr>
      <w:r>
        <w:rPr>
          <w:spacing w:val="-2"/>
        </w:rPr>
        <w:t>На</w:t>
      </w:r>
      <w:r>
        <w:rPr>
          <w:spacing w:val="-4"/>
        </w:rPr>
        <w:t> </w:t>
      </w:r>
      <w:r>
        <w:rPr>
          <w:spacing w:val="-2"/>
        </w:rPr>
        <w:t>первичном</w:t>
      </w:r>
      <w:r>
        <w:rPr>
          <w:spacing w:val="-4"/>
        </w:rPr>
        <w:t> </w:t>
      </w:r>
      <w:r>
        <w:rPr>
          <w:spacing w:val="-2"/>
        </w:rPr>
        <w:t>консилиуме</w:t>
      </w:r>
      <w:r>
        <w:rPr>
          <w:spacing w:val="-4"/>
        </w:rPr>
        <w:t> </w:t>
      </w:r>
      <w:r>
        <w:rPr>
          <w:spacing w:val="-2"/>
        </w:rPr>
        <w:t>по</w:t>
      </w:r>
      <w:r>
        <w:rPr>
          <w:spacing w:val="-4"/>
        </w:rPr>
        <w:t> </w:t>
      </w:r>
      <w:r>
        <w:rPr>
          <w:spacing w:val="-2"/>
        </w:rPr>
        <w:t>итогам</w:t>
      </w:r>
      <w:r>
        <w:rPr>
          <w:spacing w:val="-4"/>
        </w:rPr>
        <w:t> </w:t>
      </w:r>
      <w:r>
        <w:rPr>
          <w:spacing w:val="-2"/>
        </w:rPr>
        <w:t>диагностики</w:t>
      </w:r>
      <w:r>
        <w:rPr>
          <w:spacing w:val="-4"/>
        </w:rPr>
        <w:t> </w:t>
      </w:r>
      <w:r>
        <w:rPr>
          <w:spacing w:val="-2"/>
        </w:rPr>
        <w:t>особых</w:t>
      </w:r>
      <w:r>
        <w:rPr>
          <w:spacing w:val="-4"/>
        </w:rPr>
        <w:t> </w:t>
      </w:r>
      <w:r>
        <w:rPr>
          <w:spacing w:val="-2"/>
        </w:rPr>
        <w:t>(дополнительных)</w:t>
      </w:r>
      <w:r>
        <w:rPr>
          <w:spacing w:val="-4"/>
        </w:rPr>
        <w:t> </w:t>
      </w:r>
      <w:r>
        <w:rPr>
          <w:spacing w:val="-2"/>
        </w:rPr>
        <w:t>обра- </w:t>
      </w:r>
      <w:r>
        <w:rPr/>
        <w:t>зовательных</w:t>
      </w:r>
      <w:r>
        <w:rPr>
          <w:spacing w:val="-4"/>
        </w:rPr>
        <w:t> </w:t>
      </w:r>
      <w:r>
        <w:rPr/>
        <w:t>потребностей</w:t>
      </w:r>
      <w:r>
        <w:rPr>
          <w:spacing w:val="-4"/>
        </w:rPr>
        <w:t> </w:t>
      </w:r>
      <w:r>
        <w:rPr/>
        <w:t>учащегося</w:t>
      </w:r>
      <w:r>
        <w:rPr>
          <w:spacing w:val="-4"/>
        </w:rPr>
        <w:t> </w:t>
      </w:r>
      <w:r>
        <w:rPr/>
        <w:t>–</w:t>
      </w:r>
      <w:r>
        <w:rPr>
          <w:spacing w:val="-4"/>
        </w:rPr>
        <w:t> </w:t>
      </w:r>
      <w:r>
        <w:rPr/>
        <w:t>несовершеннолетнего</w:t>
      </w:r>
      <w:r>
        <w:rPr>
          <w:spacing w:val="-4"/>
        </w:rPr>
        <w:t> </w:t>
      </w:r>
      <w:r>
        <w:rPr/>
        <w:t>иностранного</w:t>
      </w:r>
      <w:r>
        <w:rPr>
          <w:spacing w:val="-4"/>
        </w:rPr>
        <w:t> </w:t>
      </w:r>
      <w:r>
        <w:rPr/>
        <w:t>гражда- </w:t>
      </w:r>
      <w:r>
        <w:rPr>
          <w:spacing w:val="-2"/>
        </w:rPr>
        <w:t>нина педагогические работники проводят обсуждение и согласовывают необходимые </w:t>
      </w:r>
      <w:r>
        <w:rPr/>
        <w:t>меры его психолого-педагогической поддержки. Если ситуация учащегося соответ- ствует</w:t>
      </w:r>
      <w:r>
        <w:rPr>
          <w:spacing w:val="-12"/>
        </w:rPr>
        <w:t> </w:t>
      </w:r>
      <w:r>
        <w:rPr/>
        <w:t>вышеперечисленным</w:t>
      </w:r>
      <w:r>
        <w:rPr>
          <w:spacing w:val="-12"/>
        </w:rPr>
        <w:t> </w:t>
      </w:r>
      <w:r>
        <w:rPr/>
        <w:t>условиям,</w:t>
      </w:r>
      <w:r>
        <w:rPr>
          <w:spacing w:val="-12"/>
        </w:rPr>
        <w:t> </w:t>
      </w:r>
      <w:r>
        <w:rPr/>
        <w:t>в</w:t>
      </w:r>
      <w:r>
        <w:rPr>
          <w:spacing w:val="-12"/>
        </w:rPr>
        <w:t> </w:t>
      </w:r>
      <w:r>
        <w:rPr/>
        <w:t>перечень</w:t>
      </w:r>
      <w:r>
        <w:rPr>
          <w:spacing w:val="-12"/>
        </w:rPr>
        <w:t> </w:t>
      </w:r>
      <w:r>
        <w:rPr/>
        <w:t>данных</w:t>
      </w:r>
      <w:r>
        <w:rPr>
          <w:spacing w:val="-12"/>
        </w:rPr>
        <w:t> </w:t>
      </w:r>
      <w:r>
        <w:rPr/>
        <w:t>мер</w:t>
      </w:r>
      <w:r>
        <w:rPr>
          <w:spacing w:val="-12"/>
        </w:rPr>
        <w:t> </w:t>
      </w:r>
      <w:r>
        <w:rPr/>
        <w:t>включается</w:t>
      </w:r>
      <w:r>
        <w:rPr>
          <w:spacing w:val="-12"/>
        </w:rPr>
        <w:t> </w:t>
      </w:r>
      <w:r>
        <w:rPr/>
        <w:t>индивиду- альная</w:t>
      </w:r>
      <w:r>
        <w:rPr>
          <w:spacing w:val="-11"/>
        </w:rPr>
        <w:t> </w:t>
      </w:r>
      <w:r>
        <w:rPr/>
        <w:t>коррекционная</w:t>
      </w:r>
      <w:r>
        <w:rPr>
          <w:spacing w:val="-11"/>
        </w:rPr>
        <w:t> </w:t>
      </w:r>
      <w:r>
        <w:rPr/>
        <w:t>работа,</w:t>
      </w:r>
      <w:r>
        <w:rPr>
          <w:spacing w:val="-11"/>
        </w:rPr>
        <w:t> </w:t>
      </w:r>
      <w:r>
        <w:rPr/>
        <w:t>которую</w:t>
      </w:r>
      <w:r>
        <w:rPr>
          <w:spacing w:val="-11"/>
        </w:rPr>
        <w:t> </w:t>
      </w:r>
      <w:r>
        <w:rPr/>
        <w:t>проводит</w:t>
      </w:r>
      <w:r>
        <w:rPr>
          <w:spacing w:val="-11"/>
        </w:rPr>
        <w:t> </w:t>
      </w:r>
      <w:r>
        <w:rPr/>
        <w:t>с</w:t>
      </w:r>
      <w:r>
        <w:rPr>
          <w:spacing w:val="-11"/>
        </w:rPr>
        <w:t> </w:t>
      </w:r>
      <w:r>
        <w:rPr/>
        <w:t>учащимся</w:t>
      </w:r>
      <w:r>
        <w:rPr>
          <w:spacing w:val="-11"/>
        </w:rPr>
        <w:t> </w:t>
      </w:r>
      <w:r>
        <w:rPr/>
        <w:t>педагог-психолог</w:t>
      </w:r>
      <w:r>
        <w:rPr>
          <w:spacing w:val="-11"/>
        </w:rPr>
        <w:t> </w:t>
      </w:r>
      <w:r>
        <w:rPr/>
        <w:t>обра- зовательной организации. На консилиуме согласовываются цели данной работы.</w:t>
      </w:r>
    </w:p>
    <w:p>
      <w:pPr>
        <w:pStyle w:val="BodyText"/>
        <w:spacing w:line="235" w:lineRule="auto" w:before="5"/>
      </w:pPr>
      <w:r>
        <w:rPr>
          <w:color w:val="231F20"/>
        </w:rPr>
        <w:t>Индивидуальная работа педагога-психолога с учащимся – несовершеннолетним иностранным гражданином предполагает проведение регулярных занятий продол- жительностью 1 академический час. Рекомендуется планировать одно занятие раз в неделю, в отдельных случаях возможно проведение двух занятий. Данные занятия должны включаться в индивидуальный образовательный маршрут учащегося и в план работы педагога-психолога образовательной организации.</w:t>
      </w:r>
    </w:p>
    <w:p>
      <w:pPr>
        <w:pStyle w:val="BodyText"/>
        <w:spacing w:line="235" w:lineRule="auto" w:before="4"/>
      </w:pPr>
      <w:r>
        <w:rPr>
          <w:color w:val="231F20"/>
        </w:rPr>
        <w:t>В</w:t>
      </w:r>
      <w:r>
        <w:rPr>
          <w:color w:val="231F20"/>
          <w:spacing w:val="-8"/>
        </w:rPr>
        <w:t> </w:t>
      </w:r>
      <w:r>
        <w:rPr>
          <w:color w:val="231F20"/>
        </w:rPr>
        <w:t>ходе</w:t>
      </w:r>
      <w:r>
        <w:rPr>
          <w:color w:val="231F20"/>
          <w:spacing w:val="-8"/>
        </w:rPr>
        <w:t> </w:t>
      </w:r>
      <w:r>
        <w:rPr>
          <w:color w:val="231F20"/>
        </w:rPr>
        <w:t>консилиума</w:t>
      </w:r>
      <w:r>
        <w:rPr>
          <w:color w:val="231F20"/>
          <w:spacing w:val="-8"/>
        </w:rPr>
        <w:t> </w:t>
      </w:r>
      <w:r>
        <w:rPr>
          <w:color w:val="231F20"/>
        </w:rPr>
        <w:t>целесообразно</w:t>
      </w:r>
      <w:r>
        <w:rPr>
          <w:color w:val="231F20"/>
          <w:spacing w:val="-8"/>
        </w:rPr>
        <w:t> </w:t>
      </w:r>
      <w:r>
        <w:rPr>
          <w:color w:val="231F20"/>
        </w:rPr>
        <w:t>согласовать</w:t>
      </w:r>
      <w:r>
        <w:rPr>
          <w:color w:val="231F20"/>
          <w:spacing w:val="-8"/>
        </w:rPr>
        <w:t> </w:t>
      </w:r>
      <w:r>
        <w:rPr>
          <w:color w:val="231F20"/>
        </w:rPr>
        <w:t>количество</w:t>
      </w:r>
      <w:r>
        <w:rPr>
          <w:color w:val="231F20"/>
          <w:spacing w:val="-8"/>
        </w:rPr>
        <w:t> </w:t>
      </w:r>
      <w:r>
        <w:rPr>
          <w:color w:val="231F20"/>
        </w:rPr>
        <w:t>индивидуальных</w:t>
      </w:r>
      <w:r>
        <w:rPr>
          <w:color w:val="231F20"/>
          <w:spacing w:val="-8"/>
        </w:rPr>
        <w:t> </w:t>
      </w:r>
      <w:r>
        <w:rPr>
          <w:color w:val="231F20"/>
        </w:rPr>
        <w:t>заня- тий с учащимся (например, 10 занятий) или определить время, в течение которого будет вестись эта работа.</w:t>
      </w:r>
    </w:p>
    <w:p>
      <w:pPr>
        <w:pStyle w:val="BodyText"/>
        <w:spacing w:after="0" w:line="235" w:lineRule="auto"/>
        <w:sectPr>
          <w:pgSz w:w="8400" w:h="11910"/>
          <w:pgMar w:header="0" w:footer="528" w:top="400" w:bottom="720" w:left="425" w:right="425"/>
        </w:sectPr>
      </w:pPr>
    </w:p>
    <w:p>
      <w:pPr>
        <w:pStyle w:val="ListParagraph"/>
        <w:numPr>
          <w:ilvl w:val="1"/>
          <w:numId w:val="45"/>
        </w:numPr>
        <w:tabs>
          <w:tab w:pos="455" w:val="left" w:leader="none"/>
        </w:tabs>
        <w:spacing w:line="240" w:lineRule="auto" w:before="80" w:after="0"/>
        <w:ind w:left="455" w:right="0" w:hanging="314"/>
        <w:jc w:val="left"/>
        <w:rPr>
          <w:rFonts w:ascii="Georgia" w:hAnsi="Georgia"/>
          <w:sz w:val="18"/>
        </w:rPr>
      </w:pPr>
      <w:bookmarkStart w:name="_bookmark38" w:id="40"/>
      <w:bookmarkEnd w:id="40"/>
      <w:r>
        <w:rPr/>
      </w:r>
      <w:r>
        <w:rPr>
          <w:rFonts w:ascii="Georgia" w:hAnsi="Georgia"/>
          <w:color w:val="231F20"/>
          <w:sz w:val="18"/>
        </w:rPr>
        <w:t>Планирование</w:t>
      </w:r>
      <w:r>
        <w:rPr>
          <w:rFonts w:ascii="Georgia" w:hAnsi="Georgia"/>
          <w:color w:val="231F20"/>
          <w:spacing w:val="4"/>
          <w:sz w:val="18"/>
        </w:rPr>
        <w:t> </w:t>
      </w:r>
      <w:r>
        <w:rPr>
          <w:rFonts w:ascii="Georgia" w:hAnsi="Georgia"/>
          <w:color w:val="231F20"/>
          <w:sz w:val="18"/>
        </w:rPr>
        <w:t>и</w:t>
      </w:r>
      <w:r>
        <w:rPr>
          <w:rFonts w:ascii="Georgia" w:hAnsi="Georgia"/>
          <w:color w:val="231F20"/>
          <w:spacing w:val="4"/>
          <w:sz w:val="18"/>
        </w:rPr>
        <w:t> </w:t>
      </w:r>
      <w:r>
        <w:rPr>
          <w:rFonts w:ascii="Georgia" w:hAnsi="Georgia"/>
          <w:color w:val="231F20"/>
          <w:sz w:val="18"/>
        </w:rPr>
        <w:t>организация</w:t>
      </w:r>
      <w:r>
        <w:rPr>
          <w:rFonts w:ascii="Georgia" w:hAnsi="Georgia"/>
          <w:color w:val="231F20"/>
          <w:spacing w:val="5"/>
          <w:sz w:val="18"/>
        </w:rPr>
        <w:t> </w:t>
      </w:r>
      <w:r>
        <w:rPr>
          <w:rFonts w:ascii="Georgia" w:hAnsi="Georgia"/>
          <w:color w:val="231F20"/>
          <w:sz w:val="18"/>
        </w:rPr>
        <w:t>индивидуальной</w:t>
      </w:r>
      <w:r>
        <w:rPr>
          <w:rFonts w:ascii="Georgia" w:hAnsi="Georgia"/>
          <w:color w:val="231F20"/>
          <w:spacing w:val="4"/>
          <w:sz w:val="18"/>
        </w:rPr>
        <w:t> </w:t>
      </w:r>
      <w:r>
        <w:rPr>
          <w:rFonts w:ascii="Georgia" w:hAnsi="Georgia"/>
          <w:color w:val="231F20"/>
          <w:sz w:val="18"/>
        </w:rPr>
        <w:t>работы</w:t>
      </w:r>
      <w:r>
        <w:rPr>
          <w:rFonts w:ascii="Georgia" w:hAnsi="Georgia"/>
          <w:color w:val="231F20"/>
          <w:spacing w:val="4"/>
          <w:sz w:val="18"/>
        </w:rPr>
        <w:t> </w:t>
      </w:r>
      <w:r>
        <w:rPr>
          <w:rFonts w:ascii="Georgia" w:hAnsi="Georgia"/>
          <w:color w:val="231F20"/>
          <w:sz w:val="18"/>
        </w:rPr>
        <w:t>с</w:t>
      </w:r>
      <w:r>
        <w:rPr>
          <w:rFonts w:ascii="Georgia" w:hAnsi="Georgia"/>
          <w:color w:val="231F20"/>
          <w:spacing w:val="5"/>
          <w:sz w:val="18"/>
        </w:rPr>
        <w:t> </w:t>
      </w:r>
      <w:r>
        <w:rPr>
          <w:rFonts w:ascii="Georgia" w:hAnsi="Georgia"/>
          <w:color w:val="231F20"/>
          <w:spacing w:val="-2"/>
          <w:sz w:val="18"/>
        </w:rPr>
        <w:t>детьми...</w:t>
      </w:r>
    </w:p>
    <w:p>
      <w:pPr>
        <w:pStyle w:val="BodyText"/>
        <w:spacing w:line="230" w:lineRule="auto" w:before="119"/>
      </w:pPr>
      <w:r>
        <w:rPr>
          <w:color w:val="231F20"/>
        </w:rPr>
        <w:t>На повторном консилиуме проводится анализ итогов индивидуальной коррекци- </w:t>
      </w:r>
      <w:r>
        <w:rPr>
          <w:color w:val="231F20"/>
          <w:spacing w:val="-2"/>
        </w:rPr>
        <w:t>онной работы. Педагог-психолог кратко, с соблюдением принципа конфиденциально- </w:t>
      </w:r>
      <w:r>
        <w:rPr>
          <w:color w:val="231F20"/>
        </w:rPr>
        <w:t>сти,</w:t>
      </w:r>
      <w:r>
        <w:rPr>
          <w:color w:val="231F20"/>
          <w:spacing w:val="-11"/>
        </w:rPr>
        <w:t> </w:t>
      </w:r>
      <w:r>
        <w:rPr>
          <w:color w:val="231F20"/>
        </w:rPr>
        <w:t>подводит</w:t>
      </w:r>
      <w:r>
        <w:rPr>
          <w:color w:val="231F20"/>
          <w:spacing w:val="-11"/>
        </w:rPr>
        <w:t> </w:t>
      </w:r>
      <w:r>
        <w:rPr>
          <w:color w:val="231F20"/>
        </w:rPr>
        <w:t>итог</w:t>
      </w:r>
      <w:r>
        <w:rPr>
          <w:color w:val="231F20"/>
          <w:spacing w:val="-11"/>
        </w:rPr>
        <w:t> </w:t>
      </w:r>
      <w:r>
        <w:rPr>
          <w:color w:val="231F20"/>
        </w:rPr>
        <w:t>проделанной</w:t>
      </w:r>
      <w:r>
        <w:rPr>
          <w:color w:val="231F20"/>
          <w:spacing w:val="-11"/>
        </w:rPr>
        <w:t> </w:t>
      </w:r>
      <w:r>
        <w:rPr>
          <w:color w:val="231F20"/>
        </w:rPr>
        <w:t>работы</w:t>
      </w:r>
      <w:r>
        <w:rPr>
          <w:color w:val="231F20"/>
          <w:spacing w:val="-11"/>
        </w:rPr>
        <w:t> </w:t>
      </w:r>
      <w:r>
        <w:rPr>
          <w:color w:val="231F20"/>
        </w:rPr>
        <w:t>(количество</w:t>
      </w:r>
      <w:r>
        <w:rPr>
          <w:color w:val="231F20"/>
          <w:spacing w:val="-11"/>
        </w:rPr>
        <w:t> </w:t>
      </w:r>
      <w:r>
        <w:rPr>
          <w:color w:val="231F20"/>
        </w:rPr>
        <w:t>проведенных</w:t>
      </w:r>
      <w:r>
        <w:rPr>
          <w:color w:val="231F20"/>
          <w:spacing w:val="-11"/>
        </w:rPr>
        <w:t> </w:t>
      </w:r>
      <w:r>
        <w:rPr>
          <w:color w:val="231F20"/>
        </w:rPr>
        <w:t>занятий,</w:t>
      </w:r>
      <w:r>
        <w:rPr>
          <w:color w:val="231F20"/>
          <w:spacing w:val="-11"/>
        </w:rPr>
        <w:t> </w:t>
      </w:r>
      <w:r>
        <w:rPr>
          <w:color w:val="231F20"/>
        </w:rPr>
        <w:t>наблюда- емый</w:t>
      </w:r>
      <w:r>
        <w:rPr>
          <w:color w:val="231F20"/>
          <w:spacing w:val="-13"/>
        </w:rPr>
        <w:t> </w:t>
      </w:r>
      <w:r>
        <w:rPr>
          <w:color w:val="231F20"/>
        </w:rPr>
        <w:t>и</w:t>
      </w:r>
      <w:r>
        <w:rPr>
          <w:color w:val="231F20"/>
          <w:spacing w:val="-12"/>
        </w:rPr>
        <w:t> </w:t>
      </w:r>
      <w:r>
        <w:rPr>
          <w:color w:val="231F20"/>
        </w:rPr>
        <w:t>диагностируемый</w:t>
      </w:r>
      <w:r>
        <w:rPr>
          <w:color w:val="231F20"/>
          <w:spacing w:val="-13"/>
        </w:rPr>
        <w:t> </w:t>
      </w:r>
      <w:r>
        <w:rPr>
          <w:color w:val="231F20"/>
        </w:rPr>
        <w:t>прогресс,</w:t>
      </w:r>
      <w:r>
        <w:rPr>
          <w:color w:val="231F20"/>
          <w:spacing w:val="-12"/>
        </w:rPr>
        <w:t> </w:t>
      </w:r>
      <w:r>
        <w:rPr>
          <w:color w:val="231F20"/>
        </w:rPr>
        <w:t>имеющиеся</w:t>
      </w:r>
      <w:r>
        <w:rPr>
          <w:color w:val="231F20"/>
          <w:spacing w:val="-13"/>
        </w:rPr>
        <w:t> </w:t>
      </w:r>
      <w:r>
        <w:rPr>
          <w:color w:val="231F20"/>
        </w:rPr>
        <w:t>затруднения).</w:t>
      </w:r>
      <w:r>
        <w:rPr>
          <w:color w:val="231F20"/>
          <w:spacing w:val="-12"/>
        </w:rPr>
        <w:t> </w:t>
      </w:r>
      <w:r>
        <w:rPr>
          <w:color w:val="231F20"/>
        </w:rPr>
        <w:t>По</w:t>
      </w:r>
      <w:r>
        <w:rPr>
          <w:color w:val="231F20"/>
          <w:spacing w:val="-13"/>
        </w:rPr>
        <w:t> </w:t>
      </w:r>
      <w:r>
        <w:rPr>
          <w:color w:val="231F20"/>
        </w:rPr>
        <w:t>итогам</w:t>
      </w:r>
      <w:r>
        <w:rPr>
          <w:color w:val="231F20"/>
          <w:spacing w:val="-12"/>
        </w:rPr>
        <w:t> </w:t>
      </w:r>
      <w:r>
        <w:rPr>
          <w:color w:val="231F20"/>
        </w:rPr>
        <w:t>обсуждения на</w:t>
      </w:r>
      <w:r>
        <w:rPr>
          <w:color w:val="231F20"/>
          <w:spacing w:val="-3"/>
        </w:rPr>
        <w:t> </w:t>
      </w:r>
      <w:r>
        <w:rPr>
          <w:color w:val="231F20"/>
        </w:rPr>
        <w:t>консилиуме</w:t>
      </w:r>
      <w:r>
        <w:rPr>
          <w:color w:val="231F20"/>
          <w:spacing w:val="-3"/>
        </w:rPr>
        <w:t> </w:t>
      </w:r>
      <w:r>
        <w:rPr>
          <w:color w:val="231F20"/>
        </w:rPr>
        <w:t>может</w:t>
      </w:r>
      <w:r>
        <w:rPr>
          <w:color w:val="231F20"/>
          <w:spacing w:val="-3"/>
        </w:rPr>
        <w:t> </w:t>
      </w:r>
      <w:r>
        <w:rPr>
          <w:color w:val="231F20"/>
        </w:rPr>
        <w:t>быть</w:t>
      </w:r>
      <w:r>
        <w:rPr>
          <w:color w:val="231F20"/>
          <w:spacing w:val="-3"/>
        </w:rPr>
        <w:t> </w:t>
      </w:r>
      <w:r>
        <w:rPr>
          <w:color w:val="231F20"/>
        </w:rPr>
        <w:t>принято</w:t>
      </w:r>
      <w:r>
        <w:rPr>
          <w:color w:val="231F20"/>
          <w:spacing w:val="-3"/>
        </w:rPr>
        <w:t> </w:t>
      </w:r>
      <w:r>
        <w:rPr>
          <w:color w:val="231F20"/>
        </w:rPr>
        <w:t>решение</w:t>
      </w:r>
      <w:r>
        <w:rPr>
          <w:color w:val="231F20"/>
          <w:spacing w:val="-3"/>
        </w:rPr>
        <w:t> </w:t>
      </w:r>
      <w:r>
        <w:rPr>
          <w:color w:val="231F20"/>
        </w:rPr>
        <w:t>о</w:t>
      </w:r>
      <w:r>
        <w:rPr>
          <w:color w:val="231F20"/>
          <w:spacing w:val="-3"/>
        </w:rPr>
        <w:t> </w:t>
      </w:r>
      <w:r>
        <w:rPr>
          <w:color w:val="231F20"/>
        </w:rPr>
        <w:t>завершении</w:t>
      </w:r>
      <w:r>
        <w:rPr>
          <w:color w:val="231F20"/>
          <w:spacing w:val="-3"/>
        </w:rPr>
        <w:t> </w:t>
      </w:r>
      <w:r>
        <w:rPr>
          <w:color w:val="231F20"/>
        </w:rPr>
        <w:t>индивидуальной</w:t>
      </w:r>
      <w:r>
        <w:rPr>
          <w:color w:val="231F20"/>
          <w:spacing w:val="-3"/>
        </w:rPr>
        <w:t> </w:t>
      </w:r>
      <w:r>
        <w:rPr>
          <w:color w:val="231F20"/>
        </w:rPr>
        <w:t>работы, о ее продолжении или о направлении учащегося в иное учреждение для получения индивидуальной помощи.</w:t>
      </w:r>
    </w:p>
    <w:p>
      <w:pPr>
        <w:pStyle w:val="BodyText"/>
        <w:spacing w:line="230" w:lineRule="auto"/>
      </w:pPr>
      <w:r>
        <w:rPr>
          <w:color w:val="231F20"/>
        </w:rPr>
        <w:t>Если</w:t>
      </w:r>
      <w:r>
        <w:rPr>
          <w:color w:val="231F20"/>
          <w:spacing w:val="-4"/>
        </w:rPr>
        <w:t> </w:t>
      </w:r>
      <w:r>
        <w:rPr>
          <w:color w:val="231F20"/>
        </w:rPr>
        <w:t>было</w:t>
      </w:r>
      <w:r>
        <w:rPr>
          <w:color w:val="231F20"/>
          <w:spacing w:val="-4"/>
        </w:rPr>
        <w:t> </w:t>
      </w:r>
      <w:r>
        <w:rPr>
          <w:color w:val="231F20"/>
        </w:rPr>
        <w:t>принято</w:t>
      </w:r>
      <w:r>
        <w:rPr>
          <w:color w:val="231F20"/>
          <w:spacing w:val="-4"/>
        </w:rPr>
        <w:t> </w:t>
      </w:r>
      <w:r>
        <w:rPr>
          <w:color w:val="231F20"/>
        </w:rPr>
        <w:t>решение</w:t>
      </w:r>
      <w:r>
        <w:rPr>
          <w:color w:val="231F20"/>
          <w:spacing w:val="-4"/>
        </w:rPr>
        <w:t> </w:t>
      </w:r>
      <w:r>
        <w:rPr>
          <w:color w:val="231F20"/>
        </w:rPr>
        <w:t>о</w:t>
      </w:r>
      <w:r>
        <w:rPr>
          <w:color w:val="231F20"/>
          <w:spacing w:val="-4"/>
        </w:rPr>
        <w:t> </w:t>
      </w:r>
      <w:r>
        <w:rPr>
          <w:color w:val="231F20"/>
        </w:rPr>
        <w:t>продолжении</w:t>
      </w:r>
      <w:r>
        <w:rPr>
          <w:color w:val="231F20"/>
          <w:spacing w:val="-4"/>
        </w:rPr>
        <w:t> </w:t>
      </w:r>
      <w:r>
        <w:rPr>
          <w:color w:val="231F20"/>
        </w:rPr>
        <w:t>индивидуальной</w:t>
      </w:r>
      <w:r>
        <w:rPr>
          <w:color w:val="231F20"/>
          <w:spacing w:val="-4"/>
        </w:rPr>
        <w:t> </w:t>
      </w:r>
      <w:r>
        <w:rPr>
          <w:color w:val="231F20"/>
        </w:rPr>
        <w:t>работы</w:t>
      </w:r>
      <w:r>
        <w:rPr>
          <w:color w:val="231F20"/>
          <w:spacing w:val="-4"/>
        </w:rPr>
        <w:t> </w:t>
      </w:r>
      <w:r>
        <w:rPr>
          <w:color w:val="231F20"/>
        </w:rPr>
        <w:t>с</w:t>
      </w:r>
      <w:r>
        <w:rPr>
          <w:color w:val="231F20"/>
          <w:spacing w:val="-4"/>
        </w:rPr>
        <w:t> </w:t>
      </w:r>
      <w:r>
        <w:rPr>
          <w:color w:val="231F20"/>
        </w:rPr>
        <w:t>ребенком, ее итоги подводятся на консилиуме в конце учебного года.</w:t>
      </w:r>
    </w:p>
    <w:p>
      <w:pPr>
        <w:pStyle w:val="BodyText"/>
        <w:spacing w:line="230" w:lineRule="auto"/>
      </w:pPr>
      <w:r>
        <w:rPr/>
        <w:t>В</w:t>
      </w:r>
      <w:r>
        <w:rPr>
          <w:spacing w:val="-9"/>
        </w:rPr>
        <w:t> </w:t>
      </w:r>
      <w:r>
        <w:rPr/>
        <w:t>случае</w:t>
      </w:r>
      <w:r>
        <w:rPr>
          <w:spacing w:val="-9"/>
        </w:rPr>
        <w:t> </w:t>
      </w:r>
      <w:r>
        <w:rPr/>
        <w:t>недостаточного</w:t>
      </w:r>
      <w:r>
        <w:rPr>
          <w:spacing w:val="-9"/>
        </w:rPr>
        <w:t> </w:t>
      </w:r>
      <w:r>
        <w:rPr/>
        <w:t>владения</w:t>
      </w:r>
      <w:r>
        <w:rPr>
          <w:spacing w:val="-9"/>
        </w:rPr>
        <w:t> </w:t>
      </w:r>
      <w:r>
        <w:rPr/>
        <w:t>русским</w:t>
      </w:r>
      <w:r>
        <w:rPr>
          <w:spacing w:val="-9"/>
        </w:rPr>
        <w:t> </w:t>
      </w:r>
      <w:r>
        <w:rPr/>
        <w:t>языком</w:t>
      </w:r>
      <w:r>
        <w:rPr>
          <w:spacing w:val="-9"/>
        </w:rPr>
        <w:t> </w:t>
      </w:r>
      <w:r>
        <w:rPr/>
        <w:t>и</w:t>
      </w:r>
      <w:r>
        <w:rPr>
          <w:spacing w:val="-9"/>
        </w:rPr>
        <w:t> </w:t>
      </w:r>
      <w:r>
        <w:rPr/>
        <w:t>выраженной</w:t>
      </w:r>
      <w:r>
        <w:rPr>
          <w:spacing w:val="-9"/>
        </w:rPr>
        <w:t> </w:t>
      </w:r>
      <w:r>
        <w:rPr/>
        <w:t>культурной</w:t>
      </w:r>
      <w:r>
        <w:rPr>
          <w:spacing w:val="-9"/>
        </w:rPr>
        <w:t> </w:t>
      </w:r>
      <w:r>
        <w:rPr/>
        <w:t>де- задаптации у учащегося – иностранного гражданина специалисты образовательной организации могут испытывать затруднения в оценке его особых образовательных потребностей, связанных с его когнитивным и эмоционально-волевым развитием. Если</w:t>
      </w:r>
      <w:r>
        <w:rPr>
          <w:spacing w:val="-6"/>
        </w:rPr>
        <w:t> </w:t>
      </w:r>
      <w:r>
        <w:rPr/>
        <w:t>не</w:t>
      </w:r>
      <w:r>
        <w:rPr>
          <w:spacing w:val="-6"/>
        </w:rPr>
        <w:t> </w:t>
      </w:r>
      <w:r>
        <w:rPr/>
        <w:t>представляется</w:t>
      </w:r>
      <w:r>
        <w:rPr>
          <w:spacing w:val="-6"/>
        </w:rPr>
        <w:t> </w:t>
      </w:r>
      <w:r>
        <w:rPr/>
        <w:t>возможным</w:t>
      </w:r>
      <w:r>
        <w:rPr>
          <w:spacing w:val="-6"/>
        </w:rPr>
        <w:t> </w:t>
      </w:r>
      <w:r>
        <w:rPr/>
        <w:t>оценить,</w:t>
      </w:r>
      <w:r>
        <w:rPr>
          <w:spacing w:val="-6"/>
        </w:rPr>
        <w:t> </w:t>
      </w:r>
      <w:r>
        <w:rPr/>
        <w:t>насколько</w:t>
      </w:r>
      <w:r>
        <w:rPr>
          <w:spacing w:val="-6"/>
        </w:rPr>
        <w:t> </w:t>
      </w:r>
      <w:r>
        <w:rPr/>
        <w:t>особые</w:t>
      </w:r>
      <w:r>
        <w:rPr>
          <w:spacing w:val="-6"/>
        </w:rPr>
        <w:t> </w:t>
      </w:r>
      <w:r>
        <w:rPr/>
        <w:t>образовательные</w:t>
      </w:r>
      <w:r>
        <w:rPr>
          <w:spacing w:val="-6"/>
        </w:rPr>
        <w:t> </w:t>
      </w:r>
      <w:r>
        <w:rPr/>
        <w:t>по- требности учащегося ограничиваются его миграционным опытом и социальной си- туацией</w:t>
      </w:r>
      <w:r>
        <w:rPr>
          <w:spacing w:val="-1"/>
        </w:rPr>
        <w:t> </w:t>
      </w:r>
      <w:r>
        <w:rPr/>
        <w:t>и</w:t>
      </w:r>
      <w:r>
        <w:rPr>
          <w:spacing w:val="-1"/>
        </w:rPr>
        <w:t> </w:t>
      </w:r>
      <w:r>
        <w:rPr/>
        <w:t>насколько</w:t>
      </w:r>
      <w:r>
        <w:rPr>
          <w:spacing w:val="-1"/>
        </w:rPr>
        <w:t> </w:t>
      </w:r>
      <w:r>
        <w:rPr/>
        <w:t>он</w:t>
      </w:r>
      <w:r>
        <w:rPr>
          <w:spacing w:val="-1"/>
        </w:rPr>
        <w:t> </w:t>
      </w:r>
      <w:r>
        <w:rPr/>
        <w:t>нуждается</w:t>
      </w:r>
      <w:r>
        <w:rPr>
          <w:spacing w:val="-1"/>
        </w:rPr>
        <w:t> </w:t>
      </w:r>
      <w:r>
        <w:rPr/>
        <w:t>в</w:t>
      </w:r>
      <w:r>
        <w:rPr>
          <w:spacing w:val="-1"/>
        </w:rPr>
        <w:t> </w:t>
      </w:r>
      <w:r>
        <w:rPr/>
        <w:t>специальной</w:t>
      </w:r>
      <w:r>
        <w:rPr>
          <w:spacing w:val="-1"/>
        </w:rPr>
        <w:t> </w:t>
      </w:r>
      <w:r>
        <w:rPr/>
        <w:t>поддержке</w:t>
      </w:r>
      <w:r>
        <w:rPr>
          <w:spacing w:val="-1"/>
        </w:rPr>
        <w:t> </w:t>
      </w:r>
      <w:r>
        <w:rPr/>
        <w:t>в</w:t>
      </w:r>
      <w:r>
        <w:rPr>
          <w:spacing w:val="-1"/>
        </w:rPr>
        <w:t> </w:t>
      </w:r>
      <w:r>
        <w:rPr/>
        <w:t>связи</w:t>
      </w:r>
      <w:r>
        <w:rPr>
          <w:spacing w:val="-1"/>
        </w:rPr>
        <w:t> </w:t>
      </w:r>
      <w:r>
        <w:rPr/>
        <w:t>с</w:t>
      </w:r>
      <w:r>
        <w:rPr>
          <w:spacing w:val="-1"/>
        </w:rPr>
        <w:t> </w:t>
      </w:r>
      <w:r>
        <w:rPr/>
        <w:t>его</w:t>
      </w:r>
      <w:r>
        <w:rPr>
          <w:spacing w:val="-1"/>
        </w:rPr>
        <w:t> </w:t>
      </w:r>
      <w:r>
        <w:rPr/>
        <w:t>когнитив- ными</w:t>
      </w:r>
      <w:r>
        <w:rPr>
          <w:spacing w:val="-11"/>
        </w:rPr>
        <w:t> </w:t>
      </w:r>
      <w:r>
        <w:rPr/>
        <w:t>или</w:t>
      </w:r>
      <w:r>
        <w:rPr>
          <w:spacing w:val="-11"/>
        </w:rPr>
        <w:t> </w:t>
      </w:r>
      <w:r>
        <w:rPr/>
        <w:t>эмоционально-волевыми</w:t>
      </w:r>
      <w:r>
        <w:rPr>
          <w:spacing w:val="-11"/>
        </w:rPr>
        <w:t> </w:t>
      </w:r>
      <w:r>
        <w:rPr/>
        <w:t>характеристиками,</w:t>
      </w:r>
      <w:r>
        <w:rPr>
          <w:spacing w:val="-11"/>
        </w:rPr>
        <w:t> </w:t>
      </w:r>
      <w:r>
        <w:rPr/>
        <w:t>необходимо</w:t>
      </w:r>
      <w:r>
        <w:rPr>
          <w:spacing w:val="-11"/>
        </w:rPr>
        <w:t> </w:t>
      </w:r>
      <w:r>
        <w:rPr/>
        <w:t>направить</w:t>
      </w:r>
      <w:r>
        <w:rPr>
          <w:spacing w:val="-11"/>
        </w:rPr>
        <w:t> </w:t>
      </w:r>
      <w:r>
        <w:rPr/>
        <w:t>такого учащегося на ПМПК. В соответствии с заключением ПМПК учащемуся</w:t>
      </w:r>
      <w:r>
        <w:rPr>
          <w:spacing w:val="-1"/>
        </w:rPr>
        <w:t> </w:t>
      </w:r>
      <w:r>
        <w:rPr/>
        <w:t>может быть </w:t>
      </w:r>
      <w:r>
        <w:rPr>
          <w:spacing w:val="-2"/>
        </w:rPr>
        <w:t>рекомендовано обучение по адаптированной образовательной программе или коррек- </w:t>
      </w:r>
      <w:r>
        <w:rPr/>
        <w:t>ционная</w:t>
      </w:r>
      <w:r>
        <w:rPr>
          <w:spacing w:val="-3"/>
        </w:rPr>
        <w:t> </w:t>
      </w:r>
      <w:r>
        <w:rPr/>
        <w:t>работа,</w:t>
      </w:r>
      <w:r>
        <w:rPr>
          <w:spacing w:val="-3"/>
        </w:rPr>
        <w:t> </w:t>
      </w:r>
      <w:r>
        <w:rPr/>
        <w:t>дополняющая</w:t>
      </w:r>
      <w:r>
        <w:rPr>
          <w:spacing w:val="-3"/>
        </w:rPr>
        <w:t> </w:t>
      </w:r>
      <w:r>
        <w:rPr/>
        <w:t>или</w:t>
      </w:r>
      <w:r>
        <w:rPr>
          <w:spacing w:val="-3"/>
        </w:rPr>
        <w:t> </w:t>
      </w:r>
      <w:r>
        <w:rPr/>
        <w:t>заменяющая</w:t>
      </w:r>
      <w:r>
        <w:rPr>
          <w:spacing w:val="-3"/>
        </w:rPr>
        <w:t> </w:t>
      </w:r>
      <w:r>
        <w:rPr/>
        <w:t>индивидуальную</w:t>
      </w:r>
      <w:r>
        <w:rPr>
          <w:spacing w:val="-3"/>
        </w:rPr>
        <w:t> </w:t>
      </w:r>
      <w:r>
        <w:rPr/>
        <w:t>работу,</w:t>
      </w:r>
      <w:r>
        <w:rPr>
          <w:spacing w:val="-3"/>
        </w:rPr>
        <w:t> </w:t>
      </w:r>
      <w:r>
        <w:rPr/>
        <w:t>связанную </w:t>
      </w:r>
      <w:r>
        <w:rPr>
          <w:spacing w:val="-2"/>
        </w:rPr>
        <w:t>с </w:t>
      </w:r>
      <w:r>
        <w:rPr>
          <w:color w:val="231F20"/>
          <w:spacing w:val="-2"/>
        </w:rPr>
        <w:t>психологическим благополучием, сформированностью социальных навыков и куль- </w:t>
      </w:r>
      <w:r>
        <w:rPr>
          <w:color w:val="231F20"/>
        </w:rPr>
        <w:t>турной адаптацией</w:t>
      </w:r>
      <w:r>
        <w:rPr/>
        <w:t>.</w:t>
      </w:r>
    </w:p>
    <w:p>
      <w:pPr>
        <w:pStyle w:val="BodyText"/>
        <w:spacing w:line="232" w:lineRule="auto"/>
      </w:pPr>
      <w:r>
        <w:rPr/>
        <w:t>В сопровождении несовершеннолетних иностранных граждан целесообразно со- четать индивидуальную работу и групповые активности, причем эти формы рабо-</w:t>
      </w:r>
      <w:r>
        <w:rPr>
          <w:spacing w:val="40"/>
        </w:rPr>
        <w:t> </w:t>
      </w:r>
      <w:r>
        <w:rPr/>
        <w:t>ты могут реализовываться параллельно. Также возможно проводить работу в малых группах (по 3–4 человека), и с такими группами возможно, помимо активностей для индивидуальной работы, использовать элементы театральной деятельности.</w:t>
      </w:r>
    </w:p>
    <w:p>
      <w:pPr>
        <w:numPr>
          <w:ilvl w:val="2"/>
          <w:numId w:val="43"/>
        </w:numPr>
        <w:tabs>
          <w:tab w:pos="1091" w:val="left" w:leader="none"/>
        </w:tabs>
        <w:spacing w:before="200"/>
        <w:ind w:left="1091" w:right="0" w:hanging="500"/>
        <w:jc w:val="both"/>
        <w:rPr>
          <w:b/>
          <w:sz w:val="20"/>
        </w:rPr>
      </w:pPr>
      <w:r>
        <w:rPr>
          <w:b/>
          <w:color w:val="231F20"/>
          <w:sz w:val="20"/>
        </w:rPr>
        <w:t>Краткосрочная</w:t>
      </w:r>
      <w:r>
        <w:rPr>
          <w:b/>
          <w:color w:val="231F20"/>
          <w:spacing w:val="-11"/>
          <w:sz w:val="20"/>
        </w:rPr>
        <w:t> </w:t>
      </w:r>
      <w:r>
        <w:rPr>
          <w:b/>
          <w:color w:val="231F20"/>
          <w:sz w:val="20"/>
        </w:rPr>
        <w:t>работа</w:t>
      </w:r>
      <w:r>
        <w:rPr>
          <w:b/>
          <w:color w:val="231F20"/>
          <w:spacing w:val="-9"/>
          <w:sz w:val="20"/>
        </w:rPr>
        <w:t> </w:t>
      </w:r>
      <w:r>
        <w:rPr>
          <w:b/>
          <w:color w:val="231F20"/>
          <w:sz w:val="20"/>
        </w:rPr>
        <w:t>с</w:t>
      </w:r>
      <w:r>
        <w:rPr>
          <w:b/>
          <w:color w:val="231F20"/>
          <w:spacing w:val="-9"/>
          <w:sz w:val="20"/>
        </w:rPr>
        <w:t> </w:t>
      </w:r>
      <w:r>
        <w:rPr>
          <w:b/>
          <w:color w:val="231F20"/>
          <w:sz w:val="20"/>
        </w:rPr>
        <w:t>детьми-мигрантами:</w:t>
      </w:r>
      <w:r>
        <w:rPr>
          <w:b/>
          <w:color w:val="231F20"/>
          <w:spacing w:val="-9"/>
          <w:sz w:val="20"/>
        </w:rPr>
        <w:t> </w:t>
      </w:r>
      <w:r>
        <w:rPr>
          <w:b/>
          <w:color w:val="231F20"/>
          <w:sz w:val="20"/>
        </w:rPr>
        <w:t>возможные</w:t>
      </w:r>
      <w:r>
        <w:rPr>
          <w:b/>
          <w:color w:val="231F20"/>
          <w:spacing w:val="-8"/>
          <w:sz w:val="20"/>
        </w:rPr>
        <w:t> </w:t>
      </w:r>
      <w:r>
        <w:rPr>
          <w:b/>
          <w:color w:val="231F20"/>
          <w:spacing w:val="-2"/>
          <w:sz w:val="20"/>
        </w:rPr>
        <w:t>задачи</w:t>
      </w:r>
    </w:p>
    <w:p>
      <w:pPr>
        <w:pStyle w:val="BodyText"/>
        <w:spacing w:line="232" w:lineRule="auto" w:before="111"/>
      </w:pPr>
      <w:r>
        <w:rPr/>
        <w:t>В отечественной психологии принято выделять принципы психологической кор- </w:t>
      </w:r>
      <w:r>
        <w:rPr>
          <w:spacing w:val="-2"/>
        </w:rPr>
        <w:t>рекции.</w:t>
      </w:r>
    </w:p>
    <w:p>
      <w:pPr>
        <w:pStyle w:val="BodyText"/>
        <w:spacing w:line="232" w:lineRule="auto"/>
        <w:ind w:right="138"/>
      </w:pPr>
      <w:r>
        <w:rPr/>
        <w:t>Принцип</w:t>
      </w:r>
      <w:r>
        <w:rPr>
          <w:spacing w:val="-3"/>
        </w:rPr>
        <w:t> </w:t>
      </w:r>
      <w:r>
        <w:rPr/>
        <w:t>«нормативности»</w:t>
      </w:r>
      <w:r>
        <w:rPr>
          <w:spacing w:val="-3"/>
        </w:rPr>
        <w:t> </w:t>
      </w:r>
      <w:r>
        <w:rPr/>
        <w:t>развития</w:t>
      </w:r>
      <w:r>
        <w:rPr>
          <w:spacing w:val="-3"/>
        </w:rPr>
        <w:t> </w:t>
      </w:r>
      <w:r>
        <w:rPr/>
        <w:t>на</w:t>
      </w:r>
      <w:r>
        <w:rPr>
          <w:spacing w:val="-3"/>
        </w:rPr>
        <w:t> </w:t>
      </w:r>
      <w:r>
        <w:rPr/>
        <w:t>основе</w:t>
      </w:r>
      <w:r>
        <w:rPr>
          <w:spacing w:val="-3"/>
        </w:rPr>
        <w:t> </w:t>
      </w:r>
      <w:r>
        <w:rPr/>
        <w:t>учета</w:t>
      </w:r>
      <w:r>
        <w:rPr>
          <w:spacing w:val="-3"/>
        </w:rPr>
        <w:t> </w:t>
      </w:r>
      <w:r>
        <w:rPr/>
        <w:t>возрастно-психологических и</w:t>
      </w:r>
      <w:r>
        <w:rPr>
          <w:spacing w:val="40"/>
        </w:rPr>
        <w:t> </w:t>
      </w:r>
      <w:r>
        <w:rPr/>
        <w:t>индивидуально-личностных</w:t>
      </w:r>
      <w:r>
        <w:rPr>
          <w:spacing w:val="40"/>
        </w:rPr>
        <w:t> </w:t>
      </w:r>
      <w:r>
        <w:rPr/>
        <w:t>особенностей</w:t>
      </w:r>
      <w:r>
        <w:rPr>
          <w:spacing w:val="40"/>
        </w:rPr>
        <w:t> </w:t>
      </w:r>
      <w:r>
        <w:rPr/>
        <w:t>ребенка</w:t>
      </w:r>
      <w:r>
        <w:rPr>
          <w:spacing w:val="40"/>
        </w:rPr>
        <w:t> </w:t>
      </w:r>
      <w:r>
        <w:rPr/>
        <w:t>предполагает,</w:t>
      </w:r>
      <w:r>
        <w:rPr>
          <w:spacing w:val="40"/>
        </w:rPr>
        <w:t> </w:t>
      </w:r>
      <w:r>
        <w:rPr/>
        <w:t>что</w:t>
      </w:r>
      <w:r>
        <w:rPr>
          <w:spacing w:val="40"/>
        </w:rPr>
        <w:t> </w:t>
      </w:r>
      <w:r>
        <w:rPr/>
        <w:t>психолог, с одной стороны, рассматривает ребенка в контексте возрастной нормы, учитывая сформированность</w:t>
      </w:r>
      <w:r>
        <w:rPr>
          <w:spacing w:val="-13"/>
        </w:rPr>
        <w:t> </w:t>
      </w:r>
      <w:r>
        <w:rPr/>
        <w:t>возрастных</w:t>
      </w:r>
      <w:r>
        <w:rPr>
          <w:spacing w:val="-12"/>
        </w:rPr>
        <w:t> </w:t>
      </w:r>
      <w:r>
        <w:rPr/>
        <w:t>новообразований</w:t>
      </w:r>
      <w:r>
        <w:rPr>
          <w:spacing w:val="-13"/>
        </w:rPr>
        <w:t> </w:t>
      </w:r>
      <w:r>
        <w:rPr/>
        <w:t>и</w:t>
      </w:r>
      <w:r>
        <w:rPr>
          <w:spacing w:val="-12"/>
        </w:rPr>
        <w:t> </w:t>
      </w:r>
      <w:r>
        <w:rPr/>
        <w:t>ведущей</w:t>
      </w:r>
      <w:r>
        <w:rPr>
          <w:spacing w:val="-13"/>
        </w:rPr>
        <w:t> </w:t>
      </w:r>
      <w:r>
        <w:rPr/>
        <w:t>деятельности.</w:t>
      </w:r>
      <w:r>
        <w:rPr>
          <w:spacing w:val="-12"/>
        </w:rPr>
        <w:t> </w:t>
      </w:r>
      <w:r>
        <w:rPr/>
        <w:t>С</w:t>
      </w:r>
      <w:r>
        <w:rPr>
          <w:spacing w:val="-13"/>
        </w:rPr>
        <w:t> </w:t>
      </w:r>
      <w:r>
        <w:rPr/>
        <w:t>другой</w:t>
      </w:r>
      <w:r>
        <w:rPr>
          <w:spacing w:val="-12"/>
        </w:rPr>
        <w:t> </w:t>
      </w:r>
      <w:r>
        <w:rPr/>
        <w:t>– необходимо</w:t>
      </w:r>
      <w:r>
        <w:rPr>
          <w:spacing w:val="-7"/>
        </w:rPr>
        <w:t> </w:t>
      </w:r>
      <w:r>
        <w:rPr/>
        <w:t>принимать</w:t>
      </w:r>
      <w:r>
        <w:rPr>
          <w:spacing w:val="-7"/>
        </w:rPr>
        <w:t> </w:t>
      </w:r>
      <w:r>
        <w:rPr/>
        <w:t>во</w:t>
      </w:r>
      <w:r>
        <w:rPr>
          <w:spacing w:val="-7"/>
        </w:rPr>
        <w:t> </w:t>
      </w:r>
      <w:r>
        <w:rPr/>
        <w:t>внимание</w:t>
      </w:r>
      <w:r>
        <w:rPr>
          <w:spacing w:val="-7"/>
        </w:rPr>
        <w:t> </w:t>
      </w:r>
      <w:r>
        <w:rPr/>
        <w:t>его</w:t>
      </w:r>
      <w:r>
        <w:rPr>
          <w:spacing w:val="-7"/>
        </w:rPr>
        <w:t> </w:t>
      </w:r>
      <w:r>
        <w:rPr/>
        <w:t>индивидуальные</w:t>
      </w:r>
      <w:r>
        <w:rPr>
          <w:spacing w:val="-7"/>
        </w:rPr>
        <w:t> </w:t>
      </w:r>
      <w:r>
        <w:rPr/>
        <w:t>характеристики:</w:t>
      </w:r>
      <w:r>
        <w:rPr>
          <w:spacing w:val="-7"/>
        </w:rPr>
        <w:t> </w:t>
      </w:r>
      <w:r>
        <w:rPr/>
        <w:t>ценности, темперамент, склонности и пр.</w:t>
      </w:r>
    </w:p>
    <w:p>
      <w:pPr>
        <w:pStyle w:val="BodyText"/>
        <w:spacing w:line="232" w:lineRule="auto"/>
        <w:ind w:right="138"/>
      </w:pPr>
      <w:r>
        <w:rPr/>
        <w:t>Принцип единства диагностики и коррекции подчеркивает целостный характер психологической помощи, при которой решение диагностических и коррекционных задач</w:t>
      </w:r>
      <w:r>
        <w:rPr>
          <w:spacing w:val="-3"/>
        </w:rPr>
        <w:t> </w:t>
      </w:r>
      <w:r>
        <w:rPr/>
        <w:t>неразрывно</w:t>
      </w:r>
      <w:r>
        <w:rPr>
          <w:spacing w:val="-3"/>
        </w:rPr>
        <w:t> </w:t>
      </w:r>
      <w:r>
        <w:rPr/>
        <w:t>связано</w:t>
      </w:r>
      <w:r>
        <w:rPr>
          <w:spacing w:val="-3"/>
        </w:rPr>
        <w:t> </w:t>
      </w:r>
      <w:r>
        <w:rPr/>
        <w:t>между</w:t>
      </w:r>
      <w:r>
        <w:rPr>
          <w:spacing w:val="-3"/>
        </w:rPr>
        <w:t> </w:t>
      </w:r>
      <w:r>
        <w:rPr/>
        <w:t>собой.</w:t>
      </w:r>
      <w:r>
        <w:rPr>
          <w:spacing w:val="-3"/>
        </w:rPr>
        <w:t> </w:t>
      </w:r>
      <w:r>
        <w:rPr/>
        <w:t>Коррекция</w:t>
      </w:r>
      <w:r>
        <w:rPr>
          <w:spacing w:val="-3"/>
        </w:rPr>
        <w:t> </w:t>
      </w:r>
      <w:r>
        <w:rPr/>
        <w:t>опирается</w:t>
      </w:r>
      <w:r>
        <w:rPr>
          <w:spacing w:val="-3"/>
        </w:rPr>
        <w:t> </w:t>
      </w:r>
      <w:r>
        <w:rPr/>
        <w:t>на</w:t>
      </w:r>
      <w:r>
        <w:rPr>
          <w:spacing w:val="-3"/>
        </w:rPr>
        <w:t> </w:t>
      </w:r>
      <w:r>
        <w:rPr/>
        <w:t>результаты</w:t>
      </w:r>
      <w:r>
        <w:rPr>
          <w:spacing w:val="-3"/>
        </w:rPr>
        <w:t> </w:t>
      </w:r>
      <w:r>
        <w:rPr/>
        <w:t>диагно- стического этапа, но в то же время – в ходе коррекционной работы психолог по- стоянно отслеживает состояние ребенка, динамику процесса и вносит необходимые </w:t>
      </w:r>
      <w:r>
        <w:rPr>
          <w:spacing w:val="-2"/>
        </w:rPr>
        <w:t>изменения.</w:t>
      </w:r>
    </w:p>
    <w:p>
      <w:pPr>
        <w:pStyle w:val="BodyText"/>
        <w:spacing w:line="230" w:lineRule="auto"/>
      </w:pPr>
      <w:r>
        <w:rPr/>
        <w:t>Принцип ориентации на зону ближайшего развития опирается на идеи Л.С. Вы- готского.</w:t>
      </w:r>
      <w:r>
        <w:rPr>
          <w:spacing w:val="-6"/>
        </w:rPr>
        <w:t> </w:t>
      </w:r>
      <w:r>
        <w:rPr/>
        <w:t>Коррекция</w:t>
      </w:r>
      <w:r>
        <w:rPr>
          <w:spacing w:val="-6"/>
        </w:rPr>
        <w:t> </w:t>
      </w:r>
      <w:r>
        <w:rPr/>
        <w:t>должна</w:t>
      </w:r>
      <w:r>
        <w:rPr>
          <w:spacing w:val="-6"/>
        </w:rPr>
        <w:t> </w:t>
      </w:r>
      <w:r>
        <w:rPr/>
        <w:t>иметь</w:t>
      </w:r>
      <w:r>
        <w:rPr>
          <w:spacing w:val="-6"/>
        </w:rPr>
        <w:t> </w:t>
      </w:r>
      <w:r>
        <w:rPr/>
        <w:t>опережающий</w:t>
      </w:r>
      <w:r>
        <w:rPr>
          <w:spacing w:val="-6"/>
        </w:rPr>
        <w:t> </w:t>
      </w:r>
      <w:r>
        <w:rPr/>
        <w:t>характер,</w:t>
      </w:r>
      <w:r>
        <w:rPr>
          <w:spacing w:val="-6"/>
        </w:rPr>
        <w:t> </w:t>
      </w:r>
      <w:r>
        <w:rPr/>
        <w:t>ориентироваться</w:t>
      </w:r>
      <w:r>
        <w:rPr>
          <w:spacing w:val="-6"/>
        </w:rPr>
        <w:t> </w:t>
      </w:r>
      <w:r>
        <w:rPr/>
        <w:t>на</w:t>
      </w:r>
      <w:r>
        <w:rPr>
          <w:spacing w:val="-6"/>
        </w:rPr>
        <w:t> </w:t>
      </w:r>
      <w:r>
        <w:rPr/>
        <w:t>пер- спективу</w:t>
      </w:r>
      <w:r>
        <w:rPr>
          <w:spacing w:val="7"/>
        </w:rPr>
        <w:t> </w:t>
      </w:r>
      <w:r>
        <w:rPr/>
        <w:t>развития</w:t>
      </w:r>
      <w:r>
        <w:rPr>
          <w:spacing w:val="10"/>
        </w:rPr>
        <w:t> </w:t>
      </w:r>
      <w:r>
        <w:rPr/>
        <w:t>ребенка.</w:t>
      </w:r>
      <w:r>
        <w:rPr>
          <w:spacing w:val="10"/>
        </w:rPr>
        <w:t> </w:t>
      </w:r>
      <w:r>
        <w:rPr/>
        <w:t>Коррекционные</w:t>
      </w:r>
      <w:r>
        <w:rPr>
          <w:spacing w:val="10"/>
        </w:rPr>
        <w:t> </w:t>
      </w:r>
      <w:r>
        <w:rPr/>
        <w:t>задания</w:t>
      </w:r>
      <w:r>
        <w:rPr>
          <w:spacing w:val="10"/>
        </w:rPr>
        <w:t> </w:t>
      </w:r>
      <w:r>
        <w:rPr/>
        <w:t>в</w:t>
      </w:r>
      <w:r>
        <w:rPr>
          <w:spacing w:val="10"/>
        </w:rPr>
        <w:t> </w:t>
      </w:r>
      <w:r>
        <w:rPr/>
        <w:t>соответствии</w:t>
      </w:r>
      <w:r>
        <w:rPr>
          <w:spacing w:val="10"/>
        </w:rPr>
        <w:t> </w:t>
      </w:r>
      <w:r>
        <w:rPr/>
        <w:t>с</w:t>
      </w:r>
      <w:r>
        <w:rPr>
          <w:spacing w:val="10"/>
        </w:rPr>
        <w:t> </w:t>
      </w:r>
      <w:r>
        <w:rPr/>
        <w:t>этим</w:t>
      </w:r>
      <w:r>
        <w:rPr>
          <w:spacing w:val="10"/>
        </w:rPr>
        <w:t> </w:t>
      </w:r>
      <w:r>
        <w:rPr>
          <w:spacing w:val="-2"/>
        </w:rPr>
        <w:t>принци-</w:t>
      </w:r>
    </w:p>
    <w:p>
      <w:pPr>
        <w:pStyle w:val="BodyText"/>
        <w:spacing w:after="0" w:line="230" w:lineRule="auto"/>
        <w:sectPr>
          <w:pgSz w:w="8400" w:h="11910"/>
          <w:pgMar w:header="0" w:footer="528"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line="230" w:lineRule="auto" w:before="119"/>
        <w:ind w:right="141" w:firstLine="0"/>
      </w:pPr>
      <w:r>
        <w:rPr/>
        <w:t>пом</w:t>
      </w:r>
      <w:r>
        <w:rPr>
          <w:spacing w:val="-6"/>
        </w:rPr>
        <w:t> </w:t>
      </w:r>
      <w:r>
        <w:rPr/>
        <w:t>подбираются</w:t>
      </w:r>
      <w:r>
        <w:rPr>
          <w:spacing w:val="-6"/>
        </w:rPr>
        <w:t> </w:t>
      </w:r>
      <w:r>
        <w:rPr/>
        <w:t>не</w:t>
      </w:r>
      <w:r>
        <w:rPr>
          <w:spacing w:val="-6"/>
        </w:rPr>
        <w:t> </w:t>
      </w:r>
      <w:r>
        <w:rPr/>
        <w:t>исходя</w:t>
      </w:r>
      <w:r>
        <w:rPr>
          <w:spacing w:val="-6"/>
        </w:rPr>
        <w:t> </w:t>
      </w:r>
      <w:r>
        <w:rPr/>
        <w:t>из</w:t>
      </w:r>
      <w:r>
        <w:rPr>
          <w:spacing w:val="-6"/>
        </w:rPr>
        <w:t> </w:t>
      </w:r>
      <w:r>
        <w:rPr/>
        <w:t>сформированных</w:t>
      </w:r>
      <w:r>
        <w:rPr>
          <w:spacing w:val="-6"/>
        </w:rPr>
        <w:t> </w:t>
      </w:r>
      <w:r>
        <w:rPr/>
        <w:t>функций,</w:t>
      </w:r>
      <w:r>
        <w:rPr>
          <w:spacing w:val="-6"/>
        </w:rPr>
        <w:t> </w:t>
      </w:r>
      <w:r>
        <w:rPr/>
        <w:t>а</w:t>
      </w:r>
      <w:r>
        <w:rPr>
          <w:spacing w:val="-6"/>
        </w:rPr>
        <w:t> </w:t>
      </w:r>
      <w:r>
        <w:rPr/>
        <w:t>исходя</w:t>
      </w:r>
      <w:r>
        <w:rPr>
          <w:spacing w:val="-6"/>
        </w:rPr>
        <w:t> </w:t>
      </w:r>
      <w:r>
        <w:rPr/>
        <w:t>из</w:t>
      </w:r>
      <w:r>
        <w:rPr>
          <w:spacing w:val="-6"/>
        </w:rPr>
        <w:t> </w:t>
      </w:r>
      <w:r>
        <w:rPr/>
        <w:t>поставленных психологом задач; они не должны быть слишком легкими.</w:t>
      </w:r>
    </w:p>
    <w:p>
      <w:pPr>
        <w:pStyle w:val="BodyText"/>
        <w:spacing w:line="230" w:lineRule="auto"/>
      </w:pPr>
      <w:r>
        <w:rPr>
          <w:spacing w:val="-2"/>
        </w:rPr>
        <w:t>Принцип связи коррекции, профилактики и развития означает, что коррекционные </w:t>
      </w:r>
      <w:r>
        <w:rPr/>
        <w:t>мероприятия должны учитывать возможный прогноз развития ребенка, анализиро- вать,</w:t>
      </w:r>
      <w:r>
        <w:rPr>
          <w:spacing w:val="-9"/>
        </w:rPr>
        <w:t> </w:t>
      </w:r>
      <w:r>
        <w:rPr/>
        <w:t>как</w:t>
      </w:r>
      <w:r>
        <w:rPr>
          <w:spacing w:val="-9"/>
        </w:rPr>
        <w:t> </w:t>
      </w:r>
      <w:r>
        <w:rPr/>
        <w:t>решение</w:t>
      </w:r>
      <w:r>
        <w:rPr>
          <w:spacing w:val="-9"/>
        </w:rPr>
        <w:t> </w:t>
      </w:r>
      <w:r>
        <w:rPr/>
        <w:t>актуальных</w:t>
      </w:r>
      <w:r>
        <w:rPr>
          <w:spacing w:val="-9"/>
        </w:rPr>
        <w:t> </w:t>
      </w:r>
      <w:r>
        <w:rPr/>
        <w:t>задач</w:t>
      </w:r>
      <w:r>
        <w:rPr>
          <w:spacing w:val="-9"/>
        </w:rPr>
        <w:t> </w:t>
      </w:r>
      <w:r>
        <w:rPr/>
        <w:t>коррекции</w:t>
      </w:r>
      <w:r>
        <w:rPr>
          <w:spacing w:val="-9"/>
        </w:rPr>
        <w:t> </w:t>
      </w:r>
      <w:r>
        <w:rPr/>
        <w:t>будет</w:t>
      </w:r>
      <w:r>
        <w:rPr>
          <w:spacing w:val="-9"/>
        </w:rPr>
        <w:t> </w:t>
      </w:r>
      <w:r>
        <w:rPr/>
        <w:t>способствовать</w:t>
      </w:r>
      <w:r>
        <w:rPr>
          <w:spacing w:val="-9"/>
        </w:rPr>
        <w:t> </w:t>
      </w:r>
      <w:r>
        <w:rPr/>
        <w:t>формированию необходимых</w:t>
      </w:r>
      <w:r>
        <w:rPr>
          <w:spacing w:val="-13"/>
        </w:rPr>
        <w:t> </w:t>
      </w:r>
      <w:r>
        <w:rPr/>
        <w:t>функций</w:t>
      </w:r>
      <w:r>
        <w:rPr>
          <w:spacing w:val="-12"/>
        </w:rPr>
        <w:t> </w:t>
      </w:r>
      <w:r>
        <w:rPr/>
        <w:t>на</w:t>
      </w:r>
      <w:r>
        <w:rPr>
          <w:spacing w:val="-13"/>
        </w:rPr>
        <w:t> </w:t>
      </w:r>
      <w:r>
        <w:rPr/>
        <w:t>следующем</w:t>
      </w:r>
      <w:r>
        <w:rPr>
          <w:spacing w:val="-12"/>
        </w:rPr>
        <w:t> </w:t>
      </w:r>
      <w:r>
        <w:rPr/>
        <w:t>этапе</w:t>
      </w:r>
      <w:r>
        <w:rPr>
          <w:spacing w:val="-13"/>
        </w:rPr>
        <w:t> </w:t>
      </w:r>
      <w:r>
        <w:rPr/>
        <w:t>развития</w:t>
      </w:r>
      <w:r>
        <w:rPr>
          <w:spacing w:val="-12"/>
        </w:rPr>
        <w:t> </w:t>
      </w:r>
      <w:r>
        <w:rPr/>
        <w:t>ребенка.</w:t>
      </w:r>
      <w:r>
        <w:rPr>
          <w:spacing w:val="-13"/>
        </w:rPr>
        <w:t> </w:t>
      </w:r>
      <w:r>
        <w:rPr/>
        <w:t>Кроме</w:t>
      </w:r>
      <w:r>
        <w:rPr>
          <w:spacing w:val="-12"/>
        </w:rPr>
        <w:t> </w:t>
      </w:r>
      <w:r>
        <w:rPr/>
        <w:t>того,</w:t>
      </w:r>
      <w:r>
        <w:rPr>
          <w:spacing w:val="-13"/>
        </w:rPr>
        <w:t> </w:t>
      </w:r>
      <w:r>
        <w:rPr/>
        <w:t>коррекция направлена не только на исправление недостатков, но и на содействие реализации потенциала развития личности.</w:t>
      </w:r>
    </w:p>
    <w:p>
      <w:pPr>
        <w:pStyle w:val="BodyText"/>
        <w:spacing w:line="230" w:lineRule="auto"/>
      </w:pPr>
      <w:r>
        <w:rPr/>
        <w:t>Деятельностный принцип опирается на разработанное в отечественной психоло- гии</w:t>
      </w:r>
      <w:r>
        <w:rPr>
          <w:spacing w:val="-6"/>
        </w:rPr>
        <w:t> </w:t>
      </w:r>
      <w:r>
        <w:rPr/>
        <w:t>положение</w:t>
      </w:r>
      <w:r>
        <w:rPr>
          <w:spacing w:val="-6"/>
        </w:rPr>
        <w:t> </w:t>
      </w:r>
      <w:r>
        <w:rPr/>
        <w:t>о</w:t>
      </w:r>
      <w:r>
        <w:rPr>
          <w:spacing w:val="-6"/>
        </w:rPr>
        <w:t> </w:t>
      </w:r>
      <w:r>
        <w:rPr/>
        <w:t>ведущей</w:t>
      </w:r>
      <w:r>
        <w:rPr>
          <w:spacing w:val="-6"/>
        </w:rPr>
        <w:t> </w:t>
      </w:r>
      <w:r>
        <w:rPr/>
        <w:t>роли</w:t>
      </w:r>
      <w:r>
        <w:rPr>
          <w:spacing w:val="-6"/>
        </w:rPr>
        <w:t> </w:t>
      </w:r>
      <w:r>
        <w:rPr/>
        <w:t>деятельности</w:t>
      </w:r>
      <w:r>
        <w:rPr>
          <w:spacing w:val="-6"/>
        </w:rPr>
        <w:t> </w:t>
      </w:r>
      <w:r>
        <w:rPr/>
        <w:t>в</w:t>
      </w:r>
      <w:r>
        <w:rPr>
          <w:spacing w:val="-6"/>
        </w:rPr>
        <w:t> </w:t>
      </w:r>
      <w:r>
        <w:rPr/>
        <w:t>развитии</w:t>
      </w:r>
      <w:r>
        <w:rPr>
          <w:spacing w:val="-6"/>
        </w:rPr>
        <w:t> </w:t>
      </w:r>
      <w:r>
        <w:rPr/>
        <w:t>ребенка</w:t>
      </w:r>
      <w:r>
        <w:rPr>
          <w:spacing w:val="-6"/>
        </w:rPr>
        <w:t> </w:t>
      </w:r>
      <w:r>
        <w:rPr/>
        <w:t>и</w:t>
      </w:r>
      <w:r>
        <w:rPr>
          <w:spacing w:val="-6"/>
        </w:rPr>
        <w:t> </w:t>
      </w:r>
      <w:r>
        <w:rPr/>
        <w:t>предполагает,</w:t>
      </w:r>
      <w:r>
        <w:rPr>
          <w:spacing w:val="-6"/>
        </w:rPr>
        <w:t> </w:t>
      </w:r>
      <w:r>
        <w:rPr/>
        <w:t>что</w:t>
      </w:r>
    </w:p>
    <w:p>
      <w:pPr>
        <w:pStyle w:val="BodyText"/>
        <w:spacing w:line="230" w:lineRule="auto"/>
        <w:ind w:firstLine="0"/>
      </w:pPr>
      <w:r>
        <w:rPr/>
        <w:t>«коррекционное воздействие всегда осуществляется в контексте той или иной пред- метно-осмысленной деятельности ребенка, ориентируя активность ребенка и управ- ляя ей» (Карабанова,2002, с. 174).</w:t>
      </w:r>
    </w:p>
    <w:p>
      <w:pPr>
        <w:pStyle w:val="BodyText"/>
        <w:spacing w:line="230" w:lineRule="auto"/>
        <w:ind w:right="140"/>
      </w:pPr>
      <w:r>
        <w:rPr>
          <w:spacing w:val="-2"/>
        </w:rPr>
        <w:t>Принцип комплексности методов требует сочетания разнообразных инструментов </w:t>
      </w:r>
      <w:r>
        <w:rPr/>
        <w:t>коррекционного воздействия.</w:t>
      </w:r>
    </w:p>
    <w:p>
      <w:pPr>
        <w:pStyle w:val="BodyText"/>
        <w:spacing w:line="230" w:lineRule="auto"/>
      </w:pPr>
      <w:r>
        <w:rPr/>
        <w:t>Принцип активного привлечения ближайшего социального окружения означает неразрывную связь коррекционной работы с ребенком и консультативной и просве- тительской работы с его педагогами и родителями.</w:t>
      </w:r>
    </w:p>
    <w:p>
      <w:pPr>
        <w:pStyle w:val="BodyText"/>
        <w:spacing w:line="230" w:lineRule="auto"/>
      </w:pPr>
      <w:r>
        <w:rPr/>
        <w:t>Индивидуальная работа педагога-психолога образовательной организации с не- совершеннолетним иностранным гражданином строится в соответствии с данными принципами и может быть направлена на решение следующих задач.</w:t>
      </w:r>
    </w:p>
    <w:p>
      <w:pPr>
        <w:spacing w:line="218" w:lineRule="exact" w:before="0"/>
        <w:ind w:left="425" w:right="0" w:firstLine="0"/>
        <w:jc w:val="both"/>
        <w:rPr>
          <w:i/>
          <w:sz w:val="20"/>
        </w:rPr>
      </w:pPr>
      <w:r>
        <w:rPr>
          <w:i/>
          <w:sz w:val="20"/>
        </w:rPr>
        <w:t>В</w:t>
      </w:r>
      <w:r>
        <w:rPr>
          <w:i/>
          <w:spacing w:val="-9"/>
          <w:sz w:val="20"/>
        </w:rPr>
        <w:t> </w:t>
      </w:r>
      <w:r>
        <w:rPr>
          <w:i/>
          <w:sz w:val="20"/>
        </w:rPr>
        <w:t>области</w:t>
      </w:r>
      <w:r>
        <w:rPr>
          <w:i/>
          <w:spacing w:val="-8"/>
          <w:sz w:val="20"/>
        </w:rPr>
        <w:t> </w:t>
      </w:r>
      <w:r>
        <w:rPr>
          <w:i/>
          <w:sz w:val="20"/>
        </w:rPr>
        <w:t>психологического</w:t>
      </w:r>
      <w:r>
        <w:rPr>
          <w:i/>
          <w:spacing w:val="-8"/>
          <w:sz w:val="20"/>
        </w:rPr>
        <w:t> </w:t>
      </w:r>
      <w:r>
        <w:rPr>
          <w:i/>
          <w:spacing w:val="-2"/>
          <w:sz w:val="20"/>
        </w:rPr>
        <w:t>благополучия:</w:t>
      </w:r>
    </w:p>
    <w:p>
      <w:pPr>
        <w:pStyle w:val="ListParagraph"/>
        <w:numPr>
          <w:ilvl w:val="0"/>
          <w:numId w:val="46"/>
        </w:numPr>
        <w:tabs>
          <w:tab w:pos="425" w:val="left" w:leader="none"/>
        </w:tabs>
        <w:spacing w:line="232" w:lineRule="auto" w:before="0" w:after="0"/>
        <w:ind w:left="425" w:right="139" w:hanging="284"/>
        <w:jc w:val="left"/>
        <w:rPr>
          <w:sz w:val="20"/>
        </w:rPr>
      </w:pPr>
      <w:r>
        <w:rPr>
          <w:sz w:val="20"/>
        </w:rPr>
        <w:t>Обеспечение возможности выражения и отреагирования различных эмоциональ- ных состояний.</w:t>
      </w:r>
    </w:p>
    <w:p>
      <w:pPr>
        <w:pStyle w:val="ListParagraph"/>
        <w:numPr>
          <w:ilvl w:val="0"/>
          <w:numId w:val="46"/>
        </w:numPr>
        <w:tabs>
          <w:tab w:pos="425" w:val="left" w:leader="none"/>
        </w:tabs>
        <w:spacing w:line="218" w:lineRule="exact" w:before="0" w:after="0"/>
        <w:ind w:left="425" w:right="0" w:hanging="284"/>
        <w:jc w:val="left"/>
        <w:rPr>
          <w:sz w:val="20"/>
        </w:rPr>
      </w:pPr>
      <w:r>
        <w:rPr>
          <w:sz w:val="20"/>
        </w:rPr>
        <w:t>Формирование</w:t>
      </w:r>
      <w:r>
        <w:rPr>
          <w:spacing w:val="-11"/>
          <w:sz w:val="20"/>
        </w:rPr>
        <w:t> </w:t>
      </w:r>
      <w:r>
        <w:rPr>
          <w:sz w:val="20"/>
        </w:rPr>
        <w:t>конструктивных</w:t>
      </w:r>
      <w:r>
        <w:rPr>
          <w:spacing w:val="-9"/>
          <w:sz w:val="20"/>
        </w:rPr>
        <w:t> </w:t>
      </w:r>
      <w:r>
        <w:rPr>
          <w:sz w:val="20"/>
        </w:rPr>
        <w:t>способов</w:t>
      </w:r>
      <w:r>
        <w:rPr>
          <w:spacing w:val="-10"/>
          <w:sz w:val="20"/>
        </w:rPr>
        <w:t> </w:t>
      </w:r>
      <w:r>
        <w:rPr>
          <w:sz w:val="20"/>
        </w:rPr>
        <w:t>эмоционального</w:t>
      </w:r>
      <w:r>
        <w:rPr>
          <w:spacing w:val="-8"/>
          <w:sz w:val="20"/>
        </w:rPr>
        <w:t> </w:t>
      </w:r>
      <w:r>
        <w:rPr>
          <w:spacing w:val="-2"/>
          <w:sz w:val="20"/>
        </w:rPr>
        <w:t>отреагирования.</w:t>
      </w:r>
    </w:p>
    <w:p>
      <w:pPr>
        <w:pStyle w:val="ListParagraph"/>
        <w:numPr>
          <w:ilvl w:val="0"/>
          <w:numId w:val="46"/>
        </w:numPr>
        <w:tabs>
          <w:tab w:pos="425" w:val="left" w:leader="none"/>
        </w:tabs>
        <w:spacing w:line="222" w:lineRule="exact" w:before="0" w:after="0"/>
        <w:ind w:left="425" w:right="0" w:hanging="284"/>
        <w:jc w:val="left"/>
        <w:rPr>
          <w:sz w:val="20"/>
        </w:rPr>
      </w:pPr>
      <w:r>
        <w:rPr>
          <w:sz w:val="20"/>
        </w:rPr>
        <w:t>Содействие</w:t>
      </w:r>
      <w:r>
        <w:rPr>
          <w:spacing w:val="-11"/>
          <w:sz w:val="20"/>
        </w:rPr>
        <w:t> </w:t>
      </w:r>
      <w:r>
        <w:rPr>
          <w:sz w:val="20"/>
        </w:rPr>
        <w:t>преодолению</w:t>
      </w:r>
      <w:r>
        <w:rPr>
          <w:spacing w:val="-10"/>
          <w:sz w:val="20"/>
        </w:rPr>
        <w:t> </w:t>
      </w:r>
      <w:r>
        <w:rPr>
          <w:sz w:val="20"/>
        </w:rPr>
        <w:t>негативных</w:t>
      </w:r>
      <w:r>
        <w:rPr>
          <w:spacing w:val="-9"/>
          <w:sz w:val="20"/>
        </w:rPr>
        <w:t> </w:t>
      </w:r>
      <w:r>
        <w:rPr>
          <w:sz w:val="20"/>
        </w:rPr>
        <w:t>последствий</w:t>
      </w:r>
      <w:r>
        <w:rPr>
          <w:spacing w:val="-10"/>
          <w:sz w:val="20"/>
        </w:rPr>
        <w:t> </w:t>
      </w:r>
      <w:r>
        <w:rPr>
          <w:sz w:val="20"/>
        </w:rPr>
        <w:t>миграционного</w:t>
      </w:r>
      <w:r>
        <w:rPr>
          <w:spacing w:val="-8"/>
          <w:sz w:val="20"/>
        </w:rPr>
        <w:t> </w:t>
      </w:r>
      <w:r>
        <w:rPr>
          <w:spacing w:val="-2"/>
          <w:sz w:val="20"/>
        </w:rPr>
        <w:t>стресса.</w:t>
      </w:r>
    </w:p>
    <w:p>
      <w:pPr>
        <w:pStyle w:val="ListParagraph"/>
        <w:numPr>
          <w:ilvl w:val="0"/>
          <w:numId w:val="46"/>
        </w:numPr>
        <w:tabs>
          <w:tab w:pos="425" w:val="left" w:leader="none"/>
        </w:tabs>
        <w:spacing w:line="222" w:lineRule="exact" w:before="0" w:after="0"/>
        <w:ind w:left="425" w:right="0" w:hanging="284"/>
        <w:jc w:val="left"/>
        <w:rPr>
          <w:sz w:val="20"/>
        </w:rPr>
      </w:pPr>
      <w:r>
        <w:rPr>
          <w:sz w:val="20"/>
        </w:rPr>
        <w:t>Повышение</w:t>
      </w:r>
      <w:r>
        <w:rPr>
          <w:spacing w:val="-5"/>
          <w:sz w:val="20"/>
        </w:rPr>
        <w:t> </w:t>
      </w:r>
      <w:r>
        <w:rPr>
          <w:sz w:val="20"/>
        </w:rPr>
        <w:t>самоуважения</w:t>
      </w:r>
      <w:r>
        <w:rPr>
          <w:spacing w:val="-3"/>
          <w:sz w:val="20"/>
        </w:rPr>
        <w:t> </w:t>
      </w:r>
      <w:r>
        <w:rPr>
          <w:sz w:val="20"/>
        </w:rPr>
        <w:t>и</w:t>
      </w:r>
      <w:r>
        <w:rPr>
          <w:spacing w:val="-4"/>
          <w:sz w:val="20"/>
        </w:rPr>
        <w:t> </w:t>
      </w:r>
      <w:r>
        <w:rPr>
          <w:sz w:val="20"/>
        </w:rPr>
        <w:t>уверенности</w:t>
      </w:r>
      <w:r>
        <w:rPr>
          <w:spacing w:val="-4"/>
          <w:sz w:val="20"/>
        </w:rPr>
        <w:t> </w:t>
      </w:r>
      <w:r>
        <w:rPr>
          <w:sz w:val="20"/>
        </w:rPr>
        <w:t>в</w:t>
      </w:r>
      <w:r>
        <w:rPr>
          <w:spacing w:val="-3"/>
          <w:sz w:val="20"/>
        </w:rPr>
        <w:t> </w:t>
      </w:r>
      <w:r>
        <w:rPr>
          <w:spacing w:val="-4"/>
          <w:sz w:val="20"/>
        </w:rPr>
        <w:t>себе.</w:t>
      </w:r>
    </w:p>
    <w:p>
      <w:pPr>
        <w:pStyle w:val="ListParagraph"/>
        <w:numPr>
          <w:ilvl w:val="0"/>
          <w:numId w:val="46"/>
        </w:numPr>
        <w:tabs>
          <w:tab w:pos="425" w:val="left" w:leader="none"/>
        </w:tabs>
        <w:spacing w:line="222" w:lineRule="exact" w:before="0" w:after="0"/>
        <w:ind w:left="425" w:right="0" w:hanging="284"/>
        <w:jc w:val="left"/>
        <w:rPr>
          <w:sz w:val="20"/>
        </w:rPr>
      </w:pPr>
      <w:r>
        <w:rPr>
          <w:spacing w:val="-2"/>
          <w:sz w:val="20"/>
        </w:rPr>
        <w:t>Формирование</w:t>
      </w:r>
      <w:r>
        <w:rPr>
          <w:spacing w:val="14"/>
          <w:sz w:val="20"/>
        </w:rPr>
        <w:t> </w:t>
      </w:r>
      <w:r>
        <w:rPr>
          <w:spacing w:val="-2"/>
          <w:sz w:val="20"/>
        </w:rPr>
        <w:t>конструктивных</w:t>
      </w:r>
      <w:r>
        <w:rPr>
          <w:spacing w:val="15"/>
          <w:sz w:val="20"/>
        </w:rPr>
        <w:t> </w:t>
      </w:r>
      <w:r>
        <w:rPr>
          <w:spacing w:val="-2"/>
          <w:sz w:val="20"/>
        </w:rPr>
        <w:t>копинг-стратегий.</w:t>
      </w:r>
    </w:p>
    <w:p>
      <w:pPr>
        <w:spacing w:line="222" w:lineRule="exact" w:before="0"/>
        <w:ind w:left="425" w:right="0" w:firstLine="0"/>
        <w:jc w:val="left"/>
        <w:rPr>
          <w:i/>
          <w:sz w:val="20"/>
        </w:rPr>
      </w:pPr>
      <w:r>
        <w:rPr>
          <w:i/>
          <w:sz w:val="20"/>
        </w:rPr>
        <w:t>В</w:t>
      </w:r>
      <w:r>
        <w:rPr>
          <w:i/>
          <w:spacing w:val="-4"/>
          <w:sz w:val="20"/>
        </w:rPr>
        <w:t> </w:t>
      </w:r>
      <w:r>
        <w:rPr>
          <w:i/>
          <w:sz w:val="20"/>
        </w:rPr>
        <w:t>области</w:t>
      </w:r>
      <w:r>
        <w:rPr>
          <w:i/>
          <w:spacing w:val="-4"/>
          <w:sz w:val="20"/>
        </w:rPr>
        <w:t> </w:t>
      </w:r>
      <w:r>
        <w:rPr>
          <w:i/>
          <w:sz w:val="20"/>
        </w:rPr>
        <w:t>социальных</w:t>
      </w:r>
      <w:r>
        <w:rPr>
          <w:i/>
          <w:spacing w:val="-3"/>
          <w:sz w:val="20"/>
        </w:rPr>
        <w:t> </w:t>
      </w:r>
      <w:r>
        <w:rPr>
          <w:i/>
          <w:spacing w:val="-2"/>
          <w:sz w:val="20"/>
        </w:rPr>
        <w:t>навыков:</w:t>
      </w:r>
    </w:p>
    <w:p>
      <w:pPr>
        <w:pStyle w:val="ListParagraph"/>
        <w:numPr>
          <w:ilvl w:val="0"/>
          <w:numId w:val="46"/>
        </w:numPr>
        <w:tabs>
          <w:tab w:pos="425" w:val="left" w:leader="none"/>
        </w:tabs>
        <w:spacing w:line="232" w:lineRule="auto" w:before="0" w:after="0"/>
        <w:ind w:left="425" w:right="139" w:hanging="284"/>
        <w:jc w:val="left"/>
        <w:rPr>
          <w:sz w:val="20"/>
        </w:rPr>
      </w:pPr>
      <w:r>
        <w:rPr>
          <w:sz w:val="20"/>
        </w:rPr>
        <w:t>Знакомство</w:t>
      </w:r>
      <w:r>
        <w:rPr>
          <w:spacing w:val="-12"/>
          <w:sz w:val="20"/>
        </w:rPr>
        <w:t> </w:t>
      </w:r>
      <w:r>
        <w:rPr>
          <w:sz w:val="20"/>
        </w:rPr>
        <w:t>с</w:t>
      </w:r>
      <w:r>
        <w:rPr>
          <w:spacing w:val="-12"/>
          <w:sz w:val="20"/>
        </w:rPr>
        <w:t> </w:t>
      </w:r>
      <w:r>
        <w:rPr>
          <w:sz w:val="20"/>
        </w:rPr>
        <w:t>культурно</w:t>
      </w:r>
      <w:r>
        <w:rPr>
          <w:spacing w:val="-12"/>
          <w:sz w:val="20"/>
        </w:rPr>
        <w:t> </w:t>
      </w:r>
      <w:r>
        <w:rPr>
          <w:sz w:val="20"/>
        </w:rPr>
        <w:t>релевантными</w:t>
      </w:r>
      <w:r>
        <w:rPr>
          <w:spacing w:val="-12"/>
          <w:sz w:val="20"/>
        </w:rPr>
        <w:t> </w:t>
      </w:r>
      <w:r>
        <w:rPr>
          <w:sz w:val="20"/>
        </w:rPr>
        <w:t>навыками</w:t>
      </w:r>
      <w:r>
        <w:rPr>
          <w:spacing w:val="-12"/>
          <w:sz w:val="20"/>
        </w:rPr>
        <w:t> </w:t>
      </w:r>
      <w:r>
        <w:rPr>
          <w:sz w:val="20"/>
        </w:rPr>
        <w:t>поведения</w:t>
      </w:r>
      <w:r>
        <w:rPr>
          <w:spacing w:val="-12"/>
          <w:sz w:val="20"/>
        </w:rPr>
        <w:t> </w:t>
      </w:r>
      <w:r>
        <w:rPr>
          <w:sz w:val="20"/>
        </w:rPr>
        <w:t>в</w:t>
      </w:r>
      <w:r>
        <w:rPr>
          <w:spacing w:val="-12"/>
          <w:sz w:val="20"/>
        </w:rPr>
        <w:t> </w:t>
      </w:r>
      <w:r>
        <w:rPr>
          <w:sz w:val="20"/>
        </w:rPr>
        <w:t>классе</w:t>
      </w:r>
      <w:r>
        <w:rPr>
          <w:spacing w:val="-12"/>
          <w:sz w:val="20"/>
        </w:rPr>
        <w:t> </w:t>
      </w:r>
      <w:r>
        <w:rPr>
          <w:sz w:val="20"/>
        </w:rPr>
        <w:t>и</w:t>
      </w:r>
      <w:r>
        <w:rPr>
          <w:spacing w:val="-12"/>
          <w:sz w:val="20"/>
        </w:rPr>
        <w:t> </w:t>
      </w:r>
      <w:r>
        <w:rPr>
          <w:sz w:val="20"/>
        </w:rPr>
        <w:t>школе,</w:t>
      </w:r>
      <w:r>
        <w:rPr>
          <w:spacing w:val="-12"/>
          <w:sz w:val="20"/>
        </w:rPr>
        <w:t> </w:t>
      </w:r>
      <w:r>
        <w:rPr>
          <w:sz w:val="20"/>
        </w:rPr>
        <w:t>вы- полнения домашних заданий, взаимодействия со сверстниками и взрослыми.</w:t>
      </w:r>
    </w:p>
    <w:p>
      <w:pPr>
        <w:pStyle w:val="ListParagraph"/>
        <w:numPr>
          <w:ilvl w:val="0"/>
          <w:numId w:val="46"/>
        </w:numPr>
        <w:tabs>
          <w:tab w:pos="425" w:val="left" w:leader="none"/>
        </w:tabs>
        <w:spacing w:line="232" w:lineRule="auto" w:before="0" w:after="0"/>
        <w:ind w:left="425" w:right="139" w:hanging="284"/>
        <w:jc w:val="left"/>
        <w:rPr>
          <w:sz w:val="20"/>
        </w:rPr>
      </w:pPr>
      <w:r>
        <w:rPr>
          <w:sz w:val="20"/>
        </w:rPr>
        <w:t>Обеспечение</w:t>
      </w:r>
      <w:r>
        <w:rPr>
          <w:spacing w:val="-4"/>
          <w:sz w:val="20"/>
        </w:rPr>
        <w:t> </w:t>
      </w:r>
      <w:r>
        <w:rPr>
          <w:sz w:val="20"/>
        </w:rPr>
        <w:t>рефлексии</w:t>
      </w:r>
      <w:r>
        <w:rPr>
          <w:spacing w:val="-4"/>
          <w:sz w:val="20"/>
        </w:rPr>
        <w:t> </w:t>
      </w:r>
      <w:r>
        <w:rPr>
          <w:sz w:val="20"/>
        </w:rPr>
        <w:t>и</w:t>
      </w:r>
      <w:r>
        <w:rPr>
          <w:spacing w:val="-4"/>
          <w:sz w:val="20"/>
        </w:rPr>
        <w:t> </w:t>
      </w:r>
      <w:r>
        <w:rPr>
          <w:sz w:val="20"/>
        </w:rPr>
        <w:t>практического</w:t>
      </w:r>
      <w:r>
        <w:rPr>
          <w:spacing w:val="-4"/>
          <w:sz w:val="20"/>
        </w:rPr>
        <w:t> </w:t>
      </w:r>
      <w:r>
        <w:rPr>
          <w:sz w:val="20"/>
        </w:rPr>
        <w:t>освоения</w:t>
      </w:r>
      <w:r>
        <w:rPr>
          <w:spacing w:val="-4"/>
          <w:sz w:val="20"/>
        </w:rPr>
        <w:t> </w:t>
      </w:r>
      <w:r>
        <w:rPr>
          <w:sz w:val="20"/>
        </w:rPr>
        <w:t>культурно</w:t>
      </w:r>
      <w:r>
        <w:rPr>
          <w:spacing w:val="-4"/>
          <w:sz w:val="20"/>
        </w:rPr>
        <w:t> </w:t>
      </w:r>
      <w:r>
        <w:rPr>
          <w:sz w:val="20"/>
        </w:rPr>
        <w:t>релевантных</w:t>
      </w:r>
      <w:r>
        <w:rPr>
          <w:spacing w:val="-4"/>
          <w:sz w:val="20"/>
        </w:rPr>
        <w:t> </w:t>
      </w:r>
      <w:r>
        <w:rPr>
          <w:sz w:val="20"/>
        </w:rPr>
        <w:t>навы- ков поведения.</w:t>
      </w:r>
    </w:p>
    <w:p>
      <w:pPr>
        <w:spacing w:line="218" w:lineRule="exact" w:before="0"/>
        <w:ind w:left="425" w:right="0" w:firstLine="0"/>
        <w:jc w:val="left"/>
        <w:rPr>
          <w:i/>
          <w:sz w:val="20"/>
        </w:rPr>
      </w:pPr>
      <w:r>
        <w:rPr>
          <w:i/>
          <w:sz w:val="20"/>
        </w:rPr>
        <w:t>В</w:t>
      </w:r>
      <w:r>
        <w:rPr>
          <w:i/>
          <w:spacing w:val="-8"/>
          <w:sz w:val="20"/>
        </w:rPr>
        <w:t> </w:t>
      </w:r>
      <w:r>
        <w:rPr>
          <w:i/>
          <w:sz w:val="20"/>
        </w:rPr>
        <w:t>области</w:t>
      </w:r>
      <w:r>
        <w:rPr>
          <w:i/>
          <w:spacing w:val="-8"/>
          <w:sz w:val="20"/>
        </w:rPr>
        <w:t> </w:t>
      </w:r>
      <w:r>
        <w:rPr>
          <w:i/>
          <w:sz w:val="20"/>
        </w:rPr>
        <w:t>культурной</w:t>
      </w:r>
      <w:r>
        <w:rPr>
          <w:i/>
          <w:spacing w:val="-8"/>
          <w:sz w:val="20"/>
        </w:rPr>
        <w:t> </w:t>
      </w:r>
      <w:r>
        <w:rPr>
          <w:i/>
          <w:spacing w:val="-2"/>
          <w:sz w:val="20"/>
        </w:rPr>
        <w:t>адаптации:</w:t>
      </w:r>
    </w:p>
    <w:p>
      <w:pPr>
        <w:pStyle w:val="ListParagraph"/>
        <w:numPr>
          <w:ilvl w:val="0"/>
          <w:numId w:val="46"/>
        </w:numPr>
        <w:tabs>
          <w:tab w:pos="425" w:val="left" w:leader="none"/>
        </w:tabs>
        <w:spacing w:line="222" w:lineRule="exact" w:before="0" w:after="0"/>
        <w:ind w:left="425" w:right="0" w:hanging="284"/>
        <w:jc w:val="left"/>
        <w:rPr>
          <w:sz w:val="20"/>
        </w:rPr>
      </w:pPr>
      <w:r>
        <w:rPr>
          <w:sz w:val="20"/>
        </w:rPr>
        <w:t>Обеспечение</w:t>
      </w:r>
      <w:r>
        <w:rPr>
          <w:spacing w:val="-12"/>
          <w:sz w:val="20"/>
        </w:rPr>
        <w:t> </w:t>
      </w:r>
      <w:r>
        <w:rPr>
          <w:sz w:val="20"/>
        </w:rPr>
        <w:t>рефлексии</w:t>
      </w:r>
      <w:r>
        <w:rPr>
          <w:spacing w:val="-10"/>
          <w:sz w:val="20"/>
        </w:rPr>
        <w:t> </w:t>
      </w:r>
      <w:r>
        <w:rPr>
          <w:sz w:val="20"/>
        </w:rPr>
        <w:t>культурных</w:t>
      </w:r>
      <w:r>
        <w:rPr>
          <w:spacing w:val="-10"/>
          <w:sz w:val="20"/>
        </w:rPr>
        <w:t> </w:t>
      </w:r>
      <w:r>
        <w:rPr>
          <w:sz w:val="20"/>
        </w:rPr>
        <w:t>норм</w:t>
      </w:r>
      <w:r>
        <w:rPr>
          <w:spacing w:val="-10"/>
          <w:sz w:val="20"/>
        </w:rPr>
        <w:t> </w:t>
      </w:r>
      <w:r>
        <w:rPr>
          <w:sz w:val="20"/>
        </w:rPr>
        <w:t>страны</w:t>
      </w:r>
      <w:r>
        <w:rPr>
          <w:spacing w:val="-10"/>
          <w:sz w:val="20"/>
        </w:rPr>
        <w:t> </w:t>
      </w:r>
      <w:r>
        <w:rPr>
          <w:sz w:val="20"/>
        </w:rPr>
        <w:t>исхода</w:t>
      </w:r>
      <w:r>
        <w:rPr>
          <w:spacing w:val="-10"/>
          <w:sz w:val="20"/>
        </w:rPr>
        <w:t> </w:t>
      </w:r>
      <w:r>
        <w:rPr>
          <w:sz w:val="20"/>
        </w:rPr>
        <w:t>и</w:t>
      </w:r>
      <w:r>
        <w:rPr>
          <w:spacing w:val="-10"/>
          <w:sz w:val="20"/>
        </w:rPr>
        <w:t> </w:t>
      </w:r>
      <w:r>
        <w:rPr>
          <w:sz w:val="20"/>
        </w:rPr>
        <w:t>российской</w:t>
      </w:r>
      <w:r>
        <w:rPr>
          <w:spacing w:val="-9"/>
          <w:sz w:val="20"/>
        </w:rPr>
        <w:t> </w:t>
      </w:r>
      <w:r>
        <w:rPr>
          <w:spacing w:val="-2"/>
          <w:sz w:val="20"/>
        </w:rPr>
        <w:t>культуры.</w:t>
      </w:r>
    </w:p>
    <w:p>
      <w:pPr>
        <w:pStyle w:val="ListParagraph"/>
        <w:numPr>
          <w:ilvl w:val="0"/>
          <w:numId w:val="46"/>
        </w:numPr>
        <w:tabs>
          <w:tab w:pos="425" w:val="left" w:leader="none"/>
        </w:tabs>
        <w:spacing w:line="221" w:lineRule="exact" w:before="0" w:after="0"/>
        <w:ind w:left="425" w:right="0" w:hanging="284"/>
        <w:jc w:val="left"/>
        <w:rPr>
          <w:sz w:val="20"/>
        </w:rPr>
      </w:pPr>
      <w:r>
        <w:rPr>
          <w:sz w:val="20"/>
        </w:rPr>
        <w:t>Содействие</w:t>
      </w:r>
      <w:r>
        <w:rPr>
          <w:spacing w:val="-11"/>
          <w:sz w:val="20"/>
        </w:rPr>
        <w:t> </w:t>
      </w:r>
      <w:r>
        <w:rPr>
          <w:sz w:val="20"/>
        </w:rPr>
        <w:t>формирование</w:t>
      </w:r>
      <w:r>
        <w:rPr>
          <w:spacing w:val="-8"/>
          <w:sz w:val="20"/>
        </w:rPr>
        <w:t> </w:t>
      </w:r>
      <w:r>
        <w:rPr>
          <w:sz w:val="20"/>
        </w:rPr>
        <w:t>позитивной</w:t>
      </w:r>
      <w:r>
        <w:rPr>
          <w:spacing w:val="-9"/>
          <w:sz w:val="20"/>
        </w:rPr>
        <w:t> </w:t>
      </w:r>
      <w:r>
        <w:rPr>
          <w:sz w:val="20"/>
        </w:rPr>
        <w:t>этнической</w:t>
      </w:r>
      <w:r>
        <w:rPr>
          <w:spacing w:val="-9"/>
          <w:sz w:val="20"/>
        </w:rPr>
        <w:t> </w:t>
      </w:r>
      <w:r>
        <w:rPr>
          <w:spacing w:val="-2"/>
          <w:sz w:val="20"/>
        </w:rPr>
        <w:t>идентичности.</w:t>
      </w:r>
    </w:p>
    <w:p>
      <w:pPr>
        <w:pStyle w:val="ListParagraph"/>
        <w:numPr>
          <w:ilvl w:val="0"/>
          <w:numId w:val="46"/>
        </w:numPr>
        <w:tabs>
          <w:tab w:pos="425" w:val="left" w:leader="none"/>
        </w:tabs>
        <w:spacing w:line="220" w:lineRule="exact" w:before="0" w:after="0"/>
        <w:ind w:left="425" w:right="0" w:hanging="284"/>
        <w:jc w:val="left"/>
        <w:rPr>
          <w:sz w:val="20"/>
        </w:rPr>
      </w:pPr>
      <w:r>
        <w:rPr>
          <w:sz w:val="20"/>
        </w:rPr>
        <w:t>Содействие</w:t>
      </w:r>
      <w:r>
        <w:rPr>
          <w:spacing w:val="-13"/>
          <w:sz w:val="20"/>
        </w:rPr>
        <w:t> </w:t>
      </w:r>
      <w:r>
        <w:rPr>
          <w:sz w:val="20"/>
        </w:rPr>
        <w:t>формированию</w:t>
      </w:r>
      <w:r>
        <w:rPr>
          <w:spacing w:val="-11"/>
          <w:sz w:val="20"/>
        </w:rPr>
        <w:t> </w:t>
      </w:r>
      <w:r>
        <w:rPr>
          <w:sz w:val="20"/>
        </w:rPr>
        <w:t>российской</w:t>
      </w:r>
      <w:r>
        <w:rPr>
          <w:spacing w:val="-11"/>
          <w:sz w:val="20"/>
        </w:rPr>
        <w:t> </w:t>
      </w:r>
      <w:r>
        <w:rPr>
          <w:sz w:val="20"/>
        </w:rPr>
        <w:t>гражданской</w:t>
      </w:r>
      <w:r>
        <w:rPr>
          <w:spacing w:val="-10"/>
          <w:sz w:val="20"/>
        </w:rPr>
        <w:t> </w:t>
      </w:r>
      <w:r>
        <w:rPr>
          <w:spacing w:val="-2"/>
          <w:sz w:val="20"/>
        </w:rPr>
        <w:t>идентичности.</w:t>
      </w:r>
    </w:p>
    <w:p>
      <w:pPr>
        <w:pStyle w:val="BodyText"/>
        <w:spacing w:line="230" w:lineRule="auto"/>
      </w:pPr>
      <w:r>
        <w:rPr>
          <w:color w:val="231F20"/>
        </w:rPr>
        <w:t>Необходимо понимать, что пролонгированная углубленная коррекционная и тем более</w:t>
      </w:r>
      <w:r>
        <w:rPr>
          <w:color w:val="231F20"/>
          <w:spacing w:val="-6"/>
        </w:rPr>
        <w:t> </w:t>
      </w:r>
      <w:r>
        <w:rPr>
          <w:color w:val="231F20"/>
        </w:rPr>
        <w:t>психотерапевтическая</w:t>
      </w:r>
      <w:r>
        <w:rPr>
          <w:color w:val="231F20"/>
          <w:spacing w:val="-6"/>
        </w:rPr>
        <w:t> </w:t>
      </w:r>
      <w:r>
        <w:rPr>
          <w:color w:val="231F20"/>
        </w:rPr>
        <w:t>работа</w:t>
      </w:r>
      <w:r>
        <w:rPr>
          <w:color w:val="231F20"/>
          <w:spacing w:val="-6"/>
        </w:rPr>
        <w:t> </w:t>
      </w:r>
      <w:r>
        <w:rPr>
          <w:color w:val="231F20"/>
        </w:rPr>
        <w:t>на</w:t>
      </w:r>
      <w:r>
        <w:rPr>
          <w:color w:val="231F20"/>
          <w:spacing w:val="-6"/>
        </w:rPr>
        <w:t> </w:t>
      </w:r>
      <w:r>
        <w:rPr>
          <w:color w:val="231F20"/>
        </w:rPr>
        <w:t>базе</w:t>
      </w:r>
      <w:r>
        <w:rPr>
          <w:color w:val="231F20"/>
          <w:spacing w:val="-6"/>
        </w:rPr>
        <w:t> </w:t>
      </w:r>
      <w:r>
        <w:rPr>
          <w:color w:val="231F20"/>
        </w:rPr>
        <w:t>образовательной</w:t>
      </w:r>
      <w:r>
        <w:rPr>
          <w:color w:val="231F20"/>
          <w:spacing w:val="-6"/>
        </w:rPr>
        <w:t> </w:t>
      </w:r>
      <w:r>
        <w:rPr>
          <w:color w:val="231F20"/>
        </w:rPr>
        <w:t>организации</w:t>
      </w:r>
      <w:r>
        <w:rPr>
          <w:color w:val="231F20"/>
          <w:spacing w:val="-6"/>
        </w:rPr>
        <w:t> </w:t>
      </w:r>
      <w:r>
        <w:rPr>
          <w:color w:val="231F20"/>
        </w:rPr>
        <w:t>невозмож- на в силу организационных ограничений и, в ряде случаев, в силу специфических требований к компетенциям специалиста, ведущего эту работу. По итогам заключе- ния</w:t>
      </w:r>
      <w:r>
        <w:rPr>
          <w:color w:val="231F20"/>
          <w:spacing w:val="-13"/>
        </w:rPr>
        <w:t> </w:t>
      </w:r>
      <w:r>
        <w:rPr>
          <w:color w:val="231F20"/>
        </w:rPr>
        <w:t>консилиума</w:t>
      </w:r>
      <w:r>
        <w:rPr>
          <w:color w:val="231F20"/>
          <w:spacing w:val="-12"/>
        </w:rPr>
        <w:t> </w:t>
      </w:r>
      <w:r>
        <w:rPr>
          <w:color w:val="231F20"/>
        </w:rPr>
        <w:t>или</w:t>
      </w:r>
      <w:r>
        <w:rPr>
          <w:color w:val="231F20"/>
          <w:spacing w:val="-13"/>
        </w:rPr>
        <w:t> </w:t>
      </w:r>
      <w:r>
        <w:rPr>
          <w:color w:val="231F20"/>
        </w:rPr>
        <w:t>ПМПК,</w:t>
      </w:r>
      <w:r>
        <w:rPr>
          <w:color w:val="231F20"/>
          <w:spacing w:val="-12"/>
        </w:rPr>
        <w:t> </w:t>
      </w:r>
      <w:r>
        <w:rPr>
          <w:color w:val="231F20"/>
        </w:rPr>
        <w:t>а</w:t>
      </w:r>
      <w:r>
        <w:rPr>
          <w:color w:val="231F20"/>
          <w:spacing w:val="-13"/>
        </w:rPr>
        <w:t> </w:t>
      </w:r>
      <w:r>
        <w:rPr>
          <w:color w:val="231F20"/>
        </w:rPr>
        <w:t>также</w:t>
      </w:r>
      <w:r>
        <w:rPr>
          <w:color w:val="231F20"/>
          <w:spacing w:val="-12"/>
        </w:rPr>
        <w:t> </w:t>
      </w:r>
      <w:r>
        <w:rPr>
          <w:color w:val="231F20"/>
        </w:rPr>
        <w:t>по</w:t>
      </w:r>
      <w:r>
        <w:rPr>
          <w:color w:val="231F20"/>
          <w:spacing w:val="-13"/>
        </w:rPr>
        <w:t> </w:t>
      </w:r>
      <w:r>
        <w:rPr>
          <w:color w:val="231F20"/>
        </w:rPr>
        <w:t>итогам</w:t>
      </w:r>
      <w:r>
        <w:rPr>
          <w:color w:val="231F20"/>
          <w:spacing w:val="-12"/>
        </w:rPr>
        <w:t> </w:t>
      </w:r>
      <w:r>
        <w:rPr>
          <w:color w:val="231F20"/>
        </w:rPr>
        <w:t>краткосрочной</w:t>
      </w:r>
      <w:r>
        <w:rPr>
          <w:color w:val="231F20"/>
          <w:spacing w:val="-13"/>
        </w:rPr>
        <w:t> </w:t>
      </w:r>
      <w:r>
        <w:rPr>
          <w:color w:val="231F20"/>
        </w:rPr>
        <w:t>коррекционной</w:t>
      </w:r>
      <w:r>
        <w:rPr>
          <w:color w:val="231F20"/>
          <w:spacing w:val="-12"/>
        </w:rPr>
        <w:t> </w:t>
      </w:r>
      <w:r>
        <w:rPr>
          <w:color w:val="231F20"/>
        </w:rPr>
        <w:t>работы на базе образовательного учреждения может быть принято решение о направлении учащегося на индивидуальную работу в психолого-медико-социальный центр или в другое аналогичное учреждение.</w:t>
      </w:r>
    </w:p>
    <w:p>
      <w:pPr>
        <w:pStyle w:val="BodyText"/>
        <w:spacing w:after="0" w:line="230" w:lineRule="auto"/>
        <w:sectPr>
          <w:pgSz w:w="8400" w:h="11910"/>
          <w:pgMar w:header="0" w:footer="528" w:top="400" w:bottom="740" w:left="425" w:right="425"/>
        </w:sectPr>
      </w:pPr>
    </w:p>
    <w:p>
      <w:pPr>
        <w:pStyle w:val="ListParagraph"/>
        <w:numPr>
          <w:ilvl w:val="1"/>
          <w:numId w:val="47"/>
        </w:numPr>
        <w:tabs>
          <w:tab w:pos="455" w:val="left" w:leader="none"/>
        </w:tabs>
        <w:spacing w:line="240" w:lineRule="auto" w:before="80" w:after="0"/>
        <w:ind w:left="455" w:right="0" w:hanging="314"/>
        <w:jc w:val="both"/>
        <w:rPr>
          <w:rFonts w:ascii="Georgia" w:hAnsi="Georgia"/>
          <w:color w:val="231F20"/>
          <w:sz w:val="18"/>
        </w:rPr>
      </w:pPr>
      <w:bookmarkStart w:name="_bookmark39" w:id="41"/>
      <w:bookmarkEnd w:id="41"/>
      <w:r>
        <w:rPr/>
      </w:r>
      <w:r>
        <w:rPr>
          <w:rFonts w:ascii="Georgia" w:hAnsi="Georgia"/>
          <w:color w:val="231F20"/>
          <w:sz w:val="18"/>
        </w:rPr>
        <w:t>Планирование</w:t>
      </w:r>
      <w:r>
        <w:rPr>
          <w:rFonts w:ascii="Georgia" w:hAnsi="Georgia"/>
          <w:color w:val="231F20"/>
          <w:spacing w:val="4"/>
          <w:sz w:val="18"/>
        </w:rPr>
        <w:t> </w:t>
      </w:r>
      <w:r>
        <w:rPr>
          <w:rFonts w:ascii="Georgia" w:hAnsi="Georgia"/>
          <w:color w:val="231F20"/>
          <w:sz w:val="18"/>
        </w:rPr>
        <w:t>и</w:t>
      </w:r>
      <w:r>
        <w:rPr>
          <w:rFonts w:ascii="Georgia" w:hAnsi="Georgia"/>
          <w:color w:val="231F20"/>
          <w:spacing w:val="4"/>
          <w:sz w:val="18"/>
        </w:rPr>
        <w:t> </w:t>
      </w:r>
      <w:r>
        <w:rPr>
          <w:rFonts w:ascii="Georgia" w:hAnsi="Georgia"/>
          <w:color w:val="231F20"/>
          <w:sz w:val="18"/>
        </w:rPr>
        <w:t>организация</w:t>
      </w:r>
      <w:r>
        <w:rPr>
          <w:rFonts w:ascii="Georgia" w:hAnsi="Georgia"/>
          <w:color w:val="231F20"/>
          <w:spacing w:val="5"/>
          <w:sz w:val="18"/>
        </w:rPr>
        <w:t> </w:t>
      </w:r>
      <w:r>
        <w:rPr>
          <w:rFonts w:ascii="Georgia" w:hAnsi="Georgia"/>
          <w:color w:val="231F20"/>
          <w:sz w:val="18"/>
        </w:rPr>
        <w:t>индивидуальной</w:t>
      </w:r>
      <w:r>
        <w:rPr>
          <w:rFonts w:ascii="Georgia" w:hAnsi="Georgia"/>
          <w:color w:val="231F20"/>
          <w:spacing w:val="4"/>
          <w:sz w:val="18"/>
        </w:rPr>
        <w:t> </w:t>
      </w:r>
      <w:r>
        <w:rPr>
          <w:rFonts w:ascii="Georgia" w:hAnsi="Georgia"/>
          <w:color w:val="231F20"/>
          <w:sz w:val="18"/>
        </w:rPr>
        <w:t>работы</w:t>
      </w:r>
      <w:r>
        <w:rPr>
          <w:rFonts w:ascii="Georgia" w:hAnsi="Georgia"/>
          <w:color w:val="231F20"/>
          <w:spacing w:val="4"/>
          <w:sz w:val="18"/>
        </w:rPr>
        <w:t> </w:t>
      </w:r>
      <w:r>
        <w:rPr>
          <w:rFonts w:ascii="Georgia" w:hAnsi="Georgia"/>
          <w:color w:val="231F20"/>
          <w:sz w:val="18"/>
        </w:rPr>
        <w:t>с</w:t>
      </w:r>
      <w:r>
        <w:rPr>
          <w:rFonts w:ascii="Georgia" w:hAnsi="Georgia"/>
          <w:color w:val="231F20"/>
          <w:spacing w:val="5"/>
          <w:sz w:val="18"/>
        </w:rPr>
        <w:t> </w:t>
      </w:r>
      <w:r>
        <w:rPr>
          <w:rFonts w:ascii="Georgia" w:hAnsi="Georgia"/>
          <w:color w:val="231F20"/>
          <w:spacing w:val="-2"/>
          <w:sz w:val="18"/>
        </w:rPr>
        <w:t>детьми...</w:t>
      </w:r>
    </w:p>
    <w:p>
      <w:pPr>
        <w:numPr>
          <w:ilvl w:val="2"/>
          <w:numId w:val="43"/>
        </w:numPr>
        <w:tabs>
          <w:tab w:pos="2034" w:val="left" w:leader="none"/>
        </w:tabs>
        <w:spacing w:line="230" w:lineRule="auto" w:before="116"/>
        <w:ind w:left="1496" w:right="1494" w:firstLine="38"/>
        <w:jc w:val="both"/>
        <w:rPr>
          <w:b/>
          <w:sz w:val="20"/>
        </w:rPr>
      </w:pPr>
      <w:r>
        <w:rPr>
          <w:b/>
          <w:color w:val="231F20"/>
          <w:sz w:val="20"/>
        </w:rPr>
        <w:t>Взаимодействие</w:t>
      </w:r>
      <w:r>
        <w:rPr>
          <w:b/>
          <w:color w:val="231F20"/>
          <w:spacing w:val="-5"/>
          <w:sz w:val="20"/>
        </w:rPr>
        <w:t> </w:t>
      </w:r>
      <w:r>
        <w:rPr>
          <w:b/>
          <w:color w:val="231F20"/>
          <w:sz w:val="20"/>
        </w:rPr>
        <w:t>с</w:t>
      </w:r>
      <w:r>
        <w:rPr>
          <w:b/>
          <w:color w:val="231F20"/>
          <w:spacing w:val="-5"/>
          <w:sz w:val="20"/>
        </w:rPr>
        <w:t> </w:t>
      </w:r>
      <w:r>
        <w:rPr>
          <w:b/>
          <w:color w:val="231F20"/>
          <w:sz w:val="20"/>
        </w:rPr>
        <w:t>классным</w:t>
      </w:r>
      <w:r>
        <w:rPr>
          <w:b/>
          <w:color w:val="231F20"/>
          <w:spacing w:val="-6"/>
          <w:sz w:val="20"/>
        </w:rPr>
        <w:t> </w:t>
      </w:r>
      <w:r>
        <w:rPr>
          <w:b/>
          <w:color w:val="231F20"/>
          <w:sz w:val="20"/>
        </w:rPr>
        <w:t>руководителем и</w:t>
      </w:r>
      <w:r>
        <w:rPr>
          <w:b/>
          <w:color w:val="231F20"/>
          <w:spacing w:val="-7"/>
          <w:sz w:val="20"/>
        </w:rPr>
        <w:t> </w:t>
      </w:r>
      <w:r>
        <w:rPr>
          <w:b/>
          <w:color w:val="231F20"/>
          <w:sz w:val="20"/>
        </w:rPr>
        <w:t>администрацией</w:t>
      </w:r>
      <w:r>
        <w:rPr>
          <w:b/>
          <w:color w:val="231F20"/>
          <w:spacing w:val="-7"/>
          <w:sz w:val="20"/>
        </w:rPr>
        <w:t> </w:t>
      </w:r>
      <w:r>
        <w:rPr>
          <w:b/>
          <w:color w:val="231F20"/>
          <w:sz w:val="20"/>
        </w:rPr>
        <w:t>в</w:t>
      </w:r>
      <w:r>
        <w:rPr>
          <w:b/>
          <w:color w:val="231F20"/>
          <w:spacing w:val="-6"/>
          <w:sz w:val="20"/>
        </w:rPr>
        <w:t> </w:t>
      </w:r>
      <w:r>
        <w:rPr>
          <w:b/>
          <w:color w:val="231F20"/>
          <w:sz w:val="20"/>
        </w:rPr>
        <w:t>ходе</w:t>
      </w:r>
      <w:r>
        <w:rPr>
          <w:b/>
          <w:color w:val="231F20"/>
          <w:spacing w:val="-7"/>
          <w:sz w:val="20"/>
        </w:rPr>
        <w:t> </w:t>
      </w:r>
      <w:r>
        <w:rPr>
          <w:b/>
          <w:color w:val="231F20"/>
          <w:sz w:val="20"/>
        </w:rPr>
        <w:t>индивидуальной</w:t>
      </w:r>
      <w:r>
        <w:rPr>
          <w:b/>
          <w:color w:val="231F20"/>
          <w:spacing w:val="-6"/>
          <w:sz w:val="20"/>
        </w:rPr>
        <w:t> </w:t>
      </w:r>
      <w:r>
        <w:rPr>
          <w:b/>
          <w:color w:val="231F20"/>
          <w:spacing w:val="-2"/>
          <w:sz w:val="20"/>
        </w:rPr>
        <w:t>работы</w:t>
      </w:r>
    </w:p>
    <w:p>
      <w:pPr>
        <w:pStyle w:val="BodyText"/>
        <w:spacing w:line="235" w:lineRule="auto" w:before="108"/>
      </w:pPr>
      <w:r>
        <w:rPr/>
        <w:t>Индивидуальная</w:t>
      </w:r>
      <w:r>
        <w:rPr>
          <w:spacing w:val="-3"/>
        </w:rPr>
        <w:t> </w:t>
      </w:r>
      <w:r>
        <w:rPr/>
        <w:t>работа</w:t>
      </w:r>
      <w:r>
        <w:rPr>
          <w:spacing w:val="-3"/>
        </w:rPr>
        <w:t> </w:t>
      </w:r>
      <w:r>
        <w:rPr/>
        <w:t>педагога-психолога</w:t>
      </w:r>
      <w:r>
        <w:rPr>
          <w:spacing w:val="-3"/>
        </w:rPr>
        <w:t> </w:t>
      </w:r>
      <w:r>
        <w:rPr/>
        <w:t>с</w:t>
      </w:r>
      <w:r>
        <w:rPr>
          <w:spacing w:val="-3"/>
        </w:rPr>
        <w:t> </w:t>
      </w:r>
      <w:r>
        <w:rPr/>
        <w:t>ребенком</w:t>
      </w:r>
      <w:r>
        <w:rPr>
          <w:spacing w:val="-3"/>
        </w:rPr>
        <w:t> </w:t>
      </w:r>
      <w:r>
        <w:rPr/>
        <w:t>с</w:t>
      </w:r>
      <w:r>
        <w:rPr>
          <w:spacing w:val="-3"/>
        </w:rPr>
        <w:t> </w:t>
      </w:r>
      <w:r>
        <w:rPr/>
        <w:t>миграционным</w:t>
      </w:r>
      <w:r>
        <w:rPr>
          <w:spacing w:val="-3"/>
        </w:rPr>
        <w:t> </w:t>
      </w:r>
      <w:r>
        <w:rPr/>
        <w:t>опытом требует регулярного взаимодействия с классным руководителем и администрацией. Это взаимодействие предполагает:</w:t>
      </w:r>
    </w:p>
    <w:p>
      <w:pPr>
        <w:pStyle w:val="ListParagraph"/>
        <w:numPr>
          <w:ilvl w:val="0"/>
          <w:numId w:val="48"/>
        </w:numPr>
        <w:tabs>
          <w:tab w:pos="425" w:val="left" w:leader="none"/>
        </w:tabs>
        <w:spacing w:line="235" w:lineRule="auto" w:before="2" w:after="0"/>
        <w:ind w:left="425" w:right="139" w:hanging="284"/>
        <w:jc w:val="both"/>
        <w:rPr>
          <w:sz w:val="20"/>
        </w:rPr>
      </w:pPr>
      <w:r>
        <w:rPr>
          <w:sz w:val="20"/>
        </w:rPr>
        <w:t>Согласование задач индивидуальной коррекционной работы и анализ ее эффек- тивности (во время консилиума).</w:t>
      </w:r>
    </w:p>
    <w:p>
      <w:pPr>
        <w:pStyle w:val="ListParagraph"/>
        <w:numPr>
          <w:ilvl w:val="0"/>
          <w:numId w:val="48"/>
        </w:numPr>
        <w:tabs>
          <w:tab w:pos="425" w:val="left" w:leader="none"/>
        </w:tabs>
        <w:spacing w:line="240" w:lineRule="auto" w:before="0" w:after="0"/>
        <w:ind w:left="425" w:right="139" w:hanging="284"/>
        <w:jc w:val="both"/>
        <w:rPr>
          <w:sz w:val="20"/>
        </w:rPr>
      </w:pPr>
      <w:r>
        <w:rPr>
          <w:sz w:val="20"/>
        </w:rPr>
        <w:t>Организационное обеспечение индивидуальной работы (включение занятий в индивидуальный образовательный маршрут, по необходимости направление или сопровождение ребенка на занятие с психологом).</w:t>
      </w:r>
    </w:p>
    <w:p>
      <w:pPr>
        <w:pStyle w:val="ListParagraph"/>
        <w:numPr>
          <w:ilvl w:val="0"/>
          <w:numId w:val="48"/>
        </w:numPr>
        <w:tabs>
          <w:tab w:pos="425" w:val="left" w:leader="none"/>
        </w:tabs>
        <w:spacing w:line="237" w:lineRule="auto" w:before="0" w:after="0"/>
        <w:ind w:left="425" w:right="139" w:hanging="284"/>
        <w:jc w:val="both"/>
        <w:rPr>
          <w:sz w:val="20"/>
        </w:rPr>
      </w:pPr>
      <w:r>
        <w:rPr>
          <w:sz w:val="20"/>
        </w:rPr>
        <w:t>Текущее</w:t>
      </w:r>
      <w:r>
        <w:rPr>
          <w:spacing w:val="-12"/>
          <w:sz w:val="20"/>
        </w:rPr>
        <w:t> </w:t>
      </w:r>
      <w:r>
        <w:rPr>
          <w:sz w:val="20"/>
        </w:rPr>
        <w:t>информирование</w:t>
      </w:r>
      <w:r>
        <w:rPr>
          <w:spacing w:val="-12"/>
          <w:sz w:val="20"/>
        </w:rPr>
        <w:t> </w:t>
      </w:r>
      <w:r>
        <w:rPr>
          <w:sz w:val="20"/>
        </w:rPr>
        <w:t>классного</w:t>
      </w:r>
      <w:r>
        <w:rPr>
          <w:spacing w:val="-12"/>
          <w:sz w:val="20"/>
        </w:rPr>
        <w:t> </w:t>
      </w:r>
      <w:r>
        <w:rPr>
          <w:sz w:val="20"/>
        </w:rPr>
        <w:t>руководителя</w:t>
      </w:r>
      <w:r>
        <w:rPr>
          <w:spacing w:val="-12"/>
          <w:sz w:val="20"/>
        </w:rPr>
        <w:t> </w:t>
      </w:r>
      <w:r>
        <w:rPr>
          <w:sz w:val="20"/>
        </w:rPr>
        <w:t>и</w:t>
      </w:r>
      <w:r>
        <w:rPr>
          <w:spacing w:val="-12"/>
          <w:sz w:val="20"/>
        </w:rPr>
        <w:t> </w:t>
      </w:r>
      <w:r>
        <w:rPr>
          <w:sz w:val="20"/>
        </w:rPr>
        <w:t>администрации</w:t>
      </w:r>
      <w:r>
        <w:rPr>
          <w:spacing w:val="-12"/>
          <w:sz w:val="20"/>
        </w:rPr>
        <w:t> </w:t>
      </w:r>
      <w:r>
        <w:rPr>
          <w:sz w:val="20"/>
        </w:rPr>
        <w:t>о</w:t>
      </w:r>
      <w:r>
        <w:rPr>
          <w:spacing w:val="-12"/>
          <w:sz w:val="20"/>
        </w:rPr>
        <w:t> </w:t>
      </w:r>
      <w:r>
        <w:rPr>
          <w:sz w:val="20"/>
        </w:rPr>
        <w:t>ходе</w:t>
      </w:r>
      <w:r>
        <w:rPr>
          <w:spacing w:val="-12"/>
          <w:sz w:val="20"/>
        </w:rPr>
        <w:t> </w:t>
      </w:r>
      <w:r>
        <w:rPr>
          <w:sz w:val="20"/>
        </w:rPr>
        <w:t>инди- видуальной коррекционной работы.</w:t>
      </w:r>
    </w:p>
    <w:p>
      <w:pPr>
        <w:pStyle w:val="BodyText"/>
      </w:pPr>
      <w:r>
        <w:rPr/>
        <w:t>Перед началом коррекционной работы </w:t>
      </w:r>
      <w:r>
        <w:rPr>
          <w:color w:val="231F20"/>
        </w:rPr>
        <w:t>необходимо, чтобы психолог помог педа- гогам и администрации получить подробные и понятные ответы на следующие во- </w:t>
      </w:r>
      <w:r>
        <w:rPr>
          <w:color w:val="231F20"/>
          <w:spacing w:val="-2"/>
        </w:rPr>
        <w:t>просы.</w:t>
      </w:r>
    </w:p>
    <w:p>
      <w:pPr>
        <w:pStyle w:val="ListParagraph"/>
        <w:numPr>
          <w:ilvl w:val="1"/>
          <w:numId w:val="48"/>
        </w:numPr>
        <w:tabs>
          <w:tab w:pos="423" w:val="left" w:leader="none"/>
        </w:tabs>
        <w:spacing w:line="223" w:lineRule="exact" w:before="0" w:after="0"/>
        <w:ind w:left="423" w:right="0" w:hanging="282"/>
        <w:jc w:val="both"/>
        <w:rPr>
          <w:sz w:val="20"/>
        </w:rPr>
      </w:pPr>
      <w:r>
        <w:rPr>
          <w:color w:val="231F20"/>
          <w:sz w:val="20"/>
        </w:rPr>
        <w:t>Что</w:t>
      </w:r>
      <w:r>
        <w:rPr>
          <w:color w:val="231F20"/>
          <w:spacing w:val="-7"/>
          <w:sz w:val="20"/>
        </w:rPr>
        <w:t> </w:t>
      </w:r>
      <w:r>
        <w:rPr>
          <w:color w:val="231F20"/>
          <w:sz w:val="20"/>
        </w:rPr>
        <w:t>происходит</w:t>
      </w:r>
      <w:r>
        <w:rPr>
          <w:color w:val="231F20"/>
          <w:spacing w:val="-7"/>
          <w:sz w:val="20"/>
        </w:rPr>
        <w:t> </w:t>
      </w:r>
      <w:r>
        <w:rPr>
          <w:color w:val="231F20"/>
          <w:sz w:val="20"/>
        </w:rPr>
        <w:t>с</w:t>
      </w:r>
      <w:r>
        <w:rPr>
          <w:color w:val="231F20"/>
          <w:spacing w:val="-6"/>
          <w:sz w:val="20"/>
        </w:rPr>
        <w:t> </w:t>
      </w:r>
      <w:r>
        <w:rPr>
          <w:color w:val="231F20"/>
          <w:spacing w:val="-2"/>
          <w:sz w:val="20"/>
        </w:rPr>
        <w:t>ребенком?</w:t>
      </w:r>
    </w:p>
    <w:p>
      <w:pPr>
        <w:pStyle w:val="BodyText"/>
      </w:pPr>
      <w:r>
        <w:rPr>
          <w:color w:val="231F20"/>
        </w:rPr>
        <w:t>Педагогам</w:t>
      </w:r>
      <w:r>
        <w:rPr>
          <w:color w:val="231F20"/>
          <w:spacing w:val="-13"/>
        </w:rPr>
        <w:t> </w:t>
      </w:r>
      <w:r>
        <w:rPr>
          <w:color w:val="231F20"/>
        </w:rPr>
        <w:t>должно</w:t>
      </w:r>
      <w:r>
        <w:rPr>
          <w:color w:val="231F20"/>
          <w:spacing w:val="-12"/>
        </w:rPr>
        <w:t> </w:t>
      </w:r>
      <w:r>
        <w:rPr>
          <w:color w:val="231F20"/>
        </w:rPr>
        <w:t>быть</w:t>
      </w:r>
      <w:r>
        <w:rPr>
          <w:color w:val="231F20"/>
          <w:spacing w:val="-13"/>
        </w:rPr>
        <w:t> </w:t>
      </w:r>
      <w:r>
        <w:rPr>
          <w:color w:val="231F20"/>
        </w:rPr>
        <w:t>понятно,</w:t>
      </w:r>
      <w:r>
        <w:rPr>
          <w:color w:val="231F20"/>
          <w:spacing w:val="-12"/>
        </w:rPr>
        <w:t> </w:t>
      </w:r>
      <w:r>
        <w:rPr>
          <w:color w:val="231F20"/>
        </w:rPr>
        <w:t>с</w:t>
      </w:r>
      <w:r>
        <w:rPr>
          <w:color w:val="231F20"/>
          <w:spacing w:val="-13"/>
        </w:rPr>
        <w:t> </w:t>
      </w:r>
      <w:r>
        <w:rPr>
          <w:color w:val="231F20"/>
        </w:rPr>
        <w:t>чем</w:t>
      </w:r>
      <w:r>
        <w:rPr>
          <w:color w:val="231F20"/>
          <w:spacing w:val="-12"/>
        </w:rPr>
        <w:t> </w:t>
      </w:r>
      <w:r>
        <w:rPr>
          <w:color w:val="231F20"/>
        </w:rPr>
        <w:t>связана</w:t>
      </w:r>
      <w:r>
        <w:rPr>
          <w:color w:val="231F20"/>
          <w:spacing w:val="-13"/>
        </w:rPr>
        <w:t> </w:t>
      </w:r>
      <w:r>
        <w:rPr>
          <w:color w:val="231F20"/>
        </w:rPr>
        <w:t>необходимость</w:t>
      </w:r>
      <w:r>
        <w:rPr>
          <w:color w:val="231F20"/>
          <w:spacing w:val="-12"/>
        </w:rPr>
        <w:t> </w:t>
      </w:r>
      <w:r>
        <w:rPr>
          <w:color w:val="231F20"/>
        </w:rPr>
        <w:t>коррекционных</w:t>
      </w:r>
      <w:r>
        <w:rPr>
          <w:color w:val="231F20"/>
          <w:spacing w:val="-13"/>
        </w:rPr>
        <w:t> </w:t>
      </w:r>
      <w:r>
        <w:rPr>
          <w:color w:val="231F20"/>
        </w:rPr>
        <w:t>за- нятий.</w:t>
      </w:r>
      <w:r>
        <w:rPr>
          <w:color w:val="231F20"/>
          <w:spacing w:val="-7"/>
        </w:rPr>
        <w:t> </w:t>
      </w:r>
      <w:r>
        <w:rPr>
          <w:color w:val="231F20"/>
        </w:rPr>
        <w:t>Необходимо</w:t>
      </w:r>
      <w:r>
        <w:rPr>
          <w:color w:val="231F20"/>
          <w:spacing w:val="-7"/>
        </w:rPr>
        <w:t> </w:t>
      </w:r>
      <w:r>
        <w:rPr>
          <w:color w:val="231F20"/>
        </w:rPr>
        <w:t>простым</w:t>
      </w:r>
      <w:r>
        <w:rPr>
          <w:color w:val="231F20"/>
          <w:spacing w:val="-7"/>
        </w:rPr>
        <w:t> </w:t>
      </w:r>
      <w:r>
        <w:rPr>
          <w:color w:val="231F20"/>
        </w:rPr>
        <w:t>и</w:t>
      </w:r>
      <w:r>
        <w:rPr>
          <w:color w:val="231F20"/>
          <w:spacing w:val="-7"/>
        </w:rPr>
        <w:t> </w:t>
      </w:r>
      <w:r>
        <w:rPr>
          <w:color w:val="231F20"/>
        </w:rPr>
        <w:t>понятным</w:t>
      </w:r>
      <w:r>
        <w:rPr>
          <w:color w:val="231F20"/>
          <w:spacing w:val="-7"/>
        </w:rPr>
        <w:t> </w:t>
      </w:r>
      <w:r>
        <w:rPr>
          <w:color w:val="231F20"/>
        </w:rPr>
        <w:t>языком</w:t>
      </w:r>
      <w:r>
        <w:rPr>
          <w:color w:val="231F20"/>
          <w:spacing w:val="-7"/>
        </w:rPr>
        <w:t> </w:t>
      </w:r>
      <w:r>
        <w:rPr>
          <w:color w:val="231F20"/>
        </w:rPr>
        <w:t>объяснить,</w:t>
      </w:r>
      <w:r>
        <w:rPr>
          <w:color w:val="231F20"/>
          <w:spacing w:val="-7"/>
        </w:rPr>
        <w:t> </w:t>
      </w:r>
      <w:r>
        <w:rPr>
          <w:color w:val="231F20"/>
        </w:rPr>
        <w:t>какие</w:t>
      </w:r>
      <w:r>
        <w:rPr>
          <w:color w:val="231F20"/>
          <w:spacing w:val="-7"/>
        </w:rPr>
        <w:t> </w:t>
      </w:r>
      <w:r>
        <w:rPr>
          <w:color w:val="231F20"/>
        </w:rPr>
        <w:t>особые</w:t>
      </w:r>
      <w:r>
        <w:rPr>
          <w:color w:val="231F20"/>
          <w:spacing w:val="-7"/>
        </w:rPr>
        <w:t> </w:t>
      </w:r>
      <w:r>
        <w:rPr>
          <w:color w:val="231F20"/>
        </w:rPr>
        <w:t>(дополни- тельные)</w:t>
      </w:r>
      <w:r>
        <w:rPr>
          <w:color w:val="231F20"/>
          <w:spacing w:val="-5"/>
        </w:rPr>
        <w:t> </w:t>
      </w:r>
      <w:r>
        <w:rPr>
          <w:color w:val="231F20"/>
        </w:rPr>
        <w:t>образовательные</w:t>
      </w:r>
      <w:r>
        <w:rPr>
          <w:color w:val="231F20"/>
          <w:spacing w:val="-5"/>
        </w:rPr>
        <w:t> </w:t>
      </w:r>
      <w:r>
        <w:rPr>
          <w:color w:val="231F20"/>
        </w:rPr>
        <w:t>потребности</w:t>
      </w:r>
      <w:r>
        <w:rPr>
          <w:color w:val="231F20"/>
          <w:spacing w:val="-6"/>
        </w:rPr>
        <w:t> </w:t>
      </w:r>
      <w:r>
        <w:rPr>
          <w:color w:val="231F20"/>
        </w:rPr>
        <w:t>осложняют</w:t>
      </w:r>
      <w:r>
        <w:rPr>
          <w:color w:val="231F20"/>
          <w:spacing w:val="-5"/>
        </w:rPr>
        <w:t> </w:t>
      </w:r>
      <w:r>
        <w:rPr>
          <w:color w:val="231F20"/>
        </w:rPr>
        <w:t>его</w:t>
      </w:r>
      <w:r>
        <w:rPr>
          <w:color w:val="231F20"/>
          <w:spacing w:val="-5"/>
        </w:rPr>
        <w:t> </w:t>
      </w:r>
      <w:r>
        <w:rPr>
          <w:color w:val="231F20"/>
        </w:rPr>
        <w:t>обучение</w:t>
      </w:r>
      <w:r>
        <w:rPr>
          <w:color w:val="231F20"/>
          <w:spacing w:val="-5"/>
        </w:rPr>
        <w:t> </w:t>
      </w:r>
      <w:r>
        <w:rPr>
          <w:color w:val="231F20"/>
        </w:rPr>
        <w:t>или</w:t>
      </w:r>
      <w:r>
        <w:rPr>
          <w:color w:val="231F20"/>
          <w:spacing w:val="-5"/>
        </w:rPr>
        <w:t> </w:t>
      </w:r>
      <w:r>
        <w:rPr>
          <w:color w:val="231F20"/>
        </w:rPr>
        <w:t>социализацию. У</w:t>
      </w:r>
      <w:r>
        <w:rPr>
          <w:color w:val="231F20"/>
          <w:spacing w:val="-9"/>
        </w:rPr>
        <w:t> </w:t>
      </w:r>
      <w:r>
        <w:rPr>
          <w:color w:val="231F20"/>
        </w:rPr>
        <w:t>учителей</w:t>
      </w:r>
      <w:r>
        <w:rPr>
          <w:color w:val="231F20"/>
          <w:spacing w:val="-9"/>
        </w:rPr>
        <w:t> </w:t>
      </w:r>
      <w:r>
        <w:rPr>
          <w:color w:val="231F20"/>
        </w:rPr>
        <w:t>могут</w:t>
      </w:r>
      <w:r>
        <w:rPr>
          <w:color w:val="231F20"/>
          <w:spacing w:val="-9"/>
        </w:rPr>
        <w:t> </w:t>
      </w:r>
      <w:r>
        <w:rPr>
          <w:color w:val="231F20"/>
        </w:rPr>
        <w:t>возникнуть</w:t>
      </w:r>
      <w:r>
        <w:rPr>
          <w:color w:val="231F20"/>
          <w:spacing w:val="-9"/>
        </w:rPr>
        <w:t> </w:t>
      </w:r>
      <w:r>
        <w:rPr>
          <w:color w:val="231F20"/>
        </w:rPr>
        <w:t>вопросы:</w:t>
      </w:r>
      <w:r>
        <w:rPr>
          <w:color w:val="231F20"/>
          <w:spacing w:val="-9"/>
        </w:rPr>
        <w:t> </w:t>
      </w:r>
      <w:r>
        <w:rPr>
          <w:color w:val="231F20"/>
        </w:rPr>
        <w:t>почему</w:t>
      </w:r>
      <w:r>
        <w:rPr>
          <w:color w:val="231F20"/>
          <w:spacing w:val="-9"/>
        </w:rPr>
        <w:t> </w:t>
      </w:r>
      <w:r>
        <w:rPr>
          <w:color w:val="231F20"/>
        </w:rPr>
        <w:t>это</w:t>
      </w:r>
      <w:r>
        <w:rPr>
          <w:color w:val="231F20"/>
          <w:spacing w:val="-9"/>
        </w:rPr>
        <w:t> </w:t>
      </w:r>
      <w:r>
        <w:rPr>
          <w:color w:val="231F20"/>
        </w:rPr>
        <w:t>возникло,</w:t>
      </w:r>
      <w:r>
        <w:rPr>
          <w:color w:val="231F20"/>
          <w:spacing w:val="-9"/>
        </w:rPr>
        <w:t> </w:t>
      </w:r>
      <w:r>
        <w:rPr>
          <w:color w:val="231F20"/>
        </w:rPr>
        <w:t>часто</w:t>
      </w:r>
      <w:r>
        <w:rPr>
          <w:color w:val="231F20"/>
          <w:spacing w:val="-9"/>
        </w:rPr>
        <w:t> </w:t>
      </w:r>
      <w:r>
        <w:rPr>
          <w:color w:val="231F20"/>
        </w:rPr>
        <w:t>ли</w:t>
      </w:r>
      <w:r>
        <w:rPr>
          <w:color w:val="231F20"/>
          <w:spacing w:val="-9"/>
        </w:rPr>
        <w:t> </w:t>
      </w:r>
      <w:r>
        <w:rPr>
          <w:color w:val="231F20"/>
        </w:rPr>
        <w:t>такое</w:t>
      </w:r>
      <w:r>
        <w:rPr>
          <w:color w:val="231F20"/>
          <w:spacing w:val="-9"/>
        </w:rPr>
        <w:t> </w:t>
      </w:r>
      <w:r>
        <w:rPr>
          <w:color w:val="231F20"/>
        </w:rPr>
        <w:t>бывает</w:t>
      </w:r>
      <w:r>
        <w:rPr>
          <w:color w:val="231F20"/>
          <w:spacing w:val="-9"/>
        </w:rPr>
        <w:t> </w:t>
      </w:r>
      <w:r>
        <w:rPr>
          <w:color w:val="231F20"/>
        </w:rPr>
        <w:t>и так далее. На эти вопросы также важно ответить.</w:t>
      </w:r>
    </w:p>
    <w:p>
      <w:pPr>
        <w:pStyle w:val="ListParagraph"/>
        <w:numPr>
          <w:ilvl w:val="1"/>
          <w:numId w:val="48"/>
        </w:numPr>
        <w:tabs>
          <w:tab w:pos="423" w:val="left" w:leader="none"/>
        </w:tabs>
        <w:spacing w:line="219" w:lineRule="exact" w:before="0" w:after="0"/>
        <w:ind w:left="423" w:right="0" w:hanging="282"/>
        <w:jc w:val="both"/>
        <w:rPr>
          <w:sz w:val="20"/>
        </w:rPr>
      </w:pPr>
      <w:r>
        <w:rPr>
          <w:color w:val="231F20"/>
          <w:sz w:val="20"/>
        </w:rPr>
        <w:t>Что</w:t>
      </w:r>
      <w:r>
        <w:rPr>
          <w:color w:val="231F20"/>
          <w:spacing w:val="-11"/>
          <w:sz w:val="20"/>
        </w:rPr>
        <w:t> </w:t>
      </w:r>
      <w:r>
        <w:rPr>
          <w:color w:val="231F20"/>
          <w:sz w:val="20"/>
        </w:rPr>
        <w:t>будет</w:t>
      </w:r>
      <w:r>
        <w:rPr>
          <w:color w:val="231F20"/>
          <w:spacing w:val="-11"/>
          <w:sz w:val="20"/>
        </w:rPr>
        <w:t> </w:t>
      </w:r>
      <w:r>
        <w:rPr>
          <w:color w:val="231F20"/>
          <w:sz w:val="20"/>
        </w:rPr>
        <w:t>делать</w:t>
      </w:r>
      <w:r>
        <w:rPr>
          <w:color w:val="231F20"/>
          <w:spacing w:val="-11"/>
          <w:sz w:val="20"/>
        </w:rPr>
        <w:t> </w:t>
      </w:r>
      <w:r>
        <w:rPr>
          <w:color w:val="231F20"/>
          <w:spacing w:val="-2"/>
          <w:sz w:val="20"/>
        </w:rPr>
        <w:t>психолог?</w:t>
      </w:r>
    </w:p>
    <w:p>
      <w:pPr>
        <w:pStyle w:val="BodyText"/>
      </w:pPr>
      <w:r>
        <w:rPr>
          <w:color w:val="231F20"/>
        </w:rPr>
        <w:t>Важно объяснить, как проходят коррекционные занятия, в частности – что в ар- сенале психолога есть специально подобранные игры, творческие упражнения и др.</w:t>
      </w:r>
    </w:p>
    <w:p>
      <w:pPr>
        <w:pStyle w:val="ListParagraph"/>
        <w:numPr>
          <w:ilvl w:val="1"/>
          <w:numId w:val="48"/>
        </w:numPr>
        <w:tabs>
          <w:tab w:pos="423" w:val="left" w:leader="none"/>
        </w:tabs>
        <w:spacing w:line="225" w:lineRule="exact" w:before="0" w:after="0"/>
        <w:ind w:left="423" w:right="0" w:hanging="282"/>
        <w:jc w:val="both"/>
        <w:rPr>
          <w:sz w:val="20"/>
        </w:rPr>
      </w:pPr>
      <w:r>
        <w:rPr>
          <w:color w:val="231F20"/>
          <w:sz w:val="20"/>
        </w:rPr>
        <w:t>Сколько</w:t>
      </w:r>
      <w:r>
        <w:rPr>
          <w:color w:val="231F20"/>
          <w:spacing w:val="-14"/>
          <w:sz w:val="20"/>
        </w:rPr>
        <w:t> </w:t>
      </w:r>
      <w:r>
        <w:rPr>
          <w:color w:val="231F20"/>
          <w:sz w:val="20"/>
        </w:rPr>
        <w:t>времени</w:t>
      </w:r>
      <w:r>
        <w:rPr>
          <w:color w:val="231F20"/>
          <w:spacing w:val="-12"/>
          <w:sz w:val="20"/>
        </w:rPr>
        <w:t> </w:t>
      </w:r>
      <w:r>
        <w:rPr>
          <w:color w:val="231F20"/>
          <w:sz w:val="20"/>
        </w:rPr>
        <w:t>это</w:t>
      </w:r>
      <w:r>
        <w:rPr>
          <w:color w:val="231F20"/>
          <w:spacing w:val="-11"/>
          <w:sz w:val="20"/>
        </w:rPr>
        <w:t> </w:t>
      </w:r>
      <w:r>
        <w:rPr>
          <w:color w:val="231F20"/>
          <w:spacing w:val="-2"/>
          <w:sz w:val="20"/>
        </w:rPr>
        <w:t>займет?</w:t>
      </w:r>
    </w:p>
    <w:p>
      <w:pPr>
        <w:pStyle w:val="BodyText"/>
      </w:pPr>
      <w:r>
        <w:rPr>
          <w:color w:val="231F20"/>
        </w:rPr>
        <w:t>Следует объяснить, что коррекция – процесс длительный, ее результаты могут быть заметны далеко не сразу. Очень уместным в данном случае будет сравнение с медицинским</w:t>
      </w:r>
      <w:r>
        <w:rPr>
          <w:color w:val="231F20"/>
          <w:spacing w:val="-1"/>
        </w:rPr>
        <w:t> </w:t>
      </w:r>
      <w:r>
        <w:rPr>
          <w:color w:val="231F20"/>
        </w:rPr>
        <w:t>лечением,</w:t>
      </w:r>
      <w:r>
        <w:rPr>
          <w:color w:val="231F20"/>
          <w:spacing w:val="-1"/>
        </w:rPr>
        <w:t> </w:t>
      </w:r>
      <w:r>
        <w:rPr>
          <w:color w:val="231F20"/>
        </w:rPr>
        <w:t>где</w:t>
      </w:r>
      <w:r>
        <w:rPr>
          <w:color w:val="231F20"/>
          <w:spacing w:val="-1"/>
        </w:rPr>
        <w:t> </w:t>
      </w:r>
      <w:r>
        <w:rPr>
          <w:color w:val="231F20"/>
        </w:rPr>
        <w:t>результат</w:t>
      </w:r>
      <w:r>
        <w:rPr>
          <w:color w:val="231F20"/>
          <w:spacing w:val="-1"/>
        </w:rPr>
        <w:t> </w:t>
      </w:r>
      <w:r>
        <w:rPr>
          <w:color w:val="231F20"/>
        </w:rPr>
        <w:t>можно</w:t>
      </w:r>
      <w:r>
        <w:rPr>
          <w:color w:val="231F20"/>
          <w:spacing w:val="-1"/>
        </w:rPr>
        <w:t> </w:t>
      </w:r>
      <w:r>
        <w:rPr>
          <w:color w:val="231F20"/>
        </w:rPr>
        <w:t>увидеть</w:t>
      </w:r>
      <w:r>
        <w:rPr>
          <w:color w:val="231F20"/>
          <w:spacing w:val="-1"/>
        </w:rPr>
        <w:t> </w:t>
      </w:r>
      <w:r>
        <w:rPr>
          <w:color w:val="231F20"/>
        </w:rPr>
        <w:t>после</w:t>
      </w:r>
      <w:r>
        <w:rPr>
          <w:color w:val="231F20"/>
          <w:spacing w:val="-1"/>
        </w:rPr>
        <w:t> </w:t>
      </w:r>
      <w:r>
        <w:rPr>
          <w:color w:val="231F20"/>
        </w:rPr>
        <w:t>завершения</w:t>
      </w:r>
      <w:r>
        <w:rPr>
          <w:color w:val="231F20"/>
          <w:spacing w:val="-1"/>
        </w:rPr>
        <w:t> </w:t>
      </w:r>
      <w:r>
        <w:rPr>
          <w:color w:val="231F20"/>
        </w:rPr>
        <w:t>курса</w:t>
      </w:r>
      <w:r>
        <w:rPr>
          <w:color w:val="231F20"/>
          <w:spacing w:val="-1"/>
        </w:rPr>
        <w:t> </w:t>
      </w:r>
      <w:r>
        <w:rPr>
          <w:color w:val="231F20"/>
        </w:rPr>
        <w:t>прие- ма</w:t>
      </w:r>
      <w:r>
        <w:rPr>
          <w:color w:val="231F20"/>
          <w:spacing w:val="-3"/>
        </w:rPr>
        <w:t> </w:t>
      </w:r>
      <w:r>
        <w:rPr>
          <w:color w:val="231F20"/>
        </w:rPr>
        <w:t>лекарств.</w:t>
      </w:r>
      <w:r>
        <w:rPr>
          <w:color w:val="231F20"/>
          <w:spacing w:val="-3"/>
        </w:rPr>
        <w:t> </w:t>
      </w:r>
      <w:r>
        <w:rPr>
          <w:color w:val="231F20"/>
        </w:rPr>
        <w:t>Если</w:t>
      </w:r>
      <w:r>
        <w:rPr>
          <w:color w:val="231F20"/>
          <w:spacing w:val="-3"/>
        </w:rPr>
        <w:t> </w:t>
      </w:r>
      <w:r>
        <w:rPr>
          <w:color w:val="231F20"/>
        </w:rPr>
        <w:t>количество</w:t>
      </w:r>
      <w:r>
        <w:rPr>
          <w:color w:val="231F20"/>
          <w:spacing w:val="-3"/>
        </w:rPr>
        <w:t> </w:t>
      </w:r>
      <w:r>
        <w:rPr>
          <w:color w:val="231F20"/>
        </w:rPr>
        <w:t>встреч,</w:t>
      </w:r>
      <w:r>
        <w:rPr>
          <w:color w:val="231F20"/>
          <w:spacing w:val="-3"/>
        </w:rPr>
        <w:t> </w:t>
      </w:r>
      <w:r>
        <w:rPr>
          <w:color w:val="231F20"/>
        </w:rPr>
        <w:t>которые</w:t>
      </w:r>
      <w:r>
        <w:rPr>
          <w:color w:val="231F20"/>
          <w:spacing w:val="-3"/>
        </w:rPr>
        <w:t> </w:t>
      </w:r>
      <w:r>
        <w:rPr>
          <w:color w:val="231F20"/>
        </w:rPr>
        <w:t>психолог</w:t>
      </w:r>
      <w:r>
        <w:rPr>
          <w:color w:val="231F20"/>
          <w:spacing w:val="-3"/>
        </w:rPr>
        <w:t> </w:t>
      </w:r>
      <w:r>
        <w:rPr>
          <w:color w:val="231F20"/>
        </w:rPr>
        <w:t>может</w:t>
      </w:r>
      <w:r>
        <w:rPr>
          <w:color w:val="231F20"/>
          <w:spacing w:val="-3"/>
        </w:rPr>
        <w:t> </w:t>
      </w:r>
      <w:r>
        <w:rPr>
          <w:color w:val="231F20"/>
        </w:rPr>
        <w:t>провести</w:t>
      </w:r>
      <w:r>
        <w:rPr>
          <w:color w:val="231F20"/>
          <w:spacing w:val="-3"/>
        </w:rPr>
        <w:t> </w:t>
      </w:r>
      <w:r>
        <w:rPr>
          <w:color w:val="231F20"/>
        </w:rPr>
        <w:t>с</w:t>
      </w:r>
      <w:r>
        <w:rPr>
          <w:color w:val="231F20"/>
          <w:spacing w:val="-3"/>
        </w:rPr>
        <w:t> </w:t>
      </w:r>
      <w:r>
        <w:rPr>
          <w:color w:val="231F20"/>
        </w:rPr>
        <w:t>ребенком, ограничено правилами образовательного учреждения, нужно объяснить родителю, какой результат можно получить за это время.</w:t>
      </w:r>
    </w:p>
    <w:p>
      <w:pPr>
        <w:pStyle w:val="ListParagraph"/>
        <w:numPr>
          <w:ilvl w:val="1"/>
          <w:numId w:val="48"/>
        </w:numPr>
        <w:tabs>
          <w:tab w:pos="423" w:val="left" w:leader="none"/>
        </w:tabs>
        <w:spacing w:line="217" w:lineRule="exact" w:before="0" w:after="0"/>
        <w:ind w:left="423" w:right="0" w:hanging="282"/>
        <w:jc w:val="both"/>
        <w:rPr>
          <w:sz w:val="20"/>
        </w:rPr>
      </w:pPr>
      <w:r>
        <w:rPr>
          <w:color w:val="231F20"/>
          <w:spacing w:val="-2"/>
          <w:sz w:val="20"/>
        </w:rPr>
        <w:t>Каков</w:t>
      </w:r>
      <w:r>
        <w:rPr>
          <w:color w:val="231F20"/>
          <w:spacing w:val="-8"/>
          <w:sz w:val="20"/>
        </w:rPr>
        <w:t> </w:t>
      </w:r>
      <w:r>
        <w:rPr>
          <w:color w:val="231F20"/>
          <w:spacing w:val="-2"/>
          <w:sz w:val="20"/>
        </w:rPr>
        <w:t>будет</w:t>
      </w:r>
      <w:r>
        <w:rPr>
          <w:color w:val="231F20"/>
          <w:spacing w:val="-5"/>
          <w:sz w:val="20"/>
        </w:rPr>
        <w:t> </w:t>
      </w:r>
      <w:r>
        <w:rPr>
          <w:color w:val="231F20"/>
          <w:spacing w:val="-2"/>
          <w:sz w:val="20"/>
        </w:rPr>
        <w:t>результат</w:t>
      </w:r>
      <w:r>
        <w:rPr>
          <w:color w:val="231F20"/>
          <w:spacing w:val="-5"/>
          <w:sz w:val="20"/>
        </w:rPr>
        <w:t> </w:t>
      </w:r>
      <w:r>
        <w:rPr>
          <w:color w:val="231F20"/>
          <w:spacing w:val="-2"/>
          <w:sz w:val="20"/>
        </w:rPr>
        <w:t>коррекционной</w:t>
      </w:r>
      <w:r>
        <w:rPr>
          <w:color w:val="231F20"/>
          <w:spacing w:val="-5"/>
          <w:sz w:val="20"/>
        </w:rPr>
        <w:t> </w:t>
      </w:r>
      <w:r>
        <w:rPr>
          <w:color w:val="231F20"/>
          <w:spacing w:val="-2"/>
          <w:sz w:val="20"/>
        </w:rPr>
        <w:t>работы?</w:t>
      </w:r>
    </w:p>
    <w:p>
      <w:pPr>
        <w:pStyle w:val="BodyText"/>
      </w:pPr>
      <w:r>
        <w:rPr>
          <w:color w:val="231F20"/>
        </w:rPr>
        <w:t>Неудовлетворенность</w:t>
      </w:r>
      <w:r>
        <w:rPr>
          <w:color w:val="231F20"/>
          <w:spacing w:val="-9"/>
        </w:rPr>
        <w:t> </w:t>
      </w:r>
      <w:r>
        <w:rPr>
          <w:color w:val="231F20"/>
        </w:rPr>
        <w:t>педагогов</w:t>
      </w:r>
      <w:r>
        <w:rPr>
          <w:color w:val="231F20"/>
          <w:spacing w:val="-9"/>
        </w:rPr>
        <w:t> </w:t>
      </w:r>
      <w:r>
        <w:rPr>
          <w:color w:val="231F20"/>
        </w:rPr>
        <w:t>работой</w:t>
      </w:r>
      <w:r>
        <w:rPr>
          <w:color w:val="231F20"/>
          <w:spacing w:val="-9"/>
        </w:rPr>
        <w:t> </w:t>
      </w:r>
      <w:r>
        <w:rPr>
          <w:color w:val="231F20"/>
        </w:rPr>
        <w:t>с</w:t>
      </w:r>
      <w:r>
        <w:rPr>
          <w:color w:val="231F20"/>
          <w:spacing w:val="-9"/>
        </w:rPr>
        <w:t> </w:t>
      </w:r>
      <w:r>
        <w:rPr>
          <w:color w:val="231F20"/>
        </w:rPr>
        <w:t>психологом,</w:t>
      </w:r>
      <w:r>
        <w:rPr>
          <w:color w:val="231F20"/>
          <w:spacing w:val="-9"/>
        </w:rPr>
        <w:t> </w:t>
      </w:r>
      <w:r>
        <w:rPr>
          <w:color w:val="231F20"/>
        </w:rPr>
        <w:t>недовольство</w:t>
      </w:r>
      <w:r>
        <w:rPr>
          <w:color w:val="231F20"/>
          <w:spacing w:val="-9"/>
        </w:rPr>
        <w:t> </w:t>
      </w:r>
      <w:r>
        <w:rPr>
          <w:color w:val="231F20"/>
        </w:rPr>
        <w:t>кажущимся отсутствием</w:t>
      </w:r>
      <w:r>
        <w:rPr>
          <w:color w:val="231F20"/>
          <w:spacing w:val="-6"/>
        </w:rPr>
        <w:t> </w:t>
      </w:r>
      <w:r>
        <w:rPr>
          <w:color w:val="231F20"/>
        </w:rPr>
        <w:t>результатов</w:t>
      </w:r>
      <w:r>
        <w:rPr>
          <w:color w:val="231F20"/>
          <w:spacing w:val="-6"/>
        </w:rPr>
        <w:t> </w:t>
      </w:r>
      <w:r>
        <w:rPr>
          <w:color w:val="231F20"/>
        </w:rPr>
        <w:t>чаще</w:t>
      </w:r>
      <w:r>
        <w:rPr>
          <w:color w:val="231F20"/>
          <w:spacing w:val="-6"/>
        </w:rPr>
        <w:t> </w:t>
      </w:r>
      <w:r>
        <w:rPr>
          <w:color w:val="231F20"/>
        </w:rPr>
        <w:t>всего</w:t>
      </w:r>
      <w:r>
        <w:rPr>
          <w:color w:val="231F20"/>
          <w:spacing w:val="-6"/>
        </w:rPr>
        <w:t> </w:t>
      </w:r>
      <w:r>
        <w:rPr>
          <w:color w:val="231F20"/>
        </w:rPr>
        <w:t>связано</w:t>
      </w:r>
      <w:r>
        <w:rPr>
          <w:color w:val="231F20"/>
          <w:spacing w:val="-6"/>
        </w:rPr>
        <w:t> </w:t>
      </w:r>
      <w:r>
        <w:rPr>
          <w:color w:val="231F20"/>
        </w:rPr>
        <w:t>с</w:t>
      </w:r>
      <w:r>
        <w:rPr>
          <w:color w:val="231F20"/>
          <w:spacing w:val="-6"/>
        </w:rPr>
        <w:t> </w:t>
      </w:r>
      <w:r>
        <w:rPr>
          <w:color w:val="231F20"/>
        </w:rPr>
        <w:t>тем,</w:t>
      </w:r>
      <w:r>
        <w:rPr>
          <w:color w:val="231F20"/>
          <w:spacing w:val="-6"/>
        </w:rPr>
        <w:t> </w:t>
      </w:r>
      <w:r>
        <w:rPr>
          <w:color w:val="231F20"/>
        </w:rPr>
        <w:t>что</w:t>
      </w:r>
      <w:r>
        <w:rPr>
          <w:color w:val="231F20"/>
          <w:spacing w:val="-6"/>
        </w:rPr>
        <w:t> </w:t>
      </w:r>
      <w:r>
        <w:rPr>
          <w:color w:val="231F20"/>
        </w:rPr>
        <w:t>в</w:t>
      </w:r>
      <w:r>
        <w:rPr>
          <w:color w:val="231F20"/>
          <w:spacing w:val="-6"/>
        </w:rPr>
        <w:t> </w:t>
      </w:r>
      <w:r>
        <w:rPr>
          <w:color w:val="231F20"/>
        </w:rPr>
        <w:t>начале</w:t>
      </w:r>
      <w:r>
        <w:rPr>
          <w:color w:val="231F20"/>
          <w:spacing w:val="-6"/>
        </w:rPr>
        <w:t> </w:t>
      </w:r>
      <w:r>
        <w:rPr>
          <w:color w:val="231F20"/>
        </w:rPr>
        <w:t>работы</w:t>
      </w:r>
      <w:r>
        <w:rPr>
          <w:color w:val="231F20"/>
          <w:spacing w:val="-6"/>
        </w:rPr>
        <w:t> </w:t>
      </w:r>
      <w:r>
        <w:rPr>
          <w:color w:val="231F20"/>
        </w:rPr>
        <w:t>эти</w:t>
      </w:r>
      <w:r>
        <w:rPr>
          <w:color w:val="231F20"/>
          <w:spacing w:val="-6"/>
        </w:rPr>
        <w:t> </w:t>
      </w:r>
      <w:r>
        <w:rPr>
          <w:color w:val="231F20"/>
        </w:rPr>
        <w:t>результа- ты были недостаточно четко обозначены. В итоге педагоги могут ожидать каких-то глобальных изменений, не связанных с содержанием коррекции.</w:t>
      </w:r>
    </w:p>
    <w:p>
      <w:pPr>
        <w:pStyle w:val="BodyText"/>
        <w:spacing w:line="242" w:lineRule="auto"/>
      </w:pPr>
      <w:r>
        <w:rPr>
          <w:color w:val="231F20"/>
        </w:rPr>
        <w:t>Кроме того, часто происходит смешение психологических и воспитательных за- дач: так, учитель ожидает, что в ходе коррекционной работы ребенок станет более </w:t>
      </w:r>
      <w:r>
        <w:rPr>
          <w:color w:val="231F20"/>
          <w:spacing w:val="-2"/>
        </w:rPr>
        <w:t>послушным.</w:t>
      </w:r>
    </w:p>
    <w:p>
      <w:pPr>
        <w:pStyle w:val="BodyText"/>
      </w:pPr>
      <w:r>
        <w:rPr>
          <w:color w:val="231F20"/>
        </w:rPr>
        <w:t>Важно четко расставить акценты: какие задачи будет решать психолог и каких результатов можно ожидать. Эти задачи должны вытекать из ответа на первый во- прос:</w:t>
      </w:r>
      <w:r>
        <w:rPr>
          <w:color w:val="231F20"/>
          <w:spacing w:val="-10"/>
        </w:rPr>
        <w:t> </w:t>
      </w:r>
      <w:r>
        <w:rPr>
          <w:i/>
          <w:color w:val="231F20"/>
        </w:rPr>
        <w:t>что</w:t>
      </w:r>
      <w:r>
        <w:rPr>
          <w:i/>
          <w:color w:val="231F20"/>
          <w:spacing w:val="-10"/>
        </w:rPr>
        <w:t> </w:t>
      </w:r>
      <w:r>
        <w:rPr>
          <w:i/>
          <w:color w:val="231F20"/>
        </w:rPr>
        <w:t>происходит</w:t>
      </w:r>
      <w:r>
        <w:rPr>
          <w:i/>
          <w:color w:val="231F20"/>
          <w:spacing w:val="-10"/>
        </w:rPr>
        <w:t> </w:t>
      </w:r>
      <w:r>
        <w:rPr>
          <w:i/>
          <w:color w:val="231F20"/>
        </w:rPr>
        <w:t>с</w:t>
      </w:r>
      <w:r>
        <w:rPr>
          <w:i/>
          <w:color w:val="231F20"/>
          <w:spacing w:val="-10"/>
        </w:rPr>
        <w:t> </w:t>
      </w:r>
      <w:r>
        <w:rPr>
          <w:i/>
          <w:color w:val="231F20"/>
        </w:rPr>
        <w:t>ребенком?</w:t>
      </w:r>
      <w:r>
        <w:rPr>
          <w:i/>
          <w:color w:val="231F20"/>
          <w:spacing w:val="-10"/>
        </w:rPr>
        <w:t> </w:t>
      </w:r>
      <w:r>
        <w:rPr>
          <w:color w:val="231F20"/>
        </w:rPr>
        <w:t>Необходимо</w:t>
      </w:r>
      <w:r>
        <w:rPr>
          <w:color w:val="231F20"/>
          <w:spacing w:val="-10"/>
        </w:rPr>
        <w:t> </w:t>
      </w:r>
      <w:r>
        <w:rPr>
          <w:color w:val="231F20"/>
        </w:rPr>
        <w:t>также</w:t>
      </w:r>
      <w:r>
        <w:rPr>
          <w:color w:val="231F20"/>
          <w:spacing w:val="-10"/>
        </w:rPr>
        <w:t> </w:t>
      </w:r>
      <w:r>
        <w:rPr>
          <w:color w:val="231F20"/>
        </w:rPr>
        <w:t>разъяснить,</w:t>
      </w:r>
      <w:r>
        <w:rPr>
          <w:color w:val="231F20"/>
          <w:spacing w:val="-10"/>
        </w:rPr>
        <w:t> </w:t>
      </w:r>
      <w:r>
        <w:rPr>
          <w:color w:val="231F20"/>
        </w:rPr>
        <w:t>что</w:t>
      </w:r>
      <w:r>
        <w:rPr>
          <w:color w:val="231F20"/>
          <w:spacing w:val="-10"/>
        </w:rPr>
        <w:t> </w:t>
      </w:r>
      <w:r>
        <w:rPr>
          <w:color w:val="231F20"/>
        </w:rPr>
        <w:t>одной</w:t>
      </w:r>
      <w:r>
        <w:rPr>
          <w:color w:val="231F20"/>
          <w:spacing w:val="-10"/>
        </w:rPr>
        <w:t> </w:t>
      </w:r>
      <w:r>
        <w:rPr>
          <w:color w:val="231F20"/>
        </w:rPr>
        <w:t>коррек- ционной работы психолога недостаточно, надо подключить других специалистов и </w:t>
      </w:r>
      <w:r>
        <w:rPr>
          <w:color w:val="231F20"/>
          <w:spacing w:val="-2"/>
        </w:rPr>
        <w:t>родителей.</w:t>
      </w:r>
    </w:p>
    <w:p>
      <w:pPr>
        <w:pStyle w:val="BodyText"/>
        <w:spacing w:after="0"/>
        <w:sectPr>
          <w:pgSz w:w="8400" w:h="11910"/>
          <w:pgMar w:header="0" w:footer="528"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ListParagraph"/>
        <w:numPr>
          <w:ilvl w:val="1"/>
          <w:numId w:val="48"/>
        </w:numPr>
        <w:tabs>
          <w:tab w:pos="425" w:val="left" w:leader="none"/>
        </w:tabs>
        <w:spacing w:line="240" w:lineRule="auto" w:before="112" w:after="0"/>
        <w:ind w:left="425" w:right="0" w:hanging="284"/>
        <w:jc w:val="left"/>
        <w:rPr>
          <w:sz w:val="20"/>
        </w:rPr>
      </w:pPr>
      <w:r>
        <w:rPr>
          <w:color w:val="231F20"/>
          <w:sz w:val="20"/>
        </w:rPr>
        <w:t>Есть</w:t>
      </w:r>
      <w:r>
        <w:rPr>
          <w:color w:val="231F20"/>
          <w:spacing w:val="-9"/>
          <w:sz w:val="20"/>
        </w:rPr>
        <w:t> </w:t>
      </w:r>
      <w:r>
        <w:rPr>
          <w:color w:val="231F20"/>
          <w:sz w:val="20"/>
        </w:rPr>
        <w:t>ли</w:t>
      </w:r>
      <w:r>
        <w:rPr>
          <w:color w:val="231F20"/>
          <w:spacing w:val="-6"/>
          <w:sz w:val="20"/>
        </w:rPr>
        <w:t> </w:t>
      </w:r>
      <w:r>
        <w:rPr>
          <w:color w:val="231F20"/>
          <w:sz w:val="20"/>
        </w:rPr>
        <w:t>какие-то</w:t>
      </w:r>
      <w:r>
        <w:rPr>
          <w:color w:val="231F20"/>
          <w:spacing w:val="-5"/>
          <w:sz w:val="20"/>
        </w:rPr>
        <w:t> </w:t>
      </w:r>
      <w:r>
        <w:rPr>
          <w:color w:val="231F20"/>
          <w:sz w:val="20"/>
        </w:rPr>
        <w:t>дополнительные</w:t>
      </w:r>
      <w:r>
        <w:rPr>
          <w:color w:val="231F20"/>
          <w:spacing w:val="-5"/>
          <w:sz w:val="20"/>
        </w:rPr>
        <w:t> </w:t>
      </w:r>
      <w:r>
        <w:rPr>
          <w:color w:val="231F20"/>
          <w:sz w:val="20"/>
        </w:rPr>
        <w:t>условия,</w:t>
      </w:r>
      <w:r>
        <w:rPr>
          <w:color w:val="231F20"/>
          <w:spacing w:val="-5"/>
          <w:sz w:val="20"/>
        </w:rPr>
        <w:t> </w:t>
      </w:r>
      <w:r>
        <w:rPr>
          <w:color w:val="231F20"/>
          <w:sz w:val="20"/>
        </w:rPr>
        <w:t>которые</w:t>
      </w:r>
      <w:r>
        <w:rPr>
          <w:color w:val="231F20"/>
          <w:spacing w:val="-5"/>
          <w:sz w:val="20"/>
        </w:rPr>
        <w:t> </w:t>
      </w:r>
      <w:r>
        <w:rPr>
          <w:color w:val="231F20"/>
          <w:sz w:val="20"/>
        </w:rPr>
        <w:t>следует</w:t>
      </w:r>
      <w:r>
        <w:rPr>
          <w:color w:val="231F20"/>
          <w:spacing w:val="-5"/>
          <w:sz w:val="20"/>
        </w:rPr>
        <w:t> </w:t>
      </w:r>
      <w:r>
        <w:rPr>
          <w:color w:val="231F20"/>
          <w:spacing w:val="-2"/>
          <w:sz w:val="20"/>
        </w:rPr>
        <w:t>соблюдать?</w:t>
      </w:r>
    </w:p>
    <w:p>
      <w:pPr>
        <w:pStyle w:val="BodyText"/>
      </w:pPr>
      <w:r>
        <w:rPr>
          <w:color w:val="231F20"/>
        </w:rPr>
        <w:t>К этим условиям могут относиться рекомендации для родителей/педагогов, вы- полнение назначений врача, посещение дополнительных занятий и пр.</w:t>
      </w:r>
    </w:p>
    <w:p>
      <w:pPr>
        <w:pStyle w:val="BodyText"/>
        <w:spacing w:line="235" w:lineRule="auto"/>
      </w:pPr>
      <w:r>
        <w:rPr>
          <w:color w:val="231F20"/>
        </w:rPr>
        <w:t>Текущее информирование классного руководителя и администрации о ходе ин- дивидуальной работы осуществляется с учетом принципа конфиденциальности. Пе- дагог-психолог может сообщать, что работа ведется, однако о результатах говорить преждевременно, по необходимости привлекать классного руководителя или пред- ставителя администрации к решению административных проблем.</w:t>
      </w:r>
    </w:p>
    <w:p>
      <w:pPr>
        <w:pStyle w:val="BodyText"/>
        <w:spacing w:line="235" w:lineRule="auto" w:before="3"/>
        <w:ind w:right="140"/>
      </w:pPr>
      <w:r>
        <w:rPr>
          <w:color w:val="231F20"/>
        </w:rPr>
        <w:t>По</w:t>
      </w:r>
      <w:r>
        <w:rPr>
          <w:color w:val="231F20"/>
          <w:spacing w:val="-3"/>
        </w:rPr>
        <w:t> </w:t>
      </w:r>
      <w:r>
        <w:rPr>
          <w:color w:val="231F20"/>
        </w:rPr>
        <w:t>завершении</w:t>
      </w:r>
      <w:r>
        <w:rPr>
          <w:color w:val="231F20"/>
          <w:spacing w:val="-4"/>
        </w:rPr>
        <w:t> </w:t>
      </w:r>
      <w:r>
        <w:rPr>
          <w:color w:val="231F20"/>
        </w:rPr>
        <w:t>индивидуальной</w:t>
      </w:r>
      <w:r>
        <w:rPr>
          <w:color w:val="231F20"/>
          <w:spacing w:val="-4"/>
        </w:rPr>
        <w:t> </w:t>
      </w:r>
      <w:r>
        <w:rPr>
          <w:color w:val="231F20"/>
        </w:rPr>
        <w:t>работы</w:t>
      </w:r>
      <w:r>
        <w:rPr>
          <w:color w:val="231F20"/>
          <w:spacing w:val="-4"/>
        </w:rPr>
        <w:t> </w:t>
      </w:r>
      <w:r>
        <w:rPr>
          <w:color w:val="231F20"/>
        </w:rPr>
        <w:t>психолог</w:t>
      </w:r>
      <w:r>
        <w:rPr>
          <w:color w:val="231F20"/>
          <w:spacing w:val="-4"/>
        </w:rPr>
        <w:t> </w:t>
      </w:r>
      <w:r>
        <w:rPr>
          <w:color w:val="231F20"/>
        </w:rPr>
        <w:t>проводит</w:t>
      </w:r>
      <w:r>
        <w:rPr>
          <w:color w:val="231F20"/>
          <w:spacing w:val="-4"/>
        </w:rPr>
        <w:t> </w:t>
      </w:r>
      <w:r>
        <w:rPr>
          <w:color w:val="231F20"/>
        </w:rPr>
        <w:t>ее</w:t>
      </w:r>
      <w:r>
        <w:rPr>
          <w:color w:val="231F20"/>
          <w:spacing w:val="-4"/>
        </w:rPr>
        <w:t> </w:t>
      </w:r>
      <w:r>
        <w:rPr>
          <w:color w:val="231F20"/>
        </w:rPr>
        <w:t>анализ</w:t>
      </w:r>
      <w:r>
        <w:rPr>
          <w:color w:val="231F20"/>
          <w:spacing w:val="-3"/>
        </w:rPr>
        <w:t> </w:t>
      </w:r>
      <w:r>
        <w:rPr>
          <w:color w:val="231F20"/>
        </w:rPr>
        <w:t>и</w:t>
      </w:r>
      <w:r>
        <w:rPr>
          <w:color w:val="231F20"/>
          <w:spacing w:val="-4"/>
        </w:rPr>
        <w:t> </w:t>
      </w:r>
      <w:r>
        <w:rPr>
          <w:color w:val="231F20"/>
        </w:rPr>
        <w:t>знакомит с выводами классного руководителя и представителя администрации.</w:t>
      </w:r>
    </w:p>
    <w:p>
      <w:pPr>
        <w:pStyle w:val="BodyText"/>
        <w:spacing w:after="0" w:line="235" w:lineRule="auto"/>
        <w:sectPr>
          <w:pgSz w:w="8400" w:h="11910"/>
          <w:pgMar w:header="0" w:footer="528" w:top="400" w:bottom="740" w:left="425" w:right="425"/>
        </w:sectPr>
      </w:pPr>
    </w:p>
    <w:p>
      <w:pPr>
        <w:pStyle w:val="ListParagraph"/>
        <w:numPr>
          <w:ilvl w:val="1"/>
          <w:numId w:val="43"/>
        </w:numPr>
        <w:tabs>
          <w:tab w:pos="455" w:val="left" w:leader="none"/>
        </w:tabs>
        <w:spacing w:line="240" w:lineRule="auto" w:before="80" w:after="0"/>
        <w:ind w:left="455" w:right="0" w:hanging="314"/>
        <w:jc w:val="left"/>
        <w:rPr>
          <w:rFonts w:ascii="Georgia" w:hAnsi="Georgia"/>
          <w:color w:val="231F20"/>
          <w:sz w:val="18"/>
        </w:rPr>
      </w:pPr>
      <w:bookmarkStart w:name="_bookmark40" w:id="42"/>
      <w:bookmarkEnd w:id="42"/>
      <w:r>
        <w:rPr/>
      </w:r>
      <w:r>
        <w:rPr>
          <w:rFonts w:ascii="Georgia" w:hAnsi="Georgia"/>
          <w:color w:val="231F20"/>
          <w:sz w:val="18"/>
        </w:rPr>
        <w:t>Учет</w:t>
      </w:r>
      <w:r>
        <w:rPr>
          <w:rFonts w:ascii="Georgia" w:hAnsi="Georgia"/>
          <w:color w:val="231F20"/>
          <w:spacing w:val="11"/>
          <w:sz w:val="18"/>
        </w:rPr>
        <w:t> </w:t>
      </w:r>
      <w:r>
        <w:rPr>
          <w:rFonts w:ascii="Georgia" w:hAnsi="Georgia"/>
          <w:color w:val="231F20"/>
          <w:sz w:val="18"/>
        </w:rPr>
        <w:t>культурно-специфических</w:t>
      </w:r>
      <w:r>
        <w:rPr>
          <w:rFonts w:ascii="Georgia" w:hAnsi="Georgia"/>
          <w:color w:val="231F20"/>
          <w:spacing w:val="12"/>
          <w:sz w:val="18"/>
        </w:rPr>
        <w:t> </w:t>
      </w:r>
      <w:r>
        <w:rPr>
          <w:rFonts w:ascii="Georgia" w:hAnsi="Georgia"/>
          <w:color w:val="231F20"/>
          <w:sz w:val="18"/>
        </w:rPr>
        <w:t>факторов</w:t>
      </w:r>
      <w:r>
        <w:rPr>
          <w:rFonts w:ascii="Georgia" w:hAnsi="Georgia"/>
          <w:color w:val="231F20"/>
          <w:spacing w:val="12"/>
          <w:sz w:val="18"/>
        </w:rPr>
        <w:t> </w:t>
      </w:r>
      <w:r>
        <w:rPr>
          <w:rFonts w:ascii="Georgia" w:hAnsi="Georgia"/>
          <w:color w:val="231F20"/>
          <w:sz w:val="18"/>
        </w:rPr>
        <w:t>в</w:t>
      </w:r>
      <w:r>
        <w:rPr>
          <w:rFonts w:ascii="Georgia" w:hAnsi="Georgia"/>
          <w:color w:val="231F20"/>
          <w:spacing w:val="12"/>
          <w:sz w:val="18"/>
        </w:rPr>
        <w:t> </w:t>
      </w:r>
      <w:r>
        <w:rPr>
          <w:rFonts w:ascii="Georgia" w:hAnsi="Georgia"/>
          <w:color w:val="231F20"/>
          <w:sz w:val="18"/>
        </w:rPr>
        <w:t>консультативной</w:t>
      </w:r>
      <w:r>
        <w:rPr>
          <w:rFonts w:ascii="Georgia" w:hAnsi="Georgia"/>
          <w:color w:val="231F20"/>
          <w:spacing w:val="12"/>
          <w:sz w:val="18"/>
        </w:rPr>
        <w:t> </w:t>
      </w:r>
      <w:r>
        <w:rPr>
          <w:rFonts w:ascii="Georgia" w:hAnsi="Georgia"/>
          <w:color w:val="231F20"/>
          <w:sz w:val="18"/>
        </w:rPr>
        <w:t>и</w:t>
      </w:r>
      <w:r>
        <w:rPr>
          <w:rFonts w:ascii="Georgia" w:hAnsi="Georgia"/>
          <w:color w:val="231F20"/>
          <w:spacing w:val="12"/>
          <w:sz w:val="18"/>
        </w:rPr>
        <w:t> </w:t>
      </w:r>
      <w:r>
        <w:rPr>
          <w:rFonts w:ascii="Georgia" w:hAnsi="Georgia"/>
          <w:color w:val="231F20"/>
          <w:spacing w:val="-2"/>
          <w:sz w:val="18"/>
        </w:rPr>
        <w:t>коррекционной...</w:t>
      </w:r>
    </w:p>
    <w:p>
      <w:pPr>
        <w:numPr>
          <w:ilvl w:val="1"/>
          <w:numId w:val="47"/>
        </w:numPr>
        <w:tabs>
          <w:tab w:pos="1148" w:val="left" w:leader="none"/>
          <w:tab w:pos="1647" w:val="left" w:leader="none"/>
        </w:tabs>
        <w:spacing w:line="235" w:lineRule="auto" w:before="113"/>
        <w:ind w:left="1647" w:right="797" w:hanging="849"/>
        <w:jc w:val="left"/>
        <w:rPr>
          <w:b/>
          <w:color w:val="231F20"/>
          <w:sz w:val="20"/>
        </w:rPr>
      </w:pPr>
      <w:r>
        <w:rPr>
          <w:b/>
          <w:color w:val="231F20"/>
          <w:sz w:val="20"/>
        </w:rPr>
        <w:t>Учет</w:t>
      </w:r>
      <w:r>
        <w:rPr>
          <w:b/>
          <w:color w:val="231F20"/>
          <w:spacing w:val="-13"/>
          <w:sz w:val="20"/>
        </w:rPr>
        <w:t> </w:t>
      </w:r>
      <w:r>
        <w:rPr>
          <w:b/>
          <w:color w:val="231F20"/>
          <w:sz w:val="20"/>
        </w:rPr>
        <w:t>культурно-специфических</w:t>
      </w:r>
      <w:r>
        <w:rPr>
          <w:b/>
          <w:color w:val="231F20"/>
          <w:spacing w:val="-12"/>
          <w:sz w:val="20"/>
        </w:rPr>
        <w:t> </w:t>
      </w:r>
      <w:r>
        <w:rPr>
          <w:b/>
          <w:color w:val="231F20"/>
          <w:sz w:val="20"/>
        </w:rPr>
        <w:t>факторов</w:t>
      </w:r>
      <w:r>
        <w:rPr>
          <w:b/>
          <w:color w:val="231F20"/>
          <w:spacing w:val="-13"/>
          <w:sz w:val="20"/>
        </w:rPr>
        <w:t> </w:t>
      </w:r>
      <w:r>
        <w:rPr>
          <w:b/>
          <w:color w:val="231F20"/>
          <w:sz w:val="20"/>
        </w:rPr>
        <w:t>в</w:t>
      </w:r>
      <w:r>
        <w:rPr>
          <w:b/>
          <w:color w:val="231F20"/>
          <w:spacing w:val="-12"/>
          <w:sz w:val="20"/>
        </w:rPr>
        <w:t> </w:t>
      </w:r>
      <w:r>
        <w:rPr>
          <w:b/>
          <w:color w:val="231F20"/>
          <w:sz w:val="20"/>
        </w:rPr>
        <w:t>консультативной и коррекционной работе с детьми-мигрантами</w:t>
      </w:r>
    </w:p>
    <w:p>
      <w:pPr>
        <w:spacing w:before="167"/>
        <w:ind w:left="141" w:right="139" w:firstLine="0"/>
        <w:jc w:val="right"/>
        <w:rPr>
          <w:i/>
          <w:sz w:val="20"/>
        </w:rPr>
      </w:pPr>
      <w:r>
        <w:rPr>
          <w:i/>
          <w:color w:val="231F20"/>
          <w:sz w:val="20"/>
        </w:rPr>
        <w:t>М.Ю. </w:t>
      </w:r>
      <w:r>
        <w:rPr>
          <w:i/>
          <w:color w:val="231F20"/>
          <w:spacing w:val="-2"/>
          <w:sz w:val="20"/>
        </w:rPr>
        <w:t>Чибисова</w:t>
      </w:r>
    </w:p>
    <w:p>
      <w:pPr>
        <w:pStyle w:val="BodyText"/>
        <w:spacing w:line="235" w:lineRule="auto" w:before="113"/>
        <w:jc w:val="right"/>
      </w:pPr>
      <w:r>
        <w:rPr>
          <w:color w:val="231F20"/>
          <w:spacing w:val="-2"/>
        </w:rPr>
        <w:t>В консультативной и коррекционной работе с ребенком-мигрантом психолог стал- </w:t>
      </w:r>
      <w:r>
        <w:rPr>
          <w:color w:val="231F20"/>
        </w:rPr>
        <w:t>кивается</w:t>
      </w:r>
      <w:r>
        <w:rPr>
          <w:color w:val="231F20"/>
          <w:spacing w:val="-13"/>
        </w:rPr>
        <w:t> </w:t>
      </w:r>
      <w:r>
        <w:rPr>
          <w:color w:val="231F20"/>
        </w:rPr>
        <w:t>с</w:t>
      </w:r>
      <w:r>
        <w:rPr>
          <w:color w:val="231F20"/>
          <w:spacing w:val="-12"/>
        </w:rPr>
        <w:t> </w:t>
      </w:r>
      <w:r>
        <w:rPr>
          <w:color w:val="231F20"/>
        </w:rPr>
        <w:t>таким</w:t>
      </w:r>
      <w:r>
        <w:rPr>
          <w:color w:val="231F20"/>
          <w:spacing w:val="-13"/>
        </w:rPr>
        <w:t> </w:t>
      </w:r>
      <w:r>
        <w:rPr>
          <w:color w:val="231F20"/>
        </w:rPr>
        <w:t>феноменом,</w:t>
      </w:r>
      <w:r>
        <w:rPr>
          <w:color w:val="231F20"/>
          <w:spacing w:val="-12"/>
        </w:rPr>
        <w:t> </w:t>
      </w:r>
      <w:r>
        <w:rPr>
          <w:color w:val="231F20"/>
        </w:rPr>
        <w:t>как</w:t>
      </w:r>
      <w:r>
        <w:rPr>
          <w:color w:val="231F20"/>
          <w:spacing w:val="-13"/>
        </w:rPr>
        <w:t> </w:t>
      </w:r>
      <w:r>
        <w:rPr>
          <w:color w:val="231F20"/>
        </w:rPr>
        <w:t>культурные</w:t>
      </w:r>
      <w:r>
        <w:rPr>
          <w:color w:val="231F20"/>
          <w:spacing w:val="-12"/>
        </w:rPr>
        <w:t> </w:t>
      </w:r>
      <w:r>
        <w:rPr>
          <w:color w:val="231F20"/>
        </w:rPr>
        <w:t>различия.</w:t>
      </w:r>
      <w:r>
        <w:rPr>
          <w:color w:val="231F20"/>
          <w:spacing w:val="-13"/>
        </w:rPr>
        <w:t> </w:t>
      </w:r>
      <w:r>
        <w:rPr>
          <w:color w:val="231F20"/>
        </w:rPr>
        <w:t>Культурой</w:t>
      </w:r>
      <w:r>
        <w:rPr>
          <w:color w:val="231F20"/>
          <w:spacing w:val="-12"/>
        </w:rPr>
        <w:t> </w:t>
      </w:r>
      <w:r>
        <w:rPr>
          <w:color w:val="231F20"/>
        </w:rPr>
        <w:t>в</w:t>
      </w:r>
      <w:r>
        <w:rPr>
          <w:color w:val="231F20"/>
          <w:spacing w:val="-13"/>
        </w:rPr>
        <w:t> </w:t>
      </w:r>
      <w:r>
        <w:rPr>
          <w:color w:val="231F20"/>
        </w:rPr>
        <w:t>психологии</w:t>
      </w:r>
      <w:r>
        <w:rPr>
          <w:color w:val="231F20"/>
          <w:spacing w:val="-12"/>
        </w:rPr>
        <w:t> </w:t>
      </w:r>
      <w:r>
        <w:rPr>
          <w:color w:val="231F20"/>
        </w:rPr>
        <w:t>при- нято</w:t>
      </w:r>
      <w:r>
        <w:rPr>
          <w:color w:val="231F20"/>
          <w:spacing w:val="-12"/>
        </w:rPr>
        <w:t> </w:t>
      </w:r>
      <w:r>
        <w:rPr>
          <w:color w:val="231F20"/>
        </w:rPr>
        <w:t>называть</w:t>
      </w:r>
      <w:r>
        <w:rPr>
          <w:color w:val="231F20"/>
          <w:spacing w:val="-12"/>
        </w:rPr>
        <w:t> </w:t>
      </w:r>
      <w:r>
        <w:rPr/>
        <w:t>систему</w:t>
      </w:r>
      <w:r>
        <w:rPr>
          <w:spacing w:val="-12"/>
        </w:rPr>
        <w:t> </w:t>
      </w:r>
      <w:r>
        <w:rPr/>
        <w:t>представлений,</w:t>
      </w:r>
      <w:r>
        <w:rPr>
          <w:spacing w:val="-12"/>
        </w:rPr>
        <w:t> </w:t>
      </w:r>
      <w:r>
        <w:rPr/>
        <w:t>правил,</w:t>
      </w:r>
      <w:r>
        <w:rPr>
          <w:spacing w:val="-12"/>
        </w:rPr>
        <w:t> </w:t>
      </w:r>
      <w:r>
        <w:rPr/>
        <w:t>установок,</w:t>
      </w:r>
      <w:r>
        <w:rPr>
          <w:spacing w:val="-12"/>
        </w:rPr>
        <w:t> </w:t>
      </w:r>
      <w:r>
        <w:rPr/>
        <w:t>ценностей</w:t>
      </w:r>
      <w:r>
        <w:rPr>
          <w:spacing w:val="-12"/>
        </w:rPr>
        <w:t> </w:t>
      </w:r>
      <w:r>
        <w:rPr/>
        <w:t>и</w:t>
      </w:r>
      <w:r>
        <w:rPr>
          <w:spacing w:val="-12"/>
        </w:rPr>
        <w:t> </w:t>
      </w:r>
      <w:r>
        <w:rPr/>
        <w:t>моделей</w:t>
      </w:r>
      <w:r>
        <w:rPr>
          <w:spacing w:val="-12"/>
        </w:rPr>
        <w:t> </w:t>
      </w:r>
      <w:r>
        <w:rPr/>
        <w:t>пове- </w:t>
      </w:r>
      <w:r>
        <w:rPr>
          <w:spacing w:val="-2"/>
        </w:rPr>
        <w:t>дения,</w:t>
      </w:r>
      <w:r>
        <w:rPr>
          <w:spacing w:val="-5"/>
        </w:rPr>
        <w:t> </w:t>
      </w:r>
      <w:r>
        <w:rPr>
          <w:spacing w:val="-2"/>
        </w:rPr>
        <w:t>общих для</w:t>
      </w:r>
      <w:r>
        <w:rPr>
          <w:spacing w:val="-3"/>
        </w:rPr>
        <w:t> </w:t>
      </w:r>
      <w:r>
        <w:rPr>
          <w:spacing w:val="-2"/>
        </w:rPr>
        <w:t>группы людей</w:t>
      </w:r>
      <w:r>
        <w:rPr>
          <w:spacing w:val="-3"/>
        </w:rPr>
        <w:t> </w:t>
      </w:r>
      <w:r>
        <w:rPr>
          <w:spacing w:val="-2"/>
        </w:rPr>
        <w:t>и обеспечивающих</w:t>
      </w:r>
      <w:r>
        <w:rPr>
          <w:spacing w:val="-3"/>
        </w:rPr>
        <w:t> </w:t>
      </w:r>
      <w:r>
        <w:rPr>
          <w:spacing w:val="-2"/>
        </w:rPr>
        <w:t>ее устойчивость</w:t>
      </w:r>
      <w:r>
        <w:rPr>
          <w:spacing w:val="-3"/>
        </w:rPr>
        <w:t> </w:t>
      </w:r>
      <w:r>
        <w:rPr>
          <w:spacing w:val="-2"/>
        </w:rPr>
        <w:t>(Н.М. Лебедева).</w:t>
      </w:r>
    </w:p>
    <w:p>
      <w:pPr>
        <w:pStyle w:val="BodyText"/>
        <w:spacing w:line="235" w:lineRule="auto" w:before="3"/>
      </w:pPr>
      <w:r>
        <w:rPr>
          <w:color w:val="231F20"/>
        </w:rPr>
        <w:t>Прежде всего отметим, что культура является атрибутом группы. В зависимости от специфики группы можно говорить о профессиональной культуре, религиозной культуре</w:t>
      </w:r>
      <w:r>
        <w:rPr>
          <w:color w:val="231F20"/>
          <w:spacing w:val="-6"/>
        </w:rPr>
        <w:t> </w:t>
      </w:r>
      <w:r>
        <w:rPr>
          <w:color w:val="231F20"/>
        </w:rPr>
        <w:t>и</w:t>
      </w:r>
      <w:r>
        <w:rPr>
          <w:color w:val="231F20"/>
          <w:spacing w:val="-6"/>
        </w:rPr>
        <w:t> </w:t>
      </w:r>
      <w:r>
        <w:rPr>
          <w:color w:val="231F20"/>
        </w:rPr>
        <w:t>др.</w:t>
      </w:r>
      <w:r>
        <w:rPr>
          <w:color w:val="231F20"/>
          <w:spacing w:val="-6"/>
        </w:rPr>
        <w:t> </w:t>
      </w:r>
      <w:r>
        <w:rPr>
          <w:color w:val="231F20"/>
        </w:rPr>
        <w:t>В</w:t>
      </w:r>
      <w:r>
        <w:rPr>
          <w:color w:val="231F20"/>
          <w:spacing w:val="-6"/>
        </w:rPr>
        <w:t> </w:t>
      </w:r>
      <w:r>
        <w:rPr>
          <w:color w:val="231F20"/>
        </w:rPr>
        <w:t>свете</w:t>
      </w:r>
      <w:r>
        <w:rPr>
          <w:color w:val="231F20"/>
          <w:spacing w:val="-6"/>
        </w:rPr>
        <w:t> </w:t>
      </w:r>
      <w:r>
        <w:rPr>
          <w:color w:val="231F20"/>
        </w:rPr>
        <w:t>выбранной</w:t>
      </w:r>
      <w:r>
        <w:rPr>
          <w:color w:val="231F20"/>
          <w:spacing w:val="-6"/>
        </w:rPr>
        <w:t> </w:t>
      </w:r>
      <w:r>
        <w:rPr>
          <w:color w:val="231F20"/>
        </w:rPr>
        <w:t>нами</w:t>
      </w:r>
      <w:r>
        <w:rPr>
          <w:color w:val="231F20"/>
          <w:spacing w:val="-6"/>
        </w:rPr>
        <w:t> </w:t>
      </w:r>
      <w:r>
        <w:rPr>
          <w:color w:val="231F20"/>
        </w:rPr>
        <w:t>темы</w:t>
      </w:r>
      <w:r>
        <w:rPr>
          <w:color w:val="231F20"/>
          <w:spacing w:val="-6"/>
        </w:rPr>
        <w:t> </w:t>
      </w:r>
      <w:r>
        <w:rPr>
          <w:color w:val="231F20"/>
        </w:rPr>
        <w:t>мы</w:t>
      </w:r>
      <w:r>
        <w:rPr>
          <w:color w:val="231F20"/>
          <w:spacing w:val="-6"/>
        </w:rPr>
        <w:t> </w:t>
      </w:r>
      <w:r>
        <w:rPr>
          <w:color w:val="231F20"/>
        </w:rPr>
        <w:t>будем</w:t>
      </w:r>
      <w:r>
        <w:rPr>
          <w:color w:val="231F20"/>
          <w:spacing w:val="-6"/>
        </w:rPr>
        <w:t> </w:t>
      </w:r>
      <w:r>
        <w:rPr>
          <w:color w:val="231F20"/>
        </w:rPr>
        <w:t>преимущественно</w:t>
      </w:r>
      <w:r>
        <w:rPr>
          <w:color w:val="231F20"/>
          <w:spacing w:val="-6"/>
        </w:rPr>
        <w:t> </w:t>
      </w:r>
      <w:r>
        <w:rPr>
          <w:color w:val="231F20"/>
        </w:rPr>
        <w:t>говорить</w:t>
      </w:r>
      <w:r>
        <w:rPr>
          <w:color w:val="231F20"/>
          <w:spacing w:val="-6"/>
        </w:rPr>
        <w:t> </w:t>
      </w:r>
      <w:r>
        <w:rPr>
          <w:color w:val="231F20"/>
        </w:rPr>
        <w:t>о национальной, или этнической, культуре, т.е. культуре этнических групп.</w:t>
      </w:r>
    </w:p>
    <w:p>
      <w:pPr>
        <w:pStyle w:val="BodyText"/>
        <w:spacing w:line="235" w:lineRule="auto" w:before="2"/>
      </w:pPr>
      <w:r>
        <w:rPr>
          <w:color w:val="231F20"/>
        </w:rPr>
        <w:t>Для того чтобы лучше представить многоплановость культуры, ее можно срав- нить с айсбергом (Sandu, Lyamouri-Bajja, 2018).</w:t>
      </w:r>
    </w:p>
    <w:p>
      <w:pPr>
        <w:pStyle w:val="BodyText"/>
        <w:spacing w:line="235" w:lineRule="auto" w:before="1"/>
      </w:pPr>
      <w:r>
        <w:rPr>
          <w:color w:val="231F20"/>
        </w:rPr>
        <w:t>«Надводная»</w:t>
      </w:r>
      <w:r>
        <w:rPr>
          <w:color w:val="231F20"/>
          <w:spacing w:val="-9"/>
        </w:rPr>
        <w:t> </w:t>
      </w:r>
      <w:r>
        <w:rPr>
          <w:color w:val="231F20"/>
        </w:rPr>
        <w:t>часть</w:t>
      </w:r>
      <w:r>
        <w:rPr>
          <w:color w:val="231F20"/>
          <w:spacing w:val="-9"/>
        </w:rPr>
        <w:t> </w:t>
      </w:r>
      <w:r>
        <w:rPr>
          <w:color w:val="231F20"/>
        </w:rPr>
        <w:t>айсберга</w:t>
      </w:r>
      <w:r>
        <w:rPr>
          <w:color w:val="231F20"/>
          <w:spacing w:val="-9"/>
        </w:rPr>
        <w:t> </w:t>
      </w:r>
      <w:r>
        <w:rPr>
          <w:color w:val="231F20"/>
        </w:rPr>
        <w:t>–</w:t>
      </w:r>
      <w:r>
        <w:rPr>
          <w:color w:val="231F20"/>
          <w:spacing w:val="-9"/>
        </w:rPr>
        <w:t> </w:t>
      </w:r>
      <w:r>
        <w:rPr>
          <w:color w:val="231F20"/>
        </w:rPr>
        <w:t>это</w:t>
      </w:r>
      <w:r>
        <w:rPr>
          <w:color w:val="231F20"/>
          <w:spacing w:val="-9"/>
        </w:rPr>
        <w:t> </w:t>
      </w:r>
      <w:r>
        <w:rPr>
          <w:color w:val="231F20"/>
        </w:rPr>
        <w:t>те</w:t>
      </w:r>
      <w:r>
        <w:rPr>
          <w:color w:val="231F20"/>
          <w:spacing w:val="-9"/>
        </w:rPr>
        <w:t> </w:t>
      </w:r>
      <w:r>
        <w:rPr>
          <w:color w:val="231F20"/>
        </w:rPr>
        <w:t>элементы</w:t>
      </w:r>
      <w:r>
        <w:rPr>
          <w:color w:val="231F20"/>
          <w:spacing w:val="-9"/>
        </w:rPr>
        <w:t> </w:t>
      </w:r>
      <w:r>
        <w:rPr>
          <w:color w:val="231F20"/>
        </w:rPr>
        <w:t>культуры,</w:t>
      </w:r>
      <w:r>
        <w:rPr>
          <w:color w:val="231F20"/>
          <w:spacing w:val="-9"/>
        </w:rPr>
        <w:t> </w:t>
      </w:r>
      <w:r>
        <w:rPr>
          <w:color w:val="231F20"/>
        </w:rPr>
        <w:t>которые</w:t>
      </w:r>
      <w:r>
        <w:rPr>
          <w:color w:val="231F20"/>
          <w:spacing w:val="-9"/>
        </w:rPr>
        <w:t> </w:t>
      </w:r>
      <w:r>
        <w:rPr>
          <w:color w:val="231F20"/>
        </w:rPr>
        <w:t>легко</w:t>
      </w:r>
      <w:r>
        <w:rPr>
          <w:color w:val="231F20"/>
          <w:spacing w:val="-9"/>
        </w:rPr>
        <w:t> </w:t>
      </w:r>
      <w:r>
        <w:rPr>
          <w:color w:val="231F20"/>
        </w:rPr>
        <w:t>заметить, осознаваемые, видимые элементы. Именно о них говорят в первую очередь, когда речь</w:t>
      </w:r>
      <w:r>
        <w:rPr>
          <w:color w:val="231F20"/>
          <w:spacing w:val="-8"/>
        </w:rPr>
        <w:t> </w:t>
      </w:r>
      <w:r>
        <w:rPr>
          <w:color w:val="231F20"/>
        </w:rPr>
        <w:t>заходит</w:t>
      </w:r>
      <w:r>
        <w:rPr>
          <w:color w:val="231F20"/>
          <w:spacing w:val="-8"/>
        </w:rPr>
        <w:t> </w:t>
      </w:r>
      <w:r>
        <w:rPr>
          <w:color w:val="231F20"/>
        </w:rPr>
        <w:t>о</w:t>
      </w:r>
      <w:r>
        <w:rPr>
          <w:color w:val="231F20"/>
          <w:spacing w:val="-8"/>
        </w:rPr>
        <w:t> </w:t>
      </w:r>
      <w:r>
        <w:rPr>
          <w:color w:val="231F20"/>
        </w:rPr>
        <w:t>культурных</w:t>
      </w:r>
      <w:r>
        <w:rPr>
          <w:color w:val="231F20"/>
          <w:spacing w:val="-8"/>
        </w:rPr>
        <w:t> </w:t>
      </w:r>
      <w:r>
        <w:rPr>
          <w:color w:val="231F20"/>
        </w:rPr>
        <w:t>различиях.</w:t>
      </w:r>
      <w:r>
        <w:rPr>
          <w:color w:val="231F20"/>
          <w:spacing w:val="-8"/>
        </w:rPr>
        <w:t> </w:t>
      </w:r>
      <w:r>
        <w:rPr>
          <w:color w:val="231F20"/>
        </w:rPr>
        <w:t>Сюда</w:t>
      </w:r>
      <w:r>
        <w:rPr>
          <w:color w:val="231F20"/>
          <w:spacing w:val="-8"/>
        </w:rPr>
        <w:t> </w:t>
      </w:r>
      <w:r>
        <w:rPr>
          <w:color w:val="231F20"/>
        </w:rPr>
        <w:t>можно</w:t>
      </w:r>
      <w:r>
        <w:rPr>
          <w:color w:val="231F20"/>
          <w:spacing w:val="-8"/>
        </w:rPr>
        <w:t> </w:t>
      </w:r>
      <w:r>
        <w:rPr>
          <w:color w:val="231F20"/>
        </w:rPr>
        <w:t>отнести</w:t>
      </w:r>
      <w:r>
        <w:rPr>
          <w:color w:val="231F20"/>
          <w:spacing w:val="-8"/>
        </w:rPr>
        <w:t> </w:t>
      </w:r>
      <w:r>
        <w:rPr>
          <w:color w:val="231F20"/>
        </w:rPr>
        <w:t>язык,</w:t>
      </w:r>
      <w:r>
        <w:rPr>
          <w:color w:val="231F20"/>
          <w:spacing w:val="-8"/>
        </w:rPr>
        <w:t> </w:t>
      </w:r>
      <w:r>
        <w:rPr>
          <w:color w:val="231F20"/>
        </w:rPr>
        <w:t>обычаи,</w:t>
      </w:r>
      <w:r>
        <w:rPr>
          <w:color w:val="231F20"/>
          <w:spacing w:val="-8"/>
        </w:rPr>
        <w:t> </w:t>
      </w:r>
      <w:r>
        <w:rPr>
          <w:color w:val="231F20"/>
        </w:rPr>
        <w:t>фольклор, национальную</w:t>
      </w:r>
      <w:r>
        <w:rPr>
          <w:color w:val="231F20"/>
          <w:spacing w:val="-6"/>
        </w:rPr>
        <w:t> </w:t>
      </w:r>
      <w:r>
        <w:rPr>
          <w:color w:val="231F20"/>
        </w:rPr>
        <w:t>кухню,</w:t>
      </w:r>
      <w:r>
        <w:rPr>
          <w:color w:val="231F20"/>
          <w:spacing w:val="-6"/>
        </w:rPr>
        <w:t> </w:t>
      </w:r>
      <w:r>
        <w:rPr>
          <w:color w:val="231F20"/>
        </w:rPr>
        <w:t>народные</w:t>
      </w:r>
      <w:r>
        <w:rPr>
          <w:color w:val="231F20"/>
          <w:spacing w:val="-6"/>
        </w:rPr>
        <w:t> </w:t>
      </w:r>
      <w:r>
        <w:rPr>
          <w:color w:val="231F20"/>
        </w:rPr>
        <w:t>промыслы,</w:t>
      </w:r>
      <w:r>
        <w:rPr>
          <w:color w:val="231F20"/>
          <w:spacing w:val="-6"/>
        </w:rPr>
        <w:t> </w:t>
      </w:r>
      <w:r>
        <w:rPr>
          <w:color w:val="231F20"/>
        </w:rPr>
        <w:t>традиционные</w:t>
      </w:r>
      <w:r>
        <w:rPr>
          <w:color w:val="231F20"/>
          <w:spacing w:val="-6"/>
        </w:rPr>
        <w:t> </w:t>
      </w:r>
      <w:r>
        <w:rPr>
          <w:color w:val="231F20"/>
        </w:rPr>
        <w:t>костюмы,</w:t>
      </w:r>
      <w:r>
        <w:rPr>
          <w:color w:val="231F20"/>
          <w:spacing w:val="-6"/>
        </w:rPr>
        <w:t> </w:t>
      </w:r>
      <w:r>
        <w:rPr>
          <w:color w:val="231F20"/>
        </w:rPr>
        <w:t>песни</w:t>
      </w:r>
      <w:r>
        <w:rPr>
          <w:color w:val="231F20"/>
          <w:spacing w:val="-6"/>
        </w:rPr>
        <w:t> </w:t>
      </w:r>
      <w:r>
        <w:rPr>
          <w:color w:val="231F20"/>
        </w:rPr>
        <w:t>и</w:t>
      </w:r>
      <w:r>
        <w:rPr>
          <w:color w:val="231F20"/>
          <w:spacing w:val="-6"/>
        </w:rPr>
        <w:t> </w:t>
      </w:r>
      <w:r>
        <w:rPr>
          <w:color w:val="231F20"/>
        </w:rPr>
        <w:t>танцы, </w:t>
      </w:r>
      <w:r>
        <w:rPr>
          <w:color w:val="231F20"/>
          <w:spacing w:val="-2"/>
        </w:rPr>
        <w:t>игры</w:t>
      </w:r>
      <w:r>
        <w:rPr>
          <w:color w:val="231F20"/>
          <w:spacing w:val="-4"/>
        </w:rPr>
        <w:t> </w:t>
      </w:r>
      <w:r>
        <w:rPr>
          <w:color w:val="231F20"/>
          <w:spacing w:val="-2"/>
        </w:rPr>
        <w:t>и</w:t>
      </w:r>
      <w:r>
        <w:rPr>
          <w:color w:val="231F20"/>
          <w:spacing w:val="-4"/>
        </w:rPr>
        <w:t> </w:t>
      </w:r>
      <w:r>
        <w:rPr>
          <w:color w:val="231F20"/>
          <w:spacing w:val="-2"/>
        </w:rPr>
        <w:t>пр.</w:t>
      </w:r>
      <w:r>
        <w:rPr>
          <w:color w:val="231F20"/>
          <w:spacing w:val="-4"/>
        </w:rPr>
        <w:t> </w:t>
      </w:r>
      <w:r>
        <w:rPr>
          <w:color w:val="231F20"/>
          <w:spacing w:val="-2"/>
        </w:rPr>
        <w:t>Однако</w:t>
      </w:r>
      <w:r>
        <w:rPr>
          <w:color w:val="231F20"/>
          <w:spacing w:val="-4"/>
        </w:rPr>
        <w:t> </w:t>
      </w:r>
      <w:r>
        <w:rPr>
          <w:color w:val="231F20"/>
          <w:spacing w:val="-2"/>
        </w:rPr>
        <w:t>этот</w:t>
      </w:r>
      <w:r>
        <w:rPr>
          <w:color w:val="231F20"/>
          <w:spacing w:val="-4"/>
        </w:rPr>
        <w:t> </w:t>
      </w:r>
      <w:r>
        <w:rPr>
          <w:color w:val="231F20"/>
          <w:spacing w:val="-2"/>
        </w:rPr>
        <w:t>уровень</w:t>
      </w:r>
      <w:r>
        <w:rPr>
          <w:color w:val="231F20"/>
          <w:spacing w:val="-4"/>
        </w:rPr>
        <w:t> </w:t>
      </w:r>
      <w:r>
        <w:rPr>
          <w:color w:val="231F20"/>
          <w:spacing w:val="-2"/>
        </w:rPr>
        <w:t>айсберга</w:t>
      </w:r>
      <w:r>
        <w:rPr>
          <w:color w:val="231F20"/>
          <w:spacing w:val="-4"/>
        </w:rPr>
        <w:t> </w:t>
      </w:r>
      <w:r>
        <w:rPr>
          <w:color w:val="231F20"/>
          <w:spacing w:val="-2"/>
        </w:rPr>
        <w:t>не</w:t>
      </w:r>
      <w:r>
        <w:rPr>
          <w:color w:val="231F20"/>
          <w:spacing w:val="-4"/>
        </w:rPr>
        <w:t> </w:t>
      </w:r>
      <w:r>
        <w:rPr>
          <w:color w:val="231F20"/>
          <w:spacing w:val="-2"/>
        </w:rPr>
        <w:t>позволяет</w:t>
      </w:r>
      <w:r>
        <w:rPr>
          <w:color w:val="231F20"/>
          <w:spacing w:val="-4"/>
        </w:rPr>
        <w:t> </w:t>
      </w:r>
      <w:r>
        <w:rPr>
          <w:color w:val="231F20"/>
          <w:spacing w:val="-2"/>
        </w:rPr>
        <w:t>объяснить,</w:t>
      </w:r>
      <w:r>
        <w:rPr>
          <w:color w:val="231F20"/>
          <w:spacing w:val="-4"/>
        </w:rPr>
        <w:t> </w:t>
      </w:r>
      <w:r>
        <w:rPr>
          <w:color w:val="231F20"/>
          <w:spacing w:val="-2"/>
        </w:rPr>
        <w:t>почему</w:t>
      </w:r>
      <w:r>
        <w:rPr>
          <w:color w:val="231F20"/>
          <w:spacing w:val="-4"/>
        </w:rPr>
        <w:t> </w:t>
      </w:r>
      <w:r>
        <w:rPr>
          <w:color w:val="231F20"/>
          <w:spacing w:val="-2"/>
        </w:rPr>
        <w:t>людям,</w:t>
      </w:r>
      <w:r>
        <w:rPr>
          <w:color w:val="231F20"/>
          <w:spacing w:val="-4"/>
        </w:rPr>
        <w:t> </w:t>
      </w:r>
      <w:r>
        <w:rPr>
          <w:color w:val="231F20"/>
          <w:spacing w:val="-2"/>
        </w:rPr>
        <w:t>при- </w:t>
      </w:r>
      <w:r>
        <w:rPr>
          <w:color w:val="231F20"/>
        </w:rPr>
        <w:t>надлежащим к различным культурам, бывает непросто понять друг друга. Причина</w:t>
      </w:r>
      <w:r>
        <w:rPr>
          <w:color w:val="231F20"/>
          <w:spacing w:val="40"/>
        </w:rPr>
        <w:t> </w:t>
      </w:r>
      <w:r>
        <w:rPr>
          <w:color w:val="231F20"/>
        </w:rPr>
        <w:t>в том, что на поведение человека влияет прежде всего «подводная» часть айсберга. Сюда относятся феномены, которые скрыты от непосредственного наблюдения.</w:t>
      </w:r>
    </w:p>
    <w:p>
      <w:pPr>
        <w:pStyle w:val="BodyText"/>
        <w:spacing w:line="228" w:lineRule="exact" w:before="2"/>
        <w:ind w:left="425" w:right="0" w:firstLine="0"/>
      </w:pPr>
      <w:r>
        <w:rPr>
          <w:color w:val="231F20"/>
        </w:rPr>
        <w:t>В</w:t>
      </w:r>
      <w:r>
        <w:rPr>
          <w:color w:val="231F20"/>
          <w:spacing w:val="-4"/>
        </w:rPr>
        <w:t> </w:t>
      </w:r>
      <w:r>
        <w:rPr>
          <w:color w:val="231F20"/>
        </w:rPr>
        <w:t>нижней</w:t>
      </w:r>
      <w:r>
        <w:rPr>
          <w:color w:val="231F20"/>
          <w:spacing w:val="-4"/>
        </w:rPr>
        <w:t> </w:t>
      </w:r>
      <w:r>
        <w:rPr>
          <w:color w:val="231F20"/>
        </w:rPr>
        <w:t>части</w:t>
      </w:r>
      <w:r>
        <w:rPr>
          <w:color w:val="231F20"/>
          <w:spacing w:val="-5"/>
        </w:rPr>
        <w:t> </w:t>
      </w:r>
      <w:r>
        <w:rPr>
          <w:color w:val="231F20"/>
        </w:rPr>
        <w:t>айсберга</w:t>
      </w:r>
      <w:r>
        <w:rPr>
          <w:color w:val="231F20"/>
          <w:spacing w:val="-3"/>
        </w:rPr>
        <w:t> </w:t>
      </w:r>
      <w:r>
        <w:rPr>
          <w:color w:val="231F20"/>
        </w:rPr>
        <w:t>находятся</w:t>
      </w:r>
      <w:r>
        <w:rPr>
          <w:color w:val="231F20"/>
          <w:spacing w:val="-4"/>
        </w:rPr>
        <w:t> </w:t>
      </w:r>
      <w:r>
        <w:rPr>
          <w:color w:val="231F20"/>
        </w:rPr>
        <w:t>такие</w:t>
      </w:r>
      <w:r>
        <w:rPr>
          <w:color w:val="231F20"/>
          <w:spacing w:val="-3"/>
        </w:rPr>
        <w:t> </w:t>
      </w:r>
      <w:r>
        <w:rPr>
          <w:color w:val="231F20"/>
        </w:rPr>
        <w:t>феномены,</w:t>
      </w:r>
      <w:r>
        <w:rPr>
          <w:color w:val="231F20"/>
          <w:spacing w:val="-3"/>
        </w:rPr>
        <w:t> </w:t>
      </w:r>
      <w:r>
        <w:rPr>
          <w:color w:val="231F20"/>
          <w:spacing w:val="-4"/>
        </w:rPr>
        <w:t>как:</w:t>
      </w:r>
    </w:p>
    <w:p>
      <w:pPr>
        <w:pStyle w:val="ListParagraph"/>
        <w:numPr>
          <w:ilvl w:val="0"/>
          <w:numId w:val="49"/>
        </w:numPr>
        <w:tabs>
          <w:tab w:pos="425" w:val="left" w:leader="none"/>
        </w:tabs>
        <w:spacing w:line="235" w:lineRule="auto" w:before="1" w:after="0"/>
        <w:ind w:left="425" w:right="139" w:hanging="284"/>
        <w:jc w:val="both"/>
        <w:rPr>
          <w:sz w:val="20"/>
        </w:rPr>
      </w:pPr>
      <w:r>
        <w:rPr>
          <w:color w:val="231F20"/>
          <w:sz w:val="20"/>
        </w:rPr>
        <w:t>неписаные</w:t>
      </w:r>
      <w:r>
        <w:rPr>
          <w:color w:val="231F20"/>
          <w:spacing w:val="-6"/>
          <w:sz w:val="20"/>
        </w:rPr>
        <w:t> </w:t>
      </w:r>
      <w:r>
        <w:rPr>
          <w:color w:val="231F20"/>
          <w:sz w:val="20"/>
        </w:rPr>
        <w:t>правила</w:t>
      </w:r>
      <w:r>
        <w:rPr>
          <w:color w:val="231F20"/>
          <w:spacing w:val="-6"/>
          <w:sz w:val="20"/>
        </w:rPr>
        <w:t> </w:t>
      </w:r>
      <w:r>
        <w:rPr>
          <w:color w:val="231F20"/>
          <w:sz w:val="20"/>
        </w:rPr>
        <w:t>поведения</w:t>
      </w:r>
      <w:r>
        <w:rPr>
          <w:color w:val="231F20"/>
          <w:spacing w:val="-6"/>
          <w:sz w:val="20"/>
        </w:rPr>
        <w:t> </w:t>
      </w:r>
      <w:r>
        <w:rPr>
          <w:color w:val="231F20"/>
          <w:sz w:val="20"/>
        </w:rPr>
        <w:t>(как</w:t>
      </w:r>
      <w:r>
        <w:rPr>
          <w:color w:val="231F20"/>
          <w:spacing w:val="-6"/>
          <w:sz w:val="20"/>
        </w:rPr>
        <w:t> </w:t>
      </w:r>
      <w:r>
        <w:rPr>
          <w:color w:val="231F20"/>
          <w:sz w:val="20"/>
        </w:rPr>
        <w:t>принято</w:t>
      </w:r>
      <w:r>
        <w:rPr>
          <w:color w:val="231F20"/>
          <w:spacing w:val="-6"/>
          <w:sz w:val="20"/>
        </w:rPr>
        <w:t> </w:t>
      </w:r>
      <w:r>
        <w:rPr>
          <w:color w:val="231F20"/>
          <w:sz w:val="20"/>
        </w:rPr>
        <w:t>обращаться</w:t>
      </w:r>
      <w:r>
        <w:rPr>
          <w:color w:val="231F20"/>
          <w:spacing w:val="-6"/>
          <w:sz w:val="20"/>
        </w:rPr>
        <w:t> </w:t>
      </w:r>
      <w:r>
        <w:rPr>
          <w:color w:val="231F20"/>
          <w:sz w:val="20"/>
        </w:rPr>
        <w:t>к</w:t>
      </w:r>
      <w:r>
        <w:rPr>
          <w:color w:val="231F20"/>
          <w:spacing w:val="-6"/>
          <w:sz w:val="20"/>
        </w:rPr>
        <w:t> </w:t>
      </w:r>
      <w:r>
        <w:rPr>
          <w:color w:val="231F20"/>
          <w:sz w:val="20"/>
        </w:rPr>
        <w:t>старшим,</w:t>
      </w:r>
      <w:r>
        <w:rPr>
          <w:color w:val="231F20"/>
          <w:spacing w:val="-6"/>
          <w:sz w:val="20"/>
        </w:rPr>
        <w:t> </w:t>
      </w:r>
      <w:r>
        <w:rPr>
          <w:color w:val="231F20"/>
          <w:sz w:val="20"/>
        </w:rPr>
        <w:t>как</w:t>
      </w:r>
      <w:r>
        <w:rPr>
          <w:color w:val="231F20"/>
          <w:spacing w:val="-6"/>
          <w:sz w:val="20"/>
        </w:rPr>
        <w:t> </w:t>
      </w:r>
      <w:r>
        <w:rPr>
          <w:color w:val="231F20"/>
          <w:sz w:val="20"/>
        </w:rPr>
        <w:t>встречать гостей, как приветствовать друг друга и др.); скажем, у русских принято к ма- лознакомому человеку обращаться на «вы», а испанцы практически сразу со все- ми переходят на «ты»;</w:t>
      </w:r>
    </w:p>
    <w:p>
      <w:pPr>
        <w:pStyle w:val="ListParagraph"/>
        <w:numPr>
          <w:ilvl w:val="0"/>
          <w:numId w:val="49"/>
        </w:numPr>
        <w:tabs>
          <w:tab w:pos="425" w:val="left" w:leader="none"/>
        </w:tabs>
        <w:spacing w:line="235" w:lineRule="auto" w:before="3" w:after="0"/>
        <w:ind w:left="425" w:right="139" w:hanging="284"/>
        <w:jc w:val="both"/>
        <w:rPr>
          <w:sz w:val="20"/>
        </w:rPr>
      </w:pPr>
      <w:r>
        <w:rPr>
          <w:color w:val="231F20"/>
          <w:sz w:val="20"/>
        </w:rPr>
        <w:t>социальные</w:t>
      </w:r>
      <w:r>
        <w:rPr>
          <w:color w:val="231F20"/>
          <w:spacing w:val="-1"/>
          <w:sz w:val="20"/>
        </w:rPr>
        <w:t> </w:t>
      </w:r>
      <w:r>
        <w:rPr>
          <w:color w:val="231F20"/>
          <w:sz w:val="20"/>
        </w:rPr>
        <w:t>нормы</w:t>
      </w:r>
      <w:r>
        <w:rPr>
          <w:color w:val="231F20"/>
          <w:spacing w:val="-1"/>
          <w:sz w:val="20"/>
        </w:rPr>
        <w:t> </w:t>
      </w:r>
      <w:r>
        <w:rPr>
          <w:color w:val="231F20"/>
          <w:sz w:val="20"/>
        </w:rPr>
        <w:t>(что</w:t>
      </w:r>
      <w:r>
        <w:rPr>
          <w:color w:val="231F20"/>
          <w:spacing w:val="-1"/>
          <w:sz w:val="20"/>
        </w:rPr>
        <w:t> </w:t>
      </w:r>
      <w:r>
        <w:rPr>
          <w:color w:val="231F20"/>
          <w:sz w:val="20"/>
        </w:rPr>
        <w:t>считается</w:t>
      </w:r>
      <w:r>
        <w:rPr>
          <w:color w:val="231F20"/>
          <w:spacing w:val="-1"/>
          <w:sz w:val="20"/>
        </w:rPr>
        <w:t> </w:t>
      </w:r>
      <w:r>
        <w:rPr>
          <w:color w:val="231F20"/>
          <w:sz w:val="20"/>
        </w:rPr>
        <w:t>приличным,</w:t>
      </w:r>
      <w:r>
        <w:rPr>
          <w:color w:val="231F20"/>
          <w:spacing w:val="-1"/>
          <w:sz w:val="20"/>
        </w:rPr>
        <w:t> </w:t>
      </w:r>
      <w:r>
        <w:rPr>
          <w:color w:val="231F20"/>
          <w:sz w:val="20"/>
        </w:rPr>
        <w:t>а</w:t>
      </w:r>
      <w:r>
        <w:rPr>
          <w:color w:val="231F20"/>
          <w:spacing w:val="-1"/>
          <w:sz w:val="20"/>
        </w:rPr>
        <w:t> </w:t>
      </w:r>
      <w:r>
        <w:rPr>
          <w:color w:val="231F20"/>
          <w:sz w:val="20"/>
        </w:rPr>
        <w:t>что</w:t>
      </w:r>
      <w:r>
        <w:rPr>
          <w:color w:val="231F20"/>
          <w:spacing w:val="-1"/>
          <w:sz w:val="20"/>
        </w:rPr>
        <w:t> </w:t>
      </w:r>
      <w:r>
        <w:rPr>
          <w:color w:val="231F20"/>
          <w:sz w:val="20"/>
        </w:rPr>
        <w:t>–</w:t>
      </w:r>
      <w:r>
        <w:rPr>
          <w:color w:val="231F20"/>
          <w:spacing w:val="-1"/>
          <w:sz w:val="20"/>
        </w:rPr>
        <w:t> </w:t>
      </w:r>
      <w:r>
        <w:rPr>
          <w:color w:val="231F20"/>
          <w:sz w:val="20"/>
        </w:rPr>
        <w:t>нет);</w:t>
      </w:r>
      <w:r>
        <w:rPr>
          <w:color w:val="231F20"/>
          <w:spacing w:val="-1"/>
          <w:sz w:val="20"/>
        </w:rPr>
        <w:t> </w:t>
      </w:r>
      <w:r>
        <w:rPr>
          <w:color w:val="231F20"/>
          <w:sz w:val="20"/>
        </w:rPr>
        <w:t>например,</w:t>
      </w:r>
      <w:r>
        <w:rPr>
          <w:color w:val="231F20"/>
          <w:spacing w:val="-1"/>
          <w:sz w:val="20"/>
        </w:rPr>
        <w:t> </w:t>
      </w:r>
      <w:r>
        <w:rPr>
          <w:color w:val="231F20"/>
          <w:sz w:val="20"/>
        </w:rPr>
        <w:t>в</w:t>
      </w:r>
      <w:r>
        <w:rPr>
          <w:color w:val="231F20"/>
          <w:spacing w:val="-1"/>
          <w:sz w:val="20"/>
        </w:rPr>
        <w:t> </w:t>
      </w:r>
      <w:r>
        <w:rPr>
          <w:color w:val="231F20"/>
          <w:sz w:val="20"/>
        </w:rPr>
        <w:t>Испании широко распространена такая форма неформального приветствия, как поцелуй. Она может использоваться практически сразу после знакомства, а в России так приветствуют только достаточно близких людей;</w:t>
      </w:r>
    </w:p>
    <w:p>
      <w:pPr>
        <w:pStyle w:val="ListParagraph"/>
        <w:numPr>
          <w:ilvl w:val="0"/>
          <w:numId w:val="49"/>
        </w:numPr>
        <w:tabs>
          <w:tab w:pos="425" w:val="left" w:leader="none"/>
        </w:tabs>
        <w:spacing w:line="235" w:lineRule="auto" w:before="2" w:after="0"/>
        <w:ind w:left="425" w:right="139" w:hanging="284"/>
        <w:jc w:val="both"/>
        <w:rPr>
          <w:sz w:val="20"/>
        </w:rPr>
      </w:pPr>
      <w:r>
        <w:rPr>
          <w:color w:val="231F20"/>
          <w:sz w:val="20"/>
        </w:rPr>
        <w:t>ценности</w:t>
      </w:r>
      <w:r>
        <w:rPr>
          <w:color w:val="231F20"/>
          <w:spacing w:val="-1"/>
          <w:sz w:val="20"/>
        </w:rPr>
        <w:t> </w:t>
      </w:r>
      <w:r>
        <w:rPr>
          <w:color w:val="231F20"/>
          <w:sz w:val="20"/>
        </w:rPr>
        <w:t>и</w:t>
      </w:r>
      <w:r>
        <w:rPr>
          <w:color w:val="231F20"/>
          <w:spacing w:val="-1"/>
          <w:sz w:val="20"/>
        </w:rPr>
        <w:t> </w:t>
      </w:r>
      <w:r>
        <w:rPr>
          <w:color w:val="231F20"/>
          <w:sz w:val="20"/>
        </w:rPr>
        <w:t>их</w:t>
      </w:r>
      <w:r>
        <w:rPr>
          <w:color w:val="231F20"/>
          <w:spacing w:val="-1"/>
          <w:sz w:val="20"/>
        </w:rPr>
        <w:t> </w:t>
      </w:r>
      <w:r>
        <w:rPr>
          <w:color w:val="231F20"/>
          <w:sz w:val="20"/>
        </w:rPr>
        <w:t>иерархия;</w:t>
      </w:r>
      <w:r>
        <w:rPr>
          <w:color w:val="231F20"/>
          <w:spacing w:val="-1"/>
          <w:sz w:val="20"/>
        </w:rPr>
        <w:t> </w:t>
      </w:r>
      <w:r>
        <w:rPr>
          <w:color w:val="231F20"/>
          <w:sz w:val="20"/>
        </w:rPr>
        <w:t>большинство</w:t>
      </w:r>
      <w:r>
        <w:rPr>
          <w:color w:val="231F20"/>
          <w:spacing w:val="-1"/>
          <w:sz w:val="20"/>
        </w:rPr>
        <w:t> </w:t>
      </w:r>
      <w:r>
        <w:rPr>
          <w:color w:val="231F20"/>
          <w:sz w:val="20"/>
        </w:rPr>
        <w:t>ценностей</w:t>
      </w:r>
      <w:r>
        <w:rPr>
          <w:color w:val="231F20"/>
          <w:spacing w:val="-1"/>
          <w:sz w:val="20"/>
        </w:rPr>
        <w:t> </w:t>
      </w:r>
      <w:r>
        <w:rPr>
          <w:color w:val="231F20"/>
          <w:sz w:val="20"/>
        </w:rPr>
        <w:t>универсальны</w:t>
      </w:r>
      <w:r>
        <w:rPr>
          <w:color w:val="231F20"/>
          <w:spacing w:val="-1"/>
          <w:sz w:val="20"/>
        </w:rPr>
        <w:t> </w:t>
      </w:r>
      <w:r>
        <w:rPr>
          <w:color w:val="231F20"/>
          <w:sz w:val="20"/>
        </w:rPr>
        <w:t>и</w:t>
      </w:r>
      <w:r>
        <w:rPr>
          <w:color w:val="231F20"/>
          <w:spacing w:val="-1"/>
          <w:sz w:val="20"/>
        </w:rPr>
        <w:t> </w:t>
      </w:r>
      <w:r>
        <w:rPr>
          <w:color w:val="231F20"/>
          <w:sz w:val="20"/>
        </w:rPr>
        <w:t>в</w:t>
      </w:r>
      <w:r>
        <w:rPr>
          <w:color w:val="231F20"/>
          <w:spacing w:val="-1"/>
          <w:sz w:val="20"/>
        </w:rPr>
        <w:t> </w:t>
      </w:r>
      <w:r>
        <w:rPr>
          <w:color w:val="231F20"/>
          <w:sz w:val="20"/>
        </w:rPr>
        <w:t>той</w:t>
      </w:r>
      <w:r>
        <w:rPr>
          <w:color w:val="231F20"/>
          <w:spacing w:val="-1"/>
          <w:sz w:val="20"/>
        </w:rPr>
        <w:t> </w:t>
      </w:r>
      <w:r>
        <w:rPr>
          <w:color w:val="231F20"/>
          <w:sz w:val="20"/>
        </w:rPr>
        <w:t>или</w:t>
      </w:r>
      <w:r>
        <w:rPr>
          <w:color w:val="231F20"/>
          <w:spacing w:val="-1"/>
          <w:sz w:val="20"/>
        </w:rPr>
        <w:t> </w:t>
      </w:r>
      <w:r>
        <w:rPr>
          <w:color w:val="231F20"/>
          <w:sz w:val="20"/>
        </w:rPr>
        <w:t>иной степени</w:t>
      </w:r>
      <w:r>
        <w:rPr>
          <w:color w:val="231F20"/>
          <w:spacing w:val="-2"/>
          <w:sz w:val="20"/>
        </w:rPr>
        <w:t> </w:t>
      </w:r>
      <w:r>
        <w:rPr>
          <w:color w:val="231F20"/>
          <w:sz w:val="20"/>
        </w:rPr>
        <w:t>представлены</w:t>
      </w:r>
      <w:r>
        <w:rPr>
          <w:color w:val="231F20"/>
          <w:spacing w:val="-2"/>
          <w:sz w:val="20"/>
        </w:rPr>
        <w:t> </w:t>
      </w:r>
      <w:r>
        <w:rPr>
          <w:color w:val="231F20"/>
          <w:sz w:val="20"/>
        </w:rPr>
        <w:t>в</w:t>
      </w:r>
      <w:r>
        <w:rPr>
          <w:color w:val="231F20"/>
          <w:spacing w:val="-2"/>
          <w:sz w:val="20"/>
        </w:rPr>
        <w:t> </w:t>
      </w:r>
      <w:r>
        <w:rPr>
          <w:color w:val="231F20"/>
          <w:sz w:val="20"/>
        </w:rPr>
        <w:t>каждой</w:t>
      </w:r>
      <w:r>
        <w:rPr>
          <w:color w:val="231F20"/>
          <w:spacing w:val="-2"/>
          <w:sz w:val="20"/>
        </w:rPr>
        <w:t> </w:t>
      </w:r>
      <w:r>
        <w:rPr>
          <w:color w:val="231F20"/>
          <w:sz w:val="20"/>
        </w:rPr>
        <w:t>культуре,</w:t>
      </w:r>
      <w:r>
        <w:rPr>
          <w:color w:val="231F20"/>
          <w:spacing w:val="-2"/>
          <w:sz w:val="20"/>
        </w:rPr>
        <w:t> </w:t>
      </w:r>
      <w:r>
        <w:rPr>
          <w:color w:val="231F20"/>
          <w:sz w:val="20"/>
        </w:rPr>
        <w:t>однако</w:t>
      </w:r>
      <w:r>
        <w:rPr>
          <w:color w:val="231F20"/>
          <w:spacing w:val="-2"/>
          <w:sz w:val="20"/>
        </w:rPr>
        <w:t> </w:t>
      </w:r>
      <w:r>
        <w:rPr>
          <w:color w:val="231F20"/>
          <w:sz w:val="20"/>
        </w:rPr>
        <w:t>их</w:t>
      </w:r>
      <w:r>
        <w:rPr>
          <w:color w:val="231F20"/>
          <w:spacing w:val="-2"/>
          <w:sz w:val="20"/>
        </w:rPr>
        <w:t> </w:t>
      </w:r>
      <w:r>
        <w:rPr>
          <w:color w:val="231F20"/>
          <w:sz w:val="20"/>
        </w:rPr>
        <w:t>значимость</w:t>
      </w:r>
      <w:r>
        <w:rPr>
          <w:color w:val="231F20"/>
          <w:spacing w:val="-2"/>
          <w:sz w:val="20"/>
        </w:rPr>
        <w:t> </w:t>
      </w:r>
      <w:r>
        <w:rPr>
          <w:color w:val="231F20"/>
          <w:sz w:val="20"/>
        </w:rPr>
        <w:t>и</w:t>
      </w:r>
      <w:r>
        <w:rPr>
          <w:color w:val="231F20"/>
          <w:spacing w:val="-2"/>
          <w:sz w:val="20"/>
        </w:rPr>
        <w:t> </w:t>
      </w:r>
      <w:r>
        <w:rPr>
          <w:color w:val="231F20"/>
          <w:sz w:val="20"/>
        </w:rPr>
        <w:t>трактовка</w:t>
      </w:r>
      <w:r>
        <w:rPr>
          <w:color w:val="231F20"/>
          <w:spacing w:val="-2"/>
          <w:sz w:val="20"/>
        </w:rPr>
        <w:t> </w:t>
      </w:r>
      <w:r>
        <w:rPr>
          <w:color w:val="231F20"/>
          <w:sz w:val="20"/>
        </w:rPr>
        <w:t>раз- </w:t>
      </w:r>
      <w:r>
        <w:rPr>
          <w:color w:val="231F20"/>
          <w:spacing w:val="-2"/>
          <w:sz w:val="20"/>
        </w:rPr>
        <w:t>нятся;</w:t>
      </w:r>
    </w:p>
    <w:p>
      <w:pPr>
        <w:pStyle w:val="ListParagraph"/>
        <w:numPr>
          <w:ilvl w:val="0"/>
          <w:numId w:val="49"/>
        </w:numPr>
        <w:tabs>
          <w:tab w:pos="425" w:val="left" w:leader="none"/>
        </w:tabs>
        <w:spacing w:line="235" w:lineRule="auto" w:before="2" w:after="0"/>
        <w:ind w:left="425" w:right="139" w:hanging="284"/>
        <w:jc w:val="both"/>
        <w:rPr>
          <w:sz w:val="20"/>
        </w:rPr>
      </w:pPr>
      <w:r>
        <w:rPr>
          <w:color w:val="231F20"/>
          <w:sz w:val="20"/>
        </w:rPr>
        <w:t>нормы</w:t>
      </w:r>
      <w:r>
        <w:rPr>
          <w:color w:val="231F20"/>
          <w:spacing w:val="-7"/>
          <w:sz w:val="20"/>
        </w:rPr>
        <w:t> </w:t>
      </w:r>
      <w:r>
        <w:rPr>
          <w:color w:val="231F20"/>
          <w:sz w:val="20"/>
        </w:rPr>
        <w:t>невербальной</w:t>
      </w:r>
      <w:r>
        <w:rPr>
          <w:color w:val="231F20"/>
          <w:spacing w:val="-7"/>
          <w:sz w:val="20"/>
        </w:rPr>
        <w:t> </w:t>
      </w:r>
      <w:r>
        <w:rPr>
          <w:color w:val="231F20"/>
          <w:sz w:val="20"/>
        </w:rPr>
        <w:t>коммуникации:</w:t>
      </w:r>
      <w:r>
        <w:rPr>
          <w:color w:val="231F20"/>
          <w:spacing w:val="-7"/>
          <w:sz w:val="20"/>
        </w:rPr>
        <w:t> </w:t>
      </w:r>
      <w:r>
        <w:rPr>
          <w:color w:val="231F20"/>
          <w:sz w:val="20"/>
        </w:rPr>
        <w:t>специфические</w:t>
      </w:r>
      <w:r>
        <w:rPr>
          <w:color w:val="231F20"/>
          <w:spacing w:val="-7"/>
          <w:sz w:val="20"/>
        </w:rPr>
        <w:t> </w:t>
      </w:r>
      <w:r>
        <w:rPr>
          <w:color w:val="231F20"/>
          <w:sz w:val="20"/>
        </w:rPr>
        <w:t>жесты</w:t>
      </w:r>
      <w:r>
        <w:rPr>
          <w:color w:val="231F20"/>
          <w:spacing w:val="-7"/>
          <w:sz w:val="20"/>
        </w:rPr>
        <w:t> </w:t>
      </w:r>
      <w:r>
        <w:rPr>
          <w:color w:val="231F20"/>
          <w:sz w:val="20"/>
        </w:rPr>
        <w:t>и</w:t>
      </w:r>
      <w:r>
        <w:rPr>
          <w:color w:val="231F20"/>
          <w:spacing w:val="-7"/>
          <w:sz w:val="20"/>
        </w:rPr>
        <w:t> </w:t>
      </w:r>
      <w:r>
        <w:rPr>
          <w:color w:val="231F20"/>
          <w:sz w:val="20"/>
        </w:rPr>
        <w:t>их</w:t>
      </w:r>
      <w:r>
        <w:rPr>
          <w:color w:val="231F20"/>
          <w:spacing w:val="-7"/>
          <w:sz w:val="20"/>
        </w:rPr>
        <w:t> </w:t>
      </w:r>
      <w:r>
        <w:rPr>
          <w:color w:val="231F20"/>
          <w:sz w:val="20"/>
        </w:rPr>
        <w:t>значение,</w:t>
      </w:r>
      <w:r>
        <w:rPr>
          <w:color w:val="231F20"/>
          <w:spacing w:val="-7"/>
          <w:sz w:val="20"/>
        </w:rPr>
        <w:t> </w:t>
      </w:r>
      <w:r>
        <w:rPr>
          <w:color w:val="231F20"/>
          <w:sz w:val="20"/>
        </w:rPr>
        <w:t>грани- цы личного пространства и пр.;</w:t>
      </w:r>
    </w:p>
    <w:p>
      <w:pPr>
        <w:pStyle w:val="ListParagraph"/>
        <w:numPr>
          <w:ilvl w:val="0"/>
          <w:numId w:val="49"/>
        </w:numPr>
        <w:tabs>
          <w:tab w:pos="425" w:val="left" w:leader="none"/>
        </w:tabs>
        <w:spacing w:line="235" w:lineRule="auto" w:before="1" w:after="0"/>
        <w:ind w:left="425" w:right="139" w:hanging="284"/>
        <w:jc w:val="both"/>
        <w:rPr>
          <w:sz w:val="20"/>
        </w:rPr>
      </w:pPr>
      <w:r>
        <w:rPr>
          <w:sz w:val="20"/>
        </w:rPr>
        <w:drawing>
          <wp:anchor distT="0" distB="0" distL="0" distR="0" allowOverlap="1" layoutInCell="1" locked="0" behindDoc="0" simplePos="0" relativeHeight="15760384">
            <wp:simplePos x="0" y="0"/>
            <wp:positionH relativeFrom="page">
              <wp:posOffset>1688401</wp:posOffset>
            </wp:positionH>
            <wp:positionV relativeFrom="paragraph">
              <wp:posOffset>245655</wp:posOffset>
            </wp:positionV>
            <wp:extent cx="1951189" cy="1143800"/>
            <wp:effectExtent l="0" t="0" r="0" b="0"/>
            <wp:wrapNone/>
            <wp:docPr id="104" name="Image 104" descr="Изображение выглядит как текст, вычерчивание линий  Автоматически созданное описание"/>
            <wp:cNvGraphicFramePr>
              <a:graphicFrameLocks/>
            </wp:cNvGraphicFramePr>
            <a:graphic>
              <a:graphicData uri="http://schemas.openxmlformats.org/drawingml/2006/picture">
                <pic:pic>
                  <pic:nvPicPr>
                    <pic:cNvPr id="104" name="Image 104" descr="Изображение выглядит как текст, вычерчивание линий  Автоматически созданное описание"/>
                    <pic:cNvPicPr/>
                  </pic:nvPicPr>
                  <pic:blipFill>
                    <a:blip r:embed="rId76" cstate="print"/>
                    <a:stretch>
                      <a:fillRect/>
                    </a:stretch>
                  </pic:blipFill>
                  <pic:spPr>
                    <a:xfrm>
                      <a:off x="0" y="0"/>
                      <a:ext cx="1951189" cy="1143800"/>
                    </a:xfrm>
                    <a:prstGeom prst="rect">
                      <a:avLst/>
                    </a:prstGeom>
                  </pic:spPr>
                </pic:pic>
              </a:graphicData>
            </a:graphic>
          </wp:anchor>
        </w:drawing>
      </w:r>
      <w:r>
        <w:rPr>
          <w:color w:val="231F20"/>
          <w:sz w:val="20"/>
        </w:rPr>
        <w:t>представления</w:t>
      </w:r>
      <w:r>
        <w:rPr>
          <w:color w:val="231F20"/>
          <w:spacing w:val="-7"/>
          <w:sz w:val="20"/>
        </w:rPr>
        <w:t> </w:t>
      </w:r>
      <w:r>
        <w:rPr>
          <w:color w:val="231F20"/>
          <w:sz w:val="20"/>
        </w:rPr>
        <w:t>о</w:t>
      </w:r>
      <w:r>
        <w:rPr>
          <w:color w:val="231F20"/>
          <w:spacing w:val="-7"/>
          <w:sz w:val="20"/>
        </w:rPr>
        <w:t> </w:t>
      </w:r>
      <w:r>
        <w:rPr>
          <w:color w:val="231F20"/>
          <w:sz w:val="20"/>
        </w:rPr>
        <w:t>«правильной»</w:t>
      </w:r>
      <w:r>
        <w:rPr>
          <w:color w:val="231F20"/>
          <w:spacing w:val="-7"/>
          <w:sz w:val="20"/>
        </w:rPr>
        <w:t> </w:t>
      </w:r>
      <w:r>
        <w:rPr>
          <w:color w:val="231F20"/>
          <w:sz w:val="20"/>
        </w:rPr>
        <w:t>модели</w:t>
      </w:r>
      <w:r>
        <w:rPr>
          <w:color w:val="231F20"/>
          <w:spacing w:val="-7"/>
          <w:sz w:val="20"/>
        </w:rPr>
        <w:t> </w:t>
      </w:r>
      <w:r>
        <w:rPr>
          <w:color w:val="231F20"/>
          <w:sz w:val="20"/>
        </w:rPr>
        <w:t>семейных</w:t>
      </w:r>
      <w:r>
        <w:rPr>
          <w:color w:val="231F20"/>
          <w:spacing w:val="-7"/>
          <w:sz w:val="20"/>
        </w:rPr>
        <w:t> </w:t>
      </w:r>
      <w:r>
        <w:rPr>
          <w:color w:val="231F20"/>
          <w:sz w:val="20"/>
        </w:rPr>
        <w:t>отношений</w:t>
      </w:r>
      <w:r>
        <w:rPr>
          <w:color w:val="231F20"/>
          <w:spacing w:val="-7"/>
          <w:sz w:val="20"/>
        </w:rPr>
        <w:t> </w:t>
      </w:r>
      <w:r>
        <w:rPr>
          <w:color w:val="231F20"/>
          <w:sz w:val="20"/>
        </w:rPr>
        <w:t>и</w:t>
      </w:r>
      <w:r>
        <w:rPr>
          <w:color w:val="231F20"/>
          <w:spacing w:val="-7"/>
          <w:sz w:val="20"/>
        </w:rPr>
        <w:t> </w:t>
      </w:r>
      <w:r>
        <w:rPr>
          <w:color w:val="231F20"/>
          <w:sz w:val="20"/>
        </w:rPr>
        <w:t>способах</w:t>
      </w:r>
      <w:r>
        <w:rPr>
          <w:color w:val="231F20"/>
          <w:spacing w:val="-7"/>
          <w:sz w:val="20"/>
        </w:rPr>
        <w:t> </w:t>
      </w:r>
      <w:r>
        <w:rPr>
          <w:color w:val="231F20"/>
          <w:sz w:val="20"/>
        </w:rPr>
        <w:t>воспита- ния детей, и пр.</w:t>
      </w:r>
    </w:p>
    <w:p>
      <w:pPr>
        <w:pStyle w:val="ListParagraph"/>
        <w:spacing w:after="0" w:line="235" w:lineRule="auto"/>
        <w:jc w:val="both"/>
        <w:rPr>
          <w:sz w:val="20"/>
        </w:rPr>
        <w:sectPr>
          <w:pgSz w:w="8400" w:h="11910"/>
          <w:pgMar w:header="0" w:footer="528"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line="235" w:lineRule="auto" w:before="116"/>
      </w:pPr>
      <w:r>
        <w:rPr>
          <w:color w:val="231F20"/>
        </w:rPr>
        <w:t>Как отмечают немецкие ученые (Interkulturelle Kompetenz, 2006), идентифициро- вать нормы легче, чем ценности, поскольку они имеют более конкретный характер. Нормы</w:t>
      </w:r>
      <w:r>
        <w:rPr>
          <w:color w:val="231F20"/>
          <w:spacing w:val="-10"/>
        </w:rPr>
        <w:t> </w:t>
      </w:r>
      <w:r>
        <w:rPr>
          <w:color w:val="231F20"/>
        </w:rPr>
        <w:t>базируются</w:t>
      </w:r>
      <w:r>
        <w:rPr>
          <w:color w:val="231F20"/>
          <w:spacing w:val="-10"/>
        </w:rPr>
        <w:t> </w:t>
      </w:r>
      <w:r>
        <w:rPr>
          <w:color w:val="231F20"/>
        </w:rPr>
        <w:t>на</w:t>
      </w:r>
      <w:r>
        <w:rPr>
          <w:color w:val="231F20"/>
          <w:spacing w:val="-10"/>
        </w:rPr>
        <w:t> </w:t>
      </w:r>
      <w:r>
        <w:rPr>
          <w:color w:val="231F20"/>
        </w:rPr>
        <w:t>ценностях</w:t>
      </w:r>
      <w:r>
        <w:rPr>
          <w:color w:val="231F20"/>
          <w:spacing w:val="-10"/>
        </w:rPr>
        <w:t> </w:t>
      </w:r>
      <w:r>
        <w:rPr>
          <w:color w:val="231F20"/>
        </w:rPr>
        <w:t>и</w:t>
      </w:r>
      <w:r>
        <w:rPr>
          <w:color w:val="231F20"/>
          <w:spacing w:val="-10"/>
        </w:rPr>
        <w:t> </w:t>
      </w:r>
      <w:r>
        <w:rPr>
          <w:color w:val="231F20"/>
        </w:rPr>
        <w:t>поясняют</w:t>
      </w:r>
      <w:r>
        <w:rPr>
          <w:color w:val="231F20"/>
          <w:spacing w:val="-10"/>
        </w:rPr>
        <w:t> </w:t>
      </w:r>
      <w:r>
        <w:rPr>
          <w:color w:val="231F20"/>
        </w:rPr>
        <w:t>их,</w:t>
      </w:r>
      <w:r>
        <w:rPr>
          <w:color w:val="231F20"/>
          <w:spacing w:val="-10"/>
        </w:rPr>
        <w:t> </w:t>
      </w:r>
      <w:r>
        <w:rPr>
          <w:color w:val="231F20"/>
        </w:rPr>
        <w:t>представляя</w:t>
      </w:r>
      <w:r>
        <w:rPr>
          <w:color w:val="231F20"/>
          <w:spacing w:val="-10"/>
        </w:rPr>
        <w:t> </w:t>
      </w:r>
      <w:r>
        <w:rPr>
          <w:color w:val="231F20"/>
        </w:rPr>
        <w:t>собой</w:t>
      </w:r>
      <w:r>
        <w:rPr>
          <w:color w:val="231F20"/>
          <w:spacing w:val="-10"/>
        </w:rPr>
        <w:t> </w:t>
      </w:r>
      <w:r>
        <w:rPr>
          <w:color w:val="231F20"/>
        </w:rPr>
        <w:t>суждения</w:t>
      </w:r>
      <w:r>
        <w:rPr>
          <w:color w:val="231F20"/>
          <w:spacing w:val="-10"/>
        </w:rPr>
        <w:t> </w:t>
      </w:r>
      <w:r>
        <w:rPr>
          <w:color w:val="231F20"/>
        </w:rPr>
        <w:t>о</w:t>
      </w:r>
      <w:r>
        <w:rPr>
          <w:color w:val="231F20"/>
          <w:spacing w:val="-10"/>
        </w:rPr>
        <w:t> </w:t>
      </w:r>
      <w:r>
        <w:rPr>
          <w:color w:val="231F20"/>
        </w:rPr>
        <w:t>«пра- вильном» и «неправильном». Если в культуре ценностью является уважение к ста- рости, то, как правило, действует норма: «Нельзя противоречить своим родителям».</w:t>
      </w:r>
    </w:p>
    <w:p>
      <w:pPr>
        <w:pStyle w:val="BodyText"/>
        <w:spacing w:line="235" w:lineRule="auto" w:before="3"/>
        <w:ind w:right="138"/>
      </w:pPr>
      <w:r>
        <w:rPr>
          <w:color w:val="231F20"/>
        </w:rPr>
        <w:t>Понятно, что внутри любой культуры существует определенная вариативность: нельзя говорить, что в одной и той же ситуации все ее представители поведут себя одинаково. Представителем определенной культуры человека делает не обязатель- ное соблюдение норм этой культуры, а знание об этих нормах и о последствиях их </w:t>
      </w:r>
      <w:r>
        <w:rPr>
          <w:color w:val="231F20"/>
          <w:spacing w:val="-2"/>
        </w:rPr>
        <w:t>нарушения.</w:t>
      </w:r>
    </w:p>
    <w:p>
      <w:pPr>
        <w:pStyle w:val="BodyText"/>
        <w:spacing w:line="237" w:lineRule="auto" w:before="1"/>
      </w:pPr>
      <w:r>
        <w:rPr>
          <w:color w:val="231F20"/>
        </w:rPr>
        <w:t>Необходимо подчеркнуть, что все эти особенности воспринимаются представи- телями</w:t>
      </w:r>
      <w:r>
        <w:rPr>
          <w:color w:val="231F20"/>
          <w:spacing w:val="-6"/>
        </w:rPr>
        <w:t> </w:t>
      </w:r>
      <w:r>
        <w:rPr>
          <w:color w:val="231F20"/>
        </w:rPr>
        <w:t>культуры</w:t>
      </w:r>
      <w:r>
        <w:rPr>
          <w:color w:val="231F20"/>
          <w:spacing w:val="-6"/>
        </w:rPr>
        <w:t> </w:t>
      </w:r>
      <w:r>
        <w:rPr>
          <w:color w:val="231F20"/>
        </w:rPr>
        <w:t>как</w:t>
      </w:r>
      <w:r>
        <w:rPr>
          <w:color w:val="231F20"/>
          <w:spacing w:val="-6"/>
        </w:rPr>
        <w:t> </w:t>
      </w:r>
      <w:r>
        <w:rPr>
          <w:color w:val="231F20"/>
        </w:rPr>
        <w:t>совершенно</w:t>
      </w:r>
      <w:r>
        <w:rPr>
          <w:color w:val="231F20"/>
          <w:spacing w:val="-6"/>
        </w:rPr>
        <w:t> </w:t>
      </w:r>
      <w:r>
        <w:rPr>
          <w:color w:val="231F20"/>
        </w:rPr>
        <w:t>естественные,</w:t>
      </w:r>
      <w:r>
        <w:rPr>
          <w:color w:val="231F20"/>
          <w:spacing w:val="-6"/>
        </w:rPr>
        <w:t> </w:t>
      </w:r>
      <w:r>
        <w:rPr>
          <w:color w:val="231F20"/>
        </w:rPr>
        <w:t>и</w:t>
      </w:r>
      <w:r>
        <w:rPr>
          <w:color w:val="231F20"/>
          <w:spacing w:val="-6"/>
        </w:rPr>
        <w:t> </w:t>
      </w:r>
      <w:r>
        <w:rPr>
          <w:color w:val="231F20"/>
        </w:rPr>
        <w:t>отклонение</w:t>
      </w:r>
      <w:r>
        <w:rPr>
          <w:color w:val="231F20"/>
          <w:spacing w:val="-6"/>
        </w:rPr>
        <w:t> </w:t>
      </w:r>
      <w:r>
        <w:rPr>
          <w:color w:val="231F20"/>
        </w:rPr>
        <w:t>от</w:t>
      </w:r>
      <w:r>
        <w:rPr>
          <w:color w:val="231F20"/>
          <w:spacing w:val="-6"/>
        </w:rPr>
        <w:t> </w:t>
      </w:r>
      <w:r>
        <w:rPr>
          <w:color w:val="231F20"/>
        </w:rPr>
        <w:t>них</w:t>
      </w:r>
      <w:r>
        <w:rPr>
          <w:color w:val="231F20"/>
          <w:spacing w:val="-6"/>
        </w:rPr>
        <w:t> </w:t>
      </w:r>
      <w:r>
        <w:rPr>
          <w:color w:val="231F20"/>
        </w:rPr>
        <w:t>вызывает</w:t>
      </w:r>
      <w:r>
        <w:rPr>
          <w:color w:val="231F20"/>
          <w:spacing w:val="-6"/>
        </w:rPr>
        <w:t> </w:t>
      </w:r>
      <w:r>
        <w:rPr>
          <w:color w:val="231F20"/>
        </w:rPr>
        <w:t>удив- ление или раздражение. Столкновение различных систем норм и правил и лежит в основе межкультурных конфликтов.</w:t>
      </w:r>
    </w:p>
    <w:p>
      <w:pPr>
        <w:pStyle w:val="BodyText"/>
      </w:pPr>
      <w:r>
        <w:rPr>
          <w:color w:val="231F20"/>
        </w:rPr>
        <w:t>Анализируя модель айсберга, Ю. Рот (Interkulturelle Kompetenz, 2006) отмечает, что более новой моделью культуры является культура как своего рода «невидимый рюкзак» («invisible backpack»). Хотя человек в современных мультикультурных об- </w:t>
      </w:r>
      <w:r>
        <w:rPr>
          <w:color w:val="231F20"/>
          <w:spacing w:val="-2"/>
        </w:rPr>
        <w:t>ществах</w:t>
      </w:r>
      <w:r>
        <w:rPr>
          <w:color w:val="231F20"/>
          <w:spacing w:val="-3"/>
        </w:rPr>
        <w:t> </w:t>
      </w:r>
      <w:r>
        <w:rPr>
          <w:color w:val="231F20"/>
          <w:spacing w:val="-2"/>
        </w:rPr>
        <w:t>и</w:t>
      </w:r>
      <w:r>
        <w:rPr>
          <w:color w:val="231F20"/>
          <w:spacing w:val="-3"/>
        </w:rPr>
        <w:t> </w:t>
      </w:r>
      <w:r>
        <w:rPr>
          <w:color w:val="231F20"/>
          <w:spacing w:val="-2"/>
        </w:rPr>
        <w:t>владеет</w:t>
      </w:r>
      <w:r>
        <w:rPr>
          <w:color w:val="231F20"/>
          <w:spacing w:val="-3"/>
        </w:rPr>
        <w:t> </w:t>
      </w:r>
      <w:r>
        <w:rPr>
          <w:color w:val="231F20"/>
          <w:spacing w:val="-2"/>
        </w:rPr>
        <w:t>культурным знанием</w:t>
      </w:r>
      <w:r>
        <w:rPr>
          <w:color w:val="231F20"/>
          <w:spacing w:val="-3"/>
        </w:rPr>
        <w:t> </w:t>
      </w:r>
      <w:r>
        <w:rPr>
          <w:color w:val="231F20"/>
          <w:spacing w:val="-2"/>
        </w:rPr>
        <w:t>своей</w:t>
      </w:r>
      <w:r>
        <w:rPr>
          <w:color w:val="231F20"/>
          <w:spacing w:val="-3"/>
        </w:rPr>
        <w:t> </w:t>
      </w:r>
      <w:r>
        <w:rPr>
          <w:color w:val="231F20"/>
          <w:spacing w:val="-2"/>
        </w:rPr>
        <w:t>группы как</w:t>
      </w:r>
      <w:r>
        <w:rPr>
          <w:color w:val="231F20"/>
          <w:spacing w:val="-3"/>
        </w:rPr>
        <w:t> </w:t>
      </w:r>
      <w:r>
        <w:rPr>
          <w:color w:val="231F20"/>
          <w:spacing w:val="-2"/>
        </w:rPr>
        <w:t>«культурным</w:t>
      </w:r>
      <w:r>
        <w:rPr>
          <w:color w:val="231F20"/>
          <w:spacing w:val="-3"/>
        </w:rPr>
        <w:t> </w:t>
      </w:r>
      <w:r>
        <w:rPr>
          <w:color w:val="231F20"/>
          <w:spacing w:val="-2"/>
        </w:rPr>
        <w:t>багажом»,</w:t>
      </w:r>
      <w:r>
        <w:rPr>
          <w:color w:val="231F20"/>
          <w:spacing w:val="-3"/>
        </w:rPr>
        <w:t> </w:t>
      </w:r>
      <w:r>
        <w:rPr>
          <w:color w:val="231F20"/>
          <w:spacing w:val="-2"/>
        </w:rPr>
        <w:t>его </w:t>
      </w:r>
      <w:r>
        <w:rPr>
          <w:color w:val="231F20"/>
        </w:rPr>
        <w:t>обращение</w:t>
      </w:r>
      <w:r>
        <w:rPr>
          <w:color w:val="231F20"/>
          <w:spacing w:val="-7"/>
        </w:rPr>
        <w:t> </w:t>
      </w:r>
      <w:r>
        <w:rPr>
          <w:color w:val="231F20"/>
        </w:rPr>
        <w:t>с</w:t>
      </w:r>
      <w:r>
        <w:rPr>
          <w:color w:val="231F20"/>
          <w:spacing w:val="-7"/>
        </w:rPr>
        <w:t> </w:t>
      </w:r>
      <w:r>
        <w:rPr>
          <w:color w:val="231F20"/>
        </w:rPr>
        <w:t>ним</w:t>
      </w:r>
      <w:r>
        <w:rPr>
          <w:color w:val="231F20"/>
          <w:spacing w:val="-7"/>
        </w:rPr>
        <w:t> </w:t>
      </w:r>
      <w:r>
        <w:rPr>
          <w:color w:val="231F20"/>
        </w:rPr>
        <w:t>гибко,</w:t>
      </w:r>
      <w:r>
        <w:rPr>
          <w:color w:val="231F20"/>
          <w:spacing w:val="-7"/>
        </w:rPr>
        <w:t> </w:t>
      </w:r>
      <w:r>
        <w:rPr>
          <w:color w:val="231F20"/>
        </w:rPr>
        <w:t>и,</w:t>
      </w:r>
      <w:r>
        <w:rPr>
          <w:color w:val="231F20"/>
          <w:spacing w:val="-7"/>
        </w:rPr>
        <w:t> </w:t>
      </w:r>
      <w:r>
        <w:rPr>
          <w:color w:val="231F20"/>
        </w:rPr>
        <w:t>прежде</w:t>
      </w:r>
      <w:r>
        <w:rPr>
          <w:color w:val="231F20"/>
          <w:spacing w:val="-7"/>
        </w:rPr>
        <w:t> </w:t>
      </w:r>
      <w:r>
        <w:rPr>
          <w:color w:val="231F20"/>
        </w:rPr>
        <w:t>всего</w:t>
      </w:r>
      <w:r>
        <w:rPr>
          <w:color w:val="231F20"/>
          <w:spacing w:val="-7"/>
        </w:rPr>
        <w:t> </w:t>
      </w:r>
      <w:r>
        <w:rPr>
          <w:color w:val="231F20"/>
        </w:rPr>
        <w:t>в</w:t>
      </w:r>
      <w:r>
        <w:rPr>
          <w:color w:val="231F20"/>
          <w:spacing w:val="-7"/>
        </w:rPr>
        <w:t> </w:t>
      </w:r>
      <w:r>
        <w:rPr>
          <w:color w:val="231F20"/>
        </w:rPr>
        <w:t>каждом</w:t>
      </w:r>
      <w:r>
        <w:rPr>
          <w:color w:val="231F20"/>
          <w:spacing w:val="-7"/>
        </w:rPr>
        <w:t> </w:t>
      </w:r>
      <w:r>
        <w:rPr>
          <w:color w:val="231F20"/>
        </w:rPr>
        <w:t>конкретном</w:t>
      </w:r>
      <w:r>
        <w:rPr>
          <w:color w:val="231F20"/>
          <w:spacing w:val="-7"/>
        </w:rPr>
        <w:t> </w:t>
      </w:r>
      <w:r>
        <w:rPr>
          <w:color w:val="231F20"/>
        </w:rPr>
        <w:t>случае,</w:t>
      </w:r>
      <w:r>
        <w:rPr>
          <w:color w:val="231F20"/>
          <w:spacing w:val="-7"/>
        </w:rPr>
        <w:t> </w:t>
      </w:r>
      <w:r>
        <w:rPr>
          <w:color w:val="231F20"/>
        </w:rPr>
        <w:t>оно</w:t>
      </w:r>
      <w:r>
        <w:rPr>
          <w:color w:val="231F20"/>
          <w:spacing w:val="-7"/>
        </w:rPr>
        <w:t> </w:t>
      </w:r>
      <w:r>
        <w:rPr>
          <w:color w:val="231F20"/>
        </w:rPr>
        <w:t>индивиду- ально</w:t>
      </w:r>
      <w:r>
        <w:rPr>
          <w:color w:val="231F20"/>
          <w:spacing w:val="-10"/>
        </w:rPr>
        <w:t> </w:t>
      </w:r>
      <w:r>
        <w:rPr>
          <w:color w:val="231F20"/>
        </w:rPr>
        <w:t>и</w:t>
      </w:r>
      <w:r>
        <w:rPr>
          <w:color w:val="231F20"/>
          <w:spacing w:val="-8"/>
        </w:rPr>
        <w:t> </w:t>
      </w:r>
      <w:r>
        <w:rPr>
          <w:color w:val="231F20"/>
        </w:rPr>
        <w:t>в</w:t>
      </w:r>
      <w:r>
        <w:rPr>
          <w:color w:val="231F20"/>
          <w:spacing w:val="-8"/>
        </w:rPr>
        <w:t> </w:t>
      </w:r>
      <w:r>
        <w:rPr>
          <w:color w:val="231F20"/>
        </w:rPr>
        <w:t>зависимости</w:t>
      </w:r>
      <w:r>
        <w:rPr>
          <w:color w:val="231F20"/>
          <w:spacing w:val="-8"/>
        </w:rPr>
        <w:t> </w:t>
      </w:r>
      <w:r>
        <w:rPr>
          <w:color w:val="231F20"/>
        </w:rPr>
        <w:t>от</w:t>
      </w:r>
      <w:r>
        <w:rPr>
          <w:color w:val="231F20"/>
          <w:spacing w:val="-8"/>
        </w:rPr>
        <w:t> </w:t>
      </w:r>
      <w:r>
        <w:rPr>
          <w:color w:val="231F20"/>
        </w:rPr>
        <w:t>ситуации</w:t>
      </w:r>
      <w:r>
        <w:rPr>
          <w:color w:val="231F20"/>
          <w:spacing w:val="-8"/>
        </w:rPr>
        <w:t> </w:t>
      </w:r>
      <w:r>
        <w:rPr>
          <w:color w:val="231F20"/>
        </w:rPr>
        <w:t>определяет,</w:t>
      </w:r>
      <w:r>
        <w:rPr>
          <w:color w:val="231F20"/>
          <w:spacing w:val="-8"/>
        </w:rPr>
        <w:t> </w:t>
      </w:r>
      <w:r>
        <w:rPr>
          <w:color w:val="231F20"/>
        </w:rPr>
        <w:t>как</w:t>
      </w:r>
      <w:r>
        <w:rPr>
          <w:color w:val="231F20"/>
          <w:spacing w:val="-8"/>
        </w:rPr>
        <w:t> </w:t>
      </w:r>
      <w:r>
        <w:rPr>
          <w:color w:val="231F20"/>
        </w:rPr>
        <w:t>обращаться</w:t>
      </w:r>
      <w:r>
        <w:rPr>
          <w:color w:val="231F20"/>
          <w:spacing w:val="-8"/>
        </w:rPr>
        <w:t> </w:t>
      </w:r>
      <w:r>
        <w:rPr>
          <w:color w:val="231F20"/>
        </w:rPr>
        <w:t>с</w:t>
      </w:r>
      <w:r>
        <w:rPr>
          <w:color w:val="231F20"/>
          <w:spacing w:val="-8"/>
        </w:rPr>
        <w:t> </w:t>
      </w:r>
      <w:r>
        <w:rPr>
          <w:color w:val="231F20"/>
        </w:rPr>
        <w:t>содержимым</w:t>
      </w:r>
      <w:r>
        <w:rPr>
          <w:color w:val="231F20"/>
          <w:spacing w:val="-8"/>
        </w:rPr>
        <w:t> </w:t>
      </w:r>
      <w:r>
        <w:rPr>
          <w:color w:val="231F20"/>
          <w:spacing w:val="-2"/>
        </w:rPr>
        <w:t>своего</w:t>
      </w:r>
    </w:p>
    <w:p>
      <w:pPr>
        <w:pStyle w:val="BodyText"/>
        <w:ind w:firstLine="0"/>
      </w:pPr>
      <w:r>
        <w:rPr>
          <w:color w:val="231F20"/>
        </w:rPr>
        <w:t>«культурного</w:t>
      </w:r>
      <w:r>
        <w:rPr>
          <w:color w:val="231F20"/>
          <w:spacing w:val="-13"/>
        </w:rPr>
        <w:t> </w:t>
      </w:r>
      <w:r>
        <w:rPr>
          <w:color w:val="231F20"/>
        </w:rPr>
        <w:t>рюкзака».</w:t>
      </w:r>
      <w:r>
        <w:rPr>
          <w:color w:val="231F20"/>
          <w:spacing w:val="-12"/>
        </w:rPr>
        <w:t> </w:t>
      </w:r>
      <w:r>
        <w:rPr>
          <w:color w:val="231F20"/>
        </w:rPr>
        <w:t>Эти</w:t>
      </w:r>
      <w:r>
        <w:rPr>
          <w:color w:val="231F20"/>
          <w:spacing w:val="-13"/>
        </w:rPr>
        <w:t> </w:t>
      </w:r>
      <w:r>
        <w:rPr>
          <w:color w:val="231F20"/>
        </w:rPr>
        <w:t>две</w:t>
      </w:r>
      <w:r>
        <w:rPr>
          <w:color w:val="231F20"/>
          <w:spacing w:val="-12"/>
        </w:rPr>
        <w:t> </w:t>
      </w:r>
      <w:r>
        <w:rPr>
          <w:color w:val="231F20"/>
        </w:rPr>
        <w:t>модели</w:t>
      </w:r>
      <w:r>
        <w:rPr>
          <w:color w:val="231F20"/>
          <w:spacing w:val="-13"/>
        </w:rPr>
        <w:t> </w:t>
      </w:r>
      <w:r>
        <w:rPr>
          <w:color w:val="231F20"/>
        </w:rPr>
        <w:t>не</w:t>
      </w:r>
      <w:r>
        <w:rPr>
          <w:color w:val="231F20"/>
          <w:spacing w:val="-12"/>
        </w:rPr>
        <w:t> </w:t>
      </w:r>
      <w:r>
        <w:rPr>
          <w:color w:val="231F20"/>
        </w:rPr>
        <w:t>обязательно</w:t>
      </w:r>
      <w:r>
        <w:rPr>
          <w:color w:val="231F20"/>
          <w:spacing w:val="-13"/>
        </w:rPr>
        <w:t> </w:t>
      </w:r>
      <w:r>
        <w:rPr>
          <w:color w:val="231F20"/>
        </w:rPr>
        <w:t>противоречат</w:t>
      </w:r>
      <w:r>
        <w:rPr>
          <w:color w:val="231F20"/>
          <w:spacing w:val="-12"/>
        </w:rPr>
        <w:t> </w:t>
      </w:r>
      <w:r>
        <w:rPr>
          <w:color w:val="231F20"/>
        </w:rPr>
        <w:t>друг</w:t>
      </w:r>
      <w:r>
        <w:rPr>
          <w:color w:val="231F20"/>
          <w:spacing w:val="-13"/>
        </w:rPr>
        <w:t> </w:t>
      </w:r>
      <w:r>
        <w:rPr>
          <w:color w:val="231F20"/>
        </w:rPr>
        <w:t>другу.</w:t>
      </w:r>
      <w:r>
        <w:rPr>
          <w:color w:val="231F20"/>
          <w:spacing w:val="-12"/>
        </w:rPr>
        <w:t> </w:t>
      </w:r>
      <w:r>
        <w:rPr>
          <w:color w:val="231F20"/>
        </w:rPr>
        <w:t>Су- ществуют</w:t>
      </w:r>
      <w:r>
        <w:rPr>
          <w:color w:val="231F20"/>
          <w:spacing w:val="-13"/>
        </w:rPr>
        <w:t> </w:t>
      </w:r>
      <w:r>
        <w:rPr>
          <w:color w:val="231F20"/>
        </w:rPr>
        <w:t>разные</w:t>
      </w:r>
      <w:r>
        <w:rPr>
          <w:color w:val="231F20"/>
          <w:spacing w:val="-12"/>
        </w:rPr>
        <w:t> </w:t>
      </w:r>
      <w:r>
        <w:rPr>
          <w:color w:val="231F20"/>
        </w:rPr>
        <w:t>ситуации:</w:t>
      </w:r>
      <w:r>
        <w:rPr>
          <w:color w:val="231F20"/>
          <w:spacing w:val="-13"/>
        </w:rPr>
        <w:t> </w:t>
      </w:r>
      <w:r>
        <w:rPr>
          <w:color w:val="231F20"/>
        </w:rPr>
        <w:t>те,</w:t>
      </w:r>
      <w:r>
        <w:rPr>
          <w:color w:val="231F20"/>
          <w:spacing w:val="-12"/>
        </w:rPr>
        <w:t> </w:t>
      </w:r>
      <w:r>
        <w:rPr>
          <w:color w:val="231F20"/>
        </w:rPr>
        <w:t>которые</w:t>
      </w:r>
      <w:r>
        <w:rPr>
          <w:color w:val="231F20"/>
          <w:spacing w:val="-13"/>
        </w:rPr>
        <w:t> </w:t>
      </w:r>
      <w:r>
        <w:rPr>
          <w:color w:val="231F20"/>
        </w:rPr>
        <w:t>можно</w:t>
      </w:r>
      <w:r>
        <w:rPr>
          <w:color w:val="231F20"/>
          <w:spacing w:val="-12"/>
        </w:rPr>
        <w:t> </w:t>
      </w:r>
      <w:r>
        <w:rPr>
          <w:color w:val="231F20"/>
        </w:rPr>
        <w:t>описать</w:t>
      </w:r>
      <w:r>
        <w:rPr>
          <w:color w:val="231F20"/>
          <w:spacing w:val="-13"/>
        </w:rPr>
        <w:t> </w:t>
      </w:r>
      <w:r>
        <w:rPr>
          <w:color w:val="231F20"/>
        </w:rPr>
        <w:t>метафорой</w:t>
      </w:r>
      <w:r>
        <w:rPr>
          <w:color w:val="231F20"/>
          <w:spacing w:val="-12"/>
        </w:rPr>
        <w:t> </w:t>
      </w:r>
      <w:r>
        <w:rPr>
          <w:color w:val="231F20"/>
        </w:rPr>
        <w:t>«айсберга»,</w:t>
      </w:r>
      <w:r>
        <w:rPr>
          <w:color w:val="231F20"/>
          <w:spacing w:val="-13"/>
        </w:rPr>
        <w:t> </w:t>
      </w:r>
      <w:r>
        <w:rPr>
          <w:color w:val="231F20"/>
        </w:rPr>
        <w:t>и</w:t>
      </w:r>
      <w:r>
        <w:rPr>
          <w:color w:val="231F20"/>
          <w:spacing w:val="-12"/>
        </w:rPr>
        <w:t> </w:t>
      </w:r>
      <w:r>
        <w:rPr>
          <w:color w:val="231F20"/>
        </w:rPr>
        <w:t>дру- гие, к которым скорее подходит метафора «рюкзака». В международных контекстах модель «айсберга» оказывается полезнее: там для распознавания причин конфликта может быть достаточно контраста между участвующими национальными культура- ми («китайцы» и «американцы»). В то же время для индивидуума, действующего в мультикультурном контексте, больше подходят положения, включающие в себя обе модели культуры.</w:t>
      </w:r>
    </w:p>
    <w:p>
      <w:pPr>
        <w:pStyle w:val="BodyText"/>
        <w:spacing w:line="242" w:lineRule="auto"/>
      </w:pPr>
      <w:r>
        <w:rPr>
          <w:color w:val="231F20"/>
        </w:rPr>
        <w:t>Несмотря</w:t>
      </w:r>
      <w:r>
        <w:rPr>
          <w:color w:val="231F20"/>
          <w:spacing w:val="-1"/>
        </w:rPr>
        <w:t> </w:t>
      </w:r>
      <w:r>
        <w:rPr>
          <w:color w:val="231F20"/>
        </w:rPr>
        <w:t>на</w:t>
      </w:r>
      <w:r>
        <w:rPr>
          <w:color w:val="231F20"/>
          <w:spacing w:val="-1"/>
        </w:rPr>
        <w:t> </w:t>
      </w:r>
      <w:r>
        <w:rPr>
          <w:color w:val="231F20"/>
        </w:rPr>
        <w:t>то</w:t>
      </w:r>
      <w:r>
        <w:rPr>
          <w:color w:val="231F20"/>
          <w:spacing w:val="-1"/>
        </w:rPr>
        <w:t> </w:t>
      </w:r>
      <w:r>
        <w:rPr>
          <w:color w:val="231F20"/>
        </w:rPr>
        <w:t>что</w:t>
      </w:r>
      <w:r>
        <w:rPr>
          <w:color w:val="231F20"/>
          <w:spacing w:val="-1"/>
        </w:rPr>
        <w:t> </w:t>
      </w:r>
      <w:r>
        <w:rPr>
          <w:color w:val="231F20"/>
        </w:rPr>
        <w:t>культура</w:t>
      </w:r>
      <w:r>
        <w:rPr>
          <w:color w:val="231F20"/>
          <w:spacing w:val="-1"/>
        </w:rPr>
        <w:t> </w:t>
      </w:r>
      <w:r>
        <w:rPr>
          <w:color w:val="231F20"/>
        </w:rPr>
        <w:t>играет</w:t>
      </w:r>
      <w:r>
        <w:rPr>
          <w:color w:val="231F20"/>
          <w:spacing w:val="-1"/>
        </w:rPr>
        <w:t> </w:t>
      </w:r>
      <w:r>
        <w:rPr>
          <w:color w:val="231F20"/>
        </w:rPr>
        <w:t>важную</w:t>
      </w:r>
      <w:r>
        <w:rPr>
          <w:color w:val="231F20"/>
          <w:spacing w:val="-1"/>
        </w:rPr>
        <w:t> </w:t>
      </w:r>
      <w:r>
        <w:rPr>
          <w:color w:val="231F20"/>
        </w:rPr>
        <w:t>роль</w:t>
      </w:r>
      <w:r>
        <w:rPr>
          <w:color w:val="231F20"/>
          <w:spacing w:val="-1"/>
        </w:rPr>
        <w:t> </w:t>
      </w:r>
      <w:r>
        <w:rPr>
          <w:color w:val="231F20"/>
        </w:rPr>
        <w:t>в</w:t>
      </w:r>
      <w:r>
        <w:rPr>
          <w:color w:val="231F20"/>
          <w:spacing w:val="-1"/>
        </w:rPr>
        <w:t> </w:t>
      </w:r>
      <w:r>
        <w:rPr>
          <w:color w:val="231F20"/>
        </w:rPr>
        <w:t>развитии,</w:t>
      </w:r>
      <w:r>
        <w:rPr>
          <w:color w:val="231F20"/>
          <w:spacing w:val="-1"/>
        </w:rPr>
        <w:t> </w:t>
      </w:r>
      <w:r>
        <w:rPr>
          <w:color w:val="231F20"/>
        </w:rPr>
        <w:t>говорить,</w:t>
      </w:r>
      <w:r>
        <w:rPr>
          <w:color w:val="231F20"/>
          <w:spacing w:val="-1"/>
        </w:rPr>
        <w:t> </w:t>
      </w:r>
      <w:r>
        <w:rPr>
          <w:color w:val="231F20"/>
        </w:rPr>
        <w:t>что</w:t>
      </w:r>
      <w:r>
        <w:rPr>
          <w:color w:val="231F20"/>
          <w:spacing w:val="-1"/>
        </w:rPr>
        <w:t> </w:t>
      </w:r>
      <w:r>
        <w:rPr>
          <w:color w:val="231F20"/>
        </w:rPr>
        <w:t>пове- дение</w:t>
      </w:r>
      <w:r>
        <w:rPr>
          <w:color w:val="231F20"/>
          <w:spacing w:val="-5"/>
        </w:rPr>
        <w:t> </w:t>
      </w:r>
      <w:r>
        <w:rPr>
          <w:color w:val="231F20"/>
        </w:rPr>
        <w:t>человека</w:t>
      </w:r>
      <w:r>
        <w:rPr>
          <w:color w:val="231F20"/>
          <w:spacing w:val="-6"/>
        </w:rPr>
        <w:t> </w:t>
      </w:r>
      <w:r>
        <w:rPr>
          <w:color w:val="231F20"/>
        </w:rPr>
        <w:t>целиком</w:t>
      </w:r>
      <w:r>
        <w:rPr>
          <w:color w:val="231F20"/>
          <w:spacing w:val="-5"/>
        </w:rPr>
        <w:t> </w:t>
      </w:r>
      <w:r>
        <w:rPr>
          <w:color w:val="231F20"/>
        </w:rPr>
        <w:t>детерминировано</w:t>
      </w:r>
      <w:r>
        <w:rPr>
          <w:color w:val="231F20"/>
          <w:spacing w:val="-6"/>
        </w:rPr>
        <w:t> </w:t>
      </w:r>
      <w:r>
        <w:rPr>
          <w:color w:val="231F20"/>
        </w:rPr>
        <w:t>его</w:t>
      </w:r>
      <w:r>
        <w:rPr>
          <w:color w:val="231F20"/>
          <w:spacing w:val="-5"/>
        </w:rPr>
        <w:t> </w:t>
      </w:r>
      <w:r>
        <w:rPr>
          <w:color w:val="231F20"/>
        </w:rPr>
        <w:t>культурной</w:t>
      </w:r>
      <w:r>
        <w:rPr>
          <w:color w:val="231F20"/>
          <w:spacing w:val="-6"/>
        </w:rPr>
        <w:t> </w:t>
      </w:r>
      <w:r>
        <w:rPr>
          <w:color w:val="231F20"/>
        </w:rPr>
        <w:t>принадлежностью,</w:t>
      </w:r>
      <w:r>
        <w:rPr>
          <w:color w:val="231F20"/>
          <w:spacing w:val="-5"/>
        </w:rPr>
        <w:t> </w:t>
      </w:r>
      <w:r>
        <w:rPr>
          <w:color w:val="231F20"/>
        </w:rPr>
        <w:t>некор- ректно.</w:t>
      </w:r>
      <w:r>
        <w:rPr>
          <w:color w:val="231F20"/>
          <w:spacing w:val="-8"/>
        </w:rPr>
        <w:t> </w:t>
      </w:r>
      <w:r>
        <w:rPr>
          <w:color w:val="231F20"/>
        </w:rPr>
        <w:t>Еще</w:t>
      </w:r>
      <w:r>
        <w:rPr>
          <w:color w:val="231F20"/>
          <w:spacing w:val="-8"/>
        </w:rPr>
        <w:t> </w:t>
      </w:r>
      <w:r>
        <w:rPr>
          <w:color w:val="231F20"/>
        </w:rPr>
        <w:t>в</w:t>
      </w:r>
      <w:r>
        <w:rPr>
          <w:color w:val="231F20"/>
          <w:spacing w:val="-8"/>
        </w:rPr>
        <w:t> </w:t>
      </w:r>
      <w:r>
        <w:rPr>
          <w:color w:val="231F20"/>
        </w:rPr>
        <w:t>1950</w:t>
      </w:r>
      <w:r>
        <w:rPr>
          <w:color w:val="231F20"/>
          <w:spacing w:val="-8"/>
        </w:rPr>
        <w:t> </w:t>
      </w:r>
      <w:r>
        <w:rPr>
          <w:color w:val="231F20"/>
        </w:rPr>
        <w:t>г.</w:t>
      </w:r>
      <w:r>
        <w:rPr>
          <w:color w:val="231F20"/>
          <w:spacing w:val="-8"/>
        </w:rPr>
        <w:t> </w:t>
      </w:r>
      <w:r>
        <w:rPr>
          <w:color w:val="231F20"/>
        </w:rPr>
        <w:t>K.</w:t>
      </w:r>
      <w:r>
        <w:rPr>
          <w:color w:val="231F20"/>
          <w:spacing w:val="-8"/>
        </w:rPr>
        <w:t> </w:t>
      </w:r>
      <w:r>
        <w:rPr>
          <w:color w:val="231F20"/>
        </w:rPr>
        <w:t>Cluckhohn</w:t>
      </w:r>
      <w:r>
        <w:rPr>
          <w:color w:val="231F20"/>
          <w:spacing w:val="-8"/>
        </w:rPr>
        <w:t> </w:t>
      </w:r>
      <w:r>
        <w:rPr>
          <w:color w:val="231F20"/>
        </w:rPr>
        <w:t>и</w:t>
      </w:r>
      <w:r>
        <w:rPr>
          <w:color w:val="231F20"/>
          <w:spacing w:val="-8"/>
        </w:rPr>
        <w:t> </w:t>
      </w:r>
      <w:r>
        <w:rPr>
          <w:color w:val="231F20"/>
        </w:rPr>
        <w:t>H.</w:t>
      </w:r>
      <w:r>
        <w:rPr>
          <w:color w:val="231F20"/>
          <w:spacing w:val="-8"/>
        </w:rPr>
        <w:t> </w:t>
      </w:r>
      <w:r>
        <w:rPr>
          <w:color w:val="231F20"/>
        </w:rPr>
        <w:t>Murray</w:t>
      </w:r>
      <w:r>
        <w:rPr>
          <w:color w:val="231F20"/>
          <w:spacing w:val="-8"/>
        </w:rPr>
        <w:t> </w:t>
      </w:r>
      <w:r>
        <w:rPr>
          <w:color w:val="231F20"/>
        </w:rPr>
        <w:t>писали:</w:t>
      </w:r>
      <w:r>
        <w:rPr>
          <w:color w:val="231F20"/>
          <w:spacing w:val="-8"/>
        </w:rPr>
        <w:t> </w:t>
      </w:r>
      <w:r>
        <w:rPr>
          <w:color w:val="231F20"/>
        </w:rPr>
        <w:t>«Каждый</w:t>
      </w:r>
      <w:r>
        <w:rPr>
          <w:color w:val="231F20"/>
          <w:spacing w:val="-8"/>
        </w:rPr>
        <w:t> </w:t>
      </w:r>
      <w:r>
        <w:rPr>
          <w:color w:val="231F20"/>
        </w:rPr>
        <w:t>человек</w:t>
      </w:r>
      <w:r>
        <w:rPr>
          <w:color w:val="231F20"/>
          <w:spacing w:val="-8"/>
        </w:rPr>
        <w:t> </w:t>
      </w:r>
      <w:r>
        <w:rPr>
          <w:color w:val="231F20"/>
        </w:rPr>
        <w:t>в</w:t>
      </w:r>
      <w:r>
        <w:rPr>
          <w:color w:val="231F20"/>
          <w:spacing w:val="-8"/>
        </w:rPr>
        <w:t> </w:t>
      </w:r>
      <w:r>
        <w:rPr>
          <w:color w:val="231F20"/>
        </w:rPr>
        <w:t>чем-то:</w:t>
      </w:r>
      <w:r>
        <w:rPr>
          <w:color w:val="231F20"/>
          <w:spacing w:val="-8"/>
        </w:rPr>
        <w:t> </w:t>
      </w:r>
      <w:r>
        <w:rPr>
          <w:color w:val="231F20"/>
        </w:rPr>
        <w:t>a) похож на всех людей, b) похож на некоторых людей, c) не похож ни на кого».</w:t>
      </w:r>
    </w:p>
    <w:p>
      <w:pPr>
        <w:pStyle w:val="BodyText"/>
        <w:spacing w:line="242" w:lineRule="auto"/>
      </w:pPr>
      <w:r>
        <w:rPr>
          <w:color w:val="231F20"/>
        </w:rPr>
        <w:t>Развивая эту идею, Г.</w:t>
      </w:r>
      <w:r>
        <w:rPr>
          <w:color w:val="231F20"/>
          <w:spacing w:val="-8"/>
        </w:rPr>
        <w:t> </w:t>
      </w:r>
      <w:r>
        <w:rPr>
          <w:color w:val="231F20"/>
        </w:rPr>
        <w:t>Хофстеде полагает, что поведение индивида определяется тремя факторами.</w:t>
      </w:r>
    </w:p>
    <w:p>
      <w:pPr>
        <w:pStyle w:val="ListParagraph"/>
        <w:numPr>
          <w:ilvl w:val="0"/>
          <w:numId w:val="50"/>
        </w:numPr>
        <w:tabs>
          <w:tab w:pos="425" w:val="left" w:leader="none"/>
        </w:tabs>
        <w:spacing w:line="240" w:lineRule="auto" w:before="0" w:after="0"/>
        <w:ind w:left="425" w:right="139" w:hanging="284"/>
        <w:jc w:val="both"/>
        <w:rPr>
          <w:sz w:val="20"/>
        </w:rPr>
      </w:pPr>
      <w:r>
        <w:rPr>
          <w:color w:val="231F20"/>
          <w:sz w:val="20"/>
        </w:rPr>
        <w:t>Универсальная человеческая природа – то, что свойственно всем людям: основ- ные потребности (в безопасности, в пище и др.), психологические процессы и функции</w:t>
      </w:r>
      <w:r>
        <w:rPr>
          <w:color w:val="231F20"/>
          <w:spacing w:val="-8"/>
          <w:sz w:val="20"/>
        </w:rPr>
        <w:t> </w:t>
      </w:r>
      <w:r>
        <w:rPr>
          <w:color w:val="231F20"/>
          <w:sz w:val="20"/>
        </w:rPr>
        <w:t>(в</w:t>
      </w:r>
      <w:r>
        <w:rPr>
          <w:color w:val="231F20"/>
          <w:spacing w:val="-8"/>
          <w:sz w:val="20"/>
        </w:rPr>
        <w:t> </w:t>
      </w:r>
      <w:r>
        <w:rPr>
          <w:color w:val="231F20"/>
          <w:sz w:val="20"/>
        </w:rPr>
        <w:t>том</w:t>
      </w:r>
      <w:r>
        <w:rPr>
          <w:color w:val="231F20"/>
          <w:spacing w:val="-8"/>
          <w:sz w:val="20"/>
        </w:rPr>
        <w:t> </w:t>
      </w:r>
      <w:r>
        <w:rPr>
          <w:color w:val="231F20"/>
          <w:sz w:val="20"/>
        </w:rPr>
        <w:t>числе</w:t>
      </w:r>
      <w:r>
        <w:rPr>
          <w:color w:val="231F20"/>
          <w:spacing w:val="-8"/>
          <w:sz w:val="20"/>
        </w:rPr>
        <w:t> </w:t>
      </w:r>
      <w:r>
        <w:rPr>
          <w:color w:val="231F20"/>
          <w:sz w:val="20"/>
        </w:rPr>
        <w:t>эмоции)</w:t>
      </w:r>
      <w:r>
        <w:rPr>
          <w:color w:val="231F20"/>
          <w:spacing w:val="-8"/>
          <w:sz w:val="20"/>
        </w:rPr>
        <w:t> </w:t>
      </w:r>
      <w:r>
        <w:rPr>
          <w:color w:val="231F20"/>
          <w:sz w:val="20"/>
        </w:rPr>
        <w:t>и</w:t>
      </w:r>
      <w:r>
        <w:rPr>
          <w:color w:val="231F20"/>
          <w:spacing w:val="-8"/>
          <w:sz w:val="20"/>
        </w:rPr>
        <w:t> </w:t>
      </w:r>
      <w:r>
        <w:rPr>
          <w:color w:val="231F20"/>
          <w:sz w:val="20"/>
        </w:rPr>
        <w:t>т.д.</w:t>
      </w:r>
      <w:r>
        <w:rPr>
          <w:color w:val="231F20"/>
          <w:spacing w:val="-8"/>
          <w:sz w:val="20"/>
        </w:rPr>
        <w:t> </w:t>
      </w:r>
      <w:r>
        <w:rPr>
          <w:color w:val="231F20"/>
          <w:sz w:val="20"/>
        </w:rPr>
        <w:t>Эти</w:t>
      </w:r>
      <w:r>
        <w:rPr>
          <w:color w:val="231F20"/>
          <w:spacing w:val="-8"/>
          <w:sz w:val="20"/>
        </w:rPr>
        <w:t> </w:t>
      </w:r>
      <w:r>
        <w:rPr>
          <w:color w:val="231F20"/>
          <w:sz w:val="20"/>
        </w:rPr>
        <w:t>характеристики</w:t>
      </w:r>
      <w:r>
        <w:rPr>
          <w:color w:val="231F20"/>
          <w:spacing w:val="-8"/>
          <w:sz w:val="20"/>
        </w:rPr>
        <w:t> </w:t>
      </w:r>
      <w:r>
        <w:rPr>
          <w:color w:val="231F20"/>
          <w:sz w:val="20"/>
        </w:rPr>
        <w:t>наследуются</w:t>
      </w:r>
      <w:r>
        <w:rPr>
          <w:color w:val="231F20"/>
          <w:spacing w:val="-8"/>
          <w:sz w:val="20"/>
        </w:rPr>
        <w:t> </w:t>
      </w:r>
      <w:r>
        <w:rPr>
          <w:color w:val="231F20"/>
          <w:sz w:val="20"/>
        </w:rPr>
        <w:t>и</w:t>
      </w:r>
      <w:r>
        <w:rPr>
          <w:color w:val="231F20"/>
          <w:spacing w:val="-8"/>
          <w:sz w:val="20"/>
        </w:rPr>
        <w:t> </w:t>
      </w:r>
      <w:r>
        <w:rPr>
          <w:color w:val="231F20"/>
          <w:sz w:val="20"/>
        </w:rPr>
        <w:t>являются </w:t>
      </w:r>
      <w:r>
        <w:rPr>
          <w:color w:val="231F20"/>
          <w:spacing w:val="-2"/>
          <w:sz w:val="20"/>
        </w:rPr>
        <w:t>врожденными.</w:t>
      </w:r>
    </w:p>
    <w:p>
      <w:pPr>
        <w:pStyle w:val="ListParagraph"/>
        <w:numPr>
          <w:ilvl w:val="0"/>
          <w:numId w:val="50"/>
        </w:numPr>
        <w:tabs>
          <w:tab w:pos="425" w:val="left" w:leader="none"/>
        </w:tabs>
        <w:spacing w:line="237" w:lineRule="auto" w:before="0" w:after="0"/>
        <w:ind w:left="425" w:right="139" w:hanging="284"/>
        <w:jc w:val="both"/>
        <w:rPr>
          <w:sz w:val="20"/>
        </w:rPr>
      </w:pPr>
      <w:r>
        <w:rPr>
          <w:color w:val="231F20"/>
          <w:sz w:val="20"/>
        </w:rPr>
        <w:t>Культура – усвоенные в процессе взросления в конкретном обществе правила и нормы поведения. Так, представления о том, что следует вставать, когда учитель входит</w:t>
      </w:r>
      <w:r>
        <w:rPr>
          <w:color w:val="231F20"/>
          <w:spacing w:val="-5"/>
          <w:sz w:val="20"/>
        </w:rPr>
        <w:t> </w:t>
      </w:r>
      <w:r>
        <w:rPr>
          <w:color w:val="231F20"/>
          <w:sz w:val="20"/>
        </w:rPr>
        <w:t>в</w:t>
      </w:r>
      <w:r>
        <w:rPr>
          <w:color w:val="231F20"/>
          <w:spacing w:val="-5"/>
          <w:sz w:val="20"/>
        </w:rPr>
        <w:t> </w:t>
      </w:r>
      <w:r>
        <w:rPr>
          <w:color w:val="231F20"/>
          <w:sz w:val="20"/>
        </w:rPr>
        <w:t>класс,</w:t>
      </w:r>
      <w:r>
        <w:rPr>
          <w:color w:val="231F20"/>
          <w:spacing w:val="-5"/>
          <w:sz w:val="20"/>
        </w:rPr>
        <w:t> </w:t>
      </w:r>
      <w:r>
        <w:rPr>
          <w:color w:val="231F20"/>
          <w:sz w:val="20"/>
        </w:rPr>
        <w:t>уступать</w:t>
      </w:r>
      <w:r>
        <w:rPr>
          <w:color w:val="231F20"/>
          <w:spacing w:val="-5"/>
          <w:sz w:val="20"/>
        </w:rPr>
        <w:t> </w:t>
      </w:r>
      <w:r>
        <w:rPr>
          <w:color w:val="231F20"/>
          <w:sz w:val="20"/>
        </w:rPr>
        <w:t>место</w:t>
      </w:r>
      <w:r>
        <w:rPr>
          <w:color w:val="231F20"/>
          <w:spacing w:val="-5"/>
          <w:sz w:val="20"/>
        </w:rPr>
        <w:t> </w:t>
      </w:r>
      <w:r>
        <w:rPr>
          <w:color w:val="231F20"/>
          <w:sz w:val="20"/>
        </w:rPr>
        <w:t>пожилому</w:t>
      </w:r>
      <w:r>
        <w:rPr>
          <w:color w:val="231F20"/>
          <w:spacing w:val="-5"/>
          <w:sz w:val="20"/>
        </w:rPr>
        <w:t> </w:t>
      </w:r>
      <w:r>
        <w:rPr>
          <w:color w:val="231F20"/>
          <w:sz w:val="20"/>
        </w:rPr>
        <w:t>человеку</w:t>
      </w:r>
      <w:r>
        <w:rPr>
          <w:color w:val="231F20"/>
          <w:spacing w:val="-5"/>
          <w:sz w:val="20"/>
        </w:rPr>
        <w:t> </w:t>
      </w:r>
      <w:r>
        <w:rPr>
          <w:color w:val="231F20"/>
          <w:sz w:val="20"/>
        </w:rPr>
        <w:t>в</w:t>
      </w:r>
      <w:r>
        <w:rPr>
          <w:color w:val="231F20"/>
          <w:spacing w:val="-5"/>
          <w:sz w:val="20"/>
        </w:rPr>
        <w:t> </w:t>
      </w:r>
      <w:r>
        <w:rPr>
          <w:color w:val="231F20"/>
          <w:sz w:val="20"/>
        </w:rPr>
        <w:t>транспорте,</w:t>
      </w:r>
      <w:r>
        <w:rPr>
          <w:color w:val="231F20"/>
          <w:spacing w:val="-5"/>
          <w:sz w:val="20"/>
        </w:rPr>
        <w:t> </w:t>
      </w:r>
      <w:r>
        <w:rPr>
          <w:color w:val="231F20"/>
          <w:sz w:val="20"/>
        </w:rPr>
        <w:t>относят</w:t>
      </w:r>
      <w:r>
        <w:rPr>
          <w:color w:val="231F20"/>
          <w:spacing w:val="-5"/>
          <w:sz w:val="20"/>
        </w:rPr>
        <w:t> </w:t>
      </w:r>
      <w:r>
        <w:rPr>
          <w:color w:val="231F20"/>
          <w:sz w:val="20"/>
        </w:rPr>
        <w:t>именно к культурным.</w:t>
      </w:r>
    </w:p>
    <w:p>
      <w:pPr>
        <w:pStyle w:val="ListParagraph"/>
        <w:numPr>
          <w:ilvl w:val="0"/>
          <w:numId w:val="50"/>
        </w:numPr>
        <w:tabs>
          <w:tab w:pos="425" w:val="left" w:leader="none"/>
        </w:tabs>
        <w:spacing w:line="235" w:lineRule="auto" w:before="0" w:after="0"/>
        <w:ind w:left="425" w:right="139" w:hanging="284"/>
        <w:jc w:val="both"/>
        <w:rPr>
          <w:sz w:val="20"/>
        </w:rPr>
      </w:pPr>
      <w:r>
        <w:rPr>
          <w:color w:val="231F20"/>
          <w:sz w:val="20"/>
        </w:rPr>
        <w:t>Личность</w:t>
      </w:r>
      <w:r>
        <w:rPr>
          <w:color w:val="231F20"/>
          <w:spacing w:val="-1"/>
          <w:sz w:val="20"/>
        </w:rPr>
        <w:t> </w:t>
      </w:r>
      <w:r>
        <w:rPr>
          <w:color w:val="231F20"/>
          <w:sz w:val="20"/>
        </w:rPr>
        <w:t>–</w:t>
      </w:r>
      <w:r>
        <w:rPr>
          <w:color w:val="231F20"/>
          <w:spacing w:val="-1"/>
          <w:sz w:val="20"/>
        </w:rPr>
        <w:t> </w:t>
      </w:r>
      <w:r>
        <w:rPr>
          <w:color w:val="231F20"/>
          <w:sz w:val="20"/>
        </w:rPr>
        <w:t>уникальное</w:t>
      </w:r>
      <w:r>
        <w:rPr>
          <w:color w:val="231F20"/>
          <w:spacing w:val="-1"/>
          <w:sz w:val="20"/>
        </w:rPr>
        <w:t> </w:t>
      </w:r>
      <w:r>
        <w:rPr>
          <w:color w:val="231F20"/>
          <w:sz w:val="20"/>
        </w:rPr>
        <w:t>и</w:t>
      </w:r>
      <w:r>
        <w:rPr>
          <w:color w:val="231F20"/>
          <w:spacing w:val="-1"/>
          <w:sz w:val="20"/>
        </w:rPr>
        <w:t> </w:t>
      </w:r>
      <w:r>
        <w:rPr>
          <w:color w:val="231F20"/>
          <w:sz w:val="20"/>
        </w:rPr>
        <w:t>неповторимое</w:t>
      </w:r>
      <w:r>
        <w:rPr>
          <w:color w:val="231F20"/>
          <w:spacing w:val="-1"/>
          <w:sz w:val="20"/>
        </w:rPr>
        <w:t> </w:t>
      </w:r>
      <w:r>
        <w:rPr>
          <w:color w:val="231F20"/>
          <w:sz w:val="20"/>
        </w:rPr>
        <w:t>сочетание</w:t>
      </w:r>
      <w:r>
        <w:rPr>
          <w:color w:val="231F20"/>
          <w:spacing w:val="-1"/>
          <w:sz w:val="20"/>
        </w:rPr>
        <w:t> </w:t>
      </w:r>
      <w:r>
        <w:rPr>
          <w:color w:val="231F20"/>
          <w:sz w:val="20"/>
        </w:rPr>
        <w:t>черт</w:t>
      </w:r>
      <w:r>
        <w:rPr>
          <w:color w:val="231F20"/>
          <w:spacing w:val="-1"/>
          <w:sz w:val="20"/>
        </w:rPr>
        <w:t> </w:t>
      </w:r>
      <w:r>
        <w:rPr>
          <w:color w:val="231F20"/>
          <w:sz w:val="20"/>
        </w:rPr>
        <w:t>и</w:t>
      </w:r>
      <w:r>
        <w:rPr>
          <w:color w:val="231F20"/>
          <w:spacing w:val="-1"/>
          <w:sz w:val="20"/>
        </w:rPr>
        <w:t> </w:t>
      </w:r>
      <w:r>
        <w:rPr>
          <w:color w:val="231F20"/>
          <w:sz w:val="20"/>
        </w:rPr>
        <w:t>характеристик,</w:t>
      </w:r>
      <w:r>
        <w:rPr>
          <w:color w:val="231F20"/>
          <w:spacing w:val="-1"/>
          <w:sz w:val="20"/>
        </w:rPr>
        <w:t> </w:t>
      </w:r>
      <w:r>
        <w:rPr>
          <w:color w:val="231F20"/>
          <w:sz w:val="20"/>
        </w:rPr>
        <w:t>отлича- ющее конкретного человека и делающее его индивидуальностью. Личность фор- мируется под влиянием собственного жизненного опыта.</w:t>
      </w:r>
    </w:p>
    <w:p>
      <w:pPr>
        <w:pStyle w:val="ListParagraph"/>
        <w:spacing w:after="0" w:line="235" w:lineRule="auto"/>
        <w:jc w:val="both"/>
        <w:rPr>
          <w:sz w:val="20"/>
        </w:rPr>
        <w:sectPr>
          <w:pgSz w:w="8400" w:h="11910"/>
          <w:pgMar w:header="0" w:footer="528" w:top="400" w:bottom="720" w:left="425" w:right="425"/>
        </w:sectPr>
      </w:pPr>
    </w:p>
    <w:p>
      <w:pPr>
        <w:pStyle w:val="ListParagraph"/>
        <w:numPr>
          <w:ilvl w:val="1"/>
          <w:numId w:val="45"/>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Учет</w:t>
      </w:r>
      <w:r>
        <w:rPr>
          <w:rFonts w:ascii="Georgia" w:hAnsi="Georgia"/>
          <w:color w:val="231F20"/>
          <w:spacing w:val="11"/>
          <w:sz w:val="18"/>
        </w:rPr>
        <w:t> </w:t>
      </w:r>
      <w:r>
        <w:rPr>
          <w:rFonts w:ascii="Georgia" w:hAnsi="Georgia"/>
          <w:color w:val="231F20"/>
          <w:sz w:val="18"/>
        </w:rPr>
        <w:t>культурно-специфических</w:t>
      </w:r>
      <w:r>
        <w:rPr>
          <w:rFonts w:ascii="Georgia" w:hAnsi="Georgia"/>
          <w:color w:val="231F20"/>
          <w:spacing w:val="12"/>
          <w:sz w:val="18"/>
        </w:rPr>
        <w:t> </w:t>
      </w:r>
      <w:r>
        <w:rPr>
          <w:rFonts w:ascii="Georgia" w:hAnsi="Georgia"/>
          <w:color w:val="231F20"/>
          <w:sz w:val="18"/>
        </w:rPr>
        <w:t>факторов</w:t>
      </w:r>
      <w:r>
        <w:rPr>
          <w:rFonts w:ascii="Georgia" w:hAnsi="Georgia"/>
          <w:color w:val="231F20"/>
          <w:spacing w:val="12"/>
          <w:sz w:val="18"/>
        </w:rPr>
        <w:t> </w:t>
      </w:r>
      <w:r>
        <w:rPr>
          <w:rFonts w:ascii="Georgia" w:hAnsi="Georgia"/>
          <w:color w:val="231F20"/>
          <w:sz w:val="18"/>
        </w:rPr>
        <w:t>в</w:t>
      </w:r>
      <w:r>
        <w:rPr>
          <w:rFonts w:ascii="Georgia" w:hAnsi="Georgia"/>
          <w:color w:val="231F20"/>
          <w:spacing w:val="12"/>
          <w:sz w:val="18"/>
        </w:rPr>
        <w:t> </w:t>
      </w:r>
      <w:r>
        <w:rPr>
          <w:rFonts w:ascii="Georgia" w:hAnsi="Georgia"/>
          <w:color w:val="231F20"/>
          <w:sz w:val="18"/>
        </w:rPr>
        <w:t>консультативной</w:t>
      </w:r>
      <w:r>
        <w:rPr>
          <w:rFonts w:ascii="Georgia" w:hAnsi="Georgia"/>
          <w:color w:val="231F20"/>
          <w:spacing w:val="12"/>
          <w:sz w:val="18"/>
        </w:rPr>
        <w:t> </w:t>
      </w:r>
      <w:r>
        <w:rPr>
          <w:rFonts w:ascii="Georgia" w:hAnsi="Georgia"/>
          <w:color w:val="231F20"/>
          <w:sz w:val="18"/>
        </w:rPr>
        <w:t>и</w:t>
      </w:r>
      <w:r>
        <w:rPr>
          <w:rFonts w:ascii="Georgia" w:hAnsi="Georgia"/>
          <w:color w:val="231F20"/>
          <w:spacing w:val="12"/>
          <w:sz w:val="18"/>
        </w:rPr>
        <w:t> </w:t>
      </w:r>
      <w:r>
        <w:rPr>
          <w:rFonts w:ascii="Georgia" w:hAnsi="Georgia"/>
          <w:color w:val="231F20"/>
          <w:spacing w:val="-2"/>
          <w:sz w:val="18"/>
        </w:rPr>
        <w:t>коррекционной...</w:t>
      </w:r>
    </w:p>
    <w:p>
      <w:pPr>
        <w:pStyle w:val="BodyText"/>
        <w:spacing w:line="232" w:lineRule="auto" w:before="118"/>
      </w:pPr>
      <w:r>
        <w:rPr>
          <w:color w:val="231F20"/>
        </w:rPr>
        <w:t>Таким</w:t>
      </w:r>
      <w:r>
        <w:rPr>
          <w:color w:val="231F20"/>
          <w:spacing w:val="-7"/>
        </w:rPr>
        <w:t> </w:t>
      </w:r>
      <w:r>
        <w:rPr>
          <w:color w:val="231F20"/>
        </w:rPr>
        <w:t>образом,</w:t>
      </w:r>
      <w:r>
        <w:rPr>
          <w:color w:val="231F20"/>
          <w:spacing w:val="-7"/>
        </w:rPr>
        <w:t> </w:t>
      </w:r>
      <w:r>
        <w:rPr>
          <w:color w:val="231F20"/>
        </w:rPr>
        <w:t>перед</w:t>
      </w:r>
      <w:r>
        <w:rPr>
          <w:color w:val="231F20"/>
          <w:spacing w:val="-7"/>
        </w:rPr>
        <w:t> </w:t>
      </w:r>
      <w:r>
        <w:rPr>
          <w:color w:val="231F20"/>
        </w:rPr>
        <w:t>психологом,</w:t>
      </w:r>
      <w:r>
        <w:rPr>
          <w:color w:val="231F20"/>
          <w:spacing w:val="-7"/>
        </w:rPr>
        <w:t> </w:t>
      </w:r>
      <w:r>
        <w:rPr>
          <w:color w:val="231F20"/>
        </w:rPr>
        <w:t>работающим</w:t>
      </w:r>
      <w:r>
        <w:rPr>
          <w:color w:val="231F20"/>
          <w:spacing w:val="-7"/>
        </w:rPr>
        <w:t> </w:t>
      </w:r>
      <w:r>
        <w:rPr>
          <w:color w:val="231F20"/>
        </w:rPr>
        <w:t>в</w:t>
      </w:r>
      <w:r>
        <w:rPr>
          <w:color w:val="231F20"/>
          <w:spacing w:val="-7"/>
        </w:rPr>
        <w:t> </w:t>
      </w:r>
      <w:r>
        <w:rPr>
          <w:color w:val="231F20"/>
        </w:rPr>
        <w:t>поликультурном</w:t>
      </w:r>
      <w:r>
        <w:rPr>
          <w:color w:val="231F20"/>
          <w:spacing w:val="-7"/>
        </w:rPr>
        <w:t> </w:t>
      </w:r>
      <w:r>
        <w:rPr>
          <w:color w:val="231F20"/>
        </w:rPr>
        <w:t>образователь- ном</w:t>
      </w:r>
      <w:r>
        <w:rPr>
          <w:color w:val="231F20"/>
          <w:spacing w:val="-1"/>
        </w:rPr>
        <w:t> </w:t>
      </w:r>
      <w:r>
        <w:rPr>
          <w:color w:val="231F20"/>
        </w:rPr>
        <w:t>пространстве</w:t>
      </w:r>
      <w:r>
        <w:rPr>
          <w:color w:val="231F20"/>
          <w:spacing w:val="-1"/>
        </w:rPr>
        <w:t> </w:t>
      </w:r>
      <w:r>
        <w:rPr>
          <w:color w:val="231F20"/>
        </w:rPr>
        <w:t>или</w:t>
      </w:r>
      <w:r>
        <w:rPr>
          <w:color w:val="231F20"/>
          <w:spacing w:val="-1"/>
        </w:rPr>
        <w:t> </w:t>
      </w:r>
      <w:r>
        <w:rPr>
          <w:color w:val="231F20"/>
        </w:rPr>
        <w:t>решающим</w:t>
      </w:r>
      <w:r>
        <w:rPr>
          <w:color w:val="231F20"/>
          <w:spacing w:val="-1"/>
        </w:rPr>
        <w:t> </w:t>
      </w:r>
      <w:r>
        <w:rPr>
          <w:color w:val="231F20"/>
        </w:rPr>
        <w:t>задачу</w:t>
      </w:r>
      <w:r>
        <w:rPr>
          <w:color w:val="231F20"/>
          <w:spacing w:val="-1"/>
        </w:rPr>
        <w:t> </w:t>
      </w:r>
      <w:r>
        <w:rPr>
          <w:color w:val="231F20"/>
        </w:rPr>
        <w:t>оказания</w:t>
      </w:r>
      <w:r>
        <w:rPr>
          <w:color w:val="231F20"/>
          <w:spacing w:val="-1"/>
        </w:rPr>
        <w:t> </w:t>
      </w:r>
      <w:r>
        <w:rPr>
          <w:color w:val="231F20"/>
        </w:rPr>
        <w:t>помощи</w:t>
      </w:r>
      <w:r>
        <w:rPr>
          <w:color w:val="231F20"/>
          <w:spacing w:val="-1"/>
        </w:rPr>
        <w:t> </w:t>
      </w:r>
      <w:r>
        <w:rPr>
          <w:color w:val="231F20"/>
        </w:rPr>
        <w:t>ребенку-мигранту,</w:t>
      </w:r>
      <w:r>
        <w:rPr>
          <w:color w:val="231F20"/>
          <w:spacing w:val="-1"/>
        </w:rPr>
        <w:t> </w:t>
      </w:r>
      <w:r>
        <w:rPr>
          <w:color w:val="231F20"/>
        </w:rPr>
        <w:t>стоит вопрос дифференциации, с какими феноменами психолог сталкивается: с общече- ловеческими, индивидуальными или отражающими результат воспитания ребенка в определенных культурных условиях.</w:t>
      </w:r>
    </w:p>
    <w:p>
      <w:pPr>
        <w:pStyle w:val="BodyText"/>
        <w:spacing w:line="232" w:lineRule="auto"/>
      </w:pPr>
      <w:r>
        <w:rPr>
          <w:color w:val="231F20"/>
          <w:spacing w:val="-2"/>
        </w:rPr>
        <w:t>Поскольку культурные нормы имеют высокую субъективную значимость и оказы- вают</w:t>
      </w:r>
      <w:r>
        <w:rPr>
          <w:color w:val="231F20"/>
          <w:spacing w:val="-3"/>
        </w:rPr>
        <w:t> </w:t>
      </w:r>
      <w:r>
        <w:rPr>
          <w:color w:val="231F20"/>
          <w:spacing w:val="-2"/>
        </w:rPr>
        <w:t>большое</w:t>
      </w:r>
      <w:r>
        <w:rPr>
          <w:color w:val="231F20"/>
          <w:spacing w:val="-3"/>
        </w:rPr>
        <w:t> </w:t>
      </w:r>
      <w:r>
        <w:rPr>
          <w:color w:val="231F20"/>
          <w:spacing w:val="-2"/>
        </w:rPr>
        <w:t>влияние</w:t>
      </w:r>
      <w:r>
        <w:rPr>
          <w:color w:val="231F20"/>
          <w:spacing w:val="-3"/>
        </w:rPr>
        <w:t> </w:t>
      </w:r>
      <w:r>
        <w:rPr>
          <w:color w:val="231F20"/>
          <w:spacing w:val="-2"/>
        </w:rPr>
        <w:t>на</w:t>
      </w:r>
      <w:r>
        <w:rPr>
          <w:color w:val="231F20"/>
          <w:spacing w:val="-3"/>
        </w:rPr>
        <w:t> </w:t>
      </w:r>
      <w:r>
        <w:rPr>
          <w:color w:val="231F20"/>
          <w:spacing w:val="-2"/>
        </w:rPr>
        <w:t>поведение,</w:t>
      </w:r>
      <w:r>
        <w:rPr>
          <w:color w:val="231F20"/>
          <w:spacing w:val="-3"/>
        </w:rPr>
        <w:t> </w:t>
      </w:r>
      <w:r>
        <w:rPr>
          <w:color w:val="231F20"/>
          <w:spacing w:val="-2"/>
        </w:rPr>
        <w:t>эффективная</w:t>
      </w:r>
      <w:r>
        <w:rPr>
          <w:color w:val="231F20"/>
          <w:spacing w:val="-3"/>
        </w:rPr>
        <w:t> </w:t>
      </w:r>
      <w:r>
        <w:rPr>
          <w:color w:val="231F20"/>
          <w:spacing w:val="-2"/>
        </w:rPr>
        <w:t>работа</w:t>
      </w:r>
      <w:r>
        <w:rPr>
          <w:color w:val="231F20"/>
          <w:spacing w:val="-3"/>
        </w:rPr>
        <w:t> </w:t>
      </w:r>
      <w:r>
        <w:rPr>
          <w:color w:val="231F20"/>
          <w:spacing w:val="-2"/>
        </w:rPr>
        <w:t>психолога</w:t>
      </w:r>
      <w:r>
        <w:rPr>
          <w:color w:val="231F20"/>
          <w:spacing w:val="-3"/>
        </w:rPr>
        <w:t> </w:t>
      </w:r>
      <w:r>
        <w:rPr>
          <w:color w:val="231F20"/>
          <w:spacing w:val="-2"/>
        </w:rPr>
        <w:t>возможна</w:t>
      </w:r>
      <w:r>
        <w:rPr>
          <w:color w:val="231F20"/>
          <w:spacing w:val="-3"/>
        </w:rPr>
        <w:t> </w:t>
      </w:r>
      <w:r>
        <w:rPr>
          <w:color w:val="231F20"/>
          <w:spacing w:val="-2"/>
        </w:rPr>
        <w:t>только </w:t>
      </w:r>
      <w:r>
        <w:rPr>
          <w:color w:val="231F20"/>
        </w:rPr>
        <w:t>при</w:t>
      </w:r>
      <w:r>
        <w:rPr>
          <w:color w:val="231F20"/>
          <w:spacing w:val="-11"/>
        </w:rPr>
        <w:t> </w:t>
      </w:r>
      <w:r>
        <w:rPr>
          <w:color w:val="231F20"/>
        </w:rPr>
        <w:t>учете</w:t>
      </w:r>
      <w:r>
        <w:rPr>
          <w:color w:val="231F20"/>
          <w:spacing w:val="-11"/>
        </w:rPr>
        <w:t> </w:t>
      </w:r>
      <w:r>
        <w:rPr>
          <w:color w:val="231F20"/>
        </w:rPr>
        <w:t>культурных</w:t>
      </w:r>
      <w:r>
        <w:rPr>
          <w:color w:val="231F20"/>
          <w:spacing w:val="-11"/>
        </w:rPr>
        <w:t> </w:t>
      </w:r>
      <w:r>
        <w:rPr>
          <w:color w:val="231F20"/>
        </w:rPr>
        <w:t>различий.</w:t>
      </w:r>
      <w:r>
        <w:rPr>
          <w:color w:val="231F20"/>
          <w:spacing w:val="-11"/>
        </w:rPr>
        <w:t> </w:t>
      </w:r>
      <w:r>
        <w:rPr>
          <w:color w:val="231F20"/>
        </w:rPr>
        <w:t>Адаптация</w:t>
      </w:r>
      <w:r>
        <w:rPr>
          <w:color w:val="231F20"/>
          <w:spacing w:val="-11"/>
        </w:rPr>
        <w:t> </w:t>
      </w:r>
      <w:r>
        <w:rPr>
          <w:color w:val="231F20"/>
        </w:rPr>
        <w:t>консультативных</w:t>
      </w:r>
      <w:r>
        <w:rPr>
          <w:color w:val="231F20"/>
          <w:spacing w:val="-11"/>
        </w:rPr>
        <w:t> </w:t>
      </w:r>
      <w:r>
        <w:rPr>
          <w:color w:val="231F20"/>
        </w:rPr>
        <w:t>методов</w:t>
      </w:r>
      <w:r>
        <w:rPr>
          <w:color w:val="231F20"/>
          <w:spacing w:val="-11"/>
        </w:rPr>
        <w:t> </w:t>
      </w:r>
      <w:r>
        <w:rPr>
          <w:color w:val="231F20"/>
        </w:rPr>
        <w:t>и</w:t>
      </w:r>
      <w:r>
        <w:rPr>
          <w:color w:val="231F20"/>
          <w:spacing w:val="-11"/>
        </w:rPr>
        <w:t> </w:t>
      </w:r>
      <w:r>
        <w:rPr>
          <w:color w:val="231F20"/>
        </w:rPr>
        <w:t>активностей в контексте культуры клиента и представляет собой учет культурно-специфических факторов в работе психолога.</w:t>
      </w:r>
    </w:p>
    <w:p>
      <w:pPr>
        <w:pStyle w:val="BodyText"/>
        <w:spacing w:line="232" w:lineRule="auto"/>
      </w:pPr>
      <w:r>
        <w:rPr>
          <w:color w:val="231F20"/>
        </w:rPr>
        <w:t>Например,</w:t>
      </w:r>
      <w:r>
        <w:rPr>
          <w:color w:val="231F20"/>
          <w:spacing w:val="-13"/>
        </w:rPr>
        <w:t> </w:t>
      </w:r>
      <w:r>
        <w:rPr>
          <w:color w:val="231F20"/>
        </w:rPr>
        <w:t>при</w:t>
      </w:r>
      <w:r>
        <w:rPr>
          <w:color w:val="231F20"/>
          <w:spacing w:val="-12"/>
        </w:rPr>
        <w:t> </w:t>
      </w:r>
      <w:r>
        <w:rPr>
          <w:color w:val="231F20"/>
        </w:rPr>
        <w:t>проведении</w:t>
      </w:r>
      <w:r>
        <w:rPr>
          <w:color w:val="231F20"/>
          <w:spacing w:val="-13"/>
        </w:rPr>
        <w:t> </w:t>
      </w:r>
      <w:r>
        <w:rPr>
          <w:color w:val="231F20"/>
        </w:rPr>
        <w:t>социометрической</w:t>
      </w:r>
      <w:r>
        <w:rPr>
          <w:color w:val="231F20"/>
          <w:spacing w:val="-12"/>
        </w:rPr>
        <w:t> </w:t>
      </w:r>
      <w:r>
        <w:rPr>
          <w:color w:val="231F20"/>
        </w:rPr>
        <w:t>процедуры</w:t>
      </w:r>
      <w:r>
        <w:rPr>
          <w:color w:val="231F20"/>
          <w:spacing w:val="-13"/>
        </w:rPr>
        <w:t> </w:t>
      </w:r>
      <w:r>
        <w:rPr>
          <w:color w:val="231F20"/>
        </w:rPr>
        <w:t>в</w:t>
      </w:r>
      <w:r>
        <w:rPr>
          <w:color w:val="231F20"/>
          <w:spacing w:val="-12"/>
        </w:rPr>
        <w:t> </w:t>
      </w:r>
      <w:r>
        <w:rPr>
          <w:color w:val="231F20"/>
        </w:rPr>
        <w:t>группе</w:t>
      </w:r>
      <w:r>
        <w:rPr>
          <w:color w:val="231F20"/>
          <w:spacing w:val="-13"/>
        </w:rPr>
        <w:t> </w:t>
      </w:r>
      <w:r>
        <w:rPr>
          <w:color w:val="231F20"/>
        </w:rPr>
        <w:t>китайских</w:t>
      </w:r>
      <w:r>
        <w:rPr>
          <w:color w:val="231F20"/>
          <w:spacing w:val="-12"/>
        </w:rPr>
        <w:t> </w:t>
      </w:r>
      <w:r>
        <w:rPr>
          <w:color w:val="231F20"/>
        </w:rPr>
        <w:t>сту- дентов</w:t>
      </w:r>
      <w:r>
        <w:rPr>
          <w:color w:val="231F20"/>
          <w:spacing w:val="-11"/>
        </w:rPr>
        <w:t> </w:t>
      </w:r>
      <w:r>
        <w:rPr>
          <w:color w:val="231F20"/>
        </w:rPr>
        <w:t>было</w:t>
      </w:r>
      <w:r>
        <w:rPr>
          <w:color w:val="231F20"/>
          <w:spacing w:val="-11"/>
        </w:rPr>
        <w:t> </w:t>
      </w:r>
      <w:r>
        <w:rPr>
          <w:color w:val="231F20"/>
        </w:rPr>
        <w:t>обнаружено,</w:t>
      </w:r>
      <w:r>
        <w:rPr>
          <w:color w:val="231F20"/>
          <w:spacing w:val="-11"/>
        </w:rPr>
        <w:t> </w:t>
      </w:r>
      <w:r>
        <w:rPr>
          <w:color w:val="231F20"/>
        </w:rPr>
        <w:t>что</w:t>
      </w:r>
      <w:r>
        <w:rPr>
          <w:color w:val="231F20"/>
          <w:spacing w:val="-11"/>
        </w:rPr>
        <w:t> </w:t>
      </w:r>
      <w:r>
        <w:rPr>
          <w:color w:val="231F20"/>
        </w:rPr>
        <w:t>студенты</w:t>
      </w:r>
      <w:r>
        <w:rPr>
          <w:color w:val="231F20"/>
          <w:spacing w:val="-11"/>
        </w:rPr>
        <w:t> </w:t>
      </w:r>
      <w:r>
        <w:rPr>
          <w:color w:val="231F20"/>
        </w:rPr>
        <w:t>легко</w:t>
      </w:r>
      <w:r>
        <w:rPr>
          <w:color w:val="231F20"/>
          <w:spacing w:val="-11"/>
        </w:rPr>
        <w:t> </w:t>
      </w:r>
      <w:r>
        <w:rPr>
          <w:color w:val="231F20"/>
        </w:rPr>
        <w:t>отвечают</w:t>
      </w:r>
      <w:r>
        <w:rPr>
          <w:color w:val="231F20"/>
          <w:spacing w:val="-11"/>
        </w:rPr>
        <w:t> </w:t>
      </w:r>
      <w:r>
        <w:rPr>
          <w:color w:val="231F20"/>
        </w:rPr>
        <w:t>на</w:t>
      </w:r>
      <w:r>
        <w:rPr>
          <w:color w:val="231F20"/>
          <w:spacing w:val="-11"/>
        </w:rPr>
        <w:t> </w:t>
      </w:r>
      <w:r>
        <w:rPr>
          <w:color w:val="231F20"/>
        </w:rPr>
        <w:t>вопросы</w:t>
      </w:r>
      <w:r>
        <w:rPr>
          <w:color w:val="231F20"/>
          <w:spacing w:val="-11"/>
        </w:rPr>
        <w:t> </w:t>
      </w:r>
      <w:r>
        <w:rPr>
          <w:color w:val="231F20"/>
        </w:rPr>
        <w:t>с</w:t>
      </w:r>
      <w:r>
        <w:rPr>
          <w:color w:val="231F20"/>
          <w:spacing w:val="-11"/>
        </w:rPr>
        <w:t> </w:t>
      </w:r>
      <w:r>
        <w:rPr>
          <w:color w:val="231F20"/>
        </w:rPr>
        <w:t>позитивным</w:t>
      </w:r>
      <w:r>
        <w:rPr>
          <w:color w:val="231F20"/>
          <w:spacing w:val="-11"/>
        </w:rPr>
        <w:t> </w:t>
      </w:r>
      <w:r>
        <w:rPr>
          <w:color w:val="231F20"/>
        </w:rPr>
        <w:t>вы- бором</w:t>
      </w:r>
      <w:r>
        <w:rPr>
          <w:color w:val="231F20"/>
          <w:spacing w:val="-10"/>
        </w:rPr>
        <w:t> </w:t>
      </w:r>
      <w:r>
        <w:rPr>
          <w:color w:val="231F20"/>
        </w:rPr>
        <w:t>(«С</w:t>
      </w:r>
      <w:r>
        <w:rPr>
          <w:color w:val="231F20"/>
          <w:spacing w:val="-10"/>
        </w:rPr>
        <w:t> </w:t>
      </w:r>
      <w:r>
        <w:rPr>
          <w:color w:val="231F20"/>
        </w:rPr>
        <w:t>кем</w:t>
      </w:r>
      <w:r>
        <w:rPr>
          <w:color w:val="231F20"/>
          <w:spacing w:val="-10"/>
        </w:rPr>
        <w:t> </w:t>
      </w:r>
      <w:r>
        <w:rPr>
          <w:color w:val="231F20"/>
        </w:rPr>
        <w:t>бы</w:t>
      </w:r>
      <w:r>
        <w:rPr>
          <w:color w:val="231F20"/>
          <w:spacing w:val="-10"/>
        </w:rPr>
        <w:t> </w:t>
      </w:r>
      <w:r>
        <w:rPr>
          <w:color w:val="231F20"/>
        </w:rPr>
        <w:t>вы</w:t>
      </w:r>
      <w:r>
        <w:rPr>
          <w:color w:val="231F20"/>
          <w:spacing w:val="-10"/>
        </w:rPr>
        <w:t> </w:t>
      </w:r>
      <w:r>
        <w:rPr>
          <w:color w:val="231F20"/>
        </w:rPr>
        <w:t>поехали</w:t>
      </w:r>
      <w:r>
        <w:rPr>
          <w:color w:val="231F20"/>
          <w:spacing w:val="-10"/>
        </w:rPr>
        <w:t> </w:t>
      </w:r>
      <w:r>
        <w:rPr>
          <w:color w:val="231F20"/>
        </w:rPr>
        <w:t>на</w:t>
      </w:r>
      <w:r>
        <w:rPr>
          <w:color w:val="231F20"/>
          <w:spacing w:val="-10"/>
        </w:rPr>
        <w:t> </w:t>
      </w:r>
      <w:r>
        <w:rPr>
          <w:color w:val="231F20"/>
        </w:rPr>
        <w:t>экскурсию?»),</w:t>
      </w:r>
      <w:r>
        <w:rPr>
          <w:color w:val="231F20"/>
          <w:spacing w:val="-10"/>
        </w:rPr>
        <w:t> </w:t>
      </w:r>
      <w:r>
        <w:rPr>
          <w:color w:val="231F20"/>
        </w:rPr>
        <w:t>но</w:t>
      </w:r>
      <w:r>
        <w:rPr>
          <w:color w:val="231F20"/>
          <w:spacing w:val="-10"/>
        </w:rPr>
        <w:t> </w:t>
      </w:r>
      <w:r>
        <w:rPr>
          <w:color w:val="231F20"/>
        </w:rPr>
        <w:t>на</w:t>
      </w:r>
      <w:r>
        <w:rPr>
          <w:color w:val="231F20"/>
          <w:spacing w:val="-10"/>
        </w:rPr>
        <w:t> </w:t>
      </w:r>
      <w:r>
        <w:rPr>
          <w:color w:val="231F20"/>
        </w:rPr>
        <w:t>вопросы</w:t>
      </w:r>
      <w:r>
        <w:rPr>
          <w:color w:val="231F20"/>
          <w:spacing w:val="-10"/>
        </w:rPr>
        <w:t> </w:t>
      </w:r>
      <w:r>
        <w:rPr>
          <w:color w:val="231F20"/>
        </w:rPr>
        <w:t>с</w:t>
      </w:r>
      <w:r>
        <w:rPr>
          <w:color w:val="231F20"/>
          <w:spacing w:val="-10"/>
        </w:rPr>
        <w:t> </w:t>
      </w:r>
      <w:r>
        <w:rPr>
          <w:color w:val="231F20"/>
        </w:rPr>
        <w:t>негативным</w:t>
      </w:r>
      <w:r>
        <w:rPr>
          <w:color w:val="231F20"/>
          <w:spacing w:val="-10"/>
        </w:rPr>
        <w:t> </w:t>
      </w:r>
      <w:r>
        <w:rPr>
          <w:color w:val="231F20"/>
        </w:rPr>
        <w:t>выбором («Кого</w:t>
      </w:r>
      <w:r>
        <w:rPr>
          <w:color w:val="231F20"/>
          <w:spacing w:val="-3"/>
        </w:rPr>
        <w:t> </w:t>
      </w:r>
      <w:r>
        <w:rPr>
          <w:color w:val="231F20"/>
        </w:rPr>
        <w:t>бы</w:t>
      </w:r>
      <w:r>
        <w:rPr>
          <w:color w:val="231F20"/>
          <w:spacing w:val="-3"/>
        </w:rPr>
        <w:t> </w:t>
      </w:r>
      <w:r>
        <w:rPr>
          <w:color w:val="231F20"/>
        </w:rPr>
        <w:t>вы</w:t>
      </w:r>
      <w:r>
        <w:rPr>
          <w:color w:val="231F20"/>
          <w:spacing w:val="-3"/>
        </w:rPr>
        <w:t> </w:t>
      </w:r>
      <w:r>
        <w:rPr>
          <w:color w:val="231F20"/>
        </w:rPr>
        <w:t>исключили</w:t>
      </w:r>
      <w:r>
        <w:rPr>
          <w:color w:val="231F20"/>
          <w:spacing w:val="-3"/>
        </w:rPr>
        <w:t> </w:t>
      </w:r>
      <w:r>
        <w:rPr>
          <w:color w:val="231F20"/>
        </w:rPr>
        <w:t>из</w:t>
      </w:r>
      <w:r>
        <w:rPr>
          <w:color w:val="231F20"/>
          <w:spacing w:val="-3"/>
        </w:rPr>
        <w:t> </w:t>
      </w:r>
      <w:r>
        <w:rPr>
          <w:color w:val="231F20"/>
        </w:rPr>
        <w:t>группы?»)</w:t>
      </w:r>
      <w:r>
        <w:rPr>
          <w:color w:val="231F20"/>
          <w:spacing w:val="-3"/>
        </w:rPr>
        <w:t> </w:t>
      </w:r>
      <w:r>
        <w:rPr>
          <w:color w:val="231F20"/>
        </w:rPr>
        <w:t>ответа</w:t>
      </w:r>
      <w:r>
        <w:rPr>
          <w:color w:val="231F20"/>
          <w:spacing w:val="-3"/>
        </w:rPr>
        <w:t> </w:t>
      </w:r>
      <w:r>
        <w:rPr>
          <w:color w:val="231F20"/>
        </w:rPr>
        <w:t>не</w:t>
      </w:r>
      <w:r>
        <w:rPr>
          <w:color w:val="231F20"/>
          <w:spacing w:val="-3"/>
        </w:rPr>
        <w:t> </w:t>
      </w:r>
      <w:r>
        <w:rPr>
          <w:color w:val="231F20"/>
        </w:rPr>
        <w:t>давали</w:t>
      </w:r>
      <w:r>
        <w:rPr>
          <w:color w:val="231F20"/>
          <w:spacing w:val="-3"/>
        </w:rPr>
        <w:t> </w:t>
      </w:r>
      <w:r>
        <w:rPr>
          <w:color w:val="231F20"/>
        </w:rPr>
        <w:t>(Верченова,</w:t>
      </w:r>
      <w:r>
        <w:rPr>
          <w:color w:val="231F20"/>
          <w:spacing w:val="-3"/>
        </w:rPr>
        <w:t> </w:t>
      </w:r>
      <w:r>
        <w:rPr>
          <w:color w:val="231F20"/>
        </w:rPr>
        <w:t>2014).</w:t>
      </w:r>
      <w:r>
        <w:rPr>
          <w:color w:val="231F20"/>
          <w:spacing w:val="-3"/>
        </w:rPr>
        <w:t> </w:t>
      </w:r>
      <w:r>
        <w:rPr>
          <w:color w:val="231F20"/>
        </w:rPr>
        <w:t>Исследо- ватели изменили формулировку некоторых вопросов, например: «Представьте себе, что</w:t>
      </w:r>
      <w:r>
        <w:rPr>
          <w:color w:val="231F20"/>
          <w:spacing w:val="-9"/>
        </w:rPr>
        <w:t> </w:t>
      </w:r>
      <w:r>
        <w:rPr>
          <w:color w:val="231F20"/>
        </w:rPr>
        <w:t>вы</w:t>
      </w:r>
      <w:r>
        <w:rPr>
          <w:color w:val="231F20"/>
          <w:spacing w:val="-9"/>
        </w:rPr>
        <w:t> </w:t>
      </w:r>
      <w:r>
        <w:rPr>
          <w:color w:val="231F20"/>
        </w:rPr>
        <w:t>едете</w:t>
      </w:r>
      <w:r>
        <w:rPr>
          <w:color w:val="231F20"/>
          <w:spacing w:val="-9"/>
        </w:rPr>
        <w:t> </w:t>
      </w:r>
      <w:r>
        <w:rPr>
          <w:color w:val="231F20"/>
        </w:rPr>
        <w:t>со</w:t>
      </w:r>
      <w:r>
        <w:rPr>
          <w:color w:val="231F20"/>
          <w:spacing w:val="-9"/>
        </w:rPr>
        <w:t> </w:t>
      </w:r>
      <w:r>
        <w:rPr>
          <w:color w:val="231F20"/>
        </w:rPr>
        <w:t>своими</w:t>
      </w:r>
      <w:r>
        <w:rPr>
          <w:color w:val="231F20"/>
          <w:spacing w:val="-9"/>
        </w:rPr>
        <w:t> </w:t>
      </w:r>
      <w:r>
        <w:rPr>
          <w:color w:val="231F20"/>
        </w:rPr>
        <w:t>одногруппниками</w:t>
      </w:r>
      <w:r>
        <w:rPr>
          <w:color w:val="231F20"/>
          <w:spacing w:val="-9"/>
        </w:rPr>
        <w:t> </w:t>
      </w:r>
      <w:r>
        <w:rPr>
          <w:color w:val="231F20"/>
        </w:rPr>
        <w:t>на</w:t>
      </w:r>
      <w:r>
        <w:rPr>
          <w:color w:val="231F20"/>
          <w:spacing w:val="-9"/>
        </w:rPr>
        <w:t> </w:t>
      </w:r>
      <w:r>
        <w:rPr>
          <w:color w:val="231F20"/>
        </w:rPr>
        <w:t>экскурсию</w:t>
      </w:r>
      <w:r>
        <w:rPr>
          <w:color w:val="231F20"/>
          <w:spacing w:val="-9"/>
        </w:rPr>
        <w:t> </w:t>
      </w:r>
      <w:r>
        <w:rPr>
          <w:color w:val="231F20"/>
        </w:rPr>
        <w:t>в</w:t>
      </w:r>
      <w:r>
        <w:rPr>
          <w:color w:val="231F20"/>
          <w:spacing w:val="-9"/>
        </w:rPr>
        <w:t> </w:t>
      </w:r>
      <w:r>
        <w:rPr>
          <w:color w:val="231F20"/>
        </w:rPr>
        <w:t>автобусе.</w:t>
      </w:r>
      <w:r>
        <w:rPr>
          <w:color w:val="231F20"/>
          <w:spacing w:val="-9"/>
        </w:rPr>
        <w:t> </w:t>
      </w:r>
      <w:r>
        <w:rPr>
          <w:color w:val="231F20"/>
        </w:rPr>
        <w:t>Но</w:t>
      </w:r>
      <w:r>
        <w:rPr>
          <w:color w:val="231F20"/>
          <w:spacing w:val="-9"/>
        </w:rPr>
        <w:t> </w:t>
      </w:r>
      <w:r>
        <w:rPr>
          <w:color w:val="231F20"/>
        </w:rPr>
        <w:t>поехать</w:t>
      </w:r>
      <w:r>
        <w:rPr>
          <w:color w:val="231F20"/>
          <w:spacing w:val="-9"/>
        </w:rPr>
        <w:t> </w:t>
      </w:r>
      <w:r>
        <w:rPr>
          <w:color w:val="231F20"/>
        </w:rPr>
        <w:t>могут только</w:t>
      </w:r>
      <w:r>
        <w:rPr>
          <w:color w:val="231F20"/>
          <w:spacing w:val="-11"/>
        </w:rPr>
        <w:t> </w:t>
      </w:r>
      <w:r>
        <w:rPr>
          <w:color w:val="231F20"/>
        </w:rPr>
        <w:t>…</w:t>
      </w:r>
      <w:r>
        <w:rPr>
          <w:color w:val="231F20"/>
          <w:spacing w:val="-11"/>
        </w:rPr>
        <w:t> </w:t>
      </w:r>
      <w:r>
        <w:rPr>
          <w:color w:val="231F20"/>
        </w:rPr>
        <w:t>человек.</w:t>
      </w:r>
      <w:r>
        <w:rPr>
          <w:color w:val="231F20"/>
          <w:spacing w:val="-11"/>
        </w:rPr>
        <w:t> </w:t>
      </w:r>
      <w:r>
        <w:rPr>
          <w:color w:val="231F20"/>
        </w:rPr>
        <w:t>Кто</w:t>
      </w:r>
      <w:r>
        <w:rPr>
          <w:color w:val="231F20"/>
          <w:spacing w:val="-11"/>
        </w:rPr>
        <w:t> </w:t>
      </w:r>
      <w:r>
        <w:rPr>
          <w:color w:val="231F20"/>
        </w:rPr>
        <w:t>это</w:t>
      </w:r>
      <w:r>
        <w:rPr>
          <w:color w:val="231F20"/>
          <w:spacing w:val="-11"/>
        </w:rPr>
        <w:t> </w:t>
      </w:r>
      <w:r>
        <w:rPr>
          <w:color w:val="231F20"/>
        </w:rPr>
        <w:t>будет?».</w:t>
      </w:r>
      <w:r>
        <w:rPr>
          <w:color w:val="231F20"/>
          <w:spacing w:val="-11"/>
        </w:rPr>
        <w:t> </w:t>
      </w:r>
      <w:r>
        <w:rPr>
          <w:color w:val="231F20"/>
        </w:rPr>
        <w:t>На</w:t>
      </w:r>
      <w:r>
        <w:rPr>
          <w:color w:val="231F20"/>
          <w:spacing w:val="-11"/>
        </w:rPr>
        <w:t> </w:t>
      </w:r>
      <w:r>
        <w:rPr>
          <w:color w:val="231F20"/>
        </w:rPr>
        <w:t>этот</w:t>
      </w:r>
      <w:r>
        <w:rPr>
          <w:color w:val="231F20"/>
          <w:spacing w:val="-11"/>
        </w:rPr>
        <w:t> </w:t>
      </w:r>
      <w:r>
        <w:rPr>
          <w:color w:val="231F20"/>
        </w:rPr>
        <w:t>раз</w:t>
      </w:r>
      <w:r>
        <w:rPr>
          <w:color w:val="231F20"/>
          <w:spacing w:val="-11"/>
        </w:rPr>
        <w:t> </w:t>
      </w:r>
      <w:r>
        <w:rPr>
          <w:color w:val="231F20"/>
        </w:rPr>
        <w:t>студенты</w:t>
      </w:r>
      <w:r>
        <w:rPr>
          <w:color w:val="231F20"/>
          <w:spacing w:val="-11"/>
        </w:rPr>
        <w:t> </w:t>
      </w:r>
      <w:r>
        <w:rPr>
          <w:color w:val="231F20"/>
        </w:rPr>
        <w:t>снова</w:t>
      </w:r>
      <w:r>
        <w:rPr>
          <w:color w:val="231F20"/>
          <w:spacing w:val="-11"/>
        </w:rPr>
        <w:t> </w:t>
      </w:r>
      <w:r>
        <w:rPr>
          <w:color w:val="231F20"/>
        </w:rPr>
        <w:t>назвали</w:t>
      </w:r>
      <w:r>
        <w:rPr>
          <w:color w:val="231F20"/>
          <w:spacing w:val="-11"/>
        </w:rPr>
        <w:t> </w:t>
      </w:r>
      <w:r>
        <w:rPr>
          <w:color w:val="231F20"/>
        </w:rPr>
        <w:t>предпочитае- мых членов группы, а неназванные как раз и оказались низкостатусными.</w:t>
      </w:r>
    </w:p>
    <w:p>
      <w:pPr>
        <w:pStyle w:val="BodyText"/>
        <w:spacing w:line="232" w:lineRule="auto"/>
      </w:pPr>
      <w:r>
        <w:rPr>
          <w:color w:val="231F20"/>
          <w:spacing w:val="-2"/>
        </w:rPr>
        <w:t>Успешная</w:t>
      </w:r>
      <w:r>
        <w:rPr>
          <w:color w:val="231F20"/>
          <w:spacing w:val="-7"/>
        </w:rPr>
        <w:t> </w:t>
      </w:r>
      <w:r>
        <w:rPr>
          <w:color w:val="231F20"/>
          <w:spacing w:val="-2"/>
        </w:rPr>
        <w:t>работа</w:t>
      </w:r>
      <w:r>
        <w:rPr>
          <w:color w:val="231F20"/>
          <w:spacing w:val="-7"/>
        </w:rPr>
        <w:t> </w:t>
      </w:r>
      <w:r>
        <w:rPr>
          <w:color w:val="231F20"/>
          <w:spacing w:val="-2"/>
        </w:rPr>
        <w:t>психолога</w:t>
      </w:r>
      <w:r>
        <w:rPr>
          <w:color w:val="231F20"/>
          <w:spacing w:val="-7"/>
        </w:rPr>
        <w:t> </w:t>
      </w:r>
      <w:r>
        <w:rPr>
          <w:color w:val="231F20"/>
          <w:spacing w:val="-2"/>
        </w:rPr>
        <w:t>с</w:t>
      </w:r>
      <w:r>
        <w:rPr>
          <w:color w:val="231F20"/>
          <w:spacing w:val="-7"/>
        </w:rPr>
        <w:t> </w:t>
      </w:r>
      <w:r>
        <w:rPr>
          <w:color w:val="231F20"/>
          <w:spacing w:val="-2"/>
        </w:rPr>
        <w:t>ребенком</w:t>
      </w:r>
      <w:r>
        <w:rPr>
          <w:color w:val="231F20"/>
          <w:spacing w:val="-7"/>
        </w:rPr>
        <w:t> </w:t>
      </w:r>
      <w:r>
        <w:rPr>
          <w:color w:val="231F20"/>
          <w:spacing w:val="-2"/>
        </w:rPr>
        <w:t>инокультурной</w:t>
      </w:r>
      <w:r>
        <w:rPr>
          <w:color w:val="231F20"/>
          <w:spacing w:val="-7"/>
        </w:rPr>
        <w:t> </w:t>
      </w:r>
      <w:r>
        <w:rPr>
          <w:color w:val="231F20"/>
          <w:spacing w:val="-2"/>
        </w:rPr>
        <w:t>принадлежности</w:t>
      </w:r>
      <w:r>
        <w:rPr>
          <w:color w:val="231F20"/>
          <w:spacing w:val="-7"/>
        </w:rPr>
        <w:t> </w:t>
      </w:r>
      <w:r>
        <w:rPr>
          <w:color w:val="231F20"/>
          <w:spacing w:val="-2"/>
        </w:rPr>
        <w:t>требует,</w:t>
      </w:r>
      <w:r>
        <w:rPr>
          <w:color w:val="231F20"/>
          <w:spacing w:val="-7"/>
        </w:rPr>
        <w:t> </w:t>
      </w:r>
      <w:r>
        <w:rPr>
          <w:color w:val="231F20"/>
          <w:spacing w:val="-2"/>
        </w:rPr>
        <w:t>с </w:t>
      </w:r>
      <w:r>
        <w:rPr>
          <w:color w:val="231F20"/>
        </w:rPr>
        <w:t>точки</w:t>
      </w:r>
      <w:r>
        <w:rPr>
          <w:color w:val="231F20"/>
          <w:spacing w:val="-7"/>
        </w:rPr>
        <w:t> </w:t>
      </w:r>
      <w:r>
        <w:rPr>
          <w:color w:val="231F20"/>
        </w:rPr>
        <w:t>зрения</w:t>
      </w:r>
      <w:r>
        <w:rPr>
          <w:color w:val="231F20"/>
          <w:spacing w:val="-7"/>
        </w:rPr>
        <w:t> </w:t>
      </w:r>
      <w:r>
        <w:rPr>
          <w:color w:val="231F20"/>
        </w:rPr>
        <w:t>С.</w:t>
      </w:r>
      <w:r>
        <w:rPr>
          <w:color w:val="231F20"/>
          <w:spacing w:val="-7"/>
        </w:rPr>
        <w:t> </w:t>
      </w:r>
      <w:r>
        <w:rPr>
          <w:color w:val="231F20"/>
        </w:rPr>
        <w:t>Сью,</w:t>
      </w:r>
      <w:r>
        <w:rPr>
          <w:color w:val="231F20"/>
          <w:spacing w:val="-7"/>
        </w:rPr>
        <w:t> </w:t>
      </w:r>
      <w:r>
        <w:rPr>
          <w:color w:val="231F20"/>
        </w:rPr>
        <w:t>трех</w:t>
      </w:r>
      <w:r>
        <w:rPr>
          <w:color w:val="231F20"/>
          <w:spacing w:val="-7"/>
        </w:rPr>
        <w:t> </w:t>
      </w:r>
      <w:r>
        <w:rPr>
          <w:color w:val="231F20"/>
        </w:rPr>
        <w:t>важных</w:t>
      </w:r>
      <w:r>
        <w:rPr>
          <w:color w:val="231F20"/>
          <w:spacing w:val="-7"/>
        </w:rPr>
        <w:t> </w:t>
      </w:r>
      <w:r>
        <w:rPr>
          <w:color w:val="231F20"/>
        </w:rPr>
        <w:t>навыков:</w:t>
      </w:r>
      <w:r>
        <w:rPr>
          <w:color w:val="231F20"/>
          <w:spacing w:val="-7"/>
        </w:rPr>
        <w:t> </w:t>
      </w:r>
      <w:r>
        <w:rPr>
          <w:color w:val="231F20"/>
        </w:rPr>
        <w:t>научное</w:t>
      </w:r>
      <w:r>
        <w:rPr>
          <w:color w:val="231F20"/>
          <w:spacing w:val="-7"/>
        </w:rPr>
        <w:t> </w:t>
      </w:r>
      <w:r>
        <w:rPr>
          <w:color w:val="231F20"/>
        </w:rPr>
        <w:t>мышление,</w:t>
      </w:r>
      <w:r>
        <w:rPr>
          <w:color w:val="231F20"/>
          <w:spacing w:val="-7"/>
        </w:rPr>
        <w:t> </w:t>
      </w:r>
      <w:r>
        <w:rPr>
          <w:color w:val="231F20"/>
        </w:rPr>
        <w:t>динамическая</w:t>
      </w:r>
      <w:r>
        <w:rPr>
          <w:color w:val="231F20"/>
          <w:spacing w:val="-7"/>
        </w:rPr>
        <w:t> </w:t>
      </w:r>
      <w:r>
        <w:rPr>
          <w:color w:val="231F20"/>
        </w:rPr>
        <w:t>оцен- ка и культурно-специфические знания (Sue &amp;Sue, 2008).</w:t>
      </w:r>
    </w:p>
    <w:p>
      <w:pPr>
        <w:pStyle w:val="BodyText"/>
        <w:spacing w:line="232" w:lineRule="auto"/>
      </w:pPr>
      <w:r>
        <w:rPr>
          <w:i/>
          <w:color w:val="231F20"/>
        </w:rPr>
        <w:t>Научное</w:t>
      </w:r>
      <w:r>
        <w:rPr>
          <w:i/>
          <w:color w:val="231F20"/>
          <w:spacing w:val="-11"/>
        </w:rPr>
        <w:t> </w:t>
      </w:r>
      <w:r>
        <w:rPr>
          <w:i/>
          <w:color w:val="231F20"/>
        </w:rPr>
        <w:t>мышление</w:t>
      </w:r>
      <w:r>
        <w:rPr>
          <w:i/>
          <w:color w:val="231F20"/>
          <w:spacing w:val="-11"/>
        </w:rPr>
        <w:t> </w:t>
      </w:r>
      <w:r>
        <w:rPr>
          <w:color w:val="231F20"/>
        </w:rPr>
        <w:t>предполагает,</w:t>
      </w:r>
      <w:r>
        <w:rPr>
          <w:color w:val="231F20"/>
          <w:spacing w:val="-11"/>
        </w:rPr>
        <w:t> </w:t>
      </w:r>
      <w:r>
        <w:rPr>
          <w:color w:val="231F20"/>
        </w:rPr>
        <w:t>что</w:t>
      </w:r>
      <w:r>
        <w:rPr>
          <w:color w:val="231F20"/>
          <w:spacing w:val="-11"/>
        </w:rPr>
        <w:t> </w:t>
      </w:r>
      <w:r>
        <w:rPr>
          <w:color w:val="231F20"/>
        </w:rPr>
        <w:t>психолог</w:t>
      </w:r>
      <w:r>
        <w:rPr>
          <w:color w:val="231F20"/>
          <w:spacing w:val="-11"/>
        </w:rPr>
        <w:t> </w:t>
      </w:r>
      <w:r>
        <w:rPr>
          <w:color w:val="231F20"/>
        </w:rPr>
        <w:t>не</w:t>
      </w:r>
      <w:r>
        <w:rPr>
          <w:color w:val="231F20"/>
          <w:spacing w:val="-11"/>
        </w:rPr>
        <w:t> </w:t>
      </w:r>
      <w:r>
        <w:rPr>
          <w:color w:val="231F20"/>
        </w:rPr>
        <w:t>торопится</w:t>
      </w:r>
      <w:r>
        <w:rPr>
          <w:color w:val="231F20"/>
          <w:spacing w:val="-11"/>
        </w:rPr>
        <w:t> </w:t>
      </w:r>
      <w:r>
        <w:rPr>
          <w:color w:val="231F20"/>
        </w:rPr>
        <w:t>с</w:t>
      </w:r>
      <w:r>
        <w:rPr>
          <w:color w:val="231F20"/>
          <w:spacing w:val="-11"/>
        </w:rPr>
        <w:t> </w:t>
      </w:r>
      <w:r>
        <w:rPr>
          <w:color w:val="231F20"/>
        </w:rPr>
        <w:t>выводами</w:t>
      </w:r>
      <w:r>
        <w:rPr>
          <w:color w:val="231F20"/>
          <w:spacing w:val="-11"/>
        </w:rPr>
        <w:t> </w:t>
      </w:r>
      <w:r>
        <w:rPr>
          <w:color w:val="231F20"/>
        </w:rPr>
        <w:t>о</w:t>
      </w:r>
      <w:r>
        <w:rPr>
          <w:color w:val="231F20"/>
          <w:spacing w:val="-11"/>
        </w:rPr>
        <w:t> </w:t>
      </w:r>
      <w:r>
        <w:rPr>
          <w:color w:val="231F20"/>
        </w:rPr>
        <w:t>причи- нах</w:t>
      </w:r>
      <w:r>
        <w:rPr>
          <w:color w:val="231F20"/>
          <w:spacing w:val="-10"/>
        </w:rPr>
        <w:t> </w:t>
      </w:r>
      <w:r>
        <w:rPr>
          <w:color w:val="231F20"/>
        </w:rPr>
        <w:t>происходящего</w:t>
      </w:r>
      <w:r>
        <w:rPr>
          <w:color w:val="231F20"/>
          <w:spacing w:val="-10"/>
        </w:rPr>
        <w:t> </w:t>
      </w:r>
      <w:r>
        <w:rPr>
          <w:color w:val="231F20"/>
        </w:rPr>
        <w:t>с</w:t>
      </w:r>
      <w:r>
        <w:rPr>
          <w:color w:val="231F20"/>
          <w:spacing w:val="-10"/>
        </w:rPr>
        <w:t> </w:t>
      </w:r>
      <w:r>
        <w:rPr>
          <w:color w:val="231F20"/>
        </w:rPr>
        <w:t>ребенком.</w:t>
      </w:r>
      <w:r>
        <w:rPr>
          <w:color w:val="231F20"/>
          <w:spacing w:val="-10"/>
        </w:rPr>
        <w:t> </w:t>
      </w:r>
      <w:r>
        <w:rPr>
          <w:color w:val="231F20"/>
        </w:rPr>
        <w:t>Напротив,</w:t>
      </w:r>
      <w:r>
        <w:rPr>
          <w:color w:val="231F20"/>
          <w:spacing w:val="-10"/>
        </w:rPr>
        <w:t> </w:t>
      </w:r>
      <w:r>
        <w:rPr>
          <w:color w:val="231F20"/>
        </w:rPr>
        <w:t>он</w:t>
      </w:r>
      <w:r>
        <w:rPr>
          <w:color w:val="231F20"/>
          <w:spacing w:val="-10"/>
        </w:rPr>
        <w:t> </w:t>
      </w:r>
      <w:r>
        <w:rPr>
          <w:color w:val="231F20"/>
        </w:rPr>
        <w:t>выдвигает</w:t>
      </w:r>
      <w:r>
        <w:rPr>
          <w:color w:val="231F20"/>
          <w:spacing w:val="-10"/>
        </w:rPr>
        <w:t> </w:t>
      </w:r>
      <w:r>
        <w:rPr>
          <w:color w:val="231F20"/>
        </w:rPr>
        <w:t>и</w:t>
      </w:r>
      <w:r>
        <w:rPr>
          <w:color w:val="231F20"/>
          <w:spacing w:val="-10"/>
        </w:rPr>
        <w:t> </w:t>
      </w:r>
      <w:r>
        <w:rPr>
          <w:color w:val="231F20"/>
        </w:rPr>
        <w:t>проверяет</w:t>
      </w:r>
      <w:r>
        <w:rPr>
          <w:color w:val="231F20"/>
          <w:spacing w:val="-10"/>
        </w:rPr>
        <w:t> </w:t>
      </w:r>
      <w:r>
        <w:rPr>
          <w:color w:val="231F20"/>
        </w:rPr>
        <w:t>гипотезы,</w:t>
      </w:r>
      <w:r>
        <w:rPr>
          <w:color w:val="231F20"/>
          <w:spacing w:val="-10"/>
        </w:rPr>
        <w:t> </w:t>
      </w:r>
      <w:r>
        <w:rPr>
          <w:color w:val="231F20"/>
        </w:rPr>
        <w:t>пони- мая, что мировоззрение ребенка может отличаться от его собственного.</w:t>
      </w:r>
    </w:p>
    <w:p>
      <w:pPr>
        <w:pStyle w:val="BodyText"/>
        <w:spacing w:line="232" w:lineRule="auto"/>
      </w:pPr>
      <w:r>
        <w:rPr>
          <w:i/>
          <w:color w:val="231F20"/>
        </w:rPr>
        <w:t>Динамическая оценка, </w:t>
      </w:r>
      <w:r>
        <w:rPr>
          <w:color w:val="231F20"/>
        </w:rPr>
        <w:t>согласно Сью, означает способность психолога адекватно оценивать, где проявляются культурные характеристики, а где – индивидуальные, с одной</w:t>
      </w:r>
      <w:r>
        <w:rPr>
          <w:color w:val="231F20"/>
          <w:spacing w:val="-2"/>
        </w:rPr>
        <w:t> </w:t>
      </w:r>
      <w:r>
        <w:rPr>
          <w:color w:val="231F20"/>
        </w:rPr>
        <w:t>стороны,</w:t>
      </w:r>
      <w:r>
        <w:rPr>
          <w:color w:val="231F20"/>
          <w:spacing w:val="-2"/>
        </w:rPr>
        <w:t> </w:t>
      </w:r>
      <w:r>
        <w:rPr>
          <w:color w:val="231F20"/>
        </w:rPr>
        <w:t>не</w:t>
      </w:r>
      <w:r>
        <w:rPr>
          <w:color w:val="231F20"/>
          <w:spacing w:val="-2"/>
        </w:rPr>
        <w:t> </w:t>
      </w:r>
      <w:r>
        <w:rPr>
          <w:color w:val="231F20"/>
        </w:rPr>
        <w:t>игнорируя</w:t>
      </w:r>
      <w:r>
        <w:rPr>
          <w:color w:val="231F20"/>
          <w:spacing w:val="-2"/>
        </w:rPr>
        <w:t> </w:t>
      </w:r>
      <w:r>
        <w:rPr>
          <w:color w:val="231F20"/>
        </w:rPr>
        <w:t>культурный</w:t>
      </w:r>
      <w:r>
        <w:rPr>
          <w:color w:val="231F20"/>
          <w:spacing w:val="-2"/>
        </w:rPr>
        <w:t> </w:t>
      </w:r>
      <w:r>
        <w:rPr>
          <w:color w:val="231F20"/>
        </w:rPr>
        <w:t>багаж</w:t>
      </w:r>
      <w:r>
        <w:rPr>
          <w:color w:val="231F20"/>
          <w:spacing w:val="-2"/>
        </w:rPr>
        <w:t> </w:t>
      </w:r>
      <w:r>
        <w:rPr>
          <w:color w:val="231F20"/>
        </w:rPr>
        <w:t>ребенка,</w:t>
      </w:r>
      <w:r>
        <w:rPr>
          <w:color w:val="231F20"/>
          <w:spacing w:val="-2"/>
        </w:rPr>
        <w:t> </w:t>
      </w:r>
      <w:r>
        <w:rPr>
          <w:color w:val="231F20"/>
        </w:rPr>
        <w:t>а</w:t>
      </w:r>
      <w:r>
        <w:rPr>
          <w:color w:val="231F20"/>
          <w:spacing w:val="-2"/>
        </w:rPr>
        <w:t> </w:t>
      </w:r>
      <w:r>
        <w:rPr>
          <w:color w:val="231F20"/>
        </w:rPr>
        <w:t>с</w:t>
      </w:r>
      <w:r>
        <w:rPr>
          <w:color w:val="231F20"/>
          <w:spacing w:val="-2"/>
        </w:rPr>
        <w:t> </w:t>
      </w:r>
      <w:r>
        <w:rPr>
          <w:color w:val="231F20"/>
        </w:rPr>
        <w:t>другой</w:t>
      </w:r>
      <w:r>
        <w:rPr>
          <w:color w:val="231F20"/>
          <w:spacing w:val="-2"/>
        </w:rPr>
        <w:t> </w:t>
      </w:r>
      <w:r>
        <w:rPr>
          <w:color w:val="231F20"/>
        </w:rPr>
        <w:t>–</w:t>
      </w:r>
      <w:r>
        <w:rPr>
          <w:color w:val="231F20"/>
          <w:spacing w:val="-2"/>
        </w:rPr>
        <w:t> </w:t>
      </w:r>
      <w:r>
        <w:rPr>
          <w:color w:val="231F20"/>
        </w:rPr>
        <w:t>не</w:t>
      </w:r>
      <w:r>
        <w:rPr>
          <w:color w:val="231F20"/>
          <w:spacing w:val="-2"/>
        </w:rPr>
        <w:t> </w:t>
      </w:r>
      <w:r>
        <w:rPr>
          <w:color w:val="231F20"/>
        </w:rPr>
        <w:t>переоцени- вая его. Навык динамической оценки предполагает, что консультант четко осознает также возможности применения собственного опыта в процессе работы с клиентом, понимая, какой личный опыт имеет смысл использовать.</w:t>
      </w:r>
    </w:p>
    <w:p>
      <w:pPr>
        <w:pStyle w:val="BodyText"/>
        <w:spacing w:line="232" w:lineRule="auto"/>
      </w:pPr>
      <w:r>
        <w:rPr>
          <w:i/>
          <w:color w:val="231F20"/>
        </w:rPr>
        <w:t>Культурно-специфические</w:t>
      </w:r>
      <w:r>
        <w:rPr>
          <w:i/>
          <w:color w:val="231F20"/>
          <w:spacing w:val="-13"/>
        </w:rPr>
        <w:t> </w:t>
      </w:r>
      <w:r>
        <w:rPr>
          <w:i/>
          <w:color w:val="231F20"/>
        </w:rPr>
        <w:t>знания</w:t>
      </w:r>
      <w:r>
        <w:rPr>
          <w:i/>
          <w:color w:val="231F20"/>
          <w:spacing w:val="-12"/>
        </w:rPr>
        <w:t> </w:t>
      </w:r>
      <w:r>
        <w:rPr>
          <w:color w:val="231F20"/>
        </w:rPr>
        <w:t>предполагают</w:t>
      </w:r>
      <w:r>
        <w:rPr>
          <w:color w:val="231F20"/>
          <w:spacing w:val="-13"/>
        </w:rPr>
        <w:t> </w:t>
      </w:r>
      <w:r>
        <w:rPr>
          <w:color w:val="231F20"/>
        </w:rPr>
        <w:t>осведомленность</w:t>
      </w:r>
      <w:r>
        <w:rPr>
          <w:color w:val="231F20"/>
          <w:spacing w:val="-12"/>
        </w:rPr>
        <w:t> </w:t>
      </w:r>
      <w:r>
        <w:rPr>
          <w:color w:val="231F20"/>
        </w:rPr>
        <w:t>психолога</w:t>
      </w:r>
      <w:r>
        <w:rPr>
          <w:color w:val="231F20"/>
          <w:spacing w:val="-13"/>
        </w:rPr>
        <w:t> </w:t>
      </w:r>
      <w:r>
        <w:rPr>
          <w:color w:val="231F20"/>
        </w:rPr>
        <w:t>в</w:t>
      </w:r>
      <w:r>
        <w:rPr>
          <w:color w:val="231F20"/>
          <w:spacing w:val="-12"/>
        </w:rPr>
        <w:t> </w:t>
      </w:r>
      <w:r>
        <w:rPr>
          <w:color w:val="231F20"/>
        </w:rPr>
        <w:t>об- ласти культурных норм и правил тех этнических групп, с представителями которых он регулярно взаимодействует. Эти знания можно получить как от представителей данной культуры при личном общении, так и от специалистов и исследователей по- средством повышения квалификации, чтения литературы и пр.</w:t>
      </w:r>
    </w:p>
    <w:p>
      <w:pPr>
        <w:pStyle w:val="BodyText"/>
        <w:spacing w:line="232" w:lineRule="auto" w:before="2"/>
        <w:jc w:val="right"/>
      </w:pPr>
      <w:r>
        <w:rPr>
          <w:color w:val="231F20"/>
        </w:rPr>
        <w:t>Психологу</w:t>
      </w:r>
      <w:r>
        <w:rPr>
          <w:color w:val="231F20"/>
          <w:spacing w:val="-13"/>
        </w:rPr>
        <w:t> </w:t>
      </w:r>
      <w:r>
        <w:rPr>
          <w:color w:val="231F20"/>
        </w:rPr>
        <w:t>важно</w:t>
      </w:r>
      <w:r>
        <w:rPr>
          <w:color w:val="231F20"/>
          <w:spacing w:val="-12"/>
        </w:rPr>
        <w:t> </w:t>
      </w:r>
      <w:r>
        <w:rPr>
          <w:color w:val="231F20"/>
        </w:rPr>
        <w:t>понимать,</w:t>
      </w:r>
      <w:r>
        <w:rPr>
          <w:color w:val="231F20"/>
          <w:spacing w:val="-13"/>
        </w:rPr>
        <w:t> </w:t>
      </w:r>
      <w:r>
        <w:rPr>
          <w:color w:val="231F20"/>
        </w:rPr>
        <w:t>что</w:t>
      </w:r>
      <w:r>
        <w:rPr>
          <w:color w:val="231F20"/>
          <w:spacing w:val="-12"/>
        </w:rPr>
        <w:t> </w:t>
      </w:r>
      <w:r>
        <w:rPr>
          <w:color w:val="231F20"/>
        </w:rPr>
        <w:t>он</w:t>
      </w:r>
      <w:r>
        <w:rPr>
          <w:color w:val="231F20"/>
          <w:spacing w:val="-13"/>
        </w:rPr>
        <w:t> </w:t>
      </w:r>
      <w:r>
        <w:rPr>
          <w:color w:val="231F20"/>
        </w:rPr>
        <w:t>также</w:t>
      </w:r>
      <w:r>
        <w:rPr>
          <w:color w:val="231F20"/>
          <w:spacing w:val="-12"/>
        </w:rPr>
        <w:t> </w:t>
      </w:r>
      <w:r>
        <w:rPr>
          <w:color w:val="231F20"/>
        </w:rPr>
        <w:t>является</w:t>
      </w:r>
      <w:r>
        <w:rPr>
          <w:color w:val="231F20"/>
          <w:spacing w:val="-13"/>
        </w:rPr>
        <w:t> </w:t>
      </w:r>
      <w:r>
        <w:rPr>
          <w:color w:val="231F20"/>
        </w:rPr>
        <w:t>продуктом</w:t>
      </w:r>
      <w:r>
        <w:rPr>
          <w:color w:val="231F20"/>
          <w:spacing w:val="-12"/>
        </w:rPr>
        <w:t> </w:t>
      </w:r>
      <w:r>
        <w:rPr>
          <w:color w:val="231F20"/>
        </w:rPr>
        <w:t>определенной</w:t>
      </w:r>
      <w:r>
        <w:rPr>
          <w:color w:val="231F20"/>
          <w:spacing w:val="-13"/>
        </w:rPr>
        <w:t> </w:t>
      </w:r>
      <w:r>
        <w:rPr>
          <w:color w:val="231F20"/>
        </w:rPr>
        <w:t>куль- </w:t>
      </w:r>
      <w:r>
        <w:rPr>
          <w:color w:val="231F20"/>
          <w:spacing w:val="-2"/>
        </w:rPr>
        <w:t>туры</w:t>
      </w:r>
      <w:r>
        <w:rPr>
          <w:color w:val="231F20"/>
          <w:spacing w:val="-5"/>
        </w:rPr>
        <w:t> </w:t>
      </w:r>
      <w:r>
        <w:rPr>
          <w:color w:val="231F20"/>
          <w:spacing w:val="-2"/>
        </w:rPr>
        <w:t>и</w:t>
      </w:r>
      <w:r>
        <w:rPr>
          <w:color w:val="231F20"/>
          <w:spacing w:val="-5"/>
        </w:rPr>
        <w:t> </w:t>
      </w:r>
      <w:r>
        <w:rPr>
          <w:color w:val="231F20"/>
          <w:spacing w:val="-2"/>
        </w:rPr>
        <w:t>смотрит</w:t>
      </w:r>
      <w:r>
        <w:rPr>
          <w:color w:val="231F20"/>
          <w:spacing w:val="-5"/>
        </w:rPr>
        <w:t> </w:t>
      </w:r>
      <w:r>
        <w:rPr>
          <w:color w:val="231F20"/>
          <w:spacing w:val="-2"/>
        </w:rPr>
        <w:t>на</w:t>
      </w:r>
      <w:r>
        <w:rPr>
          <w:color w:val="231F20"/>
          <w:spacing w:val="-5"/>
        </w:rPr>
        <w:t> </w:t>
      </w:r>
      <w:r>
        <w:rPr>
          <w:color w:val="231F20"/>
          <w:spacing w:val="-2"/>
        </w:rPr>
        <w:t>клиентов</w:t>
      </w:r>
      <w:r>
        <w:rPr>
          <w:color w:val="231F20"/>
          <w:spacing w:val="-5"/>
        </w:rPr>
        <w:t> </w:t>
      </w:r>
      <w:r>
        <w:rPr>
          <w:color w:val="231F20"/>
          <w:spacing w:val="-2"/>
        </w:rPr>
        <w:t>как</w:t>
      </w:r>
      <w:r>
        <w:rPr>
          <w:color w:val="231F20"/>
          <w:spacing w:val="-5"/>
        </w:rPr>
        <w:t> </w:t>
      </w:r>
      <w:r>
        <w:rPr>
          <w:color w:val="231F20"/>
          <w:spacing w:val="-2"/>
        </w:rPr>
        <w:t>с</w:t>
      </w:r>
      <w:r>
        <w:rPr>
          <w:color w:val="231F20"/>
          <w:spacing w:val="-5"/>
        </w:rPr>
        <w:t> </w:t>
      </w:r>
      <w:r>
        <w:rPr>
          <w:color w:val="231F20"/>
          <w:spacing w:val="-2"/>
        </w:rPr>
        <w:t>этнической,</w:t>
      </w:r>
      <w:r>
        <w:rPr>
          <w:color w:val="231F20"/>
          <w:spacing w:val="-5"/>
        </w:rPr>
        <w:t> </w:t>
      </w:r>
      <w:r>
        <w:rPr>
          <w:color w:val="231F20"/>
          <w:spacing w:val="-2"/>
        </w:rPr>
        <w:t>так</w:t>
      </w:r>
      <w:r>
        <w:rPr>
          <w:color w:val="231F20"/>
          <w:spacing w:val="-5"/>
        </w:rPr>
        <w:t> </w:t>
      </w:r>
      <w:r>
        <w:rPr>
          <w:color w:val="231F20"/>
          <w:spacing w:val="-2"/>
        </w:rPr>
        <w:t>и</w:t>
      </w:r>
      <w:r>
        <w:rPr>
          <w:color w:val="231F20"/>
          <w:spacing w:val="-5"/>
        </w:rPr>
        <w:t> </w:t>
      </w:r>
      <w:r>
        <w:rPr>
          <w:color w:val="231F20"/>
          <w:spacing w:val="-2"/>
        </w:rPr>
        <w:t>с</w:t>
      </w:r>
      <w:r>
        <w:rPr>
          <w:color w:val="231F20"/>
          <w:spacing w:val="-5"/>
        </w:rPr>
        <w:t> </w:t>
      </w:r>
      <w:r>
        <w:rPr>
          <w:color w:val="231F20"/>
          <w:spacing w:val="-2"/>
        </w:rPr>
        <w:t>профессиональной</w:t>
      </w:r>
      <w:r>
        <w:rPr>
          <w:color w:val="231F20"/>
          <w:spacing w:val="-5"/>
        </w:rPr>
        <w:t> </w:t>
      </w:r>
      <w:r>
        <w:rPr>
          <w:color w:val="231F20"/>
          <w:spacing w:val="-2"/>
        </w:rPr>
        <w:t>точек</w:t>
      </w:r>
      <w:r>
        <w:rPr>
          <w:color w:val="231F20"/>
          <w:spacing w:val="-5"/>
        </w:rPr>
        <w:t> </w:t>
      </w:r>
      <w:r>
        <w:rPr>
          <w:color w:val="231F20"/>
          <w:spacing w:val="-2"/>
        </w:rPr>
        <w:t>зрения. </w:t>
      </w:r>
      <w:r>
        <w:rPr>
          <w:color w:val="231F20"/>
        </w:rPr>
        <w:t>Дж. Соммерз-Фланаган пишет: «Когда мы можем понять, как наша культура влия- ет на то, как мы мыслим, чувствуем и познаем мир, мы начинаем приобретать спо- собность понимать точку зрения другого человека, не навязывая ему собственной» (Sommers-Flanagan J., Sommers-Flanagan R, 2003). При этом подчеркнем, что перед </w:t>
      </w:r>
      <w:r>
        <w:rPr>
          <w:color w:val="231F20"/>
          <w:spacing w:val="-2"/>
        </w:rPr>
        <w:t>психологом не стоит задача изобретать какой-то особый консультативный подход для </w:t>
      </w:r>
      <w:r>
        <w:rPr>
          <w:color w:val="231F20"/>
        </w:rPr>
        <w:t>ребенка-мигранта. Речь идет именно об адаптации методов и активностей, нацелен- ной</w:t>
      </w:r>
      <w:r>
        <w:rPr>
          <w:color w:val="231F20"/>
          <w:spacing w:val="-9"/>
        </w:rPr>
        <w:t> </w:t>
      </w:r>
      <w:r>
        <w:rPr>
          <w:color w:val="231F20"/>
        </w:rPr>
        <w:t>на</w:t>
      </w:r>
      <w:r>
        <w:rPr>
          <w:color w:val="231F20"/>
          <w:spacing w:val="-9"/>
        </w:rPr>
        <w:t> </w:t>
      </w:r>
      <w:r>
        <w:rPr>
          <w:color w:val="231F20"/>
        </w:rPr>
        <w:t>выстраивание</w:t>
      </w:r>
      <w:r>
        <w:rPr>
          <w:color w:val="231F20"/>
          <w:spacing w:val="-9"/>
        </w:rPr>
        <w:t> </w:t>
      </w:r>
      <w:r>
        <w:rPr>
          <w:color w:val="231F20"/>
        </w:rPr>
        <w:t>контакта</w:t>
      </w:r>
      <w:r>
        <w:rPr>
          <w:color w:val="231F20"/>
          <w:spacing w:val="-9"/>
        </w:rPr>
        <w:t> </w:t>
      </w:r>
      <w:r>
        <w:rPr>
          <w:color w:val="231F20"/>
        </w:rPr>
        <w:t>с</w:t>
      </w:r>
      <w:r>
        <w:rPr>
          <w:color w:val="231F20"/>
          <w:spacing w:val="-9"/>
        </w:rPr>
        <w:t> </w:t>
      </w:r>
      <w:r>
        <w:rPr>
          <w:color w:val="231F20"/>
        </w:rPr>
        <w:t>ребенком</w:t>
      </w:r>
      <w:r>
        <w:rPr>
          <w:color w:val="231F20"/>
          <w:spacing w:val="-9"/>
        </w:rPr>
        <w:t> </w:t>
      </w:r>
      <w:r>
        <w:rPr>
          <w:color w:val="231F20"/>
        </w:rPr>
        <w:t>и</w:t>
      </w:r>
      <w:r>
        <w:rPr>
          <w:color w:val="231F20"/>
          <w:spacing w:val="-9"/>
        </w:rPr>
        <w:t> </w:t>
      </w:r>
      <w:r>
        <w:rPr>
          <w:color w:val="231F20"/>
        </w:rPr>
        <w:t>получение</w:t>
      </w:r>
      <w:r>
        <w:rPr>
          <w:color w:val="231F20"/>
          <w:spacing w:val="-9"/>
        </w:rPr>
        <w:t> </w:t>
      </w:r>
      <w:r>
        <w:rPr>
          <w:color w:val="231F20"/>
        </w:rPr>
        <w:t>консультативного</w:t>
      </w:r>
      <w:r>
        <w:rPr>
          <w:color w:val="231F20"/>
          <w:spacing w:val="-9"/>
        </w:rPr>
        <w:t> </w:t>
      </w:r>
      <w:r>
        <w:rPr>
          <w:color w:val="231F20"/>
        </w:rPr>
        <w:t>результата. Даже</w:t>
      </w:r>
      <w:r>
        <w:rPr>
          <w:color w:val="231F20"/>
          <w:spacing w:val="40"/>
        </w:rPr>
        <w:t> </w:t>
      </w:r>
      <w:r>
        <w:rPr>
          <w:color w:val="231F20"/>
        </w:rPr>
        <w:t>когда</w:t>
      </w:r>
      <w:r>
        <w:rPr>
          <w:color w:val="231F20"/>
          <w:spacing w:val="40"/>
        </w:rPr>
        <w:t> </w:t>
      </w:r>
      <w:r>
        <w:rPr>
          <w:color w:val="231F20"/>
        </w:rPr>
        <w:t>перед</w:t>
      </w:r>
      <w:r>
        <w:rPr>
          <w:color w:val="231F20"/>
          <w:spacing w:val="40"/>
        </w:rPr>
        <w:t> </w:t>
      </w:r>
      <w:r>
        <w:rPr>
          <w:color w:val="231F20"/>
        </w:rPr>
        <w:t>психологом</w:t>
      </w:r>
      <w:r>
        <w:rPr>
          <w:color w:val="231F20"/>
          <w:spacing w:val="40"/>
        </w:rPr>
        <w:t> </w:t>
      </w:r>
      <w:r>
        <w:rPr>
          <w:color w:val="231F20"/>
        </w:rPr>
        <w:t>стоит</w:t>
      </w:r>
      <w:r>
        <w:rPr>
          <w:color w:val="231F20"/>
          <w:spacing w:val="40"/>
        </w:rPr>
        <w:t> </w:t>
      </w:r>
      <w:r>
        <w:rPr>
          <w:color w:val="231F20"/>
        </w:rPr>
        <w:t>задача</w:t>
      </w:r>
      <w:r>
        <w:rPr>
          <w:color w:val="231F20"/>
          <w:spacing w:val="40"/>
        </w:rPr>
        <w:t> </w:t>
      </w:r>
      <w:r>
        <w:rPr>
          <w:color w:val="231F20"/>
        </w:rPr>
        <w:t>сопровождения</w:t>
      </w:r>
      <w:r>
        <w:rPr>
          <w:color w:val="231F20"/>
          <w:spacing w:val="40"/>
        </w:rPr>
        <w:t> </w:t>
      </w:r>
      <w:r>
        <w:rPr>
          <w:color w:val="231F20"/>
        </w:rPr>
        <w:t>ребенка-мигранта</w:t>
      </w:r>
      <w:r>
        <w:rPr>
          <w:color w:val="231F20"/>
          <w:spacing w:val="40"/>
        </w:rPr>
        <w:t> </w:t>
      </w:r>
      <w:r>
        <w:rPr>
          <w:color w:val="231F20"/>
        </w:rPr>
        <w:t>в процессе</w:t>
      </w:r>
      <w:r>
        <w:rPr>
          <w:color w:val="231F20"/>
          <w:spacing w:val="-12"/>
        </w:rPr>
        <w:t> </w:t>
      </w:r>
      <w:r>
        <w:rPr>
          <w:color w:val="231F20"/>
        </w:rPr>
        <w:t>адаптации</w:t>
      </w:r>
      <w:r>
        <w:rPr>
          <w:color w:val="231F20"/>
          <w:spacing w:val="-9"/>
        </w:rPr>
        <w:t> </w:t>
      </w:r>
      <w:r>
        <w:rPr>
          <w:color w:val="231F20"/>
        </w:rPr>
        <w:t>к</w:t>
      </w:r>
      <w:r>
        <w:rPr>
          <w:color w:val="231F20"/>
          <w:spacing w:val="-9"/>
        </w:rPr>
        <w:t> </w:t>
      </w:r>
      <w:r>
        <w:rPr>
          <w:color w:val="231F20"/>
        </w:rPr>
        <w:t>принимающему</w:t>
      </w:r>
      <w:r>
        <w:rPr>
          <w:color w:val="231F20"/>
          <w:spacing w:val="-9"/>
        </w:rPr>
        <w:t> </w:t>
      </w:r>
      <w:r>
        <w:rPr>
          <w:color w:val="231F20"/>
        </w:rPr>
        <w:t>обществу,</w:t>
      </w:r>
      <w:r>
        <w:rPr>
          <w:color w:val="231F20"/>
          <w:spacing w:val="-9"/>
        </w:rPr>
        <w:t> </w:t>
      </w:r>
      <w:r>
        <w:rPr>
          <w:color w:val="231F20"/>
        </w:rPr>
        <w:t>она</w:t>
      </w:r>
      <w:r>
        <w:rPr>
          <w:color w:val="231F20"/>
          <w:spacing w:val="-10"/>
        </w:rPr>
        <w:t> </w:t>
      </w:r>
      <w:r>
        <w:rPr>
          <w:color w:val="231F20"/>
        </w:rPr>
        <w:t>должна</w:t>
      </w:r>
      <w:r>
        <w:rPr>
          <w:color w:val="231F20"/>
          <w:spacing w:val="-9"/>
        </w:rPr>
        <w:t> </w:t>
      </w:r>
      <w:r>
        <w:rPr>
          <w:color w:val="231F20"/>
        </w:rPr>
        <w:t>решаться</w:t>
      </w:r>
      <w:r>
        <w:rPr>
          <w:color w:val="231F20"/>
          <w:spacing w:val="-9"/>
        </w:rPr>
        <w:t> </w:t>
      </w:r>
      <w:r>
        <w:rPr>
          <w:color w:val="231F20"/>
        </w:rPr>
        <w:t>с</w:t>
      </w:r>
      <w:r>
        <w:rPr>
          <w:color w:val="231F20"/>
          <w:spacing w:val="-9"/>
        </w:rPr>
        <w:t> </w:t>
      </w:r>
      <w:r>
        <w:rPr>
          <w:color w:val="231F20"/>
        </w:rPr>
        <w:t>учетом</w:t>
      </w:r>
      <w:r>
        <w:rPr>
          <w:color w:val="231F20"/>
          <w:spacing w:val="-9"/>
        </w:rPr>
        <w:t> </w:t>
      </w:r>
      <w:r>
        <w:rPr>
          <w:color w:val="231F20"/>
          <w:spacing w:val="-2"/>
        </w:rPr>
        <w:t>куль-</w:t>
      </w:r>
    </w:p>
    <w:p>
      <w:pPr>
        <w:pStyle w:val="BodyText"/>
        <w:spacing w:after="0" w:line="232" w:lineRule="auto"/>
        <w:jc w:val="right"/>
        <w:sectPr>
          <w:pgSz w:w="8400" w:h="11910"/>
          <w:pgMar w:header="0" w:footer="528"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line="235" w:lineRule="auto" w:before="116"/>
        <w:ind w:firstLine="0"/>
      </w:pPr>
      <w:r>
        <w:rPr>
          <w:color w:val="231F20"/>
        </w:rPr>
        <w:t>турных факторов, поскольку это является важным условием выстраивания отноше- ний доверия между психологом и клиентом.</w:t>
      </w:r>
    </w:p>
    <w:p>
      <w:pPr>
        <w:pStyle w:val="BodyText"/>
        <w:spacing w:line="230" w:lineRule="auto"/>
        <w:jc w:val="right"/>
      </w:pPr>
      <w:r>
        <w:rPr>
          <w:color w:val="231F20"/>
        </w:rPr>
        <w:t>Необходимо</w:t>
      </w:r>
      <w:r>
        <w:rPr>
          <w:color w:val="231F20"/>
          <w:spacing w:val="-8"/>
        </w:rPr>
        <w:t> </w:t>
      </w:r>
      <w:r>
        <w:rPr>
          <w:color w:val="231F20"/>
        </w:rPr>
        <w:t>учитывать,</w:t>
      </w:r>
      <w:r>
        <w:rPr>
          <w:color w:val="231F20"/>
          <w:spacing w:val="-8"/>
        </w:rPr>
        <w:t> </w:t>
      </w:r>
      <w:r>
        <w:rPr>
          <w:color w:val="231F20"/>
        </w:rPr>
        <w:t>что</w:t>
      </w:r>
      <w:r>
        <w:rPr>
          <w:color w:val="231F20"/>
          <w:spacing w:val="-8"/>
        </w:rPr>
        <w:t> </w:t>
      </w:r>
      <w:r>
        <w:rPr>
          <w:color w:val="231F20"/>
        </w:rPr>
        <w:t>конкретная</w:t>
      </w:r>
      <w:r>
        <w:rPr>
          <w:color w:val="231F20"/>
          <w:spacing w:val="-8"/>
        </w:rPr>
        <w:t> </w:t>
      </w:r>
      <w:r>
        <w:rPr>
          <w:color w:val="231F20"/>
        </w:rPr>
        <w:t>семья</w:t>
      </w:r>
      <w:r>
        <w:rPr>
          <w:color w:val="231F20"/>
          <w:spacing w:val="-8"/>
        </w:rPr>
        <w:t> </w:t>
      </w:r>
      <w:r>
        <w:rPr>
          <w:color w:val="231F20"/>
        </w:rPr>
        <w:t>и</w:t>
      </w:r>
      <w:r>
        <w:rPr>
          <w:color w:val="231F20"/>
          <w:spacing w:val="-8"/>
        </w:rPr>
        <w:t> </w:t>
      </w:r>
      <w:r>
        <w:rPr>
          <w:color w:val="231F20"/>
        </w:rPr>
        <w:t>конкретный</w:t>
      </w:r>
      <w:r>
        <w:rPr>
          <w:color w:val="231F20"/>
          <w:spacing w:val="-8"/>
        </w:rPr>
        <w:t> </w:t>
      </w:r>
      <w:r>
        <w:rPr>
          <w:color w:val="231F20"/>
        </w:rPr>
        <w:t>ребенок</w:t>
      </w:r>
      <w:r>
        <w:rPr>
          <w:color w:val="231F20"/>
          <w:spacing w:val="-8"/>
        </w:rPr>
        <w:t> </w:t>
      </w:r>
      <w:r>
        <w:rPr>
          <w:color w:val="231F20"/>
        </w:rPr>
        <w:t>могут</w:t>
      </w:r>
      <w:r>
        <w:rPr>
          <w:color w:val="231F20"/>
          <w:spacing w:val="-8"/>
        </w:rPr>
        <w:t> </w:t>
      </w:r>
      <w:r>
        <w:rPr>
          <w:color w:val="231F20"/>
        </w:rPr>
        <w:t>иметь различные</w:t>
      </w:r>
      <w:r>
        <w:rPr>
          <w:color w:val="231F20"/>
          <w:spacing w:val="-8"/>
        </w:rPr>
        <w:t> </w:t>
      </w:r>
      <w:r>
        <w:rPr>
          <w:color w:val="231F20"/>
        </w:rPr>
        <w:t>представления</w:t>
      </w:r>
      <w:r>
        <w:rPr>
          <w:color w:val="231F20"/>
          <w:spacing w:val="-8"/>
        </w:rPr>
        <w:t> </w:t>
      </w:r>
      <w:r>
        <w:rPr>
          <w:color w:val="231F20"/>
        </w:rPr>
        <w:t>о</w:t>
      </w:r>
      <w:r>
        <w:rPr>
          <w:color w:val="231F20"/>
          <w:spacing w:val="-8"/>
        </w:rPr>
        <w:t> </w:t>
      </w:r>
      <w:r>
        <w:rPr>
          <w:color w:val="231F20"/>
        </w:rPr>
        <w:t>нормах</w:t>
      </w:r>
      <w:r>
        <w:rPr>
          <w:color w:val="231F20"/>
          <w:spacing w:val="-8"/>
        </w:rPr>
        <w:t> </w:t>
      </w:r>
      <w:r>
        <w:rPr>
          <w:color w:val="231F20"/>
        </w:rPr>
        <w:t>родной</w:t>
      </w:r>
      <w:r>
        <w:rPr>
          <w:color w:val="231F20"/>
          <w:spacing w:val="-8"/>
        </w:rPr>
        <w:t> </w:t>
      </w:r>
      <w:r>
        <w:rPr>
          <w:color w:val="231F20"/>
        </w:rPr>
        <w:t>культуры</w:t>
      </w:r>
      <w:r>
        <w:rPr>
          <w:color w:val="231F20"/>
          <w:spacing w:val="-8"/>
        </w:rPr>
        <w:t> </w:t>
      </w:r>
      <w:r>
        <w:rPr>
          <w:color w:val="231F20"/>
        </w:rPr>
        <w:t>и</w:t>
      </w:r>
      <w:r>
        <w:rPr>
          <w:color w:val="231F20"/>
          <w:spacing w:val="-8"/>
        </w:rPr>
        <w:t> </w:t>
      </w:r>
      <w:r>
        <w:rPr>
          <w:color w:val="231F20"/>
        </w:rPr>
        <w:t>различные</w:t>
      </w:r>
      <w:r>
        <w:rPr>
          <w:color w:val="231F20"/>
          <w:spacing w:val="-8"/>
        </w:rPr>
        <w:t> </w:t>
      </w:r>
      <w:r>
        <w:rPr>
          <w:color w:val="231F20"/>
        </w:rPr>
        <w:t>установки</w:t>
      </w:r>
      <w:r>
        <w:rPr>
          <w:color w:val="231F20"/>
          <w:spacing w:val="-8"/>
        </w:rPr>
        <w:t> </w:t>
      </w:r>
      <w:r>
        <w:rPr>
          <w:color w:val="231F20"/>
        </w:rPr>
        <w:t>относи- тельно необходимости их сохранения. Задача психолога не в том, чтобы проводить какую-то</w:t>
      </w:r>
      <w:r>
        <w:rPr>
          <w:color w:val="231F20"/>
          <w:spacing w:val="-7"/>
        </w:rPr>
        <w:t> </w:t>
      </w:r>
      <w:r>
        <w:rPr>
          <w:color w:val="231F20"/>
        </w:rPr>
        <w:t>специфическую</w:t>
      </w:r>
      <w:r>
        <w:rPr>
          <w:color w:val="231F20"/>
          <w:spacing w:val="-7"/>
        </w:rPr>
        <w:t> </w:t>
      </w:r>
      <w:r>
        <w:rPr>
          <w:color w:val="231F20"/>
        </w:rPr>
        <w:t>работу</w:t>
      </w:r>
      <w:r>
        <w:rPr>
          <w:color w:val="231F20"/>
          <w:spacing w:val="-7"/>
        </w:rPr>
        <w:t> </w:t>
      </w:r>
      <w:r>
        <w:rPr>
          <w:color w:val="231F20"/>
        </w:rPr>
        <w:t>с</w:t>
      </w:r>
      <w:r>
        <w:rPr>
          <w:color w:val="231F20"/>
          <w:spacing w:val="-7"/>
        </w:rPr>
        <w:t> </w:t>
      </w:r>
      <w:r>
        <w:rPr>
          <w:color w:val="231F20"/>
        </w:rPr>
        <w:t>ребенком,</w:t>
      </w:r>
      <w:r>
        <w:rPr>
          <w:color w:val="231F20"/>
          <w:spacing w:val="-7"/>
        </w:rPr>
        <w:t> </w:t>
      </w:r>
      <w:r>
        <w:rPr>
          <w:color w:val="231F20"/>
        </w:rPr>
        <w:t>имеющим</w:t>
      </w:r>
      <w:r>
        <w:rPr>
          <w:color w:val="231F20"/>
          <w:spacing w:val="-7"/>
        </w:rPr>
        <w:t> </w:t>
      </w:r>
      <w:r>
        <w:rPr>
          <w:color w:val="231F20"/>
        </w:rPr>
        <w:t>миграционный</w:t>
      </w:r>
      <w:r>
        <w:rPr>
          <w:color w:val="231F20"/>
          <w:spacing w:val="-7"/>
        </w:rPr>
        <w:t> </w:t>
      </w:r>
      <w:r>
        <w:rPr>
          <w:color w:val="231F20"/>
        </w:rPr>
        <w:t>опыт,</w:t>
      </w:r>
      <w:r>
        <w:rPr>
          <w:color w:val="231F20"/>
          <w:spacing w:val="-7"/>
        </w:rPr>
        <w:t> </w:t>
      </w:r>
      <w:r>
        <w:rPr>
          <w:color w:val="231F20"/>
        </w:rPr>
        <w:t>в</w:t>
      </w:r>
      <w:r>
        <w:rPr>
          <w:color w:val="231F20"/>
          <w:spacing w:val="-7"/>
        </w:rPr>
        <w:t> </w:t>
      </w:r>
      <w:r>
        <w:rPr>
          <w:color w:val="231F20"/>
        </w:rPr>
        <w:t>отли- чие</w:t>
      </w:r>
      <w:r>
        <w:rPr>
          <w:color w:val="231F20"/>
          <w:spacing w:val="-2"/>
        </w:rPr>
        <w:t> </w:t>
      </w:r>
      <w:r>
        <w:rPr>
          <w:color w:val="231F20"/>
        </w:rPr>
        <w:t>от</w:t>
      </w:r>
      <w:r>
        <w:rPr>
          <w:color w:val="231F20"/>
          <w:spacing w:val="-2"/>
        </w:rPr>
        <w:t> </w:t>
      </w:r>
      <w:r>
        <w:rPr>
          <w:color w:val="231F20"/>
        </w:rPr>
        <w:t>работы</w:t>
      </w:r>
      <w:r>
        <w:rPr>
          <w:color w:val="231F20"/>
          <w:spacing w:val="-2"/>
        </w:rPr>
        <w:t> </w:t>
      </w:r>
      <w:r>
        <w:rPr>
          <w:color w:val="231F20"/>
        </w:rPr>
        <w:t>с</w:t>
      </w:r>
      <w:r>
        <w:rPr>
          <w:color w:val="231F20"/>
          <w:spacing w:val="-2"/>
        </w:rPr>
        <w:t> </w:t>
      </w:r>
      <w:r>
        <w:rPr>
          <w:color w:val="231F20"/>
        </w:rPr>
        <w:t>ребенком,</w:t>
      </w:r>
      <w:r>
        <w:rPr>
          <w:color w:val="231F20"/>
          <w:spacing w:val="-2"/>
        </w:rPr>
        <w:t> </w:t>
      </w:r>
      <w:r>
        <w:rPr>
          <w:color w:val="231F20"/>
        </w:rPr>
        <w:t>который</w:t>
      </w:r>
      <w:r>
        <w:rPr>
          <w:color w:val="231F20"/>
          <w:spacing w:val="-2"/>
        </w:rPr>
        <w:t> </w:t>
      </w:r>
      <w:r>
        <w:rPr>
          <w:color w:val="231F20"/>
        </w:rPr>
        <w:t>родился</w:t>
      </w:r>
      <w:r>
        <w:rPr>
          <w:color w:val="231F20"/>
          <w:spacing w:val="-3"/>
        </w:rPr>
        <w:t> </w:t>
      </w:r>
      <w:r>
        <w:rPr>
          <w:color w:val="231F20"/>
        </w:rPr>
        <w:t>и</w:t>
      </w:r>
      <w:r>
        <w:rPr>
          <w:color w:val="231F20"/>
          <w:spacing w:val="-2"/>
        </w:rPr>
        <w:t> </w:t>
      </w:r>
      <w:r>
        <w:rPr>
          <w:color w:val="231F20"/>
        </w:rPr>
        <w:t>вырос</w:t>
      </w:r>
      <w:r>
        <w:rPr>
          <w:color w:val="231F20"/>
          <w:spacing w:val="-2"/>
        </w:rPr>
        <w:t> </w:t>
      </w:r>
      <w:r>
        <w:rPr>
          <w:color w:val="231F20"/>
        </w:rPr>
        <w:t>в</w:t>
      </w:r>
      <w:r>
        <w:rPr>
          <w:color w:val="231F20"/>
          <w:spacing w:val="-2"/>
        </w:rPr>
        <w:t> </w:t>
      </w:r>
      <w:r>
        <w:rPr>
          <w:color w:val="231F20"/>
        </w:rPr>
        <w:t>России.</w:t>
      </w:r>
      <w:r>
        <w:rPr>
          <w:color w:val="231F20"/>
          <w:spacing w:val="-2"/>
        </w:rPr>
        <w:t> </w:t>
      </w:r>
      <w:r>
        <w:rPr>
          <w:color w:val="231F20"/>
        </w:rPr>
        <w:t>Необходимо</w:t>
      </w:r>
      <w:r>
        <w:rPr>
          <w:color w:val="231F20"/>
          <w:spacing w:val="-2"/>
        </w:rPr>
        <w:t> </w:t>
      </w:r>
      <w:r>
        <w:rPr>
          <w:color w:val="231F20"/>
        </w:rPr>
        <w:t>замечать ситуации</w:t>
      </w:r>
      <w:r>
        <w:rPr>
          <w:color w:val="231F20"/>
          <w:spacing w:val="-13"/>
        </w:rPr>
        <w:t> </w:t>
      </w:r>
      <w:r>
        <w:rPr>
          <w:color w:val="231F20"/>
        </w:rPr>
        <w:t>в</w:t>
      </w:r>
      <w:r>
        <w:rPr>
          <w:color w:val="231F20"/>
          <w:spacing w:val="-12"/>
        </w:rPr>
        <w:t> </w:t>
      </w:r>
      <w:r>
        <w:rPr>
          <w:color w:val="231F20"/>
        </w:rPr>
        <w:t>работе</w:t>
      </w:r>
      <w:r>
        <w:rPr>
          <w:color w:val="231F20"/>
          <w:spacing w:val="-13"/>
        </w:rPr>
        <w:t> </w:t>
      </w:r>
      <w:r>
        <w:rPr>
          <w:color w:val="231F20"/>
        </w:rPr>
        <w:t>с</w:t>
      </w:r>
      <w:r>
        <w:rPr>
          <w:color w:val="231F20"/>
          <w:spacing w:val="-12"/>
        </w:rPr>
        <w:t> </w:t>
      </w:r>
      <w:r>
        <w:rPr>
          <w:color w:val="231F20"/>
        </w:rPr>
        <w:t>ребенком,</w:t>
      </w:r>
      <w:r>
        <w:rPr>
          <w:color w:val="231F20"/>
          <w:spacing w:val="-13"/>
        </w:rPr>
        <w:t> </w:t>
      </w:r>
      <w:r>
        <w:rPr>
          <w:color w:val="231F20"/>
        </w:rPr>
        <w:t>когда</w:t>
      </w:r>
      <w:r>
        <w:rPr>
          <w:color w:val="231F20"/>
          <w:spacing w:val="-12"/>
        </w:rPr>
        <w:t> </w:t>
      </w:r>
      <w:r>
        <w:rPr>
          <w:color w:val="231F20"/>
        </w:rPr>
        <w:t>требуется</w:t>
      </w:r>
      <w:r>
        <w:rPr>
          <w:color w:val="231F20"/>
          <w:spacing w:val="-13"/>
        </w:rPr>
        <w:t> </w:t>
      </w:r>
      <w:r>
        <w:rPr>
          <w:color w:val="231F20"/>
        </w:rPr>
        <w:t>учет</w:t>
      </w:r>
      <w:r>
        <w:rPr>
          <w:color w:val="231F20"/>
          <w:spacing w:val="-12"/>
        </w:rPr>
        <w:t> </w:t>
      </w:r>
      <w:r>
        <w:rPr>
          <w:color w:val="231F20"/>
        </w:rPr>
        <w:t>норм</w:t>
      </w:r>
      <w:r>
        <w:rPr>
          <w:color w:val="231F20"/>
          <w:spacing w:val="-13"/>
        </w:rPr>
        <w:t> </w:t>
      </w:r>
      <w:r>
        <w:rPr>
          <w:color w:val="231F20"/>
        </w:rPr>
        <w:t>его</w:t>
      </w:r>
      <w:r>
        <w:rPr>
          <w:color w:val="231F20"/>
          <w:spacing w:val="-12"/>
        </w:rPr>
        <w:t> </w:t>
      </w:r>
      <w:r>
        <w:rPr>
          <w:color w:val="231F20"/>
        </w:rPr>
        <w:t>родной</w:t>
      </w:r>
      <w:r>
        <w:rPr>
          <w:color w:val="231F20"/>
          <w:spacing w:val="-13"/>
        </w:rPr>
        <w:t> </w:t>
      </w:r>
      <w:r>
        <w:rPr>
          <w:color w:val="231F20"/>
        </w:rPr>
        <w:t>культуры,</w:t>
      </w:r>
      <w:r>
        <w:rPr>
          <w:color w:val="231F20"/>
          <w:spacing w:val="-12"/>
        </w:rPr>
        <w:t> </w:t>
      </w:r>
      <w:r>
        <w:rPr>
          <w:color w:val="231F20"/>
        </w:rPr>
        <w:t>и</w:t>
      </w:r>
      <w:r>
        <w:rPr>
          <w:color w:val="231F20"/>
          <w:spacing w:val="-13"/>
        </w:rPr>
        <w:t> </w:t>
      </w:r>
      <w:r>
        <w:rPr>
          <w:color w:val="231F20"/>
        </w:rPr>
        <w:t>в</w:t>
      </w:r>
      <w:r>
        <w:rPr>
          <w:color w:val="231F20"/>
          <w:spacing w:val="-12"/>
        </w:rPr>
        <w:t> </w:t>
      </w:r>
      <w:r>
        <w:rPr>
          <w:color w:val="231F20"/>
        </w:rPr>
        <w:t>со- ответствии</w:t>
      </w:r>
      <w:r>
        <w:rPr>
          <w:color w:val="231F20"/>
          <w:spacing w:val="-7"/>
        </w:rPr>
        <w:t> </w:t>
      </w:r>
      <w:r>
        <w:rPr>
          <w:color w:val="231F20"/>
        </w:rPr>
        <w:t>с</w:t>
      </w:r>
      <w:r>
        <w:rPr>
          <w:color w:val="231F20"/>
          <w:spacing w:val="-6"/>
        </w:rPr>
        <w:t> </w:t>
      </w:r>
      <w:r>
        <w:rPr>
          <w:color w:val="231F20"/>
        </w:rPr>
        <w:t>этим</w:t>
      </w:r>
      <w:r>
        <w:rPr>
          <w:color w:val="231F20"/>
          <w:spacing w:val="-6"/>
        </w:rPr>
        <w:t> </w:t>
      </w:r>
      <w:r>
        <w:rPr>
          <w:color w:val="231F20"/>
        </w:rPr>
        <w:t>адаптировать</w:t>
      </w:r>
      <w:r>
        <w:rPr>
          <w:color w:val="231F20"/>
          <w:spacing w:val="-7"/>
        </w:rPr>
        <w:t> </w:t>
      </w:r>
      <w:r>
        <w:rPr>
          <w:color w:val="231F20"/>
        </w:rPr>
        <w:t>свое</w:t>
      </w:r>
      <w:r>
        <w:rPr>
          <w:color w:val="231F20"/>
          <w:spacing w:val="-6"/>
        </w:rPr>
        <w:t> </w:t>
      </w:r>
      <w:r>
        <w:rPr>
          <w:color w:val="231F20"/>
        </w:rPr>
        <w:t>поведении</w:t>
      </w:r>
      <w:r>
        <w:rPr>
          <w:color w:val="231F20"/>
          <w:spacing w:val="-7"/>
        </w:rPr>
        <w:t> </w:t>
      </w:r>
      <w:r>
        <w:rPr>
          <w:color w:val="231F20"/>
        </w:rPr>
        <w:t>и</w:t>
      </w:r>
      <w:r>
        <w:rPr>
          <w:color w:val="231F20"/>
          <w:spacing w:val="-7"/>
        </w:rPr>
        <w:t> </w:t>
      </w:r>
      <w:r>
        <w:rPr>
          <w:color w:val="231F20"/>
        </w:rPr>
        <w:t>по</w:t>
      </w:r>
      <w:r>
        <w:rPr>
          <w:color w:val="231F20"/>
          <w:spacing w:val="-6"/>
        </w:rPr>
        <w:t> </w:t>
      </w:r>
      <w:r>
        <w:rPr>
          <w:color w:val="231F20"/>
        </w:rPr>
        <w:t>необходимости</w:t>
      </w:r>
      <w:r>
        <w:rPr>
          <w:color w:val="231F20"/>
          <w:spacing w:val="-7"/>
        </w:rPr>
        <w:t> </w:t>
      </w:r>
      <w:r>
        <w:rPr>
          <w:color w:val="231F20"/>
        </w:rPr>
        <w:t>методы</w:t>
      </w:r>
      <w:r>
        <w:rPr>
          <w:color w:val="231F20"/>
          <w:spacing w:val="-6"/>
        </w:rPr>
        <w:t> </w:t>
      </w:r>
      <w:r>
        <w:rPr>
          <w:color w:val="231F20"/>
        </w:rPr>
        <w:t>работы. Рассмотрим технологию учета культурных факторов в консультативной работе с ребенком,</w:t>
      </w:r>
      <w:r>
        <w:rPr>
          <w:color w:val="231F20"/>
          <w:spacing w:val="-13"/>
        </w:rPr>
        <w:t> </w:t>
      </w:r>
      <w:r>
        <w:rPr>
          <w:color w:val="231F20"/>
        </w:rPr>
        <w:t>предложенную</w:t>
      </w:r>
      <w:r>
        <w:rPr>
          <w:color w:val="231F20"/>
          <w:spacing w:val="-12"/>
        </w:rPr>
        <w:t> </w:t>
      </w:r>
      <w:r>
        <w:rPr>
          <w:color w:val="231F20"/>
        </w:rPr>
        <w:t>Liu</w:t>
      </w:r>
      <w:r>
        <w:rPr>
          <w:color w:val="231F20"/>
          <w:spacing w:val="-13"/>
        </w:rPr>
        <w:t> </w:t>
      </w:r>
      <w:r>
        <w:rPr>
          <w:color w:val="231F20"/>
        </w:rPr>
        <w:t>и</w:t>
      </w:r>
      <w:r>
        <w:rPr>
          <w:color w:val="231F20"/>
          <w:spacing w:val="-12"/>
        </w:rPr>
        <w:t> </w:t>
      </w:r>
      <w:r>
        <w:rPr>
          <w:color w:val="231F20"/>
        </w:rPr>
        <w:t>Clay</w:t>
      </w:r>
      <w:r>
        <w:rPr>
          <w:color w:val="231F20"/>
          <w:spacing w:val="-13"/>
        </w:rPr>
        <w:t> </w:t>
      </w:r>
      <w:r>
        <w:rPr>
          <w:color w:val="231F20"/>
        </w:rPr>
        <w:t>(Liu,</w:t>
      </w:r>
      <w:r>
        <w:rPr>
          <w:color w:val="231F20"/>
          <w:spacing w:val="-12"/>
        </w:rPr>
        <w:t> </w:t>
      </w:r>
      <w:r>
        <w:rPr>
          <w:color w:val="231F20"/>
        </w:rPr>
        <w:t>Clay,</w:t>
      </w:r>
      <w:r>
        <w:rPr>
          <w:color w:val="231F20"/>
          <w:spacing w:val="-13"/>
        </w:rPr>
        <w:t> </w:t>
      </w:r>
      <w:r>
        <w:rPr>
          <w:color w:val="231F20"/>
        </w:rPr>
        <w:t>2002)</w:t>
      </w:r>
      <w:r>
        <w:rPr>
          <w:color w:val="231F20"/>
          <w:spacing w:val="-12"/>
        </w:rPr>
        <w:t> </w:t>
      </w:r>
      <w:r>
        <w:rPr>
          <w:color w:val="231F20"/>
        </w:rPr>
        <w:t>и</w:t>
      </w:r>
      <w:r>
        <w:rPr>
          <w:color w:val="231F20"/>
          <w:spacing w:val="-13"/>
        </w:rPr>
        <w:t> </w:t>
      </w:r>
      <w:r>
        <w:rPr>
          <w:color w:val="231F20"/>
        </w:rPr>
        <w:t>адаптированную</w:t>
      </w:r>
      <w:r>
        <w:rPr>
          <w:color w:val="231F20"/>
          <w:spacing w:val="-12"/>
        </w:rPr>
        <w:t> </w:t>
      </w:r>
      <w:r>
        <w:rPr>
          <w:color w:val="231F20"/>
        </w:rPr>
        <w:t>нами.</w:t>
      </w:r>
      <w:r>
        <w:rPr>
          <w:color w:val="231F20"/>
          <w:spacing w:val="-13"/>
        </w:rPr>
        <w:t> </w:t>
      </w:r>
      <w:r>
        <w:rPr>
          <w:color w:val="231F20"/>
        </w:rPr>
        <w:t>Можно выделить</w:t>
      </w:r>
      <w:r>
        <w:rPr>
          <w:color w:val="231F20"/>
          <w:spacing w:val="-3"/>
        </w:rPr>
        <w:t> </w:t>
      </w:r>
      <w:r>
        <w:rPr>
          <w:color w:val="231F20"/>
        </w:rPr>
        <w:t>следующие</w:t>
      </w:r>
      <w:r>
        <w:rPr>
          <w:color w:val="231F20"/>
          <w:spacing w:val="-2"/>
        </w:rPr>
        <w:t> </w:t>
      </w:r>
      <w:r>
        <w:rPr>
          <w:color w:val="231F20"/>
        </w:rPr>
        <w:t>основные</w:t>
      </w:r>
      <w:r>
        <w:rPr>
          <w:color w:val="231F20"/>
          <w:spacing w:val="-2"/>
        </w:rPr>
        <w:t> </w:t>
      </w:r>
      <w:r>
        <w:rPr>
          <w:color w:val="231F20"/>
        </w:rPr>
        <w:t>шаги</w:t>
      </w:r>
      <w:r>
        <w:rPr>
          <w:color w:val="231F20"/>
          <w:spacing w:val="-2"/>
        </w:rPr>
        <w:t> </w:t>
      </w:r>
      <w:r>
        <w:rPr>
          <w:color w:val="231F20"/>
        </w:rPr>
        <w:t>в</w:t>
      </w:r>
      <w:r>
        <w:rPr>
          <w:color w:val="231F20"/>
          <w:spacing w:val="-3"/>
        </w:rPr>
        <w:t> </w:t>
      </w:r>
      <w:r>
        <w:rPr>
          <w:color w:val="231F20"/>
        </w:rPr>
        <w:t>работе</w:t>
      </w:r>
      <w:r>
        <w:rPr>
          <w:color w:val="231F20"/>
          <w:spacing w:val="-2"/>
        </w:rPr>
        <w:t> </w:t>
      </w:r>
      <w:r>
        <w:rPr>
          <w:color w:val="231F20"/>
        </w:rPr>
        <w:t>психолога</w:t>
      </w:r>
      <w:r>
        <w:rPr>
          <w:color w:val="231F20"/>
          <w:spacing w:val="-2"/>
        </w:rPr>
        <w:t> </w:t>
      </w:r>
      <w:r>
        <w:rPr>
          <w:color w:val="231F20"/>
        </w:rPr>
        <w:t>с</w:t>
      </w:r>
      <w:r>
        <w:rPr>
          <w:color w:val="231F20"/>
          <w:spacing w:val="-2"/>
        </w:rPr>
        <w:t> </w:t>
      </w:r>
      <w:r>
        <w:rPr>
          <w:color w:val="231F20"/>
        </w:rPr>
        <w:t>инокультурным</w:t>
      </w:r>
      <w:r>
        <w:rPr>
          <w:color w:val="231F20"/>
          <w:spacing w:val="-2"/>
        </w:rPr>
        <w:t> ребенком</w:t>
      </w:r>
    </w:p>
    <w:p>
      <w:pPr>
        <w:pStyle w:val="BodyText"/>
        <w:spacing w:line="215" w:lineRule="exact"/>
        <w:ind w:right="0" w:firstLine="0"/>
      </w:pPr>
      <w:r>
        <w:rPr>
          <w:color w:val="231F20"/>
        </w:rPr>
        <w:t>(в</w:t>
      </w:r>
      <w:r>
        <w:rPr>
          <w:color w:val="231F20"/>
          <w:spacing w:val="-12"/>
        </w:rPr>
        <w:t> </w:t>
      </w:r>
      <w:r>
        <w:rPr>
          <w:color w:val="231F20"/>
        </w:rPr>
        <w:t>нашем</w:t>
      </w:r>
      <w:r>
        <w:rPr>
          <w:color w:val="231F20"/>
          <w:spacing w:val="-9"/>
        </w:rPr>
        <w:t> </w:t>
      </w:r>
      <w:r>
        <w:rPr>
          <w:color w:val="231F20"/>
        </w:rPr>
        <w:t>случае</w:t>
      </w:r>
      <w:r>
        <w:rPr>
          <w:color w:val="231F20"/>
          <w:spacing w:val="-9"/>
        </w:rPr>
        <w:t> </w:t>
      </w:r>
      <w:r>
        <w:rPr>
          <w:color w:val="231F20"/>
        </w:rPr>
        <w:t>в</w:t>
      </w:r>
      <w:r>
        <w:rPr>
          <w:color w:val="231F20"/>
          <w:spacing w:val="-10"/>
        </w:rPr>
        <w:t> </w:t>
      </w:r>
      <w:r>
        <w:rPr>
          <w:color w:val="231F20"/>
        </w:rPr>
        <w:t>качестве</w:t>
      </w:r>
      <w:r>
        <w:rPr>
          <w:color w:val="231F20"/>
          <w:spacing w:val="-9"/>
        </w:rPr>
        <w:t> </w:t>
      </w:r>
      <w:r>
        <w:rPr>
          <w:color w:val="231F20"/>
        </w:rPr>
        <w:t>такого</w:t>
      </w:r>
      <w:r>
        <w:rPr>
          <w:color w:val="231F20"/>
          <w:spacing w:val="-9"/>
        </w:rPr>
        <w:t> </w:t>
      </w:r>
      <w:r>
        <w:rPr>
          <w:color w:val="231F20"/>
        </w:rPr>
        <w:t>ребенка</w:t>
      </w:r>
      <w:r>
        <w:rPr>
          <w:color w:val="231F20"/>
          <w:spacing w:val="-10"/>
        </w:rPr>
        <w:t> </w:t>
      </w:r>
      <w:r>
        <w:rPr>
          <w:color w:val="231F20"/>
        </w:rPr>
        <w:t>будем</w:t>
      </w:r>
      <w:r>
        <w:rPr>
          <w:color w:val="231F20"/>
          <w:spacing w:val="-9"/>
        </w:rPr>
        <w:t> </w:t>
      </w:r>
      <w:r>
        <w:rPr>
          <w:color w:val="231F20"/>
        </w:rPr>
        <w:t>рассматривать</w:t>
      </w:r>
      <w:r>
        <w:rPr>
          <w:color w:val="231F20"/>
          <w:spacing w:val="-9"/>
        </w:rPr>
        <w:t> </w:t>
      </w:r>
      <w:r>
        <w:rPr>
          <w:color w:val="231F20"/>
        </w:rPr>
        <w:t>ребенка-</w:t>
      </w:r>
      <w:r>
        <w:rPr>
          <w:color w:val="231F20"/>
          <w:spacing w:val="-2"/>
        </w:rPr>
        <w:t>мигранта).</w:t>
      </w:r>
    </w:p>
    <w:p>
      <w:pPr>
        <w:pStyle w:val="ListParagraph"/>
        <w:numPr>
          <w:ilvl w:val="0"/>
          <w:numId w:val="51"/>
        </w:numPr>
        <w:tabs>
          <w:tab w:pos="367" w:val="left" w:leader="none"/>
          <w:tab w:pos="425" w:val="left" w:leader="none"/>
        </w:tabs>
        <w:spacing w:line="230" w:lineRule="auto" w:before="53" w:after="0"/>
        <w:ind w:left="425" w:right="139" w:hanging="284"/>
        <w:jc w:val="both"/>
        <w:rPr>
          <w:sz w:val="20"/>
        </w:rPr>
      </w:pPr>
      <w:r>
        <w:rPr>
          <w:color w:val="231F20"/>
          <w:sz w:val="20"/>
        </w:rPr>
        <w:t>Оценить, насколько проблемные вопросы связаны с культурными различиями и насколько они существенны для работы с ребенком.</w:t>
      </w:r>
    </w:p>
    <w:p>
      <w:pPr>
        <w:pStyle w:val="BodyText"/>
        <w:spacing w:line="230" w:lineRule="auto"/>
      </w:pPr>
      <w:r>
        <w:rPr>
          <w:color w:val="231F20"/>
          <w:spacing w:val="-2"/>
        </w:rPr>
        <w:t>Необходимо</w:t>
      </w:r>
      <w:r>
        <w:rPr>
          <w:color w:val="231F20"/>
          <w:spacing w:val="-8"/>
        </w:rPr>
        <w:t> </w:t>
      </w:r>
      <w:r>
        <w:rPr>
          <w:color w:val="231F20"/>
          <w:spacing w:val="-2"/>
        </w:rPr>
        <w:t>понимать,</w:t>
      </w:r>
      <w:r>
        <w:rPr>
          <w:color w:val="231F20"/>
          <w:spacing w:val="-8"/>
        </w:rPr>
        <w:t> </w:t>
      </w:r>
      <w:r>
        <w:rPr>
          <w:color w:val="231F20"/>
          <w:spacing w:val="-2"/>
        </w:rPr>
        <w:t>что</w:t>
      </w:r>
      <w:r>
        <w:rPr>
          <w:color w:val="231F20"/>
          <w:spacing w:val="-8"/>
        </w:rPr>
        <w:t> </w:t>
      </w:r>
      <w:r>
        <w:rPr>
          <w:color w:val="231F20"/>
          <w:spacing w:val="-2"/>
        </w:rPr>
        <w:t>во</w:t>
      </w:r>
      <w:r>
        <w:rPr>
          <w:color w:val="231F20"/>
          <w:spacing w:val="-8"/>
        </w:rPr>
        <w:t> </w:t>
      </w:r>
      <w:r>
        <w:rPr>
          <w:color w:val="231F20"/>
          <w:spacing w:val="-2"/>
        </w:rPr>
        <w:t>взаимодействии</w:t>
      </w:r>
      <w:r>
        <w:rPr>
          <w:color w:val="231F20"/>
          <w:spacing w:val="-9"/>
        </w:rPr>
        <w:t> </w:t>
      </w:r>
      <w:r>
        <w:rPr>
          <w:color w:val="231F20"/>
          <w:spacing w:val="-2"/>
        </w:rPr>
        <w:t>с</w:t>
      </w:r>
      <w:r>
        <w:rPr>
          <w:color w:val="231F20"/>
          <w:spacing w:val="-8"/>
        </w:rPr>
        <w:t> </w:t>
      </w:r>
      <w:r>
        <w:rPr>
          <w:color w:val="231F20"/>
          <w:spacing w:val="-2"/>
        </w:rPr>
        <w:t>ребенком-мигрантом</w:t>
      </w:r>
      <w:r>
        <w:rPr>
          <w:color w:val="231F20"/>
          <w:spacing w:val="-8"/>
        </w:rPr>
        <w:t> </w:t>
      </w:r>
      <w:r>
        <w:rPr>
          <w:color w:val="231F20"/>
          <w:spacing w:val="-2"/>
        </w:rPr>
        <w:t>перед</w:t>
      </w:r>
      <w:r>
        <w:rPr>
          <w:color w:val="231F20"/>
          <w:spacing w:val="-8"/>
        </w:rPr>
        <w:t> </w:t>
      </w:r>
      <w:r>
        <w:rPr>
          <w:color w:val="231F20"/>
          <w:spacing w:val="-2"/>
        </w:rPr>
        <w:t>психо- логом</w:t>
      </w:r>
      <w:r>
        <w:rPr>
          <w:color w:val="231F20"/>
          <w:spacing w:val="-8"/>
        </w:rPr>
        <w:t> </w:t>
      </w:r>
      <w:r>
        <w:rPr>
          <w:color w:val="231F20"/>
          <w:spacing w:val="-2"/>
        </w:rPr>
        <w:t>стоит</w:t>
      </w:r>
      <w:r>
        <w:rPr>
          <w:color w:val="231F20"/>
          <w:spacing w:val="-8"/>
        </w:rPr>
        <w:t> </w:t>
      </w:r>
      <w:r>
        <w:rPr>
          <w:color w:val="231F20"/>
          <w:spacing w:val="-2"/>
        </w:rPr>
        <w:t>задача</w:t>
      </w:r>
      <w:r>
        <w:rPr>
          <w:color w:val="231F20"/>
          <w:spacing w:val="-8"/>
        </w:rPr>
        <w:t> </w:t>
      </w:r>
      <w:r>
        <w:rPr>
          <w:color w:val="231F20"/>
          <w:spacing w:val="-2"/>
        </w:rPr>
        <w:t>понять,</w:t>
      </w:r>
      <w:r>
        <w:rPr>
          <w:color w:val="231F20"/>
          <w:spacing w:val="-8"/>
        </w:rPr>
        <w:t> </w:t>
      </w:r>
      <w:r>
        <w:rPr>
          <w:color w:val="231F20"/>
          <w:spacing w:val="-2"/>
        </w:rPr>
        <w:t>являются</w:t>
      </w:r>
      <w:r>
        <w:rPr>
          <w:color w:val="231F20"/>
          <w:spacing w:val="-8"/>
        </w:rPr>
        <w:t> </w:t>
      </w:r>
      <w:r>
        <w:rPr>
          <w:color w:val="231F20"/>
          <w:spacing w:val="-2"/>
        </w:rPr>
        <w:t>ли</w:t>
      </w:r>
      <w:r>
        <w:rPr>
          <w:color w:val="231F20"/>
          <w:spacing w:val="-8"/>
        </w:rPr>
        <w:t> </w:t>
      </w:r>
      <w:r>
        <w:rPr>
          <w:color w:val="231F20"/>
          <w:spacing w:val="-2"/>
        </w:rPr>
        <w:t>специфические</w:t>
      </w:r>
      <w:r>
        <w:rPr>
          <w:color w:val="231F20"/>
          <w:spacing w:val="-8"/>
        </w:rPr>
        <w:t> </w:t>
      </w:r>
      <w:r>
        <w:rPr>
          <w:color w:val="231F20"/>
          <w:spacing w:val="-2"/>
        </w:rPr>
        <w:t>характеристики</w:t>
      </w:r>
      <w:r>
        <w:rPr>
          <w:color w:val="231F20"/>
          <w:spacing w:val="-8"/>
        </w:rPr>
        <w:t> </w:t>
      </w:r>
      <w:r>
        <w:rPr>
          <w:color w:val="231F20"/>
          <w:spacing w:val="-2"/>
        </w:rPr>
        <w:t>ребенка,</w:t>
      </w:r>
      <w:r>
        <w:rPr>
          <w:color w:val="231F20"/>
          <w:spacing w:val="-8"/>
        </w:rPr>
        <w:t> </w:t>
      </w:r>
      <w:r>
        <w:rPr>
          <w:color w:val="231F20"/>
          <w:spacing w:val="-2"/>
        </w:rPr>
        <w:t>кото- рые</w:t>
      </w:r>
      <w:r>
        <w:rPr>
          <w:color w:val="231F20"/>
          <w:spacing w:val="-11"/>
        </w:rPr>
        <w:t> </w:t>
      </w:r>
      <w:r>
        <w:rPr>
          <w:color w:val="231F20"/>
          <w:spacing w:val="-2"/>
        </w:rPr>
        <w:t>специалист</w:t>
      </w:r>
      <w:r>
        <w:rPr>
          <w:color w:val="231F20"/>
          <w:spacing w:val="-10"/>
        </w:rPr>
        <w:t> </w:t>
      </w:r>
      <w:r>
        <w:rPr>
          <w:color w:val="231F20"/>
          <w:spacing w:val="-2"/>
        </w:rPr>
        <w:t>замечает,</w:t>
      </w:r>
      <w:r>
        <w:rPr>
          <w:color w:val="231F20"/>
          <w:spacing w:val="-11"/>
        </w:rPr>
        <w:t> </w:t>
      </w:r>
      <w:r>
        <w:rPr>
          <w:color w:val="231F20"/>
          <w:spacing w:val="-2"/>
        </w:rPr>
        <w:t>проявлением</w:t>
      </w:r>
      <w:r>
        <w:rPr>
          <w:color w:val="231F20"/>
          <w:spacing w:val="-10"/>
        </w:rPr>
        <w:t> </w:t>
      </w:r>
      <w:r>
        <w:rPr>
          <w:color w:val="231F20"/>
          <w:spacing w:val="-2"/>
        </w:rPr>
        <w:t>именно</w:t>
      </w:r>
      <w:r>
        <w:rPr>
          <w:color w:val="231F20"/>
          <w:spacing w:val="-11"/>
        </w:rPr>
        <w:t> </w:t>
      </w:r>
      <w:r>
        <w:rPr>
          <w:color w:val="231F20"/>
          <w:spacing w:val="-2"/>
        </w:rPr>
        <w:t>культурных</w:t>
      </w:r>
      <w:r>
        <w:rPr>
          <w:color w:val="231F20"/>
          <w:spacing w:val="-10"/>
        </w:rPr>
        <w:t> </w:t>
      </w:r>
      <w:r>
        <w:rPr>
          <w:color w:val="231F20"/>
          <w:spacing w:val="-2"/>
        </w:rPr>
        <w:t>характеристик,</w:t>
      </w:r>
      <w:r>
        <w:rPr>
          <w:color w:val="231F20"/>
          <w:spacing w:val="-11"/>
        </w:rPr>
        <w:t> </w:t>
      </w:r>
      <w:r>
        <w:rPr>
          <w:color w:val="231F20"/>
          <w:spacing w:val="-2"/>
        </w:rPr>
        <w:t>а</w:t>
      </w:r>
      <w:r>
        <w:rPr>
          <w:color w:val="231F20"/>
          <w:spacing w:val="-10"/>
        </w:rPr>
        <w:t> </w:t>
      </w:r>
      <w:r>
        <w:rPr>
          <w:color w:val="231F20"/>
          <w:spacing w:val="-2"/>
        </w:rPr>
        <w:t>не</w:t>
      </w:r>
      <w:r>
        <w:rPr>
          <w:color w:val="231F20"/>
          <w:spacing w:val="-11"/>
        </w:rPr>
        <w:t> </w:t>
      </w:r>
      <w:r>
        <w:rPr>
          <w:color w:val="231F20"/>
          <w:spacing w:val="-2"/>
        </w:rPr>
        <w:t>его</w:t>
      </w:r>
      <w:r>
        <w:rPr>
          <w:color w:val="231F20"/>
          <w:spacing w:val="-10"/>
        </w:rPr>
        <w:t> </w:t>
      </w:r>
      <w:r>
        <w:rPr>
          <w:color w:val="231F20"/>
          <w:spacing w:val="-2"/>
        </w:rPr>
        <w:t>ин- </w:t>
      </w:r>
      <w:r>
        <w:rPr>
          <w:color w:val="231F20"/>
        </w:rPr>
        <w:t>дивидуальных</w:t>
      </w:r>
      <w:r>
        <w:rPr>
          <w:color w:val="231F20"/>
          <w:spacing w:val="-7"/>
        </w:rPr>
        <w:t> </w:t>
      </w:r>
      <w:r>
        <w:rPr>
          <w:color w:val="231F20"/>
        </w:rPr>
        <w:t>особенностей.</w:t>
      </w:r>
      <w:r>
        <w:rPr>
          <w:color w:val="231F20"/>
          <w:spacing w:val="-7"/>
        </w:rPr>
        <w:t> </w:t>
      </w:r>
      <w:r>
        <w:rPr>
          <w:color w:val="231F20"/>
        </w:rPr>
        <w:t>Когда</w:t>
      </w:r>
      <w:r>
        <w:rPr>
          <w:color w:val="231F20"/>
          <w:spacing w:val="-7"/>
        </w:rPr>
        <w:t> </w:t>
      </w:r>
      <w:r>
        <w:rPr>
          <w:color w:val="231F20"/>
        </w:rPr>
        <w:t>у</w:t>
      </w:r>
      <w:r>
        <w:rPr>
          <w:color w:val="231F20"/>
          <w:spacing w:val="-7"/>
        </w:rPr>
        <w:t> </w:t>
      </w:r>
      <w:r>
        <w:rPr>
          <w:color w:val="231F20"/>
        </w:rPr>
        <w:t>психолога</w:t>
      </w:r>
      <w:r>
        <w:rPr>
          <w:color w:val="231F20"/>
          <w:spacing w:val="-7"/>
        </w:rPr>
        <w:t> </w:t>
      </w:r>
      <w:r>
        <w:rPr>
          <w:color w:val="231F20"/>
        </w:rPr>
        <w:t>имеется</w:t>
      </w:r>
      <w:r>
        <w:rPr>
          <w:color w:val="231F20"/>
          <w:spacing w:val="-7"/>
        </w:rPr>
        <w:t> </w:t>
      </w:r>
      <w:r>
        <w:rPr>
          <w:color w:val="231F20"/>
        </w:rPr>
        <w:t>определенный</w:t>
      </w:r>
      <w:r>
        <w:rPr>
          <w:color w:val="231F20"/>
          <w:spacing w:val="-7"/>
        </w:rPr>
        <w:t> </w:t>
      </w:r>
      <w:r>
        <w:rPr>
          <w:color w:val="231F20"/>
        </w:rPr>
        <w:t>опыт</w:t>
      </w:r>
      <w:r>
        <w:rPr>
          <w:color w:val="231F20"/>
          <w:spacing w:val="-7"/>
        </w:rPr>
        <w:t> </w:t>
      </w:r>
      <w:r>
        <w:rPr>
          <w:color w:val="231F20"/>
        </w:rPr>
        <w:t>работы </w:t>
      </w:r>
      <w:r>
        <w:rPr>
          <w:color w:val="231F20"/>
          <w:spacing w:val="-2"/>
        </w:rPr>
        <w:t>с</w:t>
      </w:r>
      <w:r>
        <w:rPr>
          <w:color w:val="231F20"/>
          <w:spacing w:val="-4"/>
        </w:rPr>
        <w:t> </w:t>
      </w:r>
      <w:r>
        <w:rPr>
          <w:color w:val="231F20"/>
          <w:spacing w:val="-2"/>
        </w:rPr>
        <w:t>детьми</w:t>
      </w:r>
      <w:r>
        <w:rPr>
          <w:color w:val="231F20"/>
          <w:spacing w:val="-4"/>
        </w:rPr>
        <w:t> </w:t>
      </w:r>
      <w:r>
        <w:rPr>
          <w:color w:val="231F20"/>
          <w:spacing w:val="-2"/>
        </w:rPr>
        <w:t>конкретной</w:t>
      </w:r>
      <w:r>
        <w:rPr>
          <w:color w:val="231F20"/>
          <w:spacing w:val="-4"/>
        </w:rPr>
        <w:t> </w:t>
      </w:r>
      <w:r>
        <w:rPr>
          <w:color w:val="231F20"/>
          <w:spacing w:val="-2"/>
        </w:rPr>
        <w:t>этнической</w:t>
      </w:r>
      <w:r>
        <w:rPr>
          <w:color w:val="231F20"/>
          <w:spacing w:val="-4"/>
        </w:rPr>
        <w:t> </w:t>
      </w:r>
      <w:r>
        <w:rPr>
          <w:color w:val="231F20"/>
          <w:spacing w:val="-2"/>
        </w:rPr>
        <w:t>группы,</w:t>
      </w:r>
      <w:r>
        <w:rPr>
          <w:color w:val="231F20"/>
          <w:spacing w:val="-4"/>
        </w:rPr>
        <w:t> </w:t>
      </w:r>
      <w:r>
        <w:rPr>
          <w:color w:val="231F20"/>
          <w:spacing w:val="-2"/>
        </w:rPr>
        <w:t>решить</w:t>
      </w:r>
      <w:r>
        <w:rPr>
          <w:color w:val="231F20"/>
          <w:spacing w:val="-4"/>
        </w:rPr>
        <w:t> </w:t>
      </w:r>
      <w:r>
        <w:rPr>
          <w:color w:val="231F20"/>
          <w:spacing w:val="-2"/>
        </w:rPr>
        <w:t>эту</w:t>
      </w:r>
      <w:r>
        <w:rPr>
          <w:color w:val="231F20"/>
          <w:spacing w:val="-4"/>
        </w:rPr>
        <w:t> </w:t>
      </w:r>
      <w:r>
        <w:rPr>
          <w:color w:val="231F20"/>
          <w:spacing w:val="-2"/>
        </w:rPr>
        <w:t>задачу</w:t>
      </w:r>
      <w:r>
        <w:rPr>
          <w:color w:val="231F20"/>
          <w:spacing w:val="-4"/>
        </w:rPr>
        <w:t> </w:t>
      </w:r>
      <w:r>
        <w:rPr>
          <w:color w:val="231F20"/>
          <w:spacing w:val="-2"/>
        </w:rPr>
        <w:t>проще.</w:t>
      </w:r>
      <w:r>
        <w:rPr>
          <w:color w:val="231F20"/>
          <w:spacing w:val="-4"/>
        </w:rPr>
        <w:t> </w:t>
      </w:r>
      <w:r>
        <w:rPr>
          <w:color w:val="231F20"/>
          <w:spacing w:val="-2"/>
        </w:rPr>
        <w:t>Так,</w:t>
      </w:r>
      <w:r>
        <w:rPr>
          <w:color w:val="231F20"/>
          <w:spacing w:val="-4"/>
        </w:rPr>
        <w:t> </w:t>
      </w:r>
      <w:r>
        <w:rPr>
          <w:color w:val="231F20"/>
          <w:spacing w:val="-2"/>
        </w:rPr>
        <w:t>специалисты, </w:t>
      </w:r>
      <w:r>
        <w:rPr>
          <w:color w:val="231F20"/>
        </w:rPr>
        <w:t>регулярно</w:t>
      </w:r>
      <w:r>
        <w:rPr>
          <w:color w:val="231F20"/>
          <w:spacing w:val="-4"/>
        </w:rPr>
        <w:t> </w:t>
      </w:r>
      <w:r>
        <w:rPr>
          <w:color w:val="231F20"/>
        </w:rPr>
        <w:t>работающие</w:t>
      </w:r>
      <w:r>
        <w:rPr>
          <w:color w:val="231F20"/>
          <w:spacing w:val="-4"/>
        </w:rPr>
        <w:t> </w:t>
      </w:r>
      <w:r>
        <w:rPr>
          <w:color w:val="231F20"/>
        </w:rPr>
        <w:t>с</w:t>
      </w:r>
      <w:r>
        <w:rPr>
          <w:color w:val="231F20"/>
          <w:spacing w:val="-4"/>
        </w:rPr>
        <w:t> </w:t>
      </w:r>
      <w:r>
        <w:rPr>
          <w:color w:val="231F20"/>
        </w:rPr>
        <w:t>детьми</w:t>
      </w:r>
      <w:r>
        <w:rPr>
          <w:color w:val="231F20"/>
          <w:spacing w:val="-4"/>
        </w:rPr>
        <w:t> </w:t>
      </w:r>
      <w:r>
        <w:rPr>
          <w:color w:val="231F20"/>
        </w:rPr>
        <w:t>из</w:t>
      </w:r>
      <w:r>
        <w:rPr>
          <w:color w:val="231F20"/>
          <w:spacing w:val="-4"/>
        </w:rPr>
        <w:t> </w:t>
      </w:r>
      <w:r>
        <w:rPr>
          <w:color w:val="231F20"/>
        </w:rPr>
        <w:t>мусульманских</w:t>
      </w:r>
      <w:r>
        <w:rPr>
          <w:color w:val="231F20"/>
          <w:spacing w:val="-4"/>
        </w:rPr>
        <w:t> </w:t>
      </w:r>
      <w:r>
        <w:rPr>
          <w:color w:val="231F20"/>
        </w:rPr>
        <w:t>семей,</w:t>
      </w:r>
      <w:r>
        <w:rPr>
          <w:color w:val="231F20"/>
          <w:spacing w:val="-4"/>
        </w:rPr>
        <w:t> </w:t>
      </w:r>
      <w:r>
        <w:rPr>
          <w:color w:val="231F20"/>
        </w:rPr>
        <w:t>знают,</w:t>
      </w:r>
      <w:r>
        <w:rPr>
          <w:color w:val="231F20"/>
          <w:spacing w:val="-4"/>
        </w:rPr>
        <w:t> </w:t>
      </w:r>
      <w:r>
        <w:rPr>
          <w:color w:val="231F20"/>
        </w:rPr>
        <w:t>что</w:t>
      </w:r>
      <w:r>
        <w:rPr>
          <w:color w:val="231F20"/>
          <w:spacing w:val="-4"/>
        </w:rPr>
        <w:t> </w:t>
      </w:r>
      <w:r>
        <w:rPr>
          <w:color w:val="231F20"/>
        </w:rPr>
        <w:t>дети,</w:t>
      </w:r>
      <w:r>
        <w:rPr>
          <w:color w:val="231F20"/>
          <w:spacing w:val="-4"/>
        </w:rPr>
        <w:t> </w:t>
      </w:r>
      <w:r>
        <w:rPr>
          <w:color w:val="231F20"/>
        </w:rPr>
        <w:t>родители </w:t>
      </w:r>
      <w:r>
        <w:rPr>
          <w:color w:val="231F20"/>
          <w:spacing w:val="-2"/>
        </w:rPr>
        <w:t>которых</w:t>
      </w:r>
      <w:r>
        <w:rPr>
          <w:color w:val="231F20"/>
          <w:spacing w:val="-11"/>
        </w:rPr>
        <w:t> </w:t>
      </w:r>
      <w:r>
        <w:rPr>
          <w:color w:val="231F20"/>
          <w:spacing w:val="-2"/>
        </w:rPr>
        <w:t>строго</w:t>
      </w:r>
      <w:r>
        <w:rPr>
          <w:color w:val="231F20"/>
          <w:spacing w:val="-10"/>
        </w:rPr>
        <w:t> </w:t>
      </w:r>
      <w:r>
        <w:rPr>
          <w:color w:val="231F20"/>
          <w:spacing w:val="-2"/>
        </w:rPr>
        <w:t>соблюдают</w:t>
      </w:r>
      <w:r>
        <w:rPr>
          <w:color w:val="231F20"/>
          <w:spacing w:val="-11"/>
        </w:rPr>
        <w:t> </w:t>
      </w:r>
      <w:r>
        <w:rPr>
          <w:color w:val="231F20"/>
          <w:spacing w:val="-2"/>
        </w:rPr>
        <w:t>нормы</w:t>
      </w:r>
      <w:r>
        <w:rPr>
          <w:color w:val="231F20"/>
          <w:spacing w:val="-10"/>
        </w:rPr>
        <w:t> </w:t>
      </w:r>
      <w:r>
        <w:rPr>
          <w:color w:val="231F20"/>
          <w:spacing w:val="-2"/>
        </w:rPr>
        <w:t>ислама,</w:t>
      </w:r>
      <w:r>
        <w:rPr>
          <w:color w:val="231F20"/>
          <w:spacing w:val="-11"/>
        </w:rPr>
        <w:t> </w:t>
      </w:r>
      <w:r>
        <w:rPr>
          <w:color w:val="231F20"/>
          <w:spacing w:val="-2"/>
        </w:rPr>
        <w:t>отказываются</w:t>
      </w:r>
      <w:r>
        <w:rPr>
          <w:color w:val="231F20"/>
          <w:spacing w:val="-10"/>
        </w:rPr>
        <w:t> </w:t>
      </w:r>
      <w:r>
        <w:rPr>
          <w:color w:val="231F20"/>
          <w:spacing w:val="-2"/>
        </w:rPr>
        <w:t>рисовать</w:t>
      </w:r>
      <w:r>
        <w:rPr>
          <w:color w:val="231F20"/>
          <w:spacing w:val="-11"/>
        </w:rPr>
        <w:t> </w:t>
      </w:r>
      <w:r>
        <w:rPr>
          <w:color w:val="231F20"/>
          <w:spacing w:val="-2"/>
        </w:rPr>
        <w:t>людей.</w:t>
      </w:r>
      <w:r>
        <w:rPr>
          <w:color w:val="231F20"/>
          <w:spacing w:val="-10"/>
        </w:rPr>
        <w:t> </w:t>
      </w:r>
      <w:r>
        <w:rPr>
          <w:color w:val="231F20"/>
          <w:spacing w:val="-2"/>
        </w:rPr>
        <w:t>Однако</w:t>
      </w:r>
      <w:r>
        <w:rPr>
          <w:color w:val="231F20"/>
          <w:spacing w:val="-11"/>
        </w:rPr>
        <w:t> </w:t>
      </w:r>
      <w:r>
        <w:rPr>
          <w:color w:val="231F20"/>
          <w:spacing w:val="-2"/>
        </w:rPr>
        <w:t>если </w:t>
      </w:r>
      <w:r>
        <w:rPr>
          <w:color w:val="231F20"/>
        </w:rPr>
        <w:t>у</w:t>
      </w:r>
      <w:r>
        <w:rPr>
          <w:color w:val="231F20"/>
          <w:spacing w:val="-10"/>
        </w:rPr>
        <w:t> </w:t>
      </w:r>
      <w:r>
        <w:rPr>
          <w:color w:val="231F20"/>
        </w:rPr>
        <w:t>психолога</w:t>
      </w:r>
      <w:r>
        <w:rPr>
          <w:color w:val="231F20"/>
          <w:spacing w:val="-10"/>
        </w:rPr>
        <w:t> </w:t>
      </w:r>
      <w:r>
        <w:rPr>
          <w:color w:val="231F20"/>
        </w:rPr>
        <w:t>недостаточно</w:t>
      </w:r>
      <w:r>
        <w:rPr>
          <w:color w:val="231F20"/>
          <w:spacing w:val="-10"/>
        </w:rPr>
        <w:t> </w:t>
      </w:r>
      <w:r>
        <w:rPr>
          <w:color w:val="231F20"/>
        </w:rPr>
        <w:t>опыта,</w:t>
      </w:r>
      <w:r>
        <w:rPr>
          <w:color w:val="231F20"/>
          <w:spacing w:val="-10"/>
        </w:rPr>
        <w:t> </w:t>
      </w:r>
      <w:r>
        <w:rPr>
          <w:color w:val="231F20"/>
        </w:rPr>
        <w:t>чтобы</w:t>
      </w:r>
      <w:r>
        <w:rPr>
          <w:color w:val="231F20"/>
          <w:spacing w:val="-10"/>
        </w:rPr>
        <w:t> </w:t>
      </w:r>
      <w:r>
        <w:rPr>
          <w:color w:val="231F20"/>
        </w:rPr>
        <w:t>определить,</w:t>
      </w:r>
      <w:r>
        <w:rPr>
          <w:color w:val="231F20"/>
          <w:spacing w:val="-10"/>
        </w:rPr>
        <w:t> </w:t>
      </w:r>
      <w:r>
        <w:rPr>
          <w:color w:val="231F20"/>
        </w:rPr>
        <w:t>имеет</w:t>
      </w:r>
      <w:r>
        <w:rPr>
          <w:color w:val="231F20"/>
          <w:spacing w:val="-10"/>
        </w:rPr>
        <w:t> </w:t>
      </w:r>
      <w:r>
        <w:rPr>
          <w:color w:val="231F20"/>
        </w:rPr>
        <w:t>ли</w:t>
      </w:r>
      <w:r>
        <w:rPr>
          <w:color w:val="231F20"/>
          <w:spacing w:val="-10"/>
        </w:rPr>
        <w:t> </w:t>
      </w:r>
      <w:r>
        <w:rPr>
          <w:color w:val="231F20"/>
        </w:rPr>
        <w:t>он</w:t>
      </w:r>
      <w:r>
        <w:rPr>
          <w:color w:val="231F20"/>
          <w:spacing w:val="-10"/>
        </w:rPr>
        <w:t> </w:t>
      </w:r>
      <w:r>
        <w:rPr>
          <w:color w:val="231F20"/>
        </w:rPr>
        <w:t>дело</w:t>
      </w:r>
      <w:r>
        <w:rPr>
          <w:color w:val="231F20"/>
          <w:spacing w:val="-10"/>
        </w:rPr>
        <w:t> </w:t>
      </w:r>
      <w:r>
        <w:rPr>
          <w:color w:val="231F20"/>
        </w:rPr>
        <w:t>с</w:t>
      </w:r>
      <w:r>
        <w:rPr>
          <w:color w:val="231F20"/>
          <w:spacing w:val="-10"/>
        </w:rPr>
        <w:t> </w:t>
      </w:r>
      <w:r>
        <w:rPr>
          <w:color w:val="231F20"/>
        </w:rPr>
        <w:t>культурными характеристиками или с личностными особенностями ребенка, следует проконсуль- тироваться</w:t>
      </w:r>
      <w:r>
        <w:rPr>
          <w:color w:val="231F20"/>
          <w:spacing w:val="-13"/>
        </w:rPr>
        <w:t> </w:t>
      </w:r>
      <w:r>
        <w:rPr>
          <w:color w:val="231F20"/>
        </w:rPr>
        <w:t>с</w:t>
      </w:r>
      <w:r>
        <w:rPr>
          <w:color w:val="231F20"/>
          <w:spacing w:val="-12"/>
        </w:rPr>
        <w:t> </w:t>
      </w:r>
      <w:r>
        <w:rPr>
          <w:color w:val="231F20"/>
        </w:rPr>
        <w:t>коллегами,</w:t>
      </w:r>
      <w:r>
        <w:rPr>
          <w:color w:val="231F20"/>
          <w:spacing w:val="-13"/>
        </w:rPr>
        <w:t> </w:t>
      </w:r>
      <w:r>
        <w:rPr>
          <w:color w:val="231F20"/>
        </w:rPr>
        <w:t>с</w:t>
      </w:r>
      <w:r>
        <w:rPr>
          <w:color w:val="231F20"/>
          <w:spacing w:val="-12"/>
        </w:rPr>
        <w:t> </w:t>
      </w:r>
      <w:r>
        <w:rPr>
          <w:color w:val="231F20"/>
        </w:rPr>
        <w:t>методистом</w:t>
      </w:r>
      <w:r>
        <w:rPr>
          <w:color w:val="231F20"/>
          <w:spacing w:val="-13"/>
        </w:rPr>
        <w:t> </w:t>
      </w:r>
      <w:r>
        <w:rPr>
          <w:color w:val="231F20"/>
        </w:rPr>
        <w:t>или</w:t>
      </w:r>
      <w:r>
        <w:rPr>
          <w:color w:val="231F20"/>
          <w:spacing w:val="-12"/>
        </w:rPr>
        <w:t> </w:t>
      </w:r>
      <w:r>
        <w:rPr>
          <w:color w:val="231F20"/>
        </w:rPr>
        <w:t>с</w:t>
      </w:r>
      <w:r>
        <w:rPr>
          <w:color w:val="231F20"/>
          <w:spacing w:val="-13"/>
        </w:rPr>
        <w:t> </w:t>
      </w:r>
      <w:r>
        <w:rPr>
          <w:color w:val="231F20"/>
        </w:rPr>
        <w:t>кем-то</w:t>
      </w:r>
      <w:r>
        <w:rPr>
          <w:color w:val="231F20"/>
          <w:spacing w:val="-12"/>
        </w:rPr>
        <w:t> </w:t>
      </w:r>
      <w:r>
        <w:rPr>
          <w:color w:val="231F20"/>
        </w:rPr>
        <w:t>из</w:t>
      </w:r>
      <w:r>
        <w:rPr>
          <w:color w:val="231F20"/>
          <w:spacing w:val="-13"/>
        </w:rPr>
        <w:t> </w:t>
      </w:r>
      <w:r>
        <w:rPr>
          <w:color w:val="231F20"/>
        </w:rPr>
        <w:t>представителей</w:t>
      </w:r>
      <w:r>
        <w:rPr>
          <w:color w:val="231F20"/>
          <w:spacing w:val="-12"/>
        </w:rPr>
        <w:t> </w:t>
      </w:r>
      <w:r>
        <w:rPr>
          <w:color w:val="231F20"/>
        </w:rPr>
        <w:t>данной</w:t>
      </w:r>
      <w:r>
        <w:rPr>
          <w:color w:val="231F20"/>
          <w:spacing w:val="-13"/>
        </w:rPr>
        <w:t> </w:t>
      </w:r>
      <w:r>
        <w:rPr>
          <w:color w:val="231F20"/>
        </w:rPr>
        <w:t>этниче- ской группы (например, с родителем, состоящим в родительском комитете).</w:t>
      </w:r>
    </w:p>
    <w:p>
      <w:pPr>
        <w:pStyle w:val="BodyText"/>
        <w:spacing w:line="232" w:lineRule="auto"/>
      </w:pPr>
      <w:r>
        <w:rPr>
          <w:color w:val="231F20"/>
        </w:rPr>
        <w:t>«Поскольку каждый случай своеобразен, не существует единого правила, когда включать в работу культурные аспекты, а когда не включать. Консультанты могут рассматривать ситуацию помощи со здоровой готовностью ошибаться и обсуждать свои ошибки с клиентом, если это возможно, а также с коллегами и супервизором» (Liu, Clay, 2002, p.183).</w:t>
      </w:r>
    </w:p>
    <w:p>
      <w:pPr>
        <w:pStyle w:val="ListParagraph"/>
        <w:numPr>
          <w:ilvl w:val="0"/>
          <w:numId w:val="51"/>
        </w:numPr>
        <w:tabs>
          <w:tab w:pos="425" w:val="left" w:leader="none"/>
        </w:tabs>
        <w:spacing w:line="232" w:lineRule="auto" w:before="51" w:after="0"/>
        <w:ind w:left="425" w:right="139" w:hanging="284"/>
        <w:jc w:val="both"/>
        <w:rPr>
          <w:sz w:val="20"/>
        </w:rPr>
      </w:pPr>
      <w:r>
        <w:rPr>
          <w:color w:val="231F20"/>
          <w:sz w:val="20"/>
        </w:rPr>
        <w:t>Собрать более подробную информацию, какие культурные нормы значимы для ребенка в данном случае.</w:t>
      </w:r>
    </w:p>
    <w:p>
      <w:pPr>
        <w:pStyle w:val="BodyText"/>
        <w:spacing w:line="230" w:lineRule="auto"/>
        <w:jc w:val="right"/>
      </w:pPr>
      <w:r>
        <w:rPr>
          <w:color w:val="231F20"/>
        </w:rPr>
        <w:t>Очень</w:t>
      </w:r>
      <w:r>
        <w:rPr>
          <w:color w:val="231F20"/>
          <w:spacing w:val="26"/>
        </w:rPr>
        <w:t> </w:t>
      </w:r>
      <w:r>
        <w:rPr>
          <w:color w:val="231F20"/>
        </w:rPr>
        <w:t>важно</w:t>
      </w:r>
      <w:r>
        <w:rPr>
          <w:color w:val="231F20"/>
          <w:spacing w:val="26"/>
        </w:rPr>
        <w:t> </w:t>
      </w:r>
      <w:r>
        <w:rPr>
          <w:color w:val="231F20"/>
        </w:rPr>
        <w:t>не</w:t>
      </w:r>
      <w:r>
        <w:rPr>
          <w:color w:val="231F20"/>
          <w:spacing w:val="26"/>
        </w:rPr>
        <w:t> </w:t>
      </w:r>
      <w:r>
        <w:rPr>
          <w:color w:val="231F20"/>
        </w:rPr>
        <w:t>просто</w:t>
      </w:r>
      <w:r>
        <w:rPr>
          <w:color w:val="231F20"/>
          <w:spacing w:val="26"/>
        </w:rPr>
        <w:t> </w:t>
      </w:r>
      <w:r>
        <w:rPr>
          <w:color w:val="231F20"/>
        </w:rPr>
        <w:t>собирать</w:t>
      </w:r>
      <w:r>
        <w:rPr>
          <w:color w:val="231F20"/>
          <w:spacing w:val="26"/>
        </w:rPr>
        <w:t> </w:t>
      </w:r>
      <w:r>
        <w:rPr>
          <w:color w:val="231F20"/>
        </w:rPr>
        <w:t>информацию,</w:t>
      </w:r>
      <w:r>
        <w:rPr>
          <w:color w:val="231F20"/>
          <w:spacing w:val="26"/>
        </w:rPr>
        <w:t> </w:t>
      </w:r>
      <w:r>
        <w:rPr>
          <w:color w:val="231F20"/>
        </w:rPr>
        <w:t>к</w:t>
      </w:r>
      <w:r>
        <w:rPr>
          <w:color w:val="231F20"/>
          <w:spacing w:val="26"/>
        </w:rPr>
        <w:t> </w:t>
      </w:r>
      <w:r>
        <w:rPr>
          <w:color w:val="231F20"/>
        </w:rPr>
        <w:t>какой</w:t>
      </w:r>
      <w:r>
        <w:rPr>
          <w:color w:val="231F20"/>
          <w:spacing w:val="26"/>
        </w:rPr>
        <w:t> </w:t>
      </w:r>
      <w:r>
        <w:rPr>
          <w:color w:val="231F20"/>
        </w:rPr>
        <w:t>культуре</w:t>
      </w:r>
      <w:r>
        <w:rPr>
          <w:color w:val="231F20"/>
          <w:spacing w:val="26"/>
        </w:rPr>
        <w:t> </w:t>
      </w:r>
      <w:r>
        <w:rPr>
          <w:color w:val="231F20"/>
        </w:rPr>
        <w:t>принадлежит ребенок, а разобраться, какое значение он придает своей этнической идентичности, ощущению сопричастности со страной исхода и пр. Психолог стремится получить ответы</w:t>
      </w:r>
      <w:r>
        <w:rPr>
          <w:color w:val="231F20"/>
          <w:spacing w:val="-13"/>
        </w:rPr>
        <w:t> </w:t>
      </w:r>
      <w:r>
        <w:rPr>
          <w:color w:val="231F20"/>
        </w:rPr>
        <w:t>на</w:t>
      </w:r>
      <w:r>
        <w:rPr>
          <w:color w:val="231F20"/>
          <w:spacing w:val="-12"/>
        </w:rPr>
        <w:t> </w:t>
      </w:r>
      <w:r>
        <w:rPr>
          <w:color w:val="231F20"/>
        </w:rPr>
        <w:t>такие</w:t>
      </w:r>
      <w:r>
        <w:rPr>
          <w:color w:val="231F20"/>
          <w:spacing w:val="-13"/>
        </w:rPr>
        <w:t> </w:t>
      </w:r>
      <w:r>
        <w:rPr>
          <w:color w:val="231F20"/>
        </w:rPr>
        <w:t>вопросы:</w:t>
      </w:r>
      <w:r>
        <w:rPr>
          <w:color w:val="231F20"/>
          <w:spacing w:val="-12"/>
        </w:rPr>
        <w:t> </w:t>
      </w:r>
      <w:r>
        <w:rPr>
          <w:color w:val="231F20"/>
        </w:rPr>
        <w:t>значима</w:t>
      </w:r>
      <w:r>
        <w:rPr>
          <w:color w:val="231F20"/>
          <w:spacing w:val="-13"/>
        </w:rPr>
        <w:t> </w:t>
      </w:r>
      <w:r>
        <w:rPr>
          <w:color w:val="231F20"/>
        </w:rPr>
        <w:t>ли</w:t>
      </w:r>
      <w:r>
        <w:rPr>
          <w:color w:val="231F20"/>
          <w:spacing w:val="-12"/>
        </w:rPr>
        <w:t> </w:t>
      </w:r>
      <w:r>
        <w:rPr>
          <w:color w:val="231F20"/>
        </w:rPr>
        <w:t>для</w:t>
      </w:r>
      <w:r>
        <w:rPr>
          <w:color w:val="231F20"/>
          <w:spacing w:val="-13"/>
        </w:rPr>
        <w:t> </w:t>
      </w:r>
      <w:r>
        <w:rPr>
          <w:color w:val="231F20"/>
        </w:rPr>
        <w:t>ребенка</w:t>
      </w:r>
      <w:r>
        <w:rPr>
          <w:color w:val="231F20"/>
          <w:spacing w:val="-12"/>
        </w:rPr>
        <w:t> </w:t>
      </w:r>
      <w:r>
        <w:rPr>
          <w:color w:val="231F20"/>
        </w:rPr>
        <w:t>его</w:t>
      </w:r>
      <w:r>
        <w:rPr>
          <w:color w:val="231F20"/>
          <w:spacing w:val="-13"/>
        </w:rPr>
        <w:t> </w:t>
      </w:r>
      <w:r>
        <w:rPr>
          <w:color w:val="231F20"/>
        </w:rPr>
        <w:t>родная</w:t>
      </w:r>
      <w:r>
        <w:rPr>
          <w:color w:val="231F20"/>
          <w:spacing w:val="-12"/>
        </w:rPr>
        <w:t> </w:t>
      </w:r>
      <w:r>
        <w:rPr>
          <w:color w:val="231F20"/>
        </w:rPr>
        <w:t>культура?</w:t>
      </w:r>
      <w:r>
        <w:rPr>
          <w:color w:val="231F20"/>
          <w:spacing w:val="-13"/>
        </w:rPr>
        <w:t> </w:t>
      </w:r>
      <w:r>
        <w:rPr>
          <w:color w:val="231F20"/>
        </w:rPr>
        <w:t>Насколько</w:t>
      </w:r>
      <w:r>
        <w:rPr>
          <w:color w:val="231F20"/>
          <w:spacing w:val="-12"/>
        </w:rPr>
        <w:t> </w:t>
      </w:r>
      <w:r>
        <w:rPr>
          <w:color w:val="231F20"/>
        </w:rPr>
        <w:t>его убеждения и установки отражают нормы этой культуры? Готов ли ребенок ставить под сомнение нормы своей культуры, или они рассматриваются им как нечто незы- блемое? Что для ребенка значит принадлежать к его культуре? Необходимо уделить больше</w:t>
      </w:r>
      <w:r>
        <w:rPr>
          <w:color w:val="231F20"/>
          <w:spacing w:val="18"/>
        </w:rPr>
        <w:t> </w:t>
      </w:r>
      <w:r>
        <w:rPr>
          <w:color w:val="231F20"/>
        </w:rPr>
        <w:t>внимания</w:t>
      </w:r>
      <w:r>
        <w:rPr>
          <w:color w:val="231F20"/>
          <w:spacing w:val="18"/>
        </w:rPr>
        <w:t> </w:t>
      </w:r>
      <w:r>
        <w:rPr>
          <w:color w:val="231F20"/>
        </w:rPr>
        <w:t>ситуациям,</w:t>
      </w:r>
      <w:r>
        <w:rPr>
          <w:color w:val="231F20"/>
          <w:spacing w:val="18"/>
        </w:rPr>
        <w:t> </w:t>
      </w:r>
      <w:r>
        <w:rPr>
          <w:color w:val="231F20"/>
        </w:rPr>
        <w:t>в</w:t>
      </w:r>
      <w:r>
        <w:rPr>
          <w:color w:val="231F20"/>
          <w:spacing w:val="18"/>
        </w:rPr>
        <w:t> </w:t>
      </w:r>
      <w:r>
        <w:rPr>
          <w:color w:val="231F20"/>
        </w:rPr>
        <w:t>которых</w:t>
      </w:r>
      <w:r>
        <w:rPr>
          <w:color w:val="231F20"/>
          <w:spacing w:val="18"/>
        </w:rPr>
        <w:t> </w:t>
      </w:r>
      <w:r>
        <w:rPr>
          <w:color w:val="231F20"/>
        </w:rPr>
        <w:t>ребенок</w:t>
      </w:r>
      <w:r>
        <w:rPr>
          <w:color w:val="231F20"/>
          <w:spacing w:val="18"/>
        </w:rPr>
        <w:t> </w:t>
      </w:r>
      <w:r>
        <w:rPr>
          <w:color w:val="231F20"/>
        </w:rPr>
        <w:t>сам</w:t>
      </w:r>
      <w:r>
        <w:rPr>
          <w:color w:val="231F20"/>
          <w:spacing w:val="18"/>
        </w:rPr>
        <w:t> </w:t>
      </w:r>
      <w:r>
        <w:rPr>
          <w:color w:val="231F20"/>
        </w:rPr>
        <w:t>предъявляет</w:t>
      </w:r>
      <w:r>
        <w:rPr>
          <w:color w:val="231F20"/>
          <w:spacing w:val="18"/>
        </w:rPr>
        <w:t> </w:t>
      </w:r>
      <w:r>
        <w:rPr>
          <w:color w:val="231F20"/>
        </w:rPr>
        <w:t>культурно-спец- ифическую информацию, например, говоря: «У нас так не делают». В этом случае психологу</w:t>
      </w:r>
      <w:r>
        <w:rPr>
          <w:color w:val="231F20"/>
          <w:spacing w:val="-4"/>
        </w:rPr>
        <w:t> </w:t>
      </w:r>
      <w:r>
        <w:rPr>
          <w:color w:val="231F20"/>
        </w:rPr>
        <w:t>крайне</w:t>
      </w:r>
      <w:r>
        <w:rPr>
          <w:color w:val="231F20"/>
          <w:spacing w:val="-5"/>
        </w:rPr>
        <w:t> </w:t>
      </w:r>
      <w:r>
        <w:rPr>
          <w:color w:val="231F20"/>
        </w:rPr>
        <w:t>важно</w:t>
      </w:r>
      <w:r>
        <w:rPr>
          <w:color w:val="231F20"/>
          <w:spacing w:val="-5"/>
        </w:rPr>
        <w:t> </w:t>
      </w:r>
      <w:r>
        <w:rPr>
          <w:color w:val="231F20"/>
        </w:rPr>
        <w:t>расспросить,</w:t>
      </w:r>
      <w:r>
        <w:rPr>
          <w:color w:val="231F20"/>
          <w:spacing w:val="-4"/>
        </w:rPr>
        <w:t> </w:t>
      </w:r>
      <w:r>
        <w:rPr>
          <w:color w:val="231F20"/>
        </w:rPr>
        <w:t>где</w:t>
      </w:r>
      <w:r>
        <w:rPr>
          <w:color w:val="231F20"/>
          <w:spacing w:val="-5"/>
        </w:rPr>
        <w:t> </w:t>
      </w:r>
      <w:r>
        <w:rPr>
          <w:color w:val="231F20"/>
        </w:rPr>
        <w:t>именно</w:t>
      </w:r>
      <w:r>
        <w:rPr>
          <w:color w:val="231F20"/>
          <w:spacing w:val="-4"/>
        </w:rPr>
        <w:t> </w:t>
      </w:r>
      <w:r>
        <w:rPr>
          <w:color w:val="231F20"/>
        </w:rPr>
        <w:t>«у</w:t>
      </w:r>
      <w:r>
        <w:rPr>
          <w:color w:val="231F20"/>
          <w:spacing w:val="-5"/>
        </w:rPr>
        <w:t> </w:t>
      </w:r>
      <w:r>
        <w:rPr>
          <w:color w:val="231F20"/>
        </w:rPr>
        <w:t>нас»</w:t>
      </w:r>
      <w:r>
        <w:rPr>
          <w:color w:val="231F20"/>
          <w:spacing w:val="-5"/>
        </w:rPr>
        <w:t> </w:t>
      </w:r>
      <w:r>
        <w:rPr>
          <w:color w:val="231F20"/>
        </w:rPr>
        <w:t>и</w:t>
      </w:r>
      <w:r>
        <w:rPr>
          <w:color w:val="231F20"/>
          <w:spacing w:val="-5"/>
        </w:rPr>
        <w:t> </w:t>
      </w:r>
      <w:r>
        <w:rPr>
          <w:color w:val="231F20"/>
        </w:rPr>
        <w:t>как</w:t>
      </w:r>
      <w:r>
        <w:rPr>
          <w:color w:val="231F20"/>
          <w:spacing w:val="-5"/>
        </w:rPr>
        <w:t> </w:t>
      </w:r>
      <w:r>
        <w:rPr>
          <w:color w:val="231F20"/>
        </w:rPr>
        <w:t>именно</w:t>
      </w:r>
      <w:r>
        <w:rPr>
          <w:color w:val="231F20"/>
          <w:spacing w:val="-4"/>
        </w:rPr>
        <w:t> </w:t>
      </w:r>
      <w:r>
        <w:rPr>
          <w:color w:val="231F20"/>
        </w:rPr>
        <w:t>«не</w:t>
      </w:r>
      <w:r>
        <w:rPr>
          <w:color w:val="231F20"/>
          <w:spacing w:val="-5"/>
        </w:rPr>
        <w:t> </w:t>
      </w:r>
      <w:r>
        <w:rPr>
          <w:color w:val="231F20"/>
        </w:rPr>
        <w:t>делают». На этом этапе работы психолог может использовать приемы обсуждения трудно- стей,</w:t>
      </w:r>
      <w:r>
        <w:rPr>
          <w:color w:val="231F20"/>
          <w:spacing w:val="-7"/>
        </w:rPr>
        <w:t> </w:t>
      </w:r>
      <w:r>
        <w:rPr>
          <w:color w:val="231F20"/>
        </w:rPr>
        <w:t>связанных</w:t>
      </w:r>
      <w:r>
        <w:rPr>
          <w:color w:val="231F20"/>
          <w:spacing w:val="-5"/>
        </w:rPr>
        <w:t> </w:t>
      </w:r>
      <w:r>
        <w:rPr>
          <w:color w:val="231F20"/>
        </w:rPr>
        <w:t>со</w:t>
      </w:r>
      <w:r>
        <w:rPr>
          <w:color w:val="231F20"/>
          <w:spacing w:val="-5"/>
        </w:rPr>
        <w:t> </w:t>
      </w:r>
      <w:r>
        <w:rPr>
          <w:color w:val="231F20"/>
        </w:rPr>
        <w:t>становлением</w:t>
      </w:r>
      <w:r>
        <w:rPr>
          <w:color w:val="231F20"/>
          <w:spacing w:val="-4"/>
        </w:rPr>
        <w:t> </w:t>
      </w:r>
      <w:r>
        <w:rPr>
          <w:color w:val="231F20"/>
        </w:rPr>
        <w:t>этнической,</w:t>
      </w:r>
      <w:r>
        <w:rPr>
          <w:color w:val="231F20"/>
          <w:spacing w:val="-5"/>
        </w:rPr>
        <w:t> </w:t>
      </w:r>
      <w:r>
        <w:rPr>
          <w:color w:val="231F20"/>
        </w:rPr>
        <w:t>культурной</w:t>
      </w:r>
      <w:r>
        <w:rPr>
          <w:color w:val="231F20"/>
          <w:spacing w:val="-5"/>
        </w:rPr>
        <w:t> </w:t>
      </w:r>
      <w:r>
        <w:rPr>
          <w:color w:val="231F20"/>
        </w:rPr>
        <w:t>и</w:t>
      </w:r>
      <w:r>
        <w:rPr>
          <w:color w:val="231F20"/>
          <w:spacing w:val="-5"/>
        </w:rPr>
        <w:t> </w:t>
      </w:r>
      <w:r>
        <w:rPr>
          <w:color w:val="231F20"/>
        </w:rPr>
        <w:t>гражданской</w:t>
      </w:r>
      <w:r>
        <w:rPr>
          <w:color w:val="231F20"/>
          <w:spacing w:val="-4"/>
        </w:rPr>
        <w:t> </w:t>
      </w:r>
      <w:r>
        <w:rPr>
          <w:color w:val="231F20"/>
          <w:spacing w:val="-2"/>
        </w:rPr>
        <w:t>идентично-</w:t>
      </w:r>
    </w:p>
    <w:p>
      <w:pPr>
        <w:pStyle w:val="BodyText"/>
        <w:spacing w:line="223" w:lineRule="exact"/>
        <w:ind w:right="0" w:firstLine="0"/>
      </w:pPr>
      <w:r>
        <w:rPr>
          <w:color w:val="231F20"/>
        </w:rPr>
        <w:t>сти</w:t>
      </w:r>
      <w:r>
        <w:rPr>
          <w:color w:val="231F20"/>
          <w:spacing w:val="-2"/>
        </w:rPr>
        <w:t> </w:t>
      </w:r>
      <w:r>
        <w:rPr>
          <w:color w:val="231F20"/>
        </w:rPr>
        <w:t>(см.</w:t>
      </w:r>
      <w:r>
        <w:rPr>
          <w:color w:val="231F20"/>
          <w:spacing w:val="-1"/>
        </w:rPr>
        <w:t> </w:t>
      </w:r>
      <w:r>
        <w:rPr>
          <w:color w:val="231F20"/>
          <w:spacing w:val="-2"/>
        </w:rPr>
        <w:t>Инструментарий).</w:t>
      </w:r>
    </w:p>
    <w:p>
      <w:pPr>
        <w:pStyle w:val="BodyText"/>
        <w:spacing w:after="0" w:line="223" w:lineRule="exact"/>
        <w:sectPr>
          <w:pgSz w:w="8400" w:h="11910"/>
          <w:pgMar w:header="0" w:footer="528" w:top="400" w:bottom="720" w:left="425" w:right="425"/>
        </w:sectPr>
      </w:pPr>
    </w:p>
    <w:p>
      <w:pPr>
        <w:pStyle w:val="ListParagraph"/>
        <w:numPr>
          <w:ilvl w:val="1"/>
          <w:numId w:val="52"/>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Учет</w:t>
      </w:r>
      <w:r>
        <w:rPr>
          <w:rFonts w:ascii="Georgia" w:hAnsi="Georgia"/>
          <w:color w:val="231F20"/>
          <w:spacing w:val="11"/>
          <w:sz w:val="18"/>
        </w:rPr>
        <w:t> </w:t>
      </w:r>
      <w:r>
        <w:rPr>
          <w:rFonts w:ascii="Georgia" w:hAnsi="Georgia"/>
          <w:color w:val="231F20"/>
          <w:sz w:val="18"/>
        </w:rPr>
        <w:t>культурно-специфических</w:t>
      </w:r>
      <w:r>
        <w:rPr>
          <w:rFonts w:ascii="Georgia" w:hAnsi="Georgia"/>
          <w:color w:val="231F20"/>
          <w:spacing w:val="12"/>
          <w:sz w:val="18"/>
        </w:rPr>
        <w:t> </w:t>
      </w:r>
      <w:r>
        <w:rPr>
          <w:rFonts w:ascii="Georgia" w:hAnsi="Georgia"/>
          <w:color w:val="231F20"/>
          <w:sz w:val="18"/>
        </w:rPr>
        <w:t>факторов</w:t>
      </w:r>
      <w:r>
        <w:rPr>
          <w:rFonts w:ascii="Georgia" w:hAnsi="Georgia"/>
          <w:color w:val="231F20"/>
          <w:spacing w:val="12"/>
          <w:sz w:val="18"/>
        </w:rPr>
        <w:t> </w:t>
      </w:r>
      <w:r>
        <w:rPr>
          <w:rFonts w:ascii="Georgia" w:hAnsi="Georgia"/>
          <w:color w:val="231F20"/>
          <w:sz w:val="18"/>
        </w:rPr>
        <w:t>в</w:t>
      </w:r>
      <w:r>
        <w:rPr>
          <w:rFonts w:ascii="Georgia" w:hAnsi="Georgia"/>
          <w:color w:val="231F20"/>
          <w:spacing w:val="12"/>
          <w:sz w:val="18"/>
        </w:rPr>
        <w:t> </w:t>
      </w:r>
      <w:r>
        <w:rPr>
          <w:rFonts w:ascii="Georgia" w:hAnsi="Georgia"/>
          <w:color w:val="231F20"/>
          <w:sz w:val="18"/>
        </w:rPr>
        <w:t>консультативной</w:t>
      </w:r>
      <w:r>
        <w:rPr>
          <w:rFonts w:ascii="Georgia" w:hAnsi="Georgia"/>
          <w:color w:val="231F20"/>
          <w:spacing w:val="12"/>
          <w:sz w:val="18"/>
        </w:rPr>
        <w:t> </w:t>
      </w:r>
      <w:r>
        <w:rPr>
          <w:rFonts w:ascii="Georgia" w:hAnsi="Georgia"/>
          <w:color w:val="231F20"/>
          <w:sz w:val="18"/>
        </w:rPr>
        <w:t>и</w:t>
      </w:r>
      <w:r>
        <w:rPr>
          <w:rFonts w:ascii="Georgia" w:hAnsi="Georgia"/>
          <w:color w:val="231F20"/>
          <w:spacing w:val="12"/>
          <w:sz w:val="18"/>
        </w:rPr>
        <w:t> </w:t>
      </w:r>
      <w:r>
        <w:rPr>
          <w:rFonts w:ascii="Georgia" w:hAnsi="Georgia"/>
          <w:color w:val="231F20"/>
          <w:spacing w:val="-2"/>
          <w:sz w:val="18"/>
        </w:rPr>
        <w:t>коррекционной...</w:t>
      </w:r>
    </w:p>
    <w:p>
      <w:pPr>
        <w:pStyle w:val="ListParagraph"/>
        <w:numPr>
          <w:ilvl w:val="0"/>
          <w:numId w:val="51"/>
        </w:numPr>
        <w:tabs>
          <w:tab w:pos="425" w:val="left" w:leader="none"/>
        </w:tabs>
        <w:spacing w:line="235" w:lineRule="auto" w:before="116" w:after="0"/>
        <w:ind w:left="425" w:right="139" w:hanging="284"/>
        <w:jc w:val="both"/>
        <w:rPr>
          <w:sz w:val="20"/>
        </w:rPr>
      </w:pPr>
      <w:r>
        <w:rPr>
          <w:color w:val="231F20"/>
          <w:spacing w:val="-2"/>
          <w:sz w:val="20"/>
        </w:rPr>
        <w:t>Проанализировать</w:t>
      </w:r>
      <w:r>
        <w:rPr>
          <w:color w:val="231F20"/>
          <w:spacing w:val="-3"/>
          <w:sz w:val="20"/>
        </w:rPr>
        <w:t> </w:t>
      </w:r>
      <w:r>
        <w:rPr>
          <w:color w:val="231F20"/>
          <w:spacing w:val="-2"/>
          <w:sz w:val="20"/>
        </w:rPr>
        <w:t>планируемые</w:t>
      </w:r>
      <w:r>
        <w:rPr>
          <w:color w:val="231F20"/>
          <w:spacing w:val="-3"/>
          <w:sz w:val="20"/>
        </w:rPr>
        <w:t> </w:t>
      </w:r>
      <w:r>
        <w:rPr>
          <w:color w:val="231F20"/>
          <w:spacing w:val="-2"/>
          <w:sz w:val="20"/>
        </w:rPr>
        <w:t>для</w:t>
      </w:r>
      <w:r>
        <w:rPr>
          <w:color w:val="231F20"/>
          <w:spacing w:val="-3"/>
          <w:sz w:val="20"/>
        </w:rPr>
        <w:t> </w:t>
      </w:r>
      <w:r>
        <w:rPr>
          <w:color w:val="231F20"/>
          <w:spacing w:val="-2"/>
          <w:sz w:val="20"/>
        </w:rPr>
        <w:t>работы</w:t>
      </w:r>
      <w:r>
        <w:rPr>
          <w:color w:val="231F20"/>
          <w:spacing w:val="-3"/>
          <w:sz w:val="20"/>
        </w:rPr>
        <w:t> </w:t>
      </w:r>
      <w:r>
        <w:rPr>
          <w:color w:val="231F20"/>
          <w:spacing w:val="-2"/>
          <w:sz w:val="20"/>
        </w:rPr>
        <w:t>с</w:t>
      </w:r>
      <w:r>
        <w:rPr>
          <w:color w:val="231F20"/>
          <w:spacing w:val="-3"/>
          <w:sz w:val="20"/>
        </w:rPr>
        <w:t> </w:t>
      </w:r>
      <w:r>
        <w:rPr>
          <w:color w:val="231F20"/>
          <w:spacing w:val="-2"/>
          <w:sz w:val="20"/>
        </w:rPr>
        <w:t>данным</w:t>
      </w:r>
      <w:r>
        <w:rPr>
          <w:color w:val="231F20"/>
          <w:spacing w:val="-3"/>
          <w:sz w:val="20"/>
        </w:rPr>
        <w:t> </w:t>
      </w:r>
      <w:r>
        <w:rPr>
          <w:color w:val="231F20"/>
          <w:spacing w:val="-2"/>
          <w:sz w:val="20"/>
        </w:rPr>
        <w:t>ребенком</w:t>
      </w:r>
      <w:r>
        <w:rPr>
          <w:color w:val="231F20"/>
          <w:spacing w:val="-3"/>
          <w:sz w:val="20"/>
        </w:rPr>
        <w:t> </w:t>
      </w:r>
      <w:r>
        <w:rPr>
          <w:color w:val="231F20"/>
          <w:spacing w:val="-2"/>
          <w:sz w:val="20"/>
        </w:rPr>
        <w:t>техники</w:t>
      </w:r>
      <w:r>
        <w:rPr>
          <w:color w:val="231F20"/>
          <w:spacing w:val="-3"/>
          <w:sz w:val="20"/>
        </w:rPr>
        <w:t> </w:t>
      </w:r>
      <w:r>
        <w:rPr>
          <w:color w:val="231F20"/>
          <w:spacing w:val="-2"/>
          <w:sz w:val="20"/>
        </w:rPr>
        <w:t>и</w:t>
      </w:r>
      <w:r>
        <w:rPr>
          <w:color w:val="231F20"/>
          <w:spacing w:val="-3"/>
          <w:sz w:val="20"/>
        </w:rPr>
        <w:t> </w:t>
      </w:r>
      <w:r>
        <w:rPr>
          <w:color w:val="231F20"/>
          <w:spacing w:val="-2"/>
          <w:sz w:val="20"/>
        </w:rPr>
        <w:t>адапти- </w:t>
      </w:r>
      <w:r>
        <w:rPr>
          <w:color w:val="231F20"/>
          <w:sz w:val="20"/>
        </w:rPr>
        <w:t>ровать их с учетом информации, полученной на предыдущем этапе.</w:t>
      </w:r>
    </w:p>
    <w:p>
      <w:pPr>
        <w:pStyle w:val="BodyText"/>
        <w:spacing w:line="235" w:lineRule="auto" w:before="1"/>
      </w:pPr>
      <w:r>
        <w:rPr>
          <w:color w:val="231F20"/>
        </w:rPr>
        <w:t>Так, например, в случае работы с ребенком из семьи, исповедующей ислам, пси- хологу</w:t>
      </w:r>
      <w:r>
        <w:rPr>
          <w:color w:val="231F20"/>
          <w:spacing w:val="-13"/>
        </w:rPr>
        <w:t> </w:t>
      </w:r>
      <w:r>
        <w:rPr>
          <w:color w:val="231F20"/>
        </w:rPr>
        <w:t>целесообразно</w:t>
      </w:r>
      <w:r>
        <w:rPr>
          <w:color w:val="231F20"/>
          <w:spacing w:val="-12"/>
        </w:rPr>
        <w:t> </w:t>
      </w:r>
      <w:r>
        <w:rPr>
          <w:color w:val="231F20"/>
        </w:rPr>
        <w:t>отказаться</w:t>
      </w:r>
      <w:r>
        <w:rPr>
          <w:color w:val="231F20"/>
          <w:spacing w:val="-13"/>
        </w:rPr>
        <w:t> </w:t>
      </w:r>
      <w:r>
        <w:rPr>
          <w:color w:val="231F20"/>
        </w:rPr>
        <w:t>от</w:t>
      </w:r>
      <w:r>
        <w:rPr>
          <w:color w:val="231F20"/>
          <w:spacing w:val="-12"/>
        </w:rPr>
        <w:t> </w:t>
      </w:r>
      <w:r>
        <w:rPr>
          <w:color w:val="231F20"/>
        </w:rPr>
        <w:t>активностей,</w:t>
      </w:r>
      <w:r>
        <w:rPr>
          <w:color w:val="231F20"/>
          <w:spacing w:val="-13"/>
        </w:rPr>
        <w:t> </w:t>
      </w:r>
      <w:r>
        <w:rPr>
          <w:color w:val="231F20"/>
        </w:rPr>
        <w:t>где</w:t>
      </w:r>
      <w:r>
        <w:rPr>
          <w:color w:val="231F20"/>
          <w:spacing w:val="-12"/>
        </w:rPr>
        <w:t> </w:t>
      </w:r>
      <w:r>
        <w:rPr>
          <w:color w:val="231F20"/>
        </w:rPr>
        <w:t>ребенку</w:t>
      </w:r>
      <w:r>
        <w:rPr>
          <w:color w:val="231F20"/>
          <w:spacing w:val="-13"/>
        </w:rPr>
        <w:t> </w:t>
      </w:r>
      <w:r>
        <w:rPr>
          <w:color w:val="231F20"/>
        </w:rPr>
        <w:t>предстоит</w:t>
      </w:r>
      <w:r>
        <w:rPr>
          <w:color w:val="231F20"/>
          <w:spacing w:val="-12"/>
        </w:rPr>
        <w:t> </w:t>
      </w:r>
      <w:r>
        <w:rPr>
          <w:color w:val="231F20"/>
        </w:rPr>
        <w:t>рисовать</w:t>
      </w:r>
      <w:r>
        <w:rPr>
          <w:color w:val="231F20"/>
          <w:spacing w:val="-13"/>
        </w:rPr>
        <w:t> </w:t>
      </w:r>
      <w:r>
        <w:rPr>
          <w:color w:val="231F20"/>
        </w:rPr>
        <w:t>лю- дей,</w:t>
      </w:r>
      <w:r>
        <w:rPr>
          <w:color w:val="231F20"/>
          <w:spacing w:val="-9"/>
        </w:rPr>
        <w:t> </w:t>
      </w:r>
      <w:r>
        <w:rPr>
          <w:color w:val="231F20"/>
        </w:rPr>
        <w:t>и,</w:t>
      </w:r>
      <w:r>
        <w:rPr>
          <w:color w:val="231F20"/>
          <w:spacing w:val="-9"/>
        </w:rPr>
        <w:t> </w:t>
      </w:r>
      <w:r>
        <w:rPr>
          <w:color w:val="231F20"/>
        </w:rPr>
        <w:t>скажем,</w:t>
      </w:r>
      <w:r>
        <w:rPr>
          <w:color w:val="231F20"/>
          <w:spacing w:val="-9"/>
        </w:rPr>
        <w:t> </w:t>
      </w:r>
      <w:r>
        <w:rPr>
          <w:color w:val="231F20"/>
        </w:rPr>
        <w:t>заменить</w:t>
      </w:r>
      <w:r>
        <w:rPr>
          <w:color w:val="231F20"/>
          <w:spacing w:val="-9"/>
        </w:rPr>
        <w:t> </w:t>
      </w:r>
      <w:r>
        <w:rPr>
          <w:color w:val="231F20"/>
        </w:rPr>
        <w:t>людей</w:t>
      </w:r>
      <w:r>
        <w:rPr>
          <w:color w:val="231F20"/>
          <w:spacing w:val="-9"/>
        </w:rPr>
        <w:t> </w:t>
      </w:r>
      <w:r>
        <w:rPr>
          <w:color w:val="231F20"/>
        </w:rPr>
        <w:t>геометрическими</w:t>
      </w:r>
      <w:r>
        <w:rPr>
          <w:color w:val="231F20"/>
          <w:spacing w:val="-9"/>
        </w:rPr>
        <w:t> </w:t>
      </w:r>
      <w:r>
        <w:rPr>
          <w:color w:val="231F20"/>
        </w:rPr>
        <w:t>фигурами,</w:t>
      </w:r>
      <w:r>
        <w:rPr>
          <w:color w:val="231F20"/>
          <w:spacing w:val="-9"/>
        </w:rPr>
        <w:t> </w:t>
      </w:r>
      <w:r>
        <w:rPr>
          <w:color w:val="231F20"/>
        </w:rPr>
        <w:t>или</w:t>
      </w:r>
      <w:r>
        <w:rPr>
          <w:color w:val="231F20"/>
          <w:spacing w:val="-9"/>
        </w:rPr>
        <w:t> </w:t>
      </w:r>
      <w:r>
        <w:rPr>
          <w:color w:val="231F20"/>
        </w:rPr>
        <w:t>вместо</w:t>
      </w:r>
      <w:r>
        <w:rPr>
          <w:color w:val="231F20"/>
          <w:spacing w:val="-9"/>
        </w:rPr>
        <w:t> </w:t>
      </w:r>
      <w:r>
        <w:rPr>
          <w:color w:val="231F20"/>
        </w:rPr>
        <w:t>арт-терапев- тических практик рассмотреть нарративные.</w:t>
      </w:r>
    </w:p>
    <w:p>
      <w:pPr>
        <w:pStyle w:val="ListParagraph"/>
        <w:numPr>
          <w:ilvl w:val="0"/>
          <w:numId w:val="51"/>
        </w:numPr>
        <w:tabs>
          <w:tab w:pos="425" w:val="left" w:leader="none"/>
        </w:tabs>
        <w:spacing w:line="235" w:lineRule="auto" w:before="59" w:after="0"/>
        <w:ind w:left="425" w:right="139" w:hanging="284"/>
        <w:jc w:val="both"/>
        <w:rPr>
          <w:sz w:val="20"/>
        </w:rPr>
      </w:pPr>
      <w:r>
        <w:rPr>
          <w:color w:val="231F20"/>
          <w:sz w:val="20"/>
        </w:rPr>
        <w:t>Реализовать с ребенком запланированные активности, рассматривая культурные нормы как ресурсы и сильные стороны ребенка.</w:t>
      </w:r>
    </w:p>
    <w:p>
      <w:pPr>
        <w:pStyle w:val="BodyText"/>
        <w:spacing w:line="235" w:lineRule="auto" w:before="1"/>
      </w:pPr>
      <w:r>
        <w:rPr>
          <w:color w:val="231F20"/>
        </w:rPr>
        <w:t>Е.В.</w:t>
      </w:r>
      <w:r>
        <w:rPr>
          <w:color w:val="231F20"/>
          <w:spacing w:val="-6"/>
        </w:rPr>
        <w:t> </w:t>
      </w:r>
      <w:r>
        <w:rPr>
          <w:color w:val="231F20"/>
        </w:rPr>
        <w:t>Копосова и И.Г.</w:t>
      </w:r>
      <w:r>
        <w:rPr>
          <w:color w:val="231F20"/>
          <w:spacing w:val="-6"/>
        </w:rPr>
        <w:t> </w:t>
      </w:r>
      <w:r>
        <w:rPr>
          <w:color w:val="231F20"/>
        </w:rPr>
        <w:t>Сошникова приводят такой пример. Ребенок-мигрант из Средней Азии «во время консультации с психологом рассказал, что ему пришлось нарушить запрет есть свинину». Мальчик находился в стрессовом состоянии, пото- му что не знал, как сказать об этом дедушке, испытывал страх перед наказанием. Психолог</w:t>
      </w:r>
      <w:r>
        <w:rPr>
          <w:color w:val="231F20"/>
          <w:spacing w:val="-3"/>
        </w:rPr>
        <w:t> </w:t>
      </w:r>
      <w:r>
        <w:rPr>
          <w:color w:val="231F20"/>
        </w:rPr>
        <w:t>сослался</w:t>
      </w:r>
      <w:r>
        <w:rPr>
          <w:color w:val="231F20"/>
          <w:spacing w:val="-3"/>
        </w:rPr>
        <w:t> </w:t>
      </w:r>
      <w:r>
        <w:rPr>
          <w:color w:val="231F20"/>
        </w:rPr>
        <w:t>на</w:t>
      </w:r>
      <w:r>
        <w:rPr>
          <w:color w:val="231F20"/>
          <w:spacing w:val="-3"/>
        </w:rPr>
        <w:t> </w:t>
      </w:r>
      <w:r>
        <w:rPr>
          <w:color w:val="231F20"/>
        </w:rPr>
        <w:t>Священное</w:t>
      </w:r>
      <w:r>
        <w:rPr>
          <w:color w:val="231F20"/>
          <w:spacing w:val="-3"/>
        </w:rPr>
        <w:t> </w:t>
      </w:r>
      <w:r>
        <w:rPr>
          <w:color w:val="231F20"/>
        </w:rPr>
        <w:t>Писание,</w:t>
      </w:r>
      <w:r>
        <w:rPr>
          <w:color w:val="231F20"/>
          <w:spacing w:val="-3"/>
        </w:rPr>
        <w:t> </w:t>
      </w:r>
      <w:r>
        <w:rPr>
          <w:color w:val="231F20"/>
        </w:rPr>
        <w:t>где</w:t>
      </w:r>
      <w:r>
        <w:rPr>
          <w:color w:val="231F20"/>
          <w:spacing w:val="-3"/>
        </w:rPr>
        <w:t> </w:t>
      </w:r>
      <w:r>
        <w:rPr>
          <w:color w:val="231F20"/>
        </w:rPr>
        <w:t>особо</w:t>
      </w:r>
      <w:r>
        <w:rPr>
          <w:color w:val="231F20"/>
          <w:spacing w:val="-3"/>
        </w:rPr>
        <w:t> </w:t>
      </w:r>
      <w:r>
        <w:rPr>
          <w:color w:val="231F20"/>
        </w:rPr>
        <w:t>оговариваются</w:t>
      </w:r>
      <w:r>
        <w:rPr>
          <w:color w:val="231F20"/>
          <w:spacing w:val="-3"/>
        </w:rPr>
        <w:t> </w:t>
      </w:r>
      <w:r>
        <w:rPr>
          <w:color w:val="231F20"/>
        </w:rPr>
        <w:t>и</w:t>
      </w:r>
      <w:r>
        <w:rPr>
          <w:color w:val="231F20"/>
          <w:spacing w:val="-3"/>
        </w:rPr>
        <w:t> </w:t>
      </w:r>
      <w:r>
        <w:rPr>
          <w:color w:val="231F20"/>
        </w:rPr>
        <w:t>случаи,</w:t>
      </w:r>
      <w:r>
        <w:rPr>
          <w:color w:val="231F20"/>
          <w:spacing w:val="-3"/>
        </w:rPr>
        <w:t> </w:t>
      </w:r>
      <w:r>
        <w:rPr>
          <w:color w:val="231F20"/>
        </w:rPr>
        <w:t>когда такой</w:t>
      </w:r>
      <w:r>
        <w:rPr>
          <w:color w:val="231F20"/>
          <w:spacing w:val="-5"/>
        </w:rPr>
        <w:t> </w:t>
      </w:r>
      <w:r>
        <w:rPr>
          <w:color w:val="231F20"/>
        </w:rPr>
        <w:t>запрет</w:t>
      </w:r>
      <w:r>
        <w:rPr>
          <w:color w:val="231F20"/>
          <w:spacing w:val="-5"/>
        </w:rPr>
        <w:t> </w:t>
      </w:r>
      <w:r>
        <w:rPr>
          <w:color w:val="231F20"/>
        </w:rPr>
        <w:t>можно</w:t>
      </w:r>
      <w:r>
        <w:rPr>
          <w:color w:val="231F20"/>
          <w:spacing w:val="-5"/>
        </w:rPr>
        <w:t> </w:t>
      </w:r>
      <w:r>
        <w:rPr>
          <w:color w:val="231F20"/>
        </w:rPr>
        <w:t>игнорировать.</w:t>
      </w:r>
      <w:r>
        <w:rPr>
          <w:color w:val="231F20"/>
          <w:spacing w:val="-5"/>
        </w:rPr>
        <w:t> </w:t>
      </w:r>
      <w:r>
        <w:rPr>
          <w:color w:val="231F20"/>
        </w:rPr>
        <w:t>«То</w:t>
      </w:r>
      <w:r>
        <w:rPr>
          <w:color w:val="231F20"/>
          <w:spacing w:val="-5"/>
        </w:rPr>
        <w:t> </w:t>
      </w:r>
      <w:r>
        <w:rPr>
          <w:color w:val="231F20"/>
        </w:rPr>
        <w:t>есть</w:t>
      </w:r>
      <w:r>
        <w:rPr>
          <w:color w:val="231F20"/>
          <w:spacing w:val="-5"/>
        </w:rPr>
        <w:t> </w:t>
      </w:r>
      <w:r>
        <w:rPr>
          <w:color w:val="231F20"/>
        </w:rPr>
        <w:t>если</w:t>
      </w:r>
      <w:r>
        <w:rPr>
          <w:color w:val="231F20"/>
          <w:spacing w:val="-5"/>
        </w:rPr>
        <w:t> </w:t>
      </w:r>
      <w:r>
        <w:rPr>
          <w:color w:val="231F20"/>
        </w:rPr>
        <w:t>мусульманин</w:t>
      </w:r>
      <w:r>
        <w:rPr>
          <w:color w:val="231F20"/>
          <w:spacing w:val="-5"/>
        </w:rPr>
        <w:t> </w:t>
      </w:r>
      <w:r>
        <w:rPr>
          <w:color w:val="231F20"/>
        </w:rPr>
        <w:t>находится</w:t>
      </w:r>
      <w:r>
        <w:rPr>
          <w:color w:val="231F20"/>
          <w:spacing w:val="-5"/>
        </w:rPr>
        <w:t> </w:t>
      </w:r>
      <w:r>
        <w:rPr>
          <w:color w:val="231F20"/>
        </w:rPr>
        <w:t>в</w:t>
      </w:r>
      <w:r>
        <w:rPr>
          <w:color w:val="231F20"/>
          <w:spacing w:val="-5"/>
        </w:rPr>
        <w:t> </w:t>
      </w:r>
      <w:r>
        <w:rPr>
          <w:color w:val="231F20"/>
        </w:rPr>
        <w:t>условиях крайней</w:t>
      </w:r>
      <w:r>
        <w:rPr>
          <w:color w:val="231F20"/>
          <w:spacing w:val="-11"/>
        </w:rPr>
        <w:t> </w:t>
      </w:r>
      <w:r>
        <w:rPr>
          <w:color w:val="231F20"/>
        </w:rPr>
        <w:t>нужды</w:t>
      </w:r>
      <w:r>
        <w:rPr>
          <w:color w:val="231F20"/>
          <w:spacing w:val="-11"/>
        </w:rPr>
        <w:t> </w:t>
      </w:r>
      <w:r>
        <w:rPr>
          <w:color w:val="231F20"/>
        </w:rPr>
        <w:t>или</w:t>
      </w:r>
      <w:r>
        <w:rPr>
          <w:color w:val="231F20"/>
          <w:spacing w:val="-11"/>
        </w:rPr>
        <w:t> </w:t>
      </w:r>
      <w:r>
        <w:rPr>
          <w:color w:val="231F20"/>
        </w:rPr>
        <w:t>крайней</w:t>
      </w:r>
      <w:r>
        <w:rPr>
          <w:color w:val="231F20"/>
          <w:spacing w:val="-11"/>
        </w:rPr>
        <w:t> </w:t>
      </w:r>
      <w:r>
        <w:rPr>
          <w:color w:val="231F20"/>
        </w:rPr>
        <w:t>необходимости,</w:t>
      </w:r>
      <w:r>
        <w:rPr>
          <w:color w:val="231F20"/>
          <w:spacing w:val="-11"/>
        </w:rPr>
        <w:t> </w:t>
      </w:r>
      <w:r>
        <w:rPr>
          <w:color w:val="231F20"/>
        </w:rPr>
        <w:t>он</w:t>
      </w:r>
      <w:r>
        <w:rPr>
          <w:color w:val="231F20"/>
          <w:spacing w:val="-11"/>
        </w:rPr>
        <w:t> </w:t>
      </w:r>
      <w:r>
        <w:rPr>
          <w:color w:val="231F20"/>
        </w:rPr>
        <w:t>может</w:t>
      </w:r>
      <w:r>
        <w:rPr>
          <w:color w:val="231F20"/>
          <w:spacing w:val="-11"/>
        </w:rPr>
        <w:t> </w:t>
      </w:r>
      <w:r>
        <w:rPr>
          <w:color w:val="231F20"/>
        </w:rPr>
        <w:t>употребить</w:t>
      </w:r>
      <w:r>
        <w:rPr>
          <w:color w:val="231F20"/>
          <w:spacing w:val="-11"/>
        </w:rPr>
        <w:t> </w:t>
      </w:r>
      <w:r>
        <w:rPr>
          <w:color w:val="231F20"/>
        </w:rPr>
        <w:t>в</w:t>
      </w:r>
      <w:r>
        <w:rPr>
          <w:color w:val="231F20"/>
          <w:spacing w:val="-11"/>
        </w:rPr>
        <w:t> </w:t>
      </w:r>
      <w:r>
        <w:rPr>
          <w:color w:val="231F20"/>
        </w:rPr>
        <w:t>пищу</w:t>
      </w:r>
      <w:r>
        <w:rPr>
          <w:color w:val="231F20"/>
          <w:spacing w:val="-11"/>
        </w:rPr>
        <w:t> </w:t>
      </w:r>
      <w:r>
        <w:rPr>
          <w:color w:val="231F20"/>
        </w:rPr>
        <w:t>запретное. Тогда на нем греха не будет, так как по Корану любой человек обязан в первую оче- редь спасать жизнь. Жизнь – бесценный дар Аллаха, которым мусульманин обязан дорожить</w:t>
      </w:r>
      <w:r>
        <w:rPr>
          <w:color w:val="231F20"/>
          <w:spacing w:val="-13"/>
        </w:rPr>
        <w:t> </w:t>
      </w:r>
      <w:r>
        <w:rPr>
          <w:color w:val="231F20"/>
        </w:rPr>
        <w:t>и</w:t>
      </w:r>
      <w:r>
        <w:rPr>
          <w:color w:val="231F20"/>
          <w:spacing w:val="-12"/>
        </w:rPr>
        <w:t> </w:t>
      </w:r>
      <w:r>
        <w:rPr>
          <w:color w:val="231F20"/>
        </w:rPr>
        <w:t>отступать</w:t>
      </w:r>
      <w:r>
        <w:rPr>
          <w:color w:val="231F20"/>
          <w:spacing w:val="-13"/>
        </w:rPr>
        <w:t> </w:t>
      </w:r>
      <w:r>
        <w:rPr>
          <w:color w:val="231F20"/>
        </w:rPr>
        <w:t>от</w:t>
      </w:r>
      <w:r>
        <w:rPr>
          <w:color w:val="231F20"/>
          <w:spacing w:val="-12"/>
        </w:rPr>
        <w:t> </w:t>
      </w:r>
      <w:r>
        <w:rPr>
          <w:color w:val="231F20"/>
        </w:rPr>
        <w:t>соблюдения</w:t>
      </w:r>
      <w:r>
        <w:rPr>
          <w:color w:val="231F20"/>
          <w:spacing w:val="-13"/>
        </w:rPr>
        <w:t> </w:t>
      </w:r>
      <w:r>
        <w:rPr>
          <w:color w:val="231F20"/>
        </w:rPr>
        <w:t>запретов,</w:t>
      </w:r>
      <w:r>
        <w:rPr>
          <w:color w:val="231F20"/>
          <w:spacing w:val="-12"/>
        </w:rPr>
        <w:t> </w:t>
      </w:r>
      <w:r>
        <w:rPr>
          <w:color w:val="231F20"/>
        </w:rPr>
        <w:t>если</w:t>
      </w:r>
      <w:r>
        <w:rPr>
          <w:color w:val="231F20"/>
          <w:spacing w:val="-13"/>
        </w:rPr>
        <w:t> </w:t>
      </w:r>
      <w:r>
        <w:rPr>
          <w:color w:val="231F20"/>
        </w:rPr>
        <w:t>они</w:t>
      </w:r>
      <w:r>
        <w:rPr>
          <w:color w:val="231F20"/>
          <w:spacing w:val="-12"/>
        </w:rPr>
        <w:t> </w:t>
      </w:r>
      <w:r>
        <w:rPr>
          <w:color w:val="231F20"/>
        </w:rPr>
        <w:t>мешают</w:t>
      </w:r>
      <w:r>
        <w:rPr>
          <w:color w:val="231F20"/>
          <w:spacing w:val="-13"/>
        </w:rPr>
        <w:t> </w:t>
      </w:r>
      <w:r>
        <w:rPr>
          <w:color w:val="231F20"/>
        </w:rPr>
        <w:t>ему</w:t>
      </w:r>
      <w:r>
        <w:rPr>
          <w:color w:val="231F20"/>
          <w:spacing w:val="-12"/>
        </w:rPr>
        <w:t> </w:t>
      </w:r>
      <w:r>
        <w:rPr>
          <w:color w:val="231F20"/>
        </w:rPr>
        <w:t>выжить»</w:t>
      </w:r>
      <w:r>
        <w:rPr>
          <w:color w:val="231F20"/>
          <w:spacing w:val="-13"/>
        </w:rPr>
        <w:t> </w:t>
      </w:r>
      <w:r>
        <w:rPr>
          <w:color w:val="231F20"/>
        </w:rPr>
        <w:t>(Прак- тика работы, 2014, с. 99).</w:t>
      </w:r>
    </w:p>
    <w:p>
      <w:pPr>
        <w:pStyle w:val="BodyText"/>
        <w:spacing w:after="0" w:line="235" w:lineRule="auto"/>
        <w:sectPr>
          <w:pgSz w:w="8400" w:h="11910"/>
          <w:pgMar w:header="0" w:footer="528" w:top="400" w:bottom="740" w:left="425" w:right="425"/>
        </w:sectPr>
      </w:pPr>
    </w:p>
    <w:p>
      <w:pPr>
        <w:spacing w:before="80"/>
        <w:ind w:left="141" w:right="139" w:firstLine="0"/>
        <w:jc w:val="right"/>
        <w:rPr>
          <w:rFonts w:ascii="Georgia" w:hAnsi="Georgia"/>
          <w:sz w:val="18"/>
        </w:rPr>
      </w:pPr>
      <w:bookmarkStart w:name="_bookmark41" w:id="43"/>
      <w:bookmarkEnd w:id="43"/>
      <w:r>
        <w:rPr/>
      </w:r>
      <w:r>
        <w:rPr>
          <w:rFonts w:ascii="Georgia" w:hAnsi="Georgia"/>
          <w:color w:val="231F20"/>
          <w:spacing w:val="-2"/>
          <w:sz w:val="18"/>
        </w:rPr>
        <w:t>Раздел</w:t>
      </w:r>
      <w:r>
        <w:rPr>
          <w:rFonts w:ascii="Georgia" w:hAnsi="Georgia"/>
          <w:color w:val="231F20"/>
          <w:spacing w:val="-5"/>
          <w:sz w:val="18"/>
        </w:rPr>
        <w:t> 1.</w:t>
      </w:r>
    </w:p>
    <w:p>
      <w:pPr>
        <w:numPr>
          <w:ilvl w:val="1"/>
          <w:numId w:val="52"/>
        </w:numPr>
        <w:tabs>
          <w:tab w:pos="2002" w:val="left" w:leader="none"/>
        </w:tabs>
        <w:spacing w:line="228" w:lineRule="exact" w:before="109"/>
        <w:ind w:left="2002" w:right="0" w:hanging="350"/>
        <w:jc w:val="left"/>
        <w:rPr>
          <w:b/>
          <w:color w:val="231F20"/>
          <w:sz w:val="20"/>
        </w:rPr>
      </w:pPr>
      <w:r>
        <w:rPr>
          <w:b/>
          <w:color w:val="231F20"/>
          <w:spacing w:val="-2"/>
          <w:sz w:val="20"/>
        </w:rPr>
        <w:t>Использование</w:t>
      </w:r>
      <w:r>
        <w:rPr>
          <w:b/>
          <w:color w:val="231F20"/>
          <w:spacing w:val="11"/>
          <w:sz w:val="20"/>
        </w:rPr>
        <w:t> </w:t>
      </w:r>
      <w:r>
        <w:rPr>
          <w:b/>
          <w:color w:val="231F20"/>
          <w:spacing w:val="-2"/>
          <w:sz w:val="20"/>
        </w:rPr>
        <w:t>консультативных</w:t>
      </w:r>
      <w:r>
        <w:rPr>
          <w:b/>
          <w:color w:val="231F20"/>
          <w:spacing w:val="12"/>
          <w:sz w:val="20"/>
        </w:rPr>
        <w:t> </w:t>
      </w:r>
      <w:r>
        <w:rPr>
          <w:b/>
          <w:color w:val="231F20"/>
          <w:spacing w:val="-2"/>
          <w:sz w:val="20"/>
        </w:rPr>
        <w:t>подходов</w:t>
      </w:r>
    </w:p>
    <w:p>
      <w:pPr>
        <w:spacing w:line="228" w:lineRule="exact" w:before="0"/>
        <w:ind w:left="1051" w:right="0" w:firstLine="0"/>
        <w:jc w:val="left"/>
        <w:rPr>
          <w:b/>
          <w:sz w:val="20"/>
        </w:rPr>
      </w:pPr>
      <w:r>
        <w:rPr>
          <w:b/>
          <w:color w:val="231F20"/>
          <w:sz w:val="20"/>
        </w:rPr>
        <w:t>и</w:t>
      </w:r>
      <w:r>
        <w:rPr>
          <w:b/>
          <w:color w:val="231F20"/>
          <w:spacing w:val="-7"/>
          <w:sz w:val="20"/>
        </w:rPr>
        <w:t> </w:t>
      </w:r>
      <w:r>
        <w:rPr>
          <w:b/>
          <w:color w:val="231F20"/>
          <w:sz w:val="20"/>
        </w:rPr>
        <w:t>стратегий</w:t>
      </w:r>
      <w:r>
        <w:rPr>
          <w:b/>
          <w:color w:val="231F20"/>
          <w:spacing w:val="-4"/>
          <w:sz w:val="20"/>
        </w:rPr>
        <w:t> </w:t>
      </w:r>
      <w:r>
        <w:rPr>
          <w:b/>
          <w:color w:val="231F20"/>
          <w:sz w:val="20"/>
        </w:rPr>
        <w:t>в</w:t>
      </w:r>
      <w:r>
        <w:rPr>
          <w:b/>
          <w:color w:val="231F20"/>
          <w:spacing w:val="-4"/>
          <w:sz w:val="20"/>
        </w:rPr>
        <w:t> </w:t>
      </w:r>
      <w:r>
        <w:rPr>
          <w:b/>
          <w:color w:val="231F20"/>
          <w:sz w:val="20"/>
        </w:rPr>
        <w:t>работе</w:t>
      </w:r>
      <w:r>
        <w:rPr>
          <w:b/>
          <w:color w:val="231F20"/>
          <w:spacing w:val="-3"/>
          <w:sz w:val="20"/>
        </w:rPr>
        <w:t> </w:t>
      </w:r>
      <w:r>
        <w:rPr>
          <w:b/>
          <w:color w:val="231F20"/>
          <w:sz w:val="20"/>
        </w:rPr>
        <w:t>с</w:t>
      </w:r>
      <w:r>
        <w:rPr>
          <w:b/>
          <w:color w:val="231F20"/>
          <w:spacing w:val="-4"/>
          <w:sz w:val="20"/>
        </w:rPr>
        <w:t> </w:t>
      </w:r>
      <w:r>
        <w:rPr>
          <w:b/>
          <w:color w:val="231F20"/>
          <w:sz w:val="20"/>
        </w:rPr>
        <w:t>детьми</w:t>
      </w:r>
      <w:r>
        <w:rPr>
          <w:b/>
          <w:color w:val="231F20"/>
          <w:spacing w:val="-4"/>
          <w:sz w:val="20"/>
        </w:rPr>
        <w:t> </w:t>
      </w:r>
      <w:r>
        <w:rPr>
          <w:b/>
          <w:color w:val="231F20"/>
          <w:sz w:val="20"/>
        </w:rPr>
        <w:t>–</w:t>
      </w:r>
      <w:r>
        <w:rPr>
          <w:b/>
          <w:color w:val="231F20"/>
          <w:spacing w:val="-4"/>
          <w:sz w:val="20"/>
        </w:rPr>
        <w:t> </w:t>
      </w:r>
      <w:r>
        <w:rPr>
          <w:b/>
          <w:color w:val="231F20"/>
          <w:sz w:val="20"/>
        </w:rPr>
        <w:t>иностранными</w:t>
      </w:r>
      <w:r>
        <w:rPr>
          <w:b/>
          <w:color w:val="231F20"/>
          <w:spacing w:val="-4"/>
          <w:sz w:val="20"/>
        </w:rPr>
        <w:t> </w:t>
      </w:r>
      <w:r>
        <w:rPr>
          <w:b/>
          <w:color w:val="231F20"/>
          <w:spacing w:val="-2"/>
          <w:sz w:val="20"/>
        </w:rPr>
        <w:t>гражданами</w:t>
      </w:r>
    </w:p>
    <w:p>
      <w:pPr>
        <w:spacing w:before="166"/>
        <w:ind w:left="6117" w:right="0" w:firstLine="0"/>
        <w:jc w:val="left"/>
        <w:rPr>
          <w:i/>
          <w:sz w:val="20"/>
        </w:rPr>
      </w:pPr>
      <w:r>
        <w:rPr>
          <w:i/>
          <w:color w:val="231F20"/>
          <w:spacing w:val="-2"/>
          <w:sz w:val="20"/>
        </w:rPr>
        <w:t>М.Ю.Чибисова</w:t>
      </w:r>
    </w:p>
    <w:p>
      <w:pPr>
        <w:numPr>
          <w:ilvl w:val="2"/>
          <w:numId w:val="52"/>
        </w:numPr>
        <w:tabs>
          <w:tab w:pos="1065" w:val="left" w:leader="none"/>
        </w:tabs>
        <w:spacing w:before="109"/>
        <w:ind w:left="1065" w:right="0" w:hanging="500"/>
        <w:jc w:val="left"/>
        <w:rPr>
          <w:b/>
          <w:sz w:val="20"/>
        </w:rPr>
      </w:pPr>
      <w:r>
        <w:rPr>
          <w:b/>
          <w:color w:val="231F20"/>
          <w:sz w:val="20"/>
        </w:rPr>
        <w:t>Установление</w:t>
      </w:r>
      <w:r>
        <w:rPr>
          <w:b/>
          <w:color w:val="231F20"/>
          <w:spacing w:val="-9"/>
          <w:sz w:val="20"/>
        </w:rPr>
        <w:t> </w:t>
      </w:r>
      <w:r>
        <w:rPr>
          <w:b/>
          <w:color w:val="231F20"/>
          <w:sz w:val="20"/>
        </w:rPr>
        <w:t>контакта</w:t>
      </w:r>
      <w:r>
        <w:rPr>
          <w:b/>
          <w:color w:val="231F20"/>
          <w:spacing w:val="-9"/>
          <w:sz w:val="20"/>
        </w:rPr>
        <w:t> </w:t>
      </w:r>
      <w:r>
        <w:rPr>
          <w:b/>
          <w:color w:val="231F20"/>
          <w:sz w:val="20"/>
        </w:rPr>
        <w:t>с</w:t>
      </w:r>
      <w:r>
        <w:rPr>
          <w:b/>
          <w:color w:val="231F20"/>
          <w:spacing w:val="-8"/>
          <w:sz w:val="20"/>
        </w:rPr>
        <w:t> </w:t>
      </w:r>
      <w:r>
        <w:rPr>
          <w:b/>
          <w:color w:val="231F20"/>
          <w:sz w:val="20"/>
        </w:rPr>
        <w:t>ребенком</w:t>
      </w:r>
      <w:r>
        <w:rPr>
          <w:b/>
          <w:color w:val="231F20"/>
          <w:spacing w:val="-10"/>
          <w:sz w:val="20"/>
        </w:rPr>
        <w:t> </w:t>
      </w:r>
      <w:r>
        <w:rPr>
          <w:b/>
          <w:color w:val="231F20"/>
          <w:sz w:val="20"/>
        </w:rPr>
        <w:t>–</w:t>
      </w:r>
      <w:r>
        <w:rPr>
          <w:b/>
          <w:color w:val="231F20"/>
          <w:spacing w:val="-8"/>
          <w:sz w:val="20"/>
        </w:rPr>
        <w:t> </w:t>
      </w:r>
      <w:r>
        <w:rPr>
          <w:b/>
          <w:color w:val="231F20"/>
          <w:sz w:val="20"/>
        </w:rPr>
        <w:t>иностранным</w:t>
      </w:r>
      <w:r>
        <w:rPr>
          <w:b/>
          <w:color w:val="231F20"/>
          <w:spacing w:val="-9"/>
          <w:sz w:val="20"/>
        </w:rPr>
        <w:t> </w:t>
      </w:r>
      <w:r>
        <w:rPr>
          <w:b/>
          <w:color w:val="231F20"/>
          <w:spacing w:val="-2"/>
          <w:sz w:val="20"/>
        </w:rPr>
        <w:t>гражданином</w:t>
      </w:r>
    </w:p>
    <w:p>
      <w:pPr>
        <w:pStyle w:val="BodyText"/>
        <w:spacing w:line="235" w:lineRule="auto" w:before="113"/>
      </w:pPr>
      <w:r>
        <w:rPr>
          <w:color w:val="231F20"/>
        </w:rPr>
        <w:t>Важная задача педагога-психолога, планирующего индивидуальную диагности- ческую и тем более коррекционную работу с учащимся – иностранным граждани- ном</w:t>
      </w:r>
      <w:r>
        <w:rPr>
          <w:color w:val="231F20"/>
          <w:spacing w:val="-9"/>
        </w:rPr>
        <w:t> </w:t>
      </w:r>
      <w:r>
        <w:rPr>
          <w:b/>
          <w:color w:val="231F20"/>
        </w:rPr>
        <w:t>(</w:t>
      </w:r>
      <w:r>
        <w:rPr>
          <w:color w:val="231F20"/>
        </w:rPr>
        <w:t>мигрантом),</w:t>
      </w:r>
      <w:r>
        <w:rPr>
          <w:color w:val="231F20"/>
          <w:spacing w:val="-9"/>
        </w:rPr>
        <w:t> </w:t>
      </w:r>
      <w:r>
        <w:rPr>
          <w:color w:val="231F20"/>
        </w:rPr>
        <w:t>–</w:t>
      </w:r>
      <w:r>
        <w:rPr>
          <w:color w:val="231F20"/>
          <w:spacing w:val="-9"/>
        </w:rPr>
        <w:t> </w:t>
      </w:r>
      <w:r>
        <w:rPr>
          <w:color w:val="231F20"/>
        </w:rPr>
        <w:t>установить</w:t>
      </w:r>
      <w:r>
        <w:rPr>
          <w:color w:val="231F20"/>
          <w:spacing w:val="-9"/>
        </w:rPr>
        <w:t> </w:t>
      </w:r>
      <w:r>
        <w:rPr>
          <w:color w:val="231F20"/>
        </w:rPr>
        <w:t>с</w:t>
      </w:r>
      <w:r>
        <w:rPr>
          <w:color w:val="231F20"/>
          <w:spacing w:val="-9"/>
        </w:rPr>
        <w:t> </w:t>
      </w:r>
      <w:r>
        <w:rPr>
          <w:color w:val="231F20"/>
        </w:rPr>
        <w:t>ребенком</w:t>
      </w:r>
      <w:r>
        <w:rPr>
          <w:color w:val="231F20"/>
          <w:spacing w:val="-9"/>
        </w:rPr>
        <w:t> </w:t>
      </w:r>
      <w:r>
        <w:rPr>
          <w:color w:val="231F20"/>
        </w:rPr>
        <w:t>контакт,</w:t>
      </w:r>
      <w:r>
        <w:rPr>
          <w:color w:val="231F20"/>
          <w:spacing w:val="-9"/>
        </w:rPr>
        <w:t> </w:t>
      </w:r>
      <w:r>
        <w:rPr>
          <w:color w:val="231F20"/>
        </w:rPr>
        <w:t>это</w:t>
      </w:r>
      <w:r>
        <w:rPr>
          <w:color w:val="231F20"/>
          <w:spacing w:val="-9"/>
        </w:rPr>
        <w:t> </w:t>
      </w:r>
      <w:r>
        <w:rPr>
          <w:color w:val="231F20"/>
        </w:rPr>
        <w:t>является</w:t>
      </w:r>
      <w:r>
        <w:rPr>
          <w:color w:val="231F20"/>
          <w:spacing w:val="-9"/>
        </w:rPr>
        <w:t> </w:t>
      </w:r>
      <w:r>
        <w:rPr>
          <w:color w:val="231F20"/>
        </w:rPr>
        <w:t>ключевым</w:t>
      </w:r>
      <w:r>
        <w:rPr>
          <w:color w:val="231F20"/>
          <w:spacing w:val="-9"/>
        </w:rPr>
        <w:t> </w:t>
      </w:r>
      <w:r>
        <w:rPr>
          <w:color w:val="231F20"/>
        </w:rPr>
        <w:t>условием дальнейшего успешного взаимодействия. Lambert and Barley, изучая факторы, спо- собствующие</w:t>
      </w:r>
      <w:r>
        <w:rPr>
          <w:color w:val="231F20"/>
          <w:spacing w:val="-3"/>
        </w:rPr>
        <w:t> </w:t>
      </w:r>
      <w:r>
        <w:rPr>
          <w:color w:val="231F20"/>
        </w:rPr>
        <w:t>успеху</w:t>
      </w:r>
      <w:r>
        <w:rPr>
          <w:color w:val="231F20"/>
          <w:spacing w:val="-3"/>
        </w:rPr>
        <w:t> </w:t>
      </w:r>
      <w:r>
        <w:rPr>
          <w:color w:val="231F20"/>
        </w:rPr>
        <w:t>психотерапии,</w:t>
      </w:r>
      <w:r>
        <w:rPr>
          <w:color w:val="231F20"/>
          <w:spacing w:val="-3"/>
        </w:rPr>
        <w:t> </w:t>
      </w:r>
      <w:r>
        <w:rPr>
          <w:color w:val="231F20"/>
        </w:rPr>
        <w:t>отмечают:</w:t>
      </w:r>
      <w:r>
        <w:rPr>
          <w:color w:val="231F20"/>
          <w:spacing w:val="-3"/>
        </w:rPr>
        <w:t> </w:t>
      </w:r>
      <w:r>
        <w:rPr>
          <w:color w:val="231F20"/>
        </w:rPr>
        <w:t>«Общие</w:t>
      </w:r>
      <w:r>
        <w:rPr>
          <w:color w:val="231F20"/>
          <w:spacing w:val="-3"/>
        </w:rPr>
        <w:t> </w:t>
      </w:r>
      <w:r>
        <w:rPr>
          <w:color w:val="231F20"/>
        </w:rPr>
        <w:t>факторы,</w:t>
      </w:r>
      <w:r>
        <w:rPr>
          <w:color w:val="231F20"/>
          <w:spacing w:val="-3"/>
        </w:rPr>
        <w:t> </w:t>
      </w:r>
      <w:r>
        <w:rPr>
          <w:color w:val="231F20"/>
        </w:rPr>
        <w:t>такие</w:t>
      </w:r>
      <w:r>
        <w:rPr>
          <w:color w:val="231F20"/>
          <w:spacing w:val="-3"/>
        </w:rPr>
        <w:t> </w:t>
      </w:r>
      <w:r>
        <w:rPr>
          <w:color w:val="231F20"/>
        </w:rPr>
        <w:t>как</w:t>
      </w:r>
      <w:r>
        <w:rPr>
          <w:color w:val="231F20"/>
          <w:spacing w:val="-3"/>
        </w:rPr>
        <w:t> </w:t>
      </w:r>
      <w:r>
        <w:rPr>
          <w:color w:val="231F20"/>
        </w:rPr>
        <w:t>эмпатия, тепло и терапевтические отношения, как показано, в большей степени коррелируют с результатами клиентов, чем специализированные терапевтические интервенции» (Lambert and Barley, 2001, p.357).</w:t>
      </w:r>
    </w:p>
    <w:p>
      <w:pPr>
        <w:pStyle w:val="BodyText"/>
        <w:spacing w:line="232" w:lineRule="auto"/>
      </w:pPr>
      <w:r>
        <w:rPr>
          <w:color w:val="231F20"/>
        </w:rPr>
        <w:t>Необходимо учитывать, что ребенок может не иметь представления о функциях</w:t>
      </w:r>
      <w:r>
        <w:rPr>
          <w:color w:val="231F20"/>
          <w:spacing w:val="40"/>
        </w:rPr>
        <w:t> </w:t>
      </w:r>
      <w:r>
        <w:rPr>
          <w:color w:val="231F20"/>
        </w:rPr>
        <w:t>и задачах школьного психолога и испытывать недоверие к незнакомому взрослому, задающему личные вопросы.</w:t>
      </w:r>
    </w:p>
    <w:p>
      <w:pPr>
        <w:pStyle w:val="BodyText"/>
        <w:spacing w:line="232" w:lineRule="auto"/>
      </w:pPr>
      <w:r>
        <w:rPr>
          <w:color w:val="231F20"/>
        </w:rPr>
        <w:t>Установление</w:t>
      </w:r>
      <w:r>
        <w:rPr>
          <w:color w:val="231F20"/>
          <w:spacing w:val="-8"/>
        </w:rPr>
        <w:t> </w:t>
      </w:r>
      <w:r>
        <w:rPr>
          <w:color w:val="231F20"/>
        </w:rPr>
        <w:t>первичного</w:t>
      </w:r>
      <w:r>
        <w:rPr>
          <w:color w:val="231F20"/>
          <w:spacing w:val="-8"/>
        </w:rPr>
        <w:t> </w:t>
      </w:r>
      <w:r>
        <w:rPr>
          <w:color w:val="231F20"/>
        </w:rPr>
        <w:t>контакта</w:t>
      </w:r>
      <w:r>
        <w:rPr>
          <w:color w:val="231F20"/>
          <w:spacing w:val="-8"/>
        </w:rPr>
        <w:t> </w:t>
      </w:r>
      <w:r>
        <w:rPr>
          <w:color w:val="231F20"/>
        </w:rPr>
        <w:t>с</w:t>
      </w:r>
      <w:r>
        <w:rPr>
          <w:color w:val="231F20"/>
          <w:spacing w:val="-8"/>
        </w:rPr>
        <w:t> </w:t>
      </w:r>
      <w:r>
        <w:rPr>
          <w:color w:val="231F20"/>
        </w:rPr>
        <w:t>несовершеннолетним</w:t>
      </w:r>
      <w:r>
        <w:rPr>
          <w:color w:val="231F20"/>
          <w:spacing w:val="-8"/>
        </w:rPr>
        <w:t> </w:t>
      </w:r>
      <w:r>
        <w:rPr>
          <w:color w:val="231F20"/>
        </w:rPr>
        <w:t>иностранным</w:t>
      </w:r>
      <w:r>
        <w:rPr>
          <w:color w:val="231F20"/>
          <w:spacing w:val="-8"/>
        </w:rPr>
        <w:t> </w:t>
      </w:r>
      <w:r>
        <w:rPr>
          <w:color w:val="231F20"/>
        </w:rPr>
        <w:t>гражда- нином предполагает решение двух задач: непосредственное знакомство и информи- рование</w:t>
      </w:r>
      <w:r>
        <w:rPr>
          <w:color w:val="231F20"/>
          <w:spacing w:val="-1"/>
        </w:rPr>
        <w:t> </w:t>
      </w:r>
      <w:r>
        <w:rPr>
          <w:color w:val="231F20"/>
        </w:rPr>
        <w:t>ребенка</w:t>
      </w:r>
      <w:r>
        <w:rPr>
          <w:color w:val="231F20"/>
          <w:spacing w:val="-1"/>
        </w:rPr>
        <w:t> </w:t>
      </w:r>
      <w:r>
        <w:rPr>
          <w:color w:val="231F20"/>
        </w:rPr>
        <w:t>о</w:t>
      </w:r>
      <w:r>
        <w:rPr>
          <w:color w:val="231F20"/>
          <w:spacing w:val="-1"/>
        </w:rPr>
        <w:t> </w:t>
      </w:r>
      <w:r>
        <w:rPr>
          <w:color w:val="231F20"/>
        </w:rPr>
        <w:t>содержании</w:t>
      </w:r>
      <w:r>
        <w:rPr>
          <w:color w:val="231F20"/>
          <w:spacing w:val="-1"/>
        </w:rPr>
        <w:t> </w:t>
      </w:r>
      <w:r>
        <w:rPr>
          <w:color w:val="231F20"/>
        </w:rPr>
        <w:t>работы</w:t>
      </w:r>
      <w:r>
        <w:rPr>
          <w:color w:val="231F20"/>
          <w:spacing w:val="-1"/>
        </w:rPr>
        <w:t> </w:t>
      </w:r>
      <w:r>
        <w:rPr>
          <w:color w:val="231F20"/>
        </w:rPr>
        <w:t>психолога.</w:t>
      </w:r>
      <w:r>
        <w:rPr>
          <w:color w:val="231F20"/>
          <w:spacing w:val="-1"/>
        </w:rPr>
        <w:t> </w:t>
      </w:r>
      <w:r>
        <w:rPr>
          <w:color w:val="231F20"/>
        </w:rPr>
        <w:t>Эти</w:t>
      </w:r>
      <w:r>
        <w:rPr>
          <w:color w:val="231F20"/>
          <w:spacing w:val="-1"/>
        </w:rPr>
        <w:t> </w:t>
      </w:r>
      <w:r>
        <w:rPr>
          <w:color w:val="231F20"/>
        </w:rPr>
        <w:t>задачи</w:t>
      </w:r>
      <w:r>
        <w:rPr>
          <w:color w:val="231F20"/>
          <w:spacing w:val="-1"/>
        </w:rPr>
        <w:t> </w:t>
      </w:r>
      <w:r>
        <w:rPr>
          <w:color w:val="231F20"/>
        </w:rPr>
        <w:t>позволяют</w:t>
      </w:r>
      <w:r>
        <w:rPr>
          <w:color w:val="231F20"/>
          <w:spacing w:val="-1"/>
        </w:rPr>
        <w:t> </w:t>
      </w:r>
      <w:r>
        <w:rPr>
          <w:color w:val="231F20"/>
        </w:rPr>
        <w:t>обеспечить базовый</w:t>
      </w:r>
      <w:r>
        <w:rPr>
          <w:color w:val="231F20"/>
          <w:spacing w:val="-5"/>
        </w:rPr>
        <w:t> </w:t>
      </w:r>
      <w:r>
        <w:rPr>
          <w:color w:val="231F20"/>
        </w:rPr>
        <w:t>уровень</w:t>
      </w:r>
      <w:r>
        <w:rPr>
          <w:color w:val="231F20"/>
          <w:spacing w:val="-5"/>
        </w:rPr>
        <w:t> </w:t>
      </w:r>
      <w:r>
        <w:rPr>
          <w:color w:val="231F20"/>
        </w:rPr>
        <w:t>доверия,</w:t>
      </w:r>
      <w:r>
        <w:rPr>
          <w:color w:val="231F20"/>
          <w:spacing w:val="-5"/>
        </w:rPr>
        <w:t> </w:t>
      </w:r>
      <w:r>
        <w:rPr>
          <w:color w:val="231F20"/>
        </w:rPr>
        <w:t>необходимый</w:t>
      </w:r>
      <w:r>
        <w:rPr>
          <w:color w:val="231F20"/>
          <w:spacing w:val="-5"/>
        </w:rPr>
        <w:t> </w:t>
      </w:r>
      <w:r>
        <w:rPr>
          <w:color w:val="231F20"/>
        </w:rPr>
        <w:t>для</w:t>
      </w:r>
      <w:r>
        <w:rPr>
          <w:color w:val="231F20"/>
          <w:spacing w:val="-5"/>
        </w:rPr>
        <w:t> </w:t>
      </w:r>
      <w:r>
        <w:rPr>
          <w:color w:val="231F20"/>
        </w:rPr>
        <w:t>проведения</w:t>
      </w:r>
      <w:r>
        <w:rPr>
          <w:color w:val="231F20"/>
          <w:spacing w:val="-5"/>
        </w:rPr>
        <w:t> </w:t>
      </w:r>
      <w:r>
        <w:rPr>
          <w:color w:val="231F20"/>
        </w:rPr>
        <w:t>диагностики</w:t>
      </w:r>
      <w:r>
        <w:rPr>
          <w:color w:val="231F20"/>
          <w:spacing w:val="-5"/>
        </w:rPr>
        <w:t> </w:t>
      </w:r>
      <w:r>
        <w:rPr>
          <w:color w:val="231F20"/>
        </w:rPr>
        <w:t>или</w:t>
      </w:r>
      <w:r>
        <w:rPr>
          <w:color w:val="231F20"/>
          <w:spacing w:val="-5"/>
        </w:rPr>
        <w:t> </w:t>
      </w:r>
      <w:r>
        <w:rPr>
          <w:color w:val="231F20"/>
        </w:rPr>
        <w:t>начала</w:t>
      </w:r>
      <w:r>
        <w:rPr>
          <w:color w:val="231F20"/>
          <w:spacing w:val="-5"/>
        </w:rPr>
        <w:t> </w:t>
      </w:r>
      <w:r>
        <w:rPr>
          <w:color w:val="231F20"/>
        </w:rPr>
        <w:t>ин- дивидуальной</w:t>
      </w:r>
      <w:r>
        <w:rPr>
          <w:color w:val="231F20"/>
          <w:spacing w:val="-8"/>
        </w:rPr>
        <w:t> </w:t>
      </w:r>
      <w:r>
        <w:rPr>
          <w:color w:val="231F20"/>
        </w:rPr>
        <w:t>работы</w:t>
      </w:r>
      <w:r>
        <w:rPr>
          <w:color w:val="231F20"/>
          <w:spacing w:val="-8"/>
        </w:rPr>
        <w:t> </w:t>
      </w:r>
      <w:r>
        <w:rPr>
          <w:color w:val="231F20"/>
        </w:rPr>
        <w:t>с</w:t>
      </w:r>
      <w:r>
        <w:rPr>
          <w:color w:val="231F20"/>
          <w:spacing w:val="-8"/>
        </w:rPr>
        <w:t> </w:t>
      </w:r>
      <w:r>
        <w:rPr>
          <w:color w:val="231F20"/>
        </w:rPr>
        <w:t>ребенком.</w:t>
      </w:r>
      <w:r>
        <w:rPr>
          <w:color w:val="231F20"/>
          <w:spacing w:val="-8"/>
        </w:rPr>
        <w:t> </w:t>
      </w:r>
      <w:r>
        <w:rPr>
          <w:color w:val="231F20"/>
        </w:rPr>
        <w:t>Если</w:t>
      </w:r>
      <w:r>
        <w:rPr>
          <w:color w:val="231F20"/>
          <w:spacing w:val="-8"/>
        </w:rPr>
        <w:t> </w:t>
      </w:r>
      <w:r>
        <w:rPr>
          <w:color w:val="231F20"/>
        </w:rPr>
        <w:t>с</w:t>
      </w:r>
      <w:r>
        <w:rPr>
          <w:color w:val="231F20"/>
          <w:spacing w:val="-8"/>
        </w:rPr>
        <w:t> </w:t>
      </w:r>
      <w:r>
        <w:rPr>
          <w:color w:val="231F20"/>
        </w:rPr>
        <w:t>учащимся</w:t>
      </w:r>
      <w:r>
        <w:rPr>
          <w:color w:val="231F20"/>
          <w:spacing w:val="-8"/>
        </w:rPr>
        <w:t> </w:t>
      </w:r>
      <w:r>
        <w:rPr>
          <w:color w:val="231F20"/>
        </w:rPr>
        <w:t>будет</w:t>
      </w:r>
      <w:r>
        <w:rPr>
          <w:color w:val="231F20"/>
          <w:spacing w:val="-8"/>
        </w:rPr>
        <w:t> </w:t>
      </w:r>
      <w:r>
        <w:rPr>
          <w:color w:val="231F20"/>
        </w:rPr>
        <w:t>вестись</w:t>
      </w:r>
      <w:r>
        <w:rPr>
          <w:color w:val="231F20"/>
          <w:spacing w:val="-8"/>
        </w:rPr>
        <w:t> </w:t>
      </w:r>
      <w:r>
        <w:rPr>
          <w:color w:val="231F20"/>
        </w:rPr>
        <w:t>коррекционная</w:t>
      </w:r>
      <w:r>
        <w:rPr>
          <w:color w:val="231F20"/>
          <w:spacing w:val="-8"/>
        </w:rPr>
        <w:t> </w:t>
      </w:r>
      <w:r>
        <w:rPr>
          <w:color w:val="231F20"/>
        </w:rPr>
        <w:t>ра- бота, следует уделить внимание углублению и развитию первичного контакта.</w:t>
      </w:r>
    </w:p>
    <w:p>
      <w:pPr>
        <w:pStyle w:val="BodyText"/>
        <w:spacing w:line="232" w:lineRule="auto" w:before="2"/>
      </w:pPr>
      <w:r>
        <w:rPr>
          <w:color w:val="231F20"/>
        </w:rPr>
        <w:t>Оптимальные</w:t>
      </w:r>
      <w:r>
        <w:rPr>
          <w:color w:val="231F20"/>
          <w:spacing w:val="-13"/>
        </w:rPr>
        <w:t> </w:t>
      </w:r>
      <w:r>
        <w:rPr>
          <w:color w:val="231F20"/>
        </w:rPr>
        <w:t>условия</w:t>
      </w:r>
      <w:r>
        <w:rPr>
          <w:color w:val="231F20"/>
          <w:spacing w:val="-12"/>
        </w:rPr>
        <w:t> </w:t>
      </w:r>
      <w:r>
        <w:rPr>
          <w:color w:val="231F20"/>
        </w:rPr>
        <w:t>для</w:t>
      </w:r>
      <w:r>
        <w:rPr>
          <w:color w:val="231F20"/>
          <w:spacing w:val="-13"/>
        </w:rPr>
        <w:t> </w:t>
      </w:r>
      <w:r>
        <w:rPr>
          <w:color w:val="231F20"/>
        </w:rPr>
        <w:t>знакомства</w:t>
      </w:r>
      <w:r>
        <w:rPr>
          <w:color w:val="231F20"/>
          <w:spacing w:val="-12"/>
        </w:rPr>
        <w:t> </w:t>
      </w:r>
      <w:r>
        <w:rPr>
          <w:color w:val="231F20"/>
        </w:rPr>
        <w:t>предоставляет</w:t>
      </w:r>
      <w:r>
        <w:rPr>
          <w:color w:val="231F20"/>
          <w:spacing w:val="-13"/>
        </w:rPr>
        <w:t> </w:t>
      </w:r>
      <w:r>
        <w:rPr>
          <w:color w:val="231F20"/>
        </w:rPr>
        <w:t>участие</w:t>
      </w:r>
      <w:r>
        <w:rPr>
          <w:color w:val="231F20"/>
          <w:spacing w:val="-12"/>
        </w:rPr>
        <w:t> </w:t>
      </w:r>
      <w:r>
        <w:rPr>
          <w:color w:val="231F20"/>
        </w:rPr>
        <w:t>психолога</w:t>
      </w:r>
      <w:r>
        <w:rPr>
          <w:color w:val="231F20"/>
          <w:spacing w:val="-13"/>
        </w:rPr>
        <w:t> </w:t>
      </w:r>
      <w:r>
        <w:rPr>
          <w:color w:val="231F20"/>
        </w:rPr>
        <w:t>и</w:t>
      </w:r>
      <w:r>
        <w:rPr>
          <w:color w:val="231F20"/>
          <w:spacing w:val="-12"/>
        </w:rPr>
        <w:t> </w:t>
      </w:r>
      <w:r>
        <w:rPr>
          <w:color w:val="231F20"/>
        </w:rPr>
        <w:t>ребенка в общей деятельности. Такой деятельностью могут стать уроки психологии, психо- логические</w:t>
      </w:r>
      <w:r>
        <w:rPr>
          <w:color w:val="231F20"/>
          <w:spacing w:val="-7"/>
        </w:rPr>
        <w:t> </w:t>
      </w:r>
      <w:r>
        <w:rPr>
          <w:color w:val="231F20"/>
        </w:rPr>
        <w:t>тренинги,</w:t>
      </w:r>
      <w:r>
        <w:rPr>
          <w:color w:val="231F20"/>
          <w:spacing w:val="-6"/>
        </w:rPr>
        <w:t> </w:t>
      </w:r>
      <w:r>
        <w:rPr>
          <w:color w:val="231F20"/>
        </w:rPr>
        <w:t>совместное</w:t>
      </w:r>
      <w:r>
        <w:rPr>
          <w:color w:val="231F20"/>
          <w:spacing w:val="-7"/>
        </w:rPr>
        <w:t> </w:t>
      </w:r>
      <w:r>
        <w:rPr>
          <w:color w:val="231F20"/>
        </w:rPr>
        <w:t>участие</w:t>
      </w:r>
      <w:r>
        <w:rPr>
          <w:color w:val="231F20"/>
          <w:spacing w:val="-7"/>
        </w:rPr>
        <w:t> </w:t>
      </w:r>
      <w:r>
        <w:rPr>
          <w:color w:val="231F20"/>
        </w:rPr>
        <w:t>в</w:t>
      </w:r>
      <w:r>
        <w:rPr>
          <w:color w:val="231F20"/>
          <w:spacing w:val="-7"/>
        </w:rPr>
        <w:t> </w:t>
      </w:r>
      <w:r>
        <w:rPr>
          <w:color w:val="231F20"/>
        </w:rPr>
        <w:t>общешкольных</w:t>
      </w:r>
      <w:r>
        <w:rPr>
          <w:color w:val="231F20"/>
          <w:spacing w:val="-6"/>
        </w:rPr>
        <w:t> </w:t>
      </w:r>
      <w:r>
        <w:rPr>
          <w:color w:val="231F20"/>
        </w:rPr>
        <w:t>мероприятиях.</w:t>
      </w:r>
      <w:r>
        <w:rPr>
          <w:color w:val="231F20"/>
          <w:spacing w:val="-7"/>
        </w:rPr>
        <w:t> </w:t>
      </w:r>
      <w:r>
        <w:rPr>
          <w:color w:val="231F20"/>
        </w:rPr>
        <w:t>Если</w:t>
      </w:r>
      <w:r>
        <w:rPr>
          <w:color w:val="231F20"/>
          <w:spacing w:val="-7"/>
        </w:rPr>
        <w:t> </w:t>
      </w:r>
      <w:r>
        <w:rPr>
          <w:color w:val="231F20"/>
        </w:rPr>
        <w:t>уча- стие</w:t>
      </w:r>
      <w:r>
        <w:rPr>
          <w:color w:val="231F20"/>
          <w:spacing w:val="-13"/>
        </w:rPr>
        <w:t> </w:t>
      </w:r>
      <w:r>
        <w:rPr>
          <w:color w:val="231F20"/>
        </w:rPr>
        <w:t>психолога</w:t>
      </w:r>
      <w:r>
        <w:rPr>
          <w:color w:val="231F20"/>
          <w:spacing w:val="-12"/>
        </w:rPr>
        <w:t> </w:t>
      </w:r>
      <w:r>
        <w:rPr>
          <w:color w:val="231F20"/>
        </w:rPr>
        <w:t>в</w:t>
      </w:r>
      <w:r>
        <w:rPr>
          <w:color w:val="231F20"/>
          <w:spacing w:val="-13"/>
        </w:rPr>
        <w:t> </w:t>
      </w:r>
      <w:r>
        <w:rPr>
          <w:color w:val="231F20"/>
        </w:rPr>
        <w:t>таких</w:t>
      </w:r>
      <w:r>
        <w:rPr>
          <w:color w:val="231F20"/>
          <w:spacing w:val="-12"/>
        </w:rPr>
        <w:t> </w:t>
      </w:r>
      <w:r>
        <w:rPr>
          <w:color w:val="231F20"/>
        </w:rPr>
        <w:t>мероприятиях</w:t>
      </w:r>
      <w:r>
        <w:rPr>
          <w:color w:val="231F20"/>
          <w:spacing w:val="-13"/>
        </w:rPr>
        <w:t> </w:t>
      </w:r>
      <w:r>
        <w:rPr>
          <w:color w:val="231F20"/>
        </w:rPr>
        <w:t>не</w:t>
      </w:r>
      <w:r>
        <w:rPr>
          <w:color w:val="231F20"/>
          <w:spacing w:val="-12"/>
        </w:rPr>
        <w:t> </w:t>
      </w:r>
      <w:r>
        <w:rPr>
          <w:color w:val="231F20"/>
        </w:rPr>
        <w:t>предполагается,</w:t>
      </w:r>
      <w:r>
        <w:rPr>
          <w:color w:val="231F20"/>
          <w:spacing w:val="-13"/>
        </w:rPr>
        <w:t> </w:t>
      </w:r>
      <w:r>
        <w:rPr>
          <w:color w:val="231F20"/>
        </w:rPr>
        <w:t>знакомство</w:t>
      </w:r>
      <w:r>
        <w:rPr>
          <w:color w:val="231F20"/>
          <w:spacing w:val="-12"/>
        </w:rPr>
        <w:t> </w:t>
      </w:r>
      <w:r>
        <w:rPr>
          <w:color w:val="231F20"/>
        </w:rPr>
        <w:t>может</w:t>
      </w:r>
      <w:r>
        <w:rPr>
          <w:color w:val="231F20"/>
          <w:spacing w:val="-13"/>
        </w:rPr>
        <w:t> </w:t>
      </w:r>
      <w:r>
        <w:rPr>
          <w:color w:val="231F20"/>
        </w:rPr>
        <w:t>состоять- ся при посещении психологом урока или на перемене.</w:t>
      </w:r>
    </w:p>
    <w:p>
      <w:pPr>
        <w:pStyle w:val="BodyText"/>
        <w:spacing w:line="235" w:lineRule="auto" w:before="2"/>
      </w:pPr>
      <w:r>
        <w:rPr>
          <w:color w:val="231F20"/>
        </w:rPr>
        <w:t>Психолог</w:t>
      </w:r>
      <w:r>
        <w:rPr>
          <w:color w:val="231F20"/>
          <w:spacing w:val="-4"/>
        </w:rPr>
        <w:t> </w:t>
      </w:r>
      <w:r>
        <w:rPr>
          <w:color w:val="231F20"/>
        </w:rPr>
        <w:t>может</w:t>
      </w:r>
      <w:r>
        <w:rPr>
          <w:color w:val="231F20"/>
          <w:spacing w:val="-4"/>
        </w:rPr>
        <w:t> </w:t>
      </w:r>
      <w:r>
        <w:rPr>
          <w:color w:val="231F20"/>
        </w:rPr>
        <w:t>представиться</w:t>
      </w:r>
      <w:r>
        <w:rPr>
          <w:color w:val="231F20"/>
          <w:spacing w:val="-4"/>
        </w:rPr>
        <w:t> </w:t>
      </w:r>
      <w:r>
        <w:rPr>
          <w:color w:val="231F20"/>
        </w:rPr>
        <w:t>ребенку-мигранту</w:t>
      </w:r>
      <w:r>
        <w:rPr>
          <w:color w:val="231F20"/>
          <w:spacing w:val="-4"/>
        </w:rPr>
        <w:t> </w:t>
      </w:r>
      <w:r>
        <w:rPr>
          <w:color w:val="231F20"/>
        </w:rPr>
        <w:t>индивидуально</w:t>
      </w:r>
      <w:r>
        <w:rPr>
          <w:color w:val="231F20"/>
          <w:spacing w:val="-4"/>
        </w:rPr>
        <w:t> </w:t>
      </w:r>
      <w:r>
        <w:rPr>
          <w:color w:val="231F20"/>
        </w:rPr>
        <w:t>или</w:t>
      </w:r>
      <w:r>
        <w:rPr>
          <w:color w:val="231F20"/>
          <w:spacing w:val="-4"/>
        </w:rPr>
        <w:t> </w:t>
      </w:r>
      <w:r>
        <w:rPr>
          <w:color w:val="231F20"/>
        </w:rPr>
        <w:t>в</w:t>
      </w:r>
      <w:r>
        <w:rPr>
          <w:color w:val="231F20"/>
          <w:spacing w:val="-4"/>
        </w:rPr>
        <w:t> </w:t>
      </w:r>
      <w:r>
        <w:rPr>
          <w:color w:val="231F20"/>
        </w:rPr>
        <w:t>общении со всем классом. Второй вариант часто бывает предпочтительнее, поскольку ситуа- ция знакомства выглядит более безопасной. Если психолог с классом регулярно не работает,</w:t>
      </w:r>
      <w:r>
        <w:rPr>
          <w:color w:val="231F20"/>
          <w:spacing w:val="-3"/>
        </w:rPr>
        <w:t> </w:t>
      </w:r>
      <w:r>
        <w:rPr>
          <w:color w:val="231F20"/>
        </w:rPr>
        <w:t>он</w:t>
      </w:r>
      <w:r>
        <w:rPr>
          <w:color w:val="231F20"/>
          <w:spacing w:val="-3"/>
        </w:rPr>
        <w:t> </w:t>
      </w:r>
      <w:r>
        <w:rPr>
          <w:color w:val="231F20"/>
        </w:rPr>
        <w:t>может</w:t>
      </w:r>
      <w:r>
        <w:rPr>
          <w:color w:val="231F20"/>
          <w:spacing w:val="-3"/>
        </w:rPr>
        <w:t> </w:t>
      </w:r>
      <w:r>
        <w:rPr>
          <w:color w:val="231F20"/>
        </w:rPr>
        <w:t>представиться</w:t>
      </w:r>
      <w:r>
        <w:rPr>
          <w:color w:val="231F20"/>
          <w:spacing w:val="-3"/>
        </w:rPr>
        <w:t> </w:t>
      </w:r>
      <w:r>
        <w:rPr>
          <w:color w:val="231F20"/>
        </w:rPr>
        <w:t>всем</w:t>
      </w:r>
      <w:r>
        <w:rPr>
          <w:color w:val="231F20"/>
          <w:spacing w:val="-3"/>
        </w:rPr>
        <w:t> </w:t>
      </w:r>
      <w:r>
        <w:rPr>
          <w:color w:val="231F20"/>
        </w:rPr>
        <w:t>детям</w:t>
      </w:r>
      <w:r>
        <w:rPr>
          <w:color w:val="231F20"/>
          <w:spacing w:val="-3"/>
        </w:rPr>
        <w:t> </w:t>
      </w:r>
      <w:r>
        <w:rPr>
          <w:color w:val="231F20"/>
        </w:rPr>
        <w:t>сразу:</w:t>
      </w:r>
      <w:r>
        <w:rPr>
          <w:color w:val="231F20"/>
          <w:spacing w:val="-3"/>
        </w:rPr>
        <w:t> </w:t>
      </w:r>
      <w:r>
        <w:rPr>
          <w:color w:val="231F20"/>
        </w:rPr>
        <w:t>«Ребята,</w:t>
      </w:r>
      <w:r>
        <w:rPr>
          <w:color w:val="231F20"/>
          <w:spacing w:val="-3"/>
        </w:rPr>
        <w:t> </w:t>
      </w:r>
      <w:r>
        <w:rPr>
          <w:color w:val="231F20"/>
        </w:rPr>
        <w:t>мы</w:t>
      </w:r>
      <w:r>
        <w:rPr>
          <w:color w:val="231F20"/>
          <w:spacing w:val="-3"/>
        </w:rPr>
        <w:t> </w:t>
      </w:r>
      <w:r>
        <w:rPr>
          <w:color w:val="231F20"/>
        </w:rPr>
        <w:t>с</w:t>
      </w:r>
      <w:r>
        <w:rPr>
          <w:color w:val="231F20"/>
          <w:spacing w:val="-3"/>
        </w:rPr>
        <w:t> </w:t>
      </w:r>
      <w:r>
        <w:rPr>
          <w:color w:val="231F20"/>
        </w:rPr>
        <w:t>вами</w:t>
      </w:r>
      <w:r>
        <w:rPr>
          <w:color w:val="231F20"/>
          <w:spacing w:val="-3"/>
        </w:rPr>
        <w:t> </w:t>
      </w:r>
      <w:r>
        <w:rPr>
          <w:color w:val="231F20"/>
        </w:rPr>
        <w:t>давно</w:t>
      </w:r>
      <w:r>
        <w:rPr>
          <w:color w:val="231F20"/>
          <w:spacing w:val="-3"/>
        </w:rPr>
        <w:t> </w:t>
      </w:r>
      <w:r>
        <w:rPr>
          <w:color w:val="231F20"/>
        </w:rPr>
        <w:t>не</w:t>
      </w:r>
      <w:r>
        <w:rPr>
          <w:color w:val="231F20"/>
          <w:spacing w:val="-3"/>
        </w:rPr>
        <w:t> </w:t>
      </w:r>
      <w:r>
        <w:rPr>
          <w:color w:val="231F20"/>
        </w:rPr>
        <w:t>ви- делись,</w:t>
      </w:r>
      <w:r>
        <w:rPr>
          <w:color w:val="231F20"/>
          <w:spacing w:val="-10"/>
        </w:rPr>
        <w:t> </w:t>
      </w:r>
      <w:r>
        <w:rPr>
          <w:color w:val="231F20"/>
        </w:rPr>
        <w:t>хочу</w:t>
      </w:r>
      <w:r>
        <w:rPr>
          <w:color w:val="231F20"/>
          <w:spacing w:val="-10"/>
        </w:rPr>
        <w:t> </w:t>
      </w:r>
      <w:r>
        <w:rPr>
          <w:color w:val="231F20"/>
        </w:rPr>
        <w:t>напомнить,</w:t>
      </w:r>
      <w:r>
        <w:rPr>
          <w:color w:val="231F20"/>
          <w:spacing w:val="-10"/>
        </w:rPr>
        <w:t> </w:t>
      </w:r>
      <w:r>
        <w:rPr>
          <w:color w:val="231F20"/>
        </w:rPr>
        <w:t>что</w:t>
      </w:r>
      <w:r>
        <w:rPr>
          <w:color w:val="231F20"/>
          <w:spacing w:val="-10"/>
        </w:rPr>
        <w:t> </w:t>
      </w:r>
      <w:r>
        <w:rPr>
          <w:color w:val="231F20"/>
        </w:rPr>
        <w:t>я</w:t>
      </w:r>
      <w:r>
        <w:rPr>
          <w:color w:val="231F20"/>
          <w:spacing w:val="-10"/>
        </w:rPr>
        <w:t> </w:t>
      </w:r>
      <w:r>
        <w:rPr>
          <w:color w:val="231F20"/>
        </w:rPr>
        <w:t>психолог</w:t>
      </w:r>
      <w:r>
        <w:rPr>
          <w:color w:val="231F20"/>
          <w:spacing w:val="-10"/>
        </w:rPr>
        <w:t> </w:t>
      </w:r>
      <w:r>
        <w:rPr>
          <w:color w:val="231F20"/>
        </w:rPr>
        <w:t>и</w:t>
      </w:r>
      <w:r>
        <w:rPr>
          <w:color w:val="231F20"/>
          <w:spacing w:val="-10"/>
        </w:rPr>
        <w:t> </w:t>
      </w:r>
      <w:r>
        <w:rPr>
          <w:color w:val="231F20"/>
        </w:rPr>
        <w:t>меня</w:t>
      </w:r>
      <w:r>
        <w:rPr>
          <w:color w:val="231F20"/>
          <w:spacing w:val="-10"/>
        </w:rPr>
        <w:t> </w:t>
      </w:r>
      <w:r>
        <w:rPr>
          <w:color w:val="231F20"/>
        </w:rPr>
        <w:t>зовут…».</w:t>
      </w:r>
      <w:r>
        <w:rPr>
          <w:color w:val="231F20"/>
          <w:spacing w:val="-10"/>
        </w:rPr>
        <w:t> </w:t>
      </w:r>
      <w:r>
        <w:rPr>
          <w:color w:val="231F20"/>
        </w:rPr>
        <w:t>Если</w:t>
      </w:r>
      <w:r>
        <w:rPr>
          <w:color w:val="231F20"/>
          <w:spacing w:val="-10"/>
        </w:rPr>
        <w:t> </w:t>
      </w:r>
      <w:r>
        <w:rPr>
          <w:color w:val="231F20"/>
        </w:rPr>
        <w:t>же</w:t>
      </w:r>
      <w:r>
        <w:rPr>
          <w:color w:val="231F20"/>
          <w:spacing w:val="-10"/>
        </w:rPr>
        <w:t> </w:t>
      </w:r>
      <w:r>
        <w:rPr>
          <w:color w:val="231F20"/>
        </w:rPr>
        <w:t>психолог</w:t>
      </w:r>
      <w:r>
        <w:rPr>
          <w:color w:val="231F20"/>
          <w:spacing w:val="-10"/>
        </w:rPr>
        <w:t> </w:t>
      </w:r>
      <w:r>
        <w:rPr>
          <w:color w:val="231F20"/>
        </w:rPr>
        <w:t>с</w:t>
      </w:r>
      <w:r>
        <w:rPr>
          <w:color w:val="231F20"/>
          <w:spacing w:val="-10"/>
        </w:rPr>
        <w:t> </w:t>
      </w:r>
      <w:r>
        <w:rPr>
          <w:color w:val="231F20"/>
        </w:rPr>
        <w:t>классом хорошо</w:t>
      </w:r>
      <w:r>
        <w:rPr>
          <w:color w:val="231F20"/>
          <w:spacing w:val="-8"/>
        </w:rPr>
        <w:t> </w:t>
      </w:r>
      <w:r>
        <w:rPr>
          <w:color w:val="231F20"/>
        </w:rPr>
        <w:t>знаком,</w:t>
      </w:r>
      <w:r>
        <w:rPr>
          <w:color w:val="231F20"/>
          <w:spacing w:val="-8"/>
        </w:rPr>
        <w:t> </w:t>
      </w:r>
      <w:r>
        <w:rPr>
          <w:color w:val="231F20"/>
        </w:rPr>
        <w:t>в</w:t>
      </w:r>
      <w:r>
        <w:rPr>
          <w:color w:val="231F20"/>
          <w:spacing w:val="-8"/>
        </w:rPr>
        <w:t> </w:t>
      </w:r>
      <w:r>
        <w:rPr>
          <w:color w:val="231F20"/>
        </w:rPr>
        <w:t>групповой</w:t>
      </w:r>
      <w:r>
        <w:rPr>
          <w:color w:val="231F20"/>
          <w:spacing w:val="-8"/>
        </w:rPr>
        <w:t> </w:t>
      </w:r>
      <w:r>
        <w:rPr>
          <w:color w:val="231F20"/>
        </w:rPr>
        <w:t>работе</w:t>
      </w:r>
      <w:r>
        <w:rPr>
          <w:color w:val="231F20"/>
          <w:spacing w:val="-8"/>
        </w:rPr>
        <w:t> </w:t>
      </w:r>
      <w:r>
        <w:rPr>
          <w:color w:val="231F20"/>
        </w:rPr>
        <w:t>можно</w:t>
      </w:r>
      <w:r>
        <w:rPr>
          <w:color w:val="231F20"/>
          <w:spacing w:val="-7"/>
        </w:rPr>
        <w:t> </w:t>
      </w:r>
      <w:r>
        <w:rPr>
          <w:color w:val="231F20"/>
        </w:rPr>
        <w:t>уточнить,</w:t>
      </w:r>
      <w:r>
        <w:rPr>
          <w:color w:val="231F20"/>
          <w:spacing w:val="-7"/>
        </w:rPr>
        <w:t> </w:t>
      </w:r>
      <w:r>
        <w:rPr>
          <w:color w:val="231F20"/>
        </w:rPr>
        <w:t>что</w:t>
      </w:r>
      <w:r>
        <w:rPr>
          <w:color w:val="231F20"/>
          <w:spacing w:val="-8"/>
        </w:rPr>
        <w:t> </w:t>
      </w:r>
      <w:r>
        <w:rPr>
          <w:color w:val="231F20"/>
        </w:rPr>
        <w:t>знакомство</w:t>
      </w:r>
      <w:r>
        <w:rPr>
          <w:color w:val="231F20"/>
          <w:spacing w:val="-8"/>
        </w:rPr>
        <w:t> </w:t>
      </w:r>
      <w:r>
        <w:rPr>
          <w:color w:val="231F20"/>
        </w:rPr>
        <w:t>предполагается с</w:t>
      </w:r>
      <w:r>
        <w:rPr>
          <w:color w:val="231F20"/>
          <w:spacing w:val="-9"/>
        </w:rPr>
        <w:t> </w:t>
      </w:r>
      <w:r>
        <w:rPr>
          <w:color w:val="231F20"/>
        </w:rPr>
        <w:t>вновь</w:t>
      </w:r>
      <w:r>
        <w:rPr>
          <w:color w:val="231F20"/>
          <w:spacing w:val="-9"/>
        </w:rPr>
        <w:t> </w:t>
      </w:r>
      <w:r>
        <w:rPr>
          <w:color w:val="231F20"/>
        </w:rPr>
        <w:t>прибывшими</w:t>
      </w:r>
      <w:r>
        <w:rPr>
          <w:color w:val="231F20"/>
          <w:spacing w:val="-9"/>
        </w:rPr>
        <w:t> </w:t>
      </w:r>
      <w:r>
        <w:rPr>
          <w:color w:val="231F20"/>
        </w:rPr>
        <w:t>детьми:</w:t>
      </w:r>
      <w:r>
        <w:rPr>
          <w:color w:val="231F20"/>
          <w:spacing w:val="-9"/>
        </w:rPr>
        <w:t> </w:t>
      </w:r>
      <w:r>
        <w:rPr>
          <w:color w:val="231F20"/>
        </w:rPr>
        <w:t>«У</w:t>
      </w:r>
      <w:r>
        <w:rPr>
          <w:color w:val="231F20"/>
          <w:spacing w:val="-9"/>
        </w:rPr>
        <w:t> </w:t>
      </w:r>
      <w:r>
        <w:rPr>
          <w:color w:val="231F20"/>
        </w:rPr>
        <w:t>нас</w:t>
      </w:r>
      <w:r>
        <w:rPr>
          <w:color w:val="231F20"/>
          <w:spacing w:val="-9"/>
        </w:rPr>
        <w:t> </w:t>
      </w:r>
      <w:r>
        <w:rPr>
          <w:color w:val="231F20"/>
        </w:rPr>
        <w:t>в</w:t>
      </w:r>
      <w:r>
        <w:rPr>
          <w:color w:val="231F20"/>
          <w:spacing w:val="-9"/>
        </w:rPr>
        <w:t> </w:t>
      </w:r>
      <w:r>
        <w:rPr>
          <w:color w:val="231F20"/>
        </w:rPr>
        <w:t>классе</w:t>
      </w:r>
      <w:r>
        <w:rPr>
          <w:color w:val="231F20"/>
          <w:spacing w:val="-9"/>
        </w:rPr>
        <w:t> </w:t>
      </w:r>
      <w:r>
        <w:rPr>
          <w:color w:val="231F20"/>
        </w:rPr>
        <w:t>есть</w:t>
      </w:r>
      <w:r>
        <w:rPr>
          <w:color w:val="231F20"/>
          <w:spacing w:val="-9"/>
        </w:rPr>
        <w:t> </w:t>
      </w:r>
      <w:r>
        <w:rPr>
          <w:color w:val="231F20"/>
        </w:rPr>
        <w:t>несколько</w:t>
      </w:r>
      <w:r>
        <w:rPr>
          <w:color w:val="231F20"/>
          <w:spacing w:val="-9"/>
        </w:rPr>
        <w:t> </w:t>
      </w:r>
      <w:r>
        <w:rPr>
          <w:color w:val="231F20"/>
        </w:rPr>
        <w:t>новых</w:t>
      </w:r>
      <w:r>
        <w:rPr>
          <w:color w:val="231F20"/>
          <w:spacing w:val="-9"/>
        </w:rPr>
        <w:t> </w:t>
      </w:r>
      <w:r>
        <w:rPr>
          <w:color w:val="231F20"/>
        </w:rPr>
        <w:t>учеников,</w:t>
      </w:r>
      <w:r>
        <w:rPr>
          <w:color w:val="231F20"/>
          <w:spacing w:val="-9"/>
        </w:rPr>
        <w:t> </w:t>
      </w:r>
      <w:r>
        <w:rPr>
          <w:color w:val="231F20"/>
        </w:rPr>
        <w:t>я</w:t>
      </w:r>
      <w:r>
        <w:rPr>
          <w:color w:val="231F20"/>
          <w:spacing w:val="-9"/>
        </w:rPr>
        <w:t> </w:t>
      </w:r>
      <w:r>
        <w:rPr>
          <w:color w:val="231F20"/>
        </w:rPr>
        <w:t>хоте- ла</w:t>
      </w:r>
      <w:r>
        <w:rPr>
          <w:color w:val="231F20"/>
          <w:spacing w:val="-5"/>
        </w:rPr>
        <w:t> </w:t>
      </w:r>
      <w:r>
        <w:rPr>
          <w:color w:val="231F20"/>
        </w:rPr>
        <w:t>бы</w:t>
      </w:r>
      <w:r>
        <w:rPr>
          <w:color w:val="231F20"/>
          <w:spacing w:val="-5"/>
        </w:rPr>
        <w:t> </w:t>
      </w:r>
      <w:r>
        <w:rPr>
          <w:color w:val="231F20"/>
        </w:rPr>
        <w:t>им</w:t>
      </w:r>
      <w:r>
        <w:rPr>
          <w:color w:val="231F20"/>
          <w:spacing w:val="-5"/>
        </w:rPr>
        <w:t> </w:t>
      </w:r>
      <w:r>
        <w:rPr>
          <w:color w:val="231F20"/>
        </w:rPr>
        <w:t>представиться».</w:t>
      </w:r>
      <w:r>
        <w:rPr>
          <w:color w:val="231F20"/>
          <w:spacing w:val="-5"/>
        </w:rPr>
        <w:t> </w:t>
      </w:r>
      <w:r>
        <w:rPr>
          <w:color w:val="231F20"/>
        </w:rPr>
        <w:t>Аналогичным</w:t>
      </w:r>
      <w:r>
        <w:rPr>
          <w:color w:val="231F20"/>
          <w:spacing w:val="-5"/>
        </w:rPr>
        <w:t> </w:t>
      </w:r>
      <w:r>
        <w:rPr>
          <w:color w:val="231F20"/>
        </w:rPr>
        <w:t>образом</w:t>
      </w:r>
      <w:r>
        <w:rPr>
          <w:color w:val="231F20"/>
          <w:spacing w:val="-5"/>
        </w:rPr>
        <w:t> </w:t>
      </w:r>
      <w:r>
        <w:rPr>
          <w:color w:val="231F20"/>
        </w:rPr>
        <w:t>можно</w:t>
      </w:r>
      <w:r>
        <w:rPr>
          <w:color w:val="231F20"/>
          <w:spacing w:val="-5"/>
        </w:rPr>
        <w:t> </w:t>
      </w:r>
      <w:r>
        <w:rPr>
          <w:color w:val="231F20"/>
        </w:rPr>
        <w:t>представиться</w:t>
      </w:r>
      <w:r>
        <w:rPr>
          <w:color w:val="231F20"/>
          <w:spacing w:val="-5"/>
        </w:rPr>
        <w:t> </w:t>
      </w:r>
      <w:r>
        <w:rPr>
          <w:color w:val="231F20"/>
        </w:rPr>
        <w:t>ребенку</w:t>
      </w:r>
      <w:r>
        <w:rPr>
          <w:color w:val="231F20"/>
          <w:spacing w:val="-5"/>
        </w:rPr>
        <w:t> </w:t>
      </w:r>
      <w:r>
        <w:rPr>
          <w:color w:val="231F20"/>
        </w:rPr>
        <w:t>в</w:t>
      </w:r>
      <w:r>
        <w:rPr>
          <w:color w:val="231F20"/>
          <w:spacing w:val="-5"/>
        </w:rPr>
        <w:t> </w:t>
      </w:r>
      <w:r>
        <w:rPr>
          <w:color w:val="231F20"/>
        </w:rPr>
        <w:t>ин- дивидуальном общении на перемене или во время мероприятия. В личном общении надо спросить, как зовут ребенка.</w:t>
      </w:r>
    </w:p>
    <w:p>
      <w:pPr>
        <w:pStyle w:val="BodyText"/>
        <w:spacing w:line="235" w:lineRule="auto"/>
      </w:pPr>
      <w:r>
        <w:rPr>
          <w:color w:val="231F20"/>
        </w:rPr>
        <w:t>После того как знакомство состоялось, психолог может здороваться с ребенком, встречая его в школе и называя при этом его имя. Не следует выделять этого ребен- ка, психолог может приветствовать несколько детей сразу: «Настя, Коля, Ибрагим, </w:t>
      </w:r>
      <w:r>
        <w:rPr>
          <w:color w:val="231F20"/>
          <w:spacing w:val="-2"/>
        </w:rPr>
        <w:t>здравствуйте!»</w:t>
      </w:r>
    </w:p>
    <w:p>
      <w:pPr>
        <w:pStyle w:val="BodyText"/>
        <w:spacing w:line="235" w:lineRule="auto"/>
      </w:pPr>
      <w:r>
        <w:rPr>
          <w:color w:val="231F20"/>
        </w:rPr>
        <w:t>Информирование ребенка о содержании работы психолога также может прово- диться</w:t>
      </w:r>
      <w:r>
        <w:rPr>
          <w:color w:val="231F20"/>
          <w:spacing w:val="-5"/>
        </w:rPr>
        <w:t> </w:t>
      </w:r>
      <w:r>
        <w:rPr>
          <w:color w:val="231F20"/>
        </w:rPr>
        <w:t>в</w:t>
      </w:r>
      <w:r>
        <w:rPr>
          <w:color w:val="231F20"/>
          <w:spacing w:val="-5"/>
        </w:rPr>
        <w:t> </w:t>
      </w:r>
      <w:r>
        <w:rPr>
          <w:color w:val="231F20"/>
        </w:rPr>
        <w:t>групповом</w:t>
      </w:r>
      <w:r>
        <w:rPr>
          <w:color w:val="231F20"/>
          <w:spacing w:val="-5"/>
        </w:rPr>
        <w:t> </w:t>
      </w:r>
      <w:r>
        <w:rPr>
          <w:color w:val="231F20"/>
        </w:rPr>
        <w:t>и</w:t>
      </w:r>
      <w:r>
        <w:rPr>
          <w:color w:val="231F20"/>
          <w:spacing w:val="-5"/>
        </w:rPr>
        <w:t> </w:t>
      </w:r>
      <w:r>
        <w:rPr>
          <w:color w:val="231F20"/>
        </w:rPr>
        <w:t>индивидуальном</w:t>
      </w:r>
      <w:r>
        <w:rPr>
          <w:color w:val="231F20"/>
          <w:spacing w:val="-5"/>
        </w:rPr>
        <w:t> </w:t>
      </w:r>
      <w:r>
        <w:rPr>
          <w:color w:val="231F20"/>
        </w:rPr>
        <w:t>формате.</w:t>
      </w:r>
      <w:r>
        <w:rPr>
          <w:color w:val="231F20"/>
          <w:spacing w:val="-5"/>
        </w:rPr>
        <w:t> </w:t>
      </w:r>
      <w:r>
        <w:rPr>
          <w:color w:val="231F20"/>
        </w:rPr>
        <w:t>Если</w:t>
      </w:r>
      <w:r>
        <w:rPr>
          <w:color w:val="231F20"/>
          <w:spacing w:val="-5"/>
        </w:rPr>
        <w:t> </w:t>
      </w:r>
      <w:r>
        <w:rPr>
          <w:color w:val="231F20"/>
        </w:rPr>
        <w:t>психолог</w:t>
      </w:r>
      <w:r>
        <w:rPr>
          <w:color w:val="231F20"/>
          <w:spacing w:val="-5"/>
        </w:rPr>
        <w:t> </w:t>
      </w:r>
      <w:r>
        <w:rPr>
          <w:color w:val="231F20"/>
        </w:rPr>
        <w:t>принимает</w:t>
      </w:r>
      <w:r>
        <w:rPr>
          <w:color w:val="231F20"/>
          <w:spacing w:val="-5"/>
        </w:rPr>
        <w:t> </w:t>
      </w:r>
      <w:r>
        <w:rPr>
          <w:color w:val="231F20"/>
        </w:rPr>
        <w:t>участие</w:t>
      </w:r>
      <w:r>
        <w:rPr>
          <w:color w:val="231F20"/>
          <w:spacing w:val="-5"/>
        </w:rPr>
        <w:t> </w:t>
      </w:r>
      <w:r>
        <w:rPr>
          <w:color w:val="231F20"/>
        </w:rPr>
        <w:t>в </w:t>
      </w:r>
      <w:r>
        <w:rPr>
          <w:color w:val="231F20"/>
          <w:spacing w:val="-2"/>
        </w:rPr>
        <w:t>групповом</w:t>
      </w:r>
      <w:r>
        <w:rPr>
          <w:color w:val="231F20"/>
          <w:spacing w:val="-4"/>
        </w:rPr>
        <w:t> </w:t>
      </w:r>
      <w:r>
        <w:rPr>
          <w:color w:val="231F20"/>
          <w:spacing w:val="-2"/>
        </w:rPr>
        <w:t>мероприятии</w:t>
      </w:r>
      <w:r>
        <w:rPr>
          <w:color w:val="231F20"/>
          <w:spacing w:val="-4"/>
        </w:rPr>
        <w:t> </w:t>
      </w:r>
      <w:r>
        <w:rPr>
          <w:color w:val="231F20"/>
          <w:spacing w:val="-2"/>
        </w:rPr>
        <w:t>с</w:t>
      </w:r>
      <w:r>
        <w:rPr>
          <w:color w:val="231F20"/>
          <w:spacing w:val="-4"/>
        </w:rPr>
        <w:t> </w:t>
      </w:r>
      <w:r>
        <w:rPr>
          <w:color w:val="231F20"/>
          <w:spacing w:val="-2"/>
        </w:rPr>
        <w:t>классом</w:t>
      </w:r>
      <w:r>
        <w:rPr>
          <w:color w:val="231F20"/>
          <w:spacing w:val="-4"/>
        </w:rPr>
        <w:t> </w:t>
      </w:r>
      <w:r>
        <w:rPr>
          <w:color w:val="231F20"/>
          <w:spacing w:val="-2"/>
        </w:rPr>
        <w:t>или</w:t>
      </w:r>
      <w:r>
        <w:rPr>
          <w:color w:val="231F20"/>
          <w:spacing w:val="-4"/>
        </w:rPr>
        <w:t> </w:t>
      </w:r>
      <w:r>
        <w:rPr>
          <w:color w:val="231F20"/>
          <w:spacing w:val="-2"/>
        </w:rPr>
        <w:t>проводит</w:t>
      </w:r>
      <w:r>
        <w:rPr>
          <w:color w:val="231F20"/>
          <w:spacing w:val="-4"/>
        </w:rPr>
        <w:t> </w:t>
      </w:r>
      <w:r>
        <w:rPr>
          <w:color w:val="231F20"/>
          <w:spacing w:val="-2"/>
        </w:rPr>
        <w:t>его,</w:t>
      </w:r>
      <w:r>
        <w:rPr>
          <w:color w:val="231F20"/>
          <w:spacing w:val="-4"/>
        </w:rPr>
        <w:t> </w:t>
      </w:r>
      <w:r>
        <w:rPr>
          <w:color w:val="231F20"/>
          <w:spacing w:val="-2"/>
        </w:rPr>
        <w:t>он</w:t>
      </w:r>
      <w:r>
        <w:rPr>
          <w:color w:val="231F20"/>
          <w:spacing w:val="-4"/>
        </w:rPr>
        <w:t> </w:t>
      </w:r>
      <w:r>
        <w:rPr>
          <w:color w:val="231F20"/>
          <w:spacing w:val="-2"/>
        </w:rPr>
        <w:t>может</w:t>
      </w:r>
      <w:r>
        <w:rPr>
          <w:color w:val="231F20"/>
          <w:spacing w:val="-4"/>
        </w:rPr>
        <w:t> </w:t>
      </w:r>
      <w:r>
        <w:rPr>
          <w:color w:val="231F20"/>
          <w:spacing w:val="-2"/>
        </w:rPr>
        <w:t>напомнить</w:t>
      </w:r>
      <w:r>
        <w:rPr>
          <w:color w:val="231F20"/>
          <w:spacing w:val="-4"/>
        </w:rPr>
        <w:t> </w:t>
      </w:r>
      <w:r>
        <w:rPr>
          <w:color w:val="231F20"/>
          <w:spacing w:val="-2"/>
        </w:rPr>
        <w:t>или</w:t>
      </w:r>
      <w:r>
        <w:rPr>
          <w:color w:val="231F20"/>
          <w:spacing w:val="-4"/>
        </w:rPr>
        <w:t> </w:t>
      </w:r>
      <w:r>
        <w:rPr>
          <w:color w:val="231F20"/>
          <w:spacing w:val="-2"/>
        </w:rPr>
        <w:t>расска- </w:t>
      </w:r>
      <w:r>
        <w:rPr>
          <w:color w:val="231F20"/>
        </w:rPr>
        <w:t>зать</w:t>
      </w:r>
      <w:r>
        <w:rPr>
          <w:color w:val="231F20"/>
          <w:spacing w:val="-14"/>
        </w:rPr>
        <w:t> </w:t>
      </w:r>
      <w:r>
        <w:rPr>
          <w:color w:val="231F20"/>
        </w:rPr>
        <w:t>школьникам,</w:t>
      </w:r>
      <w:r>
        <w:rPr>
          <w:color w:val="231F20"/>
          <w:spacing w:val="-11"/>
        </w:rPr>
        <w:t> </w:t>
      </w:r>
      <w:r>
        <w:rPr>
          <w:color w:val="231F20"/>
        </w:rPr>
        <w:t>в</w:t>
      </w:r>
      <w:r>
        <w:rPr>
          <w:color w:val="231F20"/>
          <w:spacing w:val="-11"/>
        </w:rPr>
        <w:t> </w:t>
      </w:r>
      <w:r>
        <w:rPr>
          <w:color w:val="231F20"/>
        </w:rPr>
        <w:t>доступной</w:t>
      </w:r>
      <w:r>
        <w:rPr>
          <w:color w:val="231F20"/>
          <w:spacing w:val="-11"/>
        </w:rPr>
        <w:t> </w:t>
      </w:r>
      <w:r>
        <w:rPr>
          <w:color w:val="231F20"/>
        </w:rPr>
        <w:t>их</w:t>
      </w:r>
      <w:r>
        <w:rPr>
          <w:color w:val="231F20"/>
          <w:spacing w:val="-10"/>
        </w:rPr>
        <w:t> </w:t>
      </w:r>
      <w:r>
        <w:rPr>
          <w:color w:val="231F20"/>
        </w:rPr>
        <w:t>возрасту</w:t>
      </w:r>
      <w:r>
        <w:rPr>
          <w:color w:val="231F20"/>
          <w:spacing w:val="-11"/>
        </w:rPr>
        <w:t> </w:t>
      </w:r>
      <w:r>
        <w:rPr>
          <w:color w:val="231F20"/>
        </w:rPr>
        <w:t>форме,</w:t>
      </w:r>
      <w:r>
        <w:rPr>
          <w:color w:val="231F20"/>
          <w:spacing w:val="-11"/>
        </w:rPr>
        <w:t> </w:t>
      </w:r>
      <w:r>
        <w:rPr>
          <w:color w:val="231F20"/>
        </w:rPr>
        <w:t>чем</w:t>
      </w:r>
      <w:r>
        <w:rPr>
          <w:color w:val="231F20"/>
          <w:spacing w:val="-12"/>
        </w:rPr>
        <w:t> </w:t>
      </w:r>
      <w:r>
        <w:rPr>
          <w:color w:val="231F20"/>
        </w:rPr>
        <w:t>он</w:t>
      </w:r>
      <w:r>
        <w:rPr>
          <w:color w:val="231F20"/>
          <w:spacing w:val="-11"/>
        </w:rPr>
        <w:t> </w:t>
      </w:r>
      <w:r>
        <w:rPr>
          <w:color w:val="231F20"/>
        </w:rPr>
        <w:t>занимается.</w:t>
      </w:r>
      <w:r>
        <w:rPr>
          <w:color w:val="231F20"/>
          <w:spacing w:val="-11"/>
        </w:rPr>
        <w:t> </w:t>
      </w:r>
      <w:r>
        <w:rPr>
          <w:color w:val="231F20"/>
        </w:rPr>
        <w:t>Когда</w:t>
      </w:r>
      <w:r>
        <w:rPr>
          <w:color w:val="231F20"/>
          <w:spacing w:val="-11"/>
        </w:rPr>
        <w:t> </w:t>
      </w:r>
      <w:r>
        <w:rPr>
          <w:color w:val="231F20"/>
          <w:spacing w:val="-2"/>
        </w:rPr>
        <w:t>психолог</w:t>
      </w:r>
    </w:p>
    <w:p>
      <w:pPr>
        <w:pStyle w:val="BodyText"/>
        <w:spacing w:after="0" w:line="235" w:lineRule="auto"/>
        <w:sectPr>
          <w:pgSz w:w="8400" w:h="11910"/>
          <w:pgMar w:header="0" w:footer="528" w:top="400" w:bottom="720" w:left="425" w:right="425"/>
        </w:sectPr>
      </w:pPr>
    </w:p>
    <w:p>
      <w:pPr>
        <w:pStyle w:val="ListParagraph"/>
        <w:numPr>
          <w:ilvl w:val="1"/>
          <w:numId w:val="45"/>
        </w:numPr>
        <w:tabs>
          <w:tab w:pos="455" w:val="left" w:leader="none"/>
        </w:tabs>
        <w:spacing w:line="240" w:lineRule="auto" w:before="80" w:after="0"/>
        <w:ind w:left="455" w:right="0" w:hanging="314"/>
        <w:jc w:val="left"/>
        <w:rPr>
          <w:rFonts w:ascii="Georgia" w:hAnsi="Georgia"/>
          <w:sz w:val="18"/>
        </w:rPr>
      </w:pPr>
      <w:bookmarkStart w:name="_bookmark42" w:id="44"/>
      <w:bookmarkEnd w:id="44"/>
      <w:r>
        <w:rPr/>
      </w:r>
      <w:r>
        <w:rPr>
          <w:rFonts w:ascii="Georgia" w:hAnsi="Georgia"/>
          <w:color w:val="231F20"/>
          <w:sz w:val="18"/>
        </w:rPr>
        <w:t>Использование</w:t>
      </w:r>
      <w:r>
        <w:rPr>
          <w:rFonts w:ascii="Georgia" w:hAnsi="Georgia"/>
          <w:color w:val="231F20"/>
          <w:spacing w:val="-2"/>
          <w:sz w:val="18"/>
        </w:rPr>
        <w:t> </w:t>
      </w:r>
      <w:r>
        <w:rPr>
          <w:rFonts w:ascii="Georgia" w:hAnsi="Georgia"/>
          <w:color w:val="231F20"/>
          <w:sz w:val="18"/>
        </w:rPr>
        <w:t>консультативных</w:t>
      </w:r>
      <w:r>
        <w:rPr>
          <w:rFonts w:ascii="Georgia" w:hAnsi="Georgia"/>
          <w:color w:val="231F20"/>
          <w:spacing w:val="-1"/>
          <w:sz w:val="18"/>
        </w:rPr>
        <w:t> </w:t>
      </w:r>
      <w:r>
        <w:rPr>
          <w:rFonts w:ascii="Georgia" w:hAnsi="Georgia"/>
          <w:color w:val="231F20"/>
          <w:sz w:val="18"/>
        </w:rPr>
        <w:t>подходов</w:t>
      </w:r>
      <w:r>
        <w:rPr>
          <w:rFonts w:ascii="Georgia" w:hAnsi="Georgia"/>
          <w:color w:val="231F20"/>
          <w:spacing w:val="-2"/>
          <w:sz w:val="18"/>
        </w:rPr>
        <w:t> </w:t>
      </w:r>
      <w:r>
        <w:rPr>
          <w:rFonts w:ascii="Georgia" w:hAnsi="Georgia"/>
          <w:color w:val="231F20"/>
          <w:sz w:val="18"/>
        </w:rPr>
        <w:t>и</w:t>
      </w:r>
      <w:r>
        <w:rPr>
          <w:rFonts w:ascii="Georgia" w:hAnsi="Georgia"/>
          <w:color w:val="231F20"/>
          <w:spacing w:val="-1"/>
          <w:sz w:val="18"/>
        </w:rPr>
        <w:t> </w:t>
      </w:r>
      <w:r>
        <w:rPr>
          <w:rFonts w:ascii="Georgia" w:hAnsi="Georgia"/>
          <w:color w:val="231F20"/>
          <w:sz w:val="18"/>
        </w:rPr>
        <w:t>стратегий</w:t>
      </w:r>
      <w:r>
        <w:rPr>
          <w:rFonts w:ascii="Georgia" w:hAnsi="Georgia"/>
          <w:color w:val="231F20"/>
          <w:spacing w:val="-1"/>
          <w:sz w:val="18"/>
        </w:rPr>
        <w:t> </w:t>
      </w:r>
      <w:r>
        <w:rPr>
          <w:rFonts w:ascii="Georgia" w:hAnsi="Georgia"/>
          <w:color w:val="231F20"/>
          <w:sz w:val="18"/>
        </w:rPr>
        <w:t>в</w:t>
      </w:r>
      <w:r>
        <w:rPr>
          <w:rFonts w:ascii="Georgia" w:hAnsi="Georgia"/>
          <w:color w:val="231F20"/>
          <w:spacing w:val="-2"/>
          <w:sz w:val="18"/>
        </w:rPr>
        <w:t> </w:t>
      </w:r>
      <w:r>
        <w:rPr>
          <w:rFonts w:ascii="Georgia" w:hAnsi="Georgia"/>
          <w:color w:val="231F20"/>
          <w:sz w:val="18"/>
        </w:rPr>
        <w:t>работе</w:t>
      </w:r>
      <w:r>
        <w:rPr>
          <w:rFonts w:ascii="Georgia" w:hAnsi="Georgia"/>
          <w:color w:val="231F20"/>
          <w:spacing w:val="-1"/>
          <w:sz w:val="18"/>
        </w:rPr>
        <w:t> </w:t>
      </w:r>
      <w:r>
        <w:rPr>
          <w:rFonts w:ascii="Georgia" w:hAnsi="Georgia"/>
          <w:color w:val="231F20"/>
          <w:sz w:val="18"/>
        </w:rPr>
        <w:t>с</w:t>
      </w:r>
      <w:r>
        <w:rPr>
          <w:rFonts w:ascii="Georgia" w:hAnsi="Georgia"/>
          <w:color w:val="231F20"/>
          <w:spacing w:val="-1"/>
          <w:sz w:val="18"/>
        </w:rPr>
        <w:t> </w:t>
      </w:r>
      <w:r>
        <w:rPr>
          <w:rFonts w:ascii="Georgia" w:hAnsi="Georgia"/>
          <w:color w:val="231F20"/>
          <w:spacing w:val="-2"/>
          <w:sz w:val="18"/>
        </w:rPr>
        <w:t>детьми...</w:t>
      </w:r>
    </w:p>
    <w:p>
      <w:pPr>
        <w:pStyle w:val="BodyText"/>
        <w:spacing w:line="235" w:lineRule="auto" w:before="116"/>
        <w:ind w:firstLine="0"/>
      </w:pPr>
      <w:r>
        <w:rPr>
          <w:color w:val="231F20"/>
        </w:rPr>
        <w:t>приглашает ребенка на диагностическую/коррекционную встречу, он может кратко рассказать</w:t>
      </w:r>
      <w:r>
        <w:rPr>
          <w:color w:val="231F20"/>
          <w:spacing w:val="-7"/>
        </w:rPr>
        <w:t> </w:t>
      </w:r>
      <w:r>
        <w:rPr>
          <w:color w:val="231F20"/>
        </w:rPr>
        <w:t>о</w:t>
      </w:r>
      <w:r>
        <w:rPr>
          <w:color w:val="231F20"/>
          <w:spacing w:val="-6"/>
        </w:rPr>
        <w:t> </w:t>
      </w:r>
      <w:r>
        <w:rPr>
          <w:color w:val="231F20"/>
        </w:rPr>
        <w:t>своих</w:t>
      </w:r>
      <w:r>
        <w:rPr>
          <w:color w:val="231F20"/>
          <w:spacing w:val="-6"/>
        </w:rPr>
        <w:t> </w:t>
      </w:r>
      <w:r>
        <w:rPr>
          <w:color w:val="231F20"/>
        </w:rPr>
        <w:t>функциях,</w:t>
      </w:r>
      <w:r>
        <w:rPr>
          <w:color w:val="231F20"/>
          <w:spacing w:val="-6"/>
        </w:rPr>
        <w:t> </w:t>
      </w:r>
      <w:r>
        <w:rPr>
          <w:color w:val="231F20"/>
        </w:rPr>
        <w:t>а</w:t>
      </w:r>
      <w:r>
        <w:rPr>
          <w:color w:val="231F20"/>
          <w:spacing w:val="-6"/>
        </w:rPr>
        <w:t> </w:t>
      </w:r>
      <w:r>
        <w:rPr>
          <w:color w:val="231F20"/>
        </w:rPr>
        <w:t>более</w:t>
      </w:r>
      <w:r>
        <w:rPr>
          <w:color w:val="231F20"/>
          <w:spacing w:val="-6"/>
        </w:rPr>
        <w:t> </w:t>
      </w:r>
      <w:r>
        <w:rPr>
          <w:color w:val="231F20"/>
        </w:rPr>
        <w:t>подробно</w:t>
      </w:r>
      <w:r>
        <w:rPr>
          <w:color w:val="231F20"/>
          <w:spacing w:val="-6"/>
        </w:rPr>
        <w:t> </w:t>
      </w:r>
      <w:r>
        <w:rPr>
          <w:color w:val="231F20"/>
        </w:rPr>
        <w:t>поговорить</w:t>
      </w:r>
      <w:r>
        <w:rPr>
          <w:color w:val="231F20"/>
          <w:spacing w:val="-6"/>
        </w:rPr>
        <w:t> </w:t>
      </w:r>
      <w:r>
        <w:rPr>
          <w:color w:val="231F20"/>
        </w:rPr>
        <w:t>об</w:t>
      </w:r>
      <w:r>
        <w:rPr>
          <w:color w:val="231F20"/>
          <w:spacing w:val="-6"/>
        </w:rPr>
        <w:t> </w:t>
      </w:r>
      <w:r>
        <w:rPr>
          <w:color w:val="231F20"/>
        </w:rPr>
        <w:t>этом</w:t>
      </w:r>
      <w:r>
        <w:rPr>
          <w:color w:val="231F20"/>
          <w:spacing w:val="-6"/>
        </w:rPr>
        <w:t> </w:t>
      </w:r>
      <w:r>
        <w:rPr>
          <w:color w:val="231F20"/>
        </w:rPr>
        <w:t>непосредственно во время индивидуальной встречи.</w:t>
      </w:r>
    </w:p>
    <w:p>
      <w:pPr>
        <w:pStyle w:val="BodyText"/>
        <w:spacing w:line="235" w:lineRule="auto" w:before="2"/>
      </w:pPr>
      <w:r>
        <w:rPr/>
        <w:t>Когда планируется первая диагностическая или коррекционная встреча, ребенка надо предупредить об этом заранее. Важно объяснить ребенку, что многие ученики посещают психолога. Если о встрече с психологом ребенку скажет родитель или пе- дагог, следует согласовать, что именно они скажут.</w:t>
      </w:r>
    </w:p>
    <w:p>
      <w:pPr>
        <w:pStyle w:val="BodyText"/>
        <w:spacing w:line="235" w:lineRule="auto" w:before="2"/>
      </w:pPr>
      <w:r>
        <w:rPr/>
        <w:t>При</w:t>
      </w:r>
      <w:r>
        <w:rPr>
          <w:spacing w:val="-1"/>
        </w:rPr>
        <w:t> </w:t>
      </w:r>
      <w:r>
        <w:rPr/>
        <w:t>организации</w:t>
      </w:r>
      <w:r>
        <w:rPr>
          <w:spacing w:val="-1"/>
        </w:rPr>
        <w:t> </w:t>
      </w:r>
      <w:r>
        <w:rPr/>
        <w:t>встречи</w:t>
      </w:r>
      <w:r>
        <w:rPr>
          <w:spacing w:val="-1"/>
        </w:rPr>
        <w:t> </w:t>
      </w:r>
      <w:r>
        <w:rPr/>
        <w:t>необходимо</w:t>
      </w:r>
      <w:r>
        <w:rPr>
          <w:spacing w:val="-1"/>
        </w:rPr>
        <w:t> </w:t>
      </w:r>
      <w:r>
        <w:rPr/>
        <w:t>учитывать,</w:t>
      </w:r>
      <w:r>
        <w:rPr>
          <w:spacing w:val="-1"/>
        </w:rPr>
        <w:t> </w:t>
      </w:r>
      <w:r>
        <w:rPr/>
        <w:t>насколько</w:t>
      </w:r>
      <w:r>
        <w:rPr>
          <w:spacing w:val="-1"/>
        </w:rPr>
        <w:t> </w:t>
      </w:r>
      <w:r>
        <w:rPr/>
        <w:t>практика</w:t>
      </w:r>
      <w:r>
        <w:rPr>
          <w:spacing w:val="-1"/>
        </w:rPr>
        <w:t> </w:t>
      </w:r>
      <w:r>
        <w:rPr/>
        <w:t>индивиду- альных</w:t>
      </w:r>
      <w:r>
        <w:rPr>
          <w:spacing w:val="-1"/>
        </w:rPr>
        <w:t> </w:t>
      </w:r>
      <w:r>
        <w:rPr/>
        <w:t>встреч</w:t>
      </w:r>
      <w:r>
        <w:rPr>
          <w:spacing w:val="-1"/>
        </w:rPr>
        <w:t> </w:t>
      </w:r>
      <w:r>
        <w:rPr/>
        <w:t>учащихся</w:t>
      </w:r>
      <w:r>
        <w:rPr>
          <w:spacing w:val="-1"/>
        </w:rPr>
        <w:t> </w:t>
      </w:r>
      <w:r>
        <w:rPr/>
        <w:t>с</w:t>
      </w:r>
      <w:r>
        <w:rPr>
          <w:spacing w:val="-1"/>
        </w:rPr>
        <w:t> </w:t>
      </w:r>
      <w:r>
        <w:rPr/>
        <w:t>психологом</w:t>
      </w:r>
      <w:r>
        <w:rPr>
          <w:spacing w:val="-1"/>
        </w:rPr>
        <w:t> </w:t>
      </w:r>
      <w:r>
        <w:rPr/>
        <w:t>является</w:t>
      </w:r>
      <w:r>
        <w:rPr>
          <w:spacing w:val="-1"/>
        </w:rPr>
        <w:t> </w:t>
      </w:r>
      <w:r>
        <w:rPr/>
        <w:t>привычной</w:t>
      </w:r>
      <w:r>
        <w:rPr>
          <w:spacing w:val="-1"/>
        </w:rPr>
        <w:t> </w:t>
      </w:r>
      <w:r>
        <w:rPr/>
        <w:t>для</w:t>
      </w:r>
      <w:r>
        <w:rPr>
          <w:spacing w:val="-1"/>
        </w:rPr>
        <w:t> </w:t>
      </w:r>
      <w:r>
        <w:rPr/>
        <w:t>учеников.</w:t>
      </w:r>
      <w:r>
        <w:rPr>
          <w:spacing w:val="-1"/>
        </w:rPr>
        <w:t> </w:t>
      </w:r>
      <w:r>
        <w:rPr/>
        <w:t>Если</w:t>
      </w:r>
      <w:r>
        <w:rPr>
          <w:spacing w:val="-1"/>
        </w:rPr>
        <w:t> </w:t>
      </w:r>
      <w:r>
        <w:rPr/>
        <w:t>пси- холог часто их проводит, можно дать ребенку-мигранту возможность увидеть, как психолог приглашает или забирает детей на индивидуальную работу, а потом уже приглашать</w:t>
      </w:r>
      <w:r>
        <w:rPr>
          <w:spacing w:val="-11"/>
        </w:rPr>
        <w:t> </w:t>
      </w:r>
      <w:r>
        <w:rPr/>
        <w:t>его</w:t>
      </w:r>
      <w:r>
        <w:rPr>
          <w:spacing w:val="-11"/>
        </w:rPr>
        <w:t> </w:t>
      </w:r>
      <w:r>
        <w:rPr/>
        <w:t>самого</w:t>
      </w:r>
      <w:r>
        <w:rPr>
          <w:spacing w:val="-11"/>
        </w:rPr>
        <w:t> </w:t>
      </w:r>
      <w:r>
        <w:rPr/>
        <w:t>(часто</w:t>
      </w:r>
      <w:r>
        <w:rPr>
          <w:spacing w:val="-11"/>
        </w:rPr>
        <w:t> </w:t>
      </w:r>
      <w:r>
        <w:rPr/>
        <w:t>такая</w:t>
      </w:r>
      <w:r>
        <w:rPr>
          <w:spacing w:val="-11"/>
        </w:rPr>
        <w:t> </w:t>
      </w:r>
      <w:r>
        <w:rPr/>
        <w:t>ситуация</w:t>
      </w:r>
      <w:r>
        <w:rPr>
          <w:spacing w:val="-11"/>
        </w:rPr>
        <w:t> </w:t>
      </w:r>
      <w:r>
        <w:rPr/>
        <w:t>складывается</w:t>
      </w:r>
      <w:r>
        <w:rPr>
          <w:spacing w:val="-11"/>
        </w:rPr>
        <w:t> </w:t>
      </w:r>
      <w:r>
        <w:rPr/>
        <w:t>в</w:t>
      </w:r>
      <w:r>
        <w:rPr>
          <w:spacing w:val="-11"/>
        </w:rPr>
        <w:t> </w:t>
      </w:r>
      <w:r>
        <w:rPr/>
        <w:t>начальной</w:t>
      </w:r>
      <w:r>
        <w:rPr>
          <w:spacing w:val="-11"/>
        </w:rPr>
        <w:t> </w:t>
      </w:r>
      <w:r>
        <w:rPr/>
        <w:t>школе).</w:t>
      </w:r>
      <w:r>
        <w:rPr>
          <w:spacing w:val="-11"/>
        </w:rPr>
        <w:t> </w:t>
      </w:r>
      <w:r>
        <w:rPr/>
        <w:t>Если же индивидуальные встречи с психологом являются достаточно редкими, тогда не стоит приглашать ребенка публично.</w:t>
      </w:r>
    </w:p>
    <w:p>
      <w:pPr>
        <w:pStyle w:val="BodyText"/>
        <w:spacing w:line="235" w:lineRule="auto" w:before="4"/>
      </w:pPr>
      <w:r>
        <w:rPr/>
        <w:t>Дальнейшему углублению контакта с учащимся – несовершеннолетним ино- странным</w:t>
      </w:r>
      <w:r>
        <w:rPr>
          <w:spacing w:val="-12"/>
        </w:rPr>
        <w:t> </w:t>
      </w:r>
      <w:r>
        <w:rPr/>
        <w:t>гражданином</w:t>
      </w:r>
      <w:r>
        <w:rPr>
          <w:spacing w:val="-12"/>
        </w:rPr>
        <w:t> </w:t>
      </w:r>
      <w:r>
        <w:rPr/>
        <w:t>способствует</w:t>
      </w:r>
      <w:r>
        <w:rPr>
          <w:spacing w:val="-12"/>
        </w:rPr>
        <w:t> </w:t>
      </w:r>
      <w:r>
        <w:rPr/>
        <w:t>использование</w:t>
      </w:r>
      <w:r>
        <w:rPr>
          <w:spacing w:val="-12"/>
        </w:rPr>
        <w:t> </w:t>
      </w:r>
      <w:r>
        <w:rPr/>
        <w:t>психологом</w:t>
      </w:r>
      <w:r>
        <w:rPr>
          <w:spacing w:val="-12"/>
        </w:rPr>
        <w:t> </w:t>
      </w:r>
      <w:r>
        <w:rPr/>
        <w:t>приемов</w:t>
      </w:r>
      <w:r>
        <w:rPr>
          <w:spacing w:val="-12"/>
        </w:rPr>
        <w:t> </w:t>
      </w:r>
      <w:r>
        <w:rPr/>
        <w:t>эффектив- ной коммуникации, о которых пойдет речь в следующем параграфе.</w:t>
      </w:r>
    </w:p>
    <w:p>
      <w:pPr>
        <w:numPr>
          <w:ilvl w:val="2"/>
          <w:numId w:val="52"/>
        </w:numPr>
        <w:tabs>
          <w:tab w:pos="1912" w:val="left" w:leader="none"/>
          <w:tab w:pos="2294" w:val="left" w:leader="none"/>
        </w:tabs>
        <w:spacing w:line="235" w:lineRule="auto" w:before="228"/>
        <w:ind w:left="1912" w:right="1793" w:hanging="118"/>
        <w:jc w:val="left"/>
        <w:rPr>
          <w:b/>
          <w:sz w:val="20"/>
        </w:rPr>
      </w:pPr>
      <w:r>
        <w:rPr>
          <w:b/>
          <w:color w:val="231F20"/>
          <w:sz w:val="20"/>
        </w:rPr>
        <w:t>Приемы</w:t>
      </w:r>
      <w:r>
        <w:rPr>
          <w:b/>
          <w:color w:val="231F20"/>
          <w:spacing w:val="-13"/>
          <w:sz w:val="20"/>
        </w:rPr>
        <w:t> </w:t>
      </w:r>
      <w:r>
        <w:rPr>
          <w:b/>
          <w:color w:val="231F20"/>
          <w:sz w:val="20"/>
        </w:rPr>
        <w:t>эффективной</w:t>
      </w:r>
      <w:r>
        <w:rPr>
          <w:b/>
          <w:color w:val="231F20"/>
          <w:spacing w:val="-12"/>
          <w:sz w:val="20"/>
        </w:rPr>
        <w:t> </w:t>
      </w:r>
      <w:r>
        <w:rPr>
          <w:b/>
          <w:color w:val="231F20"/>
          <w:sz w:val="20"/>
        </w:rPr>
        <w:t>коммуникации с ребенком – иностранным гражданином</w:t>
      </w:r>
    </w:p>
    <w:p>
      <w:pPr>
        <w:pStyle w:val="BodyText"/>
        <w:spacing w:line="235" w:lineRule="auto" w:before="115"/>
      </w:pPr>
      <w:r>
        <w:rPr>
          <w:color w:val="231F20"/>
        </w:rPr>
        <w:t>В индивидуальной работе с ребенком – иностранным гражданином (мигрантом) </w:t>
      </w:r>
      <w:r>
        <w:rPr>
          <w:color w:val="231F20"/>
          <w:spacing w:val="-2"/>
        </w:rPr>
        <w:t>рекомендуется</w:t>
      </w:r>
      <w:r>
        <w:rPr>
          <w:color w:val="231F20"/>
          <w:spacing w:val="-3"/>
        </w:rPr>
        <w:t> </w:t>
      </w:r>
      <w:r>
        <w:rPr>
          <w:color w:val="231F20"/>
          <w:spacing w:val="-2"/>
        </w:rPr>
        <w:t>использовать</w:t>
      </w:r>
      <w:r>
        <w:rPr>
          <w:color w:val="231F20"/>
          <w:spacing w:val="-3"/>
        </w:rPr>
        <w:t> </w:t>
      </w:r>
      <w:r>
        <w:rPr>
          <w:color w:val="231F20"/>
          <w:spacing w:val="-2"/>
        </w:rPr>
        <w:t>общие</w:t>
      </w:r>
      <w:r>
        <w:rPr>
          <w:color w:val="231F20"/>
          <w:spacing w:val="-3"/>
        </w:rPr>
        <w:t> </w:t>
      </w:r>
      <w:r>
        <w:rPr>
          <w:color w:val="231F20"/>
          <w:spacing w:val="-2"/>
        </w:rPr>
        <w:t>техники</w:t>
      </w:r>
      <w:r>
        <w:rPr>
          <w:color w:val="231F20"/>
          <w:spacing w:val="-3"/>
        </w:rPr>
        <w:t> </w:t>
      </w:r>
      <w:r>
        <w:rPr>
          <w:color w:val="231F20"/>
          <w:spacing w:val="-2"/>
        </w:rPr>
        <w:t>коммуникации,</w:t>
      </w:r>
      <w:r>
        <w:rPr>
          <w:color w:val="231F20"/>
          <w:spacing w:val="-3"/>
        </w:rPr>
        <w:t> </w:t>
      </w:r>
      <w:r>
        <w:rPr>
          <w:color w:val="231F20"/>
          <w:spacing w:val="-2"/>
        </w:rPr>
        <w:t>которые</w:t>
      </w:r>
      <w:r>
        <w:rPr>
          <w:color w:val="231F20"/>
          <w:spacing w:val="-3"/>
        </w:rPr>
        <w:t> </w:t>
      </w:r>
      <w:r>
        <w:rPr>
          <w:color w:val="231F20"/>
          <w:spacing w:val="-2"/>
        </w:rPr>
        <w:t>принято</w:t>
      </w:r>
      <w:r>
        <w:rPr>
          <w:color w:val="231F20"/>
          <w:spacing w:val="-3"/>
        </w:rPr>
        <w:t> </w:t>
      </w:r>
      <w:r>
        <w:rPr>
          <w:color w:val="231F20"/>
          <w:spacing w:val="-2"/>
        </w:rPr>
        <w:t>исполь- </w:t>
      </w:r>
      <w:r>
        <w:rPr>
          <w:color w:val="231F20"/>
        </w:rPr>
        <w:t>зовать в коррекционной и консультативной работе с детьми и подростками. Кратко перечислим данные техники.</w:t>
      </w:r>
    </w:p>
    <w:p>
      <w:pPr>
        <w:spacing w:line="228" w:lineRule="exact" w:before="112"/>
        <w:ind w:left="425" w:right="0" w:firstLine="0"/>
        <w:jc w:val="both"/>
        <w:rPr>
          <w:b/>
          <w:i/>
          <w:sz w:val="20"/>
        </w:rPr>
      </w:pPr>
      <w:r>
        <w:rPr>
          <w:b/>
          <w:i/>
          <w:color w:val="231F20"/>
          <w:sz w:val="20"/>
        </w:rPr>
        <w:t>Пассивное</w:t>
      </w:r>
      <w:r>
        <w:rPr>
          <w:b/>
          <w:i/>
          <w:color w:val="231F20"/>
          <w:spacing w:val="-2"/>
          <w:sz w:val="20"/>
        </w:rPr>
        <w:t> слушание</w:t>
      </w:r>
    </w:p>
    <w:p>
      <w:pPr>
        <w:pStyle w:val="BodyText"/>
        <w:spacing w:line="235" w:lineRule="auto" w:before="2"/>
        <w:ind w:right="140"/>
      </w:pPr>
      <w:r>
        <w:rPr>
          <w:color w:val="231F20"/>
        </w:rPr>
        <w:t>В</w:t>
      </w:r>
      <w:r>
        <w:rPr>
          <w:color w:val="231F20"/>
          <w:spacing w:val="-8"/>
        </w:rPr>
        <w:t> </w:t>
      </w:r>
      <w:r>
        <w:rPr>
          <w:color w:val="231F20"/>
        </w:rPr>
        <w:t>отличие</w:t>
      </w:r>
      <w:r>
        <w:rPr>
          <w:color w:val="231F20"/>
          <w:spacing w:val="-8"/>
        </w:rPr>
        <w:t> </w:t>
      </w:r>
      <w:r>
        <w:rPr>
          <w:color w:val="231F20"/>
        </w:rPr>
        <w:t>от</w:t>
      </w:r>
      <w:r>
        <w:rPr>
          <w:color w:val="231F20"/>
          <w:spacing w:val="-8"/>
        </w:rPr>
        <w:t> </w:t>
      </w:r>
      <w:r>
        <w:rPr>
          <w:color w:val="231F20"/>
        </w:rPr>
        <w:t>работы</w:t>
      </w:r>
      <w:r>
        <w:rPr>
          <w:color w:val="231F20"/>
          <w:spacing w:val="-8"/>
        </w:rPr>
        <w:t> </w:t>
      </w:r>
      <w:r>
        <w:rPr>
          <w:color w:val="231F20"/>
        </w:rPr>
        <w:t>с</w:t>
      </w:r>
      <w:r>
        <w:rPr>
          <w:color w:val="231F20"/>
          <w:spacing w:val="-8"/>
        </w:rPr>
        <w:t> </w:t>
      </w:r>
      <w:r>
        <w:rPr>
          <w:color w:val="231F20"/>
        </w:rPr>
        <w:t>взрослыми,</w:t>
      </w:r>
      <w:r>
        <w:rPr>
          <w:color w:val="231F20"/>
          <w:spacing w:val="-8"/>
        </w:rPr>
        <w:t> </w:t>
      </w:r>
      <w:r>
        <w:rPr>
          <w:color w:val="231F20"/>
        </w:rPr>
        <w:t>в</w:t>
      </w:r>
      <w:r>
        <w:rPr>
          <w:color w:val="231F20"/>
          <w:spacing w:val="-8"/>
        </w:rPr>
        <w:t> </w:t>
      </w:r>
      <w:r>
        <w:rPr>
          <w:color w:val="231F20"/>
        </w:rPr>
        <w:t>общении</w:t>
      </w:r>
      <w:r>
        <w:rPr>
          <w:color w:val="231F20"/>
          <w:spacing w:val="-8"/>
        </w:rPr>
        <w:t> </w:t>
      </w:r>
      <w:r>
        <w:rPr>
          <w:color w:val="231F20"/>
        </w:rPr>
        <w:t>с</w:t>
      </w:r>
      <w:r>
        <w:rPr>
          <w:color w:val="231F20"/>
          <w:spacing w:val="-8"/>
        </w:rPr>
        <w:t> </w:t>
      </w:r>
      <w:r>
        <w:rPr>
          <w:color w:val="231F20"/>
        </w:rPr>
        <w:t>детьми</w:t>
      </w:r>
      <w:r>
        <w:rPr>
          <w:color w:val="231F20"/>
          <w:spacing w:val="-8"/>
        </w:rPr>
        <w:t> </w:t>
      </w:r>
      <w:r>
        <w:rPr>
          <w:color w:val="231F20"/>
        </w:rPr>
        <w:t>психологи</w:t>
      </w:r>
      <w:r>
        <w:rPr>
          <w:color w:val="231F20"/>
          <w:spacing w:val="-8"/>
        </w:rPr>
        <w:t> </w:t>
      </w:r>
      <w:r>
        <w:rPr>
          <w:color w:val="231F20"/>
        </w:rPr>
        <w:t>часто</w:t>
      </w:r>
      <w:r>
        <w:rPr>
          <w:color w:val="231F20"/>
          <w:spacing w:val="-8"/>
        </w:rPr>
        <w:t> </w:t>
      </w:r>
      <w:r>
        <w:rPr>
          <w:color w:val="231F20"/>
        </w:rPr>
        <w:t>занимают очень</w:t>
      </w:r>
      <w:r>
        <w:rPr>
          <w:color w:val="231F20"/>
          <w:spacing w:val="-13"/>
        </w:rPr>
        <w:t> </w:t>
      </w:r>
      <w:r>
        <w:rPr>
          <w:color w:val="231F20"/>
        </w:rPr>
        <w:t>активную</w:t>
      </w:r>
      <w:r>
        <w:rPr>
          <w:color w:val="231F20"/>
          <w:spacing w:val="-12"/>
        </w:rPr>
        <w:t> </w:t>
      </w:r>
      <w:r>
        <w:rPr>
          <w:color w:val="231F20"/>
        </w:rPr>
        <w:t>позицию,</w:t>
      </w:r>
      <w:r>
        <w:rPr>
          <w:color w:val="231F20"/>
          <w:spacing w:val="-13"/>
        </w:rPr>
        <w:t> </w:t>
      </w:r>
      <w:r>
        <w:rPr>
          <w:color w:val="231F20"/>
        </w:rPr>
        <w:t>задавая</w:t>
      </w:r>
      <w:r>
        <w:rPr>
          <w:color w:val="231F20"/>
          <w:spacing w:val="-12"/>
        </w:rPr>
        <w:t> </w:t>
      </w:r>
      <w:r>
        <w:rPr>
          <w:color w:val="231F20"/>
        </w:rPr>
        <w:t>много</w:t>
      </w:r>
      <w:r>
        <w:rPr>
          <w:color w:val="231F20"/>
          <w:spacing w:val="-13"/>
        </w:rPr>
        <w:t> </w:t>
      </w:r>
      <w:r>
        <w:rPr>
          <w:color w:val="231F20"/>
        </w:rPr>
        <w:t>вопросов</w:t>
      </w:r>
      <w:r>
        <w:rPr>
          <w:color w:val="231F20"/>
          <w:spacing w:val="-12"/>
        </w:rPr>
        <w:t> </w:t>
      </w:r>
      <w:r>
        <w:rPr>
          <w:color w:val="231F20"/>
        </w:rPr>
        <w:t>или</w:t>
      </w:r>
      <w:r>
        <w:rPr>
          <w:color w:val="231F20"/>
          <w:spacing w:val="-13"/>
        </w:rPr>
        <w:t> </w:t>
      </w:r>
      <w:r>
        <w:rPr>
          <w:color w:val="231F20"/>
        </w:rPr>
        <w:t>давая</w:t>
      </w:r>
      <w:r>
        <w:rPr>
          <w:color w:val="231F20"/>
          <w:spacing w:val="-12"/>
        </w:rPr>
        <w:t> </w:t>
      </w:r>
      <w:r>
        <w:rPr>
          <w:color w:val="231F20"/>
        </w:rPr>
        <w:t>советы.</w:t>
      </w:r>
      <w:r>
        <w:rPr>
          <w:color w:val="231F20"/>
          <w:spacing w:val="-13"/>
        </w:rPr>
        <w:t> </w:t>
      </w:r>
      <w:r>
        <w:rPr>
          <w:color w:val="231F20"/>
        </w:rPr>
        <w:t>Поэтому</w:t>
      </w:r>
      <w:r>
        <w:rPr>
          <w:color w:val="231F20"/>
          <w:spacing w:val="-12"/>
        </w:rPr>
        <w:t> </w:t>
      </w:r>
      <w:r>
        <w:rPr>
          <w:color w:val="231F20"/>
        </w:rPr>
        <w:t>первое, на что следует обратить внимание, – пассивное слушание.</w:t>
      </w:r>
    </w:p>
    <w:p>
      <w:pPr>
        <w:pStyle w:val="BodyText"/>
        <w:spacing w:line="235" w:lineRule="auto" w:before="2"/>
      </w:pPr>
      <w:r>
        <w:rPr>
          <w:color w:val="231F20"/>
        </w:rPr>
        <w:t>Основное содержание пассивного слушания заключается в том, что психолог не торопится реагировать на слова ребенка, особенно если смысл или эмоциональная нагрузка</w:t>
      </w:r>
      <w:r>
        <w:rPr>
          <w:color w:val="231F20"/>
          <w:spacing w:val="29"/>
        </w:rPr>
        <w:t> </w:t>
      </w:r>
      <w:r>
        <w:rPr>
          <w:color w:val="231F20"/>
        </w:rPr>
        <w:t>высказывания</w:t>
      </w:r>
      <w:r>
        <w:rPr>
          <w:color w:val="231F20"/>
          <w:spacing w:val="30"/>
        </w:rPr>
        <w:t> </w:t>
      </w:r>
      <w:r>
        <w:rPr>
          <w:color w:val="231F20"/>
        </w:rPr>
        <w:t>не</w:t>
      </w:r>
      <w:r>
        <w:rPr>
          <w:color w:val="231F20"/>
          <w:spacing w:val="30"/>
        </w:rPr>
        <w:t> </w:t>
      </w:r>
      <w:r>
        <w:rPr>
          <w:color w:val="231F20"/>
        </w:rPr>
        <w:t>вполне</w:t>
      </w:r>
      <w:r>
        <w:rPr>
          <w:color w:val="231F20"/>
          <w:spacing w:val="31"/>
        </w:rPr>
        <w:t> </w:t>
      </w:r>
      <w:r>
        <w:rPr>
          <w:color w:val="231F20"/>
        </w:rPr>
        <w:t>понятны.</w:t>
      </w:r>
      <w:r>
        <w:rPr>
          <w:color w:val="231F20"/>
          <w:spacing w:val="30"/>
        </w:rPr>
        <w:t> </w:t>
      </w:r>
      <w:r>
        <w:rPr>
          <w:color w:val="231F20"/>
        </w:rPr>
        <w:t>Психологу</w:t>
      </w:r>
      <w:r>
        <w:rPr>
          <w:color w:val="231F20"/>
          <w:spacing w:val="31"/>
        </w:rPr>
        <w:t> </w:t>
      </w:r>
      <w:r>
        <w:rPr>
          <w:color w:val="231F20"/>
        </w:rPr>
        <w:t>достаточно</w:t>
      </w:r>
      <w:r>
        <w:rPr>
          <w:color w:val="231F20"/>
          <w:spacing w:val="30"/>
        </w:rPr>
        <w:t> </w:t>
      </w:r>
      <w:r>
        <w:rPr>
          <w:color w:val="231F20"/>
        </w:rPr>
        <w:t>ответить</w:t>
      </w:r>
      <w:r>
        <w:rPr>
          <w:color w:val="231F20"/>
          <w:spacing w:val="30"/>
        </w:rPr>
        <w:t> </w:t>
      </w:r>
      <w:r>
        <w:rPr>
          <w:color w:val="231F20"/>
          <w:spacing w:val="-2"/>
        </w:rPr>
        <w:t>«да»,</w:t>
      </w:r>
    </w:p>
    <w:p>
      <w:pPr>
        <w:pStyle w:val="BodyText"/>
        <w:spacing w:line="235" w:lineRule="auto" w:before="1"/>
        <w:ind w:firstLine="0"/>
      </w:pPr>
      <w:r>
        <w:rPr>
          <w:color w:val="231F20"/>
        </w:rPr>
        <w:t>«угу»</w:t>
      </w:r>
      <w:r>
        <w:rPr>
          <w:color w:val="231F20"/>
          <w:spacing w:val="-6"/>
        </w:rPr>
        <w:t> </w:t>
      </w:r>
      <w:r>
        <w:rPr>
          <w:color w:val="231F20"/>
        </w:rPr>
        <w:t>или</w:t>
      </w:r>
      <w:r>
        <w:rPr>
          <w:color w:val="231F20"/>
          <w:spacing w:val="-6"/>
        </w:rPr>
        <w:t> </w:t>
      </w:r>
      <w:r>
        <w:rPr>
          <w:color w:val="231F20"/>
        </w:rPr>
        <w:t>кивнуть,</w:t>
      </w:r>
      <w:r>
        <w:rPr>
          <w:color w:val="231F20"/>
          <w:spacing w:val="-6"/>
        </w:rPr>
        <w:t> </w:t>
      </w:r>
      <w:r>
        <w:rPr>
          <w:color w:val="231F20"/>
        </w:rPr>
        <w:t>показывая,</w:t>
      </w:r>
      <w:r>
        <w:rPr>
          <w:color w:val="231F20"/>
          <w:spacing w:val="-6"/>
        </w:rPr>
        <w:t> </w:t>
      </w:r>
      <w:r>
        <w:rPr>
          <w:color w:val="231F20"/>
        </w:rPr>
        <w:t>что</w:t>
      </w:r>
      <w:r>
        <w:rPr>
          <w:color w:val="231F20"/>
          <w:spacing w:val="-6"/>
        </w:rPr>
        <w:t> </w:t>
      </w:r>
      <w:r>
        <w:rPr>
          <w:color w:val="231F20"/>
        </w:rPr>
        <w:t>он</w:t>
      </w:r>
      <w:r>
        <w:rPr>
          <w:color w:val="231F20"/>
          <w:spacing w:val="-6"/>
        </w:rPr>
        <w:t> </w:t>
      </w:r>
      <w:r>
        <w:rPr>
          <w:color w:val="231F20"/>
        </w:rPr>
        <w:t>готов</w:t>
      </w:r>
      <w:r>
        <w:rPr>
          <w:color w:val="231F20"/>
          <w:spacing w:val="-6"/>
        </w:rPr>
        <w:t> </w:t>
      </w:r>
      <w:r>
        <w:rPr>
          <w:color w:val="231F20"/>
        </w:rPr>
        <w:t>слушать</w:t>
      </w:r>
      <w:r>
        <w:rPr>
          <w:color w:val="231F20"/>
          <w:spacing w:val="-6"/>
        </w:rPr>
        <w:t> </w:t>
      </w:r>
      <w:r>
        <w:rPr>
          <w:color w:val="231F20"/>
        </w:rPr>
        <w:t>и</w:t>
      </w:r>
      <w:r>
        <w:rPr>
          <w:color w:val="231F20"/>
          <w:spacing w:val="-6"/>
        </w:rPr>
        <w:t> </w:t>
      </w:r>
      <w:r>
        <w:rPr>
          <w:color w:val="231F20"/>
        </w:rPr>
        <w:t>заинтересован</w:t>
      </w:r>
      <w:r>
        <w:rPr>
          <w:color w:val="231F20"/>
          <w:spacing w:val="-6"/>
        </w:rPr>
        <w:t> </w:t>
      </w:r>
      <w:r>
        <w:rPr>
          <w:color w:val="231F20"/>
        </w:rPr>
        <w:t>в</w:t>
      </w:r>
      <w:r>
        <w:rPr>
          <w:color w:val="231F20"/>
          <w:spacing w:val="-6"/>
        </w:rPr>
        <w:t> </w:t>
      </w:r>
      <w:r>
        <w:rPr>
          <w:color w:val="231F20"/>
        </w:rPr>
        <w:t>том,</w:t>
      </w:r>
      <w:r>
        <w:rPr>
          <w:color w:val="231F20"/>
          <w:spacing w:val="-6"/>
        </w:rPr>
        <w:t> </w:t>
      </w:r>
      <w:r>
        <w:rPr>
          <w:color w:val="231F20"/>
        </w:rPr>
        <w:t>что</w:t>
      </w:r>
      <w:r>
        <w:rPr>
          <w:color w:val="231F20"/>
          <w:spacing w:val="-6"/>
        </w:rPr>
        <w:t> </w:t>
      </w:r>
      <w:r>
        <w:rPr>
          <w:color w:val="231F20"/>
        </w:rPr>
        <w:t>ребе- нок собирается ему сообщить.</w:t>
      </w:r>
    </w:p>
    <w:p>
      <w:pPr>
        <w:pStyle w:val="BodyText"/>
        <w:spacing w:line="235" w:lineRule="auto" w:before="2"/>
      </w:pPr>
      <w:r>
        <w:rPr>
          <w:color w:val="231F20"/>
        </w:rPr>
        <w:t>Еще одна техника пассивного слушания – дословное повторение высказывания ребенка, целиком или частично. Оно может звучать как в утвердительной, так и в вопросительной форме. Например, ребенок показывает психологу свой рисунок и говорит: «Я нарисовал корову». Психолог реагирует так: «Корову?» или: «Ага, ты нарисовал корову».</w:t>
      </w:r>
    </w:p>
    <w:p>
      <w:pPr>
        <w:spacing w:line="228" w:lineRule="exact" w:before="112"/>
        <w:ind w:left="425" w:right="0" w:firstLine="0"/>
        <w:jc w:val="both"/>
        <w:rPr>
          <w:b/>
          <w:i/>
          <w:sz w:val="20"/>
        </w:rPr>
      </w:pPr>
      <w:r>
        <w:rPr>
          <w:b/>
          <w:i/>
          <w:color w:val="231F20"/>
          <w:sz w:val="20"/>
        </w:rPr>
        <w:t>Текущие</w:t>
      </w:r>
      <w:r>
        <w:rPr>
          <w:b/>
          <w:i/>
          <w:color w:val="231F20"/>
          <w:spacing w:val="-8"/>
          <w:sz w:val="20"/>
        </w:rPr>
        <w:t> </w:t>
      </w:r>
      <w:r>
        <w:rPr>
          <w:b/>
          <w:i/>
          <w:color w:val="231F20"/>
          <w:spacing w:val="-2"/>
          <w:sz w:val="20"/>
        </w:rPr>
        <w:t>комментарии</w:t>
      </w:r>
    </w:p>
    <w:p>
      <w:pPr>
        <w:pStyle w:val="BodyText"/>
        <w:spacing w:line="235" w:lineRule="auto" w:before="2"/>
      </w:pPr>
      <w:r>
        <w:rPr>
          <w:color w:val="231F20"/>
        </w:rPr>
        <w:t>Эта техника означает, что психолог просто описывает действия ребенка: что он рисует,</w:t>
      </w:r>
      <w:r>
        <w:rPr>
          <w:color w:val="231F20"/>
          <w:spacing w:val="-8"/>
        </w:rPr>
        <w:t> </w:t>
      </w:r>
      <w:r>
        <w:rPr>
          <w:color w:val="231F20"/>
        </w:rPr>
        <w:t>как</w:t>
      </w:r>
      <w:r>
        <w:rPr>
          <w:color w:val="231F20"/>
          <w:spacing w:val="-8"/>
        </w:rPr>
        <w:t> </w:t>
      </w:r>
      <w:r>
        <w:rPr>
          <w:color w:val="231F20"/>
        </w:rPr>
        <w:t>играет</w:t>
      </w:r>
      <w:r>
        <w:rPr>
          <w:color w:val="231F20"/>
          <w:spacing w:val="-8"/>
        </w:rPr>
        <w:t> </w:t>
      </w:r>
      <w:r>
        <w:rPr>
          <w:color w:val="231F20"/>
        </w:rPr>
        <w:t>и</w:t>
      </w:r>
      <w:r>
        <w:rPr>
          <w:color w:val="231F20"/>
          <w:spacing w:val="-8"/>
        </w:rPr>
        <w:t> </w:t>
      </w:r>
      <w:r>
        <w:rPr>
          <w:color w:val="231F20"/>
        </w:rPr>
        <w:t>пр.</w:t>
      </w:r>
      <w:r>
        <w:rPr>
          <w:color w:val="231F20"/>
          <w:spacing w:val="-8"/>
        </w:rPr>
        <w:t> </w:t>
      </w:r>
      <w:r>
        <w:rPr>
          <w:color w:val="231F20"/>
        </w:rPr>
        <w:t>Например:</w:t>
      </w:r>
      <w:r>
        <w:rPr>
          <w:color w:val="231F20"/>
          <w:spacing w:val="-8"/>
        </w:rPr>
        <w:t> </w:t>
      </w:r>
      <w:r>
        <w:rPr>
          <w:color w:val="231F20"/>
        </w:rPr>
        <w:t>«У</w:t>
      </w:r>
      <w:r>
        <w:rPr>
          <w:color w:val="231F20"/>
          <w:spacing w:val="-8"/>
        </w:rPr>
        <w:t> </w:t>
      </w:r>
      <w:r>
        <w:rPr>
          <w:color w:val="231F20"/>
        </w:rPr>
        <w:t>этого</w:t>
      </w:r>
      <w:r>
        <w:rPr>
          <w:color w:val="231F20"/>
          <w:spacing w:val="-8"/>
        </w:rPr>
        <w:t> </w:t>
      </w:r>
      <w:r>
        <w:rPr>
          <w:color w:val="231F20"/>
        </w:rPr>
        <w:t>монстра</w:t>
      </w:r>
      <w:r>
        <w:rPr>
          <w:color w:val="231F20"/>
          <w:spacing w:val="-8"/>
        </w:rPr>
        <w:t> </w:t>
      </w:r>
      <w:r>
        <w:rPr>
          <w:color w:val="231F20"/>
        </w:rPr>
        <w:t>красные</w:t>
      </w:r>
      <w:r>
        <w:rPr>
          <w:color w:val="231F20"/>
          <w:spacing w:val="-8"/>
        </w:rPr>
        <w:t> </w:t>
      </w:r>
      <w:r>
        <w:rPr>
          <w:color w:val="231F20"/>
        </w:rPr>
        <w:t>глаза»</w:t>
      </w:r>
      <w:r>
        <w:rPr>
          <w:color w:val="231F20"/>
          <w:spacing w:val="-8"/>
        </w:rPr>
        <w:t> </w:t>
      </w:r>
      <w:r>
        <w:rPr>
          <w:color w:val="231F20"/>
        </w:rPr>
        <w:t>или</w:t>
      </w:r>
      <w:r>
        <w:rPr>
          <w:color w:val="231F20"/>
          <w:spacing w:val="-8"/>
        </w:rPr>
        <w:t> </w:t>
      </w:r>
      <w:r>
        <w:rPr>
          <w:color w:val="231F20"/>
        </w:rPr>
        <w:t>«Сейчас</w:t>
      </w:r>
      <w:r>
        <w:rPr>
          <w:color w:val="231F20"/>
          <w:spacing w:val="-8"/>
        </w:rPr>
        <w:t> </w:t>
      </w:r>
      <w:r>
        <w:rPr>
          <w:color w:val="231F20"/>
        </w:rPr>
        <w:t>все звери засыпаны песком, и их не видно». Текущие комментарии должны быть безо- ценочными, также следует помнить, что любой предмет может означать что угодно, поэтому</w:t>
      </w:r>
      <w:r>
        <w:rPr>
          <w:color w:val="231F20"/>
          <w:spacing w:val="-9"/>
        </w:rPr>
        <w:t> </w:t>
      </w:r>
      <w:r>
        <w:rPr>
          <w:color w:val="231F20"/>
        </w:rPr>
        <w:t>не</w:t>
      </w:r>
      <w:r>
        <w:rPr>
          <w:color w:val="231F20"/>
          <w:spacing w:val="-9"/>
        </w:rPr>
        <w:t> </w:t>
      </w:r>
      <w:r>
        <w:rPr>
          <w:color w:val="231F20"/>
        </w:rPr>
        <w:t>нужно</w:t>
      </w:r>
      <w:r>
        <w:rPr>
          <w:color w:val="231F20"/>
          <w:spacing w:val="-8"/>
        </w:rPr>
        <w:t> </w:t>
      </w:r>
      <w:r>
        <w:rPr>
          <w:color w:val="231F20"/>
        </w:rPr>
        <w:t>торопиться</w:t>
      </w:r>
      <w:r>
        <w:rPr>
          <w:color w:val="231F20"/>
          <w:spacing w:val="-9"/>
        </w:rPr>
        <w:t> </w:t>
      </w:r>
      <w:r>
        <w:rPr>
          <w:color w:val="231F20"/>
        </w:rPr>
        <w:t>с</w:t>
      </w:r>
      <w:r>
        <w:rPr>
          <w:color w:val="231F20"/>
          <w:spacing w:val="-8"/>
        </w:rPr>
        <w:t> </w:t>
      </w:r>
      <w:r>
        <w:rPr>
          <w:color w:val="231F20"/>
        </w:rPr>
        <w:t>обозначением</w:t>
      </w:r>
      <w:r>
        <w:rPr>
          <w:color w:val="231F20"/>
          <w:spacing w:val="-9"/>
        </w:rPr>
        <w:t> </w:t>
      </w:r>
      <w:r>
        <w:rPr>
          <w:color w:val="231F20"/>
        </w:rPr>
        <w:t>кубика,</w:t>
      </w:r>
      <w:r>
        <w:rPr>
          <w:color w:val="231F20"/>
          <w:spacing w:val="-8"/>
        </w:rPr>
        <w:t> </w:t>
      </w:r>
      <w:r>
        <w:rPr>
          <w:color w:val="231F20"/>
        </w:rPr>
        <w:t>который</w:t>
      </w:r>
      <w:r>
        <w:rPr>
          <w:color w:val="231F20"/>
          <w:spacing w:val="-9"/>
        </w:rPr>
        <w:t> </w:t>
      </w:r>
      <w:r>
        <w:rPr>
          <w:color w:val="231F20"/>
        </w:rPr>
        <w:t>ребенок</w:t>
      </w:r>
      <w:r>
        <w:rPr>
          <w:color w:val="231F20"/>
          <w:spacing w:val="-8"/>
        </w:rPr>
        <w:t> </w:t>
      </w:r>
      <w:r>
        <w:rPr>
          <w:color w:val="231F20"/>
        </w:rPr>
        <w:t>толкает</w:t>
      </w:r>
      <w:r>
        <w:rPr>
          <w:color w:val="231F20"/>
          <w:spacing w:val="-9"/>
        </w:rPr>
        <w:t> </w:t>
      </w:r>
      <w:r>
        <w:rPr>
          <w:color w:val="231F20"/>
        </w:rPr>
        <w:t>с</w:t>
      </w:r>
      <w:r>
        <w:rPr>
          <w:color w:val="231F20"/>
          <w:spacing w:val="-8"/>
        </w:rPr>
        <w:t> </w:t>
      </w:r>
      <w:r>
        <w:rPr>
          <w:color w:val="231F20"/>
          <w:spacing w:val="-5"/>
        </w:rPr>
        <w:t>ры-</w:t>
      </w:r>
    </w:p>
    <w:p>
      <w:pPr>
        <w:pStyle w:val="BodyText"/>
        <w:spacing w:after="0" w:line="235" w:lineRule="auto"/>
        <w:sectPr>
          <w:pgSz w:w="8400" w:h="11910"/>
          <w:pgMar w:header="0" w:footer="528"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before="112"/>
        <w:ind w:right="0" w:firstLine="0"/>
        <w:jc w:val="left"/>
      </w:pPr>
      <w:r>
        <w:rPr>
          <w:color w:val="231F20"/>
        </w:rPr>
        <w:t>чанием,</w:t>
      </w:r>
      <w:r>
        <w:rPr>
          <w:color w:val="231F20"/>
          <w:spacing w:val="-6"/>
        </w:rPr>
        <w:t> </w:t>
      </w:r>
      <w:r>
        <w:rPr>
          <w:color w:val="231F20"/>
        </w:rPr>
        <w:t>как</w:t>
      </w:r>
      <w:r>
        <w:rPr>
          <w:color w:val="231F20"/>
          <w:spacing w:val="-4"/>
        </w:rPr>
        <w:t> </w:t>
      </w:r>
      <w:r>
        <w:rPr>
          <w:color w:val="231F20"/>
        </w:rPr>
        <w:t>«машину»,</w:t>
      </w:r>
      <w:r>
        <w:rPr>
          <w:color w:val="231F20"/>
          <w:spacing w:val="-4"/>
        </w:rPr>
        <w:t> </w:t>
      </w:r>
      <w:r>
        <w:rPr>
          <w:color w:val="231F20"/>
        </w:rPr>
        <w:t>это</w:t>
      </w:r>
      <w:r>
        <w:rPr>
          <w:color w:val="231F20"/>
          <w:spacing w:val="-3"/>
        </w:rPr>
        <w:t> </w:t>
      </w:r>
      <w:r>
        <w:rPr>
          <w:color w:val="231F20"/>
        </w:rPr>
        <w:t>вполне</w:t>
      </w:r>
      <w:r>
        <w:rPr>
          <w:color w:val="231F20"/>
          <w:spacing w:val="-4"/>
        </w:rPr>
        <w:t> </w:t>
      </w:r>
      <w:r>
        <w:rPr>
          <w:color w:val="231F20"/>
        </w:rPr>
        <w:t>может</w:t>
      </w:r>
      <w:r>
        <w:rPr>
          <w:color w:val="231F20"/>
          <w:spacing w:val="-4"/>
        </w:rPr>
        <w:t> </w:t>
      </w:r>
      <w:r>
        <w:rPr>
          <w:color w:val="231F20"/>
        </w:rPr>
        <w:t>оказаться</w:t>
      </w:r>
      <w:r>
        <w:rPr>
          <w:color w:val="231F20"/>
          <w:spacing w:val="-3"/>
        </w:rPr>
        <w:t> </w:t>
      </w:r>
      <w:r>
        <w:rPr>
          <w:color w:val="231F20"/>
          <w:spacing w:val="-2"/>
        </w:rPr>
        <w:t>вертолет.</w:t>
      </w:r>
    </w:p>
    <w:p>
      <w:pPr>
        <w:pStyle w:val="BodyText"/>
        <w:spacing w:line="235" w:lineRule="auto"/>
      </w:pPr>
      <w:r>
        <w:rPr>
          <w:color w:val="231F20"/>
        </w:rPr>
        <w:t>Текущие</w:t>
      </w:r>
      <w:r>
        <w:rPr>
          <w:color w:val="231F20"/>
          <w:spacing w:val="-7"/>
        </w:rPr>
        <w:t> </w:t>
      </w:r>
      <w:r>
        <w:rPr>
          <w:color w:val="231F20"/>
        </w:rPr>
        <w:t>комментарии</w:t>
      </w:r>
      <w:r>
        <w:rPr>
          <w:color w:val="231F20"/>
          <w:spacing w:val="-7"/>
        </w:rPr>
        <w:t> </w:t>
      </w:r>
      <w:r>
        <w:rPr>
          <w:color w:val="231F20"/>
        </w:rPr>
        <w:t>помогают</w:t>
      </w:r>
      <w:r>
        <w:rPr>
          <w:color w:val="231F20"/>
          <w:spacing w:val="-7"/>
        </w:rPr>
        <w:t> </w:t>
      </w:r>
      <w:r>
        <w:rPr>
          <w:color w:val="231F20"/>
        </w:rPr>
        <w:t>ребенку</w:t>
      </w:r>
      <w:r>
        <w:rPr>
          <w:color w:val="231F20"/>
          <w:spacing w:val="-7"/>
        </w:rPr>
        <w:t> </w:t>
      </w:r>
      <w:r>
        <w:rPr>
          <w:color w:val="231F20"/>
        </w:rPr>
        <w:t>ощутить</w:t>
      </w:r>
      <w:r>
        <w:rPr>
          <w:color w:val="231F20"/>
          <w:spacing w:val="-7"/>
        </w:rPr>
        <w:t> </w:t>
      </w:r>
      <w:r>
        <w:rPr>
          <w:color w:val="231F20"/>
        </w:rPr>
        <w:t>включенность</w:t>
      </w:r>
      <w:r>
        <w:rPr>
          <w:color w:val="231F20"/>
          <w:spacing w:val="-7"/>
        </w:rPr>
        <w:t> </w:t>
      </w:r>
      <w:r>
        <w:rPr>
          <w:color w:val="231F20"/>
        </w:rPr>
        <w:t>психолога</w:t>
      </w:r>
      <w:r>
        <w:rPr>
          <w:color w:val="231F20"/>
          <w:spacing w:val="-7"/>
        </w:rPr>
        <w:t> </w:t>
      </w:r>
      <w:r>
        <w:rPr>
          <w:color w:val="231F20"/>
        </w:rPr>
        <w:t>в</w:t>
      </w:r>
      <w:r>
        <w:rPr>
          <w:color w:val="231F20"/>
          <w:spacing w:val="-7"/>
        </w:rPr>
        <w:t> </w:t>
      </w:r>
      <w:r>
        <w:rPr>
          <w:color w:val="231F20"/>
        </w:rPr>
        <w:t>его деятельность</w:t>
      </w:r>
      <w:r>
        <w:rPr>
          <w:color w:val="231F20"/>
          <w:spacing w:val="-8"/>
        </w:rPr>
        <w:t> </w:t>
      </w:r>
      <w:r>
        <w:rPr>
          <w:color w:val="231F20"/>
        </w:rPr>
        <w:t>без</w:t>
      </w:r>
      <w:r>
        <w:rPr>
          <w:color w:val="231F20"/>
          <w:spacing w:val="-8"/>
        </w:rPr>
        <w:t> </w:t>
      </w:r>
      <w:r>
        <w:rPr>
          <w:color w:val="231F20"/>
        </w:rPr>
        <w:t>руководства</w:t>
      </w:r>
      <w:r>
        <w:rPr>
          <w:color w:val="231F20"/>
          <w:spacing w:val="-8"/>
        </w:rPr>
        <w:t> </w:t>
      </w:r>
      <w:r>
        <w:rPr>
          <w:color w:val="231F20"/>
        </w:rPr>
        <w:t>и</w:t>
      </w:r>
      <w:r>
        <w:rPr>
          <w:color w:val="231F20"/>
          <w:spacing w:val="-8"/>
        </w:rPr>
        <w:t> </w:t>
      </w:r>
      <w:r>
        <w:rPr>
          <w:color w:val="231F20"/>
        </w:rPr>
        <w:t>навязчивости.</w:t>
      </w:r>
      <w:r>
        <w:rPr>
          <w:color w:val="231F20"/>
          <w:spacing w:val="-8"/>
        </w:rPr>
        <w:t> </w:t>
      </w:r>
      <w:r>
        <w:rPr>
          <w:color w:val="231F20"/>
        </w:rPr>
        <w:t>Психологу</w:t>
      </w:r>
      <w:r>
        <w:rPr>
          <w:color w:val="231F20"/>
          <w:spacing w:val="-8"/>
        </w:rPr>
        <w:t> </w:t>
      </w:r>
      <w:r>
        <w:rPr>
          <w:color w:val="231F20"/>
        </w:rPr>
        <w:t>не</w:t>
      </w:r>
      <w:r>
        <w:rPr>
          <w:color w:val="231F20"/>
          <w:spacing w:val="-8"/>
        </w:rPr>
        <w:t> </w:t>
      </w:r>
      <w:r>
        <w:rPr>
          <w:color w:val="231F20"/>
        </w:rPr>
        <w:t>обязательно</w:t>
      </w:r>
      <w:r>
        <w:rPr>
          <w:color w:val="231F20"/>
          <w:spacing w:val="-8"/>
        </w:rPr>
        <w:t> </w:t>
      </w:r>
      <w:r>
        <w:rPr>
          <w:color w:val="231F20"/>
        </w:rPr>
        <w:t>работать</w:t>
      </w:r>
      <w:r>
        <w:rPr>
          <w:color w:val="231F20"/>
          <w:spacing w:val="-8"/>
        </w:rPr>
        <w:t> </w:t>
      </w:r>
      <w:r>
        <w:rPr>
          <w:color w:val="231F20"/>
        </w:rPr>
        <w:t>«в режиме радио», постоянно отзеркаливая действия ребенка. Важно внимательно на- блюдать за его деятельностью и эмоциональным состоянием, это поможет понять, что и когда комментировать.</w:t>
      </w:r>
    </w:p>
    <w:p>
      <w:pPr>
        <w:spacing w:line="228" w:lineRule="exact" w:before="113"/>
        <w:ind w:left="425" w:right="0" w:firstLine="0"/>
        <w:jc w:val="both"/>
        <w:rPr>
          <w:b/>
          <w:i/>
          <w:sz w:val="20"/>
        </w:rPr>
      </w:pPr>
      <w:r>
        <w:rPr>
          <w:b/>
          <w:i/>
          <w:color w:val="231F20"/>
          <w:sz w:val="20"/>
        </w:rPr>
        <w:t>Активное</w:t>
      </w:r>
      <w:r>
        <w:rPr>
          <w:b/>
          <w:i/>
          <w:color w:val="231F20"/>
          <w:spacing w:val="-5"/>
          <w:sz w:val="20"/>
        </w:rPr>
        <w:t> </w:t>
      </w:r>
      <w:r>
        <w:rPr>
          <w:b/>
          <w:i/>
          <w:color w:val="231F20"/>
          <w:spacing w:val="-2"/>
          <w:sz w:val="20"/>
        </w:rPr>
        <w:t>слушание</w:t>
      </w:r>
    </w:p>
    <w:p>
      <w:pPr>
        <w:pStyle w:val="BodyText"/>
        <w:spacing w:line="235" w:lineRule="auto" w:before="1"/>
      </w:pPr>
      <w:r>
        <w:rPr>
          <w:color w:val="231F20"/>
        </w:rPr>
        <w:t>Первая важная составляющая активного слушания – </w:t>
      </w:r>
      <w:r>
        <w:rPr>
          <w:b/>
          <w:i/>
          <w:color w:val="231F20"/>
        </w:rPr>
        <w:t>парафраз. </w:t>
      </w:r>
      <w:r>
        <w:rPr>
          <w:color w:val="231F20"/>
        </w:rPr>
        <w:t>В этом случае психолог</w:t>
      </w:r>
      <w:r>
        <w:rPr>
          <w:color w:val="231F20"/>
          <w:spacing w:val="-5"/>
        </w:rPr>
        <w:t> </w:t>
      </w:r>
      <w:r>
        <w:rPr>
          <w:color w:val="231F20"/>
        </w:rPr>
        <w:t>откликается</w:t>
      </w:r>
      <w:r>
        <w:rPr>
          <w:color w:val="231F20"/>
          <w:spacing w:val="-5"/>
        </w:rPr>
        <w:t> </w:t>
      </w:r>
      <w:r>
        <w:rPr>
          <w:color w:val="231F20"/>
        </w:rPr>
        <w:t>на</w:t>
      </w:r>
      <w:r>
        <w:rPr>
          <w:color w:val="231F20"/>
          <w:spacing w:val="-5"/>
        </w:rPr>
        <w:t> </w:t>
      </w:r>
      <w:r>
        <w:rPr>
          <w:color w:val="231F20"/>
        </w:rPr>
        <w:t>слова</w:t>
      </w:r>
      <w:r>
        <w:rPr>
          <w:color w:val="231F20"/>
          <w:spacing w:val="-5"/>
        </w:rPr>
        <w:t> </w:t>
      </w:r>
      <w:r>
        <w:rPr>
          <w:color w:val="231F20"/>
        </w:rPr>
        <w:t>ребенка</w:t>
      </w:r>
      <w:r>
        <w:rPr>
          <w:color w:val="231F20"/>
          <w:spacing w:val="-5"/>
        </w:rPr>
        <w:t> </w:t>
      </w:r>
      <w:r>
        <w:rPr>
          <w:color w:val="231F20"/>
        </w:rPr>
        <w:t>более</w:t>
      </w:r>
      <w:r>
        <w:rPr>
          <w:color w:val="231F20"/>
          <w:spacing w:val="-5"/>
        </w:rPr>
        <w:t> </w:t>
      </w:r>
      <w:r>
        <w:rPr>
          <w:color w:val="231F20"/>
        </w:rPr>
        <w:t>точной</w:t>
      </w:r>
      <w:r>
        <w:rPr>
          <w:color w:val="231F20"/>
          <w:spacing w:val="-5"/>
        </w:rPr>
        <w:t> </w:t>
      </w:r>
      <w:r>
        <w:rPr>
          <w:color w:val="231F20"/>
        </w:rPr>
        <w:t>формулировкой.</w:t>
      </w:r>
      <w:r>
        <w:rPr>
          <w:color w:val="231F20"/>
          <w:spacing w:val="-5"/>
        </w:rPr>
        <w:t> </w:t>
      </w:r>
      <w:r>
        <w:rPr>
          <w:color w:val="231F20"/>
        </w:rPr>
        <w:t>Например,</w:t>
      </w:r>
      <w:r>
        <w:rPr>
          <w:color w:val="231F20"/>
          <w:spacing w:val="-5"/>
        </w:rPr>
        <w:t> </w:t>
      </w:r>
      <w:r>
        <w:rPr>
          <w:color w:val="231F20"/>
        </w:rPr>
        <w:t>ре- бенок</w:t>
      </w:r>
      <w:r>
        <w:rPr>
          <w:color w:val="231F20"/>
          <w:spacing w:val="-13"/>
        </w:rPr>
        <w:t> </w:t>
      </w:r>
      <w:r>
        <w:rPr>
          <w:color w:val="231F20"/>
        </w:rPr>
        <w:t>видит</w:t>
      </w:r>
      <w:r>
        <w:rPr>
          <w:color w:val="231F20"/>
          <w:spacing w:val="-12"/>
        </w:rPr>
        <w:t> </w:t>
      </w:r>
      <w:r>
        <w:rPr>
          <w:color w:val="231F20"/>
        </w:rPr>
        <w:t>в</w:t>
      </w:r>
      <w:r>
        <w:rPr>
          <w:color w:val="231F20"/>
          <w:spacing w:val="-13"/>
        </w:rPr>
        <w:t> </w:t>
      </w:r>
      <w:r>
        <w:rPr>
          <w:color w:val="231F20"/>
        </w:rPr>
        <w:t>шкафу</w:t>
      </w:r>
      <w:r>
        <w:rPr>
          <w:color w:val="231F20"/>
          <w:spacing w:val="-12"/>
        </w:rPr>
        <w:t> </w:t>
      </w:r>
      <w:r>
        <w:rPr>
          <w:color w:val="231F20"/>
        </w:rPr>
        <w:t>у</w:t>
      </w:r>
      <w:r>
        <w:rPr>
          <w:color w:val="231F20"/>
          <w:spacing w:val="-13"/>
        </w:rPr>
        <w:t> </w:t>
      </w:r>
      <w:r>
        <w:rPr>
          <w:color w:val="231F20"/>
        </w:rPr>
        <w:t>психолога</w:t>
      </w:r>
      <w:r>
        <w:rPr>
          <w:color w:val="231F20"/>
          <w:spacing w:val="-12"/>
        </w:rPr>
        <w:t> </w:t>
      </w:r>
      <w:r>
        <w:rPr>
          <w:color w:val="231F20"/>
        </w:rPr>
        <w:t>краски</w:t>
      </w:r>
      <w:r>
        <w:rPr>
          <w:color w:val="231F20"/>
          <w:spacing w:val="-13"/>
        </w:rPr>
        <w:t> </w:t>
      </w:r>
      <w:r>
        <w:rPr>
          <w:color w:val="231F20"/>
        </w:rPr>
        <w:t>и</w:t>
      </w:r>
      <w:r>
        <w:rPr>
          <w:color w:val="231F20"/>
          <w:spacing w:val="-12"/>
        </w:rPr>
        <w:t> </w:t>
      </w:r>
      <w:r>
        <w:rPr>
          <w:color w:val="231F20"/>
        </w:rPr>
        <w:t>спрашивает:</w:t>
      </w:r>
      <w:r>
        <w:rPr>
          <w:color w:val="231F20"/>
          <w:spacing w:val="-13"/>
        </w:rPr>
        <w:t> </w:t>
      </w:r>
      <w:r>
        <w:rPr>
          <w:color w:val="231F20"/>
        </w:rPr>
        <w:t>«Почему</w:t>
      </w:r>
      <w:r>
        <w:rPr>
          <w:color w:val="231F20"/>
          <w:spacing w:val="-12"/>
        </w:rPr>
        <w:t> </w:t>
      </w:r>
      <w:r>
        <w:rPr>
          <w:color w:val="231F20"/>
        </w:rPr>
        <w:t>мы</w:t>
      </w:r>
      <w:r>
        <w:rPr>
          <w:color w:val="231F20"/>
          <w:spacing w:val="-13"/>
        </w:rPr>
        <w:t> </w:t>
      </w:r>
      <w:r>
        <w:rPr>
          <w:color w:val="231F20"/>
        </w:rPr>
        <w:t>никогда</w:t>
      </w:r>
      <w:r>
        <w:rPr>
          <w:color w:val="231F20"/>
          <w:spacing w:val="-12"/>
        </w:rPr>
        <w:t> </w:t>
      </w:r>
      <w:r>
        <w:rPr>
          <w:color w:val="231F20"/>
        </w:rPr>
        <w:t>не</w:t>
      </w:r>
      <w:r>
        <w:rPr>
          <w:color w:val="231F20"/>
          <w:spacing w:val="-13"/>
        </w:rPr>
        <w:t> </w:t>
      </w:r>
      <w:r>
        <w:rPr>
          <w:color w:val="231F20"/>
        </w:rPr>
        <w:t>рису- ем</w:t>
      </w:r>
      <w:r>
        <w:rPr>
          <w:color w:val="231F20"/>
          <w:spacing w:val="-8"/>
        </w:rPr>
        <w:t> </w:t>
      </w:r>
      <w:r>
        <w:rPr>
          <w:color w:val="231F20"/>
        </w:rPr>
        <w:t>красками?»</w:t>
      </w:r>
      <w:r>
        <w:rPr>
          <w:color w:val="231F20"/>
          <w:spacing w:val="-8"/>
        </w:rPr>
        <w:t> </w:t>
      </w:r>
      <w:r>
        <w:rPr>
          <w:color w:val="231F20"/>
        </w:rPr>
        <w:t>На</w:t>
      </w:r>
      <w:r>
        <w:rPr>
          <w:color w:val="231F20"/>
          <w:spacing w:val="-8"/>
        </w:rPr>
        <w:t> </w:t>
      </w:r>
      <w:r>
        <w:rPr>
          <w:color w:val="231F20"/>
        </w:rPr>
        <w:t>это</w:t>
      </w:r>
      <w:r>
        <w:rPr>
          <w:color w:val="231F20"/>
          <w:spacing w:val="-8"/>
        </w:rPr>
        <w:t> </w:t>
      </w:r>
      <w:r>
        <w:rPr>
          <w:color w:val="231F20"/>
        </w:rPr>
        <w:t>психолог</w:t>
      </w:r>
      <w:r>
        <w:rPr>
          <w:color w:val="231F20"/>
          <w:spacing w:val="-8"/>
        </w:rPr>
        <w:t> </w:t>
      </w:r>
      <w:r>
        <w:rPr>
          <w:color w:val="231F20"/>
        </w:rPr>
        <w:t>может</w:t>
      </w:r>
      <w:r>
        <w:rPr>
          <w:color w:val="231F20"/>
          <w:spacing w:val="-8"/>
        </w:rPr>
        <w:t> </w:t>
      </w:r>
      <w:r>
        <w:rPr>
          <w:color w:val="231F20"/>
        </w:rPr>
        <w:t>отреагировать</w:t>
      </w:r>
      <w:r>
        <w:rPr>
          <w:color w:val="231F20"/>
          <w:spacing w:val="-8"/>
        </w:rPr>
        <w:t> </w:t>
      </w:r>
      <w:r>
        <w:rPr>
          <w:color w:val="231F20"/>
        </w:rPr>
        <w:t>с</w:t>
      </w:r>
      <w:r>
        <w:rPr>
          <w:color w:val="231F20"/>
          <w:spacing w:val="-8"/>
        </w:rPr>
        <w:t> </w:t>
      </w:r>
      <w:r>
        <w:rPr>
          <w:color w:val="231F20"/>
        </w:rPr>
        <w:t>помощью</w:t>
      </w:r>
      <w:r>
        <w:rPr>
          <w:color w:val="231F20"/>
          <w:spacing w:val="-8"/>
        </w:rPr>
        <w:t> </w:t>
      </w:r>
      <w:r>
        <w:rPr>
          <w:color w:val="231F20"/>
        </w:rPr>
        <w:t>парафраза:</w:t>
      </w:r>
      <w:r>
        <w:rPr>
          <w:color w:val="231F20"/>
          <w:spacing w:val="-8"/>
        </w:rPr>
        <w:t> </w:t>
      </w:r>
      <w:r>
        <w:rPr>
          <w:color w:val="231F20"/>
        </w:rPr>
        <w:t>«То</w:t>
      </w:r>
      <w:r>
        <w:rPr>
          <w:color w:val="231F20"/>
          <w:spacing w:val="-8"/>
        </w:rPr>
        <w:t> </w:t>
      </w:r>
      <w:r>
        <w:rPr>
          <w:color w:val="231F20"/>
        </w:rPr>
        <w:t>есть ты бы хотел, чтобы мы на занятии порисовали красками».</w:t>
      </w:r>
    </w:p>
    <w:p>
      <w:pPr>
        <w:pStyle w:val="BodyText"/>
        <w:spacing w:line="235" w:lineRule="auto" w:before="3"/>
      </w:pPr>
      <w:r>
        <w:rPr>
          <w:color w:val="231F20"/>
        </w:rPr>
        <w:t>Важная</w:t>
      </w:r>
      <w:r>
        <w:rPr>
          <w:color w:val="231F20"/>
          <w:spacing w:val="-13"/>
        </w:rPr>
        <w:t> </w:t>
      </w:r>
      <w:r>
        <w:rPr>
          <w:color w:val="231F20"/>
        </w:rPr>
        <w:t>составляющая</w:t>
      </w:r>
      <w:r>
        <w:rPr>
          <w:color w:val="231F20"/>
          <w:spacing w:val="-12"/>
        </w:rPr>
        <w:t> </w:t>
      </w:r>
      <w:r>
        <w:rPr>
          <w:color w:val="231F20"/>
        </w:rPr>
        <w:t>активного</w:t>
      </w:r>
      <w:r>
        <w:rPr>
          <w:color w:val="231F20"/>
          <w:spacing w:val="-13"/>
        </w:rPr>
        <w:t> </w:t>
      </w:r>
      <w:r>
        <w:rPr>
          <w:color w:val="231F20"/>
        </w:rPr>
        <w:t>слушания</w:t>
      </w:r>
      <w:r>
        <w:rPr>
          <w:color w:val="231F20"/>
          <w:spacing w:val="-12"/>
        </w:rPr>
        <w:t> </w:t>
      </w:r>
      <w:r>
        <w:rPr>
          <w:color w:val="231F20"/>
        </w:rPr>
        <w:t>–</w:t>
      </w:r>
      <w:r>
        <w:rPr>
          <w:color w:val="231F20"/>
          <w:spacing w:val="-13"/>
        </w:rPr>
        <w:t> </w:t>
      </w:r>
      <w:r>
        <w:rPr>
          <w:b/>
          <w:i/>
          <w:color w:val="231F20"/>
        </w:rPr>
        <w:t>эмоциональное</w:t>
      </w:r>
      <w:r>
        <w:rPr>
          <w:b/>
          <w:i/>
          <w:color w:val="231F20"/>
          <w:spacing w:val="-12"/>
        </w:rPr>
        <w:t> </w:t>
      </w:r>
      <w:r>
        <w:rPr>
          <w:b/>
          <w:i/>
          <w:color w:val="231F20"/>
        </w:rPr>
        <w:t>отражение,</w:t>
      </w:r>
      <w:r>
        <w:rPr>
          <w:b/>
          <w:i/>
          <w:color w:val="231F20"/>
          <w:spacing w:val="-13"/>
        </w:rPr>
        <w:t> </w:t>
      </w:r>
      <w:r>
        <w:rPr>
          <w:color w:val="231F20"/>
        </w:rPr>
        <w:t>то</w:t>
      </w:r>
      <w:r>
        <w:rPr>
          <w:color w:val="231F20"/>
          <w:spacing w:val="-12"/>
        </w:rPr>
        <w:t> </w:t>
      </w:r>
      <w:r>
        <w:rPr>
          <w:color w:val="231F20"/>
        </w:rPr>
        <w:t>есть обозначение эмоционального состояния ребенка </w:t>
      </w:r>
      <w:r>
        <w:rPr>
          <w:i/>
          <w:color w:val="231F20"/>
        </w:rPr>
        <w:t>в утвердительной форме. </w:t>
      </w:r>
      <w:r>
        <w:rPr>
          <w:color w:val="231F20"/>
        </w:rPr>
        <w:t>Скажем, на фразу «Петя и Саша опять не захотели со мной играть!» можно ответить «Это очень обидно». Эмоциональное отражение может формулироваться в виде «ты-вы- сказывания» («ты очень расстроен») или легализовать переживание ребенка («это правда грустно»).</w:t>
      </w:r>
    </w:p>
    <w:p>
      <w:pPr>
        <w:pStyle w:val="BodyText"/>
        <w:spacing w:line="228" w:lineRule="exact"/>
        <w:ind w:left="425" w:right="0" w:firstLine="0"/>
      </w:pPr>
      <w:r>
        <w:rPr>
          <w:color w:val="231F20"/>
        </w:rPr>
        <w:t>Сделаем</w:t>
      </w:r>
      <w:r>
        <w:rPr>
          <w:color w:val="231F20"/>
          <w:spacing w:val="-8"/>
        </w:rPr>
        <w:t> </w:t>
      </w:r>
      <w:r>
        <w:rPr>
          <w:color w:val="231F20"/>
        </w:rPr>
        <w:t>несколько</w:t>
      </w:r>
      <w:r>
        <w:rPr>
          <w:color w:val="231F20"/>
          <w:spacing w:val="-8"/>
        </w:rPr>
        <w:t> </w:t>
      </w:r>
      <w:r>
        <w:rPr>
          <w:color w:val="231F20"/>
        </w:rPr>
        <w:t>важных</w:t>
      </w:r>
      <w:r>
        <w:rPr>
          <w:color w:val="231F20"/>
          <w:spacing w:val="-8"/>
        </w:rPr>
        <w:t> </w:t>
      </w:r>
      <w:r>
        <w:rPr>
          <w:color w:val="231F20"/>
        </w:rPr>
        <w:t>комментариев</w:t>
      </w:r>
      <w:r>
        <w:rPr>
          <w:color w:val="231F20"/>
          <w:spacing w:val="-8"/>
        </w:rPr>
        <w:t> </w:t>
      </w:r>
      <w:r>
        <w:rPr>
          <w:color w:val="231F20"/>
        </w:rPr>
        <w:t>об</w:t>
      </w:r>
      <w:r>
        <w:rPr>
          <w:color w:val="231F20"/>
          <w:spacing w:val="-8"/>
        </w:rPr>
        <w:t> </w:t>
      </w:r>
      <w:r>
        <w:rPr>
          <w:color w:val="231F20"/>
        </w:rPr>
        <w:t>эмоциональном</w:t>
      </w:r>
      <w:r>
        <w:rPr>
          <w:color w:val="231F20"/>
          <w:spacing w:val="-7"/>
        </w:rPr>
        <w:t> </w:t>
      </w:r>
      <w:r>
        <w:rPr>
          <w:color w:val="231F20"/>
          <w:spacing w:val="-2"/>
        </w:rPr>
        <w:t>отражении.</w:t>
      </w:r>
    </w:p>
    <w:p>
      <w:pPr>
        <w:pStyle w:val="BodyText"/>
        <w:spacing w:line="235" w:lineRule="auto" w:before="2"/>
      </w:pPr>
      <w:r>
        <w:rPr>
          <w:color w:val="231F20"/>
          <w:spacing w:val="-2"/>
        </w:rPr>
        <w:t>Во-первых,</w:t>
      </w:r>
      <w:r>
        <w:rPr>
          <w:color w:val="231F20"/>
          <w:spacing w:val="-4"/>
        </w:rPr>
        <w:t> </w:t>
      </w:r>
      <w:r>
        <w:rPr>
          <w:color w:val="231F20"/>
          <w:spacing w:val="-2"/>
        </w:rPr>
        <w:t>необходимо</w:t>
      </w:r>
      <w:r>
        <w:rPr>
          <w:color w:val="231F20"/>
          <w:spacing w:val="-4"/>
        </w:rPr>
        <w:t> </w:t>
      </w:r>
      <w:r>
        <w:rPr>
          <w:color w:val="231F20"/>
          <w:spacing w:val="-2"/>
        </w:rPr>
        <w:t>руководствоваться</w:t>
      </w:r>
      <w:r>
        <w:rPr>
          <w:color w:val="231F20"/>
          <w:spacing w:val="-4"/>
        </w:rPr>
        <w:t> </w:t>
      </w:r>
      <w:r>
        <w:rPr>
          <w:color w:val="231F20"/>
          <w:spacing w:val="-2"/>
        </w:rPr>
        <w:t>принципом:</w:t>
      </w:r>
      <w:r>
        <w:rPr>
          <w:color w:val="231F20"/>
          <w:spacing w:val="-4"/>
        </w:rPr>
        <w:t> </w:t>
      </w:r>
      <w:r>
        <w:rPr>
          <w:color w:val="231F20"/>
          <w:spacing w:val="-2"/>
        </w:rPr>
        <w:t>хотеть</w:t>
      </w:r>
      <w:r>
        <w:rPr>
          <w:color w:val="231F20"/>
          <w:spacing w:val="-4"/>
        </w:rPr>
        <w:t> </w:t>
      </w:r>
      <w:r>
        <w:rPr>
          <w:color w:val="231F20"/>
          <w:spacing w:val="-2"/>
        </w:rPr>
        <w:t>и</w:t>
      </w:r>
      <w:r>
        <w:rPr>
          <w:color w:val="231F20"/>
          <w:spacing w:val="-4"/>
        </w:rPr>
        <w:t> </w:t>
      </w:r>
      <w:r>
        <w:rPr>
          <w:color w:val="231F20"/>
          <w:spacing w:val="-2"/>
        </w:rPr>
        <w:t>чувствовать</w:t>
      </w:r>
      <w:r>
        <w:rPr>
          <w:color w:val="231F20"/>
          <w:spacing w:val="-4"/>
        </w:rPr>
        <w:t> </w:t>
      </w:r>
      <w:r>
        <w:rPr>
          <w:color w:val="231F20"/>
          <w:spacing w:val="-2"/>
        </w:rPr>
        <w:t>мож- </w:t>
      </w:r>
      <w:r>
        <w:rPr>
          <w:color w:val="231F20"/>
        </w:rPr>
        <w:t>но</w:t>
      </w:r>
      <w:r>
        <w:rPr>
          <w:color w:val="231F20"/>
          <w:spacing w:val="-3"/>
        </w:rPr>
        <w:t> </w:t>
      </w:r>
      <w:r>
        <w:rPr>
          <w:color w:val="231F20"/>
        </w:rPr>
        <w:t>что</w:t>
      </w:r>
      <w:r>
        <w:rPr>
          <w:color w:val="231F20"/>
          <w:spacing w:val="-3"/>
        </w:rPr>
        <w:t> </w:t>
      </w:r>
      <w:r>
        <w:rPr>
          <w:color w:val="231F20"/>
        </w:rPr>
        <w:t>угодно,</w:t>
      </w:r>
      <w:r>
        <w:rPr>
          <w:color w:val="231F20"/>
          <w:spacing w:val="-3"/>
        </w:rPr>
        <w:t> </w:t>
      </w:r>
      <w:r>
        <w:rPr>
          <w:color w:val="231F20"/>
        </w:rPr>
        <w:t>но</w:t>
      </w:r>
      <w:r>
        <w:rPr>
          <w:color w:val="231F20"/>
          <w:spacing w:val="-3"/>
        </w:rPr>
        <w:t> </w:t>
      </w:r>
      <w:r>
        <w:rPr>
          <w:color w:val="231F20"/>
        </w:rPr>
        <w:t>нельзя</w:t>
      </w:r>
      <w:r>
        <w:rPr>
          <w:color w:val="231F20"/>
          <w:spacing w:val="-3"/>
        </w:rPr>
        <w:t> </w:t>
      </w:r>
      <w:r>
        <w:rPr>
          <w:color w:val="231F20"/>
        </w:rPr>
        <w:t>как</w:t>
      </w:r>
      <w:r>
        <w:rPr>
          <w:color w:val="231F20"/>
          <w:spacing w:val="-3"/>
        </w:rPr>
        <w:t> </w:t>
      </w:r>
      <w:r>
        <w:rPr>
          <w:color w:val="231F20"/>
        </w:rPr>
        <w:t>угодно</w:t>
      </w:r>
      <w:r>
        <w:rPr>
          <w:color w:val="231F20"/>
          <w:spacing w:val="-3"/>
        </w:rPr>
        <w:t> </w:t>
      </w:r>
      <w:r>
        <w:rPr>
          <w:color w:val="231F20"/>
        </w:rPr>
        <w:t>это</w:t>
      </w:r>
      <w:r>
        <w:rPr>
          <w:color w:val="231F20"/>
          <w:spacing w:val="-3"/>
        </w:rPr>
        <w:t> </w:t>
      </w:r>
      <w:r>
        <w:rPr>
          <w:color w:val="231F20"/>
        </w:rPr>
        <w:t>выражать.</w:t>
      </w:r>
      <w:r>
        <w:rPr>
          <w:color w:val="231F20"/>
          <w:spacing w:val="-3"/>
        </w:rPr>
        <w:t> </w:t>
      </w:r>
      <w:r>
        <w:rPr>
          <w:color w:val="231F20"/>
        </w:rPr>
        <w:t>Любые</w:t>
      </w:r>
      <w:r>
        <w:rPr>
          <w:color w:val="231F20"/>
          <w:spacing w:val="-3"/>
        </w:rPr>
        <w:t> </w:t>
      </w:r>
      <w:r>
        <w:rPr>
          <w:color w:val="231F20"/>
        </w:rPr>
        <w:t>ограничения</w:t>
      </w:r>
      <w:r>
        <w:rPr>
          <w:color w:val="231F20"/>
          <w:spacing w:val="-3"/>
        </w:rPr>
        <w:t> </w:t>
      </w:r>
      <w:r>
        <w:rPr>
          <w:color w:val="231F20"/>
        </w:rPr>
        <w:t>могут</w:t>
      </w:r>
      <w:r>
        <w:rPr>
          <w:color w:val="231F20"/>
          <w:spacing w:val="-3"/>
        </w:rPr>
        <w:t> </w:t>
      </w:r>
      <w:r>
        <w:rPr>
          <w:color w:val="231F20"/>
        </w:rPr>
        <w:t>накла- дываться только на поведение ребенка, а не на чувства и желания.</w:t>
      </w:r>
    </w:p>
    <w:p>
      <w:pPr>
        <w:pStyle w:val="BodyText"/>
        <w:spacing w:line="235" w:lineRule="auto" w:before="2"/>
      </w:pPr>
      <w:r>
        <w:rPr>
          <w:color w:val="231F20"/>
        </w:rPr>
        <w:t>Во-вторых,</w:t>
      </w:r>
      <w:r>
        <w:rPr>
          <w:color w:val="231F20"/>
          <w:spacing w:val="-13"/>
        </w:rPr>
        <w:t> </w:t>
      </w:r>
      <w:r>
        <w:rPr>
          <w:color w:val="231F20"/>
        </w:rPr>
        <w:t>не</w:t>
      </w:r>
      <w:r>
        <w:rPr>
          <w:color w:val="231F20"/>
          <w:spacing w:val="-12"/>
        </w:rPr>
        <w:t> </w:t>
      </w:r>
      <w:r>
        <w:rPr>
          <w:color w:val="231F20"/>
        </w:rPr>
        <w:t>надо</w:t>
      </w:r>
      <w:r>
        <w:rPr>
          <w:color w:val="231F20"/>
          <w:spacing w:val="-13"/>
        </w:rPr>
        <w:t> </w:t>
      </w:r>
      <w:r>
        <w:rPr>
          <w:color w:val="231F20"/>
        </w:rPr>
        <w:t>комментировать</w:t>
      </w:r>
      <w:r>
        <w:rPr>
          <w:color w:val="231F20"/>
          <w:spacing w:val="-12"/>
        </w:rPr>
        <w:t> </w:t>
      </w:r>
      <w:r>
        <w:rPr>
          <w:color w:val="231F20"/>
        </w:rPr>
        <w:t>причины</w:t>
      </w:r>
      <w:r>
        <w:rPr>
          <w:color w:val="231F20"/>
          <w:spacing w:val="-13"/>
        </w:rPr>
        <w:t> </w:t>
      </w:r>
      <w:r>
        <w:rPr>
          <w:color w:val="231F20"/>
        </w:rPr>
        <w:t>такого</w:t>
      </w:r>
      <w:r>
        <w:rPr>
          <w:color w:val="231F20"/>
          <w:spacing w:val="-12"/>
        </w:rPr>
        <w:t> </w:t>
      </w:r>
      <w:r>
        <w:rPr>
          <w:color w:val="231F20"/>
        </w:rPr>
        <w:t>состояния.</w:t>
      </w:r>
      <w:r>
        <w:rPr>
          <w:color w:val="231F20"/>
          <w:spacing w:val="-13"/>
        </w:rPr>
        <w:t> </w:t>
      </w:r>
      <w:r>
        <w:rPr>
          <w:color w:val="231F20"/>
        </w:rPr>
        <w:t>Ребенку</w:t>
      </w:r>
      <w:r>
        <w:rPr>
          <w:color w:val="231F20"/>
          <w:spacing w:val="-12"/>
        </w:rPr>
        <w:t> </w:t>
      </w:r>
      <w:r>
        <w:rPr>
          <w:color w:val="231F20"/>
        </w:rPr>
        <w:t>не</w:t>
      </w:r>
      <w:r>
        <w:rPr>
          <w:color w:val="231F20"/>
          <w:spacing w:val="-13"/>
        </w:rPr>
        <w:t> </w:t>
      </w:r>
      <w:r>
        <w:rPr>
          <w:color w:val="231F20"/>
        </w:rPr>
        <w:t>нужно иметь весомых оснований, чтобы чувствовать раздражение или обиду.</w:t>
      </w:r>
    </w:p>
    <w:p>
      <w:pPr>
        <w:pStyle w:val="BodyText"/>
        <w:spacing w:line="235" w:lineRule="auto" w:before="1"/>
      </w:pPr>
      <w:r>
        <w:rPr>
          <w:color w:val="231F20"/>
        </w:rPr>
        <w:t>В-третьих,</w:t>
      </w:r>
      <w:r>
        <w:rPr>
          <w:color w:val="231F20"/>
          <w:spacing w:val="-13"/>
        </w:rPr>
        <w:t> </w:t>
      </w:r>
      <w:r>
        <w:rPr>
          <w:color w:val="231F20"/>
        </w:rPr>
        <w:t>формулировка</w:t>
      </w:r>
      <w:r>
        <w:rPr>
          <w:color w:val="231F20"/>
          <w:spacing w:val="-12"/>
        </w:rPr>
        <w:t> </w:t>
      </w:r>
      <w:r>
        <w:rPr>
          <w:color w:val="231F20"/>
        </w:rPr>
        <w:t>должна</w:t>
      </w:r>
      <w:r>
        <w:rPr>
          <w:color w:val="231F20"/>
          <w:spacing w:val="-13"/>
        </w:rPr>
        <w:t> </w:t>
      </w:r>
      <w:r>
        <w:rPr>
          <w:color w:val="231F20"/>
        </w:rPr>
        <w:t>подчеркивать,</w:t>
      </w:r>
      <w:r>
        <w:rPr>
          <w:color w:val="231F20"/>
          <w:spacing w:val="-12"/>
        </w:rPr>
        <w:t> </w:t>
      </w:r>
      <w:r>
        <w:rPr>
          <w:color w:val="231F20"/>
        </w:rPr>
        <w:t>что</w:t>
      </w:r>
      <w:r>
        <w:rPr>
          <w:color w:val="231F20"/>
          <w:spacing w:val="-13"/>
        </w:rPr>
        <w:t> </w:t>
      </w:r>
      <w:r>
        <w:rPr>
          <w:color w:val="231F20"/>
        </w:rPr>
        <w:t>«хозяином»</w:t>
      </w:r>
      <w:r>
        <w:rPr>
          <w:color w:val="231F20"/>
          <w:spacing w:val="-12"/>
        </w:rPr>
        <w:t> </w:t>
      </w:r>
      <w:r>
        <w:rPr>
          <w:color w:val="231F20"/>
        </w:rPr>
        <w:t>чувства</w:t>
      </w:r>
      <w:r>
        <w:rPr>
          <w:color w:val="231F20"/>
          <w:spacing w:val="-13"/>
        </w:rPr>
        <w:t> </w:t>
      </w:r>
      <w:r>
        <w:rPr>
          <w:color w:val="231F20"/>
        </w:rPr>
        <w:t>является </w:t>
      </w:r>
      <w:r>
        <w:rPr>
          <w:color w:val="231F20"/>
          <w:spacing w:val="-4"/>
        </w:rPr>
        <w:t>сам</w:t>
      </w:r>
      <w:r>
        <w:rPr>
          <w:color w:val="231F20"/>
          <w:spacing w:val="-10"/>
        </w:rPr>
        <w:t> </w:t>
      </w:r>
      <w:r>
        <w:rPr>
          <w:color w:val="231F20"/>
          <w:spacing w:val="-4"/>
        </w:rPr>
        <w:t>ребенок.</w:t>
      </w:r>
      <w:r>
        <w:rPr>
          <w:color w:val="231F20"/>
          <w:spacing w:val="-10"/>
        </w:rPr>
        <w:t> </w:t>
      </w:r>
      <w:r>
        <w:rPr>
          <w:color w:val="231F20"/>
          <w:spacing w:val="-4"/>
        </w:rPr>
        <w:t>Не</w:t>
      </w:r>
      <w:r>
        <w:rPr>
          <w:color w:val="231F20"/>
          <w:spacing w:val="-10"/>
        </w:rPr>
        <w:t> </w:t>
      </w:r>
      <w:r>
        <w:rPr>
          <w:color w:val="231F20"/>
          <w:spacing w:val="-4"/>
        </w:rPr>
        <w:t>надо</w:t>
      </w:r>
      <w:r>
        <w:rPr>
          <w:color w:val="231F20"/>
          <w:spacing w:val="-10"/>
        </w:rPr>
        <w:t> </w:t>
      </w:r>
      <w:r>
        <w:rPr>
          <w:color w:val="231F20"/>
          <w:spacing w:val="-4"/>
        </w:rPr>
        <w:t>говорить:</w:t>
      </w:r>
      <w:r>
        <w:rPr>
          <w:color w:val="231F20"/>
          <w:spacing w:val="-10"/>
        </w:rPr>
        <w:t> </w:t>
      </w:r>
      <w:r>
        <w:rPr>
          <w:color w:val="231F20"/>
          <w:spacing w:val="-4"/>
        </w:rPr>
        <w:t>«Они</w:t>
      </w:r>
      <w:r>
        <w:rPr>
          <w:color w:val="231F20"/>
          <w:spacing w:val="-10"/>
        </w:rPr>
        <w:t> </w:t>
      </w:r>
      <w:r>
        <w:rPr>
          <w:color w:val="231F20"/>
          <w:spacing w:val="-4"/>
        </w:rPr>
        <w:t>тебя</w:t>
      </w:r>
      <w:r>
        <w:rPr>
          <w:color w:val="231F20"/>
          <w:spacing w:val="-10"/>
        </w:rPr>
        <w:t> </w:t>
      </w:r>
      <w:r>
        <w:rPr>
          <w:color w:val="231F20"/>
          <w:spacing w:val="-4"/>
        </w:rPr>
        <w:t>рассердили»,</w:t>
      </w:r>
      <w:r>
        <w:rPr>
          <w:color w:val="231F20"/>
          <w:spacing w:val="-10"/>
        </w:rPr>
        <w:t> </w:t>
      </w:r>
      <w:r>
        <w:rPr>
          <w:color w:val="231F20"/>
          <w:spacing w:val="-4"/>
        </w:rPr>
        <w:t>лучше</w:t>
      </w:r>
      <w:r>
        <w:rPr>
          <w:color w:val="231F20"/>
          <w:spacing w:val="-10"/>
        </w:rPr>
        <w:t> </w:t>
      </w:r>
      <w:r>
        <w:rPr>
          <w:color w:val="231F20"/>
          <w:spacing w:val="-4"/>
        </w:rPr>
        <w:t>сказать:</w:t>
      </w:r>
      <w:r>
        <w:rPr>
          <w:color w:val="231F20"/>
          <w:spacing w:val="-10"/>
        </w:rPr>
        <w:t> </w:t>
      </w:r>
      <w:r>
        <w:rPr>
          <w:color w:val="231F20"/>
          <w:spacing w:val="-4"/>
        </w:rPr>
        <w:t>«Ты</w:t>
      </w:r>
      <w:r>
        <w:rPr>
          <w:color w:val="231F20"/>
          <w:spacing w:val="-10"/>
        </w:rPr>
        <w:t> </w:t>
      </w:r>
      <w:r>
        <w:rPr>
          <w:color w:val="231F20"/>
          <w:spacing w:val="-4"/>
        </w:rPr>
        <w:t>сердишься».</w:t>
      </w:r>
    </w:p>
    <w:p>
      <w:pPr>
        <w:spacing w:line="228" w:lineRule="exact" w:before="111"/>
        <w:ind w:left="425" w:right="0" w:firstLine="0"/>
        <w:jc w:val="both"/>
        <w:rPr>
          <w:b/>
          <w:i/>
          <w:sz w:val="20"/>
        </w:rPr>
      </w:pPr>
      <w:r>
        <w:rPr>
          <w:b/>
          <w:i/>
          <w:color w:val="231F20"/>
          <w:sz w:val="20"/>
        </w:rPr>
        <w:t>Создание</w:t>
      </w:r>
      <w:r>
        <w:rPr>
          <w:b/>
          <w:i/>
          <w:color w:val="231F20"/>
          <w:spacing w:val="-8"/>
          <w:sz w:val="20"/>
        </w:rPr>
        <w:t> </w:t>
      </w:r>
      <w:r>
        <w:rPr>
          <w:b/>
          <w:i/>
          <w:color w:val="231F20"/>
          <w:sz w:val="20"/>
        </w:rPr>
        <w:t>ситуации</w:t>
      </w:r>
      <w:r>
        <w:rPr>
          <w:b/>
          <w:i/>
          <w:color w:val="231F20"/>
          <w:spacing w:val="-7"/>
          <w:sz w:val="20"/>
        </w:rPr>
        <w:t> </w:t>
      </w:r>
      <w:r>
        <w:rPr>
          <w:b/>
          <w:i/>
          <w:color w:val="231F20"/>
          <w:spacing w:val="-2"/>
          <w:sz w:val="20"/>
        </w:rPr>
        <w:t>успеха</w:t>
      </w:r>
    </w:p>
    <w:p>
      <w:pPr>
        <w:pStyle w:val="BodyText"/>
        <w:spacing w:line="235" w:lineRule="auto" w:before="2"/>
      </w:pPr>
      <w:r>
        <w:rPr>
          <w:color w:val="231F20"/>
        </w:rPr>
        <w:t>Рекомендуется</w:t>
      </w:r>
      <w:r>
        <w:rPr>
          <w:color w:val="231F20"/>
          <w:spacing w:val="-4"/>
        </w:rPr>
        <w:t> </w:t>
      </w:r>
      <w:r>
        <w:rPr>
          <w:color w:val="231F20"/>
        </w:rPr>
        <w:t>отказаться</w:t>
      </w:r>
      <w:r>
        <w:rPr>
          <w:color w:val="231F20"/>
          <w:spacing w:val="-4"/>
        </w:rPr>
        <w:t> </w:t>
      </w:r>
      <w:r>
        <w:rPr>
          <w:color w:val="231F20"/>
        </w:rPr>
        <w:t>от</w:t>
      </w:r>
      <w:r>
        <w:rPr>
          <w:color w:val="231F20"/>
          <w:spacing w:val="-4"/>
        </w:rPr>
        <w:t> </w:t>
      </w:r>
      <w:r>
        <w:rPr>
          <w:color w:val="231F20"/>
        </w:rPr>
        <w:t>использования</w:t>
      </w:r>
      <w:r>
        <w:rPr>
          <w:color w:val="231F20"/>
          <w:spacing w:val="-4"/>
        </w:rPr>
        <w:t> </w:t>
      </w:r>
      <w:r>
        <w:rPr>
          <w:color w:val="231F20"/>
        </w:rPr>
        <w:t>оценочной</w:t>
      </w:r>
      <w:r>
        <w:rPr>
          <w:color w:val="231F20"/>
          <w:spacing w:val="-4"/>
        </w:rPr>
        <w:t> </w:t>
      </w:r>
      <w:r>
        <w:rPr>
          <w:color w:val="231F20"/>
        </w:rPr>
        <w:t>похвалы,</w:t>
      </w:r>
      <w:r>
        <w:rPr>
          <w:color w:val="231F20"/>
          <w:spacing w:val="-4"/>
        </w:rPr>
        <w:t> </w:t>
      </w:r>
      <w:r>
        <w:rPr>
          <w:color w:val="231F20"/>
        </w:rPr>
        <w:t>то</w:t>
      </w:r>
      <w:r>
        <w:rPr>
          <w:color w:val="231F20"/>
          <w:spacing w:val="-4"/>
        </w:rPr>
        <w:t> </w:t>
      </w:r>
      <w:r>
        <w:rPr>
          <w:color w:val="231F20"/>
        </w:rPr>
        <w:t>есть</w:t>
      </w:r>
      <w:r>
        <w:rPr>
          <w:color w:val="231F20"/>
          <w:spacing w:val="-4"/>
        </w:rPr>
        <w:t> </w:t>
      </w:r>
      <w:r>
        <w:rPr>
          <w:color w:val="231F20"/>
        </w:rPr>
        <w:t>прямого описания личности ребенка («Молодец!»). Вместо этого можно использовать следу- ющие приемы создания ситуации успеха.</w:t>
      </w:r>
    </w:p>
    <w:p>
      <w:pPr>
        <w:pStyle w:val="BodyText"/>
        <w:spacing w:line="235" w:lineRule="auto" w:before="2"/>
      </w:pPr>
      <w:r>
        <w:rPr>
          <w:color w:val="231F20"/>
        </w:rPr>
        <w:t>«Описательная похвала», по Х. Джайнотту: психолог комментирует результаты ребенка,</w:t>
      </w:r>
      <w:r>
        <w:rPr>
          <w:color w:val="231F20"/>
          <w:spacing w:val="-3"/>
        </w:rPr>
        <w:t> </w:t>
      </w:r>
      <w:r>
        <w:rPr>
          <w:color w:val="231F20"/>
        </w:rPr>
        <w:t>описывает</w:t>
      </w:r>
      <w:r>
        <w:rPr>
          <w:color w:val="231F20"/>
          <w:spacing w:val="-3"/>
        </w:rPr>
        <w:t> </w:t>
      </w:r>
      <w:r>
        <w:rPr>
          <w:color w:val="231F20"/>
        </w:rPr>
        <w:t>то,</w:t>
      </w:r>
      <w:r>
        <w:rPr>
          <w:color w:val="231F20"/>
          <w:spacing w:val="-3"/>
        </w:rPr>
        <w:t> </w:t>
      </w:r>
      <w:r>
        <w:rPr>
          <w:color w:val="231F20"/>
        </w:rPr>
        <w:t>что</w:t>
      </w:r>
      <w:r>
        <w:rPr>
          <w:color w:val="231F20"/>
          <w:spacing w:val="-3"/>
        </w:rPr>
        <w:t> </w:t>
      </w:r>
      <w:r>
        <w:rPr>
          <w:color w:val="231F20"/>
        </w:rPr>
        <w:t>было</w:t>
      </w:r>
      <w:r>
        <w:rPr>
          <w:color w:val="231F20"/>
          <w:spacing w:val="-3"/>
        </w:rPr>
        <w:t> </w:t>
      </w:r>
      <w:r>
        <w:rPr>
          <w:color w:val="231F20"/>
        </w:rPr>
        <w:t>сделано,</w:t>
      </w:r>
      <w:r>
        <w:rPr>
          <w:color w:val="231F20"/>
          <w:spacing w:val="-3"/>
        </w:rPr>
        <w:t> </w:t>
      </w:r>
      <w:r>
        <w:rPr>
          <w:color w:val="231F20"/>
        </w:rPr>
        <w:t>избегая</w:t>
      </w:r>
      <w:r>
        <w:rPr>
          <w:color w:val="231F20"/>
          <w:spacing w:val="-3"/>
        </w:rPr>
        <w:t> </w:t>
      </w:r>
      <w:r>
        <w:rPr>
          <w:color w:val="231F20"/>
        </w:rPr>
        <w:t>упоминания</w:t>
      </w:r>
      <w:r>
        <w:rPr>
          <w:color w:val="231F20"/>
          <w:spacing w:val="-3"/>
        </w:rPr>
        <w:t> </w:t>
      </w:r>
      <w:r>
        <w:rPr>
          <w:color w:val="231F20"/>
        </w:rPr>
        <w:t>личности</w:t>
      </w:r>
      <w:r>
        <w:rPr>
          <w:color w:val="231F20"/>
          <w:spacing w:val="-3"/>
        </w:rPr>
        <w:t> </w:t>
      </w:r>
      <w:r>
        <w:rPr>
          <w:color w:val="231F20"/>
        </w:rPr>
        <w:t>и</w:t>
      </w:r>
      <w:r>
        <w:rPr>
          <w:color w:val="231F20"/>
          <w:spacing w:val="-3"/>
        </w:rPr>
        <w:t> </w:t>
      </w:r>
      <w:r>
        <w:rPr>
          <w:color w:val="231F20"/>
        </w:rPr>
        <w:t>способно- стей ребенка. Пример описательной похвалы: «Ты сегодня выступил с докладом на уроке биологии и назвал все нужные слова на русском языке!»</w:t>
      </w:r>
    </w:p>
    <w:p>
      <w:pPr>
        <w:pStyle w:val="BodyText"/>
        <w:spacing w:line="235" w:lineRule="auto" w:before="2"/>
        <w:ind w:left="425" w:firstLine="0"/>
      </w:pPr>
      <w:r>
        <w:rPr>
          <w:color w:val="231F20"/>
          <w:spacing w:val="-2"/>
        </w:rPr>
        <w:t>Обозначение</w:t>
      </w:r>
      <w:r>
        <w:rPr>
          <w:color w:val="231F20"/>
          <w:spacing w:val="-8"/>
        </w:rPr>
        <w:t> </w:t>
      </w:r>
      <w:r>
        <w:rPr>
          <w:color w:val="231F20"/>
          <w:spacing w:val="-2"/>
        </w:rPr>
        <w:t>приложенных</w:t>
      </w:r>
      <w:r>
        <w:rPr>
          <w:color w:val="231F20"/>
          <w:spacing w:val="-8"/>
        </w:rPr>
        <w:t> </w:t>
      </w:r>
      <w:r>
        <w:rPr>
          <w:color w:val="231F20"/>
          <w:spacing w:val="-2"/>
        </w:rPr>
        <w:t>ребенком</w:t>
      </w:r>
      <w:r>
        <w:rPr>
          <w:color w:val="231F20"/>
          <w:spacing w:val="-8"/>
        </w:rPr>
        <w:t> </w:t>
      </w:r>
      <w:r>
        <w:rPr>
          <w:color w:val="231F20"/>
          <w:spacing w:val="-2"/>
        </w:rPr>
        <w:t>усилий:</w:t>
      </w:r>
      <w:r>
        <w:rPr>
          <w:color w:val="231F20"/>
          <w:spacing w:val="-8"/>
        </w:rPr>
        <w:t> </w:t>
      </w:r>
      <w:r>
        <w:rPr>
          <w:color w:val="231F20"/>
          <w:spacing w:val="-2"/>
        </w:rPr>
        <w:t>«Ты</w:t>
      </w:r>
      <w:r>
        <w:rPr>
          <w:color w:val="231F20"/>
          <w:spacing w:val="-8"/>
        </w:rPr>
        <w:t> </w:t>
      </w:r>
      <w:r>
        <w:rPr>
          <w:color w:val="231F20"/>
          <w:spacing w:val="-2"/>
        </w:rPr>
        <w:t>очень</w:t>
      </w:r>
      <w:r>
        <w:rPr>
          <w:color w:val="231F20"/>
          <w:spacing w:val="-8"/>
        </w:rPr>
        <w:t> </w:t>
      </w:r>
      <w:r>
        <w:rPr>
          <w:color w:val="231F20"/>
          <w:spacing w:val="-2"/>
        </w:rPr>
        <w:t>старался,</w:t>
      </w:r>
      <w:r>
        <w:rPr>
          <w:color w:val="231F20"/>
          <w:spacing w:val="-8"/>
        </w:rPr>
        <w:t> </w:t>
      </w:r>
      <w:r>
        <w:rPr>
          <w:color w:val="231F20"/>
          <w:spacing w:val="-2"/>
        </w:rPr>
        <w:t>и</w:t>
      </w:r>
      <w:r>
        <w:rPr>
          <w:color w:val="231F20"/>
          <w:spacing w:val="-8"/>
        </w:rPr>
        <w:t> </w:t>
      </w:r>
      <w:r>
        <w:rPr>
          <w:color w:val="231F20"/>
          <w:spacing w:val="-2"/>
        </w:rPr>
        <w:t>тебе</w:t>
      </w:r>
      <w:r>
        <w:rPr>
          <w:color w:val="231F20"/>
          <w:spacing w:val="-8"/>
        </w:rPr>
        <w:t> </w:t>
      </w:r>
      <w:r>
        <w:rPr>
          <w:color w:val="231F20"/>
          <w:spacing w:val="-2"/>
        </w:rPr>
        <w:t>удалось». </w:t>
      </w:r>
      <w:r>
        <w:rPr>
          <w:color w:val="231F20"/>
        </w:rPr>
        <w:t>Перечисление</w:t>
      </w:r>
      <w:r>
        <w:rPr>
          <w:color w:val="231F20"/>
          <w:spacing w:val="-4"/>
        </w:rPr>
        <w:t> </w:t>
      </w:r>
      <w:r>
        <w:rPr>
          <w:color w:val="231F20"/>
        </w:rPr>
        <w:t>того,</w:t>
      </w:r>
      <w:r>
        <w:rPr>
          <w:color w:val="231F20"/>
          <w:spacing w:val="-2"/>
        </w:rPr>
        <w:t> </w:t>
      </w:r>
      <w:r>
        <w:rPr>
          <w:color w:val="231F20"/>
        </w:rPr>
        <w:t>с</w:t>
      </w:r>
      <w:r>
        <w:rPr>
          <w:color w:val="231F20"/>
          <w:spacing w:val="-1"/>
        </w:rPr>
        <w:t> </w:t>
      </w:r>
      <w:r>
        <w:rPr>
          <w:color w:val="231F20"/>
        </w:rPr>
        <w:t>чем</w:t>
      </w:r>
      <w:r>
        <w:rPr>
          <w:color w:val="231F20"/>
          <w:spacing w:val="-2"/>
        </w:rPr>
        <w:t> </w:t>
      </w:r>
      <w:r>
        <w:rPr>
          <w:color w:val="231F20"/>
        </w:rPr>
        <w:t>ребенок</w:t>
      </w:r>
      <w:r>
        <w:rPr>
          <w:color w:val="231F20"/>
          <w:spacing w:val="-2"/>
        </w:rPr>
        <w:t> </w:t>
      </w:r>
      <w:r>
        <w:rPr>
          <w:color w:val="231F20"/>
        </w:rPr>
        <w:t>успешно</w:t>
      </w:r>
      <w:r>
        <w:rPr>
          <w:color w:val="231F20"/>
          <w:spacing w:val="-1"/>
        </w:rPr>
        <w:t> </w:t>
      </w:r>
      <w:r>
        <w:rPr>
          <w:color w:val="231F20"/>
        </w:rPr>
        <w:t>справился:</w:t>
      </w:r>
      <w:r>
        <w:rPr>
          <w:color w:val="231F20"/>
          <w:spacing w:val="-2"/>
        </w:rPr>
        <w:t> </w:t>
      </w:r>
      <w:r>
        <w:rPr>
          <w:color w:val="231F20"/>
        </w:rPr>
        <w:t>«Из</w:t>
      </w:r>
      <w:r>
        <w:rPr>
          <w:color w:val="231F20"/>
          <w:spacing w:val="-2"/>
        </w:rPr>
        <w:t> </w:t>
      </w:r>
      <w:r>
        <w:rPr>
          <w:color w:val="231F20"/>
        </w:rPr>
        <w:t>пяти</w:t>
      </w:r>
      <w:r>
        <w:rPr>
          <w:color w:val="231F20"/>
          <w:spacing w:val="-1"/>
        </w:rPr>
        <w:t> </w:t>
      </w:r>
      <w:r>
        <w:rPr>
          <w:color w:val="231F20"/>
        </w:rPr>
        <w:t>задач</w:t>
      </w:r>
      <w:r>
        <w:rPr>
          <w:color w:val="231F20"/>
          <w:spacing w:val="-2"/>
        </w:rPr>
        <w:t> </w:t>
      </w:r>
      <w:r>
        <w:rPr>
          <w:color w:val="231F20"/>
        </w:rPr>
        <w:t>по</w:t>
      </w:r>
      <w:r>
        <w:rPr>
          <w:color w:val="231F20"/>
          <w:spacing w:val="-1"/>
        </w:rPr>
        <w:t> </w:t>
      </w:r>
      <w:r>
        <w:rPr>
          <w:color w:val="231F20"/>
          <w:spacing w:val="-2"/>
        </w:rPr>
        <w:t>матема-</w:t>
      </w:r>
    </w:p>
    <w:p>
      <w:pPr>
        <w:pStyle w:val="BodyText"/>
        <w:spacing w:line="225" w:lineRule="exact"/>
        <w:ind w:right="0" w:firstLine="0"/>
      </w:pPr>
      <w:r>
        <w:rPr>
          <w:color w:val="231F20"/>
        </w:rPr>
        <w:t>тике</w:t>
      </w:r>
      <w:r>
        <w:rPr>
          <w:color w:val="231F20"/>
          <w:spacing w:val="-2"/>
        </w:rPr>
        <w:t> </w:t>
      </w:r>
      <w:r>
        <w:rPr>
          <w:color w:val="231F20"/>
        </w:rPr>
        <w:t>ты</w:t>
      </w:r>
      <w:r>
        <w:rPr>
          <w:color w:val="231F20"/>
          <w:spacing w:val="-2"/>
        </w:rPr>
        <w:t> </w:t>
      </w:r>
      <w:r>
        <w:rPr>
          <w:color w:val="231F20"/>
        </w:rPr>
        <w:t>решил</w:t>
      </w:r>
      <w:r>
        <w:rPr>
          <w:color w:val="231F20"/>
          <w:spacing w:val="-1"/>
        </w:rPr>
        <w:t> </w:t>
      </w:r>
      <w:r>
        <w:rPr>
          <w:color w:val="231F20"/>
          <w:spacing w:val="-2"/>
        </w:rPr>
        <w:t>три».</w:t>
      </w:r>
    </w:p>
    <w:p>
      <w:pPr>
        <w:pStyle w:val="BodyText"/>
        <w:spacing w:line="235" w:lineRule="auto" w:before="2"/>
      </w:pPr>
      <w:r>
        <w:rPr>
          <w:color w:val="231F20"/>
        </w:rPr>
        <w:t>Указание</w:t>
      </w:r>
      <w:r>
        <w:rPr>
          <w:color w:val="231F20"/>
          <w:spacing w:val="-3"/>
        </w:rPr>
        <w:t> </w:t>
      </w:r>
      <w:r>
        <w:rPr>
          <w:color w:val="231F20"/>
        </w:rPr>
        <w:t>на</w:t>
      </w:r>
      <w:r>
        <w:rPr>
          <w:color w:val="231F20"/>
          <w:spacing w:val="-3"/>
        </w:rPr>
        <w:t> </w:t>
      </w:r>
      <w:r>
        <w:rPr>
          <w:color w:val="231F20"/>
        </w:rPr>
        <w:t>изменение,</w:t>
      </w:r>
      <w:r>
        <w:rPr>
          <w:color w:val="231F20"/>
          <w:spacing w:val="-3"/>
        </w:rPr>
        <w:t> </w:t>
      </w:r>
      <w:r>
        <w:rPr>
          <w:color w:val="231F20"/>
        </w:rPr>
        <w:t>на</w:t>
      </w:r>
      <w:r>
        <w:rPr>
          <w:color w:val="231F20"/>
          <w:spacing w:val="-3"/>
        </w:rPr>
        <w:t> </w:t>
      </w:r>
      <w:r>
        <w:rPr>
          <w:color w:val="231F20"/>
        </w:rPr>
        <w:t>динамику.</w:t>
      </w:r>
      <w:r>
        <w:rPr>
          <w:color w:val="231F20"/>
          <w:spacing w:val="-3"/>
        </w:rPr>
        <w:t> </w:t>
      </w:r>
      <w:r>
        <w:rPr>
          <w:color w:val="231F20"/>
        </w:rPr>
        <w:t>«А</w:t>
      </w:r>
      <w:r>
        <w:rPr>
          <w:color w:val="231F20"/>
          <w:spacing w:val="-3"/>
        </w:rPr>
        <w:t> </w:t>
      </w:r>
      <w:r>
        <w:rPr>
          <w:color w:val="231F20"/>
        </w:rPr>
        <w:t>месяц</w:t>
      </w:r>
      <w:r>
        <w:rPr>
          <w:color w:val="231F20"/>
          <w:spacing w:val="-3"/>
        </w:rPr>
        <w:t> </w:t>
      </w:r>
      <w:r>
        <w:rPr>
          <w:color w:val="231F20"/>
        </w:rPr>
        <w:t>назад</w:t>
      </w:r>
      <w:r>
        <w:rPr>
          <w:color w:val="231F20"/>
          <w:spacing w:val="-3"/>
        </w:rPr>
        <w:t> </w:t>
      </w:r>
      <w:r>
        <w:rPr>
          <w:color w:val="231F20"/>
        </w:rPr>
        <w:t>ты</w:t>
      </w:r>
      <w:r>
        <w:rPr>
          <w:color w:val="231F20"/>
          <w:spacing w:val="-3"/>
        </w:rPr>
        <w:t> </w:t>
      </w:r>
      <w:r>
        <w:rPr>
          <w:color w:val="231F20"/>
        </w:rPr>
        <w:t>мог</w:t>
      </w:r>
      <w:r>
        <w:rPr>
          <w:color w:val="231F20"/>
          <w:spacing w:val="-3"/>
        </w:rPr>
        <w:t> </w:t>
      </w:r>
      <w:r>
        <w:rPr>
          <w:color w:val="231F20"/>
        </w:rPr>
        <w:t>решить</w:t>
      </w:r>
      <w:r>
        <w:rPr>
          <w:color w:val="231F20"/>
          <w:spacing w:val="-3"/>
        </w:rPr>
        <w:t> </w:t>
      </w:r>
      <w:r>
        <w:rPr>
          <w:color w:val="231F20"/>
        </w:rPr>
        <w:t>только</w:t>
      </w:r>
      <w:r>
        <w:rPr>
          <w:color w:val="231F20"/>
          <w:spacing w:val="-3"/>
        </w:rPr>
        <w:t> </w:t>
      </w:r>
      <w:r>
        <w:rPr>
          <w:color w:val="231F20"/>
        </w:rPr>
        <w:t>одну </w:t>
      </w:r>
      <w:r>
        <w:rPr>
          <w:color w:val="231F20"/>
          <w:spacing w:val="-2"/>
        </w:rPr>
        <w:t>задачу».</w:t>
      </w:r>
    </w:p>
    <w:p>
      <w:pPr>
        <w:pStyle w:val="BodyText"/>
        <w:spacing w:line="235" w:lineRule="auto" w:before="1"/>
      </w:pPr>
      <w:r>
        <w:rPr>
          <w:color w:val="231F20"/>
        </w:rPr>
        <w:t>Расспрашивание</w:t>
      </w:r>
      <w:r>
        <w:rPr>
          <w:color w:val="231F20"/>
          <w:spacing w:val="-12"/>
        </w:rPr>
        <w:t> </w:t>
      </w:r>
      <w:r>
        <w:rPr>
          <w:color w:val="231F20"/>
        </w:rPr>
        <w:t>ребенка</w:t>
      </w:r>
      <w:r>
        <w:rPr>
          <w:color w:val="231F20"/>
          <w:spacing w:val="-12"/>
        </w:rPr>
        <w:t> </w:t>
      </w:r>
      <w:r>
        <w:rPr>
          <w:color w:val="231F20"/>
        </w:rPr>
        <w:t>о</w:t>
      </w:r>
      <w:r>
        <w:rPr>
          <w:color w:val="231F20"/>
          <w:spacing w:val="-12"/>
        </w:rPr>
        <w:t> </w:t>
      </w:r>
      <w:r>
        <w:rPr>
          <w:color w:val="231F20"/>
        </w:rPr>
        <w:t>возможных</w:t>
      </w:r>
      <w:r>
        <w:rPr>
          <w:color w:val="231F20"/>
          <w:spacing w:val="-12"/>
        </w:rPr>
        <w:t> </w:t>
      </w:r>
      <w:r>
        <w:rPr>
          <w:color w:val="231F20"/>
        </w:rPr>
        <w:t>решениях</w:t>
      </w:r>
      <w:r>
        <w:rPr>
          <w:color w:val="231F20"/>
          <w:spacing w:val="-12"/>
        </w:rPr>
        <w:t> </w:t>
      </w:r>
      <w:r>
        <w:rPr>
          <w:color w:val="231F20"/>
        </w:rPr>
        <w:t>или</w:t>
      </w:r>
      <w:r>
        <w:rPr>
          <w:color w:val="231F20"/>
          <w:spacing w:val="-12"/>
        </w:rPr>
        <w:t> </w:t>
      </w:r>
      <w:r>
        <w:rPr>
          <w:color w:val="231F20"/>
        </w:rPr>
        <w:t>его</w:t>
      </w:r>
      <w:r>
        <w:rPr>
          <w:color w:val="231F20"/>
          <w:spacing w:val="-12"/>
        </w:rPr>
        <w:t> </w:t>
      </w:r>
      <w:r>
        <w:rPr>
          <w:color w:val="231F20"/>
        </w:rPr>
        <w:t>собственной</w:t>
      </w:r>
      <w:r>
        <w:rPr>
          <w:color w:val="231F20"/>
          <w:spacing w:val="-12"/>
        </w:rPr>
        <w:t> </w:t>
      </w:r>
      <w:r>
        <w:rPr>
          <w:color w:val="231F20"/>
        </w:rPr>
        <w:t>оценке</w:t>
      </w:r>
      <w:r>
        <w:rPr>
          <w:color w:val="231F20"/>
          <w:spacing w:val="-12"/>
        </w:rPr>
        <w:t> </w:t>
      </w:r>
      <w:r>
        <w:rPr>
          <w:color w:val="231F20"/>
        </w:rPr>
        <w:t>сде- ланного: «Как ты поступишь с следующий раз?», «Что ты сам думаешь по этому </w:t>
      </w:r>
      <w:r>
        <w:rPr>
          <w:color w:val="231F20"/>
          <w:spacing w:val="-2"/>
        </w:rPr>
        <w:t>поводу?»</w:t>
      </w:r>
    </w:p>
    <w:p>
      <w:pPr>
        <w:pStyle w:val="BodyText"/>
        <w:spacing w:line="235" w:lineRule="auto" w:before="115"/>
      </w:pPr>
      <w:r>
        <w:rPr>
          <w:color w:val="231F20"/>
        </w:rPr>
        <w:t>Помимо использования общих техник, коммуникация психолога с учащимися- мигрантами будет более продуктивной при соблюдении следующих рекомендаций.</w:t>
      </w:r>
    </w:p>
    <w:p>
      <w:pPr>
        <w:pStyle w:val="BodyText"/>
        <w:spacing w:after="0" w:line="235" w:lineRule="auto"/>
        <w:sectPr>
          <w:pgSz w:w="8400" w:h="11910"/>
          <w:pgMar w:header="0" w:footer="528" w:top="400" w:bottom="720" w:left="425" w:right="425"/>
        </w:sectPr>
      </w:pPr>
    </w:p>
    <w:p>
      <w:pPr>
        <w:pStyle w:val="ListParagraph"/>
        <w:numPr>
          <w:ilvl w:val="1"/>
          <w:numId w:val="43"/>
        </w:numPr>
        <w:tabs>
          <w:tab w:pos="455" w:val="left" w:leader="none"/>
        </w:tabs>
        <w:spacing w:line="240" w:lineRule="auto" w:before="80" w:after="0"/>
        <w:ind w:left="455" w:right="0" w:hanging="314"/>
        <w:jc w:val="left"/>
        <w:rPr>
          <w:rFonts w:ascii="Georgia" w:hAnsi="Georgia"/>
          <w:color w:val="231F20"/>
          <w:sz w:val="18"/>
        </w:rPr>
      </w:pPr>
      <w:bookmarkStart w:name="_bookmark43" w:id="45"/>
      <w:bookmarkEnd w:id="45"/>
      <w:r>
        <w:rPr/>
      </w:r>
      <w:r>
        <w:rPr>
          <w:rFonts w:ascii="Georgia" w:hAnsi="Georgia"/>
          <w:color w:val="231F20"/>
          <w:sz w:val="18"/>
        </w:rPr>
        <w:t>Использование</w:t>
      </w:r>
      <w:r>
        <w:rPr>
          <w:rFonts w:ascii="Georgia" w:hAnsi="Georgia"/>
          <w:color w:val="231F20"/>
          <w:spacing w:val="-2"/>
          <w:sz w:val="18"/>
        </w:rPr>
        <w:t> </w:t>
      </w:r>
      <w:r>
        <w:rPr>
          <w:rFonts w:ascii="Georgia" w:hAnsi="Georgia"/>
          <w:color w:val="231F20"/>
          <w:sz w:val="18"/>
        </w:rPr>
        <w:t>консультативных</w:t>
      </w:r>
      <w:r>
        <w:rPr>
          <w:rFonts w:ascii="Georgia" w:hAnsi="Georgia"/>
          <w:color w:val="231F20"/>
          <w:spacing w:val="-1"/>
          <w:sz w:val="18"/>
        </w:rPr>
        <w:t> </w:t>
      </w:r>
      <w:r>
        <w:rPr>
          <w:rFonts w:ascii="Georgia" w:hAnsi="Georgia"/>
          <w:color w:val="231F20"/>
          <w:sz w:val="18"/>
        </w:rPr>
        <w:t>подходов</w:t>
      </w:r>
      <w:r>
        <w:rPr>
          <w:rFonts w:ascii="Georgia" w:hAnsi="Georgia"/>
          <w:color w:val="231F20"/>
          <w:spacing w:val="-2"/>
          <w:sz w:val="18"/>
        </w:rPr>
        <w:t> </w:t>
      </w:r>
      <w:r>
        <w:rPr>
          <w:rFonts w:ascii="Georgia" w:hAnsi="Georgia"/>
          <w:color w:val="231F20"/>
          <w:sz w:val="18"/>
        </w:rPr>
        <w:t>и</w:t>
      </w:r>
      <w:r>
        <w:rPr>
          <w:rFonts w:ascii="Georgia" w:hAnsi="Georgia"/>
          <w:color w:val="231F20"/>
          <w:spacing w:val="-1"/>
          <w:sz w:val="18"/>
        </w:rPr>
        <w:t> </w:t>
      </w:r>
      <w:r>
        <w:rPr>
          <w:rFonts w:ascii="Georgia" w:hAnsi="Georgia"/>
          <w:color w:val="231F20"/>
          <w:sz w:val="18"/>
        </w:rPr>
        <w:t>стратегий</w:t>
      </w:r>
      <w:r>
        <w:rPr>
          <w:rFonts w:ascii="Georgia" w:hAnsi="Georgia"/>
          <w:color w:val="231F20"/>
          <w:spacing w:val="-1"/>
          <w:sz w:val="18"/>
        </w:rPr>
        <w:t> </w:t>
      </w:r>
      <w:r>
        <w:rPr>
          <w:rFonts w:ascii="Georgia" w:hAnsi="Georgia"/>
          <w:color w:val="231F20"/>
          <w:sz w:val="18"/>
        </w:rPr>
        <w:t>в</w:t>
      </w:r>
      <w:r>
        <w:rPr>
          <w:rFonts w:ascii="Georgia" w:hAnsi="Georgia"/>
          <w:color w:val="231F20"/>
          <w:spacing w:val="-2"/>
          <w:sz w:val="18"/>
        </w:rPr>
        <w:t> </w:t>
      </w:r>
      <w:r>
        <w:rPr>
          <w:rFonts w:ascii="Georgia" w:hAnsi="Georgia"/>
          <w:color w:val="231F20"/>
          <w:sz w:val="18"/>
        </w:rPr>
        <w:t>работе</w:t>
      </w:r>
      <w:r>
        <w:rPr>
          <w:rFonts w:ascii="Georgia" w:hAnsi="Georgia"/>
          <w:color w:val="231F20"/>
          <w:spacing w:val="-1"/>
          <w:sz w:val="18"/>
        </w:rPr>
        <w:t> </w:t>
      </w:r>
      <w:r>
        <w:rPr>
          <w:rFonts w:ascii="Georgia" w:hAnsi="Georgia"/>
          <w:color w:val="231F20"/>
          <w:sz w:val="18"/>
        </w:rPr>
        <w:t>с</w:t>
      </w:r>
      <w:r>
        <w:rPr>
          <w:rFonts w:ascii="Georgia" w:hAnsi="Georgia"/>
          <w:color w:val="231F20"/>
          <w:spacing w:val="-1"/>
          <w:sz w:val="18"/>
        </w:rPr>
        <w:t> </w:t>
      </w:r>
      <w:r>
        <w:rPr>
          <w:rFonts w:ascii="Georgia" w:hAnsi="Georgia"/>
          <w:color w:val="231F20"/>
          <w:spacing w:val="-2"/>
          <w:sz w:val="18"/>
        </w:rPr>
        <w:t>детьми...</w:t>
      </w:r>
    </w:p>
    <w:p>
      <w:pPr>
        <w:pStyle w:val="BodyText"/>
        <w:spacing w:line="235" w:lineRule="auto" w:before="116"/>
      </w:pPr>
      <w:r>
        <w:rPr>
          <w:color w:val="231F20"/>
        </w:rPr>
        <w:t>Необходимо учитывать в общении уровень владения русским языком у ребенка. Следует говорить четко, внятно, простыми словами и короткими предложениями. В ряде</w:t>
      </w:r>
      <w:r>
        <w:rPr>
          <w:color w:val="231F20"/>
          <w:spacing w:val="-2"/>
        </w:rPr>
        <w:t> </w:t>
      </w:r>
      <w:r>
        <w:rPr>
          <w:color w:val="231F20"/>
        </w:rPr>
        <w:t>случаев</w:t>
      </w:r>
      <w:r>
        <w:rPr>
          <w:color w:val="231F20"/>
          <w:spacing w:val="-2"/>
        </w:rPr>
        <w:t> </w:t>
      </w:r>
      <w:r>
        <w:rPr>
          <w:color w:val="231F20"/>
        </w:rPr>
        <w:t>целесообразно</w:t>
      </w:r>
      <w:r>
        <w:rPr>
          <w:color w:val="231F20"/>
          <w:spacing w:val="-2"/>
        </w:rPr>
        <w:t> </w:t>
      </w:r>
      <w:r>
        <w:rPr>
          <w:color w:val="231F20"/>
        </w:rPr>
        <w:t>также</w:t>
      </w:r>
      <w:r>
        <w:rPr>
          <w:color w:val="231F20"/>
          <w:spacing w:val="-1"/>
        </w:rPr>
        <w:t> </w:t>
      </w:r>
      <w:r>
        <w:rPr>
          <w:color w:val="231F20"/>
        </w:rPr>
        <w:t>говорить</w:t>
      </w:r>
      <w:r>
        <w:rPr>
          <w:color w:val="231F20"/>
          <w:spacing w:val="-1"/>
        </w:rPr>
        <w:t> </w:t>
      </w:r>
      <w:r>
        <w:rPr>
          <w:color w:val="231F20"/>
        </w:rPr>
        <w:t>более</w:t>
      </w:r>
      <w:r>
        <w:rPr>
          <w:color w:val="231F20"/>
          <w:spacing w:val="-1"/>
        </w:rPr>
        <w:t> </w:t>
      </w:r>
      <w:r>
        <w:rPr>
          <w:color w:val="231F20"/>
        </w:rPr>
        <w:t>медленно,</w:t>
      </w:r>
      <w:r>
        <w:rPr>
          <w:color w:val="231F20"/>
          <w:spacing w:val="-1"/>
        </w:rPr>
        <w:t> </w:t>
      </w:r>
      <w:r>
        <w:rPr>
          <w:color w:val="231F20"/>
        </w:rPr>
        <w:t>чем</w:t>
      </w:r>
      <w:r>
        <w:rPr>
          <w:color w:val="231F20"/>
          <w:spacing w:val="-2"/>
        </w:rPr>
        <w:t> </w:t>
      </w:r>
      <w:r>
        <w:rPr>
          <w:color w:val="231F20"/>
        </w:rPr>
        <w:t>с</w:t>
      </w:r>
      <w:r>
        <w:rPr>
          <w:color w:val="231F20"/>
          <w:spacing w:val="-1"/>
        </w:rPr>
        <w:t> </w:t>
      </w:r>
      <w:r>
        <w:rPr>
          <w:color w:val="231F20"/>
        </w:rPr>
        <w:t>ребенком</w:t>
      </w:r>
      <w:r>
        <w:rPr>
          <w:color w:val="231F20"/>
          <w:spacing w:val="-1"/>
        </w:rPr>
        <w:t> </w:t>
      </w:r>
      <w:r>
        <w:rPr>
          <w:color w:val="231F20"/>
        </w:rPr>
        <w:t>из</w:t>
      </w:r>
      <w:r>
        <w:rPr>
          <w:color w:val="231F20"/>
          <w:spacing w:val="-1"/>
        </w:rPr>
        <w:t> </w:t>
      </w:r>
      <w:r>
        <w:rPr>
          <w:color w:val="231F20"/>
        </w:rPr>
        <w:t>при- нимающей культуры.</w:t>
      </w:r>
    </w:p>
    <w:p>
      <w:pPr>
        <w:pStyle w:val="BodyText"/>
        <w:spacing w:line="235" w:lineRule="auto" w:before="2"/>
      </w:pPr>
      <w:r>
        <w:rPr>
          <w:color w:val="231F20"/>
          <w:spacing w:val="-2"/>
        </w:rPr>
        <w:t>Не</w:t>
      </w:r>
      <w:r>
        <w:rPr>
          <w:color w:val="231F20"/>
          <w:spacing w:val="-4"/>
        </w:rPr>
        <w:t> </w:t>
      </w:r>
      <w:r>
        <w:rPr>
          <w:color w:val="231F20"/>
          <w:spacing w:val="-2"/>
        </w:rPr>
        <w:t>следует</w:t>
      </w:r>
      <w:r>
        <w:rPr>
          <w:color w:val="231F20"/>
          <w:spacing w:val="-4"/>
        </w:rPr>
        <w:t> </w:t>
      </w:r>
      <w:r>
        <w:rPr>
          <w:color w:val="231F20"/>
          <w:spacing w:val="-2"/>
        </w:rPr>
        <w:t>торопить</w:t>
      </w:r>
      <w:r>
        <w:rPr>
          <w:color w:val="231F20"/>
          <w:spacing w:val="-4"/>
        </w:rPr>
        <w:t> </w:t>
      </w:r>
      <w:r>
        <w:rPr>
          <w:color w:val="231F20"/>
          <w:spacing w:val="-2"/>
        </w:rPr>
        <w:t>ребенка</w:t>
      </w:r>
      <w:r>
        <w:rPr>
          <w:color w:val="231F20"/>
          <w:spacing w:val="-4"/>
        </w:rPr>
        <w:t> </w:t>
      </w:r>
      <w:r>
        <w:rPr>
          <w:color w:val="231F20"/>
          <w:spacing w:val="-2"/>
        </w:rPr>
        <w:t>с</w:t>
      </w:r>
      <w:r>
        <w:rPr>
          <w:color w:val="231F20"/>
          <w:spacing w:val="-4"/>
        </w:rPr>
        <w:t> </w:t>
      </w:r>
      <w:r>
        <w:rPr>
          <w:color w:val="231F20"/>
          <w:spacing w:val="-2"/>
        </w:rPr>
        <w:t>обсуждением</w:t>
      </w:r>
      <w:r>
        <w:rPr>
          <w:color w:val="231F20"/>
          <w:spacing w:val="-4"/>
        </w:rPr>
        <w:t> </w:t>
      </w:r>
      <w:r>
        <w:rPr>
          <w:color w:val="231F20"/>
          <w:spacing w:val="-2"/>
        </w:rPr>
        <w:t>чувствительных</w:t>
      </w:r>
      <w:r>
        <w:rPr>
          <w:color w:val="231F20"/>
          <w:spacing w:val="-4"/>
        </w:rPr>
        <w:t> </w:t>
      </w:r>
      <w:r>
        <w:rPr>
          <w:color w:val="231F20"/>
          <w:spacing w:val="-2"/>
        </w:rPr>
        <w:t>вопросов.</w:t>
      </w:r>
      <w:r>
        <w:rPr>
          <w:color w:val="231F20"/>
          <w:spacing w:val="-4"/>
        </w:rPr>
        <w:t> </w:t>
      </w:r>
      <w:r>
        <w:rPr>
          <w:color w:val="231F20"/>
          <w:spacing w:val="-2"/>
        </w:rPr>
        <w:t>К</w:t>
      </w:r>
      <w:r>
        <w:rPr>
          <w:color w:val="231F20"/>
          <w:spacing w:val="-4"/>
        </w:rPr>
        <w:t> </w:t>
      </w:r>
      <w:r>
        <w:rPr>
          <w:color w:val="231F20"/>
          <w:spacing w:val="-2"/>
        </w:rPr>
        <w:t>чувстви- тельным следует отнести вопросы, касающиеся культурных норм, трудностей адапта- </w:t>
      </w:r>
      <w:r>
        <w:rPr>
          <w:color w:val="231F20"/>
        </w:rPr>
        <w:t>ции,</w:t>
      </w:r>
      <w:r>
        <w:rPr>
          <w:color w:val="231F20"/>
          <w:spacing w:val="-7"/>
        </w:rPr>
        <w:t> </w:t>
      </w:r>
      <w:r>
        <w:rPr>
          <w:color w:val="231F20"/>
        </w:rPr>
        <w:t>семейных</w:t>
      </w:r>
      <w:r>
        <w:rPr>
          <w:color w:val="231F20"/>
          <w:spacing w:val="-7"/>
        </w:rPr>
        <w:t> </w:t>
      </w:r>
      <w:r>
        <w:rPr>
          <w:color w:val="231F20"/>
        </w:rPr>
        <w:t>правил</w:t>
      </w:r>
      <w:r>
        <w:rPr>
          <w:color w:val="231F20"/>
          <w:spacing w:val="-7"/>
        </w:rPr>
        <w:t> </w:t>
      </w:r>
      <w:r>
        <w:rPr>
          <w:color w:val="231F20"/>
        </w:rPr>
        <w:t>и</w:t>
      </w:r>
      <w:r>
        <w:rPr>
          <w:color w:val="231F20"/>
          <w:spacing w:val="-7"/>
        </w:rPr>
        <w:t> </w:t>
      </w:r>
      <w:r>
        <w:rPr>
          <w:color w:val="231F20"/>
        </w:rPr>
        <w:t>пр.</w:t>
      </w:r>
      <w:r>
        <w:rPr>
          <w:color w:val="231F20"/>
          <w:spacing w:val="-7"/>
        </w:rPr>
        <w:t> </w:t>
      </w:r>
      <w:r>
        <w:rPr>
          <w:color w:val="231F20"/>
        </w:rPr>
        <w:t>Ребенку</w:t>
      </w:r>
      <w:r>
        <w:rPr>
          <w:color w:val="231F20"/>
          <w:spacing w:val="-7"/>
        </w:rPr>
        <w:t> </w:t>
      </w:r>
      <w:r>
        <w:rPr>
          <w:color w:val="231F20"/>
        </w:rPr>
        <w:t>необходимо</w:t>
      </w:r>
      <w:r>
        <w:rPr>
          <w:color w:val="231F20"/>
          <w:spacing w:val="-7"/>
        </w:rPr>
        <w:t> </w:t>
      </w:r>
      <w:r>
        <w:rPr>
          <w:color w:val="231F20"/>
        </w:rPr>
        <w:t>удостовериться,</w:t>
      </w:r>
      <w:r>
        <w:rPr>
          <w:color w:val="231F20"/>
          <w:spacing w:val="-7"/>
        </w:rPr>
        <w:t> </w:t>
      </w:r>
      <w:r>
        <w:rPr>
          <w:color w:val="231F20"/>
        </w:rPr>
        <w:t>что</w:t>
      </w:r>
      <w:r>
        <w:rPr>
          <w:color w:val="231F20"/>
          <w:spacing w:val="-7"/>
        </w:rPr>
        <w:t> </w:t>
      </w:r>
      <w:r>
        <w:rPr>
          <w:color w:val="231F20"/>
        </w:rPr>
        <w:t>он</w:t>
      </w:r>
      <w:r>
        <w:rPr>
          <w:color w:val="231F20"/>
          <w:spacing w:val="-7"/>
        </w:rPr>
        <w:t> </w:t>
      </w:r>
      <w:r>
        <w:rPr>
          <w:color w:val="231F20"/>
        </w:rPr>
        <w:t>может</w:t>
      </w:r>
      <w:r>
        <w:rPr>
          <w:color w:val="231F20"/>
          <w:spacing w:val="-7"/>
        </w:rPr>
        <w:t> </w:t>
      </w:r>
      <w:r>
        <w:rPr>
          <w:color w:val="231F20"/>
        </w:rPr>
        <w:t>безо- </w:t>
      </w:r>
      <w:r>
        <w:rPr>
          <w:color w:val="231F20"/>
          <w:spacing w:val="-2"/>
        </w:rPr>
        <w:t>пасно</w:t>
      </w:r>
      <w:r>
        <w:rPr>
          <w:color w:val="231F20"/>
          <w:spacing w:val="-7"/>
        </w:rPr>
        <w:t> </w:t>
      </w:r>
      <w:r>
        <w:rPr>
          <w:color w:val="231F20"/>
          <w:spacing w:val="-2"/>
        </w:rPr>
        <w:t>делиться</w:t>
      </w:r>
      <w:r>
        <w:rPr>
          <w:color w:val="231F20"/>
          <w:spacing w:val="-7"/>
        </w:rPr>
        <w:t> </w:t>
      </w:r>
      <w:r>
        <w:rPr>
          <w:color w:val="231F20"/>
          <w:spacing w:val="-2"/>
        </w:rPr>
        <w:t>сомнениями</w:t>
      </w:r>
      <w:r>
        <w:rPr>
          <w:color w:val="231F20"/>
          <w:spacing w:val="-7"/>
        </w:rPr>
        <w:t> </w:t>
      </w:r>
      <w:r>
        <w:rPr>
          <w:color w:val="231F20"/>
          <w:spacing w:val="-2"/>
        </w:rPr>
        <w:t>и</w:t>
      </w:r>
      <w:r>
        <w:rPr>
          <w:color w:val="231F20"/>
          <w:spacing w:val="-7"/>
        </w:rPr>
        <w:t> </w:t>
      </w:r>
      <w:r>
        <w:rPr>
          <w:color w:val="231F20"/>
          <w:spacing w:val="-2"/>
        </w:rPr>
        <w:t>тревогами</w:t>
      </w:r>
      <w:r>
        <w:rPr>
          <w:color w:val="231F20"/>
          <w:spacing w:val="-7"/>
        </w:rPr>
        <w:t> </w:t>
      </w:r>
      <w:r>
        <w:rPr>
          <w:color w:val="231F20"/>
          <w:spacing w:val="-2"/>
        </w:rPr>
        <w:t>по</w:t>
      </w:r>
      <w:r>
        <w:rPr>
          <w:color w:val="231F20"/>
          <w:spacing w:val="-7"/>
        </w:rPr>
        <w:t> </w:t>
      </w:r>
      <w:r>
        <w:rPr>
          <w:color w:val="231F20"/>
          <w:spacing w:val="-2"/>
        </w:rPr>
        <w:t>вышеперечисленным</w:t>
      </w:r>
      <w:r>
        <w:rPr>
          <w:color w:val="231F20"/>
          <w:spacing w:val="-6"/>
        </w:rPr>
        <w:t> </w:t>
      </w:r>
      <w:r>
        <w:rPr>
          <w:color w:val="231F20"/>
          <w:spacing w:val="-2"/>
        </w:rPr>
        <w:t>поводам,</w:t>
      </w:r>
      <w:r>
        <w:rPr>
          <w:color w:val="231F20"/>
          <w:spacing w:val="-7"/>
        </w:rPr>
        <w:t> </w:t>
      </w:r>
      <w:r>
        <w:rPr>
          <w:color w:val="231F20"/>
          <w:spacing w:val="-2"/>
        </w:rPr>
        <w:t>и</w:t>
      </w:r>
      <w:r>
        <w:rPr>
          <w:color w:val="231F20"/>
          <w:spacing w:val="-7"/>
        </w:rPr>
        <w:t> </w:t>
      </w:r>
      <w:r>
        <w:rPr>
          <w:color w:val="231F20"/>
          <w:spacing w:val="-2"/>
        </w:rPr>
        <w:t>для</w:t>
      </w:r>
      <w:r>
        <w:rPr>
          <w:color w:val="231F20"/>
          <w:spacing w:val="-7"/>
        </w:rPr>
        <w:t> </w:t>
      </w:r>
      <w:r>
        <w:rPr>
          <w:color w:val="231F20"/>
          <w:spacing w:val="-2"/>
        </w:rPr>
        <w:t>этого требуется</w:t>
      </w:r>
      <w:r>
        <w:rPr>
          <w:color w:val="231F20"/>
          <w:spacing w:val="-4"/>
        </w:rPr>
        <w:t> </w:t>
      </w:r>
      <w:r>
        <w:rPr>
          <w:color w:val="231F20"/>
          <w:spacing w:val="-2"/>
        </w:rPr>
        <w:t>накопить</w:t>
      </w:r>
      <w:r>
        <w:rPr>
          <w:color w:val="231F20"/>
          <w:spacing w:val="-4"/>
        </w:rPr>
        <w:t> </w:t>
      </w:r>
      <w:r>
        <w:rPr>
          <w:color w:val="231F20"/>
          <w:spacing w:val="-2"/>
        </w:rPr>
        <w:t>определенный</w:t>
      </w:r>
      <w:r>
        <w:rPr>
          <w:color w:val="231F20"/>
          <w:spacing w:val="-4"/>
        </w:rPr>
        <w:t> </w:t>
      </w:r>
      <w:r>
        <w:rPr>
          <w:color w:val="231F20"/>
          <w:spacing w:val="-2"/>
        </w:rPr>
        <w:t>опыт</w:t>
      </w:r>
      <w:r>
        <w:rPr>
          <w:color w:val="231F20"/>
          <w:spacing w:val="-4"/>
        </w:rPr>
        <w:t> </w:t>
      </w:r>
      <w:r>
        <w:rPr>
          <w:color w:val="231F20"/>
          <w:spacing w:val="-2"/>
        </w:rPr>
        <w:t>общения</w:t>
      </w:r>
      <w:r>
        <w:rPr>
          <w:color w:val="231F20"/>
          <w:spacing w:val="-4"/>
        </w:rPr>
        <w:t> </w:t>
      </w:r>
      <w:r>
        <w:rPr>
          <w:color w:val="231F20"/>
          <w:spacing w:val="-2"/>
        </w:rPr>
        <w:t>с</w:t>
      </w:r>
      <w:r>
        <w:rPr>
          <w:color w:val="231F20"/>
          <w:spacing w:val="-4"/>
        </w:rPr>
        <w:t> </w:t>
      </w:r>
      <w:r>
        <w:rPr>
          <w:color w:val="231F20"/>
          <w:spacing w:val="-2"/>
        </w:rPr>
        <w:t>психологом.</w:t>
      </w:r>
      <w:r>
        <w:rPr>
          <w:color w:val="231F20"/>
          <w:spacing w:val="-4"/>
        </w:rPr>
        <w:t> </w:t>
      </w:r>
      <w:r>
        <w:rPr>
          <w:color w:val="231F20"/>
          <w:spacing w:val="-2"/>
        </w:rPr>
        <w:t>Возможно,</w:t>
      </w:r>
      <w:r>
        <w:rPr>
          <w:color w:val="231F20"/>
          <w:spacing w:val="-4"/>
        </w:rPr>
        <w:t> </w:t>
      </w:r>
      <w:r>
        <w:rPr>
          <w:color w:val="231F20"/>
          <w:spacing w:val="-2"/>
        </w:rPr>
        <w:t>на</w:t>
      </w:r>
      <w:r>
        <w:rPr>
          <w:color w:val="231F20"/>
          <w:spacing w:val="-4"/>
        </w:rPr>
        <w:t> </w:t>
      </w:r>
      <w:r>
        <w:rPr>
          <w:color w:val="231F20"/>
          <w:spacing w:val="-2"/>
        </w:rPr>
        <w:t>началь- </w:t>
      </w:r>
      <w:r>
        <w:rPr>
          <w:color w:val="231F20"/>
        </w:rPr>
        <w:t>ном</w:t>
      </w:r>
      <w:r>
        <w:rPr>
          <w:color w:val="231F20"/>
          <w:spacing w:val="-9"/>
        </w:rPr>
        <w:t> </w:t>
      </w:r>
      <w:r>
        <w:rPr>
          <w:color w:val="231F20"/>
        </w:rPr>
        <w:t>этапе</w:t>
      </w:r>
      <w:r>
        <w:rPr>
          <w:color w:val="231F20"/>
          <w:spacing w:val="-9"/>
        </w:rPr>
        <w:t> </w:t>
      </w:r>
      <w:r>
        <w:rPr>
          <w:color w:val="231F20"/>
        </w:rPr>
        <w:t>работы</w:t>
      </w:r>
      <w:r>
        <w:rPr>
          <w:color w:val="231F20"/>
          <w:spacing w:val="-9"/>
        </w:rPr>
        <w:t> </w:t>
      </w:r>
      <w:r>
        <w:rPr>
          <w:color w:val="231F20"/>
        </w:rPr>
        <w:t>ребенок</w:t>
      </w:r>
      <w:r>
        <w:rPr>
          <w:color w:val="231F20"/>
          <w:spacing w:val="-9"/>
        </w:rPr>
        <w:t> </w:t>
      </w:r>
      <w:r>
        <w:rPr>
          <w:color w:val="231F20"/>
        </w:rPr>
        <w:t>вообще</w:t>
      </w:r>
      <w:r>
        <w:rPr>
          <w:color w:val="231F20"/>
          <w:spacing w:val="-9"/>
        </w:rPr>
        <w:t> </w:t>
      </w:r>
      <w:r>
        <w:rPr>
          <w:color w:val="231F20"/>
        </w:rPr>
        <w:t>откажется</w:t>
      </w:r>
      <w:r>
        <w:rPr>
          <w:color w:val="231F20"/>
          <w:spacing w:val="-9"/>
        </w:rPr>
        <w:t> </w:t>
      </w:r>
      <w:r>
        <w:rPr>
          <w:color w:val="231F20"/>
        </w:rPr>
        <w:t>обсуждать</w:t>
      </w:r>
      <w:r>
        <w:rPr>
          <w:color w:val="231F20"/>
          <w:spacing w:val="-9"/>
        </w:rPr>
        <w:t> </w:t>
      </w:r>
      <w:r>
        <w:rPr>
          <w:color w:val="231F20"/>
        </w:rPr>
        <w:t>подобные</w:t>
      </w:r>
      <w:r>
        <w:rPr>
          <w:color w:val="231F20"/>
          <w:spacing w:val="-9"/>
        </w:rPr>
        <w:t> </w:t>
      </w:r>
      <w:r>
        <w:rPr>
          <w:color w:val="231F20"/>
        </w:rPr>
        <w:t>темы,</w:t>
      </w:r>
      <w:r>
        <w:rPr>
          <w:color w:val="231F20"/>
          <w:spacing w:val="-9"/>
        </w:rPr>
        <w:t> </w:t>
      </w:r>
      <w:r>
        <w:rPr>
          <w:color w:val="231F20"/>
        </w:rPr>
        <w:t>и</w:t>
      </w:r>
      <w:r>
        <w:rPr>
          <w:color w:val="231F20"/>
          <w:spacing w:val="-9"/>
        </w:rPr>
        <w:t> </w:t>
      </w:r>
      <w:r>
        <w:rPr>
          <w:color w:val="231F20"/>
        </w:rPr>
        <w:t>психологу необходимо принять решение ребенка и не оказывать на него никакого давления.</w:t>
      </w:r>
    </w:p>
    <w:p>
      <w:pPr>
        <w:pStyle w:val="BodyText"/>
        <w:spacing w:line="235" w:lineRule="auto" w:before="5"/>
      </w:pPr>
      <w:r>
        <w:rPr>
          <w:color w:val="231F20"/>
        </w:rPr>
        <w:t>Также</w:t>
      </w:r>
      <w:r>
        <w:rPr>
          <w:color w:val="231F20"/>
          <w:spacing w:val="-1"/>
        </w:rPr>
        <w:t> </w:t>
      </w:r>
      <w:r>
        <w:rPr>
          <w:color w:val="231F20"/>
        </w:rPr>
        <w:t>важно</w:t>
      </w:r>
      <w:r>
        <w:rPr>
          <w:color w:val="231F20"/>
          <w:spacing w:val="-1"/>
        </w:rPr>
        <w:t> </w:t>
      </w:r>
      <w:r>
        <w:rPr>
          <w:color w:val="231F20"/>
        </w:rPr>
        <w:t>нормализовать</w:t>
      </w:r>
      <w:r>
        <w:rPr>
          <w:color w:val="231F20"/>
          <w:spacing w:val="-1"/>
        </w:rPr>
        <w:t> </w:t>
      </w:r>
      <w:r>
        <w:rPr>
          <w:color w:val="231F20"/>
        </w:rPr>
        <w:t>происходящее</w:t>
      </w:r>
      <w:r>
        <w:rPr>
          <w:color w:val="231F20"/>
          <w:spacing w:val="-1"/>
        </w:rPr>
        <w:t> </w:t>
      </w:r>
      <w:r>
        <w:rPr>
          <w:color w:val="231F20"/>
        </w:rPr>
        <w:t>с</w:t>
      </w:r>
      <w:r>
        <w:rPr>
          <w:color w:val="231F20"/>
          <w:spacing w:val="-1"/>
        </w:rPr>
        <w:t> </w:t>
      </w:r>
      <w:r>
        <w:rPr>
          <w:color w:val="231F20"/>
        </w:rPr>
        <w:t>ребенком,</w:t>
      </w:r>
      <w:r>
        <w:rPr>
          <w:color w:val="231F20"/>
          <w:spacing w:val="-1"/>
        </w:rPr>
        <w:t> </w:t>
      </w:r>
      <w:r>
        <w:rPr>
          <w:color w:val="231F20"/>
        </w:rPr>
        <w:t>подчеркивать,</w:t>
      </w:r>
      <w:r>
        <w:rPr>
          <w:color w:val="231F20"/>
          <w:spacing w:val="-1"/>
        </w:rPr>
        <w:t> </w:t>
      </w:r>
      <w:r>
        <w:rPr>
          <w:color w:val="231F20"/>
        </w:rPr>
        <w:t>что</w:t>
      </w:r>
      <w:r>
        <w:rPr>
          <w:color w:val="231F20"/>
          <w:spacing w:val="-1"/>
        </w:rPr>
        <w:t> </w:t>
      </w:r>
      <w:r>
        <w:rPr>
          <w:color w:val="231F20"/>
        </w:rPr>
        <w:t>имею- щиеся у него трудности естественны. Комментарии психолога типа «Действительно непросто привыкать к учебе на новом месте» или «Одно дело говорить на русском дома, и совсем другое – отвечать на уроках в школе. Конечно, нужно время, чтобы этому</w:t>
      </w:r>
      <w:r>
        <w:rPr>
          <w:color w:val="231F20"/>
          <w:spacing w:val="-13"/>
        </w:rPr>
        <w:t> </w:t>
      </w:r>
      <w:r>
        <w:rPr>
          <w:color w:val="231F20"/>
        </w:rPr>
        <w:t>научиться»,</w:t>
      </w:r>
      <w:r>
        <w:rPr>
          <w:color w:val="231F20"/>
          <w:spacing w:val="-12"/>
        </w:rPr>
        <w:t> </w:t>
      </w:r>
      <w:r>
        <w:rPr>
          <w:color w:val="231F20"/>
        </w:rPr>
        <w:t>с</w:t>
      </w:r>
      <w:r>
        <w:rPr>
          <w:color w:val="231F20"/>
          <w:spacing w:val="-13"/>
        </w:rPr>
        <w:t> </w:t>
      </w:r>
      <w:r>
        <w:rPr>
          <w:color w:val="231F20"/>
        </w:rPr>
        <w:t>одной</w:t>
      </w:r>
      <w:r>
        <w:rPr>
          <w:color w:val="231F20"/>
          <w:spacing w:val="-12"/>
        </w:rPr>
        <w:t> </w:t>
      </w:r>
      <w:r>
        <w:rPr>
          <w:color w:val="231F20"/>
        </w:rPr>
        <w:t>стороны,</w:t>
      </w:r>
      <w:r>
        <w:rPr>
          <w:color w:val="231F20"/>
          <w:spacing w:val="-13"/>
        </w:rPr>
        <w:t> </w:t>
      </w:r>
      <w:r>
        <w:rPr>
          <w:color w:val="231F20"/>
        </w:rPr>
        <w:t>помогают</w:t>
      </w:r>
      <w:r>
        <w:rPr>
          <w:color w:val="231F20"/>
          <w:spacing w:val="-12"/>
        </w:rPr>
        <w:t> </w:t>
      </w:r>
      <w:r>
        <w:rPr>
          <w:color w:val="231F20"/>
        </w:rPr>
        <w:t>оптимизировать</w:t>
      </w:r>
      <w:r>
        <w:rPr>
          <w:color w:val="231F20"/>
          <w:spacing w:val="-13"/>
        </w:rPr>
        <w:t> </w:t>
      </w:r>
      <w:r>
        <w:rPr>
          <w:color w:val="231F20"/>
        </w:rPr>
        <w:t>эмоциональное</w:t>
      </w:r>
      <w:r>
        <w:rPr>
          <w:color w:val="231F20"/>
          <w:spacing w:val="-12"/>
        </w:rPr>
        <w:t> </w:t>
      </w:r>
      <w:r>
        <w:rPr>
          <w:color w:val="231F20"/>
        </w:rPr>
        <w:t>состо- яние</w:t>
      </w:r>
      <w:r>
        <w:rPr>
          <w:color w:val="231F20"/>
          <w:spacing w:val="-11"/>
        </w:rPr>
        <w:t> </w:t>
      </w:r>
      <w:r>
        <w:rPr>
          <w:color w:val="231F20"/>
        </w:rPr>
        <w:t>ребенка,</w:t>
      </w:r>
      <w:r>
        <w:rPr>
          <w:color w:val="231F20"/>
          <w:spacing w:val="-10"/>
        </w:rPr>
        <w:t> </w:t>
      </w:r>
      <w:r>
        <w:rPr>
          <w:color w:val="231F20"/>
        </w:rPr>
        <w:t>а</w:t>
      </w:r>
      <w:r>
        <w:rPr>
          <w:color w:val="231F20"/>
          <w:spacing w:val="-10"/>
        </w:rPr>
        <w:t> </w:t>
      </w:r>
      <w:r>
        <w:rPr>
          <w:color w:val="231F20"/>
        </w:rPr>
        <w:t>с</w:t>
      </w:r>
      <w:r>
        <w:rPr>
          <w:color w:val="231F20"/>
          <w:spacing w:val="-10"/>
        </w:rPr>
        <w:t> </w:t>
      </w:r>
      <w:r>
        <w:rPr>
          <w:color w:val="231F20"/>
        </w:rPr>
        <w:t>другой</w:t>
      </w:r>
      <w:r>
        <w:rPr>
          <w:color w:val="231F20"/>
          <w:spacing w:val="-10"/>
        </w:rPr>
        <w:t> </w:t>
      </w:r>
      <w:r>
        <w:rPr>
          <w:color w:val="231F20"/>
        </w:rPr>
        <w:t>–</w:t>
      </w:r>
      <w:r>
        <w:rPr>
          <w:color w:val="231F20"/>
          <w:spacing w:val="-10"/>
        </w:rPr>
        <w:t> </w:t>
      </w:r>
      <w:r>
        <w:rPr>
          <w:color w:val="231F20"/>
        </w:rPr>
        <w:t>способствуют</w:t>
      </w:r>
      <w:r>
        <w:rPr>
          <w:color w:val="231F20"/>
          <w:spacing w:val="-11"/>
        </w:rPr>
        <w:t> </w:t>
      </w:r>
      <w:r>
        <w:rPr>
          <w:color w:val="231F20"/>
        </w:rPr>
        <w:t>доверию</w:t>
      </w:r>
      <w:r>
        <w:rPr>
          <w:color w:val="231F20"/>
          <w:spacing w:val="-10"/>
        </w:rPr>
        <w:t> </w:t>
      </w:r>
      <w:r>
        <w:rPr>
          <w:color w:val="231F20"/>
        </w:rPr>
        <w:t>в</w:t>
      </w:r>
      <w:r>
        <w:rPr>
          <w:color w:val="231F20"/>
          <w:spacing w:val="-10"/>
        </w:rPr>
        <w:t> </w:t>
      </w:r>
      <w:r>
        <w:rPr>
          <w:color w:val="231F20"/>
        </w:rPr>
        <w:t>отношениях</w:t>
      </w:r>
      <w:r>
        <w:rPr>
          <w:color w:val="231F20"/>
          <w:spacing w:val="-10"/>
        </w:rPr>
        <w:t> </w:t>
      </w:r>
      <w:r>
        <w:rPr>
          <w:color w:val="231F20"/>
        </w:rPr>
        <w:t>психолога</w:t>
      </w:r>
      <w:r>
        <w:rPr>
          <w:color w:val="231F20"/>
          <w:spacing w:val="-10"/>
        </w:rPr>
        <w:t> </w:t>
      </w:r>
      <w:r>
        <w:rPr>
          <w:color w:val="231F20"/>
        </w:rPr>
        <w:t>и</w:t>
      </w:r>
      <w:r>
        <w:rPr>
          <w:color w:val="231F20"/>
          <w:spacing w:val="-10"/>
        </w:rPr>
        <w:t> </w:t>
      </w:r>
      <w:r>
        <w:rPr>
          <w:color w:val="231F20"/>
          <w:spacing w:val="-2"/>
        </w:rPr>
        <w:t>ребенка.</w:t>
      </w:r>
    </w:p>
    <w:p>
      <w:pPr>
        <w:numPr>
          <w:ilvl w:val="2"/>
          <w:numId w:val="52"/>
        </w:numPr>
        <w:tabs>
          <w:tab w:pos="1455" w:val="left" w:leader="none"/>
        </w:tabs>
        <w:spacing w:line="235" w:lineRule="auto" w:before="229"/>
        <w:ind w:left="945" w:right="944" w:firstLine="10"/>
        <w:jc w:val="left"/>
        <w:rPr>
          <w:b/>
          <w:sz w:val="20"/>
        </w:rPr>
      </w:pPr>
      <w:r>
        <w:rPr>
          <w:b/>
          <w:color w:val="231F20"/>
          <w:sz w:val="20"/>
        </w:rPr>
        <w:t>Использование</w:t>
      </w:r>
      <w:r>
        <w:rPr>
          <w:b/>
          <w:color w:val="231F20"/>
          <w:spacing w:val="-8"/>
          <w:sz w:val="20"/>
        </w:rPr>
        <w:t> </w:t>
      </w:r>
      <w:r>
        <w:rPr>
          <w:b/>
          <w:color w:val="231F20"/>
          <w:sz w:val="20"/>
        </w:rPr>
        <w:t>игровой</w:t>
      </w:r>
      <w:r>
        <w:rPr>
          <w:b/>
          <w:color w:val="231F20"/>
          <w:spacing w:val="-9"/>
          <w:sz w:val="20"/>
        </w:rPr>
        <w:t> </w:t>
      </w:r>
      <w:r>
        <w:rPr>
          <w:b/>
          <w:color w:val="231F20"/>
          <w:sz w:val="20"/>
        </w:rPr>
        <w:t>(недирективной</w:t>
      </w:r>
      <w:r>
        <w:rPr>
          <w:b/>
          <w:color w:val="231F20"/>
          <w:spacing w:val="-9"/>
          <w:sz w:val="20"/>
        </w:rPr>
        <w:t> </w:t>
      </w:r>
      <w:r>
        <w:rPr>
          <w:b/>
          <w:color w:val="231F20"/>
          <w:sz w:val="20"/>
        </w:rPr>
        <w:t>и</w:t>
      </w:r>
      <w:r>
        <w:rPr>
          <w:b/>
          <w:color w:val="231F20"/>
          <w:spacing w:val="-9"/>
          <w:sz w:val="20"/>
        </w:rPr>
        <w:t> </w:t>
      </w:r>
      <w:r>
        <w:rPr>
          <w:b/>
          <w:color w:val="231F20"/>
          <w:sz w:val="20"/>
        </w:rPr>
        <w:t>директивной) и</w:t>
      </w:r>
      <w:r>
        <w:rPr>
          <w:b/>
          <w:color w:val="231F20"/>
          <w:spacing w:val="-6"/>
          <w:sz w:val="20"/>
        </w:rPr>
        <w:t> </w:t>
      </w:r>
      <w:r>
        <w:rPr>
          <w:b/>
          <w:color w:val="231F20"/>
          <w:sz w:val="20"/>
        </w:rPr>
        <w:t>арт-терапии</w:t>
      </w:r>
      <w:r>
        <w:rPr>
          <w:b/>
          <w:color w:val="231F20"/>
          <w:spacing w:val="-6"/>
          <w:sz w:val="20"/>
        </w:rPr>
        <w:t> </w:t>
      </w:r>
      <w:r>
        <w:rPr>
          <w:b/>
          <w:color w:val="231F20"/>
          <w:sz w:val="20"/>
        </w:rPr>
        <w:t>в</w:t>
      </w:r>
      <w:r>
        <w:rPr>
          <w:b/>
          <w:color w:val="231F20"/>
          <w:spacing w:val="-5"/>
          <w:sz w:val="20"/>
        </w:rPr>
        <w:t> </w:t>
      </w:r>
      <w:r>
        <w:rPr>
          <w:b/>
          <w:color w:val="231F20"/>
          <w:sz w:val="20"/>
        </w:rPr>
        <w:t>работе</w:t>
      </w:r>
      <w:r>
        <w:rPr>
          <w:b/>
          <w:color w:val="231F20"/>
          <w:spacing w:val="-5"/>
          <w:sz w:val="20"/>
        </w:rPr>
        <w:t> </w:t>
      </w:r>
      <w:r>
        <w:rPr>
          <w:b/>
          <w:color w:val="231F20"/>
          <w:sz w:val="20"/>
        </w:rPr>
        <w:t>с</w:t>
      </w:r>
      <w:r>
        <w:rPr>
          <w:b/>
          <w:color w:val="231F20"/>
          <w:spacing w:val="-5"/>
          <w:sz w:val="20"/>
        </w:rPr>
        <w:t> </w:t>
      </w:r>
      <w:r>
        <w:rPr>
          <w:b/>
          <w:color w:val="231F20"/>
          <w:sz w:val="20"/>
        </w:rPr>
        <w:t>детьми</w:t>
      </w:r>
      <w:r>
        <w:rPr>
          <w:b/>
          <w:color w:val="231F20"/>
          <w:spacing w:val="-6"/>
          <w:sz w:val="20"/>
        </w:rPr>
        <w:t> </w:t>
      </w:r>
      <w:r>
        <w:rPr>
          <w:b/>
          <w:color w:val="231F20"/>
          <w:sz w:val="20"/>
        </w:rPr>
        <w:t>–</w:t>
      </w:r>
      <w:r>
        <w:rPr>
          <w:b/>
          <w:color w:val="231F20"/>
          <w:spacing w:val="-5"/>
          <w:sz w:val="20"/>
        </w:rPr>
        <w:t> </w:t>
      </w:r>
      <w:r>
        <w:rPr>
          <w:b/>
          <w:color w:val="231F20"/>
          <w:sz w:val="20"/>
        </w:rPr>
        <w:t>иностранными</w:t>
      </w:r>
      <w:r>
        <w:rPr>
          <w:b/>
          <w:color w:val="231F20"/>
          <w:spacing w:val="-6"/>
          <w:sz w:val="20"/>
        </w:rPr>
        <w:t> </w:t>
      </w:r>
      <w:r>
        <w:rPr>
          <w:b/>
          <w:color w:val="231F20"/>
          <w:sz w:val="20"/>
        </w:rPr>
        <w:t>гражданами</w:t>
      </w:r>
    </w:p>
    <w:p>
      <w:pPr>
        <w:pStyle w:val="BodyText"/>
        <w:spacing w:line="235" w:lineRule="auto" w:before="115"/>
      </w:pPr>
      <w:r>
        <w:rPr/>
        <w:t>Мета-анализ</w:t>
      </w:r>
      <w:r>
        <w:rPr>
          <w:spacing w:val="-9"/>
        </w:rPr>
        <w:t> </w:t>
      </w:r>
      <w:r>
        <w:rPr/>
        <w:t>показывает,</w:t>
      </w:r>
      <w:r>
        <w:rPr>
          <w:spacing w:val="-9"/>
        </w:rPr>
        <w:t> </w:t>
      </w:r>
      <w:r>
        <w:rPr/>
        <w:t>что</w:t>
      </w:r>
      <w:r>
        <w:rPr>
          <w:spacing w:val="-9"/>
        </w:rPr>
        <w:t> </w:t>
      </w:r>
      <w:r>
        <w:rPr/>
        <w:t>различные</w:t>
      </w:r>
      <w:r>
        <w:rPr>
          <w:spacing w:val="-9"/>
        </w:rPr>
        <w:t> </w:t>
      </w:r>
      <w:r>
        <w:rPr/>
        <w:t>формы</w:t>
      </w:r>
      <w:r>
        <w:rPr>
          <w:spacing w:val="-9"/>
        </w:rPr>
        <w:t> </w:t>
      </w:r>
      <w:r>
        <w:rPr/>
        <w:t>психологической</w:t>
      </w:r>
      <w:r>
        <w:rPr>
          <w:spacing w:val="-9"/>
        </w:rPr>
        <w:t> </w:t>
      </w:r>
      <w:r>
        <w:rPr/>
        <w:t>поддержки</w:t>
      </w:r>
      <w:r>
        <w:rPr>
          <w:spacing w:val="-9"/>
        </w:rPr>
        <w:t> </w:t>
      </w:r>
      <w:r>
        <w:rPr/>
        <w:t>спо- собствуют оптимизации психологического состояния мигрантов (Turrini et al, 2019). В ряде исследований указано, что эффективным методом психологической помо-</w:t>
      </w:r>
      <w:r>
        <w:rPr>
          <w:spacing w:val="40"/>
        </w:rPr>
        <w:t> </w:t>
      </w:r>
      <w:r>
        <w:rPr/>
        <w:t>щи детям с миграционным опытом является игровая терапия (</w:t>
      </w:r>
      <w:r>
        <w:rPr>
          <w:color w:val="231F20"/>
        </w:rPr>
        <w:t>Su, S.H. &amp; Tsai, M.-H, 2016;</w:t>
      </w:r>
      <w:r>
        <w:rPr>
          <w:color w:val="231F20"/>
          <w:spacing w:val="-8"/>
        </w:rPr>
        <w:t> </w:t>
      </w:r>
      <w:r>
        <w:rPr>
          <w:color w:val="231F20"/>
        </w:rPr>
        <w:t>Post</w:t>
      </w:r>
      <w:r>
        <w:rPr>
          <w:color w:val="231F20"/>
          <w:spacing w:val="-8"/>
        </w:rPr>
        <w:t> </w:t>
      </w:r>
      <w:r>
        <w:rPr>
          <w:color w:val="231F20"/>
        </w:rPr>
        <w:t>et</w:t>
      </w:r>
      <w:r>
        <w:rPr>
          <w:color w:val="231F20"/>
          <w:spacing w:val="-8"/>
        </w:rPr>
        <w:t> </w:t>
      </w:r>
      <w:r>
        <w:rPr>
          <w:color w:val="231F20"/>
        </w:rPr>
        <w:t>al,</w:t>
      </w:r>
      <w:r>
        <w:rPr>
          <w:color w:val="231F20"/>
          <w:spacing w:val="-8"/>
        </w:rPr>
        <w:t> </w:t>
      </w:r>
      <w:r>
        <w:rPr>
          <w:color w:val="231F20"/>
        </w:rPr>
        <w:t>2019</w:t>
      </w:r>
      <w:r>
        <w:rPr/>
        <w:t>).</w:t>
      </w:r>
      <w:r>
        <w:rPr>
          <w:spacing w:val="-8"/>
        </w:rPr>
        <w:t> </w:t>
      </w:r>
      <w:r>
        <w:rPr/>
        <w:t>Игровая</w:t>
      </w:r>
      <w:r>
        <w:rPr>
          <w:spacing w:val="-8"/>
        </w:rPr>
        <w:t> </w:t>
      </w:r>
      <w:r>
        <w:rPr/>
        <w:t>терапия</w:t>
      </w:r>
      <w:r>
        <w:rPr>
          <w:spacing w:val="-8"/>
        </w:rPr>
        <w:t> </w:t>
      </w:r>
      <w:r>
        <w:rPr/>
        <w:t>используется</w:t>
      </w:r>
      <w:r>
        <w:rPr>
          <w:spacing w:val="-8"/>
        </w:rPr>
        <w:t> </w:t>
      </w:r>
      <w:r>
        <w:rPr/>
        <w:t>в</w:t>
      </w:r>
      <w:r>
        <w:rPr>
          <w:spacing w:val="-8"/>
        </w:rPr>
        <w:t> </w:t>
      </w:r>
      <w:r>
        <w:rPr/>
        <w:t>работе</w:t>
      </w:r>
      <w:r>
        <w:rPr>
          <w:spacing w:val="-8"/>
        </w:rPr>
        <w:t> </w:t>
      </w:r>
      <w:r>
        <w:rPr/>
        <w:t>с</w:t>
      </w:r>
      <w:r>
        <w:rPr>
          <w:spacing w:val="-8"/>
        </w:rPr>
        <w:t> </w:t>
      </w:r>
      <w:r>
        <w:rPr/>
        <w:t>учащимися</w:t>
      </w:r>
      <w:r>
        <w:rPr>
          <w:spacing w:val="-8"/>
        </w:rPr>
        <w:t> </w:t>
      </w:r>
      <w:r>
        <w:rPr/>
        <w:t>младшего школьного возраста.</w:t>
      </w:r>
    </w:p>
    <w:p>
      <w:pPr>
        <w:pStyle w:val="BodyText"/>
        <w:spacing w:line="235" w:lineRule="auto" w:before="4"/>
      </w:pPr>
      <w:r>
        <w:rPr>
          <w:color w:val="231F20"/>
        </w:rPr>
        <w:t>Принято</w:t>
      </w:r>
      <w:r>
        <w:rPr>
          <w:color w:val="231F20"/>
          <w:spacing w:val="-8"/>
        </w:rPr>
        <w:t> </w:t>
      </w:r>
      <w:r>
        <w:rPr>
          <w:color w:val="231F20"/>
        </w:rPr>
        <w:t>выделять</w:t>
      </w:r>
      <w:r>
        <w:rPr>
          <w:color w:val="231F20"/>
          <w:spacing w:val="-8"/>
        </w:rPr>
        <w:t> </w:t>
      </w:r>
      <w:r>
        <w:rPr>
          <w:color w:val="231F20"/>
        </w:rPr>
        <w:t>два</w:t>
      </w:r>
      <w:r>
        <w:rPr>
          <w:color w:val="231F20"/>
          <w:spacing w:val="-8"/>
        </w:rPr>
        <w:t> </w:t>
      </w:r>
      <w:r>
        <w:rPr>
          <w:color w:val="231F20"/>
        </w:rPr>
        <w:t>основных</w:t>
      </w:r>
      <w:r>
        <w:rPr>
          <w:color w:val="231F20"/>
          <w:spacing w:val="-8"/>
        </w:rPr>
        <w:t> </w:t>
      </w:r>
      <w:r>
        <w:rPr>
          <w:color w:val="231F20"/>
        </w:rPr>
        <w:t>вида</w:t>
      </w:r>
      <w:r>
        <w:rPr>
          <w:color w:val="231F20"/>
          <w:spacing w:val="-8"/>
        </w:rPr>
        <w:t> </w:t>
      </w:r>
      <w:r>
        <w:rPr>
          <w:color w:val="231F20"/>
        </w:rPr>
        <w:t>игровой</w:t>
      </w:r>
      <w:r>
        <w:rPr>
          <w:color w:val="231F20"/>
          <w:spacing w:val="-8"/>
        </w:rPr>
        <w:t> </w:t>
      </w:r>
      <w:r>
        <w:rPr>
          <w:color w:val="231F20"/>
        </w:rPr>
        <w:t>терапии</w:t>
      </w:r>
      <w:r>
        <w:rPr>
          <w:color w:val="231F20"/>
          <w:spacing w:val="-8"/>
        </w:rPr>
        <w:t> </w:t>
      </w:r>
      <w:r>
        <w:rPr>
          <w:color w:val="231F20"/>
        </w:rPr>
        <w:t>–</w:t>
      </w:r>
      <w:r>
        <w:rPr>
          <w:color w:val="231F20"/>
          <w:spacing w:val="-8"/>
        </w:rPr>
        <w:t> </w:t>
      </w:r>
      <w:r>
        <w:rPr>
          <w:color w:val="231F20"/>
        </w:rPr>
        <w:t>недирективную</w:t>
      </w:r>
      <w:r>
        <w:rPr>
          <w:color w:val="231F20"/>
          <w:spacing w:val="-8"/>
        </w:rPr>
        <w:t> </w:t>
      </w:r>
      <w:r>
        <w:rPr>
          <w:color w:val="231F20"/>
        </w:rPr>
        <w:t>и</w:t>
      </w:r>
      <w:r>
        <w:rPr>
          <w:color w:val="231F20"/>
          <w:spacing w:val="-8"/>
        </w:rPr>
        <w:t> </w:t>
      </w:r>
      <w:r>
        <w:rPr>
          <w:color w:val="231F20"/>
        </w:rPr>
        <w:t>дирек- </w:t>
      </w:r>
      <w:r>
        <w:rPr>
          <w:color w:val="231F20"/>
          <w:spacing w:val="-2"/>
        </w:rPr>
        <w:t>тивную.</w:t>
      </w:r>
    </w:p>
    <w:p>
      <w:pPr>
        <w:pStyle w:val="BodyText"/>
        <w:spacing w:line="235" w:lineRule="auto" w:before="1"/>
      </w:pPr>
      <w:r>
        <w:rPr>
          <w:color w:val="231F20"/>
        </w:rPr>
        <w:t>Недирективная игровая терапия базируется на теоретических положениях гума- нистической психологии. Считается, что в основе поведения ребенка – врожденное стремление к самореализации. Ребенок сам обладает способностью двигаться по на- правлению</w:t>
      </w:r>
      <w:r>
        <w:rPr>
          <w:color w:val="231F20"/>
          <w:spacing w:val="-9"/>
        </w:rPr>
        <w:t> </w:t>
      </w:r>
      <w:r>
        <w:rPr>
          <w:color w:val="231F20"/>
        </w:rPr>
        <w:t>к</w:t>
      </w:r>
      <w:r>
        <w:rPr>
          <w:color w:val="231F20"/>
          <w:spacing w:val="-9"/>
        </w:rPr>
        <w:t> </w:t>
      </w:r>
      <w:r>
        <w:rPr>
          <w:color w:val="231F20"/>
        </w:rPr>
        <w:t>росту</w:t>
      </w:r>
      <w:r>
        <w:rPr>
          <w:color w:val="231F20"/>
          <w:spacing w:val="-9"/>
        </w:rPr>
        <w:t> </w:t>
      </w:r>
      <w:r>
        <w:rPr>
          <w:color w:val="231F20"/>
        </w:rPr>
        <w:t>и</w:t>
      </w:r>
      <w:r>
        <w:rPr>
          <w:color w:val="231F20"/>
          <w:spacing w:val="-9"/>
        </w:rPr>
        <w:t> </w:t>
      </w:r>
      <w:r>
        <w:rPr>
          <w:color w:val="231F20"/>
        </w:rPr>
        <w:t>созреванию,</w:t>
      </w:r>
      <w:r>
        <w:rPr>
          <w:color w:val="231F20"/>
          <w:spacing w:val="-9"/>
        </w:rPr>
        <w:t> </w:t>
      </w:r>
      <w:r>
        <w:rPr>
          <w:color w:val="231F20"/>
        </w:rPr>
        <w:t>заинтересован</w:t>
      </w:r>
      <w:r>
        <w:rPr>
          <w:color w:val="231F20"/>
          <w:spacing w:val="-9"/>
        </w:rPr>
        <w:t> </w:t>
      </w:r>
      <w:r>
        <w:rPr>
          <w:color w:val="231F20"/>
        </w:rPr>
        <w:t>в</w:t>
      </w:r>
      <w:r>
        <w:rPr>
          <w:color w:val="231F20"/>
          <w:spacing w:val="-9"/>
        </w:rPr>
        <w:t> </w:t>
      </w:r>
      <w:r>
        <w:rPr>
          <w:color w:val="231F20"/>
        </w:rPr>
        <w:t>построении</w:t>
      </w:r>
      <w:r>
        <w:rPr>
          <w:color w:val="231F20"/>
          <w:spacing w:val="-9"/>
        </w:rPr>
        <w:t> </w:t>
      </w:r>
      <w:r>
        <w:rPr>
          <w:color w:val="231F20"/>
        </w:rPr>
        <w:t>позитивной</w:t>
      </w:r>
      <w:r>
        <w:rPr>
          <w:color w:val="231F20"/>
          <w:spacing w:val="-9"/>
        </w:rPr>
        <w:t> </w:t>
      </w:r>
      <w:r>
        <w:rPr>
          <w:color w:val="231F20"/>
        </w:rPr>
        <w:t>Я-концеп- ции, желает усилить собственное Я.</w:t>
      </w:r>
    </w:p>
    <w:p>
      <w:pPr>
        <w:pStyle w:val="BodyText"/>
        <w:spacing w:line="235" w:lineRule="auto" w:before="3"/>
      </w:pPr>
      <w:r>
        <w:rPr>
          <w:color w:val="231F20"/>
        </w:rPr>
        <w:t>Г.</w:t>
      </w:r>
      <w:r>
        <w:rPr>
          <w:color w:val="231F20"/>
          <w:spacing w:val="-4"/>
        </w:rPr>
        <w:t> </w:t>
      </w:r>
      <w:r>
        <w:rPr>
          <w:color w:val="231F20"/>
        </w:rPr>
        <w:t>Лэндрет писал: «Игра для ребенка – то же самое, что речь для взрослого. Это средство выражения чувств, построения отношений, описания опыта, высказывания желаний, это способ самовыражения» (</w:t>
      </w:r>
      <w:r>
        <w:rPr/>
        <w:t>Landreth, Bratton</w:t>
      </w:r>
      <w:r>
        <w:rPr>
          <w:color w:val="231F20"/>
        </w:rPr>
        <w:t>).</w:t>
      </w:r>
    </w:p>
    <w:p>
      <w:pPr>
        <w:pStyle w:val="BodyText"/>
        <w:spacing w:line="235" w:lineRule="auto" w:before="2"/>
      </w:pPr>
      <w:r>
        <w:rPr>
          <w:color w:val="231F20"/>
        </w:rPr>
        <w:t>Сущность недирективной игровой терапии заключается в том, что в специально организованной</w:t>
      </w:r>
      <w:r>
        <w:rPr>
          <w:color w:val="231F20"/>
          <w:spacing w:val="-13"/>
        </w:rPr>
        <w:t> </w:t>
      </w:r>
      <w:r>
        <w:rPr>
          <w:color w:val="231F20"/>
        </w:rPr>
        <w:t>игровой</w:t>
      </w:r>
      <w:r>
        <w:rPr>
          <w:color w:val="231F20"/>
          <w:spacing w:val="-12"/>
        </w:rPr>
        <w:t> </w:t>
      </w:r>
      <w:r>
        <w:rPr>
          <w:color w:val="231F20"/>
        </w:rPr>
        <w:t>комнате</w:t>
      </w:r>
      <w:r>
        <w:rPr>
          <w:color w:val="231F20"/>
          <w:spacing w:val="-13"/>
        </w:rPr>
        <w:t> </w:t>
      </w:r>
      <w:r>
        <w:rPr>
          <w:color w:val="231F20"/>
        </w:rPr>
        <w:t>ребенок</w:t>
      </w:r>
      <w:r>
        <w:rPr>
          <w:color w:val="231F20"/>
          <w:spacing w:val="-12"/>
        </w:rPr>
        <w:t> </w:t>
      </w:r>
      <w:r>
        <w:rPr>
          <w:color w:val="231F20"/>
        </w:rPr>
        <w:t>спонтанно</w:t>
      </w:r>
      <w:r>
        <w:rPr>
          <w:color w:val="231F20"/>
          <w:spacing w:val="-13"/>
        </w:rPr>
        <w:t> </w:t>
      </w:r>
      <w:r>
        <w:rPr>
          <w:color w:val="231F20"/>
        </w:rPr>
        <w:t>играет,</w:t>
      </w:r>
      <w:r>
        <w:rPr>
          <w:color w:val="231F20"/>
          <w:spacing w:val="-12"/>
        </w:rPr>
        <w:t> </w:t>
      </w:r>
      <w:r>
        <w:rPr>
          <w:color w:val="231F20"/>
        </w:rPr>
        <w:t>отреагируя</w:t>
      </w:r>
      <w:r>
        <w:rPr>
          <w:color w:val="231F20"/>
          <w:spacing w:val="-13"/>
        </w:rPr>
        <w:t> </w:t>
      </w:r>
      <w:r>
        <w:rPr>
          <w:color w:val="231F20"/>
        </w:rPr>
        <w:t>прошлые</w:t>
      </w:r>
      <w:r>
        <w:rPr>
          <w:color w:val="231F20"/>
          <w:spacing w:val="-12"/>
        </w:rPr>
        <w:t> </w:t>
      </w:r>
      <w:r>
        <w:rPr>
          <w:color w:val="231F20"/>
        </w:rPr>
        <w:t>пе- </w:t>
      </w:r>
      <w:r>
        <w:rPr>
          <w:color w:val="231F20"/>
          <w:spacing w:val="-2"/>
        </w:rPr>
        <w:t>реживания</w:t>
      </w:r>
      <w:r>
        <w:rPr>
          <w:color w:val="231F20"/>
          <w:spacing w:val="-3"/>
        </w:rPr>
        <w:t> </w:t>
      </w:r>
      <w:r>
        <w:rPr>
          <w:color w:val="231F20"/>
          <w:spacing w:val="-2"/>
        </w:rPr>
        <w:t>и</w:t>
      </w:r>
      <w:r>
        <w:rPr>
          <w:color w:val="231F20"/>
          <w:spacing w:val="-3"/>
        </w:rPr>
        <w:t> </w:t>
      </w:r>
      <w:r>
        <w:rPr>
          <w:color w:val="231F20"/>
          <w:spacing w:val="-2"/>
        </w:rPr>
        <w:t>формируя</w:t>
      </w:r>
      <w:r>
        <w:rPr>
          <w:color w:val="231F20"/>
          <w:spacing w:val="-3"/>
        </w:rPr>
        <w:t> </w:t>
      </w:r>
      <w:r>
        <w:rPr>
          <w:color w:val="231F20"/>
          <w:spacing w:val="-2"/>
        </w:rPr>
        <w:t>новые</w:t>
      </w:r>
      <w:r>
        <w:rPr>
          <w:color w:val="231F20"/>
          <w:spacing w:val="-3"/>
        </w:rPr>
        <w:t> </w:t>
      </w:r>
      <w:r>
        <w:rPr>
          <w:color w:val="231F20"/>
          <w:spacing w:val="-2"/>
        </w:rPr>
        <w:t>паттерны</w:t>
      </w:r>
      <w:r>
        <w:rPr>
          <w:color w:val="231F20"/>
          <w:spacing w:val="-3"/>
        </w:rPr>
        <w:t> </w:t>
      </w:r>
      <w:r>
        <w:rPr>
          <w:color w:val="231F20"/>
          <w:spacing w:val="-2"/>
        </w:rPr>
        <w:t>(Г.</w:t>
      </w:r>
      <w:r>
        <w:rPr>
          <w:color w:val="231F20"/>
          <w:spacing w:val="-3"/>
        </w:rPr>
        <w:t> </w:t>
      </w:r>
      <w:r>
        <w:rPr>
          <w:color w:val="231F20"/>
          <w:spacing w:val="-2"/>
        </w:rPr>
        <w:t>Лэндрет</w:t>
      </w:r>
      <w:r>
        <w:rPr>
          <w:color w:val="231F20"/>
          <w:spacing w:val="-3"/>
        </w:rPr>
        <w:t> </w:t>
      </w:r>
      <w:r>
        <w:rPr>
          <w:color w:val="231F20"/>
          <w:spacing w:val="-2"/>
        </w:rPr>
        <w:t>отмечает,</w:t>
      </w:r>
      <w:r>
        <w:rPr>
          <w:color w:val="231F20"/>
          <w:spacing w:val="-3"/>
        </w:rPr>
        <w:t> </w:t>
      </w:r>
      <w:r>
        <w:rPr>
          <w:color w:val="231F20"/>
          <w:spacing w:val="-2"/>
        </w:rPr>
        <w:t>что</w:t>
      </w:r>
      <w:r>
        <w:rPr>
          <w:color w:val="231F20"/>
          <w:spacing w:val="-3"/>
        </w:rPr>
        <w:t> </w:t>
      </w:r>
      <w:r>
        <w:rPr>
          <w:color w:val="231F20"/>
          <w:spacing w:val="-2"/>
        </w:rPr>
        <w:t>при</w:t>
      </w:r>
      <w:r>
        <w:rPr>
          <w:color w:val="231F20"/>
          <w:spacing w:val="-3"/>
        </w:rPr>
        <w:t> </w:t>
      </w:r>
      <w:r>
        <w:rPr>
          <w:color w:val="231F20"/>
          <w:spacing w:val="-2"/>
        </w:rPr>
        <w:t>невозможности </w:t>
      </w:r>
      <w:r>
        <w:rPr>
          <w:color w:val="231F20"/>
        </w:rPr>
        <w:t>создания такой комнаты можно, имея необходимый набор игрушек, проводить ее в любом</w:t>
      </w:r>
      <w:r>
        <w:rPr>
          <w:color w:val="231F20"/>
          <w:spacing w:val="-6"/>
        </w:rPr>
        <w:t> </w:t>
      </w:r>
      <w:r>
        <w:rPr>
          <w:color w:val="231F20"/>
        </w:rPr>
        <w:t>удобном</w:t>
      </w:r>
      <w:r>
        <w:rPr>
          <w:color w:val="231F20"/>
          <w:spacing w:val="-6"/>
        </w:rPr>
        <w:t> </w:t>
      </w:r>
      <w:r>
        <w:rPr>
          <w:color w:val="231F20"/>
        </w:rPr>
        <w:t>помещении).</w:t>
      </w:r>
      <w:r>
        <w:rPr>
          <w:color w:val="231F20"/>
          <w:spacing w:val="-6"/>
        </w:rPr>
        <w:t> </w:t>
      </w:r>
      <w:r>
        <w:rPr>
          <w:color w:val="231F20"/>
        </w:rPr>
        <w:t>Источник</w:t>
      </w:r>
      <w:r>
        <w:rPr>
          <w:color w:val="231F20"/>
          <w:spacing w:val="-6"/>
        </w:rPr>
        <w:t> </w:t>
      </w:r>
      <w:r>
        <w:rPr>
          <w:color w:val="231F20"/>
        </w:rPr>
        <w:t>игровой</w:t>
      </w:r>
      <w:r>
        <w:rPr>
          <w:color w:val="231F20"/>
          <w:spacing w:val="-6"/>
        </w:rPr>
        <w:t> </w:t>
      </w:r>
      <w:r>
        <w:rPr>
          <w:color w:val="231F20"/>
        </w:rPr>
        <w:t>активности</w:t>
      </w:r>
      <w:r>
        <w:rPr>
          <w:color w:val="231F20"/>
          <w:spacing w:val="-6"/>
        </w:rPr>
        <w:t> </w:t>
      </w:r>
      <w:r>
        <w:rPr>
          <w:color w:val="231F20"/>
        </w:rPr>
        <w:t>–</w:t>
      </w:r>
      <w:r>
        <w:rPr>
          <w:color w:val="231F20"/>
          <w:spacing w:val="-6"/>
        </w:rPr>
        <w:t> </w:t>
      </w:r>
      <w:r>
        <w:rPr>
          <w:color w:val="231F20"/>
        </w:rPr>
        <w:t>сам</w:t>
      </w:r>
      <w:r>
        <w:rPr>
          <w:color w:val="231F20"/>
          <w:spacing w:val="-6"/>
        </w:rPr>
        <w:t> </w:t>
      </w:r>
      <w:r>
        <w:rPr>
          <w:color w:val="231F20"/>
        </w:rPr>
        <w:t>ребенок;</w:t>
      </w:r>
      <w:r>
        <w:rPr>
          <w:color w:val="231F20"/>
          <w:spacing w:val="-6"/>
        </w:rPr>
        <w:t> </w:t>
      </w:r>
      <w:r>
        <w:rPr>
          <w:color w:val="231F20"/>
        </w:rPr>
        <w:t>психолог не</w:t>
      </w:r>
      <w:r>
        <w:rPr>
          <w:color w:val="231F20"/>
          <w:spacing w:val="-13"/>
        </w:rPr>
        <w:t> </w:t>
      </w:r>
      <w:r>
        <w:rPr>
          <w:color w:val="231F20"/>
        </w:rPr>
        <w:t>предлагает</w:t>
      </w:r>
      <w:r>
        <w:rPr>
          <w:color w:val="231F20"/>
          <w:spacing w:val="-12"/>
        </w:rPr>
        <w:t> </w:t>
      </w:r>
      <w:r>
        <w:rPr>
          <w:color w:val="231F20"/>
        </w:rPr>
        <w:t>ребенку</w:t>
      </w:r>
      <w:r>
        <w:rPr>
          <w:color w:val="231F20"/>
          <w:spacing w:val="-13"/>
        </w:rPr>
        <w:t> </w:t>
      </w:r>
      <w:r>
        <w:rPr>
          <w:color w:val="231F20"/>
        </w:rPr>
        <w:t>никакой</w:t>
      </w:r>
      <w:r>
        <w:rPr>
          <w:color w:val="231F20"/>
          <w:spacing w:val="-12"/>
        </w:rPr>
        <w:t> </w:t>
      </w:r>
      <w:r>
        <w:rPr>
          <w:color w:val="231F20"/>
        </w:rPr>
        <w:t>игры</w:t>
      </w:r>
      <w:r>
        <w:rPr>
          <w:color w:val="231F20"/>
          <w:spacing w:val="-13"/>
        </w:rPr>
        <w:t> </w:t>
      </w:r>
      <w:r>
        <w:rPr>
          <w:color w:val="231F20"/>
        </w:rPr>
        <w:t>и</w:t>
      </w:r>
      <w:r>
        <w:rPr>
          <w:color w:val="231F20"/>
          <w:spacing w:val="-12"/>
        </w:rPr>
        <w:t> </w:t>
      </w:r>
      <w:r>
        <w:rPr>
          <w:color w:val="231F20"/>
        </w:rPr>
        <w:t>не</w:t>
      </w:r>
      <w:r>
        <w:rPr>
          <w:color w:val="231F20"/>
          <w:spacing w:val="-13"/>
        </w:rPr>
        <w:t> </w:t>
      </w:r>
      <w:r>
        <w:rPr>
          <w:color w:val="231F20"/>
        </w:rPr>
        <w:t>играет</w:t>
      </w:r>
      <w:r>
        <w:rPr>
          <w:color w:val="231F20"/>
          <w:spacing w:val="-12"/>
        </w:rPr>
        <w:t> </w:t>
      </w:r>
      <w:r>
        <w:rPr>
          <w:color w:val="231F20"/>
        </w:rPr>
        <w:t>с</w:t>
      </w:r>
      <w:r>
        <w:rPr>
          <w:color w:val="231F20"/>
          <w:spacing w:val="-13"/>
        </w:rPr>
        <w:t> </w:t>
      </w:r>
      <w:r>
        <w:rPr>
          <w:color w:val="231F20"/>
        </w:rPr>
        <w:t>ним.</w:t>
      </w:r>
      <w:r>
        <w:rPr>
          <w:color w:val="231F20"/>
          <w:spacing w:val="-12"/>
        </w:rPr>
        <w:t> </w:t>
      </w:r>
      <w:r>
        <w:rPr>
          <w:color w:val="231F20"/>
        </w:rPr>
        <w:t>Психолог</w:t>
      </w:r>
      <w:r>
        <w:rPr>
          <w:color w:val="231F20"/>
          <w:spacing w:val="-13"/>
        </w:rPr>
        <w:t> </w:t>
      </w:r>
      <w:r>
        <w:rPr>
          <w:color w:val="231F20"/>
        </w:rPr>
        <w:t>своим</w:t>
      </w:r>
      <w:r>
        <w:rPr>
          <w:color w:val="231F20"/>
          <w:spacing w:val="-12"/>
        </w:rPr>
        <w:t> </w:t>
      </w:r>
      <w:r>
        <w:rPr>
          <w:color w:val="231F20"/>
        </w:rPr>
        <w:t>присутствием и своими комментариями создает определенную терапевтическую среду, в которой ребенок самостоятельно разворачивает игровую деятельность. Если нет возможно- </w:t>
      </w:r>
      <w:r>
        <w:rPr>
          <w:color w:val="231F20"/>
          <w:spacing w:val="-2"/>
        </w:rPr>
        <w:t>сти</w:t>
      </w:r>
      <w:r>
        <w:rPr>
          <w:color w:val="231F20"/>
          <w:spacing w:val="-3"/>
        </w:rPr>
        <w:t> </w:t>
      </w:r>
      <w:r>
        <w:rPr>
          <w:color w:val="231F20"/>
          <w:spacing w:val="-2"/>
        </w:rPr>
        <w:t>организовать</w:t>
      </w:r>
      <w:r>
        <w:rPr>
          <w:color w:val="231F20"/>
          <w:spacing w:val="-3"/>
        </w:rPr>
        <w:t> </w:t>
      </w:r>
      <w:r>
        <w:rPr>
          <w:color w:val="231F20"/>
          <w:spacing w:val="-2"/>
        </w:rPr>
        <w:t>игровую</w:t>
      </w:r>
      <w:r>
        <w:rPr>
          <w:color w:val="231F20"/>
          <w:spacing w:val="-3"/>
        </w:rPr>
        <w:t> </w:t>
      </w:r>
      <w:r>
        <w:rPr>
          <w:color w:val="231F20"/>
          <w:spacing w:val="-2"/>
        </w:rPr>
        <w:t>комнату,</w:t>
      </w:r>
      <w:r>
        <w:rPr>
          <w:color w:val="231F20"/>
          <w:spacing w:val="-3"/>
        </w:rPr>
        <w:t> </w:t>
      </w:r>
      <w:r>
        <w:rPr>
          <w:color w:val="231F20"/>
          <w:spacing w:val="-2"/>
        </w:rPr>
        <w:t>недирективная</w:t>
      </w:r>
      <w:r>
        <w:rPr>
          <w:color w:val="231F20"/>
          <w:spacing w:val="-3"/>
        </w:rPr>
        <w:t> </w:t>
      </w:r>
      <w:r>
        <w:rPr>
          <w:color w:val="231F20"/>
          <w:spacing w:val="-2"/>
        </w:rPr>
        <w:t>игровая</w:t>
      </w:r>
      <w:r>
        <w:rPr>
          <w:color w:val="231F20"/>
          <w:spacing w:val="-3"/>
        </w:rPr>
        <w:t> </w:t>
      </w:r>
      <w:r>
        <w:rPr>
          <w:color w:val="231F20"/>
          <w:spacing w:val="-2"/>
        </w:rPr>
        <w:t>терапия</w:t>
      </w:r>
      <w:r>
        <w:rPr>
          <w:color w:val="231F20"/>
          <w:spacing w:val="-3"/>
        </w:rPr>
        <w:t> </w:t>
      </w:r>
      <w:r>
        <w:rPr>
          <w:color w:val="231F20"/>
          <w:spacing w:val="-2"/>
        </w:rPr>
        <w:t>может</w:t>
      </w:r>
      <w:r>
        <w:rPr>
          <w:color w:val="231F20"/>
          <w:spacing w:val="-3"/>
        </w:rPr>
        <w:t> </w:t>
      </w:r>
      <w:r>
        <w:rPr>
          <w:color w:val="231F20"/>
          <w:spacing w:val="-2"/>
        </w:rPr>
        <w:t>проводить-</w:t>
      </w:r>
    </w:p>
    <w:p>
      <w:pPr>
        <w:pStyle w:val="BodyText"/>
        <w:spacing w:after="0" w:line="235" w:lineRule="auto"/>
        <w:sectPr>
          <w:pgSz w:w="8400" w:h="11910"/>
          <w:pgMar w:header="0" w:footer="528"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line="235" w:lineRule="auto" w:before="116"/>
        <w:ind w:right="0" w:firstLine="0"/>
        <w:jc w:val="left"/>
      </w:pPr>
      <w:r>
        <w:rPr>
          <w:color w:val="231F20"/>
        </w:rPr>
        <w:t>ся в обычном кабинете психолога, игрушки для игровой терапии могут храниться в специальном шкафу или ящике.</w:t>
      </w:r>
    </w:p>
    <w:p>
      <w:pPr>
        <w:pStyle w:val="BodyText"/>
        <w:spacing w:line="237" w:lineRule="auto"/>
        <w:ind w:right="0"/>
        <w:jc w:val="left"/>
      </w:pPr>
      <w:r>
        <w:rPr>
          <w:color w:val="231F20"/>
          <w:spacing w:val="-2"/>
        </w:rPr>
        <w:t>Что позволяет получить терапевтический эффект, используя недирективную игро- </w:t>
      </w:r>
      <w:r>
        <w:rPr>
          <w:color w:val="231F20"/>
        </w:rPr>
        <w:t>вую терапию?</w:t>
      </w:r>
    </w:p>
    <w:p>
      <w:pPr>
        <w:pStyle w:val="BodyText"/>
        <w:ind w:right="0"/>
        <w:jc w:val="left"/>
      </w:pPr>
      <w:r>
        <w:rPr>
          <w:color w:val="231F20"/>
        </w:rPr>
        <w:t>Во-первых, ребенок может отыгрывать события реальной жизни, которые вызва- ли у него сильный эмоциональный отклик.</w:t>
      </w:r>
    </w:p>
    <w:p>
      <w:pPr>
        <w:pStyle w:val="BodyText"/>
        <w:spacing w:line="237" w:lineRule="auto"/>
        <w:ind w:right="0"/>
        <w:jc w:val="left"/>
      </w:pPr>
      <w:r>
        <w:rPr>
          <w:color w:val="231F20"/>
        </w:rPr>
        <w:t>Во-вторых,</w:t>
      </w:r>
      <w:r>
        <w:rPr>
          <w:color w:val="231F20"/>
          <w:spacing w:val="-13"/>
        </w:rPr>
        <w:t> </w:t>
      </w:r>
      <w:r>
        <w:rPr>
          <w:color w:val="231F20"/>
        </w:rPr>
        <w:t>во</w:t>
      </w:r>
      <w:r>
        <w:rPr>
          <w:color w:val="231F20"/>
          <w:spacing w:val="-12"/>
        </w:rPr>
        <w:t> </w:t>
      </w:r>
      <w:r>
        <w:rPr>
          <w:color w:val="231F20"/>
        </w:rPr>
        <w:t>взаимодействии</w:t>
      </w:r>
      <w:r>
        <w:rPr>
          <w:color w:val="231F20"/>
          <w:spacing w:val="-13"/>
        </w:rPr>
        <w:t> </w:t>
      </w:r>
      <w:r>
        <w:rPr>
          <w:color w:val="231F20"/>
        </w:rPr>
        <w:t>с</w:t>
      </w:r>
      <w:r>
        <w:rPr>
          <w:color w:val="231F20"/>
          <w:spacing w:val="-12"/>
        </w:rPr>
        <w:t> </w:t>
      </w:r>
      <w:r>
        <w:rPr>
          <w:color w:val="231F20"/>
        </w:rPr>
        <w:t>психологом</w:t>
      </w:r>
      <w:r>
        <w:rPr>
          <w:color w:val="231F20"/>
          <w:spacing w:val="-13"/>
        </w:rPr>
        <w:t> </w:t>
      </w:r>
      <w:r>
        <w:rPr>
          <w:color w:val="231F20"/>
        </w:rPr>
        <w:t>ребенок</w:t>
      </w:r>
      <w:r>
        <w:rPr>
          <w:color w:val="231F20"/>
          <w:spacing w:val="-12"/>
        </w:rPr>
        <w:t> </w:t>
      </w:r>
      <w:r>
        <w:rPr>
          <w:color w:val="231F20"/>
        </w:rPr>
        <w:t>пользуется</w:t>
      </w:r>
      <w:r>
        <w:rPr>
          <w:color w:val="231F20"/>
          <w:spacing w:val="-13"/>
        </w:rPr>
        <w:t> </w:t>
      </w:r>
      <w:r>
        <w:rPr>
          <w:color w:val="231F20"/>
        </w:rPr>
        <w:t>привычными</w:t>
      </w:r>
      <w:r>
        <w:rPr>
          <w:color w:val="231F20"/>
          <w:spacing w:val="-12"/>
        </w:rPr>
        <w:t> </w:t>
      </w:r>
      <w:r>
        <w:rPr>
          <w:color w:val="231F20"/>
        </w:rPr>
        <w:t>по- веденческими моделями и в процессе взаимодействия осваивает новые.</w:t>
      </w:r>
    </w:p>
    <w:p>
      <w:pPr>
        <w:pStyle w:val="BodyText"/>
        <w:spacing w:line="228" w:lineRule="exact"/>
        <w:ind w:left="425" w:right="0" w:firstLine="0"/>
        <w:jc w:val="left"/>
      </w:pPr>
      <w:r>
        <w:rPr>
          <w:i/>
          <w:color w:val="231F20"/>
        </w:rPr>
        <w:t>Задачи</w:t>
      </w:r>
      <w:r>
        <w:rPr>
          <w:i/>
          <w:color w:val="231F20"/>
          <w:spacing w:val="-9"/>
        </w:rPr>
        <w:t> </w:t>
      </w:r>
      <w:r>
        <w:rPr>
          <w:color w:val="231F20"/>
        </w:rPr>
        <w:t>психолога</w:t>
      </w:r>
      <w:r>
        <w:rPr>
          <w:color w:val="231F20"/>
          <w:spacing w:val="-6"/>
        </w:rPr>
        <w:t> </w:t>
      </w:r>
      <w:r>
        <w:rPr>
          <w:color w:val="231F20"/>
        </w:rPr>
        <w:t>в</w:t>
      </w:r>
      <w:r>
        <w:rPr>
          <w:color w:val="231F20"/>
          <w:spacing w:val="-8"/>
        </w:rPr>
        <w:t> </w:t>
      </w:r>
      <w:r>
        <w:rPr>
          <w:color w:val="231F20"/>
        </w:rPr>
        <w:t>недирективной</w:t>
      </w:r>
      <w:r>
        <w:rPr>
          <w:color w:val="231F20"/>
          <w:spacing w:val="-7"/>
        </w:rPr>
        <w:t> </w:t>
      </w:r>
      <w:r>
        <w:rPr>
          <w:color w:val="231F20"/>
        </w:rPr>
        <w:t>игровой</w:t>
      </w:r>
      <w:r>
        <w:rPr>
          <w:color w:val="231F20"/>
          <w:spacing w:val="-7"/>
        </w:rPr>
        <w:t> </w:t>
      </w:r>
      <w:r>
        <w:rPr>
          <w:color w:val="231F20"/>
          <w:spacing w:val="-2"/>
        </w:rPr>
        <w:t>терапии:</w:t>
      </w:r>
    </w:p>
    <w:p>
      <w:pPr>
        <w:pStyle w:val="ListParagraph"/>
        <w:numPr>
          <w:ilvl w:val="0"/>
          <w:numId w:val="53"/>
        </w:numPr>
        <w:tabs>
          <w:tab w:pos="424" w:val="left" w:leader="none"/>
        </w:tabs>
        <w:spacing w:line="228" w:lineRule="exact" w:before="0" w:after="0"/>
        <w:ind w:left="424" w:right="0" w:hanging="283"/>
        <w:jc w:val="left"/>
        <w:rPr>
          <w:sz w:val="20"/>
        </w:rPr>
      </w:pPr>
      <w:r>
        <w:rPr>
          <w:color w:val="231F20"/>
          <w:sz w:val="20"/>
        </w:rPr>
        <w:t>создание</w:t>
      </w:r>
      <w:r>
        <w:rPr>
          <w:color w:val="231F20"/>
          <w:spacing w:val="-2"/>
          <w:sz w:val="20"/>
        </w:rPr>
        <w:t> </w:t>
      </w:r>
      <w:r>
        <w:rPr>
          <w:color w:val="231F20"/>
          <w:sz w:val="20"/>
        </w:rPr>
        <w:t>атмосферы</w:t>
      </w:r>
      <w:r>
        <w:rPr>
          <w:color w:val="231F20"/>
          <w:spacing w:val="-2"/>
          <w:sz w:val="20"/>
        </w:rPr>
        <w:t> безопасности,</w:t>
      </w:r>
    </w:p>
    <w:p>
      <w:pPr>
        <w:pStyle w:val="ListParagraph"/>
        <w:numPr>
          <w:ilvl w:val="0"/>
          <w:numId w:val="53"/>
        </w:numPr>
        <w:tabs>
          <w:tab w:pos="424" w:val="left" w:leader="none"/>
        </w:tabs>
        <w:spacing w:line="228" w:lineRule="exact" w:before="0" w:after="0"/>
        <w:ind w:left="424" w:right="0" w:hanging="283"/>
        <w:jc w:val="left"/>
        <w:rPr>
          <w:sz w:val="20"/>
        </w:rPr>
      </w:pPr>
      <w:r>
        <w:rPr>
          <w:color w:val="231F20"/>
          <w:sz w:val="20"/>
        </w:rPr>
        <w:t>понимание</w:t>
      </w:r>
      <w:r>
        <w:rPr>
          <w:color w:val="231F20"/>
          <w:spacing w:val="-1"/>
          <w:sz w:val="20"/>
        </w:rPr>
        <w:t> </w:t>
      </w:r>
      <w:r>
        <w:rPr>
          <w:color w:val="231F20"/>
          <w:sz w:val="20"/>
        </w:rPr>
        <w:t>и</w:t>
      </w:r>
      <w:r>
        <w:rPr>
          <w:color w:val="231F20"/>
          <w:spacing w:val="-1"/>
          <w:sz w:val="20"/>
        </w:rPr>
        <w:t> </w:t>
      </w:r>
      <w:r>
        <w:rPr>
          <w:color w:val="231F20"/>
          <w:sz w:val="20"/>
        </w:rPr>
        <w:t>принятие</w:t>
      </w:r>
      <w:r>
        <w:rPr>
          <w:color w:val="231F20"/>
          <w:spacing w:val="-1"/>
          <w:sz w:val="20"/>
        </w:rPr>
        <w:t> </w:t>
      </w:r>
      <w:r>
        <w:rPr>
          <w:color w:val="231F20"/>
          <w:sz w:val="20"/>
        </w:rPr>
        <w:t>мира </w:t>
      </w:r>
      <w:r>
        <w:rPr>
          <w:color w:val="231F20"/>
          <w:spacing w:val="-2"/>
          <w:sz w:val="20"/>
        </w:rPr>
        <w:t>ребенка,</w:t>
      </w:r>
    </w:p>
    <w:p>
      <w:pPr>
        <w:pStyle w:val="ListParagraph"/>
        <w:numPr>
          <w:ilvl w:val="0"/>
          <w:numId w:val="53"/>
        </w:numPr>
        <w:tabs>
          <w:tab w:pos="424" w:val="left" w:leader="none"/>
        </w:tabs>
        <w:spacing w:line="228" w:lineRule="exact" w:before="0" w:after="0"/>
        <w:ind w:left="424" w:right="0" w:hanging="283"/>
        <w:jc w:val="left"/>
        <w:rPr>
          <w:sz w:val="20"/>
        </w:rPr>
      </w:pPr>
      <w:r>
        <w:rPr>
          <w:color w:val="231F20"/>
          <w:sz w:val="20"/>
        </w:rPr>
        <w:t>поощрение</w:t>
      </w:r>
      <w:r>
        <w:rPr>
          <w:color w:val="231F20"/>
          <w:spacing w:val="-6"/>
          <w:sz w:val="20"/>
        </w:rPr>
        <w:t> </w:t>
      </w:r>
      <w:r>
        <w:rPr>
          <w:color w:val="231F20"/>
          <w:sz w:val="20"/>
        </w:rPr>
        <w:t>выражения</w:t>
      </w:r>
      <w:r>
        <w:rPr>
          <w:color w:val="231F20"/>
          <w:spacing w:val="-6"/>
          <w:sz w:val="20"/>
        </w:rPr>
        <w:t> </w:t>
      </w:r>
      <w:r>
        <w:rPr>
          <w:color w:val="231F20"/>
          <w:sz w:val="20"/>
        </w:rPr>
        <w:t>эмоций</w:t>
      </w:r>
      <w:r>
        <w:rPr>
          <w:color w:val="231F20"/>
          <w:spacing w:val="-7"/>
          <w:sz w:val="20"/>
        </w:rPr>
        <w:t> </w:t>
      </w:r>
      <w:r>
        <w:rPr>
          <w:color w:val="231F20"/>
          <w:sz w:val="20"/>
        </w:rPr>
        <w:t>и</w:t>
      </w:r>
      <w:r>
        <w:rPr>
          <w:color w:val="231F20"/>
          <w:spacing w:val="-6"/>
          <w:sz w:val="20"/>
        </w:rPr>
        <w:t> </w:t>
      </w:r>
      <w:r>
        <w:rPr>
          <w:color w:val="231F20"/>
          <w:sz w:val="20"/>
        </w:rPr>
        <w:t>формулирование</w:t>
      </w:r>
      <w:r>
        <w:rPr>
          <w:color w:val="231F20"/>
          <w:spacing w:val="-6"/>
          <w:sz w:val="20"/>
        </w:rPr>
        <w:t> </w:t>
      </w:r>
      <w:r>
        <w:rPr>
          <w:color w:val="231F20"/>
          <w:sz w:val="20"/>
        </w:rPr>
        <w:t>эмоций</w:t>
      </w:r>
      <w:r>
        <w:rPr>
          <w:color w:val="231F20"/>
          <w:spacing w:val="-6"/>
          <w:sz w:val="20"/>
        </w:rPr>
        <w:t> </w:t>
      </w:r>
      <w:r>
        <w:rPr>
          <w:color w:val="231F20"/>
          <w:spacing w:val="-2"/>
          <w:sz w:val="20"/>
        </w:rPr>
        <w:t>ребенка,</w:t>
      </w:r>
    </w:p>
    <w:p>
      <w:pPr>
        <w:pStyle w:val="ListParagraph"/>
        <w:numPr>
          <w:ilvl w:val="0"/>
          <w:numId w:val="53"/>
        </w:numPr>
        <w:tabs>
          <w:tab w:pos="424" w:val="left" w:leader="none"/>
        </w:tabs>
        <w:spacing w:line="228" w:lineRule="exact" w:before="0" w:after="0"/>
        <w:ind w:left="424" w:right="0" w:hanging="283"/>
        <w:jc w:val="left"/>
        <w:rPr>
          <w:sz w:val="20"/>
        </w:rPr>
      </w:pPr>
      <w:r>
        <w:rPr>
          <w:color w:val="231F20"/>
          <w:sz w:val="20"/>
        </w:rPr>
        <w:t>создание</w:t>
      </w:r>
      <w:r>
        <w:rPr>
          <w:color w:val="231F20"/>
          <w:spacing w:val="-3"/>
          <w:sz w:val="20"/>
        </w:rPr>
        <w:t> </w:t>
      </w:r>
      <w:r>
        <w:rPr>
          <w:color w:val="231F20"/>
          <w:sz w:val="20"/>
        </w:rPr>
        <w:t>ощущения</w:t>
      </w:r>
      <w:r>
        <w:rPr>
          <w:color w:val="231F20"/>
          <w:spacing w:val="-2"/>
          <w:sz w:val="20"/>
        </w:rPr>
        <w:t> </w:t>
      </w:r>
      <w:r>
        <w:rPr>
          <w:color w:val="231F20"/>
          <w:sz w:val="20"/>
        </w:rPr>
        <w:t>дозволенности</w:t>
      </w:r>
      <w:r>
        <w:rPr>
          <w:color w:val="231F20"/>
          <w:spacing w:val="-3"/>
          <w:sz w:val="20"/>
        </w:rPr>
        <w:t> </w:t>
      </w:r>
      <w:r>
        <w:rPr>
          <w:color w:val="231F20"/>
          <w:sz w:val="20"/>
        </w:rPr>
        <w:t>и</w:t>
      </w:r>
      <w:r>
        <w:rPr>
          <w:color w:val="231F20"/>
          <w:spacing w:val="-3"/>
          <w:sz w:val="20"/>
        </w:rPr>
        <w:t> </w:t>
      </w:r>
      <w:r>
        <w:rPr>
          <w:color w:val="231F20"/>
          <w:spacing w:val="-2"/>
          <w:sz w:val="20"/>
        </w:rPr>
        <w:t>границ,</w:t>
      </w:r>
    </w:p>
    <w:p>
      <w:pPr>
        <w:pStyle w:val="ListParagraph"/>
        <w:numPr>
          <w:ilvl w:val="0"/>
          <w:numId w:val="53"/>
        </w:numPr>
        <w:tabs>
          <w:tab w:pos="424" w:val="left" w:leader="none"/>
        </w:tabs>
        <w:spacing w:line="228" w:lineRule="exact" w:before="0" w:after="0"/>
        <w:ind w:left="424" w:right="0" w:hanging="283"/>
        <w:jc w:val="left"/>
        <w:rPr>
          <w:sz w:val="20"/>
        </w:rPr>
      </w:pPr>
      <w:r>
        <w:rPr>
          <w:color w:val="231F20"/>
          <w:sz w:val="20"/>
        </w:rPr>
        <w:t>обеспечение</w:t>
      </w:r>
      <w:r>
        <w:rPr>
          <w:color w:val="231F20"/>
          <w:spacing w:val="-7"/>
          <w:sz w:val="20"/>
        </w:rPr>
        <w:t> </w:t>
      </w:r>
      <w:r>
        <w:rPr>
          <w:color w:val="231F20"/>
          <w:sz w:val="20"/>
        </w:rPr>
        <w:t>принятия</w:t>
      </w:r>
      <w:r>
        <w:rPr>
          <w:color w:val="231F20"/>
          <w:spacing w:val="-7"/>
          <w:sz w:val="20"/>
        </w:rPr>
        <w:t> </w:t>
      </w:r>
      <w:r>
        <w:rPr>
          <w:color w:val="231F20"/>
          <w:sz w:val="20"/>
        </w:rPr>
        <w:t>ребенком</w:t>
      </w:r>
      <w:r>
        <w:rPr>
          <w:color w:val="231F20"/>
          <w:spacing w:val="-7"/>
          <w:sz w:val="20"/>
        </w:rPr>
        <w:t> </w:t>
      </w:r>
      <w:r>
        <w:rPr>
          <w:color w:val="231F20"/>
          <w:spacing w:val="-2"/>
          <w:sz w:val="20"/>
        </w:rPr>
        <w:t>ответственности.</w:t>
      </w:r>
    </w:p>
    <w:p>
      <w:pPr>
        <w:spacing w:line="228" w:lineRule="exact" w:before="0"/>
        <w:ind w:left="425" w:right="0" w:firstLine="0"/>
        <w:jc w:val="left"/>
        <w:rPr>
          <w:sz w:val="20"/>
        </w:rPr>
      </w:pPr>
      <w:r>
        <w:rPr>
          <w:i/>
          <w:color w:val="231F20"/>
          <w:spacing w:val="-2"/>
          <w:sz w:val="20"/>
        </w:rPr>
        <w:t>Основные принципы </w:t>
      </w:r>
      <w:r>
        <w:rPr>
          <w:color w:val="231F20"/>
          <w:spacing w:val="-2"/>
          <w:sz w:val="20"/>
        </w:rPr>
        <w:t>недирективной игровой терапии сформулировала В.</w:t>
      </w:r>
      <w:r>
        <w:rPr>
          <w:color w:val="231F20"/>
          <w:spacing w:val="-1"/>
          <w:sz w:val="20"/>
        </w:rPr>
        <w:t> </w:t>
      </w:r>
      <w:r>
        <w:rPr>
          <w:color w:val="231F20"/>
          <w:spacing w:val="-2"/>
          <w:sz w:val="20"/>
        </w:rPr>
        <w:t>Экслайн:</w:t>
      </w:r>
    </w:p>
    <w:p>
      <w:pPr>
        <w:pStyle w:val="ListParagraph"/>
        <w:numPr>
          <w:ilvl w:val="0"/>
          <w:numId w:val="53"/>
        </w:numPr>
        <w:tabs>
          <w:tab w:pos="424" w:val="left" w:leader="none"/>
        </w:tabs>
        <w:spacing w:line="228" w:lineRule="exact" w:before="0" w:after="0"/>
        <w:ind w:left="424" w:right="0" w:hanging="283"/>
        <w:jc w:val="left"/>
        <w:rPr>
          <w:sz w:val="20"/>
        </w:rPr>
      </w:pPr>
      <w:r>
        <w:rPr>
          <w:color w:val="231F20"/>
          <w:sz w:val="20"/>
        </w:rPr>
        <w:t>терапевт</w:t>
      </w:r>
      <w:r>
        <w:rPr>
          <w:color w:val="231F20"/>
          <w:spacing w:val="-6"/>
          <w:sz w:val="20"/>
        </w:rPr>
        <w:t> </w:t>
      </w:r>
      <w:r>
        <w:rPr>
          <w:color w:val="231F20"/>
          <w:sz w:val="20"/>
        </w:rPr>
        <w:t>устанавливает</w:t>
      </w:r>
      <w:r>
        <w:rPr>
          <w:color w:val="231F20"/>
          <w:spacing w:val="-4"/>
          <w:sz w:val="20"/>
        </w:rPr>
        <w:t> </w:t>
      </w:r>
      <w:r>
        <w:rPr>
          <w:color w:val="231F20"/>
          <w:sz w:val="20"/>
        </w:rPr>
        <w:t>эмоционально</w:t>
      </w:r>
      <w:r>
        <w:rPr>
          <w:color w:val="231F20"/>
          <w:spacing w:val="-4"/>
          <w:sz w:val="20"/>
        </w:rPr>
        <w:t> </w:t>
      </w:r>
      <w:r>
        <w:rPr>
          <w:color w:val="231F20"/>
          <w:sz w:val="20"/>
        </w:rPr>
        <w:t>теплые</w:t>
      </w:r>
      <w:r>
        <w:rPr>
          <w:color w:val="231F20"/>
          <w:spacing w:val="-4"/>
          <w:sz w:val="20"/>
        </w:rPr>
        <w:t> </w:t>
      </w:r>
      <w:r>
        <w:rPr>
          <w:color w:val="231F20"/>
          <w:sz w:val="20"/>
        </w:rPr>
        <w:t>отношения</w:t>
      </w:r>
      <w:r>
        <w:rPr>
          <w:color w:val="231F20"/>
          <w:spacing w:val="-4"/>
          <w:sz w:val="20"/>
        </w:rPr>
        <w:t> </w:t>
      </w:r>
      <w:r>
        <w:rPr>
          <w:color w:val="231F20"/>
          <w:sz w:val="20"/>
        </w:rPr>
        <w:t>с</w:t>
      </w:r>
      <w:r>
        <w:rPr>
          <w:color w:val="231F20"/>
          <w:spacing w:val="-3"/>
          <w:sz w:val="20"/>
        </w:rPr>
        <w:t> </w:t>
      </w:r>
      <w:r>
        <w:rPr>
          <w:color w:val="231F20"/>
          <w:spacing w:val="-2"/>
          <w:sz w:val="20"/>
        </w:rPr>
        <w:t>ребенком;</w:t>
      </w:r>
    </w:p>
    <w:p>
      <w:pPr>
        <w:pStyle w:val="ListParagraph"/>
        <w:numPr>
          <w:ilvl w:val="0"/>
          <w:numId w:val="53"/>
        </w:numPr>
        <w:tabs>
          <w:tab w:pos="424" w:val="left" w:leader="none"/>
        </w:tabs>
        <w:spacing w:line="228" w:lineRule="exact" w:before="0" w:after="0"/>
        <w:ind w:left="424" w:right="0" w:hanging="283"/>
        <w:jc w:val="left"/>
        <w:rPr>
          <w:sz w:val="20"/>
        </w:rPr>
      </w:pPr>
      <w:r>
        <w:rPr>
          <w:color w:val="231F20"/>
          <w:sz w:val="20"/>
        </w:rPr>
        <w:t>терапевт</w:t>
      </w:r>
      <w:r>
        <w:rPr>
          <w:color w:val="231F20"/>
          <w:spacing w:val="-8"/>
          <w:sz w:val="20"/>
        </w:rPr>
        <w:t> </w:t>
      </w:r>
      <w:r>
        <w:rPr>
          <w:color w:val="231F20"/>
          <w:sz w:val="20"/>
        </w:rPr>
        <w:t>принимает</w:t>
      </w:r>
      <w:r>
        <w:rPr>
          <w:color w:val="231F20"/>
          <w:spacing w:val="-6"/>
          <w:sz w:val="20"/>
        </w:rPr>
        <w:t> </w:t>
      </w:r>
      <w:r>
        <w:rPr>
          <w:color w:val="231F20"/>
          <w:sz w:val="20"/>
        </w:rPr>
        <w:t>ребенка</w:t>
      </w:r>
      <w:r>
        <w:rPr>
          <w:color w:val="231F20"/>
          <w:spacing w:val="-6"/>
          <w:sz w:val="20"/>
        </w:rPr>
        <w:t> </w:t>
      </w:r>
      <w:r>
        <w:rPr>
          <w:color w:val="231F20"/>
          <w:sz w:val="20"/>
        </w:rPr>
        <w:t>таким,</w:t>
      </w:r>
      <w:r>
        <w:rPr>
          <w:color w:val="231F20"/>
          <w:spacing w:val="-5"/>
          <w:sz w:val="20"/>
        </w:rPr>
        <w:t> </w:t>
      </w:r>
      <w:r>
        <w:rPr>
          <w:color w:val="231F20"/>
          <w:sz w:val="20"/>
        </w:rPr>
        <w:t>каков</w:t>
      </w:r>
      <w:r>
        <w:rPr>
          <w:color w:val="231F20"/>
          <w:spacing w:val="-7"/>
          <w:sz w:val="20"/>
        </w:rPr>
        <w:t> </w:t>
      </w:r>
      <w:r>
        <w:rPr>
          <w:color w:val="231F20"/>
          <w:sz w:val="20"/>
        </w:rPr>
        <w:t>он</w:t>
      </w:r>
      <w:r>
        <w:rPr>
          <w:color w:val="231F20"/>
          <w:spacing w:val="-6"/>
          <w:sz w:val="20"/>
        </w:rPr>
        <w:t> </w:t>
      </w:r>
      <w:r>
        <w:rPr>
          <w:color w:val="231F20"/>
          <w:spacing w:val="-2"/>
          <w:sz w:val="20"/>
        </w:rPr>
        <w:t>есть;</w:t>
      </w:r>
    </w:p>
    <w:p>
      <w:pPr>
        <w:pStyle w:val="ListParagraph"/>
        <w:numPr>
          <w:ilvl w:val="0"/>
          <w:numId w:val="53"/>
        </w:numPr>
        <w:tabs>
          <w:tab w:pos="424" w:val="left" w:leader="none"/>
        </w:tabs>
        <w:spacing w:line="228" w:lineRule="exact" w:before="0" w:after="0"/>
        <w:ind w:left="424" w:right="0" w:hanging="283"/>
        <w:jc w:val="left"/>
        <w:rPr>
          <w:sz w:val="20"/>
        </w:rPr>
      </w:pPr>
      <w:r>
        <w:rPr>
          <w:color w:val="231F20"/>
          <w:sz w:val="20"/>
        </w:rPr>
        <w:t>терапевт</w:t>
      </w:r>
      <w:r>
        <w:rPr>
          <w:color w:val="231F20"/>
          <w:spacing w:val="-5"/>
          <w:sz w:val="20"/>
        </w:rPr>
        <w:t> </w:t>
      </w:r>
      <w:r>
        <w:rPr>
          <w:color w:val="231F20"/>
          <w:sz w:val="20"/>
        </w:rPr>
        <w:t>создает</w:t>
      </w:r>
      <w:r>
        <w:rPr>
          <w:color w:val="231F20"/>
          <w:spacing w:val="-5"/>
          <w:sz w:val="20"/>
        </w:rPr>
        <w:t> </w:t>
      </w:r>
      <w:r>
        <w:rPr>
          <w:color w:val="231F20"/>
          <w:sz w:val="20"/>
        </w:rPr>
        <w:t>ощущение</w:t>
      </w:r>
      <w:r>
        <w:rPr>
          <w:color w:val="231F20"/>
          <w:spacing w:val="-4"/>
          <w:sz w:val="20"/>
        </w:rPr>
        <w:t> </w:t>
      </w:r>
      <w:r>
        <w:rPr>
          <w:color w:val="231F20"/>
          <w:spacing w:val="-2"/>
          <w:sz w:val="20"/>
        </w:rPr>
        <w:t>дозволенности;</w:t>
      </w:r>
    </w:p>
    <w:p>
      <w:pPr>
        <w:pStyle w:val="ListParagraph"/>
        <w:numPr>
          <w:ilvl w:val="0"/>
          <w:numId w:val="53"/>
        </w:numPr>
        <w:tabs>
          <w:tab w:pos="424" w:val="left" w:leader="none"/>
        </w:tabs>
        <w:spacing w:line="228" w:lineRule="exact" w:before="0" w:after="0"/>
        <w:ind w:left="424" w:right="0" w:hanging="283"/>
        <w:jc w:val="left"/>
        <w:rPr>
          <w:sz w:val="20"/>
        </w:rPr>
      </w:pPr>
      <w:r>
        <w:rPr>
          <w:color w:val="231F20"/>
          <w:sz w:val="20"/>
        </w:rPr>
        <w:t>терапевт</w:t>
      </w:r>
      <w:r>
        <w:rPr>
          <w:color w:val="231F20"/>
          <w:spacing w:val="-7"/>
          <w:sz w:val="20"/>
        </w:rPr>
        <w:t> </w:t>
      </w:r>
      <w:r>
        <w:rPr>
          <w:color w:val="231F20"/>
          <w:sz w:val="20"/>
        </w:rPr>
        <w:t>отражает</w:t>
      </w:r>
      <w:r>
        <w:rPr>
          <w:color w:val="231F20"/>
          <w:spacing w:val="-7"/>
          <w:sz w:val="20"/>
        </w:rPr>
        <w:t> </w:t>
      </w:r>
      <w:r>
        <w:rPr>
          <w:color w:val="231F20"/>
          <w:sz w:val="20"/>
        </w:rPr>
        <w:t>чувства</w:t>
      </w:r>
      <w:r>
        <w:rPr>
          <w:color w:val="231F20"/>
          <w:spacing w:val="-6"/>
          <w:sz w:val="20"/>
        </w:rPr>
        <w:t> </w:t>
      </w:r>
      <w:r>
        <w:rPr>
          <w:color w:val="231F20"/>
          <w:spacing w:val="-2"/>
          <w:sz w:val="20"/>
        </w:rPr>
        <w:t>ребенка;</w:t>
      </w:r>
    </w:p>
    <w:p>
      <w:pPr>
        <w:pStyle w:val="ListParagraph"/>
        <w:numPr>
          <w:ilvl w:val="0"/>
          <w:numId w:val="53"/>
        </w:numPr>
        <w:tabs>
          <w:tab w:pos="424" w:val="left" w:leader="none"/>
        </w:tabs>
        <w:spacing w:line="228" w:lineRule="exact" w:before="0" w:after="0"/>
        <w:ind w:left="424" w:right="0" w:hanging="283"/>
        <w:jc w:val="left"/>
        <w:rPr>
          <w:sz w:val="20"/>
        </w:rPr>
      </w:pPr>
      <w:r>
        <w:rPr>
          <w:color w:val="231F20"/>
          <w:sz w:val="20"/>
        </w:rPr>
        <w:t>терапевт</w:t>
      </w:r>
      <w:r>
        <w:rPr>
          <w:color w:val="231F20"/>
          <w:spacing w:val="-6"/>
          <w:sz w:val="20"/>
        </w:rPr>
        <w:t> </w:t>
      </w:r>
      <w:r>
        <w:rPr>
          <w:color w:val="231F20"/>
          <w:sz w:val="20"/>
        </w:rPr>
        <w:t>уважает</w:t>
      </w:r>
      <w:r>
        <w:rPr>
          <w:color w:val="231F20"/>
          <w:spacing w:val="-4"/>
          <w:sz w:val="20"/>
        </w:rPr>
        <w:t> </w:t>
      </w:r>
      <w:r>
        <w:rPr>
          <w:color w:val="231F20"/>
          <w:sz w:val="20"/>
        </w:rPr>
        <w:t>способность</w:t>
      </w:r>
      <w:r>
        <w:rPr>
          <w:color w:val="231F20"/>
          <w:spacing w:val="-5"/>
          <w:sz w:val="20"/>
        </w:rPr>
        <w:t> </w:t>
      </w:r>
      <w:r>
        <w:rPr>
          <w:color w:val="231F20"/>
          <w:sz w:val="20"/>
        </w:rPr>
        <w:t>ребенка</w:t>
      </w:r>
      <w:r>
        <w:rPr>
          <w:color w:val="231F20"/>
          <w:spacing w:val="-4"/>
          <w:sz w:val="20"/>
        </w:rPr>
        <w:t> </w:t>
      </w:r>
      <w:r>
        <w:rPr>
          <w:color w:val="231F20"/>
          <w:sz w:val="20"/>
        </w:rPr>
        <w:t>самостоятельно</w:t>
      </w:r>
      <w:r>
        <w:rPr>
          <w:color w:val="231F20"/>
          <w:spacing w:val="-4"/>
          <w:sz w:val="20"/>
        </w:rPr>
        <w:t> </w:t>
      </w:r>
      <w:r>
        <w:rPr>
          <w:color w:val="231F20"/>
          <w:sz w:val="20"/>
        </w:rPr>
        <w:t>решать</w:t>
      </w:r>
      <w:r>
        <w:rPr>
          <w:color w:val="231F20"/>
          <w:spacing w:val="-4"/>
          <w:sz w:val="20"/>
        </w:rPr>
        <w:t> </w:t>
      </w:r>
      <w:r>
        <w:rPr>
          <w:color w:val="231F20"/>
          <w:spacing w:val="-2"/>
          <w:sz w:val="20"/>
        </w:rPr>
        <w:t>проблемы;</w:t>
      </w:r>
    </w:p>
    <w:p>
      <w:pPr>
        <w:pStyle w:val="ListParagraph"/>
        <w:numPr>
          <w:ilvl w:val="0"/>
          <w:numId w:val="53"/>
        </w:numPr>
        <w:tabs>
          <w:tab w:pos="424" w:val="left" w:leader="none"/>
        </w:tabs>
        <w:spacing w:line="228" w:lineRule="exact" w:before="0" w:after="0"/>
        <w:ind w:left="424" w:right="0" w:hanging="283"/>
        <w:jc w:val="left"/>
        <w:rPr>
          <w:sz w:val="20"/>
        </w:rPr>
      </w:pPr>
      <w:r>
        <w:rPr>
          <w:color w:val="231F20"/>
          <w:sz w:val="20"/>
        </w:rPr>
        <w:t>ребенок</w:t>
      </w:r>
      <w:r>
        <w:rPr>
          <w:color w:val="231F20"/>
          <w:spacing w:val="-11"/>
          <w:sz w:val="20"/>
        </w:rPr>
        <w:t> </w:t>
      </w:r>
      <w:r>
        <w:rPr>
          <w:color w:val="231F20"/>
          <w:sz w:val="20"/>
        </w:rPr>
        <w:t>направляет</w:t>
      </w:r>
      <w:r>
        <w:rPr>
          <w:color w:val="231F20"/>
          <w:spacing w:val="-9"/>
          <w:sz w:val="20"/>
        </w:rPr>
        <w:t> </w:t>
      </w:r>
      <w:r>
        <w:rPr>
          <w:color w:val="231F20"/>
          <w:sz w:val="20"/>
        </w:rPr>
        <w:t>игру,</w:t>
      </w:r>
      <w:r>
        <w:rPr>
          <w:color w:val="231F20"/>
          <w:spacing w:val="-8"/>
          <w:sz w:val="20"/>
        </w:rPr>
        <w:t> </w:t>
      </w:r>
      <w:r>
        <w:rPr>
          <w:color w:val="231F20"/>
          <w:sz w:val="20"/>
        </w:rPr>
        <w:t>терапевт</w:t>
      </w:r>
      <w:r>
        <w:rPr>
          <w:color w:val="231F20"/>
          <w:spacing w:val="-9"/>
          <w:sz w:val="20"/>
        </w:rPr>
        <w:t> </w:t>
      </w:r>
      <w:r>
        <w:rPr>
          <w:color w:val="231F20"/>
          <w:sz w:val="20"/>
        </w:rPr>
        <w:t>следует</w:t>
      </w:r>
      <w:r>
        <w:rPr>
          <w:color w:val="231F20"/>
          <w:spacing w:val="-9"/>
          <w:sz w:val="20"/>
        </w:rPr>
        <w:t> </w:t>
      </w:r>
      <w:r>
        <w:rPr>
          <w:color w:val="231F20"/>
          <w:sz w:val="20"/>
        </w:rPr>
        <w:t>за</w:t>
      </w:r>
      <w:r>
        <w:rPr>
          <w:color w:val="231F20"/>
          <w:spacing w:val="-8"/>
          <w:sz w:val="20"/>
        </w:rPr>
        <w:t> </w:t>
      </w:r>
      <w:r>
        <w:rPr>
          <w:color w:val="231F20"/>
          <w:spacing w:val="-4"/>
          <w:sz w:val="20"/>
        </w:rPr>
        <w:t>ним;</w:t>
      </w:r>
    </w:p>
    <w:p>
      <w:pPr>
        <w:pStyle w:val="ListParagraph"/>
        <w:numPr>
          <w:ilvl w:val="0"/>
          <w:numId w:val="53"/>
        </w:numPr>
        <w:tabs>
          <w:tab w:pos="424" w:val="left" w:leader="none"/>
        </w:tabs>
        <w:spacing w:line="228" w:lineRule="exact" w:before="0" w:after="0"/>
        <w:ind w:left="424" w:right="0" w:hanging="283"/>
        <w:jc w:val="left"/>
        <w:rPr>
          <w:sz w:val="20"/>
        </w:rPr>
      </w:pPr>
      <w:r>
        <w:rPr>
          <w:color w:val="231F20"/>
          <w:spacing w:val="-2"/>
          <w:sz w:val="20"/>
        </w:rPr>
        <w:t>терапевт</w:t>
      </w:r>
      <w:r>
        <w:rPr>
          <w:color w:val="231F20"/>
          <w:spacing w:val="5"/>
          <w:sz w:val="20"/>
        </w:rPr>
        <w:t> </w:t>
      </w:r>
      <w:r>
        <w:rPr>
          <w:color w:val="231F20"/>
          <w:spacing w:val="-2"/>
          <w:sz w:val="20"/>
        </w:rPr>
        <w:t>устанавливает</w:t>
      </w:r>
      <w:r>
        <w:rPr>
          <w:color w:val="231F20"/>
          <w:spacing w:val="8"/>
          <w:sz w:val="20"/>
        </w:rPr>
        <w:t> </w:t>
      </w:r>
      <w:r>
        <w:rPr>
          <w:color w:val="231F20"/>
          <w:spacing w:val="-2"/>
          <w:sz w:val="20"/>
        </w:rPr>
        <w:t>необходимые</w:t>
      </w:r>
      <w:r>
        <w:rPr>
          <w:color w:val="231F20"/>
          <w:spacing w:val="8"/>
          <w:sz w:val="20"/>
        </w:rPr>
        <w:t> </w:t>
      </w:r>
      <w:r>
        <w:rPr>
          <w:color w:val="231F20"/>
          <w:spacing w:val="-2"/>
          <w:sz w:val="20"/>
        </w:rPr>
        <w:t>границы;</w:t>
      </w:r>
    </w:p>
    <w:p>
      <w:pPr>
        <w:pStyle w:val="ListParagraph"/>
        <w:numPr>
          <w:ilvl w:val="0"/>
          <w:numId w:val="53"/>
        </w:numPr>
        <w:tabs>
          <w:tab w:pos="424" w:val="left" w:leader="none"/>
        </w:tabs>
        <w:spacing w:line="229" w:lineRule="exact" w:before="0" w:after="0"/>
        <w:ind w:left="424" w:right="0" w:hanging="283"/>
        <w:jc w:val="left"/>
        <w:rPr>
          <w:sz w:val="20"/>
        </w:rPr>
      </w:pPr>
      <w:r>
        <w:rPr>
          <w:color w:val="231F20"/>
          <w:sz w:val="20"/>
        </w:rPr>
        <w:t>терапевт</w:t>
      </w:r>
      <w:r>
        <w:rPr>
          <w:color w:val="231F20"/>
          <w:spacing w:val="-9"/>
          <w:sz w:val="20"/>
        </w:rPr>
        <w:t> </w:t>
      </w:r>
      <w:r>
        <w:rPr>
          <w:color w:val="231F20"/>
          <w:sz w:val="20"/>
        </w:rPr>
        <w:t>не</w:t>
      </w:r>
      <w:r>
        <w:rPr>
          <w:color w:val="231F20"/>
          <w:spacing w:val="-9"/>
          <w:sz w:val="20"/>
        </w:rPr>
        <w:t> </w:t>
      </w:r>
      <w:r>
        <w:rPr>
          <w:color w:val="231F20"/>
          <w:sz w:val="20"/>
        </w:rPr>
        <w:t>ускоряет</w:t>
      </w:r>
      <w:r>
        <w:rPr>
          <w:color w:val="231F20"/>
          <w:spacing w:val="-9"/>
          <w:sz w:val="20"/>
        </w:rPr>
        <w:t> </w:t>
      </w:r>
      <w:r>
        <w:rPr>
          <w:color w:val="231F20"/>
          <w:sz w:val="20"/>
        </w:rPr>
        <w:t>ход</w:t>
      </w:r>
      <w:r>
        <w:rPr>
          <w:color w:val="231F20"/>
          <w:spacing w:val="-8"/>
          <w:sz w:val="20"/>
        </w:rPr>
        <w:t> </w:t>
      </w:r>
      <w:r>
        <w:rPr>
          <w:color w:val="231F20"/>
          <w:spacing w:val="-2"/>
          <w:sz w:val="20"/>
        </w:rPr>
        <w:t>работы.</w:t>
      </w:r>
    </w:p>
    <w:p>
      <w:pPr>
        <w:pStyle w:val="BodyText"/>
        <w:ind w:left="425" w:right="0" w:firstLine="0"/>
        <w:jc w:val="left"/>
      </w:pPr>
      <w:r>
        <w:rPr>
          <w:color w:val="231F20"/>
        </w:rPr>
        <w:t>В</w:t>
      </w:r>
      <w:r>
        <w:rPr>
          <w:color w:val="231F20"/>
          <w:spacing w:val="-8"/>
        </w:rPr>
        <w:t> </w:t>
      </w:r>
      <w:r>
        <w:rPr>
          <w:color w:val="231F20"/>
        </w:rPr>
        <w:t>недирективной</w:t>
      </w:r>
      <w:r>
        <w:rPr>
          <w:color w:val="231F20"/>
          <w:spacing w:val="-6"/>
        </w:rPr>
        <w:t> </w:t>
      </w:r>
      <w:r>
        <w:rPr>
          <w:color w:val="231F20"/>
        </w:rPr>
        <w:t>игровой</w:t>
      </w:r>
      <w:r>
        <w:rPr>
          <w:color w:val="231F20"/>
          <w:spacing w:val="-6"/>
        </w:rPr>
        <w:t> </w:t>
      </w:r>
      <w:r>
        <w:rPr>
          <w:color w:val="231F20"/>
        </w:rPr>
        <w:t>терапии</w:t>
      </w:r>
      <w:r>
        <w:rPr>
          <w:color w:val="231F20"/>
          <w:spacing w:val="-6"/>
        </w:rPr>
        <w:t> </w:t>
      </w:r>
      <w:r>
        <w:rPr>
          <w:color w:val="231F20"/>
        </w:rPr>
        <w:t>используются</w:t>
      </w:r>
      <w:r>
        <w:rPr>
          <w:color w:val="231F20"/>
          <w:spacing w:val="-5"/>
        </w:rPr>
        <w:t> </w:t>
      </w:r>
      <w:r>
        <w:rPr>
          <w:color w:val="231F20"/>
        </w:rPr>
        <w:t>следующие</w:t>
      </w:r>
      <w:r>
        <w:rPr>
          <w:color w:val="231F20"/>
          <w:spacing w:val="-5"/>
        </w:rPr>
        <w:t> </w:t>
      </w:r>
      <w:r>
        <w:rPr>
          <w:color w:val="231F20"/>
        </w:rPr>
        <w:t>типы</w:t>
      </w:r>
      <w:r>
        <w:rPr>
          <w:color w:val="231F20"/>
          <w:spacing w:val="-5"/>
        </w:rPr>
        <w:t> </w:t>
      </w:r>
      <w:r>
        <w:rPr>
          <w:color w:val="231F20"/>
          <w:spacing w:val="-2"/>
        </w:rPr>
        <w:t>игрушек:</w:t>
      </w:r>
    </w:p>
    <w:p>
      <w:pPr>
        <w:pStyle w:val="ListParagraph"/>
        <w:numPr>
          <w:ilvl w:val="0"/>
          <w:numId w:val="54"/>
        </w:numPr>
        <w:tabs>
          <w:tab w:pos="425" w:val="left" w:leader="none"/>
        </w:tabs>
        <w:spacing w:line="240" w:lineRule="auto" w:before="0" w:after="0"/>
        <w:ind w:left="425" w:right="0" w:hanging="284"/>
        <w:jc w:val="left"/>
        <w:rPr>
          <w:sz w:val="20"/>
        </w:rPr>
      </w:pPr>
      <w:r>
        <w:rPr>
          <w:color w:val="231F20"/>
          <w:sz w:val="20"/>
        </w:rPr>
        <w:t>Игрушки</w:t>
      </w:r>
      <w:r>
        <w:rPr>
          <w:color w:val="231F20"/>
          <w:spacing w:val="-4"/>
          <w:sz w:val="20"/>
        </w:rPr>
        <w:t> </w:t>
      </w:r>
      <w:r>
        <w:rPr>
          <w:color w:val="231F20"/>
          <w:sz w:val="20"/>
        </w:rPr>
        <w:t>из</w:t>
      </w:r>
      <w:r>
        <w:rPr>
          <w:color w:val="231F20"/>
          <w:spacing w:val="-2"/>
          <w:sz w:val="20"/>
        </w:rPr>
        <w:t> </w:t>
      </w:r>
      <w:r>
        <w:rPr>
          <w:color w:val="231F20"/>
          <w:sz w:val="20"/>
        </w:rPr>
        <w:t>реальной</w:t>
      </w:r>
      <w:r>
        <w:rPr>
          <w:color w:val="231F20"/>
          <w:spacing w:val="-3"/>
          <w:sz w:val="20"/>
        </w:rPr>
        <w:t> </w:t>
      </w:r>
      <w:r>
        <w:rPr>
          <w:color w:val="231F20"/>
          <w:spacing w:val="-2"/>
          <w:sz w:val="20"/>
        </w:rPr>
        <w:t>жизни</w:t>
      </w:r>
    </w:p>
    <w:p>
      <w:pPr>
        <w:pStyle w:val="BodyText"/>
        <w:ind w:left="425" w:firstLine="0"/>
      </w:pPr>
      <w:r>
        <w:rPr>
          <w:color w:val="231F20"/>
        </w:rPr>
        <w:t>(кукольная семья, кукольный домик, посуда, одежда, животные дикие и домаш- ние,</w:t>
      </w:r>
      <w:r>
        <w:rPr>
          <w:color w:val="231F20"/>
          <w:spacing w:val="-3"/>
        </w:rPr>
        <w:t> </w:t>
      </w:r>
      <w:r>
        <w:rPr>
          <w:color w:val="231F20"/>
        </w:rPr>
        <w:t>марионетки,</w:t>
      </w:r>
      <w:r>
        <w:rPr>
          <w:color w:val="231F20"/>
          <w:spacing w:val="-3"/>
        </w:rPr>
        <w:t> </w:t>
      </w:r>
      <w:r>
        <w:rPr>
          <w:color w:val="231F20"/>
        </w:rPr>
        <w:t>машинки,</w:t>
      </w:r>
      <w:r>
        <w:rPr>
          <w:color w:val="231F20"/>
          <w:spacing w:val="-3"/>
        </w:rPr>
        <w:t> </w:t>
      </w:r>
      <w:r>
        <w:rPr>
          <w:color w:val="231F20"/>
        </w:rPr>
        <w:t>корабли,</w:t>
      </w:r>
      <w:r>
        <w:rPr>
          <w:color w:val="231F20"/>
          <w:spacing w:val="-3"/>
        </w:rPr>
        <w:t> </w:t>
      </w:r>
      <w:r>
        <w:rPr>
          <w:color w:val="231F20"/>
        </w:rPr>
        <w:t>лодки,</w:t>
      </w:r>
      <w:r>
        <w:rPr>
          <w:color w:val="231F20"/>
          <w:spacing w:val="-3"/>
        </w:rPr>
        <w:t> </w:t>
      </w:r>
      <w:r>
        <w:rPr>
          <w:color w:val="231F20"/>
        </w:rPr>
        <w:t>телефоны,</w:t>
      </w:r>
      <w:r>
        <w:rPr>
          <w:color w:val="231F20"/>
          <w:spacing w:val="-3"/>
        </w:rPr>
        <w:t> </w:t>
      </w:r>
      <w:r>
        <w:rPr>
          <w:color w:val="231F20"/>
        </w:rPr>
        <w:t>докторские</w:t>
      </w:r>
      <w:r>
        <w:rPr>
          <w:color w:val="231F20"/>
          <w:spacing w:val="-3"/>
        </w:rPr>
        <w:t> </w:t>
      </w:r>
      <w:r>
        <w:rPr>
          <w:color w:val="231F20"/>
        </w:rPr>
        <w:t>принадлежно- сти и др.).</w:t>
      </w:r>
    </w:p>
    <w:p>
      <w:pPr>
        <w:pStyle w:val="ListParagraph"/>
        <w:numPr>
          <w:ilvl w:val="0"/>
          <w:numId w:val="54"/>
        </w:numPr>
        <w:tabs>
          <w:tab w:pos="423" w:val="left" w:leader="none"/>
        </w:tabs>
        <w:spacing w:line="240" w:lineRule="auto" w:before="0" w:after="0"/>
        <w:ind w:left="423" w:right="0" w:hanging="282"/>
        <w:jc w:val="both"/>
        <w:rPr>
          <w:sz w:val="20"/>
        </w:rPr>
      </w:pPr>
      <w:r>
        <w:rPr>
          <w:color w:val="231F20"/>
          <w:sz w:val="20"/>
        </w:rPr>
        <w:t>Игрушки,</w:t>
      </w:r>
      <w:r>
        <w:rPr>
          <w:color w:val="231F20"/>
          <w:spacing w:val="-10"/>
          <w:sz w:val="20"/>
        </w:rPr>
        <w:t> </w:t>
      </w:r>
      <w:r>
        <w:rPr>
          <w:color w:val="231F20"/>
          <w:sz w:val="20"/>
        </w:rPr>
        <w:t>помогающие</w:t>
      </w:r>
      <w:r>
        <w:rPr>
          <w:color w:val="231F20"/>
          <w:spacing w:val="-7"/>
          <w:sz w:val="20"/>
        </w:rPr>
        <w:t> </w:t>
      </w:r>
      <w:r>
        <w:rPr>
          <w:color w:val="231F20"/>
          <w:sz w:val="20"/>
        </w:rPr>
        <w:t>отреагировать</w:t>
      </w:r>
      <w:r>
        <w:rPr>
          <w:color w:val="231F20"/>
          <w:spacing w:val="-7"/>
          <w:sz w:val="20"/>
        </w:rPr>
        <w:t> </w:t>
      </w:r>
      <w:r>
        <w:rPr>
          <w:color w:val="231F20"/>
          <w:spacing w:val="-2"/>
          <w:sz w:val="20"/>
        </w:rPr>
        <w:t>агрессию</w:t>
      </w:r>
    </w:p>
    <w:p>
      <w:pPr>
        <w:pStyle w:val="BodyText"/>
        <w:ind w:left="425" w:firstLine="0"/>
      </w:pPr>
      <w:r>
        <w:rPr>
          <w:color w:val="231F20"/>
        </w:rPr>
        <w:t>(«страшные» игрушки: пауки, крокодилы и др., мишень, дротики, оружие, рези- новые ножи).</w:t>
      </w:r>
    </w:p>
    <w:p>
      <w:pPr>
        <w:pStyle w:val="ListParagraph"/>
        <w:numPr>
          <w:ilvl w:val="0"/>
          <w:numId w:val="54"/>
        </w:numPr>
        <w:tabs>
          <w:tab w:pos="425" w:val="left" w:leader="none"/>
        </w:tabs>
        <w:spacing w:line="240" w:lineRule="auto" w:before="0" w:after="0"/>
        <w:ind w:left="425" w:right="139" w:hanging="284"/>
        <w:jc w:val="left"/>
        <w:rPr>
          <w:sz w:val="20"/>
        </w:rPr>
      </w:pPr>
      <w:r>
        <w:rPr>
          <w:color w:val="231F20"/>
          <w:sz w:val="20"/>
        </w:rPr>
        <w:t>Игрушки для творческого самовыражения и эмоционального отреагирования (кубики, конструктор, глина, пластилин, цветная бумага, ножницы, клей, песок, вода, краски, бумага для рисования, лоскутки, веревки).</w:t>
      </w:r>
    </w:p>
    <w:p>
      <w:pPr>
        <w:pStyle w:val="BodyText"/>
        <w:spacing w:line="237" w:lineRule="auto"/>
      </w:pPr>
      <w:r>
        <w:rPr>
          <w:color w:val="231F20"/>
        </w:rPr>
        <w:t>Недирективная</w:t>
      </w:r>
      <w:r>
        <w:rPr>
          <w:color w:val="231F20"/>
          <w:spacing w:val="-8"/>
        </w:rPr>
        <w:t> </w:t>
      </w:r>
      <w:r>
        <w:rPr>
          <w:color w:val="231F20"/>
        </w:rPr>
        <w:t>игровая</w:t>
      </w:r>
      <w:r>
        <w:rPr>
          <w:color w:val="231F20"/>
          <w:spacing w:val="-8"/>
        </w:rPr>
        <w:t> </w:t>
      </w:r>
      <w:r>
        <w:rPr>
          <w:color w:val="231F20"/>
        </w:rPr>
        <w:t>терапия</w:t>
      </w:r>
      <w:r>
        <w:rPr>
          <w:color w:val="231F20"/>
          <w:spacing w:val="-8"/>
        </w:rPr>
        <w:t> </w:t>
      </w:r>
      <w:r>
        <w:rPr>
          <w:color w:val="231F20"/>
        </w:rPr>
        <w:t>может</w:t>
      </w:r>
      <w:r>
        <w:rPr>
          <w:color w:val="231F20"/>
          <w:spacing w:val="-8"/>
        </w:rPr>
        <w:t> </w:t>
      </w:r>
      <w:r>
        <w:rPr>
          <w:color w:val="231F20"/>
        </w:rPr>
        <w:t>быть</w:t>
      </w:r>
      <w:r>
        <w:rPr>
          <w:color w:val="231F20"/>
          <w:spacing w:val="-8"/>
        </w:rPr>
        <w:t> </w:t>
      </w:r>
      <w:r>
        <w:rPr>
          <w:color w:val="231F20"/>
        </w:rPr>
        <w:t>эффективна</w:t>
      </w:r>
      <w:r>
        <w:rPr>
          <w:color w:val="231F20"/>
          <w:spacing w:val="-8"/>
        </w:rPr>
        <w:t> </w:t>
      </w:r>
      <w:r>
        <w:rPr>
          <w:color w:val="231F20"/>
        </w:rPr>
        <w:t>для</w:t>
      </w:r>
      <w:r>
        <w:rPr>
          <w:color w:val="231F20"/>
          <w:spacing w:val="-8"/>
        </w:rPr>
        <w:t> </w:t>
      </w:r>
      <w:r>
        <w:rPr>
          <w:color w:val="231F20"/>
        </w:rPr>
        <w:t>работы</w:t>
      </w:r>
      <w:r>
        <w:rPr>
          <w:color w:val="231F20"/>
          <w:spacing w:val="-8"/>
        </w:rPr>
        <w:t> </w:t>
      </w:r>
      <w:r>
        <w:rPr>
          <w:color w:val="231F20"/>
        </w:rPr>
        <w:t>с</w:t>
      </w:r>
      <w:r>
        <w:rPr>
          <w:color w:val="231F20"/>
          <w:spacing w:val="-8"/>
        </w:rPr>
        <w:t> </w:t>
      </w:r>
      <w:r>
        <w:rPr>
          <w:color w:val="231F20"/>
        </w:rPr>
        <w:t>детьми,</w:t>
      </w:r>
      <w:r>
        <w:rPr>
          <w:color w:val="231F20"/>
          <w:spacing w:val="-8"/>
        </w:rPr>
        <w:t> </w:t>
      </w:r>
      <w:r>
        <w:rPr>
          <w:color w:val="231F20"/>
        </w:rPr>
        <w:t>не- достаточно</w:t>
      </w:r>
      <w:r>
        <w:rPr>
          <w:color w:val="231F20"/>
          <w:spacing w:val="-1"/>
        </w:rPr>
        <w:t> </w:t>
      </w:r>
      <w:r>
        <w:rPr>
          <w:color w:val="231F20"/>
        </w:rPr>
        <w:t>хорошо</w:t>
      </w:r>
      <w:r>
        <w:rPr>
          <w:color w:val="231F20"/>
          <w:spacing w:val="-1"/>
        </w:rPr>
        <w:t> </w:t>
      </w:r>
      <w:r>
        <w:rPr>
          <w:color w:val="231F20"/>
        </w:rPr>
        <w:t>владеющими</w:t>
      </w:r>
      <w:r>
        <w:rPr>
          <w:color w:val="231F20"/>
          <w:spacing w:val="-1"/>
        </w:rPr>
        <w:t> </w:t>
      </w:r>
      <w:r>
        <w:rPr>
          <w:color w:val="231F20"/>
        </w:rPr>
        <w:t>русским</w:t>
      </w:r>
      <w:r>
        <w:rPr>
          <w:color w:val="231F20"/>
          <w:spacing w:val="-1"/>
        </w:rPr>
        <w:t> </w:t>
      </w:r>
      <w:r>
        <w:rPr>
          <w:color w:val="231F20"/>
        </w:rPr>
        <w:t>языком,</w:t>
      </w:r>
      <w:r>
        <w:rPr>
          <w:color w:val="231F20"/>
          <w:spacing w:val="-1"/>
        </w:rPr>
        <w:t> </w:t>
      </w:r>
      <w:r>
        <w:rPr>
          <w:color w:val="231F20"/>
        </w:rPr>
        <w:t>так</w:t>
      </w:r>
      <w:r>
        <w:rPr>
          <w:color w:val="231F20"/>
          <w:spacing w:val="-1"/>
        </w:rPr>
        <w:t> </w:t>
      </w:r>
      <w:r>
        <w:rPr>
          <w:color w:val="231F20"/>
        </w:rPr>
        <w:t>как</w:t>
      </w:r>
      <w:r>
        <w:rPr>
          <w:color w:val="231F20"/>
          <w:spacing w:val="-1"/>
        </w:rPr>
        <w:t> </w:t>
      </w:r>
      <w:r>
        <w:rPr>
          <w:color w:val="231F20"/>
        </w:rPr>
        <w:t>она</w:t>
      </w:r>
      <w:r>
        <w:rPr>
          <w:color w:val="231F20"/>
          <w:spacing w:val="-1"/>
        </w:rPr>
        <w:t> </w:t>
      </w:r>
      <w:r>
        <w:rPr>
          <w:color w:val="231F20"/>
        </w:rPr>
        <w:t>не</w:t>
      </w:r>
      <w:r>
        <w:rPr>
          <w:color w:val="231F20"/>
          <w:spacing w:val="-1"/>
        </w:rPr>
        <w:t> </w:t>
      </w:r>
      <w:r>
        <w:rPr>
          <w:color w:val="231F20"/>
        </w:rPr>
        <w:t>требует</w:t>
      </w:r>
      <w:r>
        <w:rPr>
          <w:color w:val="231F20"/>
          <w:spacing w:val="-1"/>
        </w:rPr>
        <w:t> </w:t>
      </w:r>
      <w:r>
        <w:rPr>
          <w:color w:val="231F20"/>
        </w:rPr>
        <w:t>от</w:t>
      </w:r>
      <w:r>
        <w:rPr>
          <w:color w:val="231F20"/>
          <w:spacing w:val="-1"/>
        </w:rPr>
        <w:t> </w:t>
      </w:r>
      <w:r>
        <w:rPr>
          <w:color w:val="231F20"/>
        </w:rPr>
        <w:t>ребенка развернутого</w:t>
      </w:r>
      <w:r>
        <w:rPr>
          <w:color w:val="231F20"/>
          <w:spacing w:val="-9"/>
        </w:rPr>
        <w:t> </w:t>
      </w:r>
      <w:r>
        <w:rPr>
          <w:color w:val="231F20"/>
        </w:rPr>
        <w:t>вербального</w:t>
      </w:r>
      <w:r>
        <w:rPr>
          <w:color w:val="231F20"/>
          <w:spacing w:val="-9"/>
        </w:rPr>
        <w:t> </w:t>
      </w:r>
      <w:r>
        <w:rPr>
          <w:color w:val="231F20"/>
        </w:rPr>
        <w:t>взаимодействия.</w:t>
      </w:r>
      <w:r>
        <w:rPr>
          <w:color w:val="231F20"/>
          <w:spacing w:val="-9"/>
        </w:rPr>
        <w:t> </w:t>
      </w:r>
      <w:r>
        <w:rPr>
          <w:color w:val="231F20"/>
        </w:rPr>
        <w:t>Также</w:t>
      </w:r>
      <w:r>
        <w:rPr>
          <w:color w:val="231F20"/>
          <w:spacing w:val="-9"/>
        </w:rPr>
        <w:t> </w:t>
      </w:r>
      <w:r>
        <w:rPr>
          <w:color w:val="231F20"/>
        </w:rPr>
        <w:t>она</w:t>
      </w:r>
      <w:r>
        <w:rPr>
          <w:color w:val="231F20"/>
          <w:spacing w:val="-9"/>
        </w:rPr>
        <w:t> </w:t>
      </w:r>
      <w:r>
        <w:rPr>
          <w:color w:val="231F20"/>
        </w:rPr>
        <w:t>крайне</w:t>
      </w:r>
      <w:r>
        <w:rPr>
          <w:color w:val="231F20"/>
          <w:spacing w:val="-9"/>
        </w:rPr>
        <w:t> </w:t>
      </w:r>
      <w:r>
        <w:rPr>
          <w:color w:val="231F20"/>
        </w:rPr>
        <w:t>продуктивна</w:t>
      </w:r>
      <w:r>
        <w:rPr>
          <w:color w:val="231F20"/>
          <w:spacing w:val="-9"/>
        </w:rPr>
        <w:t> </w:t>
      </w:r>
      <w:r>
        <w:rPr>
          <w:color w:val="231F20"/>
        </w:rPr>
        <w:t>для</w:t>
      </w:r>
      <w:r>
        <w:rPr>
          <w:color w:val="231F20"/>
          <w:spacing w:val="-9"/>
        </w:rPr>
        <w:t> </w:t>
      </w:r>
      <w:r>
        <w:rPr>
          <w:color w:val="231F20"/>
        </w:rPr>
        <w:t>реше- ния</w:t>
      </w:r>
      <w:r>
        <w:rPr>
          <w:color w:val="231F20"/>
          <w:spacing w:val="-11"/>
        </w:rPr>
        <w:t> </w:t>
      </w:r>
      <w:r>
        <w:rPr>
          <w:color w:val="231F20"/>
        </w:rPr>
        <w:t>задач,</w:t>
      </w:r>
      <w:r>
        <w:rPr>
          <w:color w:val="231F20"/>
          <w:spacing w:val="-11"/>
        </w:rPr>
        <w:t> </w:t>
      </w:r>
      <w:r>
        <w:rPr>
          <w:color w:val="231F20"/>
        </w:rPr>
        <w:t>связанных</w:t>
      </w:r>
      <w:r>
        <w:rPr>
          <w:color w:val="231F20"/>
          <w:spacing w:val="-11"/>
        </w:rPr>
        <w:t> </w:t>
      </w:r>
      <w:r>
        <w:rPr>
          <w:color w:val="231F20"/>
        </w:rPr>
        <w:t>с</w:t>
      </w:r>
      <w:r>
        <w:rPr>
          <w:color w:val="231F20"/>
          <w:spacing w:val="-11"/>
        </w:rPr>
        <w:t> </w:t>
      </w:r>
      <w:r>
        <w:rPr>
          <w:color w:val="231F20"/>
        </w:rPr>
        <w:t>оптимизацией</w:t>
      </w:r>
      <w:r>
        <w:rPr>
          <w:color w:val="231F20"/>
          <w:spacing w:val="-11"/>
        </w:rPr>
        <w:t> </w:t>
      </w:r>
      <w:r>
        <w:rPr>
          <w:color w:val="231F20"/>
        </w:rPr>
        <w:t>психологического</w:t>
      </w:r>
      <w:r>
        <w:rPr>
          <w:color w:val="231F20"/>
          <w:spacing w:val="-11"/>
        </w:rPr>
        <w:t> </w:t>
      </w:r>
      <w:r>
        <w:rPr>
          <w:color w:val="231F20"/>
        </w:rPr>
        <w:t>благополучия</w:t>
      </w:r>
      <w:r>
        <w:rPr>
          <w:color w:val="231F20"/>
          <w:spacing w:val="-11"/>
        </w:rPr>
        <w:t> </w:t>
      </w:r>
      <w:r>
        <w:rPr>
          <w:color w:val="231F20"/>
        </w:rPr>
        <w:t>ребенка,</w:t>
      </w:r>
      <w:r>
        <w:rPr>
          <w:color w:val="231F20"/>
          <w:spacing w:val="-11"/>
        </w:rPr>
        <w:t> </w:t>
      </w:r>
      <w:r>
        <w:rPr>
          <w:color w:val="231F20"/>
        </w:rPr>
        <w:t>задач </w:t>
      </w:r>
      <w:r>
        <w:rPr/>
        <w:t>обеспечения возможности выражения и отреагирования различных эмоциональных состояний, формирования конструктивных способов эмоционального отреагирова- ния, содействия преодолению негативных последствий миграционного стресса, по- вышение самоуважения и уверенности в себе. </w:t>
      </w:r>
      <w:r>
        <w:rPr>
          <w:color w:val="231F20"/>
        </w:rPr>
        <w:t>Педагогу-психологу рекомендуется получить дополнительную подготовку в области недирективной игровой терапии.</w:t>
      </w:r>
    </w:p>
    <w:p>
      <w:pPr>
        <w:pStyle w:val="BodyText"/>
        <w:spacing w:line="235" w:lineRule="auto" w:before="1"/>
      </w:pPr>
      <w:r>
        <w:rPr>
          <w:color w:val="231F20"/>
        </w:rPr>
        <w:t>Директивная игровая терапия опирается на иные теоретические основания: на- правленное формирование произвольно-личностной регуляции поведения ребенка в</w:t>
      </w:r>
    </w:p>
    <w:p>
      <w:pPr>
        <w:pStyle w:val="BodyText"/>
        <w:spacing w:after="0" w:line="235" w:lineRule="auto"/>
        <w:sectPr>
          <w:pgSz w:w="8400" w:h="11910"/>
          <w:pgMar w:header="0" w:footer="528" w:top="400" w:bottom="740" w:left="425" w:right="425"/>
        </w:sectPr>
      </w:pPr>
    </w:p>
    <w:p>
      <w:pPr>
        <w:pStyle w:val="ListParagraph"/>
        <w:numPr>
          <w:ilvl w:val="1"/>
          <w:numId w:val="47"/>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Использование</w:t>
      </w:r>
      <w:r>
        <w:rPr>
          <w:rFonts w:ascii="Georgia" w:hAnsi="Georgia"/>
          <w:color w:val="231F20"/>
          <w:spacing w:val="-2"/>
          <w:sz w:val="18"/>
        </w:rPr>
        <w:t> </w:t>
      </w:r>
      <w:r>
        <w:rPr>
          <w:rFonts w:ascii="Georgia" w:hAnsi="Georgia"/>
          <w:color w:val="231F20"/>
          <w:sz w:val="18"/>
        </w:rPr>
        <w:t>консультативных</w:t>
      </w:r>
      <w:r>
        <w:rPr>
          <w:rFonts w:ascii="Georgia" w:hAnsi="Georgia"/>
          <w:color w:val="231F20"/>
          <w:spacing w:val="-1"/>
          <w:sz w:val="18"/>
        </w:rPr>
        <w:t> </w:t>
      </w:r>
      <w:r>
        <w:rPr>
          <w:rFonts w:ascii="Georgia" w:hAnsi="Georgia"/>
          <w:color w:val="231F20"/>
          <w:sz w:val="18"/>
        </w:rPr>
        <w:t>подходов</w:t>
      </w:r>
      <w:r>
        <w:rPr>
          <w:rFonts w:ascii="Georgia" w:hAnsi="Georgia"/>
          <w:color w:val="231F20"/>
          <w:spacing w:val="-2"/>
          <w:sz w:val="18"/>
        </w:rPr>
        <w:t> </w:t>
      </w:r>
      <w:r>
        <w:rPr>
          <w:rFonts w:ascii="Georgia" w:hAnsi="Georgia"/>
          <w:color w:val="231F20"/>
          <w:sz w:val="18"/>
        </w:rPr>
        <w:t>и</w:t>
      </w:r>
      <w:r>
        <w:rPr>
          <w:rFonts w:ascii="Georgia" w:hAnsi="Georgia"/>
          <w:color w:val="231F20"/>
          <w:spacing w:val="-1"/>
          <w:sz w:val="18"/>
        </w:rPr>
        <w:t> </w:t>
      </w:r>
      <w:r>
        <w:rPr>
          <w:rFonts w:ascii="Georgia" w:hAnsi="Georgia"/>
          <w:color w:val="231F20"/>
          <w:sz w:val="18"/>
        </w:rPr>
        <w:t>стратегий</w:t>
      </w:r>
      <w:r>
        <w:rPr>
          <w:rFonts w:ascii="Georgia" w:hAnsi="Georgia"/>
          <w:color w:val="231F20"/>
          <w:spacing w:val="-1"/>
          <w:sz w:val="18"/>
        </w:rPr>
        <w:t> </w:t>
      </w:r>
      <w:r>
        <w:rPr>
          <w:rFonts w:ascii="Georgia" w:hAnsi="Georgia"/>
          <w:color w:val="231F20"/>
          <w:sz w:val="18"/>
        </w:rPr>
        <w:t>в</w:t>
      </w:r>
      <w:r>
        <w:rPr>
          <w:rFonts w:ascii="Georgia" w:hAnsi="Georgia"/>
          <w:color w:val="231F20"/>
          <w:spacing w:val="-2"/>
          <w:sz w:val="18"/>
        </w:rPr>
        <w:t> </w:t>
      </w:r>
      <w:r>
        <w:rPr>
          <w:rFonts w:ascii="Georgia" w:hAnsi="Georgia"/>
          <w:color w:val="231F20"/>
          <w:sz w:val="18"/>
        </w:rPr>
        <w:t>работе</w:t>
      </w:r>
      <w:r>
        <w:rPr>
          <w:rFonts w:ascii="Georgia" w:hAnsi="Georgia"/>
          <w:color w:val="231F20"/>
          <w:spacing w:val="-1"/>
          <w:sz w:val="18"/>
        </w:rPr>
        <w:t> </w:t>
      </w:r>
      <w:r>
        <w:rPr>
          <w:rFonts w:ascii="Georgia" w:hAnsi="Georgia"/>
          <w:color w:val="231F20"/>
          <w:sz w:val="18"/>
        </w:rPr>
        <w:t>с</w:t>
      </w:r>
      <w:r>
        <w:rPr>
          <w:rFonts w:ascii="Georgia" w:hAnsi="Georgia"/>
          <w:color w:val="231F20"/>
          <w:spacing w:val="-1"/>
          <w:sz w:val="18"/>
        </w:rPr>
        <w:t> </w:t>
      </w:r>
      <w:r>
        <w:rPr>
          <w:rFonts w:ascii="Georgia" w:hAnsi="Georgia"/>
          <w:color w:val="231F20"/>
          <w:spacing w:val="-2"/>
          <w:sz w:val="18"/>
        </w:rPr>
        <w:t>детьми...</w:t>
      </w:r>
    </w:p>
    <w:p>
      <w:pPr>
        <w:pStyle w:val="BodyText"/>
        <w:spacing w:line="235" w:lineRule="auto" w:before="116"/>
        <w:ind w:right="138" w:firstLine="0"/>
      </w:pPr>
      <w:r>
        <w:rPr>
          <w:color w:val="231F20"/>
        </w:rPr>
        <w:t>сотрудничестве с взрослым (Л.С. Выготский); бихевиоральная концепция: развитие как научение, терапия как выработка необходимых навыков.</w:t>
      </w:r>
    </w:p>
    <w:p>
      <w:pPr>
        <w:pStyle w:val="BodyText"/>
        <w:spacing w:line="237" w:lineRule="auto"/>
      </w:pPr>
      <w:r>
        <w:rPr>
          <w:color w:val="231F20"/>
        </w:rPr>
        <w:t>Сущность директивной игровой терапии в том, что психолог организует игру в эмоционально привлекательной форме, вырабатывая таким образом необходимые для</w:t>
      </w:r>
      <w:r>
        <w:rPr>
          <w:color w:val="231F20"/>
          <w:spacing w:val="-7"/>
        </w:rPr>
        <w:t> </w:t>
      </w:r>
      <w:r>
        <w:rPr>
          <w:color w:val="231F20"/>
        </w:rPr>
        <w:t>ребенка</w:t>
      </w:r>
      <w:r>
        <w:rPr>
          <w:color w:val="231F20"/>
          <w:spacing w:val="-7"/>
        </w:rPr>
        <w:t> </w:t>
      </w:r>
      <w:r>
        <w:rPr>
          <w:color w:val="231F20"/>
        </w:rPr>
        <w:t>навыки.</w:t>
      </w:r>
      <w:r>
        <w:rPr>
          <w:color w:val="231F20"/>
          <w:spacing w:val="-7"/>
        </w:rPr>
        <w:t> </w:t>
      </w:r>
      <w:r>
        <w:rPr>
          <w:color w:val="231F20"/>
        </w:rPr>
        <w:t>Источник</w:t>
      </w:r>
      <w:r>
        <w:rPr>
          <w:color w:val="231F20"/>
          <w:spacing w:val="-7"/>
        </w:rPr>
        <w:t> </w:t>
      </w:r>
      <w:r>
        <w:rPr>
          <w:color w:val="231F20"/>
        </w:rPr>
        <w:t>игровой</w:t>
      </w:r>
      <w:r>
        <w:rPr>
          <w:color w:val="231F20"/>
          <w:spacing w:val="-7"/>
        </w:rPr>
        <w:t> </w:t>
      </w:r>
      <w:r>
        <w:rPr>
          <w:color w:val="231F20"/>
        </w:rPr>
        <w:t>активности</w:t>
      </w:r>
      <w:r>
        <w:rPr>
          <w:color w:val="231F20"/>
          <w:spacing w:val="-7"/>
        </w:rPr>
        <w:t> </w:t>
      </w:r>
      <w:r>
        <w:rPr>
          <w:color w:val="231F20"/>
        </w:rPr>
        <w:t>–</w:t>
      </w:r>
      <w:r>
        <w:rPr>
          <w:color w:val="231F20"/>
          <w:spacing w:val="-7"/>
        </w:rPr>
        <w:t> </w:t>
      </w:r>
      <w:r>
        <w:rPr>
          <w:color w:val="231F20"/>
        </w:rPr>
        <w:t>психолог.</w:t>
      </w:r>
      <w:r>
        <w:rPr>
          <w:color w:val="231F20"/>
          <w:spacing w:val="-7"/>
        </w:rPr>
        <w:t> </w:t>
      </w:r>
      <w:r>
        <w:rPr>
          <w:color w:val="231F20"/>
        </w:rPr>
        <w:t>Взрослый</w:t>
      </w:r>
      <w:r>
        <w:rPr>
          <w:color w:val="231F20"/>
          <w:spacing w:val="-7"/>
        </w:rPr>
        <w:t> </w:t>
      </w:r>
      <w:r>
        <w:rPr>
          <w:color w:val="231F20"/>
        </w:rPr>
        <w:t>предлагает ребенку игровые действия, в которых ребенок открывает новые способы поведения.</w:t>
      </w:r>
    </w:p>
    <w:p>
      <w:pPr>
        <w:pStyle w:val="BodyText"/>
        <w:spacing w:line="226" w:lineRule="exact"/>
        <w:ind w:left="425" w:right="0" w:firstLine="0"/>
      </w:pPr>
      <w:r>
        <w:rPr>
          <w:i/>
          <w:color w:val="231F20"/>
        </w:rPr>
        <w:t>Задачи</w:t>
      </w:r>
      <w:r>
        <w:rPr>
          <w:i/>
          <w:color w:val="231F20"/>
          <w:spacing w:val="-8"/>
        </w:rPr>
        <w:t> </w:t>
      </w:r>
      <w:r>
        <w:rPr>
          <w:color w:val="231F20"/>
        </w:rPr>
        <w:t>психолога</w:t>
      </w:r>
      <w:r>
        <w:rPr>
          <w:color w:val="231F20"/>
          <w:spacing w:val="-6"/>
        </w:rPr>
        <w:t> </w:t>
      </w:r>
      <w:r>
        <w:rPr>
          <w:color w:val="231F20"/>
        </w:rPr>
        <w:t>в</w:t>
      </w:r>
      <w:r>
        <w:rPr>
          <w:color w:val="231F20"/>
          <w:spacing w:val="-7"/>
        </w:rPr>
        <w:t> </w:t>
      </w:r>
      <w:r>
        <w:rPr>
          <w:color w:val="231F20"/>
        </w:rPr>
        <w:t>директивной</w:t>
      </w:r>
      <w:r>
        <w:rPr>
          <w:color w:val="231F20"/>
          <w:spacing w:val="-7"/>
        </w:rPr>
        <w:t> </w:t>
      </w:r>
      <w:r>
        <w:rPr>
          <w:color w:val="231F20"/>
        </w:rPr>
        <w:t>игровой</w:t>
      </w:r>
      <w:r>
        <w:rPr>
          <w:color w:val="231F20"/>
          <w:spacing w:val="-6"/>
        </w:rPr>
        <w:t> </w:t>
      </w:r>
      <w:r>
        <w:rPr>
          <w:color w:val="231F20"/>
          <w:spacing w:val="-2"/>
        </w:rPr>
        <w:t>терапии:</w:t>
      </w:r>
    </w:p>
    <w:p>
      <w:pPr>
        <w:pStyle w:val="ListParagraph"/>
        <w:numPr>
          <w:ilvl w:val="0"/>
          <w:numId w:val="55"/>
        </w:numPr>
        <w:tabs>
          <w:tab w:pos="424" w:val="left" w:leader="none"/>
        </w:tabs>
        <w:spacing w:line="228" w:lineRule="exact" w:before="0" w:after="0"/>
        <w:ind w:left="424" w:right="0" w:hanging="283"/>
        <w:jc w:val="left"/>
        <w:rPr>
          <w:sz w:val="20"/>
        </w:rPr>
      </w:pPr>
      <w:r>
        <w:rPr>
          <w:color w:val="231F20"/>
          <w:sz w:val="20"/>
        </w:rPr>
        <w:t>формирование</w:t>
      </w:r>
      <w:r>
        <w:rPr>
          <w:color w:val="231F20"/>
          <w:spacing w:val="-8"/>
          <w:sz w:val="20"/>
        </w:rPr>
        <w:t> </w:t>
      </w:r>
      <w:r>
        <w:rPr>
          <w:color w:val="231F20"/>
          <w:sz w:val="20"/>
        </w:rPr>
        <w:t>четкого</w:t>
      </w:r>
      <w:r>
        <w:rPr>
          <w:color w:val="231F20"/>
          <w:spacing w:val="-8"/>
          <w:sz w:val="20"/>
        </w:rPr>
        <w:t> </w:t>
      </w:r>
      <w:r>
        <w:rPr>
          <w:color w:val="231F20"/>
          <w:sz w:val="20"/>
        </w:rPr>
        <w:t>представления</w:t>
      </w:r>
      <w:r>
        <w:rPr>
          <w:color w:val="231F20"/>
          <w:spacing w:val="-8"/>
          <w:sz w:val="20"/>
        </w:rPr>
        <w:t> </w:t>
      </w:r>
      <w:r>
        <w:rPr>
          <w:color w:val="231F20"/>
          <w:sz w:val="20"/>
        </w:rPr>
        <w:t>о</w:t>
      </w:r>
      <w:r>
        <w:rPr>
          <w:color w:val="231F20"/>
          <w:spacing w:val="-8"/>
          <w:sz w:val="20"/>
        </w:rPr>
        <w:t> </w:t>
      </w:r>
      <w:r>
        <w:rPr>
          <w:color w:val="231F20"/>
          <w:sz w:val="20"/>
        </w:rPr>
        <w:t>требуемых</w:t>
      </w:r>
      <w:r>
        <w:rPr>
          <w:color w:val="231F20"/>
          <w:spacing w:val="-8"/>
          <w:sz w:val="20"/>
        </w:rPr>
        <w:t> </w:t>
      </w:r>
      <w:r>
        <w:rPr>
          <w:color w:val="231F20"/>
          <w:sz w:val="20"/>
        </w:rPr>
        <w:t>ребенку</w:t>
      </w:r>
      <w:r>
        <w:rPr>
          <w:color w:val="231F20"/>
          <w:spacing w:val="-8"/>
          <w:sz w:val="20"/>
        </w:rPr>
        <w:t> </w:t>
      </w:r>
      <w:r>
        <w:rPr>
          <w:color w:val="231F20"/>
          <w:spacing w:val="-2"/>
          <w:sz w:val="20"/>
        </w:rPr>
        <w:t>навыках,</w:t>
      </w:r>
    </w:p>
    <w:p>
      <w:pPr>
        <w:pStyle w:val="ListParagraph"/>
        <w:numPr>
          <w:ilvl w:val="0"/>
          <w:numId w:val="55"/>
        </w:numPr>
        <w:tabs>
          <w:tab w:pos="424" w:val="left" w:leader="none"/>
        </w:tabs>
        <w:spacing w:line="228" w:lineRule="exact" w:before="0" w:after="0"/>
        <w:ind w:left="424" w:right="0" w:hanging="283"/>
        <w:jc w:val="left"/>
        <w:rPr>
          <w:sz w:val="20"/>
        </w:rPr>
      </w:pPr>
      <w:r>
        <w:rPr>
          <w:color w:val="231F20"/>
          <w:sz w:val="20"/>
        </w:rPr>
        <w:t>подбор</w:t>
      </w:r>
      <w:r>
        <w:rPr>
          <w:color w:val="231F20"/>
          <w:spacing w:val="-7"/>
          <w:sz w:val="20"/>
        </w:rPr>
        <w:t> </w:t>
      </w:r>
      <w:r>
        <w:rPr>
          <w:color w:val="231F20"/>
          <w:sz w:val="20"/>
        </w:rPr>
        <w:t>или</w:t>
      </w:r>
      <w:r>
        <w:rPr>
          <w:color w:val="231F20"/>
          <w:spacing w:val="-4"/>
          <w:sz w:val="20"/>
        </w:rPr>
        <w:t> </w:t>
      </w:r>
      <w:r>
        <w:rPr>
          <w:color w:val="231F20"/>
          <w:sz w:val="20"/>
        </w:rPr>
        <w:t>разработка</w:t>
      </w:r>
      <w:r>
        <w:rPr>
          <w:color w:val="231F20"/>
          <w:spacing w:val="-4"/>
          <w:sz w:val="20"/>
        </w:rPr>
        <w:t> </w:t>
      </w:r>
      <w:r>
        <w:rPr>
          <w:color w:val="231F20"/>
          <w:sz w:val="20"/>
        </w:rPr>
        <w:t>соответствующих</w:t>
      </w:r>
      <w:r>
        <w:rPr>
          <w:color w:val="231F20"/>
          <w:spacing w:val="-5"/>
          <w:sz w:val="20"/>
        </w:rPr>
        <w:t> </w:t>
      </w:r>
      <w:r>
        <w:rPr>
          <w:color w:val="231F20"/>
          <w:sz w:val="20"/>
        </w:rPr>
        <w:t>игр</w:t>
      </w:r>
      <w:r>
        <w:rPr>
          <w:color w:val="231F20"/>
          <w:spacing w:val="-4"/>
          <w:sz w:val="20"/>
        </w:rPr>
        <w:t> </w:t>
      </w:r>
      <w:r>
        <w:rPr>
          <w:color w:val="231F20"/>
          <w:sz w:val="20"/>
        </w:rPr>
        <w:t>и</w:t>
      </w:r>
      <w:r>
        <w:rPr>
          <w:color w:val="231F20"/>
          <w:spacing w:val="-4"/>
          <w:sz w:val="20"/>
        </w:rPr>
        <w:t> </w:t>
      </w:r>
      <w:r>
        <w:rPr>
          <w:color w:val="231F20"/>
          <w:sz w:val="20"/>
        </w:rPr>
        <w:t>игровых</w:t>
      </w:r>
      <w:r>
        <w:rPr>
          <w:color w:val="231F20"/>
          <w:spacing w:val="-4"/>
          <w:sz w:val="20"/>
        </w:rPr>
        <w:t> </w:t>
      </w:r>
      <w:r>
        <w:rPr>
          <w:color w:val="231F20"/>
          <w:spacing w:val="-2"/>
          <w:sz w:val="20"/>
        </w:rPr>
        <w:t>задач,</w:t>
      </w:r>
    </w:p>
    <w:p>
      <w:pPr>
        <w:pStyle w:val="ListParagraph"/>
        <w:numPr>
          <w:ilvl w:val="0"/>
          <w:numId w:val="55"/>
        </w:numPr>
        <w:tabs>
          <w:tab w:pos="424" w:val="left" w:leader="none"/>
        </w:tabs>
        <w:spacing w:line="228" w:lineRule="exact" w:before="0" w:after="0"/>
        <w:ind w:left="424" w:right="0" w:hanging="283"/>
        <w:jc w:val="left"/>
        <w:rPr>
          <w:sz w:val="20"/>
        </w:rPr>
      </w:pPr>
      <w:r>
        <w:rPr>
          <w:color w:val="231F20"/>
          <w:sz w:val="20"/>
        </w:rPr>
        <w:t>проведение</w:t>
      </w:r>
      <w:r>
        <w:rPr>
          <w:color w:val="231F20"/>
          <w:spacing w:val="-7"/>
          <w:sz w:val="20"/>
        </w:rPr>
        <w:t> </w:t>
      </w:r>
      <w:r>
        <w:rPr>
          <w:color w:val="231F20"/>
          <w:sz w:val="20"/>
        </w:rPr>
        <w:t>с</w:t>
      </w:r>
      <w:r>
        <w:rPr>
          <w:color w:val="231F20"/>
          <w:spacing w:val="-4"/>
          <w:sz w:val="20"/>
        </w:rPr>
        <w:t> </w:t>
      </w:r>
      <w:r>
        <w:rPr>
          <w:color w:val="231F20"/>
          <w:sz w:val="20"/>
        </w:rPr>
        <w:t>ребенком</w:t>
      </w:r>
      <w:r>
        <w:rPr>
          <w:color w:val="231F20"/>
          <w:spacing w:val="-4"/>
          <w:sz w:val="20"/>
        </w:rPr>
        <w:t> </w:t>
      </w:r>
      <w:r>
        <w:rPr>
          <w:color w:val="231F20"/>
          <w:sz w:val="20"/>
        </w:rPr>
        <w:t>игр</w:t>
      </w:r>
      <w:r>
        <w:rPr>
          <w:color w:val="231F20"/>
          <w:spacing w:val="-4"/>
          <w:sz w:val="20"/>
        </w:rPr>
        <w:t> </w:t>
      </w:r>
      <w:r>
        <w:rPr>
          <w:color w:val="231F20"/>
          <w:sz w:val="20"/>
        </w:rPr>
        <w:t>и</w:t>
      </w:r>
      <w:r>
        <w:rPr>
          <w:color w:val="231F20"/>
          <w:spacing w:val="-5"/>
          <w:sz w:val="20"/>
        </w:rPr>
        <w:t> </w:t>
      </w:r>
      <w:r>
        <w:rPr>
          <w:color w:val="231F20"/>
          <w:sz w:val="20"/>
        </w:rPr>
        <w:t>выполнение</w:t>
      </w:r>
      <w:r>
        <w:rPr>
          <w:color w:val="231F20"/>
          <w:spacing w:val="-4"/>
          <w:sz w:val="20"/>
        </w:rPr>
        <w:t> </w:t>
      </w:r>
      <w:r>
        <w:rPr>
          <w:color w:val="231F20"/>
          <w:sz w:val="20"/>
        </w:rPr>
        <w:t>игровых</w:t>
      </w:r>
      <w:r>
        <w:rPr>
          <w:color w:val="231F20"/>
          <w:spacing w:val="-4"/>
          <w:sz w:val="20"/>
        </w:rPr>
        <w:t> </w:t>
      </w:r>
      <w:r>
        <w:rPr>
          <w:color w:val="231F20"/>
          <w:spacing w:val="-2"/>
          <w:sz w:val="20"/>
        </w:rPr>
        <w:t>задач,</w:t>
      </w:r>
    </w:p>
    <w:p>
      <w:pPr>
        <w:pStyle w:val="ListParagraph"/>
        <w:numPr>
          <w:ilvl w:val="0"/>
          <w:numId w:val="55"/>
        </w:numPr>
        <w:tabs>
          <w:tab w:pos="424" w:val="left" w:leader="none"/>
        </w:tabs>
        <w:spacing w:line="228" w:lineRule="exact" w:before="0" w:after="0"/>
        <w:ind w:left="424" w:right="0" w:hanging="283"/>
        <w:jc w:val="left"/>
        <w:rPr>
          <w:sz w:val="20"/>
        </w:rPr>
      </w:pPr>
      <w:r>
        <w:rPr>
          <w:color w:val="231F20"/>
          <w:sz w:val="20"/>
        </w:rPr>
        <w:t>обеспечение</w:t>
      </w:r>
      <w:r>
        <w:rPr>
          <w:color w:val="231F20"/>
          <w:spacing w:val="-7"/>
          <w:sz w:val="20"/>
        </w:rPr>
        <w:t> </w:t>
      </w:r>
      <w:r>
        <w:rPr>
          <w:color w:val="231F20"/>
          <w:sz w:val="20"/>
        </w:rPr>
        <w:t>условий</w:t>
      </w:r>
      <w:r>
        <w:rPr>
          <w:color w:val="231F20"/>
          <w:spacing w:val="-6"/>
          <w:sz w:val="20"/>
        </w:rPr>
        <w:t> </w:t>
      </w:r>
      <w:r>
        <w:rPr>
          <w:color w:val="231F20"/>
          <w:sz w:val="20"/>
        </w:rPr>
        <w:t>для</w:t>
      </w:r>
      <w:r>
        <w:rPr>
          <w:color w:val="231F20"/>
          <w:spacing w:val="-4"/>
          <w:sz w:val="20"/>
        </w:rPr>
        <w:t> </w:t>
      </w:r>
      <w:r>
        <w:rPr>
          <w:color w:val="231F20"/>
          <w:sz w:val="20"/>
        </w:rPr>
        <w:t>реализации</w:t>
      </w:r>
      <w:r>
        <w:rPr>
          <w:color w:val="231F20"/>
          <w:spacing w:val="-6"/>
          <w:sz w:val="20"/>
        </w:rPr>
        <w:t> </w:t>
      </w:r>
      <w:r>
        <w:rPr>
          <w:color w:val="231F20"/>
          <w:sz w:val="20"/>
        </w:rPr>
        <w:t>коррекционных</w:t>
      </w:r>
      <w:r>
        <w:rPr>
          <w:color w:val="231F20"/>
          <w:spacing w:val="-4"/>
          <w:sz w:val="20"/>
        </w:rPr>
        <w:t> </w:t>
      </w:r>
      <w:r>
        <w:rPr>
          <w:color w:val="231F20"/>
          <w:spacing w:val="-2"/>
          <w:sz w:val="20"/>
        </w:rPr>
        <w:t>мероприятий.</w:t>
      </w:r>
    </w:p>
    <w:p>
      <w:pPr>
        <w:spacing w:before="0"/>
        <w:ind w:left="141" w:right="0" w:firstLine="283"/>
        <w:jc w:val="left"/>
        <w:rPr>
          <w:sz w:val="20"/>
        </w:rPr>
      </w:pPr>
      <w:r>
        <w:rPr>
          <w:color w:val="231F20"/>
          <w:sz w:val="20"/>
        </w:rPr>
        <w:t>А.А.</w:t>
      </w:r>
      <w:r>
        <w:rPr>
          <w:color w:val="231F20"/>
          <w:spacing w:val="-7"/>
          <w:sz w:val="20"/>
        </w:rPr>
        <w:t> </w:t>
      </w:r>
      <w:r>
        <w:rPr>
          <w:color w:val="231F20"/>
          <w:sz w:val="20"/>
        </w:rPr>
        <w:t>Романов (Романов, 1998) выделяет следующие </w:t>
      </w:r>
      <w:r>
        <w:rPr>
          <w:i/>
          <w:color w:val="231F20"/>
          <w:sz w:val="20"/>
        </w:rPr>
        <w:t>структурные элементы </w:t>
      </w:r>
      <w:r>
        <w:rPr>
          <w:color w:val="231F20"/>
          <w:sz w:val="20"/>
        </w:rPr>
        <w:t>ди- рективной игровой терапии:</w:t>
      </w:r>
    </w:p>
    <w:p>
      <w:pPr>
        <w:pStyle w:val="ListParagraph"/>
        <w:numPr>
          <w:ilvl w:val="0"/>
          <w:numId w:val="55"/>
        </w:numPr>
        <w:tabs>
          <w:tab w:pos="424" w:val="left" w:leader="none"/>
        </w:tabs>
        <w:spacing w:line="225" w:lineRule="exact" w:before="0" w:after="0"/>
        <w:ind w:left="424" w:right="0" w:hanging="283"/>
        <w:jc w:val="left"/>
        <w:rPr>
          <w:sz w:val="20"/>
        </w:rPr>
      </w:pPr>
      <w:r>
        <w:rPr>
          <w:color w:val="231F20"/>
          <w:sz w:val="20"/>
        </w:rPr>
        <w:t>игровые</w:t>
      </w:r>
      <w:r>
        <w:rPr>
          <w:color w:val="231F20"/>
          <w:spacing w:val="-5"/>
          <w:sz w:val="20"/>
        </w:rPr>
        <w:t> </w:t>
      </w:r>
      <w:r>
        <w:rPr>
          <w:color w:val="231F20"/>
          <w:sz w:val="20"/>
        </w:rPr>
        <w:t>цели</w:t>
      </w:r>
      <w:r>
        <w:rPr>
          <w:color w:val="231F20"/>
          <w:spacing w:val="-4"/>
          <w:sz w:val="20"/>
        </w:rPr>
        <w:t> </w:t>
      </w:r>
      <w:r>
        <w:rPr>
          <w:color w:val="231F20"/>
          <w:sz w:val="20"/>
        </w:rPr>
        <w:t>взрослого</w:t>
      </w:r>
      <w:r>
        <w:rPr>
          <w:color w:val="231F20"/>
          <w:spacing w:val="-4"/>
          <w:sz w:val="20"/>
        </w:rPr>
        <w:t> </w:t>
      </w:r>
      <w:r>
        <w:rPr>
          <w:color w:val="231F20"/>
          <w:sz w:val="20"/>
        </w:rPr>
        <w:t>(что</w:t>
      </w:r>
      <w:r>
        <w:rPr>
          <w:color w:val="231F20"/>
          <w:spacing w:val="-4"/>
          <w:sz w:val="20"/>
        </w:rPr>
        <w:t> </w:t>
      </w:r>
      <w:r>
        <w:rPr>
          <w:color w:val="231F20"/>
          <w:sz w:val="20"/>
        </w:rPr>
        <w:t>я</w:t>
      </w:r>
      <w:r>
        <w:rPr>
          <w:color w:val="231F20"/>
          <w:spacing w:val="-4"/>
          <w:sz w:val="20"/>
        </w:rPr>
        <w:t> </w:t>
      </w:r>
      <w:r>
        <w:rPr>
          <w:color w:val="231F20"/>
          <w:sz w:val="20"/>
        </w:rPr>
        <w:t>хочу</w:t>
      </w:r>
      <w:r>
        <w:rPr>
          <w:color w:val="231F20"/>
          <w:spacing w:val="-4"/>
          <w:sz w:val="20"/>
        </w:rPr>
        <w:t> </w:t>
      </w:r>
      <w:r>
        <w:rPr>
          <w:color w:val="231F20"/>
          <w:spacing w:val="-2"/>
          <w:sz w:val="20"/>
        </w:rPr>
        <w:t>получить?);</w:t>
      </w:r>
    </w:p>
    <w:p>
      <w:pPr>
        <w:pStyle w:val="ListParagraph"/>
        <w:numPr>
          <w:ilvl w:val="0"/>
          <w:numId w:val="55"/>
        </w:numPr>
        <w:tabs>
          <w:tab w:pos="424" w:val="left" w:leader="none"/>
        </w:tabs>
        <w:spacing w:line="228" w:lineRule="exact" w:before="0" w:after="0"/>
        <w:ind w:left="424" w:right="0" w:hanging="283"/>
        <w:jc w:val="left"/>
        <w:rPr>
          <w:sz w:val="20"/>
        </w:rPr>
      </w:pPr>
      <w:r>
        <w:rPr>
          <w:color w:val="231F20"/>
          <w:sz w:val="20"/>
        </w:rPr>
        <w:t>игровые</w:t>
      </w:r>
      <w:r>
        <w:rPr>
          <w:color w:val="231F20"/>
          <w:spacing w:val="-2"/>
          <w:sz w:val="20"/>
        </w:rPr>
        <w:t> </w:t>
      </w:r>
      <w:r>
        <w:rPr>
          <w:color w:val="231F20"/>
          <w:sz w:val="20"/>
        </w:rPr>
        <w:t>действия</w:t>
      </w:r>
      <w:r>
        <w:rPr>
          <w:color w:val="231F20"/>
          <w:spacing w:val="1"/>
          <w:sz w:val="20"/>
        </w:rPr>
        <w:t> </w:t>
      </w:r>
      <w:r>
        <w:rPr>
          <w:color w:val="231F20"/>
          <w:sz w:val="20"/>
        </w:rPr>
        <w:t>(что</w:t>
      </w:r>
      <w:r>
        <w:rPr>
          <w:color w:val="231F20"/>
          <w:spacing w:val="1"/>
          <w:sz w:val="20"/>
        </w:rPr>
        <w:t> </w:t>
      </w:r>
      <w:r>
        <w:rPr>
          <w:color w:val="231F20"/>
          <w:sz w:val="20"/>
        </w:rPr>
        <w:t>делается</w:t>
      </w:r>
      <w:r>
        <w:rPr>
          <w:color w:val="231F20"/>
          <w:spacing w:val="1"/>
          <w:sz w:val="20"/>
        </w:rPr>
        <w:t> </w:t>
      </w:r>
      <w:r>
        <w:rPr>
          <w:color w:val="231F20"/>
          <w:sz w:val="20"/>
        </w:rPr>
        <w:t>в процессе</w:t>
      </w:r>
      <w:r>
        <w:rPr>
          <w:color w:val="231F20"/>
          <w:spacing w:val="1"/>
          <w:sz w:val="20"/>
        </w:rPr>
        <w:t> </w:t>
      </w:r>
      <w:r>
        <w:rPr>
          <w:color w:val="231F20"/>
          <w:spacing w:val="-2"/>
          <w:sz w:val="20"/>
        </w:rPr>
        <w:t>игры);</w:t>
      </w:r>
    </w:p>
    <w:p>
      <w:pPr>
        <w:pStyle w:val="ListParagraph"/>
        <w:numPr>
          <w:ilvl w:val="0"/>
          <w:numId w:val="55"/>
        </w:numPr>
        <w:tabs>
          <w:tab w:pos="424" w:val="left" w:leader="none"/>
        </w:tabs>
        <w:spacing w:line="228" w:lineRule="exact" w:before="0" w:after="0"/>
        <w:ind w:left="424" w:right="0" w:hanging="283"/>
        <w:jc w:val="left"/>
        <w:rPr>
          <w:sz w:val="20"/>
        </w:rPr>
      </w:pPr>
      <w:r>
        <w:rPr>
          <w:color w:val="231F20"/>
          <w:sz w:val="20"/>
        </w:rPr>
        <w:t>правила </w:t>
      </w:r>
      <w:r>
        <w:rPr>
          <w:color w:val="231F20"/>
          <w:spacing w:val="-2"/>
          <w:sz w:val="20"/>
        </w:rPr>
        <w:t>игры.</w:t>
      </w:r>
    </w:p>
    <w:p>
      <w:pPr>
        <w:pStyle w:val="BodyText"/>
      </w:pPr>
      <w:r>
        <w:rPr>
          <w:color w:val="231F20"/>
        </w:rPr>
        <w:t>Директивная</w:t>
      </w:r>
      <w:r>
        <w:rPr>
          <w:color w:val="231F20"/>
          <w:spacing w:val="-13"/>
        </w:rPr>
        <w:t> </w:t>
      </w:r>
      <w:r>
        <w:rPr>
          <w:color w:val="231F20"/>
        </w:rPr>
        <w:t>игровая</w:t>
      </w:r>
      <w:r>
        <w:rPr>
          <w:color w:val="231F20"/>
          <w:spacing w:val="-12"/>
        </w:rPr>
        <w:t> </w:t>
      </w:r>
      <w:r>
        <w:rPr>
          <w:color w:val="231F20"/>
        </w:rPr>
        <w:t>терапия</w:t>
      </w:r>
      <w:r>
        <w:rPr>
          <w:color w:val="231F20"/>
          <w:spacing w:val="-13"/>
        </w:rPr>
        <w:t> </w:t>
      </w:r>
      <w:r>
        <w:rPr>
          <w:color w:val="231F20"/>
        </w:rPr>
        <w:t>может</w:t>
      </w:r>
      <w:r>
        <w:rPr>
          <w:color w:val="231F20"/>
          <w:spacing w:val="-12"/>
        </w:rPr>
        <w:t> </w:t>
      </w:r>
      <w:r>
        <w:rPr>
          <w:color w:val="231F20"/>
        </w:rPr>
        <w:t>проводиться</w:t>
      </w:r>
      <w:r>
        <w:rPr>
          <w:color w:val="231F20"/>
          <w:spacing w:val="-13"/>
        </w:rPr>
        <w:t> </w:t>
      </w:r>
      <w:r>
        <w:rPr>
          <w:color w:val="231F20"/>
        </w:rPr>
        <w:t>и</w:t>
      </w:r>
      <w:r>
        <w:rPr>
          <w:color w:val="231F20"/>
          <w:spacing w:val="-12"/>
        </w:rPr>
        <w:t> </w:t>
      </w:r>
      <w:r>
        <w:rPr>
          <w:color w:val="231F20"/>
        </w:rPr>
        <w:t>в</w:t>
      </w:r>
      <w:r>
        <w:rPr>
          <w:color w:val="231F20"/>
          <w:spacing w:val="-13"/>
        </w:rPr>
        <w:t> </w:t>
      </w:r>
      <w:r>
        <w:rPr>
          <w:color w:val="231F20"/>
        </w:rPr>
        <w:t>индивидуальной,</w:t>
      </w:r>
      <w:r>
        <w:rPr>
          <w:color w:val="231F20"/>
          <w:spacing w:val="-12"/>
        </w:rPr>
        <w:t> </w:t>
      </w:r>
      <w:r>
        <w:rPr>
          <w:color w:val="231F20"/>
        </w:rPr>
        <w:t>и</w:t>
      </w:r>
      <w:r>
        <w:rPr>
          <w:color w:val="231F20"/>
          <w:spacing w:val="-13"/>
        </w:rPr>
        <w:t> </w:t>
      </w:r>
      <w:r>
        <w:rPr>
          <w:color w:val="231F20"/>
        </w:rPr>
        <w:t>в</w:t>
      </w:r>
      <w:r>
        <w:rPr>
          <w:color w:val="231F20"/>
          <w:spacing w:val="-12"/>
        </w:rPr>
        <w:t> </w:t>
      </w:r>
      <w:r>
        <w:rPr>
          <w:color w:val="231F20"/>
        </w:rPr>
        <w:t>группо- вой</w:t>
      </w:r>
      <w:r>
        <w:rPr>
          <w:color w:val="231F20"/>
          <w:spacing w:val="-5"/>
        </w:rPr>
        <w:t> </w:t>
      </w:r>
      <w:r>
        <w:rPr>
          <w:color w:val="231F20"/>
        </w:rPr>
        <w:t>форме.</w:t>
      </w:r>
      <w:r>
        <w:rPr>
          <w:color w:val="231F20"/>
          <w:spacing w:val="-5"/>
        </w:rPr>
        <w:t> </w:t>
      </w:r>
      <w:r>
        <w:rPr>
          <w:color w:val="231F20"/>
        </w:rPr>
        <w:t>В</w:t>
      </w:r>
      <w:r>
        <w:rPr>
          <w:color w:val="231F20"/>
          <w:spacing w:val="-5"/>
        </w:rPr>
        <w:t> </w:t>
      </w:r>
      <w:r>
        <w:rPr>
          <w:color w:val="231F20"/>
        </w:rPr>
        <w:t>директивной</w:t>
      </w:r>
      <w:r>
        <w:rPr>
          <w:color w:val="231F20"/>
          <w:spacing w:val="-5"/>
        </w:rPr>
        <w:t> </w:t>
      </w:r>
      <w:r>
        <w:rPr>
          <w:color w:val="231F20"/>
        </w:rPr>
        <w:t>игровой</w:t>
      </w:r>
      <w:r>
        <w:rPr>
          <w:color w:val="231F20"/>
          <w:spacing w:val="-5"/>
        </w:rPr>
        <w:t> </w:t>
      </w:r>
      <w:r>
        <w:rPr>
          <w:color w:val="231F20"/>
        </w:rPr>
        <w:t>терапии</w:t>
      </w:r>
      <w:r>
        <w:rPr>
          <w:color w:val="231F20"/>
          <w:spacing w:val="-5"/>
        </w:rPr>
        <w:t> </w:t>
      </w:r>
      <w:r>
        <w:rPr>
          <w:color w:val="231F20"/>
        </w:rPr>
        <w:t>используются</w:t>
      </w:r>
      <w:r>
        <w:rPr>
          <w:color w:val="231F20"/>
          <w:spacing w:val="-5"/>
        </w:rPr>
        <w:t> </w:t>
      </w:r>
      <w:r>
        <w:rPr>
          <w:color w:val="231F20"/>
        </w:rPr>
        <w:t>как</w:t>
      </w:r>
      <w:r>
        <w:rPr>
          <w:color w:val="231F20"/>
          <w:spacing w:val="-5"/>
        </w:rPr>
        <w:t> </w:t>
      </w:r>
      <w:r>
        <w:rPr>
          <w:color w:val="231F20"/>
        </w:rPr>
        <w:t>игры</w:t>
      </w:r>
      <w:r>
        <w:rPr>
          <w:color w:val="231F20"/>
          <w:spacing w:val="-5"/>
        </w:rPr>
        <w:t> </w:t>
      </w:r>
      <w:r>
        <w:rPr>
          <w:color w:val="231F20"/>
        </w:rPr>
        <w:t>с</w:t>
      </w:r>
      <w:r>
        <w:rPr>
          <w:color w:val="231F20"/>
          <w:spacing w:val="-5"/>
        </w:rPr>
        <w:t> </w:t>
      </w:r>
      <w:r>
        <w:rPr>
          <w:color w:val="231F20"/>
        </w:rPr>
        <w:t>правилами,</w:t>
      </w:r>
      <w:r>
        <w:rPr>
          <w:color w:val="231F20"/>
          <w:spacing w:val="-5"/>
        </w:rPr>
        <w:t> </w:t>
      </w:r>
      <w:r>
        <w:rPr>
          <w:color w:val="231F20"/>
        </w:rPr>
        <w:t>так и</w:t>
      </w:r>
      <w:r>
        <w:rPr>
          <w:color w:val="231F20"/>
          <w:spacing w:val="-8"/>
        </w:rPr>
        <w:t> </w:t>
      </w:r>
      <w:r>
        <w:rPr>
          <w:color w:val="231F20"/>
        </w:rPr>
        <w:t>ролевые</w:t>
      </w:r>
      <w:r>
        <w:rPr>
          <w:color w:val="231F20"/>
          <w:spacing w:val="-8"/>
        </w:rPr>
        <w:t> </w:t>
      </w:r>
      <w:r>
        <w:rPr>
          <w:color w:val="231F20"/>
        </w:rPr>
        <w:t>игры.</w:t>
      </w:r>
      <w:r>
        <w:rPr>
          <w:color w:val="231F20"/>
          <w:spacing w:val="-8"/>
        </w:rPr>
        <w:t> </w:t>
      </w:r>
      <w:r>
        <w:rPr>
          <w:color w:val="231F20"/>
        </w:rPr>
        <w:t>В</w:t>
      </w:r>
      <w:r>
        <w:rPr>
          <w:color w:val="231F20"/>
          <w:spacing w:val="-8"/>
        </w:rPr>
        <w:t> </w:t>
      </w:r>
      <w:r>
        <w:rPr>
          <w:color w:val="231F20"/>
        </w:rPr>
        <w:t>большинстве</w:t>
      </w:r>
      <w:r>
        <w:rPr>
          <w:color w:val="231F20"/>
          <w:spacing w:val="-8"/>
        </w:rPr>
        <w:t> </w:t>
      </w:r>
      <w:r>
        <w:rPr>
          <w:color w:val="231F20"/>
        </w:rPr>
        <w:t>случаев</w:t>
      </w:r>
      <w:r>
        <w:rPr>
          <w:color w:val="231F20"/>
          <w:spacing w:val="-8"/>
        </w:rPr>
        <w:t> </w:t>
      </w:r>
      <w:r>
        <w:rPr>
          <w:color w:val="231F20"/>
        </w:rPr>
        <w:t>такие</w:t>
      </w:r>
      <w:r>
        <w:rPr>
          <w:color w:val="231F20"/>
          <w:spacing w:val="-8"/>
        </w:rPr>
        <w:t> </w:t>
      </w:r>
      <w:r>
        <w:rPr>
          <w:color w:val="231F20"/>
        </w:rPr>
        <w:t>игры</w:t>
      </w:r>
      <w:r>
        <w:rPr>
          <w:color w:val="231F20"/>
          <w:spacing w:val="-8"/>
        </w:rPr>
        <w:t> </w:t>
      </w:r>
      <w:r>
        <w:rPr>
          <w:color w:val="231F20"/>
        </w:rPr>
        <w:t>могут</w:t>
      </w:r>
      <w:r>
        <w:rPr>
          <w:color w:val="231F20"/>
          <w:spacing w:val="-8"/>
        </w:rPr>
        <w:t> </w:t>
      </w:r>
      <w:r>
        <w:rPr>
          <w:color w:val="231F20"/>
        </w:rPr>
        <w:t>проводиться</w:t>
      </w:r>
      <w:r>
        <w:rPr>
          <w:color w:val="231F20"/>
          <w:spacing w:val="-8"/>
        </w:rPr>
        <w:t> </w:t>
      </w:r>
      <w:r>
        <w:rPr>
          <w:color w:val="231F20"/>
        </w:rPr>
        <w:t>многократно, до тех пор пока они для ребенка сложны и вызывают у него интерес. Психолог пре- кращает проводить игру, когда ребенок утрачивает к ней интерес и/ или когда игра становится для него слишком легкой.</w:t>
      </w:r>
    </w:p>
    <w:p>
      <w:pPr>
        <w:pStyle w:val="BodyText"/>
        <w:spacing w:line="237" w:lineRule="auto"/>
      </w:pPr>
      <w:r>
        <w:rPr>
          <w:color w:val="231F20"/>
        </w:rPr>
        <w:t>Л.С.</w:t>
      </w:r>
      <w:r>
        <w:rPr>
          <w:color w:val="231F20"/>
          <w:spacing w:val="-4"/>
        </w:rPr>
        <w:t> </w:t>
      </w:r>
      <w:r>
        <w:rPr>
          <w:color w:val="231F20"/>
        </w:rPr>
        <w:t>Выготский писал: «В игре ребенок всегда выше своего среднего возраста, выше своего обычного повседневного поведения; он в игре как бы на голову выше самого себя. Игра в конденсированном виде содержит в себе, как в фокусе увеличи- тельного стекла, все тенденции развития; ребенок в игре как бы пытается сделать прыжок над уровнем своего обычного поведения» (Выготский, 1966).</w:t>
      </w:r>
    </w:p>
    <w:p>
      <w:pPr>
        <w:pStyle w:val="BodyText"/>
      </w:pPr>
      <w:r>
        <w:rPr/>
        <w:t>Директивная игровая терапия позволяет успешно решать задачи знакомства с культурно релевантными навыками поведения в классе и их освоения.</w:t>
      </w:r>
    </w:p>
    <w:p>
      <w:pPr>
        <w:pStyle w:val="BodyText"/>
      </w:pPr>
      <w:r>
        <w:rPr>
          <w:color w:val="231F20"/>
        </w:rPr>
        <w:t>В</w:t>
      </w:r>
      <w:r>
        <w:rPr>
          <w:color w:val="231F20"/>
          <w:spacing w:val="-10"/>
        </w:rPr>
        <w:t> </w:t>
      </w:r>
      <w:r>
        <w:rPr>
          <w:color w:val="231F20"/>
        </w:rPr>
        <w:t>рамках</w:t>
      </w:r>
      <w:r>
        <w:rPr>
          <w:color w:val="231F20"/>
          <w:spacing w:val="-10"/>
        </w:rPr>
        <w:t> </w:t>
      </w:r>
      <w:r>
        <w:rPr>
          <w:color w:val="231F20"/>
        </w:rPr>
        <w:t>работы</w:t>
      </w:r>
      <w:r>
        <w:rPr>
          <w:color w:val="231F20"/>
          <w:spacing w:val="-10"/>
        </w:rPr>
        <w:t> </w:t>
      </w:r>
      <w:r>
        <w:rPr>
          <w:color w:val="231F20"/>
        </w:rPr>
        <w:t>с</w:t>
      </w:r>
      <w:r>
        <w:rPr>
          <w:color w:val="231F20"/>
          <w:spacing w:val="-10"/>
        </w:rPr>
        <w:t> </w:t>
      </w:r>
      <w:r>
        <w:rPr>
          <w:color w:val="231F20"/>
        </w:rPr>
        <w:t>детьми-мигрантами</w:t>
      </w:r>
      <w:r>
        <w:rPr>
          <w:color w:val="231F20"/>
          <w:spacing w:val="-10"/>
        </w:rPr>
        <w:t> </w:t>
      </w:r>
      <w:r>
        <w:rPr>
          <w:color w:val="231F20"/>
        </w:rPr>
        <w:t>директивная</w:t>
      </w:r>
      <w:r>
        <w:rPr>
          <w:color w:val="231F20"/>
          <w:spacing w:val="-10"/>
        </w:rPr>
        <w:t> </w:t>
      </w:r>
      <w:r>
        <w:rPr>
          <w:color w:val="231F20"/>
        </w:rPr>
        <w:t>игровая</w:t>
      </w:r>
      <w:r>
        <w:rPr>
          <w:color w:val="231F20"/>
          <w:spacing w:val="-10"/>
        </w:rPr>
        <w:t> </w:t>
      </w:r>
      <w:r>
        <w:rPr>
          <w:color w:val="231F20"/>
        </w:rPr>
        <w:t>терапия</w:t>
      </w:r>
      <w:r>
        <w:rPr>
          <w:color w:val="231F20"/>
          <w:spacing w:val="-10"/>
        </w:rPr>
        <w:t> </w:t>
      </w:r>
      <w:r>
        <w:rPr>
          <w:color w:val="231F20"/>
        </w:rPr>
        <w:t>может</w:t>
      </w:r>
      <w:r>
        <w:rPr>
          <w:color w:val="231F20"/>
          <w:spacing w:val="-10"/>
        </w:rPr>
        <w:t> </w:t>
      </w:r>
      <w:r>
        <w:rPr>
          <w:color w:val="231F20"/>
        </w:rPr>
        <w:t>вклю- чать различные типы игр.</w:t>
      </w:r>
    </w:p>
    <w:p>
      <w:pPr>
        <w:pStyle w:val="ListParagraph"/>
        <w:numPr>
          <w:ilvl w:val="0"/>
          <w:numId w:val="56"/>
        </w:numPr>
        <w:tabs>
          <w:tab w:pos="425" w:val="left" w:leader="none"/>
        </w:tabs>
        <w:spacing w:line="240" w:lineRule="auto" w:before="0" w:after="0"/>
        <w:ind w:left="425" w:right="139" w:hanging="284"/>
        <w:jc w:val="both"/>
        <w:rPr>
          <w:sz w:val="20"/>
        </w:rPr>
      </w:pPr>
      <w:r>
        <w:rPr>
          <w:i/>
          <w:sz w:val="20"/>
        </w:rPr>
        <w:t>Ролевые игры. </w:t>
      </w:r>
      <w:r>
        <w:rPr>
          <w:sz w:val="20"/>
        </w:rPr>
        <w:t>Ролевая игра предполагает разыгрывание игровых сюжетов, кото- рые может предложить психолог или выработать совместно психолог и ребенок. В</w:t>
      </w:r>
      <w:r>
        <w:rPr>
          <w:spacing w:val="-9"/>
          <w:sz w:val="20"/>
        </w:rPr>
        <w:t> </w:t>
      </w:r>
      <w:r>
        <w:rPr>
          <w:sz w:val="20"/>
        </w:rPr>
        <w:t>ходе</w:t>
      </w:r>
      <w:r>
        <w:rPr>
          <w:spacing w:val="-9"/>
          <w:sz w:val="20"/>
        </w:rPr>
        <w:t> </w:t>
      </w:r>
      <w:r>
        <w:rPr>
          <w:sz w:val="20"/>
        </w:rPr>
        <w:t>ролевых</w:t>
      </w:r>
      <w:r>
        <w:rPr>
          <w:spacing w:val="-9"/>
          <w:sz w:val="20"/>
        </w:rPr>
        <w:t> </w:t>
      </w:r>
      <w:r>
        <w:rPr>
          <w:sz w:val="20"/>
        </w:rPr>
        <w:t>игр</w:t>
      </w:r>
      <w:r>
        <w:rPr>
          <w:spacing w:val="-9"/>
          <w:sz w:val="20"/>
        </w:rPr>
        <w:t> </w:t>
      </w:r>
      <w:r>
        <w:rPr>
          <w:sz w:val="20"/>
        </w:rPr>
        <w:t>ребенок</w:t>
      </w:r>
      <w:r>
        <w:rPr>
          <w:spacing w:val="-9"/>
          <w:sz w:val="20"/>
        </w:rPr>
        <w:t> </w:t>
      </w:r>
      <w:r>
        <w:rPr>
          <w:sz w:val="20"/>
        </w:rPr>
        <w:t>вместе</w:t>
      </w:r>
      <w:r>
        <w:rPr>
          <w:spacing w:val="-9"/>
          <w:sz w:val="20"/>
        </w:rPr>
        <w:t> </w:t>
      </w:r>
      <w:r>
        <w:rPr>
          <w:sz w:val="20"/>
        </w:rPr>
        <w:t>с</w:t>
      </w:r>
      <w:r>
        <w:rPr>
          <w:spacing w:val="-9"/>
          <w:sz w:val="20"/>
        </w:rPr>
        <w:t> </w:t>
      </w:r>
      <w:r>
        <w:rPr>
          <w:sz w:val="20"/>
        </w:rPr>
        <w:t>психологом</w:t>
      </w:r>
      <w:r>
        <w:rPr>
          <w:spacing w:val="-9"/>
          <w:sz w:val="20"/>
        </w:rPr>
        <w:t> </w:t>
      </w:r>
      <w:r>
        <w:rPr>
          <w:sz w:val="20"/>
        </w:rPr>
        <w:t>разыгрывает</w:t>
      </w:r>
      <w:r>
        <w:rPr>
          <w:spacing w:val="-9"/>
          <w:sz w:val="20"/>
        </w:rPr>
        <w:t> </w:t>
      </w:r>
      <w:r>
        <w:rPr>
          <w:sz w:val="20"/>
        </w:rPr>
        <w:t>сюжеты,</w:t>
      </w:r>
      <w:r>
        <w:rPr>
          <w:spacing w:val="-9"/>
          <w:sz w:val="20"/>
        </w:rPr>
        <w:t> </w:t>
      </w:r>
      <w:r>
        <w:rPr>
          <w:sz w:val="20"/>
        </w:rPr>
        <w:t>в</w:t>
      </w:r>
      <w:r>
        <w:rPr>
          <w:spacing w:val="-9"/>
          <w:sz w:val="20"/>
        </w:rPr>
        <w:t> </w:t>
      </w:r>
      <w:r>
        <w:rPr>
          <w:sz w:val="20"/>
        </w:rPr>
        <w:t>ходе</w:t>
      </w:r>
      <w:r>
        <w:rPr>
          <w:spacing w:val="-9"/>
          <w:sz w:val="20"/>
        </w:rPr>
        <w:t> </w:t>
      </w:r>
      <w:r>
        <w:rPr>
          <w:sz w:val="20"/>
        </w:rPr>
        <w:t>ко- торых он отыгрывает имеющиеся поведенческие модели и осваивает новые. При этом обозначаются только роли, а сюжет заранее не задается, персонажи ведут себя в соответствии с собственным пониманием ситуации.</w:t>
      </w:r>
    </w:p>
    <w:p>
      <w:pPr>
        <w:pStyle w:val="ListParagraph"/>
        <w:numPr>
          <w:ilvl w:val="0"/>
          <w:numId w:val="56"/>
        </w:numPr>
        <w:tabs>
          <w:tab w:pos="424" w:val="left" w:leader="none"/>
        </w:tabs>
        <w:spacing w:line="237" w:lineRule="auto" w:before="0" w:after="0"/>
        <w:ind w:left="141" w:right="139" w:firstLine="0"/>
        <w:jc w:val="right"/>
        <w:rPr>
          <w:color w:val="231F20"/>
          <w:sz w:val="20"/>
        </w:rPr>
      </w:pPr>
      <w:r>
        <w:rPr>
          <w:i/>
          <w:color w:val="231F20"/>
          <w:sz w:val="20"/>
        </w:rPr>
        <w:t>Игры</w:t>
      </w:r>
      <w:r>
        <w:rPr>
          <w:i/>
          <w:color w:val="231F20"/>
          <w:spacing w:val="-12"/>
          <w:sz w:val="20"/>
        </w:rPr>
        <w:t> </w:t>
      </w:r>
      <w:r>
        <w:rPr>
          <w:i/>
          <w:color w:val="231F20"/>
          <w:sz w:val="20"/>
        </w:rPr>
        <w:t>с</w:t>
      </w:r>
      <w:r>
        <w:rPr>
          <w:i/>
          <w:color w:val="231F20"/>
          <w:spacing w:val="-12"/>
          <w:sz w:val="20"/>
        </w:rPr>
        <w:t> </w:t>
      </w:r>
      <w:r>
        <w:rPr>
          <w:i/>
          <w:color w:val="231F20"/>
          <w:sz w:val="20"/>
        </w:rPr>
        <w:t>правилами.</w:t>
      </w:r>
      <w:r>
        <w:rPr>
          <w:i/>
          <w:color w:val="231F20"/>
          <w:spacing w:val="-12"/>
          <w:sz w:val="20"/>
        </w:rPr>
        <w:t> </w:t>
      </w:r>
      <w:r>
        <w:rPr>
          <w:color w:val="231F20"/>
          <w:sz w:val="20"/>
        </w:rPr>
        <w:t>Такие</w:t>
      </w:r>
      <w:r>
        <w:rPr>
          <w:color w:val="231F20"/>
          <w:spacing w:val="-12"/>
          <w:sz w:val="20"/>
        </w:rPr>
        <w:t> </w:t>
      </w:r>
      <w:r>
        <w:rPr>
          <w:color w:val="231F20"/>
          <w:sz w:val="20"/>
        </w:rPr>
        <w:t>игры</w:t>
      </w:r>
      <w:r>
        <w:rPr>
          <w:color w:val="231F20"/>
          <w:spacing w:val="-12"/>
          <w:sz w:val="20"/>
        </w:rPr>
        <w:t> </w:t>
      </w:r>
      <w:r>
        <w:rPr>
          <w:color w:val="231F20"/>
          <w:sz w:val="20"/>
        </w:rPr>
        <w:t>в</w:t>
      </w:r>
      <w:r>
        <w:rPr>
          <w:color w:val="231F20"/>
          <w:spacing w:val="-12"/>
          <w:sz w:val="20"/>
        </w:rPr>
        <w:t> </w:t>
      </w:r>
      <w:r>
        <w:rPr>
          <w:color w:val="231F20"/>
          <w:sz w:val="20"/>
        </w:rPr>
        <w:t>эмоционально</w:t>
      </w:r>
      <w:r>
        <w:rPr>
          <w:color w:val="231F20"/>
          <w:spacing w:val="-12"/>
          <w:sz w:val="20"/>
        </w:rPr>
        <w:t> </w:t>
      </w:r>
      <w:r>
        <w:rPr>
          <w:color w:val="231F20"/>
          <w:sz w:val="20"/>
        </w:rPr>
        <w:t>привлекательной</w:t>
      </w:r>
      <w:r>
        <w:rPr>
          <w:color w:val="231F20"/>
          <w:spacing w:val="-12"/>
          <w:sz w:val="20"/>
        </w:rPr>
        <w:t> </w:t>
      </w:r>
      <w:r>
        <w:rPr>
          <w:color w:val="231F20"/>
          <w:sz w:val="20"/>
        </w:rPr>
        <w:t>для</w:t>
      </w:r>
      <w:r>
        <w:rPr>
          <w:color w:val="231F20"/>
          <w:spacing w:val="-12"/>
          <w:sz w:val="20"/>
        </w:rPr>
        <w:t> </w:t>
      </w:r>
      <w:r>
        <w:rPr>
          <w:color w:val="231F20"/>
          <w:sz w:val="20"/>
        </w:rPr>
        <w:t>ребенка</w:t>
      </w:r>
      <w:r>
        <w:rPr>
          <w:color w:val="231F20"/>
          <w:spacing w:val="-12"/>
          <w:sz w:val="20"/>
        </w:rPr>
        <w:t> </w:t>
      </w:r>
      <w:r>
        <w:rPr>
          <w:color w:val="231F20"/>
          <w:sz w:val="20"/>
        </w:rPr>
        <w:t>фор- ме позволяют формировать психические функции, обеспечивающие успешность. Еще одним подходом, который можно использовать в работе с детьми-мигранта-</w:t>
      </w:r>
      <w:r>
        <w:rPr>
          <w:color w:val="231F20"/>
          <w:spacing w:val="40"/>
          <w:sz w:val="20"/>
        </w:rPr>
        <w:t> </w:t>
      </w:r>
      <w:r>
        <w:rPr>
          <w:color w:val="231F20"/>
          <w:sz w:val="20"/>
        </w:rPr>
        <w:t>ми,</w:t>
      </w:r>
      <w:r>
        <w:rPr>
          <w:color w:val="231F20"/>
          <w:spacing w:val="-1"/>
          <w:sz w:val="20"/>
        </w:rPr>
        <w:t> </w:t>
      </w:r>
      <w:r>
        <w:rPr>
          <w:color w:val="231F20"/>
          <w:sz w:val="20"/>
        </w:rPr>
        <w:t>является</w:t>
      </w:r>
      <w:r>
        <w:rPr>
          <w:color w:val="231F20"/>
          <w:spacing w:val="-1"/>
          <w:sz w:val="20"/>
        </w:rPr>
        <w:t> </w:t>
      </w:r>
      <w:r>
        <w:rPr>
          <w:color w:val="231F20"/>
          <w:sz w:val="20"/>
        </w:rPr>
        <w:t>арт-терапия.</w:t>
      </w:r>
      <w:r>
        <w:rPr>
          <w:color w:val="231F20"/>
          <w:spacing w:val="-1"/>
          <w:sz w:val="20"/>
        </w:rPr>
        <w:t> </w:t>
      </w:r>
      <w:r>
        <w:rPr>
          <w:color w:val="231F20"/>
          <w:sz w:val="20"/>
        </w:rPr>
        <w:t>Хотя</w:t>
      </w:r>
      <w:r>
        <w:rPr>
          <w:color w:val="231F20"/>
          <w:spacing w:val="-1"/>
          <w:sz w:val="20"/>
        </w:rPr>
        <w:t> </w:t>
      </w:r>
      <w:r>
        <w:rPr>
          <w:color w:val="231F20"/>
          <w:sz w:val="20"/>
        </w:rPr>
        <w:t>однозначного</w:t>
      </w:r>
      <w:r>
        <w:rPr>
          <w:color w:val="231F20"/>
          <w:spacing w:val="-1"/>
          <w:sz w:val="20"/>
        </w:rPr>
        <w:t> </w:t>
      </w:r>
      <w:r>
        <w:rPr>
          <w:color w:val="231F20"/>
          <w:sz w:val="20"/>
        </w:rPr>
        <w:t>вывода</w:t>
      </w:r>
      <w:r>
        <w:rPr>
          <w:color w:val="231F20"/>
          <w:spacing w:val="-1"/>
          <w:sz w:val="20"/>
        </w:rPr>
        <w:t> </w:t>
      </w:r>
      <w:r>
        <w:rPr>
          <w:color w:val="231F20"/>
          <w:sz w:val="20"/>
        </w:rPr>
        <w:t>об</w:t>
      </w:r>
      <w:r>
        <w:rPr>
          <w:color w:val="231F20"/>
          <w:spacing w:val="-1"/>
          <w:sz w:val="20"/>
        </w:rPr>
        <w:t> </w:t>
      </w:r>
      <w:r>
        <w:rPr>
          <w:color w:val="231F20"/>
          <w:sz w:val="20"/>
        </w:rPr>
        <w:t>эффективности</w:t>
      </w:r>
      <w:r>
        <w:rPr>
          <w:color w:val="231F20"/>
          <w:spacing w:val="-1"/>
          <w:sz w:val="20"/>
        </w:rPr>
        <w:t> </w:t>
      </w:r>
      <w:r>
        <w:rPr>
          <w:color w:val="231F20"/>
          <w:sz w:val="20"/>
        </w:rPr>
        <w:t>арт-терапии для</w:t>
      </w:r>
      <w:r>
        <w:rPr>
          <w:color w:val="231F20"/>
          <w:spacing w:val="23"/>
          <w:sz w:val="20"/>
        </w:rPr>
        <w:t> </w:t>
      </w:r>
      <w:r>
        <w:rPr>
          <w:color w:val="231F20"/>
          <w:sz w:val="20"/>
        </w:rPr>
        <w:t>оказания</w:t>
      </w:r>
      <w:r>
        <w:rPr>
          <w:color w:val="231F20"/>
          <w:spacing w:val="23"/>
          <w:sz w:val="20"/>
        </w:rPr>
        <w:t> </w:t>
      </w:r>
      <w:r>
        <w:rPr>
          <w:color w:val="231F20"/>
          <w:sz w:val="20"/>
        </w:rPr>
        <w:t>помощи</w:t>
      </w:r>
      <w:r>
        <w:rPr>
          <w:color w:val="231F20"/>
          <w:spacing w:val="23"/>
          <w:sz w:val="20"/>
        </w:rPr>
        <w:t> </w:t>
      </w:r>
      <w:r>
        <w:rPr>
          <w:color w:val="231F20"/>
          <w:sz w:val="20"/>
        </w:rPr>
        <w:t>мигрантам</w:t>
      </w:r>
      <w:r>
        <w:rPr>
          <w:color w:val="231F20"/>
          <w:spacing w:val="23"/>
          <w:sz w:val="20"/>
        </w:rPr>
        <w:t> </w:t>
      </w:r>
      <w:r>
        <w:rPr>
          <w:color w:val="231F20"/>
          <w:sz w:val="20"/>
        </w:rPr>
        <w:t>до</w:t>
      </w:r>
      <w:r>
        <w:rPr>
          <w:color w:val="231F20"/>
          <w:spacing w:val="23"/>
          <w:sz w:val="20"/>
        </w:rPr>
        <w:t> </w:t>
      </w:r>
      <w:r>
        <w:rPr>
          <w:color w:val="231F20"/>
          <w:sz w:val="20"/>
        </w:rPr>
        <w:t>сих</w:t>
      </w:r>
      <w:r>
        <w:rPr>
          <w:color w:val="231F20"/>
          <w:spacing w:val="23"/>
          <w:sz w:val="20"/>
        </w:rPr>
        <w:t> </w:t>
      </w:r>
      <w:r>
        <w:rPr>
          <w:color w:val="231F20"/>
          <w:sz w:val="20"/>
        </w:rPr>
        <w:t>пор</w:t>
      </w:r>
      <w:r>
        <w:rPr>
          <w:color w:val="231F20"/>
          <w:spacing w:val="23"/>
          <w:sz w:val="20"/>
        </w:rPr>
        <w:t> </w:t>
      </w:r>
      <w:r>
        <w:rPr>
          <w:color w:val="231F20"/>
          <w:sz w:val="20"/>
        </w:rPr>
        <w:t>в</w:t>
      </w:r>
      <w:r>
        <w:rPr>
          <w:color w:val="231F20"/>
          <w:spacing w:val="23"/>
          <w:sz w:val="20"/>
        </w:rPr>
        <w:t> </w:t>
      </w:r>
      <w:r>
        <w:rPr>
          <w:color w:val="231F20"/>
          <w:sz w:val="20"/>
        </w:rPr>
        <w:t>психологических</w:t>
      </w:r>
      <w:r>
        <w:rPr>
          <w:color w:val="231F20"/>
          <w:spacing w:val="23"/>
          <w:sz w:val="20"/>
        </w:rPr>
        <w:t> </w:t>
      </w:r>
      <w:r>
        <w:rPr>
          <w:color w:val="231F20"/>
          <w:sz w:val="20"/>
        </w:rPr>
        <w:t>исследованиях</w:t>
      </w:r>
      <w:r>
        <w:rPr>
          <w:color w:val="231F20"/>
          <w:spacing w:val="23"/>
          <w:sz w:val="20"/>
        </w:rPr>
        <w:t> </w:t>
      </w:r>
      <w:r>
        <w:rPr>
          <w:color w:val="231F20"/>
          <w:sz w:val="20"/>
        </w:rPr>
        <w:t>не получено (</w:t>
      </w:r>
      <w:r>
        <w:rPr>
          <w:color w:val="16191D"/>
          <w:sz w:val="20"/>
        </w:rPr>
        <w:t>Annous, Al-Hroub, El Zein, 2022</w:t>
      </w:r>
      <w:r>
        <w:rPr>
          <w:color w:val="231F20"/>
          <w:sz w:val="20"/>
        </w:rPr>
        <w:t>), тем не менее имеется достаточно дан- ных, позволяющих утверждать, что арт-терапевтические технологии способствуют улучшению</w:t>
      </w:r>
      <w:r>
        <w:rPr>
          <w:color w:val="231F20"/>
          <w:spacing w:val="7"/>
          <w:sz w:val="20"/>
        </w:rPr>
        <w:t> </w:t>
      </w:r>
      <w:r>
        <w:rPr>
          <w:color w:val="231F20"/>
          <w:sz w:val="20"/>
        </w:rPr>
        <w:t>эмоционального</w:t>
      </w:r>
      <w:r>
        <w:rPr>
          <w:color w:val="231F20"/>
          <w:spacing w:val="7"/>
          <w:sz w:val="20"/>
        </w:rPr>
        <w:t> </w:t>
      </w:r>
      <w:r>
        <w:rPr>
          <w:color w:val="231F20"/>
          <w:sz w:val="20"/>
        </w:rPr>
        <w:t>состояния</w:t>
      </w:r>
      <w:r>
        <w:rPr>
          <w:color w:val="231F20"/>
          <w:spacing w:val="7"/>
          <w:sz w:val="20"/>
        </w:rPr>
        <w:t> </w:t>
      </w:r>
      <w:r>
        <w:rPr>
          <w:color w:val="231F20"/>
          <w:sz w:val="20"/>
        </w:rPr>
        <w:t>детей-мигрантов</w:t>
      </w:r>
      <w:r>
        <w:rPr>
          <w:color w:val="231F20"/>
          <w:spacing w:val="7"/>
          <w:sz w:val="20"/>
        </w:rPr>
        <w:t> </w:t>
      </w:r>
      <w:r>
        <w:rPr>
          <w:color w:val="231F20"/>
          <w:sz w:val="20"/>
        </w:rPr>
        <w:t>и</w:t>
      </w:r>
      <w:r>
        <w:rPr>
          <w:color w:val="231F20"/>
          <w:spacing w:val="7"/>
          <w:sz w:val="20"/>
        </w:rPr>
        <w:t> </w:t>
      </w:r>
      <w:r>
        <w:rPr>
          <w:color w:val="231F20"/>
          <w:sz w:val="20"/>
        </w:rPr>
        <w:t>особенно</w:t>
      </w:r>
      <w:r>
        <w:rPr>
          <w:color w:val="231F20"/>
          <w:spacing w:val="7"/>
          <w:sz w:val="20"/>
        </w:rPr>
        <w:t> </w:t>
      </w:r>
      <w:r>
        <w:rPr>
          <w:color w:val="231F20"/>
          <w:sz w:val="20"/>
        </w:rPr>
        <w:t>продуктивны</w:t>
      </w:r>
      <w:r>
        <w:rPr>
          <w:color w:val="231F20"/>
          <w:spacing w:val="8"/>
          <w:sz w:val="20"/>
        </w:rPr>
        <w:t> </w:t>
      </w:r>
      <w:r>
        <w:rPr>
          <w:color w:val="231F20"/>
          <w:spacing w:val="-10"/>
          <w:sz w:val="20"/>
        </w:rPr>
        <w:t>в</w:t>
      </w:r>
    </w:p>
    <w:p>
      <w:pPr>
        <w:pStyle w:val="ListParagraph"/>
        <w:spacing w:after="0" w:line="237" w:lineRule="auto"/>
        <w:jc w:val="right"/>
        <w:rPr>
          <w:sz w:val="20"/>
        </w:rPr>
        <w:sectPr>
          <w:pgSz w:w="8400" w:h="11910"/>
          <w:pgMar w:header="0" w:footer="528"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line="232" w:lineRule="auto" w:before="118"/>
        <w:ind w:firstLine="0"/>
      </w:pPr>
      <w:r>
        <w:rPr>
          <w:color w:val="231F20"/>
        </w:rPr>
        <w:t>случае недостаточного владения языком принимающей культуры (Ager et al, 2011, Stuckey, Nobel, 2010).</w:t>
      </w:r>
    </w:p>
    <w:p>
      <w:pPr>
        <w:pStyle w:val="BodyText"/>
        <w:spacing w:line="232" w:lineRule="auto"/>
      </w:pPr>
      <w:r>
        <w:rPr>
          <w:color w:val="231F20"/>
        </w:rPr>
        <w:t>Арт-терапия «…использует творческую силу изобразительного искусства для улучшения физического, психического и эмоционального состояния людей любого возраста. Она базируется на убеждении, что творческий процесс самовыражения в искусстве</w:t>
      </w:r>
      <w:r>
        <w:rPr>
          <w:color w:val="231F20"/>
          <w:spacing w:val="-13"/>
        </w:rPr>
        <w:t> </w:t>
      </w:r>
      <w:r>
        <w:rPr>
          <w:color w:val="231F20"/>
        </w:rPr>
        <w:t>помогает</w:t>
      </w:r>
      <w:r>
        <w:rPr>
          <w:color w:val="231F20"/>
          <w:spacing w:val="-12"/>
        </w:rPr>
        <w:t> </w:t>
      </w:r>
      <w:r>
        <w:rPr>
          <w:color w:val="231F20"/>
        </w:rPr>
        <w:t>разрешать</w:t>
      </w:r>
      <w:r>
        <w:rPr>
          <w:color w:val="231F20"/>
          <w:spacing w:val="-13"/>
        </w:rPr>
        <w:t> </w:t>
      </w:r>
      <w:r>
        <w:rPr>
          <w:color w:val="231F20"/>
        </w:rPr>
        <w:t>конфликты</w:t>
      </w:r>
      <w:r>
        <w:rPr>
          <w:color w:val="231F20"/>
          <w:spacing w:val="-12"/>
        </w:rPr>
        <w:t> </w:t>
      </w:r>
      <w:r>
        <w:rPr>
          <w:color w:val="231F20"/>
        </w:rPr>
        <w:t>и</w:t>
      </w:r>
      <w:r>
        <w:rPr>
          <w:color w:val="231F20"/>
          <w:spacing w:val="-13"/>
        </w:rPr>
        <w:t> </w:t>
      </w:r>
      <w:r>
        <w:rPr>
          <w:color w:val="231F20"/>
        </w:rPr>
        <w:t>проблемы,</w:t>
      </w:r>
      <w:r>
        <w:rPr>
          <w:color w:val="231F20"/>
          <w:spacing w:val="-12"/>
        </w:rPr>
        <w:t> </w:t>
      </w:r>
      <w:r>
        <w:rPr>
          <w:color w:val="231F20"/>
        </w:rPr>
        <w:t>развивает</w:t>
      </w:r>
      <w:r>
        <w:rPr>
          <w:color w:val="231F20"/>
          <w:spacing w:val="-13"/>
        </w:rPr>
        <w:t> </w:t>
      </w:r>
      <w:r>
        <w:rPr>
          <w:color w:val="231F20"/>
        </w:rPr>
        <w:t>межличностные</w:t>
      </w:r>
      <w:r>
        <w:rPr>
          <w:color w:val="231F20"/>
          <w:spacing w:val="-12"/>
        </w:rPr>
        <w:t> </w:t>
      </w:r>
      <w:r>
        <w:rPr>
          <w:color w:val="231F20"/>
        </w:rPr>
        <w:t>на- выки, изменяет поведение, уменьшает стресс, повышает самооценку, способствует самосознанию и достижению инсайта» (Американская ассоциация арт-терапии).</w:t>
      </w:r>
    </w:p>
    <w:p>
      <w:pPr>
        <w:pStyle w:val="BodyText"/>
        <w:spacing w:line="214" w:lineRule="exact"/>
        <w:ind w:left="425" w:right="0" w:firstLine="0"/>
      </w:pPr>
      <w:r>
        <w:rPr>
          <w:color w:val="231F20"/>
        </w:rPr>
        <w:t>Арт-терапия</w:t>
      </w:r>
      <w:r>
        <w:rPr>
          <w:color w:val="231F20"/>
          <w:spacing w:val="-2"/>
        </w:rPr>
        <w:t> </w:t>
      </w:r>
      <w:r>
        <w:rPr>
          <w:color w:val="231F20"/>
        </w:rPr>
        <w:t>опирается</w:t>
      </w:r>
      <w:r>
        <w:rPr>
          <w:color w:val="231F20"/>
          <w:spacing w:val="-2"/>
        </w:rPr>
        <w:t> </w:t>
      </w:r>
      <w:r>
        <w:rPr>
          <w:color w:val="231F20"/>
        </w:rPr>
        <w:t>на</w:t>
      </w:r>
      <w:r>
        <w:rPr>
          <w:color w:val="231F20"/>
          <w:spacing w:val="-2"/>
        </w:rPr>
        <w:t> </w:t>
      </w:r>
      <w:r>
        <w:rPr>
          <w:color w:val="231F20"/>
        </w:rPr>
        <w:t>следующие</w:t>
      </w:r>
      <w:r>
        <w:rPr>
          <w:color w:val="231F20"/>
          <w:spacing w:val="-2"/>
        </w:rPr>
        <w:t> </w:t>
      </w:r>
      <w:r>
        <w:rPr>
          <w:color w:val="231F20"/>
        </w:rPr>
        <w:t>базовые</w:t>
      </w:r>
      <w:r>
        <w:rPr>
          <w:color w:val="231F20"/>
          <w:spacing w:val="-1"/>
        </w:rPr>
        <w:t> </w:t>
      </w:r>
      <w:r>
        <w:rPr>
          <w:color w:val="231F20"/>
          <w:spacing w:val="-2"/>
        </w:rPr>
        <w:t>положения:</w:t>
      </w:r>
    </w:p>
    <w:p>
      <w:pPr>
        <w:pStyle w:val="ListParagraph"/>
        <w:numPr>
          <w:ilvl w:val="1"/>
          <w:numId w:val="56"/>
        </w:numPr>
        <w:tabs>
          <w:tab w:pos="425" w:val="left" w:leader="none"/>
        </w:tabs>
        <w:spacing w:line="222" w:lineRule="exact" w:before="0" w:after="0"/>
        <w:ind w:left="425" w:right="0" w:hanging="284"/>
        <w:jc w:val="left"/>
        <w:rPr>
          <w:sz w:val="20"/>
        </w:rPr>
      </w:pPr>
      <w:r>
        <w:rPr>
          <w:color w:val="231F20"/>
          <w:sz w:val="20"/>
        </w:rPr>
        <w:t>Человеку</w:t>
      </w:r>
      <w:r>
        <w:rPr>
          <w:color w:val="231F20"/>
          <w:spacing w:val="-2"/>
          <w:sz w:val="20"/>
        </w:rPr>
        <w:t> </w:t>
      </w:r>
      <w:r>
        <w:rPr>
          <w:color w:val="231F20"/>
          <w:sz w:val="20"/>
        </w:rPr>
        <w:t>присуща</w:t>
      </w:r>
      <w:r>
        <w:rPr>
          <w:color w:val="231F20"/>
          <w:spacing w:val="-2"/>
          <w:sz w:val="20"/>
        </w:rPr>
        <w:t> </w:t>
      </w:r>
      <w:r>
        <w:rPr>
          <w:color w:val="231F20"/>
          <w:sz w:val="20"/>
        </w:rPr>
        <w:t>способность</w:t>
      </w:r>
      <w:r>
        <w:rPr>
          <w:color w:val="231F20"/>
          <w:spacing w:val="-2"/>
          <w:sz w:val="20"/>
        </w:rPr>
        <w:t> </w:t>
      </w:r>
      <w:r>
        <w:rPr>
          <w:color w:val="231F20"/>
          <w:sz w:val="20"/>
        </w:rPr>
        <w:t>к</w:t>
      </w:r>
      <w:r>
        <w:rPr>
          <w:color w:val="231F20"/>
          <w:spacing w:val="-1"/>
          <w:sz w:val="20"/>
        </w:rPr>
        <w:t> </w:t>
      </w:r>
      <w:r>
        <w:rPr>
          <w:color w:val="231F20"/>
          <w:spacing w:val="-2"/>
          <w:sz w:val="20"/>
        </w:rPr>
        <w:t>творчеству.</w:t>
      </w:r>
    </w:p>
    <w:p>
      <w:pPr>
        <w:pStyle w:val="ListParagraph"/>
        <w:numPr>
          <w:ilvl w:val="1"/>
          <w:numId w:val="56"/>
        </w:numPr>
        <w:tabs>
          <w:tab w:pos="425" w:val="left" w:leader="none"/>
        </w:tabs>
        <w:spacing w:line="232" w:lineRule="auto" w:before="0" w:after="0"/>
        <w:ind w:left="425" w:right="139" w:hanging="284"/>
        <w:jc w:val="left"/>
        <w:rPr>
          <w:sz w:val="20"/>
        </w:rPr>
      </w:pPr>
      <w:r>
        <w:rPr>
          <w:color w:val="231F20"/>
          <w:sz w:val="20"/>
        </w:rPr>
        <w:t>Искусство</w:t>
      </w:r>
      <w:r>
        <w:rPr>
          <w:color w:val="231F20"/>
          <w:spacing w:val="-4"/>
          <w:sz w:val="20"/>
        </w:rPr>
        <w:t> </w:t>
      </w:r>
      <w:r>
        <w:rPr>
          <w:color w:val="231F20"/>
          <w:sz w:val="20"/>
        </w:rPr>
        <w:t>позволяет</w:t>
      </w:r>
      <w:r>
        <w:rPr>
          <w:color w:val="231F20"/>
          <w:spacing w:val="-4"/>
          <w:sz w:val="20"/>
        </w:rPr>
        <w:t> </w:t>
      </w:r>
      <w:r>
        <w:rPr>
          <w:color w:val="231F20"/>
          <w:sz w:val="20"/>
        </w:rPr>
        <w:t>экстернализировать</w:t>
      </w:r>
      <w:r>
        <w:rPr>
          <w:color w:val="231F20"/>
          <w:spacing w:val="-4"/>
          <w:sz w:val="20"/>
        </w:rPr>
        <w:t> </w:t>
      </w:r>
      <w:r>
        <w:rPr>
          <w:color w:val="231F20"/>
          <w:sz w:val="20"/>
        </w:rPr>
        <w:t>чувства,</w:t>
      </w:r>
      <w:r>
        <w:rPr>
          <w:color w:val="231F20"/>
          <w:spacing w:val="-4"/>
          <w:sz w:val="20"/>
        </w:rPr>
        <w:t> </w:t>
      </w:r>
      <w:r>
        <w:rPr>
          <w:color w:val="231F20"/>
          <w:sz w:val="20"/>
        </w:rPr>
        <w:t>переживания,</w:t>
      </w:r>
      <w:r>
        <w:rPr>
          <w:color w:val="231F20"/>
          <w:spacing w:val="-4"/>
          <w:sz w:val="20"/>
        </w:rPr>
        <w:t> </w:t>
      </w:r>
      <w:r>
        <w:rPr>
          <w:color w:val="231F20"/>
          <w:sz w:val="20"/>
        </w:rPr>
        <w:t>внутренние</w:t>
      </w:r>
      <w:r>
        <w:rPr>
          <w:color w:val="231F20"/>
          <w:spacing w:val="-4"/>
          <w:sz w:val="20"/>
        </w:rPr>
        <w:t> </w:t>
      </w:r>
      <w:r>
        <w:rPr>
          <w:color w:val="231F20"/>
          <w:sz w:val="20"/>
        </w:rPr>
        <w:t>кон- </w:t>
      </w:r>
      <w:r>
        <w:rPr>
          <w:color w:val="231F20"/>
          <w:spacing w:val="-2"/>
          <w:sz w:val="20"/>
        </w:rPr>
        <w:t>фликты.</w:t>
      </w:r>
    </w:p>
    <w:p>
      <w:pPr>
        <w:pStyle w:val="ListParagraph"/>
        <w:numPr>
          <w:ilvl w:val="1"/>
          <w:numId w:val="56"/>
        </w:numPr>
        <w:tabs>
          <w:tab w:pos="425" w:val="left" w:leader="none"/>
        </w:tabs>
        <w:spacing w:line="218" w:lineRule="exact" w:before="0" w:after="0"/>
        <w:ind w:left="425" w:right="0" w:hanging="284"/>
        <w:jc w:val="left"/>
        <w:rPr>
          <w:sz w:val="20"/>
        </w:rPr>
      </w:pPr>
      <w:r>
        <w:rPr>
          <w:color w:val="231F20"/>
          <w:sz w:val="20"/>
        </w:rPr>
        <w:t>Искусство</w:t>
      </w:r>
      <w:r>
        <w:rPr>
          <w:color w:val="231F20"/>
          <w:spacing w:val="-7"/>
          <w:sz w:val="20"/>
        </w:rPr>
        <w:t> </w:t>
      </w:r>
      <w:r>
        <w:rPr>
          <w:color w:val="231F20"/>
          <w:sz w:val="20"/>
        </w:rPr>
        <w:t>оказывает</w:t>
      </w:r>
      <w:r>
        <w:rPr>
          <w:color w:val="231F20"/>
          <w:spacing w:val="-6"/>
          <w:sz w:val="20"/>
        </w:rPr>
        <w:t> </w:t>
      </w:r>
      <w:r>
        <w:rPr>
          <w:color w:val="231F20"/>
          <w:sz w:val="20"/>
        </w:rPr>
        <w:t>на</w:t>
      </w:r>
      <w:r>
        <w:rPr>
          <w:color w:val="231F20"/>
          <w:spacing w:val="-7"/>
          <w:sz w:val="20"/>
        </w:rPr>
        <w:t> </w:t>
      </w:r>
      <w:r>
        <w:rPr>
          <w:color w:val="231F20"/>
          <w:sz w:val="20"/>
        </w:rPr>
        <w:t>человека</w:t>
      </w:r>
      <w:r>
        <w:rPr>
          <w:color w:val="231F20"/>
          <w:spacing w:val="-6"/>
          <w:sz w:val="20"/>
        </w:rPr>
        <w:t> </w:t>
      </w:r>
      <w:r>
        <w:rPr>
          <w:color w:val="231F20"/>
          <w:sz w:val="20"/>
        </w:rPr>
        <w:t>преобразующее</w:t>
      </w:r>
      <w:r>
        <w:rPr>
          <w:color w:val="231F20"/>
          <w:spacing w:val="-6"/>
          <w:sz w:val="20"/>
        </w:rPr>
        <w:t> </w:t>
      </w:r>
      <w:r>
        <w:rPr>
          <w:color w:val="231F20"/>
          <w:spacing w:val="-2"/>
          <w:sz w:val="20"/>
        </w:rPr>
        <w:t>воздействие.</w:t>
      </w:r>
    </w:p>
    <w:p>
      <w:pPr>
        <w:pStyle w:val="BodyText"/>
        <w:spacing w:line="222" w:lineRule="exact"/>
        <w:ind w:left="425" w:right="0" w:firstLine="0"/>
        <w:jc w:val="left"/>
      </w:pPr>
      <w:r>
        <w:rPr>
          <w:color w:val="231F20"/>
          <w:spacing w:val="-2"/>
        </w:rPr>
        <w:t>Н.</w:t>
      </w:r>
      <w:r>
        <w:rPr>
          <w:color w:val="231F20"/>
          <w:spacing w:val="-4"/>
        </w:rPr>
        <w:t> </w:t>
      </w:r>
      <w:r>
        <w:rPr>
          <w:color w:val="231F20"/>
          <w:spacing w:val="-2"/>
        </w:rPr>
        <w:t>Шварц</w:t>
      </w:r>
      <w:r>
        <w:rPr>
          <w:color w:val="231F20"/>
          <w:spacing w:val="-7"/>
        </w:rPr>
        <w:t> </w:t>
      </w:r>
      <w:r>
        <w:rPr>
          <w:color w:val="231F20"/>
          <w:spacing w:val="-2"/>
        </w:rPr>
        <w:t>выделяет</w:t>
      </w:r>
      <w:r>
        <w:rPr>
          <w:color w:val="231F20"/>
          <w:spacing w:val="-8"/>
        </w:rPr>
        <w:t> </w:t>
      </w:r>
      <w:r>
        <w:rPr>
          <w:color w:val="231F20"/>
          <w:spacing w:val="-2"/>
        </w:rPr>
        <w:t>три</w:t>
      </w:r>
      <w:r>
        <w:rPr>
          <w:color w:val="231F20"/>
          <w:spacing w:val="-7"/>
        </w:rPr>
        <w:t> </w:t>
      </w:r>
      <w:r>
        <w:rPr>
          <w:color w:val="231F20"/>
          <w:spacing w:val="-2"/>
        </w:rPr>
        <w:t>составляющие</w:t>
      </w:r>
      <w:r>
        <w:rPr>
          <w:color w:val="231F20"/>
          <w:spacing w:val="-7"/>
        </w:rPr>
        <w:t> </w:t>
      </w:r>
      <w:r>
        <w:rPr>
          <w:color w:val="231F20"/>
          <w:spacing w:val="-2"/>
        </w:rPr>
        <w:t>терапевтического</w:t>
      </w:r>
      <w:r>
        <w:rPr>
          <w:color w:val="231F20"/>
          <w:spacing w:val="-8"/>
        </w:rPr>
        <w:t> </w:t>
      </w:r>
      <w:r>
        <w:rPr>
          <w:color w:val="231F20"/>
          <w:spacing w:val="-2"/>
        </w:rPr>
        <w:t>использования</w:t>
      </w:r>
      <w:r>
        <w:rPr>
          <w:color w:val="231F20"/>
          <w:spacing w:val="-7"/>
        </w:rPr>
        <w:t> </w:t>
      </w:r>
      <w:r>
        <w:rPr>
          <w:color w:val="231F20"/>
          <w:spacing w:val="-2"/>
        </w:rPr>
        <w:t>искусства:</w:t>
      </w:r>
    </w:p>
    <w:p>
      <w:pPr>
        <w:pStyle w:val="ListParagraph"/>
        <w:numPr>
          <w:ilvl w:val="1"/>
          <w:numId w:val="56"/>
        </w:numPr>
        <w:tabs>
          <w:tab w:pos="425" w:val="left" w:leader="none"/>
        </w:tabs>
        <w:spacing w:line="232" w:lineRule="auto" w:before="1" w:after="0"/>
        <w:ind w:left="425" w:right="139" w:hanging="284"/>
        <w:jc w:val="left"/>
        <w:rPr>
          <w:sz w:val="20"/>
        </w:rPr>
      </w:pPr>
      <w:r>
        <w:rPr>
          <w:color w:val="231F20"/>
          <w:sz w:val="20"/>
        </w:rPr>
        <w:t>Продукт – то, что создает ребенок в процессе выполнения арт-терапевтического </w:t>
      </w:r>
      <w:r>
        <w:rPr>
          <w:color w:val="231F20"/>
          <w:spacing w:val="-2"/>
          <w:sz w:val="20"/>
        </w:rPr>
        <w:t>задания.</w:t>
      </w:r>
    </w:p>
    <w:p>
      <w:pPr>
        <w:pStyle w:val="ListParagraph"/>
        <w:numPr>
          <w:ilvl w:val="1"/>
          <w:numId w:val="56"/>
        </w:numPr>
        <w:tabs>
          <w:tab w:pos="425" w:val="left" w:leader="none"/>
        </w:tabs>
        <w:spacing w:line="232" w:lineRule="auto" w:before="2" w:after="0"/>
        <w:ind w:left="425" w:right="139" w:hanging="284"/>
        <w:jc w:val="left"/>
        <w:rPr>
          <w:sz w:val="20"/>
        </w:rPr>
      </w:pPr>
      <w:r>
        <w:rPr>
          <w:color w:val="231F20"/>
          <w:sz w:val="20"/>
        </w:rPr>
        <w:t>Процесс</w:t>
      </w:r>
      <w:r>
        <w:rPr>
          <w:color w:val="231F20"/>
          <w:spacing w:val="34"/>
          <w:sz w:val="20"/>
        </w:rPr>
        <w:t> </w:t>
      </w:r>
      <w:r>
        <w:rPr>
          <w:color w:val="231F20"/>
          <w:sz w:val="20"/>
        </w:rPr>
        <w:t>–</w:t>
      </w:r>
      <w:r>
        <w:rPr>
          <w:color w:val="231F20"/>
          <w:spacing w:val="34"/>
          <w:sz w:val="20"/>
        </w:rPr>
        <w:t> </w:t>
      </w:r>
      <w:r>
        <w:rPr>
          <w:color w:val="231F20"/>
          <w:sz w:val="20"/>
        </w:rPr>
        <w:t>деятельность</w:t>
      </w:r>
      <w:r>
        <w:rPr>
          <w:color w:val="231F20"/>
          <w:spacing w:val="34"/>
          <w:sz w:val="20"/>
        </w:rPr>
        <w:t> </w:t>
      </w:r>
      <w:r>
        <w:rPr>
          <w:color w:val="231F20"/>
          <w:sz w:val="20"/>
        </w:rPr>
        <w:t>клиента,</w:t>
      </w:r>
      <w:r>
        <w:rPr>
          <w:color w:val="231F20"/>
          <w:spacing w:val="34"/>
          <w:sz w:val="20"/>
        </w:rPr>
        <w:t> </w:t>
      </w:r>
      <w:r>
        <w:rPr>
          <w:color w:val="231F20"/>
          <w:sz w:val="20"/>
        </w:rPr>
        <w:t>процесс</w:t>
      </w:r>
      <w:r>
        <w:rPr>
          <w:color w:val="231F20"/>
          <w:spacing w:val="34"/>
          <w:sz w:val="20"/>
        </w:rPr>
        <w:t> </w:t>
      </w:r>
      <w:r>
        <w:rPr>
          <w:color w:val="231F20"/>
          <w:sz w:val="20"/>
        </w:rPr>
        <w:t>одновременно</w:t>
      </w:r>
      <w:r>
        <w:rPr>
          <w:color w:val="231F20"/>
          <w:spacing w:val="34"/>
          <w:sz w:val="20"/>
        </w:rPr>
        <w:t> </w:t>
      </w:r>
      <w:r>
        <w:rPr>
          <w:color w:val="231F20"/>
          <w:sz w:val="20"/>
        </w:rPr>
        <w:t>и</w:t>
      </w:r>
      <w:r>
        <w:rPr>
          <w:color w:val="231F20"/>
          <w:spacing w:val="34"/>
          <w:sz w:val="20"/>
        </w:rPr>
        <w:t> </w:t>
      </w:r>
      <w:r>
        <w:rPr>
          <w:color w:val="231F20"/>
          <w:sz w:val="20"/>
        </w:rPr>
        <w:t>терапевтический,</w:t>
      </w:r>
      <w:r>
        <w:rPr>
          <w:color w:val="231F20"/>
          <w:spacing w:val="34"/>
          <w:sz w:val="20"/>
        </w:rPr>
        <w:t> </w:t>
      </w:r>
      <w:r>
        <w:rPr>
          <w:color w:val="231F20"/>
          <w:sz w:val="20"/>
        </w:rPr>
        <w:t>и </w:t>
      </w:r>
      <w:r>
        <w:rPr>
          <w:color w:val="231F20"/>
          <w:spacing w:val="-2"/>
          <w:sz w:val="20"/>
        </w:rPr>
        <w:t>коммуникативный.</w:t>
      </w:r>
    </w:p>
    <w:p>
      <w:pPr>
        <w:pStyle w:val="ListParagraph"/>
        <w:numPr>
          <w:ilvl w:val="1"/>
          <w:numId w:val="56"/>
        </w:numPr>
        <w:tabs>
          <w:tab w:pos="425" w:val="left" w:leader="none"/>
        </w:tabs>
        <w:spacing w:line="223" w:lineRule="exact" w:before="0" w:after="0"/>
        <w:ind w:left="425" w:right="0" w:hanging="284"/>
        <w:jc w:val="left"/>
        <w:rPr>
          <w:sz w:val="20"/>
        </w:rPr>
      </w:pPr>
      <w:r>
        <w:rPr>
          <w:color w:val="231F20"/>
          <w:spacing w:val="-2"/>
          <w:sz w:val="20"/>
        </w:rPr>
        <w:t>Наблюдатель</w:t>
      </w:r>
      <w:r>
        <w:rPr>
          <w:color w:val="231F20"/>
          <w:spacing w:val="-1"/>
          <w:sz w:val="20"/>
        </w:rPr>
        <w:t> </w:t>
      </w:r>
      <w:r>
        <w:rPr>
          <w:color w:val="231F20"/>
          <w:spacing w:val="-2"/>
          <w:sz w:val="20"/>
        </w:rPr>
        <w:t>–</w:t>
      </w:r>
      <w:r>
        <w:rPr>
          <w:color w:val="231F20"/>
          <w:spacing w:val="2"/>
          <w:sz w:val="20"/>
        </w:rPr>
        <w:t> </w:t>
      </w:r>
      <w:r>
        <w:rPr>
          <w:color w:val="231F20"/>
          <w:spacing w:val="-2"/>
          <w:sz w:val="20"/>
        </w:rPr>
        <w:t>психолог,</w:t>
      </w:r>
      <w:r>
        <w:rPr>
          <w:color w:val="231F20"/>
          <w:spacing w:val="1"/>
          <w:sz w:val="20"/>
        </w:rPr>
        <w:t> </w:t>
      </w:r>
      <w:r>
        <w:rPr>
          <w:color w:val="231F20"/>
          <w:spacing w:val="-2"/>
          <w:sz w:val="20"/>
        </w:rPr>
        <w:t>вовлеченный</w:t>
      </w:r>
      <w:r>
        <w:rPr>
          <w:color w:val="231F20"/>
          <w:sz w:val="20"/>
        </w:rPr>
        <w:t> </w:t>
      </w:r>
      <w:r>
        <w:rPr>
          <w:color w:val="231F20"/>
          <w:spacing w:val="-2"/>
          <w:sz w:val="20"/>
        </w:rPr>
        <w:t>в</w:t>
      </w:r>
      <w:r>
        <w:rPr>
          <w:color w:val="231F20"/>
          <w:spacing w:val="-1"/>
          <w:sz w:val="20"/>
        </w:rPr>
        <w:t> </w:t>
      </w:r>
      <w:r>
        <w:rPr>
          <w:color w:val="231F20"/>
          <w:spacing w:val="-2"/>
          <w:sz w:val="20"/>
        </w:rPr>
        <w:t>процесс</w:t>
      </w:r>
      <w:r>
        <w:rPr>
          <w:color w:val="231F20"/>
          <w:spacing w:val="2"/>
          <w:sz w:val="20"/>
        </w:rPr>
        <w:t> </w:t>
      </w:r>
      <w:r>
        <w:rPr>
          <w:color w:val="231F20"/>
          <w:spacing w:val="-2"/>
          <w:sz w:val="20"/>
        </w:rPr>
        <w:t>взаимодействия.</w:t>
      </w:r>
    </w:p>
    <w:p>
      <w:pPr>
        <w:pStyle w:val="BodyText"/>
        <w:spacing w:line="232" w:lineRule="auto" w:before="2"/>
        <w:ind w:right="0"/>
        <w:jc w:val="left"/>
      </w:pPr>
      <w:r>
        <w:rPr>
          <w:color w:val="231F20"/>
        </w:rPr>
        <w:t>Продукт, который создается в арт-терапии, обладает рядом специфических осо- </w:t>
      </w:r>
      <w:r>
        <w:rPr>
          <w:color w:val="231F20"/>
          <w:spacing w:val="-2"/>
        </w:rPr>
        <w:t>бенностей:</w:t>
      </w:r>
    </w:p>
    <w:p>
      <w:pPr>
        <w:pStyle w:val="ListParagraph"/>
        <w:numPr>
          <w:ilvl w:val="0"/>
          <w:numId w:val="57"/>
        </w:numPr>
        <w:tabs>
          <w:tab w:pos="424" w:val="left" w:leader="none"/>
        </w:tabs>
        <w:spacing w:line="223" w:lineRule="exact" w:before="0" w:after="0"/>
        <w:ind w:left="424" w:right="0" w:hanging="283"/>
        <w:jc w:val="left"/>
        <w:rPr>
          <w:sz w:val="20"/>
        </w:rPr>
      </w:pPr>
      <w:r>
        <w:rPr>
          <w:color w:val="231F20"/>
          <w:sz w:val="20"/>
        </w:rPr>
        <w:t>ценен</w:t>
      </w:r>
      <w:r>
        <w:rPr>
          <w:color w:val="231F20"/>
          <w:spacing w:val="-5"/>
          <w:sz w:val="20"/>
        </w:rPr>
        <w:t> </w:t>
      </w:r>
      <w:r>
        <w:rPr>
          <w:color w:val="231F20"/>
          <w:sz w:val="20"/>
        </w:rPr>
        <w:t>не</w:t>
      </w:r>
      <w:r>
        <w:rPr>
          <w:color w:val="231F20"/>
          <w:spacing w:val="-2"/>
          <w:sz w:val="20"/>
        </w:rPr>
        <w:t> </w:t>
      </w:r>
      <w:r>
        <w:rPr>
          <w:color w:val="231F20"/>
          <w:sz w:val="20"/>
        </w:rPr>
        <w:t>сам</w:t>
      </w:r>
      <w:r>
        <w:rPr>
          <w:color w:val="231F20"/>
          <w:spacing w:val="-2"/>
          <w:sz w:val="20"/>
        </w:rPr>
        <w:t> </w:t>
      </w:r>
      <w:r>
        <w:rPr>
          <w:color w:val="231F20"/>
          <w:sz w:val="20"/>
        </w:rPr>
        <w:t>по</w:t>
      </w:r>
      <w:r>
        <w:rPr>
          <w:color w:val="231F20"/>
          <w:spacing w:val="-2"/>
          <w:sz w:val="20"/>
        </w:rPr>
        <w:t> </w:t>
      </w:r>
      <w:r>
        <w:rPr>
          <w:color w:val="231F20"/>
          <w:sz w:val="20"/>
        </w:rPr>
        <w:t>себе,</w:t>
      </w:r>
      <w:r>
        <w:rPr>
          <w:color w:val="231F20"/>
          <w:spacing w:val="-2"/>
          <w:sz w:val="20"/>
        </w:rPr>
        <w:t> </w:t>
      </w:r>
      <w:r>
        <w:rPr>
          <w:color w:val="231F20"/>
          <w:sz w:val="20"/>
        </w:rPr>
        <w:t>а</w:t>
      </w:r>
      <w:r>
        <w:rPr>
          <w:color w:val="231F20"/>
          <w:spacing w:val="-2"/>
          <w:sz w:val="20"/>
        </w:rPr>
        <w:t> </w:t>
      </w:r>
      <w:r>
        <w:rPr>
          <w:color w:val="231F20"/>
          <w:sz w:val="20"/>
        </w:rPr>
        <w:t>как</w:t>
      </w:r>
      <w:r>
        <w:rPr>
          <w:color w:val="231F20"/>
          <w:spacing w:val="-2"/>
          <w:sz w:val="20"/>
        </w:rPr>
        <w:t> </w:t>
      </w:r>
      <w:r>
        <w:rPr>
          <w:color w:val="231F20"/>
          <w:sz w:val="20"/>
        </w:rPr>
        <w:t>повод</w:t>
      </w:r>
      <w:r>
        <w:rPr>
          <w:color w:val="231F20"/>
          <w:spacing w:val="-2"/>
          <w:sz w:val="20"/>
        </w:rPr>
        <w:t> </w:t>
      </w:r>
      <w:r>
        <w:rPr>
          <w:color w:val="231F20"/>
          <w:sz w:val="20"/>
        </w:rPr>
        <w:t>для</w:t>
      </w:r>
      <w:r>
        <w:rPr>
          <w:color w:val="231F20"/>
          <w:spacing w:val="-1"/>
          <w:sz w:val="20"/>
        </w:rPr>
        <w:t> </w:t>
      </w:r>
      <w:r>
        <w:rPr>
          <w:color w:val="231F20"/>
          <w:spacing w:val="-2"/>
          <w:sz w:val="20"/>
        </w:rPr>
        <w:t>коммуникации;</w:t>
      </w:r>
    </w:p>
    <w:p>
      <w:pPr>
        <w:pStyle w:val="ListParagraph"/>
        <w:numPr>
          <w:ilvl w:val="0"/>
          <w:numId w:val="57"/>
        </w:numPr>
        <w:tabs>
          <w:tab w:pos="424" w:val="left" w:leader="none"/>
        </w:tabs>
        <w:spacing w:line="224" w:lineRule="exact" w:before="0" w:after="0"/>
        <w:ind w:left="424" w:right="0" w:hanging="283"/>
        <w:jc w:val="left"/>
        <w:rPr>
          <w:sz w:val="20"/>
        </w:rPr>
      </w:pPr>
      <w:r>
        <w:rPr>
          <w:color w:val="231F20"/>
          <w:sz w:val="20"/>
        </w:rPr>
        <w:t>не</w:t>
      </w:r>
      <w:r>
        <w:rPr>
          <w:color w:val="231F20"/>
          <w:spacing w:val="-8"/>
          <w:sz w:val="20"/>
        </w:rPr>
        <w:t> </w:t>
      </w:r>
      <w:r>
        <w:rPr>
          <w:color w:val="231F20"/>
          <w:sz w:val="20"/>
        </w:rPr>
        <w:t>должен</w:t>
      </w:r>
      <w:r>
        <w:rPr>
          <w:color w:val="231F20"/>
          <w:spacing w:val="-9"/>
          <w:sz w:val="20"/>
        </w:rPr>
        <w:t> </w:t>
      </w:r>
      <w:r>
        <w:rPr>
          <w:color w:val="231F20"/>
          <w:sz w:val="20"/>
        </w:rPr>
        <w:t>соответствовать</w:t>
      </w:r>
      <w:r>
        <w:rPr>
          <w:color w:val="231F20"/>
          <w:spacing w:val="-9"/>
          <w:sz w:val="20"/>
        </w:rPr>
        <w:t> </w:t>
      </w:r>
      <w:r>
        <w:rPr>
          <w:color w:val="231F20"/>
          <w:sz w:val="20"/>
        </w:rPr>
        <w:t>требованиям</w:t>
      </w:r>
      <w:r>
        <w:rPr>
          <w:color w:val="231F20"/>
          <w:spacing w:val="-7"/>
          <w:sz w:val="20"/>
        </w:rPr>
        <w:t> </w:t>
      </w:r>
      <w:r>
        <w:rPr>
          <w:color w:val="231F20"/>
          <w:spacing w:val="-2"/>
          <w:sz w:val="20"/>
        </w:rPr>
        <w:t>эстетики;</w:t>
      </w:r>
    </w:p>
    <w:p>
      <w:pPr>
        <w:pStyle w:val="ListParagraph"/>
        <w:numPr>
          <w:ilvl w:val="0"/>
          <w:numId w:val="57"/>
        </w:numPr>
        <w:tabs>
          <w:tab w:pos="424" w:val="left" w:leader="none"/>
        </w:tabs>
        <w:spacing w:line="224" w:lineRule="exact" w:before="0" w:after="0"/>
        <w:ind w:left="424" w:right="0" w:hanging="283"/>
        <w:jc w:val="left"/>
        <w:rPr>
          <w:sz w:val="20"/>
        </w:rPr>
      </w:pPr>
      <w:r>
        <w:rPr>
          <w:color w:val="231F20"/>
          <w:sz w:val="20"/>
        </w:rPr>
        <w:t>может</w:t>
      </w:r>
      <w:r>
        <w:rPr>
          <w:color w:val="231F20"/>
          <w:spacing w:val="-4"/>
          <w:sz w:val="20"/>
        </w:rPr>
        <w:t> </w:t>
      </w:r>
      <w:r>
        <w:rPr>
          <w:color w:val="231F20"/>
          <w:sz w:val="20"/>
        </w:rPr>
        <w:t>не</w:t>
      </w:r>
      <w:r>
        <w:rPr>
          <w:color w:val="231F20"/>
          <w:spacing w:val="-3"/>
          <w:sz w:val="20"/>
        </w:rPr>
        <w:t> </w:t>
      </w:r>
      <w:r>
        <w:rPr>
          <w:color w:val="231F20"/>
          <w:sz w:val="20"/>
        </w:rPr>
        <w:t>быть</w:t>
      </w:r>
      <w:r>
        <w:rPr>
          <w:color w:val="231F20"/>
          <w:spacing w:val="-4"/>
          <w:sz w:val="20"/>
        </w:rPr>
        <w:t> </w:t>
      </w:r>
      <w:r>
        <w:rPr>
          <w:color w:val="231F20"/>
          <w:spacing w:val="-2"/>
          <w:sz w:val="20"/>
        </w:rPr>
        <w:t>завершенным;</w:t>
      </w:r>
    </w:p>
    <w:p>
      <w:pPr>
        <w:pStyle w:val="ListParagraph"/>
        <w:numPr>
          <w:ilvl w:val="0"/>
          <w:numId w:val="57"/>
        </w:numPr>
        <w:tabs>
          <w:tab w:pos="424" w:val="left" w:leader="none"/>
        </w:tabs>
        <w:spacing w:line="224" w:lineRule="exact" w:before="0" w:after="0"/>
        <w:ind w:left="424" w:right="0" w:hanging="283"/>
        <w:jc w:val="left"/>
        <w:rPr>
          <w:sz w:val="20"/>
        </w:rPr>
      </w:pPr>
      <w:r>
        <w:rPr>
          <w:color w:val="231F20"/>
          <w:sz w:val="20"/>
        </w:rPr>
        <w:t>может</w:t>
      </w:r>
      <w:r>
        <w:rPr>
          <w:color w:val="231F20"/>
          <w:spacing w:val="-6"/>
          <w:sz w:val="20"/>
        </w:rPr>
        <w:t> </w:t>
      </w:r>
      <w:r>
        <w:rPr>
          <w:color w:val="231F20"/>
          <w:sz w:val="20"/>
        </w:rPr>
        <w:t>быть</w:t>
      </w:r>
      <w:r>
        <w:rPr>
          <w:color w:val="231F20"/>
          <w:spacing w:val="-6"/>
          <w:sz w:val="20"/>
        </w:rPr>
        <w:t> </w:t>
      </w:r>
      <w:r>
        <w:rPr>
          <w:color w:val="231F20"/>
          <w:spacing w:val="-2"/>
          <w:sz w:val="20"/>
        </w:rPr>
        <w:t>конфиденциальным.</w:t>
      </w:r>
    </w:p>
    <w:p>
      <w:pPr>
        <w:pStyle w:val="BodyText"/>
        <w:spacing w:line="232" w:lineRule="auto" w:before="3"/>
      </w:pPr>
      <w:r>
        <w:rPr>
          <w:color w:val="231F20"/>
        </w:rPr>
        <w:t>В</w:t>
      </w:r>
      <w:r>
        <w:rPr>
          <w:color w:val="231F20"/>
          <w:spacing w:val="-13"/>
        </w:rPr>
        <w:t> </w:t>
      </w:r>
      <w:r>
        <w:rPr>
          <w:color w:val="231F20"/>
        </w:rPr>
        <w:t>современной</w:t>
      </w:r>
      <w:r>
        <w:rPr>
          <w:color w:val="231F20"/>
          <w:spacing w:val="-12"/>
        </w:rPr>
        <w:t> </w:t>
      </w:r>
      <w:r>
        <w:rPr>
          <w:color w:val="231F20"/>
        </w:rPr>
        <w:t>арт-терапии</w:t>
      </w:r>
      <w:r>
        <w:rPr>
          <w:color w:val="231F20"/>
          <w:spacing w:val="-13"/>
        </w:rPr>
        <w:t> </w:t>
      </w:r>
      <w:r>
        <w:rPr>
          <w:color w:val="231F20"/>
        </w:rPr>
        <w:t>подчеркивается</w:t>
      </w:r>
      <w:r>
        <w:rPr>
          <w:color w:val="231F20"/>
          <w:spacing w:val="-12"/>
        </w:rPr>
        <w:t> </w:t>
      </w:r>
      <w:r>
        <w:rPr>
          <w:color w:val="231F20"/>
        </w:rPr>
        <w:t>ключевая</w:t>
      </w:r>
      <w:r>
        <w:rPr>
          <w:color w:val="231F20"/>
          <w:spacing w:val="-13"/>
        </w:rPr>
        <w:t> </w:t>
      </w:r>
      <w:r>
        <w:rPr>
          <w:color w:val="231F20"/>
        </w:rPr>
        <w:t>роль</w:t>
      </w:r>
      <w:r>
        <w:rPr>
          <w:color w:val="231F20"/>
          <w:spacing w:val="-12"/>
        </w:rPr>
        <w:t> </w:t>
      </w:r>
      <w:r>
        <w:rPr>
          <w:color w:val="231F20"/>
        </w:rPr>
        <w:t>терапевтического</w:t>
      </w:r>
      <w:r>
        <w:rPr>
          <w:color w:val="231F20"/>
          <w:spacing w:val="-13"/>
        </w:rPr>
        <w:t> </w:t>
      </w:r>
      <w:r>
        <w:rPr>
          <w:color w:val="231F20"/>
        </w:rPr>
        <w:t>при- сутствия психолога. Отношения между психологом, клиентом и искусством тракту- ются как «триангулированные отношения». Подчеркнем, что терапевтический эф- фект арт-терапевтического упражнения в работе с ребенком обеспечивается именно отношениями с психологом, а не просто рисованием или лепкой.</w:t>
      </w:r>
    </w:p>
    <w:p>
      <w:pPr>
        <w:spacing w:line="232" w:lineRule="auto" w:before="4"/>
        <w:ind w:left="141" w:right="139" w:firstLine="283"/>
        <w:jc w:val="both"/>
        <w:rPr>
          <w:sz w:val="20"/>
        </w:rPr>
      </w:pPr>
      <w:r>
        <w:rPr>
          <w:color w:val="231F20"/>
          <w:sz w:val="20"/>
        </w:rPr>
        <w:t>Арт-терапия</w:t>
      </w:r>
      <w:r>
        <w:rPr>
          <w:color w:val="231F20"/>
          <w:spacing w:val="-13"/>
          <w:sz w:val="20"/>
        </w:rPr>
        <w:t> </w:t>
      </w:r>
      <w:r>
        <w:rPr>
          <w:color w:val="231F20"/>
          <w:sz w:val="20"/>
        </w:rPr>
        <w:t>также</w:t>
      </w:r>
      <w:r>
        <w:rPr>
          <w:color w:val="231F20"/>
          <w:spacing w:val="-12"/>
          <w:sz w:val="20"/>
        </w:rPr>
        <w:t> </w:t>
      </w:r>
      <w:r>
        <w:rPr>
          <w:color w:val="231F20"/>
          <w:sz w:val="20"/>
        </w:rPr>
        <w:t>может</w:t>
      </w:r>
      <w:r>
        <w:rPr>
          <w:color w:val="231F20"/>
          <w:spacing w:val="-13"/>
          <w:sz w:val="20"/>
        </w:rPr>
        <w:t> </w:t>
      </w:r>
      <w:r>
        <w:rPr>
          <w:color w:val="231F20"/>
          <w:sz w:val="20"/>
        </w:rPr>
        <w:t>иметь</w:t>
      </w:r>
      <w:r>
        <w:rPr>
          <w:color w:val="231F20"/>
          <w:spacing w:val="-12"/>
          <w:sz w:val="20"/>
        </w:rPr>
        <w:t> </w:t>
      </w:r>
      <w:r>
        <w:rPr>
          <w:i/>
          <w:color w:val="231F20"/>
          <w:sz w:val="20"/>
        </w:rPr>
        <w:t>недирективный</w:t>
      </w:r>
      <w:r>
        <w:rPr>
          <w:i/>
          <w:color w:val="231F20"/>
          <w:spacing w:val="-13"/>
          <w:sz w:val="20"/>
        </w:rPr>
        <w:t> </w:t>
      </w:r>
      <w:r>
        <w:rPr>
          <w:i/>
          <w:color w:val="231F20"/>
          <w:sz w:val="20"/>
        </w:rPr>
        <w:t>характер</w:t>
      </w:r>
      <w:r>
        <w:rPr>
          <w:color w:val="231F20"/>
          <w:sz w:val="20"/>
        </w:rPr>
        <w:t>,</w:t>
      </w:r>
      <w:r>
        <w:rPr>
          <w:color w:val="231F20"/>
          <w:spacing w:val="-12"/>
          <w:sz w:val="20"/>
        </w:rPr>
        <w:t> </w:t>
      </w:r>
      <w:r>
        <w:rPr>
          <w:color w:val="231F20"/>
          <w:sz w:val="20"/>
        </w:rPr>
        <w:t>когда</w:t>
      </w:r>
      <w:r>
        <w:rPr>
          <w:color w:val="231F20"/>
          <w:spacing w:val="-13"/>
          <w:sz w:val="20"/>
        </w:rPr>
        <w:t> </w:t>
      </w:r>
      <w:r>
        <w:rPr>
          <w:color w:val="231F20"/>
          <w:sz w:val="20"/>
        </w:rPr>
        <w:t>идея</w:t>
      </w:r>
      <w:r>
        <w:rPr>
          <w:color w:val="231F20"/>
          <w:spacing w:val="-12"/>
          <w:sz w:val="20"/>
        </w:rPr>
        <w:t> </w:t>
      </w:r>
      <w:r>
        <w:rPr>
          <w:color w:val="231F20"/>
          <w:sz w:val="20"/>
        </w:rPr>
        <w:t>продукта</w:t>
      </w:r>
      <w:r>
        <w:rPr>
          <w:color w:val="231F20"/>
          <w:spacing w:val="-13"/>
          <w:sz w:val="20"/>
        </w:rPr>
        <w:t> </w:t>
      </w:r>
      <w:r>
        <w:rPr>
          <w:color w:val="231F20"/>
          <w:sz w:val="20"/>
        </w:rPr>
        <w:t>и/ или технологии принадлежит учащемуся, и </w:t>
      </w:r>
      <w:r>
        <w:rPr>
          <w:i/>
          <w:color w:val="231F20"/>
          <w:sz w:val="20"/>
        </w:rPr>
        <w:t>директивный характер</w:t>
      </w:r>
      <w:r>
        <w:rPr>
          <w:color w:val="231F20"/>
          <w:sz w:val="20"/>
        </w:rPr>
        <w:t>, когда арт-тера- певтическое задание ребенку предлагает психолог.</w:t>
      </w:r>
    </w:p>
    <w:p>
      <w:pPr>
        <w:pStyle w:val="BodyText"/>
        <w:spacing w:line="232" w:lineRule="auto" w:before="3"/>
      </w:pPr>
      <w:r>
        <w:rPr>
          <w:color w:val="231F20"/>
        </w:rPr>
        <w:t>Современная арт-терапия предлагает огромное разнообразие форм работы. В те- рапии</w:t>
      </w:r>
      <w:r>
        <w:rPr>
          <w:color w:val="231F20"/>
          <w:spacing w:val="-12"/>
        </w:rPr>
        <w:t> </w:t>
      </w:r>
      <w:r>
        <w:rPr>
          <w:color w:val="231F20"/>
        </w:rPr>
        <w:t>используется</w:t>
      </w:r>
      <w:r>
        <w:rPr>
          <w:color w:val="231F20"/>
          <w:spacing w:val="-12"/>
        </w:rPr>
        <w:t> </w:t>
      </w:r>
      <w:r>
        <w:rPr>
          <w:color w:val="231F20"/>
        </w:rPr>
        <w:t>практически</w:t>
      </w:r>
      <w:r>
        <w:rPr>
          <w:color w:val="231F20"/>
          <w:spacing w:val="-12"/>
        </w:rPr>
        <w:t> </w:t>
      </w:r>
      <w:r>
        <w:rPr>
          <w:color w:val="231F20"/>
        </w:rPr>
        <w:t>любая</w:t>
      </w:r>
      <w:r>
        <w:rPr>
          <w:color w:val="231F20"/>
          <w:spacing w:val="-12"/>
        </w:rPr>
        <w:t> </w:t>
      </w:r>
      <w:r>
        <w:rPr>
          <w:color w:val="231F20"/>
        </w:rPr>
        <w:t>форма</w:t>
      </w:r>
      <w:r>
        <w:rPr>
          <w:color w:val="231F20"/>
          <w:spacing w:val="-12"/>
        </w:rPr>
        <w:t> </w:t>
      </w:r>
      <w:r>
        <w:rPr>
          <w:color w:val="231F20"/>
        </w:rPr>
        <w:t>искусства:</w:t>
      </w:r>
      <w:r>
        <w:rPr>
          <w:color w:val="231F20"/>
          <w:spacing w:val="-12"/>
        </w:rPr>
        <w:t> </w:t>
      </w:r>
      <w:r>
        <w:rPr>
          <w:color w:val="231F20"/>
        </w:rPr>
        <w:t>изобразительное</w:t>
      </w:r>
      <w:r>
        <w:rPr>
          <w:color w:val="231F20"/>
          <w:spacing w:val="-12"/>
        </w:rPr>
        <w:t> </w:t>
      </w:r>
      <w:r>
        <w:rPr>
          <w:color w:val="231F20"/>
        </w:rPr>
        <w:t>искусство (рисование</w:t>
      </w:r>
      <w:r>
        <w:rPr>
          <w:color w:val="231F20"/>
          <w:spacing w:val="-3"/>
        </w:rPr>
        <w:t> </w:t>
      </w:r>
      <w:r>
        <w:rPr>
          <w:color w:val="231F20"/>
        </w:rPr>
        <w:t>и</w:t>
      </w:r>
      <w:r>
        <w:rPr>
          <w:color w:val="231F20"/>
          <w:spacing w:val="-3"/>
        </w:rPr>
        <w:t> </w:t>
      </w:r>
      <w:r>
        <w:rPr>
          <w:color w:val="231F20"/>
        </w:rPr>
        <w:t>скульптура),</w:t>
      </w:r>
      <w:r>
        <w:rPr>
          <w:color w:val="231F20"/>
          <w:spacing w:val="-3"/>
        </w:rPr>
        <w:t> </w:t>
      </w:r>
      <w:r>
        <w:rPr>
          <w:color w:val="231F20"/>
        </w:rPr>
        <w:t>прикладное</w:t>
      </w:r>
      <w:r>
        <w:rPr>
          <w:color w:val="231F20"/>
          <w:spacing w:val="-3"/>
        </w:rPr>
        <w:t> </w:t>
      </w:r>
      <w:r>
        <w:rPr>
          <w:color w:val="231F20"/>
        </w:rPr>
        <w:t>искусство,</w:t>
      </w:r>
      <w:r>
        <w:rPr>
          <w:color w:val="231F20"/>
          <w:spacing w:val="-3"/>
        </w:rPr>
        <w:t> </w:t>
      </w:r>
      <w:r>
        <w:rPr>
          <w:color w:val="231F20"/>
        </w:rPr>
        <w:t>музыка</w:t>
      </w:r>
      <w:r>
        <w:rPr>
          <w:color w:val="231F20"/>
          <w:spacing w:val="-3"/>
        </w:rPr>
        <w:t> </w:t>
      </w:r>
      <w:r>
        <w:rPr>
          <w:color w:val="231F20"/>
        </w:rPr>
        <w:t>и</w:t>
      </w:r>
      <w:r>
        <w:rPr>
          <w:color w:val="231F20"/>
          <w:spacing w:val="-3"/>
        </w:rPr>
        <w:t> </w:t>
      </w:r>
      <w:r>
        <w:rPr>
          <w:color w:val="231F20"/>
        </w:rPr>
        <w:t>голос,</w:t>
      </w:r>
      <w:r>
        <w:rPr>
          <w:color w:val="231F20"/>
          <w:spacing w:val="-3"/>
        </w:rPr>
        <w:t> </w:t>
      </w:r>
      <w:r>
        <w:rPr>
          <w:color w:val="231F20"/>
        </w:rPr>
        <w:t>движение</w:t>
      </w:r>
      <w:r>
        <w:rPr>
          <w:color w:val="231F20"/>
          <w:spacing w:val="-3"/>
        </w:rPr>
        <w:t> </w:t>
      </w:r>
      <w:r>
        <w:rPr>
          <w:color w:val="231F20"/>
        </w:rPr>
        <w:t>и</w:t>
      </w:r>
      <w:r>
        <w:rPr>
          <w:color w:val="231F20"/>
          <w:spacing w:val="-3"/>
        </w:rPr>
        <w:t> </w:t>
      </w:r>
      <w:r>
        <w:rPr>
          <w:color w:val="231F20"/>
        </w:rPr>
        <w:t>танец, театр, цифровое искусство (например фотография). </w:t>
      </w:r>
      <w:r>
        <w:rPr/>
        <w:t>Необходимо понимать, что для психолога</w:t>
      </w:r>
      <w:r>
        <w:rPr>
          <w:spacing w:val="-3"/>
        </w:rPr>
        <w:t> </w:t>
      </w:r>
      <w:r>
        <w:rPr/>
        <w:t>определенный</w:t>
      </w:r>
      <w:r>
        <w:rPr>
          <w:spacing w:val="-3"/>
        </w:rPr>
        <w:t> </w:t>
      </w:r>
      <w:r>
        <w:rPr/>
        <w:t>риск</w:t>
      </w:r>
      <w:r>
        <w:rPr>
          <w:spacing w:val="-3"/>
        </w:rPr>
        <w:t> </w:t>
      </w:r>
      <w:r>
        <w:rPr/>
        <w:t>состоит</w:t>
      </w:r>
      <w:r>
        <w:rPr>
          <w:spacing w:val="-3"/>
        </w:rPr>
        <w:t> </w:t>
      </w:r>
      <w:r>
        <w:rPr/>
        <w:t>в</w:t>
      </w:r>
      <w:r>
        <w:rPr>
          <w:spacing w:val="-3"/>
        </w:rPr>
        <w:t> </w:t>
      </w:r>
      <w:r>
        <w:rPr/>
        <w:t>том,</w:t>
      </w:r>
      <w:r>
        <w:rPr>
          <w:spacing w:val="-3"/>
        </w:rPr>
        <w:t> </w:t>
      </w:r>
      <w:r>
        <w:rPr/>
        <w:t>что</w:t>
      </w:r>
      <w:r>
        <w:rPr>
          <w:spacing w:val="-3"/>
        </w:rPr>
        <w:t> </w:t>
      </w:r>
      <w:r>
        <w:rPr/>
        <w:t>очень</w:t>
      </w:r>
      <w:r>
        <w:rPr>
          <w:spacing w:val="-3"/>
        </w:rPr>
        <w:t> </w:t>
      </w:r>
      <w:r>
        <w:rPr/>
        <w:t>легко</w:t>
      </w:r>
      <w:r>
        <w:rPr>
          <w:spacing w:val="-3"/>
        </w:rPr>
        <w:t> </w:t>
      </w:r>
      <w:r>
        <w:rPr/>
        <w:t>увлечься</w:t>
      </w:r>
      <w:r>
        <w:rPr>
          <w:spacing w:val="-3"/>
        </w:rPr>
        <w:t> </w:t>
      </w:r>
      <w:r>
        <w:rPr/>
        <w:t>формой</w:t>
      </w:r>
      <w:r>
        <w:rPr>
          <w:spacing w:val="-3"/>
        </w:rPr>
        <w:t> </w:t>
      </w:r>
      <w:r>
        <w:rPr/>
        <w:t>и</w:t>
      </w:r>
      <w:r>
        <w:rPr>
          <w:spacing w:val="-3"/>
        </w:rPr>
        <w:t> </w:t>
      </w:r>
      <w:r>
        <w:rPr/>
        <w:t>по- терять то психологическое содержание, ради которого все это затевалось. Арт-тера- певтическое</w:t>
      </w:r>
      <w:r>
        <w:rPr>
          <w:spacing w:val="-13"/>
        </w:rPr>
        <w:t> </w:t>
      </w:r>
      <w:r>
        <w:rPr/>
        <w:t>занятие</w:t>
      </w:r>
      <w:r>
        <w:rPr>
          <w:spacing w:val="-12"/>
        </w:rPr>
        <w:t> </w:t>
      </w:r>
      <w:r>
        <w:rPr/>
        <w:t>не</w:t>
      </w:r>
      <w:r>
        <w:rPr>
          <w:spacing w:val="-13"/>
        </w:rPr>
        <w:t> </w:t>
      </w:r>
      <w:r>
        <w:rPr/>
        <w:t>должно</w:t>
      </w:r>
      <w:r>
        <w:rPr>
          <w:spacing w:val="-12"/>
        </w:rPr>
        <w:t> </w:t>
      </w:r>
      <w:r>
        <w:rPr/>
        <w:t>превращаться</w:t>
      </w:r>
      <w:r>
        <w:rPr>
          <w:spacing w:val="-13"/>
        </w:rPr>
        <w:t> </w:t>
      </w:r>
      <w:r>
        <w:rPr/>
        <w:t>в</w:t>
      </w:r>
      <w:r>
        <w:rPr>
          <w:spacing w:val="-12"/>
        </w:rPr>
        <w:t> </w:t>
      </w:r>
      <w:r>
        <w:rPr/>
        <w:t>урок</w:t>
      </w:r>
      <w:r>
        <w:rPr>
          <w:spacing w:val="-13"/>
        </w:rPr>
        <w:t> </w:t>
      </w:r>
      <w:r>
        <w:rPr/>
        <w:t>изобразительного</w:t>
      </w:r>
      <w:r>
        <w:rPr>
          <w:spacing w:val="-12"/>
        </w:rPr>
        <w:t> </w:t>
      </w:r>
      <w:r>
        <w:rPr/>
        <w:t>искусства,</w:t>
      </w:r>
      <w:r>
        <w:rPr>
          <w:spacing w:val="-13"/>
        </w:rPr>
        <w:t> </w:t>
      </w:r>
      <w:r>
        <w:rPr/>
        <w:t>где психолог помогает ребенку «сделать красиво» и учит его, как лучше справиться с новой для него техникой.</w:t>
      </w:r>
    </w:p>
    <w:p>
      <w:pPr>
        <w:pStyle w:val="BodyText"/>
        <w:spacing w:line="232" w:lineRule="auto" w:before="2"/>
      </w:pPr>
      <w:r>
        <w:rPr/>
        <w:t>Представляется очень важным фокусироваться на терапевтической коммуника- ции, а не просто на выполнении ребенком творческого задания.</w:t>
      </w:r>
    </w:p>
    <w:p>
      <w:pPr>
        <w:pStyle w:val="BodyText"/>
        <w:spacing w:line="235" w:lineRule="auto"/>
      </w:pPr>
      <w:r>
        <w:rPr>
          <w:color w:val="231F20"/>
        </w:rPr>
        <w:t>Арт-терапевтические</w:t>
      </w:r>
      <w:r>
        <w:rPr>
          <w:color w:val="231F20"/>
          <w:spacing w:val="-10"/>
        </w:rPr>
        <w:t> </w:t>
      </w:r>
      <w:r>
        <w:rPr>
          <w:color w:val="231F20"/>
        </w:rPr>
        <w:t>технологии</w:t>
      </w:r>
      <w:r>
        <w:rPr>
          <w:color w:val="231F20"/>
          <w:spacing w:val="-10"/>
        </w:rPr>
        <w:t> </w:t>
      </w:r>
      <w:r>
        <w:rPr>
          <w:color w:val="231F20"/>
        </w:rPr>
        <w:t>можно</w:t>
      </w:r>
      <w:r>
        <w:rPr>
          <w:color w:val="231F20"/>
          <w:spacing w:val="-10"/>
        </w:rPr>
        <w:t> </w:t>
      </w:r>
      <w:r>
        <w:rPr>
          <w:color w:val="231F20"/>
        </w:rPr>
        <w:t>применять</w:t>
      </w:r>
      <w:r>
        <w:rPr>
          <w:color w:val="231F20"/>
          <w:spacing w:val="-10"/>
        </w:rPr>
        <w:t> </w:t>
      </w:r>
      <w:r>
        <w:rPr>
          <w:color w:val="231F20"/>
        </w:rPr>
        <w:t>в</w:t>
      </w:r>
      <w:r>
        <w:rPr>
          <w:color w:val="231F20"/>
          <w:spacing w:val="-10"/>
        </w:rPr>
        <w:t> </w:t>
      </w:r>
      <w:r>
        <w:rPr>
          <w:color w:val="231F20"/>
        </w:rPr>
        <w:t>работе</w:t>
      </w:r>
      <w:r>
        <w:rPr>
          <w:color w:val="231F20"/>
          <w:spacing w:val="-10"/>
        </w:rPr>
        <w:t> </w:t>
      </w:r>
      <w:r>
        <w:rPr>
          <w:color w:val="231F20"/>
        </w:rPr>
        <w:t>с</w:t>
      </w:r>
      <w:r>
        <w:rPr>
          <w:color w:val="231F20"/>
          <w:spacing w:val="-10"/>
        </w:rPr>
        <w:t> </w:t>
      </w:r>
      <w:r>
        <w:rPr>
          <w:color w:val="231F20"/>
        </w:rPr>
        <w:t>учащимися</w:t>
      </w:r>
      <w:r>
        <w:rPr>
          <w:color w:val="231F20"/>
          <w:spacing w:val="-10"/>
        </w:rPr>
        <w:t> </w:t>
      </w:r>
      <w:r>
        <w:rPr>
          <w:color w:val="231F20"/>
        </w:rPr>
        <w:t>любого возраста,</w:t>
      </w:r>
      <w:r>
        <w:rPr>
          <w:color w:val="231F20"/>
          <w:spacing w:val="1"/>
        </w:rPr>
        <w:t> </w:t>
      </w:r>
      <w:r>
        <w:rPr>
          <w:color w:val="231F20"/>
        </w:rPr>
        <w:t>они</w:t>
      </w:r>
      <w:r>
        <w:rPr>
          <w:color w:val="231F20"/>
          <w:spacing w:val="1"/>
        </w:rPr>
        <w:t> </w:t>
      </w:r>
      <w:r>
        <w:rPr>
          <w:color w:val="231F20"/>
        </w:rPr>
        <w:t>эффективны</w:t>
      </w:r>
      <w:r>
        <w:rPr>
          <w:color w:val="231F20"/>
          <w:spacing w:val="1"/>
        </w:rPr>
        <w:t> </w:t>
      </w:r>
      <w:r>
        <w:rPr>
          <w:color w:val="231F20"/>
        </w:rPr>
        <w:t>в</w:t>
      </w:r>
      <w:r>
        <w:rPr>
          <w:color w:val="231F20"/>
          <w:spacing w:val="1"/>
        </w:rPr>
        <w:t> </w:t>
      </w:r>
      <w:r>
        <w:rPr>
          <w:color w:val="231F20"/>
        </w:rPr>
        <w:t>решении</w:t>
      </w:r>
      <w:r>
        <w:rPr>
          <w:color w:val="231F20"/>
          <w:spacing w:val="2"/>
        </w:rPr>
        <w:t> </w:t>
      </w:r>
      <w:r>
        <w:rPr>
          <w:color w:val="231F20"/>
        </w:rPr>
        <w:t>задач</w:t>
      </w:r>
      <w:r>
        <w:rPr>
          <w:color w:val="231F20"/>
          <w:spacing w:val="1"/>
        </w:rPr>
        <w:t> </w:t>
      </w:r>
      <w:r>
        <w:rPr/>
        <w:t>выражения</w:t>
      </w:r>
      <w:r>
        <w:rPr>
          <w:spacing w:val="1"/>
        </w:rPr>
        <w:t> </w:t>
      </w:r>
      <w:r>
        <w:rPr/>
        <w:t>и</w:t>
      </w:r>
      <w:r>
        <w:rPr>
          <w:spacing w:val="1"/>
        </w:rPr>
        <w:t> </w:t>
      </w:r>
      <w:r>
        <w:rPr/>
        <w:t>отреагирования</w:t>
      </w:r>
      <w:r>
        <w:rPr>
          <w:spacing w:val="2"/>
        </w:rPr>
        <w:t> </w:t>
      </w:r>
      <w:r>
        <w:rPr>
          <w:spacing w:val="-2"/>
        </w:rPr>
        <w:t>различных</w:t>
      </w:r>
    </w:p>
    <w:p>
      <w:pPr>
        <w:pStyle w:val="BodyText"/>
        <w:spacing w:after="0" w:line="235" w:lineRule="auto"/>
        <w:sectPr>
          <w:pgSz w:w="8400" w:h="11910"/>
          <w:pgMar w:header="0" w:footer="528" w:top="400" w:bottom="740" w:left="425" w:right="425"/>
        </w:sectPr>
      </w:pPr>
    </w:p>
    <w:p>
      <w:pPr>
        <w:pStyle w:val="ListParagraph"/>
        <w:numPr>
          <w:ilvl w:val="1"/>
          <w:numId w:val="58"/>
        </w:numPr>
        <w:tabs>
          <w:tab w:pos="455" w:val="left" w:leader="none"/>
        </w:tabs>
        <w:spacing w:line="240" w:lineRule="auto" w:before="80" w:after="0"/>
        <w:ind w:left="455" w:right="0" w:hanging="314"/>
        <w:jc w:val="left"/>
        <w:rPr>
          <w:rFonts w:ascii="Georgia" w:hAnsi="Georgia"/>
          <w:color w:val="231F20"/>
          <w:sz w:val="18"/>
        </w:rPr>
      </w:pPr>
      <w:bookmarkStart w:name="_bookmark44" w:id="46"/>
      <w:bookmarkEnd w:id="46"/>
      <w:r>
        <w:rPr/>
      </w:r>
      <w:r>
        <w:rPr>
          <w:rFonts w:ascii="Georgia" w:hAnsi="Georgia"/>
          <w:color w:val="231F20"/>
          <w:sz w:val="18"/>
        </w:rPr>
        <w:t>Использование</w:t>
      </w:r>
      <w:r>
        <w:rPr>
          <w:rFonts w:ascii="Georgia" w:hAnsi="Georgia"/>
          <w:color w:val="231F20"/>
          <w:spacing w:val="-2"/>
          <w:sz w:val="18"/>
        </w:rPr>
        <w:t> </w:t>
      </w:r>
      <w:r>
        <w:rPr>
          <w:rFonts w:ascii="Georgia" w:hAnsi="Georgia"/>
          <w:color w:val="231F20"/>
          <w:sz w:val="18"/>
        </w:rPr>
        <w:t>консультативных</w:t>
      </w:r>
      <w:r>
        <w:rPr>
          <w:rFonts w:ascii="Georgia" w:hAnsi="Georgia"/>
          <w:color w:val="231F20"/>
          <w:spacing w:val="-1"/>
          <w:sz w:val="18"/>
        </w:rPr>
        <w:t> </w:t>
      </w:r>
      <w:r>
        <w:rPr>
          <w:rFonts w:ascii="Georgia" w:hAnsi="Georgia"/>
          <w:color w:val="231F20"/>
          <w:sz w:val="18"/>
        </w:rPr>
        <w:t>подходов</w:t>
      </w:r>
      <w:r>
        <w:rPr>
          <w:rFonts w:ascii="Georgia" w:hAnsi="Georgia"/>
          <w:color w:val="231F20"/>
          <w:spacing w:val="-2"/>
          <w:sz w:val="18"/>
        </w:rPr>
        <w:t> </w:t>
      </w:r>
      <w:r>
        <w:rPr>
          <w:rFonts w:ascii="Georgia" w:hAnsi="Georgia"/>
          <w:color w:val="231F20"/>
          <w:sz w:val="18"/>
        </w:rPr>
        <w:t>и</w:t>
      </w:r>
      <w:r>
        <w:rPr>
          <w:rFonts w:ascii="Georgia" w:hAnsi="Georgia"/>
          <w:color w:val="231F20"/>
          <w:spacing w:val="-1"/>
          <w:sz w:val="18"/>
        </w:rPr>
        <w:t> </w:t>
      </w:r>
      <w:r>
        <w:rPr>
          <w:rFonts w:ascii="Georgia" w:hAnsi="Georgia"/>
          <w:color w:val="231F20"/>
          <w:sz w:val="18"/>
        </w:rPr>
        <w:t>стратегий</w:t>
      </w:r>
      <w:r>
        <w:rPr>
          <w:rFonts w:ascii="Georgia" w:hAnsi="Georgia"/>
          <w:color w:val="231F20"/>
          <w:spacing w:val="-1"/>
          <w:sz w:val="18"/>
        </w:rPr>
        <w:t> </w:t>
      </w:r>
      <w:r>
        <w:rPr>
          <w:rFonts w:ascii="Georgia" w:hAnsi="Georgia"/>
          <w:color w:val="231F20"/>
          <w:sz w:val="18"/>
        </w:rPr>
        <w:t>в</w:t>
      </w:r>
      <w:r>
        <w:rPr>
          <w:rFonts w:ascii="Georgia" w:hAnsi="Georgia"/>
          <w:color w:val="231F20"/>
          <w:spacing w:val="-2"/>
          <w:sz w:val="18"/>
        </w:rPr>
        <w:t> </w:t>
      </w:r>
      <w:r>
        <w:rPr>
          <w:rFonts w:ascii="Georgia" w:hAnsi="Georgia"/>
          <w:color w:val="231F20"/>
          <w:sz w:val="18"/>
        </w:rPr>
        <w:t>работе</w:t>
      </w:r>
      <w:r>
        <w:rPr>
          <w:rFonts w:ascii="Georgia" w:hAnsi="Georgia"/>
          <w:color w:val="231F20"/>
          <w:spacing w:val="-1"/>
          <w:sz w:val="18"/>
        </w:rPr>
        <w:t> </w:t>
      </w:r>
      <w:r>
        <w:rPr>
          <w:rFonts w:ascii="Georgia" w:hAnsi="Georgia"/>
          <w:color w:val="231F20"/>
          <w:sz w:val="18"/>
        </w:rPr>
        <w:t>с</w:t>
      </w:r>
      <w:r>
        <w:rPr>
          <w:rFonts w:ascii="Georgia" w:hAnsi="Georgia"/>
          <w:color w:val="231F20"/>
          <w:spacing w:val="-1"/>
          <w:sz w:val="18"/>
        </w:rPr>
        <w:t> </w:t>
      </w:r>
      <w:r>
        <w:rPr>
          <w:rFonts w:ascii="Georgia" w:hAnsi="Georgia"/>
          <w:color w:val="231F20"/>
          <w:spacing w:val="-2"/>
          <w:sz w:val="18"/>
        </w:rPr>
        <w:t>детьми...</w:t>
      </w:r>
    </w:p>
    <w:p>
      <w:pPr>
        <w:pStyle w:val="BodyText"/>
        <w:spacing w:line="242" w:lineRule="auto" w:before="112"/>
        <w:ind w:firstLine="0"/>
      </w:pPr>
      <w:r>
        <w:rPr/>
        <w:t>эмоциональных</w:t>
      </w:r>
      <w:r>
        <w:rPr>
          <w:spacing w:val="-7"/>
        </w:rPr>
        <w:t> </w:t>
      </w:r>
      <w:r>
        <w:rPr/>
        <w:t>состояний,</w:t>
      </w:r>
      <w:r>
        <w:rPr>
          <w:spacing w:val="-7"/>
        </w:rPr>
        <w:t> </w:t>
      </w:r>
      <w:r>
        <w:rPr/>
        <w:t>формирования</w:t>
      </w:r>
      <w:r>
        <w:rPr>
          <w:spacing w:val="-7"/>
        </w:rPr>
        <w:t> </w:t>
      </w:r>
      <w:r>
        <w:rPr/>
        <w:t>конструктивных</w:t>
      </w:r>
      <w:r>
        <w:rPr>
          <w:spacing w:val="-7"/>
        </w:rPr>
        <w:t> </w:t>
      </w:r>
      <w:r>
        <w:rPr/>
        <w:t>способов</w:t>
      </w:r>
      <w:r>
        <w:rPr>
          <w:spacing w:val="-7"/>
        </w:rPr>
        <w:t> </w:t>
      </w:r>
      <w:r>
        <w:rPr/>
        <w:t>эмоционально- го</w:t>
      </w:r>
      <w:r>
        <w:rPr>
          <w:spacing w:val="-3"/>
        </w:rPr>
        <w:t> </w:t>
      </w:r>
      <w:r>
        <w:rPr/>
        <w:t>отреагирования,</w:t>
      </w:r>
      <w:r>
        <w:rPr>
          <w:spacing w:val="-3"/>
        </w:rPr>
        <w:t> </w:t>
      </w:r>
      <w:r>
        <w:rPr/>
        <w:t>содействия</w:t>
      </w:r>
      <w:r>
        <w:rPr>
          <w:spacing w:val="-3"/>
        </w:rPr>
        <w:t> </w:t>
      </w:r>
      <w:r>
        <w:rPr/>
        <w:t>преодолению</w:t>
      </w:r>
      <w:r>
        <w:rPr>
          <w:spacing w:val="-3"/>
        </w:rPr>
        <w:t> </w:t>
      </w:r>
      <w:r>
        <w:rPr/>
        <w:t>негативных</w:t>
      </w:r>
      <w:r>
        <w:rPr>
          <w:spacing w:val="-3"/>
        </w:rPr>
        <w:t> </w:t>
      </w:r>
      <w:r>
        <w:rPr/>
        <w:t>последствий</w:t>
      </w:r>
      <w:r>
        <w:rPr>
          <w:spacing w:val="-3"/>
        </w:rPr>
        <w:t> </w:t>
      </w:r>
      <w:r>
        <w:rPr/>
        <w:t>миграционно- го стресса, повышения самоуважения и уверенности в себе, обеспечения рефлексии культурных</w:t>
      </w:r>
      <w:r>
        <w:rPr>
          <w:spacing w:val="-4"/>
        </w:rPr>
        <w:t> </w:t>
      </w:r>
      <w:r>
        <w:rPr/>
        <w:t>норм</w:t>
      </w:r>
      <w:r>
        <w:rPr>
          <w:spacing w:val="-4"/>
        </w:rPr>
        <w:t> </w:t>
      </w:r>
      <w:r>
        <w:rPr/>
        <w:t>страны</w:t>
      </w:r>
      <w:r>
        <w:rPr>
          <w:spacing w:val="-4"/>
        </w:rPr>
        <w:t> </w:t>
      </w:r>
      <w:r>
        <w:rPr/>
        <w:t>исхода</w:t>
      </w:r>
      <w:r>
        <w:rPr>
          <w:spacing w:val="-4"/>
        </w:rPr>
        <w:t> </w:t>
      </w:r>
      <w:r>
        <w:rPr/>
        <w:t>и</w:t>
      </w:r>
      <w:r>
        <w:rPr>
          <w:spacing w:val="-4"/>
        </w:rPr>
        <w:t> </w:t>
      </w:r>
      <w:r>
        <w:rPr/>
        <w:t>российской</w:t>
      </w:r>
      <w:r>
        <w:rPr>
          <w:spacing w:val="-4"/>
        </w:rPr>
        <w:t> </w:t>
      </w:r>
      <w:r>
        <w:rPr/>
        <w:t>культуры,</w:t>
      </w:r>
      <w:r>
        <w:rPr>
          <w:spacing w:val="-4"/>
        </w:rPr>
        <w:t> </w:t>
      </w:r>
      <w:r>
        <w:rPr/>
        <w:t>содействия</w:t>
      </w:r>
      <w:r>
        <w:rPr>
          <w:spacing w:val="-4"/>
        </w:rPr>
        <w:t> </w:t>
      </w:r>
      <w:r>
        <w:rPr/>
        <w:t>формированию позитивной этнической идентичности и российской гражданской идентичности.</w:t>
      </w:r>
    </w:p>
    <w:p>
      <w:pPr>
        <w:pStyle w:val="BodyText"/>
        <w:spacing w:line="244" w:lineRule="auto" w:before="5"/>
      </w:pPr>
      <w:r>
        <w:rPr/>
        <w:t>Психологи</w:t>
      </w:r>
      <w:r>
        <w:rPr>
          <w:spacing w:val="-7"/>
        </w:rPr>
        <w:t> </w:t>
      </w:r>
      <w:r>
        <w:rPr/>
        <w:t>могут</w:t>
      </w:r>
      <w:r>
        <w:rPr>
          <w:spacing w:val="-7"/>
        </w:rPr>
        <w:t> </w:t>
      </w:r>
      <w:r>
        <w:rPr/>
        <w:t>использовать</w:t>
      </w:r>
      <w:r>
        <w:rPr>
          <w:spacing w:val="-7"/>
        </w:rPr>
        <w:t> </w:t>
      </w:r>
      <w:r>
        <w:rPr/>
        <w:t>в</w:t>
      </w:r>
      <w:r>
        <w:rPr>
          <w:spacing w:val="-7"/>
        </w:rPr>
        <w:t> </w:t>
      </w:r>
      <w:r>
        <w:rPr/>
        <w:t>индивидуальной</w:t>
      </w:r>
      <w:r>
        <w:rPr>
          <w:spacing w:val="-7"/>
        </w:rPr>
        <w:t> </w:t>
      </w:r>
      <w:r>
        <w:rPr/>
        <w:t>работе</w:t>
      </w:r>
      <w:r>
        <w:rPr>
          <w:spacing w:val="-7"/>
        </w:rPr>
        <w:t> </w:t>
      </w:r>
      <w:r>
        <w:rPr/>
        <w:t>с</w:t>
      </w:r>
      <w:r>
        <w:rPr>
          <w:spacing w:val="-7"/>
        </w:rPr>
        <w:t> </w:t>
      </w:r>
      <w:r>
        <w:rPr/>
        <w:t>данной</w:t>
      </w:r>
      <w:r>
        <w:rPr>
          <w:spacing w:val="-7"/>
        </w:rPr>
        <w:t> </w:t>
      </w:r>
      <w:r>
        <w:rPr/>
        <w:t>категорией</w:t>
      </w:r>
      <w:r>
        <w:rPr>
          <w:spacing w:val="-7"/>
        </w:rPr>
        <w:t> </w:t>
      </w:r>
      <w:r>
        <w:rPr/>
        <w:t>об- учающихся</w:t>
      </w:r>
      <w:r>
        <w:rPr>
          <w:spacing w:val="-13"/>
        </w:rPr>
        <w:t> </w:t>
      </w:r>
      <w:r>
        <w:rPr/>
        <w:t>знакомые</w:t>
      </w:r>
      <w:r>
        <w:rPr>
          <w:spacing w:val="-12"/>
        </w:rPr>
        <w:t> </w:t>
      </w:r>
      <w:r>
        <w:rPr/>
        <w:t>им</w:t>
      </w:r>
      <w:r>
        <w:rPr>
          <w:spacing w:val="-13"/>
        </w:rPr>
        <w:t> </w:t>
      </w:r>
      <w:r>
        <w:rPr/>
        <w:t>практики,</w:t>
      </w:r>
      <w:r>
        <w:rPr>
          <w:spacing w:val="-12"/>
        </w:rPr>
        <w:t> </w:t>
      </w:r>
      <w:r>
        <w:rPr/>
        <w:t>обладающие</w:t>
      </w:r>
      <w:r>
        <w:rPr>
          <w:spacing w:val="-13"/>
        </w:rPr>
        <w:t> </w:t>
      </w:r>
      <w:r>
        <w:rPr/>
        <w:t>доказанной</w:t>
      </w:r>
      <w:r>
        <w:rPr>
          <w:spacing w:val="-12"/>
        </w:rPr>
        <w:t> </w:t>
      </w:r>
      <w:r>
        <w:rPr/>
        <w:t>эффективностью</w:t>
      </w:r>
      <w:r>
        <w:rPr>
          <w:spacing w:val="-13"/>
        </w:rPr>
        <w:t> </w:t>
      </w:r>
      <w:r>
        <w:rPr/>
        <w:t>и</w:t>
      </w:r>
      <w:r>
        <w:rPr>
          <w:spacing w:val="-12"/>
        </w:rPr>
        <w:t> </w:t>
      </w:r>
      <w:r>
        <w:rPr/>
        <w:t>хоро- шо себя зарекомендовавшие (в том числе элементы игровой и арт-терапии).</w:t>
      </w:r>
    </w:p>
    <w:p>
      <w:pPr>
        <w:pStyle w:val="BodyText"/>
        <w:spacing w:before="2"/>
        <w:ind w:left="0" w:right="0" w:firstLine="0"/>
        <w:jc w:val="left"/>
      </w:pPr>
    </w:p>
    <w:p>
      <w:pPr>
        <w:numPr>
          <w:ilvl w:val="2"/>
          <w:numId w:val="52"/>
        </w:numPr>
        <w:tabs>
          <w:tab w:pos="1478" w:val="left" w:leader="none"/>
          <w:tab w:pos="1986" w:val="left" w:leader="none"/>
        </w:tabs>
        <w:spacing w:line="244" w:lineRule="auto" w:before="0"/>
        <w:ind w:left="1986" w:right="975" w:hanging="1008"/>
        <w:jc w:val="both"/>
        <w:rPr>
          <w:b/>
          <w:sz w:val="20"/>
        </w:rPr>
      </w:pPr>
      <w:r>
        <w:rPr>
          <w:b/>
          <w:color w:val="231F20"/>
          <w:spacing w:val="-2"/>
          <w:sz w:val="20"/>
        </w:rPr>
        <w:t>Приемы проведения краткосрочного консультирования </w:t>
      </w:r>
      <w:r>
        <w:rPr>
          <w:b/>
          <w:color w:val="231F20"/>
          <w:sz w:val="20"/>
        </w:rPr>
        <w:t>с детьми – иностранными гражданами.</w:t>
      </w:r>
    </w:p>
    <w:p>
      <w:pPr>
        <w:pStyle w:val="BodyText"/>
        <w:spacing w:line="244" w:lineRule="auto" w:before="112"/>
      </w:pPr>
      <w:r>
        <w:rPr>
          <w:color w:val="231F20"/>
        </w:rPr>
        <w:t>Структурируем</w:t>
      </w:r>
      <w:r>
        <w:rPr>
          <w:color w:val="231F20"/>
          <w:spacing w:val="-2"/>
        </w:rPr>
        <w:t> </w:t>
      </w:r>
      <w:r>
        <w:rPr>
          <w:color w:val="231F20"/>
        </w:rPr>
        <w:t>приемы</w:t>
      </w:r>
      <w:r>
        <w:rPr>
          <w:color w:val="231F20"/>
          <w:spacing w:val="-2"/>
        </w:rPr>
        <w:t> </w:t>
      </w:r>
      <w:r>
        <w:rPr>
          <w:color w:val="231F20"/>
        </w:rPr>
        <w:t>проведения</w:t>
      </w:r>
      <w:r>
        <w:rPr>
          <w:color w:val="231F20"/>
          <w:spacing w:val="-2"/>
        </w:rPr>
        <w:t> </w:t>
      </w:r>
      <w:r>
        <w:rPr>
          <w:color w:val="231F20"/>
        </w:rPr>
        <w:t>краткосрочного</w:t>
      </w:r>
      <w:r>
        <w:rPr>
          <w:color w:val="231F20"/>
          <w:spacing w:val="-2"/>
        </w:rPr>
        <w:t> </w:t>
      </w:r>
      <w:r>
        <w:rPr>
          <w:color w:val="231F20"/>
        </w:rPr>
        <w:t>консультирования</w:t>
      </w:r>
      <w:r>
        <w:rPr>
          <w:color w:val="231F20"/>
          <w:spacing w:val="-2"/>
        </w:rPr>
        <w:t> </w:t>
      </w:r>
      <w:r>
        <w:rPr>
          <w:color w:val="231F20"/>
        </w:rPr>
        <w:t>с</w:t>
      </w:r>
      <w:r>
        <w:rPr>
          <w:color w:val="231F20"/>
          <w:spacing w:val="-2"/>
        </w:rPr>
        <w:t> </w:t>
      </w:r>
      <w:r>
        <w:rPr>
          <w:color w:val="231F20"/>
        </w:rPr>
        <w:t>детьми- мигрантами</w:t>
      </w:r>
      <w:r>
        <w:rPr>
          <w:color w:val="231F20"/>
          <w:spacing w:val="-10"/>
        </w:rPr>
        <w:t> </w:t>
      </w:r>
      <w:r>
        <w:rPr>
          <w:color w:val="231F20"/>
        </w:rPr>
        <w:t>в</w:t>
      </w:r>
      <w:r>
        <w:rPr>
          <w:color w:val="231F20"/>
          <w:spacing w:val="-10"/>
        </w:rPr>
        <w:t> </w:t>
      </w:r>
      <w:r>
        <w:rPr>
          <w:color w:val="231F20"/>
        </w:rPr>
        <w:t>соответствии</w:t>
      </w:r>
      <w:r>
        <w:rPr>
          <w:color w:val="231F20"/>
          <w:spacing w:val="-10"/>
        </w:rPr>
        <w:t> </w:t>
      </w:r>
      <w:r>
        <w:rPr>
          <w:color w:val="231F20"/>
        </w:rPr>
        <w:t>с</w:t>
      </w:r>
      <w:r>
        <w:rPr>
          <w:color w:val="231F20"/>
          <w:spacing w:val="-10"/>
        </w:rPr>
        <w:t> </w:t>
      </w:r>
      <w:r>
        <w:rPr>
          <w:color w:val="231F20"/>
        </w:rPr>
        <w:t>возрастом</w:t>
      </w:r>
      <w:r>
        <w:rPr>
          <w:color w:val="231F20"/>
          <w:spacing w:val="-10"/>
        </w:rPr>
        <w:t> </w:t>
      </w:r>
      <w:r>
        <w:rPr>
          <w:color w:val="231F20"/>
        </w:rPr>
        <w:t>ребенка,</w:t>
      </w:r>
      <w:r>
        <w:rPr>
          <w:color w:val="231F20"/>
          <w:spacing w:val="-10"/>
        </w:rPr>
        <w:t> </w:t>
      </w:r>
      <w:r>
        <w:rPr>
          <w:color w:val="231F20"/>
        </w:rPr>
        <w:t>а</w:t>
      </w:r>
      <w:r>
        <w:rPr>
          <w:color w:val="231F20"/>
          <w:spacing w:val="-10"/>
        </w:rPr>
        <w:t> </w:t>
      </w:r>
      <w:r>
        <w:rPr>
          <w:color w:val="231F20"/>
        </w:rPr>
        <w:t>также</w:t>
      </w:r>
      <w:r>
        <w:rPr>
          <w:color w:val="231F20"/>
          <w:spacing w:val="-10"/>
        </w:rPr>
        <w:t> </w:t>
      </w:r>
      <w:r>
        <w:rPr>
          <w:color w:val="231F20"/>
        </w:rPr>
        <w:t>с</w:t>
      </w:r>
      <w:r>
        <w:rPr>
          <w:color w:val="231F20"/>
          <w:spacing w:val="-10"/>
        </w:rPr>
        <w:t> </w:t>
      </w:r>
      <w:r>
        <w:rPr>
          <w:color w:val="231F20"/>
        </w:rPr>
        <w:t>группой</w:t>
      </w:r>
      <w:r>
        <w:rPr>
          <w:color w:val="231F20"/>
          <w:spacing w:val="-10"/>
        </w:rPr>
        <w:t> </w:t>
      </w:r>
      <w:r>
        <w:rPr>
          <w:color w:val="231F20"/>
        </w:rPr>
        <w:t>особых</w:t>
      </w:r>
      <w:r>
        <w:rPr>
          <w:color w:val="231F20"/>
          <w:spacing w:val="-11"/>
        </w:rPr>
        <w:t> </w:t>
      </w:r>
      <w:r>
        <w:rPr>
          <w:color w:val="231F20"/>
        </w:rPr>
        <w:t>(дополни- тельных) образовательных потребностей, с которыми связаны трудности ребенка и, соответственно, стоящие перед психологом задачи.</w:t>
      </w:r>
    </w:p>
    <w:p>
      <w:pPr>
        <w:spacing w:before="113"/>
        <w:ind w:left="425" w:right="0" w:firstLine="0"/>
        <w:jc w:val="both"/>
        <w:rPr>
          <w:b/>
          <w:i/>
          <w:sz w:val="20"/>
        </w:rPr>
      </w:pPr>
      <w:r>
        <w:rPr>
          <w:b/>
          <w:i/>
          <w:sz w:val="20"/>
        </w:rPr>
        <w:t>В</w:t>
      </w:r>
      <w:r>
        <w:rPr>
          <w:b/>
          <w:i/>
          <w:spacing w:val="-11"/>
          <w:sz w:val="20"/>
        </w:rPr>
        <w:t> </w:t>
      </w:r>
      <w:r>
        <w:rPr>
          <w:b/>
          <w:i/>
          <w:sz w:val="20"/>
        </w:rPr>
        <w:t>области</w:t>
      </w:r>
      <w:r>
        <w:rPr>
          <w:b/>
          <w:i/>
          <w:spacing w:val="-12"/>
          <w:sz w:val="20"/>
        </w:rPr>
        <w:t> </w:t>
      </w:r>
      <w:r>
        <w:rPr>
          <w:b/>
          <w:i/>
          <w:sz w:val="20"/>
        </w:rPr>
        <w:t>психологического</w:t>
      </w:r>
      <w:r>
        <w:rPr>
          <w:b/>
          <w:i/>
          <w:spacing w:val="-10"/>
          <w:sz w:val="20"/>
        </w:rPr>
        <w:t> </w:t>
      </w:r>
      <w:r>
        <w:rPr>
          <w:b/>
          <w:i/>
          <w:spacing w:val="-2"/>
          <w:sz w:val="20"/>
        </w:rPr>
        <w:t>благополучия</w:t>
      </w:r>
    </w:p>
    <w:p>
      <w:pPr>
        <w:spacing w:before="63"/>
        <w:ind w:left="425" w:right="0" w:firstLine="0"/>
        <w:jc w:val="both"/>
        <w:rPr>
          <w:i/>
          <w:sz w:val="20"/>
        </w:rPr>
      </w:pPr>
      <w:r>
        <w:rPr>
          <w:i/>
          <w:sz w:val="20"/>
        </w:rPr>
        <w:t>Для</w:t>
      </w:r>
      <w:r>
        <w:rPr>
          <w:i/>
          <w:spacing w:val="-5"/>
          <w:sz w:val="20"/>
        </w:rPr>
        <w:t> </w:t>
      </w:r>
      <w:r>
        <w:rPr>
          <w:i/>
          <w:sz w:val="20"/>
        </w:rPr>
        <w:t>учащихся</w:t>
      </w:r>
      <w:r>
        <w:rPr>
          <w:i/>
          <w:spacing w:val="-3"/>
          <w:sz w:val="20"/>
        </w:rPr>
        <w:t> </w:t>
      </w:r>
      <w:r>
        <w:rPr>
          <w:i/>
          <w:sz w:val="20"/>
        </w:rPr>
        <w:t>начальной</w:t>
      </w:r>
      <w:r>
        <w:rPr>
          <w:i/>
          <w:spacing w:val="-2"/>
          <w:sz w:val="20"/>
        </w:rPr>
        <w:t> </w:t>
      </w:r>
      <w:r>
        <w:rPr>
          <w:i/>
          <w:spacing w:val="-4"/>
          <w:sz w:val="20"/>
        </w:rPr>
        <w:t>школы</w:t>
      </w:r>
    </w:p>
    <w:p>
      <w:pPr>
        <w:pStyle w:val="BodyText"/>
        <w:spacing w:line="247" w:lineRule="auto" w:before="6"/>
      </w:pPr>
      <w:r>
        <w:rPr/>
        <w:t>Если</w:t>
      </w:r>
      <w:r>
        <w:rPr>
          <w:spacing w:val="-4"/>
        </w:rPr>
        <w:t> </w:t>
      </w:r>
      <w:r>
        <w:rPr/>
        <w:t>ключевые</w:t>
      </w:r>
      <w:r>
        <w:rPr>
          <w:spacing w:val="-3"/>
        </w:rPr>
        <w:t> </w:t>
      </w:r>
      <w:r>
        <w:rPr/>
        <w:t>задачи</w:t>
      </w:r>
      <w:r>
        <w:rPr>
          <w:spacing w:val="-3"/>
        </w:rPr>
        <w:t> </w:t>
      </w:r>
      <w:r>
        <w:rPr/>
        <w:t>связаны</w:t>
      </w:r>
      <w:r>
        <w:rPr>
          <w:spacing w:val="-3"/>
        </w:rPr>
        <w:t> </w:t>
      </w:r>
      <w:r>
        <w:rPr/>
        <w:t>с</w:t>
      </w:r>
      <w:r>
        <w:rPr>
          <w:spacing w:val="-3"/>
        </w:rPr>
        <w:t> </w:t>
      </w:r>
      <w:r>
        <w:rPr/>
        <w:t>обеспечением</w:t>
      </w:r>
      <w:r>
        <w:rPr>
          <w:spacing w:val="-3"/>
        </w:rPr>
        <w:t> </w:t>
      </w:r>
      <w:r>
        <w:rPr/>
        <w:t>возможности</w:t>
      </w:r>
      <w:r>
        <w:rPr>
          <w:spacing w:val="-4"/>
        </w:rPr>
        <w:t> </w:t>
      </w:r>
      <w:r>
        <w:rPr/>
        <w:t>выражения</w:t>
      </w:r>
      <w:r>
        <w:rPr>
          <w:spacing w:val="-3"/>
        </w:rPr>
        <w:t> </w:t>
      </w:r>
      <w:r>
        <w:rPr/>
        <w:t>и</w:t>
      </w:r>
      <w:r>
        <w:rPr>
          <w:spacing w:val="-3"/>
        </w:rPr>
        <w:t> </w:t>
      </w:r>
      <w:r>
        <w:rPr/>
        <w:t>отреа- гирования различных эмоциональных состояний и формированием конструктивных способов эмоционального отреагирования, могут применяться следующие подходы и приемы:</w:t>
      </w:r>
    </w:p>
    <w:p>
      <w:pPr>
        <w:pStyle w:val="ListParagraph"/>
        <w:numPr>
          <w:ilvl w:val="0"/>
          <w:numId w:val="59"/>
        </w:numPr>
        <w:tabs>
          <w:tab w:pos="424" w:val="left" w:leader="none"/>
        </w:tabs>
        <w:spacing w:line="226" w:lineRule="exact" w:before="0" w:after="0"/>
        <w:ind w:left="424" w:right="0" w:hanging="283"/>
        <w:jc w:val="both"/>
        <w:rPr>
          <w:sz w:val="20"/>
        </w:rPr>
      </w:pPr>
      <w:r>
        <w:rPr>
          <w:sz w:val="20"/>
        </w:rPr>
        <w:t>недирективная</w:t>
      </w:r>
      <w:r>
        <w:rPr>
          <w:spacing w:val="-7"/>
          <w:sz w:val="20"/>
        </w:rPr>
        <w:t> </w:t>
      </w:r>
      <w:r>
        <w:rPr>
          <w:sz w:val="20"/>
        </w:rPr>
        <w:t>игровая</w:t>
      </w:r>
      <w:r>
        <w:rPr>
          <w:spacing w:val="-6"/>
          <w:sz w:val="20"/>
        </w:rPr>
        <w:t> </w:t>
      </w:r>
      <w:r>
        <w:rPr>
          <w:spacing w:val="-2"/>
          <w:sz w:val="20"/>
        </w:rPr>
        <w:t>терапия;</w:t>
      </w:r>
    </w:p>
    <w:p>
      <w:pPr>
        <w:pStyle w:val="ListParagraph"/>
        <w:numPr>
          <w:ilvl w:val="0"/>
          <w:numId w:val="59"/>
        </w:numPr>
        <w:tabs>
          <w:tab w:pos="425" w:val="left" w:leader="none"/>
        </w:tabs>
        <w:spacing w:line="247" w:lineRule="auto" w:before="6" w:after="0"/>
        <w:ind w:left="425" w:right="139" w:hanging="284"/>
        <w:jc w:val="both"/>
        <w:rPr>
          <w:sz w:val="20"/>
        </w:rPr>
      </w:pPr>
      <w:r>
        <w:rPr>
          <w:sz w:val="20"/>
        </w:rPr>
        <w:t>директивная</w:t>
      </w:r>
      <w:r>
        <w:rPr>
          <w:spacing w:val="-13"/>
          <w:sz w:val="20"/>
        </w:rPr>
        <w:t> </w:t>
      </w:r>
      <w:r>
        <w:rPr>
          <w:sz w:val="20"/>
        </w:rPr>
        <w:t>игровая</w:t>
      </w:r>
      <w:r>
        <w:rPr>
          <w:spacing w:val="-12"/>
          <w:sz w:val="20"/>
        </w:rPr>
        <w:t> </w:t>
      </w:r>
      <w:r>
        <w:rPr>
          <w:sz w:val="20"/>
        </w:rPr>
        <w:t>терапия:</w:t>
      </w:r>
      <w:r>
        <w:rPr>
          <w:spacing w:val="-13"/>
          <w:sz w:val="20"/>
        </w:rPr>
        <w:t> </w:t>
      </w:r>
      <w:r>
        <w:rPr>
          <w:i/>
          <w:color w:val="231F20"/>
          <w:sz w:val="20"/>
        </w:rPr>
        <w:t>игры</w:t>
      </w:r>
      <w:r>
        <w:rPr>
          <w:i/>
          <w:color w:val="231F20"/>
          <w:spacing w:val="-12"/>
          <w:sz w:val="20"/>
        </w:rPr>
        <w:t> </w:t>
      </w:r>
      <w:r>
        <w:rPr>
          <w:i/>
          <w:color w:val="231F20"/>
          <w:sz w:val="20"/>
        </w:rPr>
        <w:t>издательства</w:t>
      </w:r>
      <w:r>
        <w:rPr>
          <w:i/>
          <w:color w:val="231F20"/>
          <w:spacing w:val="-12"/>
          <w:sz w:val="20"/>
        </w:rPr>
        <w:t> </w:t>
      </w:r>
      <w:r>
        <w:rPr>
          <w:i/>
          <w:color w:val="231F20"/>
          <w:sz w:val="20"/>
        </w:rPr>
        <w:t>«Генезис»</w:t>
      </w:r>
      <w:r>
        <w:rPr>
          <w:i/>
          <w:color w:val="231F20"/>
          <w:spacing w:val="-13"/>
          <w:sz w:val="20"/>
        </w:rPr>
        <w:t> </w:t>
      </w:r>
      <w:r>
        <w:rPr>
          <w:i/>
          <w:color w:val="231F20"/>
          <w:sz w:val="20"/>
        </w:rPr>
        <w:t>«Семейка</w:t>
      </w:r>
      <w:r>
        <w:rPr>
          <w:i/>
          <w:color w:val="231F20"/>
          <w:spacing w:val="-12"/>
          <w:sz w:val="20"/>
        </w:rPr>
        <w:t> </w:t>
      </w:r>
      <w:r>
        <w:rPr>
          <w:i/>
          <w:color w:val="231F20"/>
          <w:sz w:val="20"/>
        </w:rPr>
        <w:t>Гномс»</w:t>
      </w:r>
      <w:r>
        <w:rPr>
          <w:i/>
          <w:color w:val="231F20"/>
          <w:spacing w:val="-12"/>
          <w:sz w:val="20"/>
        </w:rPr>
        <w:t> </w:t>
      </w:r>
      <w:r>
        <w:rPr>
          <w:i/>
          <w:color w:val="231F20"/>
          <w:sz w:val="20"/>
        </w:rPr>
        <w:t>(Е. Кирюшина, А. Мухаматулина), «Опасности волшебного леса» (О.В. Хухлаева)</w:t>
      </w:r>
      <w:r>
        <w:rPr>
          <w:color w:val="231F20"/>
          <w:sz w:val="20"/>
        </w:rPr>
        <w:t>;</w:t>
      </w:r>
    </w:p>
    <w:p>
      <w:pPr>
        <w:pStyle w:val="ListParagraph"/>
        <w:numPr>
          <w:ilvl w:val="0"/>
          <w:numId w:val="59"/>
        </w:numPr>
        <w:tabs>
          <w:tab w:pos="425" w:val="left" w:leader="none"/>
        </w:tabs>
        <w:spacing w:line="247" w:lineRule="auto" w:before="0" w:after="0"/>
        <w:ind w:left="425" w:right="139" w:hanging="284"/>
        <w:jc w:val="left"/>
        <w:rPr>
          <w:color w:val="231F20"/>
          <w:sz w:val="20"/>
        </w:rPr>
      </w:pPr>
      <w:r>
        <w:rPr>
          <w:color w:val="231F20"/>
          <w:sz w:val="20"/>
        </w:rPr>
        <w:t>метод</w:t>
      </w:r>
      <w:r>
        <w:rPr>
          <w:color w:val="231F20"/>
          <w:spacing w:val="-13"/>
          <w:sz w:val="20"/>
        </w:rPr>
        <w:t> </w:t>
      </w:r>
      <w:r>
        <w:rPr>
          <w:color w:val="231F20"/>
          <w:sz w:val="20"/>
        </w:rPr>
        <w:t>диалогического</w:t>
      </w:r>
      <w:r>
        <w:rPr>
          <w:color w:val="231F20"/>
          <w:spacing w:val="-12"/>
          <w:sz w:val="20"/>
        </w:rPr>
        <w:t> </w:t>
      </w:r>
      <w:r>
        <w:rPr>
          <w:color w:val="231F20"/>
          <w:sz w:val="20"/>
        </w:rPr>
        <w:t>рассказывания</w:t>
      </w:r>
      <w:r>
        <w:rPr>
          <w:color w:val="231F20"/>
          <w:spacing w:val="-13"/>
          <w:sz w:val="20"/>
        </w:rPr>
        <w:t> </w:t>
      </w:r>
      <w:r>
        <w:rPr>
          <w:color w:val="231F20"/>
          <w:sz w:val="20"/>
        </w:rPr>
        <w:t>историй</w:t>
      </w:r>
      <w:r>
        <w:rPr>
          <w:color w:val="231F20"/>
          <w:spacing w:val="-12"/>
          <w:sz w:val="20"/>
        </w:rPr>
        <w:t> </w:t>
      </w:r>
      <w:r>
        <w:rPr>
          <w:color w:val="231F20"/>
          <w:sz w:val="20"/>
        </w:rPr>
        <w:t>(см.</w:t>
      </w:r>
      <w:r>
        <w:rPr>
          <w:color w:val="231F20"/>
          <w:spacing w:val="-13"/>
          <w:sz w:val="20"/>
        </w:rPr>
        <w:t> </w:t>
      </w:r>
      <w:r>
        <w:rPr>
          <w:color w:val="231F20"/>
          <w:sz w:val="20"/>
        </w:rPr>
        <w:t>раздел</w:t>
      </w:r>
      <w:r>
        <w:rPr>
          <w:color w:val="231F20"/>
          <w:spacing w:val="-12"/>
          <w:sz w:val="20"/>
        </w:rPr>
        <w:t> </w:t>
      </w:r>
      <w:r>
        <w:rPr>
          <w:color w:val="231F20"/>
          <w:sz w:val="20"/>
        </w:rPr>
        <w:t>1.5.</w:t>
      </w:r>
      <w:r>
        <w:rPr>
          <w:color w:val="231F20"/>
          <w:spacing w:val="-13"/>
          <w:sz w:val="20"/>
        </w:rPr>
        <w:t> </w:t>
      </w:r>
      <w:r>
        <w:rPr>
          <w:color w:val="231F20"/>
          <w:sz w:val="20"/>
        </w:rPr>
        <w:t>и</w:t>
      </w:r>
      <w:r>
        <w:rPr>
          <w:color w:val="231F20"/>
          <w:spacing w:val="-12"/>
          <w:sz w:val="20"/>
        </w:rPr>
        <w:t> </w:t>
      </w:r>
      <w:r>
        <w:rPr>
          <w:color w:val="231F20"/>
          <w:sz w:val="20"/>
        </w:rPr>
        <w:t>Инструментарий). </w:t>
      </w:r>
      <w:r>
        <w:rPr>
          <w:sz w:val="20"/>
        </w:rPr>
        <w:t>Если ключевые задачи связаны с содействием преодолению негативных послед-</w:t>
      </w:r>
    </w:p>
    <w:p>
      <w:pPr>
        <w:pStyle w:val="BodyText"/>
        <w:spacing w:line="228" w:lineRule="exact"/>
        <w:ind w:right="0" w:firstLine="0"/>
        <w:jc w:val="left"/>
      </w:pPr>
      <w:r>
        <w:rPr/>
        <w:t>ствий</w:t>
      </w:r>
      <w:r>
        <w:rPr>
          <w:spacing w:val="-4"/>
        </w:rPr>
        <w:t> </w:t>
      </w:r>
      <w:r>
        <w:rPr/>
        <w:t>миграционного</w:t>
      </w:r>
      <w:r>
        <w:rPr>
          <w:spacing w:val="-2"/>
        </w:rPr>
        <w:t> </w:t>
      </w:r>
      <w:r>
        <w:rPr/>
        <w:t>стресса,</w:t>
      </w:r>
      <w:r>
        <w:rPr>
          <w:spacing w:val="-3"/>
        </w:rPr>
        <w:t> </w:t>
      </w:r>
      <w:r>
        <w:rPr/>
        <w:t>могут</w:t>
      </w:r>
      <w:r>
        <w:rPr>
          <w:spacing w:val="-2"/>
        </w:rPr>
        <w:t> </w:t>
      </w:r>
      <w:r>
        <w:rPr/>
        <w:t>применяться</w:t>
      </w:r>
      <w:r>
        <w:rPr>
          <w:spacing w:val="-3"/>
        </w:rPr>
        <w:t> </w:t>
      </w:r>
      <w:r>
        <w:rPr/>
        <w:t>следующие</w:t>
      </w:r>
      <w:r>
        <w:rPr>
          <w:spacing w:val="-2"/>
        </w:rPr>
        <w:t> приемы:</w:t>
      </w:r>
    </w:p>
    <w:p>
      <w:pPr>
        <w:pStyle w:val="ListParagraph"/>
        <w:numPr>
          <w:ilvl w:val="0"/>
          <w:numId w:val="59"/>
        </w:numPr>
        <w:tabs>
          <w:tab w:pos="424" w:val="left" w:leader="none"/>
        </w:tabs>
        <w:spacing w:line="240" w:lineRule="auto" w:before="4" w:after="0"/>
        <w:ind w:left="424" w:right="0" w:hanging="283"/>
        <w:jc w:val="left"/>
        <w:rPr>
          <w:sz w:val="20"/>
        </w:rPr>
      </w:pPr>
      <w:r>
        <w:rPr>
          <w:sz w:val="20"/>
        </w:rPr>
        <w:t>работа</w:t>
      </w:r>
      <w:r>
        <w:rPr>
          <w:spacing w:val="-6"/>
          <w:sz w:val="20"/>
        </w:rPr>
        <w:t> </w:t>
      </w:r>
      <w:r>
        <w:rPr>
          <w:sz w:val="20"/>
        </w:rPr>
        <w:t>с</w:t>
      </w:r>
      <w:r>
        <w:rPr>
          <w:spacing w:val="-4"/>
          <w:sz w:val="20"/>
        </w:rPr>
        <w:t> </w:t>
      </w:r>
      <w:r>
        <w:rPr>
          <w:sz w:val="20"/>
        </w:rPr>
        <w:t>арт-альбомом</w:t>
      </w:r>
      <w:r>
        <w:rPr>
          <w:spacing w:val="-4"/>
          <w:sz w:val="20"/>
        </w:rPr>
        <w:t> </w:t>
      </w:r>
      <w:r>
        <w:rPr>
          <w:sz w:val="20"/>
        </w:rPr>
        <w:t>«Твоя</w:t>
      </w:r>
      <w:r>
        <w:rPr>
          <w:spacing w:val="-4"/>
          <w:sz w:val="20"/>
        </w:rPr>
        <w:t> </w:t>
      </w:r>
      <w:r>
        <w:rPr>
          <w:sz w:val="20"/>
        </w:rPr>
        <w:t>жизнь</w:t>
      </w:r>
      <w:r>
        <w:rPr>
          <w:spacing w:val="-5"/>
          <w:sz w:val="20"/>
        </w:rPr>
        <w:t> </w:t>
      </w:r>
      <w:r>
        <w:rPr>
          <w:sz w:val="20"/>
        </w:rPr>
        <w:t>на</w:t>
      </w:r>
      <w:r>
        <w:rPr>
          <w:spacing w:val="-4"/>
          <w:sz w:val="20"/>
        </w:rPr>
        <w:t> </w:t>
      </w:r>
      <w:r>
        <w:rPr>
          <w:sz w:val="20"/>
        </w:rPr>
        <w:t>новом</w:t>
      </w:r>
      <w:r>
        <w:rPr>
          <w:spacing w:val="-4"/>
          <w:sz w:val="20"/>
        </w:rPr>
        <w:t> </w:t>
      </w:r>
      <w:r>
        <w:rPr>
          <w:sz w:val="20"/>
        </w:rPr>
        <w:t>месте»</w:t>
      </w:r>
      <w:r>
        <w:rPr>
          <w:spacing w:val="-4"/>
          <w:sz w:val="20"/>
        </w:rPr>
        <w:t> </w:t>
      </w:r>
      <w:r>
        <w:rPr>
          <w:sz w:val="20"/>
        </w:rPr>
        <w:t>(см.</w:t>
      </w:r>
      <w:r>
        <w:rPr>
          <w:spacing w:val="-5"/>
          <w:sz w:val="20"/>
        </w:rPr>
        <w:t> </w:t>
      </w:r>
      <w:r>
        <w:rPr>
          <w:sz w:val="20"/>
        </w:rPr>
        <w:t>раздел</w:t>
      </w:r>
      <w:r>
        <w:rPr>
          <w:spacing w:val="-3"/>
          <w:sz w:val="20"/>
        </w:rPr>
        <w:t> </w:t>
      </w:r>
      <w:r>
        <w:rPr>
          <w:spacing w:val="-2"/>
          <w:sz w:val="20"/>
        </w:rPr>
        <w:t>1.5);</w:t>
      </w:r>
    </w:p>
    <w:p>
      <w:pPr>
        <w:pStyle w:val="ListParagraph"/>
        <w:numPr>
          <w:ilvl w:val="0"/>
          <w:numId w:val="59"/>
        </w:numPr>
        <w:tabs>
          <w:tab w:pos="424" w:val="left" w:leader="none"/>
        </w:tabs>
        <w:spacing w:line="240" w:lineRule="auto" w:before="6" w:after="0"/>
        <w:ind w:left="424" w:right="0" w:hanging="283"/>
        <w:jc w:val="left"/>
        <w:rPr>
          <w:sz w:val="20"/>
        </w:rPr>
      </w:pPr>
      <w:r>
        <w:rPr>
          <w:sz w:val="20"/>
        </w:rPr>
        <w:t>приемы</w:t>
      </w:r>
      <w:r>
        <w:rPr>
          <w:spacing w:val="-2"/>
          <w:sz w:val="20"/>
        </w:rPr>
        <w:t> </w:t>
      </w:r>
      <w:r>
        <w:rPr>
          <w:sz w:val="20"/>
        </w:rPr>
        <w:t>работы</w:t>
      </w:r>
      <w:r>
        <w:rPr>
          <w:spacing w:val="-3"/>
          <w:sz w:val="20"/>
        </w:rPr>
        <w:t> </w:t>
      </w:r>
      <w:r>
        <w:rPr>
          <w:sz w:val="20"/>
        </w:rPr>
        <w:t>с</w:t>
      </w:r>
      <w:r>
        <w:rPr>
          <w:spacing w:val="-2"/>
          <w:sz w:val="20"/>
        </w:rPr>
        <w:t> </w:t>
      </w:r>
      <w:r>
        <w:rPr>
          <w:sz w:val="20"/>
        </w:rPr>
        <w:t>травмой</w:t>
      </w:r>
      <w:r>
        <w:rPr>
          <w:spacing w:val="-2"/>
          <w:sz w:val="20"/>
        </w:rPr>
        <w:t> </w:t>
      </w:r>
      <w:r>
        <w:rPr>
          <w:sz w:val="20"/>
        </w:rPr>
        <w:t>(см.</w:t>
      </w:r>
      <w:r>
        <w:rPr>
          <w:spacing w:val="-2"/>
          <w:sz w:val="20"/>
        </w:rPr>
        <w:t> Инструментарий);</w:t>
      </w:r>
    </w:p>
    <w:p>
      <w:pPr>
        <w:pStyle w:val="ListParagraph"/>
        <w:numPr>
          <w:ilvl w:val="0"/>
          <w:numId w:val="59"/>
        </w:numPr>
        <w:tabs>
          <w:tab w:pos="424" w:val="left" w:leader="none"/>
        </w:tabs>
        <w:spacing w:line="240" w:lineRule="auto" w:before="6" w:after="0"/>
        <w:ind w:left="424" w:right="0" w:hanging="283"/>
        <w:jc w:val="left"/>
        <w:rPr>
          <w:sz w:val="20"/>
        </w:rPr>
      </w:pPr>
      <w:r>
        <w:rPr>
          <w:sz w:val="20"/>
        </w:rPr>
        <w:t>релаксационные</w:t>
      </w:r>
      <w:r>
        <w:rPr>
          <w:spacing w:val="-4"/>
          <w:sz w:val="20"/>
        </w:rPr>
        <w:t> </w:t>
      </w:r>
      <w:r>
        <w:rPr>
          <w:spacing w:val="-2"/>
          <w:sz w:val="20"/>
        </w:rPr>
        <w:t>упражнения.</w:t>
      </w:r>
    </w:p>
    <w:p>
      <w:pPr>
        <w:pStyle w:val="BodyText"/>
        <w:spacing w:line="247" w:lineRule="auto" w:before="6"/>
      </w:pPr>
      <w:r>
        <w:rPr/>
        <w:t>Если ключевые задачи связаны с повышением самоуважения и уверенности в себе, формированием конструктивных копинг-стратегий, могут применяться следу- ющие приемы:</w:t>
      </w:r>
    </w:p>
    <w:p>
      <w:pPr>
        <w:pStyle w:val="ListParagraph"/>
        <w:numPr>
          <w:ilvl w:val="0"/>
          <w:numId w:val="59"/>
        </w:numPr>
        <w:tabs>
          <w:tab w:pos="425" w:val="left" w:leader="none"/>
        </w:tabs>
        <w:spacing w:line="247" w:lineRule="auto" w:before="0" w:after="0"/>
        <w:ind w:left="425" w:right="139" w:hanging="284"/>
        <w:jc w:val="both"/>
        <w:rPr>
          <w:sz w:val="20"/>
        </w:rPr>
      </w:pPr>
      <w:r>
        <w:rPr>
          <w:sz w:val="20"/>
        </w:rPr>
        <w:t>использование</w:t>
      </w:r>
      <w:r>
        <w:rPr>
          <w:spacing w:val="-13"/>
          <w:sz w:val="20"/>
        </w:rPr>
        <w:t> </w:t>
      </w:r>
      <w:r>
        <w:rPr>
          <w:sz w:val="20"/>
        </w:rPr>
        <w:t>ситуации</w:t>
      </w:r>
      <w:r>
        <w:rPr>
          <w:spacing w:val="-12"/>
          <w:sz w:val="20"/>
        </w:rPr>
        <w:t> </w:t>
      </w:r>
      <w:r>
        <w:rPr>
          <w:sz w:val="20"/>
        </w:rPr>
        <w:t>успеха</w:t>
      </w:r>
      <w:r>
        <w:rPr>
          <w:spacing w:val="-13"/>
          <w:sz w:val="20"/>
        </w:rPr>
        <w:t> </w:t>
      </w:r>
      <w:r>
        <w:rPr>
          <w:sz w:val="20"/>
        </w:rPr>
        <w:t>в</w:t>
      </w:r>
      <w:r>
        <w:rPr>
          <w:spacing w:val="-12"/>
          <w:sz w:val="20"/>
        </w:rPr>
        <w:t> </w:t>
      </w:r>
      <w:r>
        <w:rPr>
          <w:sz w:val="20"/>
        </w:rPr>
        <w:t>контексте</w:t>
      </w:r>
      <w:r>
        <w:rPr>
          <w:spacing w:val="-13"/>
          <w:sz w:val="20"/>
        </w:rPr>
        <w:t> </w:t>
      </w:r>
      <w:r>
        <w:rPr>
          <w:sz w:val="20"/>
        </w:rPr>
        <w:t>любых</w:t>
      </w:r>
      <w:r>
        <w:rPr>
          <w:spacing w:val="-12"/>
          <w:sz w:val="20"/>
        </w:rPr>
        <w:t> </w:t>
      </w:r>
      <w:r>
        <w:rPr>
          <w:sz w:val="20"/>
        </w:rPr>
        <w:t>активностей,</w:t>
      </w:r>
      <w:r>
        <w:rPr>
          <w:spacing w:val="-13"/>
          <w:sz w:val="20"/>
        </w:rPr>
        <w:t> </w:t>
      </w:r>
      <w:r>
        <w:rPr>
          <w:sz w:val="20"/>
        </w:rPr>
        <w:t>которые</w:t>
      </w:r>
      <w:r>
        <w:rPr>
          <w:spacing w:val="-12"/>
          <w:sz w:val="20"/>
        </w:rPr>
        <w:t> </w:t>
      </w:r>
      <w:r>
        <w:rPr>
          <w:sz w:val="20"/>
        </w:rPr>
        <w:t>ребенок осуществляет с психологом;</w:t>
      </w:r>
    </w:p>
    <w:p>
      <w:pPr>
        <w:pStyle w:val="ListParagraph"/>
        <w:numPr>
          <w:ilvl w:val="0"/>
          <w:numId w:val="59"/>
        </w:numPr>
        <w:tabs>
          <w:tab w:pos="424" w:val="left" w:leader="none"/>
        </w:tabs>
        <w:spacing w:line="228" w:lineRule="exact" w:before="0" w:after="0"/>
        <w:ind w:left="424" w:right="0" w:hanging="283"/>
        <w:jc w:val="both"/>
        <w:rPr>
          <w:color w:val="231F20"/>
          <w:sz w:val="20"/>
        </w:rPr>
      </w:pPr>
      <w:r>
        <w:rPr>
          <w:color w:val="231F20"/>
          <w:sz w:val="20"/>
        </w:rPr>
        <w:t>метод</w:t>
      </w:r>
      <w:r>
        <w:rPr>
          <w:color w:val="231F20"/>
          <w:spacing w:val="-8"/>
          <w:sz w:val="20"/>
        </w:rPr>
        <w:t> </w:t>
      </w:r>
      <w:r>
        <w:rPr>
          <w:color w:val="231F20"/>
          <w:sz w:val="20"/>
        </w:rPr>
        <w:t>диалогического</w:t>
      </w:r>
      <w:r>
        <w:rPr>
          <w:color w:val="231F20"/>
          <w:spacing w:val="-6"/>
          <w:sz w:val="20"/>
        </w:rPr>
        <w:t> </w:t>
      </w:r>
      <w:r>
        <w:rPr>
          <w:color w:val="231F20"/>
          <w:sz w:val="20"/>
        </w:rPr>
        <w:t>рассказывания</w:t>
      </w:r>
      <w:r>
        <w:rPr>
          <w:color w:val="231F20"/>
          <w:spacing w:val="-6"/>
          <w:sz w:val="20"/>
        </w:rPr>
        <w:t> </w:t>
      </w:r>
      <w:r>
        <w:rPr>
          <w:color w:val="231F20"/>
          <w:sz w:val="20"/>
        </w:rPr>
        <w:t>историй</w:t>
      </w:r>
      <w:r>
        <w:rPr>
          <w:color w:val="231F20"/>
          <w:spacing w:val="-6"/>
          <w:sz w:val="20"/>
        </w:rPr>
        <w:t> </w:t>
      </w:r>
      <w:r>
        <w:rPr>
          <w:color w:val="231F20"/>
          <w:sz w:val="20"/>
        </w:rPr>
        <w:t>(см.</w:t>
      </w:r>
      <w:r>
        <w:rPr>
          <w:color w:val="231F20"/>
          <w:spacing w:val="-6"/>
          <w:sz w:val="20"/>
        </w:rPr>
        <w:t> </w:t>
      </w:r>
      <w:r>
        <w:rPr>
          <w:color w:val="231F20"/>
          <w:sz w:val="20"/>
        </w:rPr>
        <w:t>раздел</w:t>
      </w:r>
      <w:r>
        <w:rPr>
          <w:color w:val="231F20"/>
          <w:spacing w:val="-6"/>
          <w:sz w:val="20"/>
        </w:rPr>
        <w:t> </w:t>
      </w:r>
      <w:r>
        <w:rPr>
          <w:color w:val="231F20"/>
          <w:sz w:val="20"/>
        </w:rPr>
        <w:t>1.5</w:t>
      </w:r>
      <w:r>
        <w:rPr>
          <w:color w:val="231F20"/>
          <w:spacing w:val="-6"/>
          <w:sz w:val="20"/>
        </w:rPr>
        <w:t> </w:t>
      </w:r>
      <w:r>
        <w:rPr>
          <w:color w:val="231F20"/>
          <w:sz w:val="20"/>
        </w:rPr>
        <w:t>и</w:t>
      </w:r>
      <w:r>
        <w:rPr>
          <w:color w:val="231F20"/>
          <w:spacing w:val="-6"/>
          <w:sz w:val="20"/>
        </w:rPr>
        <w:t> </w:t>
      </w:r>
      <w:r>
        <w:rPr>
          <w:color w:val="231F20"/>
          <w:spacing w:val="-2"/>
          <w:sz w:val="20"/>
        </w:rPr>
        <w:t>Инструментарий).</w:t>
      </w:r>
    </w:p>
    <w:p>
      <w:pPr>
        <w:spacing w:before="115"/>
        <w:ind w:left="425" w:right="0" w:firstLine="0"/>
        <w:jc w:val="both"/>
        <w:rPr>
          <w:i/>
          <w:sz w:val="20"/>
        </w:rPr>
      </w:pPr>
      <w:r>
        <w:rPr>
          <w:i/>
          <w:sz w:val="20"/>
        </w:rPr>
        <w:t>Для</w:t>
      </w:r>
      <w:r>
        <w:rPr>
          <w:i/>
          <w:spacing w:val="-2"/>
          <w:sz w:val="20"/>
        </w:rPr>
        <w:t> </w:t>
      </w:r>
      <w:r>
        <w:rPr>
          <w:i/>
          <w:sz w:val="20"/>
        </w:rPr>
        <w:t>учащихся</w:t>
      </w:r>
      <w:r>
        <w:rPr>
          <w:i/>
          <w:spacing w:val="-2"/>
          <w:sz w:val="20"/>
        </w:rPr>
        <w:t> </w:t>
      </w:r>
      <w:r>
        <w:rPr>
          <w:i/>
          <w:sz w:val="20"/>
        </w:rPr>
        <w:t>средней</w:t>
      </w:r>
      <w:r>
        <w:rPr>
          <w:i/>
          <w:spacing w:val="-2"/>
          <w:sz w:val="20"/>
        </w:rPr>
        <w:t> </w:t>
      </w:r>
      <w:r>
        <w:rPr>
          <w:i/>
          <w:sz w:val="20"/>
        </w:rPr>
        <w:t>и</w:t>
      </w:r>
      <w:r>
        <w:rPr>
          <w:i/>
          <w:spacing w:val="-2"/>
          <w:sz w:val="20"/>
        </w:rPr>
        <w:t> </w:t>
      </w:r>
      <w:r>
        <w:rPr>
          <w:i/>
          <w:sz w:val="20"/>
        </w:rPr>
        <w:t>старшей</w:t>
      </w:r>
      <w:r>
        <w:rPr>
          <w:i/>
          <w:spacing w:val="-2"/>
          <w:sz w:val="20"/>
        </w:rPr>
        <w:t> </w:t>
      </w:r>
      <w:r>
        <w:rPr>
          <w:i/>
          <w:spacing w:val="-4"/>
          <w:sz w:val="20"/>
        </w:rPr>
        <w:t>школы</w:t>
      </w:r>
    </w:p>
    <w:p>
      <w:pPr>
        <w:pStyle w:val="BodyText"/>
        <w:spacing w:line="247" w:lineRule="auto" w:before="4"/>
      </w:pPr>
      <w:r>
        <w:rPr/>
        <w:t>Если ключевые задачи связаны с обеспечением возможности выражения и отре- агирования различных эмоциональных состояний и с формированием конструктив- ных способов эмоционального отреагирования, могут использоваться следующие подходы и приемы:</w:t>
      </w:r>
    </w:p>
    <w:p>
      <w:pPr>
        <w:pStyle w:val="ListParagraph"/>
        <w:numPr>
          <w:ilvl w:val="0"/>
          <w:numId w:val="59"/>
        </w:numPr>
        <w:tabs>
          <w:tab w:pos="424" w:val="left" w:leader="none"/>
        </w:tabs>
        <w:spacing w:line="226" w:lineRule="exact" w:before="0" w:after="0"/>
        <w:ind w:left="424" w:right="0" w:hanging="283"/>
        <w:jc w:val="both"/>
        <w:rPr>
          <w:sz w:val="20"/>
        </w:rPr>
      </w:pPr>
      <w:r>
        <w:rPr>
          <w:sz w:val="20"/>
        </w:rPr>
        <w:t>недирективные</w:t>
      </w:r>
      <w:r>
        <w:rPr>
          <w:spacing w:val="-7"/>
          <w:sz w:val="20"/>
        </w:rPr>
        <w:t> </w:t>
      </w:r>
      <w:r>
        <w:rPr>
          <w:sz w:val="20"/>
        </w:rPr>
        <w:t>и</w:t>
      </w:r>
      <w:r>
        <w:rPr>
          <w:spacing w:val="-5"/>
          <w:sz w:val="20"/>
        </w:rPr>
        <w:t> </w:t>
      </w:r>
      <w:r>
        <w:rPr>
          <w:sz w:val="20"/>
        </w:rPr>
        <w:t>частично</w:t>
      </w:r>
      <w:r>
        <w:rPr>
          <w:spacing w:val="-5"/>
          <w:sz w:val="20"/>
        </w:rPr>
        <w:t> </w:t>
      </w:r>
      <w:r>
        <w:rPr>
          <w:sz w:val="20"/>
        </w:rPr>
        <w:t>директивные</w:t>
      </w:r>
      <w:r>
        <w:rPr>
          <w:spacing w:val="-5"/>
          <w:sz w:val="20"/>
        </w:rPr>
        <w:t> </w:t>
      </w:r>
      <w:r>
        <w:rPr>
          <w:sz w:val="20"/>
        </w:rPr>
        <w:t>арт-терапевтические</w:t>
      </w:r>
      <w:r>
        <w:rPr>
          <w:spacing w:val="-5"/>
          <w:sz w:val="20"/>
        </w:rPr>
        <w:t> </w:t>
      </w:r>
      <w:r>
        <w:rPr>
          <w:sz w:val="20"/>
        </w:rPr>
        <w:t>приемы.</w:t>
      </w:r>
      <w:r>
        <w:rPr>
          <w:spacing w:val="-4"/>
          <w:sz w:val="20"/>
        </w:rPr>
        <w:t> </w:t>
      </w:r>
      <w:r>
        <w:rPr>
          <w:spacing w:val="-2"/>
          <w:sz w:val="20"/>
        </w:rPr>
        <w:t>Например,</w:t>
      </w:r>
    </w:p>
    <w:p>
      <w:pPr>
        <w:pStyle w:val="ListParagraph"/>
        <w:spacing w:after="0" w:line="226" w:lineRule="exact"/>
        <w:jc w:val="both"/>
        <w:rPr>
          <w:sz w:val="20"/>
        </w:rPr>
        <w:sectPr>
          <w:pgSz w:w="8400" w:h="11910"/>
          <w:pgMar w:header="0" w:footer="528"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before="112"/>
        <w:ind w:left="425" w:right="0" w:firstLine="0"/>
        <w:jc w:val="left"/>
      </w:pPr>
      <w:r>
        <w:rPr>
          <w:spacing w:val="-2"/>
        </w:rPr>
        <w:t>рекомендуется</w:t>
      </w:r>
      <w:r>
        <w:rPr>
          <w:spacing w:val="12"/>
        </w:rPr>
        <w:t> </w:t>
      </w:r>
      <w:r>
        <w:rPr>
          <w:spacing w:val="-2"/>
        </w:rPr>
        <w:t>воспользоваться</w:t>
      </w:r>
      <w:r>
        <w:rPr>
          <w:spacing w:val="13"/>
        </w:rPr>
        <w:t> </w:t>
      </w:r>
      <w:r>
        <w:rPr>
          <w:spacing w:val="-2"/>
        </w:rPr>
        <w:t>следующими</w:t>
      </w:r>
      <w:r>
        <w:rPr>
          <w:spacing w:val="12"/>
        </w:rPr>
        <w:t> </w:t>
      </w:r>
      <w:r>
        <w:rPr>
          <w:spacing w:val="-2"/>
        </w:rPr>
        <w:t>источниками:</w:t>
      </w:r>
    </w:p>
    <w:p>
      <w:pPr>
        <w:pStyle w:val="BodyText"/>
        <w:spacing w:line="244" w:lineRule="auto" w:before="6"/>
        <w:ind w:left="425" w:firstLine="0"/>
      </w:pPr>
      <w:r>
        <w:rPr>
          <w:i/>
          <w:color w:val="231F20"/>
          <w:spacing w:val="-2"/>
        </w:rPr>
        <w:t>Киселева</w:t>
      </w:r>
      <w:r>
        <w:rPr>
          <w:i/>
          <w:color w:val="231F20"/>
          <w:spacing w:val="-11"/>
        </w:rPr>
        <w:t> </w:t>
      </w:r>
      <w:r>
        <w:rPr>
          <w:i/>
          <w:color w:val="231F20"/>
          <w:spacing w:val="-2"/>
        </w:rPr>
        <w:t>М.В.</w:t>
      </w:r>
      <w:r>
        <w:rPr>
          <w:i/>
          <w:color w:val="231F20"/>
          <w:spacing w:val="-10"/>
        </w:rPr>
        <w:t> </w:t>
      </w:r>
      <w:r>
        <w:rPr>
          <w:color w:val="231F20"/>
          <w:spacing w:val="-2"/>
        </w:rPr>
        <w:t>Арт-терапия</w:t>
      </w:r>
      <w:r>
        <w:rPr>
          <w:color w:val="231F20"/>
          <w:spacing w:val="-11"/>
        </w:rPr>
        <w:t> </w:t>
      </w:r>
      <w:r>
        <w:rPr>
          <w:color w:val="231F20"/>
          <w:spacing w:val="-2"/>
        </w:rPr>
        <w:t>в</w:t>
      </w:r>
      <w:r>
        <w:rPr>
          <w:color w:val="231F20"/>
          <w:spacing w:val="-10"/>
        </w:rPr>
        <w:t> </w:t>
      </w:r>
      <w:r>
        <w:rPr>
          <w:color w:val="231F20"/>
          <w:spacing w:val="-2"/>
        </w:rPr>
        <w:t>работе</w:t>
      </w:r>
      <w:r>
        <w:rPr>
          <w:color w:val="231F20"/>
          <w:spacing w:val="-11"/>
        </w:rPr>
        <w:t> </w:t>
      </w:r>
      <w:r>
        <w:rPr>
          <w:color w:val="231F20"/>
          <w:spacing w:val="-2"/>
        </w:rPr>
        <w:t>с</w:t>
      </w:r>
      <w:r>
        <w:rPr>
          <w:color w:val="231F20"/>
          <w:spacing w:val="-10"/>
        </w:rPr>
        <w:t> </w:t>
      </w:r>
      <w:r>
        <w:rPr>
          <w:color w:val="231F20"/>
          <w:spacing w:val="-2"/>
        </w:rPr>
        <w:t>детьми:</w:t>
      </w:r>
      <w:r>
        <w:rPr>
          <w:color w:val="231F20"/>
          <w:spacing w:val="-11"/>
        </w:rPr>
        <w:t> </w:t>
      </w:r>
      <w:r>
        <w:rPr>
          <w:color w:val="231F20"/>
          <w:spacing w:val="-2"/>
        </w:rPr>
        <w:t>руководство</w:t>
      </w:r>
      <w:r>
        <w:rPr>
          <w:color w:val="231F20"/>
          <w:spacing w:val="-10"/>
        </w:rPr>
        <w:t> </w:t>
      </w:r>
      <w:r>
        <w:rPr>
          <w:color w:val="231F20"/>
          <w:spacing w:val="-2"/>
        </w:rPr>
        <w:t>для</w:t>
      </w:r>
      <w:r>
        <w:rPr>
          <w:color w:val="231F20"/>
          <w:spacing w:val="-11"/>
        </w:rPr>
        <w:t> </w:t>
      </w:r>
      <w:r>
        <w:rPr>
          <w:color w:val="231F20"/>
          <w:spacing w:val="-2"/>
        </w:rPr>
        <w:t>детских</w:t>
      </w:r>
      <w:r>
        <w:rPr>
          <w:color w:val="231F20"/>
          <w:spacing w:val="-10"/>
        </w:rPr>
        <w:t> </w:t>
      </w:r>
      <w:r>
        <w:rPr>
          <w:color w:val="231F20"/>
          <w:spacing w:val="-2"/>
        </w:rPr>
        <w:t>психологов, </w:t>
      </w:r>
      <w:r>
        <w:rPr>
          <w:color w:val="231F20"/>
        </w:rPr>
        <w:t>педагогов,</w:t>
      </w:r>
      <w:r>
        <w:rPr>
          <w:color w:val="231F20"/>
          <w:spacing w:val="-2"/>
        </w:rPr>
        <w:t> </w:t>
      </w:r>
      <w:r>
        <w:rPr>
          <w:color w:val="231F20"/>
        </w:rPr>
        <w:t>врачей</w:t>
      </w:r>
      <w:r>
        <w:rPr>
          <w:color w:val="231F20"/>
          <w:spacing w:val="-3"/>
        </w:rPr>
        <w:t> </w:t>
      </w:r>
      <w:r>
        <w:rPr>
          <w:color w:val="231F20"/>
        </w:rPr>
        <w:t>и</w:t>
      </w:r>
      <w:r>
        <w:rPr>
          <w:color w:val="231F20"/>
          <w:spacing w:val="-3"/>
        </w:rPr>
        <w:t> </w:t>
      </w:r>
      <w:r>
        <w:rPr>
          <w:color w:val="231F20"/>
        </w:rPr>
        <w:t>специалистов,</w:t>
      </w:r>
      <w:r>
        <w:rPr>
          <w:color w:val="231F20"/>
          <w:spacing w:val="-2"/>
        </w:rPr>
        <w:t> </w:t>
      </w:r>
      <w:r>
        <w:rPr>
          <w:color w:val="231F20"/>
        </w:rPr>
        <w:t>работающих</w:t>
      </w:r>
      <w:r>
        <w:rPr>
          <w:color w:val="231F20"/>
          <w:spacing w:val="-2"/>
        </w:rPr>
        <w:t> </w:t>
      </w:r>
      <w:r>
        <w:rPr>
          <w:color w:val="231F20"/>
        </w:rPr>
        <w:t>с</w:t>
      </w:r>
      <w:r>
        <w:rPr>
          <w:color w:val="231F20"/>
          <w:spacing w:val="-2"/>
        </w:rPr>
        <w:t> </w:t>
      </w:r>
      <w:r>
        <w:rPr>
          <w:color w:val="231F20"/>
        </w:rPr>
        <w:t>детьми.</w:t>
      </w:r>
      <w:r>
        <w:rPr>
          <w:color w:val="231F20"/>
          <w:spacing w:val="-2"/>
        </w:rPr>
        <w:t> </w:t>
      </w:r>
      <w:r>
        <w:rPr>
          <w:color w:val="231F20"/>
        </w:rPr>
        <w:t>–</w:t>
      </w:r>
      <w:r>
        <w:rPr>
          <w:color w:val="231F20"/>
          <w:spacing w:val="-2"/>
        </w:rPr>
        <w:t> </w:t>
      </w:r>
      <w:r>
        <w:rPr>
          <w:color w:val="231F20"/>
        </w:rPr>
        <w:t>М.;</w:t>
      </w:r>
      <w:r>
        <w:rPr>
          <w:color w:val="231F20"/>
          <w:spacing w:val="-2"/>
        </w:rPr>
        <w:t> </w:t>
      </w:r>
      <w:r>
        <w:rPr>
          <w:color w:val="231F20"/>
        </w:rPr>
        <w:t>СПб.:</w:t>
      </w:r>
      <w:r>
        <w:rPr>
          <w:color w:val="231F20"/>
          <w:spacing w:val="-2"/>
        </w:rPr>
        <w:t> </w:t>
      </w:r>
      <w:r>
        <w:rPr>
          <w:color w:val="231F20"/>
        </w:rPr>
        <w:t>Речь,</w:t>
      </w:r>
      <w:r>
        <w:rPr>
          <w:color w:val="231F20"/>
          <w:spacing w:val="-2"/>
        </w:rPr>
        <w:t> </w:t>
      </w:r>
      <w:r>
        <w:rPr>
          <w:color w:val="231F20"/>
        </w:rPr>
        <w:t>2020.</w:t>
      </w:r>
    </w:p>
    <w:p>
      <w:pPr>
        <w:pStyle w:val="BodyText"/>
        <w:spacing w:line="235" w:lineRule="auto"/>
        <w:ind w:left="425" w:firstLine="0"/>
      </w:pPr>
      <w:r>
        <w:rPr>
          <w:i/>
          <w:color w:val="231F20"/>
        </w:rPr>
        <w:t>Копытин А.И. </w:t>
      </w:r>
      <w:r>
        <w:rPr>
          <w:color w:val="231F20"/>
        </w:rPr>
        <w:t>Арт-терапия детей и подростков: для практических психологов, психотерапевтов, педагогов и социальных работников / А.И. Копытин, Е.Е. Сви- стовская. – Изд. 2-е, стереотип. – М.: Когито-Центр, 2014. – 196 с.: ил.</w:t>
      </w:r>
    </w:p>
    <w:p>
      <w:pPr>
        <w:pStyle w:val="BodyText"/>
        <w:ind w:left="425" w:right="0" w:firstLine="0"/>
        <w:jc w:val="left"/>
      </w:pPr>
      <w:r>
        <w:rPr>
          <w:i/>
          <w:color w:val="231F20"/>
        </w:rPr>
        <w:t>Копытин</w:t>
      </w:r>
      <w:r>
        <w:rPr>
          <w:i/>
          <w:color w:val="231F20"/>
          <w:spacing w:val="-2"/>
        </w:rPr>
        <w:t> </w:t>
      </w:r>
      <w:r>
        <w:rPr>
          <w:i/>
          <w:color w:val="231F20"/>
        </w:rPr>
        <w:t>А.И.</w:t>
      </w:r>
      <w:r>
        <w:rPr>
          <w:i/>
          <w:color w:val="231F20"/>
          <w:spacing w:val="-2"/>
        </w:rPr>
        <w:t> </w:t>
      </w:r>
      <w:r>
        <w:rPr>
          <w:color w:val="231F20"/>
        </w:rPr>
        <w:t>Методы</w:t>
      </w:r>
      <w:r>
        <w:rPr>
          <w:color w:val="231F20"/>
          <w:spacing w:val="-2"/>
        </w:rPr>
        <w:t> </w:t>
      </w:r>
      <w:r>
        <w:rPr>
          <w:color w:val="231F20"/>
        </w:rPr>
        <w:t>арт-терапии</w:t>
      </w:r>
      <w:r>
        <w:rPr>
          <w:color w:val="231F20"/>
          <w:spacing w:val="-2"/>
        </w:rPr>
        <w:t> </w:t>
      </w:r>
      <w:r>
        <w:rPr>
          <w:color w:val="231F20"/>
        </w:rPr>
        <w:t>в</w:t>
      </w:r>
      <w:r>
        <w:rPr>
          <w:color w:val="231F20"/>
          <w:spacing w:val="-2"/>
        </w:rPr>
        <w:t> </w:t>
      </w:r>
      <w:r>
        <w:rPr>
          <w:color w:val="231F20"/>
        </w:rPr>
        <w:t>преодолении</w:t>
      </w:r>
      <w:r>
        <w:rPr>
          <w:color w:val="231F20"/>
          <w:spacing w:val="-2"/>
        </w:rPr>
        <w:t> </w:t>
      </w:r>
      <w:r>
        <w:rPr>
          <w:color w:val="231F20"/>
        </w:rPr>
        <w:t>последствий</w:t>
      </w:r>
      <w:r>
        <w:rPr>
          <w:color w:val="231F20"/>
          <w:spacing w:val="-2"/>
        </w:rPr>
        <w:t> </w:t>
      </w:r>
      <w:r>
        <w:rPr>
          <w:color w:val="231F20"/>
        </w:rPr>
        <w:t>травматического стресса / А.И. Копытин. – М.: Когито-Центр, 2014.</w:t>
      </w:r>
    </w:p>
    <w:p>
      <w:pPr>
        <w:pStyle w:val="BodyText"/>
        <w:ind w:left="425" w:right="0" w:firstLine="0"/>
        <w:jc w:val="left"/>
      </w:pPr>
      <w:r>
        <w:rPr>
          <w:i/>
          <w:color w:val="231F20"/>
        </w:rPr>
        <w:t>Лебедева</w:t>
      </w:r>
      <w:r>
        <w:rPr>
          <w:i/>
          <w:color w:val="231F20"/>
          <w:spacing w:val="24"/>
        </w:rPr>
        <w:t> </w:t>
      </w:r>
      <w:r>
        <w:rPr>
          <w:i/>
          <w:color w:val="231F20"/>
        </w:rPr>
        <w:t>Л.Д.</w:t>
      </w:r>
      <w:r>
        <w:rPr>
          <w:i/>
          <w:color w:val="231F20"/>
          <w:spacing w:val="24"/>
        </w:rPr>
        <w:t> </w:t>
      </w:r>
      <w:r>
        <w:rPr>
          <w:color w:val="231F20"/>
        </w:rPr>
        <w:t>Практика</w:t>
      </w:r>
      <w:r>
        <w:rPr>
          <w:color w:val="231F20"/>
          <w:spacing w:val="24"/>
        </w:rPr>
        <w:t> </w:t>
      </w:r>
      <w:r>
        <w:rPr>
          <w:color w:val="231F20"/>
        </w:rPr>
        <w:t>арт-терапии:</w:t>
      </w:r>
      <w:r>
        <w:rPr>
          <w:color w:val="231F20"/>
          <w:spacing w:val="24"/>
        </w:rPr>
        <w:t> </w:t>
      </w:r>
      <w:r>
        <w:rPr>
          <w:color w:val="231F20"/>
        </w:rPr>
        <w:t>подходы,</w:t>
      </w:r>
      <w:r>
        <w:rPr>
          <w:color w:val="231F20"/>
          <w:spacing w:val="24"/>
        </w:rPr>
        <w:t> </w:t>
      </w:r>
      <w:r>
        <w:rPr>
          <w:color w:val="231F20"/>
        </w:rPr>
        <w:t>диагностика,</w:t>
      </w:r>
      <w:r>
        <w:rPr>
          <w:color w:val="231F20"/>
          <w:spacing w:val="24"/>
        </w:rPr>
        <w:t> </w:t>
      </w:r>
      <w:r>
        <w:rPr>
          <w:color w:val="231F20"/>
        </w:rPr>
        <w:t>система</w:t>
      </w:r>
      <w:r>
        <w:rPr>
          <w:color w:val="231F20"/>
          <w:spacing w:val="24"/>
        </w:rPr>
        <w:t> </w:t>
      </w:r>
      <w:r>
        <w:rPr>
          <w:color w:val="231F20"/>
        </w:rPr>
        <w:t>занятий</w:t>
      </w:r>
      <w:r>
        <w:rPr>
          <w:color w:val="231F20"/>
          <w:spacing w:val="24"/>
        </w:rPr>
        <w:t> </w:t>
      </w:r>
      <w:r>
        <w:rPr>
          <w:color w:val="231F20"/>
        </w:rPr>
        <w:t>/ Л.Д. Лебедева. – СПб.; М.: Речь, 2021. – 191 с.: ил.</w:t>
      </w:r>
    </w:p>
    <w:p>
      <w:pPr>
        <w:spacing w:before="0"/>
        <w:ind w:left="425" w:right="0" w:firstLine="0"/>
        <w:jc w:val="left"/>
        <w:rPr>
          <w:sz w:val="20"/>
        </w:rPr>
      </w:pPr>
      <w:r>
        <w:rPr>
          <w:i/>
          <w:sz w:val="20"/>
        </w:rPr>
        <w:t>Оклендер В.</w:t>
      </w:r>
      <w:r>
        <w:rPr>
          <w:i/>
          <w:spacing w:val="-1"/>
          <w:sz w:val="20"/>
        </w:rPr>
        <w:t> </w:t>
      </w:r>
      <w:r>
        <w:rPr>
          <w:sz w:val="20"/>
        </w:rPr>
        <w:t>Окна</w:t>
      </w:r>
      <w:r>
        <w:rPr>
          <w:spacing w:val="1"/>
          <w:sz w:val="20"/>
        </w:rPr>
        <w:t> </w:t>
      </w:r>
      <w:r>
        <w:rPr>
          <w:sz w:val="20"/>
        </w:rPr>
        <w:t>в</w:t>
      </w:r>
      <w:r>
        <w:rPr>
          <w:spacing w:val="-1"/>
          <w:sz w:val="20"/>
        </w:rPr>
        <w:t> </w:t>
      </w:r>
      <w:r>
        <w:rPr>
          <w:sz w:val="20"/>
        </w:rPr>
        <w:t>мир ребенка.</w:t>
      </w:r>
      <w:r>
        <w:rPr>
          <w:spacing w:val="1"/>
          <w:sz w:val="20"/>
        </w:rPr>
        <w:t> </w:t>
      </w:r>
      <w:r>
        <w:rPr>
          <w:sz w:val="20"/>
        </w:rPr>
        <w:t>– М.: Класс,</w:t>
      </w:r>
      <w:r>
        <w:rPr>
          <w:spacing w:val="1"/>
          <w:sz w:val="20"/>
        </w:rPr>
        <w:t> </w:t>
      </w:r>
      <w:r>
        <w:rPr>
          <w:spacing w:val="-2"/>
          <w:sz w:val="20"/>
        </w:rPr>
        <w:t>2015.</w:t>
      </w:r>
    </w:p>
    <w:p>
      <w:pPr>
        <w:pStyle w:val="BodyText"/>
        <w:spacing w:before="110"/>
        <w:ind w:right="0"/>
        <w:jc w:val="left"/>
      </w:pPr>
      <w:r>
        <w:rPr/>
        <w:t>Если ключевые задачи связаны с содействием преодолению негативных послед- ствий миграционного стресса, могут использоваться следующие приемы:</w:t>
      </w:r>
    </w:p>
    <w:p>
      <w:pPr>
        <w:pStyle w:val="ListParagraph"/>
        <w:numPr>
          <w:ilvl w:val="0"/>
          <w:numId w:val="59"/>
        </w:numPr>
        <w:tabs>
          <w:tab w:pos="424" w:val="left" w:leader="none"/>
        </w:tabs>
        <w:spacing w:line="240" w:lineRule="auto" w:before="0" w:after="0"/>
        <w:ind w:left="424" w:right="0" w:hanging="283"/>
        <w:jc w:val="left"/>
        <w:rPr>
          <w:sz w:val="20"/>
        </w:rPr>
      </w:pPr>
      <w:r>
        <w:rPr>
          <w:sz w:val="20"/>
        </w:rPr>
        <w:t>арт-терапевтические</w:t>
      </w:r>
      <w:r>
        <w:rPr>
          <w:spacing w:val="-10"/>
          <w:sz w:val="20"/>
        </w:rPr>
        <w:t> </w:t>
      </w:r>
      <w:r>
        <w:rPr>
          <w:sz w:val="20"/>
        </w:rPr>
        <w:t>технологии</w:t>
      </w:r>
      <w:r>
        <w:rPr>
          <w:spacing w:val="-7"/>
          <w:sz w:val="20"/>
        </w:rPr>
        <w:t> </w:t>
      </w:r>
      <w:r>
        <w:rPr>
          <w:sz w:val="20"/>
        </w:rPr>
        <w:t>поддержки</w:t>
      </w:r>
      <w:r>
        <w:rPr>
          <w:spacing w:val="-8"/>
          <w:sz w:val="20"/>
        </w:rPr>
        <w:t> </w:t>
      </w:r>
      <w:r>
        <w:rPr>
          <w:sz w:val="20"/>
        </w:rPr>
        <w:t>адаптации</w:t>
      </w:r>
      <w:r>
        <w:rPr>
          <w:spacing w:val="-8"/>
          <w:sz w:val="20"/>
        </w:rPr>
        <w:t> </w:t>
      </w:r>
      <w:r>
        <w:rPr>
          <w:sz w:val="20"/>
        </w:rPr>
        <w:t>на</w:t>
      </w:r>
      <w:r>
        <w:rPr>
          <w:spacing w:val="-7"/>
          <w:sz w:val="20"/>
        </w:rPr>
        <w:t> </w:t>
      </w:r>
      <w:r>
        <w:rPr>
          <w:sz w:val="20"/>
        </w:rPr>
        <w:t>новом</w:t>
      </w:r>
      <w:r>
        <w:rPr>
          <w:spacing w:val="-7"/>
          <w:sz w:val="20"/>
        </w:rPr>
        <w:t> </w:t>
      </w:r>
      <w:r>
        <w:rPr>
          <w:spacing w:val="-2"/>
          <w:sz w:val="20"/>
        </w:rPr>
        <w:t>месте;</w:t>
      </w:r>
    </w:p>
    <w:p>
      <w:pPr>
        <w:pStyle w:val="ListParagraph"/>
        <w:numPr>
          <w:ilvl w:val="0"/>
          <w:numId w:val="59"/>
        </w:numPr>
        <w:tabs>
          <w:tab w:pos="424" w:val="left" w:leader="none"/>
        </w:tabs>
        <w:spacing w:line="240" w:lineRule="auto" w:before="0" w:after="0"/>
        <w:ind w:left="424" w:right="0" w:hanging="283"/>
        <w:jc w:val="left"/>
        <w:rPr>
          <w:sz w:val="20"/>
        </w:rPr>
      </w:pPr>
      <w:r>
        <w:rPr>
          <w:sz w:val="20"/>
        </w:rPr>
        <w:t>приемы</w:t>
      </w:r>
      <w:r>
        <w:rPr>
          <w:spacing w:val="-2"/>
          <w:sz w:val="20"/>
        </w:rPr>
        <w:t> </w:t>
      </w:r>
      <w:r>
        <w:rPr>
          <w:sz w:val="20"/>
        </w:rPr>
        <w:t>работы</w:t>
      </w:r>
      <w:r>
        <w:rPr>
          <w:spacing w:val="-3"/>
          <w:sz w:val="20"/>
        </w:rPr>
        <w:t> </w:t>
      </w:r>
      <w:r>
        <w:rPr>
          <w:sz w:val="20"/>
        </w:rPr>
        <w:t>с</w:t>
      </w:r>
      <w:r>
        <w:rPr>
          <w:spacing w:val="-2"/>
          <w:sz w:val="20"/>
        </w:rPr>
        <w:t> </w:t>
      </w:r>
      <w:r>
        <w:rPr>
          <w:sz w:val="20"/>
        </w:rPr>
        <w:t>травмой</w:t>
      </w:r>
      <w:r>
        <w:rPr>
          <w:spacing w:val="-2"/>
          <w:sz w:val="20"/>
        </w:rPr>
        <w:t> </w:t>
      </w:r>
      <w:r>
        <w:rPr>
          <w:sz w:val="20"/>
        </w:rPr>
        <w:t>(см.</w:t>
      </w:r>
      <w:r>
        <w:rPr>
          <w:spacing w:val="-2"/>
          <w:sz w:val="20"/>
        </w:rPr>
        <w:t> Инструментарий);</w:t>
      </w:r>
    </w:p>
    <w:p>
      <w:pPr>
        <w:pStyle w:val="ListParagraph"/>
        <w:numPr>
          <w:ilvl w:val="0"/>
          <w:numId w:val="59"/>
        </w:numPr>
        <w:tabs>
          <w:tab w:pos="424" w:val="left" w:leader="none"/>
        </w:tabs>
        <w:spacing w:line="240" w:lineRule="auto" w:before="0" w:after="0"/>
        <w:ind w:left="424" w:right="0" w:hanging="283"/>
        <w:jc w:val="left"/>
        <w:rPr>
          <w:sz w:val="20"/>
        </w:rPr>
      </w:pPr>
      <w:r>
        <w:rPr>
          <w:sz w:val="20"/>
        </w:rPr>
        <w:t>релаксационные</w:t>
      </w:r>
      <w:r>
        <w:rPr>
          <w:spacing w:val="-3"/>
          <w:sz w:val="20"/>
        </w:rPr>
        <w:t> </w:t>
      </w:r>
      <w:r>
        <w:rPr>
          <w:sz w:val="20"/>
        </w:rPr>
        <w:t>упражнения</w:t>
      </w:r>
      <w:r>
        <w:rPr>
          <w:spacing w:val="-2"/>
          <w:sz w:val="20"/>
        </w:rPr>
        <w:t> </w:t>
      </w:r>
      <w:r>
        <w:rPr>
          <w:sz w:val="20"/>
        </w:rPr>
        <w:t>и</w:t>
      </w:r>
      <w:r>
        <w:rPr>
          <w:spacing w:val="-3"/>
          <w:sz w:val="20"/>
        </w:rPr>
        <w:t> </w:t>
      </w:r>
      <w:r>
        <w:rPr>
          <w:sz w:val="20"/>
        </w:rPr>
        <w:t>приемы</w:t>
      </w:r>
      <w:r>
        <w:rPr>
          <w:spacing w:val="-2"/>
          <w:sz w:val="20"/>
        </w:rPr>
        <w:t> </w:t>
      </w:r>
      <w:r>
        <w:rPr>
          <w:sz w:val="20"/>
        </w:rPr>
        <w:t>десенсибилизации</w:t>
      </w:r>
      <w:r>
        <w:rPr>
          <w:spacing w:val="-2"/>
          <w:sz w:val="20"/>
        </w:rPr>
        <w:t> </w:t>
      </w:r>
      <w:r>
        <w:rPr>
          <w:sz w:val="20"/>
        </w:rPr>
        <w:t>в</w:t>
      </w:r>
      <w:r>
        <w:rPr>
          <w:spacing w:val="-3"/>
          <w:sz w:val="20"/>
        </w:rPr>
        <w:t> </w:t>
      </w:r>
      <w:r>
        <w:rPr>
          <w:sz w:val="20"/>
        </w:rPr>
        <w:t>рамках</w:t>
      </w:r>
      <w:r>
        <w:rPr>
          <w:spacing w:val="-2"/>
          <w:sz w:val="20"/>
        </w:rPr>
        <w:t> EMDR.</w:t>
      </w:r>
    </w:p>
    <w:p>
      <w:pPr>
        <w:pStyle w:val="BodyText"/>
        <w:spacing w:before="114"/>
      </w:pPr>
      <w:r>
        <w:rPr/>
        <w:t>Если ключевые задачи связаны с повышением самоуважения и уверенности в себе, формированием конструктивных копинг-стратегий, могут использоваться сле- дующие приемы:</w:t>
      </w:r>
    </w:p>
    <w:p>
      <w:pPr>
        <w:pStyle w:val="ListParagraph"/>
        <w:numPr>
          <w:ilvl w:val="0"/>
          <w:numId w:val="59"/>
        </w:numPr>
        <w:tabs>
          <w:tab w:pos="425" w:val="left" w:leader="none"/>
        </w:tabs>
        <w:spacing w:line="240" w:lineRule="auto" w:before="0" w:after="0"/>
        <w:ind w:left="425" w:right="139" w:hanging="284"/>
        <w:jc w:val="both"/>
        <w:rPr>
          <w:sz w:val="20"/>
        </w:rPr>
      </w:pPr>
      <w:r>
        <w:rPr>
          <w:sz w:val="20"/>
        </w:rPr>
        <w:t>использование</w:t>
      </w:r>
      <w:r>
        <w:rPr>
          <w:spacing w:val="-13"/>
          <w:sz w:val="20"/>
        </w:rPr>
        <w:t> </w:t>
      </w:r>
      <w:r>
        <w:rPr>
          <w:sz w:val="20"/>
        </w:rPr>
        <w:t>ситуации</w:t>
      </w:r>
      <w:r>
        <w:rPr>
          <w:spacing w:val="-12"/>
          <w:sz w:val="20"/>
        </w:rPr>
        <w:t> </w:t>
      </w:r>
      <w:r>
        <w:rPr>
          <w:sz w:val="20"/>
        </w:rPr>
        <w:t>успеха</w:t>
      </w:r>
      <w:r>
        <w:rPr>
          <w:spacing w:val="-13"/>
          <w:sz w:val="20"/>
        </w:rPr>
        <w:t> </w:t>
      </w:r>
      <w:r>
        <w:rPr>
          <w:sz w:val="20"/>
        </w:rPr>
        <w:t>в</w:t>
      </w:r>
      <w:r>
        <w:rPr>
          <w:spacing w:val="-12"/>
          <w:sz w:val="20"/>
        </w:rPr>
        <w:t> </w:t>
      </w:r>
      <w:r>
        <w:rPr>
          <w:sz w:val="20"/>
        </w:rPr>
        <w:t>контексте</w:t>
      </w:r>
      <w:r>
        <w:rPr>
          <w:spacing w:val="-13"/>
          <w:sz w:val="20"/>
        </w:rPr>
        <w:t> </w:t>
      </w:r>
      <w:r>
        <w:rPr>
          <w:sz w:val="20"/>
        </w:rPr>
        <w:t>любых</w:t>
      </w:r>
      <w:r>
        <w:rPr>
          <w:spacing w:val="-12"/>
          <w:sz w:val="20"/>
        </w:rPr>
        <w:t> </w:t>
      </w:r>
      <w:r>
        <w:rPr>
          <w:sz w:val="20"/>
        </w:rPr>
        <w:t>активностей,</w:t>
      </w:r>
      <w:r>
        <w:rPr>
          <w:spacing w:val="-13"/>
          <w:sz w:val="20"/>
        </w:rPr>
        <w:t> </w:t>
      </w:r>
      <w:r>
        <w:rPr>
          <w:sz w:val="20"/>
        </w:rPr>
        <w:t>которые</w:t>
      </w:r>
      <w:r>
        <w:rPr>
          <w:spacing w:val="-12"/>
          <w:sz w:val="20"/>
        </w:rPr>
        <w:t> </w:t>
      </w:r>
      <w:r>
        <w:rPr>
          <w:sz w:val="20"/>
        </w:rPr>
        <w:t>ребенок осуществляет с психологом;</w:t>
      </w:r>
    </w:p>
    <w:p>
      <w:pPr>
        <w:pStyle w:val="ListParagraph"/>
        <w:numPr>
          <w:ilvl w:val="0"/>
          <w:numId w:val="59"/>
        </w:numPr>
        <w:tabs>
          <w:tab w:pos="425" w:val="left" w:leader="none"/>
        </w:tabs>
        <w:spacing w:line="240" w:lineRule="auto" w:before="0" w:after="0"/>
        <w:ind w:left="425" w:right="139" w:hanging="284"/>
        <w:jc w:val="both"/>
        <w:rPr>
          <w:sz w:val="20"/>
        </w:rPr>
      </w:pPr>
      <w:r>
        <w:rPr>
          <w:spacing w:val="-2"/>
          <w:sz w:val="20"/>
        </w:rPr>
        <w:t>нарративный подход (более подробно можно ознакомиться здесь: https://narrlibrus. wordpress.com/catalogue/).</w:t>
      </w:r>
    </w:p>
    <w:p>
      <w:pPr>
        <w:spacing w:before="113"/>
        <w:ind w:left="425" w:right="0" w:firstLine="0"/>
        <w:jc w:val="both"/>
        <w:rPr>
          <w:b/>
          <w:i/>
          <w:sz w:val="20"/>
        </w:rPr>
      </w:pPr>
      <w:r>
        <w:rPr>
          <w:b/>
          <w:i/>
          <w:sz w:val="20"/>
        </w:rPr>
        <w:t>В</w:t>
      </w:r>
      <w:r>
        <w:rPr>
          <w:b/>
          <w:i/>
          <w:spacing w:val="-5"/>
          <w:sz w:val="20"/>
        </w:rPr>
        <w:t> </w:t>
      </w:r>
      <w:r>
        <w:rPr>
          <w:b/>
          <w:i/>
          <w:sz w:val="20"/>
        </w:rPr>
        <w:t>области</w:t>
      </w:r>
      <w:r>
        <w:rPr>
          <w:b/>
          <w:i/>
          <w:spacing w:val="-6"/>
          <w:sz w:val="20"/>
        </w:rPr>
        <w:t> </w:t>
      </w:r>
      <w:r>
        <w:rPr>
          <w:b/>
          <w:i/>
          <w:sz w:val="20"/>
        </w:rPr>
        <w:t>социальных</w:t>
      </w:r>
      <w:r>
        <w:rPr>
          <w:b/>
          <w:i/>
          <w:spacing w:val="-4"/>
          <w:sz w:val="20"/>
        </w:rPr>
        <w:t> </w:t>
      </w:r>
      <w:r>
        <w:rPr>
          <w:b/>
          <w:i/>
          <w:spacing w:val="-2"/>
          <w:sz w:val="20"/>
        </w:rPr>
        <w:t>навыков</w:t>
      </w:r>
    </w:p>
    <w:p>
      <w:pPr>
        <w:spacing w:before="57"/>
        <w:ind w:left="425" w:right="0" w:firstLine="0"/>
        <w:jc w:val="both"/>
        <w:rPr>
          <w:i/>
          <w:sz w:val="20"/>
        </w:rPr>
      </w:pPr>
      <w:r>
        <w:rPr>
          <w:i/>
          <w:sz w:val="20"/>
        </w:rPr>
        <w:t>Для</w:t>
      </w:r>
      <w:r>
        <w:rPr>
          <w:i/>
          <w:spacing w:val="-5"/>
          <w:sz w:val="20"/>
        </w:rPr>
        <w:t> </w:t>
      </w:r>
      <w:r>
        <w:rPr>
          <w:i/>
          <w:sz w:val="20"/>
        </w:rPr>
        <w:t>учащихся</w:t>
      </w:r>
      <w:r>
        <w:rPr>
          <w:i/>
          <w:spacing w:val="-3"/>
          <w:sz w:val="20"/>
        </w:rPr>
        <w:t> </w:t>
      </w:r>
      <w:r>
        <w:rPr>
          <w:i/>
          <w:sz w:val="20"/>
        </w:rPr>
        <w:t>начальной</w:t>
      </w:r>
      <w:r>
        <w:rPr>
          <w:i/>
          <w:spacing w:val="-2"/>
          <w:sz w:val="20"/>
        </w:rPr>
        <w:t> </w:t>
      </w:r>
      <w:r>
        <w:rPr>
          <w:i/>
          <w:spacing w:val="-4"/>
          <w:sz w:val="20"/>
        </w:rPr>
        <w:t>школы</w:t>
      </w:r>
    </w:p>
    <w:p>
      <w:pPr>
        <w:pStyle w:val="BodyText"/>
      </w:pPr>
      <w:r>
        <w:rPr/>
        <w:t>Задачи знакомства с культурно релевантными навыками поведения в классе и в школе,</w:t>
      </w:r>
      <w:r>
        <w:rPr>
          <w:spacing w:val="-2"/>
        </w:rPr>
        <w:t> </w:t>
      </w:r>
      <w:r>
        <w:rPr/>
        <w:t>выполнения</w:t>
      </w:r>
      <w:r>
        <w:rPr>
          <w:spacing w:val="-2"/>
        </w:rPr>
        <w:t> </w:t>
      </w:r>
      <w:r>
        <w:rPr/>
        <w:t>домашних</w:t>
      </w:r>
      <w:r>
        <w:rPr>
          <w:spacing w:val="-2"/>
        </w:rPr>
        <w:t> </w:t>
      </w:r>
      <w:r>
        <w:rPr/>
        <w:t>заданий,</w:t>
      </w:r>
      <w:r>
        <w:rPr>
          <w:spacing w:val="-2"/>
        </w:rPr>
        <w:t> </w:t>
      </w:r>
      <w:r>
        <w:rPr/>
        <w:t>взаимодействия</w:t>
      </w:r>
      <w:r>
        <w:rPr>
          <w:spacing w:val="-2"/>
        </w:rPr>
        <w:t> </w:t>
      </w:r>
      <w:r>
        <w:rPr/>
        <w:t>со</w:t>
      </w:r>
      <w:r>
        <w:rPr>
          <w:spacing w:val="-2"/>
        </w:rPr>
        <w:t> </w:t>
      </w:r>
      <w:r>
        <w:rPr/>
        <w:t>сверстниками</w:t>
      </w:r>
      <w:r>
        <w:rPr>
          <w:spacing w:val="-2"/>
        </w:rPr>
        <w:t> </w:t>
      </w:r>
      <w:r>
        <w:rPr/>
        <w:t>и</w:t>
      </w:r>
      <w:r>
        <w:rPr>
          <w:spacing w:val="-2"/>
        </w:rPr>
        <w:t> </w:t>
      </w:r>
      <w:r>
        <w:rPr/>
        <w:t>взрослы- ми, а также обеспечение рефлексии и практического освоения культурно релевант- ных навыков поведения решаются посредством ролевых игр.</w:t>
      </w:r>
    </w:p>
    <w:p>
      <w:pPr>
        <w:spacing w:before="57"/>
        <w:ind w:left="425" w:right="0" w:firstLine="0"/>
        <w:jc w:val="both"/>
        <w:rPr>
          <w:i/>
          <w:sz w:val="20"/>
        </w:rPr>
      </w:pPr>
      <w:r>
        <w:rPr>
          <w:i/>
          <w:sz w:val="20"/>
        </w:rPr>
        <w:t>Для</w:t>
      </w:r>
      <w:r>
        <w:rPr>
          <w:i/>
          <w:spacing w:val="-2"/>
          <w:sz w:val="20"/>
        </w:rPr>
        <w:t> </w:t>
      </w:r>
      <w:r>
        <w:rPr>
          <w:i/>
          <w:sz w:val="20"/>
        </w:rPr>
        <w:t>учащихся</w:t>
      </w:r>
      <w:r>
        <w:rPr>
          <w:i/>
          <w:spacing w:val="-2"/>
          <w:sz w:val="20"/>
        </w:rPr>
        <w:t> </w:t>
      </w:r>
      <w:r>
        <w:rPr>
          <w:i/>
          <w:sz w:val="20"/>
        </w:rPr>
        <w:t>средней</w:t>
      </w:r>
      <w:r>
        <w:rPr>
          <w:i/>
          <w:spacing w:val="-2"/>
          <w:sz w:val="20"/>
        </w:rPr>
        <w:t> </w:t>
      </w:r>
      <w:r>
        <w:rPr>
          <w:i/>
          <w:sz w:val="20"/>
        </w:rPr>
        <w:t>и</w:t>
      </w:r>
      <w:r>
        <w:rPr>
          <w:i/>
          <w:spacing w:val="-2"/>
          <w:sz w:val="20"/>
        </w:rPr>
        <w:t> </w:t>
      </w:r>
      <w:r>
        <w:rPr>
          <w:i/>
          <w:sz w:val="20"/>
        </w:rPr>
        <w:t>старшей</w:t>
      </w:r>
      <w:r>
        <w:rPr>
          <w:i/>
          <w:spacing w:val="-2"/>
          <w:sz w:val="20"/>
        </w:rPr>
        <w:t> </w:t>
      </w:r>
      <w:r>
        <w:rPr>
          <w:i/>
          <w:spacing w:val="-4"/>
          <w:sz w:val="20"/>
        </w:rPr>
        <w:t>школы</w:t>
      </w:r>
    </w:p>
    <w:p>
      <w:pPr>
        <w:pStyle w:val="BodyText"/>
        <w:spacing w:line="237" w:lineRule="auto" w:before="2"/>
      </w:pPr>
      <w:r>
        <w:rPr/>
        <w:t>Задачи знакомства с культурно релевантными навыками поведения в классе и в школе,</w:t>
      </w:r>
      <w:r>
        <w:rPr>
          <w:spacing w:val="-2"/>
        </w:rPr>
        <w:t> </w:t>
      </w:r>
      <w:r>
        <w:rPr/>
        <w:t>выполнения</w:t>
      </w:r>
      <w:r>
        <w:rPr>
          <w:spacing w:val="-2"/>
        </w:rPr>
        <w:t> </w:t>
      </w:r>
      <w:r>
        <w:rPr/>
        <w:t>домашних</w:t>
      </w:r>
      <w:r>
        <w:rPr>
          <w:spacing w:val="-2"/>
        </w:rPr>
        <w:t> </w:t>
      </w:r>
      <w:r>
        <w:rPr/>
        <w:t>заданий,</w:t>
      </w:r>
      <w:r>
        <w:rPr>
          <w:spacing w:val="-2"/>
        </w:rPr>
        <w:t> </w:t>
      </w:r>
      <w:r>
        <w:rPr/>
        <w:t>взаимодействия</w:t>
      </w:r>
      <w:r>
        <w:rPr>
          <w:spacing w:val="-2"/>
        </w:rPr>
        <w:t> </w:t>
      </w:r>
      <w:r>
        <w:rPr/>
        <w:t>со</w:t>
      </w:r>
      <w:r>
        <w:rPr>
          <w:spacing w:val="-2"/>
        </w:rPr>
        <w:t> </w:t>
      </w:r>
      <w:r>
        <w:rPr/>
        <w:t>сверстниками</w:t>
      </w:r>
      <w:r>
        <w:rPr>
          <w:spacing w:val="-2"/>
        </w:rPr>
        <w:t> </w:t>
      </w:r>
      <w:r>
        <w:rPr/>
        <w:t>и</w:t>
      </w:r>
      <w:r>
        <w:rPr>
          <w:spacing w:val="-2"/>
        </w:rPr>
        <w:t> </w:t>
      </w:r>
      <w:r>
        <w:rPr/>
        <w:t>взрослы- ми, а также обеспечение рефлексии и практического освоения культурно релевант- ных навыков поведения решаются с применением ролевого моделирования и реше- ния задач культурного ассимилятора.</w:t>
      </w:r>
    </w:p>
    <w:p>
      <w:pPr>
        <w:spacing w:before="111"/>
        <w:ind w:left="425" w:right="0" w:firstLine="0"/>
        <w:jc w:val="both"/>
        <w:rPr>
          <w:b/>
          <w:i/>
          <w:sz w:val="20"/>
        </w:rPr>
      </w:pPr>
      <w:r>
        <w:rPr>
          <w:b/>
          <w:i/>
          <w:sz w:val="20"/>
        </w:rPr>
        <w:t>В</w:t>
      </w:r>
      <w:r>
        <w:rPr>
          <w:b/>
          <w:i/>
          <w:spacing w:val="-9"/>
          <w:sz w:val="20"/>
        </w:rPr>
        <w:t> </w:t>
      </w:r>
      <w:r>
        <w:rPr>
          <w:b/>
          <w:i/>
          <w:sz w:val="20"/>
        </w:rPr>
        <w:t>области</w:t>
      </w:r>
      <w:r>
        <w:rPr>
          <w:b/>
          <w:i/>
          <w:spacing w:val="-10"/>
          <w:sz w:val="20"/>
        </w:rPr>
        <w:t> </w:t>
      </w:r>
      <w:r>
        <w:rPr>
          <w:b/>
          <w:i/>
          <w:sz w:val="20"/>
        </w:rPr>
        <w:t>культурной</w:t>
      </w:r>
      <w:r>
        <w:rPr>
          <w:b/>
          <w:i/>
          <w:spacing w:val="-9"/>
          <w:sz w:val="20"/>
        </w:rPr>
        <w:t> </w:t>
      </w:r>
      <w:r>
        <w:rPr>
          <w:b/>
          <w:i/>
          <w:spacing w:val="-2"/>
          <w:sz w:val="20"/>
        </w:rPr>
        <w:t>адаптации</w:t>
      </w:r>
    </w:p>
    <w:p>
      <w:pPr>
        <w:spacing w:line="228" w:lineRule="exact" w:before="52"/>
        <w:ind w:left="425" w:right="0" w:firstLine="0"/>
        <w:jc w:val="both"/>
        <w:rPr>
          <w:i/>
          <w:sz w:val="20"/>
        </w:rPr>
      </w:pPr>
      <w:r>
        <w:rPr>
          <w:i/>
          <w:sz w:val="20"/>
        </w:rPr>
        <w:t>Для</w:t>
      </w:r>
      <w:r>
        <w:rPr>
          <w:i/>
          <w:spacing w:val="-5"/>
          <w:sz w:val="20"/>
        </w:rPr>
        <w:t> </w:t>
      </w:r>
      <w:r>
        <w:rPr>
          <w:i/>
          <w:sz w:val="20"/>
        </w:rPr>
        <w:t>учащихся</w:t>
      </w:r>
      <w:r>
        <w:rPr>
          <w:i/>
          <w:spacing w:val="-3"/>
          <w:sz w:val="20"/>
        </w:rPr>
        <w:t> </w:t>
      </w:r>
      <w:r>
        <w:rPr>
          <w:i/>
          <w:sz w:val="20"/>
        </w:rPr>
        <w:t>начальной</w:t>
      </w:r>
      <w:r>
        <w:rPr>
          <w:i/>
          <w:spacing w:val="-2"/>
          <w:sz w:val="20"/>
        </w:rPr>
        <w:t> </w:t>
      </w:r>
      <w:r>
        <w:rPr>
          <w:i/>
          <w:spacing w:val="-4"/>
          <w:sz w:val="20"/>
        </w:rPr>
        <w:t>школы</w:t>
      </w:r>
    </w:p>
    <w:p>
      <w:pPr>
        <w:pStyle w:val="BodyText"/>
        <w:spacing w:line="235" w:lineRule="auto" w:before="2"/>
      </w:pPr>
      <w:r>
        <w:rPr/>
        <w:t>Задача обеспечения рефлексии культурных норм страны исхода и российской культуры решается посредством вовлечения учащихся в различные активности на уровне класса и школы. В индивидуальной работе подобные вопросы могут обсуж- даться только начиная с подросткового возраста.</w:t>
      </w:r>
    </w:p>
    <w:p>
      <w:pPr>
        <w:pStyle w:val="BodyText"/>
        <w:spacing w:after="0" w:line="235" w:lineRule="auto"/>
        <w:sectPr>
          <w:pgSz w:w="8400" w:h="11910"/>
          <w:pgMar w:header="0" w:footer="528" w:top="400" w:bottom="740" w:left="425" w:right="425"/>
        </w:sectPr>
      </w:pPr>
    </w:p>
    <w:p>
      <w:pPr>
        <w:pStyle w:val="ListParagraph"/>
        <w:numPr>
          <w:ilvl w:val="1"/>
          <w:numId w:val="60"/>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Использование</w:t>
      </w:r>
      <w:r>
        <w:rPr>
          <w:rFonts w:ascii="Georgia" w:hAnsi="Georgia"/>
          <w:color w:val="231F20"/>
          <w:spacing w:val="-2"/>
          <w:sz w:val="18"/>
        </w:rPr>
        <w:t> </w:t>
      </w:r>
      <w:r>
        <w:rPr>
          <w:rFonts w:ascii="Georgia" w:hAnsi="Georgia"/>
          <w:color w:val="231F20"/>
          <w:sz w:val="18"/>
        </w:rPr>
        <w:t>консультативных</w:t>
      </w:r>
      <w:r>
        <w:rPr>
          <w:rFonts w:ascii="Georgia" w:hAnsi="Georgia"/>
          <w:color w:val="231F20"/>
          <w:spacing w:val="-1"/>
          <w:sz w:val="18"/>
        </w:rPr>
        <w:t> </w:t>
      </w:r>
      <w:r>
        <w:rPr>
          <w:rFonts w:ascii="Georgia" w:hAnsi="Georgia"/>
          <w:color w:val="231F20"/>
          <w:sz w:val="18"/>
        </w:rPr>
        <w:t>подходов</w:t>
      </w:r>
      <w:r>
        <w:rPr>
          <w:rFonts w:ascii="Georgia" w:hAnsi="Georgia"/>
          <w:color w:val="231F20"/>
          <w:spacing w:val="-2"/>
          <w:sz w:val="18"/>
        </w:rPr>
        <w:t> </w:t>
      </w:r>
      <w:r>
        <w:rPr>
          <w:rFonts w:ascii="Georgia" w:hAnsi="Georgia"/>
          <w:color w:val="231F20"/>
          <w:sz w:val="18"/>
        </w:rPr>
        <w:t>и</w:t>
      </w:r>
      <w:r>
        <w:rPr>
          <w:rFonts w:ascii="Georgia" w:hAnsi="Georgia"/>
          <w:color w:val="231F20"/>
          <w:spacing w:val="-1"/>
          <w:sz w:val="18"/>
        </w:rPr>
        <w:t> </w:t>
      </w:r>
      <w:r>
        <w:rPr>
          <w:rFonts w:ascii="Georgia" w:hAnsi="Georgia"/>
          <w:color w:val="231F20"/>
          <w:sz w:val="18"/>
        </w:rPr>
        <w:t>стратегий</w:t>
      </w:r>
      <w:r>
        <w:rPr>
          <w:rFonts w:ascii="Georgia" w:hAnsi="Georgia"/>
          <w:color w:val="231F20"/>
          <w:spacing w:val="-1"/>
          <w:sz w:val="18"/>
        </w:rPr>
        <w:t> </w:t>
      </w:r>
      <w:r>
        <w:rPr>
          <w:rFonts w:ascii="Georgia" w:hAnsi="Georgia"/>
          <w:color w:val="231F20"/>
          <w:sz w:val="18"/>
        </w:rPr>
        <w:t>в</w:t>
      </w:r>
      <w:r>
        <w:rPr>
          <w:rFonts w:ascii="Georgia" w:hAnsi="Georgia"/>
          <w:color w:val="231F20"/>
          <w:spacing w:val="-2"/>
          <w:sz w:val="18"/>
        </w:rPr>
        <w:t> </w:t>
      </w:r>
      <w:r>
        <w:rPr>
          <w:rFonts w:ascii="Georgia" w:hAnsi="Georgia"/>
          <w:color w:val="231F20"/>
          <w:sz w:val="18"/>
        </w:rPr>
        <w:t>работе</w:t>
      </w:r>
      <w:r>
        <w:rPr>
          <w:rFonts w:ascii="Georgia" w:hAnsi="Georgia"/>
          <w:color w:val="231F20"/>
          <w:spacing w:val="-1"/>
          <w:sz w:val="18"/>
        </w:rPr>
        <w:t> </w:t>
      </w:r>
      <w:r>
        <w:rPr>
          <w:rFonts w:ascii="Georgia" w:hAnsi="Georgia"/>
          <w:color w:val="231F20"/>
          <w:sz w:val="18"/>
        </w:rPr>
        <w:t>с</w:t>
      </w:r>
      <w:r>
        <w:rPr>
          <w:rFonts w:ascii="Georgia" w:hAnsi="Georgia"/>
          <w:color w:val="231F20"/>
          <w:spacing w:val="-1"/>
          <w:sz w:val="18"/>
        </w:rPr>
        <w:t> </w:t>
      </w:r>
      <w:r>
        <w:rPr>
          <w:rFonts w:ascii="Georgia" w:hAnsi="Georgia"/>
          <w:color w:val="231F20"/>
          <w:spacing w:val="-2"/>
          <w:sz w:val="18"/>
        </w:rPr>
        <w:t>детьми...</w:t>
      </w:r>
    </w:p>
    <w:p>
      <w:pPr>
        <w:spacing w:line="228" w:lineRule="exact" w:before="112"/>
        <w:ind w:left="425" w:right="0" w:firstLine="0"/>
        <w:jc w:val="both"/>
        <w:rPr>
          <w:i/>
          <w:sz w:val="20"/>
        </w:rPr>
      </w:pPr>
      <w:r>
        <w:rPr>
          <w:i/>
          <w:sz w:val="20"/>
        </w:rPr>
        <w:t>Для</w:t>
      </w:r>
      <w:r>
        <w:rPr>
          <w:i/>
          <w:spacing w:val="-2"/>
          <w:sz w:val="20"/>
        </w:rPr>
        <w:t> </w:t>
      </w:r>
      <w:r>
        <w:rPr>
          <w:i/>
          <w:sz w:val="20"/>
        </w:rPr>
        <w:t>учащихся</w:t>
      </w:r>
      <w:r>
        <w:rPr>
          <w:i/>
          <w:spacing w:val="-2"/>
          <w:sz w:val="20"/>
        </w:rPr>
        <w:t> </w:t>
      </w:r>
      <w:r>
        <w:rPr>
          <w:i/>
          <w:sz w:val="20"/>
        </w:rPr>
        <w:t>средней</w:t>
      </w:r>
      <w:r>
        <w:rPr>
          <w:i/>
          <w:spacing w:val="-2"/>
          <w:sz w:val="20"/>
        </w:rPr>
        <w:t> </w:t>
      </w:r>
      <w:r>
        <w:rPr>
          <w:i/>
          <w:sz w:val="20"/>
        </w:rPr>
        <w:t>и</w:t>
      </w:r>
      <w:r>
        <w:rPr>
          <w:i/>
          <w:spacing w:val="-2"/>
          <w:sz w:val="20"/>
        </w:rPr>
        <w:t> </w:t>
      </w:r>
      <w:r>
        <w:rPr>
          <w:i/>
          <w:sz w:val="20"/>
        </w:rPr>
        <w:t>старшей</w:t>
      </w:r>
      <w:r>
        <w:rPr>
          <w:i/>
          <w:spacing w:val="-2"/>
          <w:sz w:val="20"/>
        </w:rPr>
        <w:t> </w:t>
      </w:r>
      <w:r>
        <w:rPr>
          <w:i/>
          <w:spacing w:val="-4"/>
          <w:sz w:val="20"/>
        </w:rPr>
        <w:t>школы</w:t>
      </w:r>
    </w:p>
    <w:p>
      <w:pPr>
        <w:pStyle w:val="BodyText"/>
        <w:spacing w:line="235" w:lineRule="auto" w:before="2"/>
      </w:pPr>
      <w:r>
        <w:rPr/>
        <w:t>Задачи обеспечения рефлексии культурных норм страны исхода и российской культуры, содействия формированию позитивной этнической идентичности и рос- сийской гражданской идентичности решаются с помощью следующих приемов:</w:t>
      </w:r>
    </w:p>
    <w:p>
      <w:pPr>
        <w:pStyle w:val="ListParagraph"/>
        <w:numPr>
          <w:ilvl w:val="2"/>
          <w:numId w:val="60"/>
        </w:numPr>
        <w:tabs>
          <w:tab w:pos="425" w:val="left" w:leader="none"/>
        </w:tabs>
        <w:spacing w:line="235" w:lineRule="auto" w:before="2" w:after="0"/>
        <w:ind w:left="425" w:right="139" w:hanging="284"/>
        <w:jc w:val="both"/>
        <w:rPr>
          <w:sz w:val="20"/>
        </w:rPr>
      </w:pPr>
      <w:r>
        <w:rPr>
          <w:color w:val="231F20"/>
          <w:sz w:val="20"/>
        </w:rPr>
        <w:t>обсуждение трудностей, связанных со становлением этнической, культурной и гражданской</w:t>
      </w:r>
      <w:r>
        <w:rPr>
          <w:color w:val="231F20"/>
          <w:spacing w:val="-4"/>
          <w:sz w:val="20"/>
        </w:rPr>
        <w:t> </w:t>
      </w:r>
      <w:r>
        <w:rPr>
          <w:color w:val="231F20"/>
          <w:sz w:val="20"/>
        </w:rPr>
        <w:t>идентичности</w:t>
      </w:r>
      <w:r>
        <w:rPr>
          <w:color w:val="231F20"/>
          <w:spacing w:val="-4"/>
          <w:sz w:val="20"/>
        </w:rPr>
        <w:t> </w:t>
      </w:r>
      <w:r>
        <w:rPr>
          <w:color w:val="231F20"/>
          <w:sz w:val="20"/>
        </w:rPr>
        <w:t>ребенка-мигранта</w:t>
      </w:r>
      <w:r>
        <w:rPr>
          <w:color w:val="231F20"/>
          <w:spacing w:val="-4"/>
          <w:sz w:val="20"/>
        </w:rPr>
        <w:t> </w:t>
      </w:r>
      <w:r>
        <w:rPr>
          <w:sz w:val="20"/>
        </w:rPr>
        <w:t>(см.</w:t>
      </w:r>
      <w:r>
        <w:rPr>
          <w:spacing w:val="-3"/>
          <w:sz w:val="20"/>
        </w:rPr>
        <w:t> </w:t>
      </w:r>
      <w:r>
        <w:rPr>
          <w:sz w:val="20"/>
        </w:rPr>
        <w:t>пункт</w:t>
      </w:r>
      <w:r>
        <w:rPr>
          <w:spacing w:val="-3"/>
          <w:sz w:val="20"/>
        </w:rPr>
        <w:t> </w:t>
      </w:r>
      <w:r>
        <w:rPr>
          <w:sz w:val="20"/>
        </w:rPr>
        <w:t>1.5.</w:t>
      </w:r>
      <w:r>
        <w:rPr>
          <w:spacing w:val="-3"/>
          <w:sz w:val="20"/>
        </w:rPr>
        <w:t> </w:t>
      </w:r>
      <w:r>
        <w:rPr>
          <w:sz w:val="20"/>
        </w:rPr>
        <w:t>и</w:t>
      </w:r>
      <w:r>
        <w:rPr>
          <w:spacing w:val="-4"/>
          <w:sz w:val="20"/>
        </w:rPr>
        <w:t> </w:t>
      </w:r>
      <w:r>
        <w:rPr>
          <w:sz w:val="20"/>
        </w:rPr>
        <w:t>Инструментарий);</w:t>
      </w:r>
    </w:p>
    <w:p>
      <w:pPr>
        <w:pStyle w:val="ListParagraph"/>
        <w:numPr>
          <w:ilvl w:val="2"/>
          <w:numId w:val="60"/>
        </w:numPr>
        <w:tabs>
          <w:tab w:pos="425" w:val="left" w:leader="none"/>
        </w:tabs>
        <w:spacing w:line="235" w:lineRule="auto" w:before="1" w:after="0"/>
        <w:ind w:left="425" w:right="140" w:hanging="284"/>
        <w:jc w:val="both"/>
        <w:rPr>
          <w:sz w:val="20"/>
        </w:rPr>
      </w:pPr>
      <w:r>
        <w:rPr>
          <w:sz w:val="20"/>
        </w:rPr>
        <w:t>стратегии</w:t>
      </w:r>
      <w:r>
        <w:rPr>
          <w:spacing w:val="-11"/>
          <w:sz w:val="20"/>
        </w:rPr>
        <w:t> </w:t>
      </w:r>
      <w:r>
        <w:rPr>
          <w:color w:val="231F20"/>
          <w:sz w:val="20"/>
        </w:rPr>
        <w:t>обсуждения</w:t>
      </w:r>
      <w:r>
        <w:rPr>
          <w:color w:val="231F20"/>
          <w:spacing w:val="-11"/>
          <w:sz w:val="20"/>
        </w:rPr>
        <w:t> </w:t>
      </w:r>
      <w:r>
        <w:rPr>
          <w:color w:val="231F20"/>
          <w:sz w:val="20"/>
        </w:rPr>
        <w:t>с</w:t>
      </w:r>
      <w:r>
        <w:rPr>
          <w:color w:val="231F20"/>
          <w:spacing w:val="-11"/>
          <w:sz w:val="20"/>
        </w:rPr>
        <w:t> </w:t>
      </w:r>
      <w:r>
        <w:rPr>
          <w:color w:val="231F20"/>
          <w:sz w:val="20"/>
        </w:rPr>
        <w:t>ребенком</w:t>
      </w:r>
      <w:r>
        <w:rPr>
          <w:color w:val="231F20"/>
          <w:spacing w:val="-11"/>
          <w:sz w:val="20"/>
        </w:rPr>
        <w:t> </w:t>
      </w:r>
      <w:r>
        <w:rPr>
          <w:color w:val="231F20"/>
          <w:sz w:val="20"/>
        </w:rPr>
        <w:t>культурных</w:t>
      </w:r>
      <w:r>
        <w:rPr>
          <w:color w:val="231F20"/>
          <w:spacing w:val="-11"/>
          <w:sz w:val="20"/>
        </w:rPr>
        <w:t> </w:t>
      </w:r>
      <w:r>
        <w:rPr>
          <w:color w:val="231F20"/>
          <w:sz w:val="20"/>
        </w:rPr>
        <w:t>различий</w:t>
      </w:r>
      <w:r>
        <w:rPr>
          <w:color w:val="231F20"/>
          <w:spacing w:val="-11"/>
          <w:sz w:val="20"/>
        </w:rPr>
        <w:t> </w:t>
      </w:r>
      <w:r>
        <w:rPr>
          <w:color w:val="231F20"/>
          <w:sz w:val="20"/>
        </w:rPr>
        <w:t>и</w:t>
      </w:r>
      <w:r>
        <w:rPr>
          <w:color w:val="231F20"/>
          <w:spacing w:val="-11"/>
          <w:sz w:val="20"/>
        </w:rPr>
        <w:t> </w:t>
      </w:r>
      <w:r>
        <w:rPr>
          <w:color w:val="231F20"/>
          <w:sz w:val="20"/>
        </w:rPr>
        <w:t>трудностей</w:t>
      </w:r>
      <w:r>
        <w:rPr>
          <w:color w:val="231F20"/>
          <w:spacing w:val="-11"/>
          <w:sz w:val="20"/>
        </w:rPr>
        <w:t> </w:t>
      </w:r>
      <w:r>
        <w:rPr>
          <w:color w:val="231F20"/>
          <w:sz w:val="20"/>
        </w:rPr>
        <w:t>культурной адаптации (см. пункт 1.5.).</w:t>
      </w:r>
    </w:p>
    <w:p>
      <w:pPr>
        <w:pStyle w:val="ListParagraph"/>
        <w:spacing w:after="0" w:line="235" w:lineRule="auto"/>
        <w:jc w:val="both"/>
        <w:rPr>
          <w:sz w:val="20"/>
        </w:rPr>
        <w:sectPr>
          <w:pgSz w:w="8400" w:h="11910"/>
          <w:pgMar w:header="0" w:footer="528" w:top="400" w:bottom="740" w:left="425" w:right="425"/>
        </w:sectPr>
      </w:pPr>
    </w:p>
    <w:p>
      <w:pPr>
        <w:spacing w:before="80"/>
        <w:ind w:left="141" w:right="139" w:firstLine="0"/>
        <w:jc w:val="right"/>
        <w:rPr>
          <w:rFonts w:ascii="Georgia" w:hAnsi="Georgia"/>
          <w:sz w:val="18"/>
        </w:rPr>
      </w:pPr>
      <w:bookmarkStart w:name="_bookmark45" w:id="47"/>
      <w:bookmarkEnd w:id="47"/>
      <w:r>
        <w:rPr/>
      </w:r>
      <w:r>
        <w:rPr>
          <w:rFonts w:ascii="Georgia" w:hAnsi="Georgia"/>
          <w:color w:val="231F20"/>
          <w:spacing w:val="-2"/>
          <w:sz w:val="18"/>
        </w:rPr>
        <w:t>Раздел</w:t>
      </w:r>
      <w:r>
        <w:rPr>
          <w:rFonts w:ascii="Georgia" w:hAnsi="Georgia"/>
          <w:color w:val="231F20"/>
          <w:spacing w:val="-5"/>
          <w:sz w:val="18"/>
        </w:rPr>
        <w:t> 1.</w:t>
      </w:r>
    </w:p>
    <w:p>
      <w:pPr>
        <w:numPr>
          <w:ilvl w:val="1"/>
          <w:numId w:val="52"/>
        </w:numPr>
        <w:tabs>
          <w:tab w:pos="1016" w:val="left" w:leader="none"/>
          <w:tab w:pos="1225" w:val="left" w:leader="none"/>
        </w:tabs>
        <w:spacing w:line="235" w:lineRule="auto" w:before="113"/>
        <w:ind w:left="1225" w:right="665" w:hanging="559"/>
        <w:jc w:val="left"/>
        <w:rPr>
          <w:b/>
          <w:color w:val="231F20"/>
          <w:sz w:val="20"/>
        </w:rPr>
      </w:pPr>
      <w:r>
        <w:rPr>
          <w:b/>
          <w:color w:val="231F20"/>
          <w:sz w:val="20"/>
        </w:rPr>
        <w:t>Психологическая</w:t>
      </w:r>
      <w:r>
        <w:rPr>
          <w:b/>
          <w:color w:val="231F20"/>
          <w:spacing w:val="-7"/>
          <w:sz w:val="20"/>
        </w:rPr>
        <w:t> </w:t>
      </w:r>
      <w:r>
        <w:rPr>
          <w:b/>
          <w:color w:val="231F20"/>
          <w:sz w:val="20"/>
        </w:rPr>
        <w:t>работа</w:t>
      </w:r>
      <w:r>
        <w:rPr>
          <w:b/>
          <w:color w:val="231F20"/>
          <w:spacing w:val="-7"/>
          <w:sz w:val="20"/>
        </w:rPr>
        <w:t> </w:t>
      </w:r>
      <w:r>
        <w:rPr>
          <w:b/>
          <w:color w:val="231F20"/>
          <w:sz w:val="20"/>
        </w:rPr>
        <w:t>с</w:t>
      </w:r>
      <w:r>
        <w:rPr>
          <w:b/>
          <w:color w:val="231F20"/>
          <w:spacing w:val="-7"/>
          <w:sz w:val="20"/>
        </w:rPr>
        <w:t> </w:t>
      </w:r>
      <w:r>
        <w:rPr>
          <w:b/>
          <w:color w:val="231F20"/>
          <w:sz w:val="20"/>
        </w:rPr>
        <w:t>детьми</w:t>
      </w:r>
      <w:r>
        <w:rPr>
          <w:b/>
          <w:color w:val="231F20"/>
          <w:spacing w:val="-7"/>
          <w:sz w:val="20"/>
        </w:rPr>
        <w:t> </w:t>
      </w:r>
      <w:r>
        <w:rPr>
          <w:b/>
          <w:color w:val="231F20"/>
          <w:sz w:val="20"/>
        </w:rPr>
        <w:t>–</w:t>
      </w:r>
      <w:r>
        <w:rPr>
          <w:b/>
          <w:color w:val="231F20"/>
          <w:spacing w:val="-7"/>
          <w:sz w:val="20"/>
        </w:rPr>
        <w:t> </w:t>
      </w:r>
      <w:r>
        <w:rPr>
          <w:b/>
          <w:color w:val="231F20"/>
          <w:sz w:val="20"/>
        </w:rPr>
        <w:t>иностранными</w:t>
      </w:r>
      <w:r>
        <w:rPr>
          <w:b/>
          <w:color w:val="231F20"/>
          <w:spacing w:val="-7"/>
          <w:sz w:val="20"/>
        </w:rPr>
        <w:t> </w:t>
      </w:r>
      <w:r>
        <w:rPr>
          <w:b/>
          <w:color w:val="231F20"/>
          <w:sz w:val="20"/>
        </w:rPr>
        <w:t>гражданами, переживающими последствия психологической травмы</w:t>
      </w:r>
    </w:p>
    <w:p>
      <w:pPr>
        <w:spacing w:before="167"/>
        <w:ind w:left="6210" w:right="0" w:firstLine="0"/>
        <w:jc w:val="left"/>
        <w:rPr>
          <w:i/>
          <w:sz w:val="20"/>
        </w:rPr>
      </w:pPr>
      <w:r>
        <w:rPr>
          <w:i/>
          <w:color w:val="231F20"/>
          <w:sz w:val="20"/>
        </w:rPr>
        <w:t>Н.В.</w:t>
      </w:r>
      <w:r>
        <w:rPr>
          <w:i/>
          <w:color w:val="231F20"/>
          <w:spacing w:val="-2"/>
          <w:sz w:val="20"/>
        </w:rPr>
        <w:t> Тарулина</w:t>
      </w:r>
    </w:p>
    <w:p>
      <w:pPr>
        <w:numPr>
          <w:ilvl w:val="2"/>
          <w:numId w:val="52"/>
        </w:numPr>
        <w:tabs>
          <w:tab w:pos="1313" w:val="left" w:leader="none"/>
        </w:tabs>
        <w:spacing w:before="110"/>
        <w:ind w:left="1313" w:right="0" w:hanging="500"/>
        <w:jc w:val="left"/>
        <w:rPr>
          <w:b/>
          <w:sz w:val="20"/>
        </w:rPr>
      </w:pPr>
      <w:r>
        <w:rPr>
          <w:b/>
          <w:color w:val="231F20"/>
          <w:sz w:val="20"/>
        </w:rPr>
        <w:t>Психологическая</w:t>
      </w:r>
      <w:r>
        <w:rPr>
          <w:b/>
          <w:color w:val="231F20"/>
          <w:spacing w:val="-7"/>
          <w:sz w:val="20"/>
        </w:rPr>
        <w:t> </w:t>
      </w:r>
      <w:r>
        <w:rPr>
          <w:b/>
          <w:color w:val="231F20"/>
          <w:sz w:val="20"/>
        </w:rPr>
        <w:t>характеристика</w:t>
      </w:r>
      <w:r>
        <w:rPr>
          <w:b/>
          <w:color w:val="231F20"/>
          <w:spacing w:val="-7"/>
          <w:sz w:val="20"/>
        </w:rPr>
        <w:t> </w:t>
      </w:r>
      <w:r>
        <w:rPr>
          <w:b/>
          <w:color w:val="231F20"/>
          <w:sz w:val="20"/>
        </w:rPr>
        <w:t>травмы</w:t>
      </w:r>
      <w:r>
        <w:rPr>
          <w:b/>
          <w:color w:val="231F20"/>
          <w:spacing w:val="-6"/>
          <w:sz w:val="20"/>
        </w:rPr>
        <w:t> </w:t>
      </w:r>
      <w:r>
        <w:rPr>
          <w:b/>
          <w:color w:val="231F20"/>
          <w:sz w:val="20"/>
        </w:rPr>
        <w:t>и</w:t>
      </w:r>
      <w:r>
        <w:rPr>
          <w:b/>
          <w:color w:val="231F20"/>
          <w:spacing w:val="-8"/>
          <w:sz w:val="20"/>
        </w:rPr>
        <w:t> </w:t>
      </w:r>
      <w:r>
        <w:rPr>
          <w:b/>
          <w:color w:val="231F20"/>
          <w:sz w:val="20"/>
        </w:rPr>
        <w:t>ее</w:t>
      </w:r>
      <w:r>
        <w:rPr>
          <w:b/>
          <w:color w:val="231F20"/>
          <w:spacing w:val="-6"/>
          <w:sz w:val="20"/>
        </w:rPr>
        <w:t> </w:t>
      </w:r>
      <w:r>
        <w:rPr>
          <w:b/>
          <w:color w:val="231F20"/>
          <w:spacing w:val="-2"/>
          <w:sz w:val="20"/>
        </w:rPr>
        <w:t>последствий</w:t>
      </w:r>
    </w:p>
    <w:p>
      <w:pPr>
        <w:pStyle w:val="BodyText"/>
        <w:spacing w:line="230" w:lineRule="auto" w:before="116"/>
      </w:pPr>
      <w:r>
        <w:rPr>
          <w:color w:val="231F20"/>
        </w:rPr>
        <w:t>Смена места жительства – серьезное событие для психики любого человека, осо- </w:t>
      </w:r>
      <w:r>
        <w:rPr>
          <w:color w:val="231F20"/>
          <w:spacing w:val="-4"/>
        </w:rPr>
        <w:t>бенно ребенка, потому что ребенок часто не может самостоятельно нормализовать свое </w:t>
      </w:r>
      <w:r>
        <w:rPr>
          <w:color w:val="231F20"/>
          <w:spacing w:val="-2"/>
        </w:rPr>
        <w:t>состояние</w:t>
      </w:r>
      <w:r>
        <w:rPr>
          <w:color w:val="231F20"/>
          <w:spacing w:val="-7"/>
        </w:rPr>
        <w:t> </w:t>
      </w:r>
      <w:r>
        <w:rPr>
          <w:color w:val="231F20"/>
          <w:spacing w:val="-2"/>
        </w:rPr>
        <w:t>и</w:t>
      </w:r>
      <w:r>
        <w:rPr>
          <w:color w:val="231F20"/>
          <w:spacing w:val="-7"/>
        </w:rPr>
        <w:t> </w:t>
      </w:r>
      <w:r>
        <w:rPr>
          <w:color w:val="231F20"/>
          <w:spacing w:val="-2"/>
        </w:rPr>
        <w:t>зависит</w:t>
      </w:r>
      <w:r>
        <w:rPr>
          <w:color w:val="231F20"/>
          <w:spacing w:val="-7"/>
        </w:rPr>
        <w:t> </w:t>
      </w:r>
      <w:r>
        <w:rPr>
          <w:color w:val="231F20"/>
          <w:spacing w:val="-2"/>
        </w:rPr>
        <w:t>от</w:t>
      </w:r>
      <w:r>
        <w:rPr>
          <w:color w:val="231F20"/>
          <w:spacing w:val="-7"/>
        </w:rPr>
        <w:t> </w:t>
      </w:r>
      <w:r>
        <w:rPr>
          <w:color w:val="231F20"/>
          <w:spacing w:val="-2"/>
        </w:rPr>
        <w:t>состояния</w:t>
      </w:r>
      <w:r>
        <w:rPr>
          <w:color w:val="231F20"/>
          <w:spacing w:val="-7"/>
        </w:rPr>
        <w:t> </w:t>
      </w:r>
      <w:r>
        <w:rPr>
          <w:color w:val="231F20"/>
          <w:spacing w:val="-2"/>
        </w:rPr>
        <w:t>близких</w:t>
      </w:r>
      <w:r>
        <w:rPr>
          <w:color w:val="231F20"/>
          <w:spacing w:val="-7"/>
        </w:rPr>
        <w:t> </w:t>
      </w:r>
      <w:r>
        <w:rPr>
          <w:color w:val="231F20"/>
          <w:spacing w:val="-2"/>
        </w:rPr>
        <w:t>и</w:t>
      </w:r>
      <w:r>
        <w:rPr>
          <w:color w:val="231F20"/>
          <w:spacing w:val="-7"/>
        </w:rPr>
        <w:t> </w:t>
      </w:r>
      <w:r>
        <w:rPr>
          <w:color w:val="231F20"/>
          <w:spacing w:val="-2"/>
        </w:rPr>
        <w:t>родных.</w:t>
      </w:r>
      <w:r>
        <w:rPr>
          <w:color w:val="231F20"/>
          <w:spacing w:val="-7"/>
        </w:rPr>
        <w:t> </w:t>
      </w:r>
      <w:r>
        <w:rPr>
          <w:color w:val="231F20"/>
          <w:spacing w:val="-2"/>
        </w:rPr>
        <w:t>Смена</w:t>
      </w:r>
      <w:r>
        <w:rPr>
          <w:color w:val="231F20"/>
          <w:spacing w:val="-7"/>
        </w:rPr>
        <w:t> </w:t>
      </w:r>
      <w:r>
        <w:rPr>
          <w:color w:val="231F20"/>
          <w:spacing w:val="-2"/>
        </w:rPr>
        <w:t>места</w:t>
      </w:r>
      <w:r>
        <w:rPr>
          <w:color w:val="231F20"/>
          <w:spacing w:val="-7"/>
        </w:rPr>
        <w:t> </w:t>
      </w:r>
      <w:r>
        <w:rPr>
          <w:color w:val="231F20"/>
          <w:spacing w:val="-2"/>
        </w:rPr>
        <w:t>жительства</w:t>
      </w:r>
      <w:r>
        <w:rPr>
          <w:color w:val="231F20"/>
          <w:spacing w:val="-7"/>
        </w:rPr>
        <w:t> </w:t>
      </w:r>
      <w:r>
        <w:rPr>
          <w:color w:val="231F20"/>
          <w:spacing w:val="-2"/>
        </w:rPr>
        <w:t>для</w:t>
      </w:r>
      <w:r>
        <w:rPr>
          <w:color w:val="231F20"/>
          <w:spacing w:val="-7"/>
        </w:rPr>
        <w:t> </w:t>
      </w:r>
      <w:r>
        <w:rPr>
          <w:color w:val="231F20"/>
          <w:spacing w:val="-2"/>
        </w:rPr>
        <w:t>каж- дого человека сопровождается обязательным процессом адаптации к новым условиям жизни. Меняются не только язык, культура, традиции, климат, привычное окружение, но</w:t>
      </w:r>
      <w:r>
        <w:rPr>
          <w:color w:val="231F20"/>
          <w:spacing w:val="-11"/>
        </w:rPr>
        <w:t> </w:t>
      </w:r>
      <w:r>
        <w:rPr>
          <w:color w:val="231F20"/>
          <w:spacing w:val="-2"/>
        </w:rPr>
        <w:t>и</w:t>
      </w:r>
      <w:r>
        <w:rPr>
          <w:color w:val="231F20"/>
          <w:spacing w:val="-10"/>
        </w:rPr>
        <w:t> </w:t>
      </w:r>
      <w:r>
        <w:rPr>
          <w:color w:val="231F20"/>
          <w:spacing w:val="-2"/>
        </w:rPr>
        <w:t>ритм</w:t>
      </w:r>
      <w:r>
        <w:rPr>
          <w:color w:val="231F20"/>
          <w:spacing w:val="-11"/>
        </w:rPr>
        <w:t> </w:t>
      </w:r>
      <w:r>
        <w:rPr>
          <w:color w:val="231F20"/>
          <w:spacing w:val="-2"/>
        </w:rPr>
        <w:t>жизни,</w:t>
      </w:r>
      <w:r>
        <w:rPr>
          <w:color w:val="231F20"/>
          <w:spacing w:val="-10"/>
        </w:rPr>
        <w:t> </w:t>
      </w:r>
      <w:r>
        <w:rPr>
          <w:color w:val="231F20"/>
          <w:spacing w:val="-2"/>
        </w:rPr>
        <w:t>место</w:t>
      </w:r>
      <w:r>
        <w:rPr>
          <w:color w:val="231F20"/>
          <w:spacing w:val="-11"/>
        </w:rPr>
        <w:t> </w:t>
      </w:r>
      <w:r>
        <w:rPr>
          <w:color w:val="231F20"/>
          <w:spacing w:val="-2"/>
        </w:rPr>
        <w:t>и</w:t>
      </w:r>
      <w:r>
        <w:rPr>
          <w:color w:val="231F20"/>
          <w:spacing w:val="-10"/>
        </w:rPr>
        <w:t> </w:t>
      </w:r>
      <w:r>
        <w:rPr>
          <w:color w:val="231F20"/>
          <w:spacing w:val="-2"/>
        </w:rPr>
        <w:t>способ</w:t>
      </w:r>
      <w:r>
        <w:rPr>
          <w:color w:val="231F20"/>
          <w:spacing w:val="-11"/>
        </w:rPr>
        <w:t> </w:t>
      </w:r>
      <w:r>
        <w:rPr>
          <w:color w:val="231F20"/>
          <w:spacing w:val="-2"/>
        </w:rPr>
        <w:t>взаимодействия</w:t>
      </w:r>
      <w:r>
        <w:rPr>
          <w:color w:val="231F20"/>
          <w:spacing w:val="-10"/>
        </w:rPr>
        <w:t> </w:t>
      </w:r>
      <w:r>
        <w:rPr>
          <w:color w:val="231F20"/>
          <w:spacing w:val="-2"/>
        </w:rPr>
        <w:t>с</w:t>
      </w:r>
      <w:r>
        <w:rPr>
          <w:color w:val="231F20"/>
          <w:spacing w:val="-11"/>
        </w:rPr>
        <w:t> </w:t>
      </w:r>
      <w:r>
        <w:rPr>
          <w:color w:val="231F20"/>
          <w:spacing w:val="-2"/>
        </w:rPr>
        <w:t>другими</w:t>
      </w:r>
      <w:r>
        <w:rPr>
          <w:color w:val="231F20"/>
          <w:spacing w:val="-10"/>
        </w:rPr>
        <w:t> </w:t>
      </w:r>
      <w:r>
        <w:rPr>
          <w:color w:val="231F20"/>
          <w:spacing w:val="-2"/>
        </w:rPr>
        <w:t>людьми.</w:t>
      </w:r>
      <w:r>
        <w:rPr>
          <w:color w:val="231F20"/>
          <w:spacing w:val="-11"/>
        </w:rPr>
        <w:t> </w:t>
      </w:r>
      <w:r>
        <w:rPr>
          <w:color w:val="231F20"/>
          <w:spacing w:val="-2"/>
        </w:rPr>
        <w:t>Родителям</w:t>
      </w:r>
      <w:r>
        <w:rPr>
          <w:color w:val="231F20"/>
          <w:spacing w:val="-10"/>
        </w:rPr>
        <w:t> </w:t>
      </w:r>
      <w:r>
        <w:rPr>
          <w:color w:val="231F20"/>
          <w:spacing w:val="-2"/>
        </w:rPr>
        <w:t>прихо- </w:t>
      </w:r>
      <w:r>
        <w:rPr>
          <w:color w:val="231F20"/>
        </w:rPr>
        <w:t>дится</w:t>
      </w:r>
      <w:r>
        <w:rPr>
          <w:color w:val="231F20"/>
          <w:spacing w:val="-8"/>
        </w:rPr>
        <w:t> </w:t>
      </w:r>
      <w:r>
        <w:rPr>
          <w:color w:val="231F20"/>
        </w:rPr>
        <w:t>решать</w:t>
      </w:r>
      <w:r>
        <w:rPr>
          <w:color w:val="231F20"/>
          <w:spacing w:val="-8"/>
        </w:rPr>
        <w:t> </w:t>
      </w:r>
      <w:r>
        <w:rPr>
          <w:color w:val="231F20"/>
        </w:rPr>
        <w:t>вопросы</w:t>
      </w:r>
      <w:r>
        <w:rPr>
          <w:color w:val="231F20"/>
          <w:spacing w:val="-8"/>
        </w:rPr>
        <w:t> </w:t>
      </w:r>
      <w:r>
        <w:rPr>
          <w:color w:val="231F20"/>
        </w:rPr>
        <w:t>поиска</w:t>
      </w:r>
      <w:r>
        <w:rPr>
          <w:color w:val="231F20"/>
          <w:spacing w:val="-8"/>
        </w:rPr>
        <w:t> </w:t>
      </w:r>
      <w:r>
        <w:rPr>
          <w:color w:val="231F20"/>
        </w:rPr>
        <w:t>жилья,</w:t>
      </w:r>
      <w:r>
        <w:rPr>
          <w:color w:val="231F20"/>
          <w:spacing w:val="-8"/>
        </w:rPr>
        <w:t> </w:t>
      </w:r>
      <w:r>
        <w:rPr>
          <w:color w:val="231F20"/>
        </w:rPr>
        <w:t>работы,</w:t>
      </w:r>
      <w:r>
        <w:rPr>
          <w:color w:val="231F20"/>
          <w:spacing w:val="-8"/>
        </w:rPr>
        <w:t> </w:t>
      </w:r>
      <w:r>
        <w:rPr>
          <w:color w:val="231F20"/>
        </w:rPr>
        <w:t>а</w:t>
      </w:r>
      <w:r>
        <w:rPr>
          <w:color w:val="231F20"/>
          <w:spacing w:val="-8"/>
        </w:rPr>
        <w:t> </w:t>
      </w:r>
      <w:r>
        <w:rPr>
          <w:color w:val="231F20"/>
        </w:rPr>
        <w:t>детям</w:t>
      </w:r>
      <w:r>
        <w:rPr>
          <w:color w:val="231F20"/>
          <w:spacing w:val="-8"/>
        </w:rPr>
        <w:t> </w:t>
      </w:r>
      <w:r>
        <w:rPr>
          <w:color w:val="231F20"/>
        </w:rPr>
        <w:t>–</w:t>
      </w:r>
      <w:r>
        <w:rPr>
          <w:color w:val="231F20"/>
          <w:spacing w:val="-8"/>
        </w:rPr>
        <w:t> </w:t>
      </w:r>
      <w:r>
        <w:rPr>
          <w:color w:val="231F20"/>
        </w:rPr>
        <w:t>адаптироваться</w:t>
      </w:r>
      <w:r>
        <w:rPr>
          <w:color w:val="231F20"/>
          <w:spacing w:val="-8"/>
        </w:rPr>
        <w:t> </w:t>
      </w:r>
      <w:r>
        <w:rPr>
          <w:color w:val="231F20"/>
        </w:rPr>
        <w:t>к</w:t>
      </w:r>
      <w:r>
        <w:rPr>
          <w:color w:val="231F20"/>
          <w:spacing w:val="-8"/>
        </w:rPr>
        <w:t> </w:t>
      </w:r>
      <w:r>
        <w:rPr>
          <w:color w:val="231F20"/>
        </w:rPr>
        <w:t>новому</w:t>
      </w:r>
      <w:r>
        <w:rPr>
          <w:color w:val="231F20"/>
          <w:spacing w:val="-8"/>
        </w:rPr>
        <w:t> </w:t>
      </w:r>
      <w:r>
        <w:rPr>
          <w:color w:val="231F20"/>
        </w:rPr>
        <w:t>дет- скому</w:t>
      </w:r>
      <w:r>
        <w:rPr>
          <w:color w:val="231F20"/>
          <w:spacing w:val="-11"/>
        </w:rPr>
        <w:t> </w:t>
      </w:r>
      <w:r>
        <w:rPr>
          <w:color w:val="231F20"/>
        </w:rPr>
        <w:t>коллективу,</w:t>
      </w:r>
      <w:r>
        <w:rPr>
          <w:color w:val="231F20"/>
          <w:spacing w:val="-11"/>
        </w:rPr>
        <w:t> </w:t>
      </w:r>
      <w:r>
        <w:rPr>
          <w:color w:val="231F20"/>
        </w:rPr>
        <w:t>со</w:t>
      </w:r>
      <w:r>
        <w:rPr>
          <w:color w:val="231F20"/>
          <w:spacing w:val="-11"/>
        </w:rPr>
        <w:t> </w:t>
      </w:r>
      <w:r>
        <w:rPr>
          <w:color w:val="231F20"/>
        </w:rPr>
        <w:t>своими</w:t>
      </w:r>
      <w:r>
        <w:rPr>
          <w:color w:val="231F20"/>
          <w:spacing w:val="-12"/>
        </w:rPr>
        <w:t> </w:t>
      </w:r>
      <w:r>
        <w:rPr>
          <w:color w:val="231F20"/>
        </w:rPr>
        <w:t>нормами</w:t>
      </w:r>
      <w:r>
        <w:rPr>
          <w:color w:val="231F20"/>
          <w:spacing w:val="-12"/>
        </w:rPr>
        <w:t> </w:t>
      </w:r>
      <w:r>
        <w:rPr>
          <w:color w:val="231F20"/>
        </w:rPr>
        <w:t>и</w:t>
      </w:r>
      <w:r>
        <w:rPr>
          <w:color w:val="231F20"/>
          <w:spacing w:val="-12"/>
        </w:rPr>
        <w:t> </w:t>
      </w:r>
      <w:r>
        <w:rPr>
          <w:color w:val="231F20"/>
        </w:rPr>
        <w:t>правилами,</w:t>
      </w:r>
      <w:r>
        <w:rPr>
          <w:color w:val="231F20"/>
          <w:spacing w:val="-11"/>
        </w:rPr>
        <w:t> </w:t>
      </w:r>
      <w:r>
        <w:rPr>
          <w:color w:val="231F20"/>
        </w:rPr>
        <w:t>часто</w:t>
      </w:r>
      <w:r>
        <w:rPr>
          <w:color w:val="231F20"/>
          <w:spacing w:val="-11"/>
        </w:rPr>
        <w:t> </w:t>
      </w:r>
      <w:r>
        <w:rPr>
          <w:color w:val="231F20"/>
        </w:rPr>
        <w:t>отличными</w:t>
      </w:r>
      <w:r>
        <w:rPr>
          <w:color w:val="231F20"/>
          <w:spacing w:val="-12"/>
        </w:rPr>
        <w:t> </w:t>
      </w:r>
      <w:r>
        <w:rPr>
          <w:color w:val="231F20"/>
        </w:rPr>
        <w:t>от</w:t>
      </w:r>
      <w:r>
        <w:rPr>
          <w:color w:val="231F20"/>
          <w:spacing w:val="-11"/>
        </w:rPr>
        <w:t> </w:t>
      </w:r>
      <w:r>
        <w:rPr>
          <w:color w:val="231F20"/>
        </w:rPr>
        <w:t>привычных.</w:t>
      </w:r>
    </w:p>
    <w:p>
      <w:pPr>
        <w:pStyle w:val="BodyText"/>
        <w:spacing w:line="230" w:lineRule="auto"/>
        <w:jc w:val="right"/>
      </w:pPr>
      <w:r>
        <w:rPr>
          <w:color w:val="231F20"/>
        </w:rPr>
        <w:t>Все эти естественные процессы требуют серьезных усилий со стороны психики, и, в случае если у ребенка или у семьи в целом недостаточно ресурса, чтобы спра- виться</w:t>
      </w:r>
      <w:r>
        <w:rPr>
          <w:color w:val="231F20"/>
          <w:spacing w:val="-12"/>
        </w:rPr>
        <w:t> </w:t>
      </w:r>
      <w:r>
        <w:rPr>
          <w:color w:val="231F20"/>
        </w:rPr>
        <w:t>с</w:t>
      </w:r>
      <w:r>
        <w:rPr>
          <w:color w:val="231F20"/>
          <w:spacing w:val="-12"/>
        </w:rPr>
        <w:t> </w:t>
      </w:r>
      <w:r>
        <w:rPr>
          <w:color w:val="231F20"/>
        </w:rPr>
        <w:t>новыми</w:t>
      </w:r>
      <w:r>
        <w:rPr>
          <w:color w:val="231F20"/>
          <w:spacing w:val="-12"/>
        </w:rPr>
        <w:t> </w:t>
      </w:r>
      <w:r>
        <w:rPr>
          <w:color w:val="231F20"/>
        </w:rPr>
        <w:t>вызовами,</w:t>
      </w:r>
      <w:r>
        <w:rPr>
          <w:color w:val="231F20"/>
          <w:spacing w:val="-12"/>
        </w:rPr>
        <w:t> </w:t>
      </w:r>
      <w:r>
        <w:rPr>
          <w:color w:val="231F20"/>
        </w:rPr>
        <w:t>это</w:t>
      </w:r>
      <w:r>
        <w:rPr>
          <w:color w:val="231F20"/>
          <w:spacing w:val="-12"/>
        </w:rPr>
        <w:t> </w:t>
      </w:r>
      <w:r>
        <w:rPr>
          <w:color w:val="231F20"/>
        </w:rPr>
        <w:t>может</w:t>
      </w:r>
      <w:r>
        <w:rPr>
          <w:color w:val="231F20"/>
          <w:spacing w:val="-12"/>
        </w:rPr>
        <w:t> </w:t>
      </w:r>
      <w:r>
        <w:rPr>
          <w:color w:val="231F20"/>
        </w:rPr>
        <w:t>отразиться</w:t>
      </w:r>
      <w:r>
        <w:rPr>
          <w:color w:val="231F20"/>
          <w:spacing w:val="-12"/>
        </w:rPr>
        <w:t> </w:t>
      </w:r>
      <w:r>
        <w:rPr>
          <w:color w:val="231F20"/>
        </w:rPr>
        <w:t>на</w:t>
      </w:r>
      <w:r>
        <w:rPr>
          <w:color w:val="231F20"/>
          <w:spacing w:val="-12"/>
        </w:rPr>
        <w:t> </w:t>
      </w:r>
      <w:r>
        <w:rPr>
          <w:color w:val="231F20"/>
        </w:rPr>
        <w:t>жизни</w:t>
      </w:r>
      <w:r>
        <w:rPr>
          <w:color w:val="231F20"/>
          <w:spacing w:val="-12"/>
        </w:rPr>
        <w:t> </w:t>
      </w:r>
      <w:r>
        <w:rPr>
          <w:color w:val="231F20"/>
        </w:rPr>
        <w:t>каждого</w:t>
      </w:r>
      <w:r>
        <w:rPr>
          <w:color w:val="231F20"/>
          <w:spacing w:val="-12"/>
        </w:rPr>
        <w:t> </w:t>
      </w:r>
      <w:r>
        <w:rPr>
          <w:color w:val="231F20"/>
        </w:rPr>
        <w:t>члена</w:t>
      </w:r>
      <w:r>
        <w:rPr>
          <w:color w:val="231F20"/>
          <w:spacing w:val="-12"/>
        </w:rPr>
        <w:t> </w:t>
      </w:r>
      <w:r>
        <w:rPr>
          <w:color w:val="231F20"/>
        </w:rPr>
        <w:t>семьи</w:t>
      </w:r>
      <w:r>
        <w:rPr>
          <w:color w:val="231F20"/>
          <w:spacing w:val="-12"/>
        </w:rPr>
        <w:t> </w:t>
      </w:r>
      <w:r>
        <w:rPr>
          <w:color w:val="231F20"/>
        </w:rPr>
        <w:t>и</w:t>
      </w:r>
      <w:r>
        <w:rPr>
          <w:color w:val="231F20"/>
          <w:spacing w:val="-12"/>
        </w:rPr>
        <w:t> </w:t>
      </w:r>
      <w:r>
        <w:rPr>
          <w:color w:val="231F20"/>
        </w:rPr>
        <w:t>не- избежно</w:t>
      </w:r>
      <w:r>
        <w:rPr>
          <w:color w:val="231F20"/>
          <w:spacing w:val="-11"/>
        </w:rPr>
        <w:t> </w:t>
      </w:r>
      <w:r>
        <w:rPr>
          <w:color w:val="231F20"/>
        </w:rPr>
        <w:t>–</w:t>
      </w:r>
      <w:r>
        <w:rPr>
          <w:color w:val="231F20"/>
          <w:spacing w:val="-11"/>
        </w:rPr>
        <w:t> </w:t>
      </w:r>
      <w:r>
        <w:rPr>
          <w:color w:val="231F20"/>
        </w:rPr>
        <w:t>на</w:t>
      </w:r>
      <w:r>
        <w:rPr>
          <w:color w:val="231F20"/>
          <w:spacing w:val="-11"/>
        </w:rPr>
        <w:t> </w:t>
      </w:r>
      <w:r>
        <w:rPr>
          <w:color w:val="231F20"/>
        </w:rPr>
        <w:t>детях.</w:t>
      </w:r>
      <w:r>
        <w:rPr>
          <w:color w:val="231F20"/>
          <w:spacing w:val="-11"/>
        </w:rPr>
        <w:t> </w:t>
      </w:r>
      <w:r>
        <w:rPr>
          <w:color w:val="231F20"/>
        </w:rPr>
        <w:t>Отдельно</w:t>
      </w:r>
      <w:r>
        <w:rPr>
          <w:color w:val="231F20"/>
          <w:spacing w:val="-11"/>
        </w:rPr>
        <w:t> </w:t>
      </w:r>
      <w:r>
        <w:rPr>
          <w:color w:val="231F20"/>
        </w:rPr>
        <w:t>отметим,</w:t>
      </w:r>
      <w:r>
        <w:rPr>
          <w:color w:val="231F20"/>
          <w:spacing w:val="-11"/>
        </w:rPr>
        <w:t> </w:t>
      </w:r>
      <w:r>
        <w:rPr>
          <w:color w:val="231F20"/>
        </w:rPr>
        <w:t>что,</w:t>
      </w:r>
      <w:r>
        <w:rPr>
          <w:color w:val="231F20"/>
          <w:spacing w:val="-11"/>
        </w:rPr>
        <w:t> </w:t>
      </w:r>
      <w:r>
        <w:rPr>
          <w:color w:val="231F20"/>
        </w:rPr>
        <w:t>если</w:t>
      </w:r>
      <w:r>
        <w:rPr>
          <w:color w:val="231F20"/>
          <w:spacing w:val="-11"/>
        </w:rPr>
        <w:t> </w:t>
      </w:r>
      <w:r>
        <w:rPr>
          <w:color w:val="231F20"/>
        </w:rPr>
        <w:t>до</w:t>
      </w:r>
      <w:r>
        <w:rPr>
          <w:color w:val="231F20"/>
          <w:spacing w:val="-11"/>
        </w:rPr>
        <w:t> </w:t>
      </w:r>
      <w:r>
        <w:rPr>
          <w:color w:val="231F20"/>
        </w:rPr>
        <w:t>момента</w:t>
      </w:r>
      <w:r>
        <w:rPr>
          <w:color w:val="231F20"/>
          <w:spacing w:val="-11"/>
        </w:rPr>
        <w:t> </w:t>
      </w:r>
      <w:r>
        <w:rPr>
          <w:color w:val="231F20"/>
        </w:rPr>
        <w:t>переезда</w:t>
      </w:r>
      <w:r>
        <w:rPr>
          <w:color w:val="231F20"/>
          <w:spacing w:val="-11"/>
        </w:rPr>
        <w:t> </w:t>
      </w:r>
      <w:r>
        <w:rPr>
          <w:color w:val="231F20"/>
        </w:rPr>
        <w:t>у</w:t>
      </w:r>
      <w:r>
        <w:rPr>
          <w:color w:val="231F20"/>
          <w:spacing w:val="-11"/>
        </w:rPr>
        <w:t> </w:t>
      </w:r>
      <w:r>
        <w:rPr>
          <w:color w:val="231F20"/>
        </w:rPr>
        <w:t>ребенка</w:t>
      </w:r>
      <w:r>
        <w:rPr>
          <w:color w:val="231F20"/>
          <w:spacing w:val="-11"/>
        </w:rPr>
        <w:t> </w:t>
      </w:r>
      <w:r>
        <w:rPr>
          <w:color w:val="231F20"/>
        </w:rPr>
        <w:t>и</w:t>
      </w:r>
      <w:r>
        <w:rPr>
          <w:color w:val="231F20"/>
          <w:spacing w:val="-11"/>
        </w:rPr>
        <w:t> </w:t>
      </w:r>
      <w:r>
        <w:rPr>
          <w:color w:val="231F20"/>
        </w:rPr>
        <w:t>его семьи уже были проблемы в жизни – потери, травмы, сложное финансовое положе- ние</w:t>
      </w:r>
      <w:r>
        <w:rPr>
          <w:color w:val="231F20"/>
          <w:spacing w:val="-3"/>
        </w:rPr>
        <w:t> </w:t>
      </w:r>
      <w:r>
        <w:rPr>
          <w:color w:val="231F20"/>
        </w:rPr>
        <w:t>и</w:t>
      </w:r>
      <w:r>
        <w:rPr>
          <w:color w:val="231F20"/>
          <w:spacing w:val="-4"/>
        </w:rPr>
        <w:t> </w:t>
      </w:r>
      <w:r>
        <w:rPr>
          <w:color w:val="231F20"/>
        </w:rPr>
        <w:t>др.,</w:t>
      </w:r>
      <w:r>
        <w:rPr>
          <w:color w:val="231F20"/>
          <w:spacing w:val="-3"/>
        </w:rPr>
        <w:t> </w:t>
      </w:r>
      <w:r>
        <w:rPr>
          <w:color w:val="231F20"/>
        </w:rPr>
        <w:t>то</w:t>
      </w:r>
      <w:r>
        <w:rPr>
          <w:color w:val="231F20"/>
          <w:spacing w:val="-3"/>
        </w:rPr>
        <w:t> </w:t>
      </w:r>
      <w:r>
        <w:rPr>
          <w:color w:val="231F20"/>
        </w:rPr>
        <w:t>адаптироваться</w:t>
      </w:r>
      <w:r>
        <w:rPr>
          <w:color w:val="231F20"/>
          <w:spacing w:val="-3"/>
        </w:rPr>
        <w:t> </w:t>
      </w:r>
      <w:r>
        <w:rPr>
          <w:color w:val="231F20"/>
        </w:rPr>
        <w:t>к</w:t>
      </w:r>
      <w:r>
        <w:rPr>
          <w:color w:val="231F20"/>
          <w:spacing w:val="-3"/>
        </w:rPr>
        <w:t> </w:t>
      </w:r>
      <w:r>
        <w:rPr>
          <w:color w:val="231F20"/>
        </w:rPr>
        <w:t>новым</w:t>
      </w:r>
      <w:r>
        <w:rPr>
          <w:color w:val="231F20"/>
          <w:spacing w:val="-3"/>
        </w:rPr>
        <w:t> </w:t>
      </w:r>
      <w:r>
        <w:rPr>
          <w:color w:val="231F20"/>
        </w:rPr>
        <w:t>условиям</w:t>
      </w:r>
      <w:r>
        <w:rPr>
          <w:color w:val="231F20"/>
          <w:spacing w:val="-3"/>
        </w:rPr>
        <w:t> </w:t>
      </w:r>
      <w:r>
        <w:rPr>
          <w:color w:val="231F20"/>
        </w:rPr>
        <w:t>им</w:t>
      </w:r>
      <w:r>
        <w:rPr>
          <w:color w:val="231F20"/>
          <w:spacing w:val="-3"/>
        </w:rPr>
        <w:t> </w:t>
      </w:r>
      <w:r>
        <w:rPr>
          <w:color w:val="231F20"/>
        </w:rPr>
        <w:t>может</w:t>
      </w:r>
      <w:r>
        <w:rPr>
          <w:color w:val="231F20"/>
          <w:spacing w:val="-3"/>
        </w:rPr>
        <w:t> </w:t>
      </w:r>
      <w:r>
        <w:rPr>
          <w:color w:val="231F20"/>
        </w:rPr>
        <w:t>быть</w:t>
      </w:r>
      <w:r>
        <w:rPr>
          <w:color w:val="231F20"/>
          <w:spacing w:val="-4"/>
        </w:rPr>
        <w:t> </w:t>
      </w:r>
      <w:r>
        <w:rPr>
          <w:color w:val="231F20"/>
        </w:rPr>
        <w:t>значительно</w:t>
      </w:r>
      <w:r>
        <w:rPr>
          <w:color w:val="231F20"/>
          <w:spacing w:val="-3"/>
        </w:rPr>
        <w:t> </w:t>
      </w:r>
      <w:r>
        <w:rPr>
          <w:color w:val="231F20"/>
        </w:rPr>
        <w:t>труднее.</w:t>
      </w:r>
    </w:p>
    <w:p>
      <w:pPr>
        <w:pStyle w:val="BodyText"/>
        <w:spacing w:line="230" w:lineRule="auto"/>
      </w:pPr>
      <w:r>
        <w:rPr>
          <w:color w:val="231F20"/>
        </w:rPr>
        <w:t>Важно</w:t>
      </w:r>
      <w:r>
        <w:rPr>
          <w:color w:val="231F20"/>
          <w:spacing w:val="-13"/>
        </w:rPr>
        <w:t> </w:t>
      </w:r>
      <w:r>
        <w:rPr>
          <w:color w:val="231F20"/>
        </w:rPr>
        <w:t>понимать,</w:t>
      </w:r>
      <w:r>
        <w:rPr>
          <w:color w:val="231F20"/>
          <w:spacing w:val="-12"/>
        </w:rPr>
        <w:t> </w:t>
      </w:r>
      <w:r>
        <w:rPr>
          <w:color w:val="231F20"/>
        </w:rPr>
        <w:t>что</w:t>
      </w:r>
      <w:r>
        <w:rPr>
          <w:color w:val="231F20"/>
          <w:spacing w:val="-13"/>
        </w:rPr>
        <w:t> </w:t>
      </w:r>
      <w:r>
        <w:rPr>
          <w:color w:val="231F20"/>
        </w:rPr>
        <w:t>любая</w:t>
      </w:r>
      <w:r>
        <w:rPr>
          <w:color w:val="231F20"/>
          <w:spacing w:val="-12"/>
        </w:rPr>
        <w:t> </w:t>
      </w:r>
      <w:r>
        <w:rPr>
          <w:color w:val="231F20"/>
        </w:rPr>
        <w:t>миграция</w:t>
      </w:r>
      <w:r>
        <w:rPr>
          <w:color w:val="231F20"/>
          <w:spacing w:val="-13"/>
        </w:rPr>
        <w:t> </w:t>
      </w:r>
      <w:r>
        <w:rPr>
          <w:color w:val="231F20"/>
        </w:rPr>
        <w:t>сопряжена</w:t>
      </w:r>
      <w:r>
        <w:rPr>
          <w:color w:val="231F20"/>
          <w:spacing w:val="-12"/>
        </w:rPr>
        <w:t> </w:t>
      </w:r>
      <w:r>
        <w:rPr>
          <w:color w:val="231F20"/>
        </w:rPr>
        <w:t>со</w:t>
      </w:r>
      <w:r>
        <w:rPr>
          <w:color w:val="231F20"/>
          <w:spacing w:val="-13"/>
        </w:rPr>
        <w:t> </w:t>
      </w:r>
      <w:r>
        <w:rPr>
          <w:color w:val="231F20"/>
        </w:rPr>
        <w:t>стрессом,</w:t>
      </w:r>
      <w:r>
        <w:rPr>
          <w:color w:val="231F20"/>
          <w:spacing w:val="-12"/>
        </w:rPr>
        <w:t> </w:t>
      </w:r>
      <w:r>
        <w:rPr>
          <w:color w:val="231F20"/>
        </w:rPr>
        <w:t>однако</w:t>
      </w:r>
      <w:r>
        <w:rPr>
          <w:color w:val="231F20"/>
          <w:spacing w:val="-13"/>
        </w:rPr>
        <w:t> </w:t>
      </w:r>
      <w:r>
        <w:rPr>
          <w:color w:val="231F20"/>
        </w:rPr>
        <w:t>в</w:t>
      </w:r>
      <w:r>
        <w:rPr>
          <w:color w:val="231F20"/>
          <w:spacing w:val="-12"/>
        </w:rPr>
        <w:t> </w:t>
      </w:r>
      <w:r>
        <w:rPr>
          <w:color w:val="231F20"/>
        </w:rPr>
        <w:t>отдельных случаях миграция сопровождается психологической травмой.</w:t>
      </w:r>
    </w:p>
    <w:p>
      <w:pPr>
        <w:pStyle w:val="BodyText"/>
        <w:spacing w:line="230" w:lineRule="auto"/>
      </w:pPr>
      <w:r>
        <w:rPr>
          <w:color w:val="231F20"/>
        </w:rPr>
        <w:t>С психологической точки зрения, травматические ситуации </w:t>
      </w:r>
      <w:r>
        <w:rPr>
          <w:b/>
          <w:color w:val="231F20"/>
        </w:rPr>
        <w:t>– </w:t>
      </w:r>
      <w:r>
        <w:rPr>
          <w:color w:val="231F20"/>
        </w:rPr>
        <w:t>это экстремальные критические события, обладающие мощным негативным воздействием. Это ситуа- ции угрозы, требующие от человека экстраординарных усилий по совладанию с по- следствиями их воздействия</w:t>
      </w:r>
    </w:p>
    <w:p>
      <w:pPr>
        <w:pStyle w:val="BodyText"/>
        <w:spacing w:line="232" w:lineRule="auto"/>
      </w:pPr>
      <w:r>
        <w:rPr>
          <w:color w:val="231F20"/>
        </w:rPr>
        <w:t>Травматическими принято считать события, связанные со смертью или угрозой смерти, серьезной травмой или сексуальным насилием, которые ребенок пережива- ет непосредственно сам, которым становится свидетелем или о которых узнает от других лиц, или из других источников информации (American Psychiatry Associa- tion, 2013). Примеры травматических событий: физическое, эмоциональное или сек- </w:t>
      </w:r>
      <w:r>
        <w:rPr>
          <w:color w:val="231F20"/>
          <w:spacing w:val="-2"/>
        </w:rPr>
        <w:t>суальное</w:t>
      </w:r>
      <w:r>
        <w:rPr>
          <w:color w:val="231F20"/>
          <w:spacing w:val="-4"/>
        </w:rPr>
        <w:t> </w:t>
      </w:r>
      <w:r>
        <w:rPr>
          <w:color w:val="231F20"/>
          <w:spacing w:val="-2"/>
        </w:rPr>
        <w:t>насилие</w:t>
      </w:r>
      <w:r>
        <w:rPr>
          <w:color w:val="231F20"/>
          <w:spacing w:val="-4"/>
        </w:rPr>
        <w:t> </w:t>
      </w:r>
      <w:r>
        <w:rPr>
          <w:color w:val="231F20"/>
          <w:spacing w:val="-2"/>
        </w:rPr>
        <w:t>над</w:t>
      </w:r>
      <w:r>
        <w:rPr>
          <w:color w:val="231F20"/>
          <w:spacing w:val="-4"/>
        </w:rPr>
        <w:t> </w:t>
      </w:r>
      <w:r>
        <w:rPr>
          <w:color w:val="231F20"/>
          <w:spacing w:val="-2"/>
        </w:rPr>
        <w:t>детьми</w:t>
      </w:r>
      <w:r>
        <w:rPr>
          <w:color w:val="231F20"/>
          <w:spacing w:val="-4"/>
        </w:rPr>
        <w:t> </w:t>
      </w:r>
      <w:r>
        <w:rPr>
          <w:color w:val="231F20"/>
          <w:spacing w:val="-2"/>
        </w:rPr>
        <w:t>или</w:t>
      </w:r>
      <w:r>
        <w:rPr>
          <w:color w:val="231F20"/>
          <w:spacing w:val="-4"/>
        </w:rPr>
        <w:t> </w:t>
      </w:r>
      <w:r>
        <w:rPr>
          <w:color w:val="231F20"/>
          <w:spacing w:val="-2"/>
        </w:rPr>
        <w:t>отсутствие</w:t>
      </w:r>
      <w:r>
        <w:rPr>
          <w:color w:val="231F20"/>
          <w:spacing w:val="-4"/>
        </w:rPr>
        <w:t> </w:t>
      </w:r>
      <w:r>
        <w:rPr>
          <w:color w:val="231F20"/>
          <w:spacing w:val="-2"/>
        </w:rPr>
        <w:t>заботы</w:t>
      </w:r>
      <w:r>
        <w:rPr>
          <w:color w:val="231F20"/>
          <w:spacing w:val="-4"/>
        </w:rPr>
        <w:t> </w:t>
      </w:r>
      <w:r>
        <w:rPr>
          <w:color w:val="231F20"/>
          <w:spacing w:val="-2"/>
        </w:rPr>
        <w:t>о</w:t>
      </w:r>
      <w:r>
        <w:rPr>
          <w:color w:val="231F20"/>
          <w:spacing w:val="-4"/>
        </w:rPr>
        <w:t> </w:t>
      </w:r>
      <w:r>
        <w:rPr>
          <w:color w:val="231F20"/>
          <w:spacing w:val="-2"/>
        </w:rPr>
        <w:t>них;</w:t>
      </w:r>
      <w:r>
        <w:rPr>
          <w:color w:val="231F20"/>
          <w:spacing w:val="-4"/>
        </w:rPr>
        <w:t> </w:t>
      </w:r>
      <w:r>
        <w:rPr>
          <w:color w:val="231F20"/>
          <w:spacing w:val="-2"/>
        </w:rPr>
        <w:t>наблюдение</w:t>
      </w:r>
      <w:r>
        <w:rPr>
          <w:color w:val="231F20"/>
          <w:spacing w:val="-4"/>
        </w:rPr>
        <w:t> </w:t>
      </w:r>
      <w:r>
        <w:rPr>
          <w:color w:val="231F20"/>
          <w:spacing w:val="-2"/>
        </w:rPr>
        <w:t>или</w:t>
      </w:r>
      <w:r>
        <w:rPr>
          <w:color w:val="231F20"/>
          <w:spacing w:val="-4"/>
        </w:rPr>
        <w:t> </w:t>
      </w:r>
      <w:r>
        <w:rPr>
          <w:color w:val="231F20"/>
          <w:spacing w:val="-2"/>
        </w:rPr>
        <w:t>непосред- </w:t>
      </w:r>
      <w:r>
        <w:rPr>
          <w:color w:val="231F20"/>
        </w:rPr>
        <w:t>ственное</w:t>
      </w:r>
      <w:r>
        <w:rPr>
          <w:color w:val="231F20"/>
          <w:spacing w:val="-7"/>
        </w:rPr>
        <w:t> </w:t>
      </w:r>
      <w:r>
        <w:rPr>
          <w:color w:val="231F20"/>
        </w:rPr>
        <w:t>переживание</w:t>
      </w:r>
      <w:r>
        <w:rPr>
          <w:color w:val="231F20"/>
          <w:spacing w:val="-7"/>
        </w:rPr>
        <w:t> </w:t>
      </w:r>
      <w:r>
        <w:rPr>
          <w:color w:val="231F20"/>
        </w:rPr>
        <w:t>насилия</w:t>
      </w:r>
      <w:r>
        <w:rPr>
          <w:color w:val="231F20"/>
          <w:spacing w:val="-7"/>
        </w:rPr>
        <w:t> </w:t>
      </w:r>
      <w:r>
        <w:rPr>
          <w:color w:val="231F20"/>
        </w:rPr>
        <w:t>в</w:t>
      </w:r>
      <w:r>
        <w:rPr>
          <w:color w:val="231F20"/>
          <w:spacing w:val="-7"/>
        </w:rPr>
        <w:t> </w:t>
      </w:r>
      <w:r>
        <w:rPr>
          <w:color w:val="231F20"/>
        </w:rPr>
        <w:t>семье,</w:t>
      </w:r>
      <w:r>
        <w:rPr>
          <w:color w:val="231F20"/>
          <w:spacing w:val="-7"/>
        </w:rPr>
        <w:t> </w:t>
      </w:r>
      <w:r>
        <w:rPr>
          <w:color w:val="231F20"/>
        </w:rPr>
        <w:t>обществе</w:t>
      </w:r>
      <w:r>
        <w:rPr>
          <w:color w:val="231F20"/>
          <w:spacing w:val="-7"/>
        </w:rPr>
        <w:t> </w:t>
      </w:r>
      <w:r>
        <w:rPr>
          <w:color w:val="231F20"/>
        </w:rPr>
        <w:t>или</w:t>
      </w:r>
      <w:r>
        <w:rPr>
          <w:color w:val="231F20"/>
          <w:spacing w:val="-7"/>
        </w:rPr>
        <w:t> </w:t>
      </w:r>
      <w:r>
        <w:rPr>
          <w:color w:val="231F20"/>
        </w:rPr>
        <w:t>школе;</w:t>
      </w:r>
      <w:r>
        <w:rPr>
          <w:color w:val="231F20"/>
          <w:spacing w:val="-7"/>
        </w:rPr>
        <w:t> </w:t>
      </w:r>
      <w:r>
        <w:rPr>
          <w:color w:val="231F20"/>
        </w:rPr>
        <w:t>серьезные</w:t>
      </w:r>
      <w:r>
        <w:rPr>
          <w:color w:val="231F20"/>
          <w:spacing w:val="-7"/>
        </w:rPr>
        <w:t> </w:t>
      </w:r>
      <w:r>
        <w:rPr>
          <w:color w:val="231F20"/>
        </w:rPr>
        <w:t>автомобиль- ные и/или другие аварии; природные и антропогенные катастрофы; насильственная или случайная смерть родителя, брата или сестры или другой важной фигуры при- вязанности;</w:t>
      </w:r>
      <w:r>
        <w:rPr>
          <w:color w:val="231F20"/>
          <w:spacing w:val="-10"/>
        </w:rPr>
        <w:t> </w:t>
      </w:r>
      <w:r>
        <w:rPr>
          <w:color w:val="231F20"/>
        </w:rPr>
        <w:t>воздействие</w:t>
      </w:r>
      <w:r>
        <w:rPr>
          <w:color w:val="231F20"/>
          <w:spacing w:val="-10"/>
        </w:rPr>
        <w:t> </w:t>
      </w:r>
      <w:r>
        <w:rPr>
          <w:color w:val="231F20"/>
        </w:rPr>
        <w:t>военных</w:t>
      </w:r>
      <w:r>
        <w:rPr>
          <w:color w:val="231F20"/>
          <w:spacing w:val="-10"/>
        </w:rPr>
        <w:t> </w:t>
      </w:r>
      <w:r>
        <w:rPr>
          <w:color w:val="231F20"/>
        </w:rPr>
        <w:t>конфликтов,</w:t>
      </w:r>
      <w:r>
        <w:rPr>
          <w:color w:val="231F20"/>
          <w:spacing w:val="-10"/>
        </w:rPr>
        <w:t> </w:t>
      </w:r>
      <w:r>
        <w:rPr>
          <w:color w:val="231F20"/>
        </w:rPr>
        <w:t>террористических</w:t>
      </w:r>
      <w:r>
        <w:rPr>
          <w:color w:val="231F20"/>
          <w:spacing w:val="-10"/>
        </w:rPr>
        <w:t> </w:t>
      </w:r>
      <w:r>
        <w:rPr>
          <w:color w:val="231F20"/>
        </w:rPr>
        <w:t>действий</w:t>
      </w:r>
      <w:r>
        <w:rPr>
          <w:color w:val="231F20"/>
          <w:spacing w:val="-10"/>
        </w:rPr>
        <w:t> </w:t>
      </w:r>
      <w:r>
        <w:rPr>
          <w:color w:val="231F20"/>
        </w:rPr>
        <w:t>или</w:t>
      </w:r>
      <w:r>
        <w:rPr>
          <w:color w:val="231F20"/>
          <w:spacing w:val="-10"/>
        </w:rPr>
        <w:t> </w:t>
      </w:r>
      <w:r>
        <w:rPr>
          <w:color w:val="231F20"/>
        </w:rPr>
        <w:t>усло- вий жизни беженца; множественные или сложные травмы; и это далеко не полный список (Cohen, Mannarino, Deblinger, 2006).</w:t>
      </w:r>
    </w:p>
    <w:p>
      <w:pPr>
        <w:pStyle w:val="BodyText"/>
        <w:spacing w:line="207" w:lineRule="exact"/>
        <w:ind w:left="425" w:right="0" w:firstLine="0"/>
      </w:pPr>
      <w:r>
        <w:rPr/>
        <w:t>Посттравматическое</w:t>
      </w:r>
      <w:r>
        <w:rPr>
          <w:spacing w:val="-5"/>
        </w:rPr>
        <w:t> </w:t>
      </w:r>
      <w:r>
        <w:rPr/>
        <w:t>стрессовое</w:t>
      </w:r>
      <w:r>
        <w:rPr>
          <w:spacing w:val="-4"/>
        </w:rPr>
        <w:t> </w:t>
      </w:r>
      <w:r>
        <w:rPr/>
        <w:t>расстройство</w:t>
      </w:r>
      <w:r>
        <w:rPr>
          <w:spacing w:val="-4"/>
        </w:rPr>
        <w:t> </w:t>
      </w:r>
      <w:r>
        <w:rPr/>
        <w:t>возникает</w:t>
      </w:r>
      <w:r>
        <w:rPr>
          <w:spacing w:val="-4"/>
        </w:rPr>
        <w:t> </w:t>
      </w:r>
      <w:r>
        <w:rPr/>
        <w:t>как</w:t>
      </w:r>
      <w:r>
        <w:rPr>
          <w:spacing w:val="-4"/>
        </w:rPr>
        <w:t> </w:t>
      </w:r>
      <w:r>
        <w:rPr/>
        <w:t>отсроченный</w:t>
      </w:r>
      <w:r>
        <w:rPr>
          <w:spacing w:val="-4"/>
        </w:rPr>
        <w:t> </w:t>
      </w:r>
      <w:r>
        <w:rPr/>
        <w:t>или</w:t>
      </w:r>
      <w:r>
        <w:rPr>
          <w:spacing w:val="-4"/>
        </w:rPr>
        <w:t> </w:t>
      </w:r>
      <w:r>
        <w:rPr>
          <w:spacing w:val="-5"/>
        </w:rPr>
        <w:t>за-</w:t>
      </w:r>
    </w:p>
    <w:p>
      <w:pPr>
        <w:pStyle w:val="BodyText"/>
        <w:spacing w:line="226" w:lineRule="exact"/>
        <w:ind w:right="0" w:firstLine="0"/>
      </w:pPr>
      <w:r>
        <w:rPr/>
        <w:t>тянувшийся</w:t>
      </w:r>
      <w:r>
        <w:rPr>
          <w:spacing w:val="-7"/>
        </w:rPr>
        <w:t> </w:t>
      </w:r>
      <w:r>
        <w:rPr/>
        <w:t>ответ</w:t>
      </w:r>
      <w:r>
        <w:rPr>
          <w:spacing w:val="-6"/>
        </w:rPr>
        <w:t> </w:t>
      </w:r>
      <w:r>
        <w:rPr/>
        <w:t>на</w:t>
      </w:r>
      <w:r>
        <w:rPr>
          <w:spacing w:val="-6"/>
        </w:rPr>
        <w:t> </w:t>
      </w:r>
      <w:r>
        <w:rPr/>
        <w:t>травматическое</w:t>
      </w:r>
      <w:r>
        <w:rPr>
          <w:spacing w:val="-6"/>
        </w:rPr>
        <w:t> </w:t>
      </w:r>
      <w:r>
        <w:rPr>
          <w:spacing w:val="-2"/>
        </w:rPr>
        <w:t>событие.</w:t>
      </w:r>
    </w:p>
    <w:p>
      <w:pPr>
        <w:pStyle w:val="BodyText"/>
        <w:spacing w:line="230" w:lineRule="auto" w:before="100"/>
      </w:pPr>
      <w:r>
        <w:rPr/>
        <w:t>Критерии</w:t>
      </w:r>
      <w:r>
        <w:rPr>
          <w:spacing w:val="-13"/>
        </w:rPr>
        <w:t> </w:t>
      </w:r>
      <w:r>
        <w:rPr/>
        <w:t>ПТСР</w:t>
      </w:r>
      <w:r>
        <w:rPr>
          <w:spacing w:val="-12"/>
        </w:rPr>
        <w:t> </w:t>
      </w:r>
      <w:r>
        <w:rPr/>
        <w:t>(п</w:t>
      </w:r>
      <w:r>
        <w:rPr>
          <w:color w:val="151F26"/>
        </w:rPr>
        <w:t>осттравматического</w:t>
      </w:r>
      <w:r>
        <w:rPr>
          <w:color w:val="151F26"/>
          <w:spacing w:val="-13"/>
        </w:rPr>
        <w:t> </w:t>
      </w:r>
      <w:r>
        <w:rPr>
          <w:color w:val="151F26"/>
        </w:rPr>
        <w:t>стрессового</w:t>
      </w:r>
      <w:r>
        <w:rPr>
          <w:color w:val="151F26"/>
          <w:spacing w:val="-12"/>
        </w:rPr>
        <w:t> </w:t>
      </w:r>
      <w:r>
        <w:rPr>
          <w:color w:val="151F26"/>
        </w:rPr>
        <w:t>расстройства</w:t>
      </w:r>
      <w:r>
        <w:rPr/>
        <w:t>)</w:t>
      </w:r>
      <w:r>
        <w:rPr>
          <w:spacing w:val="-13"/>
        </w:rPr>
        <w:t> </w:t>
      </w:r>
      <w:r>
        <w:rPr/>
        <w:t>в</w:t>
      </w:r>
      <w:r>
        <w:rPr>
          <w:spacing w:val="-12"/>
        </w:rPr>
        <w:t> </w:t>
      </w:r>
      <w:r>
        <w:rPr/>
        <w:t>МКБ-10</w:t>
      </w:r>
      <w:r>
        <w:rPr>
          <w:spacing w:val="-13"/>
        </w:rPr>
        <w:t> </w:t>
      </w:r>
      <w:r>
        <w:rPr/>
        <w:t>опре- делены следующим образом:</w:t>
      </w:r>
    </w:p>
    <w:p>
      <w:pPr>
        <w:pStyle w:val="BodyText"/>
        <w:spacing w:line="232" w:lineRule="auto"/>
        <w:ind w:left="425" w:hanging="284"/>
      </w:pPr>
      <w:r>
        <w:rPr/>
        <w:t>А.</w:t>
      </w:r>
      <w:r>
        <w:rPr>
          <w:spacing w:val="32"/>
        </w:rPr>
        <w:t> </w:t>
      </w:r>
      <w:r>
        <w:rPr>
          <w:color w:val="231F20"/>
        </w:rPr>
        <w:t>Ребенок или взрослый </w:t>
      </w:r>
      <w:r>
        <w:rPr/>
        <w:t>должен быть подвержен воздействию стрессорного собы- </w:t>
      </w:r>
      <w:r>
        <w:rPr>
          <w:spacing w:val="-2"/>
        </w:rPr>
        <w:t>тия</w:t>
      </w:r>
      <w:r>
        <w:rPr>
          <w:spacing w:val="-3"/>
        </w:rPr>
        <w:t> </w:t>
      </w:r>
      <w:r>
        <w:rPr>
          <w:spacing w:val="-2"/>
        </w:rPr>
        <w:t>или</w:t>
      </w:r>
      <w:r>
        <w:rPr>
          <w:spacing w:val="-3"/>
        </w:rPr>
        <w:t> </w:t>
      </w:r>
      <w:r>
        <w:rPr>
          <w:spacing w:val="-2"/>
        </w:rPr>
        <w:t>ситуации</w:t>
      </w:r>
      <w:r>
        <w:rPr>
          <w:spacing w:val="-3"/>
        </w:rPr>
        <w:t> </w:t>
      </w:r>
      <w:r>
        <w:rPr>
          <w:spacing w:val="-2"/>
        </w:rPr>
        <w:t>(как</w:t>
      </w:r>
      <w:r>
        <w:rPr>
          <w:spacing w:val="-3"/>
        </w:rPr>
        <w:t> </w:t>
      </w:r>
      <w:r>
        <w:rPr>
          <w:spacing w:val="-2"/>
        </w:rPr>
        <w:t>краткому,</w:t>
      </w:r>
      <w:r>
        <w:rPr>
          <w:spacing w:val="-3"/>
        </w:rPr>
        <w:t> </w:t>
      </w:r>
      <w:r>
        <w:rPr>
          <w:spacing w:val="-2"/>
        </w:rPr>
        <w:t>так</w:t>
      </w:r>
      <w:r>
        <w:rPr>
          <w:spacing w:val="-3"/>
        </w:rPr>
        <w:t> </w:t>
      </w:r>
      <w:r>
        <w:rPr>
          <w:spacing w:val="-2"/>
        </w:rPr>
        <w:t>и</w:t>
      </w:r>
      <w:r>
        <w:rPr>
          <w:spacing w:val="-3"/>
        </w:rPr>
        <w:t> </w:t>
      </w:r>
      <w:r>
        <w:rPr>
          <w:spacing w:val="-2"/>
        </w:rPr>
        <w:t>длительному)</w:t>
      </w:r>
      <w:r>
        <w:rPr>
          <w:spacing w:val="-3"/>
        </w:rPr>
        <w:t> </w:t>
      </w:r>
      <w:r>
        <w:rPr>
          <w:spacing w:val="-2"/>
        </w:rPr>
        <w:t>исключительно</w:t>
      </w:r>
      <w:r>
        <w:rPr>
          <w:spacing w:val="-3"/>
        </w:rPr>
        <w:t> </w:t>
      </w:r>
      <w:r>
        <w:rPr>
          <w:spacing w:val="-2"/>
        </w:rPr>
        <w:t>угрожающего </w:t>
      </w:r>
      <w:r>
        <w:rPr/>
        <w:t>или</w:t>
      </w:r>
      <w:r>
        <w:rPr>
          <w:spacing w:val="-2"/>
        </w:rPr>
        <w:t> </w:t>
      </w:r>
      <w:r>
        <w:rPr/>
        <w:t>катастрофического</w:t>
      </w:r>
      <w:r>
        <w:rPr>
          <w:spacing w:val="-2"/>
        </w:rPr>
        <w:t> </w:t>
      </w:r>
      <w:r>
        <w:rPr/>
        <w:t>характера,</w:t>
      </w:r>
      <w:r>
        <w:rPr>
          <w:spacing w:val="-2"/>
        </w:rPr>
        <w:t> </w:t>
      </w:r>
      <w:r>
        <w:rPr/>
        <w:t>что</w:t>
      </w:r>
      <w:r>
        <w:rPr>
          <w:spacing w:val="-2"/>
        </w:rPr>
        <w:t> </w:t>
      </w:r>
      <w:r>
        <w:rPr/>
        <w:t>способно</w:t>
      </w:r>
      <w:r>
        <w:rPr>
          <w:spacing w:val="-2"/>
        </w:rPr>
        <w:t> </w:t>
      </w:r>
      <w:r>
        <w:rPr/>
        <w:t>вызвать</w:t>
      </w:r>
      <w:r>
        <w:rPr>
          <w:spacing w:val="-2"/>
        </w:rPr>
        <w:t> </w:t>
      </w:r>
      <w:r>
        <w:rPr/>
        <w:t>общий</w:t>
      </w:r>
      <w:r>
        <w:rPr>
          <w:spacing w:val="-2"/>
        </w:rPr>
        <w:t> </w:t>
      </w:r>
      <w:r>
        <w:rPr/>
        <w:t>дистресс</w:t>
      </w:r>
      <w:r>
        <w:rPr>
          <w:spacing w:val="-2"/>
        </w:rPr>
        <w:t> </w:t>
      </w:r>
      <w:r>
        <w:rPr/>
        <w:t>почти</w:t>
      </w:r>
      <w:r>
        <w:rPr>
          <w:spacing w:val="-2"/>
        </w:rPr>
        <w:t> </w:t>
      </w:r>
      <w:r>
        <w:rPr/>
        <w:t>у любого индивидуума.</w:t>
      </w:r>
    </w:p>
    <w:p>
      <w:pPr>
        <w:pStyle w:val="BodyText"/>
        <w:spacing w:after="0" w:line="232" w:lineRule="auto"/>
        <w:sectPr>
          <w:pgSz w:w="8400" w:h="11910"/>
          <w:pgMar w:header="0" w:footer="528" w:top="400" w:bottom="740" w:left="425" w:right="425"/>
        </w:sectPr>
      </w:pPr>
    </w:p>
    <w:p>
      <w:pPr>
        <w:pStyle w:val="ListParagraph"/>
        <w:numPr>
          <w:ilvl w:val="1"/>
          <w:numId w:val="60"/>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Психологическая</w:t>
      </w:r>
      <w:r>
        <w:rPr>
          <w:rFonts w:ascii="Georgia" w:hAnsi="Georgia"/>
          <w:color w:val="231F20"/>
          <w:spacing w:val="-4"/>
          <w:sz w:val="18"/>
        </w:rPr>
        <w:t> </w:t>
      </w:r>
      <w:r>
        <w:rPr>
          <w:rFonts w:ascii="Georgia" w:hAnsi="Georgia"/>
          <w:color w:val="231F20"/>
          <w:sz w:val="18"/>
        </w:rPr>
        <w:t>работа</w:t>
      </w:r>
      <w:r>
        <w:rPr>
          <w:rFonts w:ascii="Georgia" w:hAnsi="Georgia"/>
          <w:color w:val="231F20"/>
          <w:spacing w:val="-4"/>
          <w:sz w:val="18"/>
        </w:rPr>
        <w:t> </w:t>
      </w:r>
      <w:r>
        <w:rPr>
          <w:rFonts w:ascii="Georgia" w:hAnsi="Georgia"/>
          <w:color w:val="231F20"/>
          <w:sz w:val="18"/>
        </w:rPr>
        <w:t>с</w:t>
      </w:r>
      <w:r>
        <w:rPr>
          <w:rFonts w:ascii="Georgia" w:hAnsi="Georgia"/>
          <w:color w:val="231F20"/>
          <w:spacing w:val="-3"/>
          <w:sz w:val="18"/>
        </w:rPr>
        <w:t> </w:t>
      </w:r>
      <w:r>
        <w:rPr>
          <w:rFonts w:ascii="Georgia" w:hAnsi="Georgia"/>
          <w:color w:val="231F20"/>
          <w:sz w:val="18"/>
        </w:rPr>
        <w:t>детьми</w:t>
      </w:r>
      <w:r>
        <w:rPr>
          <w:rFonts w:ascii="Georgia" w:hAnsi="Georgia"/>
          <w:color w:val="231F20"/>
          <w:spacing w:val="-4"/>
          <w:sz w:val="18"/>
        </w:rPr>
        <w:t> </w:t>
      </w:r>
      <w:r>
        <w:rPr>
          <w:rFonts w:ascii="Georgia" w:hAnsi="Georgia"/>
          <w:color w:val="231F20"/>
          <w:sz w:val="18"/>
        </w:rPr>
        <w:t>...,</w:t>
      </w:r>
      <w:r>
        <w:rPr>
          <w:rFonts w:ascii="Georgia" w:hAnsi="Georgia"/>
          <w:color w:val="231F20"/>
          <w:spacing w:val="-3"/>
          <w:sz w:val="18"/>
        </w:rPr>
        <w:t> </w:t>
      </w:r>
      <w:r>
        <w:rPr>
          <w:rFonts w:ascii="Georgia" w:hAnsi="Georgia"/>
          <w:color w:val="231F20"/>
          <w:sz w:val="18"/>
        </w:rPr>
        <w:t>переживающими</w:t>
      </w:r>
      <w:r>
        <w:rPr>
          <w:rFonts w:ascii="Georgia" w:hAnsi="Georgia"/>
          <w:color w:val="231F20"/>
          <w:spacing w:val="-4"/>
          <w:sz w:val="18"/>
        </w:rPr>
        <w:t> </w:t>
      </w:r>
      <w:r>
        <w:rPr>
          <w:rFonts w:ascii="Georgia" w:hAnsi="Georgia"/>
          <w:color w:val="231F20"/>
          <w:spacing w:val="-2"/>
          <w:sz w:val="18"/>
        </w:rPr>
        <w:t>последствия...</w:t>
      </w:r>
    </w:p>
    <w:p>
      <w:pPr>
        <w:pStyle w:val="BodyText"/>
        <w:spacing w:line="230" w:lineRule="auto" w:before="119"/>
        <w:ind w:left="425" w:hanging="284"/>
      </w:pPr>
      <w:r>
        <w:rPr>
          <w:spacing w:val="-2"/>
        </w:rPr>
        <w:t>Б.</w:t>
      </w:r>
      <w:r>
        <w:rPr>
          <w:spacing w:val="40"/>
        </w:rPr>
        <w:t> </w:t>
      </w:r>
      <w:r>
        <w:rPr>
          <w:spacing w:val="-2"/>
        </w:rPr>
        <w:t>Стойкие</w:t>
      </w:r>
      <w:r>
        <w:rPr>
          <w:spacing w:val="-8"/>
        </w:rPr>
        <w:t> </w:t>
      </w:r>
      <w:r>
        <w:rPr>
          <w:spacing w:val="-2"/>
        </w:rPr>
        <w:t>воспоминания</w:t>
      </w:r>
      <w:r>
        <w:rPr>
          <w:spacing w:val="-8"/>
        </w:rPr>
        <w:t> </w:t>
      </w:r>
      <w:r>
        <w:rPr>
          <w:spacing w:val="-2"/>
        </w:rPr>
        <w:t>или</w:t>
      </w:r>
      <w:r>
        <w:rPr>
          <w:spacing w:val="-8"/>
        </w:rPr>
        <w:t> </w:t>
      </w:r>
      <w:r>
        <w:rPr>
          <w:spacing w:val="-2"/>
        </w:rPr>
        <w:t>«оживление»</w:t>
      </w:r>
      <w:r>
        <w:rPr>
          <w:spacing w:val="-8"/>
        </w:rPr>
        <w:t> </w:t>
      </w:r>
      <w:r>
        <w:rPr>
          <w:spacing w:val="-2"/>
        </w:rPr>
        <w:t>стрессора</w:t>
      </w:r>
      <w:r>
        <w:rPr>
          <w:spacing w:val="-8"/>
        </w:rPr>
        <w:t> </w:t>
      </w:r>
      <w:r>
        <w:rPr>
          <w:spacing w:val="-2"/>
        </w:rPr>
        <w:t>в</w:t>
      </w:r>
      <w:r>
        <w:rPr>
          <w:spacing w:val="-8"/>
        </w:rPr>
        <w:t> </w:t>
      </w:r>
      <w:r>
        <w:rPr>
          <w:spacing w:val="-2"/>
        </w:rPr>
        <w:t>навязчивых</w:t>
      </w:r>
      <w:r>
        <w:rPr>
          <w:spacing w:val="-8"/>
        </w:rPr>
        <w:t> </w:t>
      </w:r>
      <w:r>
        <w:rPr>
          <w:spacing w:val="-2"/>
        </w:rPr>
        <w:t>реминисценциях, ярких</w:t>
      </w:r>
      <w:r>
        <w:rPr>
          <w:spacing w:val="-6"/>
        </w:rPr>
        <w:t> </w:t>
      </w:r>
      <w:r>
        <w:rPr>
          <w:spacing w:val="-2"/>
        </w:rPr>
        <w:t>воспоминаниях</w:t>
      </w:r>
      <w:r>
        <w:rPr>
          <w:spacing w:val="-6"/>
        </w:rPr>
        <w:t> </w:t>
      </w:r>
      <w:r>
        <w:rPr>
          <w:spacing w:val="-2"/>
        </w:rPr>
        <w:t>или</w:t>
      </w:r>
      <w:r>
        <w:rPr>
          <w:spacing w:val="-7"/>
        </w:rPr>
        <w:t> </w:t>
      </w:r>
      <w:r>
        <w:rPr>
          <w:spacing w:val="-2"/>
        </w:rPr>
        <w:t>повторяющихся</w:t>
      </w:r>
      <w:r>
        <w:rPr>
          <w:spacing w:val="-6"/>
        </w:rPr>
        <w:t> </w:t>
      </w:r>
      <w:r>
        <w:rPr>
          <w:spacing w:val="-2"/>
        </w:rPr>
        <w:t>снах,</w:t>
      </w:r>
      <w:r>
        <w:rPr>
          <w:spacing w:val="-6"/>
        </w:rPr>
        <w:t> </w:t>
      </w:r>
      <w:r>
        <w:rPr>
          <w:spacing w:val="-2"/>
        </w:rPr>
        <w:t>либо</w:t>
      </w:r>
      <w:r>
        <w:rPr>
          <w:spacing w:val="-6"/>
        </w:rPr>
        <w:t> </w:t>
      </w:r>
      <w:r>
        <w:rPr>
          <w:spacing w:val="-2"/>
        </w:rPr>
        <w:t>повторное</w:t>
      </w:r>
      <w:r>
        <w:rPr>
          <w:spacing w:val="-6"/>
        </w:rPr>
        <w:t> </w:t>
      </w:r>
      <w:r>
        <w:rPr>
          <w:spacing w:val="-2"/>
        </w:rPr>
        <w:t>переживание</w:t>
      </w:r>
      <w:r>
        <w:rPr>
          <w:spacing w:val="-6"/>
        </w:rPr>
        <w:t> </w:t>
      </w:r>
      <w:r>
        <w:rPr>
          <w:spacing w:val="-2"/>
        </w:rPr>
        <w:t>горя </w:t>
      </w:r>
      <w:r>
        <w:rPr/>
        <w:t>при</w:t>
      </w:r>
      <w:r>
        <w:rPr>
          <w:spacing w:val="-10"/>
        </w:rPr>
        <w:t> </w:t>
      </w:r>
      <w:r>
        <w:rPr/>
        <w:t>воздействии</w:t>
      </w:r>
      <w:r>
        <w:rPr>
          <w:spacing w:val="-10"/>
        </w:rPr>
        <w:t> </w:t>
      </w:r>
      <w:r>
        <w:rPr/>
        <w:t>ситуаций,</w:t>
      </w:r>
      <w:r>
        <w:rPr>
          <w:spacing w:val="-9"/>
        </w:rPr>
        <w:t> </w:t>
      </w:r>
      <w:r>
        <w:rPr/>
        <w:t>напоминающих</w:t>
      </w:r>
      <w:r>
        <w:rPr>
          <w:spacing w:val="-9"/>
        </w:rPr>
        <w:t> </w:t>
      </w:r>
      <w:r>
        <w:rPr/>
        <w:t>или</w:t>
      </w:r>
      <w:r>
        <w:rPr>
          <w:spacing w:val="-10"/>
        </w:rPr>
        <w:t> </w:t>
      </w:r>
      <w:r>
        <w:rPr/>
        <w:t>ассоциирующихся</w:t>
      </w:r>
      <w:r>
        <w:rPr>
          <w:spacing w:val="-9"/>
        </w:rPr>
        <w:t> </w:t>
      </w:r>
      <w:r>
        <w:rPr/>
        <w:t>со</w:t>
      </w:r>
      <w:r>
        <w:rPr>
          <w:spacing w:val="-9"/>
        </w:rPr>
        <w:t> </w:t>
      </w:r>
      <w:r>
        <w:rPr/>
        <w:t>стрессором.</w:t>
      </w:r>
    </w:p>
    <w:p>
      <w:pPr>
        <w:pStyle w:val="BodyText"/>
        <w:spacing w:line="232" w:lineRule="auto"/>
        <w:ind w:left="425" w:hanging="284"/>
      </w:pPr>
      <w:r>
        <w:rPr/>
        <w:t>В.</w:t>
      </w:r>
      <w:r>
        <w:rPr>
          <w:spacing w:val="16"/>
        </w:rPr>
        <w:t> </w:t>
      </w:r>
      <w:r>
        <w:rPr>
          <w:color w:val="231F20"/>
        </w:rPr>
        <w:t>Ребенок</w:t>
      </w:r>
      <w:r>
        <w:rPr>
          <w:color w:val="231F20"/>
          <w:spacing w:val="-8"/>
        </w:rPr>
        <w:t> </w:t>
      </w:r>
      <w:r>
        <w:rPr>
          <w:color w:val="231F20"/>
        </w:rPr>
        <w:t>или</w:t>
      </w:r>
      <w:r>
        <w:rPr>
          <w:color w:val="231F20"/>
          <w:spacing w:val="-8"/>
        </w:rPr>
        <w:t> </w:t>
      </w:r>
      <w:r>
        <w:rPr>
          <w:color w:val="231F20"/>
        </w:rPr>
        <w:t>взрослый</w:t>
      </w:r>
      <w:r>
        <w:rPr>
          <w:color w:val="231F20"/>
          <w:spacing w:val="-8"/>
        </w:rPr>
        <w:t> </w:t>
      </w:r>
      <w:r>
        <w:rPr>
          <w:color w:val="231F20"/>
        </w:rPr>
        <w:t>должен</w:t>
      </w:r>
      <w:r>
        <w:rPr>
          <w:color w:val="231F20"/>
          <w:spacing w:val="-8"/>
        </w:rPr>
        <w:t> </w:t>
      </w:r>
      <w:r>
        <w:rPr/>
        <w:t>обнаруживать</w:t>
      </w:r>
      <w:r>
        <w:rPr>
          <w:spacing w:val="-8"/>
        </w:rPr>
        <w:t> </w:t>
      </w:r>
      <w:r>
        <w:rPr/>
        <w:t>фактическое</w:t>
      </w:r>
      <w:r>
        <w:rPr>
          <w:spacing w:val="-8"/>
        </w:rPr>
        <w:t> </w:t>
      </w:r>
      <w:r>
        <w:rPr/>
        <w:t>избегание</w:t>
      </w:r>
      <w:r>
        <w:rPr>
          <w:spacing w:val="-8"/>
        </w:rPr>
        <w:t> </w:t>
      </w:r>
      <w:r>
        <w:rPr/>
        <w:t>или</w:t>
      </w:r>
      <w:r>
        <w:rPr>
          <w:spacing w:val="-8"/>
        </w:rPr>
        <w:t> </w:t>
      </w:r>
      <w:r>
        <w:rPr/>
        <w:t>стремле- </w:t>
      </w:r>
      <w:r>
        <w:rPr>
          <w:spacing w:val="-4"/>
        </w:rPr>
        <w:t>ние избежать обстоятельств, напоминающих либо ассоциирующихся со стрессором.</w:t>
      </w:r>
    </w:p>
    <w:p>
      <w:pPr>
        <w:pStyle w:val="BodyText"/>
        <w:spacing w:line="218" w:lineRule="exact"/>
        <w:ind w:right="0" w:firstLine="0"/>
      </w:pPr>
      <w:r>
        <w:rPr/>
        <w:t>Г.</w:t>
      </w:r>
      <w:r>
        <w:rPr>
          <w:spacing w:val="77"/>
        </w:rPr>
        <w:t> </w:t>
      </w:r>
      <w:r>
        <w:rPr/>
        <w:t>Любое</w:t>
      </w:r>
      <w:r>
        <w:rPr>
          <w:spacing w:val="-4"/>
        </w:rPr>
        <w:t> </w:t>
      </w:r>
      <w:r>
        <w:rPr/>
        <w:t>из</w:t>
      </w:r>
      <w:r>
        <w:rPr>
          <w:spacing w:val="-4"/>
        </w:rPr>
        <w:t> </w:t>
      </w:r>
      <w:r>
        <w:rPr>
          <w:spacing w:val="-2"/>
        </w:rPr>
        <w:t>двух:</w:t>
      </w:r>
    </w:p>
    <w:p>
      <w:pPr>
        <w:pStyle w:val="ListParagraph"/>
        <w:numPr>
          <w:ilvl w:val="0"/>
          <w:numId w:val="61"/>
        </w:numPr>
        <w:tabs>
          <w:tab w:pos="708" w:val="left" w:leader="none"/>
        </w:tabs>
        <w:spacing w:line="232" w:lineRule="auto" w:before="2" w:after="0"/>
        <w:ind w:left="708" w:right="140" w:hanging="284"/>
        <w:jc w:val="both"/>
        <w:rPr>
          <w:sz w:val="20"/>
        </w:rPr>
      </w:pPr>
      <w:r>
        <w:rPr>
          <w:sz w:val="20"/>
        </w:rPr>
        <w:t>Психогенная амнезия, либо частичная, либо полная, в отношении важных аспектов периода воздействия стрессора.</w:t>
      </w:r>
    </w:p>
    <w:p>
      <w:pPr>
        <w:pStyle w:val="ListParagraph"/>
        <w:numPr>
          <w:ilvl w:val="0"/>
          <w:numId w:val="61"/>
        </w:numPr>
        <w:tabs>
          <w:tab w:pos="708" w:val="left" w:leader="none"/>
        </w:tabs>
        <w:spacing w:line="232" w:lineRule="auto" w:before="0" w:after="0"/>
        <w:ind w:left="708" w:right="139" w:hanging="284"/>
        <w:jc w:val="both"/>
        <w:rPr>
          <w:sz w:val="20"/>
        </w:rPr>
      </w:pPr>
      <w:r>
        <w:rPr>
          <w:sz w:val="20"/>
        </w:rPr>
        <w:t>Стойкие</w:t>
      </w:r>
      <w:r>
        <w:rPr>
          <w:spacing w:val="-13"/>
          <w:sz w:val="20"/>
        </w:rPr>
        <w:t> </w:t>
      </w:r>
      <w:r>
        <w:rPr>
          <w:sz w:val="20"/>
        </w:rPr>
        <w:t>симптомы</w:t>
      </w:r>
      <w:r>
        <w:rPr>
          <w:spacing w:val="-12"/>
          <w:sz w:val="20"/>
        </w:rPr>
        <w:t> </w:t>
      </w:r>
      <w:r>
        <w:rPr>
          <w:sz w:val="20"/>
        </w:rPr>
        <w:t>повышения</w:t>
      </w:r>
      <w:r>
        <w:rPr>
          <w:spacing w:val="-13"/>
          <w:sz w:val="20"/>
        </w:rPr>
        <w:t> </w:t>
      </w:r>
      <w:r>
        <w:rPr>
          <w:sz w:val="20"/>
        </w:rPr>
        <w:t>психологической</w:t>
      </w:r>
      <w:r>
        <w:rPr>
          <w:spacing w:val="-12"/>
          <w:sz w:val="20"/>
        </w:rPr>
        <w:t> </w:t>
      </w:r>
      <w:r>
        <w:rPr>
          <w:sz w:val="20"/>
        </w:rPr>
        <w:t>чувствительности</w:t>
      </w:r>
      <w:r>
        <w:rPr>
          <w:spacing w:val="-13"/>
          <w:sz w:val="20"/>
        </w:rPr>
        <w:t> </w:t>
      </w:r>
      <w:r>
        <w:rPr>
          <w:sz w:val="20"/>
        </w:rPr>
        <w:t>или</w:t>
      </w:r>
      <w:r>
        <w:rPr>
          <w:spacing w:val="-12"/>
          <w:sz w:val="20"/>
        </w:rPr>
        <w:t> </w:t>
      </w:r>
      <w:r>
        <w:rPr>
          <w:sz w:val="20"/>
        </w:rPr>
        <w:t>возбу- димости</w:t>
      </w:r>
      <w:r>
        <w:rPr>
          <w:spacing w:val="-8"/>
          <w:sz w:val="20"/>
        </w:rPr>
        <w:t> </w:t>
      </w:r>
      <w:r>
        <w:rPr>
          <w:sz w:val="20"/>
        </w:rPr>
        <w:t>(не</w:t>
      </w:r>
      <w:r>
        <w:rPr>
          <w:spacing w:val="-7"/>
          <w:sz w:val="20"/>
        </w:rPr>
        <w:t> </w:t>
      </w:r>
      <w:r>
        <w:rPr>
          <w:sz w:val="20"/>
        </w:rPr>
        <w:t>наблюдавшиеся</w:t>
      </w:r>
      <w:r>
        <w:rPr>
          <w:spacing w:val="-8"/>
          <w:sz w:val="20"/>
        </w:rPr>
        <w:t> </w:t>
      </w:r>
      <w:r>
        <w:rPr>
          <w:sz w:val="20"/>
        </w:rPr>
        <w:t>до</w:t>
      </w:r>
      <w:r>
        <w:rPr>
          <w:spacing w:val="-8"/>
          <w:sz w:val="20"/>
        </w:rPr>
        <w:t> </w:t>
      </w:r>
      <w:r>
        <w:rPr>
          <w:sz w:val="20"/>
        </w:rPr>
        <w:t>действия</w:t>
      </w:r>
      <w:r>
        <w:rPr>
          <w:spacing w:val="-8"/>
          <w:sz w:val="20"/>
        </w:rPr>
        <w:t> </w:t>
      </w:r>
      <w:r>
        <w:rPr>
          <w:sz w:val="20"/>
        </w:rPr>
        <w:t>стрессора),</w:t>
      </w:r>
      <w:r>
        <w:rPr>
          <w:spacing w:val="-8"/>
          <w:sz w:val="20"/>
        </w:rPr>
        <w:t> </w:t>
      </w:r>
      <w:r>
        <w:rPr>
          <w:sz w:val="20"/>
        </w:rPr>
        <w:t>представленные</w:t>
      </w:r>
      <w:r>
        <w:rPr>
          <w:spacing w:val="-8"/>
          <w:sz w:val="20"/>
        </w:rPr>
        <w:t> </w:t>
      </w:r>
      <w:r>
        <w:rPr>
          <w:sz w:val="20"/>
        </w:rPr>
        <w:t>любыми двумя из следующих:</w:t>
      </w:r>
    </w:p>
    <w:p>
      <w:pPr>
        <w:pStyle w:val="BodyText"/>
        <w:spacing w:line="232" w:lineRule="auto"/>
        <w:ind w:left="708" w:right="2678" w:firstLine="0"/>
        <w:jc w:val="left"/>
      </w:pPr>
      <w:r>
        <w:rPr/>
        <w:t>а)</w:t>
      </w:r>
      <w:r>
        <w:rPr>
          <w:spacing w:val="58"/>
        </w:rPr>
        <w:t> </w:t>
      </w:r>
      <w:r>
        <w:rPr/>
        <w:t>затруднения</w:t>
      </w:r>
      <w:r>
        <w:rPr>
          <w:spacing w:val="-8"/>
        </w:rPr>
        <w:t> </w:t>
      </w:r>
      <w:r>
        <w:rPr/>
        <w:t>засыпания</w:t>
      </w:r>
      <w:r>
        <w:rPr>
          <w:spacing w:val="-8"/>
        </w:rPr>
        <w:t> </w:t>
      </w:r>
      <w:r>
        <w:rPr/>
        <w:t>или</w:t>
      </w:r>
      <w:r>
        <w:rPr>
          <w:spacing w:val="-9"/>
        </w:rPr>
        <w:t> </w:t>
      </w:r>
      <w:r>
        <w:rPr/>
        <w:t>сохранения</w:t>
      </w:r>
      <w:r>
        <w:rPr>
          <w:spacing w:val="-8"/>
        </w:rPr>
        <w:t> </w:t>
      </w:r>
      <w:r>
        <w:rPr/>
        <w:t>сна; б)</w:t>
      </w:r>
      <w:r>
        <w:rPr>
          <w:spacing w:val="40"/>
        </w:rPr>
        <w:t> </w:t>
      </w:r>
      <w:r>
        <w:rPr/>
        <w:t>раздражительность или вспышки гнева;</w:t>
      </w:r>
    </w:p>
    <w:p>
      <w:pPr>
        <w:pStyle w:val="BodyText"/>
        <w:spacing w:line="235" w:lineRule="auto"/>
        <w:ind w:left="708" w:right="3152" w:firstLine="0"/>
        <w:jc w:val="left"/>
      </w:pPr>
      <w:r>
        <w:rPr/>
        <w:t>в)</w:t>
      </w:r>
      <w:r>
        <w:rPr>
          <w:spacing w:val="40"/>
        </w:rPr>
        <w:t> </w:t>
      </w:r>
      <w:r>
        <w:rPr/>
        <w:t>затруднение</w:t>
      </w:r>
      <w:r>
        <w:rPr>
          <w:spacing w:val="-10"/>
        </w:rPr>
        <w:t> </w:t>
      </w:r>
      <w:r>
        <w:rPr/>
        <w:t>в</w:t>
      </w:r>
      <w:r>
        <w:rPr>
          <w:spacing w:val="-11"/>
        </w:rPr>
        <w:t> </w:t>
      </w:r>
      <w:r>
        <w:rPr/>
        <w:t>концентрации</w:t>
      </w:r>
      <w:r>
        <w:rPr>
          <w:spacing w:val="-11"/>
        </w:rPr>
        <w:t> </w:t>
      </w:r>
      <w:r>
        <w:rPr/>
        <w:t>внимания; г)</w:t>
      </w:r>
      <w:r>
        <w:rPr>
          <w:spacing w:val="80"/>
        </w:rPr>
        <w:t> </w:t>
      </w:r>
      <w:r>
        <w:rPr/>
        <w:t>повышение уровня бодрствования</w:t>
      </w:r>
    </w:p>
    <w:p>
      <w:pPr>
        <w:pStyle w:val="BodyText"/>
        <w:spacing w:line="235" w:lineRule="auto"/>
      </w:pPr>
      <w:r>
        <w:rPr/>
        <w:t>Критерии Б, В и Г возникают в течение шести месяцев стрессогенной ситуации или в конце периода стресса (для некоторых целей начало расстройства, отставлен- ное</w:t>
      </w:r>
      <w:r>
        <w:rPr>
          <w:spacing w:val="-8"/>
        </w:rPr>
        <w:t> </w:t>
      </w:r>
      <w:r>
        <w:rPr/>
        <w:t>более</w:t>
      </w:r>
      <w:r>
        <w:rPr>
          <w:spacing w:val="-8"/>
        </w:rPr>
        <w:t> </w:t>
      </w:r>
      <w:r>
        <w:rPr/>
        <w:t>чем</w:t>
      </w:r>
      <w:r>
        <w:rPr>
          <w:spacing w:val="-8"/>
        </w:rPr>
        <w:t> </w:t>
      </w:r>
      <w:r>
        <w:rPr/>
        <w:t>на</w:t>
      </w:r>
      <w:r>
        <w:rPr>
          <w:spacing w:val="-8"/>
        </w:rPr>
        <w:t> </w:t>
      </w:r>
      <w:r>
        <w:rPr/>
        <w:t>6</w:t>
      </w:r>
      <w:r>
        <w:rPr>
          <w:spacing w:val="-8"/>
        </w:rPr>
        <w:t> </w:t>
      </w:r>
      <w:r>
        <w:rPr/>
        <w:t>месяцев,</w:t>
      </w:r>
      <w:r>
        <w:rPr>
          <w:spacing w:val="-8"/>
        </w:rPr>
        <w:t> </w:t>
      </w:r>
      <w:r>
        <w:rPr/>
        <w:t>может</w:t>
      </w:r>
      <w:r>
        <w:rPr>
          <w:spacing w:val="-8"/>
        </w:rPr>
        <w:t> </w:t>
      </w:r>
      <w:r>
        <w:rPr/>
        <w:t>быть</w:t>
      </w:r>
      <w:r>
        <w:rPr>
          <w:spacing w:val="-8"/>
        </w:rPr>
        <w:t> </w:t>
      </w:r>
      <w:r>
        <w:rPr/>
        <w:t>включено,</w:t>
      </w:r>
      <w:r>
        <w:rPr>
          <w:spacing w:val="-8"/>
        </w:rPr>
        <w:t> </w:t>
      </w:r>
      <w:r>
        <w:rPr/>
        <w:t>но</w:t>
      </w:r>
      <w:r>
        <w:rPr>
          <w:spacing w:val="-8"/>
        </w:rPr>
        <w:t> </w:t>
      </w:r>
      <w:r>
        <w:rPr/>
        <w:t>эти</w:t>
      </w:r>
      <w:r>
        <w:rPr>
          <w:spacing w:val="-8"/>
        </w:rPr>
        <w:t> </w:t>
      </w:r>
      <w:r>
        <w:rPr/>
        <w:t>случаи</w:t>
      </w:r>
      <w:r>
        <w:rPr>
          <w:spacing w:val="-8"/>
        </w:rPr>
        <w:t> </w:t>
      </w:r>
      <w:r>
        <w:rPr/>
        <w:t>должны</w:t>
      </w:r>
      <w:r>
        <w:rPr>
          <w:spacing w:val="-8"/>
        </w:rPr>
        <w:t> </w:t>
      </w:r>
      <w:r>
        <w:rPr/>
        <w:t>быть</w:t>
      </w:r>
      <w:r>
        <w:rPr>
          <w:spacing w:val="-8"/>
        </w:rPr>
        <w:t> </w:t>
      </w:r>
      <w:r>
        <w:rPr/>
        <w:t>точно определены отдельно).</w:t>
      </w:r>
    </w:p>
    <w:p>
      <w:pPr>
        <w:pStyle w:val="BodyText"/>
        <w:spacing w:line="235" w:lineRule="auto" w:before="108"/>
      </w:pPr>
      <w:r>
        <w:rPr/>
        <w:t>В</w:t>
      </w:r>
      <w:r>
        <w:rPr>
          <w:spacing w:val="-11"/>
        </w:rPr>
        <w:t> </w:t>
      </w:r>
      <w:r>
        <w:rPr/>
        <w:t>МКБ-11</w:t>
      </w:r>
      <w:r>
        <w:rPr>
          <w:spacing w:val="-11"/>
        </w:rPr>
        <w:t> </w:t>
      </w:r>
      <w:r>
        <w:rPr/>
        <w:t>ПТСР</w:t>
      </w:r>
      <w:r>
        <w:rPr>
          <w:spacing w:val="-11"/>
        </w:rPr>
        <w:t> </w:t>
      </w:r>
      <w:r>
        <w:rPr/>
        <w:t>определяется</w:t>
      </w:r>
      <w:r>
        <w:rPr>
          <w:spacing w:val="-11"/>
        </w:rPr>
        <w:t> </w:t>
      </w:r>
      <w:r>
        <w:rPr/>
        <w:t>так:</w:t>
      </w:r>
      <w:r>
        <w:rPr>
          <w:spacing w:val="-11"/>
        </w:rPr>
        <w:t> </w:t>
      </w:r>
      <w:r>
        <w:rPr/>
        <w:t>синдром,</w:t>
      </w:r>
      <w:r>
        <w:rPr>
          <w:spacing w:val="28"/>
        </w:rPr>
        <w:t> </w:t>
      </w:r>
      <w:r>
        <w:rPr>
          <w:color w:val="151F26"/>
        </w:rPr>
        <w:t>который</w:t>
      </w:r>
      <w:r>
        <w:rPr>
          <w:color w:val="151F26"/>
          <w:spacing w:val="-11"/>
        </w:rPr>
        <w:t> </w:t>
      </w:r>
      <w:r>
        <w:rPr>
          <w:color w:val="151F26"/>
        </w:rPr>
        <w:t>развивается</w:t>
      </w:r>
      <w:r>
        <w:rPr>
          <w:color w:val="151F26"/>
          <w:spacing w:val="-11"/>
        </w:rPr>
        <w:t> </w:t>
      </w:r>
      <w:r>
        <w:rPr>
          <w:color w:val="151F26"/>
        </w:rPr>
        <w:t>после</w:t>
      </w:r>
      <w:r>
        <w:rPr>
          <w:color w:val="151F26"/>
          <w:spacing w:val="-11"/>
        </w:rPr>
        <w:t> </w:t>
      </w:r>
      <w:r>
        <w:rPr>
          <w:color w:val="151F26"/>
        </w:rPr>
        <w:t>контакта с чрезвычайно угрожающим или ужасным событием или серией событий, которые характеризуются всем следующим:</w:t>
      </w:r>
    </w:p>
    <w:p>
      <w:pPr>
        <w:pStyle w:val="ListParagraph"/>
        <w:numPr>
          <w:ilvl w:val="0"/>
          <w:numId w:val="62"/>
        </w:numPr>
        <w:tabs>
          <w:tab w:pos="423" w:val="left" w:leader="none"/>
          <w:tab w:pos="425" w:val="left" w:leader="none"/>
        </w:tabs>
        <w:spacing w:line="235" w:lineRule="auto" w:before="1" w:after="0"/>
        <w:ind w:left="425" w:right="139" w:hanging="284"/>
        <w:jc w:val="both"/>
        <w:rPr>
          <w:sz w:val="20"/>
        </w:rPr>
      </w:pPr>
      <w:r>
        <w:rPr>
          <w:color w:val="151F26"/>
          <w:sz w:val="20"/>
        </w:rPr>
        <w:t>переживание травматического события или событий в настоящем в форме ярких навязчивых</w:t>
      </w:r>
      <w:r>
        <w:rPr>
          <w:color w:val="151F26"/>
          <w:spacing w:val="-3"/>
          <w:sz w:val="20"/>
        </w:rPr>
        <w:t> </w:t>
      </w:r>
      <w:r>
        <w:rPr>
          <w:color w:val="151F26"/>
          <w:sz w:val="20"/>
        </w:rPr>
        <w:t>воспоминаний,</w:t>
      </w:r>
      <w:r>
        <w:rPr>
          <w:color w:val="151F26"/>
          <w:spacing w:val="-3"/>
          <w:sz w:val="20"/>
        </w:rPr>
        <w:t> </w:t>
      </w:r>
      <w:r>
        <w:rPr>
          <w:color w:val="151F26"/>
          <w:sz w:val="20"/>
        </w:rPr>
        <w:t>воспоминаний</w:t>
      </w:r>
      <w:r>
        <w:rPr>
          <w:color w:val="151F26"/>
          <w:spacing w:val="-3"/>
          <w:sz w:val="20"/>
        </w:rPr>
        <w:t> </w:t>
      </w:r>
      <w:r>
        <w:rPr>
          <w:color w:val="151F26"/>
          <w:sz w:val="20"/>
        </w:rPr>
        <w:t>или</w:t>
      </w:r>
      <w:r>
        <w:rPr>
          <w:color w:val="151F26"/>
          <w:spacing w:val="-3"/>
          <w:sz w:val="20"/>
        </w:rPr>
        <w:t> </w:t>
      </w:r>
      <w:r>
        <w:rPr>
          <w:color w:val="151F26"/>
          <w:sz w:val="20"/>
        </w:rPr>
        <w:t>ночных</w:t>
      </w:r>
      <w:r>
        <w:rPr>
          <w:color w:val="151F26"/>
          <w:spacing w:val="-3"/>
          <w:sz w:val="20"/>
        </w:rPr>
        <w:t> </w:t>
      </w:r>
      <w:r>
        <w:rPr>
          <w:color w:val="151F26"/>
          <w:sz w:val="20"/>
        </w:rPr>
        <w:t>кошмаров,</w:t>
      </w:r>
      <w:r>
        <w:rPr>
          <w:color w:val="151F26"/>
          <w:spacing w:val="-3"/>
          <w:sz w:val="20"/>
        </w:rPr>
        <w:t> </w:t>
      </w:r>
      <w:r>
        <w:rPr>
          <w:color w:val="151F26"/>
          <w:sz w:val="20"/>
        </w:rPr>
        <w:t>которые</w:t>
      </w:r>
      <w:r>
        <w:rPr>
          <w:color w:val="151F26"/>
          <w:spacing w:val="-3"/>
          <w:sz w:val="20"/>
        </w:rPr>
        <w:t> </w:t>
      </w:r>
      <w:r>
        <w:rPr>
          <w:color w:val="151F26"/>
          <w:sz w:val="20"/>
        </w:rPr>
        <w:t>обыч- но</w:t>
      </w:r>
      <w:r>
        <w:rPr>
          <w:color w:val="151F26"/>
          <w:spacing w:val="-3"/>
          <w:sz w:val="20"/>
        </w:rPr>
        <w:t> </w:t>
      </w:r>
      <w:r>
        <w:rPr>
          <w:color w:val="151F26"/>
          <w:sz w:val="20"/>
        </w:rPr>
        <w:t>сопровождаются</w:t>
      </w:r>
      <w:r>
        <w:rPr>
          <w:color w:val="151F26"/>
          <w:spacing w:val="-3"/>
          <w:sz w:val="20"/>
        </w:rPr>
        <w:t> </w:t>
      </w:r>
      <w:r>
        <w:rPr>
          <w:color w:val="151F26"/>
          <w:sz w:val="20"/>
        </w:rPr>
        <w:t>сильными</w:t>
      </w:r>
      <w:r>
        <w:rPr>
          <w:color w:val="151F26"/>
          <w:spacing w:val="-3"/>
          <w:sz w:val="20"/>
        </w:rPr>
        <w:t> </w:t>
      </w:r>
      <w:r>
        <w:rPr>
          <w:color w:val="151F26"/>
          <w:sz w:val="20"/>
        </w:rPr>
        <w:t>и</w:t>
      </w:r>
      <w:r>
        <w:rPr>
          <w:color w:val="151F26"/>
          <w:spacing w:val="-3"/>
          <w:sz w:val="20"/>
        </w:rPr>
        <w:t> </w:t>
      </w:r>
      <w:r>
        <w:rPr>
          <w:color w:val="151F26"/>
          <w:sz w:val="20"/>
        </w:rPr>
        <w:t>подавляющими</w:t>
      </w:r>
      <w:r>
        <w:rPr>
          <w:color w:val="151F26"/>
          <w:spacing w:val="-3"/>
          <w:sz w:val="20"/>
        </w:rPr>
        <w:t> </w:t>
      </w:r>
      <w:r>
        <w:rPr>
          <w:color w:val="151F26"/>
          <w:sz w:val="20"/>
        </w:rPr>
        <w:t>эмоциями,</w:t>
      </w:r>
      <w:r>
        <w:rPr>
          <w:color w:val="151F26"/>
          <w:spacing w:val="-3"/>
          <w:sz w:val="20"/>
        </w:rPr>
        <w:t> </w:t>
      </w:r>
      <w:r>
        <w:rPr>
          <w:color w:val="151F26"/>
          <w:sz w:val="20"/>
        </w:rPr>
        <w:t>такими</w:t>
      </w:r>
      <w:r>
        <w:rPr>
          <w:color w:val="151F26"/>
          <w:spacing w:val="-3"/>
          <w:sz w:val="20"/>
        </w:rPr>
        <w:t> </w:t>
      </w:r>
      <w:r>
        <w:rPr>
          <w:color w:val="151F26"/>
          <w:sz w:val="20"/>
        </w:rPr>
        <w:t>как</w:t>
      </w:r>
      <w:r>
        <w:rPr>
          <w:color w:val="151F26"/>
          <w:spacing w:val="-3"/>
          <w:sz w:val="20"/>
        </w:rPr>
        <w:t> </w:t>
      </w:r>
      <w:r>
        <w:rPr>
          <w:color w:val="151F26"/>
          <w:sz w:val="20"/>
        </w:rPr>
        <w:t>страх</w:t>
      </w:r>
      <w:r>
        <w:rPr>
          <w:color w:val="151F26"/>
          <w:spacing w:val="-3"/>
          <w:sz w:val="20"/>
        </w:rPr>
        <w:t> </w:t>
      </w:r>
      <w:r>
        <w:rPr>
          <w:color w:val="151F26"/>
          <w:sz w:val="20"/>
        </w:rPr>
        <w:t>или </w:t>
      </w:r>
      <w:r>
        <w:rPr>
          <w:color w:val="151F26"/>
          <w:spacing w:val="-2"/>
          <w:sz w:val="20"/>
        </w:rPr>
        <w:t>ужас,</w:t>
      </w:r>
      <w:r>
        <w:rPr>
          <w:color w:val="151F26"/>
          <w:spacing w:val="-5"/>
          <w:sz w:val="20"/>
        </w:rPr>
        <w:t> </w:t>
      </w:r>
      <w:r>
        <w:rPr>
          <w:color w:val="151F26"/>
          <w:spacing w:val="-2"/>
          <w:sz w:val="20"/>
        </w:rPr>
        <w:t>сильные</w:t>
      </w:r>
      <w:r>
        <w:rPr>
          <w:color w:val="151F26"/>
          <w:spacing w:val="-5"/>
          <w:sz w:val="20"/>
        </w:rPr>
        <w:t> </w:t>
      </w:r>
      <w:r>
        <w:rPr>
          <w:color w:val="151F26"/>
          <w:spacing w:val="-2"/>
          <w:sz w:val="20"/>
        </w:rPr>
        <w:t>физические</w:t>
      </w:r>
      <w:r>
        <w:rPr>
          <w:color w:val="151F26"/>
          <w:spacing w:val="-5"/>
          <w:sz w:val="20"/>
        </w:rPr>
        <w:t> </w:t>
      </w:r>
      <w:r>
        <w:rPr>
          <w:color w:val="151F26"/>
          <w:spacing w:val="-2"/>
          <w:sz w:val="20"/>
        </w:rPr>
        <w:t>ощущения</w:t>
      </w:r>
      <w:r>
        <w:rPr>
          <w:color w:val="151F26"/>
          <w:spacing w:val="-5"/>
          <w:sz w:val="20"/>
        </w:rPr>
        <w:t> </w:t>
      </w:r>
      <w:r>
        <w:rPr>
          <w:color w:val="151F26"/>
          <w:spacing w:val="-2"/>
          <w:sz w:val="20"/>
        </w:rPr>
        <w:t>или</w:t>
      </w:r>
      <w:r>
        <w:rPr>
          <w:color w:val="151F26"/>
          <w:spacing w:val="-5"/>
          <w:sz w:val="20"/>
        </w:rPr>
        <w:t> </w:t>
      </w:r>
      <w:r>
        <w:rPr>
          <w:color w:val="151F26"/>
          <w:spacing w:val="-2"/>
          <w:sz w:val="20"/>
        </w:rPr>
        <w:t>чувства</w:t>
      </w:r>
      <w:r>
        <w:rPr>
          <w:color w:val="151F26"/>
          <w:spacing w:val="-5"/>
          <w:sz w:val="20"/>
        </w:rPr>
        <w:t> </w:t>
      </w:r>
      <w:r>
        <w:rPr>
          <w:color w:val="151F26"/>
          <w:spacing w:val="-2"/>
          <w:sz w:val="20"/>
        </w:rPr>
        <w:t>переполнения</w:t>
      </w:r>
      <w:r>
        <w:rPr>
          <w:color w:val="151F26"/>
          <w:spacing w:val="-5"/>
          <w:sz w:val="20"/>
        </w:rPr>
        <w:t> </w:t>
      </w:r>
      <w:r>
        <w:rPr>
          <w:color w:val="151F26"/>
          <w:spacing w:val="-2"/>
          <w:sz w:val="20"/>
        </w:rPr>
        <w:t>или</w:t>
      </w:r>
      <w:r>
        <w:rPr>
          <w:color w:val="151F26"/>
          <w:spacing w:val="-5"/>
          <w:sz w:val="20"/>
        </w:rPr>
        <w:t> </w:t>
      </w:r>
      <w:r>
        <w:rPr>
          <w:color w:val="151F26"/>
          <w:spacing w:val="-2"/>
          <w:sz w:val="20"/>
        </w:rPr>
        <w:t>погружения</w:t>
      </w:r>
      <w:r>
        <w:rPr>
          <w:color w:val="151F26"/>
          <w:spacing w:val="-5"/>
          <w:sz w:val="20"/>
        </w:rPr>
        <w:t> </w:t>
      </w:r>
      <w:r>
        <w:rPr>
          <w:color w:val="151F26"/>
          <w:spacing w:val="-2"/>
          <w:sz w:val="20"/>
        </w:rPr>
        <w:t>в те же сильные эмоции, которые испытывались во время травматического события;</w:t>
      </w:r>
    </w:p>
    <w:p>
      <w:pPr>
        <w:pStyle w:val="ListParagraph"/>
        <w:numPr>
          <w:ilvl w:val="0"/>
          <w:numId w:val="62"/>
        </w:numPr>
        <w:tabs>
          <w:tab w:pos="423" w:val="left" w:leader="none"/>
          <w:tab w:pos="425" w:val="left" w:leader="none"/>
        </w:tabs>
        <w:spacing w:line="232" w:lineRule="auto" w:before="1" w:after="0"/>
        <w:ind w:left="425" w:right="139" w:hanging="284"/>
        <w:jc w:val="both"/>
        <w:rPr>
          <w:sz w:val="20"/>
        </w:rPr>
      </w:pPr>
      <w:r>
        <w:rPr>
          <w:color w:val="151F26"/>
          <w:sz w:val="20"/>
        </w:rPr>
        <w:t>избегание мыслей и воспоминаний о событии или событиях или избегание дей- ствий, ситуаций или людей, напоминающих о событии или событиях;</w:t>
      </w:r>
    </w:p>
    <w:p>
      <w:pPr>
        <w:pStyle w:val="ListParagraph"/>
        <w:numPr>
          <w:ilvl w:val="0"/>
          <w:numId w:val="62"/>
        </w:numPr>
        <w:tabs>
          <w:tab w:pos="423" w:val="left" w:leader="none"/>
          <w:tab w:pos="425" w:val="left" w:leader="none"/>
        </w:tabs>
        <w:spacing w:line="232" w:lineRule="auto" w:before="0" w:after="0"/>
        <w:ind w:left="425" w:right="139" w:hanging="284"/>
        <w:jc w:val="both"/>
        <w:rPr>
          <w:sz w:val="20"/>
        </w:rPr>
      </w:pPr>
      <w:r>
        <w:rPr>
          <w:color w:val="151F26"/>
          <w:sz w:val="20"/>
        </w:rPr>
        <w:t>постоянное восприятие повышенной угрозы или усиленная реакция на стиму-</w:t>
      </w:r>
      <w:r>
        <w:rPr>
          <w:color w:val="151F26"/>
          <w:spacing w:val="40"/>
          <w:sz w:val="20"/>
        </w:rPr>
        <w:t> </w:t>
      </w:r>
      <w:r>
        <w:rPr>
          <w:color w:val="151F26"/>
          <w:sz w:val="20"/>
        </w:rPr>
        <w:t>лы, такие как неожиданные шумы. Симптомы должны сохраняться в течение </w:t>
      </w:r>
      <w:r>
        <w:rPr>
          <w:color w:val="151F26"/>
          <w:sz w:val="20"/>
        </w:rPr>
        <w:t>по крайней мере нескольких недель и вызывать значительное ухудшение в личных, семейных,</w:t>
      </w:r>
      <w:r>
        <w:rPr>
          <w:color w:val="151F26"/>
          <w:spacing w:val="-7"/>
          <w:sz w:val="20"/>
        </w:rPr>
        <w:t> </w:t>
      </w:r>
      <w:r>
        <w:rPr>
          <w:color w:val="151F26"/>
          <w:sz w:val="20"/>
        </w:rPr>
        <w:t>социальных,</w:t>
      </w:r>
      <w:r>
        <w:rPr>
          <w:color w:val="151F26"/>
          <w:spacing w:val="-6"/>
          <w:sz w:val="20"/>
        </w:rPr>
        <w:t> </w:t>
      </w:r>
      <w:r>
        <w:rPr>
          <w:color w:val="151F26"/>
          <w:sz w:val="20"/>
        </w:rPr>
        <w:t>образовательных,</w:t>
      </w:r>
      <w:r>
        <w:rPr>
          <w:color w:val="151F26"/>
          <w:spacing w:val="-6"/>
          <w:sz w:val="20"/>
        </w:rPr>
        <w:t> </w:t>
      </w:r>
      <w:r>
        <w:rPr>
          <w:color w:val="151F26"/>
          <w:sz w:val="20"/>
        </w:rPr>
        <w:t>профессиональных</w:t>
      </w:r>
      <w:r>
        <w:rPr>
          <w:color w:val="151F26"/>
          <w:spacing w:val="-6"/>
          <w:sz w:val="20"/>
        </w:rPr>
        <w:t> </w:t>
      </w:r>
      <w:r>
        <w:rPr>
          <w:color w:val="151F26"/>
          <w:sz w:val="20"/>
        </w:rPr>
        <w:t>или</w:t>
      </w:r>
      <w:r>
        <w:rPr>
          <w:color w:val="151F26"/>
          <w:spacing w:val="-6"/>
          <w:sz w:val="20"/>
        </w:rPr>
        <w:t> </w:t>
      </w:r>
      <w:r>
        <w:rPr>
          <w:color w:val="151F26"/>
          <w:sz w:val="20"/>
        </w:rPr>
        <w:t>других</w:t>
      </w:r>
      <w:r>
        <w:rPr>
          <w:color w:val="151F26"/>
          <w:spacing w:val="-6"/>
          <w:sz w:val="20"/>
        </w:rPr>
        <w:t> </w:t>
      </w:r>
      <w:r>
        <w:rPr>
          <w:color w:val="151F26"/>
          <w:sz w:val="20"/>
        </w:rPr>
        <w:t>важных областях функционирования.</w:t>
      </w:r>
    </w:p>
    <w:p>
      <w:pPr>
        <w:pStyle w:val="BodyText"/>
        <w:spacing w:line="232" w:lineRule="auto" w:before="114"/>
      </w:pPr>
      <w:r>
        <w:rPr>
          <w:color w:val="231F20"/>
        </w:rPr>
        <w:t>Термин «комплексное ПТСР» (комплексная травма), был предложен Дж. Герман в книге «Травма и исцеление» (Герман, 2022) и в сопутствующих ей статьях автора и определен как клинический синдром, возникающий в результате множественных травматических событий, которые, как правило, происходят на ранних этапах жиз- ненного</w:t>
      </w:r>
      <w:r>
        <w:rPr>
          <w:color w:val="231F20"/>
          <w:spacing w:val="-13"/>
        </w:rPr>
        <w:t> </w:t>
      </w:r>
      <w:r>
        <w:rPr>
          <w:color w:val="231F20"/>
        </w:rPr>
        <w:t>пути</w:t>
      </w:r>
      <w:r>
        <w:rPr>
          <w:color w:val="231F20"/>
          <w:spacing w:val="-12"/>
        </w:rPr>
        <w:t> </w:t>
      </w:r>
      <w:r>
        <w:rPr>
          <w:color w:val="231F20"/>
        </w:rPr>
        <w:t>в</w:t>
      </w:r>
      <w:r>
        <w:rPr>
          <w:color w:val="231F20"/>
          <w:spacing w:val="-13"/>
        </w:rPr>
        <w:t> </w:t>
      </w:r>
      <w:r>
        <w:rPr>
          <w:color w:val="231F20"/>
        </w:rPr>
        <w:t>контексте</w:t>
      </w:r>
      <w:r>
        <w:rPr>
          <w:color w:val="231F20"/>
          <w:spacing w:val="-12"/>
        </w:rPr>
        <w:t> </w:t>
      </w:r>
      <w:r>
        <w:rPr>
          <w:color w:val="231F20"/>
        </w:rPr>
        <w:t>близких</w:t>
      </w:r>
      <w:r>
        <w:rPr>
          <w:color w:val="231F20"/>
          <w:spacing w:val="-13"/>
        </w:rPr>
        <w:t> </w:t>
      </w:r>
      <w:r>
        <w:rPr>
          <w:color w:val="231F20"/>
        </w:rPr>
        <w:t>межличностных</w:t>
      </w:r>
      <w:r>
        <w:rPr>
          <w:color w:val="231F20"/>
          <w:spacing w:val="-12"/>
        </w:rPr>
        <w:t> </w:t>
      </w:r>
      <w:r>
        <w:rPr>
          <w:color w:val="231F20"/>
        </w:rPr>
        <w:t>отношений</w:t>
      </w:r>
      <w:r>
        <w:rPr>
          <w:color w:val="231F20"/>
          <w:spacing w:val="-13"/>
        </w:rPr>
        <w:t> </w:t>
      </w:r>
      <w:r>
        <w:rPr>
          <w:color w:val="231F20"/>
        </w:rPr>
        <w:t>и</w:t>
      </w:r>
      <w:r>
        <w:rPr>
          <w:color w:val="231F20"/>
          <w:spacing w:val="-12"/>
        </w:rPr>
        <w:t> </w:t>
      </w:r>
      <w:r>
        <w:rPr>
          <w:color w:val="231F20"/>
        </w:rPr>
        <w:t>носят</w:t>
      </w:r>
      <w:r>
        <w:rPr>
          <w:color w:val="231F20"/>
          <w:spacing w:val="-13"/>
        </w:rPr>
        <w:t> </w:t>
      </w:r>
      <w:r>
        <w:rPr>
          <w:color w:val="231F20"/>
        </w:rPr>
        <w:t>повторяющий- ся, пролонгированный характер, например, жестокое обращение с детьми и безнад- зорность (Екимова, Лучникова, 2020).</w:t>
      </w:r>
    </w:p>
    <w:p>
      <w:pPr>
        <w:pStyle w:val="BodyText"/>
        <w:spacing w:line="232" w:lineRule="auto"/>
      </w:pPr>
      <w:r>
        <w:rPr>
          <w:color w:val="231F20"/>
        </w:rPr>
        <w:t>Описаны различия между ПТСР и комплексным ПТСР: (1) лица с комплексным ПТСР</w:t>
      </w:r>
      <w:r>
        <w:rPr>
          <w:color w:val="231F20"/>
          <w:spacing w:val="-4"/>
        </w:rPr>
        <w:t> </w:t>
      </w:r>
      <w:r>
        <w:rPr>
          <w:color w:val="231F20"/>
        </w:rPr>
        <w:t>должны</w:t>
      </w:r>
      <w:r>
        <w:rPr>
          <w:color w:val="231F20"/>
          <w:spacing w:val="-4"/>
        </w:rPr>
        <w:t> </w:t>
      </w:r>
      <w:r>
        <w:rPr>
          <w:color w:val="231F20"/>
        </w:rPr>
        <w:t>иметь</w:t>
      </w:r>
      <w:r>
        <w:rPr>
          <w:color w:val="231F20"/>
          <w:spacing w:val="-4"/>
        </w:rPr>
        <w:t> </w:t>
      </w:r>
      <w:r>
        <w:rPr>
          <w:color w:val="231F20"/>
        </w:rPr>
        <w:t>опыт</w:t>
      </w:r>
      <w:r>
        <w:rPr>
          <w:color w:val="231F20"/>
          <w:spacing w:val="-4"/>
        </w:rPr>
        <w:t> </w:t>
      </w:r>
      <w:r>
        <w:rPr>
          <w:color w:val="231F20"/>
        </w:rPr>
        <w:t>хронической</w:t>
      </w:r>
      <w:r>
        <w:rPr>
          <w:color w:val="231F20"/>
          <w:spacing w:val="-4"/>
        </w:rPr>
        <w:t> </w:t>
      </w:r>
      <w:r>
        <w:rPr>
          <w:color w:val="231F20"/>
        </w:rPr>
        <w:t>(как</w:t>
      </w:r>
      <w:r>
        <w:rPr>
          <w:color w:val="231F20"/>
          <w:spacing w:val="-4"/>
        </w:rPr>
        <w:t> </w:t>
      </w:r>
      <w:r>
        <w:rPr>
          <w:color w:val="231F20"/>
        </w:rPr>
        <w:t>правило,</w:t>
      </w:r>
      <w:r>
        <w:rPr>
          <w:color w:val="231F20"/>
          <w:spacing w:val="-4"/>
        </w:rPr>
        <w:t> </w:t>
      </w:r>
      <w:r>
        <w:rPr>
          <w:color w:val="231F20"/>
        </w:rPr>
        <w:t>межличностной)</w:t>
      </w:r>
      <w:r>
        <w:rPr>
          <w:color w:val="231F20"/>
          <w:spacing w:val="-4"/>
        </w:rPr>
        <w:t> </w:t>
      </w:r>
      <w:r>
        <w:rPr>
          <w:color w:val="231F20"/>
        </w:rPr>
        <w:t>травмы;</w:t>
      </w:r>
      <w:r>
        <w:rPr>
          <w:color w:val="231F20"/>
          <w:spacing w:val="-4"/>
        </w:rPr>
        <w:t> </w:t>
      </w:r>
      <w:r>
        <w:rPr>
          <w:color w:val="231F20"/>
        </w:rPr>
        <w:t>и</w:t>
      </w:r>
      <w:r>
        <w:rPr>
          <w:color w:val="231F20"/>
          <w:spacing w:val="-4"/>
        </w:rPr>
        <w:t> </w:t>
      </w:r>
      <w:r>
        <w:rPr>
          <w:color w:val="231F20"/>
        </w:rPr>
        <w:t>(2) в</w:t>
      </w:r>
      <w:r>
        <w:rPr>
          <w:color w:val="231F20"/>
          <w:spacing w:val="-8"/>
        </w:rPr>
        <w:t> </w:t>
      </w:r>
      <w:r>
        <w:rPr>
          <w:color w:val="231F20"/>
        </w:rPr>
        <w:t>дополнение</w:t>
      </w:r>
      <w:r>
        <w:rPr>
          <w:color w:val="231F20"/>
          <w:spacing w:val="-8"/>
        </w:rPr>
        <w:t> </w:t>
      </w:r>
      <w:r>
        <w:rPr>
          <w:color w:val="231F20"/>
        </w:rPr>
        <w:t>к</w:t>
      </w:r>
      <w:r>
        <w:rPr>
          <w:color w:val="231F20"/>
          <w:spacing w:val="-8"/>
        </w:rPr>
        <w:t> </w:t>
      </w:r>
      <w:r>
        <w:rPr>
          <w:color w:val="231F20"/>
        </w:rPr>
        <w:t>основным</w:t>
      </w:r>
      <w:r>
        <w:rPr>
          <w:color w:val="231F20"/>
          <w:spacing w:val="-8"/>
        </w:rPr>
        <w:t> </w:t>
      </w:r>
      <w:r>
        <w:rPr>
          <w:color w:val="231F20"/>
        </w:rPr>
        <w:t>признакам</w:t>
      </w:r>
      <w:r>
        <w:rPr>
          <w:color w:val="231F20"/>
          <w:spacing w:val="-8"/>
        </w:rPr>
        <w:t> </w:t>
      </w:r>
      <w:r>
        <w:rPr>
          <w:color w:val="231F20"/>
        </w:rPr>
        <w:t>ПТСР,</w:t>
      </w:r>
      <w:r>
        <w:rPr>
          <w:color w:val="231F20"/>
          <w:spacing w:val="-8"/>
        </w:rPr>
        <w:t> </w:t>
      </w:r>
      <w:r>
        <w:rPr>
          <w:color w:val="231F20"/>
        </w:rPr>
        <w:t>таким</w:t>
      </w:r>
      <w:r>
        <w:rPr>
          <w:color w:val="231F20"/>
          <w:spacing w:val="-8"/>
        </w:rPr>
        <w:t> </w:t>
      </w:r>
      <w:r>
        <w:rPr>
          <w:color w:val="231F20"/>
        </w:rPr>
        <w:t>как</w:t>
      </w:r>
      <w:r>
        <w:rPr>
          <w:color w:val="231F20"/>
          <w:spacing w:val="-8"/>
        </w:rPr>
        <w:t> </w:t>
      </w:r>
      <w:r>
        <w:rPr>
          <w:color w:val="231F20"/>
        </w:rPr>
        <w:t>интрузия,</w:t>
      </w:r>
      <w:r>
        <w:rPr>
          <w:color w:val="231F20"/>
          <w:spacing w:val="-8"/>
        </w:rPr>
        <w:t> </w:t>
      </w:r>
      <w:r>
        <w:rPr>
          <w:color w:val="231F20"/>
        </w:rPr>
        <w:t>избегание</w:t>
      </w:r>
      <w:r>
        <w:rPr>
          <w:color w:val="231F20"/>
          <w:spacing w:val="-8"/>
        </w:rPr>
        <w:t> </w:t>
      </w:r>
      <w:r>
        <w:rPr>
          <w:color w:val="231F20"/>
        </w:rPr>
        <w:t>и</w:t>
      </w:r>
      <w:r>
        <w:rPr>
          <w:color w:val="231F20"/>
          <w:spacing w:val="-8"/>
        </w:rPr>
        <w:t> </w:t>
      </w:r>
      <w:r>
        <w:rPr>
          <w:color w:val="231F20"/>
        </w:rPr>
        <w:t>ощуще- ние</w:t>
      </w:r>
      <w:r>
        <w:rPr>
          <w:color w:val="231F20"/>
          <w:spacing w:val="3"/>
        </w:rPr>
        <w:t> </w:t>
      </w:r>
      <w:r>
        <w:rPr>
          <w:color w:val="231F20"/>
        </w:rPr>
        <w:t>угрозы,</w:t>
      </w:r>
      <w:r>
        <w:rPr>
          <w:color w:val="231F20"/>
          <w:spacing w:val="4"/>
        </w:rPr>
        <w:t> </w:t>
      </w:r>
      <w:r>
        <w:rPr>
          <w:color w:val="231F20"/>
        </w:rPr>
        <w:t>люди</w:t>
      </w:r>
      <w:r>
        <w:rPr>
          <w:color w:val="231F20"/>
          <w:spacing w:val="4"/>
        </w:rPr>
        <w:t> </w:t>
      </w:r>
      <w:r>
        <w:rPr>
          <w:color w:val="231F20"/>
        </w:rPr>
        <w:t>с</w:t>
      </w:r>
      <w:r>
        <w:rPr>
          <w:color w:val="231F20"/>
          <w:spacing w:val="3"/>
        </w:rPr>
        <w:t> </w:t>
      </w:r>
      <w:r>
        <w:rPr>
          <w:color w:val="231F20"/>
        </w:rPr>
        <w:t>комплексным</w:t>
      </w:r>
      <w:r>
        <w:rPr>
          <w:color w:val="231F20"/>
          <w:spacing w:val="4"/>
        </w:rPr>
        <w:t> </w:t>
      </w:r>
      <w:r>
        <w:rPr>
          <w:color w:val="231F20"/>
        </w:rPr>
        <w:t>ПТСР</w:t>
      </w:r>
      <w:r>
        <w:rPr>
          <w:color w:val="231F20"/>
          <w:spacing w:val="4"/>
        </w:rPr>
        <w:t> </w:t>
      </w:r>
      <w:r>
        <w:rPr>
          <w:color w:val="231F20"/>
        </w:rPr>
        <w:t>должны</w:t>
      </w:r>
      <w:r>
        <w:rPr>
          <w:color w:val="231F20"/>
          <w:spacing w:val="3"/>
        </w:rPr>
        <w:t> </w:t>
      </w:r>
      <w:r>
        <w:rPr>
          <w:color w:val="231F20"/>
        </w:rPr>
        <w:t>также</w:t>
      </w:r>
      <w:r>
        <w:rPr>
          <w:color w:val="231F20"/>
          <w:spacing w:val="4"/>
        </w:rPr>
        <w:t> </w:t>
      </w:r>
      <w:r>
        <w:rPr>
          <w:color w:val="231F20"/>
        </w:rPr>
        <w:t>демонстрировать</w:t>
      </w:r>
      <w:r>
        <w:rPr>
          <w:color w:val="231F20"/>
          <w:spacing w:val="4"/>
        </w:rPr>
        <w:t> </w:t>
      </w:r>
      <w:r>
        <w:rPr>
          <w:color w:val="231F20"/>
        </w:rPr>
        <w:t>ярко</w:t>
      </w:r>
      <w:r>
        <w:rPr>
          <w:color w:val="231F20"/>
          <w:spacing w:val="4"/>
        </w:rPr>
        <w:t> </w:t>
      </w:r>
      <w:r>
        <w:rPr>
          <w:color w:val="231F20"/>
          <w:spacing w:val="-2"/>
        </w:rPr>
        <w:t>выра-</w:t>
      </w:r>
    </w:p>
    <w:p>
      <w:pPr>
        <w:pStyle w:val="BodyText"/>
        <w:spacing w:after="0" w:line="232" w:lineRule="auto"/>
        <w:sectPr>
          <w:pgSz w:w="8400" w:h="11910"/>
          <w:pgMar w:header="0" w:footer="528"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line="235" w:lineRule="auto" w:before="116"/>
        <w:ind w:firstLine="0"/>
      </w:pPr>
      <w:r>
        <w:rPr>
          <w:color w:val="231F20"/>
        </w:rPr>
        <w:t>женные черты аффективной дисрегуляции, негативной Я-концепции и нарушений в сфере</w:t>
      </w:r>
      <w:r>
        <w:rPr>
          <w:color w:val="231F20"/>
          <w:spacing w:val="-13"/>
        </w:rPr>
        <w:t> </w:t>
      </w:r>
      <w:r>
        <w:rPr>
          <w:color w:val="231F20"/>
        </w:rPr>
        <w:t>межличностных</w:t>
      </w:r>
      <w:r>
        <w:rPr>
          <w:color w:val="231F20"/>
          <w:spacing w:val="-12"/>
        </w:rPr>
        <w:t> </w:t>
      </w:r>
      <w:r>
        <w:rPr>
          <w:color w:val="231F20"/>
        </w:rPr>
        <w:t>отношений</w:t>
      </w:r>
      <w:r>
        <w:rPr>
          <w:color w:val="231F20"/>
          <w:spacing w:val="-13"/>
        </w:rPr>
        <w:t> </w:t>
      </w:r>
      <w:r>
        <w:rPr>
          <w:color w:val="231F20"/>
        </w:rPr>
        <w:t>(Cloitre,</w:t>
      </w:r>
      <w:r>
        <w:rPr>
          <w:color w:val="231F20"/>
          <w:spacing w:val="-12"/>
        </w:rPr>
        <w:t> </w:t>
      </w:r>
      <w:r>
        <w:rPr>
          <w:color w:val="231F20"/>
        </w:rPr>
        <w:t>Garvert,</w:t>
      </w:r>
      <w:r>
        <w:rPr>
          <w:color w:val="231F20"/>
          <w:spacing w:val="-13"/>
        </w:rPr>
        <w:t> </w:t>
      </w:r>
      <w:r>
        <w:rPr>
          <w:color w:val="231F20"/>
        </w:rPr>
        <w:t>Brewin,</w:t>
      </w:r>
      <w:r>
        <w:rPr>
          <w:color w:val="231F20"/>
          <w:spacing w:val="-12"/>
        </w:rPr>
        <w:t> </w:t>
      </w:r>
      <w:r>
        <w:rPr>
          <w:color w:val="231F20"/>
        </w:rPr>
        <w:t>Bryant,</w:t>
      </w:r>
      <w:r>
        <w:rPr>
          <w:color w:val="231F20"/>
          <w:spacing w:val="-13"/>
        </w:rPr>
        <w:t> </w:t>
      </w:r>
      <w:r>
        <w:rPr>
          <w:color w:val="231F20"/>
        </w:rPr>
        <w:t>&amp;</w:t>
      </w:r>
      <w:r>
        <w:rPr>
          <w:color w:val="231F20"/>
          <w:spacing w:val="-12"/>
        </w:rPr>
        <w:t> </w:t>
      </w:r>
      <w:r>
        <w:rPr>
          <w:color w:val="231F20"/>
        </w:rPr>
        <w:t>Maercker,</w:t>
      </w:r>
      <w:r>
        <w:rPr>
          <w:color w:val="231F20"/>
          <w:spacing w:val="-13"/>
        </w:rPr>
        <w:t> </w:t>
      </w:r>
      <w:r>
        <w:rPr>
          <w:color w:val="231F20"/>
        </w:rPr>
        <w:t>2013). Дети и подростки с комплексным ПТСР также часто демонстрируют диссоциацию</w:t>
      </w:r>
      <w:r>
        <w:rPr>
          <w:color w:val="231F20"/>
          <w:vertAlign w:val="superscript"/>
        </w:rPr>
        <w:t>1</w:t>
      </w:r>
      <w:r>
        <w:rPr>
          <w:color w:val="231F20"/>
          <w:vertAlign w:val="baseline"/>
        </w:rPr>
        <w:t>, биологические нарушения и поведение, сопряженное с риском.</w:t>
      </w:r>
    </w:p>
    <w:p>
      <w:pPr>
        <w:pStyle w:val="BodyText"/>
        <w:jc w:val="right"/>
      </w:pPr>
      <w:r>
        <w:rPr>
          <w:color w:val="231F20"/>
          <w:spacing w:val="-2"/>
        </w:rPr>
        <w:t>Подчеркнем, что посттравматическое стрессовое расстройство представляет собой медицинский</w:t>
      </w:r>
      <w:r>
        <w:rPr>
          <w:color w:val="231F20"/>
          <w:spacing w:val="-3"/>
        </w:rPr>
        <w:t> </w:t>
      </w:r>
      <w:r>
        <w:rPr>
          <w:color w:val="231F20"/>
          <w:spacing w:val="-2"/>
        </w:rPr>
        <w:t>диагноз, поставить</w:t>
      </w:r>
      <w:r>
        <w:rPr>
          <w:color w:val="231F20"/>
          <w:spacing w:val="-3"/>
        </w:rPr>
        <w:t> </w:t>
      </w:r>
      <w:r>
        <w:rPr>
          <w:color w:val="231F20"/>
          <w:spacing w:val="-2"/>
        </w:rPr>
        <w:t>который</w:t>
      </w:r>
      <w:r>
        <w:rPr>
          <w:color w:val="231F20"/>
          <w:spacing w:val="-3"/>
        </w:rPr>
        <w:t> </w:t>
      </w:r>
      <w:r>
        <w:rPr>
          <w:color w:val="231F20"/>
          <w:spacing w:val="-2"/>
        </w:rPr>
        <w:t>имеет право исключительно врач-психиатр. </w:t>
      </w:r>
      <w:r>
        <w:rPr>
          <w:color w:val="231F20"/>
        </w:rPr>
        <w:t>Признано</w:t>
      </w:r>
      <w:r>
        <w:rPr>
          <w:color w:val="231F20"/>
          <w:spacing w:val="40"/>
        </w:rPr>
        <w:t> </w:t>
      </w:r>
      <w:r>
        <w:rPr>
          <w:color w:val="231F20"/>
        </w:rPr>
        <w:t>также,</w:t>
      </w:r>
      <w:r>
        <w:rPr>
          <w:color w:val="231F20"/>
          <w:spacing w:val="40"/>
        </w:rPr>
        <w:t> </w:t>
      </w:r>
      <w:r>
        <w:rPr>
          <w:color w:val="231F20"/>
        </w:rPr>
        <w:t>что</w:t>
      </w:r>
      <w:r>
        <w:rPr>
          <w:color w:val="231F20"/>
          <w:spacing w:val="40"/>
        </w:rPr>
        <w:t> </w:t>
      </w:r>
      <w:r>
        <w:rPr>
          <w:color w:val="231F20"/>
        </w:rPr>
        <w:t>посттравматическое</w:t>
      </w:r>
      <w:r>
        <w:rPr>
          <w:color w:val="231F20"/>
          <w:spacing w:val="40"/>
        </w:rPr>
        <w:t> </w:t>
      </w:r>
      <w:r>
        <w:rPr>
          <w:color w:val="231F20"/>
        </w:rPr>
        <w:t>стрессовое</w:t>
      </w:r>
      <w:r>
        <w:rPr>
          <w:color w:val="231F20"/>
          <w:spacing w:val="40"/>
        </w:rPr>
        <w:t> </w:t>
      </w:r>
      <w:r>
        <w:rPr>
          <w:color w:val="231F20"/>
        </w:rPr>
        <w:t>расстройство</w:t>
      </w:r>
      <w:r>
        <w:rPr>
          <w:color w:val="231F20"/>
          <w:spacing w:val="40"/>
        </w:rPr>
        <w:t> </w:t>
      </w:r>
      <w:r>
        <w:rPr>
          <w:color w:val="231F20"/>
        </w:rPr>
        <w:t>может</w:t>
      </w:r>
      <w:r>
        <w:rPr>
          <w:color w:val="231F20"/>
          <w:spacing w:val="40"/>
        </w:rPr>
        <w:t> </w:t>
      </w:r>
      <w:r>
        <w:rPr>
          <w:color w:val="231F20"/>
        </w:rPr>
        <w:t>раз- виться</w:t>
      </w:r>
      <w:r>
        <w:rPr>
          <w:color w:val="231F20"/>
          <w:spacing w:val="25"/>
        </w:rPr>
        <w:t> </w:t>
      </w:r>
      <w:r>
        <w:rPr>
          <w:color w:val="231F20"/>
        </w:rPr>
        <w:t>не</w:t>
      </w:r>
      <w:r>
        <w:rPr>
          <w:color w:val="231F20"/>
          <w:spacing w:val="25"/>
        </w:rPr>
        <w:t> </w:t>
      </w:r>
      <w:r>
        <w:rPr>
          <w:color w:val="231F20"/>
        </w:rPr>
        <w:t>только</w:t>
      </w:r>
      <w:r>
        <w:rPr>
          <w:color w:val="231F20"/>
          <w:spacing w:val="25"/>
        </w:rPr>
        <w:t> </w:t>
      </w:r>
      <w:r>
        <w:rPr>
          <w:color w:val="231F20"/>
        </w:rPr>
        <w:t>у</w:t>
      </w:r>
      <w:r>
        <w:rPr>
          <w:color w:val="231F20"/>
          <w:spacing w:val="25"/>
        </w:rPr>
        <w:t> </w:t>
      </w:r>
      <w:r>
        <w:rPr>
          <w:color w:val="231F20"/>
        </w:rPr>
        <w:t>участников,</w:t>
      </w:r>
      <w:r>
        <w:rPr>
          <w:color w:val="231F20"/>
          <w:spacing w:val="25"/>
        </w:rPr>
        <w:t> </w:t>
      </w:r>
      <w:r>
        <w:rPr>
          <w:color w:val="231F20"/>
        </w:rPr>
        <w:t>но</w:t>
      </w:r>
      <w:r>
        <w:rPr>
          <w:color w:val="231F20"/>
          <w:spacing w:val="25"/>
        </w:rPr>
        <w:t> </w:t>
      </w:r>
      <w:r>
        <w:rPr>
          <w:color w:val="231F20"/>
        </w:rPr>
        <w:t>и</w:t>
      </w:r>
      <w:r>
        <w:rPr>
          <w:color w:val="231F20"/>
          <w:spacing w:val="25"/>
        </w:rPr>
        <w:t> </w:t>
      </w:r>
      <w:r>
        <w:rPr>
          <w:color w:val="231F20"/>
        </w:rPr>
        <w:t>у</w:t>
      </w:r>
      <w:r>
        <w:rPr>
          <w:color w:val="231F20"/>
          <w:spacing w:val="25"/>
        </w:rPr>
        <w:t> </w:t>
      </w:r>
      <w:r>
        <w:rPr>
          <w:color w:val="231F20"/>
        </w:rPr>
        <w:t>свидетелей</w:t>
      </w:r>
      <w:r>
        <w:rPr>
          <w:color w:val="231F20"/>
          <w:spacing w:val="25"/>
        </w:rPr>
        <w:t> </w:t>
      </w:r>
      <w:r>
        <w:rPr>
          <w:color w:val="231F20"/>
        </w:rPr>
        <w:t>экстремальных</w:t>
      </w:r>
      <w:r>
        <w:rPr>
          <w:color w:val="231F20"/>
          <w:spacing w:val="25"/>
        </w:rPr>
        <w:t> </w:t>
      </w:r>
      <w:r>
        <w:rPr>
          <w:color w:val="231F20"/>
        </w:rPr>
        <w:t>травматических событий, связанных с реальной или потенциальной угрозой жизни либо тяжелыми последствиями</w:t>
      </w:r>
      <w:r>
        <w:rPr>
          <w:color w:val="231F20"/>
          <w:spacing w:val="23"/>
        </w:rPr>
        <w:t> </w:t>
      </w:r>
      <w:r>
        <w:rPr>
          <w:color w:val="231F20"/>
        </w:rPr>
        <w:t>для</w:t>
      </w:r>
      <w:r>
        <w:rPr>
          <w:color w:val="231F20"/>
          <w:spacing w:val="26"/>
        </w:rPr>
        <w:t> </w:t>
      </w:r>
      <w:r>
        <w:rPr>
          <w:color w:val="231F20"/>
        </w:rPr>
        <w:t>себя</w:t>
      </w:r>
      <w:r>
        <w:rPr>
          <w:color w:val="231F20"/>
          <w:spacing w:val="26"/>
        </w:rPr>
        <w:t> </w:t>
      </w:r>
      <w:r>
        <w:rPr>
          <w:color w:val="231F20"/>
        </w:rPr>
        <w:t>и</w:t>
      </w:r>
      <w:r>
        <w:rPr>
          <w:color w:val="231F20"/>
          <w:spacing w:val="26"/>
        </w:rPr>
        <w:t> </w:t>
      </w:r>
      <w:r>
        <w:rPr>
          <w:color w:val="231F20"/>
        </w:rPr>
        <w:t>других,</w:t>
      </w:r>
      <w:r>
        <w:rPr>
          <w:color w:val="231F20"/>
          <w:spacing w:val="26"/>
        </w:rPr>
        <w:t> </w:t>
      </w:r>
      <w:r>
        <w:rPr>
          <w:color w:val="231F20"/>
        </w:rPr>
        <w:t>если</w:t>
      </w:r>
      <w:r>
        <w:rPr>
          <w:color w:val="231F20"/>
          <w:spacing w:val="25"/>
        </w:rPr>
        <w:t> </w:t>
      </w:r>
      <w:r>
        <w:rPr>
          <w:color w:val="231F20"/>
        </w:rPr>
        <w:t>реакцией</w:t>
      </w:r>
      <w:r>
        <w:rPr>
          <w:color w:val="231F20"/>
          <w:spacing w:val="26"/>
        </w:rPr>
        <w:t> </w:t>
      </w:r>
      <w:r>
        <w:rPr>
          <w:color w:val="231F20"/>
        </w:rPr>
        <w:t>на</w:t>
      </w:r>
      <w:r>
        <w:rPr>
          <w:color w:val="231F20"/>
          <w:spacing w:val="26"/>
        </w:rPr>
        <w:t> </w:t>
      </w:r>
      <w:r>
        <w:rPr>
          <w:color w:val="231F20"/>
        </w:rPr>
        <w:t>происходящее</w:t>
      </w:r>
      <w:r>
        <w:rPr>
          <w:color w:val="231F20"/>
          <w:spacing w:val="26"/>
        </w:rPr>
        <w:t> </w:t>
      </w:r>
      <w:r>
        <w:rPr>
          <w:color w:val="231F20"/>
        </w:rPr>
        <w:t>были</w:t>
      </w:r>
      <w:r>
        <w:rPr>
          <w:color w:val="231F20"/>
          <w:spacing w:val="26"/>
        </w:rPr>
        <w:t> </w:t>
      </w:r>
      <w:r>
        <w:rPr>
          <w:color w:val="231F20"/>
          <w:spacing w:val="-2"/>
        </w:rPr>
        <w:t>сильный</w:t>
      </w:r>
    </w:p>
    <w:p>
      <w:pPr>
        <w:pStyle w:val="BodyText"/>
        <w:spacing w:line="217" w:lineRule="exact"/>
        <w:ind w:right="0" w:firstLine="0"/>
      </w:pPr>
      <w:r>
        <w:rPr>
          <w:color w:val="231F20"/>
        </w:rPr>
        <w:t>страх</w:t>
      </w:r>
      <w:r>
        <w:rPr>
          <w:color w:val="231F20"/>
          <w:spacing w:val="-3"/>
        </w:rPr>
        <w:t> </w:t>
      </w:r>
      <w:r>
        <w:rPr>
          <w:color w:val="231F20"/>
        </w:rPr>
        <w:t>и</w:t>
      </w:r>
      <w:r>
        <w:rPr>
          <w:color w:val="231F20"/>
          <w:spacing w:val="-2"/>
        </w:rPr>
        <w:t> </w:t>
      </w:r>
      <w:r>
        <w:rPr>
          <w:color w:val="231F20"/>
        </w:rPr>
        <w:t>чувство</w:t>
      </w:r>
      <w:r>
        <w:rPr>
          <w:color w:val="231F20"/>
          <w:spacing w:val="-2"/>
        </w:rPr>
        <w:t> беспомощности.</w:t>
      </w:r>
    </w:p>
    <w:p>
      <w:pPr>
        <w:pStyle w:val="BodyText"/>
      </w:pPr>
      <w:r>
        <w:rPr>
          <w:color w:val="231F20"/>
        </w:rPr>
        <w:t>Исследование</w:t>
      </w:r>
      <w:r>
        <w:rPr>
          <w:color w:val="231F20"/>
          <w:spacing w:val="-6"/>
        </w:rPr>
        <w:t> </w:t>
      </w:r>
      <w:r>
        <w:rPr>
          <w:color w:val="231F20"/>
        </w:rPr>
        <w:t>Ieva</w:t>
      </w:r>
      <w:r>
        <w:rPr>
          <w:color w:val="231F20"/>
          <w:spacing w:val="-6"/>
        </w:rPr>
        <w:t> </w:t>
      </w:r>
      <w:r>
        <w:rPr>
          <w:color w:val="231F20"/>
        </w:rPr>
        <w:t>Daniunaite,</w:t>
      </w:r>
      <w:r>
        <w:rPr>
          <w:color w:val="231F20"/>
          <w:spacing w:val="-7"/>
        </w:rPr>
        <w:t> </w:t>
      </w:r>
      <w:r>
        <w:rPr>
          <w:color w:val="231F20"/>
        </w:rPr>
        <w:t>Marylene</w:t>
      </w:r>
      <w:r>
        <w:rPr>
          <w:color w:val="231F20"/>
          <w:spacing w:val="-6"/>
        </w:rPr>
        <w:t> </w:t>
      </w:r>
      <w:r>
        <w:rPr>
          <w:color w:val="231F20"/>
        </w:rPr>
        <w:t>Cloitre,</w:t>
      </w:r>
      <w:r>
        <w:rPr>
          <w:color w:val="231F20"/>
          <w:spacing w:val="-9"/>
        </w:rPr>
        <w:t> </w:t>
      </w:r>
      <w:r>
        <w:rPr>
          <w:color w:val="231F20"/>
        </w:rPr>
        <w:t>Thanos</w:t>
      </w:r>
      <w:r>
        <w:rPr>
          <w:color w:val="231F20"/>
          <w:spacing w:val="-6"/>
        </w:rPr>
        <w:t> </w:t>
      </w:r>
      <w:r>
        <w:rPr>
          <w:color w:val="231F20"/>
        </w:rPr>
        <w:t>Karatzias</w:t>
      </w:r>
      <w:r>
        <w:rPr>
          <w:color w:val="231F20"/>
          <w:spacing w:val="-7"/>
        </w:rPr>
        <w:t> </w:t>
      </w:r>
      <w:r>
        <w:rPr>
          <w:color w:val="231F20"/>
        </w:rPr>
        <w:t>и</w:t>
      </w:r>
      <w:r>
        <w:rPr>
          <w:color w:val="231F20"/>
          <w:spacing w:val="-6"/>
        </w:rPr>
        <w:t> </w:t>
      </w:r>
      <w:r>
        <w:rPr>
          <w:color w:val="231F20"/>
        </w:rPr>
        <w:t>др.</w:t>
      </w:r>
      <w:r>
        <w:rPr>
          <w:color w:val="231F20"/>
          <w:spacing w:val="-6"/>
        </w:rPr>
        <w:t> </w:t>
      </w:r>
      <w:r>
        <w:rPr>
          <w:color w:val="231F20"/>
        </w:rPr>
        <w:t>также</w:t>
      </w:r>
      <w:r>
        <w:rPr>
          <w:color w:val="231F20"/>
          <w:spacing w:val="-6"/>
        </w:rPr>
        <w:t> </w:t>
      </w:r>
      <w:r>
        <w:rPr>
          <w:color w:val="231F20"/>
        </w:rPr>
        <w:t>пока- </w:t>
      </w:r>
      <w:r>
        <w:rPr>
          <w:color w:val="231F20"/>
          <w:spacing w:val="-2"/>
        </w:rPr>
        <w:t>зывает,</w:t>
      </w:r>
      <w:r>
        <w:rPr>
          <w:color w:val="231F20"/>
          <w:spacing w:val="-10"/>
        </w:rPr>
        <w:t> </w:t>
      </w:r>
      <w:r>
        <w:rPr>
          <w:color w:val="231F20"/>
          <w:spacing w:val="-2"/>
        </w:rPr>
        <w:t>что</w:t>
      </w:r>
      <w:r>
        <w:rPr>
          <w:color w:val="231F20"/>
          <w:spacing w:val="-10"/>
        </w:rPr>
        <w:t> </w:t>
      </w:r>
      <w:r>
        <w:rPr>
          <w:color w:val="231F20"/>
          <w:spacing w:val="-2"/>
        </w:rPr>
        <w:t>проявление</w:t>
      </w:r>
      <w:r>
        <w:rPr>
          <w:color w:val="231F20"/>
          <w:spacing w:val="-10"/>
        </w:rPr>
        <w:t> </w:t>
      </w:r>
      <w:r>
        <w:rPr>
          <w:color w:val="231F20"/>
          <w:spacing w:val="-2"/>
        </w:rPr>
        <w:t>симптомов</w:t>
      </w:r>
      <w:r>
        <w:rPr>
          <w:color w:val="231F20"/>
          <w:spacing w:val="-10"/>
        </w:rPr>
        <w:t> </w:t>
      </w:r>
      <w:r>
        <w:rPr>
          <w:color w:val="231F20"/>
          <w:spacing w:val="-2"/>
        </w:rPr>
        <w:t>ПТСР</w:t>
      </w:r>
      <w:r>
        <w:rPr>
          <w:color w:val="231F20"/>
          <w:spacing w:val="-10"/>
        </w:rPr>
        <w:t> </w:t>
      </w:r>
      <w:r>
        <w:rPr>
          <w:color w:val="231F20"/>
          <w:spacing w:val="-2"/>
        </w:rPr>
        <w:t>и</w:t>
      </w:r>
      <w:r>
        <w:rPr>
          <w:color w:val="231F20"/>
          <w:spacing w:val="-10"/>
        </w:rPr>
        <w:t> </w:t>
      </w:r>
      <w:r>
        <w:rPr>
          <w:color w:val="231F20"/>
          <w:spacing w:val="-2"/>
        </w:rPr>
        <w:t>КПТСР</w:t>
      </w:r>
      <w:r>
        <w:rPr>
          <w:color w:val="231F20"/>
          <w:spacing w:val="-10"/>
        </w:rPr>
        <w:t> </w:t>
      </w:r>
      <w:r>
        <w:rPr>
          <w:color w:val="231F20"/>
          <w:spacing w:val="-2"/>
        </w:rPr>
        <w:t>в</w:t>
      </w:r>
      <w:r>
        <w:rPr>
          <w:color w:val="231F20"/>
          <w:spacing w:val="-10"/>
        </w:rPr>
        <w:t> </w:t>
      </w:r>
      <w:r>
        <w:rPr>
          <w:color w:val="231F20"/>
          <w:spacing w:val="-2"/>
        </w:rPr>
        <w:t>детском</w:t>
      </w:r>
      <w:r>
        <w:rPr>
          <w:color w:val="231F20"/>
          <w:spacing w:val="-10"/>
        </w:rPr>
        <w:t> </w:t>
      </w:r>
      <w:r>
        <w:rPr>
          <w:color w:val="231F20"/>
          <w:spacing w:val="-2"/>
        </w:rPr>
        <w:t>и</w:t>
      </w:r>
      <w:r>
        <w:rPr>
          <w:color w:val="231F20"/>
          <w:spacing w:val="-10"/>
        </w:rPr>
        <w:t> </w:t>
      </w:r>
      <w:r>
        <w:rPr>
          <w:color w:val="231F20"/>
          <w:spacing w:val="-2"/>
        </w:rPr>
        <w:t>подростковом</w:t>
      </w:r>
      <w:r>
        <w:rPr>
          <w:color w:val="231F20"/>
          <w:spacing w:val="-10"/>
        </w:rPr>
        <w:t> </w:t>
      </w:r>
      <w:r>
        <w:rPr>
          <w:color w:val="231F20"/>
          <w:spacing w:val="-2"/>
        </w:rPr>
        <w:t>возрасте </w:t>
      </w:r>
      <w:r>
        <w:rPr>
          <w:color w:val="231F20"/>
        </w:rPr>
        <w:t>различается</w:t>
      </w:r>
      <w:r>
        <w:rPr>
          <w:color w:val="231F20"/>
          <w:spacing w:val="-5"/>
        </w:rPr>
        <w:t> </w:t>
      </w:r>
      <w:r>
        <w:rPr>
          <w:color w:val="231F20"/>
        </w:rPr>
        <w:t>в</w:t>
      </w:r>
      <w:r>
        <w:rPr>
          <w:color w:val="231F20"/>
          <w:spacing w:val="-5"/>
        </w:rPr>
        <w:t> </w:t>
      </w:r>
      <w:r>
        <w:rPr>
          <w:color w:val="231F20"/>
        </w:rPr>
        <w:t>зависимости</w:t>
      </w:r>
      <w:r>
        <w:rPr>
          <w:color w:val="231F20"/>
          <w:spacing w:val="-5"/>
        </w:rPr>
        <w:t> </w:t>
      </w:r>
      <w:r>
        <w:rPr>
          <w:color w:val="231F20"/>
        </w:rPr>
        <w:t>от</w:t>
      </w:r>
      <w:r>
        <w:rPr>
          <w:color w:val="231F20"/>
          <w:spacing w:val="-5"/>
        </w:rPr>
        <w:t> </w:t>
      </w:r>
      <w:r>
        <w:rPr>
          <w:color w:val="231F20"/>
        </w:rPr>
        <w:t>того,</w:t>
      </w:r>
      <w:r>
        <w:rPr>
          <w:color w:val="231F20"/>
          <w:spacing w:val="-5"/>
        </w:rPr>
        <w:t> </w:t>
      </w:r>
      <w:r>
        <w:rPr>
          <w:color w:val="231F20"/>
        </w:rPr>
        <w:t>в</w:t>
      </w:r>
      <w:r>
        <w:rPr>
          <w:color w:val="231F20"/>
          <w:spacing w:val="-5"/>
        </w:rPr>
        <w:t> </w:t>
      </w:r>
      <w:r>
        <w:rPr>
          <w:color w:val="231F20"/>
        </w:rPr>
        <w:t>какой</w:t>
      </w:r>
      <w:r>
        <w:rPr>
          <w:color w:val="231F20"/>
          <w:spacing w:val="-5"/>
        </w:rPr>
        <w:t> </w:t>
      </w:r>
      <w:r>
        <w:rPr>
          <w:color w:val="231F20"/>
        </w:rPr>
        <w:t>социальной</w:t>
      </w:r>
      <w:r>
        <w:rPr>
          <w:color w:val="231F20"/>
          <w:spacing w:val="-5"/>
        </w:rPr>
        <w:t> </w:t>
      </w:r>
      <w:r>
        <w:rPr>
          <w:color w:val="231F20"/>
        </w:rPr>
        <w:t>ситуации</w:t>
      </w:r>
      <w:r>
        <w:rPr>
          <w:color w:val="231F20"/>
          <w:spacing w:val="-5"/>
        </w:rPr>
        <w:t> </w:t>
      </w:r>
      <w:r>
        <w:rPr>
          <w:color w:val="231F20"/>
        </w:rPr>
        <w:t>находится</w:t>
      </w:r>
      <w:r>
        <w:rPr>
          <w:color w:val="231F20"/>
          <w:spacing w:val="-5"/>
        </w:rPr>
        <w:t> </w:t>
      </w:r>
      <w:r>
        <w:rPr>
          <w:color w:val="231F20"/>
        </w:rPr>
        <w:t>ребенок. Состояние</w:t>
      </w:r>
      <w:r>
        <w:rPr>
          <w:color w:val="231F20"/>
          <w:spacing w:val="-4"/>
        </w:rPr>
        <w:t> </w:t>
      </w:r>
      <w:r>
        <w:rPr>
          <w:color w:val="231F20"/>
        </w:rPr>
        <w:t>ухудшается</w:t>
      </w:r>
      <w:r>
        <w:rPr>
          <w:color w:val="231F20"/>
          <w:spacing w:val="-4"/>
        </w:rPr>
        <w:t> </w:t>
      </w:r>
      <w:r>
        <w:rPr>
          <w:color w:val="231F20"/>
        </w:rPr>
        <w:t>при</w:t>
      </w:r>
      <w:r>
        <w:rPr>
          <w:color w:val="231F20"/>
          <w:spacing w:val="-4"/>
        </w:rPr>
        <w:t> </w:t>
      </w:r>
      <w:r>
        <w:rPr>
          <w:color w:val="231F20"/>
        </w:rPr>
        <w:t>обнаружении</w:t>
      </w:r>
      <w:r>
        <w:rPr>
          <w:color w:val="231F20"/>
          <w:spacing w:val="-4"/>
        </w:rPr>
        <w:t> </w:t>
      </w:r>
      <w:r>
        <w:rPr>
          <w:color w:val="231F20"/>
        </w:rPr>
        <w:t>семейных</w:t>
      </w:r>
      <w:r>
        <w:rPr>
          <w:color w:val="231F20"/>
          <w:spacing w:val="-4"/>
        </w:rPr>
        <w:t> </w:t>
      </w:r>
      <w:r>
        <w:rPr>
          <w:color w:val="231F20"/>
        </w:rPr>
        <w:t>проблем</w:t>
      </w:r>
      <w:r>
        <w:rPr>
          <w:color w:val="231F20"/>
          <w:spacing w:val="-4"/>
        </w:rPr>
        <w:t> </w:t>
      </w:r>
      <w:r>
        <w:rPr>
          <w:color w:val="231F20"/>
        </w:rPr>
        <w:t>(таких,</w:t>
      </w:r>
      <w:r>
        <w:rPr>
          <w:color w:val="231F20"/>
          <w:spacing w:val="-4"/>
        </w:rPr>
        <w:t> </w:t>
      </w:r>
      <w:r>
        <w:rPr>
          <w:color w:val="231F20"/>
        </w:rPr>
        <w:t>как</w:t>
      </w:r>
      <w:r>
        <w:rPr>
          <w:color w:val="231F20"/>
          <w:spacing w:val="-4"/>
        </w:rPr>
        <w:t> </w:t>
      </w:r>
      <w:r>
        <w:rPr>
          <w:color w:val="231F20"/>
        </w:rPr>
        <w:t>финансовые трудности и конфликты в доме), школьных проблем (запугивание и трудности в об- учении) и отсутствия социальной поддержки (Daniunaite, Cloitre, Karatzias, 2021).</w:t>
      </w:r>
    </w:p>
    <w:p>
      <w:pPr>
        <w:pStyle w:val="BodyText"/>
      </w:pPr>
      <w:r>
        <w:rPr>
          <w:color w:val="231F20"/>
        </w:rPr>
        <w:t>Справедливо</w:t>
      </w:r>
      <w:r>
        <w:rPr>
          <w:color w:val="231F20"/>
          <w:spacing w:val="-5"/>
        </w:rPr>
        <w:t> </w:t>
      </w:r>
      <w:r>
        <w:rPr>
          <w:color w:val="231F20"/>
        </w:rPr>
        <w:t>будет</w:t>
      </w:r>
      <w:r>
        <w:rPr>
          <w:color w:val="231F20"/>
          <w:spacing w:val="-6"/>
        </w:rPr>
        <w:t> </w:t>
      </w:r>
      <w:r>
        <w:rPr>
          <w:color w:val="231F20"/>
        </w:rPr>
        <w:t>сказать,</w:t>
      </w:r>
      <w:r>
        <w:rPr>
          <w:color w:val="231F20"/>
          <w:spacing w:val="-6"/>
        </w:rPr>
        <w:t> </w:t>
      </w:r>
      <w:r>
        <w:rPr>
          <w:color w:val="231F20"/>
        </w:rPr>
        <w:t>что</w:t>
      </w:r>
      <w:r>
        <w:rPr>
          <w:color w:val="231F20"/>
          <w:spacing w:val="-6"/>
        </w:rPr>
        <w:t> </w:t>
      </w:r>
      <w:r>
        <w:rPr>
          <w:color w:val="231F20"/>
        </w:rPr>
        <w:t>не</w:t>
      </w:r>
      <w:r>
        <w:rPr>
          <w:color w:val="231F20"/>
          <w:spacing w:val="-6"/>
        </w:rPr>
        <w:t> </w:t>
      </w:r>
      <w:r>
        <w:rPr>
          <w:color w:val="231F20"/>
        </w:rPr>
        <w:t>каждый</w:t>
      </w:r>
      <w:r>
        <w:rPr>
          <w:color w:val="231F20"/>
          <w:spacing w:val="-6"/>
        </w:rPr>
        <w:t> </w:t>
      </w:r>
      <w:r>
        <w:rPr>
          <w:color w:val="231F20"/>
        </w:rPr>
        <w:t>переживаемый</w:t>
      </w:r>
      <w:r>
        <w:rPr>
          <w:color w:val="231F20"/>
          <w:spacing w:val="-6"/>
        </w:rPr>
        <w:t> </w:t>
      </w:r>
      <w:r>
        <w:rPr>
          <w:color w:val="231F20"/>
        </w:rPr>
        <w:t>стресс</w:t>
      </w:r>
      <w:r>
        <w:rPr>
          <w:color w:val="231F20"/>
          <w:spacing w:val="-6"/>
        </w:rPr>
        <w:t> </w:t>
      </w:r>
      <w:r>
        <w:rPr>
          <w:color w:val="231F20"/>
        </w:rPr>
        <w:t>приводит</w:t>
      </w:r>
      <w:r>
        <w:rPr>
          <w:color w:val="231F20"/>
          <w:spacing w:val="-6"/>
        </w:rPr>
        <w:t> </w:t>
      </w:r>
      <w:r>
        <w:rPr>
          <w:color w:val="231F20"/>
        </w:rPr>
        <w:t>к</w:t>
      </w:r>
      <w:r>
        <w:rPr>
          <w:color w:val="231F20"/>
          <w:spacing w:val="-6"/>
        </w:rPr>
        <w:t> </w:t>
      </w:r>
      <w:r>
        <w:rPr>
          <w:color w:val="231F20"/>
        </w:rPr>
        <w:t>пси- </w:t>
      </w:r>
      <w:r>
        <w:rPr>
          <w:color w:val="231F20"/>
          <w:spacing w:val="-2"/>
        </w:rPr>
        <w:t>хологической</w:t>
      </w:r>
      <w:r>
        <w:rPr>
          <w:color w:val="231F20"/>
          <w:spacing w:val="-5"/>
        </w:rPr>
        <w:t> </w:t>
      </w:r>
      <w:r>
        <w:rPr>
          <w:color w:val="231F20"/>
          <w:spacing w:val="-2"/>
        </w:rPr>
        <w:t>травме.</w:t>
      </w:r>
      <w:r>
        <w:rPr>
          <w:color w:val="231F20"/>
          <w:spacing w:val="-5"/>
        </w:rPr>
        <w:t> </w:t>
      </w:r>
      <w:r>
        <w:rPr>
          <w:color w:val="231F20"/>
          <w:spacing w:val="-2"/>
        </w:rPr>
        <w:t>Многие</w:t>
      </w:r>
      <w:r>
        <w:rPr>
          <w:color w:val="231F20"/>
          <w:spacing w:val="-5"/>
        </w:rPr>
        <w:t> </w:t>
      </w:r>
      <w:r>
        <w:rPr>
          <w:color w:val="231F20"/>
          <w:spacing w:val="-2"/>
        </w:rPr>
        <w:t>дети</w:t>
      </w:r>
      <w:r>
        <w:rPr>
          <w:color w:val="231F20"/>
          <w:spacing w:val="-5"/>
        </w:rPr>
        <w:t> </w:t>
      </w:r>
      <w:r>
        <w:rPr>
          <w:color w:val="231F20"/>
          <w:spacing w:val="-2"/>
        </w:rPr>
        <w:t>проявляют</w:t>
      </w:r>
      <w:r>
        <w:rPr>
          <w:color w:val="231F20"/>
          <w:spacing w:val="-5"/>
        </w:rPr>
        <w:t> </w:t>
      </w:r>
      <w:r>
        <w:rPr>
          <w:color w:val="231F20"/>
          <w:spacing w:val="-2"/>
        </w:rPr>
        <w:t>жизнестойкость,</w:t>
      </w:r>
      <w:r>
        <w:rPr>
          <w:color w:val="231F20"/>
          <w:spacing w:val="-5"/>
        </w:rPr>
        <w:t> </w:t>
      </w:r>
      <w:r>
        <w:rPr>
          <w:color w:val="231F20"/>
          <w:spacing w:val="-2"/>
        </w:rPr>
        <w:t>и</w:t>
      </w:r>
      <w:r>
        <w:rPr>
          <w:color w:val="231F20"/>
          <w:spacing w:val="-5"/>
        </w:rPr>
        <w:t> </w:t>
      </w:r>
      <w:r>
        <w:rPr>
          <w:color w:val="231F20"/>
          <w:spacing w:val="-2"/>
        </w:rPr>
        <w:t>у</w:t>
      </w:r>
      <w:r>
        <w:rPr>
          <w:color w:val="231F20"/>
          <w:spacing w:val="-5"/>
        </w:rPr>
        <w:t> </w:t>
      </w:r>
      <w:r>
        <w:rPr>
          <w:color w:val="231F20"/>
          <w:spacing w:val="-2"/>
        </w:rPr>
        <w:t>них</w:t>
      </w:r>
      <w:r>
        <w:rPr>
          <w:color w:val="231F20"/>
          <w:spacing w:val="-5"/>
        </w:rPr>
        <w:t> </w:t>
      </w:r>
      <w:r>
        <w:rPr>
          <w:color w:val="231F20"/>
          <w:spacing w:val="-2"/>
        </w:rPr>
        <w:t>не</w:t>
      </w:r>
      <w:r>
        <w:rPr>
          <w:color w:val="231F20"/>
          <w:spacing w:val="-5"/>
        </w:rPr>
        <w:t> </w:t>
      </w:r>
      <w:r>
        <w:rPr>
          <w:color w:val="231F20"/>
          <w:spacing w:val="-2"/>
        </w:rPr>
        <w:t>развивается устойчивых</w:t>
      </w:r>
      <w:r>
        <w:rPr>
          <w:color w:val="231F20"/>
          <w:spacing w:val="-4"/>
        </w:rPr>
        <w:t> </w:t>
      </w:r>
      <w:r>
        <w:rPr>
          <w:color w:val="231F20"/>
          <w:spacing w:val="-2"/>
        </w:rPr>
        <w:t>симптомов</w:t>
      </w:r>
      <w:r>
        <w:rPr>
          <w:color w:val="231F20"/>
          <w:spacing w:val="-4"/>
        </w:rPr>
        <w:t> </w:t>
      </w:r>
      <w:r>
        <w:rPr>
          <w:color w:val="231F20"/>
          <w:spacing w:val="-2"/>
        </w:rPr>
        <w:t>травмы.</w:t>
      </w:r>
      <w:r>
        <w:rPr>
          <w:color w:val="231F20"/>
          <w:spacing w:val="-4"/>
        </w:rPr>
        <w:t> </w:t>
      </w:r>
      <w:r>
        <w:rPr>
          <w:color w:val="231F20"/>
          <w:spacing w:val="-2"/>
        </w:rPr>
        <w:t>На</w:t>
      </w:r>
      <w:r>
        <w:rPr>
          <w:color w:val="231F20"/>
          <w:spacing w:val="-4"/>
        </w:rPr>
        <w:t> </w:t>
      </w:r>
      <w:r>
        <w:rPr>
          <w:color w:val="231F20"/>
          <w:spacing w:val="-2"/>
        </w:rPr>
        <w:t>возникновение</w:t>
      </w:r>
      <w:r>
        <w:rPr>
          <w:color w:val="231F20"/>
          <w:spacing w:val="-4"/>
        </w:rPr>
        <w:t> </w:t>
      </w:r>
      <w:r>
        <w:rPr>
          <w:color w:val="231F20"/>
          <w:spacing w:val="-2"/>
        </w:rPr>
        <w:t>проблем</w:t>
      </w:r>
      <w:r>
        <w:rPr>
          <w:color w:val="231F20"/>
          <w:spacing w:val="-4"/>
        </w:rPr>
        <w:t> </w:t>
      </w:r>
      <w:r>
        <w:rPr>
          <w:color w:val="231F20"/>
          <w:spacing w:val="-2"/>
        </w:rPr>
        <w:t>у</w:t>
      </w:r>
      <w:r>
        <w:rPr>
          <w:color w:val="231F20"/>
          <w:spacing w:val="-4"/>
        </w:rPr>
        <w:t> </w:t>
      </w:r>
      <w:r>
        <w:rPr>
          <w:color w:val="231F20"/>
          <w:spacing w:val="-2"/>
        </w:rPr>
        <w:t>детей</w:t>
      </w:r>
      <w:r>
        <w:rPr>
          <w:color w:val="231F20"/>
          <w:spacing w:val="-4"/>
        </w:rPr>
        <w:t> </w:t>
      </w:r>
      <w:r>
        <w:rPr>
          <w:color w:val="231F20"/>
          <w:spacing w:val="-2"/>
        </w:rPr>
        <w:t>в</w:t>
      </w:r>
      <w:r>
        <w:rPr>
          <w:color w:val="231F20"/>
          <w:spacing w:val="-4"/>
        </w:rPr>
        <w:t> </w:t>
      </w:r>
      <w:r>
        <w:rPr>
          <w:color w:val="231F20"/>
          <w:spacing w:val="-2"/>
        </w:rPr>
        <w:t>этом</w:t>
      </w:r>
      <w:r>
        <w:rPr>
          <w:color w:val="231F20"/>
          <w:spacing w:val="-4"/>
        </w:rPr>
        <w:t> </w:t>
      </w:r>
      <w:r>
        <w:rPr>
          <w:color w:val="231F20"/>
          <w:spacing w:val="-2"/>
        </w:rPr>
        <w:t>отношении </w:t>
      </w:r>
      <w:r>
        <w:rPr>
          <w:color w:val="231F20"/>
        </w:rPr>
        <w:t>потенциально влияют несколько факторов, включая уровень развития, врожденную или приобретенную жизнестойкость, а также внешние источники поддержки. Реак- ция ребенка на травматическое событие может быть опосредована его возрастом и уровнем</w:t>
      </w:r>
      <w:r>
        <w:rPr>
          <w:color w:val="231F20"/>
          <w:spacing w:val="-13"/>
        </w:rPr>
        <w:t> </w:t>
      </w:r>
      <w:r>
        <w:rPr>
          <w:color w:val="231F20"/>
        </w:rPr>
        <w:t>развития.</w:t>
      </w:r>
      <w:r>
        <w:rPr>
          <w:color w:val="231F20"/>
          <w:spacing w:val="-12"/>
        </w:rPr>
        <w:t> </w:t>
      </w:r>
      <w:r>
        <w:rPr>
          <w:color w:val="231F20"/>
        </w:rPr>
        <w:t>Например,</w:t>
      </w:r>
      <w:r>
        <w:rPr>
          <w:color w:val="231F20"/>
          <w:spacing w:val="-13"/>
        </w:rPr>
        <w:t> </w:t>
      </w:r>
      <w:r>
        <w:rPr>
          <w:color w:val="231F20"/>
        </w:rPr>
        <w:t>по</w:t>
      </w:r>
      <w:r>
        <w:rPr>
          <w:color w:val="231F20"/>
          <w:spacing w:val="-12"/>
        </w:rPr>
        <w:t> </w:t>
      </w:r>
      <w:r>
        <w:rPr>
          <w:color w:val="231F20"/>
        </w:rPr>
        <w:t>всей</w:t>
      </w:r>
      <w:r>
        <w:rPr>
          <w:color w:val="231F20"/>
          <w:spacing w:val="-13"/>
        </w:rPr>
        <w:t> </w:t>
      </w:r>
      <w:r>
        <w:rPr>
          <w:color w:val="231F20"/>
        </w:rPr>
        <w:t>видимости,</w:t>
      </w:r>
      <w:r>
        <w:rPr>
          <w:color w:val="231F20"/>
          <w:spacing w:val="-12"/>
        </w:rPr>
        <w:t> </w:t>
      </w:r>
      <w:r>
        <w:rPr>
          <w:color w:val="231F20"/>
        </w:rPr>
        <w:t>в</w:t>
      </w:r>
      <w:r>
        <w:rPr>
          <w:color w:val="231F20"/>
          <w:spacing w:val="-13"/>
        </w:rPr>
        <w:t> </w:t>
      </w:r>
      <w:r>
        <w:rPr>
          <w:color w:val="231F20"/>
        </w:rPr>
        <w:t>случае</w:t>
      </w:r>
      <w:r>
        <w:rPr>
          <w:color w:val="231F20"/>
          <w:spacing w:val="-12"/>
        </w:rPr>
        <w:t> </w:t>
      </w:r>
      <w:r>
        <w:rPr>
          <w:color w:val="231F20"/>
        </w:rPr>
        <w:t>кратковременой</w:t>
      </w:r>
      <w:r>
        <w:rPr>
          <w:color w:val="231F20"/>
          <w:spacing w:val="-13"/>
        </w:rPr>
        <w:t> </w:t>
      </w:r>
      <w:r>
        <w:rPr>
          <w:color w:val="231F20"/>
        </w:rPr>
        <w:t>травмы</w:t>
      </w:r>
      <w:r>
        <w:rPr>
          <w:color w:val="231F20"/>
          <w:spacing w:val="-12"/>
        </w:rPr>
        <w:t> </w:t>
      </w:r>
      <w:r>
        <w:rPr>
          <w:color w:val="231F20"/>
        </w:rPr>
        <w:t>на детей младшего возраста больше влияет реакция родителей на травму, чем на детей </w:t>
      </w:r>
      <w:r>
        <w:rPr>
          <w:color w:val="231F20"/>
          <w:spacing w:val="-2"/>
        </w:rPr>
        <w:t>постарше (независимо от интенсивности непосредственного воздействия травматиче- </w:t>
      </w:r>
      <w:r>
        <w:rPr>
          <w:color w:val="231F20"/>
        </w:rPr>
        <w:t>ского</w:t>
      </w:r>
      <w:r>
        <w:rPr>
          <w:color w:val="231F20"/>
          <w:spacing w:val="-13"/>
        </w:rPr>
        <w:t> </w:t>
      </w:r>
      <w:r>
        <w:rPr>
          <w:color w:val="231F20"/>
        </w:rPr>
        <w:t>события</w:t>
      </w:r>
      <w:r>
        <w:rPr>
          <w:color w:val="231F20"/>
          <w:spacing w:val="-12"/>
        </w:rPr>
        <w:t> </w:t>
      </w:r>
      <w:r>
        <w:rPr>
          <w:color w:val="231F20"/>
        </w:rPr>
        <w:t>на</w:t>
      </w:r>
      <w:r>
        <w:rPr>
          <w:color w:val="231F20"/>
          <w:spacing w:val="-13"/>
        </w:rPr>
        <w:t> </w:t>
      </w:r>
      <w:r>
        <w:rPr>
          <w:color w:val="231F20"/>
        </w:rPr>
        <w:t>ребенка);</w:t>
      </w:r>
      <w:r>
        <w:rPr>
          <w:color w:val="231F20"/>
          <w:spacing w:val="-12"/>
        </w:rPr>
        <w:t> </w:t>
      </w:r>
      <w:r>
        <w:rPr>
          <w:color w:val="231F20"/>
        </w:rPr>
        <w:t>если</w:t>
      </w:r>
      <w:r>
        <w:rPr>
          <w:color w:val="231F20"/>
          <w:spacing w:val="-13"/>
        </w:rPr>
        <w:t> </w:t>
      </w:r>
      <w:r>
        <w:rPr>
          <w:color w:val="231F20"/>
        </w:rPr>
        <w:t>родители</w:t>
      </w:r>
      <w:r>
        <w:rPr>
          <w:color w:val="231F20"/>
          <w:spacing w:val="-12"/>
        </w:rPr>
        <w:t> </w:t>
      </w:r>
      <w:r>
        <w:rPr>
          <w:color w:val="231F20"/>
        </w:rPr>
        <w:t>хорошо</w:t>
      </w:r>
      <w:r>
        <w:rPr>
          <w:color w:val="231F20"/>
          <w:spacing w:val="-13"/>
        </w:rPr>
        <w:t> </w:t>
      </w:r>
      <w:r>
        <w:rPr>
          <w:color w:val="231F20"/>
        </w:rPr>
        <w:t>справляются</w:t>
      </w:r>
      <w:r>
        <w:rPr>
          <w:color w:val="231F20"/>
          <w:spacing w:val="-12"/>
        </w:rPr>
        <w:t> </w:t>
      </w:r>
      <w:r>
        <w:rPr>
          <w:color w:val="231F20"/>
        </w:rPr>
        <w:t>с</w:t>
      </w:r>
      <w:r>
        <w:rPr>
          <w:color w:val="231F20"/>
          <w:spacing w:val="-13"/>
        </w:rPr>
        <w:t> </w:t>
      </w:r>
      <w:r>
        <w:rPr>
          <w:color w:val="231F20"/>
        </w:rPr>
        <w:t>ситуацией</w:t>
      </w:r>
      <w:r>
        <w:rPr>
          <w:color w:val="231F20"/>
          <w:spacing w:val="-12"/>
        </w:rPr>
        <w:t> </w:t>
      </w:r>
      <w:r>
        <w:rPr>
          <w:color w:val="231F20"/>
        </w:rPr>
        <w:t>и</w:t>
      </w:r>
      <w:r>
        <w:rPr>
          <w:color w:val="231F20"/>
          <w:spacing w:val="-13"/>
        </w:rPr>
        <w:t> </w:t>
      </w:r>
      <w:r>
        <w:rPr>
          <w:color w:val="231F20"/>
        </w:rPr>
        <w:t>поддер- живают</w:t>
      </w:r>
      <w:r>
        <w:rPr>
          <w:color w:val="231F20"/>
          <w:spacing w:val="-6"/>
        </w:rPr>
        <w:t> </w:t>
      </w:r>
      <w:r>
        <w:rPr>
          <w:color w:val="231F20"/>
        </w:rPr>
        <w:t>ребенка,</w:t>
      </w:r>
      <w:r>
        <w:rPr>
          <w:color w:val="231F20"/>
          <w:spacing w:val="-6"/>
        </w:rPr>
        <w:t> </w:t>
      </w:r>
      <w:r>
        <w:rPr>
          <w:color w:val="231F20"/>
        </w:rPr>
        <w:t>то</w:t>
      </w:r>
      <w:r>
        <w:rPr>
          <w:color w:val="231F20"/>
          <w:spacing w:val="-6"/>
        </w:rPr>
        <w:t> </w:t>
      </w:r>
      <w:r>
        <w:rPr>
          <w:color w:val="231F20"/>
        </w:rPr>
        <w:t>у</w:t>
      </w:r>
      <w:r>
        <w:rPr>
          <w:color w:val="231F20"/>
          <w:spacing w:val="-6"/>
        </w:rPr>
        <w:t> </w:t>
      </w:r>
      <w:r>
        <w:rPr>
          <w:color w:val="231F20"/>
        </w:rPr>
        <w:t>многих</w:t>
      </w:r>
      <w:r>
        <w:rPr>
          <w:color w:val="231F20"/>
          <w:spacing w:val="-6"/>
        </w:rPr>
        <w:t> </w:t>
      </w:r>
      <w:r>
        <w:rPr>
          <w:color w:val="231F20"/>
        </w:rPr>
        <w:t>детей</w:t>
      </w:r>
      <w:r>
        <w:rPr>
          <w:color w:val="231F20"/>
          <w:spacing w:val="-6"/>
        </w:rPr>
        <w:t> </w:t>
      </w:r>
      <w:r>
        <w:rPr>
          <w:color w:val="231F20"/>
        </w:rPr>
        <w:t>младшего</w:t>
      </w:r>
      <w:r>
        <w:rPr>
          <w:color w:val="231F20"/>
          <w:spacing w:val="-6"/>
        </w:rPr>
        <w:t> </w:t>
      </w:r>
      <w:r>
        <w:rPr>
          <w:color w:val="231F20"/>
        </w:rPr>
        <w:t>возраста</w:t>
      </w:r>
      <w:r>
        <w:rPr>
          <w:color w:val="231F20"/>
          <w:spacing w:val="-6"/>
        </w:rPr>
        <w:t> </w:t>
      </w:r>
      <w:r>
        <w:rPr>
          <w:color w:val="231F20"/>
        </w:rPr>
        <w:t>не</w:t>
      </w:r>
      <w:r>
        <w:rPr>
          <w:color w:val="231F20"/>
          <w:spacing w:val="-6"/>
        </w:rPr>
        <w:t> </w:t>
      </w:r>
      <w:r>
        <w:rPr>
          <w:color w:val="231F20"/>
        </w:rPr>
        <w:t>развивается</w:t>
      </w:r>
      <w:r>
        <w:rPr>
          <w:color w:val="231F20"/>
          <w:spacing w:val="-6"/>
        </w:rPr>
        <w:t> </w:t>
      </w:r>
      <w:r>
        <w:rPr>
          <w:color w:val="231F20"/>
        </w:rPr>
        <w:t>серьезных</w:t>
      </w:r>
      <w:r>
        <w:rPr>
          <w:color w:val="231F20"/>
          <w:spacing w:val="-6"/>
        </w:rPr>
        <w:t> </w:t>
      </w:r>
      <w:r>
        <w:rPr>
          <w:color w:val="231F20"/>
        </w:rPr>
        <w:t>или длительных симптомов травмы (Laor, Wolmer, &amp; Cohen, 2001).</w:t>
      </w:r>
    </w:p>
    <w:p>
      <w:pPr>
        <w:pStyle w:val="BodyText"/>
        <w:spacing w:before="91"/>
        <w:ind w:left="2078" w:right="0" w:firstLine="0"/>
      </w:pPr>
      <w:r>
        <w:rPr>
          <w:color w:val="231F20"/>
        </w:rPr>
        <w:t>Рассмотрим</w:t>
      </w:r>
      <w:r>
        <w:rPr>
          <w:color w:val="231F20"/>
          <w:spacing w:val="-2"/>
        </w:rPr>
        <w:t> </w:t>
      </w:r>
      <w:r>
        <w:rPr>
          <w:color w:val="231F20"/>
        </w:rPr>
        <w:t>основные</w:t>
      </w:r>
      <w:r>
        <w:rPr>
          <w:color w:val="231F20"/>
          <w:spacing w:val="-1"/>
        </w:rPr>
        <w:t> </w:t>
      </w:r>
      <w:r>
        <w:rPr>
          <w:color w:val="231F20"/>
        </w:rPr>
        <w:t>симптомы</w:t>
      </w:r>
      <w:r>
        <w:rPr>
          <w:color w:val="231F20"/>
          <w:spacing w:val="-1"/>
        </w:rPr>
        <w:t> </w:t>
      </w:r>
      <w:r>
        <w:rPr>
          <w:color w:val="231F20"/>
          <w:spacing w:val="-4"/>
        </w:rPr>
        <w:t>ПТСР</w:t>
      </w:r>
    </w:p>
    <w:p>
      <w:pPr>
        <w:numPr>
          <w:ilvl w:val="1"/>
          <w:numId w:val="62"/>
        </w:numPr>
        <w:tabs>
          <w:tab w:pos="602" w:val="left" w:leader="none"/>
        </w:tabs>
        <w:spacing w:line="228" w:lineRule="exact" w:before="110"/>
        <w:ind w:left="602" w:right="0" w:hanging="177"/>
        <w:jc w:val="both"/>
        <w:rPr>
          <w:b/>
          <w:sz w:val="20"/>
        </w:rPr>
      </w:pPr>
      <w:r>
        <w:rPr>
          <w:b/>
          <w:color w:val="231F20"/>
          <w:spacing w:val="-2"/>
          <w:sz w:val="20"/>
        </w:rPr>
        <w:t>Привязанность</w:t>
      </w:r>
    </w:p>
    <w:p>
      <w:pPr>
        <w:pStyle w:val="BodyText"/>
        <w:spacing w:line="235" w:lineRule="auto" w:before="1"/>
      </w:pPr>
      <w:r>
        <w:rPr>
          <w:color w:val="231F20"/>
        </w:rPr>
        <w:t>Человек, подвергшийся травмирующему событию, имеет нарушения в области привязанности, он может казаться недоверчивым и подозрительным, уединяться и избегать</w:t>
      </w:r>
      <w:r>
        <w:rPr>
          <w:color w:val="231F20"/>
          <w:spacing w:val="-13"/>
        </w:rPr>
        <w:t> </w:t>
      </w:r>
      <w:r>
        <w:rPr>
          <w:color w:val="231F20"/>
        </w:rPr>
        <w:t>социальных</w:t>
      </w:r>
      <w:r>
        <w:rPr>
          <w:color w:val="231F20"/>
          <w:spacing w:val="-12"/>
        </w:rPr>
        <w:t> </w:t>
      </w:r>
      <w:r>
        <w:rPr>
          <w:color w:val="231F20"/>
        </w:rPr>
        <w:t>контактов.</w:t>
      </w:r>
      <w:r>
        <w:rPr>
          <w:color w:val="231F20"/>
          <w:spacing w:val="-13"/>
        </w:rPr>
        <w:t> </w:t>
      </w:r>
      <w:r>
        <w:rPr>
          <w:color w:val="231F20"/>
        </w:rPr>
        <w:t>Иметь</w:t>
      </w:r>
      <w:r>
        <w:rPr>
          <w:color w:val="231F20"/>
          <w:spacing w:val="-12"/>
        </w:rPr>
        <w:t> </w:t>
      </w:r>
      <w:r>
        <w:rPr>
          <w:color w:val="231F20"/>
        </w:rPr>
        <w:t>сложности</w:t>
      </w:r>
      <w:r>
        <w:rPr>
          <w:color w:val="231F20"/>
          <w:spacing w:val="-13"/>
        </w:rPr>
        <w:t> </w:t>
      </w:r>
      <w:r>
        <w:rPr>
          <w:color w:val="231F20"/>
        </w:rPr>
        <w:t>с</w:t>
      </w:r>
      <w:r>
        <w:rPr>
          <w:color w:val="231F20"/>
          <w:spacing w:val="-12"/>
        </w:rPr>
        <w:t> </w:t>
      </w:r>
      <w:r>
        <w:rPr>
          <w:color w:val="231F20"/>
        </w:rPr>
        <w:t>пониманием</w:t>
      </w:r>
      <w:r>
        <w:rPr>
          <w:color w:val="231F20"/>
          <w:spacing w:val="-13"/>
        </w:rPr>
        <w:t> </w:t>
      </w:r>
      <w:r>
        <w:rPr>
          <w:color w:val="231F20"/>
        </w:rPr>
        <w:t>эмоционального</w:t>
      </w:r>
      <w:r>
        <w:rPr>
          <w:color w:val="231F20"/>
          <w:spacing w:val="-12"/>
        </w:rPr>
        <w:t> </w:t>
      </w:r>
      <w:r>
        <w:rPr>
          <w:color w:val="231F20"/>
        </w:rPr>
        <w:t>со- стояния других, а также с выстраиванием здоровых психологических границ.</w:t>
      </w:r>
    </w:p>
    <w:p>
      <w:pPr>
        <w:pStyle w:val="BodyText"/>
        <w:spacing w:line="232" w:lineRule="auto" w:before="5"/>
      </w:pPr>
      <w:r>
        <w:rPr>
          <w:color w:val="231F20"/>
        </w:rPr>
        <w:t>Это</w:t>
      </w:r>
      <w:r>
        <w:rPr>
          <w:color w:val="231F20"/>
          <w:spacing w:val="-10"/>
        </w:rPr>
        <w:t> </w:t>
      </w:r>
      <w:r>
        <w:rPr>
          <w:color w:val="231F20"/>
        </w:rPr>
        <w:t>значит,</w:t>
      </w:r>
      <w:r>
        <w:rPr>
          <w:color w:val="231F20"/>
          <w:spacing w:val="-10"/>
        </w:rPr>
        <w:t> </w:t>
      </w:r>
      <w:r>
        <w:rPr>
          <w:color w:val="231F20"/>
        </w:rPr>
        <w:t>что</w:t>
      </w:r>
      <w:r>
        <w:rPr>
          <w:color w:val="231F20"/>
          <w:spacing w:val="-10"/>
        </w:rPr>
        <w:t> </w:t>
      </w:r>
      <w:r>
        <w:rPr>
          <w:color w:val="231F20"/>
        </w:rPr>
        <w:t>в</w:t>
      </w:r>
      <w:r>
        <w:rPr>
          <w:color w:val="231F20"/>
          <w:spacing w:val="-10"/>
        </w:rPr>
        <w:t> </w:t>
      </w:r>
      <w:r>
        <w:rPr>
          <w:color w:val="231F20"/>
        </w:rPr>
        <w:t>общении</w:t>
      </w:r>
      <w:r>
        <w:rPr>
          <w:color w:val="231F20"/>
          <w:spacing w:val="-10"/>
        </w:rPr>
        <w:t> </w:t>
      </w:r>
      <w:r>
        <w:rPr>
          <w:color w:val="231F20"/>
        </w:rPr>
        <w:t>ребенку</w:t>
      </w:r>
      <w:r>
        <w:rPr>
          <w:color w:val="231F20"/>
          <w:spacing w:val="-10"/>
        </w:rPr>
        <w:t> </w:t>
      </w:r>
      <w:r>
        <w:rPr>
          <w:color w:val="231F20"/>
        </w:rPr>
        <w:t>сложно</w:t>
      </w:r>
      <w:r>
        <w:rPr>
          <w:color w:val="231F20"/>
          <w:spacing w:val="-10"/>
        </w:rPr>
        <w:t> </w:t>
      </w:r>
      <w:r>
        <w:rPr>
          <w:color w:val="231F20"/>
        </w:rPr>
        <w:t>отстаивать</w:t>
      </w:r>
      <w:r>
        <w:rPr>
          <w:color w:val="231F20"/>
          <w:spacing w:val="-10"/>
        </w:rPr>
        <w:t> </w:t>
      </w:r>
      <w:r>
        <w:rPr>
          <w:color w:val="231F20"/>
        </w:rPr>
        <w:t>себя</w:t>
      </w:r>
      <w:r>
        <w:rPr>
          <w:color w:val="231F20"/>
          <w:spacing w:val="-10"/>
        </w:rPr>
        <w:t> </w:t>
      </w:r>
      <w:r>
        <w:rPr>
          <w:color w:val="231F20"/>
        </w:rPr>
        <w:t>и</w:t>
      </w:r>
      <w:r>
        <w:rPr>
          <w:color w:val="231F20"/>
          <w:spacing w:val="-10"/>
        </w:rPr>
        <w:t> </w:t>
      </w:r>
      <w:r>
        <w:rPr>
          <w:color w:val="231F20"/>
        </w:rPr>
        <w:t>свое</w:t>
      </w:r>
      <w:r>
        <w:rPr>
          <w:color w:val="231F20"/>
          <w:spacing w:val="-10"/>
        </w:rPr>
        <w:t> </w:t>
      </w:r>
      <w:r>
        <w:rPr>
          <w:color w:val="231F20"/>
        </w:rPr>
        <w:t>мнение.</w:t>
      </w:r>
      <w:r>
        <w:rPr>
          <w:color w:val="231F20"/>
          <w:spacing w:val="-10"/>
        </w:rPr>
        <w:t> </w:t>
      </w:r>
      <w:r>
        <w:rPr>
          <w:color w:val="231F20"/>
        </w:rPr>
        <w:t>Предъ- являть или доказывать свою позицию, настаивать на своем. Также ребенок может быть</w:t>
      </w:r>
      <w:r>
        <w:rPr>
          <w:color w:val="231F20"/>
          <w:spacing w:val="12"/>
        </w:rPr>
        <w:t> </w:t>
      </w:r>
      <w:r>
        <w:rPr>
          <w:color w:val="231F20"/>
        </w:rPr>
        <w:t>более</w:t>
      </w:r>
      <w:r>
        <w:rPr>
          <w:color w:val="231F20"/>
          <w:spacing w:val="14"/>
        </w:rPr>
        <w:t> </w:t>
      </w:r>
      <w:r>
        <w:rPr>
          <w:color w:val="231F20"/>
        </w:rPr>
        <w:t>мягким</w:t>
      </w:r>
      <w:r>
        <w:rPr>
          <w:color w:val="231F20"/>
          <w:spacing w:val="15"/>
        </w:rPr>
        <w:t> </w:t>
      </w:r>
      <w:r>
        <w:rPr>
          <w:color w:val="231F20"/>
        </w:rPr>
        <w:t>и</w:t>
      </w:r>
      <w:r>
        <w:rPr>
          <w:color w:val="231F20"/>
          <w:spacing w:val="14"/>
        </w:rPr>
        <w:t> </w:t>
      </w:r>
      <w:r>
        <w:rPr>
          <w:color w:val="231F20"/>
        </w:rPr>
        <w:t>соглашающимся,</w:t>
      </w:r>
      <w:r>
        <w:rPr>
          <w:color w:val="231F20"/>
          <w:spacing w:val="15"/>
        </w:rPr>
        <w:t> </w:t>
      </w:r>
      <w:r>
        <w:rPr>
          <w:color w:val="231F20"/>
        </w:rPr>
        <w:t>и</w:t>
      </w:r>
      <w:r>
        <w:rPr>
          <w:color w:val="231F20"/>
          <w:spacing w:val="14"/>
        </w:rPr>
        <w:t> </w:t>
      </w:r>
      <w:r>
        <w:rPr>
          <w:color w:val="231F20"/>
        </w:rPr>
        <w:t>в</w:t>
      </w:r>
      <w:r>
        <w:rPr>
          <w:color w:val="231F20"/>
          <w:spacing w:val="15"/>
        </w:rPr>
        <w:t> </w:t>
      </w:r>
      <w:r>
        <w:rPr>
          <w:color w:val="231F20"/>
        </w:rPr>
        <w:t>качестве</w:t>
      </w:r>
      <w:r>
        <w:rPr>
          <w:color w:val="231F20"/>
          <w:spacing w:val="14"/>
        </w:rPr>
        <w:t> </w:t>
      </w:r>
      <w:r>
        <w:rPr>
          <w:color w:val="231F20"/>
        </w:rPr>
        <w:t>защитного</w:t>
      </w:r>
      <w:r>
        <w:rPr>
          <w:color w:val="231F20"/>
          <w:spacing w:val="15"/>
        </w:rPr>
        <w:t> </w:t>
      </w:r>
      <w:r>
        <w:rPr>
          <w:color w:val="231F20"/>
        </w:rPr>
        <w:t>поведения</w:t>
      </w:r>
      <w:r>
        <w:rPr>
          <w:color w:val="231F20"/>
          <w:spacing w:val="14"/>
        </w:rPr>
        <w:t> </w:t>
      </w:r>
      <w:r>
        <w:rPr>
          <w:color w:val="231F20"/>
        </w:rPr>
        <w:t>чаще</w:t>
      </w:r>
      <w:r>
        <w:rPr>
          <w:color w:val="231F20"/>
          <w:spacing w:val="15"/>
        </w:rPr>
        <w:t> </w:t>
      </w:r>
      <w:r>
        <w:rPr>
          <w:color w:val="231F20"/>
          <w:spacing w:val="-5"/>
        </w:rPr>
        <w:t>ис-</w:t>
      </w:r>
    </w:p>
    <w:p>
      <w:pPr>
        <w:pStyle w:val="BodyText"/>
        <w:spacing w:before="1"/>
        <w:ind w:left="0" w:right="0" w:firstLine="0"/>
        <w:jc w:val="left"/>
        <w:rPr>
          <w:sz w:val="13"/>
        </w:rPr>
      </w:pPr>
      <w:r>
        <w:rPr>
          <w:sz w:val="13"/>
        </w:rPr>
        <mc:AlternateContent>
          <mc:Choice Requires="wps">
            <w:drawing>
              <wp:anchor distT="0" distB="0" distL="0" distR="0" allowOverlap="1" layoutInCell="1" locked="0" behindDoc="1" simplePos="0" relativeHeight="487620096">
                <wp:simplePos x="0" y="0"/>
                <wp:positionH relativeFrom="page">
                  <wp:posOffset>360000</wp:posOffset>
                </wp:positionH>
                <wp:positionV relativeFrom="paragraph">
                  <wp:posOffset>111243</wp:posOffset>
                </wp:positionV>
                <wp:extent cx="1440180" cy="1270"/>
                <wp:effectExtent l="0" t="0" r="0" b="0"/>
                <wp:wrapTopAndBottom/>
                <wp:docPr id="105" name="Graphic 105"/>
                <wp:cNvGraphicFramePr>
                  <a:graphicFrameLocks/>
                </wp:cNvGraphicFramePr>
                <a:graphic>
                  <a:graphicData uri="http://schemas.microsoft.com/office/word/2010/wordprocessingShape">
                    <wps:wsp>
                      <wps:cNvPr id="105" name="Graphic 105"/>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5pt;margin-top:8.759348pt;width:113.4pt;height:.1pt;mso-position-horizontal-relative:page;mso-position-vertical-relative:paragraph;z-index:-15696384;mso-wrap-distance-left:0;mso-wrap-distance-right:0" id="docshape64" coordorigin="567,175" coordsize="2268,0" path="m567,175l2835,175e" filled="false" stroked="true" strokeweight=".5pt" strokecolor="#231f20">
                <v:path arrowok="t"/>
                <v:stroke dashstyle="solid"/>
                <w10:wrap type="topAndBottom"/>
              </v:shape>
            </w:pict>
          </mc:Fallback>
        </mc:AlternateContent>
      </w:r>
    </w:p>
    <w:p>
      <w:pPr>
        <w:spacing w:line="232" w:lineRule="auto" w:before="32"/>
        <w:ind w:left="141" w:right="139" w:firstLine="0"/>
        <w:jc w:val="both"/>
        <w:rPr>
          <w:sz w:val="18"/>
        </w:rPr>
      </w:pPr>
      <w:r>
        <w:rPr>
          <w:color w:val="231F20"/>
          <w:sz w:val="18"/>
          <w:vertAlign w:val="superscript"/>
        </w:rPr>
        <w:t>1</w:t>
      </w:r>
      <w:r>
        <w:rPr>
          <w:color w:val="231F20"/>
          <w:spacing w:val="80"/>
          <w:sz w:val="18"/>
          <w:vertAlign w:val="baseline"/>
        </w:rPr>
        <w:t> </w:t>
      </w:r>
      <w:r>
        <w:rPr>
          <w:color w:val="231F20"/>
          <w:sz w:val="18"/>
          <w:vertAlign w:val="baseline"/>
        </w:rPr>
        <w:t>Диссоциация – психологический механизм сохранения личностью своих противоречивых мотивов и качеств, которые в силу значимости не могут быть отброшены, а из-за их противо- речивости не могут быть интегрированы. Диссоциация позволяет личности до определенно- го времени сохранять внешне исключающие друг друга формы поведения без существенного ущерба</w:t>
      </w:r>
      <w:r>
        <w:rPr>
          <w:color w:val="231F20"/>
          <w:spacing w:val="-11"/>
          <w:sz w:val="18"/>
          <w:vertAlign w:val="baseline"/>
        </w:rPr>
        <w:t> </w:t>
      </w:r>
      <w:r>
        <w:rPr>
          <w:color w:val="231F20"/>
          <w:sz w:val="18"/>
          <w:vertAlign w:val="baseline"/>
        </w:rPr>
        <w:t>для</w:t>
      </w:r>
      <w:r>
        <w:rPr>
          <w:color w:val="231F20"/>
          <w:spacing w:val="-11"/>
          <w:sz w:val="18"/>
          <w:vertAlign w:val="baseline"/>
        </w:rPr>
        <w:t> </w:t>
      </w:r>
      <w:r>
        <w:rPr>
          <w:color w:val="231F20"/>
          <w:sz w:val="18"/>
          <w:vertAlign w:val="baseline"/>
        </w:rPr>
        <w:t>своей</w:t>
      </w:r>
      <w:r>
        <w:rPr>
          <w:color w:val="231F20"/>
          <w:spacing w:val="-11"/>
          <w:sz w:val="18"/>
          <w:vertAlign w:val="baseline"/>
        </w:rPr>
        <w:t> </w:t>
      </w:r>
      <w:r>
        <w:rPr>
          <w:color w:val="231F20"/>
          <w:sz w:val="18"/>
          <w:vertAlign w:val="baseline"/>
        </w:rPr>
        <w:t>деятельности</w:t>
      </w:r>
      <w:r>
        <w:rPr>
          <w:color w:val="231F20"/>
          <w:spacing w:val="-11"/>
          <w:sz w:val="18"/>
          <w:vertAlign w:val="baseline"/>
        </w:rPr>
        <w:t> </w:t>
      </w:r>
      <w:r>
        <w:rPr>
          <w:color w:val="231F20"/>
          <w:sz w:val="18"/>
          <w:vertAlign w:val="baseline"/>
        </w:rPr>
        <w:t>и</w:t>
      </w:r>
      <w:r>
        <w:rPr>
          <w:color w:val="231F20"/>
          <w:spacing w:val="-11"/>
          <w:sz w:val="18"/>
          <w:vertAlign w:val="baseline"/>
        </w:rPr>
        <w:t> </w:t>
      </w:r>
      <w:r>
        <w:rPr>
          <w:color w:val="231F20"/>
          <w:sz w:val="18"/>
          <w:vertAlign w:val="baseline"/>
        </w:rPr>
        <w:t>чувства</w:t>
      </w:r>
      <w:r>
        <w:rPr>
          <w:color w:val="231F20"/>
          <w:spacing w:val="-11"/>
          <w:sz w:val="18"/>
          <w:vertAlign w:val="baseline"/>
        </w:rPr>
        <w:t> </w:t>
      </w:r>
      <w:r>
        <w:rPr>
          <w:color w:val="231F20"/>
          <w:sz w:val="18"/>
          <w:vertAlign w:val="baseline"/>
        </w:rPr>
        <w:t>самоуважения.</w:t>
      </w:r>
      <w:r>
        <w:rPr>
          <w:color w:val="231F20"/>
          <w:spacing w:val="-11"/>
          <w:sz w:val="18"/>
          <w:vertAlign w:val="baseline"/>
        </w:rPr>
        <w:t> </w:t>
      </w:r>
      <w:r>
        <w:rPr>
          <w:color w:val="231F20"/>
          <w:sz w:val="18"/>
          <w:vertAlign w:val="baseline"/>
        </w:rPr>
        <w:t>/</w:t>
      </w:r>
      <w:r>
        <w:rPr>
          <w:color w:val="231F20"/>
          <w:spacing w:val="-11"/>
          <w:sz w:val="18"/>
          <w:vertAlign w:val="baseline"/>
        </w:rPr>
        <w:t> </w:t>
      </w:r>
      <w:r>
        <w:rPr>
          <w:color w:val="231F20"/>
          <w:sz w:val="18"/>
          <w:vertAlign w:val="baseline"/>
        </w:rPr>
        <w:t>Баженов</w:t>
      </w:r>
      <w:r>
        <w:rPr>
          <w:color w:val="231F20"/>
          <w:spacing w:val="-11"/>
          <w:sz w:val="18"/>
          <w:vertAlign w:val="baseline"/>
        </w:rPr>
        <w:t> </w:t>
      </w:r>
      <w:r>
        <w:rPr>
          <w:color w:val="231F20"/>
          <w:sz w:val="18"/>
          <w:vertAlign w:val="baseline"/>
        </w:rPr>
        <w:t>В.Г.,</w:t>
      </w:r>
      <w:r>
        <w:rPr>
          <w:color w:val="231F20"/>
          <w:spacing w:val="-11"/>
          <w:sz w:val="18"/>
          <w:vertAlign w:val="baseline"/>
        </w:rPr>
        <w:t> </w:t>
      </w:r>
      <w:r>
        <w:rPr>
          <w:color w:val="231F20"/>
          <w:sz w:val="18"/>
          <w:vertAlign w:val="baseline"/>
        </w:rPr>
        <w:t>Баженова</w:t>
      </w:r>
      <w:r>
        <w:rPr>
          <w:color w:val="231F20"/>
          <w:spacing w:val="-11"/>
          <w:sz w:val="18"/>
          <w:vertAlign w:val="baseline"/>
        </w:rPr>
        <w:t> </w:t>
      </w:r>
      <w:r>
        <w:rPr>
          <w:color w:val="231F20"/>
          <w:sz w:val="18"/>
          <w:vertAlign w:val="baseline"/>
        </w:rPr>
        <w:t>В.П.</w:t>
      </w:r>
      <w:r>
        <w:rPr>
          <w:color w:val="231F20"/>
          <w:spacing w:val="-11"/>
          <w:sz w:val="18"/>
          <w:vertAlign w:val="baseline"/>
        </w:rPr>
        <w:t> </w:t>
      </w:r>
      <w:r>
        <w:rPr>
          <w:color w:val="231F20"/>
          <w:sz w:val="18"/>
          <w:vertAlign w:val="baseline"/>
        </w:rPr>
        <w:t>Психо- логические механизмы коррекции девиантного поведения школьников, 2007.</w:t>
      </w:r>
    </w:p>
    <w:p>
      <w:pPr>
        <w:spacing w:after="0" w:line="232" w:lineRule="auto"/>
        <w:jc w:val="both"/>
        <w:rPr>
          <w:sz w:val="18"/>
        </w:rPr>
        <w:sectPr>
          <w:pgSz w:w="8400" w:h="11910"/>
          <w:pgMar w:header="0" w:footer="528" w:top="400" w:bottom="720" w:left="425" w:right="425"/>
        </w:sectPr>
      </w:pPr>
    </w:p>
    <w:p>
      <w:pPr>
        <w:pStyle w:val="ListParagraph"/>
        <w:numPr>
          <w:ilvl w:val="1"/>
          <w:numId w:val="58"/>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Психологическая</w:t>
      </w:r>
      <w:r>
        <w:rPr>
          <w:rFonts w:ascii="Georgia" w:hAnsi="Georgia"/>
          <w:color w:val="231F20"/>
          <w:spacing w:val="-4"/>
          <w:sz w:val="18"/>
        </w:rPr>
        <w:t> </w:t>
      </w:r>
      <w:r>
        <w:rPr>
          <w:rFonts w:ascii="Georgia" w:hAnsi="Georgia"/>
          <w:color w:val="231F20"/>
          <w:sz w:val="18"/>
        </w:rPr>
        <w:t>работа</w:t>
      </w:r>
      <w:r>
        <w:rPr>
          <w:rFonts w:ascii="Georgia" w:hAnsi="Georgia"/>
          <w:color w:val="231F20"/>
          <w:spacing w:val="-4"/>
          <w:sz w:val="18"/>
        </w:rPr>
        <w:t> </w:t>
      </w:r>
      <w:r>
        <w:rPr>
          <w:rFonts w:ascii="Georgia" w:hAnsi="Georgia"/>
          <w:color w:val="231F20"/>
          <w:sz w:val="18"/>
        </w:rPr>
        <w:t>с</w:t>
      </w:r>
      <w:r>
        <w:rPr>
          <w:rFonts w:ascii="Georgia" w:hAnsi="Georgia"/>
          <w:color w:val="231F20"/>
          <w:spacing w:val="-3"/>
          <w:sz w:val="18"/>
        </w:rPr>
        <w:t> </w:t>
      </w:r>
      <w:r>
        <w:rPr>
          <w:rFonts w:ascii="Georgia" w:hAnsi="Georgia"/>
          <w:color w:val="231F20"/>
          <w:sz w:val="18"/>
        </w:rPr>
        <w:t>детьми</w:t>
      </w:r>
      <w:r>
        <w:rPr>
          <w:rFonts w:ascii="Georgia" w:hAnsi="Georgia"/>
          <w:color w:val="231F20"/>
          <w:spacing w:val="-4"/>
          <w:sz w:val="18"/>
        </w:rPr>
        <w:t> </w:t>
      </w:r>
      <w:r>
        <w:rPr>
          <w:rFonts w:ascii="Georgia" w:hAnsi="Georgia"/>
          <w:color w:val="231F20"/>
          <w:sz w:val="18"/>
        </w:rPr>
        <w:t>...,</w:t>
      </w:r>
      <w:r>
        <w:rPr>
          <w:rFonts w:ascii="Georgia" w:hAnsi="Georgia"/>
          <w:color w:val="231F20"/>
          <w:spacing w:val="-3"/>
          <w:sz w:val="18"/>
        </w:rPr>
        <w:t> </w:t>
      </w:r>
      <w:r>
        <w:rPr>
          <w:rFonts w:ascii="Georgia" w:hAnsi="Georgia"/>
          <w:color w:val="231F20"/>
          <w:sz w:val="18"/>
        </w:rPr>
        <w:t>переживающими</w:t>
      </w:r>
      <w:r>
        <w:rPr>
          <w:rFonts w:ascii="Georgia" w:hAnsi="Georgia"/>
          <w:color w:val="231F20"/>
          <w:spacing w:val="-4"/>
          <w:sz w:val="18"/>
        </w:rPr>
        <w:t> </w:t>
      </w:r>
      <w:r>
        <w:rPr>
          <w:rFonts w:ascii="Georgia" w:hAnsi="Georgia"/>
          <w:color w:val="231F20"/>
          <w:spacing w:val="-2"/>
          <w:sz w:val="18"/>
        </w:rPr>
        <w:t>последствия...</w:t>
      </w:r>
    </w:p>
    <w:p>
      <w:pPr>
        <w:pStyle w:val="BodyText"/>
        <w:spacing w:line="232" w:lineRule="auto" w:before="118"/>
        <w:ind w:firstLine="0"/>
      </w:pPr>
      <w:r>
        <w:rPr>
          <w:color w:val="231F20"/>
        </w:rPr>
        <w:t>пользовать</w:t>
      </w:r>
      <w:r>
        <w:rPr>
          <w:color w:val="231F20"/>
          <w:spacing w:val="-1"/>
        </w:rPr>
        <w:t> </w:t>
      </w:r>
      <w:r>
        <w:rPr>
          <w:color w:val="231F20"/>
        </w:rPr>
        <w:t>избегание.</w:t>
      </w:r>
      <w:r>
        <w:rPr>
          <w:color w:val="231F20"/>
          <w:spacing w:val="-1"/>
        </w:rPr>
        <w:t> </w:t>
      </w:r>
      <w:r>
        <w:rPr>
          <w:color w:val="231F20"/>
        </w:rPr>
        <w:t>Такому</w:t>
      </w:r>
      <w:r>
        <w:rPr>
          <w:color w:val="231F20"/>
          <w:spacing w:val="-1"/>
        </w:rPr>
        <w:t> </w:t>
      </w:r>
      <w:r>
        <w:rPr>
          <w:color w:val="231F20"/>
        </w:rPr>
        <w:t>ребенку</w:t>
      </w:r>
      <w:r>
        <w:rPr>
          <w:color w:val="231F20"/>
          <w:spacing w:val="-1"/>
        </w:rPr>
        <w:t> </w:t>
      </w:r>
      <w:r>
        <w:rPr>
          <w:color w:val="231F20"/>
        </w:rPr>
        <w:t>сложно</w:t>
      </w:r>
      <w:r>
        <w:rPr>
          <w:color w:val="231F20"/>
          <w:spacing w:val="-1"/>
        </w:rPr>
        <w:t> </w:t>
      </w:r>
      <w:r>
        <w:rPr>
          <w:color w:val="231F20"/>
        </w:rPr>
        <w:t>выдерживать</w:t>
      </w:r>
      <w:r>
        <w:rPr>
          <w:color w:val="231F20"/>
          <w:spacing w:val="-1"/>
        </w:rPr>
        <w:t> </w:t>
      </w:r>
      <w:r>
        <w:rPr>
          <w:color w:val="231F20"/>
        </w:rPr>
        <w:t>конфликты</w:t>
      </w:r>
      <w:r>
        <w:rPr>
          <w:color w:val="231F20"/>
          <w:spacing w:val="-1"/>
        </w:rPr>
        <w:t> </w:t>
      </w:r>
      <w:r>
        <w:rPr>
          <w:color w:val="231F20"/>
        </w:rPr>
        <w:t>и</w:t>
      </w:r>
      <w:r>
        <w:rPr>
          <w:color w:val="231F20"/>
          <w:spacing w:val="-1"/>
        </w:rPr>
        <w:t> </w:t>
      </w:r>
      <w:r>
        <w:rPr>
          <w:color w:val="231F20"/>
        </w:rPr>
        <w:t>повышен- ный тон голоса.</w:t>
      </w:r>
    </w:p>
    <w:p>
      <w:pPr>
        <w:pStyle w:val="ListParagraph"/>
        <w:numPr>
          <w:ilvl w:val="1"/>
          <w:numId w:val="62"/>
        </w:numPr>
        <w:tabs>
          <w:tab w:pos="680" w:val="left" w:leader="none"/>
        </w:tabs>
        <w:spacing w:line="226" w:lineRule="exact" w:before="105" w:after="0"/>
        <w:ind w:left="680" w:right="0" w:hanging="255"/>
        <w:jc w:val="both"/>
        <w:rPr>
          <w:sz w:val="20"/>
        </w:rPr>
      </w:pPr>
      <w:r>
        <w:rPr>
          <w:b/>
          <w:color w:val="231F20"/>
          <w:sz w:val="20"/>
        </w:rPr>
        <w:t>Симптомы,</w:t>
      </w:r>
      <w:r>
        <w:rPr>
          <w:b/>
          <w:color w:val="231F20"/>
          <w:spacing w:val="-5"/>
          <w:sz w:val="20"/>
        </w:rPr>
        <w:t> </w:t>
      </w:r>
      <w:r>
        <w:rPr>
          <w:color w:val="231F20"/>
          <w:sz w:val="20"/>
        </w:rPr>
        <w:t>проявляющиеся</w:t>
      </w:r>
      <w:r>
        <w:rPr>
          <w:color w:val="231F20"/>
          <w:spacing w:val="-3"/>
          <w:sz w:val="20"/>
        </w:rPr>
        <w:t> </w:t>
      </w:r>
      <w:r>
        <w:rPr>
          <w:color w:val="231F20"/>
          <w:sz w:val="20"/>
        </w:rPr>
        <w:t>на</w:t>
      </w:r>
      <w:r>
        <w:rPr>
          <w:color w:val="231F20"/>
          <w:spacing w:val="-4"/>
          <w:sz w:val="20"/>
        </w:rPr>
        <w:t> </w:t>
      </w:r>
      <w:r>
        <w:rPr>
          <w:color w:val="231F20"/>
          <w:sz w:val="20"/>
        </w:rPr>
        <w:t>уровне</w:t>
      </w:r>
      <w:r>
        <w:rPr>
          <w:color w:val="231F20"/>
          <w:spacing w:val="-3"/>
          <w:sz w:val="20"/>
        </w:rPr>
        <w:t> </w:t>
      </w:r>
      <w:r>
        <w:rPr>
          <w:color w:val="231F20"/>
          <w:spacing w:val="-4"/>
          <w:sz w:val="20"/>
        </w:rPr>
        <w:t>тела</w:t>
      </w:r>
    </w:p>
    <w:p>
      <w:pPr>
        <w:pStyle w:val="BodyText"/>
        <w:spacing w:line="232" w:lineRule="auto" w:before="2"/>
      </w:pPr>
      <w:r>
        <w:rPr>
          <w:color w:val="231F20"/>
        </w:rPr>
        <w:t>На</w:t>
      </w:r>
      <w:r>
        <w:rPr>
          <w:color w:val="231F20"/>
          <w:spacing w:val="-11"/>
        </w:rPr>
        <w:t> </w:t>
      </w:r>
      <w:r>
        <w:rPr>
          <w:color w:val="231F20"/>
        </w:rPr>
        <w:t>уровне</w:t>
      </w:r>
      <w:r>
        <w:rPr>
          <w:color w:val="231F20"/>
          <w:spacing w:val="-11"/>
        </w:rPr>
        <w:t> </w:t>
      </w:r>
      <w:r>
        <w:rPr>
          <w:color w:val="231F20"/>
        </w:rPr>
        <w:t>тела</w:t>
      </w:r>
      <w:r>
        <w:rPr>
          <w:color w:val="231F20"/>
          <w:spacing w:val="-11"/>
        </w:rPr>
        <w:t> </w:t>
      </w:r>
      <w:r>
        <w:rPr>
          <w:color w:val="231F20"/>
        </w:rPr>
        <w:t>у</w:t>
      </w:r>
      <w:r>
        <w:rPr>
          <w:color w:val="231F20"/>
          <w:spacing w:val="-11"/>
        </w:rPr>
        <w:t> </w:t>
      </w:r>
      <w:r>
        <w:rPr>
          <w:color w:val="231F20"/>
        </w:rPr>
        <w:t>травмированного</w:t>
      </w:r>
      <w:r>
        <w:rPr>
          <w:color w:val="231F20"/>
          <w:spacing w:val="-11"/>
        </w:rPr>
        <w:t> </w:t>
      </w:r>
      <w:r>
        <w:rPr>
          <w:color w:val="231F20"/>
        </w:rPr>
        <w:t>ребенка</w:t>
      </w:r>
      <w:r>
        <w:rPr>
          <w:color w:val="231F20"/>
          <w:spacing w:val="-11"/>
        </w:rPr>
        <w:t> </w:t>
      </w:r>
      <w:r>
        <w:rPr>
          <w:color w:val="231F20"/>
        </w:rPr>
        <w:t>могут</w:t>
      </w:r>
      <w:r>
        <w:rPr>
          <w:color w:val="231F20"/>
          <w:spacing w:val="-11"/>
        </w:rPr>
        <w:t> </w:t>
      </w:r>
      <w:r>
        <w:rPr>
          <w:color w:val="231F20"/>
        </w:rPr>
        <w:t>быть</w:t>
      </w:r>
      <w:r>
        <w:rPr>
          <w:color w:val="231F20"/>
          <w:spacing w:val="-11"/>
        </w:rPr>
        <w:t> </w:t>
      </w:r>
      <w:r>
        <w:rPr>
          <w:color w:val="231F20"/>
        </w:rPr>
        <w:t>проблемы</w:t>
      </w:r>
      <w:r>
        <w:rPr>
          <w:color w:val="231F20"/>
          <w:spacing w:val="-11"/>
        </w:rPr>
        <w:t> </w:t>
      </w:r>
      <w:r>
        <w:rPr>
          <w:color w:val="231F20"/>
        </w:rPr>
        <w:t>сенсомоторного развития,</w:t>
      </w:r>
      <w:r>
        <w:rPr>
          <w:color w:val="231F20"/>
          <w:spacing w:val="-13"/>
        </w:rPr>
        <w:t> </w:t>
      </w:r>
      <w:r>
        <w:rPr>
          <w:color w:val="231F20"/>
        </w:rPr>
        <w:t>снижение</w:t>
      </w:r>
      <w:r>
        <w:rPr>
          <w:color w:val="231F20"/>
          <w:spacing w:val="-12"/>
        </w:rPr>
        <w:t> </w:t>
      </w:r>
      <w:r>
        <w:rPr>
          <w:color w:val="231F20"/>
        </w:rPr>
        <w:t>чувствительности,</w:t>
      </w:r>
      <w:r>
        <w:rPr>
          <w:color w:val="231F20"/>
          <w:spacing w:val="-13"/>
        </w:rPr>
        <w:t> </w:t>
      </w:r>
      <w:r>
        <w:rPr>
          <w:color w:val="231F20"/>
        </w:rPr>
        <w:t>трудности</w:t>
      </w:r>
      <w:r>
        <w:rPr>
          <w:color w:val="231F20"/>
          <w:spacing w:val="-12"/>
        </w:rPr>
        <w:t> </w:t>
      </w:r>
      <w:r>
        <w:rPr>
          <w:color w:val="231F20"/>
        </w:rPr>
        <w:t>в</w:t>
      </w:r>
      <w:r>
        <w:rPr>
          <w:color w:val="231F20"/>
          <w:spacing w:val="-13"/>
        </w:rPr>
        <w:t> </w:t>
      </w:r>
      <w:r>
        <w:rPr>
          <w:color w:val="231F20"/>
        </w:rPr>
        <w:t>координации,</w:t>
      </w:r>
      <w:r>
        <w:rPr>
          <w:color w:val="231F20"/>
          <w:spacing w:val="-12"/>
        </w:rPr>
        <w:t> </w:t>
      </w:r>
      <w:r>
        <w:rPr>
          <w:color w:val="231F20"/>
        </w:rPr>
        <w:t>равновесии,</w:t>
      </w:r>
      <w:r>
        <w:rPr>
          <w:color w:val="231F20"/>
          <w:spacing w:val="-13"/>
        </w:rPr>
        <w:t> </w:t>
      </w:r>
      <w:r>
        <w:rPr>
          <w:color w:val="231F20"/>
        </w:rPr>
        <w:t>хрони- ческое напряжение мышц тела. Возможно общее увеличение проблем со здоровьем на</w:t>
      </w:r>
      <w:r>
        <w:rPr>
          <w:color w:val="231F20"/>
          <w:spacing w:val="-13"/>
        </w:rPr>
        <w:t> </w:t>
      </w:r>
      <w:r>
        <w:rPr>
          <w:color w:val="231F20"/>
        </w:rPr>
        <w:t>фоне</w:t>
      </w:r>
      <w:r>
        <w:rPr>
          <w:color w:val="231F20"/>
          <w:spacing w:val="-12"/>
        </w:rPr>
        <w:t> </w:t>
      </w:r>
      <w:r>
        <w:rPr>
          <w:color w:val="231F20"/>
        </w:rPr>
        <w:t>хронического</w:t>
      </w:r>
      <w:r>
        <w:rPr>
          <w:color w:val="231F20"/>
          <w:spacing w:val="-13"/>
        </w:rPr>
        <w:t> </w:t>
      </w:r>
      <w:r>
        <w:rPr>
          <w:color w:val="231F20"/>
        </w:rPr>
        <w:t>напряжения</w:t>
      </w:r>
      <w:r>
        <w:rPr>
          <w:color w:val="231F20"/>
          <w:spacing w:val="-12"/>
        </w:rPr>
        <w:t> </w:t>
      </w:r>
      <w:r>
        <w:rPr>
          <w:color w:val="231F20"/>
        </w:rPr>
        <w:t>и</w:t>
      </w:r>
      <w:r>
        <w:rPr>
          <w:color w:val="231F20"/>
          <w:spacing w:val="-13"/>
        </w:rPr>
        <w:t> </w:t>
      </w:r>
      <w:r>
        <w:rPr>
          <w:color w:val="231F20"/>
        </w:rPr>
        <w:t>частого</w:t>
      </w:r>
      <w:r>
        <w:rPr>
          <w:color w:val="231F20"/>
          <w:spacing w:val="-12"/>
        </w:rPr>
        <w:t> </w:t>
      </w:r>
      <w:r>
        <w:rPr>
          <w:color w:val="231F20"/>
        </w:rPr>
        <w:t>труднопереносимого</w:t>
      </w:r>
      <w:r>
        <w:rPr>
          <w:color w:val="231F20"/>
          <w:spacing w:val="-13"/>
        </w:rPr>
        <w:t> </w:t>
      </w:r>
      <w:r>
        <w:rPr>
          <w:color w:val="231F20"/>
        </w:rPr>
        <w:t>стресса.</w:t>
      </w:r>
      <w:r>
        <w:rPr>
          <w:color w:val="231F20"/>
          <w:spacing w:val="-12"/>
        </w:rPr>
        <w:t> </w:t>
      </w:r>
      <w:r>
        <w:rPr>
          <w:color w:val="231F20"/>
        </w:rPr>
        <w:t>Аллергии, любые проблемы с кожей, астма.</w:t>
      </w:r>
    </w:p>
    <w:p>
      <w:pPr>
        <w:pStyle w:val="BodyText"/>
        <w:spacing w:line="230" w:lineRule="auto"/>
      </w:pPr>
      <w:r>
        <w:rPr>
          <w:color w:val="231F20"/>
        </w:rPr>
        <w:t>У</w:t>
      </w:r>
      <w:r>
        <w:rPr>
          <w:color w:val="231F20"/>
          <w:spacing w:val="-13"/>
        </w:rPr>
        <w:t> </w:t>
      </w:r>
      <w:r>
        <w:rPr>
          <w:color w:val="231F20"/>
        </w:rPr>
        <w:t>травмированного</w:t>
      </w:r>
      <w:r>
        <w:rPr>
          <w:color w:val="231F20"/>
          <w:spacing w:val="-12"/>
        </w:rPr>
        <w:t> </w:t>
      </w:r>
      <w:r>
        <w:rPr>
          <w:color w:val="231F20"/>
        </w:rPr>
        <w:t>ребенка</w:t>
      </w:r>
      <w:r>
        <w:rPr>
          <w:color w:val="231F20"/>
          <w:spacing w:val="-13"/>
        </w:rPr>
        <w:t> </w:t>
      </w:r>
      <w:r>
        <w:rPr>
          <w:color w:val="231F20"/>
        </w:rPr>
        <w:t>может</w:t>
      </w:r>
      <w:r>
        <w:rPr>
          <w:color w:val="231F20"/>
          <w:spacing w:val="-12"/>
        </w:rPr>
        <w:t> </w:t>
      </w:r>
      <w:r>
        <w:rPr>
          <w:color w:val="231F20"/>
        </w:rPr>
        <w:t>быть</w:t>
      </w:r>
      <w:r>
        <w:rPr>
          <w:color w:val="231F20"/>
          <w:spacing w:val="-13"/>
        </w:rPr>
        <w:t> </w:t>
      </w:r>
      <w:r>
        <w:rPr>
          <w:color w:val="231F20"/>
        </w:rPr>
        <w:t>изменена</w:t>
      </w:r>
      <w:r>
        <w:rPr>
          <w:color w:val="231F20"/>
          <w:spacing w:val="-12"/>
        </w:rPr>
        <w:t> </w:t>
      </w:r>
      <w:r>
        <w:rPr>
          <w:color w:val="231F20"/>
        </w:rPr>
        <w:t>чувствительность</w:t>
      </w:r>
      <w:r>
        <w:rPr>
          <w:color w:val="231F20"/>
          <w:spacing w:val="-13"/>
        </w:rPr>
        <w:t> </w:t>
      </w:r>
      <w:r>
        <w:rPr>
          <w:color w:val="231F20"/>
        </w:rPr>
        <w:t>как</w:t>
      </w:r>
      <w:r>
        <w:rPr>
          <w:color w:val="231F20"/>
          <w:spacing w:val="-12"/>
        </w:rPr>
        <w:t> </w:t>
      </w:r>
      <w:r>
        <w:rPr>
          <w:color w:val="231F20"/>
        </w:rPr>
        <w:t>в</w:t>
      </w:r>
      <w:r>
        <w:rPr>
          <w:color w:val="231F20"/>
          <w:spacing w:val="-13"/>
        </w:rPr>
        <w:t> </w:t>
      </w:r>
      <w:r>
        <w:rPr>
          <w:color w:val="231F20"/>
        </w:rPr>
        <w:t>сторону снижения</w:t>
      </w:r>
      <w:r>
        <w:rPr>
          <w:color w:val="231F20"/>
          <w:spacing w:val="-10"/>
        </w:rPr>
        <w:t> </w:t>
      </w:r>
      <w:r>
        <w:rPr>
          <w:color w:val="231F20"/>
        </w:rPr>
        <w:t>чувствительности</w:t>
      </w:r>
      <w:r>
        <w:rPr>
          <w:color w:val="231F20"/>
          <w:spacing w:val="-10"/>
        </w:rPr>
        <w:t> </w:t>
      </w:r>
      <w:r>
        <w:rPr>
          <w:color w:val="231F20"/>
        </w:rPr>
        <w:t>к</w:t>
      </w:r>
      <w:r>
        <w:rPr>
          <w:color w:val="231F20"/>
          <w:spacing w:val="-10"/>
        </w:rPr>
        <w:t> </w:t>
      </w:r>
      <w:r>
        <w:rPr>
          <w:color w:val="231F20"/>
        </w:rPr>
        <w:t>боли,</w:t>
      </w:r>
      <w:r>
        <w:rPr>
          <w:color w:val="231F20"/>
          <w:spacing w:val="-10"/>
        </w:rPr>
        <w:t> </w:t>
      </w:r>
      <w:r>
        <w:rPr>
          <w:color w:val="231F20"/>
        </w:rPr>
        <w:t>так</w:t>
      </w:r>
      <w:r>
        <w:rPr>
          <w:color w:val="231F20"/>
          <w:spacing w:val="-10"/>
        </w:rPr>
        <w:t> </w:t>
      </w:r>
      <w:r>
        <w:rPr>
          <w:color w:val="231F20"/>
        </w:rPr>
        <w:t>и</w:t>
      </w:r>
      <w:r>
        <w:rPr>
          <w:color w:val="231F20"/>
          <w:spacing w:val="-10"/>
        </w:rPr>
        <w:t> </w:t>
      </w:r>
      <w:r>
        <w:rPr>
          <w:color w:val="231F20"/>
        </w:rPr>
        <w:t>повышения</w:t>
      </w:r>
      <w:r>
        <w:rPr>
          <w:color w:val="231F20"/>
          <w:spacing w:val="-10"/>
        </w:rPr>
        <w:t> </w:t>
      </w:r>
      <w:r>
        <w:rPr>
          <w:color w:val="231F20"/>
        </w:rPr>
        <w:t>чувствительности</w:t>
      </w:r>
      <w:r>
        <w:rPr>
          <w:color w:val="231F20"/>
          <w:spacing w:val="-10"/>
        </w:rPr>
        <w:t> </w:t>
      </w:r>
      <w:r>
        <w:rPr>
          <w:color w:val="231F20"/>
        </w:rPr>
        <w:t>всех</w:t>
      </w:r>
      <w:r>
        <w:rPr>
          <w:color w:val="231F20"/>
          <w:spacing w:val="-10"/>
        </w:rPr>
        <w:t> </w:t>
      </w:r>
      <w:r>
        <w:rPr>
          <w:color w:val="231F20"/>
        </w:rPr>
        <w:t>органов чувств. Это может выражаться в сниженной реакции на раздражитель и, как следст- вие, повышенной травмоопасности, но может быть и наоборот: резкая реакция на запахи, громкие звуки, страх перед болезненными процедурами.</w:t>
      </w:r>
    </w:p>
    <w:p>
      <w:pPr>
        <w:pStyle w:val="ListParagraph"/>
        <w:numPr>
          <w:ilvl w:val="1"/>
          <w:numId w:val="62"/>
        </w:numPr>
        <w:tabs>
          <w:tab w:pos="758" w:val="left" w:leader="none"/>
        </w:tabs>
        <w:spacing w:line="225" w:lineRule="exact" w:before="104" w:after="0"/>
        <w:ind w:left="758" w:right="0" w:hanging="333"/>
        <w:jc w:val="both"/>
        <w:rPr>
          <w:sz w:val="20"/>
        </w:rPr>
      </w:pPr>
      <w:r>
        <w:rPr>
          <w:b/>
          <w:color w:val="231F20"/>
          <w:sz w:val="20"/>
        </w:rPr>
        <w:t>Симптомы,</w:t>
      </w:r>
      <w:r>
        <w:rPr>
          <w:b/>
          <w:color w:val="231F20"/>
          <w:spacing w:val="-5"/>
          <w:sz w:val="20"/>
        </w:rPr>
        <w:t> </w:t>
      </w:r>
      <w:r>
        <w:rPr>
          <w:color w:val="231F20"/>
          <w:sz w:val="20"/>
        </w:rPr>
        <w:t>проявляющиеся</w:t>
      </w:r>
      <w:r>
        <w:rPr>
          <w:color w:val="231F20"/>
          <w:spacing w:val="-5"/>
          <w:sz w:val="20"/>
        </w:rPr>
        <w:t> </w:t>
      </w:r>
      <w:r>
        <w:rPr>
          <w:color w:val="231F20"/>
          <w:sz w:val="20"/>
        </w:rPr>
        <w:t>в</w:t>
      </w:r>
      <w:r>
        <w:rPr>
          <w:color w:val="231F20"/>
          <w:spacing w:val="-5"/>
          <w:sz w:val="20"/>
        </w:rPr>
        <w:t> </w:t>
      </w:r>
      <w:r>
        <w:rPr>
          <w:color w:val="231F20"/>
          <w:sz w:val="20"/>
        </w:rPr>
        <w:t>сложности</w:t>
      </w:r>
      <w:r>
        <w:rPr>
          <w:color w:val="231F20"/>
          <w:spacing w:val="-4"/>
          <w:sz w:val="20"/>
        </w:rPr>
        <w:t> </w:t>
      </w:r>
      <w:r>
        <w:rPr>
          <w:color w:val="231F20"/>
          <w:spacing w:val="-2"/>
          <w:sz w:val="20"/>
        </w:rPr>
        <w:t>саморегуляции</w:t>
      </w:r>
    </w:p>
    <w:p>
      <w:pPr>
        <w:pStyle w:val="BodyText"/>
        <w:spacing w:line="232" w:lineRule="auto" w:before="1"/>
        <w:jc w:val="right"/>
      </w:pPr>
      <w:r>
        <w:rPr>
          <w:color w:val="231F20"/>
        </w:rPr>
        <w:t>В плане саморегуляции у травмированного ребенка наиболее выражены сложно- сти в понимании и регуляции своих эмоций и состояний, с ними связанных. Резкие вспышки гнева, казалось бы, не соответствующие обстановке, или, наоборот, зами- рание вплоть до невозможности вымолвить ни слова являются автоматическими за- щитными реакциями, которые сильнее любого разумного объяснения. В такие мо- менты</w:t>
      </w:r>
      <w:r>
        <w:rPr>
          <w:color w:val="231F20"/>
          <w:spacing w:val="-13"/>
        </w:rPr>
        <w:t> </w:t>
      </w:r>
      <w:r>
        <w:rPr>
          <w:color w:val="231F20"/>
        </w:rPr>
        <w:t>детям</w:t>
      </w:r>
      <w:r>
        <w:rPr>
          <w:color w:val="231F20"/>
          <w:spacing w:val="-12"/>
        </w:rPr>
        <w:t> </w:t>
      </w:r>
      <w:r>
        <w:rPr>
          <w:color w:val="231F20"/>
        </w:rPr>
        <w:t>сложно</w:t>
      </w:r>
      <w:r>
        <w:rPr>
          <w:color w:val="231F20"/>
          <w:spacing w:val="-13"/>
        </w:rPr>
        <w:t> </w:t>
      </w:r>
      <w:r>
        <w:rPr>
          <w:color w:val="231F20"/>
        </w:rPr>
        <w:t>понять,</w:t>
      </w:r>
      <w:r>
        <w:rPr>
          <w:color w:val="231F20"/>
          <w:spacing w:val="-12"/>
        </w:rPr>
        <w:t> </w:t>
      </w:r>
      <w:r>
        <w:rPr>
          <w:color w:val="231F20"/>
        </w:rPr>
        <w:t>что</w:t>
      </w:r>
      <w:r>
        <w:rPr>
          <w:color w:val="231F20"/>
          <w:spacing w:val="-13"/>
        </w:rPr>
        <w:t> </w:t>
      </w:r>
      <w:r>
        <w:rPr>
          <w:color w:val="231F20"/>
        </w:rPr>
        <w:t>с</w:t>
      </w:r>
      <w:r>
        <w:rPr>
          <w:color w:val="231F20"/>
          <w:spacing w:val="-12"/>
        </w:rPr>
        <w:t> </w:t>
      </w:r>
      <w:r>
        <w:rPr>
          <w:color w:val="231F20"/>
        </w:rPr>
        <w:t>ними</w:t>
      </w:r>
      <w:r>
        <w:rPr>
          <w:color w:val="231F20"/>
          <w:spacing w:val="-13"/>
        </w:rPr>
        <w:t> </w:t>
      </w:r>
      <w:r>
        <w:rPr>
          <w:color w:val="231F20"/>
        </w:rPr>
        <w:t>происходит.</w:t>
      </w:r>
      <w:r>
        <w:rPr>
          <w:color w:val="231F20"/>
          <w:spacing w:val="-12"/>
        </w:rPr>
        <w:t> </w:t>
      </w:r>
      <w:r>
        <w:rPr>
          <w:color w:val="231F20"/>
        </w:rPr>
        <w:t>Они</w:t>
      </w:r>
      <w:r>
        <w:rPr>
          <w:color w:val="231F20"/>
          <w:spacing w:val="-13"/>
        </w:rPr>
        <w:t> </w:t>
      </w:r>
      <w:r>
        <w:rPr>
          <w:color w:val="231F20"/>
        </w:rPr>
        <w:t>часто</w:t>
      </w:r>
      <w:r>
        <w:rPr>
          <w:color w:val="231F20"/>
          <w:spacing w:val="-12"/>
        </w:rPr>
        <w:t> </w:t>
      </w:r>
      <w:r>
        <w:rPr>
          <w:color w:val="231F20"/>
        </w:rPr>
        <w:t>не</w:t>
      </w:r>
      <w:r>
        <w:rPr>
          <w:color w:val="231F20"/>
          <w:spacing w:val="-13"/>
        </w:rPr>
        <w:t> </w:t>
      </w:r>
      <w:r>
        <w:rPr>
          <w:color w:val="231F20"/>
        </w:rPr>
        <w:t>могут</w:t>
      </w:r>
      <w:r>
        <w:rPr>
          <w:color w:val="231F20"/>
          <w:spacing w:val="-12"/>
        </w:rPr>
        <w:t> </w:t>
      </w:r>
      <w:r>
        <w:rPr>
          <w:color w:val="231F20"/>
        </w:rPr>
        <w:t>распознать</w:t>
      </w:r>
      <w:r>
        <w:rPr>
          <w:color w:val="231F20"/>
          <w:spacing w:val="-13"/>
        </w:rPr>
        <w:t> </w:t>
      </w:r>
      <w:r>
        <w:rPr>
          <w:color w:val="231F20"/>
        </w:rPr>
        <w:t>и назвать</w:t>
      </w:r>
      <w:r>
        <w:rPr>
          <w:color w:val="231F20"/>
          <w:spacing w:val="-1"/>
        </w:rPr>
        <w:t> </w:t>
      </w:r>
      <w:r>
        <w:rPr>
          <w:color w:val="231F20"/>
        </w:rPr>
        <w:t>чувства,</w:t>
      </w:r>
      <w:r>
        <w:rPr>
          <w:color w:val="231F20"/>
          <w:spacing w:val="-1"/>
        </w:rPr>
        <w:t> </w:t>
      </w:r>
      <w:r>
        <w:rPr>
          <w:color w:val="231F20"/>
        </w:rPr>
        <w:t>ясно</w:t>
      </w:r>
      <w:r>
        <w:rPr>
          <w:color w:val="231F20"/>
          <w:spacing w:val="-1"/>
        </w:rPr>
        <w:t> </w:t>
      </w:r>
      <w:r>
        <w:rPr>
          <w:color w:val="231F20"/>
        </w:rPr>
        <w:t>описать</w:t>
      </w:r>
      <w:r>
        <w:rPr>
          <w:color w:val="231F20"/>
          <w:spacing w:val="-1"/>
        </w:rPr>
        <w:t> </w:t>
      </w:r>
      <w:r>
        <w:rPr>
          <w:color w:val="231F20"/>
        </w:rPr>
        <w:t>и</w:t>
      </w:r>
      <w:r>
        <w:rPr>
          <w:color w:val="231F20"/>
          <w:spacing w:val="-1"/>
        </w:rPr>
        <w:t> </w:t>
      </w:r>
      <w:r>
        <w:rPr>
          <w:color w:val="231F20"/>
        </w:rPr>
        <w:t>объяснить,</w:t>
      </w:r>
      <w:r>
        <w:rPr>
          <w:color w:val="231F20"/>
          <w:spacing w:val="-1"/>
        </w:rPr>
        <w:t> </w:t>
      </w:r>
      <w:r>
        <w:rPr>
          <w:color w:val="231F20"/>
        </w:rPr>
        <w:t>почему</w:t>
      </w:r>
      <w:r>
        <w:rPr>
          <w:color w:val="231F20"/>
          <w:spacing w:val="-1"/>
        </w:rPr>
        <w:t> </w:t>
      </w:r>
      <w:r>
        <w:rPr>
          <w:color w:val="231F20"/>
        </w:rPr>
        <w:t>какое-то</w:t>
      </w:r>
      <w:r>
        <w:rPr>
          <w:color w:val="231F20"/>
          <w:spacing w:val="-1"/>
        </w:rPr>
        <w:t> </w:t>
      </w:r>
      <w:r>
        <w:rPr>
          <w:color w:val="231F20"/>
        </w:rPr>
        <w:t>событие</w:t>
      </w:r>
      <w:r>
        <w:rPr>
          <w:color w:val="231F20"/>
          <w:spacing w:val="-1"/>
        </w:rPr>
        <w:t> </w:t>
      </w:r>
      <w:r>
        <w:rPr>
          <w:color w:val="231F20"/>
        </w:rPr>
        <w:t>вызвало</w:t>
      </w:r>
      <w:r>
        <w:rPr>
          <w:color w:val="231F20"/>
          <w:spacing w:val="-1"/>
        </w:rPr>
        <w:t> </w:t>
      </w:r>
      <w:r>
        <w:rPr>
          <w:color w:val="231F20"/>
        </w:rPr>
        <w:t>ту</w:t>
      </w:r>
      <w:r>
        <w:rPr>
          <w:color w:val="231F20"/>
          <w:spacing w:val="-1"/>
        </w:rPr>
        <w:t> </w:t>
      </w:r>
      <w:r>
        <w:rPr>
          <w:color w:val="231F20"/>
        </w:rPr>
        <w:t>или иную</w:t>
      </w:r>
      <w:r>
        <w:rPr>
          <w:color w:val="231F20"/>
          <w:spacing w:val="-5"/>
        </w:rPr>
        <w:t> </w:t>
      </w:r>
      <w:r>
        <w:rPr>
          <w:color w:val="231F20"/>
        </w:rPr>
        <w:t>реакцию.</w:t>
      </w:r>
      <w:r>
        <w:rPr>
          <w:color w:val="231F20"/>
          <w:spacing w:val="-5"/>
        </w:rPr>
        <w:t> </w:t>
      </w:r>
      <w:r>
        <w:rPr>
          <w:color w:val="231F20"/>
        </w:rPr>
        <w:t>Тон</w:t>
      </w:r>
      <w:r>
        <w:rPr>
          <w:color w:val="231F20"/>
          <w:spacing w:val="-5"/>
        </w:rPr>
        <w:t> </w:t>
      </w:r>
      <w:r>
        <w:rPr>
          <w:color w:val="231F20"/>
        </w:rPr>
        <w:t>голоса</w:t>
      </w:r>
      <w:r>
        <w:rPr>
          <w:color w:val="231F20"/>
          <w:spacing w:val="-5"/>
        </w:rPr>
        <w:t> </w:t>
      </w:r>
      <w:r>
        <w:rPr>
          <w:color w:val="231F20"/>
        </w:rPr>
        <w:t>незнакомого</w:t>
      </w:r>
      <w:r>
        <w:rPr>
          <w:color w:val="231F20"/>
          <w:spacing w:val="-5"/>
        </w:rPr>
        <w:t> </w:t>
      </w:r>
      <w:r>
        <w:rPr>
          <w:color w:val="231F20"/>
        </w:rPr>
        <w:t>человека,</w:t>
      </w:r>
      <w:r>
        <w:rPr>
          <w:color w:val="231F20"/>
          <w:spacing w:val="-5"/>
        </w:rPr>
        <w:t> </w:t>
      </w:r>
      <w:r>
        <w:rPr>
          <w:color w:val="231F20"/>
        </w:rPr>
        <w:t>силуэт</w:t>
      </w:r>
      <w:r>
        <w:rPr>
          <w:color w:val="231F20"/>
          <w:spacing w:val="-5"/>
        </w:rPr>
        <w:t> </w:t>
      </w:r>
      <w:r>
        <w:rPr>
          <w:color w:val="231F20"/>
        </w:rPr>
        <w:t>в</w:t>
      </w:r>
      <w:r>
        <w:rPr>
          <w:color w:val="231F20"/>
          <w:spacing w:val="-5"/>
        </w:rPr>
        <w:t> </w:t>
      </w:r>
      <w:r>
        <w:rPr>
          <w:color w:val="231F20"/>
        </w:rPr>
        <w:t>толпе,</w:t>
      </w:r>
      <w:r>
        <w:rPr>
          <w:color w:val="231F20"/>
          <w:spacing w:val="-5"/>
        </w:rPr>
        <w:t> </w:t>
      </w:r>
      <w:r>
        <w:rPr>
          <w:color w:val="231F20"/>
        </w:rPr>
        <w:t>странный</w:t>
      </w:r>
      <w:r>
        <w:rPr>
          <w:color w:val="231F20"/>
          <w:spacing w:val="-5"/>
        </w:rPr>
        <w:t> </w:t>
      </w:r>
      <w:r>
        <w:rPr>
          <w:color w:val="231F20"/>
        </w:rPr>
        <w:t>звук</w:t>
      </w:r>
      <w:r>
        <w:rPr>
          <w:color w:val="231F20"/>
          <w:spacing w:val="-5"/>
        </w:rPr>
        <w:t> </w:t>
      </w:r>
      <w:r>
        <w:rPr>
          <w:color w:val="231F20"/>
        </w:rPr>
        <w:t>или запах</w:t>
      </w:r>
      <w:r>
        <w:rPr>
          <w:color w:val="231F20"/>
          <w:spacing w:val="-6"/>
        </w:rPr>
        <w:t> </w:t>
      </w:r>
      <w:r>
        <w:rPr>
          <w:color w:val="231F20"/>
        </w:rPr>
        <w:t>–</w:t>
      </w:r>
      <w:r>
        <w:rPr>
          <w:color w:val="231F20"/>
          <w:spacing w:val="-6"/>
        </w:rPr>
        <w:t> </w:t>
      </w:r>
      <w:r>
        <w:rPr>
          <w:color w:val="231F20"/>
        </w:rPr>
        <w:t>что</w:t>
      </w:r>
      <w:r>
        <w:rPr>
          <w:color w:val="231F20"/>
          <w:spacing w:val="-6"/>
        </w:rPr>
        <w:t> </w:t>
      </w:r>
      <w:r>
        <w:rPr>
          <w:color w:val="231F20"/>
        </w:rPr>
        <w:t>угодно</w:t>
      </w:r>
      <w:r>
        <w:rPr>
          <w:color w:val="231F20"/>
          <w:spacing w:val="-6"/>
        </w:rPr>
        <w:t> </w:t>
      </w:r>
      <w:r>
        <w:rPr>
          <w:color w:val="231F20"/>
        </w:rPr>
        <w:t>может</w:t>
      </w:r>
      <w:r>
        <w:rPr>
          <w:color w:val="231F20"/>
          <w:spacing w:val="-6"/>
        </w:rPr>
        <w:t> </w:t>
      </w:r>
      <w:r>
        <w:rPr>
          <w:color w:val="231F20"/>
        </w:rPr>
        <w:t>стать</w:t>
      </w:r>
      <w:r>
        <w:rPr>
          <w:color w:val="231F20"/>
          <w:spacing w:val="-6"/>
        </w:rPr>
        <w:t> </w:t>
      </w:r>
      <w:r>
        <w:rPr>
          <w:color w:val="231F20"/>
        </w:rPr>
        <w:t>триггером</w:t>
      </w:r>
      <w:r>
        <w:rPr>
          <w:color w:val="231F20"/>
          <w:spacing w:val="-6"/>
        </w:rPr>
        <w:t> </w:t>
      </w:r>
      <w:r>
        <w:rPr>
          <w:color w:val="231F20"/>
        </w:rPr>
        <w:t>для</w:t>
      </w:r>
      <w:r>
        <w:rPr>
          <w:color w:val="231F20"/>
          <w:spacing w:val="-6"/>
        </w:rPr>
        <w:t> </w:t>
      </w:r>
      <w:r>
        <w:rPr>
          <w:color w:val="231F20"/>
        </w:rPr>
        <w:t>включения</w:t>
      </w:r>
      <w:r>
        <w:rPr>
          <w:color w:val="231F20"/>
          <w:spacing w:val="-6"/>
        </w:rPr>
        <w:t> </w:t>
      </w:r>
      <w:r>
        <w:rPr>
          <w:color w:val="231F20"/>
        </w:rPr>
        <w:t>реакции</w:t>
      </w:r>
      <w:r>
        <w:rPr>
          <w:color w:val="231F20"/>
          <w:spacing w:val="-6"/>
        </w:rPr>
        <w:t> </w:t>
      </w:r>
      <w:r>
        <w:rPr>
          <w:color w:val="231F20"/>
        </w:rPr>
        <w:t>тревоги</w:t>
      </w:r>
      <w:r>
        <w:rPr>
          <w:color w:val="231F20"/>
          <w:spacing w:val="-6"/>
        </w:rPr>
        <w:t> </w:t>
      </w:r>
      <w:r>
        <w:rPr>
          <w:color w:val="231F20"/>
        </w:rPr>
        <w:t>и</w:t>
      </w:r>
      <w:r>
        <w:rPr>
          <w:color w:val="231F20"/>
          <w:spacing w:val="-6"/>
        </w:rPr>
        <w:t> </w:t>
      </w:r>
      <w:r>
        <w:rPr>
          <w:color w:val="231F20"/>
        </w:rPr>
        <w:t>защиты. Не только сложные чувства могут вызывать затруднения в идентификации и опи- сании.</w:t>
      </w:r>
      <w:r>
        <w:rPr>
          <w:color w:val="231F20"/>
          <w:spacing w:val="-9"/>
        </w:rPr>
        <w:t> </w:t>
      </w:r>
      <w:r>
        <w:rPr>
          <w:color w:val="231F20"/>
        </w:rPr>
        <w:t>Травмированному</w:t>
      </w:r>
      <w:r>
        <w:rPr>
          <w:color w:val="231F20"/>
          <w:spacing w:val="-6"/>
        </w:rPr>
        <w:t> </w:t>
      </w:r>
      <w:r>
        <w:rPr>
          <w:color w:val="231F20"/>
        </w:rPr>
        <w:t>ребенку</w:t>
      </w:r>
      <w:r>
        <w:rPr>
          <w:color w:val="231F20"/>
          <w:spacing w:val="-7"/>
        </w:rPr>
        <w:t> </w:t>
      </w:r>
      <w:r>
        <w:rPr>
          <w:color w:val="231F20"/>
        </w:rPr>
        <w:t>сложно</w:t>
      </w:r>
      <w:r>
        <w:rPr>
          <w:color w:val="231F20"/>
          <w:spacing w:val="-6"/>
        </w:rPr>
        <w:t> </w:t>
      </w:r>
      <w:r>
        <w:rPr>
          <w:color w:val="231F20"/>
        </w:rPr>
        <w:t>в</w:t>
      </w:r>
      <w:r>
        <w:rPr>
          <w:color w:val="231F20"/>
          <w:spacing w:val="-7"/>
        </w:rPr>
        <w:t> </w:t>
      </w:r>
      <w:r>
        <w:rPr>
          <w:color w:val="231F20"/>
        </w:rPr>
        <w:t>целом</w:t>
      </w:r>
      <w:r>
        <w:rPr>
          <w:color w:val="231F20"/>
          <w:spacing w:val="-6"/>
        </w:rPr>
        <w:t> </w:t>
      </w:r>
      <w:r>
        <w:rPr>
          <w:color w:val="231F20"/>
        </w:rPr>
        <w:t>осознавать</w:t>
      </w:r>
      <w:r>
        <w:rPr>
          <w:color w:val="231F20"/>
          <w:spacing w:val="-7"/>
        </w:rPr>
        <w:t> </w:t>
      </w:r>
      <w:r>
        <w:rPr>
          <w:color w:val="231F20"/>
        </w:rPr>
        <w:t>и</w:t>
      </w:r>
      <w:r>
        <w:rPr>
          <w:color w:val="231F20"/>
          <w:spacing w:val="-6"/>
        </w:rPr>
        <w:t> </w:t>
      </w:r>
      <w:r>
        <w:rPr>
          <w:color w:val="231F20"/>
        </w:rPr>
        <w:t>сообщать</w:t>
      </w:r>
      <w:r>
        <w:rPr>
          <w:color w:val="231F20"/>
          <w:spacing w:val="-7"/>
        </w:rPr>
        <w:t> </w:t>
      </w:r>
      <w:r>
        <w:rPr>
          <w:color w:val="231F20"/>
        </w:rPr>
        <w:t>о</w:t>
      </w:r>
      <w:r>
        <w:rPr>
          <w:color w:val="231F20"/>
          <w:spacing w:val="-6"/>
        </w:rPr>
        <w:t> </w:t>
      </w:r>
      <w:r>
        <w:rPr>
          <w:color w:val="231F20"/>
        </w:rPr>
        <w:t>своих</w:t>
      </w:r>
      <w:r>
        <w:rPr>
          <w:color w:val="231F20"/>
          <w:spacing w:val="-6"/>
        </w:rPr>
        <w:t> </w:t>
      </w:r>
      <w:r>
        <w:rPr>
          <w:color w:val="231F20"/>
          <w:spacing w:val="-5"/>
        </w:rPr>
        <w:t>по-</w:t>
      </w:r>
    </w:p>
    <w:p>
      <w:pPr>
        <w:pStyle w:val="BodyText"/>
        <w:spacing w:line="214" w:lineRule="exact"/>
        <w:ind w:right="0" w:firstLine="0"/>
      </w:pPr>
      <w:r>
        <w:rPr>
          <w:color w:val="231F20"/>
        </w:rPr>
        <w:t>требностях</w:t>
      </w:r>
      <w:r>
        <w:rPr>
          <w:color w:val="231F20"/>
          <w:spacing w:val="1"/>
        </w:rPr>
        <w:t> </w:t>
      </w:r>
      <w:r>
        <w:rPr>
          <w:color w:val="231F20"/>
        </w:rPr>
        <w:t>и</w:t>
      </w:r>
      <w:r>
        <w:rPr>
          <w:color w:val="231F20"/>
          <w:spacing w:val="1"/>
        </w:rPr>
        <w:t> </w:t>
      </w:r>
      <w:r>
        <w:rPr>
          <w:color w:val="231F20"/>
          <w:spacing w:val="-2"/>
        </w:rPr>
        <w:t>желаниях.</w:t>
      </w:r>
    </w:p>
    <w:p>
      <w:pPr>
        <w:numPr>
          <w:ilvl w:val="1"/>
          <w:numId w:val="62"/>
        </w:numPr>
        <w:tabs>
          <w:tab w:pos="720" w:val="left" w:leader="none"/>
        </w:tabs>
        <w:spacing w:line="227" w:lineRule="exact" w:before="107"/>
        <w:ind w:left="720" w:right="0" w:hanging="295"/>
        <w:jc w:val="both"/>
        <w:rPr>
          <w:b/>
          <w:sz w:val="20"/>
        </w:rPr>
      </w:pPr>
      <w:r>
        <w:rPr>
          <w:b/>
          <w:color w:val="231F20"/>
          <w:sz w:val="20"/>
        </w:rPr>
        <w:t>Диссоциация</w:t>
      </w:r>
      <w:r>
        <w:rPr>
          <w:b/>
          <w:color w:val="231F20"/>
          <w:spacing w:val="-6"/>
          <w:sz w:val="20"/>
        </w:rPr>
        <w:t> </w:t>
      </w:r>
      <w:r>
        <w:rPr>
          <w:b/>
          <w:color w:val="231F20"/>
          <w:sz w:val="20"/>
        </w:rPr>
        <w:t>как</w:t>
      </w:r>
      <w:r>
        <w:rPr>
          <w:b/>
          <w:color w:val="231F20"/>
          <w:spacing w:val="-6"/>
          <w:sz w:val="20"/>
        </w:rPr>
        <w:t> </w:t>
      </w:r>
      <w:r>
        <w:rPr>
          <w:b/>
          <w:color w:val="231F20"/>
          <w:sz w:val="20"/>
        </w:rPr>
        <w:t>симптом</w:t>
      </w:r>
      <w:r>
        <w:rPr>
          <w:b/>
          <w:color w:val="231F20"/>
          <w:spacing w:val="-5"/>
          <w:sz w:val="20"/>
        </w:rPr>
        <w:t> </w:t>
      </w:r>
      <w:r>
        <w:rPr>
          <w:b/>
          <w:color w:val="231F20"/>
          <w:spacing w:val="-2"/>
          <w:sz w:val="20"/>
        </w:rPr>
        <w:t>травмы</w:t>
      </w:r>
    </w:p>
    <w:p>
      <w:pPr>
        <w:pStyle w:val="BodyText"/>
        <w:spacing w:line="232" w:lineRule="auto" w:before="3"/>
      </w:pPr>
      <w:r>
        <w:rPr>
          <w:color w:val="231F20"/>
        </w:rPr>
        <w:t>В момент травмы часто срабатывает диссоциация. Ее можно описать как разо- тождествление того себя, который живет эту жизнь, с тем собою, с кем произошло травмирующее событие, когда сила эмоционального воздействия на психику была слишком высока. Очень часто диссоциация закрепляется в психике как способ уйти от любых сложных чувств и эмоций.</w:t>
      </w:r>
    </w:p>
    <w:p>
      <w:pPr>
        <w:pStyle w:val="BodyText"/>
        <w:spacing w:line="230" w:lineRule="auto" w:before="6"/>
      </w:pPr>
      <w:r>
        <w:rPr>
          <w:color w:val="231F20"/>
        </w:rPr>
        <w:t>Диссоциация может выражаться в представлении о нереальности происходяще- го,</w:t>
      </w:r>
      <w:r>
        <w:rPr>
          <w:color w:val="231F20"/>
          <w:spacing w:val="-8"/>
        </w:rPr>
        <w:t> </w:t>
      </w:r>
      <w:r>
        <w:rPr>
          <w:color w:val="231F20"/>
        </w:rPr>
        <w:t>в</w:t>
      </w:r>
      <w:r>
        <w:rPr>
          <w:color w:val="231F20"/>
          <w:spacing w:val="-8"/>
        </w:rPr>
        <w:t> </w:t>
      </w:r>
      <w:r>
        <w:rPr>
          <w:color w:val="231F20"/>
        </w:rPr>
        <w:t>трудности</w:t>
      </w:r>
      <w:r>
        <w:rPr>
          <w:color w:val="231F20"/>
          <w:spacing w:val="-8"/>
        </w:rPr>
        <w:t> </w:t>
      </w:r>
      <w:r>
        <w:rPr>
          <w:color w:val="231F20"/>
        </w:rPr>
        <w:t>концентрации</w:t>
      </w:r>
      <w:r>
        <w:rPr>
          <w:color w:val="231F20"/>
          <w:spacing w:val="-8"/>
        </w:rPr>
        <w:t> </w:t>
      </w:r>
      <w:r>
        <w:rPr>
          <w:color w:val="231F20"/>
        </w:rPr>
        <w:t>внимания.</w:t>
      </w:r>
      <w:r>
        <w:rPr>
          <w:color w:val="231F20"/>
          <w:spacing w:val="-8"/>
        </w:rPr>
        <w:t> </w:t>
      </w:r>
      <w:r>
        <w:rPr>
          <w:color w:val="231F20"/>
        </w:rPr>
        <w:t>В</w:t>
      </w:r>
      <w:r>
        <w:rPr>
          <w:color w:val="231F20"/>
          <w:spacing w:val="-8"/>
        </w:rPr>
        <w:t> </w:t>
      </w:r>
      <w:r>
        <w:rPr>
          <w:color w:val="231F20"/>
        </w:rPr>
        <w:t>момент</w:t>
      </w:r>
      <w:r>
        <w:rPr>
          <w:color w:val="231F20"/>
          <w:spacing w:val="-8"/>
        </w:rPr>
        <w:t> </w:t>
      </w:r>
      <w:r>
        <w:rPr>
          <w:color w:val="231F20"/>
        </w:rPr>
        <w:t>диссоциации</w:t>
      </w:r>
      <w:r>
        <w:rPr>
          <w:color w:val="231F20"/>
          <w:spacing w:val="-8"/>
        </w:rPr>
        <w:t> </w:t>
      </w:r>
      <w:r>
        <w:rPr>
          <w:color w:val="231F20"/>
        </w:rPr>
        <w:t>некоторые</w:t>
      </w:r>
      <w:r>
        <w:rPr>
          <w:color w:val="231F20"/>
          <w:spacing w:val="-8"/>
        </w:rPr>
        <w:t> </w:t>
      </w:r>
      <w:r>
        <w:rPr>
          <w:color w:val="231F20"/>
        </w:rPr>
        <w:t>моменты жизни могут быть просто вычеркнуты из памяти. Реакции и движения становятся замедленными,</w:t>
      </w:r>
      <w:r>
        <w:rPr>
          <w:color w:val="231F20"/>
          <w:spacing w:val="-13"/>
        </w:rPr>
        <w:t> </w:t>
      </w:r>
      <w:r>
        <w:rPr>
          <w:color w:val="231F20"/>
        </w:rPr>
        <w:t>автоматическими.</w:t>
      </w:r>
      <w:r>
        <w:rPr>
          <w:color w:val="231F20"/>
          <w:spacing w:val="-12"/>
        </w:rPr>
        <w:t> </w:t>
      </w:r>
      <w:r>
        <w:rPr>
          <w:color w:val="231F20"/>
        </w:rPr>
        <w:t>Чувства</w:t>
      </w:r>
      <w:r>
        <w:rPr>
          <w:color w:val="231F20"/>
          <w:spacing w:val="-13"/>
        </w:rPr>
        <w:t> </w:t>
      </w:r>
      <w:r>
        <w:rPr>
          <w:color w:val="231F20"/>
        </w:rPr>
        <w:t>становятся</w:t>
      </w:r>
      <w:r>
        <w:rPr>
          <w:color w:val="231F20"/>
          <w:spacing w:val="-12"/>
        </w:rPr>
        <w:t> </w:t>
      </w:r>
      <w:r>
        <w:rPr>
          <w:color w:val="231F20"/>
        </w:rPr>
        <w:t>как</w:t>
      </w:r>
      <w:r>
        <w:rPr>
          <w:color w:val="231F20"/>
          <w:spacing w:val="-13"/>
        </w:rPr>
        <w:t> </w:t>
      </w:r>
      <w:r>
        <w:rPr>
          <w:color w:val="231F20"/>
        </w:rPr>
        <w:t>будто</w:t>
      </w:r>
      <w:r>
        <w:rPr>
          <w:color w:val="231F20"/>
          <w:spacing w:val="-12"/>
        </w:rPr>
        <w:t> </w:t>
      </w:r>
      <w:r>
        <w:rPr>
          <w:color w:val="231F20"/>
        </w:rPr>
        <w:t>приглушенными.</w:t>
      </w:r>
      <w:r>
        <w:rPr>
          <w:color w:val="231F20"/>
          <w:spacing w:val="-13"/>
        </w:rPr>
        <w:t> </w:t>
      </w:r>
      <w:r>
        <w:rPr>
          <w:color w:val="231F20"/>
        </w:rPr>
        <w:t>Че- ловек может ощущать себя чужим в этом мире, как будто бы он смотрит на себя со стороны, наблюдает за этой жизнью, как в тумане.</w:t>
      </w:r>
    </w:p>
    <w:p>
      <w:pPr>
        <w:numPr>
          <w:ilvl w:val="1"/>
          <w:numId w:val="62"/>
        </w:numPr>
        <w:tabs>
          <w:tab w:pos="643" w:val="left" w:leader="none"/>
        </w:tabs>
        <w:spacing w:line="226" w:lineRule="exact" w:before="112"/>
        <w:ind w:left="643" w:right="0" w:hanging="218"/>
        <w:jc w:val="both"/>
        <w:rPr>
          <w:b/>
          <w:sz w:val="20"/>
        </w:rPr>
      </w:pPr>
      <w:r>
        <w:rPr>
          <w:b/>
          <w:color w:val="231F20"/>
          <w:sz w:val="20"/>
        </w:rPr>
        <w:t>Симптомы</w:t>
      </w:r>
      <w:r>
        <w:rPr>
          <w:b/>
          <w:color w:val="231F20"/>
          <w:spacing w:val="-5"/>
          <w:sz w:val="20"/>
        </w:rPr>
        <w:t> </w:t>
      </w:r>
      <w:r>
        <w:rPr>
          <w:b/>
          <w:color w:val="231F20"/>
          <w:sz w:val="20"/>
        </w:rPr>
        <w:t>травмы,</w:t>
      </w:r>
      <w:r>
        <w:rPr>
          <w:b/>
          <w:color w:val="231F20"/>
          <w:spacing w:val="-4"/>
          <w:sz w:val="20"/>
        </w:rPr>
        <w:t> </w:t>
      </w:r>
      <w:r>
        <w:rPr>
          <w:b/>
          <w:color w:val="231F20"/>
          <w:sz w:val="20"/>
        </w:rPr>
        <w:t>проявляющиеся</w:t>
      </w:r>
      <w:r>
        <w:rPr>
          <w:b/>
          <w:color w:val="231F20"/>
          <w:spacing w:val="-5"/>
          <w:sz w:val="20"/>
        </w:rPr>
        <w:t> </w:t>
      </w:r>
      <w:r>
        <w:rPr>
          <w:b/>
          <w:color w:val="231F20"/>
          <w:sz w:val="20"/>
        </w:rPr>
        <w:t>в</w:t>
      </w:r>
      <w:r>
        <w:rPr>
          <w:b/>
          <w:color w:val="231F20"/>
          <w:spacing w:val="-4"/>
          <w:sz w:val="20"/>
        </w:rPr>
        <w:t> </w:t>
      </w:r>
      <w:r>
        <w:rPr>
          <w:b/>
          <w:color w:val="231F20"/>
          <w:spacing w:val="-2"/>
          <w:sz w:val="20"/>
        </w:rPr>
        <w:t>поведении</w:t>
      </w:r>
    </w:p>
    <w:p>
      <w:pPr>
        <w:pStyle w:val="BodyText"/>
        <w:spacing w:line="235" w:lineRule="auto"/>
      </w:pPr>
      <w:r>
        <w:rPr>
          <w:color w:val="231F20"/>
          <w:spacing w:val="-2"/>
        </w:rPr>
        <w:t>В поведении травмированных детей могут проявляться: чрезмерная уступчивость, </w:t>
      </w:r>
      <w:r>
        <w:rPr>
          <w:color w:val="231F20"/>
        </w:rPr>
        <w:t>оппозиционное поведение, агрессия по отношению к другим и саморазрушительное </w:t>
      </w:r>
      <w:r>
        <w:rPr>
          <w:color w:val="231F20"/>
          <w:spacing w:val="-2"/>
        </w:rPr>
        <w:t>поведение. Патологическое самоуспокаивающее поведение и нарушение сна. Трудно- </w:t>
      </w:r>
      <w:r>
        <w:rPr>
          <w:color w:val="231F20"/>
        </w:rPr>
        <w:t>сти</w:t>
      </w:r>
      <w:r>
        <w:rPr>
          <w:color w:val="231F20"/>
          <w:spacing w:val="-3"/>
        </w:rPr>
        <w:t> </w:t>
      </w:r>
      <w:r>
        <w:rPr>
          <w:color w:val="231F20"/>
        </w:rPr>
        <w:t>в</w:t>
      </w:r>
      <w:r>
        <w:rPr>
          <w:color w:val="231F20"/>
          <w:spacing w:val="-3"/>
        </w:rPr>
        <w:t> </w:t>
      </w:r>
      <w:r>
        <w:rPr>
          <w:color w:val="231F20"/>
        </w:rPr>
        <w:t>понимании</w:t>
      </w:r>
      <w:r>
        <w:rPr>
          <w:color w:val="231F20"/>
          <w:spacing w:val="-3"/>
        </w:rPr>
        <w:t> </w:t>
      </w:r>
      <w:r>
        <w:rPr>
          <w:color w:val="231F20"/>
        </w:rPr>
        <w:t>и</w:t>
      </w:r>
      <w:r>
        <w:rPr>
          <w:color w:val="231F20"/>
          <w:spacing w:val="-3"/>
        </w:rPr>
        <w:t> </w:t>
      </w:r>
      <w:r>
        <w:rPr>
          <w:color w:val="231F20"/>
        </w:rPr>
        <w:t>соблюдении</w:t>
      </w:r>
      <w:r>
        <w:rPr>
          <w:color w:val="231F20"/>
          <w:spacing w:val="-3"/>
        </w:rPr>
        <w:t> </w:t>
      </w:r>
      <w:r>
        <w:rPr>
          <w:color w:val="231F20"/>
        </w:rPr>
        <w:t>правил,</w:t>
      </w:r>
      <w:r>
        <w:rPr>
          <w:color w:val="231F20"/>
          <w:spacing w:val="-3"/>
        </w:rPr>
        <w:t> </w:t>
      </w:r>
      <w:r>
        <w:rPr>
          <w:color w:val="231F20"/>
        </w:rPr>
        <w:t>внесение</w:t>
      </w:r>
      <w:r>
        <w:rPr>
          <w:color w:val="231F20"/>
          <w:spacing w:val="-3"/>
        </w:rPr>
        <w:t> </w:t>
      </w:r>
      <w:r>
        <w:rPr>
          <w:color w:val="231F20"/>
        </w:rPr>
        <w:t>в</w:t>
      </w:r>
      <w:r>
        <w:rPr>
          <w:color w:val="231F20"/>
          <w:spacing w:val="-3"/>
        </w:rPr>
        <w:t> </w:t>
      </w:r>
      <w:r>
        <w:rPr>
          <w:color w:val="231F20"/>
        </w:rPr>
        <w:t>игры</w:t>
      </w:r>
      <w:r>
        <w:rPr>
          <w:color w:val="231F20"/>
          <w:spacing w:val="-3"/>
        </w:rPr>
        <w:t> </w:t>
      </w:r>
      <w:r>
        <w:rPr>
          <w:color w:val="231F20"/>
        </w:rPr>
        <w:t>и</w:t>
      </w:r>
      <w:r>
        <w:rPr>
          <w:color w:val="231F20"/>
          <w:spacing w:val="-3"/>
        </w:rPr>
        <w:t> </w:t>
      </w:r>
      <w:r>
        <w:rPr>
          <w:color w:val="231F20"/>
        </w:rPr>
        <w:t>общение</w:t>
      </w:r>
      <w:r>
        <w:rPr>
          <w:color w:val="231F20"/>
          <w:spacing w:val="-3"/>
        </w:rPr>
        <w:t> </w:t>
      </w:r>
      <w:r>
        <w:rPr>
          <w:color w:val="231F20"/>
        </w:rPr>
        <w:t>со</w:t>
      </w:r>
      <w:r>
        <w:rPr>
          <w:color w:val="231F20"/>
          <w:spacing w:val="-3"/>
        </w:rPr>
        <w:t> </w:t>
      </w:r>
      <w:r>
        <w:rPr>
          <w:color w:val="231F20"/>
        </w:rPr>
        <w:t>сверстниками элементов травмирующего события.</w:t>
      </w:r>
    </w:p>
    <w:p>
      <w:pPr>
        <w:pStyle w:val="BodyText"/>
        <w:spacing w:after="0" w:line="235" w:lineRule="auto"/>
        <w:sectPr>
          <w:pgSz w:w="8400" w:h="11910"/>
          <w:pgMar w:header="0" w:footer="528"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numPr>
          <w:ilvl w:val="1"/>
          <w:numId w:val="62"/>
        </w:numPr>
        <w:tabs>
          <w:tab w:pos="747" w:val="left" w:leader="none"/>
        </w:tabs>
        <w:spacing w:before="109"/>
        <w:ind w:left="747" w:right="0" w:hanging="322"/>
        <w:jc w:val="left"/>
        <w:rPr>
          <w:b/>
          <w:sz w:val="20"/>
        </w:rPr>
      </w:pPr>
      <w:r>
        <w:rPr>
          <w:b/>
          <w:color w:val="231F20"/>
          <w:sz w:val="20"/>
        </w:rPr>
        <w:t>Симптомы</w:t>
      </w:r>
      <w:r>
        <w:rPr>
          <w:b/>
          <w:color w:val="231F20"/>
          <w:spacing w:val="-6"/>
          <w:sz w:val="20"/>
        </w:rPr>
        <w:t> </w:t>
      </w:r>
      <w:r>
        <w:rPr>
          <w:b/>
          <w:color w:val="231F20"/>
          <w:sz w:val="20"/>
        </w:rPr>
        <w:t>травмы,</w:t>
      </w:r>
      <w:r>
        <w:rPr>
          <w:b/>
          <w:color w:val="231F20"/>
          <w:spacing w:val="-4"/>
          <w:sz w:val="20"/>
        </w:rPr>
        <w:t> </w:t>
      </w:r>
      <w:r>
        <w:rPr>
          <w:b/>
          <w:color w:val="231F20"/>
          <w:sz w:val="20"/>
        </w:rPr>
        <w:t>влияющие</w:t>
      </w:r>
      <w:r>
        <w:rPr>
          <w:b/>
          <w:color w:val="231F20"/>
          <w:spacing w:val="-4"/>
          <w:sz w:val="20"/>
        </w:rPr>
        <w:t> </w:t>
      </w:r>
      <w:r>
        <w:rPr>
          <w:b/>
          <w:color w:val="231F20"/>
          <w:sz w:val="20"/>
        </w:rPr>
        <w:t>на</w:t>
      </w:r>
      <w:r>
        <w:rPr>
          <w:b/>
          <w:color w:val="231F20"/>
          <w:spacing w:val="-4"/>
          <w:sz w:val="20"/>
        </w:rPr>
        <w:t> </w:t>
      </w:r>
      <w:r>
        <w:rPr>
          <w:b/>
          <w:color w:val="231F20"/>
          <w:spacing w:val="-2"/>
          <w:sz w:val="20"/>
        </w:rPr>
        <w:t>обучение</w:t>
      </w:r>
    </w:p>
    <w:p>
      <w:pPr>
        <w:pStyle w:val="BodyText"/>
        <w:spacing w:line="232" w:lineRule="auto"/>
      </w:pPr>
      <w:r>
        <w:rPr>
          <w:color w:val="231F20"/>
        </w:rPr>
        <w:t>Эта тема пересекается с проявлениями травмы в других аспектах, но требует от- дельного</w:t>
      </w:r>
      <w:r>
        <w:rPr>
          <w:color w:val="231F20"/>
          <w:spacing w:val="-5"/>
        </w:rPr>
        <w:t> </w:t>
      </w:r>
      <w:r>
        <w:rPr>
          <w:color w:val="231F20"/>
        </w:rPr>
        <w:t>рассмотрения,</w:t>
      </w:r>
      <w:r>
        <w:rPr>
          <w:color w:val="231F20"/>
          <w:spacing w:val="-5"/>
        </w:rPr>
        <w:t> </w:t>
      </w:r>
      <w:r>
        <w:rPr>
          <w:color w:val="231F20"/>
        </w:rPr>
        <w:t>потому</w:t>
      </w:r>
      <w:r>
        <w:rPr>
          <w:color w:val="231F20"/>
          <w:spacing w:val="-5"/>
        </w:rPr>
        <w:t> </w:t>
      </w:r>
      <w:r>
        <w:rPr>
          <w:color w:val="231F20"/>
        </w:rPr>
        <w:t>как</w:t>
      </w:r>
      <w:r>
        <w:rPr>
          <w:color w:val="231F20"/>
          <w:spacing w:val="-6"/>
        </w:rPr>
        <w:t> </w:t>
      </w:r>
      <w:r>
        <w:rPr>
          <w:color w:val="231F20"/>
        </w:rPr>
        <w:t>обучение</w:t>
      </w:r>
      <w:r>
        <w:rPr>
          <w:color w:val="231F20"/>
          <w:spacing w:val="-5"/>
        </w:rPr>
        <w:t> </w:t>
      </w:r>
      <w:r>
        <w:rPr>
          <w:color w:val="231F20"/>
        </w:rPr>
        <w:t>–</w:t>
      </w:r>
      <w:r>
        <w:rPr>
          <w:color w:val="231F20"/>
          <w:spacing w:val="-5"/>
        </w:rPr>
        <w:t> </w:t>
      </w:r>
      <w:r>
        <w:rPr>
          <w:color w:val="231F20"/>
        </w:rPr>
        <w:t>это</w:t>
      </w:r>
      <w:r>
        <w:rPr>
          <w:color w:val="231F20"/>
          <w:spacing w:val="-5"/>
        </w:rPr>
        <w:t> </w:t>
      </w:r>
      <w:r>
        <w:rPr>
          <w:color w:val="231F20"/>
        </w:rPr>
        <w:t>основная</w:t>
      </w:r>
      <w:r>
        <w:rPr>
          <w:color w:val="231F20"/>
          <w:spacing w:val="-5"/>
        </w:rPr>
        <w:t> </w:t>
      </w:r>
      <w:r>
        <w:rPr>
          <w:color w:val="231F20"/>
        </w:rPr>
        <w:t>деятельность</w:t>
      </w:r>
      <w:r>
        <w:rPr>
          <w:color w:val="231F20"/>
          <w:spacing w:val="-6"/>
        </w:rPr>
        <w:t> </w:t>
      </w:r>
      <w:r>
        <w:rPr>
          <w:color w:val="231F20"/>
        </w:rPr>
        <w:t>ребенка,</w:t>
      </w:r>
      <w:r>
        <w:rPr>
          <w:color w:val="231F20"/>
          <w:spacing w:val="-5"/>
        </w:rPr>
        <w:t> </w:t>
      </w:r>
      <w:r>
        <w:rPr>
          <w:color w:val="231F20"/>
        </w:rPr>
        <w:t>а образовательное</w:t>
      </w:r>
      <w:r>
        <w:rPr>
          <w:color w:val="231F20"/>
          <w:spacing w:val="-3"/>
        </w:rPr>
        <w:t> </w:t>
      </w:r>
      <w:r>
        <w:rPr>
          <w:color w:val="231F20"/>
        </w:rPr>
        <w:t>учреждение</w:t>
      </w:r>
      <w:r>
        <w:rPr>
          <w:color w:val="231F20"/>
          <w:spacing w:val="-3"/>
        </w:rPr>
        <w:t> </w:t>
      </w:r>
      <w:r>
        <w:rPr>
          <w:color w:val="231F20"/>
        </w:rPr>
        <w:t>–</w:t>
      </w:r>
      <w:r>
        <w:rPr>
          <w:color w:val="231F20"/>
          <w:spacing w:val="-3"/>
        </w:rPr>
        <w:t> </w:t>
      </w:r>
      <w:r>
        <w:rPr>
          <w:color w:val="231F20"/>
        </w:rPr>
        <w:t>место</w:t>
      </w:r>
      <w:r>
        <w:rPr>
          <w:color w:val="231F20"/>
          <w:spacing w:val="-3"/>
        </w:rPr>
        <w:t> </w:t>
      </w:r>
      <w:r>
        <w:rPr>
          <w:color w:val="231F20"/>
        </w:rPr>
        <w:t>для</w:t>
      </w:r>
      <w:r>
        <w:rPr>
          <w:color w:val="231F20"/>
          <w:spacing w:val="-3"/>
        </w:rPr>
        <w:t> </w:t>
      </w:r>
      <w:r>
        <w:rPr>
          <w:color w:val="231F20"/>
        </w:rPr>
        <w:t>приобретения</w:t>
      </w:r>
      <w:r>
        <w:rPr>
          <w:color w:val="231F20"/>
          <w:spacing w:val="-3"/>
        </w:rPr>
        <w:t> </w:t>
      </w:r>
      <w:r>
        <w:rPr>
          <w:color w:val="231F20"/>
        </w:rPr>
        <w:t>необходимого</w:t>
      </w:r>
      <w:r>
        <w:rPr>
          <w:color w:val="231F20"/>
          <w:spacing w:val="-3"/>
        </w:rPr>
        <w:t> </w:t>
      </w:r>
      <w:r>
        <w:rPr>
          <w:color w:val="231F20"/>
        </w:rPr>
        <w:t>опыта</w:t>
      </w:r>
      <w:r>
        <w:rPr>
          <w:color w:val="231F20"/>
          <w:spacing w:val="-3"/>
        </w:rPr>
        <w:t> </w:t>
      </w:r>
      <w:r>
        <w:rPr>
          <w:color w:val="231F20"/>
        </w:rPr>
        <w:t>в</w:t>
      </w:r>
      <w:r>
        <w:rPr>
          <w:color w:val="231F20"/>
          <w:spacing w:val="-3"/>
        </w:rPr>
        <w:t> </w:t>
      </w:r>
      <w:r>
        <w:rPr>
          <w:color w:val="231F20"/>
        </w:rPr>
        <w:t>соци- ализации и самореализации.</w:t>
      </w:r>
    </w:p>
    <w:p>
      <w:pPr>
        <w:pStyle w:val="BodyText"/>
        <w:spacing w:line="232" w:lineRule="auto"/>
      </w:pPr>
      <w:r>
        <w:rPr>
          <w:color w:val="231F20"/>
        </w:rPr>
        <w:t>Травмированные</w:t>
      </w:r>
      <w:r>
        <w:rPr>
          <w:color w:val="231F20"/>
          <w:spacing w:val="-1"/>
        </w:rPr>
        <w:t> </w:t>
      </w:r>
      <w:r>
        <w:rPr>
          <w:color w:val="231F20"/>
        </w:rPr>
        <w:t>дети</w:t>
      </w:r>
      <w:r>
        <w:rPr>
          <w:color w:val="231F20"/>
          <w:spacing w:val="-1"/>
        </w:rPr>
        <w:t> </w:t>
      </w:r>
      <w:r>
        <w:rPr>
          <w:color w:val="231F20"/>
        </w:rPr>
        <w:t>в</w:t>
      </w:r>
      <w:r>
        <w:rPr>
          <w:color w:val="231F20"/>
          <w:spacing w:val="-1"/>
        </w:rPr>
        <w:t> </w:t>
      </w:r>
      <w:r>
        <w:rPr>
          <w:color w:val="231F20"/>
        </w:rPr>
        <w:t>обучении</w:t>
      </w:r>
      <w:r>
        <w:rPr>
          <w:color w:val="231F20"/>
          <w:spacing w:val="-1"/>
        </w:rPr>
        <w:t> </w:t>
      </w:r>
      <w:r>
        <w:rPr>
          <w:color w:val="231F20"/>
        </w:rPr>
        <w:t>могут</w:t>
      </w:r>
      <w:r>
        <w:rPr>
          <w:color w:val="231F20"/>
          <w:spacing w:val="-1"/>
        </w:rPr>
        <w:t> </w:t>
      </w:r>
      <w:r>
        <w:rPr>
          <w:color w:val="231F20"/>
        </w:rPr>
        <w:t>испытывать</w:t>
      </w:r>
      <w:r>
        <w:rPr>
          <w:color w:val="231F20"/>
          <w:spacing w:val="-1"/>
        </w:rPr>
        <w:t> </w:t>
      </w:r>
      <w:r>
        <w:rPr>
          <w:color w:val="231F20"/>
        </w:rPr>
        <w:t>трудности</w:t>
      </w:r>
      <w:r>
        <w:rPr>
          <w:color w:val="231F20"/>
          <w:spacing w:val="-1"/>
        </w:rPr>
        <w:t> </w:t>
      </w:r>
      <w:r>
        <w:rPr>
          <w:color w:val="231F20"/>
        </w:rPr>
        <w:t>в</w:t>
      </w:r>
      <w:r>
        <w:rPr>
          <w:color w:val="231F20"/>
          <w:spacing w:val="-1"/>
        </w:rPr>
        <w:t> </w:t>
      </w:r>
      <w:r>
        <w:rPr>
          <w:color w:val="231F20"/>
        </w:rPr>
        <w:t>регуляции</w:t>
      </w:r>
      <w:r>
        <w:rPr>
          <w:color w:val="231F20"/>
          <w:spacing w:val="-1"/>
        </w:rPr>
        <w:t> </w:t>
      </w:r>
      <w:r>
        <w:rPr>
          <w:color w:val="231F20"/>
        </w:rPr>
        <w:t>вни- мания и выполнении требований учителя. Такому ребенку может быть сложно бы- стро</w:t>
      </w:r>
      <w:r>
        <w:rPr>
          <w:color w:val="231F20"/>
          <w:spacing w:val="-6"/>
        </w:rPr>
        <w:t> </w:t>
      </w:r>
      <w:r>
        <w:rPr>
          <w:color w:val="231F20"/>
        </w:rPr>
        <w:t>усвоить</w:t>
      </w:r>
      <w:r>
        <w:rPr>
          <w:color w:val="231F20"/>
          <w:spacing w:val="-6"/>
        </w:rPr>
        <w:t> </w:t>
      </w:r>
      <w:r>
        <w:rPr>
          <w:color w:val="231F20"/>
        </w:rPr>
        <w:t>новую</w:t>
      </w:r>
      <w:r>
        <w:rPr>
          <w:color w:val="231F20"/>
          <w:spacing w:val="-6"/>
        </w:rPr>
        <w:t> </w:t>
      </w:r>
      <w:r>
        <w:rPr>
          <w:color w:val="231F20"/>
        </w:rPr>
        <w:t>информацию,</w:t>
      </w:r>
      <w:r>
        <w:rPr>
          <w:color w:val="231F20"/>
          <w:spacing w:val="-6"/>
        </w:rPr>
        <w:t> </w:t>
      </w:r>
      <w:r>
        <w:rPr>
          <w:color w:val="231F20"/>
        </w:rPr>
        <w:t>поддерживать</w:t>
      </w:r>
      <w:r>
        <w:rPr>
          <w:color w:val="231F20"/>
          <w:spacing w:val="-6"/>
        </w:rPr>
        <w:t> </w:t>
      </w:r>
      <w:r>
        <w:rPr>
          <w:color w:val="231F20"/>
        </w:rPr>
        <w:t>интерес</w:t>
      </w:r>
      <w:r>
        <w:rPr>
          <w:color w:val="231F20"/>
          <w:spacing w:val="-6"/>
        </w:rPr>
        <w:t> </w:t>
      </w:r>
      <w:r>
        <w:rPr>
          <w:color w:val="231F20"/>
        </w:rPr>
        <w:t>в</w:t>
      </w:r>
      <w:r>
        <w:rPr>
          <w:color w:val="231F20"/>
          <w:spacing w:val="-6"/>
        </w:rPr>
        <w:t> </w:t>
      </w:r>
      <w:r>
        <w:rPr>
          <w:color w:val="231F20"/>
        </w:rPr>
        <w:t>течение</w:t>
      </w:r>
      <w:r>
        <w:rPr>
          <w:color w:val="231F20"/>
          <w:spacing w:val="-6"/>
        </w:rPr>
        <w:t> </w:t>
      </w:r>
      <w:r>
        <w:rPr>
          <w:color w:val="231F20"/>
        </w:rPr>
        <w:t>долгого</w:t>
      </w:r>
      <w:r>
        <w:rPr>
          <w:color w:val="231F20"/>
          <w:spacing w:val="-6"/>
        </w:rPr>
        <w:t> </w:t>
      </w:r>
      <w:r>
        <w:rPr>
          <w:color w:val="231F20"/>
        </w:rPr>
        <w:t>времени. Заниматься</w:t>
      </w:r>
      <w:r>
        <w:rPr>
          <w:color w:val="231F20"/>
          <w:spacing w:val="-5"/>
        </w:rPr>
        <w:t> </w:t>
      </w:r>
      <w:r>
        <w:rPr>
          <w:color w:val="231F20"/>
        </w:rPr>
        <w:t>однообразной</w:t>
      </w:r>
      <w:r>
        <w:rPr>
          <w:color w:val="231F20"/>
          <w:spacing w:val="-5"/>
        </w:rPr>
        <w:t> </w:t>
      </w:r>
      <w:r>
        <w:rPr>
          <w:color w:val="231F20"/>
        </w:rPr>
        <w:t>деятельностью</w:t>
      </w:r>
      <w:r>
        <w:rPr>
          <w:color w:val="231F20"/>
          <w:spacing w:val="-5"/>
        </w:rPr>
        <w:t> </w:t>
      </w:r>
      <w:r>
        <w:rPr>
          <w:color w:val="231F20"/>
        </w:rPr>
        <w:t>без</w:t>
      </w:r>
      <w:r>
        <w:rPr>
          <w:color w:val="231F20"/>
          <w:spacing w:val="-5"/>
        </w:rPr>
        <w:t> </w:t>
      </w:r>
      <w:r>
        <w:rPr>
          <w:color w:val="231F20"/>
        </w:rPr>
        <w:t>перерывов,</w:t>
      </w:r>
      <w:r>
        <w:rPr>
          <w:color w:val="231F20"/>
          <w:spacing w:val="-5"/>
        </w:rPr>
        <w:t> </w:t>
      </w:r>
      <w:r>
        <w:rPr>
          <w:color w:val="231F20"/>
        </w:rPr>
        <w:t>доводить</w:t>
      </w:r>
      <w:r>
        <w:rPr>
          <w:color w:val="231F20"/>
          <w:spacing w:val="-5"/>
        </w:rPr>
        <w:t> </w:t>
      </w:r>
      <w:r>
        <w:rPr>
          <w:color w:val="231F20"/>
        </w:rPr>
        <w:t>начатое</w:t>
      </w:r>
      <w:r>
        <w:rPr>
          <w:color w:val="231F20"/>
          <w:spacing w:val="-5"/>
        </w:rPr>
        <w:t> </w:t>
      </w:r>
      <w:r>
        <w:rPr>
          <w:color w:val="231F20"/>
        </w:rPr>
        <w:t>до</w:t>
      </w:r>
      <w:r>
        <w:rPr>
          <w:color w:val="231F20"/>
          <w:spacing w:val="-5"/>
        </w:rPr>
        <w:t> </w:t>
      </w:r>
      <w:r>
        <w:rPr>
          <w:color w:val="231F20"/>
        </w:rPr>
        <w:t>конца. У ребенка могут быть сложности в формулировании и выражении своих мыслей. Таким детям, возможно, потребуется индивидуальный подход в обучении, отдель- ные занятия с психологом или куратором для отработки навыков самопрезентации, ответа на уроках и др.</w:t>
      </w:r>
    </w:p>
    <w:p>
      <w:pPr>
        <w:pStyle w:val="BodyText"/>
        <w:spacing w:line="232" w:lineRule="auto"/>
      </w:pPr>
      <w:r>
        <w:rPr>
          <w:color w:val="231F20"/>
        </w:rPr>
        <w:t>Травмированный</w:t>
      </w:r>
      <w:r>
        <w:rPr>
          <w:color w:val="231F20"/>
          <w:spacing w:val="-11"/>
        </w:rPr>
        <w:t> </w:t>
      </w:r>
      <w:r>
        <w:rPr>
          <w:color w:val="231F20"/>
        </w:rPr>
        <w:t>ребенок</w:t>
      </w:r>
      <w:r>
        <w:rPr>
          <w:color w:val="231F20"/>
          <w:spacing w:val="-11"/>
        </w:rPr>
        <w:t> </w:t>
      </w:r>
      <w:r>
        <w:rPr>
          <w:color w:val="231F20"/>
        </w:rPr>
        <w:t>может</w:t>
      </w:r>
      <w:r>
        <w:rPr>
          <w:color w:val="231F20"/>
          <w:spacing w:val="-11"/>
        </w:rPr>
        <w:t> </w:t>
      </w:r>
      <w:r>
        <w:rPr>
          <w:color w:val="231F20"/>
        </w:rPr>
        <w:t>быть</w:t>
      </w:r>
      <w:r>
        <w:rPr>
          <w:color w:val="231F20"/>
          <w:spacing w:val="-11"/>
        </w:rPr>
        <w:t> </w:t>
      </w:r>
      <w:r>
        <w:rPr>
          <w:color w:val="231F20"/>
        </w:rPr>
        <w:t>более</w:t>
      </w:r>
      <w:r>
        <w:rPr>
          <w:color w:val="231F20"/>
          <w:spacing w:val="-11"/>
        </w:rPr>
        <w:t> </w:t>
      </w:r>
      <w:r>
        <w:rPr>
          <w:color w:val="231F20"/>
        </w:rPr>
        <w:t>рассеян</w:t>
      </w:r>
      <w:r>
        <w:rPr>
          <w:color w:val="231F20"/>
          <w:spacing w:val="-11"/>
        </w:rPr>
        <w:t> </w:t>
      </w:r>
      <w:r>
        <w:rPr>
          <w:color w:val="231F20"/>
        </w:rPr>
        <w:t>по</w:t>
      </w:r>
      <w:r>
        <w:rPr>
          <w:color w:val="231F20"/>
          <w:spacing w:val="-11"/>
        </w:rPr>
        <w:t> </w:t>
      </w:r>
      <w:r>
        <w:rPr>
          <w:color w:val="231F20"/>
        </w:rPr>
        <w:t>сравнению</w:t>
      </w:r>
      <w:r>
        <w:rPr>
          <w:color w:val="231F20"/>
          <w:spacing w:val="-11"/>
        </w:rPr>
        <w:t> </w:t>
      </w:r>
      <w:r>
        <w:rPr>
          <w:color w:val="231F20"/>
        </w:rPr>
        <w:t>со</w:t>
      </w:r>
      <w:r>
        <w:rPr>
          <w:color w:val="231F20"/>
          <w:spacing w:val="-11"/>
        </w:rPr>
        <w:t> </w:t>
      </w:r>
      <w:r>
        <w:rPr>
          <w:color w:val="231F20"/>
        </w:rPr>
        <w:t>сверстника- ми, может теряться во времени и пространстве.</w:t>
      </w:r>
    </w:p>
    <w:p>
      <w:pPr>
        <w:numPr>
          <w:ilvl w:val="1"/>
          <w:numId w:val="62"/>
        </w:numPr>
        <w:tabs>
          <w:tab w:pos="825" w:val="left" w:leader="none"/>
        </w:tabs>
        <w:spacing w:line="226" w:lineRule="exact" w:before="90"/>
        <w:ind w:left="825" w:right="0" w:hanging="400"/>
        <w:jc w:val="both"/>
        <w:rPr>
          <w:b/>
          <w:sz w:val="20"/>
        </w:rPr>
      </w:pPr>
      <w:r>
        <w:rPr>
          <w:b/>
          <w:color w:val="231F20"/>
          <w:sz w:val="20"/>
        </w:rPr>
        <w:t>Симптомы</w:t>
      </w:r>
      <w:r>
        <w:rPr>
          <w:b/>
          <w:color w:val="231F20"/>
          <w:spacing w:val="-7"/>
          <w:sz w:val="20"/>
        </w:rPr>
        <w:t> </w:t>
      </w:r>
      <w:r>
        <w:rPr>
          <w:b/>
          <w:color w:val="231F20"/>
          <w:sz w:val="20"/>
        </w:rPr>
        <w:t>травмы,</w:t>
      </w:r>
      <w:r>
        <w:rPr>
          <w:b/>
          <w:color w:val="231F20"/>
          <w:spacing w:val="-5"/>
          <w:sz w:val="20"/>
        </w:rPr>
        <w:t> </w:t>
      </w:r>
      <w:r>
        <w:rPr>
          <w:b/>
          <w:color w:val="231F20"/>
          <w:sz w:val="20"/>
        </w:rPr>
        <w:t>проявляющиеся</w:t>
      </w:r>
      <w:r>
        <w:rPr>
          <w:b/>
          <w:color w:val="231F20"/>
          <w:spacing w:val="-5"/>
          <w:sz w:val="20"/>
        </w:rPr>
        <w:t> </w:t>
      </w:r>
      <w:r>
        <w:rPr>
          <w:b/>
          <w:color w:val="231F20"/>
          <w:sz w:val="20"/>
        </w:rPr>
        <w:t>в</w:t>
      </w:r>
      <w:r>
        <w:rPr>
          <w:b/>
          <w:color w:val="231F20"/>
          <w:spacing w:val="-5"/>
          <w:sz w:val="20"/>
        </w:rPr>
        <w:t> </w:t>
      </w:r>
      <w:r>
        <w:rPr>
          <w:b/>
          <w:color w:val="231F20"/>
          <w:sz w:val="20"/>
        </w:rPr>
        <w:t>Я-</w:t>
      </w:r>
      <w:r>
        <w:rPr>
          <w:b/>
          <w:color w:val="231F20"/>
          <w:spacing w:val="-2"/>
          <w:sz w:val="20"/>
        </w:rPr>
        <w:t>концепции</w:t>
      </w:r>
    </w:p>
    <w:p>
      <w:pPr>
        <w:pStyle w:val="BodyText"/>
        <w:spacing w:line="232" w:lineRule="auto" w:before="2"/>
      </w:pPr>
      <w:r>
        <w:rPr>
          <w:color w:val="231F20"/>
        </w:rPr>
        <w:t>Дети, пережившие травму, часто страдают заниженной самооценкой, чувством униженности и никчемности. Им кажется, что они виноваты во всех бедах, которые происходят</w:t>
      </w:r>
      <w:r>
        <w:rPr>
          <w:color w:val="231F20"/>
          <w:spacing w:val="-7"/>
        </w:rPr>
        <w:t> </w:t>
      </w:r>
      <w:r>
        <w:rPr>
          <w:color w:val="231F20"/>
        </w:rPr>
        <w:t>вокруг,</w:t>
      </w:r>
      <w:r>
        <w:rPr>
          <w:color w:val="231F20"/>
          <w:spacing w:val="-7"/>
        </w:rPr>
        <w:t> </w:t>
      </w:r>
      <w:r>
        <w:rPr>
          <w:color w:val="231F20"/>
        </w:rPr>
        <w:t>и</w:t>
      </w:r>
      <w:r>
        <w:rPr>
          <w:color w:val="231F20"/>
          <w:spacing w:val="-7"/>
        </w:rPr>
        <w:t> </w:t>
      </w:r>
      <w:r>
        <w:rPr>
          <w:color w:val="231F20"/>
        </w:rPr>
        <w:t>даже</w:t>
      </w:r>
      <w:r>
        <w:rPr>
          <w:color w:val="231F20"/>
          <w:spacing w:val="-7"/>
        </w:rPr>
        <w:t> </w:t>
      </w:r>
      <w:r>
        <w:rPr>
          <w:color w:val="231F20"/>
        </w:rPr>
        <w:t>с</w:t>
      </w:r>
      <w:r>
        <w:rPr>
          <w:color w:val="231F20"/>
          <w:spacing w:val="-7"/>
        </w:rPr>
        <w:t> </w:t>
      </w:r>
      <w:r>
        <w:rPr>
          <w:color w:val="231F20"/>
        </w:rPr>
        <w:t>его</w:t>
      </w:r>
      <w:r>
        <w:rPr>
          <w:color w:val="231F20"/>
          <w:spacing w:val="-7"/>
        </w:rPr>
        <w:t> </w:t>
      </w:r>
      <w:r>
        <w:rPr>
          <w:color w:val="231F20"/>
        </w:rPr>
        <w:t>родными</w:t>
      </w:r>
      <w:r>
        <w:rPr>
          <w:color w:val="231F20"/>
          <w:spacing w:val="-7"/>
        </w:rPr>
        <w:t> </w:t>
      </w:r>
      <w:r>
        <w:rPr>
          <w:color w:val="231F20"/>
        </w:rPr>
        <w:t>и</w:t>
      </w:r>
      <w:r>
        <w:rPr>
          <w:color w:val="231F20"/>
          <w:spacing w:val="-7"/>
        </w:rPr>
        <w:t> </w:t>
      </w:r>
      <w:r>
        <w:rPr>
          <w:color w:val="231F20"/>
        </w:rPr>
        <w:t>близкими.</w:t>
      </w:r>
      <w:r>
        <w:rPr>
          <w:color w:val="231F20"/>
          <w:spacing w:val="-7"/>
        </w:rPr>
        <w:t> </w:t>
      </w:r>
      <w:r>
        <w:rPr>
          <w:color w:val="231F20"/>
        </w:rPr>
        <w:t>Чувство</w:t>
      </w:r>
      <w:r>
        <w:rPr>
          <w:color w:val="231F20"/>
          <w:spacing w:val="-7"/>
        </w:rPr>
        <w:t> </w:t>
      </w:r>
      <w:r>
        <w:rPr>
          <w:color w:val="231F20"/>
        </w:rPr>
        <w:t>вины</w:t>
      </w:r>
      <w:r>
        <w:rPr>
          <w:color w:val="231F20"/>
          <w:spacing w:val="-7"/>
        </w:rPr>
        <w:t> </w:t>
      </w:r>
      <w:r>
        <w:rPr>
          <w:color w:val="231F20"/>
        </w:rPr>
        <w:t>обычно</w:t>
      </w:r>
      <w:r>
        <w:rPr>
          <w:color w:val="231F20"/>
          <w:spacing w:val="-7"/>
        </w:rPr>
        <w:t> </w:t>
      </w:r>
      <w:r>
        <w:rPr>
          <w:color w:val="231F20"/>
        </w:rPr>
        <w:t>не</w:t>
      </w:r>
      <w:r>
        <w:rPr>
          <w:color w:val="231F20"/>
          <w:spacing w:val="-7"/>
        </w:rPr>
        <w:t> </w:t>
      </w:r>
      <w:r>
        <w:rPr>
          <w:color w:val="231F20"/>
        </w:rPr>
        <w:t>осоз- нается,</w:t>
      </w:r>
      <w:r>
        <w:rPr>
          <w:color w:val="231F20"/>
          <w:spacing w:val="-2"/>
        </w:rPr>
        <w:t> </w:t>
      </w:r>
      <w:r>
        <w:rPr>
          <w:color w:val="231F20"/>
        </w:rPr>
        <w:t>но</w:t>
      </w:r>
      <w:r>
        <w:rPr>
          <w:color w:val="231F20"/>
          <w:spacing w:val="-2"/>
        </w:rPr>
        <w:t> </w:t>
      </w:r>
      <w:r>
        <w:rPr>
          <w:color w:val="231F20"/>
        </w:rPr>
        <w:t>такому</w:t>
      </w:r>
      <w:r>
        <w:rPr>
          <w:color w:val="231F20"/>
          <w:spacing w:val="-2"/>
        </w:rPr>
        <w:t> </w:t>
      </w:r>
      <w:r>
        <w:rPr>
          <w:color w:val="231F20"/>
        </w:rPr>
        <w:t>ребенку</w:t>
      </w:r>
      <w:r>
        <w:rPr>
          <w:color w:val="231F20"/>
          <w:spacing w:val="-2"/>
        </w:rPr>
        <w:t> </w:t>
      </w:r>
      <w:r>
        <w:rPr>
          <w:color w:val="231F20"/>
        </w:rPr>
        <w:t>может</w:t>
      </w:r>
      <w:r>
        <w:rPr>
          <w:color w:val="231F20"/>
          <w:spacing w:val="-2"/>
        </w:rPr>
        <w:t> </w:t>
      </w:r>
      <w:r>
        <w:rPr>
          <w:color w:val="231F20"/>
        </w:rPr>
        <w:t>быть</w:t>
      </w:r>
      <w:r>
        <w:rPr>
          <w:color w:val="231F20"/>
          <w:spacing w:val="-2"/>
        </w:rPr>
        <w:t> </w:t>
      </w:r>
      <w:r>
        <w:rPr>
          <w:color w:val="231F20"/>
        </w:rPr>
        <w:t>сложно</w:t>
      </w:r>
      <w:r>
        <w:rPr>
          <w:color w:val="231F20"/>
          <w:spacing w:val="-2"/>
        </w:rPr>
        <w:t> </w:t>
      </w:r>
      <w:r>
        <w:rPr>
          <w:color w:val="231F20"/>
        </w:rPr>
        <w:t>выдерживать</w:t>
      </w:r>
      <w:r>
        <w:rPr>
          <w:color w:val="231F20"/>
          <w:spacing w:val="-2"/>
        </w:rPr>
        <w:t> </w:t>
      </w:r>
      <w:r>
        <w:rPr>
          <w:color w:val="231F20"/>
        </w:rPr>
        <w:t>негативные</w:t>
      </w:r>
      <w:r>
        <w:rPr>
          <w:color w:val="231F20"/>
          <w:spacing w:val="-2"/>
        </w:rPr>
        <w:t> </w:t>
      </w:r>
      <w:r>
        <w:rPr>
          <w:color w:val="231F20"/>
        </w:rPr>
        <w:t>эмоции</w:t>
      </w:r>
      <w:r>
        <w:rPr>
          <w:color w:val="231F20"/>
          <w:spacing w:val="-2"/>
        </w:rPr>
        <w:t> </w:t>
      </w:r>
      <w:r>
        <w:rPr>
          <w:color w:val="231F20"/>
        </w:rPr>
        <w:t>или недовольство,</w:t>
      </w:r>
      <w:r>
        <w:rPr>
          <w:color w:val="231F20"/>
          <w:spacing w:val="-11"/>
        </w:rPr>
        <w:t> </w:t>
      </w:r>
      <w:r>
        <w:rPr>
          <w:color w:val="231F20"/>
        </w:rPr>
        <w:t>направленные</w:t>
      </w:r>
      <w:r>
        <w:rPr>
          <w:color w:val="231F20"/>
          <w:spacing w:val="-11"/>
        </w:rPr>
        <w:t> </w:t>
      </w:r>
      <w:r>
        <w:rPr>
          <w:color w:val="231F20"/>
        </w:rPr>
        <w:t>в</w:t>
      </w:r>
      <w:r>
        <w:rPr>
          <w:color w:val="231F20"/>
          <w:spacing w:val="-11"/>
        </w:rPr>
        <w:t> </w:t>
      </w:r>
      <w:r>
        <w:rPr>
          <w:color w:val="231F20"/>
        </w:rPr>
        <w:t>его</w:t>
      </w:r>
      <w:r>
        <w:rPr>
          <w:color w:val="231F20"/>
          <w:spacing w:val="-11"/>
        </w:rPr>
        <w:t> </w:t>
      </w:r>
      <w:r>
        <w:rPr>
          <w:color w:val="231F20"/>
        </w:rPr>
        <w:t>сторону.</w:t>
      </w:r>
      <w:r>
        <w:rPr>
          <w:color w:val="231F20"/>
          <w:spacing w:val="-11"/>
        </w:rPr>
        <w:t> </w:t>
      </w:r>
      <w:r>
        <w:rPr>
          <w:color w:val="231F20"/>
        </w:rPr>
        <w:t>Потому</w:t>
      </w:r>
      <w:r>
        <w:rPr>
          <w:color w:val="231F20"/>
          <w:spacing w:val="-11"/>
        </w:rPr>
        <w:t> </w:t>
      </w:r>
      <w:r>
        <w:rPr>
          <w:color w:val="231F20"/>
        </w:rPr>
        <w:t>что,</w:t>
      </w:r>
      <w:r>
        <w:rPr>
          <w:color w:val="231F20"/>
          <w:spacing w:val="-11"/>
        </w:rPr>
        <w:t> </w:t>
      </w:r>
      <w:r>
        <w:rPr>
          <w:color w:val="231F20"/>
        </w:rPr>
        <w:t>не</w:t>
      </w:r>
      <w:r>
        <w:rPr>
          <w:color w:val="231F20"/>
          <w:spacing w:val="-11"/>
        </w:rPr>
        <w:t> </w:t>
      </w:r>
      <w:r>
        <w:rPr>
          <w:color w:val="231F20"/>
        </w:rPr>
        <w:t>имея</w:t>
      </w:r>
      <w:r>
        <w:rPr>
          <w:color w:val="231F20"/>
          <w:spacing w:val="-11"/>
        </w:rPr>
        <w:t> </w:t>
      </w:r>
      <w:r>
        <w:rPr>
          <w:color w:val="231F20"/>
        </w:rPr>
        <w:t>возможности</w:t>
      </w:r>
      <w:r>
        <w:rPr>
          <w:color w:val="231F20"/>
          <w:spacing w:val="-11"/>
        </w:rPr>
        <w:t> </w:t>
      </w:r>
      <w:r>
        <w:rPr>
          <w:color w:val="231F20"/>
        </w:rPr>
        <w:t>их</w:t>
      </w:r>
      <w:r>
        <w:rPr>
          <w:color w:val="231F20"/>
          <w:spacing w:val="-11"/>
        </w:rPr>
        <w:t> </w:t>
      </w:r>
      <w:r>
        <w:rPr>
          <w:color w:val="231F20"/>
        </w:rPr>
        <w:t>раз- решить,</w:t>
      </w:r>
      <w:r>
        <w:rPr>
          <w:color w:val="231F20"/>
          <w:spacing w:val="-9"/>
        </w:rPr>
        <w:t> </w:t>
      </w:r>
      <w:r>
        <w:rPr>
          <w:color w:val="231F20"/>
        </w:rPr>
        <w:t>он</w:t>
      </w:r>
      <w:r>
        <w:rPr>
          <w:color w:val="231F20"/>
          <w:spacing w:val="-9"/>
        </w:rPr>
        <w:t> </w:t>
      </w:r>
      <w:r>
        <w:rPr>
          <w:color w:val="231F20"/>
        </w:rPr>
        <w:t>направляет</w:t>
      </w:r>
      <w:r>
        <w:rPr>
          <w:color w:val="231F20"/>
          <w:spacing w:val="-9"/>
        </w:rPr>
        <w:t> </w:t>
      </w:r>
      <w:r>
        <w:rPr>
          <w:color w:val="231F20"/>
        </w:rPr>
        <w:t>все</w:t>
      </w:r>
      <w:r>
        <w:rPr>
          <w:color w:val="231F20"/>
          <w:spacing w:val="-9"/>
        </w:rPr>
        <w:t> </w:t>
      </w:r>
      <w:r>
        <w:rPr>
          <w:color w:val="231F20"/>
        </w:rPr>
        <w:t>эти</w:t>
      </w:r>
      <w:r>
        <w:rPr>
          <w:color w:val="231F20"/>
          <w:spacing w:val="-9"/>
        </w:rPr>
        <w:t> </w:t>
      </w:r>
      <w:r>
        <w:rPr>
          <w:color w:val="231F20"/>
        </w:rPr>
        <w:t>чувства</w:t>
      </w:r>
      <w:r>
        <w:rPr>
          <w:color w:val="231F20"/>
          <w:spacing w:val="-9"/>
        </w:rPr>
        <w:t> </w:t>
      </w:r>
      <w:r>
        <w:rPr>
          <w:color w:val="231F20"/>
        </w:rPr>
        <w:t>на</w:t>
      </w:r>
      <w:r>
        <w:rPr>
          <w:color w:val="231F20"/>
          <w:spacing w:val="-9"/>
        </w:rPr>
        <w:t> </w:t>
      </w:r>
      <w:r>
        <w:rPr>
          <w:color w:val="231F20"/>
        </w:rPr>
        <w:t>себя.</w:t>
      </w:r>
      <w:r>
        <w:rPr>
          <w:color w:val="231F20"/>
          <w:spacing w:val="-9"/>
        </w:rPr>
        <w:t> </w:t>
      </w:r>
      <w:r>
        <w:rPr>
          <w:color w:val="231F20"/>
        </w:rPr>
        <w:t>Такие</w:t>
      </w:r>
      <w:r>
        <w:rPr>
          <w:color w:val="231F20"/>
          <w:spacing w:val="-9"/>
        </w:rPr>
        <w:t> </w:t>
      </w:r>
      <w:r>
        <w:rPr>
          <w:color w:val="231F20"/>
        </w:rPr>
        <w:t>дети</w:t>
      </w:r>
      <w:r>
        <w:rPr>
          <w:color w:val="231F20"/>
          <w:spacing w:val="-9"/>
        </w:rPr>
        <w:t> </w:t>
      </w:r>
      <w:r>
        <w:rPr>
          <w:color w:val="231F20"/>
        </w:rPr>
        <w:t>думают,</w:t>
      </w:r>
      <w:r>
        <w:rPr>
          <w:color w:val="231F20"/>
          <w:spacing w:val="-9"/>
        </w:rPr>
        <w:t> </w:t>
      </w:r>
      <w:r>
        <w:rPr>
          <w:color w:val="231F20"/>
        </w:rPr>
        <w:t>что</w:t>
      </w:r>
      <w:r>
        <w:rPr>
          <w:color w:val="231F20"/>
          <w:spacing w:val="-9"/>
        </w:rPr>
        <w:t> </w:t>
      </w:r>
      <w:r>
        <w:rPr>
          <w:color w:val="231F20"/>
        </w:rPr>
        <w:t>должны</w:t>
      </w:r>
      <w:r>
        <w:rPr>
          <w:color w:val="231F20"/>
          <w:spacing w:val="-9"/>
        </w:rPr>
        <w:t> </w:t>
      </w:r>
      <w:r>
        <w:rPr>
          <w:color w:val="231F20"/>
        </w:rPr>
        <w:t>изме- нить мир, сделать что-то особенное.</w:t>
      </w:r>
    </w:p>
    <w:p>
      <w:pPr>
        <w:pStyle w:val="BodyText"/>
        <w:spacing w:line="232" w:lineRule="auto"/>
        <w:ind w:right="140"/>
      </w:pPr>
      <w:r>
        <w:rPr>
          <w:color w:val="231F20"/>
        </w:rPr>
        <w:t>Постоянное ощущение, что со мной что-то не так, побуждает травмированных детей служить другим в ущерб себе. Их чувство собственного достоинства сильно зависит</w:t>
      </w:r>
      <w:r>
        <w:rPr>
          <w:color w:val="231F20"/>
          <w:spacing w:val="-9"/>
        </w:rPr>
        <w:t> </w:t>
      </w:r>
      <w:r>
        <w:rPr>
          <w:color w:val="231F20"/>
        </w:rPr>
        <w:t>от</w:t>
      </w:r>
      <w:r>
        <w:rPr>
          <w:color w:val="231F20"/>
          <w:spacing w:val="-9"/>
        </w:rPr>
        <w:t> </w:t>
      </w:r>
      <w:r>
        <w:rPr>
          <w:color w:val="231F20"/>
        </w:rPr>
        <w:t>оценки</w:t>
      </w:r>
      <w:r>
        <w:rPr>
          <w:color w:val="231F20"/>
          <w:spacing w:val="-9"/>
        </w:rPr>
        <w:t> </w:t>
      </w:r>
      <w:r>
        <w:rPr>
          <w:color w:val="231F20"/>
        </w:rPr>
        <w:t>окружающих.</w:t>
      </w:r>
      <w:r>
        <w:rPr>
          <w:color w:val="231F20"/>
          <w:spacing w:val="-9"/>
        </w:rPr>
        <w:t> </w:t>
      </w:r>
      <w:r>
        <w:rPr>
          <w:color w:val="231F20"/>
        </w:rPr>
        <w:t>Ребенок</w:t>
      </w:r>
      <w:r>
        <w:rPr>
          <w:color w:val="231F20"/>
          <w:spacing w:val="-9"/>
        </w:rPr>
        <w:t> </w:t>
      </w:r>
      <w:r>
        <w:rPr>
          <w:color w:val="231F20"/>
        </w:rPr>
        <w:t>живет</w:t>
      </w:r>
      <w:r>
        <w:rPr>
          <w:color w:val="231F20"/>
          <w:spacing w:val="-9"/>
        </w:rPr>
        <w:t> </w:t>
      </w:r>
      <w:r>
        <w:rPr>
          <w:color w:val="231F20"/>
        </w:rPr>
        <w:t>жизнью</w:t>
      </w:r>
      <w:r>
        <w:rPr>
          <w:color w:val="231F20"/>
          <w:spacing w:val="-9"/>
        </w:rPr>
        <w:t> </w:t>
      </w:r>
      <w:r>
        <w:rPr>
          <w:color w:val="231F20"/>
        </w:rPr>
        <w:t>других</w:t>
      </w:r>
      <w:r>
        <w:rPr>
          <w:color w:val="231F20"/>
          <w:spacing w:val="-9"/>
        </w:rPr>
        <w:t> </w:t>
      </w:r>
      <w:r>
        <w:rPr>
          <w:color w:val="231F20"/>
        </w:rPr>
        <w:t>людей,</w:t>
      </w:r>
      <w:r>
        <w:rPr>
          <w:color w:val="231F20"/>
          <w:spacing w:val="-9"/>
        </w:rPr>
        <w:t> </w:t>
      </w:r>
      <w:r>
        <w:rPr>
          <w:color w:val="231F20"/>
        </w:rPr>
        <w:t>оставляя</w:t>
      </w:r>
      <w:r>
        <w:rPr>
          <w:color w:val="231F20"/>
          <w:spacing w:val="-9"/>
        </w:rPr>
        <w:t> </w:t>
      </w:r>
      <w:r>
        <w:rPr>
          <w:color w:val="231F20"/>
        </w:rPr>
        <w:t>себя на последнем месте.</w:t>
      </w:r>
    </w:p>
    <w:p>
      <w:pPr>
        <w:pStyle w:val="BodyText"/>
        <w:spacing w:line="235" w:lineRule="auto"/>
      </w:pPr>
      <w:r>
        <w:rPr>
          <w:color w:val="231F20"/>
        </w:rPr>
        <w:t>Стыд</w:t>
      </w:r>
      <w:r>
        <w:rPr>
          <w:color w:val="231F20"/>
          <w:spacing w:val="-6"/>
        </w:rPr>
        <w:t> </w:t>
      </w:r>
      <w:r>
        <w:rPr>
          <w:color w:val="231F20"/>
        </w:rPr>
        <w:t>также</w:t>
      </w:r>
      <w:r>
        <w:rPr>
          <w:color w:val="231F20"/>
          <w:spacing w:val="-6"/>
        </w:rPr>
        <w:t> </w:t>
      </w:r>
      <w:r>
        <w:rPr>
          <w:color w:val="231F20"/>
        </w:rPr>
        <w:t>частый</w:t>
      </w:r>
      <w:r>
        <w:rPr>
          <w:color w:val="231F20"/>
          <w:spacing w:val="-6"/>
        </w:rPr>
        <w:t> </w:t>
      </w:r>
      <w:r>
        <w:rPr>
          <w:color w:val="231F20"/>
        </w:rPr>
        <w:t>спутник</w:t>
      </w:r>
      <w:r>
        <w:rPr>
          <w:color w:val="231F20"/>
          <w:spacing w:val="-6"/>
        </w:rPr>
        <w:t> </w:t>
      </w:r>
      <w:r>
        <w:rPr>
          <w:color w:val="231F20"/>
        </w:rPr>
        <w:t>травмы.</w:t>
      </w:r>
      <w:r>
        <w:rPr>
          <w:color w:val="231F20"/>
          <w:spacing w:val="-6"/>
        </w:rPr>
        <w:t> </w:t>
      </w:r>
      <w:r>
        <w:rPr>
          <w:color w:val="231F20"/>
        </w:rPr>
        <w:t>Ребенку</w:t>
      </w:r>
      <w:r>
        <w:rPr>
          <w:color w:val="231F20"/>
          <w:spacing w:val="-6"/>
        </w:rPr>
        <w:t> </w:t>
      </w:r>
      <w:r>
        <w:rPr>
          <w:color w:val="231F20"/>
        </w:rPr>
        <w:t>может</w:t>
      </w:r>
      <w:r>
        <w:rPr>
          <w:color w:val="231F20"/>
          <w:spacing w:val="-6"/>
        </w:rPr>
        <w:t> </w:t>
      </w:r>
      <w:r>
        <w:rPr>
          <w:color w:val="231F20"/>
        </w:rPr>
        <w:t>казаться,</w:t>
      </w:r>
      <w:r>
        <w:rPr>
          <w:color w:val="231F20"/>
          <w:spacing w:val="-6"/>
        </w:rPr>
        <w:t> </w:t>
      </w:r>
      <w:r>
        <w:rPr>
          <w:color w:val="231F20"/>
        </w:rPr>
        <w:t>что</w:t>
      </w:r>
      <w:r>
        <w:rPr>
          <w:color w:val="231F20"/>
          <w:spacing w:val="-6"/>
        </w:rPr>
        <w:t> </w:t>
      </w:r>
      <w:r>
        <w:rPr>
          <w:color w:val="231F20"/>
        </w:rPr>
        <w:t>все</w:t>
      </w:r>
      <w:r>
        <w:rPr>
          <w:color w:val="231F20"/>
          <w:spacing w:val="-6"/>
        </w:rPr>
        <w:t> </w:t>
      </w:r>
      <w:r>
        <w:rPr>
          <w:color w:val="231F20"/>
        </w:rPr>
        <w:t>его</w:t>
      </w:r>
      <w:r>
        <w:rPr>
          <w:color w:val="231F20"/>
          <w:spacing w:val="-6"/>
        </w:rPr>
        <w:t> </w:t>
      </w:r>
      <w:r>
        <w:rPr>
          <w:color w:val="231F20"/>
        </w:rPr>
        <w:t>осужда- ют, или думают, что с ним что-то не так. Он может проецировать на других свои мысли,</w:t>
      </w:r>
      <w:r>
        <w:rPr>
          <w:color w:val="231F20"/>
          <w:spacing w:val="-11"/>
        </w:rPr>
        <w:t> </w:t>
      </w:r>
      <w:r>
        <w:rPr>
          <w:color w:val="231F20"/>
        </w:rPr>
        <w:t>как</w:t>
      </w:r>
      <w:r>
        <w:rPr>
          <w:color w:val="231F20"/>
          <w:spacing w:val="-11"/>
        </w:rPr>
        <w:t> </w:t>
      </w:r>
      <w:r>
        <w:rPr>
          <w:color w:val="231F20"/>
        </w:rPr>
        <w:t>правило,</w:t>
      </w:r>
      <w:r>
        <w:rPr>
          <w:color w:val="231F20"/>
          <w:spacing w:val="-11"/>
        </w:rPr>
        <w:t> </w:t>
      </w:r>
      <w:r>
        <w:rPr>
          <w:color w:val="231F20"/>
        </w:rPr>
        <w:t>негативные.</w:t>
      </w:r>
      <w:r>
        <w:rPr>
          <w:color w:val="231F20"/>
          <w:spacing w:val="-11"/>
        </w:rPr>
        <w:t> </w:t>
      </w:r>
      <w:r>
        <w:rPr>
          <w:color w:val="231F20"/>
        </w:rPr>
        <w:t>Таким</w:t>
      </w:r>
      <w:r>
        <w:rPr>
          <w:color w:val="231F20"/>
          <w:spacing w:val="-11"/>
        </w:rPr>
        <w:t> </w:t>
      </w:r>
      <w:r>
        <w:rPr>
          <w:color w:val="231F20"/>
        </w:rPr>
        <w:t>детям</w:t>
      </w:r>
      <w:r>
        <w:rPr>
          <w:color w:val="231F20"/>
          <w:spacing w:val="-11"/>
        </w:rPr>
        <w:t> </w:t>
      </w:r>
      <w:r>
        <w:rPr>
          <w:color w:val="231F20"/>
        </w:rPr>
        <w:t>может</w:t>
      </w:r>
      <w:r>
        <w:rPr>
          <w:color w:val="231F20"/>
          <w:spacing w:val="-11"/>
        </w:rPr>
        <w:t> </w:t>
      </w:r>
      <w:r>
        <w:rPr>
          <w:color w:val="231F20"/>
        </w:rPr>
        <w:t>быть</w:t>
      </w:r>
      <w:r>
        <w:rPr>
          <w:color w:val="231F20"/>
          <w:spacing w:val="-11"/>
        </w:rPr>
        <w:t> </w:t>
      </w:r>
      <w:r>
        <w:rPr>
          <w:color w:val="231F20"/>
        </w:rPr>
        <w:t>сложно</w:t>
      </w:r>
      <w:r>
        <w:rPr>
          <w:color w:val="231F20"/>
          <w:spacing w:val="-11"/>
        </w:rPr>
        <w:t> </w:t>
      </w:r>
      <w:r>
        <w:rPr>
          <w:color w:val="231F20"/>
        </w:rPr>
        <w:t>принять</w:t>
      </w:r>
      <w:r>
        <w:rPr>
          <w:color w:val="231F20"/>
          <w:spacing w:val="-10"/>
        </w:rPr>
        <w:t> </w:t>
      </w:r>
      <w:r>
        <w:rPr>
          <w:color w:val="231F20"/>
        </w:rPr>
        <w:t>свое</w:t>
      </w:r>
      <w:r>
        <w:rPr>
          <w:color w:val="231F20"/>
          <w:spacing w:val="-11"/>
        </w:rPr>
        <w:t> </w:t>
      </w:r>
      <w:r>
        <w:rPr>
          <w:color w:val="231F20"/>
        </w:rPr>
        <w:t>тело, ухаживать за собой. Ребенок может стесняться и стыдиться даже естественных дет- ских проявлений.</w:t>
      </w:r>
    </w:p>
    <w:p>
      <w:pPr>
        <w:pStyle w:val="BodyText"/>
        <w:spacing w:line="235" w:lineRule="auto"/>
      </w:pPr>
      <w:r>
        <w:rPr>
          <w:color w:val="231F20"/>
        </w:rPr>
        <w:t>Кроме таких реакций на стресс, дети, пережившие травму, могут испытывать недоверие к авторитетным фигурам, поскольку взрослые в их жизни, возможно, не смогли защитить их или действительно причинили им вред. Школьные правила и законы</w:t>
      </w:r>
      <w:r>
        <w:rPr>
          <w:color w:val="231F20"/>
          <w:spacing w:val="-13"/>
        </w:rPr>
        <w:t> </w:t>
      </w:r>
      <w:r>
        <w:rPr>
          <w:color w:val="231F20"/>
        </w:rPr>
        <w:t>могут</w:t>
      </w:r>
      <w:r>
        <w:rPr>
          <w:color w:val="231F20"/>
          <w:spacing w:val="-12"/>
        </w:rPr>
        <w:t> </w:t>
      </w:r>
      <w:r>
        <w:rPr>
          <w:color w:val="231F20"/>
        </w:rPr>
        <w:t>восприниматься</w:t>
      </w:r>
      <w:r>
        <w:rPr>
          <w:color w:val="231F20"/>
          <w:spacing w:val="-13"/>
        </w:rPr>
        <w:t> </w:t>
      </w:r>
      <w:r>
        <w:rPr>
          <w:color w:val="231F20"/>
        </w:rPr>
        <w:t>как</w:t>
      </w:r>
      <w:r>
        <w:rPr>
          <w:color w:val="231F20"/>
          <w:spacing w:val="-12"/>
        </w:rPr>
        <w:t> </w:t>
      </w:r>
      <w:r>
        <w:rPr>
          <w:color w:val="231F20"/>
        </w:rPr>
        <w:t>наказание,</w:t>
      </w:r>
      <w:r>
        <w:rPr>
          <w:color w:val="231F20"/>
          <w:spacing w:val="-13"/>
        </w:rPr>
        <w:t> </w:t>
      </w:r>
      <w:r>
        <w:rPr>
          <w:color w:val="231F20"/>
        </w:rPr>
        <w:t>однако</w:t>
      </w:r>
      <w:r>
        <w:rPr>
          <w:color w:val="231F20"/>
          <w:spacing w:val="-12"/>
        </w:rPr>
        <w:t> </w:t>
      </w:r>
      <w:r>
        <w:rPr>
          <w:color w:val="231F20"/>
        </w:rPr>
        <w:t>именно</w:t>
      </w:r>
      <w:r>
        <w:rPr>
          <w:color w:val="231F20"/>
          <w:spacing w:val="-13"/>
        </w:rPr>
        <w:t> </w:t>
      </w:r>
      <w:r>
        <w:rPr>
          <w:color w:val="231F20"/>
        </w:rPr>
        <w:t>выполнение</w:t>
      </w:r>
      <w:r>
        <w:rPr>
          <w:color w:val="231F20"/>
          <w:spacing w:val="-12"/>
        </w:rPr>
        <w:t> </w:t>
      </w:r>
      <w:r>
        <w:rPr>
          <w:color w:val="231F20"/>
        </w:rPr>
        <w:t>этих</w:t>
      </w:r>
      <w:r>
        <w:rPr>
          <w:color w:val="231F20"/>
          <w:spacing w:val="-13"/>
        </w:rPr>
        <w:t> </w:t>
      </w:r>
      <w:r>
        <w:rPr>
          <w:color w:val="231F20"/>
        </w:rPr>
        <w:t>правил и</w:t>
      </w:r>
      <w:r>
        <w:rPr>
          <w:color w:val="231F20"/>
          <w:spacing w:val="-10"/>
        </w:rPr>
        <w:t> </w:t>
      </w:r>
      <w:r>
        <w:rPr>
          <w:color w:val="231F20"/>
        </w:rPr>
        <w:t>норм</w:t>
      </w:r>
      <w:r>
        <w:rPr>
          <w:color w:val="231F20"/>
          <w:spacing w:val="-10"/>
        </w:rPr>
        <w:t> </w:t>
      </w:r>
      <w:r>
        <w:rPr>
          <w:color w:val="231F20"/>
        </w:rPr>
        <w:t>со</w:t>
      </w:r>
      <w:r>
        <w:rPr>
          <w:color w:val="231F20"/>
          <w:spacing w:val="-10"/>
        </w:rPr>
        <w:t> </w:t>
      </w:r>
      <w:r>
        <w:rPr>
          <w:color w:val="231F20"/>
        </w:rPr>
        <w:t>временем</w:t>
      </w:r>
      <w:r>
        <w:rPr>
          <w:color w:val="231F20"/>
          <w:spacing w:val="-10"/>
        </w:rPr>
        <w:t> </w:t>
      </w:r>
      <w:r>
        <w:rPr>
          <w:color w:val="231F20"/>
        </w:rPr>
        <w:t>позволят</w:t>
      </w:r>
      <w:r>
        <w:rPr>
          <w:color w:val="231F20"/>
          <w:spacing w:val="-10"/>
        </w:rPr>
        <w:t> </w:t>
      </w:r>
      <w:r>
        <w:rPr>
          <w:color w:val="231F20"/>
        </w:rPr>
        <w:t>ребенку</w:t>
      </w:r>
      <w:r>
        <w:rPr>
          <w:color w:val="231F20"/>
          <w:spacing w:val="-10"/>
        </w:rPr>
        <w:t> </w:t>
      </w:r>
      <w:r>
        <w:rPr>
          <w:color w:val="231F20"/>
        </w:rPr>
        <w:t>чувствовать</w:t>
      </w:r>
      <w:r>
        <w:rPr>
          <w:color w:val="231F20"/>
          <w:spacing w:val="-10"/>
        </w:rPr>
        <w:t> </w:t>
      </w:r>
      <w:r>
        <w:rPr>
          <w:color w:val="231F20"/>
        </w:rPr>
        <w:t>себя</w:t>
      </w:r>
      <w:r>
        <w:rPr>
          <w:color w:val="231F20"/>
          <w:spacing w:val="-10"/>
        </w:rPr>
        <w:t> </w:t>
      </w:r>
      <w:r>
        <w:rPr>
          <w:color w:val="231F20"/>
        </w:rPr>
        <w:t>в</w:t>
      </w:r>
      <w:r>
        <w:rPr>
          <w:color w:val="231F20"/>
          <w:spacing w:val="-10"/>
        </w:rPr>
        <w:t> </w:t>
      </w:r>
      <w:r>
        <w:rPr>
          <w:color w:val="231F20"/>
        </w:rPr>
        <w:t>школе</w:t>
      </w:r>
      <w:r>
        <w:rPr>
          <w:color w:val="231F20"/>
          <w:spacing w:val="-10"/>
        </w:rPr>
        <w:t> </w:t>
      </w:r>
      <w:r>
        <w:rPr>
          <w:color w:val="231F20"/>
        </w:rPr>
        <w:t>в</w:t>
      </w:r>
      <w:r>
        <w:rPr>
          <w:color w:val="231F20"/>
          <w:spacing w:val="-10"/>
        </w:rPr>
        <w:t> </w:t>
      </w:r>
      <w:r>
        <w:rPr>
          <w:color w:val="231F20"/>
        </w:rPr>
        <w:t>безопасности,</w:t>
      </w:r>
      <w:r>
        <w:rPr>
          <w:color w:val="231F20"/>
          <w:spacing w:val="-10"/>
        </w:rPr>
        <w:t> </w:t>
      </w:r>
      <w:r>
        <w:rPr>
          <w:color w:val="231F20"/>
        </w:rPr>
        <w:t>осоз- навать себя полноправным членом школьного сообщества.</w:t>
      </w:r>
    </w:p>
    <w:p>
      <w:pPr>
        <w:pStyle w:val="BodyText"/>
        <w:spacing w:line="235" w:lineRule="auto"/>
      </w:pPr>
      <w:r>
        <w:rPr>
          <w:color w:val="231F20"/>
        </w:rPr>
        <w:t>Когда ученик переживает ситуацию, которая каким-то образом имитирует собы- тия</w:t>
      </w:r>
      <w:r>
        <w:rPr>
          <w:color w:val="231F20"/>
          <w:spacing w:val="-6"/>
        </w:rPr>
        <w:t> </w:t>
      </w:r>
      <w:r>
        <w:rPr>
          <w:color w:val="231F20"/>
        </w:rPr>
        <w:t>или</w:t>
      </w:r>
      <w:r>
        <w:rPr>
          <w:color w:val="231F20"/>
          <w:spacing w:val="-6"/>
        </w:rPr>
        <w:t> </w:t>
      </w:r>
      <w:r>
        <w:rPr>
          <w:color w:val="231F20"/>
        </w:rPr>
        <w:t>динамику</w:t>
      </w:r>
      <w:r>
        <w:rPr>
          <w:color w:val="231F20"/>
          <w:spacing w:val="-6"/>
        </w:rPr>
        <w:t> </w:t>
      </w:r>
      <w:r>
        <w:rPr>
          <w:color w:val="231F20"/>
        </w:rPr>
        <w:t>первоначальной</w:t>
      </w:r>
      <w:r>
        <w:rPr>
          <w:color w:val="231F20"/>
          <w:spacing w:val="-6"/>
        </w:rPr>
        <w:t> </w:t>
      </w:r>
      <w:r>
        <w:rPr>
          <w:color w:val="231F20"/>
        </w:rPr>
        <w:t>травмы,</w:t>
      </w:r>
      <w:r>
        <w:rPr>
          <w:color w:val="231F20"/>
          <w:spacing w:val="-6"/>
        </w:rPr>
        <w:t> </w:t>
      </w:r>
      <w:r>
        <w:rPr>
          <w:color w:val="231F20"/>
        </w:rPr>
        <w:t>она</w:t>
      </w:r>
      <w:r>
        <w:rPr>
          <w:color w:val="231F20"/>
          <w:spacing w:val="-6"/>
        </w:rPr>
        <w:t> </w:t>
      </w:r>
      <w:r>
        <w:rPr>
          <w:color w:val="231F20"/>
        </w:rPr>
        <w:t>может</w:t>
      </w:r>
      <w:r>
        <w:rPr>
          <w:color w:val="231F20"/>
          <w:spacing w:val="-6"/>
        </w:rPr>
        <w:t> </w:t>
      </w:r>
      <w:r>
        <w:rPr>
          <w:color w:val="231F20"/>
        </w:rPr>
        <w:t>вызвать</w:t>
      </w:r>
      <w:r>
        <w:rPr>
          <w:color w:val="231F20"/>
          <w:spacing w:val="-6"/>
        </w:rPr>
        <w:t> </w:t>
      </w:r>
      <w:r>
        <w:rPr>
          <w:color w:val="231F20"/>
        </w:rPr>
        <w:t>те</w:t>
      </w:r>
      <w:r>
        <w:rPr>
          <w:color w:val="231F20"/>
          <w:spacing w:val="-6"/>
        </w:rPr>
        <w:t> </w:t>
      </w:r>
      <w:r>
        <w:rPr>
          <w:color w:val="231F20"/>
        </w:rPr>
        <w:t>же</w:t>
      </w:r>
      <w:r>
        <w:rPr>
          <w:color w:val="231F20"/>
          <w:spacing w:val="-6"/>
        </w:rPr>
        <w:t> </w:t>
      </w:r>
      <w:r>
        <w:rPr>
          <w:color w:val="231F20"/>
        </w:rPr>
        <w:t>самые</w:t>
      </w:r>
      <w:r>
        <w:rPr>
          <w:color w:val="231F20"/>
          <w:spacing w:val="-6"/>
        </w:rPr>
        <w:t> </w:t>
      </w:r>
      <w:r>
        <w:rPr>
          <w:color w:val="231F20"/>
        </w:rPr>
        <w:t>чувства</w:t>
      </w:r>
      <w:r>
        <w:rPr>
          <w:color w:val="231F20"/>
          <w:spacing w:val="-6"/>
        </w:rPr>
        <w:t> </w:t>
      </w:r>
      <w:r>
        <w:rPr>
          <w:color w:val="231F20"/>
        </w:rPr>
        <w:t>и реакции,</w:t>
      </w:r>
      <w:r>
        <w:rPr>
          <w:color w:val="231F20"/>
          <w:spacing w:val="-8"/>
        </w:rPr>
        <w:t> </w:t>
      </w:r>
      <w:r>
        <w:rPr>
          <w:color w:val="231F20"/>
        </w:rPr>
        <w:t>которые</w:t>
      </w:r>
      <w:r>
        <w:rPr>
          <w:color w:val="231F20"/>
          <w:spacing w:val="-8"/>
        </w:rPr>
        <w:t> </w:t>
      </w:r>
      <w:r>
        <w:rPr>
          <w:color w:val="231F20"/>
        </w:rPr>
        <w:t>были</w:t>
      </w:r>
      <w:r>
        <w:rPr>
          <w:color w:val="231F20"/>
          <w:spacing w:val="-8"/>
        </w:rPr>
        <w:t> </w:t>
      </w:r>
      <w:r>
        <w:rPr>
          <w:color w:val="231F20"/>
        </w:rPr>
        <w:t>первоначально</w:t>
      </w:r>
      <w:r>
        <w:rPr>
          <w:color w:val="231F20"/>
          <w:spacing w:val="-8"/>
        </w:rPr>
        <w:t> </w:t>
      </w:r>
      <w:r>
        <w:rPr>
          <w:color w:val="231F20"/>
        </w:rPr>
        <w:t>с</w:t>
      </w:r>
      <w:r>
        <w:rPr>
          <w:color w:val="231F20"/>
          <w:spacing w:val="-8"/>
        </w:rPr>
        <w:t> </w:t>
      </w:r>
      <w:r>
        <w:rPr>
          <w:color w:val="231F20"/>
        </w:rPr>
        <w:t>ней</w:t>
      </w:r>
      <w:r>
        <w:rPr>
          <w:color w:val="231F20"/>
          <w:spacing w:val="-8"/>
        </w:rPr>
        <w:t> </w:t>
      </w:r>
      <w:r>
        <w:rPr>
          <w:color w:val="231F20"/>
        </w:rPr>
        <w:t>связаны.</w:t>
      </w:r>
      <w:r>
        <w:rPr>
          <w:color w:val="231F20"/>
          <w:spacing w:val="-8"/>
        </w:rPr>
        <w:t> </w:t>
      </w:r>
      <w:r>
        <w:rPr>
          <w:color w:val="231F20"/>
        </w:rPr>
        <w:t>Таким</w:t>
      </w:r>
      <w:r>
        <w:rPr>
          <w:color w:val="231F20"/>
          <w:spacing w:val="-8"/>
        </w:rPr>
        <w:t> </w:t>
      </w:r>
      <w:r>
        <w:rPr>
          <w:color w:val="231F20"/>
        </w:rPr>
        <w:t>образом,</w:t>
      </w:r>
      <w:r>
        <w:rPr>
          <w:color w:val="231F20"/>
          <w:spacing w:val="-8"/>
        </w:rPr>
        <w:t> </w:t>
      </w:r>
      <w:r>
        <w:rPr>
          <w:color w:val="231F20"/>
        </w:rPr>
        <w:t>ребенок</w:t>
      </w:r>
      <w:r>
        <w:rPr>
          <w:color w:val="231F20"/>
          <w:spacing w:val="-8"/>
        </w:rPr>
        <w:t> </w:t>
      </w:r>
      <w:r>
        <w:rPr>
          <w:color w:val="231F20"/>
        </w:rPr>
        <w:t>может испытать повторную травматизацию.</w:t>
      </w:r>
    </w:p>
    <w:p>
      <w:pPr>
        <w:pStyle w:val="BodyText"/>
        <w:spacing w:line="228" w:lineRule="auto"/>
      </w:pPr>
      <w:r>
        <w:rPr>
          <w:color w:val="231F20"/>
          <w:spacing w:val="-2"/>
        </w:rPr>
        <w:t>Повторная</w:t>
      </w:r>
      <w:r>
        <w:rPr>
          <w:color w:val="231F20"/>
          <w:spacing w:val="-4"/>
        </w:rPr>
        <w:t> </w:t>
      </w:r>
      <w:r>
        <w:rPr>
          <w:color w:val="231F20"/>
          <w:spacing w:val="-2"/>
        </w:rPr>
        <w:t>травматизация,</w:t>
      </w:r>
      <w:r>
        <w:rPr>
          <w:color w:val="231F20"/>
          <w:spacing w:val="-4"/>
        </w:rPr>
        <w:t> </w:t>
      </w:r>
      <w:r>
        <w:rPr>
          <w:color w:val="231F20"/>
          <w:spacing w:val="-2"/>
        </w:rPr>
        <w:t>которая</w:t>
      </w:r>
      <w:r>
        <w:rPr>
          <w:color w:val="231F20"/>
          <w:spacing w:val="-4"/>
        </w:rPr>
        <w:t> </w:t>
      </w:r>
      <w:r>
        <w:rPr>
          <w:color w:val="231F20"/>
          <w:spacing w:val="-2"/>
        </w:rPr>
        <w:t>происходит</w:t>
      </w:r>
      <w:r>
        <w:rPr>
          <w:color w:val="231F20"/>
          <w:spacing w:val="-4"/>
        </w:rPr>
        <w:t> </w:t>
      </w:r>
      <w:r>
        <w:rPr>
          <w:color w:val="231F20"/>
          <w:spacing w:val="-2"/>
        </w:rPr>
        <w:t>в</w:t>
      </w:r>
      <w:r>
        <w:rPr>
          <w:color w:val="231F20"/>
          <w:spacing w:val="-4"/>
        </w:rPr>
        <w:t> </w:t>
      </w:r>
      <w:r>
        <w:rPr>
          <w:color w:val="231F20"/>
          <w:spacing w:val="-2"/>
        </w:rPr>
        <w:t>школе,</w:t>
      </w:r>
      <w:r>
        <w:rPr>
          <w:color w:val="231F20"/>
          <w:spacing w:val="-4"/>
        </w:rPr>
        <w:t> </w:t>
      </w:r>
      <w:r>
        <w:rPr>
          <w:color w:val="231F20"/>
          <w:spacing w:val="-2"/>
        </w:rPr>
        <w:t>обычно</w:t>
      </w:r>
      <w:r>
        <w:rPr>
          <w:color w:val="231F20"/>
          <w:spacing w:val="-4"/>
        </w:rPr>
        <w:t> </w:t>
      </w:r>
      <w:r>
        <w:rPr>
          <w:color w:val="231F20"/>
          <w:spacing w:val="-2"/>
        </w:rPr>
        <w:t>непреднамеренна. </w:t>
      </w:r>
      <w:r>
        <w:rPr>
          <w:color w:val="231F20"/>
        </w:rPr>
        <w:t>Такие ситуации могут быть неочевидными или незаметными. Но в случаях травмы, связанной</w:t>
      </w:r>
      <w:r>
        <w:rPr>
          <w:color w:val="231F20"/>
          <w:spacing w:val="7"/>
        </w:rPr>
        <w:t> </w:t>
      </w:r>
      <w:r>
        <w:rPr>
          <w:color w:val="231F20"/>
        </w:rPr>
        <w:t>с</w:t>
      </w:r>
      <w:r>
        <w:rPr>
          <w:color w:val="231F20"/>
          <w:spacing w:val="9"/>
        </w:rPr>
        <w:t> </w:t>
      </w:r>
      <w:r>
        <w:rPr>
          <w:color w:val="231F20"/>
        </w:rPr>
        <w:t>жестоким</w:t>
      </w:r>
      <w:r>
        <w:rPr>
          <w:color w:val="231F20"/>
          <w:spacing w:val="9"/>
        </w:rPr>
        <w:t> </w:t>
      </w:r>
      <w:r>
        <w:rPr>
          <w:color w:val="231F20"/>
        </w:rPr>
        <w:t>обращением</w:t>
      </w:r>
      <w:r>
        <w:rPr>
          <w:color w:val="231F20"/>
          <w:spacing w:val="10"/>
        </w:rPr>
        <w:t> </w:t>
      </w:r>
      <w:r>
        <w:rPr>
          <w:color w:val="231F20"/>
        </w:rPr>
        <w:t>(физическим,</w:t>
      </w:r>
      <w:r>
        <w:rPr>
          <w:color w:val="231F20"/>
          <w:spacing w:val="9"/>
        </w:rPr>
        <w:t> </w:t>
      </w:r>
      <w:r>
        <w:rPr>
          <w:color w:val="231F20"/>
        </w:rPr>
        <w:t>психологическим</w:t>
      </w:r>
      <w:r>
        <w:rPr>
          <w:color w:val="231F20"/>
          <w:spacing w:val="9"/>
        </w:rPr>
        <w:t> </w:t>
      </w:r>
      <w:r>
        <w:rPr>
          <w:color w:val="231F20"/>
        </w:rPr>
        <w:t>и</w:t>
      </w:r>
      <w:r>
        <w:rPr>
          <w:color w:val="231F20"/>
          <w:spacing w:val="10"/>
        </w:rPr>
        <w:t> </w:t>
      </w:r>
      <w:r>
        <w:rPr>
          <w:color w:val="231F20"/>
          <w:spacing w:val="-2"/>
        </w:rPr>
        <w:t>сексуальным),</w:t>
      </w:r>
    </w:p>
    <w:p>
      <w:pPr>
        <w:pStyle w:val="BodyText"/>
        <w:spacing w:after="0" w:line="228" w:lineRule="auto"/>
        <w:sectPr>
          <w:pgSz w:w="8400" w:h="11910"/>
          <w:pgMar w:header="0" w:footer="528" w:top="400" w:bottom="740" w:left="425" w:right="425"/>
        </w:sectPr>
      </w:pPr>
    </w:p>
    <w:p>
      <w:pPr>
        <w:pStyle w:val="ListParagraph"/>
        <w:numPr>
          <w:ilvl w:val="1"/>
          <w:numId w:val="47"/>
        </w:numPr>
        <w:tabs>
          <w:tab w:pos="455" w:val="left" w:leader="none"/>
        </w:tabs>
        <w:spacing w:line="240" w:lineRule="auto" w:before="80" w:after="0"/>
        <w:ind w:left="455" w:right="0" w:hanging="314"/>
        <w:jc w:val="left"/>
        <w:rPr>
          <w:rFonts w:ascii="Georgia" w:hAnsi="Georgia"/>
          <w:color w:val="231F20"/>
          <w:sz w:val="18"/>
        </w:rPr>
      </w:pPr>
      <w:bookmarkStart w:name="_bookmark46" w:id="48"/>
      <w:bookmarkEnd w:id="48"/>
      <w:r>
        <w:rPr/>
      </w:r>
      <w:r>
        <w:rPr>
          <w:rFonts w:ascii="Georgia" w:hAnsi="Georgia"/>
          <w:color w:val="231F20"/>
          <w:sz w:val="18"/>
        </w:rPr>
        <w:t>Психологическая</w:t>
      </w:r>
      <w:r>
        <w:rPr>
          <w:rFonts w:ascii="Georgia" w:hAnsi="Georgia"/>
          <w:color w:val="231F20"/>
          <w:spacing w:val="-4"/>
          <w:sz w:val="18"/>
        </w:rPr>
        <w:t> </w:t>
      </w:r>
      <w:r>
        <w:rPr>
          <w:rFonts w:ascii="Georgia" w:hAnsi="Georgia"/>
          <w:color w:val="231F20"/>
          <w:sz w:val="18"/>
        </w:rPr>
        <w:t>работа</w:t>
      </w:r>
      <w:r>
        <w:rPr>
          <w:rFonts w:ascii="Georgia" w:hAnsi="Georgia"/>
          <w:color w:val="231F20"/>
          <w:spacing w:val="-4"/>
          <w:sz w:val="18"/>
        </w:rPr>
        <w:t> </w:t>
      </w:r>
      <w:r>
        <w:rPr>
          <w:rFonts w:ascii="Georgia" w:hAnsi="Georgia"/>
          <w:color w:val="231F20"/>
          <w:sz w:val="18"/>
        </w:rPr>
        <w:t>с</w:t>
      </w:r>
      <w:r>
        <w:rPr>
          <w:rFonts w:ascii="Georgia" w:hAnsi="Georgia"/>
          <w:color w:val="231F20"/>
          <w:spacing w:val="-3"/>
          <w:sz w:val="18"/>
        </w:rPr>
        <w:t> </w:t>
      </w:r>
      <w:r>
        <w:rPr>
          <w:rFonts w:ascii="Georgia" w:hAnsi="Georgia"/>
          <w:color w:val="231F20"/>
          <w:sz w:val="18"/>
        </w:rPr>
        <w:t>детьми</w:t>
      </w:r>
      <w:r>
        <w:rPr>
          <w:rFonts w:ascii="Georgia" w:hAnsi="Georgia"/>
          <w:color w:val="231F20"/>
          <w:spacing w:val="-4"/>
          <w:sz w:val="18"/>
        </w:rPr>
        <w:t> </w:t>
      </w:r>
      <w:r>
        <w:rPr>
          <w:rFonts w:ascii="Georgia" w:hAnsi="Georgia"/>
          <w:color w:val="231F20"/>
          <w:sz w:val="18"/>
        </w:rPr>
        <w:t>...,</w:t>
      </w:r>
      <w:r>
        <w:rPr>
          <w:rFonts w:ascii="Georgia" w:hAnsi="Georgia"/>
          <w:color w:val="231F20"/>
          <w:spacing w:val="-3"/>
          <w:sz w:val="18"/>
        </w:rPr>
        <w:t> </w:t>
      </w:r>
      <w:r>
        <w:rPr>
          <w:rFonts w:ascii="Georgia" w:hAnsi="Georgia"/>
          <w:color w:val="231F20"/>
          <w:sz w:val="18"/>
        </w:rPr>
        <w:t>переживающими</w:t>
      </w:r>
      <w:r>
        <w:rPr>
          <w:rFonts w:ascii="Georgia" w:hAnsi="Georgia"/>
          <w:color w:val="231F20"/>
          <w:spacing w:val="-4"/>
          <w:sz w:val="18"/>
        </w:rPr>
        <w:t> </w:t>
      </w:r>
      <w:r>
        <w:rPr>
          <w:rFonts w:ascii="Georgia" w:hAnsi="Georgia"/>
          <w:color w:val="231F20"/>
          <w:spacing w:val="-2"/>
          <w:sz w:val="18"/>
        </w:rPr>
        <w:t>последствия...</w:t>
      </w:r>
    </w:p>
    <w:p>
      <w:pPr>
        <w:pStyle w:val="BodyText"/>
        <w:spacing w:line="225" w:lineRule="auto" w:before="123"/>
        <w:ind w:firstLine="0"/>
      </w:pPr>
      <w:r>
        <w:rPr>
          <w:color w:val="231F20"/>
        </w:rPr>
        <w:t>принуждением и ненадлежащим использованием власти и контроля, впоследствии часто</w:t>
      </w:r>
      <w:r>
        <w:rPr>
          <w:color w:val="231F20"/>
          <w:spacing w:val="-1"/>
        </w:rPr>
        <w:t> </w:t>
      </w:r>
      <w:r>
        <w:rPr>
          <w:color w:val="231F20"/>
        </w:rPr>
        <w:t>возникают</w:t>
      </w:r>
      <w:r>
        <w:rPr>
          <w:color w:val="231F20"/>
          <w:spacing w:val="-1"/>
        </w:rPr>
        <w:t> </w:t>
      </w:r>
      <w:r>
        <w:rPr>
          <w:color w:val="231F20"/>
        </w:rPr>
        <w:t>ситуации,</w:t>
      </w:r>
      <w:r>
        <w:rPr>
          <w:color w:val="231F20"/>
          <w:spacing w:val="-1"/>
        </w:rPr>
        <w:t> </w:t>
      </w:r>
      <w:r>
        <w:rPr>
          <w:color w:val="231F20"/>
        </w:rPr>
        <w:t>которые</w:t>
      </w:r>
      <w:r>
        <w:rPr>
          <w:color w:val="231F20"/>
          <w:spacing w:val="-1"/>
        </w:rPr>
        <w:t> </w:t>
      </w:r>
      <w:r>
        <w:rPr>
          <w:color w:val="231F20"/>
        </w:rPr>
        <w:t>могут</w:t>
      </w:r>
      <w:r>
        <w:rPr>
          <w:color w:val="231F20"/>
          <w:spacing w:val="-1"/>
        </w:rPr>
        <w:t> </w:t>
      </w:r>
      <w:r>
        <w:rPr>
          <w:color w:val="231F20"/>
        </w:rPr>
        <w:t>воспроизвести</w:t>
      </w:r>
      <w:r>
        <w:rPr>
          <w:color w:val="231F20"/>
          <w:spacing w:val="-1"/>
        </w:rPr>
        <w:t> </w:t>
      </w:r>
      <w:r>
        <w:rPr>
          <w:color w:val="231F20"/>
        </w:rPr>
        <w:t>динамику</w:t>
      </w:r>
      <w:r>
        <w:rPr>
          <w:color w:val="231F20"/>
          <w:spacing w:val="-1"/>
        </w:rPr>
        <w:t> </w:t>
      </w:r>
      <w:r>
        <w:rPr>
          <w:color w:val="231F20"/>
        </w:rPr>
        <w:t>первоначальной </w:t>
      </w:r>
      <w:r>
        <w:rPr>
          <w:color w:val="231F20"/>
          <w:spacing w:val="-2"/>
        </w:rPr>
        <w:t>травмы. Ученики, которые подвергались жестокому обращению, могут беспокоиться, </w:t>
      </w:r>
      <w:r>
        <w:rPr>
          <w:color w:val="231F20"/>
        </w:rPr>
        <w:t>просто находясь в классе с группой сверстников в течение всего дня.</w:t>
      </w:r>
    </w:p>
    <w:p>
      <w:pPr>
        <w:pStyle w:val="BodyText"/>
        <w:spacing w:line="225" w:lineRule="auto"/>
      </w:pPr>
      <w:r>
        <w:rPr>
          <w:color w:val="231F20"/>
        </w:rPr>
        <w:t>В целом, непоследовательность, хаос, громкое разрушительное поведение могут вызвать</w:t>
      </w:r>
      <w:r>
        <w:rPr>
          <w:color w:val="231F20"/>
          <w:spacing w:val="-11"/>
        </w:rPr>
        <w:t> </w:t>
      </w:r>
      <w:r>
        <w:rPr>
          <w:color w:val="231F20"/>
        </w:rPr>
        <w:t>повторную</w:t>
      </w:r>
      <w:r>
        <w:rPr>
          <w:color w:val="231F20"/>
          <w:spacing w:val="-11"/>
        </w:rPr>
        <w:t> </w:t>
      </w:r>
      <w:r>
        <w:rPr>
          <w:color w:val="231F20"/>
        </w:rPr>
        <w:t>травматизацию</w:t>
      </w:r>
      <w:r>
        <w:rPr>
          <w:color w:val="231F20"/>
          <w:spacing w:val="-11"/>
        </w:rPr>
        <w:t> </w:t>
      </w:r>
      <w:r>
        <w:rPr>
          <w:color w:val="231F20"/>
        </w:rPr>
        <w:t>у</w:t>
      </w:r>
      <w:r>
        <w:rPr>
          <w:color w:val="231F20"/>
          <w:spacing w:val="-11"/>
        </w:rPr>
        <w:t> </w:t>
      </w:r>
      <w:r>
        <w:rPr>
          <w:color w:val="231F20"/>
        </w:rPr>
        <w:t>этих</w:t>
      </w:r>
      <w:r>
        <w:rPr>
          <w:color w:val="231F20"/>
          <w:spacing w:val="-11"/>
        </w:rPr>
        <w:t> </w:t>
      </w:r>
      <w:r>
        <w:rPr>
          <w:color w:val="231F20"/>
        </w:rPr>
        <w:t>учеников.</w:t>
      </w:r>
      <w:r>
        <w:rPr>
          <w:color w:val="231F20"/>
          <w:spacing w:val="-11"/>
        </w:rPr>
        <w:t> </w:t>
      </w:r>
      <w:r>
        <w:rPr>
          <w:color w:val="231F20"/>
        </w:rPr>
        <w:t>Однако,</w:t>
      </w:r>
      <w:r>
        <w:rPr>
          <w:color w:val="231F20"/>
          <w:spacing w:val="-11"/>
        </w:rPr>
        <w:t> </w:t>
      </w:r>
      <w:r>
        <w:rPr>
          <w:color w:val="231F20"/>
        </w:rPr>
        <w:t>как</w:t>
      </w:r>
      <w:r>
        <w:rPr>
          <w:color w:val="231F20"/>
          <w:spacing w:val="-11"/>
        </w:rPr>
        <w:t> </w:t>
      </w:r>
      <w:r>
        <w:rPr>
          <w:color w:val="231F20"/>
        </w:rPr>
        <w:t>это</w:t>
      </w:r>
      <w:r>
        <w:rPr>
          <w:color w:val="231F20"/>
          <w:spacing w:val="-11"/>
        </w:rPr>
        <w:t> </w:t>
      </w:r>
      <w:r>
        <w:rPr>
          <w:color w:val="231F20"/>
        </w:rPr>
        <w:t>ни</w:t>
      </w:r>
      <w:r>
        <w:rPr>
          <w:color w:val="231F20"/>
          <w:spacing w:val="-11"/>
        </w:rPr>
        <w:t> </w:t>
      </w:r>
      <w:r>
        <w:rPr>
          <w:color w:val="231F20"/>
        </w:rPr>
        <w:t>парадоксаль- но, полная тишина и неподвижность также могут нервировать ребенка или подрост- ка, подвергшегося травме.</w:t>
      </w:r>
    </w:p>
    <w:p>
      <w:pPr>
        <w:numPr>
          <w:ilvl w:val="2"/>
          <w:numId w:val="52"/>
        </w:numPr>
        <w:tabs>
          <w:tab w:pos="891" w:val="left" w:leader="none"/>
        </w:tabs>
        <w:spacing w:before="204"/>
        <w:ind w:left="891" w:right="0" w:hanging="500"/>
        <w:jc w:val="both"/>
        <w:rPr>
          <w:b/>
          <w:sz w:val="20"/>
        </w:rPr>
      </w:pPr>
      <w:r>
        <w:rPr>
          <w:b/>
          <w:color w:val="231F20"/>
          <w:sz w:val="20"/>
        </w:rPr>
        <w:t>Стратегии</w:t>
      </w:r>
      <w:r>
        <w:rPr>
          <w:b/>
          <w:color w:val="231F20"/>
          <w:spacing w:val="-12"/>
          <w:sz w:val="20"/>
        </w:rPr>
        <w:t> </w:t>
      </w:r>
      <w:r>
        <w:rPr>
          <w:b/>
          <w:color w:val="231F20"/>
          <w:sz w:val="20"/>
        </w:rPr>
        <w:t>поддержки</w:t>
      </w:r>
      <w:r>
        <w:rPr>
          <w:b/>
          <w:color w:val="231F20"/>
          <w:spacing w:val="-11"/>
          <w:sz w:val="20"/>
        </w:rPr>
        <w:t> </w:t>
      </w:r>
      <w:r>
        <w:rPr>
          <w:b/>
          <w:color w:val="231F20"/>
          <w:sz w:val="20"/>
        </w:rPr>
        <w:t>ребенка,</w:t>
      </w:r>
      <w:r>
        <w:rPr>
          <w:b/>
          <w:color w:val="231F20"/>
          <w:spacing w:val="-10"/>
          <w:sz w:val="20"/>
        </w:rPr>
        <w:t> </w:t>
      </w:r>
      <w:r>
        <w:rPr>
          <w:b/>
          <w:color w:val="231F20"/>
          <w:sz w:val="20"/>
        </w:rPr>
        <w:t>переживающего</w:t>
      </w:r>
      <w:r>
        <w:rPr>
          <w:b/>
          <w:color w:val="231F20"/>
          <w:spacing w:val="-10"/>
          <w:sz w:val="20"/>
        </w:rPr>
        <w:t> </w:t>
      </w:r>
      <w:r>
        <w:rPr>
          <w:b/>
          <w:color w:val="231F20"/>
          <w:sz w:val="20"/>
        </w:rPr>
        <w:t>последствия</w:t>
      </w:r>
      <w:r>
        <w:rPr>
          <w:b/>
          <w:color w:val="231F20"/>
          <w:spacing w:val="-10"/>
          <w:sz w:val="20"/>
        </w:rPr>
        <w:t> </w:t>
      </w:r>
      <w:r>
        <w:rPr>
          <w:b/>
          <w:color w:val="231F20"/>
          <w:spacing w:val="-2"/>
          <w:sz w:val="20"/>
        </w:rPr>
        <w:t>травмы</w:t>
      </w:r>
    </w:p>
    <w:p>
      <w:pPr>
        <w:pStyle w:val="BodyText"/>
        <w:spacing w:line="225" w:lineRule="auto" w:before="110"/>
      </w:pPr>
      <w:r>
        <w:rPr>
          <w:color w:val="231F20"/>
        </w:rPr>
        <w:t>Несовершеннолетний</w:t>
      </w:r>
      <w:r>
        <w:rPr>
          <w:color w:val="231F20"/>
          <w:spacing w:val="-13"/>
        </w:rPr>
        <w:t> </w:t>
      </w:r>
      <w:r>
        <w:rPr>
          <w:color w:val="231F20"/>
        </w:rPr>
        <w:t>иностранный</w:t>
      </w:r>
      <w:r>
        <w:rPr>
          <w:color w:val="231F20"/>
          <w:spacing w:val="-12"/>
        </w:rPr>
        <w:t> </w:t>
      </w:r>
      <w:r>
        <w:rPr>
          <w:color w:val="231F20"/>
        </w:rPr>
        <w:t>гражданин,</w:t>
      </w:r>
      <w:r>
        <w:rPr>
          <w:color w:val="231F20"/>
          <w:spacing w:val="-13"/>
        </w:rPr>
        <w:t> </w:t>
      </w:r>
      <w:r>
        <w:rPr>
          <w:color w:val="231F20"/>
        </w:rPr>
        <w:t>переживающий</w:t>
      </w:r>
      <w:r>
        <w:rPr>
          <w:color w:val="231F20"/>
          <w:spacing w:val="-12"/>
        </w:rPr>
        <w:t> </w:t>
      </w:r>
      <w:r>
        <w:rPr>
          <w:color w:val="231F20"/>
        </w:rPr>
        <w:t>последствия</w:t>
      </w:r>
      <w:r>
        <w:rPr>
          <w:color w:val="231F20"/>
          <w:spacing w:val="-13"/>
        </w:rPr>
        <w:t> </w:t>
      </w:r>
      <w:r>
        <w:rPr>
          <w:color w:val="231F20"/>
        </w:rPr>
        <w:t>трав- матического воздействия, нуждается в систематической психологической помощи.</w:t>
      </w:r>
    </w:p>
    <w:p>
      <w:pPr>
        <w:pStyle w:val="BodyText"/>
        <w:spacing w:line="225" w:lineRule="auto"/>
      </w:pPr>
      <w:r>
        <w:rPr>
          <w:color w:val="231F20"/>
          <w:spacing w:val="-2"/>
        </w:rPr>
        <w:t>Прежде всего, необходима организация индивидуальных коррекционных занятий. Крайне</w:t>
      </w:r>
      <w:r>
        <w:rPr>
          <w:color w:val="231F20"/>
          <w:spacing w:val="-4"/>
        </w:rPr>
        <w:t> </w:t>
      </w:r>
      <w:r>
        <w:rPr>
          <w:color w:val="231F20"/>
          <w:spacing w:val="-2"/>
        </w:rPr>
        <w:t>желательно,</w:t>
      </w:r>
      <w:r>
        <w:rPr>
          <w:color w:val="231F20"/>
          <w:spacing w:val="-4"/>
        </w:rPr>
        <w:t> </w:t>
      </w:r>
      <w:r>
        <w:rPr>
          <w:color w:val="231F20"/>
          <w:spacing w:val="-2"/>
        </w:rPr>
        <w:t>чтобы</w:t>
      </w:r>
      <w:r>
        <w:rPr>
          <w:color w:val="231F20"/>
          <w:spacing w:val="-4"/>
        </w:rPr>
        <w:t> </w:t>
      </w:r>
      <w:r>
        <w:rPr>
          <w:color w:val="231F20"/>
          <w:spacing w:val="-2"/>
        </w:rPr>
        <w:t>специалист,</w:t>
      </w:r>
      <w:r>
        <w:rPr>
          <w:color w:val="231F20"/>
          <w:spacing w:val="-4"/>
        </w:rPr>
        <w:t> </w:t>
      </w:r>
      <w:r>
        <w:rPr>
          <w:color w:val="231F20"/>
          <w:spacing w:val="-2"/>
        </w:rPr>
        <w:t>ведущий</w:t>
      </w:r>
      <w:r>
        <w:rPr>
          <w:color w:val="231F20"/>
          <w:spacing w:val="-4"/>
        </w:rPr>
        <w:t> </w:t>
      </w:r>
      <w:r>
        <w:rPr>
          <w:color w:val="231F20"/>
          <w:spacing w:val="-2"/>
        </w:rPr>
        <w:t>такие</w:t>
      </w:r>
      <w:r>
        <w:rPr>
          <w:color w:val="231F20"/>
          <w:spacing w:val="-4"/>
        </w:rPr>
        <w:t> </w:t>
      </w:r>
      <w:r>
        <w:rPr>
          <w:color w:val="231F20"/>
          <w:spacing w:val="-2"/>
        </w:rPr>
        <w:t>занятия,</w:t>
      </w:r>
      <w:r>
        <w:rPr>
          <w:color w:val="231F20"/>
          <w:spacing w:val="-4"/>
        </w:rPr>
        <w:t> </w:t>
      </w:r>
      <w:r>
        <w:rPr>
          <w:color w:val="231F20"/>
          <w:spacing w:val="-2"/>
        </w:rPr>
        <w:t>имел</w:t>
      </w:r>
      <w:r>
        <w:rPr>
          <w:color w:val="231F20"/>
          <w:spacing w:val="-4"/>
        </w:rPr>
        <w:t> </w:t>
      </w:r>
      <w:r>
        <w:rPr>
          <w:color w:val="231F20"/>
          <w:spacing w:val="-2"/>
        </w:rPr>
        <w:t>дополнительную </w:t>
      </w:r>
      <w:r>
        <w:rPr>
          <w:color w:val="231F20"/>
        </w:rPr>
        <w:t>подготовку в области психологической помощи при ПТСР. Такие индивидуальные занятия могут проводиться на базе образовательной организации или в психолого- медико-социальном центре.</w:t>
      </w:r>
    </w:p>
    <w:p>
      <w:pPr>
        <w:pStyle w:val="BodyText"/>
        <w:spacing w:line="225" w:lineRule="auto"/>
      </w:pPr>
      <w:r>
        <w:rPr/>
        <w:t>П</w:t>
      </w:r>
      <w:r>
        <w:rPr>
          <w:color w:val="231F20"/>
        </w:rPr>
        <w:t>рограмма психолого-педагогического сопровождения последствий комплекс- ной психологической травмы и переживания горя (потери) у детей, возвращенных</w:t>
      </w:r>
      <w:r>
        <w:rPr>
          <w:color w:val="231F20"/>
          <w:spacing w:val="40"/>
        </w:rPr>
        <w:t> </w:t>
      </w:r>
      <w:r>
        <w:rPr>
          <w:color w:val="231F20"/>
        </w:rPr>
        <w:t>из зоны боевых действий, предназначена для работы с детьми, возвращенными из Сирийской Арабской Республики и Республики Ирак (Методические рекоменда- ции,</w:t>
      </w:r>
      <w:r>
        <w:rPr>
          <w:color w:val="231F20"/>
          <w:spacing w:val="-13"/>
        </w:rPr>
        <w:t> </w:t>
      </w:r>
      <w:r>
        <w:rPr>
          <w:color w:val="231F20"/>
        </w:rPr>
        <w:t>2022).</w:t>
      </w:r>
      <w:r>
        <w:rPr>
          <w:color w:val="231F20"/>
          <w:spacing w:val="-12"/>
        </w:rPr>
        <w:t> </w:t>
      </w:r>
      <w:r>
        <w:rPr>
          <w:color w:val="231F20"/>
        </w:rPr>
        <w:t>В</w:t>
      </w:r>
      <w:r>
        <w:rPr>
          <w:color w:val="231F20"/>
          <w:spacing w:val="-13"/>
        </w:rPr>
        <w:t> </w:t>
      </w:r>
      <w:r>
        <w:rPr>
          <w:color w:val="231F20"/>
        </w:rPr>
        <w:t>ней</w:t>
      </w:r>
      <w:r>
        <w:rPr>
          <w:color w:val="231F20"/>
          <w:spacing w:val="-12"/>
        </w:rPr>
        <w:t> </w:t>
      </w:r>
      <w:r>
        <w:rPr>
          <w:color w:val="231F20"/>
        </w:rPr>
        <w:t>представлена</w:t>
      </w:r>
      <w:r>
        <w:rPr>
          <w:color w:val="231F20"/>
          <w:spacing w:val="-13"/>
        </w:rPr>
        <w:t> </w:t>
      </w:r>
      <w:r>
        <w:rPr/>
        <w:t>общая</w:t>
      </w:r>
      <w:r>
        <w:rPr>
          <w:spacing w:val="-12"/>
        </w:rPr>
        <w:t> </w:t>
      </w:r>
      <w:r>
        <w:rPr/>
        <w:t>схема</w:t>
      </w:r>
      <w:r>
        <w:rPr>
          <w:spacing w:val="-13"/>
        </w:rPr>
        <w:t> </w:t>
      </w:r>
      <w:r>
        <w:rPr/>
        <w:t>психолого-педагогического</w:t>
      </w:r>
      <w:r>
        <w:rPr>
          <w:spacing w:val="-12"/>
        </w:rPr>
        <w:t> </w:t>
      </w:r>
      <w:r>
        <w:rPr/>
        <w:t>сопровожде- ния</w:t>
      </w:r>
      <w:r>
        <w:rPr>
          <w:spacing w:val="-1"/>
        </w:rPr>
        <w:t> </w:t>
      </w:r>
      <w:r>
        <w:rPr/>
        <w:t>детей,</w:t>
      </w:r>
      <w:r>
        <w:rPr>
          <w:spacing w:val="-1"/>
        </w:rPr>
        <w:t> </w:t>
      </w:r>
      <w:r>
        <w:rPr/>
        <w:t>переживших</w:t>
      </w:r>
      <w:r>
        <w:rPr>
          <w:spacing w:val="-1"/>
        </w:rPr>
        <w:t> </w:t>
      </w:r>
      <w:r>
        <w:rPr/>
        <w:t>травматические</w:t>
      </w:r>
      <w:r>
        <w:rPr>
          <w:spacing w:val="-1"/>
        </w:rPr>
        <w:t> </w:t>
      </w:r>
      <w:r>
        <w:rPr/>
        <w:t>события.</w:t>
      </w:r>
      <w:r>
        <w:rPr>
          <w:spacing w:val="-1"/>
        </w:rPr>
        <w:t> </w:t>
      </w:r>
      <w:r>
        <w:rPr/>
        <w:t>Она</w:t>
      </w:r>
      <w:r>
        <w:rPr>
          <w:spacing w:val="-1"/>
        </w:rPr>
        <w:t> </w:t>
      </w:r>
      <w:r>
        <w:rPr/>
        <w:t>является</w:t>
      </w:r>
      <w:r>
        <w:rPr>
          <w:spacing w:val="-1"/>
        </w:rPr>
        <w:t> </w:t>
      </w:r>
      <w:r>
        <w:rPr/>
        <w:t>универсальной</w:t>
      </w:r>
      <w:r>
        <w:rPr>
          <w:spacing w:val="-1"/>
        </w:rPr>
        <w:t> </w:t>
      </w:r>
      <w:r>
        <w:rPr/>
        <w:t>и</w:t>
      </w:r>
      <w:r>
        <w:rPr>
          <w:spacing w:val="-1"/>
        </w:rPr>
        <w:t> </w:t>
      </w:r>
      <w:r>
        <w:rPr/>
        <w:t>мо- жет</w:t>
      </w:r>
      <w:r>
        <w:rPr>
          <w:spacing w:val="-5"/>
        </w:rPr>
        <w:t> </w:t>
      </w:r>
      <w:r>
        <w:rPr/>
        <w:t>быть</w:t>
      </w:r>
      <w:r>
        <w:rPr>
          <w:spacing w:val="-5"/>
        </w:rPr>
        <w:t> </w:t>
      </w:r>
      <w:r>
        <w:rPr/>
        <w:t>использована</w:t>
      </w:r>
      <w:r>
        <w:rPr>
          <w:spacing w:val="-5"/>
        </w:rPr>
        <w:t> </w:t>
      </w:r>
      <w:r>
        <w:rPr/>
        <w:t>при</w:t>
      </w:r>
      <w:r>
        <w:rPr>
          <w:spacing w:val="-5"/>
        </w:rPr>
        <w:t> </w:t>
      </w:r>
      <w:r>
        <w:rPr/>
        <w:t>организации</w:t>
      </w:r>
      <w:r>
        <w:rPr>
          <w:spacing w:val="-5"/>
        </w:rPr>
        <w:t> </w:t>
      </w:r>
      <w:r>
        <w:rPr/>
        <w:t>психолого-педагогического</w:t>
      </w:r>
      <w:r>
        <w:rPr>
          <w:spacing w:val="-5"/>
        </w:rPr>
        <w:t> </w:t>
      </w:r>
      <w:r>
        <w:rPr/>
        <w:t>сопровождения детей иностранных граждан, переживших ситуации психологической травмы.</w:t>
      </w:r>
    </w:p>
    <w:p>
      <w:pPr>
        <w:pStyle w:val="BodyText"/>
        <w:spacing w:line="225" w:lineRule="auto"/>
      </w:pPr>
      <w:r>
        <w:rPr/>
        <w:t>Авторы программы, основываясь на современных исследованиях в области пси- хологической</w:t>
      </w:r>
      <w:r>
        <w:rPr>
          <w:spacing w:val="-2"/>
        </w:rPr>
        <w:t> </w:t>
      </w:r>
      <w:r>
        <w:rPr/>
        <w:t>помощи</w:t>
      </w:r>
      <w:r>
        <w:rPr>
          <w:spacing w:val="-2"/>
        </w:rPr>
        <w:t> </w:t>
      </w:r>
      <w:r>
        <w:rPr/>
        <w:t>детям</w:t>
      </w:r>
      <w:r>
        <w:rPr>
          <w:spacing w:val="-2"/>
        </w:rPr>
        <w:t> </w:t>
      </w:r>
      <w:r>
        <w:rPr/>
        <w:t>в</w:t>
      </w:r>
      <w:r>
        <w:rPr>
          <w:spacing w:val="-2"/>
        </w:rPr>
        <w:t> </w:t>
      </w:r>
      <w:r>
        <w:rPr/>
        <w:t>ситуации</w:t>
      </w:r>
      <w:r>
        <w:rPr>
          <w:spacing w:val="-2"/>
        </w:rPr>
        <w:t> </w:t>
      </w:r>
      <w:r>
        <w:rPr/>
        <w:t>психологической</w:t>
      </w:r>
      <w:r>
        <w:rPr>
          <w:spacing w:val="-2"/>
        </w:rPr>
        <w:t> </w:t>
      </w:r>
      <w:r>
        <w:rPr/>
        <w:t>травматизации,</w:t>
      </w:r>
      <w:r>
        <w:rPr>
          <w:spacing w:val="-2"/>
        </w:rPr>
        <w:t> </w:t>
      </w:r>
      <w:r>
        <w:rPr/>
        <w:t>выделяют компоненты</w:t>
      </w:r>
      <w:r>
        <w:rPr>
          <w:spacing w:val="-3"/>
        </w:rPr>
        <w:t> </w:t>
      </w:r>
      <w:r>
        <w:rPr/>
        <w:t>работы</w:t>
      </w:r>
      <w:r>
        <w:rPr>
          <w:spacing w:val="-3"/>
        </w:rPr>
        <w:t> </w:t>
      </w:r>
      <w:r>
        <w:rPr/>
        <w:t>педагога-психолога</w:t>
      </w:r>
      <w:r>
        <w:rPr>
          <w:spacing w:val="-3"/>
        </w:rPr>
        <w:t> </w:t>
      </w:r>
      <w:r>
        <w:rPr/>
        <w:t>по</w:t>
      </w:r>
      <w:r>
        <w:rPr>
          <w:spacing w:val="-3"/>
        </w:rPr>
        <w:t> </w:t>
      </w:r>
      <w:r>
        <w:rPr/>
        <w:t>преодолению</w:t>
      </w:r>
      <w:r>
        <w:rPr>
          <w:spacing w:val="-4"/>
        </w:rPr>
        <w:t> </w:t>
      </w:r>
      <w:r>
        <w:rPr>
          <w:color w:val="231F20"/>
        </w:rPr>
        <w:t>последствий</w:t>
      </w:r>
      <w:r>
        <w:rPr>
          <w:color w:val="231F20"/>
          <w:spacing w:val="-3"/>
        </w:rPr>
        <w:t> </w:t>
      </w:r>
      <w:r>
        <w:rPr>
          <w:color w:val="231F20"/>
        </w:rPr>
        <w:t>психотравми- рующих воздействий</w:t>
      </w:r>
      <w:r>
        <w:rPr/>
        <w:t>.</w:t>
      </w:r>
    </w:p>
    <w:p>
      <w:pPr>
        <w:pStyle w:val="BodyText"/>
        <w:spacing w:line="225" w:lineRule="auto"/>
        <w:ind w:right="140"/>
      </w:pPr>
      <w:r>
        <w:rPr>
          <w:i/>
          <w:color w:val="231F20"/>
        </w:rPr>
        <w:t>Компонент</w:t>
      </w:r>
      <w:r>
        <w:rPr>
          <w:i/>
          <w:color w:val="231F20"/>
          <w:spacing w:val="-13"/>
        </w:rPr>
        <w:t> </w:t>
      </w:r>
      <w:r>
        <w:rPr>
          <w:i/>
          <w:color w:val="231F20"/>
        </w:rPr>
        <w:t>1.</w:t>
      </w:r>
      <w:r>
        <w:rPr>
          <w:i/>
          <w:color w:val="231F20"/>
          <w:spacing w:val="-12"/>
        </w:rPr>
        <w:t> </w:t>
      </w:r>
      <w:r>
        <w:rPr>
          <w:color w:val="231F20"/>
        </w:rPr>
        <w:t>«Безопасность</w:t>
      </w:r>
      <w:r>
        <w:rPr>
          <w:color w:val="231F20"/>
          <w:spacing w:val="-13"/>
        </w:rPr>
        <w:t> </w:t>
      </w:r>
      <w:r>
        <w:rPr>
          <w:color w:val="231F20"/>
        </w:rPr>
        <w:t>во</w:t>
      </w:r>
      <w:r>
        <w:rPr>
          <w:color w:val="231F20"/>
          <w:spacing w:val="-12"/>
        </w:rPr>
        <w:t> </w:t>
      </w:r>
      <w:r>
        <w:rPr>
          <w:color w:val="231F20"/>
        </w:rPr>
        <w:t>взаимодействии</w:t>
      </w:r>
      <w:r>
        <w:rPr>
          <w:color w:val="231F20"/>
          <w:spacing w:val="-13"/>
        </w:rPr>
        <w:t> </w:t>
      </w:r>
      <w:r>
        <w:rPr>
          <w:color w:val="231F20"/>
        </w:rPr>
        <w:t>с</w:t>
      </w:r>
      <w:r>
        <w:rPr>
          <w:color w:val="231F20"/>
          <w:spacing w:val="-12"/>
        </w:rPr>
        <w:t> </w:t>
      </w:r>
      <w:r>
        <w:rPr>
          <w:color w:val="231F20"/>
        </w:rPr>
        <w:t>психологом</w:t>
      </w:r>
      <w:r>
        <w:rPr>
          <w:color w:val="231F20"/>
          <w:spacing w:val="-13"/>
        </w:rPr>
        <w:t> </w:t>
      </w:r>
      <w:r>
        <w:rPr>
          <w:color w:val="231F20"/>
        </w:rPr>
        <w:t>(в</w:t>
      </w:r>
      <w:r>
        <w:rPr>
          <w:color w:val="231F20"/>
          <w:spacing w:val="-12"/>
        </w:rPr>
        <w:t> </w:t>
      </w:r>
      <w:r>
        <w:rPr>
          <w:color w:val="231F20"/>
        </w:rPr>
        <w:t>терапевтических </w:t>
      </w:r>
      <w:r>
        <w:rPr>
          <w:color w:val="231F20"/>
          <w:spacing w:val="-2"/>
        </w:rPr>
        <w:t>отношениях)»</w:t>
      </w:r>
    </w:p>
    <w:p>
      <w:pPr>
        <w:spacing w:line="211" w:lineRule="exact" w:before="0"/>
        <w:ind w:left="425" w:right="0" w:firstLine="0"/>
        <w:jc w:val="both"/>
        <w:rPr>
          <w:sz w:val="20"/>
        </w:rPr>
      </w:pPr>
      <w:r>
        <w:rPr>
          <w:i/>
          <w:color w:val="231F20"/>
          <w:sz w:val="20"/>
        </w:rPr>
        <w:t>Компонент</w:t>
      </w:r>
      <w:r>
        <w:rPr>
          <w:i/>
          <w:color w:val="231F20"/>
          <w:spacing w:val="-11"/>
          <w:sz w:val="20"/>
        </w:rPr>
        <w:t> </w:t>
      </w:r>
      <w:r>
        <w:rPr>
          <w:i/>
          <w:color w:val="231F20"/>
          <w:sz w:val="20"/>
        </w:rPr>
        <w:t>2.</w:t>
      </w:r>
      <w:r>
        <w:rPr>
          <w:i/>
          <w:color w:val="231F20"/>
          <w:spacing w:val="-10"/>
          <w:sz w:val="20"/>
        </w:rPr>
        <w:t> </w:t>
      </w:r>
      <w:r>
        <w:rPr>
          <w:color w:val="231F20"/>
          <w:sz w:val="20"/>
        </w:rPr>
        <w:t>«Мои</w:t>
      </w:r>
      <w:r>
        <w:rPr>
          <w:color w:val="231F20"/>
          <w:spacing w:val="-10"/>
          <w:sz w:val="20"/>
        </w:rPr>
        <w:t> </w:t>
      </w:r>
      <w:r>
        <w:rPr>
          <w:color w:val="231F20"/>
          <w:spacing w:val="-2"/>
          <w:sz w:val="20"/>
        </w:rPr>
        <w:t>силы/ресурсы»</w:t>
      </w:r>
    </w:p>
    <w:p>
      <w:pPr>
        <w:pStyle w:val="BodyText"/>
        <w:spacing w:line="225" w:lineRule="auto" w:before="1"/>
      </w:pPr>
      <w:r>
        <w:rPr>
          <w:i/>
          <w:color w:val="231F20"/>
        </w:rPr>
        <w:t>Компонент 3.1. </w:t>
      </w:r>
      <w:r>
        <w:rPr>
          <w:color w:val="231F20"/>
        </w:rPr>
        <w:t>«Линия жизни (прошлое, настоящее и будущее): интеграция пе- реживаний травмы»</w:t>
      </w:r>
    </w:p>
    <w:p>
      <w:pPr>
        <w:pStyle w:val="BodyText"/>
        <w:spacing w:line="225" w:lineRule="auto"/>
      </w:pPr>
      <w:r>
        <w:rPr>
          <w:i/>
          <w:color w:val="231F20"/>
        </w:rPr>
        <w:t>Компонент</w:t>
      </w:r>
      <w:r>
        <w:rPr>
          <w:i/>
          <w:color w:val="231F20"/>
          <w:spacing w:val="-4"/>
        </w:rPr>
        <w:t> </w:t>
      </w:r>
      <w:r>
        <w:rPr>
          <w:i/>
          <w:color w:val="231F20"/>
        </w:rPr>
        <w:t>3.2.</w:t>
      </w:r>
      <w:r>
        <w:rPr>
          <w:i/>
          <w:color w:val="231F20"/>
          <w:spacing w:val="-4"/>
        </w:rPr>
        <w:t> </w:t>
      </w:r>
      <w:r>
        <w:rPr>
          <w:color w:val="231F20"/>
        </w:rPr>
        <w:t>«Линия</w:t>
      </w:r>
      <w:r>
        <w:rPr>
          <w:color w:val="231F20"/>
          <w:spacing w:val="-4"/>
        </w:rPr>
        <w:t> </w:t>
      </w:r>
      <w:r>
        <w:rPr>
          <w:color w:val="231F20"/>
        </w:rPr>
        <w:t>жизни</w:t>
      </w:r>
      <w:r>
        <w:rPr>
          <w:color w:val="231F20"/>
          <w:spacing w:val="-4"/>
        </w:rPr>
        <w:t> </w:t>
      </w:r>
      <w:r>
        <w:rPr>
          <w:color w:val="231F20"/>
        </w:rPr>
        <w:t>(прошлое,</w:t>
      </w:r>
      <w:r>
        <w:rPr>
          <w:color w:val="231F20"/>
          <w:spacing w:val="-4"/>
        </w:rPr>
        <w:t> </w:t>
      </w:r>
      <w:r>
        <w:rPr>
          <w:color w:val="231F20"/>
        </w:rPr>
        <w:t>настоящее</w:t>
      </w:r>
      <w:r>
        <w:rPr>
          <w:color w:val="231F20"/>
          <w:spacing w:val="-4"/>
        </w:rPr>
        <w:t> </w:t>
      </w:r>
      <w:r>
        <w:rPr>
          <w:color w:val="231F20"/>
        </w:rPr>
        <w:t>и</w:t>
      </w:r>
      <w:r>
        <w:rPr>
          <w:color w:val="231F20"/>
          <w:spacing w:val="-4"/>
        </w:rPr>
        <w:t> </w:t>
      </w:r>
      <w:r>
        <w:rPr>
          <w:color w:val="231F20"/>
        </w:rPr>
        <w:t>будущее):</w:t>
      </w:r>
      <w:r>
        <w:rPr>
          <w:color w:val="231F20"/>
          <w:spacing w:val="-4"/>
        </w:rPr>
        <w:t> </w:t>
      </w:r>
      <w:r>
        <w:rPr/>
        <w:t>содействие</w:t>
      </w:r>
      <w:r>
        <w:rPr>
          <w:spacing w:val="-4"/>
        </w:rPr>
        <w:t> </w:t>
      </w:r>
      <w:r>
        <w:rPr/>
        <w:t>кон- структивной работе горя»</w:t>
      </w:r>
    </w:p>
    <w:p>
      <w:pPr>
        <w:spacing w:line="211" w:lineRule="exact" w:before="0"/>
        <w:ind w:left="425" w:right="0" w:firstLine="0"/>
        <w:jc w:val="both"/>
        <w:rPr>
          <w:sz w:val="20"/>
        </w:rPr>
      </w:pPr>
      <w:r>
        <w:rPr>
          <w:i/>
          <w:color w:val="231F20"/>
          <w:sz w:val="20"/>
        </w:rPr>
        <w:t>Компонент</w:t>
      </w:r>
      <w:r>
        <w:rPr>
          <w:i/>
          <w:color w:val="231F20"/>
          <w:spacing w:val="-7"/>
          <w:sz w:val="20"/>
        </w:rPr>
        <w:t> </w:t>
      </w:r>
      <w:r>
        <w:rPr>
          <w:i/>
          <w:color w:val="231F20"/>
          <w:sz w:val="20"/>
        </w:rPr>
        <w:t>4.</w:t>
      </w:r>
      <w:r>
        <w:rPr>
          <w:i/>
          <w:color w:val="231F20"/>
          <w:spacing w:val="-5"/>
          <w:sz w:val="20"/>
        </w:rPr>
        <w:t> </w:t>
      </w:r>
      <w:r>
        <w:rPr>
          <w:color w:val="231F20"/>
          <w:sz w:val="20"/>
        </w:rPr>
        <w:t>«Я</w:t>
      </w:r>
      <w:r>
        <w:rPr>
          <w:color w:val="231F20"/>
          <w:spacing w:val="-6"/>
          <w:sz w:val="20"/>
        </w:rPr>
        <w:t> </w:t>
      </w:r>
      <w:r>
        <w:rPr>
          <w:color w:val="231F20"/>
          <w:sz w:val="20"/>
        </w:rPr>
        <w:t>и</w:t>
      </w:r>
      <w:r>
        <w:rPr>
          <w:color w:val="231F20"/>
          <w:spacing w:val="-6"/>
          <w:sz w:val="20"/>
        </w:rPr>
        <w:t> </w:t>
      </w:r>
      <w:r>
        <w:rPr>
          <w:color w:val="231F20"/>
          <w:spacing w:val="-2"/>
          <w:sz w:val="20"/>
        </w:rPr>
        <w:t>другие»</w:t>
      </w:r>
    </w:p>
    <w:p>
      <w:pPr>
        <w:pStyle w:val="BodyText"/>
        <w:spacing w:line="225" w:lineRule="auto" w:before="4"/>
      </w:pPr>
      <w:r>
        <w:rPr>
          <w:color w:val="231F20"/>
        </w:rPr>
        <w:t>Примеры упражнений из данной программы приводятся в разделе 1.1. Инстру- </w:t>
      </w:r>
      <w:r>
        <w:rPr>
          <w:color w:val="231F20"/>
          <w:spacing w:val="-2"/>
        </w:rPr>
        <w:t>ментария.</w:t>
      </w:r>
    </w:p>
    <w:p>
      <w:pPr>
        <w:pStyle w:val="BodyText"/>
        <w:spacing w:line="225" w:lineRule="auto"/>
      </w:pPr>
      <w:r>
        <w:rPr>
          <w:color w:val="231F20"/>
        </w:rPr>
        <w:t>Однако, помимо индивидуальной работы, для ребенка, переживающего послед- ствия</w:t>
      </w:r>
      <w:r>
        <w:rPr>
          <w:color w:val="231F20"/>
          <w:spacing w:val="-7"/>
        </w:rPr>
        <w:t> </w:t>
      </w:r>
      <w:r>
        <w:rPr>
          <w:color w:val="231F20"/>
        </w:rPr>
        <w:t>травмы,</w:t>
      </w:r>
      <w:r>
        <w:rPr>
          <w:color w:val="231F20"/>
          <w:spacing w:val="-7"/>
        </w:rPr>
        <w:t> </w:t>
      </w:r>
      <w:r>
        <w:rPr>
          <w:color w:val="231F20"/>
        </w:rPr>
        <w:t>необходимо</w:t>
      </w:r>
      <w:r>
        <w:rPr>
          <w:color w:val="231F20"/>
          <w:spacing w:val="-7"/>
        </w:rPr>
        <w:t> </w:t>
      </w:r>
      <w:r>
        <w:rPr>
          <w:color w:val="231F20"/>
        </w:rPr>
        <w:t>создать</w:t>
      </w:r>
      <w:r>
        <w:rPr>
          <w:color w:val="231F20"/>
          <w:spacing w:val="-7"/>
        </w:rPr>
        <w:t> </w:t>
      </w:r>
      <w:r>
        <w:rPr>
          <w:color w:val="231F20"/>
        </w:rPr>
        <w:t>особую</w:t>
      </w:r>
      <w:r>
        <w:rPr>
          <w:color w:val="231F20"/>
          <w:spacing w:val="-7"/>
        </w:rPr>
        <w:t> </w:t>
      </w:r>
      <w:r>
        <w:rPr>
          <w:color w:val="231F20"/>
        </w:rPr>
        <w:t>поддерживающую</w:t>
      </w:r>
      <w:r>
        <w:rPr>
          <w:color w:val="231F20"/>
          <w:spacing w:val="-7"/>
        </w:rPr>
        <w:t> </w:t>
      </w:r>
      <w:r>
        <w:rPr>
          <w:color w:val="231F20"/>
        </w:rPr>
        <w:t>среду,</w:t>
      </w:r>
      <w:r>
        <w:rPr>
          <w:color w:val="231F20"/>
          <w:spacing w:val="-7"/>
        </w:rPr>
        <w:t> </w:t>
      </w:r>
      <w:r>
        <w:rPr>
          <w:color w:val="231F20"/>
        </w:rPr>
        <w:t>в</w:t>
      </w:r>
      <w:r>
        <w:rPr>
          <w:color w:val="231F20"/>
          <w:spacing w:val="-7"/>
        </w:rPr>
        <w:t> </w:t>
      </w:r>
      <w:r>
        <w:rPr>
          <w:color w:val="231F20"/>
        </w:rPr>
        <w:t>чем</w:t>
      </w:r>
      <w:r>
        <w:rPr>
          <w:color w:val="231F20"/>
          <w:spacing w:val="-7"/>
        </w:rPr>
        <w:t> </w:t>
      </w:r>
      <w:r>
        <w:rPr>
          <w:color w:val="231F20"/>
        </w:rPr>
        <w:t>может</w:t>
      </w:r>
      <w:r>
        <w:rPr>
          <w:color w:val="231F20"/>
          <w:spacing w:val="-7"/>
        </w:rPr>
        <w:t> </w:t>
      </w:r>
      <w:r>
        <w:rPr>
          <w:color w:val="231F20"/>
        </w:rPr>
        <w:t>по- мочь травма-информированный подход.</w:t>
      </w:r>
    </w:p>
    <w:p>
      <w:pPr>
        <w:pStyle w:val="BodyText"/>
        <w:spacing w:line="235" w:lineRule="auto"/>
      </w:pPr>
      <w:r>
        <w:rPr>
          <w:color w:val="231F20"/>
        </w:rPr>
        <w:t>Травма-информированный подход – это формирование особых условий среды, при которых у травмированного человека снижается уровень стресса и насторожен- ности, появляется больше уверенности в своих силах, в том, что он может повлиять на</w:t>
      </w:r>
      <w:r>
        <w:rPr>
          <w:color w:val="231F20"/>
          <w:spacing w:val="-13"/>
        </w:rPr>
        <w:t> </w:t>
      </w:r>
      <w:r>
        <w:rPr>
          <w:color w:val="231F20"/>
        </w:rPr>
        <w:t>улучшение</w:t>
      </w:r>
      <w:r>
        <w:rPr>
          <w:color w:val="231F20"/>
          <w:spacing w:val="-10"/>
        </w:rPr>
        <w:t> </w:t>
      </w:r>
      <w:r>
        <w:rPr>
          <w:color w:val="231F20"/>
        </w:rPr>
        <w:t>своей</w:t>
      </w:r>
      <w:r>
        <w:rPr>
          <w:color w:val="231F20"/>
          <w:spacing w:val="-11"/>
        </w:rPr>
        <w:t> </w:t>
      </w:r>
      <w:r>
        <w:rPr>
          <w:color w:val="231F20"/>
        </w:rPr>
        <w:t>жизни,</w:t>
      </w:r>
      <w:r>
        <w:rPr>
          <w:color w:val="231F20"/>
          <w:spacing w:val="-10"/>
        </w:rPr>
        <w:t> </w:t>
      </w:r>
      <w:r>
        <w:rPr>
          <w:color w:val="231F20"/>
        </w:rPr>
        <w:t>выстроить</w:t>
      </w:r>
      <w:r>
        <w:rPr>
          <w:color w:val="231F20"/>
          <w:spacing w:val="-10"/>
        </w:rPr>
        <w:t> </w:t>
      </w:r>
      <w:r>
        <w:rPr>
          <w:color w:val="231F20"/>
        </w:rPr>
        <w:t>здоровые</w:t>
      </w:r>
      <w:r>
        <w:rPr>
          <w:color w:val="231F20"/>
          <w:spacing w:val="-11"/>
        </w:rPr>
        <w:t> </w:t>
      </w:r>
      <w:r>
        <w:rPr>
          <w:color w:val="231F20"/>
        </w:rPr>
        <w:t>взаимоотношения</w:t>
      </w:r>
      <w:r>
        <w:rPr>
          <w:color w:val="231F20"/>
          <w:spacing w:val="-10"/>
        </w:rPr>
        <w:t> </w:t>
      </w:r>
      <w:r>
        <w:rPr>
          <w:color w:val="231F20"/>
        </w:rPr>
        <w:t>и</w:t>
      </w:r>
      <w:r>
        <w:rPr>
          <w:color w:val="231F20"/>
          <w:spacing w:val="-10"/>
        </w:rPr>
        <w:t> </w:t>
      </w:r>
      <w:r>
        <w:rPr>
          <w:color w:val="231F20"/>
        </w:rPr>
        <w:t>получить</w:t>
      </w:r>
      <w:r>
        <w:rPr>
          <w:color w:val="231F20"/>
          <w:spacing w:val="-10"/>
        </w:rPr>
        <w:t> </w:t>
      </w:r>
      <w:r>
        <w:rPr>
          <w:color w:val="231F20"/>
          <w:spacing w:val="-2"/>
        </w:rPr>
        <w:t>ресур-</w:t>
      </w:r>
    </w:p>
    <w:p>
      <w:pPr>
        <w:pStyle w:val="BodyText"/>
        <w:spacing w:after="0" w:line="235" w:lineRule="auto"/>
        <w:sectPr>
          <w:pgSz w:w="8400" w:h="11910"/>
          <w:pgMar w:header="0" w:footer="528"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before="112"/>
        <w:ind w:right="0" w:firstLine="0"/>
        <w:jc w:val="left"/>
      </w:pPr>
      <w:r>
        <w:rPr>
          <w:color w:val="231F20"/>
        </w:rPr>
        <w:t>сы,</w:t>
      </w:r>
      <w:r>
        <w:rPr>
          <w:color w:val="231F20"/>
          <w:spacing w:val="-4"/>
        </w:rPr>
        <w:t> </w:t>
      </w:r>
      <w:r>
        <w:rPr>
          <w:color w:val="231F20"/>
        </w:rPr>
        <w:t>чтобы</w:t>
      </w:r>
      <w:r>
        <w:rPr>
          <w:color w:val="231F20"/>
          <w:spacing w:val="-2"/>
        </w:rPr>
        <w:t> </w:t>
      </w:r>
      <w:r>
        <w:rPr>
          <w:color w:val="231F20"/>
        </w:rPr>
        <w:t>справиться</w:t>
      </w:r>
      <w:r>
        <w:rPr>
          <w:color w:val="231F20"/>
          <w:spacing w:val="-2"/>
        </w:rPr>
        <w:t> </w:t>
      </w:r>
      <w:r>
        <w:rPr>
          <w:color w:val="231F20"/>
        </w:rPr>
        <w:t>с</w:t>
      </w:r>
      <w:r>
        <w:rPr>
          <w:color w:val="231F20"/>
          <w:spacing w:val="-2"/>
        </w:rPr>
        <w:t> </w:t>
      </w:r>
      <w:r>
        <w:rPr>
          <w:color w:val="231F20"/>
        </w:rPr>
        <w:t>симптомами</w:t>
      </w:r>
      <w:r>
        <w:rPr>
          <w:color w:val="231F20"/>
          <w:spacing w:val="-3"/>
        </w:rPr>
        <w:t> </w:t>
      </w:r>
      <w:r>
        <w:rPr>
          <w:color w:val="231F20"/>
        </w:rPr>
        <w:t>стресса</w:t>
      </w:r>
      <w:r>
        <w:rPr>
          <w:color w:val="231F20"/>
          <w:spacing w:val="-2"/>
        </w:rPr>
        <w:t> </w:t>
      </w:r>
      <w:r>
        <w:rPr>
          <w:color w:val="231F20"/>
        </w:rPr>
        <w:t>и</w:t>
      </w:r>
      <w:r>
        <w:rPr>
          <w:color w:val="231F20"/>
          <w:spacing w:val="-3"/>
        </w:rPr>
        <w:t> </w:t>
      </w:r>
      <w:r>
        <w:rPr>
          <w:color w:val="231F20"/>
        </w:rPr>
        <w:t>исцелить</w:t>
      </w:r>
      <w:r>
        <w:rPr>
          <w:color w:val="231F20"/>
          <w:spacing w:val="-3"/>
        </w:rPr>
        <w:t> </w:t>
      </w:r>
      <w:r>
        <w:rPr>
          <w:color w:val="231F20"/>
        </w:rPr>
        <w:t>свои</w:t>
      </w:r>
      <w:r>
        <w:rPr>
          <w:color w:val="231F20"/>
          <w:spacing w:val="-2"/>
        </w:rPr>
        <w:t> раны.</w:t>
      </w:r>
    </w:p>
    <w:p>
      <w:pPr>
        <w:pStyle w:val="BodyText"/>
        <w:spacing w:line="235" w:lineRule="auto"/>
        <w:ind w:right="140"/>
      </w:pPr>
      <w:r>
        <w:rPr>
          <w:color w:val="231F20"/>
        </w:rPr>
        <w:t>Травма-информированный подход не является психотерапией. Но пребывание в поддерживающем окружении значительно улучшает результаты и сокращает сроки психотерапевтической работы.</w:t>
      </w:r>
    </w:p>
    <w:p>
      <w:pPr>
        <w:pStyle w:val="BodyText"/>
        <w:spacing w:line="235" w:lineRule="auto" w:before="2"/>
      </w:pPr>
      <w:r>
        <w:rPr>
          <w:color w:val="231F20"/>
        </w:rPr>
        <w:t>Цель травма-информированного подхода – постараться предотвратить ситуации возникновения чрезмерного стресса у травмированных детей. </w:t>
      </w:r>
      <w:r>
        <w:rPr>
          <w:color w:val="171B1E"/>
        </w:rPr>
        <w:t>Суть его в организа- ции психологического просвещения всех взрослых, окружающих ребенка, для того чтобы они понимали ситуацию и правильно заботились о нем. </w:t>
      </w:r>
      <w:r>
        <w:rPr>
          <w:color w:val="231F20"/>
        </w:rPr>
        <w:t>Для этого психологу </w:t>
      </w:r>
      <w:r>
        <w:rPr>
          <w:color w:val="231F20"/>
          <w:spacing w:val="-2"/>
        </w:rPr>
        <w:t>необходимо обучить педагогов и родителей способам реагирования, которые помогут </w:t>
      </w:r>
      <w:r>
        <w:rPr>
          <w:color w:val="231F20"/>
        </w:rPr>
        <w:t>снизить</w:t>
      </w:r>
      <w:r>
        <w:rPr>
          <w:color w:val="231F20"/>
          <w:spacing w:val="-13"/>
        </w:rPr>
        <w:t> </w:t>
      </w:r>
      <w:r>
        <w:rPr>
          <w:color w:val="231F20"/>
        </w:rPr>
        <w:t>стресс</w:t>
      </w:r>
      <w:r>
        <w:rPr>
          <w:color w:val="231F20"/>
          <w:spacing w:val="-12"/>
        </w:rPr>
        <w:t> </w:t>
      </w:r>
      <w:r>
        <w:rPr>
          <w:color w:val="231F20"/>
        </w:rPr>
        <w:t>и</w:t>
      </w:r>
      <w:r>
        <w:rPr>
          <w:color w:val="231F20"/>
          <w:spacing w:val="-13"/>
        </w:rPr>
        <w:t> </w:t>
      </w:r>
      <w:r>
        <w:rPr>
          <w:color w:val="231F20"/>
        </w:rPr>
        <w:t>выровнять</w:t>
      </w:r>
      <w:r>
        <w:rPr>
          <w:color w:val="231F20"/>
          <w:spacing w:val="-12"/>
        </w:rPr>
        <w:t> </w:t>
      </w:r>
      <w:r>
        <w:rPr>
          <w:color w:val="231F20"/>
        </w:rPr>
        <w:t>общий</w:t>
      </w:r>
      <w:r>
        <w:rPr>
          <w:color w:val="231F20"/>
          <w:spacing w:val="-13"/>
        </w:rPr>
        <w:t> </w:t>
      </w:r>
      <w:r>
        <w:rPr>
          <w:color w:val="231F20"/>
        </w:rPr>
        <w:t>эмоциональный</w:t>
      </w:r>
      <w:r>
        <w:rPr>
          <w:color w:val="231F20"/>
          <w:spacing w:val="-12"/>
        </w:rPr>
        <w:t> </w:t>
      </w:r>
      <w:r>
        <w:rPr>
          <w:color w:val="231F20"/>
        </w:rPr>
        <w:t>фон</w:t>
      </w:r>
      <w:r>
        <w:rPr>
          <w:color w:val="231F20"/>
          <w:spacing w:val="-13"/>
        </w:rPr>
        <w:t> </w:t>
      </w:r>
      <w:r>
        <w:rPr>
          <w:color w:val="231F20"/>
        </w:rPr>
        <w:t>в</w:t>
      </w:r>
      <w:r>
        <w:rPr>
          <w:color w:val="231F20"/>
          <w:spacing w:val="-12"/>
        </w:rPr>
        <w:t> </w:t>
      </w:r>
      <w:r>
        <w:rPr>
          <w:color w:val="231F20"/>
        </w:rPr>
        <w:t>коллективе.</w:t>
      </w:r>
      <w:r>
        <w:rPr>
          <w:color w:val="231F20"/>
          <w:spacing w:val="-13"/>
        </w:rPr>
        <w:t> </w:t>
      </w:r>
      <w:r>
        <w:rPr>
          <w:color w:val="231F20"/>
        </w:rPr>
        <w:t>Травма-инфор- мированный подход нацелен на формирование у ребенка ощущения безопасности в любых ситуациях.</w:t>
      </w:r>
    </w:p>
    <w:p>
      <w:pPr>
        <w:pStyle w:val="BodyText"/>
        <w:spacing w:line="230" w:lineRule="auto"/>
      </w:pPr>
      <w:r>
        <w:rPr>
          <w:color w:val="231F20"/>
        </w:rPr>
        <w:t>Хотим отметить, что речь не идет о том, чтобы оградить ребенка от социальной активности,</w:t>
      </w:r>
      <w:r>
        <w:rPr>
          <w:color w:val="231F20"/>
          <w:spacing w:val="-6"/>
        </w:rPr>
        <w:t> </w:t>
      </w:r>
      <w:r>
        <w:rPr>
          <w:color w:val="231F20"/>
        </w:rPr>
        <w:t>от</w:t>
      </w:r>
      <w:r>
        <w:rPr>
          <w:color w:val="231F20"/>
          <w:spacing w:val="-6"/>
        </w:rPr>
        <w:t> </w:t>
      </w:r>
      <w:r>
        <w:rPr>
          <w:color w:val="231F20"/>
        </w:rPr>
        <w:t>получения</w:t>
      </w:r>
      <w:r>
        <w:rPr>
          <w:color w:val="231F20"/>
          <w:spacing w:val="-6"/>
        </w:rPr>
        <w:t> </w:t>
      </w:r>
      <w:r>
        <w:rPr>
          <w:color w:val="231F20"/>
        </w:rPr>
        <w:t>нового</w:t>
      </w:r>
      <w:r>
        <w:rPr>
          <w:color w:val="231F20"/>
          <w:spacing w:val="-6"/>
        </w:rPr>
        <w:t> </w:t>
      </w:r>
      <w:r>
        <w:rPr>
          <w:color w:val="231F20"/>
        </w:rPr>
        <w:t>опыта,</w:t>
      </w:r>
      <w:r>
        <w:rPr>
          <w:color w:val="231F20"/>
          <w:spacing w:val="-6"/>
        </w:rPr>
        <w:t> </w:t>
      </w:r>
      <w:r>
        <w:rPr>
          <w:color w:val="231F20"/>
        </w:rPr>
        <w:t>обучения</w:t>
      </w:r>
      <w:r>
        <w:rPr>
          <w:color w:val="231F20"/>
          <w:spacing w:val="-6"/>
        </w:rPr>
        <w:t> </w:t>
      </w:r>
      <w:r>
        <w:rPr>
          <w:color w:val="231F20"/>
        </w:rPr>
        <w:t>и</w:t>
      </w:r>
      <w:r>
        <w:rPr>
          <w:color w:val="231F20"/>
          <w:spacing w:val="-6"/>
        </w:rPr>
        <w:t> </w:t>
      </w:r>
      <w:r>
        <w:rPr>
          <w:color w:val="231F20"/>
        </w:rPr>
        <w:t>т.д.</w:t>
      </w:r>
      <w:r>
        <w:rPr>
          <w:color w:val="231F20"/>
          <w:spacing w:val="-6"/>
        </w:rPr>
        <w:t> </w:t>
      </w:r>
      <w:r>
        <w:rPr>
          <w:color w:val="231F20"/>
        </w:rPr>
        <w:t>Цель</w:t>
      </w:r>
      <w:r>
        <w:rPr>
          <w:color w:val="231F20"/>
          <w:spacing w:val="-6"/>
        </w:rPr>
        <w:t> </w:t>
      </w:r>
      <w:r>
        <w:rPr>
          <w:color w:val="231F20"/>
        </w:rPr>
        <w:t>такого</w:t>
      </w:r>
      <w:r>
        <w:rPr>
          <w:color w:val="231F20"/>
          <w:spacing w:val="-6"/>
        </w:rPr>
        <w:t> </w:t>
      </w:r>
      <w:r>
        <w:rPr>
          <w:color w:val="231F20"/>
        </w:rPr>
        <w:t>подхода,</w:t>
      </w:r>
      <w:r>
        <w:rPr>
          <w:color w:val="231F20"/>
          <w:spacing w:val="-6"/>
        </w:rPr>
        <w:t> </w:t>
      </w:r>
      <w:r>
        <w:rPr>
          <w:color w:val="231F20"/>
        </w:rPr>
        <w:t>наобо- рот,</w:t>
      </w:r>
      <w:r>
        <w:rPr>
          <w:color w:val="231F20"/>
          <w:spacing w:val="-10"/>
        </w:rPr>
        <w:t> </w:t>
      </w:r>
      <w:r>
        <w:rPr>
          <w:color w:val="231F20"/>
        </w:rPr>
        <w:t>в</w:t>
      </w:r>
      <w:r>
        <w:rPr>
          <w:color w:val="231F20"/>
          <w:spacing w:val="-10"/>
        </w:rPr>
        <w:t> </w:t>
      </w:r>
      <w:r>
        <w:rPr>
          <w:color w:val="231F20"/>
        </w:rPr>
        <w:t>том,</w:t>
      </w:r>
      <w:r>
        <w:rPr>
          <w:color w:val="231F20"/>
          <w:spacing w:val="-10"/>
        </w:rPr>
        <w:t> </w:t>
      </w:r>
      <w:r>
        <w:rPr>
          <w:color w:val="231F20"/>
        </w:rPr>
        <w:t>чтобы</w:t>
      </w:r>
      <w:r>
        <w:rPr>
          <w:color w:val="231F20"/>
          <w:spacing w:val="-10"/>
        </w:rPr>
        <w:t> </w:t>
      </w:r>
      <w:r>
        <w:rPr>
          <w:color w:val="231F20"/>
        </w:rPr>
        <w:t>включить</w:t>
      </w:r>
      <w:r>
        <w:rPr>
          <w:color w:val="231F20"/>
          <w:spacing w:val="-10"/>
        </w:rPr>
        <w:t> </w:t>
      </w:r>
      <w:r>
        <w:rPr>
          <w:color w:val="231F20"/>
        </w:rPr>
        <w:t>травмированного</w:t>
      </w:r>
      <w:r>
        <w:rPr>
          <w:color w:val="231F20"/>
          <w:spacing w:val="-10"/>
        </w:rPr>
        <w:t> </w:t>
      </w:r>
      <w:r>
        <w:rPr>
          <w:color w:val="231F20"/>
        </w:rPr>
        <w:t>ребенка</w:t>
      </w:r>
      <w:r>
        <w:rPr>
          <w:color w:val="231F20"/>
          <w:spacing w:val="-10"/>
        </w:rPr>
        <w:t> </w:t>
      </w:r>
      <w:r>
        <w:rPr>
          <w:color w:val="231F20"/>
        </w:rPr>
        <w:t>в</w:t>
      </w:r>
      <w:r>
        <w:rPr>
          <w:color w:val="231F20"/>
          <w:spacing w:val="-10"/>
        </w:rPr>
        <w:t> </w:t>
      </w:r>
      <w:r>
        <w:rPr>
          <w:color w:val="231F20"/>
        </w:rPr>
        <w:t>здоровые</w:t>
      </w:r>
      <w:r>
        <w:rPr>
          <w:color w:val="231F20"/>
          <w:spacing w:val="-10"/>
        </w:rPr>
        <w:t> </w:t>
      </w:r>
      <w:r>
        <w:rPr>
          <w:color w:val="231F20"/>
        </w:rPr>
        <w:t>взаимоотношения</w:t>
      </w:r>
      <w:r>
        <w:rPr>
          <w:color w:val="231F20"/>
          <w:spacing w:val="-10"/>
        </w:rPr>
        <w:t> </w:t>
      </w:r>
      <w:r>
        <w:rPr>
          <w:color w:val="231F20"/>
        </w:rPr>
        <w:t>в коллективе</w:t>
      </w:r>
      <w:r>
        <w:rPr>
          <w:color w:val="231F20"/>
          <w:spacing w:val="-13"/>
        </w:rPr>
        <w:t> </w:t>
      </w:r>
      <w:r>
        <w:rPr>
          <w:color w:val="231F20"/>
        </w:rPr>
        <w:t>и</w:t>
      </w:r>
      <w:r>
        <w:rPr>
          <w:color w:val="231F20"/>
          <w:spacing w:val="-12"/>
        </w:rPr>
        <w:t> </w:t>
      </w:r>
      <w:r>
        <w:rPr>
          <w:color w:val="231F20"/>
        </w:rPr>
        <w:t>дома,</w:t>
      </w:r>
      <w:r>
        <w:rPr>
          <w:color w:val="231F20"/>
          <w:spacing w:val="-13"/>
        </w:rPr>
        <w:t> </w:t>
      </w:r>
      <w:r>
        <w:rPr>
          <w:color w:val="231F20"/>
        </w:rPr>
        <w:t>обучить</w:t>
      </w:r>
      <w:r>
        <w:rPr>
          <w:color w:val="231F20"/>
          <w:spacing w:val="-12"/>
        </w:rPr>
        <w:t> </w:t>
      </w:r>
      <w:r>
        <w:rPr>
          <w:color w:val="231F20"/>
        </w:rPr>
        <w:t>навыкам</w:t>
      </w:r>
      <w:r>
        <w:rPr>
          <w:color w:val="231F20"/>
          <w:spacing w:val="-13"/>
        </w:rPr>
        <w:t> </w:t>
      </w:r>
      <w:r>
        <w:rPr>
          <w:color w:val="231F20"/>
        </w:rPr>
        <w:t>самопомощи</w:t>
      </w:r>
      <w:r>
        <w:rPr>
          <w:color w:val="231F20"/>
          <w:spacing w:val="-12"/>
        </w:rPr>
        <w:t> </w:t>
      </w:r>
      <w:r>
        <w:rPr>
          <w:color w:val="231F20"/>
        </w:rPr>
        <w:t>на</w:t>
      </w:r>
      <w:r>
        <w:rPr>
          <w:color w:val="231F20"/>
          <w:spacing w:val="-13"/>
        </w:rPr>
        <w:t> </w:t>
      </w:r>
      <w:r>
        <w:rPr>
          <w:color w:val="231F20"/>
        </w:rPr>
        <w:t>основе</w:t>
      </w:r>
      <w:r>
        <w:rPr>
          <w:color w:val="231F20"/>
          <w:spacing w:val="-12"/>
        </w:rPr>
        <w:t> </w:t>
      </w:r>
      <w:r>
        <w:rPr>
          <w:color w:val="231F20"/>
        </w:rPr>
        <w:t>понимания</w:t>
      </w:r>
      <w:r>
        <w:rPr>
          <w:color w:val="231F20"/>
          <w:spacing w:val="-13"/>
        </w:rPr>
        <w:t> </w:t>
      </w:r>
      <w:r>
        <w:rPr>
          <w:color w:val="231F20"/>
        </w:rPr>
        <w:t>своего</w:t>
      </w:r>
      <w:r>
        <w:rPr>
          <w:color w:val="231F20"/>
          <w:spacing w:val="-12"/>
        </w:rPr>
        <w:t> </w:t>
      </w:r>
      <w:r>
        <w:rPr>
          <w:color w:val="231F20"/>
        </w:rPr>
        <w:t>состо- яния и возможных реакций.</w:t>
      </w:r>
    </w:p>
    <w:p>
      <w:pPr>
        <w:pStyle w:val="BodyText"/>
        <w:spacing w:line="230" w:lineRule="auto"/>
        <w:ind w:right="140"/>
      </w:pPr>
      <w:r>
        <w:rPr>
          <w:color w:val="231F20"/>
        </w:rPr>
        <w:t>Перед</w:t>
      </w:r>
      <w:r>
        <w:rPr>
          <w:color w:val="231F20"/>
          <w:spacing w:val="-2"/>
        </w:rPr>
        <w:t> </w:t>
      </w:r>
      <w:r>
        <w:rPr>
          <w:color w:val="231F20"/>
        </w:rPr>
        <w:t>педагогом-психологом</w:t>
      </w:r>
      <w:r>
        <w:rPr>
          <w:color w:val="231F20"/>
          <w:spacing w:val="-1"/>
        </w:rPr>
        <w:t> </w:t>
      </w:r>
      <w:r>
        <w:rPr>
          <w:color w:val="231F20"/>
        </w:rPr>
        <w:t>в</w:t>
      </w:r>
      <w:r>
        <w:rPr>
          <w:color w:val="231F20"/>
          <w:spacing w:val="-2"/>
        </w:rPr>
        <w:t> </w:t>
      </w:r>
      <w:r>
        <w:rPr>
          <w:color w:val="231F20"/>
        </w:rPr>
        <w:t>рамках</w:t>
      </w:r>
      <w:r>
        <w:rPr>
          <w:color w:val="231F20"/>
          <w:spacing w:val="-2"/>
        </w:rPr>
        <w:t> </w:t>
      </w:r>
      <w:r>
        <w:rPr>
          <w:color w:val="231F20"/>
        </w:rPr>
        <w:t>травма-информированного</w:t>
      </w:r>
      <w:r>
        <w:rPr>
          <w:color w:val="231F20"/>
          <w:spacing w:val="-2"/>
        </w:rPr>
        <w:t> </w:t>
      </w:r>
      <w:r>
        <w:rPr>
          <w:color w:val="231F20"/>
        </w:rPr>
        <w:t>подхода</w:t>
      </w:r>
      <w:r>
        <w:rPr>
          <w:color w:val="231F20"/>
          <w:spacing w:val="-2"/>
        </w:rPr>
        <w:t> </w:t>
      </w:r>
      <w:r>
        <w:rPr>
          <w:color w:val="231F20"/>
        </w:rPr>
        <w:t>стоит две основные задачи:</w:t>
      </w:r>
    </w:p>
    <w:p>
      <w:pPr>
        <w:pStyle w:val="ListParagraph"/>
        <w:numPr>
          <w:ilvl w:val="0"/>
          <w:numId w:val="63"/>
        </w:numPr>
        <w:tabs>
          <w:tab w:pos="423" w:val="left" w:leader="none"/>
          <w:tab w:pos="425" w:val="left" w:leader="none"/>
        </w:tabs>
        <w:spacing w:line="230" w:lineRule="auto" w:before="0" w:after="0"/>
        <w:ind w:left="425" w:right="140" w:hanging="284"/>
        <w:jc w:val="both"/>
        <w:rPr>
          <w:sz w:val="20"/>
        </w:rPr>
      </w:pPr>
      <w:r>
        <w:rPr>
          <w:color w:val="231F20"/>
          <w:sz w:val="20"/>
        </w:rPr>
        <w:t>повысить</w:t>
      </w:r>
      <w:r>
        <w:rPr>
          <w:color w:val="231F20"/>
          <w:spacing w:val="-2"/>
          <w:sz w:val="20"/>
        </w:rPr>
        <w:t> </w:t>
      </w:r>
      <w:r>
        <w:rPr>
          <w:color w:val="231F20"/>
          <w:sz w:val="20"/>
        </w:rPr>
        <w:t>осведомленность</w:t>
      </w:r>
      <w:r>
        <w:rPr>
          <w:color w:val="231F20"/>
          <w:spacing w:val="-2"/>
          <w:sz w:val="20"/>
        </w:rPr>
        <w:t> </w:t>
      </w:r>
      <w:r>
        <w:rPr>
          <w:color w:val="231F20"/>
          <w:sz w:val="20"/>
        </w:rPr>
        <w:t>педагогов</w:t>
      </w:r>
      <w:r>
        <w:rPr>
          <w:color w:val="231F20"/>
          <w:spacing w:val="-2"/>
          <w:sz w:val="20"/>
        </w:rPr>
        <w:t> </w:t>
      </w:r>
      <w:r>
        <w:rPr>
          <w:color w:val="231F20"/>
          <w:sz w:val="20"/>
        </w:rPr>
        <w:t>и</w:t>
      </w:r>
      <w:r>
        <w:rPr>
          <w:color w:val="231F20"/>
          <w:spacing w:val="-2"/>
          <w:sz w:val="20"/>
        </w:rPr>
        <w:t> </w:t>
      </w:r>
      <w:r>
        <w:rPr>
          <w:color w:val="231F20"/>
          <w:sz w:val="20"/>
        </w:rPr>
        <w:t>родителей</w:t>
      </w:r>
      <w:r>
        <w:rPr>
          <w:color w:val="231F20"/>
          <w:spacing w:val="-2"/>
          <w:sz w:val="20"/>
        </w:rPr>
        <w:t> </w:t>
      </w:r>
      <w:r>
        <w:rPr>
          <w:color w:val="231F20"/>
          <w:sz w:val="20"/>
        </w:rPr>
        <w:t>по</w:t>
      </w:r>
      <w:r>
        <w:rPr>
          <w:color w:val="231F20"/>
          <w:spacing w:val="-2"/>
          <w:sz w:val="20"/>
        </w:rPr>
        <w:t> </w:t>
      </w:r>
      <w:r>
        <w:rPr>
          <w:color w:val="231F20"/>
          <w:sz w:val="20"/>
        </w:rPr>
        <w:t>проблеме</w:t>
      </w:r>
      <w:r>
        <w:rPr>
          <w:color w:val="231F20"/>
          <w:spacing w:val="-2"/>
          <w:sz w:val="20"/>
        </w:rPr>
        <w:t> </w:t>
      </w:r>
      <w:r>
        <w:rPr>
          <w:color w:val="231F20"/>
          <w:sz w:val="20"/>
        </w:rPr>
        <w:t>психологической травмы и ее специфики у детей;</w:t>
      </w:r>
    </w:p>
    <w:p>
      <w:pPr>
        <w:pStyle w:val="ListParagraph"/>
        <w:numPr>
          <w:ilvl w:val="0"/>
          <w:numId w:val="63"/>
        </w:numPr>
        <w:tabs>
          <w:tab w:pos="423" w:val="left" w:leader="none"/>
          <w:tab w:pos="425" w:val="left" w:leader="none"/>
        </w:tabs>
        <w:spacing w:line="230" w:lineRule="auto" w:before="0" w:after="0"/>
        <w:ind w:left="425" w:right="139" w:hanging="284"/>
        <w:jc w:val="both"/>
        <w:rPr>
          <w:sz w:val="20"/>
        </w:rPr>
      </w:pPr>
      <w:r>
        <w:rPr>
          <w:color w:val="231F20"/>
          <w:sz w:val="20"/>
        </w:rPr>
        <w:t>обучить</w:t>
      </w:r>
      <w:r>
        <w:rPr>
          <w:color w:val="231F20"/>
          <w:spacing w:val="-6"/>
          <w:sz w:val="20"/>
        </w:rPr>
        <w:t> </w:t>
      </w:r>
      <w:r>
        <w:rPr>
          <w:color w:val="231F20"/>
          <w:sz w:val="20"/>
        </w:rPr>
        <w:t>педагогов</w:t>
      </w:r>
      <w:r>
        <w:rPr>
          <w:color w:val="231F20"/>
          <w:spacing w:val="-6"/>
          <w:sz w:val="20"/>
        </w:rPr>
        <w:t> </w:t>
      </w:r>
      <w:r>
        <w:rPr>
          <w:color w:val="231F20"/>
          <w:sz w:val="20"/>
        </w:rPr>
        <w:t>и</w:t>
      </w:r>
      <w:r>
        <w:rPr>
          <w:color w:val="231F20"/>
          <w:spacing w:val="-6"/>
          <w:sz w:val="20"/>
        </w:rPr>
        <w:t> </w:t>
      </w:r>
      <w:r>
        <w:rPr>
          <w:color w:val="231F20"/>
          <w:sz w:val="20"/>
        </w:rPr>
        <w:t>родителей</w:t>
      </w:r>
      <w:r>
        <w:rPr>
          <w:color w:val="231F20"/>
          <w:spacing w:val="-6"/>
          <w:sz w:val="20"/>
        </w:rPr>
        <w:t> </w:t>
      </w:r>
      <w:r>
        <w:rPr>
          <w:color w:val="231F20"/>
          <w:sz w:val="20"/>
        </w:rPr>
        <w:t>конструктивным</w:t>
      </w:r>
      <w:r>
        <w:rPr>
          <w:color w:val="231F20"/>
          <w:spacing w:val="-6"/>
          <w:sz w:val="20"/>
        </w:rPr>
        <w:t> </w:t>
      </w:r>
      <w:r>
        <w:rPr>
          <w:color w:val="231F20"/>
          <w:sz w:val="20"/>
        </w:rPr>
        <w:t>приемам</w:t>
      </w:r>
      <w:r>
        <w:rPr>
          <w:color w:val="231F20"/>
          <w:spacing w:val="-6"/>
          <w:sz w:val="20"/>
        </w:rPr>
        <w:t> </w:t>
      </w:r>
      <w:r>
        <w:rPr>
          <w:color w:val="231F20"/>
          <w:sz w:val="20"/>
        </w:rPr>
        <w:t>взаимодействия</w:t>
      </w:r>
      <w:r>
        <w:rPr>
          <w:color w:val="231F20"/>
          <w:spacing w:val="-6"/>
          <w:sz w:val="20"/>
        </w:rPr>
        <w:t> </w:t>
      </w:r>
      <w:r>
        <w:rPr>
          <w:color w:val="231F20"/>
          <w:sz w:val="20"/>
        </w:rPr>
        <w:t>с</w:t>
      </w:r>
      <w:r>
        <w:rPr>
          <w:color w:val="231F20"/>
          <w:spacing w:val="-6"/>
          <w:sz w:val="20"/>
        </w:rPr>
        <w:t> </w:t>
      </w:r>
      <w:r>
        <w:rPr>
          <w:color w:val="231F20"/>
          <w:sz w:val="20"/>
        </w:rPr>
        <w:t>трав- мированным ребенком.</w:t>
      </w:r>
    </w:p>
    <w:p>
      <w:pPr>
        <w:pStyle w:val="BodyText"/>
        <w:spacing w:line="230" w:lineRule="auto"/>
      </w:pPr>
      <w:r>
        <w:rPr>
          <w:color w:val="231F20"/>
        </w:rPr>
        <w:t>Эти</w:t>
      </w:r>
      <w:r>
        <w:rPr>
          <w:color w:val="231F20"/>
          <w:spacing w:val="-13"/>
        </w:rPr>
        <w:t> </w:t>
      </w:r>
      <w:r>
        <w:rPr>
          <w:color w:val="231F20"/>
        </w:rPr>
        <w:t>задачи</w:t>
      </w:r>
      <w:r>
        <w:rPr>
          <w:color w:val="231F20"/>
          <w:spacing w:val="-12"/>
        </w:rPr>
        <w:t> </w:t>
      </w:r>
      <w:r>
        <w:rPr>
          <w:color w:val="231F20"/>
        </w:rPr>
        <w:t>могут</w:t>
      </w:r>
      <w:r>
        <w:rPr>
          <w:color w:val="231F20"/>
          <w:spacing w:val="-13"/>
        </w:rPr>
        <w:t> </w:t>
      </w:r>
      <w:r>
        <w:rPr>
          <w:color w:val="231F20"/>
        </w:rPr>
        <w:t>решаться</w:t>
      </w:r>
      <w:r>
        <w:rPr>
          <w:color w:val="231F20"/>
          <w:spacing w:val="-12"/>
        </w:rPr>
        <w:t> </w:t>
      </w:r>
      <w:r>
        <w:rPr>
          <w:color w:val="231F20"/>
        </w:rPr>
        <w:t>с</w:t>
      </w:r>
      <w:r>
        <w:rPr>
          <w:color w:val="231F20"/>
          <w:spacing w:val="-13"/>
        </w:rPr>
        <w:t> </w:t>
      </w:r>
      <w:r>
        <w:rPr>
          <w:color w:val="231F20"/>
        </w:rPr>
        <w:t>помощью</w:t>
      </w:r>
      <w:r>
        <w:rPr>
          <w:color w:val="231F20"/>
          <w:spacing w:val="-12"/>
        </w:rPr>
        <w:t> </w:t>
      </w:r>
      <w:r>
        <w:rPr>
          <w:color w:val="231F20"/>
        </w:rPr>
        <w:t>групповых</w:t>
      </w:r>
      <w:r>
        <w:rPr>
          <w:color w:val="231F20"/>
          <w:spacing w:val="-13"/>
        </w:rPr>
        <w:t> </w:t>
      </w:r>
      <w:r>
        <w:rPr>
          <w:color w:val="231F20"/>
        </w:rPr>
        <w:t>мероприятий</w:t>
      </w:r>
      <w:r>
        <w:rPr>
          <w:color w:val="231F20"/>
          <w:spacing w:val="-12"/>
        </w:rPr>
        <w:t> </w:t>
      </w:r>
      <w:r>
        <w:rPr>
          <w:color w:val="231F20"/>
        </w:rPr>
        <w:t>(семинаров,</w:t>
      </w:r>
      <w:r>
        <w:rPr>
          <w:color w:val="231F20"/>
          <w:spacing w:val="-13"/>
        </w:rPr>
        <w:t> </w:t>
      </w:r>
      <w:r>
        <w:rPr>
          <w:color w:val="231F20"/>
        </w:rPr>
        <w:t>педа- гогических советов) или индивидуальных консультаций.</w:t>
      </w:r>
    </w:p>
    <w:p>
      <w:pPr>
        <w:numPr>
          <w:ilvl w:val="2"/>
          <w:numId w:val="52"/>
        </w:numPr>
        <w:tabs>
          <w:tab w:pos="2148" w:val="left" w:leader="none"/>
        </w:tabs>
        <w:spacing w:before="193"/>
        <w:ind w:left="2148" w:right="0" w:hanging="500"/>
        <w:jc w:val="both"/>
        <w:rPr>
          <w:b/>
          <w:sz w:val="20"/>
        </w:rPr>
      </w:pPr>
      <w:r>
        <w:rPr>
          <w:b/>
          <w:color w:val="231F20"/>
          <w:sz w:val="20"/>
        </w:rPr>
        <w:t>Рекомендации</w:t>
      </w:r>
      <w:r>
        <w:rPr>
          <w:b/>
          <w:color w:val="231F20"/>
          <w:spacing w:val="-11"/>
          <w:sz w:val="20"/>
        </w:rPr>
        <w:t> </w:t>
      </w:r>
      <w:r>
        <w:rPr>
          <w:b/>
          <w:color w:val="231F20"/>
          <w:sz w:val="20"/>
        </w:rPr>
        <w:t>для</w:t>
      </w:r>
      <w:r>
        <w:rPr>
          <w:b/>
          <w:color w:val="231F20"/>
          <w:spacing w:val="-10"/>
          <w:sz w:val="20"/>
        </w:rPr>
        <w:t> </w:t>
      </w:r>
      <w:r>
        <w:rPr>
          <w:b/>
          <w:color w:val="231F20"/>
          <w:sz w:val="20"/>
        </w:rPr>
        <w:t>педагогов</w:t>
      </w:r>
      <w:r>
        <w:rPr>
          <w:b/>
          <w:color w:val="231F20"/>
          <w:spacing w:val="-10"/>
          <w:sz w:val="20"/>
        </w:rPr>
        <w:t> </w:t>
      </w:r>
      <w:r>
        <w:rPr>
          <w:b/>
          <w:color w:val="231F20"/>
          <w:sz w:val="20"/>
        </w:rPr>
        <w:t>и</w:t>
      </w:r>
      <w:r>
        <w:rPr>
          <w:b/>
          <w:color w:val="231F20"/>
          <w:spacing w:val="-10"/>
          <w:sz w:val="20"/>
        </w:rPr>
        <w:t> </w:t>
      </w:r>
      <w:r>
        <w:rPr>
          <w:b/>
          <w:color w:val="231F20"/>
          <w:spacing w:val="-2"/>
          <w:sz w:val="20"/>
        </w:rPr>
        <w:t>родителей</w:t>
      </w:r>
    </w:p>
    <w:p>
      <w:pPr>
        <w:pStyle w:val="BodyText"/>
        <w:spacing w:line="230" w:lineRule="auto" w:before="111"/>
      </w:pPr>
      <w:r>
        <w:rPr>
          <w:color w:val="231F20"/>
        </w:rPr>
        <w:t>Рассмотрим</w:t>
      </w:r>
      <w:r>
        <w:rPr>
          <w:color w:val="231F20"/>
          <w:spacing w:val="-7"/>
        </w:rPr>
        <w:t> </w:t>
      </w:r>
      <w:r>
        <w:rPr>
          <w:color w:val="231F20"/>
        </w:rPr>
        <w:t>основные</w:t>
      </w:r>
      <w:r>
        <w:rPr>
          <w:color w:val="231F20"/>
          <w:spacing w:val="-7"/>
        </w:rPr>
        <w:t> </w:t>
      </w:r>
      <w:r>
        <w:rPr>
          <w:color w:val="231F20"/>
        </w:rPr>
        <w:t>рекомендации,</w:t>
      </w:r>
      <w:r>
        <w:rPr>
          <w:color w:val="231F20"/>
          <w:spacing w:val="-7"/>
        </w:rPr>
        <w:t> </w:t>
      </w:r>
      <w:r>
        <w:rPr>
          <w:color w:val="231F20"/>
        </w:rPr>
        <w:t>которые</w:t>
      </w:r>
      <w:r>
        <w:rPr>
          <w:color w:val="231F20"/>
          <w:spacing w:val="-7"/>
        </w:rPr>
        <w:t> </w:t>
      </w:r>
      <w:r>
        <w:rPr>
          <w:color w:val="231F20"/>
        </w:rPr>
        <w:t>психолог</w:t>
      </w:r>
      <w:r>
        <w:rPr>
          <w:color w:val="231F20"/>
          <w:spacing w:val="-7"/>
        </w:rPr>
        <w:t> </w:t>
      </w:r>
      <w:r>
        <w:rPr>
          <w:color w:val="231F20"/>
        </w:rPr>
        <w:t>может</w:t>
      </w:r>
      <w:r>
        <w:rPr>
          <w:color w:val="231F20"/>
          <w:spacing w:val="-7"/>
        </w:rPr>
        <w:t> </w:t>
      </w:r>
      <w:r>
        <w:rPr>
          <w:color w:val="231F20"/>
        </w:rPr>
        <w:t>предложить</w:t>
      </w:r>
      <w:r>
        <w:rPr>
          <w:color w:val="231F20"/>
          <w:spacing w:val="-7"/>
        </w:rPr>
        <w:t> </w:t>
      </w:r>
      <w:r>
        <w:rPr>
          <w:color w:val="231F20"/>
        </w:rPr>
        <w:t>роди- телям и педагогам. Структурируем эти рекомендации в соответствии с основными группами сложностей.</w:t>
      </w:r>
    </w:p>
    <w:p>
      <w:pPr>
        <w:numPr>
          <w:ilvl w:val="1"/>
          <w:numId w:val="63"/>
        </w:numPr>
        <w:tabs>
          <w:tab w:pos="602" w:val="left" w:leader="none"/>
        </w:tabs>
        <w:spacing w:line="225" w:lineRule="exact" w:before="103"/>
        <w:ind w:left="602" w:right="0" w:hanging="177"/>
        <w:jc w:val="both"/>
        <w:rPr>
          <w:b/>
          <w:sz w:val="20"/>
        </w:rPr>
      </w:pPr>
      <w:r>
        <w:rPr>
          <w:b/>
          <w:color w:val="231F20"/>
          <w:spacing w:val="-2"/>
          <w:sz w:val="20"/>
        </w:rPr>
        <w:t>Привязанность</w:t>
      </w:r>
    </w:p>
    <w:p>
      <w:pPr>
        <w:pStyle w:val="BodyText"/>
        <w:spacing w:line="235" w:lineRule="auto"/>
      </w:pPr>
      <w:r>
        <w:rPr>
          <w:color w:val="231F20"/>
        </w:rPr>
        <w:t>В жизни ребенка должно быть неформальное окружение, в котором есть хотя бы один</w:t>
      </w:r>
      <w:r>
        <w:rPr>
          <w:color w:val="231F20"/>
          <w:spacing w:val="-5"/>
        </w:rPr>
        <w:t> </w:t>
      </w:r>
      <w:r>
        <w:rPr>
          <w:color w:val="231F20"/>
        </w:rPr>
        <w:t>взрослый,</w:t>
      </w:r>
      <w:r>
        <w:rPr>
          <w:color w:val="231F20"/>
          <w:spacing w:val="-5"/>
        </w:rPr>
        <w:t> </w:t>
      </w:r>
      <w:r>
        <w:rPr>
          <w:color w:val="231F20"/>
        </w:rPr>
        <w:t>который</w:t>
      </w:r>
      <w:r>
        <w:rPr>
          <w:color w:val="231F20"/>
          <w:spacing w:val="-5"/>
        </w:rPr>
        <w:t> </w:t>
      </w:r>
      <w:r>
        <w:rPr>
          <w:color w:val="231F20"/>
        </w:rPr>
        <w:t>безоговорочно</w:t>
      </w:r>
      <w:r>
        <w:rPr>
          <w:color w:val="231F20"/>
          <w:spacing w:val="-5"/>
        </w:rPr>
        <w:t> </w:t>
      </w:r>
      <w:r>
        <w:rPr>
          <w:color w:val="231F20"/>
        </w:rPr>
        <w:t>принимает</w:t>
      </w:r>
      <w:r>
        <w:rPr>
          <w:color w:val="231F20"/>
          <w:spacing w:val="-5"/>
        </w:rPr>
        <w:t> </w:t>
      </w:r>
      <w:r>
        <w:rPr>
          <w:color w:val="231F20"/>
        </w:rPr>
        <w:t>ребенка</w:t>
      </w:r>
      <w:r>
        <w:rPr>
          <w:color w:val="231F20"/>
          <w:spacing w:val="-5"/>
        </w:rPr>
        <w:t> </w:t>
      </w:r>
      <w:r>
        <w:rPr>
          <w:color w:val="231F20"/>
        </w:rPr>
        <w:t>таким,</w:t>
      </w:r>
      <w:r>
        <w:rPr>
          <w:color w:val="231F20"/>
          <w:spacing w:val="-5"/>
        </w:rPr>
        <w:t> </w:t>
      </w:r>
      <w:r>
        <w:rPr>
          <w:color w:val="231F20"/>
        </w:rPr>
        <w:t>какой</w:t>
      </w:r>
      <w:r>
        <w:rPr>
          <w:color w:val="231F20"/>
          <w:spacing w:val="-5"/>
        </w:rPr>
        <w:t> </w:t>
      </w:r>
      <w:r>
        <w:rPr>
          <w:color w:val="231F20"/>
        </w:rPr>
        <w:t>он</w:t>
      </w:r>
      <w:r>
        <w:rPr>
          <w:color w:val="231F20"/>
          <w:spacing w:val="-5"/>
        </w:rPr>
        <w:t> </w:t>
      </w:r>
      <w:r>
        <w:rPr>
          <w:color w:val="231F20"/>
        </w:rPr>
        <w:t>есть,</w:t>
      </w:r>
      <w:r>
        <w:rPr>
          <w:color w:val="231F20"/>
          <w:spacing w:val="-5"/>
        </w:rPr>
        <w:t> </w:t>
      </w:r>
      <w:r>
        <w:rPr>
          <w:color w:val="231F20"/>
        </w:rPr>
        <w:t>без осуждения и критики.</w:t>
      </w:r>
    </w:p>
    <w:p>
      <w:pPr>
        <w:pStyle w:val="BodyText"/>
        <w:spacing w:line="235" w:lineRule="auto" w:before="1"/>
        <w:ind w:firstLine="348"/>
      </w:pPr>
      <w:r>
        <w:rPr>
          <w:color w:val="231F20"/>
        </w:rPr>
        <w:t>В общении с травмированным ребенком важно разговаривать спокойно, без из- лишней навязчивости. Быть последовательным и уравновешенным, спокойно и ува- жительно реагировать даже на его яркие эмоциональные выпады в сторону других детей или взрослых.</w:t>
      </w:r>
    </w:p>
    <w:p>
      <w:pPr>
        <w:pStyle w:val="BodyText"/>
        <w:spacing w:line="235" w:lineRule="auto" w:before="2"/>
      </w:pPr>
      <w:r>
        <w:rPr>
          <w:color w:val="231F20"/>
        </w:rPr>
        <w:t>Позвольте ребенку понаблюдать, привыкнуть, адаптироваться. Дайте ему осво- иться, и время от времени приглашайте присоединиться к делу или обсуждению об- щих тем. Включение в новую социальную группу должно быть постепенным.</w:t>
      </w:r>
    </w:p>
    <w:p>
      <w:pPr>
        <w:pStyle w:val="BodyText"/>
        <w:spacing w:line="235" w:lineRule="auto" w:before="2"/>
        <w:jc w:val="right"/>
      </w:pPr>
      <w:r>
        <w:rPr>
          <w:color w:val="231F20"/>
        </w:rPr>
        <w:t>Если вы заметили напряжение или трудности в общении с другими детьми или взрослыми,</w:t>
      </w:r>
      <w:r>
        <w:rPr>
          <w:color w:val="231F20"/>
          <w:spacing w:val="-7"/>
        </w:rPr>
        <w:t> </w:t>
      </w:r>
      <w:r>
        <w:rPr>
          <w:color w:val="231F20"/>
        </w:rPr>
        <w:t>постарайтесь</w:t>
      </w:r>
      <w:r>
        <w:rPr>
          <w:color w:val="231F20"/>
          <w:spacing w:val="-7"/>
        </w:rPr>
        <w:t> </w:t>
      </w:r>
      <w:r>
        <w:rPr>
          <w:color w:val="231F20"/>
        </w:rPr>
        <w:t>подробно</w:t>
      </w:r>
      <w:r>
        <w:rPr>
          <w:color w:val="231F20"/>
          <w:spacing w:val="-7"/>
        </w:rPr>
        <w:t> </w:t>
      </w:r>
      <w:r>
        <w:rPr>
          <w:color w:val="231F20"/>
        </w:rPr>
        <w:t>разобрать</w:t>
      </w:r>
      <w:r>
        <w:rPr>
          <w:color w:val="231F20"/>
          <w:spacing w:val="-7"/>
        </w:rPr>
        <w:t> </w:t>
      </w:r>
      <w:r>
        <w:rPr>
          <w:color w:val="231F20"/>
        </w:rPr>
        <w:t>причину</w:t>
      </w:r>
      <w:r>
        <w:rPr>
          <w:color w:val="231F20"/>
          <w:spacing w:val="-7"/>
        </w:rPr>
        <w:t> </w:t>
      </w:r>
      <w:r>
        <w:rPr>
          <w:color w:val="231F20"/>
        </w:rPr>
        <w:t>и</w:t>
      </w:r>
      <w:r>
        <w:rPr>
          <w:color w:val="231F20"/>
          <w:spacing w:val="-7"/>
        </w:rPr>
        <w:t> </w:t>
      </w:r>
      <w:r>
        <w:rPr>
          <w:color w:val="231F20"/>
        </w:rPr>
        <w:t>выслушать</w:t>
      </w:r>
      <w:r>
        <w:rPr>
          <w:color w:val="231F20"/>
          <w:spacing w:val="-7"/>
        </w:rPr>
        <w:t> </w:t>
      </w:r>
      <w:r>
        <w:rPr>
          <w:color w:val="231F20"/>
        </w:rPr>
        <w:t>мнение</w:t>
      </w:r>
      <w:r>
        <w:rPr>
          <w:color w:val="231F20"/>
          <w:spacing w:val="-7"/>
        </w:rPr>
        <w:t> </w:t>
      </w:r>
      <w:r>
        <w:rPr>
          <w:color w:val="231F20"/>
        </w:rPr>
        <w:t>ребенка. Учитывая,</w:t>
      </w:r>
      <w:r>
        <w:rPr>
          <w:color w:val="231F20"/>
          <w:spacing w:val="40"/>
        </w:rPr>
        <w:t> </w:t>
      </w:r>
      <w:r>
        <w:rPr>
          <w:color w:val="231F20"/>
        </w:rPr>
        <w:t>что</w:t>
      </w:r>
      <w:r>
        <w:rPr>
          <w:color w:val="231F20"/>
          <w:spacing w:val="40"/>
        </w:rPr>
        <w:t> </w:t>
      </w:r>
      <w:r>
        <w:rPr>
          <w:color w:val="231F20"/>
        </w:rPr>
        <w:t>травмированному</w:t>
      </w:r>
      <w:r>
        <w:rPr>
          <w:color w:val="231F20"/>
          <w:spacing w:val="40"/>
        </w:rPr>
        <w:t> </w:t>
      </w:r>
      <w:r>
        <w:rPr>
          <w:color w:val="231F20"/>
        </w:rPr>
        <w:t>ребенку</w:t>
      </w:r>
      <w:r>
        <w:rPr>
          <w:color w:val="231F20"/>
          <w:spacing w:val="40"/>
        </w:rPr>
        <w:t> </w:t>
      </w:r>
      <w:r>
        <w:rPr>
          <w:color w:val="231F20"/>
        </w:rPr>
        <w:t>нужно</w:t>
      </w:r>
      <w:r>
        <w:rPr>
          <w:color w:val="231F20"/>
          <w:spacing w:val="40"/>
        </w:rPr>
        <w:t> </w:t>
      </w:r>
      <w:r>
        <w:rPr>
          <w:color w:val="231F20"/>
        </w:rPr>
        <w:t>больше</w:t>
      </w:r>
      <w:r>
        <w:rPr>
          <w:color w:val="231F20"/>
          <w:spacing w:val="40"/>
        </w:rPr>
        <w:t> </w:t>
      </w:r>
      <w:r>
        <w:rPr>
          <w:color w:val="231F20"/>
        </w:rPr>
        <w:t>времени,</w:t>
      </w:r>
      <w:r>
        <w:rPr>
          <w:color w:val="231F20"/>
          <w:spacing w:val="40"/>
        </w:rPr>
        <w:t> </w:t>
      </w:r>
      <w:r>
        <w:rPr>
          <w:color w:val="231F20"/>
        </w:rPr>
        <w:t>чтобы</w:t>
      </w:r>
      <w:r>
        <w:rPr>
          <w:color w:val="231F20"/>
          <w:spacing w:val="40"/>
        </w:rPr>
        <w:t> </w:t>
      </w:r>
      <w:r>
        <w:rPr>
          <w:color w:val="231F20"/>
        </w:rPr>
        <w:t>осво- иться,</w:t>
      </w:r>
      <w:r>
        <w:rPr>
          <w:color w:val="231F20"/>
          <w:spacing w:val="7"/>
        </w:rPr>
        <w:t> </w:t>
      </w:r>
      <w:r>
        <w:rPr>
          <w:color w:val="231F20"/>
        </w:rPr>
        <w:t>вовлекая</w:t>
      </w:r>
      <w:r>
        <w:rPr>
          <w:color w:val="231F20"/>
          <w:spacing w:val="8"/>
        </w:rPr>
        <w:t> </w:t>
      </w:r>
      <w:r>
        <w:rPr>
          <w:color w:val="231F20"/>
        </w:rPr>
        <w:t>его</w:t>
      </w:r>
      <w:r>
        <w:rPr>
          <w:color w:val="231F20"/>
          <w:spacing w:val="8"/>
        </w:rPr>
        <w:t> </w:t>
      </w:r>
      <w:r>
        <w:rPr>
          <w:color w:val="231F20"/>
        </w:rPr>
        <w:t>в</w:t>
      </w:r>
      <w:r>
        <w:rPr>
          <w:color w:val="231F20"/>
          <w:spacing w:val="8"/>
        </w:rPr>
        <w:t> </w:t>
      </w:r>
      <w:r>
        <w:rPr>
          <w:color w:val="231F20"/>
        </w:rPr>
        <w:t>новые</w:t>
      </w:r>
      <w:r>
        <w:rPr>
          <w:color w:val="231F20"/>
          <w:spacing w:val="8"/>
        </w:rPr>
        <w:t> </w:t>
      </w:r>
      <w:r>
        <w:rPr>
          <w:color w:val="231F20"/>
        </w:rPr>
        <w:t>дела,</w:t>
      </w:r>
      <w:r>
        <w:rPr>
          <w:color w:val="231F20"/>
          <w:spacing w:val="7"/>
        </w:rPr>
        <w:t> </w:t>
      </w:r>
      <w:r>
        <w:rPr>
          <w:color w:val="231F20"/>
        </w:rPr>
        <w:t>постарайтесь</w:t>
      </w:r>
      <w:r>
        <w:rPr>
          <w:color w:val="231F20"/>
          <w:spacing w:val="8"/>
        </w:rPr>
        <w:t> </w:t>
      </w:r>
      <w:r>
        <w:rPr>
          <w:color w:val="231F20"/>
        </w:rPr>
        <w:t>подробно</w:t>
      </w:r>
      <w:r>
        <w:rPr>
          <w:color w:val="231F20"/>
          <w:spacing w:val="7"/>
        </w:rPr>
        <w:t> </w:t>
      </w:r>
      <w:r>
        <w:rPr>
          <w:color w:val="231F20"/>
        </w:rPr>
        <w:t>рассказать</w:t>
      </w:r>
      <w:r>
        <w:rPr>
          <w:color w:val="231F20"/>
          <w:spacing w:val="8"/>
        </w:rPr>
        <w:t> </w:t>
      </w:r>
      <w:r>
        <w:rPr>
          <w:color w:val="231F20"/>
        </w:rPr>
        <w:t>и</w:t>
      </w:r>
      <w:r>
        <w:rPr>
          <w:color w:val="231F20"/>
          <w:spacing w:val="8"/>
        </w:rPr>
        <w:t> </w:t>
      </w:r>
      <w:r>
        <w:rPr>
          <w:color w:val="231F20"/>
        </w:rPr>
        <w:t>показать,</w:t>
      </w:r>
      <w:r>
        <w:rPr>
          <w:color w:val="231F20"/>
          <w:spacing w:val="8"/>
        </w:rPr>
        <w:t> </w:t>
      </w:r>
      <w:r>
        <w:rPr>
          <w:color w:val="231F20"/>
          <w:spacing w:val="-5"/>
        </w:rPr>
        <w:t>как</w:t>
      </w:r>
    </w:p>
    <w:p>
      <w:pPr>
        <w:pStyle w:val="BodyText"/>
        <w:spacing w:after="0" w:line="235" w:lineRule="auto"/>
        <w:jc w:val="right"/>
        <w:sectPr>
          <w:pgSz w:w="8400" w:h="11910"/>
          <w:pgMar w:header="0" w:footer="528" w:top="400" w:bottom="740" w:left="425" w:right="425"/>
        </w:sectPr>
      </w:pPr>
    </w:p>
    <w:p>
      <w:pPr>
        <w:pStyle w:val="ListParagraph"/>
        <w:numPr>
          <w:ilvl w:val="1"/>
          <w:numId w:val="43"/>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Психологическая</w:t>
      </w:r>
      <w:r>
        <w:rPr>
          <w:rFonts w:ascii="Georgia" w:hAnsi="Georgia"/>
          <w:color w:val="231F20"/>
          <w:spacing w:val="-4"/>
          <w:sz w:val="18"/>
        </w:rPr>
        <w:t> </w:t>
      </w:r>
      <w:r>
        <w:rPr>
          <w:rFonts w:ascii="Georgia" w:hAnsi="Georgia"/>
          <w:color w:val="231F20"/>
          <w:sz w:val="18"/>
        </w:rPr>
        <w:t>работа</w:t>
      </w:r>
      <w:r>
        <w:rPr>
          <w:rFonts w:ascii="Georgia" w:hAnsi="Georgia"/>
          <w:color w:val="231F20"/>
          <w:spacing w:val="-4"/>
          <w:sz w:val="18"/>
        </w:rPr>
        <w:t> </w:t>
      </w:r>
      <w:r>
        <w:rPr>
          <w:rFonts w:ascii="Georgia" w:hAnsi="Georgia"/>
          <w:color w:val="231F20"/>
          <w:sz w:val="18"/>
        </w:rPr>
        <w:t>с</w:t>
      </w:r>
      <w:r>
        <w:rPr>
          <w:rFonts w:ascii="Georgia" w:hAnsi="Georgia"/>
          <w:color w:val="231F20"/>
          <w:spacing w:val="-3"/>
          <w:sz w:val="18"/>
        </w:rPr>
        <w:t> </w:t>
      </w:r>
      <w:r>
        <w:rPr>
          <w:rFonts w:ascii="Georgia" w:hAnsi="Georgia"/>
          <w:color w:val="231F20"/>
          <w:sz w:val="18"/>
        </w:rPr>
        <w:t>детьми</w:t>
      </w:r>
      <w:r>
        <w:rPr>
          <w:rFonts w:ascii="Georgia" w:hAnsi="Georgia"/>
          <w:color w:val="231F20"/>
          <w:spacing w:val="-4"/>
          <w:sz w:val="18"/>
        </w:rPr>
        <w:t> </w:t>
      </w:r>
      <w:r>
        <w:rPr>
          <w:rFonts w:ascii="Georgia" w:hAnsi="Georgia"/>
          <w:color w:val="231F20"/>
          <w:sz w:val="18"/>
        </w:rPr>
        <w:t>...,</w:t>
      </w:r>
      <w:r>
        <w:rPr>
          <w:rFonts w:ascii="Georgia" w:hAnsi="Georgia"/>
          <w:color w:val="231F20"/>
          <w:spacing w:val="-3"/>
          <w:sz w:val="18"/>
        </w:rPr>
        <w:t> </w:t>
      </w:r>
      <w:r>
        <w:rPr>
          <w:rFonts w:ascii="Georgia" w:hAnsi="Georgia"/>
          <w:color w:val="231F20"/>
          <w:sz w:val="18"/>
        </w:rPr>
        <w:t>переживающими</w:t>
      </w:r>
      <w:r>
        <w:rPr>
          <w:rFonts w:ascii="Georgia" w:hAnsi="Georgia"/>
          <w:color w:val="231F20"/>
          <w:spacing w:val="-4"/>
          <w:sz w:val="18"/>
        </w:rPr>
        <w:t> </w:t>
      </w:r>
      <w:r>
        <w:rPr>
          <w:rFonts w:ascii="Georgia" w:hAnsi="Georgia"/>
          <w:color w:val="231F20"/>
          <w:spacing w:val="-2"/>
          <w:sz w:val="18"/>
        </w:rPr>
        <w:t>последствия...</w:t>
      </w:r>
    </w:p>
    <w:p>
      <w:pPr>
        <w:pStyle w:val="BodyText"/>
        <w:spacing w:line="235" w:lineRule="auto" w:before="116"/>
        <w:ind w:firstLine="0"/>
      </w:pPr>
      <w:r>
        <w:rPr>
          <w:color w:val="231F20"/>
        </w:rPr>
        <w:t>выполняется задание или упражнение на своем примере или с привлечением других детей.</w:t>
      </w:r>
      <w:r>
        <w:rPr>
          <w:color w:val="231F20"/>
          <w:spacing w:val="-13"/>
        </w:rPr>
        <w:t> </w:t>
      </w:r>
      <w:r>
        <w:rPr>
          <w:color w:val="231F20"/>
        </w:rPr>
        <w:t>Ребенок</w:t>
      </w:r>
      <w:r>
        <w:rPr>
          <w:color w:val="231F20"/>
          <w:spacing w:val="-12"/>
        </w:rPr>
        <w:t> </w:t>
      </w:r>
      <w:r>
        <w:rPr>
          <w:color w:val="231F20"/>
        </w:rPr>
        <w:t>может</w:t>
      </w:r>
      <w:r>
        <w:rPr>
          <w:color w:val="231F20"/>
          <w:spacing w:val="-13"/>
        </w:rPr>
        <w:t> </w:t>
      </w:r>
      <w:r>
        <w:rPr>
          <w:color w:val="231F20"/>
        </w:rPr>
        <w:t>испытывать</w:t>
      </w:r>
      <w:r>
        <w:rPr>
          <w:color w:val="231F20"/>
          <w:spacing w:val="-12"/>
        </w:rPr>
        <w:t> </w:t>
      </w:r>
      <w:r>
        <w:rPr>
          <w:color w:val="231F20"/>
        </w:rPr>
        <w:t>трудности,</w:t>
      </w:r>
      <w:r>
        <w:rPr>
          <w:color w:val="231F20"/>
          <w:spacing w:val="-13"/>
        </w:rPr>
        <w:t> </w:t>
      </w:r>
      <w:r>
        <w:rPr>
          <w:color w:val="231F20"/>
        </w:rPr>
        <w:t>если</w:t>
      </w:r>
      <w:r>
        <w:rPr>
          <w:color w:val="231F20"/>
          <w:spacing w:val="-12"/>
        </w:rPr>
        <w:t> </w:t>
      </w:r>
      <w:r>
        <w:rPr>
          <w:color w:val="231F20"/>
        </w:rPr>
        <w:t>окажется</w:t>
      </w:r>
      <w:r>
        <w:rPr>
          <w:color w:val="231F20"/>
          <w:spacing w:val="-13"/>
        </w:rPr>
        <w:t> </w:t>
      </w:r>
      <w:r>
        <w:rPr>
          <w:color w:val="231F20"/>
        </w:rPr>
        <w:t>первым</w:t>
      </w:r>
      <w:r>
        <w:rPr>
          <w:color w:val="231F20"/>
          <w:spacing w:val="-12"/>
        </w:rPr>
        <w:t> </w:t>
      </w:r>
      <w:r>
        <w:rPr>
          <w:color w:val="231F20"/>
        </w:rPr>
        <w:t>при</w:t>
      </w:r>
      <w:r>
        <w:rPr>
          <w:color w:val="231F20"/>
          <w:spacing w:val="-13"/>
        </w:rPr>
        <w:t> </w:t>
      </w:r>
      <w:r>
        <w:rPr>
          <w:color w:val="231F20"/>
        </w:rPr>
        <w:t>выполнении задания, и потом сильно переживать из-за неудачи. Поэтому не настаивайте на его первенстве, пока он к этому не готов.</w:t>
      </w:r>
    </w:p>
    <w:p>
      <w:pPr>
        <w:pStyle w:val="BodyText"/>
        <w:spacing w:line="235" w:lineRule="auto" w:before="2"/>
      </w:pPr>
      <w:r>
        <w:rPr>
          <w:color w:val="231F20"/>
        </w:rPr>
        <w:t>В случае изменении планов предупредите его как можно раньше об этом, чтобы он</w:t>
      </w:r>
      <w:r>
        <w:rPr>
          <w:color w:val="231F20"/>
          <w:spacing w:val="-7"/>
        </w:rPr>
        <w:t> </w:t>
      </w:r>
      <w:r>
        <w:rPr>
          <w:color w:val="231F20"/>
        </w:rPr>
        <w:t>успел</w:t>
      </w:r>
      <w:r>
        <w:rPr>
          <w:color w:val="231F20"/>
          <w:spacing w:val="-7"/>
        </w:rPr>
        <w:t> </w:t>
      </w:r>
      <w:r>
        <w:rPr>
          <w:color w:val="231F20"/>
        </w:rPr>
        <w:t>внутренне</w:t>
      </w:r>
      <w:r>
        <w:rPr>
          <w:color w:val="231F20"/>
          <w:spacing w:val="-7"/>
        </w:rPr>
        <w:t> </w:t>
      </w:r>
      <w:r>
        <w:rPr>
          <w:color w:val="231F20"/>
        </w:rPr>
        <w:t>подготовиться.</w:t>
      </w:r>
      <w:r>
        <w:rPr>
          <w:color w:val="231F20"/>
          <w:spacing w:val="-7"/>
        </w:rPr>
        <w:t> </w:t>
      </w:r>
      <w:r>
        <w:rPr>
          <w:color w:val="231F20"/>
        </w:rPr>
        <w:t>Когда</w:t>
      </w:r>
      <w:r>
        <w:rPr>
          <w:color w:val="231F20"/>
          <w:spacing w:val="-7"/>
        </w:rPr>
        <w:t> </w:t>
      </w:r>
      <w:r>
        <w:rPr>
          <w:color w:val="231F20"/>
        </w:rPr>
        <w:t>ребенок</w:t>
      </w:r>
      <w:r>
        <w:rPr>
          <w:color w:val="231F20"/>
          <w:spacing w:val="-7"/>
        </w:rPr>
        <w:t> </w:t>
      </w:r>
      <w:r>
        <w:rPr>
          <w:color w:val="231F20"/>
        </w:rPr>
        <w:t>освоится</w:t>
      </w:r>
      <w:r>
        <w:rPr>
          <w:color w:val="231F20"/>
          <w:spacing w:val="-7"/>
        </w:rPr>
        <w:t> </w:t>
      </w:r>
      <w:r>
        <w:rPr>
          <w:color w:val="231F20"/>
        </w:rPr>
        <w:t>и</w:t>
      </w:r>
      <w:r>
        <w:rPr>
          <w:color w:val="231F20"/>
          <w:spacing w:val="-7"/>
        </w:rPr>
        <w:t> </w:t>
      </w:r>
      <w:r>
        <w:rPr>
          <w:color w:val="231F20"/>
        </w:rPr>
        <w:t>будет</w:t>
      </w:r>
      <w:r>
        <w:rPr>
          <w:color w:val="231F20"/>
          <w:spacing w:val="-7"/>
        </w:rPr>
        <w:t> </w:t>
      </w:r>
      <w:r>
        <w:rPr>
          <w:color w:val="231F20"/>
        </w:rPr>
        <w:t>чувствовать</w:t>
      </w:r>
      <w:r>
        <w:rPr>
          <w:color w:val="231F20"/>
          <w:spacing w:val="-7"/>
        </w:rPr>
        <w:t> </w:t>
      </w:r>
      <w:r>
        <w:rPr>
          <w:color w:val="231F20"/>
        </w:rPr>
        <w:t>себя более уверенно, он сможет сам проявить инициативу.</w:t>
      </w:r>
    </w:p>
    <w:p>
      <w:pPr>
        <w:pStyle w:val="BodyText"/>
        <w:spacing w:line="235" w:lineRule="auto" w:before="2"/>
      </w:pPr>
      <w:r>
        <w:rPr>
          <w:color w:val="231F20"/>
        </w:rPr>
        <w:t>Травмированные</w:t>
      </w:r>
      <w:r>
        <w:rPr>
          <w:color w:val="231F20"/>
          <w:spacing w:val="-9"/>
        </w:rPr>
        <w:t> </w:t>
      </w:r>
      <w:r>
        <w:rPr>
          <w:color w:val="231F20"/>
        </w:rPr>
        <w:t>дети</w:t>
      </w:r>
      <w:r>
        <w:rPr>
          <w:color w:val="231F20"/>
          <w:spacing w:val="-9"/>
        </w:rPr>
        <w:t> </w:t>
      </w:r>
      <w:r>
        <w:rPr>
          <w:color w:val="231F20"/>
        </w:rPr>
        <w:t>с</w:t>
      </w:r>
      <w:r>
        <w:rPr>
          <w:color w:val="231F20"/>
          <w:spacing w:val="-9"/>
        </w:rPr>
        <w:t> </w:t>
      </w:r>
      <w:r>
        <w:rPr>
          <w:color w:val="231F20"/>
        </w:rPr>
        <w:t>трудом</w:t>
      </w:r>
      <w:r>
        <w:rPr>
          <w:color w:val="231F20"/>
          <w:spacing w:val="-9"/>
        </w:rPr>
        <w:t> </w:t>
      </w:r>
      <w:r>
        <w:rPr>
          <w:color w:val="231F20"/>
        </w:rPr>
        <w:t>выдерживают</w:t>
      </w:r>
      <w:r>
        <w:rPr>
          <w:color w:val="231F20"/>
          <w:spacing w:val="-9"/>
        </w:rPr>
        <w:t> </w:t>
      </w:r>
      <w:r>
        <w:rPr>
          <w:color w:val="231F20"/>
        </w:rPr>
        <w:t>дисциплину</w:t>
      </w:r>
      <w:r>
        <w:rPr>
          <w:color w:val="231F20"/>
          <w:spacing w:val="-9"/>
        </w:rPr>
        <w:t> </w:t>
      </w:r>
      <w:r>
        <w:rPr>
          <w:color w:val="231F20"/>
        </w:rPr>
        <w:t>и</w:t>
      </w:r>
      <w:r>
        <w:rPr>
          <w:color w:val="231F20"/>
          <w:spacing w:val="-9"/>
        </w:rPr>
        <w:t> </w:t>
      </w:r>
      <w:r>
        <w:rPr>
          <w:color w:val="231F20"/>
        </w:rPr>
        <w:t>режим</w:t>
      </w:r>
      <w:r>
        <w:rPr>
          <w:color w:val="231F20"/>
          <w:spacing w:val="-9"/>
        </w:rPr>
        <w:t> </w:t>
      </w:r>
      <w:r>
        <w:rPr>
          <w:color w:val="231F20"/>
        </w:rPr>
        <w:t>дня.</w:t>
      </w:r>
      <w:r>
        <w:rPr>
          <w:color w:val="231F20"/>
          <w:spacing w:val="-9"/>
        </w:rPr>
        <w:t> </w:t>
      </w:r>
      <w:r>
        <w:rPr>
          <w:color w:val="231F20"/>
        </w:rPr>
        <w:t>При</w:t>
      </w:r>
      <w:r>
        <w:rPr>
          <w:color w:val="231F20"/>
          <w:spacing w:val="-9"/>
        </w:rPr>
        <w:t> </w:t>
      </w:r>
      <w:r>
        <w:rPr>
          <w:color w:val="231F20"/>
        </w:rPr>
        <w:t>этом они очень нуждаются в постоянстве и предсказуемости. В семье и в школе важно поддерживать</w:t>
      </w:r>
      <w:r>
        <w:rPr>
          <w:color w:val="231F20"/>
          <w:spacing w:val="-4"/>
        </w:rPr>
        <w:t> </w:t>
      </w:r>
      <w:r>
        <w:rPr>
          <w:color w:val="231F20"/>
        </w:rPr>
        <w:t>ежедневные</w:t>
      </w:r>
      <w:r>
        <w:rPr>
          <w:color w:val="231F20"/>
          <w:spacing w:val="-4"/>
        </w:rPr>
        <w:t> </w:t>
      </w:r>
      <w:r>
        <w:rPr>
          <w:color w:val="231F20"/>
        </w:rPr>
        <w:t>ритуалы,</w:t>
      </w:r>
      <w:r>
        <w:rPr>
          <w:color w:val="231F20"/>
          <w:spacing w:val="-4"/>
        </w:rPr>
        <w:t> </w:t>
      </w:r>
      <w:r>
        <w:rPr>
          <w:color w:val="231F20"/>
        </w:rPr>
        <w:t>по</w:t>
      </w:r>
      <w:r>
        <w:rPr>
          <w:color w:val="231F20"/>
          <w:spacing w:val="-4"/>
        </w:rPr>
        <w:t> </w:t>
      </w:r>
      <w:r>
        <w:rPr>
          <w:color w:val="231F20"/>
        </w:rPr>
        <w:t>возможности</w:t>
      </w:r>
      <w:r>
        <w:rPr>
          <w:color w:val="231F20"/>
          <w:spacing w:val="-4"/>
        </w:rPr>
        <w:t> </w:t>
      </w:r>
      <w:r>
        <w:rPr>
          <w:color w:val="231F20"/>
        </w:rPr>
        <w:t>превращая</w:t>
      </w:r>
      <w:r>
        <w:rPr>
          <w:color w:val="231F20"/>
          <w:spacing w:val="-4"/>
        </w:rPr>
        <w:t> </w:t>
      </w:r>
      <w:r>
        <w:rPr>
          <w:color w:val="231F20"/>
        </w:rPr>
        <w:t>их</w:t>
      </w:r>
      <w:r>
        <w:rPr>
          <w:color w:val="231F20"/>
          <w:spacing w:val="-4"/>
        </w:rPr>
        <w:t> </w:t>
      </w:r>
      <w:r>
        <w:rPr>
          <w:color w:val="231F20"/>
        </w:rPr>
        <w:t>в</w:t>
      </w:r>
      <w:r>
        <w:rPr>
          <w:color w:val="231F20"/>
          <w:spacing w:val="-4"/>
        </w:rPr>
        <w:t> </w:t>
      </w:r>
      <w:r>
        <w:rPr>
          <w:color w:val="231F20"/>
        </w:rPr>
        <w:t>увлекательную игру</w:t>
      </w:r>
      <w:r>
        <w:rPr>
          <w:color w:val="231F20"/>
          <w:spacing w:val="-9"/>
        </w:rPr>
        <w:t> </w:t>
      </w:r>
      <w:r>
        <w:rPr>
          <w:color w:val="231F20"/>
        </w:rPr>
        <w:t>или</w:t>
      </w:r>
      <w:r>
        <w:rPr>
          <w:color w:val="231F20"/>
          <w:spacing w:val="-9"/>
        </w:rPr>
        <w:t> </w:t>
      </w:r>
      <w:r>
        <w:rPr>
          <w:color w:val="231F20"/>
        </w:rPr>
        <w:t>интересное</w:t>
      </w:r>
      <w:r>
        <w:rPr>
          <w:color w:val="231F20"/>
          <w:spacing w:val="-9"/>
        </w:rPr>
        <w:t> </w:t>
      </w:r>
      <w:r>
        <w:rPr>
          <w:color w:val="231F20"/>
        </w:rPr>
        <w:t>совместное</w:t>
      </w:r>
      <w:r>
        <w:rPr>
          <w:color w:val="231F20"/>
          <w:spacing w:val="-9"/>
        </w:rPr>
        <w:t> </w:t>
      </w:r>
      <w:r>
        <w:rPr>
          <w:color w:val="231F20"/>
        </w:rPr>
        <w:t>действие.</w:t>
      </w:r>
      <w:r>
        <w:rPr>
          <w:color w:val="231F20"/>
          <w:spacing w:val="-9"/>
        </w:rPr>
        <w:t> </w:t>
      </w:r>
      <w:r>
        <w:rPr>
          <w:color w:val="231F20"/>
        </w:rPr>
        <w:t>Избегать</w:t>
      </w:r>
      <w:r>
        <w:rPr>
          <w:color w:val="231F20"/>
          <w:spacing w:val="-9"/>
        </w:rPr>
        <w:t> </w:t>
      </w:r>
      <w:r>
        <w:rPr>
          <w:color w:val="231F20"/>
        </w:rPr>
        <w:t>излишней</w:t>
      </w:r>
      <w:r>
        <w:rPr>
          <w:color w:val="231F20"/>
          <w:spacing w:val="-9"/>
        </w:rPr>
        <w:t> </w:t>
      </w:r>
      <w:r>
        <w:rPr>
          <w:color w:val="231F20"/>
        </w:rPr>
        <w:t>авторитарности</w:t>
      </w:r>
      <w:r>
        <w:rPr>
          <w:color w:val="231F20"/>
          <w:spacing w:val="-9"/>
        </w:rPr>
        <w:t> </w:t>
      </w:r>
      <w:r>
        <w:rPr>
          <w:color w:val="231F20"/>
        </w:rPr>
        <w:t>и</w:t>
      </w:r>
      <w:r>
        <w:rPr>
          <w:color w:val="231F20"/>
          <w:spacing w:val="-9"/>
        </w:rPr>
        <w:t> </w:t>
      </w:r>
      <w:r>
        <w:rPr>
          <w:color w:val="231F20"/>
        </w:rPr>
        <w:t>тре- </w:t>
      </w:r>
      <w:r>
        <w:rPr>
          <w:color w:val="231F20"/>
          <w:spacing w:val="-2"/>
        </w:rPr>
        <w:t>бовательности.</w:t>
      </w:r>
    </w:p>
    <w:p>
      <w:pPr>
        <w:pStyle w:val="BodyText"/>
        <w:spacing w:line="235" w:lineRule="auto" w:before="3"/>
        <w:jc w:val="right"/>
      </w:pPr>
      <w:r>
        <w:rPr>
          <w:color w:val="231F20"/>
          <w:spacing w:val="-2"/>
        </w:rPr>
        <w:t>Включайте</w:t>
      </w:r>
      <w:r>
        <w:rPr>
          <w:color w:val="231F20"/>
          <w:spacing w:val="-9"/>
        </w:rPr>
        <w:t> </w:t>
      </w:r>
      <w:r>
        <w:rPr>
          <w:color w:val="231F20"/>
          <w:spacing w:val="-2"/>
        </w:rPr>
        <w:t>ребенка</w:t>
      </w:r>
      <w:r>
        <w:rPr>
          <w:color w:val="231F20"/>
          <w:spacing w:val="-9"/>
        </w:rPr>
        <w:t> </w:t>
      </w:r>
      <w:r>
        <w:rPr>
          <w:color w:val="231F20"/>
          <w:spacing w:val="-2"/>
        </w:rPr>
        <w:t>в</w:t>
      </w:r>
      <w:r>
        <w:rPr>
          <w:color w:val="231F20"/>
          <w:spacing w:val="-9"/>
        </w:rPr>
        <w:t> </w:t>
      </w:r>
      <w:r>
        <w:rPr>
          <w:color w:val="231F20"/>
          <w:spacing w:val="-2"/>
        </w:rPr>
        <w:t>обсуждение</w:t>
      </w:r>
      <w:r>
        <w:rPr>
          <w:color w:val="231F20"/>
          <w:spacing w:val="-9"/>
        </w:rPr>
        <w:t> </w:t>
      </w:r>
      <w:r>
        <w:rPr>
          <w:color w:val="231F20"/>
          <w:spacing w:val="-2"/>
        </w:rPr>
        <w:t>семейных</w:t>
      </w:r>
      <w:r>
        <w:rPr>
          <w:color w:val="231F20"/>
          <w:spacing w:val="-9"/>
        </w:rPr>
        <w:t> </w:t>
      </w:r>
      <w:r>
        <w:rPr>
          <w:color w:val="231F20"/>
          <w:spacing w:val="-2"/>
        </w:rPr>
        <w:t>планов</w:t>
      </w:r>
      <w:r>
        <w:rPr>
          <w:color w:val="231F20"/>
          <w:spacing w:val="-9"/>
        </w:rPr>
        <w:t> </w:t>
      </w:r>
      <w:r>
        <w:rPr>
          <w:color w:val="231F20"/>
          <w:spacing w:val="-2"/>
        </w:rPr>
        <w:t>и</w:t>
      </w:r>
      <w:r>
        <w:rPr>
          <w:color w:val="231F20"/>
          <w:spacing w:val="-9"/>
        </w:rPr>
        <w:t> </w:t>
      </w:r>
      <w:r>
        <w:rPr>
          <w:color w:val="231F20"/>
          <w:spacing w:val="-2"/>
        </w:rPr>
        <w:t>объясняйте</w:t>
      </w:r>
      <w:r>
        <w:rPr>
          <w:color w:val="231F20"/>
          <w:spacing w:val="-9"/>
        </w:rPr>
        <w:t> </w:t>
      </w:r>
      <w:r>
        <w:rPr>
          <w:color w:val="231F20"/>
          <w:spacing w:val="-2"/>
        </w:rPr>
        <w:t>им</w:t>
      </w:r>
      <w:r>
        <w:rPr>
          <w:color w:val="231F20"/>
          <w:spacing w:val="-9"/>
        </w:rPr>
        <w:t> </w:t>
      </w:r>
      <w:r>
        <w:rPr>
          <w:color w:val="231F20"/>
          <w:spacing w:val="-2"/>
        </w:rPr>
        <w:t>свои</w:t>
      </w:r>
      <w:r>
        <w:rPr>
          <w:color w:val="231F20"/>
          <w:spacing w:val="-9"/>
        </w:rPr>
        <w:t> </w:t>
      </w:r>
      <w:r>
        <w:rPr>
          <w:color w:val="231F20"/>
          <w:spacing w:val="-2"/>
        </w:rPr>
        <w:t>решения. </w:t>
      </w:r>
      <w:r>
        <w:rPr>
          <w:color w:val="231F20"/>
        </w:rPr>
        <w:t>Отношения с психологом или другим значимым взрослым – та необходимая опо-</w:t>
      </w:r>
      <w:r>
        <w:rPr>
          <w:color w:val="231F20"/>
          <w:spacing w:val="80"/>
        </w:rPr>
        <w:t> </w:t>
      </w:r>
      <w:r>
        <w:rPr>
          <w:color w:val="231F20"/>
        </w:rPr>
        <w:t>ра,</w:t>
      </w:r>
      <w:r>
        <w:rPr>
          <w:color w:val="231F20"/>
          <w:spacing w:val="-5"/>
        </w:rPr>
        <w:t> </w:t>
      </w:r>
      <w:r>
        <w:rPr>
          <w:color w:val="231F20"/>
        </w:rPr>
        <w:t>на</w:t>
      </w:r>
      <w:r>
        <w:rPr>
          <w:color w:val="231F20"/>
          <w:spacing w:val="-5"/>
        </w:rPr>
        <w:t> </w:t>
      </w:r>
      <w:r>
        <w:rPr>
          <w:color w:val="231F20"/>
        </w:rPr>
        <w:t>которую</w:t>
      </w:r>
      <w:r>
        <w:rPr>
          <w:color w:val="231F20"/>
          <w:spacing w:val="-5"/>
        </w:rPr>
        <w:t> </w:t>
      </w:r>
      <w:r>
        <w:rPr>
          <w:color w:val="231F20"/>
        </w:rPr>
        <w:t>настраивается</w:t>
      </w:r>
      <w:r>
        <w:rPr>
          <w:color w:val="231F20"/>
          <w:spacing w:val="-5"/>
        </w:rPr>
        <w:t> </w:t>
      </w:r>
      <w:r>
        <w:rPr>
          <w:color w:val="231F20"/>
        </w:rPr>
        <w:t>внутренний</w:t>
      </w:r>
      <w:r>
        <w:rPr>
          <w:color w:val="231F20"/>
          <w:spacing w:val="-5"/>
        </w:rPr>
        <w:t> </w:t>
      </w:r>
      <w:r>
        <w:rPr>
          <w:color w:val="231F20"/>
        </w:rPr>
        <w:t>мир</w:t>
      </w:r>
      <w:r>
        <w:rPr>
          <w:color w:val="231F20"/>
          <w:spacing w:val="-5"/>
        </w:rPr>
        <w:t> </w:t>
      </w:r>
      <w:r>
        <w:rPr>
          <w:color w:val="231F20"/>
        </w:rPr>
        <w:t>ребенка</w:t>
      </w:r>
      <w:r>
        <w:rPr>
          <w:color w:val="231F20"/>
          <w:spacing w:val="-5"/>
        </w:rPr>
        <w:t> </w:t>
      </w:r>
      <w:r>
        <w:rPr>
          <w:color w:val="231F20"/>
        </w:rPr>
        <w:t>и</w:t>
      </w:r>
      <w:r>
        <w:rPr>
          <w:color w:val="231F20"/>
          <w:spacing w:val="-5"/>
        </w:rPr>
        <w:t> </w:t>
      </w:r>
      <w:r>
        <w:rPr>
          <w:color w:val="231F20"/>
        </w:rPr>
        <w:t>его</w:t>
      </w:r>
      <w:r>
        <w:rPr>
          <w:color w:val="231F20"/>
          <w:spacing w:val="-5"/>
        </w:rPr>
        <w:t> </w:t>
      </w:r>
      <w:r>
        <w:rPr>
          <w:color w:val="231F20"/>
        </w:rPr>
        <w:t>самовосприятие.</w:t>
      </w:r>
      <w:r>
        <w:rPr>
          <w:color w:val="231F20"/>
          <w:spacing w:val="-5"/>
        </w:rPr>
        <w:t> </w:t>
      </w:r>
      <w:r>
        <w:rPr>
          <w:color w:val="231F20"/>
        </w:rPr>
        <w:t>Поэто- му</w:t>
      </w:r>
      <w:r>
        <w:rPr>
          <w:color w:val="231F20"/>
          <w:spacing w:val="-4"/>
        </w:rPr>
        <w:t> </w:t>
      </w:r>
      <w:r>
        <w:rPr>
          <w:color w:val="231F20"/>
        </w:rPr>
        <w:t>важно</w:t>
      </w:r>
      <w:r>
        <w:rPr>
          <w:color w:val="231F20"/>
          <w:spacing w:val="-4"/>
        </w:rPr>
        <w:t> </w:t>
      </w:r>
      <w:r>
        <w:rPr>
          <w:color w:val="231F20"/>
        </w:rPr>
        <w:t>понимать,</w:t>
      </w:r>
      <w:r>
        <w:rPr>
          <w:color w:val="231F20"/>
          <w:spacing w:val="-4"/>
        </w:rPr>
        <w:t> </w:t>
      </w:r>
      <w:r>
        <w:rPr>
          <w:color w:val="231F20"/>
        </w:rPr>
        <w:t>что</w:t>
      </w:r>
      <w:r>
        <w:rPr>
          <w:color w:val="231F20"/>
          <w:spacing w:val="-4"/>
        </w:rPr>
        <w:t> </w:t>
      </w:r>
      <w:r>
        <w:rPr>
          <w:color w:val="231F20"/>
        </w:rPr>
        <w:t>любой</w:t>
      </w:r>
      <w:r>
        <w:rPr>
          <w:color w:val="231F20"/>
          <w:spacing w:val="-4"/>
        </w:rPr>
        <w:t> </w:t>
      </w:r>
      <w:r>
        <w:rPr>
          <w:color w:val="231F20"/>
        </w:rPr>
        <w:t>резкий</w:t>
      </w:r>
      <w:r>
        <w:rPr>
          <w:color w:val="231F20"/>
          <w:spacing w:val="-4"/>
        </w:rPr>
        <w:t> </w:t>
      </w:r>
      <w:r>
        <w:rPr>
          <w:color w:val="231F20"/>
        </w:rPr>
        <w:t>разрыв</w:t>
      </w:r>
      <w:r>
        <w:rPr>
          <w:color w:val="231F20"/>
          <w:spacing w:val="-4"/>
        </w:rPr>
        <w:t> </w:t>
      </w:r>
      <w:r>
        <w:rPr>
          <w:color w:val="231F20"/>
        </w:rPr>
        <w:t>отношений</w:t>
      </w:r>
      <w:r>
        <w:rPr>
          <w:color w:val="231F20"/>
          <w:spacing w:val="-4"/>
        </w:rPr>
        <w:t> </w:t>
      </w:r>
      <w:r>
        <w:rPr>
          <w:color w:val="231F20"/>
        </w:rPr>
        <w:t>может</w:t>
      </w:r>
      <w:r>
        <w:rPr>
          <w:color w:val="231F20"/>
          <w:spacing w:val="-4"/>
        </w:rPr>
        <w:t> </w:t>
      </w:r>
      <w:r>
        <w:rPr>
          <w:color w:val="231F20"/>
        </w:rPr>
        <w:t>нанести</w:t>
      </w:r>
      <w:r>
        <w:rPr>
          <w:color w:val="231F20"/>
          <w:spacing w:val="-4"/>
        </w:rPr>
        <w:t> </w:t>
      </w:r>
      <w:r>
        <w:rPr>
          <w:color w:val="231F20"/>
        </w:rPr>
        <w:t>повторную травму. В случае если предстоит расставание или долгая разлука с психологом или другим</w:t>
      </w:r>
      <w:r>
        <w:rPr>
          <w:color w:val="231F20"/>
          <w:spacing w:val="-13"/>
        </w:rPr>
        <w:t> </w:t>
      </w:r>
      <w:r>
        <w:rPr>
          <w:color w:val="231F20"/>
        </w:rPr>
        <w:t>значимым</w:t>
      </w:r>
      <w:r>
        <w:rPr>
          <w:color w:val="231F20"/>
          <w:spacing w:val="-12"/>
        </w:rPr>
        <w:t> </w:t>
      </w:r>
      <w:r>
        <w:rPr>
          <w:color w:val="231F20"/>
        </w:rPr>
        <w:t>человеком,</w:t>
      </w:r>
      <w:r>
        <w:rPr>
          <w:color w:val="231F20"/>
          <w:spacing w:val="-13"/>
        </w:rPr>
        <w:t> </w:t>
      </w:r>
      <w:r>
        <w:rPr>
          <w:color w:val="231F20"/>
        </w:rPr>
        <w:t>с</w:t>
      </w:r>
      <w:r>
        <w:rPr>
          <w:color w:val="231F20"/>
          <w:spacing w:val="-12"/>
        </w:rPr>
        <w:t> </w:t>
      </w:r>
      <w:r>
        <w:rPr>
          <w:color w:val="231F20"/>
        </w:rPr>
        <w:t>которым</w:t>
      </w:r>
      <w:r>
        <w:rPr>
          <w:color w:val="231F20"/>
          <w:spacing w:val="-13"/>
        </w:rPr>
        <w:t> </w:t>
      </w:r>
      <w:r>
        <w:rPr>
          <w:color w:val="231F20"/>
        </w:rPr>
        <w:t>у</w:t>
      </w:r>
      <w:r>
        <w:rPr>
          <w:color w:val="231F20"/>
          <w:spacing w:val="-12"/>
        </w:rPr>
        <w:t> </w:t>
      </w:r>
      <w:r>
        <w:rPr>
          <w:color w:val="231F20"/>
        </w:rPr>
        <w:t>ребенка</w:t>
      </w:r>
      <w:r>
        <w:rPr>
          <w:color w:val="231F20"/>
          <w:spacing w:val="-13"/>
        </w:rPr>
        <w:t> </w:t>
      </w:r>
      <w:r>
        <w:rPr>
          <w:color w:val="231F20"/>
        </w:rPr>
        <w:t>выстроились</w:t>
      </w:r>
      <w:r>
        <w:rPr>
          <w:color w:val="231F20"/>
          <w:spacing w:val="-12"/>
        </w:rPr>
        <w:t> </w:t>
      </w:r>
      <w:r>
        <w:rPr>
          <w:color w:val="231F20"/>
        </w:rPr>
        <w:t>доверительные</w:t>
      </w:r>
      <w:r>
        <w:rPr>
          <w:color w:val="231F20"/>
          <w:spacing w:val="-13"/>
        </w:rPr>
        <w:t> </w:t>
      </w:r>
      <w:r>
        <w:rPr>
          <w:color w:val="231F20"/>
        </w:rPr>
        <w:t>отно- шения,</w:t>
      </w:r>
      <w:r>
        <w:rPr>
          <w:color w:val="231F20"/>
          <w:spacing w:val="-2"/>
        </w:rPr>
        <w:t> </w:t>
      </w:r>
      <w:r>
        <w:rPr>
          <w:color w:val="231F20"/>
        </w:rPr>
        <w:t>найдите</w:t>
      </w:r>
      <w:r>
        <w:rPr>
          <w:color w:val="231F20"/>
          <w:spacing w:val="-2"/>
        </w:rPr>
        <w:t> </w:t>
      </w:r>
      <w:r>
        <w:rPr>
          <w:color w:val="231F20"/>
        </w:rPr>
        <w:t>возможность</w:t>
      </w:r>
      <w:r>
        <w:rPr>
          <w:color w:val="231F20"/>
          <w:spacing w:val="-2"/>
        </w:rPr>
        <w:t> </w:t>
      </w:r>
      <w:r>
        <w:rPr>
          <w:color w:val="231F20"/>
        </w:rPr>
        <w:t>встретиться</w:t>
      </w:r>
      <w:r>
        <w:rPr>
          <w:color w:val="231F20"/>
          <w:spacing w:val="-2"/>
        </w:rPr>
        <w:t> </w:t>
      </w:r>
      <w:r>
        <w:rPr>
          <w:color w:val="231F20"/>
        </w:rPr>
        <w:t>с</w:t>
      </w:r>
      <w:r>
        <w:rPr>
          <w:color w:val="231F20"/>
          <w:spacing w:val="-2"/>
        </w:rPr>
        <w:t> </w:t>
      </w:r>
      <w:r>
        <w:rPr>
          <w:color w:val="231F20"/>
        </w:rPr>
        <w:t>ним</w:t>
      </w:r>
      <w:r>
        <w:rPr>
          <w:color w:val="231F20"/>
          <w:spacing w:val="-2"/>
        </w:rPr>
        <w:t> </w:t>
      </w:r>
      <w:r>
        <w:rPr>
          <w:color w:val="231F20"/>
        </w:rPr>
        <w:t>перед</w:t>
      </w:r>
      <w:r>
        <w:rPr>
          <w:color w:val="231F20"/>
          <w:spacing w:val="-2"/>
        </w:rPr>
        <w:t> </w:t>
      </w:r>
      <w:r>
        <w:rPr>
          <w:color w:val="231F20"/>
        </w:rPr>
        <w:t>отъездом.</w:t>
      </w:r>
      <w:r>
        <w:rPr>
          <w:color w:val="231F20"/>
          <w:spacing w:val="-2"/>
        </w:rPr>
        <w:t> </w:t>
      </w:r>
      <w:r>
        <w:rPr>
          <w:color w:val="231F20"/>
        </w:rPr>
        <w:t>Пусть</w:t>
      </w:r>
      <w:r>
        <w:rPr>
          <w:color w:val="231F20"/>
          <w:spacing w:val="-2"/>
        </w:rPr>
        <w:t> </w:t>
      </w:r>
      <w:r>
        <w:rPr>
          <w:color w:val="231F20"/>
        </w:rPr>
        <w:t>ребенок</w:t>
      </w:r>
      <w:r>
        <w:rPr>
          <w:color w:val="231F20"/>
          <w:spacing w:val="-2"/>
        </w:rPr>
        <w:t> </w:t>
      </w:r>
      <w:r>
        <w:rPr>
          <w:color w:val="231F20"/>
        </w:rPr>
        <w:t>смо- </w:t>
      </w:r>
      <w:r>
        <w:rPr>
          <w:color w:val="231F20"/>
          <w:spacing w:val="-2"/>
        </w:rPr>
        <w:t>жет</w:t>
      </w:r>
      <w:r>
        <w:rPr>
          <w:color w:val="231F20"/>
          <w:spacing w:val="-4"/>
        </w:rPr>
        <w:t> </w:t>
      </w:r>
      <w:r>
        <w:rPr>
          <w:color w:val="231F20"/>
          <w:spacing w:val="-2"/>
        </w:rPr>
        <w:t>выразить</w:t>
      </w:r>
      <w:r>
        <w:rPr>
          <w:color w:val="231F20"/>
          <w:spacing w:val="-4"/>
        </w:rPr>
        <w:t> </w:t>
      </w:r>
      <w:r>
        <w:rPr>
          <w:color w:val="231F20"/>
          <w:spacing w:val="-2"/>
        </w:rPr>
        <w:t>свои</w:t>
      </w:r>
      <w:r>
        <w:rPr>
          <w:color w:val="231F20"/>
          <w:spacing w:val="-4"/>
        </w:rPr>
        <w:t> </w:t>
      </w:r>
      <w:r>
        <w:rPr>
          <w:color w:val="231F20"/>
          <w:spacing w:val="-2"/>
        </w:rPr>
        <w:t>опасения</w:t>
      </w:r>
      <w:r>
        <w:rPr>
          <w:color w:val="231F20"/>
          <w:spacing w:val="-4"/>
        </w:rPr>
        <w:t> </w:t>
      </w:r>
      <w:r>
        <w:rPr>
          <w:color w:val="231F20"/>
          <w:spacing w:val="-2"/>
        </w:rPr>
        <w:t>и</w:t>
      </w:r>
      <w:r>
        <w:rPr>
          <w:color w:val="231F20"/>
          <w:spacing w:val="-4"/>
        </w:rPr>
        <w:t> </w:t>
      </w:r>
      <w:r>
        <w:rPr>
          <w:color w:val="231F20"/>
          <w:spacing w:val="-2"/>
        </w:rPr>
        <w:t>переживания.</w:t>
      </w:r>
      <w:r>
        <w:rPr>
          <w:color w:val="231F20"/>
          <w:spacing w:val="-4"/>
        </w:rPr>
        <w:t> </w:t>
      </w:r>
      <w:r>
        <w:rPr>
          <w:color w:val="231F20"/>
          <w:spacing w:val="-2"/>
        </w:rPr>
        <w:t>Обсудите,</w:t>
      </w:r>
      <w:r>
        <w:rPr>
          <w:color w:val="231F20"/>
          <w:spacing w:val="-4"/>
        </w:rPr>
        <w:t> </w:t>
      </w:r>
      <w:r>
        <w:rPr>
          <w:color w:val="231F20"/>
          <w:spacing w:val="-2"/>
        </w:rPr>
        <w:t>есть</w:t>
      </w:r>
      <w:r>
        <w:rPr>
          <w:color w:val="231F20"/>
          <w:spacing w:val="-4"/>
        </w:rPr>
        <w:t> </w:t>
      </w:r>
      <w:r>
        <w:rPr>
          <w:color w:val="231F20"/>
          <w:spacing w:val="-2"/>
        </w:rPr>
        <w:t>ли</w:t>
      </w:r>
      <w:r>
        <w:rPr>
          <w:color w:val="231F20"/>
          <w:spacing w:val="-4"/>
        </w:rPr>
        <w:t> </w:t>
      </w:r>
      <w:r>
        <w:rPr>
          <w:color w:val="231F20"/>
          <w:spacing w:val="-2"/>
        </w:rPr>
        <w:t>возможность</w:t>
      </w:r>
      <w:r>
        <w:rPr>
          <w:color w:val="231F20"/>
          <w:spacing w:val="-4"/>
        </w:rPr>
        <w:t> </w:t>
      </w:r>
      <w:r>
        <w:rPr>
          <w:color w:val="231F20"/>
          <w:spacing w:val="-2"/>
        </w:rPr>
        <w:t>и</w:t>
      </w:r>
      <w:r>
        <w:rPr>
          <w:color w:val="231F20"/>
          <w:spacing w:val="-4"/>
        </w:rPr>
        <w:t> </w:t>
      </w:r>
      <w:r>
        <w:rPr>
          <w:color w:val="231F20"/>
          <w:spacing w:val="-2"/>
        </w:rPr>
        <w:t>необхо- </w:t>
      </w:r>
      <w:r>
        <w:rPr>
          <w:color w:val="231F20"/>
        </w:rPr>
        <w:t>димость</w:t>
      </w:r>
      <w:r>
        <w:rPr>
          <w:color w:val="231F20"/>
          <w:spacing w:val="-11"/>
        </w:rPr>
        <w:t> </w:t>
      </w:r>
      <w:r>
        <w:rPr>
          <w:color w:val="231F20"/>
        </w:rPr>
        <w:t>общаться</w:t>
      </w:r>
      <w:r>
        <w:rPr>
          <w:color w:val="231F20"/>
          <w:spacing w:val="-11"/>
        </w:rPr>
        <w:t> </w:t>
      </w:r>
      <w:r>
        <w:rPr>
          <w:color w:val="231F20"/>
        </w:rPr>
        <w:t>во</w:t>
      </w:r>
      <w:r>
        <w:rPr>
          <w:color w:val="231F20"/>
          <w:spacing w:val="-11"/>
        </w:rPr>
        <w:t> </w:t>
      </w:r>
      <w:r>
        <w:rPr>
          <w:color w:val="231F20"/>
        </w:rPr>
        <w:t>время</w:t>
      </w:r>
      <w:r>
        <w:rPr>
          <w:color w:val="231F20"/>
          <w:spacing w:val="-11"/>
        </w:rPr>
        <w:t> </w:t>
      </w:r>
      <w:r>
        <w:rPr>
          <w:color w:val="231F20"/>
        </w:rPr>
        <w:t>разлуки,</w:t>
      </w:r>
      <w:r>
        <w:rPr>
          <w:color w:val="231F20"/>
          <w:spacing w:val="-11"/>
        </w:rPr>
        <w:t> </w:t>
      </w:r>
      <w:r>
        <w:rPr>
          <w:color w:val="231F20"/>
        </w:rPr>
        <w:t>и</w:t>
      </w:r>
      <w:r>
        <w:rPr>
          <w:color w:val="231F20"/>
          <w:spacing w:val="-10"/>
        </w:rPr>
        <w:t> </w:t>
      </w:r>
      <w:r>
        <w:rPr>
          <w:color w:val="231F20"/>
        </w:rPr>
        <w:t>каким</w:t>
      </w:r>
      <w:r>
        <w:rPr>
          <w:color w:val="231F20"/>
          <w:spacing w:val="-11"/>
        </w:rPr>
        <w:t> </w:t>
      </w:r>
      <w:r>
        <w:rPr>
          <w:color w:val="231F20"/>
        </w:rPr>
        <w:t>образом</w:t>
      </w:r>
      <w:r>
        <w:rPr>
          <w:color w:val="231F20"/>
          <w:spacing w:val="-11"/>
        </w:rPr>
        <w:t> </w:t>
      </w:r>
      <w:r>
        <w:rPr>
          <w:color w:val="231F20"/>
        </w:rPr>
        <w:t>вы</w:t>
      </w:r>
      <w:r>
        <w:rPr>
          <w:color w:val="231F20"/>
          <w:spacing w:val="-11"/>
        </w:rPr>
        <w:t> </w:t>
      </w:r>
      <w:r>
        <w:rPr>
          <w:color w:val="231F20"/>
        </w:rPr>
        <w:t>можете</w:t>
      </w:r>
      <w:r>
        <w:rPr>
          <w:color w:val="231F20"/>
          <w:spacing w:val="-11"/>
        </w:rPr>
        <w:t> </w:t>
      </w:r>
      <w:r>
        <w:rPr>
          <w:color w:val="231F20"/>
        </w:rPr>
        <w:t>поддерживать</w:t>
      </w:r>
      <w:r>
        <w:rPr>
          <w:color w:val="231F20"/>
          <w:spacing w:val="-11"/>
        </w:rPr>
        <w:t> </w:t>
      </w:r>
      <w:r>
        <w:rPr>
          <w:color w:val="231F20"/>
          <w:spacing w:val="-2"/>
        </w:rPr>
        <w:t>связь.</w:t>
      </w:r>
    </w:p>
    <w:p>
      <w:pPr>
        <w:numPr>
          <w:ilvl w:val="1"/>
          <w:numId w:val="63"/>
        </w:numPr>
        <w:tabs>
          <w:tab w:pos="680" w:val="left" w:leader="none"/>
        </w:tabs>
        <w:spacing w:line="228" w:lineRule="exact" w:before="115"/>
        <w:ind w:left="680" w:right="0" w:hanging="255"/>
        <w:jc w:val="both"/>
        <w:rPr>
          <w:b/>
          <w:sz w:val="20"/>
        </w:rPr>
      </w:pPr>
      <w:r>
        <w:rPr>
          <w:b/>
          <w:color w:val="231F20"/>
          <w:sz w:val="20"/>
        </w:rPr>
        <w:t>Симптомы,</w:t>
      </w:r>
      <w:r>
        <w:rPr>
          <w:b/>
          <w:color w:val="231F20"/>
          <w:spacing w:val="-6"/>
          <w:sz w:val="20"/>
        </w:rPr>
        <w:t> </w:t>
      </w:r>
      <w:r>
        <w:rPr>
          <w:b/>
          <w:color w:val="231F20"/>
          <w:sz w:val="20"/>
        </w:rPr>
        <w:t>проявляющиеся</w:t>
      </w:r>
      <w:r>
        <w:rPr>
          <w:b/>
          <w:color w:val="231F20"/>
          <w:spacing w:val="-5"/>
          <w:sz w:val="20"/>
        </w:rPr>
        <w:t> </w:t>
      </w:r>
      <w:r>
        <w:rPr>
          <w:b/>
          <w:color w:val="231F20"/>
          <w:sz w:val="20"/>
        </w:rPr>
        <w:t>на</w:t>
      </w:r>
      <w:r>
        <w:rPr>
          <w:b/>
          <w:color w:val="231F20"/>
          <w:spacing w:val="-5"/>
          <w:sz w:val="20"/>
        </w:rPr>
        <w:t> </w:t>
      </w:r>
      <w:r>
        <w:rPr>
          <w:b/>
          <w:color w:val="231F20"/>
          <w:sz w:val="20"/>
        </w:rPr>
        <w:t>уровне</w:t>
      </w:r>
      <w:r>
        <w:rPr>
          <w:b/>
          <w:color w:val="231F20"/>
          <w:spacing w:val="-5"/>
          <w:sz w:val="20"/>
        </w:rPr>
        <w:t> </w:t>
      </w:r>
      <w:r>
        <w:rPr>
          <w:b/>
          <w:color w:val="231F20"/>
          <w:spacing w:val="-4"/>
          <w:sz w:val="20"/>
        </w:rPr>
        <w:t>тела</w:t>
      </w:r>
    </w:p>
    <w:p>
      <w:pPr>
        <w:pStyle w:val="BodyText"/>
        <w:spacing w:line="235" w:lineRule="auto" w:before="2"/>
        <w:ind w:right="140"/>
      </w:pPr>
      <w:r>
        <w:rPr>
          <w:color w:val="231F20"/>
        </w:rPr>
        <w:t>Важно</w:t>
      </w:r>
      <w:r>
        <w:rPr>
          <w:color w:val="231F20"/>
          <w:spacing w:val="-5"/>
        </w:rPr>
        <w:t> </w:t>
      </w:r>
      <w:r>
        <w:rPr>
          <w:color w:val="231F20"/>
        </w:rPr>
        <w:t>учитывать</w:t>
      </w:r>
      <w:r>
        <w:rPr>
          <w:color w:val="231F20"/>
          <w:spacing w:val="-5"/>
        </w:rPr>
        <w:t> </w:t>
      </w:r>
      <w:r>
        <w:rPr>
          <w:color w:val="231F20"/>
        </w:rPr>
        <w:t>пожелания</w:t>
      </w:r>
      <w:r>
        <w:rPr>
          <w:color w:val="231F20"/>
          <w:spacing w:val="-5"/>
        </w:rPr>
        <w:t> </w:t>
      </w:r>
      <w:r>
        <w:rPr>
          <w:color w:val="231F20"/>
        </w:rPr>
        <w:t>ребенка</w:t>
      </w:r>
      <w:r>
        <w:rPr>
          <w:color w:val="231F20"/>
          <w:spacing w:val="-5"/>
        </w:rPr>
        <w:t> </w:t>
      </w:r>
      <w:r>
        <w:rPr>
          <w:color w:val="231F20"/>
        </w:rPr>
        <w:t>носить</w:t>
      </w:r>
      <w:r>
        <w:rPr>
          <w:color w:val="231F20"/>
          <w:spacing w:val="-5"/>
        </w:rPr>
        <w:t> </w:t>
      </w:r>
      <w:r>
        <w:rPr>
          <w:color w:val="231F20"/>
        </w:rPr>
        <w:t>удобную,</w:t>
      </w:r>
      <w:r>
        <w:rPr>
          <w:color w:val="231F20"/>
          <w:spacing w:val="-5"/>
        </w:rPr>
        <w:t> </w:t>
      </w:r>
      <w:r>
        <w:rPr>
          <w:color w:val="231F20"/>
        </w:rPr>
        <w:t>не</w:t>
      </w:r>
      <w:r>
        <w:rPr>
          <w:color w:val="231F20"/>
          <w:spacing w:val="-5"/>
        </w:rPr>
        <w:t> </w:t>
      </w:r>
      <w:r>
        <w:rPr>
          <w:color w:val="231F20"/>
        </w:rPr>
        <w:t>обтягивающую</w:t>
      </w:r>
      <w:r>
        <w:rPr>
          <w:color w:val="231F20"/>
          <w:spacing w:val="-5"/>
        </w:rPr>
        <w:t> </w:t>
      </w:r>
      <w:r>
        <w:rPr>
          <w:color w:val="231F20"/>
        </w:rPr>
        <w:t>одежду из натуральных материалов.</w:t>
      </w:r>
    </w:p>
    <w:p>
      <w:pPr>
        <w:pStyle w:val="BodyText"/>
        <w:spacing w:line="235" w:lineRule="auto" w:before="1"/>
      </w:pPr>
      <w:r>
        <w:rPr>
          <w:color w:val="231F20"/>
        </w:rPr>
        <w:t>Обращать</w:t>
      </w:r>
      <w:r>
        <w:rPr>
          <w:color w:val="231F20"/>
          <w:spacing w:val="-6"/>
        </w:rPr>
        <w:t> </w:t>
      </w:r>
      <w:r>
        <w:rPr>
          <w:color w:val="231F20"/>
        </w:rPr>
        <w:t>внимание</w:t>
      </w:r>
      <w:r>
        <w:rPr>
          <w:color w:val="231F20"/>
          <w:spacing w:val="-6"/>
        </w:rPr>
        <w:t> </w:t>
      </w:r>
      <w:r>
        <w:rPr>
          <w:color w:val="231F20"/>
        </w:rPr>
        <w:t>на</w:t>
      </w:r>
      <w:r>
        <w:rPr>
          <w:color w:val="231F20"/>
          <w:spacing w:val="-6"/>
        </w:rPr>
        <w:t> </w:t>
      </w:r>
      <w:r>
        <w:rPr>
          <w:color w:val="231F20"/>
        </w:rPr>
        <w:t>нагрузку</w:t>
      </w:r>
      <w:r>
        <w:rPr>
          <w:color w:val="231F20"/>
          <w:spacing w:val="-6"/>
        </w:rPr>
        <w:t> </w:t>
      </w:r>
      <w:r>
        <w:rPr>
          <w:color w:val="231F20"/>
        </w:rPr>
        <w:t>ребенка</w:t>
      </w:r>
      <w:r>
        <w:rPr>
          <w:color w:val="231F20"/>
          <w:spacing w:val="-6"/>
        </w:rPr>
        <w:t> </w:t>
      </w:r>
      <w:r>
        <w:rPr>
          <w:color w:val="231F20"/>
        </w:rPr>
        <w:t>в</w:t>
      </w:r>
      <w:r>
        <w:rPr>
          <w:color w:val="231F20"/>
          <w:spacing w:val="-6"/>
        </w:rPr>
        <w:t> </w:t>
      </w:r>
      <w:r>
        <w:rPr>
          <w:color w:val="231F20"/>
        </w:rPr>
        <w:t>течение</w:t>
      </w:r>
      <w:r>
        <w:rPr>
          <w:color w:val="231F20"/>
          <w:spacing w:val="-6"/>
        </w:rPr>
        <w:t> </w:t>
      </w:r>
      <w:r>
        <w:rPr>
          <w:color w:val="231F20"/>
        </w:rPr>
        <w:t>дня</w:t>
      </w:r>
      <w:r>
        <w:rPr>
          <w:color w:val="231F20"/>
          <w:spacing w:val="-6"/>
        </w:rPr>
        <w:t> </w:t>
      </w:r>
      <w:r>
        <w:rPr>
          <w:color w:val="231F20"/>
        </w:rPr>
        <w:t>и</w:t>
      </w:r>
      <w:r>
        <w:rPr>
          <w:color w:val="231F20"/>
          <w:spacing w:val="-6"/>
        </w:rPr>
        <w:t> </w:t>
      </w:r>
      <w:r>
        <w:rPr>
          <w:color w:val="231F20"/>
        </w:rPr>
        <w:t>качество</w:t>
      </w:r>
      <w:r>
        <w:rPr>
          <w:color w:val="231F20"/>
          <w:spacing w:val="-6"/>
        </w:rPr>
        <w:t> </w:t>
      </w:r>
      <w:r>
        <w:rPr>
          <w:color w:val="231F20"/>
        </w:rPr>
        <w:t>его</w:t>
      </w:r>
      <w:r>
        <w:rPr>
          <w:color w:val="231F20"/>
          <w:spacing w:val="-6"/>
        </w:rPr>
        <w:t> </w:t>
      </w:r>
      <w:r>
        <w:rPr>
          <w:color w:val="231F20"/>
        </w:rPr>
        <w:t>сна</w:t>
      </w:r>
      <w:r>
        <w:rPr>
          <w:color w:val="231F20"/>
          <w:spacing w:val="-6"/>
        </w:rPr>
        <w:t> </w:t>
      </w:r>
      <w:r>
        <w:rPr>
          <w:color w:val="231F20"/>
        </w:rPr>
        <w:t>и</w:t>
      </w:r>
      <w:r>
        <w:rPr>
          <w:color w:val="231F20"/>
          <w:spacing w:val="-6"/>
        </w:rPr>
        <w:t> </w:t>
      </w:r>
      <w:r>
        <w:rPr>
          <w:color w:val="231F20"/>
        </w:rPr>
        <w:t>отды- ха. Если стресс и тревога окажутся чрезмерными, количество болезней будет расти. Это отдельная и очень важная часть работы с психологом – установление и поддер- жание чувства безопасности, снижение страхов и тревоги.</w:t>
      </w:r>
    </w:p>
    <w:p>
      <w:pPr>
        <w:pStyle w:val="BodyText"/>
        <w:spacing w:line="235" w:lineRule="auto" w:before="3"/>
      </w:pPr>
      <w:r>
        <w:rPr>
          <w:color w:val="231F20"/>
        </w:rPr>
        <w:t>В зависимости от индивидуальных особенностей ребенка необходимо привле- кать</w:t>
      </w:r>
      <w:r>
        <w:rPr>
          <w:color w:val="231F20"/>
          <w:spacing w:val="-11"/>
        </w:rPr>
        <w:t> </w:t>
      </w:r>
      <w:r>
        <w:rPr>
          <w:color w:val="231F20"/>
        </w:rPr>
        <w:t>его</w:t>
      </w:r>
      <w:r>
        <w:rPr>
          <w:color w:val="231F20"/>
          <w:spacing w:val="-11"/>
        </w:rPr>
        <w:t> </w:t>
      </w:r>
      <w:r>
        <w:rPr>
          <w:color w:val="231F20"/>
        </w:rPr>
        <w:t>к</w:t>
      </w:r>
      <w:r>
        <w:rPr>
          <w:color w:val="231F20"/>
          <w:spacing w:val="-11"/>
        </w:rPr>
        <w:t> </w:t>
      </w:r>
      <w:r>
        <w:rPr>
          <w:color w:val="231F20"/>
        </w:rPr>
        <w:t>соответствующей</w:t>
      </w:r>
      <w:r>
        <w:rPr>
          <w:color w:val="231F20"/>
          <w:spacing w:val="-11"/>
        </w:rPr>
        <w:t> </w:t>
      </w:r>
      <w:r>
        <w:rPr>
          <w:color w:val="231F20"/>
        </w:rPr>
        <w:t>уровню</w:t>
      </w:r>
      <w:r>
        <w:rPr>
          <w:color w:val="231F20"/>
          <w:spacing w:val="-11"/>
        </w:rPr>
        <w:t> </w:t>
      </w:r>
      <w:r>
        <w:rPr>
          <w:color w:val="231F20"/>
        </w:rPr>
        <w:t>здоровья</w:t>
      </w:r>
      <w:r>
        <w:rPr>
          <w:color w:val="231F20"/>
          <w:spacing w:val="-11"/>
        </w:rPr>
        <w:t> </w:t>
      </w:r>
      <w:r>
        <w:rPr>
          <w:color w:val="231F20"/>
        </w:rPr>
        <w:t>и</w:t>
      </w:r>
      <w:r>
        <w:rPr>
          <w:color w:val="231F20"/>
          <w:spacing w:val="-11"/>
        </w:rPr>
        <w:t> </w:t>
      </w:r>
      <w:r>
        <w:rPr>
          <w:color w:val="231F20"/>
        </w:rPr>
        <w:t>темпераменту</w:t>
      </w:r>
      <w:r>
        <w:rPr>
          <w:color w:val="231F20"/>
          <w:spacing w:val="-11"/>
        </w:rPr>
        <w:t> </w:t>
      </w:r>
      <w:r>
        <w:rPr>
          <w:color w:val="231F20"/>
        </w:rPr>
        <w:t>посильной</w:t>
      </w:r>
      <w:r>
        <w:rPr>
          <w:color w:val="231F20"/>
          <w:spacing w:val="-11"/>
        </w:rPr>
        <w:t> </w:t>
      </w:r>
      <w:r>
        <w:rPr>
          <w:color w:val="231F20"/>
        </w:rPr>
        <w:t>физической нагрузке. Использовать практики расслабления перед сном – теплый душ, поглажи- вание, объятия. Вместе изучить и постоянно использовать практики совладания со стрессом и тревогой.</w:t>
      </w:r>
    </w:p>
    <w:p>
      <w:pPr>
        <w:numPr>
          <w:ilvl w:val="1"/>
          <w:numId w:val="63"/>
        </w:numPr>
        <w:tabs>
          <w:tab w:pos="758" w:val="left" w:leader="none"/>
        </w:tabs>
        <w:spacing w:line="228" w:lineRule="exact" w:before="113"/>
        <w:ind w:left="758" w:right="0" w:hanging="333"/>
        <w:jc w:val="both"/>
        <w:rPr>
          <w:b/>
          <w:sz w:val="20"/>
        </w:rPr>
      </w:pPr>
      <w:r>
        <w:rPr>
          <w:b/>
          <w:color w:val="231F20"/>
          <w:sz w:val="20"/>
        </w:rPr>
        <w:t>Симптомы,</w:t>
      </w:r>
      <w:r>
        <w:rPr>
          <w:b/>
          <w:color w:val="231F20"/>
          <w:spacing w:val="-6"/>
          <w:sz w:val="20"/>
        </w:rPr>
        <w:t> </w:t>
      </w:r>
      <w:r>
        <w:rPr>
          <w:b/>
          <w:color w:val="231F20"/>
          <w:sz w:val="20"/>
        </w:rPr>
        <w:t>проявляющиеся</w:t>
      </w:r>
      <w:r>
        <w:rPr>
          <w:b/>
          <w:color w:val="231F20"/>
          <w:spacing w:val="-5"/>
          <w:sz w:val="20"/>
        </w:rPr>
        <w:t> </w:t>
      </w:r>
      <w:r>
        <w:rPr>
          <w:b/>
          <w:color w:val="231F20"/>
          <w:sz w:val="20"/>
        </w:rPr>
        <w:t>в</w:t>
      </w:r>
      <w:r>
        <w:rPr>
          <w:b/>
          <w:color w:val="231F20"/>
          <w:spacing w:val="-6"/>
          <w:sz w:val="20"/>
        </w:rPr>
        <w:t> </w:t>
      </w:r>
      <w:r>
        <w:rPr>
          <w:b/>
          <w:color w:val="231F20"/>
          <w:sz w:val="20"/>
        </w:rPr>
        <w:t>сложности</w:t>
      </w:r>
      <w:r>
        <w:rPr>
          <w:b/>
          <w:color w:val="231F20"/>
          <w:spacing w:val="-6"/>
          <w:sz w:val="20"/>
        </w:rPr>
        <w:t> </w:t>
      </w:r>
      <w:r>
        <w:rPr>
          <w:b/>
          <w:color w:val="231F20"/>
          <w:sz w:val="20"/>
        </w:rPr>
        <w:t>к</w:t>
      </w:r>
      <w:r>
        <w:rPr>
          <w:b/>
          <w:color w:val="231F20"/>
          <w:spacing w:val="-6"/>
          <w:sz w:val="20"/>
        </w:rPr>
        <w:t> </w:t>
      </w:r>
      <w:r>
        <w:rPr>
          <w:b/>
          <w:color w:val="231F20"/>
          <w:spacing w:val="-2"/>
          <w:sz w:val="20"/>
        </w:rPr>
        <w:t>саморегуляции</w:t>
      </w:r>
    </w:p>
    <w:p>
      <w:pPr>
        <w:pStyle w:val="BodyText"/>
        <w:spacing w:line="235" w:lineRule="auto" w:before="1"/>
      </w:pPr>
      <w:r>
        <w:rPr>
          <w:color w:val="231F20"/>
        </w:rPr>
        <w:t>Если ребенок демонстрирует такие симптомы, с точки зрения травма-информи- рованного</w:t>
      </w:r>
      <w:r>
        <w:rPr>
          <w:color w:val="231F20"/>
          <w:spacing w:val="-8"/>
        </w:rPr>
        <w:t> </w:t>
      </w:r>
      <w:r>
        <w:rPr>
          <w:color w:val="231F20"/>
        </w:rPr>
        <w:t>подхода,</w:t>
      </w:r>
      <w:r>
        <w:rPr>
          <w:color w:val="231F20"/>
          <w:spacing w:val="-8"/>
        </w:rPr>
        <w:t> </w:t>
      </w:r>
      <w:r>
        <w:rPr>
          <w:color w:val="231F20"/>
        </w:rPr>
        <w:t>человеку</w:t>
      </w:r>
      <w:r>
        <w:rPr>
          <w:color w:val="231F20"/>
          <w:spacing w:val="-8"/>
        </w:rPr>
        <w:t> </w:t>
      </w:r>
      <w:r>
        <w:rPr>
          <w:color w:val="231F20"/>
        </w:rPr>
        <w:t>рядом</w:t>
      </w:r>
      <w:r>
        <w:rPr>
          <w:color w:val="231F20"/>
          <w:spacing w:val="-8"/>
        </w:rPr>
        <w:t> </w:t>
      </w:r>
      <w:r>
        <w:rPr>
          <w:color w:val="231F20"/>
        </w:rPr>
        <w:t>достаточно</w:t>
      </w:r>
      <w:r>
        <w:rPr>
          <w:color w:val="231F20"/>
          <w:spacing w:val="-8"/>
        </w:rPr>
        <w:t> </w:t>
      </w:r>
      <w:r>
        <w:rPr>
          <w:color w:val="231F20"/>
        </w:rPr>
        <w:t>просто</w:t>
      </w:r>
      <w:r>
        <w:rPr>
          <w:color w:val="231F20"/>
          <w:spacing w:val="-8"/>
        </w:rPr>
        <w:t> </w:t>
      </w:r>
      <w:r>
        <w:rPr>
          <w:color w:val="231F20"/>
        </w:rPr>
        <w:t>заговорить</w:t>
      </w:r>
      <w:r>
        <w:rPr>
          <w:color w:val="231F20"/>
          <w:spacing w:val="-8"/>
        </w:rPr>
        <w:t> </w:t>
      </w:r>
      <w:r>
        <w:rPr>
          <w:color w:val="231F20"/>
        </w:rPr>
        <w:t>с</w:t>
      </w:r>
      <w:r>
        <w:rPr>
          <w:color w:val="231F20"/>
          <w:spacing w:val="-8"/>
        </w:rPr>
        <w:t> </w:t>
      </w:r>
      <w:r>
        <w:rPr>
          <w:color w:val="231F20"/>
        </w:rPr>
        <w:t>таким</w:t>
      </w:r>
      <w:r>
        <w:rPr>
          <w:color w:val="231F20"/>
          <w:spacing w:val="-8"/>
        </w:rPr>
        <w:t> </w:t>
      </w:r>
      <w:r>
        <w:rPr>
          <w:color w:val="231F20"/>
        </w:rPr>
        <w:t>ребенком, выразить</w:t>
      </w:r>
      <w:r>
        <w:rPr>
          <w:color w:val="231F20"/>
          <w:spacing w:val="-13"/>
        </w:rPr>
        <w:t> </w:t>
      </w:r>
      <w:r>
        <w:rPr>
          <w:color w:val="231F20"/>
        </w:rPr>
        <w:t>свою</w:t>
      </w:r>
      <w:r>
        <w:rPr>
          <w:color w:val="231F20"/>
          <w:spacing w:val="-12"/>
        </w:rPr>
        <w:t> </w:t>
      </w:r>
      <w:r>
        <w:rPr>
          <w:color w:val="231F20"/>
        </w:rPr>
        <w:t>готовность</w:t>
      </w:r>
      <w:r>
        <w:rPr>
          <w:color w:val="231F20"/>
          <w:spacing w:val="-13"/>
        </w:rPr>
        <w:t> </w:t>
      </w:r>
      <w:r>
        <w:rPr>
          <w:color w:val="231F20"/>
        </w:rPr>
        <w:t>помочь,</w:t>
      </w:r>
      <w:r>
        <w:rPr>
          <w:color w:val="231F20"/>
          <w:spacing w:val="-12"/>
        </w:rPr>
        <w:t> </w:t>
      </w:r>
      <w:r>
        <w:rPr>
          <w:color w:val="231F20"/>
        </w:rPr>
        <w:t>предложить</w:t>
      </w:r>
      <w:r>
        <w:rPr>
          <w:color w:val="231F20"/>
          <w:spacing w:val="-13"/>
        </w:rPr>
        <w:t> </w:t>
      </w:r>
      <w:r>
        <w:rPr>
          <w:color w:val="231F20"/>
        </w:rPr>
        <w:t>воды</w:t>
      </w:r>
      <w:r>
        <w:rPr>
          <w:color w:val="231F20"/>
          <w:spacing w:val="-12"/>
        </w:rPr>
        <w:t> </w:t>
      </w:r>
      <w:r>
        <w:rPr>
          <w:color w:val="231F20"/>
        </w:rPr>
        <w:t>или</w:t>
      </w:r>
      <w:r>
        <w:rPr>
          <w:color w:val="231F20"/>
          <w:spacing w:val="-13"/>
        </w:rPr>
        <w:t> </w:t>
      </w:r>
      <w:r>
        <w:rPr>
          <w:color w:val="231F20"/>
        </w:rPr>
        <w:t>сменить</w:t>
      </w:r>
      <w:r>
        <w:rPr>
          <w:color w:val="231F20"/>
          <w:spacing w:val="-12"/>
        </w:rPr>
        <w:t> </w:t>
      </w:r>
      <w:r>
        <w:rPr>
          <w:color w:val="231F20"/>
        </w:rPr>
        <w:t>местоположение</w:t>
      </w:r>
      <w:r>
        <w:rPr>
          <w:color w:val="231F20"/>
          <w:spacing w:val="-13"/>
        </w:rPr>
        <w:t> </w:t>
      </w:r>
      <w:r>
        <w:rPr>
          <w:color w:val="231F20"/>
        </w:rPr>
        <w:t>на то, где будет безопасно по мнению ребенка.</w:t>
      </w:r>
    </w:p>
    <w:p>
      <w:pPr>
        <w:numPr>
          <w:ilvl w:val="1"/>
          <w:numId w:val="63"/>
        </w:numPr>
        <w:tabs>
          <w:tab w:pos="720" w:val="left" w:leader="none"/>
        </w:tabs>
        <w:spacing w:line="228" w:lineRule="exact" w:before="112"/>
        <w:ind w:left="720" w:right="0" w:hanging="295"/>
        <w:jc w:val="both"/>
        <w:rPr>
          <w:b/>
          <w:sz w:val="20"/>
        </w:rPr>
      </w:pPr>
      <w:r>
        <w:rPr>
          <w:b/>
          <w:color w:val="231F20"/>
          <w:sz w:val="20"/>
        </w:rPr>
        <w:t>Диссоциация</w:t>
      </w:r>
      <w:r>
        <w:rPr>
          <w:b/>
          <w:color w:val="231F20"/>
          <w:spacing w:val="-6"/>
          <w:sz w:val="20"/>
        </w:rPr>
        <w:t> </w:t>
      </w:r>
      <w:r>
        <w:rPr>
          <w:b/>
          <w:color w:val="231F20"/>
          <w:sz w:val="20"/>
        </w:rPr>
        <w:t>как</w:t>
      </w:r>
      <w:r>
        <w:rPr>
          <w:b/>
          <w:color w:val="231F20"/>
          <w:spacing w:val="-6"/>
          <w:sz w:val="20"/>
        </w:rPr>
        <w:t> </w:t>
      </w:r>
      <w:r>
        <w:rPr>
          <w:b/>
          <w:color w:val="231F20"/>
          <w:sz w:val="20"/>
        </w:rPr>
        <w:t>симптом</w:t>
      </w:r>
      <w:r>
        <w:rPr>
          <w:b/>
          <w:color w:val="231F20"/>
          <w:spacing w:val="-5"/>
          <w:sz w:val="20"/>
        </w:rPr>
        <w:t> </w:t>
      </w:r>
      <w:r>
        <w:rPr>
          <w:b/>
          <w:color w:val="231F20"/>
          <w:spacing w:val="-2"/>
          <w:sz w:val="20"/>
        </w:rPr>
        <w:t>травмы</w:t>
      </w:r>
    </w:p>
    <w:p>
      <w:pPr>
        <w:pStyle w:val="BodyText"/>
        <w:spacing w:line="235" w:lineRule="auto" w:before="2"/>
      </w:pPr>
      <w:r>
        <w:rPr>
          <w:color w:val="231F20"/>
        </w:rPr>
        <w:t>Как</w:t>
      </w:r>
      <w:r>
        <w:rPr>
          <w:color w:val="231F20"/>
          <w:spacing w:val="-4"/>
        </w:rPr>
        <w:t> </w:t>
      </w:r>
      <w:r>
        <w:rPr>
          <w:color w:val="231F20"/>
        </w:rPr>
        <w:t>поступать,</w:t>
      </w:r>
      <w:r>
        <w:rPr>
          <w:color w:val="231F20"/>
          <w:spacing w:val="-4"/>
        </w:rPr>
        <w:t> </w:t>
      </w:r>
      <w:r>
        <w:rPr>
          <w:color w:val="231F20"/>
        </w:rPr>
        <w:t>если</w:t>
      </w:r>
      <w:r>
        <w:rPr>
          <w:color w:val="231F20"/>
          <w:spacing w:val="-4"/>
        </w:rPr>
        <w:t> </w:t>
      </w:r>
      <w:r>
        <w:rPr>
          <w:color w:val="231F20"/>
        </w:rPr>
        <w:t>мы</w:t>
      </w:r>
      <w:r>
        <w:rPr>
          <w:color w:val="231F20"/>
          <w:spacing w:val="-4"/>
        </w:rPr>
        <w:t> </w:t>
      </w:r>
      <w:r>
        <w:rPr>
          <w:color w:val="231F20"/>
        </w:rPr>
        <w:t>заметили,</w:t>
      </w:r>
      <w:r>
        <w:rPr>
          <w:color w:val="231F20"/>
          <w:spacing w:val="-4"/>
        </w:rPr>
        <w:t> </w:t>
      </w:r>
      <w:r>
        <w:rPr>
          <w:color w:val="231F20"/>
        </w:rPr>
        <w:t>что</w:t>
      </w:r>
      <w:r>
        <w:rPr>
          <w:color w:val="231F20"/>
          <w:spacing w:val="-4"/>
        </w:rPr>
        <w:t> </w:t>
      </w:r>
      <w:r>
        <w:rPr>
          <w:color w:val="231F20"/>
        </w:rPr>
        <w:t>ребенок</w:t>
      </w:r>
      <w:r>
        <w:rPr>
          <w:color w:val="231F20"/>
          <w:spacing w:val="-4"/>
        </w:rPr>
        <w:t> </w:t>
      </w:r>
      <w:r>
        <w:rPr>
          <w:color w:val="231F20"/>
        </w:rPr>
        <w:t>проявляет</w:t>
      </w:r>
      <w:r>
        <w:rPr>
          <w:color w:val="231F20"/>
          <w:spacing w:val="-4"/>
        </w:rPr>
        <w:t> </w:t>
      </w:r>
      <w:r>
        <w:rPr>
          <w:color w:val="231F20"/>
        </w:rPr>
        <w:t>признаки</w:t>
      </w:r>
      <w:r>
        <w:rPr>
          <w:color w:val="231F20"/>
          <w:spacing w:val="-4"/>
        </w:rPr>
        <w:t> </w:t>
      </w:r>
      <w:r>
        <w:rPr>
          <w:color w:val="231F20"/>
        </w:rPr>
        <w:t>диссоциации? С точки зрения травма-информированного подхода, стоит учесть, что диссоциация случается в моменты повышенной интеллектуальной и эмоциональной нагрузки. Если вы заметили, что ребенку трудно удерживать внимание, переключите его на движения,</w:t>
      </w:r>
      <w:r>
        <w:rPr>
          <w:color w:val="231F20"/>
          <w:spacing w:val="18"/>
        </w:rPr>
        <w:t> </w:t>
      </w:r>
      <w:r>
        <w:rPr>
          <w:color w:val="231F20"/>
        </w:rPr>
        <w:t>игру,</w:t>
      </w:r>
      <w:r>
        <w:rPr>
          <w:color w:val="231F20"/>
          <w:spacing w:val="20"/>
        </w:rPr>
        <w:t> </w:t>
      </w:r>
      <w:r>
        <w:rPr>
          <w:color w:val="231F20"/>
        </w:rPr>
        <w:t>постарайтесь</w:t>
      </w:r>
      <w:r>
        <w:rPr>
          <w:color w:val="231F20"/>
          <w:spacing w:val="20"/>
        </w:rPr>
        <w:t> </w:t>
      </w:r>
      <w:r>
        <w:rPr>
          <w:color w:val="231F20"/>
        </w:rPr>
        <w:t>снять</w:t>
      </w:r>
      <w:r>
        <w:rPr>
          <w:color w:val="231F20"/>
          <w:spacing w:val="21"/>
        </w:rPr>
        <w:t> </w:t>
      </w:r>
      <w:r>
        <w:rPr>
          <w:color w:val="231F20"/>
        </w:rPr>
        <w:t>напряжение.</w:t>
      </w:r>
      <w:r>
        <w:rPr>
          <w:color w:val="231F20"/>
          <w:spacing w:val="20"/>
        </w:rPr>
        <w:t> </w:t>
      </w:r>
      <w:r>
        <w:rPr>
          <w:color w:val="231F20"/>
        </w:rPr>
        <w:t>Ни</w:t>
      </w:r>
      <w:r>
        <w:rPr>
          <w:color w:val="231F20"/>
          <w:spacing w:val="20"/>
        </w:rPr>
        <w:t> </w:t>
      </w:r>
      <w:r>
        <w:rPr>
          <w:color w:val="231F20"/>
        </w:rPr>
        <w:t>в</w:t>
      </w:r>
      <w:r>
        <w:rPr>
          <w:color w:val="231F20"/>
          <w:spacing w:val="21"/>
        </w:rPr>
        <w:t> </w:t>
      </w:r>
      <w:r>
        <w:rPr>
          <w:color w:val="231F20"/>
        </w:rPr>
        <w:t>коем</w:t>
      </w:r>
      <w:r>
        <w:rPr>
          <w:color w:val="231F20"/>
          <w:spacing w:val="20"/>
        </w:rPr>
        <w:t> </w:t>
      </w:r>
      <w:r>
        <w:rPr>
          <w:color w:val="231F20"/>
        </w:rPr>
        <w:t>случае</w:t>
      </w:r>
      <w:r>
        <w:rPr>
          <w:color w:val="231F20"/>
          <w:spacing w:val="20"/>
        </w:rPr>
        <w:t> </w:t>
      </w:r>
      <w:r>
        <w:rPr>
          <w:color w:val="231F20"/>
        </w:rPr>
        <w:t>нельзя</w:t>
      </w:r>
      <w:r>
        <w:rPr>
          <w:color w:val="231F20"/>
          <w:spacing w:val="21"/>
        </w:rPr>
        <w:t> </w:t>
      </w:r>
      <w:r>
        <w:rPr>
          <w:color w:val="231F20"/>
          <w:spacing w:val="-2"/>
        </w:rPr>
        <w:t>кричать</w:t>
      </w:r>
    </w:p>
    <w:p>
      <w:pPr>
        <w:pStyle w:val="BodyText"/>
        <w:spacing w:after="0" w:line="235" w:lineRule="auto"/>
        <w:sectPr>
          <w:pgSz w:w="8400" w:h="11910"/>
          <w:pgMar w:header="0" w:footer="528"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before="112"/>
        <w:ind w:firstLine="0"/>
      </w:pPr>
      <w:r>
        <w:rPr>
          <w:color w:val="231F20"/>
        </w:rPr>
        <w:t>на ребенка и обвинять его в том, что он не слышит или игнорирует обращение к нему. Если ребенок стоит неподвижно, засмотревшись в одну точку, не подходите к нему близко, а начинайте спокойно говорить о чем-нибудь с расстояния нескольких метров, чтобы ваше появление не оказалось неожиданным. Постарайтесь появиться у него перед глазами или сбоку. Избегайте обращения из-за спины.</w:t>
      </w:r>
    </w:p>
    <w:p>
      <w:pPr>
        <w:numPr>
          <w:ilvl w:val="1"/>
          <w:numId w:val="63"/>
        </w:numPr>
        <w:tabs>
          <w:tab w:pos="643" w:val="left" w:leader="none"/>
        </w:tabs>
        <w:spacing w:before="113"/>
        <w:ind w:left="643" w:right="0" w:hanging="218"/>
        <w:jc w:val="both"/>
        <w:rPr>
          <w:b/>
          <w:sz w:val="20"/>
        </w:rPr>
      </w:pPr>
      <w:r>
        <w:rPr>
          <w:b/>
          <w:color w:val="231F20"/>
          <w:sz w:val="20"/>
        </w:rPr>
        <w:t>Симптомы</w:t>
      </w:r>
      <w:r>
        <w:rPr>
          <w:b/>
          <w:color w:val="231F20"/>
          <w:spacing w:val="-5"/>
          <w:sz w:val="20"/>
        </w:rPr>
        <w:t> </w:t>
      </w:r>
      <w:r>
        <w:rPr>
          <w:b/>
          <w:color w:val="231F20"/>
          <w:sz w:val="20"/>
        </w:rPr>
        <w:t>травмы,</w:t>
      </w:r>
      <w:r>
        <w:rPr>
          <w:b/>
          <w:color w:val="231F20"/>
          <w:spacing w:val="-4"/>
          <w:sz w:val="20"/>
        </w:rPr>
        <w:t> </w:t>
      </w:r>
      <w:r>
        <w:rPr>
          <w:b/>
          <w:color w:val="231F20"/>
          <w:sz w:val="20"/>
        </w:rPr>
        <w:t>проявляющиеся</w:t>
      </w:r>
      <w:r>
        <w:rPr>
          <w:b/>
          <w:color w:val="231F20"/>
          <w:spacing w:val="-5"/>
          <w:sz w:val="20"/>
        </w:rPr>
        <w:t> </w:t>
      </w:r>
      <w:r>
        <w:rPr>
          <w:b/>
          <w:color w:val="231F20"/>
          <w:sz w:val="20"/>
        </w:rPr>
        <w:t>в</w:t>
      </w:r>
      <w:r>
        <w:rPr>
          <w:b/>
          <w:color w:val="231F20"/>
          <w:spacing w:val="-4"/>
          <w:sz w:val="20"/>
        </w:rPr>
        <w:t> </w:t>
      </w:r>
      <w:r>
        <w:rPr>
          <w:b/>
          <w:color w:val="231F20"/>
          <w:spacing w:val="-2"/>
          <w:sz w:val="20"/>
        </w:rPr>
        <w:t>поведении</w:t>
      </w:r>
    </w:p>
    <w:p>
      <w:pPr>
        <w:pStyle w:val="BodyText"/>
        <w:spacing w:before="1"/>
      </w:pPr>
      <w:r>
        <w:rPr>
          <w:color w:val="231F20"/>
        </w:rPr>
        <w:t>Исходя</w:t>
      </w:r>
      <w:r>
        <w:rPr>
          <w:color w:val="231F20"/>
          <w:spacing w:val="-13"/>
        </w:rPr>
        <w:t> </w:t>
      </w:r>
      <w:r>
        <w:rPr>
          <w:color w:val="231F20"/>
        </w:rPr>
        <w:t>из</w:t>
      </w:r>
      <w:r>
        <w:rPr>
          <w:color w:val="231F20"/>
          <w:spacing w:val="-12"/>
        </w:rPr>
        <w:t> </w:t>
      </w:r>
      <w:r>
        <w:rPr>
          <w:color w:val="231F20"/>
        </w:rPr>
        <w:t>травма-информированного</w:t>
      </w:r>
      <w:r>
        <w:rPr>
          <w:color w:val="231F20"/>
          <w:spacing w:val="-13"/>
        </w:rPr>
        <w:t> </w:t>
      </w:r>
      <w:r>
        <w:rPr>
          <w:color w:val="231F20"/>
        </w:rPr>
        <w:t>подхода</w:t>
      </w:r>
      <w:r>
        <w:rPr>
          <w:color w:val="231F20"/>
          <w:spacing w:val="-12"/>
        </w:rPr>
        <w:t> </w:t>
      </w:r>
      <w:r>
        <w:rPr>
          <w:color w:val="231F20"/>
        </w:rPr>
        <w:t>важно</w:t>
      </w:r>
      <w:r>
        <w:rPr>
          <w:color w:val="231F20"/>
          <w:spacing w:val="-13"/>
        </w:rPr>
        <w:t> </w:t>
      </w:r>
      <w:r>
        <w:rPr>
          <w:color w:val="231F20"/>
        </w:rPr>
        <w:t>реагировать</w:t>
      </w:r>
      <w:r>
        <w:rPr>
          <w:color w:val="231F20"/>
          <w:spacing w:val="-12"/>
        </w:rPr>
        <w:t> </w:t>
      </w:r>
      <w:r>
        <w:rPr>
          <w:color w:val="231F20"/>
        </w:rPr>
        <w:t>по</w:t>
      </w:r>
      <w:r>
        <w:rPr>
          <w:color w:val="231F20"/>
          <w:spacing w:val="-13"/>
        </w:rPr>
        <w:t> </w:t>
      </w:r>
      <w:r>
        <w:rPr>
          <w:color w:val="231F20"/>
        </w:rPr>
        <w:t>возможности спокойно, настойчиво переключая внимание ребенка, меняя обстановку. Предложи- те</w:t>
      </w:r>
      <w:r>
        <w:rPr>
          <w:color w:val="231F20"/>
          <w:spacing w:val="-3"/>
        </w:rPr>
        <w:t> </w:t>
      </w:r>
      <w:r>
        <w:rPr>
          <w:color w:val="231F20"/>
        </w:rPr>
        <w:t>ему</w:t>
      </w:r>
      <w:r>
        <w:rPr>
          <w:color w:val="231F20"/>
          <w:spacing w:val="-3"/>
        </w:rPr>
        <w:t> </w:t>
      </w:r>
      <w:r>
        <w:rPr>
          <w:color w:val="231F20"/>
        </w:rPr>
        <w:t>воду</w:t>
      </w:r>
      <w:r>
        <w:rPr>
          <w:color w:val="231F20"/>
          <w:spacing w:val="-3"/>
        </w:rPr>
        <w:t> </w:t>
      </w:r>
      <w:r>
        <w:rPr>
          <w:color w:val="231F20"/>
        </w:rPr>
        <w:t>или</w:t>
      </w:r>
      <w:r>
        <w:rPr>
          <w:color w:val="231F20"/>
          <w:spacing w:val="-3"/>
        </w:rPr>
        <w:t> </w:t>
      </w:r>
      <w:r>
        <w:rPr>
          <w:color w:val="231F20"/>
        </w:rPr>
        <w:t>прогулку</w:t>
      </w:r>
      <w:r>
        <w:rPr>
          <w:color w:val="231F20"/>
          <w:spacing w:val="-3"/>
        </w:rPr>
        <w:t> </w:t>
      </w:r>
      <w:r>
        <w:rPr>
          <w:color w:val="231F20"/>
        </w:rPr>
        <w:t>на</w:t>
      </w:r>
      <w:r>
        <w:rPr>
          <w:color w:val="231F20"/>
          <w:spacing w:val="-3"/>
        </w:rPr>
        <w:t> </w:t>
      </w:r>
      <w:r>
        <w:rPr>
          <w:color w:val="231F20"/>
        </w:rPr>
        <w:t>свежем</w:t>
      </w:r>
      <w:r>
        <w:rPr>
          <w:color w:val="231F20"/>
          <w:spacing w:val="-3"/>
        </w:rPr>
        <w:t> </w:t>
      </w:r>
      <w:r>
        <w:rPr>
          <w:color w:val="231F20"/>
        </w:rPr>
        <w:t>воздухе.</w:t>
      </w:r>
      <w:r>
        <w:rPr>
          <w:color w:val="231F20"/>
          <w:spacing w:val="-3"/>
        </w:rPr>
        <w:t> </w:t>
      </w:r>
      <w:r>
        <w:rPr>
          <w:color w:val="231F20"/>
        </w:rPr>
        <w:t>Восстановление</w:t>
      </w:r>
      <w:r>
        <w:rPr>
          <w:color w:val="231F20"/>
          <w:spacing w:val="-3"/>
        </w:rPr>
        <w:t> </w:t>
      </w:r>
      <w:r>
        <w:rPr>
          <w:color w:val="231F20"/>
        </w:rPr>
        <w:t>спокойного</w:t>
      </w:r>
      <w:r>
        <w:rPr>
          <w:color w:val="231F20"/>
          <w:spacing w:val="-3"/>
        </w:rPr>
        <w:t> </w:t>
      </w:r>
      <w:r>
        <w:rPr>
          <w:color w:val="231F20"/>
        </w:rPr>
        <w:t>состояния может</w:t>
      </w:r>
      <w:r>
        <w:rPr>
          <w:color w:val="231F20"/>
          <w:spacing w:val="-8"/>
        </w:rPr>
        <w:t> </w:t>
      </w:r>
      <w:r>
        <w:rPr>
          <w:color w:val="231F20"/>
        </w:rPr>
        <w:t>потребовать</w:t>
      </w:r>
      <w:r>
        <w:rPr>
          <w:color w:val="231F20"/>
          <w:spacing w:val="-8"/>
        </w:rPr>
        <w:t> </w:t>
      </w:r>
      <w:r>
        <w:rPr>
          <w:color w:val="231F20"/>
        </w:rPr>
        <w:t>времени,</w:t>
      </w:r>
      <w:r>
        <w:rPr>
          <w:color w:val="231F20"/>
          <w:spacing w:val="-8"/>
        </w:rPr>
        <w:t> </w:t>
      </w:r>
      <w:r>
        <w:rPr>
          <w:color w:val="231F20"/>
        </w:rPr>
        <w:t>но</w:t>
      </w:r>
      <w:r>
        <w:rPr>
          <w:color w:val="231F20"/>
          <w:spacing w:val="-8"/>
        </w:rPr>
        <w:t> </w:t>
      </w:r>
      <w:r>
        <w:rPr>
          <w:color w:val="231F20"/>
        </w:rPr>
        <w:t>именно</w:t>
      </w:r>
      <w:r>
        <w:rPr>
          <w:color w:val="231F20"/>
          <w:spacing w:val="-8"/>
        </w:rPr>
        <w:t> </w:t>
      </w:r>
      <w:r>
        <w:rPr>
          <w:color w:val="231F20"/>
        </w:rPr>
        <w:t>ваш</w:t>
      </w:r>
      <w:r>
        <w:rPr>
          <w:color w:val="231F20"/>
          <w:spacing w:val="-8"/>
        </w:rPr>
        <w:t> </w:t>
      </w:r>
      <w:r>
        <w:rPr>
          <w:color w:val="231F20"/>
        </w:rPr>
        <w:t>образ</w:t>
      </w:r>
      <w:r>
        <w:rPr>
          <w:color w:val="231F20"/>
          <w:spacing w:val="-8"/>
        </w:rPr>
        <w:t> </w:t>
      </w:r>
      <w:r>
        <w:rPr>
          <w:color w:val="231F20"/>
        </w:rPr>
        <w:t>поведения</w:t>
      </w:r>
      <w:r>
        <w:rPr>
          <w:color w:val="231F20"/>
          <w:spacing w:val="-8"/>
        </w:rPr>
        <w:t> </w:t>
      </w:r>
      <w:r>
        <w:rPr>
          <w:color w:val="231F20"/>
        </w:rPr>
        <w:t>и</w:t>
      </w:r>
      <w:r>
        <w:rPr>
          <w:color w:val="231F20"/>
          <w:spacing w:val="-8"/>
        </w:rPr>
        <w:t> </w:t>
      </w:r>
      <w:r>
        <w:rPr>
          <w:color w:val="231F20"/>
        </w:rPr>
        <w:t>решения</w:t>
      </w:r>
      <w:r>
        <w:rPr>
          <w:color w:val="231F20"/>
          <w:spacing w:val="-8"/>
        </w:rPr>
        <w:t> </w:t>
      </w:r>
      <w:r>
        <w:rPr>
          <w:color w:val="231F20"/>
        </w:rPr>
        <w:t>конфликтов, обсуждение разных способов реагирования поможет ребенку более осознанно отно- ситься</w:t>
      </w:r>
      <w:r>
        <w:rPr>
          <w:color w:val="231F20"/>
          <w:spacing w:val="-12"/>
        </w:rPr>
        <w:t> </w:t>
      </w:r>
      <w:r>
        <w:rPr>
          <w:color w:val="231F20"/>
        </w:rPr>
        <w:t>к</w:t>
      </w:r>
      <w:r>
        <w:rPr>
          <w:color w:val="231F20"/>
          <w:spacing w:val="-12"/>
        </w:rPr>
        <w:t> </w:t>
      </w:r>
      <w:r>
        <w:rPr>
          <w:color w:val="231F20"/>
        </w:rPr>
        <w:t>своему</w:t>
      </w:r>
      <w:r>
        <w:rPr>
          <w:color w:val="231F20"/>
          <w:spacing w:val="-12"/>
        </w:rPr>
        <w:t> </w:t>
      </w:r>
      <w:r>
        <w:rPr>
          <w:color w:val="231F20"/>
        </w:rPr>
        <w:t>поведению</w:t>
      </w:r>
      <w:r>
        <w:rPr>
          <w:color w:val="231F20"/>
          <w:spacing w:val="-12"/>
        </w:rPr>
        <w:t> </w:t>
      </w:r>
      <w:r>
        <w:rPr>
          <w:color w:val="231F20"/>
        </w:rPr>
        <w:t>и</w:t>
      </w:r>
      <w:r>
        <w:rPr>
          <w:color w:val="231F20"/>
          <w:spacing w:val="-12"/>
        </w:rPr>
        <w:t> </w:t>
      </w:r>
      <w:r>
        <w:rPr>
          <w:color w:val="231F20"/>
        </w:rPr>
        <w:t>выбирать</w:t>
      </w:r>
      <w:r>
        <w:rPr>
          <w:color w:val="231F20"/>
          <w:spacing w:val="-12"/>
        </w:rPr>
        <w:t> </w:t>
      </w:r>
      <w:r>
        <w:rPr>
          <w:color w:val="231F20"/>
        </w:rPr>
        <w:t>конструктивные</w:t>
      </w:r>
      <w:r>
        <w:rPr>
          <w:color w:val="231F20"/>
          <w:spacing w:val="-12"/>
        </w:rPr>
        <w:t> </w:t>
      </w:r>
      <w:r>
        <w:rPr>
          <w:color w:val="231F20"/>
        </w:rPr>
        <w:t>реакции.</w:t>
      </w:r>
      <w:r>
        <w:rPr>
          <w:color w:val="231F20"/>
          <w:spacing w:val="-12"/>
        </w:rPr>
        <w:t> </w:t>
      </w:r>
      <w:r>
        <w:rPr>
          <w:color w:val="231F20"/>
        </w:rPr>
        <w:t>Если</w:t>
      </w:r>
      <w:r>
        <w:rPr>
          <w:color w:val="231F20"/>
          <w:spacing w:val="-12"/>
        </w:rPr>
        <w:t> </w:t>
      </w:r>
      <w:r>
        <w:rPr>
          <w:color w:val="231F20"/>
        </w:rPr>
        <w:t>ребенку</w:t>
      </w:r>
      <w:r>
        <w:rPr>
          <w:color w:val="231F20"/>
          <w:spacing w:val="-12"/>
        </w:rPr>
        <w:t> </w:t>
      </w:r>
      <w:r>
        <w:rPr>
          <w:color w:val="231F20"/>
        </w:rPr>
        <w:t>слож- но</w:t>
      </w:r>
      <w:r>
        <w:rPr>
          <w:color w:val="231F20"/>
          <w:spacing w:val="-8"/>
        </w:rPr>
        <w:t> </w:t>
      </w:r>
      <w:r>
        <w:rPr>
          <w:color w:val="231F20"/>
        </w:rPr>
        <w:t>справиться</w:t>
      </w:r>
      <w:r>
        <w:rPr>
          <w:color w:val="231F20"/>
          <w:spacing w:val="-8"/>
        </w:rPr>
        <w:t> </w:t>
      </w:r>
      <w:r>
        <w:rPr>
          <w:color w:val="231F20"/>
        </w:rPr>
        <w:t>с</w:t>
      </w:r>
      <w:r>
        <w:rPr>
          <w:color w:val="231F20"/>
          <w:spacing w:val="-8"/>
        </w:rPr>
        <w:t> </w:t>
      </w:r>
      <w:r>
        <w:rPr>
          <w:color w:val="231F20"/>
        </w:rPr>
        <w:t>эмоциями,</w:t>
      </w:r>
      <w:r>
        <w:rPr>
          <w:color w:val="231F20"/>
          <w:spacing w:val="-8"/>
        </w:rPr>
        <w:t> </w:t>
      </w:r>
      <w:r>
        <w:rPr>
          <w:color w:val="231F20"/>
        </w:rPr>
        <w:t>психологу</w:t>
      </w:r>
      <w:r>
        <w:rPr>
          <w:color w:val="231F20"/>
          <w:spacing w:val="-8"/>
        </w:rPr>
        <w:t> </w:t>
      </w:r>
      <w:r>
        <w:rPr>
          <w:color w:val="231F20"/>
        </w:rPr>
        <w:t>необходимо</w:t>
      </w:r>
      <w:r>
        <w:rPr>
          <w:color w:val="231F20"/>
          <w:spacing w:val="-8"/>
        </w:rPr>
        <w:t> </w:t>
      </w:r>
      <w:r>
        <w:rPr>
          <w:color w:val="231F20"/>
        </w:rPr>
        <w:t>включить</w:t>
      </w:r>
      <w:r>
        <w:rPr>
          <w:color w:val="231F20"/>
          <w:spacing w:val="-8"/>
        </w:rPr>
        <w:t> </w:t>
      </w:r>
      <w:r>
        <w:rPr>
          <w:color w:val="231F20"/>
        </w:rPr>
        <w:t>в</w:t>
      </w:r>
      <w:r>
        <w:rPr>
          <w:color w:val="231F20"/>
          <w:spacing w:val="-8"/>
        </w:rPr>
        <w:t> </w:t>
      </w:r>
      <w:r>
        <w:rPr>
          <w:color w:val="231F20"/>
        </w:rPr>
        <w:t>индивидуальные</w:t>
      </w:r>
      <w:r>
        <w:rPr>
          <w:color w:val="231F20"/>
          <w:spacing w:val="-8"/>
        </w:rPr>
        <w:t> </w:t>
      </w:r>
      <w:r>
        <w:rPr>
          <w:color w:val="231F20"/>
        </w:rPr>
        <w:t>заня- тия упражнения, направленные на обучение выражению эмоций. Ни в коем случае не</w:t>
      </w:r>
      <w:r>
        <w:rPr>
          <w:color w:val="231F20"/>
          <w:spacing w:val="-5"/>
        </w:rPr>
        <w:t> </w:t>
      </w:r>
      <w:r>
        <w:rPr>
          <w:color w:val="231F20"/>
        </w:rPr>
        <w:t>исключайте</w:t>
      </w:r>
      <w:r>
        <w:rPr>
          <w:color w:val="231F20"/>
          <w:spacing w:val="-5"/>
        </w:rPr>
        <w:t> </w:t>
      </w:r>
      <w:r>
        <w:rPr>
          <w:color w:val="231F20"/>
        </w:rPr>
        <w:t>ребенка</w:t>
      </w:r>
      <w:r>
        <w:rPr>
          <w:color w:val="231F20"/>
          <w:spacing w:val="-5"/>
        </w:rPr>
        <w:t> </w:t>
      </w:r>
      <w:r>
        <w:rPr>
          <w:color w:val="231F20"/>
        </w:rPr>
        <w:t>из</w:t>
      </w:r>
      <w:r>
        <w:rPr>
          <w:color w:val="231F20"/>
          <w:spacing w:val="-5"/>
        </w:rPr>
        <w:t> </w:t>
      </w:r>
      <w:r>
        <w:rPr>
          <w:color w:val="231F20"/>
        </w:rPr>
        <w:t>общества</w:t>
      </w:r>
      <w:r>
        <w:rPr>
          <w:color w:val="231F20"/>
          <w:spacing w:val="-5"/>
        </w:rPr>
        <w:t> </w:t>
      </w:r>
      <w:r>
        <w:rPr>
          <w:color w:val="231F20"/>
        </w:rPr>
        <w:t>и</w:t>
      </w:r>
      <w:r>
        <w:rPr>
          <w:color w:val="231F20"/>
          <w:spacing w:val="-5"/>
        </w:rPr>
        <w:t> </w:t>
      </w:r>
      <w:r>
        <w:rPr>
          <w:color w:val="231F20"/>
        </w:rPr>
        <w:t>не</w:t>
      </w:r>
      <w:r>
        <w:rPr>
          <w:color w:val="231F20"/>
          <w:spacing w:val="-5"/>
        </w:rPr>
        <w:t> </w:t>
      </w:r>
      <w:r>
        <w:rPr>
          <w:color w:val="231F20"/>
        </w:rPr>
        <w:t>лишайте</w:t>
      </w:r>
      <w:r>
        <w:rPr>
          <w:color w:val="231F20"/>
          <w:spacing w:val="-5"/>
        </w:rPr>
        <w:t> </w:t>
      </w:r>
      <w:r>
        <w:rPr>
          <w:color w:val="231F20"/>
        </w:rPr>
        <w:t>общения.</w:t>
      </w:r>
      <w:r>
        <w:rPr>
          <w:color w:val="231F20"/>
          <w:spacing w:val="-5"/>
        </w:rPr>
        <w:t> </w:t>
      </w:r>
      <w:r>
        <w:rPr>
          <w:color w:val="231F20"/>
        </w:rPr>
        <w:t>Продолжайте</w:t>
      </w:r>
      <w:r>
        <w:rPr>
          <w:color w:val="231F20"/>
          <w:spacing w:val="-5"/>
        </w:rPr>
        <w:t> </w:t>
      </w:r>
      <w:r>
        <w:rPr>
          <w:color w:val="231F20"/>
        </w:rPr>
        <w:t>говорить</w:t>
      </w:r>
      <w:r>
        <w:rPr>
          <w:color w:val="231F20"/>
          <w:spacing w:val="-5"/>
        </w:rPr>
        <w:t> </w:t>
      </w:r>
      <w:r>
        <w:rPr>
          <w:color w:val="231F20"/>
        </w:rPr>
        <w:t>о правилах и взаимном уважении, решайте конфликты.</w:t>
      </w:r>
    </w:p>
    <w:p>
      <w:pPr>
        <w:pStyle w:val="BodyText"/>
      </w:pPr>
      <w:r>
        <w:rPr>
          <w:color w:val="231F20"/>
          <w:spacing w:val="-2"/>
        </w:rPr>
        <w:t>В случае с расстройством пищевого поведения, злоупотребления психоактивными </w:t>
      </w:r>
      <w:r>
        <w:rPr>
          <w:color w:val="231F20"/>
        </w:rPr>
        <w:t>веществами и другими саморазрушающими актами следует учесть, что так ребенок пытается выразить напряжение, которое скопилось у него внутри, что он очень ну- ждается</w:t>
      </w:r>
      <w:r>
        <w:rPr>
          <w:color w:val="231F20"/>
          <w:spacing w:val="-6"/>
        </w:rPr>
        <w:t> </w:t>
      </w:r>
      <w:r>
        <w:rPr>
          <w:color w:val="231F20"/>
        </w:rPr>
        <w:t>в</w:t>
      </w:r>
      <w:r>
        <w:rPr>
          <w:color w:val="231F20"/>
          <w:spacing w:val="-5"/>
        </w:rPr>
        <w:t> </w:t>
      </w:r>
      <w:r>
        <w:rPr>
          <w:color w:val="231F20"/>
        </w:rPr>
        <w:t>помощи</w:t>
      </w:r>
      <w:r>
        <w:rPr>
          <w:color w:val="231F20"/>
          <w:spacing w:val="-5"/>
        </w:rPr>
        <w:t> </w:t>
      </w:r>
      <w:r>
        <w:rPr>
          <w:color w:val="231F20"/>
        </w:rPr>
        <w:t>и</w:t>
      </w:r>
      <w:r>
        <w:rPr>
          <w:color w:val="231F20"/>
          <w:spacing w:val="-6"/>
        </w:rPr>
        <w:t> </w:t>
      </w:r>
      <w:r>
        <w:rPr>
          <w:color w:val="231F20"/>
        </w:rPr>
        <w:t>поддержке,</w:t>
      </w:r>
      <w:r>
        <w:rPr>
          <w:color w:val="231F20"/>
          <w:spacing w:val="-6"/>
        </w:rPr>
        <w:t> </w:t>
      </w:r>
      <w:r>
        <w:rPr>
          <w:color w:val="231F20"/>
        </w:rPr>
        <w:t>во</w:t>
      </w:r>
      <w:r>
        <w:rPr>
          <w:color w:val="231F20"/>
          <w:spacing w:val="-5"/>
        </w:rPr>
        <w:t> </w:t>
      </w:r>
      <w:r>
        <w:rPr>
          <w:color w:val="231F20"/>
        </w:rPr>
        <w:t>внимательном</w:t>
      </w:r>
      <w:r>
        <w:rPr>
          <w:color w:val="231F20"/>
          <w:spacing w:val="-5"/>
        </w:rPr>
        <w:t> </w:t>
      </w:r>
      <w:r>
        <w:rPr>
          <w:color w:val="231F20"/>
        </w:rPr>
        <w:t>и</w:t>
      </w:r>
      <w:r>
        <w:rPr>
          <w:color w:val="231F20"/>
          <w:spacing w:val="-5"/>
        </w:rPr>
        <w:t> </w:t>
      </w:r>
      <w:r>
        <w:rPr>
          <w:color w:val="231F20"/>
        </w:rPr>
        <w:t>спокойном</w:t>
      </w:r>
      <w:r>
        <w:rPr>
          <w:color w:val="231F20"/>
          <w:spacing w:val="-5"/>
        </w:rPr>
        <w:t> </w:t>
      </w:r>
      <w:r>
        <w:rPr>
          <w:color w:val="231F20"/>
        </w:rPr>
        <w:t>взрослом</w:t>
      </w:r>
      <w:r>
        <w:rPr>
          <w:color w:val="231F20"/>
          <w:spacing w:val="-5"/>
        </w:rPr>
        <w:t> </w:t>
      </w:r>
      <w:r>
        <w:rPr>
          <w:color w:val="231F20"/>
        </w:rPr>
        <w:t>рядом,</w:t>
      </w:r>
      <w:r>
        <w:rPr>
          <w:color w:val="231F20"/>
          <w:spacing w:val="-6"/>
        </w:rPr>
        <w:t> </w:t>
      </w:r>
      <w:r>
        <w:rPr>
          <w:color w:val="231F20"/>
        </w:rPr>
        <w:t>спо- собном выдерживать его трудные состояния и сильные эмоции.</w:t>
      </w:r>
    </w:p>
    <w:p>
      <w:pPr>
        <w:numPr>
          <w:ilvl w:val="1"/>
          <w:numId w:val="63"/>
        </w:numPr>
        <w:tabs>
          <w:tab w:pos="747" w:val="left" w:leader="none"/>
        </w:tabs>
        <w:spacing w:before="113"/>
        <w:ind w:left="747" w:right="0" w:hanging="322"/>
        <w:jc w:val="both"/>
        <w:rPr>
          <w:b/>
          <w:sz w:val="20"/>
        </w:rPr>
      </w:pPr>
      <w:r>
        <w:rPr>
          <w:b/>
          <w:color w:val="231F20"/>
          <w:sz w:val="20"/>
        </w:rPr>
        <w:t>Симптомы</w:t>
      </w:r>
      <w:r>
        <w:rPr>
          <w:b/>
          <w:color w:val="231F20"/>
          <w:spacing w:val="-6"/>
          <w:sz w:val="20"/>
        </w:rPr>
        <w:t> </w:t>
      </w:r>
      <w:r>
        <w:rPr>
          <w:b/>
          <w:color w:val="231F20"/>
          <w:sz w:val="20"/>
        </w:rPr>
        <w:t>травмы,</w:t>
      </w:r>
      <w:r>
        <w:rPr>
          <w:b/>
          <w:color w:val="231F20"/>
          <w:spacing w:val="-4"/>
          <w:sz w:val="20"/>
        </w:rPr>
        <w:t> </w:t>
      </w:r>
      <w:r>
        <w:rPr>
          <w:b/>
          <w:color w:val="231F20"/>
          <w:sz w:val="20"/>
        </w:rPr>
        <w:t>влияющие</w:t>
      </w:r>
      <w:r>
        <w:rPr>
          <w:b/>
          <w:color w:val="231F20"/>
          <w:spacing w:val="-4"/>
          <w:sz w:val="20"/>
        </w:rPr>
        <w:t> </w:t>
      </w:r>
      <w:r>
        <w:rPr>
          <w:b/>
          <w:color w:val="231F20"/>
          <w:sz w:val="20"/>
        </w:rPr>
        <w:t>на</w:t>
      </w:r>
      <w:r>
        <w:rPr>
          <w:b/>
          <w:color w:val="231F20"/>
          <w:spacing w:val="-4"/>
          <w:sz w:val="20"/>
        </w:rPr>
        <w:t> </w:t>
      </w:r>
      <w:r>
        <w:rPr>
          <w:b/>
          <w:color w:val="231F20"/>
          <w:spacing w:val="-2"/>
          <w:sz w:val="20"/>
        </w:rPr>
        <w:t>обучение</w:t>
      </w:r>
    </w:p>
    <w:p>
      <w:pPr>
        <w:pStyle w:val="BodyText"/>
        <w:spacing w:line="242" w:lineRule="auto"/>
      </w:pPr>
      <w:r>
        <w:rPr>
          <w:color w:val="231F20"/>
          <w:spacing w:val="-2"/>
        </w:rPr>
        <w:t>Таким детям, возможно, потребуется индивидуальный подход в обучении, отдель- </w:t>
      </w:r>
      <w:r>
        <w:rPr>
          <w:color w:val="231F20"/>
        </w:rPr>
        <w:t>ные занятия с психологом или куратором для отработки навыков самопрезентации, ответа на уроках и др.</w:t>
      </w:r>
    </w:p>
    <w:p>
      <w:pPr>
        <w:pStyle w:val="BodyText"/>
        <w:spacing w:line="247" w:lineRule="auto" w:before="5"/>
      </w:pPr>
      <w:r>
        <w:rPr>
          <w:color w:val="231F20"/>
        </w:rPr>
        <w:t>Необходимо</w:t>
      </w:r>
      <w:r>
        <w:rPr>
          <w:color w:val="231F20"/>
          <w:spacing w:val="-10"/>
        </w:rPr>
        <w:t> </w:t>
      </w:r>
      <w:r>
        <w:rPr>
          <w:color w:val="231F20"/>
        </w:rPr>
        <w:t>найти</w:t>
      </w:r>
      <w:r>
        <w:rPr>
          <w:color w:val="231F20"/>
          <w:spacing w:val="-10"/>
        </w:rPr>
        <w:t> </w:t>
      </w:r>
      <w:r>
        <w:rPr>
          <w:color w:val="231F20"/>
        </w:rPr>
        <w:t>контакт</w:t>
      </w:r>
      <w:r>
        <w:rPr>
          <w:color w:val="231F20"/>
          <w:spacing w:val="-10"/>
        </w:rPr>
        <w:t> </w:t>
      </w:r>
      <w:r>
        <w:rPr>
          <w:color w:val="231F20"/>
        </w:rPr>
        <w:t>с</w:t>
      </w:r>
      <w:r>
        <w:rPr>
          <w:color w:val="231F20"/>
          <w:spacing w:val="-10"/>
        </w:rPr>
        <w:t> </w:t>
      </w:r>
      <w:r>
        <w:rPr>
          <w:color w:val="231F20"/>
        </w:rPr>
        <w:t>ребенком</w:t>
      </w:r>
      <w:r>
        <w:rPr>
          <w:color w:val="231F20"/>
          <w:spacing w:val="-10"/>
        </w:rPr>
        <w:t> </w:t>
      </w:r>
      <w:r>
        <w:rPr>
          <w:color w:val="231F20"/>
        </w:rPr>
        <w:t>и</w:t>
      </w:r>
      <w:r>
        <w:rPr>
          <w:color w:val="231F20"/>
          <w:spacing w:val="-10"/>
        </w:rPr>
        <w:t> </w:t>
      </w:r>
      <w:r>
        <w:rPr>
          <w:color w:val="231F20"/>
        </w:rPr>
        <w:t>его</w:t>
      </w:r>
      <w:r>
        <w:rPr>
          <w:color w:val="231F20"/>
          <w:spacing w:val="-10"/>
        </w:rPr>
        <w:t> </w:t>
      </w:r>
      <w:r>
        <w:rPr>
          <w:color w:val="231F20"/>
        </w:rPr>
        <w:t>семьей,</w:t>
      </w:r>
      <w:r>
        <w:rPr>
          <w:color w:val="231F20"/>
          <w:spacing w:val="-10"/>
        </w:rPr>
        <w:t> </w:t>
      </w:r>
      <w:r>
        <w:rPr>
          <w:color w:val="231F20"/>
        </w:rPr>
        <w:t>договориться</w:t>
      </w:r>
      <w:r>
        <w:rPr>
          <w:color w:val="231F20"/>
          <w:spacing w:val="-10"/>
        </w:rPr>
        <w:t> </w:t>
      </w:r>
      <w:r>
        <w:rPr>
          <w:color w:val="231F20"/>
        </w:rPr>
        <w:t>о</w:t>
      </w:r>
      <w:r>
        <w:rPr>
          <w:color w:val="231F20"/>
          <w:spacing w:val="-10"/>
        </w:rPr>
        <w:t> </w:t>
      </w:r>
      <w:r>
        <w:rPr>
          <w:color w:val="231F20"/>
        </w:rPr>
        <w:t>способах</w:t>
      </w:r>
      <w:r>
        <w:rPr>
          <w:color w:val="231F20"/>
          <w:spacing w:val="-10"/>
        </w:rPr>
        <w:t> </w:t>
      </w:r>
      <w:r>
        <w:rPr>
          <w:color w:val="231F20"/>
        </w:rPr>
        <w:t>раз- </w:t>
      </w:r>
      <w:r>
        <w:rPr>
          <w:color w:val="231F20"/>
          <w:spacing w:val="-2"/>
        </w:rPr>
        <w:t>решения</w:t>
      </w:r>
      <w:r>
        <w:rPr>
          <w:color w:val="231F20"/>
          <w:spacing w:val="-5"/>
        </w:rPr>
        <w:t> </w:t>
      </w:r>
      <w:r>
        <w:rPr>
          <w:color w:val="231F20"/>
          <w:spacing w:val="-2"/>
        </w:rPr>
        <w:t>проблемы.</w:t>
      </w:r>
      <w:r>
        <w:rPr>
          <w:color w:val="231F20"/>
          <w:spacing w:val="-5"/>
        </w:rPr>
        <w:t> </w:t>
      </w:r>
      <w:r>
        <w:rPr>
          <w:color w:val="231F20"/>
          <w:spacing w:val="-2"/>
        </w:rPr>
        <w:t>И</w:t>
      </w:r>
      <w:r>
        <w:rPr>
          <w:color w:val="231F20"/>
          <w:spacing w:val="-5"/>
        </w:rPr>
        <w:t> </w:t>
      </w:r>
      <w:r>
        <w:rPr>
          <w:color w:val="231F20"/>
          <w:spacing w:val="-2"/>
        </w:rPr>
        <w:t>если,</w:t>
      </w:r>
      <w:r>
        <w:rPr>
          <w:color w:val="231F20"/>
          <w:spacing w:val="-5"/>
        </w:rPr>
        <w:t> </w:t>
      </w:r>
      <w:r>
        <w:rPr>
          <w:color w:val="231F20"/>
          <w:spacing w:val="-2"/>
        </w:rPr>
        <w:t>например,</w:t>
      </w:r>
      <w:r>
        <w:rPr>
          <w:color w:val="231F20"/>
          <w:spacing w:val="-5"/>
        </w:rPr>
        <w:t> </w:t>
      </w:r>
      <w:r>
        <w:rPr>
          <w:color w:val="231F20"/>
          <w:spacing w:val="-2"/>
        </w:rPr>
        <w:t>ребенку</w:t>
      </w:r>
      <w:r>
        <w:rPr>
          <w:color w:val="231F20"/>
          <w:spacing w:val="-5"/>
        </w:rPr>
        <w:t> </w:t>
      </w:r>
      <w:r>
        <w:rPr>
          <w:color w:val="231F20"/>
          <w:spacing w:val="-2"/>
        </w:rPr>
        <w:t>сложно</w:t>
      </w:r>
      <w:r>
        <w:rPr>
          <w:color w:val="231F20"/>
          <w:spacing w:val="-5"/>
        </w:rPr>
        <w:t> </w:t>
      </w:r>
      <w:r>
        <w:rPr>
          <w:color w:val="231F20"/>
          <w:spacing w:val="-2"/>
        </w:rPr>
        <w:t>приходить</w:t>
      </w:r>
      <w:r>
        <w:rPr>
          <w:color w:val="231F20"/>
          <w:spacing w:val="-5"/>
        </w:rPr>
        <w:t> </w:t>
      </w:r>
      <w:r>
        <w:rPr>
          <w:color w:val="231F20"/>
          <w:spacing w:val="-2"/>
        </w:rPr>
        <w:t>на</w:t>
      </w:r>
      <w:r>
        <w:rPr>
          <w:color w:val="231F20"/>
          <w:spacing w:val="-5"/>
        </w:rPr>
        <w:t> </w:t>
      </w:r>
      <w:r>
        <w:rPr>
          <w:color w:val="231F20"/>
          <w:spacing w:val="-2"/>
        </w:rPr>
        <w:t>занятия</w:t>
      </w:r>
      <w:r>
        <w:rPr>
          <w:color w:val="231F20"/>
          <w:spacing w:val="-5"/>
        </w:rPr>
        <w:t> </w:t>
      </w:r>
      <w:r>
        <w:rPr>
          <w:color w:val="231F20"/>
          <w:spacing w:val="-2"/>
        </w:rPr>
        <w:t>вовремя, </w:t>
      </w:r>
      <w:r>
        <w:rPr>
          <w:color w:val="231F20"/>
        </w:rPr>
        <w:t>можно</w:t>
      </w:r>
      <w:r>
        <w:rPr>
          <w:color w:val="231F20"/>
          <w:spacing w:val="-12"/>
        </w:rPr>
        <w:t> </w:t>
      </w:r>
      <w:r>
        <w:rPr>
          <w:color w:val="231F20"/>
        </w:rPr>
        <w:t>подключить</w:t>
      </w:r>
      <w:r>
        <w:rPr>
          <w:color w:val="231F20"/>
          <w:spacing w:val="-12"/>
        </w:rPr>
        <w:t> </w:t>
      </w:r>
      <w:r>
        <w:rPr>
          <w:color w:val="231F20"/>
        </w:rPr>
        <w:t>родителей</w:t>
      </w:r>
      <w:r>
        <w:rPr>
          <w:color w:val="231F20"/>
          <w:spacing w:val="-12"/>
        </w:rPr>
        <w:t> </w:t>
      </w:r>
      <w:r>
        <w:rPr>
          <w:color w:val="231F20"/>
        </w:rPr>
        <w:t>или</w:t>
      </w:r>
      <w:r>
        <w:rPr>
          <w:color w:val="231F20"/>
          <w:spacing w:val="-12"/>
        </w:rPr>
        <w:t> </w:t>
      </w:r>
      <w:r>
        <w:rPr>
          <w:color w:val="231F20"/>
        </w:rPr>
        <w:t>друзей,</w:t>
      </w:r>
      <w:r>
        <w:rPr>
          <w:color w:val="231F20"/>
          <w:spacing w:val="-12"/>
        </w:rPr>
        <w:t> </w:t>
      </w:r>
      <w:r>
        <w:rPr>
          <w:color w:val="231F20"/>
        </w:rPr>
        <w:t>чтобы</w:t>
      </w:r>
      <w:r>
        <w:rPr>
          <w:color w:val="231F20"/>
          <w:spacing w:val="-12"/>
        </w:rPr>
        <w:t> </w:t>
      </w:r>
      <w:r>
        <w:rPr>
          <w:color w:val="231F20"/>
        </w:rPr>
        <w:t>он</w:t>
      </w:r>
      <w:r>
        <w:rPr>
          <w:color w:val="231F20"/>
          <w:spacing w:val="-12"/>
        </w:rPr>
        <w:t> </w:t>
      </w:r>
      <w:r>
        <w:rPr>
          <w:color w:val="231F20"/>
        </w:rPr>
        <w:t>приходил</w:t>
      </w:r>
      <w:r>
        <w:rPr>
          <w:color w:val="231F20"/>
          <w:spacing w:val="-12"/>
        </w:rPr>
        <w:t> </w:t>
      </w:r>
      <w:r>
        <w:rPr>
          <w:color w:val="231F20"/>
        </w:rPr>
        <w:t>в</w:t>
      </w:r>
      <w:r>
        <w:rPr>
          <w:color w:val="231F20"/>
          <w:spacing w:val="-12"/>
        </w:rPr>
        <w:t> </w:t>
      </w:r>
      <w:r>
        <w:rPr>
          <w:color w:val="231F20"/>
        </w:rPr>
        <w:t>школу</w:t>
      </w:r>
      <w:r>
        <w:rPr>
          <w:color w:val="231F20"/>
          <w:spacing w:val="-12"/>
        </w:rPr>
        <w:t> </w:t>
      </w:r>
      <w:r>
        <w:rPr>
          <w:color w:val="231F20"/>
        </w:rPr>
        <w:t>в</w:t>
      </w:r>
      <w:r>
        <w:rPr>
          <w:color w:val="231F20"/>
          <w:spacing w:val="-12"/>
        </w:rPr>
        <w:t> </w:t>
      </w:r>
      <w:r>
        <w:rPr>
          <w:color w:val="231F20"/>
        </w:rPr>
        <w:t>компании.</w:t>
      </w:r>
      <w:r>
        <w:rPr>
          <w:color w:val="231F20"/>
          <w:spacing w:val="-11"/>
        </w:rPr>
        <w:t> </w:t>
      </w:r>
      <w:r>
        <w:rPr>
          <w:color w:val="231F20"/>
        </w:rPr>
        <w:t>А в случае появления сложностей в фокусировке на выполнении задачи, усвоении но- вой информации, понимании ответственности, взаимодействие учителя и родителей (опекунов) поможет скоординировать действия, расставить необходимые акценты.</w:t>
      </w:r>
    </w:p>
    <w:p>
      <w:pPr>
        <w:pStyle w:val="BodyText"/>
        <w:spacing w:before="108"/>
        <w:ind w:left="425" w:right="0" w:firstLine="0"/>
      </w:pPr>
      <w:r>
        <w:rPr>
          <w:color w:val="231F20"/>
        </w:rPr>
        <w:t>Как</w:t>
      </w:r>
      <w:r>
        <w:rPr>
          <w:color w:val="231F20"/>
          <w:spacing w:val="-2"/>
        </w:rPr>
        <w:t> </w:t>
      </w:r>
      <w:r>
        <w:rPr>
          <w:color w:val="231F20"/>
        </w:rPr>
        <w:t>справляться</w:t>
      </w:r>
      <w:r>
        <w:rPr>
          <w:color w:val="231F20"/>
          <w:spacing w:val="-1"/>
        </w:rPr>
        <w:t> </w:t>
      </w:r>
      <w:r>
        <w:rPr>
          <w:color w:val="231F20"/>
        </w:rPr>
        <w:t>со</w:t>
      </w:r>
      <w:r>
        <w:rPr>
          <w:color w:val="231F20"/>
          <w:spacing w:val="-2"/>
        </w:rPr>
        <w:t> </w:t>
      </w:r>
      <w:r>
        <w:rPr>
          <w:color w:val="231F20"/>
        </w:rPr>
        <w:t>стрессом</w:t>
      </w:r>
      <w:r>
        <w:rPr>
          <w:color w:val="231F20"/>
          <w:spacing w:val="-1"/>
        </w:rPr>
        <w:t> </w:t>
      </w:r>
      <w:r>
        <w:rPr>
          <w:color w:val="231F20"/>
        </w:rPr>
        <w:t>у</w:t>
      </w:r>
      <w:r>
        <w:rPr>
          <w:color w:val="231F20"/>
          <w:spacing w:val="-1"/>
        </w:rPr>
        <w:t> </w:t>
      </w:r>
      <w:r>
        <w:rPr>
          <w:color w:val="231F20"/>
        </w:rPr>
        <w:t>детей.</w:t>
      </w:r>
      <w:r>
        <w:rPr>
          <w:color w:val="231F20"/>
          <w:spacing w:val="-2"/>
        </w:rPr>
        <w:t> </w:t>
      </w:r>
      <w:r>
        <w:rPr>
          <w:color w:val="231F20"/>
        </w:rPr>
        <w:t>Памятка</w:t>
      </w:r>
      <w:r>
        <w:rPr>
          <w:color w:val="231F20"/>
          <w:spacing w:val="-1"/>
        </w:rPr>
        <w:t> </w:t>
      </w:r>
      <w:r>
        <w:rPr>
          <w:color w:val="231F20"/>
        </w:rPr>
        <w:t>для</w:t>
      </w:r>
      <w:r>
        <w:rPr>
          <w:color w:val="231F20"/>
          <w:spacing w:val="-1"/>
        </w:rPr>
        <w:t> </w:t>
      </w:r>
      <w:r>
        <w:rPr>
          <w:color w:val="231F20"/>
          <w:spacing w:val="-2"/>
        </w:rPr>
        <w:t>родителей</w:t>
      </w:r>
    </w:p>
    <w:p>
      <w:pPr>
        <w:pStyle w:val="ListParagraph"/>
        <w:numPr>
          <w:ilvl w:val="0"/>
          <w:numId w:val="64"/>
        </w:numPr>
        <w:tabs>
          <w:tab w:pos="424" w:val="left" w:leader="none"/>
        </w:tabs>
        <w:spacing w:line="240" w:lineRule="auto" w:before="7" w:after="0"/>
        <w:ind w:left="424" w:right="0" w:hanging="283"/>
        <w:jc w:val="both"/>
        <w:rPr>
          <w:sz w:val="20"/>
        </w:rPr>
      </w:pPr>
      <w:r>
        <w:rPr>
          <w:color w:val="231F20"/>
          <w:sz w:val="20"/>
        </w:rPr>
        <w:t>Обеспечьте</w:t>
      </w:r>
      <w:r>
        <w:rPr>
          <w:color w:val="231F20"/>
          <w:spacing w:val="-7"/>
          <w:sz w:val="20"/>
        </w:rPr>
        <w:t> </w:t>
      </w:r>
      <w:r>
        <w:rPr>
          <w:color w:val="231F20"/>
          <w:sz w:val="20"/>
        </w:rPr>
        <w:t>ребенку</w:t>
      </w:r>
      <w:r>
        <w:rPr>
          <w:color w:val="231F20"/>
          <w:spacing w:val="-4"/>
          <w:sz w:val="20"/>
        </w:rPr>
        <w:t> </w:t>
      </w:r>
      <w:r>
        <w:rPr>
          <w:color w:val="231F20"/>
          <w:sz w:val="20"/>
        </w:rPr>
        <w:t>физически</w:t>
      </w:r>
      <w:r>
        <w:rPr>
          <w:color w:val="231F20"/>
          <w:spacing w:val="-5"/>
          <w:sz w:val="20"/>
        </w:rPr>
        <w:t> </w:t>
      </w:r>
      <w:r>
        <w:rPr>
          <w:color w:val="231F20"/>
          <w:sz w:val="20"/>
        </w:rPr>
        <w:t>и</w:t>
      </w:r>
      <w:r>
        <w:rPr>
          <w:color w:val="231F20"/>
          <w:spacing w:val="-5"/>
          <w:sz w:val="20"/>
        </w:rPr>
        <w:t> </w:t>
      </w:r>
      <w:r>
        <w:rPr>
          <w:color w:val="231F20"/>
          <w:sz w:val="20"/>
        </w:rPr>
        <w:t>эмоционально</w:t>
      </w:r>
      <w:r>
        <w:rPr>
          <w:color w:val="231F20"/>
          <w:spacing w:val="-4"/>
          <w:sz w:val="20"/>
        </w:rPr>
        <w:t> </w:t>
      </w:r>
      <w:r>
        <w:rPr>
          <w:color w:val="231F20"/>
          <w:sz w:val="20"/>
        </w:rPr>
        <w:t>безопасную</w:t>
      </w:r>
      <w:r>
        <w:rPr>
          <w:color w:val="231F20"/>
          <w:spacing w:val="-5"/>
          <w:sz w:val="20"/>
        </w:rPr>
        <w:t> </w:t>
      </w:r>
      <w:r>
        <w:rPr>
          <w:color w:val="231F20"/>
          <w:sz w:val="20"/>
        </w:rPr>
        <w:t>среду</w:t>
      </w:r>
      <w:r>
        <w:rPr>
          <w:color w:val="231F20"/>
          <w:spacing w:val="-4"/>
          <w:sz w:val="20"/>
        </w:rPr>
        <w:t> </w:t>
      </w:r>
      <w:r>
        <w:rPr>
          <w:color w:val="231F20"/>
          <w:spacing w:val="-2"/>
          <w:sz w:val="20"/>
        </w:rPr>
        <w:t>дома.</w:t>
      </w:r>
    </w:p>
    <w:p>
      <w:pPr>
        <w:pStyle w:val="ListParagraph"/>
        <w:numPr>
          <w:ilvl w:val="0"/>
          <w:numId w:val="64"/>
        </w:numPr>
        <w:tabs>
          <w:tab w:pos="425" w:val="left" w:leader="none"/>
        </w:tabs>
        <w:spacing w:line="240" w:lineRule="auto" w:before="6" w:after="0"/>
        <w:ind w:left="425" w:right="139" w:hanging="284"/>
        <w:jc w:val="both"/>
        <w:rPr>
          <w:sz w:val="20"/>
        </w:rPr>
      </w:pPr>
      <w:r>
        <w:rPr>
          <w:color w:val="231F20"/>
          <w:sz w:val="20"/>
        </w:rPr>
        <w:t>Обсудите</w:t>
      </w:r>
      <w:r>
        <w:rPr>
          <w:color w:val="231F20"/>
          <w:spacing w:val="-5"/>
          <w:sz w:val="20"/>
        </w:rPr>
        <w:t> </w:t>
      </w:r>
      <w:r>
        <w:rPr>
          <w:color w:val="231F20"/>
          <w:sz w:val="20"/>
        </w:rPr>
        <w:t>вашу</w:t>
      </w:r>
      <w:r>
        <w:rPr>
          <w:color w:val="231F20"/>
          <w:spacing w:val="-5"/>
          <w:sz w:val="20"/>
        </w:rPr>
        <w:t> </w:t>
      </w:r>
      <w:r>
        <w:rPr>
          <w:color w:val="231F20"/>
          <w:sz w:val="20"/>
        </w:rPr>
        <w:t>собственную</w:t>
      </w:r>
      <w:r>
        <w:rPr>
          <w:color w:val="231F20"/>
          <w:spacing w:val="-5"/>
          <w:sz w:val="20"/>
        </w:rPr>
        <w:t> </w:t>
      </w:r>
      <w:r>
        <w:rPr>
          <w:color w:val="231F20"/>
          <w:sz w:val="20"/>
        </w:rPr>
        <w:t>реакцию</w:t>
      </w:r>
      <w:r>
        <w:rPr>
          <w:color w:val="231F20"/>
          <w:spacing w:val="-5"/>
          <w:sz w:val="20"/>
        </w:rPr>
        <w:t> </w:t>
      </w:r>
      <w:r>
        <w:rPr>
          <w:color w:val="231F20"/>
          <w:sz w:val="20"/>
        </w:rPr>
        <w:t>на</w:t>
      </w:r>
      <w:r>
        <w:rPr>
          <w:color w:val="231F20"/>
          <w:spacing w:val="-5"/>
          <w:sz w:val="20"/>
        </w:rPr>
        <w:t> </w:t>
      </w:r>
      <w:r>
        <w:rPr>
          <w:color w:val="231F20"/>
          <w:sz w:val="20"/>
        </w:rPr>
        <w:t>травмирующее</w:t>
      </w:r>
      <w:r>
        <w:rPr>
          <w:color w:val="231F20"/>
          <w:spacing w:val="-5"/>
          <w:sz w:val="20"/>
        </w:rPr>
        <w:t> </w:t>
      </w:r>
      <w:r>
        <w:rPr>
          <w:color w:val="231F20"/>
          <w:sz w:val="20"/>
        </w:rPr>
        <w:t>событие</w:t>
      </w:r>
      <w:r>
        <w:rPr>
          <w:color w:val="231F20"/>
          <w:spacing w:val="-5"/>
          <w:sz w:val="20"/>
        </w:rPr>
        <w:t> </w:t>
      </w:r>
      <w:r>
        <w:rPr>
          <w:color w:val="231F20"/>
          <w:sz w:val="20"/>
        </w:rPr>
        <w:t>с</w:t>
      </w:r>
      <w:r>
        <w:rPr>
          <w:color w:val="231F20"/>
          <w:spacing w:val="-5"/>
          <w:sz w:val="20"/>
        </w:rPr>
        <w:t> </w:t>
      </w:r>
      <w:r>
        <w:rPr>
          <w:color w:val="231F20"/>
          <w:sz w:val="20"/>
        </w:rPr>
        <w:t>другим</w:t>
      </w:r>
      <w:r>
        <w:rPr>
          <w:color w:val="231F20"/>
          <w:spacing w:val="-4"/>
          <w:sz w:val="20"/>
        </w:rPr>
        <w:t> </w:t>
      </w:r>
      <w:r>
        <w:rPr>
          <w:color w:val="231F20"/>
          <w:sz w:val="20"/>
        </w:rPr>
        <w:t>взрос- лым или специалистом, прежде чем говорить об этом с детьми. То, как вы реаги- руете</w:t>
      </w:r>
      <w:r>
        <w:rPr>
          <w:color w:val="231F20"/>
          <w:spacing w:val="-2"/>
          <w:sz w:val="20"/>
        </w:rPr>
        <w:t> </w:t>
      </w:r>
      <w:r>
        <w:rPr>
          <w:color w:val="231F20"/>
          <w:sz w:val="20"/>
        </w:rPr>
        <w:t>на</w:t>
      </w:r>
      <w:r>
        <w:rPr>
          <w:color w:val="231F20"/>
          <w:spacing w:val="-2"/>
          <w:sz w:val="20"/>
        </w:rPr>
        <w:t> </w:t>
      </w:r>
      <w:r>
        <w:rPr>
          <w:color w:val="231F20"/>
          <w:sz w:val="20"/>
        </w:rPr>
        <w:t>кризис,</w:t>
      </w:r>
      <w:r>
        <w:rPr>
          <w:color w:val="231F20"/>
          <w:spacing w:val="-2"/>
          <w:sz w:val="20"/>
        </w:rPr>
        <w:t> </w:t>
      </w:r>
      <w:r>
        <w:rPr>
          <w:color w:val="231F20"/>
          <w:sz w:val="20"/>
        </w:rPr>
        <w:t>влияет</w:t>
      </w:r>
      <w:r>
        <w:rPr>
          <w:color w:val="231F20"/>
          <w:spacing w:val="-2"/>
          <w:sz w:val="20"/>
        </w:rPr>
        <w:t> </w:t>
      </w:r>
      <w:r>
        <w:rPr>
          <w:color w:val="231F20"/>
          <w:sz w:val="20"/>
        </w:rPr>
        <w:t>на</w:t>
      </w:r>
      <w:r>
        <w:rPr>
          <w:color w:val="231F20"/>
          <w:spacing w:val="-2"/>
          <w:sz w:val="20"/>
        </w:rPr>
        <w:t> </w:t>
      </w:r>
      <w:r>
        <w:rPr>
          <w:color w:val="231F20"/>
          <w:sz w:val="20"/>
        </w:rPr>
        <w:t>реакцию</w:t>
      </w:r>
      <w:r>
        <w:rPr>
          <w:color w:val="231F20"/>
          <w:spacing w:val="-2"/>
          <w:sz w:val="20"/>
        </w:rPr>
        <w:t> </w:t>
      </w:r>
      <w:r>
        <w:rPr>
          <w:color w:val="231F20"/>
          <w:sz w:val="20"/>
        </w:rPr>
        <w:t>ваших</w:t>
      </w:r>
      <w:r>
        <w:rPr>
          <w:color w:val="231F20"/>
          <w:spacing w:val="-2"/>
          <w:sz w:val="20"/>
        </w:rPr>
        <w:t> </w:t>
      </w:r>
      <w:r>
        <w:rPr>
          <w:color w:val="231F20"/>
          <w:sz w:val="20"/>
        </w:rPr>
        <w:t>детей.</w:t>
      </w:r>
      <w:r>
        <w:rPr>
          <w:color w:val="231F20"/>
          <w:spacing w:val="-2"/>
          <w:sz w:val="20"/>
        </w:rPr>
        <w:t> </w:t>
      </w:r>
      <w:r>
        <w:rPr>
          <w:color w:val="231F20"/>
          <w:sz w:val="20"/>
        </w:rPr>
        <w:t>Выделите</w:t>
      </w:r>
      <w:r>
        <w:rPr>
          <w:color w:val="231F20"/>
          <w:spacing w:val="-2"/>
          <w:sz w:val="20"/>
        </w:rPr>
        <w:t> </w:t>
      </w:r>
      <w:r>
        <w:rPr>
          <w:color w:val="231F20"/>
          <w:sz w:val="20"/>
        </w:rPr>
        <w:t>время,</w:t>
      </w:r>
      <w:r>
        <w:rPr>
          <w:color w:val="231F20"/>
          <w:spacing w:val="-2"/>
          <w:sz w:val="20"/>
        </w:rPr>
        <w:t> </w:t>
      </w:r>
      <w:r>
        <w:rPr>
          <w:color w:val="231F20"/>
          <w:sz w:val="20"/>
        </w:rPr>
        <w:t>когда</w:t>
      </w:r>
      <w:r>
        <w:rPr>
          <w:color w:val="231F20"/>
          <w:spacing w:val="-2"/>
          <w:sz w:val="20"/>
        </w:rPr>
        <w:t> </w:t>
      </w:r>
      <w:r>
        <w:rPr>
          <w:color w:val="231F20"/>
          <w:sz w:val="20"/>
        </w:rPr>
        <w:t>ребенок может поговорить с вами, или просто проводите время вместе.</w:t>
      </w:r>
    </w:p>
    <w:p>
      <w:pPr>
        <w:pStyle w:val="ListParagraph"/>
        <w:numPr>
          <w:ilvl w:val="0"/>
          <w:numId w:val="64"/>
        </w:numPr>
        <w:tabs>
          <w:tab w:pos="425" w:val="left" w:leader="none"/>
        </w:tabs>
        <w:spacing w:line="240" w:lineRule="auto" w:before="0" w:after="0"/>
        <w:ind w:left="425" w:right="140" w:hanging="284"/>
        <w:jc w:val="both"/>
        <w:rPr>
          <w:sz w:val="20"/>
        </w:rPr>
      </w:pPr>
      <w:r>
        <w:rPr>
          <w:color w:val="231F20"/>
          <w:sz w:val="20"/>
        </w:rPr>
        <w:t>Слушайте, что рассказывает ваш ребенок. Каждый ребенок реагирует на травму по-своему. Не следует ожидать от всех одинаковой реакции.</w:t>
      </w:r>
    </w:p>
    <w:p>
      <w:pPr>
        <w:pStyle w:val="ListParagraph"/>
        <w:numPr>
          <w:ilvl w:val="0"/>
          <w:numId w:val="64"/>
        </w:numPr>
        <w:tabs>
          <w:tab w:pos="425" w:val="left" w:leader="none"/>
        </w:tabs>
        <w:spacing w:line="237" w:lineRule="auto" w:before="2" w:after="0"/>
        <w:ind w:left="425" w:right="139" w:hanging="284"/>
        <w:jc w:val="both"/>
        <w:rPr>
          <w:sz w:val="20"/>
        </w:rPr>
      </w:pPr>
      <w:r>
        <w:rPr>
          <w:color w:val="231F20"/>
          <w:sz w:val="20"/>
        </w:rPr>
        <w:t>Обсудите произошедшее с детьми открыто и честно. Детям могут потребоваться перерывы в объяснениях. Маленьким детям нужно будет повторять важную ин- формацию</w:t>
      </w:r>
      <w:r>
        <w:rPr>
          <w:color w:val="231F20"/>
          <w:spacing w:val="-13"/>
          <w:sz w:val="20"/>
        </w:rPr>
        <w:t> </w:t>
      </w:r>
      <w:r>
        <w:rPr>
          <w:color w:val="231F20"/>
          <w:sz w:val="20"/>
        </w:rPr>
        <w:t>несколько</w:t>
      </w:r>
      <w:r>
        <w:rPr>
          <w:color w:val="231F20"/>
          <w:spacing w:val="-12"/>
          <w:sz w:val="20"/>
        </w:rPr>
        <w:t> </w:t>
      </w:r>
      <w:r>
        <w:rPr>
          <w:color w:val="231F20"/>
          <w:sz w:val="20"/>
        </w:rPr>
        <w:t>раз</w:t>
      </w:r>
      <w:r>
        <w:rPr>
          <w:color w:val="231F20"/>
          <w:spacing w:val="-13"/>
          <w:sz w:val="20"/>
        </w:rPr>
        <w:t> </w:t>
      </w:r>
      <w:r>
        <w:rPr>
          <w:color w:val="231F20"/>
          <w:sz w:val="20"/>
        </w:rPr>
        <w:t>простыми</w:t>
      </w:r>
      <w:r>
        <w:rPr>
          <w:color w:val="231F20"/>
          <w:spacing w:val="-12"/>
          <w:sz w:val="20"/>
        </w:rPr>
        <w:t> </w:t>
      </w:r>
      <w:r>
        <w:rPr>
          <w:color w:val="231F20"/>
          <w:sz w:val="20"/>
        </w:rPr>
        <w:t>словами.</w:t>
      </w:r>
      <w:r>
        <w:rPr>
          <w:color w:val="231F20"/>
          <w:spacing w:val="-13"/>
          <w:sz w:val="20"/>
        </w:rPr>
        <w:t> </w:t>
      </w:r>
      <w:r>
        <w:rPr>
          <w:color w:val="231F20"/>
          <w:sz w:val="20"/>
        </w:rPr>
        <w:t>Используйте</w:t>
      </w:r>
      <w:r>
        <w:rPr>
          <w:color w:val="231F20"/>
          <w:spacing w:val="-12"/>
          <w:sz w:val="20"/>
        </w:rPr>
        <w:t> </w:t>
      </w:r>
      <w:r>
        <w:rPr>
          <w:color w:val="231F20"/>
          <w:sz w:val="20"/>
        </w:rPr>
        <w:t>язык,</w:t>
      </w:r>
      <w:r>
        <w:rPr>
          <w:color w:val="231F20"/>
          <w:spacing w:val="-13"/>
          <w:sz w:val="20"/>
        </w:rPr>
        <w:t> </w:t>
      </w:r>
      <w:r>
        <w:rPr>
          <w:color w:val="231F20"/>
          <w:sz w:val="20"/>
        </w:rPr>
        <w:t>который</w:t>
      </w:r>
      <w:r>
        <w:rPr>
          <w:color w:val="231F20"/>
          <w:spacing w:val="-12"/>
          <w:sz w:val="20"/>
        </w:rPr>
        <w:t> </w:t>
      </w:r>
      <w:r>
        <w:rPr>
          <w:color w:val="231F20"/>
          <w:sz w:val="20"/>
        </w:rPr>
        <w:t>передает ясный смысл и соответствует возрасту.</w:t>
      </w:r>
    </w:p>
    <w:p>
      <w:pPr>
        <w:pStyle w:val="ListParagraph"/>
        <w:spacing w:after="0" w:line="237" w:lineRule="auto"/>
        <w:jc w:val="both"/>
        <w:rPr>
          <w:sz w:val="20"/>
        </w:rPr>
        <w:sectPr>
          <w:pgSz w:w="8400" w:h="11910"/>
          <w:pgMar w:header="0" w:footer="528" w:top="400" w:bottom="720" w:left="425" w:right="425"/>
        </w:sectPr>
      </w:pPr>
    </w:p>
    <w:p>
      <w:pPr>
        <w:pStyle w:val="ListParagraph"/>
        <w:numPr>
          <w:ilvl w:val="1"/>
          <w:numId w:val="45"/>
        </w:numPr>
        <w:tabs>
          <w:tab w:pos="455" w:val="left" w:leader="none"/>
        </w:tabs>
        <w:spacing w:line="240" w:lineRule="auto" w:before="80" w:after="0"/>
        <w:ind w:left="455" w:right="0" w:hanging="314"/>
        <w:jc w:val="both"/>
        <w:rPr>
          <w:rFonts w:ascii="Georgia" w:hAnsi="Georgia"/>
          <w:sz w:val="18"/>
        </w:rPr>
      </w:pPr>
      <w:r>
        <w:rPr>
          <w:rFonts w:ascii="Georgia" w:hAnsi="Georgia"/>
          <w:color w:val="231F20"/>
          <w:sz w:val="18"/>
        </w:rPr>
        <w:t>Психологическая</w:t>
      </w:r>
      <w:r>
        <w:rPr>
          <w:rFonts w:ascii="Georgia" w:hAnsi="Georgia"/>
          <w:color w:val="231F20"/>
          <w:spacing w:val="-4"/>
          <w:sz w:val="18"/>
        </w:rPr>
        <w:t> </w:t>
      </w:r>
      <w:r>
        <w:rPr>
          <w:rFonts w:ascii="Georgia" w:hAnsi="Georgia"/>
          <w:color w:val="231F20"/>
          <w:sz w:val="18"/>
        </w:rPr>
        <w:t>работа</w:t>
      </w:r>
      <w:r>
        <w:rPr>
          <w:rFonts w:ascii="Georgia" w:hAnsi="Georgia"/>
          <w:color w:val="231F20"/>
          <w:spacing w:val="-4"/>
          <w:sz w:val="18"/>
        </w:rPr>
        <w:t> </w:t>
      </w:r>
      <w:r>
        <w:rPr>
          <w:rFonts w:ascii="Georgia" w:hAnsi="Georgia"/>
          <w:color w:val="231F20"/>
          <w:sz w:val="18"/>
        </w:rPr>
        <w:t>с</w:t>
      </w:r>
      <w:r>
        <w:rPr>
          <w:rFonts w:ascii="Georgia" w:hAnsi="Georgia"/>
          <w:color w:val="231F20"/>
          <w:spacing w:val="-3"/>
          <w:sz w:val="18"/>
        </w:rPr>
        <w:t> </w:t>
      </w:r>
      <w:r>
        <w:rPr>
          <w:rFonts w:ascii="Georgia" w:hAnsi="Georgia"/>
          <w:color w:val="231F20"/>
          <w:sz w:val="18"/>
        </w:rPr>
        <w:t>детьми</w:t>
      </w:r>
      <w:r>
        <w:rPr>
          <w:rFonts w:ascii="Georgia" w:hAnsi="Georgia"/>
          <w:color w:val="231F20"/>
          <w:spacing w:val="-4"/>
          <w:sz w:val="18"/>
        </w:rPr>
        <w:t> </w:t>
      </w:r>
      <w:r>
        <w:rPr>
          <w:rFonts w:ascii="Georgia" w:hAnsi="Georgia"/>
          <w:color w:val="231F20"/>
          <w:sz w:val="18"/>
        </w:rPr>
        <w:t>...,</w:t>
      </w:r>
      <w:r>
        <w:rPr>
          <w:rFonts w:ascii="Georgia" w:hAnsi="Georgia"/>
          <w:color w:val="231F20"/>
          <w:spacing w:val="-3"/>
          <w:sz w:val="18"/>
        </w:rPr>
        <w:t> </w:t>
      </w:r>
      <w:r>
        <w:rPr>
          <w:rFonts w:ascii="Georgia" w:hAnsi="Georgia"/>
          <w:color w:val="231F20"/>
          <w:sz w:val="18"/>
        </w:rPr>
        <w:t>переживающими</w:t>
      </w:r>
      <w:r>
        <w:rPr>
          <w:rFonts w:ascii="Georgia" w:hAnsi="Georgia"/>
          <w:color w:val="231F20"/>
          <w:spacing w:val="-4"/>
          <w:sz w:val="18"/>
        </w:rPr>
        <w:t> </w:t>
      </w:r>
      <w:r>
        <w:rPr>
          <w:rFonts w:ascii="Georgia" w:hAnsi="Georgia"/>
          <w:color w:val="231F20"/>
          <w:spacing w:val="-2"/>
          <w:sz w:val="18"/>
        </w:rPr>
        <w:t>последствия...</w:t>
      </w:r>
    </w:p>
    <w:p>
      <w:pPr>
        <w:pStyle w:val="ListParagraph"/>
        <w:numPr>
          <w:ilvl w:val="2"/>
          <w:numId w:val="45"/>
        </w:numPr>
        <w:tabs>
          <w:tab w:pos="425" w:val="left" w:leader="none"/>
        </w:tabs>
        <w:spacing w:line="235" w:lineRule="auto" w:before="116" w:after="0"/>
        <w:ind w:left="425" w:right="140" w:hanging="284"/>
        <w:jc w:val="both"/>
        <w:rPr>
          <w:sz w:val="20"/>
        </w:rPr>
      </w:pPr>
      <w:r>
        <w:rPr>
          <w:color w:val="231F20"/>
          <w:sz w:val="20"/>
        </w:rPr>
        <w:t>Старайтесь быть легко доступными для своих детей, чтобы избежать излишней тревожности и стресса.</w:t>
      </w:r>
    </w:p>
    <w:p>
      <w:pPr>
        <w:pStyle w:val="ListParagraph"/>
        <w:numPr>
          <w:ilvl w:val="2"/>
          <w:numId w:val="45"/>
        </w:numPr>
        <w:tabs>
          <w:tab w:pos="425" w:val="left" w:leader="none"/>
        </w:tabs>
        <w:spacing w:line="235" w:lineRule="auto" w:before="1" w:after="0"/>
        <w:ind w:left="425" w:right="139" w:hanging="284"/>
        <w:jc w:val="both"/>
        <w:rPr>
          <w:sz w:val="20"/>
        </w:rPr>
      </w:pPr>
      <w:r>
        <w:rPr>
          <w:color w:val="231F20"/>
          <w:sz w:val="20"/>
        </w:rPr>
        <w:t>Говорите о том, что интересует ребенка: не обязательно про чувства или о том, что произошло. Разговоры про обычные житейские дела хорошо поддерживают здоровье и разряжают эмоциональное напряжение.</w:t>
      </w:r>
    </w:p>
    <w:p>
      <w:pPr>
        <w:pStyle w:val="ListParagraph"/>
        <w:numPr>
          <w:ilvl w:val="2"/>
          <w:numId w:val="45"/>
        </w:numPr>
        <w:tabs>
          <w:tab w:pos="425" w:val="left" w:leader="none"/>
        </w:tabs>
        <w:spacing w:line="235" w:lineRule="auto" w:before="2" w:after="0"/>
        <w:ind w:left="425" w:right="139" w:hanging="284"/>
        <w:jc w:val="both"/>
        <w:rPr>
          <w:sz w:val="20"/>
        </w:rPr>
      </w:pPr>
      <w:r>
        <w:rPr>
          <w:color w:val="231F20"/>
          <w:sz w:val="20"/>
        </w:rPr>
        <w:t>Придерживайтесь, насколько это возможно, привычного дневного режима, кото- рый заведен в вашей семье. Ходить в школу, проводить время с семьей, слушать сказки</w:t>
      </w:r>
      <w:r>
        <w:rPr>
          <w:color w:val="231F20"/>
          <w:spacing w:val="-3"/>
          <w:sz w:val="20"/>
        </w:rPr>
        <w:t> </w:t>
      </w:r>
      <w:r>
        <w:rPr>
          <w:color w:val="231F20"/>
          <w:sz w:val="20"/>
        </w:rPr>
        <w:t>на</w:t>
      </w:r>
      <w:r>
        <w:rPr>
          <w:color w:val="231F20"/>
          <w:spacing w:val="-3"/>
          <w:sz w:val="20"/>
        </w:rPr>
        <w:t> </w:t>
      </w:r>
      <w:r>
        <w:rPr>
          <w:color w:val="231F20"/>
          <w:sz w:val="20"/>
        </w:rPr>
        <w:t>ночь</w:t>
      </w:r>
      <w:r>
        <w:rPr>
          <w:color w:val="231F20"/>
          <w:spacing w:val="-3"/>
          <w:sz w:val="20"/>
        </w:rPr>
        <w:t> </w:t>
      </w:r>
      <w:r>
        <w:rPr>
          <w:color w:val="231F20"/>
          <w:sz w:val="20"/>
        </w:rPr>
        <w:t>—</w:t>
      </w:r>
      <w:r>
        <w:rPr>
          <w:color w:val="231F20"/>
          <w:spacing w:val="-3"/>
          <w:sz w:val="20"/>
        </w:rPr>
        <w:t> </w:t>
      </w:r>
      <w:r>
        <w:rPr>
          <w:color w:val="231F20"/>
          <w:sz w:val="20"/>
        </w:rPr>
        <w:t>все</w:t>
      </w:r>
      <w:r>
        <w:rPr>
          <w:color w:val="231F20"/>
          <w:spacing w:val="-3"/>
          <w:sz w:val="20"/>
        </w:rPr>
        <w:t> </w:t>
      </w:r>
      <w:r>
        <w:rPr>
          <w:color w:val="231F20"/>
          <w:sz w:val="20"/>
        </w:rPr>
        <w:t>это</w:t>
      </w:r>
      <w:r>
        <w:rPr>
          <w:color w:val="231F20"/>
          <w:spacing w:val="-3"/>
          <w:sz w:val="20"/>
        </w:rPr>
        <w:t> </w:t>
      </w:r>
      <w:r>
        <w:rPr>
          <w:color w:val="231F20"/>
          <w:sz w:val="20"/>
        </w:rPr>
        <w:t>может</w:t>
      </w:r>
      <w:r>
        <w:rPr>
          <w:color w:val="231F20"/>
          <w:spacing w:val="-3"/>
          <w:sz w:val="20"/>
        </w:rPr>
        <w:t> </w:t>
      </w:r>
      <w:r>
        <w:rPr>
          <w:color w:val="231F20"/>
          <w:sz w:val="20"/>
        </w:rPr>
        <w:t>успокоить</w:t>
      </w:r>
      <w:r>
        <w:rPr>
          <w:color w:val="231F20"/>
          <w:spacing w:val="-3"/>
          <w:sz w:val="20"/>
        </w:rPr>
        <w:t> </w:t>
      </w:r>
      <w:r>
        <w:rPr>
          <w:color w:val="231F20"/>
          <w:sz w:val="20"/>
        </w:rPr>
        <w:t>детей</w:t>
      </w:r>
      <w:r>
        <w:rPr>
          <w:color w:val="231F20"/>
          <w:spacing w:val="-3"/>
          <w:sz w:val="20"/>
        </w:rPr>
        <w:t> </w:t>
      </w:r>
      <w:r>
        <w:rPr>
          <w:color w:val="231F20"/>
          <w:sz w:val="20"/>
        </w:rPr>
        <w:t>и</w:t>
      </w:r>
      <w:r>
        <w:rPr>
          <w:color w:val="231F20"/>
          <w:spacing w:val="-3"/>
          <w:sz w:val="20"/>
        </w:rPr>
        <w:t> </w:t>
      </w:r>
      <w:r>
        <w:rPr>
          <w:color w:val="231F20"/>
          <w:sz w:val="20"/>
        </w:rPr>
        <w:t>дать</w:t>
      </w:r>
      <w:r>
        <w:rPr>
          <w:color w:val="231F20"/>
          <w:spacing w:val="-3"/>
          <w:sz w:val="20"/>
        </w:rPr>
        <w:t> </w:t>
      </w:r>
      <w:r>
        <w:rPr>
          <w:color w:val="231F20"/>
          <w:sz w:val="20"/>
        </w:rPr>
        <w:t>им</w:t>
      </w:r>
      <w:r>
        <w:rPr>
          <w:color w:val="231F20"/>
          <w:spacing w:val="-3"/>
          <w:sz w:val="20"/>
        </w:rPr>
        <w:t> </w:t>
      </w:r>
      <w:r>
        <w:rPr>
          <w:color w:val="231F20"/>
          <w:sz w:val="20"/>
        </w:rPr>
        <w:t>ощущение</w:t>
      </w:r>
      <w:r>
        <w:rPr>
          <w:color w:val="231F20"/>
          <w:spacing w:val="-3"/>
          <w:sz w:val="20"/>
        </w:rPr>
        <w:t> </w:t>
      </w:r>
      <w:r>
        <w:rPr>
          <w:color w:val="231F20"/>
          <w:sz w:val="20"/>
        </w:rPr>
        <w:t>безопасно- </w:t>
      </w:r>
      <w:r>
        <w:rPr>
          <w:color w:val="231F20"/>
          <w:spacing w:val="-4"/>
          <w:sz w:val="20"/>
        </w:rPr>
        <w:t>сти.</w:t>
      </w:r>
    </w:p>
    <w:p>
      <w:pPr>
        <w:pStyle w:val="ListParagraph"/>
        <w:numPr>
          <w:ilvl w:val="2"/>
          <w:numId w:val="45"/>
        </w:numPr>
        <w:tabs>
          <w:tab w:pos="425" w:val="left" w:leader="none"/>
        </w:tabs>
        <w:spacing w:line="235" w:lineRule="auto" w:before="2" w:after="0"/>
        <w:ind w:left="425" w:right="139" w:hanging="284"/>
        <w:jc w:val="both"/>
        <w:rPr>
          <w:sz w:val="20"/>
        </w:rPr>
      </w:pPr>
      <w:r>
        <w:rPr>
          <w:color w:val="231F20"/>
          <w:sz w:val="20"/>
        </w:rPr>
        <w:t>Ограничьте</w:t>
      </w:r>
      <w:r>
        <w:rPr>
          <w:color w:val="231F20"/>
          <w:spacing w:val="-3"/>
          <w:sz w:val="20"/>
        </w:rPr>
        <w:t> </w:t>
      </w:r>
      <w:r>
        <w:rPr>
          <w:color w:val="231F20"/>
          <w:sz w:val="20"/>
        </w:rPr>
        <w:t>доступ</w:t>
      </w:r>
      <w:r>
        <w:rPr>
          <w:color w:val="231F20"/>
          <w:spacing w:val="-3"/>
          <w:sz w:val="20"/>
        </w:rPr>
        <w:t> </w:t>
      </w:r>
      <w:r>
        <w:rPr>
          <w:color w:val="231F20"/>
          <w:sz w:val="20"/>
        </w:rPr>
        <w:t>к</w:t>
      </w:r>
      <w:r>
        <w:rPr>
          <w:color w:val="231F20"/>
          <w:spacing w:val="-3"/>
          <w:sz w:val="20"/>
        </w:rPr>
        <w:t> </w:t>
      </w:r>
      <w:r>
        <w:rPr>
          <w:color w:val="231F20"/>
          <w:sz w:val="20"/>
        </w:rPr>
        <w:t>телевизору</w:t>
      </w:r>
      <w:r>
        <w:rPr>
          <w:color w:val="231F20"/>
          <w:spacing w:val="-3"/>
          <w:sz w:val="20"/>
        </w:rPr>
        <w:t> </w:t>
      </w:r>
      <w:r>
        <w:rPr>
          <w:color w:val="231F20"/>
          <w:sz w:val="20"/>
        </w:rPr>
        <w:t>и</w:t>
      </w:r>
      <w:r>
        <w:rPr>
          <w:color w:val="231F20"/>
          <w:spacing w:val="-3"/>
          <w:sz w:val="20"/>
        </w:rPr>
        <w:t> </w:t>
      </w:r>
      <w:r>
        <w:rPr>
          <w:color w:val="231F20"/>
          <w:sz w:val="20"/>
        </w:rPr>
        <w:t>другим</w:t>
      </w:r>
      <w:r>
        <w:rPr>
          <w:color w:val="231F20"/>
          <w:spacing w:val="-3"/>
          <w:sz w:val="20"/>
        </w:rPr>
        <w:t> </w:t>
      </w:r>
      <w:r>
        <w:rPr>
          <w:color w:val="231F20"/>
          <w:sz w:val="20"/>
        </w:rPr>
        <w:t>средствам</w:t>
      </w:r>
      <w:r>
        <w:rPr>
          <w:color w:val="231F20"/>
          <w:spacing w:val="-3"/>
          <w:sz w:val="20"/>
        </w:rPr>
        <w:t> </w:t>
      </w:r>
      <w:r>
        <w:rPr>
          <w:color w:val="231F20"/>
          <w:sz w:val="20"/>
        </w:rPr>
        <w:t>массовой</w:t>
      </w:r>
      <w:r>
        <w:rPr>
          <w:color w:val="231F20"/>
          <w:spacing w:val="-3"/>
          <w:sz w:val="20"/>
        </w:rPr>
        <w:t> </w:t>
      </w:r>
      <w:r>
        <w:rPr>
          <w:color w:val="231F20"/>
          <w:sz w:val="20"/>
        </w:rPr>
        <w:t>информации,</w:t>
      </w:r>
      <w:r>
        <w:rPr>
          <w:color w:val="231F20"/>
          <w:spacing w:val="-3"/>
          <w:sz w:val="20"/>
        </w:rPr>
        <w:t> </w:t>
      </w:r>
      <w:r>
        <w:rPr>
          <w:color w:val="231F20"/>
          <w:sz w:val="20"/>
        </w:rPr>
        <w:t>опи- сывающим трагедии и тревожные события.</w:t>
      </w:r>
    </w:p>
    <w:p>
      <w:pPr>
        <w:pStyle w:val="ListParagraph"/>
        <w:numPr>
          <w:ilvl w:val="2"/>
          <w:numId w:val="45"/>
        </w:numPr>
        <w:tabs>
          <w:tab w:pos="425" w:val="left" w:leader="none"/>
        </w:tabs>
        <w:spacing w:line="235" w:lineRule="auto" w:before="2" w:after="0"/>
        <w:ind w:left="425" w:right="139" w:hanging="284"/>
        <w:jc w:val="both"/>
        <w:rPr>
          <w:sz w:val="20"/>
        </w:rPr>
      </w:pPr>
      <w:r>
        <w:rPr>
          <w:color w:val="231F20"/>
          <w:sz w:val="20"/>
        </w:rPr>
        <w:t>Помогите</w:t>
      </w:r>
      <w:r>
        <w:rPr>
          <w:color w:val="231F20"/>
          <w:spacing w:val="-11"/>
          <w:sz w:val="20"/>
        </w:rPr>
        <w:t> </w:t>
      </w:r>
      <w:r>
        <w:rPr>
          <w:color w:val="231F20"/>
          <w:sz w:val="20"/>
        </w:rPr>
        <w:t>детям</w:t>
      </w:r>
      <w:r>
        <w:rPr>
          <w:color w:val="231F20"/>
          <w:spacing w:val="-11"/>
          <w:sz w:val="20"/>
        </w:rPr>
        <w:t> </w:t>
      </w:r>
      <w:r>
        <w:rPr>
          <w:color w:val="231F20"/>
          <w:sz w:val="20"/>
        </w:rPr>
        <w:t>почувствовать,</w:t>
      </w:r>
      <w:r>
        <w:rPr>
          <w:color w:val="231F20"/>
          <w:spacing w:val="-11"/>
          <w:sz w:val="20"/>
        </w:rPr>
        <w:t> </w:t>
      </w:r>
      <w:r>
        <w:rPr>
          <w:color w:val="231F20"/>
          <w:sz w:val="20"/>
        </w:rPr>
        <w:t>что</w:t>
      </w:r>
      <w:r>
        <w:rPr>
          <w:color w:val="231F20"/>
          <w:spacing w:val="-11"/>
          <w:sz w:val="20"/>
        </w:rPr>
        <w:t> </w:t>
      </w:r>
      <w:r>
        <w:rPr>
          <w:color w:val="231F20"/>
          <w:sz w:val="20"/>
        </w:rPr>
        <w:t>они</w:t>
      </w:r>
      <w:r>
        <w:rPr>
          <w:color w:val="231F20"/>
          <w:spacing w:val="-11"/>
          <w:sz w:val="20"/>
        </w:rPr>
        <w:t> </w:t>
      </w:r>
      <w:r>
        <w:rPr>
          <w:color w:val="231F20"/>
          <w:sz w:val="20"/>
        </w:rPr>
        <w:t>могут</w:t>
      </w:r>
      <w:r>
        <w:rPr>
          <w:color w:val="231F20"/>
          <w:spacing w:val="-11"/>
          <w:sz w:val="20"/>
        </w:rPr>
        <w:t> </w:t>
      </w:r>
      <w:r>
        <w:rPr>
          <w:color w:val="231F20"/>
          <w:sz w:val="20"/>
        </w:rPr>
        <w:t>контролировать</w:t>
      </w:r>
      <w:r>
        <w:rPr>
          <w:color w:val="231F20"/>
          <w:spacing w:val="-11"/>
          <w:sz w:val="20"/>
        </w:rPr>
        <w:t> </w:t>
      </w:r>
      <w:r>
        <w:rPr>
          <w:color w:val="231F20"/>
          <w:sz w:val="20"/>
        </w:rPr>
        <w:t>ситуацию</w:t>
      </w:r>
      <w:r>
        <w:rPr>
          <w:color w:val="231F20"/>
          <w:spacing w:val="-11"/>
          <w:sz w:val="20"/>
        </w:rPr>
        <w:t> </w:t>
      </w:r>
      <w:r>
        <w:rPr>
          <w:color w:val="231F20"/>
          <w:sz w:val="20"/>
        </w:rPr>
        <w:t>и</w:t>
      </w:r>
      <w:r>
        <w:rPr>
          <w:color w:val="231F20"/>
          <w:spacing w:val="-11"/>
          <w:sz w:val="20"/>
        </w:rPr>
        <w:t> </w:t>
      </w:r>
      <w:r>
        <w:rPr>
          <w:color w:val="231F20"/>
          <w:sz w:val="20"/>
        </w:rPr>
        <w:t>влиять на нее. Например, позвольте им решать, что готовить на обед или что делать ве- </w:t>
      </w:r>
      <w:r>
        <w:rPr>
          <w:color w:val="231F20"/>
          <w:spacing w:val="-2"/>
          <w:sz w:val="20"/>
        </w:rPr>
        <w:t>чером.</w:t>
      </w:r>
    </w:p>
    <w:p>
      <w:pPr>
        <w:pStyle w:val="ListParagraph"/>
        <w:numPr>
          <w:ilvl w:val="2"/>
          <w:numId w:val="45"/>
        </w:numPr>
        <w:tabs>
          <w:tab w:pos="424" w:val="left" w:leader="none"/>
        </w:tabs>
        <w:spacing w:line="226" w:lineRule="exact" w:before="0" w:after="0"/>
        <w:ind w:left="424" w:right="0" w:hanging="283"/>
        <w:jc w:val="both"/>
        <w:rPr>
          <w:sz w:val="20"/>
        </w:rPr>
      </w:pPr>
      <w:r>
        <w:rPr>
          <w:color w:val="231F20"/>
          <w:sz w:val="20"/>
        </w:rPr>
        <w:t>Убеждайте</w:t>
      </w:r>
      <w:r>
        <w:rPr>
          <w:color w:val="231F20"/>
          <w:spacing w:val="-6"/>
          <w:sz w:val="20"/>
        </w:rPr>
        <w:t> </w:t>
      </w:r>
      <w:r>
        <w:rPr>
          <w:color w:val="231F20"/>
          <w:sz w:val="20"/>
        </w:rPr>
        <w:t>ваших</w:t>
      </w:r>
      <w:r>
        <w:rPr>
          <w:color w:val="231F20"/>
          <w:spacing w:val="-3"/>
          <w:sz w:val="20"/>
        </w:rPr>
        <w:t> </w:t>
      </w:r>
      <w:r>
        <w:rPr>
          <w:color w:val="231F20"/>
          <w:sz w:val="20"/>
        </w:rPr>
        <w:t>детей,</w:t>
      </w:r>
      <w:r>
        <w:rPr>
          <w:color w:val="231F20"/>
          <w:spacing w:val="-4"/>
          <w:sz w:val="20"/>
        </w:rPr>
        <w:t> </w:t>
      </w:r>
      <w:r>
        <w:rPr>
          <w:color w:val="231F20"/>
          <w:sz w:val="20"/>
        </w:rPr>
        <w:t>что</w:t>
      </w:r>
      <w:r>
        <w:rPr>
          <w:color w:val="231F20"/>
          <w:spacing w:val="-3"/>
          <w:sz w:val="20"/>
        </w:rPr>
        <w:t> </w:t>
      </w:r>
      <w:r>
        <w:rPr>
          <w:color w:val="231F20"/>
          <w:sz w:val="20"/>
        </w:rPr>
        <w:t>произошедшее</w:t>
      </w:r>
      <w:r>
        <w:rPr>
          <w:color w:val="231F20"/>
          <w:spacing w:val="-3"/>
          <w:sz w:val="20"/>
        </w:rPr>
        <w:t> </w:t>
      </w:r>
      <w:r>
        <w:rPr>
          <w:color w:val="231F20"/>
          <w:sz w:val="20"/>
        </w:rPr>
        <w:t>ни</w:t>
      </w:r>
      <w:r>
        <w:rPr>
          <w:color w:val="231F20"/>
          <w:spacing w:val="-5"/>
          <w:sz w:val="20"/>
        </w:rPr>
        <w:t> </w:t>
      </w:r>
      <w:r>
        <w:rPr>
          <w:color w:val="231F20"/>
          <w:sz w:val="20"/>
        </w:rPr>
        <w:t>в</w:t>
      </w:r>
      <w:r>
        <w:rPr>
          <w:color w:val="231F20"/>
          <w:spacing w:val="-4"/>
          <w:sz w:val="20"/>
        </w:rPr>
        <w:t> </w:t>
      </w:r>
      <w:r>
        <w:rPr>
          <w:color w:val="231F20"/>
          <w:sz w:val="20"/>
        </w:rPr>
        <w:t>коем</w:t>
      </w:r>
      <w:r>
        <w:rPr>
          <w:color w:val="231F20"/>
          <w:spacing w:val="-3"/>
          <w:sz w:val="20"/>
        </w:rPr>
        <w:t> </w:t>
      </w:r>
      <w:r>
        <w:rPr>
          <w:color w:val="231F20"/>
          <w:sz w:val="20"/>
        </w:rPr>
        <w:t>случае</w:t>
      </w:r>
      <w:r>
        <w:rPr>
          <w:color w:val="231F20"/>
          <w:spacing w:val="-4"/>
          <w:sz w:val="20"/>
        </w:rPr>
        <w:t> </w:t>
      </w:r>
      <w:r>
        <w:rPr>
          <w:color w:val="231F20"/>
          <w:sz w:val="20"/>
        </w:rPr>
        <w:t>не</w:t>
      </w:r>
      <w:r>
        <w:rPr>
          <w:color w:val="231F20"/>
          <w:spacing w:val="-3"/>
          <w:sz w:val="20"/>
        </w:rPr>
        <w:t> </w:t>
      </w:r>
      <w:r>
        <w:rPr>
          <w:color w:val="231F20"/>
          <w:sz w:val="20"/>
        </w:rPr>
        <w:t>их</w:t>
      </w:r>
      <w:r>
        <w:rPr>
          <w:color w:val="231F20"/>
          <w:spacing w:val="-3"/>
          <w:sz w:val="20"/>
        </w:rPr>
        <w:t> </w:t>
      </w:r>
      <w:r>
        <w:rPr>
          <w:color w:val="231F20"/>
          <w:spacing w:val="-2"/>
          <w:sz w:val="20"/>
        </w:rPr>
        <w:t>вина.</w:t>
      </w:r>
    </w:p>
    <w:p>
      <w:pPr>
        <w:pStyle w:val="ListParagraph"/>
        <w:numPr>
          <w:ilvl w:val="2"/>
          <w:numId w:val="45"/>
        </w:numPr>
        <w:tabs>
          <w:tab w:pos="425" w:val="left" w:leader="none"/>
        </w:tabs>
        <w:spacing w:line="235" w:lineRule="auto" w:before="1" w:after="0"/>
        <w:ind w:left="425" w:right="139" w:hanging="284"/>
        <w:jc w:val="both"/>
        <w:rPr>
          <w:sz w:val="20"/>
        </w:rPr>
      </w:pPr>
      <w:r>
        <w:rPr>
          <w:color w:val="231F20"/>
          <w:sz w:val="20"/>
        </w:rPr>
        <w:t>Служите для детей примером, как управлять сильными эмоциями (например, страхом, печалью, гневом, горем). Помогите им понять, что взрослые могут ис- пытывать</w:t>
      </w:r>
      <w:r>
        <w:rPr>
          <w:color w:val="231F20"/>
          <w:spacing w:val="-13"/>
          <w:sz w:val="20"/>
        </w:rPr>
        <w:t> </w:t>
      </w:r>
      <w:r>
        <w:rPr>
          <w:color w:val="231F20"/>
          <w:sz w:val="20"/>
        </w:rPr>
        <w:t>похожие</w:t>
      </w:r>
      <w:r>
        <w:rPr>
          <w:color w:val="231F20"/>
          <w:spacing w:val="-12"/>
          <w:sz w:val="20"/>
        </w:rPr>
        <w:t> </w:t>
      </w:r>
      <w:r>
        <w:rPr>
          <w:color w:val="231F20"/>
          <w:sz w:val="20"/>
        </w:rPr>
        <w:t>чувства,</w:t>
      </w:r>
      <w:r>
        <w:rPr>
          <w:color w:val="231F20"/>
          <w:spacing w:val="-13"/>
          <w:sz w:val="20"/>
        </w:rPr>
        <w:t> </w:t>
      </w:r>
      <w:r>
        <w:rPr>
          <w:color w:val="231F20"/>
          <w:sz w:val="20"/>
        </w:rPr>
        <w:t>но</w:t>
      </w:r>
      <w:r>
        <w:rPr>
          <w:color w:val="231F20"/>
          <w:spacing w:val="-12"/>
          <w:sz w:val="20"/>
        </w:rPr>
        <w:t> </w:t>
      </w:r>
      <w:r>
        <w:rPr>
          <w:color w:val="231F20"/>
          <w:sz w:val="20"/>
        </w:rPr>
        <w:t>они</w:t>
      </w:r>
      <w:r>
        <w:rPr>
          <w:color w:val="231F20"/>
          <w:spacing w:val="-13"/>
          <w:sz w:val="20"/>
        </w:rPr>
        <w:t> </w:t>
      </w:r>
      <w:r>
        <w:rPr>
          <w:color w:val="231F20"/>
          <w:sz w:val="20"/>
        </w:rPr>
        <w:t>справляются</w:t>
      </w:r>
      <w:r>
        <w:rPr>
          <w:color w:val="231F20"/>
          <w:spacing w:val="-12"/>
          <w:sz w:val="20"/>
        </w:rPr>
        <w:t> </w:t>
      </w:r>
      <w:r>
        <w:rPr>
          <w:color w:val="231F20"/>
          <w:sz w:val="20"/>
        </w:rPr>
        <w:t>со</w:t>
      </w:r>
      <w:r>
        <w:rPr>
          <w:color w:val="231F20"/>
          <w:spacing w:val="-13"/>
          <w:sz w:val="20"/>
        </w:rPr>
        <w:t> </w:t>
      </w:r>
      <w:r>
        <w:rPr>
          <w:color w:val="231F20"/>
          <w:sz w:val="20"/>
        </w:rPr>
        <w:t>страхом,</w:t>
      </w:r>
      <w:r>
        <w:rPr>
          <w:color w:val="231F20"/>
          <w:spacing w:val="-12"/>
          <w:sz w:val="20"/>
        </w:rPr>
        <w:t> </w:t>
      </w:r>
      <w:r>
        <w:rPr>
          <w:color w:val="231F20"/>
          <w:sz w:val="20"/>
        </w:rPr>
        <w:t>разговаривая</w:t>
      </w:r>
      <w:r>
        <w:rPr>
          <w:color w:val="231F20"/>
          <w:spacing w:val="-13"/>
          <w:sz w:val="20"/>
        </w:rPr>
        <w:t> </w:t>
      </w:r>
      <w:r>
        <w:rPr>
          <w:color w:val="231F20"/>
          <w:sz w:val="20"/>
        </w:rPr>
        <w:t>и</w:t>
      </w:r>
      <w:r>
        <w:rPr>
          <w:color w:val="231F20"/>
          <w:spacing w:val="-12"/>
          <w:sz w:val="20"/>
        </w:rPr>
        <w:t> </w:t>
      </w:r>
      <w:r>
        <w:rPr>
          <w:color w:val="231F20"/>
          <w:sz w:val="20"/>
        </w:rPr>
        <w:t>делясь своими чувствами с другими, когда это уместно. Сильные эмоции также можно выразить при помощи физических игр, рассказывания историй, музыкальной и художественной деятельности.</w:t>
      </w:r>
    </w:p>
    <w:p>
      <w:pPr>
        <w:pStyle w:val="ListParagraph"/>
        <w:numPr>
          <w:ilvl w:val="2"/>
          <w:numId w:val="45"/>
        </w:numPr>
        <w:tabs>
          <w:tab w:pos="425" w:val="left" w:leader="none"/>
        </w:tabs>
        <w:spacing w:line="235" w:lineRule="auto" w:before="4" w:after="0"/>
        <w:ind w:left="425" w:right="139" w:hanging="284"/>
        <w:jc w:val="both"/>
        <w:rPr>
          <w:sz w:val="20"/>
        </w:rPr>
      </w:pPr>
      <w:r>
        <w:rPr>
          <w:color w:val="231F20"/>
          <w:sz w:val="20"/>
        </w:rPr>
        <w:t>Относитесь с пониманием и терпением, если дети вдруг начинают вести себя не по</w:t>
      </w:r>
      <w:r>
        <w:rPr>
          <w:color w:val="231F20"/>
          <w:spacing w:val="-12"/>
          <w:sz w:val="20"/>
        </w:rPr>
        <w:t> </w:t>
      </w:r>
      <w:r>
        <w:rPr>
          <w:color w:val="231F20"/>
          <w:sz w:val="20"/>
        </w:rPr>
        <w:t>возрасту.</w:t>
      </w:r>
      <w:r>
        <w:rPr>
          <w:color w:val="231F20"/>
          <w:spacing w:val="-12"/>
          <w:sz w:val="20"/>
        </w:rPr>
        <w:t> </w:t>
      </w:r>
      <w:r>
        <w:rPr>
          <w:color w:val="231F20"/>
          <w:sz w:val="20"/>
        </w:rPr>
        <w:t>Например,</w:t>
      </w:r>
      <w:r>
        <w:rPr>
          <w:color w:val="231F20"/>
          <w:spacing w:val="-12"/>
          <w:sz w:val="20"/>
        </w:rPr>
        <w:t> </w:t>
      </w:r>
      <w:r>
        <w:rPr>
          <w:color w:val="231F20"/>
          <w:sz w:val="20"/>
        </w:rPr>
        <w:t>ребенок</w:t>
      </w:r>
      <w:r>
        <w:rPr>
          <w:color w:val="231F20"/>
          <w:spacing w:val="-12"/>
          <w:sz w:val="20"/>
        </w:rPr>
        <w:t> </w:t>
      </w:r>
      <w:r>
        <w:rPr>
          <w:color w:val="231F20"/>
          <w:sz w:val="20"/>
        </w:rPr>
        <w:t>может</w:t>
      </w:r>
      <w:r>
        <w:rPr>
          <w:color w:val="231F20"/>
          <w:spacing w:val="-12"/>
          <w:sz w:val="20"/>
        </w:rPr>
        <w:t> </w:t>
      </w:r>
      <w:r>
        <w:rPr>
          <w:color w:val="231F20"/>
          <w:sz w:val="20"/>
        </w:rPr>
        <w:t>забыть,</w:t>
      </w:r>
      <w:r>
        <w:rPr>
          <w:color w:val="231F20"/>
          <w:spacing w:val="-12"/>
          <w:sz w:val="20"/>
        </w:rPr>
        <w:t> </w:t>
      </w:r>
      <w:r>
        <w:rPr>
          <w:color w:val="231F20"/>
          <w:sz w:val="20"/>
        </w:rPr>
        <w:t>как</w:t>
      </w:r>
      <w:r>
        <w:rPr>
          <w:color w:val="231F20"/>
          <w:spacing w:val="-12"/>
          <w:sz w:val="20"/>
        </w:rPr>
        <w:t> </w:t>
      </w:r>
      <w:r>
        <w:rPr>
          <w:color w:val="231F20"/>
          <w:sz w:val="20"/>
        </w:rPr>
        <w:t>пользоваться</w:t>
      </w:r>
      <w:r>
        <w:rPr>
          <w:color w:val="231F20"/>
          <w:spacing w:val="-12"/>
          <w:sz w:val="20"/>
        </w:rPr>
        <w:t> </w:t>
      </w:r>
      <w:r>
        <w:rPr>
          <w:color w:val="231F20"/>
          <w:sz w:val="20"/>
        </w:rPr>
        <w:t>горшком,</w:t>
      </w:r>
      <w:r>
        <w:rPr>
          <w:color w:val="231F20"/>
          <w:spacing w:val="-12"/>
          <w:sz w:val="20"/>
        </w:rPr>
        <w:t> </w:t>
      </w:r>
      <w:r>
        <w:rPr>
          <w:color w:val="231F20"/>
          <w:sz w:val="20"/>
        </w:rPr>
        <w:t>или</w:t>
      </w:r>
      <w:r>
        <w:rPr>
          <w:color w:val="231F20"/>
          <w:spacing w:val="-12"/>
          <w:sz w:val="20"/>
        </w:rPr>
        <w:t> </w:t>
      </w:r>
      <w:r>
        <w:rPr>
          <w:color w:val="231F20"/>
          <w:sz w:val="20"/>
        </w:rPr>
        <w:t>бу- дет бояться засыпать ночью один.</w:t>
      </w:r>
    </w:p>
    <w:p>
      <w:pPr>
        <w:pStyle w:val="ListParagraph"/>
        <w:numPr>
          <w:ilvl w:val="2"/>
          <w:numId w:val="45"/>
        </w:numPr>
        <w:tabs>
          <w:tab w:pos="425" w:val="left" w:leader="none"/>
        </w:tabs>
        <w:spacing w:line="235" w:lineRule="auto" w:before="2" w:after="0"/>
        <w:ind w:left="425" w:right="139" w:hanging="284"/>
        <w:jc w:val="both"/>
        <w:rPr>
          <w:sz w:val="20"/>
        </w:rPr>
      </w:pPr>
      <w:r>
        <w:rPr>
          <w:color w:val="231F20"/>
          <w:sz w:val="20"/>
        </w:rPr>
        <w:t>Помогите</w:t>
      </w:r>
      <w:r>
        <w:rPr>
          <w:color w:val="231F20"/>
          <w:spacing w:val="-7"/>
          <w:sz w:val="20"/>
        </w:rPr>
        <w:t> </w:t>
      </w:r>
      <w:r>
        <w:rPr>
          <w:color w:val="231F20"/>
          <w:sz w:val="20"/>
        </w:rPr>
        <w:t>детям</w:t>
      </w:r>
      <w:r>
        <w:rPr>
          <w:color w:val="231F20"/>
          <w:spacing w:val="-7"/>
          <w:sz w:val="20"/>
        </w:rPr>
        <w:t> </w:t>
      </w:r>
      <w:r>
        <w:rPr>
          <w:color w:val="231F20"/>
          <w:sz w:val="20"/>
        </w:rPr>
        <w:t>меньше</w:t>
      </w:r>
      <w:r>
        <w:rPr>
          <w:color w:val="231F20"/>
          <w:spacing w:val="-7"/>
          <w:sz w:val="20"/>
        </w:rPr>
        <w:t> </w:t>
      </w:r>
      <w:r>
        <w:rPr>
          <w:color w:val="231F20"/>
          <w:sz w:val="20"/>
        </w:rPr>
        <w:t>думать</w:t>
      </w:r>
      <w:r>
        <w:rPr>
          <w:color w:val="231F20"/>
          <w:spacing w:val="-7"/>
          <w:sz w:val="20"/>
        </w:rPr>
        <w:t> </w:t>
      </w:r>
      <w:r>
        <w:rPr>
          <w:color w:val="231F20"/>
          <w:sz w:val="20"/>
        </w:rPr>
        <w:t>о</w:t>
      </w:r>
      <w:r>
        <w:rPr>
          <w:color w:val="231F20"/>
          <w:spacing w:val="-7"/>
          <w:sz w:val="20"/>
        </w:rPr>
        <w:t> </w:t>
      </w:r>
      <w:r>
        <w:rPr>
          <w:color w:val="231F20"/>
          <w:sz w:val="20"/>
        </w:rPr>
        <w:t>травмирующей</w:t>
      </w:r>
      <w:r>
        <w:rPr>
          <w:color w:val="231F20"/>
          <w:spacing w:val="-7"/>
          <w:sz w:val="20"/>
        </w:rPr>
        <w:t> </w:t>
      </w:r>
      <w:r>
        <w:rPr>
          <w:color w:val="231F20"/>
          <w:sz w:val="20"/>
        </w:rPr>
        <w:t>ситуации.</w:t>
      </w:r>
      <w:r>
        <w:rPr>
          <w:color w:val="231F20"/>
          <w:spacing w:val="-7"/>
          <w:sz w:val="20"/>
        </w:rPr>
        <w:t> </w:t>
      </w:r>
      <w:r>
        <w:rPr>
          <w:color w:val="231F20"/>
          <w:sz w:val="20"/>
        </w:rPr>
        <w:t>Напоминайте</w:t>
      </w:r>
      <w:r>
        <w:rPr>
          <w:color w:val="231F20"/>
          <w:spacing w:val="-7"/>
          <w:sz w:val="20"/>
        </w:rPr>
        <w:t> </w:t>
      </w:r>
      <w:r>
        <w:rPr>
          <w:color w:val="231F20"/>
          <w:sz w:val="20"/>
        </w:rPr>
        <w:t>им,</w:t>
      </w:r>
      <w:r>
        <w:rPr>
          <w:color w:val="231F20"/>
          <w:spacing w:val="-7"/>
          <w:sz w:val="20"/>
        </w:rPr>
        <w:t> </w:t>
      </w:r>
      <w:r>
        <w:rPr>
          <w:color w:val="231F20"/>
          <w:sz w:val="20"/>
        </w:rPr>
        <w:t>что сейчас они с вами и в безопасности.</w:t>
      </w:r>
    </w:p>
    <w:p>
      <w:pPr>
        <w:pStyle w:val="ListParagraph"/>
        <w:numPr>
          <w:ilvl w:val="2"/>
          <w:numId w:val="45"/>
        </w:numPr>
        <w:tabs>
          <w:tab w:pos="424" w:val="left" w:leader="none"/>
        </w:tabs>
        <w:spacing w:line="225" w:lineRule="exact" w:before="0" w:after="0"/>
        <w:ind w:left="424" w:right="0" w:hanging="283"/>
        <w:jc w:val="both"/>
        <w:rPr>
          <w:sz w:val="20"/>
        </w:rPr>
      </w:pPr>
      <w:r>
        <w:rPr>
          <w:color w:val="231F20"/>
          <w:sz w:val="20"/>
        </w:rPr>
        <w:t>Не</w:t>
      </w:r>
      <w:r>
        <w:rPr>
          <w:color w:val="231F20"/>
          <w:spacing w:val="-12"/>
          <w:sz w:val="20"/>
        </w:rPr>
        <w:t> </w:t>
      </w:r>
      <w:r>
        <w:rPr>
          <w:color w:val="231F20"/>
          <w:sz w:val="20"/>
        </w:rPr>
        <w:t>пытайтесь</w:t>
      </w:r>
      <w:r>
        <w:rPr>
          <w:color w:val="231F20"/>
          <w:spacing w:val="-10"/>
          <w:sz w:val="20"/>
        </w:rPr>
        <w:t> </w:t>
      </w:r>
      <w:r>
        <w:rPr>
          <w:color w:val="231F20"/>
          <w:sz w:val="20"/>
        </w:rPr>
        <w:t>притворно</w:t>
      </w:r>
      <w:r>
        <w:rPr>
          <w:color w:val="231F20"/>
          <w:spacing w:val="-9"/>
          <w:sz w:val="20"/>
        </w:rPr>
        <w:t> </w:t>
      </w:r>
      <w:r>
        <w:rPr>
          <w:color w:val="231F20"/>
          <w:sz w:val="20"/>
        </w:rPr>
        <w:t>успокоить</w:t>
      </w:r>
      <w:r>
        <w:rPr>
          <w:color w:val="231F20"/>
          <w:spacing w:val="-10"/>
          <w:sz w:val="20"/>
        </w:rPr>
        <w:t> </w:t>
      </w:r>
      <w:r>
        <w:rPr>
          <w:color w:val="231F20"/>
          <w:sz w:val="20"/>
        </w:rPr>
        <w:t>или</w:t>
      </w:r>
      <w:r>
        <w:rPr>
          <w:color w:val="231F20"/>
          <w:spacing w:val="-9"/>
          <w:sz w:val="20"/>
        </w:rPr>
        <w:t> </w:t>
      </w:r>
      <w:r>
        <w:rPr>
          <w:color w:val="231F20"/>
          <w:sz w:val="20"/>
        </w:rPr>
        <w:t>дать</w:t>
      </w:r>
      <w:r>
        <w:rPr>
          <w:color w:val="231F20"/>
          <w:spacing w:val="-10"/>
          <w:sz w:val="20"/>
        </w:rPr>
        <w:t> </w:t>
      </w:r>
      <w:r>
        <w:rPr>
          <w:color w:val="231F20"/>
          <w:sz w:val="20"/>
        </w:rPr>
        <w:t>понять,</w:t>
      </w:r>
      <w:r>
        <w:rPr>
          <w:color w:val="231F20"/>
          <w:spacing w:val="-10"/>
          <w:sz w:val="20"/>
        </w:rPr>
        <w:t> </w:t>
      </w:r>
      <w:r>
        <w:rPr>
          <w:color w:val="231F20"/>
          <w:sz w:val="20"/>
        </w:rPr>
        <w:t>что</w:t>
      </w:r>
      <w:r>
        <w:rPr>
          <w:color w:val="231F20"/>
          <w:spacing w:val="-9"/>
          <w:sz w:val="20"/>
        </w:rPr>
        <w:t> </w:t>
      </w:r>
      <w:r>
        <w:rPr>
          <w:color w:val="231F20"/>
          <w:sz w:val="20"/>
        </w:rPr>
        <w:t>событие</w:t>
      </w:r>
      <w:r>
        <w:rPr>
          <w:color w:val="231F20"/>
          <w:spacing w:val="-10"/>
          <w:sz w:val="20"/>
        </w:rPr>
        <w:t> </w:t>
      </w:r>
      <w:r>
        <w:rPr>
          <w:color w:val="231F20"/>
          <w:sz w:val="20"/>
        </w:rPr>
        <w:t>не</w:t>
      </w:r>
      <w:r>
        <w:rPr>
          <w:color w:val="231F20"/>
          <w:spacing w:val="-9"/>
          <w:sz w:val="20"/>
        </w:rPr>
        <w:t> </w:t>
      </w:r>
      <w:r>
        <w:rPr>
          <w:color w:val="231F20"/>
          <w:spacing w:val="-2"/>
          <w:sz w:val="20"/>
        </w:rPr>
        <w:t>происходило.</w:t>
      </w:r>
    </w:p>
    <w:p>
      <w:pPr>
        <w:pStyle w:val="ListParagraph"/>
        <w:numPr>
          <w:ilvl w:val="2"/>
          <w:numId w:val="45"/>
        </w:numPr>
        <w:tabs>
          <w:tab w:pos="425" w:val="left" w:leader="none"/>
        </w:tabs>
        <w:spacing w:line="235" w:lineRule="auto" w:before="2" w:after="0"/>
        <w:ind w:left="425" w:right="139" w:hanging="284"/>
        <w:jc w:val="both"/>
        <w:rPr>
          <w:sz w:val="20"/>
        </w:rPr>
      </w:pPr>
      <w:r>
        <w:rPr>
          <w:color w:val="231F20"/>
          <w:sz w:val="20"/>
        </w:rPr>
        <w:t>Когда дети, особенно маленькие, находятся в состоянии стресса, то успокаиваю- щие</w:t>
      </w:r>
      <w:r>
        <w:rPr>
          <w:color w:val="231F20"/>
          <w:spacing w:val="-6"/>
          <w:sz w:val="20"/>
        </w:rPr>
        <w:t> </w:t>
      </w:r>
      <w:r>
        <w:rPr>
          <w:color w:val="231F20"/>
          <w:sz w:val="20"/>
        </w:rPr>
        <w:t>объятья</w:t>
      </w:r>
      <w:r>
        <w:rPr>
          <w:color w:val="231F20"/>
          <w:spacing w:val="-6"/>
          <w:sz w:val="20"/>
        </w:rPr>
        <w:t> </w:t>
      </w:r>
      <w:r>
        <w:rPr>
          <w:color w:val="231F20"/>
          <w:sz w:val="20"/>
        </w:rPr>
        <w:t>и</w:t>
      </w:r>
      <w:r>
        <w:rPr>
          <w:color w:val="231F20"/>
          <w:spacing w:val="-6"/>
          <w:sz w:val="20"/>
        </w:rPr>
        <w:t> </w:t>
      </w:r>
      <w:r>
        <w:rPr>
          <w:color w:val="231F20"/>
          <w:sz w:val="20"/>
        </w:rPr>
        <w:t>физический</w:t>
      </w:r>
      <w:r>
        <w:rPr>
          <w:color w:val="231F20"/>
          <w:spacing w:val="-6"/>
          <w:sz w:val="20"/>
        </w:rPr>
        <w:t> </w:t>
      </w:r>
      <w:r>
        <w:rPr>
          <w:color w:val="231F20"/>
          <w:sz w:val="20"/>
        </w:rPr>
        <w:t>контакт</w:t>
      </w:r>
      <w:r>
        <w:rPr>
          <w:color w:val="231F20"/>
          <w:spacing w:val="-6"/>
          <w:sz w:val="20"/>
        </w:rPr>
        <w:t> </w:t>
      </w:r>
      <w:r>
        <w:rPr>
          <w:color w:val="231F20"/>
          <w:sz w:val="20"/>
        </w:rPr>
        <w:t>приносят</w:t>
      </w:r>
      <w:r>
        <w:rPr>
          <w:color w:val="231F20"/>
          <w:spacing w:val="-6"/>
          <w:sz w:val="20"/>
        </w:rPr>
        <w:t> </w:t>
      </w:r>
      <w:r>
        <w:rPr>
          <w:color w:val="231F20"/>
          <w:sz w:val="20"/>
        </w:rPr>
        <w:t>гораздо</w:t>
      </w:r>
      <w:r>
        <w:rPr>
          <w:color w:val="231F20"/>
          <w:spacing w:val="-6"/>
          <w:sz w:val="20"/>
        </w:rPr>
        <w:t> </w:t>
      </w:r>
      <w:r>
        <w:rPr>
          <w:color w:val="231F20"/>
          <w:sz w:val="20"/>
        </w:rPr>
        <w:t>больше</w:t>
      </w:r>
      <w:r>
        <w:rPr>
          <w:color w:val="231F20"/>
          <w:spacing w:val="-6"/>
          <w:sz w:val="20"/>
        </w:rPr>
        <w:t> </w:t>
      </w:r>
      <w:r>
        <w:rPr>
          <w:color w:val="231F20"/>
          <w:sz w:val="20"/>
        </w:rPr>
        <w:t>пользы,</w:t>
      </w:r>
      <w:r>
        <w:rPr>
          <w:color w:val="231F20"/>
          <w:spacing w:val="-6"/>
          <w:sz w:val="20"/>
        </w:rPr>
        <w:t> </w:t>
      </w:r>
      <w:r>
        <w:rPr>
          <w:color w:val="231F20"/>
          <w:sz w:val="20"/>
        </w:rPr>
        <w:t>чем</w:t>
      </w:r>
      <w:r>
        <w:rPr>
          <w:color w:val="231F20"/>
          <w:spacing w:val="-6"/>
          <w:sz w:val="20"/>
        </w:rPr>
        <w:t> </w:t>
      </w:r>
      <w:r>
        <w:rPr>
          <w:color w:val="231F20"/>
          <w:sz w:val="20"/>
        </w:rPr>
        <w:t>успока- ивающие слова.</w:t>
      </w:r>
    </w:p>
    <w:p>
      <w:pPr>
        <w:pStyle w:val="ListParagraph"/>
        <w:numPr>
          <w:ilvl w:val="2"/>
          <w:numId w:val="45"/>
        </w:numPr>
        <w:tabs>
          <w:tab w:pos="425" w:val="left" w:leader="none"/>
        </w:tabs>
        <w:spacing w:line="235" w:lineRule="auto" w:before="1" w:after="0"/>
        <w:ind w:left="425" w:right="139" w:hanging="284"/>
        <w:jc w:val="both"/>
        <w:rPr>
          <w:sz w:val="20"/>
        </w:rPr>
      </w:pPr>
      <w:r>
        <w:rPr>
          <w:color w:val="231F20"/>
          <w:sz w:val="20"/>
        </w:rPr>
        <w:t>Планируйте встречи и поездки заранее. И перед поездкой подробно расскажите, что планируете сделать, с кем встретиться. Обязательно предупредите, если пла- ны изменятся.</w:t>
      </w:r>
    </w:p>
    <w:p>
      <w:pPr>
        <w:pStyle w:val="ListParagraph"/>
        <w:numPr>
          <w:ilvl w:val="2"/>
          <w:numId w:val="45"/>
        </w:numPr>
        <w:tabs>
          <w:tab w:pos="425" w:val="left" w:leader="none"/>
        </w:tabs>
        <w:spacing w:line="235" w:lineRule="auto" w:before="2" w:after="0"/>
        <w:ind w:left="425" w:right="139" w:hanging="284"/>
        <w:jc w:val="both"/>
        <w:rPr>
          <w:sz w:val="20"/>
        </w:rPr>
      </w:pPr>
      <w:r>
        <w:rPr>
          <w:color w:val="231F20"/>
          <w:sz w:val="20"/>
        </w:rPr>
        <w:t>Выучите сами и обучите детей навыкам релаксации. Запишите несколько спосо- бов вместе на карточку, чтобы при необходимости выбрать подходящий.</w:t>
      </w:r>
    </w:p>
    <w:p>
      <w:pPr>
        <w:pStyle w:val="ListParagraph"/>
        <w:numPr>
          <w:ilvl w:val="2"/>
          <w:numId w:val="45"/>
        </w:numPr>
        <w:tabs>
          <w:tab w:pos="425" w:val="left" w:leader="none"/>
        </w:tabs>
        <w:spacing w:line="235" w:lineRule="auto" w:before="2" w:after="0"/>
        <w:ind w:left="425" w:right="139" w:hanging="284"/>
        <w:jc w:val="both"/>
        <w:rPr>
          <w:sz w:val="20"/>
        </w:rPr>
      </w:pPr>
      <w:r>
        <w:rPr>
          <w:color w:val="231F20"/>
          <w:sz w:val="20"/>
        </w:rPr>
        <w:t>Поддерживайте себя в ресурсе, достаточном для того, чтобы помочь себе и под- держать своего ребенка в любой ситуации.</w:t>
      </w:r>
    </w:p>
    <w:p>
      <w:pPr>
        <w:pStyle w:val="ListParagraph"/>
        <w:spacing w:after="0" w:line="235" w:lineRule="auto"/>
        <w:jc w:val="both"/>
        <w:rPr>
          <w:sz w:val="20"/>
        </w:rPr>
        <w:sectPr>
          <w:pgSz w:w="8400" w:h="11910"/>
          <w:pgMar w:header="0" w:footer="528" w:top="400" w:bottom="740" w:left="425" w:right="425"/>
        </w:sectPr>
      </w:pPr>
    </w:p>
    <w:p>
      <w:pPr>
        <w:spacing w:before="80"/>
        <w:ind w:left="141" w:right="139" w:firstLine="0"/>
        <w:jc w:val="right"/>
        <w:rPr>
          <w:rFonts w:ascii="Georgia" w:hAnsi="Georgia"/>
          <w:sz w:val="18"/>
        </w:rPr>
      </w:pPr>
      <w:bookmarkStart w:name="_bookmark47" w:id="49"/>
      <w:bookmarkEnd w:id="49"/>
      <w:r>
        <w:rPr/>
      </w:r>
      <w:r>
        <w:rPr>
          <w:rFonts w:ascii="Georgia" w:hAnsi="Georgia"/>
          <w:color w:val="231F20"/>
          <w:spacing w:val="-2"/>
          <w:sz w:val="18"/>
        </w:rPr>
        <w:t>Раздел</w:t>
      </w:r>
      <w:r>
        <w:rPr>
          <w:rFonts w:ascii="Georgia" w:hAnsi="Georgia"/>
          <w:color w:val="231F20"/>
          <w:spacing w:val="-5"/>
          <w:sz w:val="18"/>
        </w:rPr>
        <w:t> 1.</w:t>
      </w:r>
    </w:p>
    <w:p>
      <w:pPr>
        <w:numPr>
          <w:ilvl w:val="1"/>
          <w:numId w:val="52"/>
        </w:numPr>
        <w:tabs>
          <w:tab w:pos="1907" w:val="left" w:leader="none"/>
        </w:tabs>
        <w:spacing w:before="109"/>
        <w:ind w:left="1907" w:right="0" w:hanging="350"/>
        <w:jc w:val="left"/>
        <w:rPr>
          <w:b/>
          <w:color w:val="231F20"/>
          <w:sz w:val="20"/>
        </w:rPr>
      </w:pPr>
      <w:r>
        <w:rPr>
          <w:b/>
          <w:color w:val="231F20"/>
          <w:sz w:val="20"/>
        </w:rPr>
        <w:t>Специфические</w:t>
      </w:r>
      <w:r>
        <w:rPr>
          <w:b/>
          <w:color w:val="231F20"/>
          <w:spacing w:val="-5"/>
          <w:sz w:val="20"/>
        </w:rPr>
        <w:t> </w:t>
      </w:r>
      <w:r>
        <w:rPr>
          <w:b/>
          <w:color w:val="231F20"/>
          <w:sz w:val="20"/>
        </w:rPr>
        <w:t>техники</w:t>
      </w:r>
      <w:r>
        <w:rPr>
          <w:b/>
          <w:color w:val="231F20"/>
          <w:spacing w:val="-2"/>
          <w:sz w:val="20"/>
        </w:rPr>
        <w:t> </w:t>
      </w:r>
      <w:r>
        <w:rPr>
          <w:b/>
          <w:color w:val="231F20"/>
          <w:sz w:val="20"/>
        </w:rPr>
        <w:t>для</w:t>
      </w:r>
      <w:r>
        <w:rPr>
          <w:b/>
          <w:color w:val="231F20"/>
          <w:spacing w:val="-2"/>
          <w:sz w:val="20"/>
        </w:rPr>
        <w:t> коррекционной</w:t>
      </w:r>
    </w:p>
    <w:p>
      <w:pPr>
        <w:spacing w:line="226" w:lineRule="exact" w:before="0"/>
        <w:ind w:left="764" w:right="0" w:firstLine="0"/>
        <w:jc w:val="left"/>
        <w:rPr>
          <w:b/>
          <w:sz w:val="20"/>
        </w:rPr>
      </w:pPr>
      <w:r>
        <w:rPr>
          <w:b/>
          <w:color w:val="231F20"/>
          <w:sz w:val="20"/>
        </w:rPr>
        <w:t>и</w:t>
      </w:r>
      <w:r>
        <w:rPr>
          <w:b/>
          <w:color w:val="231F20"/>
          <w:spacing w:val="-8"/>
          <w:sz w:val="20"/>
        </w:rPr>
        <w:t> </w:t>
      </w:r>
      <w:r>
        <w:rPr>
          <w:b/>
          <w:color w:val="231F20"/>
          <w:sz w:val="20"/>
        </w:rPr>
        <w:t>консультативной</w:t>
      </w:r>
      <w:r>
        <w:rPr>
          <w:b/>
          <w:color w:val="231F20"/>
          <w:spacing w:val="-8"/>
          <w:sz w:val="20"/>
        </w:rPr>
        <w:t> </w:t>
      </w:r>
      <w:r>
        <w:rPr>
          <w:b/>
          <w:color w:val="231F20"/>
          <w:sz w:val="20"/>
        </w:rPr>
        <w:t>работы</w:t>
      </w:r>
      <w:r>
        <w:rPr>
          <w:b/>
          <w:color w:val="231F20"/>
          <w:spacing w:val="-7"/>
          <w:sz w:val="20"/>
        </w:rPr>
        <w:t> </w:t>
      </w:r>
      <w:r>
        <w:rPr>
          <w:b/>
          <w:color w:val="231F20"/>
          <w:sz w:val="20"/>
        </w:rPr>
        <w:t>с</w:t>
      </w:r>
      <w:r>
        <w:rPr>
          <w:b/>
          <w:color w:val="231F20"/>
          <w:spacing w:val="-6"/>
          <w:sz w:val="20"/>
        </w:rPr>
        <w:t> </w:t>
      </w:r>
      <w:r>
        <w:rPr>
          <w:b/>
          <w:color w:val="231F20"/>
          <w:sz w:val="20"/>
        </w:rPr>
        <w:t>детьми</w:t>
      </w:r>
      <w:r>
        <w:rPr>
          <w:b/>
          <w:color w:val="231F20"/>
          <w:spacing w:val="-8"/>
          <w:sz w:val="20"/>
        </w:rPr>
        <w:t> </w:t>
      </w:r>
      <w:r>
        <w:rPr>
          <w:b/>
          <w:color w:val="231F20"/>
          <w:sz w:val="20"/>
        </w:rPr>
        <w:t>–</w:t>
      </w:r>
      <w:r>
        <w:rPr>
          <w:b/>
          <w:color w:val="231F20"/>
          <w:spacing w:val="-7"/>
          <w:sz w:val="20"/>
        </w:rPr>
        <w:t> </w:t>
      </w:r>
      <w:r>
        <w:rPr>
          <w:b/>
          <w:color w:val="231F20"/>
          <w:sz w:val="20"/>
        </w:rPr>
        <w:t>иностранными</w:t>
      </w:r>
      <w:r>
        <w:rPr>
          <w:b/>
          <w:color w:val="231F20"/>
          <w:spacing w:val="-7"/>
          <w:sz w:val="20"/>
        </w:rPr>
        <w:t> </w:t>
      </w:r>
      <w:r>
        <w:rPr>
          <w:b/>
          <w:color w:val="231F20"/>
          <w:spacing w:val="-2"/>
          <w:sz w:val="20"/>
        </w:rPr>
        <w:t>гражданами</w:t>
      </w:r>
    </w:p>
    <w:p>
      <w:pPr>
        <w:spacing w:before="166"/>
        <w:ind w:left="6067" w:right="0" w:firstLine="0"/>
        <w:jc w:val="both"/>
        <w:rPr>
          <w:i/>
          <w:sz w:val="20"/>
        </w:rPr>
      </w:pPr>
      <w:r>
        <w:rPr>
          <w:i/>
          <w:color w:val="231F20"/>
          <w:sz w:val="20"/>
        </w:rPr>
        <w:t>М.Ю. </w:t>
      </w:r>
      <w:r>
        <w:rPr>
          <w:i/>
          <w:color w:val="231F20"/>
          <w:spacing w:val="-2"/>
          <w:sz w:val="20"/>
        </w:rPr>
        <w:t>Чибисова</w:t>
      </w:r>
    </w:p>
    <w:p>
      <w:pPr>
        <w:numPr>
          <w:ilvl w:val="2"/>
          <w:numId w:val="52"/>
        </w:numPr>
        <w:tabs>
          <w:tab w:pos="1247" w:val="left" w:leader="none"/>
        </w:tabs>
        <w:spacing w:line="235" w:lineRule="auto" w:before="113"/>
        <w:ind w:left="470" w:right="468" w:firstLine="277"/>
        <w:jc w:val="both"/>
        <w:rPr>
          <w:b/>
          <w:sz w:val="20"/>
        </w:rPr>
      </w:pPr>
      <w:r>
        <w:rPr>
          <w:b/>
          <w:color w:val="231F20"/>
          <w:sz w:val="20"/>
        </w:rPr>
        <w:t>Приемы обсуждения трудностей, связанных со становлением этнической,</w:t>
      </w:r>
      <w:r>
        <w:rPr>
          <w:b/>
          <w:color w:val="231F20"/>
          <w:spacing w:val="-10"/>
          <w:sz w:val="20"/>
        </w:rPr>
        <w:t> </w:t>
      </w:r>
      <w:r>
        <w:rPr>
          <w:b/>
          <w:color w:val="231F20"/>
          <w:sz w:val="20"/>
        </w:rPr>
        <w:t>культурной</w:t>
      </w:r>
      <w:r>
        <w:rPr>
          <w:b/>
          <w:color w:val="231F20"/>
          <w:spacing w:val="-11"/>
          <w:sz w:val="20"/>
        </w:rPr>
        <w:t> </w:t>
      </w:r>
      <w:r>
        <w:rPr>
          <w:b/>
          <w:color w:val="231F20"/>
          <w:sz w:val="20"/>
        </w:rPr>
        <w:t>и</w:t>
      </w:r>
      <w:r>
        <w:rPr>
          <w:b/>
          <w:color w:val="231F20"/>
          <w:spacing w:val="-11"/>
          <w:sz w:val="20"/>
        </w:rPr>
        <w:t> </w:t>
      </w:r>
      <w:r>
        <w:rPr>
          <w:b/>
          <w:color w:val="231F20"/>
          <w:sz w:val="20"/>
        </w:rPr>
        <w:t>гражданской</w:t>
      </w:r>
      <w:r>
        <w:rPr>
          <w:b/>
          <w:color w:val="231F20"/>
          <w:spacing w:val="-11"/>
          <w:sz w:val="20"/>
        </w:rPr>
        <w:t> </w:t>
      </w:r>
      <w:r>
        <w:rPr>
          <w:b/>
          <w:color w:val="231F20"/>
          <w:sz w:val="20"/>
        </w:rPr>
        <w:t>идентичности</w:t>
      </w:r>
      <w:r>
        <w:rPr>
          <w:b/>
          <w:color w:val="231F20"/>
          <w:spacing w:val="-11"/>
          <w:sz w:val="20"/>
        </w:rPr>
        <w:t> </w:t>
      </w:r>
      <w:r>
        <w:rPr>
          <w:b/>
          <w:color w:val="231F20"/>
          <w:sz w:val="20"/>
        </w:rPr>
        <w:t>ребенка-мигранта</w:t>
      </w:r>
    </w:p>
    <w:p>
      <w:pPr>
        <w:pStyle w:val="BodyText"/>
        <w:spacing w:line="237" w:lineRule="auto" w:before="113"/>
      </w:pPr>
      <w:r>
        <w:rPr>
          <w:b/>
          <w:i/>
        </w:rPr>
        <w:t>Общее описание. </w:t>
      </w:r>
      <w:r>
        <w:rPr/>
        <w:t>Активности, позволяющие обсудить связанные со становлени- ем</w:t>
      </w:r>
      <w:r>
        <w:rPr>
          <w:spacing w:val="-13"/>
        </w:rPr>
        <w:t> </w:t>
      </w:r>
      <w:r>
        <w:rPr/>
        <w:t>идентичности</w:t>
      </w:r>
      <w:r>
        <w:rPr>
          <w:spacing w:val="-12"/>
        </w:rPr>
        <w:t> </w:t>
      </w:r>
      <w:r>
        <w:rPr/>
        <w:t>трудности,</w:t>
      </w:r>
      <w:r>
        <w:rPr>
          <w:spacing w:val="-13"/>
        </w:rPr>
        <w:t> </w:t>
      </w:r>
      <w:r>
        <w:rPr/>
        <w:t>представляют</w:t>
      </w:r>
      <w:r>
        <w:rPr>
          <w:spacing w:val="-12"/>
        </w:rPr>
        <w:t> </w:t>
      </w:r>
      <w:r>
        <w:rPr/>
        <w:t>собой</w:t>
      </w:r>
      <w:r>
        <w:rPr>
          <w:spacing w:val="-13"/>
        </w:rPr>
        <w:t> </w:t>
      </w:r>
      <w:r>
        <w:rPr/>
        <w:t>структурированное</w:t>
      </w:r>
      <w:r>
        <w:rPr>
          <w:spacing w:val="-12"/>
        </w:rPr>
        <w:t> </w:t>
      </w:r>
      <w:r>
        <w:rPr/>
        <w:t>самораскрытие. Ребенку</w:t>
      </w:r>
      <w:r>
        <w:rPr>
          <w:spacing w:val="-12"/>
        </w:rPr>
        <w:t> </w:t>
      </w:r>
      <w:r>
        <w:rPr/>
        <w:t>предлагается</w:t>
      </w:r>
      <w:r>
        <w:rPr>
          <w:spacing w:val="-12"/>
        </w:rPr>
        <w:t> </w:t>
      </w:r>
      <w:r>
        <w:rPr/>
        <w:t>выполнить</w:t>
      </w:r>
      <w:r>
        <w:rPr>
          <w:spacing w:val="-12"/>
        </w:rPr>
        <w:t> </w:t>
      </w:r>
      <w:r>
        <w:rPr/>
        <w:t>творческое</w:t>
      </w:r>
      <w:r>
        <w:rPr>
          <w:spacing w:val="-12"/>
        </w:rPr>
        <w:t> </w:t>
      </w:r>
      <w:r>
        <w:rPr/>
        <w:t>задание,</w:t>
      </w:r>
      <w:r>
        <w:rPr>
          <w:spacing w:val="-12"/>
        </w:rPr>
        <w:t> </w:t>
      </w:r>
      <w:r>
        <w:rPr/>
        <w:t>но</w:t>
      </w:r>
      <w:r>
        <w:rPr>
          <w:spacing w:val="-12"/>
        </w:rPr>
        <w:t> </w:t>
      </w:r>
      <w:r>
        <w:rPr/>
        <w:t>прежде</w:t>
      </w:r>
      <w:r>
        <w:rPr>
          <w:spacing w:val="-12"/>
        </w:rPr>
        <w:t> </w:t>
      </w:r>
      <w:r>
        <w:rPr/>
        <w:t>ему</w:t>
      </w:r>
      <w:r>
        <w:rPr>
          <w:spacing w:val="-12"/>
        </w:rPr>
        <w:t> </w:t>
      </w:r>
      <w:r>
        <w:rPr/>
        <w:t>надо</w:t>
      </w:r>
      <w:r>
        <w:rPr>
          <w:spacing w:val="-12"/>
        </w:rPr>
        <w:t> </w:t>
      </w:r>
      <w:r>
        <w:rPr/>
        <w:t>задуматься </w:t>
      </w:r>
      <w:r>
        <w:rPr>
          <w:spacing w:val="-2"/>
        </w:rPr>
        <w:t>о своих значимых характеристиках и собственном самоопределении. При проведении </w:t>
      </w:r>
      <w:r>
        <w:rPr/>
        <w:t>таких упражнений сам термин «идентичность» вводить не нужно, однако в отдель- ных</w:t>
      </w:r>
      <w:r>
        <w:rPr>
          <w:spacing w:val="-7"/>
        </w:rPr>
        <w:t> </w:t>
      </w:r>
      <w:r>
        <w:rPr/>
        <w:t>случаях,</w:t>
      </w:r>
      <w:r>
        <w:rPr>
          <w:spacing w:val="-5"/>
        </w:rPr>
        <w:t> </w:t>
      </w:r>
      <w:r>
        <w:rPr/>
        <w:t>при</w:t>
      </w:r>
      <w:r>
        <w:rPr>
          <w:spacing w:val="-5"/>
        </w:rPr>
        <w:t> </w:t>
      </w:r>
      <w:r>
        <w:rPr/>
        <w:t>условии</w:t>
      </w:r>
      <w:r>
        <w:rPr>
          <w:spacing w:val="-5"/>
        </w:rPr>
        <w:t> </w:t>
      </w:r>
      <w:r>
        <w:rPr/>
        <w:t>достаточного</w:t>
      </w:r>
      <w:r>
        <w:rPr>
          <w:spacing w:val="-5"/>
        </w:rPr>
        <w:t> </w:t>
      </w:r>
      <w:r>
        <w:rPr/>
        <w:t>уровня</w:t>
      </w:r>
      <w:r>
        <w:rPr>
          <w:spacing w:val="-5"/>
        </w:rPr>
        <w:t> </w:t>
      </w:r>
      <w:r>
        <w:rPr/>
        <w:t>владения</w:t>
      </w:r>
      <w:r>
        <w:rPr>
          <w:spacing w:val="-5"/>
        </w:rPr>
        <w:t> </w:t>
      </w:r>
      <w:r>
        <w:rPr/>
        <w:t>языком</w:t>
      </w:r>
      <w:r>
        <w:rPr>
          <w:spacing w:val="-5"/>
        </w:rPr>
        <w:t> </w:t>
      </w:r>
      <w:r>
        <w:rPr/>
        <w:t>и</w:t>
      </w:r>
      <w:r>
        <w:rPr>
          <w:spacing w:val="-5"/>
        </w:rPr>
        <w:t> </w:t>
      </w:r>
      <w:r>
        <w:rPr/>
        <w:t>заинтересованно- сти учащегося, можно познакомить его с этим понятием.</w:t>
      </w:r>
    </w:p>
    <w:p>
      <w:pPr>
        <w:pStyle w:val="BodyText"/>
        <w:spacing w:line="237" w:lineRule="auto"/>
      </w:pPr>
      <w:r>
        <w:rPr>
          <w:b/>
          <w:i/>
        </w:rPr>
        <w:t>Сильные стороны практики.</w:t>
      </w:r>
      <w:r>
        <w:rPr>
          <w:b/>
          <w:i/>
          <w:spacing w:val="-6"/>
        </w:rPr>
        <w:t> </w:t>
      </w:r>
      <w:r>
        <w:rPr/>
        <w:t>Поскольку понятие идентичности является слож- ным</w:t>
      </w:r>
      <w:r>
        <w:rPr>
          <w:spacing w:val="-2"/>
        </w:rPr>
        <w:t> </w:t>
      </w:r>
      <w:r>
        <w:rPr/>
        <w:t>для</w:t>
      </w:r>
      <w:r>
        <w:rPr>
          <w:spacing w:val="-2"/>
        </w:rPr>
        <w:t> </w:t>
      </w:r>
      <w:r>
        <w:rPr/>
        <w:t>школьников,</w:t>
      </w:r>
      <w:r>
        <w:rPr>
          <w:spacing w:val="-2"/>
        </w:rPr>
        <w:t> </w:t>
      </w:r>
      <w:r>
        <w:rPr/>
        <w:t>тем</w:t>
      </w:r>
      <w:r>
        <w:rPr>
          <w:spacing w:val="-2"/>
        </w:rPr>
        <w:t> </w:t>
      </w:r>
      <w:r>
        <w:rPr/>
        <w:t>более</w:t>
      </w:r>
      <w:r>
        <w:rPr>
          <w:spacing w:val="-2"/>
        </w:rPr>
        <w:t> </w:t>
      </w:r>
      <w:r>
        <w:rPr/>
        <w:t>для</w:t>
      </w:r>
      <w:r>
        <w:rPr>
          <w:spacing w:val="-2"/>
        </w:rPr>
        <w:t> </w:t>
      </w:r>
      <w:r>
        <w:rPr/>
        <w:t>несовершеннолетних</w:t>
      </w:r>
      <w:r>
        <w:rPr>
          <w:spacing w:val="-2"/>
        </w:rPr>
        <w:t> </w:t>
      </w:r>
      <w:r>
        <w:rPr/>
        <w:t>иностранных</w:t>
      </w:r>
      <w:r>
        <w:rPr>
          <w:spacing w:val="-2"/>
        </w:rPr>
        <w:t> </w:t>
      </w:r>
      <w:r>
        <w:rPr/>
        <w:t>граждан,</w:t>
      </w:r>
      <w:r>
        <w:rPr>
          <w:spacing w:val="-2"/>
        </w:rPr>
        <w:t> </w:t>
      </w:r>
      <w:r>
        <w:rPr/>
        <w:t>не- достаточно</w:t>
      </w:r>
      <w:r>
        <w:rPr>
          <w:spacing w:val="-6"/>
        </w:rPr>
        <w:t> </w:t>
      </w:r>
      <w:r>
        <w:rPr/>
        <w:t>хорошо</w:t>
      </w:r>
      <w:r>
        <w:rPr>
          <w:spacing w:val="-6"/>
        </w:rPr>
        <w:t> </w:t>
      </w:r>
      <w:r>
        <w:rPr/>
        <w:t>владеющих</w:t>
      </w:r>
      <w:r>
        <w:rPr>
          <w:spacing w:val="-6"/>
        </w:rPr>
        <w:t> </w:t>
      </w:r>
      <w:r>
        <w:rPr/>
        <w:t>русским</w:t>
      </w:r>
      <w:r>
        <w:rPr>
          <w:spacing w:val="-6"/>
        </w:rPr>
        <w:t> </w:t>
      </w:r>
      <w:r>
        <w:rPr/>
        <w:t>языком,</w:t>
      </w:r>
      <w:r>
        <w:rPr>
          <w:spacing w:val="-6"/>
        </w:rPr>
        <w:t> </w:t>
      </w:r>
      <w:r>
        <w:rPr/>
        <w:t>обсуждение</w:t>
      </w:r>
      <w:r>
        <w:rPr>
          <w:spacing w:val="-6"/>
        </w:rPr>
        <w:t> </w:t>
      </w:r>
      <w:r>
        <w:rPr/>
        <w:t>трудностей,</w:t>
      </w:r>
      <w:r>
        <w:rPr>
          <w:spacing w:val="-6"/>
        </w:rPr>
        <w:t> </w:t>
      </w:r>
      <w:r>
        <w:rPr/>
        <w:t>связанных со</w:t>
      </w:r>
      <w:r>
        <w:rPr>
          <w:spacing w:val="-3"/>
        </w:rPr>
        <w:t> </w:t>
      </w:r>
      <w:r>
        <w:rPr/>
        <w:t>становлением</w:t>
      </w:r>
      <w:r>
        <w:rPr>
          <w:spacing w:val="-3"/>
        </w:rPr>
        <w:t> </w:t>
      </w:r>
      <w:r>
        <w:rPr/>
        <w:t>идентичности,</w:t>
      </w:r>
      <w:r>
        <w:rPr>
          <w:spacing w:val="-3"/>
        </w:rPr>
        <w:t> </w:t>
      </w:r>
      <w:r>
        <w:rPr/>
        <w:t>возможно</w:t>
      </w:r>
      <w:r>
        <w:rPr>
          <w:spacing w:val="-3"/>
        </w:rPr>
        <w:t> </w:t>
      </w:r>
      <w:r>
        <w:rPr/>
        <w:t>почти</w:t>
      </w:r>
      <w:r>
        <w:rPr>
          <w:spacing w:val="-3"/>
        </w:rPr>
        <w:t> </w:t>
      </w:r>
      <w:r>
        <w:rPr/>
        <w:t>исключительно</w:t>
      </w:r>
      <w:r>
        <w:rPr>
          <w:spacing w:val="-3"/>
        </w:rPr>
        <w:t> </w:t>
      </w:r>
      <w:r>
        <w:rPr/>
        <w:t>в</w:t>
      </w:r>
      <w:r>
        <w:rPr>
          <w:spacing w:val="-3"/>
        </w:rPr>
        <w:t> </w:t>
      </w:r>
      <w:r>
        <w:rPr/>
        <w:t>формате</w:t>
      </w:r>
      <w:r>
        <w:rPr>
          <w:spacing w:val="-3"/>
        </w:rPr>
        <w:t> </w:t>
      </w:r>
      <w:r>
        <w:rPr/>
        <w:t>активно- стей, направленных на самоисследование и самораскрытие. Данные активности по- зволяют</w:t>
      </w:r>
      <w:r>
        <w:rPr>
          <w:spacing w:val="-2"/>
        </w:rPr>
        <w:t> </w:t>
      </w:r>
      <w:r>
        <w:rPr/>
        <w:t>эксплицировать</w:t>
      </w:r>
      <w:r>
        <w:rPr>
          <w:spacing w:val="-2"/>
        </w:rPr>
        <w:t> </w:t>
      </w:r>
      <w:r>
        <w:rPr/>
        <w:t>возможные</w:t>
      </w:r>
      <w:r>
        <w:rPr>
          <w:spacing w:val="-2"/>
        </w:rPr>
        <w:t> </w:t>
      </w:r>
      <w:r>
        <w:rPr/>
        <w:t>противоречия</w:t>
      </w:r>
      <w:r>
        <w:rPr>
          <w:spacing w:val="-2"/>
        </w:rPr>
        <w:t> </w:t>
      </w:r>
      <w:r>
        <w:rPr/>
        <w:t>и</w:t>
      </w:r>
      <w:r>
        <w:rPr>
          <w:spacing w:val="-2"/>
        </w:rPr>
        <w:t> </w:t>
      </w:r>
      <w:r>
        <w:rPr/>
        <w:t>конфликты</w:t>
      </w:r>
      <w:r>
        <w:rPr>
          <w:spacing w:val="-2"/>
        </w:rPr>
        <w:t> </w:t>
      </w:r>
      <w:r>
        <w:rPr/>
        <w:t>между</w:t>
      </w:r>
      <w:r>
        <w:rPr>
          <w:spacing w:val="-2"/>
        </w:rPr>
        <w:t> </w:t>
      </w:r>
      <w:r>
        <w:rPr/>
        <w:t>различными видами идентичности.</w:t>
      </w:r>
    </w:p>
    <w:p>
      <w:pPr>
        <w:pStyle w:val="BodyText"/>
        <w:spacing w:line="237" w:lineRule="auto"/>
      </w:pPr>
      <w:r>
        <w:rPr>
          <w:b/>
          <w:i/>
        </w:rPr>
        <w:t>Требования к проведению.</w:t>
      </w:r>
      <w:r>
        <w:rPr>
          <w:b/>
          <w:i/>
          <w:spacing w:val="-1"/>
        </w:rPr>
        <w:t> </w:t>
      </w:r>
      <w:r>
        <w:rPr/>
        <w:t>Упражнения по теме</w:t>
      </w:r>
      <w:r>
        <w:rPr>
          <w:spacing w:val="-1"/>
        </w:rPr>
        <w:t> </w:t>
      </w:r>
      <w:r>
        <w:rPr/>
        <w:t>идентичности проводятся с уча- щимися</w:t>
      </w:r>
      <w:r>
        <w:rPr>
          <w:spacing w:val="-13"/>
        </w:rPr>
        <w:t> </w:t>
      </w:r>
      <w:r>
        <w:rPr/>
        <w:t>средней</w:t>
      </w:r>
      <w:r>
        <w:rPr>
          <w:spacing w:val="-12"/>
        </w:rPr>
        <w:t> </w:t>
      </w:r>
      <w:r>
        <w:rPr/>
        <w:t>и</w:t>
      </w:r>
      <w:r>
        <w:rPr>
          <w:spacing w:val="-13"/>
        </w:rPr>
        <w:t> </w:t>
      </w:r>
      <w:r>
        <w:rPr/>
        <w:t>старшей</w:t>
      </w:r>
      <w:r>
        <w:rPr>
          <w:spacing w:val="-12"/>
        </w:rPr>
        <w:t> </w:t>
      </w:r>
      <w:r>
        <w:rPr/>
        <w:t>школы,</w:t>
      </w:r>
      <w:r>
        <w:rPr>
          <w:spacing w:val="-13"/>
        </w:rPr>
        <w:t> </w:t>
      </w:r>
      <w:r>
        <w:rPr/>
        <w:t>поскольку</w:t>
      </w:r>
      <w:r>
        <w:rPr>
          <w:spacing w:val="-12"/>
        </w:rPr>
        <w:t> </w:t>
      </w:r>
      <w:r>
        <w:rPr/>
        <w:t>подростковый</w:t>
      </w:r>
      <w:r>
        <w:rPr>
          <w:spacing w:val="-13"/>
        </w:rPr>
        <w:t> </w:t>
      </w:r>
      <w:r>
        <w:rPr/>
        <w:t>возраст</w:t>
      </w:r>
      <w:r>
        <w:rPr>
          <w:spacing w:val="-12"/>
        </w:rPr>
        <w:t> </w:t>
      </w:r>
      <w:r>
        <w:rPr/>
        <w:t>является</w:t>
      </w:r>
      <w:r>
        <w:rPr>
          <w:spacing w:val="-13"/>
        </w:rPr>
        <w:t> </w:t>
      </w:r>
      <w:r>
        <w:rPr/>
        <w:t>ключе- вым</w:t>
      </w:r>
      <w:r>
        <w:rPr>
          <w:spacing w:val="-10"/>
        </w:rPr>
        <w:t> </w:t>
      </w:r>
      <w:r>
        <w:rPr/>
        <w:t>периодом</w:t>
      </w:r>
      <w:r>
        <w:rPr>
          <w:spacing w:val="-10"/>
        </w:rPr>
        <w:t> </w:t>
      </w:r>
      <w:r>
        <w:rPr/>
        <w:t>формирования</w:t>
      </w:r>
      <w:r>
        <w:rPr>
          <w:spacing w:val="-10"/>
        </w:rPr>
        <w:t> </w:t>
      </w:r>
      <w:r>
        <w:rPr/>
        <w:t>идентичности.</w:t>
      </w:r>
      <w:r>
        <w:rPr>
          <w:spacing w:val="-10"/>
        </w:rPr>
        <w:t> </w:t>
      </w:r>
      <w:r>
        <w:rPr/>
        <w:t>С</w:t>
      </w:r>
      <w:r>
        <w:rPr>
          <w:spacing w:val="-10"/>
        </w:rPr>
        <w:t> </w:t>
      </w:r>
      <w:r>
        <w:rPr/>
        <w:t>детьми</w:t>
      </w:r>
      <w:r>
        <w:rPr>
          <w:spacing w:val="-10"/>
        </w:rPr>
        <w:t> </w:t>
      </w:r>
      <w:r>
        <w:rPr/>
        <w:t>более</w:t>
      </w:r>
      <w:r>
        <w:rPr>
          <w:spacing w:val="-10"/>
        </w:rPr>
        <w:t> </w:t>
      </w:r>
      <w:r>
        <w:rPr/>
        <w:t>раннего</w:t>
      </w:r>
      <w:r>
        <w:rPr>
          <w:spacing w:val="-10"/>
        </w:rPr>
        <w:t> </w:t>
      </w:r>
      <w:r>
        <w:rPr/>
        <w:t>возраста</w:t>
      </w:r>
      <w:r>
        <w:rPr>
          <w:spacing w:val="-10"/>
        </w:rPr>
        <w:t> </w:t>
      </w:r>
      <w:r>
        <w:rPr/>
        <w:t>можно проводить только упражнения «Языковой портрет» и «Рисунок моего имени». Все практики</w:t>
      </w:r>
      <w:r>
        <w:rPr>
          <w:spacing w:val="-3"/>
        </w:rPr>
        <w:t> </w:t>
      </w:r>
      <w:r>
        <w:rPr/>
        <w:t>этого</w:t>
      </w:r>
      <w:r>
        <w:rPr>
          <w:spacing w:val="-3"/>
        </w:rPr>
        <w:t> </w:t>
      </w:r>
      <w:r>
        <w:rPr/>
        <w:t>раздела</w:t>
      </w:r>
      <w:r>
        <w:rPr>
          <w:spacing w:val="-4"/>
        </w:rPr>
        <w:t> </w:t>
      </w:r>
      <w:r>
        <w:rPr/>
        <w:t>предполагают</w:t>
      </w:r>
      <w:r>
        <w:rPr>
          <w:spacing w:val="-3"/>
        </w:rPr>
        <w:t> </w:t>
      </w:r>
      <w:r>
        <w:rPr/>
        <w:t>достаточно</w:t>
      </w:r>
      <w:r>
        <w:rPr>
          <w:spacing w:val="-3"/>
        </w:rPr>
        <w:t> </w:t>
      </w:r>
      <w:r>
        <w:rPr/>
        <w:t>высокий</w:t>
      </w:r>
      <w:r>
        <w:rPr>
          <w:spacing w:val="-3"/>
        </w:rPr>
        <w:t> </w:t>
      </w:r>
      <w:r>
        <w:rPr/>
        <w:t>уровень</w:t>
      </w:r>
      <w:r>
        <w:rPr>
          <w:spacing w:val="-3"/>
        </w:rPr>
        <w:t> </w:t>
      </w:r>
      <w:r>
        <w:rPr/>
        <w:t>абстрагирования и могут проводиться только с учащимися, на достаточном уровне владеющими рус- ским языком.</w:t>
      </w:r>
    </w:p>
    <w:p>
      <w:pPr>
        <w:pStyle w:val="BodyText"/>
      </w:pPr>
      <w:r>
        <w:rPr>
          <w:b/>
          <w:i/>
          <w:spacing w:val="-2"/>
        </w:rPr>
        <w:t>Доказательность практики. </w:t>
      </w:r>
      <w:r>
        <w:rPr>
          <w:spacing w:val="-2"/>
        </w:rPr>
        <w:t>Исследования показывают, что позитивная и устой- </w:t>
      </w:r>
      <w:r>
        <w:rPr/>
        <w:t>чивая этническая идентичность связана с успешностью аккультурации и психологи- ческим благополучием мигрантов (</w:t>
      </w:r>
      <w:r>
        <w:rPr>
          <w:color w:val="16191D"/>
        </w:rPr>
        <w:t>Balidemaj, Small, 2019</w:t>
      </w:r>
      <w:r>
        <w:rPr/>
        <w:t>).</w:t>
      </w:r>
    </w:p>
    <w:p>
      <w:pPr>
        <w:spacing w:line="223" w:lineRule="exact" w:before="0"/>
        <w:ind w:left="425" w:right="0" w:firstLine="0"/>
        <w:jc w:val="both"/>
        <w:rPr>
          <w:b/>
          <w:i/>
          <w:sz w:val="20"/>
        </w:rPr>
      </w:pPr>
      <w:r>
        <w:rPr>
          <w:b/>
          <w:i/>
          <w:sz w:val="20"/>
        </w:rPr>
        <w:t>Где</w:t>
      </w:r>
      <w:r>
        <w:rPr>
          <w:b/>
          <w:i/>
          <w:spacing w:val="-4"/>
          <w:sz w:val="20"/>
        </w:rPr>
        <w:t> </w:t>
      </w:r>
      <w:r>
        <w:rPr>
          <w:b/>
          <w:i/>
          <w:spacing w:val="-2"/>
          <w:sz w:val="20"/>
        </w:rPr>
        <w:t>научиться?</w:t>
      </w:r>
    </w:p>
    <w:p>
      <w:pPr>
        <w:pStyle w:val="BodyText"/>
        <w:spacing w:line="229" w:lineRule="exact"/>
        <w:ind w:left="425" w:right="0" w:firstLine="0"/>
      </w:pPr>
      <w:r>
        <w:rPr/>
        <w:t>Примеры</w:t>
      </w:r>
      <w:r>
        <w:rPr>
          <w:spacing w:val="-7"/>
        </w:rPr>
        <w:t> </w:t>
      </w:r>
      <w:r>
        <w:rPr/>
        <w:t>конкретных</w:t>
      </w:r>
      <w:r>
        <w:rPr>
          <w:spacing w:val="-4"/>
        </w:rPr>
        <w:t> </w:t>
      </w:r>
      <w:r>
        <w:rPr/>
        <w:t>активностей</w:t>
      </w:r>
      <w:r>
        <w:rPr>
          <w:spacing w:val="-5"/>
        </w:rPr>
        <w:t> </w:t>
      </w:r>
      <w:r>
        <w:rPr/>
        <w:t>приводятся</w:t>
      </w:r>
      <w:r>
        <w:rPr>
          <w:spacing w:val="-4"/>
        </w:rPr>
        <w:t> </w:t>
      </w:r>
      <w:r>
        <w:rPr/>
        <w:t>в</w:t>
      </w:r>
      <w:r>
        <w:rPr>
          <w:spacing w:val="-5"/>
        </w:rPr>
        <w:t> </w:t>
      </w:r>
      <w:r>
        <w:rPr>
          <w:spacing w:val="-2"/>
        </w:rPr>
        <w:t>Инструментарии.</w:t>
      </w:r>
    </w:p>
    <w:p>
      <w:pPr>
        <w:numPr>
          <w:ilvl w:val="2"/>
          <w:numId w:val="52"/>
        </w:numPr>
        <w:tabs>
          <w:tab w:pos="2129" w:val="left" w:leader="none"/>
        </w:tabs>
        <w:spacing w:before="221"/>
        <w:ind w:left="2129" w:right="0" w:hanging="500"/>
        <w:jc w:val="left"/>
        <w:rPr>
          <w:b/>
          <w:sz w:val="20"/>
        </w:rPr>
      </w:pPr>
      <w:r>
        <w:rPr>
          <w:b/>
          <w:color w:val="231F20"/>
          <w:sz w:val="20"/>
        </w:rPr>
        <w:t>Арт-альбом</w:t>
      </w:r>
      <w:r>
        <w:rPr>
          <w:b/>
          <w:color w:val="231F20"/>
          <w:spacing w:val="-9"/>
          <w:sz w:val="20"/>
        </w:rPr>
        <w:t> </w:t>
      </w:r>
      <w:r>
        <w:rPr>
          <w:b/>
          <w:color w:val="231F20"/>
          <w:sz w:val="20"/>
        </w:rPr>
        <w:t>«Твоя</w:t>
      </w:r>
      <w:r>
        <w:rPr>
          <w:b/>
          <w:color w:val="231F20"/>
          <w:spacing w:val="-7"/>
          <w:sz w:val="20"/>
        </w:rPr>
        <w:t> </w:t>
      </w:r>
      <w:r>
        <w:rPr>
          <w:b/>
          <w:color w:val="231F20"/>
          <w:sz w:val="20"/>
        </w:rPr>
        <w:t>жизнь</w:t>
      </w:r>
      <w:r>
        <w:rPr>
          <w:b/>
          <w:color w:val="231F20"/>
          <w:spacing w:val="-8"/>
          <w:sz w:val="20"/>
        </w:rPr>
        <w:t> </w:t>
      </w:r>
      <w:r>
        <w:rPr>
          <w:b/>
          <w:color w:val="231F20"/>
          <w:sz w:val="20"/>
        </w:rPr>
        <w:t>на</w:t>
      </w:r>
      <w:r>
        <w:rPr>
          <w:b/>
          <w:color w:val="231F20"/>
          <w:spacing w:val="-7"/>
          <w:sz w:val="20"/>
        </w:rPr>
        <w:t> </w:t>
      </w:r>
      <w:r>
        <w:rPr>
          <w:b/>
          <w:color w:val="231F20"/>
          <w:sz w:val="20"/>
        </w:rPr>
        <w:t>новом</w:t>
      </w:r>
      <w:r>
        <w:rPr>
          <w:b/>
          <w:color w:val="231F20"/>
          <w:spacing w:val="-8"/>
          <w:sz w:val="20"/>
        </w:rPr>
        <w:t> </w:t>
      </w:r>
      <w:r>
        <w:rPr>
          <w:b/>
          <w:color w:val="231F20"/>
          <w:spacing w:val="-2"/>
          <w:sz w:val="20"/>
        </w:rPr>
        <w:t>месте»</w:t>
      </w:r>
    </w:p>
    <w:p>
      <w:pPr>
        <w:pStyle w:val="BodyText"/>
        <w:spacing w:line="235" w:lineRule="auto" w:before="115"/>
      </w:pPr>
      <w:r>
        <w:rPr>
          <w:b/>
          <w:i/>
        </w:rPr>
        <w:t>Общее описание. </w:t>
      </w:r>
      <w:r>
        <w:rPr/>
        <w:t>Арт-альбом «Твоя жизнь на новом месте» представляет со-</w:t>
      </w:r>
      <w:r>
        <w:rPr>
          <w:spacing w:val="40"/>
        </w:rPr>
        <w:t> </w:t>
      </w:r>
      <w:r>
        <w:rPr/>
        <w:t>бой сборник арт-терапевтических упражнений, предназначенных для психологиче- ской поддержки ребенка, переживающего миграцию. Задания затрагивают различ- ные темы: поведение в трудной ситуации, отношения со сверстниками, обращение за помощью. К альбому издана книга с подробными инструкциями к упражнениям. Психолог может использовать упражнения из арт-альбома в рамках индивидуаль- ной работы, а родители могут проводить эти упражнения с детьми самостоятельно. Арт-альбом предназначен для дошкольников и младших школьников.</w:t>
      </w:r>
    </w:p>
    <w:p>
      <w:pPr>
        <w:spacing w:line="235" w:lineRule="auto" w:before="7"/>
        <w:ind w:left="141" w:right="139" w:firstLine="283"/>
        <w:jc w:val="both"/>
        <w:rPr>
          <w:sz w:val="20"/>
        </w:rPr>
      </w:pPr>
      <w:r>
        <w:rPr>
          <w:i/>
          <w:sz w:val="20"/>
        </w:rPr>
        <w:t>Лейбман И.Я., Чернышева У.В., Фейгельман О.М. </w:t>
      </w:r>
      <w:r>
        <w:rPr>
          <w:sz w:val="20"/>
        </w:rPr>
        <w:t>Твоя жизнь на новом месте (арт-альбом для детей). – М.: Генезис, 2020.</w:t>
      </w:r>
    </w:p>
    <w:p>
      <w:pPr>
        <w:spacing w:after="0" w:line="235" w:lineRule="auto"/>
        <w:jc w:val="both"/>
        <w:rPr>
          <w:sz w:val="20"/>
        </w:rPr>
        <w:sectPr>
          <w:pgSz w:w="8400" w:h="11910"/>
          <w:pgMar w:header="0" w:footer="528" w:top="400" w:bottom="740" w:left="425" w:right="425"/>
        </w:sectPr>
      </w:pPr>
    </w:p>
    <w:p>
      <w:pPr>
        <w:pStyle w:val="ListParagraph"/>
        <w:numPr>
          <w:ilvl w:val="1"/>
          <w:numId w:val="45"/>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Специфические</w:t>
      </w:r>
      <w:r>
        <w:rPr>
          <w:rFonts w:ascii="Georgia" w:hAnsi="Georgia"/>
          <w:color w:val="231F20"/>
          <w:spacing w:val="12"/>
          <w:sz w:val="18"/>
        </w:rPr>
        <w:t> </w:t>
      </w:r>
      <w:r>
        <w:rPr>
          <w:rFonts w:ascii="Georgia" w:hAnsi="Georgia"/>
          <w:color w:val="231F20"/>
          <w:sz w:val="18"/>
        </w:rPr>
        <w:t>техники</w:t>
      </w:r>
      <w:r>
        <w:rPr>
          <w:rFonts w:ascii="Georgia" w:hAnsi="Georgia"/>
          <w:color w:val="231F20"/>
          <w:spacing w:val="13"/>
          <w:sz w:val="18"/>
        </w:rPr>
        <w:t> </w:t>
      </w:r>
      <w:r>
        <w:rPr>
          <w:rFonts w:ascii="Georgia" w:hAnsi="Georgia"/>
          <w:color w:val="231F20"/>
          <w:sz w:val="18"/>
        </w:rPr>
        <w:t>для</w:t>
      </w:r>
      <w:r>
        <w:rPr>
          <w:rFonts w:ascii="Georgia" w:hAnsi="Georgia"/>
          <w:color w:val="231F20"/>
          <w:spacing w:val="13"/>
          <w:sz w:val="18"/>
        </w:rPr>
        <w:t> </w:t>
      </w:r>
      <w:r>
        <w:rPr>
          <w:rFonts w:ascii="Georgia" w:hAnsi="Georgia"/>
          <w:color w:val="231F20"/>
          <w:sz w:val="18"/>
        </w:rPr>
        <w:t>коррекционной</w:t>
      </w:r>
      <w:r>
        <w:rPr>
          <w:rFonts w:ascii="Georgia" w:hAnsi="Georgia"/>
          <w:color w:val="231F20"/>
          <w:spacing w:val="13"/>
          <w:sz w:val="18"/>
        </w:rPr>
        <w:t> </w:t>
      </w:r>
      <w:r>
        <w:rPr>
          <w:rFonts w:ascii="Georgia" w:hAnsi="Georgia"/>
          <w:color w:val="231F20"/>
          <w:sz w:val="18"/>
        </w:rPr>
        <w:t>и</w:t>
      </w:r>
      <w:r>
        <w:rPr>
          <w:rFonts w:ascii="Georgia" w:hAnsi="Georgia"/>
          <w:color w:val="231F20"/>
          <w:spacing w:val="13"/>
          <w:sz w:val="18"/>
        </w:rPr>
        <w:t> </w:t>
      </w:r>
      <w:r>
        <w:rPr>
          <w:rFonts w:ascii="Georgia" w:hAnsi="Georgia"/>
          <w:color w:val="231F20"/>
          <w:sz w:val="18"/>
        </w:rPr>
        <w:t>консультативной</w:t>
      </w:r>
      <w:r>
        <w:rPr>
          <w:rFonts w:ascii="Georgia" w:hAnsi="Georgia"/>
          <w:color w:val="231F20"/>
          <w:spacing w:val="13"/>
          <w:sz w:val="18"/>
        </w:rPr>
        <w:t> </w:t>
      </w:r>
      <w:r>
        <w:rPr>
          <w:rFonts w:ascii="Georgia" w:hAnsi="Georgia"/>
          <w:color w:val="231F20"/>
          <w:spacing w:val="-2"/>
          <w:sz w:val="18"/>
        </w:rPr>
        <w:t>работы...</w:t>
      </w:r>
    </w:p>
    <w:p>
      <w:pPr>
        <w:spacing w:line="230" w:lineRule="auto" w:before="120"/>
        <w:ind w:left="141" w:right="139" w:firstLine="283"/>
        <w:jc w:val="both"/>
        <w:rPr>
          <w:sz w:val="20"/>
        </w:rPr>
      </w:pPr>
      <w:r>
        <w:rPr>
          <w:i/>
          <w:sz w:val="20"/>
        </w:rPr>
        <w:t>Лейбман</w:t>
      </w:r>
      <w:r>
        <w:rPr>
          <w:i/>
          <w:spacing w:val="-6"/>
          <w:sz w:val="20"/>
        </w:rPr>
        <w:t> </w:t>
      </w:r>
      <w:r>
        <w:rPr>
          <w:i/>
          <w:sz w:val="20"/>
        </w:rPr>
        <w:t>И.Я.,</w:t>
      </w:r>
      <w:r>
        <w:rPr>
          <w:i/>
          <w:spacing w:val="-6"/>
          <w:sz w:val="20"/>
        </w:rPr>
        <w:t> </w:t>
      </w:r>
      <w:r>
        <w:rPr>
          <w:i/>
          <w:sz w:val="20"/>
        </w:rPr>
        <w:t>Чернышева</w:t>
      </w:r>
      <w:r>
        <w:rPr>
          <w:i/>
          <w:spacing w:val="-6"/>
          <w:sz w:val="20"/>
        </w:rPr>
        <w:t> </w:t>
      </w:r>
      <w:r>
        <w:rPr>
          <w:i/>
          <w:sz w:val="20"/>
        </w:rPr>
        <w:t>У.В.,</w:t>
      </w:r>
      <w:r>
        <w:rPr>
          <w:i/>
          <w:spacing w:val="-6"/>
          <w:sz w:val="20"/>
        </w:rPr>
        <w:t> </w:t>
      </w:r>
      <w:r>
        <w:rPr>
          <w:i/>
          <w:sz w:val="20"/>
        </w:rPr>
        <w:t>Фейгельман</w:t>
      </w:r>
      <w:r>
        <w:rPr>
          <w:i/>
          <w:spacing w:val="-6"/>
          <w:sz w:val="20"/>
        </w:rPr>
        <w:t> </w:t>
      </w:r>
      <w:r>
        <w:rPr>
          <w:i/>
          <w:sz w:val="20"/>
        </w:rPr>
        <w:t>О.М.</w:t>
      </w:r>
      <w:r>
        <w:rPr>
          <w:i/>
          <w:spacing w:val="-7"/>
          <w:sz w:val="20"/>
        </w:rPr>
        <w:t> </w:t>
      </w:r>
      <w:r>
        <w:rPr>
          <w:sz w:val="20"/>
        </w:rPr>
        <w:t>Твоя</w:t>
      </w:r>
      <w:r>
        <w:rPr>
          <w:spacing w:val="-6"/>
          <w:sz w:val="20"/>
        </w:rPr>
        <w:t> </w:t>
      </w:r>
      <w:r>
        <w:rPr>
          <w:sz w:val="20"/>
        </w:rPr>
        <w:t>жизнь</w:t>
      </w:r>
      <w:r>
        <w:rPr>
          <w:spacing w:val="-6"/>
          <w:sz w:val="20"/>
        </w:rPr>
        <w:t> </w:t>
      </w:r>
      <w:r>
        <w:rPr>
          <w:sz w:val="20"/>
        </w:rPr>
        <w:t>на</w:t>
      </w:r>
      <w:r>
        <w:rPr>
          <w:spacing w:val="-6"/>
          <w:sz w:val="20"/>
        </w:rPr>
        <w:t> </w:t>
      </w:r>
      <w:r>
        <w:rPr>
          <w:sz w:val="20"/>
        </w:rPr>
        <w:t>новом</w:t>
      </w:r>
      <w:r>
        <w:rPr>
          <w:spacing w:val="-6"/>
          <w:sz w:val="20"/>
        </w:rPr>
        <w:t> </w:t>
      </w:r>
      <w:r>
        <w:rPr>
          <w:sz w:val="20"/>
        </w:rPr>
        <w:t>месте.</w:t>
      </w:r>
      <w:r>
        <w:rPr>
          <w:spacing w:val="-7"/>
          <w:sz w:val="20"/>
        </w:rPr>
        <w:t> </w:t>
      </w:r>
      <w:r>
        <w:rPr>
          <w:sz w:val="20"/>
        </w:rPr>
        <w:t>Ре- комендации для взрослых. – М.: Генезис, 2020.</w:t>
      </w:r>
    </w:p>
    <w:p>
      <w:pPr>
        <w:pStyle w:val="BodyText"/>
        <w:spacing w:line="223" w:lineRule="auto"/>
      </w:pPr>
      <w:r>
        <w:rPr>
          <w:b/>
          <w:i/>
          <w:spacing w:val="-2"/>
        </w:rPr>
        <w:t>Сильные</w:t>
      </w:r>
      <w:r>
        <w:rPr>
          <w:b/>
          <w:i/>
          <w:spacing w:val="-11"/>
        </w:rPr>
        <w:t> </w:t>
      </w:r>
      <w:r>
        <w:rPr>
          <w:b/>
          <w:i/>
          <w:spacing w:val="-2"/>
        </w:rPr>
        <w:t>стороны</w:t>
      </w:r>
      <w:r>
        <w:rPr>
          <w:b/>
          <w:i/>
          <w:spacing w:val="-10"/>
        </w:rPr>
        <w:t> </w:t>
      </w:r>
      <w:r>
        <w:rPr>
          <w:b/>
          <w:i/>
          <w:spacing w:val="-2"/>
        </w:rPr>
        <w:t>практики.</w:t>
      </w:r>
      <w:r>
        <w:rPr>
          <w:b/>
          <w:i/>
          <w:spacing w:val="-11"/>
        </w:rPr>
        <w:t> </w:t>
      </w:r>
      <w:r>
        <w:rPr>
          <w:spacing w:val="-2"/>
        </w:rPr>
        <w:t>Арт-альбом</w:t>
      </w:r>
      <w:r>
        <w:rPr>
          <w:spacing w:val="-10"/>
        </w:rPr>
        <w:t> </w:t>
      </w:r>
      <w:r>
        <w:rPr>
          <w:spacing w:val="-2"/>
        </w:rPr>
        <w:t>представляет</w:t>
      </w:r>
      <w:r>
        <w:rPr>
          <w:spacing w:val="-11"/>
        </w:rPr>
        <w:t> </w:t>
      </w:r>
      <w:r>
        <w:rPr>
          <w:spacing w:val="-2"/>
        </w:rPr>
        <w:t>собой</w:t>
      </w:r>
      <w:r>
        <w:rPr>
          <w:spacing w:val="-10"/>
        </w:rPr>
        <w:t> </w:t>
      </w:r>
      <w:r>
        <w:rPr>
          <w:spacing w:val="-2"/>
        </w:rPr>
        <w:t>структурированную </w:t>
      </w:r>
      <w:r>
        <w:rPr/>
        <w:t>программу помощи. Упражнения затрагивают различные темы и построены таким образом,</w:t>
      </w:r>
      <w:r>
        <w:rPr>
          <w:spacing w:val="-6"/>
        </w:rPr>
        <w:t> </w:t>
      </w:r>
      <w:r>
        <w:rPr/>
        <w:t>чтобы</w:t>
      </w:r>
      <w:r>
        <w:rPr>
          <w:spacing w:val="-6"/>
        </w:rPr>
        <w:t> </w:t>
      </w:r>
      <w:r>
        <w:rPr/>
        <w:t>помочь</w:t>
      </w:r>
      <w:r>
        <w:rPr>
          <w:spacing w:val="-6"/>
        </w:rPr>
        <w:t> </w:t>
      </w:r>
      <w:r>
        <w:rPr/>
        <w:t>детям</w:t>
      </w:r>
      <w:r>
        <w:rPr>
          <w:spacing w:val="-6"/>
        </w:rPr>
        <w:t> </w:t>
      </w:r>
      <w:r>
        <w:rPr/>
        <w:t>обрести</w:t>
      </w:r>
      <w:r>
        <w:rPr>
          <w:spacing w:val="-6"/>
        </w:rPr>
        <w:t> </w:t>
      </w:r>
      <w:r>
        <w:rPr/>
        <w:t>уверенность</w:t>
      </w:r>
      <w:r>
        <w:rPr>
          <w:spacing w:val="-6"/>
        </w:rPr>
        <w:t> </w:t>
      </w:r>
      <w:r>
        <w:rPr/>
        <w:t>в</w:t>
      </w:r>
      <w:r>
        <w:rPr>
          <w:spacing w:val="-6"/>
        </w:rPr>
        <w:t> </w:t>
      </w:r>
      <w:r>
        <w:rPr/>
        <w:t>себе</w:t>
      </w:r>
      <w:r>
        <w:rPr>
          <w:spacing w:val="-6"/>
        </w:rPr>
        <w:t> </w:t>
      </w:r>
      <w:r>
        <w:rPr/>
        <w:t>и</w:t>
      </w:r>
      <w:r>
        <w:rPr>
          <w:spacing w:val="-6"/>
        </w:rPr>
        <w:t> </w:t>
      </w:r>
      <w:r>
        <w:rPr/>
        <w:t>позитивную</w:t>
      </w:r>
      <w:r>
        <w:rPr>
          <w:spacing w:val="-6"/>
        </w:rPr>
        <w:t> </w:t>
      </w:r>
      <w:r>
        <w:rPr/>
        <w:t>самооценку.</w:t>
      </w:r>
    </w:p>
    <w:p>
      <w:pPr>
        <w:spacing w:line="209" w:lineRule="exact" w:before="0"/>
        <w:ind w:left="425" w:right="0" w:firstLine="0"/>
        <w:jc w:val="both"/>
        <w:rPr>
          <w:sz w:val="20"/>
        </w:rPr>
      </w:pPr>
      <w:r>
        <w:rPr>
          <w:b/>
          <w:i/>
          <w:sz w:val="20"/>
        </w:rPr>
        <w:t>Требования</w:t>
      </w:r>
      <w:r>
        <w:rPr>
          <w:b/>
          <w:i/>
          <w:spacing w:val="-6"/>
          <w:sz w:val="20"/>
        </w:rPr>
        <w:t> </w:t>
      </w:r>
      <w:r>
        <w:rPr>
          <w:b/>
          <w:i/>
          <w:sz w:val="20"/>
        </w:rPr>
        <w:t>к</w:t>
      </w:r>
      <w:r>
        <w:rPr>
          <w:b/>
          <w:i/>
          <w:spacing w:val="-5"/>
          <w:sz w:val="20"/>
        </w:rPr>
        <w:t> </w:t>
      </w:r>
      <w:r>
        <w:rPr>
          <w:b/>
          <w:i/>
          <w:sz w:val="20"/>
        </w:rPr>
        <w:t>проведению.</w:t>
      </w:r>
      <w:r>
        <w:rPr>
          <w:b/>
          <w:i/>
          <w:spacing w:val="-5"/>
          <w:sz w:val="20"/>
        </w:rPr>
        <w:t> </w:t>
      </w:r>
      <w:r>
        <w:rPr>
          <w:sz w:val="20"/>
        </w:rPr>
        <w:t>Наличие</w:t>
      </w:r>
      <w:r>
        <w:rPr>
          <w:spacing w:val="-5"/>
          <w:sz w:val="20"/>
        </w:rPr>
        <w:t> </w:t>
      </w:r>
      <w:r>
        <w:rPr>
          <w:sz w:val="20"/>
        </w:rPr>
        <w:t>альбома</w:t>
      </w:r>
      <w:r>
        <w:rPr>
          <w:spacing w:val="-5"/>
          <w:sz w:val="20"/>
        </w:rPr>
        <w:t> </w:t>
      </w:r>
      <w:r>
        <w:rPr>
          <w:sz w:val="20"/>
        </w:rPr>
        <w:t>и</w:t>
      </w:r>
      <w:r>
        <w:rPr>
          <w:spacing w:val="-5"/>
          <w:sz w:val="20"/>
        </w:rPr>
        <w:t> </w:t>
      </w:r>
      <w:r>
        <w:rPr>
          <w:sz w:val="20"/>
        </w:rPr>
        <w:t>материалов</w:t>
      </w:r>
      <w:r>
        <w:rPr>
          <w:spacing w:val="-6"/>
          <w:sz w:val="20"/>
        </w:rPr>
        <w:t> </w:t>
      </w:r>
      <w:r>
        <w:rPr>
          <w:sz w:val="20"/>
        </w:rPr>
        <w:t>для</w:t>
      </w:r>
      <w:r>
        <w:rPr>
          <w:spacing w:val="-4"/>
          <w:sz w:val="20"/>
        </w:rPr>
        <w:t> </w:t>
      </w:r>
      <w:r>
        <w:rPr>
          <w:spacing w:val="-2"/>
          <w:sz w:val="20"/>
        </w:rPr>
        <w:t>рисования.</w:t>
      </w:r>
    </w:p>
    <w:p>
      <w:pPr>
        <w:pStyle w:val="BodyText"/>
        <w:spacing w:line="223" w:lineRule="auto" w:before="3"/>
      </w:pPr>
      <w:r>
        <w:rPr>
          <w:b/>
          <w:i/>
        </w:rPr>
        <w:t>Доказательность практики. </w:t>
      </w:r>
      <w:r>
        <w:rPr/>
        <w:t>Эмпирические исследования доказывают эффек- тивность арт-терапии в работе с детьми-мигрантами (см. Раздел 1.3).</w:t>
      </w:r>
    </w:p>
    <w:p>
      <w:pPr>
        <w:spacing w:line="209" w:lineRule="exact" w:before="0"/>
        <w:ind w:left="425" w:right="0" w:firstLine="0"/>
        <w:jc w:val="both"/>
        <w:rPr>
          <w:b/>
          <w:i/>
          <w:sz w:val="20"/>
        </w:rPr>
      </w:pPr>
      <w:r>
        <w:rPr>
          <w:b/>
          <w:i/>
          <w:sz w:val="20"/>
        </w:rPr>
        <w:t>Где</w:t>
      </w:r>
      <w:r>
        <w:rPr>
          <w:b/>
          <w:i/>
          <w:spacing w:val="-4"/>
          <w:sz w:val="20"/>
        </w:rPr>
        <w:t> </w:t>
      </w:r>
      <w:r>
        <w:rPr>
          <w:b/>
          <w:i/>
          <w:spacing w:val="-2"/>
          <w:sz w:val="20"/>
        </w:rPr>
        <w:t>научиться?</w:t>
      </w:r>
    </w:p>
    <w:p>
      <w:pPr>
        <w:pStyle w:val="BodyText"/>
        <w:spacing w:line="223" w:lineRule="auto" w:before="5"/>
      </w:pPr>
      <w:r>
        <w:rPr/>
        <w:t>Специальная</w:t>
      </w:r>
      <w:r>
        <w:rPr>
          <w:spacing w:val="-4"/>
        </w:rPr>
        <w:t> </w:t>
      </w:r>
      <w:r>
        <w:rPr/>
        <w:t>подготовка</w:t>
      </w:r>
      <w:r>
        <w:rPr>
          <w:spacing w:val="-4"/>
        </w:rPr>
        <w:t> </w:t>
      </w:r>
      <w:r>
        <w:rPr/>
        <w:t>не</w:t>
      </w:r>
      <w:r>
        <w:rPr>
          <w:spacing w:val="-4"/>
        </w:rPr>
        <w:t> </w:t>
      </w:r>
      <w:r>
        <w:rPr/>
        <w:t>требуется,</w:t>
      </w:r>
      <w:r>
        <w:rPr>
          <w:spacing w:val="-4"/>
        </w:rPr>
        <w:t> </w:t>
      </w:r>
      <w:r>
        <w:rPr/>
        <w:t>но</w:t>
      </w:r>
      <w:r>
        <w:rPr>
          <w:spacing w:val="-4"/>
        </w:rPr>
        <w:t> </w:t>
      </w:r>
      <w:r>
        <w:rPr/>
        <w:t>рекомендуется</w:t>
      </w:r>
      <w:r>
        <w:rPr>
          <w:spacing w:val="-4"/>
        </w:rPr>
        <w:t> </w:t>
      </w:r>
      <w:r>
        <w:rPr/>
        <w:t>подробно</w:t>
      </w:r>
      <w:r>
        <w:rPr>
          <w:spacing w:val="-4"/>
        </w:rPr>
        <w:t> </w:t>
      </w:r>
      <w:r>
        <w:rPr/>
        <w:t>изучить</w:t>
      </w:r>
      <w:r>
        <w:rPr>
          <w:spacing w:val="-4"/>
        </w:rPr>
        <w:t> </w:t>
      </w:r>
      <w:r>
        <w:rPr/>
        <w:t>мате- риалы, прежде чем приступать к работе.</w:t>
      </w:r>
    </w:p>
    <w:p>
      <w:pPr>
        <w:numPr>
          <w:ilvl w:val="2"/>
          <w:numId w:val="52"/>
        </w:numPr>
        <w:tabs>
          <w:tab w:pos="1885" w:val="left" w:leader="none"/>
        </w:tabs>
        <w:spacing w:before="201"/>
        <w:ind w:left="1885" w:right="0" w:hanging="500"/>
        <w:jc w:val="both"/>
        <w:rPr>
          <w:b/>
          <w:sz w:val="20"/>
        </w:rPr>
      </w:pPr>
      <w:r>
        <w:rPr>
          <w:b/>
          <w:color w:val="231F20"/>
          <w:sz w:val="20"/>
        </w:rPr>
        <w:t>Метод</w:t>
      </w:r>
      <w:r>
        <w:rPr>
          <w:b/>
          <w:color w:val="231F20"/>
          <w:spacing w:val="-12"/>
          <w:sz w:val="20"/>
        </w:rPr>
        <w:t> </w:t>
      </w:r>
      <w:r>
        <w:rPr>
          <w:b/>
          <w:color w:val="231F20"/>
          <w:sz w:val="20"/>
        </w:rPr>
        <w:t>диалогического</w:t>
      </w:r>
      <w:r>
        <w:rPr>
          <w:b/>
          <w:color w:val="231F20"/>
          <w:spacing w:val="-9"/>
          <w:sz w:val="20"/>
        </w:rPr>
        <w:t> </w:t>
      </w:r>
      <w:r>
        <w:rPr>
          <w:b/>
          <w:color w:val="231F20"/>
          <w:sz w:val="20"/>
        </w:rPr>
        <w:t>рассказывания</w:t>
      </w:r>
      <w:r>
        <w:rPr>
          <w:b/>
          <w:color w:val="231F20"/>
          <w:spacing w:val="-9"/>
          <w:sz w:val="20"/>
        </w:rPr>
        <w:t> </w:t>
      </w:r>
      <w:r>
        <w:rPr>
          <w:b/>
          <w:color w:val="231F20"/>
          <w:spacing w:val="-2"/>
          <w:sz w:val="20"/>
        </w:rPr>
        <w:t>историй</w:t>
      </w:r>
    </w:p>
    <w:p>
      <w:pPr>
        <w:pStyle w:val="BodyText"/>
        <w:spacing w:line="223" w:lineRule="auto" w:before="111"/>
      </w:pPr>
      <w:r>
        <w:rPr>
          <w:b/>
          <w:i/>
        </w:rPr>
        <w:t>Общее описание. </w:t>
      </w:r>
      <w:r>
        <w:rPr>
          <w:color w:val="231F20"/>
        </w:rPr>
        <w:t>Метод диалогического рассказывания историй (ДРИ) разрабо- тан Р.</w:t>
      </w:r>
      <w:r>
        <w:rPr>
          <w:color w:val="231F20"/>
          <w:spacing w:val="-8"/>
        </w:rPr>
        <w:t> </w:t>
      </w:r>
      <w:r>
        <w:rPr>
          <w:color w:val="231F20"/>
        </w:rPr>
        <w:t>Гарднером в 1960-х гг. На русском языке с методом можно подробно ознако- </w:t>
      </w:r>
      <w:r>
        <w:rPr>
          <w:color w:val="231F20"/>
          <w:spacing w:val="-2"/>
        </w:rPr>
        <w:t>миться:</w:t>
      </w:r>
    </w:p>
    <w:p>
      <w:pPr>
        <w:pStyle w:val="BodyText"/>
        <w:spacing w:line="223" w:lineRule="auto"/>
      </w:pPr>
      <w:r>
        <w:rPr>
          <w:i/>
          <w:color w:val="171B1E"/>
        </w:rPr>
        <w:t>Гарднер, Р. </w:t>
      </w:r>
      <w:r>
        <w:rPr>
          <w:color w:val="171B1E"/>
        </w:rPr>
        <w:t>Психотерапия детских проблем / Ричард Гарднер; [Пер. с англ.: Н. Алексеева</w:t>
      </w:r>
      <w:r>
        <w:rPr>
          <w:color w:val="171B1E"/>
          <w:spacing w:val="-3"/>
        </w:rPr>
        <w:t> </w:t>
      </w:r>
      <w:r>
        <w:rPr>
          <w:color w:val="171B1E"/>
        </w:rPr>
        <w:t>и</w:t>
      </w:r>
      <w:r>
        <w:rPr>
          <w:color w:val="171B1E"/>
          <w:spacing w:val="-3"/>
        </w:rPr>
        <w:t> </w:t>
      </w:r>
      <w:r>
        <w:rPr>
          <w:color w:val="171B1E"/>
        </w:rPr>
        <w:t>др.].</w:t>
      </w:r>
      <w:r>
        <w:rPr>
          <w:color w:val="171B1E"/>
          <w:spacing w:val="-3"/>
        </w:rPr>
        <w:t> </w:t>
      </w:r>
      <w:r>
        <w:rPr>
          <w:color w:val="171B1E"/>
        </w:rPr>
        <w:t>–</w:t>
      </w:r>
      <w:r>
        <w:rPr>
          <w:color w:val="171B1E"/>
          <w:spacing w:val="-3"/>
        </w:rPr>
        <w:t> </w:t>
      </w:r>
      <w:r>
        <w:rPr>
          <w:color w:val="171B1E"/>
        </w:rPr>
        <w:t>СПб.:</w:t>
      </w:r>
      <w:r>
        <w:rPr>
          <w:color w:val="171B1E"/>
          <w:spacing w:val="-3"/>
        </w:rPr>
        <w:t> </w:t>
      </w:r>
      <w:r>
        <w:rPr>
          <w:color w:val="171B1E"/>
        </w:rPr>
        <w:t>Речь,</w:t>
      </w:r>
      <w:r>
        <w:rPr>
          <w:color w:val="171B1E"/>
          <w:spacing w:val="-3"/>
        </w:rPr>
        <w:t> </w:t>
      </w:r>
      <w:r>
        <w:rPr>
          <w:color w:val="171B1E"/>
        </w:rPr>
        <w:t>2002.</w:t>
      </w:r>
      <w:r>
        <w:rPr>
          <w:color w:val="171B1E"/>
          <w:spacing w:val="-3"/>
        </w:rPr>
        <w:t> </w:t>
      </w:r>
      <w:r>
        <w:rPr>
          <w:color w:val="171B1E"/>
        </w:rPr>
        <w:t>–</w:t>
      </w:r>
      <w:r>
        <w:rPr>
          <w:color w:val="171B1E"/>
          <w:spacing w:val="-3"/>
        </w:rPr>
        <w:t> </w:t>
      </w:r>
      <w:r>
        <w:rPr>
          <w:color w:val="171B1E"/>
        </w:rPr>
        <w:t>415</w:t>
      </w:r>
      <w:r>
        <w:rPr>
          <w:color w:val="171B1E"/>
          <w:spacing w:val="-3"/>
        </w:rPr>
        <w:t> </w:t>
      </w:r>
      <w:r>
        <w:rPr>
          <w:color w:val="171B1E"/>
        </w:rPr>
        <w:t>[1]</w:t>
      </w:r>
      <w:r>
        <w:rPr>
          <w:color w:val="171B1E"/>
          <w:spacing w:val="-3"/>
        </w:rPr>
        <w:t> </w:t>
      </w:r>
      <w:r>
        <w:rPr>
          <w:color w:val="171B1E"/>
        </w:rPr>
        <w:t>с.;</w:t>
      </w:r>
      <w:r>
        <w:rPr>
          <w:color w:val="171B1E"/>
          <w:spacing w:val="-3"/>
        </w:rPr>
        <w:t> </w:t>
      </w:r>
      <w:r>
        <w:rPr>
          <w:color w:val="171B1E"/>
        </w:rPr>
        <w:t>21</w:t>
      </w:r>
      <w:r>
        <w:rPr>
          <w:color w:val="171B1E"/>
          <w:spacing w:val="-3"/>
        </w:rPr>
        <w:t> </w:t>
      </w:r>
      <w:r>
        <w:rPr>
          <w:color w:val="171B1E"/>
        </w:rPr>
        <w:t>см.</w:t>
      </w:r>
      <w:r>
        <w:rPr>
          <w:color w:val="171B1E"/>
          <w:spacing w:val="-3"/>
        </w:rPr>
        <w:t> </w:t>
      </w:r>
      <w:r>
        <w:rPr>
          <w:color w:val="171B1E"/>
        </w:rPr>
        <w:t>(Современная</w:t>
      </w:r>
      <w:r>
        <w:rPr>
          <w:color w:val="171B1E"/>
          <w:spacing w:val="-3"/>
        </w:rPr>
        <w:t> </w:t>
      </w:r>
      <w:r>
        <w:rPr>
          <w:color w:val="171B1E"/>
        </w:rPr>
        <w:t>психотерапия) ISBN 5-9268-0071-4.</w:t>
      </w:r>
    </w:p>
    <w:p>
      <w:pPr>
        <w:pStyle w:val="BodyText"/>
        <w:spacing w:line="225" w:lineRule="auto"/>
      </w:pPr>
      <w:r>
        <w:rPr>
          <w:i/>
        </w:rPr>
        <w:t>Хухлаев</w:t>
      </w:r>
      <w:r>
        <w:rPr>
          <w:i/>
          <w:spacing w:val="-13"/>
        </w:rPr>
        <w:t> </w:t>
      </w:r>
      <w:r>
        <w:rPr>
          <w:i/>
        </w:rPr>
        <w:t>О.Е.</w:t>
      </w:r>
      <w:r>
        <w:rPr>
          <w:i/>
          <w:spacing w:val="-12"/>
        </w:rPr>
        <w:t> </w:t>
      </w:r>
      <w:r>
        <w:rPr/>
        <w:t>Диалогические</w:t>
      </w:r>
      <w:r>
        <w:rPr>
          <w:spacing w:val="-13"/>
        </w:rPr>
        <w:t> </w:t>
      </w:r>
      <w:r>
        <w:rPr/>
        <w:t>истории</w:t>
      </w:r>
      <w:r>
        <w:rPr>
          <w:spacing w:val="-12"/>
        </w:rPr>
        <w:t> </w:t>
      </w:r>
      <w:r>
        <w:rPr/>
        <w:t>в</w:t>
      </w:r>
      <w:r>
        <w:rPr>
          <w:spacing w:val="-13"/>
        </w:rPr>
        <w:t> </w:t>
      </w:r>
      <w:r>
        <w:rPr/>
        <w:t>индивидуальной</w:t>
      </w:r>
      <w:r>
        <w:rPr>
          <w:spacing w:val="-12"/>
        </w:rPr>
        <w:t> </w:t>
      </w:r>
      <w:r>
        <w:rPr/>
        <w:t>психологической</w:t>
      </w:r>
      <w:r>
        <w:rPr>
          <w:spacing w:val="-13"/>
        </w:rPr>
        <w:t> </w:t>
      </w:r>
      <w:r>
        <w:rPr/>
        <w:t>работе</w:t>
      </w:r>
      <w:r>
        <w:rPr>
          <w:spacing w:val="-12"/>
        </w:rPr>
        <w:t> </w:t>
      </w:r>
      <w:r>
        <w:rPr/>
        <w:t>с </w:t>
      </w:r>
      <w:r>
        <w:rPr>
          <w:spacing w:val="-2"/>
        </w:rPr>
        <w:t>детьми-мигрантами // Технологии психологического сопровождения интеграции миг- </w:t>
      </w:r>
      <w:r>
        <w:rPr/>
        <w:t>рантов</w:t>
      </w:r>
      <w:r>
        <w:rPr>
          <w:spacing w:val="-12"/>
        </w:rPr>
        <w:t> </w:t>
      </w:r>
      <w:r>
        <w:rPr/>
        <w:t>в</w:t>
      </w:r>
      <w:r>
        <w:rPr>
          <w:spacing w:val="-12"/>
        </w:rPr>
        <w:t> </w:t>
      </w:r>
      <w:r>
        <w:rPr/>
        <w:t>образовательной</w:t>
      </w:r>
      <w:r>
        <w:rPr>
          <w:spacing w:val="-12"/>
        </w:rPr>
        <w:t> </w:t>
      </w:r>
      <w:r>
        <w:rPr/>
        <w:t>среде.</w:t>
      </w:r>
      <w:r>
        <w:rPr>
          <w:spacing w:val="-12"/>
        </w:rPr>
        <w:t> </w:t>
      </w:r>
      <w:r>
        <w:rPr/>
        <w:t>Учебно-методическое</w:t>
      </w:r>
      <w:r>
        <w:rPr>
          <w:spacing w:val="-12"/>
        </w:rPr>
        <w:t> </w:t>
      </w:r>
      <w:r>
        <w:rPr/>
        <w:t>пос</w:t>
      </w:r>
      <w:r>
        <w:rPr>
          <w:color w:val="231F20"/>
        </w:rPr>
        <w:t>обие.</w:t>
      </w:r>
      <w:r>
        <w:rPr>
          <w:color w:val="231F20"/>
          <w:spacing w:val="-12"/>
        </w:rPr>
        <w:t> </w:t>
      </w:r>
      <w:hyperlink r:id="rId77">
        <w:r>
          <w:rPr>
            <w:color w:val="2255A6"/>
            <w:u w:val="single" w:color="2255A6"/>
          </w:rPr>
          <w:t>https://psyjournals.ru/</w:t>
        </w:r>
      </w:hyperlink>
      <w:r>
        <w:rPr>
          <w:color w:val="2255A6"/>
        </w:rPr>
        <w:t> </w:t>
      </w:r>
      <w:hyperlink r:id="rId77">
        <w:r>
          <w:rPr>
            <w:color w:val="2255A6"/>
            <w:spacing w:val="-2"/>
            <w:u w:val="single" w:color="2255A6"/>
          </w:rPr>
          <w:t>nonserialpublications/soprovozhdenie_migrantov/contents/66986?ysclid=ld4di4mxsq4705</w:t>
        </w:r>
      </w:hyperlink>
      <w:r>
        <w:rPr>
          <w:color w:val="2255A6"/>
          <w:spacing w:val="-2"/>
        </w:rPr>
        <w:t> </w:t>
      </w:r>
      <w:hyperlink r:id="rId77">
        <w:r>
          <w:rPr>
            <w:color w:val="2255A6"/>
            <w:spacing w:val="-2"/>
            <w:u w:val="single" w:color="2255A6"/>
          </w:rPr>
          <w:t>37757</w:t>
        </w:r>
      </w:hyperlink>
      <w:r>
        <w:rPr>
          <w:color w:val="231F20"/>
          <w:spacing w:val="-2"/>
        </w:rPr>
        <w:t>.</w:t>
      </w:r>
    </w:p>
    <w:p>
      <w:pPr>
        <w:spacing w:line="225" w:lineRule="auto" w:before="0"/>
        <w:ind w:left="141" w:right="140" w:firstLine="283"/>
        <w:jc w:val="both"/>
        <w:rPr>
          <w:sz w:val="20"/>
        </w:rPr>
      </w:pPr>
      <w:r>
        <w:rPr>
          <w:b/>
          <w:i/>
          <w:sz w:val="20"/>
        </w:rPr>
        <w:t>Сильные стороны практики. </w:t>
      </w:r>
      <w:r>
        <w:rPr>
          <w:color w:val="231F20"/>
          <w:sz w:val="20"/>
        </w:rPr>
        <w:t>В работе с детьми из семей мигрантов этот метод имеет следующие преимущества.</w:t>
      </w:r>
    </w:p>
    <w:p>
      <w:pPr>
        <w:pStyle w:val="ListParagraph"/>
        <w:numPr>
          <w:ilvl w:val="0"/>
          <w:numId w:val="65"/>
        </w:numPr>
        <w:tabs>
          <w:tab w:pos="425" w:val="left" w:leader="none"/>
        </w:tabs>
        <w:spacing w:line="228" w:lineRule="auto" w:before="0" w:after="0"/>
        <w:ind w:left="425" w:right="139" w:hanging="284"/>
        <w:jc w:val="both"/>
        <w:rPr>
          <w:sz w:val="20"/>
        </w:rPr>
      </w:pPr>
      <w:r>
        <w:rPr>
          <w:color w:val="231F20"/>
          <w:sz w:val="20"/>
        </w:rPr>
        <w:t>Он является скорее «формальным», чем «концептуальным», то есть не связан с конкретной парадигмой в психологии. Сочетается с широким спектром терапев- тических подходов – от психодинамического до когнитивно-поведенческого.</w:t>
      </w:r>
    </w:p>
    <w:p>
      <w:pPr>
        <w:pStyle w:val="ListParagraph"/>
        <w:numPr>
          <w:ilvl w:val="0"/>
          <w:numId w:val="65"/>
        </w:numPr>
        <w:tabs>
          <w:tab w:pos="425" w:val="left" w:leader="none"/>
        </w:tabs>
        <w:spacing w:line="228" w:lineRule="auto" w:before="0" w:after="0"/>
        <w:ind w:left="425" w:right="139" w:hanging="284"/>
        <w:jc w:val="both"/>
        <w:rPr>
          <w:sz w:val="20"/>
        </w:rPr>
      </w:pPr>
      <w:r>
        <w:rPr>
          <w:color w:val="231F20"/>
          <w:sz w:val="20"/>
        </w:rPr>
        <w:t>Несмотря</w:t>
      </w:r>
      <w:r>
        <w:rPr>
          <w:color w:val="231F20"/>
          <w:spacing w:val="-9"/>
          <w:sz w:val="20"/>
        </w:rPr>
        <w:t> </w:t>
      </w:r>
      <w:r>
        <w:rPr>
          <w:color w:val="231F20"/>
          <w:sz w:val="20"/>
        </w:rPr>
        <w:t>на</w:t>
      </w:r>
      <w:r>
        <w:rPr>
          <w:color w:val="231F20"/>
          <w:spacing w:val="-9"/>
          <w:sz w:val="20"/>
        </w:rPr>
        <w:t> </w:t>
      </w:r>
      <w:r>
        <w:rPr>
          <w:color w:val="231F20"/>
          <w:sz w:val="20"/>
        </w:rPr>
        <w:t>вербальный</w:t>
      </w:r>
      <w:r>
        <w:rPr>
          <w:color w:val="231F20"/>
          <w:spacing w:val="-9"/>
          <w:sz w:val="20"/>
        </w:rPr>
        <w:t> </w:t>
      </w:r>
      <w:r>
        <w:rPr>
          <w:color w:val="231F20"/>
          <w:sz w:val="20"/>
        </w:rPr>
        <w:t>характер,</w:t>
      </w:r>
      <w:r>
        <w:rPr>
          <w:color w:val="231F20"/>
          <w:spacing w:val="-9"/>
          <w:sz w:val="20"/>
        </w:rPr>
        <w:t> </w:t>
      </w:r>
      <w:r>
        <w:rPr>
          <w:color w:val="231F20"/>
          <w:sz w:val="20"/>
        </w:rPr>
        <w:t>он</w:t>
      </w:r>
      <w:r>
        <w:rPr>
          <w:color w:val="231F20"/>
          <w:spacing w:val="-9"/>
          <w:sz w:val="20"/>
        </w:rPr>
        <w:t> </w:t>
      </w:r>
      <w:r>
        <w:rPr>
          <w:color w:val="231F20"/>
          <w:sz w:val="20"/>
        </w:rPr>
        <w:t>основан</w:t>
      </w:r>
      <w:r>
        <w:rPr>
          <w:color w:val="231F20"/>
          <w:spacing w:val="-9"/>
          <w:sz w:val="20"/>
        </w:rPr>
        <w:t> </w:t>
      </w:r>
      <w:r>
        <w:rPr>
          <w:color w:val="231F20"/>
          <w:sz w:val="20"/>
        </w:rPr>
        <w:t>на</w:t>
      </w:r>
      <w:r>
        <w:rPr>
          <w:color w:val="231F20"/>
          <w:spacing w:val="-9"/>
          <w:sz w:val="20"/>
        </w:rPr>
        <w:t> </w:t>
      </w:r>
      <w:r>
        <w:rPr>
          <w:color w:val="231F20"/>
          <w:sz w:val="20"/>
        </w:rPr>
        <w:t>системе</w:t>
      </w:r>
      <w:r>
        <w:rPr>
          <w:color w:val="231F20"/>
          <w:spacing w:val="-9"/>
          <w:sz w:val="20"/>
        </w:rPr>
        <w:t> </w:t>
      </w:r>
      <w:r>
        <w:rPr>
          <w:color w:val="231F20"/>
          <w:sz w:val="20"/>
        </w:rPr>
        <w:t>коммуникации,</w:t>
      </w:r>
      <w:r>
        <w:rPr>
          <w:color w:val="231F20"/>
          <w:spacing w:val="-9"/>
          <w:sz w:val="20"/>
        </w:rPr>
        <w:t> </w:t>
      </w:r>
      <w:r>
        <w:rPr>
          <w:color w:val="231F20"/>
          <w:sz w:val="20"/>
        </w:rPr>
        <w:t>доступ- ной практически всем детям вне зависимости от культурных традиций.</w:t>
      </w:r>
    </w:p>
    <w:p>
      <w:pPr>
        <w:pStyle w:val="ListParagraph"/>
        <w:numPr>
          <w:ilvl w:val="0"/>
          <w:numId w:val="65"/>
        </w:numPr>
        <w:tabs>
          <w:tab w:pos="425" w:val="left" w:leader="none"/>
        </w:tabs>
        <w:spacing w:line="228" w:lineRule="auto" w:before="0" w:after="0"/>
        <w:ind w:left="425" w:right="139" w:hanging="284"/>
        <w:jc w:val="both"/>
        <w:rPr>
          <w:sz w:val="20"/>
        </w:rPr>
      </w:pPr>
      <w:r>
        <w:rPr>
          <w:color w:val="231F20"/>
          <w:sz w:val="20"/>
        </w:rPr>
        <w:t>Метод</w:t>
      </w:r>
      <w:r>
        <w:rPr>
          <w:color w:val="231F20"/>
          <w:spacing w:val="-6"/>
          <w:sz w:val="20"/>
        </w:rPr>
        <w:t> </w:t>
      </w:r>
      <w:r>
        <w:rPr>
          <w:color w:val="231F20"/>
          <w:sz w:val="20"/>
        </w:rPr>
        <w:t>достаточно</w:t>
      </w:r>
      <w:r>
        <w:rPr>
          <w:color w:val="231F20"/>
          <w:spacing w:val="-6"/>
          <w:sz w:val="20"/>
        </w:rPr>
        <w:t> </w:t>
      </w:r>
      <w:r>
        <w:rPr>
          <w:color w:val="231F20"/>
          <w:sz w:val="20"/>
        </w:rPr>
        <w:t>эффективен</w:t>
      </w:r>
      <w:r>
        <w:rPr>
          <w:color w:val="231F20"/>
          <w:spacing w:val="-6"/>
          <w:sz w:val="20"/>
        </w:rPr>
        <w:t> </w:t>
      </w:r>
      <w:r>
        <w:rPr>
          <w:color w:val="231F20"/>
          <w:sz w:val="20"/>
        </w:rPr>
        <w:t>и</w:t>
      </w:r>
      <w:r>
        <w:rPr>
          <w:color w:val="231F20"/>
          <w:spacing w:val="-6"/>
          <w:sz w:val="20"/>
        </w:rPr>
        <w:t> </w:t>
      </w:r>
      <w:r>
        <w:rPr>
          <w:color w:val="231F20"/>
          <w:sz w:val="20"/>
        </w:rPr>
        <w:t>направлен</w:t>
      </w:r>
      <w:r>
        <w:rPr>
          <w:color w:val="231F20"/>
          <w:spacing w:val="-6"/>
          <w:sz w:val="20"/>
        </w:rPr>
        <w:t> </w:t>
      </w:r>
      <w:r>
        <w:rPr>
          <w:color w:val="231F20"/>
          <w:sz w:val="20"/>
        </w:rPr>
        <w:t>на</w:t>
      </w:r>
      <w:r>
        <w:rPr>
          <w:color w:val="231F20"/>
          <w:spacing w:val="-6"/>
          <w:sz w:val="20"/>
        </w:rPr>
        <w:t> </w:t>
      </w:r>
      <w:r>
        <w:rPr>
          <w:color w:val="231F20"/>
          <w:sz w:val="20"/>
        </w:rPr>
        <w:t>решение</w:t>
      </w:r>
      <w:r>
        <w:rPr>
          <w:color w:val="231F20"/>
          <w:spacing w:val="-6"/>
          <w:sz w:val="20"/>
        </w:rPr>
        <w:t> </w:t>
      </w:r>
      <w:r>
        <w:rPr>
          <w:color w:val="231F20"/>
          <w:sz w:val="20"/>
        </w:rPr>
        <w:t>первоочередных</w:t>
      </w:r>
      <w:r>
        <w:rPr>
          <w:color w:val="231F20"/>
          <w:spacing w:val="-6"/>
          <w:sz w:val="20"/>
        </w:rPr>
        <w:t> </w:t>
      </w:r>
      <w:r>
        <w:rPr>
          <w:color w:val="231F20"/>
          <w:sz w:val="20"/>
        </w:rPr>
        <w:t>проблем ребенка,</w:t>
      </w:r>
      <w:r>
        <w:rPr>
          <w:color w:val="231F20"/>
          <w:spacing w:val="-12"/>
          <w:sz w:val="20"/>
        </w:rPr>
        <w:t> </w:t>
      </w:r>
      <w:r>
        <w:rPr>
          <w:color w:val="231F20"/>
          <w:sz w:val="20"/>
        </w:rPr>
        <w:t>что</w:t>
      </w:r>
      <w:r>
        <w:rPr>
          <w:color w:val="231F20"/>
          <w:spacing w:val="-12"/>
          <w:sz w:val="20"/>
        </w:rPr>
        <w:t> </w:t>
      </w:r>
      <w:r>
        <w:rPr>
          <w:color w:val="231F20"/>
          <w:sz w:val="20"/>
        </w:rPr>
        <w:t>особенно</w:t>
      </w:r>
      <w:r>
        <w:rPr>
          <w:color w:val="231F20"/>
          <w:spacing w:val="-12"/>
          <w:sz w:val="20"/>
        </w:rPr>
        <w:t> </w:t>
      </w:r>
      <w:r>
        <w:rPr>
          <w:color w:val="231F20"/>
          <w:sz w:val="20"/>
        </w:rPr>
        <w:t>важно</w:t>
      </w:r>
      <w:r>
        <w:rPr>
          <w:color w:val="231F20"/>
          <w:spacing w:val="-12"/>
          <w:sz w:val="20"/>
        </w:rPr>
        <w:t> </w:t>
      </w:r>
      <w:r>
        <w:rPr>
          <w:color w:val="231F20"/>
          <w:sz w:val="20"/>
        </w:rPr>
        <w:t>в</w:t>
      </w:r>
      <w:r>
        <w:rPr>
          <w:color w:val="231F20"/>
          <w:spacing w:val="-12"/>
          <w:sz w:val="20"/>
        </w:rPr>
        <w:t> </w:t>
      </w:r>
      <w:r>
        <w:rPr>
          <w:color w:val="231F20"/>
          <w:sz w:val="20"/>
        </w:rPr>
        <w:t>ситуации,</w:t>
      </w:r>
      <w:r>
        <w:rPr>
          <w:color w:val="231F20"/>
          <w:spacing w:val="-12"/>
          <w:sz w:val="20"/>
        </w:rPr>
        <w:t> </w:t>
      </w:r>
      <w:r>
        <w:rPr>
          <w:color w:val="231F20"/>
          <w:sz w:val="20"/>
        </w:rPr>
        <w:t>когда</w:t>
      </w:r>
      <w:r>
        <w:rPr>
          <w:color w:val="231F20"/>
          <w:spacing w:val="-12"/>
          <w:sz w:val="20"/>
        </w:rPr>
        <w:t> </w:t>
      </w:r>
      <w:r>
        <w:rPr>
          <w:color w:val="231F20"/>
          <w:sz w:val="20"/>
        </w:rPr>
        <w:t>психотерапия</w:t>
      </w:r>
      <w:r>
        <w:rPr>
          <w:color w:val="231F20"/>
          <w:spacing w:val="-12"/>
          <w:sz w:val="20"/>
        </w:rPr>
        <w:t> </w:t>
      </w:r>
      <w:r>
        <w:rPr>
          <w:color w:val="231F20"/>
          <w:sz w:val="20"/>
        </w:rPr>
        <w:t>кратковременна</w:t>
      </w:r>
      <w:r>
        <w:rPr>
          <w:color w:val="231F20"/>
          <w:spacing w:val="-12"/>
          <w:sz w:val="20"/>
        </w:rPr>
        <w:t> </w:t>
      </w:r>
      <w:r>
        <w:rPr>
          <w:color w:val="231F20"/>
          <w:sz w:val="20"/>
        </w:rPr>
        <w:t>или может резко прерваться.</w:t>
      </w:r>
    </w:p>
    <w:p>
      <w:pPr>
        <w:pStyle w:val="ListParagraph"/>
        <w:numPr>
          <w:ilvl w:val="0"/>
          <w:numId w:val="65"/>
        </w:numPr>
        <w:tabs>
          <w:tab w:pos="425" w:val="left" w:leader="none"/>
        </w:tabs>
        <w:spacing w:line="228" w:lineRule="auto" w:before="0" w:after="0"/>
        <w:ind w:left="425" w:right="139" w:hanging="284"/>
        <w:jc w:val="both"/>
        <w:rPr>
          <w:sz w:val="20"/>
        </w:rPr>
      </w:pPr>
      <w:r>
        <w:rPr>
          <w:color w:val="231F20"/>
          <w:sz w:val="20"/>
        </w:rPr>
        <w:t>Негативные последствия резкого прерывания минимизируются законченностью каждой сессии, представляющей собой самостоятельный психотерапевтический </w:t>
      </w:r>
      <w:r>
        <w:rPr>
          <w:color w:val="231F20"/>
          <w:spacing w:val="-2"/>
          <w:sz w:val="20"/>
        </w:rPr>
        <w:t>процесс.</w:t>
      </w:r>
    </w:p>
    <w:p>
      <w:pPr>
        <w:pStyle w:val="BodyText"/>
        <w:spacing w:line="228" w:lineRule="auto"/>
      </w:pPr>
      <w:r>
        <w:rPr>
          <w:b/>
          <w:i/>
        </w:rPr>
        <w:t>Требования к проведению. </w:t>
      </w:r>
      <w:r>
        <w:rPr/>
        <w:t>Требования преимущественно организационные: не- обходимо отдельное помещение для индивидуальной работы и диктофон (подойдет </w:t>
      </w:r>
      <w:r>
        <w:rPr>
          <w:spacing w:val="-2"/>
        </w:rPr>
        <w:t>диктофон, встроенный в смартфон). Дополнительная подготовка не требуется, однако </w:t>
      </w:r>
      <w:r>
        <w:rPr/>
        <w:t>рекомендуется внимательно проработать данное руководство.</w:t>
      </w:r>
    </w:p>
    <w:p>
      <w:pPr>
        <w:pStyle w:val="BodyText"/>
        <w:spacing w:line="228" w:lineRule="auto"/>
      </w:pPr>
      <w:r>
        <w:rPr>
          <w:b/>
          <w:i/>
        </w:rPr>
        <w:t>Доказательность практики. </w:t>
      </w:r>
      <w:r>
        <w:rPr/>
        <w:t>Нарративные практики, к которым относится</w:t>
      </w:r>
      <w:r>
        <w:rPr>
          <w:spacing w:val="40"/>
        </w:rPr>
        <w:t> </w:t>
      </w:r>
      <w:r>
        <w:rPr/>
        <w:t>ДРИ, рассматриваются как пример консультативного инструмента, позволяющего учитывать культурные различия (Morris, 2006). Эффективность нарративных пра- ктик для оказания помощи детям с миграционным опытом, в том числе пережива- ющими последствия психологической травмы, была доказана рядом исследований (</w:t>
      </w:r>
      <w:r>
        <w:rPr>
          <w:color w:val="16191D"/>
        </w:rPr>
        <w:t>Gwozdziewycz, Mehl-Madrona, 2013; Kangaslampi, Garoff, Peltonen, 2015</w:t>
      </w:r>
      <w:r>
        <w:rPr/>
        <w:t>).</w:t>
      </w:r>
    </w:p>
    <w:p>
      <w:pPr>
        <w:pStyle w:val="BodyText"/>
        <w:spacing w:after="0" w:line="228" w:lineRule="auto"/>
        <w:sectPr>
          <w:pgSz w:w="8400" w:h="11910"/>
          <w:pgMar w:header="0" w:footer="528" w:top="400" w:bottom="720" w:left="425" w:right="425"/>
        </w:sectPr>
      </w:pPr>
    </w:p>
    <w:p>
      <w:pPr>
        <w:spacing w:before="80"/>
        <w:ind w:left="141" w:right="139" w:firstLine="0"/>
        <w:jc w:val="right"/>
        <w:rPr>
          <w:rFonts w:ascii="Georgia" w:hAnsi="Georgia"/>
          <w:sz w:val="18"/>
        </w:rPr>
      </w:pPr>
      <w:bookmarkStart w:name="_bookmark48" w:id="50"/>
      <w:bookmarkEnd w:id="50"/>
      <w:r>
        <w:rPr/>
      </w:r>
      <w:r>
        <w:rPr>
          <w:rFonts w:ascii="Georgia" w:hAnsi="Georgia"/>
          <w:color w:val="231F20"/>
          <w:spacing w:val="-2"/>
          <w:sz w:val="18"/>
        </w:rPr>
        <w:t>Раздел</w:t>
      </w:r>
      <w:r>
        <w:rPr>
          <w:rFonts w:ascii="Georgia" w:hAnsi="Georgia"/>
          <w:color w:val="231F20"/>
          <w:spacing w:val="-5"/>
          <w:sz w:val="18"/>
        </w:rPr>
        <w:t> 1.</w:t>
      </w:r>
    </w:p>
    <w:p>
      <w:pPr>
        <w:spacing w:line="228" w:lineRule="exact" w:before="109"/>
        <w:ind w:left="425" w:right="0" w:firstLine="0"/>
        <w:jc w:val="left"/>
        <w:rPr>
          <w:b/>
          <w:i/>
          <w:sz w:val="20"/>
        </w:rPr>
      </w:pPr>
      <w:r>
        <w:rPr>
          <w:b/>
          <w:i/>
          <w:sz w:val="20"/>
        </w:rPr>
        <w:t>Где</w:t>
      </w:r>
      <w:r>
        <w:rPr>
          <w:b/>
          <w:i/>
          <w:spacing w:val="-4"/>
          <w:sz w:val="20"/>
        </w:rPr>
        <w:t> </w:t>
      </w:r>
      <w:r>
        <w:rPr>
          <w:b/>
          <w:i/>
          <w:spacing w:val="-2"/>
          <w:sz w:val="20"/>
        </w:rPr>
        <w:t>научиться?</w:t>
      </w:r>
    </w:p>
    <w:p>
      <w:pPr>
        <w:pStyle w:val="BodyText"/>
        <w:spacing w:line="228" w:lineRule="exact"/>
        <w:ind w:left="425" w:right="0" w:firstLine="0"/>
        <w:jc w:val="left"/>
      </w:pPr>
      <w:r>
        <w:rPr/>
        <w:t>Описание</w:t>
      </w:r>
      <w:r>
        <w:rPr>
          <w:spacing w:val="-7"/>
        </w:rPr>
        <w:t> </w:t>
      </w:r>
      <w:r>
        <w:rPr/>
        <w:t>метода</w:t>
      </w:r>
      <w:r>
        <w:rPr>
          <w:spacing w:val="-4"/>
        </w:rPr>
        <w:t> </w:t>
      </w:r>
      <w:r>
        <w:rPr/>
        <w:t>приводится</w:t>
      </w:r>
      <w:r>
        <w:rPr>
          <w:spacing w:val="-4"/>
        </w:rPr>
        <w:t> </w:t>
      </w:r>
      <w:r>
        <w:rPr/>
        <w:t>в</w:t>
      </w:r>
      <w:r>
        <w:rPr>
          <w:spacing w:val="-4"/>
        </w:rPr>
        <w:t> </w:t>
      </w:r>
      <w:r>
        <w:rPr>
          <w:spacing w:val="-2"/>
        </w:rPr>
        <w:t>Инструментарии.</w:t>
      </w:r>
    </w:p>
    <w:p>
      <w:pPr>
        <w:numPr>
          <w:ilvl w:val="2"/>
          <w:numId w:val="52"/>
        </w:numPr>
        <w:tabs>
          <w:tab w:pos="2189" w:val="left" w:leader="none"/>
        </w:tabs>
        <w:spacing w:before="222"/>
        <w:ind w:left="2189" w:right="0" w:hanging="500"/>
        <w:jc w:val="both"/>
        <w:rPr>
          <w:b/>
          <w:sz w:val="20"/>
        </w:rPr>
      </w:pPr>
      <w:r>
        <w:rPr>
          <w:b/>
          <w:color w:val="231F20"/>
          <w:sz w:val="20"/>
        </w:rPr>
        <w:t>Ролевые</w:t>
      </w:r>
      <w:r>
        <w:rPr>
          <w:b/>
          <w:color w:val="231F20"/>
          <w:spacing w:val="-4"/>
          <w:sz w:val="20"/>
        </w:rPr>
        <w:t> </w:t>
      </w:r>
      <w:r>
        <w:rPr>
          <w:b/>
          <w:color w:val="231F20"/>
          <w:sz w:val="20"/>
        </w:rPr>
        <w:t>игры</w:t>
      </w:r>
      <w:r>
        <w:rPr>
          <w:b/>
          <w:color w:val="231F20"/>
          <w:spacing w:val="-4"/>
          <w:sz w:val="20"/>
        </w:rPr>
        <w:t> </w:t>
      </w:r>
      <w:r>
        <w:rPr>
          <w:b/>
          <w:color w:val="231F20"/>
          <w:sz w:val="20"/>
        </w:rPr>
        <w:t>в</w:t>
      </w:r>
      <w:r>
        <w:rPr>
          <w:b/>
          <w:color w:val="231F20"/>
          <w:spacing w:val="-3"/>
          <w:sz w:val="20"/>
        </w:rPr>
        <w:t> </w:t>
      </w:r>
      <w:r>
        <w:rPr>
          <w:b/>
          <w:color w:val="231F20"/>
          <w:sz w:val="20"/>
        </w:rPr>
        <w:t>индивидуальной</w:t>
      </w:r>
      <w:r>
        <w:rPr>
          <w:b/>
          <w:color w:val="231F20"/>
          <w:spacing w:val="-4"/>
          <w:sz w:val="20"/>
        </w:rPr>
        <w:t> </w:t>
      </w:r>
      <w:r>
        <w:rPr>
          <w:b/>
          <w:color w:val="231F20"/>
          <w:spacing w:val="-2"/>
          <w:sz w:val="20"/>
        </w:rPr>
        <w:t>работе</w:t>
      </w:r>
    </w:p>
    <w:p>
      <w:pPr>
        <w:pStyle w:val="BodyText"/>
        <w:spacing w:line="235" w:lineRule="auto" w:before="113"/>
      </w:pPr>
      <w:r>
        <w:rPr>
          <w:b/>
          <w:i/>
        </w:rPr>
        <w:t>Общее</w:t>
      </w:r>
      <w:r>
        <w:rPr>
          <w:b/>
          <w:i/>
          <w:spacing w:val="-6"/>
        </w:rPr>
        <w:t> </w:t>
      </w:r>
      <w:r>
        <w:rPr>
          <w:b/>
          <w:i/>
        </w:rPr>
        <w:t>описание</w:t>
      </w:r>
      <w:r>
        <w:rPr>
          <w:i/>
        </w:rPr>
        <w:t>.</w:t>
      </w:r>
      <w:r>
        <w:rPr>
          <w:i/>
          <w:spacing w:val="-6"/>
        </w:rPr>
        <w:t> </w:t>
      </w:r>
      <w:r>
        <w:rPr>
          <w:color w:val="231F20"/>
        </w:rPr>
        <w:t>Ролевые</w:t>
      </w:r>
      <w:r>
        <w:rPr>
          <w:color w:val="231F20"/>
          <w:spacing w:val="-6"/>
        </w:rPr>
        <w:t> </w:t>
      </w:r>
      <w:r>
        <w:rPr>
          <w:color w:val="231F20"/>
        </w:rPr>
        <w:t>игры</w:t>
      </w:r>
      <w:r>
        <w:rPr>
          <w:color w:val="231F20"/>
          <w:spacing w:val="-6"/>
        </w:rPr>
        <w:t> </w:t>
      </w:r>
      <w:r>
        <w:rPr>
          <w:color w:val="231F20"/>
        </w:rPr>
        <w:t>представляют</w:t>
      </w:r>
      <w:r>
        <w:rPr>
          <w:color w:val="231F20"/>
          <w:spacing w:val="-6"/>
        </w:rPr>
        <w:t> </w:t>
      </w:r>
      <w:r>
        <w:rPr>
          <w:color w:val="231F20"/>
        </w:rPr>
        <w:t>собой</w:t>
      </w:r>
      <w:r>
        <w:rPr>
          <w:color w:val="231F20"/>
          <w:spacing w:val="-6"/>
        </w:rPr>
        <w:t> </w:t>
      </w:r>
      <w:r>
        <w:rPr>
          <w:color w:val="231F20"/>
        </w:rPr>
        <w:t>разновидность</w:t>
      </w:r>
      <w:r>
        <w:rPr>
          <w:color w:val="231F20"/>
          <w:spacing w:val="-6"/>
        </w:rPr>
        <w:t> </w:t>
      </w:r>
      <w:r>
        <w:rPr>
          <w:color w:val="231F20"/>
        </w:rPr>
        <w:t>директивной игровой терапии. В ролевой игре психолог и ребенок с помощью игрушек разыгры- вают ситуации повседневного взаимодействия. Ребенок сначала играет спонтанно, а затем пробует модели поведения, которые ему предлагает психолог.</w:t>
      </w:r>
    </w:p>
    <w:p>
      <w:pPr>
        <w:pStyle w:val="BodyText"/>
        <w:spacing w:line="229" w:lineRule="exact"/>
        <w:ind w:left="425" w:right="0" w:firstLine="0"/>
      </w:pPr>
      <w:r>
        <w:rPr>
          <w:color w:val="231F20"/>
        </w:rPr>
        <w:t>Ролевые</w:t>
      </w:r>
      <w:r>
        <w:rPr>
          <w:color w:val="231F20"/>
          <w:spacing w:val="-8"/>
        </w:rPr>
        <w:t> </w:t>
      </w:r>
      <w:r>
        <w:rPr>
          <w:color w:val="231F20"/>
        </w:rPr>
        <w:t>игры</w:t>
      </w:r>
      <w:r>
        <w:rPr>
          <w:color w:val="231F20"/>
          <w:spacing w:val="-5"/>
        </w:rPr>
        <w:t> </w:t>
      </w:r>
      <w:r>
        <w:rPr>
          <w:color w:val="231F20"/>
        </w:rPr>
        <w:t>подходят</w:t>
      </w:r>
      <w:r>
        <w:rPr>
          <w:color w:val="231F20"/>
          <w:spacing w:val="-6"/>
        </w:rPr>
        <w:t> </w:t>
      </w:r>
      <w:r>
        <w:rPr>
          <w:color w:val="231F20"/>
        </w:rPr>
        <w:t>для</w:t>
      </w:r>
      <w:r>
        <w:rPr>
          <w:color w:val="231F20"/>
          <w:spacing w:val="-5"/>
        </w:rPr>
        <w:t> </w:t>
      </w:r>
      <w:r>
        <w:rPr>
          <w:color w:val="231F20"/>
        </w:rPr>
        <w:t>работы</w:t>
      </w:r>
      <w:r>
        <w:rPr>
          <w:color w:val="231F20"/>
          <w:spacing w:val="-5"/>
        </w:rPr>
        <w:t> </w:t>
      </w:r>
      <w:r>
        <w:rPr>
          <w:color w:val="231F20"/>
        </w:rPr>
        <w:t>с</w:t>
      </w:r>
      <w:r>
        <w:rPr>
          <w:color w:val="231F20"/>
          <w:spacing w:val="-6"/>
        </w:rPr>
        <w:t> </w:t>
      </w:r>
      <w:r>
        <w:rPr>
          <w:color w:val="231F20"/>
        </w:rPr>
        <w:t>учащимися</w:t>
      </w:r>
      <w:r>
        <w:rPr>
          <w:color w:val="231F20"/>
          <w:spacing w:val="-5"/>
        </w:rPr>
        <w:t> </w:t>
      </w:r>
      <w:r>
        <w:rPr>
          <w:color w:val="231F20"/>
        </w:rPr>
        <w:t>начальной</w:t>
      </w:r>
      <w:r>
        <w:rPr>
          <w:color w:val="231F20"/>
          <w:spacing w:val="-6"/>
        </w:rPr>
        <w:t> </w:t>
      </w:r>
      <w:r>
        <w:rPr>
          <w:color w:val="231F20"/>
          <w:spacing w:val="-2"/>
        </w:rPr>
        <w:t>школы.</w:t>
      </w:r>
    </w:p>
    <w:p>
      <w:pPr>
        <w:pStyle w:val="BodyText"/>
      </w:pPr>
      <w:r>
        <w:rPr>
          <w:b/>
          <w:i/>
        </w:rPr>
        <w:t>Сильные</w:t>
      </w:r>
      <w:r>
        <w:rPr>
          <w:b/>
          <w:i/>
          <w:spacing w:val="-9"/>
        </w:rPr>
        <w:t> </w:t>
      </w:r>
      <w:r>
        <w:rPr>
          <w:b/>
          <w:i/>
        </w:rPr>
        <w:t>стороны</w:t>
      </w:r>
      <w:r>
        <w:rPr>
          <w:b/>
          <w:i/>
          <w:spacing w:val="-9"/>
        </w:rPr>
        <w:t> </w:t>
      </w:r>
      <w:r>
        <w:rPr>
          <w:b/>
          <w:i/>
        </w:rPr>
        <w:t>практики.</w:t>
      </w:r>
      <w:r>
        <w:rPr>
          <w:b/>
          <w:i/>
          <w:spacing w:val="-9"/>
        </w:rPr>
        <w:t> </w:t>
      </w:r>
      <w:r>
        <w:rPr>
          <w:color w:val="231F20"/>
        </w:rPr>
        <w:t>С</w:t>
      </w:r>
      <w:r>
        <w:rPr>
          <w:color w:val="231F20"/>
          <w:spacing w:val="-9"/>
        </w:rPr>
        <w:t> </w:t>
      </w:r>
      <w:r>
        <w:rPr>
          <w:color w:val="231F20"/>
        </w:rPr>
        <w:t>помощью</w:t>
      </w:r>
      <w:r>
        <w:rPr>
          <w:color w:val="231F20"/>
          <w:spacing w:val="-9"/>
        </w:rPr>
        <w:t> </w:t>
      </w:r>
      <w:r>
        <w:rPr>
          <w:color w:val="231F20"/>
        </w:rPr>
        <w:t>ролевой</w:t>
      </w:r>
      <w:r>
        <w:rPr>
          <w:color w:val="231F20"/>
          <w:spacing w:val="-9"/>
        </w:rPr>
        <w:t> </w:t>
      </w:r>
      <w:r>
        <w:rPr>
          <w:color w:val="231F20"/>
        </w:rPr>
        <w:t>игры</w:t>
      </w:r>
      <w:r>
        <w:rPr>
          <w:color w:val="231F20"/>
          <w:spacing w:val="-9"/>
        </w:rPr>
        <w:t> </w:t>
      </w:r>
      <w:r>
        <w:rPr>
          <w:color w:val="231F20"/>
        </w:rPr>
        <w:t>психолог</w:t>
      </w:r>
      <w:r>
        <w:rPr>
          <w:color w:val="231F20"/>
          <w:spacing w:val="-9"/>
        </w:rPr>
        <w:t> </w:t>
      </w:r>
      <w:r>
        <w:rPr>
          <w:color w:val="231F20"/>
        </w:rPr>
        <w:t>имеет</w:t>
      </w:r>
      <w:r>
        <w:rPr>
          <w:color w:val="231F20"/>
          <w:spacing w:val="-9"/>
        </w:rPr>
        <w:t> </w:t>
      </w:r>
      <w:r>
        <w:rPr>
          <w:color w:val="231F20"/>
        </w:rPr>
        <w:t>возмож- ность выявить актуальные социальные навыки учащегося-мигранта и содействовать формированию культурно релевантных навыков. Ролевая игра позволяет ребенку в комфортной</w:t>
      </w:r>
      <w:r>
        <w:rPr>
          <w:color w:val="231F20"/>
          <w:spacing w:val="-6"/>
        </w:rPr>
        <w:t> </w:t>
      </w:r>
      <w:r>
        <w:rPr>
          <w:color w:val="231F20"/>
        </w:rPr>
        <w:t>и</w:t>
      </w:r>
      <w:r>
        <w:rPr>
          <w:color w:val="231F20"/>
          <w:spacing w:val="-6"/>
        </w:rPr>
        <w:t> </w:t>
      </w:r>
      <w:r>
        <w:rPr>
          <w:color w:val="231F20"/>
        </w:rPr>
        <w:t>безопасной</w:t>
      </w:r>
      <w:r>
        <w:rPr>
          <w:color w:val="231F20"/>
          <w:spacing w:val="-6"/>
        </w:rPr>
        <w:t> </w:t>
      </w:r>
      <w:r>
        <w:rPr>
          <w:color w:val="231F20"/>
        </w:rPr>
        <w:t>форме</w:t>
      </w:r>
      <w:r>
        <w:rPr>
          <w:color w:val="231F20"/>
          <w:spacing w:val="-6"/>
        </w:rPr>
        <w:t> </w:t>
      </w:r>
      <w:r>
        <w:rPr>
          <w:color w:val="231F20"/>
        </w:rPr>
        <w:t>попрактиковаться</w:t>
      </w:r>
      <w:r>
        <w:rPr>
          <w:color w:val="231F20"/>
          <w:spacing w:val="-6"/>
        </w:rPr>
        <w:t> </w:t>
      </w:r>
      <w:r>
        <w:rPr>
          <w:color w:val="231F20"/>
        </w:rPr>
        <w:t>в</w:t>
      </w:r>
      <w:r>
        <w:rPr>
          <w:color w:val="231F20"/>
          <w:spacing w:val="-6"/>
        </w:rPr>
        <w:t> </w:t>
      </w:r>
      <w:r>
        <w:rPr>
          <w:color w:val="231F20"/>
        </w:rPr>
        <w:t>использовании</w:t>
      </w:r>
      <w:r>
        <w:rPr>
          <w:color w:val="231F20"/>
          <w:spacing w:val="-6"/>
        </w:rPr>
        <w:t> </w:t>
      </w:r>
      <w:r>
        <w:rPr>
          <w:color w:val="231F20"/>
        </w:rPr>
        <w:t>новых</w:t>
      </w:r>
      <w:r>
        <w:rPr>
          <w:color w:val="231F20"/>
          <w:spacing w:val="-6"/>
        </w:rPr>
        <w:t> </w:t>
      </w:r>
      <w:r>
        <w:rPr>
          <w:color w:val="231F20"/>
        </w:rPr>
        <w:t>поведен- ческих</w:t>
      </w:r>
      <w:r>
        <w:rPr>
          <w:color w:val="231F20"/>
          <w:spacing w:val="-2"/>
        </w:rPr>
        <w:t> </w:t>
      </w:r>
      <w:r>
        <w:rPr>
          <w:color w:val="231F20"/>
        </w:rPr>
        <w:t>моделей.</w:t>
      </w:r>
      <w:r>
        <w:rPr>
          <w:color w:val="231F20"/>
          <w:spacing w:val="-2"/>
        </w:rPr>
        <w:t> </w:t>
      </w:r>
      <w:r>
        <w:rPr>
          <w:color w:val="231F20"/>
        </w:rPr>
        <w:t>Ролевые</w:t>
      </w:r>
      <w:r>
        <w:rPr>
          <w:color w:val="231F20"/>
          <w:spacing w:val="-2"/>
        </w:rPr>
        <w:t> </w:t>
      </w:r>
      <w:r>
        <w:rPr>
          <w:color w:val="231F20"/>
        </w:rPr>
        <w:t>игры</w:t>
      </w:r>
      <w:r>
        <w:rPr>
          <w:color w:val="231F20"/>
          <w:spacing w:val="-2"/>
        </w:rPr>
        <w:t> </w:t>
      </w:r>
      <w:r>
        <w:rPr>
          <w:color w:val="231F20"/>
        </w:rPr>
        <w:t>могут</w:t>
      </w:r>
      <w:r>
        <w:rPr>
          <w:color w:val="231F20"/>
          <w:spacing w:val="-2"/>
        </w:rPr>
        <w:t> </w:t>
      </w:r>
      <w:r>
        <w:rPr>
          <w:color w:val="231F20"/>
        </w:rPr>
        <w:t>проводиться</w:t>
      </w:r>
      <w:r>
        <w:rPr>
          <w:color w:val="231F20"/>
          <w:spacing w:val="-2"/>
        </w:rPr>
        <w:t> </w:t>
      </w:r>
      <w:r>
        <w:rPr>
          <w:color w:val="231F20"/>
        </w:rPr>
        <w:t>многократно,</w:t>
      </w:r>
      <w:r>
        <w:rPr>
          <w:color w:val="231F20"/>
          <w:spacing w:val="-2"/>
        </w:rPr>
        <w:t> </w:t>
      </w:r>
      <w:r>
        <w:rPr>
          <w:color w:val="231F20"/>
        </w:rPr>
        <w:t>они</w:t>
      </w:r>
      <w:r>
        <w:rPr>
          <w:color w:val="231F20"/>
          <w:spacing w:val="-2"/>
        </w:rPr>
        <w:t> </w:t>
      </w:r>
      <w:r>
        <w:rPr>
          <w:color w:val="231F20"/>
        </w:rPr>
        <w:t>позволяют</w:t>
      </w:r>
      <w:r>
        <w:rPr>
          <w:color w:val="231F20"/>
          <w:spacing w:val="-2"/>
        </w:rPr>
        <w:t> </w:t>
      </w:r>
      <w:r>
        <w:rPr>
          <w:color w:val="231F20"/>
        </w:rPr>
        <w:t>про- работать широкий спектр ситуаций социального взаимодействия.</w:t>
      </w:r>
    </w:p>
    <w:p>
      <w:pPr>
        <w:pStyle w:val="BodyText"/>
        <w:jc w:val="right"/>
      </w:pPr>
      <w:r>
        <w:rPr>
          <w:b/>
          <w:i/>
        </w:rPr>
        <w:t>Требования к проведению. </w:t>
      </w:r>
      <w:r>
        <w:rPr/>
        <w:t>Ролевые игры следует проводить в рамках индивиду- ального</w:t>
      </w:r>
      <w:r>
        <w:rPr>
          <w:spacing w:val="23"/>
        </w:rPr>
        <w:t> </w:t>
      </w:r>
      <w:r>
        <w:rPr/>
        <w:t>занятия</w:t>
      </w:r>
      <w:r>
        <w:rPr>
          <w:spacing w:val="24"/>
        </w:rPr>
        <w:t> </w:t>
      </w:r>
      <w:r>
        <w:rPr/>
        <w:t>в</w:t>
      </w:r>
      <w:r>
        <w:rPr>
          <w:spacing w:val="23"/>
        </w:rPr>
        <w:t> </w:t>
      </w:r>
      <w:r>
        <w:rPr/>
        <w:t>отдельном</w:t>
      </w:r>
      <w:r>
        <w:rPr>
          <w:spacing w:val="23"/>
        </w:rPr>
        <w:t> </w:t>
      </w:r>
      <w:r>
        <w:rPr/>
        <w:t>помещении</w:t>
      </w:r>
      <w:r>
        <w:rPr>
          <w:spacing w:val="23"/>
        </w:rPr>
        <w:t> </w:t>
      </w:r>
      <w:r>
        <w:rPr/>
        <w:t>(кабинете</w:t>
      </w:r>
      <w:r>
        <w:rPr>
          <w:spacing w:val="23"/>
        </w:rPr>
        <w:t> </w:t>
      </w:r>
      <w:r>
        <w:rPr/>
        <w:t>психолога).</w:t>
      </w:r>
      <w:r>
        <w:rPr>
          <w:spacing w:val="23"/>
        </w:rPr>
        <w:t> </w:t>
      </w:r>
      <w:r>
        <w:rPr>
          <w:color w:val="231F20"/>
        </w:rPr>
        <w:t>Для</w:t>
      </w:r>
      <w:r>
        <w:rPr>
          <w:color w:val="231F20"/>
          <w:spacing w:val="24"/>
        </w:rPr>
        <w:t> </w:t>
      </w:r>
      <w:r>
        <w:rPr>
          <w:color w:val="231F20"/>
        </w:rPr>
        <w:t>ролевой</w:t>
      </w:r>
      <w:r>
        <w:rPr>
          <w:color w:val="231F20"/>
          <w:spacing w:val="23"/>
        </w:rPr>
        <w:t> </w:t>
      </w:r>
      <w:r>
        <w:rPr>
          <w:color w:val="231F20"/>
        </w:rPr>
        <w:t>игры </w:t>
      </w:r>
      <w:r>
        <w:rPr>
          <w:color w:val="231F20"/>
          <w:spacing w:val="-2"/>
        </w:rPr>
        <w:t>нужны</w:t>
      </w:r>
      <w:r>
        <w:rPr>
          <w:color w:val="231F20"/>
          <w:spacing w:val="-5"/>
        </w:rPr>
        <w:t> </w:t>
      </w:r>
      <w:r>
        <w:rPr>
          <w:color w:val="231F20"/>
          <w:spacing w:val="-2"/>
        </w:rPr>
        <w:t>игрушки</w:t>
      </w:r>
      <w:r>
        <w:rPr>
          <w:color w:val="231F20"/>
          <w:spacing w:val="-5"/>
        </w:rPr>
        <w:t> </w:t>
      </w:r>
      <w:r>
        <w:rPr>
          <w:color w:val="231F20"/>
          <w:spacing w:val="-2"/>
        </w:rPr>
        <w:t>(маленькие</w:t>
      </w:r>
      <w:r>
        <w:rPr>
          <w:color w:val="231F20"/>
          <w:spacing w:val="-5"/>
        </w:rPr>
        <w:t> </w:t>
      </w:r>
      <w:r>
        <w:rPr>
          <w:color w:val="231F20"/>
          <w:spacing w:val="-2"/>
        </w:rPr>
        <w:t>фигурки</w:t>
      </w:r>
      <w:r>
        <w:rPr>
          <w:color w:val="231F20"/>
          <w:spacing w:val="-5"/>
        </w:rPr>
        <w:t> </w:t>
      </w:r>
      <w:r>
        <w:rPr>
          <w:color w:val="231F20"/>
          <w:spacing w:val="-2"/>
        </w:rPr>
        <w:t>людей</w:t>
      </w:r>
      <w:r>
        <w:rPr>
          <w:color w:val="231F20"/>
          <w:spacing w:val="-5"/>
        </w:rPr>
        <w:t> </w:t>
      </w:r>
      <w:r>
        <w:rPr>
          <w:color w:val="231F20"/>
          <w:spacing w:val="-2"/>
        </w:rPr>
        <w:t>или</w:t>
      </w:r>
      <w:r>
        <w:rPr>
          <w:color w:val="231F20"/>
          <w:spacing w:val="-5"/>
        </w:rPr>
        <w:t> </w:t>
      </w:r>
      <w:r>
        <w:rPr>
          <w:color w:val="231F20"/>
          <w:spacing w:val="-2"/>
        </w:rPr>
        <w:t>животных,</w:t>
      </w:r>
      <w:r>
        <w:rPr>
          <w:color w:val="231F20"/>
          <w:spacing w:val="-5"/>
        </w:rPr>
        <w:t> </w:t>
      </w:r>
      <w:r>
        <w:rPr>
          <w:color w:val="231F20"/>
          <w:spacing w:val="-2"/>
        </w:rPr>
        <w:t>пальчиковые</w:t>
      </w:r>
      <w:r>
        <w:rPr>
          <w:color w:val="231F20"/>
          <w:spacing w:val="-5"/>
        </w:rPr>
        <w:t> </w:t>
      </w:r>
      <w:r>
        <w:rPr>
          <w:color w:val="231F20"/>
          <w:spacing w:val="-2"/>
        </w:rPr>
        <w:t>куклы</w:t>
      </w:r>
      <w:r>
        <w:rPr>
          <w:color w:val="231F20"/>
          <w:spacing w:val="-5"/>
        </w:rPr>
        <w:t> </w:t>
      </w:r>
      <w:r>
        <w:rPr>
          <w:color w:val="231F20"/>
          <w:spacing w:val="-2"/>
        </w:rPr>
        <w:t>и</w:t>
      </w:r>
      <w:r>
        <w:rPr>
          <w:color w:val="231F20"/>
          <w:spacing w:val="-5"/>
        </w:rPr>
        <w:t> </w:t>
      </w:r>
      <w:r>
        <w:rPr>
          <w:color w:val="231F20"/>
          <w:spacing w:val="-2"/>
        </w:rPr>
        <w:t>др.). </w:t>
      </w:r>
      <w:r>
        <w:rPr>
          <w:b/>
          <w:i/>
        </w:rPr>
        <w:t>Доказательность</w:t>
      </w:r>
      <w:r>
        <w:rPr>
          <w:b/>
          <w:i/>
          <w:spacing w:val="40"/>
        </w:rPr>
        <w:t> </w:t>
      </w:r>
      <w:r>
        <w:rPr>
          <w:b/>
          <w:i/>
        </w:rPr>
        <w:t>практики.</w:t>
      </w:r>
      <w:r>
        <w:rPr>
          <w:b/>
          <w:i/>
          <w:spacing w:val="40"/>
        </w:rPr>
        <w:t> </w:t>
      </w:r>
      <w:r>
        <w:rPr/>
        <w:t>Эмпирические</w:t>
      </w:r>
      <w:r>
        <w:rPr>
          <w:spacing w:val="40"/>
        </w:rPr>
        <w:t> </w:t>
      </w:r>
      <w:r>
        <w:rPr/>
        <w:t>исследования</w:t>
      </w:r>
      <w:r>
        <w:rPr>
          <w:spacing w:val="40"/>
        </w:rPr>
        <w:t> </w:t>
      </w:r>
      <w:r>
        <w:rPr/>
        <w:t>доказывают</w:t>
      </w:r>
      <w:r>
        <w:rPr>
          <w:spacing w:val="40"/>
        </w:rPr>
        <w:t> </w:t>
      </w:r>
      <w:r>
        <w:rPr/>
        <w:t>эффек-</w:t>
      </w:r>
    </w:p>
    <w:p>
      <w:pPr>
        <w:pStyle w:val="BodyText"/>
        <w:ind w:right="0" w:firstLine="0"/>
        <w:jc w:val="left"/>
      </w:pPr>
      <w:r>
        <w:rPr/>
        <w:t>тивность</w:t>
      </w:r>
      <w:r>
        <w:rPr>
          <w:spacing w:val="-3"/>
        </w:rPr>
        <w:t> </w:t>
      </w:r>
      <w:r>
        <w:rPr/>
        <w:t>игровой</w:t>
      </w:r>
      <w:r>
        <w:rPr>
          <w:spacing w:val="-3"/>
        </w:rPr>
        <w:t> </w:t>
      </w:r>
      <w:r>
        <w:rPr/>
        <w:t>терапии</w:t>
      </w:r>
      <w:r>
        <w:rPr>
          <w:spacing w:val="-2"/>
        </w:rPr>
        <w:t> </w:t>
      </w:r>
      <w:r>
        <w:rPr/>
        <w:t>в</w:t>
      </w:r>
      <w:r>
        <w:rPr>
          <w:spacing w:val="-3"/>
        </w:rPr>
        <w:t> </w:t>
      </w:r>
      <w:r>
        <w:rPr/>
        <w:t>работе</w:t>
      </w:r>
      <w:r>
        <w:rPr>
          <w:spacing w:val="-2"/>
        </w:rPr>
        <w:t> </w:t>
      </w:r>
      <w:r>
        <w:rPr/>
        <w:t>с</w:t>
      </w:r>
      <w:r>
        <w:rPr>
          <w:spacing w:val="-1"/>
        </w:rPr>
        <w:t> </w:t>
      </w:r>
      <w:r>
        <w:rPr/>
        <w:t>детьми-мигрантами</w:t>
      </w:r>
      <w:r>
        <w:rPr>
          <w:spacing w:val="-3"/>
        </w:rPr>
        <w:t> </w:t>
      </w:r>
      <w:r>
        <w:rPr/>
        <w:t>(см.</w:t>
      </w:r>
      <w:r>
        <w:rPr>
          <w:spacing w:val="-2"/>
        </w:rPr>
        <w:t> </w:t>
      </w:r>
      <w:r>
        <w:rPr/>
        <w:t>пункт</w:t>
      </w:r>
      <w:r>
        <w:rPr>
          <w:spacing w:val="-1"/>
        </w:rPr>
        <w:t> </w:t>
      </w:r>
      <w:r>
        <w:rPr>
          <w:spacing w:val="-2"/>
        </w:rPr>
        <w:t>1.3.).</w:t>
      </w:r>
    </w:p>
    <w:p>
      <w:pPr>
        <w:spacing w:before="0"/>
        <w:ind w:left="425" w:right="0" w:firstLine="0"/>
        <w:jc w:val="left"/>
        <w:rPr>
          <w:b/>
          <w:i/>
          <w:sz w:val="20"/>
        </w:rPr>
      </w:pPr>
      <w:r>
        <w:rPr>
          <w:b/>
          <w:i/>
          <w:sz w:val="20"/>
        </w:rPr>
        <w:t>Где</w:t>
      </w:r>
      <w:r>
        <w:rPr>
          <w:b/>
          <w:i/>
          <w:spacing w:val="-4"/>
          <w:sz w:val="20"/>
        </w:rPr>
        <w:t> </w:t>
      </w:r>
      <w:r>
        <w:rPr>
          <w:b/>
          <w:i/>
          <w:spacing w:val="-2"/>
          <w:sz w:val="20"/>
        </w:rPr>
        <w:t>научиться?</w:t>
      </w:r>
    </w:p>
    <w:p>
      <w:pPr>
        <w:pStyle w:val="BodyText"/>
        <w:ind w:left="425" w:right="0" w:firstLine="0"/>
        <w:jc w:val="left"/>
      </w:pPr>
      <w:r>
        <w:rPr/>
        <w:t>Описание</w:t>
      </w:r>
      <w:r>
        <w:rPr>
          <w:spacing w:val="-7"/>
        </w:rPr>
        <w:t> </w:t>
      </w:r>
      <w:r>
        <w:rPr/>
        <w:t>метода</w:t>
      </w:r>
      <w:r>
        <w:rPr>
          <w:spacing w:val="-4"/>
        </w:rPr>
        <w:t> </w:t>
      </w:r>
      <w:r>
        <w:rPr/>
        <w:t>приводится</w:t>
      </w:r>
      <w:r>
        <w:rPr>
          <w:spacing w:val="-4"/>
        </w:rPr>
        <w:t> </w:t>
      </w:r>
      <w:r>
        <w:rPr/>
        <w:t>в</w:t>
      </w:r>
      <w:r>
        <w:rPr>
          <w:spacing w:val="-4"/>
        </w:rPr>
        <w:t> </w:t>
      </w:r>
      <w:r>
        <w:rPr>
          <w:spacing w:val="-2"/>
        </w:rPr>
        <w:t>Инструментарии.</w:t>
      </w:r>
    </w:p>
    <w:p>
      <w:pPr>
        <w:pStyle w:val="BodyText"/>
        <w:ind w:left="0" w:right="0" w:firstLine="0"/>
        <w:jc w:val="left"/>
      </w:pPr>
    </w:p>
    <w:p>
      <w:pPr>
        <w:numPr>
          <w:ilvl w:val="2"/>
          <w:numId w:val="52"/>
        </w:numPr>
        <w:tabs>
          <w:tab w:pos="2100" w:val="left" w:leader="none"/>
          <w:tab w:pos="2308" w:val="left" w:leader="none"/>
        </w:tabs>
        <w:spacing w:before="0"/>
        <w:ind w:left="2100" w:right="1806" w:hanging="292"/>
        <w:jc w:val="both"/>
        <w:rPr>
          <w:b/>
          <w:sz w:val="20"/>
        </w:rPr>
      </w:pPr>
      <w:r>
        <w:rPr>
          <w:b/>
          <w:color w:val="231F20"/>
          <w:sz w:val="20"/>
        </w:rPr>
        <w:t>Ролевое</w:t>
      </w:r>
      <w:r>
        <w:rPr>
          <w:b/>
          <w:color w:val="231F20"/>
          <w:spacing w:val="-13"/>
          <w:sz w:val="20"/>
        </w:rPr>
        <w:t> </w:t>
      </w:r>
      <w:r>
        <w:rPr>
          <w:b/>
          <w:color w:val="231F20"/>
          <w:sz w:val="20"/>
        </w:rPr>
        <w:t>моделирование</w:t>
      </w:r>
      <w:r>
        <w:rPr>
          <w:b/>
          <w:color w:val="231F20"/>
          <w:spacing w:val="-12"/>
          <w:sz w:val="20"/>
        </w:rPr>
        <w:t> </w:t>
      </w:r>
      <w:r>
        <w:rPr>
          <w:b/>
          <w:color w:val="231F20"/>
          <w:sz w:val="20"/>
        </w:rPr>
        <w:t>и</w:t>
      </w:r>
      <w:r>
        <w:rPr>
          <w:b/>
          <w:color w:val="231F20"/>
          <w:spacing w:val="-13"/>
          <w:sz w:val="20"/>
        </w:rPr>
        <w:t> </w:t>
      </w:r>
      <w:r>
        <w:rPr>
          <w:b/>
          <w:color w:val="231F20"/>
          <w:sz w:val="20"/>
        </w:rPr>
        <w:t>разрешение ситуаций культурного ассимилятора</w:t>
      </w:r>
    </w:p>
    <w:p>
      <w:pPr>
        <w:spacing w:before="114"/>
        <w:ind w:left="425" w:right="0" w:firstLine="0"/>
        <w:jc w:val="both"/>
        <w:rPr>
          <w:b/>
          <w:sz w:val="20"/>
        </w:rPr>
      </w:pPr>
      <w:r>
        <w:rPr>
          <w:b/>
          <w:sz w:val="20"/>
        </w:rPr>
        <w:t>А.</w:t>
      </w:r>
      <w:r>
        <w:rPr>
          <w:b/>
          <w:spacing w:val="-5"/>
          <w:sz w:val="20"/>
        </w:rPr>
        <w:t> </w:t>
      </w:r>
      <w:r>
        <w:rPr>
          <w:b/>
          <w:sz w:val="20"/>
        </w:rPr>
        <w:t>Ролевое</w:t>
      </w:r>
      <w:r>
        <w:rPr>
          <w:b/>
          <w:spacing w:val="-5"/>
          <w:sz w:val="20"/>
        </w:rPr>
        <w:t> </w:t>
      </w:r>
      <w:r>
        <w:rPr>
          <w:b/>
          <w:spacing w:val="-2"/>
          <w:sz w:val="20"/>
        </w:rPr>
        <w:t>моделирование</w:t>
      </w:r>
    </w:p>
    <w:p>
      <w:pPr>
        <w:pStyle w:val="BodyText"/>
      </w:pPr>
      <w:r>
        <w:rPr>
          <w:b/>
          <w:i/>
        </w:rPr>
        <w:t>Общее описание. </w:t>
      </w:r>
      <w:r>
        <w:rPr/>
        <w:t>Ролевое моделирование представляет собой своего рода моди- фикацию</w:t>
      </w:r>
      <w:r>
        <w:rPr>
          <w:spacing w:val="-7"/>
        </w:rPr>
        <w:t> </w:t>
      </w:r>
      <w:r>
        <w:rPr/>
        <w:t>ролевой</w:t>
      </w:r>
      <w:r>
        <w:rPr>
          <w:spacing w:val="-7"/>
        </w:rPr>
        <w:t> </w:t>
      </w:r>
      <w:r>
        <w:rPr/>
        <w:t>игры,</w:t>
      </w:r>
      <w:r>
        <w:rPr>
          <w:spacing w:val="-7"/>
        </w:rPr>
        <w:t> </w:t>
      </w:r>
      <w:r>
        <w:rPr/>
        <w:t>но</w:t>
      </w:r>
      <w:r>
        <w:rPr>
          <w:spacing w:val="-7"/>
        </w:rPr>
        <w:t> </w:t>
      </w:r>
      <w:r>
        <w:rPr/>
        <w:t>для</w:t>
      </w:r>
      <w:r>
        <w:rPr>
          <w:spacing w:val="-7"/>
        </w:rPr>
        <w:t> </w:t>
      </w:r>
      <w:r>
        <w:rPr/>
        <w:t>учащихся</w:t>
      </w:r>
      <w:r>
        <w:rPr>
          <w:spacing w:val="-7"/>
        </w:rPr>
        <w:t> </w:t>
      </w:r>
      <w:r>
        <w:rPr/>
        <w:t>средней</w:t>
      </w:r>
      <w:r>
        <w:rPr>
          <w:spacing w:val="-7"/>
        </w:rPr>
        <w:t> </w:t>
      </w:r>
      <w:r>
        <w:rPr/>
        <w:t>и</w:t>
      </w:r>
      <w:r>
        <w:rPr>
          <w:spacing w:val="-7"/>
        </w:rPr>
        <w:t> </w:t>
      </w:r>
      <w:r>
        <w:rPr/>
        <w:t>старшей</w:t>
      </w:r>
      <w:r>
        <w:rPr>
          <w:spacing w:val="-7"/>
        </w:rPr>
        <w:t> </w:t>
      </w:r>
      <w:r>
        <w:rPr/>
        <w:t>школы.</w:t>
      </w:r>
      <w:r>
        <w:rPr>
          <w:spacing w:val="-7"/>
        </w:rPr>
        <w:t> </w:t>
      </w:r>
      <w:r>
        <w:rPr/>
        <w:t>В</w:t>
      </w:r>
      <w:r>
        <w:rPr>
          <w:spacing w:val="-7"/>
        </w:rPr>
        <w:t> </w:t>
      </w:r>
      <w:r>
        <w:rPr/>
        <w:t>ходе</w:t>
      </w:r>
      <w:r>
        <w:rPr>
          <w:spacing w:val="-7"/>
        </w:rPr>
        <w:t> </w:t>
      </w:r>
      <w:r>
        <w:rPr/>
        <w:t>ролевого моделирования</w:t>
      </w:r>
      <w:r>
        <w:rPr>
          <w:spacing w:val="-1"/>
        </w:rPr>
        <w:t> </w:t>
      </w:r>
      <w:r>
        <w:rPr/>
        <w:t>во</w:t>
      </w:r>
      <w:r>
        <w:rPr>
          <w:spacing w:val="-1"/>
        </w:rPr>
        <w:t> </w:t>
      </w:r>
      <w:r>
        <w:rPr/>
        <w:t>взаимодействии</w:t>
      </w:r>
      <w:r>
        <w:rPr>
          <w:spacing w:val="-1"/>
        </w:rPr>
        <w:t> </w:t>
      </w:r>
      <w:r>
        <w:rPr/>
        <w:t>с</w:t>
      </w:r>
      <w:r>
        <w:rPr>
          <w:spacing w:val="-1"/>
        </w:rPr>
        <w:t> </w:t>
      </w:r>
      <w:r>
        <w:rPr/>
        <w:t>психологом</w:t>
      </w:r>
      <w:r>
        <w:rPr>
          <w:spacing w:val="-1"/>
        </w:rPr>
        <w:t> </w:t>
      </w:r>
      <w:r>
        <w:rPr/>
        <w:t>подросток</w:t>
      </w:r>
      <w:r>
        <w:rPr>
          <w:spacing w:val="-1"/>
        </w:rPr>
        <w:t> </w:t>
      </w:r>
      <w:r>
        <w:rPr/>
        <w:t>пробует</w:t>
      </w:r>
      <w:r>
        <w:rPr>
          <w:spacing w:val="-1"/>
        </w:rPr>
        <w:t> </w:t>
      </w:r>
      <w:r>
        <w:rPr/>
        <w:t>новые</w:t>
      </w:r>
      <w:r>
        <w:rPr>
          <w:spacing w:val="-1"/>
        </w:rPr>
        <w:t> </w:t>
      </w:r>
      <w:r>
        <w:rPr/>
        <w:t>поведен- ческие</w:t>
      </w:r>
      <w:r>
        <w:rPr>
          <w:spacing w:val="-6"/>
        </w:rPr>
        <w:t> </w:t>
      </w:r>
      <w:r>
        <w:rPr/>
        <w:t>модели.</w:t>
      </w:r>
      <w:r>
        <w:rPr>
          <w:spacing w:val="-6"/>
        </w:rPr>
        <w:t> </w:t>
      </w:r>
      <w:r>
        <w:rPr/>
        <w:t>Ролевое</w:t>
      </w:r>
      <w:r>
        <w:rPr>
          <w:spacing w:val="-6"/>
        </w:rPr>
        <w:t> </w:t>
      </w:r>
      <w:r>
        <w:rPr/>
        <w:t>моделирование</w:t>
      </w:r>
      <w:r>
        <w:rPr>
          <w:spacing w:val="-6"/>
        </w:rPr>
        <w:t> </w:t>
      </w:r>
      <w:r>
        <w:rPr/>
        <w:t>предполагает</w:t>
      </w:r>
      <w:r>
        <w:rPr>
          <w:spacing w:val="-6"/>
        </w:rPr>
        <w:t> </w:t>
      </w:r>
      <w:r>
        <w:rPr/>
        <w:t>отыгрывание</w:t>
      </w:r>
      <w:r>
        <w:rPr>
          <w:spacing w:val="-6"/>
        </w:rPr>
        <w:t> </w:t>
      </w:r>
      <w:r>
        <w:rPr/>
        <w:t>представляющих сложность</w:t>
      </w:r>
      <w:r>
        <w:rPr>
          <w:spacing w:val="-13"/>
        </w:rPr>
        <w:t> </w:t>
      </w:r>
      <w:r>
        <w:rPr/>
        <w:t>для</w:t>
      </w:r>
      <w:r>
        <w:rPr>
          <w:spacing w:val="-12"/>
        </w:rPr>
        <w:t> </w:t>
      </w:r>
      <w:r>
        <w:rPr/>
        <w:t>ребенка-мигранта</w:t>
      </w:r>
      <w:r>
        <w:rPr>
          <w:spacing w:val="-13"/>
        </w:rPr>
        <w:t> </w:t>
      </w:r>
      <w:r>
        <w:rPr/>
        <w:t>ситуаций</w:t>
      </w:r>
      <w:r>
        <w:rPr>
          <w:spacing w:val="-12"/>
        </w:rPr>
        <w:t> </w:t>
      </w:r>
      <w:r>
        <w:rPr/>
        <w:t>повседневного</w:t>
      </w:r>
      <w:r>
        <w:rPr>
          <w:spacing w:val="-13"/>
        </w:rPr>
        <w:t> </w:t>
      </w:r>
      <w:r>
        <w:rPr/>
        <w:t>взаимодействия</w:t>
      </w:r>
      <w:r>
        <w:rPr>
          <w:spacing w:val="-12"/>
        </w:rPr>
        <w:t> </w:t>
      </w:r>
      <w:r>
        <w:rPr/>
        <w:t>с</w:t>
      </w:r>
      <w:r>
        <w:rPr>
          <w:spacing w:val="-13"/>
        </w:rPr>
        <w:t> </w:t>
      </w:r>
      <w:r>
        <w:rPr/>
        <w:t>ровесни- ками и взрослыми.</w:t>
      </w:r>
    </w:p>
    <w:p>
      <w:pPr>
        <w:pStyle w:val="BodyText"/>
        <w:spacing w:line="237" w:lineRule="auto" w:before="2"/>
      </w:pPr>
      <w:r>
        <w:rPr>
          <w:b/>
          <w:i/>
          <w:spacing w:val="-2"/>
        </w:rPr>
        <w:t>Сильные</w:t>
      </w:r>
      <w:r>
        <w:rPr>
          <w:b/>
          <w:i/>
          <w:spacing w:val="-5"/>
        </w:rPr>
        <w:t> </w:t>
      </w:r>
      <w:r>
        <w:rPr>
          <w:b/>
          <w:i/>
          <w:spacing w:val="-2"/>
        </w:rPr>
        <w:t>стороны</w:t>
      </w:r>
      <w:r>
        <w:rPr>
          <w:b/>
          <w:i/>
          <w:spacing w:val="-5"/>
        </w:rPr>
        <w:t> </w:t>
      </w:r>
      <w:r>
        <w:rPr>
          <w:b/>
          <w:i/>
          <w:spacing w:val="-2"/>
        </w:rPr>
        <w:t>практики.</w:t>
      </w:r>
      <w:r>
        <w:rPr>
          <w:b/>
          <w:i/>
          <w:spacing w:val="-6"/>
        </w:rPr>
        <w:t> </w:t>
      </w:r>
      <w:r>
        <w:rPr>
          <w:color w:val="231F20"/>
          <w:spacing w:val="-2"/>
        </w:rPr>
        <w:t>Как</w:t>
      </w:r>
      <w:r>
        <w:rPr>
          <w:color w:val="231F20"/>
          <w:spacing w:val="-5"/>
        </w:rPr>
        <w:t> </w:t>
      </w:r>
      <w:r>
        <w:rPr>
          <w:color w:val="231F20"/>
          <w:spacing w:val="-2"/>
        </w:rPr>
        <w:t>и</w:t>
      </w:r>
      <w:r>
        <w:rPr>
          <w:color w:val="231F20"/>
          <w:spacing w:val="-5"/>
        </w:rPr>
        <w:t> </w:t>
      </w:r>
      <w:r>
        <w:rPr>
          <w:color w:val="231F20"/>
          <w:spacing w:val="-2"/>
        </w:rPr>
        <w:t>в</w:t>
      </w:r>
      <w:r>
        <w:rPr>
          <w:color w:val="231F20"/>
          <w:spacing w:val="-5"/>
        </w:rPr>
        <w:t> </w:t>
      </w:r>
      <w:r>
        <w:rPr>
          <w:color w:val="231F20"/>
          <w:spacing w:val="-2"/>
        </w:rPr>
        <w:t>ходе</w:t>
      </w:r>
      <w:r>
        <w:rPr>
          <w:color w:val="231F20"/>
          <w:spacing w:val="-5"/>
        </w:rPr>
        <w:t> </w:t>
      </w:r>
      <w:r>
        <w:rPr>
          <w:color w:val="231F20"/>
          <w:spacing w:val="-2"/>
        </w:rPr>
        <w:t>ролевой</w:t>
      </w:r>
      <w:r>
        <w:rPr>
          <w:color w:val="231F20"/>
          <w:spacing w:val="-5"/>
        </w:rPr>
        <w:t> </w:t>
      </w:r>
      <w:r>
        <w:rPr>
          <w:color w:val="231F20"/>
          <w:spacing w:val="-2"/>
        </w:rPr>
        <w:t>игры,</w:t>
      </w:r>
      <w:r>
        <w:rPr>
          <w:color w:val="231F20"/>
          <w:spacing w:val="-5"/>
        </w:rPr>
        <w:t> </w:t>
      </w:r>
      <w:r>
        <w:rPr>
          <w:color w:val="231F20"/>
          <w:spacing w:val="-2"/>
        </w:rPr>
        <w:t>психолог</w:t>
      </w:r>
      <w:r>
        <w:rPr>
          <w:color w:val="231F20"/>
          <w:spacing w:val="-5"/>
        </w:rPr>
        <w:t> </w:t>
      </w:r>
      <w:r>
        <w:rPr>
          <w:color w:val="231F20"/>
          <w:spacing w:val="-2"/>
        </w:rPr>
        <w:t>имеет</w:t>
      </w:r>
      <w:r>
        <w:rPr>
          <w:color w:val="231F20"/>
          <w:spacing w:val="-5"/>
        </w:rPr>
        <w:t> </w:t>
      </w:r>
      <w:r>
        <w:rPr>
          <w:color w:val="231F20"/>
          <w:spacing w:val="-2"/>
        </w:rPr>
        <w:t>возмож- </w:t>
      </w:r>
      <w:r>
        <w:rPr>
          <w:color w:val="231F20"/>
        </w:rPr>
        <w:t>ность</w:t>
      </w:r>
      <w:r>
        <w:rPr>
          <w:color w:val="231F20"/>
          <w:spacing w:val="-13"/>
        </w:rPr>
        <w:t> </w:t>
      </w:r>
      <w:r>
        <w:rPr>
          <w:color w:val="231F20"/>
        </w:rPr>
        <w:t>выявить</w:t>
      </w:r>
      <w:r>
        <w:rPr>
          <w:color w:val="231F20"/>
          <w:spacing w:val="-12"/>
        </w:rPr>
        <w:t> </w:t>
      </w:r>
      <w:r>
        <w:rPr>
          <w:color w:val="231F20"/>
        </w:rPr>
        <w:t>социальные</w:t>
      </w:r>
      <w:r>
        <w:rPr>
          <w:color w:val="231F20"/>
          <w:spacing w:val="-13"/>
        </w:rPr>
        <w:t> </w:t>
      </w:r>
      <w:r>
        <w:rPr>
          <w:color w:val="231F20"/>
        </w:rPr>
        <w:t>навыки</w:t>
      </w:r>
      <w:r>
        <w:rPr>
          <w:color w:val="231F20"/>
          <w:spacing w:val="-12"/>
        </w:rPr>
        <w:t> </w:t>
      </w:r>
      <w:r>
        <w:rPr>
          <w:color w:val="231F20"/>
        </w:rPr>
        <w:t>ученика-мигранта</w:t>
      </w:r>
      <w:r>
        <w:rPr>
          <w:color w:val="231F20"/>
          <w:spacing w:val="-13"/>
        </w:rPr>
        <w:t> </w:t>
      </w:r>
      <w:r>
        <w:rPr>
          <w:color w:val="231F20"/>
        </w:rPr>
        <w:t>и</w:t>
      </w:r>
      <w:r>
        <w:rPr>
          <w:color w:val="231F20"/>
          <w:spacing w:val="-12"/>
        </w:rPr>
        <w:t> </w:t>
      </w:r>
      <w:r>
        <w:rPr>
          <w:color w:val="231F20"/>
        </w:rPr>
        <w:t>содействовать</w:t>
      </w:r>
      <w:r>
        <w:rPr>
          <w:color w:val="231F20"/>
          <w:spacing w:val="-13"/>
        </w:rPr>
        <w:t> </w:t>
      </w:r>
      <w:r>
        <w:rPr>
          <w:color w:val="231F20"/>
        </w:rPr>
        <w:t>формированию у</w:t>
      </w:r>
      <w:r>
        <w:rPr>
          <w:color w:val="231F20"/>
          <w:spacing w:val="-7"/>
        </w:rPr>
        <w:t> </w:t>
      </w:r>
      <w:r>
        <w:rPr>
          <w:color w:val="231F20"/>
        </w:rPr>
        <w:t>него</w:t>
      </w:r>
      <w:r>
        <w:rPr>
          <w:color w:val="231F20"/>
          <w:spacing w:val="-7"/>
        </w:rPr>
        <w:t> </w:t>
      </w:r>
      <w:r>
        <w:rPr>
          <w:color w:val="231F20"/>
        </w:rPr>
        <w:t>культурно</w:t>
      </w:r>
      <w:r>
        <w:rPr>
          <w:color w:val="231F20"/>
          <w:spacing w:val="-7"/>
        </w:rPr>
        <w:t> </w:t>
      </w:r>
      <w:r>
        <w:rPr>
          <w:color w:val="231F20"/>
        </w:rPr>
        <w:t>релевантных</w:t>
      </w:r>
      <w:r>
        <w:rPr>
          <w:color w:val="231F20"/>
          <w:spacing w:val="-7"/>
        </w:rPr>
        <w:t> </w:t>
      </w:r>
      <w:r>
        <w:rPr>
          <w:color w:val="231F20"/>
        </w:rPr>
        <w:t>навыков.</w:t>
      </w:r>
      <w:r>
        <w:rPr>
          <w:color w:val="231F20"/>
          <w:spacing w:val="-7"/>
        </w:rPr>
        <w:t> </w:t>
      </w:r>
      <w:r>
        <w:rPr>
          <w:color w:val="231F20"/>
        </w:rPr>
        <w:t>Ролевое</w:t>
      </w:r>
      <w:r>
        <w:rPr>
          <w:color w:val="231F20"/>
          <w:spacing w:val="-7"/>
        </w:rPr>
        <w:t> </w:t>
      </w:r>
      <w:r>
        <w:rPr>
          <w:color w:val="231F20"/>
        </w:rPr>
        <w:t>моделирование</w:t>
      </w:r>
      <w:r>
        <w:rPr>
          <w:color w:val="231F20"/>
          <w:spacing w:val="-7"/>
        </w:rPr>
        <w:t> </w:t>
      </w:r>
      <w:r>
        <w:rPr>
          <w:color w:val="231F20"/>
        </w:rPr>
        <w:t>позволяет</w:t>
      </w:r>
      <w:r>
        <w:rPr>
          <w:color w:val="231F20"/>
          <w:spacing w:val="-7"/>
        </w:rPr>
        <w:t> </w:t>
      </w:r>
      <w:r>
        <w:rPr>
          <w:color w:val="231F20"/>
        </w:rPr>
        <w:t>ребенку</w:t>
      </w:r>
      <w:r>
        <w:rPr>
          <w:color w:val="231F20"/>
          <w:spacing w:val="-7"/>
        </w:rPr>
        <w:t> </w:t>
      </w:r>
      <w:r>
        <w:rPr>
          <w:color w:val="231F20"/>
        </w:rPr>
        <w:t>в комфортной</w:t>
      </w:r>
      <w:r>
        <w:rPr>
          <w:color w:val="231F20"/>
          <w:spacing w:val="-9"/>
        </w:rPr>
        <w:t> </w:t>
      </w:r>
      <w:r>
        <w:rPr>
          <w:color w:val="231F20"/>
        </w:rPr>
        <w:t>среде</w:t>
      </w:r>
      <w:r>
        <w:rPr>
          <w:color w:val="231F20"/>
          <w:spacing w:val="-9"/>
        </w:rPr>
        <w:t> </w:t>
      </w:r>
      <w:r>
        <w:rPr>
          <w:color w:val="231F20"/>
        </w:rPr>
        <w:t>и</w:t>
      </w:r>
      <w:r>
        <w:rPr>
          <w:color w:val="231F20"/>
          <w:spacing w:val="-9"/>
        </w:rPr>
        <w:t> </w:t>
      </w:r>
      <w:r>
        <w:rPr>
          <w:color w:val="231F20"/>
        </w:rPr>
        <w:t>безопасной</w:t>
      </w:r>
      <w:r>
        <w:rPr>
          <w:color w:val="231F20"/>
          <w:spacing w:val="-9"/>
        </w:rPr>
        <w:t> </w:t>
      </w:r>
      <w:r>
        <w:rPr>
          <w:color w:val="231F20"/>
        </w:rPr>
        <w:t>форме</w:t>
      </w:r>
      <w:r>
        <w:rPr>
          <w:color w:val="231F20"/>
          <w:spacing w:val="-9"/>
        </w:rPr>
        <w:t> </w:t>
      </w:r>
      <w:r>
        <w:rPr>
          <w:color w:val="231F20"/>
        </w:rPr>
        <w:t>попрактиковаться</w:t>
      </w:r>
      <w:r>
        <w:rPr>
          <w:color w:val="231F20"/>
          <w:spacing w:val="-9"/>
        </w:rPr>
        <w:t> </w:t>
      </w:r>
      <w:r>
        <w:rPr>
          <w:color w:val="231F20"/>
        </w:rPr>
        <w:t>в</w:t>
      </w:r>
      <w:r>
        <w:rPr>
          <w:color w:val="231F20"/>
          <w:spacing w:val="-9"/>
        </w:rPr>
        <w:t> </w:t>
      </w:r>
      <w:r>
        <w:rPr>
          <w:color w:val="231F20"/>
        </w:rPr>
        <w:t>использовании</w:t>
      </w:r>
      <w:r>
        <w:rPr>
          <w:color w:val="231F20"/>
          <w:spacing w:val="-9"/>
        </w:rPr>
        <w:t> </w:t>
      </w:r>
      <w:r>
        <w:rPr>
          <w:color w:val="231F20"/>
        </w:rPr>
        <w:t>новых</w:t>
      </w:r>
      <w:r>
        <w:rPr>
          <w:color w:val="231F20"/>
          <w:spacing w:val="-8"/>
        </w:rPr>
        <w:t> </w:t>
      </w:r>
      <w:r>
        <w:rPr>
          <w:color w:val="231F20"/>
        </w:rPr>
        <w:t>по- веденческих</w:t>
      </w:r>
      <w:r>
        <w:rPr>
          <w:color w:val="231F20"/>
          <w:spacing w:val="-1"/>
        </w:rPr>
        <w:t> </w:t>
      </w:r>
      <w:r>
        <w:rPr>
          <w:color w:val="231F20"/>
        </w:rPr>
        <w:t>моделей.</w:t>
      </w:r>
      <w:r>
        <w:rPr>
          <w:color w:val="231F20"/>
          <w:spacing w:val="-1"/>
        </w:rPr>
        <w:t> </w:t>
      </w:r>
      <w:r>
        <w:rPr>
          <w:color w:val="231F20"/>
        </w:rPr>
        <w:t>Ролевое</w:t>
      </w:r>
      <w:r>
        <w:rPr>
          <w:color w:val="231F20"/>
          <w:spacing w:val="-1"/>
        </w:rPr>
        <w:t> </w:t>
      </w:r>
      <w:r>
        <w:rPr>
          <w:color w:val="231F20"/>
        </w:rPr>
        <w:t>моделирование</w:t>
      </w:r>
      <w:r>
        <w:rPr>
          <w:color w:val="231F20"/>
          <w:spacing w:val="-1"/>
        </w:rPr>
        <w:t> </w:t>
      </w:r>
      <w:r>
        <w:rPr>
          <w:color w:val="231F20"/>
        </w:rPr>
        <w:t>может</w:t>
      </w:r>
      <w:r>
        <w:rPr>
          <w:color w:val="231F20"/>
          <w:spacing w:val="-1"/>
        </w:rPr>
        <w:t> </w:t>
      </w:r>
      <w:r>
        <w:rPr>
          <w:color w:val="231F20"/>
        </w:rPr>
        <w:t>проводиться</w:t>
      </w:r>
      <w:r>
        <w:rPr>
          <w:color w:val="231F20"/>
          <w:spacing w:val="-1"/>
        </w:rPr>
        <w:t> </w:t>
      </w:r>
      <w:r>
        <w:rPr>
          <w:color w:val="231F20"/>
        </w:rPr>
        <w:t>многократно,</w:t>
      </w:r>
      <w:r>
        <w:rPr>
          <w:color w:val="231F20"/>
          <w:spacing w:val="-1"/>
        </w:rPr>
        <w:t> </w:t>
      </w:r>
      <w:r>
        <w:rPr>
          <w:color w:val="231F20"/>
        </w:rPr>
        <w:t>оно позволяет проработать широкий спектр ситуаций социального взаимодействия.</w:t>
      </w:r>
    </w:p>
    <w:p>
      <w:pPr>
        <w:pStyle w:val="BodyText"/>
        <w:spacing w:line="235" w:lineRule="auto"/>
        <w:jc w:val="right"/>
      </w:pPr>
      <w:r>
        <w:rPr>
          <w:b/>
          <w:i/>
        </w:rPr>
        <w:t>Требования к проведению. </w:t>
      </w:r>
      <w:r>
        <w:rPr/>
        <w:t>Особых требований к проведению, помимо наличия помещения</w:t>
      </w:r>
      <w:r>
        <w:rPr>
          <w:spacing w:val="-3"/>
        </w:rPr>
        <w:t> </w:t>
      </w:r>
      <w:r>
        <w:rPr/>
        <w:t>для</w:t>
      </w:r>
      <w:r>
        <w:rPr>
          <w:spacing w:val="-3"/>
        </w:rPr>
        <w:t> </w:t>
      </w:r>
      <w:r>
        <w:rPr/>
        <w:t>индивидуальной</w:t>
      </w:r>
      <w:r>
        <w:rPr>
          <w:spacing w:val="-3"/>
        </w:rPr>
        <w:t> </w:t>
      </w:r>
      <w:r>
        <w:rPr/>
        <w:t>работы,</w:t>
      </w:r>
      <w:r>
        <w:rPr>
          <w:spacing w:val="-3"/>
        </w:rPr>
        <w:t> </w:t>
      </w:r>
      <w:r>
        <w:rPr/>
        <w:t>не</w:t>
      </w:r>
      <w:r>
        <w:rPr>
          <w:spacing w:val="-3"/>
        </w:rPr>
        <w:t> </w:t>
      </w:r>
      <w:r>
        <w:rPr/>
        <w:t>имеется,</w:t>
      </w:r>
      <w:r>
        <w:rPr>
          <w:spacing w:val="-3"/>
        </w:rPr>
        <w:t> </w:t>
      </w:r>
      <w:r>
        <w:rPr/>
        <w:t>однако</w:t>
      </w:r>
      <w:r>
        <w:rPr>
          <w:spacing w:val="-3"/>
        </w:rPr>
        <w:t> </w:t>
      </w:r>
      <w:r>
        <w:rPr/>
        <w:t>ролевое</w:t>
      </w:r>
      <w:r>
        <w:rPr>
          <w:spacing w:val="-3"/>
        </w:rPr>
        <w:t> </w:t>
      </w:r>
      <w:r>
        <w:rPr/>
        <w:t>моделирование требует</w:t>
      </w:r>
      <w:r>
        <w:rPr>
          <w:spacing w:val="-8"/>
        </w:rPr>
        <w:t> </w:t>
      </w:r>
      <w:r>
        <w:rPr/>
        <w:t>от</w:t>
      </w:r>
      <w:r>
        <w:rPr>
          <w:spacing w:val="-8"/>
        </w:rPr>
        <w:t> </w:t>
      </w:r>
      <w:r>
        <w:rPr/>
        <w:t>ребенка-мигранта</w:t>
      </w:r>
      <w:r>
        <w:rPr>
          <w:spacing w:val="-8"/>
        </w:rPr>
        <w:t> </w:t>
      </w:r>
      <w:r>
        <w:rPr/>
        <w:t>достаточно</w:t>
      </w:r>
      <w:r>
        <w:rPr>
          <w:spacing w:val="-8"/>
        </w:rPr>
        <w:t> </w:t>
      </w:r>
      <w:r>
        <w:rPr/>
        <w:t>высокого</w:t>
      </w:r>
      <w:r>
        <w:rPr>
          <w:spacing w:val="-8"/>
        </w:rPr>
        <w:t> </w:t>
      </w:r>
      <w:r>
        <w:rPr/>
        <w:t>уровня</w:t>
      </w:r>
      <w:r>
        <w:rPr>
          <w:spacing w:val="-8"/>
        </w:rPr>
        <w:t> </w:t>
      </w:r>
      <w:r>
        <w:rPr/>
        <w:t>владения</w:t>
      </w:r>
      <w:r>
        <w:rPr>
          <w:spacing w:val="-8"/>
        </w:rPr>
        <w:t> </w:t>
      </w:r>
      <w:r>
        <w:rPr/>
        <w:t>русским</w:t>
      </w:r>
      <w:r>
        <w:rPr>
          <w:spacing w:val="-8"/>
        </w:rPr>
        <w:t> </w:t>
      </w:r>
      <w:r>
        <w:rPr/>
        <w:t>языком. </w:t>
      </w:r>
      <w:r>
        <w:rPr>
          <w:b/>
          <w:i/>
        </w:rPr>
        <w:t>Доказательность практики. </w:t>
      </w:r>
      <w:r>
        <w:rPr/>
        <w:t>Эмпирические исследования показывают, что ин- тервенции,</w:t>
      </w:r>
      <w:r>
        <w:rPr>
          <w:spacing w:val="-2"/>
        </w:rPr>
        <w:t> </w:t>
      </w:r>
      <w:r>
        <w:rPr/>
        <w:t>основанные на модификации поведения учащихся-мигрантов,</w:t>
      </w:r>
      <w:r>
        <w:rPr>
          <w:spacing w:val="1"/>
        </w:rPr>
        <w:t> </w:t>
      </w:r>
      <w:r>
        <w:rPr>
          <w:spacing w:val="-2"/>
        </w:rPr>
        <w:t>эффектив-</w:t>
      </w:r>
    </w:p>
    <w:p>
      <w:pPr>
        <w:pStyle w:val="BodyText"/>
        <w:spacing w:line="229" w:lineRule="exact"/>
        <w:ind w:right="0" w:firstLine="0"/>
        <w:jc w:val="left"/>
      </w:pPr>
      <w:r>
        <w:rPr/>
        <w:t>но</w:t>
      </w:r>
      <w:r>
        <w:rPr>
          <w:spacing w:val="-4"/>
        </w:rPr>
        <w:t> </w:t>
      </w:r>
      <w:r>
        <w:rPr/>
        <w:t>решают</w:t>
      </w:r>
      <w:r>
        <w:rPr>
          <w:spacing w:val="-2"/>
        </w:rPr>
        <w:t> </w:t>
      </w:r>
      <w:r>
        <w:rPr/>
        <w:t>проблемы</w:t>
      </w:r>
      <w:r>
        <w:rPr>
          <w:spacing w:val="-2"/>
        </w:rPr>
        <w:t> </w:t>
      </w:r>
      <w:r>
        <w:rPr/>
        <w:t>их</w:t>
      </w:r>
      <w:r>
        <w:rPr>
          <w:spacing w:val="-2"/>
        </w:rPr>
        <w:t> </w:t>
      </w:r>
      <w:r>
        <w:rPr/>
        <w:t>адаптации</w:t>
      </w:r>
      <w:r>
        <w:rPr>
          <w:spacing w:val="-3"/>
        </w:rPr>
        <w:t> </w:t>
      </w:r>
      <w:r>
        <w:rPr/>
        <w:t>(</w:t>
      </w:r>
      <w:r>
        <w:rPr>
          <w:color w:val="231F20"/>
        </w:rPr>
        <w:t>Ogden,</w:t>
      </w:r>
      <w:r>
        <w:rPr>
          <w:color w:val="231F20"/>
          <w:spacing w:val="-2"/>
        </w:rPr>
        <w:t> </w:t>
      </w:r>
      <w:r>
        <w:rPr>
          <w:color w:val="231F20"/>
        </w:rPr>
        <w:t>Sørlie,</w:t>
      </w:r>
      <w:r>
        <w:rPr>
          <w:color w:val="231F20"/>
          <w:spacing w:val="-2"/>
        </w:rPr>
        <w:t> </w:t>
      </w:r>
      <w:r>
        <w:rPr>
          <w:color w:val="231F20"/>
        </w:rPr>
        <w:t>&amp;</w:t>
      </w:r>
      <w:r>
        <w:rPr>
          <w:color w:val="231F20"/>
          <w:spacing w:val="-2"/>
        </w:rPr>
        <w:t> </w:t>
      </w:r>
      <w:r>
        <w:rPr>
          <w:color w:val="231F20"/>
        </w:rPr>
        <w:t>Hagen,</w:t>
      </w:r>
      <w:r>
        <w:rPr>
          <w:color w:val="231F20"/>
          <w:spacing w:val="-1"/>
        </w:rPr>
        <w:t> </w:t>
      </w:r>
      <w:r>
        <w:rPr>
          <w:color w:val="231F20"/>
          <w:spacing w:val="-2"/>
        </w:rPr>
        <w:t>2007)</w:t>
      </w:r>
      <w:r>
        <w:rPr>
          <w:spacing w:val="-2"/>
        </w:rPr>
        <w:t>.</w:t>
      </w:r>
    </w:p>
    <w:p>
      <w:pPr>
        <w:pStyle w:val="BodyText"/>
        <w:spacing w:after="0" w:line="229" w:lineRule="exact"/>
        <w:jc w:val="left"/>
        <w:sectPr>
          <w:pgSz w:w="8400" w:h="11910"/>
          <w:pgMar w:header="0" w:footer="528" w:top="400" w:bottom="740" w:left="425" w:right="425"/>
        </w:sectPr>
      </w:pPr>
    </w:p>
    <w:p>
      <w:pPr>
        <w:pStyle w:val="ListParagraph"/>
        <w:numPr>
          <w:ilvl w:val="1"/>
          <w:numId w:val="43"/>
        </w:numPr>
        <w:tabs>
          <w:tab w:pos="455" w:val="left" w:leader="none"/>
        </w:tabs>
        <w:spacing w:line="240" w:lineRule="auto" w:before="80" w:after="0"/>
        <w:ind w:left="455" w:right="0" w:hanging="314"/>
        <w:jc w:val="left"/>
        <w:rPr>
          <w:rFonts w:ascii="Georgia" w:hAnsi="Georgia"/>
          <w:color w:val="231F20"/>
          <w:sz w:val="18"/>
        </w:rPr>
      </w:pPr>
      <w:bookmarkStart w:name="_bookmark49" w:id="51"/>
      <w:bookmarkEnd w:id="51"/>
      <w:r>
        <w:rPr/>
      </w:r>
      <w:r>
        <w:rPr>
          <w:rFonts w:ascii="Georgia" w:hAnsi="Georgia"/>
          <w:color w:val="231F20"/>
          <w:sz w:val="18"/>
        </w:rPr>
        <w:t>Специфические</w:t>
      </w:r>
      <w:r>
        <w:rPr>
          <w:rFonts w:ascii="Georgia" w:hAnsi="Georgia"/>
          <w:color w:val="231F20"/>
          <w:spacing w:val="12"/>
          <w:sz w:val="18"/>
        </w:rPr>
        <w:t> </w:t>
      </w:r>
      <w:r>
        <w:rPr>
          <w:rFonts w:ascii="Georgia" w:hAnsi="Georgia"/>
          <w:color w:val="231F20"/>
          <w:sz w:val="18"/>
        </w:rPr>
        <w:t>техники</w:t>
      </w:r>
      <w:r>
        <w:rPr>
          <w:rFonts w:ascii="Georgia" w:hAnsi="Georgia"/>
          <w:color w:val="231F20"/>
          <w:spacing w:val="13"/>
          <w:sz w:val="18"/>
        </w:rPr>
        <w:t> </w:t>
      </w:r>
      <w:r>
        <w:rPr>
          <w:rFonts w:ascii="Georgia" w:hAnsi="Georgia"/>
          <w:color w:val="231F20"/>
          <w:sz w:val="18"/>
        </w:rPr>
        <w:t>для</w:t>
      </w:r>
      <w:r>
        <w:rPr>
          <w:rFonts w:ascii="Georgia" w:hAnsi="Georgia"/>
          <w:color w:val="231F20"/>
          <w:spacing w:val="13"/>
          <w:sz w:val="18"/>
        </w:rPr>
        <w:t> </w:t>
      </w:r>
      <w:r>
        <w:rPr>
          <w:rFonts w:ascii="Georgia" w:hAnsi="Georgia"/>
          <w:color w:val="231F20"/>
          <w:sz w:val="18"/>
        </w:rPr>
        <w:t>коррекционной</w:t>
      </w:r>
      <w:r>
        <w:rPr>
          <w:rFonts w:ascii="Georgia" w:hAnsi="Georgia"/>
          <w:color w:val="231F20"/>
          <w:spacing w:val="13"/>
          <w:sz w:val="18"/>
        </w:rPr>
        <w:t> </w:t>
      </w:r>
      <w:r>
        <w:rPr>
          <w:rFonts w:ascii="Georgia" w:hAnsi="Georgia"/>
          <w:color w:val="231F20"/>
          <w:sz w:val="18"/>
        </w:rPr>
        <w:t>и</w:t>
      </w:r>
      <w:r>
        <w:rPr>
          <w:rFonts w:ascii="Georgia" w:hAnsi="Georgia"/>
          <w:color w:val="231F20"/>
          <w:spacing w:val="13"/>
          <w:sz w:val="18"/>
        </w:rPr>
        <w:t> </w:t>
      </w:r>
      <w:r>
        <w:rPr>
          <w:rFonts w:ascii="Georgia" w:hAnsi="Georgia"/>
          <w:color w:val="231F20"/>
          <w:sz w:val="18"/>
        </w:rPr>
        <w:t>консультативной</w:t>
      </w:r>
      <w:r>
        <w:rPr>
          <w:rFonts w:ascii="Georgia" w:hAnsi="Georgia"/>
          <w:color w:val="231F20"/>
          <w:spacing w:val="13"/>
          <w:sz w:val="18"/>
        </w:rPr>
        <w:t> </w:t>
      </w:r>
      <w:r>
        <w:rPr>
          <w:rFonts w:ascii="Georgia" w:hAnsi="Georgia"/>
          <w:color w:val="231F20"/>
          <w:spacing w:val="-2"/>
          <w:sz w:val="18"/>
        </w:rPr>
        <w:t>работы...</w:t>
      </w:r>
    </w:p>
    <w:p>
      <w:pPr>
        <w:spacing w:line="228" w:lineRule="exact" w:before="109"/>
        <w:ind w:left="425" w:right="0" w:firstLine="0"/>
        <w:jc w:val="left"/>
        <w:rPr>
          <w:b/>
          <w:i/>
          <w:sz w:val="20"/>
        </w:rPr>
      </w:pPr>
      <w:r>
        <w:rPr>
          <w:b/>
          <w:i/>
          <w:sz w:val="20"/>
        </w:rPr>
        <w:t>Где</w:t>
      </w:r>
      <w:r>
        <w:rPr>
          <w:b/>
          <w:i/>
          <w:spacing w:val="-4"/>
          <w:sz w:val="20"/>
        </w:rPr>
        <w:t> </w:t>
      </w:r>
      <w:r>
        <w:rPr>
          <w:b/>
          <w:i/>
          <w:spacing w:val="-2"/>
          <w:sz w:val="20"/>
        </w:rPr>
        <w:t>научиться?</w:t>
      </w:r>
    </w:p>
    <w:p>
      <w:pPr>
        <w:pStyle w:val="BodyText"/>
        <w:spacing w:line="228" w:lineRule="exact"/>
        <w:ind w:left="425" w:right="0" w:firstLine="0"/>
        <w:jc w:val="left"/>
      </w:pPr>
      <w:r>
        <w:rPr/>
        <w:t>Описание</w:t>
      </w:r>
      <w:r>
        <w:rPr>
          <w:spacing w:val="-7"/>
        </w:rPr>
        <w:t> </w:t>
      </w:r>
      <w:r>
        <w:rPr/>
        <w:t>метода</w:t>
      </w:r>
      <w:r>
        <w:rPr>
          <w:spacing w:val="-4"/>
        </w:rPr>
        <w:t> </w:t>
      </w:r>
      <w:r>
        <w:rPr/>
        <w:t>приводится</w:t>
      </w:r>
      <w:r>
        <w:rPr>
          <w:spacing w:val="-4"/>
        </w:rPr>
        <w:t> </w:t>
      </w:r>
      <w:r>
        <w:rPr/>
        <w:t>в</w:t>
      </w:r>
      <w:r>
        <w:rPr>
          <w:spacing w:val="-4"/>
        </w:rPr>
        <w:t> </w:t>
      </w:r>
      <w:r>
        <w:rPr>
          <w:spacing w:val="-2"/>
        </w:rPr>
        <w:t>Инструментарии.</w:t>
      </w:r>
    </w:p>
    <w:p>
      <w:pPr>
        <w:spacing w:line="228" w:lineRule="exact" w:before="109"/>
        <w:ind w:left="425" w:right="0" w:firstLine="0"/>
        <w:jc w:val="left"/>
        <w:rPr>
          <w:b/>
          <w:sz w:val="20"/>
        </w:rPr>
      </w:pPr>
      <w:r>
        <w:rPr>
          <w:b/>
          <w:sz w:val="20"/>
        </w:rPr>
        <w:t>Б.</w:t>
      </w:r>
      <w:r>
        <w:rPr>
          <w:b/>
          <w:spacing w:val="-12"/>
          <w:sz w:val="20"/>
        </w:rPr>
        <w:t> </w:t>
      </w:r>
      <w:r>
        <w:rPr>
          <w:b/>
          <w:sz w:val="20"/>
        </w:rPr>
        <w:t>Разрешение</w:t>
      </w:r>
      <w:r>
        <w:rPr>
          <w:b/>
          <w:spacing w:val="-10"/>
          <w:sz w:val="20"/>
        </w:rPr>
        <w:t> </w:t>
      </w:r>
      <w:r>
        <w:rPr>
          <w:b/>
          <w:sz w:val="20"/>
        </w:rPr>
        <w:t>ситуаций</w:t>
      </w:r>
      <w:r>
        <w:rPr>
          <w:b/>
          <w:spacing w:val="-11"/>
          <w:sz w:val="20"/>
        </w:rPr>
        <w:t> </w:t>
      </w:r>
      <w:r>
        <w:rPr>
          <w:b/>
          <w:sz w:val="20"/>
        </w:rPr>
        <w:t>культурного</w:t>
      </w:r>
      <w:r>
        <w:rPr>
          <w:b/>
          <w:spacing w:val="-9"/>
          <w:sz w:val="20"/>
        </w:rPr>
        <w:t> </w:t>
      </w:r>
      <w:r>
        <w:rPr>
          <w:b/>
          <w:spacing w:val="-2"/>
          <w:sz w:val="20"/>
        </w:rPr>
        <w:t>ассимилятора</w:t>
      </w:r>
    </w:p>
    <w:p>
      <w:pPr>
        <w:pStyle w:val="BodyText"/>
        <w:spacing w:line="235" w:lineRule="auto" w:before="2"/>
      </w:pPr>
      <w:r>
        <w:rPr>
          <w:b/>
          <w:i/>
        </w:rPr>
        <w:t>Общее описание</w:t>
      </w:r>
      <w:r>
        <w:rPr>
          <w:i/>
        </w:rPr>
        <w:t>. </w:t>
      </w:r>
      <w:r>
        <w:rPr/>
        <w:t>Культурный ассимилятор – разновидность метода кейсов или критических</w:t>
      </w:r>
      <w:r>
        <w:rPr>
          <w:spacing w:val="-4"/>
        </w:rPr>
        <w:t> </w:t>
      </w:r>
      <w:r>
        <w:rPr/>
        <w:t>инцидентов.</w:t>
      </w:r>
      <w:r>
        <w:rPr>
          <w:spacing w:val="-4"/>
        </w:rPr>
        <w:t> </w:t>
      </w:r>
      <w:r>
        <w:rPr/>
        <w:t>Он</w:t>
      </w:r>
      <w:r>
        <w:rPr>
          <w:spacing w:val="-4"/>
        </w:rPr>
        <w:t> </w:t>
      </w:r>
      <w:r>
        <w:rPr/>
        <w:t>представляет</w:t>
      </w:r>
      <w:r>
        <w:rPr>
          <w:spacing w:val="-4"/>
        </w:rPr>
        <w:t> </w:t>
      </w:r>
      <w:r>
        <w:rPr/>
        <w:t>собой</w:t>
      </w:r>
      <w:r>
        <w:rPr>
          <w:spacing w:val="-4"/>
        </w:rPr>
        <w:t> </w:t>
      </w:r>
      <w:r>
        <w:rPr/>
        <w:t>описание</w:t>
      </w:r>
      <w:r>
        <w:rPr>
          <w:spacing w:val="-4"/>
        </w:rPr>
        <w:t> </w:t>
      </w:r>
      <w:r>
        <w:rPr/>
        <w:t>ситуации</w:t>
      </w:r>
      <w:r>
        <w:rPr>
          <w:spacing w:val="-4"/>
        </w:rPr>
        <w:t> </w:t>
      </w:r>
      <w:r>
        <w:rPr/>
        <w:t>межкультурно- го взаимодействия, в которой возникает недопонимание между сторонами, и вопро- сами к этой ситуации. Культурные ассимиляторы предназначены для обучения кор- ректным атрибуциям, то есть формируют навык анализа ситуаций межкультурного взаимодействия</w:t>
      </w:r>
      <w:r>
        <w:rPr>
          <w:spacing w:val="-13"/>
        </w:rPr>
        <w:t> </w:t>
      </w:r>
      <w:r>
        <w:rPr/>
        <w:t>и</w:t>
      </w:r>
      <w:r>
        <w:rPr>
          <w:spacing w:val="-12"/>
        </w:rPr>
        <w:t> </w:t>
      </w:r>
      <w:r>
        <w:rPr/>
        <w:t>формулирования</w:t>
      </w:r>
      <w:r>
        <w:rPr>
          <w:spacing w:val="-13"/>
        </w:rPr>
        <w:t> </w:t>
      </w:r>
      <w:r>
        <w:rPr/>
        <w:t>наиболее</w:t>
      </w:r>
      <w:r>
        <w:rPr>
          <w:spacing w:val="-12"/>
        </w:rPr>
        <w:t> </w:t>
      </w:r>
      <w:r>
        <w:rPr/>
        <w:t>корректных</w:t>
      </w:r>
      <w:r>
        <w:rPr>
          <w:spacing w:val="-13"/>
        </w:rPr>
        <w:t> </w:t>
      </w:r>
      <w:r>
        <w:rPr/>
        <w:t>причин</w:t>
      </w:r>
      <w:r>
        <w:rPr>
          <w:spacing w:val="-12"/>
        </w:rPr>
        <w:t> </w:t>
      </w:r>
      <w:r>
        <w:rPr/>
        <w:t>поведения</w:t>
      </w:r>
      <w:r>
        <w:rPr>
          <w:spacing w:val="-13"/>
        </w:rPr>
        <w:t> </w:t>
      </w:r>
      <w:r>
        <w:rPr/>
        <w:t>человека из иной культуры.</w:t>
      </w:r>
    </w:p>
    <w:p>
      <w:pPr>
        <w:pStyle w:val="BodyText"/>
        <w:spacing w:line="215" w:lineRule="exact"/>
        <w:ind w:left="425" w:right="0" w:firstLine="0"/>
      </w:pPr>
      <w:r>
        <w:rPr/>
        <w:t>Существует</w:t>
      </w:r>
      <w:r>
        <w:rPr>
          <w:spacing w:val="-10"/>
        </w:rPr>
        <w:t> </w:t>
      </w:r>
      <w:r>
        <w:rPr/>
        <w:t>два</w:t>
      </w:r>
      <w:r>
        <w:rPr>
          <w:spacing w:val="-10"/>
        </w:rPr>
        <w:t> </w:t>
      </w:r>
      <w:r>
        <w:rPr/>
        <w:t>вида</w:t>
      </w:r>
      <w:r>
        <w:rPr>
          <w:spacing w:val="-10"/>
        </w:rPr>
        <w:t> </w:t>
      </w:r>
      <w:r>
        <w:rPr/>
        <w:t>культурных</w:t>
      </w:r>
      <w:r>
        <w:rPr>
          <w:spacing w:val="-10"/>
        </w:rPr>
        <w:t> </w:t>
      </w:r>
      <w:r>
        <w:rPr>
          <w:spacing w:val="-2"/>
        </w:rPr>
        <w:t>ассимиляторов:</w:t>
      </w:r>
    </w:p>
    <w:p>
      <w:pPr>
        <w:pStyle w:val="ListParagraph"/>
        <w:numPr>
          <w:ilvl w:val="0"/>
          <w:numId w:val="66"/>
        </w:numPr>
        <w:tabs>
          <w:tab w:pos="425" w:val="left" w:leader="none"/>
        </w:tabs>
        <w:spacing w:line="232" w:lineRule="auto" w:before="2" w:after="0"/>
        <w:ind w:left="425" w:right="139" w:hanging="284"/>
        <w:jc w:val="both"/>
        <w:rPr>
          <w:sz w:val="20"/>
        </w:rPr>
      </w:pPr>
      <w:r>
        <w:rPr>
          <w:sz w:val="20"/>
        </w:rPr>
        <w:t>общекультурный, в котором приводятся примеры взаимодействия людей из раз- </w:t>
      </w:r>
      <w:r>
        <w:rPr>
          <w:spacing w:val="-2"/>
          <w:sz w:val="20"/>
        </w:rPr>
        <w:t>ных</w:t>
      </w:r>
      <w:r>
        <w:rPr>
          <w:spacing w:val="-3"/>
          <w:sz w:val="20"/>
        </w:rPr>
        <w:t> </w:t>
      </w:r>
      <w:r>
        <w:rPr>
          <w:spacing w:val="-2"/>
          <w:sz w:val="20"/>
        </w:rPr>
        <w:t>культур;</w:t>
      </w:r>
      <w:r>
        <w:rPr>
          <w:spacing w:val="-3"/>
          <w:sz w:val="20"/>
        </w:rPr>
        <w:t> </w:t>
      </w:r>
      <w:r>
        <w:rPr>
          <w:spacing w:val="-2"/>
          <w:sz w:val="20"/>
        </w:rPr>
        <w:t>общекультурный</w:t>
      </w:r>
      <w:r>
        <w:rPr>
          <w:spacing w:val="-3"/>
          <w:sz w:val="20"/>
        </w:rPr>
        <w:t> </w:t>
      </w:r>
      <w:r>
        <w:rPr>
          <w:spacing w:val="-2"/>
          <w:sz w:val="20"/>
        </w:rPr>
        <w:t>ассимилятор</w:t>
      </w:r>
      <w:r>
        <w:rPr>
          <w:spacing w:val="-3"/>
          <w:sz w:val="20"/>
        </w:rPr>
        <w:t> </w:t>
      </w:r>
      <w:r>
        <w:rPr>
          <w:spacing w:val="-2"/>
          <w:sz w:val="20"/>
        </w:rPr>
        <w:t>развивает</w:t>
      </w:r>
      <w:r>
        <w:rPr>
          <w:spacing w:val="-3"/>
          <w:sz w:val="20"/>
        </w:rPr>
        <w:t> </w:t>
      </w:r>
      <w:r>
        <w:rPr>
          <w:spacing w:val="-2"/>
          <w:sz w:val="20"/>
        </w:rPr>
        <w:t>межкультурную</w:t>
      </w:r>
      <w:r>
        <w:rPr>
          <w:spacing w:val="-3"/>
          <w:sz w:val="20"/>
        </w:rPr>
        <w:t> </w:t>
      </w:r>
      <w:r>
        <w:rPr>
          <w:spacing w:val="-2"/>
          <w:sz w:val="20"/>
        </w:rPr>
        <w:t>компетент- </w:t>
      </w:r>
      <w:r>
        <w:rPr>
          <w:sz w:val="20"/>
        </w:rPr>
        <w:t>ность в целом, вне контекста отдельной культуры;</w:t>
      </w:r>
    </w:p>
    <w:p>
      <w:pPr>
        <w:pStyle w:val="ListParagraph"/>
        <w:numPr>
          <w:ilvl w:val="0"/>
          <w:numId w:val="66"/>
        </w:numPr>
        <w:tabs>
          <w:tab w:pos="425" w:val="left" w:leader="none"/>
        </w:tabs>
        <w:spacing w:line="232" w:lineRule="auto" w:before="0" w:after="0"/>
        <w:ind w:left="425" w:right="139" w:hanging="284"/>
        <w:jc w:val="both"/>
        <w:rPr>
          <w:sz w:val="20"/>
        </w:rPr>
      </w:pPr>
      <w:r>
        <w:rPr>
          <w:sz w:val="20"/>
        </w:rPr>
        <w:t>культурно-специфический, направленный на знакомство с нормами конкретной культуры; все ситуации культурно-специфического ассимилятора раскрывают </w:t>
      </w:r>
      <w:r>
        <w:rPr>
          <w:spacing w:val="-2"/>
          <w:sz w:val="20"/>
        </w:rPr>
        <w:t>нормы конкретной культуры, специфика которых выявляется во взаимодействии с </w:t>
      </w:r>
      <w:r>
        <w:rPr>
          <w:sz w:val="20"/>
        </w:rPr>
        <w:t>представителями той культуры, к которой принадлежат обучающиеся.</w:t>
      </w:r>
    </w:p>
    <w:p>
      <w:pPr>
        <w:pStyle w:val="BodyText"/>
        <w:spacing w:line="232" w:lineRule="auto"/>
      </w:pPr>
      <w:r>
        <w:rPr>
          <w:b/>
          <w:i/>
        </w:rPr>
        <w:t>Сильные стороны практики.</w:t>
      </w:r>
      <w:r>
        <w:rPr>
          <w:b/>
          <w:i/>
          <w:spacing w:val="-9"/>
        </w:rPr>
        <w:t> </w:t>
      </w:r>
      <w:r>
        <w:rPr/>
        <w:t>Культурный ассимилятор позволяет несовершен- нолетним иностранным гражданам на конкретных примерах освоить нормы прини- мающего общества и провести сопоставление с нормами культуры страны исхода.</w:t>
      </w:r>
    </w:p>
    <w:p>
      <w:pPr>
        <w:pStyle w:val="BodyText"/>
        <w:spacing w:line="232" w:lineRule="auto"/>
      </w:pPr>
      <w:r>
        <w:rPr>
          <w:b/>
          <w:i/>
        </w:rPr>
        <w:t>Требования к проведению. </w:t>
      </w:r>
      <w:r>
        <w:rPr/>
        <w:t>Наличие разработанных заданий культурного асси- милятора. Разработка культурного ассимилятора осуществляется в соответствии со строго прописанной процедурой, что позволяет получить надежный инструмент. Крайне не рекомендуется самостоятельно разрабатывать культурный ассимилятор, особенно не имея дополнительной подготовки в этом вопросе.</w:t>
      </w:r>
    </w:p>
    <w:p>
      <w:pPr>
        <w:pStyle w:val="BodyText"/>
        <w:spacing w:line="232" w:lineRule="auto"/>
      </w:pPr>
      <w:r>
        <w:rPr>
          <w:b/>
          <w:i/>
        </w:rPr>
        <w:t>Доказательность</w:t>
      </w:r>
      <w:r>
        <w:rPr>
          <w:b/>
          <w:i/>
          <w:spacing w:val="-13"/>
        </w:rPr>
        <w:t> </w:t>
      </w:r>
      <w:r>
        <w:rPr>
          <w:b/>
          <w:i/>
        </w:rPr>
        <w:t>практики.</w:t>
      </w:r>
      <w:r>
        <w:rPr>
          <w:b/>
          <w:i/>
          <w:spacing w:val="-12"/>
        </w:rPr>
        <w:t> </w:t>
      </w:r>
      <w:r>
        <w:rPr>
          <w:color w:val="231F20"/>
        </w:rPr>
        <w:t>Культурный</w:t>
      </w:r>
      <w:r>
        <w:rPr>
          <w:color w:val="231F20"/>
          <w:spacing w:val="-13"/>
        </w:rPr>
        <w:t> </w:t>
      </w:r>
      <w:r>
        <w:rPr>
          <w:color w:val="231F20"/>
        </w:rPr>
        <w:t>ассимилятор</w:t>
      </w:r>
      <w:r>
        <w:rPr>
          <w:color w:val="231F20"/>
          <w:spacing w:val="-12"/>
        </w:rPr>
        <w:t> </w:t>
      </w:r>
      <w:r>
        <w:rPr>
          <w:color w:val="231F20"/>
        </w:rPr>
        <w:t>представляет</w:t>
      </w:r>
      <w:r>
        <w:rPr>
          <w:color w:val="231F20"/>
          <w:spacing w:val="-13"/>
        </w:rPr>
        <w:t> </w:t>
      </w:r>
      <w:r>
        <w:rPr>
          <w:color w:val="231F20"/>
        </w:rPr>
        <w:t>собой</w:t>
      </w:r>
      <w:r>
        <w:rPr>
          <w:color w:val="231F20"/>
          <w:spacing w:val="-12"/>
        </w:rPr>
        <w:t> </w:t>
      </w:r>
      <w:r>
        <w:rPr>
          <w:color w:val="231F20"/>
        </w:rPr>
        <w:t>один из</w:t>
      </w:r>
      <w:r>
        <w:rPr>
          <w:color w:val="231F20"/>
          <w:spacing w:val="-6"/>
        </w:rPr>
        <w:t> </w:t>
      </w:r>
      <w:r>
        <w:rPr>
          <w:color w:val="231F20"/>
        </w:rPr>
        <w:t>наиболее</w:t>
      </w:r>
      <w:r>
        <w:rPr>
          <w:color w:val="231F20"/>
          <w:spacing w:val="-6"/>
        </w:rPr>
        <w:t> </w:t>
      </w:r>
      <w:r>
        <w:rPr>
          <w:color w:val="231F20"/>
        </w:rPr>
        <w:t>известных</w:t>
      </w:r>
      <w:r>
        <w:rPr>
          <w:color w:val="231F20"/>
          <w:spacing w:val="-6"/>
        </w:rPr>
        <w:t> </w:t>
      </w:r>
      <w:r>
        <w:rPr>
          <w:color w:val="231F20"/>
        </w:rPr>
        <w:t>методов</w:t>
      </w:r>
      <w:r>
        <w:rPr>
          <w:color w:val="231F20"/>
          <w:spacing w:val="-6"/>
        </w:rPr>
        <w:t> </w:t>
      </w:r>
      <w:r>
        <w:rPr>
          <w:color w:val="231F20"/>
        </w:rPr>
        <w:t>обучения</w:t>
      </w:r>
      <w:r>
        <w:rPr>
          <w:color w:val="231F20"/>
          <w:spacing w:val="-6"/>
        </w:rPr>
        <w:t> </w:t>
      </w:r>
      <w:r>
        <w:rPr>
          <w:color w:val="231F20"/>
        </w:rPr>
        <w:t>эффективному</w:t>
      </w:r>
      <w:r>
        <w:rPr>
          <w:color w:val="231F20"/>
          <w:spacing w:val="-6"/>
        </w:rPr>
        <w:t> </w:t>
      </w:r>
      <w:r>
        <w:rPr>
          <w:color w:val="231F20"/>
        </w:rPr>
        <w:t>кросс-культурному</w:t>
      </w:r>
      <w:r>
        <w:rPr>
          <w:color w:val="231F20"/>
          <w:spacing w:val="-6"/>
        </w:rPr>
        <w:t> </w:t>
      </w:r>
      <w:r>
        <w:rPr>
          <w:color w:val="231F20"/>
        </w:rPr>
        <w:t>взаимо- действию. Эффективность культурного ассимилятора была многократно доказана в различных</w:t>
      </w:r>
      <w:r>
        <w:rPr>
          <w:color w:val="231F20"/>
          <w:spacing w:val="-13"/>
        </w:rPr>
        <w:t> </w:t>
      </w:r>
      <w:r>
        <w:rPr>
          <w:color w:val="231F20"/>
        </w:rPr>
        <w:t>исследованиях</w:t>
      </w:r>
      <w:r>
        <w:rPr>
          <w:color w:val="231F20"/>
          <w:spacing w:val="-12"/>
        </w:rPr>
        <w:t> </w:t>
      </w:r>
      <w:r>
        <w:rPr>
          <w:color w:val="231F20"/>
        </w:rPr>
        <w:t>(Bhawuk,</w:t>
      </w:r>
      <w:r>
        <w:rPr>
          <w:color w:val="231F20"/>
          <w:spacing w:val="-13"/>
        </w:rPr>
        <w:t> </w:t>
      </w:r>
      <w:r>
        <w:rPr>
          <w:color w:val="231F20"/>
        </w:rPr>
        <w:t>1998,</w:t>
      </w:r>
      <w:r>
        <w:rPr>
          <w:color w:val="231F20"/>
          <w:spacing w:val="-12"/>
        </w:rPr>
        <w:t> </w:t>
      </w:r>
      <w:r>
        <w:rPr>
          <w:color w:val="231F20"/>
        </w:rPr>
        <w:t>Herfst,</w:t>
      </w:r>
      <w:r>
        <w:rPr>
          <w:color w:val="231F20"/>
          <w:spacing w:val="-13"/>
        </w:rPr>
        <w:t> </w:t>
      </w:r>
      <w:r>
        <w:rPr>
          <w:color w:val="231F20"/>
        </w:rPr>
        <w:t>Oudenhoven,</w:t>
      </w:r>
      <w:r>
        <w:rPr>
          <w:color w:val="231F20"/>
          <w:spacing w:val="-12"/>
        </w:rPr>
        <w:t> </w:t>
      </w:r>
      <w:r>
        <w:rPr>
          <w:color w:val="231F20"/>
        </w:rPr>
        <w:t>Timmerman,</w:t>
      </w:r>
      <w:r>
        <w:rPr>
          <w:color w:val="231F20"/>
          <w:spacing w:val="-13"/>
        </w:rPr>
        <w:t> </w:t>
      </w:r>
      <w:r>
        <w:rPr>
          <w:color w:val="231F20"/>
        </w:rPr>
        <w:t>2008,</w:t>
      </w:r>
      <w:r>
        <w:rPr>
          <w:color w:val="231F20"/>
          <w:spacing w:val="-12"/>
        </w:rPr>
        <w:t> </w:t>
      </w:r>
      <w:r>
        <w:rPr>
          <w:color w:val="231F20"/>
        </w:rPr>
        <w:t>Tran, Admiraal &amp;</w:t>
      </w:r>
      <w:r>
        <w:rPr>
          <w:color w:val="231F20"/>
          <w:spacing w:val="40"/>
        </w:rPr>
        <w:t> </w:t>
      </w:r>
      <w:r>
        <w:rPr>
          <w:color w:val="231F20"/>
        </w:rPr>
        <w:t>Saab, 2019).</w:t>
      </w:r>
    </w:p>
    <w:p>
      <w:pPr>
        <w:spacing w:line="215" w:lineRule="exact" w:before="0"/>
        <w:ind w:left="425" w:right="0" w:firstLine="0"/>
        <w:jc w:val="both"/>
        <w:rPr>
          <w:b/>
          <w:i/>
          <w:sz w:val="20"/>
        </w:rPr>
      </w:pPr>
      <w:r>
        <w:rPr>
          <w:b/>
          <w:i/>
          <w:sz w:val="20"/>
        </w:rPr>
        <w:t>Где</w:t>
      </w:r>
      <w:r>
        <w:rPr>
          <w:b/>
          <w:i/>
          <w:spacing w:val="-4"/>
          <w:sz w:val="20"/>
        </w:rPr>
        <w:t> </w:t>
      </w:r>
      <w:r>
        <w:rPr>
          <w:b/>
          <w:i/>
          <w:spacing w:val="-2"/>
          <w:sz w:val="20"/>
        </w:rPr>
        <w:t>научиться?</w:t>
      </w:r>
    </w:p>
    <w:p>
      <w:pPr>
        <w:pStyle w:val="BodyText"/>
        <w:spacing w:line="226" w:lineRule="exact"/>
        <w:ind w:left="425" w:right="0" w:firstLine="0"/>
      </w:pPr>
      <w:r>
        <w:rPr/>
        <w:t>Описание</w:t>
      </w:r>
      <w:r>
        <w:rPr>
          <w:spacing w:val="-7"/>
        </w:rPr>
        <w:t> </w:t>
      </w:r>
      <w:r>
        <w:rPr/>
        <w:t>метода</w:t>
      </w:r>
      <w:r>
        <w:rPr>
          <w:spacing w:val="-4"/>
        </w:rPr>
        <w:t> </w:t>
      </w:r>
      <w:r>
        <w:rPr/>
        <w:t>приводится</w:t>
      </w:r>
      <w:r>
        <w:rPr>
          <w:spacing w:val="-4"/>
        </w:rPr>
        <w:t> </w:t>
      </w:r>
      <w:r>
        <w:rPr/>
        <w:t>в</w:t>
      </w:r>
      <w:r>
        <w:rPr>
          <w:spacing w:val="-4"/>
        </w:rPr>
        <w:t> </w:t>
      </w:r>
      <w:r>
        <w:rPr>
          <w:spacing w:val="-2"/>
        </w:rPr>
        <w:t>Инструментарии.</w:t>
      </w:r>
    </w:p>
    <w:p>
      <w:pPr>
        <w:numPr>
          <w:ilvl w:val="2"/>
          <w:numId w:val="52"/>
        </w:numPr>
        <w:tabs>
          <w:tab w:pos="928" w:val="left" w:leader="none"/>
        </w:tabs>
        <w:spacing w:before="197"/>
        <w:ind w:left="928" w:right="0" w:hanging="500"/>
        <w:jc w:val="both"/>
        <w:rPr>
          <w:b/>
          <w:sz w:val="20"/>
        </w:rPr>
      </w:pPr>
      <w:r>
        <w:rPr>
          <w:b/>
          <w:color w:val="231F20"/>
          <w:sz w:val="20"/>
        </w:rPr>
        <w:t>Арт-терапевтические</w:t>
      </w:r>
      <w:r>
        <w:rPr>
          <w:b/>
          <w:color w:val="231F20"/>
          <w:spacing w:val="-9"/>
          <w:sz w:val="20"/>
        </w:rPr>
        <w:t> </w:t>
      </w:r>
      <w:r>
        <w:rPr>
          <w:b/>
          <w:color w:val="231F20"/>
          <w:sz w:val="20"/>
        </w:rPr>
        <w:t>приемы</w:t>
      </w:r>
      <w:r>
        <w:rPr>
          <w:b/>
          <w:color w:val="231F20"/>
          <w:spacing w:val="-6"/>
          <w:sz w:val="20"/>
        </w:rPr>
        <w:t> </w:t>
      </w:r>
      <w:r>
        <w:rPr>
          <w:b/>
          <w:color w:val="231F20"/>
          <w:sz w:val="20"/>
        </w:rPr>
        <w:t>поддержки</w:t>
      </w:r>
      <w:r>
        <w:rPr>
          <w:b/>
          <w:color w:val="231F20"/>
          <w:spacing w:val="-8"/>
          <w:sz w:val="20"/>
        </w:rPr>
        <w:t> </w:t>
      </w:r>
      <w:r>
        <w:rPr>
          <w:b/>
          <w:color w:val="231F20"/>
          <w:sz w:val="20"/>
        </w:rPr>
        <w:t>адаптации</w:t>
      </w:r>
      <w:r>
        <w:rPr>
          <w:b/>
          <w:color w:val="231F20"/>
          <w:spacing w:val="-7"/>
          <w:sz w:val="20"/>
        </w:rPr>
        <w:t> </w:t>
      </w:r>
      <w:r>
        <w:rPr>
          <w:b/>
          <w:color w:val="231F20"/>
          <w:sz w:val="20"/>
        </w:rPr>
        <w:t>на</w:t>
      </w:r>
      <w:r>
        <w:rPr>
          <w:b/>
          <w:color w:val="231F20"/>
          <w:spacing w:val="-6"/>
          <w:sz w:val="20"/>
        </w:rPr>
        <w:t> </w:t>
      </w:r>
      <w:r>
        <w:rPr>
          <w:b/>
          <w:color w:val="231F20"/>
          <w:sz w:val="20"/>
        </w:rPr>
        <w:t>новом</w:t>
      </w:r>
      <w:r>
        <w:rPr>
          <w:b/>
          <w:color w:val="231F20"/>
          <w:spacing w:val="-7"/>
          <w:sz w:val="20"/>
        </w:rPr>
        <w:t> </w:t>
      </w:r>
      <w:r>
        <w:rPr>
          <w:b/>
          <w:color w:val="231F20"/>
          <w:spacing w:val="-2"/>
          <w:sz w:val="20"/>
        </w:rPr>
        <w:t>месте</w:t>
      </w:r>
    </w:p>
    <w:p>
      <w:pPr>
        <w:pStyle w:val="BodyText"/>
        <w:spacing w:line="235" w:lineRule="auto" w:before="113"/>
      </w:pPr>
      <w:r>
        <w:rPr>
          <w:b/>
          <w:i/>
        </w:rPr>
        <w:t>Общее описание. </w:t>
      </w:r>
      <w:r>
        <w:rPr/>
        <w:t>Арт-терапевтические технологии поддержки адаптации на но- вом месте представляют собой вариант директивной арт-терапии, то есть психолог предлагает ребенку творческие задания, которые необходимо выполнить посред- ством рисования или другой продуктивной деятельности.</w:t>
      </w:r>
    </w:p>
    <w:p>
      <w:pPr>
        <w:pStyle w:val="BodyText"/>
        <w:spacing w:line="235" w:lineRule="auto" w:before="3"/>
      </w:pPr>
      <w:r>
        <w:rPr>
          <w:b/>
          <w:i/>
        </w:rPr>
        <w:t>Сильные</w:t>
      </w:r>
      <w:r>
        <w:rPr>
          <w:b/>
          <w:i/>
          <w:spacing w:val="40"/>
        </w:rPr>
        <w:t> </w:t>
      </w:r>
      <w:r>
        <w:rPr>
          <w:b/>
          <w:i/>
        </w:rPr>
        <w:t>стороны</w:t>
      </w:r>
      <w:r>
        <w:rPr>
          <w:b/>
          <w:i/>
          <w:spacing w:val="40"/>
        </w:rPr>
        <w:t> </w:t>
      </w:r>
      <w:r>
        <w:rPr>
          <w:b/>
          <w:i/>
        </w:rPr>
        <w:t>практики.</w:t>
      </w:r>
      <w:r>
        <w:rPr>
          <w:b/>
          <w:i/>
          <w:spacing w:val="-5"/>
        </w:rPr>
        <w:t> </w:t>
      </w:r>
      <w:r>
        <w:rPr/>
        <w:t>Арт-терапевтические</w:t>
      </w:r>
      <w:r>
        <w:rPr>
          <w:spacing w:val="40"/>
        </w:rPr>
        <w:t> </w:t>
      </w:r>
      <w:r>
        <w:rPr/>
        <w:t>технологии</w:t>
      </w:r>
      <w:r>
        <w:rPr>
          <w:spacing w:val="40"/>
        </w:rPr>
        <w:t> </w:t>
      </w:r>
      <w:r>
        <w:rPr/>
        <w:t>предоставля- ют ребенку-мигранту возможность эксплицировать амбивалентные или негативные мысли</w:t>
      </w:r>
      <w:r>
        <w:rPr>
          <w:spacing w:val="-13"/>
        </w:rPr>
        <w:t> </w:t>
      </w:r>
      <w:r>
        <w:rPr/>
        <w:t>и</w:t>
      </w:r>
      <w:r>
        <w:rPr>
          <w:spacing w:val="-12"/>
        </w:rPr>
        <w:t> </w:t>
      </w:r>
      <w:r>
        <w:rPr/>
        <w:t>переживания</w:t>
      </w:r>
      <w:r>
        <w:rPr>
          <w:spacing w:val="-13"/>
        </w:rPr>
        <w:t> </w:t>
      </w:r>
      <w:r>
        <w:rPr/>
        <w:t>даже</w:t>
      </w:r>
      <w:r>
        <w:rPr>
          <w:spacing w:val="-12"/>
        </w:rPr>
        <w:t> </w:t>
      </w:r>
      <w:r>
        <w:rPr/>
        <w:t>при</w:t>
      </w:r>
      <w:r>
        <w:rPr>
          <w:spacing w:val="-13"/>
        </w:rPr>
        <w:t> </w:t>
      </w:r>
      <w:r>
        <w:rPr/>
        <w:t>недостаточном</w:t>
      </w:r>
      <w:r>
        <w:rPr>
          <w:spacing w:val="-12"/>
        </w:rPr>
        <w:t> </w:t>
      </w:r>
      <w:r>
        <w:rPr/>
        <w:t>уровне</w:t>
      </w:r>
      <w:r>
        <w:rPr>
          <w:spacing w:val="-13"/>
        </w:rPr>
        <w:t> </w:t>
      </w:r>
      <w:r>
        <w:rPr/>
        <w:t>владения</w:t>
      </w:r>
      <w:r>
        <w:rPr>
          <w:spacing w:val="-12"/>
        </w:rPr>
        <w:t> </w:t>
      </w:r>
      <w:r>
        <w:rPr/>
        <w:t>русским</w:t>
      </w:r>
      <w:r>
        <w:rPr>
          <w:spacing w:val="-13"/>
        </w:rPr>
        <w:t> </w:t>
      </w:r>
      <w:r>
        <w:rPr/>
        <w:t>языком.</w:t>
      </w:r>
      <w:r>
        <w:rPr>
          <w:spacing w:val="-12"/>
        </w:rPr>
        <w:t> </w:t>
      </w:r>
      <w:r>
        <w:rPr/>
        <w:t>Со- здание арт-терапевтического продукта обеспечивает глубокую вовлеченность.</w:t>
      </w:r>
    </w:p>
    <w:p>
      <w:pPr>
        <w:pStyle w:val="BodyText"/>
        <w:spacing w:line="235" w:lineRule="auto" w:before="2"/>
      </w:pPr>
      <w:r>
        <w:rPr>
          <w:b/>
          <w:i/>
        </w:rPr>
        <w:t>Требования к проведению. </w:t>
      </w:r>
      <w:r>
        <w:rPr/>
        <w:t>Помещение для индивидуальной работы, необходи- мые материалы: бумага, карандаши, фломастеры, краски и пр.</w:t>
      </w:r>
    </w:p>
    <w:p>
      <w:pPr>
        <w:pStyle w:val="BodyText"/>
        <w:spacing w:after="0" w:line="235" w:lineRule="auto"/>
        <w:sectPr>
          <w:pgSz w:w="8400" w:h="11910"/>
          <w:pgMar w:header="0" w:footer="528"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line="235" w:lineRule="auto" w:before="113"/>
        <w:ind w:right="0"/>
        <w:jc w:val="left"/>
      </w:pPr>
      <w:r>
        <w:rPr>
          <w:b/>
          <w:i/>
        </w:rPr>
        <w:t>Доказательность</w:t>
      </w:r>
      <w:r>
        <w:rPr>
          <w:b/>
          <w:i/>
          <w:spacing w:val="24"/>
        </w:rPr>
        <w:t> </w:t>
      </w:r>
      <w:r>
        <w:rPr>
          <w:b/>
          <w:i/>
        </w:rPr>
        <w:t>практики.</w:t>
      </w:r>
      <w:r>
        <w:rPr>
          <w:b/>
          <w:i/>
          <w:spacing w:val="24"/>
        </w:rPr>
        <w:t> </w:t>
      </w:r>
      <w:r>
        <w:rPr/>
        <w:t>Эмпирические</w:t>
      </w:r>
      <w:r>
        <w:rPr>
          <w:spacing w:val="24"/>
        </w:rPr>
        <w:t> </w:t>
      </w:r>
      <w:r>
        <w:rPr/>
        <w:t>исследования</w:t>
      </w:r>
      <w:r>
        <w:rPr>
          <w:spacing w:val="24"/>
        </w:rPr>
        <w:t> </w:t>
      </w:r>
      <w:r>
        <w:rPr/>
        <w:t>доказывают</w:t>
      </w:r>
      <w:r>
        <w:rPr>
          <w:spacing w:val="24"/>
        </w:rPr>
        <w:t> </w:t>
      </w:r>
      <w:r>
        <w:rPr/>
        <w:t>эффек- тивность арт-терапии в работе с детьми-мигрантами (см. Раздел 1.3).</w:t>
      </w:r>
    </w:p>
    <w:p>
      <w:pPr>
        <w:spacing w:line="225" w:lineRule="exact" w:before="0"/>
        <w:ind w:left="425" w:right="0" w:firstLine="0"/>
        <w:jc w:val="left"/>
        <w:rPr>
          <w:b/>
          <w:i/>
          <w:sz w:val="20"/>
        </w:rPr>
      </w:pPr>
      <w:r>
        <w:rPr>
          <w:b/>
          <w:i/>
          <w:sz w:val="20"/>
        </w:rPr>
        <w:t>Где</w:t>
      </w:r>
      <w:r>
        <w:rPr>
          <w:b/>
          <w:i/>
          <w:spacing w:val="-4"/>
          <w:sz w:val="20"/>
        </w:rPr>
        <w:t> </w:t>
      </w:r>
      <w:r>
        <w:rPr>
          <w:b/>
          <w:i/>
          <w:spacing w:val="-2"/>
          <w:sz w:val="20"/>
        </w:rPr>
        <w:t>научиться?</w:t>
      </w:r>
    </w:p>
    <w:p>
      <w:pPr>
        <w:pStyle w:val="BodyText"/>
        <w:spacing w:line="228" w:lineRule="exact"/>
        <w:ind w:left="425" w:right="0" w:firstLine="0"/>
        <w:jc w:val="left"/>
      </w:pPr>
      <w:r>
        <w:rPr/>
        <w:t>Описание</w:t>
      </w:r>
      <w:r>
        <w:rPr>
          <w:spacing w:val="-7"/>
        </w:rPr>
        <w:t> </w:t>
      </w:r>
      <w:r>
        <w:rPr/>
        <w:t>метода</w:t>
      </w:r>
      <w:r>
        <w:rPr>
          <w:spacing w:val="-4"/>
        </w:rPr>
        <w:t> </w:t>
      </w:r>
      <w:r>
        <w:rPr/>
        <w:t>приводится</w:t>
      </w:r>
      <w:r>
        <w:rPr>
          <w:spacing w:val="-4"/>
        </w:rPr>
        <w:t> </w:t>
      </w:r>
      <w:r>
        <w:rPr/>
        <w:t>в</w:t>
      </w:r>
      <w:r>
        <w:rPr>
          <w:spacing w:val="-4"/>
        </w:rPr>
        <w:t> </w:t>
      </w:r>
      <w:r>
        <w:rPr>
          <w:spacing w:val="-2"/>
        </w:rPr>
        <w:t>Инструментарии.</w:t>
      </w:r>
    </w:p>
    <w:p>
      <w:pPr>
        <w:pStyle w:val="BodyText"/>
        <w:spacing w:after="0" w:line="228" w:lineRule="exact"/>
        <w:jc w:val="left"/>
        <w:sectPr>
          <w:pgSz w:w="8400" w:h="11910"/>
          <w:pgMar w:header="0" w:footer="528" w:top="400" w:bottom="740" w:left="425" w:right="425"/>
        </w:sectPr>
      </w:pPr>
    </w:p>
    <w:p>
      <w:pPr>
        <w:pStyle w:val="ListParagraph"/>
        <w:numPr>
          <w:ilvl w:val="1"/>
          <w:numId w:val="47"/>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Специфические</w:t>
      </w:r>
      <w:r>
        <w:rPr>
          <w:rFonts w:ascii="Georgia" w:hAnsi="Georgia"/>
          <w:color w:val="231F20"/>
          <w:spacing w:val="12"/>
          <w:sz w:val="18"/>
        </w:rPr>
        <w:t> </w:t>
      </w:r>
      <w:r>
        <w:rPr>
          <w:rFonts w:ascii="Georgia" w:hAnsi="Georgia"/>
          <w:color w:val="231F20"/>
          <w:sz w:val="18"/>
        </w:rPr>
        <w:t>техники</w:t>
      </w:r>
      <w:r>
        <w:rPr>
          <w:rFonts w:ascii="Georgia" w:hAnsi="Georgia"/>
          <w:color w:val="231F20"/>
          <w:spacing w:val="13"/>
          <w:sz w:val="18"/>
        </w:rPr>
        <w:t> </w:t>
      </w:r>
      <w:r>
        <w:rPr>
          <w:rFonts w:ascii="Georgia" w:hAnsi="Georgia"/>
          <w:color w:val="231F20"/>
          <w:sz w:val="18"/>
        </w:rPr>
        <w:t>для</w:t>
      </w:r>
      <w:r>
        <w:rPr>
          <w:rFonts w:ascii="Georgia" w:hAnsi="Georgia"/>
          <w:color w:val="231F20"/>
          <w:spacing w:val="13"/>
          <w:sz w:val="18"/>
        </w:rPr>
        <w:t> </w:t>
      </w:r>
      <w:r>
        <w:rPr>
          <w:rFonts w:ascii="Georgia" w:hAnsi="Georgia"/>
          <w:color w:val="231F20"/>
          <w:sz w:val="18"/>
        </w:rPr>
        <w:t>коррекционной</w:t>
      </w:r>
      <w:r>
        <w:rPr>
          <w:rFonts w:ascii="Georgia" w:hAnsi="Georgia"/>
          <w:color w:val="231F20"/>
          <w:spacing w:val="13"/>
          <w:sz w:val="18"/>
        </w:rPr>
        <w:t> </w:t>
      </w:r>
      <w:r>
        <w:rPr>
          <w:rFonts w:ascii="Georgia" w:hAnsi="Georgia"/>
          <w:color w:val="231F20"/>
          <w:sz w:val="18"/>
        </w:rPr>
        <w:t>и</w:t>
      </w:r>
      <w:r>
        <w:rPr>
          <w:rFonts w:ascii="Georgia" w:hAnsi="Georgia"/>
          <w:color w:val="231F20"/>
          <w:spacing w:val="13"/>
          <w:sz w:val="18"/>
        </w:rPr>
        <w:t> </w:t>
      </w:r>
      <w:r>
        <w:rPr>
          <w:rFonts w:ascii="Georgia" w:hAnsi="Georgia"/>
          <w:color w:val="231F20"/>
          <w:sz w:val="18"/>
        </w:rPr>
        <w:t>консультативной</w:t>
      </w:r>
      <w:r>
        <w:rPr>
          <w:rFonts w:ascii="Georgia" w:hAnsi="Georgia"/>
          <w:color w:val="231F20"/>
          <w:spacing w:val="13"/>
          <w:sz w:val="18"/>
        </w:rPr>
        <w:t> </w:t>
      </w:r>
      <w:r>
        <w:rPr>
          <w:rFonts w:ascii="Georgia" w:hAnsi="Georgia"/>
          <w:color w:val="231F20"/>
          <w:spacing w:val="-2"/>
          <w:sz w:val="18"/>
        </w:rPr>
        <w:t>работы...</w:t>
      </w:r>
    </w:p>
    <w:p>
      <w:pPr>
        <w:spacing w:line="206" w:lineRule="exact" w:before="114"/>
        <w:ind w:left="425" w:right="0" w:firstLine="0"/>
        <w:jc w:val="left"/>
        <w:rPr>
          <w:b/>
          <w:sz w:val="18"/>
        </w:rPr>
      </w:pPr>
      <w:r>
        <w:rPr>
          <w:b/>
          <w:color w:val="231F20"/>
          <w:spacing w:val="-2"/>
          <w:sz w:val="18"/>
        </w:rPr>
        <w:t>Литература</w:t>
      </w:r>
    </w:p>
    <w:p>
      <w:pPr>
        <w:pStyle w:val="ListParagraph"/>
        <w:numPr>
          <w:ilvl w:val="2"/>
          <w:numId w:val="47"/>
        </w:numPr>
        <w:tabs>
          <w:tab w:pos="708" w:val="left" w:leader="none"/>
        </w:tabs>
        <w:spacing w:line="240" w:lineRule="auto" w:before="0" w:after="0"/>
        <w:ind w:left="708" w:right="423" w:hanging="284"/>
        <w:jc w:val="left"/>
        <w:rPr>
          <w:sz w:val="18"/>
        </w:rPr>
      </w:pPr>
      <w:r>
        <w:rPr>
          <w:color w:val="231F20"/>
          <w:sz w:val="18"/>
        </w:rPr>
        <w:t>Ахрямкина</w:t>
      </w:r>
      <w:r>
        <w:rPr>
          <w:color w:val="231F20"/>
          <w:spacing w:val="-8"/>
          <w:sz w:val="18"/>
        </w:rPr>
        <w:t> </w:t>
      </w:r>
      <w:r>
        <w:rPr>
          <w:color w:val="231F20"/>
          <w:sz w:val="18"/>
        </w:rPr>
        <w:t>Т.А.,</w:t>
      </w:r>
      <w:r>
        <w:rPr>
          <w:color w:val="231F20"/>
          <w:spacing w:val="17"/>
          <w:sz w:val="18"/>
        </w:rPr>
        <w:t> </w:t>
      </w:r>
      <w:r>
        <w:rPr>
          <w:color w:val="231F20"/>
          <w:sz w:val="18"/>
        </w:rPr>
        <w:t>Чаус</w:t>
      </w:r>
      <w:r>
        <w:rPr>
          <w:color w:val="231F20"/>
          <w:spacing w:val="-8"/>
          <w:sz w:val="18"/>
        </w:rPr>
        <w:t> </w:t>
      </w:r>
      <w:r>
        <w:rPr>
          <w:color w:val="231F20"/>
          <w:sz w:val="18"/>
        </w:rPr>
        <w:t>И.Н.</w:t>
      </w:r>
      <w:r>
        <w:rPr>
          <w:color w:val="231F20"/>
          <w:spacing w:val="17"/>
          <w:sz w:val="18"/>
        </w:rPr>
        <w:t> </w:t>
      </w:r>
      <w:r>
        <w:rPr>
          <w:color w:val="231F20"/>
          <w:sz w:val="18"/>
        </w:rPr>
        <w:t>Психологическое</w:t>
      </w:r>
      <w:r>
        <w:rPr>
          <w:color w:val="231F20"/>
          <w:spacing w:val="17"/>
          <w:sz w:val="18"/>
        </w:rPr>
        <w:t> </w:t>
      </w:r>
      <w:r>
        <w:rPr>
          <w:color w:val="231F20"/>
          <w:sz w:val="18"/>
        </w:rPr>
        <w:t>благополучие</w:t>
      </w:r>
      <w:r>
        <w:rPr>
          <w:color w:val="231F20"/>
          <w:spacing w:val="17"/>
          <w:sz w:val="18"/>
        </w:rPr>
        <w:t> </w:t>
      </w:r>
      <w:r>
        <w:rPr>
          <w:color w:val="231F20"/>
          <w:sz w:val="18"/>
        </w:rPr>
        <w:t>учащихся</w:t>
      </w:r>
      <w:r>
        <w:rPr>
          <w:color w:val="231F20"/>
          <w:spacing w:val="17"/>
          <w:sz w:val="18"/>
        </w:rPr>
        <w:t> </w:t>
      </w:r>
      <w:r>
        <w:rPr>
          <w:color w:val="231F20"/>
          <w:sz w:val="18"/>
        </w:rPr>
        <w:t>в</w:t>
      </w:r>
      <w:r>
        <w:rPr>
          <w:color w:val="231F20"/>
          <w:spacing w:val="17"/>
          <w:sz w:val="18"/>
        </w:rPr>
        <w:t> </w:t>
      </w:r>
      <w:r>
        <w:rPr>
          <w:color w:val="231F20"/>
          <w:sz w:val="18"/>
        </w:rPr>
        <w:t>образова- тельной среде: монография. – Самара: СФ ГБОУ ВПО МГПУ, 2012. – 104 с.</w:t>
      </w:r>
    </w:p>
    <w:p>
      <w:pPr>
        <w:pStyle w:val="ListParagraph"/>
        <w:numPr>
          <w:ilvl w:val="2"/>
          <w:numId w:val="47"/>
        </w:numPr>
        <w:tabs>
          <w:tab w:pos="708" w:val="left" w:leader="none"/>
        </w:tabs>
        <w:spacing w:line="240" w:lineRule="auto" w:before="0" w:after="0"/>
        <w:ind w:left="708" w:right="423" w:hanging="284"/>
        <w:jc w:val="both"/>
        <w:rPr>
          <w:sz w:val="18"/>
        </w:rPr>
      </w:pPr>
      <w:r>
        <w:rPr>
          <w:color w:val="231F20"/>
          <w:sz w:val="18"/>
        </w:rPr>
        <w:t>Верченова</w:t>
      </w:r>
      <w:r>
        <w:rPr>
          <w:color w:val="231F20"/>
          <w:spacing w:val="-6"/>
          <w:sz w:val="18"/>
        </w:rPr>
        <w:t> </w:t>
      </w:r>
      <w:r>
        <w:rPr>
          <w:color w:val="231F20"/>
          <w:sz w:val="18"/>
        </w:rPr>
        <w:t>Е.А. О применении социометрии в кросс-культурном исследовании (на материале</w:t>
      </w:r>
      <w:r>
        <w:rPr>
          <w:color w:val="231F20"/>
          <w:spacing w:val="-11"/>
          <w:sz w:val="18"/>
        </w:rPr>
        <w:t> </w:t>
      </w:r>
      <w:r>
        <w:rPr>
          <w:color w:val="231F20"/>
          <w:sz w:val="18"/>
        </w:rPr>
        <w:t>китайских</w:t>
      </w:r>
      <w:r>
        <w:rPr>
          <w:color w:val="231F20"/>
          <w:spacing w:val="-11"/>
          <w:sz w:val="18"/>
        </w:rPr>
        <w:t> </w:t>
      </w:r>
      <w:r>
        <w:rPr>
          <w:color w:val="231F20"/>
          <w:sz w:val="18"/>
        </w:rPr>
        <w:t>студентов)</w:t>
      </w:r>
      <w:r>
        <w:rPr>
          <w:color w:val="231F20"/>
          <w:spacing w:val="-11"/>
          <w:sz w:val="18"/>
        </w:rPr>
        <w:t> </w:t>
      </w:r>
      <w:r>
        <w:rPr>
          <w:color w:val="231F20"/>
          <w:sz w:val="18"/>
        </w:rPr>
        <w:t>//</w:t>
      </w:r>
      <w:r>
        <w:rPr>
          <w:color w:val="231F20"/>
          <w:spacing w:val="-11"/>
          <w:sz w:val="18"/>
        </w:rPr>
        <w:t> </w:t>
      </w:r>
      <w:r>
        <w:rPr>
          <w:color w:val="231F20"/>
          <w:sz w:val="18"/>
        </w:rPr>
        <w:t>Социальная</w:t>
      </w:r>
      <w:r>
        <w:rPr>
          <w:color w:val="231F20"/>
          <w:spacing w:val="-11"/>
          <w:sz w:val="18"/>
        </w:rPr>
        <w:t> </w:t>
      </w:r>
      <w:r>
        <w:rPr>
          <w:color w:val="231F20"/>
          <w:sz w:val="18"/>
        </w:rPr>
        <w:t>психология</w:t>
      </w:r>
      <w:r>
        <w:rPr>
          <w:color w:val="231F20"/>
          <w:spacing w:val="-11"/>
          <w:sz w:val="18"/>
        </w:rPr>
        <w:t> </w:t>
      </w:r>
      <w:r>
        <w:rPr>
          <w:color w:val="231F20"/>
          <w:sz w:val="18"/>
        </w:rPr>
        <w:t>и</w:t>
      </w:r>
      <w:r>
        <w:rPr>
          <w:color w:val="231F20"/>
          <w:spacing w:val="-11"/>
          <w:sz w:val="18"/>
        </w:rPr>
        <w:t> </w:t>
      </w:r>
      <w:r>
        <w:rPr>
          <w:color w:val="231F20"/>
          <w:sz w:val="18"/>
        </w:rPr>
        <w:t>общество.</w:t>
      </w:r>
      <w:r>
        <w:rPr>
          <w:color w:val="231F20"/>
          <w:spacing w:val="-11"/>
          <w:sz w:val="18"/>
        </w:rPr>
        <w:t> </w:t>
      </w:r>
      <w:r>
        <w:rPr>
          <w:color w:val="231F20"/>
          <w:sz w:val="18"/>
        </w:rPr>
        <w:t>2014.</w:t>
      </w:r>
      <w:r>
        <w:rPr>
          <w:color w:val="231F20"/>
          <w:spacing w:val="-11"/>
          <w:sz w:val="18"/>
        </w:rPr>
        <w:t> </w:t>
      </w:r>
      <w:r>
        <w:rPr>
          <w:color w:val="231F20"/>
          <w:sz w:val="18"/>
        </w:rPr>
        <w:t>Том</w:t>
      </w:r>
      <w:r>
        <w:rPr>
          <w:color w:val="231F20"/>
          <w:spacing w:val="-11"/>
          <w:sz w:val="18"/>
        </w:rPr>
        <w:t> </w:t>
      </w:r>
      <w:r>
        <w:rPr>
          <w:color w:val="231F20"/>
          <w:sz w:val="18"/>
        </w:rPr>
        <w:t>5.</w:t>
      </w:r>
    </w:p>
    <w:p>
      <w:pPr>
        <w:spacing w:line="202" w:lineRule="exact" w:before="0"/>
        <w:ind w:left="708" w:right="0" w:firstLine="0"/>
        <w:jc w:val="both"/>
        <w:rPr>
          <w:sz w:val="18"/>
        </w:rPr>
      </w:pPr>
      <w:r>
        <w:rPr>
          <w:color w:val="231F20"/>
          <w:sz w:val="18"/>
        </w:rPr>
        <w:t>№</w:t>
      </w:r>
      <w:r>
        <w:rPr>
          <w:color w:val="231F20"/>
          <w:spacing w:val="-1"/>
          <w:sz w:val="18"/>
        </w:rPr>
        <w:t> </w:t>
      </w:r>
      <w:r>
        <w:rPr>
          <w:color w:val="231F20"/>
          <w:sz w:val="18"/>
        </w:rPr>
        <w:t>3. С. </w:t>
      </w:r>
      <w:r>
        <w:rPr>
          <w:color w:val="231F20"/>
          <w:spacing w:val="-2"/>
          <w:sz w:val="18"/>
        </w:rPr>
        <w:t>142–150</w:t>
      </w:r>
    </w:p>
    <w:p>
      <w:pPr>
        <w:pStyle w:val="ListParagraph"/>
        <w:numPr>
          <w:ilvl w:val="2"/>
          <w:numId w:val="47"/>
        </w:numPr>
        <w:tabs>
          <w:tab w:pos="708" w:val="left" w:leader="none"/>
        </w:tabs>
        <w:spacing w:line="204" w:lineRule="exact" w:before="0" w:after="0"/>
        <w:ind w:left="708" w:right="0" w:hanging="283"/>
        <w:jc w:val="both"/>
        <w:rPr>
          <w:sz w:val="18"/>
        </w:rPr>
      </w:pPr>
      <w:r>
        <w:rPr>
          <w:color w:val="231F20"/>
          <w:sz w:val="18"/>
        </w:rPr>
        <w:t>Герман</w:t>
      </w:r>
      <w:r>
        <w:rPr>
          <w:color w:val="231F20"/>
          <w:spacing w:val="-6"/>
          <w:sz w:val="18"/>
        </w:rPr>
        <w:t> </w:t>
      </w:r>
      <w:r>
        <w:rPr>
          <w:color w:val="231F20"/>
          <w:sz w:val="18"/>
        </w:rPr>
        <w:t>Дж.</w:t>
      </w:r>
      <w:r>
        <w:rPr>
          <w:color w:val="231F20"/>
          <w:spacing w:val="-5"/>
          <w:sz w:val="18"/>
        </w:rPr>
        <w:t> </w:t>
      </w:r>
      <w:r>
        <w:rPr>
          <w:color w:val="231F20"/>
          <w:sz w:val="18"/>
        </w:rPr>
        <w:t>Травма</w:t>
      </w:r>
      <w:r>
        <w:rPr>
          <w:color w:val="231F20"/>
          <w:spacing w:val="-5"/>
          <w:sz w:val="18"/>
        </w:rPr>
        <w:t> </w:t>
      </w:r>
      <w:r>
        <w:rPr>
          <w:color w:val="231F20"/>
          <w:sz w:val="18"/>
        </w:rPr>
        <w:t>и</w:t>
      </w:r>
      <w:r>
        <w:rPr>
          <w:color w:val="231F20"/>
          <w:spacing w:val="-6"/>
          <w:sz w:val="18"/>
        </w:rPr>
        <w:t> </w:t>
      </w:r>
      <w:r>
        <w:rPr>
          <w:color w:val="231F20"/>
          <w:sz w:val="18"/>
        </w:rPr>
        <w:t>исцеление.</w:t>
      </w:r>
      <w:r>
        <w:rPr>
          <w:color w:val="231F20"/>
          <w:spacing w:val="-5"/>
          <w:sz w:val="18"/>
        </w:rPr>
        <w:t> </w:t>
      </w:r>
      <w:r>
        <w:rPr>
          <w:color w:val="231F20"/>
          <w:sz w:val="18"/>
        </w:rPr>
        <w:t>–</w:t>
      </w:r>
      <w:r>
        <w:rPr>
          <w:color w:val="231F20"/>
          <w:spacing w:val="-5"/>
          <w:sz w:val="18"/>
        </w:rPr>
        <w:t> </w:t>
      </w:r>
      <w:r>
        <w:rPr>
          <w:color w:val="231F20"/>
          <w:sz w:val="18"/>
        </w:rPr>
        <w:t>М.,</w:t>
      </w:r>
      <w:r>
        <w:rPr>
          <w:color w:val="231F20"/>
          <w:spacing w:val="-5"/>
          <w:sz w:val="18"/>
        </w:rPr>
        <w:t> </w:t>
      </w:r>
      <w:r>
        <w:rPr>
          <w:color w:val="231F20"/>
          <w:spacing w:val="-2"/>
          <w:sz w:val="18"/>
        </w:rPr>
        <w:t>2022.</w:t>
      </w:r>
    </w:p>
    <w:p>
      <w:pPr>
        <w:pStyle w:val="ListParagraph"/>
        <w:numPr>
          <w:ilvl w:val="2"/>
          <w:numId w:val="47"/>
        </w:numPr>
        <w:tabs>
          <w:tab w:pos="708" w:val="left" w:leader="none"/>
        </w:tabs>
        <w:spacing w:line="237" w:lineRule="auto" w:before="0" w:after="0"/>
        <w:ind w:left="708" w:right="423" w:hanging="284"/>
        <w:jc w:val="both"/>
        <w:rPr>
          <w:sz w:val="18"/>
        </w:rPr>
      </w:pPr>
      <w:r>
        <w:rPr>
          <w:color w:val="231F20"/>
          <w:sz w:val="18"/>
        </w:rPr>
        <w:t>Детские</w:t>
      </w:r>
      <w:r>
        <w:rPr>
          <w:color w:val="231F20"/>
          <w:spacing w:val="-5"/>
          <w:sz w:val="18"/>
        </w:rPr>
        <w:t> </w:t>
      </w:r>
      <w:r>
        <w:rPr>
          <w:color w:val="231F20"/>
          <w:sz w:val="18"/>
        </w:rPr>
        <w:t>реакции</w:t>
      </w:r>
      <w:r>
        <w:rPr>
          <w:color w:val="231F20"/>
          <w:spacing w:val="-5"/>
          <w:sz w:val="18"/>
        </w:rPr>
        <w:t> </w:t>
      </w:r>
      <w:r>
        <w:rPr>
          <w:color w:val="231F20"/>
          <w:sz w:val="18"/>
        </w:rPr>
        <w:t>на</w:t>
      </w:r>
      <w:r>
        <w:rPr>
          <w:color w:val="231F20"/>
          <w:spacing w:val="-5"/>
          <w:sz w:val="18"/>
        </w:rPr>
        <w:t> </w:t>
      </w:r>
      <w:r>
        <w:rPr>
          <w:color w:val="231F20"/>
          <w:sz w:val="18"/>
        </w:rPr>
        <w:t>травму</w:t>
      </w:r>
      <w:r>
        <w:rPr>
          <w:color w:val="231F20"/>
          <w:spacing w:val="-5"/>
          <w:sz w:val="18"/>
        </w:rPr>
        <w:t> </w:t>
      </w:r>
      <w:r>
        <w:rPr>
          <w:color w:val="231F20"/>
          <w:sz w:val="18"/>
        </w:rPr>
        <w:t>и</w:t>
      </w:r>
      <w:r>
        <w:rPr>
          <w:color w:val="231F20"/>
          <w:spacing w:val="-5"/>
          <w:sz w:val="18"/>
        </w:rPr>
        <w:t> </w:t>
      </w:r>
      <w:r>
        <w:rPr>
          <w:color w:val="231F20"/>
          <w:sz w:val="18"/>
        </w:rPr>
        <w:t>первая</w:t>
      </w:r>
      <w:r>
        <w:rPr>
          <w:color w:val="231F20"/>
          <w:spacing w:val="-5"/>
          <w:sz w:val="18"/>
        </w:rPr>
        <w:t> </w:t>
      </w:r>
      <w:r>
        <w:rPr>
          <w:color w:val="231F20"/>
          <w:sz w:val="18"/>
        </w:rPr>
        <w:t>помощь</w:t>
      </w:r>
      <w:r>
        <w:rPr>
          <w:color w:val="231F20"/>
          <w:spacing w:val="-5"/>
          <w:sz w:val="18"/>
        </w:rPr>
        <w:t> </w:t>
      </w:r>
      <w:r>
        <w:rPr>
          <w:color w:val="231F20"/>
          <w:sz w:val="18"/>
        </w:rPr>
        <w:t>(по</w:t>
      </w:r>
      <w:r>
        <w:rPr>
          <w:color w:val="231F20"/>
          <w:spacing w:val="-5"/>
          <w:sz w:val="18"/>
        </w:rPr>
        <w:t> </w:t>
      </w:r>
      <w:r>
        <w:rPr>
          <w:color w:val="231F20"/>
          <w:sz w:val="18"/>
        </w:rPr>
        <w:t>R.</w:t>
      </w:r>
      <w:r>
        <w:rPr>
          <w:color w:val="231F20"/>
          <w:spacing w:val="-5"/>
          <w:sz w:val="18"/>
        </w:rPr>
        <w:t> </w:t>
      </w:r>
      <w:r>
        <w:rPr>
          <w:color w:val="231F20"/>
          <w:sz w:val="18"/>
        </w:rPr>
        <w:t>Pynoos</w:t>
      </w:r>
      <w:r>
        <w:rPr>
          <w:color w:val="231F20"/>
          <w:spacing w:val="-5"/>
          <w:sz w:val="18"/>
        </w:rPr>
        <w:t> </w:t>
      </w:r>
      <w:r>
        <w:rPr>
          <w:color w:val="231F20"/>
          <w:sz w:val="18"/>
        </w:rPr>
        <w:t>&amp;</w:t>
      </w:r>
      <w:r>
        <w:rPr>
          <w:color w:val="231F20"/>
          <w:spacing w:val="-5"/>
          <w:sz w:val="18"/>
        </w:rPr>
        <w:t> </w:t>
      </w:r>
      <w:r>
        <w:rPr>
          <w:color w:val="231F20"/>
          <w:sz w:val="18"/>
        </w:rPr>
        <w:t>R.</w:t>
      </w:r>
      <w:r>
        <w:rPr>
          <w:color w:val="231F20"/>
          <w:spacing w:val="-5"/>
          <w:sz w:val="18"/>
        </w:rPr>
        <w:t> </w:t>
      </w:r>
      <w:r>
        <w:rPr>
          <w:color w:val="231F20"/>
          <w:sz w:val="18"/>
        </w:rPr>
        <w:t>Nader).</w:t>
      </w:r>
      <w:r>
        <w:rPr>
          <w:color w:val="231F20"/>
          <w:spacing w:val="-5"/>
          <w:sz w:val="18"/>
        </w:rPr>
        <w:t> </w:t>
      </w:r>
      <w:r>
        <w:rPr>
          <w:color w:val="231F20"/>
          <w:sz w:val="18"/>
        </w:rPr>
        <w:t>Материалы I</w:t>
      </w:r>
      <w:r>
        <w:rPr>
          <w:color w:val="231F20"/>
          <w:spacing w:val="-12"/>
          <w:sz w:val="18"/>
        </w:rPr>
        <w:t> </w:t>
      </w:r>
      <w:r>
        <w:rPr>
          <w:color w:val="231F20"/>
          <w:sz w:val="18"/>
        </w:rPr>
        <w:t>Российской</w:t>
      </w:r>
      <w:r>
        <w:rPr>
          <w:color w:val="231F20"/>
          <w:spacing w:val="-11"/>
          <w:sz w:val="18"/>
        </w:rPr>
        <w:t> </w:t>
      </w:r>
      <w:r>
        <w:rPr>
          <w:color w:val="231F20"/>
          <w:sz w:val="18"/>
        </w:rPr>
        <w:t>школы</w:t>
      </w:r>
      <w:r>
        <w:rPr>
          <w:color w:val="231F20"/>
          <w:spacing w:val="-11"/>
          <w:sz w:val="18"/>
        </w:rPr>
        <w:t> </w:t>
      </w:r>
      <w:r>
        <w:rPr>
          <w:color w:val="231F20"/>
          <w:sz w:val="18"/>
        </w:rPr>
        <w:t>по</w:t>
      </w:r>
      <w:r>
        <w:rPr>
          <w:color w:val="231F20"/>
          <w:spacing w:val="-11"/>
          <w:sz w:val="18"/>
        </w:rPr>
        <w:t> </w:t>
      </w:r>
      <w:r>
        <w:rPr>
          <w:color w:val="231F20"/>
          <w:sz w:val="18"/>
        </w:rPr>
        <w:t>работе</w:t>
      </w:r>
      <w:r>
        <w:rPr>
          <w:color w:val="231F20"/>
          <w:spacing w:val="-12"/>
          <w:sz w:val="18"/>
        </w:rPr>
        <w:t> </w:t>
      </w:r>
      <w:r>
        <w:rPr>
          <w:color w:val="231F20"/>
          <w:sz w:val="18"/>
        </w:rPr>
        <w:t>с</w:t>
      </w:r>
      <w:r>
        <w:rPr>
          <w:color w:val="231F20"/>
          <w:spacing w:val="-11"/>
          <w:sz w:val="18"/>
        </w:rPr>
        <w:t> </w:t>
      </w:r>
      <w:r>
        <w:rPr>
          <w:color w:val="231F20"/>
          <w:sz w:val="18"/>
        </w:rPr>
        <w:t>посттравматическим</w:t>
      </w:r>
      <w:r>
        <w:rPr>
          <w:color w:val="231F20"/>
          <w:spacing w:val="-11"/>
          <w:sz w:val="18"/>
        </w:rPr>
        <w:t> </w:t>
      </w:r>
      <w:r>
        <w:rPr>
          <w:color w:val="231F20"/>
          <w:sz w:val="18"/>
        </w:rPr>
        <w:t>стрессом</w:t>
      </w:r>
      <w:r>
        <w:rPr>
          <w:color w:val="231F20"/>
          <w:spacing w:val="-11"/>
          <w:sz w:val="18"/>
        </w:rPr>
        <w:t> </w:t>
      </w:r>
      <w:r>
        <w:rPr>
          <w:color w:val="231F20"/>
          <w:sz w:val="18"/>
        </w:rPr>
        <w:t>//</w:t>
      </w:r>
      <w:r>
        <w:rPr>
          <w:color w:val="231F20"/>
          <w:spacing w:val="-12"/>
          <w:sz w:val="18"/>
        </w:rPr>
        <w:t> </w:t>
      </w:r>
      <w:r>
        <w:rPr>
          <w:color w:val="231F20"/>
          <w:sz w:val="18"/>
        </w:rPr>
        <w:t>Вестник</w:t>
      </w:r>
      <w:r>
        <w:rPr>
          <w:color w:val="231F20"/>
          <w:spacing w:val="-11"/>
          <w:sz w:val="18"/>
        </w:rPr>
        <w:t> </w:t>
      </w:r>
      <w:r>
        <w:rPr>
          <w:color w:val="231F20"/>
          <w:sz w:val="18"/>
        </w:rPr>
        <w:t>РАТЭПП. Вып. 2. – СПб., 1995. – С. 29.</w:t>
      </w:r>
    </w:p>
    <w:p>
      <w:pPr>
        <w:pStyle w:val="ListParagraph"/>
        <w:numPr>
          <w:ilvl w:val="2"/>
          <w:numId w:val="47"/>
        </w:numPr>
        <w:tabs>
          <w:tab w:pos="708" w:val="left" w:leader="none"/>
        </w:tabs>
        <w:spacing w:line="237" w:lineRule="auto" w:before="0" w:after="0"/>
        <w:ind w:left="708" w:right="423" w:hanging="284"/>
        <w:jc w:val="both"/>
        <w:rPr>
          <w:sz w:val="18"/>
        </w:rPr>
      </w:pPr>
      <w:r>
        <w:rPr>
          <w:color w:val="231F20"/>
          <w:sz w:val="18"/>
        </w:rPr>
        <w:t>Выготский</w:t>
      </w:r>
      <w:r>
        <w:rPr>
          <w:color w:val="231F20"/>
          <w:spacing w:val="-5"/>
          <w:sz w:val="18"/>
        </w:rPr>
        <w:t> </w:t>
      </w:r>
      <w:r>
        <w:rPr>
          <w:color w:val="231F20"/>
          <w:sz w:val="18"/>
        </w:rPr>
        <w:t>Л.С. Игра и ее роль в психическом развитии ребенка // Вопросы психо- логии № 6 1966 Стр. 62–68.</w:t>
      </w:r>
    </w:p>
    <w:p>
      <w:pPr>
        <w:pStyle w:val="ListParagraph"/>
        <w:numPr>
          <w:ilvl w:val="2"/>
          <w:numId w:val="47"/>
        </w:numPr>
        <w:tabs>
          <w:tab w:pos="708" w:val="left" w:leader="none"/>
        </w:tabs>
        <w:spacing w:line="237" w:lineRule="auto" w:before="0" w:after="0"/>
        <w:ind w:left="708" w:right="423" w:hanging="284"/>
        <w:jc w:val="both"/>
        <w:rPr>
          <w:sz w:val="18"/>
        </w:rPr>
      </w:pPr>
      <w:r>
        <w:rPr>
          <w:color w:val="231F20"/>
          <w:sz w:val="18"/>
        </w:rPr>
        <w:t>Екимова</w:t>
      </w:r>
      <w:r>
        <w:rPr>
          <w:color w:val="231F20"/>
          <w:spacing w:val="-6"/>
          <w:sz w:val="18"/>
        </w:rPr>
        <w:t> </w:t>
      </w:r>
      <w:r>
        <w:rPr>
          <w:color w:val="231F20"/>
          <w:sz w:val="18"/>
        </w:rPr>
        <w:t>В.И., Лучникова</w:t>
      </w:r>
      <w:r>
        <w:rPr>
          <w:color w:val="231F20"/>
          <w:spacing w:val="-6"/>
          <w:sz w:val="18"/>
        </w:rPr>
        <w:t> </w:t>
      </w:r>
      <w:r>
        <w:rPr>
          <w:color w:val="231F20"/>
          <w:sz w:val="18"/>
        </w:rPr>
        <w:t>Е.П. Комплексная психологическая травма как послед- ствие</w:t>
      </w:r>
      <w:r>
        <w:rPr>
          <w:color w:val="231F20"/>
          <w:spacing w:val="20"/>
          <w:sz w:val="18"/>
        </w:rPr>
        <w:t> </w:t>
      </w:r>
      <w:r>
        <w:rPr>
          <w:color w:val="231F20"/>
          <w:sz w:val="18"/>
        </w:rPr>
        <w:t>экстремального</w:t>
      </w:r>
      <w:r>
        <w:rPr>
          <w:color w:val="231F20"/>
          <w:spacing w:val="20"/>
          <w:sz w:val="18"/>
        </w:rPr>
        <w:t> </w:t>
      </w:r>
      <w:r>
        <w:rPr>
          <w:color w:val="231F20"/>
          <w:sz w:val="18"/>
        </w:rPr>
        <w:t>стресса</w:t>
      </w:r>
      <w:r>
        <w:rPr>
          <w:color w:val="231F20"/>
          <w:spacing w:val="20"/>
          <w:sz w:val="18"/>
        </w:rPr>
        <w:t> </w:t>
      </w:r>
      <w:r>
        <w:rPr>
          <w:color w:val="231F20"/>
          <w:sz w:val="18"/>
        </w:rPr>
        <w:t>Современная</w:t>
      </w:r>
      <w:r>
        <w:rPr>
          <w:color w:val="231F20"/>
          <w:spacing w:val="20"/>
          <w:sz w:val="18"/>
        </w:rPr>
        <w:t> </w:t>
      </w:r>
      <w:r>
        <w:rPr>
          <w:color w:val="231F20"/>
          <w:sz w:val="18"/>
        </w:rPr>
        <w:t>зарубежная</w:t>
      </w:r>
      <w:r>
        <w:rPr>
          <w:color w:val="231F20"/>
          <w:spacing w:val="20"/>
          <w:sz w:val="18"/>
        </w:rPr>
        <w:t> </w:t>
      </w:r>
      <w:r>
        <w:rPr>
          <w:color w:val="231F20"/>
          <w:sz w:val="18"/>
        </w:rPr>
        <w:t>психология,</w:t>
      </w:r>
      <w:r>
        <w:rPr>
          <w:color w:val="231F20"/>
          <w:spacing w:val="20"/>
          <w:sz w:val="18"/>
        </w:rPr>
        <w:t> </w:t>
      </w:r>
      <w:r>
        <w:rPr>
          <w:color w:val="231F20"/>
          <w:sz w:val="18"/>
        </w:rPr>
        <w:t>2020.</w:t>
      </w:r>
      <w:r>
        <w:rPr>
          <w:color w:val="231F20"/>
          <w:spacing w:val="20"/>
          <w:sz w:val="18"/>
        </w:rPr>
        <w:t> </w:t>
      </w:r>
      <w:r>
        <w:rPr>
          <w:color w:val="231F20"/>
          <w:sz w:val="18"/>
        </w:rPr>
        <w:t>–</w:t>
      </w:r>
      <w:r>
        <w:rPr>
          <w:color w:val="231F20"/>
          <w:spacing w:val="20"/>
          <w:sz w:val="18"/>
        </w:rPr>
        <w:t> </w:t>
      </w:r>
      <w:r>
        <w:rPr>
          <w:color w:val="231F20"/>
          <w:sz w:val="18"/>
        </w:rPr>
        <w:t>Т.</w:t>
      </w:r>
      <w:r>
        <w:rPr>
          <w:color w:val="231F20"/>
          <w:spacing w:val="-4"/>
          <w:sz w:val="18"/>
        </w:rPr>
        <w:t> </w:t>
      </w:r>
      <w:r>
        <w:rPr>
          <w:color w:val="231F20"/>
          <w:sz w:val="18"/>
        </w:rPr>
        <w:t>9.</w:t>
      </w:r>
    </w:p>
    <w:p>
      <w:pPr>
        <w:spacing w:line="202" w:lineRule="exact" w:before="0"/>
        <w:ind w:left="708" w:right="0" w:firstLine="0"/>
        <w:jc w:val="both"/>
        <w:rPr>
          <w:sz w:val="18"/>
        </w:rPr>
      </w:pPr>
      <w:r>
        <w:rPr>
          <w:color w:val="231F20"/>
          <w:sz w:val="18"/>
        </w:rPr>
        <w:t>№</w:t>
      </w:r>
      <w:r>
        <w:rPr>
          <w:color w:val="231F20"/>
          <w:spacing w:val="44"/>
          <w:sz w:val="18"/>
        </w:rPr>
        <w:t> </w:t>
      </w:r>
      <w:r>
        <w:rPr>
          <w:color w:val="231F20"/>
          <w:sz w:val="18"/>
        </w:rPr>
        <w:t>1. – С. </w:t>
      </w:r>
      <w:r>
        <w:rPr>
          <w:color w:val="231F20"/>
          <w:spacing w:val="-2"/>
          <w:sz w:val="18"/>
        </w:rPr>
        <w:t>50–61.</w:t>
      </w:r>
    </w:p>
    <w:p>
      <w:pPr>
        <w:pStyle w:val="ListParagraph"/>
        <w:numPr>
          <w:ilvl w:val="2"/>
          <w:numId w:val="47"/>
        </w:numPr>
        <w:tabs>
          <w:tab w:pos="708" w:val="left" w:leader="none"/>
        </w:tabs>
        <w:spacing w:line="237" w:lineRule="auto" w:before="0" w:after="0"/>
        <w:ind w:left="708" w:right="423" w:hanging="284"/>
        <w:jc w:val="both"/>
        <w:rPr>
          <w:sz w:val="18"/>
        </w:rPr>
      </w:pPr>
      <w:r>
        <w:rPr>
          <w:color w:val="231F20"/>
          <w:sz w:val="18"/>
        </w:rPr>
        <w:t>Казенная</w:t>
      </w:r>
      <w:r>
        <w:rPr>
          <w:color w:val="231F20"/>
          <w:spacing w:val="-8"/>
          <w:sz w:val="18"/>
        </w:rPr>
        <w:t> </w:t>
      </w:r>
      <w:r>
        <w:rPr>
          <w:color w:val="231F20"/>
          <w:sz w:val="18"/>
        </w:rPr>
        <w:t>Е.В.</w:t>
      </w:r>
      <w:r>
        <w:rPr>
          <w:color w:val="231F20"/>
          <w:spacing w:val="-9"/>
          <w:sz w:val="18"/>
        </w:rPr>
        <w:t> </w:t>
      </w:r>
      <w:r>
        <w:rPr>
          <w:color w:val="231F20"/>
          <w:sz w:val="18"/>
        </w:rPr>
        <w:t>Современные</w:t>
      </w:r>
      <w:r>
        <w:rPr>
          <w:color w:val="231F20"/>
          <w:spacing w:val="-9"/>
          <w:sz w:val="18"/>
        </w:rPr>
        <w:t> </w:t>
      </w:r>
      <w:r>
        <w:rPr>
          <w:color w:val="231F20"/>
          <w:sz w:val="18"/>
        </w:rPr>
        <w:t>зарубежные</w:t>
      </w:r>
      <w:r>
        <w:rPr>
          <w:color w:val="231F20"/>
          <w:spacing w:val="-9"/>
          <w:sz w:val="18"/>
        </w:rPr>
        <w:t> </w:t>
      </w:r>
      <w:r>
        <w:rPr>
          <w:color w:val="231F20"/>
          <w:sz w:val="18"/>
        </w:rPr>
        <w:t>исследования</w:t>
      </w:r>
      <w:r>
        <w:rPr>
          <w:color w:val="231F20"/>
          <w:spacing w:val="-9"/>
          <w:sz w:val="18"/>
        </w:rPr>
        <w:t> </w:t>
      </w:r>
      <w:r>
        <w:rPr>
          <w:color w:val="231F20"/>
          <w:sz w:val="18"/>
        </w:rPr>
        <w:t>посттравматического</w:t>
      </w:r>
      <w:r>
        <w:rPr>
          <w:color w:val="231F20"/>
          <w:spacing w:val="-9"/>
          <w:sz w:val="18"/>
        </w:rPr>
        <w:t> </w:t>
      </w:r>
      <w:r>
        <w:rPr>
          <w:color w:val="231F20"/>
          <w:sz w:val="18"/>
        </w:rPr>
        <w:t>стрес- сового</w:t>
      </w:r>
      <w:r>
        <w:rPr>
          <w:color w:val="231F20"/>
          <w:spacing w:val="-12"/>
          <w:sz w:val="18"/>
        </w:rPr>
        <w:t> </w:t>
      </w:r>
      <w:r>
        <w:rPr>
          <w:color w:val="231F20"/>
          <w:sz w:val="18"/>
        </w:rPr>
        <w:t>расстройства</w:t>
      </w:r>
      <w:r>
        <w:rPr>
          <w:color w:val="231F20"/>
          <w:spacing w:val="-11"/>
          <w:sz w:val="18"/>
        </w:rPr>
        <w:t> </w:t>
      </w:r>
      <w:r>
        <w:rPr>
          <w:color w:val="231F20"/>
          <w:sz w:val="18"/>
        </w:rPr>
        <w:t>и</w:t>
      </w:r>
      <w:r>
        <w:rPr>
          <w:color w:val="231F20"/>
          <w:spacing w:val="-11"/>
          <w:sz w:val="18"/>
        </w:rPr>
        <w:t> </w:t>
      </w:r>
      <w:r>
        <w:rPr>
          <w:color w:val="231F20"/>
          <w:sz w:val="18"/>
        </w:rPr>
        <w:t>его</w:t>
      </w:r>
      <w:r>
        <w:rPr>
          <w:color w:val="231F20"/>
          <w:spacing w:val="-11"/>
          <w:sz w:val="18"/>
        </w:rPr>
        <w:t> </w:t>
      </w:r>
      <w:r>
        <w:rPr>
          <w:color w:val="231F20"/>
          <w:sz w:val="18"/>
        </w:rPr>
        <w:t>лечения</w:t>
      </w:r>
      <w:r>
        <w:rPr>
          <w:color w:val="231F20"/>
          <w:spacing w:val="-12"/>
          <w:sz w:val="18"/>
        </w:rPr>
        <w:t> </w:t>
      </w:r>
      <w:r>
        <w:rPr>
          <w:color w:val="231F20"/>
          <w:sz w:val="18"/>
        </w:rPr>
        <w:t>эффективными</w:t>
      </w:r>
      <w:r>
        <w:rPr>
          <w:color w:val="231F20"/>
          <w:spacing w:val="-11"/>
          <w:sz w:val="18"/>
        </w:rPr>
        <w:t> </w:t>
      </w:r>
      <w:r>
        <w:rPr>
          <w:color w:val="231F20"/>
          <w:sz w:val="18"/>
        </w:rPr>
        <w:t>психотерапевтическими...</w:t>
      </w:r>
      <w:r>
        <w:rPr>
          <w:color w:val="231F20"/>
          <w:spacing w:val="-11"/>
          <w:sz w:val="18"/>
        </w:rPr>
        <w:t> </w:t>
      </w:r>
      <w:r>
        <w:rPr>
          <w:color w:val="231F20"/>
          <w:sz w:val="18"/>
        </w:rPr>
        <w:t>Совре- менная зарубежная психология, 2020. – Т. 9. № 4. – С. 110–119.</w:t>
      </w:r>
    </w:p>
    <w:p>
      <w:pPr>
        <w:pStyle w:val="ListParagraph"/>
        <w:numPr>
          <w:ilvl w:val="2"/>
          <w:numId w:val="47"/>
        </w:numPr>
        <w:tabs>
          <w:tab w:pos="708" w:val="left" w:leader="none"/>
        </w:tabs>
        <w:spacing w:line="237" w:lineRule="auto" w:before="0" w:after="0"/>
        <w:ind w:left="708" w:right="423" w:hanging="284"/>
        <w:jc w:val="both"/>
        <w:rPr>
          <w:sz w:val="18"/>
        </w:rPr>
      </w:pPr>
      <w:r>
        <w:rPr>
          <w:color w:val="231F20"/>
          <w:sz w:val="18"/>
        </w:rPr>
        <w:t>Как помочь детям понять пугающие события. / Пер. Ю. Колчинской. Center for </w:t>
      </w:r>
      <w:r>
        <w:rPr>
          <w:color w:val="231F20"/>
          <w:sz w:val="18"/>
        </w:rPr>
        <w:t>the Study of Traumatic Stress, Uniformed Services University, US.</w:t>
      </w:r>
    </w:p>
    <w:p>
      <w:pPr>
        <w:pStyle w:val="ListParagraph"/>
        <w:numPr>
          <w:ilvl w:val="2"/>
          <w:numId w:val="47"/>
        </w:numPr>
        <w:tabs>
          <w:tab w:pos="708" w:val="left" w:leader="none"/>
        </w:tabs>
        <w:spacing w:line="237" w:lineRule="auto" w:before="0" w:after="0"/>
        <w:ind w:left="708" w:right="423" w:hanging="284"/>
        <w:jc w:val="both"/>
        <w:rPr>
          <w:sz w:val="18"/>
        </w:rPr>
      </w:pPr>
      <w:r>
        <w:rPr>
          <w:color w:val="231F20"/>
          <w:sz w:val="18"/>
        </w:rPr>
        <w:t>Как справляться со стрессом у детей после кризиса. Перевод. CSTS / Кафедра пси- хиатрии</w:t>
      </w:r>
      <w:r>
        <w:rPr>
          <w:color w:val="231F20"/>
          <w:spacing w:val="-4"/>
          <w:sz w:val="18"/>
        </w:rPr>
        <w:t> </w:t>
      </w:r>
      <w:r>
        <w:rPr>
          <w:color w:val="231F20"/>
          <w:sz w:val="18"/>
        </w:rPr>
        <w:t>/</w:t>
      </w:r>
      <w:r>
        <w:rPr>
          <w:color w:val="231F20"/>
          <w:spacing w:val="-4"/>
          <w:sz w:val="18"/>
        </w:rPr>
        <w:t> </w:t>
      </w:r>
      <w:r>
        <w:rPr>
          <w:color w:val="231F20"/>
          <w:sz w:val="18"/>
        </w:rPr>
        <w:t>Военно-медицинский</w:t>
      </w:r>
      <w:r>
        <w:rPr>
          <w:color w:val="231F20"/>
          <w:spacing w:val="-4"/>
          <w:sz w:val="18"/>
        </w:rPr>
        <w:t> </w:t>
      </w:r>
      <w:r>
        <w:rPr>
          <w:color w:val="231F20"/>
          <w:sz w:val="18"/>
        </w:rPr>
        <w:t>университет.</w:t>
      </w:r>
      <w:r>
        <w:rPr>
          <w:color w:val="231F20"/>
          <w:spacing w:val="-4"/>
          <w:sz w:val="18"/>
        </w:rPr>
        <w:t> </w:t>
      </w:r>
      <w:r>
        <w:rPr>
          <w:color w:val="231F20"/>
          <w:sz w:val="18"/>
        </w:rPr>
        <w:t>4301</w:t>
      </w:r>
      <w:r>
        <w:rPr>
          <w:color w:val="231F20"/>
          <w:spacing w:val="-4"/>
          <w:sz w:val="18"/>
        </w:rPr>
        <w:t> </w:t>
      </w:r>
      <w:r>
        <w:rPr>
          <w:color w:val="231F20"/>
          <w:sz w:val="18"/>
        </w:rPr>
        <w:t>Jones</w:t>
      </w:r>
      <w:r>
        <w:rPr>
          <w:color w:val="231F20"/>
          <w:spacing w:val="-4"/>
          <w:sz w:val="18"/>
        </w:rPr>
        <w:t> </w:t>
      </w:r>
      <w:r>
        <w:rPr>
          <w:color w:val="231F20"/>
          <w:sz w:val="18"/>
        </w:rPr>
        <w:t>Bridge</w:t>
      </w:r>
      <w:r>
        <w:rPr>
          <w:color w:val="231F20"/>
          <w:spacing w:val="-4"/>
          <w:sz w:val="18"/>
        </w:rPr>
        <w:t> </w:t>
      </w:r>
      <w:r>
        <w:rPr>
          <w:color w:val="231F20"/>
          <w:sz w:val="18"/>
        </w:rPr>
        <w:t>Road,</w:t>
      </w:r>
      <w:r>
        <w:rPr>
          <w:color w:val="231F20"/>
          <w:spacing w:val="-4"/>
          <w:sz w:val="18"/>
        </w:rPr>
        <w:t> </w:t>
      </w:r>
      <w:r>
        <w:rPr>
          <w:color w:val="231F20"/>
          <w:sz w:val="18"/>
        </w:rPr>
        <w:t>Bethesda,</w:t>
      </w:r>
      <w:r>
        <w:rPr>
          <w:color w:val="231F20"/>
          <w:spacing w:val="-4"/>
          <w:sz w:val="18"/>
        </w:rPr>
        <w:t> </w:t>
      </w:r>
      <w:r>
        <w:rPr>
          <w:color w:val="231F20"/>
          <w:sz w:val="18"/>
        </w:rPr>
        <w:t>MD 20814-4799 | </w:t>
      </w:r>
      <w:hyperlink r:id="rId78">
        <w:r>
          <w:rPr>
            <w:color w:val="231F20"/>
            <w:sz w:val="18"/>
          </w:rPr>
          <w:t>www.CSTSonline.org.</w:t>
        </w:r>
      </w:hyperlink>
    </w:p>
    <w:p>
      <w:pPr>
        <w:pStyle w:val="ListParagraph"/>
        <w:numPr>
          <w:ilvl w:val="2"/>
          <w:numId w:val="47"/>
        </w:numPr>
        <w:tabs>
          <w:tab w:pos="708" w:val="left" w:leader="none"/>
        </w:tabs>
        <w:spacing w:line="237" w:lineRule="auto" w:before="0" w:after="0"/>
        <w:ind w:left="708" w:right="423" w:hanging="284"/>
        <w:jc w:val="both"/>
        <w:rPr>
          <w:sz w:val="18"/>
        </w:rPr>
      </w:pPr>
      <w:r>
        <w:rPr>
          <w:color w:val="231F20"/>
          <w:sz w:val="18"/>
        </w:rPr>
        <w:t>Карабанова</w:t>
      </w:r>
      <w:r>
        <w:rPr>
          <w:color w:val="231F20"/>
          <w:spacing w:val="-8"/>
          <w:sz w:val="18"/>
        </w:rPr>
        <w:t> </w:t>
      </w:r>
      <w:r>
        <w:rPr>
          <w:color w:val="231F20"/>
          <w:sz w:val="18"/>
        </w:rPr>
        <w:t>О.А.</w:t>
      </w:r>
      <w:r>
        <w:rPr>
          <w:color w:val="231F20"/>
          <w:spacing w:val="-10"/>
          <w:sz w:val="18"/>
        </w:rPr>
        <w:t> </w:t>
      </w:r>
      <w:r>
        <w:rPr>
          <w:color w:val="231F20"/>
          <w:sz w:val="18"/>
        </w:rPr>
        <w:t>Проблемы</w:t>
      </w:r>
      <w:r>
        <w:rPr>
          <w:color w:val="231F20"/>
          <w:spacing w:val="-10"/>
          <w:sz w:val="18"/>
        </w:rPr>
        <w:t> </w:t>
      </w:r>
      <w:r>
        <w:rPr>
          <w:color w:val="231F20"/>
          <w:sz w:val="18"/>
        </w:rPr>
        <w:t>коррекции</w:t>
      </w:r>
      <w:r>
        <w:rPr>
          <w:color w:val="231F20"/>
          <w:spacing w:val="-10"/>
          <w:sz w:val="18"/>
        </w:rPr>
        <w:t> </w:t>
      </w:r>
      <w:r>
        <w:rPr>
          <w:color w:val="231F20"/>
          <w:sz w:val="18"/>
        </w:rPr>
        <w:t>психического</w:t>
      </w:r>
      <w:r>
        <w:rPr>
          <w:color w:val="231F20"/>
          <w:spacing w:val="-10"/>
          <w:sz w:val="18"/>
        </w:rPr>
        <w:t> </w:t>
      </w:r>
      <w:r>
        <w:rPr>
          <w:color w:val="231F20"/>
          <w:sz w:val="18"/>
        </w:rPr>
        <w:t>развития</w:t>
      </w:r>
      <w:r>
        <w:rPr>
          <w:color w:val="231F20"/>
          <w:spacing w:val="-10"/>
          <w:sz w:val="18"/>
        </w:rPr>
        <w:t> </w:t>
      </w:r>
      <w:r>
        <w:rPr>
          <w:color w:val="231F20"/>
          <w:sz w:val="18"/>
        </w:rPr>
        <w:t>в</w:t>
      </w:r>
      <w:r>
        <w:rPr>
          <w:color w:val="231F20"/>
          <w:spacing w:val="-10"/>
          <w:sz w:val="18"/>
        </w:rPr>
        <w:t> </w:t>
      </w:r>
      <w:r>
        <w:rPr>
          <w:color w:val="231F20"/>
          <w:sz w:val="18"/>
        </w:rPr>
        <w:t>детском</w:t>
      </w:r>
      <w:r>
        <w:rPr>
          <w:color w:val="231F20"/>
          <w:spacing w:val="-10"/>
          <w:sz w:val="18"/>
        </w:rPr>
        <w:t> </w:t>
      </w:r>
      <w:r>
        <w:rPr>
          <w:color w:val="231F20"/>
          <w:sz w:val="18"/>
        </w:rPr>
        <w:t>возрасте</w:t>
      </w:r>
      <w:r>
        <w:rPr>
          <w:color w:val="231F20"/>
          <w:spacing w:val="-10"/>
          <w:sz w:val="18"/>
        </w:rPr>
        <w:t> </w:t>
      </w:r>
      <w:r>
        <w:rPr>
          <w:color w:val="231F20"/>
          <w:sz w:val="18"/>
        </w:rPr>
        <w:t>// Возрастно-психологический</w:t>
      </w:r>
      <w:r>
        <w:rPr>
          <w:color w:val="231F20"/>
          <w:spacing w:val="-3"/>
          <w:sz w:val="18"/>
        </w:rPr>
        <w:t> </w:t>
      </w:r>
      <w:r>
        <w:rPr>
          <w:color w:val="231F20"/>
          <w:sz w:val="18"/>
        </w:rPr>
        <w:t>подход</w:t>
      </w:r>
      <w:r>
        <w:rPr>
          <w:color w:val="231F20"/>
          <w:spacing w:val="-3"/>
          <w:sz w:val="18"/>
        </w:rPr>
        <w:t> </w:t>
      </w:r>
      <w:r>
        <w:rPr>
          <w:color w:val="231F20"/>
          <w:sz w:val="18"/>
        </w:rPr>
        <w:t>в</w:t>
      </w:r>
      <w:r>
        <w:rPr>
          <w:color w:val="231F20"/>
          <w:spacing w:val="-3"/>
          <w:sz w:val="18"/>
        </w:rPr>
        <w:t> </w:t>
      </w:r>
      <w:r>
        <w:rPr>
          <w:color w:val="231F20"/>
          <w:sz w:val="18"/>
        </w:rPr>
        <w:t>консультировании</w:t>
      </w:r>
      <w:r>
        <w:rPr>
          <w:color w:val="231F20"/>
          <w:spacing w:val="-3"/>
          <w:sz w:val="18"/>
        </w:rPr>
        <w:t> </w:t>
      </w:r>
      <w:r>
        <w:rPr>
          <w:color w:val="231F20"/>
          <w:sz w:val="18"/>
        </w:rPr>
        <w:t>детей</w:t>
      </w:r>
      <w:r>
        <w:rPr>
          <w:color w:val="231F20"/>
          <w:spacing w:val="-3"/>
          <w:sz w:val="18"/>
        </w:rPr>
        <w:t> </w:t>
      </w:r>
      <w:r>
        <w:rPr>
          <w:color w:val="231F20"/>
          <w:sz w:val="18"/>
        </w:rPr>
        <w:t>и</w:t>
      </w:r>
      <w:r>
        <w:rPr>
          <w:color w:val="231F20"/>
          <w:spacing w:val="-3"/>
          <w:sz w:val="18"/>
        </w:rPr>
        <w:t> </w:t>
      </w:r>
      <w:r>
        <w:rPr>
          <w:color w:val="231F20"/>
          <w:sz w:val="18"/>
        </w:rPr>
        <w:t>подростков.</w:t>
      </w:r>
      <w:r>
        <w:rPr>
          <w:color w:val="231F20"/>
          <w:spacing w:val="-3"/>
          <w:sz w:val="18"/>
        </w:rPr>
        <w:t> </w:t>
      </w:r>
      <w:r>
        <w:rPr>
          <w:color w:val="231F20"/>
          <w:sz w:val="18"/>
        </w:rPr>
        <w:t>–</w:t>
      </w:r>
      <w:r>
        <w:rPr>
          <w:color w:val="231F20"/>
          <w:spacing w:val="-3"/>
          <w:sz w:val="18"/>
        </w:rPr>
        <w:t> </w:t>
      </w:r>
      <w:r>
        <w:rPr>
          <w:color w:val="231F20"/>
          <w:sz w:val="18"/>
        </w:rPr>
        <w:t>М.: Издательский центр «Академия», 2002.</w:t>
      </w:r>
    </w:p>
    <w:p>
      <w:pPr>
        <w:pStyle w:val="ListParagraph"/>
        <w:numPr>
          <w:ilvl w:val="2"/>
          <w:numId w:val="47"/>
        </w:numPr>
        <w:tabs>
          <w:tab w:pos="708" w:val="left" w:leader="none"/>
        </w:tabs>
        <w:spacing w:line="201" w:lineRule="exact" w:before="0" w:after="0"/>
        <w:ind w:left="708" w:right="0" w:hanging="283"/>
        <w:jc w:val="both"/>
        <w:rPr>
          <w:sz w:val="18"/>
        </w:rPr>
      </w:pPr>
      <w:r>
        <w:rPr>
          <w:color w:val="231F20"/>
          <w:sz w:val="18"/>
        </w:rPr>
        <w:t>Колодзин</w:t>
      </w:r>
      <w:r>
        <w:rPr>
          <w:color w:val="231F20"/>
          <w:spacing w:val="-4"/>
          <w:sz w:val="18"/>
        </w:rPr>
        <w:t> </w:t>
      </w:r>
      <w:r>
        <w:rPr>
          <w:color w:val="231F20"/>
          <w:sz w:val="18"/>
        </w:rPr>
        <w:t>Б.</w:t>
      </w:r>
      <w:r>
        <w:rPr>
          <w:color w:val="231F20"/>
          <w:spacing w:val="-2"/>
          <w:sz w:val="18"/>
        </w:rPr>
        <w:t> </w:t>
      </w:r>
      <w:r>
        <w:rPr>
          <w:color w:val="231F20"/>
          <w:sz w:val="18"/>
        </w:rPr>
        <w:t>Как</w:t>
      </w:r>
      <w:r>
        <w:rPr>
          <w:color w:val="231F20"/>
          <w:spacing w:val="-2"/>
          <w:sz w:val="18"/>
        </w:rPr>
        <w:t> </w:t>
      </w:r>
      <w:r>
        <w:rPr>
          <w:color w:val="231F20"/>
          <w:sz w:val="18"/>
        </w:rPr>
        <w:t>жить</w:t>
      </w:r>
      <w:r>
        <w:rPr>
          <w:color w:val="231F20"/>
          <w:spacing w:val="-3"/>
          <w:sz w:val="18"/>
        </w:rPr>
        <w:t> </w:t>
      </w:r>
      <w:r>
        <w:rPr>
          <w:color w:val="231F20"/>
          <w:sz w:val="18"/>
        </w:rPr>
        <w:t>после</w:t>
      </w:r>
      <w:r>
        <w:rPr>
          <w:color w:val="231F20"/>
          <w:spacing w:val="-2"/>
          <w:sz w:val="18"/>
        </w:rPr>
        <w:t> </w:t>
      </w:r>
      <w:r>
        <w:rPr>
          <w:color w:val="231F20"/>
          <w:sz w:val="18"/>
        </w:rPr>
        <w:t>психической</w:t>
      </w:r>
      <w:r>
        <w:rPr>
          <w:color w:val="231F20"/>
          <w:spacing w:val="-3"/>
          <w:sz w:val="18"/>
        </w:rPr>
        <w:t> </w:t>
      </w:r>
      <w:r>
        <w:rPr>
          <w:color w:val="231F20"/>
          <w:sz w:val="18"/>
        </w:rPr>
        <w:t>травмы.</w:t>
      </w:r>
      <w:r>
        <w:rPr>
          <w:color w:val="231F20"/>
          <w:spacing w:val="-3"/>
          <w:sz w:val="18"/>
        </w:rPr>
        <w:t> </w:t>
      </w:r>
      <w:r>
        <w:rPr>
          <w:color w:val="231F20"/>
          <w:sz w:val="18"/>
        </w:rPr>
        <w:t>–</w:t>
      </w:r>
      <w:r>
        <w:rPr>
          <w:color w:val="231F20"/>
          <w:spacing w:val="-2"/>
          <w:sz w:val="18"/>
        </w:rPr>
        <w:t> </w:t>
      </w:r>
      <w:r>
        <w:rPr>
          <w:color w:val="231F20"/>
          <w:sz w:val="18"/>
        </w:rPr>
        <w:t>М.,</w:t>
      </w:r>
      <w:r>
        <w:rPr>
          <w:color w:val="231F20"/>
          <w:spacing w:val="-2"/>
          <w:sz w:val="18"/>
        </w:rPr>
        <w:t> </w:t>
      </w:r>
      <w:r>
        <w:rPr>
          <w:color w:val="231F20"/>
          <w:sz w:val="18"/>
        </w:rPr>
        <w:t>1992.</w:t>
      </w:r>
      <w:r>
        <w:rPr>
          <w:color w:val="231F20"/>
          <w:spacing w:val="-3"/>
          <w:sz w:val="18"/>
        </w:rPr>
        <w:t> </w:t>
      </w:r>
      <w:r>
        <w:rPr>
          <w:color w:val="231F20"/>
          <w:sz w:val="18"/>
        </w:rPr>
        <w:t>–</w:t>
      </w:r>
      <w:r>
        <w:rPr>
          <w:color w:val="231F20"/>
          <w:spacing w:val="-2"/>
          <w:sz w:val="18"/>
        </w:rPr>
        <w:t> </w:t>
      </w:r>
      <w:r>
        <w:rPr>
          <w:color w:val="231F20"/>
          <w:sz w:val="18"/>
        </w:rPr>
        <w:t>С.</w:t>
      </w:r>
      <w:r>
        <w:rPr>
          <w:color w:val="231F20"/>
          <w:spacing w:val="-2"/>
          <w:sz w:val="18"/>
        </w:rPr>
        <w:t> 76–77.</w:t>
      </w:r>
    </w:p>
    <w:p>
      <w:pPr>
        <w:pStyle w:val="ListParagraph"/>
        <w:numPr>
          <w:ilvl w:val="2"/>
          <w:numId w:val="47"/>
        </w:numPr>
        <w:tabs>
          <w:tab w:pos="708" w:val="left" w:leader="none"/>
        </w:tabs>
        <w:spacing w:line="237" w:lineRule="auto" w:before="0" w:after="0"/>
        <w:ind w:left="708" w:right="423" w:hanging="284"/>
        <w:jc w:val="both"/>
        <w:rPr>
          <w:sz w:val="18"/>
        </w:rPr>
      </w:pPr>
      <w:r>
        <w:rPr>
          <w:color w:val="231F20"/>
          <w:sz w:val="18"/>
        </w:rPr>
        <w:t>Материалы</w:t>
      </w:r>
      <w:r>
        <w:rPr>
          <w:color w:val="231F20"/>
          <w:spacing w:val="-2"/>
          <w:sz w:val="18"/>
        </w:rPr>
        <w:t> </w:t>
      </w:r>
      <w:r>
        <w:rPr>
          <w:color w:val="231F20"/>
          <w:sz w:val="18"/>
        </w:rPr>
        <w:t>I</w:t>
      </w:r>
      <w:r>
        <w:rPr>
          <w:color w:val="231F20"/>
          <w:spacing w:val="-2"/>
          <w:sz w:val="18"/>
        </w:rPr>
        <w:t> </w:t>
      </w:r>
      <w:r>
        <w:rPr>
          <w:color w:val="231F20"/>
          <w:sz w:val="18"/>
        </w:rPr>
        <w:t>Российской</w:t>
      </w:r>
      <w:r>
        <w:rPr>
          <w:color w:val="231F20"/>
          <w:spacing w:val="-2"/>
          <w:sz w:val="18"/>
        </w:rPr>
        <w:t> </w:t>
      </w:r>
      <w:r>
        <w:rPr>
          <w:color w:val="231F20"/>
          <w:sz w:val="18"/>
        </w:rPr>
        <w:t>школы</w:t>
      </w:r>
      <w:r>
        <w:rPr>
          <w:color w:val="231F20"/>
          <w:spacing w:val="-2"/>
          <w:sz w:val="18"/>
        </w:rPr>
        <w:t> </w:t>
      </w:r>
      <w:r>
        <w:rPr>
          <w:color w:val="231F20"/>
          <w:sz w:val="18"/>
        </w:rPr>
        <w:t>по</w:t>
      </w:r>
      <w:r>
        <w:rPr>
          <w:color w:val="231F20"/>
          <w:spacing w:val="-2"/>
          <w:sz w:val="18"/>
        </w:rPr>
        <w:t> </w:t>
      </w:r>
      <w:r>
        <w:rPr>
          <w:color w:val="231F20"/>
          <w:sz w:val="18"/>
        </w:rPr>
        <w:t>работе</w:t>
      </w:r>
      <w:r>
        <w:rPr>
          <w:color w:val="231F20"/>
          <w:spacing w:val="-2"/>
          <w:sz w:val="18"/>
        </w:rPr>
        <w:t> </w:t>
      </w:r>
      <w:r>
        <w:rPr>
          <w:color w:val="231F20"/>
          <w:sz w:val="18"/>
        </w:rPr>
        <w:t>с</w:t>
      </w:r>
      <w:r>
        <w:rPr>
          <w:color w:val="231F20"/>
          <w:spacing w:val="-2"/>
          <w:sz w:val="18"/>
        </w:rPr>
        <w:t> </w:t>
      </w:r>
      <w:r>
        <w:rPr>
          <w:color w:val="231F20"/>
          <w:sz w:val="18"/>
        </w:rPr>
        <w:t>посттравматическим</w:t>
      </w:r>
      <w:r>
        <w:rPr>
          <w:color w:val="231F20"/>
          <w:spacing w:val="-2"/>
          <w:sz w:val="18"/>
        </w:rPr>
        <w:t> </w:t>
      </w:r>
      <w:r>
        <w:rPr>
          <w:color w:val="231F20"/>
          <w:sz w:val="18"/>
        </w:rPr>
        <w:t>стрессом</w:t>
      </w:r>
      <w:r>
        <w:rPr>
          <w:color w:val="231F20"/>
          <w:spacing w:val="-2"/>
          <w:sz w:val="18"/>
        </w:rPr>
        <w:t> </w:t>
      </w:r>
      <w:r>
        <w:rPr>
          <w:color w:val="231F20"/>
          <w:sz w:val="18"/>
        </w:rPr>
        <w:t>//</w:t>
      </w:r>
      <w:r>
        <w:rPr>
          <w:color w:val="231F20"/>
          <w:spacing w:val="-2"/>
          <w:sz w:val="18"/>
        </w:rPr>
        <w:t> </w:t>
      </w:r>
      <w:r>
        <w:rPr>
          <w:color w:val="231F20"/>
          <w:sz w:val="18"/>
        </w:rPr>
        <w:t>Вест- ник РАТЭПП. Вып. 2. – СПб., 1995. – С. 29.</w:t>
      </w:r>
    </w:p>
    <w:p>
      <w:pPr>
        <w:pStyle w:val="ListParagraph"/>
        <w:numPr>
          <w:ilvl w:val="2"/>
          <w:numId w:val="47"/>
        </w:numPr>
        <w:tabs>
          <w:tab w:pos="705" w:val="left" w:leader="none"/>
          <w:tab w:pos="708" w:val="left" w:leader="none"/>
        </w:tabs>
        <w:spacing w:line="237" w:lineRule="auto" w:before="0" w:after="0"/>
        <w:ind w:left="708" w:right="422" w:hanging="284"/>
        <w:jc w:val="both"/>
        <w:rPr>
          <w:sz w:val="18"/>
        </w:rPr>
      </w:pPr>
      <w:r>
        <w:rPr>
          <w:color w:val="231F20"/>
          <w:sz w:val="18"/>
        </w:rPr>
        <w:t>Лебедева</w:t>
      </w:r>
      <w:r>
        <w:rPr>
          <w:color w:val="231F20"/>
          <w:spacing w:val="-12"/>
          <w:sz w:val="18"/>
        </w:rPr>
        <w:t> </w:t>
      </w:r>
      <w:r>
        <w:rPr>
          <w:color w:val="231F20"/>
          <w:sz w:val="18"/>
        </w:rPr>
        <w:t>Н.М. Этническая</w:t>
      </w:r>
      <w:r>
        <w:rPr>
          <w:color w:val="231F20"/>
          <w:spacing w:val="-12"/>
          <w:sz w:val="18"/>
        </w:rPr>
        <w:t> </w:t>
      </w:r>
      <w:r>
        <w:rPr>
          <w:color w:val="231F20"/>
          <w:sz w:val="18"/>
        </w:rPr>
        <w:t>и</w:t>
      </w:r>
      <w:r>
        <w:rPr>
          <w:color w:val="231F20"/>
          <w:spacing w:val="-11"/>
          <w:sz w:val="18"/>
        </w:rPr>
        <w:t> </w:t>
      </w:r>
      <w:r>
        <w:rPr>
          <w:color w:val="231F20"/>
          <w:sz w:val="18"/>
        </w:rPr>
        <w:t>кросс-культурная психология: Учебник для высших </w:t>
      </w:r>
      <w:r>
        <w:rPr>
          <w:color w:val="231F20"/>
          <w:spacing w:val="-4"/>
          <w:sz w:val="18"/>
        </w:rPr>
        <w:t>учебных</w:t>
      </w:r>
      <w:r>
        <w:rPr>
          <w:color w:val="231F20"/>
          <w:spacing w:val="-7"/>
          <w:sz w:val="18"/>
        </w:rPr>
        <w:t> </w:t>
      </w:r>
      <w:r>
        <w:rPr>
          <w:color w:val="231F20"/>
          <w:spacing w:val="-4"/>
          <w:sz w:val="18"/>
        </w:rPr>
        <w:t>заведений.</w:t>
      </w:r>
      <w:r>
        <w:rPr>
          <w:color w:val="231F20"/>
          <w:spacing w:val="-7"/>
          <w:sz w:val="18"/>
        </w:rPr>
        <w:t> </w:t>
      </w:r>
      <w:r>
        <w:rPr>
          <w:color w:val="231F20"/>
          <w:spacing w:val="-4"/>
          <w:sz w:val="18"/>
        </w:rPr>
        <w:t>М.:</w:t>
      </w:r>
      <w:r>
        <w:rPr>
          <w:color w:val="231F20"/>
          <w:spacing w:val="-7"/>
          <w:sz w:val="18"/>
        </w:rPr>
        <w:t> </w:t>
      </w:r>
      <w:r>
        <w:rPr>
          <w:color w:val="231F20"/>
          <w:spacing w:val="-4"/>
          <w:sz w:val="18"/>
        </w:rPr>
        <w:t>МАКС</w:t>
      </w:r>
      <w:r>
        <w:rPr>
          <w:color w:val="231F20"/>
          <w:spacing w:val="-7"/>
          <w:sz w:val="18"/>
        </w:rPr>
        <w:t> </w:t>
      </w:r>
      <w:r>
        <w:rPr>
          <w:color w:val="231F20"/>
          <w:spacing w:val="-4"/>
          <w:sz w:val="18"/>
        </w:rPr>
        <w:t>Пресс,</w:t>
      </w:r>
      <w:r>
        <w:rPr>
          <w:color w:val="231F20"/>
          <w:spacing w:val="-7"/>
          <w:sz w:val="18"/>
        </w:rPr>
        <w:t> </w:t>
      </w:r>
      <w:r>
        <w:rPr>
          <w:color w:val="231F20"/>
          <w:spacing w:val="-4"/>
          <w:sz w:val="18"/>
        </w:rPr>
        <w:t>2011Методические</w:t>
      </w:r>
      <w:r>
        <w:rPr>
          <w:color w:val="231F20"/>
          <w:spacing w:val="-7"/>
          <w:sz w:val="18"/>
        </w:rPr>
        <w:t> </w:t>
      </w:r>
      <w:r>
        <w:rPr>
          <w:color w:val="231F20"/>
          <w:spacing w:val="-4"/>
          <w:sz w:val="18"/>
        </w:rPr>
        <w:t>рекомендации</w:t>
      </w:r>
      <w:r>
        <w:rPr>
          <w:color w:val="231F20"/>
          <w:spacing w:val="-7"/>
          <w:sz w:val="18"/>
        </w:rPr>
        <w:t> </w:t>
      </w:r>
      <w:r>
        <w:rPr>
          <w:color w:val="231F20"/>
          <w:spacing w:val="-4"/>
          <w:sz w:val="18"/>
        </w:rPr>
        <w:t>для</w:t>
      </w:r>
      <w:r>
        <w:rPr>
          <w:color w:val="231F20"/>
          <w:spacing w:val="-7"/>
          <w:sz w:val="18"/>
        </w:rPr>
        <w:t> </w:t>
      </w:r>
      <w:r>
        <w:rPr>
          <w:color w:val="231F20"/>
          <w:spacing w:val="-4"/>
          <w:sz w:val="18"/>
        </w:rPr>
        <w:t>программ обучения специалистов по психолого-педагогическому сопровождению и социальной </w:t>
      </w:r>
      <w:r>
        <w:rPr>
          <w:color w:val="231F20"/>
          <w:sz w:val="18"/>
        </w:rPr>
        <w:t>адаптации детей, возвращенных из зон боевых действий / Под ред. О.Е.</w:t>
      </w:r>
      <w:r>
        <w:rPr>
          <w:color w:val="231F20"/>
          <w:spacing w:val="-12"/>
          <w:sz w:val="18"/>
        </w:rPr>
        <w:t> </w:t>
      </w:r>
      <w:r>
        <w:rPr>
          <w:color w:val="231F20"/>
          <w:sz w:val="18"/>
        </w:rPr>
        <w:t>Хухлаева, О.С.</w:t>
      </w:r>
      <w:r>
        <w:rPr>
          <w:color w:val="231F20"/>
          <w:spacing w:val="-6"/>
          <w:sz w:val="18"/>
        </w:rPr>
        <w:t> </w:t>
      </w:r>
      <w:r>
        <w:rPr>
          <w:color w:val="231F20"/>
          <w:sz w:val="18"/>
        </w:rPr>
        <w:t>Павловой,</w:t>
      </w:r>
      <w:r>
        <w:rPr>
          <w:color w:val="231F20"/>
          <w:spacing w:val="-6"/>
          <w:sz w:val="18"/>
        </w:rPr>
        <w:t> </w:t>
      </w:r>
      <w:r>
        <w:rPr>
          <w:color w:val="231F20"/>
          <w:sz w:val="18"/>
        </w:rPr>
        <w:t>Н.В.</w:t>
      </w:r>
      <w:r>
        <w:rPr>
          <w:color w:val="231F20"/>
          <w:spacing w:val="-6"/>
          <w:sz w:val="18"/>
        </w:rPr>
        <w:t> </w:t>
      </w:r>
      <w:r>
        <w:rPr>
          <w:color w:val="231F20"/>
          <w:sz w:val="18"/>
        </w:rPr>
        <w:t>Тарулиной.</w:t>
      </w:r>
      <w:r>
        <w:rPr>
          <w:color w:val="231F20"/>
          <w:spacing w:val="-6"/>
          <w:sz w:val="18"/>
        </w:rPr>
        <w:t> </w:t>
      </w:r>
      <w:r>
        <w:rPr>
          <w:color w:val="231F20"/>
          <w:sz w:val="18"/>
        </w:rPr>
        <w:t>–</w:t>
      </w:r>
      <w:r>
        <w:rPr>
          <w:color w:val="231F20"/>
          <w:spacing w:val="-6"/>
          <w:sz w:val="18"/>
        </w:rPr>
        <w:t> </w:t>
      </w:r>
      <w:r>
        <w:rPr>
          <w:color w:val="231F20"/>
          <w:sz w:val="18"/>
        </w:rPr>
        <w:t>М.:</w:t>
      </w:r>
      <w:r>
        <w:rPr>
          <w:color w:val="231F20"/>
          <w:spacing w:val="-6"/>
          <w:sz w:val="18"/>
        </w:rPr>
        <w:t> </w:t>
      </w:r>
      <w:r>
        <w:rPr>
          <w:color w:val="231F20"/>
          <w:sz w:val="18"/>
        </w:rPr>
        <w:t>ФГБОУ</w:t>
      </w:r>
      <w:r>
        <w:rPr>
          <w:color w:val="231F20"/>
          <w:spacing w:val="-6"/>
          <w:sz w:val="18"/>
        </w:rPr>
        <w:t> </w:t>
      </w:r>
      <w:r>
        <w:rPr>
          <w:color w:val="231F20"/>
          <w:sz w:val="18"/>
        </w:rPr>
        <w:t>ВО</w:t>
      </w:r>
      <w:r>
        <w:rPr>
          <w:color w:val="231F20"/>
          <w:spacing w:val="-6"/>
          <w:sz w:val="18"/>
        </w:rPr>
        <w:t> </w:t>
      </w:r>
      <w:r>
        <w:rPr>
          <w:color w:val="231F20"/>
          <w:sz w:val="18"/>
        </w:rPr>
        <w:t>МГППУ,</w:t>
      </w:r>
      <w:r>
        <w:rPr>
          <w:color w:val="231F20"/>
          <w:spacing w:val="-6"/>
          <w:sz w:val="18"/>
        </w:rPr>
        <w:t> </w:t>
      </w:r>
      <w:r>
        <w:rPr>
          <w:color w:val="231F20"/>
          <w:sz w:val="18"/>
        </w:rPr>
        <w:t>2022.</w:t>
      </w:r>
      <w:r>
        <w:rPr>
          <w:color w:val="231F20"/>
          <w:spacing w:val="-6"/>
          <w:sz w:val="18"/>
        </w:rPr>
        <w:t> </w:t>
      </w:r>
      <w:r>
        <w:rPr>
          <w:color w:val="231F20"/>
          <w:sz w:val="18"/>
        </w:rPr>
        <w:t>–</w:t>
      </w:r>
      <w:r>
        <w:rPr>
          <w:color w:val="231F20"/>
          <w:spacing w:val="-6"/>
          <w:sz w:val="18"/>
        </w:rPr>
        <w:t> </w:t>
      </w:r>
      <w:r>
        <w:rPr>
          <w:color w:val="231F20"/>
          <w:sz w:val="18"/>
        </w:rPr>
        <w:t>532</w:t>
      </w:r>
      <w:r>
        <w:rPr>
          <w:color w:val="231F20"/>
          <w:spacing w:val="-6"/>
          <w:sz w:val="18"/>
        </w:rPr>
        <w:t> </w:t>
      </w:r>
      <w:r>
        <w:rPr>
          <w:color w:val="231F20"/>
          <w:sz w:val="18"/>
        </w:rPr>
        <w:t>с.</w:t>
      </w:r>
    </w:p>
    <w:p>
      <w:pPr>
        <w:pStyle w:val="ListParagraph"/>
        <w:numPr>
          <w:ilvl w:val="2"/>
          <w:numId w:val="47"/>
        </w:numPr>
        <w:tabs>
          <w:tab w:pos="708" w:val="left" w:leader="none"/>
        </w:tabs>
        <w:spacing w:line="240" w:lineRule="auto" w:before="0" w:after="0"/>
        <w:ind w:left="708" w:right="423" w:hanging="284"/>
        <w:jc w:val="both"/>
        <w:rPr>
          <w:sz w:val="18"/>
        </w:rPr>
      </w:pPr>
      <w:r>
        <w:rPr>
          <w:color w:val="231F20"/>
          <w:sz w:val="18"/>
        </w:rPr>
        <w:t>Практика работы с семьями, имеющими в своем составе иностранных граждан: опыт учреждений социального обслуживания населения Санкт-Петербурга [Соци- альное обслужива ние семей и детей: научно-методический сборник]. // под ред. Ю.Ю. Ивашкиной, О.В. Костейчука, С.П. Павлова. – СПб.: СПб ГБУ «Городской информационно-методический центр «Семья», 2014. –вып. 3 – 198 с.</w:t>
      </w:r>
    </w:p>
    <w:p>
      <w:pPr>
        <w:pStyle w:val="ListParagraph"/>
        <w:numPr>
          <w:ilvl w:val="2"/>
          <w:numId w:val="47"/>
        </w:numPr>
        <w:tabs>
          <w:tab w:pos="708" w:val="left" w:leader="none"/>
        </w:tabs>
        <w:spacing w:line="240" w:lineRule="auto" w:before="0" w:after="0"/>
        <w:ind w:left="708" w:right="423" w:hanging="284"/>
        <w:jc w:val="both"/>
        <w:rPr>
          <w:sz w:val="18"/>
        </w:rPr>
      </w:pPr>
      <w:r>
        <w:rPr>
          <w:color w:val="231F20"/>
          <w:spacing w:val="-2"/>
          <w:sz w:val="18"/>
        </w:rPr>
        <w:t>Романов А.А. Направленная игротерапия поведения детей дошкольного и младшего </w:t>
      </w:r>
      <w:r>
        <w:rPr>
          <w:color w:val="231F20"/>
          <w:sz w:val="18"/>
        </w:rPr>
        <w:t>школьного возраста. М.: Принт, 1998.</w:t>
      </w:r>
    </w:p>
    <w:p>
      <w:pPr>
        <w:pStyle w:val="ListParagraph"/>
        <w:numPr>
          <w:ilvl w:val="2"/>
          <w:numId w:val="47"/>
        </w:numPr>
        <w:tabs>
          <w:tab w:pos="708" w:val="left" w:leader="none"/>
        </w:tabs>
        <w:spacing w:line="240" w:lineRule="auto" w:before="0" w:after="0"/>
        <w:ind w:left="708" w:right="423" w:hanging="284"/>
        <w:jc w:val="both"/>
        <w:rPr>
          <w:sz w:val="18"/>
        </w:rPr>
      </w:pPr>
      <w:r>
        <w:rPr>
          <w:color w:val="231F20"/>
          <w:sz w:val="18"/>
        </w:rPr>
        <w:t>Чубова</w:t>
      </w:r>
      <w:r>
        <w:rPr>
          <w:color w:val="231F20"/>
          <w:spacing w:val="-5"/>
          <w:sz w:val="18"/>
        </w:rPr>
        <w:t> </w:t>
      </w:r>
      <w:r>
        <w:rPr>
          <w:color w:val="231F20"/>
          <w:sz w:val="18"/>
        </w:rPr>
        <w:t>И.И. Диагностика и коррекция комплексного ПТСР у детей и подростков / И.И. Чубова // Человек. Наука. Социум. – 2021. – № 3(7). – С. 213–229.</w:t>
      </w:r>
    </w:p>
    <w:p>
      <w:pPr>
        <w:pStyle w:val="ListParagraph"/>
        <w:numPr>
          <w:ilvl w:val="2"/>
          <w:numId w:val="47"/>
        </w:numPr>
        <w:tabs>
          <w:tab w:pos="708" w:val="left" w:leader="none"/>
        </w:tabs>
        <w:spacing w:line="240" w:lineRule="auto" w:before="0" w:after="0"/>
        <w:ind w:left="708" w:right="422" w:hanging="284"/>
        <w:jc w:val="both"/>
        <w:rPr>
          <w:sz w:val="18"/>
        </w:rPr>
      </w:pPr>
      <w:r>
        <w:rPr>
          <w:color w:val="231F20"/>
          <w:sz w:val="18"/>
        </w:rPr>
        <w:t>Annous</w:t>
      </w:r>
      <w:r>
        <w:rPr>
          <w:color w:val="231F20"/>
          <w:spacing w:val="-3"/>
          <w:sz w:val="18"/>
        </w:rPr>
        <w:t> </w:t>
      </w:r>
      <w:r>
        <w:rPr>
          <w:color w:val="231F20"/>
          <w:sz w:val="18"/>
        </w:rPr>
        <w:t>N., Al-Hroub</w:t>
      </w:r>
      <w:r>
        <w:rPr>
          <w:color w:val="231F20"/>
          <w:spacing w:val="-2"/>
          <w:sz w:val="18"/>
        </w:rPr>
        <w:t> </w:t>
      </w:r>
      <w:r>
        <w:rPr>
          <w:color w:val="231F20"/>
          <w:sz w:val="18"/>
        </w:rPr>
        <w:t>A.,</w:t>
      </w:r>
      <w:r>
        <w:rPr>
          <w:color w:val="231F20"/>
          <w:spacing w:val="31"/>
          <w:sz w:val="18"/>
        </w:rPr>
        <w:t> </w:t>
      </w:r>
      <w:r>
        <w:rPr>
          <w:color w:val="231F20"/>
          <w:sz w:val="18"/>
        </w:rPr>
        <w:t>El</w:t>
      </w:r>
      <w:r>
        <w:rPr>
          <w:color w:val="231F20"/>
          <w:spacing w:val="31"/>
          <w:sz w:val="18"/>
        </w:rPr>
        <w:t> </w:t>
      </w:r>
      <w:r>
        <w:rPr>
          <w:color w:val="231F20"/>
          <w:sz w:val="18"/>
        </w:rPr>
        <w:t>Zein</w:t>
      </w:r>
      <w:r>
        <w:rPr>
          <w:color w:val="231F20"/>
          <w:spacing w:val="-2"/>
          <w:sz w:val="18"/>
        </w:rPr>
        <w:t> </w:t>
      </w:r>
      <w:r>
        <w:rPr>
          <w:color w:val="231F20"/>
          <w:sz w:val="18"/>
        </w:rPr>
        <w:t>F. A Systematic</w:t>
      </w:r>
      <w:r>
        <w:rPr>
          <w:color w:val="231F20"/>
          <w:spacing w:val="31"/>
          <w:sz w:val="18"/>
        </w:rPr>
        <w:t> </w:t>
      </w:r>
      <w:r>
        <w:rPr>
          <w:color w:val="231F20"/>
          <w:sz w:val="18"/>
        </w:rPr>
        <w:t>Review</w:t>
      </w:r>
      <w:r>
        <w:rPr>
          <w:color w:val="231F20"/>
          <w:spacing w:val="31"/>
          <w:sz w:val="18"/>
        </w:rPr>
        <w:t> </w:t>
      </w:r>
      <w:r>
        <w:rPr>
          <w:color w:val="231F20"/>
          <w:sz w:val="18"/>
        </w:rPr>
        <w:t>of</w:t>
      </w:r>
      <w:r>
        <w:rPr>
          <w:color w:val="231F20"/>
          <w:spacing w:val="31"/>
          <w:sz w:val="18"/>
        </w:rPr>
        <w:t> </w:t>
      </w:r>
      <w:r>
        <w:rPr>
          <w:color w:val="231F20"/>
          <w:sz w:val="18"/>
        </w:rPr>
        <w:t>Empirical</w:t>
      </w:r>
      <w:r>
        <w:rPr>
          <w:color w:val="231F20"/>
          <w:spacing w:val="31"/>
          <w:sz w:val="18"/>
        </w:rPr>
        <w:t> </w:t>
      </w:r>
      <w:r>
        <w:rPr>
          <w:color w:val="231F20"/>
          <w:sz w:val="18"/>
        </w:rPr>
        <w:t>Evidence</w:t>
      </w:r>
      <w:r>
        <w:rPr>
          <w:color w:val="231F20"/>
          <w:spacing w:val="31"/>
          <w:sz w:val="18"/>
        </w:rPr>
        <w:t> </w:t>
      </w:r>
      <w:r>
        <w:rPr>
          <w:color w:val="231F20"/>
          <w:sz w:val="18"/>
        </w:rPr>
        <w:t>on Art</w:t>
      </w:r>
      <w:r>
        <w:rPr>
          <w:color w:val="231F20"/>
          <w:spacing w:val="40"/>
          <w:sz w:val="18"/>
        </w:rPr>
        <w:t> </w:t>
      </w:r>
      <w:r>
        <w:rPr>
          <w:color w:val="231F20"/>
          <w:sz w:val="18"/>
        </w:rPr>
        <w:t>Therapy</w:t>
      </w:r>
      <w:r>
        <w:rPr>
          <w:color w:val="231F20"/>
          <w:spacing w:val="40"/>
          <w:sz w:val="18"/>
        </w:rPr>
        <w:t> </w:t>
      </w:r>
      <w:r>
        <w:rPr>
          <w:color w:val="231F20"/>
          <w:sz w:val="18"/>
        </w:rPr>
        <w:t>With</w:t>
      </w:r>
      <w:r>
        <w:rPr>
          <w:color w:val="231F20"/>
          <w:spacing w:val="40"/>
          <w:sz w:val="18"/>
        </w:rPr>
        <w:t> </w:t>
      </w:r>
      <w:r>
        <w:rPr>
          <w:color w:val="231F20"/>
          <w:sz w:val="18"/>
        </w:rPr>
        <w:t>Traumatized</w:t>
      </w:r>
      <w:r>
        <w:rPr>
          <w:color w:val="231F20"/>
          <w:spacing w:val="40"/>
          <w:sz w:val="18"/>
        </w:rPr>
        <w:t> </w:t>
      </w:r>
      <w:r>
        <w:rPr>
          <w:color w:val="231F20"/>
          <w:sz w:val="18"/>
        </w:rPr>
        <w:t>Refugee</w:t>
      </w:r>
      <w:r>
        <w:rPr>
          <w:color w:val="231F20"/>
          <w:spacing w:val="40"/>
          <w:sz w:val="18"/>
        </w:rPr>
        <w:t> </w:t>
      </w:r>
      <w:r>
        <w:rPr>
          <w:color w:val="231F20"/>
          <w:sz w:val="18"/>
        </w:rPr>
        <w:t>Children</w:t>
      </w:r>
      <w:r>
        <w:rPr>
          <w:color w:val="231F20"/>
          <w:spacing w:val="40"/>
          <w:sz w:val="18"/>
        </w:rPr>
        <w:t> </w:t>
      </w:r>
      <w:r>
        <w:rPr>
          <w:color w:val="231F20"/>
          <w:sz w:val="18"/>
        </w:rPr>
        <w:t>and</w:t>
      </w:r>
      <w:r>
        <w:rPr>
          <w:color w:val="231F20"/>
          <w:spacing w:val="40"/>
          <w:sz w:val="18"/>
        </w:rPr>
        <w:t> </w:t>
      </w:r>
      <w:r>
        <w:rPr>
          <w:color w:val="231F20"/>
          <w:sz w:val="18"/>
        </w:rPr>
        <w:t>Youth.</w:t>
      </w:r>
      <w:r>
        <w:rPr>
          <w:color w:val="231F20"/>
          <w:spacing w:val="40"/>
          <w:sz w:val="18"/>
        </w:rPr>
        <w:t> </w:t>
      </w:r>
      <w:r>
        <w:rPr>
          <w:color w:val="231F20"/>
          <w:sz w:val="18"/>
        </w:rPr>
        <w:t>Front</w:t>
      </w:r>
      <w:r>
        <w:rPr>
          <w:color w:val="231F20"/>
          <w:spacing w:val="40"/>
          <w:sz w:val="18"/>
        </w:rPr>
        <w:t> </w:t>
      </w:r>
      <w:r>
        <w:rPr>
          <w:color w:val="231F20"/>
          <w:sz w:val="18"/>
        </w:rPr>
        <w:t>Psychol.</w:t>
      </w:r>
      <w:r>
        <w:rPr>
          <w:color w:val="231F20"/>
          <w:spacing w:val="40"/>
          <w:sz w:val="18"/>
        </w:rPr>
        <w:t> </w:t>
      </w:r>
      <w:r>
        <w:rPr>
          <w:color w:val="231F20"/>
          <w:sz w:val="18"/>
        </w:rPr>
        <w:t>2022 May 18;13:811515. DOI: 10.3389/fpsyg.2022.811515. PMID: 35707659; PMCID: </w:t>
      </w:r>
      <w:r>
        <w:rPr>
          <w:color w:val="231F20"/>
          <w:spacing w:val="-2"/>
          <w:sz w:val="18"/>
        </w:rPr>
        <w:t>PMC9189733.</w:t>
      </w:r>
    </w:p>
    <w:p>
      <w:pPr>
        <w:pStyle w:val="ListParagraph"/>
        <w:numPr>
          <w:ilvl w:val="2"/>
          <w:numId w:val="47"/>
        </w:numPr>
        <w:tabs>
          <w:tab w:pos="708" w:val="left" w:leader="none"/>
        </w:tabs>
        <w:spacing w:line="240" w:lineRule="auto" w:before="0" w:after="0"/>
        <w:ind w:left="708" w:right="423" w:hanging="284"/>
        <w:jc w:val="both"/>
        <w:rPr>
          <w:sz w:val="18"/>
        </w:rPr>
      </w:pPr>
      <w:r>
        <w:rPr>
          <w:color w:val="231F20"/>
          <w:sz w:val="18"/>
        </w:rPr>
        <w:t>Ager</w:t>
      </w:r>
      <w:r>
        <w:rPr>
          <w:color w:val="231F20"/>
          <w:spacing w:val="-2"/>
          <w:sz w:val="18"/>
        </w:rPr>
        <w:t> </w:t>
      </w:r>
      <w:r>
        <w:rPr>
          <w:color w:val="231F20"/>
          <w:sz w:val="18"/>
        </w:rPr>
        <w:t>A., Akesson</w:t>
      </w:r>
      <w:r>
        <w:rPr>
          <w:color w:val="231F20"/>
          <w:spacing w:val="-2"/>
          <w:sz w:val="18"/>
        </w:rPr>
        <w:t> </w:t>
      </w:r>
      <w:r>
        <w:rPr>
          <w:color w:val="231F20"/>
          <w:sz w:val="18"/>
        </w:rPr>
        <w:t>B.,</w:t>
      </w:r>
      <w:r>
        <w:rPr>
          <w:color w:val="231F20"/>
          <w:spacing w:val="40"/>
          <w:sz w:val="18"/>
        </w:rPr>
        <w:t> </w:t>
      </w:r>
      <w:r>
        <w:rPr>
          <w:color w:val="231F20"/>
          <w:sz w:val="18"/>
        </w:rPr>
        <w:t>Stark</w:t>
      </w:r>
      <w:r>
        <w:rPr>
          <w:color w:val="231F20"/>
          <w:spacing w:val="-2"/>
          <w:sz w:val="18"/>
        </w:rPr>
        <w:t> </w:t>
      </w:r>
      <w:r>
        <w:rPr>
          <w:color w:val="231F20"/>
          <w:sz w:val="18"/>
        </w:rPr>
        <w:t>L.,</w:t>
      </w:r>
      <w:r>
        <w:rPr>
          <w:color w:val="231F20"/>
          <w:spacing w:val="40"/>
          <w:sz w:val="18"/>
        </w:rPr>
        <w:t> </w:t>
      </w:r>
      <w:r>
        <w:rPr>
          <w:color w:val="231F20"/>
          <w:sz w:val="18"/>
        </w:rPr>
        <w:t>Flouri</w:t>
      </w:r>
      <w:r>
        <w:rPr>
          <w:color w:val="231F20"/>
          <w:spacing w:val="-2"/>
          <w:sz w:val="18"/>
        </w:rPr>
        <w:t> </w:t>
      </w:r>
      <w:r>
        <w:rPr>
          <w:color w:val="231F20"/>
          <w:sz w:val="18"/>
        </w:rPr>
        <w:t>E.,</w:t>
      </w:r>
      <w:r>
        <w:rPr>
          <w:color w:val="231F20"/>
          <w:spacing w:val="40"/>
          <w:sz w:val="18"/>
        </w:rPr>
        <w:t> </w:t>
      </w:r>
      <w:r>
        <w:rPr>
          <w:color w:val="231F20"/>
          <w:sz w:val="18"/>
        </w:rPr>
        <w:t>Okot</w:t>
      </w:r>
      <w:r>
        <w:rPr>
          <w:color w:val="231F20"/>
          <w:spacing w:val="-2"/>
          <w:sz w:val="18"/>
        </w:rPr>
        <w:t> </w:t>
      </w:r>
      <w:r>
        <w:rPr>
          <w:color w:val="231F20"/>
          <w:sz w:val="18"/>
        </w:rPr>
        <w:t>B.</w:t>
      </w:r>
      <w:r>
        <w:rPr>
          <w:color w:val="231F20"/>
          <w:spacing w:val="40"/>
          <w:sz w:val="18"/>
        </w:rPr>
        <w:t> </w:t>
      </w:r>
      <w:r>
        <w:rPr>
          <w:color w:val="231F20"/>
          <w:sz w:val="18"/>
        </w:rPr>
        <w:t>(2011)</w:t>
      </w:r>
      <w:r>
        <w:rPr>
          <w:color w:val="231F20"/>
          <w:spacing w:val="38"/>
          <w:sz w:val="18"/>
        </w:rPr>
        <w:t> </w:t>
      </w:r>
      <w:r>
        <w:rPr>
          <w:color w:val="231F20"/>
          <w:sz w:val="18"/>
        </w:rPr>
        <w:t>The</w:t>
      </w:r>
      <w:r>
        <w:rPr>
          <w:color w:val="231F20"/>
          <w:spacing w:val="40"/>
          <w:sz w:val="18"/>
        </w:rPr>
        <w:t> </w:t>
      </w:r>
      <w:r>
        <w:rPr>
          <w:color w:val="231F20"/>
          <w:sz w:val="18"/>
        </w:rPr>
        <w:t>impact</w:t>
      </w:r>
      <w:r>
        <w:rPr>
          <w:color w:val="231F20"/>
          <w:spacing w:val="40"/>
          <w:sz w:val="18"/>
        </w:rPr>
        <w:t> </w:t>
      </w:r>
      <w:r>
        <w:rPr>
          <w:color w:val="231F20"/>
          <w:sz w:val="18"/>
        </w:rPr>
        <w:t>of</w:t>
      </w:r>
      <w:r>
        <w:rPr>
          <w:color w:val="231F20"/>
          <w:spacing w:val="40"/>
          <w:sz w:val="18"/>
        </w:rPr>
        <w:t> </w:t>
      </w:r>
      <w:r>
        <w:rPr>
          <w:color w:val="231F20"/>
          <w:sz w:val="18"/>
        </w:rPr>
        <w:t>the</w:t>
      </w:r>
      <w:r>
        <w:rPr>
          <w:color w:val="231F20"/>
          <w:spacing w:val="40"/>
          <w:sz w:val="18"/>
        </w:rPr>
        <w:t> </w:t>
      </w:r>
      <w:r>
        <w:rPr>
          <w:color w:val="231F20"/>
          <w:sz w:val="18"/>
        </w:rPr>
        <w:t>school- based psychosocial structured activities (PSSA) program on conflict-affected children in Northern Uganda. J Child Psychol Psychiatry 52: 1124–1133.</w:t>
      </w:r>
    </w:p>
    <w:p>
      <w:pPr>
        <w:pStyle w:val="ListParagraph"/>
        <w:spacing w:after="0" w:line="240" w:lineRule="auto"/>
        <w:jc w:val="both"/>
        <w:rPr>
          <w:sz w:val="18"/>
        </w:rPr>
        <w:sectPr>
          <w:pgSz w:w="8400" w:h="11910"/>
          <w:pgMar w:header="0" w:footer="528"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ListParagraph"/>
        <w:numPr>
          <w:ilvl w:val="2"/>
          <w:numId w:val="47"/>
        </w:numPr>
        <w:tabs>
          <w:tab w:pos="708" w:val="left" w:leader="none"/>
        </w:tabs>
        <w:spacing w:line="232" w:lineRule="auto" w:before="122" w:after="0"/>
        <w:ind w:left="708" w:right="423" w:hanging="284"/>
        <w:jc w:val="both"/>
        <w:rPr>
          <w:sz w:val="18"/>
        </w:rPr>
      </w:pPr>
      <w:r>
        <w:rPr>
          <w:color w:val="231F20"/>
          <w:sz w:val="18"/>
        </w:rPr>
        <w:t>Balidemaj</w:t>
      </w:r>
      <w:r>
        <w:rPr>
          <w:color w:val="231F20"/>
          <w:spacing w:val="-3"/>
          <w:sz w:val="18"/>
        </w:rPr>
        <w:t> </w:t>
      </w:r>
      <w:r>
        <w:rPr>
          <w:color w:val="231F20"/>
          <w:sz w:val="18"/>
        </w:rPr>
        <w:t>A., Small</w:t>
      </w:r>
      <w:r>
        <w:rPr>
          <w:color w:val="231F20"/>
          <w:spacing w:val="-3"/>
          <w:sz w:val="18"/>
        </w:rPr>
        <w:t> </w:t>
      </w:r>
      <w:r>
        <w:rPr>
          <w:color w:val="231F20"/>
          <w:sz w:val="18"/>
        </w:rPr>
        <w:t>M. The effects of ethnic identity and acculturation in mental health of</w:t>
      </w:r>
      <w:r>
        <w:rPr>
          <w:color w:val="231F20"/>
          <w:spacing w:val="-14"/>
          <w:sz w:val="18"/>
        </w:rPr>
        <w:t> </w:t>
      </w:r>
      <w:r>
        <w:rPr>
          <w:color w:val="231F20"/>
          <w:sz w:val="18"/>
        </w:rPr>
        <w:t>immigrants:</w:t>
      </w:r>
      <w:r>
        <w:rPr>
          <w:color w:val="231F20"/>
          <w:spacing w:val="-11"/>
          <w:sz w:val="18"/>
        </w:rPr>
        <w:t> </w:t>
      </w:r>
      <w:r>
        <w:rPr>
          <w:color w:val="231F20"/>
          <w:sz w:val="18"/>
        </w:rPr>
        <w:t>A</w:t>
      </w:r>
      <w:r>
        <w:rPr>
          <w:color w:val="231F20"/>
          <w:spacing w:val="-11"/>
          <w:sz w:val="18"/>
        </w:rPr>
        <w:t> </w:t>
      </w:r>
      <w:r>
        <w:rPr>
          <w:color w:val="231F20"/>
          <w:sz w:val="18"/>
        </w:rPr>
        <w:t>literature</w:t>
      </w:r>
      <w:r>
        <w:rPr>
          <w:color w:val="231F20"/>
          <w:spacing w:val="-11"/>
          <w:sz w:val="18"/>
        </w:rPr>
        <w:t> </w:t>
      </w:r>
      <w:r>
        <w:rPr>
          <w:color w:val="231F20"/>
          <w:sz w:val="18"/>
        </w:rPr>
        <w:t>review.</w:t>
      </w:r>
      <w:r>
        <w:rPr>
          <w:color w:val="231F20"/>
          <w:spacing w:val="-12"/>
          <w:sz w:val="18"/>
        </w:rPr>
        <w:t> </w:t>
      </w:r>
      <w:r>
        <w:rPr>
          <w:color w:val="231F20"/>
          <w:sz w:val="18"/>
        </w:rPr>
        <w:t>Int</w:t>
      </w:r>
      <w:r>
        <w:rPr>
          <w:color w:val="231F20"/>
          <w:spacing w:val="-11"/>
          <w:sz w:val="18"/>
        </w:rPr>
        <w:t> </w:t>
      </w:r>
      <w:r>
        <w:rPr>
          <w:color w:val="231F20"/>
          <w:sz w:val="18"/>
        </w:rPr>
        <w:t>J</w:t>
      </w:r>
      <w:r>
        <w:rPr>
          <w:color w:val="231F20"/>
          <w:spacing w:val="-11"/>
          <w:sz w:val="18"/>
        </w:rPr>
        <w:t> </w:t>
      </w:r>
      <w:r>
        <w:rPr>
          <w:color w:val="231F20"/>
          <w:sz w:val="18"/>
        </w:rPr>
        <w:t>Soc</w:t>
      </w:r>
      <w:r>
        <w:rPr>
          <w:color w:val="231F20"/>
          <w:spacing w:val="-11"/>
          <w:sz w:val="18"/>
        </w:rPr>
        <w:t> </w:t>
      </w:r>
      <w:r>
        <w:rPr>
          <w:color w:val="231F20"/>
          <w:sz w:val="18"/>
        </w:rPr>
        <w:t>Psychiatry.</w:t>
      </w:r>
      <w:r>
        <w:rPr>
          <w:color w:val="231F20"/>
          <w:spacing w:val="-12"/>
          <w:sz w:val="18"/>
        </w:rPr>
        <w:t> </w:t>
      </w:r>
      <w:r>
        <w:rPr>
          <w:color w:val="231F20"/>
          <w:sz w:val="18"/>
        </w:rPr>
        <w:t>2019</w:t>
      </w:r>
      <w:r>
        <w:rPr>
          <w:color w:val="231F20"/>
          <w:spacing w:val="-11"/>
          <w:sz w:val="18"/>
        </w:rPr>
        <w:t> </w:t>
      </w:r>
      <w:r>
        <w:rPr>
          <w:color w:val="231F20"/>
          <w:sz w:val="18"/>
        </w:rPr>
        <w:t>Nov;65(7-8):643-655.</w:t>
      </w:r>
      <w:r>
        <w:rPr>
          <w:color w:val="231F20"/>
          <w:spacing w:val="-7"/>
          <w:sz w:val="18"/>
        </w:rPr>
        <w:t> </w:t>
      </w:r>
      <w:r>
        <w:rPr>
          <w:color w:val="231F20"/>
          <w:sz w:val="18"/>
        </w:rPr>
        <w:t>DOI: 10.1177/0020764019867994. PMID: 31478453.</w:t>
      </w:r>
    </w:p>
    <w:p>
      <w:pPr>
        <w:pStyle w:val="ListParagraph"/>
        <w:numPr>
          <w:ilvl w:val="2"/>
          <w:numId w:val="47"/>
        </w:numPr>
        <w:tabs>
          <w:tab w:pos="708" w:val="left" w:leader="none"/>
        </w:tabs>
        <w:spacing w:line="232" w:lineRule="auto" w:before="0" w:after="0"/>
        <w:ind w:left="708" w:right="422" w:hanging="284"/>
        <w:jc w:val="both"/>
        <w:rPr>
          <w:sz w:val="18"/>
        </w:rPr>
      </w:pPr>
      <w:r>
        <w:rPr>
          <w:color w:val="231F20"/>
          <w:spacing w:val="-2"/>
          <w:sz w:val="18"/>
        </w:rPr>
        <w:t>Bhawuk</w:t>
      </w:r>
      <w:r>
        <w:rPr>
          <w:color w:val="231F20"/>
          <w:spacing w:val="10"/>
          <w:sz w:val="18"/>
        </w:rPr>
        <w:t> </w:t>
      </w:r>
      <w:r>
        <w:rPr>
          <w:color w:val="231F20"/>
          <w:spacing w:val="-2"/>
          <w:sz w:val="18"/>
        </w:rPr>
        <w:t>D.</w:t>
      </w:r>
      <w:r>
        <w:rPr>
          <w:color w:val="231F20"/>
          <w:spacing w:val="-7"/>
          <w:sz w:val="18"/>
        </w:rPr>
        <w:t> </w:t>
      </w:r>
      <w:r>
        <w:rPr>
          <w:color w:val="231F20"/>
          <w:spacing w:val="-2"/>
          <w:sz w:val="18"/>
        </w:rPr>
        <w:t>P.</w:t>
      </w:r>
      <w:r>
        <w:rPr>
          <w:color w:val="231F20"/>
          <w:spacing w:val="-7"/>
          <w:sz w:val="18"/>
        </w:rPr>
        <w:t> </w:t>
      </w:r>
      <w:r>
        <w:rPr>
          <w:color w:val="231F20"/>
          <w:spacing w:val="-2"/>
          <w:sz w:val="18"/>
        </w:rPr>
        <w:t>S.</w:t>
      </w:r>
      <w:r>
        <w:rPr>
          <w:color w:val="231F20"/>
          <w:spacing w:val="-7"/>
          <w:sz w:val="18"/>
        </w:rPr>
        <w:t> </w:t>
      </w:r>
      <w:r>
        <w:rPr>
          <w:color w:val="231F20"/>
          <w:spacing w:val="-2"/>
          <w:sz w:val="18"/>
        </w:rPr>
        <w:t>(1998).</w:t>
      </w:r>
      <w:r>
        <w:rPr>
          <w:color w:val="231F20"/>
          <w:spacing w:val="-10"/>
          <w:sz w:val="18"/>
        </w:rPr>
        <w:t> </w:t>
      </w:r>
      <w:r>
        <w:rPr>
          <w:color w:val="231F20"/>
          <w:spacing w:val="-2"/>
          <w:sz w:val="18"/>
        </w:rPr>
        <w:t>The</w:t>
      </w:r>
      <w:r>
        <w:rPr>
          <w:color w:val="231F20"/>
          <w:spacing w:val="-7"/>
          <w:sz w:val="18"/>
        </w:rPr>
        <w:t> </w:t>
      </w:r>
      <w:r>
        <w:rPr>
          <w:color w:val="231F20"/>
          <w:spacing w:val="-2"/>
          <w:sz w:val="18"/>
        </w:rPr>
        <w:t>role</w:t>
      </w:r>
      <w:r>
        <w:rPr>
          <w:color w:val="231F20"/>
          <w:spacing w:val="-7"/>
          <w:sz w:val="18"/>
        </w:rPr>
        <w:t> </w:t>
      </w:r>
      <w:r>
        <w:rPr>
          <w:color w:val="231F20"/>
          <w:spacing w:val="-2"/>
          <w:sz w:val="18"/>
        </w:rPr>
        <w:t>of</w:t>
      </w:r>
      <w:r>
        <w:rPr>
          <w:color w:val="231F20"/>
          <w:spacing w:val="-7"/>
          <w:sz w:val="18"/>
        </w:rPr>
        <w:t> </w:t>
      </w:r>
      <w:r>
        <w:rPr>
          <w:color w:val="231F20"/>
          <w:spacing w:val="-2"/>
          <w:sz w:val="18"/>
        </w:rPr>
        <w:t>culture</w:t>
      </w:r>
      <w:r>
        <w:rPr>
          <w:color w:val="231F20"/>
          <w:spacing w:val="-7"/>
          <w:sz w:val="18"/>
        </w:rPr>
        <w:t> </w:t>
      </w:r>
      <w:r>
        <w:rPr>
          <w:color w:val="231F20"/>
          <w:spacing w:val="-2"/>
          <w:sz w:val="18"/>
        </w:rPr>
        <w:t>theory</w:t>
      </w:r>
      <w:r>
        <w:rPr>
          <w:color w:val="231F20"/>
          <w:spacing w:val="-7"/>
          <w:sz w:val="18"/>
        </w:rPr>
        <w:t> </w:t>
      </w:r>
      <w:r>
        <w:rPr>
          <w:color w:val="231F20"/>
          <w:spacing w:val="-2"/>
          <w:sz w:val="18"/>
        </w:rPr>
        <w:t>in</w:t>
      </w:r>
      <w:r>
        <w:rPr>
          <w:color w:val="231F20"/>
          <w:spacing w:val="-7"/>
          <w:sz w:val="18"/>
        </w:rPr>
        <w:t> </w:t>
      </w:r>
      <w:r>
        <w:rPr>
          <w:color w:val="231F20"/>
          <w:spacing w:val="-2"/>
          <w:sz w:val="18"/>
        </w:rPr>
        <w:t>cross-cultural</w:t>
      </w:r>
      <w:r>
        <w:rPr>
          <w:color w:val="231F20"/>
          <w:spacing w:val="-7"/>
          <w:sz w:val="18"/>
        </w:rPr>
        <w:t> </w:t>
      </w:r>
      <w:r>
        <w:rPr>
          <w:color w:val="231F20"/>
          <w:spacing w:val="-2"/>
          <w:sz w:val="18"/>
        </w:rPr>
        <w:t>training:</w:t>
      </w:r>
      <w:r>
        <w:rPr>
          <w:color w:val="231F20"/>
          <w:spacing w:val="-7"/>
          <w:sz w:val="18"/>
        </w:rPr>
        <w:t> </w:t>
      </w:r>
      <w:r>
        <w:rPr>
          <w:color w:val="231F20"/>
          <w:spacing w:val="-2"/>
          <w:sz w:val="18"/>
        </w:rPr>
        <w:t>a</w:t>
      </w:r>
      <w:r>
        <w:rPr>
          <w:color w:val="231F20"/>
          <w:spacing w:val="-7"/>
          <w:sz w:val="18"/>
        </w:rPr>
        <w:t> </w:t>
      </w:r>
      <w:r>
        <w:rPr>
          <w:color w:val="231F20"/>
          <w:spacing w:val="-2"/>
          <w:sz w:val="18"/>
        </w:rPr>
        <w:t>multimethod </w:t>
      </w:r>
      <w:r>
        <w:rPr>
          <w:color w:val="231F20"/>
          <w:sz w:val="18"/>
        </w:rPr>
        <w:t>study of culture-specific, culture-general, and culture theory-based assimilators. Journal of Cross-Cultural Psychology, 29(5), 630–655.</w:t>
      </w:r>
    </w:p>
    <w:p>
      <w:pPr>
        <w:pStyle w:val="ListParagraph"/>
        <w:numPr>
          <w:ilvl w:val="2"/>
          <w:numId w:val="47"/>
        </w:numPr>
        <w:tabs>
          <w:tab w:pos="708" w:val="left" w:leader="none"/>
        </w:tabs>
        <w:spacing w:line="232" w:lineRule="auto" w:before="0" w:after="0"/>
        <w:ind w:left="708" w:right="422" w:hanging="284"/>
        <w:jc w:val="both"/>
        <w:rPr>
          <w:sz w:val="18"/>
        </w:rPr>
      </w:pPr>
      <w:r>
        <w:rPr>
          <w:color w:val="231F20"/>
          <w:sz w:val="18"/>
        </w:rPr>
        <w:t>Gwozdziewycz</w:t>
      </w:r>
      <w:r>
        <w:rPr>
          <w:color w:val="231F20"/>
          <w:spacing w:val="-1"/>
          <w:sz w:val="18"/>
        </w:rPr>
        <w:t> </w:t>
      </w:r>
      <w:r>
        <w:rPr>
          <w:color w:val="231F20"/>
          <w:sz w:val="18"/>
        </w:rPr>
        <w:t>N.,</w:t>
      </w:r>
      <w:r>
        <w:rPr>
          <w:color w:val="231F20"/>
          <w:spacing w:val="80"/>
          <w:sz w:val="18"/>
        </w:rPr>
        <w:t> </w:t>
      </w:r>
      <w:r>
        <w:rPr>
          <w:color w:val="231F20"/>
          <w:sz w:val="18"/>
        </w:rPr>
        <w:t>Mehl-Madrona</w:t>
      </w:r>
      <w:r>
        <w:rPr>
          <w:color w:val="231F20"/>
          <w:spacing w:val="-1"/>
          <w:sz w:val="18"/>
        </w:rPr>
        <w:t> </w:t>
      </w:r>
      <w:r>
        <w:rPr>
          <w:color w:val="231F20"/>
          <w:sz w:val="18"/>
        </w:rPr>
        <w:t>L.</w:t>
      </w:r>
      <w:r>
        <w:rPr>
          <w:color w:val="231F20"/>
          <w:spacing w:val="80"/>
          <w:sz w:val="18"/>
        </w:rPr>
        <w:t> </w:t>
      </w:r>
      <w:r>
        <w:rPr>
          <w:color w:val="231F20"/>
          <w:sz w:val="18"/>
        </w:rPr>
        <w:t>Meta-analysis</w:t>
      </w:r>
      <w:r>
        <w:rPr>
          <w:color w:val="231F20"/>
          <w:spacing w:val="80"/>
          <w:sz w:val="18"/>
        </w:rPr>
        <w:t> </w:t>
      </w:r>
      <w:r>
        <w:rPr>
          <w:color w:val="231F20"/>
          <w:sz w:val="18"/>
        </w:rPr>
        <w:t>of</w:t>
      </w:r>
      <w:r>
        <w:rPr>
          <w:color w:val="231F20"/>
          <w:spacing w:val="80"/>
          <w:sz w:val="18"/>
        </w:rPr>
        <w:t> </w:t>
      </w:r>
      <w:r>
        <w:rPr>
          <w:color w:val="231F20"/>
          <w:sz w:val="18"/>
        </w:rPr>
        <w:t>the</w:t>
      </w:r>
      <w:r>
        <w:rPr>
          <w:color w:val="231F20"/>
          <w:spacing w:val="80"/>
          <w:sz w:val="18"/>
        </w:rPr>
        <w:t> </w:t>
      </w:r>
      <w:r>
        <w:rPr>
          <w:color w:val="231F20"/>
          <w:sz w:val="18"/>
        </w:rPr>
        <w:t>use</w:t>
      </w:r>
      <w:r>
        <w:rPr>
          <w:color w:val="231F20"/>
          <w:spacing w:val="80"/>
          <w:sz w:val="18"/>
        </w:rPr>
        <w:t> </w:t>
      </w:r>
      <w:r>
        <w:rPr>
          <w:color w:val="231F20"/>
          <w:sz w:val="18"/>
        </w:rPr>
        <w:t>of</w:t>
      </w:r>
      <w:r>
        <w:rPr>
          <w:color w:val="231F20"/>
          <w:spacing w:val="80"/>
          <w:sz w:val="18"/>
        </w:rPr>
        <w:t> </w:t>
      </w:r>
      <w:r>
        <w:rPr>
          <w:color w:val="231F20"/>
          <w:sz w:val="18"/>
        </w:rPr>
        <w:t>narrative exposure therapy for the effects of trauma among refugee populations. Perm J. 2013 Winter;17(1):70-6.</w:t>
      </w:r>
      <w:r>
        <w:rPr>
          <w:color w:val="231F20"/>
          <w:spacing w:val="-6"/>
          <w:sz w:val="18"/>
        </w:rPr>
        <w:t> </w:t>
      </w:r>
      <w:r>
        <w:rPr>
          <w:color w:val="231F20"/>
          <w:sz w:val="18"/>
        </w:rPr>
        <w:t>doi:</w:t>
      </w:r>
      <w:r>
        <w:rPr>
          <w:color w:val="231F20"/>
          <w:spacing w:val="-6"/>
          <w:sz w:val="18"/>
        </w:rPr>
        <w:t> </w:t>
      </w:r>
      <w:r>
        <w:rPr>
          <w:color w:val="231F20"/>
          <w:sz w:val="18"/>
        </w:rPr>
        <w:t>10.7812/TPP/12-058.</w:t>
      </w:r>
      <w:r>
        <w:rPr>
          <w:color w:val="231F20"/>
          <w:spacing w:val="-6"/>
          <w:sz w:val="18"/>
        </w:rPr>
        <w:t> </w:t>
      </w:r>
      <w:r>
        <w:rPr>
          <w:color w:val="231F20"/>
          <w:sz w:val="18"/>
        </w:rPr>
        <w:t>PMID:</w:t>
      </w:r>
      <w:r>
        <w:rPr>
          <w:color w:val="231F20"/>
          <w:spacing w:val="-6"/>
          <w:sz w:val="18"/>
        </w:rPr>
        <w:t> </w:t>
      </w:r>
      <w:r>
        <w:rPr>
          <w:color w:val="231F20"/>
          <w:sz w:val="18"/>
        </w:rPr>
        <w:t>23596375;</w:t>
      </w:r>
      <w:r>
        <w:rPr>
          <w:color w:val="231F20"/>
          <w:spacing w:val="-6"/>
          <w:sz w:val="18"/>
        </w:rPr>
        <w:t> </w:t>
      </w:r>
      <w:r>
        <w:rPr>
          <w:color w:val="231F20"/>
          <w:sz w:val="18"/>
        </w:rPr>
        <w:t>PMCID:</w:t>
      </w:r>
      <w:r>
        <w:rPr>
          <w:color w:val="231F20"/>
          <w:spacing w:val="-6"/>
          <w:sz w:val="18"/>
        </w:rPr>
        <w:t> </w:t>
      </w:r>
      <w:r>
        <w:rPr>
          <w:color w:val="231F20"/>
          <w:sz w:val="18"/>
        </w:rPr>
        <w:t>PMC3627789;</w:t>
      </w:r>
    </w:p>
    <w:p>
      <w:pPr>
        <w:pStyle w:val="ListParagraph"/>
        <w:numPr>
          <w:ilvl w:val="2"/>
          <w:numId w:val="47"/>
        </w:numPr>
        <w:tabs>
          <w:tab w:pos="708" w:val="left" w:leader="none"/>
        </w:tabs>
        <w:spacing w:line="232" w:lineRule="auto" w:before="0" w:after="0"/>
        <w:ind w:left="708" w:right="422" w:hanging="284"/>
        <w:jc w:val="both"/>
        <w:rPr>
          <w:sz w:val="18"/>
        </w:rPr>
      </w:pPr>
      <w:r>
        <w:rPr>
          <w:color w:val="231F20"/>
          <w:sz w:val="18"/>
        </w:rPr>
        <w:t>Herfst</w:t>
      </w:r>
      <w:r>
        <w:rPr>
          <w:color w:val="231F20"/>
          <w:spacing w:val="-7"/>
          <w:sz w:val="18"/>
        </w:rPr>
        <w:t> </w:t>
      </w:r>
      <w:r>
        <w:rPr>
          <w:color w:val="231F20"/>
          <w:sz w:val="18"/>
        </w:rPr>
        <w:t>S.</w:t>
      </w:r>
      <w:r>
        <w:rPr>
          <w:color w:val="231F20"/>
          <w:spacing w:val="-7"/>
          <w:sz w:val="18"/>
        </w:rPr>
        <w:t> </w:t>
      </w:r>
      <w:r>
        <w:rPr>
          <w:color w:val="231F20"/>
          <w:sz w:val="18"/>
        </w:rPr>
        <w:t>L.,</w:t>
      </w:r>
      <w:r>
        <w:rPr>
          <w:color w:val="231F20"/>
          <w:spacing w:val="-8"/>
          <w:sz w:val="18"/>
        </w:rPr>
        <w:t> </w:t>
      </w:r>
      <w:r>
        <w:rPr>
          <w:color w:val="231F20"/>
          <w:sz w:val="18"/>
        </w:rPr>
        <w:t>Oudenhoven</w:t>
      </w:r>
      <w:r>
        <w:rPr>
          <w:color w:val="231F20"/>
          <w:spacing w:val="-6"/>
          <w:sz w:val="18"/>
        </w:rPr>
        <w:t> </w:t>
      </w:r>
      <w:r>
        <w:rPr>
          <w:color w:val="231F20"/>
          <w:sz w:val="18"/>
        </w:rPr>
        <w:t>J.</w:t>
      </w:r>
      <w:r>
        <w:rPr>
          <w:color w:val="231F20"/>
          <w:spacing w:val="-8"/>
          <w:sz w:val="18"/>
        </w:rPr>
        <w:t> </w:t>
      </w:r>
      <w:r>
        <w:rPr>
          <w:color w:val="231F20"/>
          <w:sz w:val="18"/>
        </w:rPr>
        <w:t>P.,</w:t>
      </w:r>
      <w:r>
        <w:rPr>
          <w:color w:val="231F20"/>
          <w:spacing w:val="-8"/>
          <w:sz w:val="18"/>
        </w:rPr>
        <w:t> </w:t>
      </w:r>
      <w:r>
        <w:rPr>
          <w:color w:val="231F20"/>
          <w:sz w:val="18"/>
        </w:rPr>
        <w:t>and</w:t>
      </w:r>
      <w:r>
        <w:rPr>
          <w:color w:val="231F20"/>
          <w:spacing w:val="-11"/>
          <w:sz w:val="18"/>
        </w:rPr>
        <w:t> </w:t>
      </w:r>
      <w:r>
        <w:rPr>
          <w:color w:val="231F20"/>
          <w:sz w:val="18"/>
        </w:rPr>
        <w:t>Timmerman</w:t>
      </w:r>
      <w:r>
        <w:rPr>
          <w:color w:val="231F20"/>
          <w:spacing w:val="-6"/>
          <w:sz w:val="18"/>
        </w:rPr>
        <w:t> </w:t>
      </w:r>
      <w:r>
        <w:rPr>
          <w:color w:val="231F20"/>
          <w:sz w:val="18"/>
        </w:rPr>
        <w:t>M.</w:t>
      </w:r>
      <w:r>
        <w:rPr>
          <w:color w:val="231F20"/>
          <w:spacing w:val="-8"/>
          <w:sz w:val="18"/>
        </w:rPr>
        <w:t> </w:t>
      </w:r>
      <w:r>
        <w:rPr>
          <w:color w:val="231F20"/>
          <w:sz w:val="18"/>
        </w:rPr>
        <w:t>E..</w:t>
      </w:r>
      <w:r>
        <w:rPr>
          <w:color w:val="231F20"/>
          <w:spacing w:val="-8"/>
          <w:sz w:val="18"/>
        </w:rPr>
        <w:t> </w:t>
      </w:r>
      <w:r>
        <w:rPr>
          <w:color w:val="231F20"/>
          <w:sz w:val="18"/>
        </w:rPr>
        <w:t>2008.</w:t>
      </w:r>
      <w:r>
        <w:rPr>
          <w:color w:val="231F20"/>
          <w:spacing w:val="-8"/>
          <w:sz w:val="18"/>
        </w:rPr>
        <w:t> </w:t>
      </w:r>
      <w:r>
        <w:rPr>
          <w:color w:val="231F20"/>
          <w:sz w:val="18"/>
        </w:rPr>
        <w:t>«Intercultural</w:t>
      </w:r>
      <w:r>
        <w:rPr>
          <w:color w:val="231F20"/>
          <w:spacing w:val="-8"/>
          <w:sz w:val="18"/>
        </w:rPr>
        <w:t> </w:t>
      </w:r>
      <w:r>
        <w:rPr>
          <w:color w:val="231F20"/>
          <w:sz w:val="18"/>
        </w:rPr>
        <w:t>Effectiveness Training in Three Western Immigrant Countries:</w:t>
      </w:r>
      <w:r>
        <w:rPr>
          <w:color w:val="231F20"/>
          <w:spacing w:val="-5"/>
          <w:sz w:val="18"/>
        </w:rPr>
        <w:t> </w:t>
      </w:r>
      <w:r>
        <w:rPr>
          <w:color w:val="231F20"/>
          <w:sz w:val="18"/>
        </w:rPr>
        <w:t>A</w:t>
      </w:r>
      <w:r>
        <w:rPr>
          <w:color w:val="231F20"/>
          <w:spacing w:val="-5"/>
          <w:sz w:val="18"/>
        </w:rPr>
        <w:t> </w:t>
      </w:r>
      <w:r>
        <w:rPr>
          <w:color w:val="231F20"/>
          <w:sz w:val="18"/>
        </w:rPr>
        <w:t>Cross-cultural Evaluation of Critical Incidents» International Journal of Intercultural Relations 32: 67–80. DOI:</w:t>
      </w:r>
      <w:r>
        <w:rPr>
          <w:color w:val="231F20"/>
          <w:spacing w:val="-1"/>
          <w:sz w:val="18"/>
        </w:rPr>
        <w:t> </w:t>
      </w:r>
      <w:r>
        <w:rPr>
          <w:color w:val="231F20"/>
          <w:sz w:val="18"/>
        </w:rPr>
        <w:t>10.1016/j. </w:t>
      </w:r>
      <w:r>
        <w:rPr>
          <w:color w:val="231F20"/>
          <w:spacing w:val="-2"/>
          <w:sz w:val="18"/>
        </w:rPr>
        <w:t>ijintrel.2007.10.001.</w:t>
      </w:r>
    </w:p>
    <w:p>
      <w:pPr>
        <w:pStyle w:val="ListParagraph"/>
        <w:numPr>
          <w:ilvl w:val="2"/>
          <w:numId w:val="47"/>
        </w:numPr>
        <w:tabs>
          <w:tab w:pos="708" w:val="left" w:leader="none"/>
        </w:tabs>
        <w:spacing w:line="195" w:lineRule="exact" w:before="0" w:after="0"/>
        <w:ind w:left="708" w:right="0" w:hanging="283"/>
        <w:jc w:val="both"/>
        <w:rPr>
          <w:sz w:val="18"/>
        </w:rPr>
      </w:pPr>
      <w:r>
        <w:rPr>
          <w:color w:val="231F20"/>
          <w:sz w:val="18"/>
        </w:rPr>
        <w:t>Interkulturelle</w:t>
      </w:r>
      <w:r>
        <w:rPr>
          <w:color w:val="231F20"/>
          <w:spacing w:val="-4"/>
          <w:sz w:val="18"/>
        </w:rPr>
        <w:t> </w:t>
      </w:r>
      <w:r>
        <w:rPr>
          <w:color w:val="231F20"/>
          <w:sz w:val="18"/>
        </w:rPr>
        <w:t>Kompetenz</w:t>
      </w:r>
      <w:r>
        <w:rPr>
          <w:color w:val="231F20"/>
          <w:spacing w:val="-4"/>
          <w:sz w:val="18"/>
        </w:rPr>
        <w:t> </w:t>
      </w:r>
      <w:r>
        <w:rPr>
          <w:color w:val="231F20"/>
          <w:sz w:val="18"/>
        </w:rPr>
        <w:t>fuer</w:t>
      </w:r>
      <w:r>
        <w:rPr>
          <w:color w:val="231F20"/>
          <w:spacing w:val="-4"/>
          <w:sz w:val="18"/>
        </w:rPr>
        <w:t> </w:t>
      </w:r>
      <w:r>
        <w:rPr>
          <w:color w:val="231F20"/>
          <w:sz w:val="18"/>
        </w:rPr>
        <w:t>Grundschullehrer.</w:t>
      </w:r>
      <w:r>
        <w:rPr>
          <w:color w:val="231F20"/>
          <w:spacing w:val="-4"/>
          <w:sz w:val="18"/>
        </w:rPr>
        <w:t> </w:t>
      </w:r>
      <w:r>
        <w:rPr>
          <w:color w:val="231F20"/>
          <w:sz w:val="18"/>
        </w:rPr>
        <w:t>Handbuch.</w:t>
      </w:r>
      <w:r>
        <w:rPr>
          <w:color w:val="231F20"/>
          <w:spacing w:val="-4"/>
          <w:sz w:val="18"/>
        </w:rPr>
        <w:t> </w:t>
      </w:r>
      <w:r>
        <w:rPr>
          <w:color w:val="231F20"/>
          <w:sz w:val="18"/>
        </w:rPr>
        <w:t>Sofia,</w:t>
      </w:r>
      <w:r>
        <w:rPr>
          <w:color w:val="231F20"/>
          <w:spacing w:val="-4"/>
          <w:sz w:val="18"/>
        </w:rPr>
        <w:t> </w:t>
      </w:r>
      <w:r>
        <w:rPr>
          <w:color w:val="231F20"/>
          <w:spacing w:val="-2"/>
          <w:sz w:val="18"/>
        </w:rPr>
        <w:t>2006.</w:t>
      </w:r>
    </w:p>
    <w:p>
      <w:pPr>
        <w:pStyle w:val="ListParagraph"/>
        <w:numPr>
          <w:ilvl w:val="2"/>
          <w:numId w:val="47"/>
        </w:numPr>
        <w:tabs>
          <w:tab w:pos="708" w:val="left" w:leader="none"/>
        </w:tabs>
        <w:spacing w:line="232" w:lineRule="auto" w:before="0" w:after="0"/>
        <w:ind w:left="708" w:right="423" w:hanging="284"/>
        <w:jc w:val="both"/>
        <w:rPr>
          <w:sz w:val="18"/>
        </w:rPr>
      </w:pPr>
      <w:r>
        <w:rPr>
          <w:color w:val="231F20"/>
          <w:sz w:val="18"/>
        </w:rPr>
        <w:t>Kangaslampi</w:t>
      </w:r>
      <w:r>
        <w:rPr>
          <w:color w:val="231F20"/>
          <w:spacing w:val="-12"/>
          <w:sz w:val="18"/>
        </w:rPr>
        <w:t> </w:t>
      </w:r>
      <w:r>
        <w:rPr>
          <w:color w:val="231F20"/>
          <w:sz w:val="18"/>
        </w:rPr>
        <w:t>S.,</w:t>
      </w:r>
      <w:r>
        <w:rPr>
          <w:color w:val="231F20"/>
          <w:spacing w:val="-11"/>
          <w:sz w:val="18"/>
        </w:rPr>
        <w:t> </w:t>
      </w:r>
      <w:r>
        <w:rPr>
          <w:color w:val="231F20"/>
          <w:sz w:val="18"/>
        </w:rPr>
        <w:t>Garoff</w:t>
      </w:r>
      <w:r>
        <w:rPr>
          <w:color w:val="231F20"/>
          <w:spacing w:val="-11"/>
          <w:sz w:val="18"/>
        </w:rPr>
        <w:t> </w:t>
      </w:r>
      <w:r>
        <w:rPr>
          <w:color w:val="231F20"/>
          <w:sz w:val="18"/>
        </w:rPr>
        <w:t>F.,</w:t>
      </w:r>
      <w:r>
        <w:rPr>
          <w:color w:val="231F20"/>
          <w:spacing w:val="-11"/>
          <w:sz w:val="18"/>
        </w:rPr>
        <w:t> </w:t>
      </w:r>
      <w:r>
        <w:rPr>
          <w:color w:val="231F20"/>
          <w:sz w:val="18"/>
        </w:rPr>
        <w:t>Peltonen</w:t>
      </w:r>
      <w:r>
        <w:rPr>
          <w:color w:val="231F20"/>
          <w:spacing w:val="-12"/>
          <w:sz w:val="18"/>
        </w:rPr>
        <w:t> </w:t>
      </w:r>
      <w:r>
        <w:rPr>
          <w:color w:val="231F20"/>
          <w:sz w:val="18"/>
        </w:rPr>
        <w:t>K.</w:t>
      </w:r>
      <w:r>
        <w:rPr>
          <w:color w:val="231F20"/>
          <w:spacing w:val="-11"/>
          <w:sz w:val="18"/>
        </w:rPr>
        <w:t> </w:t>
      </w:r>
      <w:r>
        <w:rPr>
          <w:color w:val="231F20"/>
          <w:sz w:val="18"/>
        </w:rPr>
        <w:t>Narrative</w:t>
      </w:r>
      <w:r>
        <w:rPr>
          <w:color w:val="231F20"/>
          <w:spacing w:val="-11"/>
          <w:sz w:val="18"/>
        </w:rPr>
        <w:t> </w:t>
      </w:r>
      <w:r>
        <w:rPr>
          <w:color w:val="231F20"/>
          <w:sz w:val="18"/>
        </w:rPr>
        <w:t>exposure</w:t>
      </w:r>
      <w:r>
        <w:rPr>
          <w:color w:val="231F20"/>
          <w:spacing w:val="-11"/>
          <w:sz w:val="18"/>
        </w:rPr>
        <w:t> </w:t>
      </w:r>
      <w:r>
        <w:rPr>
          <w:color w:val="231F20"/>
          <w:sz w:val="18"/>
        </w:rPr>
        <w:t>therapy</w:t>
      </w:r>
      <w:r>
        <w:rPr>
          <w:color w:val="231F20"/>
          <w:spacing w:val="-12"/>
          <w:sz w:val="18"/>
        </w:rPr>
        <w:t> </w:t>
      </w:r>
      <w:r>
        <w:rPr>
          <w:color w:val="231F20"/>
          <w:sz w:val="18"/>
        </w:rPr>
        <w:t>for</w:t>
      </w:r>
      <w:r>
        <w:rPr>
          <w:color w:val="231F20"/>
          <w:spacing w:val="-11"/>
          <w:sz w:val="18"/>
        </w:rPr>
        <w:t> </w:t>
      </w:r>
      <w:r>
        <w:rPr>
          <w:color w:val="231F20"/>
          <w:sz w:val="18"/>
        </w:rPr>
        <w:t>immigrant</w:t>
      </w:r>
      <w:r>
        <w:rPr>
          <w:color w:val="231F20"/>
          <w:spacing w:val="-11"/>
          <w:sz w:val="18"/>
        </w:rPr>
        <w:t> </w:t>
      </w:r>
      <w:r>
        <w:rPr>
          <w:color w:val="231F20"/>
          <w:sz w:val="18"/>
        </w:rPr>
        <w:t>children traumatized</w:t>
      </w:r>
      <w:r>
        <w:rPr>
          <w:color w:val="231F20"/>
          <w:spacing w:val="-1"/>
          <w:sz w:val="18"/>
        </w:rPr>
        <w:t> </w:t>
      </w:r>
      <w:r>
        <w:rPr>
          <w:color w:val="231F20"/>
          <w:sz w:val="18"/>
        </w:rPr>
        <w:t>by</w:t>
      </w:r>
      <w:r>
        <w:rPr>
          <w:color w:val="231F20"/>
          <w:spacing w:val="-1"/>
          <w:sz w:val="18"/>
        </w:rPr>
        <w:t> </w:t>
      </w:r>
      <w:r>
        <w:rPr>
          <w:color w:val="231F20"/>
          <w:sz w:val="18"/>
        </w:rPr>
        <w:t>war:</w:t>
      </w:r>
      <w:r>
        <w:rPr>
          <w:color w:val="231F20"/>
          <w:spacing w:val="-1"/>
          <w:sz w:val="18"/>
        </w:rPr>
        <w:t> </w:t>
      </w:r>
      <w:r>
        <w:rPr>
          <w:color w:val="231F20"/>
          <w:sz w:val="18"/>
        </w:rPr>
        <w:t>study</w:t>
      </w:r>
      <w:r>
        <w:rPr>
          <w:color w:val="231F20"/>
          <w:spacing w:val="-1"/>
          <w:sz w:val="18"/>
        </w:rPr>
        <w:t> </w:t>
      </w:r>
      <w:r>
        <w:rPr>
          <w:color w:val="231F20"/>
          <w:sz w:val="18"/>
        </w:rPr>
        <w:t>protocol</w:t>
      </w:r>
      <w:r>
        <w:rPr>
          <w:color w:val="231F20"/>
          <w:spacing w:val="-1"/>
          <w:sz w:val="18"/>
        </w:rPr>
        <w:t> </w:t>
      </w:r>
      <w:r>
        <w:rPr>
          <w:color w:val="231F20"/>
          <w:sz w:val="18"/>
        </w:rPr>
        <w:t>for</w:t>
      </w:r>
      <w:r>
        <w:rPr>
          <w:color w:val="231F20"/>
          <w:spacing w:val="-1"/>
          <w:sz w:val="18"/>
        </w:rPr>
        <w:t> </w:t>
      </w:r>
      <w:r>
        <w:rPr>
          <w:color w:val="231F20"/>
          <w:sz w:val="18"/>
        </w:rPr>
        <w:t>a</w:t>
      </w:r>
      <w:r>
        <w:rPr>
          <w:color w:val="231F20"/>
          <w:spacing w:val="-1"/>
          <w:sz w:val="18"/>
        </w:rPr>
        <w:t> </w:t>
      </w:r>
      <w:r>
        <w:rPr>
          <w:color w:val="231F20"/>
          <w:sz w:val="18"/>
        </w:rPr>
        <w:t>randomized</w:t>
      </w:r>
      <w:r>
        <w:rPr>
          <w:color w:val="231F20"/>
          <w:spacing w:val="-1"/>
          <w:sz w:val="18"/>
        </w:rPr>
        <w:t> </w:t>
      </w:r>
      <w:r>
        <w:rPr>
          <w:color w:val="231F20"/>
          <w:sz w:val="18"/>
        </w:rPr>
        <w:t>controlled</w:t>
      </w:r>
      <w:r>
        <w:rPr>
          <w:color w:val="231F20"/>
          <w:spacing w:val="-1"/>
          <w:sz w:val="18"/>
        </w:rPr>
        <w:t> </w:t>
      </w:r>
      <w:r>
        <w:rPr>
          <w:color w:val="231F20"/>
          <w:sz w:val="18"/>
        </w:rPr>
        <w:t>trial</w:t>
      </w:r>
      <w:r>
        <w:rPr>
          <w:color w:val="231F20"/>
          <w:spacing w:val="-1"/>
          <w:sz w:val="18"/>
        </w:rPr>
        <w:t> </w:t>
      </w:r>
      <w:r>
        <w:rPr>
          <w:color w:val="231F20"/>
          <w:sz w:val="18"/>
        </w:rPr>
        <w:t>of</w:t>
      </w:r>
      <w:r>
        <w:rPr>
          <w:color w:val="231F20"/>
          <w:spacing w:val="-1"/>
          <w:sz w:val="18"/>
        </w:rPr>
        <w:t> </w:t>
      </w:r>
      <w:r>
        <w:rPr>
          <w:color w:val="231F20"/>
          <w:sz w:val="18"/>
        </w:rPr>
        <w:t>effectiveness</w:t>
      </w:r>
      <w:r>
        <w:rPr>
          <w:color w:val="231F20"/>
          <w:spacing w:val="-1"/>
          <w:sz w:val="18"/>
        </w:rPr>
        <w:t> </w:t>
      </w:r>
      <w:r>
        <w:rPr>
          <w:color w:val="231F20"/>
          <w:sz w:val="18"/>
        </w:rPr>
        <w:t>and mechanisms</w:t>
      </w:r>
      <w:r>
        <w:rPr>
          <w:color w:val="231F20"/>
          <w:spacing w:val="-12"/>
          <w:sz w:val="18"/>
        </w:rPr>
        <w:t> </w:t>
      </w:r>
      <w:r>
        <w:rPr>
          <w:color w:val="231F20"/>
          <w:sz w:val="18"/>
        </w:rPr>
        <w:t>of</w:t>
      </w:r>
      <w:r>
        <w:rPr>
          <w:color w:val="231F20"/>
          <w:spacing w:val="-11"/>
          <w:sz w:val="18"/>
        </w:rPr>
        <w:t> </w:t>
      </w:r>
      <w:r>
        <w:rPr>
          <w:color w:val="231F20"/>
          <w:sz w:val="18"/>
        </w:rPr>
        <w:t>change.</w:t>
      </w:r>
      <w:r>
        <w:rPr>
          <w:color w:val="231F20"/>
          <w:spacing w:val="-11"/>
          <w:sz w:val="18"/>
        </w:rPr>
        <w:t> </w:t>
      </w:r>
      <w:r>
        <w:rPr>
          <w:color w:val="231F20"/>
          <w:sz w:val="18"/>
        </w:rPr>
        <w:t>BMC</w:t>
      </w:r>
      <w:r>
        <w:rPr>
          <w:color w:val="231F20"/>
          <w:spacing w:val="-11"/>
          <w:sz w:val="18"/>
        </w:rPr>
        <w:t> </w:t>
      </w:r>
      <w:r>
        <w:rPr>
          <w:color w:val="231F20"/>
          <w:sz w:val="18"/>
        </w:rPr>
        <w:t>Psychiatry.</w:t>
      </w:r>
      <w:r>
        <w:rPr>
          <w:color w:val="231F20"/>
          <w:spacing w:val="-12"/>
          <w:sz w:val="18"/>
        </w:rPr>
        <w:t> </w:t>
      </w:r>
      <w:r>
        <w:rPr>
          <w:color w:val="231F20"/>
          <w:sz w:val="18"/>
        </w:rPr>
        <w:t>2015</w:t>
      </w:r>
      <w:r>
        <w:rPr>
          <w:color w:val="231F20"/>
          <w:spacing w:val="-11"/>
          <w:sz w:val="18"/>
        </w:rPr>
        <w:t> </w:t>
      </w:r>
      <w:r>
        <w:rPr>
          <w:color w:val="231F20"/>
          <w:sz w:val="18"/>
        </w:rPr>
        <w:t>Jun</w:t>
      </w:r>
      <w:r>
        <w:rPr>
          <w:color w:val="231F20"/>
          <w:spacing w:val="-11"/>
          <w:sz w:val="18"/>
        </w:rPr>
        <w:t> </w:t>
      </w:r>
      <w:r>
        <w:rPr>
          <w:color w:val="231F20"/>
          <w:sz w:val="18"/>
        </w:rPr>
        <w:t>17;15:127.</w:t>
      </w:r>
      <w:r>
        <w:rPr>
          <w:color w:val="231F20"/>
          <w:spacing w:val="-11"/>
          <w:sz w:val="18"/>
        </w:rPr>
        <w:t> </w:t>
      </w:r>
      <w:r>
        <w:rPr>
          <w:color w:val="231F20"/>
          <w:sz w:val="18"/>
        </w:rPr>
        <w:t>DOI:</w:t>
      </w:r>
      <w:r>
        <w:rPr>
          <w:color w:val="231F20"/>
          <w:spacing w:val="-12"/>
          <w:sz w:val="18"/>
        </w:rPr>
        <w:t> </w:t>
      </w:r>
      <w:r>
        <w:rPr>
          <w:color w:val="231F20"/>
          <w:sz w:val="18"/>
        </w:rPr>
        <w:t>10.1186/s12888-015- 0520-z. PMID: 26081580; PMCID: PMC4469253.</w:t>
      </w:r>
    </w:p>
    <w:p>
      <w:pPr>
        <w:pStyle w:val="ListParagraph"/>
        <w:numPr>
          <w:ilvl w:val="2"/>
          <w:numId w:val="47"/>
        </w:numPr>
        <w:tabs>
          <w:tab w:pos="708" w:val="left" w:leader="none"/>
        </w:tabs>
        <w:spacing w:line="232" w:lineRule="auto" w:before="0" w:after="0"/>
        <w:ind w:left="708" w:right="423" w:hanging="284"/>
        <w:jc w:val="both"/>
        <w:rPr>
          <w:sz w:val="18"/>
        </w:rPr>
      </w:pPr>
      <w:r>
        <w:rPr>
          <w:color w:val="231F20"/>
          <w:sz w:val="18"/>
        </w:rPr>
        <w:t>Lambert</w:t>
      </w:r>
      <w:r>
        <w:rPr>
          <w:color w:val="231F20"/>
          <w:spacing w:val="-2"/>
          <w:sz w:val="18"/>
        </w:rPr>
        <w:t> </w:t>
      </w:r>
      <w:r>
        <w:rPr>
          <w:color w:val="231F20"/>
          <w:sz w:val="18"/>
        </w:rPr>
        <w:t>M.J., &amp; Barley</w:t>
      </w:r>
      <w:r>
        <w:rPr>
          <w:color w:val="231F20"/>
          <w:spacing w:val="-2"/>
          <w:sz w:val="18"/>
        </w:rPr>
        <w:t> </w:t>
      </w:r>
      <w:r>
        <w:rPr>
          <w:color w:val="231F20"/>
          <w:sz w:val="18"/>
        </w:rPr>
        <w:t>D.E. Research summary on the therapeutic relationship and psychotherapy outcome.</w:t>
      </w:r>
      <w:r>
        <w:rPr>
          <w:color w:val="231F20"/>
          <w:spacing w:val="-4"/>
          <w:sz w:val="18"/>
        </w:rPr>
        <w:t> </w:t>
      </w:r>
      <w:r>
        <w:rPr>
          <w:color w:val="231F20"/>
          <w:sz w:val="18"/>
        </w:rPr>
        <w:t>Psychotherapy: Theory, Research, Practice, Training, </w:t>
      </w:r>
      <w:r>
        <w:rPr>
          <w:color w:val="231F20"/>
          <w:sz w:val="18"/>
        </w:rPr>
        <w:t>38(4), 357–361. 2001.</w:t>
      </w:r>
    </w:p>
    <w:p>
      <w:pPr>
        <w:pStyle w:val="ListParagraph"/>
        <w:numPr>
          <w:ilvl w:val="2"/>
          <w:numId w:val="47"/>
        </w:numPr>
        <w:tabs>
          <w:tab w:pos="708" w:val="left" w:leader="none"/>
        </w:tabs>
        <w:spacing w:line="232" w:lineRule="auto" w:before="0" w:after="0"/>
        <w:ind w:left="708" w:right="423" w:hanging="284"/>
        <w:jc w:val="both"/>
        <w:rPr>
          <w:sz w:val="18"/>
        </w:rPr>
      </w:pPr>
      <w:r>
        <w:rPr>
          <w:color w:val="231F20"/>
          <w:sz w:val="18"/>
        </w:rPr>
        <w:t>Landreth</w:t>
      </w:r>
      <w:r>
        <w:rPr>
          <w:color w:val="231F20"/>
          <w:spacing w:val="-3"/>
          <w:sz w:val="18"/>
        </w:rPr>
        <w:t> </w:t>
      </w:r>
      <w:r>
        <w:rPr>
          <w:color w:val="231F20"/>
          <w:sz w:val="18"/>
        </w:rPr>
        <w:t>G., Bratton</w:t>
      </w:r>
      <w:r>
        <w:rPr>
          <w:color w:val="231F20"/>
          <w:spacing w:val="-3"/>
          <w:sz w:val="18"/>
        </w:rPr>
        <w:t> </w:t>
      </w:r>
      <w:r>
        <w:rPr>
          <w:color w:val="231F20"/>
          <w:sz w:val="18"/>
        </w:rPr>
        <w:t>S. Play therapy </w:t>
      </w:r>
      <w:hyperlink r:id="rId79">
        <w:r>
          <w:rPr>
            <w:color w:val="2255A6"/>
            <w:sz w:val="18"/>
            <w:u w:val="single" w:color="2255A6"/>
          </w:rPr>
          <w:t>https://www.counseling.org/resources/library/</w:t>
        </w:r>
      </w:hyperlink>
      <w:r>
        <w:rPr>
          <w:color w:val="2255A6"/>
          <w:sz w:val="18"/>
        </w:rPr>
        <w:t> </w:t>
      </w:r>
      <w:hyperlink r:id="rId79">
        <w:r>
          <w:rPr>
            <w:color w:val="2255A6"/>
            <w:spacing w:val="-2"/>
            <w:sz w:val="18"/>
            <w:u w:val="single" w:color="2255A6"/>
          </w:rPr>
          <w:t>eric%20digests/99-01.pdf</w:t>
        </w:r>
      </w:hyperlink>
      <w:r>
        <w:rPr>
          <w:color w:val="231F20"/>
          <w:spacing w:val="-2"/>
          <w:sz w:val="18"/>
        </w:rPr>
        <w:t>.</w:t>
      </w:r>
    </w:p>
    <w:p>
      <w:pPr>
        <w:pStyle w:val="ListParagraph"/>
        <w:numPr>
          <w:ilvl w:val="2"/>
          <w:numId w:val="47"/>
        </w:numPr>
        <w:tabs>
          <w:tab w:pos="708" w:val="left" w:leader="none"/>
        </w:tabs>
        <w:spacing w:line="232" w:lineRule="auto" w:before="0" w:after="0"/>
        <w:ind w:left="708" w:right="423" w:hanging="284"/>
        <w:jc w:val="both"/>
        <w:rPr>
          <w:sz w:val="18"/>
        </w:rPr>
      </w:pPr>
      <w:r>
        <w:rPr>
          <w:color w:val="231F20"/>
          <w:sz w:val="18"/>
        </w:rPr>
        <w:t>Liu</w:t>
      </w:r>
      <w:r>
        <w:rPr>
          <w:color w:val="231F20"/>
          <w:spacing w:val="-5"/>
          <w:sz w:val="18"/>
        </w:rPr>
        <w:t> </w:t>
      </w:r>
      <w:r>
        <w:rPr>
          <w:color w:val="231F20"/>
          <w:sz w:val="18"/>
        </w:rPr>
        <w:t>W. &amp; Clay</w:t>
      </w:r>
      <w:r>
        <w:rPr>
          <w:color w:val="231F20"/>
          <w:spacing w:val="-5"/>
          <w:sz w:val="18"/>
        </w:rPr>
        <w:t> </w:t>
      </w:r>
      <w:r>
        <w:rPr>
          <w:color w:val="231F20"/>
          <w:sz w:val="18"/>
        </w:rPr>
        <w:t>D.</w:t>
      </w:r>
      <w:r>
        <w:rPr>
          <w:color w:val="231F20"/>
          <w:spacing w:val="40"/>
          <w:sz w:val="18"/>
        </w:rPr>
        <w:t> </w:t>
      </w:r>
      <w:r>
        <w:rPr>
          <w:color w:val="231F20"/>
          <w:sz w:val="18"/>
        </w:rPr>
        <w:t>Multicultural Counseling Competencies: Guidelines in</w:t>
      </w:r>
      <w:r>
        <w:rPr>
          <w:color w:val="231F20"/>
          <w:spacing w:val="-3"/>
          <w:sz w:val="18"/>
        </w:rPr>
        <w:t> </w:t>
      </w:r>
      <w:r>
        <w:rPr>
          <w:color w:val="231F20"/>
          <w:sz w:val="18"/>
        </w:rPr>
        <w:t>Working with Children and Adolescents. Journal of Mental Health Counseling. 24. 2002</w:t>
      </w:r>
    </w:p>
    <w:p>
      <w:pPr>
        <w:pStyle w:val="ListParagraph"/>
        <w:numPr>
          <w:ilvl w:val="2"/>
          <w:numId w:val="47"/>
        </w:numPr>
        <w:tabs>
          <w:tab w:pos="708" w:val="left" w:leader="none"/>
        </w:tabs>
        <w:spacing w:line="232" w:lineRule="auto" w:before="0" w:after="0"/>
        <w:ind w:left="708" w:right="423" w:hanging="284"/>
        <w:jc w:val="both"/>
        <w:rPr>
          <w:sz w:val="18"/>
        </w:rPr>
      </w:pPr>
      <w:r>
        <w:rPr>
          <w:color w:val="231F20"/>
          <w:sz w:val="18"/>
        </w:rPr>
        <w:t>Morris</w:t>
      </w:r>
      <w:r>
        <w:rPr>
          <w:color w:val="231F20"/>
          <w:spacing w:val="-2"/>
          <w:sz w:val="18"/>
        </w:rPr>
        <w:t> </w:t>
      </w:r>
      <w:r>
        <w:rPr>
          <w:color w:val="231F20"/>
          <w:sz w:val="18"/>
        </w:rPr>
        <w:t>C.C.</w:t>
      </w:r>
      <w:r>
        <w:rPr>
          <w:color w:val="231F20"/>
          <w:spacing w:val="40"/>
          <w:sz w:val="18"/>
        </w:rPr>
        <w:t> </w:t>
      </w:r>
      <w:r>
        <w:rPr>
          <w:color w:val="231F20"/>
          <w:sz w:val="18"/>
        </w:rPr>
        <w:t>Narrative</w:t>
      </w:r>
      <w:r>
        <w:rPr>
          <w:color w:val="231F20"/>
          <w:spacing w:val="40"/>
          <w:sz w:val="18"/>
        </w:rPr>
        <w:t> </w:t>
      </w:r>
      <w:r>
        <w:rPr>
          <w:color w:val="231F20"/>
          <w:sz w:val="18"/>
        </w:rPr>
        <w:t>theory:</w:t>
      </w:r>
      <w:r>
        <w:rPr>
          <w:color w:val="231F20"/>
          <w:spacing w:val="40"/>
          <w:sz w:val="18"/>
        </w:rPr>
        <w:t> </w:t>
      </w:r>
      <w:r>
        <w:rPr>
          <w:color w:val="231F20"/>
          <w:sz w:val="18"/>
        </w:rPr>
        <w:t>A</w:t>
      </w:r>
      <w:r>
        <w:rPr>
          <w:color w:val="231F20"/>
          <w:spacing w:val="40"/>
          <w:sz w:val="18"/>
        </w:rPr>
        <w:t> </w:t>
      </w:r>
      <w:r>
        <w:rPr>
          <w:color w:val="231F20"/>
          <w:sz w:val="18"/>
        </w:rPr>
        <w:t>culturally</w:t>
      </w:r>
      <w:r>
        <w:rPr>
          <w:color w:val="231F20"/>
          <w:spacing w:val="40"/>
          <w:sz w:val="18"/>
        </w:rPr>
        <w:t> </w:t>
      </w:r>
      <w:r>
        <w:rPr>
          <w:color w:val="231F20"/>
          <w:sz w:val="18"/>
        </w:rPr>
        <w:t>sensitive</w:t>
      </w:r>
      <w:r>
        <w:rPr>
          <w:color w:val="231F20"/>
          <w:spacing w:val="40"/>
          <w:sz w:val="18"/>
        </w:rPr>
        <w:t> </w:t>
      </w:r>
      <w:r>
        <w:rPr>
          <w:color w:val="231F20"/>
          <w:sz w:val="18"/>
        </w:rPr>
        <w:t>counseling</w:t>
      </w:r>
      <w:r>
        <w:rPr>
          <w:color w:val="231F20"/>
          <w:spacing w:val="40"/>
          <w:sz w:val="18"/>
        </w:rPr>
        <w:t> </w:t>
      </w:r>
      <w:r>
        <w:rPr>
          <w:color w:val="231F20"/>
          <w:sz w:val="18"/>
        </w:rPr>
        <w:t>and</w:t>
      </w:r>
      <w:r>
        <w:rPr>
          <w:color w:val="231F20"/>
          <w:spacing w:val="40"/>
          <w:sz w:val="18"/>
        </w:rPr>
        <w:t> </w:t>
      </w:r>
      <w:r>
        <w:rPr>
          <w:color w:val="231F20"/>
          <w:sz w:val="18"/>
        </w:rPr>
        <w:t>research framework. 2006 </w:t>
      </w:r>
      <w:hyperlink r:id="rId80">
        <w:r>
          <w:rPr>
            <w:color w:val="2255A6"/>
            <w:sz w:val="18"/>
            <w:u w:val="single" w:color="2255A6"/>
          </w:rPr>
          <w:t>http://www.counselingoutfitters.com/Morris.htm</w:t>
        </w:r>
      </w:hyperlink>
      <w:r>
        <w:rPr>
          <w:color w:val="231F20"/>
          <w:sz w:val="18"/>
        </w:rPr>
        <w:t>.</w:t>
      </w:r>
    </w:p>
    <w:p>
      <w:pPr>
        <w:pStyle w:val="ListParagraph"/>
        <w:numPr>
          <w:ilvl w:val="2"/>
          <w:numId w:val="47"/>
        </w:numPr>
        <w:tabs>
          <w:tab w:pos="708" w:val="left" w:leader="none"/>
        </w:tabs>
        <w:spacing w:line="232" w:lineRule="auto" w:before="0" w:after="0"/>
        <w:ind w:left="708" w:right="423" w:hanging="284"/>
        <w:jc w:val="both"/>
        <w:rPr>
          <w:sz w:val="18"/>
        </w:rPr>
      </w:pPr>
      <w:r>
        <w:rPr>
          <w:color w:val="231F20"/>
          <w:sz w:val="18"/>
        </w:rPr>
        <w:t>Ogden</w:t>
      </w:r>
      <w:r>
        <w:rPr>
          <w:color w:val="231F20"/>
          <w:spacing w:val="-2"/>
          <w:sz w:val="18"/>
        </w:rPr>
        <w:t> </w:t>
      </w:r>
      <w:r>
        <w:rPr>
          <w:color w:val="231F20"/>
          <w:sz w:val="18"/>
        </w:rPr>
        <w:t>T., Sørlie</w:t>
      </w:r>
      <w:r>
        <w:rPr>
          <w:color w:val="231F20"/>
          <w:spacing w:val="-2"/>
          <w:sz w:val="18"/>
        </w:rPr>
        <w:t> </w:t>
      </w:r>
      <w:r>
        <w:rPr>
          <w:color w:val="231F20"/>
          <w:sz w:val="18"/>
        </w:rPr>
        <w:t>M., &amp; Hagen</w:t>
      </w:r>
      <w:r>
        <w:rPr>
          <w:color w:val="231F20"/>
          <w:spacing w:val="-2"/>
          <w:sz w:val="18"/>
        </w:rPr>
        <w:t> </w:t>
      </w:r>
      <w:r>
        <w:rPr>
          <w:color w:val="231F20"/>
          <w:sz w:val="18"/>
        </w:rPr>
        <w:t>K. A. Building strength through enhancing </w:t>
      </w:r>
      <w:r>
        <w:rPr>
          <w:color w:val="231F20"/>
          <w:sz w:val="18"/>
        </w:rPr>
        <w:t>social competence in immigrant students in primary school. A pilot study. Emotional &amp; Behavioural Difficulties, 12, 105–117. (2007</w:t>
      </w:r>
    </w:p>
    <w:p>
      <w:pPr>
        <w:pStyle w:val="ListParagraph"/>
        <w:numPr>
          <w:ilvl w:val="2"/>
          <w:numId w:val="47"/>
        </w:numPr>
        <w:tabs>
          <w:tab w:pos="708" w:val="left" w:leader="none"/>
        </w:tabs>
        <w:spacing w:line="237" w:lineRule="auto" w:before="0" w:after="0"/>
        <w:ind w:left="708" w:right="423" w:hanging="284"/>
        <w:jc w:val="both"/>
        <w:rPr>
          <w:sz w:val="18"/>
        </w:rPr>
      </w:pPr>
      <w:r>
        <w:rPr>
          <w:color w:val="231F20"/>
          <w:sz w:val="18"/>
        </w:rPr>
        <w:t>Post</w:t>
      </w:r>
      <w:r>
        <w:rPr>
          <w:color w:val="231F20"/>
          <w:spacing w:val="-4"/>
          <w:sz w:val="18"/>
        </w:rPr>
        <w:t> </w:t>
      </w:r>
      <w:r>
        <w:rPr>
          <w:color w:val="231F20"/>
          <w:sz w:val="18"/>
        </w:rPr>
        <w:t>P. &amp; Phipps</w:t>
      </w:r>
      <w:r>
        <w:rPr>
          <w:color w:val="231F20"/>
          <w:spacing w:val="-4"/>
          <w:sz w:val="18"/>
        </w:rPr>
        <w:t> </w:t>
      </w:r>
      <w:r>
        <w:rPr>
          <w:color w:val="231F20"/>
          <w:sz w:val="18"/>
        </w:rPr>
        <w:t>C. &amp; Camp</w:t>
      </w:r>
      <w:r>
        <w:rPr>
          <w:color w:val="231F20"/>
          <w:spacing w:val="-3"/>
          <w:sz w:val="18"/>
        </w:rPr>
        <w:t> </w:t>
      </w:r>
      <w:r>
        <w:rPr>
          <w:color w:val="231F20"/>
          <w:sz w:val="18"/>
        </w:rPr>
        <w:t>A. &amp; Grybush</w:t>
      </w:r>
      <w:r>
        <w:rPr>
          <w:color w:val="231F20"/>
          <w:spacing w:val="-3"/>
          <w:sz w:val="18"/>
        </w:rPr>
        <w:t> </w:t>
      </w:r>
      <w:r>
        <w:rPr>
          <w:color w:val="231F20"/>
          <w:sz w:val="18"/>
        </w:rPr>
        <w:t>A. Effectiveness of child-centered play therapy among marginalized children. International Journal of Play Therapy. 28. 88–97. 10.1037/pla0000096. 2019.</w:t>
      </w:r>
    </w:p>
    <w:p>
      <w:pPr>
        <w:pStyle w:val="ListParagraph"/>
        <w:numPr>
          <w:ilvl w:val="2"/>
          <w:numId w:val="47"/>
        </w:numPr>
        <w:tabs>
          <w:tab w:pos="708" w:val="left" w:leader="none"/>
        </w:tabs>
        <w:spacing w:line="237" w:lineRule="auto" w:before="0" w:after="0"/>
        <w:ind w:left="708" w:right="422" w:hanging="284"/>
        <w:jc w:val="both"/>
        <w:rPr>
          <w:sz w:val="18"/>
        </w:rPr>
      </w:pPr>
      <w:r>
        <w:rPr>
          <w:color w:val="231F20"/>
          <w:sz w:val="18"/>
        </w:rPr>
        <w:t>Sandu</w:t>
      </w:r>
      <w:r>
        <w:rPr>
          <w:color w:val="231F20"/>
          <w:spacing w:val="-3"/>
          <w:sz w:val="18"/>
        </w:rPr>
        <w:t> </w:t>
      </w:r>
      <w:r>
        <w:rPr>
          <w:color w:val="231F20"/>
          <w:sz w:val="18"/>
        </w:rPr>
        <w:t>O.N., Lyamouri-Bajja</w:t>
      </w:r>
      <w:r>
        <w:rPr>
          <w:color w:val="231F20"/>
          <w:spacing w:val="-3"/>
          <w:sz w:val="18"/>
        </w:rPr>
        <w:t> </w:t>
      </w:r>
      <w:r>
        <w:rPr>
          <w:color w:val="231F20"/>
          <w:sz w:val="18"/>
        </w:rPr>
        <w:t>N. Intercultural learning: toolkit. Council of Europe and European Commission, 2018</w:t>
      </w:r>
    </w:p>
    <w:p>
      <w:pPr>
        <w:pStyle w:val="ListParagraph"/>
        <w:numPr>
          <w:ilvl w:val="2"/>
          <w:numId w:val="47"/>
        </w:numPr>
        <w:tabs>
          <w:tab w:pos="708" w:val="left" w:leader="none"/>
        </w:tabs>
        <w:spacing w:line="202" w:lineRule="exact" w:before="0" w:after="0"/>
        <w:ind w:left="708" w:right="0" w:hanging="283"/>
        <w:jc w:val="both"/>
        <w:rPr>
          <w:sz w:val="18"/>
        </w:rPr>
      </w:pPr>
      <w:r>
        <w:rPr>
          <w:color w:val="231F20"/>
          <w:sz w:val="18"/>
        </w:rPr>
        <w:t>Sommers-Flanagan</w:t>
      </w:r>
      <w:r>
        <w:rPr>
          <w:color w:val="231F20"/>
          <w:spacing w:val="-2"/>
          <w:sz w:val="18"/>
        </w:rPr>
        <w:t> </w:t>
      </w:r>
      <w:r>
        <w:rPr>
          <w:color w:val="231F20"/>
          <w:sz w:val="18"/>
        </w:rPr>
        <w:t>J.,</w:t>
      </w:r>
      <w:r>
        <w:rPr>
          <w:color w:val="231F20"/>
          <w:spacing w:val="-2"/>
          <w:sz w:val="18"/>
        </w:rPr>
        <w:t> </w:t>
      </w:r>
      <w:r>
        <w:rPr>
          <w:color w:val="231F20"/>
          <w:sz w:val="18"/>
        </w:rPr>
        <w:t>Sommers-Flanagan</w:t>
      </w:r>
      <w:r>
        <w:rPr>
          <w:color w:val="231F20"/>
          <w:spacing w:val="-2"/>
          <w:sz w:val="18"/>
        </w:rPr>
        <w:t> </w:t>
      </w:r>
      <w:r>
        <w:rPr>
          <w:color w:val="231F20"/>
          <w:sz w:val="18"/>
        </w:rPr>
        <w:t>R.</w:t>
      </w:r>
      <w:r>
        <w:rPr>
          <w:color w:val="231F20"/>
          <w:spacing w:val="-2"/>
          <w:sz w:val="18"/>
        </w:rPr>
        <w:t> </w:t>
      </w:r>
      <w:r>
        <w:rPr>
          <w:color w:val="231F20"/>
          <w:sz w:val="18"/>
        </w:rPr>
        <w:t>Clinical</w:t>
      </w:r>
      <w:r>
        <w:rPr>
          <w:color w:val="231F20"/>
          <w:spacing w:val="-1"/>
          <w:sz w:val="18"/>
        </w:rPr>
        <w:t> </w:t>
      </w:r>
      <w:r>
        <w:rPr>
          <w:color w:val="231F20"/>
          <w:sz w:val="18"/>
        </w:rPr>
        <w:t>interweing.</w:t>
      </w:r>
      <w:r>
        <w:rPr>
          <w:color w:val="231F20"/>
          <w:spacing w:val="-2"/>
          <w:sz w:val="18"/>
        </w:rPr>
        <w:t> </w:t>
      </w:r>
      <w:r>
        <w:rPr>
          <w:color w:val="231F20"/>
          <w:sz w:val="18"/>
        </w:rPr>
        <w:t>New</w:t>
      </w:r>
      <w:r>
        <w:rPr>
          <w:color w:val="231F20"/>
          <w:spacing w:val="-3"/>
          <w:sz w:val="18"/>
        </w:rPr>
        <w:t> </w:t>
      </w:r>
      <w:r>
        <w:rPr>
          <w:color w:val="231F20"/>
          <w:sz w:val="18"/>
        </w:rPr>
        <w:t>Jersey,</w:t>
      </w:r>
      <w:r>
        <w:rPr>
          <w:color w:val="231F20"/>
          <w:spacing w:val="-1"/>
          <w:sz w:val="18"/>
        </w:rPr>
        <w:t> </w:t>
      </w:r>
      <w:r>
        <w:rPr>
          <w:color w:val="231F20"/>
          <w:spacing w:val="-4"/>
          <w:sz w:val="18"/>
        </w:rPr>
        <w:t>2003</w:t>
      </w:r>
    </w:p>
    <w:p>
      <w:pPr>
        <w:pStyle w:val="ListParagraph"/>
        <w:numPr>
          <w:ilvl w:val="2"/>
          <w:numId w:val="47"/>
        </w:numPr>
        <w:tabs>
          <w:tab w:pos="708" w:val="left" w:leader="none"/>
        </w:tabs>
        <w:spacing w:line="237" w:lineRule="auto" w:before="0" w:after="0"/>
        <w:ind w:left="708" w:right="423" w:hanging="284"/>
        <w:jc w:val="both"/>
        <w:rPr>
          <w:sz w:val="18"/>
        </w:rPr>
      </w:pPr>
      <w:r>
        <w:rPr>
          <w:color w:val="231F20"/>
          <w:sz w:val="18"/>
        </w:rPr>
        <w:t>Stuckey</w:t>
      </w:r>
      <w:r>
        <w:rPr>
          <w:color w:val="231F20"/>
          <w:spacing w:val="-1"/>
          <w:sz w:val="18"/>
        </w:rPr>
        <w:t> </w:t>
      </w:r>
      <w:r>
        <w:rPr>
          <w:color w:val="231F20"/>
          <w:sz w:val="18"/>
        </w:rPr>
        <w:t>H.L.,</w:t>
      </w:r>
      <w:r>
        <w:rPr>
          <w:color w:val="231F20"/>
          <w:spacing w:val="40"/>
          <w:sz w:val="18"/>
        </w:rPr>
        <w:t> </w:t>
      </w:r>
      <w:r>
        <w:rPr>
          <w:color w:val="231F20"/>
          <w:sz w:val="18"/>
        </w:rPr>
        <w:t>Nobel</w:t>
      </w:r>
      <w:r>
        <w:rPr>
          <w:color w:val="231F20"/>
          <w:spacing w:val="-1"/>
          <w:sz w:val="18"/>
        </w:rPr>
        <w:t> </w:t>
      </w:r>
      <w:r>
        <w:rPr>
          <w:color w:val="231F20"/>
          <w:sz w:val="18"/>
        </w:rPr>
        <w:t>J.</w:t>
      </w:r>
      <w:r>
        <w:rPr>
          <w:color w:val="231F20"/>
          <w:spacing w:val="40"/>
          <w:sz w:val="18"/>
        </w:rPr>
        <w:t> </w:t>
      </w:r>
      <w:r>
        <w:rPr>
          <w:color w:val="231F20"/>
          <w:sz w:val="18"/>
        </w:rPr>
        <w:t>(2010).</w:t>
      </w:r>
      <w:r>
        <w:rPr>
          <w:color w:val="231F20"/>
          <w:spacing w:val="-1"/>
          <w:sz w:val="18"/>
        </w:rPr>
        <w:t> </w:t>
      </w:r>
      <w:r>
        <w:rPr>
          <w:color w:val="231F20"/>
          <w:sz w:val="18"/>
        </w:rPr>
        <w:t>The</w:t>
      </w:r>
      <w:r>
        <w:rPr>
          <w:color w:val="231F20"/>
          <w:spacing w:val="40"/>
          <w:sz w:val="18"/>
        </w:rPr>
        <w:t> </w:t>
      </w:r>
      <w:r>
        <w:rPr>
          <w:color w:val="231F20"/>
          <w:sz w:val="18"/>
        </w:rPr>
        <w:t>connection</w:t>
      </w:r>
      <w:r>
        <w:rPr>
          <w:color w:val="231F20"/>
          <w:spacing w:val="40"/>
          <w:sz w:val="18"/>
        </w:rPr>
        <w:t> </w:t>
      </w:r>
      <w:r>
        <w:rPr>
          <w:color w:val="231F20"/>
          <w:sz w:val="18"/>
        </w:rPr>
        <w:t>between</w:t>
      </w:r>
      <w:r>
        <w:rPr>
          <w:color w:val="231F20"/>
          <w:spacing w:val="40"/>
          <w:sz w:val="18"/>
        </w:rPr>
        <w:t> </w:t>
      </w:r>
      <w:r>
        <w:rPr>
          <w:color w:val="231F20"/>
          <w:sz w:val="18"/>
        </w:rPr>
        <w:t>art,</w:t>
      </w:r>
      <w:r>
        <w:rPr>
          <w:color w:val="231F20"/>
          <w:spacing w:val="40"/>
          <w:sz w:val="18"/>
        </w:rPr>
        <w:t> </w:t>
      </w:r>
      <w:r>
        <w:rPr>
          <w:color w:val="231F20"/>
          <w:sz w:val="18"/>
        </w:rPr>
        <w:t>healing,</w:t>
      </w:r>
      <w:r>
        <w:rPr>
          <w:color w:val="231F20"/>
          <w:spacing w:val="40"/>
          <w:sz w:val="18"/>
        </w:rPr>
        <w:t> </w:t>
      </w:r>
      <w:r>
        <w:rPr>
          <w:color w:val="231F20"/>
          <w:sz w:val="18"/>
        </w:rPr>
        <w:t>and</w:t>
      </w:r>
      <w:r>
        <w:rPr>
          <w:color w:val="231F20"/>
          <w:spacing w:val="40"/>
          <w:sz w:val="18"/>
        </w:rPr>
        <w:t> </w:t>
      </w:r>
      <w:r>
        <w:rPr>
          <w:color w:val="231F20"/>
          <w:sz w:val="18"/>
        </w:rPr>
        <w:t>public health: a review of current literature.</w:t>
      </w:r>
      <w:r>
        <w:rPr>
          <w:color w:val="231F20"/>
          <w:spacing w:val="-2"/>
          <w:sz w:val="18"/>
        </w:rPr>
        <w:t> </w:t>
      </w:r>
      <w:r>
        <w:rPr>
          <w:color w:val="231F20"/>
          <w:sz w:val="18"/>
        </w:rPr>
        <w:t>Am. J. Public Health.</w:t>
      </w:r>
      <w:r>
        <w:rPr>
          <w:color w:val="231F20"/>
          <w:spacing w:val="-2"/>
          <w:sz w:val="18"/>
        </w:rPr>
        <w:t> </w:t>
      </w:r>
      <w:r>
        <w:rPr>
          <w:color w:val="231F20"/>
          <w:sz w:val="18"/>
        </w:rPr>
        <w:t>100, 254–263. 10.2105/ </w:t>
      </w:r>
      <w:r>
        <w:rPr>
          <w:color w:val="231F20"/>
          <w:spacing w:val="-2"/>
          <w:sz w:val="18"/>
        </w:rPr>
        <w:t>AJPH.2008.156497.</w:t>
      </w:r>
    </w:p>
    <w:p>
      <w:pPr>
        <w:pStyle w:val="ListParagraph"/>
        <w:numPr>
          <w:ilvl w:val="2"/>
          <w:numId w:val="47"/>
        </w:numPr>
        <w:tabs>
          <w:tab w:pos="708" w:val="left" w:leader="none"/>
        </w:tabs>
        <w:spacing w:line="237" w:lineRule="auto" w:before="0" w:after="0"/>
        <w:ind w:left="708" w:right="423" w:hanging="284"/>
        <w:jc w:val="both"/>
        <w:rPr>
          <w:sz w:val="18"/>
        </w:rPr>
      </w:pPr>
      <w:r>
        <w:rPr>
          <w:color w:val="231F20"/>
          <w:sz w:val="18"/>
        </w:rPr>
        <w:t>Su</w:t>
      </w:r>
      <w:r>
        <w:rPr>
          <w:color w:val="231F20"/>
          <w:spacing w:val="-4"/>
          <w:sz w:val="18"/>
        </w:rPr>
        <w:t> </w:t>
      </w:r>
      <w:r>
        <w:rPr>
          <w:color w:val="231F20"/>
          <w:sz w:val="18"/>
        </w:rPr>
        <w:t>S.H.</w:t>
      </w:r>
      <w:r>
        <w:rPr>
          <w:color w:val="231F20"/>
          <w:spacing w:val="-1"/>
          <w:sz w:val="18"/>
        </w:rPr>
        <w:t> </w:t>
      </w:r>
      <w:r>
        <w:rPr>
          <w:color w:val="231F20"/>
          <w:sz w:val="18"/>
        </w:rPr>
        <w:t>&amp;</w:t>
      </w:r>
      <w:r>
        <w:rPr>
          <w:color w:val="231F20"/>
          <w:spacing w:val="-3"/>
          <w:sz w:val="18"/>
        </w:rPr>
        <w:t> </w:t>
      </w:r>
      <w:r>
        <w:rPr>
          <w:color w:val="231F20"/>
          <w:sz w:val="18"/>
        </w:rPr>
        <w:t>Tsai</w:t>
      </w:r>
      <w:r>
        <w:rPr>
          <w:color w:val="231F20"/>
          <w:spacing w:val="-4"/>
          <w:sz w:val="18"/>
        </w:rPr>
        <w:t> </w:t>
      </w:r>
      <w:r>
        <w:rPr>
          <w:color w:val="231F20"/>
          <w:sz w:val="18"/>
        </w:rPr>
        <w:t>M.-H.</w:t>
      </w:r>
      <w:r>
        <w:rPr>
          <w:color w:val="231F20"/>
          <w:spacing w:val="-1"/>
          <w:sz w:val="18"/>
        </w:rPr>
        <w:t> </w:t>
      </w:r>
      <w:r>
        <w:rPr>
          <w:color w:val="231F20"/>
          <w:sz w:val="18"/>
        </w:rPr>
        <w:t>Group</w:t>
      </w:r>
      <w:r>
        <w:rPr>
          <w:color w:val="231F20"/>
          <w:spacing w:val="-1"/>
          <w:sz w:val="18"/>
        </w:rPr>
        <w:t> </w:t>
      </w:r>
      <w:r>
        <w:rPr>
          <w:color w:val="231F20"/>
          <w:sz w:val="18"/>
        </w:rPr>
        <w:t>Play</w:t>
      </w:r>
      <w:r>
        <w:rPr>
          <w:color w:val="231F20"/>
          <w:spacing w:val="-3"/>
          <w:sz w:val="18"/>
        </w:rPr>
        <w:t> </w:t>
      </w:r>
      <w:r>
        <w:rPr>
          <w:color w:val="231F20"/>
          <w:sz w:val="18"/>
        </w:rPr>
        <w:t>Therapy</w:t>
      </w:r>
      <w:r>
        <w:rPr>
          <w:color w:val="231F20"/>
          <w:spacing w:val="-3"/>
          <w:sz w:val="18"/>
        </w:rPr>
        <w:t> </w:t>
      </w:r>
      <w:r>
        <w:rPr>
          <w:color w:val="231F20"/>
          <w:sz w:val="18"/>
        </w:rPr>
        <w:t>With</w:t>
      </w:r>
      <w:r>
        <w:rPr>
          <w:color w:val="231F20"/>
          <w:spacing w:val="-1"/>
          <w:sz w:val="18"/>
        </w:rPr>
        <w:t> </w:t>
      </w:r>
      <w:r>
        <w:rPr>
          <w:color w:val="231F20"/>
          <w:sz w:val="18"/>
        </w:rPr>
        <w:t>Children</w:t>
      </w:r>
      <w:r>
        <w:rPr>
          <w:color w:val="231F20"/>
          <w:spacing w:val="-1"/>
          <w:sz w:val="18"/>
        </w:rPr>
        <w:t> </w:t>
      </w:r>
      <w:r>
        <w:rPr>
          <w:color w:val="231F20"/>
          <w:sz w:val="18"/>
        </w:rPr>
        <w:t>of</w:t>
      </w:r>
      <w:r>
        <w:rPr>
          <w:color w:val="231F20"/>
          <w:spacing w:val="-1"/>
          <w:sz w:val="18"/>
        </w:rPr>
        <w:t> </w:t>
      </w:r>
      <w:r>
        <w:rPr>
          <w:color w:val="231F20"/>
          <w:sz w:val="18"/>
        </w:rPr>
        <w:t>New</w:t>
      </w:r>
      <w:r>
        <w:rPr>
          <w:color w:val="231F20"/>
          <w:spacing w:val="-1"/>
          <w:sz w:val="18"/>
        </w:rPr>
        <w:t> </w:t>
      </w:r>
      <w:r>
        <w:rPr>
          <w:color w:val="231F20"/>
          <w:sz w:val="18"/>
        </w:rPr>
        <w:t>Immigrants</w:t>
      </w:r>
      <w:r>
        <w:rPr>
          <w:color w:val="231F20"/>
          <w:spacing w:val="-1"/>
          <w:sz w:val="18"/>
        </w:rPr>
        <w:t> </w:t>
      </w:r>
      <w:r>
        <w:rPr>
          <w:color w:val="231F20"/>
          <w:sz w:val="18"/>
        </w:rPr>
        <w:t>in</w:t>
      </w:r>
      <w:r>
        <w:rPr>
          <w:color w:val="231F20"/>
          <w:spacing w:val="-3"/>
          <w:sz w:val="18"/>
        </w:rPr>
        <w:t> </w:t>
      </w:r>
      <w:r>
        <w:rPr>
          <w:color w:val="231F20"/>
          <w:sz w:val="18"/>
        </w:rPr>
        <w:t>Taiwan Who</w:t>
      </w:r>
      <w:r>
        <w:rPr>
          <w:color w:val="231F20"/>
          <w:spacing w:val="-10"/>
          <w:sz w:val="18"/>
        </w:rPr>
        <w:t> </w:t>
      </w:r>
      <w:r>
        <w:rPr>
          <w:color w:val="231F20"/>
          <w:sz w:val="18"/>
        </w:rPr>
        <w:t>Are</w:t>
      </w:r>
      <w:r>
        <w:rPr>
          <w:color w:val="231F20"/>
          <w:spacing w:val="-1"/>
          <w:sz w:val="18"/>
        </w:rPr>
        <w:t> </w:t>
      </w:r>
      <w:r>
        <w:rPr>
          <w:color w:val="231F20"/>
          <w:sz w:val="18"/>
        </w:rPr>
        <w:t>Exhibiting</w:t>
      </w:r>
      <w:r>
        <w:rPr>
          <w:color w:val="231F20"/>
          <w:spacing w:val="-1"/>
          <w:sz w:val="18"/>
        </w:rPr>
        <w:t> </w:t>
      </w:r>
      <w:r>
        <w:rPr>
          <w:color w:val="231F20"/>
          <w:sz w:val="18"/>
        </w:rPr>
        <w:t>Relationship</w:t>
      </w:r>
      <w:r>
        <w:rPr>
          <w:color w:val="231F20"/>
          <w:spacing w:val="-1"/>
          <w:sz w:val="18"/>
        </w:rPr>
        <w:t> </w:t>
      </w:r>
      <w:r>
        <w:rPr>
          <w:color w:val="231F20"/>
          <w:sz w:val="18"/>
        </w:rPr>
        <w:t>Difficulties.</w:t>
      </w:r>
      <w:r>
        <w:rPr>
          <w:color w:val="231F20"/>
          <w:spacing w:val="-1"/>
          <w:sz w:val="18"/>
        </w:rPr>
        <w:t> </w:t>
      </w:r>
      <w:r>
        <w:rPr>
          <w:color w:val="231F20"/>
          <w:sz w:val="18"/>
        </w:rPr>
        <w:t>International</w:t>
      </w:r>
      <w:r>
        <w:rPr>
          <w:color w:val="231F20"/>
          <w:spacing w:val="-1"/>
          <w:sz w:val="18"/>
        </w:rPr>
        <w:t> </w:t>
      </w:r>
      <w:r>
        <w:rPr>
          <w:color w:val="231F20"/>
          <w:sz w:val="18"/>
        </w:rPr>
        <w:t>Journal</w:t>
      </w:r>
      <w:r>
        <w:rPr>
          <w:color w:val="231F20"/>
          <w:spacing w:val="-1"/>
          <w:sz w:val="18"/>
        </w:rPr>
        <w:t> </w:t>
      </w:r>
      <w:r>
        <w:rPr>
          <w:color w:val="231F20"/>
          <w:sz w:val="18"/>
        </w:rPr>
        <w:t>of</w:t>
      </w:r>
      <w:r>
        <w:rPr>
          <w:color w:val="231F20"/>
          <w:spacing w:val="-1"/>
          <w:sz w:val="18"/>
        </w:rPr>
        <w:t> </w:t>
      </w:r>
      <w:r>
        <w:rPr>
          <w:color w:val="231F20"/>
          <w:sz w:val="18"/>
        </w:rPr>
        <w:t>Play</w:t>
      </w:r>
      <w:r>
        <w:rPr>
          <w:color w:val="231F20"/>
          <w:spacing w:val="-3"/>
          <w:sz w:val="18"/>
        </w:rPr>
        <w:t> </w:t>
      </w:r>
      <w:r>
        <w:rPr>
          <w:color w:val="231F20"/>
          <w:sz w:val="18"/>
        </w:rPr>
        <w:t>Therapy.</w:t>
      </w:r>
      <w:r>
        <w:rPr>
          <w:color w:val="231F20"/>
          <w:spacing w:val="-1"/>
          <w:sz w:val="18"/>
        </w:rPr>
        <w:t> </w:t>
      </w:r>
      <w:r>
        <w:rPr>
          <w:color w:val="231F20"/>
          <w:sz w:val="18"/>
        </w:rPr>
        <w:t>25. 10.1037/pla0000014. 2016.</w:t>
      </w:r>
    </w:p>
    <w:p>
      <w:pPr>
        <w:pStyle w:val="ListParagraph"/>
        <w:numPr>
          <w:ilvl w:val="2"/>
          <w:numId w:val="47"/>
        </w:numPr>
        <w:tabs>
          <w:tab w:pos="708" w:val="left" w:leader="none"/>
        </w:tabs>
        <w:spacing w:line="237" w:lineRule="auto" w:before="0" w:after="0"/>
        <w:ind w:left="708" w:right="423" w:hanging="284"/>
        <w:jc w:val="both"/>
        <w:rPr>
          <w:sz w:val="18"/>
        </w:rPr>
      </w:pPr>
      <w:r>
        <w:rPr>
          <w:color w:val="231F20"/>
          <w:sz w:val="18"/>
        </w:rPr>
        <w:t>Sue</w:t>
      </w:r>
      <w:r>
        <w:rPr>
          <w:color w:val="231F20"/>
          <w:spacing w:val="-3"/>
          <w:sz w:val="18"/>
        </w:rPr>
        <w:t> </w:t>
      </w:r>
      <w:r>
        <w:rPr>
          <w:color w:val="231F20"/>
          <w:sz w:val="18"/>
        </w:rPr>
        <w:t>D.W., &amp; Sue</w:t>
      </w:r>
      <w:r>
        <w:rPr>
          <w:color w:val="231F20"/>
          <w:spacing w:val="-3"/>
          <w:sz w:val="18"/>
        </w:rPr>
        <w:t> </w:t>
      </w:r>
      <w:r>
        <w:rPr>
          <w:color w:val="231F20"/>
          <w:sz w:val="18"/>
        </w:rPr>
        <w:t>S. Counseling the culturally different: Theory and practice (2nd ed.). NewYork: Wiley. 2008</w:t>
      </w:r>
    </w:p>
    <w:p>
      <w:pPr>
        <w:pStyle w:val="ListParagraph"/>
        <w:numPr>
          <w:ilvl w:val="2"/>
          <w:numId w:val="47"/>
        </w:numPr>
        <w:tabs>
          <w:tab w:pos="708" w:val="left" w:leader="none"/>
        </w:tabs>
        <w:spacing w:line="237" w:lineRule="auto" w:before="0" w:after="0"/>
        <w:ind w:left="708" w:right="423" w:hanging="284"/>
        <w:jc w:val="both"/>
        <w:rPr>
          <w:sz w:val="18"/>
        </w:rPr>
      </w:pPr>
      <w:r>
        <w:rPr>
          <w:color w:val="231F20"/>
          <w:sz w:val="18"/>
        </w:rPr>
        <w:t>Tran</w:t>
      </w:r>
      <w:r>
        <w:rPr>
          <w:color w:val="231F20"/>
          <w:spacing w:val="-4"/>
          <w:sz w:val="18"/>
        </w:rPr>
        <w:t> </w:t>
      </w:r>
      <w:r>
        <w:rPr>
          <w:color w:val="231F20"/>
          <w:sz w:val="18"/>
        </w:rPr>
        <w:t>T., Admiraal</w:t>
      </w:r>
      <w:r>
        <w:rPr>
          <w:color w:val="231F20"/>
          <w:spacing w:val="-4"/>
          <w:sz w:val="18"/>
        </w:rPr>
        <w:t> </w:t>
      </w:r>
      <w:r>
        <w:rPr>
          <w:color w:val="231F20"/>
          <w:sz w:val="18"/>
        </w:rPr>
        <w:t>W., &amp; Saab</w:t>
      </w:r>
      <w:r>
        <w:rPr>
          <w:color w:val="231F20"/>
          <w:spacing w:val="-4"/>
          <w:sz w:val="18"/>
        </w:rPr>
        <w:t> </w:t>
      </w:r>
      <w:r>
        <w:rPr>
          <w:color w:val="231F20"/>
          <w:sz w:val="18"/>
        </w:rPr>
        <w:t>N. Effects of critical incident tasks on the intercultural competence of English non-majors, Intercultural Education, 30:6, 618-633, 2019 </w:t>
      </w:r>
      <w:r>
        <w:rPr>
          <w:color w:val="231F20"/>
          <w:sz w:val="18"/>
        </w:rPr>
        <w:t>DOI: </w:t>
      </w:r>
      <w:r>
        <w:rPr>
          <w:color w:val="231F20"/>
          <w:spacing w:val="-2"/>
          <w:sz w:val="18"/>
        </w:rPr>
        <w:t>10.1080/14675986.2019.1664728.</w:t>
      </w:r>
    </w:p>
    <w:p>
      <w:pPr>
        <w:pStyle w:val="ListParagraph"/>
        <w:numPr>
          <w:ilvl w:val="2"/>
          <w:numId w:val="47"/>
        </w:numPr>
        <w:tabs>
          <w:tab w:pos="708" w:val="left" w:leader="none"/>
        </w:tabs>
        <w:spacing w:line="232" w:lineRule="auto" w:before="0" w:after="0"/>
        <w:ind w:left="708" w:right="423" w:hanging="284"/>
        <w:jc w:val="both"/>
        <w:rPr>
          <w:sz w:val="18"/>
        </w:rPr>
      </w:pPr>
      <w:r>
        <w:rPr>
          <w:color w:val="231F20"/>
          <w:sz w:val="18"/>
        </w:rPr>
        <w:t>Turrini</w:t>
      </w:r>
      <w:r>
        <w:rPr>
          <w:color w:val="231F20"/>
          <w:spacing w:val="-4"/>
          <w:sz w:val="18"/>
        </w:rPr>
        <w:t> </w:t>
      </w:r>
      <w:r>
        <w:rPr>
          <w:color w:val="231F20"/>
          <w:sz w:val="18"/>
        </w:rPr>
        <w:t>G, Purgato</w:t>
      </w:r>
      <w:r>
        <w:rPr>
          <w:color w:val="231F20"/>
          <w:spacing w:val="-4"/>
          <w:sz w:val="18"/>
        </w:rPr>
        <w:t> </w:t>
      </w:r>
      <w:r>
        <w:rPr>
          <w:color w:val="231F20"/>
          <w:sz w:val="18"/>
        </w:rPr>
        <w:t>M &amp; etc. Efficacy and acceptability of psychosocial interventions in asylum seekers and refugees: systematic review and meta-analysis. Epidemiol Psychiatr Sci. 2019 Aug;28(4):376-388. doi: 10.1017/S2045796019000027. Epub 2019 Feb </w:t>
      </w:r>
      <w:r>
        <w:rPr>
          <w:color w:val="231F20"/>
          <w:sz w:val="18"/>
        </w:rPr>
        <w:t>11. PMID: 30739625; PMCID: PMC6669989.</w:t>
      </w:r>
    </w:p>
    <w:p>
      <w:pPr>
        <w:pStyle w:val="ListParagraph"/>
        <w:spacing w:after="0" w:line="232" w:lineRule="auto"/>
        <w:jc w:val="both"/>
        <w:rPr>
          <w:sz w:val="18"/>
        </w:rPr>
        <w:sectPr>
          <w:pgSz w:w="8400" w:h="11910"/>
          <w:pgMar w:header="0" w:footer="528" w:top="400" w:bottom="720" w:left="425" w:right="425"/>
        </w:sect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spacing w:before="89"/>
        <w:ind w:left="0" w:right="0" w:firstLine="0"/>
        <w:jc w:val="left"/>
        <w:rPr>
          <w:sz w:val="28"/>
        </w:rPr>
      </w:pPr>
    </w:p>
    <w:p>
      <w:pPr>
        <w:spacing w:before="0"/>
        <w:ind w:left="303" w:right="303" w:firstLine="0"/>
        <w:jc w:val="center"/>
        <w:rPr>
          <w:rFonts w:ascii="Georgia" w:hAnsi="Georgia"/>
          <w:b/>
          <w:sz w:val="28"/>
        </w:rPr>
      </w:pPr>
      <w:bookmarkStart w:name="_bookmark50" w:id="52"/>
      <w:bookmarkEnd w:id="52"/>
      <w:r>
        <w:rPr/>
      </w:r>
      <w:r>
        <w:rPr>
          <w:rFonts w:ascii="Georgia" w:hAnsi="Georgia"/>
          <w:b/>
          <w:color w:val="231F20"/>
          <w:w w:val="90"/>
          <w:sz w:val="28"/>
        </w:rPr>
        <w:t>РАЗДЕЛ</w:t>
      </w:r>
      <w:r>
        <w:rPr>
          <w:rFonts w:ascii="Georgia" w:hAnsi="Georgia"/>
          <w:b/>
          <w:color w:val="231F20"/>
          <w:spacing w:val="6"/>
          <w:sz w:val="28"/>
        </w:rPr>
        <w:t> </w:t>
      </w:r>
      <w:r>
        <w:rPr>
          <w:rFonts w:ascii="Georgia" w:hAnsi="Georgia"/>
          <w:b/>
          <w:color w:val="231F20"/>
          <w:spacing w:val="-5"/>
          <w:sz w:val="28"/>
        </w:rPr>
        <w:t>2.</w:t>
      </w:r>
    </w:p>
    <w:p>
      <w:pPr>
        <w:spacing w:line="348" w:lineRule="auto" w:before="255"/>
        <w:ind w:left="303" w:right="303" w:firstLine="0"/>
        <w:jc w:val="center"/>
        <w:rPr>
          <w:rFonts w:ascii="Georgia" w:hAnsi="Georgia"/>
          <w:b/>
          <w:sz w:val="28"/>
        </w:rPr>
      </w:pPr>
      <w:r>
        <w:rPr>
          <w:rFonts w:ascii="Georgia" w:hAnsi="Georgia"/>
          <w:b/>
          <w:color w:val="231F20"/>
          <w:w w:val="90"/>
          <w:sz w:val="28"/>
        </w:rPr>
        <w:t>Методическое сопровождение педагогического коллектива в области психолого-педагогического сопровождения детей иностранных граждан</w:t>
      </w:r>
    </w:p>
    <w:p>
      <w:pPr>
        <w:spacing w:after="0" w:line="348" w:lineRule="auto"/>
        <w:jc w:val="center"/>
        <w:rPr>
          <w:rFonts w:ascii="Georgia" w:hAnsi="Georgia"/>
          <w:b/>
          <w:sz w:val="28"/>
        </w:rPr>
        <w:sectPr>
          <w:footerReference w:type="default" r:id="rId81"/>
          <w:pgSz w:w="8400" w:h="11910"/>
          <w:pgMar w:header="0" w:footer="0" w:top="1340" w:bottom="28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numPr>
          <w:ilvl w:val="1"/>
          <w:numId w:val="67"/>
        </w:numPr>
        <w:tabs>
          <w:tab w:pos="457" w:val="left" w:leader="none"/>
          <w:tab w:pos="768" w:val="left" w:leader="none"/>
        </w:tabs>
        <w:spacing w:line="235" w:lineRule="auto" w:before="113"/>
        <w:ind w:left="457" w:right="417" w:hanging="39"/>
        <w:jc w:val="left"/>
        <w:rPr>
          <w:b/>
          <w:color w:val="231F20"/>
          <w:sz w:val="20"/>
        </w:rPr>
      </w:pPr>
      <w:r>
        <w:rPr>
          <w:b/>
          <w:color w:val="231F20"/>
          <w:sz w:val="20"/>
        </w:rPr>
        <w:t>Организация методической поддержки деятельности педагогического коллектива</w:t>
      </w:r>
      <w:r>
        <w:rPr>
          <w:b/>
          <w:color w:val="231F20"/>
          <w:spacing w:val="-4"/>
          <w:sz w:val="20"/>
        </w:rPr>
        <w:t> </w:t>
      </w:r>
      <w:r>
        <w:rPr>
          <w:b/>
          <w:color w:val="231F20"/>
          <w:sz w:val="20"/>
        </w:rPr>
        <w:t>по</w:t>
      </w:r>
      <w:r>
        <w:rPr>
          <w:b/>
          <w:color w:val="231F20"/>
          <w:spacing w:val="-4"/>
          <w:sz w:val="20"/>
        </w:rPr>
        <w:t> </w:t>
      </w:r>
      <w:r>
        <w:rPr>
          <w:b/>
          <w:color w:val="231F20"/>
          <w:sz w:val="20"/>
        </w:rPr>
        <w:t>обучению</w:t>
      </w:r>
      <w:r>
        <w:rPr>
          <w:b/>
          <w:color w:val="231F20"/>
          <w:spacing w:val="-5"/>
          <w:sz w:val="20"/>
        </w:rPr>
        <w:t> </w:t>
      </w:r>
      <w:r>
        <w:rPr>
          <w:b/>
          <w:color w:val="231F20"/>
          <w:sz w:val="20"/>
        </w:rPr>
        <w:t>социальной,</w:t>
      </w:r>
      <w:r>
        <w:rPr>
          <w:b/>
          <w:color w:val="231F20"/>
          <w:spacing w:val="-4"/>
          <w:sz w:val="20"/>
        </w:rPr>
        <w:t> </w:t>
      </w:r>
      <w:r>
        <w:rPr>
          <w:b/>
          <w:color w:val="231F20"/>
          <w:sz w:val="20"/>
        </w:rPr>
        <w:t>языковой</w:t>
      </w:r>
      <w:r>
        <w:rPr>
          <w:b/>
          <w:color w:val="231F20"/>
          <w:spacing w:val="-5"/>
          <w:sz w:val="20"/>
        </w:rPr>
        <w:t> </w:t>
      </w:r>
      <w:r>
        <w:rPr>
          <w:b/>
          <w:color w:val="231F20"/>
          <w:sz w:val="20"/>
        </w:rPr>
        <w:t>и</w:t>
      </w:r>
      <w:r>
        <w:rPr>
          <w:b/>
          <w:color w:val="231F20"/>
          <w:spacing w:val="-5"/>
          <w:sz w:val="20"/>
        </w:rPr>
        <w:t> </w:t>
      </w:r>
      <w:r>
        <w:rPr>
          <w:b/>
          <w:color w:val="231F20"/>
          <w:sz w:val="20"/>
        </w:rPr>
        <w:t>культурной</w:t>
      </w:r>
      <w:r>
        <w:rPr>
          <w:b/>
          <w:color w:val="231F20"/>
          <w:spacing w:val="-5"/>
          <w:sz w:val="20"/>
        </w:rPr>
        <w:t> </w:t>
      </w:r>
      <w:r>
        <w:rPr>
          <w:b/>
          <w:color w:val="231F20"/>
          <w:sz w:val="20"/>
        </w:rPr>
        <w:t>адаптации</w:t>
      </w:r>
    </w:p>
    <w:p>
      <w:pPr>
        <w:spacing w:line="227" w:lineRule="exact" w:before="0"/>
        <w:ind w:left="2483" w:right="0" w:firstLine="0"/>
        <w:jc w:val="left"/>
        <w:rPr>
          <w:b/>
          <w:sz w:val="20"/>
        </w:rPr>
      </w:pPr>
      <w:r>
        <w:rPr>
          <w:b/>
          <w:color w:val="231F20"/>
          <w:sz w:val="20"/>
        </w:rPr>
        <w:t>детей</w:t>
      </w:r>
      <w:r>
        <w:rPr>
          <w:b/>
          <w:color w:val="231F20"/>
          <w:spacing w:val="-4"/>
          <w:sz w:val="20"/>
        </w:rPr>
        <w:t> </w:t>
      </w:r>
      <w:r>
        <w:rPr>
          <w:b/>
          <w:color w:val="231F20"/>
          <w:sz w:val="20"/>
        </w:rPr>
        <w:t>иностранных</w:t>
      </w:r>
      <w:r>
        <w:rPr>
          <w:b/>
          <w:color w:val="231F20"/>
          <w:spacing w:val="-3"/>
          <w:sz w:val="20"/>
        </w:rPr>
        <w:t> </w:t>
      </w:r>
      <w:r>
        <w:rPr>
          <w:b/>
          <w:color w:val="231F20"/>
          <w:spacing w:val="-2"/>
          <w:sz w:val="20"/>
        </w:rPr>
        <w:t>граждан</w:t>
      </w:r>
    </w:p>
    <w:p>
      <w:pPr>
        <w:spacing w:before="166"/>
        <w:ind w:left="425" w:right="0" w:firstLine="4416"/>
        <w:jc w:val="both"/>
        <w:rPr>
          <w:i/>
          <w:sz w:val="20"/>
        </w:rPr>
      </w:pPr>
      <w:r>
        <w:rPr>
          <w:i/>
          <w:color w:val="231F20"/>
          <w:sz w:val="20"/>
        </w:rPr>
        <w:t>Н.В.</w:t>
      </w:r>
      <w:r>
        <w:rPr>
          <w:i/>
          <w:color w:val="231F20"/>
          <w:spacing w:val="-14"/>
          <w:sz w:val="20"/>
        </w:rPr>
        <w:t> </w:t>
      </w:r>
      <w:r>
        <w:rPr>
          <w:i/>
          <w:color w:val="231F20"/>
          <w:sz w:val="20"/>
        </w:rPr>
        <w:t>Ткаченко,</w:t>
      </w:r>
      <w:r>
        <w:rPr>
          <w:i/>
          <w:color w:val="231F20"/>
          <w:spacing w:val="-12"/>
          <w:sz w:val="20"/>
        </w:rPr>
        <w:t> </w:t>
      </w:r>
      <w:r>
        <w:rPr>
          <w:i/>
          <w:color w:val="231F20"/>
          <w:spacing w:val="-2"/>
          <w:sz w:val="20"/>
        </w:rPr>
        <w:t>М.Ю.Чибисова</w:t>
      </w:r>
    </w:p>
    <w:p>
      <w:pPr>
        <w:pStyle w:val="BodyText"/>
        <w:spacing w:line="235" w:lineRule="auto" w:before="113"/>
      </w:pPr>
      <w:r>
        <w:rPr>
          <w:color w:val="231F20"/>
        </w:rPr>
        <w:t>Решение психолого-педагогических задач, связанных с содействием социаль- ной, языковой и культурной адаптации несовершеннолетних иностранных граждан, предъявляет определенные требования к педагогическим работникам и администра- ции.</w:t>
      </w:r>
      <w:r>
        <w:rPr>
          <w:color w:val="231F20"/>
          <w:spacing w:val="-13"/>
        </w:rPr>
        <w:t> </w:t>
      </w:r>
      <w:r>
        <w:rPr>
          <w:color w:val="231F20"/>
        </w:rPr>
        <w:t>Прежде</w:t>
      </w:r>
      <w:r>
        <w:rPr>
          <w:color w:val="231F20"/>
          <w:spacing w:val="-12"/>
        </w:rPr>
        <w:t> </w:t>
      </w:r>
      <w:r>
        <w:rPr>
          <w:color w:val="231F20"/>
        </w:rPr>
        <w:t>всего,</w:t>
      </w:r>
      <w:r>
        <w:rPr>
          <w:color w:val="231F20"/>
          <w:spacing w:val="-13"/>
        </w:rPr>
        <w:t> </w:t>
      </w:r>
      <w:r>
        <w:rPr>
          <w:color w:val="231F20"/>
        </w:rPr>
        <w:t>это</w:t>
      </w:r>
      <w:r>
        <w:rPr>
          <w:color w:val="231F20"/>
          <w:spacing w:val="-12"/>
        </w:rPr>
        <w:t> </w:t>
      </w:r>
      <w:r>
        <w:rPr>
          <w:color w:val="231F20"/>
        </w:rPr>
        <w:t>сформированность</w:t>
      </w:r>
      <w:r>
        <w:rPr>
          <w:color w:val="231F20"/>
          <w:spacing w:val="-13"/>
        </w:rPr>
        <w:t> </w:t>
      </w:r>
      <w:r>
        <w:rPr>
          <w:color w:val="231F20"/>
        </w:rPr>
        <w:t>соответствующих</w:t>
      </w:r>
      <w:r>
        <w:rPr>
          <w:color w:val="231F20"/>
          <w:spacing w:val="-12"/>
        </w:rPr>
        <w:t> </w:t>
      </w:r>
      <w:r>
        <w:rPr>
          <w:color w:val="231F20"/>
        </w:rPr>
        <w:t>профессиональных</w:t>
      </w:r>
      <w:r>
        <w:rPr>
          <w:color w:val="231F20"/>
          <w:spacing w:val="-13"/>
        </w:rPr>
        <w:t> </w:t>
      </w:r>
      <w:r>
        <w:rPr>
          <w:color w:val="231F20"/>
        </w:rPr>
        <w:t>ком- петенций. Необходимо знать основные (дополнительные) образовательные потреб- ности обучающихся – детей иностранных граждан, основные приемы и технологии </w:t>
      </w:r>
      <w:r>
        <w:rPr>
          <w:color w:val="231F20"/>
          <w:spacing w:val="-2"/>
        </w:rPr>
        <w:t>их психолого-педагогического сопровождения, уметь проектировать и реализовывать </w:t>
      </w:r>
      <w:r>
        <w:rPr>
          <w:color w:val="231F20"/>
        </w:rPr>
        <w:t>стратегии их сопровождения, строить взаимодействие с родителями – иностранны- ми</w:t>
      </w:r>
      <w:r>
        <w:rPr>
          <w:color w:val="231F20"/>
          <w:spacing w:val="-1"/>
        </w:rPr>
        <w:t> </w:t>
      </w:r>
      <w:r>
        <w:rPr>
          <w:color w:val="231F20"/>
        </w:rPr>
        <w:t>гражданами.</w:t>
      </w:r>
      <w:r>
        <w:rPr>
          <w:color w:val="231F20"/>
          <w:spacing w:val="-1"/>
        </w:rPr>
        <w:t> </w:t>
      </w:r>
      <w:r>
        <w:rPr>
          <w:color w:val="231F20"/>
        </w:rPr>
        <w:t>Вместе</w:t>
      </w:r>
      <w:r>
        <w:rPr>
          <w:color w:val="231F20"/>
          <w:spacing w:val="-1"/>
        </w:rPr>
        <w:t> </w:t>
      </w:r>
      <w:r>
        <w:rPr>
          <w:color w:val="231F20"/>
        </w:rPr>
        <w:t>с</w:t>
      </w:r>
      <w:r>
        <w:rPr>
          <w:color w:val="231F20"/>
          <w:spacing w:val="-1"/>
        </w:rPr>
        <w:t> </w:t>
      </w:r>
      <w:r>
        <w:rPr>
          <w:color w:val="231F20"/>
        </w:rPr>
        <w:t>тем,</w:t>
      </w:r>
      <w:r>
        <w:rPr>
          <w:color w:val="231F20"/>
          <w:spacing w:val="-1"/>
        </w:rPr>
        <w:t> </w:t>
      </w:r>
      <w:r>
        <w:rPr>
          <w:color w:val="231F20"/>
        </w:rPr>
        <w:t>успешность</w:t>
      </w:r>
      <w:r>
        <w:rPr>
          <w:color w:val="231F20"/>
          <w:spacing w:val="-1"/>
        </w:rPr>
        <w:t> </w:t>
      </w:r>
      <w:r>
        <w:rPr>
          <w:color w:val="231F20"/>
        </w:rPr>
        <w:t>реализации</w:t>
      </w:r>
      <w:r>
        <w:rPr>
          <w:color w:val="231F20"/>
          <w:spacing w:val="-1"/>
        </w:rPr>
        <w:t> </w:t>
      </w:r>
      <w:r>
        <w:rPr>
          <w:color w:val="231F20"/>
        </w:rPr>
        <w:t>деятельности</w:t>
      </w:r>
      <w:r>
        <w:rPr>
          <w:color w:val="231F20"/>
          <w:spacing w:val="-1"/>
        </w:rPr>
        <w:t> </w:t>
      </w:r>
      <w:r>
        <w:rPr>
          <w:color w:val="231F20"/>
        </w:rPr>
        <w:t>по</w:t>
      </w:r>
      <w:r>
        <w:rPr>
          <w:color w:val="231F20"/>
          <w:spacing w:val="-1"/>
        </w:rPr>
        <w:t> </w:t>
      </w:r>
      <w:r>
        <w:rPr>
          <w:color w:val="231F20"/>
        </w:rPr>
        <w:t>содействием социальной, языковой и культурной адаптации несовершеннолетних иностранных граждан</w:t>
      </w:r>
      <w:r>
        <w:rPr>
          <w:color w:val="231F20"/>
          <w:spacing w:val="-13"/>
        </w:rPr>
        <w:t> </w:t>
      </w:r>
      <w:r>
        <w:rPr>
          <w:color w:val="231F20"/>
        </w:rPr>
        <w:t>напрямую</w:t>
      </w:r>
      <w:r>
        <w:rPr>
          <w:color w:val="231F20"/>
          <w:spacing w:val="-12"/>
        </w:rPr>
        <w:t> </w:t>
      </w:r>
      <w:r>
        <w:rPr>
          <w:color w:val="231F20"/>
        </w:rPr>
        <w:t>связана</w:t>
      </w:r>
      <w:r>
        <w:rPr>
          <w:color w:val="231F20"/>
          <w:spacing w:val="-13"/>
        </w:rPr>
        <w:t> </w:t>
      </w:r>
      <w:r>
        <w:rPr>
          <w:color w:val="231F20"/>
        </w:rPr>
        <w:t>со</w:t>
      </w:r>
      <w:r>
        <w:rPr>
          <w:color w:val="231F20"/>
          <w:spacing w:val="-12"/>
        </w:rPr>
        <w:t> </w:t>
      </w:r>
      <w:r>
        <w:rPr>
          <w:color w:val="231F20"/>
        </w:rPr>
        <w:t>сформированностью</w:t>
      </w:r>
      <w:r>
        <w:rPr>
          <w:color w:val="231F20"/>
          <w:spacing w:val="-13"/>
        </w:rPr>
        <w:t> </w:t>
      </w:r>
      <w:r>
        <w:rPr>
          <w:color w:val="231F20"/>
        </w:rPr>
        <w:t>у</w:t>
      </w:r>
      <w:r>
        <w:rPr>
          <w:color w:val="231F20"/>
          <w:spacing w:val="-12"/>
        </w:rPr>
        <w:t> </w:t>
      </w:r>
      <w:r>
        <w:rPr>
          <w:color w:val="231F20"/>
        </w:rPr>
        <w:t>педагога</w:t>
      </w:r>
      <w:r>
        <w:rPr>
          <w:color w:val="231F20"/>
          <w:spacing w:val="-13"/>
        </w:rPr>
        <w:t> </w:t>
      </w:r>
      <w:r>
        <w:rPr>
          <w:color w:val="231F20"/>
        </w:rPr>
        <w:t>межкультурной</w:t>
      </w:r>
      <w:r>
        <w:rPr>
          <w:color w:val="231F20"/>
          <w:spacing w:val="-12"/>
        </w:rPr>
        <w:t> </w:t>
      </w:r>
      <w:r>
        <w:rPr>
          <w:color w:val="231F20"/>
        </w:rPr>
        <w:t>компе- тентности.</w:t>
      </w:r>
      <w:r>
        <w:rPr>
          <w:color w:val="231F20"/>
          <w:spacing w:val="-9"/>
        </w:rPr>
        <w:t> </w:t>
      </w:r>
      <w:r>
        <w:rPr>
          <w:color w:val="231F20"/>
        </w:rPr>
        <w:t>Педагоги</w:t>
      </w:r>
      <w:r>
        <w:rPr>
          <w:color w:val="231F20"/>
          <w:spacing w:val="-9"/>
        </w:rPr>
        <w:t> </w:t>
      </w:r>
      <w:r>
        <w:rPr>
          <w:color w:val="231F20"/>
        </w:rPr>
        <w:t>с</w:t>
      </w:r>
      <w:r>
        <w:rPr>
          <w:color w:val="231F20"/>
          <w:spacing w:val="-9"/>
        </w:rPr>
        <w:t> </w:t>
      </w:r>
      <w:r>
        <w:rPr>
          <w:color w:val="231F20"/>
        </w:rPr>
        <w:t>низким</w:t>
      </w:r>
      <w:r>
        <w:rPr>
          <w:color w:val="231F20"/>
          <w:spacing w:val="-9"/>
        </w:rPr>
        <w:t> </w:t>
      </w:r>
      <w:r>
        <w:rPr>
          <w:color w:val="231F20"/>
        </w:rPr>
        <w:t>уровнем</w:t>
      </w:r>
      <w:r>
        <w:rPr>
          <w:color w:val="231F20"/>
          <w:spacing w:val="-9"/>
        </w:rPr>
        <w:t> </w:t>
      </w:r>
      <w:r>
        <w:rPr>
          <w:color w:val="231F20"/>
        </w:rPr>
        <w:t>межкультурной</w:t>
      </w:r>
      <w:r>
        <w:rPr>
          <w:color w:val="231F20"/>
          <w:spacing w:val="-9"/>
        </w:rPr>
        <w:t> </w:t>
      </w:r>
      <w:r>
        <w:rPr>
          <w:color w:val="231F20"/>
        </w:rPr>
        <w:t>компетентности</w:t>
      </w:r>
      <w:r>
        <w:rPr>
          <w:color w:val="231F20"/>
          <w:spacing w:val="-9"/>
        </w:rPr>
        <w:t> </w:t>
      </w:r>
      <w:r>
        <w:rPr>
          <w:color w:val="231F20"/>
        </w:rPr>
        <w:t>испытывают трудности</w:t>
      </w:r>
      <w:r>
        <w:rPr>
          <w:color w:val="231F20"/>
          <w:spacing w:val="-5"/>
        </w:rPr>
        <w:t> </w:t>
      </w:r>
      <w:r>
        <w:rPr>
          <w:color w:val="231F20"/>
        </w:rPr>
        <w:t>в</w:t>
      </w:r>
      <w:r>
        <w:rPr>
          <w:color w:val="231F20"/>
          <w:spacing w:val="-5"/>
        </w:rPr>
        <w:t> </w:t>
      </w:r>
      <w:r>
        <w:rPr>
          <w:color w:val="231F20"/>
        </w:rPr>
        <w:t>адекватном</w:t>
      </w:r>
      <w:r>
        <w:rPr>
          <w:color w:val="231F20"/>
          <w:spacing w:val="-5"/>
        </w:rPr>
        <w:t> </w:t>
      </w:r>
      <w:r>
        <w:rPr>
          <w:color w:val="231F20"/>
        </w:rPr>
        <w:t>восприятии</w:t>
      </w:r>
      <w:r>
        <w:rPr>
          <w:color w:val="231F20"/>
          <w:spacing w:val="-5"/>
        </w:rPr>
        <w:t> </w:t>
      </w:r>
      <w:r>
        <w:rPr>
          <w:color w:val="231F20"/>
        </w:rPr>
        <w:t>учащихся</w:t>
      </w:r>
      <w:r>
        <w:rPr>
          <w:color w:val="231F20"/>
          <w:spacing w:val="-5"/>
        </w:rPr>
        <w:t> </w:t>
      </w:r>
      <w:r>
        <w:rPr>
          <w:color w:val="231F20"/>
        </w:rPr>
        <w:t>иной</w:t>
      </w:r>
      <w:r>
        <w:rPr>
          <w:color w:val="231F20"/>
          <w:spacing w:val="-5"/>
        </w:rPr>
        <w:t> </w:t>
      </w:r>
      <w:r>
        <w:rPr>
          <w:color w:val="231F20"/>
        </w:rPr>
        <w:t>культурной</w:t>
      </w:r>
      <w:r>
        <w:rPr>
          <w:color w:val="231F20"/>
          <w:spacing w:val="-5"/>
        </w:rPr>
        <w:t> </w:t>
      </w:r>
      <w:r>
        <w:rPr>
          <w:color w:val="231F20"/>
        </w:rPr>
        <w:t>принадлежности</w:t>
      </w:r>
      <w:r>
        <w:rPr>
          <w:color w:val="231F20"/>
          <w:spacing w:val="-5"/>
        </w:rPr>
        <w:t> </w:t>
      </w:r>
      <w:r>
        <w:rPr>
          <w:color w:val="231F20"/>
        </w:rPr>
        <w:t>и</w:t>
      </w:r>
      <w:r>
        <w:rPr>
          <w:color w:val="231F20"/>
          <w:spacing w:val="-5"/>
        </w:rPr>
        <w:t> </w:t>
      </w:r>
      <w:r>
        <w:rPr>
          <w:color w:val="231F20"/>
        </w:rPr>
        <w:t>в выстраивании оптимальной стратегии взаимодействия с ними (Павлова и др, 2022).</w:t>
      </w:r>
    </w:p>
    <w:p>
      <w:pPr>
        <w:pStyle w:val="BodyText"/>
        <w:spacing w:line="235" w:lineRule="auto" w:before="8"/>
      </w:pPr>
      <w:r>
        <w:rPr>
          <w:color w:val="231F20"/>
        </w:rPr>
        <w:t>Вышесказанное позволяет сформулировать цели методической поддержки педа- гогических работников в </w:t>
      </w:r>
      <w:r>
        <w:rPr/>
        <w:t>общеобразовательных организациях, имеющих в составе обучающихся детей иностранных граждан и детей с миграционной историей, слабо владеющих русским языком</w:t>
      </w:r>
      <w:r>
        <w:rPr>
          <w:color w:val="231F20"/>
        </w:rPr>
        <w:t>:</w:t>
      </w:r>
    </w:p>
    <w:p>
      <w:pPr>
        <w:pStyle w:val="ListParagraph"/>
        <w:numPr>
          <w:ilvl w:val="0"/>
          <w:numId w:val="68"/>
        </w:numPr>
        <w:tabs>
          <w:tab w:pos="425" w:val="left" w:leader="none"/>
        </w:tabs>
        <w:spacing w:line="235" w:lineRule="auto" w:before="3" w:after="0"/>
        <w:ind w:left="425" w:right="139" w:hanging="284"/>
        <w:jc w:val="both"/>
        <w:rPr>
          <w:sz w:val="20"/>
        </w:rPr>
      </w:pPr>
      <w:r>
        <w:rPr>
          <w:color w:val="231F20"/>
          <w:sz w:val="20"/>
        </w:rPr>
        <w:t>формирование профессиональных компетенций педагогов в области языковой, социальной,</w:t>
      </w:r>
      <w:r>
        <w:rPr>
          <w:color w:val="231F20"/>
          <w:spacing w:val="-8"/>
          <w:sz w:val="20"/>
        </w:rPr>
        <w:t> </w:t>
      </w:r>
      <w:r>
        <w:rPr>
          <w:color w:val="231F20"/>
          <w:sz w:val="20"/>
        </w:rPr>
        <w:t>психологической</w:t>
      </w:r>
      <w:r>
        <w:rPr>
          <w:color w:val="231F20"/>
          <w:spacing w:val="-9"/>
          <w:sz w:val="20"/>
        </w:rPr>
        <w:t> </w:t>
      </w:r>
      <w:r>
        <w:rPr>
          <w:color w:val="231F20"/>
          <w:sz w:val="20"/>
        </w:rPr>
        <w:t>и</w:t>
      </w:r>
      <w:r>
        <w:rPr>
          <w:color w:val="231F20"/>
          <w:spacing w:val="-9"/>
          <w:sz w:val="20"/>
        </w:rPr>
        <w:t> </w:t>
      </w:r>
      <w:r>
        <w:rPr>
          <w:color w:val="231F20"/>
          <w:sz w:val="20"/>
        </w:rPr>
        <w:t>культурной</w:t>
      </w:r>
      <w:r>
        <w:rPr>
          <w:color w:val="231F20"/>
          <w:spacing w:val="-9"/>
          <w:sz w:val="20"/>
        </w:rPr>
        <w:t> </w:t>
      </w:r>
      <w:r>
        <w:rPr>
          <w:color w:val="231F20"/>
          <w:sz w:val="20"/>
        </w:rPr>
        <w:t>адаптации</w:t>
      </w:r>
      <w:r>
        <w:rPr>
          <w:color w:val="231F20"/>
          <w:spacing w:val="-9"/>
          <w:sz w:val="20"/>
        </w:rPr>
        <w:t> </w:t>
      </w:r>
      <w:r>
        <w:rPr>
          <w:color w:val="231F20"/>
          <w:sz w:val="20"/>
        </w:rPr>
        <w:t>несовершеннолетних</w:t>
      </w:r>
      <w:r>
        <w:rPr>
          <w:color w:val="231F20"/>
          <w:spacing w:val="-9"/>
          <w:sz w:val="20"/>
        </w:rPr>
        <w:t> </w:t>
      </w:r>
      <w:r>
        <w:rPr>
          <w:color w:val="231F20"/>
          <w:sz w:val="20"/>
        </w:rPr>
        <w:t>ино- странных граждан</w:t>
      </w:r>
    </w:p>
    <w:p>
      <w:pPr>
        <w:pStyle w:val="ListParagraph"/>
        <w:numPr>
          <w:ilvl w:val="0"/>
          <w:numId w:val="68"/>
        </w:numPr>
        <w:tabs>
          <w:tab w:pos="425" w:val="left" w:leader="none"/>
        </w:tabs>
        <w:spacing w:line="235" w:lineRule="auto" w:before="2" w:after="0"/>
        <w:ind w:left="425" w:right="139" w:hanging="284"/>
        <w:jc w:val="both"/>
        <w:rPr>
          <w:sz w:val="20"/>
        </w:rPr>
      </w:pPr>
      <w:r>
        <w:rPr>
          <w:color w:val="231F20"/>
          <w:sz w:val="20"/>
        </w:rPr>
        <w:t>содействие</w:t>
      </w:r>
      <w:r>
        <w:rPr>
          <w:color w:val="231F20"/>
          <w:spacing w:val="-13"/>
          <w:sz w:val="20"/>
        </w:rPr>
        <w:t> </w:t>
      </w:r>
      <w:r>
        <w:rPr>
          <w:color w:val="231F20"/>
          <w:sz w:val="20"/>
        </w:rPr>
        <w:t>формированию</w:t>
      </w:r>
      <w:r>
        <w:rPr>
          <w:color w:val="231F20"/>
          <w:spacing w:val="-12"/>
          <w:sz w:val="20"/>
        </w:rPr>
        <w:t> </w:t>
      </w:r>
      <w:r>
        <w:rPr>
          <w:color w:val="231F20"/>
          <w:sz w:val="20"/>
        </w:rPr>
        <w:t>межкультурной</w:t>
      </w:r>
      <w:r>
        <w:rPr>
          <w:color w:val="231F20"/>
          <w:spacing w:val="-13"/>
          <w:sz w:val="20"/>
        </w:rPr>
        <w:t> </w:t>
      </w:r>
      <w:r>
        <w:rPr>
          <w:color w:val="231F20"/>
          <w:sz w:val="20"/>
        </w:rPr>
        <w:t>компетентности</w:t>
      </w:r>
      <w:r>
        <w:rPr>
          <w:color w:val="231F20"/>
          <w:spacing w:val="-12"/>
          <w:sz w:val="20"/>
        </w:rPr>
        <w:t> </w:t>
      </w:r>
      <w:r>
        <w:rPr>
          <w:color w:val="231F20"/>
          <w:sz w:val="20"/>
        </w:rPr>
        <w:t>педагогов</w:t>
      </w:r>
      <w:r>
        <w:rPr>
          <w:color w:val="231F20"/>
          <w:spacing w:val="-13"/>
          <w:sz w:val="20"/>
        </w:rPr>
        <w:t> </w:t>
      </w:r>
      <w:r>
        <w:rPr>
          <w:color w:val="231F20"/>
          <w:sz w:val="20"/>
        </w:rPr>
        <w:t>и</w:t>
      </w:r>
      <w:r>
        <w:rPr>
          <w:color w:val="231F20"/>
          <w:spacing w:val="-12"/>
          <w:sz w:val="20"/>
        </w:rPr>
        <w:t> </w:t>
      </w:r>
      <w:r>
        <w:rPr>
          <w:color w:val="231F20"/>
          <w:sz w:val="20"/>
        </w:rPr>
        <w:t>админис- </w:t>
      </w:r>
      <w:r>
        <w:rPr>
          <w:color w:val="231F20"/>
          <w:spacing w:val="-2"/>
          <w:sz w:val="20"/>
        </w:rPr>
        <w:t>трации</w:t>
      </w:r>
    </w:p>
    <w:p>
      <w:pPr>
        <w:pStyle w:val="ListParagraph"/>
        <w:numPr>
          <w:ilvl w:val="0"/>
          <w:numId w:val="68"/>
        </w:numPr>
        <w:tabs>
          <w:tab w:pos="424" w:val="left" w:leader="none"/>
        </w:tabs>
        <w:spacing w:line="225" w:lineRule="exact" w:before="0" w:after="0"/>
        <w:ind w:left="424" w:right="0" w:hanging="283"/>
        <w:jc w:val="both"/>
        <w:rPr>
          <w:sz w:val="20"/>
        </w:rPr>
      </w:pPr>
      <w:r>
        <w:rPr>
          <w:color w:val="231F20"/>
          <w:sz w:val="20"/>
        </w:rPr>
        <w:t>оказание</w:t>
      </w:r>
      <w:r>
        <w:rPr>
          <w:color w:val="231F20"/>
          <w:spacing w:val="-7"/>
          <w:sz w:val="20"/>
        </w:rPr>
        <w:t> </w:t>
      </w:r>
      <w:r>
        <w:rPr>
          <w:color w:val="231F20"/>
          <w:sz w:val="20"/>
        </w:rPr>
        <w:t>адресной</w:t>
      </w:r>
      <w:r>
        <w:rPr>
          <w:color w:val="231F20"/>
          <w:spacing w:val="-4"/>
          <w:sz w:val="20"/>
        </w:rPr>
        <w:t> </w:t>
      </w:r>
      <w:r>
        <w:rPr>
          <w:color w:val="231F20"/>
          <w:sz w:val="20"/>
        </w:rPr>
        <w:t>помощи</w:t>
      </w:r>
      <w:r>
        <w:rPr>
          <w:color w:val="231F20"/>
          <w:spacing w:val="-5"/>
          <w:sz w:val="20"/>
        </w:rPr>
        <w:t> </w:t>
      </w:r>
      <w:r>
        <w:rPr>
          <w:color w:val="231F20"/>
          <w:sz w:val="20"/>
        </w:rPr>
        <w:t>педагогическим</w:t>
      </w:r>
      <w:r>
        <w:rPr>
          <w:color w:val="231F20"/>
          <w:spacing w:val="-4"/>
          <w:sz w:val="20"/>
        </w:rPr>
        <w:t> </w:t>
      </w:r>
      <w:r>
        <w:rPr>
          <w:color w:val="231F20"/>
          <w:spacing w:val="-2"/>
          <w:sz w:val="20"/>
        </w:rPr>
        <w:t>работникам.</w:t>
      </w:r>
    </w:p>
    <w:p>
      <w:pPr>
        <w:pStyle w:val="BodyText"/>
        <w:spacing w:line="235" w:lineRule="auto" w:before="2"/>
      </w:pPr>
      <w:r>
        <w:rPr>
          <w:color w:val="231F20"/>
        </w:rPr>
        <w:t>Необходимым условием успешности деятельности педагога в поликультурном классе и решения задач, связанных с содействием адаптации детей-мигрантов, явля- ется</w:t>
      </w:r>
      <w:r>
        <w:rPr>
          <w:color w:val="231F20"/>
          <w:spacing w:val="-1"/>
        </w:rPr>
        <w:t> </w:t>
      </w:r>
      <w:r>
        <w:rPr>
          <w:color w:val="231F20"/>
        </w:rPr>
        <w:t>межкультурная</w:t>
      </w:r>
      <w:r>
        <w:rPr>
          <w:color w:val="231F20"/>
          <w:spacing w:val="-1"/>
        </w:rPr>
        <w:t> </w:t>
      </w:r>
      <w:r>
        <w:rPr>
          <w:color w:val="231F20"/>
        </w:rPr>
        <w:t>компетентность,</w:t>
      </w:r>
      <w:r>
        <w:rPr>
          <w:color w:val="231F20"/>
          <w:spacing w:val="-1"/>
        </w:rPr>
        <w:t> </w:t>
      </w:r>
      <w:r>
        <w:rPr>
          <w:color w:val="231F20"/>
        </w:rPr>
        <w:t>которую</w:t>
      </w:r>
      <w:r>
        <w:rPr>
          <w:color w:val="231F20"/>
          <w:spacing w:val="-1"/>
        </w:rPr>
        <w:t> </w:t>
      </w:r>
      <w:r>
        <w:rPr>
          <w:color w:val="231F20"/>
        </w:rPr>
        <w:t>мы</w:t>
      </w:r>
      <w:r>
        <w:rPr>
          <w:color w:val="231F20"/>
          <w:spacing w:val="-1"/>
        </w:rPr>
        <w:t> </w:t>
      </w:r>
      <w:r>
        <w:rPr>
          <w:color w:val="231F20"/>
        </w:rPr>
        <w:t>понимаем</w:t>
      </w:r>
      <w:r>
        <w:rPr>
          <w:color w:val="231F20"/>
          <w:spacing w:val="-1"/>
        </w:rPr>
        <w:t> </w:t>
      </w:r>
      <w:r>
        <w:rPr>
          <w:color w:val="231F20"/>
        </w:rPr>
        <w:t>как</w:t>
      </w:r>
      <w:r>
        <w:rPr>
          <w:color w:val="231F20"/>
          <w:spacing w:val="-1"/>
        </w:rPr>
        <w:t> </w:t>
      </w:r>
      <w:r>
        <w:rPr>
          <w:color w:val="231F20"/>
        </w:rPr>
        <w:t>«способность</w:t>
      </w:r>
      <w:r>
        <w:rPr>
          <w:color w:val="231F20"/>
          <w:spacing w:val="-1"/>
        </w:rPr>
        <w:t> </w:t>
      </w:r>
      <w:r>
        <w:rPr>
          <w:color w:val="231F20"/>
        </w:rPr>
        <w:t>педа- гога взаимодействовать со учащимися таким образом, чтобы поддерживать тех, кто лингвистически,</w:t>
      </w:r>
      <w:r>
        <w:rPr>
          <w:color w:val="231F20"/>
          <w:spacing w:val="-4"/>
        </w:rPr>
        <w:t> </w:t>
      </w:r>
      <w:r>
        <w:rPr>
          <w:color w:val="231F20"/>
        </w:rPr>
        <w:t>культурно,</w:t>
      </w:r>
      <w:r>
        <w:rPr>
          <w:color w:val="231F20"/>
          <w:spacing w:val="-4"/>
        </w:rPr>
        <w:t> </w:t>
      </w:r>
      <w:r>
        <w:rPr>
          <w:color w:val="231F20"/>
        </w:rPr>
        <w:t>социально</w:t>
      </w:r>
      <w:r>
        <w:rPr>
          <w:color w:val="231F20"/>
          <w:spacing w:val="-4"/>
        </w:rPr>
        <w:t> </w:t>
      </w:r>
      <w:r>
        <w:rPr>
          <w:color w:val="231F20"/>
        </w:rPr>
        <w:t>или</w:t>
      </w:r>
      <w:r>
        <w:rPr>
          <w:color w:val="231F20"/>
          <w:spacing w:val="-4"/>
        </w:rPr>
        <w:t> </w:t>
      </w:r>
      <w:r>
        <w:rPr>
          <w:color w:val="231F20"/>
        </w:rPr>
        <w:t>иным</w:t>
      </w:r>
      <w:r>
        <w:rPr>
          <w:color w:val="231F20"/>
          <w:spacing w:val="-4"/>
        </w:rPr>
        <w:t> </w:t>
      </w:r>
      <w:r>
        <w:rPr>
          <w:color w:val="231F20"/>
        </w:rPr>
        <w:t>образом</w:t>
      </w:r>
      <w:r>
        <w:rPr>
          <w:color w:val="231F20"/>
          <w:spacing w:val="-4"/>
        </w:rPr>
        <w:t> </w:t>
      </w:r>
      <w:r>
        <w:rPr>
          <w:color w:val="231F20"/>
        </w:rPr>
        <w:t>отличается</w:t>
      </w:r>
      <w:r>
        <w:rPr>
          <w:color w:val="231F20"/>
          <w:spacing w:val="-4"/>
        </w:rPr>
        <w:t> </w:t>
      </w:r>
      <w:r>
        <w:rPr>
          <w:color w:val="231F20"/>
        </w:rPr>
        <w:t>от</w:t>
      </w:r>
      <w:r>
        <w:rPr>
          <w:color w:val="231F20"/>
          <w:spacing w:val="-4"/>
        </w:rPr>
        <w:t> </w:t>
      </w:r>
      <w:r>
        <w:rPr>
          <w:color w:val="231F20"/>
        </w:rPr>
        <w:t>самого</w:t>
      </w:r>
      <w:r>
        <w:rPr>
          <w:color w:val="231F20"/>
          <w:spacing w:val="-4"/>
        </w:rPr>
        <w:t> </w:t>
      </w:r>
      <w:r>
        <w:rPr>
          <w:color w:val="231F20"/>
        </w:rPr>
        <w:t>учи- теля или друг от друга. Она помогает учителям преодолевать культурные, языковые и</w:t>
      </w:r>
      <w:r>
        <w:rPr>
          <w:color w:val="231F20"/>
          <w:spacing w:val="-10"/>
        </w:rPr>
        <w:t> </w:t>
      </w:r>
      <w:r>
        <w:rPr>
          <w:color w:val="231F20"/>
        </w:rPr>
        <w:t>другие</w:t>
      </w:r>
      <w:r>
        <w:rPr>
          <w:color w:val="231F20"/>
          <w:spacing w:val="-10"/>
        </w:rPr>
        <w:t> </w:t>
      </w:r>
      <w:r>
        <w:rPr>
          <w:color w:val="231F20"/>
        </w:rPr>
        <w:t>различия</w:t>
      </w:r>
      <w:r>
        <w:rPr>
          <w:color w:val="231F20"/>
          <w:spacing w:val="-10"/>
        </w:rPr>
        <w:t> </w:t>
      </w:r>
      <w:r>
        <w:rPr>
          <w:color w:val="231F20"/>
        </w:rPr>
        <w:t>в</w:t>
      </w:r>
      <w:r>
        <w:rPr>
          <w:color w:val="231F20"/>
          <w:spacing w:val="-10"/>
        </w:rPr>
        <w:t> </w:t>
      </w:r>
      <w:r>
        <w:rPr>
          <w:color w:val="231F20"/>
        </w:rPr>
        <w:t>классе</w:t>
      </w:r>
      <w:r>
        <w:rPr>
          <w:color w:val="231F20"/>
          <w:spacing w:val="-10"/>
        </w:rPr>
        <w:t> </w:t>
      </w:r>
      <w:r>
        <w:rPr>
          <w:color w:val="231F20"/>
        </w:rPr>
        <w:t>и</w:t>
      </w:r>
      <w:r>
        <w:rPr>
          <w:color w:val="231F20"/>
          <w:spacing w:val="-10"/>
        </w:rPr>
        <w:t> </w:t>
      </w:r>
      <w:r>
        <w:rPr>
          <w:color w:val="231F20"/>
        </w:rPr>
        <w:t>способствовать</w:t>
      </w:r>
      <w:r>
        <w:rPr>
          <w:color w:val="231F20"/>
          <w:spacing w:val="-10"/>
        </w:rPr>
        <w:t> </w:t>
      </w:r>
      <w:r>
        <w:rPr>
          <w:color w:val="231F20"/>
        </w:rPr>
        <w:t>вовлечению</w:t>
      </w:r>
      <w:r>
        <w:rPr>
          <w:color w:val="231F20"/>
          <w:spacing w:val="-10"/>
        </w:rPr>
        <w:t> </w:t>
      </w:r>
      <w:r>
        <w:rPr>
          <w:color w:val="231F20"/>
        </w:rPr>
        <w:t>инокультурных</w:t>
      </w:r>
      <w:r>
        <w:rPr>
          <w:color w:val="231F20"/>
          <w:spacing w:val="-10"/>
        </w:rPr>
        <w:t> </w:t>
      </w:r>
      <w:r>
        <w:rPr>
          <w:color w:val="231F20"/>
        </w:rPr>
        <w:t>учащихся</w:t>
      </w:r>
      <w:r>
        <w:rPr>
          <w:color w:val="231F20"/>
          <w:spacing w:val="-10"/>
        </w:rPr>
        <w:t> </w:t>
      </w:r>
      <w:r>
        <w:rPr>
          <w:color w:val="231F20"/>
        </w:rPr>
        <w:t>в учебный процесс» (Dimitrov, Hague, 2016).</w:t>
      </w:r>
    </w:p>
    <w:p>
      <w:pPr>
        <w:pStyle w:val="BodyText"/>
        <w:spacing w:line="235" w:lineRule="auto" w:before="4"/>
      </w:pPr>
      <w:r>
        <w:rPr/>
        <w:t>Коллективом</w:t>
      </w:r>
      <w:r>
        <w:rPr>
          <w:spacing w:val="-13"/>
        </w:rPr>
        <w:t> </w:t>
      </w:r>
      <w:r>
        <w:rPr/>
        <w:t>кафедры</w:t>
      </w:r>
      <w:r>
        <w:rPr>
          <w:spacing w:val="-12"/>
        </w:rPr>
        <w:t> </w:t>
      </w:r>
      <w:r>
        <w:rPr/>
        <w:t>этнопсихологии</w:t>
      </w:r>
      <w:r>
        <w:rPr>
          <w:spacing w:val="-13"/>
        </w:rPr>
        <w:t> </w:t>
      </w:r>
      <w:r>
        <w:rPr/>
        <w:t>МГППУ</w:t>
      </w:r>
      <w:r>
        <w:rPr>
          <w:spacing w:val="-12"/>
        </w:rPr>
        <w:t> </w:t>
      </w:r>
      <w:r>
        <w:rPr/>
        <w:t>была</w:t>
      </w:r>
      <w:r>
        <w:rPr>
          <w:spacing w:val="-13"/>
        </w:rPr>
        <w:t> </w:t>
      </w:r>
      <w:r>
        <w:rPr/>
        <w:t>создана</w:t>
      </w:r>
      <w:r>
        <w:rPr>
          <w:spacing w:val="-12"/>
        </w:rPr>
        <w:t> </w:t>
      </w:r>
      <w:r>
        <w:rPr/>
        <w:t>и</w:t>
      </w:r>
      <w:r>
        <w:rPr>
          <w:spacing w:val="-13"/>
        </w:rPr>
        <w:t> </w:t>
      </w:r>
      <w:r>
        <w:rPr/>
        <w:t>эмпирически</w:t>
      </w:r>
      <w:r>
        <w:rPr>
          <w:spacing w:val="-12"/>
        </w:rPr>
        <w:t> </w:t>
      </w:r>
      <w:r>
        <w:rPr/>
        <w:t>про- </w:t>
      </w:r>
      <w:r>
        <w:rPr>
          <w:spacing w:val="-2"/>
        </w:rPr>
        <w:t>верена</w:t>
      </w:r>
      <w:r>
        <w:rPr>
          <w:spacing w:val="-11"/>
        </w:rPr>
        <w:t> </w:t>
      </w:r>
      <w:r>
        <w:rPr>
          <w:spacing w:val="-2"/>
        </w:rPr>
        <w:t>комплексная</w:t>
      </w:r>
      <w:r>
        <w:rPr>
          <w:spacing w:val="-10"/>
        </w:rPr>
        <w:t> </w:t>
      </w:r>
      <w:r>
        <w:rPr>
          <w:spacing w:val="-2"/>
        </w:rPr>
        <w:t>модель</w:t>
      </w:r>
      <w:r>
        <w:rPr>
          <w:spacing w:val="-11"/>
        </w:rPr>
        <w:t> </w:t>
      </w:r>
      <w:r>
        <w:rPr>
          <w:spacing w:val="-2"/>
        </w:rPr>
        <w:t>межкультурной</w:t>
      </w:r>
      <w:r>
        <w:rPr>
          <w:spacing w:val="-10"/>
        </w:rPr>
        <w:t> </w:t>
      </w:r>
      <w:r>
        <w:rPr>
          <w:spacing w:val="-2"/>
        </w:rPr>
        <w:t>компетентности</w:t>
      </w:r>
      <w:r>
        <w:rPr>
          <w:spacing w:val="-11"/>
        </w:rPr>
        <w:t> </w:t>
      </w:r>
      <w:r>
        <w:rPr>
          <w:spacing w:val="-2"/>
        </w:rPr>
        <w:t>(Хухлаев,</w:t>
      </w:r>
      <w:r>
        <w:rPr>
          <w:spacing w:val="-10"/>
        </w:rPr>
        <w:t> </w:t>
      </w:r>
      <w:r>
        <w:rPr>
          <w:spacing w:val="-2"/>
        </w:rPr>
        <w:t>2020),</w:t>
      </w:r>
      <w:r>
        <w:rPr>
          <w:spacing w:val="-11"/>
        </w:rPr>
        <w:t> </w:t>
      </w:r>
      <w:r>
        <w:rPr>
          <w:spacing w:val="-2"/>
        </w:rPr>
        <w:t>содержа- </w:t>
      </w:r>
      <w:r>
        <w:rPr/>
        <w:t>ние которой составляют 9 конструктов: межкультурная стабильность/устойчивость, </w:t>
      </w:r>
      <w:r>
        <w:rPr>
          <w:spacing w:val="-2"/>
        </w:rPr>
        <w:t>межкультурная</w:t>
      </w:r>
      <w:r>
        <w:rPr>
          <w:spacing w:val="-3"/>
        </w:rPr>
        <w:t> </w:t>
      </w:r>
      <w:r>
        <w:rPr>
          <w:spacing w:val="-2"/>
        </w:rPr>
        <w:t>гибкость,</w:t>
      </w:r>
      <w:r>
        <w:rPr>
          <w:spacing w:val="-3"/>
        </w:rPr>
        <w:t> </w:t>
      </w:r>
      <w:r>
        <w:rPr>
          <w:spacing w:val="-2"/>
        </w:rPr>
        <w:t>межкультурная</w:t>
      </w:r>
      <w:r>
        <w:rPr>
          <w:spacing w:val="-3"/>
        </w:rPr>
        <w:t> </w:t>
      </w:r>
      <w:r>
        <w:rPr>
          <w:spacing w:val="-2"/>
        </w:rPr>
        <w:t>открытость,</w:t>
      </w:r>
      <w:r>
        <w:rPr>
          <w:spacing w:val="-3"/>
        </w:rPr>
        <w:t> </w:t>
      </w:r>
      <w:r>
        <w:rPr>
          <w:spacing w:val="-2"/>
        </w:rPr>
        <w:t>межкультурный</w:t>
      </w:r>
      <w:r>
        <w:rPr>
          <w:spacing w:val="-3"/>
        </w:rPr>
        <w:t> </w:t>
      </w:r>
      <w:r>
        <w:rPr>
          <w:spacing w:val="-2"/>
        </w:rPr>
        <w:t>интерес,</w:t>
      </w:r>
      <w:r>
        <w:rPr>
          <w:spacing w:val="-3"/>
        </w:rPr>
        <w:t> </w:t>
      </w:r>
      <w:r>
        <w:rPr>
          <w:spacing w:val="-2"/>
        </w:rPr>
        <w:t>отсут- ствие этноцентризма, культурная сензитивность, межкультурная эмпатия, управление </w:t>
      </w:r>
      <w:r>
        <w:rPr/>
        <w:t>межкультурными</w:t>
      </w:r>
      <w:r>
        <w:rPr>
          <w:spacing w:val="-9"/>
        </w:rPr>
        <w:t> </w:t>
      </w:r>
      <w:r>
        <w:rPr/>
        <w:t>отношениями,</w:t>
      </w:r>
      <w:r>
        <w:rPr>
          <w:spacing w:val="-9"/>
        </w:rPr>
        <w:t> </w:t>
      </w:r>
      <w:r>
        <w:rPr/>
        <w:t>толерантность</w:t>
      </w:r>
      <w:r>
        <w:rPr>
          <w:spacing w:val="-9"/>
        </w:rPr>
        <w:t> </w:t>
      </w:r>
      <w:r>
        <w:rPr/>
        <w:t>к</w:t>
      </w:r>
      <w:r>
        <w:rPr>
          <w:spacing w:val="-9"/>
        </w:rPr>
        <w:t> </w:t>
      </w:r>
      <w:r>
        <w:rPr/>
        <w:t>межкультурной</w:t>
      </w:r>
      <w:r>
        <w:rPr>
          <w:spacing w:val="-9"/>
        </w:rPr>
        <w:t> </w:t>
      </w:r>
      <w:r>
        <w:rPr/>
        <w:t>неопределенности. Данные девять конструктов были выделены на основе анализа, синтеза и неполной </w:t>
      </w:r>
      <w:r>
        <w:rPr>
          <w:spacing w:val="-2"/>
        </w:rPr>
        <w:t>индукции</w:t>
      </w:r>
      <w:r>
        <w:rPr>
          <w:spacing w:val="-7"/>
        </w:rPr>
        <w:t> </w:t>
      </w:r>
      <w:r>
        <w:rPr>
          <w:spacing w:val="-2"/>
        </w:rPr>
        <w:t>компонентов</w:t>
      </w:r>
      <w:r>
        <w:rPr>
          <w:spacing w:val="-7"/>
        </w:rPr>
        <w:t> </w:t>
      </w:r>
      <w:r>
        <w:rPr>
          <w:spacing w:val="-2"/>
        </w:rPr>
        <w:t>межкультурной</w:t>
      </w:r>
      <w:r>
        <w:rPr>
          <w:spacing w:val="-7"/>
        </w:rPr>
        <w:t> </w:t>
      </w:r>
      <w:r>
        <w:rPr>
          <w:spacing w:val="-2"/>
        </w:rPr>
        <w:t>компетентности,</w:t>
      </w:r>
      <w:r>
        <w:rPr>
          <w:spacing w:val="-7"/>
        </w:rPr>
        <w:t> </w:t>
      </w:r>
      <w:r>
        <w:rPr>
          <w:spacing w:val="-2"/>
        </w:rPr>
        <w:t>представленных</w:t>
      </w:r>
      <w:r>
        <w:rPr>
          <w:spacing w:val="-7"/>
        </w:rPr>
        <w:t> </w:t>
      </w:r>
      <w:r>
        <w:rPr>
          <w:spacing w:val="-2"/>
        </w:rPr>
        <w:t>в</w:t>
      </w:r>
      <w:r>
        <w:rPr>
          <w:spacing w:val="-7"/>
        </w:rPr>
        <w:t> </w:t>
      </w:r>
      <w:r>
        <w:rPr>
          <w:spacing w:val="-2"/>
        </w:rPr>
        <w:t>14</w:t>
      </w:r>
      <w:r>
        <w:rPr>
          <w:spacing w:val="-7"/>
        </w:rPr>
        <w:t> </w:t>
      </w:r>
      <w:r>
        <w:rPr>
          <w:spacing w:val="-2"/>
        </w:rPr>
        <w:t>инстру-</w:t>
      </w:r>
    </w:p>
    <w:p>
      <w:pPr>
        <w:pStyle w:val="BodyText"/>
        <w:spacing w:after="0" w:line="235" w:lineRule="auto"/>
        <w:sectPr>
          <w:footerReference w:type="default" r:id="rId82"/>
          <w:pgSz w:w="8400" w:h="11910"/>
          <w:pgMar w:header="0" w:footer="542" w:top="400" w:bottom="740" w:left="425" w:right="425"/>
          <w:pgNumType w:start="58"/>
        </w:sectPr>
      </w:pPr>
    </w:p>
    <w:p>
      <w:pPr>
        <w:pStyle w:val="ListParagraph"/>
        <w:numPr>
          <w:ilvl w:val="1"/>
          <w:numId w:val="69"/>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Организация</w:t>
      </w:r>
      <w:r>
        <w:rPr>
          <w:rFonts w:ascii="Georgia" w:hAnsi="Georgia"/>
          <w:color w:val="231F20"/>
          <w:spacing w:val="1"/>
          <w:sz w:val="18"/>
        </w:rPr>
        <w:t> </w:t>
      </w:r>
      <w:r>
        <w:rPr>
          <w:rFonts w:ascii="Georgia" w:hAnsi="Georgia"/>
          <w:color w:val="231F20"/>
          <w:sz w:val="18"/>
        </w:rPr>
        <w:t>методической</w:t>
      </w:r>
      <w:r>
        <w:rPr>
          <w:rFonts w:ascii="Georgia" w:hAnsi="Georgia"/>
          <w:color w:val="231F20"/>
          <w:spacing w:val="1"/>
          <w:sz w:val="18"/>
        </w:rPr>
        <w:t> </w:t>
      </w:r>
      <w:r>
        <w:rPr>
          <w:rFonts w:ascii="Georgia" w:hAnsi="Georgia"/>
          <w:color w:val="231F20"/>
          <w:sz w:val="18"/>
        </w:rPr>
        <w:t>поддержки</w:t>
      </w:r>
      <w:r>
        <w:rPr>
          <w:rFonts w:ascii="Georgia" w:hAnsi="Georgia"/>
          <w:color w:val="231F20"/>
          <w:spacing w:val="1"/>
          <w:sz w:val="18"/>
        </w:rPr>
        <w:t> </w:t>
      </w:r>
      <w:r>
        <w:rPr>
          <w:rFonts w:ascii="Georgia" w:hAnsi="Georgia"/>
          <w:color w:val="231F20"/>
          <w:sz w:val="18"/>
        </w:rPr>
        <w:t>деятельности</w:t>
      </w:r>
      <w:r>
        <w:rPr>
          <w:rFonts w:ascii="Georgia" w:hAnsi="Georgia"/>
          <w:color w:val="231F20"/>
          <w:spacing w:val="1"/>
          <w:sz w:val="18"/>
        </w:rPr>
        <w:t> </w:t>
      </w:r>
      <w:r>
        <w:rPr>
          <w:rFonts w:ascii="Georgia" w:hAnsi="Georgia"/>
          <w:color w:val="231F20"/>
          <w:sz w:val="18"/>
        </w:rPr>
        <w:t>педагогического</w:t>
      </w:r>
      <w:r>
        <w:rPr>
          <w:rFonts w:ascii="Georgia" w:hAnsi="Georgia"/>
          <w:color w:val="231F20"/>
          <w:spacing w:val="1"/>
          <w:sz w:val="18"/>
        </w:rPr>
        <w:t> </w:t>
      </w:r>
      <w:r>
        <w:rPr>
          <w:rFonts w:ascii="Georgia" w:hAnsi="Georgia"/>
          <w:color w:val="231F20"/>
          <w:spacing w:val="-5"/>
          <w:sz w:val="18"/>
        </w:rPr>
        <w:t>...</w:t>
      </w:r>
    </w:p>
    <w:p>
      <w:pPr>
        <w:pStyle w:val="BodyText"/>
        <w:spacing w:line="235" w:lineRule="auto" w:before="116"/>
        <w:ind w:firstLine="0"/>
      </w:pPr>
      <w:r>
        <w:rPr/>
        <w:t>ментальных моделях межкультурной компетентности, получивших эмпирическое подтверждение</w:t>
      </w:r>
      <w:r>
        <w:rPr>
          <w:spacing w:val="-2"/>
        </w:rPr>
        <w:t> </w:t>
      </w:r>
      <w:r>
        <w:rPr/>
        <w:t>и</w:t>
      </w:r>
      <w:r>
        <w:rPr>
          <w:spacing w:val="-2"/>
        </w:rPr>
        <w:t> </w:t>
      </w:r>
      <w:r>
        <w:rPr/>
        <w:t>имеющих</w:t>
      </w:r>
      <w:r>
        <w:rPr>
          <w:spacing w:val="-2"/>
        </w:rPr>
        <w:t> </w:t>
      </w:r>
      <w:r>
        <w:rPr/>
        <w:t>широкое</w:t>
      </w:r>
      <w:r>
        <w:rPr>
          <w:spacing w:val="-2"/>
        </w:rPr>
        <w:t> </w:t>
      </w:r>
      <w:r>
        <w:rPr/>
        <w:t>распространение</w:t>
      </w:r>
      <w:r>
        <w:rPr>
          <w:spacing w:val="-2"/>
        </w:rPr>
        <w:t> </w:t>
      </w:r>
      <w:r>
        <w:rPr/>
        <w:t>в</w:t>
      </w:r>
      <w:r>
        <w:rPr>
          <w:spacing w:val="-2"/>
        </w:rPr>
        <w:t> </w:t>
      </w:r>
      <w:r>
        <w:rPr/>
        <w:t>зарубежных</w:t>
      </w:r>
      <w:r>
        <w:rPr>
          <w:spacing w:val="-2"/>
        </w:rPr>
        <w:t> </w:t>
      </w:r>
      <w:r>
        <w:rPr/>
        <w:t>исследованиях.</w:t>
      </w:r>
    </w:p>
    <w:p>
      <w:pPr>
        <w:pStyle w:val="BodyText"/>
        <w:spacing w:line="235" w:lineRule="auto" w:before="1"/>
      </w:pPr>
      <w:r>
        <w:rPr/>
        <w:t>Далее</w:t>
      </w:r>
      <w:r>
        <w:rPr>
          <w:spacing w:val="-3"/>
        </w:rPr>
        <w:t> </w:t>
      </w:r>
      <w:r>
        <w:rPr/>
        <w:t>девять</w:t>
      </w:r>
      <w:r>
        <w:rPr>
          <w:spacing w:val="-3"/>
        </w:rPr>
        <w:t> </w:t>
      </w:r>
      <w:r>
        <w:rPr/>
        <w:t>получившихся</w:t>
      </w:r>
      <w:r>
        <w:rPr>
          <w:spacing w:val="-3"/>
        </w:rPr>
        <w:t> </w:t>
      </w:r>
      <w:r>
        <w:rPr/>
        <w:t>конструктов</w:t>
      </w:r>
      <w:r>
        <w:rPr>
          <w:spacing w:val="-3"/>
        </w:rPr>
        <w:t> </w:t>
      </w:r>
      <w:r>
        <w:rPr/>
        <w:t>были</w:t>
      </w:r>
      <w:r>
        <w:rPr>
          <w:spacing w:val="-3"/>
        </w:rPr>
        <w:t> </w:t>
      </w:r>
      <w:r>
        <w:rPr/>
        <w:t>распределены</w:t>
      </w:r>
      <w:r>
        <w:rPr>
          <w:spacing w:val="-3"/>
        </w:rPr>
        <w:t> </w:t>
      </w:r>
      <w:r>
        <w:rPr/>
        <w:t>по</w:t>
      </w:r>
      <w:r>
        <w:rPr>
          <w:spacing w:val="-3"/>
        </w:rPr>
        <w:t> </w:t>
      </w:r>
      <w:r>
        <w:rPr/>
        <w:t>трем</w:t>
      </w:r>
      <w:r>
        <w:rPr>
          <w:spacing w:val="-3"/>
        </w:rPr>
        <w:t> </w:t>
      </w:r>
      <w:r>
        <w:rPr/>
        <w:t>составляю- щим</w:t>
      </w:r>
      <w:r>
        <w:rPr>
          <w:spacing w:val="-11"/>
        </w:rPr>
        <w:t> </w:t>
      </w:r>
      <w:r>
        <w:rPr/>
        <w:t>межкультурной</w:t>
      </w:r>
      <w:r>
        <w:rPr>
          <w:spacing w:val="-11"/>
        </w:rPr>
        <w:t> </w:t>
      </w:r>
      <w:r>
        <w:rPr/>
        <w:t>компетентности,</w:t>
      </w:r>
      <w:r>
        <w:rPr>
          <w:spacing w:val="-11"/>
        </w:rPr>
        <w:t> </w:t>
      </w:r>
      <w:r>
        <w:rPr/>
        <w:t>предложенным</w:t>
      </w:r>
      <w:r>
        <w:rPr>
          <w:spacing w:val="-11"/>
        </w:rPr>
        <w:t> </w:t>
      </w:r>
      <w:r>
        <w:rPr/>
        <w:t>К.</w:t>
      </w:r>
      <w:r>
        <w:rPr>
          <w:spacing w:val="-11"/>
        </w:rPr>
        <w:t> </w:t>
      </w:r>
      <w:r>
        <w:rPr/>
        <w:t>Леунгом</w:t>
      </w:r>
      <w:r>
        <w:rPr>
          <w:spacing w:val="-11"/>
        </w:rPr>
        <w:t> </w:t>
      </w:r>
      <w:r>
        <w:rPr/>
        <w:t>(К.</w:t>
      </w:r>
      <w:r>
        <w:rPr>
          <w:spacing w:val="-11"/>
        </w:rPr>
        <w:t> </w:t>
      </w:r>
      <w:r>
        <w:rPr/>
        <w:t>Leung)</w:t>
      </w:r>
      <w:r>
        <w:rPr>
          <w:spacing w:val="-11"/>
        </w:rPr>
        <w:t> </w:t>
      </w:r>
      <w:r>
        <w:rPr/>
        <w:t>и</w:t>
      </w:r>
      <w:r>
        <w:rPr>
          <w:spacing w:val="-11"/>
        </w:rPr>
        <w:t> </w:t>
      </w:r>
      <w:r>
        <w:rPr/>
        <w:t>колле- гами (Leung еt al., 2014):</w:t>
      </w:r>
    </w:p>
    <w:p>
      <w:pPr>
        <w:pStyle w:val="ListParagraph"/>
        <w:numPr>
          <w:ilvl w:val="2"/>
          <w:numId w:val="69"/>
        </w:numPr>
        <w:tabs>
          <w:tab w:pos="425" w:val="left" w:leader="none"/>
        </w:tabs>
        <w:spacing w:line="235" w:lineRule="auto" w:before="0" w:after="0"/>
        <w:ind w:left="425" w:right="139" w:hanging="284"/>
        <w:jc w:val="left"/>
        <w:rPr>
          <w:rFonts w:ascii="Symbol" w:hAnsi="Symbol"/>
          <w:sz w:val="20"/>
        </w:rPr>
      </w:pPr>
      <w:r>
        <w:rPr>
          <w:i/>
          <w:sz w:val="20"/>
        </w:rPr>
        <w:t>Межкультурные</w:t>
      </w:r>
      <w:r>
        <w:rPr>
          <w:i/>
          <w:spacing w:val="-13"/>
          <w:sz w:val="20"/>
        </w:rPr>
        <w:t> </w:t>
      </w:r>
      <w:r>
        <w:rPr>
          <w:i/>
          <w:sz w:val="20"/>
        </w:rPr>
        <w:t>черты</w:t>
      </w:r>
      <w:r>
        <w:rPr>
          <w:sz w:val="20"/>
        </w:rPr>
        <w:t>:</w:t>
      </w:r>
      <w:r>
        <w:rPr>
          <w:spacing w:val="-12"/>
          <w:sz w:val="20"/>
        </w:rPr>
        <w:t> </w:t>
      </w:r>
      <w:r>
        <w:rPr>
          <w:sz w:val="20"/>
        </w:rPr>
        <w:t>устойчивые</w:t>
      </w:r>
      <w:r>
        <w:rPr>
          <w:spacing w:val="-13"/>
          <w:sz w:val="20"/>
        </w:rPr>
        <w:t> </w:t>
      </w:r>
      <w:r>
        <w:rPr>
          <w:sz w:val="20"/>
        </w:rPr>
        <w:t>индивидуальные</w:t>
      </w:r>
      <w:r>
        <w:rPr>
          <w:spacing w:val="-12"/>
          <w:sz w:val="20"/>
        </w:rPr>
        <w:t> </w:t>
      </w:r>
      <w:r>
        <w:rPr>
          <w:sz w:val="20"/>
        </w:rPr>
        <w:t>характеристики,</w:t>
      </w:r>
      <w:r>
        <w:rPr>
          <w:spacing w:val="-13"/>
          <w:sz w:val="20"/>
        </w:rPr>
        <w:t> </w:t>
      </w:r>
      <w:r>
        <w:rPr>
          <w:sz w:val="20"/>
        </w:rPr>
        <w:t>определя- ющие паттерны поведения человека в условиях межкультурного контакта.</w:t>
      </w:r>
    </w:p>
    <w:p>
      <w:pPr>
        <w:pStyle w:val="ListParagraph"/>
        <w:numPr>
          <w:ilvl w:val="2"/>
          <w:numId w:val="69"/>
        </w:numPr>
        <w:tabs>
          <w:tab w:pos="425" w:val="left" w:leader="none"/>
        </w:tabs>
        <w:spacing w:line="226" w:lineRule="exact" w:before="0" w:after="0"/>
        <w:ind w:left="425" w:right="139" w:hanging="284"/>
        <w:jc w:val="left"/>
        <w:rPr>
          <w:rFonts w:ascii="Symbol" w:hAnsi="Symbol"/>
          <w:sz w:val="20"/>
        </w:rPr>
      </w:pPr>
      <w:r>
        <w:rPr>
          <w:i/>
          <w:sz w:val="20"/>
        </w:rPr>
        <w:t>Межкультурные установки</w:t>
      </w:r>
      <w:r>
        <w:rPr>
          <w:sz w:val="20"/>
        </w:rPr>
        <w:t>: особенности мировоззрения, связанные с межкуль- турным</w:t>
      </w:r>
      <w:r>
        <w:rPr>
          <w:spacing w:val="25"/>
          <w:sz w:val="20"/>
        </w:rPr>
        <w:t> </w:t>
      </w:r>
      <w:r>
        <w:rPr>
          <w:sz w:val="20"/>
        </w:rPr>
        <w:t>общением</w:t>
      </w:r>
      <w:r>
        <w:rPr>
          <w:spacing w:val="25"/>
          <w:sz w:val="20"/>
        </w:rPr>
        <w:t> </w:t>
      </w:r>
      <w:r>
        <w:rPr>
          <w:sz w:val="20"/>
        </w:rPr>
        <w:t>и</w:t>
      </w:r>
      <w:r>
        <w:rPr>
          <w:spacing w:val="25"/>
          <w:sz w:val="20"/>
        </w:rPr>
        <w:t> </w:t>
      </w:r>
      <w:r>
        <w:rPr>
          <w:sz w:val="20"/>
        </w:rPr>
        <w:t>обеспечивающие</w:t>
      </w:r>
      <w:r>
        <w:rPr>
          <w:spacing w:val="25"/>
          <w:sz w:val="20"/>
        </w:rPr>
        <w:t> </w:t>
      </w:r>
      <w:r>
        <w:rPr>
          <w:sz w:val="20"/>
        </w:rPr>
        <w:t>адекватную</w:t>
      </w:r>
      <w:r>
        <w:rPr>
          <w:spacing w:val="25"/>
          <w:sz w:val="20"/>
        </w:rPr>
        <w:t> </w:t>
      </w:r>
      <w:r>
        <w:rPr>
          <w:sz w:val="20"/>
        </w:rPr>
        <w:t>мотивацию</w:t>
      </w:r>
      <w:r>
        <w:rPr>
          <w:spacing w:val="25"/>
          <w:sz w:val="20"/>
        </w:rPr>
        <w:t> </w:t>
      </w:r>
      <w:r>
        <w:rPr>
          <w:sz w:val="20"/>
        </w:rPr>
        <w:t>межкультурного</w:t>
      </w:r>
    </w:p>
    <w:p>
      <w:pPr>
        <w:pStyle w:val="BodyText"/>
        <w:spacing w:line="218" w:lineRule="exact"/>
        <w:ind w:left="425" w:right="0" w:firstLine="0"/>
        <w:jc w:val="left"/>
      </w:pPr>
      <w:r>
        <w:rPr>
          <w:spacing w:val="-2"/>
        </w:rPr>
        <w:t>общения.</w:t>
      </w:r>
    </w:p>
    <w:p>
      <w:pPr>
        <w:pStyle w:val="ListParagraph"/>
        <w:numPr>
          <w:ilvl w:val="2"/>
          <w:numId w:val="69"/>
        </w:numPr>
        <w:tabs>
          <w:tab w:pos="425" w:val="left" w:leader="none"/>
        </w:tabs>
        <w:spacing w:line="237" w:lineRule="auto" w:before="0" w:after="0"/>
        <w:ind w:left="425" w:right="139" w:hanging="284"/>
        <w:jc w:val="left"/>
        <w:rPr>
          <w:rFonts w:ascii="Symbol" w:hAnsi="Symbol"/>
          <w:sz w:val="20"/>
        </w:rPr>
      </w:pPr>
      <w:r>
        <w:rPr>
          <w:i/>
          <w:sz w:val="20"/>
        </w:rPr>
        <w:t>Межкультурные умения и навыки </w:t>
      </w:r>
      <w:r>
        <w:rPr>
          <w:sz w:val="20"/>
        </w:rPr>
        <w:t>индивида, непосредственно обеспечивающие его эффективность в конкретных межкультурных взаимодействиях.</w:t>
      </w:r>
    </w:p>
    <w:p>
      <w:pPr>
        <w:spacing w:before="0"/>
        <w:ind w:left="141" w:right="139" w:firstLine="283"/>
        <w:jc w:val="both"/>
        <w:rPr>
          <w:sz w:val="20"/>
        </w:rPr>
      </w:pPr>
      <w:r>
        <w:rPr>
          <w:sz w:val="20"/>
        </w:rPr>
        <w:t>Таким образом, в комплексную модель межкультурной компетентности в </w:t>
      </w:r>
      <w:r>
        <w:rPr>
          <w:i/>
          <w:sz w:val="20"/>
        </w:rPr>
        <w:t>Меж- культурные черты </w:t>
      </w:r>
      <w:r>
        <w:rPr>
          <w:sz w:val="20"/>
        </w:rPr>
        <w:t>вошли три интегративных конструкта, в </w:t>
      </w:r>
      <w:r>
        <w:rPr>
          <w:i/>
          <w:sz w:val="20"/>
        </w:rPr>
        <w:t>Межкультурные уста- новки</w:t>
      </w:r>
      <w:r>
        <w:rPr>
          <w:i/>
          <w:spacing w:val="-3"/>
          <w:sz w:val="20"/>
        </w:rPr>
        <w:t> </w:t>
      </w:r>
      <w:r>
        <w:rPr>
          <w:sz w:val="20"/>
        </w:rPr>
        <w:t>–</w:t>
      </w:r>
      <w:r>
        <w:rPr>
          <w:spacing w:val="-3"/>
          <w:sz w:val="20"/>
        </w:rPr>
        <w:t> </w:t>
      </w:r>
      <w:r>
        <w:rPr>
          <w:sz w:val="20"/>
        </w:rPr>
        <w:t>два</w:t>
      </w:r>
      <w:r>
        <w:rPr>
          <w:spacing w:val="-3"/>
          <w:sz w:val="20"/>
        </w:rPr>
        <w:t> </w:t>
      </w:r>
      <w:r>
        <w:rPr>
          <w:sz w:val="20"/>
        </w:rPr>
        <w:t>и</w:t>
      </w:r>
      <w:r>
        <w:rPr>
          <w:spacing w:val="-4"/>
          <w:sz w:val="20"/>
        </w:rPr>
        <w:t> </w:t>
      </w:r>
      <w:r>
        <w:rPr>
          <w:sz w:val="20"/>
        </w:rPr>
        <w:t>четыре</w:t>
      </w:r>
      <w:r>
        <w:rPr>
          <w:spacing w:val="-3"/>
          <w:sz w:val="20"/>
        </w:rPr>
        <w:t> </w:t>
      </w:r>
      <w:r>
        <w:rPr>
          <w:sz w:val="20"/>
        </w:rPr>
        <w:t>в</w:t>
      </w:r>
      <w:r>
        <w:rPr>
          <w:spacing w:val="-4"/>
          <w:sz w:val="20"/>
        </w:rPr>
        <w:t> </w:t>
      </w:r>
      <w:r>
        <w:rPr>
          <w:i/>
          <w:sz w:val="20"/>
        </w:rPr>
        <w:t>Межкультурные</w:t>
      </w:r>
      <w:r>
        <w:rPr>
          <w:i/>
          <w:spacing w:val="-3"/>
          <w:sz w:val="20"/>
        </w:rPr>
        <w:t> </w:t>
      </w:r>
      <w:r>
        <w:rPr>
          <w:i/>
          <w:sz w:val="20"/>
        </w:rPr>
        <w:t>умения</w:t>
      </w:r>
      <w:r>
        <w:rPr>
          <w:i/>
          <w:spacing w:val="-3"/>
          <w:sz w:val="20"/>
        </w:rPr>
        <w:t> </w:t>
      </w:r>
      <w:r>
        <w:rPr>
          <w:i/>
          <w:sz w:val="20"/>
        </w:rPr>
        <w:t>и</w:t>
      </w:r>
      <w:r>
        <w:rPr>
          <w:i/>
          <w:spacing w:val="-3"/>
          <w:sz w:val="20"/>
        </w:rPr>
        <w:t> </w:t>
      </w:r>
      <w:r>
        <w:rPr>
          <w:i/>
          <w:sz w:val="20"/>
        </w:rPr>
        <w:t>навыки</w:t>
      </w:r>
      <w:r>
        <w:rPr>
          <w:sz w:val="20"/>
        </w:rPr>
        <w:t>.</w:t>
      </w:r>
      <w:r>
        <w:rPr>
          <w:spacing w:val="-3"/>
          <w:sz w:val="20"/>
        </w:rPr>
        <w:t> </w:t>
      </w:r>
      <w:r>
        <w:rPr>
          <w:sz w:val="20"/>
        </w:rPr>
        <w:t>Рассмотрим</w:t>
      </w:r>
      <w:r>
        <w:rPr>
          <w:spacing w:val="-3"/>
          <w:sz w:val="20"/>
        </w:rPr>
        <w:t> </w:t>
      </w:r>
      <w:r>
        <w:rPr>
          <w:sz w:val="20"/>
        </w:rPr>
        <w:t>их</w:t>
      </w:r>
      <w:r>
        <w:rPr>
          <w:spacing w:val="-3"/>
          <w:sz w:val="20"/>
        </w:rPr>
        <w:t> </w:t>
      </w:r>
      <w:r>
        <w:rPr>
          <w:sz w:val="20"/>
        </w:rPr>
        <w:t>подробнее.</w:t>
      </w:r>
    </w:p>
    <w:p>
      <w:pPr>
        <w:spacing w:line="223" w:lineRule="exact" w:before="0"/>
        <w:ind w:left="425" w:right="0" w:firstLine="0"/>
        <w:jc w:val="both"/>
        <w:rPr>
          <w:b/>
          <w:sz w:val="20"/>
        </w:rPr>
      </w:pPr>
      <w:r>
        <w:rPr>
          <w:b/>
          <w:spacing w:val="-2"/>
          <w:sz w:val="20"/>
        </w:rPr>
        <w:t>Структура</w:t>
      </w:r>
      <w:r>
        <w:rPr>
          <w:b/>
          <w:spacing w:val="3"/>
          <w:sz w:val="20"/>
        </w:rPr>
        <w:t> </w:t>
      </w:r>
      <w:r>
        <w:rPr>
          <w:b/>
          <w:spacing w:val="-2"/>
          <w:sz w:val="20"/>
        </w:rPr>
        <w:t>комплексной</w:t>
      </w:r>
      <w:r>
        <w:rPr>
          <w:b/>
          <w:spacing w:val="2"/>
          <w:sz w:val="20"/>
        </w:rPr>
        <w:t> </w:t>
      </w:r>
      <w:r>
        <w:rPr>
          <w:b/>
          <w:spacing w:val="-2"/>
          <w:sz w:val="20"/>
        </w:rPr>
        <w:t>модели</w:t>
      </w:r>
      <w:r>
        <w:rPr>
          <w:b/>
          <w:spacing w:val="2"/>
          <w:sz w:val="20"/>
        </w:rPr>
        <w:t> </w:t>
      </w:r>
      <w:r>
        <w:rPr>
          <w:b/>
          <w:spacing w:val="-2"/>
          <w:sz w:val="20"/>
        </w:rPr>
        <w:t>межкультурной</w:t>
      </w:r>
      <w:r>
        <w:rPr>
          <w:b/>
          <w:spacing w:val="2"/>
          <w:sz w:val="20"/>
        </w:rPr>
        <w:t> </w:t>
      </w:r>
      <w:r>
        <w:rPr>
          <w:b/>
          <w:spacing w:val="-2"/>
          <w:sz w:val="20"/>
        </w:rPr>
        <w:t>компетентности</w:t>
      </w:r>
    </w:p>
    <w:p>
      <w:pPr>
        <w:pStyle w:val="ListParagraph"/>
        <w:numPr>
          <w:ilvl w:val="0"/>
          <w:numId w:val="70"/>
        </w:numPr>
        <w:tabs>
          <w:tab w:pos="632" w:val="left" w:leader="none"/>
        </w:tabs>
        <w:spacing w:line="240" w:lineRule="auto" w:before="0" w:after="0"/>
        <w:ind w:left="141" w:right="139" w:firstLine="283"/>
        <w:jc w:val="both"/>
        <w:rPr>
          <w:sz w:val="20"/>
        </w:rPr>
      </w:pPr>
      <w:r>
        <w:rPr>
          <w:b/>
          <w:sz w:val="20"/>
        </w:rPr>
        <w:t>Межкультурные</w:t>
      </w:r>
      <w:r>
        <w:rPr>
          <w:b/>
          <w:spacing w:val="-1"/>
          <w:sz w:val="20"/>
        </w:rPr>
        <w:t> </w:t>
      </w:r>
      <w:r>
        <w:rPr>
          <w:b/>
          <w:sz w:val="20"/>
        </w:rPr>
        <w:t>черты</w:t>
      </w:r>
      <w:r>
        <w:rPr>
          <w:b/>
          <w:spacing w:val="-1"/>
          <w:sz w:val="20"/>
        </w:rPr>
        <w:t> </w:t>
      </w:r>
      <w:r>
        <w:rPr>
          <w:sz w:val="20"/>
        </w:rPr>
        <w:t>–</w:t>
      </w:r>
      <w:r>
        <w:rPr>
          <w:spacing w:val="-1"/>
          <w:sz w:val="20"/>
        </w:rPr>
        <w:t> </w:t>
      </w:r>
      <w:r>
        <w:rPr>
          <w:sz w:val="20"/>
        </w:rPr>
        <w:t>это</w:t>
      </w:r>
      <w:r>
        <w:rPr>
          <w:spacing w:val="-1"/>
          <w:sz w:val="20"/>
        </w:rPr>
        <w:t> </w:t>
      </w:r>
      <w:r>
        <w:rPr>
          <w:sz w:val="20"/>
        </w:rPr>
        <w:t>индивидуально-личностные</w:t>
      </w:r>
      <w:r>
        <w:rPr>
          <w:spacing w:val="-1"/>
          <w:sz w:val="20"/>
        </w:rPr>
        <w:t> </w:t>
      </w:r>
      <w:r>
        <w:rPr>
          <w:sz w:val="20"/>
        </w:rPr>
        <w:t>особенности,</w:t>
      </w:r>
      <w:r>
        <w:rPr>
          <w:spacing w:val="-1"/>
          <w:sz w:val="20"/>
        </w:rPr>
        <w:t> </w:t>
      </w:r>
      <w:r>
        <w:rPr>
          <w:sz w:val="20"/>
        </w:rPr>
        <w:t>кото- рые способствуют или препятствуют успешности межкультурного взаимодействия.</w:t>
      </w:r>
    </w:p>
    <w:p>
      <w:pPr>
        <w:pStyle w:val="BodyText"/>
        <w:spacing w:line="237" w:lineRule="auto"/>
      </w:pPr>
      <w:r>
        <w:rPr/>
        <w:t>«</w:t>
      </w:r>
      <w:r>
        <w:rPr>
          <w:b/>
          <w:i/>
        </w:rPr>
        <w:t>Межкультурная стабильность </w:t>
      </w:r>
      <w:r>
        <w:rPr/>
        <w:t>включает такие индивидуальные особенности личности,</w:t>
      </w:r>
      <w:r>
        <w:rPr>
          <w:spacing w:val="35"/>
        </w:rPr>
        <w:t> </w:t>
      </w:r>
      <w:r>
        <w:rPr/>
        <w:t>которые</w:t>
      </w:r>
      <w:r>
        <w:rPr>
          <w:spacing w:val="35"/>
        </w:rPr>
        <w:t> </w:t>
      </w:r>
      <w:r>
        <w:rPr/>
        <w:t>позволяют</w:t>
      </w:r>
      <w:r>
        <w:rPr>
          <w:spacing w:val="35"/>
        </w:rPr>
        <w:t> </w:t>
      </w:r>
      <w:r>
        <w:rPr/>
        <w:t>человеку</w:t>
      </w:r>
      <w:r>
        <w:rPr>
          <w:spacing w:val="35"/>
        </w:rPr>
        <w:t> </w:t>
      </w:r>
      <w:r>
        <w:rPr/>
        <w:t>быть</w:t>
      </w:r>
      <w:r>
        <w:rPr>
          <w:spacing w:val="35"/>
        </w:rPr>
        <w:t> </w:t>
      </w:r>
      <w:r>
        <w:rPr/>
        <w:t>устойчивым</w:t>
      </w:r>
      <w:r>
        <w:rPr>
          <w:spacing w:val="36"/>
        </w:rPr>
        <w:t> </w:t>
      </w:r>
      <w:r>
        <w:rPr/>
        <w:t>к</w:t>
      </w:r>
      <w:r>
        <w:rPr>
          <w:spacing w:val="35"/>
        </w:rPr>
        <w:t> </w:t>
      </w:r>
      <w:r>
        <w:rPr/>
        <w:t>стрессовым</w:t>
      </w:r>
      <w:r>
        <w:rPr>
          <w:spacing w:val="35"/>
        </w:rPr>
        <w:t> </w:t>
      </w:r>
      <w:r>
        <w:rPr/>
        <w:t>ситуаци- ям межкультурного общения. Это сочетание эмоциональной устойчивости, умения управлять своим эмоциональным состоянием и конструктивного отношения к успе- хам и неудачам.</w:t>
      </w:r>
    </w:p>
    <w:p>
      <w:pPr>
        <w:pStyle w:val="BodyText"/>
      </w:pPr>
      <w:r>
        <w:rPr/>
        <w:t>Другую группу черт личности можно назвать «</w:t>
      </w:r>
      <w:r>
        <w:rPr>
          <w:b/>
          <w:i/>
        </w:rPr>
        <w:t>межкультурная открытость</w:t>
      </w:r>
      <w:r>
        <w:rPr/>
        <w:t>», она предполагает наличие таких индивидуальных особенностей личности, которые обеспечивают возможность непредвзятого общения с людьми из другой культуры: получение удовольствия от различий, принятие интересов других, желание понять их ценности, сдерживание склонности к немедленной оценке незнакомцев, умение видеть сходства культур.</w:t>
      </w:r>
    </w:p>
    <w:p>
      <w:pPr>
        <w:pStyle w:val="BodyText"/>
        <w:ind w:firstLine="330"/>
      </w:pPr>
      <w:r>
        <w:rPr/>
        <w:t>«</w:t>
      </w:r>
      <w:r>
        <w:rPr>
          <w:b/>
          <w:i/>
        </w:rPr>
        <w:t>Межкультурная</w:t>
      </w:r>
      <w:r>
        <w:rPr>
          <w:b/>
          <w:i/>
          <w:spacing w:val="-11"/>
        </w:rPr>
        <w:t> </w:t>
      </w:r>
      <w:r>
        <w:rPr>
          <w:b/>
          <w:i/>
        </w:rPr>
        <w:t>гибкость</w:t>
      </w:r>
      <w:r>
        <w:rPr/>
        <w:t>»</w:t>
      </w:r>
      <w:r>
        <w:rPr>
          <w:spacing w:val="-11"/>
        </w:rPr>
        <w:t> </w:t>
      </w:r>
      <w:r>
        <w:rPr/>
        <w:t>–</w:t>
      </w:r>
      <w:r>
        <w:rPr>
          <w:spacing w:val="-11"/>
        </w:rPr>
        <w:t> </w:t>
      </w:r>
      <w:r>
        <w:rPr/>
        <w:t>индивидуальная</w:t>
      </w:r>
      <w:r>
        <w:rPr>
          <w:spacing w:val="-11"/>
        </w:rPr>
        <w:t> </w:t>
      </w:r>
      <w:r>
        <w:rPr/>
        <w:t>особенность</w:t>
      </w:r>
      <w:r>
        <w:rPr>
          <w:spacing w:val="-11"/>
        </w:rPr>
        <w:t> </w:t>
      </w:r>
      <w:r>
        <w:rPr/>
        <w:t>личности,</w:t>
      </w:r>
      <w:r>
        <w:rPr>
          <w:spacing w:val="-11"/>
        </w:rPr>
        <w:t> </w:t>
      </w:r>
      <w:r>
        <w:rPr/>
        <w:t>позволя- ющая</w:t>
      </w:r>
      <w:r>
        <w:rPr>
          <w:spacing w:val="-7"/>
        </w:rPr>
        <w:t> </w:t>
      </w:r>
      <w:r>
        <w:rPr/>
        <w:t>человеку</w:t>
      </w:r>
      <w:r>
        <w:rPr>
          <w:spacing w:val="-7"/>
        </w:rPr>
        <w:t> </w:t>
      </w:r>
      <w:r>
        <w:rPr/>
        <w:t>приспосабливаться</w:t>
      </w:r>
      <w:r>
        <w:rPr>
          <w:spacing w:val="-7"/>
        </w:rPr>
        <w:t> </w:t>
      </w:r>
      <w:r>
        <w:rPr/>
        <w:t>к</w:t>
      </w:r>
      <w:r>
        <w:rPr>
          <w:spacing w:val="-7"/>
        </w:rPr>
        <w:t> </w:t>
      </w:r>
      <w:r>
        <w:rPr/>
        <w:t>новым</w:t>
      </w:r>
      <w:r>
        <w:rPr>
          <w:spacing w:val="-7"/>
        </w:rPr>
        <w:t> </w:t>
      </w:r>
      <w:r>
        <w:rPr/>
        <w:t>ситуациям,</w:t>
      </w:r>
      <w:r>
        <w:rPr>
          <w:spacing w:val="-7"/>
        </w:rPr>
        <w:t> </w:t>
      </w:r>
      <w:r>
        <w:rPr/>
        <w:t>легко</w:t>
      </w:r>
      <w:r>
        <w:rPr>
          <w:spacing w:val="-7"/>
        </w:rPr>
        <w:t> </w:t>
      </w:r>
      <w:r>
        <w:rPr/>
        <w:t>усваивать</w:t>
      </w:r>
      <w:r>
        <w:rPr>
          <w:spacing w:val="-7"/>
        </w:rPr>
        <w:t> </w:t>
      </w:r>
      <w:r>
        <w:rPr/>
        <w:t>новый</w:t>
      </w:r>
      <w:r>
        <w:rPr>
          <w:spacing w:val="-7"/>
        </w:rPr>
        <w:t> </w:t>
      </w:r>
      <w:r>
        <w:rPr/>
        <w:t>опыт, менять способ мышления и поведение в зависимости от ситуации межкультурного </w:t>
      </w:r>
      <w:r>
        <w:rPr>
          <w:spacing w:val="-2"/>
        </w:rPr>
        <w:t>общения.</w:t>
      </w:r>
    </w:p>
    <w:p>
      <w:pPr>
        <w:pStyle w:val="ListParagraph"/>
        <w:numPr>
          <w:ilvl w:val="0"/>
          <w:numId w:val="70"/>
        </w:numPr>
        <w:tabs>
          <w:tab w:pos="634" w:val="left" w:leader="none"/>
        </w:tabs>
        <w:spacing w:line="240" w:lineRule="auto" w:before="0" w:after="0"/>
        <w:ind w:left="141" w:right="139" w:firstLine="283"/>
        <w:jc w:val="both"/>
        <w:rPr>
          <w:sz w:val="20"/>
        </w:rPr>
      </w:pPr>
      <w:r>
        <w:rPr>
          <w:b/>
          <w:sz w:val="20"/>
        </w:rPr>
        <w:t>Межкультурные установки </w:t>
      </w:r>
      <w:r>
        <w:rPr>
          <w:sz w:val="20"/>
        </w:rPr>
        <w:t>– особенности мировоззрения, связанные с меж- культурным общением и обеспечивающие адекватную мотивацию межкультурного </w:t>
      </w:r>
      <w:r>
        <w:rPr>
          <w:spacing w:val="-2"/>
          <w:sz w:val="20"/>
        </w:rPr>
        <w:t>общения.</w:t>
      </w:r>
    </w:p>
    <w:p>
      <w:pPr>
        <w:spacing w:line="237" w:lineRule="auto" w:before="0"/>
        <w:ind w:left="141" w:right="139" w:firstLine="283"/>
        <w:jc w:val="right"/>
        <w:rPr>
          <w:sz w:val="20"/>
        </w:rPr>
      </w:pPr>
      <w:r>
        <w:rPr>
          <w:b/>
          <w:i/>
          <w:sz w:val="20"/>
        </w:rPr>
        <w:t>Установки</w:t>
      </w:r>
      <w:r>
        <w:rPr>
          <w:b/>
          <w:i/>
          <w:spacing w:val="-8"/>
          <w:sz w:val="20"/>
        </w:rPr>
        <w:t> </w:t>
      </w:r>
      <w:r>
        <w:rPr>
          <w:b/>
          <w:i/>
          <w:sz w:val="20"/>
        </w:rPr>
        <w:t>на</w:t>
      </w:r>
      <w:r>
        <w:rPr>
          <w:b/>
          <w:i/>
          <w:spacing w:val="-7"/>
          <w:sz w:val="20"/>
        </w:rPr>
        <w:t> </w:t>
      </w:r>
      <w:r>
        <w:rPr>
          <w:b/>
          <w:i/>
          <w:sz w:val="20"/>
        </w:rPr>
        <w:t>этноцентризм/этнорелятивизм</w:t>
      </w:r>
      <w:r>
        <w:rPr>
          <w:sz w:val="20"/>
        </w:rPr>
        <w:t>,</w:t>
      </w:r>
      <w:r>
        <w:rPr>
          <w:spacing w:val="-7"/>
          <w:sz w:val="20"/>
        </w:rPr>
        <w:t> </w:t>
      </w:r>
      <w:r>
        <w:rPr>
          <w:sz w:val="20"/>
        </w:rPr>
        <w:t>под</w:t>
      </w:r>
      <w:r>
        <w:rPr>
          <w:spacing w:val="-7"/>
          <w:sz w:val="20"/>
        </w:rPr>
        <w:t> </w:t>
      </w:r>
      <w:r>
        <w:rPr>
          <w:sz w:val="20"/>
        </w:rPr>
        <w:t>которыми</w:t>
      </w:r>
      <w:r>
        <w:rPr>
          <w:spacing w:val="-7"/>
          <w:sz w:val="20"/>
        </w:rPr>
        <w:t> </w:t>
      </w:r>
      <w:r>
        <w:rPr>
          <w:sz w:val="20"/>
        </w:rPr>
        <w:t>понимается</w:t>
      </w:r>
      <w:r>
        <w:rPr>
          <w:spacing w:val="-7"/>
          <w:sz w:val="20"/>
        </w:rPr>
        <w:t> </w:t>
      </w:r>
      <w:r>
        <w:rPr>
          <w:sz w:val="20"/>
        </w:rPr>
        <w:t>тен- денция</w:t>
      </w:r>
      <w:r>
        <w:rPr>
          <w:spacing w:val="-8"/>
          <w:sz w:val="20"/>
        </w:rPr>
        <w:t> </w:t>
      </w:r>
      <w:r>
        <w:rPr>
          <w:sz w:val="20"/>
        </w:rPr>
        <w:t>сознания</w:t>
      </w:r>
      <w:r>
        <w:rPr>
          <w:spacing w:val="-8"/>
          <w:sz w:val="20"/>
        </w:rPr>
        <w:t> </w:t>
      </w:r>
      <w:r>
        <w:rPr>
          <w:sz w:val="20"/>
        </w:rPr>
        <w:t>индивида</w:t>
      </w:r>
      <w:r>
        <w:rPr>
          <w:spacing w:val="-8"/>
          <w:sz w:val="20"/>
        </w:rPr>
        <w:t> </w:t>
      </w:r>
      <w:r>
        <w:rPr>
          <w:sz w:val="20"/>
        </w:rPr>
        <w:t>воспринимать</w:t>
      </w:r>
      <w:r>
        <w:rPr>
          <w:spacing w:val="-8"/>
          <w:sz w:val="20"/>
        </w:rPr>
        <w:t> </w:t>
      </w:r>
      <w:r>
        <w:rPr>
          <w:sz w:val="20"/>
        </w:rPr>
        <w:t>и</w:t>
      </w:r>
      <w:r>
        <w:rPr>
          <w:spacing w:val="-8"/>
          <w:sz w:val="20"/>
        </w:rPr>
        <w:t> </w:t>
      </w:r>
      <w:r>
        <w:rPr>
          <w:sz w:val="20"/>
        </w:rPr>
        <w:t>оценивать</w:t>
      </w:r>
      <w:r>
        <w:rPr>
          <w:spacing w:val="-8"/>
          <w:sz w:val="20"/>
        </w:rPr>
        <w:t> </w:t>
      </w:r>
      <w:r>
        <w:rPr>
          <w:sz w:val="20"/>
        </w:rPr>
        <w:t>жизненные</w:t>
      </w:r>
      <w:r>
        <w:rPr>
          <w:spacing w:val="-8"/>
          <w:sz w:val="20"/>
        </w:rPr>
        <w:t> </w:t>
      </w:r>
      <w:r>
        <w:rPr>
          <w:sz w:val="20"/>
        </w:rPr>
        <w:t>явления</w:t>
      </w:r>
      <w:r>
        <w:rPr>
          <w:spacing w:val="-8"/>
          <w:sz w:val="20"/>
        </w:rPr>
        <w:t> </w:t>
      </w:r>
      <w:r>
        <w:rPr>
          <w:sz w:val="20"/>
        </w:rPr>
        <w:t>в</w:t>
      </w:r>
      <w:r>
        <w:rPr>
          <w:spacing w:val="-8"/>
          <w:sz w:val="20"/>
        </w:rPr>
        <w:t> </w:t>
      </w:r>
      <w:r>
        <w:rPr>
          <w:sz w:val="20"/>
        </w:rPr>
        <w:t>большей или</w:t>
      </w:r>
      <w:r>
        <w:rPr>
          <w:spacing w:val="-12"/>
          <w:sz w:val="20"/>
        </w:rPr>
        <w:t> </w:t>
      </w:r>
      <w:r>
        <w:rPr>
          <w:sz w:val="20"/>
        </w:rPr>
        <w:t>меньшей</w:t>
      </w:r>
      <w:r>
        <w:rPr>
          <w:spacing w:val="-12"/>
          <w:sz w:val="20"/>
        </w:rPr>
        <w:t> </w:t>
      </w:r>
      <w:r>
        <w:rPr>
          <w:sz w:val="20"/>
        </w:rPr>
        <w:t>степени</w:t>
      </w:r>
      <w:r>
        <w:rPr>
          <w:spacing w:val="-12"/>
          <w:sz w:val="20"/>
        </w:rPr>
        <w:t> </w:t>
      </w:r>
      <w:r>
        <w:rPr>
          <w:sz w:val="20"/>
        </w:rPr>
        <w:t>сквозь</w:t>
      </w:r>
      <w:r>
        <w:rPr>
          <w:spacing w:val="-12"/>
          <w:sz w:val="20"/>
        </w:rPr>
        <w:t> </w:t>
      </w:r>
      <w:r>
        <w:rPr>
          <w:sz w:val="20"/>
        </w:rPr>
        <w:t>призму</w:t>
      </w:r>
      <w:r>
        <w:rPr>
          <w:spacing w:val="-12"/>
          <w:sz w:val="20"/>
        </w:rPr>
        <w:t> </w:t>
      </w:r>
      <w:r>
        <w:rPr>
          <w:sz w:val="20"/>
        </w:rPr>
        <w:t>традиций</w:t>
      </w:r>
      <w:r>
        <w:rPr>
          <w:spacing w:val="-12"/>
          <w:sz w:val="20"/>
        </w:rPr>
        <w:t> </w:t>
      </w:r>
      <w:r>
        <w:rPr>
          <w:sz w:val="20"/>
        </w:rPr>
        <w:t>и</w:t>
      </w:r>
      <w:r>
        <w:rPr>
          <w:spacing w:val="-12"/>
          <w:sz w:val="20"/>
        </w:rPr>
        <w:t> </w:t>
      </w:r>
      <w:r>
        <w:rPr>
          <w:sz w:val="20"/>
        </w:rPr>
        <w:t>ценностей</w:t>
      </w:r>
      <w:r>
        <w:rPr>
          <w:spacing w:val="-12"/>
          <w:sz w:val="20"/>
        </w:rPr>
        <w:t> </w:t>
      </w:r>
      <w:r>
        <w:rPr>
          <w:sz w:val="20"/>
        </w:rPr>
        <w:t>своей</w:t>
      </w:r>
      <w:r>
        <w:rPr>
          <w:spacing w:val="-12"/>
          <w:sz w:val="20"/>
        </w:rPr>
        <w:t> </w:t>
      </w:r>
      <w:r>
        <w:rPr>
          <w:sz w:val="20"/>
        </w:rPr>
        <w:t>этнической</w:t>
      </w:r>
      <w:r>
        <w:rPr>
          <w:spacing w:val="-12"/>
          <w:sz w:val="20"/>
        </w:rPr>
        <w:t> </w:t>
      </w:r>
      <w:r>
        <w:rPr>
          <w:sz w:val="20"/>
        </w:rPr>
        <w:t>группы. </w:t>
      </w:r>
      <w:r>
        <w:rPr>
          <w:b/>
          <w:i/>
          <w:sz w:val="20"/>
        </w:rPr>
        <w:t>Межкультурный интерес </w:t>
      </w:r>
      <w:r>
        <w:rPr>
          <w:sz w:val="20"/>
        </w:rPr>
        <w:t>– это желание общаться с людьми из других культур,</w:t>
      </w:r>
    </w:p>
    <w:p>
      <w:pPr>
        <w:pStyle w:val="BodyText"/>
        <w:spacing w:line="225" w:lineRule="exact"/>
        <w:ind w:right="0" w:firstLine="0"/>
      </w:pPr>
      <w:r>
        <w:rPr/>
        <w:t>интерес</w:t>
      </w:r>
      <w:r>
        <w:rPr>
          <w:spacing w:val="-9"/>
        </w:rPr>
        <w:t> </w:t>
      </w:r>
      <w:r>
        <w:rPr/>
        <w:t>к</w:t>
      </w:r>
      <w:r>
        <w:rPr>
          <w:spacing w:val="-9"/>
        </w:rPr>
        <w:t> </w:t>
      </w:r>
      <w:r>
        <w:rPr/>
        <w:t>культуре</w:t>
      </w:r>
      <w:r>
        <w:rPr>
          <w:spacing w:val="-8"/>
        </w:rPr>
        <w:t> </w:t>
      </w:r>
      <w:r>
        <w:rPr/>
        <w:t>и</w:t>
      </w:r>
      <w:r>
        <w:rPr>
          <w:spacing w:val="-10"/>
        </w:rPr>
        <w:t> </w:t>
      </w:r>
      <w:r>
        <w:rPr/>
        <w:t>культурным</w:t>
      </w:r>
      <w:r>
        <w:rPr>
          <w:spacing w:val="-8"/>
        </w:rPr>
        <w:t> </w:t>
      </w:r>
      <w:r>
        <w:rPr>
          <w:spacing w:val="-2"/>
        </w:rPr>
        <w:t>различиям.</w:t>
      </w:r>
    </w:p>
    <w:p>
      <w:pPr>
        <w:numPr>
          <w:ilvl w:val="0"/>
          <w:numId w:val="70"/>
        </w:numPr>
        <w:tabs>
          <w:tab w:pos="625" w:val="left" w:leader="none"/>
        </w:tabs>
        <w:spacing w:line="226" w:lineRule="exact" w:before="0"/>
        <w:ind w:left="625" w:right="0" w:hanging="200"/>
        <w:jc w:val="both"/>
        <w:rPr>
          <w:b/>
          <w:sz w:val="20"/>
        </w:rPr>
      </w:pPr>
      <w:r>
        <w:rPr>
          <w:b/>
          <w:spacing w:val="-2"/>
          <w:sz w:val="20"/>
        </w:rPr>
        <w:t>Межкультурные</w:t>
      </w:r>
      <w:r>
        <w:rPr>
          <w:b/>
          <w:spacing w:val="2"/>
          <w:sz w:val="20"/>
        </w:rPr>
        <w:t> </w:t>
      </w:r>
      <w:r>
        <w:rPr>
          <w:b/>
          <w:spacing w:val="-2"/>
          <w:sz w:val="20"/>
        </w:rPr>
        <w:t>навыки</w:t>
      </w:r>
    </w:p>
    <w:p>
      <w:pPr>
        <w:pStyle w:val="BodyText"/>
        <w:spacing w:line="235" w:lineRule="auto"/>
      </w:pPr>
      <w:r>
        <w:rPr>
          <w:b/>
          <w:i/>
        </w:rPr>
        <w:t>Межкультурная</w:t>
      </w:r>
      <w:r>
        <w:rPr>
          <w:b/>
          <w:i/>
          <w:spacing w:val="-13"/>
        </w:rPr>
        <w:t> </w:t>
      </w:r>
      <w:r>
        <w:rPr>
          <w:b/>
          <w:i/>
        </w:rPr>
        <w:t>эмпатия</w:t>
      </w:r>
      <w:r>
        <w:rPr>
          <w:b/>
          <w:i/>
          <w:spacing w:val="-12"/>
        </w:rPr>
        <w:t> </w:t>
      </w:r>
      <w:r>
        <w:rPr/>
        <w:t>–</w:t>
      </w:r>
      <w:r>
        <w:rPr>
          <w:spacing w:val="-13"/>
        </w:rPr>
        <w:t> </w:t>
      </w:r>
      <w:r>
        <w:rPr/>
        <w:t>способность</w:t>
      </w:r>
      <w:r>
        <w:rPr>
          <w:spacing w:val="-12"/>
        </w:rPr>
        <w:t> </w:t>
      </w:r>
      <w:r>
        <w:rPr/>
        <w:t>ставить</w:t>
      </w:r>
      <w:r>
        <w:rPr>
          <w:spacing w:val="-13"/>
        </w:rPr>
        <w:t> </w:t>
      </w:r>
      <w:r>
        <w:rPr/>
        <w:t>себя</w:t>
      </w:r>
      <w:r>
        <w:rPr>
          <w:spacing w:val="-12"/>
        </w:rPr>
        <w:t> </w:t>
      </w:r>
      <w:r>
        <w:rPr/>
        <w:t>в</w:t>
      </w:r>
      <w:r>
        <w:rPr>
          <w:spacing w:val="-13"/>
        </w:rPr>
        <w:t> </w:t>
      </w:r>
      <w:r>
        <w:rPr/>
        <w:t>положение</w:t>
      </w:r>
      <w:r>
        <w:rPr>
          <w:spacing w:val="-12"/>
        </w:rPr>
        <w:t> </w:t>
      </w:r>
      <w:r>
        <w:rPr/>
        <w:t>другого</w:t>
      </w:r>
      <w:r>
        <w:rPr>
          <w:spacing w:val="-13"/>
        </w:rPr>
        <w:t> </w:t>
      </w:r>
      <w:r>
        <w:rPr/>
        <w:t>чело- века</w:t>
      </w:r>
      <w:r>
        <w:rPr>
          <w:spacing w:val="-4"/>
        </w:rPr>
        <w:t> </w:t>
      </w:r>
      <w:r>
        <w:rPr/>
        <w:t>во</w:t>
      </w:r>
      <w:r>
        <w:rPr>
          <w:spacing w:val="-4"/>
        </w:rPr>
        <w:t> </w:t>
      </w:r>
      <w:r>
        <w:rPr/>
        <w:t>время</w:t>
      </w:r>
      <w:r>
        <w:rPr>
          <w:spacing w:val="-4"/>
        </w:rPr>
        <w:t> </w:t>
      </w:r>
      <w:r>
        <w:rPr/>
        <w:t>общения,</w:t>
      </w:r>
      <w:r>
        <w:rPr>
          <w:spacing w:val="-4"/>
        </w:rPr>
        <w:t> </w:t>
      </w:r>
      <w:r>
        <w:rPr/>
        <w:t>идентифицировать</w:t>
      </w:r>
      <w:r>
        <w:rPr>
          <w:spacing w:val="-4"/>
        </w:rPr>
        <w:t> </w:t>
      </w:r>
      <w:r>
        <w:rPr/>
        <w:t>себя</w:t>
      </w:r>
      <w:r>
        <w:rPr>
          <w:spacing w:val="-4"/>
        </w:rPr>
        <w:t> </w:t>
      </w:r>
      <w:r>
        <w:rPr/>
        <w:t>с</w:t>
      </w:r>
      <w:r>
        <w:rPr>
          <w:spacing w:val="-4"/>
        </w:rPr>
        <w:t> </w:t>
      </w:r>
      <w:r>
        <w:rPr/>
        <w:t>чувствами,</w:t>
      </w:r>
      <w:r>
        <w:rPr>
          <w:spacing w:val="-4"/>
        </w:rPr>
        <w:t> </w:t>
      </w:r>
      <w:r>
        <w:rPr/>
        <w:t>мыслями</w:t>
      </w:r>
      <w:r>
        <w:rPr>
          <w:spacing w:val="-4"/>
        </w:rPr>
        <w:t> </w:t>
      </w:r>
      <w:r>
        <w:rPr/>
        <w:t>и</w:t>
      </w:r>
      <w:r>
        <w:rPr>
          <w:spacing w:val="-4"/>
        </w:rPr>
        <w:t> </w:t>
      </w:r>
      <w:r>
        <w:rPr/>
        <w:t>поведением людей из разных культур.</w:t>
      </w:r>
    </w:p>
    <w:p>
      <w:pPr>
        <w:pStyle w:val="BodyText"/>
        <w:spacing w:after="0" w:line="235" w:lineRule="auto"/>
        <w:sectPr>
          <w:pgSz w:w="8400" w:h="11910"/>
          <w:pgMar w:header="0" w:footer="542"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pStyle w:val="BodyText"/>
        <w:spacing w:line="235" w:lineRule="auto" w:before="116"/>
        <w:ind w:right="140"/>
      </w:pPr>
      <w:r>
        <w:rPr>
          <w:b/>
          <w:i/>
        </w:rPr>
        <w:t>Культурная</w:t>
      </w:r>
      <w:r>
        <w:rPr>
          <w:b/>
          <w:i/>
          <w:spacing w:val="-13"/>
        </w:rPr>
        <w:t> </w:t>
      </w:r>
      <w:r>
        <w:rPr>
          <w:b/>
          <w:i/>
        </w:rPr>
        <w:t>сензитивность</w:t>
      </w:r>
      <w:r>
        <w:rPr>
          <w:b/>
          <w:i/>
          <w:spacing w:val="-12"/>
        </w:rPr>
        <w:t> </w:t>
      </w:r>
      <w:r>
        <w:rPr/>
        <w:t>–</w:t>
      </w:r>
      <w:r>
        <w:rPr>
          <w:spacing w:val="-13"/>
        </w:rPr>
        <w:t> </w:t>
      </w:r>
      <w:r>
        <w:rPr/>
        <w:t>способность</w:t>
      </w:r>
      <w:r>
        <w:rPr>
          <w:spacing w:val="-12"/>
        </w:rPr>
        <w:t> </w:t>
      </w:r>
      <w:r>
        <w:rPr/>
        <w:t>распознавать</w:t>
      </w:r>
      <w:r>
        <w:rPr>
          <w:spacing w:val="-13"/>
        </w:rPr>
        <w:t> </w:t>
      </w:r>
      <w:r>
        <w:rPr/>
        <w:t>различные</w:t>
      </w:r>
      <w:r>
        <w:rPr>
          <w:spacing w:val="-12"/>
        </w:rPr>
        <w:t> </w:t>
      </w:r>
      <w:r>
        <w:rPr/>
        <w:t>точки</w:t>
      </w:r>
      <w:r>
        <w:rPr>
          <w:spacing w:val="-13"/>
        </w:rPr>
        <w:t> </w:t>
      </w:r>
      <w:r>
        <w:rPr/>
        <w:t>зрения на событие, поведение и учитывать нормы и ценности другой культуры.</w:t>
      </w:r>
    </w:p>
    <w:p>
      <w:pPr>
        <w:pStyle w:val="BodyText"/>
        <w:spacing w:line="235" w:lineRule="auto" w:before="1"/>
      </w:pPr>
      <w:r>
        <w:rPr/>
        <w:t>Последние два конструкта выглядят теоретически схожими, однако отражают разные реальности. Межкультурная эмпатия связана с вчувствованием в мир чело- века</w:t>
      </w:r>
      <w:r>
        <w:rPr>
          <w:spacing w:val="18"/>
        </w:rPr>
        <w:t> </w:t>
      </w:r>
      <w:r>
        <w:rPr/>
        <w:t>другой</w:t>
      </w:r>
      <w:r>
        <w:rPr>
          <w:spacing w:val="19"/>
        </w:rPr>
        <w:t> </w:t>
      </w:r>
      <w:r>
        <w:rPr/>
        <w:t>культуры,</w:t>
      </w:r>
      <w:r>
        <w:rPr>
          <w:spacing w:val="18"/>
        </w:rPr>
        <w:t> </w:t>
      </w:r>
      <w:r>
        <w:rPr/>
        <w:t>идентификацией</w:t>
      </w:r>
      <w:r>
        <w:rPr>
          <w:spacing w:val="18"/>
        </w:rPr>
        <w:t> </w:t>
      </w:r>
      <w:r>
        <w:rPr/>
        <w:t>с</w:t>
      </w:r>
      <w:r>
        <w:rPr>
          <w:spacing w:val="18"/>
        </w:rPr>
        <w:t> </w:t>
      </w:r>
      <w:r>
        <w:rPr/>
        <w:t>ним.</w:t>
      </w:r>
      <w:r>
        <w:rPr>
          <w:spacing w:val="80"/>
        </w:rPr>
        <w:t> </w:t>
      </w:r>
      <w:r>
        <w:rPr/>
        <w:t>Культурная</w:t>
      </w:r>
      <w:r>
        <w:rPr>
          <w:spacing w:val="18"/>
        </w:rPr>
        <w:t> </w:t>
      </w:r>
      <w:r>
        <w:rPr/>
        <w:t>сензитивность</w:t>
      </w:r>
      <w:r>
        <w:rPr>
          <w:spacing w:val="18"/>
        </w:rPr>
        <w:t> </w:t>
      </w:r>
      <w:r>
        <w:rPr/>
        <w:t>–</w:t>
      </w:r>
      <w:r>
        <w:rPr>
          <w:spacing w:val="18"/>
        </w:rPr>
        <w:t> </w:t>
      </w:r>
      <w:r>
        <w:rPr/>
        <w:t>более</w:t>
      </w:r>
    </w:p>
    <w:p>
      <w:pPr>
        <w:pStyle w:val="BodyText"/>
        <w:spacing w:line="232" w:lineRule="auto" w:before="2"/>
        <w:ind w:firstLine="0"/>
      </w:pPr>
      <w:r>
        <w:rPr/>
        <w:t>«дистантная» установка, связанная с общим настроем на учет фактора культурных различий в коммуникации.</w:t>
      </w:r>
    </w:p>
    <w:p>
      <w:pPr>
        <w:pStyle w:val="BodyText"/>
        <w:spacing w:line="232" w:lineRule="auto" w:before="2"/>
      </w:pPr>
      <w:r>
        <w:rPr/>
        <w:t>Вербальные и невербальные способности к межкультурной коммуникации, спо- </w:t>
      </w:r>
      <w:r>
        <w:rPr>
          <w:spacing w:val="-2"/>
        </w:rPr>
        <w:t>собности к сотрудничеству, эффективному управлению конфликтами, т.е. так называ- </w:t>
      </w:r>
      <w:r>
        <w:rPr/>
        <w:t>емые</w:t>
      </w:r>
      <w:r>
        <w:rPr>
          <w:spacing w:val="-9"/>
        </w:rPr>
        <w:t> </w:t>
      </w:r>
      <w:r>
        <w:rPr/>
        <w:t>посреднические</w:t>
      </w:r>
      <w:r>
        <w:rPr>
          <w:spacing w:val="-8"/>
        </w:rPr>
        <w:t> </w:t>
      </w:r>
      <w:r>
        <w:rPr/>
        <w:t>способности,</w:t>
      </w:r>
      <w:r>
        <w:rPr>
          <w:spacing w:val="-8"/>
        </w:rPr>
        <w:t> </w:t>
      </w:r>
      <w:r>
        <w:rPr/>
        <w:t>объединяются</w:t>
      </w:r>
      <w:r>
        <w:rPr>
          <w:spacing w:val="-8"/>
        </w:rPr>
        <w:t> </w:t>
      </w:r>
      <w:r>
        <w:rPr/>
        <w:t>под</w:t>
      </w:r>
      <w:r>
        <w:rPr>
          <w:spacing w:val="-8"/>
        </w:rPr>
        <w:t> </w:t>
      </w:r>
      <w:r>
        <w:rPr/>
        <w:t>общим</w:t>
      </w:r>
      <w:r>
        <w:rPr>
          <w:spacing w:val="-8"/>
        </w:rPr>
        <w:t> </w:t>
      </w:r>
      <w:r>
        <w:rPr/>
        <w:t>названием</w:t>
      </w:r>
      <w:r>
        <w:rPr>
          <w:spacing w:val="-9"/>
        </w:rPr>
        <w:t> </w:t>
      </w:r>
      <w:r>
        <w:rPr>
          <w:b/>
          <w:i/>
        </w:rPr>
        <w:t>управление межкультурными отношениями</w:t>
      </w:r>
      <w:r>
        <w:rPr/>
        <w:t>.</w:t>
      </w:r>
    </w:p>
    <w:p>
      <w:pPr>
        <w:spacing w:line="232" w:lineRule="auto" w:before="3"/>
        <w:ind w:left="141" w:right="139" w:firstLine="283"/>
        <w:jc w:val="both"/>
        <w:rPr>
          <w:sz w:val="20"/>
        </w:rPr>
      </w:pPr>
      <w:r>
        <w:rPr>
          <w:b/>
          <w:i/>
          <w:sz w:val="20"/>
        </w:rPr>
        <w:t>Толерантность</w:t>
      </w:r>
      <w:r>
        <w:rPr>
          <w:b/>
          <w:i/>
          <w:spacing w:val="-12"/>
          <w:sz w:val="20"/>
        </w:rPr>
        <w:t> </w:t>
      </w:r>
      <w:r>
        <w:rPr>
          <w:b/>
          <w:i/>
          <w:sz w:val="20"/>
        </w:rPr>
        <w:t>к</w:t>
      </w:r>
      <w:r>
        <w:rPr>
          <w:b/>
          <w:i/>
          <w:spacing w:val="-12"/>
          <w:sz w:val="20"/>
        </w:rPr>
        <w:t> </w:t>
      </w:r>
      <w:r>
        <w:rPr>
          <w:b/>
          <w:i/>
          <w:sz w:val="20"/>
        </w:rPr>
        <w:t>межкультурной</w:t>
      </w:r>
      <w:r>
        <w:rPr>
          <w:b/>
          <w:i/>
          <w:spacing w:val="-12"/>
          <w:sz w:val="20"/>
        </w:rPr>
        <w:t> </w:t>
      </w:r>
      <w:r>
        <w:rPr>
          <w:b/>
          <w:i/>
          <w:sz w:val="20"/>
        </w:rPr>
        <w:t>неопределенности</w:t>
      </w:r>
      <w:r>
        <w:rPr>
          <w:b/>
          <w:i/>
          <w:spacing w:val="-12"/>
          <w:sz w:val="20"/>
        </w:rPr>
        <w:t> </w:t>
      </w:r>
      <w:r>
        <w:rPr>
          <w:sz w:val="20"/>
        </w:rPr>
        <w:t>рассматривается</w:t>
      </w:r>
      <w:r>
        <w:rPr>
          <w:spacing w:val="-12"/>
          <w:sz w:val="20"/>
        </w:rPr>
        <w:t> </w:t>
      </w:r>
      <w:r>
        <w:rPr>
          <w:sz w:val="20"/>
        </w:rPr>
        <w:t>как</w:t>
      </w:r>
      <w:r>
        <w:rPr>
          <w:spacing w:val="-12"/>
          <w:sz w:val="20"/>
        </w:rPr>
        <w:t> </w:t>
      </w:r>
      <w:r>
        <w:rPr>
          <w:sz w:val="20"/>
        </w:rPr>
        <w:t>спо- собность</w:t>
      </w:r>
      <w:r>
        <w:rPr>
          <w:spacing w:val="-2"/>
          <w:sz w:val="20"/>
        </w:rPr>
        <w:t> </w:t>
      </w:r>
      <w:r>
        <w:rPr>
          <w:sz w:val="20"/>
        </w:rPr>
        <w:t>проявлять</w:t>
      </w:r>
      <w:r>
        <w:rPr>
          <w:spacing w:val="-2"/>
          <w:sz w:val="20"/>
        </w:rPr>
        <w:t> </w:t>
      </w:r>
      <w:r>
        <w:rPr>
          <w:sz w:val="20"/>
        </w:rPr>
        <w:t>терпение</w:t>
      </w:r>
      <w:r>
        <w:rPr>
          <w:spacing w:val="-2"/>
          <w:sz w:val="20"/>
        </w:rPr>
        <w:t> </w:t>
      </w:r>
      <w:r>
        <w:rPr>
          <w:sz w:val="20"/>
        </w:rPr>
        <w:t>в</w:t>
      </w:r>
      <w:r>
        <w:rPr>
          <w:spacing w:val="-2"/>
          <w:sz w:val="20"/>
        </w:rPr>
        <w:t> </w:t>
      </w:r>
      <w:r>
        <w:rPr>
          <w:sz w:val="20"/>
        </w:rPr>
        <w:t>сложных</w:t>
      </w:r>
      <w:r>
        <w:rPr>
          <w:spacing w:val="-2"/>
          <w:sz w:val="20"/>
        </w:rPr>
        <w:t> </w:t>
      </w:r>
      <w:r>
        <w:rPr>
          <w:sz w:val="20"/>
        </w:rPr>
        <w:t>и</w:t>
      </w:r>
      <w:r>
        <w:rPr>
          <w:spacing w:val="-2"/>
          <w:sz w:val="20"/>
        </w:rPr>
        <w:t> </w:t>
      </w:r>
      <w:r>
        <w:rPr>
          <w:sz w:val="20"/>
        </w:rPr>
        <w:t>непредсказуемых</w:t>
      </w:r>
      <w:r>
        <w:rPr>
          <w:spacing w:val="-2"/>
          <w:sz w:val="20"/>
        </w:rPr>
        <w:t> </w:t>
      </w:r>
      <w:r>
        <w:rPr>
          <w:sz w:val="20"/>
        </w:rPr>
        <w:t>ситуациях</w:t>
      </w:r>
      <w:r>
        <w:rPr>
          <w:spacing w:val="-2"/>
          <w:sz w:val="20"/>
        </w:rPr>
        <w:t> </w:t>
      </w:r>
      <w:r>
        <w:rPr>
          <w:sz w:val="20"/>
        </w:rPr>
        <w:t>межкультур- ного взаимодействия.</w:t>
      </w:r>
    </w:p>
    <w:p>
      <w:pPr>
        <w:pStyle w:val="BodyText"/>
        <w:spacing w:line="232" w:lineRule="auto" w:before="88"/>
        <w:ind w:right="0"/>
        <w:jc w:val="left"/>
      </w:pPr>
      <w:r>
        <w:rPr/>
        <w:t>На</w:t>
      </w:r>
      <w:r>
        <w:rPr>
          <w:spacing w:val="-4"/>
        </w:rPr>
        <w:t> </w:t>
      </w:r>
      <w:r>
        <w:rPr>
          <w:u w:val="single"/>
        </w:rPr>
        <w:t>школьном</w:t>
      </w:r>
      <w:r>
        <w:rPr>
          <w:spacing w:val="-3"/>
          <w:u w:val="single"/>
        </w:rPr>
        <w:t> </w:t>
      </w:r>
      <w:r>
        <w:rPr>
          <w:u w:val="single"/>
        </w:rPr>
        <w:t>уровне</w:t>
      </w:r>
      <w:r>
        <w:rPr>
          <w:spacing w:val="-4"/>
        </w:rPr>
        <w:t> </w:t>
      </w:r>
      <w:r>
        <w:rPr/>
        <w:t>в</w:t>
      </w:r>
      <w:r>
        <w:rPr>
          <w:spacing w:val="-4"/>
        </w:rPr>
        <w:t> </w:t>
      </w:r>
      <w:r>
        <w:rPr/>
        <w:t>общеобразовательных</w:t>
      </w:r>
      <w:r>
        <w:rPr>
          <w:spacing w:val="-3"/>
        </w:rPr>
        <w:t> </w:t>
      </w:r>
      <w:r>
        <w:rPr/>
        <w:t>организациях,</w:t>
      </w:r>
      <w:r>
        <w:rPr>
          <w:spacing w:val="-3"/>
        </w:rPr>
        <w:t> </w:t>
      </w:r>
      <w:r>
        <w:rPr/>
        <w:t>имеющих</w:t>
      </w:r>
      <w:r>
        <w:rPr>
          <w:spacing w:val="-3"/>
        </w:rPr>
        <w:t> </w:t>
      </w:r>
      <w:r>
        <w:rPr/>
        <w:t>в</w:t>
      </w:r>
      <w:r>
        <w:rPr>
          <w:spacing w:val="-4"/>
        </w:rPr>
        <w:t> </w:t>
      </w:r>
      <w:r>
        <w:rPr/>
        <w:t>составе обучающихся</w:t>
      </w:r>
      <w:r>
        <w:rPr>
          <w:spacing w:val="-4"/>
        </w:rPr>
        <w:t> </w:t>
      </w:r>
      <w:r>
        <w:rPr/>
        <w:t>детей</w:t>
      </w:r>
      <w:r>
        <w:rPr>
          <w:spacing w:val="-5"/>
        </w:rPr>
        <w:t> </w:t>
      </w:r>
      <w:r>
        <w:rPr/>
        <w:t>иностранных</w:t>
      </w:r>
      <w:r>
        <w:rPr>
          <w:spacing w:val="-4"/>
        </w:rPr>
        <w:t> </w:t>
      </w:r>
      <w:r>
        <w:rPr/>
        <w:t>граждан</w:t>
      </w:r>
      <w:r>
        <w:rPr>
          <w:spacing w:val="-5"/>
        </w:rPr>
        <w:t> </w:t>
      </w:r>
      <w:r>
        <w:rPr/>
        <w:t>и</w:t>
      </w:r>
      <w:r>
        <w:rPr>
          <w:spacing w:val="-5"/>
        </w:rPr>
        <w:t> </w:t>
      </w:r>
      <w:r>
        <w:rPr/>
        <w:t>детей</w:t>
      </w:r>
      <w:r>
        <w:rPr>
          <w:spacing w:val="-5"/>
        </w:rPr>
        <w:t> </w:t>
      </w:r>
      <w:r>
        <w:rPr/>
        <w:t>с</w:t>
      </w:r>
      <w:r>
        <w:rPr>
          <w:spacing w:val="-4"/>
        </w:rPr>
        <w:t> </w:t>
      </w:r>
      <w:r>
        <w:rPr/>
        <w:t>миграционной</w:t>
      </w:r>
      <w:r>
        <w:rPr>
          <w:spacing w:val="-5"/>
        </w:rPr>
        <w:t> </w:t>
      </w:r>
      <w:r>
        <w:rPr/>
        <w:t>историей,</w:t>
      </w:r>
      <w:r>
        <w:rPr>
          <w:spacing w:val="-4"/>
        </w:rPr>
        <w:t> </w:t>
      </w:r>
      <w:r>
        <w:rPr/>
        <w:t>слабо владеющих русским языком, осуществляется методическая поддержка </w:t>
      </w:r>
      <w:r>
        <w:rPr>
          <w:color w:val="231F20"/>
        </w:rPr>
        <w:t>педагогов, работающих</w:t>
      </w:r>
      <w:r>
        <w:rPr>
          <w:color w:val="231F20"/>
          <w:spacing w:val="-2"/>
        </w:rPr>
        <w:t> </w:t>
      </w:r>
      <w:r>
        <w:rPr>
          <w:color w:val="231F20"/>
        </w:rPr>
        <w:t>с</w:t>
      </w:r>
      <w:r>
        <w:rPr>
          <w:color w:val="231F20"/>
          <w:spacing w:val="-2"/>
        </w:rPr>
        <w:t> </w:t>
      </w:r>
      <w:r>
        <w:rPr>
          <w:color w:val="231F20"/>
        </w:rPr>
        <w:t>данной</w:t>
      </w:r>
      <w:r>
        <w:rPr>
          <w:color w:val="231F20"/>
          <w:spacing w:val="-3"/>
        </w:rPr>
        <w:t> </w:t>
      </w:r>
      <w:r>
        <w:rPr>
          <w:color w:val="231F20"/>
        </w:rPr>
        <w:t>категорией</w:t>
      </w:r>
      <w:r>
        <w:rPr>
          <w:color w:val="231F20"/>
          <w:spacing w:val="-3"/>
        </w:rPr>
        <w:t> </w:t>
      </w:r>
      <w:r>
        <w:rPr>
          <w:color w:val="231F20"/>
        </w:rPr>
        <w:t>детей,</w:t>
      </w:r>
      <w:r>
        <w:rPr>
          <w:color w:val="231F20"/>
          <w:spacing w:val="40"/>
        </w:rPr>
        <w:t> </w:t>
      </w:r>
      <w:r>
        <w:rPr>
          <w:color w:val="231F20"/>
        </w:rPr>
        <w:t>и</w:t>
      </w:r>
      <w:r>
        <w:rPr>
          <w:color w:val="231F20"/>
          <w:spacing w:val="-3"/>
        </w:rPr>
        <w:t> </w:t>
      </w:r>
      <w:r>
        <w:rPr>
          <w:color w:val="231F20"/>
        </w:rPr>
        <w:t>создается</w:t>
      </w:r>
      <w:r>
        <w:rPr>
          <w:color w:val="231F20"/>
          <w:spacing w:val="-2"/>
        </w:rPr>
        <w:t> </w:t>
      </w:r>
      <w:r>
        <w:rPr>
          <w:color w:val="231F20"/>
        </w:rPr>
        <w:t>школьное</w:t>
      </w:r>
      <w:r>
        <w:rPr>
          <w:color w:val="231F20"/>
          <w:spacing w:val="-2"/>
        </w:rPr>
        <w:t> </w:t>
      </w:r>
      <w:r>
        <w:rPr>
          <w:color w:val="231F20"/>
        </w:rPr>
        <w:t>методическое</w:t>
      </w:r>
      <w:r>
        <w:rPr>
          <w:color w:val="231F20"/>
          <w:spacing w:val="-2"/>
        </w:rPr>
        <w:t> </w:t>
      </w:r>
      <w:r>
        <w:rPr>
          <w:color w:val="231F20"/>
        </w:rPr>
        <w:t>объе- динение (далее ШМО).</w:t>
      </w:r>
      <w:r>
        <w:rPr>
          <w:color w:val="231F20"/>
          <w:spacing w:val="40"/>
        </w:rPr>
        <w:t> </w:t>
      </w:r>
      <w:r>
        <w:rPr/>
        <w:t>Методическая поддержка на школьном уровне включает:</w:t>
      </w:r>
    </w:p>
    <w:p>
      <w:pPr>
        <w:pStyle w:val="ListParagraph"/>
        <w:numPr>
          <w:ilvl w:val="0"/>
          <w:numId w:val="71"/>
        </w:numPr>
        <w:tabs>
          <w:tab w:pos="425" w:val="left" w:leader="none"/>
        </w:tabs>
        <w:spacing w:line="232" w:lineRule="auto" w:before="5" w:after="0"/>
        <w:ind w:left="425" w:right="139" w:hanging="284"/>
        <w:jc w:val="both"/>
        <w:rPr>
          <w:sz w:val="20"/>
        </w:rPr>
      </w:pPr>
      <w:r>
        <w:rPr>
          <w:sz w:val="20"/>
        </w:rPr>
        <w:t>аналитическое направление: самоанализ педагогической деятельности в рамках ШМО, составление отчетов, сбор документации, </w:t>
      </w:r>
      <w:r>
        <w:rPr>
          <w:color w:val="231F20"/>
          <w:sz w:val="20"/>
        </w:rPr>
        <w:t>участие в мониторинговых ис- </w:t>
      </w:r>
      <w:r>
        <w:rPr>
          <w:color w:val="231F20"/>
          <w:spacing w:val="-2"/>
          <w:sz w:val="20"/>
        </w:rPr>
        <w:t>следованиях</w:t>
      </w:r>
    </w:p>
    <w:p>
      <w:pPr>
        <w:pStyle w:val="ListParagraph"/>
        <w:numPr>
          <w:ilvl w:val="0"/>
          <w:numId w:val="71"/>
        </w:numPr>
        <w:tabs>
          <w:tab w:pos="425" w:val="left" w:leader="none"/>
        </w:tabs>
        <w:spacing w:line="232" w:lineRule="auto" w:before="2" w:after="0"/>
        <w:ind w:left="425" w:right="139" w:hanging="284"/>
        <w:jc w:val="both"/>
        <w:rPr>
          <w:sz w:val="20"/>
        </w:rPr>
      </w:pPr>
      <w:r>
        <w:rPr>
          <w:sz w:val="20"/>
        </w:rPr>
        <w:t>организационно-методическое: внутришкольное повышение квалификации (се- минары, открытые уроки и пр), участие и проведение профессиональных ме- роприятий (круглых столов, вебинаров и пр), </w:t>
      </w:r>
      <w:r>
        <w:rPr>
          <w:color w:val="231F20"/>
          <w:sz w:val="20"/>
        </w:rPr>
        <w:t>осуществление взаимодействия с общеобразовательными</w:t>
      </w:r>
      <w:r>
        <w:rPr>
          <w:color w:val="231F20"/>
          <w:spacing w:val="-2"/>
          <w:sz w:val="20"/>
        </w:rPr>
        <w:t> </w:t>
      </w:r>
      <w:r>
        <w:rPr>
          <w:color w:val="231F20"/>
          <w:sz w:val="20"/>
        </w:rPr>
        <w:t>организациями</w:t>
      </w:r>
      <w:r>
        <w:rPr>
          <w:color w:val="231F20"/>
          <w:spacing w:val="-2"/>
          <w:sz w:val="20"/>
        </w:rPr>
        <w:t> </w:t>
      </w:r>
      <w:r>
        <w:rPr>
          <w:color w:val="231F20"/>
          <w:sz w:val="20"/>
        </w:rPr>
        <w:t>региона</w:t>
      </w:r>
      <w:r>
        <w:rPr>
          <w:color w:val="231F20"/>
          <w:spacing w:val="-2"/>
          <w:sz w:val="20"/>
        </w:rPr>
        <w:t> </w:t>
      </w:r>
      <w:r>
        <w:rPr>
          <w:color w:val="231F20"/>
          <w:sz w:val="20"/>
        </w:rPr>
        <w:t>и</w:t>
      </w:r>
      <w:r>
        <w:rPr>
          <w:color w:val="231F20"/>
          <w:spacing w:val="-2"/>
          <w:sz w:val="20"/>
        </w:rPr>
        <w:t> </w:t>
      </w:r>
      <w:r>
        <w:rPr>
          <w:color w:val="231F20"/>
          <w:sz w:val="20"/>
        </w:rPr>
        <w:t>с</w:t>
      </w:r>
      <w:r>
        <w:rPr>
          <w:color w:val="231F20"/>
          <w:spacing w:val="-2"/>
          <w:sz w:val="20"/>
        </w:rPr>
        <w:t> </w:t>
      </w:r>
      <w:r>
        <w:rPr>
          <w:color w:val="231F20"/>
          <w:sz w:val="20"/>
        </w:rPr>
        <w:t>ресурсным</w:t>
      </w:r>
      <w:r>
        <w:rPr>
          <w:color w:val="231F20"/>
          <w:spacing w:val="-2"/>
          <w:sz w:val="20"/>
        </w:rPr>
        <w:t> </w:t>
      </w:r>
      <w:r>
        <w:rPr>
          <w:color w:val="231F20"/>
          <w:sz w:val="20"/>
        </w:rPr>
        <w:t>центром,</w:t>
      </w:r>
      <w:r>
        <w:rPr>
          <w:color w:val="231F20"/>
          <w:spacing w:val="40"/>
          <w:sz w:val="20"/>
        </w:rPr>
        <w:t> </w:t>
      </w:r>
      <w:r>
        <w:rPr>
          <w:color w:val="231F20"/>
          <w:sz w:val="20"/>
        </w:rPr>
        <w:t>направ- ление специалистов на повышение квалификации</w:t>
      </w:r>
    </w:p>
    <w:p>
      <w:pPr>
        <w:pStyle w:val="ListParagraph"/>
        <w:numPr>
          <w:ilvl w:val="0"/>
          <w:numId w:val="71"/>
        </w:numPr>
        <w:tabs>
          <w:tab w:pos="424" w:val="left" w:leader="none"/>
        </w:tabs>
        <w:spacing w:line="226" w:lineRule="exact" w:before="0" w:after="0"/>
        <w:ind w:left="424" w:right="0" w:hanging="283"/>
        <w:jc w:val="both"/>
        <w:rPr>
          <w:color w:val="231F20"/>
          <w:sz w:val="20"/>
        </w:rPr>
      </w:pPr>
      <w:r>
        <w:rPr>
          <w:color w:val="231F20"/>
          <w:sz w:val="20"/>
        </w:rPr>
        <w:t>информационное</w:t>
      </w:r>
      <w:r>
        <w:rPr>
          <w:color w:val="231F20"/>
          <w:spacing w:val="-4"/>
          <w:sz w:val="20"/>
        </w:rPr>
        <w:t> </w:t>
      </w:r>
      <w:r>
        <w:rPr>
          <w:color w:val="231F20"/>
          <w:sz w:val="20"/>
        </w:rPr>
        <w:t>обеспечение:</w:t>
      </w:r>
      <w:r>
        <w:rPr>
          <w:color w:val="231F20"/>
          <w:spacing w:val="-1"/>
          <w:sz w:val="20"/>
        </w:rPr>
        <w:t> </w:t>
      </w:r>
      <w:r>
        <w:rPr>
          <w:color w:val="231F20"/>
          <w:sz w:val="20"/>
        </w:rPr>
        <w:t>сбор</w:t>
      </w:r>
      <w:r>
        <w:rPr>
          <w:color w:val="231F20"/>
          <w:spacing w:val="-1"/>
          <w:sz w:val="20"/>
        </w:rPr>
        <w:t> </w:t>
      </w:r>
      <w:r>
        <w:rPr>
          <w:color w:val="231F20"/>
          <w:sz w:val="20"/>
        </w:rPr>
        <w:t>лучших</w:t>
      </w:r>
      <w:r>
        <w:rPr>
          <w:color w:val="231F20"/>
          <w:spacing w:val="-1"/>
          <w:sz w:val="20"/>
        </w:rPr>
        <w:t> </w:t>
      </w:r>
      <w:r>
        <w:rPr>
          <w:color w:val="231F20"/>
          <w:spacing w:val="-2"/>
          <w:sz w:val="20"/>
        </w:rPr>
        <w:t>практик,</w:t>
      </w:r>
    </w:p>
    <w:p>
      <w:pPr>
        <w:pStyle w:val="ListParagraph"/>
        <w:numPr>
          <w:ilvl w:val="0"/>
          <w:numId w:val="71"/>
        </w:numPr>
        <w:tabs>
          <w:tab w:pos="425" w:val="left" w:leader="none"/>
        </w:tabs>
        <w:spacing w:line="232" w:lineRule="auto" w:before="3" w:after="0"/>
        <w:ind w:left="425" w:right="139" w:hanging="284"/>
        <w:jc w:val="both"/>
        <w:rPr>
          <w:color w:val="231F20"/>
          <w:sz w:val="20"/>
        </w:rPr>
      </w:pPr>
      <w:r>
        <w:rPr>
          <w:color w:val="231F20"/>
          <w:sz w:val="20"/>
        </w:rPr>
        <w:t>методическое</w:t>
      </w:r>
      <w:r>
        <w:rPr>
          <w:color w:val="231F20"/>
          <w:spacing w:val="-12"/>
          <w:sz w:val="20"/>
        </w:rPr>
        <w:t> </w:t>
      </w:r>
      <w:r>
        <w:rPr>
          <w:color w:val="231F20"/>
          <w:sz w:val="20"/>
        </w:rPr>
        <w:t>консультирование:</w:t>
      </w:r>
      <w:r>
        <w:rPr>
          <w:color w:val="231F20"/>
          <w:spacing w:val="-12"/>
          <w:sz w:val="20"/>
        </w:rPr>
        <w:t> </w:t>
      </w:r>
      <w:r>
        <w:rPr>
          <w:color w:val="231F20"/>
          <w:sz w:val="20"/>
        </w:rPr>
        <w:t>обсуждение</w:t>
      </w:r>
      <w:r>
        <w:rPr>
          <w:color w:val="231F20"/>
          <w:spacing w:val="-12"/>
          <w:sz w:val="20"/>
        </w:rPr>
        <w:t> </w:t>
      </w:r>
      <w:r>
        <w:rPr>
          <w:color w:val="231F20"/>
          <w:sz w:val="20"/>
        </w:rPr>
        <w:t>трудных</w:t>
      </w:r>
      <w:r>
        <w:rPr>
          <w:color w:val="231F20"/>
          <w:spacing w:val="-12"/>
          <w:sz w:val="20"/>
        </w:rPr>
        <w:t> </w:t>
      </w:r>
      <w:r>
        <w:rPr>
          <w:color w:val="231F20"/>
          <w:sz w:val="20"/>
        </w:rPr>
        <w:t>случаев</w:t>
      </w:r>
      <w:r>
        <w:rPr>
          <w:color w:val="231F20"/>
          <w:spacing w:val="-12"/>
          <w:sz w:val="20"/>
        </w:rPr>
        <w:t> </w:t>
      </w:r>
      <w:r>
        <w:rPr>
          <w:color w:val="231F20"/>
          <w:sz w:val="20"/>
        </w:rPr>
        <w:t>и</w:t>
      </w:r>
      <w:r>
        <w:rPr>
          <w:color w:val="231F20"/>
          <w:spacing w:val="-12"/>
          <w:sz w:val="20"/>
        </w:rPr>
        <w:t> </w:t>
      </w:r>
      <w:r>
        <w:rPr>
          <w:color w:val="231F20"/>
          <w:sz w:val="20"/>
        </w:rPr>
        <w:t>текущих</w:t>
      </w:r>
      <w:r>
        <w:rPr>
          <w:color w:val="231F20"/>
          <w:spacing w:val="-12"/>
          <w:sz w:val="20"/>
        </w:rPr>
        <w:t> </w:t>
      </w:r>
      <w:r>
        <w:rPr>
          <w:color w:val="231F20"/>
          <w:sz w:val="20"/>
        </w:rPr>
        <w:t>затруд- нений</w:t>
      </w:r>
      <w:r>
        <w:rPr>
          <w:color w:val="231F20"/>
          <w:spacing w:val="-6"/>
          <w:sz w:val="20"/>
        </w:rPr>
        <w:t> </w:t>
      </w:r>
      <w:r>
        <w:rPr>
          <w:color w:val="231F20"/>
          <w:sz w:val="20"/>
        </w:rPr>
        <w:t>в</w:t>
      </w:r>
      <w:r>
        <w:rPr>
          <w:color w:val="231F20"/>
          <w:spacing w:val="-6"/>
          <w:sz w:val="20"/>
        </w:rPr>
        <w:t> </w:t>
      </w:r>
      <w:r>
        <w:rPr>
          <w:color w:val="231F20"/>
          <w:sz w:val="20"/>
        </w:rPr>
        <w:t>рамках</w:t>
      </w:r>
      <w:r>
        <w:rPr>
          <w:color w:val="231F20"/>
          <w:spacing w:val="-6"/>
          <w:sz w:val="20"/>
        </w:rPr>
        <w:t> </w:t>
      </w:r>
      <w:r>
        <w:rPr>
          <w:color w:val="231F20"/>
          <w:sz w:val="20"/>
        </w:rPr>
        <w:t>ШМО;</w:t>
      </w:r>
      <w:r>
        <w:rPr>
          <w:color w:val="231F20"/>
          <w:spacing w:val="-6"/>
          <w:sz w:val="20"/>
        </w:rPr>
        <w:t> </w:t>
      </w:r>
      <w:r>
        <w:rPr>
          <w:color w:val="231F20"/>
          <w:sz w:val="20"/>
        </w:rPr>
        <w:t>по</w:t>
      </w:r>
      <w:r>
        <w:rPr>
          <w:color w:val="231F20"/>
          <w:spacing w:val="-6"/>
          <w:sz w:val="20"/>
        </w:rPr>
        <w:t> </w:t>
      </w:r>
      <w:r>
        <w:rPr>
          <w:color w:val="231F20"/>
          <w:sz w:val="20"/>
        </w:rPr>
        <w:t>необходимости</w:t>
      </w:r>
      <w:r>
        <w:rPr>
          <w:color w:val="231F20"/>
          <w:spacing w:val="80"/>
          <w:sz w:val="20"/>
        </w:rPr>
        <w:t> </w:t>
      </w:r>
      <w:r>
        <w:rPr>
          <w:color w:val="231F20"/>
          <w:sz w:val="20"/>
        </w:rPr>
        <w:t>обращение</w:t>
      </w:r>
      <w:r>
        <w:rPr>
          <w:color w:val="231F20"/>
          <w:spacing w:val="-6"/>
          <w:sz w:val="20"/>
        </w:rPr>
        <w:t> </w:t>
      </w:r>
      <w:r>
        <w:rPr>
          <w:color w:val="231F20"/>
          <w:sz w:val="20"/>
        </w:rPr>
        <w:t>с</w:t>
      </w:r>
      <w:r>
        <w:rPr>
          <w:color w:val="231F20"/>
          <w:spacing w:val="-6"/>
          <w:sz w:val="20"/>
        </w:rPr>
        <w:t> </w:t>
      </w:r>
      <w:r>
        <w:rPr>
          <w:color w:val="231F20"/>
          <w:sz w:val="20"/>
        </w:rPr>
        <w:t>запросом</w:t>
      </w:r>
      <w:r>
        <w:rPr>
          <w:color w:val="231F20"/>
          <w:spacing w:val="-6"/>
          <w:sz w:val="20"/>
        </w:rPr>
        <w:t> </w:t>
      </w:r>
      <w:r>
        <w:rPr>
          <w:color w:val="231F20"/>
          <w:sz w:val="20"/>
        </w:rPr>
        <w:t>о</w:t>
      </w:r>
      <w:r>
        <w:rPr>
          <w:color w:val="231F20"/>
          <w:spacing w:val="-6"/>
          <w:sz w:val="20"/>
        </w:rPr>
        <w:t> </w:t>
      </w:r>
      <w:r>
        <w:rPr>
          <w:color w:val="231F20"/>
          <w:sz w:val="20"/>
        </w:rPr>
        <w:t>консультации или об экспертизе методических разработок в региональный ресурсный центр.</w:t>
      </w:r>
    </w:p>
    <w:p>
      <w:pPr>
        <w:pStyle w:val="BodyText"/>
        <w:spacing w:line="227" w:lineRule="exact" w:before="82"/>
        <w:ind w:left="425" w:right="0" w:firstLine="0"/>
      </w:pPr>
      <w:r>
        <w:rPr>
          <w:color w:val="231F20"/>
        </w:rPr>
        <w:t>Необходимую</w:t>
      </w:r>
      <w:r>
        <w:rPr>
          <w:color w:val="231F20"/>
          <w:spacing w:val="-13"/>
        </w:rPr>
        <w:t> </w:t>
      </w:r>
      <w:r>
        <w:rPr>
          <w:color w:val="231F20"/>
        </w:rPr>
        <w:t>методическую</w:t>
      </w:r>
      <w:r>
        <w:rPr>
          <w:color w:val="231F20"/>
          <w:spacing w:val="-10"/>
        </w:rPr>
        <w:t> </w:t>
      </w:r>
      <w:r>
        <w:rPr>
          <w:color w:val="231F20"/>
        </w:rPr>
        <w:t>поддержку</w:t>
      </w:r>
      <w:r>
        <w:rPr>
          <w:color w:val="231F20"/>
          <w:spacing w:val="-9"/>
        </w:rPr>
        <w:t> </w:t>
      </w:r>
      <w:r>
        <w:rPr>
          <w:color w:val="231F20"/>
        </w:rPr>
        <w:t>учителям</w:t>
      </w:r>
      <w:r>
        <w:rPr>
          <w:color w:val="231F20"/>
          <w:spacing w:val="-9"/>
        </w:rPr>
        <w:t> </w:t>
      </w:r>
      <w:r>
        <w:rPr>
          <w:color w:val="231F20"/>
        </w:rPr>
        <w:t>могут</w:t>
      </w:r>
      <w:r>
        <w:rPr>
          <w:color w:val="231F20"/>
          <w:spacing w:val="-9"/>
        </w:rPr>
        <w:t> </w:t>
      </w:r>
      <w:r>
        <w:rPr>
          <w:color w:val="231F20"/>
        </w:rPr>
        <w:t>оказать</w:t>
      </w:r>
      <w:r>
        <w:rPr>
          <w:color w:val="231F20"/>
          <w:spacing w:val="-10"/>
        </w:rPr>
        <w:t> </w:t>
      </w:r>
      <w:r>
        <w:rPr>
          <w:color w:val="231F20"/>
          <w:spacing w:val="-2"/>
        </w:rPr>
        <w:t>также:</w:t>
      </w:r>
    </w:p>
    <w:p>
      <w:pPr>
        <w:pStyle w:val="ListParagraph"/>
        <w:numPr>
          <w:ilvl w:val="0"/>
          <w:numId w:val="72"/>
        </w:numPr>
        <w:tabs>
          <w:tab w:pos="423" w:val="left" w:leader="none"/>
        </w:tabs>
        <w:spacing w:line="224" w:lineRule="exact" w:before="0" w:after="0"/>
        <w:ind w:left="423" w:right="0" w:hanging="282"/>
        <w:jc w:val="both"/>
        <w:rPr>
          <w:sz w:val="20"/>
        </w:rPr>
      </w:pPr>
      <w:r>
        <w:rPr>
          <w:color w:val="231F20"/>
          <w:sz w:val="20"/>
        </w:rPr>
        <w:t>региональные</w:t>
      </w:r>
      <w:r>
        <w:rPr>
          <w:color w:val="231F20"/>
          <w:spacing w:val="1"/>
          <w:sz w:val="20"/>
        </w:rPr>
        <w:t> </w:t>
      </w:r>
      <w:r>
        <w:rPr>
          <w:color w:val="231F20"/>
          <w:sz w:val="20"/>
        </w:rPr>
        <w:t>ресурсные</w:t>
      </w:r>
      <w:r>
        <w:rPr>
          <w:color w:val="231F20"/>
          <w:spacing w:val="1"/>
          <w:sz w:val="20"/>
        </w:rPr>
        <w:t> </w:t>
      </w:r>
      <w:r>
        <w:rPr>
          <w:color w:val="231F20"/>
          <w:spacing w:val="-2"/>
          <w:sz w:val="20"/>
        </w:rPr>
        <w:t>центры;</w:t>
      </w:r>
    </w:p>
    <w:p>
      <w:pPr>
        <w:pStyle w:val="ListParagraph"/>
        <w:numPr>
          <w:ilvl w:val="0"/>
          <w:numId w:val="72"/>
        </w:numPr>
        <w:tabs>
          <w:tab w:pos="423" w:val="left" w:leader="none"/>
        </w:tabs>
        <w:spacing w:line="224" w:lineRule="exact" w:before="0" w:after="0"/>
        <w:ind w:left="423" w:right="0" w:hanging="282"/>
        <w:jc w:val="both"/>
        <w:rPr>
          <w:sz w:val="20"/>
        </w:rPr>
      </w:pPr>
      <w:r>
        <w:rPr>
          <w:color w:val="231F20"/>
          <w:sz w:val="20"/>
        </w:rPr>
        <w:t>институты</w:t>
      </w:r>
      <w:r>
        <w:rPr>
          <w:color w:val="231F20"/>
          <w:spacing w:val="-6"/>
          <w:sz w:val="20"/>
        </w:rPr>
        <w:t> </w:t>
      </w:r>
      <w:r>
        <w:rPr>
          <w:color w:val="231F20"/>
          <w:sz w:val="20"/>
        </w:rPr>
        <w:t>повышения</w:t>
      </w:r>
      <w:r>
        <w:rPr>
          <w:color w:val="231F20"/>
          <w:spacing w:val="-3"/>
          <w:sz w:val="20"/>
        </w:rPr>
        <w:t> </w:t>
      </w:r>
      <w:r>
        <w:rPr>
          <w:color w:val="231F20"/>
          <w:sz w:val="20"/>
        </w:rPr>
        <w:t>квалификации</w:t>
      </w:r>
      <w:r>
        <w:rPr>
          <w:color w:val="231F20"/>
          <w:spacing w:val="-4"/>
          <w:sz w:val="20"/>
        </w:rPr>
        <w:t> </w:t>
      </w:r>
      <w:r>
        <w:rPr>
          <w:color w:val="231F20"/>
          <w:sz w:val="20"/>
        </w:rPr>
        <w:t>региональных</w:t>
      </w:r>
      <w:r>
        <w:rPr>
          <w:color w:val="231F20"/>
          <w:spacing w:val="-3"/>
          <w:sz w:val="20"/>
        </w:rPr>
        <w:t> </w:t>
      </w:r>
      <w:r>
        <w:rPr>
          <w:color w:val="231F20"/>
          <w:sz w:val="20"/>
        </w:rPr>
        <w:t>департаментов</w:t>
      </w:r>
      <w:r>
        <w:rPr>
          <w:color w:val="231F20"/>
          <w:spacing w:val="-4"/>
          <w:sz w:val="20"/>
        </w:rPr>
        <w:t> </w:t>
      </w:r>
      <w:r>
        <w:rPr>
          <w:color w:val="231F20"/>
          <w:spacing w:val="-2"/>
          <w:sz w:val="20"/>
        </w:rPr>
        <w:t>образования;</w:t>
      </w:r>
    </w:p>
    <w:p>
      <w:pPr>
        <w:pStyle w:val="ListParagraph"/>
        <w:numPr>
          <w:ilvl w:val="0"/>
          <w:numId w:val="72"/>
        </w:numPr>
        <w:tabs>
          <w:tab w:pos="423" w:val="left" w:leader="none"/>
          <w:tab w:pos="425" w:val="left" w:leader="none"/>
        </w:tabs>
        <w:spacing w:line="232" w:lineRule="auto" w:before="3" w:after="0"/>
        <w:ind w:left="425" w:right="139" w:hanging="284"/>
        <w:jc w:val="both"/>
        <w:rPr>
          <w:sz w:val="20"/>
        </w:rPr>
      </w:pPr>
      <w:r>
        <w:rPr>
          <w:color w:val="231F20"/>
          <w:sz w:val="20"/>
        </w:rPr>
        <w:t>Федеральный координационный ресурсный центр по психологической и соци- окультурной адаптации несовершеннолетних иностранных граждан: </w:t>
      </w:r>
      <w:hyperlink r:id="rId83">
        <w:r>
          <w:rPr>
            <w:color w:val="2255A6"/>
            <w:sz w:val="20"/>
            <w:u w:val="single" w:color="2255A6"/>
          </w:rPr>
          <w:t>http://fkrc.</w:t>
        </w:r>
      </w:hyperlink>
      <w:r>
        <w:rPr>
          <w:color w:val="2255A6"/>
          <w:sz w:val="20"/>
        </w:rPr>
        <w:t> </w:t>
      </w:r>
      <w:hyperlink r:id="rId83">
        <w:r>
          <w:rPr>
            <w:color w:val="2255A6"/>
            <w:spacing w:val="-2"/>
            <w:sz w:val="20"/>
            <w:u w:val="single" w:color="2255A6"/>
          </w:rPr>
          <w:t>mgppu.ru</w:t>
        </w:r>
      </w:hyperlink>
    </w:p>
    <w:p>
      <w:pPr>
        <w:pStyle w:val="ListParagraph"/>
        <w:numPr>
          <w:ilvl w:val="0"/>
          <w:numId w:val="72"/>
        </w:numPr>
        <w:tabs>
          <w:tab w:pos="423" w:val="left" w:leader="none"/>
          <w:tab w:pos="425" w:val="left" w:leader="none"/>
        </w:tabs>
        <w:spacing w:line="235" w:lineRule="auto" w:before="3" w:after="0"/>
        <w:ind w:left="425" w:right="139" w:hanging="284"/>
        <w:jc w:val="both"/>
        <w:rPr>
          <w:sz w:val="20"/>
        </w:rPr>
      </w:pPr>
      <w:r>
        <w:rPr>
          <w:color w:val="231F20"/>
          <w:sz w:val="20"/>
        </w:rPr>
        <w:t>курсы повышения квалификации на базе психолого-педагогических, педагогиче- ских</w:t>
      </w:r>
      <w:r>
        <w:rPr>
          <w:color w:val="231F20"/>
          <w:spacing w:val="-4"/>
          <w:sz w:val="20"/>
        </w:rPr>
        <w:t> </w:t>
      </w:r>
      <w:r>
        <w:rPr>
          <w:color w:val="231F20"/>
          <w:sz w:val="20"/>
        </w:rPr>
        <w:t>университетов</w:t>
      </w:r>
      <w:r>
        <w:rPr>
          <w:color w:val="231F20"/>
          <w:spacing w:val="-4"/>
          <w:sz w:val="20"/>
        </w:rPr>
        <w:t> </w:t>
      </w:r>
      <w:r>
        <w:rPr>
          <w:color w:val="231F20"/>
          <w:sz w:val="20"/>
        </w:rPr>
        <w:t>и</w:t>
      </w:r>
      <w:r>
        <w:rPr>
          <w:color w:val="231F20"/>
          <w:spacing w:val="-4"/>
          <w:sz w:val="20"/>
        </w:rPr>
        <w:t> </w:t>
      </w:r>
      <w:r>
        <w:rPr>
          <w:color w:val="231F20"/>
          <w:sz w:val="20"/>
        </w:rPr>
        <w:t>институтов</w:t>
      </w:r>
      <w:r>
        <w:rPr>
          <w:color w:val="231F20"/>
          <w:spacing w:val="-4"/>
          <w:sz w:val="20"/>
        </w:rPr>
        <w:t> </w:t>
      </w:r>
      <w:r>
        <w:rPr>
          <w:color w:val="231F20"/>
          <w:sz w:val="20"/>
        </w:rPr>
        <w:t>регионов,</w:t>
      </w:r>
      <w:r>
        <w:rPr>
          <w:color w:val="231F20"/>
          <w:spacing w:val="-4"/>
          <w:sz w:val="20"/>
        </w:rPr>
        <w:t> </w:t>
      </w:r>
      <w:r>
        <w:rPr>
          <w:color w:val="231F20"/>
          <w:sz w:val="20"/>
        </w:rPr>
        <w:t>например</w:t>
      </w:r>
      <w:r>
        <w:rPr>
          <w:color w:val="231F20"/>
          <w:spacing w:val="-4"/>
          <w:sz w:val="20"/>
        </w:rPr>
        <w:t> </w:t>
      </w:r>
      <w:r>
        <w:rPr>
          <w:color w:val="231F20"/>
          <w:sz w:val="20"/>
        </w:rPr>
        <w:t>факультет</w:t>
      </w:r>
      <w:r>
        <w:rPr>
          <w:color w:val="231F20"/>
          <w:spacing w:val="-4"/>
          <w:sz w:val="20"/>
        </w:rPr>
        <w:t> </w:t>
      </w:r>
      <w:r>
        <w:rPr>
          <w:color w:val="231F20"/>
          <w:sz w:val="20"/>
        </w:rPr>
        <w:t>повышения</w:t>
      </w:r>
      <w:r>
        <w:rPr>
          <w:color w:val="231F20"/>
          <w:spacing w:val="-4"/>
          <w:sz w:val="20"/>
        </w:rPr>
        <w:t> </w:t>
      </w:r>
      <w:r>
        <w:rPr>
          <w:color w:val="231F20"/>
          <w:sz w:val="20"/>
        </w:rPr>
        <w:t>ква- лификации МГППУ: https://dpo.mgppu.ru</w:t>
      </w:r>
    </w:p>
    <w:p>
      <w:pPr>
        <w:pStyle w:val="BodyText"/>
        <w:spacing w:line="235" w:lineRule="auto" w:before="2"/>
      </w:pPr>
      <w:r>
        <w:rPr>
          <w:color w:val="231F20"/>
        </w:rPr>
        <w:t>Для</w:t>
      </w:r>
      <w:r>
        <w:rPr>
          <w:color w:val="231F20"/>
          <w:spacing w:val="-8"/>
        </w:rPr>
        <w:t> </w:t>
      </w:r>
      <w:r>
        <w:rPr>
          <w:color w:val="231F20"/>
        </w:rPr>
        <w:t>оптимального</w:t>
      </w:r>
      <w:r>
        <w:rPr>
          <w:color w:val="231F20"/>
          <w:spacing w:val="-8"/>
        </w:rPr>
        <w:t> </w:t>
      </w:r>
      <w:r>
        <w:rPr>
          <w:color w:val="231F20"/>
        </w:rPr>
        <w:t>решения</w:t>
      </w:r>
      <w:r>
        <w:rPr>
          <w:color w:val="231F20"/>
          <w:spacing w:val="-8"/>
        </w:rPr>
        <w:t> </w:t>
      </w:r>
      <w:r>
        <w:rPr>
          <w:color w:val="231F20"/>
        </w:rPr>
        <w:t>поставленных</w:t>
      </w:r>
      <w:r>
        <w:rPr>
          <w:color w:val="231F20"/>
          <w:spacing w:val="-8"/>
        </w:rPr>
        <w:t> </w:t>
      </w:r>
      <w:r>
        <w:rPr>
          <w:color w:val="231F20"/>
        </w:rPr>
        <w:t>задач</w:t>
      </w:r>
      <w:r>
        <w:rPr>
          <w:color w:val="231F20"/>
          <w:spacing w:val="-8"/>
        </w:rPr>
        <w:t> </w:t>
      </w:r>
      <w:r>
        <w:rPr>
          <w:color w:val="231F20"/>
        </w:rPr>
        <w:t>методическая</w:t>
      </w:r>
      <w:r>
        <w:rPr>
          <w:color w:val="231F20"/>
          <w:spacing w:val="-8"/>
        </w:rPr>
        <w:t> </w:t>
      </w:r>
      <w:r>
        <w:rPr>
          <w:color w:val="231F20"/>
        </w:rPr>
        <w:t>поддержка</w:t>
      </w:r>
      <w:r>
        <w:rPr>
          <w:color w:val="231F20"/>
          <w:spacing w:val="-8"/>
        </w:rPr>
        <w:t> </w:t>
      </w:r>
      <w:r>
        <w:rPr>
          <w:color w:val="231F20"/>
        </w:rPr>
        <w:t>педаго- гов-психологов может включать в себя:</w:t>
      </w:r>
    </w:p>
    <w:p>
      <w:pPr>
        <w:pStyle w:val="ListParagraph"/>
        <w:numPr>
          <w:ilvl w:val="0"/>
          <w:numId w:val="72"/>
        </w:numPr>
        <w:tabs>
          <w:tab w:pos="423" w:val="left" w:leader="none"/>
          <w:tab w:pos="425" w:val="left" w:leader="none"/>
        </w:tabs>
        <w:spacing w:line="235" w:lineRule="auto" w:before="1" w:after="0"/>
        <w:ind w:left="425" w:right="139" w:hanging="284"/>
        <w:jc w:val="both"/>
        <w:rPr>
          <w:sz w:val="20"/>
        </w:rPr>
      </w:pPr>
      <w:r>
        <w:rPr>
          <w:color w:val="231F20"/>
          <w:sz w:val="20"/>
        </w:rPr>
        <w:t>курсы повышения квалификации по межкультурной компетентности (например, на</w:t>
      </w:r>
      <w:r>
        <w:rPr>
          <w:color w:val="231F20"/>
          <w:spacing w:val="-9"/>
          <w:sz w:val="20"/>
        </w:rPr>
        <w:t> </w:t>
      </w:r>
      <w:r>
        <w:rPr>
          <w:color w:val="231F20"/>
          <w:sz w:val="20"/>
        </w:rPr>
        <w:t>базе</w:t>
      </w:r>
      <w:r>
        <w:rPr>
          <w:color w:val="231F20"/>
          <w:spacing w:val="-9"/>
          <w:sz w:val="20"/>
        </w:rPr>
        <w:t> </w:t>
      </w:r>
      <w:r>
        <w:rPr>
          <w:color w:val="231F20"/>
          <w:sz w:val="20"/>
        </w:rPr>
        <w:t>институтов</w:t>
      </w:r>
      <w:r>
        <w:rPr>
          <w:color w:val="231F20"/>
          <w:spacing w:val="-9"/>
          <w:sz w:val="20"/>
        </w:rPr>
        <w:t> </w:t>
      </w:r>
      <w:r>
        <w:rPr>
          <w:color w:val="231F20"/>
          <w:sz w:val="20"/>
        </w:rPr>
        <w:t>повышения</w:t>
      </w:r>
      <w:r>
        <w:rPr>
          <w:color w:val="231F20"/>
          <w:spacing w:val="-9"/>
          <w:sz w:val="20"/>
        </w:rPr>
        <w:t> </w:t>
      </w:r>
      <w:r>
        <w:rPr>
          <w:color w:val="231F20"/>
          <w:sz w:val="20"/>
        </w:rPr>
        <w:t>квалификации</w:t>
      </w:r>
      <w:r>
        <w:rPr>
          <w:color w:val="231F20"/>
          <w:spacing w:val="-9"/>
          <w:sz w:val="20"/>
        </w:rPr>
        <w:t> </w:t>
      </w:r>
      <w:r>
        <w:rPr>
          <w:color w:val="231F20"/>
          <w:sz w:val="20"/>
        </w:rPr>
        <w:t>регионов;</w:t>
      </w:r>
      <w:r>
        <w:rPr>
          <w:color w:val="231F20"/>
          <w:spacing w:val="-9"/>
          <w:sz w:val="20"/>
        </w:rPr>
        <w:t> </w:t>
      </w:r>
      <w:r>
        <w:rPr>
          <w:color w:val="231F20"/>
          <w:sz w:val="20"/>
        </w:rPr>
        <w:t>на</w:t>
      </w:r>
      <w:r>
        <w:rPr>
          <w:color w:val="231F20"/>
          <w:spacing w:val="-9"/>
          <w:sz w:val="20"/>
        </w:rPr>
        <w:t> </w:t>
      </w:r>
      <w:r>
        <w:rPr>
          <w:color w:val="231F20"/>
          <w:sz w:val="20"/>
        </w:rPr>
        <w:t>интернет-ресурсах</w:t>
      </w:r>
      <w:r>
        <w:rPr>
          <w:color w:val="231F20"/>
          <w:spacing w:val="-9"/>
          <w:sz w:val="20"/>
        </w:rPr>
        <w:t> </w:t>
      </w:r>
      <w:r>
        <w:rPr>
          <w:color w:val="231F20"/>
          <w:sz w:val="20"/>
        </w:rPr>
        <w:t>от- крытого образования OpenEdu.ru);</w:t>
      </w:r>
    </w:p>
    <w:p>
      <w:pPr>
        <w:pStyle w:val="ListParagraph"/>
        <w:spacing w:after="0" w:line="235" w:lineRule="auto"/>
        <w:jc w:val="both"/>
        <w:rPr>
          <w:sz w:val="20"/>
        </w:rPr>
        <w:sectPr>
          <w:pgSz w:w="8400" w:h="11910"/>
          <w:pgMar w:header="0" w:footer="542" w:top="400" w:bottom="740" w:left="425" w:right="425"/>
        </w:sectPr>
      </w:pPr>
    </w:p>
    <w:p>
      <w:pPr>
        <w:pStyle w:val="ListParagraph"/>
        <w:numPr>
          <w:ilvl w:val="1"/>
          <w:numId w:val="73"/>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Организация</w:t>
      </w:r>
      <w:r>
        <w:rPr>
          <w:rFonts w:ascii="Georgia" w:hAnsi="Georgia"/>
          <w:color w:val="231F20"/>
          <w:spacing w:val="1"/>
          <w:sz w:val="18"/>
        </w:rPr>
        <w:t> </w:t>
      </w:r>
      <w:r>
        <w:rPr>
          <w:rFonts w:ascii="Georgia" w:hAnsi="Georgia"/>
          <w:color w:val="231F20"/>
          <w:sz w:val="18"/>
        </w:rPr>
        <w:t>методической</w:t>
      </w:r>
      <w:r>
        <w:rPr>
          <w:rFonts w:ascii="Georgia" w:hAnsi="Georgia"/>
          <w:color w:val="231F20"/>
          <w:spacing w:val="1"/>
          <w:sz w:val="18"/>
        </w:rPr>
        <w:t> </w:t>
      </w:r>
      <w:r>
        <w:rPr>
          <w:rFonts w:ascii="Georgia" w:hAnsi="Georgia"/>
          <w:color w:val="231F20"/>
          <w:sz w:val="18"/>
        </w:rPr>
        <w:t>поддержки</w:t>
      </w:r>
      <w:r>
        <w:rPr>
          <w:rFonts w:ascii="Georgia" w:hAnsi="Georgia"/>
          <w:color w:val="231F20"/>
          <w:spacing w:val="1"/>
          <w:sz w:val="18"/>
        </w:rPr>
        <w:t> </w:t>
      </w:r>
      <w:r>
        <w:rPr>
          <w:rFonts w:ascii="Georgia" w:hAnsi="Georgia"/>
          <w:color w:val="231F20"/>
          <w:sz w:val="18"/>
        </w:rPr>
        <w:t>деятельности</w:t>
      </w:r>
      <w:r>
        <w:rPr>
          <w:rFonts w:ascii="Georgia" w:hAnsi="Georgia"/>
          <w:color w:val="231F20"/>
          <w:spacing w:val="1"/>
          <w:sz w:val="18"/>
        </w:rPr>
        <w:t> </w:t>
      </w:r>
      <w:r>
        <w:rPr>
          <w:rFonts w:ascii="Georgia" w:hAnsi="Georgia"/>
          <w:color w:val="231F20"/>
          <w:sz w:val="18"/>
        </w:rPr>
        <w:t>педагогического</w:t>
      </w:r>
      <w:r>
        <w:rPr>
          <w:rFonts w:ascii="Georgia" w:hAnsi="Georgia"/>
          <w:color w:val="231F20"/>
          <w:spacing w:val="1"/>
          <w:sz w:val="18"/>
        </w:rPr>
        <w:t> </w:t>
      </w:r>
      <w:r>
        <w:rPr>
          <w:rFonts w:ascii="Georgia" w:hAnsi="Georgia"/>
          <w:color w:val="231F20"/>
          <w:spacing w:val="-5"/>
          <w:sz w:val="18"/>
        </w:rPr>
        <w:t>...</w:t>
      </w:r>
    </w:p>
    <w:p>
      <w:pPr>
        <w:pStyle w:val="ListParagraph"/>
        <w:numPr>
          <w:ilvl w:val="2"/>
          <w:numId w:val="73"/>
        </w:numPr>
        <w:tabs>
          <w:tab w:pos="423" w:val="left" w:leader="none"/>
          <w:tab w:pos="425" w:val="left" w:leader="none"/>
        </w:tabs>
        <w:spacing w:line="242" w:lineRule="auto" w:before="112" w:after="0"/>
        <w:ind w:left="425" w:right="139" w:hanging="284"/>
        <w:jc w:val="both"/>
        <w:rPr>
          <w:sz w:val="20"/>
        </w:rPr>
      </w:pPr>
      <w:r>
        <w:rPr>
          <w:color w:val="231F20"/>
          <w:sz w:val="20"/>
        </w:rPr>
        <w:t>знакомство с методической литературой, посвященной развитию и формирова- нию межкультурной компетентности педагогов (Хухлаев, Чибисова, 2013);</w:t>
      </w:r>
    </w:p>
    <w:p>
      <w:pPr>
        <w:pStyle w:val="ListParagraph"/>
        <w:numPr>
          <w:ilvl w:val="2"/>
          <w:numId w:val="73"/>
        </w:numPr>
        <w:tabs>
          <w:tab w:pos="423" w:val="left" w:leader="none"/>
          <w:tab w:pos="425" w:val="left" w:leader="none"/>
        </w:tabs>
        <w:spacing w:line="242" w:lineRule="auto" w:before="0" w:after="0"/>
        <w:ind w:left="425" w:right="139" w:hanging="284"/>
        <w:jc w:val="both"/>
        <w:rPr>
          <w:sz w:val="20"/>
        </w:rPr>
      </w:pPr>
      <w:r>
        <w:rPr>
          <w:color w:val="231F20"/>
          <w:sz w:val="20"/>
        </w:rPr>
        <w:t>знакомство с практиками, реализуемыми различными организациями по пробле- мам, в том числе, развития межкультурной компетентности (проект «Одинаково разные»; Центр толерантности).</w:t>
      </w:r>
    </w:p>
    <w:p>
      <w:pPr>
        <w:pStyle w:val="BodyText"/>
        <w:ind w:left="0" w:right="0" w:firstLine="0"/>
        <w:jc w:val="left"/>
      </w:pPr>
    </w:p>
    <w:p>
      <w:pPr>
        <w:pStyle w:val="BodyText"/>
        <w:spacing w:line="242" w:lineRule="auto" w:before="1"/>
        <w:ind w:right="0"/>
        <w:jc w:val="left"/>
      </w:pPr>
      <w:r>
        <w:rPr>
          <w:color w:val="231F20"/>
        </w:rPr>
        <w:t>Внутришкольная</w:t>
      </w:r>
      <w:r>
        <w:rPr>
          <w:color w:val="231F20"/>
          <w:spacing w:val="27"/>
        </w:rPr>
        <w:t> </w:t>
      </w:r>
      <w:r>
        <w:rPr>
          <w:color w:val="231F20"/>
        </w:rPr>
        <w:t>модель</w:t>
      </w:r>
      <w:r>
        <w:rPr>
          <w:color w:val="231F20"/>
          <w:spacing w:val="27"/>
        </w:rPr>
        <w:t> </w:t>
      </w:r>
      <w:r>
        <w:rPr>
          <w:color w:val="231F20"/>
        </w:rPr>
        <w:t>повышения</w:t>
      </w:r>
      <w:r>
        <w:rPr>
          <w:color w:val="231F20"/>
          <w:spacing w:val="27"/>
        </w:rPr>
        <w:t> </w:t>
      </w:r>
      <w:r>
        <w:rPr>
          <w:color w:val="231F20"/>
        </w:rPr>
        <w:t>квалификации</w:t>
      </w:r>
      <w:r>
        <w:rPr>
          <w:color w:val="231F20"/>
          <w:spacing w:val="27"/>
        </w:rPr>
        <w:t> </w:t>
      </w:r>
      <w:r>
        <w:rPr>
          <w:color w:val="231F20"/>
        </w:rPr>
        <w:t>педагогов</w:t>
      </w:r>
      <w:r>
        <w:rPr>
          <w:color w:val="231F20"/>
          <w:spacing w:val="27"/>
        </w:rPr>
        <w:t> </w:t>
      </w:r>
      <w:r>
        <w:rPr>
          <w:color w:val="231F20"/>
        </w:rPr>
        <w:t>может</w:t>
      </w:r>
      <w:r>
        <w:rPr>
          <w:color w:val="231F20"/>
          <w:spacing w:val="27"/>
        </w:rPr>
        <w:t> </w:t>
      </w:r>
      <w:r>
        <w:rPr>
          <w:color w:val="231F20"/>
        </w:rPr>
        <w:t>включать различные формы:</w:t>
      </w:r>
    </w:p>
    <w:p>
      <w:pPr>
        <w:pStyle w:val="ListParagraph"/>
        <w:numPr>
          <w:ilvl w:val="0"/>
          <w:numId w:val="74"/>
        </w:numPr>
        <w:tabs>
          <w:tab w:pos="424" w:val="left" w:leader="none"/>
        </w:tabs>
        <w:spacing w:line="229" w:lineRule="exact" w:before="0" w:after="0"/>
        <w:ind w:left="424" w:right="0" w:hanging="283"/>
        <w:jc w:val="left"/>
        <w:rPr>
          <w:sz w:val="20"/>
        </w:rPr>
      </w:pPr>
      <w:r>
        <w:rPr>
          <w:color w:val="231F20"/>
          <w:sz w:val="20"/>
        </w:rPr>
        <w:t>Интерактивные</w:t>
      </w:r>
      <w:r>
        <w:rPr>
          <w:color w:val="231F20"/>
          <w:spacing w:val="-3"/>
          <w:sz w:val="20"/>
        </w:rPr>
        <w:t> </w:t>
      </w:r>
      <w:r>
        <w:rPr>
          <w:color w:val="231F20"/>
          <w:spacing w:val="-2"/>
          <w:sz w:val="20"/>
        </w:rPr>
        <w:t>семинары.</w:t>
      </w:r>
    </w:p>
    <w:p>
      <w:pPr>
        <w:pStyle w:val="ListParagraph"/>
        <w:numPr>
          <w:ilvl w:val="0"/>
          <w:numId w:val="74"/>
        </w:numPr>
        <w:tabs>
          <w:tab w:pos="424" w:val="left" w:leader="none"/>
        </w:tabs>
        <w:spacing w:line="240" w:lineRule="auto" w:before="2" w:after="0"/>
        <w:ind w:left="424" w:right="0" w:hanging="283"/>
        <w:jc w:val="left"/>
        <w:rPr>
          <w:sz w:val="20"/>
        </w:rPr>
      </w:pPr>
      <w:r>
        <w:rPr>
          <w:color w:val="231F20"/>
          <w:spacing w:val="-2"/>
          <w:sz w:val="20"/>
        </w:rPr>
        <w:t>Технологии</w:t>
      </w:r>
      <w:r>
        <w:rPr>
          <w:color w:val="231F20"/>
          <w:spacing w:val="4"/>
          <w:sz w:val="20"/>
        </w:rPr>
        <w:t> </w:t>
      </w:r>
      <w:r>
        <w:rPr>
          <w:color w:val="231F20"/>
          <w:spacing w:val="-2"/>
          <w:sz w:val="20"/>
        </w:rPr>
        <w:t>разбора</w:t>
      </w:r>
      <w:r>
        <w:rPr>
          <w:color w:val="231F20"/>
          <w:spacing w:val="8"/>
          <w:sz w:val="20"/>
        </w:rPr>
        <w:t> </w:t>
      </w:r>
      <w:r>
        <w:rPr>
          <w:color w:val="231F20"/>
          <w:spacing w:val="-2"/>
          <w:sz w:val="20"/>
        </w:rPr>
        <w:t>педагогического</w:t>
      </w:r>
      <w:r>
        <w:rPr>
          <w:color w:val="231F20"/>
          <w:spacing w:val="8"/>
          <w:sz w:val="20"/>
        </w:rPr>
        <w:t> </w:t>
      </w:r>
      <w:r>
        <w:rPr>
          <w:color w:val="231F20"/>
          <w:spacing w:val="-2"/>
          <w:sz w:val="20"/>
        </w:rPr>
        <w:t>случая.</w:t>
      </w:r>
    </w:p>
    <w:p>
      <w:pPr>
        <w:pStyle w:val="ListParagraph"/>
        <w:numPr>
          <w:ilvl w:val="0"/>
          <w:numId w:val="74"/>
        </w:numPr>
        <w:tabs>
          <w:tab w:pos="424" w:val="left" w:leader="none"/>
        </w:tabs>
        <w:spacing w:line="240" w:lineRule="auto" w:before="2" w:after="0"/>
        <w:ind w:left="424" w:right="0" w:hanging="283"/>
        <w:jc w:val="left"/>
        <w:rPr>
          <w:sz w:val="20"/>
        </w:rPr>
      </w:pPr>
      <w:r>
        <w:rPr>
          <w:color w:val="231F20"/>
          <w:spacing w:val="-2"/>
          <w:sz w:val="20"/>
        </w:rPr>
        <w:t>Проведение</w:t>
      </w:r>
      <w:r>
        <w:rPr>
          <w:color w:val="231F20"/>
          <w:spacing w:val="1"/>
          <w:sz w:val="20"/>
        </w:rPr>
        <w:t> </w:t>
      </w:r>
      <w:r>
        <w:rPr>
          <w:color w:val="231F20"/>
          <w:spacing w:val="-2"/>
          <w:sz w:val="20"/>
        </w:rPr>
        <w:t>межкультурного</w:t>
      </w:r>
      <w:r>
        <w:rPr>
          <w:color w:val="231F20"/>
          <w:spacing w:val="4"/>
          <w:sz w:val="20"/>
        </w:rPr>
        <w:t> </w:t>
      </w:r>
      <w:r>
        <w:rPr>
          <w:color w:val="231F20"/>
          <w:spacing w:val="-2"/>
          <w:sz w:val="20"/>
        </w:rPr>
        <w:t>тренинга</w:t>
      </w:r>
    </w:p>
    <w:p>
      <w:pPr>
        <w:pStyle w:val="ListParagraph"/>
        <w:numPr>
          <w:ilvl w:val="0"/>
          <w:numId w:val="74"/>
        </w:numPr>
        <w:tabs>
          <w:tab w:pos="425" w:val="left" w:leader="none"/>
        </w:tabs>
        <w:spacing w:line="242" w:lineRule="auto" w:before="2" w:after="0"/>
        <w:ind w:left="425" w:right="139" w:hanging="284"/>
        <w:jc w:val="left"/>
        <w:rPr>
          <w:sz w:val="20"/>
        </w:rPr>
      </w:pPr>
      <w:r>
        <w:rPr>
          <w:color w:val="231F20"/>
          <w:sz w:val="20"/>
        </w:rPr>
        <w:t>Моделирование и анализ трудных педагогических ситуаций в контексте отноше- ния педагогов к культурным различиям (по модели ДОПА).</w:t>
      </w:r>
    </w:p>
    <w:p>
      <w:pPr>
        <w:pStyle w:val="BodyText"/>
        <w:spacing w:line="242" w:lineRule="auto"/>
        <w:jc w:val="right"/>
      </w:pPr>
      <w:r>
        <w:rPr>
          <w:color w:val="231F20"/>
        </w:rPr>
        <w:t>Внутришкольная модель повышения квалификации может осуществляться как в </w:t>
      </w:r>
      <w:r>
        <w:rPr>
          <w:color w:val="231F20"/>
          <w:spacing w:val="-2"/>
        </w:rPr>
        <w:t>рамках методического объединения педагогов, взаимодействующих с детьми-мигран- </w:t>
      </w:r>
      <w:r>
        <w:rPr>
          <w:color w:val="231F20"/>
        </w:rPr>
        <w:t>тами,</w:t>
      </w:r>
      <w:r>
        <w:rPr>
          <w:color w:val="231F20"/>
          <w:spacing w:val="-4"/>
        </w:rPr>
        <w:t> </w:t>
      </w:r>
      <w:r>
        <w:rPr>
          <w:color w:val="231F20"/>
        </w:rPr>
        <w:t>так</w:t>
      </w:r>
      <w:r>
        <w:rPr>
          <w:color w:val="231F20"/>
          <w:spacing w:val="-4"/>
        </w:rPr>
        <w:t> </w:t>
      </w:r>
      <w:r>
        <w:rPr>
          <w:color w:val="231F20"/>
        </w:rPr>
        <w:t>и</w:t>
      </w:r>
      <w:r>
        <w:rPr>
          <w:color w:val="231F20"/>
          <w:spacing w:val="-5"/>
        </w:rPr>
        <w:t> </w:t>
      </w:r>
      <w:r>
        <w:rPr>
          <w:color w:val="231F20"/>
        </w:rPr>
        <w:t>в</w:t>
      </w:r>
      <w:r>
        <w:rPr>
          <w:color w:val="231F20"/>
          <w:spacing w:val="-5"/>
        </w:rPr>
        <w:t> </w:t>
      </w:r>
      <w:r>
        <w:rPr>
          <w:color w:val="231F20"/>
        </w:rPr>
        <w:t>рамках</w:t>
      </w:r>
      <w:r>
        <w:rPr>
          <w:color w:val="231F20"/>
          <w:spacing w:val="-4"/>
        </w:rPr>
        <w:t> </w:t>
      </w:r>
      <w:r>
        <w:rPr>
          <w:color w:val="231F20"/>
        </w:rPr>
        <w:t>педсоветов,</w:t>
      </w:r>
      <w:r>
        <w:rPr>
          <w:color w:val="231F20"/>
          <w:spacing w:val="-4"/>
        </w:rPr>
        <w:t> </w:t>
      </w:r>
      <w:r>
        <w:rPr>
          <w:color w:val="231F20"/>
        </w:rPr>
        <w:t>которые</w:t>
      </w:r>
      <w:r>
        <w:rPr>
          <w:color w:val="231F20"/>
          <w:spacing w:val="-4"/>
        </w:rPr>
        <w:t> </w:t>
      </w:r>
      <w:r>
        <w:rPr>
          <w:color w:val="231F20"/>
        </w:rPr>
        <w:t>занимаются</w:t>
      </w:r>
      <w:r>
        <w:rPr>
          <w:color w:val="231F20"/>
          <w:spacing w:val="-4"/>
        </w:rPr>
        <w:t> </w:t>
      </w:r>
      <w:r>
        <w:rPr>
          <w:color w:val="231F20"/>
        </w:rPr>
        <w:t>общешкольными</w:t>
      </w:r>
      <w:r>
        <w:rPr>
          <w:color w:val="231F20"/>
          <w:spacing w:val="-5"/>
        </w:rPr>
        <w:t> </w:t>
      </w:r>
      <w:r>
        <w:rPr>
          <w:color w:val="231F20"/>
        </w:rPr>
        <w:t>проблемами. Результатом/продуктом деятельности каждой из форм может выступать специаль- </w:t>
      </w:r>
      <w:r>
        <w:rPr>
          <w:color w:val="231F20"/>
          <w:spacing w:val="-2"/>
        </w:rPr>
        <w:t>ным</w:t>
      </w:r>
      <w:r>
        <w:rPr>
          <w:color w:val="231F20"/>
          <w:spacing w:val="-8"/>
        </w:rPr>
        <w:t> </w:t>
      </w:r>
      <w:r>
        <w:rPr>
          <w:color w:val="231F20"/>
          <w:spacing w:val="-2"/>
        </w:rPr>
        <w:t>образом</w:t>
      </w:r>
      <w:r>
        <w:rPr>
          <w:color w:val="231F20"/>
          <w:spacing w:val="-6"/>
        </w:rPr>
        <w:t> </w:t>
      </w:r>
      <w:r>
        <w:rPr>
          <w:color w:val="231F20"/>
          <w:spacing w:val="-2"/>
        </w:rPr>
        <w:t>оформленные</w:t>
      </w:r>
      <w:r>
        <w:rPr>
          <w:color w:val="231F20"/>
          <w:spacing w:val="-6"/>
        </w:rPr>
        <w:t> </w:t>
      </w:r>
      <w:r>
        <w:rPr>
          <w:color w:val="231F20"/>
          <w:spacing w:val="-2"/>
        </w:rPr>
        <w:t>инструктивные</w:t>
      </w:r>
      <w:r>
        <w:rPr>
          <w:color w:val="231F20"/>
          <w:spacing w:val="-6"/>
        </w:rPr>
        <w:t> </w:t>
      </w:r>
      <w:r>
        <w:rPr>
          <w:color w:val="231F20"/>
          <w:spacing w:val="-2"/>
        </w:rPr>
        <w:t>материалы,</w:t>
      </w:r>
      <w:r>
        <w:rPr>
          <w:color w:val="231F20"/>
          <w:spacing w:val="-6"/>
        </w:rPr>
        <w:t> </w:t>
      </w:r>
      <w:r>
        <w:rPr>
          <w:color w:val="231F20"/>
          <w:spacing w:val="-2"/>
        </w:rPr>
        <w:t>памятки,</w:t>
      </w:r>
      <w:r>
        <w:rPr>
          <w:color w:val="231F20"/>
          <w:spacing w:val="-6"/>
        </w:rPr>
        <w:t> </w:t>
      </w:r>
      <w:r>
        <w:rPr>
          <w:color w:val="231F20"/>
          <w:spacing w:val="-2"/>
        </w:rPr>
        <w:t>алгоритмы</w:t>
      </w:r>
      <w:r>
        <w:rPr>
          <w:color w:val="231F20"/>
          <w:spacing w:val="-5"/>
        </w:rPr>
        <w:t> </w:t>
      </w:r>
      <w:r>
        <w:rPr>
          <w:color w:val="231F20"/>
          <w:spacing w:val="-2"/>
        </w:rPr>
        <w:t>действий.</w:t>
      </w:r>
    </w:p>
    <w:p>
      <w:pPr>
        <w:pStyle w:val="BodyText"/>
        <w:spacing w:line="242" w:lineRule="auto" w:before="111"/>
      </w:pPr>
      <w:r>
        <w:rPr>
          <w:b/>
          <w:i/>
          <w:color w:val="231F20"/>
        </w:rPr>
        <w:t>Памятка</w:t>
      </w:r>
      <w:r>
        <w:rPr>
          <w:color w:val="231F20"/>
        </w:rPr>
        <w:t>.</w:t>
      </w:r>
      <w:r>
        <w:rPr>
          <w:color w:val="231F20"/>
          <w:spacing w:val="-5"/>
        </w:rPr>
        <w:t> </w:t>
      </w:r>
      <w:r>
        <w:rPr>
          <w:color w:val="231F20"/>
        </w:rPr>
        <w:t>Памятка</w:t>
      </w:r>
      <w:r>
        <w:rPr>
          <w:color w:val="231F20"/>
          <w:spacing w:val="-5"/>
        </w:rPr>
        <w:t> </w:t>
      </w:r>
      <w:r>
        <w:rPr>
          <w:color w:val="231F20"/>
        </w:rPr>
        <w:t>может</w:t>
      </w:r>
      <w:r>
        <w:rPr>
          <w:color w:val="231F20"/>
          <w:spacing w:val="-5"/>
        </w:rPr>
        <w:t> </w:t>
      </w:r>
      <w:r>
        <w:rPr>
          <w:color w:val="231F20"/>
        </w:rPr>
        <w:t>выступать</w:t>
      </w:r>
      <w:r>
        <w:rPr>
          <w:color w:val="231F20"/>
          <w:spacing w:val="-5"/>
        </w:rPr>
        <w:t> </w:t>
      </w:r>
      <w:r>
        <w:rPr>
          <w:color w:val="231F20"/>
        </w:rPr>
        <w:t>документом,</w:t>
      </w:r>
      <w:r>
        <w:rPr>
          <w:color w:val="231F20"/>
          <w:spacing w:val="-5"/>
        </w:rPr>
        <w:t> </w:t>
      </w:r>
      <w:r>
        <w:rPr>
          <w:color w:val="231F20"/>
        </w:rPr>
        <w:t>оформленным</w:t>
      </w:r>
      <w:r>
        <w:rPr>
          <w:color w:val="231F20"/>
          <w:spacing w:val="-5"/>
        </w:rPr>
        <w:t> </w:t>
      </w:r>
      <w:r>
        <w:rPr>
          <w:color w:val="231F20"/>
        </w:rPr>
        <w:t>не</w:t>
      </w:r>
      <w:r>
        <w:rPr>
          <w:color w:val="231F20"/>
          <w:spacing w:val="-5"/>
        </w:rPr>
        <w:t> </w:t>
      </w:r>
      <w:r>
        <w:rPr>
          <w:color w:val="231F20"/>
        </w:rPr>
        <w:t>более</w:t>
      </w:r>
      <w:r>
        <w:rPr>
          <w:color w:val="231F20"/>
          <w:spacing w:val="-5"/>
        </w:rPr>
        <w:t> </w:t>
      </w:r>
      <w:r>
        <w:rPr>
          <w:color w:val="231F20"/>
        </w:rPr>
        <w:t>чем</w:t>
      </w:r>
      <w:r>
        <w:rPr>
          <w:color w:val="231F20"/>
          <w:spacing w:val="-5"/>
        </w:rPr>
        <w:t> </w:t>
      </w:r>
      <w:r>
        <w:rPr>
          <w:color w:val="231F20"/>
        </w:rPr>
        <w:t>на 1</w:t>
      </w:r>
      <w:r>
        <w:rPr>
          <w:color w:val="231F20"/>
          <w:spacing w:val="-12"/>
        </w:rPr>
        <w:t> </w:t>
      </w:r>
      <w:r>
        <w:rPr>
          <w:color w:val="231F20"/>
        </w:rPr>
        <w:t>лист</w:t>
      </w:r>
      <w:r>
        <w:rPr>
          <w:color w:val="231F20"/>
          <w:spacing w:val="-12"/>
        </w:rPr>
        <w:t> </w:t>
      </w:r>
      <w:r>
        <w:rPr>
          <w:color w:val="231F20"/>
        </w:rPr>
        <w:t>формата</w:t>
      </w:r>
      <w:r>
        <w:rPr>
          <w:color w:val="231F20"/>
          <w:spacing w:val="-12"/>
        </w:rPr>
        <w:t> </w:t>
      </w:r>
      <w:r>
        <w:rPr>
          <w:color w:val="231F20"/>
        </w:rPr>
        <w:t>А4,</w:t>
      </w:r>
      <w:r>
        <w:rPr>
          <w:color w:val="231F20"/>
          <w:spacing w:val="-12"/>
        </w:rPr>
        <w:t> </w:t>
      </w:r>
      <w:r>
        <w:rPr>
          <w:color w:val="231F20"/>
        </w:rPr>
        <w:t>где</w:t>
      </w:r>
      <w:r>
        <w:rPr>
          <w:color w:val="231F20"/>
          <w:spacing w:val="-12"/>
        </w:rPr>
        <w:t> </w:t>
      </w:r>
      <w:r>
        <w:rPr>
          <w:color w:val="231F20"/>
        </w:rPr>
        <w:t>тезисно</w:t>
      </w:r>
      <w:r>
        <w:rPr>
          <w:color w:val="231F20"/>
          <w:spacing w:val="-12"/>
        </w:rPr>
        <w:t> </w:t>
      </w:r>
      <w:r>
        <w:rPr>
          <w:color w:val="231F20"/>
        </w:rPr>
        <w:t>изложены</w:t>
      </w:r>
      <w:r>
        <w:rPr>
          <w:color w:val="231F20"/>
          <w:spacing w:val="-12"/>
        </w:rPr>
        <w:t> </w:t>
      </w:r>
      <w:r>
        <w:rPr>
          <w:color w:val="231F20"/>
        </w:rPr>
        <w:t>основные</w:t>
      </w:r>
      <w:r>
        <w:rPr>
          <w:color w:val="231F20"/>
          <w:spacing w:val="-12"/>
        </w:rPr>
        <w:t> </w:t>
      </w:r>
      <w:r>
        <w:rPr>
          <w:color w:val="231F20"/>
        </w:rPr>
        <w:t>положения,</w:t>
      </w:r>
      <w:r>
        <w:rPr>
          <w:color w:val="231F20"/>
          <w:spacing w:val="-12"/>
        </w:rPr>
        <w:t> </w:t>
      </w:r>
      <w:r>
        <w:rPr>
          <w:color w:val="231F20"/>
        </w:rPr>
        <w:t>выработанные</w:t>
      </w:r>
      <w:r>
        <w:rPr>
          <w:color w:val="231F20"/>
          <w:spacing w:val="-12"/>
        </w:rPr>
        <w:t> </w:t>
      </w:r>
      <w:r>
        <w:rPr>
          <w:color w:val="231F20"/>
        </w:rPr>
        <w:t>на</w:t>
      </w:r>
      <w:r>
        <w:rPr>
          <w:color w:val="231F20"/>
          <w:spacing w:val="-12"/>
        </w:rPr>
        <w:t> </w:t>
      </w:r>
      <w:r>
        <w:rPr>
          <w:color w:val="231F20"/>
        </w:rPr>
        <w:t>ме- тодическом</w:t>
      </w:r>
      <w:r>
        <w:rPr>
          <w:color w:val="231F20"/>
          <w:spacing w:val="-12"/>
        </w:rPr>
        <w:t> </w:t>
      </w:r>
      <w:r>
        <w:rPr>
          <w:color w:val="231F20"/>
        </w:rPr>
        <w:t>семинаре.</w:t>
      </w:r>
      <w:r>
        <w:rPr>
          <w:color w:val="231F20"/>
          <w:spacing w:val="-12"/>
        </w:rPr>
        <w:t> </w:t>
      </w:r>
      <w:r>
        <w:rPr>
          <w:color w:val="231F20"/>
        </w:rPr>
        <w:t>Так,</w:t>
      </w:r>
      <w:r>
        <w:rPr>
          <w:color w:val="231F20"/>
          <w:spacing w:val="-12"/>
        </w:rPr>
        <w:t> </w:t>
      </w:r>
      <w:r>
        <w:rPr>
          <w:color w:val="231F20"/>
        </w:rPr>
        <w:t>например,</w:t>
      </w:r>
      <w:r>
        <w:rPr>
          <w:color w:val="231F20"/>
          <w:spacing w:val="-12"/>
        </w:rPr>
        <w:t> </w:t>
      </w:r>
      <w:r>
        <w:rPr>
          <w:color w:val="231F20"/>
        </w:rPr>
        <w:t>если</w:t>
      </w:r>
      <w:r>
        <w:rPr>
          <w:color w:val="231F20"/>
          <w:spacing w:val="-12"/>
        </w:rPr>
        <w:t> </w:t>
      </w:r>
      <w:r>
        <w:rPr>
          <w:color w:val="231F20"/>
        </w:rPr>
        <w:t>темой</w:t>
      </w:r>
      <w:r>
        <w:rPr>
          <w:color w:val="231F20"/>
          <w:spacing w:val="-12"/>
        </w:rPr>
        <w:t> </w:t>
      </w:r>
      <w:r>
        <w:rPr>
          <w:color w:val="231F20"/>
        </w:rPr>
        <w:t>интерактивного</w:t>
      </w:r>
      <w:r>
        <w:rPr>
          <w:color w:val="231F20"/>
          <w:spacing w:val="-12"/>
        </w:rPr>
        <w:t> </w:t>
      </w:r>
      <w:r>
        <w:rPr>
          <w:color w:val="231F20"/>
        </w:rPr>
        <w:t>семинара</w:t>
      </w:r>
      <w:r>
        <w:rPr>
          <w:color w:val="231F20"/>
          <w:spacing w:val="-12"/>
        </w:rPr>
        <w:t> </w:t>
      </w:r>
      <w:r>
        <w:rPr>
          <w:color w:val="231F20"/>
        </w:rPr>
        <w:t>было</w:t>
      </w:r>
      <w:r>
        <w:rPr>
          <w:color w:val="231F20"/>
          <w:spacing w:val="-12"/>
        </w:rPr>
        <w:t> </w:t>
      </w:r>
      <w:r>
        <w:rPr>
          <w:color w:val="231F20"/>
        </w:rPr>
        <w:t>вза- имодействие</w:t>
      </w:r>
      <w:r>
        <w:rPr>
          <w:color w:val="231F20"/>
          <w:spacing w:val="-11"/>
        </w:rPr>
        <w:t> </w:t>
      </w:r>
      <w:r>
        <w:rPr>
          <w:color w:val="231F20"/>
        </w:rPr>
        <w:t>педагога</w:t>
      </w:r>
      <w:r>
        <w:rPr>
          <w:color w:val="231F20"/>
          <w:spacing w:val="-11"/>
        </w:rPr>
        <w:t> </w:t>
      </w:r>
      <w:r>
        <w:rPr>
          <w:color w:val="231F20"/>
        </w:rPr>
        <w:t>с</w:t>
      </w:r>
      <w:r>
        <w:rPr>
          <w:color w:val="231F20"/>
          <w:spacing w:val="-11"/>
        </w:rPr>
        <w:t> </w:t>
      </w:r>
      <w:r>
        <w:rPr>
          <w:color w:val="231F20"/>
        </w:rPr>
        <w:t>родителями</w:t>
      </w:r>
      <w:r>
        <w:rPr>
          <w:color w:val="231F20"/>
          <w:spacing w:val="-11"/>
        </w:rPr>
        <w:t> </w:t>
      </w:r>
      <w:r>
        <w:rPr>
          <w:color w:val="231F20"/>
        </w:rPr>
        <w:t>ученика-мигранта,</w:t>
      </w:r>
      <w:r>
        <w:rPr>
          <w:color w:val="231F20"/>
          <w:spacing w:val="-11"/>
        </w:rPr>
        <w:t> </w:t>
      </w:r>
      <w:r>
        <w:rPr>
          <w:color w:val="231F20"/>
        </w:rPr>
        <w:t>оформление</w:t>
      </w:r>
      <w:r>
        <w:rPr>
          <w:color w:val="231F20"/>
          <w:spacing w:val="-11"/>
        </w:rPr>
        <w:t> </w:t>
      </w:r>
      <w:r>
        <w:rPr>
          <w:color w:val="231F20"/>
        </w:rPr>
        <w:t>памятки</w:t>
      </w:r>
      <w:r>
        <w:rPr>
          <w:color w:val="231F20"/>
          <w:spacing w:val="-11"/>
        </w:rPr>
        <w:t> </w:t>
      </w:r>
      <w:r>
        <w:rPr>
          <w:color w:val="231F20"/>
        </w:rPr>
        <w:t>предпо- лагает перечисление основных действий педагога в этом случае.</w:t>
      </w:r>
    </w:p>
    <w:p>
      <w:pPr>
        <w:pStyle w:val="BodyText"/>
        <w:spacing w:line="242" w:lineRule="auto" w:before="112"/>
      </w:pPr>
      <w:r>
        <w:rPr>
          <w:b/>
          <w:i/>
          <w:color w:val="231F20"/>
        </w:rPr>
        <w:t>Словарь допустимой </w:t>
      </w:r>
      <w:r>
        <w:rPr>
          <w:color w:val="231F20"/>
        </w:rPr>
        <w:t>коммуникации. Одним из частых затруднений во взаимо- действии педагога с учениками и их родителями является низкая сензитивность пе- дагогов</w:t>
      </w:r>
      <w:r>
        <w:rPr>
          <w:color w:val="231F20"/>
          <w:spacing w:val="19"/>
        </w:rPr>
        <w:t> </w:t>
      </w:r>
      <w:r>
        <w:rPr>
          <w:color w:val="231F20"/>
        </w:rPr>
        <w:t>по</w:t>
      </w:r>
      <w:r>
        <w:rPr>
          <w:color w:val="231F20"/>
          <w:spacing w:val="19"/>
        </w:rPr>
        <w:t> </w:t>
      </w:r>
      <w:r>
        <w:rPr>
          <w:color w:val="231F20"/>
        </w:rPr>
        <w:t>отношению</w:t>
      </w:r>
      <w:r>
        <w:rPr>
          <w:color w:val="231F20"/>
          <w:spacing w:val="19"/>
        </w:rPr>
        <w:t> </w:t>
      </w:r>
      <w:r>
        <w:rPr>
          <w:color w:val="231F20"/>
        </w:rPr>
        <w:t>к</w:t>
      </w:r>
      <w:r>
        <w:rPr>
          <w:color w:val="231F20"/>
          <w:spacing w:val="19"/>
        </w:rPr>
        <w:t> </w:t>
      </w:r>
      <w:r>
        <w:rPr>
          <w:color w:val="231F20"/>
        </w:rPr>
        <w:t>особенностям</w:t>
      </w:r>
      <w:r>
        <w:rPr>
          <w:color w:val="231F20"/>
          <w:spacing w:val="19"/>
        </w:rPr>
        <w:t> </w:t>
      </w:r>
      <w:r>
        <w:rPr>
          <w:color w:val="231F20"/>
        </w:rPr>
        <w:t>вербальной</w:t>
      </w:r>
      <w:r>
        <w:rPr>
          <w:color w:val="231F20"/>
          <w:spacing w:val="19"/>
        </w:rPr>
        <w:t> </w:t>
      </w:r>
      <w:r>
        <w:rPr>
          <w:color w:val="231F20"/>
        </w:rPr>
        <w:t>и</w:t>
      </w:r>
      <w:r>
        <w:rPr>
          <w:color w:val="231F20"/>
          <w:spacing w:val="19"/>
        </w:rPr>
        <w:t> </w:t>
      </w:r>
      <w:r>
        <w:rPr>
          <w:color w:val="231F20"/>
        </w:rPr>
        <w:t>невербальной</w:t>
      </w:r>
      <w:r>
        <w:rPr>
          <w:color w:val="231F20"/>
          <w:spacing w:val="19"/>
        </w:rPr>
        <w:t> </w:t>
      </w:r>
      <w:r>
        <w:rPr>
          <w:color w:val="231F20"/>
        </w:rPr>
        <w:t>коммуникации с представителями других культур. В подобного рода словаре могут быть указаны наиболее</w:t>
      </w:r>
      <w:r>
        <w:rPr>
          <w:color w:val="231F20"/>
          <w:spacing w:val="-13"/>
        </w:rPr>
        <w:t> </w:t>
      </w:r>
      <w:r>
        <w:rPr>
          <w:color w:val="231F20"/>
        </w:rPr>
        <w:t>распространенные</w:t>
      </w:r>
      <w:r>
        <w:rPr>
          <w:color w:val="231F20"/>
          <w:spacing w:val="-12"/>
        </w:rPr>
        <w:t> </w:t>
      </w:r>
      <w:r>
        <w:rPr>
          <w:color w:val="231F20"/>
        </w:rPr>
        <w:t>и</w:t>
      </w:r>
      <w:r>
        <w:rPr>
          <w:color w:val="231F20"/>
          <w:spacing w:val="-13"/>
        </w:rPr>
        <w:t> </w:t>
      </w:r>
      <w:r>
        <w:rPr>
          <w:color w:val="231F20"/>
        </w:rPr>
        <w:t>принятые</w:t>
      </w:r>
      <w:r>
        <w:rPr>
          <w:color w:val="231F20"/>
          <w:spacing w:val="-12"/>
        </w:rPr>
        <w:t> </w:t>
      </w:r>
      <w:r>
        <w:rPr>
          <w:color w:val="231F20"/>
        </w:rPr>
        <w:t>в</w:t>
      </w:r>
      <w:r>
        <w:rPr>
          <w:color w:val="231F20"/>
          <w:spacing w:val="-13"/>
        </w:rPr>
        <w:t> </w:t>
      </w:r>
      <w:r>
        <w:rPr>
          <w:color w:val="231F20"/>
        </w:rPr>
        <w:t>каждой</w:t>
      </w:r>
      <w:r>
        <w:rPr>
          <w:color w:val="231F20"/>
          <w:spacing w:val="-12"/>
        </w:rPr>
        <w:t> </w:t>
      </w:r>
      <w:r>
        <w:rPr>
          <w:color w:val="231F20"/>
        </w:rPr>
        <w:t>культуре</w:t>
      </w:r>
      <w:r>
        <w:rPr>
          <w:color w:val="231F20"/>
          <w:spacing w:val="-13"/>
        </w:rPr>
        <w:t> </w:t>
      </w:r>
      <w:r>
        <w:rPr>
          <w:color w:val="231F20"/>
        </w:rPr>
        <w:t>стоп-слова,</w:t>
      </w:r>
      <w:r>
        <w:rPr>
          <w:color w:val="231F20"/>
          <w:spacing w:val="-12"/>
        </w:rPr>
        <w:t> </w:t>
      </w:r>
      <w:r>
        <w:rPr>
          <w:color w:val="231F20"/>
        </w:rPr>
        <w:t>невербальные </w:t>
      </w:r>
      <w:r>
        <w:rPr>
          <w:color w:val="231F20"/>
          <w:spacing w:val="-2"/>
        </w:rPr>
        <w:t>выражения эмоций, а также культурно-детерминированные формы ролевой коммуни- </w:t>
      </w:r>
      <w:r>
        <w:rPr>
          <w:color w:val="231F20"/>
        </w:rPr>
        <w:t>кации (учитель – ученик).</w:t>
      </w:r>
    </w:p>
    <w:p>
      <w:pPr>
        <w:pStyle w:val="BodyText"/>
        <w:spacing w:line="242" w:lineRule="auto" w:before="112"/>
        <w:ind w:right="138"/>
      </w:pPr>
      <w:r>
        <w:rPr>
          <w:b/>
          <w:i/>
          <w:color w:val="231F20"/>
        </w:rPr>
        <w:t>Алгоритмы действия в трудной педагогической ситуации, связанной с меж- культурным общением</w:t>
      </w:r>
      <w:r>
        <w:rPr>
          <w:color w:val="231F20"/>
        </w:rPr>
        <w:t>. Прежде чем описывать алгоритм действия, необходимо особо</w:t>
      </w:r>
      <w:r>
        <w:rPr>
          <w:color w:val="231F20"/>
          <w:spacing w:val="-3"/>
        </w:rPr>
        <w:t> </w:t>
      </w:r>
      <w:r>
        <w:rPr>
          <w:color w:val="231F20"/>
        </w:rPr>
        <w:t>отметить,</w:t>
      </w:r>
      <w:r>
        <w:rPr>
          <w:color w:val="231F20"/>
          <w:spacing w:val="-3"/>
        </w:rPr>
        <w:t> </w:t>
      </w:r>
      <w:r>
        <w:rPr>
          <w:color w:val="231F20"/>
        </w:rPr>
        <w:t>что</w:t>
      </w:r>
      <w:r>
        <w:rPr>
          <w:color w:val="231F20"/>
          <w:spacing w:val="-3"/>
        </w:rPr>
        <w:t> </w:t>
      </w:r>
      <w:r>
        <w:rPr>
          <w:color w:val="231F20"/>
        </w:rPr>
        <w:t>каждая</w:t>
      </w:r>
      <w:r>
        <w:rPr>
          <w:color w:val="231F20"/>
          <w:spacing w:val="-3"/>
        </w:rPr>
        <w:t> </w:t>
      </w:r>
      <w:r>
        <w:rPr>
          <w:color w:val="231F20"/>
        </w:rPr>
        <w:t>коммуникативная</w:t>
      </w:r>
      <w:r>
        <w:rPr>
          <w:color w:val="231F20"/>
          <w:spacing w:val="-3"/>
        </w:rPr>
        <w:t> </w:t>
      </w:r>
      <w:r>
        <w:rPr>
          <w:color w:val="231F20"/>
        </w:rPr>
        <w:t>ситуация</w:t>
      </w:r>
      <w:r>
        <w:rPr>
          <w:color w:val="231F20"/>
          <w:spacing w:val="-3"/>
        </w:rPr>
        <w:t> </w:t>
      </w:r>
      <w:r>
        <w:rPr>
          <w:color w:val="231F20"/>
        </w:rPr>
        <w:t>является</w:t>
      </w:r>
      <w:r>
        <w:rPr>
          <w:color w:val="231F20"/>
          <w:spacing w:val="-3"/>
        </w:rPr>
        <w:t> </w:t>
      </w:r>
      <w:r>
        <w:rPr>
          <w:color w:val="231F20"/>
        </w:rPr>
        <w:t>уникальной</w:t>
      </w:r>
      <w:r>
        <w:rPr>
          <w:color w:val="231F20"/>
          <w:spacing w:val="-3"/>
        </w:rPr>
        <w:t> </w:t>
      </w:r>
      <w:r>
        <w:rPr>
          <w:color w:val="231F20"/>
        </w:rPr>
        <w:t>и</w:t>
      </w:r>
      <w:r>
        <w:rPr>
          <w:color w:val="231F20"/>
          <w:spacing w:val="-3"/>
        </w:rPr>
        <w:t> </w:t>
      </w:r>
      <w:r>
        <w:rPr>
          <w:color w:val="231F20"/>
        </w:rPr>
        <w:t>реак- ция на нее требует всестороннего анализа: индивидуальности ребенка, социального контекста</w:t>
      </w:r>
      <w:r>
        <w:rPr>
          <w:color w:val="231F20"/>
          <w:spacing w:val="-9"/>
        </w:rPr>
        <w:t> </w:t>
      </w:r>
      <w:r>
        <w:rPr>
          <w:color w:val="231F20"/>
        </w:rPr>
        <w:t>ситуации,</w:t>
      </w:r>
      <w:r>
        <w:rPr>
          <w:color w:val="231F20"/>
          <w:spacing w:val="-9"/>
        </w:rPr>
        <w:t> </w:t>
      </w:r>
      <w:r>
        <w:rPr>
          <w:color w:val="231F20"/>
        </w:rPr>
        <w:t>самой</w:t>
      </w:r>
      <w:r>
        <w:rPr>
          <w:color w:val="231F20"/>
          <w:spacing w:val="-9"/>
        </w:rPr>
        <w:t> </w:t>
      </w:r>
      <w:r>
        <w:rPr>
          <w:color w:val="231F20"/>
        </w:rPr>
        <w:t>ситуации.</w:t>
      </w:r>
      <w:r>
        <w:rPr>
          <w:color w:val="231F20"/>
          <w:spacing w:val="-9"/>
        </w:rPr>
        <w:t> </w:t>
      </w:r>
      <w:r>
        <w:rPr>
          <w:color w:val="231F20"/>
        </w:rPr>
        <w:t>Тем</w:t>
      </w:r>
      <w:r>
        <w:rPr>
          <w:color w:val="231F20"/>
          <w:spacing w:val="-9"/>
        </w:rPr>
        <w:t> </w:t>
      </w:r>
      <w:r>
        <w:rPr>
          <w:color w:val="231F20"/>
        </w:rPr>
        <w:t>не</w:t>
      </w:r>
      <w:r>
        <w:rPr>
          <w:color w:val="231F20"/>
          <w:spacing w:val="-9"/>
        </w:rPr>
        <w:t> </w:t>
      </w:r>
      <w:r>
        <w:rPr>
          <w:color w:val="231F20"/>
        </w:rPr>
        <w:t>менее</w:t>
      </w:r>
      <w:r>
        <w:rPr>
          <w:color w:val="231F20"/>
          <w:spacing w:val="-9"/>
        </w:rPr>
        <w:t> </w:t>
      </w:r>
      <w:r>
        <w:rPr>
          <w:color w:val="231F20"/>
        </w:rPr>
        <w:t>именно</w:t>
      </w:r>
      <w:r>
        <w:rPr>
          <w:color w:val="231F20"/>
          <w:spacing w:val="-9"/>
        </w:rPr>
        <w:t> </w:t>
      </w:r>
      <w:r>
        <w:rPr>
          <w:color w:val="231F20"/>
        </w:rPr>
        <w:t>межкультурная</w:t>
      </w:r>
      <w:r>
        <w:rPr>
          <w:color w:val="231F20"/>
          <w:spacing w:val="-9"/>
        </w:rPr>
        <w:t> </w:t>
      </w:r>
      <w:r>
        <w:rPr>
          <w:color w:val="231F20"/>
        </w:rPr>
        <w:t>коммуни- кация может быть алгоритмизирована. В целом, алгоритм может иметь следующий вид (см. рис. 1).</w:t>
      </w:r>
    </w:p>
    <w:p>
      <w:pPr>
        <w:pStyle w:val="BodyText"/>
        <w:spacing w:after="0" w:line="242" w:lineRule="auto"/>
        <w:sectPr>
          <w:pgSz w:w="8400" w:h="11910"/>
          <w:pgMar w:header="0" w:footer="542"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pStyle w:val="BodyText"/>
        <w:ind w:left="0" w:right="0" w:firstLine="0"/>
        <w:jc w:val="left"/>
        <w:rPr>
          <w:rFonts w:ascii="Georgia"/>
          <w:sz w:val="12"/>
        </w:rPr>
      </w:pPr>
      <w:r>
        <w:rPr>
          <w:rFonts w:ascii="Georgia"/>
          <w:sz w:val="12"/>
        </w:rPr>
        <w:drawing>
          <wp:anchor distT="0" distB="0" distL="0" distR="0" allowOverlap="1" layoutInCell="1" locked="0" behindDoc="1" simplePos="0" relativeHeight="487620608">
            <wp:simplePos x="0" y="0"/>
            <wp:positionH relativeFrom="page">
              <wp:posOffset>373237</wp:posOffset>
            </wp:positionH>
            <wp:positionV relativeFrom="paragraph">
              <wp:posOffset>101829</wp:posOffset>
            </wp:positionV>
            <wp:extent cx="4581525" cy="5438775"/>
            <wp:effectExtent l="0" t="0" r="0" b="0"/>
            <wp:wrapTopAndBottom/>
            <wp:docPr id="107" name="Image 107"/>
            <wp:cNvGraphicFramePr>
              <a:graphicFrameLocks/>
            </wp:cNvGraphicFramePr>
            <a:graphic>
              <a:graphicData uri="http://schemas.openxmlformats.org/drawingml/2006/picture">
                <pic:pic>
                  <pic:nvPicPr>
                    <pic:cNvPr id="107" name="Image 107"/>
                    <pic:cNvPicPr/>
                  </pic:nvPicPr>
                  <pic:blipFill>
                    <a:blip r:embed="rId84" cstate="print"/>
                    <a:stretch>
                      <a:fillRect/>
                    </a:stretch>
                  </pic:blipFill>
                  <pic:spPr>
                    <a:xfrm>
                      <a:off x="0" y="0"/>
                      <a:ext cx="4581525" cy="5438775"/>
                    </a:xfrm>
                    <a:prstGeom prst="rect">
                      <a:avLst/>
                    </a:prstGeom>
                  </pic:spPr>
                </pic:pic>
              </a:graphicData>
            </a:graphic>
          </wp:anchor>
        </w:drawing>
      </w:r>
    </w:p>
    <w:p>
      <w:pPr>
        <w:spacing w:before="70"/>
        <w:ind w:left="283" w:right="0" w:firstLine="0"/>
        <w:jc w:val="center"/>
        <w:rPr>
          <w:i/>
          <w:sz w:val="18"/>
        </w:rPr>
      </w:pPr>
      <w:r>
        <w:rPr>
          <w:i/>
          <w:color w:val="231F20"/>
          <w:sz w:val="18"/>
        </w:rPr>
        <w:t>Рис.</w:t>
      </w:r>
      <w:r>
        <w:rPr>
          <w:i/>
          <w:color w:val="231F20"/>
          <w:spacing w:val="-2"/>
          <w:sz w:val="18"/>
        </w:rPr>
        <w:t> </w:t>
      </w:r>
      <w:r>
        <w:rPr>
          <w:i/>
          <w:color w:val="231F20"/>
          <w:sz w:val="18"/>
        </w:rPr>
        <w:t>1.</w:t>
      </w:r>
      <w:r>
        <w:rPr>
          <w:i/>
          <w:color w:val="231F20"/>
          <w:spacing w:val="-2"/>
          <w:sz w:val="18"/>
        </w:rPr>
        <w:t> </w:t>
      </w:r>
      <w:r>
        <w:rPr>
          <w:i/>
          <w:color w:val="231F20"/>
          <w:sz w:val="18"/>
        </w:rPr>
        <w:t>Алгоритм</w:t>
      </w:r>
      <w:r>
        <w:rPr>
          <w:i/>
          <w:color w:val="231F20"/>
          <w:spacing w:val="-2"/>
          <w:sz w:val="18"/>
        </w:rPr>
        <w:t> </w:t>
      </w:r>
      <w:r>
        <w:rPr>
          <w:i/>
          <w:color w:val="231F20"/>
          <w:sz w:val="18"/>
        </w:rPr>
        <w:t>действий</w:t>
      </w:r>
      <w:r>
        <w:rPr>
          <w:i/>
          <w:color w:val="231F20"/>
          <w:spacing w:val="-2"/>
          <w:sz w:val="18"/>
        </w:rPr>
        <w:t> </w:t>
      </w:r>
      <w:r>
        <w:rPr>
          <w:i/>
          <w:color w:val="231F20"/>
          <w:sz w:val="18"/>
        </w:rPr>
        <w:t>в</w:t>
      </w:r>
      <w:r>
        <w:rPr>
          <w:i/>
          <w:color w:val="231F20"/>
          <w:spacing w:val="-2"/>
          <w:sz w:val="18"/>
        </w:rPr>
        <w:t> </w:t>
      </w:r>
      <w:r>
        <w:rPr>
          <w:i/>
          <w:color w:val="231F20"/>
          <w:sz w:val="18"/>
        </w:rPr>
        <w:t>трудной</w:t>
      </w:r>
      <w:r>
        <w:rPr>
          <w:i/>
          <w:color w:val="231F20"/>
          <w:spacing w:val="-1"/>
          <w:sz w:val="18"/>
        </w:rPr>
        <w:t> </w:t>
      </w:r>
      <w:r>
        <w:rPr>
          <w:i/>
          <w:color w:val="231F20"/>
          <w:spacing w:val="-2"/>
          <w:sz w:val="18"/>
        </w:rPr>
        <w:t>ситуации</w:t>
      </w:r>
    </w:p>
    <w:p>
      <w:pPr>
        <w:pStyle w:val="BodyText"/>
        <w:spacing w:before="23"/>
        <w:ind w:left="0" w:right="0" w:firstLine="0"/>
        <w:jc w:val="left"/>
        <w:rPr>
          <w:i/>
          <w:sz w:val="18"/>
        </w:rPr>
      </w:pPr>
    </w:p>
    <w:p>
      <w:pPr>
        <w:pStyle w:val="BodyText"/>
        <w:spacing w:line="235" w:lineRule="auto"/>
      </w:pPr>
      <w:r>
        <w:rPr>
          <w:color w:val="231F20"/>
        </w:rPr>
        <w:t>В качестве примера алгоритмизации может быть рассмотрен такой случай. Уче- </w:t>
      </w:r>
      <w:r>
        <w:rPr>
          <w:color w:val="231F20"/>
          <w:spacing w:val="-2"/>
        </w:rPr>
        <w:t>ник-мигрант</w:t>
      </w:r>
      <w:r>
        <w:rPr>
          <w:color w:val="231F20"/>
          <w:spacing w:val="-5"/>
        </w:rPr>
        <w:t> </w:t>
      </w:r>
      <w:r>
        <w:rPr>
          <w:color w:val="231F20"/>
          <w:spacing w:val="-2"/>
        </w:rPr>
        <w:t>не</w:t>
      </w:r>
      <w:r>
        <w:rPr>
          <w:color w:val="231F20"/>
          <w:spacing w:val="-5"/>
        </w:rPr>
        <w:t> </w:t>
      </w:r>
      <w:r>
        <w:rPr>
          <w:color w:val="231F20"/>
          <w:spacing w:val="-2"/>
        </w:rPr>
        <w:t>сделал</w:t>
      </w:r>
      <w:r>
        <w:rPr>
          <w:color w:val="231F20"/>
          <w:spacing w:val="-5"/>
        </w:rPr>
        <w:t> </w:t>
      </w:r>
      <w:r>
        <w:rPr>
          <w:color w:val="231F20"/>
          <w:spacing w:val="-2"/>
        </w:rPr>
        <w:t>домашнее</w:t>
      </w:r>
      <w:r>
        <w:rPr>
          <w:color w:val="231F20"/>
          <w:spacing w:val="-5"/>
        </w:rPr>
        <w:t> </w:t>
      </w:r>
      <w:r>
        <w:rPr>
          <w:color w:val="231F20"/>
          <w:spacing w:val="-2"/>
        </w:rPr>
        <w:t>задание</w:t>
      </w:r>
      <w:r>
        <w:rPr>
          <w:color w:val="231F20"/>
          <w:spacing w:val="-5"/>
        </w:rPr>
        <w:t> </w:t>
      </w:r>
      <w:r>
        <w:rPr>
          <w:color w:val="231F20"/>
          <w:spacing w:val="-2"/>
        </w:rPr>
        <w:t>по</w:t>
      </w:r>
      <w:r>
        <w:rPr>
          <w:color w:val="231F20"/>
          <w:spacing w:val="-5"/>
        </w:rPr>
        <w:t> </w:t>
      </w:r>
      <w:r>
        <w:rPr>
          <w:color w:val="231F20"/>
          <w:spacing w:val="-2"/>
        </w:rPr>
        <w:t>математике.</w:t>
      </w:r>
      <w:r>
        <w:rPr>
          <w:color w:val="231F20"/>
          <w:spacing w:val="-5"/>
        </w:rPr>
        <w:t> </w:t>
      </w:r>
      <w:r>
        <w:rPr>
          <w:color w:val="231F20"/>
          <w:spacing w:val="-2"/>
        </w:rPr>
        <w:t>Если</w:t>
      </w:r>
      <w:r>
        <w:rPr>
          <w:color w:val="231F20"/>
          <w:spacing w:val="-5"/>
        </w:rPr>
        <w:t> </w:t>
      </w:r>
      <w:r>
        <w:rPr>
          <w:color w:val="231F20"/>
          <w:spacing w:val="-2"/>
        </w:rPr>
        <w:t>это</w:t>
      </w:r>
      <w:r>
        <w:rPr>
          <w:color w:val="231F20"/>
          <w:spacing w:val="-5"/>
        </w:rPr>
        <w:t> </w:t>
      </w:r>
      <w:r>
        <w:rPr>
          <w:color w:val="231F20"/>
          <w:spacing w:val="-2"/>
        </w:rPr>
        <w:t>не</w:t>
      </w:r>
      <w:r>
        <w:rPr>
          <w:color w:val="231F20"/>
          <w:spacing w:val="-5"/>
        </w:rPr>
        <w:t> </w:t>
      </w:r>
      <w:r>
        <w:rPr>
          <w:color w:val="231F20"/>
          <w:spacing w:val="-2"/>
        </w:rPr>
        <w:t>систематическая </w:t>
      </w:r>
      <w:r>
        <w:rPr>
          <w:color w:val="231F20"/>
        </w:rPr>
        <w:t>ситуация, педагог решает еще раз сформулировать правила, принятые на его уроке (в</w:t>
      </w:r>
      <w:r>
        <w:rPr>
          <w:color w:val="231F20"/>
          <w:spacing w:val="-9"/>
        </w:rPr>
        <w:t> </w:t>
      </w:r>
      <w:r>
        <w:rPr>
          <w:color w:val="231F20"/>
        </w:rPr>
        <w:t>том</w:t>
      </w:r>
      <w:r>
        <w:rPr>
          <w:color w:val="231F20"/>
          <w:spacing w:val="-9"/>
        </w:rPr>
        <w:t> </w:t>
      </w:r>
      <w:r>
        <w:rPr>
          <w:color w:val="231F20"/>
        </w:rPr>
        <w:t>числе</w:t>
      </w:r>
      <w:r>
        <w:rPr>
          <w:color w:val="231F20"/>
          <w:spacing w:val="-9"/>
        </w:rPr>
        <w:t> </w:t>
      </w:r>
      <w:r>
        <w:rPr>
          <w:color w:val="231F20"/>
        </w:rPr>
        <w:t>необходимость</w:t>
      </w:r>
      <w:r>
        <w:rPr>
          <w:color w:val="231F20"/>
          <w:spacing w:val="-9"/>
        </w:rPr>
        <w:t> </w:t>
      </w:r>
      <w:r>
        <w:rPr>
          <w:color w:val="231F20"/>
        </w:rPr>
        <w:t>выполнения</w:t>
      </w:r>
      <w:r>
        <w:rPr>
          <w:color w:val="231F20"/>
          <w:spacing w:val="-9"/>
        </w:rPr>
        <w:t> </w:t>
      </w:r>
      <w:r>
        <w:rPr>
          <w:color w:val="231F20"/>
        </w:rPr>
        <w:t>домашних</w:t>
      </w:r>
      <w:r>
        <w:rPr>
          <w:color w:val="231F20"/>
          <w:spacing w:val="-9"/>
        </w:rPr>
        <w:t> </w:t>
      </w:r>
      <w:r>
        <w:rPr>
          <w:color w:val="231F20"/>
        </w:rPr>
        <w:t>заданий).</w:t>
      </w:r>
      <w:r>
        <w:rPr>
          <w:color w:val="231F20"/>
          <w:spacing w:val="-9"/>
        </w:rPr>
        <w:t> </w:t>
      </w:r>
      <w:r>
        <w:rPr>
          <w:color w:val="231F20"/>
        </w:rPr>
        <w:t>Если</w:t>
      </w:r>
      <w:r>
        <w:rPr>
          <w:color w:val="231F20"/>
          <w:spacing w:val="-9"/>
        </w:rPr>
        <w:t> </w:t>
      </w:r>
      <w:r>
        <w:rPr>
          <w:color w:val="231F20"/>
        </w:rPr>
        <w:t>же</w:t>
      </w:r>
      <w:r>
        <w:rPr>
          <w:color w:val="231F20"/>
          <w:spacing w:val="-9"/>
        </w:rPr>
        <w:t> </w:t>
      </w:r>
      <w:r>
        <w:rPr>
          <w:color w:val="231F20"/>
        </w:rPr>
        <w:t>невыполнение домашнего</w:t>
      </w:r>
      <w:r>
        <w:rPr>
          <w:color w:val="231F20"/>
          <w:spacing w:val="3"/>
        </w:rPr>
        <w:t> </w:t>
      </w:r>
      <w:r>
        <w:rPr>
          <w:color w:val="231F20"/>
        </w:rPr>
        <w:t>задания</w:t>
      </w:r>
      <w:r>
        <w:rPr>
          <w:color w:val="231F20"/>
          <w:spacing w:val="6"/>
        </w:rPr>
        <w:t> </w:t>
      </w:r>
      <w:r>
        <w:rPr>
          <w:color w:val="231F20"/>
        </w:rPr>
        <w:t>является</w:t>
      </w:r>
      <w:r>
        <w:rPr>
          <w:color w:val="231F20"/>
          <w:spacing w:val="6"/>
        </w:rPr>
        <w:t> </w:t>
      </w:r>
      <w:r>
        <w:rPr>
          <w:color w:val="231F20"/>
        </w:rPr>
        <w:t>систематической</w:t>
      </w:r>
      <w:r>
        <w:rPr>
          <w:color w:val="231F20"/>
          <w:spacing w:val="5"/>
        </w:rPr>
        <w:t> </w:t>
      </w:r>
      <w:r>
        <w:rPr>
          <w:color w:val="231F20"/>
        </w:rPr>
        <w:t>проблемой,</w:t>
      </w:r>
      <w:r>
        <w:rPr>
          <w:color w:val="231F20"/>
          <w:spacing w:val="6"/>
        </w:rPr>
        <w:t> </w:t>
      </w:r>
      <w:r>
        <w:rPr>
          <w:color w:val="231F20"/>
        </w:rPr>
        <w:t>педагог</w:t>
      </w:r>
      <w:r>
        <w:rPr>
          <w:color w:val="231F20"/>
          <w:spacing w:val="6"/>
        </w:rPr>
        <w:t> </w:t>
      </w:r>
      <w:r>
        <w:rPr>
          <w:color w:val="231F20"/>
        </w:rPr>
        <w:t>принимает</w:t>
      </w:r>
      <w:r>
        <w:rPr>
          <w:color w:val="231F20"/>
          <w:spacing w:val="6"/>
        </w:rPr>
        <w:t> </w:t>
      </w:r>
      <w:r>
        <w:rPr>
          <w:color w:val="231F20"/>
          <w:spacing w:val="-2"/>
        </w:rPr>
        <w:t>реше-</w:t>
      </w:r>
    </w:p>
    <w:p>
      <w:pPr>
        <w:pStyle w:val="BodyText"/>
        <w:spacing w:after="0" w:line="235" w:lineRule="auto"/>
        <w:sectPr>
          <w:pgSz w:w="8400" w:h="11910"/>
          <w:pgMar w:header="0" w:footer="542" w:top="400" w:bottom="740" w:left="425" w:right="425"/>
        </w:sectPr>
      </w:pPr>
    </w:p>
    <w:p>
      <w:pPr>
        <w:pStyle w:val="ListParagraph"/>
        <w:numPr>
          <w:ilvl w:val="1"/>
          <w:numId w:val="75"/>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Организация</w:t>
      </w:r>
      <w:r>
        <w:rPr>
          <w:rFonts w:ascii="Georgia" w:hAnsi="Georgia"/>
          <w:color w:val="231F20"/>
          <w:spacing w:val="1"/>
          <w:sz w:val="18"/>
        </w:rPr>
        <w:t> </w:t>
      </w:r>
      <w:r>
        <w:rPr>
          <w:rFonts w:ascii="Georgia" w:hAnsi="Georgia"/>
          <w:color w:val="231F20"/>
          <w:sz w:val="18"/>
        </w:rPr>
        <w:t>методической</w:t>
      </w:r>
      <w:r>
        <w:rPr>
          <w:rFonts w:ascii="Georgia" w:hAnsi="Georgia"/>
          <w:color w:val="231F20"/>
          <w:spacing w:val="1"/>
          <w:sz w:val="18"/>
        </w:rPr>
        <w:t> </w:t>
      </w:r>
      <w:r>
        <w:rPr>
          <w:rFonts w:ascii="Georgia" w:hAnsi="Georgia"/>
          <w:color w:val="231F20"/>
          <w:sz w:val="18"/>
        </w:rPr>
        <w:t>поддержки</w:t>
      </w:r>
      <w:r>
        <w:rPr>
          <w:rFonts w:ascii="Georgia" w:hAnsi="Georgia"/>
          <w:color w:val="231F20"/>
          <w:spacing w:val="1"/>
          <w:sz w:val="18"/>
        </w:rPr>
        <w:t> </w:t>
      </w:r>
      <w:r>
        <w:rPr>
          <w:rFonts w:ascii="Georgia" w:hAnsi="Georgia"/>
          <w:color w:val="231F20"/>
          <w:sz w:val="18"/>
        </w:rPr>
        <w:t>деятельности</w:t>
      </w:r>
      <w:r>
        <w:rPr>
          <w:rFonts w:ascii="Georgia" w:hAnsi="Georgia"/>
          <w:color w:val="231F20"/>
          <w:spacing w:val="1"/>
          <w:sz w:val="18"/>
        </w:rPr>
        <w:t> </w:t>
      </w:r>
      <w:r>
        <w:rPr>
          <w:rFonts w:ascii="Georgia" w:hAnsi="Georgia"/>
          <w:color w:val="231F20"/>
          <w:sz w:val="18"/>
        </w:rPr>
        <w:t>педагогического</w:t>
      </w:r>
      <w:r>
        <w:rPr>
          <w:rFonts w:ascii="Georgia" w:hAnsi="Georgia"/>
          <w:color w:val="231F20"/>
          <w:spacing w:val="1"/>
          <w:sz w:val="18"/>
        </w:rPr>
        <w:t> </w:t>
      </w:r>
      <w:r>
        <w:rPr>
          <w:rFonts w:ascii="Georgia" w:hAnsi="Georgia"/>
          <w:color w:val="231F20"/>
          <w:spacing w:val="-5"/>
          <w:sz w:val="18"/>
        </w:rPr>
        <w:t>...</w:t>
      </w:r>
    </w:p>
    <w:p>
      <w:pPr>
        <w:pStyle w:val="BodyText"/>
        <w:spacing w:line="235" w:lineRule="auto" w:before="116"/>
        <w:ind w:firstLine="0"/>
      </w:pPr>
      <w:r>
        <w:rPr>
          <w:color w:val="231F20"/>
        </w:rPr>
        <w:t>ние,</w:t>
      </w:r>
      <w:r>
        <w:rPr>
          <w:color w:val="231F20"/>
          <w:spacing w:val="-11"/>
        </w:rPr>
        <w:t> </w:t>
      </w:r>
      <w:r>
        <w:rPr>
          <w:color w:val="231F20"/>
        </w:rPr>
        <w:t>на</w:t>
      </w:r>
      <w:r>
        <w:rPr>
          <w:color w:val="231F20"/>
          <w:spacing w:val="-11"/>
        </w:rPr>
        <w:t> </w:t>
      </w:r>
      <w:r>
        <w:rPr>
          <w:color w:val="231F20"/>
        </w:rPr>
        <w:t>какой</w:t>
      </w:r>
      <w:r>
        <w:rPr>
          <w:color w:val="231F20"/>
          <w:spacing w:val="-11"/>
        </w:rPr>
        <w:t> </w:t>
      </w:r>
      <w:r>
        <w:rPr>
          <w:color w:val="231F20"/>
        </w:rPr>
        <w:t>ресурс</w:t>
      </w:r>
      <w:r>
        <w:rPr>
          <w:color w:val="231F20"/>
          <w:spacing w:val="-11"/>
        </w:rPr>
        <w:t> </w:t>
      </w:r>
      <w:r>
        <w:rPr>
          <w:color w:val="231F20"/>
        </w:rPr>
        <w:t>опереться.</w:t>
      </w:r>
      <w:r>
        <w:rPr>
          <w:color w:val="231F20"/>
          <w:spacing w:val="-11"/>
        </w:rPr>
        <w:t> </w:t>
      </w:r>
      <w:r>
        <w:rPr>
          <w:color w:val="231F20"/>
        </w:rPr>
        <w:t>Он</w:t>
      </w:r>
      <w:r>
        <w:rPr>
          <w:color w:val="231F20"/>
          <w:spacing w:val="-11"/>
        </w:rPr>
        <w:t> </w:t>
      </w:r>
      <w:r>
        <w:rPr>
          <w:color w:val="231F20"/>
        </w:rPr>
        <w:t>может</w:t>
      </w:r>
      <w:r>
        <w:rPr>
          <w:color w:val="231F20"/>
          <w:spacing w:val="-11"/>
        </w:rPr>
        <w:t> </w:t>
      </w:r>
      <w:r>
        <w:rPr>
          <w:color w:val="231F20"/>
        </w:rPr>
        <w:t>обратиться</w:t>
      </w:r>
      <w:r>
        <w:rPr>
          <w:color w:val="231F20"/>
          <w:spacing w:val="-11"/>
        </w:rPr>
        <w:t> </w:t>
      </w:r>
      <w:r>
        <w:rPr>
          <w:color w:val="231F20"/>
        </w:rPr>
        <w:t>к</w:t>
      </w:r>
      <w:r>
        <w:rPr>
          <w:color w:val="231F20"/>
          <w:spacing w:val="-11"/>
        </w:rPr>
        <w:t> </w:t>
      </w:r>
      <w:r>
        <w:rPr>
          <w:color w:val="231F20"/>
        </w:rPr>
        <w:t>педагогу-психологу,</w:t>
      </w:r>
      <w:r>
        <w:rPr>
          <w:color w:val="231F20"/>
          <w:spacing w:val="-11"/>
        </w:rPr>
        <w:t> </w:t>
      </w:r>
      <w:r>
        <w:rPr>
          <w:color w:val="231F20"/>
        </w:rPr>
        <w:t>социаль- ному педагогу или к представителю администрации (например, к заместителю по воспитательной</w:t>
      </w:r>
      <w:r>
        <w:rPr>
          <w:color w:val="231F20"/>
          <w:spacing w:val="-1"/>
        </w:rPr>
        <w:t> </w:t>
      </w:r>
      <w:r>
        <w:rPr>
          <w:color w:val="231F20"/>
        </w:rPr>
        <w:t>работе).</w:t>
      </w:r>
      <w:r>
        <w:rPr>
          <w:color w:val="231F20"/>
          <w:spacing w:val="-2"/>
        </w:rPr>
        <w:t> </w:t>
      </w:r>
      <w:r>
        <w:rPr>
          <w:color w:val="231F20"/>
        </w:rPr>
        <w:t>И</w:t>
      </w:r>
      <w:r>
        <w:rPr>
          <w:color w:val="231F20"/>
          <w:spacing w:val="-1"/>
        </w:rPr>
        <w:t> </w:t>
      </w:r>
      <w:r>
        <w:rPr>
          <w:color w:val="231F20"/>
        </w:rPr>
        <w:t>дальнейшее</w:t>
      </w:r>
      <w:r>
        <w:rPr>
          <w:color w:val="231F20"/>
          <w:spacing w:val="-1"/>
        </w:rPr>
        <w:t> </w:t>
      </w:r>
      <w:r>
        <w:rPr>
          <w:color w:val="231F20"/>
        </w:rPr>
        <w:t>решение</w:t>
      </w:r>
      <w:r>
        <w:rPr>
          <w:color w:val="231F20"/>
          <w:spacing w:val="-1"/>
        </w:rPr>
        <w:t> </w:t>
      </w:r>
      <w:r>
        <w:rPr>
          <w:color w:val="231F20"/>
        </w:rPr>
        <w:t>данной</w:t>
      </w:r>
      <w:r>
        <w:rPr>
          <w:color w:val="231F20"/>
          <w:spacing w:val="-2"/>
        </w:rPr>
        <w:t> </w:t>
      </w:r>
      <w:r>
        <w:rPr>
          <w:color w:val="231F20"/>
        </w:rPr>
        <w:t>трудности</w:t>
      </w:r>
      <w:r>
        <w:rPr>
          <w:color w:val="231F20"/>
          <w:spacing w:val="-2"/>
        </w:rPr>
        <w:t> </w:t>
      </w:r>
      <w:r>
        <w:rPr>
          <w:color w:val="231F20"/>
        </w:rPr>
        <w:t>обеспечивается</w:t>
      </w:r>
      <w:r>
        <w:rPr>
          <w:color w:val="231F20"/>
          <w:spacing w:val="-2"/>
        </w:rPr>
        <w:t> </w:t>
      </w:r>
      <w:r>
        <w:rPr>
          <w:color w:val="231F20"/>
        </w:rPr>
        <w:t>с опорой на коллег.</w:t>
      </w:r>
    </w:p>
    <w:p>
      <w:pPr>
        <w:pStyle w:val="BodyText"/>
        <w:spacing w:line="235" w:lineRule="auto" w:before="116"/>
      </w:pPr>
      <w:r>
        <w:rPr>
          <w:b/>
          <w:i/>
          <w:color w:val="231F20"/>
        </w:rPr>
        <w:t>Информационная</w:t>
      </w:r>
      <w:r>
        <w:rPr>
          <w:b/>
          <w:i/>
          <w:color w:val="231F20"/>
          <w:spacing w:val="-12"/>
        </w:rPr>
        <w:t> </w:t>
      </w:r>
      <w:r>
        <w:rPr>
          <w:b/>
          <w:i/>
          <w:color w:val="231F20"/>
        </w:rPr>
        <w:t>листовка</w:t>
      </w:r>
      <w:r>
        <w:rPr>
          <w:b/>
          <w:i/>
          <w:color w:val="231F20"/>
          <w:spacing w:val="-12"/>
        </w:rPr>
        <w:t> </w:t>
      </w:r>
      <w:r>
        <w:rPr>
          <w:b/>
          <w:i/>
          <w:color w:val="231F20"/>
        </w:rPr>
        <w:t>об</w:t>
      </w:r>
      <w:r>
        <w:rPr>
          <w:b/>
          <w:i/>
          <w:color w:val="231F20"/>
          <w:spacing w:val="-12"/>
        </w:rPr>
        <w:t> </w:t>
      </w:r>
      <w:r>
        <w:rPr>
          <w:b/>
          <w:i/>
          <w:color w:val="231F20"/>
        </w:rPr>
        <w:t>этнической</w:t>
      </w:r>
      <w:r>
        <w:rPr>
          <w:b/>
          <w:i/>
          <w:color w:val="231F20"/>
          <w:spacing w:val="-12"/>
        </w:rPr>
        <w:t> </w:t>
      </w:r>
      <w:r>
        <w:rPr>
          <w:b/>
          <w:i/>
          <w:color w:val="231F20"/>
        </w:rPr>
        <w:t>культуре</w:t>
      </w:r>
      <w:r>
        <w:rPr>
          <w:color w:val="231F20"/>
        </w:rPr>
        <w:t>.</w:t>
      </w:r>
      <w:r>
        <w:rPr>
          <w:color w:val="231F20"/>
          <w:spacing w:val="-12"/>
        </w:rPr>
        <w:t> </w:t>
      </w:r>
      <w:r>
        <w:rPr>
          <w:color w:val="231F20"/>
        </w:rPr>
        <w:t>В</w:t>
      </w:r>
      <w:r>
        <w:rPr>
          <w:color w:val="231F20"/>
          <w:spacing w:val="-12"/>
        </w:rPr>
        <w:t> </w:t>
      </w:r>
      <w:r>
        <w:rPr>
          <w:color w:val="231F20"/>
        </w:rPr>
        <w:t>поликультурном</w:t>
      </w:r>
      <w:r>
        <w:rPr>
          <w:color w:val="231F20"/>
          <w:spacing w:val="-12"/>
        </w:rPr>
        <w:t> </w:t>
      </w:r>
      <w:r>
        <w:rPr>
          <w:color w:val="231F20"/>
        </w:rPr>
        <w:t>классе учатся представители разных народов. Отдельные традиции и обычаи могут высту- пать значимыми основаниями этнической идентичности ребенка-мигранта и в це- лом обеспечивать его эффективную социокультурную адаптацию при сохранении психологического</w:t>
      </w:r>
      <w:r>
        <w:rPr>
          <w:color w:val="231F20"/>
          <w:spacing w:val="-3"/>
        </w:rPr>
        <w:t> </w:t>
      </w:r>
      <w:r>
        <w:rPr>
          <w:color w:val="231F20"/>
        </w:rPr>
        <w:t>здоровья.</w:t>
      </w:r>
      <w:r>
        <w:rPr>
          <w:color w:val="231F20"/>
          <w:spacing w:val="-3"/>
        </w:rPr>
        <w:t> </w:t>
      </w:r>
      <w:r>
        <w:rPr>
          <w:color w:val="231F20"/>
        </w:rPr>
        <w:t>Подобного</w:t>
      </w:r>
      <w:r>
        <w:rPr>
          <w:color w:val="231F20"/>
          <w:spacing w:val="-3"/>
        </w:rPr>
        <w:t> </w:t>
      </w:r>
      <w:r>
        <w:rPr>
          <w:color w:val="231F20"/>
        </w:rPr>
        <w:t>рода</w:t>
      </w:r>
      <w:r>
        <w:rPr>
          <w:color w:val="231F20"/>
          <w:spacing w:val="-3"/>
        </w:rPr>
        <w:t> </w:t>
      </w:r>
      <w:r>
        <w:rPr>
          <w:color w:val="231F20"/>
        </w:rPr>
        <w:t>листовки</w:t>
      </w:r>
      <w:r>
        <w:rPr>
          <w:color w:val="231F20"/>
          <w:spacing w:val="-3"/>
        </w:rPr>
        <w:t> </w:t>
      </w:r>
      <w:r>
        <w:rPr>
          <w:color w:val="231F20"/>
        </w:rPr>
        <w:t>могут</w:t>
      </w:r>
      <w:r>
        <w:rPr>
          <w:color w:val="231F20"/>
          <w:spacing w:val="-3"/>
        </w:rPr>
        <w:t> </w:t>
      </w:r>
      <w:r>
        <w:rPr>
          <w:color w:val="231F20"/>
        </w:rPr>
        <w:t>разрабатываться</w:t>
      </w:r>
      <w:r>
        <w:rPr>
          <w:color w:val="231F20"/>
          <w:spacing w:val="-3"/>
        </w:rPr>
        <w:t> </w:t>
      </w:r>
      <w:r>
        <w:rPr>
          <w:color w:val="231F20"/>
        </w:rPr>
        <w:t>ШМО (с опорой на источники: </w:t>
      </w:r>
      <w:hyperlink r:id="rId85">
        <w:r>
          <w:rPr>
            <w:color w:val="2255A6"/>
            <w:u w:val="single" w:color="2255A6"/>
          </w:rPr>
          <w:t>https://iea-ras.ru/</w:t>
        </w:r>
      </w:hyperlink>
      <w:r>
        <w:rPr>
          <w:color w:val="231F20"/>
        </w:rPr>
        <w:t>) с привлечением родителей учащихся или </w:t>
      </w:r>
      <w:r>
        <w:rPr>
          <w:color w:val="231F20"/>
          <w:spacing w:val="-2"/>
        </w:rPr>
        <w:t>экспертов.</w:t>
      </w:r>
    </w:p>
    <w:p>
      <w:pPr>
        <w:pStyle w:val="BodyText"/>
        <w:spacing w:line="235" w:lineRule="auto" w:before="117"/>
      </w:pPr>
      <w:r>
        <w:rPr>
          <w:color w:val="231F20"/>
        </w:rPr>
        <w:t>Информационная</w:t>
      </w:r>
      <w:r>
        <w:rPr>
          <w:color w:val="231F20"/>
          <w:spacing w:val="-3"/>
        </w:rPr>
        <w:t> </w:t>
      </w:r>
      <w:r>
        <w:rPr>
          <w:color w:val="231F20"/>
        </w:rPr>
        <w:t>листовка</w:t>
      </w:r>
      <w:r>
        <w:rPr>
          <w:color w:val="231F20"/>
          <w:spacing w:val="-3"/>
        </w:rPr>
        <w:t> </w:t>
      </w:r>
      <w:r>
        <w:rPr>
          <w:color w:val="231F20"/>
        </w:rPr>
        <w:t>о</w:t>
      </w:r>
      <w:r>
        <w:rPr>
          <w:color w:val="231F20"/>
          <w:spacing w:val="-3"/>
        </w:rPr>
        <w:t> </w:t>
      </w:r>
      <w:r>
        <w:rPr>
          <w:color w:val="231F20"/>
        </w:rPr>
        <w:t>конфессиональных</w:t>
      </w:r>
      <w:r>
        <w:rPr>
          <w:color w:val="231F20"/>
          <w:spacing w:val="-3"/>
        </w:rPr>
        <w:t> </w:t>
      </w:r>
      <w:r>
        <w:rPr>
          <w:color w:val="231F20"/>
        </w:rPr>
        <w:t>особенностях.</w:t>
      </w:r>
      <w:r>
        <w:rPr>
          <w:color w:val="231F20"/>
          <w:spacing w:val="-3"/>
        </w:rPr>
        <w:t> </w:t>
      </w:r>
      <w:r>
        <w:rPr>
          <w:color w:val="231F20"/>
        </w:rPr>
        <w:t>Ученики-мигран- ты отличаются от других не только с точки зрения языка и этнической принадлеж- ности, но и с точки зрения религиозных практик. Например, в исламе существуют ритуальные и обрядовые действия, традиции поведения и общения с окружающи- ми, знание которых необходимо для успешной коммуникации педагога и ученика- мигранта, педагога и родителей ученика. Информация об особенностях исламской религии и ее приверженцев широко представлена в публикациях. Также экспертом</w:t>
      </w:r>
      <w:r>
        <w:rPr>
          <w:color w:val="231F20"/>
          <w:spacing w:val="80"/>
        </w:rPr>
        <w:t> </w:t>
      </w:r>
      <w:r>
        <w:rPr>
          <w:color w:val="231F20"/>
        </w:rPr>
        <w:t>в этом вопросе может выступить муфтий ближайшей к школе мечети или родители </w:t>
      </w:r>
      <w:r>
        <w:rPr>
          <w:color w:val="231F20"/>
          <w:spacing w:val="-2"/>
        </w:rPr>
        <w:t>ученика-мигранта.</w:t>
      </w:r>
    </w:p>
    <w:p>
      <w:pPr>
        <w:spacing w:line="206" w:lineRule="exact" w:before="114"/>
        <w:ind w:left="425" w:right="0" w:firstLine="0"/>
        <w:jc w:val="left"/>
        <w:rPr>
          <w:b/>
          <w:sz w:val="18"/>
        </w:rPr>
      </w:pPr>
      <w:r>
        <w:rPr>
          <w:b/>
          <w:color w:val="231F20"/>
          <w:spacing w:val="-2"/>
          <w:sz w:val="18"/>
        </w:rPr>
        <w:t>Литература</w:t>
      </w:r>
    </w:p>
    <w:p>
      <w:pPr>
        <w:pStyle w:val="ListParagraph"/>
        <w:numPr>
          <w:ilvl w:val="0"/>
          <w:numId w:val="76"/>
        </w:numPr>
        <w:tabs>
          <w:tab w:pos="708" w:val="left" w:leader="none"/>
        </w:tabs>
        <w:spacing w:line="240" w:lineRule="auto" w:before="0" w:after="0"/>
        <w:ind w:left="708" w:right="393" w:hanging="284"/>
        <w:jc w:val="both"/>
        <w:rPr>
          <w:sz w:val="18"/>
        </w:rPr>
      </w:pPr>
      <w:r>
        <w:rPr>
          <w:color w:val="231F20"/>
          <w:spacing w:val="-2"/>
          <w:sz w:val="18"/>
        </w:rPr>
        <w:t>Павлова</w:t>
      </w:r>
      <w:r>
        <w:rPr>
          <w:color w:val="231F20"/>
          <w:spacing w:val="-4"/>
          <w:sz w:val="18"/>
        </w:rPr>
        <w:t> </w:t>
      </w:r>
      <w:r>
        <w:rPr>
          <w:color w:val="231F20"/>
          <w:spacing w:val="-2"/>
          <w:sz w:val="18"/>
        </w:rPr>
        <w:t>О.С.,</w:t>
      </w:r>
      <w:r>
        <w:rPr>
          <w:color w:val="231F20"/>
          <w:spacing w:val="-4"/>
          <w:sz w:val="18"/>
        </w:rPr>
        <w:t> </w:t>
      </w:r>
      <w:r>
        <w:rPr>
          <w:color w:val="231F20"/>
          <w:spacing w:val="-2"/>
          <w:sz w:val="18"/>
        </w:rPr>
        <w:t>Хухлаев</w:t>
      </w:r>
      <w:r>
        <w:rPr>
          <w:color w:val="231F20"/>
          <w:spacing w:val="-4"/>
          <w:sz w:val="18"/>
        </w:rPr>
        <w:t> </w:t>
      </w:r>
      <w:r>
        <w:rPr>
          <w:color w:val="231F20"/>
          <w:spacing w:val="-2"/>
          <w:sz w:val="18"/>
        </w:rPr>
        <w:t>О.Е.,</w:t>
      </w:r>
      <w:r>
        <w:rPr>
          <w:color w:val="231F20"/>
          <w:spacing w:val="-4"/>
          <w:sz w:val="18"/>
        </w:rPr>
        <w:t> </w:t>
      </w:r>
      <w:r>
        <w:rPr>
          <w:color w:val="231F20"/>
          <w:spacing w:val="-2"/>
          <w:sz w:val="18"/>
        </w:rPr>
        <w:t>Бучек</w:t>
      </w:r>
      <w:r>
        <w:rPr>
          <w:color w:val="231F20"/>
          <w:spacing w:val="-4"/>
          <w:sz w:val="18"/>
        </w:rPr>
        <w:t> </w:t>
      </w:r>
      <w:r>
        <w:rPr>
          <w:color w:val="231F20"/>
          <w:spacing w:val="-2"/>
          <w:sz w:val="18"/>
        </w:rPr>
        <w:t>А.А.,</w:t>
      </w:r>
      <w:r>
        <w:rPr>
          <w:color w:val="231F20"/>
          <w:spacing w:val="-4"/>
          <w:sz w:val="18"/>
        </w:rPr>
        <w:t> </w:t>
      </w:r>
      <w:r>
        <w:rPr>
          <w:color w:val="231F20"/>
          <w:spacing w:val="-2"/>
          <w:sz w:val="18"/>
        </w:rPr>
        <w:t>Александрова</w:t>
      </w:r>
      <w:r>
        <w:rPr>
          <w:color w:val="231F20"/>
          <w:spacing w:val="-4"/>
          <w:sz w:val="18"/>
        </w:rPr>
        <w:t> </w:t>
      </w:r>
      <w:r>
        <w:rPr>
          <w:color w:val="231F20"/>
          <w:spacing w:val="-2"/>
          <w:sz w:val="18"/>
        </w:rPr>
        <w:t>Е.А.,</w:t>
      </w:r>
      <w:r>
        <w:rPr>
          <w:color w:val="231F20"/>
          <w:spacing w:val="-4"/>
          <w:sz w:val="18"/>
        </w:rPr>
        <w:t> </w:t>
      </w:r>
      <w:r>
        <w:rPr>
          <w:color w:val="231F20"/>
          <w:spacing w:val="-2"/>
          <w:sz w:val="18"/>
        </w:rPr>
        <w:t>Гаврюшина</w:t>
      </w:r>
      <w:r>
        <w:rPr>
          <w:color w:val="231F20"/>
          <w:spacing w:val="-4"/>
          <w:sz w:val="18"/>
        </w:rPr>
        <w:t> </w:t>
      </w:r>
      <w:r>
        <w:rPr>
          <w:color w:val="231F20"/>
          <w:spacing w:val="-2"/>
          <w:sz w:val="18"/>
        </w:rPr>
        <w:t>М.К.,</w:t>
      </w:r>
      <w:r>
        <w:rPr>
          <w:color w:val="231F20"/>
          <w:spacing w:val="15"/>
          <w:sz w:val="18"/>
        </w:rPr>
        <w:t> </w:t>
      </w:r>
      <w:r>
        <w:rPr>
          <w:color w:val="231F20"/>
          <w:spacing w:val="-2"/>
          <w:sz w:val="18"/>
        </w:rPr>
        <w:t>Крив- цова А.С., Лейбман И.Я., Шорохова В.А. </w:t>
      </w:r>
      <w:hyperlink r:id="rId86">
        <w:r>
          <w:rPr>
            <w:color w:val="231F20"/>
            <w:spacing w:val="-2"/>
            <w:sz w:val="18"/>
          </w:rPr>
          <w:t>Межкультурная компетентность и самоэф.-</w:t>
        </w:r>
      </w:hyperlink>
      <w:r>
        <w:rPr>
          <w:color w:val="231F20"/>
          <w:spacing w:val="-2"/>
          <w:sz w:val="18"/>
        </w:rPr>
        <w:t> </w:t>
      </w:r>
      <w:hyperlink r:id="rId86">
        <w:r>
          <w:rPr>
            <w:color w:val="231F20"/>
            <w:spacing w:val="-2"/>
            <w:sz w:val="18"/>
          </w:rPr>
          <w:t>фективность учителя в мультикультурной среде</w:t>
        </w:r>
      </w:hyperlink>
      <w:r>
        <w:rPr>
          <w:color w:val="231F20"/>
          <w:spacing w:val="-2"/>
          <w:sz w:val="18"/>
        </w:rPr>
        <w:t> Психология. Журнал Высшей шко-л </w:t>
      </w:r>
      <w:r>
        <w:rPr>
          <w:color w:val="231F20"/>
          <w:sz w:val="18"/>
        </w:rPr>
        <w:t>лы экономики. 2022. Т. 19. № 1. С. 45–60.. DOI: 10.17323/1813-8918-2022-1-45-60.</w:t>
      </w:r>
    </w:p>
    <w:p>
      <w:pPr>
        <w:pStyle w:val="ListParagraph"/>
        <w:numPr>
          <w:ilvl w:val="0"/>
          <w:numId w:val="76"/>
        </w:numPr>
        <w:tabs>
          <w:tab w:pos="708" w:val="left" w:leader="none"/>
        </w:tabs>
        <w:spacing w:line="240" w:lineRule="auto" w:before="0" w:after="0"/>
        <w:ind w:left="708" w:right="423" w:hanging="284"/>
        <w:jc w:val="both"/>
        <w:rPr>
          <w:sz w:val="18"/>
        </w:rPr>
      </w:pPr>
      <w:r>
        <w:rPr>
          <w:color w:val="231F20"/>
          <w:sz w:val="18"/>
        </w:rPr>
        <w:t>Триандис</w:t>
      </w:r>
      <w:r>
        <w:rPr>
          <w:color w:val="231F20"/>
          <w:spacing w:val="-4"/>
          <w:sz w:val="18"/>
        </w:rPr>
        <w:t> </w:t>
      </w:r>
      <w:r>
        <w:rPr>
          <w:color w:val="231F20"/>
          <w:sz w:val="18"/>
        </w:rPr>
        <w:t>Г.С.</w:t>
      </w:r>
      <w:r>
        <w:rPr>
          <w:color w:val="231F20"/>
          <w:spacing w:val="-4"/>
          <w:sz w:val="18"/>
        </w:rPr>
        <w:t> </w:t>
      </w:r>
      <w:r>
        <w:rPr>
          <w:color w:val="231F20"/>
          <w:sz w:val="18"/>
        </w:rPr>
        <w:t>Культура</w:t>
      </w:r>
      <w:r>
        <w:rPr>
          <w:color w:val="231F20"/>
          <w:spacing w:val="-4"/>
          <w:sz w:val="18"/>
        </w:rPr>
        <w:t> </w:t>
      </w:r>
      <w:r>
        <w:rPr>
          <w:color w:val="231F20"/>
          <w:sz w:val="18"/>
        </w:rPr>
        <w:t>и</w:t>
      </w:r>
      <w:r>
        <w:rPr>
          <w:color w:val="231F20"/>
          <w:spacing w:val="-4"/>
          <w:sz w:val="18"/>
        </w:rPr>
        <w:t> </w:t>
      </w:r>
      <w:r>
        <w:rPr>
          <w:color w:val="231F20"/>
          <w:sz w:val="18"/>
        </w:rPr>
        <w:t>социальное</w:t>
      </w:r>
      <w:r>
        <w:rPr>
          <w:color w:val="231F20"/>
          <w:spacing w:val="-4"/>
          <w:sz w:val="18"/>
        </w:rPr>
        <w:t> </w:t>
      </w:r>
      <w:r>
        <w:rPr>
          <w:color w:val="231F20"/>
          <w:sz w:val="18"/>
        </w:rPr>
        <w:t>поведение:</w:t>
      </w:r>
      <w:r>
        <w:rPr>
          <w:color w:val="231F20"/>
          <w:spacing w:val="-4"/>
          <w:sz w:val="18"/>
        </w:rPr>
        <w:t> </w:t>
      </w:r>
      <w:r>
        <w:rPr>
          <w:color w:val="231F20"/>
          <w:sz w:val="18"/>
        </w:rPr>
        <w:t>учебное</w:t>
      </w:r>
      <w:r>
        <w:rPr>
          <w:color w:val="231F20"/>
          <w:spacing w:val="-4"/>
          <w:sz w:val="18"/>
        </w:rPr>
        <w:t> </w:t>
      </w:r>
      <w:r>
        <w:rPr>
          <w:color w:val="231F20"/>
          <w:sz w:val="18"/>
        </w:rPr>
        <w:t>пособие</w:t>
      </w:r>
      <w:r>
        <w:rPr>
          <w:color w:val="231F20"/>
          <w:spacing w:val="-4"/>
          <w:sz w:val="18"/>
        </w:rPr>
        <w:t> </w:t>
      </w:r>
      <w:r>
        <w:rPr>
          <w:color w:val="231F20"/>
          <w:sz w:val="18"/>
        </w:rPr>
        <w:t>/</w:t>
      </w:r>
      <w:r>
        <w:rPr>
          <w:color w:val="231F20"/>
          <w:spacing w:val="-4"/>
          <w:sz w:val="18"/>
        </w:rPr>
        <w:t> </w:t>
      </w:r>
      <w:r>
        <w:rPr>
          <w:color w:val="231F20"/>
          <w:sz w:val="18"/>
        </w:rPr>
        <w:t>Пер.</w:t>
      </w:r>
      <w:r>
        <w:rPr>
          <w:color w:val="231F20"/>
          <w:spacing w:val="-4"/>
          <w:sz w:val="18"/>
        </w:rPr>
        <w:t> </w:t>
      </w:r>
      <w:r>
        <w:rPr>
          <w:color w:val="231F20"/>
          <w:sz w:val="18"/>
        </w:rPr>
        <w:t>В.А.</w:t>
      </w:r>
      <w:r>
        <w:rPr>
          <w:color w:val="231F20"/>
          <w:spacing w:val="-4"/>
          <w:sz w:val="18"/>
        </w:rPr>
        <w:t> </w:t>
      </w:r>
      <w:r>
        <w:rPr>
          <w:color w:val="231F20"/>
          <w:sz w:val="18"/>
        </w:rPr>
        <w:t>Сос- нин. – М.: ФОРУМ, 2007. – 382 с.</w:t>
      </w:r>
    </w:p>
    <w:p>
      <w:pPr>
        <w:pStyle w:val="ListParagraph"/>
        <w:numPr>
          <w:ilvl w:val="0"/>
          <w:numId w:val="76"/>
        </w:numPr>
        <w:tabs>
          <w:tab w:pos="708" w:val="left" w:leader="none"/>
        </w:tabs>
        <w:spacing w:line="240" w:lineRule="auto" w:before="0" w:after="0"/>
        <w:ind w:left="708" w:right="423" w:hanging="284"/>
        <w:jc w:val="both"/>
        <w:rPr>
          <w:sz w:val="18"/>
        </w:rPr>
      </w:pPr>
      <w:r>
        <w:rPr>
          <w:color w:val="231F20"/>
          <w:sz w:val="18"/>
        </w:rPr>
        <w:t>Хухлаев</w:t>
      </w:r>
      <w:r>
        <w:rPr>
          <w:color w:val="231F20"/>
          <w:spacing w:val="-1"/>
          <w:sz w:val="18"/>
        </w:rPr>
        <w:t> </w:t>
      </w:r>
      <w:r>
        <w:rPr>
          <w:color w:val="231F20"/>
          <w:sz w:val="18"/>
        </w:rPr>
        <w:t>О.Е.</w:t>
      </w:r>
      <w:r>
        <w:rPr>
          <w:color w:val="231F20"/>
          <w:spacing w:val="-7"/>
          <w:sz w:val="18"/>
        </w:rPr>
        <w:t> </w:t>
      </w:r>
      <w:r>
        <w:rPr>
          <w:color w:val="231F20"/>
          <w:sz w:val="18"/>
        </w:rPr>
        <w:t>Интегративная</w:t>
      </w:r>
      <w:r>
        <w:rPr>
          <w:color w:val="231F20"/>
          <w:spacing w:val="-1"/>
          <w:sz w:val="18"/>
        </w:rPr>
        <w:t> </w:t>
      </w:r>
      <w:r>
        <w:rPr>
          <w:color w:val="231F20"/>
          <w:sz w:val="18"/>
        </w:rPr>
        <w:t>социально-психологическая</w:t>
      </w:r>
      <w:r>
        <w:rPr>
          <w:color w:val="231F20"/>
          <w:spacing w:val="-1"/>
          <w:sz w:val="18"/>
        </w:rPr>
        <w:t> </w:t>
      </w:r>
      <w:r>
        <w:rPr>
          <w:color w:val="231F20"/>
          <w:sz w:val="18"/>
        </w:rPr>
        <w:t>модель</w:t>
      </w:r>
      <w:r>
        <w:rPr>
          <w:color w:val="231F20"/>
          <w:spacing w:val="-1"/>
          <w:sz w:val="18"/>
        </w:rPr>
        <w:t> </w:t>
      </w:r>
      <w:r>
        <w:rPr>
          <w:color w:val="231F20"/>
          <w:sz w:val="18"/>
        </w:rPr>
        <w:t>оценки</w:t>
      </w:r>
      <w:r>
        <w:rPr>
          <w:color w:val="231F20"/>
          <w:spacing w:val="-1"/>
          <w:sz w:val="18"/>
        </w:rPr>
        <w:t> </w:t>
      </w:r>
      <w:r>
        <w:rPr>
          <w:color w:val="231F20"/>
          <w:sz w:val="18"/>
        </w:rPr>
        <w:t>и</w:t>
      </w:r>
      <w:r>
        <w:rPr>
          <w:color w:val="231F20"/>
          <w:spacing w:val="-1"/>
          <w:sz w:val="18"/>
        </w:rPr>
        <w:t> </w:t>
      </w:r>
      <w:r>
        <w:rPr>
          <w:color w:val="231F20"/>
          <w:sz w:val="18"/>
        </w:rPr>
        <w:t>прогно- зирования</w:t>
      </w:r>
      <w:r>
        <w:rPr>
          <w:color w:val="231F20"/>
          <w:spacing w:val="-12"/>
          <w:sz w:val="18"/>
        </w:rPr>
        <w:t> </w:t>
      </w:r>
      <w:r>
        <w:rPr>
          <w:color w:val="231F20"/>
          <w:sz w:val="18"/>
        </w:rPr>
        <w:t>эффективности</w:t>
      </w:r>
      <w:r>
        <w:rPr>
          <w:color w:val="231F20"/>
          <w:spacing w:val="-11"/>
          <w:sz w:val="18"/>
        </w:rPr>
        <w:t> </w:t>
      </w:r>
      <w:r>
        <w:rPr>
          <w:color w:val="231F20"/>
          <w:sz w:val="18"/>
        </w:rPr>
        <w:t>межкультурного</w:t>
      </w:r>
      <w:r>
        <w:rPr>
          <w:color w:val="231F20"/>
          <w:spacing w:val="-11"/>
          <w:sz w:val="18"/>
        </w:rPr>
        <w:t> </w:t>
      </w:r>
      <w:r>
        <w:rPr>
          <w:color w:val="231F20"/>
          <w:sz w:val="18"/>
        </w:rPr>
        <w:t>взаимодействия</w:t>
      </w:r>
      <w:r>
        <w:rPr>
          <w:color w:val="231F20"/>
          <w:spacing w:val="-11"/>
          <w:sz w:val="18"/>
        </w:rPr>
        <w:t> </w:t>
      </w:r>
      <w:r>
        <w:rPr>
          <w:color w:val="231F20"/>
          <w:sz w:val="18"/>
        </w:rPr>
        <w:t>//</w:t>
      </w:r>
      <w:r>
        <w:rPr>
          <w:color w:val="231F20"/>
          <w:spacing w:val="-11"/>
          <w:sz w:val="18"/>
        </w:rPr>
        <w:t> </w:t>
      </w:r>
      <w:r>
        <w:rPr>
          <w:color w:val="231F20"/>
          <w:sz w:val="18"/>
        </w:rPr>
        <w:t>Социальная</w:t>
      </w:r>
      <w:r>
        <w:rPr>
          <w:color w:val="231F20"/>
          <w:spacing w:val="-12"/>
          <w:sz w:val="18"/>
        </w:rPr>
        <w:t> </w:t>
      </w:r>
      <w:r>
        <w:rPr>
          <w:color w:val="231F20"/>
          <w:sz w:val="18"/>
        </w:rPr>
        <w:t>психоло- гия и общество. 2020. Том 11. № 4. С. 26–41. DOI: 10.17759/sps.2020110403.</w:t>
      </w:r>
    </w:p>
    <w:p>
      <w:pPr>
        <w:pStyle w:val="ListParagraph"/>
        <w:numPr>
          <w:ilvl w:val="0"/>
          <w:numId w:val="76"/>
        </w:numPr>
        <w:tabs>
          <w:tab w:pos="708" w:val="left" w:leader="none"/>
        </w:tabs>
        <w:spacing w:line="240" w:lineRule="auto" w:before="0" w:after="0"/>
        <w:ind w:left="708" w:right="423" w:hanging="284"/>
        <w:jc w:val="both"/>
        <w:rPr>
          <w:sz w:val="18"/>
        </w:rPr>
      </w:pPr>
      <w:r>
        <w:rPr>
          <w:color w:val="231F20"/>
          <w:sz w:val="18"/>
        </w:rPr>
        <w:t>Технологии психологического сопровождения интеграции мигрантов в образова- тельной среде: Учеб.-метод. пособие для педагогов-психологов. [Электронный ре- сурс] / Под ред. О.Е. Хухлаева, М.Ю. Чибисовой. – М.: МГППУ, 2013. – 273 с.</w:t>
      </w:r>
    </w:p>
    <w:p>
      <w:pPr>
        <w:pStyle w:val="ListParagraph"/>
        <w:numPr>
          <w:ilvl w:val="0"/>
          <w:numId w:val="76"/>
        </w:numPr>
        <w:tabs>
          <w:tab w:pos="708" w:val="left" w:leader="none"/>
        </w:tabs>
        <w:spacing w:line="240" w:lineRule="auto" w:before="0" w:after="0"/>
        <w:ind w:left="708" w:right="423" w:hanging="284"/>
        <w:jc w:val="both"/>
        <w:rPr>
          <w:sz w:val="18"/>
        </w:rPr>
      </w:pPr>
      <w:r>
        <w:rPr>
          <w:color w:val="231F20"/>
          <w:sz w:val="18"/>
        </w:rPr>
        <w:t>Leung K., Ang S., Tan M.L.</w:t>
      </w:r>
      <w:r>
        <w:rPr>
          <w:color w:val="231F20"/>
          <w:spacing w:val="-2"/>
          <w:sz w:val="18"/>
        </w:rPr>
        <w:t> </w:t>
      </w:r>
      <w:r>
        <w:rPr>
          <w:color w:val="231F20"/>
          <w:sz w:val="18"/>
        </w:rPr>
        <w:t>Intercultural Competence // The Annual Review of Organizational Psychology and Organizational Behavior. 2014. Vol. 1. P. 489–519.</w:t>
      </w:r>
    </w:p>
    <w:p>
      <w:pPr>
        <w:pStyle w:val="ListParagraph"/>
        <w:spacing w:after="0" w:line="240" w:lineRule="auto"/>
        <w:jc w:val="both"/>
        <w:rPr>
          <w:sz w:val="18"/>
        </w:rPr>
        <w:sectPr>
          <w:pgSz w:w="8400" w:h="11910"/>
          <w:pgMar w:header="0" w:footer="542" w:top="400" w:bottom="740" w:left="425" w:right="425"/>
        </w:sectPr>
      </w:pPr>
    </w:p>
    <w:p>
      <w:pPr>
        <w:spacing w:before="80"/>
        <w:ind w:left="141" w:right="139" w:firstLine="0"/>
        <w:jc w:val="right"/>
        <w:rPr>
          <w:rFonts w:ascii="Georgia" w:hAnsi="Georgia"/>
          <w:sz w:val="18"/>
        </w:rPr>
      </w:pPr>
      <w:bookmarkStart w:name="_bookmark51" w:id="53"/>
      <w:bookmarkEnd w:id="53"/>
      <w:r>
        <w:rPr/>
      </w:r>
      <w:r>
        <w:rPr>
          <w:rFonts w:ascii="Georgia" w:hAnsi="Georgia"/>
          <w:color w:val="231F20"/>
          <w:spacing w:val="-2"/>
          <w:sz w:val="18"/>
        </w:rPr>
        <w:t>Раздел</w:t>
      </w:r>
      <w:r>
        <w:rPr>
          <w:rFonts w:ascii="Georgia" w:hAnsi="Georgia"/>
          <w:color w:val="231F20"/>
          <w:spacing w:val="-5"/>
          <w:sz w:val="18"/>
        </w:rPr>
        <w:t> 2.</w:t>
      </w:r>
    </w:p>
    <w:p>
      <w:pPr>
        <w:numPr>
          <w:ilvl w:val="1"/>
          <w:numId w:val="75"/>
        </w:numPr>
        <w:tabs>
          <w:tab w:pos="896" w:val="left" w:leader="none"/>
        </w:tabs>
        <w:spacing w:before="109"/>
        <w:ind w:left="896" w:right="0" w:hanging="350"/>
        <w:jc w:val="left"/>
        <w:rPr>
          <w:b/>
          <w:sz w:val="20"/>
        </w:rPr>
      </w:pPr>
      <w:r>
        <w:rPr>
          <w:b/>
          <w:color w:val="231F20"/>
          <w:spacing w:val="-2"/>
          <w:sz w:val="20"/>
        </w:rPr>
        <w:t>Технологии</w:t>
      </w:r>
      <w:r>
        <w:rPr>
          <w:b/>
          <w:color w:val="231F20"/>
          <w:spacing w:val="2"/>
          <w:sz w:val="20"/>
        </w:rPr>
        <w:t> </w:t>
      </w:r>
      <w:r>
        <w:rPr>
          <w:b/>
          <w:color w:val="231F20"/>
          <w:spacing w:val="-2"/>
          <w:sz w:val="20"/>
        </w:rPr>
        <w:t>повышения</w:t>
      </w:r>
      <w:r>
        <w:rPr>
          <w:b/>
          <w:color w:val="231F20"/>
          <w:spacing w:val="7"/>
          <w:sz w:val="20"/>
        </w:rPr>
        <w:t> </w:t>
      </w:r>
      <w:r>
        <w:rPr>
          <w:b/>
          <w:color w:val="231F20"/>
          <w:spacing w:val="-2"/>
          <w:sz w:val="20"/>
        </w:rPr>
        <w:t>межкультурной</w:t>
      </w:r>
      <w:r>
        <w:rPr>
          <w:b/>
          <w:color w:val="231F20"/>
          <w:spacing w:val="5"/>
          <w:sz w:val="20"/>
        </w:rPr>
        <w:t> </w:t>
      </w:r>
      <w:r>
        <w:rPr>
          <w:b/>
          <w:color w:val="231F20"/>
          <w:spacing w:val="-2"/>
          <w:sz w:val="20"/>
        </w:rPr>
        <w:t>компетентности</w:t>
      </w:r>
      <w:r>
        <w:rPr>
          <w:b/>
          <w:color w:val="231F20"/>
          <w:spacing w:val="5"/>
          <w:sz w:val="20"/>
        </w:rPr>
        <w:t> </w:t>
      </w:r>
      <w:r>
        <w:rPr>
          <w:b/>
          <w:color w:val="231F20"/>
          <w:spacing w:val="-2"/>
          <w:sz w:val="20"/>
        </w:rPr>
        <w:t>педагогов</w:t>
      </w:r>
    </w:p>
    <w:p>
      <w:pPr>
        <w:numPr>
          <w:ilvl w:val="2"/>
          <w:numId w:val="75"/>
        </w:numPr>
        <w:tabs>
          <w:tab w:pos="1461" w:val="left" w:leader="none"/>
          <w:tab w:pos="2622" w:val="left" w:leader="none"/>
        </w:tabs>
        <w:spacing w:line="235" w:lineRule="auto" w:before="170"/>
        <w:ind w:left="2622" w:right="1008" w:hanging="1611"/>
        <w:jc w:val="left"/>
        <w:rPr>
          <w:b/>
          <w:sz w:val="20"/>
        </w:rPr>
      </w:pPr>
      <w:r>
        <w:rPr>
          <w:b/>
          <w:color w:val="231F20"/>
          <w:sz w:val="20"/>
        </w:rPr>
        <w:t>Интерактивные</w:t>
      </w:r>
      <w:r>
        <w:rPr>
          <w:b/>
          <w:color w:val="231F20"/>
          <w:spacing w:val="-12"/>
          <w:sz w:val="20"/>
        </w:rPr>
        <w:t> </w:t>
      </w:r>
      <w:r>
        <w:rPr>
          <w:b/>
          <w:color w:val="231F20"/>
          <w:sz w:val="20"/>
        </w:rPr>
        <w:t>семинары</w:t>
      </w:r>
      <w:r>
        <w:rPr>
          <w:b/>
          <w:color w:val="231F20"/>
          <w:spacing w:val="-12"/>
          <w:sz w:val="20"/>
        </w:rPr>
        <w:t> </w:t>
      </w:r>
      <w:r>
        <w:rPr>
          <w:b/>
          <w:color w:val="231F20"/>
          <w:sz w:val="20"/>
        </w:rPr>
        <w:t>по</w:t>
      </w:r>
      <w:r>
        <w:rPr>
          <w:b/>
          <w:color w:val="231F20"/>
          <w:spacing w:val="-12"/>
          <w:sz w:val="20"/>
        </w:rPr>
        <w:t> </w:t>
      </w:r>
      <w:r>
        <w:rPr>
          <w:b/>
          <w:color w:val="231F20"/>
          <w:sz w:val="20"/>
        </w:rPr>
        <w:t>проблеме</w:t>
      </w:r>
      <w:r>
        <w:rPr>
          <w:b/>
          <w:color w:val="231F20"/>
          <w:spacing w:val="-12"/>
          <w:sz w:val="20"/>
        </w:rPr>
        <w:t> </w:t>
      </w:r>
      <w:r>
        <w:rPr>
          <w:b/>
          <w:color w:val="231F20"/>
          <w:sz w:val="20"/>
        </w:rPr>
        <w:t>межкультурной компетентности педагога</w:t>
      </w:r>
    </w:p>
    <w:p>
      <w:pPr>
        <w:spacing w:before="111"/>
        <w:ind w:left="6222" w:right="0" w:firstLine="0"/>
        <w:jc w:val="left"/>
        <w:rPr>
          <w:i/>
          <w:sz w:val="20"/>
        </w:rPr>
      </w:pPr>
      <w:r>
        <w:rPr>
          <w:i/>
          <w:color w:val="231F20"/>
          <w:sz w:val="20"/>
        </w:rPr>
        <w:t>Н.В.</w:t>
      </w:r>
      <w:r>
        <w:rPr>
          <w:i/>
          <w:color w:val="231F20"/>
          <w:spacing w:val="-2"/>
          <w:sz w:val="20"/>
        </w:rPr>
        <w:t> Ткаченко</w:t>
      </w:r>
    </w:p>
    <w:p>
      <w:pPr>
        <w:spacing w:before="109"/>
        <w:ind w:left="425" w:right="0" w:firstLine="0"/>
        <w:jc w:val="left"/>
        <w:rPr>
          <w:b/>
          <w:sz w:val="20"/>
        </w:rPr>
      </w:pPr>
      <w:r>
        <w:rPr>
          <w:b/>
          <w:color w:val="231F20"/>
          <w:sz w:val="20"/>
        </w:rPr>
        <w:t>Общее </w:t>
      </w:r>
      <w:r>
        <w:rPr>
          <w:b/>
          <w:color w:val="231F20"/>
          <w:spacing w:val="-2"/>
          <w:sz w:val="20"/>
        </w:rPr>
        <w:t>описание</w:t>
      </w:r>
    </w:p>
    <w:p>
      <w:pPr>
        <w:pStyle w:val="BodyText"/>
      </w:pPr>
      <w:r>
        <w:rPr>
          <w:color w:val="231F20"/>
        </w:rPr>
        <w:t>Интерактивный семинар представляет собой специальным образом организован- ную межличностную коммуникацию, согласно концепции Дж. Мида (Мид, 2009). Важная особенность такой коммуникации (интеракции) – способность специалиста как принимать роль другого, так и представлять себе, как его воспринимает партнер по общению.</w:t>
      </w:r>
    </w:p>
    <w:p>
      <w:pPr>
        <w:pStyle w:val="BodyText"/>
      </w:pPr>
      <w:r>
        <w:rPr>
          <w:color w:val="231F20"/>
        </w:rPr>
        <w:t>Форма проведения семинара представляет собой достаточно сложную техноло- гическую структуру, с помощью которой ведущий/модератор создает условия для многосторонней коммуникации между всеми участниками для поиска приемов эф- фективного</w:t>
      </w:r>
      <w:r>
        <w:rPr>
          <w:color w:val="231F20"/>
          <w:spacing w:val="-6"/>
        </w:rPr>
        <w:t> </w:t>
      </w:r>
      <w:r>
        <w:rPr>
          <w:color w:val="231F20"/>
        </w:rPr>
        <w:t>взаимодействия.</w:t>
      </w:r>
      <w:r>
        <w:rPr>
          <w:color w:val="231F20"/>
          <w:spacing w:val="-6"/>
        </w:rPr>
        <w:t> </w:t>
      </w:r>
      <w:r>
        <w:rPr>
          <w:color w:val="231F20"/>
        </w:rPr>
        <w:t>Также</w:t>
      </w:r>
      <w:r>
        <w:rPr>
          <w:color w:val="231F20"/>
          <w:spacing w:val="-6"/>
        </w:rPr>
        <w:t> </w:t>
      </w:r>
      <w:r>
        <w:rPr>
          <w:color w:val="231F20"/>
        </w:rPr>
        <w:t>учитываются</w:t>
      </w:r>
      <w:r>
        <w:rPr>
          <w:color w:val="231F20"/>
          <w:spacing w:val="-6"/>
        </w:rPr>
        <w:t> </w:t>
      </w:r>
      <w:r>
        <w:rPr>
          <w:color w:val="231F20"/>
        </w:rPr>
        <w:t>еще</w:t>
      </w:r>
      <w:r>
        <w:rPr>
          <w:color w:val="231F20"/>
          <w:spacing w:val="-6"/>
        </w:rPr>
        <w:t> </w:t>
      </w:r>
      <w:r>
        <w:rPr>
          <w:color w:val="231F20"/>
        </w:rPr>
        <w:t>два</w:t>
      </w:r>
      <w:r>
        <w:rPr>
          <w:color w:val="231F20"/>
          <w:spacing w:val="-6"/>
        </w:rPr>
        <w:t> </w:t>
      </w:r>
      <w:r>
        <w:rPr>
          <w:color w:val="231F20"/>
        </w:rPr>
        <w:t>аспекта:</w:t>
      </w:r>
      <w:r>
        <w:rPr>
          <w:color w:val="231F20"/>
          <w:spacing w:val="-6"/>
        </w:rPr>
        <w:t> </w:t>
      </w:r>
      <w:r>
        <w:rPr>
          <w:color w:val="231F20"/>
        </w:rPr>
        <w:t>социально-психо- логический и деловой.</w:t>
      </w:r>
    </w:p>
    <w:p>
      <w:pPr>
        <w:pStyle w:val="BodyText"/>
      </w:pPr>
      <w:r>
        <w:rPr>
          <w:color w:val="231F20"/>
        </w:rPr>
        <w:t>Социально-психологический аспект предполагает, что участники смогут отреф- лексировать</w:t>
      </w:r>
      <w:r>
        <w:rPr>
          <w:color w:val="231F20"/>
          <w:spacing w:val="-3"/>
        </w:rPr>
        <w:t> </w:t>
      </w:r>
      <w:r>
        <w:rPr>
          <w:color w:val="231F20"/>
        </w:rPr>
        <w:t>свои</w:t>
      </w:r>
      <w:r>
        <w:rPr>
          <w:color w:val="231F20"/>
          <w:spacing w:val="-3"/>
        </w:rPr>
        <w:t> </w:t>
      </w:r>
      <w:r>
        <w:rPr>
          <w:color w:val="231F20"/>
        </w:rPr>
        <w:t>потребности,</w:t>
      </w:r>
      <w:r>
        <w:rPr>
          <w:color w:val="231F20"/>
          <w:spacing w:val="-3"/>
        </w:rPr>
        <w:t> </w:t>
      </w:r>
      <w:r>
        <w:rPr>
          <w:color w:val="231F20"/>
        </w:rPr>
        <w:t>желания,</w:t>
      </w:r>
      <w:r>
        <w:rPr>
          <w:color w:val="231F20"/>
          <w:spacing w:val="-3"/>
        </w:rPr>
        <w:t> </w:t>
      </w:r>
      <w:r>
        <w:rPr>
          <w:color w:val="231F20"/>
        </w:rPr>
        <w:t>тревоги,</w:t>
      </w:r>
      <w:r>
        <w:rPr>
          <w:color w:val="231F20"/>
          <w:spacing w:val="-3"/>
        </w:rPr>
        <w:t> </w:t>
      </w:r>
      <w:r>
        <w:rPr>
          <w:color w:val="231F20"/>
        </w:rPr>
        <w:t>симпатии</w:t>
      </w:r>
      <w:r>
        <w:rPr>
          <w:color w:val="231F20"/>
          <w:spacing w:val="-3"/>
        </w:rPr>
        <w:t> </w:t>
      </w:r>
      <w:r>
        <w:rPr>
          <w:color w:val="231F20"/>
        </w:rPr>
        <w:t>и</w:t>
      </w:r>
      <w:r>
        <w:rPr>
          <w:color w:val="231F20"/>
          <w:spacing w:val="-3"/>
        </w:rPr>
        <w:t> </w:t>
      </w:r>
      <w:r>
        <w:rPr>
          <w:color w:val="231F20"/>
        </w:rPr>
        <w:t>антипатии.</w:t>
      </w:r>
      <w:r>
        <w:rPr>
          <w:color w:val="231F20"/>
          <w:spacing w:val="-3"/>
        </w:rPr>
        <w:t> </w:t>
      </w:r>
      <w:r>
        <w:rPr>
          <w:color w:val="231F20"/>
        </w:rPr>
        <w:t>Анализ</w:t>
      </w:r>
      <w:r>
        <w:rPr>
          <w:color w:val="231F20"/>
          <w:spacing w:val="-3"/>
        </w:rPr>
        <w:t> </w:t>
      </w:r>
      <w:r>
        <w:rPr>
          <w:color w:val="231F20"/>
        </w:rPr>
        <w:t>но- вого опыта, рассмотрение различных теорий, работа с информацией говорят о том, что деятельность участников осуществляется на деловом уровне.</w:t>
      </w:r>
    </w:p>
    <w:p>
      <w:pPr>
        <w:pStyle w:val="BodyText"/>
      </w:pPr>
      <w:r>
        <w:rPr>
          <w:color w:val="231F20"/>
        </w:rPr>
        <w:t>Основой</w:t>
      </w:r>
      <w:r>
        <w:rPr>
          <w:color w:val="231F20"/>
          <w:spacing w:val="-7"/>
        </w:rPr>
        <w:t> </w:t>
      </w:r>
      <w:r>
        <w:rPr>
          <w:color w:val="231F20"/>
        </w:rPr>
        <w:t>организации</w:t>
      </w:r>
      <w:r>
        <w:rPr>
          <w:color w:val="231F20"/>
          <w:spacing w:val="-7"/>
        </w:rPr>
        <w:t> </w:t>
      </w:r>
      <w:r>
        <w:rPr>
          <w:color w:val="231F20"/>
        </w:rPr>
        <w:t>интерактивного</w:t>
      </w:r>
      <w:r>
        <w:rPr>
          <w:color w:val="231F20"/>
          <w:spacing w:val="-7"/>
        </w:rPr>
        <w:t> </w:t>
      </w:r>
      <w:r>
        <w:rPr>
          <w:color w:val="231F20"/>
        </w:rPr>
        <w:t>семинара</w:t>
      </w:r>
      <w:r>
        <w:rPr>
          <w:color w:val="231F20"/>
          <w:spacing w:val="-7"/>
        </w:rPr>
        <w:t> </w:t>
      </w:r>
      <w:r>
        <w:rPr>
          <w:color w:val="231F20"/>
        </w:rPr>
        <w:t>является</w:t>
      </w:r>
      <w:r>
        <w:rPr>
          <w:color w:val="231F20"/>
          <w:spacing w:val="-7"/>
        </w:rPr>
        <w:t> </w:t>
      </w:r>
      <w:r>
        <w:rPr>
          <w:color w:val="231F20"/>
        </w:rPr>
        <w:t>схема</w:t>
      </w:r>
      <w:r>
        <w:rPr>
          <w:color w:val="231F20"/>
          <w:spacing w:val="-7"/>
        </w:rPr>
        <w:t> </w:t>
      </w:r>
      <w:r>
        <w:rPr>
          <w:color w:val="231F20"/>
        </w:rPr>
        <w:t>обучения</w:t>
      </w:r>
      <w:r>
        <w:rPr>
          <w:color w:val="231F20"/>
          <w:spacing w:val="-7"/>
        </w:rPr>
        <w:t> </w:t>
      </w:r>
      <w:r>
        <w:rPr>
          <w:color w:val="231F20"/>
        </w:rPr>
        <w:t>посред- </w:t>
      </w:r>
      <w:r>
        <w:rPr>
          <w:color w:val="231F20"/>
          <w:spacing w:val="-2"/>
        </w:rPr>
        <w:t>ством опыта, принадлежащая американскому исследователю Д. Колбу, которая вклю- </w:t>
      </w:r>
      <w:r>
        <w:rPr>
          <w:color w:val="231F20"/>
        </w:rPr>
        <w:t>чает в себя четыре стадии: конкретный опыт, рефлексивное наблюдение, абстракт- ную концептуализацию и активное экспериментирование (Величко, 2001).</w:t>
      </w:r>
    </w:p>
    <w:p>
      <w:pPr>
        <w:pStyle w:val="BodyText"/>
      </w:pPr>
      <w:r>
        <w:rPr>
          <w:color w:val="231F20"/>
        </w:rPr>
        <w:t>Эти</w:t>
      </w:r>
      <w:r>
        <w:rPr>
          <w:color w:val="231F20"/>
          <w:spacing w:val="-13"/>
        </w:rPr>
        <w:t> </w:t>
      </w:r>
      <w:r>
        <w:rPr>
          <w:color w:val="231F20"/>
        </w:rPr>
        <w:t>стадии</w:t>
      </w:r>
      <w:r>
        <w:rPr>
          <w:color w:val="231F20"/>
          <w:spacing w:val="-12"/>
        </w:rPr>
        <w:t> </w:t>
      </w:r>
      <w:r>
        <w:rPr>
          <w:color w:val="231F20"/>
        </w:rPr>
        <w:t>взаимосвязаны</w:t>
      </w:r>
      <w:r>
        <w:rPr>
          <w:color w:val="231F20"/>
          <w:spacing w:val="-13"/>
        </w:rPr>
        <w:t> </w:t>
      </w:r>
      <w:r>
        <w:rPr>
          <w:color w:val="231F20"/>
        </w:rPr>
        <w:t>и</w:t>
      </w:r>
      <w:r>
        <w:rPr>
          <w:color w:val="231F20"/>
          <w:spacing w:val="-12"/>
        </w:rPr>
        <w:t> </w:t>
      </w:r>
      <w:r>
        <w:rPr>
          <w:color w:val="231F20"/>
        </w:rPr>
        <w:t>предполагают</w:t>
      </w:r>
      <w:r>
        <w:rPr>
          <w:color w:val="231F20"/>
          <w:spacing w:val="-13"/>
        </w:rPr>
        <w:t> </w:t>
      </w:r>
      <w:r>
        <w:rPr>
          <w:color w:val="231F20"/>
        </w:rPr>
        <w:t>развитие</w:t>
      </w:r>
      <w:r>
        <w:rPr>
          <w:color w:val="231F20"/>
          <w:spacing w:val="-12"/>
        </w:rPr>
        <w:t> </w:t>
      </w:r>
      <w:r>
        <w:rPr>
          <w:color w:val="231F20"/>
        </w:rPr>
        <w:t>в</w:t>
      </w:r>
      <w:r>
        <w:rPr>
          <w:color w:val="231F20"/>
          <w:spacing w:val="-13"/>
        </w:rPr>
        <w:t> </w:t>
      </w:r>
      <w:r>
        <w:rPr>
          <w:color w:val="231F20"/>
        </w:rPr>
        <w:t>ходе</w:t>
      </w:r>
      <w:r>
        <w:rPr>
          <w:color w:val="231F20"/>
          <w:spacing w:val="-12"/>
        </w:rPr>
        <w:t> </w:t>
      </w:r>
      <w:r>
        <w:rPr>
          <w:color w:val="231F20"/>
        </w:rPr>
        <w:t>образовательного</w:t>
      </w:r>
      <w:r>
        <w:rPr>
          <w:color w:val="231F20"/>
          <w:spacing w:val="-13"/>
        </w:rPr>
        <w:t> </w:t>
      </w:r>
      <w:r>
        <w:rPr>
          <w:color w:val="231F20"/>
        </w:rPr>
        <w:t>про- цесса коммуникативных, рефлексивных и интерактивных способностей и умений участников семинара.</w:t>
      </w:r>
    </w:p>
    <w:p>
      <w:pPr>
        <w:pStyle w:val="BodyText"/>
      </w:pPr>
      <w:r>
        <w:rPr>
          <w:color w:val="231F20"/>
        </w:rPr>
        <w:t>Так,</w:t>
      </w:r>
      <w:r>
        <w:rPr>
          <w:color w:val="231F20"/>
          <w:spacing w:val="-6"/>
        </w:rPr>
        <w:t> </w:t>
      </w:r>
      <w:r>
        <w:rPr>
          <w:color w:val="231F20"/>
        </w:rPr>
        <w:t>фаза</w:t>
      </w:r>
      <w:r>
        <w:rPr>
          <w:color w:val="231F20"/>
          <w:spacing w:val="-6"/>
        </w:rPr>
        <w:t> </w:t>
      </w:r>
      <w:r>
        <w:rPr>
          <w:color w:val="231F20"/>
        </w:rPr>
        <w:t>конкретного</w:t>
      </w:r>
      <w:r>
        <w:rPr>
          <w:color w:val="231F20"/>
          <w:spacing w:val="-6"/>
        </w:rPr>
        <w:t> </w:t>
      </w:r>
      <w:r>
        <w:rPr>
          <w:color w:val="231F20"/>
        </w:rPr>
        <w:t>опыта</w:t>
      </w:r>
      <w:r>
        <w:rPr>
          <w:color w:val="231F20"/>
          <w:spacing w:val="-6"/>
        </w:rPr>
        <w:t> </w:t>
      </w:r>
      <w:r>
        <w:rPr>
          <w:color w:val="231F20"/>
        </w:rPr>
        <w:t>предусматривает</w:t>
      </w:r>
      <w:r>
        <w:rPr>
          <w:color w:val="231F20"/>
          <w:spacing w:val="-6"/>
        </w:rPr>
        <w:t> </w:t>
      </w:r>
      <w:r>
        <w:rPr>
          <w:color w:val="231F20"/>
        </w:rPr>
        <w:t>участие</w:t>
      </w:r>
      <w:r>
        <w:rPr>
          <w:color w:val="231F20"/>
          <w:spacing w:val="-6"/>
        </w:rPr>
        <w:t> </w:t>
      </w:r>
      <w:r>
        <w:rPr>
          <w:color w:val="231F20"/>
        </w:rPr>
        <w:t>в</w:t>
      </w:r>
      <w:r>
        <w:rPr>
          <w:color w:val="231F20"/>
          <w:spacing w:val="-6"/>
        </w:rPr>
        <w:t> </w:t>
      </w:r>
      <w:r>
        <w:rPr>
          <w:color w:val="231F20"/>
        </w:rPr>
        <w:t>интерактивных</w:t>
      </w:r>
      <w:r>
        <w:rPr>
          <w:color w:val="231F20"/>
          <w:spacing w:val="-6"/>
        </w:rPr>
        <w:t> </w:t>
      </w:r>
      <w:r>
        <w:rPr>
          <w:color w:val="231F20"/>
        </w:rPr>
        <w:t>методах, ролевых, симуляционных играх, в процессе которых педагоги получают опыт вы- страивания взаимодействия друг с другом, отстаивания своей позиции, нахождения консенсусных или компромиссных решений.</w:t>
      </w:r>
    </w:p>
    <w:p>
      <w:pPr>
        <w:pStyle w:val="BodyText"/>
      </w:pPr>
      <w:r>
        <w:rPr>
          <w:color w:val="231F20"/>
        </w:rPr>
        <w:t>Фаза</w:t>
      </w:r>
      <w:r>
        <w:rPr>
          <w:color w:val="231F20"/>
          <w:spacing w:val="-13"/>
        </w:rPr>
        <w:t> </w:t>
      </w:r>
      <w:r>
        <w:rPr>
          <w:color w:val="231F20"/>
        </w:rPr>
        <w:t>рефлексивного</w:t>
      </w:r>
      <w:r>
        <w:rPr>
          <w:color w:val="231F20"/>
          <w:spacing w:val="-12"/>
        </w:rPr>
        <w:t> </w:t>
      </w:r>
      <w:r>
        <w:rPr>
          <w:color w:val="231F20"/>
        </w:rPr>
        <w:t>наблюдения</w:t>
      </w:r>
      <w:r>
        <w:rPr>
          <w:color w:val="231F20"/>
          <w:spacing w:val="-13"/>
        </w:rPr>
        <w:t> </w:t>
      </w:r>
      <w:r>
        <w:rPr>
          <w:color w:val="231F20"/>
        </w:rPr>
        <w:t>предполагает</w:t>
      </w:r>
      <w:r>
        <w:rPr>
          <w:color w:val="231F20"/>
          <w:spacing w:val="-12"/>
        </w:rPr>
        <w:t> </w:t>
      </w:r>
      <w:r>
        <w:rPr>
          <w:color w:val="231F20"/>
        </w:rPr>
        <w:t>через</w:t>
      </w:r>
      <w:r>
        <w:rPr>
          <w:color w:val="231F20"/>
          <w:spacing w:val="-13"/>
        </w:rPr>
        <w:t> </w:t>
      </w:r>
      <w:r>
        <w:rPr>
          <w:color w:val="231F20"/>
        </w:rPr>
        <w:t>индивидуальную</w:t>
      </w:r>
      <w:r>
        <w:rPr>
          <w:color w:val="231F20"/>
          <w:spacing w:val="-12"/>
        </w:rPr>
        <w:t> </w:t>
      </w:r>
      <w:r>
        <w:rPr>
          <w:color w:val="231F20"/>
        </w:rPr>
        <w:t>работу</w:t>
      </w:r>
      <w:r>
        <w:rPr>
          <w:color w:val="231F20"/>
          <w:spacing w:val="-13"/>
        </w:rPr>
        <w:t> </w:t>
      </w:r>
      <w:r>
        <w:rPr>
          <w:color w:val="231F20"/>
        </w:rPr>
        <w:t>или взаимодействие в малых группах развитие аналитических умений по отношению к ранее полученному (или полученному в игре) опыту, его интерпретации с разных позиций, точек зрения.</w:t>
      </w:r>
    </w:p>
    <w:p>
      <w:pPr>
        <w:pStyle w:val="BodyText"/>
        <w:ind w:right="140"/>
      </w:pPr>
      <w:r>
        <w:rPr>
          <w:color w:val="231F20"/>
        </w:rPr>
        <w:t>В фазе абстрактной концептуализации в процессе групповой работы, работы со статьями,</w:t>
      </w:r>
      <w:r>
        <w:rPr>
          <w:color w:val="231F20"/>
          <w:spacing w:val="-8"/>
        </w:rPr>
        <w:t> </w:t>
      </w:r>
      <w:r>
        <w:rPr>
          <w:color w:val="231F20"/>
        </w:rPr>
        <w:t>дискуссии</w:t>
      </w:r>
      <w:r>
        <w:rPr>
          <w:color w:val="231F20"/>
          <w:spacing w:val="-8"/>
        </w:rPr>
        <w:t> </w:t>
      </w:r>
      <w:r>
        <w:rPr>
          <w:color w:val="231F20"/>
        </w:rPr>
        <w:t>педагоги</w:t>
      </w:r>
      <w:r>
        <w:rPr>
          <w:color w:val="231F20"/>
          <w:spacing w:val="-8"/>
        </w:rPr>
        <w:t> </w:t>
      </w:r>
      <w:r>
        <w:rPr>
          <w:color w:val="231F20"/>
        </w:rPr>
        <w:t>вырабатывают</w:t>
      </w:r>
      <w:r>
        <w:rPr>
          <w:color w:val="231F20"/>
          <w:spacing w:val="-8"/>
        </w:rPr>
        <w:t> </w:t>
      </w:r>
      <w:r>
        <w:rPr>
          <w:color w:val="231F20"/>
        </w:rPr>
        <w:t>понятия</w:t>
      </w:r>
      <w:r>
        <w:rPr>
          <w:color w:val="231F20"/>
          <w:spacing w:val="-8"/>
        </w:rPr>
        <w:t> </w:t>
      </w:r>
      <w:r>
        <w:rPr>
          <w:color w:val="231F20"/>
        </w:rPr>
        <w:t>и</w:t>
      </w:r>
      <w:r>
        <w:rPr>
          <w:color w:val="231F20"/>
          <w:spacing w:val="-8"/>
        </w:rPr>
        <w:t> </w:t>
      </w:r>
      <w:r>
        <w:rPr>
          <w:color w:val="231F20"/>
        </w:rPr>
        <w:t>представления,</w:t>
      </w:r>
      <w:r>
        <w:rPr>
          <w:color w:val="231F20"/>
          <w:spacing w:val="-8"/>
        </w:rPr>
        <w:t> </w:t>
      </w:r>
      <w:r>
        <w:rPr>
          <w:color w:val="231F20"/>
        </w:rPr>
        <w:t>выстраивают собственную теорию.</w:t>
      </w:r>
    </w:p>
    <w:p>
      <w:pPr>
        <w:pStyle w:val="BodyText"/>
      </w:pPr>
      <w:r>
        <w:rPr>
          <w:color w:val="231F20"/>
        </w:rPr>
        <w:t>Фаза</w:t>
      </w:r>
      <w:r>
        <w:rPr>
          <w:color w:val="231F20"/>
          <w:spacing w:val="-5"/>
        </w:rPr>
        <w:t> </w:t>
      </w:r>
      <w:r>
        <w:rPr>
          <w:color w:val="231F20"/>
        </w:rPr>
        <w:t>активного</w:t>
      </w:r>
      <w:r>
        <w:rPr>
          <w:color w:val="231F20"/>
          <w:spacing w:val="-5"/>
        </w:rPr>
        <w:t> </w:t>
      </w:r>
      <w:r>
        <w:rPr>
          <w:color w:val="231F20"/>
        </w:rPr>
        <w:t>экспериментирования</w:t>
      </w:r>
      <w:r>
        <w:rPr>
          <w:color w:val="231F20"/>
          <w:spacing w:val="-5"/>
        </w:rPr>
        <w:t> </w:t>
      </w:r>
      <w:r>
        <w:rPr>
          <w:color w:val="231F20"/>
        </w:rPr>
        <w:t>(может</w:t>
      </w:r>
      <w:r>
        <w:rPr>
          <w:color w:val="231F20"/>
          <w:spacing w:val="-5"/>
        </w:rPr>
        <w:t> </w:t>
      </w:r>
      <w:r>
        <w:rPr>
          <w:color w:val="231F20"/>
        </w:rPr>
        <w:t>отсутствовать</w:t>
      </w:r>
      <w:r>
        <w:rPr>
          <w:color w:val="231F20"/>
          <w:spacing w:val="-5"/>
        </w:rPr>
        <w:t> </w:t>
      </w:r>
      <w:r>
        <w:rPr>
          <w:color w:val="231F20"/>
        </w:rPr>
        <w:t>на</w:t>
      </w:r>
      <w:r>
        <w:rPr>
          <w:color w:val="231F20"/>
          <w:spacing w:val="-5"/>
        </w:rPr>
        <w:t> </w:t>
      </w:r>
      <w:r>
        <w:rPr>
          <w:color w:val="231F20"/>
        </w:rPr>
        <w:t>семинаре,</w:t>
      </w:r>
      <w:r>
        <w:rPr>
          <w:color w:val="231F20"/>
          <w:spacing w:val="-5"/>
        </w:rPr>
        <w:t> </w:t>
      </w:r>
      <w:r>
        <w:rPr>
          <w:color w:val="231F20"/>
        </w:rPr>
        <w:t>но</w:t>
      </w:r>
      <w:r>
        <w:rPr>
          <w:color w:val="231F20"/>
          <w:spacing w:val="-5"/>
        </w:rPr>
        <w:t> </w:t>
      </w:r>
      <w:r>
        <w:rPr>
          <w:color w:val="231F20"/>
        </w:rPr>
        <w:t>про- исходить в дальнейшей педагогической деятельности) предполагает наличие спо- собности</w:t>
      </w:r>
      <w:r>
        <w:rPr>
          <w:color w:val="231F20"/>
          <w:spacing w:val="-1"/>
        </w:rPr>
        <w:t> </w:t>
      </w:r>
      <w:r>
        <w:rPr>
          <w:color w:val="231F20"/>
        </w:rPr>
        <w:t>использовать</w:t>
      </w:r>
      <w:r>
        <w:rPr>
          <w:color w:val="231F20"/>
          <w:spacing w:val="-1"/>
        </w:rPr>
        <w:t> </w:t>
      </w:r>
      <w:r>
        <w:rPr>
          <w:color w:val="231F20"/>
        </w:rPr>
        <w:t>свои</w:t>
      </w:r>
      <w:r>
        <w:rPr>
          <w:color w:val="231F20"/>
          <w:spacing w:val="-1"/>
        </w:rPr>
        <w:t> </w:t>
      </w:r>
      <w:r>
        <w:rPr>
          <w:color w:val="231F20"/>
        </w:rPr>
        <w:t>знания</w:t>
      </w:r>
      <w:r>
        <w:rPr>
          <w:color w:val="231F20"/>
          <w:spacing w:val="-1"/>
        </w:rPr>
        <w:t> </w:t>
      </w:r>
      <w:r>
        <w:rPr>
          <w:color w:val="231F20"/>
        </w:rPr>
        <w:t>на</w:t>
      </w:r>
      <w:r>
        <w:rPr>
          <w:color w:val="231F20"/>
          <w:spacing w:val="-1"/>
        </w:rPr>
        <w:t> </w:t>
      </w:r>
      <w:r>
        <w:rPr>
          <w:color w:val="231F20"/>
        </w:rPr>
        <w:t>практике:</w:t>
      </w:r>
      <w:r>
        <w:rPr>
          <w:color w:val="231F20"/>
          <w:spacing w:val="-1"/>
        </w:rPr>
        <w:t> </w:t>
      </w:r>
      <w:r>
        <w:rPr>
          <w:color w:val="231F20"/>
        </w:rPr>
        <w:t>при</w:t>
      </w:r>
      <w:r>
        <w:rPr>
          <w:color w:val="231F20"/>
          <w:spacing w:val="-1"/>
        </w:rPr>
        <w:t> </w:t>
      </w:r>
      <w:r>
        <w:rPr>
          <w:color w:val="231F20"/>
        </w:rPr>
        <w:t>решении</w:t>
      </w:r>
      <w:r>
        <w:rPr>
          <w:color w:val="231F20"/>
          <w:spacing w:val="-1"/>
        </w:rPr>
        <w:t> </w:t>
      </w:r>
      <w:r>
        <w:rPr>
          <w:color w:val="231F20"/>
        </w:rPr>
        <w:t>проблем,</w:t>
      </w:r>
      <w:r>
        <w:rPr>
          <w:color w:val="231F20"/>
          <w:spacing w:val="-1"/>
        </w:rPr>
        <w:t> </w:t>
      </w:r>
      <w:r>
        <w:rPr>
          <w:color w:val="231F20"/>
        </w:rPr>
        <w:t>достижении определенных</w:t>
      </w:r>
      <w:r>
        <w:rPr>
          <w:color w:val="231F20"/>
          <w:spacing w:val="-5"/>
        </w:rPr>
        <w:t> </w:t>
      </w:r>
      <w:r>
        <w:rPr>
          <w:color w:val="231F20"/>
        </w:rPr>
        <w:t>целей,</w:t>
      </w:r>
      <w:r>
        <w:rPr>
          <w:color w:val="231F20"/>
          <w:spacing w:val="-5"/>
        </w:rPr>
        <w:t> </w:t>
      </w:r>
      <w:r>
        <w:rPr>
          <w:color w:val="231F20"/>
        </w:rPr>
        <w:t>принятии</w:t>
      </w:r>
      <w:r>
        <w:rPr>
          <w:color w:val="231F20"/>
          <w:spacing w:val="-5"/>
        </w:rPr>
        <w:t> </w:t>
      </w:r>
      <w:r>
        <w:rPr>
          <w:color w:val="231F20"/>
        </w:rPr>
        <w:t>групповых</w:t>
      </w:r>
      <w:r>
        <w:rPr>
          <w:color w:val="231F20"/>
          <w:spacing w:val="-5"/>
        </w:rPr>
        <w:t> </w:t>
      </w:r>
      <w:r>
        <w:rPr>
          <w:color w:val="231F20"/>
        </w:rPr>
        <w:t>решений,</w:t>
      </w:r>
      <w:r>
        <w:rPr>
          <w:color w:val="231F20"/>
          <w:spacing w:val="-5"/>
        </w:rPr>
        <w:t> </w:t>
      </w:r>
      <w:r>
        <w:rPr>
          <w:color w:val="231F20"/>
        </w:rPr>
        <w:t>что,</w:t>
      </w:r>
      <w:r>
        <w:rPr>
          <w:color w:val="231F20"/>
          <w:spacing w:val="-5"/>
        </w:rPr>
        <w:t> </w:t>
      </w:r>
      <w:r>
        <w:rPr>
          <w:color w:val="231F20"/>
        </w:rPr>
        <w:t>в</w:t>
      </w:r>
      <w:r>
        <w:rPr>
          <w:color w:val="231F20"/>
          <w:spacing w:val="-5"/>
        </w:rPr>
        <w:t> </w:t>
      </w:r>
      <w:r>
        <w:rPr>
          <w:color w:val="231F20"/>
        </w:rPr>
        <w:t>свою</w:t>
      </w:r>
      <w:r>
        <w:rPr>
          <w:color w:val="231F20"/>
          <w:spacing w:val="-5"/>
        </w:rPr>
        <w:t> </w:t>
      </w:r>
      <w:r>
        <w:rPr>
          <w:color w:val="231F20"/>
        </w:rPr>
        <w:t>очередь,</w:t>
      </w:r>
      <w:r>
        <w:rPr>
          <w:color w:val="231F20"/>
          <w:spacing w:val="-5"/>
        </w:rPr>
        <w:t> </w:t>
      </w:r>
      <w:r>
        <w:rPr>
          <w:color w:val="231F20"/>
        </w:rPr>
        <w:t>ведет</w:t>
      </w:r>
      <w:r>
        <w:rPr>
          <w:color w:val="231F20"/>
          <w:spacing w:val="-5"/>
        </w:rPr>
        <w:t> </w:t>
      </w:r>
      <w:r>
        <w:rPr>
          <w:color w:val="231F20"/>
        </w:rPr>
        <w:t>к</w:t>
      </w:r>
      <w:r>
        <w:rPr>
          <w:color w:val="231F20"/>
          <w:spacing w:val="-5"/>
        </w:rPr>
        <w:t> </w:t>
      </w:r>
      <w:r>
        <w:rPr>
          <w:color w:val="231F20"/>
        </w:rPr>
        <w:t>по- лучению нового опыта, который становится для участников началом нового цикла обучения (Величко, 2001).</w:t>
      </w:r>
    </w:p>
    <w:p>
      <w:pPr>
        <w:pStyle w:val="BodyText"/>
        <w:spacing w:after="0"/>
        <w:sectPr>
          <w:pgSz w:w="8400" w:h="11910"/>
          <w:pgMar w:header="0" w:footer="542" w:top="400" w:bottom="740" w:left="425" w:right="425"/>
        </w:sectPr>
      </w:pPr>
    </w:p>
    <w:p>
      <w:pPr>
        <w:pStyle w:val="ListParagraph"/>
        <w:numPr>
          <w:ilvl w:val="1"/>
          <w:numId w:val="73"/>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Технологии</w:t>
      </w:r>
      <w:r>
        <w:rPr>
          <w:rFonts w:ascii="Georgia" w:hAnsi="Georgia"/>
          <w:color w:val="231F20"/>
          <w:spacing w:val="1"/>
          <w:sz w:val="18"/>
        </w:rPr>
        <w:t> </w:t>
      </w:r>
      <w:r>
        <w:rPr>
          <w:rFonts w:ascii="Georgia" w:hAnsi="Georgia"/>
          <w:color w:val="231F20"/>
          <w:sz w:val="18"/>
        </w:rPr>
        <w:t>повышения</w:t>
      </w:r>
      <w:r>
        <w:rPr>
          <w:rFonts w:ascii="Georgia" w:hAnsi="Georgia"/>
          <w:color w:val="231F20"/>
          <w:spacing w:val="48"/>
          <w:sz w:val="18"/>
        </w:rPr>
        <w:t> </w:t>
      </w:r>
      <w:r>
        <w:rPr>
          <w:rFonts w:ascii="Georgia" w:hAnsi="Georgia"/>
          <w:color w:val="231F20"/>
          <w:sz w:val="18"/>
        </w:rPr>
        <w:t>межкультурной</w:t>
      </w:r>
      <w:r>
        <w:rPr>
          <w:rFonts w:ascii="Georgia" w:hAnsi="Georgia"/>
          <w:color w:val="231F20"/>
          <w:spacing w:val="1"/>
          <w:sz w:val="18"/>
        </w:rPr>
        <w:t> </w:t>
      </w:r>
      <w:r>
        <w:rPr>
          <w:rFonts w:ascii="Georgia" w:hAnsi="Georgia"/>
          <w:color w:val="231F20"/>
          <w:sz w:val="18"/>
        </w:rPr>
        <w:t>компетентности</w:t>
      </w:r>
      <w:r>
        <w:rPr>
          <w:rFonts w:ascii="Georgia" w:hAnsi="Georgia"/>
          <w:color w:val="231F20"/>
          <w:spacing w:val="2"/>
          <w:sz w:val="18"/>
        </w:rPr>
        <w:t> </w:t>
      </w:r>
      <w:r>
        <w:rPr>
          <w:rFonts w:ascii="Georgia" w:hAnsi="Georgia"/>
          <w:color w:val="231F20"/>
          <w:spacing w:val="-2"/>
          <w:sz w:val="18"/>
        </w:rPr>
        <w:t>педагогов</w:t>
      </w:r>
    </w:p>
    <w:p>
      <w:pPr>
        <w:pStyle w:val="BodyText"/>
        <w:spacing w:line="235" w:lineRule="auto" w:before="116"/>
      </w:pPr>
      <w:r>
        <w:rPr>
          <w:color w:val="231F20"/>
        </w:rPr>
        <w:t>Важной характеристикой интерактивного семинара является многосторонняя коммуникация,</w:t>
      </w:r>
      <w:r>
        <w:rPr>
          <w:color w:val="231F20"/>
          <w:spacing w:val="-13"/>
        </w:rPr>
        <w:t> </w:t>
      </w:r>
      <w:r>
        <w:rPr>
          <w:color w:val="231F20"/>
        </w:rPr>
        <w:t>с</w:t>
      </w:r>
      <w:r>
        <w:rPr>
          <w:color w:val="231F20"/>
          <w:spacing w:val="-12"/>
        </w:rPr>
        <w:t> </w:t>
      </w:r>
      <w:r>
        <w:rPr>
          <w:color w:val="231F20"/>
        </w:rPr>
        <w:t>помощью</w:t>
      </w:r>
      <w:r>
        <w:rPr>
          <w:color w:val="231F20"/>
          <w:spacing w:val="-13"/>
        </w:rPr>
        <w:t> </w:t>
      </w:r>
      <w:r>
        <w:rPr>
          <w:color w:val="231F20"/>
        </w:rPr>
        <w:t>которой</w:t>
      </w:r>
      <w:r>
        <w:rPr>
          <w:color w:val="231F20"/>
          <w:spacing w:val="-12"/>
        </w:rPr>
        <w:t> </w:t>
      </w:r>
      <w:r>
        <w:rPr>
          <w:color w:val="231F20"/>
        </w:rPr>
        <w:t>происходит</w:t>
      </w:r>
      <w:r>
        <w:rPr>
          <w:color w:val="231F20"/>
          <w:spacing w:val="-13"/>
        </w:rPr>
        <w:t> </w:t>
      </w:r>
      <w:r>
        <w:rPr>
          <w:color w:val="231F20"/>
        </w:rPr>
        <w:t>свободный</w:t>
      </w:r>
      <w:r>
        <w:rPr>
          <w:color w:val="231F20"/>
          <w:spacing w:val="-12"/>
        </w:rPr>
        <w:t> </w:t>
      </w:r>
      <w:r>
        <w:rPr>
          <w:color w:val="231F20"/>
        </w:rPr>
        <w:t>обмен</w:t>
      </w:r>
      <w:r>
        <w:rPr>
          <w:color w:val="231F20"/>
          <w:spacing w:val="-13"/>
        </w:rPr>
        <w:t> </w:t>
      </w:r>
      <w:r>
        <w:rPr>
          <w:color w:val="231F20"/>
        </w:rPr>
        <w:t>мнениями,</w:t>
      </w:r>
      <w:r>
        <w:rPr>
          <w:color w:val="231F20"/>
          <w:spacing w:val="-12"/>
        </w:rPr>
        <w:t> </w:t>
      </w:r>
      <w:r>
        <w:rPr>
          <w:color w:val="231F20"/>
        </w:rPr>
        <w:t>идеями, информацией</w:t>
      </w:r>
      <w:r>
        <w:rPr>
          <w:color w:val="231F20"/>
          <w:spacing w:val="-8"/>
        </w:rPr>
        <w:t> </w:t>
      </w:r>
      <w:r>
        <w:rPr>
          <w:color w:val="231F20"/>
        </w:rPr>
        <w:t>не</w:t>
      </w:r>
      <w:r>
        <w:rPr>
          <w:color w:val="231F20"/>
          <w:spacing w:val="-8"/>
        </w:rPr>
        <w:t> </w:t>
      </w:r>
      <w:r>
        <w:rPr>
          <w:color w:val="231F20"/>
        </w:rPr>
        <w:t>только</w:t>
      </w:r>
      <w:r>
        <w:rPr>
          <w:color w:val="231F20"/>
          <w:spacing w:val="-8"/>
        </w:rPr>
        <w:t> </w:t>
      </w:r>
      <w:r>
        <w:rPr>
          <w:color w:val="231F20"/>
        </w:rPr>
        <w:t>между</w:t>
      </w:r>
      <w:r>
        <w:rPr>
          <w:color w:val="231F20"/>
          <w:spacing w:val="-8"/>
        </w:rPr>
        <w:t> </w:t>
      </w:r>
      <w:r>
        <w:rPr>
          <w:color w:val="231F20"/>
        </w:rPr>
        <w:t>ведущим/модератором</w:t>
      </w:r>
      <w:r>
        <w:rPr>
          <w:color w:val="231F20"/>
          <w:spacing w:val="-8"/>
        </w:rPr>
        <w:t> </w:t>
      </w:r>
      <w:r>
        <w:rPr>
          <w:color w:val="231F20"/>
        </w:rPr>
        <w:t>и</w:t>
      </w:r>
      <w:r>
        <w:rPr>
          <w:color w:val="231F20"/>
          <w:spacing w:val="-8"/>
        </w:rPr>
        <w:t> </w:t>
      </w:r>
      <w:r>
        <w:rPr>
          <w:color w:val="231F20"/>
        </w:rPr>
        <w:t>участником,</w:t>
      </w:r>
      <w:r>
        <w:rPr>
          <w:color w:val="231F20"/>
          <w:spacing w:val="-8"/>
        </w:rPr>
        <w:t> </w:t>
      </w:r>
      <w:r>
        <w:rPr>
          <w:color w:val="231F20"/>
        </w:rPr>
        <w:t>но</w:t>
      </w:r>
      <w:r>
        <w:rPr>
          <w:color w:val="231F20"/>
          <w:spacing w:val="-8"/>
        </w:rPr>
        <w:t> </w:t>
      </w:r>
      <w:r>
        <w:rPr>
          <w:color w:val="231F20"/>
        </w:rPr>
        <w:t>и</w:t>
      </w:r>
      <w:r>
        <w:rPr>
          <w:color w:val="231F20"/>
          <w:spacing w:val="-8"/>
        </w:rPr>
        <w:t> </w:t>
      </w:r>
      <w:r>
        <w:rPr>
          <w:color w:val="231F20"/>
        </w:rPr>
        <w:t>участника- ми между собой.</w:t>
      </w:r>
    </w:p>
    <w:p>
      <w:pPr>
        <w:pStyle w:val="BodyText"/>
        <w:spacing w:line="235" w:lineRule="auto" w:before="2"/>
      </w:pPr>
      <w:r>
        <w:rPr>
          <w:color w:val="231F20"/>
        </w:rPr>
        <w:t>Взаимодействие между ведущим/модератором и участниками, а также между са- мими участниками на паритетных началах организовано таким образом, что у каж- дого есть возможность высказать свое мнение, повлиять на процесс принятия груп- пового решения, получить конструктивную обратную связь. При этом чувствуется доброжелательная рабочая атмосфера в группе.</w:t>
      </w:r>
    </w:p>
    <w:p>
      <w:pPr>
        <w:pStyle w:val="BodyText"/>
        <w:spacing w:line="235" w:lineRule="auto" w:before="3"/>
      </w:pPr>
      <w:r>
        <w:rPr>
          <w:color w:val="231F20"/>
        </w:rPr>
        <w:t>Наличие</w:t>
      </w:r>
      <w:r>
        <w:rPr>
          <w:color w:val="231F20"/>
          <w:spacing w:val="-9"/>
        </w:rPr>
        <w:t> </w:t>
      </w:r>
      <w:r>
        <w:rPr>
          <w:color w:val="231F20"/>
        </w:rPr>
        <w:t>интерактивных</w:t>
      </w:r>
      <w:r>
        <w:rPr>
          <w:color w:val="231F20"/>
          <w:spacing w:val="-9"/>
        </w:rPr>
        <w:t> </w:t>
      </w:r>
      <w:r>
        <w:rPr>
          <w:color w:val="231F20"/>
        </w:rPr>
        <w:t>методов</w:t>
      </w:r>
      <w:r>
        <w:rPr>
          <w:color w:val="231F20"/>
          <w:spacing w:val="-9"/>
        </w:rPr>
        <w:t> </w:t>
      </w:r>
      <w:r>
        <w:rPr>
          <w:color w:val="231F20"/>
        </w:rPr>
        <w:t>на</w:t>
      </w:r>
      <w:r>
        <w:rPr>
          <w:color w:val="231F20"/>
          <w:spacing w:val="-9"/>
        </w:rPr>
        <w:t> </w:t>
      </w:r>
      <w:r>
        <w:rPr>
          <w:color w:val="231F20"/>
        </w:rPr>
        <w:t>семинаре</w:t>
      </w:r>
      <w:r>
        <w:rPr>
          <w:color w:val="231F20"/>
          <w:spacing w:val="-9"/>
        </w:rPr>
        <w:t> </w:t>
      </w:r>
      <w:r>
        <w:rPr>
          <w:color w:val="231F20"/>
        </w:rPr>
        <w:t>способствует</w:t>
      </w:r>
      <w:r>
        <w:rPr>
          <w:color w:val="231F20"/>
          <w:spacing w:val="-9"/>
        </w:rPr>
        <w:t> </w:t>
      </w:r>
      <w:r>
        <w:rPr>
          <w:color w:val="231F20"/>
        </w:rPr>
        <w:t>организации</w:t>
      </w:r>
      <w:r>
        <w:rPr>
          <w:color w:val="231F20"/>
          <w:spacing w:val="-9"/>
        </w:rPr>
        <w:t> </w:t>
      </w:r>
      <w:r>
        <w:rPr>
          <w:color w:val="231F20"/>
        </w:rPr>
        <w:t>деятель- ности участников:</w:t>
      </w:r>
    </w:p>
    <w:p>
      <w:pPr>
        <w:pStyle w:val="ListParagraph"/>
        <w:numPr>
          <w:ilvl w:val="0"/>
          <w:numId w:val="77"/>
        </w:numPr>
        <w:tabs>
          <w:tab w:pos="581" w:val="left" w:leader="none"/>
        </w:tabs>
        <w:spacing w:line="235" w:lineRule="auto" w:before="2" w:after="0"/>
        <w:ind w:left="141" w:right="139" w:firstLine="283"/>
        <w:jc w:val="both"/>
        <w:rPr>
          <w:sz w:val="20"/>
        </w:rPr>
      </w:pPr>
      <w:r>
        <w:rPr>
          <w:color w:val="231F20"/>
          <w:sz w:val="20"/>
        </w:rPr>
        <w:t>на</w:t>
      </w:r>
      <w:r>
        <w:rPr>
          <w:color w:val="231F20"/>
          <w:spacing w:val="-6"/>
          <w:sz w:val="20"/>
        </w:rPr>
        <w:t> </w:t>
      </w:r>
      <w:r>
        <w:rPr>
          <w:color w:val="231F20"/>
          <w:sz w:val="20"/>
        </w:rPr>
        <w:t>социально-психологическом</w:t>
      </w:r>
      <w:r>
        <w:rPr>
          <w:color w:val="231F20"/>
          <w:spacing w:val="-6"/>
          <w:sz w:val="20"/>
        </w:rPr>
        <w:t> </w:t>
      </w:r>
      <w:r>
        <w:rPr>
          <w:color w:val="231F20"/>
          <w:sz w:val="20"/>
        </w:rPr>
        <w:t>уровне,</w:t>
      </w:r>
      <w:r>
        <w:rPr>
          <w:color w:val="231F20"/>
          <w:spacing w:val="-6"/>
          <w:sz w:val="20"/>
        </w:rPr>
        <w:t> </w:t>
      </w:r>
      <w:r>
        <w:rPr>
          <w:color w:val="231F20"/>
          <w:sz w:val="20"/>
        </w:rPr>
        <w:t>который</w:t>
      </w:r>
      <w:r>
        <w:rPr>
          <w:color w:val="231F20"/>
          <w:spacing w:val="-6"/>
          <w:sz w:val="20"/>
        </w:rPr>
        <w:t> </w:t>
      </w:r>
      <w:r>
        <w:rPr>
          <w:color w:val="231F20"/>
          <w:sz w:val="20"/>
        </w:rPr>
        <w:t>позволяет</w:t>
      </w:r>
      <w:r>
        <w:rPr>
          <w:color w:val="231F20"/>
          <w:spacing w:val="-6"/>
          <w:sz w:val="20"/>
        </w:rPr>
        <w:t> </w:t>
      </w:r>
      <w:r>
        <w:rPr>
          <w:color w:val="231F20"/>
          <w:sz w:val="20"/>
        </w:rPr>
        <w:t>поддерживать</w:t>
      </w:r>
      <w:r>
        <w:rPr>
          <w:color w:val="231F20"/>
          <w:spacing w:val="-6"/>
          <w:sz w:val="20"/>
        </w:rPr>
        <w:t> </w:t>
      </w:r>
      <w:r>
        <w:rPr>
          <w:color w:val="231F20"/>
          <w:sz w:val="20"/>
        </w:rPr>
        <w:t>инте- ракцию (взаимодействие) и коммуникацию в группе;</w:t>
      </w:r>
    </w:p>
    <w:p>
      <w:pPr>
        <w:pStyle w:val="ListParagraph"/>
        <w:numPr>
          <w:ilvl w:val="0"/>
          <w:numId w:val="77"/>
        </w:numPr>
        <w:tabs>
          <w:tab w:pos="570" w:val="left" w:leader="none"/>
        </w:tabs>
        <w:spacing w:line="235" w:lineRule="auto" w:before="1" w:after="0"/>
        <w:ind w:left="141" w:right="139" w:firstLine="283"/>
        <w:jc w:val="both"/>
        <w:rPr>
          <w:sz w:val="20"/>
        </w:rPr>
      </w:pPr>
      <w:r>
        <w:rPr>
          <w:color w:val="231F20"/>
          <w:sz w:val="20"/>
        </w:rPr>
        <w:t>на</w:t>
      </w:r>
      <w:r>
        <w:rPr>
          <w:color w:val="231F20"/>
          <w:spacing w:val="-11"/>
          <w:sz w:val="20"/>
        </w:rPr>
        <w:t> </w:t>
      </w:r>
      <w:r>
        <w:rPr>
          <w:color w:val="231F20"/>
          <w:sz w:val="20"/>
        </w:rPr>
        <w:t>уровне</w:t>
      </w:r>
      <w:r>
        <w:rPr>
          <w:color w:val="231F20"/>
          <w:spacing w:val="-11"/>
          <w:sz w:val="20"/>
        </w:rPr>
        <w:t> </w:t>
      </w:r>
      <w:r>
        <w:rPr>
          <w:color w:val="231F20"/>
          <w:sz w:val="20"/>
        </w:rPr>
        <w:t>содержательного</w:t>
      </w:r>
      <w:r>
        <w:rPr>
          <w:color w:val="231F20"/>
          <w:spacing w:val="-11"/>
          <w:sz w:val="20"/>
        </w:rPr>
        <w:t> </w:t>
      </w:r>
      <w:r>
        <w:rPr>
          <w:color w:val="231F20"/>
          <w:sz w:val="20"/>
        </w:rPr>
        <w:t>обсуждения</w:t>
      </w:r>
      <w:r>
        <w:rPr>
          <w:color w:val="231F20"/>
          <w:spacing w:val="-11"/>
          <w:sz w:val="20"/>
        </w:rPr>
        <w:t> </w:t>
      </w:r>
      <w:r>
        <w:rPr>
          <w:color w:val="231F20"/>
          <w:sz w:val="20"/>
        </w:rPr>
        <w:t>вопроса,</w:t>
      </w:r>
      <w:r>
        <w:rPr>
          <w:color w:val="231F20"/>
          <w:spacing w:val="-11"/>
          <w:sz w:val="20"/>
        </w:rPr>
        <w:t> </w:t>
      </w:r>
      <w:r>
        <w:rPr>
          <w:color w:val="231F20"/>
          <w:sz w:val="20"/>
        </w:rPr>
        <w:t>помогающего</w:t>
      </w:r>
      <w:r>
        <w:rPr>
          <w:color w:val="231F20"/>
          <w:spacing w:val="-11"/>
          <w:sz w:val="20"/>
        </w:rPr>
        <w:t> </w:t>
      </w:r>
      <w:r>
        <w:rPr>
          <w:color w:val="231F20"/>
          <w:sz w:val="20"/>
        </w:rPr>
        <w:t>участникам</w:t>
      </w:r>
      <w:r>
        <w:rPr>
          <w:color w:val="231F20"/>
          <w:spacing w:val="-11"/>
          <w:sz w:val="20"/>
        </w:rPr>
        <w:t> </w:t>
      </w:r>
      <w:r>
        <w:rPr>
          <w:color w:val="231F20"/>
          <w:sz w:val="20"/>
        </w:rPr>
        <w:t>вос- принимать и осознавать обсуждаемую тему.</w:t>
      </w:r>
    </w:p>
    <w:p>
      <w:pPr>
        <w:pStyle w:val="BodyText"/>
        <w:spacing w:before="1"/>
      </w:pPr>
      <w:r>
        <w:rPr>
          <w:color w:val="231F20"/>
        </w:rPr>
        <w:t>Интерактивные семинары организуются с целью, с одной стороны, определить круг</w:t>
      </w:r>
      <w:r>
        <w:rPr>
          <w:color w:val="231F20"/>
          <w:spacing w:val="-11"/>
        </w:rPr>
        <w:t> </w:t>
      </w:r>
      <w:r>
        <w:rPr>
          <w:color w:val="231F20"/>
        </w:rPr>
        <w:t>проблем,</w:t>
      </w:r>
      <w:r>
        <w:rPr>
          <w:color w:val="231F20"/>
          <w:spacing w:val="-11"/>
        </w:rPr>
        <w:t> </w:t>
      </w:r>
      <w:r>
        <w:rPr>
          <w:color w:val="231F20"/>
        </w:rPr>
        <w:t>с</w:t>
      </w:r>
      <w:r>
        <w:rPr>
          <w:color w:val="231F20"/>
          <w:spacing w:val="-11"/>
        </w:rPr>
        <w:t> </w:t>
      </w:r>
      <w:r>
        <w:rPr>
          <w:color w:val="231F20"/>
        </w:rPr>
        <w:t>которыми</w:t>
      </w:r>
      <w:r>
        <w:rPr>
          <w:color w:val="231F20"/>
          <w:spacing w:val="-11"/>
        </w:rPr>
        <w:t> </w:t>
      </w:r>
      <w:r>
        <w:rPr>
          <w:color w:val="231F20"/>
        </w:rPr>
        <w:t>сталкивается</w:t>
      </w:r>
      <w:r>
        <w:rPr>
          <w:color w:val="231F20"/>
          <w:spacing w:val="-11"/>
        </w:rPr>
        <w:t> </w:t>
      </w:r>
      <w:r>
        <w:rPr>
          <w:color w:val="231F20"/>
        </w:rPr>
        <w:t>педагог,</w:t>
      </w:r>
      <w:r>
        <w:rPr>
          <w:color w:val="231F20"/>
          <w:spacing w:val="-11"/>
        </w:rPr>
        <w:t> </w:t>
      </w:r>
      <w:r>
        <w:rPr>
          <w:color w:val="231F20"/>
        </w:rPr>
        <w:t>а</w:t>
      </w:r>
      <w:r>
        <w:rPr>
          <w:color w:val="231F20"/>
          <w:spacing w:val="-11"/>
        </w:rPr>
        <w:t> </w:t>
      </w:r>
      <w:r>
        <w:rPr>
          <w:color w:val="231F20"/>
        </w:rPr>
        <w:t>с</w:t>
      </w:r>
      <w:r>
        <w:rPr>
          <w:color w:val="231F20"/>
          <w:spacing w:val="-11"/>
        </w:rPr>
        <w:t> </w:t>
      </w:r>
      <w:r>
        <w:rPr>
          <w:color w:val="231F20"/>
        </w:rPr>
        <w:t>другой</w:t>
      </w:r>
      <w:r>
        <w:rPr>
          <w:color w:val="231F20"/>
          <w:spacing w:val="-11"/>
        </w:rPr>
        <w:t> </w:t>
      </w:r>
      <w:r>
        <w:rPr>
          <w:color w:val="231F20"/>
        </w:rPr>
        <w:t>–</w:t>
      </w:r>
      <w:r>
        <w:rPr>
          <w:color w:val="231F20"/>
          <w:spacing w:val="-11"/>
        </w:rPr>
        <w:t> </w:t>
      </w:r>
      <w:r>
        <w:rPr>
          <w:color w:val="231F20"/>
        </w:rPr>
        <w:t>найти</w:t>
      </w:r>
      <w:r>
        <w:rPr>
          <w:color w:val="231F20"/>
          <w:spacing w:val="-11"/>
        </w:rPr>
        <w:t> </w:t>
      </w:r>
      <w:r>
        <w:rPr>
          <w:color w:val="231F20"/>
        </w:rPr>
        <w:t>их</w:t>
      </w:r>
      <w:r>
        <w:rPr>
          <w:color w:val="231F20"/>
          <w:spacing w:val="-11"/>
        </w:rPr>
        <w:t> </w:t>
      </w:r>
      <w:r>
        <w:rPr>
          <w:color w:val="231F20"/>
        </w:rPr>
        <w:t>решение,</w:t>
      </w:r>
      <w:r>
        <w:rPr>
          <w:color w:val="231F20"/>
          <w:spacing w:val="-11"/>
        </w:rPr>
        <w:t> </w:t>
      </w:r>
      <w:r>
        <w:rPr>
          <w:color w:val="231F20"/>
        </w:rPr>
        <w:t>кото- рое появляется у педагога в межкультурном взаимодействии.</w:t>
      </w:r>
    </w:p>
    <w:p>
      <w:pPr>
        <w:spacing w:before="114"/>
        <w:ind w:left="425" w:right="0" w:firstLine="0"/>
        <w:jc w:val="both"/>
        <w:rPr>
          <w:b/>
          <w:sz w:val="20"/>
        </w:rPr>
      </w:pPr>
      <w:r>
        <w:rPr>
          <w:b/>
          <w:color w:val="231F20"/>
          <w:sz w:val="20"/>
        </w:rPr>
        <w:t>Сильные</w:t>
      </w:r>
      <w:r>
        <w:rPr>
          <w:b/>
          <w:color w:val="231F20"/>
          <w:spacing w:val="-2"/>
          <w:sz w:val="20"/>
        </w:rPr>
        <w:t> </w:t>
      </w:r>
      <w:r>
        <w:rPr>
          <w:b/>
          <w:color w:val="231F20"/>
          <w:sz w:val="20"/>
        </w:rPr>
        <w:t>стороны</w:t>
      </w:r>
      <w:r>
        <w:rPr>
          <w:b/>
          <w:color w:val="231F20"/>
          <w:spacing w:val="-2"/>
          <w:sz w:val="20"/>
        </w:rPr>
        <w:t> практики</w:t>
      </w:r>
    </w:p>
    <w:p>
      <w:pPr>
        <w:pStyle w:val="BodyText"/>
      </w:pPr>
      <w:r>
        <w:rPr>
          <w:color w:val="231F20"/>
        </w:rPr>
        <w:t>Интерактивный</w:t>
      </w:r>
      <w:r>
        <w:rPr>
          <w:color w:val="231F20"/>
          <w:spacing w:val="-11"/>
        </w:rPr>
        <w:t> </w:t>
      </w:r>
      <w:r>
        <w:rPr>
          <w:color w:val="231F20"/>
        </w:rPr>
        <w:t>семинар</w:t>
      </w:r>
      <w:r>
        <w:rPr>
          <w:color w:val="231F20"/>
          <w:spacing w:val="-11"/>
        </w:rPr>
        <w:t> </w:t>
      </w:r>
      <w:r>
        <w:rPr>
          <w:color w:val="231F20"/>
        </w:rPr>
        <w:t>имеет</w:t>
      </w:r>
      <w:r>
        <w:rPr>
          <w:color w:val="231F20"/>
          <w:spacing w:val="-11"/>
        </w:rPr>
        <w:t> </w:t>
      </w:r>
      <w:r>
        <w:rPr>
          <w:color w:val="231F20"/>
        </w:rPr>
        <w:t>доказанную</w:t>
      </w:r>
      <w:r>
        <w:rPr>
          <w:color w:val="231F20"/>
          <w:spacing w:val="-11"/>
        </w:rPr>
        <w:t> </w:t>
      </w:r>
      <w:r>
        <w:rPr>
          <w:color w:val="231F20"/>
        </w:rPr>
        <w:t>эффективность</w:t>
      </w:r>
      <w:r>
        <w:rPr>
          <w:color w:val="231F20"/>
          <w:spacing w:val="-11"/>
        </w:rPr>
        <w:t> </w:t>
      </w:r>
      <w:r>
        <w:rPr>
          <w:color w:val="231F20"/>
        </w:rPr>
        <w:t>как</w:t>
      </w:r>
      <w:r>
        <w:rPr>
          <w:color w:val="231F20"/>
          <w:spacing w:val="-11"/>
        </w:rPr>
        <w:t> </w:t>
      </w:r>
      <w:r>
        <w:rPr>
          <w:color w:val="231F20"/>
        </w:rPr>
        <w:t>подход</w:t>
      </w:r>
      <w:r>
        <w:rPr>
          <w:color w:val="231F20"/>
          <w:spacing w:val="-11"/>
        </w:rPr>
        <w:t> </w:t>
      </w:r>
      <w:r>
        <w:rPr>
          <w:color w:val="231F20"/>
        </w:rPr>
        <w:t>по</w:t>
      </w:r>
      <w:r>
        <w:rPr>
          <w:color w:val="231F20"/>
          <w:spacing w:val="-11"/>
        </w:rPr>
        <w:t> </w:t>
      </w:r>
      <w:r>
        <w:rPr>
          <w:color w:val="231F20"/>
        </w:rPr>
        <w:t>присво- ению нового знания и паттернов поведения (Величко, 2001). По своей форме инте- рактивный семинар может рассматриваться, с одной стороны, как частный случай активных</w:t>
      </w:r>
      <w:r>
        <w:rPr>
          <w:color w:val="231F20"/>
          <w:spacing w:val="-10"/>
        </w:rPr>
        <w:t> </w:t>
      </w:r>
      <w:r>
        <w:rPr>
          <w:color w:val="231F20"/>
        </w:rPr>
        <w:t>форм</w:t>
      </w:r>
      <w:r>
        <w:rPr>
          <w:color w:val="231F20"/>
          <w:spacing w:val="-10"/>
        </w:rPr>
        <w:t> </w:t>
      </w:r>
      <w:r>
        <w:rPr>
          <w:color w:val="231F20"/>
        </w:rPr>
        <w:t>обучения,</w:t>
      </w:r>
      <w:r>
        <w:rPr>
          <w:color w:val="231F20"/>
          <w:spacing w:val="-10"/>
        </w:rPr>
        <w:t> </w:t>
      </w:r>
      <w:r>
        <w:rPr>
          <w:color w:val="231F20"/>
        </w:rPr>
        <w:t>наравне</w:t>
      </w:r>
      <w:r>
        <w:rPr>
          <w:color w:val="231F20"/>
          <w:spacing w:val="-10"/>
        </w:rPr>
        <w:t> </w:t>
      </w:r>
      <w:r>
        <w:rPr>
          <w:color w:val="231F20"/>
        </w:rPr>
        <w:t>с</w:t>
      </w:r>
      <w:r>
        <w:rPr>
          <w:color w:val="231F20"/>
          <w:spacing w:val="-10"/>
        </w:rPr>
        <w:t> </w:t>
      </w:r>
      <w:r>
        <w:rPr>
          <w:color w:val="231F20"/>
        </w:rPr>
        <w:t>групповой</w:t>
      </w:r>
      <w:r>
        <w:rPr>
          <w:color w:val="231F20"/>
          <w:spacing w:val="-10"/>
        </w:rPr>
        <w:t> </w:t>
      </w:r>
      <w:r>
        <w:rPr>
          <w:color w:val="231F20"/>
        </w:rPr>
        <w:t>дискуссией,</w:t>
      </w:r>
      <w:r>
        <w:rPr>
          <w:color w:val="231F20"/>
          <w:spacing w:val="-10"/>
        </w:rPr>
        <w:t> </w:t>
      </w:r>
      <w:r>
        <w:rPr>
          <w:color w:val="231F20"/>
        </w:rPr>
        <w:t>шерингом</w:t>
      </w:r>
      <w:r>
        <w:rPr>
          <w:color w:val="231F20"/>
          <w:spacing w:val="-10"/>
        </w:rPr>
        <w:t> </w:t>
      </w:r>
      <w:r>
        <w:rPr>
          <w:color w:val="231F20"/>
        </w:rPr>
        <w:t>и</w:t>
      </w:r>
      <w:r>
        <w:rPr>
          <w:color w:val="231F20"/>
          <w:spacing w:val="-10"/>
        </w:rPr>
        <w:t> </w:t>
      </w:r>
      <w:r>
        <w:rPr>
          <w:color w:val="231F20"/>
        </w:rPr>
        <w:t>пр.,</w:t>
      </w:r>
      <w:r>
        <w:rPr>
          <w:color w:val="231F20"/>
          <w:spacing w:val="-10"/>
        </w:rPr>
        <w:t> </w:t>
      </w:r>
      <w:r>
        <w:rPr>
          <w:color w:val="231F20"/>
        </w:rPr>
        <w:t>так</w:t>
      </w:r>
      <w:r>
        <w:rPr>
          <w:color w:val="231F20"/>
          <w:spacing w:val="-10"/>
        </w:rPr>
        <w:t> </w:t>
      </w:r>
      <w:r>
        <w:rPr>
          <w:color w:val="231F20"/>
        </w:rPr>
        <w:t>и</w:t>
      </w:r>
      <w:r>
        <w:rPr>
          <w:color w:val="231F20"/>
          <w:spacing w:val="-10"/>
        </w:rPr>
        <w:t> </w:t>
      </w:r>
      <w:r>
        <w:rPr>
          <w:color w:val="231F20"/>
        </w:rPr>
        <w:t>как элемент тренинга – с другой стороны.</w:t>
      </w:r>
    </w:p>
    <w:p>
      <w:pPr>
        <w:pStyle w:val="BodyText"/>
      </w:pPr>
      <w:r>
        <w:rPr>
          <w:color w:val="231F20"/>
        </w:rPr>
        <w:t>Интерактивный семинар как пример активной формы получения нового опыта, анализа</w:t>
      </w:r>
      <w:r>
        <w:rPr>
          <w:color w:val="231F20"/>
          <w:spacing w:val="-11"/>
        </w:rPr>
        <w:t> </w:t>
      </w:r>
      <w:r>
        <w:rPr>
          <w:color w:val="231F20"/>
        </w:rPr>
        <w:t>собственного</w:t>
      </w:r>
      <w:r>
        <w:rPr>
          <w:color w:val="231F20"/>
          <w:spacing w:val="-11"/>
        </w:rPr>
        <w:t> </w:t>
      </w:r>
      <w:r>
        <w:rPr>
          <w:color w:val="231F20"/>
        </w:rPr>
        <w:t>опыта</w:t>
      </w:r>
      <w:r>
        <w:rPr>
          <w:color w:val="231F20"/>
          <w:spacing w:val="-11"/>
        </w:rPr>
        <w:t> </w:t>
      </w:r>
      <w:r>
        <w:rPr>
          <w:color w:val="231F20"/>
        </w:rPr>
        <w:t>посредством</w:t>
      </w:r>
      <w:r>
        <w:rPr>
          <w:color w:val="231F20"/>
          <w:spacing w:val="-11"/>
        </w:rPr>
        <w:t> </w:t>
      </w:r>
      <w:r>
        <w:rPr>
          <w:color w:val="231F20"/>
        </w:rPr>
        <w:t>рефлексивных</w:t>
      </w:r>
      <w:r>
        <w:rPr>
          <w:color w:val="231F20"/>
          <w:spacing w:val="-11"/>
        </w:rPr>
        <w:t> </w:t>
      </w:r>
      <w:r>
        <w:rPr>
          <w:color w:val="231F20"/>
        </w:rPr>
        <w:t>техник</w:t>
      </w:r>
      <w:r>
        <w:rPr>
          <w:color w:val="231F20"/>
          <w:spacing w:val="-11"/>
        </w:rPr>
        <w:t> </w:t>
      </w:r>
      <w:r>
        <w:rPr>
          <w:color w:val="231F20"/>
        </w:rPr>
        <w:t>является</w:t>
      </w:r>
      <w:r>
        <w:rPr>
          <w:color w:val="231F20"/>
          <w:spacing w:val="-11"/>
        </w:rPr>
        <w:t> </w:t>
      </w:r>
      <w:r>
        <w:rPr>
          <w:color w:val="231F20"/>
        </w:rPr>
        <w:t>надежной</w:t>
      </w:r>
      <w:r>
        <w:rPr>
          <w:color w:val="231F20"/>
          <w:spacing w:val="-11"/>
        </w:rPr>
        <w:t> </w:t>
      </w:r>
      <w:r>
        <w:rPr>
          <w:color w:val="231F20"/>
        </w:rPr>
        <w:t>и эффективной</w:t>
      </w:r>
      <w:r>
        <w:rPr>
          <w:color w:val="231F20"/>
          <w:spacing w:val="-7"/>
        </w:rPr>
        <w:t> </w:t>
      </w:r>
      <w:r>
        <w:rPr>
          <w:color w:val="231F20"/>
        </w:rPr>
        <w:t>формой</w:t>
      </w:r>
      <w:r>
        <w:rPr>
          <w:color w:val="231F20"/>
          <w:spacing w:val="-7"/>
        </w:rPr>
        <w:t> </w:t>
      </w:r>
      <w:r>
        <w:rPr>
          <w:color w:val="231F20"/>
        </w:rPr>
        <w:t>работы</w:t>
      </w:r>
      <w:r>
        <w:rPr>
          <w:color w:val="231F20"/>
          <w:spacing w:val="-7"/>
        </w:rPr>
        <w:t> </w:t>
      </w:r>
      <w:r>
        <w:rPr>
          <w:color w:val="231F20"/>
        </w:rPr>
        <w:t>педагога</w:t>
      </w:r>
      <w:r>
        <w:rPr>
          <w:color w:val="231F20"/>
          <w:spacing w:val="-7"/>
        </w:rPr>
        <w:t> </w:t>
      </w:r>
      <w:r>
        <w:rPr>
          <w:color w:val="231F20"/>
        </w:rPr>
        <w:t>в</w:t>
      </w:r>
      <w:r>
        <w:rPr>
          <w:color w:val="231F20"/>
          <w:spacing w:val="-7"/>
        </w:rPr>
        <w:t> </w:t>
      </w:r>
      <w:r>
        <w:rPr>
          <w:color w:val="231F20"/>
        </w:rPr>
        <w:t>рамках</w:t>
      </w:r>
      <w:r>
        <w:rPr>
          <w:color w:val="231F20"/>
          <w:spacing w:val="-7"/>
        </w:rPr>
        <w:t> </w:t>
      </w:r>
      <w:r>
        <w:rPr>
          <w:color w:val="231F20"/>
        </w:rPr>
        <w:t>метод-объединений</w:t>
      </w:r>
      <w:r>
        <w:rPr>
          <w:color w:val="231F20"/>
          <w:spacing w:val="-7"/>
        </w:rPr>
        <w:t> </w:t>
      </w:r>
      <w:r>
        <w:rPr>
          <w:color w:val="231F20"/>
        </w:rPr>
        <w:t>в</w:t>
      </w:r>
      <w:r>
        <w:rPr>
          <w:color w:val="231F20"/>
          <w:spacing w:val="-7"/>
        </w:rPr>
        <w:t> </w:t>
      </w:r>
      <w:r>
        <w:rPr>
          <w:color w:val="231F20"/>
        </w:rPr>
        <w:t>контексте</w:t>
      </w:r>
      <w:r>
        <w:rPr>
          <w:color w:val="231F20"/>
          <w:spacing w:val="-7"/>
        </w:rPr>
        <w:t> </w:t>
      </w:r>
      <w:r>
        <w:rPr>
          <w:color w:val="231F20"/>
        </w:rPr>
        <w:t>вну- тришкольного повышения квалификации.</w:t>
      </w:r>
    </w:p>
    <w:p>
      <w:pPr>
        <w:spacing w:before="113"/>
        <w:ind w:left="425" w:right="0" w:firstLine="0"/>
        <w:jc w:val="both"/>
        <w:rPr>
          <w:b/>
          <w:sz w:val="20"/>
        </w:rPr>
      </w:pPr>
      <w:r>
        <w:rPr>
          <w:b/>
          <w:color w:val="231F20"/>
          <w:sz w:val="20"/>
        </w:rPr>
        <w:t>Требования</w:t>
      </w:r>
      <w:r>
        <w:rPr>
          <w:b/>
          <w:color w:val="231F20"/>
          <w:spacing w:val="-9"/>
          <w:sz w:val="20"/>
        </w:rPr>
        <w:t> </w:t>
      </w:r>
      <w:r>
        <w:rPr>
          <w:b/>
          <w:color w:val="231F20"/>
          <w:sz w:val="20"/>
        </w:rPr>
        <w:t>к</w:t>
      </w:r>
      <w:r>
        <w:rPr>
          <w:b/>
          <w:color w:val="231F20"/>
          <w:spacing w:val="-8"/>
          <w:sz w:val="20"/>
        </w:rPr>
        <w:t> </w:t>
      </w:r>
      <w:r>
        <w:rPr>
          <w:b/>
          <w:color w:val="231F20"/>
          <w:spacing w:val="-2"/>
          <w:sz w:val="20"/>
        </w:rPr>
        <w:t>проведению</w:t>
      </w:r>
    </w:p>
    <w:p>
      <w:pPr>
        <w:pStyle w:val="BodyText"/>
      </w:pPr>
      <w:r>
        <w:rPr>
          <w:color w:val="231F20"/>
        </w:rPr>
        <w:t>Организация</w:t>
      </w:r>
      <w:r>
        <w:rPr>
          <w:color w:val="231F20"/>
          <w:spacing w:val="-13"/>
        </w:rPr>
        <w:t> </w:t>
      </w:r>
      <w:r>
        <w:rPr>
          <w:color w:val="231F20"/>
        </w:rPr>
        <w:t>и</w:t>
      </w:r>
      <w:r>
        <w:rPr>
          <w:color w:val="231F20"/>
          <w:spacing w:val="-12"/>
        </w:rPr>
        <w:t> </w:t>
      </w:r>
      <w:r>
        <w:rPr>
          <w:color w:val="231F20"/>
        </w:rPr>
        <w:t>проведение</w:t>
      </w:r>
      <w:r>
        <w:rPr>
          <w:color w:val="231F20"/>
          <w:spacing w:val="-13"/>
        </w:rPr>
        <w:t> </w:t>
      </w:r>
      <w:r>
        <w:rPr>
          <w:color w:val="231F20"/>
        </w:rPr>
        <w:t>интерактивного</w:t>
      </w:r>
      <w:r>
        <w:rPr>
          <w:color w:val="231F20"/>
          <w:spacing w:val="-12"/>
        </w:rPr>
        <w:t> </w:t>
      </w:r>
      <w:r>
        <w:rPr>
          <w:color w:val="231F20"/>
        </w:rPr>
        <w:t>семинара</w:t>
      </w:r>
      <w:r>
        <w:rPr>
          <w:color w:val="231F20"/>
          <w:spacing w:val="-13"/>
        </w:rPr>
        <w:t> </w:t>
      </w:r>
      <w:r>
        <w:rPr>
          <w:color w:val="231F20"/>
        </w:rPr>
        <w:t>включает</w:t>
      </w:r>
      <w:r>
        <w:rPr>
          <w:color w:val="231F20"/>
          <w:spacing w:val="-12"/>
        </w:rPr>
        <w:t> </w:t>
      </w:r>
      <w:r>
        <w:rPr>
          <w:color w:val="231F20"/>
        </w:rPr>
        <w:t>в</w:t>
      </w:r>
      <w:r>
        <w:rPr>
          <w:color w:val="231F20"/>
          <w:spacing w:val="-13"/>
        </w:rPr>
        <w:t> </w:t>
      </w:r>
      <w:r>
        <w:rPr>
          <w:color w:val="231F20"/>
        </w:rPr>
        <w:t>себя</w:t>
      </w:r>
      <w:r>
        <w:rPr>
          <w:color w:val="231F20"/>
          <w:spacing w:val="-12"/>
        </w:rPr>
        <w:t> </w:t>
      </w:r>
      <w:r>
        <w:rPr>
          <w:color w:val="231F20"/>
        </w:rPr>
        <w:t>организаци- онную и содержательную стороны.</w:t>
      </w:r>
    </w:p>
    <w:p>
      <w:pPr>
        <w:pStyle w:val="BodyText"/>
      </w:pPr>
      <w:r>
        <w:rPr>
          <w:color w:val="231F20"/>
        </w:rPr>
        <w:t>Так</w:t>
      </w:r>
      <w:r>
        <w:rPr>
          <w:color w:val="231F20"/>
          <w:spacing w:val="-13"/>
        </w:rPr>
        <w:t> </w:t>
      </w:r>
      <w:r>
        <w:rPr>
          <w:color w:val="231F20"/>
        </w:rPr>
        <w:t>как</w:t>
      </w:r>
      <w:r>
        <w:rPr>
          <w:color w:val="231F20"/>
          <w:spacing w:val="-12"/>
        </w:rPr>
        <w:t> </w:t>
      </w:r>
      <w:r>
        <w:rPr>
          <w:color w:val="231F20"/>
        </w:rPr>
        <w:t>проведение</w:t>
      </w:r>
      <w:r>
        <w:rPr>
          <w:color w:val="231F20"/>
          <w:spacing w:val="-13"/>
        </w:rPr>
        <w:t> </w:t>
      </w:r>
      <w:r>
        <w:rPr>
          <w:color w:val="231F20"/>
        </w:rPr>
        <w:t>таких</w:t>
      </w:r>
      <w:r>
        <w:rPr>
          <w:color w:val="231F20"/>
          <w:spacing w:val="-12"/>
        </w:rPr>
        <w:t> </w:t>
      </w:r>
      <w:r>
        <w:rPr>
          <w:color w:val="231F20"/>
        </w:rPr>
        <w:t>семинаров</w:t>
      </w:r>
      <w:r>
        <w:rPr>
          <w:color w:val="231F20"/>
          <w:spacing w:val="-13"/>
        </w:rPr>
        <w:t> </w:t>
      </w:r>
      <w:r>
        <w:rPr>
          <w:color w:val="231F20"/>
        </w:rPr>
        <w:t>предполагается</w:t>
      </w:r>
      <w:r>
        <w:rPr>
          <w:color w:val="231F20"/>
          <w:spacing w:val="-12"/>
        </w:rPr>
        <w:t> </w:t>
      </w:r>
      <w:r>
        <w:rPr>
          <w:color w:val="231F20"/>
        </w:rPr>
        <w:t>в</w:t>
      </w:r>
      <w:r>
        <w:rPr>
          <w:color w:val="231F20"/>
          <w:spacing w:val="-13"/>
        </w:rPr>
        <w:t> </w:t>
      </w:r>
      <w:r>
        <w:rPr>
          <w:color w:val="231F20"/>
        </w:rPr>
        <w:t>рамках</w:t>
      </w:r>
      <w:r>
        <w:rPr>
          <w:color w:val="231F20"/>
          <w:spacing w:val="-12"/>
        </w:rPr>
        <w:t> </w:t>
      </w:r>
      <w:r>
        <w:rPr>
          <w:color w:val="231F20"/>
        </w:rPr>
        <w:t>метод-объединений и в контексте внутришкольного повышения квалификации, то интерактивные семи- нары</w:t>
      </w:r>
      <w:r>
        <w:rPr>
          <w:color w:val="231F20"/>
          <w:spacing w:val="-5"/>
        </w:rPr>
        <w:t> </w:t>
      </w:r>
      <w:r>
        <w:rPr>
          <w:color w:val="231F20"/>
        </w:rPr>
        <w:t>могут</w:t>
      </w:r>
      <w:r>
        <w:rPr>
          <w:color w:val="231F20"/>
          <w:spacing w:val="-5"/>
        </w:rPr>
        <w:t> </w:t>
      </w:r>
      <w:r>
        <w:rPr>
          <w:color w:val="231F20"/>
        </w:rPr>
        <w:t>быть</w:t>
      </w:r>
      <w:r>
        <w:rPr>
          <w:color w:val="231F20"/>
          <w:spacing w:val="-5"/>
        </w:rPr>
        <w:t> </w:t>
      </w:r>
      <w:r>
        <w:rPr>
          <w:color w:val="231F20"/>
        </w:rPr>
        <w:t>зафиксированы</w:t>
      </w:r>
      <w:r>
        <w:rPr>
          <w:color w:val="231F20"/>
          <w:spacing w:val="-5"/>
        </w:rPr>
        <w:t> </w:t>
      </w:r>
      <w:r>
        <w:rPr>
          <w:color w:val="231F20"/>
        </w:rPr>
        <w:t>в</w:t>
      </w:r>
      <w:r>
        <w:rPr>
          <w:color w:val="231F20"/>
          <w:spacing w:val="-5"/>
        </w:rPr>
        <w:t> </w:t>
      </w:r>
      <w:r>
        <w:rPr>
          <w:color w:val="231F20"/>
        </w:rPr>
        <w:t>календарно-тематическом</w:t>
      </w:r>
      <w:r>
        <w:rPr>
          <w:color w:val="231F20"/>
          <w:spacing w:val="-5"/>
        </w:rPr>
        <w:t> </w:t>
      </w:r>
      <w:r>
        <w:rPr>
          <w:color w:val="231F20"/>
        </w:rPr>
        <w:t>плане</w:t>
      </w:r>
      <w:r>
        <w:rPr>
          <w:color w:val="231F20"/>
          <w:spacing w:val="-5"/>
        </w:rPr>
        <w:t> </w:t>
      </w:r>
      <w:r>
        <w:rPr>
          <w:color w:val="231F20"/>
        </w:rPr>
        <w:t>педагогов</w:t>
      </w:r>
      <w:r>
        <w:rPr>
          <w:color w:val="231F20"/>
          <w:spacing w:val="-5"/>
        </w:rPr>
        <w:t> </w:t>
      </w:r>
      <w:r>
        <w:rPr>
          <w:color w:val="231F20"/>
        </w:rPr>
        <w:t>(с</w:t>
      </w:r>
      <w:r>
        <w:rPr>
          <w:color w:val="231F20"/>
          <w:spacing w:val="-5"/>
        </w:rPr>
        <w:t> </w:t>
      </w:r>
      <w:r>
        <w:rPr>
          <w:color w:val="231F20"/>
        </w:rPr>
        <w:t>воз- можностью экспресс-собраний по актуальным случаям-запросам).</w:t>
      </w:r>
    </w:p>
    <w:p>
      <w:pPr>
        <w:pStyle w:val="BodyText"/>
      </w:pPr>
      <w:r>
        <w:rPr>
          <w:color w:val="231F20"/>
        </w:rPr>
        <w:t>Темы интерактивных семинаров могут быть заранее запланированы в КТП или заявляться</w:t>
      </w:r>
      <w:r>
        <w:rPr>
          <w:color w:val="231F20"/>
          <w:spacing w:val="-2"/>
        </w:rPr>
        <w:t> </w:t>
      </w:r>
      <w:r>
        <w:rPr>
          <w:color w:val="231F20"/>
        </w:rPr>
        <w:t>по</w:t>
      </w:r>
      <w:r>
        <w:rPr>
          <w:color w:val="231F20"/>
          <w:spacing w:val="-2"/>
        </w:rPr>
        <w:t> </w:t>
      </w:r>
      <w:r>
        <w:rPr>
          <w:color w:val="231F20"/>
        </w:rPr>
        <w:t>запросу</w:t>
      </w:r>
      <w:r>
        <w:rPr>
          <w:color w:val="231F20"/>
          <w:spacing w:val="-2"/>
        </w:rPr>
        <w:t> </w:t>
      </w:r>
      <w:r>
        <w:rPr>
          <w:color w:val="231F20"/>
        </w:rPr>
        <w:t>(актуальные</w:t>
      </w:r>
      <w:r>
        <w:rPr>
          <w:color w:val="231F20"/>
          <w:spacing w:val="-2"/>
        </w:rPr>
        <w:t> </w:t>
      </w:r>
      <w:r>
        <w:rPr>
          <w:color w:val="231F20"/>
        </w:rPr>
        <w:t>трудности).</w:t>
      </w:r>
      <w:r>
        <w:rPr>
          <w:color w:val="231F20"/>
          <w:spacing w:val="-2"/>
        </w:rPr>
        <w:t> </w:t>
      </w:r>
      <w:r>
        <w:rPr>
          <w:color w:val="231F20"/>
        </w:rPr>
        <w:t>В</w:t>
      </w:r>
      <w:r>
        <w:rPr>
          <w:color w:val="231F20"/>
          <w:spacing w:val="-2"/>
        </w:rPr>
        <w:t> </w:t>
      </w:r>
      <w:r>
        <w:rPr>
          <w:color w:val="231F20"/>
        </w:rPr>
        <w:t>качестве</w:t>
      </w:r>
      <w:r>
        <w:rPr>
          <w:color w:val="231F20"/>
          <w:spacing w:val="-2"/>
        </w:rPr>
        <w:t> </w:t>
      </w:r>
      <w:r>
        <w:rPr>
          <w:color w:val="231F20"/>
        </w:rPr>
        <w:t>заранее</w:t>
      </w:r>
      <w:r>
        <w:rPr>
          <w:color w:val="231F20"/>
          <w:spacing w:val="-2"/>
        </w:rPr>
        <w:t> </w:t>
      </w:r>
      <w:r>
        <w:rPr>
          <w:color w:val="231F20"/>
        </w:rPr>
        <w:t>запланированных общих тем интерактивного семинара могут выступать следующие:</w:t>
      </w:r>
    </w:p>
    <w:p>
      <w:pPr>
        <w:pStyle w:val="ListParagraph"/>
        <w:numPr>
          <w:ilvl w:val="0"/>
          <w:numId w:val="78"/>
        </w:numPr>
        <w:tabs>
          <w:tab w:pos="425" w:val="left" w:leader="none"/>
        </w:tabs>
        <w:spacing w:line="235" w:lineRule="auto" w:before="0" w:after="0"/>
        <w:ind w:left="425" w:right="139" w:hanging="284"/>
        <w:jc w:val="left"/>
        <w:rPr>
          <w:sz w:val="20"/>
        </w:rPr>
      </w:pPr>
      <w:r>
        <w:rPr>
          <w:color w:val="231F20"/>
          <w:sz w:val="20"/>
        </w:rPr>
        <w:t>Культурные</w:t>
      </w:r>
      <w:r>
        <w:rPr>
          <w:color w:val="231F20"/>
          <w:spacing w:val="-1"/>
          <w:sz w:val="20"/>
        </w:rPr>
        <w:t> </w:t>
      </w:r>
      <w:r>
        <w:rPr>
          <w:color w:val="231F20"/>
          <w:sz w:val="20"/>
        </w:rPr>
        <w:t>(религиозные,</w:t>
      </w:r>
      <w:r>
        <w:rPr>
          <w:color w:val="231F20"/>
          <w:spacing w:val="-1"/>
          <w:sz w:val="20"/>
        </w:rPr>
        <w:t> </w:t>
      </w:r>
      <w:r>
        <w:rPr>
          <w:color w:val="231F20"/>
          <w:sz w:val="20"/>
        </w:rPr>
        <w:t>этнические</w:t>
      </w:r>
      <w:r>
        <w:rPr>
          <w:color w:val="231F20"/>
          <w:spacing w:val="-2"/>
          <w:sz w:val="20"/>
        </w:rPr>
        <w:t> </w:t>
      </w:r>
      <w:r>
        <w:rPr>
          <w:color w:val="231F20"/>
          <w:sz w:val="20"/>
        </w:rPr>
        <w:t>и</w:t>
      </w:r>
      <w:r>
        <w:rPr>
          <w:color w:val="231F20"/>
          <w:spacing w:val="-1"/>
          <w:sz w:val="20"/>
        </w:rPr>
        <w:t> </w:t>
      </w:r>
      <w:r>
        <w:rPr>
          <w:color w:val="231F20"/>
          <w:sz w:val="20"/>
        </w:rPr>
        <w:t>др.)</w:t>
      </w:r>
      <w:r>
        <w:rPr>
          <w:color w:val="231F20"/>
          <w:spacing w:val="-2"/>
          <w:sz w:val="20"/>
        </w:rPr>
        <w:t> </w:t>
      </w:r>
      <w:r>
        <w:rPr>
          <w:color w:val="231F20"/>
          <w:sz w:val="20"/>
        </w:rPr>
        <w:t>особенности</w:t>
      </w:r>
      <w:r>
        <w:rPr>
          <w:color w:val="231F20"/>
          <w:spacing w:val="-2"/>
          <w:sz w:val="20"/>
        </w:rPr>
        <w:t> </w:t>
      </w:r>
      <w:r>
        <w:rPr>
          <w:color w:val="231F20"/>
          <w:sz w:val="20"/>
        </w:rPr>
        <w:t>и</w:t>
      </w:r>
      <w:r>
        <w:rPr>
          <w:color w:val="231F20"/>
          <w:spacing w:val="-1"/>
          <w:sz w:val="20"/>
        </w:rPr>
        <w:t> </w:t>
      </w:r>
      <w:r>
        <w:rPr>
          <w:color w:val="231F20"/>
          <w:sz w:val="20"/>
        </w:rPr>
        <w:t>их</w:t>
      </w:r>
      <w:r>
        <w:rPr>
          <w:color w:val="231F20"/>
          <w:spacing w:val="-1"/>
          <w:sz w:val="20"/>
        </w:rPr>
        <w:t> </w:t>
      </w:r>
      <w:r>
        <w:rPr>
          <w:color w:val="231F20"/>
          <w:sz w:val="20"/>
        </w:rPr>
        <w:t>влияние</w:t>
      </w:r>
      <w:r>
        <w:rPr>
          <w:color w:val="231F20"/>
          <w:spacing w:val="-1"/>
          <w:sz w:val="20"/>
        </w:rPr>
        <w:t> </w:t>
      </w:r>
      <w:r>
        <w:rPr>
          <w:color w:val="231F20"/>
          <w:sz w:val="20"/>
        </w:rPr>
        <w:t>на</w:t>
      </w:r>
      <w:r>
        <w:rPr>
          <w:color w:val="231F20"/>
          <w:spacing w:val="-1"/>
          <w:sz w:val="20"/>
        </w:rPr>
        <w:t> </w:t>
      </w:r>
      <w:r>
        <w:rPr>
          <w:color w:val="231F20"/>
          <w:sz w:val="20"/>
        </w:rPr>
        <w:t>акаде- мическую успеваемость, социальные навыки и поведение учеников в целом.</w:t>
      </w:r>
    </w:p>
    <w:p>
      <w:pPr>
        <w:pStyle w:val="ListParagraph"/>
        <w:numPr>
          <w:ilvl w:val="0"/>
          <w:numId w:val="78"/>
        </w:numPr>
        <w:tabs>
          <w:tab w:pos="425" w:val="left" w:leader="none"/>
        </w:tabs>
        <w:spacing w:line="235" w:lineRule="auto" w:before="1" w:after="0"/>
        <w:ind w:left="425" w:right="139" w:hanging="284"/>
        <w:jc w:val="left"/>
        <w:rPr>
          <w:sz w:val="20"/>
        </w:rPr>
      </w:pPr>
      <w:r>
        <w:rPr>
          <w:color w:val="231F20"/>
          <w:sz w:val="20"/>
        </w:rPr>
        <w:t>Этнические</w:t>
      </w:r>
      <w:r>
        <w:rPr>
          <w:color w:val="231F20"/>
          <w:spacing w:val="-4"/>
          <w:sz w:val="20"/>
        </w:rPr>
        <w:t> </w:t>
      </w:r>
      <w:r>
        <w:rPr>
          <w:color w:val="231F20"/>
          <w:sz w:val="20"/>
        </w:rPr>
        <w:t>установки,</w:t>
      </w:r>
      <w:r>
        <w:rPr>
          <w:color w:val="231F20"/>
          <w:spacing w:val="-4"/>
          <w:sz w:val="20"/>
        </w:rPr>
        <w:t> </w:t>
      </w:r>
      <w:r>
        <w:rPr>
          <w:color w:val="231F20"/>
          <w:sz w:val="20"/>
        </w:rPr>
        <w:t>стереотипы</w:t>
      </w:r>
      <w:r>
        <w:rPr>
          <w:color w:val="231F20"/>
          <w:spacing w:val="-4"/>
          <w:sz w:val="20"/>
        </w:rPr>
        <w:t> </w:t>
      </w:r>
      <w:r>
        <w:rPr>
          <w:color w:val="231F20"/>
          <w:sz w:val="20"/>
        </w:rPr>
        <w:t>и</w:t>
      </w:r>
      <w:r>
        <w:rPr>
          <w:color w:val="231F20"/>
          <w:spacing w:val="-5"/>
          <w:sz w:val="20"/>
        </w:rPr>
        <w:t> </w:t>
      </w:r>
      <w:r>
        <w:rPr>
          <w:color w:val="231F20"/>
          <w:sz w:val="20"/>
        </w:rPr>
        <w:t>ценностные</w:t>
      </w:r>
      <w:r>
        <w:rPr>
          <w:color w:val="231F20"/>
          <w:spacing w:val="-4"/>
          <w:sz w:val="20"/>
        </w:rPr>
        <w:t> </w:t>
      </w:r>
      <w:r>
        <w:rPr>
          <w:color w:val="231F20"/>
          <w:sz w:val="20"/>
        </w:rPr>
        <w:t>ориентиры</w:t>
      </w:r>
      <w:r>
        <w:rPr>
          <w:color w:val="231F20"/>
          <w:spacing w:val="-4"/>
          <w:sz w:val="20"/>
        </w:rPr>
        <w:t> </w:t>
      </w:r>
      <w:r>
        <w:rPr>
          <w:color w:val="231F20"/>
          <w:sz w:val="20"/>
        </w:rPr>
        <w:t>педагога,</w:t>
      </w:r>
      <w:r>
        <w:rPr>
          <w:color w:val="231F20"/>
          <w:spacing w:val="-4"/>
          <w:sz w:val="20"/>
        </w:rPr>
        <w:t> </w:t>
      </w:r>
      <w:r>
        <w:rPr>
          <w:color w:val="231F20"/>
          <w:sz w:val="20"/>
        </w:rPr>
        <w:t>и</w:t>
      </w:r>
      <w:r>
        <w:rPr>
          <w:color w:val="231F20"/>
          <w:spacing w:val="-5"/>
          <w:sz w:val="20"/>
        </w:rPr>
        <w:t> </w:t>
      </w:r>
      <w:r>
        <w:rPr>
          <w:color w:val="231F20"/>
          <w:sz w:val="20"/>
        </w:rPr>
        <w:t>их</w:t>
      </w:r>
      <w:r>
        <w:rPr>
          <w:color w:val="231F20"/>
          <w:spacing w:val="-4"/>
          <w:sz w:val="20"/>
        </w:rPr>
        <w:t> </w:t>
      </w:r>
      <w:r>
        <w:rPr>
          <w:color w:val="231F20"/>
          <w:sz w:val="20"/>
        </w:rPr>
        <w:t>влия- ние на восприятие учеников.</w:t>
      </w:r>
    </w:p>
    <w:p>
      <w:pPr>
        <w:pStyle w:val="ListParagraph"/>
        <w:numPr>
          <w:ilvl w:val="0"/>
          <w:numId w:val="78"/>
        </w:numPr>
        <w:tabs>
          <w:tab w:pos="425" w:val="left" w:leader="none"/>
        </w:tabs>
        <w:spacing w:line="235" w:lineRule="auto" w:before="2" w:after="0"/>
        <w:ind w:left="425" w:right="139" w:hanging="284"/>
        <w:jc w:val="left"/>
        <w:rPr>
          <w:sz w:val="20"/>
        </w:rPr>
      </w:pPr>
      <w:r>
        <w:rPr>
          <w:color w:val="231F20"/>
          <w:sz w:val="20"/>
        </w:rPr>
        <w:t>Культурные</w:t>
      </w:r>
      <w:r>
        <w:rPr>
          <w:color w:val="231F20"/>
          <w:spacing w:val="22"/>
          <w:sz w:val="20"/>
        </w:rPr>
        <w:t> </w:t>
      </w:r>
      <w:r>
        <w:rPr>
          <w:color w:val="231F20"/>
          <w:sz w:val="20"/>
        </w:rPr>
        <w:t>различия</w:t>
      </w:r>
      <w:r>
        <w:rPr>
          <w:color w:val="231F20"/>
          <w:spacing w:val="22"/>
          <w:sz w:val="20"/>
        </w:rPr>
        <w:t> </w:t>
      </w:r>
      <w:r>
        <w:rPr>
          <w:color w:val="231F20"/>
          <w:sz w:val="20"/>
        </w:rPr>
        <w:t>детей</w:t>
      </w:r>
      <w:r>
        <w:rPr>
          <w:color w:val="231F20"/>
          <w:spacing w:val="22"/>
          <w:sz w:val="20"/>
        </w:rPr>
        <w:t> </w:t>
      </w:r>
      <w:r>
        <w:rPr>
          <w:color w:val="231F20"/>
          <w:sz w:val="20"/>
        </w:rPr>
        <w:t>в</w:t>
      </w:r>
      <w:r>
        <w:rPr>
          <w:color w:val="231F20"/>
          <w:spacing w:val="22"/>
          <w:sz w:val="20"/>
        </w:rPr>
        <w:t> </w:t>
      </w:r>
      <w:r>
        <w:rPr>
          <w:color w:val="231F20"/>
          <w:sz w:val="20"/>
        </w:rPr>
        <w:t>классе</w:t>
      </w:r>
      <w:r>
        <w:rPr>
          <w:color w:val="231F20"/>
          <w:spacing w:val="22"/>
          <w:sz w:val="20"/>
        </w:rPr>
        <w:t> </w:t>
      </w:r>
      <w:r>
        <w:rPr>
          <w:color w:val="231F20"/>
          <w:sz w:val="20"/>
        </w:rPr>
        <w:t>(ученик-мигрант</w:t>
      </w:r>
      <w:r>
        <w:rPr>
          <w:color w:val="231F20"/>
          <w:spacing w:val="22"/>
          <w:sz w:val="20"/>
        </w:rPr>
        <w:t> </w:t>
      </w:r>
      <w:r>
        <w:rPr>
          <w:color w:val="231F20"/>
          <w:sz w:val="20"/>
        </w:rPr>
        <w:t>и</w:t>
      </w:r>
      <w:r>
        <w:rPr>
          <w:color w:val="231F20"/>
          <w:spacing w:val="22"/>
          <w:sz w:val="20"/>
        </w:rPr>
        <w:t> </w:t>
      </w:r>
      <w:r>
        <w:rPr>
          <w:color w:val="231F20"/>
          <w:sz w:val="20"/>
        </w:rPr>
        <w:t>дети</w:t>
      </w:r>
      <w:r>
        <w:rPr>
          <w:color w:val="231F20"/>
          <w:spacing w:val="22"/>
          <w:sz w:val="20"/>
        </w:rPr>
        <w:t> </w:t>
      </w:r>
      <w:r>
        <w:rPr>
          <w:color w:val="231F20"/>
          <w:sz w:val="20"/>
        </w:rPr>
        <w:t>из</w:t>
      </w:r>
      <w:r>
        <w:rPr>
          <w:color w:val="231F20"/>
          <w:spacing w:val="22"/>
          <w:sz w:val="20"/>
        </w:rPr>
        <w:t> </w:t>
      </w:r>
      <w:r>
        <w:rPr>
          <w:color w:val="231F20"/>
          <w:sz w:val="20"/>
        </w:rPr>
        <w:t>принимающей культуры) и их влияние на поведение и восприятие детей друг с другом.</w:t>
      </w:r>
    </w:p>
    <w:p>
      <w:pPr>
        <w:pStyle w:val="ListParagraph"/>
        <w:spacing w:after="0" w:line="235" w:lineRule="auto"/>
        <w:jc w:val="left"/>
        <w:rPr>
          <w:sz w:val="20"/>
        </w:rPr>
        <w:sectPr>
          <w:pgSz w:w="8400" w:h="11910"/>
          <w:pgMar w:header="0" w:footer="542"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pStyle w:val="ListParagraph"/>
        <w:numPr>
          <w:ilvl w:val="0"/>
          <w:numId w:val="78"/>
        </w:numPr>
        <w:tabs>
          <w:tab w:pos="423" w:val="left" w:leader="none"/>
          <w:tab w:pos="425" w:val="left" w:leader="none"/>
        </w:tabs>
        <w:spacing w:line="235" w:lineRule="auto" w:before="116" w:after="0"/>
        <w:ind w:left="425" w:right="139" w:hanging="284"/>
        <w:jc w:val="both"/>
        <w:rPr>
          <w:sz w:val="20"/>
        </w:rPr>
      </w:pPr>
      <w:r>
        <w:rPr>
          <w:color w:val="231F20"/>
          <w:sz w:val="20"/>
        </w:rPr>
        <w:t>Социокультурные и психологические особенности адаптации ученика-мигранта и ее (адаптации) влияние на академическую успеваемость, социальные навыки и поведение в целом.</w:t>
      </w:r>
    </w:p>
    <w:p>
      <w:pPr>
        <w:pStyle w:val="BodyText"/>
        <w:spacing w:line="235" w:lineRule="auto" w:before="2"/>
      </w:pPr>
      <w:r>
        <w:rPr>
          <w:color w:val="231F20"/>
        </w:rPr>
        <w:t>Темы интерактивных семинаров, проводимых по актуальному случаю, могут быть</w:t>
      </w:r>
      <w:r>
        <w:rPr>
          <w:color w:val="231F20"/>
          <w:spacing w:val="-6"/>
        </w:rPr>
        <w:t> </w:t>
      </w:r>
      <w:r>
        <w:rPr>
          <w:color w:val="231F20"/>
        </w:rPr>
        <w:t>разнообразными,</w:t>
      </w:r>
      <w:r>
        <w:rPr>
          <w:color w:val="231F20"/>
          <w:spacing w:val="-6"/>
        </w:rPr>
        <w:t> </w:t>
      </w:r>
      <w:r>
        <w:rPr>
          <w:color w:val="231F20"/>
        </w:rPr>
        <w:t>охватывать</w:t>
      </w:r>
      <w:r>
        <w:rPr>
          <w:color w:val="231F20"/>
          <w:spacing w:val="-6"/>
        </w:rPr>
        <w:t> </w:t>
      </w:r>
      <w:r>
        <w:rPr>
          <w:color w:val="231F20"/>
        </w:rPr>
        <w:t>достаточно</w:t>
      </w:r>
      <w:r>
        <w:rPr>
          <w:color w:val="231F20"/>
          <w:spacing w:val="-5"/>
        </w:rPr>
        <w:t> </w:t>
      </w:r>
      <w:r>
        <w:rPr>
          <w:color w:val="231F20"/>
        </w:rPr>
        <w:t>широкий</w:t>
      </w:r>
      <w:r>
        <w:rPr>
          <w:color w:val="231F20"/>
          <w:spacing w:val="-6"/>
        </w:rPr>
        <w:t> </w:t>
      </w:r>
      <w:r>
        <w:rPr>
          <w:color w:val="231F20"/>
        </w:rPr>
        <w:t>круг</w:t>
      </w:r>
      <w:r>
        <w:rPr>
          <w:color w:val="231F20"/>
          <w:spacing w:val="-6"/>
        </w:rPr>
        <w:t> </w:t>
      </w:r>
      <w:r>
        <w:rPr>
          <w:color w:val="231F20"/>
        </w:rPr>
        <w:t>вопросов</w:t>
      </w:r>
      <w:r>
        <w:rPr>
          <w:color w:val="231F20"/>
          <w:spacing w:val="-6"/>
        </w:rPr>
        <w:t> </w:t>
      </w:r>
      <w:r>
        <w:rPr>
          <w:color w:val="231F20"/>
        </w:rPr>
        <w:t>и</w:t>
      </w:r>
      <w:r>
        <w:rPr>
          <w:color w:val="231F20"/>
          <w:spacing w:val="-6"/>
        </w:rPr>
        <w:t> </w:t>
      </w:r>
      <w:r>
        <w:rPr>
          <w:color w:val="231F20"/>
        </w:rPr>
        <w:t>трудностей. В качестве примера можно предложить следующие:</w:t>
      </w:r>
    </w:p>
    <w:p>
      <w:pPr>
        <w:pStyle w:val="BodyText"/>
        <w:tabs>
          <w:tab w:pos="425" w:val="left" w:leader="none"/>
        </w:tabs>
        <w:spacing w:line="226" w:lineRule="exact"/>
        <w:ind w:right="0" w:firstLine="0"/>
        <w:jc w:val="left"/>
      </w:pPr>
      <w:r>
        <w:rPr>
          <w:color w:val="231F20"/>
          <w:spacing w:val="-10"/>
        </w:rPr>
        <w:t>▫</w:t>
      </w:r>
      <w:r>
        <w:rPr>
          <w:color w:val="231F20"/>
        </w:rPr>
        <w:tab/>
        <w:t>Ученик-мигрант</w:t>
      </w:r>
      <w:r>
        <w:rPr>
          <w:color w:val="231F20"/>
          <w:spacing w:val="-4"/>
        </w:rPr>
        <w:t> </w:t>
      </w:r>
      <w:r>
        <w:rPr>
          <w:color w:val="231F20"/>
        </w:rPr>
        <w:t>перестал</w:t>
      </w:r>
      <w:r>
        <w:rPr>
          <w:color w:val="231F20"/>
          <w:spacing w:val="-2"/>
        </w:rPr>
        <w:t> </w:t>
      </w:r>
      <w:r>
        <w:rPr>
          <w:color w:val="231F20"/>
        </w:rPr>
        <w:t>посещать</w:t>
      </w:r>
      <w:r>
        <w:rPr>
          <w:color w:val="231F20"/>
          <w:spacing w:val="-2"/>
        </w:rPr>
        <w:t> </w:t>
      </w:r>
      <w:r>
        <w:rPr>
          <w:color w:val="231F20"/>
        </w:rPr>
        <w:t>уроки,</w:t>
      </w:r>
      <w:r>
        <w:rPr>
          <w:color w:val="231F20"/>
          <w:spacing w:val="-2"/>
        </w:rPr>
        <w:t> </w:t>
      </w:r>
      <w:r>
        <w:rPr>
          <w:color w:val="231F20"/>
        </w:rPr>
        <w:t>каковы</w:t>
      </w:r>
      <w:r>
        <w:rPr>
          <w:color w:val="231F20"/>
          <w:spacing w:val="-2"/>
        </w:rPr>
        <w:t> </w:t>
      </w:r>
      <w:r>
        <w:rPr>
          <w:color w:val="231F20"/>
        </w:rPr>
        <w:t>мои</w:t>
      </w:r>
      <w:r>
        <w:rPr>
          <w:color w:val="231F20"/>
          <w:spacing w:val="-2"/>
        </w:rPr>
        <w:t> действия?</w:t>
      </w:r>
    </w:p>
    <w:p>
      <w:pPr>
        <w:pStyle w:val="BodyText"/>
        <w:tabs>
          <w:tab w:pos="425" w:val="left" w:leader="none"/>
        </w:tabs>
        <w:spacing w:line="235" w:lineRule="auto" w:before="1"/>
        <w:ind w:left="425" w:right="140" w:hanging="284"/>
        <w:jc w:val="left"/>
      </w:pPr>
      <w:r>
        <w:rPr>
          <w:color w:val="231F20"/>
          <w:spacing w:val="-10"/>
        </w:rPr>
        <w:t>▫</w:t>
      </w:r>
      <w:r>
        <w:rPr>
          <w:color w:val="231F20"/>
        </w:rPr>
        <w:tab/>
        <w:t>Ученик-мигрант не делает домашнее задание, при этом в классе демонстрирует увлеченность и заинтересованность.</w:t>
      </w:r>
    </w:p>
    <w:p>
      <w:pPr>
        <w:pStyle w:val="BodyText"/>
        <w:tabs>
          <w:tab w:pos="425" w:val="left" w:leader="none"/>
        </w:tabs>
        <w:spacing w:line="235" w:lineRule="auto" w:before="2"/>
        <w:ind w:left="425" w:right="140" w:hanging="284"/>
        <w:jc w:val="left"/>
      </w:pPr>
      <w:r>
        <w:rPr>
          <w:color w:val="231F20"/>
          <w:spacing w:val="-10"/>
        </w:rPr>
        <w:t>▫</w:t>
      </w:r>
      <w:r>
        <w:rPr>
          <w:color w:val="231F20"/>
        </w:rPr>
        <w:tab/>
        <w:t>У классного руководителя возникла трудность при коммуникации с семьей миг- ранта (не приходят на родительское собрание, не отвечают на звонки).</w:t>
      </w:r>
    </w:p>
    <w:p>
      <w:pPr>
        <w:pStyle w:val="BodyText"/>
        <w:tabs>
          <w:tab w:pos="425" w:val="left" w:leader="none"/>
        </w:tabs>
        <w:spacing w:line="235" w:lineRule="auto" w:before="1"/>
        <w:ind w:left="425" w:right="140" w:hanging="284"/>
        <w:jc w:val="left"/>
      </w:pPr>
      <w:r>
        <w:rPr>
          <w:color w:val="231F20"/>
          <w:spacing w:val="-10"/>
        </w:rPr>
        <w:t>▫</w:t>
      </w:r>
      <w:r>
        <w:rPr>
          <w:color w:val="231F20"/>
        </w:rPr>
        <w:tab/>
        <w:t>Мне</w:t>
      </w:r>
      <w:r>
        <w:rPr>
          <w:color w:val="231F20"/>
          <w:spacing w:val="-6"/>
        </w:rPr>
        <w:t> </w:t>
      </w:r>
      <w:r>
        <w:rPr>
          <w:color w:val="231F20"/>
        </w:rPr>
        <w:t>в</w:t>
      </w:r>
      <w:r>
        <w:rPr>
          <w:color w:val="231F20"/>
          <w:spacing w:val="-7"/>
        </w:rPr>
        <w:t> </w:t>
      </w:r>
      <w:r>
        <w:rPr>
          <w:color w:val="231F20"/>
        </w:rPr>
        <w:t>класс</w:t>
      </w:r>
      <w:r>
        <w:rPr>
          <w:color w:val="231F20"/>
          <w:spacing w:val="-7"/>
        </w:rPr>
        <w:t> </w:t>
      </w:r>
      <w:r>
        <w:rPr>
          <w:color w:val="231F20"/>
        </w:rPr>
        <w:t>перевели</w:t>
      </w:r>
      <w:r>
        <w:rPr>
          <w:color w:val="231F20"/>
          <w:spacing w:val="-7"/>
        </w:rPr>
        <w:t> </w:t>
      </w:r>
      <w:r>
        <w:rPr>
          <w:color w:val="231F20"/>
        </w:rPr>
        <w:t>ребенка</w:t>
      </w:r>
      <w:r>
        <w:rPr>
          <w:color w:val="231F20"/>
          <w:spacing w:val="-6"/>
        </w:rPr>
        <w:t> </w:t>
      </w:r>
      <w:r>
        <w:rPr>
          <w:color w:val="231F20"/>
        </w:rPr>
        <w:t>с</w:t>
      </w:r>
      <w:r>
        <w:rPr>
          <w:color w:val="231F20"/>
          <w:spacing w:val="-6"/>
        </w:rPr>
        <w:t> </w:t>
      </w:r>
      <w:r>
        <w:rPr>
          <w:color w:val="231F20"/>
        </w:rPr>
        <w:t>плохим</w:t>
      </w:r>
      <w:r>
        <w:rPr>
          <w:color w:val="231F20"/>
          <w:spacing w:val="-6"/>
        </w:rPr>
        <w:t> </w:t>
      </w:r>
      <w:r>
        <w:rPr>
          <w:color w:val="231F20"/>
        </w:rPr>
        <w:t>знанием</w:t>
      </w:r>
      <w:r>
        <w:rPr>
          <w:color w:val="231F20"/>
          <w:spacing w:val="-6"/>
        </w:rPr>
        <w:t> </w:t>
      </w:r>
      <w:r>
        <w:rPr>
          <w:color w:val="231F20"/>
        </w:rPr>
        <w:t>русского</w:t>
      </w:r>
      <w:r>
        <w:rPr>
          <w:color w:val="231F20"/>
          <w:spacing w:val="-6"/>
        </w:rPr>
        <w:t> </w:t>
      </w:r>
      <w:r>
        <w:rPr>
          <w:color w:val="231F20"/>
        </w:rPr>
        <w:t>языка,</w:t>
      </w:r>
      <w:r>
        <w:rPr>
          <w:color w:val="231F20"/>
          <w:spacing w:val="-6"/>
        </w:rPr>
        <w:t> </w:t>
      </w:r>
      <w:r>
        <w:rPr>
          <w:color w:val="231F20"/>
        </w:rPr>
        <w:t>каковы</w:t>
      </w:r>
      <w:r>
        <w:rPr>
          <w:color w:val="231F20"/>
          <w:spacing w:val="-6"/>
        </w:rPr>
        <w:t> </w:t>
      </w:r>
      <w:r>
        <w:rPr>
          <w:color w:val="231F20"/>
        </w:rPr>
        <w:t>мои</w:t>
      </w:r>
      <w:r>
        <w:rPr>
          <w:color w:val="231F20"/>
          <w:spacing w:val="-7"/>
        </w:rPr>
        <w:t> </w:t>
      </w:r>
      <w:r>
        <w:rPr>
          <w:color w:val="231F20"/>
        </w:rPr>
        <w:t>дей- </w:t>
      </w:r>
      <w:r>
        <w:rPr>
          <w:color w:val="231F20"/>
          <w:spacing w:val="-2"/>
        </w:rPr>
        <w:t>ствия?</w:t>
      </w:r>
    </w:p>
    <w:p>
      <w:pPr>
        <w:pStyle w:val="BodyText"/>
        <w:spacing w:line="235" w:lineRule="auto" w:before="1"/>
      </w:pPr>
      <w:r>
        <w:rPr>
          <w:color w:val="231F20"/>
        </w:rPr>
        <w:t>Интерактивный</w:t>
      </w:r>
      <w:r>
        <w:rPr>
          <w:color w:val="231F20"/>
          <w:spacing w:val="-13"/>
        </w:rPr>
        <w:t> </w:t>
      </w:r>
      <w:r>
        <w:rPr>
          <w:color w:val="231F20"/>
        </w:rPr>
        <w:t>семинар</w:t>
      </w:r>
      <w:r>
        <w:rPr>
          <w:color w:val="231F20"/>
          <w:spacing w:val="-12"/>
        </w:rPr>
        <w:t> </w:t>
      </w:r>
      <w:r>
        <w:rPr>
          <w:color w:val="231F20"/>
        </w:rPr>
        <w:t>может</w:t>
      </w:r>
      <w:r>
        <w:rPr>
          <w:color w:val="231F20"/>
          <w:spacing w:val="-13"/>
        </w:rPr>
        <w:t> </w:t>
      </w:r>
      <w:r>
        <w:rPr>
          <w:color w:val="231F20"/>
        </w:rPr>
        <w:t>проводиться</w:t>
      </w:r>
      <w:r>
        <w:rPr>
          <w:color w:val="231F20"/>
          <w:spacing w:val="-12"/>
        </w:rPr>
        <w:t> </w:t>
      </w:r>
      <w:r>
        <w:rPr>
          <w:color w:val="231F20"/>
        </w:rPr>
        <w:t>в</w:t>
      </w:r>
      <w:r>
        <w:rPr>
          <w:color w:val="231F20"/>
          <w:spacing w:val="-13"/>
        </w:rPr>
        <w:t> </w:t>
      </w:r>
      <w:r>
        <w:rPr>
          <w:color w:val="231F20"/>
        </w:rPr>
        <w:t>форме</w:t>
      </w:r>
      <w:r>
        <w:rPr>
          <w:color w:val="231F20"/>
          <w:spacing w:val="-12"/>
        </w:rPr>
        <w:t> </w:t>
      </w:r>
      <w:r>
        <w:rPr>
          <w:color w:val="231F20"/>
        </w:rPr>
        <w:t>групповой</w:t>
      </w:r>
      <w:r>
        <w:rPr>
          <w:color w:val="231F20"/>
          <w:spacing w:val="-13"/>
        </w:rPr>
        <w:t> </w:t>
      </w:r>
      <w:r>
        <w:rPr>
          <w:color w:val="231F20"/>
        </w:rPr>
        <w:t>дискуссии,</w:t>
      </w:r>
      <w:r>
        <w:rPr>
          <w:color w:val="231F20"/>
          <w:spacing w:val="-12"/>
        </w:rPr>
        <w:t> </w:t>
      </w:r>
      <w:r>
        <w:rPr>
          <w:color w:val="231F20"/>
        </w:rPr>
        <w:t>вклю- чая</w:t>
      </w:r>
      <w:r>
        <w:rPr>
          <w:color w:val="231F20"/>
          <w:spacing w:val="-2"/>
        </w:rPr>
        <w:t> </w:t>
      </w:r>
      <w:r>
        <w:rPr>
          <w:color w:val="231F20"/>
        </w:rPr>
        <w:t>технику</w:t>
      </w:r>
      <w:r>
        <w:rPr>
          <w:color w:val="231F20"/>
          <w:spacing w:val="-2"/>
        </w:rPr>
        <w:t> </w:t>
      </w:r>
      <w:r>
        <w:rPr>
          <w:color w:val="231F20"/>
        </w:rPr>
        <w:t>мозгового</w:t>
      </w:r>
      <w:r>
        <w:rPr>
          <w:color w:val="231F20"/>
          <w:spacing w:val="-2"/>
        </w:rPr>
        <w:t> </w:t>
      </w:r>
      <w:r>
        <w:rPr>
          <w:color w:val="231F20"/>
        </w:rPr>
        <w:t>штурма</w:t>
      </w:r>
      <w:r>
        <w:rPr>
          <w:color w:val="231F20"/>
          <w:spacing w:val="-2"/>
        </w:rPr>
        <w:t> </w:t>
      </w:r>
      <w:r>
        <w:rPr>
          <w:color w:val="231F20"/>
        </w:rPr>
        <w:t>(Альтов,</w:t>
      </w:r>
      <w:r>
        <w:rPr>
          <w:color w:val="231F20"/>
          <w:spacing w:val="-2"/>
        </w:rPr>
        <w:t> </w:t>
      </w:r>
      <w:r>
        <w:rPr>
          <w:color w:val="231F20"/>
        </w:rPr>
        <w:t>2014),</w:t>
      </w:r>
      <w:r>
        <w:rPr>
          <w:color w:val="231F20"/>
          <w:spacing w:val="-2"/>
        </w:rPr>
        <w:t> </w:t>
      </w:r>
      <w:r>
        <w:rPr>
          <w:color w:val="231F20"/>
        </w:rPr>
        <w:t>техники</w:t>
      </w:r>
      <w:r>
        <w:rPr>
          <w:color w:val="231F20"/>
          <w:spacing w:val="-2"/>
        </w:rPr>
        <w:t> </w:t>
      </w:r>
      <w:r>
        <w:rPr>
          <w:color w:val="231F20"/>
        </w:rPr>
        <w:t>по</w:t>
      </w:r>
      <w:r>
        <w:rPr>
          <w:color w:val="231F20"/>
          <w:spacing w:val="-2"/>
        </w:rPr>
        <w:t> </w:t>
      </w:r>
      <w:r>
        <w:rPr>
          <w:color w:val="231F20"/>
        </w:rPr>
        <w:t>эффективной</w:t>
      </w:r>
      <w:r>
        <w:rPr>
          <w:color w:val="231F20"/>
          <w:spacing w:val="-2"/>
        </w:rPr>
        <w:t> </w:t>
      </w:r>
      <w:r>
        <w:rPr>
          <w:color w:val="231F20"/>
        </w:rPr>
        <w:t>коммуника- ции</w:t>
      </w:r>
      <w:r>
        <w:rPr>
          <w:color w:val="231F20"/>
          <w:spacing w:val="-1"/>
        </w:rPr>
        <w:t> </w:t>
      </w:r>
      <w:r>
        <w:rPr>
          <w:color w:val="231F20"/>
        </w:rPr>
        <w:t>(Величко,</w:t>
      </w:r>
      <w:r>
        <w:rPr>
          <w:color w:val="231F20"/>
          <w:spacing w:val="-1"/>
        </w:rPr>
        <w:t> </w:t>
      </w:r>
      <w:r>
        <w:rPr>
          <w:color w:val="231F20"/>
        </w:rPr>
        <w:t>2001),</w:t>
      </w:r>
      <w:r>
        <w:rPr>
          <w:color w:val="231F20"/>
          <w:spacing w:val="-1"/>
        </w:rPr>
        <w:t> </w:t>
      </w:r>
      <w:r>
        <w:rPr>
          <w:color w:val="231F20"/>
        </w:rPr>
        <w:t>а</w:t>
      </w:r>
      <w:r>
        <w:rPr>
          <w:color w:val="231F20"/>
          <w:spacing w:val="-1"/>
        </w:rPr>
        <w:t> </w:t>
      </w:r>
      <w:r>
        <w:rPr>
          <w:color w:val="231F20"/>
        </w:rPr>
        <w:t>также</w:t>
      </w:r>
      <w:r>
        <w:rPr>
          <w:color w:val="231F20"/>
          <w:spacing w:val="-1"/>
        </w:rPr>
        <w:t> </w:t>
      </w:r>
      <w:r>
        <w:rPr>
          <w:color w:val="231F20"/>
        </w:rPr>
        <w:t>типичные</w:t>
      </w:r>
      <w:r>
        <w:rPr>
          <w:color w:val="231F20"/>
          <w:spacing w:val="-1"/>
        </w:rPr>
        <w:t> </w:t>
      </w:r>
      <w:r>
        <w:rPr>
          <w:color w:val="231F20"/>
        </w:rPr>
        <w:t>техники</w:t>
      </w:r>
      <w:r>
        <w:rPr>
          <w:color w:val="231F20"/>
          <w:spacing w:val="-1"/>
        </w:rPr>
        <w:t> </w:t>
      </w:r>
      <w:r>
        <w:rPr>
          <w:color w:val="231F20"/>
        </w:rPr>
        <w:t>рефлексии</w:t>
      </w:r>
      <w:r>
        <w:rPr>
          <w:color w:val="231F20"/>
          <w:spacing w:val="-1"/>
        </w:rPr>
        <w:t> </w:t>
      </w:r>
      <w:r>
        <w:rPr>
          <w:color w:val="231F20"/>
        </w:rPr>
        <w:t>и</w:t>
      </w:r>
      <w:r>
        <w:rPr>
          <w:color w:val="231F20"/>
          <w:spacing w:val="-1"/>
        </w:rPr>
        <w:t> </w:t>
      </w:r>
      <w:r>
        <w:rPr>
          <w:color w:val="231F20"/>
        </w:rPr>
        <w:t>шеринга,</w:t>
      </w:r>
      <w:r>
        <w:rPr>
          <w:color w:val="231F20"/>
          <w:spacing w:val="-1"/>
        </w:rPr>
        <w:t> </w:t>
      </w:r>
      <w:r>
        <w:rPr>
          <w:color w:val="231F20"/>
        </w:rPr>
        <w:t>которые</w:t>
      </w:r>
      <w:r>
        <w:rPr>
          <w:color w:val="231F20"/>
          <w:spacing w:val="-1"/>
        </w:rPr>
        <w:t> </w:t>
      </w:r>
      <w:r>
        <w:rPr>
          <w:color w:val="231F20"/>
        </w:rPr>
        <w:t>при- меняются в тренинговых формах работы (см. Инструментарий «Тренинг…»).</w:t>
      </w:r>
    </w:p>
    <w:p>
      <w:pPr>
        <w:pStyle w:val="BodyText"/>
        <w:spacing w:line="235" w:lineRule="auto" w:before="3"/>
      </w:pPr>
      <w:r>
        <w:rPr>
          <w:color w:val="231F20"/>
          <w:spacing w:val="-2"/>
        </w:rPr>
        <w:t>Необходимо</w:t>
      </w:r>
      <w:r>
        <w:rPr>
          <w:color w:val="231F20"/>
          <w:spacing w:val="-5"/>
        </w:rPr>
        <w:t> </w:t>
      </w:r>
      <w:r>
        <w:rPr>
          <w:color w:val="231F20"/>
          <w:spacing w:val="-2"/>
        </w:rPr>
        <w:t>отметить,</w:t>
      </w:r>
      <w:r>
        <w:rPr>
          <w:color w:val="231F20"/>
          <w:spacing w:val="-5"/>
        </w:rPr>
        <w:t> </w:t>
      </w:r>
      <w:r>
        <w:rPr>
          <w:color w:val="231F20"/>
          <w:spacing w:val="-2"/>
        </w:rPr>
        <w:t>что</w:t>
      </w:r>
      <w:r>
        <w:rPr>
          <w:color w:val="231F20"/>
          <w:spacing w:val="-5"/>
        </w:rPr>
        <w:t> </w:t>
      </w:r>
      <w:r>
        <w:rPr>
          <w:color w:val="231F20"/>
          <w:spacing w:val="-2"/>
        </w:rPr>
        <w:t>интерактивный</w:t>
      </w:r>
      <w:r>
        <w:rPr>
          <w:color w:val="231F20"/>
          <w:spacing w:val="-5"/>
        </w:rPr>
        <w:t> </w:t>
      </w:r>
      <w:r>
        <w:rPr>
          <w:color w:val="231F20"/>
          <w:spacing w:val="-2"/>
        </w:rPr>
        <w:t>семинар</w:t>
      </w:r>
      <w:r>
        <w:rPr>
          <w:color w:val="231F20"/>
          <w:spacing w:val="-5"/>
        </w:rPr>
        <w:t> </w:t>
      </w:r>
      <w:r>
        <w:rPr>
          <w:color w:val="231F20"/>
          <w:spacing w:val="-2"/>
        </w:rPr>
        <w:t>может</w:t>
      </w:r>
      <w:r>
        <w:rPr>
          <w:color w:val="231F20"/>
          <w:spacing w:val="-5"/>
        </w:rPr>
        <w:t> </w:t>
      </w:r>
      <w:r>
        <w:rPr>
          <w:color w:val="231F20"/>
          <w:spacing w:val="-2"/>
        </w:rPr>
        <w:t>проводиться</w:t>
      </w:r>
      <w:r>
        <w:rPr>
          <w:color w:val="231F20"/>
          <w:spacing w:val="-5"/>
        </w:rPr>
        <w:t> </w:t>
      </w:r>
      <w:r>
        <w:rPr>
          <w:color w:val="231F20"/>
          <w:spacing w:val="-2"/>
        </w:rPr>
        <w:t>как</w:t>
      </w:r>
      <w:r>
        <w:rPr>
          <w:color w:val="231F20"/>
          <w:spacing w:val="-5"/>
        </w:rPr>
        <w:t> </w:t>
      </w:r>
      <w:r>
        <w:rPr>
          <w:color w:val="231F20"/>
          <w:spacing w:val="-2"/>
        </w:rPr>
        <w:t>силами </w:t>
      </w:r>
      <w:r>
        <w:rPr>
          <w:color w:val="231F20"/>
        </w:rPr>
        <w:t>педагогов конкретной школы, так и с привлечением внешних специалистов, экспер- тов в обозначенных в семинарах темах, например сотрудники и специалисты ФКРЦ (Федеральный</w:t>
      </w:r>
      <w:r>
        <w:rPr>
          <w:color w:val="231F20"/>
          <w:spacing w:val="-11"/>
        </w:rPr>
        <w:t> </w:t>
      </w:r>
      <w:r>
        <w:rPr>
          <w:color w:val="231F20"/>
        </w:rPr>
        <w:t>координационный</w:t>
      </w:r>
      <w:r>
        <w:rPr>
          <w:color w:val="231F20"/>
          <w:spacing w:val="-11"/>
        </w:rPr>
        <w:t> </w:t>
      </w:r>
      <w:r>
        <w:rPr>
          <w:color w:val="231F20"/>
        </w:rPr>
        <w:t>ресурсный</w:t>
      </w:r>
      <w:r>
        <w:rPr>
          <w:color w:val="231F20"/>
          <w:spacing w:val="-11"/>
        </w:rPr>
        <w:t> </w:t>
      </w:r>
      <w:r>
        <w:rPr>
          <w:color w:val="231F20"/>
        </w:rPr>
        <w:t>центр</w:t>
      </w:r>
      <w:r>
        <w:rPr>
          <w:color w:val="231F20"/>
          <w:spacing w:val="-11"/>
        </w:rPr>
        <w:t> </w:t>
      </w:r>
      <w:r>
        <w:rPr>
          <w:color w:val="231F20"/>
        </w:rPr>
        <w:t>по</w:t>
      </w:r>
      <w:r>
        <w:rPr>
          <w:color w:val="231F20"/>
          <w:spacing w:val="-11"/>
        </w:rPr>
        <w:t> </w:t>
      </w:r>
      <w:r>
        <w:rPr>
          <w:color w:val="231F20"/>
        </w:rPr>
        <w:t>психологической</w:t>
      </w:r>
      <w:r>
        <w:rPr>
          <w:color w:val="231F20"/>
          <w:spacing w:val="-11"/>
        </w:rPr>
        <w:t> </w:t>
      </w:r>
      <w:r>
        <w:rPr>
          <w:color w:val="231F20"/>
        </w:rPr>
        <w:t>и</w:t>
      </w:r>
      <w:r>
        <w:rPr>
          <w:color w:val="231F20"/>
          <w:spacing w:val="-11"/>
        </w:rPr>
        <w:t> </w:t>
      </w:r>
      <w:r>
        <w:rPr>
          <w:color w:val="231F20"/>
        </w:rPr>
        <w:t>социокуль- турной адаптации несовершеннолетних иностранных граждан </w:t>
      </w:r>
      <w:hyperlink r:id="rId83">
        <w:r>
          <w:rPr>
            <w:color w:val="2255A6"/>
            <w:u w:val="single" w:color="2255A6"/>
          </w:rPr>
          <w:t>http://fkrc.mgppu.ru</w:t>
        </w:r>
      </w:hyperlink>
      <w:r>
        <w:rPr>
          <w:color w:val="231F20"/>
        </w:rPr>
        <w:t>).</w:t>
      </w:r>
    </w:p>
    <w:p>
      <w:pPr>
        <w:pStyle w:val="BodyText"/>
        <w:spacing w:line="235" w:lineRule="auto" w:before="3"/>
      </w:pPr>
      <w:r>
        <w:rPr>
          <w:color w:val="231F20"/>
        </w:rPr>
        <w:t>Результаты</w:t>
      </w:r>
      <w:r>
        <w:rPr>
          <w:color w:val="231F20"/>
          <w:spacing w:val="-13"/>
        </w:rPr>
        <w:t> </w:t>
      </w:r>
      <w:r>
        <w:rPr>
          <w:color w:val="231F20"/>
        </w:rPr>
        <w:t>работы</w:t>
      </w:r>
      <w:r>
        <w:rPr>
          <w:color w:val="231F20"/>
          <w:spacing w:val="-12"/>
        </w:rPr>
        <w:t> </w:t>
      </w:r>
      <w:r>
        <w:rPr>
          <w:color w:val="231F20"/>
        </w:rPr>
        <w:t>на</w:t>
      </w:r>
      <w:r>
        <w:rPr>
          <w:color w:val="231F20"/>
          <w:spacing w:val="-13"/>
        </w:rPr>
        <w:t> </w:t>
      </w:r>
      <w:r>
        <w:rPr>
          <w:color w:val="231F20"/>
        </w:rPr>
        <w:t>семинаре,</w:t>
      </w:r>
      <w:r>
        <w:rPr>
          <w:color w:val="231F20"/>
          <w:spacing w:val="-12"/>
        </w:rPr>
        <w:t> </w:t>
      </w:r>
      <w:r>
        <w:rPr>
          <w:color w:val="231F20"/>
        </w:rPr>
        <w:t>выраженные</w:t>
      </w:r>
      <w:r>
        <w:rPr>
          <w:color w:val="231F20"/>
          <w:spacing w:val="-13"/>
        </w:rPr>
        <w:t> </w:t>
      </w:r>
      <w:r>
        <w:rPr>
          <w:color w:val="231F20"/>
        </w:rPr>
        <w:t>в</w:t>
      </w:r>
      <w:r>
        <w:rPr>
          <w:color w:val="231F20"/>
          <w:spacing w:val="-12"/>
        </w:rPr>
        <w:t> </w:t>
      </w:r>
      <w:r>
        <w:rPr>
          <w:color w:val="231F20"/>
        </w:rPr>
        <w:t>конкретном</w:t>
      </w:r>
      <w:r>
        <w:rPr>
          <w:color w:val="231F20"/>
          <w:spacing w:val="-13"/>
        </w:rPr>
        <w:t> </w:t>
      </w:r>
      <w:r>
        <w:rPr>
          <w:color w:val="231F20"/>
        </w:rPr>
        <w:t>продукте,</w:t>
      </w:r>
      <w:r>
        <w:rPr>
          <w:color w:val="231F20"/>
          <w:spacing w:val="-12"/>
        </w:rPr>
        <w:t> </w:t>
      </w:r>
      <w:r>
        <w:rPr>
          <w:color w:val="231F20"/>
        </w:rPr>
        <w:t>обязательно систематизируются</w:t>
      </w:r>
      <w:r>
        <w:rPr>
          <w:color w:val="231F20"/>
          <w:spacing w:val="-1"/>
        </w:rPr>
        <w:t> </w:t>
      </w:r>
      <w:r>
        <w:rPr>
          <w:color w:val="231F20"/>
        </w:rPr>
        <w:t>в</w:t>
      </w:r>
      <w:r>
        <w:rPr>
          <w:color w:val="231F20"/>
          <w:spacing w:val="-2"/>
        </w:rPr>
        <w:t> </w:t>
      </w:r>
      <w:r>
        <w:rPr>
          <w:color w:val="231F20"/>
        </w:rPr>
        <w:t>тематические</w:t>
      </w:r>
      <w:r>
        <w:rPr>
          <w:color w:val="231F20"/>
          <w:spacing w:val="-1"/>
        </w:rPr>
        <w:t> </w:t>
      </w:r>
      <w:r>
        <w:rPr>
          <w:color w:val="231F20"/>
        </w:rPr>
        <w:t>папки,</w:t>
      </w:r>
      <w:r>
        <w:rPr>
          <w:color w:val="231F20"/>
          <w:spacing w:val="-1"/>
        </w:rPr>
        <w:t> </w:t>
      </w:r>
      <w:r>
        <w:rPr>
          <w:color w:val="231F20"/>
        </w:rPr>
        <w:t>файлы</w:t>
      </w:r>
      <w:r>
        <w:rPr>
          <w:color w:val="231F20"/>
          <w:spacing w:val="-1"/>
        </w:rPr>
        <w:t> </w:t>
      </w:r>
      <w:r>
        <w:rPr>
          <w:color w:val="231F20"/>
        </w:rPr>
        <w:t>и</w:t>
      </w:r>
      <w:r>
        <w:rPr>
          <w:color w:val="231F20"/>
          <w:spacing w:val="-2"/>
        </w:rPr>
        <w:t> </w:t>
      </w:r>
      <w:r>
        <w:rPr>
          <w:color w:val="231F20"/>
        </w:rPr>
        <w:t>др.</w:t>
      </w:r>
      <w:r>
        <w:rPr>
          <w:color w:val="231F20"/>
          <w:spacing w:val="-1"/>
        </w:rPr>
        <w:t> </w:t>
      </w:r>
      <w:r>
        <w:rPr>
          <w:color w:val="231F20"/>
        </w:rPr>
        <w:t>(можно</w:t>
      </w:r>
      <w:r>
        <w:rPr>
          <w:color w:val="231F20"/>
          <w:spacing w:val="-1"/>
        </w:rPr>
        <w:t> </w:t>
      </w:r>
      <w:r>
        <w:rPr>
          <w:color w:val="231F20"/>
        </w:rPr>
        <w:t>в</w:t>
      </w:r>
      <w:r>
        <w:rPr>
          <w:color w:val="231F20"/>
          <w:spacing w:val="-2"/>
        </w:rPr>
        <w:t> </w:t>
      </w:r>
      <w:r>
        <w:rPr>
          <w:color w:val="231F20"/>
        </w:rPr>
        <w:t>электронном</w:t>
      </w:r>
      <w:r>
        <w:rPr>
          <w:color w:val="231F20"/>
          <w:spacing w:val="-1"/>
        </w:rPr>
        <w:t> </w:t>
      </w:r>
      <w:r>
        <w:rPr>
          <w:color w:val="231F20"/>
        </w:rPr>
        <w:t>виде).</w:t>
      </w:r>
    </w:p>
    <w:p>
      <w:pPr>
        <w:spacing w:line="228" w:lineRule="exact" w:before="111"/>
        <w:ind w:left="425" w:right="0" w:firstLine="0"/>
        <w:jc w:val="both"/>
        <w:rPr>
          <w:b/>
          <w:sz w:val="20"/>
        </w:rPr>
      </w:pPr>
      <w:r>
        <w:rPr>
          <w:b/>
          <w:color w:val="231F20"/>
          <w:spacing w:val="-2"/>
          <w:sz w:val="20"/>
        </w:rPr>
        <w:t>Где</w:t>
      </w:r>
      <w:r>
        <w:rPr>
          <w:b/>
          <w:color w:val="231F20"/>
          <w:spacing w:val="-12"/>
          <w:sz w:val="20"/>
        </w:rPr>
        <w:t> </w:t>
      </w:r>
      <w:r>
        <w:rPr>
          <w:b/>
          <w:color w:val="231F20"/>
          <w:spacing w:val="-2"/>
          <w:sz w:val="20"/>
        </w:rPr>
        <w:t>научиться?</w:t>
      </w:r>
    </w:p>
    <w:p>
      <w:pPr>
        <w:pStyle w:val="BodyText"/>
        <w:spacing w:line="235" w:lineRule="auto" w:before="1"/>
      </w:pPr>
      <w:r>
        <w:rPr>
          <w:color w:val="231F20"/>
        </w:rPr>
        <w:t>Интерактивный</w:t>
      </w:r>
      <w:r>
        <w:rPr>
          <w:color w:val="231F20"/>
          <w:spacing w:val="-13"/>
        </w:rPr>
        <w:t> </w:t>
      </w:r>
      <w:r>
        <w:rPr>
          <w:color w:val="231F20"/>
        </w:rPr>
        <w:t>семинар</w:t>
      </w:r>
      <w:r>
        <w:rPr>
          <w:color w:val="231F20"/>
          <w:spacing w:val="-12"/>
        </w:rPr>
        <w:t> </w:t>
      </w:r>
      <w:r>
        <w:rPr>
          <w:color w:val="231F20"/>
        </w:rPr>
        <w:t>как</w:t>
      </w:r>
      <w:r>
        <w:rPr>
          <w:color w:val="231F20"/>
          <w:spacing w:val="-13"/>
        </w:rPr>
        <w:t> </w:t>
      </w:r>
      <w:r>
        <w:rPr>
          <w:color w:val="231F20"/>
        </w:rPr>
        <w:t>активная</w:t>
      </w:r>
      <w:r>
        <w:rPr>
          <w:color w:val="231F20"/>
          <w:spacing w:val="-12"/>
        </w:rPr>
        <w:t> </w:t>
      </w:r>
      <w:r>
        <w:rPr>
          <w:color w:val="231F20"/>
        </w:rPr>
        <w:t>дискуссия</w:t>
      </w:r>
      <w:r>
        <w:rPr>
          <w:color w:val="231F20"/>
          <w:spacing w:val="-13"/>
        </w:rPr>
        <w:t> </w:t>
      </w:r>
      <w:r>
        <w:rPr>
          <w:color w:val="231F20"/>
        </w:rPr>
        <w:t>участников</w:t>
      </w:r>
      <w:r>
        <w:rPr>
          <w:color w:val="231F20"/>
          <w:spacing w:val="-12"/>
        </w:rPr>
        <w:t> </w:t>
      </w:r>
      <w:r>
        <w:rPr>
          <w:color w:val="231F20"/>
        </w:rPr>
        <w:t>стал</w:t>
      </w:r>
      <w:r>
        <w:rPr>
          <w:color w:val="231F20"/>
          <w:spacing w:val="-13"/>
        </w:rPr>
        <w:t> </w:t>
      </w:r>
      <w:r>
        <w:rPr>
          <w:color w:val="231F20"/>
        </w:rPr>
        <w:t>привычной</w:t>
      </w:r>
      <w:r>
        <w:rPr>
          <w:color w:val="231F20"/>
          <w:spacing w:val="-12"/>
        </w:rPr>
        <w:t> </w:t>
      </w:r>
      <w:r>
        <w:rPr>
          <w:color w:val="231F20"/>
        </w:rPr>
        <w:t>фор- мой работы, в том числе у педагогов. Однако можно получить дополнительную ин- формацию</w:t>
      </w:r>
      <w:r>
        <w:rPr>
          <w:color w:val="231F20"/>
          <w:spacing w:val="-10"/>
        </w:rPr>
        <w:t> </w:t>
      </w:r>
      <w:r>
        <w:rPr>
          <w:color w:val="231F20"/>
        </w:rPr>
        <w:t>и</w:t>
      </w:r>
      <w:r>
        <w:rPr>
          <w:color w:val="231F20"/>
          <w:spacing w:val="-10"/>
        </w:rPr>
        <w:t> </w:t>
      </w:r>
      <w:r>
        <w:rPr>
          <w:color w:val="231F20"/>
        </w:rPr>
        <w:t>развивать</w:t>
      </w:r>
      <w:r>
        <w:rPr>
          <w:color w:val="231F20"/>
          <w:spacing w:val="-10"/>
        </w:rPr>
        <w:t> </w:t>
      </w:r>
      <w:r>
        <w:rPr>
          <w:color w:val="231F20"/>
        </w:rPr>
        <w:t>компетенции</w:t>
      </w:r>
      <w:r>
        <w:rPr>
          <w:color w:val="231F20"/>
          <w:spacing w:val="-10"/>
        </w:rPr>
        <w:t> </w:t>
      </w:r>
      <w:r>
        <w:rPr>
          <w:color w:val="231F20"/>
        </w:rPr>
        <w:t>в</w:t>
      </w:r>
      <w:r>
        <w:rPr>
          <w:color w:val="231F20"/>
          <w:spacing w:val="-10"/>
        </w:rPr>
        <w:t> </w:t>
      </w:r>
      <w:r>
        <w:rPr>
          <w:color w:val="231F20"/>
        </w:rPr>
        <w:t>рамках</w:t>
      </w:r>
      <w:r>
        <w:rPr>
          <w:color w:val="231F20"/>
          <w:spacing w:val="-10"/>
        </w:rPr>
        <w:t> </w:t>
      </w:r>
      <w:r>
        <w:rPr>
          <w:color w:val="231F20"/>
        </w:rPr>
        <w:t>дополнительного</w:t>
      </w:r>
      <w:r>
        <w:rPr>
          <w:color w:val="231F20"/>
          <w:spacing w:val="-10"/>
        </w:rPr>
        <w:t> </w:t>
      </w:r>
      <w:r>
        <w:rPr>
          <w:color w:val="231F20"/>
        </w:rPr>
        <w:t>обучения.</w:t>
      </w:r>
      <w:r>
        <w:rPr>
          <w:color w:val="231F20"/>
          <w:spacing w:val="-10"/>
        </w:rPr>
        <w:t> </w:t>
      </w:r>
      <w:r>
        <w:rPr>
          <w:color w:val="231F20"/>
        </w:rPr>
        <w:t>Например, на ресурсе «Открытое образование» (</w:t>
      </w:r>
      <w:hyperlink r:id="rId87">
        <w:r>
          <w:rPr>
            <w:color w:val="2255A6"/>
            <w:u w:val="single" w:color="2255A6"/>
          </w:rPr>
          <w:t>https://openedu.ru/</w:t>
        </w:r>
      </w:hyperlink>
      <w:r>
        <w:rPr>
          <w:color w:val="231F20"/>
        </w:rPr>
        <w:t>) есть курсы: «Психология коммуникации»</w:t>
      </w:r>
      <w:r>
        <w:rPr>
          <w:color w:val="231F20"/>
          <w:spacing w:val="-13"/>
        </w:rPr>
        <w:t> </w:t>
      </w:r>
      <w:r>
        <w:rPr>
          <w:color w:val="231F20"/>
        </w:rPr>
        <w:t>(Психология</w:t>
      </w:r>
      <w:r>
        <w:rPr>
          <w:color w:val="231F20"/>
          <w:spacing w:val="-12"/>
        </w:rPr>
        <w:t> </w:t>
      </w:r>
      <w:r>
        <w:rPr>
          <w:color w:val="231F20"/>
        </w:rPr>
        <w:t>коммуникации,</w:t>
      </w:r>
      <w:r>
        <w:rPr>
          <w:color w:val="231F20"/>
          <w:spacing w:val="-13"/>
        </w:rPr>
        <w:t> </w:t>
      </w:r>
      <w:r>
        <w:rPr>
          <w:color w:val="231F20"/>
        </w:rPr>
        <w:t>курс),</w:t>
      </w:r>
      <w:r>
        <w:rPr>
          <w:color w:val="231F20"/>
          <w:spacing w:val="-12"/>
        </w:rPr>
        <w:t> </w:t>
      </w:r>
      <w:r>
        <w:rPr>
          <w:color w:val="231F20"/>
        </w:rPr>
        <w:t>«Основы</w:t>
      </w:r>
      <w:r>
        <w:rPr>
          <w:color w:val="231F20"/>
          <w:spacing w:val="-13"/>
        </w:rPr>
        <w:t> </w:t>
      </w:r>
      <w:r>
        <w:rPr>
          <w:color w:val="231F20"/>
        </w:rPr>
        <w:t>эффективного</w:t>
      </w:r>
      <w:r>
        <w:rPr>
          <w:color w:val="231F20"/>
          <w:spacing w:val="-12"/>
        </w:rPr>
        <w:t> </w:t>
      </w:r>
      <w:r>
        <w:rPr>
          <w:color w:val="231F20"/>
        </w:rPr>
        <w:t>делового общения» (Основы эффективного делового общения, курс). Возможность получить дополнительную</w:t>
      </w:r>
      <w:r>
        <w:rPr>
          <w:color w:val="231F20"/>
          <w:spacing w:val="-4"/>
        </w:rPr>
        <w:t> </w:t>
      </w:r>
      <w:r>
        <w:rPr>
          <w:color w:val="231F20"/>
        </w:rPr>
        <w:t>информацию</w:t>
      </w:r>
      <w:r>
        <w:rPr>
          <w:color w:val="231F20"/>
          <w:spacing w:val="-4"/>
        </w:rPr>
        <w:t> </w:t>
      </w:r>
      <w:r>
        <w:rPr>
          <w:color w:val="231F20"/>
        </w:rPr>
        <w:t>об</w:t>
      </w:r>
      <w:r>
        <w:rPr>
          <w:color w:val="231F20"/>
          <w:spacing w:val="-4"/>
        </w:rPr>
        <w:t> </w:t>
      </w:r>
      <w:r>
        <w:rPr>
          <w:color w:val="231F20"/>
        </w:rPr>
        <w:t>интерактивном</w:t>
      </w:r>
      <w:r>
        <w:rPr>
          <w:color w:val="231F20"/>
          <w:spacing w:val="-4"/>
        </w:rPr>
        <w:t> </w:t>
      </w:r>
      <w:r>
        <w:rPr>
          <w:color w:val="231F20"/>
        </w:rPr>
        <w:t>семинаре</w:t>
      </w:r>
      <w:r>
        <w:rPr>
          <w:color w:val="231F20"/>
          <w:spacing w:val="-4"/>
        </w:rPr>
        <w:t> </w:t>
      </w:r>
      <w:r>
        <w:rPr>
          <w:color w:val="231F20"/>
        </w:rPr>
        <w:t>есть</w:t>
      </w:r>
      <w:r>
        <w:rPr>
          <w:color w:val="231F20"/>
          <w:spacing w:val="-4"/>
        </w:rPr>
        <w:t> </w:t>
      </w:r>
      <w:r>
        <w:rPr>
          <w:color w:val="231F20"/>
        </w:rPr>
        <w:t>в</w:t>
      </w:r>
      <w:r>
        <w:rPr>
          <w:color w:val="231F20"/>
          <w:spacing w:val="-4"/>
        </w:rPr>
        <w:t> </w:t>
      </w:r>
      <w:r>
        <w:rPr>
          <w:color w:val="231F20"/>
        </w:rPr>
        <w:t>следующих</w:t>
      </w:r>
      <w:r>
        <w:rPr>
          <w:color w:val="231F20"/>
          <w:spacing w:val="-4"/>
        </w:rPr>
        <w:t> </w:t>
      </w:r>
      <w:r>
        <w:rPr>
          <w:color w:val="231F20"/>
        </w:rPr>
        <w:t>источ- </w:t>
      </w:r>
      <w:r>
        <w:rPr>
          <w:color w:val="231F20"/>
          <w:spacing w:val="-2"/>
        </w:rPr>
        <w:t>никах:</w:t>
      </w:r>
      <w:r>
        <w:rPr>
          <w:color w:val="231F20"/>
          <w:spacing w:val="-3"/>
        </w:rPr>
        <w:t> </w:t>
      </w:r>
      <w:r>
        <w:rPr>
          <w:color w:val="231F20"/>
          <w:spacing w:val="-2"/>
        </w:rPr>
        <w:t>«Практикум</w:t>
      </w:r>
      <w:r>
        <w:rPr>
          <w:color w:val="231F20"/>
          <w:spacing w:val="-3"/>
        </w:rPr>
        <w:t> </w:t>
      </w:r>
      <w:r>
        <w:rPr>
          <w:color w:val="231F20"/>
          <w:spacing w:val="-2"/>
        </w:rPr>
        <w:t>по</w:t>
      </w:r>
      <w:r>
        <w:rPr>
          <w:color w:val="231F20"/>
          <w:spacing w:val="-3"/>
        </w:rPr>
        <w:t> </w:t>
      </w:r>
      <w:r>
        <w:rPr>
          <w:color w:val="231F20"/>
          <w:spacing w:val="-2"/>
        </w:rPr>
        <w:t>этнопсихологии»</w:t>
      </w:r>
      <w:r>
        <w:rPr>
          <w:color w:val="231F20"/>
          <w:spacing w:val="-3"/>
        </w:rPr>
        <w:t> </w:t>
      </w:r>
      <w:r>
        <w:rPr>
          <w:color w:val="231F20"/>
          <w:spacing w:val="-2"/>
        </w:rPr>
        <w:t>(Стефаненко,</w:t>
      </w:r>
      <w:r>
        <w:rPr>
          <w:color w:val="231F20"/>
          <w:spacing w:val="-3"/>
        </w:rPr>
        <w:t> </w:t>
      </w:r>
      <w:r>
        <w:rPr>
          <w:color w:val="231F20"/>
          <w:spacing w:val="-2"/>
        </w:rPr>
        <w:t>2008);</w:t>
      </w:r>
      <w:r>
        <w:rPr>
          <w:color w:val="231F20"/>
          <w:spacing w:val="-3"/>
        </w:rPr>
        <w:t> </w:t>
      </w:r>
      <w:r>
        <w:rPr>
          <w:color w:val="231F20"/>
          <w:spacing w:val="-2"/>
        </w:rPr>
        <w:t>«Межкультурная</w:t>
      </w:r>
      <w:r>
        <w:rPr>
          <w:color w:val="231F20"/>
          <w:spacing w:val="-3"/>
        </w:rPr>
        <w:t> </w:t>
      </w:r>
      <w:r>
        <w:rPr>
          <w:color w:val="231F20"/>
          <w:spacing w:val="-2"/>
        </w:rPr>
        <w:t>комму- </w:t>
      </w:r>
      <w:r>
        <w:rPr>
          <w:color w:val="231F20"/>
        </w:rPr>
        <w:t>никация»</w:t>
      </w:r>
      <w:r>
        <w:rPr>
          <w:color w:val="231F20"/>
          <w:spacing w:val="-9"/>
        </w:rPr>
        <w:t> </w:t>
      </w:r>
      <w:r>
        <w:rPr>
          <w:color w:val="231F20"/>
        </w:rPr>
        <w:t>(Садохин,</w:t>
      </w:r>
      <w:r>
        <w:rPr>
          <w:color w:val="231F20"/>
          <w:spacing w:val="-9"/>
        </w:rPr>
        <w:t> </w:t>
      </w:r>
      <w:r>
        <w:rPr>
          <w:color w:val="231F20"/>
        </w:rPr>
        <w:t>2014);</w:t>
      </w:r>
      <w:r>
        <w:rPr>
          <w:color w:val="231F20"/>
          <w:spacing w:val="-9"/>
        </w:rPr>
        <w:t> </w:t>
      </w:r>
      <w:r>
        <w:rPr>
          <w:color w:val="231F20"/>
        </w:rPr>
        <w:t>«Этнопсихология»</w:t>
      </w:r>
      <w:r>
        <w:rPr>
          <w:color w:val="231F20"/>
          <w:spacing w:val="-9"/>
        </w:rPr>
        <w:t> </w:t>
      </w:r>
      <w:r>
        <w:rPr>
          <w:color w:val="231F20"/>
        </w:rPr>
        <w:t>(Лебедева,</w:t>
      </w:r>
      <w:r>
        <w:rPr>
          <w:color w:val="231F20"/>
          <w:spacing w:val="-9"/>
        </w:rPr>
        <w:t> </w:t>
      </w:r>
      <w:r>
        <w:rPr>
          <w:color w:val="231F20"/>
        </w:rPr>
        <w:t>2014);</w:t>
      </w:r>
      <w:r>
        <w:rPr>
          <w:color w:val="231F20"/>
          <w:spacing w:val="-9"/>
        </w:rPr>
        <w:t> </w:t>
      </w:r>
      <w:r>
        <w:rPr>
          <w:color w:val="231F20"/>
        </w:rPr>
        <w:t>«Психология</w:t>
      </w:r>
      <w:r>
        <w:rPr>
          <w:color w:val="231F20"/>
          <w:spacing w:val="-9"/>
        </w:rPr>
        <w:t> </w:t>
      </w:r>
      <w:r>
        <w:rPr>
          <w:color w:val="231F20"/>
        </w:rPr>
        <w:t>эффек- </w:t>
      </w:r>
      <w:r>
        <w:rPr>
          <w:color w:val="231F20"/>
          <w:spacing w:val="-2"/>
        </w:rPr>
        <w:t>тивного общения и межгруппового взаимодействия» (Истратова, 2018). Необходимые </w:t>
      </w:r>
      <w:r>
        <w:rPr>
          <w:color w:val="231F20"/>
        </w:rPr>
        <w:t>материалы и возможность консультации может быть получена на базе ФКРЦ.</w:t>
      </w:r>
    </w:p>
    <w:p>
      <w:pPr>
        <w:pStyle w:val="BodyText"/>
        <w:spacing w:line="235" w:lineRule="auto" w:before="7"/>
      </w:pPr>
      <w:r>
        <w:rPr>
          <w:color w:val="231F20"/>
        </w:rPr>
        <w:t>В</w:t>
      </w:r>
      <w:r>
        <w:rPr>
          <w:color w:val="231F20"/>
          <w:spacing w:val="-2"/>
        </w:rPr>
        <w:t> </w:t>
      </w:r>
      <w:r>
        <w:rPr>
          <w:color w:val="231F20"/>
        </w:rPr>
        <w:t>целом,</w:t>
      </w:r>
      <w:r>
        <w:rPr>
          <w:color w:val="231F20"/>
          <w:spacing w:val="-2"/>
        </w:rPr>
        <w:t> </w:t>
      </w:r>
      <w:r>
        <w:rPr>
          <w:color w:val="231F20"/>
        </w:rPr>
        <w:t>многие</w:t>
      </w:r>
      <w:r>
        <w:rPr>
          <w:color w:val="231F20"/>
          <w:spacing w:val="-2"/>
        </w:rPr>
        <w:t> </w:t>
      </w:r>
      <w:r>
        <w:rPr>
          <w:color w:val="231F20"/>
        </w:rPr>
        <w:t>элементы</w:t>
      </w:r>
      <w:r>
        <w:rPr>
          <w:color w:val="231F20"/>
          <w:spacing w:val="-2"/>
        </w:rPr>
        <w:t> </w:t>
      </w:r>
      <w:r>
        <w:rPr>
          <w:color w:val="231F20"/>
        </w:rPr>
        <w:t>в</w:t>
      </w:r>
      <w:r>
        <w:rPr>
          <w:color w:val="231F20"/>
          <w:spacing w:val="-2"/>
        </w:rPr>
        <w:t> </w:t>
      </w:r>
      <w:r>
        <w:rPr>
          <w:color w:val="231F20"/>
        </w:rPr>
        <w:t>структуре</w:t>
      </w:r>
      <w:r>
        <w:rPr>
          <w:color w:val="231F20"/>
          <w:spacing w:val="-2"/>
        </w:rPr>
        <w:t> </w:t>
      </w:r>
      <w:r>
        <w:rPr>
          <w:color w:val="231F20"/>
        </w:rPr>
        <w:t>интерактивного</w:t>
      </w:r>
      <w:r>
        <w:rPr>
          <w:color w:val="231F20"/>
          <w:spacing w:val="-2"/>
        </w:rPr>
        <w:t> </w:t>
      </w:r>
      <w:r>
        <w:rPr>
          <w:color w:val="231F20"/>
        </w:rPr>
        <w:t>семинара</w:t>
      </w:r>
      <w:r>
        <w:rPr>
          <w:color w:val="231F20"/>
          <w:spacing w:val="-2"/>
        </w:rPr>
        <w:t> </w:t>
      </w:r>
      <w:r>
        <w:rPr>
          <w:color w:val="231F20"/>
        </w:rPr>
        <w:t>используются</w:t>
      </w:r>
      <w:r>
        <w:rPr>
          <w:color w:val="231F20"/>
          <w:spacing w:val="-2"/>
        </w:rPr>
        <w:t> </w:t>
      </w:r>
      <w:r>
        <w:rPr>
          <w:color w:val="231F20"/>
        </w:rPr>
        <w:t>в тренинговой</w:t>
      </w:r>
      <w:r>
        <w:rPr>
          <w:color w:val="231F20"/>
          <w:spacing w:val="-8"/>
        </w:rPr>
        <w:t> </w:t>
      </w:r>
      <w:r>
        <w:rPr>
          <w:color w:val="231F20"/>
        </w:rPr>
        <w:t>работе</w:t>
      </w:r>
      <w:r>
        <w:rPr>
          <w:color w:val="231F20"/>
          <w:spacing w:val="-8"/>
        </w:rPr>
        <w:t> </w:t>
      </w:r>
      <w:r>
        <w:rPr>
          <w:color w:val="231F20"/>
        </w:rPr>
        <w:t>(групповая</w:t>
      </w:r>
      <w:r>
        <w:rPr>
          <w:color w:val="231F20"/>
          <w:spacing w:val="-8"/>
        </w:rPr>
        <w:t> </w:t>
      </w:r>
      <w:r>
        <w:rPr>
          <w:color w:val="231F20"/>
        </w:rPr>
        <w:t>дискуссия,</w:t>
      </w:r>
      <w:r>
        <w:rPr>
          <w:color w:val="231F20"/>
          <w:spacing w:val="-8"/>
        </w:rPr>
        <w:t> </w:t>
      </w:r>
      <w:r>
        <w:rPr>
          <w:color w:val="231F20"/>
        </w:rPr>
        <w:t>рефлексия,</w:t>
      </w:r>
      <w:r>
        <w:rPr>
          <w:color w:val="231F20"/>
          <w:spacing w:val="-8"/>
        </w:rPr>
        <w:t> </w:t>
      </w:r>
      <w:r>
        <w:rPr>
          <w:color w:val="231F20"/>
        </w:rPr>
        <w:t>мозговой</w:t>
      </w:r>
      <w:r>
        <w:rPr>
          <w:color w:val="231F20"/>
          <w:spacing w:val="-8"/>
        </w:rPr>
        <w:t> </w:t>
      </w:r>
      <w:r>
        <w:rPr>
          <w:color w:val="231F20"/>
        </w:rPr>
        <w:t>штурм,</w:t>
      </w:r>
      <w:r>
        <w:rPr>
          <w:color w:val="231F20"/>
          <w:spacing w:val="-8"/>
        </w:rPr>
        <w:t> </w:t>
      </w:r>
      <w:r>
        <w:rPr>
          <w:color w:val="231F20"/>
        </w:rPr>
        <w:t>шеринг)</w:t>
      </w:r>
      <w:r>
        <w:rPr>
          <w:color w:val="231F20"/>
          <w:spacing w:val="-8"/>
        </w:rPr>
        <w:t> </w:t>
      </w:r>
      <w:r>
        <w:rPr>
          <w:color w:val="231F20"/>
        </w:rPr>
        <w:t>(см. </w:t>
      </w:r>
      <w:r>
        <w:rPr>
          <w:i/>
          <w:color w:val="231F20"/>
        </w:rPr>
        <w:t>Инструментарий «Тренинг…»</w:t>
      </w:r>
      <w:r>
        <w:rPr>
          <w:color w:val="231F20"/>
        </w:rPr>
        <w:t>).</w:t>
      </w:r>
    </w:p>
    <w:p>
      <w:pPr>
        <w:spacing w:line="228" w:lineRule="exact" w:before="168"/>
        <w:ind w:left="425" w:right="0" w:firstLine="0"/>
        <w:jc w:val="both"/>
        <w:rPr>
          <w:b/>
          <w:sz w:val="20"/>
        </w:rPr>
      </w:pPr>
      <w:r>
        <w:rPr>
          <w:b/>
          <w:color w:val="231F20"/>
          <w:sz w:val="20"/>
        </w:rPr>
        <w:t>Доказательность</w:t>
      </w:r>
      <w:r>
        <w:rPr>
          <w:b/>
          <w:color w:val="231F20"/>
          <w:spacing w:val="-12"/>
          <w:sz w:val="20"/>
        </w:rPr>
        <w:t> </w:t>
      </w:r>
      <w:r>
        <w:rPr>
          <w:b/>
          <w:color w:val="231F20"/>
          <w:spacing w:val="-2"/>
          <w:sz w:val="20"/>
        </w:rPr>
        <w:t>практики</w:t>
      </w:r>
    </w:p>
    <w:p>
      <w:pPr>
        <w:pStyle w:val="BodyText"/>
        <w:spacing w:line="235" w:lineRule="auto" w:before="2"/>
      </w:pPr>
      <w:r>
        <w:rPr>
          <w:color w:val="231F20"/>
        </w:rPr>
        <w:t>Основа организации интерактивного семинара описана американским исследо- вателем Д. Колбом. Она включает в себя стадии: конкретный опыт; рефлексивное наблюдение; абстрактная концептуализация и активное экспериментирование (Пе- терсон,</w:t>
      </w:r>
      <w:r>
        <w:rPr>
          <w:color w:val="231F20"/>
          <w:spacing w:val="6"/>
        </w:rPr>
        <w:t> </w:t>
      </w:r>
      <w:r>
        <w:rPr>
          <w:color w:val="231F20"/>
        </w:rPr>
        <w:t>Колб,</w:t>
      </w:r>
      <w:r>
        <w:rPr>
          <w:color w:val="231F20"/>
          <w:spacing w:val="7"/>
        </w:rPr>
        <w:t> </w:t>
      </w:r>
      <w:r>
        <w:rPr>
          <w:color w:val="231F20"/>
        </w:rPr>
        <w:t>2018).</w:t>
      </w:r>
      <w:r>
        <w:rPr>
          <w:color w:val="231F20"/>
          <w:spacing w:val="7"/>
        </w:rPr>
        <w:t> </w:t>
      </w:r>
      <w:r>
        <w:rPr>
          <w:color w:val="231F20"/>
        </w:rPr>
        <w:t>Согласно</w:t>
      </w:r>
      <w:r>
        <w:rPr>
          <w:color w:val="231F20"/>
          <w:spacing w:val="6"/>
        </w:rPr>
        <w:t> </w:t>
      </w:r>
      <w:r>
        <w:rPr>
          <w:color w:val="231F20"/>
        </w:rPr>
        <w:t>российским</w:t>
      </w:r>
      <w:r>
        <w:rPr>
          <w:color w:val="231F20"/>
          <w:spacing w:val="7"/>
        </w:rPr>
        <w:t> </w:t>
      </w:r>
      <w:r>
        <w:rPr>
          <w:color w:val="231F20"/>
        </w:rPr>
        <w:t>исследованиям,</w:t>
      </w:r>
      <w:r>
        <w:rPr>
          <w:color w:val="231F20"/>
          <w:spacing w:val="7"/>
        </w:rPr>
        <w:t> </w:t>
      </w:r>
      <w:r>
        <w:rPr>
          <w:color w:val="231F20"/>
        </w:rPr>
        <w:t>участие</w:t>
      </w:r>
      <w:r>
        <w:rPr>
          <w:color w:val="231F20"/>
          <w:spacing w:val="6"/>
        </w:rPr>
        <w:t> </w:t>
      </w:r>
      <w:r>
        <w:rPr>
          <w:color w:val="231F20"/>
        </w:rPr>
        <w:t>педагогов</w:t>
      </w:r>
      <w:r>
        <w:rPr>
          <w:color w:val="231F20"/>
          <w:spacing w:val="7"/>
        </w:rPr>
        <w:t> </w:t>
      </w:r>
      <w:r>
        <w:rPr>
          <w:color w:val="231F20"/>
        </w:rPr>
        <w:t>и</w:t>
      </w:r>
      <w:r>
        <w:rPr>
          <w:color w:val="231F20"/>
          <w:spacing w:val="7"/>
        </w:rPr>
        <w:t> </w:t>
      </w:r>
      <w:r>
        <w:rPr>
          <w:color w:val="231F20"/>
          <w:spacing w:val="-4"/>
        </w:rPr>
        <w:t>сту-</w:t>
      </w:r>
    </w:p>
    <w:p>
      <w:pPr>
        <w:pStyle w:val="BodyText"/>
        <w:spacing w:after="0" w:line="235" w:lineRule="auto"/>
        <w:sectPr>
          <w:pgSz w:w="8400" w:h="11910"/>
          <w:pgMar w:header="0" w:footer="542" w:top="400" w:bottom="740" w:left="425" w:right="425"/>
        </w:sectPr>
      </w:pPr>
    </w:p>
    <w:p>
      <w:pPr>
        <w:pStyle w:val="ListParagraph"/>
        <w:numPr>
          <w:ilvl w:val="1"/>
          <w:numId w:val="69"/>
        </w:numPr>
        <w:tabs>
          <w:tab w:pos="455" w:val="left" w:leader="none"/>
        </w:tabs>
        <w:spacing w:line="240" w:lineRule="auto" w:before="80" w:after="0"/>
        <w:ind w:left="455" w:right="0" w:hanging="314"/>
        <w:jc w:val="both"/>
        <w:rPr>
          <w:rFonts w:ascii="Georgia" w:hAnsi="Georgia"/>
          <w:sz w:val="18"/>
        </w:rPr>
      </w:pPr>
      <w:r>
        <w:rPr>
          <w:rFonts w:ascii="Georgia" w:hAnsi="Georgia"/>
          <w:color w:val="231F20"/>
          <w:sz w:val="18"/>
        </w:rPr>
        <w:t>Технологии</w:t>
      </w:r>
      <w:r>
        <w:rPr>
          <w:rFonts w:ascii="Georgia" w:hAnsi="Georgia"/>
          <w:color w:val="231F20"/>
          <w:spacing w:val="1"/>
          <w:sz w:val="18"/>
        </w:rPr>
        <w:t> </w:t>
      </w:r>
      <w:r>
        <w:rPr>
          <w:rFonts w:ascii="Georgia" w:hAnsi="Georgia"/>
          <w:color w:val="231F20"/>
          <w:sz w:val="18"/>
        </w:rPr>
        <w:t>повышения</w:t>
      </w:r>
      <w:r>
        <w:rPr>
          <w:rFonts w:ascii="Georgia" w:hAnsi="Georgia"/>
          <w:color w:val="231F20"/>
          <w:spacing w:val="48"/>
          <w:sz w:val="18"/>
        </w:rPr>
        <w:t> </w:t>
      </w:r>
      <w:r>
        <w:rPr>
          <w:rFonts w:ascii="Georgia" w:hAnsi="Georgia"/>
          <w:color w:val="231F20"/>
          <w:sz w:val="18"/>
        </w:rPr>
        <w:t>межкультурной</w:t>
      </w:r>
      <w:r>
        <w:rPr>
          <w:rFonts w:ascii="Georgia" w:hAnsi="Georgia"/>
          <w:color w:val="231F20"/>
          <w:spacing w:val="1"/>
          <w:sz w:val="18"/>
        </w:rPr>
        <w:t> </w:t>
      </w:r>
      <w:r>
        <w:rPr>
          <w:rFonts w:ascii="Georgia" w:hAnsi="Georgia"/>
          <w:color w:val="231F20"/>
          <w:sz w:val="18"/>
        </w:rPr>
        <w:t>компетентности</w:t>
      </w:r>
      <w:r>
        <w:rPr>
          <w:rFonts w:ascii="Georgia" w:hAnsi="Georgia"/>
          <w:color w:val="231F20"/>
          <w:spacing w:val="2"/>
          <w:sz w:val="18"/>
        </w:rPr>
        <w:t> </w:t>
      </w:r>
      <w:r>
        <w:rPr>
          <w:rFonts w:ascii="Georgia" w:hAnsi="Georgia"/>
          <w:color w:val="231F20"/>
          <w:spacing w:val="-2"/>
          <w:sz w:val="18"/>
        </w:rPr>
        <w:t>педагогов</w:t>
      </w:r>
    </w:p>
    <w:p>
      <w:pPr>
        <w:pStyle w:val="BodyText"/>
        <w:spacing w:line="235" w:lineRule="auto" w:before="116"/>
        <w:ind w:firstLine="0"/>
      </w:pPr>
      <w:r>
        <w:rPr>
          <w:color w:val="231F20"/>
        </w:rPr>
        <w:t>дентов в интерактивных семинарах (в числе других активных методов) приводит к развитию аналитических умений и способности интерпретации ранее полученного опыта с разных позиций (Величко, 2001).</w:t>
      </w:r>
    </w:p>
    <w:p>
      <w:pPr>
        <w:pStyle w:val="BodyText"/>
        <w:spacing w:line="235" w:lineRule="auto" w:before="2"/>
      </w:pPr>
      <w:r>
        <w:rPr>
          <w:color w:val="231F20"/>
        </w:rPr>
        <w:t>Эффективность интерактивного семинара (как частного случая активной фор-</w:t>
      </w:r>
      <w:r>
        <w:rPr>
          <w:color w:val="231F20"/>
          <w:spacing w:val="40"/>
        </w:rPr>
        <w:t> </w:t>
      </w:r>
      <w:r>
        <w:rPr>
          <w:color w:val="231F20"/>
        </w:rPr>
        <w:t>мы обучения) оценивалась с точки зрения той компетентности, которую она разви- вает – в частности, перцептивно-интерактивную компетентность, которая включает в себя: взаимопонимание; степень адекватности оценки личностных особенностей партнеров</w:t>
      </w:r>
      <w:r>
        <w:rPr>
          <w:color w:val="231F20"/>
          <w:spacing w:val="-7"/>
        </w:rPr>
        <w:t> </w:t>
      </w:r>
      <w:r>
        <w:rPr>
          <w:color w:val="231F20"/>
        </w:rPr>
        <w:t>по</w:t>
      </w:r>
      <w:r>
        <w:rPr>
          <w:color w:val="231F20"/>
          <w:spacing w:val="-7"/>
        </w:rPr>
        <w:t> </w:t>
      </w:r>
      <w:r>
        <w:rPr>
          <w:color w:val="231F20"/>
        </w:rPr>
        <w:t>взаимодействию;</w:t>
      </w:r>
      <w:r>
        <w:rPr>
          <w:color w:val="231F20"/>
          <w:spacing w:val="-7"/>
        </w:rPr>
        <w:t> </w:t>
      </w:r>
      <w:r>
        <w:rPr>
          <w:color w:val="231F20"/>
        </w:rPr>
        <w:t>взаимопонимание;</w:t>
      </w:r>
      <w:r>
        <w:rPr>
          <w:color w:val="231F20"/>
          <w:spacing w:val="-7"/>
        </w:rPr>
        <w:t> </w:t>
      </w:r>
      <w:r>
        <w:rPr>
          <w:color w:val="231F20"/>
        </w:rPr>
        <w:t>взаимовлияние;</w:t>
      </w:r>
      <w:r>
        <w:rPr>
          <w:color w:val="231F20"/>
          <w:spacing w:val="-7"/>
        </w:rPr>
        <w:t> </w:t>
      </w:r>
      <w:r>
        <w:rPr>
          <w:color w:val="231F20"/>
        </w:rPr>
        <w:t>социальную</w:t>
      </w:r>
      <w:r>
        <w:rPr>
          <w:color w:val="231F20"/>
          <w:spacing w:val="-7"/>
        </w:rPr>
        <w:t> </w:t>
      </w:r>
      <w:r>
        <w:rPr>
          <w:color w:val="231F20"/>
        </w:rPr>
        <w:t>авто- номность</w:t>
      </w:r>
      <w:r>
        <w:rPr>
          <w:color w:val="231F20"/>
          <w:spacing w:val="-13"/>
        </w:rPr>
        <w:t> </w:t>
      </w:r>
      <w:r>
        <w:rPr>
          <w:color w:val="231F20"/>
        </w:rPr>
        <w:t>и</w:t>
      </w:r>
      <w:r>
        <w:rPr>
          <w:color w:val="231F20"/>
          <w:spacing w:val="-12"/>
        </w:rPr>
        <w:t> </w:t>
      </w:r>
      <w:r>
        <w:rPr>
          <w:color w:val="231F20"/>
        </w:rPr>
        <w:t>социальную</w:t>
      </w:r>
      <w:r>
        <w:rPr>
          <w:color w:val="231F20"/>
          <w:spacing w:val="-13"/>
        </w:rPr>
        <w:t> </w:t>
      </w:r>
      <w:r>
        <w:rPr>
          <w:color w:val="231F20"/>
        </w:rPr>
        <w:t>адаптивность.</w:t>
      </w:r>
      <w:r>
        <w:rPr>
          <w:color w:val="231F20"/>
          <w:spacing w:val="-12"/>
        </w:rPr>
        <w:t> </w:t>
      </w:r>
      <w:r>
        <w:rPr>
          <w:color w:val="231F20"/>
        </w:rPr>
        <w:t>Согласно</w:t>
      </w:r>
      <w:r>
        <w:rPr>
          <w:color w:val="231F20"/>
          <w:spacing w:val="-13"/>
        </w:rPr>
        <w:t> </w:t>
      </w:r>
      <w:r>
        <w:rPr>
          <w:color w:val="231F20"/>
        </w:rPr>
        <w:t>исследованию,</w:t>
      </w:r>
      <w:r>
        <w:rPr>
          <w:color w:val="231F20"/>
          <w:spacing w:val="-12"/>
        </w:rPr>
        <w:t> </w:t>
      </w:r>
      <w:r>
        <w:rPr>
          <w:color w:val="231F20"/>
        </w:rPr>
        <w:t>данные</w:t>
      </w:r>
      <w:r>
        <w:rPr>
          <w:color w:val="231F20"/>
          <w:spacing w:val="-13"/>
        </w:rPr>
        <w:t> </w:t>
      </w:r>
      <w:r>
        <w:rPr>
          <w:color w:val="231F20"/>
        </w:rPr>
        <w:t>компетенции активно развивались с применением активного метода обучения (в том числе инте- рактивного семинара) (Баранова, 2016).</w:t>
      </w:r>
    </w:p>
    <w:p>
      <w:pPr>
        <w:pStyle w:val="BodyText"/>
        <w:spacing w:line="237" w:lineRule="auto" w:before="3"/>
      </w:pPr>
      <w:r>
        <w:rPr>
          <w:color w:val="231F20"/>
        </w:rPr>
        <w:t>Проверка эффективности данной практики была осуществлена на выборке педа- гогов</w:t>
      </w:r>
      <w:r>
        <w:rPr>
          <w:color w:val="231F20"/>
          <w:spacing w:val="-9"/>
        </w:rPr>
        <w:t> </w:t>
      </w:r>
      <w:r>
        <w:rPr>
          <w:color w:val="231F20"/>
        </w:rPr>
        <w:t>(N=155)</w:t>
      </w:r>
      <w:r>
        <w:rPr>
          <w:color w:val="231F20"/>
          <w:spacing w:val="-9"/>
        </w:rPr>
        <w:t> </w:t>
      </w:r>
      <w:r>
        <w:rPr>
          <w:color w:val="231F20"/>
        </w:rPr>
        <w:t>в</w:t>
      </w:r>
      <w:r>
        <w:rPr>
          <w:color w:val="231F20"/>
          <w:spacing w:val="-9"/>
        </w:rPr>
        <w:t> </w:t>
      </w:r>
      <w:r>
        <w:rPr>
          <w:color w:val="231F20"/>
        </w:rPr>
        <w:t>рамках</w:t>
      </w:r>
      <w:r>
        <w:rPr>
          <w:color w:val="231F20"/>
          <w:spacing w:val="-9"/>
        </w:rPr>
        <w:t> </w:t>
      </w:r>
      <w:r>
        <w:rPr>
          <w:color w:val="231F20"/>
        </w:rPr>
        <w:t>реализации</w:t>
      </w:r>
      <w:r>
        <w:rPr>
          <w:color w:val="231F20"/>
          <w:spacing w:val="-9"/>
        </w:rPr>
        <w:t> </w:t>
      </w:r>
      <w:r>
        <w:rPr>
          <w:color w:val="231F20"/>
        </w:rPr>
        <w:t>Государственного</w:t>
      </w:r>
      <w:r>
        <w:rPr>
          <w:color w:val="231F20"/>
          <w:spacing w:val="-9"/>
        </w:rPr>
        <w:t> </w:t>
      </w:r>
      <w:r>
        <w:rPr>
          <w:color w:val="231F20"/>
        </w:rPr>
        <w:t>задания</w:t>
      </w:r>
      <w:r>
        <w:rPr>
          <w:color w:val="231F20"/>
          <w:spacing w:val="-9"/>
        </w:rPr>
        <w:t> </w:t>
      </w:r>
      <w:r>
        <w:rPr>
          <w:color w:val="231F20"/>
        </w:rPr>
        <w:t>Министерства</w:t>
      </w:r>
      <w:r>
        <w:rPr>
          <w:color w:val="231F20"/>
          <w:spacing w:val="-9"/>
        </w:rPr>
        <w:t> </w:t>
      </w:r>
      <w:r>
        <w:rPr>
          <w:color w:val="231F20"/>
        </w:rPr>
        <w:t>просве- щения</w:t>
      </w:r>
      <w:r>
        <w:rPr>
          <w:color w:val="231F20"/>
          <w:spacing w:val="-13"/>
        </w:rPr>
        <w:t> </w:t>
      </w:r>
      <w:r>
        <w:rPr>
          <w:color w:val="231F20"/>
        </w:rPr>
        <w:t>Российской</w:t>
      </w:r>
      <w:r>
        <w:rPr>
          <w:color w:val="231F20"/>
          <w:spacing w:val="-12"/>
        </w:rPr>
        <w:t> </w:t>
      </w:r>
      <w:r>
        <w:rPr>
          <w:color w:val="231F20"/>
        </w:rPr>
        <w:t>Федерации</w:t>
      </w:r>
      <w:r>
        <w:rPr>
          <w:color w:val="231F20"/>
          <w:spacing w:val="-13"/>
        </w:rPr>
        <w:t> </w:t>
      </w:r>
      <w:r>
        <w:rPr>
          <w:color w:val="231F20"/>
        </w:rPr>
        <w:t>№</w:t>
      </w:r>
      <w:r>
        <w:rPr>
          <w:color w:val="231F20"/>
          <w:spacing w:val="-12"/>
        </w:rPr>
        <w:t> </w:t>
      </w:r>
      <w:r>
        <w:rPr>
          <w:color w:val="231F20"/>
        </w:rPr>
        <w:t>073-00038-23-01</w:t>
      </w:r>
      <w:r>
        <w:rPr>
          <w:color w:val="231F20"/>
          <w:spacing w:val="-13"/>
        </w:rPr>
        <w:t> </w:t>
      </w:r>
      <w:r>
        <w:rPr>
          <w:color w:val="231F20"/>
        </w:rPr>
        <w:t>от</w:t>
      </w:r>
      <w:r>
        <w:rPr>
          <w:color w:val="231F20"/>
          <w:spacing w:val="-12"/>
        </w:rPr>
        <w:t> </w:t>
      </w:r>
      <w:r>
        <w:rPr>
          <w:color w:val="231F20"/>
        </w:rPr>
        <w:t>08.02.2023</w:t>
      </w:r>
      <w:r>
        <w:rPr>
          <w:color w:val="231F20"/>
          <w:spacing w:val="-13"/>
        </w:rPr>
        <w:t> </w:t>
      </w:r>
      <w:r>
        <w:rPr>
          <w:color w:val="231F20"/>
        </w:rPr>
        <w:t>г.</w:t>
      </w:r>
      <w:r>
        <w:rPr>
          <w:color w:val="231F20"/>
          <w:spacing w:val="-12"/>
        </w:rPr>
        <w:t> </w:t>
      </w:r>
      <w:r>
        <w:rPr>
          <w:color w:val="231F20"/>
        </w:rPr>
        <w:t>«Оценка</w:t>
      </w:r>
      <w:r>
        <w:rPr>
          <w:color w:val="231F20"/>
          <w:spacing w:val="-13"/>
        </w:rPr>
        <w:t> </w:t>
      </w:r>
      <w:r>
        <w:rPr>
          <w:color w:val="231F20"/>
        </w:rPr>
        <w:t>эффектив- ности</w:t>
      </w:r>
      <w:r>
        <w:rPr>
          <w:color w:val="231F20"/>
          <w:spacing w:val="-3"/>
        </w:rPr>
        <w:t> </w:t>
      </w:r>
      <w:r>
        <w:rPr>
          <w:color w:val="231F20"/>
        </w:rPr>
        <w:t>реализации</w:t>
      </w:r>
      <w:r>
        <w:rPr>
          <w:color w:val="231F20"/>
          <w:spacing w:val="-3"/>
        </w:rPr>
        <w:t> </w:t>
      </w:r>
      <w:r>
        <w:rPr>
          <w:color w:val="231F20"/>
        </w:rPr>
        <w:t>программы</w:t>
      </w:r>
      <w:r>
        <w:rPr>
          <w:color w:val="231F20"/>
          <w:spacing w:val="-3"/>
        </w:rPr>
        <w:t> </w:t>
      </w:r>
      <w:r>
        <w:rPr>
          <w:color w:val="231F20"/>
        </w:rPr>
        <w:t>психолого-педагогического</w:t>
      </w:r>
      <w:r>
        <w:rPr>
          <w:color w:val="231F20"/>
          <w:spacing w:val="-3"/>
        </w:rPr>
        <w:t> </w:t>
      </w:r>
      <w:r>
        <w:rPr>
          <w:color w:val="231F20"/>
        </w:rPr>
        <w:t>сопровождения</w:t>
      </w:r>
      <w:r>
        <w:rPr>
          <w:color w:val="231F20"/>
          <w:spacing w:val="-3"/>
        </w:rPr>
        <w:t> </w:t>
      </w:r>
      <w:r>
        <w:rPr>
          <w:color w:val="231F20"/>
        </w:rPr>
        <w:t>процессов обучения, социальной, языковой и культурной адаптации детей иностранных гра- ждан, обучающихся в общеобразовательных организациях (на основе доказательно- го подхода к социальным практикам в сфере детства и дифференцированного под- хода к обучению детей иностранных граждан)» и опиралась на схему Киркпатрика </w:t>
      </w:r>
      <w:r>
        <w:rPr>
          <w:color w:val="231F20"/>
          <w:spacing w:val="-2"/>
        </w:rPr>
        <w:t>(Kirkpatrick,1959):</w:t>
      </w:r>
    </w:p>
    <w:p>
      <w:pPr>
        <w:pStyle w:val="ListParagraph"/>
        <w:numPr>
          <w:ilvl w:val="2"/>
          <w:numId w:val="69"/>
        </w:numPr>
        <w:tabs>
          <w:tab w:pos="425" w:val="left" w:leader="none"/>
        </w:tabs>
        <w:spacing w:line="240" w:lineRule="auto" w:before="0" w:after="0"/>
        <w:ind w:left="425" w:right="139" w:hanging="284"/>
        <w:jc w:val="both"/>
        <w:rPr>
          <w:rFonts w:ascii="Symbol" w:hAnsi="Symbol"/>
          <w:color w:val="231F20"/>
          <w:sz w:val="20"/>
        </w:rPr>
      </w:pPr>
      <w:r>
        <w:rPr>
          <w:color w:val="231F20"/>
          <w:sz w:val="20"/>
        </w:rPr>
        <w:t>Уровень</w:t>
      </w:r>
      <w:r>
        <w:rPr>
          <w:color w:val="231F20"/>
          <w:spacing w:val="-3"/>
          <w:sz w:val="20"/>
        </w:rPr>
        <w:t> </w:t>
      </w:r>
      <w:r>
        <w:rPr>
          <w:color w:val="231F20"/>
          <w:sz w:val="20"/>
        </w:rPr>
        <w:t>реакции</w:t>
      </w:r>
      <w:r>
        <w:rPr>
          <w:color w:val="231F20"/>
          <w:spacing w:val="-3"/>
          <w:sz w:val="20"/>
        </w:rPr>
        <w:t> </w:t>
      </w:r>
      <w:r>
        <w:rPr>
          <w:color w:val="231F20"/>
          <w:sz w:val="20"/>
        </w:rPr>
        <w:t>участников:</w:t>
      </w:r>
      <w:r>
        <w:rPr>
          <w:color w:val="231F20"/>
          <w:spacing w:val="-3"/>
          <w:sz w:val="20"/>
        </w:rPr>
        <w:t> </w:t>
      </w:r>
      <w:r>
        <w:rPr>
          <w:color w:val="231F20"/>
          <w:sz w:val="20"/>
        </w:rPr>
        <w:t>был</w:t>
      </w:r>
      <w:r>
        <w:rPr>
          <w:color w:val="231F20"/>
          <w:spacing w:val="-3"/>
          <w:sz w:val="20"/>
        </w:rPr>
        <w:t> </w:t>
      </w:r>
      <w:r>
        <w:rPr>
          <w:color w:val="231F20"/>
          <w:sz w:val="20"/>
        </w:rPr>
        <w:t>выявлен</w:t>
      </w:r>
      <w:r>
        <w:rPr>
          <w:color w:val="231F20"/>
          <w:spacing w:val="-3"/>
          <w:sz w:val="20"/>
        </w:rPr>
        <w:t> </w:t>
      </w:r>
      <w:r>
        <w:rPr>
          <w:color w:val="231F20"/>
          <w:sz w:val="20"/>
        </w:rPr>
        <w:t>достоверно</w:t>
      </w:r>
      <w:r>
        <w:rPr>
          <w:color w:val="231F20"/>
          <w:spacing w:val="-3"/>
          <w:sz w:val="20"/>
        </w:rPr>
        <w:t> </w:t>
      </w:r>
      <w:r>
        <w:rPr>
          <w:color w:val="231F20"/>
          <w:sz w:val="20"/>
        </w:rPr>
        <w:t>высокий</w:t>
      </w:r>
      <w:r>
        <w:rPr>
          <w:color w:val="231F20"/>
          <w:spacing w:val="-3"/>
          <w:sz w:val="20"/>
        </w:rPr>
        <w:t> </w:t>
      </w:r>
      <w:r>
        <w:rPr>
          <w:color w:val="231F20"/>
          <w:sz w:val="20"/>
        </w:rPr>
        <w:t>уровень</w:t>
      </w:r>
      <w:r>
        <w:rPr>
          <w:color w:val="231F20"/>
          <w:spacing w:val="-3"/>
          <w:sz w:val="20"/>
        </w:rPr>
        <w:t> </w:t>
      </w:r>
      <w:r>
        <w:rPr>
          <w:color w:val="231F20"/>
          <w:sz w:val="20"/>
        </w:rPr>
        <w:t>реакции участников в ответ на пройденную практику (m=4,7; p&lt;0,05) (участие в интерак- тивных</w:t>
      </w:r>
      <w:r>
        <w:rPr>
          <w:color w:val="231F20"/>
          <w:spacing w:val="-5"/>
          <w:sz w:val="20"/>
        </w:rPr>
        <w:t> </w:t>
      </w:r>
      <w:r>
        <w:rPr>
          <w:color w:val="231F20"/>
          <w:sz w:val="20"/>
        </w:rPr>
        <w:t>семинарах</w:t>
      </w:r>
      <w:r>
        <w:rPr>
          <w:color w:val="231F20"/>
          <w:spacing w:val="-5"/>
          <w:sz w:val="20"/>
        </w:rPr>
        <w:t> </w:t>
      </w:r>
      <w:r>
        <w:rPr>
          <w:color w:val="231F20"/>
          <w:sz w:val="20"/>
        </w:rPr>
        <w:t>было</w:t>
      </w:r>
      <w:r>
        <w:rPr>
          <w:color w:val="231F20"/>
          <w:spacing w:val="-5"/>
          <w:sz w:val="20"/>
        </w:rPr>
        <w:t> </w:t>
      </w:r>
      <w:r>
        <w:rPr>
          <w:color w:val="231F20"/>
          <w:sz w:val="20"/>
        </w:rPr>
        <w:t>отмечено</w:t>
      </w:r>
      <w:r>
        <w:rPr>
          <w:color w:val="231F20"/>
          <w:spacing w:val="-5"/>
          <w:sz w:val="20"/>
        </w:rPr>
        <w:t> </w:t>
      </w:r>
      <w:r>
        <w:rPr>
          <w:color w:val="231F20"/>
          <w:sz w:val="20"/>
        </w:rPr>
        <w:t>как</w:t>
      </w:r>
      <w:r>
        <w:rPr>
          <w:color w:val="231F20"/>
          <w:spacing w:val="-5"/>
          <w:sz w:val="20"/>
        </w:rPr>
        <w:t> </w:t>
      </w:r>
      <w:r>
        <w:rPr>
          <w:color w:val="231F20"/>
          <w:sz w:val="20"/>
        </w:rPr>
        <w:t>полезное,</w:t>
      </w:r>
      <w:r>
        <w:rPr>
          <w:color w:val="231F20"/>
          <w:spacing w:val="-5"/>
          <w:sz w:val="20"/>
        </w:rPr>
        <w:t> </w:t>
      </w:r>
      <w:r>
        <w:rPr>
          <w:color w:val="231F20"/>
          <w:sz w:val="20"/>
        </w:rPr>
        <w:t>познавательное,</w:t>
      </w:r>
      <w:r>
        <w:rPr>
          <w:color w:val="231F20"/>
          <w:spacing w:val="-5"/>
          <w:sz w:val="20"/>
        </w:rPr>
        <w:t> </w:t>
      </w:r>
      <w:r>
        <w:rPr>
          <w:color w:val="231F20"/>
          <w:sz w:val="20"/>
        </w:rPr>
        <w:t>увлекательное</w:t>
      </w:r>
      <w:r>
        <w:rPr>
          <w:color w:val="231F20"/>
          <w:spacing w:val="-5"/>
          <w:sz w:val="20"/>
        </w:rPr>
        <w:t> </w:t>
      </w:r>
      <w:r>
        <w:rPr>
          <w:color w:val="231F20"/>
          <w:sz w:val="20"/>
        </w:rPr>
        <w:t>и интересное мероприятие. Кроме того, участие в семинаре заставило задуматься).</w:t>
      </w:r>
    </w:p>
    <w:p>
      <w:pPr>
        <w:pStyle w:val="ListParagraph"/>
        <w:numPr>
          <w:ilvl w:val="2"/>
          <w:numId w:val="69"/>
        </w:numPr>
        <w:tabs>
          <w:tab w:pos="425" w:val="left" w:leader="none"/>
        </w:tabs>
        <w:spacing w:line="230" w:lineRule="exact" w:before="0" w:after="0"/>
        <w:ind w:left="425" w:right="139" w:hanging="284"/>
        <w:jc w:val="both"/>
        <w:rPr>
          <w:rFonts w:ascii="Symbol" w:hAnsi="Symbol"/>
          <w:color w:val="231F20"/>
          <w:sz w:val="20"/>
        </w:rPr>
      </w:pPr>
      <w:r>
        <w:rPr>
          <w:color w:val="231F20"/>
          <w:sz w:val="20"/>
        </w:rPr>
        <w:t>Уровень</w:t>
      </w:r>
      <w:r>
        <w:rPr>
          <w:color w:val="231F20"/>
          <w:spacing w:val="-10"/>
          <w:sz w:val="20"/>
        </w:rPr>
        <w:t> </w:t>
      </w:r>
      <w:r>
        <w:rPr>
          <w:color w:val="231F20"/>
          <w:sz w:val="20"/>
        </w:rPr>
        <w:t>приобретения</w:t>
      </w:r>
      <w:r>
        <w:rPr>
          <w:color w:val="231F20"/>
          <w:spacing w:val="-10"/>
          <w:sz w:val="20"/>
        </w:rPr>
        <w:t> </w:t>
      </w:r>
      <w:r>
        <w:rPr>
          <w:color w:val="231F20"/>
          <w:sz w:val="20"/>
        </w:rPr>
        <w:t>знаний</w:t>
      </w:r>
      <w:r>
        <w:rPr>
          <w:color w:val="231F20"/>
          <w:spacing w:val="-10"/>
          <w:sz w:val="20"/>
        </w:rPr>
        <w:t> </w:t>
      </w:r>
      <w:r>
        <w:rPr>
          <w:color w:val="231F20"/>
          <w:sz w:val="20"/>
        </w:rPr>
        <w:t>и</w:t>
      </w:r>
      <w:r>
        <w:rPr>
          <w:color w:val="231F20"/>
          <w:spacing w:val="-10"/>
          <w:sz w:val="20"/>
        </w:rPr>
        <w:t> </w:t>
      </w:r>
      <w:r>
        <w:rPr>
          <w:color w:val="231F20"/>
          <w:sz w:val="20"/>
        </w:rPr>
        <w:t>умений:</w:t>
      </w:r>
      <w:r>
        <w:rPr>
          <w:color w:val="231F20"/>
          <w:spacing w:val="-10"/>
          <w:sz w:val="20"/>
        </w:rPr>
        <w:t> </w:t>
      </w:r>
      <w:r>
        <w:rPr>
          <w:color w:val="231F20"/>
          <w:sz w:val="20"/>
        </w:rPr>
        <w:t>в</w:t>
      </w:r>
      <w:r>
        <w:rPr>
          <w:color w:val="231F20"/>
          <w:spacing w:val="-10"/>
          <w:sz w:val="20"/>
        </w:rPr>
        <w:t> </w:t>
      </w:r>
      <w:r>
        <w:rPr>
          <w:color w:val="231F20"/>
          <w:sz w:val="20"/>
        </w:rPr>
        <w:t>результате</w:t>
      </w:r>
      <w:r>
        <w:rPr>
          <w:color w:val="231F20"/>
          <w:spacing w:val="-10"/>
          <w:sz w:val="20"/>
        </w:rPr>
        <w:t> </w:t>
      </w:r>
      <w:r>
        <w:rPr>
          <w:color w:val="231F20"/>
          <w:sz w:val="20"/>
        </w:rPr>
        <w:t>прохождения</w:t>
      </w:r>
      <w:r>
        <w:rPr>
          <w:color w:val="231F20"/>
          <w:spacing w:val="-10"/>
          <w:sz w:val="20"/>
        </w:rPr>
        <w:t> </w:t>
      </w:r>
      <w:r>
        <w:rPr>
          <w:color w:val="231F20"/>
          <w:sz w:val="20"/>
        </w:rPr>
        <w:t>практики</w:t>
      </w:r>
      <w:r>
        <w:rPr>
          <w:color w:val="231F20"/>
          <w:spacing w:val="-10"/>
          <w:sz w:val="20"/>
        </w:rPr>
        <w:t> </w:t>
      </w:r>
      <w:r>
        <w:rPr>
          <w:color w:val="231F20"/>
          <w:sz w:val="20"/>
        </w:rPr>
        <w:t>был отмечен</w:t>
      </w:r>
      <w:r>
        <w:rPr>
          <w:color w:val="231F20"/>
          <w:spacing w:val="-13"/>
          <w:sz w:val="20"/>
        </w:rPr>
        <w:t> </w:t>
      </w:r>
      <w:r>
        <w:rPr>
          <w:color w:val="231F20"/>
          <w:sz w:val="20"/>
        </w:rPr>
        <w:t>значимый</w:t>
      </w:r>
      <w:r>
        <w:rPr>
          <w:color w:val="231F20"/>
          <w:spacing w:val="-12"/>
          <w:sz w:val="20"/>
        </w:rPr>
        <w:t> </w:t>
      </w:r>
      <w:r>
        <w:rPr>
          <w:color w:val="231F20"/>
          <w:sz w:val="20"/>
        </w:rPr>
        <w:t>уровень</w:t>
      </w:r>
      <w:r>
        <w:rPr>
          <w:color w:val="231F20"/>
          <w:spacing w:val="-13"/>
          <w:sz w:val="20"/>
        </w:rPr>
        <w:t> </w:t>
      </w:r>
      <w:r>
        <w:rPr>
          <w:color w:val="231F20"/>
          <w:sz w:val="20"/>
        </w:rPr>
        <w:t>повышения</w:t>
      </w:r>
      <w:r>
        <w:rPr>
          <w:color w:val="231F20"/>
          <w:spacing w:val="-12"/>
          <w:sz w:val="20"/>
        </w:rPr>
        <w:t> </w:t>
      </w:r>
      <w:r>
        <w:rPr>
          <w:color w:val="231F20"/>
          <w:sz w:val="20"/>
        </w:rPr>
        <w:t>межкультурной</w:t>
      </w:r>
      <w:r>
        <w:rPr>
          <w:color w:val="231F20"/>
          <w:spacing w:val="-13"/>
          <w:sz w:val="20"/>
        </w:rPr>
        <w:t> </w:t>
      </w:r>
      <w:r>
        <w:rPr>
          <w:color w:val="231F20"/>
          <w:sz w:val="20"/>
        </w:rPr>
        <w:t>компетентности</w:t>
      </w:r>
      <w:r>
        <w:rPr>
          <w:color w:val="231F20"/>
          <w:spacing w:val="-12"/>
          <w:sz w:val="20"/>
        </w:rPr>
        <w:t> </w:t>
      </w:r>
      <w:r>
        <w:rPr>
          <w:color w:val="231F20"/>
          <w:sz w:val="20"/>
        </w:rPr>
        <w:t>в</w:t>
      </w:r>
      <w:r>
        <w:rPr>
          <w:color w:val="231F20"/>
          <w:spacing w:val="-13"/>
          <w:sz w:val="20"/>
        </w:rPr>
        <w:t> </w:t>
      </w:r>
      <w:r>
        <w:rPr>
          <w:color w:val="231F20"/>
          <w:sz w:val="20"/>
        </w:rPr>
        <w:t>области управления межкультурным взаимодействием (m=3,85; p&lt;0,05).</w:t>
      </w:r>
    </w:p>
    <w:p>
      <w:pPr>
        <w:pStyle w:val="ListParagraph"/>
        <w:numPr>
          <w:ilvl w:val="2"/>
          <w:numId w:val="69"/>
        </w:numPr>
        <w:tabs>
          <w:tab w:pos="425" w:val="left" w:leader="none"/>
        </w:tabs>
        <w:spacing w:line="230" w:lineRule="exact" w:before="0" w:after="0"/>
        <w:ind w:left="425" w:right="139" w:hanging="284"/>
        <w:jc w:val="both"/>
        <w:rPr>
          <w:rFonts w:ascii="Symbol" w:hAnsi="Symbol"/>
          <w:color w:val="231F20"/>
          <w:sz w:val="20"/>
        </w:rPr>
      </w:pPr>
      <w:r>
        <w:rPr>
          <w:color w:val="231F20"/>
          <w:sz w:val="20"/>
        </w:rPr>
        <w:t>Уровень</w:t>
      </w:r>
      <w:r>
        <w:rPr>
          <w:color w:val="231F20"/>
          <w:spacing w:val="-13"/>
          <w:sz w:val="20"/>
        </w:rPr>
        <w:t> </w:t>
      </w:r>
      <w:r>
        <w:rPr>
          <w:color w:val="231F20"/>
          <w:sz w:val="20"/>
        </w:rPr>
        <w:t>поведения</w:t>
      </w:r>
      <w:r>
        <w:rPr>
          <w:color w:val="231F20"/>
          <w:spacing w:val="-12"/>
          <w:sz w:val="20"/>
        </w:rPr>
        <w:t> </w:t>
      </w:r>
      <w:r>
        <w:rPr>
          <w:color w:val="231F20"/>
          <w:sz w:val="20"/>
        </w:rPr>
        <w:t>на</w:t>
      </w:r>
      <w:r>
        <w:rPr>
          <w:color w:val="231F20"/>
          <w:spacing w:val="-13"/>
          <w:sz w:val="20"/>
        </w:rPr>
        <w:t> </w:t>
      </w:r>
      <w:r>
        <w:rPr>
          <w:color w:val="231F20"/>
          <w:sz w:val="20"/>
        </w:rPr>
        <w:t>рабочем</w:t>
      </w:r>
      <w:r>
        <w:rPr>
          <w:color w:val="231F20"/>
          <w:spacing w:val="-12"/>
          <w:sz w:val="20"/>
        </w:rPr>
        <w:t> </w:t>
      </w:r>
      <w:r>
        <w:rPr>
          <w:color w:val="231F20"/>
          <w:sz w:val="20"/>
        </w:rPr>
        <w:t>месте</w:t>
      </w:r>
      <w:r>
        <w:rPr>
          <w:color w:val="231F20"/>
          <w:spacing w:val="-13"/>
          <w:sz w:val="20"/>
        </w:rPr>
        <w:t> </w:t>
      </w:r>
      <w:r>
        <w:rPr>
          <w:color w:val="231F20"/>
          <w:sz w:val="20"/>
        </w:rPr>
        <w:t>после</w:t>
      </w:r>
      <w:r>
        <w:rPr>
          <w:color w:val="231F20"/>
          <w:spacing w:val="-12"/>
          <w:sz w:val="20"/>
        </w:rPr>
        <w:t> </w:t>
      </w:r>
      <w:r>
        <w:rPr>
          <w:color w:val="231F20"/>
          <w:sz w:val="20"/>
        </w:rPr>
        <w:t>интерактивного</w:t>
      </w:r>
      <w:r>
        <w:rPr>
          <w:color w:val="231F20"/>
          <w:spacing w:val="-13"/>
          <w:sz w:val="20"/>
        </w:rPr>
        <w:t> </w:t>
      </w:r>
      <w:r>
        <w:rPr>
          <w:color w:val="231F20"/>
          <w:sz w:val="20"/>
        </w:rPr>
        <w:t>семинара:</w:t>
      </w:r>
      <w:r>
        <w:rPr>
          <w:color w:val="231F20"/>
          <w:spacing w:val="-12"/>
          <w:sz w:val="20"/>
        </w:rPr>
        <w:t> </w:t>
      </w:r>
      <w:r>
        <w:rPr>
          <w:color w:val="231F20"/>
          <w:sz w:val="20"/>
        </w:rPr>
        <w:t>оценивался с</w:t>
      </w:r>
      <w:r>
        <w:rPr>
          <w:color w:val="231F20"/>
          <w:spacing w:val="23"/>
          <w:sz w:val="20"/>
        </w:rPr>
        <w:t> </w:t>
      </w:r>
      <w:r>
        <w:rPr>
          <w:color w:val="231F20"/>
          <w:sz w:val="20"/>
        </w:rPr>
        <w:t>помощью</w:t>
      </w:r>
      <w:r>
        <w:rPr>
          <w:color w:val="231F20"/>
          <w:spacing w:val="23"/>
          <w:sz w:val="20"/>
        </w:rPr>
        <w:t> </w:t>
      </w:r>
      <w:r>
        <w:rPr>
          <w:color w:val="231F20"/>
          <w:sz w:val="20"/>
        </w:rPr>
        <w:t>ответа</w:t>
      </w:r>
      <w:r>
        <w:rPr>
          <w:color w:val="231F20"/>
          <w:spacing w:val="23"/>
          <w:sz w:val="20"/>
        </w:rPr>
        <w:t> </w:t>
      </w:r>
      <w:r>
        <w:rPr>
          <w:color w:val="231F20"/>
          <w:sz w:val="20"/>
        </w:rPr>
        <w:t>на</w:t>
      </w:r>
      <w:r>
        <w:rPr>
          <w:color w:val="231F20"/>
          <w:spacing w:val="23"/>
          <w:sz w:val="20"/>
        </w:rPr>
        <w:t> </w:t>
      </w:r>
      <w:r>
        <w:rPr>
          <w:color w:val="231F20"/>
          <w:sz w:val="20"/>
        </w:rPr>
        <w:t>открытый</w:t>
      </w:r>
      <w:r>
        <w:rPr>
          <w:color w:val="231F20"/>
          <w:spacing w:val="23"/>
          <w:sz w:val="20"/>
        </w:rPr>
        <w:t> </w:t>
      </w:r>
      <w:r>
        <w:rPr>
          <w:color w:val="231F20"/>
          <w:sz w:val="20"/>
        </w:rPr>
        <w:t>вопрос</w:t>
      </w:r>
      <w:r>
        <w:rPr>
          <w:color w:val="231F20"/>
          <w:spacing w:val="23"/>
          <w:sz w:val="20"/>
        </w:rPr>
        <w:t> </w:t>
      </w:r>
      <w:r>
        <w:rPr>
          <w:color w:val="231F20"/>
          <w:sz w:val="20"/>
        </w:rPr>
        <w:t>о</w:t>
      </w:r>
      <w:r>
        <w:rPr>
          <w:color w:val="231F20"/>
          <w:spacing w:val="23"/>
          <w:sz w:val="20"/>
        </w:rPr>
        <w:t> </w:t>
      </w:r>
      <w:r>
        <w:rPr>
          <w:color w:val="231F20"/>
          <w:sz w:val="20"/>
        </w:rPr>
        <w:t>последствиях</w:t>
      </w:r>
      <w:r>
        <w:rPr>
          <w:color w:val="231F20"/>
          <w:spacing w:val="23"/>
          <w:sz w:val="20"/>
        </w:rPr>
        <w:t> </w:t>
      </w:r>
      <w:r>
        <w:rPr>
          <w:color w:val="231F20"/>
          <w:sz w:val="20"/>
        </w:rPr>
        <w:t>прохождения</w:t>
      </w:r>
      <w:r>
        <w:rPr>
          <w:color w:val="231F20"/>
          <w:spacing w:val="23"/>
          <w:sz w:val="20"/>
        </w:rPr>
        <w:t> </w:t>
      </w:r>
      <w:r>
        <w:rPr>
          <w:color w:val="231F20"/>
          <w:sz w:val="20"/>
        </w:rPr>
        <w:t>практики и включал в себя такие категории, как позитивная оценка текущей профессио- нальной деятельности, высокий уровень осознанности, связанный с профессио- нальными</w:t>
      </w:r>
      <w:r>
        <w:rPr>
          <w:color w:val="231F20"/>
          <w:spacing w:val="-2"/>
          <w:sz w:val="20"/>
        </w:rPr>
        <w:t> </w:t>
      </w:r>
      <w:r>
        <w:rPr>
          <w:color w:val="231F20"/>
          <w:sz w:val="20"/>
        </w:rPr>
        <w:t>задачами</w:t>
      </w:r>
      <w:r>
        <w:rPr>
          <w:color w:val="231F20"/>
          <w:spacing w:val="-2"/>
          <w:sz w:val="20"/>
        </w:rPr>
        <w:t> </w:t>
      </w:r>
      <w:r>
        <w:rPr>
          <w:color w:val="231F20"/>
          <w:sz w:val="20"/>
        </w:rPr>
        <w:t>в</w:t>
      </w:r>
      <w:r>
        <w:rPr>
          <w:color w:val="231F20"/>
          <w:spacing w:val="-2"/>
          <w:sz w:val="20"/>
        </w:rPr>
        <w:t> </w:t>
      </w:r>
      <w:r>
        <w:rPr>
          <w:color w:val="231F20"/>
          <w:sz w:val="20"/>
        </w:rPr>
        <w:t>обучении</w:t>
      </w:r>
      <w:r>
        <w:rPr>
          <w:color w:val="231F20"/>
          <w:spacing w:val="-2"/>
          <w:sz w:val="20"/>
        </w:rPr>
        <w:t> </w:t>
      </w:r>
      <w:r>
        <w:rPr>
          <w:color w:val="231F20"/>
          <w:sz w:val="20"/>
        </w:rPr>
        <w:t>детей</w:t>
      </w:r>
      <w:r>
        <w:rPr>
          <w:color w:val="231F20"/>
          <w:spacing w:val="-2"/>
          <w:sz w:val="20"/>
        </w:rPr>
        <w:t> </w:t>
      </w:r>
      <w:r>
        <w:rPr>
          <w:color w:val="231F20"/>
          <w:sz w:val="20"/>
        </w:rPr>
        <w:t>иностранных</w:t>
      </w:r>
      <w:r>
        <w:rPr>
          <w:color w:val="231F20"/>
          <w:spacing w:val="-2"/>
          <w:sz w:val="20"/>
        </w:rPr>
        <w:t> </w:t>
      </w:r>
      <w:r>
        <w:rPr>
          <w:color w:val="231F20"/>
          <w:sz w:val="20"/>
        </w:rPr>
        <w:t>граждан,</w:t>
      </w:r>
      <w:r>
        <w:rPr>
          <w:color w:val="231F20"/>
          <w:spacing w:val="-2"/>
          <w:sz w:val="20"/>
        </w:rPr>
        <w:t> </w:t>
      </w:r>
      <w:r>
        <w:rPr>
          <w:color w:val="231F20"/>
          <w:sz w:val="20"/>
        </w:rPr>
        <w:t>и</w:t>
      </w:r>
      <w:r>
        <w:rPr>
          <w:color w:val="231F20"/>
          <w:spacing w:val="-2"/>
          <w:sz w:val="20"/>
        </w:rPr>
        <w:t> </w:t>
      </w:r>
      <w:r>
        <w:rPr>
          <w:color w:val="231F20"/>
          <w:sz w:val="20"/>
        </w:rPr>
        <w:t>постановка</w:t>
      </w:r>
      <w:r>
        <w:rPr>
          <w:color w:val="231F20"/>
          <w:spacing w:val="-2"/>
          <w:sz w:val="20"/>
        </w:rPr>
        <w:t> </w:t>
      </w:r>
      <w:r>
        <w:rPr>
          <w:color w:val="231F20"/>
          <w:sz w:val="20"/>
        </w:rPr>
        <w:t>новых профессиональных задач.</w:t>
      </w:r>
    </w:p>
    <w:p>
      <w:pPr>
        <w:pStyle w:val="BodyText"/>
        <w:spacing w:line="227" w:lineRule="exact"/>
        <w:ind w:left="475" w:right="0" w:firstLine="0"/>
      </w:pPr>
      <w:r>
        <w:rPr>
          <w:color w:val="231F20"/>
        </w:rPr>
        <w:t>Приведем</w:t>
      </w:r>
      <w:r>
        <w:rPr>
          <w:color w:val="231F20"/>
          <w:spacing w:val="-6"/>
        </w:rPr>
        <w:t> </w:t>
      </w:r>
      <w:r>
        <w:rPr>
          <w:color w:val="231F20"/>
        </w:rPr>
        <w:t>пример</w:t>
      </w:r>
      <w:r>
        <w:rPr>
          <w:color w:val="231F20"/>
          <w:spacing w:val="-5"/>
        </w:rPr>
        <w:t> </w:t>
      </w:r>
      <w:r>
        <w:rPr>
          <w:color w:val="231F20"/>
        </w:rPr>
        <w:t>программы</w:t>
      </w:r>
      <w:r>
        <w:rPr>
          <w:color w:val="231F20"/>
          <w:spacing w:val="-5"/>
        </w:rPr>
        <w:t> </w:t>
      </w:r>
      <w:r>
        <w:rPr>
          <w:color w:val="231F20"/>
        </w:rPr>
        <w:t>интерактивного</w:t>
      </w:r>
      <w:r>
        <w:rPr>
          <w:color w:val="231F20"/>
          <w:spacing w:val="-5"/>
        </w:rPr>
        <w:t> </w:t>
      </w:r>
      <w:r>
        <w:rPr>
          <w:color w:val="231F20"/>
          <w:spacing w:val="-2"/>
        </w:rPr>
        <w:t>семинара.</w:t>
      </w:r>
    </w:p>
    <w:p>
      <w:pPr>
        <w:spacing w:before="0"/>
        <w:ind w:left="425" w:right="0" w:firstLine="0"/>
        <w:jc w:val="both"/>
        <w:rPr>
          <w:b/>
          <w:sz w:val="20"/>
        </w:rPr>
      </w:pPr>
      <w:r>
        <w:rPr>
          <w:b/>
          <w:color w:val="231F20"/>
          <w:sz w:val="20"/>
        </w:rPr>
        <w:t>«Дети</w:t>
      </w:r>
      <w:r>
        <w:rPr>
          <w:b/>
          <w:color w:val="231F20"/>
          <w:spacing w:val="-8"/>
          <w:sz w:val="20"/>
        </w:rPr>
        <w:t> </w:t>
      </w:r>
      <w:r>
        <w:rPr>
          <w:b/>
          <w:color w:val="231F20"/>
          <w:sz w:val="20"/>
        </w:rPr>
        <w:t>разных</w:t>
      </w:r>
      <w:r>
        <w:rPr>
          <w:b/>
          <w:color w:val="231F20"/>
          <w:spacing w:val="-4"/>
          <w:sz w:val="20"/>
        </w:rPr>
        <w:t> </w:t>
      </w:r>
      <w:r>
        <w:rPr>
          <w:b/>
          <w:color w:val="231F20"/>
          <w:sz w:val="20"/>
        </w:rPr>
        <w:t>народов</w:t>
      </w:r>
      <w:r>
        <w:rPr>
          <w:b/>
          <w:color w:val="231F20"/>
          <w:spacing w:val="-4"/>
          <w:sz w:val="20"/>
        </w:rPr>
        <w:t> </w:t>
      </w:r>
      <w:r>
        <w:rPr>
          <w:b/>
          <w:color w:val="231F20"/>
          <w:sz w:val="20"/>
        </w:rPr>
        <w:t>в</w:t>
      </w:r>
      <w:r>
        <w:rPr>
          <w:b/>
          <w:color w:val="231F20"/>
          <w:spacing w:val="-5"/>
          <w:sz w:val="20"/>
        </w:rPr>
        <w:t> </w:t>
      </w:r>
      <w:r>
        <w:rPr>
          <w:b/>
          <w:color w:val="231F20"/>
          <w:sz w:val="20"/>
        </w:rPr>
        <w:t>одной</w:t>
      </w:r>
      <w:r>
        <w:rPr>
          <w:b/>
          <w:color w:val="231F20"/>
          <w:spacing w:val="-5"/>
          <w:sz w:val="20"/>
        </w:rPr>
        <w:t> </w:t>
      </w:r>
      <w:r>
        <w:rPr>
          <w:b/>
          <w:color w:val="231F20"/>
          <w:sz w:val="20"/>
        </w:rPr>
        <w:t>школе:</w:t>
      </w:r>
      <w:r>
        <w:rPr>
          <w:b/>
          <w:color w:val="231F20"/>
          <w:spacing w:val="-4"/>
          <w:sz w:val="20"/>
        </w:rPr>
        <w:t> </w:t>
      </w:r>
      <w:r>
        <w:rPr>
          <w:b/>
          <w:color w:val="231F20"/>
          <w:sz w:val="20"/>
        </w:rPr>
        <w:t>ищем</w:t>
      </w:r>
      <w:r>
        <w:rPr>
          <w:b/>
          <w:color w:val="231F20"/>
          <w:spacing w:val="-5"/>
          <w:sz w:val="20"/>
        </w:rPr>
        <w:t> </w:t>
      </w:r>
      <w:r>
        <w:rPr>
          <w:b/>
          <w:color w:val="231F20"/>
          <w:sz w:val="20"/>
        </w:rPr>
        <w:t>пути</w:t>
      </w:r>
      <w:r>
        <w:rPr>
          <w:b/>
          <w:color w:val="231F20"/>
          <w:spacing w:val="-5"/>
          <w:sz w:val="20"/>
        </w:rPr>
        <w:t> </w:t>
      </w:r>
      <w:r>
        <w:rPr>
          <w:b/>
          <w:color w:val="231F20"/>
          <w:spacing w:val="-2"/>
          <w:sz w:val="20"/>
        </w:rPr>
        <w:t>понимания»</w:t>
      </w:r>
    </w:p>
    <w:p>
      <w:pPr>
        <w:pStyle w:val="BodyText"/>
      </w:pPr>
      <w:r>
        <w:rPr>
          <w:b/>
          <w:color w:val="231F20"/>
        </w:rPr>
        <w:t>Цель</w:t>
      </w:r>
      <w:r>
        <w:rPr>
          <w:color w:val="231F20"/>
        </w:rPr>
        <w:t>: Интерактивный семинар предназначен для организации обсуждения ме- жэтнических проблем различного характера: обучение детей различных этнических групп,</w:t>
      </w:r>
      <w:r>
        <w:rPr>
          <w:color w:val="231F20"/>
          <w:spacing w:val="-2"/>
        </w:rPr>
        <w:t> </w:t>
      </w:r>
      <w:r>
        <w:rPr>
          <w:color w:val="231F20"/>
        </w:rPr>
        <w:t>коммуникация</w:t>
      </w:r>
      <w:r>
        <w:rPr>
          <w:color w:val="231F20"/>
          <w:spacing w:val="-2"/>
        </w:rPr>
        <w:t> </w:t>
      </w:r>
      <w:r>
        <w:rPr>
          <w:color w:val="231F20"/>
        </w:rPr>
        <w:t>с</w:t>
      </w:r>
      <w:r>
        <w:rPr>
          <w:color w:val="231F20"/>
          <w:spacing w:val="-2"/>
        </w:rPr>
        <w:t> </w:t>
      </w:r>
      <w:r>
        <w:rPr>
          <w:color w:val="231F20"/>
        </w:rPr>
        <w:t>ними</w:t>
      </w:r>
      <w:r>
        <w:rPr>
          <w:color w:val="231F20"/>
          <w:spacing w:val="-2"/>
        </w:rPr>
        <w:t> </w:t>
      </w:r>
      <w:r>
        <w:rPr>
          <w:color w:val="231F20"/>
        </w:rPr>
        <w:t>и</w:t>
      </w:r>
      <w:r>
        <w:rPr>
          <w:color w:val="231F20"/>
          <w:spacing w:val="-3"/>
        </w:rPr>
        <w:t> </w:t>
      </w:r>
      <w:r>
        <w:rPr>
          <w:color w:val="231F20"/>
        </w:rPr>
        <w:t>т.д.</w:t>
      </w:r>
      <w:r>
        <w:rPr>
          <w:color w:val="231F20"/>
          <w:spacing w:val="-3"/>
        </w:rPr>
        <w:t> </w:t>
      </w:r>
      <w:r>
        <w:rPr>
          <w:color w:val="231F20"/>
        </w:rPr>
        <w:t>Он</w:t>
      </w:r>
      <w:r>
        <w:rPr>
          <w:color w:val="231F20"/>
          <w:spacing w:val="-2"/>
        </w:rPr>
        <w:t> </w:t>
      </w:r>
      <w:r>
        <w:rPr>
          <w:color w:val="231F20"/>
        </w:rPr>
        <w:t>направлен</w:t>
      </w:r>
      <w:r>
        <w:rPr>
          <w:color w:val="231F20"/>
          <w:spacing w:val="-3"/>
        </w:rPr>
        <w:t> </w:t>
      </w:r>
      <w:r>
        <w:rPr>
          <w:color w:val="231F20"/>
        </w:rPr>
        <w:t>на</w:t>
      </w:r>
      <w:r>
        <w:rPr>
          <w:color w:val="231F20"/>
          <w:spacing w:val="-2"/>
        </w:rPr>
        <w:t> </w:t>
      </w:r>
      <w:r>
        <w:rPr>
          <w:color w:val="231F20"/>
        </w:rPr>
        <w:t>повышение</w:t>
      </w:r>
      <w:r>
        <w:rPr>
          <w:color w:val="231F20"/>
          <w:spacing w:val="-2"/>
        </w:rPr>
        <w:t> </w:t>
      </w:r>
      <w:r>
        <w:rPr>
          <w:color w:val="231F20"/>
        </w:rPr>
        <w:t>общего</w:t>
      </w:r>
      <w:r>
        <w:rPr>
          <w:color w:val="231F20"/>
          <w:spacing w:val="-3"/>
        </w:rPr>
        <w:t> </w:t>
      </w:r>
      <w:r>
        <w:rPr>
          <w:color w:val="231F20"/>
        </w:rPr>
        <w:t>уровня</w:t>
      </w:r>
      <w:r>
        <w:rPr>
          <w:color w:val="231F20"/>
          <w:spacing w:val="-2"/>
        </w:rPr>
        <w:t> </w:t>
      </w:r>
      <w:r>
        <w:rPr>
          <w:color w:val="231F20"/>
        </w:rPr>
        <w:t>ком- петентности педагогов</w:t>
      </w:r>
      <w:r>
        <w:rPr>
          <w:color w:val="231F20"/>
          <w:spacing w:val="40"/>
        </w:rPr>
        <w:t> </w:t>
      </w:r>
      <w:r>
        <w:rPr>
          <w:color w:val="231F20"/>
        </w:rPr>
        <w:t>в области межкультурного взаимодействия и может предва- рять разработку конкретных методических рекомендаций.</w:t>
      </w:r>
    </w:p>
    <w:p>
      <w:pPr>
        <w:pStyle w:val="BodyText"/>
        <w:spacing w:line="235" w:lineRule="auto"/>
      </w:pPr>
      <w:r>
        <w:rPr>
          <w:b/>
          <w:color w:val="231F20"/>
        </w:rPr>
        <w:t>Материалы</w:t>
      </w:r>
      <w:r>
        <w:rPr>
          <w:color w:val="231F20"/>
        </w:rPr>
        <w:t>: флип-чарт (или доска для записей), стикеры (бумага с клеящимся краем), «Шпаргалки» по числу участников</w:t>
      </w:r>
    </w:p>
    <w:p>
      <w:pPr>
        <w:pStyle w:val="BodyText"/>
        <w:spacing w:line="224" w:lineRule="exact"/>
        <w:ind w:left="425" w:right="0" w:firstLine="0"/>
      </w:pPr>
      <w:r>
        <w:rPr>
          <w:color w:val="231F20"/>
        </w:rPr>
        <w:t>Семинар</w:t>
      </w:r>
      <w:r>
        <w:rPr>
          <w:color w:val="231F20"/>
          <w:spacing w:val="-4"/>
        </w:rPr>
        <w:t> </w:t>
      </w:r>
      <w:r>
        <w:rPr>
          <w:color w:val="231F20"/>
        </w:rPr>
        <w:t>включает</w:t>
      </w:r>
      <w:r>
        <w:rPr>
          <w:color w:val="231F20"/>
          <w:spacing w:val="-4"/>
        </w:rPr>
        <w:t> </w:t>
      </w:r>
      <w:r>
        <w:rPr>
          <w:color w:val="231F20"/>
        </w:rPr>
        <w:t>следующие</w:t>
      </w:r>
      <w:r>
        <w:rPr>
          <w:color w:val="231F20"/>
          <w:spacing w:val="-4"/>
        </w:rPr>
        <w:t> </w:t>
      </w:r>
      <w:r>
        <w:rPr>
          <w:color w:val="231F20"/>
          <w:spacing w:val="-2"/>
        </w:rPr>
        <w:t>этапы:</w:t>
      </w:r>
    </w:p>
    <w:p>
      <w:pPr>
        <w:pStyle w:val="ListParagraph"/>
        <w:numPr>
          <w:ilvl w:val="0"/>
          <w:numId w:val="79"/>
        </w:numPr>
        <w:tabs>
          <w:tab w:pos="423" w:val="left" w:leader="none"/>
        </w:tabs>
        <w:spacing w:line="231" w:lineRule="exact" w:before="0" w:after="0"/>
        <w:ind w:left="423" w:right="0" w:hanging="282"/>
        <w:jc w:val="both"/>
        <w:rPr>
          <w:sz w:val="20"/>
        </w:rPr>
      </w:pPr>
      <w:r>
        <w:rPr>
          <w:color w:val="231F20"/>
          <w:spacing w:val="-2"/>
          <w:sz w:val="20"/>
        </w:rPr>
        <w:t>Разминка</w:t>
      </w:r>
    </w:p>
    <w:p>
      <w:pPr>
        <w:pStyle w:val="ListParagraph"/>
        <w:numPr>
          <w:ilvl w:val="0"/>
          <w:numId w:val="79"/>
        </w:numPr>
        <w:tabs>
          <w:tab w:pos="423" w:val="left" w:leader="none"/>
        </w:tabs>
        <w:spacing w:line="235" w:lineRule="exact" w:before="0" w:after="0"/>
        <w:ind w:left="423" w:right="0" w:hanging="282"/>
        <w:jc w:val="both"/>
        <w:rPr>
          <w:sz w:val="20"/>
        </w:rPr>
      </w:pPr>
      <w:r>
        <w:rPr>
          <w:color w:val="231F20"/>
          <w:sz w:val="20"/>
        </w:rPr>
        <w:t>Актуализация</w:t>
      </w:r>
      <w:r>
        <w:rPr>
          <w:color w:val="231F20"/>
          <w:spacing w:val="-3"/>
          <w:sz w:val="20"/>
        </w:rPr>
        <w:t> </w:t>
      </w:r>
      <w:r>
        <w:rPr>
          <w:color w:val="231F20"/>
          <w:sz w:val="20"/>
        </w:rPr>
        <w:t>опыта</w:t>
      </w:r>
      <w:r>
        <w:rPr>
          <w:color w:val="231F20"/>
          <w:spacing w:val="-3"/>
          <w:sz w:val="20"/>
        </w:rPr>
        <w:t> </w:t>
      </w:r>
      <w:r>
        <w:rPr>
          <w:color w:val="231F20"/>
          <w:spacing w:val="-2"/>
          <w:sz w:val="20"/>
        </w:rPr>
        <w:t>участников</w:t>
      </w:r>
    </w:p>
    <w:p>
      <w:pPr>
        <w:pStyle w:val="ListParagraph"/>
        <w:spacing w:after="0" w:line="235" w:lineRule="exact"/>
        <w:jc w:val="both"/>
        <w:rPr>
          <w:sz w:val="20"/>
        </w:rPr>
        <w:sectPr>
          <w:pgSz w:w="8400" w:h="11910"/>
          <w:pgMar w:header="0" w:footer="542"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pStyle w:val="ListParagraph"/>
        <w:numPr>
          <w:ilvl w:val="0"/>
          <w:numId w:val="79"/>
        </w:numPr>
        <w:tabs>
          <w:tab w:pos="423" w:val="left" w:leader="none"/>
        </w:tabs>
        <w:spacing w:line="237" w:lineRule="exact" w:before="108" w:after="0"/>
        <w:ind w:left="423" w:right="0" w:hanging="282"/>
        <w:jc w:val="left"/>
        <w:rPr>
          <w:sz w:val="20"/>
        </w:rPr>
      </w:pPr>
      <w:r>
        <w:rPr>
          <w:color w:val="231F20"/>
          <w:sz w:val="20"/>
        </w:rPr>
        <w:t>Презентация</w:t>
      </w:r>
      <w:r>
        <w:rPr>
          <w:color w:val="231F20"/>
          <w:spacing w:val="-1"/>
          <w:sz w:val="20"/>
        </w:rPr>
        <w:t> </w:t>
      </w:r>
      <w:r>
        <w:rPr>
          <w:color w:val="231F20"/>
          <w:sz w:val="20"/>
        </w:rPr>
        <w:t>новой</w:t>
      </w:r>
      <w:r>
        <w:rPr>
          <w:color w:val="231F20"/>
          <w:spacing w:val="-1"/>
          <w:sz w:val="20"/>
        </w:rPr>
        <w:t> </w:t>
      </w:r>
      <w:r>
        <w:rPr>
          <w:color w:val="231F20"/>
          <w:spacing w:val="-2"/>
          <w:sz w:val="20"/>
        </w:rPr>
        <w:t>информации</w:t>
      </w:r>
    </w:p>
    <w:p>
      <w:pPr>
        <w:pStyle w:val="ListParagraph"/>
        <w:numPr>
          <w:ilvl w:val="0"/>
          <w:numId w:val="79"/>
        </w:numPr>
        <w:tabs>
          <w:tab w:pos="423" w:val="left" w:leader="none"/>
        </w:tabs>
        <w:spacing w:line="237" w:lineRule="exact" w:before="0" w:after="0"/>
        <w:ind w:left="423" w:right="0" w:hanging="282"/>
        <w:jc w:val="left"/>
        <w:rPr>
          <w:sz w:val="20"/>
        </w:rPr>
      </w:pPr>
      <w:r>
        <w:rPr>
          <w:color w:val="231F20"/>
          <w:spacing w:val="-2"/>
          <w:sz w:val="20"/>
        </w:rPr>
        <w:t>Завершение</w:t>
      </w:r>
    </w:p>
    <w:p>
      <w:pPr>
        <w:pStyle w:val="BodyText"/>
        <w:spacing w:before="103"/>
      </w:pPr>
      <w:r>
        <w:rPr>
          <w:b/>
          <w:color w:val="231F20"/>
        </w:rPr>
        <w:t>Разминка</w:t>
      </w:r>
      <w:r>
        <w:rPr>
          <w:color w:val="231F20"/>
        </w:rPr>
        <w:t>: Каждый из нас – особенный, уникальный, чем-то не похожий на дру- гих человек. Давайте встанем в круг и расскажем об этом друг другу. Я попрошу каждого</w:t>
      </w:r>
      <w:r>
        <w:rPr>
          <w:color w:val="231F20"/>
          <w:spacing w:val="-12"/>
        </w:rPr>
        <w:t> </w:t>
      </w:r>
      <w:r>
        <w:rPr>
          <w:color w:val="231F20"/>
        </w:rPr>
        <w:t>из</w:t>
      </w:r>
      <w:r>
        <w:rPr>
          <w:color w:val="231F20"/>
          <w:spacing w:val="-12"/>
        </w:rPr>
        <w:t> </w:t>
      </w:r>
      <w:r>
        <w:rPr>
          <w:color w:val="231F20"/>
        </w:rPr>
        <w:t>вас</w:t>
      </w:r>
      <w:r>
        <w:rPr>
          <w:color w:val="231F20"/>
          <w:spacing w:val="-12"/>
        </w:rPr>
        <w:t> </w:t>
      </w:r>
      <w:r>
        <w:rPr>
          <w:color w:val="231F20"/>
        </w:rPr>
        <w:t>продолжить</w:t>
      </w:r>
      <w:r>
        <w:rPr>
          <w:color w:val="231F20"/>
          <w:spacing w:val="-12"/>
        </w:rPr>
        <w:t> </w:t>
      </w:r>
      <w:r>
        <w:rPr>
          <w:color w:val="231F20"/>
        </w:rPr>
        <w:t>фразу</w:t>
      </w:r>
      <w:r>
        <w:rPr>
          <w:color w:val="231F20"/>
          <w:spacing w:val="-12"/>
        </w:rPr>
        <w:t> </w:t>
      </w:r>
      <w:r>
        <w:rPr>
          <w:color w:val="231F20"/>
        </w:rPr>
        <w:t>«Только</w:t>
      </w:r>
      <w:r>
        <w:rPr>
          <w:color w:val="231F20"/>
          <w:spacing w:val="-12"/>
        </w:rPr>
        <w:t> </w:t>
      </w:r>
      <w:r>
        <w:rPr>
          <w:color w:val="231F20"/>
        </w:rPr>
        <w:t>я…»</w:t>
      </w:r>
      <w:r>
        <w:rPr>
          <w:color w:val="231F20"/>
          <w:spacing w:val="27"/>
        </w:rPr>
        <w:t> </w:t>
      </w:r>
      <w:r>
        <w:rPr>
          <w:color w:val="231F20"/>
        </w:rPr>
        <w:t>или</w:t>
      </w:r>
      <w:r>
        <w:rPr>
          <w:color w:val="231F20"/>
          <w:spacing w:val="-12"/>
        </w:rPr>
        <w:t> </w:t>
      </w:r>
      <w:r>
        <w:rPr>
          <w:color w:val="231F20"/>
        </w:rPr>
        <w:t>«Я</w:t>
      </w:r>
      <w:r>
        <w:rPr>
          <w:color w:val="231F20"/>
          <w:spacing w:val="-12"/>
        </w:rPr>
        <w:t> </w:t>
      </w:r>
      <w:r>
        <w:rPr>
          <w:color w:val="231F20"/>
        </w:rPr>
        <w:t>особенный,</w:t>
      </w:r>
      <w:r>
        <w:rPr>
          <w:color w:val="231F20"/>
          <w:spacing w:val="-12"/>
        </w:rPr>
        <w:t> </w:t>
      </w:r>
      <w:r>
        <w:rPr>
          <w:color w:val="231F20"/>
        </w:rPr>
        <w:t>потому</w:t>
      </w:r>
      <w:r>
        <w:rPr>
          <w:color w:val="231F20"/>
          <w:spacing w:val="-12"/>
        </w:rPr>
        <w:t> </w:t>
      </w:r>
      <w:r>
        <w:rPr>
          <w:color w:val="231F20"/>
        </w:rPr>
        <w:t>что…».</w:t>
      </w:r>
      <w:r>
        <w:rPr>
          <w:color w:val="231F20"/>
          <w:spacing w:val="-12"/>
        </w:rPr>
        <w:t> </w:t>
      </w:r>
      <w:r>
        <w:rPr>
          <w:color w:val="231F20"/>
        </w:rPr>
        <w:t>А затем мы хором повторим: «Ты действительно…»</w:t>
      </w:r>
    </w:p>
    <w:p>
      <w:pPr>
        <w:spacing w:before="114"/>
        <w:ind w:left="425" w:right="0" w:firstLine="0"/>
        <w:jc w:val="both"/>
        <w:rPr>
          <w:b/>
          <w:sz w:val="20"/>
        </w:rPr>
      </w:pPr>
      <w:r>
        <w:rPr>
          <w:b/>
          <w:color w:val="231F20"/>
          <w:spacing w:val="-2"/>
          <w:sz w:val="20"/>
        </w:rPr>
        <w:t>Актуализация</w:t>
      </w:r>
      <w:r>
        <w:rPr>
          <w:b/>
          <w:color w:val="231F20"/>
          <w:spacing w:val="3"/>
          <w:sz w:val="20"/>
        </w:rPr>
        <w:t> </w:t>
      </w:r>
      <w:r>
        <w:rPr>
          <w:b/>
          <w:color w:val="231F20"/>
          <w:spacing w:val="-2"/>
          <w:sz w:val="20"/>
        </w:rPr>
        <w:t>опыта</w:t>
      </w:r>
      <w:r>
        <w:rPr>
          <w:b/>
          <w:color w:val="231F20"/>
          <w:spacing w:val="5"/>
          <w:sz w:val="20"/>
        </w:rPr>
        <w:t> </w:t>
      </w:r>
      <w:r>
        <w:rPr>
          <w:b/>
          <w:color w:val="231F20"/>
          <w:spacing w:val="-2"/>
          <w:sz w:val="20"/>
        </w:rPr>
        <w:t>педагогов:</w:t>
      </w:r>
      <w:r>
        <w:rPr>
          <w:b/>
          <w:color w:val="231F20"/>
          <w:spacing w:val="5"/>
          <w:sz w:val="20"/>
        </w:rPr>
        <w:t> </w:t>
      </w:r>
      <w:r>
        <w:rPr>
          <w:b/>
          <w:color w:val="231F20"/>
          <w:spacing w:val="-2"/>
          <w:sz w:val="20"/>
        </w:rPr>
        <w:t>Групповая</w:t>
      </w:r>
      <w:r>
        <w:rPr>
          <w:b/>
          <w:color w:val="231F20"/>
          <w:spacing w:val="6"/>
          <w:sz w:val="20"/>
        </w:rPr>
        <w:t> </w:t>
      </w:r>
      <w:r>
        <w:rPr>
          <w:b/>
          <w:color w:val="231F20"/>
          <w:spacing w:val="-2"/>
          <w:sz w:val="20"/>
        </w:rPr>
        <w:t>дискуссия</w:t>
      </w:r>
    </w:p>
    <w:p>
      <w:pPr>
        <w:spacing w:before="0"/>
        <w:ind w:left="141" w:right="139" w:firstLine="283"/>
        <w:jc w:val="both"/>
        <w:rPr>
          <w:sz w:val="20"/>
        </w:rPr>
      </w:pPr>
      <w:r>
        <w:rPr>
          <w:i/>
          <w:color w:val="231F20"/>
          <w:sz w:val="20"/>
        </w:rPr>
        <w:t>В профессиональной деятельности каждый</w:t>
      </w:r>
      <w:r>
        <w:rPr>
          <w:i/>
          <w:color w:val="231F20"/>
          <w:spacing w:val="40"/>
          <w:sz w:val="20"/>
        </w:rPr>
        <w:t> </w:t>
      </w:r>
      <w:r>
        <w:rPr>
          <w:i/>
          <w:color w:val="231F20"/>
          <w:sz w:val="20"/>
        </w:rPr>
        <w:t>из нас сталкивается с самыми раз- ными</w:t>
      </w:r>
      <w:r>
        <w:rPr>
          <w:i/>
          <w:color w:val="231F20"/>
          <w:spacing w:val="-2"/>
          <w:sz w:val="20"/>
        </w:rPr>
        <w:t> </w:t>
      </w:r>
      <w:r>
        <w:rPr>
          <w:i/>
          <w:color w:val="231F20"/>
          <w:sz w:val="20"/>
        </w:rPr>
        <w:t>детьми.</w:t>
      </w:r>
      <w:r>
        <w:rPr>
          <w:i/>
          <w:color w:val="231F20"/>
          <w:spacing w:val="-2"/>
          <w:sz w:val="20"/>
        </w:rPr>
        <w:t> </w:t>
      </w:r>
      <w:r>
        <w:rPr>
          <w:i/>
          <w:color w:val="231F20"/>
          <w:sz w:val="20"/>
        </w:rPr>
        <w:t>Нам</w:t>
      </w:r>
      <w:r>
        <w:rPr>
          <w:i/>
          <w:color w:val="231F20"/>
          <w:spacing w:val="-2"/>
          <w:sz w:val="20"/>
        </w:rPr>
        <w:t> </w:t>
      </w:r>
      <w:r>
        <w:rPr>
          <w:i/>
          <w:color w:val="231F20"/>
          <w:sz w:val="20"/>
        </w:rPr>
        <w:t>приходится</w:t>
      </w:r>
      <w:r>
        <w:rPr>
          <w:i/>
          <w:color w:val="231F20"/>
          <w:spacing w:val="-2"/>
          <w:sz w:val="20"/>
        </w:rPr>
        <w:t> </w:t>
      </w:r>
      <w:r>
        <w:rPr>
          <w:i/>
          <w:color w:val="231F20"/>
          <w:sz w:val="20"/>
        </w:rPr>
        <w:t>искать</w:t>
      </w:r>
      <w:r>
        <w:rPr>
          <w:i/>
          <w:color w:val="231F20"/>
          <w:spacing w:val="-2"/>
          <w:sz w:val="20"/>
        </w:rPr>
        <w:t> </w:t>
      </w:r>
      <w:r>
        <w:rPr>
          <w:i/>
          <w:color w:val="231F20"/>
          <w:sz w:val="20"/>
        </w:rPr>
        <w:t>подход</w:t>
      </w:r>
      <w:r>
        <w:rPr>
          <w:i/>
          <w:color w:val="231F20"/>
          <w:spacing w:val="-2"/>
          <w:sz w:val="20"/>
        </w:rPr>
        <w:t> </w:t>
      </w:r>
      <w:r>
        <w:rPr>
          <w:i/>
          <w:color w:val="231F20"/>
          <w:sz w:val="20"/>
        </w:rPr>
        <w:t>к</w:t>
      </w:r>
      <w:r>
        <w:rPr>
          <w:i/>
          <w:color w:val="231F20"/>
          <w:spacing w:val="-3"/>
          <w:sz w:val="20"/>
        </w:rPr>
        <w:t> </w:t>
      </w:r>
      <w:r>
        <w:rPr>
          <w:i/>
          <w:color w:val="231F20"/>
          <w:sz w:val="20"/>
        </w:rPr>
        <w:t>детям,</w:t>
      </w:r>
      <w:r>
        <w:rPr>
          <w:i/>
          <w:color w:val="231F20"/>
          <w:spacing w:val="-2"/>
          <w:sz w:val="20"/>
        </w:rPr>
        <w:t> </w:t>
      </w:r>
      <w:r>
        <w:rPr>
          <w:i/>
          <w:color w:val="231F20"/>
          <w:sz w:val="20"/>
        </w:rPr>
        <w:t>имеющим</w:t>
      </w:r>
      <w:r>
        <w:rPr>
          <w:i/>
          <w:color w:val="231F20"/>
          <w:spacing w:val="-3"/>
          <w:sz w:val="20"/>
        </w:rPr>
        <w:t> </w:t>
      </w:r>
      <w:r>
        <w:rPr>
          <w:i/>
          <w:color w:val="231F20"/>
          <w:sz w:val="20"/>
        </w:rPr>
        <w:t>различные</w:t>
      </w:r>
      <w:r>
        <w:rPr>
          <w:i/>
          <w:color w:val="231F20"/>
          <w:spacing w:val="-2"/>
          <w:sz w:val="20"/>
        </w:rPr>
        <w:t> </w:t>
      </w:r>
      <w:r>
        <w:rPr>
          <w:i/>
          <w:color w:val="231F20"/>
          <w:sz w:val="20"/>
        </w:rPr>
        <w:t>черты характера,</w:t>
      </w:r>
      <w:r>
        <w:rPr>
          <w:i/>
          <w:color w:val="231F20"/>
          <w:spacing w:val="-8"/>
          <w:sz w:val="20"/>
        </w:rPr>
        <w:t> </w:t>
      </w:r>
      <w:r>
        <w:rPr>
          <w:i/>
          <w:color w:val="231F20"/>
          <w:sz w:val="20"/>
        </w:rPr>
        <w:t>различные</w:t>
      </w:r>
      <w:r>
        <w:rPr>
          <w:i/>
          <w:color w:val="231F20"/>
          <w:spacing w:val="-8"/>
          <w:sz w:val="20"/>
        </w:rPr>
        <w:t> </w:t>
      </w:r>
      <w:r>
        <w:rPr>
          <w:i/>
          <w:color w:val="231F20"/>
          <w:sz w:val="20"/>
        </w:rPr>
        <w:t>интересы,</w:t>
      </w:r>
      <w:r>
        <w:rPr>
          <w:i/>
          <w:color w:val="231F20"/>
          <w:spacing w:val="-8"/>
          <w:sz w:val="20"/>
        </w:rPr>
        <w:t> </w:t>
      </w:r>
      <w:r>
        <w:rPr>
          <w:i/>
          <w:color w:val="231F20"/>
          <w:sz w:val="20"/>
        </w:rPr>
        <w:t>различную</w:t>
      </w:r>
      <w:r>
        <w:rPr>
          <w:i/>
          <w:color w:val="231F20"/>
          <w:spacing w:val="-8"/>
          <w:sz w:val="20"/>
        </w:rPr>
        <w:t> </w:t>
      </w:r>
      <w:r>
        <w:rPr>
          <w:i/>
          <w:color w:val="231F20"/>
          <w:sz w:val="20"/>
        </w:rPr>
        <w:t>мотивацию.</w:t>
      </w:r>
      <w:r>
        <w:rPr>
          <w:i/>
          <w:color w:val="231F20"/>
          <w:spacing w:val="-8"/>
          <w:sz w:val="20"/>
        </w:rPr>
        <w:t> </w:t>
      </w:r>
      <w:r>
        <w:rPr>
          <w:i/>
          <w:color w:val="231F20"/>
          <w:sz w:val="20"/>
        </w:rPr>
        <w:t>Помимо</w:t>
      </w:r>
      <w:r>
        <w:rPr>
          <w:i/>
          <w:color w:val="231F20"/>
          <w:spacing w:val="-8"/>
          <w:sz w:val="20"/>
        </w:rPr>
        <w:t> </w:t>
      </w:r>
      <w:r>
        <w:rPr>
          <w:i/>
          <w:color w:val="231F20"/>
          <w:sz w:val="20"/>
        </w:rPr>
        <w:t>этого,</w:t>
      </w:r>
      <w:r>
        <w:rPr>
          <w:i/>
          <w:color w:val="231F20"/>
          <w:spacing w:val="-8"/>
          <w:sz w:val="20"/>
        </w:rPr>
        <w:t> </w:t>
      </w:r>
      <w:r>
        <w:rPr>
          <w:i/>
          <w:color w:val="231F20"/>
          <w:sz w:val="20"/>
        </w:rPr>
        <w:t>мы</w:t>
      </w:r>
      <w:r>
        <w:rPr>
          <w:i/>
          <w:color w:val="231F20"/>
          <w:spacing w:val="-8"/>
          <w:sz w:val="20"/>
        </w:rPr>
        <w:t> </w:t>
      </w:r>
      <w:r>
        <w:rPr>
          <w:i/>
          <w:color w:val="231F20"/>
          <w:sz w:val="20"/>
        </w:rPr>
        <w:t>сталки- ваемся с детьми, принадлежащим к различным этническим группам.</w:t>
      </w:r>
      <w:r>
        <w:rPr>
          <w:i/>
          <w:color w:val="231F20"/>
          <w:spacing w:val="40"/>
          <w:sz w:val="20"/>
        </w:rPr>
        <w:t> </w:t>
      </w:r>
      <w:r>
        <w:rPr>
          <w:i/>
          <w:color w:val="231F20"/>
          <w:sz w:val="20"/>
        </w:rPr>
        <w:t>С детьми ка- ких</w:t>
      </w:r>
      <w:r>
        <w:rPr>
          <w:i/>
          <w:color w:val="231F20"/>
          <w:spacing w:val="-6"/>
          <w:sz w:val="20"/>
        </w:rPr>
        <w:t> </w:t>
      </w:r>
      <w:r>
        <w:rPr>
          <w:i/>
          <w:color w:val="231F20"/>
          <w:sz w:val="20"/>
        </w:rPr>
        <w:t>групп</w:t>
      </w:r>
      <w:r>
        <w:rPr>
          <w:i/>
          <w:color w:val="231F20"/>
          <w:spacing w:val="-6"/>
          <w:sz w:val="20"/>
        </w:rPr>
        <w:t> </w:t>
      </w:r>
      <w:r>
        <w:rPr>
          <w:i/>
          <w:color w:val="231F20"/>
          <w:sz w:val="20"/>
        </w:rPr>
        <w:t>вы</w:t>
      </w:r>
      <w:r>
        <w:rPr>
          <w:i/>
          <w:color w:val="231F20"/>
          <w:spacing w:val="-6"/>
          <w:sz w:val="20"/>
        </w:rPr>
        <w:t> </w:t>
      </w:r>
      <w:r>
        <w:rPr>
          <w:i/>
          <w:color w:val="231F20"/>
          <w:sz w:val="20"/>
        </w:rPr>
        <w:t>сталкиваетесь</w:t>
      </w:r>
      <w:r>
        <w:rPr>
          <w:i/>
          <w:color w:val="231F20"/>
          <w:spacing w:val="-6"/>
          <w:sz w:val="20"/>
        </w:rPr>
        <w:t> </w:t>
      </w:r>
      <w:r>
        <w:rPr>
          <w:i/>
          <w:color w:val="231F20"/>
          <w:sz w:val="20"/>
        </w:rPr>
        <w:t>в</w:t>
      </w:r>
      <w:r>
        <w:rPr>
          <w:i/>
          <w:color w:val="231F20"/>
          <w:spacing w:val="-6"/>
          <w:sz w:val="20"/>
        </w:rPr>
        <w:t> </w:t>
      </w:r>
      <w:r>
        <w:rPr>
          <w:i/>
          <w:color w:val="231F20"/>
          <w:sz w:val="20"/>
        </w:rPr>
        <w:t>своей</w:t>
      </w:r>
      <w:r>
        <w:rPr>
          <w:i/>
          <w:color w:val="231F20"/>
          <w:spacing w:val="-6"/>
          <w:sz w:val="20"/>
        </w:rPr>
        <w:t> </w:t>
      </w:r>
      <w:r>
        <w:rPr>
          <w:i/>
          <w:color w:val="231F20"/>
          <w:sz w:val="20"/>
        </w:rPr>
        <w:t>работе?</w:t>
      </w:r>
      <w:r>
        <w:rPr>
          <w:i/>
          <w:color w:val="231F20"/>
          <w:spacing w:val="-6"/>
          <w:sz w:val="20"/>
        </w:rPr>
        <w:t> </w:t>
      </w:r>
      <w:r>
        <w:rPr>
          <w:color w:val="231F20"/>
          <w:sz w:val="20"/>
        </w:rPr>
        <w:t>(выслушать</w:t>
      </w:r>
      <w:r>
        <w:rPr>
          <w:color w:val="231F20"/>
          <w:spacing w:val="-6"/>
          <w:sz w:val="20"/>
        </w:rPr>
        <w:t> </w:t>
      </w:r>
      <w:r>
        <w:rPr>
          <w:color w:val="231F20"/>
          <w:sz w:val="20"/>
        </w:rPr>
        <w:t>ответы</w:t>
      </w:r>
      <w:r>
        <w:rPr>
          <w:color w:val="231F20"/>
          <w:spacing w:val="-6"/>
          <w:sz w:val="20"/>
        </w:rPr>
        <w:t> </w:t>
      </w:r>
      <w:r>
        <w:rPr>
          <w:color w:val="231F20"/>
          <w:sz w:val="20"/>
        </w:rPr>
        <w:t>педагогов,</w:t>
      </w:r>
      <w:r>
        <w:rPr>
          <w:color w:val="231F20"/>
          <w:spacing w:val="-6"/>
          <w:sz w:val="20"/>
        </w:rPr>
        <w:t> </w:t>
      </w:r>
      <w:r>
        <w:rPr>
          <w:color w:val="231F20"/>
          <w:sz w:val="20"/>
        </w:rPr>
        <w:t>записать ответы на флип-чарте)</w:t>
      </w:r>
    </w:p>
    <w:p>
      <w:pPr>
        <w:spacing w:before="0"/>
        <w:ind w:left="141" w:right="139" w:firstLine="283"/>
        <w:jc w:val="both"/>
        <w:rPr>
          <w:i/>
          <w:sz w:val="20"/>
        </w:rPr>
      </w:pPr>
      <w:r>
        <w:rPr>
          <w:i/>
          <w:color w:val="231F20"/>
          <w:sz w:val="20"/>
        </w:rPr>
        <w:t>Итак, мы видим, какие разнообразные дети учатся в нашей школе. Есть ли осо- бенности в работе с детьми различных этнических групп? Какие именно?</w:t>
      </w:r>
    </w:p>
    <w:p>
      <w:pPr>
        <w:pStyle w:val="BodyText"/>
        <w:ind w:left="425" w:right="0" w:firstLine="0"/>
      </w:pPr>
      <w:r>
        <w:rPr>
          <w:color w:val="231F20"/>
        </w:rPr>
        <w:t>(результаты</w:t>
      </w:r>
      <w:r>
        <w:rPr>
          <w:color w:val="231F20"/>
          <w:spacing w:val="-8"/>
        </w:rPr>
        <w:t> </w:t>
      </w:r>
      <w:r>
        <w:rPr>
          <w:color w:val="231F20"/>
        </w:rPr>
        <w:t>дискуссии</w:t>
      </w:r>
      <w:r>
        <w:rPr>
          <w:color w:val="231F20"/>
          <w:spacing w:val="-8"/>
        </w:rPr>
        <w:t> </w:t>
      </w:r>
      <w:r>
        <w:rPr>
          <w:color w:val="231F20"/>
        </w:rPr>
        <w:t>записать</w:t>
      </w:r>
      <w:r>
        <w:rPr>
          <w:color w:val="231F20"/>
          <w:spacing w:val="-8"/>
        </w:rPr>
        <w:t> </w:t>
      </w:r>
      <w:r>
        <w:rPr>
          <w:color w:val="231F20"/>
        </w:rPr>
        <w:t>на</w:t>
      </w:r>
      <w:r>
        <w:rPr>
          <w:color w:val="231F20"/>
          <w:spacing w:val="-7"/>
        </w:rPr>
        <w:t> </w:t>
      </w:r>
      <w:r>
        <w:rPr>
          <w:color w:val="231F20"/>
        </w:rPr>
        <w:t>флип-чарте</w:t>
      </w:r>
      <w:r>
        <w:rPr>
          <w:color w:val="231F20"/>
          <w:spacing w:val="-7"/>
        </w:rPr>
        <w:t> </w:t>
      </w:r>
      <w:r>
        <w:rPr>
          <w:color w:val="231F20"/>
        </w:rPr>
        <w:t>или</w:t>
      </w:r>
      <w:r>
        <w:rPr>
          <w:color w:val="231F20"/>
          <w:spacing w:val="-8"/>
        </w:rPr>
        <w:t> </w:t>
      </w:r>
      <w:r>
        <w:rPr>
          <w:color w:val="231F20"/>
        </w:rPr>
        <w:t>на</w:t>
      </w:r>
      <w:r>
        <w:rPr>
          <w:color w:val="231F20"/>
          <w:spacing w:val="-7"/>
        </w:rPr>
        <w:t> </w:t>
      </w:r>
      <w:r>
        <w:rPr>
          <w:color w:val="231F20"/>
          <w:spacing w:val="-2"/>
        </w:rPr>
        <w:t>доске)</w:t>
      </w:r>
    </w:p>
    <w:p>
      <w:pPr>
        <w:spacing w:line="242" w:lineRule="auto" w:before="2"/>
        <w:ind w:left="141" w:right="139" w:firstLine="283"/>
        <w:jc w:val="both"/>
        <w:rPr>
          <w:i/>
          <w:sz w:val="20"/>
        </w:rPr>
      </w:pPr>
      <w:r>
        <w:rPr>
          <w:i/>
          <w:color w:val="231F20"/>
          <w:sz w:val="20"/>
        </w:rPr>
        <w:t>Какие из этих особенностей наиболее ярко проявляются в учебной деятельнос- ти?</w:t>
      </w:r>
      <w:r>
        <w:rPr>
          <w:i/>
          <w:color w:val="231F20"/>
          <w:spacing w:val="-11"/>
          <w:sz w:val="20"/>
        </w:rPr>
        <w:t> </w:t>
      </w:r>
      <w:r>
        <w:rPr>
          <w:i/>
          <w:color w:val="231F20"/>
          <w:sz w:val="20"/>
        </w:rPr>
        <w:t>Пожалуйста,</w:t>
      </w:r>
      <w:r>
        <w:rPr>
          <w:i/>
          <w:color w:val="231F20"/>
          <w:spacing w:val="-11"/>
          <w:sz w:val="20"/>
        </w:rPr>
        <w:t> </w:t>
      </w:r>
      <w:r>
        <w:rPr>
          <w:i/>
          <w:color w:val="231F20"/>
          <w:sz w:val="20"/>
        </w:rPr>
        <w:t>выделите</w:t>
      </w:r>
      <w:r>
        <w:rPr>
          <w:i/>
          <w:color w:val="231F20"/>
          <w:spacing w:val="-11"/>
          <w:sz w:val="20"/>
        </w:rPr>
        <w:t> </w:t>
      </w:r>
      <w:r>
        <w:rPr>
          <w:i/>
          <w:color w:val="231F20"/>
          <w:sz w:val="20"/>
        </w:rPr>
        <w:t>те</w:t>
      </w:r>
      <w:r>
        <w:rPr>
          <w:i/>
          <w:color w:val="231F20"/>
          <w:spacing w:val="-11"/>
          <w:sz w:val="20"/>
        </w:rPr>
        <w:t> </w:t>
      </w:r>
      <w:r>
        <w:rPr>
          <w:i/>
          <w:color w:val="231F20"/>
          <w:sz w:val="20"/>
        </w:rPr>
        <w:t>особенности,</w:t>
      </w:r>
      <w:r>
        <w:rPr>
          <w:i/>
          <w:color w:val="231F20"/>
          <w:spacing w:val="-11"/>
          <w:sz w:val="20"/>
        </w:rPr>
        <w:t> </w:t>
      </w:r>
      <w:r>
        <w:rPr>
          <w:i/>
          <w:color w:val="231F20"/>
          <w:sz w:val="20"/>
        </w:rPr>
        <w:t>которые</w:t>
      </w:r>
      <w:r>
        <w:rPr>
          <w:i/>
          <w:color w:val="231F20"/>
          <w:spacing w:val="-11"/>
          <w:sz w:val="20"/>
        </w:rPr>
        <w:t> </w:t>
      </w:r>
      <w:r>
        <w:rPr>
          <w:i/>
          <w:color w:val="231F20"/>
          <w:sz w:val="20"/>
        </w:rPr>
        <w:t>кажутся</w:t>
      </w:r>
      <w:r>
        <w:rPr>
          <w:i/>
          <w:color w:val="231F20"/>
          <w:spacing w:val="-11"/>
          <w:sz w:val="20"/>
        </w:rPr>
        <w:t> </w:t>
      </w:r>
      <w:r>
        <w:rPr>
          <w:i/>
          <w:color w:val="231F20"/>
          <w:sz w:val="20"/>
        </w:rPr>
        <w:t>наиболее</w:t>
      </w:r>
      <w:r>
        <w:rPr>
          <w:i/>
          <w:color w:val="231F20"/>
          <w:spacing w:val="-11"/>
          <w:sz w:val="20"/>
        </w:rPr>
        <w:t> </w:t>
      </w:r>
      <w:r>
        <w:rPr>
          <w:i/>
          <w:color w:val="231F20"/>
          <w:sz w:val="20"/>
        </w:rPr>
        <w:t>важными лично вам.</w:t>
      </w:r>
    </w:p>
    <w:p>
      <w:pPr>
        <w:spacing w:before="112"/>
        <w:ind w:left="425" w:right="0" w:firstLine="0"/>
        <w:jc w:val="both"/>
        <w:rPr>
          <w:b/>
          <w:sz w:val="20"/>
        </w:rPr>
      </w:pPr>
      <w:r>
        <w:rPr>
          <w:b/>
          <w:color w:val="231F20"/>
          <w:sz w:val="20"/>
        </w:rPr>
        <w:t>Презентация</w:t>
      </w:r>
      <w:r>
        <w:rPr>
          <w:b/>
          <w:color w:val="231F20"/>
          <w:spacing w:val="-7"/>
          <w:sz w:val="20"/>
        </w:rPr>
        <w:t> </w:t>
      </w:r>
      <w:r>
        <w:rPr>
          <w:b/>
          <w:color w:val="231F20"/>
          <w:sz w:val="20"/>
        </w:rPr>
        <w:t>новой</w:t>
      </w:r>
      <w:r>
        <w:rPr>
          <w:b/>
          <w:color w:val="231F20"/>
          <w:spacing w:val="-6"/>
          <w:sz w:val="20"/>
        </w:rPr>
        <w:t> </w:t>
      </w:r>
      <w:r>
        <w:rPr>
          <w:b/>
          <w:color w:val="231F20"/>
          <w:spacing w:val="-2"/>
          <w:sz w:val="20"/>
        </w:rPr>
        <w:t>информации</w:t>
      </w:r>
    </w:p>
    <w:p>
      <w:pPr>
        <w:pStyle w:val="BodyText"/>
        <w:spacing w:line="242" w:lineRule="auto" w:before="2"/>
      </w:pPr>
      <w:r>
        <w:rPr>
          <w:color w:val="231F20"/>
        </w:rPr>
        <w:t>Что</w:t>
      </w:r>
      <w:r>
        <w:rPr>
          <w:color w:val="231F20"/>
          <w:spacing w:val="-8"/>
        </w:rPr>
        <w:t> </w:t>
      </w:r>
      <w:r>
        <w:rPr>
          <w:color w:val="231F20"/>
        </w:rPr>
        <w:t>же</w:t>
      </w:r>
      <w:r>
        <w:rPr>
          <w:color w:val="231F20"/>
          <w:spacing w:val="-8"/>
        </w:rPr>
        <w:t> </w:t>
      </w:r>
      <w:r>
        <w:rPr>
          <w:color w:val="231F20"/>
        </w:rPr>
        <w:t>мешает</w:t>
      </w:r>
      <w:r>
        <w:rPr>
          <w:color w:val="231F20"/>
          <w:spacing w:val="-8"/>
        </w:rPr>
        <w:t> </w:t>
      </w:r>
      <w:r>
        <w:rPr>
          <w:color w:val="231F20"/>
        </w:rPr>
        <w:t>детям</w:t>
      </w:r>
      <w:r>
        <w:rPr>
          <w:color w:val="231F20"/>
          <w:spacing w:val="-8"/>
        </w:rPr>
        <w:t> </w:t>
      </w:r>
      <w:r>
        <w:rPr>
          <w:color w:val="231F20"/>
        </w:rPr>
        <w:t>различных</w:t>
      </w:r>
      <w:r>
        <w:rPr>
          <w:color w:val="231F20"/>
          <w:spacing w:val="-8"/>
        </w:rPr>
        <w:t> </w:t>
      </w:r>
      <w:r>
        <w:rPr>
          <w:color w:val="231F20"/>
        </w:rPr>
        <w:t>этнических</w:t>
      </w:r>
      <w:r>
        <w:rPr>
          <w:color w:val="231F20"/>
          <w:spacing w:val="-8"/>
        </w:rPr>
        <w:t> </w:t>
      </w:r>
      <w:r>
        <w:rPr>
          <w:color w:val="231F20"/>
        </w:rPr>
        <w:t>групп</w:t>
      </w:r>
      <w:r>
        <w:rPr>
          <w:color w:val="231F20"/>
          <w:spacing w:val="-8"/>
        </w:rPr>
        <w:t> </w:t>
      </w:r>
      <w:r>
        <w:rPr>
          <w:color w:val="231F20"/>
        </w:rPr>
        <w:t>освоить</w:t>
      </w:r>
      <w:r>
        <w:rPr>
          <w:color w:val="231F20"/>
          <w:spacing w:val="-8"/>
        </w:rPr>
        <w:t> </w:t>
      </w:r>
      <w:r>
        <w:rPr>
          <w:color w:val="231F20"/>
        </w:rPr>
        <w:t>то</w:t>
      </w:r>
      <w:r>
        <w:rPr>
          <w:color w:val="231F20"/>
          <w:spacing w:val="-8"/>
        </w:rPr>
        <w:t> </w:t>
      </w:r>
      <w:r>
        <w:rPr>
          <w:color w:val="231F20"/>
        </w:rPr>
        <w:t>поведение,</w:t>
      </w:r>
      <w:r>
        <w:rPr>
          <w:color w:val="231F20"/>
          <w:spacing w:val="-8"/>
        </w:rPr>
        <w:t> </w:t>
      </w:r>
      <w:r>
        <w:rPr>
          <w:color w:val="231F20"/>
        </w:rPr>
        <w:t>которое от</w:t>
      </w:r>
      <w:r>
        <w:rPr>
          <w:color w:val="231F20"/>
          <w:spacing w:val="-5"/>
        </w:rPr>
        <w:t> </w:t>
      </w:r>
      <w:r>
        <w:rPr>
          <w:color w:val="231F20"/>
        </w:rPr>
        <w:t>них</w:t>
      </w:r>
      <w:r>
        <w:rPr>
          <w:color w:val="231F20"/>
          <w:spacing w:val="-5"/>
        </w:rPr>
        <w:t> </w:t>
      </w:r>
      <w:r>
        <w:rPr>
          <w:color w:val="231F20"/>
        </w:rPr>
        <w:t>ожидается?</w:t>
      </w:r>
      <w:r>
        <w:rPr>
          <w:color w:val="231F20"/>
          <w:spacing w:val="-6"/>
        </w:rPr>
        <w:t> </w:t>
      </w:r>
      <w:r>
        <w:rPr>
          <w:color w:val="231F20"/>
        </w:rPr>
        <w:t>Почему</w:t>
      </w:r>
      <w:r>
        <w:rPr>
          <w:color w:val="231F20"/>
          <w:spacing w:val="-6"/>
        </w:rPr>
        <w:t> </w:t>
      </w:r>
      <w:r>
        <w:rPr>
          <w:color w:val="231F20"/>
        </w:rPr>
        <w:t>они</w:t>
      </w:r>
      <w:r>
        <w:rPr>
          <w:color w:val="231F20"/>
          <w:spacing w:val="-6"/>
        </w:rPr>
        <w:t> </w:t>
      </w:r>
      <w:r>
        <w:rPr>
          <w:color w:val="231F20"/>
        </w:rPr>
        <w:t>так</w:t>
      </w:r>
      <w:r>
        <w:rPr>
          <w:color w:val="231F20"/>
          <w:spacing w:val="-6"/>
        </w:rPr>
        <w:t> </w:t>
      </w:r>
      <w:r>
        <w:rPr>
          <w:color w:val="231F20"/>
        </w:rPr>
        <w:t>долго</w:t>
      </w:r>
      <w:r>
        <w:rPr>
          <w:color w:val="231F20"/>
          <w:spacing w:val="-5"/>
        </w:rPr>
        <w:t> </w:t>
      </w:r>
      <w:r>
        <w:rPr>
          <w:color w:val="231F20"/>
        </w:rPr>
        <w:t>привыкают</w:t>
      </w:r>
      <w:r>
        <w:rPr>
          <w:color w:val="231F20"/>
          <w:spacing w:val="-5"/>
        </w:rPr>
        <w:t> </w:t>
      </w:r>
      <w:r>
        <w:rPr>
          <w:color w:val="231F20"/>
        </w:rPr>
        <w:t>к</w:t>
      </w:r>
      <w:r>
        <w:rPr>
          <w:color w:val="231F20"/>
          <w:spacing w:val="-5"/>
        </w:rPr>
        <w:t> </w:t>
      </w:r>
      <w:r>
        <w:rPr>
          <w:color w:val="231F20"/>
        </w:rPr>
        <w:t>требованиям</w:t>
      </w:r>
      <w:r>
        <w:rPr>
          <w:color w:val="231F20"/>
          <w:spacing w:val="-5"/>
        </w:rPr>
        <w:t> </w:t>
      </w:r>
      <w:r>
        <w:rPr>
          <w:color w:val="231F20"/>
        </w:rPr>
        <w:t>и</w:t>
      </w:r>
      <w:r>
        <w:rPr>
          <w:color w:val="231F20"/>
          <w:spacing w:val="-5"/>
        </w:rPr>
        <w:t> </w:t>
      </w:r>
      <w:r>
        <w:rPr>
          <w:color w:val="231F20"/>
        </w:rPr>
        <w:t>правилам?</w:t>
      </w:r>
      <w:r>
        <w:rPr>
          <w:color w:val="231F20"/>
          <w:spacing w:val="-5"/>
        </w:rPr>
        <w:t> </w:t>
      </w:r>
      <w:r>
        <w:rPr>
          <w:color w:val="231F20"/>
        </w:rPr>
        <w:t>По- чему иногда конфликты возникают без какой бы то ни было причины? Казалось бы, они</w:t>
      </w:r>
      <w:r>
        <w:rPr>
          <w:color w:val="231F20"/>
          <w:spacing w:val="-4"/>
        </w:rPr>
        <w:t> </w:t>
      </w:r>
      <w:r>
        <w:rPr>
          <w:color w:val="231F20"/>
        </w:rPr>
        <w:t>постоянно</w:t>
      </w:r>
      <w:r>
        <w:rPr>
          <w:color w:val="231F20"/>
          <w:spacing w:val="-4"/>
        </w:rPr>
        <w:t> </w:t>
      </w:r>
      <w:r>
        <w:rPr>
          <w:color w:val="231F20"/>
        </w:rPr>
        <w:t>видят</w:t>
      </w:r>
      <w:r>
        <w:rPr>
          <w:color w:val="231F20"/>
          <w:spacing w:val="-4"/>
        </w:rPr>
        <w:t> </w:t>
      </w:r>
      <w:r>
        <w:rPr>
          <w:color w:val="231F20"/>
        </w:rPr>
        <w:t>перед</w:t>
      </w:r>
      <w:r>
        <w:rPr>
          <w:color w:val="231F20"/>
          <w:spacing w:val="-4"/>
        </w:rPr>
        <w:t> </w:t>
      </w:r>
      <w:r>
        <w:rPr>
          <w:color w:val="231F20"/>
        </w:rPr>
        <w:t>собой</w:t>
      </w:r>
      <w:r>
        <w:rPr>
          <w:color w:val="231F20"/>
          <w:spacing w:val="-4"/>
        </w:rPr>
        <w:t> </w:t>
      </w:r>
      <w:r>
        <w:rPr>
          <w:color w:val="231F20"/>
        </w:rPr>
        <w:t>других,</w:t>
      </w:r>
      <w:r>
        <w:rPr>
          <w:color w:val="231F20"/>
          <w:spacing w:val="-4"/>
        </w:rPr>
        <w:t> </w:t>
      </w:r>
      <w:r>
        <w:rPr>
          <w:color w:val="231F20"/>
        </w:rPr>
        <w:t>могли</w:t>
      </w:r>
      <w:r>
        <w:rPr>
          <w:color w:val="231F20"/>
          <w:spacing w:val="-4"/>
        </w:rPr>
        <w:t> </w:t>
      </w:r>
      <w:r>
        <w:rPr>
          <w:color w:val="231F20"/>
        </w:rPr>
        <w:t>бы</w:t>
      </w:r>
      <w:r>
        <w:rPr>
          <w:color w:val="231F20"/>
          <w:spacing w:val="-4"/>
        </w:rPr>
        <w:t> </w:t>
      </w:r>
      <w:r>
        <w:rPr>
          <w:color w:val="231F20"/>
        </w:rPr>
        <w:t>и</w:t>
      </w:r>
      <w:r>
        <w:rPr>
          <w:color w:val="231F20"/>
          <w:spacing w:val="-4"/>
        </w:rPr>
        <w:t> </w:t>
      </w:r>
      <w:r>
        <w:rPr>
          <w:color w:val="231F20"/>
        </w:rPr>
        <w:t>научиться.</w:t>
      </w:r>
      <w:r>
        <w:rPr>
          <w:color w:val="231F20"/>
          <w:spacing w:val="-4"/>
        </w:rPr>
        <w:t> </w:t>
      </w:r>
      <w:r>
        <w:rPr>
          <w:color w:val="231F20"/>
        </w:rPr>
        <w:t>Для</w:t>
      </w:r>
      <w:r>
        <w:rPr>
          <w:color w:val="231F20"/>
          <w:spacing w:val="-4"/>
        </w:rPr>
        <w:t> </w:t>
      </w:r>
      <w:r>
        <w:rPr>
          <w:color w:val="231F20"/>
        </w:rPr>
        <w:t>того,</w:t>
      </w:r>
      <w:r>
        <w:rPr>
          <w:color w:val="231F20"/>
          <w:spacing w:val="-4"/>
        </w:rPr>
        <w:t> </w:t>
      </w:r>
      <w:r>
        <w:rPr>
          <w:color w:val="231F20"/>
        </w:rPr>
        <w:t>чтобы</w:t>
      </w:r>
      <w:r>
        <w:rPr>
          <w:color w:val="231F20"/>
          <w:spacing w:val="-4"/>
        </w:rPr>
        <w:t> </w:t>
      </w:r>
      <w:r>
        <w:rPr>
          <w:color w:val="231F20"/>
        </w:rPr>
        <w:t>это понять, обратимся</w:t>
      </w:r>
      <w:r>
        <w:rPr>
          <w:color w:val="231F20"/>
          <w:spacing w:val="40"/>
        </w:rPr>
        <w:t> </w:t>
      </w:r>
      <w:r>
        <w:rPr>
          <w:color w:val="231F20"/>
        </w:rPr>
        <w:t>к современной психологии.</w:t>
      </w:r>
    </w:p>
    <w:p>
      <w:pPr>
        <w:pStyle w:val="BodyText"/>
        <w:spacing w:line="242" w:lineRule="auto"/>
      </w:pPr>
      <w:r>
        <w:rPr>
          <w:color w:val="231F20"/>
        </w:rPr>
        <w:t>Мы прекрасно знаем, что каждый народ – это прежде всего определенная куль- тура. Причем культура для нас – это язык, традиции, обычаи, национальная кухня. Вместе</w:t>
      </w:r>
      <w:r>
        <w:rPr>
          <w:color w:val="231F20"/>
          <w:spacing w:val="-12"/>
        </w:rPr>
        <w:t> </w:t>
      </w:r>
      <w:r>
        <w:rPr>
          <w:color w:val="231F20"/>
        </w:rPr>
        <w:t>с</w:t>
      </w:r>
      <w:r>
        <w:rPr>
          <w:color w:val="231F20"/>
          <w:spacing w:val="-12"/>
        </w:rPr>
        <w:t> </w:t>
      </w:r>
      <w:r>
        <w:rPr>
          <w:color w:val="231F20"/>
        </w:rPr>
        <w:t>тем</w:t>
      </w:r>
      <w:r>
        <w:rPr>
          <w:color w:val="231F20"/>
          <w:spacing w:val="-12"/>
        </w:rPr>
        <w:t> </w:t>
      </w:r>
      <w:r>
        <w:rPr>
          <w:color w:val="231F20"/>
        </w:rPr>
        <w:t>культура</w:t>
      </w:r>
      <w:r>
        <w:rPr>
          <w:color w:val="231F20"/>
          <w:spacing w:val="-12"/>
        </w:rPr>
        <w:t> </w:t>
      </w:r>
      <w:r>
        <w:rPr>
          <w:color w:val="231F20"/>
        </w:rPr>
        <w:t>напоминает</w:t>
      </w:r>
      <w:r>
        <w:rPr>
          <w:color w:val="231F20"/>
          <w:spacing w:val="-12"/>
        </w:rPr>
        <w:t> </w:t>
      </w:r>
      <w:r>
        <w:rPr>
          <w:color w:val="231F20"/>
        </w:rPr>
        <w:t>айсберг:</w:t>
      </w:r>
      <w:r>
        <w:rPr>
          <w:color w:val="231F20"/>
          <w:spacing w:val="-12"/>
        </w:rPr>
        <w:t> </w:t>
      </w:r>
      <w:r>
        <w:rPr>
          <w:color w:val="231F20"/>
        </w:rPr>
        <w:t>в</w:t>
      </w:r>
      <w:r>
        <w:rPr>
          <w:color w:val="231F20"/>
          <w:spacing w:val="-12"/>
        </w:rPr>
        <w:t> </w:t>
      </w:r>
      <w:r>
        <w:rPr>
          <w:color w:val="231F20"/>
        </w:rPr>
        <w:t>ней</w:t>
      </w:r>
      <w:r>
        <w:rPr>
          <w:color w:val="231F20"/>
          <w:spacing w:val="-12"/>
        </w:rPr>
        <w:t> </w:t>
      </w:r>
      <w:r>
        <w:rPr>
          <w:color w:val="231F20"/>
        </w:rPr>
        <w:t>есть</w:t>
      </w:r>
      <w:r>
        <w:rPr>
          <w:color w:val="231F20"/>
          <w:spacing w:val="-12"/>
        </w:rPr>
        <w:t> </w:t>
      </w:r>
      <w:r>
        <w:rPr>
          <w:color w:val="231F20"/>
        </w:rPr>
        <w:t>слои</w:t>
      </w:r>
      <w:r>
        <w:rPr>
          <w:color w:val="231F20"/>
          <w:spacing w:val="-12"/>
        </w:rPr>
        <w:t> </w:t>
      </w:r>
      <w:r>
        <w:rPr>
          <w:color w:val="231F20"/>
        </w:rPr>
        <w:t>«надводные»,</w:t>
      </w:r>
      <w:r>
        <w:rPr>
          <w:color w:val="231F20"/>
          <w:spacing w:val="26"/>
        </w:rPr>
        <w:t> </w:t>
      </w:r>
      <w:r>
        <w:rPr>
          <w:color w:val="231F20"/>
        </w:rPr>
        <w:t>бросающи- еся</w:t>
      </w:r>
      <w:r>
        <w:rPr>
          <w:color w:val="231F20"/>
          <w:spacing w:val="-1"/>
        </w:rPr>
        <w:t> </w:t>
      </w:r>
      <w:r>
        <w:rPr>
          <w:color w:val="231F20"/>
        </w:rPr>
        <w:t>в</w:t>
      </w:r>
      <w:r>
        <w:rPr>
          <w:color w:val="231F20"/>
          <w:spacing w:val="-1"/>
        </w:rPr>
        <w:t> </w:t>
      </w:r>
      <w:r>
        <w:rPr>
          <w:color w:val="231F20"/>
        </w:rPr>
        <w:t>глаза,</w:t>
      </w:r>
      <w:r>
        <w:rPr>
          <w:color w:val="231F20"/>
          <w:spacing w:val="-1"/>
        </w:rPr>
        <w:t> </w:t>
      </w:r>
      <w:r>
        <w:rPr>
          <w:color w:val="231F20"/>
        </w:rPr>
        <w:t>и</w:t>
      </w:r>
      <w:r>
        <w:rPr>
          <w:color w:val="231F20"/>
          <w:spacing w:val="-1"/>
        </w:rPr>
        <w:t> </w:t>
      </w:r>
      <w:r>
        <w:rPr>
          <w:color w:val="231F20"/>
        </w:rPr>
        <w:t>«подводные»,</w:t>
      </w:r>
      <w:r>
        <w:rPr>
          <w:color w:val="231F20"/>
          <w:spacing w:val="-1"/>
        </w:rPr>
        <w:t> </w:t>
      </w:r>
      <w:r>
        <w:rPr>
          <w:color w:val="231F20"/>
        </w:rPr>
        <w:t>мало</w:t>
      </w:r>
      <w:r>
        <w:rPr>
          <w:color w:val="231F20"/>
          <w:spacing w:val="-1"/>
        </w:rPr>
        <w:t> </w:t>
      </w:r>
      <w:r>
        <w:rPr>
          <w:color w:val="231F20"/>
        </w:rPr>
        <w:t>осознаваемые,</w:t>
      </w:r>
      <w:r>
        <w:rPr>
          <w:color w:val="231F20"/>
          <w:spacing w:val="-1"/>
        </w:rPr>
        <w:t> </w:t>
      </w:r>
      <w:r>
        <w:rPr>
          <w:color w:val="231F20"/>
        </w:rPr>
        <w:t>но</w:t>
      </w:r>
      <w:r>
        <w:rPr>
          <w:color w:val="231F20"/>
          <w:spacing w:val="-1"/>
        </w:rPr>
        <w:t> </w:t>
      </w:r>
      <w:r>
        <w:rPr>
          <w:color w:val="231F20"/>
        </w:rPr>
        <w:t>тем</w:t>
      </w:r>
      <w:r>
        <w:rPr>
          <w:color w:val="231F20"/>
          <w:spacing w:val="-1"/>
        </w:rPr>
        <w:t> </w:t>
      </w:r>
      <w:r>
        <w:rPr>
          <w:color w:val="231F20"/>
        </w:rPr>
        <w:t>не</w:t>
      </w:r>
      <w:r>
        <w:rPr>
          <w:color w:val="231F20"/>
          <w:spacing w:val="-1"/>
        </w:rPr>
        <w:t> </w:t>
      </w:r>
      <w:r>
        <w:rPr>
          <w:color w:val="231F20"/>
        </w:rPr>
        <w:t>менее</w:t>
      </w:r>
      <w:r>
        <w:rPr>
          <w:color w:val="231F20"/>
          <w:spacing w:val="-1"/>
        </w:rPr>
        <w:t> </w:t>
      </w:r>
      <w:r>
        <w:rPr>
          <w:color w:val="231F20"/>
        </w:rPr>
        <w:t>оказывающие</w:t>
      </w:r>
      <w:r>
        <w:rPr>
          <w:color w:val="231F20"/>
          <w:spacing w:val="-1"/>
        </w:rPr>
        <w:t> </w:t>
      </w:r>
      <w:r>
        <w:rPr>
          <w:color w:val="231F20"/>
        </w:rPr>
        <w:t>силь- ное влияние на поведение человека. В этом глубинном слое</w:t>
      </w:r>
      <w:r>
        <w:rPr>
          <w:color w:val="231F20"/>
          <w:spacing w:val="40"/>
        </w:rPr>
        <w:t> </w:t>
      </w:r>
      <w:r>
        <w:rPr>
          <w:color w:val="231F20"/>
        </w:rPr>
        <w:t>находятся, например, нравственные</w:t>
      </w:r>
      <w:r>
        <w:rPr>
          <w:color w:val="231F20"/>
          <w:spacing w:val="-8"/>
        </w:rPr>
        <w:t> </w:t>
      </w:r>
      <w:r>
        <w:rPr>
          <w:color w:val="231F20"/>
        </w:rPr>
        <w:t>ценности,</w:t>
      </w:r>
      <w:r>
        <w:rPr>
          <w:color w:val="231F20"/>
          <w:spacing w:val="-8"/>
        </w:rPr>
        <w:t> </w:t>
      </w:r>
      <w:r>
        <w:rPr>
          <w:color w:val="231F20"/>
        </w:rPr>
        <w:t>мотивы</w:t>
      </w:r>
      <w:r>
        <w:rPr>
          <w:color w:val="231F20"/>
          <w:spacing w:val="-8"/>
        </w:rPr>
        <w:t> </w:t>
      </w:r>
      <w:r>
        <w:rPr>
          <w:color w:val="231F20"/>
        </w:rPr>
        <w:t>учебу</w:t>
      </w:r>
      <w:r>
        <w:rPr>
          <w:color w:val="231F20"/>
          <w:spacing w:val="-8"/>
        </w:rPr>
        <w:t> </w:t>
      </w:r>
      <w:r>
        <w:rPr>
          <w:color w:val="231F20"/>
        </w:rPr>
        <w:t>и</w:t>
      </w:r>
      <w:r>
        <w:rPr>
          <w:color w:val="231F20"/>
          <w:spacing w:val="-8"/>
        </w:rPr>
        <w:t> </w:t>
      </w:r>
      <w:r>
        <w:rPr>
          <w:color w:val="231F20"/>
        </w:rPr>
        <w:t>работы,</w:t>
      </w:r>
      <w:r>
        <w:rPr>
          <w:color w:val="231F20"/>
          <w:spacing w:val="-8"/>
        </w:rPr>
        <w:t> </w:t>
      </w:r>
      <w:r>
        <w:rPr>
          <w:color w:val="231F20"/>
        </w:rPr>
        <w:t>ритм</w:t>
      </w:r>
      <w:r>
        <w:rPr>
          <w:color w:val="231F20"/>
          <w:spacing w:val="-8"/>
        </w:rPr>
        <w:t> </w:t>
      </w:r>
      <w:r>
        <w:rPr>
          <w:color w:val="231F20"/>
        </w:rPr>
        <w:t>жизни,</w:t>
      </w:r>
      <w:r>
        <w:rPr>
          <w:color w:val="231F20"/>
          <w:spacing w:val="-8"/>
        </w:rPr>
        <w:t> </w:t>
      </w:r>
      <w:r>
        <w:rPr>
          <w:color w:val="231F20"/>
        </w:rPr>
        <w:t>отношение</w:t>
      </w:r>
      <w:r>
        <w:rPr>
          <w:color w:val="231F20"/>
          <w:spacing w:val="-8"/>
        </w:rPr>
        <w:t> </w:t>
      </w:r>
      <w:r>
        <w:rPr>
          <w:color w:val="231F20"/>
        </w:rPr>
        <w:t>к</w:t>
      </w:r>
      <w:r>
        <w:rPr>
          <w:color w:val="231F20"/>
          <w:spacing w:val="-8"/>
        </w:rPr>
        <w:t> </w:t>
      </w:r>
      <w:r>
        <w:rPr>
          <w:color w:val="231F20"/>
        </w:rPr>
        <w:t>авторите- ту, отношение к</w:t>
      </w:r>
      <w:r>
        <w:rPr>
          <w:color w:val="231F20"/>
          <w:spacing w:val="40"/>
        </w:rPr>
        <w:t> </w:t>
      </w:r>
      <w:r>
        <w:rPr>
          <w:color w:val="231F20"/>
        </w:rPr>
        <w:t>детям.</w:t>
      </w:r>
    </w:p>
    <w:p>
      <w:pPr>
        <w:pStyle w:val="BodyText"/>
        <w:spacing w:line="228" w:lineRule="exact"/>
        <w:ind w:left="425" w:right="0" w:firstLine="0"/>
      </w:pPr>
      <w:r>
        <w:rPr>
          <w:color w:val="231F20"/>
        </w:rPr>
        <w:t>Как</w:t>
      </w:r>
      <w:r>
        <w:rPr>
          <w:color w:val="231F20"/>
          <w:spacing w:val="-11"/>
        </w:rPr>
        <w:t> </w:t>
      </w:r>
      <w:r>
        <w:rPr>
          <w:color w:val="231F20"/>
        </w:rPr>
        <w:t>сказал</w:t>
      </w:r>
      <w:r>
        <w:rPr>
          <w:color w:val="231F20"/>
          <w:spacing w:val="-9"/>
        </w:rPr>
        <w:t> </w:t>
      </w:r>
      <w:r>
        <w:rPr>
          <w:color w:val="231F20"/>
        </w:rPr>
        <w:t>известный</w:t>
      </w:r>
      <w:r>
        <w:rPr>
          <w:color w:val="231F20"/>
          <w:spacing w:val="-10"/>
        </w:rPr>
        <w:t> </w:t>
      </w:r>
      <w:r>
        <w:rPr>
          <w:color w:val="231F20"/>
        </w:rPr>
        <w:t>специалист</w:t>
      </w:r>
      <w:r>
        <w:rPr>
          <w:color w:val="231F20"/>
          <w:spacing w:val="-9"/>
        </w:rPr>
        <w:t> </w:t>
      </w:r>
      <w:r>
        <w:rPr>
          <w:color w:val="231F20"/>
        </w:rPr>
        <w:t>по</w:t>
      </w:r>
      <w:r>
        <w:rPr>
          <w:color w:val="231F20"/>
          <w:spacing w:val="-9"/>
        </w:rPr>
        <w:t> </w:t>
      </w:r>
      <w:r>
        <w:rPr>
          <w:color w:val="231F20"/>
        </w:rPr>
        <w:t>межкультурной</w:t>
      </w:r>
      <w:r>
        <w:rPr>
          <w:color w:val="231F20"/>
          <w:spacing w:val="-10"/>
        </w:rPr>
        <w:t> </w:t>
      </w:r>
      <w:r>
        <w:rPr>
          <w:color w:val="231F20"/>
        </w:rPr>
        <w:t>психологии</w:t>
      </w:r>
      <w:r>
        <w:rPr>
          <w:color w:val="231F20"/>
          <w:spacing w:val="-10"/>
        </w:rPr>
        <w:t> </w:t>
      </w:r>
      <w:r>
        <w:rPr>
          <w:color w:val="231F20"/>
        </w:rPr>
        <w:t>Герт</w:t>
      </w:r>
      <w:r>
        <w:rPr>
          <w:color w:val="231F20"/>
          <w:spacing w:val="-8"/>
        </w:rPr>
        <w:t> </w:t>
      </w:r>
      <w:r>
        <w:rPr>
          <w:color w:val="231F20"/>
          <w:spacing w:val="-2"/>
        </w:rPr>
        <w:t>Хофстеде,</w:t>
      </w:r>
    </w:p>
    <w:p>
      <w:pPr>
        <w:pStyle w:val="BodyText"/>
        <w:spacing w:line="242" w:lineRule="auto" w:before="1"/>
      </w:pPr>
      <w:r>
        <w:rPr>
          <w:color w:val="231F20"/>
        </w:rPr>
        <w:t>«Культура</w:t>
      </w:r>
      <w:r>
        <w:rPr>
          <w:color w:val="231F20"/>
          <w:spacing w:val="-13"/>
        </w:rPr>
        <w:t> </w:t>
      </w:r>
      <w:r>
        <w:rPr>
          <w:color w:val="231F20"/>
        </w:rPr>
        <w:t>–</w:t>
      </w:r>
      <w:r>
        <w:rPr>
          <w:color w:val="231F20"/>
          <w:spacing w:val="-11"/>
        </w:rPr>
        <w:t> </w:t>
      </w:r>
      <w:r>
        <w:rPr>
          <w:color w:val="231F20"/>
        </w:rPr>
        <w:t>это</w:t>
      </w:r>
      <w:r>
        <w:rPr>
          <w:color w:val="231F20"/>
          <w:spacing w:val="-12"/>
        </w:rPr>
        <w:t> </w:t>
      </w:r>
      <w:r>
        <w:rPr>
          <w:color w:val="231F20"/>
        </w:rPr>
        <w:t>как</w:t>
      </w:r>
      <w:r>
        <w:rPr>
          <w:color w:val="231F20"/>
          <w:spacing w:val="-13"/>
        </w:rPr>
        <w:t> </w:t>
      </w:r>
      <w:r>
        <w:rPr>
          <w:color w:val="231F20"/>
        </w:rPr>
        <w:t>цвет</w:t>
      </w:r>
      <w:r>
        <w:rPr>
          <w:color w:val="231F20"/>
          <w:spacing w:val="-12"/>
        </w:rPr>
        <w:t> </w:t>
      </w:r>
      <w:r>
        <w:rPr>
          <w:color w:val="231F20"/>
        </w:rPr>
        <w:t>глаз:</w:t>
      </w:r>
      <w:r>
        <w:rPr>
          <w:color w:val="231F20"/>
          <w:spacing w:val="-13"/>
        </w:rPr>
        <w:t> </w:t>
      </w:r>
      <w:r>
        <w:rPr>
          <w:color w:val="231F20"/>
        </w:rPr>
        <w:t>его</w:t>
      </w:r>
      <w:r>
        <w:rPr>
          <w:color w:val="231F20"/>
          <w:spacing w:val="-12"/>
        </w:rPr>
        <w:t> </w:t>
      </w:r>
      <w:r>
        <w:rPr>
          <w:color w:val="231F20"/>
        </w:rPr>
        <w:t>нельзя</w:t>
      </w:r>
      <w:r>
        <w:rPr>
          <w:color w:val="231F20"/>
          <w:spacing w:val="-12"/>
        </w:rPr>
        <w:t> </w:t>
      </w:r>
      <w:r>
        <w:rPr>
          <w:color w:val="231F20"/>
        </w:rPr>
        <w:t>изменить</w:t>
      </w:r>
      <w:r>
        <w:rPr>
          <w:color w:val="231F20"/>
          <w:spacing w:val="-12"/>
        </w:rPr>
        <w:t> </w:t>
      </w:r>
      <w:r>
        <w:rPr>
          <w:color w:val="231F20"/>
        </w:rPr>
        <w:t>или</w:t>
      </w:r>
      <w:r>
        <w:rPr>
          <w:color w:val="231F20"/>
          <w:spacing w:val="-12"/>
        </w:rPr>
        <w:t> </w:t>
      </w:r>
      <w:r>
        <w:rPr>
          <w:color w:val="231F20"/>
        </w:rPr>
        <w:t>спрятать,</w:t>
      </w:r>
      <w:r>
        <w:rPr>
          <w:color w:val="231F20"/>
          <w:spacing w:val="-12"/>
        </w:rPr>
        <w:t> </w:t>
      </w:r>
      <w:r>
        <w:rPr>
          <w:color w:val="231F20"/>
        </w:rPr>
        <w:t>и</w:t>
      </w:r>
      <w:r>
        <w:rPr>
          <w:color w:val="231F20"/>
          <w:spacing w:val="-13"/>
        </w:rPr>
        <w:t> </w:t>
      </w:r>
      <w:r>
        <w:rPr>
          <w:color w:val="231F20"/>
        </w:rPr>
        <w:t>хотя</w:t>
      </w:r>
      <w:r>
        <w:rPr>
          <w:color w:val="231F20"/>
          <w:spacing w:val="-12"/>
        </w:rPr>
        <w:t> </w:t>
      </w:r>
      <w:r>
        <w:rPr>
          <w:color w:val="231F20"/>
        </w:rPr>
        <w:t>нам</w:t>
      </w:r>
      <w:r>
        <w:rPr>
          <w:color w:val="231F20"/>
          <w:spacing w:val="-12"/>
        </w:rPr>
        <w:t> </w:t>
      </w:r>
      <w:r>
        <w:rPr>
          <w:color w:val="231F20"/>
        </w:rPr>
        <w:t>самим он не виден, но другие, когда общаются с нами, немедленно замечают его»</w:t>
      </w:r>
    </w:p>
    <w:p>
      <w:pPr>
        <w:pStyle w:val="BodyText"/>
        <w:spacing w:line="242" w:lineRule="auto"/>
      </w:pPr>
      <w:r>
        <w:rPr>
          <w:color w:val="231F20"/>
        </w:rPr>
        <w:t>Почему же ребенок не может изменить поведение? Потому что это только внеш- ний слой культуры, который опирается на более глубокие, часто неосознаваемые вещи.</w:t>
      </w:r>
      <w:r>
        <w:rPr>
          <w:color w:val="231F20"/>
          <w:spacing w:val="40"/>
        </w:rPr>
        <w:t> </w:t>
      </w:r>
      <w:r>
        <w:rPr>
          <w:color w:val="231F20"/>
        </w:rPr>
        <w:t>Что же делать педагогу при взаимодействии с таким ребенком?</w:t>
      </w:r>
    </w:p>
    <w:p>
      <w:pPr>
        <w:pStyle w:val="BodyText"/>
      </w:pPr>
      <w:r>
        <w:rPr>
          <w:color w:val="231F20"/>
        </w:rPr>
        <w:t>Прежде</w:t>
      </w:r>
      <w:r>
        <w:rPr>
          <w:color w:val="231F20"/>
          <w:spacing w:val="-6"/>
        </w:rPr>
        <w:t> </w:t>
      </w:r>
      <w:r>
        <w:rPr>
          <w:color w:val="231F20"/>
        </w:rPr>
        <w:t>всего</w:t>
      </w:r>
      <w:r>
        <w:rPr>
          <w:color w:val="231F20"/>
          <w:spacing w:val="-6"/>
        </w:rPr>
        <w:t> </w:t>
      </w:r>
      <w:r>
        <w:rPr>
          <w:color w:val="231F20"/>
        </w:rPr>
        <w:t>постараемся</w:t>
      </w:r>
      <w:r>
        <w:rPr>
          <w:color w:val="231F20"/>
          <w:spacing w:val="-6"/>
        </w:rPr>
        <w:t> </w:t>
      </w:r>
      <w:r>
        <w:rPr>
          <w:color w:val="231F20"/>
        </w:rPr>
        <w:t>понять,</w:t>
      </w:r>
      <w:r>
        <w:rPr>
          <w:color w:val="231F20"/>
          <w:spacing w:val="-6"/>
        </w:rPr>
        <w:t> </w:t>
      </w:r>
      <w:r>
        <w:rPr>
          <w:color w:val="231F20"/>
        </w:rPr>
        <w:t>какие</w:t>
      </w:r>
      <w:r>
        <w:rPr>
          <w:color w:val="231F20"/>
          <w:spacing w:val="-6"/>
        </w:rPr>
        <w:t> </w:t>
      </w:r>
      <w:r>
        <w:rPr>
          <w:color w:val="231F20"/>
        </w:rPr>
        <w:t>культурные</w:t>
      </w:r>
      <w:r>
        <w:rPr>
          <w:color w:val="231F20"/>
          <w:spacing w:val="-6"/>
        </w:rPr>
        <w:t> </w:t>
      </w:r>
      <w:r>
        <w:rPr>
          <w:color w:val="231F20"/>
        </w:rPr>
        <w:t>особенности</w:t>
      </w:r>
      <w:r>
        <w:rPr>
          <w:color w:val="231F20"/>
          <w:spacing w:val="-6"/>
        </w:rPr>
        <w:t> </w:t>
      </w:r>
      <w:r>
        <w:rPr>
          <w:color w:val="231F20"/>
        </w:rPr>
        <w:t>лежат</w:t>
      </w:r>
      <w:r>
        <w:rPr>
          <w:color w:val="231F20"/>
          <w:spacing w:val="-6"/>
        </w:rPr>
        <w:t> </w:t>
      </w:r>
      <w:r>
        <w:rPr>
          <w:color w:val="231F20"/>
        </w:rPr>
        <w:t>в</w:t>
      </w:r>
      <w:r>
        <w:rPr>
          <w:color w:val="231F20"/>
          <w:spacing w:val="-6"/>
        </w:rPr>
        <w:t> </w:t>
      </w:r>
      <w:r>
        <w:rPr>
          <w:color w:val="231F20"/>
        </w:rPr>
        <w:t>основе </w:t>
      </w:r>
      <w:r>
        <w:rPr>
          <w:color w:val="231F20"/>
          <w:spacing w:val="-2"/>
        </w:rPr>
        <w:t>подобного поведения, а затем, опираясь на это, предложим другую модель поведения. </w:t>
      </w:r>
      <w:r>
        <w:rPr>
          <w:color w:val="231F20"/>
        </w:rPr>
        <w:t>Этот алгоритм предложен в «Шпаргалке»</w:t>
      </w:r>
    </w:p>
    <w:p>
      <w:pPr>
        <w:pStyle w:val="BodyText"/>
      </w:pPr>
      <w:r>
        <w:rPr>
          <w:color w:val="231F20"/>
          <w:spacing w:val="-2"/>
        </w:rPr>
        <w:t>(раздать</w:t>
      </w:r>
      <w:r>
        <w:rPr>
          <w:color w:val="231F20"/>
          <w:spacing w:val="-3"/>
        </w:rPr>
        <w:t> </w:t>
      </w:r>
      <w:r>
        <w:rPr>
          <w:color w:val="231F20"/>
          <w:spacing w:val="-2"/>
        </w:rPr>
        <w:t>участникам</w:t>
      </w:r>
      <w:r>
        <w:rPr>
          <w:color w:val="231F20"/>
          <w:spacing w:val="-3"/>
        </w:rPr>
        <w:t> </w:t>
      </w:r>
      <w:r>
        <w:rPr>
          <w:color w:val="231F20"/>
          <w:spacing w:val="-2"/>
        </w:rPr>
        <w:t>«Шпаргалки».</w:t>
      </w:r>
      <w:r>
        <w:rPr>
          <w:color w:val="231F20"/>
          <w:spacing w:val="-3"/>
        </w:rPr>
        <w:t> </w:t>
      </w:r>
      <w:r>
        <w:rPr>
          <w:color w:val="231F20"/>
          <w:spacing w:val="-2"/>
        </w:rPr>
        <w:t>Если</w:t>
      </w:r>
      <w:r>
        <w:rPr>
          <w:color w:val="231F20"/>
          <w:spacing w:val="-3"/>
        </w:rPr>
        <w:t> </w:t>
      </w:r>
      <w:r>
        <w:rPr>
          <w:color w:val="231F20"/>
          <w:spacing w:val="-2"/>
        </w:rPr>
        <w:t>время</w:t>
      </w:r>
      <w:r>
        <w:rPr>
          <w:color w:val="231F20"/>
          <w:spacing w:val="-3"/>
        </w:rPr>
        <w:t> </w:t>
      </w:r>
      <w:r>
        <w:rPr>
          <w:color w:val="231F20"/>
          <w:spacing w:val="-2"/>
        </w:rPr>
        <w:t>позволяет,</w:t>
      </w:r>
      <w:r>
        <w:rPr>
          <w:color w:val="231F20"/>
          <w:spacing w:val="-3"/>
        </w:rPr>
        <w:t> </w:t>
      </w:r>
      <w:r>
        <w:rPr>
          <w:color w:val="231F20"/>
          <w:spacing w:val="-2"/>
        </w:rPr>
        <w:t>можно</w:t>
      </w:r>
      <w:r>
        <w:rPr>
          <w:color w:val="231F20"/>
          <w:spacing w:val="-3"/>
        </w:rPr>
        <w:t> </w:t>
      </w:r>
      <w:r>
        <w:rPr>
          <w:color w:val="231F20"/>
          <w:spacing w:val="-2"/>
        </w:rPr>
        <w:t>разобрать</w:t>
      </w:r>
      <w:r>
        <w:rPr>
          <w:color w:val="231F20"/>
          <w:spacing w:val="-3"/>
        </w:rPr>
        <w:t> </w:t>
      </w:r>
      <w:r>
        <w:rPr>
          <w:color w:val="231F20"/>
          <w:spacing w:val="-2"/>
        </w:rPr>
        <w:t>какой- </w:t>
      </w:r>
      <w:r>
        <w:rPr>
          <w:color w:val="231F20"/>
        </w:rPr>
        <w:t>то конкретный пример)</w:t>
      </w:r>
    </w:p>
    <w:p>
      <w:pPr>
        <w:pStyle w:val="BodyText"/>
        <w:spacing w:after="0"/>
        <w:sectPr>
          <w:pgSz w:w="8400" w:h="11910"/>
          <w:pgMar w:header="0" w:footer="542" w:top="400" w:bottom="740" w:left="425" w:right="425"/>
        </w:sectPr>
      </w:pPr>
    </w:p>
    <w:p>
      <w:pPr>
        <w:pStyle w:val="ListParagraph"/>
        <w:numPr>
          <w:ilvl w:val="1"/>
          <w:numId w:val="67"/>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Технологии</w:t>
      </w:r>
      <w:r>
        <w:rPr>
          <w:rFonts w:ascii="Georgia" w:hAnsi="Georgia"/>
          <w:color w:val="231F20"/>
          <w:spacing w:val="1"/>
          <w:sz w:val="18"/>
        </w:rPr>
        <w:t> </w:t>
      </w:r>
      <w:r>
        <w:rPr>
          <w:rFonts w:ascii="Georgia" w:hAnsi="Georgia"/>
          <w:color w:val="231F20"/>
          <w:sz w:val="18"/>
        </w:rPr>
        <w:t>повышения</w:t>
      </w:r>
      <w:r>
        <w:rPr>
          <w:rFonts w:ascii="Georgia" w:hAnsi="Georgia"/>
          <w:color w:val="231F20"/>
          <w:spacing w:val="48"/>
          <w:sz w:val="18"/>
        </w:rPr>
        <w:t> </w:t>
      </w:r>
      <w:r>
        <w:rPr>
          <w:rFonts w:ascii="Georgia" w:hAnsi="Georgia"/>
          <w:color w:val="231F20"/>
          <w:sz w:val="18"/>
        </w:rPr>
        <w:t>межкультурной</w:t>
      </w:r>
      <w:r>
        <w:rPr>
          <w:rFonts w:ascii="Georgia" w:hAnsi="Georgia"/>
          <w:color w:val="231F20"/>
          <w:spacing w:val="1"/>
          <w:sz w:val="18"/>
        </w:rPr>
        <w:t> </w:t>
      </w:r>
      <w:r>
        <w:rPr>
          <w:rFonts w:ascii="Georgia" w:hAnsi="Georgia"/>
          <w:color w:val="231F20"/>
          <w:sz w:val="18"/>
        </w:rPr>
        <w:t>компетентности</w:t>
      </w:r>
      <w:r>
        <w:rPr>
          <w:rFonts w:ascii="Georgia" w:hAnsi="Georgia"/>
          <w:color w:val="231F20"/>
          <w:spacing w:val="2"/>
          <w:sz w:val="18"/>
        </w:rPr>
        <w:t> </w:t>
      </w:r>
      <w:r>
        <w:rPr>
          <w:rFonts w:ascii="Georgia" w:hAnsi="Georgia"/>
          <w:color w:val="231F20"/>
          <w:spacing w:val="-2"/>
          <w:sz w:val="18"/>
        </w:rPr>
        <w:t>педагогов</w:t>
      </w:r>
    </w:p>
    <w:p>
      <w:pPr>
        <w:pStyle w:val="BodyText"/>
        <w:spacing w:before="112"/>
        <w:ind w:right="140"/>
        <w:jc w:val="left"/>
      </w:pPr>
      <w:r>
        <w:rPr>
          <w:color w:val="231F20"/>
        </w:rPr>
        <w:t>Далее следует обсуждение, как педагоги могут воспользоваться предложенными в «Шпаргалке» стратегиями.</w:t>
      </w:r>
    </w:p>
    <w:p>
      <w:pPr>
        <w:spacing w:before="0"/>
        <w:ind w:left="425" w:right="0" w:firstLine="0"/>
        <w:jc w:val="left"/>
        <w:rPr>
          <w:b/>
          <w:sz w:val="20"/>
        </w:rPr>
      </w:pPr>
      <w:r>
        <w:rPr>
          <w:b/>
          <w:color w:val="231F20"/>
          <w:sz w:val="20"/>
        </w:rPr>
        <w:t>Завершение: Игра </w:t>
      </w:r>
      <w:r>
        <w:rPr>
          <w:b/>
          <w:color w:val="231F20"/>
          <w:spacing w:val="-2"/>
          <w:sz w:val="20"/>
        </w:rPr>
        <w:t>«Домино»</w:t>
      </w:r>
    </w:p>
    <w:p>
      <w:pPr>
        <w:spacing w:before="113"/>
        <w:ind w:left="425" w:right="0" w:firstLine="0"/>
        <w:jc w:val="left"/>
        <w:rPr>
          <w:b/>
          <w:sz w:val="20"/>
        </w:rPr>
      </w:pPr>
      <w:r>
        <w:rPr>
          <w:b/>
          <w:color w:val="231F20"/>
          <w:sz w:val="20"/>
        </w:rPr>
        <w:t>«Шпаргалка»</w:t>
      </w:r>
      <w:r>
        <w:rPr>
          <w:b/>
          <w:color w:val="231F20"/>
          <w:spacing w:val="-2"/>
          <w:sz w:val="20"/>
        </w:rPr>
        <w:t> </w:t>
      </w:r>
      <w:r>
        <w:rPr>
          <w:b/>
          <w:color w:val="231F20"/>
          <w:sz w:val="20"/>
        </w:rPr>
        <w:t>для</w:t>
      </w:r>
      <w:r>
        <w:rPr>
          <w:b/>
          <w:color w:val="231F20"/>
          <w:spacing w:val="-2"/>
          <w:sz w:val="20"/>
        </w:rPr>
        <w:t> участников</w:t>
      </w:r>
    </w:p>
    <w:p>
      <w:pPr>
        <w:spacing w:before="57"/>
        <w:ind w:left="141" w:right="0" w:firstLine="283"/>
        <w:jc w:val="left"/>
        <w:rPr>
          <w:b/>
          <w:sz w:val="20"/>
        </w:rPr>
      </w:pPr>
      <w:r>
        <w:rPr>
          <w:b/>
          <w:color w:val="231F20"/>
          <w:sz w:val="20"/>
        </w:rPr>
        <w:t>Когда</w:t>
      </w:r>
      <w:r>
        <w:rPr>
          <w:b/>
          <w:color w:val="231F20"/>
          <w:spacing w:val="-5"/>
          <w:sz w:val="20"/>
        </w:rPr>
        <w:t> </w:t>
      </w:r>
      <w:r>
        <w:rPr>
          <w:b/>
          <w:color w:val="231F20"/>
          <w:sz w:val="20"/>
        </w:rPr>
        <w:t>мы</w:t>
      </w:r>
      <w:r>
        <w:rPr>
          <w:b/>
          <w:color w:val="231F20"/>
          <w:spacing w:val="-5"/>
          <w:sz w:val="20"/>
        </w:rPr>
        <w:t> </w:t>
      </w:r>
      <w:r>
        <w:rPr>
          <w:b/>
          <w:color w:val="231F20"/>
          <w:sz w:val="20"/>
        </w:rPr>
        <w:t>сталкиваемся</w:t>
      </w:r>
      <w:r>
        <w:rPr>
          <w:b/>
          <w:color w:val="231F20"/>
          <w:spacing w:val="-4"/>
          <w:sz w:val="20"/>
        </w:rPr>
        <w:t> </w:t>
      </w:r>
      <w:r>
        <w:rPr>
          <w:b/>
          <w:color w:val="231F20"/>
          <w:sz w:val="20"/>
        </w:rPr>
        <w:t>с</w:t>
      </w:r>
      <w:r>
        <w:rPr>
          <w:b/>
          <w:color w:val="231F20"/>
          <w:spacing w:val="-4"/>
          <w:sz w:val="20"/>
        </w:rPr>
        <w:t> </w:t>
      </w:r>
      <w:r>
        <w:rPr>
          <w:b/>
          <w:color w:val="231F20"/>
          <w:sz w:val="20"/>
        </w:rPr>
        <w:t>непривычным</w:t>
      </w:r>
      <w:r>
        <w:rPr>
          <w:b/>
          <w:color w:val="231F20"/>
          <w:spacing w:val="-4"/>
          <w:sz w:val="20"/>
        </w:rPr>
        <w:t> </w:t>
      </w:r>
      <w:r>
        <w:rPr>
          <w:b/>
          <w:color w:val="231F20"/>
          <w:sz w:val="20"/>
        </w:rPr>
        <w:t>для</w:t>
      </w:r>
      <w:r>
        <w:rPr>
          <w:b/>
          <w:color w:val="231F20"/>
          <w:spacing w:val="-5"/>
          <w:sz w:val="20"/>
        </w:rPr>
        <w:t> </w:t>
      </w:r>
      <w:r>
        <w:rPr>
          <w:b/>
          <w:color w:val="231F20"/>
          <w:sz w:val="20"/>
        </w:rPr>
        <w:t>нас</w:t>
      </w:r>
      <w:r>
        <w:rPr>
          <w:b/>
          <w:color w:val="231F20"/>
          <w:spacing w:val="-4"/>
          <w:sz w:val="20"/>
        </w:rPr>
        <w:t> </w:t>
      </w:r>
      <w:r>
        <w:rPr>
          <w:b/>
          <w:color w:val="231F20"/>
          <w:sz w:val="20"/>
        </w:rPr>
        <w:t>поведением</w:t>
      </w:r>
      <w:r>
        <w:rPr>
          <w:b/>
          <w:color w:val="231F20"/>
          <w:spacing w:val="-5"/>
          <w:sz w:val="20"/>
        </w:rPr>
        <w:t> </w:t>
      </w:r>
      <w:r>
        <w:rPr>
          <w:b/>
          <w:color w:val="231F20"/>
          <w:sz w:val="20"/>
        </w:rPr>
        <w:t>ребенка</w:t>
      </w:r>
      <w:r>
        <w:rPr>
          <w:b/>
          <w:color w:val="231F20"/>
          <w:spacing w:val="-5"/>
          <w:sz w:val="20"/>
        </w:rPr>
        <w:t> </w:t>
      </w:r>
      <w:r>
        <w:rPr>
          <w:b/>
          <w:color w:val="231F20"/>
          <w:sz w:val="20"/>
        </w:rPr>
        <w:t>из</w:t>
      </w:r>
      <w:r>
        <w:rPr>
          <w:b/>
          <w:color w:val="231F20"/>
          <w:spacing w:val="-4"/>
          <w:sz w:val="20"/>
        </w:rPr>
        <w:t> </w:t>
      </w:r>
      <w:r>
        <w:rPr>
          <w:b/>
          <w:color w:val="231F20"/>
          <w:sz w:val="20"/>
        </w:rPr>
        <w:t>дру- гой культурной группы, что может нам помочь справиться с этой ситуацией?</w:t>
      </w:r>
    </w:p>
    <w:p>
      <w:pPr>
        <w:pStyle w:val="ListParagraph"/>
        <w:numPr>
          <w:ilvl w:val="0"/>
          <w:numId w:val="80"/>
        </w:numPr>
        <w:tabs>
          <w:tab w:pos="423" w:val="left" w:leader="none"/>
        </w:tabs>
        <w:spacing w:line="237" w:lineRule="exact" w:before="110" w:after="0"/>
        <w:ind w:left="423" w:right="0" w:hanging="282"/>
        <w:jc w:val="left"/>
        <w:rPr>
          <w:sz w:val="20"/>
        </w:rPr>
      </w:pPr>
      <w:r>
        <w:rPr>
          <w:color w:val="231F20"/>
          <w:sz w:val="20"/>
        </w:rPr>
        <w:t>Попробуем</w:t>
      </w:r>
      <w:r>
        <w:rPr>
          <w:color w:val="231F20"/>
          <w:spacing w:val="-6"/>
          <w:sz w:val="20"/>
        </w:rPr>
        <w:t> </w:t>
      </w:r>
      <w:r>
        <w:rPr>
          <w:color w:val="231F20"/>
          <w:sz w:val="20"/>
        </w:rPr>
        <w:t>понять,</w:t>
      </w:r>
      <w:r>
        <w:rPr>
          <w:color w:val="231F20"/>
          <w:spacing w:val="-5"/>
          <w:sz w:val="20"/>
        </w:rPr>
        <w:t> </w:t>
      </w:r>
      <w:r>
        <w:rPr>
          <w:color w:val="231F20"/>
          <w:sz w:val="20"/>
          <w:u w:val="single" w:color="231F20"/>
        </w:rPr>
        <w:t>почему</w:t>
      </w:r>
      <w:r>
        <w:rPr>
          <w:color w:val="231F20"/>
          <w:spacing w:val="-5"/>
          <w:sz w:val="20"/>
        </w:rPr>
        <w:t> </w:t>
      </w:r>
      <w:r>
        <w:rPr>
          <w:color w:val="231F20"/>
          <w:sz w:val="20"/>
        </w:rPr>
        <w:t>он</w:t>
      </w:r>
      <w:r>
        <w:rPr>
          <w:color w:val="231F20"/>
          <w:spacing w:val="-4"/>
          <w:sz w:val="20"/>
        </w:rPr>
        <w:t> </w:t>
      </w:r>
      <w:r>
        <w:rPr>
          <w:color w:val="231F20"/>
          <w:sz w:val="20"/>
        </w:rPr>
        <w:t>ведет</w:t>
      </w:r>
      <w:r>
        <w:rPr>
          <w:color w:val="231F20"/>
          <w:spacing w:val="-4"/>
          <w:sz w:val="20"/>
        </w:rPr>
        <w:t> </w:t>
      </w:r>
      <w:r>
        <w:rPr>
          <w:color w:val="231F20"/>
          <w:sz w:val="20"/>
        </w:rPr>
        <w:t>себя</w:t>
      </w:r>
      <w:r>
        <w:rPr>
          <w:color w:val="231F20"/>
          <w:spacing w:val="-4"/>
          <w:sz w:val="20"/>
        </w:rPr>
        <w:t> </w:t>
      </w:r>
      <w:r>
        <w:rPr>
          <w:color w:val="231F20"/>
          <w:sz w:val="20"/>
        </w:rPr>
        <w:t>именно</w:t>
      </w:r>
      <w:r>
        <w:rPr>
          <w:color w:val="231F20"/>
          <w:spacing w:val="-3"/>
          <w:sz w:val="20"/>
        </w:rPr>
        <w:t> </w:t>
      </w:r>
      <w:r>
        <w:rPr>
          <w:color w:val="231F20"/>
          <w:spacing w:val="-4"/>
          <w:sz w:val="20"/>
        </w:rPr>
        <w:t>так.</w:t>
      </w:r>
    </w:p>
    <w:p>
      <w:pPr>
        <w:pStyle w:val="ListParagraph"/>
        <w:numPr>
          <w:ilvl w:val="0"/>
          <w:numId w:val="80"/>
        </w:numPr>
        <w:tabs>
          <w:tab w:pos="423" w:val="left" w:leader="none"/>
        </w:tabs>
        <w:spacing w:line="230" w:lineRule="exact" w:before="0" w:after="0"/>
        <w:ind w:left="423" w:right="0" w:hanging="282"/>
        <w:jc w:val="left"/>
        <w:rPr>
          <w:sz w:val="20"/>
        </w:rPr>
      </w:pPr>
      <w:r>
        <w:rPr>
          <w:color w:val="231F20"/>
          <w:sz w:val="20"/>
        </w:rPr>
        <w:t>Выразим</w:t>
      </w:r>
      <w:r>
        <w:rPr>
          <w:color w:val="231F20"/>
          <w:spacing w:val="-3"/>
          <w:sz w:val="20"/>
        </w:rPr>
        <w:t> </w:t>
      </w:r>
      <w:r>
        <w:rPr>
          <w:color w:val="231F20"/>
          <w:sz w:val="20"/>
        </w:rPr>
        <w:t>ребенку</w:t>
      </w:r>
      <w:r>
        <w:rPr>
          <w:color w:val="231F20"/>
          <w:spacing w:val="-2"/>
          <w:sz w:val="20"/>
        </w:rPr>
        <w:t> </w:t>
      </w:r>
      <w:r>
        <w:rPr>
          <w:color w:val="231F20"/>
          <w:sz w:val="20"/>
        </w:rPr>
        <w:t>свое</w:t>
      </w:r>
      <w:r>
        <w:rPr>
          <w:color w:val="231F20"/>
          <w:spacing w:val="-2"/>
          <w:sz w:val="20"/>
        </w:rPr>
        <w:t> </w:t>
      </w:r>
      <w:r>
        <w:rPr>
          <w:color w:val="231F20"/>
          <w:sz w:val="20"/>
        </w:rPr>
        <w:t>понимание</w:t>
      </w:r>
      <w:r>
        <w:rPr>
          <w:color w:val="231F20"/>
          <w:spacing w:val="-2"/>
          <w:sz w:val="20"/>
        </w:rPr>
        <w:t> </w:t>
      </w:r>
      <w:r>
        <w:rPr>
          <w:color w:val="231F20"/>
          <w:sz w:val="20"/>
        </w:rPr>
        <w:t>и</w:t>
      </w:r>
      <w:r>
        <w:rPr>
          <w:color w:val="231F20"/>
          <w:spacing w:val="-3"/>
          <w:sz w:val="20"/>
        </w:rPr>
        <w:t> </w:t>
      </w:r>
      <w:r>
        <w:rPr>
          <w:color w:val="231F20"/>
          <w:sz w:val="20"/>
        </w:rPr>
        <w:t>признание</w:t>
      </w:r>
      <w:r>
        <w:rPr>
          <w:color w:val="231F20"/>
          <w:spacing w:val="-2"/>
          <w:sz w:val="20"/>
        </w:rPr>
        <w:t> </w:t>
      </w:r>
      <w:r>
        <w:rPr>
          <w:color w:val="231F20"/>
          <w:sz w:val="20"/>
        </w:rPr>
        <w:t>его</w:t>
      </w:r>
      <w:r>
        <w:rPr>
          <w:color w:val="231F20"/>
          <w:spacing w:val="-2"/>
          <w:sz w:val="20"/>
        </w:rPr>
        <w:t> ценностей</w:t>
      </w:r>
    </w:p>
    <w:p>
      <w:pPr>
        <w:pStyle w:val="ListParagraph"/>
        <w:numPr>
          <w:ilvl w:val="0"/>
          <w:numId w:val="80"/>
        </w:numPr>
        <w:tabs>
          <w:tab w:pos="423" w:val="left" w:leader="none"/>
          <w:tab w:pos="425" w:val="left" w:leader="none"/>
        </w:tabs>
        <w:spacing w:line="230" w:lineRule="auto" w:before="0" w:after="0"/>
        <w:ind w:left="425" w:right="139" w:hanging="284"/>
        <w:jc w:val="left"/>
        <w:rPr>
          <w:sz w:val="20"/>
        </w:rPr>
      </w:pPr>
      <w:r>
        <w:rPr>
          <w:color w:val="231F20"/>
          <w:sz w:val="20"/>
        </w:rPr>
        <w:t>Ясно</w:t>
      </w:r>
      <w:r>
        <w:rPr>
          <w:color w:val="231F20"/>
          <w:spacing w:val="-3"/>
          <w:sz w:val="20"/>
        </w:rPr>
        <w:t> </w:t>
      </w:r>
      <w:r>
        <w:rPr>
          <w:color w:val="231F20"/>
          <w:sz w:val="20"/>
        </w:rPr>
        <w:t>и</w:t>
      </w:r>
      <w:r>
        <w:rPr>
          <w:color w:val="231F20"/>
          <w:spacing w:val="-3"/>
          <w:sz w:val="20"/>
        </w:rPr>
        <w:t> </w:t>
      </w:r>
      <w:r>
        <w:rPr>
          <w:color w:val="231F20"/>
          <w:sz w:val="20"/>
        </w:rPr>
        <w:t>четко</w:t>
      </w:r>
      <w:r>
        <w:rPr>
          <w:color w:val="231F20"/>
          <w:spacing w:val="-3"/>
          <w:sz w:val="20"/>
        </w:rPr>
        <w:t> </w:t>
      </w:r>
      <w:r>
        <w:rPr>
          <w:color w:val="231F20"/>
          <w:sz w:val="20"/>
        </w:rPr>
        <w:t>сформулируем</w:t>
      </w:r>
      <w:r>
        <w:rPr>
          <w:color w:val="231F20"/>
          <w:spacing w:val="-3"/>
          <w:sz w:val="20"/>
        </w:rPr>
        <w:t> </w:t>
      </w:r>
      <w:r>
        <w:rPr>
          <w:color w:val="231F20"/>
          <w:sz w:val="20"/>
        </w:rPr>
        <w:t>свои</w:t>
      </w:r>
      <w:r>
        <w:rPr>
          <w:color w:val="231F20"/>
          <w:spacing w:val="-3"/>
          <w:sz w:val="20"/>
        </w:rPr>
        <w:t> </w:t>
      </w:r>
      <w:r>
        <w:rPr>
          <w:color w:val="231F20"/>
          <w:sz w:val="20"/>
        </w:rPr>
        <w:t>пожелания</w:t>
      </w:r>
      <w:r>
        <w:rPr>
          <w:color w:val="231F20"/>
          <w:spacing w:val="-3"/>
          <w:sz w:val="20"/>
        </w:rPr>
        <w:t> </w:t>
      </w:r>
      <w:r>
        <w:rPr>
          <w:color w:val="231F20"/>
          <w:sz w:val="20"/>
        </w:rPr>
        <w:t>и</w:t>
      </w:r>
      <w:r>
        <w:rPr>
          <w:color w:val="231F20"/>
          <w:spacing w:val="-3"/>
          <w:sz w:val="20"/>
        </w:rPr>
        <w:t> </w:t>
      </w:r>
      <w:r>
        <w:rPr>
          <w:color w:val="231F20"/>
          <w:sz w:val="20"/>
        </w:rPr>
        <w:t>ожидания</w:t>
      </w:r>
      <w:r>
        <w:rPr>
          <w:color w:val="231F20"/>
          <w:spacing w:val="-3"/>
          <w:sz w:val="20"/>
        </w:rPr>
        <w:t> </w:t>
      </w:r>
      <w:r>
        <w:rPr>
          <w:color w:val="231F20"/>
          <w:sz w:val="20"/>
        </w:rPr>
        <w:t>(причем</w:t>
      </w:r>
      <w:r>
        <w:rPr>
          <w:color w:val="231F20"/>
          <w:spacing w:val="-3"/>
          <w:sz w:val="20"/>
        </w:rPr>
        <w:t> </w:t>
      </w:r>
      <w:r>
        <w:rPr>
          <w:color w:val="231F20"/>
          <w:sz w:val="20"/>
        </w:rPr>
        <w:t>касаемся</w:t>
      </w:r>
      <w:r>
        <w:rPr>
          <w:color w:val="231F20"/>
          <w:spacing w:val="-3"/>
          <w:sz w:val="20"/>
        </w:rPr>
        <w:t> </w:t>
      </w:r>
      <w:r>
        <w:rPr>
          <w:color w:val="231F20"/>
          <w:sz w:val="20"/>
        </w:rPr>
        <w:t>преи- мущественно поведения!)</w:t>
      </w:r>
    </w:p>
    <w:p>
      <w:pPr>
        <w:spacing w:before="115"/>
        <w:ind w:left="425" w:right="0" w:firstLine="0"/>
        <w:jc w:val="left"/>
        <w:rPr>
          <w:b/>
          <w:sz w:val="20"/>
        </w:rPr>
      </w:pPr>
      <w:r>
        <w:rPr>
          <w:b/>
          <w:color w:val="231F20"/>
          <w:sz w:val="20"/>
        </w:rPr>
        <w:t>Что</w:t>
      </w:r>
      <w:r>
        <w:rPr>
          <w:b/>
          <w:color w:val="231F20"/>
          <w:spacing w:val="-10"/>
          <w:sz w:val="20"/>
        </w:rPr>
        <w:t> </w:t>
      </w:r>
      <w:r>
        <w:rPr>
          <w:b/>
          <w:color w:val="231F20"/>
          <w:sz w:val="20"/>
        </w:rPr>
        <w:t>можно</w:t>
      </w:r>
      <w:r>
        <w:rPr>
          <w:b/>
          <w:color w:val="231F20"/>
          <w:spacing w:val="-8"/>
          <w:sz w:val="20"/>
        </w:rPr>
        <w:t> </w:t>
      </w:r>
      <w:r>
        <w:rPr>
          <w:b/>
          <w:color w:val="231F20"/>
          <w:sz w:val="20"/>
        </w:rPr>
        <w:t>сказать</w:t>
      </w:r>
      <w:r>
        <w:rPr>
          <w:b/>
          <w:color w:val="231F20"/>
          <w:spacing w:val="-7"/>
          <w:sz w:val="20"/>
        </w:rPr>
        <w:t> </w:t>
      </w:r>
      <w:r>
        <w:rPr>
          <w:b/>
          <w:color w:val="231F20"/>
          <w:spacing w:val="-4"/>
          <w:sz w:val="20"/>
        </w:rPr>
        <w:t>себе:</w:t>
      </w:r>
    </w:p>
    <w:p>
      <w:pPr>
        <w:pStyle w:val="BodyText"/>
        <w:ind w:left="425" w:right="2678" w:firstLine="0"/>
        <w:jc w:val="left"/>
      </w:pPr>
      <w:r>
        <w:rPr>
          <w:color w:val="231F20"/>
        </w:rPr>
        <w:t>Возможно,</w:t>
      </w:r>
      <w:r>
        <w:rPr>
          <w:color w:val="231F20"/>
          <w:spacing w:val="-4"/>
        </w:rPr>
        <w:t> </w:t>
      </w:r>
      <w:r>
        <w:rPr>
          <w:color w:val="231F20"/>
        </w:rPr>
        <w:t>он</w:t>
      </w:r>
      <w:r>
        <w:rPr>
          <w:color w:val="231F20"/>
          <w:spacing w:val="-5"/>
        </w:rPr>
        <w:t> </w:t>
      </w:r>
      <w:r>
        <w:rPr>
          <w:color w:val="231F20"/>
        </w:rPr>
        <w:t>имеет</w:t>
      </w:r>
      <w:r>
        <w:rPr>
          <w:color w:val="231F20"/>
          <w:spacing w:val="-4"/>
        </w:rPr>
        <w:t> </w:t>
      </w:r>
      <w:r>
        <w:rPr>
          <w:color w:val="231F20"/>
        </w:rPr>
        <w:t>в</w:t>
      </w:r>
      <w:r>
        <w:rPr>
          <w:color w:val="231F20"/>
          <w:spacing w:val="-5"/>
        </w:rPr>
        <w:t> </w:t>
      </w:r>
      <w:r>
        <w:rPr>
          <w:color w:val="231F20"/>
        </w:rPr>
        <w:t>виду</w:t>
      </w:r>
      <w:r>
        <w:rPr>
          <w:color w:val="231F20"/>
          <w:spacing w:val="-4"/>
        </w:rPr>
        <w:t> </w:t>
      </w:r>
      <w:r>
        <w:rPr>
          <w:color w:val="231F20"/>
        </w:rPr>
        <w:t>не</w:t>
      </w:r>
      <w:r>
        <w:rPr>
          <w:color w:val="231F20"/>
          <w:spacing w:val="-4"/>
        </w:rPr>
        <w:t> </w:t>
      </w:r>
      <w:r>
        <w:rPr>
          <w:color w:val="231F20"/>
        </w:rPr>
        <w:t>то</w:t>
      </w:r>
      <w:r>
        <w:rPr>
          <w:color w:val="231F20"/>
          <w:spacing w:val="-4"/>
        </w:rPr>
        <w:t> </w:t>
      </w:r>
      <w:r>
        <w:rPr>
          <w:color w:val="231F20"/>
        </w:rPr>
        <w:t>же</w:t>
      </w:r>
      <w:r>
        <w:rPr>
          <w:color w:val="231F20"/>
          <w:spacing w:val="-4"/>
        </w:rPr>
        <w:t> </w:t>
      </w:r>
      <w:r>
        <w:rPr>
          <w:color w:val="231F20"/>
        </w:rPr>
        <w:t>самое,</w:t>
      </w:r>
      <w:r>
        <w:rPr>
          <w:color w:val="231F20"/>
          <w:spacing w:val="-4"/>
        </w:rPr>
        <w:t> </w:t>
      </w:r>
      <w:r>
        <w:rPr>
          <w:color w:val="231F20"/>
        </w:rPr>
        <w:t>что</w:t>
      </w:r>
      <w:r>
        <w:rPr>
          <w:color w:val="231F20"/>
          <w:spacing w:val="-4"/>
        </w:rPr>
        <w:t> </w:t>
      </w:r>
      <w:r>
        <w:rPr>
          <w:color w:val="231F20"/>
        </w:rPr>
        <w:t>и</w:t>
      </w:r>
      <w:r>
        <w:rPr>
          <w:color w:val="231F20"/>
          <w:spacing w:val="-5"/>
        </w:rPr>
        <w:t> </w:t>
      </w:r>
      <w:r>
        <w:rPr>
          <w:color w:val="231F20"/>
        </w:rPr>
        <w:t>я. Попробую понять, почему он так поступил.</w:t>
      </w:r>
    </w:p>
    <w:p>
      <w:pPr>
        <w:pStyle w:val="BodyText"/>
        <w:ind w:left="425" w:right="0" w:firstLine="0"/>
        <w:jc w:val="left"/>
      </w:pPr>
      <w:r>
        <w:rPr>
          <w:color w:val="231F20"/>
        </w:rPr>
        <w:t>Это</w:t>
      </w:r>
      <w:r>
        <w:rPr>
          <w:color w:val="231F20"/>
          <w:spacing w:val="-4"/>
        </w:rPr>
        <w:t> </w:t>
      </w:r>
      <w:r>
        <w:rPr>
          <w:color w:val="231F20"/>
        </w:rPr>
        <w:t>не</w:t>
      </w:r>
      <w:r>
        <w:rPr>
          <w:color w:val="231F20"/>
          <w:spacing w:val="-3"/>
        </w:rPr>
        <w:t> </w:t>
      </w:r>
      <w:r>
        <w:rPr>
          <w:color w:val="231F20"/>
        </w:rPr>
        <w:t>хорошо</w:t>
      </w:r>
      <w:r>
        <w:rPr>
          <w:color w:val="231F20"/>
          <w:spacing w:val="-4"/>
        </w:rPr>
        <w:t> </w:t>
      </w:r>
      <w:r>
        <w:rPr>
          <w:color w:val="231F20"/>
        </w:rPr>
        <w:t>и</w:t>
      </w:r>
      <w:r>
        <w:rPr>
          <w:color w:val="231F20"/>
          <w:spacing w:val="-4"/>
        </w:rPr>
        <w:t> </w:t>
      </w:r>
      <w:r>
        <w:rPr>
          <w:color w:val="231F20"/>
        </w:rPr>
        <w:t>не</w:t>
      </w:r>
      <w:r>
        <w:rPr>
          <w:color w:val="231F20"/>
          <w:spacing w:val="-3"/>
        </w:rPr>
        <w:t> </w:t>
      </w:r>
      <w:r>
        <w:rPr>
          <w:color w:val="231F20"/>
        </w:rPr>
        <w:t>плохо</w:t>
      </w:r>
      <w:r>
        <w:rPr>
          <w:color w:val="231F20"/>
          <w:spacing w:val="-4"/>
        </w:rPr>
        <w:t> </w:t>
      </w:r>
      <w:r>
        <w:rPr>
          <w:color w:val="231F20"/>
        </w:rPr>
        <w:t>–</w:t>
      </w:r>
      <w:r>
        <w:rPr>
          <w:color w:val="231F20"/>
          <w:spacing w:val="-3"/>
        </w:rPr>
        <w:t> </w:t>
      </w:r>
      <w:r>
        <w:rPr>
          <w:color w:val="231F20"/>
        </w:rPr>
        <w:t>это</w:t>
      </w:r>
      <w:r>
        <w:rPr>
          <w:color w:val="231F20"/>
          <w:spacing w:val="-3"/>
        </w:rPr>
        <w:t> </w:t>
      </w:r>
      <w:r>
        <w:rPr>
          <w:color w:val="231F20"/>
          <w:spacing w:val="-4"/>
        </w:rPr>
        <w:t>иначе</w:t>
      </w:r>
    </w:p>
    <w:p>
      <w:pPr>
        <w:spacing w:before="113"/>
        <w:ind w:left="425" w:right="0" w:firstLine="0"/>
        <w:jc w:val="left"/>
        <w:rPr>
          <w:b/>
          <w:sz w:val="20"/>
        </w:rPr>
      </w:pPr>
      <w:r>
        <w:rPr>
          <w:b/>
          <w:color w:val="231F20"/>
          <w:sz w:val="20"/>
        </w:rPr>
        <w:t>Что</w:t>
      </w:r>
      <w:r>
        <w:rPr>
          <w:b/>
          <w:color w:val="231F20"/>
          <w:spacing w:val="-8"/>
          <w:sz w:val="20"/>
        </w:rPr>
        <w:t> </w:t>
      </w:r>
      <w:r>
        <w:rPr>
          <w:b/>
          <w:color w:val="231F20"/>
          <w:sz w:val="20"/>
        </w:rPr>
        <w:t>можно</w:t>
      </w:r>
      <w:r>
        <w:rPr>
          <w:b/>
          <w:color w:val="231F20"/>
          <w:spacing w:val="-8"/>
          <w:sz w:val="20"/>
        </w:rPr>
        <w:t> </w:t>
      </w:r>
      <w:r>
        <w:rPr>
          <w:b/>
          <w:color w:val="231F20"/>
          <w:sz w:val="20"/>
        </w:rPr>
        <w:t>сказать</w:t>
      </w:r>
      <w:r>
        <w:rPr>
          <w:b/>
          <w:color w:val="231F20"/>
          <w:spacing w:val="-7"/>
          <w:sz w:val="20"/>
        </w:rPr>
        <w:t> </w:t>
      </w:r>
      <w:r>
        <w:rPr>
          <w:b/>
          <w:color w:val="231F20"/>
          <w:spacing w:val="-2"/>
          <w:sz w:val="20"/>
        </w:rPr>
        <w:t>ребенку:</w:t>
      </w:r>
    </w:p>
    <w:p>
      <w:pPr>
        <w:pStyle w:val="BodyText"/>
        <w:ind w:left="425" w:right="140" w:firstLine="0"/>
        <w:jc w:val="left"/>
      </w:pPr>
      <w:r>
        <w:rPr>
          <w:color w:val="231F20"/>
          <w:spacing w:val="-2"/>
        </w:rPr>
        <w:t>Объясни,</w:t>
      </w:r>
      <w:r>
        <w:rPr>
          <w:color w:val="231F20"/>
          <w:spacing w:val="-5"/>
        </w:rPr>
        <w:t> </w:t>
      </w:r>
      <w:r>
        <w:rPr>
          <w:color w:val="231F20"/>
          <w:spacing w:val="-2"/>
        </w:rPr>
        <w:t>пожалуйста,</w:t>
      </w:r>
      <w:r>
        <w:rPr>
          <w:color w:val="231F20"/>
          <w:spacing w:val="-5"/>
        </w:rPr>
        <w:t> </w:t>
      </w:r>
      <w:r>
        <w:rPr>
          <w:color w:val="231F20"/>
          <w:spacing w:val="-2"/>
        </w:rPr>
        <w:t>что</w:t>
      </w:r>
      <w:r>
        <w:rPr>
          <w:color w:val="231F20"/>
          <w:spacing w:val="-5"/>
        </w:rPr>
        <w:t> </w:t>
      </w:r>
      <w:r>
        <w:rPr>
          <w:color w:val="231F20"/>
          <w:spacing w:val="-2"/>
        </w:rPr>
        <w:t>произошло.</w:t>
      </w:r>
      <w:r>
        <w:rPr>
          <w:color w:val="231F20"/>
          <w:spacing w:val="-5"/>
        </w:rPr>
        <w:t> </w:t>
      </w:r>
      <w:r>
        <w:rPr>
          <w:color w:val="231F20"/>
          <w:spacing w:val="-2"/>
        </w:rPr>
        <w:t>Мне</w:t>
      </w:r>
      <w:r>
        <w:rPr>
          <w:color w:val="231F20"/>
          <w:spacing w:val="-5"/>
        </w:rPr>
        <w:t> </w:t>
      </w:r>
      <w:r>
        <w:rPr>
          <w:color w:val="231F20"/>
          <w:spacing w:val="-2"/>
        </w:rPr>
        <w:t>необходимо</w:t>
      </w:r>
      <w:r>
        <w:rPr>
          <w:color w:val="231F20"/>
          <w:spacing w:val="-5"/>
        </w:rPr>
        <w:t> </w:t>
      </w:r>
      <w:r>
        <w:rPr>
          <w:color w:val="231F20"/>
          <w:spacing w:val="-2"/>
        </w:rPr>
        <w:t>понять</w:t>
      </w:r>
      <w:r>
        <w:rPr>
          <w:color w:val="231F20"/>
          <w:spacing w:val="-5"/>
        </w:rPr>
        <w:t> </w:t>
      </w:r>
      <w:r>
        <w:rPr>
          <w:color w:val="231F20"/>
          <w:spacing w:val="-2"/>
        </w:rPr>
        <w:t>твою</w:t>
      </w:r>
      <w:r>
        <w:rPr>
          <w:color w:val="231F20"/>
          <w:spacing w:val="-5"/>
        </w:rPr>
        <w:t> </w:t>
      </w:r>
      <w:r>
        <w:rPr>
          <w:color w:val="231F20"/>
          <w:spacing w:val="-2"/>
        </w:rPr>
        <w:t>точку</w:t>
      </w:r>
      <w:r>
        <w:rPr>
          <w:color w:val="231F20"/>
          <w:spacing w:val="-5"/>
        </w:rPr>
        <w:t> </w:t>
      </w:r>
      <w:r>
        <w:rPr>
          <w:color w:val="231F20"/>
          <w:spacing w:val="-2"/>
        </w:rPr>
        <w:t>зрения. </w:t>
      </w:r>
      <w:r>
        <w:rPr>
          <w:color w:val="231F20"/>
        </w:rPr>
        <w:t>Я понимаю, что тебя это возмущает/обижает/сердит, но при этом нельзя…</w:t>
      </w:r>
    </w:p>
    <w:p>
      <w:pPr>
        <w:pStyle w:val="BodyText"/>
        <w:ind w:left="425" w:right="0" w:firstLine="0"/>
        <w:jc w:val="left"/>
      </w:pPr>
      <w:r>
        <w:rPr>
          <w:color w:val="231F20"/>
        </w:rPr>
        <w:t>Я</w:t>
      </w:r>
      <w:r>
        <w:rPr>
          <w:color w:val="231F20"/>
          <w:spacing w:val="-5"/>
        </w:rPr>
        <w:t> </w:t>
      </w:r>
      <w:r>
        <w:rPr>
          <w:color w:val="231F20"/>
        </w:rPr>
        <w:t>понимаю,</w:t>
      </w:r>
      <w:r>
        <w:rPr>
          <w:color w:val="231F20"/>
          <w:spacing w:val="-2"/>
        </w:rPr>
        <w:t> </w:t>
      </w:r>
      <w:r>
        <w:rPr>
          <w:color w:val="231F20"/>
        </w:rPr>
        <w:t>как</w:t>
      </w:r>
      <w:r>
        <w:rPr>
          <w:color w:val="231F20"/>
          <w:spacing w:val="-2"/>
        </w:rPr>
        <w:t> </w:t>
      </w:r>
      <w:r>
        <w:rPr>
          <w:color w:val="231F20"/>
        </w:rPr>
        <w:t>это</w:t>
      </w:r>
      <w:r>
        <w:rPr>
          <w:color w:val="231F20"/>
          <w:spacing w:val="-3"/>
        </w:rPr>
        <w:t> </w:t>
      </w:r>
      <w:r>
        <w:rPr>
          <w:color w:val="231F20"/>
        </w:rPr>
        <w:t>важно</w:t>
      </w:r>
      <w:r>
        <w:rPr>
          <w:color w:val="231F20"/>
          <w:spacing w:val="-2"/>
        </w:rPr>
        <w:t> </w:t>
      </w:r>
      <w:r>
        <w:rPr>
          <w:color w:val="231F20"/>
        </w:rPr>
        <w:t>для</w:t>
      </w:r>
      <w:r>
        <w:rPr>
          <w:color w:val="231F20"/>
          <w:spacing w:val="-2"/>
        </w:rPr>
        <w:t> </w:t>
      </w:r>
      <w:r>
        <w:rPr>
          <w:color w:val="231F20"/>
        </w:rPr>
        <w:t>тебя.</w:t>
      </w:r>
      <w:r>
        <w:rPr>
          <w:color w:val="231F20"/>
          <w:spacing w:val="45"/>
        </w:rPr>
        <w:t> </w:t>
      </w:r>
      <w:r>
        <w:rPr>
          <w:color w:val="231F20"/>
        </w:rPr>
        <w:t>Но</w:t>
      </w:r>
      <w:r>
        <w:rPr>
          <w:color w:val="231F20"/>
          <w:spacing w:val="-2"/>
        </w:rPr>
        <w:t> </w:t>
      </w:r>
      <w:r>
        <w:rPr>
          <w:color w:val="231F20"/>
        </w:rPr>
        <w:t>при</w:t>
      </w:r>
      <w:r>
        <w:rPr>
          <w:color w:val="231F20"/>
          <w:spacing w:val="-3"/>
        </w:rPr>
        <w:t> </w:t>
      </w:r>
      <w:r>
        <w:rPr>
          <w:color w:val="231F20"/>
        </w:rPr>
        <w:t>этом</w:t>
      </w:r>
      <w:r>
        <w:rPr>
          <w:color w:val="231F20"/>
          <w:spacing w:val="-2"/>
        </w:rPr>
        <w:t> </w:t>
      </w:r>
      <w:r>
        <w:rPr>
          <w:color w:val="231F20"/>
        </w:rPr>
        <w:t>еще</w:t>
      </w:r>
      <w:r>
        <w:rPr>
          <w:color w:val="231F20"/>
          <w:spacing w:val="-2"/>
        </w:rPr>
        <w:t> необходимо….</w:t>
      </w:r>
    </w:p>
    <w:p>
      <w:pPr>
        <w:spacing w:before="116"/>
        <w:ind w:left="425" w:right="0" w:firstLine="0"/>
        <w:jc w:val="left"/>
        <w:rPr>
          <w:b/>
          <w:sz w:val="20"/>
        </w:rPr>
      </w:pPr>
      <w:r>
        <w:rPr>
          <w:b/>
          <w:color w:val="231F20"/>
          <w:sz w:val="20"/>
        </w:rPr>
        <w:t>Что</w:t>
      </w:r>
      <w:r>
        <w:rPr>
          <w:b/>
          <w:color w:val="231F20"/>
          <w:spacing w:val="-8"/>
          <w:sz w:val="20"/>
        </w:rPr>
        <w:t> </w:t>
      </w:r>
      <w:r>
        <w:rPr>
          <w:b/>
          <w:color w:val="231F20"/>
          <w:sz w:val="20"/>
        </w:rPr>
        <w:t>можно</w:t>
      </w:r>
      <w:r>
        <w:rPr>
          <w:b/>
          <w:color w:val="231F20"/>
          <w:spacing w:val="-8"/>
          <w:sz w:val="20"/>
        </w:rPr>
        <w:t> </w:t>
      </w:r>
      <w:r>
        <w:rPr>
          <w:b/>
          <w:color w:val="231F20"/>
          <w:sz w:val="20"/>
        </w:rPr>
        <w:t>сказать</w:t>
      </w:r>
      <w:r>
        <w:rPr>
          <w:b/>
          <w:color w:val="231F20"/>
          <w:spacing w:val="-7"/>
          <w:sz w:val="20"/>
        </w:rPr>
        <w:t> </w:t>
      </w:r>
      <w:r>
        <w:rPr>
          <w:b/>
          <w:color w:val="231F20"/>
          <w:spacing w:val="-2"/>
          <w:sz w:val="20"/>
        </w:rPr>
        <w:t>родителям:</w:t>
      </w:r>
    </w:p>
    <w:p>
      <w:pPr>
        <w:pStyle w:val="BodyText"/>
        <w:spacing w:line="242" w:lineRule="auto" w:before="2"/>
        <w:ind w:right="0"/>
        <w:jc w:val="left"/>
      </w:pPr>
      <w:r>
        <w:rPr>
          <w:color w:val="231F20"/>
        </w:rPr>
        <w:t>Как</w:t>
      </w:r>
      <w:r>
        <w:rPr>
          <w:color w:val="231F20"/>
          <w:spacing w:val="-1"/>
        </w:rPr>
        <w:t> </w:t>
      </w:r>
      <w:r>
        <w:rPr>
          <w:color w:val="231F20"/>
        </w:rPr>
        <w:t>вы</w:t>
      </w:r>
      <w:r>
        <w:rPr>
          <w:color w:val="231F20"/>
          <w:spacing w:val="-1"/>
        </w:rPr>
        <w:t> </w:t>
      </w:r>
      <w:r>
        <w:rPr>
          <w:color w:val="231F20"/>
        </w:rPr>
        <w:t>полагаете,</w:t>
      </w:r>
      <w:r>
        <w:rPr>
          <w:color w:val="231F20"/>
          <w:spacing w:val="-1"/>
        </w:rPr>
        <w:t> </w:t>
      </w:r>
      <w:r>
        <w:rPr>
          <w:color w:val="231F20"/>
        </w:rPr>
        <w:t>почему</w:t>
      </w:r>
      <w:r>
        <w:rPr>
          <w:color w:val="231F20"/>
          <w:spacing w:val="-1"/>
        </w:rPr>
        <w:t> </w:t>
      </w:r>
      <w:r>
        <w:rPr>
          <w:color w:val="231F20"/>
        </w:rPr>
        <w:t>ваш</w:t>
      </w:r>
      <w:r>
        <w:rPr>
          <w:color w:val="231F20"/>
          <w:spacing w:val="-1"/>
        </w:rPr>
        <w:t> </w:t>
      </w:r>
      <w:r>
        <w:rPr>
          <w:color w:val="231F20"/>
        </w:rPr>
        <w:t>ребенок</w:t>
      </w:r>
      <w:r>
        <w:rPr>
          <w:color w:val="231F20"/>
          <w:spacing w:val="-1"/>
        </w:rPr>
        <w:t> </w:t>
      </w:r>
      <w:r>
        <w:rPr>
          <w:color w:val="231F20"/>
        </w:rPr>
        <w:t>поступает</w:t>
      </w:r>
      <w:r>
        <w:rPr>
          <w:color w:val="231F20"/>
          <w:spacing w:val="-1"/>
        </w:rPr>
        <w:t> </w:t>
      </w:r>
      <w:r>
        <w:rPr>
          <w:color w:val="231F20"/>
        </w:rPr>
        <w:t>таким</w:t>
      </w:r>
      <w:r>
        <w:rPr>
          <w:color w:val="231F20"/>
          <w:spacing w:val="-1"/>
        </w:rPr>
        <w:t> </w:t>
      </w:r>
      <w:r>
        <w:rPr>
          <w:color w:val="231F20"/>
        </w:rPr>
        <w:t>образом?</w:t>
      </w:r>
      <w:r>
        <w:rPr>
          <w:color w:val="231F20"/>
          <w:spacing w:val="-1"/>
        </w:rPr>
        <w:t> </w:t>
      </w:r>
      <w:r>
        <w:rPr>
          <w:color w:val="231F20"/>
        </w:rPr>
        <w:t>Нам</w:t>
      </w:r>
      <w:r>
        <w:rPr>
          <w:color w:val="231F20"/>
          <w:spacing w:val="-1"/>
        </w:rPr>
        <w:t> </w:t>
      </w:r>
      <w:r>
        <w:rPr>
          <w:color w:val="231F20"/>
        </w:rPr>
        <w:t>с</w:t>
      </w:r>
      <w:r>
        <w:rPr>
          <w:color w:val="231F20"/>
          <w:spacing w:val="-1"/>
        </w:rPr>
        <w:t> </w:t>
      </w:r>
      <w:r>
        <w:rPr>
          <w:color w:val="231F20"/>
        </w:rPr>
        <w:t>вами</w:t>
      </w:r>
      <w:r>
        <w:rPr>
          <w:color w:val="231F20"/>
          <w:spacing w:val="-1"/>
        </w:rPr>
        <w:t> </w:t>
      </w:r>
      <w:r>
        <w:rPr>
          <w:color w:val="231F20"/>
        </w:rPr>
        <w:t>не- обходимо в этом разобраться, чтобы реагировать наилучшим для него образом</w:t>
      </w:r>
    </w:p>
    <w:p>
      <w:pPr>
        <w:pStyle w:val="BodyText"/>
        <w:spacing w:line="242" w:lineRule="auto"/>
        <w:ind w:right="0"/>
        <w:jc w:val="left"/>
      </w:pPr>
      <w:r>
        <w:rPr>
          <w:color w:val="231F20"/>
        </w:rPr>
        <w:t>Я понимаю, что для вас и вашего ребенка это действительно важно. Но вместе с тем очень важно, чтобы…</w:t>
      </w:r>
    </w:p>
    <w:p>
      <w:pPr>
        <w:pStyle w:val="BodyText"/>
        <w:spacing w:line="229" w:lineRule="exact"/>
        <w:ind w:left="425" w:right="0" w:firstLine="0"/>
        <w:jc w:val="left"/>
      </w:pPr>
      <w:r>
        <w:rPr>
          <w:color w:val="231F20"/>
        </w:rPr>
        <w:t>Давайте</w:t>
      </w:r>
      <w:r>
        <w:rPr>
          <w:color w:val="231F20"/>
          <w:spacing w:val="-8"/>
        </w:rPr>
        <w:t> </w:t>
      </w:r>
      <w:r>
        <w:rPr>
          <w:color w:val="231F20"/>
        </w:rPr>
        <w:t>попробуем</w:t>
      </w:r>
      <w:r>
        <w:rPr>
          <w:color w:val="231F20"/>
          <w:spacing w:val="-5"/>
        </w:rPr>
        <w:t> </w:t>
      </w:r>
      <w:r>
        <w:rPr>
          <w:color w:val="231F20"/>
        </w:rPr>
        <w:t>вместе</w:t>
      </w:r>
      <w:r>
        <w:rPr>
          <w:color w:val="231F20"/>
          <w:spacing w:val="-6"/>
        </w:rPr>
        <w:t> </w:t>
      </w:r>
      <w:r>
        <w:rPr>
          <w:color w:val="231F20"/>
        </w:rPr>
        <w:t>найти</w:t>
      </w:r>
      <w:r>
        <w:rPr>
          <w:color w:val="231F20"/>
          <w:spacing w:val="-6"/>
        </w:rPr>
        <w:t> </w:t>
      </w:r>
      <w:r>
        <w:rPr>
          <w:color w:val="231F20"/>
        </w:rPr>
        <w:t>выход</w:t>
      </w:r>
      <w:r>
        <w:rPr>
          <w:color w:val="231F20"/>
          <w:spacing w:val="-6"/>
        </w:rPr>
        <w:t> </w:t>
      </w:r>
      <w:r>
        <w:rPr>
          <w:color w:val="231F20"/>
        </w:rPr>
        <w:t>из</w:t>
      </w:r>
      <w:r>
        <w:rPr>
          <w:color w:val="231F20"/>
          <w:spacing w:val="-5"/>
        </w:rPr>
        <w:t> </w:t>
      </w:r>
      <w:r>
        <w:rPr>
          <w:color w:val="231F20"/>
        </w:rPr>
        <w:t>этой</w:t>
      </w:r>
      <w:r>
        <w:rPr>
          <w:color w:val="231F20"/>
          <w:spacing w:val="-6"/>
        </w:rPr>
        <w:t> </w:t>
      </w:r>
      <w:r>
        <w:rPr>
          <w:color w:val="231F20"/>
          <w:spacing w:val="-2"/>
        </w:rPr>
        <w:t>ситуации</w:t>
      </w:r>
    </w:p>
    <w:p>
      <w:pPr>
        <w:spacing w:before="113"/>
        <w:ind w:left="425" w:right="0" w:firstLine="0"/>
        <w:jc w:val="left"/>
        <w:rPr>
          <w:b/>
          <w:sz w:val="18"/>
        </w:rPr>
      </w:pPr>
      <w:r>
        <w:rPr>
          <w:b/>
          <w:color w:val="231F20"/>
          <w:spacing w:val="-2"/>
          <w:sz w:val="18"/>
        </w:rPr>
        <w:t>Литература</w:t>
      </w:r>
    </w:p>
    <w:p>
      <w:pPr>
        <w:pStyle w:val="ListParagraph"/>
        <w:numPr>
          <w:ilvl w:val="0"/>
          <w:numId w:val="81"/>
        </w:numPr>
        <w:tabs>
          <w:tab w:pos="708" w:val="left" w:leader="none"/>
        </w:tabs>
        <w:spacing w:line="244" w:lineRule="auto" w:before="5" w:after="0"/>
        <w:ind w:left="708" w:right="423" w:hanging="284"/>
        <w:jc w:val="left"/>
        <w:rPr>
          <w:sz w:val="18"/>
        </w:rPr>
      </w:pPr>
      <w:r>
        <w:rPr>
          <w:color w:val="231F20"/>
          <w:sz w:val="18"/>
        </w:rPr>
        <w:t>Баранова</w:t>
      </w:r>
      <w:r>
        <w:rPr>
          <w:color w:val="231F20"/>
          <w:spacing w:val="-12"/>
          <w:sz w:val="18"/>
        </w:rPr>
        <w:t> </w:t>
      </w:r>
      <w:r>
        <w:rPr>
          <w:color w:val="231F20"/>
          <w:sz w:val="18"/>
        </w:rPr>
        <w:t>Е.М.</w:t>
      </w:r>
      <w:r>
        <w:rPr>
          <w:color w:val="231F20"/>
          <w:spacing w:val="-11"/>
          <w:sz w:val="18"/>
        </w:rPr>
        <w:t> </w:t>
      </w:r>
      <w:r>
        <w:rPr>
          <w:color w:val="231F20"/>
          <w:sz w:val="18"/>
        </w:rPr>
        <w:t>Оценка</w:t>
      </w:r>
      <w:r>
        <w:rPr>
          <w:color w:val="231F20"/>
          <w:spacing w:val="-11"/>
          <w:sz w:val="18"/>
        </w:rPr>
        <w:t> </w:t>
      </w:r>
      <w:r>
        <w:rPr>
          <w:color w:val="231F20"/>
          <w:sz w:val="18"/>
        </w:rPr>
        <w:t>эффективности</w:t>
      </w:r>
      <w:r>
        <w:rPr>
          <w:color w:val="231F20"/>
          <w:spacing w:val="-11"/>
          <w:sz w:val="18"/>
        </w:rPr>
        <w:t> </w:t>
      </w:r>
      <w:r>
        <w:rPr>
          <w:color w:val="231F20"/>
          <w:sz w:val="18"/>
        </w:rPr>
        <w:t>использования</w:t>
      </w:r>
      <w:r>
        <w:rPr>
          <w:color w:val="231F20"/>
          <w:spacing w:val="-12"/>
          <w:sz w:val="18"/>
        </w:rPr>
        <w:t> </w:t>
      </w:r>
      <w:r>
        <w:rPr>
          <w:color w:val="231F20"/>
          <w:sz w:val="18"/>
        </w:rPr>
        <w:t>активных</w:t>
      </w:r>
      <w:r>
        <w:rPr>
          <w:color w:val="231F20"/>
          <w:spacing w:val="-11"/>
          <w:sz w:val="18"/>
        </w:rPr>
        <w:t> </w:t>
      </w:r>
      <w:r>
        <w:rPr>
          <w:color w:val="231F20"/>
          <w:sz w:val="18"/>
        </w:rPr>
        <w:t>методов</w:t>
      </w:r>
      <w:r>
        <w:rPr>
          <w:color w:val="231F20"/>
          <w:spacing w:val="-11"/>
          <w:sz w:val="18"/>
        </w:rPr>
        <w:t> </w:t>
      </w:r>
      <w:r>
        <w:rPr>
          <w:color w:val="231F20"/>
          <w:sz w:val="18"/>
        </w:rPr>
        <w:t>обучения</w:t>
      </w:r>
      <w:r>
        <w:rPr>
          <w:color w:val="231F20"/>
          <w:spacing w:val="-11"/>
          <w:sz w:val="18"/>
        </w:rPr>
        <w:t> </w:t>
      </w:r>
      <w:r>
        <w:rPr>
          <w:color w:val="231F20"/>
          <w:sz w:val="18"/>
        </w:rPr>
        <w:t>// Вестник</w:t>
      </w:r>
      <w:r>
        <w:rPr>
          <w:color w:val="231F20"/>
          <w:spacing w:val="-1"/>
          <w:sz w:val="18"/>
        </w:rPr>
        <w:t> </w:t>
      </w:r>
      <w:r>
        <w:rPr>
          <w:color w:val="231F20"/>
          <w:sz w:val="18"/>
        </w:rPr>
        <w:t>Моск.</w:t>
      </w:r>
      <w:r>
        <w:rPr>
          <w:color w:val="231F20"/>
          <w:spacing w:val="-1"/>
          <w:sz w:val="18"/>
        </w:rPr>
        <w:t> </w:t>
      </w:r>
      <w:r>
        <w:rPr>
          <w:color w:val="231F20"/>
          <w:sz w:val="18"/>
        </w:rPr>
        <w:t>ун-та,</w:t>
      </w:r>
      <w:r>
        <w:rPr>
          <w:color w:val="231F20"/>
          <w:spacing w:val="-1"/>
          <w:sz w:val="18"/>
        </w:rPr>
        <w:t> </w:t>
      </w:r>
      <w:r>
        <w:rPr>
          <w:color w:val="231F20"/>
          <w:sz w:val="18"/>
        </w:rPr>
        <w:t>сер.</w:t>
      </w:r>
      <w:r>
        <w:rPr>
          <w:color w:val="231F20"/>
          <w:spacing w:val="-1"/>
          <w:sz w:val="18"/>
        </w:rPr>
        <w:t> </w:t>
      </w:r>
      <w:r>
        <w:rPr>
          <w:color w:val="231F20"/>
          <w:sz w:val="18"/>
        </w:rPr>
        <w:t>20:</w:t>
      </w:r>
      <w:r>
        <w:rPr>
          <w:color w:val="231F20"/>
          <w:spacing w:val="-1"/>
          <w:sz w:val="18"/>
        </w:rPr>
        <w:t> </w:t>
      </w:r>
      <w:r>
        <w:rPr>
          <w:color w:val="231F20"/>
          <w:sz w:val="18"/>
        </w:rPr>
        <w:t>Педагогическое</w:t>
      </w:r>
      <w:r>
        <w:rPr>
          <w:color w:val="231F20"/>
          <w:spacing w:val="-1"/>
          <w:sz w:val="18"/>
        </w:rPr>
        <w:t> </w:t>
      </w:r>
      <w:r>
        <w:rPr>
          <w:color w:val="231F20"/>
          <w:sz w:val="18"/>
        </w:rPr>
        <w:t>образование.</w:t>
      </w:r>
      <w:r>
        <w:rPr>
          <w:color w:val="231F20"/>
          <w:spacing w:val="-1"/>
          <w:sz w:val="18"/>
        </w:rPr>
        <w:t> </w:t>
      </w:r>
      <w:r>
        <w:rPr>
          <w:color w:val="231F20"/>
          <w:sz w:val="18"/>
        </w:rPr>
        <w:t>2016.</w:t>
      </w:r>
      <w:r>
        <w:rPr>
          <w:color w:val="231F20"/>
          <w:spacing w:val="-1"/>
          <w:sz w:val="18"/>
        </w:rPr>
        <w:t> </w:t>
      </w:r>
      <w:r>
        <w:rPr>
          <w:color w:val="231F20"/>
          <w:sz w:val="18"/>
        </w:rPr>
        <w:t>–</w:t>
      </w:r>
      <w:r>
        <w:rPr>
          <w:color w:val="231F20"/>
          <w:spacing w:val="-1"/>
          <w:sz w:val="18"/>
        </w:rPr>
        <w:t> </w:t>
      </w:r>
      <w:r>
        <w:rPr>
          <w:color w:val="231F20"/>
          <w:sz w:val="18"/>
        </w:rPr>
        <w:t>№4.</w:t>
      </w:r>
      <w:r>
        <w:rPr>
          <w:color w:val="231F20"/>
          <w:spacing w:val="-1"/>
          <w:sz w:val="18"/>
        </w:rPr>
        <w:t> </w:t>
      </w:r>
      <w:r>
        <w:rPr>
          <w:color w:val="231F20"/>
          <w:sz w:val="18"/>
        </w:rPr>
        <w:t>–</w:t>
      </w:r>
      <w:r>
        <w:rPr>
          <w:color w:val="231F20"/>
          <w:spacing w:val="-1"/>
          <w:sz w:val="18"/>
        </w:rPr>
        <w:t> </w:t>
      </w:r>
      <w:r>
        <w:rPr>
          <w:color w:val="231F20"/>
          <w:sz w:val="18"/>
        </w:rPr>
        <w:t>С.</w:t>
      </w:r>
      <w:r>
        <w:rPr>
          <w:color w:val="231F20"/>
          <w:spacing w:val="-1"/>
          <w:sz w:val="18"/>
        </w:rPr>
        <w:t> </w:t>
      </w:r>
      <w:r>
        <w:rPr>
          <w:color w:val="231F20"/>
          <w:sz w:val="18"/>
        </w:rPr>
        <w:t>73–84.</w:t>
      </w:r>
    </w:p>
    <w:p>
      <w:pPr>
        <w:pStyle w:val="ListParagraph"/>
        <w:numPr>
          <w:ilvl w:val="0"/>
          <w:numId w:val="81"/>
        </w:numPr>
        <w:tabs>
          <w:tab w:pos="708" w:val="left" w:leader="none"/>
        </w:tabs>
        <w:spacing w:line="244" w:lineRule="auto" w:before="2" w:after="0"/>
        <w:ind w:left="708" w:right="423" w:hanging="284"/>
        <w:jc w:val="left"/>
        <w:rPr>
          <w:sz w:val="18"/>
        </w:rPr>
      </w:pPr>
      <w:r>
        <w:rPr>
          <w:color w:val="231F20"/>
          <w:sz w:val="18"/>
        </w:rPr>
        <w:t>Величко В.В., Карпиевич Д.В., Карпиевич Е.Ф. и др. Инновационные методы об- учения</w:t>
      </w:r>
      <w:r>
        <w:rPr>
          <w:color w:val="231F20"/>
          <w:spacing w:val="-9"/>
          <w:sz w:val="18"/>
        </w:rPr>
        <w:t> </w:t>
      </w:r>
      <w:r>
        <w:rPr>
          <w:color w:val="231F20"/>
          <w:sz w:val="18"/>
        </w:rPr>
        <w:t>в</w:t>
      </w:r>
      <w:r>
        <w:rPr>
          <w:color w:val="231F20"/>
          <w:spacing w:val="-9"/>
          <w:sz w:val="18"/>
        </w:rPr>
        <w:t> </w:t>
      </w:r>
      <w:r>
        <w:rPr>
          <w:color w:val="231F20"/>
          <w:sz w:val="18"/>
        </w:rPr>
        <w:t>гражданском</w:t>
      </w:r>
      <w:r>
        <w:rPr>
          <w:color w:val="231F20"/>
          <w:spacing w:val="-9"/>
          <w:sz w:val="18"/>
        </w:rPr>
        <w:t> </w:t>
      </w:r>
      <w:r>
        <w:rPr>
          <w:color w:val="231F20"/>
          <w:sz w:val="18"/>
        </w:rPr>
        <w:t>образовании.</w:t>
      </w:r>
      <w:r>
        <w:rPr>
          <w:color w:val="231F20"/>
          <w:spacing w:val="-9"/>
          <w:sz w:val="18"/>
        </w:rPr>
        <w:t> </w:t>
      </w:r>
      <w:r>
        <w:rPr>
          <w:color w:val="231F20"/>
          <w:sz w:val="18"/>
        </w:rPr>
        <w:t>2-е</w:t>
      </w:r>
      <w:r>
        <w:rPr>
          <w:color w:val="231F20"/>
          <w:spacing w:val="-9"/>
          <w:sz w:val="18"/>
        </w:rPr>
        <w:t> </w:t>
      </w:r>
      <w:r>
        <w:rPr>
          <w:color w:val="231F20"/>
          <w:sz w:val="18"/>
        </w:rPr>
        <w:t>изд.,</w:t>
      </w:r>
      <w:r>
        <w:rPr>
          <w:color w:val="231F20"/>
          <w:spacing w:val="-9"/>
          <w:sz w:val="18"/>
        </w:rPr>
        <w:t> </w:t>
      </w:r>
      <w:r>
        <w:rPr>
          <w:color w:val="231F20"/>
          <w:sz w:val="18"/>
        </w:rPr>
        <w:t>доп.</w:t>
      </w:r>
      <w:r>
        <w:rPr>
          <w:color w:val="231F20"/>
          <w:spacing w:val="-9"/>
          <w:sz w:val="18"/>
        </w:rPr>
        <w:t> </w:t>
      </w:r>
      <w:r>
        <w:rPr>
          <w:color w:val="231F20"/>
          <w:sz w:val="18"/>
        </w:rPr>
        <w:t>–</w:t>
      </w:r>
      <w:r>
        <w:rPr>
          <w:color w:val="231F20"/>
          <w:spacing w:val="-9"/>
          <w:sz w:val="18"/>
        </w:rPr>
        <w:t> </w:t>
      </w:r>
      <w:r>
        <w:rPr>
          <w:color w:val="231F20"/>
          <w:sz w:val="18"/>
        </w:rPr>
        <w:t>Минск:</w:t>
      </w:r>
      <w:r>
        <w:rPr>
          <w:color w:val="231F20"/>
          <w:spacing w:val="-9"/>
          <w:sz w:val="18"/>
        </w:rPr>
        <w:t> </w:t>
      </w:r>
      <w:r>
        <w:rPr>
          <w:color w:val="231F20"/>
          <w:sz w:val="18"/>
        </w:rPr>
        <w:t>Медисонт,</w:t>
      </w:r>
      <w:r>
        <w:rPr>
          <w:color w:val="231F20"/>
          <w:spacing w:val="-9"/>
          <w:sz w:val="18"/>
        </w:rPr>
        <w:t> </w:t>
      </w:r>
      <w:r>
        <w:rPr>
          <w:color w:val="231F20"/>
          <w:sz w:val="18"/>
        </w:rPr>
        <w:t>2001.</w:t>
      </w:r>
      <w:r>
        <w:rPr>
          <w:color w:val="231F20"/>
          <w:spacing w:val="-9"/>
          <w:sz w:val="18"/>
        </w:rPr>
        <w:t> </w:t>
      </w:r>
      <w:r>
        <w:rPr>
          <w:color w:val="231F20"/>
          <w:sz w:val="18"/>
        </w:rPr>
        <w:t>–</w:t>
      </w:r>
      <w:r>
        <w:rPr>
          <w:color w:val="231F20"/>
          <w:spacing w:val="-9"/>
          <w:sz w:val="18"/>
        </w:rPr>
        <w:t> </w:t>
      </w:r>
      <w:r>
        <w:rPr>
          <w:color w:val="231F20"/>
          <w:sz w:val="18"/>
        </w:rPr>
        <w:t>166</w:t>
      </w:r>
      <w:r>
        <w:rPr>
          <w:color w:val="231F20"/>
          <w:spacing w:val="-9"/>
          <w:sz w:val="18"/>
        </w:rPr>
        <w:t> </w:t>
      </w:r>
      <w:r>
        <w:rPr>
          <w:color w:val="231F20"/>
          <w:sz w:val="18"/>
        </w:rPr>
        <w:t>с.</w:t>
      </w:r>
    </w:p>
    <w:p>
      <w:pPr>
        <w:pStyle w:val="ListParagraph"/>
        <w:numPr>
          <w:ilvl w:val="0"/>
          <w:numId w:val="81"/>
        </w:numPr>
        <w:tabs>
          <w:tab w:pos="708" w:val="left" w:leader="none"/>
        </w:tabs>
        <w:spacing w:line="244" w:lineRule="auto" w:before="2" w:after="0"/>
        <w:ind w:left="708" w:right="423" w:hanging="284"/>
        <w:jc w:val="left"/>
        <w:rPr>
          <w:sz w:val="18"/>
        </w:rPr>
      </w:pPr>
      <w:r>
        <w:rPr>
          <w:color w:val="231F20"/>
          <w:sz w:val="18"/>
        </w:rPr>
        <w:t>Истратова</w:t>
      </w:r>
      <w:r>
        <w:rPr>
          <w:color w:val="231F20"/>
          <w:spacing w:val="-2"/>
          <w:sz w:val="18"/>
        </w:rPr>
        <w:t> </w:t>
      </w:r>
      <w:r>
        <w:rPr>
          <w:color w:val="231F20"/>
          <w:sz w:val="18"/>
        </w:rPr>
        <w:t>О.Н.</w:t>
      </w:r>
      <w:r>
        <w:rPr>
          <w:color w:val="231F20"/>
          <w:spacing w:val="-2"/>
          <w:sz w:val="18"/>
        </w:rPr>
        <w:t> </w:t>
      </w:r>
      <w:r>
        <w:rPr>
          <w:color w:val="231F20"/>
          <w:sz w:val="18"/>
        </w:rPr>
        <w:t>Психология</w:t>
      </w:r>
      <w:r>
        <w:rPr>
          <w:color w:val="231F20"/>
          <w:spacing w:val="-2"/>
          <w:sz w:val="18"/>
        </w:rPr>
        <w:t> </w:t>
      </w:r>
      <w:r>
        <w:rPr>
          <w:color w:val="231F20"/>
          <w:sz w:val="18"/>
        </w:rPr>
        <w:t>эффективного</w:t>
      </w:r>
      <w:r>
        <w:rPr>
          <w:color w:val="231F20"/>
          <w:spacing w:val="-2"/>
          <w:sz w:val="18"/>
        </w:rPr>
        <w:t> </w:t>
      </w:r>
      <w:r>
        <w:rPr>
          <w:color w:val="231F20"/>
          <w:sz w:val="18"/>
        </w:rPr>
        <w:t>общения</w:t>
      </w:r>
      <w:r>
        <w:rPr>
          <w:color w:val="231F20"/>
          <w:spacing w:val="-2"/>
          <w:sz w:val="18"/>
        </w:rPr>
        <w:t> </w:t>
      </w:r>
      <w:r>
        <w:rPr>
          <w:color w:val="231F20"/>
          <w:sz w:val="18"/>
        </w:rPr>
        <w:t>и</w:t>
      </w:r>
      <w:r>
        <w:rPr>
          <w:color w:val="231F20"/>
          <w:spacing w:val="-2"/>
          <w:sz w:val="18"/>
        </w:rPr>
        <w:t> </w:t>
      </w:r>
      <w:r>
        <w:rPr>
          <w:color w:val="231F20"/>
          <w:sz w:val="18"/>
        </w:rPr>
        <w:t>группового</w:t>
      </w:r>
      <w:r>
        <w:rPr>
          <w:color w:val="231F20"/>
          <w:spacing w:val="-2"/>
          <w:sz w:val="18"/>
        </w:rPr>
        <w:t> </w:t>
      </w:r>
      <w:r>
        <w:rPr>
          <w:color w:val="231F20"/>
          <w:sz w:val="18"/>
        </w:rPr>
        <w:t>взаимодействия: учебное пособие. – Ростов н/Д: Изд-во ЮФУ, 2018. – 192 с.</w:t>
      </w:r>
    </w:p>
    <w:p>
      <w:pPr>
        <w:pStyle w:val="ListParagraph"/>
        <w:numPr>
          <w:ilvl w:val="0"/>
          <w:numId w:val="81"/>
        </w:numPr>
        <w:tabs>
          <w:tab w:pos="708" w:val="left" w:leader="none"/>
        </w:tabs>
        <w:spacing w:line="244" w:lineRule="auto" w:before="2" w:after="0"/>
        <w:ind w:left="708" w:right="423" w:hanging="284"/>
        <w:jc w:val="left"/>
        <w:rPr>
          <w:sz w:val="18"/>
        </w:rPr>
      </w:pPr>
      <w:r>
        <w:rPr>
          <w:color w:val="231F20"/>
          <w:sz w:val="18"/>
        </w:rPr>
        <w:t>Лебедева</w:t>
      </w:r>
      <w:r>
        <w:rPr>
          <w:color w:val="231F20"/>
          <w:spacing w:val="-10"/>
          <w:sz w:val="18"/>
        </w:rPr>
        <w:t> </w:t>
      </w:r>
      <w:r>
        <w:rPr>
          <w:color w:val="231F20"/>
          <w:sz w:val="18"/>
        </w:rPr>
        <w:t>Н.М.</w:t>
      </w:r>
      <w:r>
        <w:rPr>
          <w:color w:val="231F20"/>
          <w:spacing w:val="-10"/>
          <w:sz w:val="18"/>
        </w:rPr>
        <w:t> </w:t>
      </w:r>
      <w:r>
        <w:rPr>
          <w:color w:val="231F20"/>
          <w:sz w:val="18"/>
        </w:rPr>
        <w:t>Этнопсихология:</w:t>
      </w:r>
      <w:r>
        <w:rPr>
          <w:color w:val="231F20"/>
          <w:spacing w:val="-10"/>
          <w:sz w:val="18"/>
        </w:rPr>
        <w:t> </w:t>
      </w:r>
      <w:r>
        <w:rPr>
          <w:color w:val="231F20"/>
          <w:sz w:val="18"/>
        </w:rPr>
        <w:t>учебник</w:t>
      </w:r>
      <w:r>
        <w:rPr>
          <w:color w:val="231F20"/>
          <w:spacing w:val="-10"/>
          <w:sz w:val="18"/>
        </w:rPr>
        <w:t> </w:t>
      </w:r>
      <w:r>
        <w:rPr>
          <w:color w:val="231F20"/>
          <w:sz w:val="18"/>
        </w:rPr>
        <w:t>и</w:t>
      </w:r>
      <w:r>
        <w:rPr>
          <w:color w:val="231F20"/>
          <w:spacing w:val="-10"/>
          <w:sz w:val="18"/>
        </w:rPr>
        <w:t> </w:t>
      </w:r>
      <w:r>
        <w:rPr>
          <w:color w:val="231F20"/>
          <w:sz w:val="18"/>
        </w:rPr>
        <w:t>практикум</w:t>
      </w:r>
      <w:r>
        <w:rPr>
          <w:color w:val="231F20"/>
          <w:spacing w:val="-10"/>
          <w:sz w:val="18"/>
        </w:rPr>
        <w:t> </w:t>
      </w:r>
      <w:r>
        <w:rPr>
          <w:color w:val="231F20"/>
          <w:sz w:val="18"/>
        </w:rPr>
        <w:t>для</w:t>
      </w:r>
      <w:r>
        <w:rPr>
          <w:color w:val="231F20"/>
          <w:spacing w:val="-10"/>
          <w:sz w:val="18"/>
        </w:rPr>
        <w:t> </w:t>
      </w:r>
      <w:r>
        <w:rPr>
          <w:color w:val="231F20"/>
          <w:sz w:val="18"/>
        </w:rPr>
        <w:t>академического</w:t>
      </w:r>
      <w:r>
        <w:rPr>
          <w:color w:val="231F20"/>
          <w:spacing w:val="-10"/>
          <w:sz w:val="18"/>
        </w:rPr>
        <w:t> </w:t>
      </w:r>
      <w:r>
        <w:rPr>
          <w:color w:val="231F20"/>
          <w:sz w:val="18"/>
        </w:rPr>
        <w:t>бакалав- риата. – М.: Изд-во Юрайт, 2014. – 647 с.</w:t>
      </w:r>
    </w:p>
    <w:p>
      <w:pPr>
        <w:pStyle w:val="ListParagraph"/>
        <w:numPr>
          <w:ilvl w:val="0"/>
          <w:numId w:val="81"/>
        </w:numPr>
        <w:tabs>
          <w:tab w:pos="708" w:val="left" w:leader="none"/>
        </w:tabs>
        <w:spacing w:line="244" w:lineRule="auto" w:before="1" w:after="0"/>
        <w:ind w:left="708" w:right="423" w:hanging="284"/>
        <w:jc w:val="left"/>
        <w:rPr>
          <w:sz w:val="18"/>
        </w:rPr>
      </w:pPr>
      <w:r>
        <w:rPr>
          <w:color w:val="231F20"/>
          <w:sz w:val="18"/>
        </w:rPr>
        <w:t>Мацумото Д. Психология и культура. – СПб.: прайм-ЕВРОЗНАК, 2002. – С. 294– </w:t>
      </w:r>
      <w:r>
        <w:rPr>
          <w:color w:val="231F20"/>
          <w:spacing w:val="-4"/>
          <w:sz w:val="18"/>
        </w:rPr>
        <w:t>314.</w:t>
      </w:r>
    </w:p>
    <w:p>
      <w:pPr>
        <w:pStyle w:val="ListParagraph"/>
        <w:numPr>
          <w:ilvl w:val="0"/>
          <w:numId w:val="81"/>
        </w:numPr>
        <w:tabs>
          <w:tab w:pos="708" w:val="left" w:leader="none"/>
        </w:tabs>
        <w:spacing w:line="244" w:lineRule="auto" w:before="2" w:after="0"/>
        <w:ind w:left="708" w:right="423" w:hanging="284"/>
        <w:jc w:val="left"/>
        <w:rPr>
          <w:sz w:val="18"/>
        </w:rPr>
      </w:pPr>
      <w:r>
        <w:rPr>
          <w:color w:val="231F20"/>
          <w:sz w:val="18"/>
        </w:rPr>
        <w:t>Мид Дж. Г. Избранное. Сборник переводов. / Сост. и пер. с англ. В.Г. Николаев / Отв. ред. Д.В. Ефременко. – М.: ИНИОН РАН, 2009. – 290 с.</w:t>
      </w:r>
    </w:p>
    <w:p>
      <w:pPr>
        <w:pStyle w:val="ListParagraph"/>
        <w:numPr>
          <w:ilvl w:val="0"/>
          <w:numId w:val="81"/>
        </w:numPr>
        <w:tabs>
          <w:tab w:pos="708" w:val="left" w:leader="none"/>
        </w:tabs>
        <w:spacing w:line="242" w:lineRule="auto" w:before="0" w:after="0"/>
        <w:ind w:left="708" w:right="423" w:hanging="284"/>
        <w:jc w:val="left"/>
        <w:rPr>
          <w:sz w:val="18"/>
        </w:rPr>
      </w:pPr>
      <w:r>
        <w:rPr>
          <w:color w:val="231F20"/>
          <w:sz w:val="18"/>
        </w:rPr>
        <w:t>Основы</w:t>
      </w:r>
      <w:r>
        <w:rPr>
          <w:color w:val="231F20"/>
          <w:spacing w:val="40"/>
          <w:sz w:val="18"/>
        </w:rPr>
        <w:t> </w:t>
      </w:r>
      <w:r>
        <w:rPr>
          <w:color w:val="231F20"/>
          <w:sz w:val="18"/>
        </w:rPr>
        <w:t>эффективного</w:t>
      </w:r>
      <w:r>
        <w:rPr>
          <w:color w:val="231F20"/>
          <w:spacing w:val="40"/>
          <w:sz w:val="18"/>
        </w:rPr>
        <w:t> </w:t>
      </w:r>
      <w:r>
        <w:rPr>
          <w:color w:val="231F20"/>
          <w:sz w:val="18"/>
        </w:rPr>
        <w:t>делового</w:t>
      </w:r>
      <w:r>
        <w:rPr>
          <w:color w:val="231F20"/>
          <w:spacing w:val="40"/>
          <w:sz w:val="18"/>
        </w:rPr>
        <w:t> </w:t>
      </w:r>
      <w:r>
        <w:rPr>
          <w:color w:val="231F20"/>
          <w:sz w:val="18"/>
        </w:rPr>
        <w:t>общения,</w:t>
      </w:r>
      <w:r>
        <w:rPr>
          <w:color w:val="231F20"/>
          <w:spacing w:val="40"/>
          <w:sz w:val="18"/>
        </w:rPr>
        <w:t> </w:t>
      </w:r>
      <w:r>
        <w:rPr>
          <w:color w:val="231F20"/>
          <w:sz w:val="18"/>
        </w:rPr>
        <w:t>курс</w:t>
      </w:r>
      <w:r>
        <w:rPr>
          <w:color w:val="231F20"/>
          <w:spacing w:val="40"/>
          <w:sz w:val="18"/>
        </w:rPr>
        <w:t> </w:t>
      </w:r>
      <w:r>
        <w:rPr>
          <w:color w:val="231F20"/>
          <w:sz w:val="18"/>
        </w:rPr>
        <w:t>/</w:t>
      </w:r>
      <w:r>
        <w:rPr>
          <w:color w:val="231F20"/>
          <w:spacing w:val="40"/>
          <w:sz w:val="18"/>
        </w:rPr>
        <w:t> </w:t>
      </w:r>
      <w:r>
        <w:rPr>
          <w:color w:val="231F20"/>
          <w:sz w:val="18"/>
        </w:rPr>
        <w:t>Открытое</w:t>
      </w:r>
      <w:r>
        <w:rPr>
          <w:color w:val="231F20"/>
          <w:spacing w:val="40"/>
          <w:sz w:val="18"/>
        </w:rPr>
        <w:t> </w:t>
      </w:r>
      <w:r>
        <w:rPr>
          <w:color w:val="231F20"/>
          <w:sz w:val="18"/>
        </w:rPr>
        <w:t>образование.</w:t>
      </w:r>
      <w:r>
        <w:rPr>
          <w:color w:val="231F20"/>
          <w:spacing w:val="40"/>
          <w:sz w:val="18"/>
        </w:rPr>
        <w:t> </w:t>
      </w:r>
      <w:r>
        <w:rPr>
          <w:color w:val="231F20"/>
          <w:sz w:val="18"/>
        </w:rPr>
        <w:t>URL: </w:t>
      </w:r>
      <w:hyperlink r:id="rId88">
        <w:r>
          <w:rPr>
            <w:color w:val="2255A6"/>
            <w:sz w:val="18"/>
            <w:u w:val="single" w:color="2255A6"/>
          </w:rPr>
          <w:t>https://openedu.ru/course/spbu/DEL_OBS</w:t>
        </w:r>
      </w:hyperlink>
      <w:r>
        <w:rPr>
          <w:color w:val="2255A6"/>
          <w:sz w:val="18"/>
        </w:rPr>
        <w:t> </w:t>
      </w:r>
      <w:r>
        <w:rPr>
          <w:color w:val="231F20"/>
          <w:sz w:val="18"/>
        </w:rPr>
        <w:t>(дата доступа: 01.09.2022).</w:t>
      </w:r>
    </w:p>
    <w:p>
      <w:pPr>
        <w:pStyle w:val="ListParagraph"/>
        <w:numPr>
          <w:ilvl w:val="0"/>
          <w:numId w:val="81"/>
        </w:numPr>
        <w:tabs>
          <w:tab w:pos="708" w:val="left" w:leader="none"/>
        </w:tabs>
        <w:spacing w:line="242" w:lineRule="auto" w:before="2" w:after="0"/>
        <w:ind w:left="708" w:right="423" w:hanging="284"/>
        <w:jc w:val="left"/>
        <w:rPr>
          <w:sz w:val="18"/>
        </w:rPr>
      </w:pPr>
      <w:r>
        <w:rPr>
          <w:color w:val="231F20"/>
          <w:sz w:val="18"/>
        </w:rPr>
        <w:t>Петерсон К., Колб Д. Век живи – век учись: найдите стиль обучения, подходящий именно вам. – М.: Манн, Иванов и Фербер, 2018. – 220 с.</w:t>
      </w:r>
    </w:p>
    <w:p>
      <w:pPr>
        <w:pStyle w:val="ListParagraph"/>
        <w:numPr>
          <w:ilvl w:val="0"/>
          <w:numId w:val="81"/>
        </w:numPr>
        <w:tabs>
          <w:tab w:pos="708" w:val="left" w:leader="none"/>
        </w:tabs>
        <w:spacing w:line="240" w:lineRule="auto" w:before="2" w:after="0"/>
        <w:ind w:left="708" w:right="422" w:hanging="284"/>
        <w:jc w:val="left"/>
        <w:rPr>
          <w:sz w:val="18"/>
        </w:rPr>
      </w:pPr>
      <w:r>
        <w:rPr>
          <w:color w:val="231F20"/>
          <w:sz w:val="18"/>
        </w:rPr>
        <w:t>Психология коммуникации, курс / Открытое образование. URL: </w:t>
      </w:r>
      <w:hyperlink r:id="rId89">
        <w:r>
          <w:rPr>
            <w:color w:val="2255A6"/>
            <w:sz w:val="18"/>
            <w:u w:val="single" w:color="2255A6"/>
          </w:rPr>
          <w:t>https://openedu.ru/</w:t>
        </w:r>
      </w:hyperlink>
      <w:r>
        <w:rPr>
          <w:color w:val="2255A6"/>
          <w:sz w:val="18"/>
        </w:rPr>
        <w:t> </w:t>
      </w:r>
      <w:hyperlink r:id="rId89">
        <w:r>
          <w:rPr>
            <w:color w:val="2255A6"/>
            <w:sz w:val="18"/>
            <w:u w:val="single" w:color="2255A6"/>
          </w:rPr>
          <w:t>course/hse/PSYCOM</w:t>
        </w:r>
      </w:hyperlink>
      <w:r>
        <w:rPr>
          <w:color w:val="2255A6"/>
          <w:sz w:val="18"/>
        </w:rPr>
        <w:t> </w:t>
      </w:r>
      <w:r>
        <w:rPr>
          <w:color w:val="231F20"/>
          <w:sz w:val="18"/>
        </w:rPr>
        <w:t>(дата доступа: 01.09.2022)..</w:t>
      </w:r>
    </w:p>
    <w:p>
      <w:pPr>
        <w:pStyle w:val="ListParagraph"/>
        <w:spacing w:after="0" w:line="240" w:lineRule="auto"/>
        <w:jc w:val="left"/>
        <w:rPr>
          <w:sz w:val="18"/>
        </w:rPr>
        <w:sectPr>
          <w:pgSz w:w="8400" w:h="11910"/>
          <w:pgMar w:header="0" w:footer="542"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pStyle w:val="ListParagraph"/>
        <w:numPr>
          <w:ilvl w:val="0"/>
          <w:numId w:val="81"/>
        </w:numPr>
        <w:tabs>
          <w:tab w:pos="708" w:val="left" w:leader="none"/>
        </w:tabs>
        <w:spacing w:line="240" w:lineRule="auto" w:before="117" w:after="0"/>
        <w:ind w:left="708" w:right="423" w:hanging="284"/>
        <w:jc w:val="both"/>
        <w:rPr>
          <w:sz w:val="18"/>
        </w:rPr>
      </w:pPr>
      <w:r>
        <w:rPr>
          <w:color w:val="231F20"/>
          <w:sz w:val="18"/>
        </w:rPr>
        <w:t>Садохин А.П. Межкультурная коммуникация: Учебное пособие. – М.: Альфа-М, НИЦ ИНФРА-М, 2014. – 288 с.</w:t>
      </w:r>
    </w:p>
    <w:p>
      <w:pPr>
        <w:pStyle w:val="ListParagraph"/>
        <w:numPr>
          <w:ilvl w:val="0"/>
          <w:numId w:val="81"/>
        </w:numPr>
        <w:tabs>
          <w:tab w:pos="708" w:val="left" w:leader="none"/>
        </w:tabs>
        <w:spacing w:line="205" w:lineRule="exact" w:before="0" w:after="0"/>
        <w:ind w:left="708" w:right="0" w:hanging="283"/>
        <w:jc w:val="both"/>
        <w:rPr>
          <w:sz w:val="18"/>
        </w:rPr>
      </w:pPr>
      <w:r>
        <w:rPr>
          <w:color w:val="231F20"/>
          <w:sz w:val="18"/>
        </w:rPr>
        <w:t>Солдатова</w:t>
      </w:r>
      <w:r>
        <w:rPr>
          <w:color w:val="231F20"/>
          <w:spacing w:val="-13"/>
          <w:sz w:val="18"/>
        </w:rPr>
        <w:t> </w:t>
      </w:r>
      <w:r>
        <w:rPr>
          <w:color w:val="231F20"/>
          <w:sz w:val="18"/>
        </w:rPr>
        <w:t>Г.</w:t>
      </w:r>
      <w:r>
        <w:rPr>
          <w:color w:val="231F20"/>
          <w:spacing w:val="-11"/>
          <w:sz w:val="18"/>
        </w:rPr>
        <w:t> </w:t>
      </w:r>
      <w:r>
        <w:rPr>
          <w:color w:val="231F20"/>
          <w:sz w:val="18"/>
        </w:rPr>
        <w:t>У.</w:t>
      </w:r>
      <w:r>
        <w:rPr>
          <w:color w:val="231F20"/>
          <w:spacing w:val="-11"/>
          <w:sz w:val="18"/>
        </w:rPr>
        <w:t> </w:t>
      </w:r>
      <w:r>
        <w:rPr>
          <w:color w:val="231F20"/>
          <w:sz w:val="18"/>
        </w:rPr>
        <w:t>Психология</w:t>
      </w:r>
      <w:r>
        <w:rPr>
          <w:color w:val="231F20"/>
          <w:spacing w:val="-10"/>
          <w:sz w:val="18"/>
        </w:rPr>
        <w:t> </w:t>
      </w:r>
      <w:r>
        <w:rPr>
          <w:color w:val="231F20"/>
          <w:sz w:val="18"/>
        </w:rPr>
        <w:t>межэтнической</w:t>
      </w:r>
      <w:r>
        <w:rPr>
          <w:color w:val="231F20"/>
          <w:spacing w:val="-12"/>
          <w:sz w:val="18"/>
        </w:rPr>
        <w:t> </w:t>
      </w:r>
      <w:r>
        <w:rPr>
          <w:color w:val="231F20"/>
          <w:sz w:val="18"/>
        </w:rPr>
        <w:t>напряженности.</w:t>
      </w:r>
      <w:r>
        <w:rPr>
          <w:color w:val="231F20"/>
          <w:spacing w:val="-10"/>
          <w:sz w:val="18"/>
        </w:rPr>
        <w:t> </w:t>
      </w:r>
      <w:r>
        <w:rPr>
          <w:color w:val="231F20"/>
          <w:sz w:val="18"/>
        </w:rPr>
        <w:t>–</w:t>
      </w:r>
      <w:r>
        <w:rPr>
          <w:color w:val="231F20"/>
          <w:spacing w:val="-11"/>
          <w:sz w:val="18"/>
        </w:rPr>
        <w:t> </w:t>
      </w:r>
      <w:r>
        <w:rPr>
          <w:color w:val="231F20"/>
          <w:sz w:val="18"/>
        </w:rPr>
        <w:t>М.</w:t>
      </w:r>
      <w:r>
        <w:rPr>
          <w:color w:val="231F20"/>
          <w:spacing w:val="-10"/>
          <w:sz w:val="18"/>
        </w:rPr>
        <w:t> </w:t>
      </w:r>
      <w:r>
        <w:rPr>
          <w:color w:val="231F20"/>
          <w:spacing w:val="-2"/>
          <w:sz w:val="18"/>
        </w:rPr>
        <w:t>1998.</w:t>
      </w:r>
    </w:p>
    <w:p>
      <w:pPr>
        <w:pStyle w:val="ListParagraph"/>
        <w:numPr>
          <w:ilvl w:val="0"/>
          <w:numId w:val="81"/>
        </w:numPr>
        <w:tabs>
          <w:tab w:pos="708" w:val="left" w:leader="none"/>
        </w:tabs>
        <w:spacing w:line="240" w:lineRule="auto" w:before="0" w:after="0"/>
        <w:ind w:left="708" w:right="422" w:hanging="284"/>
        <w:jc w:val="both"/>
        <w:rPr>
          <w:sz w:val="18"/>
        </w:rPr>
      </w:pPr>
      <w:r>
        <w:rPr>
          <w:color w:val="231F20"/>
          <w:spacing w:val="-2"/>
          <w:sz w:val="18"/>
        </w:rPr>
        <w:t>Стефаненко Т.Г. Этнопсихология: практикум: учебное пособие для студентов вузов, </w:t>
      </w:r>
      <w:r>
        <w:rPr>
          <w:color w:val="231F20"/>
          <w:sz w:val="18"/>
        </w:rPr>
        <w:t>обучающихся по направлению и специальностям психологии. – М.: Аспект Пресс, 2008. – 208 с.</w:t>
      </w:r>
    </w:p>
    <w:p>
      <w:pPr>
        <w:pStyle w:val="ListParagraph"/>
        <w:numPr>
          <w:ilvl w:val="0"/>
          <w:numId w:val="81"/>
        </w:numPr>
        <w:tabs>
          <w:tab w:pos="708" w:val="left" w:leader="none"/>
        </w:tabs>
        <w:spacing w:line="240" w:lineRule="auto" w:before="0" w:after="0"/>
        <w:ind w:left="708" w:right="423" w:hanging="284"/>
        <w:jc w:val="both"/>
        <w:rPr>
          <w:sz w:val="18"/>
        </w:rPr>
      </w:pPr>
      <w:r>
        <w:rPr>
          <w:color w:val="231F20"/>
          <w:sz w:val="18"/>
        </w:rPr>
        <w:t>Стефаненко Т.Г. Этнопсихология: </w:t>
      </w:r>
      <w:r>
        <w:rPr>
          <w:sz w:val="18"/>
        </w:rPr>
        <w:t>Учебник для вузов / Т.Г. Стефаненко. 4-е изд., испр. и доп. – М.: Аспект Пресс, 2009. – 368 с.</w:t>
      </w:r>
    </w:p>
    <w:p>
      <w:pPr>
        <w:pStyle w:val="ListParagraph"/>
        <w:numPr>
          <w:ilvl w:val="0"/>
          <w:numId w:val="81"/>
        </w:numPr>
        <w:tabs>
          <w:tab w:pos="708" w:val="left" w:leader="none"/>
        </w:tabs>
        <w:spacing w:line="240" w:lineRule="auto" w:before="0" w:after="0"/>
        <w:ind w:left="708" w:right="423" w:hanging="284"/>
        <w:jc w:val="both"/>
        <w:rPr>
          <w:sz w:val="18"/>
        </w:rPr>
      </w:pPr>
      <w:r>
        <w:rPr>
          <w:color w:val="231F20"/>
          <w:sz w:val="18"/>
        </w:rPr>
        <w:t>Технологии психологического сопровождения интеграции мигрантов в образова- тельной среде: Учеб.-метод. пособие для педагогов-психологов. [Электронный ре- сурс] / Под ред. О.Е. Хухлаева, М.Ю. Чибисовой. М.: МГППУ. 2013. 273 с.</w:t>
      </w:r>
    </w:p>
    <w:p>
      <w:pPr>
        <w:pStyle w:val="ListParagraph"/>
        <w:numPr>
          <w:ilvl w:val="0"/>
          <w:numId w:val="81"/>
        </w:numPr>
        <w:tabs>
          <w:tab w:pos="708" w:val="left" w:leader="none"/>
        </w:tabs>
        <w:spacing w:line="240" w:lineRule="auto" w:before="0" w:after="0"/>
        <w:ind w:left="708" w:right="423" w:hanging="284"/>
        <w:jc w:val="both"/>
        <w:rPr>
          <w:sz w:val="18"/>
        </w:rPr>
      </w:pPr>
      <w:r>
        <w:rPr>
          <w:color w:val="231F20"/>
          <w:sz w:val="18"/>
        </w:rPr>
        <w:t>Чибисова М.Ю., Корнилова М.В. Тренинг межкультурной компетентности для педагогов</w:t>
      </w:r>
      <w:r>
        <w:rPr>
          <w:color w:val="231F20"/>
          <w:spacing w:val="-4"/>
          <w:sz w:val="18"/>
        </w:rPr>
        <w:t> </w:t>
      </w:r>
      <w:r>
        <w:rPr>
          <w:color w:val="231F20"/>
          <w:sz w:val="18"/>
        </w:rPr>
        <w:t>//</w:t>
      </w:r>
      <w:r>
        <w:rPr>
          <w:color w:val="231F20"/>
          <w:spacing w:val="-4"/>
          <w:sz w:val="18"/>
        </w:rPr>
        <w:t> </w:t>
      </w:r>
      <w:r>
        <w:rPr>
          <w:color w:val="231F20"/>
          <w:sz w:val="18"/>
        </w:rPr>
        <w:t>Межкультурная</w:t>
      </w:r>
      <w:r>
        <w:rPr>
          <w:color w:val="231F20"/>
          <w:spacing w:val="-4"/>
          <w:sz w:val="18"/>
        </w:rPr>
        <w:t> </w:t>
      </w:r>
      <w:r>
        <w:rPr>
          <w:color w:val="231F20"/>
          <w:sz w:val="18"/>
        </w:rPr>
        <w:t>компетентность</w:t>
      </w:r>
      <w:r>
        <w:rPr>
          <w:color w:val="231F20"/>
          <w:spacing w:val="-4"/>
          <w:sz w:val="18"/>
        </w:rPr>
        <w:t> </w:t>
      </w:r>
      <w:r>
        <w:rPr>
          <w:color w:val="231F20"/>
          <w:sz w:val="18"/>
        </w:rPr>
        <w:t>педагога</w:t>
      </w:r>
      <w:r>
        <w:rPr>
          <w:color w:val="231F20"/>
          <w:spacing w:val="-4"/>
          <w:sz w:val="18"/>
        </w:rPr>
        <w:t> </w:t>
      </w:r>
      <w:r>
        <w:rPr>
          <w:color w:val="231F20"/>
          <w:sz w:val="18"/>
        </w:rPr>
        <w:t>в</w:t>
      </w:r>
      <w:r>
        <w:rPr>
          <w:color w:val="231F20"/>
          <w:spacing w:val="-4"/>
          <w:sz w:val="18"/>
        </w:rPr>
        <w:t> </w:t>
      </w:r>
      <w:r>
        <w:rPr>
          <w:color w:val="231F20"/>
          <w:sz w:val="18"/>
        </w:rPr>
        <w:t>поликультурном</w:t>
      </w:r>
      <w:r>
        <w:rPr>
          <w:color w:val="231F20"/>
          <w:spacing w:val="-4"/>
          <w:sz w:val="18"/>
        </w:rPr>
        <w:t> </w:t>
      </w:r>
      <w:r>
        <w:rPr>
          <w:color w:val="231F20"/>
          <w:sz w:val="18"/>
        </w:rPr>
        <w:t>образова- тельном</w:t>
      </w:r>
      <w:r>
        <w:rPr>
          <w:color w:val="231F20"/>
          <w:spacing w:val="-4"/>
          <w:sz w:val="18"/>
        </w:rPr>
        <w:t> </w:t>
      </w:r>
      <w:r>
        <w:rPr>
          <w:color w:val="231F20"/>
          <w:sz w:val="18"/>
        </w:rPr>
        <w:t>пространстве.</w:t>
      </w:r>
      <w:r>
        <w:rPr>
          <w:color w:val="231F20"/>
          <w:spacing w:val="-4"/>
          <w:sz w:val="18"/>
        </w:rPr>
        <w:t> </w:t>
      </w:r>
      <w:r>
        <w:rPr>
          <w:color w:val="231F20"/>
          <w:sz w:val="18"/>
        </w:rPr>
        <w:t>Научно-методические</w:t>
      </w:r>
      <w:r>
        <w:rPr>
          <w:color w:val="231F20"/>
          <w:spacing w:val="-4"/>
          <w:sz w:val="18"/>
        </w:rPr>
        <w:t> </w:t>
      </w:r>
      <w:r>
        <w:rPr>
          <w:color w:val="231F20"/>
          <w:sz w:val="18"/>
        </w:rPr>
        <w:t>материалы.</w:t>
      </w:r>
      <w:r>
        <w:rPr>
          <w:color w:val="231F20"/>
          <w:spacing w:val="-4"/>
          <w:sz w:val="18"/>
        </w:rPr>
        <w:t> </w:t>
      </w:r>
      <w:r>
        <w:rPr>
          <w:color w:val="231F20"/>
          <w:sz w:val="18"/>
        </w:rPr>
        <w:t>/</w:t>
      </w:r>
      <w:r>
        <w:rPr>
          <w:color w:val="231F20"/>
          <w:spacing w:val="-4"/>
          <w:sz w:val="18"/>
        </w:rPr>
        <w:t> </w:t>
      </w:r>
      <w:r>
        <w:rPr>
          <w:color w:val="231F20"/>
          <w:sz w:val="18"/>
        </w:rPr>
        <w:t>Под</w:t>
      </w:r>
      <w:r>
        <w:rPr>
          <w:color w:val="231F20"/>
          <w:spacing w:val="-4"/>
          <w:sz w:val="18"/>
        </w:rPr>
        <w:t> </w:t>
      </w:r>
      <w:r>
        <w:rPr>
          <w:color w:val="231F20"/>
          <w:sz w:val="18"/>
        </w:rPr>
        <w:t>ред.</w:t>
      </w:r>
      <w:r>
        <w:rPr>
          <w:color w:val="231F20"/>
          <w:spacing w:val="-4"/>
          <w:sz w:val="18"/>
        </w:rPr>
        <w:t> </w:t>
      </w:r>
      <w:r>
        <w:rPr>
          <w:color w:val="231F20"/>
          <w:sz w:val="18"/>
        </w:rPr>
        <w:t>О.Е.</w:t>
      </w:r>
      <w:r>
        <w:rPr>
          <w:color w:val="231F20"/>
          <w:spacing w:val="-4"/>
          <w:sz w:val="18"/>
        </w:rPr>
        <w:t> </w:t>
      </w:r>
      <w:r>
        <w:rPr>
          <w:color w:val="231F20"/>
          <w:sz w:val="18"/>
        </w:rPr>
        <w:t>Хухлаева, М.Ю. Чибисовой. – СПб, 2008.</w:t>
      </w:r>
    </w:p>
    <w:p>
      <w:pPr>
        <w:pStyle w:val="ListParagraph"/>
        <w:numPr>
          <w:ilvl w:val="0"/>
          <w:numId w:val="81"/>
        </w:numPr>
        <w:tabs>
          <w:tab w:pos="708" w:val="left" w:leader="none"/>
        </w:tabs>
        <w:spacing w:line="240" w:lineRule="auto" w:before="0" w:after="0"/>
        <w:ind w:left="708" w:right="423" w:hanging="284"/>
        <w:jc w:val="both"/>
        <w:rPr>
          <w:sz w:val="18"/>
        </w:rPr>
      </w:pPr>
      <w:r>
        <w:rPr>
          <w:color w:val="231F20"/>
          <w:sz w:val="18"/>
        </w:rPr>
        <w:t>Kirkpatrick</w:t>
      </w:r>
      <w:r>
        <w:rPr>
          <w:color w:val="231F20"/>
          <w:spacing w:val="-2"/>
          <w:sz w:val="18"/>
        </w:rPr>
        <w:t> </w:t>
      </w:r>
      <w:r>
        <w:rPr>
          <w:color w:val="231F20"/>
          <w:sz w:val="18"/>
        </w:rPr>
        <w:t>D.L.Techniques</w:t>
      </w:r>
      <w:r>
        <w:rPr>
          <w:color w:val="231F20"/>
          <w:spacing w:val="-2"/>
          <w:sz w:val="18"/>
        </w:rPr>
        <w:t> </w:t>
      </w:r>
      <w:r>
        <w:rPr>
          <w:color w:val="231F20"/>
          <w:sz w:val="18"/>
        </w:rPr>
        <w:t>for</w:t>
      </w:r>
      <w:r>
        <w:rPr>
          <w:color w:val="231F20"/>
          <w:spacing w:val="-2"/>
          <w:sz w:val="18"/>
        </w:rPr>
        <w:t> </w:t>
      </w:r>
      <w:r>
        <w:rPr>
          <w:color w:val="231F20"/>
          <w:sz w:val="18"/>
        </w:rPr>
        <w:t>Evolutions</w:t>
      </w:r>
      <w:r>
        <w:rPr>
          <w:color w:val="231F20"/>
          <w:spacing w:val="-5"/>
          <w:sz w:val="18"/>
        </w:rPr>
        <w:t> </w:t>
      </w:r>
      <w:r>
        <w:rPr>
          <w:color w:val="231F20"/>
          <w:sz w:val="18"/>
        </w:rPr>
        <w:t>Training</w:t>
      </w:r>
      <w:r>
        <w:rPr>
          <w:color w:val="231F20"/>
          <w:spacing w:val="-2"/>
          <w:sz w:val="18"/>
        </w:rPr>
        <w:t> </w:t>
      </w:r>
      <w:r>
        <w:rPr>
          <w:color w:val="231F20"/>
          <w:sz w:val="18"/>
        </w:rPr>
        <w:t>Programs//</w:t>
      </w:r>
      <w:r>
        <w:rPr>
          <w:color w:val="231F20"/>
          <w:spacing w:val="-2"/>
          <w:sz w:val="18"/>
        </w:rPr>
        <w:t> </w:t>
      </w:r>
      <w:r>
        <w:rPr>
          <w:color w:val="231F20"/>
          <w:sz w:val="18"/>
        </w:rPr>
        <w:t>Journal</w:t>
      </w:r>
      <w:r>
        <w:rPr>
          <w:color w:val="231F20"/>
          <w:spacing w:val="-2"/>
          <w:sz w:val="18"/>
        </w:rPr>
        <w:t> </w:t>
      </w:r>
      <w:r>
        <w:rPr>
          <w:color w:val="231F20"/>
          <w:sz w:val="18"/>
        </w:rPr>
        <w:t>of</w:t>
      </w:r>
      <w:r>
        <w:rPr>
          <w:color w:val="231F20"/>
          <w:spacing w:val="-2"/>
          <w:sz w:val="18"/>
        </w:rPr>
        <w:t> </w:t>
      </w:r>
      <w:r>
        <w:rPr>
          <w:color w:val="231F20"/>
          <w:sz w:val="18"/>
        </w:rPr>
        <w:t>the</w:t>
      </w:r>
      <w:r>
        <w:rPr>
          <w:color w:val="231F20"/>
          <w:spacing w:val="-11"/>
          <w:sz w:val="18"/>
        </w:rPr>
        <w:t> </w:t>
      </w:r>
      <w:r>
        <w:rPr>
          <w:color w:val="231F20"/>
          <w:sz w:val="18"/>
        </w:rPr>
        <w:t>American Society of trainings directors, 13, 21-26.1959</w:t>
      </w:r>
    </w:p>
    <w:p>
      <w:pPr>
        <w:pStyle w:val="ListParagraph"/>
        <w:spacing w:after="0" w:line="240" w:lineRule="auto"/>
        <w:jc w:val="both"/>
        <w:rPr>
          <w:sz w:val="18"/>
        </w:rPr>
        <w:sectPr>
          <w:pgSz w:w="8400" w:h="11910"/>
          <w:pgMar w:header="0" w:footer="542" w:top="400" w:bottom="740" w:left="425" w:right="425"/>
        </w:sectPr>
      </w:pPr>
    </w:p>
    <w:p>
      <w:pPr>
        <w:spacing w:before="80"/>
        <w:ind w:left="141" w:right="0" w:firstLine="0"/>
        <w:jc w:val="left"/>
        <w:rPr>
          <w:rFonts w:ascii="Georgia" w:hAnsi="Georgia"/>
          <w:sz w:val="18"/>
        </w:rPr>
      </w:pPr>
      <w:bookmarkStart w:name="_bookmark52" w:id="54"/>
      <w:bookmarkEnd w:id="54"/>
      <w:r>
        <w:rPr/>
      </w:r>
      <w:r>
        <w:rPr>
          <w:rFonts w:ascii="Georgia" w:hAnsi="Georgia"/>
          <w:color w:val="231F20"/>
          <w:sz w:val="18"/>
        </w:rPr>
        <w:t>2.2.</w:t>
      </w:r>
      <w:r>
        <w:rPr>
          <w:rFonts w:ascii="Georgia" w:hAnsi="Georgia"/>
          <w:color w:val="231F20"/>
          <w:spacing w:val="-4"/>
          <w:sz w:val="18"/>
        </w:rPr>
        <w:t> </w:t>
      </w:r>
      <w:r>
        <w:rPr>
          <w:rFonts w:ascii="Georgia" w:hAnsi="Georgia"/>
          <w:color w:val="231F20"/>
          <w:sz w:val="18"/>
        </w:rPr>
        <w:t>Технологии</w:t>
      </w:r>
      <w:r>
        <w:rPr>
          <w:rFonts w:ascii="Georgia" w:hAnsi="Georgia"/>
          <w:color w:val="231F20"/>
          <w:spacing w:val="-3"/>
          <w:sz w:val="18"/>
        </w:rPr>
        <w:t> </w:t>
      </w:r>
      <w:r>
        <w:rPr>
          <w:rFonts w:ascii="Georgia" w:hAnsi="Georgia"/>
          <w:color w:val="231F20"/>
          <w:sz w:val="18"/>
        </w:rPr>
        <w:t>повышения</w:t>
      </w:r>
      <w:r>
        <w:rPr>
          <w:rFonts w:ascii="Georgia" w:hAnsi="Georgia"/>
          <w:color w:val="231F20"/>
          <w:spacing w:val="37"/>
          <w:sz w:val="18"/>
        </w:rPr>
        <w:t> </w:t>
      </w:r>
      <w:r>
        <w:rPr>
          <w:rFonts w:ascii="Georgia" w:hAnsi="Georgia"/>
          <w:color w:val="231F20"/>
          <w:sz w:val="18"/>
        </w:rPr>
        <w:t>межкультурной</w:t>
      </w:r>
      <w:r>
        <w:rPr>
          <w:rFonts w:ascii="Georgia" w:hAnsi="Georgia"/>
          <w:color w:val="231F20"/>
          <w:spacing w:val="-4"/>
          <w:sz w:val="18"/>
        </w:rPr>
        <w:t> </w:t>
      </w:r>
      <w:r>
        <w:rPr>
          <w:rFonts w:ascii="Georgia" w:hAnsi="Georgia"/>
          <w:color w:val="231F20"/>
          <w:sz w:val="18"/>
        </w:rPr>
        <w:t>компетентности</w:t>
      </w:r>
      <w:r>
        <w:rPr>
          <w:rFonts w:ascii="Georgia" w:hAnsi="Georgia"/>
          <w:color w:val="231F20"/>
          <w:spacing w:val="-3"/>
          <w:sz w:val="18"/>
        </w:rPr>
        <w:t> </w:t>
      </w:r>
      <w:r>
        <w:rPr>
          <w:rFonts w:ascii="Georgia" w:hAnsi="Georgia"/>
          <w:color w:val="231F20"/>
          <w:spacing w:val="-2"/>
          <w:sz w:val="18"/>
        </w:rPr>
        <w:t>педагогов</w:t>
      </w:r>
    </w:p>
    <w:p>
      <w:pPr>
        <w:spacing w:before="109"/>
        <w:ind w:left="1711" w:right="0" w:firstLine="0"/>
        <w:jc w:val="left"/>
        <w:rPr>
          <w:b/>
          <w:sz w:val="20"/>
        </w:rPr>
      </w:pPr>
      <w:r>
        <w:rPr>
          <w:b/>
          <w:color w:val="231F20"/>
          <w:sz w:val="20"/>
        </w:rPr>
        <w:t>2.2.2.</w:t>
      </w:r>
      <w:r>
        <w:rPr>
          <w:b/>
          <w:color w:val="231F20"/>
          <w:spacing w:val="-8"/>
          <w:sz w:val="20"/>
        </w:rPr>
        <w:t> </w:t>
      </w:r>
      <w:r>
        <w:rPr>
          <w:b/>
          <w:color w:val="231F20"/>
          <w:sz w:val="20"/>
        </w:rPr>
        <w:t>Межкультурный</w:t>
      </w:r>
      <w:r>
        <w:rPr>
          <w:b/>
          <w:color w:val="231F20"/>
          <w:spacing w:val="-9"/>
          <w:sz w:val="20"/>
        </w:rPr>
        <w:t> </w:t>
      </w:r>
      <w:r>
        <w:rPr>
          <w:b/>
          <w:color w:val="231F20"/>
          <w:sz w:val="20"/>
        </w:rPr>
        <w:t>тренинг</w:t>
      </w:r>
      <w:r>
        <w:rPr>
          <w:b/>
          <w:color w:val="231F20"/>
          <w:spacing w:val="-9"/>
          <w:sz w:val="20"/>
        </w:rPr>
        <w:t> </w:t>
      </w:r>
      <w:r>
        <w:rPr>
          <w:b/>
          <w:color w:val="231F20"/>
          <w:sz w:val="20"/>
        </w:rPr>
        <w:t>для</w:t>
      </w:r>
      <w:r>
        <w:rPr>
          <w:b/>
          <w:color w:val="231F20"/>
          <w:spacing w:val="-7"/>
          <w:sz w:val="20"/>
        </w:rPr>
        <w:t> </w:t>
      </w:r>
      <w:r>
        <w:rPr>
          <w:b/>
          <w:color w:val="231F20"/>
          <w:spacing w:val="-2"/>
          <w:sz w:val="20"/>
        </w:rPr>
        <w:t>педагогов</w:t>
      </w:r>
    </w:p>
    <w:p>
      <w:pPr>
        <w:spacing w:before="109"/>
        <w:ind w:left="4842" w:right="0" w:firstLine="0"/>
        <w:jc w:val="left"/>
        <w:rPr>
          <w:i/>
          <w:sz w:val="20"/>
        </w:rPr>
      </w:pPr>
      <w:r>
        <w:rPr>
          <w:i/>
          <w:color w:val="231F20"/>
          <w:sz w:val="20"/>
        </w:rPr>
        <w:t>Н.В.</w:t>
      </w:r>
      <w:r>
        <w:rPr>
          <w:i/>
          <w:color w:val="231F20"/>
          <w:spacing w:val="-12"/>
          <w:sz w:val="20"/>
        </w:rPr>
        <w:t> </w:t>
      </w:r>
      <w:r>
        <w:rPr>
          <w:i/>
          <w:color w:val="231F20"/>
          <w:sz w:val="20"/>
        </w:rPr>
        <w:t>Ткаченко,</w:t>
      </w:r>
      <w:r>
        <w:rPr>
          <w:i/>
          <w:color w:val="231F20"/>
          <w:spacing w:val="-12"/>
          <w:sz w:val="20"/>
        </w:rPr>
        <w:t> </w:t>
      </w:r>
      <w:r>
        <w:rPr>
          <w:i/>
          <w:color w:val="231F20"/>
          <w:spacing w:val="-2"/>
          <w:sz w:val="20"/>
        </w:rPr>
        <w:t>М.Ю.Чибисова</w:t>
      </w:r>
    </w:p>
    <w:p>
      <w:pPr>
        <w:spacing w:line="228" w:lineRule="exact" w:before="110"/>
        <w:ind w:left="425" w:right="0" w:firstLine="0"/>
        <w:jc w:val="both"/>
        <w:rPr>
          <w:b/>
          <w:sz w:val="20"/>
        </w:rPr>
      </w:pPr>
      <w:r>
        <w:rPr>
          <w:b/>
          <w:color w:val="231F20"/>
          <w:sz w:val="20"/>
        </w:rPr>
        <w:t>Общее </w:t>
      </w:r>
      <w:r>
        <w:rPr>
          <w:b/>
          <w:color w:val="231F20"/>
          <w:spacing w:val="-2"/>
          <w:sz w:val="20"/>
        </w:rPr>
        <w:t>описание</w:t>
      </w:r>
    </w:p>
    <w:p>
      <w:pPr>
        <w:pStyle w:val="BodyText"/>
        <w:spacing w:line="235" w:lineRule="auto" w:before="1"/>
      </w:pPr>
      <w:r>
        <w:rPr>
          <w:color w:val="231F20"/>
        </w:rPr>
        <w:t>Т.Г. Стефаненко выделяет следующие группы методов повышения межкультур- ной компетентности:</w:t>
      </w:r>
    </w:p>
    <w:p>
      <w:pPr>
        <w:pStyle w:val="ListParagraph"/>
        <w:numPr>
          <w:ilvl w:val="0"/>
          <w:numId w:val="82"/>
        </w:numPr>
        <w:tabs>
          <w:tab w:pos="424" w:val="left" w:leader="none"/>
        </w:tabs>
        <w:spacing w:line="240" w:lineRule="auto" w:before="2" w:after="0"/>
        <w:ind w:left="424" w:right="0" w:hanging="283"/>
        <w:jc w:val="both"/>
        <w:rPr>
          <w:sz w:val="20"/>
        </w:rPr>
      </w:pPr>
      <w:r>
        <w:rPr>
          <w:color w:val="231F20"/>
          <w:sz w:val="20"/>
        </w:rPr>
        <w:t>по</w:t>
      </w:r>
      <w:r>
        <w:rPr>
          <w:color w:val="231F20"/>
          <w:spacing w:val="-3"/>
          <w:sz w:val="20"/>
        </w:rPr>
        <w:t> </w:t>
      </w:r>
      <w:r>
        <w:rPr>
          <w:color w:val="231F20"/>
          <w:sz w:val="20"/>
        </w:rPr>
        <w:t>методу</w:t>
      </w:r>
      <w:r>
        <w:rPr>
          <w:color w:val="231F20"/>
          <w:spacing w:val="-3"/>
          <w:sz w:val="20"/>
        </w:rPr>
        <w:t> </w:t>
      </w:r>
      <w:r>
        <w:rPr>
          <w:color w:val="231F20"/>
          <w:sz w:val="20"/>
        </w:rPr>
        <w:t>обучения</w:t>
      </w:r>
      <w:r>
        <w:rPr>
          <w:color w:val="231F20"/>
          <w:spacing w:val="-3"/>
          <w:sz w:val="20"/>
        </w:rPr>
        <w:t> </w:t>
      </w:r>
      <w:r>
        <w:rPr>
          <w:color w:val="231F20"/>
          <w:sz w:val="20"/>
        </w:rPr>
        <w:t>–</w:t>
      </w:r>
      <w:r>
        <w:rPr>
          <w:color w:val="231F20"/>
          <w:spacing w:val="-3"/>
          <w:sz w:val="20"/>
        </w:rPr>
        <w:t> </w:t>
      </w:r>
      <w:r>
        <w:rPr>
          <w:color w:val="231F20"/>
          <w:sz w:val="20"/>
        </w:rPr>
        <w:t>дидактические</w:t>
      </w:r>
      <w:r>
        <w:rPr>
          <w:color w:val="231F20"/>
          <w:spacing w:val="-3"/>
          <w:sz w:val="20"/>
        </w:rPr>
        <w:t> </w:t>
      </w:r>
      <w:r>
        <w:rPr>
          <w:color w:val="231F20"/>
          <w:sz w:val="20"/>
        </w:rPr>
        <w:t>или</w:t>
      </w:r>
      <w:r>
        <w:rPr>
          <w:color w:val="231F20"/>
          <w:spacing w:val="-3"/>
          <w:sz w:val="20"/>
        </w:rPr>
        <w:t> </w:t>
      </w:r>
      <w:r>
        <w:rPr>
          <w:color w:val="231F20"/>
          <w:spacing w:val="-2"/>
          <w:sz w:val="20"/>
        </w:rPr>
        <w:t>эмпирические</w:t>
      </w:r>
    </w:p>
    <w:p>
      <w:pPr>
        <w:pStyle w:val="ListParagraph"/>
        <w:numPr>
          <w:ilvl w:val="0"/>
          <w:numId w:val="82"/>
        </w:numPr>
        <w:tabs>
          <w:tab w:pos="424" w:val="left" w:leader="none"/>
        </w:tabs>
        <w:spacing w:line="240" w:lineRule="auto" w:before="0" w:after="0"/>
        <w:ind w:left="424" w:right="0" w:hanging="283"/>
        <w:jc w:val="both"/>
        <w:rPr>
          <w:sz w:val="20"/>
        </w:rPr>
      </w:pPr>
      <w:r>
        <w:rPr>
          <w:color w:val="231F20"/>
          <w:sz w:val="20"/>
        </w:rPr>
        <w:t>по</w:t>
      </w:r>
      <w:r>
        <w:rPr>
          <w:color w:val="231F20"/>
          <w:spacing w:val="-15"/>
          <w:sz w:val="20"/>
        </w:rPr>
        <w:t> </w:t>
      </w:r>
      <w:r>
        <w:rPr>
          <w:color w:val="231F20"/>
          <w:sz w:val="20"/>
        </w:rPr>
        <w:t>содержанию</w:t>
      </w:r>
      <w:r>
        <w:rPr>
          <w:color w:val="231F20"/>
          <w:spacing w:val="-12"/>
          <w:sz w:val="20"/>
        </w:rPr>
        <w:t> </w:t>
      </w:r>
      <w:r>
        <w:rPr>
          <w:color w:val="231F20"/>
          <w:sz w:val="20"/>
        </w:rPr>
        <w:t>обучения</w:t>
      </w:r>
      <w:r>
        <w:rPr>
          <w:color w:val="231F20"/>
          <w:spacing w:val="-12"/>
          <w:sz w:val="20"/>
        </w:rPr>
        <w:t> </w:t>
      </w:r>
      <w:r>
        <w:rPr>
          <w:color w:val="231F20"/>
          <w:sz w:val="20"/>
        </w:rPr>
        <w:t>–</w:t>
      </w:r>
      <w:r>
        <w:rPr>
          <w:color w:val="231F20"/>
          <w:spacing w:val="-12"/>
          <w:sz w:val="20"/>
        </w:rPr>
        <w:t> </w:t>
      </w:r>
      <w:r>
        <w:rPr>
          <w:color w:val="231F20"/>
          <w:sz w:val="20"/>
        </w:rPr>
        <w:t>общекультурные</w:t>
      </w:r>
      <w:r>
        <w:rPr>
          <w:color w:val="231F20"/>
          <w:spacing w:val="-12"/>
          <w:sz w:val="20"/>
        </w:rPr>
        <w:t> </w:t>
      </w:r>
      <w:r>
        <w:rPr>
          <w:color w:val="231F20"/>
          <w:sz w:val="20"/>
        </w:rPr>
        <w:t>или</w:t>
      </w:r>
      <w:r>
        <w:rPr>
          <w:color w:val="231F20"/>
          <w:spacing w:val="-12"/>
          <w:sz w:val="20"/>
        </w:rPr>
        <w:t> </w:t>
      </w:r>
      <w:r>
        <w:rPr>
          <w:color w:val="231F20"/>
          <w:sz w:val="20"/>
        </w:rPr>
        <w:t>культурно-</w:t>
      </w:r>
      <w:r>
        <w:rPr>
          <w:color w:val="231F20"/>
          <w:spacing w:val="-2"/>
          <w:sz w:val="20"/>
        </w:rPr>
        <w:t>специфические</w:t>
      </w:r>
    </w:p>
    <w:p>
      <w:pPr>
        <w:pStyle w:val="ListParagraph"/>
        <w:numPr>
          <w:ilvl w:val="0"/>
          <w:numId w:val="82"/>
        </w:numPr>
        <w:tabs>
          <w:tab w:pos="425" w:val="left" w:leader="none"/>
        </w:tabs>
        <w:spacing w:line="240" w:lineRule="auto" w:before="0" w:after="0"/>
        <w:ind w:left="425" w:right="139" w:hanging="284"/>
        <w:jc w:val="both"/>
        <w:rPr>
          <w:sz w:val="20"/>
        </w:rPr>
      </w:pPr>
      <w:r>
        <w:rPr>
          <w:color w:val="231F20"/>
          <w:sz w:val="20"/>
        </w:rPr>
        <w:t>по</w:t>
      </w:r>
      <w:r>
        <w:rPr>
          <w:color w:val="231F20"/>
          <w:spacing w:val="-1"/>
          <w:sz w:val="20"/>
        </w:rPr>
        <w:t> </w:t>
      </w:r>
      <w:r>
        <w:rPr>
          <w:color w:val="231F20"/>
          <w:sz w:val="20"/>
        </w:rPr>
        <w:t>сфере,</w:t>
      </w:r>
      <w:r>
        <w:rPr>
          <w:color w:val="231F20"/>
          <w:spacing w:val="-1"/>
          <w:sz w:val="20"/>
        </w:rPr>
        <w:t> </w:t>
      </w:r>
      <w:r>
        <w:rPr>
          <w:color w:val="231F20"/>
          <w:sz w:val="20"/>
        </w:rPr>
        <w:t>в</w:t>
      </w:r>
      <w:r>
        <w:rPr>
          <w:color w:val="231F20"/>
          <w:spacing w:val="-1"/>
          <w:sz w:val="20"/>
        </w:rPr>
        <w:t> </w:t>
      </w:r>
      <w:r>
        <w:rPr>
          <w:color w:val="231F20"/>
          <w:sz w:val="20"/>
        </w:rPr>
        <w:t>которой</w:t>
      </w:r>
      <w:r>
        <w:rPr>
          <w:color w:val="231F20"/>
          <w:spacing w:val="-1"/>
          <w:sz w:val="20"/>
        </w:rPr>
        <w:t> </w:t>
      </w:r>
      <w:r>
        <w:rPr>
          <w:color w:val="231F20"/>
          <w:sz w:val="20"/>
        </w:rPr>
        <w:t>стремятся</w:t>
      </w:r>
      <w:r>
        <w:rPr>
          <w:color w:val="231F20"/>
          <w:spacing w:val="-1"/>
          <w:sz w:val="20"/>
        </w:rPr>
        <w:t> </w:t>
      </w:r>
      <w:r>
        <w:rPr>
          <w:color w:val="231F20"/>
          <w:sz w:val="20"/>
        </w:rPr>
        <w:t>достичь</w:t>
      </w:r>
      <w:r>
        <w:rPr>
          <w:color w:val="231F20"/>
          <w:spacing w:val="-1"/>
          <w:sz w:val="20"/>
        </w:rPr>
        <w:t> </w:t>
      </w:r>
      <w:r>
        <w:rPr>
          <w:color w:val="231F20"/>
          <w:sz w:val="20"/>
        </w:rPr>
        <w:t>основных</w:t>
      </w:r>
      <w:r>
        <w:rPr>
          <w:color w:val="231F20"/>
          <w:spacing w:val="-1"/>
          <w:sz w:val="20"/>
        </w:rPr>
        <w:t> </w:t>
      </w:r>
      <w:r>
        <w:rPr>
          <w:color w:val="231F20"/>
          <w:sz w:val="20"/>
        </w:rPr>
        <w:t>результатов:</w:t>
      </w:r>
      <w:r>
        <w:rPr>
          <w:color w:val="231F20"/>
          <w:spacing w:val="-1"/>
          <w:sz w:val="20"/>
        </w:rPr>
        <w:t> </w:t>
      </w:r>
      <w:r>
        <w:rPr>
          <w:color w:val="231F20"/>
          <w:sz w:val="20"/>
        </w:rPr>
        <w:t>когнитивной,</w:t>
      </w:r>
      <w:r>
        <w:rPr>
          <w:color w:val="231F20"/>
          <w:spacing w:val="-1"/>
          <w:sz w:val="20"/>
        </w:rPr>
        <w:t> </w:t>
      </w:r>
      <w:r>
        <w:rPr>
          <w:color w:val="231F20"/>
          <w:sz w:val="20"/>
        </w:rPr>
        <w:t>эмо- циональной, поведенческой.</w:t>
      </w:r>
    </w:p>
    <w:p>
      <w:pPr>
        <w:pStyle w:val="BodyText"/>
        <w:spacing w:line="242" w:lineRule="auto"/>
      </w:pPr>
      <w:r>
        <w:rPr>
          <w:color w:val="231F20"/>
        </w:rPr>
        <w:t>К дидактическим методам она относит просвещение, ориентирование и инструк- таж.</w:t>
      </w:r>
      <w:r>
        <w:rPr>
          <w:color w:val="231F20"/>
          <w:spacing w:val="-13"/>
        </w:rPr>
        <w:t> </w:t>
      </w:r>
      <w:r>
        <w:rPr>
          <w:color w:val="231F20"/>
        </w:rPr>
        <w:t>Просвещение</w:t>
      </w:r>
      <w:r>
        <w:rPr>
          <w:color w:val="231F20"/>
          <w:spacing w:val="-12"/>
        </w:rPr>
        <w:t> </w:t>
      </w:r>
      <w:r>
        <w:rPr>
          <w:color w:val="231F20"/>
        </w:rPr>
        <w:t>представляет</w:t>
      </w:r>
      <w:r>
        <w:rPr>
          <w:color w:val="231F20"/>
          <w:spacing w:val="-13"/>
        </w:rPr>
        <w:t> </w:t>
      </w:r>
      <w:r>
        <w:rPr>
          <w:color w:val="231F20"/>
        </w:rPr>
        <w:t>собой</w:t>
      </w:r>
      <w:r>
        <w:rPr>
          <w:color w:val="231F20"/>
          <w:spacing w:val="-12"/>
        </w:rPr>
        <w:t> </w:t>
      </w:r>
      <w:r>
        <w:rPr>
          <w:color w:val="231F20"/>
        </w:rPr>
        <w:t>приобретение</w:t>
      </w:r>
      <w:r>
        <w:rPr>
          <w:color w:val="231F20"/>
          <w:spacing w:val="-13"/>
        </w:rPr>
        <w:t> </w:t>
      </w:r>
      <w:r>
        <w:rPr>
          <w:color w:val="231F20"/>
        </w:rPr>
        <w:t>знаний</w:t>
      </w:r>
      <w:r>
        <w:rPr>
          <w:color w:val="231F20"/>
          <w:spacing w:val="-12"/>
        </w:rPr>
        <w:t> </w:t>
      </w:r>
      <w:r>
        <w:rPr>
          <w:color w:val="231F20"/>
        </w:rPr>
        <w:t>о</w:t>
      </w:r>
      <w:r>
        <w:rPr>
          <w:color w:val="231F20"/>
          <w:spacing w:val="-13"/>
        </w:rPr>
        <w:t> </w:t>
      </w:r>
      <w:r>
        <w:rPr>
          <w:color w:val="231F20"/>
        </w:rPr>
        <w:t>культуре,</w:t>
      </w:r>
      <w:r>
        <w:rPr>
          <w:color w:val="231F20"/>
          <w:spacing w:val="-12"/>
        </w:rPr>
        <w:t> </w:t>
      </w:r>
      <w:r>
        <w:rPr>
          <w:color w:val="231F20"/>
        </w:rPr>
        <w:t>к</w:t>
      </w:r>
      <w:r>
        <w:rPr>
          <w:color w:val="231F20"/>
          <w:spacing w:val="-13"/>
        </w:rPr>
        <w:t> </w:t>
      </w:r>
      <w:r>
        <w:rPr>
          <w:color w:val="231F20"/>
        </w:rPr>
        <w:t>взаимодей- ствию</w:t>
      </w:r>
      <w:r>
        <w:rPr>
          <w:color w:val="231F20"/>
          <w:spacing w:val="-11"/>
        </w:rPr>
        <w:t> </w:t>
      </w:r>
      <w:r>
        <w:rPr>
          <w:color w:val="231F20"/>
        </w:rPr>
        <w:t>с</w:t>
      </w:r>
      <w:r>
        <w:rPr>
          <w:color w:val="231F20"/>
          <w:spacing w:val="-11"/>
        </w:rPr>
        <w:t> </w:t>
      </w:r>
      <w:r>
        <w:rPr>
          <w:color w:val="231F20"/>
        </w:rPr>
        <w:t>которой</w:t>
      </w:r>
      <w:r>
        <w:rPr>
          <w:color w:val="231F20"/>
          <w:spacing w:val="-11"/>
        </w:rPr>
        <w:t> </w:t>
      </w:r>
      <w:r>
        <w:rPr>
          <w:color w:val="231F20"/>
        </w:rPr>
        <w:t>человек</w:t>
      </w:r>
      <w:r>
        <w:rPr>
          <w:color w:val="231F20"/>
          <w:spacing w:val="-11"/>
        </w:rPr>
        <w:t> </w:t>
      </w:r>
      <w:r>
        <w:rPr>
          <w:color w:val="231F20"/>
        </w:rPr>
        <w:t>готовится.</w:t>
      </w:r>
      <w:r>
        <w:rPr>
          <w:color w:val="231F20"/>
          <w:spacing w:val="-11"/>
        </w:rPr>
        <w:t> </w:t>
      </w:r>
      <w:r>
        <w:rPr>
          <w:color w:val="231F20"/>
        </w:rPr>
        <w:t>Ориентирование</w:t>
      </w:r>
      <w:r>
        <w:rPr>
          <w:color w:val="231F20"/>
          <w:spacing w:val="-11"/>
        </w:rPr>
        <w:t> </w:t>
      </w:r>
      <w:r>
        <w:rPr>
          <w:color w:val="231F20"/>
        </w:rPr>
        <w:t>–</w:t>
      </w:r>
      <w:r>
        <w:rPr>
          <w:color w:val="231F20"/>
          <w:spacing w:val="-11"/>
        </w:rPr>
        <w:t> </w:t>
      </w:r>
      <w:r>
        <w:rPr>
          <w:color w:val="231F20"/>
        </w:rPr>
        <w:t>это</w:t>
      </w:r>
      <w:r>
        <w:rPr>
          <w:color w:val="231F20"/>
          <w:spacing w:val="-11"/>
        </w:rPr>
        <w:t> </w:t>
      </w:r>
      <w:r>
        <w:rPr>
          <w:color w:val="231F20"/>
        </w:rPr>
        <w:t>также</w:t>
      </w:r>
      <w:r>
        <w:rPr>
          <w:color w:val="231F20"/>
          <w:spacing w:val="-11"/>
        </w:rPr>
        <w:t> </w:t>
      </w:r>
      <w:r>
        <w:rPr>
          <w:color w:val="231F20"/>
        </w:rPr>
        <w:t>быстрое</w:t>
      </w:r>
      <w:r>
        <w:rPr>
          <w:color w:val="231F20"/>
          <w:spacing w:val="-11"/>
        </w:rPr>
        <w:t> </w:t>
      </w:r>
      <w:r>
        <w:rPr>
          <w:color w:val="231F20"/>
        </w:rPr>
        <w:t>знакомство с</w:t>
      </w:r>
      <w:r>
        <w:rPr>
          <w:color w:val="231F20"/>
          <w:spacing w:val="-11"/>
        </w:rPr>
        <w:t> </w:t>
      </w:r>
      <w:r>
        <w:rPr>
          <w:color w:val="231F20"/>
        </w:rPr>
        <w:t>основными</w:t>
      </w:r>
      <w:r>
        <w:rPr>
          <w:color w:val="231F20"/>
          <w:spacing w:val="-11"/>
        </w:rPr>
        <w:t> </w:t>
      </w:r>
      <w:r>
        <w:rPr>
          <w:color w:val="231F20"/>
        </w:rPr>
        <w:t>нормами</w:t>
      </w:r>
      <w:r>
        <w:rPr>
          <w:color w:val="231F20"/>
          <w:spacing w:val="-11"/>
        </w:rPr>
        <w:t> </w:t>
      </w:r>
      <w:r>
        <w:rPr>
          <w:color w:val="231F20"/>
        </w:rPr>
        <w:t>и</w:t>
      </w:r>
      <w:r>
        <w:rPr>
          <w:color w:val="231F20"/>
          <w:spacing w:val="-11"/>
        </w:rPr>
        <w:t> </w:t>
      </w:r>
      <w:r>
        <w:rPr>
          <w:color w:val="231F20"/>
        </w:rPr>
        <w:t>ценностями</w:t>
      </w:r>
      <w:r>
        <w:rPr>
          <w:color w:val="231F20"/>
          <w:spacing w:val="-11"/>
        </w:rPr>
        <w:t> </w:t>
      </w:r>
      <w:r>
        <w:rPr>
          <w:color w:val="231F20"/>
        </w:rPr>
        <w:t>данной</w:t>
      </w:r>
      <w:r>
        <w:rPr>
          <w:color w:val="231F20"/>
          <w:spacing w:val="-11"/>
        </w:rPr>
        <w:t> </w:t>
      </w:r>
      <w:r>
        <w:rPr>
          <w:color w:val="231F20"/>
        </w:rPr>
        <w:t>культуры.</w:t>
      </w:r>
      <w:r>
        <w:rPr>
          <w:color w:val="231F20"/>
          <w:spacing w:val="-11"/>
        </w:rPr>
        <w:t> </w:t>
      </w:r>
      <w:r>
        <w:rPr>
          <w:color w:val="231F20"/>
        </w:rPr>
        <w:t>Инструктаж</w:t>
      </w:r>
      <w:r>
        <w:rPr>
          <w:color w:val="231F20"/>
          <w:spacing w:val="-11"/>
        </w:rPr>
        <w:t> </w:t>
      </w:r>
      <w:r>
        <w:rPr>
          <w:color w:val="231F20"/>
        </w:rPr>
        <w:t>знакомит</w:t>
      </w:r>
      <w:r>
        <w:rPr>
          <w:color w:val="231F20"/>
          <w:spacing w:val="-11"/>
        </w:rPr>
        <w:t> </w:t>
      </w:r>
      <w:r>
        <w:rPr>
          <w:color w:val="231F20"/>
        </w:rPr>
        <w:t>челове- ка с потенциальными проблемами.</w:t>
      </w:r>
    </w:p>
    <w:p>
      <w:pPr>
        <w:pStyle w:val="BodyText"/>
        <w:spacing w:line="237" w:lineRule="auto"/>
      </w:pPr>
      <w:r>
        <w:rPr>
          <w:color w:val="231F20"/>
        </w:rPr>
        <w:t>Т.Г.</w:t>
      </w:r>
      <w:r>
        <w:rPr>
          <w:color w:val="231F20"/>
          <w:spacing w:val="-13"/>
        </w:rPr>
        <w:t> </w:t>
      </w:r>
      <w:r>
        <w:rPr>
          <w:color w:val="231F20"/>
        </w:rPr>
        <w:t>Стефаненко</w:t>
      </w:r>
      <w:r>
        <w:rPr>
          <w:color w:val="231F20"/>
          <w:spacing w:val="-2"/>
        </w:rPr>
        <w:t> </w:t>
      </w:r>
      <w:r>
        <w:rPr>
          <w:color w:val="231F20"/>
        </w:rPr>
        <w:t>отмечает,</w:t>
      </w:r>
      <w:r>
        <w:rPr>
          <w:color w:val="231F20"/>
          <w:spacing w:val="-2"/>
        </w:rPr>
        <w:t> </w:t>
      </w:r>
      <w:r>
        <w:rPr>
          <w:color w:val="231F20"/>
        </w:rPr>
        <w:t>что</w:t>
      </w:r>
      <w:r>
        <w:rPr>
          <w:color w:val="231F20"/>
          <w:spacing w:val="-2"/>
        </w:rPr>
        <w:t> </w:t>
      </w:r>
      <w:r>
        <w:rPr>
          <w:color w:val="231F20"/>
        </w:rPr>
        <w:t>все</w:t>
      </w:r>
      <w:r>
        <w:rPr>
          <w:color w:val="231F20"/>
          <w:spacing w:val="-2"/>
        </w:rPr>
        <w:t> </w:t>
      </w:r>
      <w:r>
        <w:rPr>
          <w:color w:val="231F20"/>
        </w:rPr>
        <w:t>дидактические</w:t>
      </w:r>
      <w:r>
        <w:rPr>
          <w:color w:val="231F20"/>
          <w:spacing w:val="-2"/>
        </w:rPr>
        <w:t> </w:t>
      </w:r>
      <w:r>
        <w:rPr>
          <w:color w:val="231F20"/>
        </w:rPr>
        <w:t>модели,</w:t>
      </w:r>
      <w:r>
        <w:rPr>
          <w:color w:val="231F20"/>
          <w:spacing w:val="-2"/>
        </w:rPr>
        <w:t> </w:t>
      </w:r>
      <w:r>
        <w:rPr>
          <w:color w:val="231F20"/>
        </w:rPr>
        <w:t>повышая</w:t>
      </w:r>
      <w:r>
        <w:rPr>
          <w:color w:val="231F20"/>
          <w:spacing w:val="-2"/>
        </w:rPr>
        <w:t> </w:t>
      </w:r>
      <w:r>
        <w:rPr>
          <w:color w:val="231F20"/>
        </w:rPr>
        <w:t>этнокультур- ную грамотность, недостаточно эффективны для развития этнокультурной компе- тентности, так как:</w:t>
      </w:r>
    </w:p>
    <w:p>
      <w:pPr>
        <w:pStyle w:val="ListParagraph"/>
        <w:numPr>
          <w:ilvl w:val="0"/>
          <w:numId w:val="82"/>
        </w:numPr>
        <w:tabs>
          <w:tab w:pos="424" w:val="left" w:leader="none"/>
        </w:tabs>
        <w:spacing w:line="228" w:lineRule="exact" w:before="0" w:after="0"/>
        <w:ind w:left="424" w:right="0" w:hanging="283"/>
        <w:jc w:val="both"/>
        <w:rPr>
          <w:sz w:val="20"/>
        </w:rPr>
      </w:pPr>
      <w:r>
        <w:rPr>
          <w:color w:val="231F20"/>
          <w:sz w:val="20"/>
        </w:rPr>
        <w:t>они</w:t>
      </w:r>
      <w:r>
        <w:rPr>
          <w:color w:val="231F20"/>
          <w:spacing w:val="-5"/>
          <w:sz w:val="20"/>
        </w:rPr>
        <w:t> </w:t>
      </w:r>
      <w:r>
        <w:rPr>
          <w:color w:val="231F20"/>
          <w:sz w:val="20"/>
        </w:rPr>
        <w:t>представляют</w:t>
      </w:r>
      <w:r>
        <w:rPr>
          <w:color w:val="231F20"/>
          <w:spacing w:val="-3"/>
          <w:sz w:val="20"/>
        </w:rPr>
        <w:t> </w:t>
      </w:r>
      <w:r>
        <w:rPr>
          <w:color w:val="231F20"/>
          <w:sz w:val="20"/>
        </w:rPr>
        <w:t>собой</w:t>
      </w:r>
      <w:r>
        <w:rPr>
          <w:color w:val="231F20"/>
          <w:spacing w:val="-5"/>
          <w:sz w:val="20"/>
        </w:rPr>
        <w:t> </w:t>
      </w:r>
      <w:r>
        <w:rPr>
          <w:color w:val="231F20"/>
          <w:sz w:val="20"/>
        </w:rPr>
        <w:t>пассивное</w:t>
      </w:r>
      <w:r>
        <w:rPr>
          <w:color w:val="231F20"/>
          <w:spacing w:val="-3"/>
          <w:sz w:val="20"/>
        </w:rPr>
        <w:t> </w:t>
      </w:r>
      <w:r>
        <w:rPr>
          <w:color w:val="231F20"/>
          <w:spacing w:val="-2"/>
          <w:sz w:val="20"/>
        </w:rPr>
        <w:t>обучение,</w:t>
      </w:r>
    </w:p>
    <w:p>
      <w:pPr>
        <w:pStyle w:val="ListParagraph"/>
        <w:numPr>
          <w:ilvl w:val="0"/>
          <w:numId w:val="82"/>
        </w:numPr>
        <w:tabs>
          <w:tab w:pos="425" w:val="left" w:leader="none"/>
        </w:tabs>
        <w:spacing w:line="240" w:lineRule="auto" w:before="0" w:after="0"/>
        <w:ind w:left="425" w:right="139" w:hanging="284"/>
        <w:jc w:val="both"/>
        <w:rPr>
          <w:sz w:val="20"/>
        </w:rPr>
      </w:pPr>
      <w:r>
        <w:rPr>
          <w:color w:val="231F20"/>
          <w:sz w:val="20"/>
        </w:rPr>
        <w:t>участникам предлагают готовые,</w:t>
      </w:r>
      <w:r>
        <w:rPr>
          <w:color w:val="231F20"/>
          <w:spacing w:val="40"/>
          <w:sz w:val="20"/>
        </w:rPr>
        <w:t> </w:t>
      </w:r>
      <w:r>
        <w:rPr>
          <w:color w:val="231F20"/>
          <w:sz w:val="20"/>
        </w:rPr>
        <w:t>задаваемые извне варианты решения проблем, тогда как в реальности люди должны сначала выявить проблему, а затем попы- таться ее решить</w:t>
      </w:r>
    </w:p>
    <w:p>
      <w:pPr>
        <w:pStyle w:val="ListParagraph"/>
        <w:numPr>
          <w:ilvl w:val="0"/>
          <w:numId w:val="82"/>
        </w:numPr>
        <w:tabs>
          <w:tab w:pos="425" w:val="left" w:leader="none"/>
        </w:tabs>
        <w:spacing w:line="237" w:lineRule="auto" w:before="0" w:after="0"/>
        <w:ind w:left="425" w:right="139" w:hanging="284"/>
        <w:jc w:val="both"/>
        <w:rPr>
          <w:sz w:val="20"/>
        </w:rPr>
      </w:pPr>
      <w:r>
        <w:rPr>
          <w:color w:val="231F20"/>
          <w:sz w:val="20"/>
        </w:rPr>
        <w:t>обучение имеет</w:t>
      </w:r>
      <w:r>
        <w:rPr>
          <w:color w:val="231F20"/>
          <w:spacing w:val="-1"/>
          <w:sz w:val="20"/>
        </w:rPr>
        <w:t> </w:t>
      </w:r>
      <w:r>
        <w:rPr>
          <w:color w:val="231F20"/>
          <w:sz w:val="20"/>
        </w:rPr>
        <w:t>беспристрастный характер, а реальные ситуации сильно эмоцио- нально нагружены.</w:t>
      </w:r>
    </w:p>
    <w:p>
      <w:pPr>
        <w:pStyle w:val="BodyText"/>
      </w:pPr>
      <w:r>
        <w:rPr>
          <w:color w:val="231F20"/>
        </w:rPr>
        <w:t>Именно поэтому наиболее часто используется такая интерактивная форма повы- шения межкультурной компетентности, как тренинг.</w:t>
      </w:r>
    </w:p>
    <w:p>
      <w:pPr>
        <w:pStyle w:val="BodyText"/>
        <w:spacing w:line="237" w:lineRule="auto"/>
      </w:pPr>
      <w:r>
        <w:rPr>
          <w:color w:val="231F20"/>
        </w:rPr>
        <w:t>А.П.</w:t>
      </w:r>
      <w:r>
        <w:rPr>
          <w:color w:val="231F20"/>
          <w:spacing w:val="-2"/>
        </w:rPr>
        <w:t> </w:t>
      </w:r>
      <w:r>
        <w:rPr>
          <w:color w:val="231F20"/>
        </w:rPr>
        <w:t>Садохин</w:t>
      </w:r>
      <w:r>
        <w:rPr>
          <w:color w:val="231F20"/>
          <w:spacing w:val="-2"/>
        </w:rPr>
        <w:t> </w:t>
      </w:r>
      <w:r>
        <w:rPr>
          <w:color w:val="231F20"/>
        </w:rPr>
        <w:t>полагает,</w:t>
      </w:r>
      <w:r>
        <w:rPr>
          <w:color w:val="231F20"/>
          <w:spacing w:val="-2"/>
        </w:rPr>
        <w:t> </w:t>
      </w:r>
      <w:r>
        <w:rPr>
          <w:color w:val="231F20"/>
        </w:rPr>
        <w:t>что</w:t>
      </w:r>
      <w:r>
        <w:rPr>
          <w:color w:val="231F20"/>
          <w:spacing w:val="-2"/>
        </w:rPr>
        <w:t> </w:t>
      </w:r>
      <w:r>
        <w:rPr>
          <w:color w:val="231F20"/>
        </w:rPr>
        <w:t>на</w:t>
      </w:r>
      <w:r>
        <w:rPr>
          <w:color w:val="231F20"/>
          <w:spacing w:val="-2"/>
        </w:rPr>
        <w:t> </w:t>
      </w:r>
      <w:r>
        <w:rPr>
          <w:color w:val="231F20"/>
        </w:rPr>
        <w:t>сегодняшний</w:t>
      </w:r>
      <w:r>
        <w:rPr>
          <w:color w:val="231F20"/>
          <w:spacing w:val="-2"/>
        </w:rPr>
        <w:t> </w:t>
      </w:r>
      <w:r>
        <w:rPr>
          <w:color w:val="231F20"/>
        </w:rPr>
        <w:t>день</w:t>
      </w:r>
      <w:r>
        <w:rPr>
          <w:color w:val="231F20"/>
          <w:spacing w:val="-3"/>
        </w:rPr>
        <w:t> </w:t>
      </w:r>
      <w:r>
        <w:rPr>
          <w:color w:val="231F20"/>
        </w:rPr>
        <w:t>можно</w:t>
      </w:r>
      <w:r>
        <w:rPr>
          <w:color w:val="231F20"/>
          <w:spacing w:val="-2"/>
        </w:rPr>
        <w:t> </w:t>
      </w:r>
      <w:r>
        <w:rPr>
          <w:color w:val="231F20"/>
        </w:rPr>
        <w:t>выделить</w:t>
      </w:r>
      <w:r>
        <w:rPr>
          <w:color w:val="231F20"/>
          <w:spacing w:val="-3"/>
        </w:rPr>
        <w:t> </w:t>
      </w:r>
      <w:r>
        <w:rPr>
          <w:color w:val="231F20"/>
        </w:rPr>
        <w:t>две</w:t>
      </w:r>
      <w:r>
        <w:rPr>
          <w:color w:val="231F20"/>
          <w:spacing w:val="-2"/>
        </w:rPr>
        <w:t> </w:t>
      </w:r>
      <w:r>
        <w:rPr>
          <w:color w:val="231F20"/>
        </w:rPr>
        <w:t>точки</w:t>
      </w:r>
      <w:r>
        <w:rPr>
          <w:color w:val="231F20"/>
          <w:spacing w:val="-3"/>
        </w:rPr>
        <w:t> </w:t>
      </w:r>
      <w:r>
        <w:rPr>
          <w:color w:val="231F20"/>
        </w:rPr>
        <w:t>зре- ния на роль тренинга в совершенствовании коммуникативной компетентности. Сто- ронники первой точки зрения считают, что тренинг призван восполнить недостаток умений и навыков, которые не обеспечиваются системой образования, процессами социализации</w:t>
      </w:r>
      <w:r>
        <w:rPr>
          <w:color w:val="231F20"/>
          <w:spacing w:val="-9"/>
        </w:rPr>
        <w:t> </w:t>
      </w:r>
      <w:r>
        <w:rPr>
          <w:color w:val="231F20"/>
        </w:rPr>
        <w:t>и</w:t>
      </w:r>
      <w:r>
        <w:rPr>
          <w:color w:val="231F20"/>
          <w:spacing w:val="-9"/>
        </w:rPr>
        <w:t> </w:t>
      </w:r>
      <w:r>
        <w:rPr>
          <w:color w:val="231F20"/>
        </w:rPr>
        <w:t>инкультурации</w:t>
      </w:r>
      <w:r>
        <w:rPr>
          <w:color w:val="231F20"/>
          <w:spacing w:val="-9"/>
        </w:rPr>
        <w:t> </w:t>
      </w:r>
      <w:r>
        <w:rPr>
          <w:color w:val="231F20"/>
        </w:rPr>
        <w:t>и</w:t>
      </w:r>
      <w:r>
        <w:rPr>
          <w:color w:val="231F20"/>
          <w:spacing w:val="-9"/>
        </w:rPr>
        <w:t> </w:t>
      </w:r>
      <w:r>
        <w:rPr>
          <w:color w:val="231F20"/>
        </w:rPr>
        <w:t>не</w:t>
      </w:r>
      <w:r>
        <w:rPr>
          <w:color w:val="231F20"/>
          <w:spacing w:val="-9"/>
        </w:rPr>
        <w:t> </w:t>
      </w:r>
      <w:r>
        <w:rPr>
          <w:color w:val="231F20"/>
        </w:rPr>
        <w:t>могут</w:t>
      </w:r>
      <w:r>
        <w:rPr>
          <w:color w:val="231F20"/>
          <w:spacing w:val="-9"/>
        </w:rPr>
        <w:t> </w:t>
      </w:r>
      <w:r>
        <w:rPr>
          <w:color w:val="231F20"/>
        </w:rPr>
        <w:t>быть</w:t>
      </w:r>
      <w:r>
        <w:rPr>
          <w:color w:val="231F20"/>
          <w:spacing w:val="-9"/>
        </w:rPr>
        <w:t> </w:t>
      </w:r>
      <w:r>
        <w:rPr>
          <w:color w:val="231F20"/>
        </w:rPr>
        <w:t>приобретены</w:t>
      </w:r>
      <w:r>
        <w:rPr>
          <w:color w:val="231F20"/>
          <w:spacing w:val="-9"/>
        </w:rPr>
        <w:t> </w:t>
      </w:r>
      <w:r>
        <w:rPr>
          <w:color w:val="231F20"/>
        </w:rPr>
        <w:t>в</w:t>
      </w:r>
      <w:r>
        <w:rPr>
          <w:color w:val="231F20"/>
          <w:spacing w:val="-9"/>
        </w:rPr>
        <w:t> </w:t>
      </w:r>
      <w:r>
        <w:rPr>
          <w:color w:val="231F20"/>
        </w:rPr>
        <w:t>процессе</w:t>
      </w:r>
      <w:r>
        <w:rPr>
          <w:color w:val="231F20"/>
          <w:spacing w:val="-9"/>
        </w:rPr>
        <w:t> </w:t>
      </w:r>
      <w:r>
        <w:rPr>
          <w:color w:val="231F20"/>
        </w:rPr>
        <w:t>коммуника- тивной практики. Другая точка зрения заключается в том, что тренинг представляет собой прежде всего работу по переосмыслению коммуникативного опыта, расшире- нию знаний, способствующих формированию более компетентного взаимодействия с окружающим миром.</w:t>
      </w:r>
    </w:p>
    <w:p>
      <w:pPr>
        <w:pStyle w:val="BodyText"/>
        <w:spacing w:line="237" w:lineRule="auto"/>
        <w:jc w:val="right"/>
      </w:pPr>
      <w:r>
        <w:rPr>
          <w:color w:val="231F20"/>
          <w:spacing w:val="-2"/>
        </w:rPr>
        <w:t>Соответственно</w:t>
      </w:r>
      <w:r>
        <w:rPr>
          <w:color w:val="231F20"/>
          <w:spacing w:val="-5"/>
        </w:rPr>
        <w:t> </w:t>
      </w:r>
      <w:r>
        <w:rPr>
          <w:color w:val="231F20"/>
          <w:spacing w:val="-2"/>
        </w:rPr>
        <w:t>этим</w:t>
      </w:r>
      <w:r>
        <w:rPr>
          <w:color w:val="231F20"/>
          <w:spacing w:val="-5"/>
        </w:rPr>
        <w:t> </w:t>
      </w:r>
      <w:r>
        <w:rPr>
          <w:color w:val="231F20"/>
          <w:spacing w:val="-2"/>
        </w:rPr>
        <w:t>точкам</w:t>
      </w:r>
      <w:r>
        <w:rPr>
          <w:color w:val="231F20"/>
          <w:spacing w:val="-5"/>
        </w:rPr>
        <w:t> </w:t>
      </w:r>
      <w:r>
        <w:rPr>
          <w:color w:val="231F20"/>
          <w:spacing w:val="-2"/>
        </w:rPr>
        <w:t>зрения</w:t>
      </w:r>
      <w:r>
        <w:rPr>
          <w:color w:val="231F20"/>
          <w:spacing w:val="-5"/>
        </w:rPr>
        <w:t> </w:t>
      </w:r>
      <w:r>
        <w:rPr>
          <w:color w:val="231F20"/>
          <w:spacing w:val="-2"/>
        </w:rPr>
        <w:t>А.П. Садохин</w:t>
      </w:r>
      <w:r>
        <w:rPr>
          <w:color w:val="231F20"/>
          <w:spacing w:val="-6"/>
        </w:rPr>
        <w:t> </w:t>
      </w:r>
      <w:r>
        <w:rPr>
          <w:color w:val="231F20"/>
          <w:spacing w:val="-2"/>
        </w:rPr>
        <w:t>выделяет</w:t>
      </w:r>
      <w:r>
        <w:rPr>
          <w:color w:val="231F20"/>
          <w:spacing w:val="-5"/>
        </w:rPr>
        <w:t> </w:t>
      </w:r>
      <w:r>
        <w:rPr>
          <w:color w:val="231F20"/>
          <w:spacing w:val="-2"/>
        </w:rPr>
        <w:t>две</w:t>
      </w:r>
      <w:r>
        <w:rPr>
          <w:color w:val="231F20"/>
          <w:spacing w:val="-5"/>
        </w:rPr>
        <w:t> </w:t>
      </w:r>
      <w:r>
        <w:rPr>
          <w:color w:val="231F20"/>
          <w:spacing w:val="-2"/>
        </w:rPr>
        <w:t>модели</w:t>
      </w:r>
      <w:r>
        <w:rPr>
          <w:color w:val="231F20"/>
          <w:spacing w:val="-6"/>
        </w:rPr>
        <w:t> </w:t>
      </w:r>
      <w:r>
        <w:rPr>
          <w:color w:val="231F20"/>
          <w:spacing w:val="-2"/>
        </w:rPr>
        <w:t>совершен- </w:t>
      </w:r>
      <w:r>
        <w:rPr>
          <w:color w:val="231F20"/>
        </w:rPr>
        <w:t>ствования компетентности</w:t>
      </w:r>
      <w:r>
        <w:rPr>
          <w:color w:val="231F20"/>
          <w:spacing w:val="40"/>
        </w:rPr>
        <w:t> </w:t>
      </w:r>
      <w:r>
        <w:rPr>
          <w:color w:val="231F20"/>
        </w:rPr>
        <w:t>путем использования тренинга. Согласно первой из них тренинг</w:t>
      </w:r>
      <w:r>
        <w:rPr>
          <w:color w:val="231F20"/>
          <w:spacing w:val="-10"/>
        </w:rPr>
        <w:t> </w:t>
      </w:r>
      <w:r>
        <w:rPr>
          <w:color w:val="231F20"/>
        </w:rPr>
        <w:t>–</w:t>
      </w:r>
      <w:r>
        <w:rPr>
          <w:color w:val="231F20"/>
          <w:spacing w:val="-10"/>
        </w:rPr>
        <w:t> </w:t>
      </w:r>
      <w:r>
        <w:rPr>
          <w:color w:val="231F20"/>
        </w:rPr>
        <w:t>это</w:t>
      </w:r>
      <w:r>
        <w:rPr>
          <w:color w:val="231F20"/>
          <w:spacing w:val="-10"/>
        </w:rPr>
        <w:t> </w:t>
      </w:r>
      <w:r>
        <w:rPr>
          <w:color w:val="231F20"/>
        </w:rPr>
        <w:t>место</w:t>
      </w:r>
      <w:r>
        <w:rPr>
          <w:color w:val="231F20"/>
          <w:spacing w:val="-10"/>
        </w:rPr>
        <w:t> </w:t>
      </w:r>
      <w:r>
        <w:rPr>
          <w:color w:val="231F20"/>
        </w:rPr>
        <w:t>приобретения</w:t>
      </w:r>
      <w:r>
        <w:rPr>
          <w:color w:val="231F20"/>
          <w:spacing w:val="-10"/>
        </w:rPr>
        <w:t> </w:t>
      </w:r>
      <w:r>
        <w:rPr>
          <w:color w:val="231F20"/>
        </w:rPr>
        <w:t>и</w:t>
      </w:r>
      <w:r>
        <w:rPr>
          <w:color w:val="231F20"/>
          <w:spacing w:val="-10"/>
        </w:rPr>
        <w:t> </w:t>
      </w:r>
      <w:r>
        <w:rPr>
          <w:color w:val="231F20"/>
        </w:rPr>
        <w:t>совершенствования</w:t>
      </w:r>
      <w:r>
        <w:rPr>
          <w:color w:val="231F20"/>
          <w:spacing w:val="-10"/>
        </w:rPr>
        <w:t> </w:t>
      </w:r>
      <w:r>
        <w:rPr>
          <w:color w:val="231F20"/>
        </w:rPr>
        <w:t>знаний,</w:t>
      </w:r>
      <w:r>
        <w:rPr>
          <w:color w:val="231F20"/>
          <w:spacing w:val="-10"/>
        </w:rPr>
        <w:t> </w:t>
      </w:r>
      <w:r>
        <w:rPr>
          <w:color w:val="231F20"/>
        </w:rPr>
        <w:t>умений</w:t>
      </w:r>
      <w:r>
        <w:rPr>
          <w:color w:val="231F20"/>
          <w:spacing w:val="-10"/>
        </w:rPr>
        <w:t> </w:t>
      </w:r>
      <w:r>
        <w:rPr>
          <w:color w:val="231F20"/>
        </w:rPr>
        <w:t>и</w:t>
      </w:r>
      <w:r>
        <w:rPr>
          <w:color w:val="231F20"/>
          <w:spacing w:val="-10"/>
        </w:rPr>
        <w:t> </w:t>
      </w:r>
      <w:r>
        <w:rPr>
          <w:color w:val="231F20"/>
        </w:rPr>
        <w:t>установок. К</w:t>
      </w:r>
      <w:r>
        <w:rPr>
          <w:color w:val="231F20"/>
          <w:spacing w:val="-13"/>
        </w:rPr>
        <w:t> </w:t>
      </w:r>
      <w:r>
        <w:rPr>
          <w:color w:val="231F20"/>
        </w:rPr>
        <w:t>концу</w:t>
      </w:r>
      <w:r>
        <w:rPr>
          <w:color w:val="231F20"/>
          <w:spacing w:val="-12"/>
        </w:rPr>
        <w:t> </w:t>
      </w:r>
      <w:r>
        <w:rPr>
          <w:color w:val="231F20"/>
        </w:rPr>
        <w:t>тренинга</w:t>
      </w:r>
      <w:r>
        <w:rPr>
          <w:color w:val="231F20"/>
          <w:spacing w:val="-13"/>
        </w:rPr>
        <w:t> </w:t>
      </w:r>
      <w:r>
        <w:rPr>
          <w:color w:val="231F20"/>
        </w:rPr>
        <w:t>его</w:t>
      </w:r>
      <w:r>
        <w:rPr>
          <w:color w:val="231F20"/>
          <w:spacing w:val="-12"/>
        </w:rPr>
        <w:t> </w:t>
      </w:r>
      <w:r>
        <w:rPr>
          <w:color w:val="231F20"/>
        </w:rPr>
        <w:t>участники</w:t>
      </w:r>
      <w:r>
        <w:rPr>
          <w:color w:val="231F20"/>
          <w:spacing w:val="-13"/>
        </w:rPr>
        <w:t> </w:t>
      </w:r>
      <w:r>
        <w:rPr>
          <w:color w:val="231F20"/>
        </w:rPr>
        <w:t>получают</w:t>
      </w:r>
      <w:r>
        <w:rPr>
          <w:color w:val="231F20"/>
          <w:spacing w:val="-12"/>
        </w:rPr>
        <w:t> </w:t>
      </w:r>
      <w:r>
        <w:rPr>
          <w:color w:val="231F20"/>
        </w:rPr>
        <w:t>большое</w:t>
      </w:r>
      <w:r>
        <w:rPr>
          <w:color w:val="231F20"/>
          <w:spacing w:val="-13"/>
        </w:rPr>
        <w:t> </w:t>
      </w:r>
      <w:r>
        <w:rPr>
          <w:color w:val="231F20"/>
        </w:rPr>
        <w:t>количество</w:t>
      </w:r>
      <w:r>
        <w:rPr>
          <w:color w:val="231F20"/>
          <w:spacing w:val="-12"/>
        </w:rPr>
        <w:t> </w:t>
      </w:r>
      <w:r>
        <w:rPr>
          <w:color w:val="231F20"/>
        </w:rPr>
        <w:t>новых</w:t>
      </w:r>
      <w:r>
        <w:rPr>
          <w:color w:val="231F20"/>
          <w:spacing w:val="-13"/>
        </w:rPr>
        <w:t> </w:t>
      </w:r>
      <w:r>
        <w:rPr>
          <w:color w:val="231F20"/>
        </w:rPr>
        <w:t>знаний</w:t>
      </w:r>
      <w:r>
        <w:rPr>
          <w:color w:val="231F20"/>
          <w:spacing w:val="-12"/>
        </w:rPr>
        <w:t> </w:t>
      </w:r>
      <w:r>
        <w:rPr>
          <w:color w:val="231F20"/>
        </w:rPr>
        <w:t>и</w:t>
      </w:r>
      <w:r>
        <w:rPr>
          <w:color w:val="231F20"/>
          <w:spacing w:val="-13"/>
        </w:rPr>
        <w:t> </w:t>
      </w:r>
      <w:r>
        <w:rPr>
          <w:color w:val="231F20"/>
        </w:rPr>
        <w:t>навы- ков,</w:t>
      </w:r>
      <w:r>
        <w:rPr>
          <w:color w:val="231F20"/>
          <w:spacing w:val="-2"/>
        </w:rPr>
        <w:t> </w:t>
      </w:r>
      <w:r>
        <w:rPr>
          <w:color w:val="231F20"/>
        </w:rPr>
        <w:t>значительно</w:t>
      </w:r>
      <w:r>
        <w:rPr>
          <w:color w:val="231F20"/>
          <w:spacing w:val="-2"/>
        </w:rPr>
        <w:t> </w:t>
      </w:r>
      <w:r>
        <w:rPr>
          <w:color w:val="231F20"/>
        </w:rPr>
        <w:t>улучшающих</w:t>
      </w:r>
      <w:r>
        <w:rPr>
          <w:color w:val="231F20"/>
          <w:spacing w:val="-2"/>
        </w:rPr>
        <w:t> </w:t>
      </w:r>
      <w:r>
        <w:rPr>
          <w:color w:val="231F20"/>
        </w:rPr>
        <w:t>их</w:t>
      </w:r>
      <w:r>
        <w:rPr>
          <w:color w:val="231F20"/>
          <w:spacing w:val="-2"/>
        </w:rPr>
        <w:t> </w:t>
      </w:r>
      <w:r>
        <w:rPr>
          <w:color w:val="231F20"/>
        </w:rPr>
        <w:t>компетентность</w:t>
      </w:r>
      <w:r>
        <w:rPr>
          <w:color w:val="231F20"/>
          <w:spacing w:val="-2"/>
        </w:rPr>
        <w:t> </w:t>
      </w:r>
      <w:r>
        <w:rPr>
          <w:color w:val="231F20"/>
        </w:rPr>
        <w:t>по</w:t>
      </w:r>
      <w:r>
        <w:rPr>
          <w:color w:val="231F20"/>
          <w:spacing w:val="-2"/>
        </w:rPr>
        <w:t> </w:t>
      </w:r>
      <w:r>
        <w:rPr>
          <w:color w:val="231F20"/>
        </w:rPr>
        <w:t>теме</w:t>
      </w:r>
      <w:r>
        <w:rPr>
          <w:color w:val="231F20"/>
          <w:spacing w:val="-2"/>
        </w:rPr>
        <w:t> </w:t>
      </w:r>
      <w:r>
        <w:rPr>
          <w:color w:val="231F20"/>
        </w:rPr>
        <w:t>тренинга.</w:t>
      </w:r>
      <w:r>
        <w:rPr>
          <w:color w:val="231F20"/>
          <w:spacing w:val="40"/>
        </w:rPr>
        <w:t> </w:t>
      </w:r>
      <w:r>
        <w:rPr>
          <w:color w:val="231F20"/>
        </w:rPr>
        <w:t>Другая</w:t>
      </w:r>
      <w:r>
        <w:rPr>
          <w:color w:val="231F20"/>
          <w:spacing w:val="-2"/>
        </w:rPr>
        <w:t> </w:t>
      </w:r>
      <w:r>
        <w:rPr>
          <w:color w:val="231F20"/>
        </w:rPr>
        <w:t>модель предполагает, что в тренинге участники овладевают новыми, более совершенными способами обхождения со своим опытом. При этой модели знания и умения прио- бретаются</w:t>
      </w:r>
      <w:r>
        <w:rPr>
          <w:color w:val="231F20"/>
          <w:spacing w:val="-8"/>
        </w:rPr>
        <w:t> </w:t>
      </w:r>
      <w:r>
        <w:rPr>
          <w:color w:val="231F20"/>
        </w:rPr>
        <w:t>не</w:t>
      </w:r>
      <w:r>
        <w:rPr>
          <w:color w:val="231F20"/>
          <w:spacing w:val="-8"/>
        </w:rPr>
        <w:t> </w:t>
      </w:r>
      <w:r>
        <w:rPr>
          <w:color w:val="231F20"/>
        </w:rPr>
        <w:t>столько</w:t>
      </w:r>
      <w:r>
        <w:rPr>
          <w:color w:val="231F20"/>
          <w:spacing w:val="-8"/>
        </w:rPr>
        <w:t> </w:t>
      </w:r>
      <w:r>
        <w:rPr>
          <w:color w:val="231F20"/>
        </w:rPr>
        <w:t>во</w:t>
      </w:r>
      <w:r>
        <w:rPr>
          <w:color w:val="231F20"/>
          <w:spacing w:val="-8"/>
        </w:rPr>
        <w:t> </w:t>
      </w:r>
      <w:r>
        <w:rPr>
          <w:color w:val="231F20"/>
        </w:rPr>
        <w:t>время</w:t>
      </w:r>
      <w:r>
        <w:rPr>
          <w:color w:val="231F20"/>
          <w:spacing w:val="-8"/>
        </w:rPr>
        <w:t> </w:t>
      </w:r>
      <w:r>
        <w:rPr>
          <w:color w:val="231F20"/>
        </w:rPr>
        <w:t>тренинговых</w:t>
      </w:r>
      <w:r>
        <w:rPr>
          <w:color w:val="231F20"/>
          <w:spacing w:val="-8"/>
        </w:rPr>
        <w:t> </w:t>
      </w:r>
      <w:r>
        <w:rPr>
          <w:color w:val="231F20"/>
        </w:rPr>
        <w:t>занятий,</w:t>
      </w:r>
      <w:r>
        <w:rPr>
          <w:color w:val="231F20"/>
          <w:spacing w:val="-8"/>
        </w:rPr>
        <w:t> </w:t>
      </w:r>
      <w:r>
        <w:rPr>
          <w:color w:val="231F20"/>
        </w:rPr>
        <w:t>а</w:t>
      </w:r>
      <w:r>
        <w:rPr>
          <w:color w:val="231F20"/>
          <w:spacing w:val="-8"/>
        </w:rPr>
        <w:t> </w:t>
      </w:r>
      <w:r>
        <w:rPr>
          <w:color w:val="231F20"/>
        </w:rPr>
        <w:t>в</w:t>
      </w:r>
      <w:r>
        <w:rPr>
          <w:color w:val="231F20"/>
          <w:spacing w:val="-8"/>
        </w:rPr>
        <w:t> </w:t>
      </w:r>
      <w:r>
        <w:rPr>
          <w:color w:val="231F20"/>
        </w:rPr>
        <w:t>большей</w:t>
      </w:r>
      <w:r>
        <w:rPr>
          <w:color w:val="231F20"/>
          <w:spacing w:val="-8"/>
        </w:rPr>
        <w:t> </w:t>
      </w:r>
      <w:r>
        <w:rPr>
          <w:color w:val="231F20"/>
        </w:rPr>
        <w:t>степени</w:t>
      </w:r>
      <w:r>
        <w:rPr>
          <w:color w:val="231F20"/>
          <w:spacing w:val="-8"/>
        </w:rPr>
        <w:t> </w:t>
      </w:r>
      <w:r>
        <w:rPr>
          <w:color w:val="231F20"/>
        </w:rPr>
        <w:t>после</w:t>
      </w:r>
      <w:r>
        <w:rPr>
          <w:color w:val="231F20"/>
          <w:spacing w:val="-8"/>
        </w:rPr>
        <w:t> </w:t>
      </w:r>
      <w:r>
        <w:rPr>
          <w:color w:val="231F20"/>
        </w:rPr>
        <w:t>них. В области</w:t>
      </w:r>
      <w:r>
        <w:rPr>
          <w:color w:val="231F20"/>
          <w:spacing w:val="40"/>
        </w:rPr>
        <w:t> </w:t>
      </w:r>
      <w:r>
        <w:rPr>
          <w:color w:val="231F20"/>
        </w:rPr>
        <w:t>межкультурных</w:t>
      </w:r>
      <w:r>
        <w:rPr>
          <w:color w:val="231F20"/>
          <w:spacing w:val="40"/>
        </w:rPr>
        <w:t> </w:t>
      </w:r>
      <w:r>
        <w:rPr>
          <w:color w:val="231F20"/>
        </w:rPr>
        <w:t>отношений</w:t>
      </w:r>
      <w:r>
        <w:rPr>
          <w:color w:val="231F20"/>
          <w:spacing w:val="40"/>
        </w:rPr>
        <w:t> </w:t>
      </w:r>
      <w:r>
        <w:rPr>
          <w:color w:val="231F20"/>
        </w:rPr>
        <w:t>метод</w:t>
      </w:r>
      <w:r>
        <w:rPr>
          <w:color w:val="231F20"/>
          <w:spacing w:val="40"/>
        </w:rPr>
        <w:t> </w:t>
      </w:r>
      <w:r>
        <w:rPr>
          <w:color w:val="231F20"/>
        </w:rPr>
        <w:t>тренинга</w:t>
      </w:r>
      <w:r>
        <w:rPr>
          <w:color w:val="231F20"/>
          <w:spacing w:val="40"/>
        </w:rPr>
        <w:t> </w:t>
      </w:r>
      <w:r>
        <w:rPr>
          <w:color w:val="231F20"/>
        </w:rPr>
        <w:t>впервые</w:t>
      </w:r>
      <w:r>
        <w:rPr>
          <w:color w:val="231F20"/>
          <w:spacing w:val="40"/>
        </w:rPr>
        <w:t> </w:t>
      </w:r>
      <w:r>
        <w:rPr>
          <w:color w:val="231F20"/>
        </w:rPr>
        <w:t>был</w:t>
      </w:r>
      <w:r>
        <w:rPr>
          <w:color w:val="231F20"/>
          <w:spacing w:val="40"/>
        </w:rPr>
        <w:t> </w:t>
      </w:r>
      <w:r>
        <w:rPr>
          <w:color w:val="231F20"/>
        </w:rPr>
        <w:t>предложен</w:t>
      </w:r>
    </w:p>
    <w:p>
      <w:pPr>
        <w:pStyle w:val="BodyText"/>
        <w:spacing w:line="227" w:lineRule="exact"/>
        <w:ind w:right="140" w:firstLine="0"/>
        <w:jc w:val="right"/>
      </w:pPr>
      <w:r>
        <w:rPr>
          <w:color w:val="231F20"/>
          <w:spacing w:val="-2"/>
        </w:rPr>
        <w:t>Г. Триандисом,</w:t>
      </w:r>
      <w:r>
        <w:rPr>
          <w:color w:val="231F20"/>
          <w:spacing w:val="-4"/>
        </w:rPr>
        <w:t> </w:t>
      </w:r>
      <w:r>
        <w:rPr>
          <w:color w:val="231F20"/>
          <w:spacing w:val="-2"/>
        </w:rPr>
        <w:t>который</w:t>
      </w:r>
      <w:r>
        <w:rPr>
          <w:color w:val="231F20"/>
          <w:spacing w:val="-4"/>
        </w:rPr>
        <w:t> </w:t>
      </w:r>
      <w:r>
        <w:rPr>
          <w:color w:val="231F20"/>
          <w:spacing w:val="-2"/>
        </w:rPr>
        <w:t>считает,</w:t>
      </w:r>
      <w:r>
        <w:rPr>
          <w:color w:val="231F20"/>
          <w:spacing w:val="-4"/>
        </w:rPr>
        <w:t> </w:t>
      </w:r>
      <w:r>
        <w:rPr>
          <w:color w:val="231F20"/>
          <w:spacing w:val="-2"/>
        </w:rPr>
        <w:t>что</w:t>
      </w:r>
      <w:r>
        <w:rPr>
          <w:color w:val="231F20"/>
          <w:spacing w:val="-4"/>
        </w:rPr>
        <w:t> </w:t>
      </w:r>
      <w:r>
        <w:rPr>
          <w:color w:val="231F20"/>
          <w:spacing w:val="-2"/>
        </w:rPr>
        <w:t>с</w:t>
      </w:r>
      <w:r>
        <w:rPr>
          <w:color w:val="231F20"/>
          <w:spacing w:val="-4"/>
        </w:rPr>
        <w:t> </w:t>
      </w:r>
      <w:r>
        <w:rPr>
          <w:color w:val="231F20"/>
          <w:spacing w:val="-2"/>
        </w:rPr>
        <w:t>помощью</w:t>
      </w:r>
      <w:r>
        <w:rPr>
          <w:color w:val="231F20"/>
          <w:spacing w:val="-4"/>
        </w:rPr>
        <w:t> </w:t>
      </w:r>
      <w:r>
        <w:rPr>
          <w:color w:val="231F20"/>
          <w:spacing w:val="-2"/>
        </w:rPr>
        <w:t>этого</w:t>
      </w:r>
      <w:r>
        <w:rPr>
          <w:color w:val="231F20"/>
          <w:spacing w:val="-4"/>
        </w:rPr>
        <w:t> </w:t>
      </w:r>
      <w:r>
        <w:rPr>
          <w:color w:val="231F20"/>
          <w:spacing w:val="-2"/>
        </w:rPr>
        <w:t>метода</w:t>
      </w:r>
      <w:r>
        <w:rPr>
          <w:color w:val="231F20"/>
          <w:spacing w:val="-4"/>
        </w:rPr>
        <w:t> </w:t>
      </w:r>
      <w:r>
        <w:rPr>
          <w:color w:val="231F20"/>
          <w:spacing w:val="-2"/>
        </w:rPr>
        <w:t>происходит</w:t>
      </w:r>
      <w:r>
        <w:rPr>
          <w:color w:val="231F20"/>
          <w:spacing w:val="-3"/>
        </w:rPr>
        <w:t> </w:t>
      </w:r>
      <w:r>
        <w:rPr>
          <w:color w:val="231F20"/>
          <w:spacing w:val="-2"/>
        </w:rPr>
        <w:t>знакомство</w:t>
      </w:r>
    </w:p>
    <w:p>
      <w:pPr>
        <w:pStyle w:val="BodyText"/>
        <w:spacing w:after="0" w:line="227" w:lineRule="exact"/>
        <w:jc w:val="right"/>
        <w:sectPr>
          <w:pgSz w:w="8400" w:h="11910"/>
          <w:pgMar w:header="0" w:footer="542"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pStyle w:val="BodyText"/>
        <w:spacing w:line="235" w:lineRule="auto" w:before="116"/>
        <w:ind w:firstLine="0"/>
      </w:pPr>
      <w:r>
        <w:rPr>
          <w:color w:val="231F20"/>
        </w:rPr>
        <w:t>с межкультурными различиями в межличностных отношениях путем проигрывания ситуаций,</w:t>
      </w:r>
      <w:r>
        <w:rPr>
          <w:color w:val="231F20"/>
          <w:spacing w:val="-9"/>
        </w:rPr>
        <w:t> </w:t>
      </w:r>
      <w:r>
        <w:rPr>
          <w:color w:val="231F20"/>
        </w:rPr>
        <w:t>по-разному</w:t>
      </w:r>
      <w:r>
        <w:rPr>
          <w:color w:val="231F20"/>
          <w:spacing w:val="-9"/>
        </w:rPr>
        <w:t> </w:t>
      </w:r>
      <w:r>
        <w:rPr>
          <w:color w:val="231F20"/>
        </w:rPr>
        <w:t>протекающих</w:t>
      </w:r>
      <w:r>
        <w:rPr>
          <w:color w:val="231F20"/>
          <w:spacing w:val="-9"/>
        </w:rPr>
        <w:t> </w:t>
      </w:r>
      <w:r>
        <w:rPr>
          <w:color w:val="231F20"/>
        </w:rPr>
        <w:t>в</w:t>
      </w:r>
      <w:r>
        <w:rPr>
          <w:color w:val="231F20"/>
          <w:spacing w:val="-9"/>
        </w:rPr>
        <w:t> </w:t>
      </w:r>
      <w:r>
        <w:rPr>
          <w:color w:val="231F20"/>
        </w:rPr>
        <w:t>различных</w:t>
      </w:r>
      <w:r>
        <w:rPr>
          <w:color w:val="231F20"/>
          <w:spacing w:val="-9"/>
        </w:rPr>
        <w:t> </w:t>
      </w:r>
      <w:r>
        <w:rPr>
          <w:color w:val="231F20"/>
        </w:rPr>
        <w:t>культурах.</w:t>
      </w:r>
      <w:r>
        <w:rPr>
          <w:color w:val="231F20"/>
          <w:spacing w:val="-9"/>
        </w:rPr>
        <w:t> </w:t>
      </w:r>
      <w:r>
        <w:rPr>
          <w:color w:val="231F20"/>
        </w:rPr>
        <w:t>В</w:t>
      </w:r>
      <w:r>
        <w:rPr>
          <w:color w:val="231F20"/>
          <w:spacing w:val="-6"/>
        </w:rPr>
        <w:t> </w:t>
      </w:r>
      <w:r>
        <w:rPr>
          <w:color w:val="231F20"/>
        </w:rPr>
        <w:t>процессе</w:t>
      </w:r>
      <w:r>
        <w:rPr>
          <w:color w:val="231F20"/>
          <w:spacing w:val="-9"/>
        </w:rPr>
        <w:t> </w:t>
      </w:r>
      <w:r>
        <w:rPr>
          <w:color w:val="231F20"/>
        </w:rPr>
        <w:t>тренинга,</w:t>
      </w:r>
      <w:r>
        <w:rPr>
          <w:color w:val="231F20"/>
          <w:spacing w:val="-9"/>
        </w:rPr>
        <w:t> </w:t>
      </w:r>
      <w:r>
        <w:rPr>
          <w:color w:val="231F20"/>
        </w:rPr>
        <w:t>по его мнению, происходит знакомство с чужой культурой посредством эмоционально окрашенной деятельности, повторного проигрывания ситуаций и их анализа. В</w:t>
      </w:r>
      <w:r>
        <w:rPr>
          <w:color w:val="231F20"/>
          <w:spacing w:val="-4"/>
        </w:rPr>
        <w:t> </w:t>
      </w:r>
      <w:r>
        <w:rPr>
          <w:color w:val="231F20"/>
        </w:rPr>
        <w:t>ре- зультате становится возможным перенос полученных знаний на новые ситуации.</w:t>
      </w:r>
    </w:p>
    <w:p>
      <w:pPr>
        <w:pStyle w:val="BodyText"/>
        <w:spacing w:line="235" w:lineRule="auto" w:before="3"/>
      </w:pPr>
      <w:r>
        <w:rPr>
          <w:color w:val="231F20"/>
        </w:rPr>
        <w:t>Формирование</w:t>
      </w:r>
      <w:r>
        <w:rPr>
          <w:color w:val="231F20"/>
          <w:spacing w:val="-10"/>
        </w:rPr>
        <w:t> </w:t>
      </w:r>
      <w:r>
        <w:rPr>
          <w:color w:val="231F20"/>
        </w:rPr>
        <w:t>межкультурной</w:t>
      </w:r>
      <w:r>
        <w:rPr>
          <w:color w:val="231F20"/>
          <w:spacing w:val="-10"/>
        </w:rPr>
        <w:t> </w:t>
      </w:r>
      <w:r>
        <w:rPr>
          <w:color w:val="231F20"/>
        </w:rPr>
        <w:t>компетентности</w:t>
      </w:r>
      <w:r>
        <w:rPr>
          <w:color w:val="231F20"/>
          <w:spacing w:val="-10"/>
        </w:rPr>
        <w:t> </w:t>
      </w:r>
      <w:r>
        <w:rPr>
          <w:color w:val="231F20"/>
        </w:rPr>
        <w:t>педагога</w:t>
      </w:r>
      <w:r>
        <w:rPr>
          <w:color w:val="231F20"/>
          <w:spacing w:val="-10"/>
        </w:rPr>
        <w:t> </w:t>
      </w:r>
      <w:r>
        <w:rPr>
          <w:color w:val="231F20"/>
        </w:rPr>
        <w:t>осуществляется</w:t>
      </w:r>
      <w:r>
        <w:rPr>
          <w:color w:val="231F20"/>
          <w:spacing w:val="-10"/>
        </w:rPr>
        <w:t> </w:t>
      </w:r>
      <w:r>
        <w:rPr>
          <w:color w:val="231F20"/>
        </w:rPr>
        <w:t>посред- ством межкультурного тренинга. Подробное описание межкультурного тренинга, а также активности для его проведения представлены в Инструментарии, раздел 4.1. Отметим, что общие принципы планирования межкультурного тренинга и подбора упражнений универсальны, поэтому при планировании межкультурного тренинга для педагогов вполне возможно воспользоваться материалами данного раздела.</w:t>
      </w:r>
    </w:p>
    <w:p>
      <w:pPr>
        <w:spacing w:line="227" w:lineRule="exact" w:before="111"/>
        <w:ind w:left="425" w:right="0" w:firstLine="0"/>
        <w:jc w:val="both"/>
        <w:rPr>
          <w:b/>
          <w:sz w:val="20"/>
        </w:rPr>
      </w:pPr>
      <w:r>
        <w:rPr>
          <w:b/>
          <w:color w:val="231F20"/>
          <w:sz w:val="20"/>
        </w:rPr>
        <w:t>Сильные</w:t>
      </w:r>
      <w:r>
        <w:rPr>
          <w:b/>
          <w:color w:val="231F20"/>
          <w:spacing w:val="-2"/>
          <w:sz w:val="20"/>
        </w:rPr>
        <w:t> </w:t>
      </w:r>
      <w:r>
        <w:rPr>
          <w:b/>
          <w:color w:val="231F20"/>
          <w:sz w:val="20"/>
        </w:rPr>
        <w:t>стороны</w:t>
      </w:r>
      <w:r>
        <w:rPr>
          <w:b/>
          <w:color w:val="231F20"/>
          <w:spacing w:val="-2"/>
          <w:sz w:val="20"/>
        </w:rPr>
        <w:t> практики</w:t>
      </w:r>
    </w:p>
    <w:p>
      <w:pPr>
        <w:pStyle w:val="BodyText"/>
        <w:spacing w:line="232" w:lineRule="auto" w:before="3"/>
      </w:pPr>
      <w:r>
        <w:rPr>
          <w:color w:val="231F20"/>
        </w:rPr>
        <w:t>К</w:t>
      </w:r>
      <w:r>
        <w:rPr>
          <w:color w:val="231F20"/>
          <w:spacing w:val="-13"/>
        </w:rPr>
        <w:t> </w:t>
      </w:r>
      <w:r>
        <w:rPr>
          <w:color w:val="231F20"/>
        </w:rPr>
        <w:t>сильным</w:t>
      </w:r>
      <w:r>
        <w:rPr>
          <w:color w:val="231F20"/>
          <w:spacing w:val="-12"/>
        </w:rPr>
        <w:t> </w:t>
      </w:r>
      <w:r>
        <w:rPr>
          <w:color w:val="231F20"/>
        </w:rPr>
        <w:t>сторонам</w:t>
      </w:r>
      <w:r>
        <w:rPr>
          <w:color w:val="231F20"/>
          <w:spacing w:val="-13"/>
        </w:rPr>
        <w:t> </w:t>
      </w:r>
      <w:r>
        <w:rPr>
          <w:color w:val="231F20"/>
        </w:rPr>
        <w:t>практики</w:t>
      </w:r>
      <w:r>
        <w:rPr>
          <w:color w:val="231F20"/>
          <w:spacing w:val="-12"/>
        </w:rPr>
        <w:t> </w:t>
      </w:r>
      <w:r>
        <w:rPr>
          <w:color w:val="231F20"/>
        </w:rPr>
        <w:t>относится</w:t>
      </w:r>
      <w:r>
        <w:rPr>
          <w:color w:val="231F20"/>
          <w:spacing w:val="-13"/>
        </w:rPr>
        <w:t> </w:t>
      </w:r>
      <w:r>
        <w:rPr>
          <w:color w:val="231F20"/>
        </w:rPr>
        <w:t>в</w:t>
      </w:r>
      <w:r>
        <w:rPr>
          <w:color w:val="231F20"/>
          <w:spacing w:val="-12"/>
        </w:rPr>
        <w:t> </w:t>
      </w:r>
      <w:r>
        <w:rPr>
          <w:color w:val="231F20"/>
        </w:rPr>
        <w:t>первую</w:t>
      </w:r>
      <w:r>
        <w:rPr>
          <w:color w:val="231F20"/>
          <w:spacing w:val="-13"/>
        </w:rPr>
        <w:t> </w:t>
      </w:r>
      <w:r>
        <w:rPr>
          <w:color w:val="231F20"/>
        </w:rPr>
        <w:t>очередь</w:t>
      </w:r>
      <w:r>
        <w:rPr>
          <w:color w:val="231F20"/>
          <w:spacing w:val="-12"/>
        </w:rPr>
        <w:t> </w:t>
      </w:r>
      <w:r>
        <w:rPr>
          <w:color w:val="231F20"/>
        </w:rPr>
        <w:t>повышение</w:t>
      </w:r>
      <w:r>
        <w:rPr>
          <w:color w:val="231F20"/>
          <w:spacing w:val="-13"/>
        </w:rPr>
        <w:t> </w:t>
      </w:r>
      <w:r>
        <w:rPr>
          <w:color w:val="231F20"/>
        </w:rPr>
        <w:t>эффектив- ности</w:t>
      </w:r>
      <w:r>
        <w:rPr>
          <w:color w:val="231F20"/>
          <w:spacing w:val="-5"/>
        </w:rPr>
        <w:t> </w:t>
      </w:r>
      <w:r>
        <w:rPr>
          <w:color w:val="231F20"/>
        </w:rPr>
        <w:t>образовательного</w:t>
      </w:r>
      <w:r>
        <w:rPr>
          <w:color w:val="231F20"/>
          <w:spacing w:val="-5"/>
        </w:rPr>
        <w:t> </w:t>
      </w:r>
      <w:r>
        <w:rPr>
          <w:color w:val="231F20"/>
        </w:rPr>
        <w:t>процесса</w:t>
      </w:r>
      <w:r>
        <w:rPr>
          <w:color w:val="231F20"/>
          <w:spacing w:val="-4"/>
        </w:rPr>
        <w:t> </w:t>
      </w:r>
      <w:r>
        <w:rPr>
          <w:color w:val="231F20"/>
        </w:rPr>
        <w:t>в</w:t>
      </w:r>
      <w:r>
        <w:rPr>
          <w:color w:val="231F20"/>
          <w:spacing w:val="-5"/>
        </w:rPr>
        <w:t> </w:t>
      </w:r>
      <w:r>
        <w:rPr>
          <w:color w:val="231F20"/>
        </w:rPr>
        <w:t>ситуации</w:t>
      </w:r>
      <w:r>
        <w:rPr>
          <w:color w:val="231F20"/>
          <w:spacing w:val="-4"/>
        </w:rPr>
        <w:t> </w:t>
      </w:r>
      <w:r>
        <w:rPr>
          <w:color w:val="231F20"/>
        </w:rPr>
        <w:t>межкультурной</w:t>
      </w:r>
      <w:r>
        <w:rPr>
          <w:color w:val="231F20"/>
          <w:spacing w:val="-5"/>
        </w:rPr>
        <w:t> </w:t>
      </w:r>
      <w:r>
        <w:rPr>
          <w:color w:val="231F20"/>
        </w:rPr>
        <w:t>коммуникации.</w:t>
      </w:r>
      <w:r>
        <w:rPr>
          <w:color w:val="231F20"/>
          <w:spacing w:val="-4"/>
        </w:rPr>
        <w:t> </w:t>
      </w:r>
      <w:r>
        <w:rPr>
          <w:color w:val="231F20"/>
        </w:rPr>
        <w:t>Парал- лельная работа с когнитивными и технологическими навыками учителей приводит</w:t>
      </w:r>
      <w:r>
        <w:rPr>
          <w:color w:val="231F20"/>
          <w:spacing w:val="80"/>
        </w:rPr>
        <w:t> </w:t>
      </w:r>
      <w:r>
        <w:rPr>
          <w:color w:val="231F20"/>
        </w:rPr>
        <w:t>к повышению уровня теоретических и практических знаний, более эффективному</w:t>
      </w:r>
      <w:r>
        <w:rPr>
          <w:color w:val="231F20"/>
          <w:spacing w:val="40"/>
        </w:rPr>
        <w:t> </w:t>
      </w:r>
      <w:r>
        <w:rPr>
          <w:color w:val="231F20"/>
        </w:rPr>
        <w:t>их применению. Сильной является как содержательная сторона предложенного тре- нинга (содержание когнитивного компонента), так и сама форма его подготовки и </w:t>
      </w:r>
      <w:r>
        <w:rPr>
          <w:color w:val="231F20"/>
          <w:spacing w:val="-2"/>
        </w:rPr>
        <w:t>проведения.</w:t>
      </w:r>
    </w:p>
    <w:p>
      <w:pPr>
        <w:spacing w:line="227" w:lineRule="exact" w:before="79"/>
        <w:ind w:left="425" w:right="0" w:firstLine="0"/>
        <w:jc w:val="both"/>
        <w:rPr>
          <w:b/>
          <w:sz w:val="20"/>
        </w:rPr>
      </w:pPr>
      <w:r>
        <w:rPr>
          <w:b/>
          <w:sz w:val="20"/>
        </w:rPr>
        <w:t>Требования</w:t>
      </w:r>
      <w:r>
        <w:rPr>
          <w:b/>
          <w:spacing w:val="-9"/>
          <w:sz w:val="20"/>
        </w:rPr>
        <w:t> </w:t>
      </w:r>
      <w:r>
        <w:rPr>
          <w:b/>
          <w:sz w:val="20"/>
        </w:rPr>
        <w:t>к</w:t>
      </w:r>
      <w:r>
        <w:rPr>
          <w:b/>
          <w:spacing w:val="-8"/>
          <w:sz w:val="20"/>
        </w:rPr>
        <w:t> </w:t>
      </w:r>
      <w:r>
        <w:rPr>
          <w:b/>
          <w:spacing w:val="-2"/>
          <w:sz w:val="20"/>
        </w:rPr>
        <w:t>проведению</w:t>
      </w:r>
    </w:p>
    <w:p>
      <w:pPr>
        <w:pStyle w:val="BodyText"/>
        <w:spacing w:line="224" w:lineRule="exact"/>
        <w:ind w:left="425" w:right="0" w:firstLine="0"/>
      </w:pPr>
      <w:r>
        <w:rPr>
          <w:color w:val="231F20"/>
        </w:rPr>
        <w:t>Требования</w:t>
      </w:r>
      <w:r>
        <w:rPr>
          <w:color w:val="231F20"/>
          <w:spacing w:val="-7"/>
        </w:rPr>
        <w:t> </w:t>
      </w:r>
      <w:r>
        <w:rPr>
          <w:color w:val="231F20"/>
        </w:rPr>
        <w:t>к</w:t>
      </w:r>
      <w:r>
        <w:rPr>
          <w:color w:val="231F20"/>
          <w:spacing w:val="-5"/>
        </w:rPr>
        <w:t> </w:t>
      </w:r>
      <w:r>
        <w:rPr>
          <w:color w:val="231F20"/>
        </w:rPr>
        <w:t>проведению</w:t>
      </w:r>
      <w:r>
        <w:rPr>
          <w:color w:val="231F20"/>
          <w:spacing w:val="-6"/>
        </w:rPr>
        <w:t> </w:t>
      </w:r>
      <w:r>
        <w:rPr>
          <w:color w:val="231F20"/>
        </w:rPr>
        <w:t>разделяются</w:t>
      </w:r>
      <w:r>
        <w:rPr>
          <w:color w:val="231F20"/>
          <w:spacing w:val="-5"/>
        </w:rPr>
        <w:t> </w:t>
      </w:r>
      <w:r>
        <w:rPr>
          <w:color w:val="231F20"/>
        </w:rPr>
        <w:t>на</w:t>
      </w:r>
      <w:r>
        <w:rPr>
          <w:color w:val="231F20"/>
          <w:spacing w:val="-5"/>
        </w:rPr>
        <w:t> </w:t>
      </w:r>
      <w:r>
        <w:rPr>
          <w:color w:val="231F20"/>
        </w:rPr>
        <w:t>технические</w:t>
      </w:r>
      <w:r>
        <w:rPr>
          <w:color w:val="231F20"/>
          <w:spacing w:val="-5"/>
        </w:rPr>
        <w:t> </w:t>
      </w:r>
      <w:r>
        <w:rPr>
          <w:color w:val="231F20"/>
        </w:rPr>
        <w:t>и</w:t>
      </w:r>
      <w:r>
        <w:rPr>
          <w:color w:val="231F20"/>
          <w:spacing w:val="-5"/>
        </w:rPr>
        <w:t> </w:t>
      </w:r>
      <w:r>
        <w:rPr>
          <w:color w:val="231F20"/>
          <w:spacing w:val="-2"/>
        </w:rPr>
        <w:t>профессиональные.</w:t>
      </w:r>
    </w:p>
    <w:p>
      <w:pPr>
        <w:pStyle w:val="ListParagraph"/>
        <w:numPr>
          <w:ilvl w:val="0"/>
          <w:numId w:val="83"/>
        </w:numPr>
        <w:tabs>
          <w:tab w:pos="423" w:val="left" w:leader="none"/>
          <w:tab w:pos="425" w:val="left" w:leader="none"/>
        </w:tabs>
        <w:spacing w:line="232" w:lineRule="auto" w:before="2" w:after="0"/>
        <w:ind w:left="425" w:right="139" w:hanging="284"/>
        <w:jc w:val="both"/>
        <w:rPr>
          <w:sz w:val="20"/>
        </w:rPr>
      </w:pPr>
      <w:r>
        <w:rPr>
          <w:color w:val="231F20"/>
          <w:sz w:val="20"/>
        </w:rPr>
        <w:t>К</w:t>
      </w:r>
      <w:r>
        <w:rPr>
          <w:color w:val="231F20"/>
          <w:spacing w:val="-13"/>
          <w:sz w:val="20"/>
        </w:rPr>
        <w:t> </w:t>
      </w:r>
      <w:r>
        <w:rPr>
          <w:color w:val="231F20"/>
          <w:sz w:val="20"/>
        </w:rPr>
        <w:t>техническим</w:t>
      </w:r>
      <w:r>
        <w:rPr>
          <w:color w:val="231F20"/>
          <w:spacing w:val="-12"/>
          <w:sz w:val="20"/>
        </w:rPr>
        <w:t> </w:t>
      </w:r>
      <w:r>
        <w:rPr>
          <w:color w:val="231F20"/>
          <w:sz w:val="20"/>
        </w:rPr>
        <w:t>требованиям</w:t>
      </w:r>
      <w:r>
        <w:rPr>
          <w:color w:val="231F20"/>
          <w:spacing w:val="-13"/>
          <w:sz w:val="20"/>
        </w:rPr>
        <w:t> </w:t>
      </w:r>
      <w:r>
        <w:rPr>
          <w:color w:val="231F20"/>
          <w:sz w:val="20"/>
        </w:rPr>
        <w:t>относится</w:t>
      </w:r>
      <w:r>
        <w:rPr>
          <w:color w:val="231F20"/>
          <w:spacing w:val="-12"/>
          <w:sz w:val="20"/>
        </w:rPr>
        <w:t> </w:t>
      </w:r>
      <w:r>
        <w:rPr>
          <w:color w:val="231F20"/>
          <w:sz w:val="20"/>
        </w:rPr>
        <w:t>наличие</w:t>
      </w:r>
      <w:r>
        <w:rPr>
          <w:color w:val="231F20"/>
          <w:spacing w:val="-13"/>
          <w:sz w:val="20"/>
        </w:rPr>
        <w:t> </w:t>
      </w:r>
      <w:r>
        <w:rPr>
          <w:color w:val="231F20"/>
          <w:sz w:val="20"/>
        </w:rPr>
        <w:t>бумаги,</w:t>
      </w:r>
      <w:r>
        <w:rPr>
          <w:color w:val="231F20"/>
          <w:spacing w:val="-12"/>
          <w:sz w:val="20"/>
        </w:rPr>
        <w:t> </w:t>
      </w:r>
      <w:r>
        <w:rPr>
          <w:color w:val="231F20"/>
          <w:sz w:val="20"/>
        </w:rPr>
        <w:t>досок,</w:t>
      </w:r>
      <w:r>
        <w:rPr>
          <w:color w:val="231F20"/>
          <w:spacing w:val="-13"/>
          <w:sz w:val="20"/>
        </w:rPr>
        <w:t> </w:t>
      </w:r>
      <w:r>
        <w:rPr>
          <w:color w:val="231F20"/>
          <w:sz w:val="20"/>
        </w:rPr>
        <w:t>инструкций,</w:t>
      </w:r>
      <w:r>
        <w:rPr>
          <w:color w:val="231F20"/>
          <w:spacing w:val="-12"/>
          <w:sz w:val="20"/>
        </w:rPr>
        <w:t> </w:t>
      </w:r>
      <w:r>
        <w:rPr>
          <w:color w:val="231F20"/>
          <w:sz w:val="20"/>
        </w:rPr>
        <w:t>флип- чартов, заранее подготовленных карточек с вопросами для обсуждения. Осталь- ные требования относятся к профессиональным.</w:t>
      </w:r>
    </w:p>
    <w:p>
      <w:pPr>
        <w:pStyle w:val="ListParagraph"/>
        <w:numPr>
          <w:ilvl w:val="0"/>
          <w:numId w:val="83"/>
        </w:numPr>
        <w:tabs>
          <w:tab w:pos="423" w:val="left" w:leader="none"/>
          <w:tab w:pos="425" w:val="left" w:leader="none"/>
        </w:tabs>
        <w:spacing w:line="235" w:lineRule="auto" w:before="1" w:after="0"/>
        <w:ind w:left="425" w:right="139" w:hanging="284"/>
        <w:jc w:val="both"/>
        <w:rPr>
          <w:sz w:val="20"/>
        </w:rPr>
      </w:pPr>
      <w:r>
        <w:rPr>
          <w:color w:val="231F20"/>
          <w:sz w:val="20"/>
        </w:rPr>
        <w:t>Организатор тренинга должен понимать специфику аудитории и место проведе- ния практики.</w:t>
      </w:r>
    </w:p>
    <w:p>
      <w:pPr>
        <w:pStyle w:val="ListParagraph"/>
        <w:numPr>
          <w:ilvl w:val="0"/>
          <w:numId w:val="83"/>
        </w:numPr>
        <w:tabs>
          <w:tab w:pos="423" w:val="left" w:leader="none"/>
          <w:tab w:pos="425" w:val="left" w:leader="none"/>
        </w:tabs>
        <w:spacing w:line="235" w:lineRule="auto" w:before="1" w:after="0"/>
        <w:ind w:left="425" w:right="139" w:hanging="284"/>
        <w:jc w:val="both"/>
        <w:rPr>
          <w:sz w:val="20"/>
        </w:rPr>
      </w:pPr>
      <w:r>
        <w:rPr>
          <w:color w:val="231F20"/>
          <w:sz w:val="20"/>
        </w:rPr>
        <w:t>Организатор</w:t>
      </w:r>
      <w:r>
        <w:rPr>
          <w:color w:val="231F20"/>
          <w:spacing w:val="-2"/>
          <w:sz w:val="20"/>
        </w:rPr>
        <w:t> </w:t>
      </w:r>
      <w:r>
        <w:rPr>
          <w:color w:val="231F20"/>
          <w:sz w:val="20"/>
        </w:rPr>
        <w:t>должен</w:t>
      </w:r>
      <w:r>
        <w:rPr>
          <w:color w:val="231F20"/>
          <w:spacing w:val="-2"/>
          <w:sz w:val="20"/>
        </w:rPr>
        <w:t> </w:t>
      </w:r>
      <w:r>
        <w:rPr>
          <w:color w:val="231F20"/>
          <w:sz w:val="20"/>
        </w:rPr>
        <w:t>обладать</w:t>
      </w:r>
      <w:r>
        <w:rPr>
          <w:color w:val="231F20"/>
          <w:spacing w:val="-2"/>
          <w:sz w:val="20"/>
        </w:rPr>
        <w:t> </w:t>
      </w:r>
      <w:r>
        <w:rPr>
          <w:color w:val="231F20"/>
          <w:sz w:val="20"/>
        </w:rPr>
        <w:t>глубокими</w:t>
      </w:r>
      <w:r>
        <w:rPr>
          <w:color w:val="231F20"/>
          <w:spacing w:val="-2"/>
          <w:sz w:val="20"/>
        </w:rPr>
        <w:t> </w:t>
      </w:r>
      <w:r>
        <w:rPr>
          <w:color w:val="231F20"/>
          <w:sz w:val="20"/>
        </w:rPr>
        <w:t>знаниями</w:t>
      </w:r>
      <w:r>
        <w:rPr>
          <w:color w:val="231F20"/>
          <w:spacing w:val="-2"/>
          <w:sz w:val="20"/>
        </w:rPr>
        <w:t> </w:t>
      </w:r>
      <w:r>
        <w:rPr>
          <w:color w:val="231F20"/>
          <w:sz w:val="20"/>
        </w:rPr>
        <w:t>о</w:t>
      </w:r>
      <w:r>
        <w:rPr>
          <w:color w:val="231F20"/>
          <w:spacing w:val="-2"/>
          <w:sz w:val="20"/>
        </w:rPr>
        <w:t> </w:t>
      </w:r>
      <w:r>
        <w:rPr>
          <w:color w:val="231F20"/>
          <w:sz w:val="20"/>
        </w:rPr>
        <w:t>культурной</w:t>
      </w:r>
      <w:r>
        <w:rPr>
          <w:color w:val="231F20"/>
          <w:spacing w:val="-2"/>
          <w:sz w:val="20"/>
        </w:rPr>
        <w:t> </w:t>
      </w:r>
      <w:r>
        <w:rPr>
          <w:color w:val="231F20"/>
          <w:sz w:val="20"/>
        </w:rPr>
        <w:t>специфике</w:t>
      </w:r>
      <w:r>
        <w:rPr>
          <w:color w:val="231F20"/>
          <w:spacing w:val="-2"/>
          <w:sz w:val="20"/>
        </w:rPr>
        <w:t> </w:t>
      </w:r>
      <w:r>
        <w:rPr>
          <w:color w:val="231F20"/>
          <w:sz w:val="20"/>
        </w:rPr>
        <w:t>раз- личных этнических групп.</w:t>
      </w:r>
    </w:p>
    <w:p>
      <w:pPr>
        <w:pStyle w:val="ListParagraph"/>
        <w:numPr>
          <w:ilvl w:val="0"/>
          <w:numId w:val="83"/>
        </w:numPr>
        <w:tabs>
          <w:tab w:pos="423" w:val="left" w:leader="none"/>
          <w:tab w:pos="425" w:val="left" w:leader="none"/>
        </w:tabs>
        <w:spacing w:line="235" w:lineRule="auto" w:before="2" w:after="0"/>
        <w:ind w:left="425" w:right="139" w:hanging="284"/>
        <w:jc w:val="both"/>
        <w:rPr>
          <w:sz w:val="20"/>
        </w:rPr>
      </w:pPr>
      <w:r>
        <w:rPr>
          <w:color w:val="231F20"/>
          <w:spacing w:val="-2"/>
          <w:sz w:val="20"/>
        </w:rPr>
        <w:t>Организатор тренинга должен обладать навыками межкультурной коммуникации, </w:t>
      </w:r>
      <w:r>
        <w:rPr>
          <w:color w:val="231F20"/>
          <w:sz w:val="20"/>
        </w:rPr>
        <w:t>высоким уровнем эмпатии и межкультурной сензитивности.</w:t>
      </w:r>
    </w:p>
    <w:p>
      <w:pPr>
        <w:pStyle w:val="ListParagraph"/>
        <w:numPr>
          <w:ilvl w:val="0"/>
          <w:numId w:val="83"/>
        </w:numPr>
        <w:tabs>
          <w:tab w:pos="423" w:val="left" w:leader="none"/>
          <w:tab w:pos="425" w:val="left" w:leader="none"/>
        </w:tabs>
        <w:spacing w:line="235" w:lineRule="auto" w:before="1" w:after="0"/>
        <w:ind w:left="425" w:right="139" w:hanging="284"/>
        <w:jc w:val="both"/>
        <w:rPr>
          <w:sz w:val="20"/>
        </w:rPr>
      </w:pPr>
      <w:r>
        <w:rPr>
          <w:color w:val="231F20"/>
          <w:sz w:val="20"/>
        </w:rPr>
        <w:t>Организатор</w:t>
      </w:r>
      <w:r>
        <w:rPr>
          <w:color w:val="231F20"/>
          <w:spacing w:val="-13"/>
          <w:sz w:val="20"/>
        </w:rPr>
        <w:t> </w:t>
      </w:r>
      <w:r>
        <w:rPr>
          <w:color w:val="231F20"/>
          <w:sz w:val="20"/>
        </w:rPr>
        <w:t>тренинга</w:t>
      </w:r>
      <w:r>
        <w:rPr>
          <w:color w:val="231F20"/>
          <w:spacing w:val="-12"/>
          <w:sz w:val="20"/>
        </w:rPr>
        <w:t> </w:t>
      </w:r>
      <w:r>
        <w:rPr>
          <w:color w:val="231F20"/>
          <w:sz w:val="20"/>
        </w:rPr>
        <w:t>должен</w:t>
      </w:r>
      <w:r>
        <w:rPr>
          <w:color w:val="231F20"/>
          <w:spacing w:val="-13"/>
          <w:sz w:val="20"/>
        </w:rPr>
        <w:t> </w:t>
      </w:r>
      <w:r>
        <w:rPr>
          <w:color w:val="231F20"/>
          <w:sz w:val="20"/>
        </w:rPr>
        <w:t>иметь</w:t>
      </w:r>
      <w:r>
        <w:rPr>
          <w:color w:val="231F20"/>
          <w:spacing w:val="-12"/>
          <w:sz w:val="20"/>
        </w:rPr>
        <w:t> </w:t>
      </w:r>
      <w:r>
        <w:rPr>
          <w:color w:val="231F20"/>
          <w:sz w:val="20"/>
        </w:rPr>
        <w:t>навык</w:t>
      </w:r>
      <w:r>
        <w:rPr>
          <w:color w:val="231F20"/>
          <w:spacing w:val="-13"/>
          <w:sz w:val="20"/>
        </w:rPr>
        <w:t> </w:t>
      </w:r>
      <w:r>
        <w:rPr>
          <w:color w:val="231F20"/>
          <w:sz w:val="20"/>
        </w:rPr>
        <w:t>распознавания</w:t>
      </w:r>
      <w:r>
        <w:rPr>
          <w:color w:val="231F20"/>
          <w:spacing w:val="-12"/>
          <w:sz w:val="20"/>
        </w:rPr>
        <w:t> </w:t>
      </w:r>
      <w:r>
        <w:rPr>
          <w:color w:val="231F20"/>
          <w:sz w:val="20"/>
        </w:rPr>
        <w:t>стереотипов</w:t>
      </w:r>
      <w:r>
        <w:rPr>
          <w:color w:val="231F20"/>
          <w:spacing w:val="-13"/>
          <w:sz w:val="20"/>
        </w:rPr>
        <w:t> </w:t>
      </w:r>
      <w:r>
        <w:rPr>
          <w:color w:val="231F20"/>
          <w:sz w:val="20"/>
        </w:rPr>
        <w:t>и</w:t>
      </w:r>
      <w:r>
        <w:rPr>
          <w:color w:val="231F20"/>
          <w:spacing w:val="-12"/>
          <w:sz w:val="20"/>
        </w:rPr>
        <w:t> </w:t>
      </w:r>
      <w:r>
        <w:rPr>
          <w:color w:val="231F20"/>
          <w:sz w:val="20"/>
        </w:rPr>
        <w:t>предубе- ждений, а также уметь их вербализовать для снижения негативного эффекта при их неосознанном проявлении.</w:t>
      </w:r>
    </w:p>
    <w:p>
      <w:pPr>
        <w:spacing w:line="228" w:lineRule="exact" w:before="78"/>
        <w:ind w:left="425" w:right="0" w:firstLine="0"/>
        <w:jc w:val="both"/>
        <w:rPr>
          <w:b/>
          <w:sz w:val="20"/>
        </w:rPr>
      </w:pPr>
      <w:r>
        <w:rPr>
          <w:b/>
          <w:color w:val="231F20"/>
          <w:spacing w:val="-2"/>
          <w:sz w:val="20"/>
        </w:rPr>
        <w:t>Где</w:t>
      </w:r>
      <w:r>
        <w:rPr>
          <w:b/>
          <w:color w:val="231F20"/>
          <w:spacing w:val="-12"/>
          <w:sz w:val="20"/>
        </w:rPr>
        <w:t> </w:t>
      </w:r>
      <w:r>
        <w:rPr>
          <w:b/>
          <w:color w:val="231F20"/>
          <w:spacing w:val="-2"/>
          <w:sz w:val="20"/>
        </w:rPr>
        <w:t>научиться?</w:t>
      </w:r>
    </w:p>
    <w:p>
      <w:pPr>
        <w:pStyle w:val="BodyText"/>
        <w:spacing w:line="235" w:lineRule="auto" w:before="2"/>
      </w:pPr>
      <w:r>
        <w:rPr>
          <w:color w:val="231F20"/>
        </w:rPr>
        <w:t>Лучшим способом научиться конструировать тренинг и посредством тренинга развивать межкультурную компетентность являются разного рода программы. От- дельными примерами программ могут выступать проекты Центра толерантности </w:t>
      </w:r>
      <w:hyperlink r:id="rId90">
        <w:r>
          <w:rPr>
            <w:color w:val="1E69B4"/>
            <w:spacing w:val="-2"/>
          </w:rPr>
          <w:t>https://www.jewish-museum.ru/tolerance-center/projects/</w:t>
        </w:r>
      </w:hyperlink>
    </w:p>
    <w:p>
      <w:pPr>
        <w:pStyle w:val="BodyText"/>
        <w:spacing w:line="235" w:lineRule="auto" w:before="2"/>
        <w:ind w:right="138"/>
      </w:pPr>
      <w:r>
        <w:rPr>
          <w:color w:val="231F20"/>
        </w:rPr>
        <w:t>Также элементы тренинга и примеры полезных техник описаны в учебнике по поликультурному</w:t>
      </w:r>
      <w:r>
        <w:rPr>
          <w:color w:val="231F20"/>
          <w:spacing w:val="-12"/>
        </w:rPr>
        <w:t> </w:t>
      </w:r>
      <w:r>
        <w:rPr>
          <w:color w:val="231F20"/>
        </w:rPr>
        <w:t>образованию</w:t>
      </w:r>
      <w:r>
        <w:rPr>
          <w:color w:val="231F20"/>
          <w:spacing w:val="-12"/>
        </w:rPr>
        <w:t> </w:t>
      </w:r>
      <w:r>
        <w:rPr>
          <w:color w:val="231F20"/>
        </w:rPr>
        <w:t>(Хухлаева,</w:t>
      </w:r>
      <w:r>
        <w:rPr>
          <w:color w:val="231F20"/>
          <w:spacing w:val="-12"/>
        </w:rPr>
        <w:t> </w:t>
      </w:r>
      <w:r>
        <w:rPr>
          <w:color w:val="231F20"/>
        </w:rPr>
        <w:t>2014)</w:t>
      </w:r>
      <w:r>
        <w:rPr>
          <w:color w:val="231F20"/>
          <w:spacing w:val="-12"/>
        </w:rPr>
        <w:t> </w:t>
      </w:r>
      <w:r>
        <w:rPr>
          <w:color w:val="231F20"/>
        </w:rPr>
        <w:t>и</w:t>
      </w:r>
      <w:r>
        <w:rPr>
          <w:color w:val="231F20"/>
          <w:spacing w:val="-12"/>
        </w:rPr>
        <w:t> </w:t>
      </w:r>
      <w:r>
        <w:rPr>
          <w:color w:val="231F20"/>
        </w:rPr>
        <w:t>в</w:t>
      </w:r>
      <w:r>
        <w:rPr>
          <w:color w:val="231F20"/>
          <w:spacing w:val="-12"/>
        </w:rPr>
        <w:t> </w:t>
      </w:r>
      <w:r>
        <w:rPr>
          <w:color w:val="231F20"/>
        </w:rPr>
        <w:t>пособии</w:t>
      </w:r>
      <w:r>
        <w:rPr>
          <w:color w:val="231F20"/>
          <w:spacing w:val="-12"/>
        </w:rPr>
        <w:t> </w:t>
      </w:r>
      <w:r>
        <w:rPr>
          <w:color w:val="231F20"/>
        </w:rPr>
        <w:t>по</w:t>
      </w:r>
      <w:r>
        <w:rPr>
          <w:color w:val="231F20"/>
          <w:spacing w:val="-12"/>
        </w:rPr>
        <w:t> </w:t>
      </w:r>
      <w:r>
        <w:rPr>
          <w:color w:val="231F20"/>
        </w:rPr>
        <w:t>межкультурному</w:t>
      </w:r>
      <w:r>
        <w:rPr>
          <w:color w:val="231F20"/>
          <w:spacing w:val="-12"/>
        </w:rPr>
        <w:t> </w:t>
      </w:r>
      <w:r>
        <w:rPr>
          <w:color w:val="231F20"/>
        </w:rPr>
        <w:t>ди- алогу в школе (Лебедева, Лунева, Стефаненко, 2004).</w:t>
      </w:r>
    </w:p>
    <w:p>
      <w:pPr>
        <w:spacing w:line="228" w:lineRule="exact" w:before="78"/>
        <w:ind w:left="425" w:right="0" w:firstLine="0"/>
        <w:jc w:val="both"/>
        <w:rPr>
          <w:b/>
          <w:sz w:val="20"/>
        </w:rPr>
      </w:pPr>
      <w:r>
        <w:rPr>
          <w:b/>
          <w:color w:val="231F20"/>
          <w:sz w:val="20"/>
        </w:rPr>
        <w:t>Доказательность</w:t>
      </w:r>
      <w:r>
        <w:rPr>
          <w:b/>
          <w:color w:val="231F20"/>
          <w:spacing w:val="-12"/>
          <w:sz w:val="20"/>
        </w:rPr>
        <w:t> </w:t>
      </w:r>
      <w:r>
        <w:rPr>
          <w:b/>
          <w:color w:val="231F20"/>
          <w:spacing w:val="-2"/>
          <w:sz w:val="20"/>
        </w:rPr>
        <w:t>практики</w:t>
      </w:r>
    </w:p>
    <w:p>
      <w:pPr>
        <w:pStyle w:val="BodyText"/>
        <w:spacing w:line="235" w:lineRule="auto" w:before="2"/>
      </w:pPr>
      <w:r>
        <w:rPr>
          <w:color w:val="231F20"/>
        </w:rPr>
        <w:t>Теоретическим основанием тренинга являются многолетние исследования, дока- завшие эффективность его использования в экспериенциальном обучении.</w:t>
      </w:r>
    </w:p>
    <w:p>
      <w:pPr>
        <w:pStyle w:val="BodyText"/>
        <w:spacing w:after="0" w:line="235" w:lineRule="auto"/>
        <w:sectPr>
          <w:pgSz w:w="8400" w:h="11910"/>
          <w:pgMar w:header="0" w:footer="542" w:top="400" w:bottom="740" w:left="425" w:right="425"/>
        </w:sectPr>
      </w:pPr>
    </w:p>
    <w:p>
      <w:pPr>
        <w:spacing w:before="80"/>
        <w:ind w:left="141" w:right="0" w:firstLine="0"/>
        <w:jc w:val="left"/>
        <w:rPr>
          <w:rFonts w:ascii="Georgia" w:hAnsi="Georgia"/>
          <w:sz w:val="18"/>
        </w:rPr>
      </w:pPr>
      <w:r>
        <w:rPr>
          <w:rFonts w:ascii="Georgia" w:hAnsi="Georgia"/>
          <w:color w:val="231F20"/>
          <w:sz w:val="18"/>
        </w:rPr>
        <w:t>2.2.</w:t>
      </w:r>
      <w:r>
        <w:rPr>
          <w:rFonts w:ascii="Georgia" w:hAnsi="Georgia"/>
          <w:color w:val="231F20"/>
          <w:spacing w:val="-4"/>
          <w:sz w:val="18"/>
        </w:rPr>
        <w:t> </w:t>
      </w:r>
      <w:r>
        <w:rPr>
          <w:rFonts w:ascii="Georgia" w:hAnsi="Georgia"/>
          <w:color w:val="231F20"/>
          <w:sz w:val="18"/>
        </w:rPr>
        <w:t>Технологии</w:t>
      </w:r>
      <w:r>
        <w:rPr>
          <w:rFonts w:ascii="Georgia" w:hAnsi="Georgia"/>
          <w:color w:val="231F20"/>
          <w:spacing w:val="-3"/>
          <w:sz w:val="18"/>
        </w:rPr>
        <w:t> </w:t>
      </w:r>
      <w:r>
        <w:rPr>
          <w:rFonts w:ascii="Georgia" w:hAnsi="Georgia"/>
          <w:color w:val="231F20"/>
          <w:sz w:val="18"/>
        </w:rPr>
        <w:t>повышения</w:t>
      </w:r>
      <w:r>
        <w:rPr>
          <w:rFonts w:ascii="Georgia" w:hAnsi="Georgia"/>
          <w:color w:val="231F20"/>
          <w:spacing w:val="37"/>
          <w:sz w:val="18"/>
        </w:rPr>
        <w:t> </w:t>
      </w:r>
      <w:r>
        <w:rPr>
          <w:rFonts w:ascii="Georgia" w:hAnsi="Georgia"/>
          <w:color w:val="231F20"/>
          <w:sz w:val="18"/>
        </w:rPr>
        <w:t>межкультурной</w:t>
      </w:r>
      <w:r>
        <w:rPr>
          <w:rFonts w:ascii="Georgia" w:hAnsi="Georgia"/>
          <w:color w:val="231F20"/>
          <w:spacing w:val="-4"/>
          <w:sz w:val="18"/>
        </w:rPr>
        <w:t> </w:t>
      </w:r>
      <w:r>
        <w:rPr>
          <w:rFonts w:ascii="Georgia" w:hAnsi="Georgia"/>
          <w:color w:val="231F20"/>
          <w:sz w:val="18"/>
        </w:rPr>
        <w:t>компетентности</w:t>
      </w:r>
      <w:r>
        <w:rPr>
          <w:rFonts w:ascii="Georgia" w:hAnsi="Georgia"/>
          <w:color w:val="231F20"/>
          <w:spacing w:val="-3"/>
          <w:sz w:val="18"/>
        </w:rPr>
        <w:t> </w:t>
      </w:r>
      <w:r>
        <w:rPr>
          <w:rFonts w:ascii="Georgia" w:hAnsi="Georgia"/>
          <w:color w:val="231F20"/>
          <w:spacing w:val="-2"/>
          <w:sz w:val="18"/>
        </w:rPr>
        <w:t>педагогов</w:t>
      </w:r>
    </w:p>
    <w:p>
      <w:pPr>
        <w:spacing w:line="206" w:lineRule="exact" w:before="114"/>
        <w:ind w:left="425" w:right="0" w:firstLine="0"/>
        <w:jc w:val="left"/>
        <w:rPr>
          <w:b/>
          <w:sz w:val="18"/>
        </w:rPr>
      </w:pPr>
      <w:r>
        <w:rPr>
          <w:b/>
          <w:color w:val="231F20"/>
          <w:spacing w:val="-2"/>
          <w:sz w:val="18"/>
        </w:rPr>
        <w:t>Литература</w:t>
      </w:r>
    </w:p>
    <w:p>
      <w:pPr>
        <w:pStyle w:val="ListParagraph"/>
        <w:numPr>
          <w:ilvl w:val="0"/>
          <w:numId w:val="84"/>
        </w:numPr>
        <w:tabs>
          <w:tab w:pos="708" w:val="left" w:leader="none"/>
        </w:tabs>
        <w:spacing w:line="240" w:lineRule="auto" w:before="0" w:after="0"/>
        <w:ind w:left="708" w:right="423" w:hanging="284"/>
        <w:jc w:val="left"/>
        <w:rPr>
          <w:sz w:val="18"/>
        </w:rPr>
      </w:pPr>
      <w:r>
        <w:rPr>
          <w:color w:val="231F20"/>
          <w:sz w:val="18"/>
        </w:rPr>
        <w:t>Лебедева</w:t>
      </w:r>
      <w:r>
        <w:rPr>
          <w:color w:val="231F20"/>
          <w:spacing w:val="27"/>
          <w:sz w:val="18"/>
        </w:rPr>
        <w:t> </w:t>
      </w:r>
      <w:r>
        <w:rPr>
          <w:color w:val="231F20"/>
          <w:sz w:val="18"/>
        </w:rPr>
        <w:t>Н.М.,</w:t>
      </w:r>
      <w:r>
        <w:rPr>
          <w:color w:val="231F20"/>
          <w:spacing w:val="27"/>
          <w:sz w:val="18"/>
        </w:rPr>
        <w:t> </w:t>
      </w:r>
      <w:r>
        <w:rPr>
          <w:color w:val="231F20"/>
          <w:sz w:val="18"/>
        </w:rPr>
        <w:t>Стефаненко</w:t>
      </w:r>
      <w:r>
        <w:rPr>
          <w:color w:val="231F20"/>
          <w:spacing w:val="27"/>
          <w:sz w:val="18"/>
        </w:rPr>
        <w:t> </w:t>
      </w:r>
      <w:r>
        <w:rPr>
          <w:color w:val="231F20"/>
          <w:sz w:val="18"/>
        </w:rPr>
        <w:t>Т.Г.,</w:t>
      </w:r>
      <w:r>
        <w:rPr>
          <w:color w:val="231F20"/>
          <w:spacing w:val="27"/>
          <w:sz w:val="18"/>
        </w:rPr>
        <w:t> </w:t>
      </w:r>
      <w:r>
        <w:rPr>
          <w:color w:val="231F20"/>
          <w:sz w:val="18"/>
        </w:rPr>
        <w:t>Лунева</w:t>
      </w:r>
      <w:r>
        <w:rPr>
          <w:color w:val="231F20"/>
          <w:spacing w:val="27"/>
          <w:sz w:val="18"/>
        </w:rPr>
        <w:t> </w:t>
      </w:r>
      <w:r>
        <w:rPr>
          <w:color w:val="231F20"/>
          <w:sz w:val="18"/>
        </w:rPr>
        <w:t>О.В.</w:t>
      </w:r>
      <w:r>
        <w:rPr>
          <w:color w:val="231F20"/>
          <w:spacing w:val="27"/>
          <w:sz w:val="18"/>
        </w:rPr>
        <w:t> </w:t>
      </w:r>
      <w:r>
        <w:rPr>
          <w:color w:val="231F20"/>
          <w:sz w:val="18"/>
        </w:rPr>
        <w:t>Межкультурный</w:t>
      </w:r>
      <w:r>
        <w:rPr>
          <w:color w:val="231F20"/>
          <w:spacing w:val="27"/>
          <w:sz w:val="18"/>
        </w:rPr>
        <w:t> </w:t>
      </w:r>
      <w:r>
        <w:rPr>
          <w:color w:val="231F20"/>
          <w:sz w:val="18"/>
        </w:rPr>
        <w:t>диалог</w:t>
      </w:r>
      <w:r>
        <w:rPr>
          <w:color w:val="231F20"/>
          <w:spacing w:val="27"/>
          <w:sz w:val="18"/>
        </w:rPr>
        <w:t> </w:t>
      </w:r>
      <w:r>
        <w:rPr>
          <w:color w:val="231F20"/>
          <w:sz w:val="18"/>
        </w:rPr>
        <w:t>в</w:t>
      </w:r>
      <w:r>
        <w:rPr>
          <w:color w:val="231F20"/>
          <w:spacing w:val="27"/>
          <w:sz w:val="18"/>
        </w:rPr>
        <w:t> </w:t>
      </w:r>
      <w:r>
        <w:rPr>
          <w:color w:val="231F20"/>
          <w:sz w:val="18"/>
        </w:rPr>
        <w:t>школе. Кн. 1. Теория и методология: Научное издание. – М.: Изд-во РУДН. 2004. – 195 с.</w:t>
      </w:r>
    </w:p>
    <w:p>
      <w:pPr>
        <w:pStyle w:val="ListParagraph"/>
        <w:numPr>
          <w:ilvl w:val="0"/>
          <w:numId w:val="84"/>
        </w:numPr>
        <w:tabs>
          <w:tab w:pos="708" w:val="left" w:leader="none"/>
        </w:tabs>
        <w:spacing w:line="240" w:lineRule="auto" w:before="0" w:after="0"/>
        <w:ind w:left="708" w:right="423" w:hanging="284"/>
        <w:jc w:val="left"/>
        <w:rPr>
          <w:sz w:val="18"/>
        </w:rPr>
      </w:pPr>
      <w:r>
        <w:rPr>
          <w:color w:val="231F20"/>
          <w:sz w:val="18"/>
        </w:rPr>
        <w:t>Поликультурное образование: учебник для бакалавров / О.В. Хухлаева, Э.Р. Хаки- мов, О.Е. Хухлаев. – М.: Издательство Юрайт, 2014. – 283 с.</w:t>
      </w:r>
    </w:p>
    <w:p>
      <w:pPr>
        <w:pStyle w:val="ListParagraph"/>
        <w:numPr>
          <w:ilvl w:val="0"/>
          <w:numId w:val="84"/>
        </w:numPr>
        <w:tabs>
          <w:tab w:pos="708" w:val="left" w:leader="none"/>
        </w:tabs>
        <w:spacing w:line="240" w:lineRule="auto" w:before="0" w:after="0"/>
        <w:ind w:left="708" w:right="423" w:hanging="284"/>
        <w:jc w:val="left"/>
        <w:rPr>
          <w:sz w:val="18"/>
        </w:rPr>
      </w:pPr>
      <w:r>
        <w:rPr>
          <w:color w:val="231F20"/>
          <w:sz w:val="18"/>
        </w:rPr>
        <w:t>Садохин</w:t>
      </w:r>
      <w:r>
        <w:rPr>
          <w:color w:val="231F20"/>
          <w:spacing w:val="19"/>
          <w:sz w:val="18"/>
        </w:rPr>
        <w:t> </w:t>
      </w:r>
      <w:r>
        <w:rPr>
          <w:color w:val="231F20"/>
          <w:sz w:val="18"/>
        </w:rPr>
        <w:t>А.П.</w:t>
      </w:r>
      <w:r>
        <w:rPr>
          <w:color w:val="231F20"/>
          <w:spacing w:val="19"/>
          <w:sz w:val="18"/>
        </w:rPr>
        <w:t> </w:t>
      </w:r>
      <w:r>
        <w:rPr>
          <w:color w:val="231F20"/>
          <w:sz w:val="18"/>
        </w:rPr>
        <w:t>Межкультурная</w:t>
      </w:r>
      <w:r>
        <w:rPr>
          <w:color w:val="231F20"/>
          <w:spacing w:val="19"/>
          <w:sz w:val="18"/>
        </w:rPr>
        <w:t> </w:t>
      </w:r>
      <w:r>
        <w:rPr>
          <w:color w:val="231F20"/>
          <w:sz w:val="18"/>
        </w:rPr>
        <w:t>коммуникация:</w:t>
      </w:r>
      <w:r>
        <w:rPr>
          <w:color w:val="231F20"/>
          <w:spacing w:val="19"/>
          <w:sz w:val="18"/>
        </w:rPr>
        <w:t> </w:t>
      </w:r>
      <w:r>
        <w:rPr>
          <w:color w:val="231F20"/>
          <w:sz w:val="18"/>
        </w:rPr>
        <w:t>Учебное</w:t>
      </w:r>
      <w:r>
        <w:rPr>
          <w:color w:val="231F20"/>
          <w:spacing w:val="19"/>
          <w:sz w:val="18"/>
        </w:rPr>
        <w:t> </w:t>
      </w:r>
      <w:r>
        <w:rPr>
          <w:color w:val="231F20"/>
          <w:sz w:val="18"/>
        </w:rPr>
        <w:t>пособие.</w:t>
      </w:r>
      <w:r>
        <w:rPr>
          <w:color w:val="231F20"/>
          <w:spacing w:val="19"/>
          <w:sz w:val="18"/>
        </w:rPr>
        <w:t> </w:t>
      </w:r>
      <w:r>
        <w:rPr>
          <w:color w:val="231F20"/>
          <w:sz w:val="18"/>
        </w:rPr>
        <w:t>–</w:t>
      </w:r>
      <w:r>
        <w:rPr>
          <w:color w:val="231F20"/>
          <w:spacing w:val="19"/>
          <w:sz w:val="18"/>
        </w:rPr>
        <w:t> </w:t>
      </w:r>
      <w:r>
        <w:rPr>
          <w:color w:val="231F20"/>
          <w:sz w:val="18"/>
        </w:rPr>
        <w:t>М.:</w:t>
      </w:r>
      <w:r>
        <w:rPr>
          <w:color w:val="231F20"/>
          <w:spacing w:val="19"/>
          <w:sz w:val="18"/>
        </w:rPr>
        <w:t> </w:t>
      </w:r>
      <w:r>
        <w:rPr>
          <w:color w:val="231F20"/>
          <w:sz w:val="18"/>
        </w:rPr>
        <w:t>Альфа-М, НИЦ ИНФРА-М, 2014. – 288 с.</w:t>
      </w:r>
    </w:p>
    <w:p>
      <w:pPr>
        <w:pStyle w:val="ListParagraph"/>
        <w:numPr>
          <w:ilvl w:val="0"/>
          <w:numId w:val="84"/>
        </w:numPr>
        <w:tabs>
          <w:tab w:pos="708" w:val="left" w:leader="none"/>
        </w:tabs>
        <w:spacing w:line="240" w:lineRule="auto" w:before="0" w:after="0"/>
        <w:ind w:left="708" w:right="422" w:hanging="284"/>
        <w:jc w:val="both"/>
        <w:rPr>
          <w:sz w:val="18"/>
        </w:rPr>
      </w:pPr>
      <w:r>
        <w:rPr>
          <w:color w:val="231F20"/>
          <w:spacing w:val="-2"/>
          <w:sz w:val="18"/>
        </w:rPr>
        <w:t>Стефаненко Т.Г. Этнопсихология: практикум: учебное пособие для студентов вузов, </w:t>
      </w:r>
      <w:r>
        <w:rPr>
          <w:color w:val="231F20"/>
          <w:sz w:val="18"/>
        </w:rPr>
        <w:t>обучающихся по направлению и специальностям психологии. – М.: Аспект Пресс, 2008. – 208 с.</w:t>
      </w:r>
    </w:p>
    <w:p>
      <w:pPr>
        <w:pStyle w:val="ListParagraph"/>
        <w:numPr>
          <w:ilvl w:val="0"/>
          <w:numId w:val="84"/>
        </w:numPr>
        <w:tabs>
          <w:tab w:pos="708" w:val="left" w:leader="none"/>
        </w:tabs>
        <w:spacing w:line="240" w:lineRule="auto" w:before="0" w:after="0"/>
        <w:ind w:left="708" w:right="423" w:hanging="284"/>
        <w:jc w:val="both"/>
        <w:rPr>
          <w:sz w:val="18"/>
        </w:rPr>
      </w:pPr>
      <w:r>
        <w:rPr>
          <w:color w:val="231F20"/>
          <w:sz w:val="18"/>
        </w:rPr>
        <w:t>Чибисова</w:t>
      </w:r>
      <w:r>
        <w:rPr>
          <w:color w:val="231F20"/>
          <w:spacing w:val="-5"/>
          <w:sz w:val="18"/>
        </w:rPr>
        <w:t> </w:t>
      </w:r>
      <w:r>
        <w:rPr>
          <w:color w:val="231F20"/>
          <w:sz w:val="18"/>
        </w:rPr>
        <w:t>М.Ю., Корнилова</w:t>
      </w:r>
      <w:r>
        <w:rPr>
          <w:color w:val="231F20"/>
          <w:spacing w:val="-5"/>
          <w:sz w:val="18"/>
        </w:rPr>
        <w:t> </w:t>
      </w:r>
      <w:r>
        <w:rPr>
          <w:color w:val="231F20"/>
          <w:sz w:val="18"/>
        </w:rPr>
        <w:t>М.В. Тренинг межкультурной компетентности для педагогов</w:t>
      </w:r>
      <w:r>
        <w:rPr>
          <w:color w:val="231F20"/>
          <w:spacing w:val="-4"/>
          <w:sz w:val="18"/>
        </w:rPr>
        <w:t> </w:t>
      </w:r>
      <w:r>
        <w:rPr>
          <w:color w:val="231F20"/>
          <w:sz w:val="18"/>
        </w:rPr>
        <w:t>//</w:t>
      </w:r>
      <w:r>
        <w:rPr>
          <w:color w:val="231F20"/>
          <w:spacing w:val="-4"/>
          <w:sz w:val="18"/>
        </w:rPr>
        <w:t> </w:t>
      </w:r>
      <w:r>
        <w:rPr>
          <w:color w:val="231F20"/>
          <w:sz w:val="18"/>
        </w:rPr>
        <w:t>Межкультурная</w:t>
      </w:r>
      <w:r>
        <w:rPr>
          <w:color w:val="231F20"/>
          <w:spacing w:val="-4"/>
          <w:sz w:val="18"/>
        </w:rPr>
        <w:t> </w:t>
      </w:r>
      <w:r>
        <w:rPr>
          <w:color w:val="231F20"/>
          <w:sz w:val="18"/>
        </w:rPr>
        <w:t>компетентность</w:t>
      </w:r>
      <w:r>
        <w:rPr>
          <w:color w:val="231F20"/>
          <w:spacing w:val="-4"/>
          <w:sz w:val="18"/>
        </w:rPr>
        <w:t> </w:t>
      </w:r>
      <w:r>
        <w:rPr>
          <w:color w:val="231F20"/>
          <w:sz w:val="18"/>
        </w:rPr>
        <w:t>педагога</w:t>
      </w:r>
      <w:r>
        <w:rPr>
          <w:color w:val="231F20"/>
          <w:spacing w:val="-4"/>
          <w:sz w:val="18"/>
        </w:rPr>
        <w:t> </w:t>
      </w:r>
      <w:r>
        <w:rPr>
          <w:color w:val="231F20"/>
          <w:sz w:val="18"/>
        </w:rPr>
        <w:t>в</w:t>
      </w:r>
      <w:r>
        <w:rPr>
          <w:color w:val="231F20"/>
          <w:spacing w:val="-4"/>
          <w:sz w:val="18"/>
        </w:rPr>
        <w:t> </w:t>
      </w:r>
      <w:r>
        <w:rPr>
          <w:color w:val="231F20"/>
          <w:sz w:val="18"/>
        </w:rPr>
        <w:t>поликультурном</w:t>
      </w:r>
      <w:r>
        <w:rPr>
          <w:color w:val="231F20"/>
          <w:spacing w:val="-4"/>
          <w:sz w:val="18"/>
        </w:rPr>
        <w:t> </w:t>
      </w:r>
      <w:r>
        <w:rPr>
          <w:color w:val="231F20"/>
          <w:sz w:val="18"/>
        </w:rPr>
        <w:t>образова- тельном пространстве. Научно-методические материалы /Под ред. Хухлаева О.Е., Чибисовой М.Ю. – СПб, 2008.</w:t>
      </w:r>
    </w:p>
    <w:p>
      <w:pPr>
        <w:pStyle w:val="ListParagraph"/>
        <w:spacing w:after="0" w:line="240" w:lineRule="auto"/>
        <w:jc w:val="both"/>
        <w:rPr>
          <w:sz w:val="18"/>
        </w:rPr>
        <w:sectPr>
          <w:pgSz w:w="8400" w:h="11910"/>
          <w:pgMar w:header="0" w:footer="542" w:top="400" w:bottom="740" w:left="425" w:right="425"/>
        </w:sect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spacing w:before="299"/>
        <w:ind w:left="0" w:right="0" w:firstLine="0"/>
        <w:jc w:val="left"/>
        <w:rPr>
          <w:sz w:val="28"/>
        </w:rPr>
      </w:pPr>
    </w:p>
    <w:p>
      <w:pPr>
        <w:spacing w:before="1"/>
        <w:ind w:left="303" w:right="303" w:firstLine="0"/>
        <w:jc w:val="center"/>
        <w:rPr>
          <w:rFonts w:ascii="Georgia" w:hAnsi="Georgia"/>
          <w:b/>
          <w:sz w:val="28"/>
        </w:rPr>
      </w:pPr>
      <w:bookmarkStart w:name="_bookmark53" w:id="55"/>
      <w:bookmarkEnd w:id="55"/>
      <w:r>
        <w:rPr/>
      </w:r>
      <w:r>
        <w:rPr>
          <w:rFonts w:ascii="Georgia" w:hAnsi="Georgia"/>
          <w:b/>
          <w:color w:val="231F20"/>
          <w:w w:val="90"/>
          <w:sz w:val="28"/>
        </w:rPr>
        <w:t>РАЗДЕЛ</w:t>
      </w:r>
      <w:r>
        <w:rPr>
          <w:rFonts w:ascii="Georgia" w:hAnsi="Georgia"/>
          <w:b/>
          <w:color w:val="231F20"/>
          <w:spacing w:val="6"/>
          <w:sz w:val="28"/>
        </w:rPr>
        <w:t> </w:t>
      </w:r>
      <w:r>
        <w:rPr>
          <w:rFonts w:ascii="Georgia" w:hAnsi="Georgia"/>
          <w:b/>
          <w:color w:val="231F20"/>
          <w:spacing w:val="-5"/>
          <w:sz w:val="28"/>
        </w:rPr>
        <w:t>3.</w:t>
      </w:r>
    </w:p>
    <w:p>
      <w:pPr>
        <w:spacing w:line="348" w:lineRule="auto" w:before="255"/>
        <w:ind w:left="1611" w:right="1610" w:firstLine="0"/>
        <w:jc w:val="center"/>
        <w:rPr>
          <w:rFonts w:ascii="Georgia" w:hAnsi="Georgia"/>
          <w:b/>
          <w:sz w:val="28"/>
        </w:rPr>
      </w:pPr>
      <w:r>
        <w:rPr>
          <w:rFonts w:ascii="Georgia" w:hAnsi="Georgia"/>
          <w:b/>
          <w:color w:val="231F20"/>
          <w:w w:val="90"/>
          <w:sz w:val="28"/>
        </w:rPr>
        <w:t>Работа</w:t>
      </w:r>
      <w:r>
        <w:rPr>
          <w:rFonts w:ascii="Georgia" w:hAnsi="Georgia"/>
          <w:b/>
          <w:color w:val="231F20"/>
          <w:spacing w:val="-11"/>
          <w:w w:val="90"/>
          <w:sz w:val="28"/>
        </w:rPr>
        <w:t> </w:t>
      </w:r>
      <w:r>
        <w:rPr>
          <w:rFonts w:ascii="Georgia" w:hAnsi="Georgia"/>
          <w:b/>
          <w:color w:val="231F20"/>
          <w:w w:val="90"/>
          <w:sz w:val="28"/>
        </w:rPr>
        <w:t>педагога</w:t>
      </w:r>
      <w:r>
        <w:rPr>
          <w:rFonts w:ascii="Georgia" w:hAnsi="Georgia"/>
          <w:b/>
          <w:color w:val="231F20"/>
          <w:spacing w:val="-11"/>
          <w:w w:val="90"/>
          <w:sz w:val="28"/>
        </w:rPr>
        <w:t> </w:t>
      </w:r>
      <w:r>
        <w:rPr>
          <w:rFonts w:ascii="Georgia" w:hAnsi="Georgia"/>
          <w:b/>
          <w:color w:val="231F20"/>
          <w:w w:val="90"/>
          <w:sz w:val="28"/>
        </w:rPr>
        <w:t>с</w:t>
      </w:r>
      <w:r>
        <w:rPr>
          <w:rFonts w:ascii="Georgia" w:hAnsi="Georgia"/>
          <w:b/>
          <w:color w:val="231F20"/>
          <w:spacing w:val="-10"/>
          <w:w w:val="90"/>
          <w:sz w:val="28"/>
        </w:rPr>
        <w:t> </w:t>
      </w:r>
      <w:r>
        <w:rPr>
          <w:rFonts w:ascii="Georgia" w:hAnsi="Georgia"/>
          <w:b/>
          <w:color w:val="231F20"/>
          <w:w w:val="90"/>
          <w:sz w:val="28"/>
        </w:rPr>
        <w:t>родителями</w:t>
      </w:r>
      <w:r>
        <w:rPr>
          <w:rFonts w:ascii="Georgia" w:hAnsi="Georgia"/>
          <w:b/>
          <w:color w:val="231F20"/>
          <w:spacing w:val="-11"/>
          <w:w w:val="90"/>
          <w:sz w:val="28"/>
        </w:rPr>
        <w:t> </w:t>
      </w:r>
      <w:r>
        <w:rPr>
          <w:rFonts w:ascii="Georgia" w:hAnsi="Georgia"/>
          <w:b/>
          <w:color w:val="231F20"/>
          <w:w w:val="90"/>
          <w:sz w:val="28"/>
        </w:rPr>
        <w:t>– </w:t>
      </w:r>
      <w:r>
        <w:rPr>
          <w:rFonts w:ascii="Georgia" w:hAnsi="Georgia"/>
          <w:b/>
          <w:color w:val="231F20"/>
          <w:spacing w:val="-10"/>
          <w:sz w:val="28"/>
        </w:rPr>
        <w:t>иностранными</w:t>
      </w:r>
      <w:r>
        <w:rPr>
          <w:rFonts w:ascii="Georgia" w:hAnsi="Georgia"/>
          <w:b/>
          <w:color w:val="231F20"/>
          <w:spacing w:val="-8"/>
          <w:sz w:val="28"/>
        </w:rPr>
        <w:t> </w:t>
      </w:r>
      <w:r>
        <w:rPr>
          <w:rFonts w:ascii="Georgia" w:hAnsi="Georgia"/>
          <w:b/>
          <w:color w:val="231F20"/>
          <w:spacing w:val="-10"/>
          <w:sz w:val="28"/>
        </w:rPr>
        <w:t>гражданами</w:t>
      </w:r>
    </w:p>
    <w:p>
      <w:pPr>
        <w:spacing w:after="0" w:line="348" w:lineRule="auto"/>
        <w:jc w:val="center"/>
        <w:rPr>
          <w:rFonts w:ascii="Georgia" w:hAnsi="Georgia"/>
          <w:b/>
          <w:sz w:val="28"/>
        </w:rPr>
        <w:sectPr>
          <w:footerReference w:type="default" r:id="rId91"/>
          <w:pgSz w:w="8400" w:h="11910"/>
          <w:pgMar w:header="0" w:footer="0" w:top="1340" w:bottom="280" w:left="425" w:right="425"/>
        </w:sectPr>
      </w:pPr>
    </w:p>
    <w:p>
      <w:pPr>
        <w:numPr>
          <w:ilvl w:val="1"/>
          <w:numId w:val="80"/>
        </w:numPr>
        <w:tabs>
          <w:tab w:pos="1793" w:val="left" w:leader="none"/>
          <w:tab w:pos="2041" w:val="left" w:leader="none"/>
        </w:tabs>
        <w:spacing w:line="235" w:lineRule="auto" w:before="77"/>
        <w:ind w:left="1793" w:right="1689" w:hanging="102"/>
        <w:jc w:val="left"/>
        <w:rPr>
          <w:b/>
          <w:sz w:val="20"/>
        </w:rPr>
      </w:pPr>
      <w:bookmarkStart w:name="_bookmark54" w:id="56"/>
      <w:bookmarkEnd w:id="56"/>
      <w:r>
        <w:rPr/>
      </w:r>
      <w:r>
        <w:rPr>
          <w:b/>
          <w:color w:val="231F20"/>
          <w:sz w:val="20"/>
        </w:rPr>
        <w:t>Методические</w:t>
      </w:r>
      <w:r>
        <w:rPr>
          <w:b/>
          <w:color w:val="231F20"/>
          <w:spacing w:val="-13"/>
          <w:sz w:val="20"/>
        </w:rPr>
        <w:t> </w:t>
      </w:r>
      <w:r>
        <w:rPr>
          <w:b/>
          <w:color w:val="231F20"/>
          <w:sz w:val="20"/>
        </w:rPr>
        <w:t>принципы</w:t>
      </w:r>
      <w:r>
        <w:rPr>
          <w:b/>
          <w:color w:val="231F20"/>
          <w:spacing w:val="-12"/>
          <w:sz w:val="20"/>
        </w:rPr>
        <w:t> </w:t>
      </w:r>
      <w:r>
        <w:rPr>
          <w:b/>
          <w:color w:val="231F20"/>
          <w:sz w:val="20"/>
        </w:rPr>
        <w:t>взаимодействия с родителями – иностранными гражданами</w:t>
      </w:r>
    </w:p>
    <w:p>
      <w:pPr>
        <w:spacing w:before="168"/>
        <w:ind w:left="141" w:right="139" w:firstLine="0"/>
        <w:jc w:val="right"/>
        <w:rPr>
          <w:i/>
          <w:sz w:val="20"/>
        </w:rPr>
      </w:pPr>
      <w:r>
        <w:rPr>
          <w:i/>
          <w:color w:val="231F20"/>
          <w:sz w:val="20"/>
        </w:rPr>
        <w:t>М.Ю. </w:t>
      </w:r>
      <w:r>
        <w:rPr>
          <w:i/>
          <w:color w:val="231F20"/>
          <w:spacing w:val="-2"/>
          <w:sz w:val="20"/>
        </w:rPr>
        <w:t>Чибисова</w:t>
      </w:r>
    </w:p>
    <w:p>
      <w:pPr>
        <w:numPr>
          <w:ilvl w:val="2"/>
          <w:numId w:val="80"/>
        </w:numPr>
        <w:tabs>
          <w:tab w:pos="1196" w:val="left" w:leader="none"/>
          <w:tab w:pos="2273" w:val="left" w:leader="none"/>
        </w:tabs>
        <w:spacing w:line="235" w:lineRule="auto" w:before="113"/>
        <w:ind w:left="2273" w:right="695" w:hanging="1577"/>
        <w:jc w:val="left"/>
        <w:rPr>
          <w:b/>
          <w:sz w:val="20"/>
        </w:rPr>
      </w:pPr>
      <w:r>
        <w:rPr>
          <w:b/>
          <w:color w:val="231F20"/>
          <w:sz w:val="20"/>
        </w:rPr>
        <w:t>Возможные</w:t>
      </w:r>
      <w:r>
        <w:rPr>
          <w:b/>
          <w:color w:val="231F20"/>
          <w:spacing w:val="-13"/>
          <w:sz w:val="20"/>
        </w:rPr>
        <w:t> </w:t>
      </w:r>
      <w:r>
        <w:rPr>
          <w:b/>
          <w:color w:val="231F20"/>
          <w:sz w:val="20"/>
        </w:rPr>
        <w:t>барьеры</w:t>
      </w:r>
      <w:r>
        <w:rPr>
          <w:b/>
          <w:color w:val="231F20"/>
          <w:spacing w:val="-12"/>
          <w:sz w:val="20"/>
        </w:rPr>
        <w:t> </w:t>
      </w:r>
      <w:r>
        <w:rPr>
          <w:b/>
          <w:color w:val="231F20"/>
          <w:sz w:val="20"/>
        </w:rPr>
        <w:t>во</w:t>
      </w:r>
      <w:r>
        <w:rPr>
          <w:b/>
          <w:color w:val="231F20"/>
          <w:spacing w:val="-13"/>
          <w:sz w:val="20"/>
        </w:rPr>
        <w:t> </w:t>
      </w:r>
      <w:r>
        <w:rPr>
          <w:b/>
          <w:color w:val="231F20"/>
          <w:sz w:val="20"/>
        </w:rPr>
        <w:t>взаимодействии</w:t>
      </w:r>
      <w:r>
        <w:rPr>
          <w:b/>
          <w:color w:val="231F20"/>
          <w:spacing w:val="-12"/>
          <w:sz w:val="20"/>
        </w:rPr>
        <w:t> </w:t>
      </w:r>
      <w:r>
        <w:rPr>
          <w:b/>
          <w:color w:val="231F20"/>
          <w:sz w:val="20"/>
        </w:rPr>
        <w:t>родителей-мигрантов с образовательным учреждением</w:t>
      </w:r>
    </w:p>
    <w:p>
      <w:pPr>
        <w:pStyle w:val="BodyText"/>
        <w:spacing w:line="235" w:lineRule="auto" w:before="114"/>
      </w:pPr>
      <w:r>
        <w:rPr>
          <w:color w:val="231F20"/>
        </w:rPr>
        <w:t>Оказание психологической помощи ребенку, родителям и семье в целом сопря- жено с рядом трудностей: проблемы корректной диагностики, распределения ответ- ственности, установления контакта и пр. Существенное место среди них принадле- </w:t>
      </w:r>
      <w:r>
        <w:rPr>
          <w:color w:val="231F20"/>
          <w:spacing w:val="-2"/>
        </w:rPr>
        <w:t>жит</w:t>
      </w:r>
      <w:r>
        <w:rPr>
          <w:color w:val="231F20"/>
          <w:spacing w:val="-3"/>
        </w:rPr>
        <w:t> </w:t>
      </w:r>
      <w:r>
        <w:rPr>
          <w:color w:val="231F20"/>
          <w:spacing w:val="-2"/>
        </w:rPr>
        <w:t>так</w:t>
      </w:r>
      <w:r>
        <w:rPr>
          <w:color w:val="231F20"/>
          <w:spacing w:val="-5"/>
        </w:rPr>
        <w:t> </w:t>
      </w:r>
      <w:r>
        <w:rPr>
          <w:color w:val="231F20"/>
          <w:spacing w:val="-2"/>
        </w:rPr>
        <w:t>называемым</w:t>
      </w:r>
      <w:r>
        <w:rPr>
          <w:color w:val="231F20"/>
          <w:spacing w:val="-5"/>
        </w:rPr>
        <w:t> </w:t>
      </w:r>
      <w:r>
        <w:rPr>
          <w:color w:val="231F20"/>
          <w:spacing w:val="-2"/>
        </w:rPr>
        <w:t>консультативным</w:t>
      </w:r>
      <w:r>
        <w:rPr>
          <w:color w:val="231F20"/>
          <w:spacing w:val="-3"/>
        </w:rPr>
        <w:t> </w:t>
      </w:r>
      <w:r>
        <w:rPr>
          <w:color w:val="231F20"/>
          <w:spacing w:val="-2"/>
        </w:rPr>
        <w:t>барьерам</w:t>
      </w:r>
      <w:r>
        <w:rPr>
          <w:color w:val="231F20"/>
          <w:spacing w:val="-5"/>
        </w:rPr>
        <w:t> </w:t>
      </w:r>
      <w:r>
        <w:rPr>
          <w:color w:val="231F20"/>
          <w:spacing w:val="-2"/>
        </w:rPr>
        <w:t>–</w:t>
      </w:r>
      <w:r>
        <w:rPr>
          <w:color w:val="231F20"/>
          <w:spacing w:val="-5"/>
        </w:rPr>
        <w:t> </w:t>
      </w:r>
      <w:r>
        <w:rPr>
          <w:color w:val="231F20"/>
          <w:spacing w:val="-2"/>
        </w:rPr>
        <w:t>факторам,</w:t>
      </w:r>
      <w:r>
        <w:rPr>
          <w:color w:val="231F20"/>
          <w:spacing w:val="-3"/>
        </w:rPr>
        <w:t> </w:t>
      </w:r>
      <w:r>
        <w:rPr>
          <w:color w:val="231F20"/>
          <w:spacing w:val="-2"/>
        </w:rPr>
        <w:t>затрудняющим</w:t>
      </w:r>
      <w:r>
        <w:rPr>
          <w:color w:val="231F20"/>
          <w:spacing w:val="-3"/>
        </w:rPr>
        <w:t> </w:t>
      </w:r>
      <w:r>
        <w:rPr>
          <w:color w:val="231F20"/>
          <w:spacing w:val="-2"/>
        </w:rPr>
        <w:t>оказание </w:t>
      </w:r>
      <w:r>
        <w:rPr>
          <w:color w:val="231F20"/>
        </w:rPr>
        <w:t>помощи. Данные барьеры, с одной стороны, препятствуют обращению родителей за помощью,</w:t>
      </w:r>
      <w:r>
        <w:rPr>
          <w:color w:val="231F20"/>
          <w:spacing w:val="-6"/>
        </w:rPr>
        <w:t> </w:t>
      </w:r>
      <w:r>
        <w:rPr>
          <w:color w:val="231F20"/>
        </w:rPr>
        <w:t>а</w:t>
      </w:r>
      <w:r>
        <w:rPr>
          <w:color w:val="231F20"/>
          <w:spacing w:val="-6"/>
        </w:rPr>
        <w:t> </w:t>
      </w:r>
      <w:r>
        <w:rPr>
          <w:color w:val="231F20"/>
        </w:rPr>
        <w:t>с</w:t>
      </w:r>
      <w:r>
        <w:rPr>
          <w:color w:val="231F20"/>
          <w:spacing w:val="-6"/>
        </w:rPr>
        <w:t> </w:t>
      </w:r>
      <w:r>
        <w:rPr>
          <w:color w:val="231F20"/>
        </w:rPr>
        <w:t>другой</w:t>
      </w:r>
      <w:r>
        <w:rPr>
          <w:color w:val="231F20"/>
          <w:spacing w:val="-6"/>
        </w:rPr>
        <w:t> </w:t>
      </w:r>
      <w:r>
        <w:rPr>
          <w:color w:val="231F20"/>
        </w:rPr>
        <w:t>–</w:t>
      </w:r>
      <w:r>
        <w:rPr>
          <w:color w:val="231F20"/>
          <w:spacing w:val="-6"/>
        </w:rPr>
        <w:t> </w:t>
      </w:r>
      <w:r>
        <w:rPr>
          <w:color w:val="231F20"/>
        </w:rPr>
        <w:t>приводят</w:t>
      </w:r>
      <w:r>
        <w:rPr>
          <w:color w:val="231F20"/>
          <w:spacing w:val="-6"/>
        </w:rPr>
        <w:t> </w:t>
      </w:r>
      <w:r>
        <w:rPr>
          <w:color w:val="231F20"/>
        </w:rPr>
        <w:t>к</w:t>
      </w:r>
      <w:r>
        <w:rPr>
          <w:color w:val="231F20"/>
          <w:spacing w:val="-6"/>
        </w:rPr>
        <w:t> </w:t>
      </w:r>
      <w:r>
        <w:rPr>
          <w:color w:val="231F20"/>
        </w:rPr>
        <w:t>преждевременному</w:t>
      </w:r>
      <w:r>
        <w:rPr>
          <w:color w:val="231F20"/>
          <w:spacing w:val="-6"/>
        </w:rPr>
        <w:t> </w:t>
      </w:r>
      <w:r>
        <w:rPr>
          <w:color w:val="231F20"/>
        </w:rPr>
        <w:t>прекращению</w:t>
      </w:r>
      <w:r>
        <w:rPr>
          <w:color w:val="231F20"/>
          <w:spacing w:val="-6"/>
        </w:rPr>
        <w:t> </w:t>
      </w:r>
      <w:r>
        <w:rPr>
          <w:color w:val="231F20"/>
        </w:rPr>
        <w:t>сотрудничества с психологом.</w:t>
      </w:r>
    </w:p>
    <w:p>
      <w:pPr>
        <w:pStyle w:val="BodyText"/>
        <w:spacing w:line="232" w:lineRule="auto"/>
      </w:pPr>
      <w:r>
        <w:rPr>
          <w:color w:val="231F20"/>
        </w:rPr>
        <w:t>Мы</w:t>
      </w:r>
      <w:r>
        <w:rPr>
          <w:color w:val="231F20"/>
          <w:spacing w:val="-4"/>
        </w:rPr>
        <w:t> </w:t>
      </w:r>
      <w:r>
        <w:rPr>
          <w:color w:val="231F20"/>
        </w:rPr>
        <w:t>выделили</w:t>
      </w:r>
      <w:r>
        <w:rPr>
          <w:color w:val="231F20"/>
          <w:spacing w:val="-4"/>
        </w:rPr>
        <w:t> </w:t>
      </w:r>
      <w:r>
        <w:rPr>
          <w:color w:val="231F20"/>
        </w:rPr>
        <w:t>следующие</w:t>
      </w:r>
      <w:r>
        <w:rPr>
          <w:color w:val="231F20"/>
          <w:spacing w:val="-4"/>
        </w:rPr>
        <w:t> </w:t>
      </w:r>
      <w:r>
        <w:rPr>
          <w:color w:val="231F20"/>
        </w:rPr>
        <w:t>группы</w:t>
      </w:r>
      <w:r>
        <w:rPr>
          <w:color w:val="231F20"/>
          <w:spacing w:val="-4"/>
        </w:rPr>
        <w:t> </w:t>
      </w:r>
      <w:r>
        <w:rPr>
          <w:color w:val="231F20"/>
        </w:rPr>
        <w:t>барьеров</w:t>
      </w:r>
      <w:r>
        <w:rPr>
          <w:color w:val="231F20"/>
          <w:spacing w:val="-4"/>
        </w:rPr>
        <w:t> </w:t>
      </w:r>
      <w:r>
        <w:rPr>
          <w:color w:val="231F20"/>
        </w:rPr>
        <w:t>во</w:t>
      </w:r>
      <w:r>
        <w:rPr>
          <w:color w:val="231F20"/>
          <w:spacing w:val="-4"/>
        </w:rPr>
        <w:t> </w:t>
      </w:r>
      <w:r>
        <w:rPr>
          <w:color w:val="231F20"/>
        </w:rPr>
        <w:t>взаимодействии</w:t>
      </w:r>
      <w:r>
        <w:rPr>
          <w:color w:val="231F20"/>
          <w:spacing w:val="-4"/>
        </w:rPr>
        <w:t> </w:t>
      </w:r>
      <w:r>
        <w:rPr>
          <w:color w:val="231F20"/>
        </w:rPr>
        <w:t>психолога</w:t>
      </w:r>
      <w:r>
        <w:rPr>
          <w:color w:val="231F20"/>
          <w:spacing w:val="-4"/>
        </w:rPr>
        <w:t> </w:t>
      </w:r>
      <w:r>
        <w:rPr>
          <w:color w:val="231F20"/>
        </w:rPr>
        <w:t>с</w:t>
      </w:r>
      <w:r>
        <w:rPr>
          <w:color w:val="231F20"/>
          <w:spacing w:val="-4"/>
        </w:rPr>
        <w:t> </w:t>
      </w:r>
      <w:r>
        <w:rPr>
          <w:color w:val="231F20"/>
        </w:rPr>
        <w:t>роди- </w:t>
      </w:r>
      <w:r>
        <w:rPr>
          <w:color w:val="231F20"/>
          <w:spacing w:val="-2"/>
        </w:rPr>
        <w:t>телями:</w:t>
      </w:r>
    </w:p>
    <w:p>
      <w:pPr>
        <w:pStyle w:val="ListParagraph"/>
        <w:numPr>
          <w:ilvl w:val="0"/>
          <w:numId w:val="85"/>
        </w:numPr>
        <w:tabs>
          <w:tab w:pos="423" w:val="left" w:leader="none"/>
        </w:tabs>
        <w:spacing w:line="227" w:lineRule="exact" w:before="104" w:after="0"/>
        <w:ind w:left="423" w:right="0" w:hanging="282"/>
        <w:jc w:val="both"/>
        <w:rPr>
          <w:i/>
          <w:sz w:val="20"/>
        </w:rPr>
      </w:pPr>
      <w:r>
        <w:rPr>
          <w:i/>
          <w:color w:val="231F20"/>
          <w:sz w:val="20"/>
        </w:rPr>
        <w:t>Организационные</w:t>
      </w:r>
      <w:r>
        <w:rPr>
          <w:i/>
          <w:color w:val="231F20"/>
          <w:spacing w:val="-1"/>
          <w:sz w:val="20"/>
        </w:rPr>
        <w:t> </w:t>
      </w:r>
      <w:r>
        <w:rPr>
          <w:i/>
          <w:color w:val="231F20"/>
          <w:spacing w:val="-2"/>
          <w:sz w:val="20"/>
        </w:rPr>
        <w:t>барьеры</w:t>
      </w:r>
    </w:p>
    <w:p>
      <w:pPr>
        <w:pStyle w:val="BodyText"/>
        <w:spacing w:line="232" w:lineRule="auto" w:before="3"/>
      </w:pPr>
      <w:r>
        <w:rPr>
          <w:color w:val="231F20"/>
        </w:rPr>
        <w:t>К этой группе относятся факторы, касающиеся организации консультативного процесса.</w:t>
      </w:r>
      <w:r>
        <w:rPr>
          <w:color w:val="231F20"/>
          <w:spacing w:val="-7"/>
        </w:rPr>
        <w:t> </w:t>
      </w:r>
      <w:r>
        <w:rPr>
          <w:color w:val="231F20"/>
        </w:rPr>
        <w:t>Прежде</w:t>
      </w:r>
      <w:r>
        <w:rPr>
          <w:color w:val="231F20"/>
          <w:spacing w:val="-7"/>
        </w:rPr>
        <w:t> </w:t>
      </w:r>
      <w:r>
        <w:rPr>
          <w:color w:val="231F20"/>
        </w:rPr>
        <w:t>всего,</w:t>
      </w:r>
      <w:r>
        <w:rPr>
          <w:color w:val="231F20"/>
          <w:spacing w:val="-7"/>
        </w:rPr>
        <w:t> </w:t>
      </w:r>
      <w:r>
        <w:rPr>
          <w:color w:val="231F20"/>
        </w:rPr>
        <w:t>это</w:t>
      </w:r>
      <w:r>
        <w:rPr>
          <w:color w:val="231F20"/>
          <w:spacing w:val="-7"/>
        </w:rPr>
        <w:t> </w:t>
      </w:r>
      <w:r>
        <w:rPr>
          <w:color w:val="231F20"/>
        </w:rPr>
        <w:t>трудовая</w:t>
      </w:r>
      <w:r>
        <w:rPr>
          <w:color w:val="231F20"/>
          <w:spacing w:val="-7"/>
        </w:rPr>
        <w:t> </w:t>
      </w:r>
      <w:r>
        <w:rPr>
          <w:color w:val="231F20"/>
        </w:rPr>
        <w:t>занятость</w:t>
      </w:r>
      <w:r>
        <w:rPr>
          <w:color w:val="231F20"/>
          <w:spacing w:val="-7"/>
        </w:rPr>
        <w:t> </w:t>
      </w:r>
      <w:r>
        <w:rPr>
          <w:color w:val="231F20"/>
        </w:rPr>
        <w:t>родителя,</w:t>
      </w:r>
      <w:r>
        <w:rPr>
          <w:color w:val="231F20"/>
          <w:spacing w:val="-7"/>
        </w:rPr>
        <w:t> </w:t>
      </w:r>
      <w:r>
        <w:rPr>
          <w:color w:val="231F20"/>
        </w:rPr>
        <w:t>а</w:t>
      </w:r>
      <w:r>
        <w:rPr>
          <w:color w:val="231F20"/>
          <w:spacing w:val="-7"/>
        </w:rPr>
        <w:t> </w:t>
      </w:r>
      <w:r>
        <w:rPr>
          <w:color w:val="231F20"/>
        </w:rPr>
        <w:t>также</w:t>
      </w:r>
      <w:r>
        <w:rPr>
          <w:color w:val="231F20"/>
          <w:spacing w:val="-7"/>
        </w:rPr>
        <w:t> </w:t>
      </w:r>
      <w:r>
        <w:rPr>
          <w:color w:val="231F20"/>
        </w:rPr>
        <w:t>расхождения</w:t>
      </w:r>
      <w:r>
        <w:rPr>
          <w:color w:val="231F20"/>
          <w:spacing w:val="-7"/>
        </w:rPr>
        <w:t> </w:t>
      </w:r>
      <w:r>
        <w:rPr>
          <w:color w:val="231F20"/>
        </w:rPr>
        <w:t>меж- ду рабочим графиком родителя и психолога, особенно школьного. Необходимость приходить на встречи с психологом и/или приводить туда ребенка сопряжена с ря- дом организационных вопросов, тем более для родителей-мигрантов, которые часто имеют очень продолжительный рабочий день. Следует уточнить у родителей, какое время посещения школы для них оптимально, и по возможности учитывать эту ин- формацию при планировании индивидуальных и групповых форм работы, а также искать различные организационные решения (например, планировать индивидуаль- ные занятия с ребенком таким образом, чтобы ребенок посещал их сразу после уро- ков, планировать индивидуальные консультации в дни родительских собраний).</w:t>
      </w:r>
    </w:p>
    <w:p>
      <w:pPr>
        <w:pStyle w:val="BodyText"/>
        <w:spacing w:line="232" w:lineRule="auto" w:before="10"/>
      </w:pPr>
      <w:r>
        <w:rPr>
          <w:color w:val="231F20"/>
        </w:rPr>
        <w:t>Важно</w:t>
      </w:r>
      <w:r>
        <w:rPr>
          <w:color w:val="231F20"/>
          <w:spacing w:val="-6"/>
        </w:rPr>
        <w:t> </w:t>
      </w:r>
      <w:r>
        <w:rPr>
          <w:color w:val="231F20"/>
        </w:rPr>
        <w:t>также</w:t>
      </w:r>
      <w:r>
        <w:rPr>
          <w:color w:val="231F20"/>
          <w:spacing w:val="-6"/>
        </w:rPr>
        <w:t> </w:t>
      </w:r>
      <w:r>
        <w:rPr>
          <w:color w:val="231F20"/>
        </w:rPr>
        <w:t>понимать,</w:t>
      </w:r>
      <w:r>
        <w:rPr>
          <w:color w:val="231F20"/>
          <w:spacing w:val="-6"/>
        </w:rPr>
        <w:t> </w:t>
      </w:r>
      <w:r>
        <w:rPr>
          <w:color w:val="231F20"/>
        </w:rPr>
        <w:t>что</w:t>
      </w:r>
      <w:r>
        <w:rPr>
          <w:color w:val="231F20"/>
          <w:spacing w:val="-6"/>
        </w:rPr>
        <w:t> </w:t>
      </w:r>
      <w:r>
        <w:rPr>
          <w:color w:val="231F20"/>
        </w:rPr>
        <w:t>декларируемые</w:t>
      </w:r>
      <w:r>
        <w:rPr>
          <w:color w:val="231F20"/>
          <w:spacing w:val="-6"/>
        </w:rPr>
        <w:t> </w:t>
      </w:r>
      <w:r>
        <w:rPr>
          <w:color w:val="231F20"/>
        </w:rPr>
        <w:t>психологом</w:t>
      </w:r>
      <w:r>
        <w:rPr>
          <w:color w:val="231F20"/>
          <w:spacing w:val="-6"/>
        </w:rPr>
        <w:t> </w:t>
      </w:r>
      <w:r>
        <w:rPr>
          <w:color w:val="231F20"/>
        </w:rPr>
        <w:t>или</w:t>
      </w:r>
      <w:r>
        <w:rPr>
          <w:color w:val="231F20"/>
          <w:spacing w:val="-6"/>
        </w:rPr>
        <w:t> </w:t>
      </w:r>
      <w:r>
        <w:rPr>
          <w:color w:val="231F20"/>
        </w:rPr>
        <w:t>родителем</w:t>
      </w:r>
      <w:r>
        <w:rPr>
          <w:color w:val="231F20"/>
          <w:spacing w:val="-6"/>
        </w:rPr>
        <w:t> </w:t>
      </w:r>
      <w:r>
        <w:rPr>
          <w:color w:val="231F20"/>
        </w:rPr>
        <w:t>организа- </w:t>
      </w:r>
      <w:r>
        <w:rPr>
          <w:color w:val="231F20"/>
          <w:spacing w:val="-2"/>
        </w:rPr>
        <w:t>ционные</w:t>
      </w:r>
      <w:r>
        <w:rPr>
          <w:color w:val="231F20"/>
          <w:spacing w:val="-8"/>
        </w:rPr>
        <w:t> </w:t>
      </w:r>
      <w:r>
        <w:rPr>
          <w:color w:val="231F20"/>
          <w:spacing w:val="-2"/>
        </w:rPr>
        <w:t>барьеры</w:t>
      </w:r>
      <w:r>
        <w:rPr>
          <w:color w:val="231F20"/>
          <w:spacing w:val="-7"/>
        </w:rPr>
        <w:t> </w:t>
      </w:r>
      <w:r>
        <w:rPr>
          <w:color w:val="231F20"/>
          <w:spacing w:val="-2"/>
        </w:rPr>
        <w:t>могут</w:t>
      </w:r>
      <w:r>
        <w:rPr>
          <w:color w:val="231F20"/>
          <w:spacing w:val="-7"/>
        </w:rPr>
        <w:t> </w:t>
      </w:r>
      <w:r>
        <w:rPr>
          <w:color w:val="231F20"/>
          <w:spacing w:val="-2"/>
        </w:rPr>
        <w:t>маскировать</w:t>
      </w:r>
      <w:r>
        <w:rPr>
          <w:color w:val="231F20"/>
          <w:spacing w:val="-7"/>
        </w:rPr>
        <w:t> </w:t>
      </w:r>
      <w:r>
        <w:rPr>
          <w:color w:val="231F20"/>
          <w:spacing w:val="-2"/>
        </w:rPr>
        <w:t>более</w:t>
      </w:r>
      <w:r>
        <w:rPr>
          <w:color w:val="231F20"/>
          <w:spacing w:val="-7"/>
        </w:rPr>
        <w:t> </w:t>
      </w:r>
      <w:r>
        <w:rPr>
          <w:color w:val="231F20"/>
          <w:spacing w:val="-2"/>
        </w:rPr>
        <w:t>глубокие</w:t>
      </w:r>
      <w:r>
        <w:rPr>
          <w:color w:val="231F20"/>
          <w:spacing w:val="-7"/>
        </w:rPr>
        <w:t> </w:t>
      </w:r>
      <w:r>
        <w:rPr>
          <w:color w:val="231F20"/>
          <w:spacing w:val="-2"/>
        </w:rPr>
        <w:t>препятствия</w:t>
      </w:r>
      <w:r>
        <w:rPr>
          <w:color w:val="231F20"/>
          <w:spacing w:val="-8"/>
        </w:rPr>
        <w:t> </w:t>
      </w:r>
      <w:r>
        <w:rPr>
          <w:color w:val="231F20"/>
          <w:spacing w:val="-2"/>
        </w:rPr>
        <w:t>в</w:t>
      </w:r>
      <w:r>
        <w:rPr>
          <w:color w:val="231F20"/>
          <w:spacing w:val="-7"/>
        </w:rPr>
        <w:t> </w:t>
      </w:r>
      <w:r>
        <w:rPr>
          <w:color w:val="231F20"/>
          <w:spacing w:val="-2"/>
        </w:rPr>
        <w:t>консультировании.</w:t>
      </w:r>
    </w:p>
    <w:p>
      <w:pPr>
        <w:pStyle w:val="ListParagraph"/>
        <w:numPr>
          <w:ilvl w:val="0"/>
          <w:numId w:val="85"/>
        </w:numPr>
        <w:tabs>
          <w:tab w:pos="423" w:val="left" w:leader="none"/>
        </w:tabs>
        <w:spacing w:line="227" w:lineRule="exact" w:before="110" w:after="0"/>
        <w:ind w:left="423" w:right="0" w:hanging="282"/>
        <w:jc w:val="both"/>
        <w:rPr>
          <w:i/>
          <w:sz w:val="20"/>
        </w:rPr>
      </w:pPr>
      <w:r>
        <w:rPr>
          <w:i/>
          <w:color w:val="231F20"/>
          <w:sz w:val="20"/>
        </w:rPr>
        <w:t>Персональные</w:t>
      </w:r>
      <w:r>
        <w:rPr>
          <w:i/>
          <w:color w:val="231F20"/>
          <w:spacing w:val="-5"/>
          <w:sz w:val="20"/>
        </w:rPr>
        <w:t> </w:t>
      </w:r>
      <w:r>
        <w:rPr>
          <w:i/>
          <w:color w:val="231F20"/>
          <w:spacing w:val="-2"/>
          <w:sz w:val="20"/>
        </w:rPr>
        <w:t>барьеры</w:t>
      </w:r>
    </w:p>
    <w:p>
      <w:pPr>
        <w:pStyle w:val="BodyText"/>
        <w:spacing w:line="232" w:lineRule="auto" w:before="2"/>
      </w:pPr>
      <w:r>
        <w:rPr>
          <w:color w:val="231F20"/>
        </w:rPr>
        <w:t>Персональные характеристики родителя также могут выступать в качестве ба- рьера.</w:t>
      </w:r>
      <w:r>
        <w:rPr>
          <w:color w:val="231F20"/>
          <w:spacing w:val="-1"/>
        </w:rPr>
        <w:t> </w:t>
      </w:r>
      <w:r>
        <w:rPr>
          <w:color w:val="231F20"/>
        </w:rPr>
        <w:t>Прежде</w:t>
      </w:r>
      <w:r>
        <w:rPr>
          <w:color w:val="231F20"/>
          <w:spacing w:val="-1"/>
        </w:rPr>
        <w:t> </w:t>
      </w:r>
      <w:r>
        <w:rPr>
          <w:color w:val="231F20"/>
        </w:rPr>
        <w:t>всего,</w:t>
      </w:r>
      <w:r>
        <w:rPr>
          <w:color w:val="231F20"/>
          <w:spacing w:val="-1"/>
        </w:rPr>
        <w:t> </w:t>
      </w:r>
      <w:r>
        <w:rPr>
          <w:color w:val="231F20"/>
        </w:rPr>
        <w:t>это</w:t>
      </w:r>
      <w:r>
        <w:rPr>
          <w:color w:val="231F20"/>
          <w:spacing w:val="-1"/>
        </w:rPr>
        <w:t> </w:t>
      </w:r>
      <w:r>
        <w:rPr>
          <w:color w:val="231F20"/>
        </w:rPr>
        <w:t>его</w:t>
      </w:r>
      <w:r>
        <w:rPr>
          <w:color w:val="231F20"/>
          <w:spacing w:val="-1"/>
        </w:rPr>
        <w:t> </w:t>
      </w:r>
      <w:r>
        <w:rPr>
          <w:color w:val="231F20"/>
        </w:rPr>
        <w:t>эмоциональное</w:t>
      </w:r>
      <w:r>
        <w:rPr>
          <w:color w:val="231F20"/>
          <w:spacing w:val="-1"/>
        </w:rPr>
        <w:t> </w:t>
      </w:r>
      <w:r>
        <w:rPr>
          <w:color w:val="231F20"/>
        </w:rPr>
        <w:t>состояние:</w:t>
      </w:r>
      <w:r>
        <w:rPr>
          <w:color w:val="231F20"/>
          <w:spacing w:val="-1"/>
        </w:rPr>
        <w:t> </w:t>
      </w:r>
      <w:r>
        <w:rPr>
          <w:color w:val="231F20"/>
        </w:rPr>
        <w:t>надо</w:t>
      </w:r>
      <w:r>
        <w:rPr>
          <w:color w:val="231F20"/>
          <w:spacing w:val="-1"/>
        </w:rPr>
        <w:t> </w:t>
      </w:r>
      <w:r>
        <w:rPr>
          <w:color w:val="231F20"/>
        </w:rPr>
        <w:t>учитывать,</w:t>
      </w:r>
      <w:r>
        <w:rPr>
          <w:color w:val="231F20"/>
          <w:spacing w:val="-1"/>
        </w:rPr>
        <w:t> </w:t>
      </w:r>
      <w:r>
        <w:rPr>
          <w:color w:val="231F20"/>
        </w:rPr>
        <w:t>что</w:t>
      </w:r>
      <w:r>
        <w:rPr>
          <w:color w:val="231F20"/>
          <w:spacing w:val="-1"/>
        </w:rPr>
        <w:t> </w:t>
      </w:r>
      <w:r>
        <w:rPr>
          <w:color w:val="231F20"/>
        </w:rPr>
        <w:t>родите- ли – иностранные граждане сами находятся в состоянии миграционного стресса и решают</w:t>
      </w:r>
      <w:r>
        <w:rPr>
          <w:color w:val="231F20"/>
          <w:spacing w:val="-2"/>
        </w:rPr>
        <w:t> </w:t>
      </w:r>
      <w:r>
        <w:rPr>
          <w:color w:val="231F20"/>
        </w:rPr>
        <w:t>задачи,</w:t>
      </w:r>
      <w:r>
        <w:rPr>
          <w:color w:val="231F20"/>
          <w:spacing w:val="-2"/>
        </w:rPr>
        <w:t> </w:t>
      </w:r>
      <w:r>
        <w:rPr>
          <w:color w:val="231F20"/>
        </w:rPr>
        <w:t>связанные</w:t>
      </w:r>
      <w:r>
        <w:rPr>
          <w:color w:val="231F20"/>
          <w:spacing w:val="-2"/>
        </w:rPr>
        <w:t> </w:t>
      </w:r>
      <w:r>
        <w:rPr>
          <w:color w:val="231F20"/>
        </w:rPr>
        <w:t>с</w:t>
      </w:r>
      <w:r>
        <w:rPr>
          <w:color w:val="231F20"/>
          <w:spacing w:val="-2"/>
        </w:rPr>
        <w:t> </w:t>
      </w:r>
      <w:r>
        <w:rPr>
          <w:color w:val="231F20"/>
        </w:rPr>
        <w:t>адаптацией</w:t>
      </w:r>
      <w:r>
        <w:rPr>
          <w:color w:val="231F20"/>
          <w:spacing w:val="-2"/>
        </w:rPr>
        <w:t> </w:t>
      </w:r>
      <w:r>
        <w:rPr>
          <w:color w:val="231F20"/>
        </w:rPr>
        <w:t>на</w:t>
      </w:r>
      <w:r>
        <w:rPr>
          <w:color w:val="231F20"/>
          <w:spacing w:val="-2"/>
        </w:rPr>
        <w:t> </w:t>
      </w:r>
      <w:r>
        <w:rPr>
          <w:color w:val="231F20"/>
        </w:rPr>
        <w:t>новом</w:t>
      </w:r>
      <w:r>
        <w:rPr>
          <w:color w:val="231F20"/>
          <w:spacing w:val="-2"/>
        </w:rPr>
        <w:t> </w:t>
      </w:r>
      <w:r>
        <w:rPr>
          <w:color w:val="231F20"/>
        </w:rPr>
        <w:t>месте.</w:t>
      </w:r>
      <w:r>
        <w:rPr>
          <w:color w:val="231F20"/>
          <w:spacing w:val="-2"/>
        </w:rPr>
        <w:t> </w:t>
      </w:r>
      <w:r>
        <w:rPr>
          <w:color w:val="231F20"/>
        </w:rPr>
        <w:t>Значимыми</w:t>
      </w:r>
      <w:r>
        <w:rPr>
          <w:color w:val="231F20"/>
          <w:spacing w:val="-2"/>
        </w:rPr>
        <w:t> </w:t>
      </w:r>
      <w:r>
        <w:rPr>
          <w:color w:val="231F20"/>
        </w:rPr>
        <w:t>являются</w:t>
      </w:r>
      <w:r>
        <w:rPr>
          <w:color w:val="231F20"/>
          <w:spacing w:val="-2"/>
        </w:rPr>
        <w:t> </w:t>
      </w:r>
      <w:r>
        <w:rPr>
          <w:color w:val="231F20"/>
        </w:rPr>
        <w:t>такие характеристики, как состояние здоровья родителя, уровень его образования, возраст и</w:t>
      </w:r>
      <w:r>
        <w:rPr>
          <w:color w:val="231F20"/>
          <w:spacing w:val="-2"/>
        </w:rPr>
        <w:t> </w:t>
      </w:r>
      <w:r>
        <w:rPr>
          <w:color w:val="231F20"/>
        </w:rPr>
        <w:t>пр.</w:t>
      </w:r>
      <w:r>
        <w:rPr>
          <w:color w:val="231F20"/>
          <w:spacing w:val="-2"/>
        </w:rPr>
        <w:t> </w:t>
      </w:r>
      <w:r>
        <w:rPr>
          <w:color w:val="231F20"/>
        </w:rPr>
        <w:t>Отметим,</w:t>
      </w:r>
      <w:r>
        <w:rPr>
          <w:color w:val="231F20"/>
          <w:spacing w:val="-2"/>
        </w:rPr>
        <w:t> </w:t>
      </w:r>
      <w:r>
        <w:rPr>
          <w:color w:val="231F20"/>
        </w:rPr>
        <w:t>что</w:t>
      </w:r>
      <w:r>
        <w:rPr>
          <w:color w:val="231F20"/>
          <w:spacing w:val="-2"/>
        </w:rPr>
        <w:t> </w:t>
      </w:r>
      <w:r>
        <w:rPr>
          <w:color w:val="231F20"/>
        </w:rPr>
        <w:t>важны</w:t>
      </w:r>
      <w:r>
        <w:rPr>
          <w:color w:val="231F20"/>
          <w:spacing w:val="-2"/>
        </w:rPr>
        <w:t> </w:t>
      </w:r>
      <w:r>
        <w:rPr>
          <w:color w:val="231F20"/>
        </w:rPr>
        <w:t>не</w:t>
      </w:r>
      <w:r>
        <w:rPr>
          <w:color w:val="231F20"/>
          <w:spacing w:val="-2"/>
        </w:rPr>
        <w:t> </w:t>
      </w:r>
      <w:r>
        <w:rPr>
          <w:color w:val="231F20"/>
        </w:rPr>
        <w:t>просто</w:t>
      </w:r>
      <w:r>
        <w:rPr>
          <w:color w:val="231F20"/>
          <w:spacing w:val="-2"/>
        </w:rPr>
        <w:t> </w:t>
      </w:r>
      <w:r>
        <w:rPr>
          <w:color w:val="231F20"/>
        </w:rPr>
        <w:t>характеристики</w:t>
      </w:r>
      <w:r>
        <w:rPr>
          <w:color w:val="231F20"/>
          <w:spacing w:val="-2"/>
        </w:rPr>
        <w:t> </w:t>
      </w:r>
      <w:r>
        <w:rPr>
          <w:color w:val="231F20"/>
        </w:rPr>
        <w:t>родителя</w:t>
      </w:r>
      <w:r>
        <w:rPr>
          <w:color w:val="231F20"/>
          <w:spacing w:val="-2"/>
        </w:rPr>
        <w:t> </w:t>
      </w:r>
      <w:r>
        <w:rPr>
          <w:color w:val="231F20"/>
        </w:rPr>
        <w:t>как</w:t>
      </w:r>
      <w:r>
        <w:rPr>
          <w:color w:val="231F20"/>
          <w:spacing w:val="-2"/>
        </w:rPr>
        <w:t> </w:t>
      </w:r>
      <w:r>
        <w:rPr>
          <w:color w:val="231F20"/>
        </w:rPr>
        <w:t>таковые,</w:t>
      </w:r>
      <w:r>
        <w:rPr>
          <w:color w:val="231F20"/>
          <w:spacing w:val="-2"/>
        </w:rPr>
        <w:t> </w:t>
      </w:r>
      <w:r>
        <w:rPr>
          <w:color w:val="231F20"/>
        </w:rPr>
        <w:t>а</w:t>
      </w:r>
      <w:r>
        <w:rPr>
          <w:color w:val="231F20"/>
          <w:spacing w:val="-2"/>
        </w:rPr>
        <w:t> </w:t>
      </w:r>
      <w:r>
        <w:rPr>
          <w:color w:val="231F20"/>
        </w:rPr>
        <w:t>их</w:t>
      </w:r>
      <w:r>
        <w:rPr>
          <w:color w:val="231F20"/>
          <w:spacing w:val="-2"/>
        </w:rPr>
        <w:t> </w:t>
      </w:r>
      <w:r>
        <w:rPr>
          <w:color w:val="231F20"/>
        </w:rPr>
        <w:t>зна- чимость в контексте взаимодействия с психологом, их восприятие самим родителем и/или психологом.</w:t>
      </w:r>
    </w:p>
    <w:p>
      <w:pPr>
        <w:pStyle w:val="BodyText"/>
        <w:spacing w:line="235" w:lineRule="auto" w:before="6"/>
      </w:pPr>
      <w:r>
        <w:rPr>
          <w:color w:val="231F20"/>
        </w:rPr>
        <w:t>Не менее существенны и персональные характеристики самого психолога, кото- рые также могут накладывать отпечаток на процесс консультирования.</w:t>
      </w:r>
    </w:p>
    <w:p>
      <w:pPr>
        <w:pStyle w:val="BodyText"/>
        <w:spacing w:line="235" w:lineRule="auto" w:before="1"/>
      </w:pPr>
      <w:r>
        <w:rPr>
          <w:color w:val="231F20"/>
        </w:rPr>
        <w:t>В работе с родителями – иностранными гражданами следует прежде всего об- ратить внимание на языковой барьер и различия в культурных нормах и ценностях. Родители могут опасаться, что в школе дети «научатся плохому», освоят нормы и модели поведения, резко расходящиеся с правилами родной культуры</w:t>
      </w:r>
    </w:p>
    <w:p>
      <w:pPr>
        <w:pStyle w:val="BodyText"/>
        <w:spacing w:after="0" w:line="235" w:lineRule="auto"/>
        <w:sectPr>
          <w:footerReference w:type="default" r:id="rId92"/>
          <w:pgSz w:w="8400" w:h="11910"/>
          <w:pgMar w:header="0" w:footer="535" w:top="720" w:bottom="720" w:left="425" w:right="425"/>
          <w:pgNumType w:start="7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3.</w:t>
      </w:r>
    </w:p>
    <w:p>
      <w:pPr>
        <w:pStyle w:val="ListParagraph"/>
        <w:numPr>
          <w:ilvl w:val="1"/>
          <w:numId w:val="85"/>
        </w:numPr>
        <w:tabs>
          <w:tab w:pos="553" w:val="left" w:leader="none"/>
        </w:tabs>
        <w:spacing w:line="232" w:lineRule="auto" w:before="118" w:after="0"/>
        <w:ind w:left="141" w:right="139" w:firstLine="283"/>
        <w:jc w:val="both"/>
        <w:rPr>
          <w:sz w:val="20"/>
        </w:rPr>
      </w:pPr>
      <w:r>
        <w:rPr>
          <w:i/>
          <w:color w:val="231F20"/>
          <w:sz w:val="20"/>
        </w:rPr>
        <w:t>Психологические барьеры – </w:t>
      </w:r>
      <w:r>
        <w:rPr>
          <w:color w:val="231F20"/>
          <w:sz w:val="20"/>
        </w:rPr>
        <w:t>установки, с которыми родители и психологи взаи- модействуют друг с другом.</w:t>
      </w:r>
    </w:p>
    <w:p>
      <w:pPr>
        <w:pStyle w:val="BodyText"/>
        <w:spacing w:line="232" w:lineRule="auto"/>
      </w:pPr>
      <w:r>
        <w:rPr>
          <w:color w:val="231F20"/>
        </w:rPr>
        <w:t>Родительские</w:t>
      </w:r>
      <w:r>
        <w:rPr>
          <w:color w:val="231F20"/>
          <w:spacing w:val="-4"/>
        </w:rPr>
        <w:t> </w:t>
      </w:r>
      <w:r>
        <w:rPr>
          <w:color w:val="231F20"/>
        </w:rPr>
        <w:t>установки,</w:t>
      </w:r>
      <w:r>
        <w:rPr>
          <w:color w:val="231F20"/>
          <w:spacing w:val="-4"/>
        </w:rPr>
        <w:t> </w:t>
      </w:r>
      <w:r>
        <w:rPr>
          <w:color w:val="231F20"/>
        </w:rPr>
        <w:t>касающиеся</w:t>
      </w:r>
      <w:r>
        <w:rPr>
          <w:color w:val="231F20"/>
          <w:spacing w:val="-4"/>
        </w:rPr>
        <w:t> </w:t>
      </w:r>
      <w:r>
        <w:rPr>
          <w:color w:val="231F20"/>
        </w:rPr>
        <w:t>работы</w:t>
      </w:r>
      <w:r>
        <w:rPr>
          <w:color w:val="231F20"/>
          <w:spacing w:val="-4"/>
        </w:rPr>
        <w:t> </w:t>
      </w:r>
      <w:r>
        <w:rPr>
          <w:color w:val="231F20"/>
        </w:rPr>
        <w:t>с</w:t>
      </w:r>
      <w:r>
        <w:rPr>
          <w:color w:val="231F20"/>
          <w:spacing w:val="-4"/>
        </w:rPr>
        <w:t> </w:t>
      </w:r>
      <w:r>
        <w:rPr>
          <w:color w:val="231F20"/>
        </w:rPr>
        <w:t>психологом,</w:t>
      </w:r>
      <w:r>
        <w:rPr>
          <w:color w:val="231F20"/>
          <w:spacing w:val="-4"/>
        </w:rPr>
        <w:t> </w:t>
      </w:r>
      <w:r>
        <w:rPr>
          <w:color w:val="231F20"/>
        </w:rPr>
        <w:t>разделим</w:t>
      </w:r>
      <w:r>
        <w:rPr>
          <w:color w:val="231F20"/>
          <w:spacing w:val="-4"/>
        </w:rPr>
        <w:t> </w:t>
      </w:r>
      <w:r>
        <w:rPr>
          <w:color w:val="231F20"/>
        </w:rPr>
        <w:t>условно</w:t>
      </w:r>
      <w:r>
        <w:rPr>
          <w:color w:val="231F20"/>
          <w:spacing w:val="-4"/>
        </w:rPr>
        <w:t> </w:t>
      </w:r>
      <w:r>
        <w:rPr>
          <w:color w:val="231F20"/>
        </w:rPr>
        <w:t>на эмоциональные и когнитивные.</w:t>
      </w:r>
    </w:p>
    <w:p>
      <w:pPr>
        <w:pStyle w:val="BodyText"/>
        <w:spacing w:line="232" w:lineRule="auto"/>
      </w:pPr>
      <w:r>
        <w:rPr>
          <w:color w:val="231F20"/>
        </w:rPr>
        <w:t>Когнитивные</w:t>
      </w:r>
      <w:r>
        <w:rPr>
          <w:color w:val="231F20"/>
          <w:spacing w:val="-13"/>
        </w:rPr>
        <w:t> </w:t>
      </w:r>
      <w:r>
        <w:rPr>
          <w:color w:val="231F20"/>
        </w:rPr>
        <w:t>установки</w:t>
      </w:r>
      <w:r>
        <w:rPr>
          <w:color w:val="231F20"/>
          <w:spacing w:val="-12"/>
        </w:rPr>
        <w:t> </w:t>
      </w:r>
      <w:r>
        <w:rPr>
          <w:color w:val="231F20"/>
        </w:rPr>
        <w:t>отражают</w:t>
      </w:r>
      <w:r>
        <w:rPr>
          <w:color w:val="231F20"/>
          <w:spacing w:val="-13"/>
        </w:rPr>
        <w:t> </w:t>
      </w:r>
      <w:r>
        <w:rPr>
          <w:color w:val="231F20"/>
        </w:rPr>
        <w:t>общую</w:t>
      </w:r>
      <w:r>
        <w:rPr>
          <w:color w:val="231F20"/>
          <w:spacing w:val="-12"/>
        </w:rPr>
        <w:t> </w:t>
      </w:r>
      <w:r>
        <w:rPr>
          <w:color w:val="231F20"/>
        </w:rPr>
        <w:t>осведомленность</w:t>
      </w:r>
      <w:r>
        <w:rPr>
          <w:color w:val="231F20"/>
          <w:spacing w:val="-13"/>
        </w:rPr>
        <w:t> </w:t>
      </w:r>
      <w:r>
        <w:rPr>
          <w:color w:val="231F20"/>
        </w:rPr>
        <w:t>родителя</w:t>
      </w:r>
      <w:r>
        <w:rPr>
          <w:color w:val="231F20"/>
          <w:spacing w:val="-12"/>
        </w:rPr>
        <w:t> </w:t>
      </w:r>
      <w:r>
        <w:rPr>
          <w:color w:val="231F20"/>
        </w:rPr>
        <w:t>относитель- но процедуры психологического консультирования, а также понимание содержания и целесообразности работы психолога. С одной стороны, растет число родителей, имеющих опыт посещения психолога, а также в открытом доступе имеется доста- точное</w:t>
      </w:r>
      <w:r>
        <w:rPr>
          <w:color w:val="231F20"/>
          <w:spacing w:val="-7"/>
        </w:rPr>
        <w:t> </w:t>
      </w:r>
      <w:r>
        <w:rPr>
          <w:color w:val="231F20"/>
        </w:rPr>
        <w:t>количество</w:t>
      </w:r>
      <w:r>
        <w:rPr>
          <w:color w:val="231F20"/>
          <w:spacing w:val="-7"/>
        </w:rPr>
        <w:t> </w:t>
      </w:r>
      <w:r>
        <w:rPr>
          <w:color w:val="231F20"/>
        </w:rPr>
        <w:t>психолого-педагогической</w:t>
      </w:r>
      <w:r>
        <w:rPr>
          <w:color w:val="231F20"/>
          <w:spacing w:val="-7"/>
        </w:rPr>
        <w:t> </w:t>
      </w:r>
      <w:r>
        <w:rPr>
          <w:color w:val="231F20"/>
        </w:rPr>
        <w:t>информации.</w:t>
      </w:r>
      <w:r>
        <w:rPr>
          <w:color w:val="231F20"/>
          <w:spacing w:val="-7"/>
        </w:rPr>
        <w:t> </w:t>
      </w:r>
      <w:r>
        <w:rPr>
          <w:color w:val="231F20"/>
        </w:rPr>
        <w:t>С</w:t>
      </w:r>
      <w:r>
        <w:rPr>
          <w:color w:val="231F20"/>
          <w:spacing w:val="-7"/>
        </w:rPr>
        <w:t> </w:t>
      </w:r>
      <w:r>
        <w:rPr>
          <w:color w:val="231F20"/>
        </w:rPr>
        <w:t>другой</w:t>
      </w:r>
      <w:r>
        <w:rPr>
          <w:color w:val="231F20"/>
          <w:spacing w:val="-7"/>
        </w:rPr>
        <w:t> </w:t>
      </w:r>
      <w:r>
        <w:rPr>
          <w:color w:val="231F20"/>
        </w:rPr>
        <w:t>–</w:t>
      </w:r>
      <w:r>
        <w:rPr>
          <w:color w:val="231F20"/>
          <w:spacing w:val="-7"/>
        </w:rPr>
        <w:t> </w:t>
      </w:r>
      <w:r>
        <w:rPr>
          <w:color w:val="231F20"/>
        </w:rPr>
        <w:t>по-прежнему для большого числа родителей обращение к психологу является новым и не вполне понятным опытом. Недостаточное понимание того, как происходит консультирова- ние и/или коррекционная работа с ребенком, становится основой нереалистичных ожиданий. В случае работы с родителями-мигрантами ситуация может осложняться недостаточным</w:t>
      </w:r>
      <w:r>
        <w:rPr>
          <w:color w:val="231F20"/>
          <w:spacing w:val="-10"/>
        </w:rPr>
        <w:t> </w:t>
      </w:r>
      <w:r>
        <w:rPr>
          <w:color w:val="231F20"/>
        </w:rPr>
        <w:t>уровнем</w:t>
      </w:r>
      <w:r>
        <w:rPr>
          <w:color w:val="231F20"/>
          <w:spacing w:val="-10"/>
        </w:rPr>
        <w:t> </w:t>
      </w:r>
      <w:r>
        <w:rPr>
          <w:color w:val="231F20"/>
        </w:rPr>
        <w:t>осведомленности</w:t>
      </w:r>
      <w:r>
        <w:rPr>
          <w:color w:val="231F20"/>
          <w:spacing w:val="-10"/>
        </w:rPr>
        <w:t> </w:t>
      </w:r>
      <w:r>
        <w:rPr>
          <w:color w:val="231F20"/>
        </w:rPr>
        <w:t>родителей</w:t>
      </w:r>
      <w:r>
        <w:rPr>
          <w:color w:val="231F20"/>
          <w:spacing w:val="-10"/>
        </w:rPr>
        <w:t> </w:t>
      </w:r>
      <w:r>
        <w:rPr>
          <w:color w:val="231F20"/>
        </w:rPr>
        <w:t>о</w:t>
      </w:r>
      <w:r>
        <w:rPr>
          <w:color w:val="231F20"/>
          <w:spacing w:val="-10"/>
        </w:rPr>
        <w:t> </w:t>
      </w:r>
      <w:r>
        <w:rPr>
          <w:color w:val="231F20"/>
        </w:rPr>
        <w:t>системе</w:t>
      </w:r>
      <w:r>
        <w:rPr>
          <w:color w:val="231F20"/>
          <w:spacing w:val="-10"/>
        </w:rPr>
        <w:t> </w:t>
      </w:r>
      <w:r>
        <w:rPr>
          <w:color w:val="231F20"/>
        </w:rPr>
        <w:t>образования</w:t>
      </w:r>
      <w:r>
        <w:rPr>
          <w:color w:val="231F20"/>
          <w:spacing w:val="-10"/>
        </w:rPr>
        <w:t> </w:t>
      </w:r>
      <w:r>
        <w:rPr>
          <w:color w:val="231F20"/>
        </w:rPr>
        <w:t>в</w:t>
      </w:r>
      <w:r>
        <w:rPr>
          <w:color w:val="231F20"/>
          <w:spacing w:val="-10"/>
        </w:rPr>
        <w:t> </w:t>
      </w:r>
      <w:r>
        <w:rPr>
          <w:color w:val="231F20"/>
        </w:rPr>
        <w:t>целом, нормах конкретной школы и задачах педагога-психолога.</w:t>
      </w:r>
    </w:p>
    <w:p>
      <w:pPr>
        <w:pStyle w:val="BodyText"/>
        <w:spacing w:line="232" w:lineRule="auto"/>
      </w:pPr>
      <w:r>
        <w:rPr>
          <w:color w:val="231F20"/>
        </w:rPr>
        <w:t>Преодоление когнитивных барьеров предполагает просветительскую и разъяс- нительную работу со стороны психолога: важно рассказывать, как будут проходить встречи, какого результата можно достичь и т.д.</w:t>
      </w:r>
    </w:p>
    <w:p>
      <w:pPr>
        <w:pStyle w:val="BodyText"/>
        <w:spacing w:line="232" w:lineRule="auto"/>
      </w:pPr>
      <w:r>
        <w:rPr>
          <w:color w:val="231F20"/>
        </w:rPr>
        <w:t>Эмоциональные</w:t>
      </w:r>
      <w:r>
        <w:rPr>
          <w:color w:val="231F20"/>
          <w:spacing w:val="-4"/>
        </w:rPr>
        <w:t> </w:t>
      </w:r>
      <w:r>
        <w:rPr>
          <w:color w:val="231F20"/>
        </w:rPr>
        <w:t>установки</w:t>
      </w:r>
      <w:r>
        <w:rPr>
          <w:color w:val="231F20"/>
          <w:spacing w:val="-4"/>
        </w:rPr>
        <w:t> </w:t>
      </w:r>
      <w:r>
        <w:rPr>
          <w:color w:val="231F20"/>
        </w:rPr>
        <w:t>предполагают</w:t>
      </w:r>
      <w:r>
        <w:rPr>
          <w:color w:val="231F20"/>
          <w:spacing w:val="-4"/>
        </w:rPr>
        <w:t> </w:t>
      </w:r>
      <w:r>
        <w:rPr>
          <w:color w:val="231F20"/>
        </w:rPr>
        <w:t>иррациональное,</w:t>
      </w:r>
      <w:r>
        <w:rPr>
          <w:color w:val="231F20"/>
          <w:spacing w:val="-4"/>
        </w:rPr>
        <w:t> </w:t>
      </w:r>
      <w:r>
        <w:rPr>
          <w:color w:val="231F20"/>
        </w:rPr>
        <w:t>часто</w:t>
      </w:r>
      <w:r>
        <w:rPr>
          <w:color w:val="231F20"/>
          <w:spacing w:val="-4"/>
        </w:rPr>
        <w:t> </w:t>
      </w:r>
      <w:r>
        <w:rPr>
          <w:color w:val="231F20"/>
        </w:rPr>
        <w:t>неосознаваемое отношение к психологическому консультированию. Они могут быть многоплановы. Обращение</w:t>
      </w:r>
      <w:r>
        <w:rPr>
          <w:color w:val="231F20"/>
          <w:spacing w:val="-13"/>
        </w:rPr>
        <w:t> </w:t>
      </w:r>
      <w:r>
        <w:rPr>
          <w:color w:val="231F20"/>
        </w:rPr>
        <w:t>к</w:t>
      </w:r>
      <w:r>
        <w:rPr>
          <w:color w:val="231F20"/>
          <w:spacing w:val="-12"/>
        </w:rPr>
        <w:t> </w:t>
      </w:r>
      <w:r>
        <w:rPr>
          <w:color w:val="231F20"/>
        </w:rPr>
        <w:t>психологу</w:t>
      </w:r>
      <w:r>
        <w:rPr>
          <w:color w:val="231F20"/>
          <w:spacing w:val="-13"/>
        </w:rPr>
        <w:t> </w:t>
      </w:r>
      <w:r>
        <w:rPr>
          <w:color w:val="231F20"/>
        </w:rPr>
        <w:t>может</w:t>
      </w:r>
      <w:r>
        <w:rPr>
          <w:color w:val="231F20"/>
          <w:spacing w:val="-12"/>
        </w:rPr>
        <w:t> </w:t>
      </w:r>
      <w:r>
        <w:rPr>
          <w:color w:val="231F20"/>
        </w:rPr>
        <w:t>рассматриваться</w:t>
      </w:r>
      <w:r>
        <w:rPr>
          <w:color w:val="231F20"/>
          <w:spacing w:val="-13"/>
        </w:rPr>
        <w:t> </w:t>
      </w:r>
      <w:r>
        <w:rPr>
          <w:color w:val="231F20"/>
        </w:rPr>
        <w:t>как</w:t>
      </w:r>
      <w:r>
        <w:rPr>
          <w:color w:val="231F20"/>
          <w:spacing w:val="-12"/>
        </w:rPr>
        <w:t> </w:t>
      </w:r>
      <w:r>
        <w:rPr>
          <w:color w:val="231F20"/>
        </w:rPr>
        <w:t>показатель</w:t>
      </w:r>
      <w:r>
        <w:rPr>
          <w:color w:val="231F20"/>
          <w:spacing w:val="-13"/>
        </w:rPr>
        <w:t> </w:t>
      </w:r>
      <w:r>
        <w:rPr>
          <w:color w:val="231F20"/>
        </w:rPr>
        <w:t>собственной</w:t>
      </w:r>
      <w:r>
        <w:rPr>
          <w:color w:val="231F20"/>
          <w:spacing w:val="-12"/>
        </w:rPr>
        <w:t> </w:t>
      </w:r>
      <w:r>
        <w:rPr>
          <w:color w:val="231F20"/>
        </w:rPr>
        <w:t>несосто- ятельности как родителя, родители могут воспринимать психолога как конкурента в борьбе за доверие ребенка. Кроме того, большое влияние может оказывать негатив- ный прошлый опыт взаимодействия с психологом (подчеркнем, что «негативность» этого</w:t>
      </w:r>
      <w:r>
        <w:rPr>
          <w:color w:val="231F20"/>
          <w:spacing w:val="-7"/>
        </w:rPr>
        <w:t> </w:t>
      </w:r>
      <w:r>
        <w:rPr>
          <w:color w:val="231F20"/>
        </w:rPr>
        <w:t>опыта</w:t>
      </w:r>
      <w:r>
        <w:rPr>
          <w:color w:val="231F20"/>
          <w:spacing w:val="-7"/>
        </w:rPr>
        <w:t> </w:t>
      </w:r>
      <w:r>
        <w:rPr>
          <w:color w:val="231F20"/>
        </w:rPr>
        <w:t>бывает</w:t>
      </w:r>
      <w:r>
        <w:rPr>
          <w:color w:val="231F20"/>
          <w:spacing w:val="-7"/>
        </w:rPr>
        <w:t> </w:t>
      </w:r>
      <w:r>
        <w:rPr>
          <w:color w:val="231F20"/>
        </w:rPr>
        <w:t>связана</w:t>
      </w:r>
      <w:r>
        <w:rPr>
          <w:color w:val="231F20"/>
          <w:spacing w:val="-7"/>
        </w:rPr>
        <w:t> </w:t>
      </w:r>
      <w:r>
        <w:rPr>
          <w:color w:val="231F20"/>
        </w:rPr>
        <w:t>как</w:t>
      </w:r>
      <w:r>
        <w:rPr>
          <w:color w:val="231F20"/>
          <w:spacing w:val="-7"/>
        </w:rPr>
        <w:t> </w:t>
      </w:r>
      <w:r>
        <w:rPr>
          <w:color w:val="231F20"/>
        </w:rPr>
        <w:t>с</w:t>
      </w:r>
      <w:r>
        <w:rPr>
          <w:color w:val="231F20"/>
          <w:spacing w:val="-7"/>
        </w:rPr>
        <w:t> </w:t>
      </w:r>
      <w:r>
        <w:rPr>
          <w:color w:val="231F20"/>
        </w:rPr>
        <w:t>недостаточной</w:t>
      </w:r>
      <w:r>
        <w:rPr>
          <w:color w:val="231F20"/>
          <w:spacing w:val="-7"/>
        </w:rPr>
        <w:t> </w:t>
      </w:r>
      <w:r>
        <w:rPr>
          <w:color w:val="231F20"/>
        </w:rPr>
        <w:t>компетентностью</w:t>
      </w:r>
      <w:r>
        <w:rPr>
          <w:color w:val="231F20"/>
          <w:spacing w:val="-7"/>
        </w:rPr>
        <w:t> </w:t>
      </w:r>
      <w:r>
        <w:rPr>
          <w:color w:val="231F20"/>
        </w:rPr>
        <w:t>психолога,</w:t>
      </w:r>
      <w:r>
        <w:rPr>
          <w:color w:val="231F20"/>
          <w:spacing w:val="-7"/>
        </w:rPr>
        <w:t> </w:t>
      </w:r>
      <w:r>
        <w:rPr>
          <w:color w:val="231F20"/>
        </w:rPr>
        <w:t>так</w:t>
      </w:r>
      <w:r>
        <w:rPr>
          <w:color w:val="231F20"/>
          <w:spacing w:val="-7"/>
        </w:rPr>
        <w:t> </w:t>
      </w:r>
      <w:r>
        <w:rPr>
          <w:color w:val="231F20"/>
        </w:rPr>
        <w:t>и</w:t>
      </w:r>
      <w:r>
        <w:rPr>
          <w:color w:val="231F20"/>
          <w:spacing w:val="-7"/>
        </w:rPr>
        <w:t> </w:t>
      </w:r>
      <w:r>
        <w:rPr>
          <w:color w:val="231F20"/>
        </w:rPr>
        <w:t>с неоправдавшимися</w:t>
      </w:r>
      <w:r>
        <w:rPr>
          <w:color w:val="231F20"/>
          <w:spacing w:val="-10"/>
        </w:rPr>
        <w:t> </w:t>
      </w:r>
      <w:r>
        <w:rPr>
          <w:color w:val="231F20"/>
        </w:rPr>
        <w:t>родительскими</w:t>
      </w:r>
      <w:r>
        <w:rPr>
          <w:color w:val="231F20"/>
          <w:spacing w:val="-10"/>
        </w:rPr>
        <w:t> </w:t>
      </w:r>
      <w:r>
        <w:rPr>
          <w:color w:val="231F20"/>
        </w:rPr>
        <w:t>ожиданиями).</w:t>
      </w:r>
      <w:r>
        <w:rPr>
          <w:color w:val="231F20"/>
          <w:spacing w:val="-10"/>
        </w:rPr>
        <w:t> </w:t>
      </w:r>
      <w:r>
        <w:rPr>
          <w:color w:val="231F20"/>
        </w:rPr>
        <w:t>В</w:t>
      </w:r>
      <w:r>
        <w:rPr>
          <w:color w:val="231F20"/>
          <w:spacing w:val="-10"/>
        </w:rPr>
        <w:t> </w:t>
      </w:r>
      <w:r>
        <w:rPr>
          <w:color w:val="231F20"/>
        </w:rPr>
        <w:t>случае</w:t>
      </w:r>
      <w:r>
        <w:rPr>
          <w:color w:val="231F20"/>
          <w:spacing w:val="-10"/>
        </w:rPr>
        <w:t> </w:t>
      </w:r>
      <w:r>
        <w:rPr>
          <w:color w:val="231F20"/>
        </w:rPr>
        <w:t>родителей</w:t>
      </w:r>
      <w:r>
        <w:rPr>
          <w:color w:val="231F20"/>
          <w:spacing w:val="-10"/>
        </w:rPr>
        <w:t> </w:t>
      </w:r>
      <w:r>
        <w:rPr>
          <w:color w:val="231F20"/>
        </w:rPr>
        <w:t>–</w:t>
      </w:r>
      <w:r>
        <w:rPr>
          <w:color w:val="231F20"/>
          <w:spacing w:val="-10"/>
        </w:rPr>
        <w:t> </w:t>
      </w:r>
      <w:r>
        <w:rPr>
          <w:color w:val="231F20"/>
        </w:rPr>
        <w:t>иностранных граждан</w:t>
      </w:r>
      <w:r>
        <w:rPr>
          <w:color w:val="231F20"/>
          <w:spacing w:val="-13"/>
        </w:rPr>
        <w:t> </w:t>
      </w:r>
      <w:r>
        <w:rPr>
          <w:color w:val="231F20"/>
        </w:rPr>
        <w:t>тревога</w:t>
      </w:r>
      <w:r>
        <w:rPr>
          <w:color w:val="231F20"/>
          <w:spacing w:val="-12"/>
        </w:rPr>
        <w:t> </w:t>
      </w:r>
      <w:r>
        <w:rPr>
          <w:color w:val="231F20"/>
        </w:rPr>
        <w:t>может</w:t>
      </w:r>
      <w:r>
        <w:rPr>
          <w:color w:val="231F20"/>
          <w:spacing w:val="-13"/>
        </w:rPr>
        <w:t> </w:t>
      </w:r>
      <w:r>
        <w:rPr>
          <w:color w:val="231F20"/>
        </w:rPr>
        <w:t>быть</w:t>
      </w:r>
      <w:r>
        <w:rPr>
          <w:color w:val="231F20"/>
          <w:spacing w:val="-12"/>
        </w:rPr>
        <w:t> </w:t>
      </w:r>
      <w:r>
        <w:rPr>
          <w:color w:val="231F20"/>
        </w:rPr>
        <w:t>связана</w:t>
      </w:r>
      <w:r>
        <w:rPr>
          <w:color w:val="231F20"/>
          <w:spacing w:val="-13"/>
        </w:rPr>
        <w:t> </w:t>
      </w:r>
      <w:r>
        <w:rPr>
          <w:color w:val="231F20"/>
        </w:rPr>
        <w:t>с</w:t>
      </w:r>
      <w:r>
        <w:rPr>
          <w:color w:val="231F20"/>
          <w:spacing w:val="-12"/>
        </w:rPr>
        <w:t> </w:t>
      </w:r>
      <w:r>
        <w:rPr>
          <w:color w:val="231F20"/>
        </w:rPr>
        <w:t>воспринимаемой</w:t>
      </w:r>
      <w:r>
        <w:rPr>
          <w:color w:val="231F20"/>
          <w:spacing w:val="-13"/>
        </w:rPr>
        <w:t> </w:t>
      </w:r>
      <w:r>
        <w:rPr>
          <w:color w:val="231F20"/>
        </w:rPr>
        <w:t>дискриминацией,</w:t>
      </w:r>
      <w:r>
        <w:rPr>
          <w:color w:val="231F20"/>
          <w:spacing w:val="-12"/>
        </w:rPr>
        <w:t> </w:t>
      </w:r>
      <w:r>
        <w:rPr>
          <w:color w:val="231F20"/>
        </w:rPr>
        <w:t>ожиданием негативного</w:t>
      </w:r>
      <w:r>
        <w:rPr>
          <w:color w:val="231F20"/>
          <w:spacing w:val="-4"/>
        </w:rPr>
        <w:t> </w:t>
      </w:r>
      <w:r>
        <w:rPr>
          <w:color w:val="231F20"/>
        </w:rPr>
        <w:t>отношения</w:t>
      </w:r>
      <w:r>
        <w:rPr>
          <w:color w:val="231F20"/>
          <w:spacing w:val="-4"/>
        </w:rPr>
        <w:t> </w:t>
      </w:r>
      <w:r>
        <w:rPr>
          <w:color w:val="231F20"/>
        </w:rPr>
        <w:t>к</w:t>
      </w:r>
      <w:r>
        <w:rPr>
          <w:color w:val="231F20"/>
          <w:spacing w:val="-4"/>
        </w:rPr>
        <w:t> </w:t>
      </w:r>
      <w:r>
        <w:rPr>
          <w:color w:val="231F20"/>
        </w:rPr>
        <w:t>ребенку</w:t>
      </w:r>
      <w:r>
        <w:rPr>
          <w:color w:val="231F20"/>
          <w:spacing w:val="-4"/>
        </w:rPr>
        <w:t> </w:t>
      </w:r>
      <w:r>
        <w:rPr>
          <w:color w:val="231F20"/>
        </w:rPr>
        <w:t>и</w:t>
      </w:r>
      <w:r>
        <w:rPr>
          <w:color w:val="231F20"/>
          <w:spacing w:val="-4"/>
        </w:rPr>
        <w:t> </w:t>
      </w:r>
      <w:r>
        <w:rPr>
          <w:color w:val="231F20"/>
        </w:rPr>
        <w:t>к</w:t>
      </w:r>
      <w:r>
        <w:rPr>
          <w:color w:val="231F20"/>
          <w:spacing w:val="-4"/>
        </w:rPr>
        <w:t> </w:t>
      </w:r>
      <w:r>
        <w:rPr>
          <w:color w:val="231F20"/>
        </w:rPr>
        <w:t>ним</w:t>
      </w:r>
      <w:r>
        <w:rPr>
          <w:color w:val="231F20"/>
          <w:spacing w:val="-4"/>
        </w:rPr>
        <w:t> </w:t>
      </w:r>
      <w:r>
        <w:rPr>
          <w:color w:val="231F20"/>
        </w:rPr>
        <w:t>самим,</w:t>
      </w:r>
      <w:r>
        <w:rPr>
          <w:color w:val="231F20"/>
          <w:spacing w:val="-4"/>
        </w:rPr>
        <w:t> </w:t>
      </w:r>
      <w:r>
        <w:rPr>
          <w:color w:val="231F20"/>
        </w:rPr>
        <w:t>особенно</w:t>
      </w:r>
      <w:r>
        <w:rPr>
          <w:color w:val="231F20"/>
          <w:spacing w:val="-4"/>
        </w:rPr>
        <w:t> </w:t>
      </w:r>
      <w:r>
        <w:rPr>
          <w:color w:val="231F20"/>
        </w:rPr>
        <w:t>если</w:t>
      </w:r>
      <w:r>
        <w:rPr>
          <w:color w:val="231F20"/>
          <w:spacing w:val="-4"/>
        </w:rPr>
        <w:t> </w:t>
      </w:r>
      <w:r>
        <w:rPr>
          <w:color w:val="231F20"/>
        </w:rPr>
        <w:t>ранее</w:t>
      </w:r>
      <w:r>
        <w:rPr>
          <w:color w:val="231F20"/>
          <w:spacing w:val="-4"/>
        </w:rPr>
        <w:t> </w:t>
      </w:r>
      <w:r>
        <w:rPr>
          <w:color w:val="231F20"/>
        </w:rPr>
        <w:t>они</w:t>
      </w:r>
      <w:r>
        <w:rPr>
          <w:color w:val="231F20"/>
          <w:spacing w:val="-4"/>
        </w:rPr>
        <w:t> </w:t>
      </w:r>
      <w:r>
        <w:rPr>
          <w:color w:val="231F20"/>
        </w:rPr>
        <w:t>уже</w:t>
      </w:r>
      <w:r>
        <w:rPr>
          <w:color w:val="231F20"/>
          <w:spacing w:val="-4"/>
        </w:rPr>
        <w:t> </w:t>
      </w:r>
      <w:r>
        <w:rPr>
          <w:color w:val="231F20"/>
        </w:rPr>
        <w:t>стал- кивались с подобными реакциями</w:t>
      </w:r>
    </w:p>
    <w:p>
      <w:pPr>
        <w:pStyle w:val="BodyText"/>
        <w:spacing w:line="232" w:lineRule="auto"/>
      </w:pPr>
      <w:r>
        <w:rPr>
          <w:color w:val="231F20"/>
        </w:rPr>
        <w:t>Эмоциональные барьеры можно преодолеть в том случае, если установить с ро- дителями доверительные отношения, в которых они смогут поделиться своими опа- сениями и сомнениями.</w:t>
      </w:r>
    </w:p>
    <w:p>
      <w:pPr>
        <w:pStyle w:val="BodyText"/>
        <w:spacing w:line="232" w:lineRule="auto"/>
        <w:ind w:right="138"/>
      </w:pPr>
      <w:r>
        <w:rPr>
          <w:color w:val="231F20"/>
        </w:rPr>
        <w:t>Подчеркнем,</w:t>
      </w:r>
      <w:r>
        <w:rPr>
          <w:color w:val="231F20"/>
          <w:spacing w:val="-10"/>
        </w:rPr>
        <w:t> </w:t>
      </w:r>
      <w:r>
        <w:rPr>
          <w:color w:val="231F20"/>
        </w:rPr>
        <w:t>что</w:t>
      </w:r>
      <w:r>
        <w:rPr>
          <w:color w:val="231F20"/>
          <w:spacing w:val="-10"/>
        </w:rPr>
        <w:t> </w:t>
      </w:r>
      <w:r>
        <w:rPr>
          <w:color w:val="231F20"/>
        </w:rPr>
        <w:t>в</w:t>
      </w:r>
      <w:r>
        <w:rPr>
          <w:color w:val="231F20"/>
          <w:spacing w:val="-10"/>
        </w:rPr>
        <w:t> </w:t>
      </w:r>
      <w:r>
        <w:rPr>
          <w:color w:val="231F20"/>
        </w:rPr>
        <w:t>качестве</w:t>
      </w:r>
      <w:r>
        <w:rPr>
          <w:color w:val="231F20"/>
          <w:spacing w:val="-10"/>
        </w:rPr>
        <w:t> </w:t>
      </w:r>
      <w:r>
        <w:rPr>
          <w:color w:val="231F20"/>
        </w:rPr>
        <w:t>психологических</w:t>
      </w:r>
      <w:r>
        <w:rPr>
          <w:color w:val="231F20"/>
          <w:spacing w:val="-10"/>
        </w:rPr>
        <w:t> </w:t>
      </w:r>
      <w:r>
        <w:rPr>
          <w:color w:val="231F20"/>
        </w:rPr>
        <w:t>барьеров</w:t>
      </w:r>
      <w:r>
        <w:rPr>
          <w:color w:val="231F20"/>
          <w:spacing w:val="-10"/>
        </w:rPr>
        <w:t> </w:t>
      </w:r>
      <w:r>
        <w:rPr>
          <w:color w:val="231F20"/>
        </w:rPr>
        <w:t>со</w:t>
      </w:r>
      <w:r>
        <w:rPr>
          <w:color w:val="231F20"/>
          <w:spacing w:val="-10"/>
        </w:rPr>
        <w:t> </w:t>
      </w:r>
      <w:r>
        <w:rPr>
          <w:color w:val="231F20"/>
        </w:rPr>
        <w:t>стороны</w:t>
      </w:r>
      <w:r>
        <w:rPr>
          <w:color w:val="231F20"/>
          <w:spacing w:val="-10"/>
        </w:rPr>
        <w:t> </w:t>
      </w:r>
      <w:r>
        <w:rPr>
          <w:color w:val="231F20"/>
        </w:rPr>
        <w:t>психолога</w:t>
      </w:r>
      <w:r>
        <w:rPr>
          <w:color w:val="231F20"/>
          <w:spacing w:val="-10"/>
        </w:rPr>
        <w:t> </w:t>
      </w:r>
      <w:r>
        <w:rPr>
          <w:color w:val="231F20"/>
        </w:rPr>
        <w:t>так- же</w:t>
      </w:r>
      <w:r>
        <w:rPr>
          <w:color w:val="231F20"/>
          <w:spacing w:val="-13"/>
        </w:rPr>
        <w:t> </w:t>
      </w:r>
      <w:r>
        <w:rPr>
          <w:color w:val="231F20"/>
        </w:rPr>
        <w:t>могут</w:t>
      </w:r>
      <w:r>
        <w:rPr>
          <w:color w:val="231F20"/>
          <w:spacing w:val="-12"/>
        </w:rPr>
        <w:t> </w:t>
      </w:r>
      <w:r>
        <w:rPr>
          <w:color w:val="231F20"/>
        </w:rPr>
        <w:t>выступать</w:t>
      </w:r>
      <w:r>
        <w:rPr>
          <w:color w:val="231F20"/>
          <w:spacing w:val="-13"/>
        </w:rPr>
        <w:t> </w:t>
      </w:r>
      <w:r>
        <w:rPr>
          <w:color w:val="231F20"/>
        </w:rPr>
        <w:t>эмоциональные</w:t>
      </w:r>
      <w:r>
        <w:rPr>
          <w:color w:val="231F20"/>
          <w:spacing w:val="-12"/>
        </w:rPr>
        <w:t> </w:t>
      </w:r>
      <w:r>
        <w:rPr>
          <w:color w:val="231F20"/>
        </w:rPr>
        <w:t>установки,</w:t>
      </w:r>
      <w:r>
        <w:rPr>
          <w:color w:val="231F20"/>
          <w:spacing w:val="-13"/>
        </w:rPr>
        <w:t> </w:t>
      </w:r>
      <w:r>
        <w:rPr>
          <w:color w:val="231F20"/>
        </w:rPr>
        <w:t>отражающие</w:t>
      </w:r>
      <w:r>
        <w:rPr>
          <w:color w:val="231F20"/>
          <w:spacing w:val="-12"/>
        </w:rPr>
        <w:t> </w:t>
      </w:r>
      <w:r>
        <w:rPr>
          <w:color w:val="231F20"/>
        </w:rPr>
        <w:t>отношение</w:t>
      </w:r>
      <w:r>
        <w:rPr>
          <w:color w:val="231F20"/>
          <w:spacing w:val="-13"/>
        </w:rPr>
        <w:t> </w:t>
      </w:r>
      <w:r>
        <w:rPr>
          <w:color w:val="231F20"/>
        </w:rPr>
        <w:t>специалиста к</w:t>
      </w:r>
      <w:r>
        <w:rPr>
          <w:color w:val="231F20"/>
          <w:spacing w:val="-6"/>
        </w:rPr>
        <w:t> </w:t>
      </w:r>
      <w:r>
        <w:rPr>
          <w:color w:val="231F20"/>
        </w:rPr>
        <w:t>родителям,</w:t>
      </w:r>
      <w:r>
        <w:rPr>
          <w:color w:val="231F20"/>
          <w:spacing w:val="-6"/>
        </w:rPr>
        <w:t> </w:t>
      </w:r>
      <w:r>
        <w:rPr>
          <w:color w:val="231F20"/>
        </w:rPr>
        <w:t>особенно</w:t>
      </w:r>
      <w:r>
        <w:rPr>
          <w:color w:val="231F20"/>
          <w:spacing w:val="-6"/>
        </w:rPr>
        <w:t> </w:t>
      </w:r>
      <w:r>
        <w:rPr>
          <w:color w:val="231F20"/>
        </w:rPr>
        <w:t>к</w:t>
      </w:r>
      <w:r>
        <w:rPr>
          <w:color w:val="231F20"/>
          <w:spacing w:val="-6"/>
        </w:rPr>
        <w:t> </w:t>
      </w:r>
      <w:r>
        <w:rPr>
          <w:color w:val="231F20"/>
        </w:rPr>
        <w:t>родителям</w:t>
      </w:r>
      <w:r>
        <w:rPr>
          <w:color w:val="231F20"/>
          <w:spacing w:val="-6"/>
        </w:rPr>
        <w:t> </w:t>
      </w:r>
      <w:r>
        <w:rPr>
          <w:color w:val="231F20"/>
        </w:rPr>
        <w:t>–</w:t>
      </w:r>
      <w:r>
        <w:rPr>
          <w:color w:val="231F20"/>
          <w:spacing w:val="-6"/>
        </w:rPr>
        <w:t> </w:t>
      </w:r>
      <w:r>
        <w:rPr>
          <w:color w:val="231F20"/>
        </w:rPr>
        <w:t>иностранным</w:t>
      </w:r>
      <w:r>
        <w:rPr>
          <w:color w:val="231F20"/>
          <w:spacing w:val="-6"/>
        </w:rPr>
        <w:t> </w:t>
      </w:r>
      <w:r>
        <w:rPr>
          <w:color w:val="231F20"/>
        </w:rPr>
        <w:t>гражданам.</w:t>
      </w:r>
      <w:r>
        <w:rPr>
          <w:color w:val="231F20"/>
          <w:spacing w:val="-6"/>
        </w:rPr>
        <w:t> </w:t>
      </w:r>
      <w:r>
        <w:rPr>
          <w:color w:val="231F20"/>
        </w:rPr>
        <w:t>Межкультурная</w:t>
      </w:r>
      <w:r>
        <w:rPr>
          <w:color w:val="231F20"/>
          <w:spacing w:val="-6"/>
        </w:rPr>
        <w:t> </w:t>
      </w:r>
      <w:r>
        <w:rPr>
          <w:color w:val="231F20"/>
        </w:rPr>
        <w:t>ком- петентность психолога, в том числе его способность осознавать собственные стере- отипы и предрассудки и преодолевать их, является ключевым фактором успешного взаимодействия с родителями-мигрантами.</w:t>
      </w:r>
    </w:p>
    <w:p>
      <w:pPr>
        <w:spacing w:line="232" w:lineRule="auto" w:before="0"/>
        <w:ind w:left="141" w:right="139" w:firstLine="283"/>
        <w:jc w:val="both"/>
        <w:rPr>
          <w:sz w:val="20"/>
        </w:rPr>
      </w:pPr>
      <w:r>
        <w:rPr>
          <w:i/>
          <w:color w:val="231F20"/>
          <w:sz w:val="20"/>
        </w:rPr>
        <w:t>Барьеры взаимодействия </w:t>
      </w:r>
      <w:r>
        <w:rPr>
          <w:color w:val="231F20"/>
          <w:sz w:val="20"/>
        </w:rPr>
        <w:t>– препятствия, возникающие в ходе общения родителя и психолога.</w:t>
      </w:r>
    </w:p>
    <w:p>
      <w:pPr>
        <w:pStyle w:val="BodyText"/>
        <w:spacing w:line="232" w:lineRule="auto"/>
      </w:pPr>
      <w:r>
        <w:rPr>
          <w:color w:val="231F20"/>
        </w:rPr>
        <w:t>Здесь значимы коммуникативные и поведенческие паттерны, сложившиеся как у родителя,</w:t>
      </w:r>
      <w:r>
        <w:rPr>
          <w:color w:val="231F20"/>
          <w:spacing w:val="-7"/>
        </w:rPr>
        <w:t> </w:t>
      </w:r>
      <w:r>
        <w:rPr>
          <w:color w:val="231F20"/>
        </w:rPr>
        <w:t>так</w:t>
      </w:r>
      <w:r>
        <w:rPr>
          <w:color w:val="231F20"/>
          <w:spacing w:val="-7"/>
        </w:rPr>
        <w:t> </w:t>
      </w:r>
      <w:r>
        <w:rPr>
          <w:color w:val="231F20"/>
        </w:rPr>
        <w:t>и</w:t>
      </w:r>
      <w:r>
        <w:rPr>
          <w:color w:val="231F20"/>
          <w:spacing w:val="-7"/>
        </w:rPr>
        <w:t> </w:t>
      </w:r>
      <w:r>
        <w:rPr>
          <w:color w:val="231F20"/>
        </w:rPr>
        <w:t>у</w:t>
      </w:r>
      <w:r>
        <w:rPr>
          <w:color w:val="231F20"/>
          <w:spacing w:val="-7"/>
        </w:rPr>
        <w:t> </w:t>
      </w:r>
      <w:r>
        <w:rPr>
          <w:color w:val="231F20"/>
        </w:rPr>
        <w:t>психолога</w:t>
      </w:r>
      <w:r>
        <w:rPr>
          <w:color w:val="231F20"/>
          <w:spacing w:val="-7"/>
        </w:rPr>
        <w:t> </w:t>
      </w:r>
      <w:r>
        <w:rPr>
          <w:color w:val="231F20"/>
        </w:rPr>
        <w:t>(начиная</w:t>
      </w:r>
      <w:r>
        <w:rPr>
          <w:color w:val="231F20"/>
          <w:spacing w:val="-7"/>
        </w:rPr>
        <w:t> </w:t>
      </w:r>
      <w:r>
        <w:rPr>
          <w:color w:val="231F20"/>
        </w:rPr>
        <w:t>от</w:t>
      </w:r>
      <w:r>
        <w:rPr>
          <w:color w:val="231F20"/>
          <w:spacing w:val="-7"/>
        </w:rPr>
        <w:t> </w:t>
      </w:r>
      <w:r>
        <w:rPr>
          <w:color w:val="231F20"/>
        </w:rPr>
        <w:t>обращения</w:t>
      </w:r>
      <w:r>
        <w:rPr>
          <w:color w:val="231F20"/>
          <w:spacing w:val="-7"/>
        </w:rPr>
        <w:t> </w:t>
      </w:r>
      <w:r>
        <w:rPr>
          <w:color w:val="231F20"/>
        </w:rPr>
        <w:t>по</w:t>
      </w:r>
      <w:r>
        <w:rPr>
          <w:color w:val="231F20"/>
          <w:spacing w:val="-7"/>
        </w:rPr>
        <w:t> </w:t>
      </w:r>
      <w:r>
        <w:rPr>
          <w:color w:val="231F20"/>
        </w:rPr>
        <w:t>имени</w:t>
      </w:r>
      <w:r>
        <w:rPr>
          <w:color w:val="231F20"/>
          <w:spacing w:val="-7"/>
        </w:rPr>
        <w:t> </w:t>
      </w:r>
      <w:r>
        <w:rPr>
          <w:color w:val="231F20"/>
        </w:rPr>
        <w:t>и</w:t>
      </w:r>
      <w:r>
        <w:rPr>
          <w:color w:val="231F20"/>
          <w:spacing w:val="-7"/>
        </w:rPr>
        <w:t> </w:t>
      </w:r>
      <w:r>
        <w:rPr>
          <w:color w:val="231F20"/>
        </w:rPr>
        <w:t>отчеству</w:t>
      </w:r>
      <w:r>
        <w:rPr>
          <w:color w:val="231F20"/>
          <w:spacing w:val="-7"/>
        </w:rPr>
        <w:t> </w:t>
      </w:r>
      <w:r>
        <w:rPr>
          <w:color w:val="231F20"/>
        </w:rPr>
        <w:t>или</w:t>
      </w:r>
      <w:r>
        <w:rPr>
          <w:color w:val="231F20"/>
          <w:spacing w:val="-7"/>
        </w:rPr>
        <w:t> </w:t>
      </w:r>
      <w:r>
        <w:rPr>
          <w:color w:val="231F20"/>
        </w:rPr>
        <w:t>имени</w:t>
      </w:r>
      <w:r>
        <w:rPr>
          <w:color w:val="231F20"/>
          <w:spacing w:val="-7"/>
        </w:rPr>
        <w:t> </w:t>
      </w:r>
      <w:r>
        <w:rPr>
          <w:color w:val="231F20"/>
        </w:rPr>
        <w:t>и заканчивая расхождениями в трактовке вежливости), которые могут препятствовать взаимопониманию и доверию.</w:t>
      </w:r>
    </w:p>
    <w:p>
      <w:pPr>
        <w:pStyle w:val="BodyText"/>
        <w:spacing w:line="235" w:lineRule="auto"/>
      </w:pPr>
      <w:r>
        <w:rPr>
          <w:color w:val="231F20"/>
        </w:rPr>
        <w:t>Необходимо использовать такие коммуникативные приемы, которые обеспечат продуктивную межкультурную коммуникацию (они раскрыты ниже).</w:t>
      </w:r>
    </w:p>
    <w:p>
      <w:pPr>
        <w:pStyle w:val="BodyText"/>
        <w:spacing w:after="0" w:line="235" w:lineRule="auto"/>
        <w:sectPr>
          <w:pgSz w:w="8400" w:h="11910"/>
          <w:pgMar w:header="0" w:footer="535" w:top="400" w:bottom="740" w:left="425" w:right="425"/>
        </w:sectPr>
      </w:pPr>
    </w:p>
    <w:p>
      <w:pPr>
        <w:pStyle w:val="ListParagraph"/>
        <w:numPr>
          <w:ilvl w:val="1"/>
          <w:numId w:val="86"/>
        </w:numPr>
        <w:tabs>
          <w:tab w:pos="455" w:val="left" w:leader="none"/>
        </w:tabs>
        <w:spacing w:line="240" w:lineRule="auto" w:before="80" w:after="0"/>
        <w:ind w:left="455" w:right="0" w:hanging="314"/>
        <w:jc w:val="left"/>
        <w:rPr>
          <w:rFonts w:ascii="Georgia" w:hAnsi="Georgia"/>
          <w:sz w:val="18"/>
        </w:rPr>
      </w:pPr>
      <w:bookmarkStart w:name="_bookmark55" w:id="57"/>
      <w:bookmarkEnd w:id="57"/>
      <w:r>
        <w:rPr/>
      </w:r>
      <w:r>
        <w:rPr>
          <w:rFonts w:ascii="Georgia" w:hAnsi="Georgia"/>
          <w:color w:val="231F20"/>
          <w:sz w:val="18"/>
        </w:rPr>
        <w:t>Метолические</w:t>
      </w:r>
      <w:r>
        <w:rPr>
          <w:rFonts w:ascii="Georgia" w:hAnsi="Georgia"/>
          <w:color w:val="231F20"/>
          <w:spacing w:val="-4"/>
          <w:sz w:val="18"/>
        </w:rPr>
        <w:t> </w:t>
      </w:r>
      <w:r>
        <w:rPr>
          <w:rFonts w:ascii="Georgia" w:hAnsi="Georgia"/>
          <w:color w:val="231F20"/>
          <w:sz w:val="18"/>
        </w:rPr>
        <w:t>принципы</w:t>
      </w:r>
      <w:r>
        <w:rPr>
          <w:rFonts w:ascii="Georgia" w:hAnsi="Georgia"/>
          <w:color w:val="231F20"/>
          <w:spacing w:val="-1"/>
          <w:sz w:val="18"/>
        </w:rPr>
        <w:t> </w:t>
      </w:r>
      <w:r>
        <w:rPr>
          <w:rFonts w:ascii="Georgia" w:hAnsi="Georgia"/>
          <w:color w:val="231F20"/>
          <w:sz w:val="18"/>
        </w:rPr>
        <w:t>взаимодействия</w:t>
      </w:r>
      <w:r>
        <w:rPr>
          <w:rFonts w:ascii="Georgia" w:hAnsi="Georgia"/>
          <w:color w:val="231F20"/>
          <w:spacing w:val="-2"/>
          <w:sz w:val="18"/>
        </w:rPr>
        <w:t> </w:t>
      </w:r>
      <w:r>
        <w:rPr>
          <w:rFonts w:ascii="Georgia" w:hAnsi="Georgia"/>
          <w:color w:val="231F20"/>
          <w:sz w:val="18"/>
        </w:rPr>
        <w:t>с</w:t>
      </w:r>
      <w:r>
        <w:rPr>
          <w:rFonts w:ascii="Georgia" w:hAnsi="Georgia"/>
          <w:color w:val="231F20"/>
          <w:spacing w:val="-1"/>
          <w:sz w:val="18"/>
        </w:rPr>
        <w:t> </w:t>
      </w:r>
      <w:r>
        <w:rPr>
          <w:rFonts w:ascii="Georgia" w:hAnsi="Georgia"/>
          <w:color w:val="231F20"/>
          <w:sz w:val="18"/>
        </w:rPr>
        <w:t>родителями</w:t>
      </w:r>
      <w:r>
        <w:rPr>
          <w:rFonts w:ascii="Georgia" w:hAnsi="Georgia"/>
          <w:color w:val="231F20"/>
          <w:spacing w:val="-1"/>
          <w:sz w:val="18"/>
        </w:rPr>
        <w:t> </w:t>
      </w:r>
      <w:r>
        <w:rPr>
          <w:rFonts w:ascii="Georgia" w:hAnsi="Georgia"/>
          <w:color w:val="231F20"/>
          <w:spacing w:val="-5"/>
          <w:sz w:val="18"/>
        </w:rPr>
        <w:t>...</w:t>
      </w:r>
    </w:p>
    <w:p>
      <w:pPr>
        <w:pStyle w:val="BodyText"/>
        <w:spacing w:line="235" w:lineRule="auto" w:before="116"/>
      </w:pPr>
      <w:r>
        <w:rPr>
          <w:color w:val="231F20"/>
        </w:rPr>
        <w:t>Таким образом, взаимодействие педагога-психолога с родителями-мигрантами направлено,</w:t>
      </w:r>
      <w:r>
        <w:rPr>
          <w:color w:val="231F20"/>
          <w:spacing w:val="20"/>
        </w:rPr>
        <w:t> </w:t>
      </w:r>
      <w:r>
        <w:rPr>
          <w:color w:val="231F20"/>
        </w:rPr>
        <w:t>с</w:t>
      </w:r>
      <w:r>
        <w:rPr>
          <w:color w:val="231F20"/>
          <w:spacing w:val="20"/>
        </w:rPr>
        <w:t> </w:t>
      </w:r>
      <w:r>
        <w:rPr>
          <w:color w:val="231F20"/>
        </w:rPr>
        <w:t>одной</w:t>
      </w:r>
      <w:r>
        <w:rPr>
          <w:color w:val="231F20"/>
          <w:spacing w:val="19"/>
        </w:rPr>
        <w:t> </w:t>
      </w:r>
      <w:r>
        <w:rPr>
          <w:color w:val="231F20"/>
        </w:rPr>
        <w:t>стороны,</w:t>
      </w:r>
      <w:r>
        <w:rPr>
          <w:color w:val="231F20"/>
          <w:spacing w:val="19"/>
        </w:rPr>
        <w:t> </w:t>
      </w:r>
      <w:r>
        <w:rPr>
          <w:color w:val="231F20"/>
        </w:rPr>
        <w:t>на</w:t>
      </w:r>
      <w:r>
        <w:rPr>
          <w:color w:val="231F20"/>
          <w:spacing w:val="20"/>
        </w:rPr>
        <w:t> </w:t>
      </w:r>
      <w:r>
        <w:rPr>
          <w:color w:val="231F20"/>
        </w:rPr>
        <w:t>установление</w:t>
      </w:r>
      <w:r>
        <w:rPr>
          <w:color w:val="231F20"/>
          <w:spacing w:val="20"/>
        </w:rPr>
        <w:t> </w:t>
      </w:r>
      <w:r>
        <w:rPr>
          <w:color w:val="231F20"/>
        </w:rPr>
        <w:t>контакта</w:t>
      </w:r>
      <w:r>
        <w:rPr>
          <w:color w:val="231F20"/>
          <w:spacing w:val="20"/>
        </w:rPr>
        <w:t> </w:t>
      </w:r>
      <w:r>
        <w:rPr>
          <w:color w:val="231F20"/>
        </w:rPr>
        <w:t>и</w:t>
      </w:r>
      <w:r>
        <w:rPr>
          <w:color w:val="231F20"/>
          <w:spacing w:val="19"/>
        </w:rPr>
        <w:t> </w:t>
      </w:r>
      <w:r>
        <w:rPr>
          <w:color w:val="231F20"/>
        </w:rPr>
        <w:t>формирование</w:t>
      </w:r>
      <w:r>
        <w:rPr>
          <w:color w:val="231F20"/>
          <w:spacing w:val="20"/>
        </w:rPr>
        <w:t> </w:t>
      </w:r>
      <w:r>
        <w:rPr>
          <w:color w:val="231F20"/>
        </w:rPr>
        <w:t>доверия, с другой – на повышение осведомленности родителей в вопросах работы школьной психологической службы, образования в целом, устройстве конкретной школы (и в рамках этой задачи также решаются вопросы социокультурной адаптации родите- лей). Опираясь на данные предпосылки, можно ожидать вовлеченности родителей в образовательные задачи и их взаимодействия со школой по поддержке ребенка.</w:t>
      </w:r>
    </w:p>
    <w:p>
      <w:pPr>
        <w:pStyle w:val="BodyText"/>
        <w:spacing w:line="232" w:lineRule="auto"/>
      </w:pPr>
      <w:r>
        <w:rPr>
          <w:color w:val="231F20"/>
          <w:spacing w:val="-2"/>
        </w:rPr>
        <w:t>В</w:t>
      </w:r>
      <w:r>
        <w:rPr>
          <w:color w:val="231F20"/>
          <w:spacing w:val="-3"/>
        </w:rPr>
        <w:t> </w:t>
      </w:r>
      <w:r>
        <w:rPr>
          <w:color w:val="231F20"/>
          <w:spacing w:val="-2"/>
        </w:rPr>
        <w:t>работе</w:t>
      </w:r>
      <w:r>
        <w:rPr>
          <w:color w:val="231F20"/>
          <w:spacing w:val="-3"/>
        </w:rPr>
        <w:t> </w:t>
      </w:r>
      <w:r>
        <w:rPr>
          <w:color w:val="231F20"/>
          <w:spacing w:val="-2"/>
        </w:rPr>
        <w:t>с</w:t>
      </w:r>
      <w:r>
        <w:rPr>
          <w:color w:val="231F20"/>
          <w:spacing w:val="-3"/>
        </w:rPr>
        <w:t> </w:t>
      </w:r>
      <w:r>
        <w:rPr>
          <w:color w:val="231F20"/>
          <w:spacing w:val="-2"/>
        </w:rPr>
        <w:t>любыми</w:t>
      </w:r>
      <w:r>
        <w:rPr>
          <w:color w:val="231F20"/>
          <w:spacing w:val="-3"/>
        </w:rPr>
        <w:t> </w:t>
      </w:r>
      <w:r>
        <w:rPr>
          <w:color w:val="231F20"/>
          <w:spacing w:val="-2"/>
        </w:rPr>
        <w:t>родителями</w:t>
      </w:r>
      <w:r>
        <w:rPr>
          <w:color w:val="231F20"/>
          <w:spacing w:val="-3"/>
        </w:rPr>
        <w:t> </w:t>
      </w:r>
      <w:r>
        <w:rPr>
          <w:color w:val="231F20"/>
          <w:spacing w:val="-2"/>
        </w:rPr>
        <w:t>задача</w:t>
      </w:r>
      <w:r>
        <w:rPr>
          <w:color w:val="231F20"/>
          <w:spacing w:val="-3"/>
        </w:rPr>
        <w:t> </w:t>
      </w:r>
      <w:r>
        <w:rPr>
          <w:color w:val="231F20"/>
          <w:spacing w:val="-2"/>
        </w:rPr>
        <w:t>школы</w:t>
      </w:r>
      <w:r>
        <w:rPr>
          <w:color w:val="231F20"/>
          <w:spacing w:val="-3"/>
        </w:rPr>
        <w:t> </w:t>
      </w:r>
      <w:r>
        <w:rPr>
          <w:color w:val="231F20"/>
          <w:spacing w:val="-2"/>
        </w:rPr>
        <w:t>–</w:t>
      </w:r>
      <w:r>
        <w:rPr>
          <w:color w:val="231F20"/>
          <w:spacing w:val="-3"/>
        </w:rPr>
        <w:t> </w:t>
      </w:r>
      <w:r>
        <w:rPr>
          <w:color w:val="231F20"/>
          <w:spacing w:val="-2"/>
        </w:rPr>
        <w:t>формирование</w:t>
      </w:r>
      <w:r>
        <w:rPr>
          <w:color w:val="231F20"/>
          <w:spacing w:val="-3"/>
        </w:rPr>
        <w:t> </w:t>
      </w:r>
      <w:r>
        <w:rPr>
          <w:color w:val="231F20"/>
          <w:spacing w:val="-2"/>
        </w:rPr>
        <w:t>отношений</w:t>
      </w:r>
      <w:r>
        <w:rPr>
          <w:color w:val="231F20"/>
          <w:spacing w:val="-3"/>
        </w:rPr>
        <w:t> </w:t>
      </w:r>
      <w:r>
        <w:rPr>
          <w:color w:val="231F20"/>
          <w:spacing w:val="-2"/>
        </w:rPr>
        <w:t>сотруд- </w:t>
      </w:r>
      <w:r>
        <w:rPr>
          <w:color w:val="231F20"/>
        </w:rPr>
        <w:t>ничества, построенных на контакте и доверии. От кого или от чего зависят контакт</w:t>
      </w:r>
      <w:r>
        <w:rPr>
          <w:color w:val="231F20"/>
          <w:spacing w:val="40"/>
        </w:rPr>
        <w:t> </w:t>
      </w:r>
      <w:r>
        <w:rPr>
          <w:color w:val="231F20"/>
        </w:rPr>
        <w:t>и взаимопонимание между родителями и педагогами? Конечно, большое значение имеют</w:t>
      </w:r>
      <w:r>
        <w:rPr>
          <w:color w:val="231F20"/>
          <w:spacing w:val="-8"/>
        </w:rPr>
        <w:t> </w:t>
      </w:r>
      <w:r>
        <w:rPr>
          <w:color w:val="231F20"/>
        </w:rPr>
        <w:t>личностные</w:t>
      </w:r>
      <w:r>
        <w:rPr>
          <w:color w:val="231F20"/>
          <w:spacing w:val="-8"/>
        </w:rPr>
        <w:t> </w:t>
      </w:r>
      <w:r>
        <w:rPr>
          <w:color w:val="231F20"/>
        </w:rPr>
        <w:t>особенности</w:t>
      </w:r>
      <w:r>
        <w:rPr>
          <w:color w:val="231F20"/>
          <w:spacing w:val="-8"/>
        </w:rPr>
        <w:t> </w:t>
      </w:r>
      <w:r>
        <w:rPr>
          <w:color w:val="231F20"/>
        </w:rPr>
        <w:t>родителей,</w:t>
      </w:r>
      <w:r>
        <w:rPr>
          <w:color w:val="231F20"/>
          <w:spacing w:val="-8"/>
        </w:rPr>
        <w:t> </w:t>
      </w:r>
      <w:r>
        <w:rPr>
          <w:color w:val="231F20"/>
        </w:rPr>
        <w:t>их</w:t>
      </w:r>
      <w:r>
        <w:rPr>
          <w:color w:val="231F20"/>
          <w:spacing w:val="-8"/>
        </w:rPr>
        <w:t> </w:t>
      </w:r>
      <w:r>
        <w:rPr>
          <w:color w:val="231F20"/>
        </w:rPr>
        <w:t>изначальная</w:t>
      </w:r>
      <w:r>
        <w:rPr>
          <w:color w:val="231F20"/>
          <w:spacing w:val="-8"/>
        </w:rPr>
        <w:t> </w:t>
      </w:r>
      <w:r>
        <w:rPr>
          <w:color w:val="231F20"/>
        </w:rPr>
        <w:t>позиция</w:t>
      </w:r>
      <w:r>
        <w:rPr>
          <w:color w:val="231F20"/>
          <w:spacing w:val="-7"/>
        </w:rPr>
        <w:t> </w:t>
      </w:r>
      <w:r>
        <w:rPr>
          <w:color w:val="231F20"/>
        </w:rPr>
        <w:t>по</w:t>
      </w:r>
      <w:r>
        <w:rPr>
          <w:color w:val="231F20"/>
          <w:spacing w:val="-8"/>
        </w:rPr>
        <w:t> </w:t>
      </w:r>
      <w:r>
        <w:rPr>
          <w:color w:val="231F20"/>
        </w:rPr>
        <w:t>отношению</w:t>
      </w:r>
      <w:r>
        <w:rPr>
          <w:color w:val="231F20"/>
          <w:spacing w:val="-7"/>
        </w:rPr>
        <w:t> </w:t>
      </w:r>
      <w:r>
        <w:rPr>
          <w:color w:val="231F20"/>
        </w:rPr>
        <w:t>к школе. Однако немаловажную роль в этом играет и поведение самого учителя. Кон- такт</w:t>
      </w:r>
      <w:r>
        <w:rPr>
          <w:color w:val="231F20"/>
          <w:spacing w:val="-13"/>
        </w:rPr>
        <w:t> </w:t>
      </w:r>
      <w:r>
        <w:rPr>
          <w:color w:val="231F20"/>
        </w:rPr>
        <w:t>между</w:t>
      </w:r>
      <w:r>
        <w:rPr>
          <w:color w:val="231F20"/>
          <w:spacing w:val="-12"/>
        </w:rPr>
        <w:t> </w:t>
      </w:r>
      <w:r>
        <w:rPr>
          <w:color w:val="231F20"/>
        </w:rPr>
        <w:t>родителями</w:t>
      </w:r>
      <w:r>
        <w:rPr>
          <w:color w:val="231F20"/>
          <w:spacing w:val="-13"/>
        </w:rPr>
        <w:t> </w:t>
      </w:r>
      <w:r>
        <w:rPr>
          <w:color w:val="231F20"/>
        </w:rPr>
        <w:t>и</w:t>
      </w:r>
      <w:r>
        <w:rPr>
          <w:color w:val="231F20"/>
          <w:spacing w:val="-12"/>
        </w:rPr>
        <w:t> </w:t>
      </w:r>
      <w:r>
        <w:rPr>
          <w:color w:val="231F20"/>
        </w:rPr>
        <w:t>педагогами</w:t>
      </w:r>
      <w:r>
        <w:rPr>
          <w:color w:val="231F20"/>
          <w:spacing w:val="-13"/>
        </w:rPr>
        <w:t> </w:t>
      </w:r>
      <w:r>
        <w:rPr>
          <w:color w:val="231F20"/>
        </w:rPr>
        <w:t>возможен</w:t>
      </w:r>
      <w:r>
        <w:rPr>
          <w:color w:val="231F20"/>
          <w:spacing w:val="-12"/>
        </w:rPr>
        <w:t> </w:t>
      </w:r>
      <w:r>
        <w:rPr>
          <w:color w:val="231F20"/>
        </w:rPr>
        <w:t>как</w:t>
      </w:r>
      <w:r>
        <w:rPr>
          <w:color w:val="231F20"/>
          <w:spacing w:val="-13"/>
        </w:rPr>
        <w:t> </w:t>
      </w:r>
      <w:r>
        <w:rPr>
          <w:color w:val="231F20"/>
        </w:rPr>
        <w:t>результат</w:t>
      </w:r>
      <w:r>
        <w:rPr>
          <w:color w:val="231F20"/>
          <w:spacing w:val="-12"/>
        </w:rPr>
        <w:t> </w:t>
      </w:r>
      <w:r>
        <w:rPr>
          <w:color w:val="231F20"/>
        </w:rPr>
        <w:t>целенаправленных</w:t>
      </w:r>
      <w:r>
        <w:rPr>
          <w:color w:val="231F20"/>
          <w:spacing w:val="-13"/>
        </w:rPr>
        <w:t> </w:t>
      </w:r>
      <w:r>
        <w:rPr>
          <w:color w:val="231F20"/>
        </w:rPr>
        <w:t>уси- лий со стороны учителей. Если пустить эту ситуацию на самотек, то вероятность самопроизвольного возникновения сотрудничества крайне мала.</w:t>
      </w:r>
    </w:p>
    <w:p>
      <w:pPr>
        <w:pStyle w:val="BodyText"/>
        <w:spacing w:line="232" w:lineRule="auto" w:before="1"/>
      </w:pPr>
      <w:r>
        <w:rPr>
          <w:color w:val="231F20"/>
        </w:rPr>
        <w:t>«Семьям мигрантов и школе трудно строить отношения, когда они различны по такому</w:t>
      </w:r>
      <w:r>
        <w:rPr>
          <w:color w:val="231F20"/>
          <w:spacing w:val="-11"/>
        </w:rPr>
        <w:t> </w:t>
      </w:r>
      <w:r>
        <w:rPr>
          <w:color w:val="231F20"/>
        </w:rPr>
        <w:t>большому</w:t>
      </w:r>
      <w:r>
        <w:rPr>
          <w:color w:val="231F20"/>
          <w:spacing w:val="-11"/>
        </w:rPr>
        <w:t> </w:t>
      </w:r>
      <w:r>
        <w:rPr>
          <w:color w:val="231F20"/>
        </w:rPr>
        <w:t>количеству</w:t>
      </w:r>
      <w:r>
        <w:rPr>
          <w:color w:val="231F20"/>
          <w:spacing w:val="-11"/>
        </w:rPr>
        <w:t> </w:t>
      </w:r>
      <w:r>
        <w:rPr>
          <w:color w:val="231F20"/>
        </w:rPr>
        <w:t>факторов,</w:t>
      </w:r>
      <w:r>
        <w:rPr>
          <w:color w:val="231F20"/>
          <w:spacing w:val="-11"/>
        </w:rPr>
        <w:t> </w:t>
      </w:r>
      <w:r>
        <w:rPr>
          <w:color w:val="231F20"/>
        </w:rPr>
        <w:t>включающих</w:t>
      </w:r>
      <w:r>
        <w:rPr>
          <w:color w:val="231F20"/>
          <w:spacing w:val="-11"/>
        </w:rPr>
        <w:t> </w:t>
      </w:r>
      <w:r>
        <w:rPr>
          <w:color w:val="231F20"/>
        </w:rPr>
        <w:t>язык,</w:t>
      </w:r>
      <w:r>
        <w:rPr>
          <w:color w:val="231F20"/>
          <w:spacing w:val="-11"/>
        </w:rPr>
        <w:t> </w:t>
      </w:r>
      <w:r>
        <w:rPr>
          <w:color w:val="231F20"/>
        </w:rPr>
        <w:t>культуру,</w:t>
      </w:r>
      <w:r>
        <w:rPr>
          <w:color w:val="231F20"/>
          <w:spacing w:val="-11"/>
        </w:rPr>
        <w:t> </w:t>
      </w:r>
      <w:r>
        <w:rPr>
          <w:color w:val="231F20"/>
        </w:rPr>
        <w:t>страну</w:t>
      </w:r>
      <w:r>
        <w:rPr>
          <w:color w:val="231F20"/>
          <w:spacing w:val="-11"/>
        </w:rPr>
        <w:t> </w:t>
      </w:r>
      <w:r>
        <w:rPr>
          <w:color w:val="231F20"/>
        </w:rPr>
        <w:t>исхода, образовательные</w:t>
      </w:r>
      <w:r>
        <w:rPr>
          <w:color w:val="231F20"/>
          <w:spacing w:val="-11"/>
        </w:rPr>
        <w:t> </w:t>
      </w:r>
      <w:r>
        <w:rPr>
          <w:color w:val="231F20"/>
        </w:rPr>
        <w:t>нормы,</w:t>
      </w:r>
      <w:r>
        <w:rPr>
          <w:color w:val="231F20"/>
          <w:spacing w:val="-11"/>
        </w:rPr>
        <w:t> </w:t>
      </w:r>
      <w:r>
        <w:rPr>
          <w:color w:val="231F20"/>
        </w:rPr>
        <w:t>касающиеся</w:t>
      </w:r>
      <w:r>
        <w:rPr>
          <w:color w:val="231F20"/>
          <w:spacing w:val="-11"/>
        </w:rPr>
        <w:t> </w:t>
      </w:r>
      <w:r>
        <w:rPr>
          <w:color w:val="231F20"/>
        </w:rPr>
        <w:t>дисциплины</w:t>
      </w:r>
      <w:r>
        <w:rPr>
          <w:color w:val="231F20"/>
          <w:spacing w:val="-10"/>
        </w:rPr>
        <w:t> </w:t>
      </w:r>
      <w:r>
        <w:rPr>
          <w:color w:val="231F20"/>
        </w:rPr>
        <w:t>и</w:t>
      </w:r>
      <w:r>
        <w:rPr>
          <w:color w:val="231F20"/>
          <w:spacing w:val="-11"/>
        </w:rPr>
        <w:t> </w:t>
      </w:r>
      <w:r>
        <w:rPr>
          <w:color w:val="231F20"/>
        </w:rPr>
        <w:t>участия</w:t>
      </w:r>
      <w:r>
        <w:rPr>
          <w:color w:val="231F20"/>
          <w:spacing w:val="-11"/>
        </w:rPr>
        <w:t> </w:t>
      </w:r>
      <w:r>
        <w:rPr>
          <w:color w:val="231F20"/>
        </w:rPr>
        <w:t>семьи</w:t>
      </w:r>
      <w:r>
        <w:rPr>
          <w:color w:val="231F20"/>
          <w:spacing w:val="-11"/>
        </w:rPr>
        <w:t> </w:t>
      </w:r>
      <w:r>
        <w:rPr>
          <w:color w:val="231F20"/>
        </w:rPr>
        <w:t>в</w:t>
      </w:r>
      <w:r>
        <w:rPr>
          <w:color w:val="231F20"/>
          <w:spacing w:val="-11"/>
        </w:rPr>
        <w:t> </w:t>
      </w:r>
      <w:r>
        <w:rPr>
          <w:color w:val="231F20"/>
        </w:rPr>
        <w:t>жизни</w:t>
      </w:r>
      <w:r>
        <w:rPr>
          <w:color w:val="231F20"/>
          <w:spacing w:val="-11"/>
        </w:rPr>
        <w:t> </w:t>
      </w:r>
      <w:r>
        <w:rPr>
          <w:color w:val="231F20"/>
        </w:rPr>
        <w:t>школы… Работая вместе, педагоги и семьи мигрантов могут выстроить коммуникацию, кото- рая</w:t>
      </w:r>
      <w:r>
        <w:rPr>
          <w:color w:val="231F20"/>
          <w:spacing w:val="-4"/>
        </w:rPr>
        <w:t> </w:t>
      </w:r>
      <w:r>
        <w:rPr>
          <w:color w:val="231F20"/>
        </w:rPr>
        <w:t>обеспечит</w:t>
      </w:r>
      <w:r>
        <w:rPr>
          <w:color w:val="231F20"/>
          <w:spacing w:val="-4"/>
        </w:rPr>
        <w:t> </w:t>
      </w:r>
      <w:r>
        <w:rPr>
          <w:color w:val="231F20"/>
        </w:rPr>
        <w:t>связь</w:t>
      </w:r>
      <w:r>
        <w:rPr>
          <w:color w:val="231F20"/>
          <w:spacing w:val="-4"/>
        </w:rPr>
        <w:t> </w:t>
      </w:r>
      <w:r>
        <w:rPr>
          <w:color w:val="231F20"/>
        </w:rPr>
        <w:t>между</w:t>
      </w:r>
      <w:r>
        <w:rPr>
          <w:color w:val="231F20"/>
          <w:spacing w:val="-4"/>
        </w:rPr>
        <w:t> </w:t>
      </w:r>
      <w:r>
        <w:rPr>
          <w:color w:val="231F20"/>
        </w:rPr>
        <w:t>обучением</w:t>
      </w:r>
      <w:r>
        <w:rPr>
          <w:color w:val="231F20"/>
          <w:spacing w:val="-4"/>
        </w:rPr>
        <w:t> </w:t>
      </w:r>
      <w:r>
        <w:rPr>
          <w:color w:val="231F20"/>
        </w:rPr>
        <w:t>в</w:t>
      </w:r>
      <w:r>
        <w:rPr>
          <w:color w:val="231F20"/>
          <w:spacing w:val="-4"/>
        </w:rPr>
        <w:t> </w:t>
      </w:r>
      <w:r>
        <w:rPr>
          <w:color w:val="231F20"/>
        </w:rPr>
        <w:t>школе</w:t>
      </w:r>
      <w:r>
        <w:rPr>
          <w:color w:val="231F20"/>
          <w:spacing w:val="-4"/>
        </w:rPr>
        <w:t> </w:t>
      </w:r>
      <w:r>
        <w:rPr>
          <w:color w:val="231F20"/>
        </w:rPr>
        <w:t>и</w:t>
      </w:r>
      <w:r>
        <w:rPr>
          <w:color w:val="231F20"/>
          <w:spacing w:val="-4"/>
        </w:rPr>
        <w:t> </w:t>
      </w:r>
      <w:r>
        <w:rPr>
          <w:color w:val="231F20"/>
        </w:rPr>
        <w:t>дома</w:t>
      </w:r>
      <w:r>
        <w:rPr>
          <w:color w:val="231F20"/>
          <w:spacing w:val="-4"/>
        </w:rPr>
        <w:t> </w:t>
      </w:r>
      <w:r>
        <w:rPr>
          <w:color w:val="231F20"/>
        </w:rPr>
        <w:t>и</w:t>
      </w:r>
      <w:r>
        <w:rPr>
          <w:color w:val="231F20"/>
          <w:spacing w:val="-4"/>
        </w:rPr>
        <w:t> </w:t>
      </w:r>
      <w:r>
        <w:rPr>
          <w:color w:val="231F20"/>
        </w:rPr>
        <w:t>поможет</w:t>
      </w:r>
      <w:r>
        <w:rPr>
          <w:color w:val="231F20"/>
          <w:spacing w:val="-4"/>
        </w:rPr>
        <w:t> </w:t>
      </w:r>
      <w:r>
        <w:rPr>
          <w:color w:val="231F20"/>
        </w:rPr>
        <w:t>улучшить</w:t>
      </w:r>
      <w:r>
        <w:rPr>
          <w:color w:val="231F20"/>
          <w:spacing w:val="-4"/>
        </w:rPr>
        <w:t> </w:t>
      </w:r>
      <w:r>
        <w:rPr>
          <w:color w:val="231F20"/>
        </w:rPr>
        <w:t>учебную успеваемость» (Dryden-Peterson, 2018).</w:t>
      </w:r>
    </w:p>
    <w:p>
      <w:pPr>
        <w:pStyle w:val="BodyText"/>
        <w:ind w:left="0" w:right="0" w:firstLine="0"/>
        <w:jc w:val="left"/>
      </w:pPr>
    </w:p>
    <w:p>
      <w:pPr>
        <w:numPr>
          <w:ilvl w:val="2"/>
          <w:numId w:val="80"/>
        </w:numPr>
        <w:tabs>
          <w:tab w:pos="769" w:val="left" w:leader="none"/>
          <w:tab w:pos="795" w:val="left" w:leader="none"/>
        </w:tabs>
        <w:spacing w:line="232" w:lineRule="auto" w:before="0"/>
        <w:ind w:left="795" w:right="268" w:hanging="526"/>
        <w:jc w:val="left"/>
        <w:rPr>
          <w:b/>
          <w:sz w:val="20"/>
        </w:rPr>
      </w:pPr>
      <w:r>
        <w:rPr>
          <w:b/>
          <w:color w:val="231F20"/>
          <w:sz w:val="20"/>
        </w:rPr>
        <w:t>Возможные</w:t>
      </w:r>
      <w:r>
        <w:rPr>
          <w:b/>
          <w:color w:val="231F20"/>
          <w:spacing w:val="-7"/>
          <w:sz w:val="20"/>
        </w:rPr>
        <w:t> </w:t>
      </w:r>
      <w:r>
        <w:rPr>
          <w:b/>
          <w:color w:val="231F20"/>
          <w:sz w:val="20"/>
        </w:rPr>
        <w:t>задачи</w:t>
      </w:r>
      <w:r>
        <w:rPr>
          <w:b/>
          <w:color w:val="231F20"/>
          <w:spacing w:val="-8"/>
          <w:sz w:val="20"/>
        </w:rPr>
        <w:t> </w:t>
      </w:r>
      <w:r>
        <w:rPr>
          <w:b/>
          <w:color w:val="231F20"/>
          <w:sz w:val="20"/>
        </w:rPr>
        <w:t>в</w:t>
      </w:r>
      <w:r>
        <w:rPr>
          <w:b/>
          <w:color w:val="231F20"/>
          <w:spacing w:val="-7"/>
          <w:sz w:val="20"/>
        </w:rPr>
        <w:t> </w:t>
      </w:r>
      <w:r>
        <w:rPr>
          <w:b/>
          <w:color w:val="231F20"/>
          <w:sz w:val="20"/>
        </w:rPr>
        <w:t>работе</w:t>
      </w:r>
      <w:r>
        <w:rPr>
          <w:b/>
          <w:color w:val="231F20"/>
          <w:spacing w:val="-7"/>
          <w:sz w:val="20"/>
        </w:rPr>
        <w:t> </w:t>
      </w:r>
      <w:r>
        <w:rPr>
          <w:b/>
          <w:color w:val="231F20"/>
          <w:sz w:val="20"/>
        </w:rPr>
        <w:t>с</w:t>
      </w:r>
      <w:r>
        <w:rPr>
          <w:b/>
          <w:color w:val="231F20"/>
          <w:spacing w:val="-7"/>
          <w:sz w:val="20"/>
        </w:rPr>
        <w:t> </w:t>
      </w:r>
      <w:r>
        <w:rPr>
          <w:b/>
          <w:color w:val="231F20"/>
          <w:sz w:val="20"/>
        </w:rPr>
        <w:t>родителями</w:t>
      </w:r>
      <w:r>
        <w:rPr>
          <w:b/>
          <w:color w:val="231F20"/>
          <w:spacing w:val="-8"/>
          <w:sz w:val="20"/>
        </w:rPr>
        <w:t> </w:t>
      </w:r>
      <w:r>
        <w:rPr>
          <w:b/>
          <w:color w:val="231F20"/>
          <w:sz w:val="20"/>
        </w:rPr>
        <w:t>–</w:t>
      </w:r>
      <w:r>
        <w:rPr>
          <w:b/>
          <w:color w:val="231F20"/>
          <w:spacing w:val="-7"/>
          <w:sz w:val="20"/>
        </w:rPr>
        <w:t> </w:t>
      </w:r>
      <w:r>
        <w:rPr>
          <w:b/>
          <w:color w:val="231F20"/>
          <w:sz w:val="20"/>
        </w:rPr>
        <w:t>иностранными</w:t>
      </w:r>
      <w:r>
        <w:rPr>
          <w:b/>
          <w:color w:val="231F20"/>
          <w:spacing w:val="-8"/>
          <w:sz w:val="20"/>
        </w:rPr>
        <w:t> </w:t>
      </w:r>
      <w:r>
        <w:rPr>
          <w:b/>
          <w:color w:val="231F20"/>
          <w:sz w:val="20"/>
        </w:rPr>
        <w:t>гражданами в соответствии со стадиями их адаптации в российском обществе</w:t>
      </w:r>
    </w:p>
    <w:p>
      <w:pPr>
        <w:pStyle w:val="BodyText"/>
        <w:spacing w:line="232" w:lineRule="auto" w:before="115"/>
      </w:pPr>
      <w:r>
        <w:rPr>
          <w:color w:val="231F20"/>
        </w:rPr>
        <w:t>Необходимо</w:t>
      </w:r>
      <w:r>
        <w:rPr>
          <w:color w:val="231F20"/>
          <w:spacing w:val="-10"/>
        </w:rPr>
        <w:t> </w:t>
      </w:r>
      <w:r>
        <w:rPr>
          <w:color w:val="231F20"/>
        </w:rPr>
        <w:t>помнить,</w:t>
      </w:r>
      <w:r>
        <w:rPr>
          <w:color w:val="231F20"/>
          <w:spacing w:val="-10"/>
        </w:rPr>
        <w:t> </w:t>
      </w:r>
      <w:r>
        <w:rPr>
          <w:color w:val="231F20"/>
        </w:rPr>
        <w:t>что,</w:t>
      </w:r>
      <w:r>
        <w:rPr>
          <w:color w:val="231F20"/>
          <w:spacing w:val="-10"/>
        </w:rPr>
        <w:t> </w:t>
      </w:r>
      <w:r>
        <w:rPr>
          <w:color w:val="231F20"/>
        </w:rPr>
        <w:t>как</w:t>
      </w:r>
      <w:r>
        <w:rPr>
          <w:color w:val="231F20"/>
          <w:spacing w:val="-10"/>
        </w:rPr>
        <w:t> </w:t>
      </w:r>
      <w:r>
        <w:rPr>
          <w:color w:val="231F20"/>
        </w:rPr>
        <w:t>и</w:t>
      </w:r>
      <w:r>
        <w:rPr>
          <w:color w:val="231F20"/>
          <w:spacing w:val="-10"/>
        </w:rPr>
        <w:t> </w:t>
      </w:r>
      <w:r>
        <w:rPr>
          <w:color w:val="231F20"/>
        </w:rPr>
        <w:t>дети-мигранты,</w:t>
      </w:r>
      <w:r>
        <w:rPr>
          <w:color w:val="231F20"/>
          <w:spacing w:val="-10"/>
        </w:rPr>
        <w:t> </w:t>
      </w:r>
      <w:r>
        <w:rPr>
          <w:color w:val="231F20"/>
        </w:rPr>
        <w:t>родители</w:t>
      </w:r>
      <w:r>
        <w:rPr>
          <w:color w:val="231F20"/>
          <w:spacing w:val="-10"/>
        </w:rPr>
        <w:t> </w:t>
      </w:r>
      <w:r>
        <w:rPr>
          <w:color w:val="231F20"/>
        </w:rPr>
        <w:t>–</w:t>
      </w:r>
      <w:r>
        <w:rPr>
          <w:color w:val="231F20"/>
          <w:spacing w:val="-10"/>
        </w:rPr>
        <w:t> </w:t>
      </w:r>
      <w:r>
        <w:rPr>
          <w:color w:val="231F20"/>
        </w:rPr>
        <w:t>иностранные</w:t>
      </w:r>
      <w:r>
        <w:rPr>
          <w:color w:val="231F20"/>
          <w:spacing w:val="-10"/>
        </w:rPr>
        <w:t> </w:t>
      </w:r>
      <w:r>
        <w:rPr>
          <w:color w:val="231F20"/>
        </w:rPr>
        <w:t>гражда- не представляют собой весьма неоднородную группу по уровню образования, соци- ально-экономическому статусу, планам на будущее.</w:t>
      </w:r>
    </w:p>
    <w:p>
      <w:pPr>
        <w:spacing w:line="232" w:lineRule="auto" w:before="3"/>
        <w:ind w:left="141" w:right="139" w:firstLine="283"/>
        <w:jc w:val="both"/>
        <w:rPr>
          <w:sz w:val="20"/>
        </w:rPr>
      </w:pPr>
      <w:r>
        <w:rPr>
          <w:color w:val="231F20"/>
          <w:sz w:val="20"/>
        </w:rPr>
        <w:t>Работа с родителями-мигрантами строится в соответствии со </w:t>
      </w:r>
      <w:r>
        <w:rPr>
          <w:b/>
          <w:color w:val="231F20"/>
          <w:sz w:val="20"/>
        </w:rPr>
        <w:t>стадиями их адап- тации в принимающем обществе </w:t>
      </w:r>
      <w:r>
        <w:rPr>
          <w:color w:val="231F20"/>
          <w:sz w:val="20"/>
        </w:rPr>
        <w:t>(Han, 2012).</w:t>
      </w:r>
    </w:p>
    <w:p>
      <w:pPr>
        <w:pStyle w:val="BodyText"/>
        <w:spacing w:line="232" w:lineRule="auto" w:before="2"/>
      </w:pPr>
      <w:r>
        <w:rPr>
          <w:b/>
          <w:i/>
          <w:color w:val="231F20"/>
        </w:rPr>
        <w:t>Первая стадия – выживание</w:t>
      </w:r>
      <w:r>
        <w:rPr>
          <w:b/>
          <w:color w:val="231F20"/>
        </w:rPr>
        <w:t>. </w:t>
      </w:r>
      <w:r>
        <w:rPr>
          <w:color w:val="231F20"/>
        </w:rPr>
        <w:t>Чаще всего это недавно приехавшие семьи, ко- торые находятся в процессе адаптации на новом месте. Однако адаптация у разных мигрантов занимает различное время, и на этой стадии могут оставаться и семьи, приехавшие достаточно давно.</w:t>
      </w:r>
    </w:p>
    <w:p>
      <w:pPr>
        <w:pStyle w:val="BodyText"/>
        <w:spacing w:line="227" w:lineRule="exact" w:before="54"/>
        <w:ind w:left="425" w:right="0" w:firstLine="0"/>
        <w:rPr>
          <w:i/>
        </w:rPr>
      </w:pPr>
      <w:r>
        <w:rPr>
          <w:color w:val="231F20"/>
        </w:rPr>
        <w:t>Для</w:t>
      </w:r>
      <w:r>
        <w:rPr>
          <w:color w:val="231F20"/>
          <w:spacing w:val="-3"/>
        </w:rPr>
        <w:t> </w:t>
      </w:r>
      <w:r>
        <w:rPr>
          <w:color w:val="231F20"/>
        </w:rPr>
        <w:t>этой</w:t>
      </w:r>
      <w:r>
        <w:rPr>
          <w:color w:val="231F20"/>
          <w:spacing w:val="-4"/>
        </w:rPr>
        <w:t> </w:t>
      </w:r>
      <w:r>
        <w:rPr>
          <w:color w:val="231F20"/>
        </w:rPr>
        <w:t>стадии</w:t>
      </w:r>
      <w:r>
        <w:rPr>
          <w:color w:val="231F20"/>
          <w:spacing w:val="-4"/>
        </w:rPr>
        <w:t> </w:t>
      </w:r>
      <w:r>
        <w:rPr>
          <w:color w:val="231F20"/>
        </w:rPr>
        <w:t>характерны</w:t>
      </w:r>
      <w:r>
        <w:rPr>
          <w:color w:val="231F20"/>
          <w:spacing w:val="-3"/>
        </w:rPr>
        <w:t> </w:t>
      </w:r>
      <w:r>
        <w:rPr>
          <w:color w:val="231F20"/>
        </w:rPr>
        <w:t>следующие</w:t>
      </w:r>
      <w:r>
        <w:rPr>
          <w:color w:val="231F20"/>
          <w:spacing w:val="-3"/>
        </w:rPr>
        <w:t> </w:t>
      </w:r>
      <w:r>
        <w:rPr>
          <w:i/>
          <w:color w:val="231F20"/>
          <w:spacing w:val="-2"/>
        </w:rPr>
        <w:t>признаки:</w:t>
      </w:r>
    </w:p>
    <w:p>
      <w:pPr>
        <w:pStyle w:val="ListParagraph"/>
        <w:numPr>
          <w:ilvl w:val="0"/>
          <w:numId w:val="87"/>
        </w:numPr>
        <w:tabs>
          <w:tab w:pos="425" w:val="left" w:leader="none"/>
        </w:tabs>
        <w:spacing w:line="224" w:lineRule="exact" w:before="0" w:after="0"/>
        <w:ind w:left="425" w:right="0" w:hanging="284"/>
        <w:jc w:val="left"/>
        <w:rPr>
          <w:sz w:val="20"/>
        </w:rPr>
      </w:pPr>
      <w:r>
        <w:rPr>
          <w:color w:val="231F20"/>
          <w:sz w:val="20"/>
        </w:rPr>
        <w:t>Высокая</w:t>
      </w:r>
      <w:r>
        <w:rPr>
          <w:color w:val="231F20"/>
          <w:spacing w:val="-8"/>
          <w:sz w:val="20"/>
        </w:rPr>
        <w:t> </w:t>
      </w:r>
      <w:r>
        <w:rPr>
          <w:color w:val="231F20"/>
          <w:sz w:val="20"/>
        </w:rPr>
        <w:t>загруженность</w:t>
      </w:r>
      <w:r>
        <w:rPr>
          <w:color w:val="231F20"/>
          <w:spacing w:val="-6"/>
          <w:sz w:val="20"/>
        </w:rPr>
        <w:t> </w:t>
      </w:r>
      <w:r>
        <w:rPr>
          <w:color w:val="231F20"/>
          <w:sz w:val="20"/>
        </w:rPr>
        <w:t>родителей</w:t>
      </w:r>
      <w:r>
        <w:rPr>
          <w:color w:val="231F20"/>
          <w:spacing w:val="-7"/>
          <w:sz w:val="20"/>
        </w:rPr>
        <w:t> </w:t>
      </w:r>
      <w:r>
        <w:rPr>
          <w:color w:val="231F20"/>
          <w:sz w:val="20"/>
        </w:rPr>
        <w:t>на</w:t>
      </w:r>
      <w:r>
        <w:rPr>
          <w:color w:val="231F20"/>
          <w:spacing w:val="-5"/>
          <w:sz w:val="20"/>
        </w:rPr>
        <w:t> </w:t>
      </w:r>
      <w:r>
        <w:rPr>
          <w:color w:val="231F20"/>
          <w:spacing w:val="-2"/>
          <w:sz w:val="20"/>
        </w:rPr>
        <w:t>работе.</w:t>
      </w:r>
    </w:p>
    <w:p>
      <w:pPr>
        <w:pStyle w:val="ListParagraph"/>
        <w:numPr>
          <w:ilvl w:val="0"/>
          <w:numId w:val="87"/>
        </w:numPr>
        <w:tabs>
          <w:tab w:pos="425" w:val="left" w:leader="none"/>
        </w:tabs>
        <w:spacing w:line="224" w:lineRule="exact" w:before="0" w:after="0"/>
        <w:ind w:left="425" w:right="0" w:hanging="284"/>
        <w:jc w:val="left"/>
        <w:rPr>
          <w:sz w:val="20"/>
        </w:rPr>
      </w:pPr>
      <w:r>
        <w:rPr>
          <w:color w:val="231F20"/>
          <w:sz w:val="20"/>
        </w:rPr>
        <w:t>Выраженные</w:t>
      </w:r>
      <w:r>
        <w:rPr>
          <w:color w:val="231F20"/>
          <w:spacing w:val="-7"/>
          <w:sz w:val="20"/>
        </w:rPr>
        <w:t> </w:t>
      </w:r>
      <w:r>
        <w:rPr>
          <w:color w:val="231F20"/>
          <w:sz w:val="20"/>
        </w:rPr>
        <w:t>социально-экономические</w:t>
      </w:r>
      <w:r>
        <w:rPr>
          <w:color w:val="231F20"/>
          <w:spacing w:val="-6"/>
          <w:sz w:val="20"/>
        </w:rPr>
        <w:t> </w:t>
      </w:r>
      <w:r>
        <w:rPr>
          <w:color w:val="231F20"/>
          <w:spacing w:val="-2"/>
          <w:sz w:val="20"/>
        </w:rPr>
        <w:t>сложности.</w:t>
      </w:r>
    </w:p>
    <w:p>
      <w:pPr>
        <w:pStyle w:val="ListParagraph"/>
        <w:numPr>
          <w:ilvl w:val="0"/>
          <w:numId w:val="87"/>
        </w:numPr>
        <w:tabs>
          <w:tab w:pos="425" w:val="left" w:leader="none"/>
        </w:tabs>
        <w:spacing w:line="224" w:lineRule="exact" w:before="0" w:after="0"/>
        <w:ind w:left="425" w:right="0" w:hanging="284"/>
        <w:jc w:val="left"/>
        <w:rPr>
          <w:sz w:val="20"/>
        </w:rPr>
      </w:pPr>
      <w:r>
        <w:rPr>
          <w:color w:val="231F20"/>
          <w:sz w:val="20"/>
        </w:rPr>
        <w:t>Слабый</w:t>
      </w:r>
      <w:r>
        <w:rPr>
          <w:color w:val="231F20"/>
          <w:spacing w:val="-7"/>
          <w:sz w:val="20"/>
        </w:rPr>
        <w:t> </w:t>
      </w:r>
      <w:r>
        <w:rPr>
          <w:color w:val="231F20"/>
          <w:sz w:val="20"/>
        </w:rPr>
        <w:t>или</w:t>
      </w:r>
      <w:r>
        <w:rPr>
          <w:color w:val="231F20"/>
          <w:spacing w:val="-7"/>
          <w:sz w:val="20"/>
        </w:rPr>
        <w:t> </w:t>
      </w:r>
      <w:r>
        <w:rPr>
          <w:color w:val="231F20"/>
          <w:sz w:val="20"/>
        </w:rPr>
        <w:t>недостаточный</w:t>
      </w:r>
      <w:r>
        <w:rPr>
          <w:color w:val="231F20"/>
          <w:spacing w:val="-7"/>
          <w:sz w:val="20"/>
        </w:rPr>
        <w:t> </w:t>
      </w:r>
      <w:r>
        <w:rPr>
          <w:color w:val="231F20"/>
          <w:sz w:val="20"/>
        </w:rPr>
        <w:t>уровень</w:t>
      </w:r>
      <w:r>
        <w:rPr>
          <w:color w:val="231F20"/>
          <w:spacing w:val="-7"/>
          <w:sz w:val="20"/>
        </w:rPr>
        <w:t> </w:t>
      </w:r>
      <w:r>
        <w:rPr>
          <w:color w:val="231F20"/>
          <w:sz w:val="20"/>
        </w:rPr>
        <w:t>владения</w:t>
      </w:r>
      <w:r>
        <w:rPr>
          <w:color w:val="231F20"/>
          <w:spacing w:val="-6"/>
          <w:sz w:val="20"/>
        </w:rPr>
        <w:t> </w:t>
      </w:r>
      <w:r>
        <w:rPr>
          <w:color w:val="231F20"/>
          <w:sz w:val="20"/>
        </w:rPr>
        <w:t>русским</w:t>
      </w:r>
      <w:r>
        <w:rPr>
          <w:color w:val="231F20"/>
          <w:spacing w:val="-5"/>
          <w:sz w:val="20"/>
        </w:rPr>
        <w:t> </w:t>
      </w:r>
      <w:r>
        <w:rPr>
          <w:color w:val="231F20"/>
          <w:spacing w:val="-2"/>
          <w:sz w:val="20"/>
        </w:rPr>
        <w:t>языком.</w:t>
      </w:r>
    </w:p>
    <w:p>
      <w:pPr>
        <w:pStyle w:val="BodyText"/>
        <w:spacing w:line="232" w:lineRule="auto" w:before="3"/>
      </w:pPr>
      <w:r>
        <w:rPr>
          <w:color w:val="231F20"/>
        </w:rPr>
        <w:t>На</w:t>
      </w:r>
      <w:r>
        <w:rPr>
          <w:color w:val="231F20"/>
          <w:spacing w:val="-3"/>
        </w:rPr>
        <w:t> </w:t>
      </w:r>
      <w:r>
        <w:rPr>
          <w:color w:val="231F20"/>
        </w:rPr>
        <w:t>этом</w:t>
      </w:r>
      <w:r>
        <w:rPr>
          <w:color w:val="231F20"/>
          <w:spacing w:val="-3"/>
        </w:rPr>
        <w:t> </w:t>
      </w:r>
      <w:r>
        <w:rPr>
          <w:color w:val="231F20"/>
        </w:rPr>
        <w:t>этапе</w:t>
      </w:r>
      <w:r>
        <w:rPr>
          <w:color w:val="231F20"/>
          <w:spacing w:val="-3"/>
        </w:rPr>
        <w:t> </w:t>
      </w:r>
      <w:r>
        <w:rPr>
          <w:color w:val="231F20"/>
        </w:rPr>
        <w:t>не</w:t>
      </w:r>
      <w:r>
        <w:rPr>
          <w:color w:val="231F20"/>
          <w:spacing w:val="-3"/>
        </w:rPr>
        <w:t> </w:t>
      </w:r>
      <w:r>
        <w:rPr>
          <w:color w:val="231F20"/>
        </w:rPr>
        <w:t>стоит</w:t>
      </w:r>
      <w:r>
        <w:rPr>
          <w:color w:val="231F20"/>
          <w:spacing w:val="-3"/>
        </w:rPr>
        <w:t> </w:t>
      </w:r>
      <w:r>
        <w:rPr>
          <w:color w:val="231F20"/>
        </w:rPr>
        <w:t>предъявлять</w:t>
      </w:r>
      <w:r>
        <w:rPr>
          <w:color w:val="231F20"/>
          <w:spacing w:val="-3"/>
        </w:rPr>
        <w:t> </w:t>
      </w:r>
      <w:r>
        <w:rPr>
          <w:color w:val="231F20"/>
        </w:rPr>
        <w:t>больших</w:t>
      </w:r>
      <w:r>
        <w:rPr>
          <w:color w:val="231F20"/>
          <w:spacing w:val="-3"/>
        </w:rPr>
        <w:t> </w:t>
      </w:r>
      <w:r>
        <w:rPr>
          <w:color w:val="231F20"/>
        </w:rPr>
        <w:t>требований</w:t>
      </w:r>
      <w:r>
        <w:rPr>
          <w:color w:val="231F20"/>
          <w:spacing w:val="-3"/>
        </w:rPr>
        <w:t> </w:t>
      </w:r>
      <w:r>
        <w:rPr>
          <w:color w:val="231F20"/>
        </w:rPr>
        <w:t>к</w:t>
      </w:r>
      <w:r>
        <w:rPr>
          <w:color w:val="231F20"/>
          <w:spacing w:val="-3"/>
        </w:rPr>
        <w:t> </w:t>
      </w:r>
      <w:r>
        <w:rPr>
          <w:color w:val="231F20"/>
        </w:rPr>
        <w:t>тому,</w:t>
      </w:r>
      <w:r>
        <w:rPr>
          <w:color w:val="231F20"/>
          <w:spacing w:val="-3"/>
        </w:rPr>
        <w:t> </w:t>
      </w:r>
      <w:r>
        <w:rPr>
          <w:color w:val="231F20"/>
        </w:rPr>
        <w:t>чтобы</w:t>
      </w:r>
      <w:r>
        <w:rPr>
          <w:color w:val="231F20"/>
          <w:spacing w:val="-3"/>
        </w:rPr>
        <w:t> </w:t>
      </w:r>
      <w:r>
        <w:rPr>
          <w:color w:val="231F20"/>
        </w:rPr>
        <w:t>родители активно помогали ребенку с учебой, у них в приоритете наладить быт и решить ба- зовые экономические задачи. Если ребенок посещает школу и в целом справляется, для</w:t>
      </w:r>
      <w:r>
        <w:rPr>
          <w:color w:val="231F20"/>
          <w:spacing w:val="-8"/>
        </w:rPr>
        <w:t> </w:t>
      </w:r>
      <w:r>
        <w:rPr>
          <w:color w:val="231F20"/>
        </w:rPr>
        <w:t>родителей</w:t>
      </w:r>
      <w:r>
        <w:rPr>
          <w:color w:val="231F20"/>
          <w:spacing w:val="-8"/>
        </w:rPr>
        <w:t> </w:t>
      </w:r>
      <w:r>
        <w:rPr>
          <w:color w:val="231F20"/>
        </w:rPr>
        <w:t>на</w:t>
      </w:r>
      <w:r>
        <w:rPr>
          <w:color w:val="231F20"/>
          <w:spacing w:val="-8"/>
        </w:rPr>
        <w:t> </w:t>
      </w:r>
      <w:r>
        <w:rPr>
          <w:color w:val="231F20"/>
        </w:rPr>
        <w:t>данной</w:t>
      </w:r>
      <w:r>
        <w:rPr>
          <w:color w:val="231F20"/>
          <w:spacing w:val="-8"/>
        </w:rPr>
        <w:t> </w:t>
      </w:r>
      <w:r>
        <w:rPr>
          <w:color w:val="231F20"/>
        </w:rPr>
        <w:t>стадии</w:t>
      </w:r>
      <w:r>
        <w:rPr>
          <w:color w:val="231F20"/>
          <w:spacing w:val="-8"/>
        </w:rPr>
        <w:t> </w:t>
      </w:r>
      <w:r>
        <w:rPr>
          <w:color w:val="231F20"/>
        </w:rPr>
        <w:t>этот</w:t>
      </w:r>
      <w:r>
        <w:rPr>
          <w:color w:val="231F20"/>
          <w:spacing w:val="-8"/>
        </w:rPr>
        <w:t> </w:t>
      </w:r>
      <w:r>
        <w:rPr>
          <w:color w:val="231F20"/>
        </w:rPr>
        <w:t>результат</w:t>
      </w:r>
      <w:r>
        <w:rPr>
          <w:color w:val="231F20"/>
          <w:spacing w:val="-8"/>
        </w:rPr>
        <w:t> </w:t>
      </w:r>
      <w:r>
        <w:rPr>
          <w:color w:val="231F20"/>
        </w:rPr>
        <w:t>представляется</w:t>
      </w:r>
      <w:r>
        <w:rPr>
          <w:color w:val="231F20"/>
          <w:spacing w:val="-8"/>
        </w:rPr>
        <w:t> </w:t>
      </w:r>
      <w:r>
        <w:rPr>
          <w:color w:val="231F20"/>
        </w:rPr>
        <w:t>достаточным.</w:t>
      </w:r>
      <w:r>
        <w:rPr>
          <w:color w:val="231F20"/>
          <w:spacing w:val="-8"/>
        </w:rPr>
        <w:t> </w:t>
      </w:r>
      <w:r>
        <w:rPr>
          <w:color w:val="231F20"/>
        </w:rPr>
        <w:t>Их</w:t>
      </w:r>
      <w:r>
        <w:rPr>
          <w:color w:val="231F20"/>
          <w:spacing w:val="-8"/>
        </w:rPr>
        <w:t> </w:t>
      </w:r>
      <w:r>
        <w:rPr>
          <w:color w:val="231F20"/>
        </w:rPr>
        <w:t>воз- можности приобрести</w:t>
      </w:r>
      <w:r>
        <w:rPr>
          <w:color w:val="231F20"/>
          <w:spacing w:val="-1"/>
        </w:rPr>
        <w:t> </w:t>
      </w:r>
      <w:r>
        <w:rPr>
          <w:color w:val="231F20"/>
        </w:rPr>
        <w:t>ребенку необходимые</w:t>
      </w:r>
      <w:r>
        <w:rPr>
          <w:color w:val="231F20"/>
          <w:spacing w:val="-1"/>
        </w:rPr>
        <w:t> </w:t>
      </w:r>
      <w:r>
        <w:rPr>
          <w:color w:val="231F20"/>
        </w:rPr>
        <w:t>вещи или</w:t>
      </w:r>
      <w:r>
        <w:rPr>
          <w:color w:val="231F20"/>
          <w:spacing w:val="-1"/>
        </w:rPr>
        <w:t> </w:t>
      </w:r>
      <w:r>
        <w:rPr>
          <w:color w:val="231F20"/>
        </w:rPr>
        <w:t>уделить ему</w:t>
      </w:r>
      <w:r>
        <w:rPr>
          <w:color w:val="231F20"/>
          <w:spacing w:val="-1"/>
        </w:rPr>
        <w:t> </w:t>
      </w:r>
      <w:r>
        <w:rPr>
          <w:color w:val="231F20"/>
        </w:rPr>
        <w:t>больше времени часто крайне ограничены.</w:t>
      </w:r>
    </w:p>
    <w:p>
      <w:pPr>
        <w:spacing w:line="228" w:lineRule="exact" w:before="2"/>
        <w:ind w:left="425" w:right="0" w:firstLine="0"/>
        <w:jc w:val="both"/>
        <w:rPr>
          <w:sz w:val="20"/>
        </w:rPr>
      </w:pPr>
      <w:r>
        <w:rPr>
          <w:color w:val="231F20"/>
          <w:sz w:val="20"/>
        </w:rPr>
        <w:t>Основные</w:t>
      </w:r>
      <w:r>
        <w:rPr>
          <w:color w:val="231F20"/>
          <w:spacing w:val="-7"/>
          <w:sz w:val="20"/>
        </w:rPr>
        <w:t> </w:t>
      </w:r>
      <w:r>
        <w:rPr>
          <w:i/>
          <w:color w:val="231F20"/>
          <w:sz w:val="20"/>
        </w:rPr>
        <w:t>стратегии</w:t>
      </w:r>
      <w:r>
        <w:rPr>
          <w:i/>
          <w:color w:val="231F20"/>
          <w:spacing w:val="-4"/>
          <w:sz w:val="20"/>
        </w:rPr>
        <w:t> </w:t>
      </w:r>
      <w:r>
        <w:rPr>
          <w:i/>
          <w:color w:val="231F20"/>
          <w:sz w:val="20"/>
        </w:rPr>
        <w:t>работы</w:t>
      </w:r>
      <w:r>
        <w:rPr>
          <w:i/>
          <w:color w:val="231F20"/>
          <w:spacing w:val="-4"/>
          <w:sz w:val="20"/>
        </w:rPr>
        <w:t> </w:t>
      </w:r>
      <w:r>
        <w:rPr>
          <w:color w:val="231F20"/>
          <w:sz w:val="20"/>
        </w:rPr>
        <w:t>с</w:t>
      </w:r>
      <w:r>
        <w:rPr>
          <w:color w:val="231F20"/>
          <w:spacing w:val="-3"/>
          <w:sz w:val="20"/>
        </w:rPr>
        <w:t> </w:t>
      </w:r>
      <w:r>
        <w:rPr>
          <w:color w:val="231F20"/>
          <w:sz w:val="20"/>
        </w:rPr>
        <w:t>родителями</w:t>
      </w:r>
      <w:r>
        <w:rPr>
          <w:color w:val="231F20"/>
          <w:spacing w:val="-5"/>
          <w:sz w:val="20"/>
        </w:rPr>
        <w:t> </w:t>
      </w:r>
      <w:r>
        <w:rPr>
          <w:color w:val="231F20"/>
          <w:sz w:val="20"/>
        </w:rPr>
        <w:t>на</w:t>
      </w:r>
      <w:r>
        <w:rPr>
          <w:color w:val="231F20"/>
          <w:spacing w:val="-4"/>
          <w:sz w:val="20"/>
        </w:rPr>
        <w:t> </w:t>
      </w:r>
      <w:r>
        <w:rPr>
          <w:color w:val="231F20"/>
          <w:sz w:val="20"/>
        </w:rPr>
        <w:t>этой</w:t>
      </w:r>
      <w:r>
        <w:rPr>
          <w:color w:val="231F20"/>
          <w:spacing w:val="-4"/>
          <w:sz w:val="20"/>
        </w:rPr>
        <w:t> </w:t>
      </w:r>
      <w:r>
        <w:rPr>
          <w:color w:val="231F20"/>
          <w:spacing w:val="-2"/>
          <w:sz w:val="20"/>
        </w:rPr>
        <w:t>стадии:</w:t>
      </w:r>
    </w:p>
    <w:p>
      <w:pPr>
        <w:pStyle w:val="ListParagraph"/>
        <w:numPr>
          <w:ilvl w:val="0"/>
          <w:numId w:val="87"/>
        </w:numPr>
        <w:tabs>
          <w:tab w:pos="423" w:val="left" w:leader="none"/>
        </w:tabs>
        <w:spacing w:line="228" w:lineRule="exact" w:before="0" w:after="0"/>
        <w:ind w:left="423" w:right="0" w:hanging="282"/>
        <w:jc w:val="both"/>
        <w:rPr>
          <w:sz w:val="20"/>
        </w:rPr>
      </w:pPr>
      <w:r>
        <w:rPr>
          <w:color w:val="231F20"/>
          <w:sz w:val="20"/>
        </w:rPr>
        <w:t>Помочь</w:t>
      </w:r>
      <w:r>
        <w:rPr>
          <w:color w:val="231F20"/>
          <w:spacing w:val="-6"/>
          <w:sz w:val="20"/>
        </w:rPr>
        <w:t> </w:t>
      </w:r>
      <w:r>
        <w:rPr>
          <w:color w:val="231F20"/>
          <w:sz w:val="20"/>
        </w:rPr>
        <w:t>разобраться</w:t>
      </w:r>
      <w:r>
        <w:rPr>
          <w:color w:val="231F20"/>
          <w:spacing w:val="-3"/>
          <w:sz w:val="20"/>
        </w:rPr>
        <w:t> </w:t>
      </w:r>
      <w:r>
        <w:rPr>
          <w:color w:val="231F20"/>
          <w:sz w:val="20"/>
        </w:rPr>
        <w:t>в</w:t>
      </w:r>
      <w:r>
        <w:rPr>
          <w:color w:val="231F20"/>
          <w:spacing w:val="-4"/>
          <w:sz w:val="20"/>
        </w:rPr>
        <w:t> </w:t>
      </w:r>
      <w:r>
        <w:rPr>
          <w:color w:val="231F20"/>
          <w:sz w:val="20"/>
        </w:rPr>
        <w:t>основных</w:t>
      </w:r>
      <w:r>
        <w:rPr>
          <w:color w:val="231F20"/>
          <w:spacing w:val="-2"/>
          <w:sz w:val="20"/>
        </w:rPr>
        <w:t> </w:t>
      </w:r>
      <w:r>
        <w:rPr>
          <w:color w:val="231F20"/>
          <w:sz w:val="20"/>
        </w:rPr>
        <w:t>требованиях</w:t>
      </w:r>
      <w:r>
        <w:rPr>
          <w:color w:val="231F20"/>
          <w:spacing w:val="-3"/>
          <w:sz w:val="20"/>
        </w:rPr>
        <w:t> </w:t>
      </w:r>
      <w:r>
        <w:rPr>
          <w:color w:val="231F20"/>
          <w:sz w:val="20"/>
        </w:rPr>
        <w:t>и</w:t>
      </w:r>
      <w:r>
        <w:rPr>
          <w:color w:val="231F20"/>
          <w:spacing w:val="-4"/>
          <w:sz w:val="20"/>
        </w:rPr>
        <w:t> </w:t>
      </w:r>
      <w:r>
        <w:rPr>
          <w:color w:val="231F20"/>
          <w:sz w:val="20"/>
        </w:rPr>
        <w:t>правилах</w:t>
      </w:r>
      <w:r>
        <w:rPr>
          <w:color w:val="231F20"/>
          <w:spacing w:val="-2"/>
          <w:sz w:val="20"/>
        </w:rPr>
        <w:t> школы.</w:t>
      </w:r>
    </w:p>
    <w:p>
      <w:pPr>
        <w:pStyle w:val="ListParagraph"/>
        <w:spacing w:after="0" w:line="228" w:lineRule="exact"/>
        <w:jc w:val="both"/>
        <w:rPr>
          <w:sz w:val="20"/>
        </w:rPr>
        <w:sectPr>
          <w:pgSz w:w="8400" w:h="11910"/>
          <w:pgMar w:header="0" w:footer="535"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3.</w:t>
      </w:r>
    </w:p>
    <w:p>
      <w:pPr>
        <w:pStyle w:val="ListParagraph"/>
        <w:numPr>
          <w:ilvl w:val="0"/>
          <w:numId w:val="87"/>
        </w:numPr>
        <w:tabs>
          <w:tab w:pos="423" w:val="left" w:leader="none"/>
          <w:tab w:pos="425" w:val="left" w:leader="none"/>
        </w:tabs>
        <w:spacing w:line="244" w:lineRule="auto" w:before="112" w:after="0"/>
        <w:ind w:left="425" w:right="139" w:hanging="284"/>
        <w:jc w:val="both"/>
        <w:rPr>
          <w:sz w:val="20"/>
        </w:rPr>
      </w:pPr>
      <w:r>
        <w:rPr>
          <w:color w:val="231F20"/>
          <w:spacing w:val="-2"/>
          <w:sz w:val="20"/>
        </w:rPr>
        <w:t>Привлечь</w:t>
      </w:r>
      <w:r>
        <w:rPr>
          <w:color w:val="231F20"/>
          <w:spacing w:val="-5"/>
          <w:sz w:val="20"/>
        </w:rPr>
        <w:t> </w:t>
      </w:r>
      <w:r>
        <w:rPr>
          <w:color w:val="231F20"/>
          <w:spacing w:val="-2"/>
          <w:sz w:val="20"/>
        </w:rPr>
        <w:t>к</w:t>
      </w:r>
      <w:r>
        <w:rPr>
          <w:color w:val="231F20"/>
          <w:spacing w:val="-5"/>
          <w:sz w:val="20"/>
        </w:rPr>
        <w:t> </w:t>
      </w:r>
      <w:r>
        <w:rPr>
          <w:color w:val="231F20"/>
          <w:spacing w:val="-2"/>
          <w:sz w:val="20"/>
        </w:rPr>
        <w:t>помощи</w:t>
      </w:r>
      <w:r>
        <w:rPr>
          <w:color w:val="231F20"/>
          <w:spacing w:val="-5"/>
          <w:sz w:val="20"/>
        </w:rPr>
        <w:t> </w:t>
      </w:r>
      <w:r>
        <w:rPr>
          <w:color w:val="231F20"/>
          <w:spacing w:val="-2"/>
          <w:sz w:val="20"/>
        </w:rPr>
        <w:t>других</w:t>
      </w:r>
      <w:r>
        <w:rPr>
          <w:color w:val="231F20"/>
          <w:spacing w:val="-5"/>
          <w:sz w:val="20"/>
        </w:rPr>
        <w:t> </w:t>
      </w:r>
      <w:r>
        <w:rPr>
          <w:color w:val="231F20"/>
          <w:spacing w:val="-2"/>
          <w:sz w:val="20"/>
        </w:rPr>
        <w:t>родителей,</w:t>
      </w:r>
      <w:r>
        <w:rPr>
          <w:color w:val="231F20"/>
          <w:spacing w:val="-5"/>
          <w:sz w:val="20"/>
        </w:rPr>
        <w:t> </w:t>
      </w:r>
      <w:r>
        <w:rPr>
          <w:color w:val="231F20"/>
          <w:spacing w:val="-2"/>
          <w:sz w:val="20"/>
        </w:rPr>
        <w:t>прежде</w:t>
      </w:r>
      <w:r>
        <w:rPr>
          <w:color w:val="231F20"/>
          <w:spacing w:val="-5"/>
          <w:sz w:val="20"/>
        </w:rPr>
        <w:t> </w:t>
      </w:r>
      <w:r>
        <w:rPr>
          <w:color w:val="231F20"/>
          <w:spacing w:val="-2"/>
          <w:sz w:val="20"/>
        </w:rPr>
        <w:t>всего</w:t>
      </w:r>
      <w:r>
        <w:rPr>
          <w:color w:val="231F20"/>
          <w:spacing w:val="-5"/>
          <w:sz w:val="20"/>
        </w:rPr>
        <w:t> </w:t>
      </w:r>
      <w:r>
        <w:rPr>
          <w:color w:val="231F20"/>
          <w:spacing w:val="-2"/>
          <w:sz w:val="20"/>
        </w:rPr>
        <w:t>из</w:t>
      </w:r>
      <w:r>
        <w:rPr>
          <w:color w:val="231F20"/>
          <w:spacing w:val="-5"/>
          <w:sz w:val="20"/>
        </w:rPr>
        <w:t> </w:t>
      </w:r>
      <w:r>
        <w:rPr>
          <w:color w:val="231F20"/>
          <w:spacing w:val="-2"/>
          <w:sz w:val="20"/>
        </w:rPr>
        <w:t>той</w:t>
      </w:r>
      <w:r>
        <w:rPr>
          <w:color w:val="231F20"/>
          <w:spacing w:val="-5"/>
          <w:sz w:val="20"/>
        </w:rPr>
        <w:t> </w:t>
      </w:r>
      <w:r>
        <w:rPr>
          <w:color w:val="231F20"/>
          <w:spacing w:val="-2"/>
          <w:sz w:val="20"/>
        </w:rPr>
        <w:t>же</w:t>
      </w:r>
      <w:r>
        <w:rPr>
          <w:color w:val="231F20"/>
          <w:spacing w:val="-5"/>
          <w:sz w:val="20"/>
        </w:rPr>
        <w:t> </w:t>
      </w:r>
      <w:r>
        <w:rPr>
          <w:color w:val="231F20"/>
          <w:spacing w:val="-2"/>
          <w:sz w:val="20"/>
        </w:rPr>
        <w:t>этнической</w:t>
      </w:r>
      <w:r>
        <w:rPr>
          <w:color w:val="231F20"/>
          <w:spacing w:val="-5"/>
          <w:sz w:val="20"/>
        </w:rPr>
        <w:t> </w:t>
      </w:r>
      <w:r>
        <w:rPr>
          <w:color w:val="231F20"/>
          <w:spacing w:val="-2"/>
          <w:sz w:val="20"/>
        </w:rPr>
        <w:t>группы, </w:t>
      </w:r>
      <w:r>
        <w:rPr>
          <w:color w:val="231F20"/>
          <w:sz w:val="20"/>
        </w:rPr>
        <w:t>для</w:t>
      </w:r>
      <w:r>
        <w:rPr>
          <w:color w:val="231F20"/>
          <w:spacing w:val="-5"/>
          <w:sz w:val="20"/>
        </w:rPr>
        <w:t> </w:t>
      </w:r>
      <w:r>
        <w:rPr>
          <w:color w:val="231F20"/>
          <w:sz w:val="20"/>
        </w:rPr>
        <w:t>разъяснения</w:t>
      </w:r>
      <w:r>
        <w:rPr>
          <w:color w:val="231F20"/>
          <w:spacing w:val="-5"/>
          <w:sz w:val="20"/>
        </w:rPr>
        <w:t> </w:t>
      </w:r>
      <w:r>
        <w:rPr>
          <w:color w:val="231F20"/>
          <w:sz w:val="20"/>
        </w:rPr>
        <w:t>текущей</w:t>
      </w:r>
      <w:r>
        <w:rPr>
          <w:color w:val="231F20"/>
          <w:spacing w:val="-5"/>
          <w:sz w:val="20"/>
        </w:rPr>
        <w:t> </w:t>
      </w:r>
      <w:r>
        <w:rPr>
          <w:color w:val="231F20"/>
          <w:sz w:val="20"/>
        </w:rPr>
        <w:t>ситуации</w:t>
      </w:r>
      <w:r>
        <w:rPr>
          <w:color w:val="231F20"/>
          <w:spacing w:val="-5"/>
          <w:sz w:val="20"/>
        </w:rPr>
        <w:t> </w:t>
      </w:r>
      <w:r>
        <w:rPr>
          <w:color w:val="231F20"/>
          <w:sz w:val="20"/>
        </w:rPr>
        <w:t>и</w:t>
      </w:r>
      <w:r>
        <w:rPr>
          <w:color w:val="231F20"/>
          <w:spacing w:val="-5"/>
          <w:sz w:val="20"/>
        </w:rPr>
        <w:t> </w:t>
      </w:r>
      <w:r>
        <w:rPr>
          <w:color w:val="231F20"/>
          <w:sz w:val="20"/>
        </w:rPr>
        <w:t>определения</w:t>
      </w:r>
      <w:r>
        <w:rPr>
          <w:color w:val="231F20"/>
          <w:spacing w:val="-5"/>
          <w:sz w:val="20"/>
        </w:rPr>
        <w:t> </w:t>
      </w:r>
      <w:r>
        <w:rPr>
          <w:color w:val="231F20"/>
          <w:sz w:val="20"/>
        </w:rPr>
        <w:t>возможной</w:t>
      </w:r>
      <w:r>
        <w:rPr>
          <w:color w:val="231F20"/>
          <w:spacing w:val="-5"/>
          <w:sz w:val="20"/>
        </w:rPr>
        <w:t> </w:t>
      </w:r>
      <w:r>
        <w:rPr>
          <w:color w:val="231F20"/>
          <w:sz w:val="20"/>
        </w:rPr>
        <w:t>стратегии</w:t>
      </w:r>
      <w:r>
        <w:rPr>
          <w:color w:val="231F20"/>
          <w:spacing w:val="-5"/>
          <w:sz w:val="20"/>
        </w:rPr>
        <w:t> </w:t>
      </w:r>
      <w:r>
        <w:rPr>
          <w:color w:val="231F20"/>
          <w:sz w:val="20"/>
        </w:rPr>
        <w:t>помощи.</w:t>
      </w:r>
    </w:p>
    <w:p>
      <w:pPr>
        <w:pStyle w:val="ListParagraph"/>
        <w:numPr>
          <w:ilvl w:val="0"/>
          <w:numId w:val="87"/>
        </w:numPr>
        <w:tabs>
          <w:tab w:pos="423" w:val="left" w:leader="none"/>
          <w:tab w:pos="425" w:val="left" w:leader="none"/>
        </w:tabs>
        <w:spacing w:line="244" w:lineRule="auto" w:before="0" w:after="0"/>
        <w:ind w:left="425" w:right="139" w:hanging="284"/>
        <w:jc w:val="both"/>
        <w:rPr>
          <w:sz w:val="20"/>
        </w:rPr>
      </w:pPr>
      <w:r>
        <w:rPr>
          <w:color w:val="231F20"/>
          <w:sz w:val="20"/>
        </w:rPr>
        <w:t>По возможности – оказать социальную поддержку ребенку (бесплатное питание, обеспечение канцелярскими товарами и пр.).</w:t>
      </w:r>
    </w:p>
    <w:p>
      <w:pPr>
        <w:pStyle w:val="BodyText"/>
        <w:spacing w:line="244" w:lineRule="auto" w:before="111"/>
      </w:pPr>
      <w:r>
        <w:rPr>
          <w:b/>
          <w:i/>
          <w:color w:val="231F20"/>
        </w:rPr>
        <w:t>Вторая</w:t>
      </w:r>
      <w:r>
        <w:rPr>
          <w:b/>
          <w:i/>
          <w:color w:val="231F20"/>
          <w:spacing w:val="-10"/>
        </w:rPr>
        <w:t> </w:t>
      </w:r>
      <w:r>
        <w:rPr>
          <w:b/>
          <w:i/>
          <w:color w:val="231F20"/>
        </w:rPr>
        <w:t>стадия</w:t>
      </w:r>
      <w:r>
        <w:rPr>
          <w:b/>
          <w:i/>
          <w:color w:val="231F20"/>
          <w:spacing w:val="-10"/>
        </w:rPr>
        <w:t> </w:t>
      </w:r>
      <w:r>
        <w:rPr>
          <w:b/>
          <w:i/>
          <w:color w:val="231F20"/>
        </w:rPr>
        <w:t>–</w:t>
      </w:r>
      <w:r>
        <w:rPr>
          <w:b/>
          <w:i/>
          <w:color w:val="231F20"/>
          <w:spacing w:val="-10"/>
        </w:rPr>
        <w:t> </w:t>
      </w:r>
      <w:r>
        <w:rPr>
          <w:b/>
          <w:i/>
          <w:color w:val="231F20"/>
        </w:rPr>
        <w:t>обучение.</w:t>
      </w:r>
      <w:r>
        <w:rPr>
          <w:b/>
          <w:i/>
          <w:color w:val="231F20"/>
          <w:spacing w:val="-10"/>
        </w:rPr>
        <w:t> </w:t>
      </w:r>
      <w:r>
        <w:rPr>
          <w:color w:val="231F20"/>
        </w:rPr>
        <w:t>На</w:t>
      </w:r>
      <w:r>
        <w:rPr>
          <w:color w:val="231F20"/>
          <w:spacing w:val="-10"/>
        </w:rPr>
        <w:t> </w:t>
      </w:r>
      <w:r>
        <w:rPr>
          <w:color w:val="231F20"/>
        </w:rPr>
        <w:t>этой</w:t>
      </w:r>
      <w:r>
        <w:rPr>
          <w:color w:val="231F20"/>
          <w:spacing w:val="-10"/>
        </w:rPr>
        <w:t> </w:t>
      </w:r>
      <w:r>
        <w:rPr>
          <w:color w:val="231F20"/>
        </w:rPr>
        <w:t>стадии</w:t>
      </w:r>
      <w:r>
        <w:rPr>
          <w:color w:val="231F20"/>
          <w:spacing w:val="-10"/>
        </w:rPr>
        <w:t> </w:t>
      </w:r>
      <w:r>
        <w:rPr>
          <w:color w:val="231F20"/>
        </w:rPr>
        <w:t>бытовые</w:t>
      </w:r>
      <w:r>
        <w:rPr>
          <w:color w:val="231F20"/>
          <w:spacing w:val="-10"/>
        </w:rPr>
        <w:t> </w:t>
      </w:r>
      <w:r>
        <w:rPr>
          <w:color w:val="231F20"/>
        </w:rPr>
        <w:t>и</w:t>
      </w:r>
      <w:r>
        <w:rPr>
          <w:color w:val="231F20"/>
          <w:spacing w:val="-10"/>
        </w:rPr>
        <w:t> </w:t>
      </w:r>
      <w:r>
        <w:rPr>
          <w:color w:val="231F20"/>
        </w:rPr>
        <w:t>социально-экономические проблемы уже решены, родители имеют возможность разбираться в более сложных аспектах жизни в новой среде.</w:t>
      </w:r>
    </w:p>
    <w:p>
      <w:pPr>
        <w:pStyle w:val="BodyText"/>
        <w:spacing w:line="228" w:lineRule="exact"/>
        <w:ind w:left="425" w:right="0" w:firstLine="0"/>
      </w:pPr>
      <w:r>
        <w:rPr>
          <w:color w:val="231F20"/>
        </w:rPr>
        <w:t>Для</w:t>
      </w:r>
      <w:r>
        <w:rPr>
          <w:color w:val="231F20"/>
          <w:spacing w:val="-4"/>
        </w:rPr>
        <w:t> </w:t>
      </w:r>
      <w:r>
        <w:rPr>
          <w:color w:val="231F20"/>
        </w:rPr>
        <w:t>этой</w:t>
      </w:r>
      <w:r>
        <w:rPr>
          <w:color w:val="231F20"/>
          <w:spacing w:val="-3"/>
        </w:rPr>
        <w:t> </w:t>
      </w:r>
      <w:r>
        <w:rPr>
          <w:color w:val="231F20"/>
        </w:rPr>
        <w:t>стадии</w:t>
      </w:r>
      <w:r>
        <w:rPr>
          <w:color w:val="231F20"/>
          <w:spacing w:val="-3"/>
        </w:rPr>
        <w:t> </w:t>
      </w:r>
      <w:r>
        <w:rPr>
          <w:color w:val="231F20"/>
        </w:rPr>
        <w:t>характерны</w:t>
      </w:r>
      <w:r>
        <w:rPr>
          <w:color w:val="231F20"/>
          <w:spacing w:val="-2"/>
        </w:rPr>
        <w:t> </w:t>
      </w:r>
      <w:r>
        <w:rPr>
          <w:color w:val="231F20"/>
        </w:rPr>
        <w:t>такие</w:t>
      </w:r>
      <w:r>
        <w:rPr>
          <w:color w:val="231F20"/>
          <w:spacing w:val="-2"/>
        </w:rPr>
        <w:t> </w:t>
      </w:r>
      <w:r>
        <w:rPr>
          <w:i/>
          <w:color w:val="231F20"/>
          <w:spacing w:val="-2"/>
        </w:rPr>
        <w:t>признаки</w:t>
      </w:r>
      <w:r>
        <w:rPr>
          <w:color w:val="231F20"/>
          <w:spacing w:val="-2"/>
        </w:rPr>
        <w:t>:</w:t>
      </w:r>
    </w:p>
    <w:p>
      <w:pPr>
        <w:pStyle w:val="ListParagraph"/>
        <w:numPr>
          <w:ilvl w:val="0"/>
          <w:numId w:val="87"/>
        </w:numPr>
        <w:tabs>
          <w:tab w:pos="423" w:val="left" w:leader="none"/>
          <w:tab w:pos="425" w:val="left" w:leader="none"/>
        </w:tabs>
        <w:spacing w:line="244" w:lineRule="auto" w:before="4" w:after="0"/>
        <w:ind w:left="425" w:right="139" w:hanging="284"/>
        <w:jc w:val="both"/>
        <w:rPr>
          <w:sz w:val="20"/>
        </w:rPr>
      </w:pPr>
      <w:r>
        <w:rPr>
          <w:color w:val="231F20"/>
          <w:sz w:val="20"/>
        </w:rPr>
        <w:t>Достаточный</w:t>
      </w:r>
      <w:r>
        <w:rPr>
          <w:color w:val="231F20"/>
          <w:spacing w:val="-13"/>
          <w:sz w:val="20"/>
        </w:rPr>
        <w:t> </w:t>
      </w:r>
      <w:r>
        <w:rPr>
          <w:color w:val="231F20"/>
          <w:sz w:val="20"/>
        </w:rPr>
        <w:t>уровень</w:t>
      </w:r>
      <w:r>
        <w:rPr>
          <w:color w:val="231F20"/>
          <w:spacing w:val="-12"/>
          <w:sz w:val="20"/>
        </w:rPr>
        <w:t> </w:t>
      </w:r>
      <w:r>
        <w:rPr>
          <w:color w:val="231F20"/>
          <w:sz w:val="20"/>
        </w:rPr>
        <w:t>владения</w:t>
      </w:r>
      <w:r>
        <w:rPr>
          <w:color w:val="231F20"/>
          <w:spacing w:val="-13"/>
          <w:sz w:val="20"/>
        </w:rPr>
        <w:t> </w:t>
      </w:r>
      <w:r>
        <w:rPr>
          <w:color w:val="231F20"/>
          <w:sz w:val="20"/>
        </w:rPr>
        <w:t>языком</w:t>
      </w:r>
      <w:r>
        <w:rPr>
          <w:color w:val="231F20"/>
          <w:spacing w:val="-12"/>
          <w:sz w:val="20"/>
        </w:rPr>
        <w:t> </w:t>
      </w:r>
      <w:r>
        <w:rPr>
          <w:color w:val="231F20"/>
          <w:sz w:val="20"/>
        </w:rPr>
        <w:t>и</w:t>
      </w:r>
      <w:r>
        <w:rPr>
          <w:color w:val="231F20"/>
          <w:spacing w:val="-13"/>
          <w:sz w:val="20"/>
        </w:rPr>
        <w:t> </w:t>
      </w:r>
      <w:r>
        <w:rPr>
          <w:color w:val="231F20"/>
          <w:sz w:val="20"/>
        </w:rPr>
        <w:t>достаточное</w:t>
      </w:r>
      <w:r>
        <w:rPr>
          <w:color w:val="231F20"/>
          <w:spacing w:val="-12"/>
          <w:sz w:val="20"/>
        </w:rPr>
        <w:t> </w:t>
      </w:r>
      <w:r>
        <w:rPr>
          <w:color w:val="231F20"/>
          <w:sz w:val="20"/>
        </w:rPr>
        <w:t>количество</w:t>
      </w:r>
      <w:r>
        <w:rPr>
          <w:color w:val="231F20"/>
          <w:spacing w:val="-13"/>
          <w:sz w:val="20"/>
        </w:rPr>
        <w:t> </w:t>
      </w:r>
      <w:r>
        <w:rPr>
          <w:color w:val="231F20"/>
          <w:sz w:val="20"/>
        </w:rPr>
        <w:t>времени</w:t>
      </w:r>
      <w:r>
        <w:rPr>
          <w:color w:val="231F20"/>
          <w:spacing w:val="-12"/>
          <w:sz w:val="20"/>
        </w:rPr>
        <w:t> </w:t>
      </w:r>
      <w:r>
        <w:rPr>
          <w:color w:val="231F20"/>
          <w:sz w:val="20"/>
        </w:rPr>
        <w:t>у</w:t>
      </w:r>
      <w:r>
        <w:rPr>
          <w:color w:val="231F20"/>
          <w:spacing w:val="-13"/>
          <w:sz w:val="20"/>
        </w:rPr>
        <w:t> </w:t>
      </w:r>
      <w:r>
        <w:rPr>
          <w:color w:val="231F20"/>
          <w:sz w:val="20"/>
        </w:rPr>
        <w:t>роди- телей, чтобы заняться образованием детей.</w:t>
      </w:r>
    </w:p>
    <w:p>
      <w:pPr>
        <w:pStyle w:val="ListParagraph"/>
        <w:numPr>
          <w:ilvl w:val="0"/>
          <w:numId w:val="87"/>
        </w:numPr>
        <w:tabs>
          <w:tab w:pos="423" w:val="left" w:leader="none"/>
          <w:tab w:pos="425" w:val="left" w:leader="none"/>
        </w:tabs>
        <w:spacing w:line="240" w:lineRule="auto" w:before="0" w:after="0"/>
        <w:ind w:left="425" w:right="139" w:hanging="284"/>
        <w:jc w:val="both"/>
        <w:rPr>
          <w:sz w:val="20"/>
        </w:rPr>
      </w:pPr>
      <w:r>
        <w:rPr>
          <w:color w:val="231F20"/>
          <w:sz w:val="20"/>
        </w:rPr>
        <w:t>Недостаток</w:t>
      </w:r>
      <w:r>
        <w:rPr>
          <w:color w:val="231F20"/>
          <w:spacing w:val="-13"/>
          <w:sz w:val="20"/>
        </w:rPr>
        <w:t> </w:t>
      </w:r>
      <w:r>
        <w:rPr>
          <w:color w:val="231F20"/>
          <w:sz w:val="20"/>
        </w:rPr>
        <w:t>информации</w:t>
      </w:r>
      <w:r>
        <w:rPr>
          <w:color w:val="231F20"/>
          <w:spacing w:val="-12"/>
          <w:sz w:val="20"/>
        </w:rPr>
        <w:t> </w:t>
      </w:r>
      <w:r>
        <w:rPr>
          <w:color w:val="231F20"/>
          <w:sz w:val="20"/>
        </w:rPr>
        <w:t>по</w:t>
      </w:r>
      <w:r>
        <w:rPr>
          <w:color w:val="231F20"/>
          <w:spacing w:val="-13"/>
          <w:sz w:val="20"/>
        </w:rPr>
        <w:t> </w:t>
      </w:r>
      <w:r>
        <w:rPr>
          <w:color w:val="231F20"/>
          <w:sz w:val="20"/>
        </w:rPr>
        <w:t>образовательным</w:t>
      </w:r>
      <w:r>
        <w:rPr>
          <w:color w:val="231F20"/>
          <w:spacing w:val="-12"/>
          <w:sz w:val="20"/>
        </w:rPr>
        <w:t> </w:t>
      </w:r>
      <w:r>
        <w:rPr>
          <w:color w:val="231F20"/>
          <w:sz w:val="20"/>
        </w:rPr>
        <w:t>вопросам,</w:t>
      </w:r>
      <w:r>
        <w:rPr>
          <w:color w:val="231F20"/>
          <w:spacing w:val="-13"/>
          <w:sz w:val="20"/>
        </w:rPr>
        <w:t> </w:t>
      </w:r>
      <w:r>
        <w:rPr>
          <w:color w:val="231F20"/>
          <w:sz w:val="20"/>
        </w:rPr>
        <w:t>например</w:t>
      </w:r>
      <w:r>
        <w:rPr>
          <w:color w:val="231F20"/>
          <w:spacing w:val="-12"/>
          <w:sz w:val="20"/>
        </w:rPr>
        <w:t> </w:t>
      </w:r>
      <w:r>
        <w:rPr>
          <w:color w:val="231F20"/>
          <w:sz w:val="20"/>
        </w:rPr>
        <w:t>о</w:t>
      </w:r>
      <w:r>
        <w:rPr>
          <w:color w:val="231F20"/>
          <w:spacing w:val="-13"/>
          <w:sz w:val="20"/>
        </w:rPr>
        <w:t> </w:t>
      </w:r>
      <w:r>
        <w:rPr>
          <w:color w:val="231F20"/>
          <w:sz w:val="20"/>
        </w:rPr>
        <w:t>дополнитель- ном образовании, учебных требованиях, электронном дневнике и пр.</w:t>
      </w:r>
    </w:p>
    <w:p>
      <w:pPr>
        <w:pStyle w:val="BodyText"/>
        <w:ind w:left="425" w:right="0" w:firstLine="0"/>
      </w:pPr>
      <w:r>
        <w:rPr>
          <w:color w:val="231F20"/>
        </w:rPr>
        <w:t>На</w:t>
      </w:r>
      <w:r>
        <w:rPr>
          <w:color w:val="231F20"/>
          <w:spacing w:val="-3"/>
        </w:rPr>
        <w:t> </w:t>
      </w:r>
      <w:r>
        <w:rPr>
          <w:color w:val="231F20"/>
        </w:rPr>
        <w:t>данном</w:t>
      </w:r>
      <w:r>
        <w:rPr>
          <w:color w:val="231F20"/>
          <w:spacing w:val="-3"/>
        </w:rPr>
        <w:t> </w:t>
      </w:r>
      <w:r>
        <w:rPr>
          <w:color w:val="231F20"/>
        </w:rPr>
        <w:t>этапе</w:t>
      </w:r>
      <w:r>
        <w:rPr>
          <w:color w:val="231F20"/>
          <w:spacing w:val="-2"/>
        </w:rPr>
        <w:t> </w:t>
      </w:r>
      <w:r>
        <w:rPr>
          <w:color w:val="231F20"/>
        </w:rPr>
        <w:t>возможно</w:t>
      </w:r>
      <w:r>
        <w:rPr>
          <w:color w:val="231F20"/>
          <w:spacing w:val="-3"/>
        </w:rPr>
        <w:t> </w:t>
      </w:r>
      <w:r>
        <w:rPr>
          <w:color w:val="231F20"/>
        </w:rPr>
        <w:t>решение</w:t>
      </w:r>
      <w:r>
        <w:rPr>
          <w:color w:val="231F20"/>
          <w:spacing w:val="-2"/>
        </w:rPr>
        <w:t> </w:t>
      </w:r>
      <w:r>
        <w:rPr>
          <w:color w:val="231F20"/>
        </w:rPr>
        <w:t>следующих</w:t>
      </w:r>
      <w:r>
        <w:rPr>
          <w:color w:val="231F20"/>
          <w:spacing w:val="-4"/>
        </w:rPr>
        <w:t> </w:t>
      </w:r>
      <w:r>
        <w:rPr>
          <w:i/>
          <w:color w:val="231F20"/>
        </w:rPr>
        <w:t>задач</w:t>
      </w:r>
      <w:r>
        <w:rPr>
          <w:i/>
          <w:color w:val="231F20"/>
          <w:spacing w:val="-2"/>
        </w:rPr>
        <w:t> </w:t>
      </w:r>
      <w:r>
        <w:rPr>
          <w:color w:val="231F20"/>
        </w:rPr>
        <w:t>в</w:t>
      </w:r>
      <w:r>
        <w:rPr>
          <w:color w:val="231F20"/>
          <w:spacing w:val="-3"/>
        </w:rPr>
        <w:t> </w:t>
      </w:r>
      <w:r>
        <w:rPr>
          <w:color w:val="231F20"/>
        </w:rPr>
        <w:t>работе</w:t>
      </w:r>
      <w:r>
        <w:rPr>
          <w:color w:val="231F20"/>
          <w:spacing w:val="-3"/>
        </w:rPr>
        <w:t> </w:t>
      </w:r>
      <w:r>
        <w:rPr>
          <w:color w:val="231F20"/>
        </w:rPr>
        <w:t>с</w:t>
      </w:r>
      <w:r>
        <w:rPr>
          <w:color w:val="231F20"/>
          <w:spacing w:val="-2"/>
        </w:rPr>
        <w:t> родителями:</w:t>
      </w:r>
    </w:p>
    <w:p>
      <w:pPr>
        <w:pStyle w:val="ListParagraph"/>
        <w:numPr>
          <w:ilvl w:val="0"/>
          <w:numId w:val="87"/>
        </w:numPr>
        <w:tabs>
          <w:tab w:pos="423" w:val="left" w:leader="none"/>
          <w:tab w:pos="425" w:val="left" w:leader="none"/>
        </w:tabs>
        <w:spacing w:line="240" w:lineRule="auto" w:before="0" w:after="0"/>
        <w:ind w:left="425" w:right="139" w:hanging="284"/>
        <w:jc w:val="both"/>
        <w:rPr>
          <w:sz w:val="20"/>
        </w:rPr>
      </w:pPr>
      <w:r>
        <w:rPr>
          <w:color w:val="231F20"/>
          <w:sz w:val="20"/>
        </w:rPr>
        <w:t>Просвещение:</w:t>
      </w:r>
      <w:r>
        <w:rPr>
          <w:color w:val="231F20"/>
          <w:spacing w:val="-4"/>
          <w:sz w:val="20"/>
        </w:rPr>
        <w:t> </w:t>
      </w:r>
      <w:r>
        <w:rPr>
          <w:color w:val="231F20"/>
          <w:sz w:val="20"/>
        </w:rPr>
        <w:t>помочь</w:t>
      </w:r>
      <w:r>
        <w:rPr>
          <w:color w:val="231F20"/>
          <w:spacing w:val="-4"/>
          <w:sz w:val="20"/>
        </w:rPr>
        <w:t> </w:t>
      </w:r>
      <w:r>
        <w:rPr>
          <w:color w:val="231F20"/>
          <w:sz w:val="20"/>
        </w:rPr>
        <w:t>разобраться</w:t>
      </w:r>
      <w:r>
        <w:rPr>
          <w:color w:val="231F20"/>
          <w:spacing w:val="-4"/>
          <w:sz w:val="20"/>
        </w:rPr>
        <w:t> </w:t>
      </w:r>
      <w:r>
        <w:rPr>
          <w:color w:val="231F20"/>
          <w:sz w:val="20"/>
        </w:rPr>
        <w:t>в</w:t>
      </w:r>
      <w:r>
        <w:rPr>
          <w:color w:val="231F20"/>
          <w:spacing w:val="-4"/>
          <w:sz w:val="20"/>
        </w:rPr>
        <w:t> </w:t>
      </w:r>
      <w:r>
        <w:rPr>
          <w:color w:val="231F20"/>
          <w:sz w:val="20"/>
        </w:rPr>
        <w:t>тонкостях</w:t>
      </w:r>
      <w:r>
        <w:rPr>
          <w:color w:val="231F20"/>
          <w:spacing w:val="-4"/>
          <w:sz w:val="20"/>
        </w:rPr>
        <w:t> </w:t>
      </w:r>
      <w:r>
        <w:rPr>
          <w:color w:val="231F20"/>
          <w:sz w:val="20"/>
        </w:rPr>
        <w:t>и</w:t>
      </w:r>
      <w:r>
        <w:rPr>
          <w:color w:val="231F20"/>
          <w:spacing w:val="-4"/>
          <w:sz w:val="20"/>
        </w:rPr>
        <w:t> </w:t>
      </w:r>
      <w:r>
        <w:rPr>
          <w:color w:val="231F20"/>
          <w:sz w:val="20"/>
        </w:rPr>
        <w:t>нюансах,</w:t>
      </w:r>
      <w:r>
        <w:rPr>
          <w:color w:val="231F20"/>
          <w:spacing w:val="-4"/>
          <w:sz w:val="20"/>
        </w:rPr>
        <w:t> </w:t>
      </w:r>
      <w:r>
        <w:rPr>
          <w:color w:val="231F20"/>
          <w:sz w:val="20"/>
        </w:rPr>
        <w:t>касающихся</w:t>
      </w:r>
      <w:r>
        <w:rPr>
          <w:color w:val="231F20"/>
          <w:spacing w:val="-4"/>
          <w:sz w:val="20"/>
        </w:rPr>
        <w:t> </w:t>
      </w:r>
      <w:r>
        <w:rPr>
          <w:color w:val="231F20"/>
          <w:sz w:val="20"/>
        </w:rPr>
        <w:t>образова- тельной</w:t>
      </w:r>
      <w:r>
        <w:rPr>
          <w:color w:val="231F20"/>
          <w:spacing w:val="-3"/>
          <w:sz w:val="20"/>
        </w:rPr>
        <w:t> </w:t>
      </w:r>
      <w:r>
        <w:rPr>
          <w:color w:val="231F20"/>
          <w:sz w:val="20"/>
        </w:rPr>
        <w:t>организации.</w:t>
      </w:r>
      <w:r>
        <w:rPr>
          <w:color w:val="231F20"/>
          <w:spacing w:val="-3"/>
          <w:sz w:val="20"/>
        </w:rPr>
        <w:t> </w:t>
      </w:r>
      <w:r>
        <w:rPr>
          <w:color w:val="231F20"/>
          <w:sz w:val="20"/>
        </w:rPr>
        <w:t>Это</w:t>
      </w:r>
      <w:r>
        <w:rPr>
          <w:color w:val="231F20"/>
          <w:spacing w:val="-3"/>
          <w:sz w:val="20"/>
        </w:rPr>
        <w:t> </w:t>
      </w:r>
      <w:r>
        <w:rPr>
          <w:color w:val="231F20"/>
          <w:sz w:val="20"/>
        </w:rPr>
        <w:t>возможно</w:t>
      </w:r>
      <w:r>
        <w:rPr>
          <w:color w:val="231F20"/>
          <w:spacing w:val="-3"/>
          <w:sz w:val="20"/>
        </w:rPr>
        <w:t> </w:t>
      </w:r>
      <w:r>
        <w:rPr>
          <w:color w:val="231F20"/>
          <w:sz w:val="20"/>
        </w:rPr>
        <w:t>сделать</w:t>
      </w:r>
      <w:r>
        <w:rPr>
          <w:color w:val="231F20"/>
          <w:spacing w:val="-3"/>
          <w:sz w:val="20"/>
        </w:rPr>
        <w:t> </w:t>
      </w:r>
      <w:r>
        <w:rPr>
          <w:color w:val="231F20"/>
          <w:sz w:val="20"/>
        </w:rPr>
        <w:t>как</w:t>
      </w:r>
      <w:r>
        <w:rPr>
          <w:color w:val="231F20"/>
          <w:spacing w:val="-3"/>
          <w:sz w:val="20"/>
        </w:rPr>
        <w:t> </w:t>
      </w:r>
      <w:r>
        <w:rPr>
          <w:color w:val="231F20"/>
          <w:sz w:val="20"/>
        </w:rPr>
        <w:t>посредством</w:t>
      </w:r>
      <w:r>
        <w:rPr>
          <w:color w:val="231F20"/>
          <w:spacing w:val="-3"/>
          <w:sz w:val="20"/>
        </w:rPr>
        <w:t> </w:t>
      </w:r>
      <w:r>
        <w:rPr>
          <w:color w:val="231F20"/>
          <w:sz w:val="20"/>
        </w:rPr>
        <w:t>беседы,</w:t>
      </w:r>
      <w:r>
        <w:rPr>
          <w:color w:val="231F20"/>
          <w:spacing w:val="-3"/>
          <w:sz w:val="20"/>
        </w:rPr>
        <w:t> </w:t>
      </w:r>
      <w:r>
        <w:rPr>
          <w:color w:val="231F20"/>
          <w:sz w:val="20"/>
        </w:rPr>
        <w:t>так</w:t>
      </w:r>
      <w:r>
        <w:rPr>
          <w:color w:val="231F20"/>
          <w:spacing w:val="-3"/>
          <w:sz w:val="20"/>
        </w:rPr>
        <w:t> </w:t>
      </w:r>
      <w:r>
        <w:rPr>
          <w:color w:val="231F20"/>
          <w:sz w:val="20"/>
        </w:rPr>
        <w:t>и</w:t>
      </w:r>
      <w:r>
        <w:rPr>
          <w:color w:val="231F20"/>
          <w:spacing w:val="-3"/>
          <w:sz w:val="20"/>
        </w:rPr>
        <w:t> </w:t>
      </w:r>
      <w:r>
        <w:rPr>
          <w:color w:val="231F20"/>
          <w:sz w:val="20"/>
        </w:rPr>
        <w:t>через знакомство родителей с материалами, размещенными на сайте школы.</w:t>
      </w:r>
    </w:p>
    <w:p>
      <w:pPr>
        <w:pStyle w:val="ListParagraph"/>
        <w:numPr>
          <w:ilvl w:val="0"/>
          <w:numId w:val="87"/>
        </w:numPr>
        <w:tabs>
          <w:tab w:pos="423" w:val="left" w:leader="none"/>
        </w:tabs>
        <w:spacing w:line="240" w:lineRule="auto" w:before="0" w:after="0"/>
        <w:ind w:left="423" w:right="0" w:hanging="282"/>
        <w:jc w:val="both"/>
        <w:rPr>
          <w:sz w:val="20"/>
        </w:rPr>
      </w:pPr>
      <w:r>
        <w:rPr>
          <w:color w:val="231F20"/>
          <w:sz w:val="20"/>
        </w:rPr>
        <w:t>Вовлечь</w:t>
      </w:r>
      <w:r>
        <w:rPr>
          <w:color w:val="231F20"/>
          <w:spacing w:val="-8"/>
          <w:sz w:val="20"/>
        </w:rPr>
        <w:t> </w:t>
      </w:r>
      <w:r>
        <w:rPr>
          <w:color w:val="231F20"/>
          <w:sz w:val="20"/>
        </w:rPr>
        <w:t>в</w:t>
      </w:r>
      <w:r>
        <w:rPr>
          <w:color w:val="231F20"/>
          <w:spacing w:val="-6"/>
          <w:sz w:val="20"/>
        </w:rPr>
        <w:t> </w:t>
      </w:r>
      <w:r>
        <w:rPr>
          <w:color w:val="231F20"/>
          <w:sz w:val="20"/>
        </w:rPr>
        <w:t>школьные</w:t>
      </w:r>
      <w:r>
        <w:rPr>
          <w:color w:val="231F20"/>
          <w:spacing w:val="-5"/>
          <w:sz w:val="20"/>
        </w:rPr>
        <w:t> </w:t>
      </w:r>
      <w:r>
        <w:rPr>
          <w:color w:val="231F20"/>
          <w:sz w:val="20"/>
        </w:rPr>
        <w:t>активности,</w:t>
      </w:r>
      <w:r>
        <w:rPr>
          <w:color w:val="231F20"/>
          <w:spacing w:val="-4"/>
          <w:sz w:val="20"/>
        </w:rPr>
        <w:t> </w:t>
      </w:r>
      <w:r>
        <w:rPr>
          <w:color w:val="231F20"/>
          <w:sz w:val="20"/>
        </w:rPr>
        <w:t>помощь</w:t>
      </w:r>
      <w:r>
        <w:rPr>
          <w:color w:val="231F20"/>
          <w:spacing w:val="-6"/>
          <w:sz w:val="20"/>
        </w:rPr>
        <w:t> </w:t>
      </w:r>
      <w:r>
        <w:rPr>
          <w:color w:val="231F20"/>
          <w:sz w:val="20"/>
        </w:rPr>
        <w:t>классу</w:t>
      </w:r>
      <w:r>
        <w:rPr>
          <w:color w:val="231F20"/>
          <w:spacing w:val="-5"/>
          <w:sz w:val="20"/>
        </w:rPr>
        <w:t> </w:t>
      </w:r>
      <w:r>
        <w:rPr>
          <w:color w:val="231F20"/>
          <w:sz w:val="20"/>
        </w:rPr>
        <w:t>и</w:t>
      </w:r>
      <w:r>
        <w:rPr>
          <w:color w:val="231F20"/>
          <w:spacing w:val="-5"/>
          <w:sz w:val="20"/>
        </w:rPr>
        <w:t> пр.</w:t>
      </w:r>
    </w:p>
    <w:p>
      <w:pPr>
        <w:pStyle w:val="ListParagraph"/>
        <w:numPr>
          <w:ilvl w:val="0"/>
          <w:numId w:val="87"/>
        </w:numPr>
        <w:tabs>
          <w:tab w:pos="423" w:val="left" w:leader="none"/>
          <w:tab w:pos="425" w:val="left" w:leader="none"/>
        </w:tabs>
        <w:spacing w:line="240" w:lineRule="auto" w:before="0" w:after="0"/>
        <w:ind w:left="425" w:right="139" w:hanging="284"/>
        <w:jc w:val="both"/>
        <w:rPr>
          <w:sz w:val="20"/>
        </w:rPr>
      </w:pPr>
      <w:r>
        <w:rPr>
          <w:color w:val="231F20"/>
          <w:sz w:val="20"/>
        </w:rPr>
        <w:t>Познакомить</w:t>
      </w:r>
      <w:r>
        <w:rPr>
          <w:color w:val="231F20"/>
          <w:spacing w:val="-7"/>
          <w:sz w:val="20"/>
        </w:rPr>
        <w:t> </w:t>
      </w:r>
      <w:r>
        <w:rPr>
          <w:color w:val="231F20"/>
          <w:sz w:val="20"/>
        </w:rPr>
        <w:t>их</w:t>
      </w:r>
      <w:r>
        <w:rPr>
          <w:color w:val="231F20"/>
          <w:spacing w:val="-7"/>
          <w:sz w:val="20"/>
        </w:rPr>
        <w:t> </w:t>
      </w:r>
      <w:r>
        <w:rPr>
          <w:color w:val="231F20"/>
          <w:sz w:val="20"/>
        </w:rPr>
        <w:t>с</w:t>
      </w:r>
      <w:r>
        <w:rPr>
          <w:color w:val="231F20"/>
          <w:spacing w:val="-7"/>
          <w:sz w:val="20"/>
        </w:rPr>
        <w:t> </w:t>
      </w:r>
      <w:r>
        <w:rPr>
          <w:color w:val="231F20"/>
          <w:sz w:val="20"/>
        </w:rPr>
        <w:t>другими</w:t>
      </w:r>
      <w:r>
        <w:rPr>
          <w:color w:val="231F20"/>
          <w:spacing w:val="-7"/>
          <w:sz w:val="20"/>
        </w:rPr>
        <w:t> </w:t>
      </w:r>
      <w:r>
        <w:rPr>
          <w:color w:val="231F20"/>
          <w:sz w:val="20"/>
        </w:rPr>
        <w:t>родителями,</w:t>
      </w:r>
      <w:r>
        <w:rPr>
          <w:color w:val="231F20"/>
          <w:spacing w:val="-7"/>
          <w:sz w:val="20"/>
        </w:rPr>
        <w:t> </w:t>
      </w:r>
      <w:r>
        <w:rPr>
          <w:color w:val="231F20"/>
          <w:sz w:val="20"/>
        </w:rPr>
        <w:t>как</w:t>
      </w:r>
      <w:r>
        <w:rPr>
          <w:color w:val="231F20"/>
          <w:spacing w:val="-7"/>
          <w:sz w:val="20"/>
        </w:rPr>
        <w:t> </w:t>
      </w:r>
      <w:r>
        <w:rPr>
          <w:color w:val="231F20"/>
          <w:sz w:val="20"/>
        </w:rPr>
        <w:t>с</w:t>
      </w:r>
      <w:r>
        <w:rPr>
          <w:color w:val="231F20"/>
          <w:spacing w:val="-7"/>
          <w:sz w:val="20"/>
        </w:rPr>
        <w:t> </w:t>
      </w:r>
      <w:r>
        <w:rPr>
          <w:color w:val="231F20"/>
          <w:sz w:val="20"/>
        </w:rPr>
        <w:t>родителями-мигрантами,</w:t>
      </w:r>
      <w:r>
        <w:rPr>
          <w:color w:val="231F20"/>
          <w:spacing w:val="-7"/>
          <w:sz w:val="20"/>
        </w:rPr>
        <w:t> </w:t>
      </w:r>
      <w:r>
        <w:rPr>
          <w:color w:val="231F20"/>
          <w:sz w:val="20"/>
        </w:rPr>
        <w:t>так</w:t>
      </w:r>
      <w:r>
        <w:rPr>
          <w:color w:val="231F20"/>
          <w:spacing w:val="-7"/>
          <w:sz w:val="20"/>
        </w:rPr>
        <w:t> </w:t>
      </w:r>
      <w:r>
        <w:rPr>
          <w:color w:val="231F20"/>
          <w:sz w:val="20"/>
        </w:rPr>
        <w:t>и</w:t>
      </w:r>
      <w:r>
        <w:rPr>
          <w:color w:val="231F20"/>
          <w:spacing w:val="-7"/>
          <w:sz w:val="20"/>
        </w:rPr>
        <w:t> </w:t>
      </w:r>
      <w:r>
        <w:rPr>
          <w:color w:val="231F20"/>
          <w:sz w:val="20"/>
        </w:rPr>
        <w:t>с</w:t>
      </w:r>
      <w:r>
        <w:rPr>
          <w:color w:val="231F20"/>
          <w:spacing w:val="-7"/>
          <w:sz w:val="20"/>
        </w:rPr>
        <w:t> </w:t>
      </w:r>
      <w:r>
        <w:rPr>
          <w:color w:val="231F20"/>
          <w:sz w:val="20"/>
        </w:rPr>
        <w:t>ро- дителями учеников принимающей культуры, содействовать их общению.</w:t>
      </w:r>
    </w:p>
    <w:p>
      <w:pPr>
        <w:spacing w:before="113"/>
        <w:ind w:left="141" w:right="139" w:firstLine="283"/>
        <w:jc w:val="both"/>
        <w:rPr>
          <w:sz w:val="20"/>
        </w:rPr>
      </w:pPr>
      <w:r>
        <w:rPr>
          <w:b/>
          <w:i/>
          <w:color w:val="231F20"/>
          <w:sz w:val="20"/>
        </w:rPr>
        <w:t>Третья</w:t>
      </w:r>
      <w:r>
        <w:rPr>
          <w:b/>
          <w:i/>
          <w:color w:val="231F20"/>
          <w:spacing w:val="-11"/>
          <w:sz w:val="20"/>
        </w:rPr>
        <w:t> </w:t>
      </w:r>
      <w:r>
        <w:rPr>
          <w:b/>
          <w:i/>
          <w:color w:val="231F20"/>
          <w:sz w:val="20"/>
        </w:rPr>
        <w:t>стадия</w:t>
      </w:r>
      <w:r>
        <w:rPr>
          <w:b/>
          <w:i/>
          <w:color w:val="231F20"/>
          <w:spacing w:val="-11"/>
          <w:sz w:val="20"/>
        </w:rPr>
        <w:t> </w:t>
      </w:r>
      <w:r>
        <w:rPr>
          <w:b/>
          <w:i/>
          <w:color w:val="231F20"/>
          <w:sz w:val="20"/>
        </w:rPr>
        <w:t>–</w:t>
      </w:r>
      <w:r>
        <w:rPr>
          <w:b/>
          <w:i/>
          <w:color w:val="231F20"/>
          <w:spacing w:val="-11"/>
          <w:sz w:val="20"/>
        </w:rPr>
        <w:t> </w:t>
      </w:r>
      <w:r>
        <w:rPr>
          <w:b/>
          <w:i/>
          <w:color w:val="231F20"/>
          <w:sz w:val="20"/>
        </w:rPr>
        <w:t>установление</w:t>
      </w:r>
      <w:r>
        <w:rPr>
          <w:b/>
          <w:i/>
          <w:color w:val="231F20"/>
          <w:spacing w:val="-11"/>
          <w:sz w:val="20"/>
        </w:rPr>
        <w:t> </w:t>
      </w:r>
      <w:r>
        <w:rPr>
          <w:b/>
          <w:i/>
          <w:color w:val="231F20"/>
          <w:sz w:val="20"/>
        </w:rPr>
        <w:t>контактов</w:t>
      </w:r>
      <w:r>
        <w:rPr>
          <w:color w:val="231F20"/>
          <w:sz w:val="20"/>
        </w:rPr>
        <w:t>.</w:t>
      </w:r>
      <w:r>
        <w:rPr>
          <w:color w:val="231F20"/>
          <w:spacing w:val="-11"/>
          <w:sz w:val="20"/>
        </w:rPr>
        <w:t> </w:t>
      </w:r>
      <w:r>
        <w:rPr>
          <w:color w:val="231F20"/>
          <w:sz w:val="20"/>
        </w:rPr>
        <w:t>Эта</w:t>
      </w:r>
      <w:r>
        <w:rPr>
          <w:color w:val="231F20"/>
          <w:spacing w:val="-11"/>
          <w:sz w:val="20"/>
        </w:rPr>
        <w:t> </w:t>
      </w:r>
      <w:r>
        <w:rPr>
          <w:color w:val="231F20"/>
          <w:sz w:val="20"/>
        </w:rPr>
        <w:t>стадия</w:t>
      </w:r>
      <w:r>
        <w:rPr>
          <w:color w:val="231F20"/>
          <w:spacing w:val="-11"/>
          <w:sz w:val="20"/>
        </w:rPr>
        <w:t> </w:t>
      </w:r>
      <w:r>
        <w:rPr>
          <w:color w:val="231F20"/>
          <w:sz w:val="20"/>
        </w:rPr>
        <w:t>предполагает</w:t>
      </w:r>
      <w:r>
        <w:rPr>
          <w:color w:val="231F20"/>
          <w:spacing w:val="-11"/>
          <w:sz w:val="20"/>
        </w:rPr>
        <w:t> </w:t>
      </w:r>
      <w:r>
        <w:rPr>
          <w:color w:val="231F20"/>
          <w:sz w:val="20"/>
        </w:rPr>
        <w:t>уже</w:t>
      </w:r>
      <w:r>
        <w:rPr>
          <w:color w:val="231F20"/>
          <w:spacing w:val="-11"/>
          <w:sz w:val="20"/>
        </w:rPr>
        <w:t> </w:t>
      </w:r>
      <w:r>
        <w:rPr>
          <w:color w:val="231F20"/>
          <w:sz w:val="20"/>
        </w:rPr>
        <w:t>доста- точно высокий уровень адаптированности родителей.</w:t>
      </w:r>
    </w:p>
    <w:p>
      <w:pPr>
        <w:spacing w:before="0"/>
        <w:ind w:left="425" w:right="0" w:firstLine="0"/>
        <w:jc w:val="both"/>
        <w:rPr>
          <w:sz w:val="20"/>
        </w:rPr>
      </w:pPr>
      <w:r>
        <w:rPr>
          <w:color w:val="231F20"/>
          <w:sz w:val="20"/>
        </w:rPr>
        <w:t>К</w:t>
      </w:r>
      <w:r>
        <w:rPr>
          <w:color w:val="231F20"/>
          <w:spacing w:val="-4"/>
          <w:sz w:val="20"/>
        </w:rPr>
        <w:t> </w:t>
      </w:r>
      <w:r>
        <w:rPr>
          <w:i/>
          <w:color w:val="231F20"/>
          <w:sz w:val="20"/>
        </w:rPr>
        <w:t>признакам</w:t>
      </w:r>
      <w:r>
        <w:rPr>
          <w:i/>
          <w:color w:val="231F20"/>
          <w:spacing w:val="-4"/>
          <w:sz w:val="20"/>
        </w:rPr>
        <w:t> </w:t>
      </w:r>
      <w:r>
        <w:rPr>
          <w:color w:val="231F20"/>
          <w:sz w:val="20"/>
        </w:rPr>
        <w:t>этой</w:t>
      </w:r>
      <w:r>
        <w:rPr>
          <w:color w:val="231F20"/>
          <w:spacing w:val="-5"/>
          <w:sz w:val="20"/>
        </w:rPr>
        <w:t> </w:t>
      </w:r>
      <w:r>
        <w:rPr>
          <w:color w:val="231F20"/>
          <w:sz w:val="20"/>
        </w:rPr>
        <w:t>стадии</w:t>
      </w:r>
      <w:r>
        <w:rPr>
          <w:color w:val="231F20"/>
          <w:spacing w:val="-4"/>
          <w:sz w:val="20"/>
        </w:rPr>
        <w:t> </w:t>
      </w:r>
      <w:r>
        <w:rPr>
          <w:color w:val="231F20"/>
          <w:sz w:val="20"/>
        </w:rPr>
        <w:t>можно</w:t>
      </w:r>
      <w:r>
        <w:rPr>
          <w:color w:val="231F20"/>
          <w:spacing w:val="-3"/>
          <w:sz w:val="20"/>
        </w:rPr>
        <w:t> </w:t>
      </w:r>
      <w:r>
        <w:rPr>
          <w:color w:val="231F20"/>
          <w:spacing w:val="-2"/>
          <w:sz w:val="20"/>
        </w:rPr>
        <w:t>отнести:</w:t>
      </w:r>
    </w:p>
    <w:p>
      <w:pPr>
        <w:pStyle w:val="ListParagraph"/>
        <w:numPr>
          <w:ilvl w:val="0"/>
          <w:numId w:val="87"/>
        </w:numPr>
        <w:tabs>
          <w:tab w:pos="425" w:val="left" w:leader="none"/>
        </w:tabs>
        <w:spacing w:line="240" w:lineRule="auto" w:before="0" w:after="0"/>
        <w:ind w:left="425" w:right="139" w:hanging="284"/>
        <w:jc w:val="left"/>
        <w:rPr>
          <w:sz w:val="20"/>
        </w:rPr>
      </w:pPr>
      <w:r>
        <w:rPr>
          <w:color w:val="231F20"/>
          <w:sz w:val="20"/>
        </w:rPr>
        <w:t>Достаточный уровень владения языком и осведомленности в вопросах образова- ния у родителей.</w:t>
      </w:r>
    </w:p>
    <w:p>
      <w:pPr>
        <w:pStyle w:val="ListParagraph"/>
        <w:numPr>
          <w:ilvl w:val="0"/>
          <w:numId w:val="87"/>
        </w:numPr>
        <w:tabs>
          <w:tab w:pos="425" w:val="left" w:leader="none"/>
        </w:tabs>
        <w:spacing w:line="240" w:lineRule="auto" w:before="0" w:after="0"/>
        <w:ind w:left="425" w:right="140" w:hanging="284"/>
        <w:jc w:val="left"/>
        <w:rPr>
          <w:sz w:val="20"/>
        </w:rPr>
      </w:pPr>
      <w:r>
        <w:rPr>
          <w:color w:val="231F20"/>
          <w:sz w:val="20"/>
        </w:rPr>
        <w:t>Выполнение</w:t>
      </w:r>
      <w:r>
        <w:rPr>
          <w:color w:val="231F20"/>
          <w:spacing w:val="23"/>
          <w:sz w:val="20"/>
        </w:rPr>
        <w:t> </w:t>
      </w:r>
      <w:r>
        <w:rPr>
          <w:color w:val="231F20"/>
          <w:sz w:val="20"/>
        </w:rPr>
        <w:t>родителями</w:t>
      </w:r>
      <w:r>
        <w:rPr>
          <w:color w:val="231F20"/>
          <w:spacing w:val="23"/>
          <w:sz w:val="20"/>
        </w:rPr>
        <w:t> </w:t>
      </w:r>
      <w:r>
        <w:rPr>
          <w:color w:val="231F20"/>
          <w:sz w:val="20"/>
        </w:rPr>
        <w:t>общих</w:t>
      </w:r>
      <w:r>
        <w:rPr>
          <w:color w:val="231F20"/>
          <w:spacing w:val="23"/>
          <w:sz w:val="20"/>
        </w:rPr>
        <w:t> </w:t>
      </w:r>
      <w:r>
        <w:rPr>
          <w:color w:val="231F20"/>
          <w:sz w:val="20"/>
        </w:rPr>
        <w:t>школьных</w:t>
      </w:r>
      <w:r>
        <w:rPr>
          <w:color w:val="231F20"/>
          <w:spacing w:val="23"/>
          <w:sz w:val="20"/>
        </w:rPr>
        <w:t> </w:t>
      </w:r>
      <w:r>
        <w:rPr>
          <w:color w:val="231F20"/>
          <w:sz w:val="20"/>
        </w:rPr>
        <w:t>требований</w:t>
      </w:r>
      <w:r>
        <w:rPr>
          <w:color w:val="231F20"/>
          <w:spacing w:val="23"/>
          <w:sz w:val="20"/>
        </w:rPr>
        <w:t> </w:t>
      </w:r>
      <w:r>
        <w:rPr>
          <w:color w:val="231F20"/>
          <w:sz w:val="20"/>
        </w:rPr>
        <w:t>(к</w:t>
      </w:r>
      <w:r>
        <w:rPr>
          <w:color w:val="231F20"/>
          <w:spacing w:val="23"/>
          <w:sz w:val="20"/>
        </w:rPr>
        <w:t> </w:t>
      </w:r>
      <w:r>
        <w:rPr>
          <w:color w:val="231F20"/>
          <w:sz w:val="20"/>
        </w:rPr>
        <w:t>домашним</w:t>
      </w:r>
      <w:r>
        <w:rPr>
          <w:color w:val="231F20"/>
          <w:spacing w:val="23"/>
          <w:sz w:val="20"/>
        </w:rPr>
        <w:t> </w:t>
      </w:r>
      <w:r>
        <w:rPr>
          <w:color w:val="231F20"/>
          <w:sz w:val="20"/>
        </w:rPr>
        <w:t>заданиям, помощи ребенку и пр.).</w:t>
      </w:r>
    </w:p>
    <w:p>
      <w:pPr>
        <w:pStyle w:val="ListParagraph"/>
        <w:numPr>
          <w:ilvl w:val="0"/>
          <w:numId w:val="87"/>
        </w:numPr>
        <w:tabs>
          <w:tab w:pos="425" w:val="left" w:leader="none"/>
        </w:tabs>
        <w:spacing w:line="240" w:lineRule="auto" w:before="0" w:after="0"/>
        <w:ind w:left="425" w:right="0" w:hanging="284"/>
        <w:jc w:val="left"/>
        <w:rPr>
          <w:sz w:val="20"/>
        </w:rPr>
      </w:pPr>
      <w:r>
        <w:rPr>
          <w:color w:val="231F20"/>
          <w:sz w:val="20"/>
        </w:rPr>
        <w:t>Готовность</w:t>
      </w:r>
      <w:r>
        <w:rPr>
          <w:color w:val="231F20"/>
          <w:spacing w:val="-11"/>
          <w:sz w:val="20"/>
        </w:rPr>
        <w:t> </w:t>
      </w:r>
      <w:r>
        <w:rPr>
          <w:color w:val="231F20"/>
          <w:sz w:val="20"/>
        </w:rPr>
        <w:t>к</w:t>
      </w:r>
      <w:r>
        <w:rPr>
          <w:color w:val="231F20"/>
          <w:spacing w:val="-8"/>
          <w:sz w:val="20"/>
        </w:rPr>
        <w:t> </w:t>
      </w:r>
      <w:r>
        <w:rPr>
          <w:color w:val="231F20"/>
          <w:sz w:val="20"/>
        </w:rPr>
        <w:t>контактам</w:t>
      </w:r>
      <w:r>
        <w:rPr>
          <w:color w:val="231F20"/>
          <w:spacing w:val="-7"/>
          <w:sz w:val="20"/>
        </w:rPr>
        <w:t> </w:t>
      </w:r>
      <w:r>
        <w:rPr>
          <w:color w:val="231F20"/>
          <w:sz w:val="20"/>
        </w:rPr>
        <w:t>с</w:t>
      </w:r>
      <w:r>
        <w:rPr>
          <w:color w:val="231F20"/>
          <w:spacing w:val="-8"/>
          <w:sz w:val="20"/>
        </w:rPr>
        <w:t> </w:t>
      </w:r>
      <w:r>
        <w:rPr>
          <w:color w:val="231F20"/>
          <w:sz w:val="20"/>
        </w:rPr>
        <w:t>педагогами</w:t>
      </w:r>
      <w:r>
        <w:rPr>
          <w:color w:val="231F20"/>
          <w:spacing w:val="-8"/>
          <w:sz w:val="20"/>
        </w:rPr>
        <w:t> </w:t>
      </w:r>
      <w:r>
        <w:rPr>
          <w:color w:val="231F20"/>
          <w:sz w:val="20"/>
        </w:rPr>
        <w:t>и</w:t>
      </w:r>
      <w:r>
        <w:rPr>
          <w:color w:val="231F20"/>
          <w:spacing w:val="-9"/>
          <w:sz w:val="20"/>
        </w:rPr>
        <w:t> </w:t>
      </w:r>
      <w:r>
        <w:rPr>
          <w:color w:val="231F20"/>
          <w:sz w:val="20"/>
        </w:rPr>
        <w:t>другими</w:t>
      </w:r>
      <w:r>
        <w:rPr>
          <w:color w:val="231F20"/>
          <w:spacing w:val="-8"/>
          <w:sz w:val="20"/>
        </w:rPr>
        <w:t> </w:t>
      </w:r>
      <w:r>
        <w:rPr>
          <w:color w:val="231F20"/>
          <w:spacing w:val="-2"/>
          <w:sz w:val="20"/>
        </w:rPr>
        <w:t>родителями.</w:t>
      </w:r>
    </w:p>
    <w:p>
      <w:pPr>
        <w:pStyle w:val="BodyText"/>
        <w:ind w:left="425" w:right="0" w:firstLine="0"/>
        <w:jc w:val="left"/>
      </w:pPr>
      <w:r>
        <w:rPr>
          <w:color w:val="231F20"/>
        </w:rPr>
        <w:t>На</w:t>
      </w:r>
      <w:r>
        <w:rPr>
          <w:color w:val="231F20"/>
          <w:spacing w:val="26"/>
        </w:rPr>
        <w:t> </w:t>
      </w:r>
      <w:r>
        <w:rPr>
          <w:color w:val="231F20"/>
        </w:rPr>
        <w:t>данной</w:t>
      </w:r>
      <w:r>
        <w:rPr>
          <w:color w:val="231F20"/>
          <w:spacing w:val="28"/>
        </w:rPr>
        <w:t> </w:t>
      </w:r>
      <w:r>
        <w:rPr>
          <w:color w:val="231F20"/>
        </w:rPr>
        <w:t>стадии</w:t>
      </w:r>
      <w:r>
        <w:rPr>
          <w:color w:val="231F20"/>
          <w:spacing w:val="29"/>
        </w:rPr>
        <w:t> </w:t>
      </w:r>
      <w:r>
        <w:rPr>
          <w:color w:val="231F20"/>
        </w:rPr>
        <w:t>сотрудничество</w:t>
      </w:r>
      <w:r>
        <w:rPr>
          <w:color w:val="231F20"/>
          <w:spacing w:val="28"/>
        </w:rPr>
        <w:t> </w:t>
      </w:r>
      <w:r>
        <w:rPr>
          <w:color w:val="231F20"/>
        </w:rPr>
        <w:t>с</w:t>
      </w:r>
      <w:r>
        <w:rPr>
          <w:color w:val="231F20"/>
          <w:spacing w:val="28"/>
        </w:rPr>
        <w:t> </w:t>
      </w:r>
      <w:r>
        <w:rPr>
          <w:color w:val="231F20"/>
        </w:rPr>
        <w:t>родителями</w:t>
      </w:r>
      <w:r>
        <w:rPr>
          <w:color w:val="231F20"/>
          <w:spacing w:val="29"/>
        </w:rPr>
        <w:t> </w:t>
      </w:r>
      <w:r>
        <w:rPr>
          <w:color w:val="231F20"/>
        </w:rPr>
        <w:t>может</w:t>
      </w:r>
      <w:r>
        <w:rPr>
          <w:color w:val="231F20"/>
          <w:spacing w:val="28"/>
        </w:rPr>
        <w:t> </w:t>
      </w:r>
      <w:r>
        <w:rPr>
          <w:color w:val="231F20"/>
        </w:rPr>
        <w:t>принимать</w:t>
      </w:r>
      <w:r>
        <w:rPr>
          <w:color w:val="231F20"/>
          <w:spacing w:val="29"/>
        </w:rPr>
        <w:t> </w:t>
      </w:r>
      <w:r>
        <w:rPr>
          <w:color w:val="231F20"/>
          <w:spacing w:val="-2"/>
        </w:rPr>
        <w:t>следующие</w:t>
      </w:r>
    </w:p>
    <w:p>
      <w:pPr>
        <w:spacing w:before="0"/>
        <w:ind w:left="141" w:right="0" w:firstLine="0"/>
        <w:jc w:val="left"/>
        <w:rPr>
          <w:sz w:val="20"/>
        </w:rPr>
      </w:pPr>
      <w:r>
        <w:rPr>
          <w:i/>
          <w:color w:val="231F20"/>
          <w:spacing w:val="-2"/>
          <w:sz w:val="20"/>
        </w:rPr>
        <w:t>формы</w:t>
      </w:r>
      <w:r>
        <w:rPr>
          <w:color w:val="231F20"/>
          <w:spacing w:val="-2"/>
          <w:sz w:val="20"/>
        </w:rPr>
        <w:t>:</w:t>
      </w:r>
    </w:p>
    <w:p>
      <w:pPr>
        <w:pStyle w:val="ListParagraph"/>
        <w:numPr>
          <w:ilvl w:val="0"/>
          <w:numId w:val="87"/>
        </w:numPr>
        <w:tabs>
          <w:tab w:pos="425" w:val="left" w:leader="none"/>
        </w:tabs>
        <w:spacing w:line="240" w:lineRule="auto" w:before="0" w:after="0"/>
        <w:ind w:left="425" w:right="139" w:hanging="284"/>
        <w:jc w:val="left"/>
        <w:rPr>
          <w:sz w:val="20"/>
        </w:rPr>
      </w:pPr>
      <w:r>
        <w:rPr>
          <w:color w:val="231F20"/>
          <w:sz w:val="20"/>
        </w:rPr>
        <w:t>Участие</w:t>
      </w:r>
      <w:r>
        <w:rPr>
          <w:color w:val="231F20"/>
          <w:spacing w:val="-13"/>
          <w:sz w:val="20"/>
        </w:rPr>
        <w:t> </w:t>
      </w:r>
      <w:r>
        <w:rPr>
          <w:color w:val="231F20"/>
          <w:sz w:val="20"/>
        </w:rPr>
        <w:t>родителей</w:t>
      </w:r>
      <w:r>
        <w:rPr>
          <w:color w:val="231F20"/>
          <w:spacing w:val="-12"/>
          <w:sz w:val="20"/>
        </w:rPr>
        <w:t> </w:t>
      </w:r>
      <w:r>
        <w:rPr>
          <w:color w:val="231F20"/>
          <w:sz w:val="20"/>
        </w:rPr>
        <w:t>в</w:t>
      </w:r>
      <w:r>
        <w:rPr>
          <w:color w:val="231F20"/>
          <w:spacing w:val="-13"/>
          <w:sz w:val="20"/>
        </w:rPr>
        <w:t> </w:t>
      </w:r>
      <w:r>
        <w:rPr>
          <w:color w:val="231F20"/>
          <w:sz w:val="20"/>
        </w:rPr>
        <w:t>мероприятиях</w:t>
      </w:r>
      <w:r>
        <w:rPr>
          <w:color w:val="231F20"/>
          <w:spacing w:val="-12"/>
          <w:sz w:val="20"/>
        </w:rPr>
        <w:t> </w:t>
      </w:r>
      <w:r>
        <w:rPr>
          <w:color w:val="231F20"/>
          <w:sz w:val="20"/>
        </w:rPr>
        <w:t>класса</w:t>
      </w:r>
      <w:r>
        <w:rPr>
          <w:color w:val="231F20"/>
          <w:spacing w:val="-13"/>
          <w:sz w:val="20"/>
        </w:rPr>
        <w:t> </w:t>
      </w:r>
      <w:r>
        <w:rPr>
          <w:color w:val="231F20"/>
          <w:sz w:val="20"/>
        </w:rPr>
        <w:t>и</w:t>
      </w:r>
      <w:r>
        <w:rPr>
          <w:color w:val="231F20"/>
          <w:spacing w:val="-12"/>
          <w:sz w:val="20"/>
        </w:rPr>
        <w:t> </w:t>
      </w:r>
      <w:r>
        <w:rPr>
          <w:color w:val="231F20"/>
          <w:sz w:val="20"/>
        </w:rPr>
        <w:t>школы,</w:t>
      </w:r>
      <w:r>
        <w:rPr>
          <w:color w:val="231F20"/>
          <w:spacing w:val="-13"/>
          <w:sz w:val="20"/>
        </w:rPr>
        <w:t> </w:t>
      </w:r>
      <w:r>
        <w:rPr>
          <w:color w:val="231F20"/>
          <w:sz w:val="20"/>
        </w:rPr>
        <w:t>помощь</w:t>
      </w:r>
      <w:r>
        <w:rPr>
          <w:color w:val="231F20"/>
          <w:spacing w:val="-12"/>
          <w:sz w:val="20"/>
        </w:rPr>
        <w:t> </w:t>
      </w:r>
      <w:r>
        <w:rPr>
          <w:color w:val="231F20"/>
          <w:sz w:val="20"/>
        </w:rPr>
        <w:t>классному</w:t>
      </w:r>
      <w:r>
        <w:rPr>
          <w:color w:val="231F20"/>
          <w:spacing w:val="-13"/>
          <w:sz w:val="20"/>
        </w:rPr>
        <w:t> </w:t>
      </w:r>
      <w:r>
        <w:rPr>
          <w:color w:val="231F20"/>
          <w:sz w:val="20"/>
        </w:rPr>
        <w:t>руководи- телю, участие в деятельности родительского комитета.</w:t>
      </w:r>
    </w:p>
    <w:p>
      <w:pPr>
        <w:pStyle w:val="ListParagraph"/>
        <w:numPr>
          <w:ilvl w:val="0"/>
          <w:numId w:val="87"/>
        </w:numPr>
        <w:tabs>
          <w:tab w:pos="425" w:val="left" w:leader="none"/>
        </w:tabs>
        <w:spacing w:line="240" w:lineRule="auto" w:before="0" w:after="0"/>
        <w:ind w:left="425" w:right="139" w:hanging="284"/>
        <w:jc w:val="left"/>
        <w:rPr>
          <w:sz w:val="20"/>
        </w:rPr>
      </w:pPr>
      <w:r>
        <w:rPr>
          <w:color w:val="231F20"/>
          <w:sz w:val="20"/>
        </w:rPr>
        <w:t>Обсуждение планов относительно детей, формулировка общих с родителями це- </w:t>
      </w:r>
      <w:r>
        <w:rPr>
          <w:color w:val="231F20"/>
          <w:spacing w:val="-4"/>
          <w:sz w:val="20"/>
        </w:rPr>
        <w:t>лей.</w:t>
      </w:r>
    </w:p>
    <w:p>
      <w:pPr>
        <w:pStyle w:val="ListParagraph"/>
        <w:numPr>
          <w:ilvl w:val="0"/>
          <w:numId w:val="87"/>
        </w:numPr>
        <w:tabs>
          <w:tab w:pos="425" w:val="left" w:leader="none"/>
        </w:tabs>
        <w:spacing w:line="240" w:lineRule="auto" w:before="0" w:after="0"/>
        <w:ind w:left="425" w:right="0" w:hanging="284"/>
        <w:jc w:val="left"/>
        <w:rPr>
          <w:sz w:val="20"/>
        </w:rPr>
      </w:pPr>
      <w:r>
        <w:rPr>
          <w:color w:val="231F20"/>
          <w:sz w:val="20"/>
        </w:rPr>
        <w:t>Совместная</w:t>
      </w:r>
      <w:r>
        <w:rPr>
          <w:color w:val="231F20"/>
          <w:spacing w:val="-8"/>
          <w:sz w:val="20"/>
        </w:rPr>
        <w:t> </w:t>
      </w:r>
      <w:r>
        <w:rPr>
          <w:color w:val="231F20"/>
          <w:sz w:val="20"/>
        </w:rPr>
        <w:t>выработка</w:t>
      </w:r>
      <w:r>
        <w:rPr>
          <w:color w:val="231F20"/>
          <w:spacing w:val="-7"/>
          <w:sz w:val="20"/>
        </w:rPr>
        <w:t> </w:t>
      </w:r>
      <w:r>
        <w:rPr>
          <w:color w:val="231F20"/>
          <w:sz w:val="20"/>
        </w:rPr>
        <w:t>стратегии</w:t>
      </w:r>
      <w:r>
        <w:rPr>
          <w:color w:val="231F20"/>
          <w:spacing w:val="-8"/>
          <w:sz w:val="20"/>
        </w:rPr>
        <w:t> </w:t>
      </w:r>
      <w:r>
        <w:rPr>
          <w:color w:val="231F20"/>
          <w:sz w:val="20"/>
        </w:rPr>
        <w:t>сопровождения</w:t>
      </w:r>
      <w:r>
        <w:rPr>
          <w:color w:val="231F20"/>
          <w:spacing w:val="-7"/>
          <w:sz w:val="20"/>
        </w:rPr>
        <w:t> </w:t>
      </w:r>
      <w:r>
        <w:rPr>
          <w:color w:val="231F20"/>
          <w:spacing w:val="-2"/>
          <w:sz w:val="20"/>
        </w:rPr>
        <w:t>ребенка.</w:t>
      </w:r>
    </w:p>
    <w:p>
      <w:pPr>
        <w:pStyle w:val="BodyText"/>
        <w:spacing w:before="113"/>
      </w:pPr>
      <w:r>
        <w:rPr>
          <w:b/>
          <w:i/>
          <w:color w:val="231F20"/>
        </w:rPr>
        <w:t>Четвертая</w:t>
      </w:r>
      <w:r>
        <w:rPr>
          <w:b/>
          <w:i/>
          <w:color w:val="231F20"/>
          <w:spacing w:val="-13"/>
        </w:rPr>
        <w:t> </w:t>
      </w:r>
      <w:r>
        <w:rPr>
          <w:b/>
          <w:i/>
          <w:color w:val="231F20"/>
        </w:rPr>
        <w:t>стадия</w:t>
      </w:r>
      <w:r>
        <w:rPr>
          <w:b/>
          <w:i/>
          <w:color w:val="231F20"/>
          <w:spacing w:val="-12"/>
        </w:rPr>
        <w:t> </w:t>
      </w:r>
      <w:r>
        <w:rPr>
          <w:b/>
          <w:i/>
          <w:color w:val="231F20"/>
        </w:rPr>
        <w:t>–</w:t>
      </w:r>
      <w:r>
        <w:rPr>
          <w:b/>
          <w:i/>
          <w:color w:val="231F20"/>
          <w:spacing w:val="-13"/>
        </w:rPr>
        <w:t> </w:t>
      </w:r>
      <w:r>
        <w:rPr>
          <w:b/>
          <w:i/>
          <w:color w:val="231F20"/>
        </w:rPr>
        <w:t>лидерство.</w:t>
      </w:r>
      <w:r>
        <w:rPr>
          <w:b/>
          <w:i/>
          <w:color w:val="231F20"/>
          <w:spacing w:val="-12"/>
        </w:rPr>
        <w:t> </w:t>
      </w:r>
      <w:r>
        <w:rPr>
          <w:color w:val="231F20"/>
        </w:rPr>
        <w:t>На</w:t>
      </w:r>
      <w:r>
        <w:rPr>
          <w:color w:val="231F20"/>
          <w:spacing w:val="-13"/>
        </w:rPr>
        <w:t> </w:t>
      </w:r>
      <w:r>
        <w:rPr>
          <w:color w:val="231F20"/>
        </w:rPr>
        <w:t>этой</w:t>
      </w:r>
      <w:r>
        <w:rPr>
          <w:color w:val="231F20"/>
          <w:spacing w:val="-12"/>
        </w:rPr>
        <w:t> </w:t>
      </w:r>
      <w:r>
        <w:rPr>
          <w:color w:val="231F20"/>
        </w:rPr>
        <w:t>стадии</w:t>
      </w:r>
      <w:r>
        <w:rPr>
          <w:color w:val="231F20"/>
          <w:spacing w:val="-13"/>
        </w:rPr>
        <w:t> </w:t>
      </w:r>
      <w:r>
        <w:rPr>
          <w:color w:val="231F20"/>
        </w:rPr>
        <w:t>для</w:t>
      </w:r>
      <w:r>
        <w:rPr>
          <w:color w:val="231F20"/>
          <w:spacing w:val="-12"/>
        </w:rPr>
        <w:t> </w:t>
      </w:r>
      <w:r>
        <w:rPr>
          <w:color w:val="231F20"/>
        </w:rPr>
        <w:t>родителей</w:t>
      </w:r>
      <w:r>
        <w:rPr>
          <w:color w:val="231F20"/>
          <w:spacing w:val="-13"/>
        </w:rPr>
        <w:t> </w:t>
      </w:r>
      <w:r>
        <w:rPr>
          <w:color w:val="231F20"/>
        </w:rPr>
        <w:t>характерен</w:t>
      </w:r>
      <w:r>
        <w:rPr>
          <w:color w:val="231F20"/>
          <w:spacing w:val="-12"/>
        </w:rPr>
        <w:t> </w:t>
      </w:r>
      <w:r>
        <w:rPr>
          <w:color w:val="231F20"/>
        </w:rPr>
        <w:t>высо- кий</w:t>
      </w:r>
      <w:r>
        <w:rPr>
          <w:color w:val="231F20"/>
          <w:spacing w:val="-5"/>
        </w:rPr>
        <w:t> </w:t>
      </w:r>
      <w:r>
        <w:rPr>
          <w:color w:val="231F20"/>
        </w:rPr>
        <w:t>уровень</w:t>
      </w:r>
      <w:r>
        <w:rPr>
          <w:color w:val="231F20"/>
          <w:spacing w:val="-5"/>
        </w:rPr>
        <w:t> </w:t>
      </w:r>
      <w:r>
        <w:rPr>
          <w:color w:val="231F20"/>
        </w:rPr>
        <w:t>межкультурной</w:t>
      </w:r>
      <w:r>
        <w:rPr>
          <w:color w:val="231F20"/>
          <w:spacing w:val="-5"/>
        </w:rPr>
        <w:t> </w:t>
      </w:r>
      <w:r>
        <w:rPr>
          <w:color w:val="231F20"/>
        </w:rPr>
        <w:t>компетентности:</w:t>
      </w:r>
      <w:r>
        <w:rPr>
          <w:color w:val="231F20"/>
          <w:spacing w:val="-5"/>
        </w:rPr>
        <w:t> </w:t>
      </w:r>
      <w:r>
        <w:rPr>
          <w:color w:val="231F20"/>
        </w:rPr>
        <w:t>они</w:t>
      </w:r>
      <w:r>
        <w:rPr>
          <w:color w:val="231F20"/>
          <w:spacing w:val="-5"/>
        </w:rPr>
        <w:t> </w:t>
      </w:r>
      <w:r>
        <w:rPr>
          <w:color w:val="231F20"/>
        </w:rPr>
        <w:t>не</w:t>
      </w:r>
      <w:r>
        <w:rPr>
          <w:color w:val="231F20"/>
          <w:spacing w:val="-5"/>
        </w:rPr>
        <w:t> </w:t>
      </w:r>
      <w:r>
        <w:rPr>
          <w:color w:val="231F20"/>
        </w:rPr>
        <w:t>просто</w:t>
      </w:r>
      <w:r>
        <w:rPr>
          <w:color w:val="231F20"/>
          <w:spacing w:val="-5"/>
        </w:rPr>
        <w:t> </w:t>
      </w:r>
      <w:r>
        <w:rPr>
          <w:color w:val="231F20"/>
        </w:rPr>
        <w:t>хорошо</w:t>
      </w:r>
      <w:r>
        <w:rPr>
          <w:color w:val="231F20"/>
          <w:spacing w:val="-5"/>
        </w:rPr>
        <w:t> </w:t>
      </w:r>
      <w:r>
        <w:rPr>
          <w:color w:val="231F20"/>
        </w:rPr>
        <w:t>адаптированы</w:t>
      </w:r>
      <w:r>
        <w:rPr>
          <w:color w:val="231F20"/>
          <w:spacing w:val="-5"/>
        </w:rPr>
        <w:t> </w:t>
      </w:r>
      <w:r>
        <w:rPr>
          <w:color w:val="231F20"/>
        </w:rPr>
        <w:t>в принимающем обществе, но и осознают культурные различия, могут объяснить раз- ницу</w:t>
      </w:r>
      <w:r>
        <w:rPr>
          <w:color w:val="231F20"/>
          <w:spacing w:val="-1"/>
        </w:rPr>
        <w:t> </w:t>
      </w:r>
      <w:r>
        <w:rPr>
          <w:color w:val="231F20"/>
        </w:rPr>
        <w:t>в</w:t>
      </w:r>
      <w:r>
        <w:rPr>
          <w:color w:val="231F20"/>
          <w:spacing w:val="-1"/>
        </w:rPr>
        <w:t> </w:t>
      </w:r>
      <w:r>
        <w:rPr>
          <w:color w:val="231F20"/>
        </w:rPr>
        <w:t>поведении</w:t>
      </w:r>
      <w:r>
        <w:rPr>
          <w:color w:val="231F20"/>
          <w:spacing w:val="-1"/>
        </w:rPr>
        <w:t> </w:t>
      </w:r>
      <w:r>
        <w:rPr>
          <w:color w:val="231F20"/>
        </w:rPr>
        <w:t>представителей</w:t>
      </w:r>
      <w:r>
        <w:rPr>
          <w:color w:val="231F20"/>
          <w:spacing w:val="-1"/>
        </w:rPr>
        <w:t> </w:t>
      </w:r>
      <w:r>
        <w:rPr>
          <w:color w:val="231F20"/>
        </w:rPr>
        <w:t>родной</w:t>
      </w:r>
      <w:r>
        <w:rPr>
          <w:color w:val="231F20"/>
          <w:spacing w:val="-1"/>
        </w:rPr>
        <w:t> </w:t>
      </w:r>
      <w:r>
        <w:rPr>
          <w:color w:val="231F20"/>
        </w:rPr>
        <w:t>культуры</w:t>
      </w:r>
      <w:r>
        <w:rPr>
          <w:color w:val="231F20"/>
          <w:spacing w:val="-1"/>
        </w:rPr>
        <w:t> </w:t>
      </w:r>
      <w:r>
        <w:rPr>
          <w:color w:val="231F20"/>
        </w:rPr>
        <w:t>и</w:t>
      </w:r>
      <w:r>
        <w:rPr>
          <w:color w:val="231F20"/>
          <w:spacing w:val="-1"/>
        </w:rPr>
        <w:t> </w:t>
      </w:r>
      <w:r>
        <w:rPr>
          <w:color w:val="231F20"/>
        </w:rPr>
        <w:t>носителей</w:t>
      </w:r>
      <w:r>
        <w:rPr>
          <w:color w:val="231F20"/>
          <w:spacing w:val="-1"/>
        </w:rPr>
        <w:t> </w:t>
      </w:r>
      <w:r>
        <w:rPr>
          <w:color w:val="231F20"/>
        </w:rPr>
        <w:t>культуры</w:t>
      </w:r>
      <w:r>
        <w:rPr>
          <w:color w:val="231F20"/>
          <w:spacing w:val="-1"/>
        </w:rPr>
        <w:t> </w:t>
      </w:r>
      <w:r>
        <w:rPr>
          <w:color w:val="231F20"/>
        </w:rPr>
        <w:t>принима- ющего общества.</w:t>
      </w:r>
    </w:p>
    <w:p>
      <w:pPr>
        <w:pStyle w:val="BodyText"/>
        <w:ind w:left="425" w:right="0" w:firstLine="0"/>
      </w:pPr>
      <w:r>
        <w:rPr>
          <w:color w:val="231F20"/>
        </w:rPr>
        <w:t>На</w:t>
      </w:r>
      <w:r>
        <w:rPr>
          <w:color w:val="231F20"/>
          <w:spacing w:val="-4"/>
        </w:rPr>
        <w:t> </w:t>
      </w:r>
      <w:r>
        <w:rPr>
          <w:color w:val="231F20"/>
        </w:rPr>
        <w:t>этой</w:t>
      </w:r>
      <w:r>
        <w:rPr>
          <w:color w:val="231F20"/>
          <w:spacing w:val="-3"/>
        </w:rPr>
        <w:t> </w:t>
      </w:r>
      <w:r>
        <w:rPr>
          <w:color w:val="231F20"/>
        </w:rPr>
        <w:t>стадии</w:t>
      </w:r>
      <w:r>
        <w:rPr>
          <w:color w:val="231F20"/>
          <w:spacing w:val="-4"/>
        </w:rPr>
        <w:t> </w:t>
      </w:r>
      <w:r>
        <w:rPr>
          <w:color w:val="231F20"/>
        </w:rPr>
        <w:t>для</w:t>
      </w:r>
      <w:r>
        <w:rPr>
          <w:color w:val="231F20"/>
          <w:spacing w:val="-3"/>
        </w:rPr>
        <w:t> </w:t>
      </w:r>
      <w:r>
        <w:rPr>
          <w:color w:val="231F20"/>
        </w:rPr>
        <w:t>родителей</w:t>
      </w:r>
      <w:r>
        <w:rPr>
          <w:color w:val="231F20"/>
          <w:spacing w:val="-4"/>
        </w:rPr>
        <w:t> </w:t>
      </w:r>
      <w:r>
        <w:rPr>
          <w:color w:val="231F20"/>
        </w:rPr>
        <w:t>характерны</w:t>
      </w:r>
      <w:r>
        <w:rPr>
          <w:color w:val="231F20"/>
          <w:spacing w:val="-3"/>
        </w:rPr>
        <w:t> </w:t>
      </w:r>
      <w:r>
        <w:rPr>
          <w:color w:val="231F20"/>
        </w:rPr>
        <w:t>такие</w:t>
      </w:r>
      <w:r>
        <w:rPr>
          <w:color w:val="231F20"/>
          <w:spacing w:val="-3"/>
        </w:rPr>
        <w:t> </w:t>
      </w:r>
      <w:r>
        <w:rPr>
          <w:i/>
          <w:color w:val="231F20"/>
          <w:spacing w:val="-2"/>
        </w:rPr>
        <w:t>признаки</w:t>
      </w:r>
      <w:r>
        <w:rPr>
          <w:color w:val="231F20"/>
          <w:spacing w:val="-2"/>
        </w:rPr>
        <w:t>:</w:t>
      </w:r>
    </w:p>
    <w:p>
      <w:pPr>
        <w:pStyle w:val="ListParagraph"/>
        <w:numPr>
          <w:ilvl w:val="0"/>
          <w:numId w:val="87"/>
        </w:numPr>
        <w:tabs>
          <w:tab w:pos="423" w:val="left" w:leader="none"/>
          <w:tab w:pos="425" w:val="left" w:leader="none"/>
        </w:tabs>
        <w:spacing w:line="244" w:lineRule="auto" w:before="4" w:after="0"/>
        <w:ind w:left="425" w:right="139" w:hanging="284"/>
        <w:jc w:val="both"/>
        <w:rPr>
          <w:sz w:val="20"/>
        </w:rPr>
      </w:pPr>
      <w:r>
        <w:rPr>
          <w:color w:val="231F20"/>
          <w:sz w:val="20"/>
        </w:rPr>
        <w:t>Высокий</w:t>
      </w:r>
      <w:r>
        <w:rPr>
          <w:color w:val="231F20"/>
          <w:spacing w:val="-4"/>
          <w:sz w:val="20"/>
        </w:rPr>
        <w:t> </w:t>
      </w:r>
      <w:r>
        <w:rPr>
          <w:color w:val="231F20"/>
          <w:sz w:val="20"/>
        </w:rPr>
        <w:t>уровень</w:t>
      </w:r>
      <w:r>
        <w:rPr>
          <w:color w:val="231F20"/>
          <w:spacing w:val="-4"/>
          <w:sz w:val="20"/>
        </w:rPr>
        <w:t> </w:t>
      </w:r>
      <w:r>
        <w:rPr>
          <w:color w:val="231F20"/>
          <w:sz w:val="20"/>
        </w:rPr>
        <w:t>осведомленности</w:t>
      </w:r>
      <w:r>
        <w:rPr>
          <w:color w:val="231F20"/>
          <w:spacing w:val="-4"/>
          <w:sz w:val="20"/>
        </w:rPr>
        <w:t> </w:t>
      </w:r>
      <w:r>
        <w:rPr>
          <w:color w:val="231F20"/>
          <w:sz w:val="20"/>
        </w:rPr>
        <w:t>о</w:t>
      </w:r>
      <w:r>
        <w:rPr>
          <w:color w:val="231F20"/>
          <w:spacing w:val="-4"/>
          <w:sz w:val="20"/>
        </w:rPr>
        <w:t> </w:t>
      </w:r>
      <w:r>
        <w:rPr>
          <w:color w:val="231F20"/>
          <w:sz w:val="20"/>
        </w:rPr>
        <w:t>системе</w:t>
      </w:r>
      <w:r>
        <w:rPr>
          <w:color w:val="231F20"/>
          <w:spacing w:val="-4"/>
          <w:sz w:val="20"/>
        </w:rPr>
        <w:t> </w:t>
      </w:r>
      <w:r>
        <w:rPr>
          <w:color w:val="231F20"/>
          <w:sz w:val="20"/>
        </w:rPr>
        <w:t>образования</w:t>
      </w:r>
      <w:r>
        <w:rPr>
          <w:color w:val="231F20"/>
          <w:spacing w:val="-4"/>
          <w:sz w:val="20"/>
        </w:rPr>
        <w:t> </w:t>
      </w:r>
      <w:r>
        <w:rPr>
          <w:color w:val="231F20"/>
          <w:sz w:val="20"/>
        </w:rPr>
        <w:t>и</w:t>
      </w:r>
      <w:r>
        <w:rPr>
          <w:color w:val="231F20"/>
          <w:spacing w:val="-4"/>
          <w:sz w:val="20"/>
        </w:rPr>
        <w:t> </w:t>
      </w:r>
      <w:r>
        <w:rPr>
          <w:color w:val="231F20"/>
          <w:sz w:val="20"/>
        </w:rPr>
        <w:t>принимающей</w:t>
      </w:r>
      <w:r>
        <w:rPr>
          <w:color w:val="231F20"/>
          <w:spacing w:val="-4"/>
          <w:sz w:val="20"/>
        </w:rPr>
        <w:t> </w:t>
      </w:r>
      <w:r>
        <w:rPr>
          <w:color w:val="231F20"/>
          <w:sz w:val="20"/>
        </w:rPr>
        <w:t>куль- туре в целом.</w:t>
      </w:r>
    </w:p>
    <w:p>
      <w:pPr>
        <w:pStyle w:val="ListParagraph"/>
        <w:numPr>
          <w:ilvl w:val="0"/>
          <w:numId w:val="87"/>
        </w:numPr>
        <w:tabs>
          <w:tab w:pos="423" w:val="left" w:leader="none"/>
        </w:tabs>
        <w:spacing w:line="229" w:lineRule="exact" w:before="0" w:after="0"/>
        <w:ind w:left="423" w:right="0" w:hanging="282"/>
        <w:jc w:val="both"/>
        <w:rPr>
          <w:sz w:val="20"/>
        </w:rPr>
      </w:pPr>
      <w:r>
        <w:rPr>
          <w:color w:val="231F20"/>
          <w:sz w:val="20"/>
        </w:rPr>
        <w:t>Готовность</w:t>
      </w:r>
      <w:r>
        <w:rPr>
          <w:color w:val="231F20"/>
          <w:spacing w:val="-15"/>
          <w:sz w:val="20"/>
        </w:rPr>
        <w:t> </w:t>
      </w:r>
      <w:r>
        <w:rPr>
          <w:color w:val="231F20"/>
          <w:sz w:val="20"/>
        </w:rPr>
        <w:t>играть</w:t>
      </w:r>
      <w:r>
        <w:rPr>
          <w:color w:val="231F20"/>
          <w:spacing w:val="-12"/>
          <w:sz w:val="20"/>
        </w:rPr>
        <w:t> </w:t>
      </w:r>
      <w:r>
        <w:rPr>
          <w:color w:val="231F20"/>
          <w:sz w:val="20"/>
        </w:rPr>
        <w:t>активную</w:t>
      </w:r>
      <w:r>
        <w:rPr>
          <w:color w:val="231F20"/>
          <w:spacing w:val="-12"/>
          <w:sz w:val="20"/>
        </w:rPr>
        <w:t> </w:t>
      </w:r>
      <w:r>
        <w:rPr>
          <w:color w:val="231F20"/>
          <w:sz w:val="20"/>
        </w:rPr>
        <w:t>роль</w:t>
      </w:r>
      <w:r>
        <w:rPr>
          <w:color w:val="231F20"/>
          <w:spacing w:val="-12"/>
          <w:sz w:val="20"/>
        </w:rPr>
        <w:t> </w:t>
      </w:r>
      <w:r>
        <w:rPr>
          <w:color w:val="231F20"/>
          <w:sz w:val="20"/>
        </w:rPr>
        <w:t>в</w:t>
      </w:r>
      <w:r>
        <w:rPr>
          <w:color w:val="231F20"/>
          <w:spacing w:val="-13"/>
          <w:sz w:val="20"/>
        </w:rPr>
        <w:t> </w:t>
      </w:r>
      <w:r>
        <w:rPr>
          <w:color w:val="231F20"/>
          <w:sz w:val="20"/>
        </w:rPr>
        <w:t>школьном</w:t>
      </w:r>
      <w:r>
        <w:rPr>
          <w:color w:val="231F20"/>
          <w:spacing w:val="-11"/>
          <w:sz w:val="20"/>
        </w:rPr>
        <w:t> </w:t>
      </w:r>
      <w:r>
        <w:rPr>
          <w:color w:val="231F20"/>
          <w:sz w:val="20"/>
        </w:rPr>
        <w:t>родительском</w:t>
      </w:r>
      <w:r>
        <w:rPr>
          <w:color w:val="231F20"/>
          <w:spacing w:val="-11"/>
          <w:sz w:val="20"/>
        </w:rPr>
        <w:t> </w:t>
      </w:r>
      <w:r>
        <w:rPr>
          <w:color w:val="231F20"/>
          <w:spacing w:val="-2"/>
          <w:sz w:val="20"/>
        </w:rPr>
        <w:t>сообществе.</w:t>
      </w:r>
    </w:p>
    <w:p>
      <w:pPr>
        <w:pStyle w:val="ListParagraph"/>
        <w:spacing w:after="0" w:line="229" w:lineRule="exact"/>
        <w:jc w:val="both"/>
        <w:rPr>
          <w:sz w:val="20"/>
        </w:rPr>
        <w:sectPr>
          <w:pgSz w:w="8400" w:h="11910"/>
          <w:pgMar w:header="0" w:footer="535" w:top="400" w:bottom="740" w:left="425" w:right="425"/>
        </w:sectPr>
      </w:pPr>
    </w:p>
    <w:p>
      <w:pPr>
        <w:pStyle w:val="ListParagraph"/>
        <w:numPr>
          <w:ilvl w:val="1"/>
          <w:numId w:val="88"/>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Метолические</w:t>
      </w:r>
      <w:r>
        <w:rPr>
          <w:rFonts w:ascii="Georgia" w:hAnsi="Georgia"/>
          <w:color w:val="231F20"/>
          <w:spacing w:val="-4"/>
          <w:sz w:val="18"/>
        </w:rPr>
        <w:t> </w:t>
      </w:r>
      <w:r>
        <w:rPr>
          <w:rFonts w:ascii="Georgia" w:hAnsi="Georgia"/>
          <w:color w:val="231F20"/>
          <w:sz w:val="18"/>
        </w:rPr>
        <w:t>принципы</w:t>
      </w:r>
      <w:r>
        <w:rPr>
          <w:rFonts w:ascii="Georgia" w:hAnsi="Georgia"/>
          <w:color w:val="231F20"/>
          <w:spacing w:val="-1"/>
          <w:sz w:val="18"/>
        </w:rPr>
        <w:t> </w:t>
      </w:r>
      <w:r>
        <w:rPr>
          <w:rFonts w:ascii="Georgia" w:hAnsi="Georgia"/>
          <w:color w:val="231F20"/>
          <w:sz w:val="18"/>
        </w:rPr>
        <w:t>взаимодействия</w:t>
      </w:r>
      <w:r>
        <w:rPr>
          <w:rFonts w:ascii="Georgia" w:hAnsi="Georgia"/>
          <w:color w:val="231F20"/>
          <w:spacing w:val="-2"/>
          <w:sz w:val="18"/>
        </w:rPr>
        <w:t> </w:t>
      </w:r>
      <w:r>
        <w:rPr>
          <w:rFonts w:ascii="Georgia" w:hAnsi="Georgia"/>
          <w:color w:val="231F20"/>
          <w:sz w:val="18"/>
        </w:rPr>
        <w:t>с</w:t>
      </w:r>
      <w:r>
        <w:rPr>
          <w:rFonts w:ascii="Georgia" w:hAnsi="Georgia"/>
          <w:color w:val="231F20"/>
          <w:spacing w:val="-1"/>
          <w:sz w:val="18"/>
        </w:rPr>
        <w:t> </w:t>
      </w:r>
      <w:r>
        <w:rPr>
          <w:rFonts w:ascii="Georgia" w:hAnsi="Georgia"/>
          <w:color w:val="231F20"/>
          <w:sz w:val="18"/>
        </w:rPr>
        <w:t>родителями</w:t>
      </w:r>
      <w:r>
        <w:rPr>
          <w:rFonts w:ascii="Georgia" w:hAnsi="Georgia"/>
          <w:color w:val="231F20"/>
          <w:spacing w:val="-1"/>
          <w:sz w:val="18"/>
        </w:rPr>
        <w:t> </w:t>
      </w:r>
      <w:r>
        <w:rPr>
          <w:rFonts w:ascii="Georgia" w:hAnsi="Georgia"/>
          <w:color w:val="231F20"/>
          <w:spacing w:val="-5"/>
          <w:sz w:val="18"/>
        </w:rPr>
        <w:t>...</w:t>
      </w:r>
    </w:p>
    <w:p>
      <w:pPr>
        <w:pStyle w:val="BodyText"/>
        <w:spacing w:line="235" w:lineRule="auto" w:before="116"/>
      </w:pPr>
      <w:r>
        <w:rPr>
          <w:color w:val="231F20"/>
        </w:rPr>
        <w:t>Если в школе есть такие родители, важно их максимально задействовать, вклю- чать в родительские комитеты, привлекать к помощи другим родителям.</w:t>
      </w:r>
    </w:p>
    <w:p>
      <w:pPr>
        <w:pStyle w:val="BodyText"/>
        <w:spacing w:line="235" w:lineRule="auto" w:before="1"/>
      </w:pPr>
      <w:r>
        <w:rPr>
          <w:color w:val="231F20"/>
        </w:rPr>
        <w:t>Важно</w:t>
      </w:r>
      <w:r>
        <w:rPr>
          <w:color w:val="231F20"/>
          <w:spacing w:val="-13"/>
        </w:rPr>
        <w:t> </w:t>
      </w:r>
      <w:r>
        <w:rPr>
          <w:color w:val="231F20"/>
        </w:rPr>
        <w:t>понимать,</w:t>
      </w:r>
      <w:r>
        <w:rPr>
          <w:color w:val="231F20"/>
          <w:spacing w:val="-12"/>
        </w:rPr>
        <w:t> </w:t>
      </w:r>
      <w:r>
        <w:rPr>
          <w:color w:val="231F20"/>
        </w:rPr>
        <w:t>что</w:t>
      </w:r>
      <w:r>
        <w:rPr>
          <w:color w:val="231F20"/>
          <w:spacing w:val="-13"/>
        </w:rPr>
        <w:t> </w:t>
      </w:r>
      <w:r>
        <w:rPr>
          <w:color w:val="231F20"/>
        </w:rPr>
        <w:t>в</w:t>
      </w:r>
      <w:r>
        <w:rPr>
          <w:color w:val="231F20"/>
          <w:spacing w:val="-12"/>
        </w:rPr>
        <w:t> </w:t>
      </w:r>
      <w:r>
        <w:rPr>
          <w:color w:val="231F20"/>
        </w:rPr>
        <w:t>семье</w:t>
      </w:r>
      <w:r>
        <w:rPr>
          <w:color w:val="231F20"/>
          <w:spacing w:val="-13"/>
        </w:rPr>
        <w:t> </w:t>
      </w:r>
      <w:r>
        <w:rPr>
          <w:color w:val="231F20"/>
        </w:rPr>
        <w:t>разные</w:t>
      </w:r>
      <w:r>
        <w:rPr>
          <w:color w:val="231F20"/>
          <w:spacing w:val="-12"/>
        </w:rPr>
        <w:t> </w:t>
      </w:r>
      <w:r>
        <w:rPr>
          <w:color w:val="231F20"/>
        </w:rPr>
        <w:t>родители</w:t>
      </w:r>
      <w:r>
        <w:rPr>
          <w:color w:val="231F20"/>
          <w:spacing w:val="-13"/>
        </w:rPr>
        <w:t> </w:t>
      </w:r>
      <w:r>
        <w:rPr>
          <w:color w:val="231F20"/>
        </w:rPr>
        <w:t>могут</w:t>
      </w:r>
      <w:r>
        <w:rPr>
          <w:color w:val="231F20"/>
          <w:spacing w:val="-12"/>
        </w:rPr>
        <w:t> </w:t>
      </w:r>
      <w:r>
        <w:rPr>
          <w:color w:val="231F20"/>
        </w:rPr>
        <w:t>находиться</w:t>
      </w:r>
      <w:r>
        <w:rPr>
          <w:color w:val="231F20"/>
          <w:spacing w:val="-13"/>
        </w:rPr>
        <w:t> </w:t>
      </w:r>
      <w:r>
        <w:rPr>
          <w:color w:val="231F20"/>
        </w:rPr>
        <w:t>на</w:t>
      </w:r>
      <w:r>
        <w:rPr>
          <w:color w:val="231F20"/>
          <w:spacing w:val="-12"/>
        </w:rPr>
        <w:t> </w:t>
      </w:r>
      <w:r>
        <w:rPr>
          <w:color w:val="231F20"/>
        </w:rPr>
        <w:t>разном</w:t>
      </w:r>
      <w:r>
        <w:rPr>
          <w:color w:val="231F20"/>
          <w:spacing w:val="-13"/>
        </w:rPr>
        <w:t> </w:t>
      </w:r>
      <w:r>
        <w:rPr>
          <w:color w:val="231F20"/>
        </w:rPr>
        <w:t>уровне адаптации: например, папа на уровне обучения, а мама – установления контактов. Целесообразно</w:t>
      </w:r>
      <w:r>
        <w:rPr>
          <w:color w:val="231F20"/>
          <w:spacing w:val="-6"/>
        </w:rPr>
        <w:t> </w:t>
      </w:r>
      <w:r>
        <w:rPr>
          <w:color w:val="231F20"/>
        </w:rPr>
        <w:t>максимально</w:t>
      </w:r>
      <w:r>
        <w:rPr>
          <w:color w:val="231F20"/>
          <w:spacing w:val="-6"/>
        </w:rPr>
        <w:t> </w:t>
      </w:r>
      <w:r>
        <w:rPr>
          <w:color w:val="231F20"/>
        </w:rPr>
        <w:t>задействовать</w:t>
      </w:r>
      <w:r>
        <w:rPr>
          <w:color w:val="231F20"/>
          <w:spacing w:val="-6"/>
        </w:rPr>
        <w:t> </w:t>
      </w:r>
      <w:r>
        <w:rPr>
          <w:color w:val="231F20"/>
        </w:rPr>
        <w:t>того</w:t>
      </w:r>
      <w:r>
        <w:rPr>
          <w:color w:val="231F20"/>
          <w:spacing w:val="-6"/>
        </w:rPr>
        <w:t> </w:t>
      </w:r>
      <w:r>
        <w:rPr>
          <w:color w:val="231F20"/>
        </w:rPr>
        <w:t>родителя,</w:t>
      </w:r>
      <w:r>
        <w:rPr>
          <w:color w:val="231F20"/>
          <w:spacing w:val="-6"/>
        </w:rPr>
        <w:t> </w:t>
      </w:r>
      <w:r>
        <w:rPr>
          <w:color w:val="231F20"/>
        </w:rPr>
        <w:t>чей</w:t>
      </w:r>
      <w:r>
        <w:rPr>
          <w:color w:val="231F20"/>
          <w:spacing w:val="-6"/>
        </w:rPr>
        <w:t> </w:t>
      </w:r>
      <w:r>
        <w:rPr>
          <w:color w:val="231F20"/>
        </w:rPr>
        <w:t>уровень</w:t>
      </w:r>
      <w:r>
        <w:rPr>
          <w:color w:val="231F20"/>
          <w:spacing w:val="-6"/>
        </w:rPr>
        <w:t> </w:t>
      </w:r>
      <w:r>
        <w:rPr>
          <w:color w:val="231F20"/>
        </w:rPr>
        <w:t>адаптирован- ности выше.</w:t>
      </w:r>
    </w:p>
    <w:p>
      <w:pPr>
        <w:pStyle w:val="BodyText"/>
        <w:spacing w:after="0" w:line="235" w:lineRule="auto"/>
        <w:sectPr>
          <w:pgSz w:w="8400" w:h="11910"/>
          <w:pgMar w:header="0" w:footer="535" w:top="400" w:bottom="740" w:left="425" w:right="425"/>
        </w:sectPr>
      </w:pPr>
    </w:p>
    <w:p>
      <w:pPr>
        <w:pStyle w:val="BodyText"/>
        <w:spacing w:before="167"/>
        <w:ind w:left="0" w:right="0" w:firstLine="0"/>
        <w:jc w:val="left"/>
      </w:pPr>
    </w:p>
    <w:p>
      <w:pPr>
        <w:numPr>
          <w:ilvl w:val="1"/>
          <w:numId w:val="80"/>
        </w:numPr>
        <w:tabs>
          <w:tab w:pos="1793" w:val="left" w:leader="none"/>
          <w:tab w:pos="1894" w:val="left" w:leader="none"/>
        </w:tabs>
        <w:spacing w:line="235" w:lineRule="auto" w:before="0"/>
        <w:ind w:left="1793" w:right="0" w:hanging="249"/>
        <w:jc w:val="left"/>
        <w:rPr>
          <w:b/>
          <w:sz w:val="20"/>
        </w:rPr>
      </w:pPr>
      <w:bookmarkStart w:name="_bookmark56" w:id="58"/>
      <w:bookmarkEnd w:id="58"/>
      <w:r>
        <w:rPr/>
      </w:r>
      <w:r>
        <w:rPr>
          <w:b/>
          <w:color w:val="231F20"/>
          <w:spacing w:val="-2"/>
          <w:sz w:val="20"/>
        </w:rPr>
        <w:t>Стратегии индивидуального взаимодействия </w:t>
      </w:r>
      <w:r>
        <w:rPr>
          <w:b/>
          <w:color w:val="231F20"/>
          <w:sz w:val="20"/>
        </w:rPr>
        <w:t>с родителями – иностранными гражданами</w:t>
      </w:r>
    </w:p>
    <w:p>
      <w:pPr>
        <w:spacing w:before="80"/>
        <w:ind w:left="620" w:right="0" w:firstLine="0"/>
        <w:jc w:val="left"/>
        <w:rPr>
          <w:rFonts w:ascii="Georgia" w:hAnsi="Georgia"/>
          <w:sz w:val="18"/>
        </w:rPr>
      </w:pPr>
      <w:r>
        <w:rPr/>
        <w:br w:type="column"/>
      </w:r>
      <w:r>
        <w:rPr>
          <w:rFonts w:ascii="Georgia" w:hAnsi="Georgia"/>
          <w:color w:val="231F20"/>
          <w:spacing w:val="-2"/>
          <w:sz w:val="18"/>
        </w:rPr>
        <w:t>Раздел</w:t>
      </w:r>
      <w:r>
        <w:rPr>
          <w:rFonts w:ascii="Georgia" w:hAnsi="Georgia"/>
          <w:color w:val="231F20"/>
          <w:spacing w:val="-5"/>
          <w:sz w:val="18"/>
        </w:rPr>
        <w:t> 3.</w:t>
      </w:r>
    </w:p>
    <w:p>
      <w:pPr>
        <w:pStyle w:val="BodyText"/>
        <w:ind w:left="0" w:right="0" w:firstLine="0"/>
        <w:jc w:val="left"/>
        <w:rPr>
          <w:rFonts w:ascii="Georgia"/>
          <w:sz w:val="18"/>
        </w:rPr>
      </w:pPr>
    </w:p>
    <w:p>
      <w:pPr>
        <w:pStyle w:val="BodyText"/>
        <w:ind w:left="0" w:right="0" w:firstLine="0"/>
        <w:jc w:val="left"/>
        <w:rPr>
          <w:rFonts w:ascii="Georgia"/>
          <w:sz w:val="18"/>
        </w:rPr>
      </w:pPr>
    </w:p>
    <w:p>
      <w:pPr>
        <w:pStyle w:val="BodyText"/>
        <w:spacing w:before="117"/>
        <w:ind w:left="0" w:right="0" w:firstLine="0"/>
        <w:jc w:val="left"/>
        <w:rPr>
          <w:rFonts w:ascii="Georgia"/>
          <w:sz w:val="18"/>
        </w:rPr>
      </w:pPr>
    </w:p>
    <w:p>
      <w:pPr>
        <w:spacing w:before="0"/>
        <w:ind w:left="32" w:right="0" w:firstLine="0"/>
        <w:jc w:val="left"/>
        <w:rPr>
          <w:i/>
          <w:sz w:val="20"/>
        </w:rPr>
      </w:pPr>
      <w:r>
        <w:rPr>
          <w:i/>
          <w:color w:val="231F20"/>
          <w:sz w:val="20"/>
        </w:rPr>
        <w:t>М.Ю. </w:t>
      </w:r>
      <w:r>
        <w:rPr>
          <w:i/>
          <w:color w:val="231F20"/>
          <w:spacing w:val="-2"/>
          <w:sz w:val="20"/>
        </w:rPr>
        <w:t>Чибисова</w:t>
      </w:r>
    </w:p>
    <w:p>
      <w:pPr>
        <w:spacing w:after="0"/>
        <w:jc w:val="left"/>
        <w:rPr>
          <w:i/>
          <w:sz w:val="20"/>
        </w:rPr>
        <w:sectPr>
          <w:pgSz w:w="8400" w:h="11910"/>
          <w:pgMar w:header="0" w:footer="535" w:top="400" w:bottom="740" w:left="425" w:right="425"/>
          <w:cols w:num="2" w:equalWidth="0">
            <w:col w:w="5996" w:space="40"/>
            <w:col w:w="1514"/>
          </w:cols>
        </w:sectPr>
      </w:pPr>
    </w:p>
    <w:p>
      <w:pPr>
        <w:numPr>
          <w:ilvl w:val="2"/>
          <w:numId w:val="80"/>
        </w:numPr>
        <w:tabs>
          <w:tab w:pos="1023" w:val="left" w:leader="none"/>
        </w:tabs>
        <w:spacing w:before="110"/>
        <w:ind w:left="1023" w:right="0" w:hanging="500"/>
        <w:jc w:val="both"/>
        <w:rPr>
          <w:b/>
          <w:sz w:val="20"/>
        </w:rPr>
      </w:pPr>
      <w:r>
        <w:rPr>
          <w:b/>
          <w:color w:val="231F20"/>
          <w:sz w:val="20"/>
        </w:rPr>
        <w:t>Установление</w:t>
      </w:r>
      <w:r>
        <w:rPr>
          <w:b/>
          <w:color w:val="231F20"/>
          <w:spacing w:val="-13"/>
          <w:sz w:val="20"/>
        </w:rPr>
        <w:t> </w:t>
      </w:r>
      <w:r>
        <w:rPr>
          <w:b/>
          <w:color w:val="231F20"/>
          <w:sz w:val="20"/>
        </w:rPr>
        <w:t>и</w:t>
      </w:r>
      <w:r>
        <w:rPr>
          <w:b/>
          <w:color w:val="231F20"/>
          <w:spacing w:val="-12"/>
          <w:sz w:val="20"/>
        </w:rPr>
        <w:t> </w:t>
      </w:r>
      <w:r>
        <w:rPr>
          <w:b/>
          <w:color w:val="231F20"/>
          <w:sz w:val="20"/>
        </w:rPr>
        <w:t>поддержание</w:t>
      </w:r>
      <w:r>
        <w:rPr>
          <w:b/>
          <w:color w:val="231F20"/>
          <w:spacing w:val="-10"/>
          <w:sz w:val="20"/>
        </w:rPr>
        <w:t> </w:t>
      </w:r>
      <w:r>
        <w:rPr>
          <w:b/>
          <w:color w:val="231F20"/>
          <w:sz w:val="20"/>
        </w:rPr>
        <w:t>контакта</w:t>
      </w:r>
      <w:r>
        <w:rPr>
          <w:b/>
          <w:color w:val="231F20"/>
          <w:spacing w:val="-11"/>
          <w:sz w:val="20"/>
        </w:rPr>
        <w:t> </w:t>
      </w:r>
      <w:r>
        <w:rPr>
          <w:b/>
          <w:color w:val="231F20"/>
          <w:sz w:val="20"/>
        </w:rPr>
        <w:t>с</w:t>
      </w:r>
      <w:r>
        <w:rPr>
          <w:b/>
          <w:color w:val="231F20"/>
          <w:spacing w:val="-10"/>
          <w:sz w:val="20"/>
        </w:rPr>
        <w:t> </w:t>
      </w:r>
      <w:r>
        <w:rPr>
          <w:b/>
          <w:color w:val="231F20"/>
          <w:sz w:val="20"/>
        </w:rPr>
        <w:t>родителями-</w:t>
      </w:r>
      <w:r>
        <w:rPr>
          <w:b/>
          <w:color w:val="231F20"/>
          <w:spacing w:val="-2"/>
          <w:sz w:val="20"/>
        </w:rPr>
        <w:t>мигрантами</w:t>
      </w:r>
    </w:p>
    <w:p>
      <w:pPr>
        <w:pStyle w:val="BodyText"/>
        <w:spacing w:line="235" w:lineRule="auto" w:before="113"/>
      </w:pPr>
      <w:r>
        <w:rPr>
          <w:color w:val="231F20"/>
        </w:rPr>
        <w:t>Взаимодействие</w:t>
      </w:r>
      <w:r>
        <w:rPr>
          <w:color w:val="231F20"/>
          <w:spacing w:val="-6"/>
        </w:rPr>
        <w:t> </w:t>
      </w:r>
      <w:r>
        <w:rPr>
          <w:color w:val="231F20"/>
        </w:rPr>
        <w:t>между</w:t>
      </w:r>
      <w:r>
        <w:rPr>
          <w:color w:val="231F20"/>
          <w:spacing w:val="-6"/>
        </w:rPr>
        <w:t> </w:t>
      </w:r>
      <w:r>
        <w:rPr>
          <w:color w:val="231F20"/>
        </w:rPr>
        <w:t>родителем</w:t>
      </w:r>
      <w:r>
        <w:rPr>
          <w:color w:val="231F20"/>
          <w:spacing w:val="-6"/>
        </w:rPr>
        <w:t> </w:t>
      </w:r>
      <w:r>
        <w:rPr>
          <w:color w:val="231F20"/>
        </w:rPr>
        <w:t>–</w:t>
      </w:r>
      <w:r>
        <w:rPr>
          <w:color w:val="231F20"/>
          <w:spacing w:val="-6"/>
        </w:rPr>
        <w:t> </w:t>
      </w:r>
      <w:r>
        <w:rPr>
          <w:color w:val="231F20"/>
        </w:rPr>
        <w:t>иностранным</w:t>
      </w:r>
      <w:r>
        <w:rPr>
          <w:color w:val="231F20"/>
          <w:spacing w:val="-6"/>
        </w:rPr>
        <w:t> </w:t>
      </w:r>
      <w:r>
        <w:rPr>
          <w:color w:val="231F20"/>
        </w:rPr>
        <w:t>гражданином</w:t>
      </w:r>
      <w:r>
        <w:rPr>
          <w:color w:val="231F20"/>
          <w:spacing w:val="-6"/>
        </w:rPr>
        <w:t> </w:t>
      </w:r>
      <w:r>
        <w:rPr>
          <w:color w:val="231F20"/>
        </w:rPr>
        <w:t>и</w:t>
      </w:r>
      <w:r>
        <w:rPr>
          <w:color w:val="231F20"/>
          <w:spacing w:val="-6"/>
        </w:rPr>
        <w:t> </w:t>
      </w:r>
      <w:r>
        <w:rPr>
          <w:color w:val="231F20"/>
        </w:rPr>
        <w:t>школой</w:t>
      </w:r>
      <w:r>
        <w:rPr>
          <w:color w:val="231F20"/>
          <w:spacing w:val="-6"/>
        </w:rPr>
        <w:t> </w:t>
      </w:r>
      <w:r>
        <w:rPr>
          <w:color w:val="231F20"/>
        </w:rPr>
        <w:t>прохо- дит несколько этапов.</w:t>
      </w:r>
    </w:p>
    <w:p>
      <w:pPr>
        <w:pStyle w:val="BodyText"/>
        <w:spacing w:line="222" w:lineRule="exact"/>
        <w:ind w:left="425" w:right="0" w:firstLine="0"/>
      </w:pPr>
      <w:r>
        <w:rPr>
          <w:i/>
          <w:color w:val="231F20"/>
        </w:rPr>
        <w:t>Оценка:</w:t>
      </w:r>
      <w:r>
        <w:rPr>
          <w:i/>
          <w:color w:val="231F20"/>
          <w:spacing w:val="-8"/>
        </w:rPr>
        <w:t> </w:t>
      </w:r>
      <w:r>
        <w:rPr>
          <w:color w:val="231F20"/>
        </w:rPr>
        <w:t>родитель</w:t>
      </w:r>
      <w:r>
        <w:rPr>
          <w:color w:val="231F20"/>
          <w:spacing w:val="-5"/>
        </w:rPr>
        <w:t> </w:t>
      </w:r>
      <w:r>
        <w:rPr>
          <w:color w:val="231F20"/>
        </w:rPr>
        <w:t>присматривается</w:t>
      </w:r>
      <w:r>
        <w:rPr>
          <w:color w:val="231F20"/>
          <w:spacing w:val="-4"/>
        </w:rPr>
        <w:t> </w:t>
      </w:r>
      <w:r>
        <w:rPr>
          <w:color w:val="231F20"/>
        </w:rPr>
        <w:t>к</w:t>
      </w:r>
      <w:r>
        <w:rPr>
          <w:color w:val="231F20"/>
          <w:spacing w:val="-4"/>
        </w:rPr>
        <w:t> </w:t>
      </w:r>
      <w:r>
        <w:rPr>
          <w:color w:val="231F20"/>
        </w:rPr>
        <w:t>школе</w:t>
      </w:r>
      <w:r>
        <w:rPr>
          <w:color w:val="231F20"/>
          <w:spacing w:val="-4"/>
        </w:rPr>
        <w:t> </w:t>
      </w:r>
      <w:r>
        <w:rPr>
          <w:color w:val="231F20"/>
        </w:rPr>
        <w:t>и</w:t>
      </w:r>
      <w:r>
        <w:rPr>
          <w:color w:val="231F20"/>
          <w:spacing w:val="-6"/>
        </w:rPr>
        <w:t> </w:t>
      </w:r>
      <w:r>
        <w:rPr>
          <w:color w:val="231F20"/>
        </w:rPr>
        <w:t>учителю,</w:t>
      </w:r>
      <w:r>
        <w:rPr>
          <w:color w:val="231F20"/>
          <w:spacing w:val="-4"/>
        </w:rPr>
        <w:t> </w:t>
      </w:r>
      <w:r>
        <w:rPr>
          <w:color w:val="231F20"/>
        </w:rPr>
        <w:t>может</w:t>
      </w:r>
      <w:r>
        <w:rPr>
          <w:color w:val="231F20"/>
          <w:spacing w:val="-4"/>
        </w:rPr>
        <w:t> </w:t>
      </w:r>
      <w:r>
        <w:rPr>
          <w:color w:val="231F20"/>
        </w:rPr>
        <w:t>им</w:t>
      </w:r>
      <w:r>
        <w:rPr>
          <w:color w:val="231F20"/>
          <w:spacing w:val="-4"/>
        </w:rPr>
        <w:t> </w:t>
      </w:r>
      <w:r>
        <w:rPr>
          <w:color w:val="231F20"/>
        </w:rPr>
        <w:t>не</w:t>
      </w:r>
      <w:r>
        <w:rPr>
          <w:color w:val="231F20"/>
          <w:spacing w:val="-4"/>
        </w:rPr>
        <w:t> </w:t>
      </w:r>
      <w:r>
        <w:rPr>
          <w:color w:val="231F20"/>
          <w:spacing w:val="-2"/>
        </w:rPr>
        <w:t>доверять.</w:t>
      </w:r>
    </w:p>
    <w:p>
      <w:pPr>
        <w:pStyle w:val="BodyText"/>
        <w:spacing w:line="232" w:lineRule="auto" w:before="2"/>
        <w:ind w:right="140"/>
      </w:pPr>
      <w:r>
        <w:rPr>
          <w:i/>
          <w:color w:val="231F20"/>
        </w:rPr>
        <w:t>Проверка:</w:t>
      </w:r>
      <w:r>
        <w:rPr>
          <w:i/>
          <w:color w:val="231F20"/>
          <w:spacing w:val="-7"/>
        </w:rPr>
        <w:t> </w:t>
      </w:r>
      <w:r>
        <w:rPr>
          <w:color w:val="231F20"/>
        </w:rPr>
        <w:t>пробное</w:t>
      </w:r>
      <w:r>
        <w:rPr>
          <w:color w:val="231F20"/>
          <w:spacing w:val="-7"/>
        </w:rPr>
        <w:t> </w:t>
      </w:r>
      <w:r>
        <w:rPr>
          <w:color w:val="231F20"/>
        </w:rPr>
        <w:t>взаимодействие,</w:t>
      </w:r>
      <w:r>
        <w:rPr>
          <w:color w:val="231F20"/>
          <w:spacing w:val="-7"/>
        </w:rPr>
        <w:t> </w:t>
      </w:r>
      <w:r>
        <w:rPr>
          <w:color w:val="231F20"/>
        </w:rPr>
        <w:t>родитель</w:t>
      </w:r>
      <w:r>
        <w:rPr>
          <w:color w:val="231F20"/>
          <w:spacing w:val="-7"/>
        </w:rPr>
        <w:t> </w:t>
      </w:r>
      <w:r>
        <w:rPr>
          <w:color w:val="231F20"/>
        </w:rPr>
        <w:t>может</w:t>
      </w:r>
      <w:r>
        <w:rPr>
          <w:color w:val="231F20"/>
          <w:spacing w:val="-7"/>
        </w:rPr>
        <w:t> </w:t>
      </w:r>
      <w:r>
        <w:rPr>
          <w:color w:val="231F20"/>
        </w:rPr>
        <w:t>провоцировать</w:t>
      </w:r>
      <w:r>
        <w:rPr>
          <w:color w:val="231F20"/>
          <w:spacing w:val="-7"/>
        </w:rPr>
        <w:t> </w:t>
      </w:r>
      <w:r>
        <w:rPr>
          <w:color w:val="231F20"/>
        </w:rPr>
        <w:t>педагога</w:t>
      </w:r>
      <w:r>
        <w:rPr>
          <w:color w:val="231F20"/>
          <w:spacing w:val="-7"/>
        </w:rPr>
        <w:t> </w:t>
      </w:r>
      <w:r>
        <w:rPr>
          <w:color w:val="231F20"/>
        </w:rPr>
        <w:t>или идти на конфликт.</w:t>
      </w:r>
    </w:p>
    <w:p>
      <w:pPr>
        <w:spacing w:line="223" w:lineRule="exact" w:before="0"/>
        <w:ind w:left="425" w:right="0" w:firstLine="0"/>
        <w:jc w:val="both"/>
        <w:rPr>
          <w:sz w:val="20"/>
        </w:rPr>
      </w:pPr>
      <w:r>
        <w:rPr>
          <w:i/>
          <w:color w:val="231F20"/>
          <w:sz w:val="20"/>
        </w:rPr>
        <w:t>Вовлеченность:</w:t>
      </w:r>
      <w:r>
        <w:rPr>
          <w:i/>
          <w:color w:val="231F20"/>
          <w:spacing w:val="-4"/>
          <w:sz w:val="20"/>
        </w:rPr>
        <w:t> </w:t>
      </w:r>
      <w:r>
        <w:rPr>
          <w:color w:val="231F20"/>
          <w:sz w:val="20"/>
        </w:rPr>
        <w:t>родитель</w:t>
      </w:r>
      <w:r>
        <w:rPr>
          <w:color w:val="231F20"/>
          <w:spacing w:val="-4"/>
          <w:sz w:val="20"/>
        </w:rPr>
        <w:t> </w:t>
      </w:r>
      <w:r>
        <w:rPr>
          <w:color w:val="231F20"/>
          <w:sz w:val="20"/>
        </w:rPr>
        <w:t>принимает</w:t>
      </w:r>
      <w:r>
        <w:rPr>
          <w:color w:val="231F20"/>
          <w:spacing w:val="-3"/>
          <w:sz w:val="20"/>
        </w:rPr>
        <w:t> </w:t>
      </w:r>
      <w:r>
        <w:rPr>
          <w:color w:val="231F20"/>
          <w:sz w:val="20"/>
        </w:rPr>
        <w:t>участие</w:t>
      </w:r>
      <w:r>
        <w:rPr>
          <w:color w:val="231F20"/>
          <w:spacing w:val="-3"/>
          <w:sz w:val="20"/>
        </w:rPr>
        <w:t> </w:t>
      </w:r>
      <w:r>
        <w:rPr>
          <w:color w:val="231F20"/>
          <w:sz w:val="20"/>
        </w:rPr>
        <w:t>в</w:t>
      </w:r>
      <w:r>
        <w:rPr>
          <w:color w:val="231F20"/>
          <w:spacing w:val="-4"/>
          <w:sz w:val="20"/>
        </w:rPr>
        <w:t> </w:t>
      </w:r>
      <w:r>
        <w:rPr>
          <w:color w:val="231F20"/>
          <w:sz w:val="20"/>
        </w:rPr>
        <w:t>том,</w:t>
      </w:r>
      <w:r>
        <w:rPr>
          <w:color w:val="231F20"/>
          <w:spacing w:val="-3"/>
          <w:sz w:val="20"/>
        </w:rPr>
        <w:t> </w:t>
      </w:r>
      <w:r>
        <w:rPr>
          <w:color w:val="231F20"/>
          <w:sz w:val="20"/>
        </w:rPr>
        <w:t>что</w:t>
      </w:r>
      <w:r>
        <w:rPr>
          <w:color w:val="231F20"/>
          <w:spacing w:val="-3"/>
          <w:sz w:val="20"/>
        </w:rPr>
        <w:t> </w:t>
      </w:r>
      <w:r>
        <w:rPr>
          <w:color w:val="231F20"/>
          <w:sz w:val="20"/>
        </w:rPr>
        <w:t>предлагает</w:t>
      </w:r>
      <w:r>
        <w:rPr>
          <w:color w:val="231F20"/>
          <w:spacing w:val="-3"/>
          <w:sz w:val="20"/>
        </w:rPr>
        <w:t> </w:t>
      </w:r>
      <w:r>
        <w:rPr>
          <w:color w:val="231F20"/>
          <w:spacing w:val="-2"/>
          <w:sz w:val="20"/>
        </w:rPr>
        <w:t>учитель.</w:t>
      </w:r>
    </w:p>
    <w:p>
      <w:pPr>
        <w:pStyle w:val="BodyText"/>
        <w:spacing w:line="232" w:lineRule="auto" w:before="3"/>
      </w:pPr>
      <w:r>
        <w:rPr>
          <w:i/>
          <w:color w:val="231F20"/>
        </w:rPr>
        <w:t>Сотрудничество:</w:t>
      </w:r>
      <w:r>
        <w:rPr>
          <w:i/>
          <w:color w:val="231F20"/>
          <w:spacing w:val="-13"/>
        </w:rPr>
        <w:t> </w:t>
      </w:r>
      <w:r>
        <w:rPr>
          <w:color w:val="231F20"/>
        </w:rPr>
        <w:t>родитель</w:t>
      </w:r>
      <w:r>
        <w:rPr>
          <w:color w:val="231F20"/>
          <w:spacing w:val="-12"/>
        </w:rPr>
        <w:t> </w:t>
      </w:r>
      <w:r>
        <w:rPr>
          <w:color w:val="231F20"/>
        </w:rPr>
        <w:t>и</w:t>
      </w:r>
      <w:r>
        <w:rPr>
          <w:color w:val="231F20"/>
          <w:spacing w:val="-13"/>
        </w:rPr>
        <w:t> </w:t>
      </w:r>
      <w:r>
        <w:rPr>
          <w:color w:val="231F20"/>
        </w:rPr>
        <w:t>педагог</w:t>
      </w:r>
      <w:r>
        <w:rPr>
          <w:color w:val="231F20"/>
          <w:spacing w:val="-12"/>
        </w:rPr>
        <w:t> </w:t>
      </w:r>
      <w:r>
        <w:rPr>
          <w:color w:val="231F20"/>
        </w:rPr>
        <w:t>становятся</w:t>
      </w:r>
      <w:r>
        <w:rPr>
          <w:color w:val="231F20"/>
          <w:spacing w:val="-13"/>
        </w:rPr>
        <w:t> </w:t>
      </w:r>
      <w:r>
        <w:rPr>
          <w:color w:val="231F20"/>
        </w:rPr>
        <w:t>партнерами,</w:t>
      </w:r>
      <w:r>
        <w:rPr>
          <w:color w:val="231F20"/>
          <w:spacing w:val="-12"/>
        </w:rPr>
        <w:t> </w:t>
      </w:r>
      <w:r>
        <w:rPr>
          <w:color w:val="231F20"/>
        </w:rPr>
        <w:t>родитель</w:t>
      </w:r>
      <w:r>
        <w:rPr>
          <w:color w:val="231F20"/>
          <w:spacing w:val="-13"/>
        </w:rPr>
        <w:t> </w:t>
      </w:r>
      <w:r>
        <w:rPr>
          <w:color w:val="231F20"/>
        </w:rPr>
        <w:t>может</w:t>
      </w:r>
      <w:r>
        <w:rPr>
          <w:color w:val="231F20"/>
          <w:spacing w:val="-12"/>
        </w:rPr>
        <w:t> </w:t>
      </w:r>
      <w:r>
        <w:rPr>
          <w:color w:val="231F20"/>
        </w:rPr>
        <w:t>вы- ступать с собственными инициативами.</w:t>
      </w:r>
    </w:p>
    <w:p>
      <w:pPr>
        <w:pStyle w:val="BodyText"/>
        <w:spacing w:line="232" w:lineRule="auto" w:before="2"/>
      </w:pPr>
      <w:r>
        <w:rPr>
          <w:color w:val="231F20"/>
        </w:rPr>
        <w:t>На стадиях оценки и проверки родители-мигранты анализируют не только про- фессиональные и личностные качества педагога, но и его позицию по отношению к инокультурным родителям и детям. Педагогам и психологам очень важно это пони- мать и на начальном этапе общения с родителями уделять внимание даже незначи- тельным деталям, которые могут способствовать установлению контакта.</w:t>
      </w:r>
    </w:p>
    <w:p>
      <w:pPr>
        <w:pStyle w:val="BodyText"/>
        <w:spacing w:line="232" w:lineRule="auto" w:before="5"/>
      </w:pPr>
      <w:r>
        <w:rPr>
          <w:color w:val="231F20"/>
        </w:rPr>
        <w:t>Первые</w:t>
      </w:r>
      <w:r>
        <w:rPr>
          <w:color w:val="231F20"/>
          <w:spacing w:val="-10"/>
        </w:rPr>
        <w:t> </w:t>
      </w:r>
      <w:r>
        <w:rPr>
          <w:color w:val="231F20"/>
        </w:rPr>
        <w:t>шаги</w:t>
      </w:r>
      <w:r>
        <w:rPr>
          <w:color w:val="231F20"/>
          <w:spacing w:val="-10"/>
        </w:rPr>
        <w:t> </w:t>
      </w:r>
      <w:r>
        <w:rPr>
          <w:color w:val="231F20"/>
        </w:rPr>
        <w:t>по</w:t>
      </w:r>
      <w:r>
        <w:rPr>
          <w:color w:val="231F20"/>
          <w:spacing w:val="-10"/>
        </w:rPr>
        <w:t> </w:t>
      </w:r>
      <w:r>
        <w:rPr>
          <w:color w:val="231F20"/>
        </w:rPr>
        <w:t>установлению</w:t>
      </w:r>
      <w:r>
        <w:rPr>
          <w:color w:val="231F20"/>
          <w:spacing w:val="-10"/>
        </w:rPr>
        <w:t> </w:t>
      </w:r>
      <w:r>
        <w:rPr>
          <w:color w:val="231F20"/>
        </w:rPr>
        <w:t>контакта</w:t>
      </w:r>
      <w:r>
        <w:rPr>
          <w:color w:val="231F20"/>
          <w:spacing w:val="-10"/>
        </w:rPr>
        <w:t> </w:t>
      </w:r>
      <w:r>
        <w:rPr>
          <w:color w:val="231F20"/>
        </w:rPr>
        <w:t>с</w:t>
      </w:r>
      <w:r>
        <w:rPr>
          <w:color w:val="231F20"/>
          <w:spacing w:val="-10"/>
        </w:rPr>
        <w:t> </w:t>
      </w:r>
      <w:r>
        <w:rPr>
          <w:color w:val="231F20"/>
        </w:rPr>
        <w:t>родителями</w:t>
      </w:r>
      <w:r>
        <w:rPr>
          <w:color w:val="231F20"/>
          <w:spacing w:val="-10"/>
        </w:rPr>
        <w:t> </w:t>
      </w:r>
      <w:r>
        <w:rPr>
          <w:color w:val="231F20"/>
        </w:rPr>
        <w:t>–</w:t>
      </w:r>
      <w:r>
        <w:rPr>
          <w:color w:val="231F20"/>
          <w:spacing w:val="-10"/>
        </w:rPr>
        <w:t> </w:t>
      </w:r>
      <w:r>
        <w:rPr>
          <w:color w:val="231F20"/>
        </w:rPr>
        <w:t>иностранными</w:t>
      </w:r>
      <w:r>
        <w:rPr>
          <w:color w:val="231F20"/>
          <w:spacing w:val="-10"/>
        </w:rPr>
        <w:t> </w:t>
      </w:r>
      <w:r>
        <w:rPr>
          <w:color w:val="231F20"/>
        </w:rPr>
        <w:t>граждана- ми могут быть следующими:</w:t>
      </w:r>
    </w:p>
    <w:p>
      <w:pPr>
        <w:pStyle w:val="ListParagraph"/>
        <w:numPr>
          <w:ilvl w:val="0"/>
          <w:numId w:val="89"/>
        </w:numPr>
        <w:tabs>
          <w:tab w:pos="425" w:val="left" w:leader="none"/>
        </w:tabs>
        <w:spacing w:line="232" w:lineRule="auto" w:before="1" w:after="0"/>
        <w:ind w:left="425" w:right="139" w:hanging="284"/>
        <w:jc w:val="both"/>
        <w:rPr>
          <w:sz w:val="20"/>
        </w:rPr>
      </w:pPr>
      <w:r>
        <w:rPr>
          <w:color w:val="231F20"/>
          <w:sz w:val="20"/>
        </w:rPr>
        <w:t>Необходимо</w:t>
      </w:r>
      <w:r>
        <w:rPr>
          <w:color w:val="231F20"/>
          <w:spacing w:val="-12"/>
          <w:sz w:val="20"/>
        </w:rPr>
        <w:t> </w:t>
      </w:r>
      <w:r>
        <w:rPr>
          <w:color w:val="231F20"/>
          <w:sz w:val="20"/>
        </w:rPr>
        <w:t>познакомиться</w:t>
      </w:r>
      <w:r>
        <w:rPr>
          <w:color w:val="231F20"/>
          <w:spacing w:val="-12"/>
          <w:sz w:val="20"/>
        </w:rPr>
        <w:t> </w:t>
      </w:r>
      <w:r>
        <w:rPr>
          <w:color w:val="231F20"/>
          <w:sz w:val="20"/>
        </w:rPr>
        <w:t>с</w:t>
      </w:r>
      <w:r>
        <w:rPr>
          <w:color w:val="231F20"/>
          <w:spacing w:val="-12"/>
          <w:sz w:val="20"/>
        </w:rPr>
        <w:t> </w:t>
      </w:r>
      <w:r>
        <w:rPr>
          <w:color w:val="231F20"/>
          <w:sz w:val="20"/>
        </w:rPr>
        <w:t>родителем.</w:t>
      </w:r>
      <w:r>
        <w:rPr>
          <w:color w:val="231F20"/>
          <w:spacing w:val="-12"/>
          <w:sz w:val="20"/>
        </w:rPr>
        <w:t> </w:t>
      </w:r>
      <w:r>
        <w:rPr>
          <w:color w:val="231F20"/>
          <w:sz w:val="20"/>
        </w:rPr>
        <w:t>Узнать,</w:t>
      </w:r>
      <w:r>
        <w:rPr>
          <w:color w:val="231F20"/>
          <w:spacing w:val="-12"/>
          <w:sz w:val="20"/>
        </w:rPr>
        <w:t> </w:t>
      </w:r>
      <w:r>
        <w:rPr>
          <w:color w:val="231F20"/>
          <w:sz w:val="20"/>
        </w:rPr>
        <w:t>как</w:t>
      </w:r>
      <w:r>
        <w:rPr>
          <w:color w:val="231F20"/>
          <w:spacing w:val="-12"/>
          <w:sz w:val="20"/>
        </w:rPr>
        <w:t> </w:t>
      </w:r>
      <w:r>
        <w:rPr>
          <w:color w:val="231F20"/>
          <w:sz w:val="20"/>
        </w:rPr>
        <w:t>правильно</w:t>
      </w:r>
      <w:r>
        <w:rPr>
          <w:color w:val="231F20"/>
          <w:spacing w:val="-12"/>
          <w:sz w:val="20"/>
        </w:rPr>
        <w:t> </w:t>
      </w:r>
      <w:r>
        <w:rPr>
          <w:color w:val="231F20"/>
          <w:sz w:val="20"/>
        </w:rPr>
        <w:t>произносится</w:t>
      </w:r>
      <w:r>
        <w:rPr>
          <w:color w:val="231F20"/>
          <w:spacing w:val="-12"/>
          <w:sz w:val="20"/>
        </w:rPr>
        <w:t> </w:t>
      </w:r>
      <w:r>
        <w:rPr>
          <w:color w:val="231F20"/>
          <w:sz w:val="20"/>
        </w:rPr>
        <w:t>его имя,</w:t>
      </w:r>
      <w:r>
        <w:rPr>
          <w:color w:val="231F20"/>
          <w:spacing w:val="-1"/>
          <w:sz w:val="20"/>
        </w:rPr>
        <w:t> </w:t>
      </w:r>
      <w:r>
        <w:rPr>
          <w:color w:val="231F20"/>
          <w:sz w:val="20"/>
        </w:rPr>
        <w:t>в</w:t>
      </w:r>
      <w:r>
        <w:rPr>
          <w:color w:val="231F20"/>
          <w:spacing w:val="-1"/>
          <w:sz w:val="20"/>
        </w:rPr>
        <w:t> </w:t>
      </w:r>
      <w:r>
        <w:rPr>
          <w:color w:val="231F20"/>
          <w:sz w:val="20"/>
        </w:rPr>
        <w:t>случае</w:t>
      </w:r>
      <w:r>
        <w:rPr>
          <w:color w:val="231F20"/>
          <w:spacing w:val="-1"/>
          <w:sz w:val="20"/>
        </w:rPr>
        <w:t> </w:t>
      </w:r>
      <w:r>
        <w:rPr>
          <w:color w:val="231F20"/>
          <w:sz w:val="20"/>
        </w:rPr>
        <w:t>недостаточного</w:t>
      </w:r>
      <w:r>
        <w:rPr>
          <w:color w:val="231F20"/>
          <w:spacing w:val="-1"/>
          <w:sz w:val="20"/>
        </w:rPr>
        <w:t> </w:t>
      </w:r>
      <w:r>
        <w:rPr>
          <w:color w:val="231F20"/>
          <w:sz w:val="20"/>
        </w:rPr>
        <w:t>владения</w:t>
      </w:r>
      <w:r>
        <w:rPr>
          <w:color w:val="231F20"/>
          <w:spacing w:val="-1"/>
          <w:sz w:val="20"/>
        </w:rPr>
        <w:t> </w:t>
      </w:r>
      <w:r>
        <w:rPr>
          <w:color w:val="231F20"/>
          <w:sz w:val="20"/>
        </w:rPr>
        <w:t>русским</w:t>
      </w:r>
      <w:r>
        <w:rPr>
          <w:color w:val="231F20"/>
          <w:spacing w:val="-1"/>
          <w:sz w:val="20"/>
        </w:rPr>
        <w:t> </w:t>
      </w:r>
      <w:r>
        <w:rPr>
          <w:color w:val="231F20"/>
          <w:sz w:val="20"/>
        </w:rPr>
        <w:t>–</w:t>
      </w:r>
      <w:r>
        <w:rPr>
          <w:color w:val="231F20"/>
          <w:spacing w:val="-1"/>
          <w:sz w:val="20"/>
        </w:rPr>
        <w:t> </w:t>
      </w:r>
      <w:r>
        <w:rPr>
          <w:color w:val="231F20"/>
          <w:sz w:val="20"/>
        </w:rPr>
        <w:t>свое</w:t>
      </w:r>
      <w:r>
        <w:rPr>
          <w:color w:val="231F20"/>
          <w:spacing w:val="-1"/>
          <w:sz w:val="20"/>
        </w:rPr>
        <w:t> </w:t>
      </w:r>
      <w:r>
        <w:rPr>
          <w:color w:val="231F20"/>
          <w:sz w:val="20"/>
        </w:rPr>
        <w:t>имя</w:t>
      </w:r>
      <w:r>
        <w:rPr>
          <w:color w:val="231F20"/>
          <w:spacing w:val="-1"/>
          <w:sz w:val="20"/>
        </w:rPr>
        <w:t> </w:t>
      </w:r>
      <w:r>
        <w:rPr>
          <w:color w:val="231F20"/>
          <w:sz w:val="20"/>
        </w:rPr>
        <w:t>произнести</w:t>
      </w:r>
      <w:r>
        <w:rPr>
          <w:color w:val="231F20"/>
          <w:spacing w:val="-1"/>
          <w:sz w:val="20"/>
        </w:rPr>
        <w:t> </w:t>
      </w:r>
      <w:r>
        <w:rPr>
          <w:color w:val="231F20"/>
          <w:sz w:val="20"/>
        </w:rPr>
        <w:t>медленно и</w:t>
      </w:r>
      <w:r>
        <w:rPr>
          <w:color w:val="231F20"/>
          <w:spacing w:val="-11"/>
          <w:sz w:val="20"/>
        </w:rPr>
        <w:t> </w:t>
      </w:r>
      <w:r>
        <w:rPr>
          <w:color w:val="231F20"/>
          <w:sz w:val="20"/>
        </w:rPr>
        <w:t>четко.</w:t>
      </w:r>
      <w:r>
        <w:rPr>
          <w:color w:val="231F20"/>
          <w:spacing w:val="-11"/>
          <w:sz w:val="20"/>
        </w:rPr>
        <w:t> </w:t>
      </w:r>
      <w:r>
        <w:rPr>
          <w:color w:val="231F20"/>
          <w:sz w:val="20"/>
        </w:rPr>
        <w:t>Также</w:t>
      </w:r>
      <w:r>
        <w:rPr>
          <w:color w:val="231F20"/>
          <w:spacing w:val="-11"/>
          <w:sz w:val="20"/>
        </w:rPr>
        <w:t> </w:t>
      </w:r>
      <w:r>
        <w:rPr>
          <w:color w:val="231F20"/>
          <w:sz w:val="20"/>
        </w:rPr>
        <w:t>важно</w:t>
      </w:r>
      <w:r>
        <w:rPr>
          <w:color w:val="231F20"/>
          <w:spacing w:val="-11"/>
          <w:sz w:val="20"/>
        </w:rPr>
        <w:t> </w:t>
      </w:r>
      <w:r>
        <w:rPr>
          <w:color w:val="231F20"/>
          <w:sz w:val="20"/>
        </w:rPr>
        <w:t>узнать,</w:t>
      </w:r>
      <w:r>
        <w:rPr>
          <w:color w:val="231F20"/>
          <w:spacing w:val="-11"/>
          <w:sz w:val="20"/>
        </w:rPr>
        <w:t> </w:t>
      </w:r>
      <w:r>
        <w:rPr>
          <w:color w:val="231F20"/>
          <w:sz w:val="20"/>
        </w:rPr>
        <w:t>как</w:t>
      </w:r>
      <w:r>
        <w:rPr>
          <w:color w:val="231F20"/>
          <w:spacing w:val="-11"/>
          <w:sz w:val="20"/>
        </w:rPr>
        <w:t> </w:t>
      </w:r>
      <w:r>
        <w:rPr>
          <w:color w:val="231F20"/>
          <w:sz w:val="20"/>
        </w:rPr>
        <w:t>правильно</w:t>
      </w:r>
      <w:r>
        <w:rPr>
          <w:color w:val="231F20"/>
          <w:spacing w:val="-11"/>
          <w:sz w:val="20"/>
        </w:rPr>
        <w:t> </w:t>
      </w:r>
      <w:r>
        <w:rPr>
          <w:color w:val="231F20"/>
          <w:sz w:val="20"/>
        </w:rPr>
        <w:t>произносить</w:t>
      </w:r>
      <w:r>
        <w:rPr>
          <w:color w:val="231F20"/>
          <w:spacing w:val="-11"/>
          <w:sz w:val="20"/>
        </w:rPr>
        <w:t> </w:t>
      </w:r>
      <w:r>
        <w:rPr>
          <w:color w:val="231F20"/>
          <w:sz w:val="20"/>
        </w:rPr>
        <w:t>имя</w:t>
      </w:r>
      <w:r>
        <w:rPr>
          <w:color w:val="231F20"/>
          <w:spacing w:val="-11"/>
          <w:sz w:val="20"/>
        </w:rPr>
        <w:t> </w:t>
      </w:r>
      <w:r>
        <w:rPr>
          <w:color w:val="231F20"/>
          <w:sz w:val="20"/>
        </w:rPr>
        <w:t>и</w:t>
      </w:r>
      <w:r>
        <w:rPr>
          <w:color w:val="231F20"/>
          <w:spacing w:val="-11"/>
          <w:sz w:val="20"/>
        </w:rPr>
        <w:t> </w:t>
      </w:r>
      <w:r>
        <w:rPr>
          <w:color w:val="231F20"/>
          <w:sz w:val="20"/>
        </w:rPr>
        <w:t>фамилию</w:t>
      </w:r>
      <w:r>
        <w:rPr>
          <w:color w:val="231F20"/>
          <w:spacing w:val="-11"/>
          <w:sz w:val="20"/>
        </w:rPr>
        <w:t> </w:t>
      </w:r>
      <w:r>
        <w:rPr>
          <w:color w:val="231F20"/>
          <w:sz w:val="20"/>
        </w:rPr>
        <w:t>ребенка.</w:t>
      </w:r>
    </w:p>
    <w:p>
      <w:pPr>
        <w:pStyle w:val="ListParagraph"/>
        <w:numPr>
          <w:ilvl w:val="0"/>
          <w:numId w:val="89"/>
        </w:numPr>
        <w:tabs>
          <w:tab w:pos="425" w:val="left" w:leader="none"/>
        </w:tabs>
        <w:spacing w:line="232" w:lineRule="auto" w:before="3" w:after="0"/>
        <w:ind w:left="425" w:right="139" w:hanging="284"/>
        <w:jc w:val="both"/>
        <w:rPr>
          <w:sz w:val="20"/>
        </w:rPr>
      </w:pPr>
      <w:r>
        <w:rPr>
          <w:color w:val="231F20"/>
          <w:sz w:val="20"/>
        </w:rPr>
        <w:t>Предоставить</w:t>
      </w:r>
      <w:r>
        <w:rPr>
          <w:color w:val="231F20"/>
          <w:spacing w:val="-12"/>
          <w:sz w:val="20"/>
        </w:rPr>
        <w:t> </w:t>
      </w:r>
      <w:r>
        <w:rPr>
          <w:color w:val="231F20"/>
          <w:sz w:val="20"/>
        </w:rPr>
        <w:t>основную</w:t>
      </w:r>
      <w:r>
        <w:rPr>
          <w:color w:val="231F20"/>
          <w:spacing w:val="-12"/>
          <w:sz w:val="20"/>
        </w:rPr>
        <w:t> </w:t>
      </w:r>
      <w:r>
        <w:rPr>
          <w:color w:val="231F20"/>
          <w:sz w:val="20"/>
        </w:rPr>
        <w:t>информацию</w:t>
      </w:r>
      <w:r>
        <w:rPr>
          <w:color w:val="231F20"/>
          <w:spacing w:val="-12"/>
          <w:sz w:val="20"/>
        </w:rPr>
        <w:t> </w:t>
      </w:r>
      <w:r>
        <w:rPr>
          <w:color w:val="231F20"/>
          <w:sz w:val="20"/>
        </w:rPr>
        <w:t>в</w:t>
      </w:r>
      <w:r>
        <w:rPr>
          <w:color w:val="231F20"/>
          <w:spacing w:val="-12"/>
          <w:sz w:val="20"/>
        </w:rPr>
        <w:t> </w:t>
      </w:r>
      <w:r>
        <w:rPr>
          <w:color w:val="231F20"/>
          <w:sz w:val="20"/>
        </w:rPr>
        <w:t>письменном</w:t>
      </w:r>
      <w:r>
        <w:rPr>
          <w:color w:val="231F20"/>
          <w:spacing w:val="-12"/>
          <w:sz w:val="20"/>
        </w:rPr>
        <w:t> </w:t>
      </w:r>
      <w:r>
        <w:rPr>
          <w:color w:val="231F20"/>
          <w:sz w:val="20"/>
        </w:rPr>
        <w:t>виде:</w:t>
      </w:r>
      <w:r>
        <w:rPr>
          <w:color w:val="231F20"/>
          <w:spacing w:val="-12"/>
          <w:sz w:val="20"/>
        </w:rPr>
        <w:t> </w:t>
      </w:r>
      <w:r>
        <w:rPr>
          <w:color w:val="231F20"/>
          <w:sz w:val="20"/>
        </w:rPr>
        <w:t>имя</w:t>
      </w:r>
      <w:r>
        <w:rPr>
          <w:color w:val="231F20"/>
          <w:spacing w:val="-12"/>
          <w:sz w:val="20"/>
        </w:rPr>
        <w:t> </w:t>
      </w:r>
      <w:r>
        <w:rPr>
          <w:color w:val="231F20"/>
          <w:sz w:val="20"/>
        </w:rPr>
        <w:t>педагога</w:t>
      </w:r>
      <w:r>
        <w:rPr>
          <w:color w:val="231F20"/>
          <w:spacing w:val="-12"/>
          <w:sz w:val="20"/>
        </w:rPr>
        <w:t> </w:t>
      </w:r>
      <w:r>
        <w:rPr>
          <w:color w:val="231F20"/>
          <w:sz w:val="20"/>
        </w:rPr>
        <w:t>/</w:t>
      </w:r>
      <w:r>
        <w:rPr>
          <w:color w:val="231F20"/>
          <w:spacing w:val="-12"/>
          <w:sz w:val="20"/>
        </w:rPr>
        <w:t> </w:t>
      </w:r>
      <w:r>
        <w:rPr>
          <w:color w:val="231F20"/>
          <w:sz w:val="20"/>
        </w:rPr>
        <w:t>классно- го руководителя, способы связи и пр.</w:t>
      </w:r>
    </w:p>
    <w:p>
      <w:pPr>
        <w:pStyle w:val="ListParagraph"/>
        <w:numPr>
          <w:ilvl w:val="0"/>
          <w:numId w:val="89"/>
        </w:numPr>
        <w:tabs>
          <w:tab w:pos="425" w:val="left" w:leader="none"/>
        </w:tabs>
        <w:spacing w:line="232" w:lineRule="auto" w:before="2" w:after="0"/>
        <w:ind w:left="425" w:right="139" w:hanging="284"/>
        <w:jc w:val="both"/>
        <w:rPr>
          <w:sz w:val="20"/>
        </w:rPr>
      </w:pPr>
      <w:r>
        <w:rPr>
          <w:color w:val="231F20"/>
          <w:sz w:val="20"/>
        </w:rPr>
        <w:t>Обсудить оптимальные для родителя способы связи: смс, Ватсап, по телефону, устно, с помощью других родителей.</w:t>
      </w:r>
    </w:p>
    <w:p>
      <w:pPr>
        <w:pStyle w:val="ListParagraph"/>
        <w:numPr>
          <w:ilvl w:val="0"/>
          <w:numId w:val="89"/>
        </w:numPr>
        <w:tabs>
          <w:tab w:pos="424" w:val="left" w:leader="none"/>
        </w:tabs>
        <w:spacing w:line="223" w:lineRule="exact" w:before="0" w:after="0"/>
        <w:ind w:left="424" w:right="0" w:hanging="283"/>
        <w:jc w:val="both"/>
        <w:rPr>
          <w:sz w:val="20"/>
        </w:rPr>
      </w:pPr>
      <w:r>
        <w:rPr>
          <w:color w:val="231F20"/>
          <w:sz w:val="20"/>
        </w:rPr>
        <w:t>Объяснить,</w:t>
      </w:r>
      <w:r>
        <w:rPr>
          <w:color w:val="231F20"/>
          <w:spacing w:val="-10"/>
          <w:sz w:val="20"/>
        </w:rPr>
        <w:t> </w:t>
      </w:r>
      <w:r>
        <w:rPr>
          <w:color w:val="231F20"/>
          <w:sz w:val="20"/>
        </w:rPr>
        <w:t>как</w:t>
      </w:r>
      <w:r>
        <w:rPr>
          <w:color w:val="231F20"/>
          <w:spacing w:val="-8"/>
          <w:sz w:val="20"/>
        </w:rPr>
        <w:t> </w:t>
      </w:r>
      <w:r>
        <w:rPr>
          <w:color w:val="231F20"/>
          <w:sz w:val="20"/>
        </w:rPr>
        <w:t>можно</w:t>
      </w:r>
      <w:r>
        <w:rPr>
          <w:color w:val="231F20"/>
          <w:spacing w:val="-8"/>
          <w:sz w:val="20"/>
        </w:rPr>
        <w:t> </w:t>
      </w:r>
      <w:r>
        <w:rPr>
          <w:color w:val="231F20"/>
          <w:sz w:val="20"/>
        </w:rPr>
        <w:t>связаться</w:t>
      </w:r>
      <w:r>
        <w:rPr>
          <w:color w:val="231F20"/>
          <w:spacing w:val="-8"/>
          <w:sz w:val="20"/>
        </w:rPr>
        <w:t> </w:t>
      </w:r>
      <w:r>
        <w:rPr>
          <w:color w:val="231F20"/>
          <w:sz w:val="20"/>
        </w:rPr>
        <w:t>с</w:t>
      </w:r>
      <w:r>
        <w:rPr>
          <w:color w:val="231F20"/>
          <w:spacing w:val="-7"/>
          <w:sz w:val="20"/>
        </w:rPr>
        <w:t> </w:t>
      </w:r>
      <w:r>
        <w:rPr>
          <w:color w:val="231F20"/>
          <w:sz w:val="20"/>
        </w:rPr>
        <w:t>классным</w:t>
      </w:r>
      <w:r>
        <w:rPr>
          <w:color w:val="231F20"/>
          <w:spacing w:val="-8"/>
          <w:sz w:val="20"/>
        </w:rPr>
        <w:t> </w:t>
      </w:r>
      <w:r>
        <w:rPr>
          <w:color w:val="231F20"/>
          <w:sz w:val="20"/>
        </w:rPr>
        <w:t>руководителем,</w:t>
      </w:r>
      <w:r>
        <w:rPr>
          <w:color w:val="231F20"/>
          <w:spacing w:val="-8"/>
          <w:sz w:val="20"/>
        </w:rPr>
        <w:t> </w:t>
      </w:r>
      <w:r>
        <w:rPr>
          <w:color w:val="231F20"/>
          <w:sz w:val="20"/>
        </w:rPr>
        <w:t>психологом</w:t>
      </w:r>
      <w:r>
        <w:rPr>
          <w:color w:val="231F20"/>
          <w:spacing w:val="-8"/>
          <w:sz w:val="20"/>
        </w:rPr>
        <w:t> </w:t>
      </w:r>
      <w:r>
        <w:rPr>
          <w:color w:val="231F20"/>
          <w:sz w:val="20"/>
        </w:rPr>
        <w:t>и</w:t>
      </w:r>
      <w:r>
        <w:rPr>
          <w:color w:val="231F20"/>
          <w:spacing w:val="-8"/>
          <w:sz w:val="20"/>
        </w:rPr>
        <w:t> </w:t>
      </w:r>
      <w:r>
        <w:rPr>
          <w:color w:val="231F20"/>
          <w:spacing w:val="-5"/>
          <w:sz w:val="20"/>
        </w:rPr>
        <w:t>пр.</w:t>
      </w:r>
    </w:p>
    <w:p>
      <w:pPr>
        <w:pStyle w:val="BodyText"/>
        <w:spacing w:line="232" w:lineRule="auto" w:before="3"/>
      </w:pPr>
      <w:r>
        <w:rPr>
          <w:color w:val="231F20"/>
        </w:rPr>
        <w:t>В общении с родителями с невысоким уровнем владения русским языком целе- сообразно несколько адаптировать скорость речи, говорить более четко, отказаться от</w:t>
      </w:r>
      <w:r>
        <w:rPr>
          <w:color w:val="231F20"/>
          <w:spacing w:val="-4"/>
        </w:rPr>
        <w:t> </w:t>
      </w:r>
      <w:r>
        <w:rPr>
          <w:color w:val="231F20"/>
        </w:rPr>
        <w:t>сложных</w:t>
      </w:r>
      <w:r>
        <w:rPr>
          <w:color w:val="231F20"/>
          <w:spacing w:val="-4"/>
        </w:rPr>
        <w:t> </w:t>
      </w:r>
      <w:r>
        <w:rPr>
          <w:color w:val="231F20"/>
        </w:rPr>
        <w:t>речевых</w:t>
      </w:r>
      <w:r>
        <w:rPr>
          <w:color w:val="231F20"/>
          <w:spacing w:val="-4"/>
        </w:rPr>
        <w:t> </w:t>
      </w:r>
      <w:r>
        <w:rPr>
          <w:color w:val="231F20"/>
        </w:rPr>
        <w:t>конструкций.</w:t>
      </w:r>
      <w:r>
        <w:rPr>
          <w:color w:val="231F20"/>
          <w:spacing w:val="-4"/>
        </w:rPr>
        <w:t> </w:t>
      </w:r>
      <w:r>
        <w:rPr>
          <w:color w:val="231F20"/>
        </w:rPr>
        <w:t>Также</w:t>
      </w:r>
      <w:r>
        <w:rPr>
          <w:color w:val="231F20"/>
          <w:spacing w:val="-4"/>
        </w:rPr>
        <w:t> </w:t>
      </w:r>
      <w:r>
        <w:rPr>
          <w:color w:val="231F20"/>
        </w:rPr>
        <w:t>полезно</w:t>
      </w:r>
      <w:r>
        <w:rPr>
          <w:color w:val="231F20"/>
          <w:spacing w:val="-4"/>
        </w:rPr>
        <w:t> </w:t>
      </w:r>
      <w:r>
        <w:rPr>
          <w:color w:val="231F20"/>
        </w:rPr>
        <w:t>дублировать</w:t>
      </w:r>
      <w:r>
        <w:rPr>
          <w:color w:val="231F20"/>
          <w:spacing w:val="-4"/>
        </w:rPr>
        <w:t> </w:t>
      </w:r>
      <w:r>
        <w:rPr>
          <w:color w:val="231F20"/>
        </w:rPr>
        <w:t>устную</w:t>
      </w:r>
      <w:r>
        <w:rPr>
          <w:color w:val="231F20"/>
          <w:spacing w:val="-4"/>
        </w:rPr>
        <w:t> </w:t>
      </w:r>
      <w:r>
        <w:rPr>
          <w:color w:val="231F20"/>
        </w:rPr>
        <w:t>информацию письменной,</w:t>
      </w:r>
      <w:r>
        <w:rPr>
          <w:color w:val="231F20"/>
          <w:spacing w:val="-5"/>
        </w:rPr>
        <w:t> </w:t>
      </w:r>
      <w:r>
        <w:rPr>
          <w:color w:val="231F20"/>
        </w:rPr>
        <w:t>и</w:t>
      </w:r>
      <w:r>
        <w:rPr>
          <w:color w:val="231F20"/>
          <w:spacing w:val="-5"/>
        </w:rPr>
        <w:t> </w:t>
      </w:r>
      <w:r>
        <w:rPr>
          <w:color w:val="231F20"/>
        </w:rPr>
        <w:t>наоборот:</w:t>
      </w:r>
      <w:r>
        <w:rPr>
          <w:color w:val="231F20"/>
          <w:spacing w:val="-5"/>
        </w:rPr>
        <w:t> </w:t>
      </w:r>
      <w:r>
        <w:rPr>
          <w:color w:val="231F20"/>
        </w:rPr>
        <w:t>например,</w:t>
      </w:r>
      <w:r>
        <w:rPr>
          <w:color w:val="231F20"/>
          <w:spacing w:val="-5"/>
        </w:rPr>
        <w:t> </w:t>
      </w:r>
      <w:r>
        <w:rPr>
          <w:color w:val="231F20"/>
        </w:rPr>
        <w:t>предоставив</w:t>
      </w:r>
      <w:r>
        <w:rPr>
          <w:color w:val="231F20"/>
          <w:spacing w:val="-5"/>
        </w:rPr>
        <w:t> </w:t>
      </w:r>
      <w:r>
        <w:rPr>
          <w:color w:val="231F20"/>
        </w:rPr>
        <w:t>список</w:t>
      </w:r>
      <w:r>
        <w:rPr>
          <w:color w:val="231F20"/>
          <w:spacing w:val="-5"/>
        </w:rPr>
        <w:t> </w:t>
      </w:r>
      <w:r>
        <w:rPr>
          <w:color w:val="231F20"/>
        </w:rPr>
        <w:t>основных</w:t>
      </w:r>
      <w:r>
        <w:rPr>
          <w:color w:val="231F20"/>
          <w:spacing w:val="-5"/>
        </w:rPr>
        <w:t> </w:t>
      </w:r>
      <w:r>
        <w:rPr>
          <w:color w:val="231F20"/>
        </w:rPr>
        <w:t>контактов,</w:t>
      </w:r>
      <w:r>
        <w:rPr>
          <w:color w:val="231F20"/>
          <w:spacing w:val="-5"/>
        </w:rPr>
        <w:t> </w:t>
      </w:r>
      <w:r>
        <w:rPr>
          <w:color w:val="231F20"/>
        </w:rPr>
        <w:t>кратко прокомментировать, какая именно информация здесь представлена.</w:t>
      </w:r>
    </w:p>
    <w:p>
      <w:pPr>
        <w:pStyle w:val="BodyText"/>
        <w:spacing w:line="232" w:lineRule="auto" w:before="4"/>
      </w:pPr>
      <w:r>
        <w:rPr>
          <w:color w:val="231F20"/>
        </w:rPr>
        <w:t>Важно постараться установить с родителями-мигрантами личный контакт. Даже в</w:t>
      </w:r>
      <w:r>
        <w:rPr>
          <w:color w:val="231F20"/>
          <w:spacing w:val="-9"/>
        </w:rPr>
        <w:t> </w:t>
      </w:r>
      <w:r>
        <w:rPr>
          <w:color w:val="231F20"/>
        </w:rPr>
        <w:t>рамках</w:t>
      </w:r>
      <w:r>
        <w:rPr>
          <w:color w:val="231F20"/>
          <w:spacing w:val="-9"/>
        </w:rPr>
        <w:t> </w:t>
      </w:r>
      <w:r>
        <w:rPr>
          <w:color w:val="231F20"/>
        </w:rPr>
        <w:t>мероприятия,</w:t>
      </w:r>
      <w:r>
        <w:rPr>
          <w:color w:val="231F20"/>
          <w:spacing w:val="-9"/>
        </w:rPr>
        <w:t> </w:t>
      </w:r>
      <w:r>
        <w:rPr>
          <w:color w:val="231F20"/>
        </w:rPr>
        <w:t>например</w:t>
      </w:r>
      <w:r>
        <w:rPr>
          <w:color w:val="231F20"/>
          <w:spacing w:val="-9"/>
        </w:rPr>
        <w:t> </w:t>
      </w:r>
      <w:r>
        <w:rPr>
          <w:color w:val="231F20"/>
        </w:rPr>
        <w:t>родительского</w:t>
      </w:r>
      <w:r>
        <w:rPr>
          <w:color w:val="231F20"/>
          <w:spacing w:val="-9"/>
        </w:rPr>
        <w:t> </w:t>
      </w:r>
      <w:r>
        <w:rPr>
          <w:color w:val="231F20"/>
        </w:rPr>
        <w:t>собрания,</w:t>
      </w:r>
      <w:r>
        <w:rPr>
          <w:color w:val="231F20"/>
          <w:spacing w:val="-9"/>
        </w:rPr>
        <w:t> </w:t>
      </w:r>
      <w:r>
        <w:rPr>
          <w:color w:val="231F20"/>
        </w:rPr>
        <w:t>важно</w:t>
      </w:r>
      <w:r>
        <w:rPr>
          <w:color w:val="231F20"/>
          <w:spacing w:val="-9"/>
        </w:rPr>
        <w:t> </w:t>
      </w:r>
      <w:r>
        <w:rPr>
          <w:color w:val="231F20"/>
        </w:rPr>
        <w:t>найти</w:t>
      </w:r>
      <w:r>
        <w:rPr>
          <w:color w:val="231F20"/>
          <w:spacing w:val="-9"/>
        </w:rPr>
        <w:t> </w:t>
      </w:r>
      <w:r>
        <w:rPr>
          <w:color w:val="231F20"/>
        </w:rPr>
        <w:t>возможность переговорить с таким родителем персонально.</w:t>
      </w:r>
    </w:p>
    <w:p>
      <w:pPr>
        <w:pStyle w:val="BodyText"/>
        <w:spacing w:line="232" w:lineRule="auto" w:before="3"/>
      </w:pPr>
      <w:r>
        <w:rPr>
          <w:color w:val="231F20"/>
        </w:rPr>
        <w:t>Для многих культур, откуда в Российскую Федерацию приезжают мигранты (в частности, для культур Центральной Азии), большое значение имеют отношения между</w:t>
      </w:r>
      <w:r>
        <w:rPr>
          <w:color w:val="231F20"/>
          <w:spacing w:val="-3"/>
        </w:rPr>
        <w:t> </w:t>
      </w:r>
      <w:r>
        <w:rPr>
          <w:color w:val="231F20"/>
        </w:rPr>
        <w:t>членами</w:t>
      </w:r>
      <w:r>
        <w:rPr>
          <w:color w:val="231F20"/>
          <w:spacing w:val="-3"/>
        </w:rPr>
        <w:t> </w:t>
      </w:r>
      <w:r>
        <w:rPr>
          <w:color w:val="231F20"/>
        </w:rPr>
        <w:t>семьи,</w:t>
      </w:r>
      <w:r>
        <w:rPr>
          <w:color w:val="231F20"/>
          <w:spacing w:val="-3"/>
        </w:rPr>
        <w:t> </w:t>
      </w:r>
      <w:r>
        <w:rPr>
          <w:color w:val="231F20"/>
        </w:rPr>
        <w:t>семьи</w:t>
      </w:r>
      <w:r>
        <w:rPr>
          <w:color w:val="231F20"/>
          <w:spacing w:val="-3"/>
        </w:rPr>
        <w:t> </w:t>
      </w:r>
      <w:r>
        <w:rPr>
          <w:color w:val="231F20"/>
        </w:rPr>
        <w:t>часто</w:t>
      </w:r>
      <w:r>
        <w:rPr>
          <w:color w:val="231F20"/>
          <w:spacing w:val="-3"/>
        </w:rPr>
        <w:t> </w:t>
      </w:r>
      <w:r>
        <w:rPr>
          <w:color w:val="231F20"/>
        </w:rPr>
        <w:t>многочисленные,</w:t>
      </w:r>
      <w:r>
        <w:rPr>
          <w:color w:val="231F20"/>
          <w:spacing w:val="-3"/>
        </w:rPr>
        <w:t> </w:t>
      </w:r>
      <w:r>
        <w:rPr>
          <w:color w:val="231F20"/>
        </w:rPr>
        <w:t>включают</w:t>
      </w:r>
      <w:r>
        <w:rPr>
          <w:color w:val="231F20"/>
          <w:spacing w:val="-3"/>
        </w:rPr>
        <w:t> </w:t>
      </w:r>
      <w:r>
        <w:rPr>
          <w:color w:val="231F20"/>
        </w:rPr>
        <w:t>большое</w:t>
      </w:r>
      <w:r>
        <w:rPr>
          <w:color w:val="231F20"/>
          <w:spacing w:val="-3"/>
        </w:rPr>
        <w:t> </w:t>
      </w:r>
      <w:r>
        <w:rPr>
          <w:color w:val="231F20"/>
        </w:rPr>
        <w:t>количество родственников.</w:t>
      </w:r>
      <w:r>
        <w:rPr>
          <w:color w:val="231F20"/>
          <w:spacing w:val="-10"/>
        </w:rPr>
        <w:t> </w:t>
      </w:r>
      <w:r>
        <w:rPr>
          <w:color w:val="231F20"/>
        </w:rPr>
        <w:t>В</w:t>
      </w:r>
      <w:r>
        <w:rPr>
          <w:color w:val="231F20"/>
          <w:spacing w:val="-11"/>
        </w:rPr>
        <w:t> </w:t>
      </w:r>
      <w:r>
        <w:rPr>
          <w:color w:val="231F20"/>
        </w:rPr>
        <w:t>ряде</w:t>
      </w:r>
      <w:r>
        <w:rPr>
          <w:color w:val="231F20"/>
          <w:spacing w:val="-11"/>
        </w:rPr>
        <w:t> </w:t>
      </w:r>
      <w:r>
        <w:rPr>
          <w:color w:val="231F20"/>
        </w:rPr>
        <w:t>случаев</w:t>
      </w:r>
      <w:r>
        <w:rPr>
          <w:color w:val="231F20"/>
          <w:spacing w:val="-11"/>
        </w:rPr>
        <w:t> </w:t>
      </w:r>
      <w:r>
        <w:rPr>
          <w:color w:val="231F20"/>
        </w:rPr>
        <w:t>целесообразно</w:t>
      </w:r>
      <w:r>
        <w:rPr>
          <w:color w:val="231F20"/>
          <w:spacing w:val="-11"/>
        </w:rPr>
        <w:t> </w:t>
      </w:r>
      <w:r>
        <w:rPr>
          <w:color w:val="231F20"/>
        </w:rPr>
        <w:t>приглашать</w:t>
      </w:r>
      <w:r>
        <w:rPr>
          <w:color w:val="231F20"/>
          <w:spacing w:val="-11"/>
        </w:rPr>
        <w:t> </w:t>
      </w:r>
      <w:r>
        <w:rPr>
          <w:color w:val="231F20"/>
        </w:rPr>
        <w:t>родителей</w:t>
      </w:r>
      <w:r>
        <w:rPr>
          <w:color w:val="231F20"/>
          <w:spacing w:val="-11"/>
        </w:rPr>
        <w:t> </w:t>
      </w:r>
      <w:r>
        <w:rPr>
          <w:color w:val="231F20"/>
        </w:rPr>
        <w:t>приходить</w:t>
      </w:r>
      <w:r>
        <w:rPr>
          <w:color w:val="231F20"/>
          <w:spacing w:val="-11"/>
        </w:rPr>
        <w:t> </w:t>
      </w:r>
      <w:r>
        <w:rPr>
          <w:color w:val="231F20"/>
        </w:rPr>
        <w:t>вме- сте с другими родственниками, особенно если эти родственники могут выступать в качестве переводчиков.</w:t>
      </w:r>
    </w:p>
    <w:p>
      <w:pPr>
        <w:pStyle w:val="BodyText"/>
        <w:spacing w:line="235" w:lineRule="auto" w:before="4"/>
      </w:pPr>
      <w:r>
        <w:rPr>
          <w:color w:val="231F20"/>
        </w:rPr>
        <w:t>Так же как и с остальными родителями, контакт с родителями – иностранными гражданами</w:t>
      </w:r>
      <w:r>
        <w:rPr>
          <w:color w:val="231F20"/>
          <w:spacing w:val="-13"/>
        </w:rPr>
        <w:t> </w:t>
      </w:r>
      <w:r>
        <w:rPr>
          <w:color w:val="231F20"/>
        </w:rPr>
        <w:t>поддерживается</w:t>
      </w:r>
      <w:r>
        <w:rPr>
          <w:color w:val="231F20"/>
          <w:spacing w:val="-12"/>
        </w:rPr>
        <w:t> </w:t>
      </w:r>
      <w:r>
        <w:rPr>
          <w:color w:val="231F20"/>
        </w:rPr>
        <w:t>в</w:t>
      </w:r>
      <w:r>
        <w:rPr>
          <w:color w:val="231F20"/>
          <w:spacing w:val="-13"/>
        </w:rPr>
        <w:t> </w:t>
      </w:r>
      <w:r>
        <w:rPr>
          <w:color w:val="231F20"/>
        </w:rPr>
        <w:t>повседневном</w:t>
      </w:r>
      <w:r>
        <w:rPr>
          <w:color w:val="231F20"/>
          <w:spacing w:val="-12"/>
        </w:rPr>
        <w:t> </w:t>
      </w:r>
      <w:r>
        <w:rPr>
          <w:color w:val="231F20"/>
        </w:rPr>
        <w:t>взаимодействии</w:t>
      </w:r>
      <w:r>
        <w:rPr>
          <w:color w:val="231F20"/>
          <w:spacing w:val="-13"/>
        </w:rPr>
        <w:t> </w:t>
      </w:r>
      <w:r>
        <w:rPr>
          <w:color w:val="231F20"/>
        </w:rPr>
        <w:t>психолога</w:t>
      </w:r>
      <w:r>
        <w:rPr>
          <w:color w:val="231F20"/>
          <w:spacing w:val="-12"/>
        </w:rPr>
        <w:t> </w:t>
      </w:r>
      <w:r>
        <w:rPr>
          <w:color w:val="231F20"/>
        </w:rPr>
        <w:t>и</w:t>
      </w:r>
      <w:r>
        <w:rPr>
          <w:color w:val="231F20"/>
          <w:spacing w:val="-13"/>
        </w:rPr>
        <w:t> </w:t>
      </w:r>
      <w:r>
        <w:rPr>
          <w:color w:val="231F20"/>
        </w:rPr>
        <w:t>педагогов. Для</w:t>
      </w:r>
      <w:r>
        <w:rPr>
          <w:color w:val="231F20"/>
          <w:spacing w:val="-1"/>
        </w:rPr>
        <w:t> </w:t>
      </w:r>
      <w:r>
        <w:rPr>
          <w:color w:val="231F20"/>
        </w:rPr>
        <w:t>того</w:t>
      </w:r>
      <w:r>
        <w:rPr>
          <w:color w:val="231F20"/>
          <w:spacing w:val="-1"/>
        </w:rPr>
        <w:t> </w:t>
      </w:r>
      <w:r>
        <w:rPr>
          <w:color w:val="231F20"/>
        </w:rPr>
        <w:t>чтобы</w:t>
      </w:r>
      <w:r>
        <w:rPr>
          <w:color w:val="231F20"/>
          <w:spacing w:val="-1"/>
        </w:rPr>
        <w:t> </w:t>
      </w:r>
      <w:r>
        <w:rPr>
          <w:color w:val="231F20"/>
        </w:rPr>
        <w:t>родители</w:t>
      </w:r>
      <w:r>
        <w:rPr>
          <w:color w:val="231F20"/>
          <w:spacing w:val="-1"/>
        </w:rPr>
        <w:t> </w:t>
      </w:r>
      <w:r>
        <w:rPr>
          <w:color w:val="231F20"/>
        </w:rPr>
        <w:t>–</w:t>
      </w:r>
      <w:r>
        <w:rPr>
          <w:color w:val="231F20"/>
          <w:spacing w:val="-1"/>
        </w:rPr>
        <w:t> </w:t>
      </w:r>
      <w:r>
        <w:rPr>
          <w:color w:val="231F20"/>
        </w:rPr>
        <w:t>иностранные</w:t>
      </w:r>
      <w:r>
        <w:rPr>
          <w:color w:val="231F20"/>
          <w:spacing w:val="-1"/>
        </w:rPr>
        <w:t> </w:t>
      </w:r>
      <w:r>
        <w:rPr>
          <w:color w:val="231F20"/>
        </w:rPr>
        <w:t>граждане</w:t>
      </w:r>
      <w:r>
        <w:rPr>
          <w:color w:val="231F20"/>
          <w:spacing w:val="-1"/>
        </w:rPr>
        <w:t> </w:t>
      </w:r>
      <w:r>
        <w:rPr>
          <w:color w:val="231F20"/>
        </w:rPr>
        <w:t>могли</w:t>
      </w:r>
      <w:r>
        <w:rPr>
          <w:color w:val="231F20"/>
          <w:spacing w:val="-1"/>
        </w:rPr>
        <w:t> </w:t>
      </w:r>
      <w:r>
        <w:rPr>
          <w:color w:val="231F20"/>
        </w:rPr>
        <w:t>сформировать</w:t>
      </w:r>
      <w:r>
        <w:rPr>
          <w:color w:val="231F20"/>
          <w:spacing w:val="-1"/>
        </w:rPr>
        <w:t> </w:t>
      </w:r>
      <w:r>
        <w:rPr>
          <w:color w:val="231F20"/>
        </w:rPr>
        <w:t>доверитель-</w:t>
      </w:r>
    </w:p>
    <w:p>
      <w:pPr>
        <w:pStyle w:val="BodyText"/>
        <w:spacing w:after="0" w:line="235" w:lineRule="auto"/>
        <w:sectPr>
          <w:type w:val="continuous"/>
          <w:pgSz w:w="8400" w:h="11910"/>
          <w:pgMar w:header="0" w:footer="535" w:top="1260" w:bottom="740" w:left="425" w:right="425"/>
        </w:sectPr>
      </w:pPr>
    </w:p>
    <w:p>
      <w:pPr>
        <w:pStyle w:val="ListParagraph"/>
        <w:numPr>
          <w:ilvl w:val="1"/>
          <w:numId w:val="88"/>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Стратегии</w:t>
      </w:r>
      <w:r>
        <w:rPr>
          <w:rFonts w:ascii="Georgia" w:hAnsi="Georgia"/>
          <w:color w:val="231F20"/>
          <w:spacing w:val="1"/>
          <w:sz w:val="18"/>
        </w:rPr>
        <w:t> </w:t>
      </w:r>
      <w:r>
        <w:rPr>
          <w:rFonts w:ascii="Georgia" w:hAnsi="Georgia"/>
          <w:color w:val="231F20"/>
          <w:sz w:val="18"/>
        </w:rPr>
        <w:t>индивидуального</w:t>
      </w:r>
      <w:r>
        <w:rPr>
          <w:rFonts w:ascii="Georgia" w:hAnsi="Georgia"/>
          <w:color w:val="231F20"/>
          <w:spacing w:val="2"/>
          <w:sz w:val="18"/>
        </w:rPr>
        <w:t> </w:t>
      </w:r>
      <w:r>
        <w:rPr>
          <w:rFonts w:ascii="Georgia" w:hAnsi="Georgia"/>
          <w:color w:val="231F20"/>
          <w:sz w:val="18"/>
        </w:rPr>
        <w:t>взаимодействия</w:t>
      </w:r>
      <w:r>
        <w:rPr>
          <w:rFonts w:ascii="Georgia" w:hAnsi="Georgia"/>
          <w:color w:val="231F20"/>
          <w:spacing w:val="1"/>
          <w:sz w:val="18"/>
        </w:rPr>
        <w:t> </w:t>
      </w:r>
      <w:r>
        <w:rPr>
          <w:rFonts w:ascii="Georgia" w:hAnsi="Georgia"/>
          <w:color w:val="231F20"/>
          <w:sz w:val="18"/>
        </w:rPr>
        <w:t>с</w:t>
      </w:r>
      <w:r>
        <w:rPr>
          <w:rFonts w:ascii="Georgia" w:hAnsi="Georgia"/>
          <w:color w:val="231F20"/>
          <w:spacing w:val="2"/>
          <w:sz w:val="18"/>
        </w:rPr>
        <w:t> </w:t>
      </w:r>
      <w:r>
        <w:rPr>
          <w:rFonts w:ascii="Georgia" w:hAnsi="Georgia"/>
          <w:color w:val="231F20"/>
          <w:spacing w:val="-2"/>
          <w:sz w:val="18"/>
        </w:rPr>
        <w:t>родителями...</w:t>
      </w:r>
    </w:p>
    <w:p>
      <w:pPr>
        <w:pStyle w:val="BodyText"/>
        <w:spacing w:line="232" w:lineRule="auto" w:before="118"/>
        <w:ind w:firstLine="0"/>
      </w:pPr>
      <w:r>
        <w:rPr>
          <w:color w:val="231F20"/>
        </w:rPr>
        <w:t>ные отношения с педагогами и психологами из российской школы, необходимо по- казывать, что в школе ценится культурное разнообразие, причем не только в рамках мероприятий, но и в составляющих ежедневной коммуникации.</w:t>
      </w:r>
    </w:p>
    <w:p>
      <w:pPr>
        <w:pStyle w:val="BodyText"/>
        <w:spacing w:line="232" w:lineRule="auto"/>
      </w:pPr>
      <w:r>
        <w:rPr>
          <w:color w:val="231F20"/>
        </w:rPr>
        <w:t>Большую</w:t>
      </w:r>
      <w:r>
        <w:rPr>
          <w:color w:val="231F20"/>
          <w:spacing w:val="-8"/>
        </w:rPr>
        <w:t> </w:t>
      </w:r>
      <w:r>
        <w:rPr>
          <w:color w:val="231F20"/>
        </w:rPr>
        <w:t>роль</w:t>
      </w:r>
      <w:r>
        <w:rPr>
          <w:color w:val="231F20"/>
          <w:spacing w:val="-8"/>
        </w:rPr>
        <w:t> </w:t>
      </w:r>
      <w:r>
        <w:rPr>
          <w:color w:val="231F20"/>
        </w:rPr>
        <w:t>в</w:t>
      </w:r>
      <w:r>
        <w:rPr>
          <w:color w:val="231F20"/>
          <w:spacing w:val="-8"/>
        </w:rPr>
        <w:t> </w:t>
      </w:r>
      <w:r>
        <w:rPr>
          <w:color w:val="231F20"/>
        </w:rPr>
        <w:t>этом</w:t>
      </w:r>
      <w:r>
        <w:rPr>
          <w:color w:val="231F20"/>
          <w:spacing w:val="-8"/>
        </w:rPr>
        <w:t> </w:t>
      </w:r>
      <w:r>
        <w:rPr>
          <w:color w:val="231F20"/>
        </w:rPr>
        <w:t>играет</w:t>
      </w:r>
      <w:r>
        <w:rPr>
          <w:color w:val="231F20"/>
          <w:spacing w:val="-8"/>
        </w:rPr>
        <w:t> </w:t>
      </w:r>
      <w:r>
        <w:rPr>
          <w:color w:val="231F20"/>
        </w:rPr>
        <w:t>предметная</w:t>
      </w:r>
      <w:r>
        <w:rPr>
          <w:color w:val="231F20"/>
          <w:spacing w:val="-8"/>
        </w:rPr>
        <w:t> </w:t>
      </w:r>
      <w:r>
        <w:rPr>
          <w:color w:val="231F20"/>
        </w:rPr>
        <w:t>среда</w:t>
      </w:r>
      <w:r>
        <w:rPr>
          <w:color w:val="231F20"/>
          <w:spacing w:val="-8"/>
        </w:rPr>
        <w:t> </w:t>
      </w:r>
      <w:r>
        <w:rPr>
          <w:color w:val="231F20"/>
        </w:rPr>
        <w:t>образовательной</w:t>
      </w:r>
      <w:r>
        <w:rPr>
          <w:color w:val="231F20"/>
          <w:spacing w:val="-8"/>
        </w:rPr>
        <w:t> </w:t>
      </w:r>
      <w:r>
        <w:rPr>
          <w:color w:val="231F20"/>
        </w:rPr>
        <w:t>организации.</w:t>
      </w:r>
      <w:r>
        <w:rPr>
          <w:color w:val="231F20"/>
          <w:spacing w:val="-8"/>
        </w:rPr>
        <w:t> </w:t>
      </w:r>
      <w:r>
        <w:rPr>
          <w:color w:val="231F20"/>
        </w:rPr>
        <w:t>Це- лесообразно</w:t>
      </w:r>
      <w:r>
        <w:rPr>
          <w:color w:val="231F20"/>
          <w:spacing w:val="-11"/>
        </w:rPr>
        <w:t> </w:t>
      </w:r>
      <w:r>
        <w:rPr>
          <w:color w:val="231F20"/>
        </w:rPr>
        <w:t>проводить</w:t>
      </w:r>
      <w:r>
        <w:rPr>
          <w:color w:val="231F20"/>
          <w:spacing w:val="-11"/>
        </w:rPr>
        <w:t> </w:t>
      </w:r>
      <w:r>
        <w:rPr>
          <w:color w:val="231F20"/>
        </w:rPr>
        <w:t>встречи</w:t>
      </w:r>
      <w:r>
        <w:rPr>
          <w:color w:val="231F20"/>
          <w:spacing w:val="-11"/>
        </w:rPr>
        <w:t> </w:t>
      </w:r>
      <w:r>
        <w:rPr>
          <w:color w:val="231F20"/>
        </w:rPr>
        <w:t>с</w:t>
      </w:r>
      <w:r>
        <w:rPr>
          <w:color w:val="231F20"/>
          <w:spacing w:val="-11"/>
        </w:rPr>
        <w:t> </w:t>
      </w:r>
      <w:r>
        <w:rPr>
          <w:color w:val="231F20"/>
        </w:rPr>
        <w:t>родителями-мигрантами</w:t>
      </w:r>
      <w:r>
        <w:rPr>
          <w:color w:val="231F20"/>
          <w:spacing w:val="-11"/>
        </w:rPr>
        <w:t> </w:t>
      </w:r>
      <w:r>
        <w:rPr>
          <w:color w:val="231F20"/>
        </w:rPr>
        <w:t>в</w:t>
      </w:r>
      <w:r>
        <w:rPr>
          <w:color w:val="231F20"/>
          <w:spacing w:val="-11"/>
        </w:rPr>
        <w:t> </w:t>
      </w:r>
      <w:r>
        <w:rPr>
          <w:color w:val="231F20"/>
        </w:rPr>
        <w:t>тех</w:t>
      </w:r>
      <w:r>
        <w:rPr>
          <w:color w:val="231F20"/>
          <w:spacing w:val="-11"/>
        </w:rPr>
        <w:t> </w:t>
      </w:r>
      <w:r>
        <w:rPr>
          <w:color w:val="231F20"/>
        </w:rPr>
        <w:t>классах</w:t>
      </w:r>
      <w:r>
        <w:rPr>
          <w:color w:val="231F20"/>
          <w:spacing w:val="-11"/>
        </w:rPr>
        <w:t> </w:t>
      </w:r>
      <w:r>
        <w:rPr>
          <w:color w:val="231F20"/>
        </w:rPr>
        <w:t>и</w:t>
      </w:r>
      <w:r>
        <w:rPr>
          <w:color w:val="231F20"/>
          <w:spacing w:val="-11"/>
        </w:rPr>
        <w:t> </w:t>
      </w:r>
      <w:r>
        <w:rPr>
          <w:color w:val="231F20"/>
        </w:rPr>
        <w:t>помещени- ях</w:t>
      </w:r>
      <w:r>
        <w:rPr>
          <w:color w:val="231F20"/>
          <w:spacing w:val="-12"/>
        </w:rPr>
        <w:t> </w:t>
      </w:r>
      <w:r>
        <w:rPr>
          <w:color w:val="231F20"/>
        </w:rPr>
        <w:t>школы,</w:t>
      </w:r>
      <w:r>
        <w:rPr>
          <w:color w:val="231F20"/>
          <w:spacing w:val="-9"/>
        </w:rPr>
        <w:t> </w:t>
      </w:r>
      <w:r>
        <w:rPr>
          <w:color w:val="231F20"/>
        </w:rPr>
        <w:t>оформление</w:t>
      </w:r>
      <w:r>
        <w:rPr>
          <w:color w:val="231F20"/>
          <w:spacing w:val="-9"/>
        </w:rPr>
        <w:t> </w:t>
      </w:r>
      <w:r>
        <w:rPr>
          <w:color w:val="231F20"/>
        </w:rPr>
        <w:t>которых</w:t>
      </w:r>
      <w:r>
        <w:rPr>
          <w:color w:val="231F20"/>
          <w:spacing w:val="-9"/>
        </w:rPr>
        <w:t> </w:t>
      </w:r>
      <w:r>
        <w:rPr>
          <w:color w:val="231F20"/>
        </w:rPr>
        <w:t>отражает</w:t>
      </w:r>
      <w:r>
        <w:rPr>
          <w:color w:val="231F20"/>
          <w:spacing w:val="-9"/>
        </w:rPr>
        <w:t> </w:t>
      </w:r>
      <w:r>
        <w:rPr>
          <w:color w:val="231F20"/>
        </w:rPr>
        <w:t>идеи</w:t>
      </w:r>
      <w:r>
        <w:rPr>
          <w:color w:val="231F20"/>
          <w:spacing w:val="-9"/>
        </w:rPr>
        <w:t> </w:t>
      </w:r>
      <w:r>
        <w:rPr>
          <w:color w:val="231F20"/>
        </w:rPr>
        <w:t>культурного</w:t>
      </w:r>
      <w:r>
        <w:rPr>
          <w:color w:val="231F20"/>
          <w:spacing w:val="-9"/>
        </w:rPr>
        <w:t> </w:t>
      </w:r>
      <w:r>
        <w:rPr>
          <w:color w:val="231F20"/>
        </w:rPr>
        <w:t>разнообразия,</w:t>
      </w:r>
      <w:r>
        <w:rPr>
          <w:color w:val="231F20"/>
          <w:spacing w:val="-9"/>
        </w:rPr>
        <w:t> </w:t>
      </w:r>
      <w:r>
        <w:rPr>
          <w:color w:val="231F20"/>
          <w:spacing w:val="-2"/>
        </w:rPr>
        <w:t>например:</w:t>
      </w:r>
    </w:p>
    <w:p>
      <w:pPr>
        <w:pStyle w:val="ListParagraph"/>
        <w:numPr>
          <w:ilvl w:val="2"/>
          <w:numId w:val="88"/>
        </w:numPr>
        <w:tabs>
          <w:tab w:pos="424" w:val="left" w:leader="none"/>
        </w:tabs>
        <w:spacing w:line="217" w:lineRule="exact" w:before="0" w:after="0"/>
        <w:ind w:left="424" w:right="0" w:hanging="283"/>
        <w:jc w:val="left"/>
        <w:rPr>
          <w:sz w:val="20"/>
        </w:rPr>
      </w:pPr>
      <w:r>
        <w:rPr>
          <w:color w:val="231F20"/>
          <w:sz w:val="20"/>
        </w:rPr>
        <w:t>фотографии</w:t>
      </w:r>
      <w:r>
        <w:rPr>
          <w:color w:val="231F20"/>
          <w:spacing w:val="-7"/>
          <w:sz w:val="20"/>
        </w:rPr>
        <w:t> </w:t>
      </w:r>
      <w:r>
        <w:rPr>
          <w:color w:val="231F20"/>
          <w:sz w:val="20"/>
        </w:rPr>
        <w:t>учеников</w:t>
      </w:r>
      <w:r>
        <w:rPr>
          <w:color w:val="231F20"/>
          <w:spacing w:val="-6"/>
          <w:sz w:val="20"/>
        </w:rPr>
        <w:t> </w:t>
      </w:r>
      <w:r>
        <w:rPr>
          <w:color w:val="231F20"/>
          <w:sz w:val="20"/>
        </w:rPr>
        <w:t>разной</w:t>
      </w:r>
      <w:r>
        <w:rPr>
          <w:color w:val="231F20"/>
          <w:spacing w:val="-6"/>
          <w:sz w:val="20"/>
        </w:rPr>
        <w:t> </w:t>
      </w:r>
      <w:r>
        <w:rPr>
          <w:color w:val="231F20"/>
          <w:sz w:val="20"/>
        </w:rPr>
        <w:t>национальности</w:t>
      </w:r>
      <w:r>
        <w:rPr>
          <w:color w:val="231F20"/>
          <w:spacing w:val="-7"/>
          <w:sz w:val="20"/>
        </w:rPr>
        <w:t> </w:t>
      </w:r>
      <w:r>
        <w:rPr>
          <w:color w:val="231F20"/>
          <w:sz w:val="20"/>
        </w:rPr>
        <w:t>и</w:t>
      </w:r>
      <w:r>
        <w:rPr>
          <w:color w:val="231F20"/>
          <w:spacing w:val="-6"/>
          <w:sz w:val="20"/>
        </w:rPr>
        <w:t> </w:t>
      </w:r>
      <w:r>
        <w:rPr>
          <w:color w:val="231F20"/>
          <w:sz w:val="20"/>
        </w:rPr>
        <w:t>фотографии</w:t>
      </w:r>
      <w:r>
        <w:rPr>
          <w:color w:val="231F20"/>
          <w:spacing w:val="-6"/>
          <w:sz w:val="20"/>
        </w:rPr>
        <w:t> </w:t>
      </w:r>
      <w:r>
        <w:rPr>
          <w:color w:val="231F20"/>
          <w:sz w:val="20"/>
        </w:rPr>
        <w:t>их</w:t>
      </w:r>
      <w:r>
        <w:rPr>
          <w:color w:val="231F20"/>
          <w:spacing w:val="-5"/>
          <w:sz w:val="20"/>
        </w:rPr>
        <w:t> </w:t>
      </w:r>
      <w:r>
        <w:rPr>
          <w:color w:val="231F20"/>
          <w:spacing w:val="-2"/>
          <w:sz w:val="20"/>
        </w:rPr>
        <w:t>семей;</w:t>
      </w:r>
    </w:p>
    <w:p>
      <w:pPr>
        <w:pStyle w:val="ListParagraph"/>
        <w:numPr>
          <w:ilvl w:val="2"/>
          <w:numId w:val="88"/>
        </w:numPr>
        <w:tabs>
          <w:tab w:pos="424" w:val="left" w:leader="none"/>
        </w:tabs>
        <w:spacing w:line="222" w:lineRule="exact" w:before="0" w:after="0"/>
        <w:ind w:left="424" w:right="0" w:hanging="283"/>
        <w:jc w:val="left"/>
        <w:rPr>
          <w:sz w:val="20"/>
        </w:rPr>
      </w:pPr>
      <w:r>
        <w:rPr>
          <w:color w:val="231F20"/>
          <w:spacing w:val="-6"/>
          <w:sz w:val="20"/>
        </w:rPr>
        <w:t>карты</w:t>
      </w:r>
      <w:r>
        <w:rPr>
          <w:color w:val="231F20"/>
          <w:spacing w:val="-2"/>
          <w:sz w:val="20"/>
        </w:rPr>
        <w:t> </w:t>
      </w:r>
      <w:r>
        <w:rPr>
          <w:color w:val="231F20"/>
          <w:spacing w:val="-6"/>
          <w:sz w:val="20"/>
        </w:rPr>
        <w:t>и/или</w:t>
      </w:r>
      <w:r>
        <w:rPr>
          <w:color w:val="231F20"/>
          <w:spacing w:val="-2"/>
          <w:sz w:val="20"/>
        </w:rPr>
        <w:t> </w:t>
      </w:r>
      <w:r>
        <w:rPr>
          <w:color w:val="231F20"/>
          <w:spacing w:val="-6"/>
          <w:sz w:val="20"/>
        </w:rPr>
        <w:t>флажки,</w:t>
      </w:r>
      <w:r>
        <w:rPr>
          <w:color w:val="231F20"/>
          <w:spacing w:val="-2"/>
          <w:sz w:val="20"/>
        </w:rPr>
        <w:t> </w:t>
      </w:r>
      <w:r>
        <w:rPr>
          <w:color w:val="231F20"/>
          <w:spacing w:val="-6"/>
          <w:sz w:val="20"/>
        </w:rPr>
        <w:t>показывающие,</w:t>
      </w:r>
      <w:r>
        <w:rPr>
          <w:color w:val="231F20"/>
          <w:spacing w:val="-2"/>
          <w:sz w:val="20"/>
        </w:rPr>
        <w:t> </w:t>
      </w:r>
      <w:r>
        <w:rPr>
          <w:color w:val="231F20"/>
          <w:spacing w:val="-6"/>
          <w:sz w:val="20"/>
        </w:rPr>
        <w:t>откуда</w:t>
      </w:r>
      <w:r>
        <w:rPr>
          <w:color w:val="231F20"/>
          <w:spacing w:val="-2"/>
          <w:sz w:val="20"/>
        </w:rPr>
        <w:t> </w:t>
      </w:r>
      <w:r>
        <w:rPr>
          <w:color w:val="231F20"/>
          <w:spacing w:val="-6"/>
          <w:sz w:val="20"/>
        </w:rPr>
        <w:t>приехали</w:t>
      </w:r>
      <w:r>
        <w:rPr>
          <w:color w:val="231F20"/>
          <w:spacing w:val="-1"/>
          <w:sz w:val="20"/>
        </w:rPr>
        <w:t> </w:t>
      </w:r>
      <w:r>
        <w:rPr>
          <w:color w:val="231F20"/>
          <w:spacing w:val="-6"/>
          <w:sz w:val="20"/>
        </w:rPr>
        <w:t>педагоги</w:t>
      </w:r>
      <w:r>
        <w:rPr>
          <w:color w:val="231F20"/>
          <w:spacing w:val="-2"/>
          <w:sz w:val="20"/>
        </w:rPr>
        <w:t> </w:t>
      </w:r>
      <w:r>
        <w:rPr>
          <w:color w:val="231F20"/>
          <w:spacing w:val="-6"/>
          <w:sz w:val="20"/>
        </w:rPr>
        <w:t>и</w:t>
      </w:r>
      <w:r>
        <w:rPr>
          <w:color w:val="231F20"/>
          <w:spacing w:val="-2"/>
          <w:sz w:val="20"/>
        </w:rPr>
        <w:t> </w:t>
      </w:r>
      <w:r>
        <w:rPr>
          <w:color w:val="231F20"/>
          <w:spacing w:val="-6"/>
          <w:sz w:val="20"/>
        </w:rPr>
        <w:t>сотрудники</w:t>
      </w:r>
      <w:r>
        <w:rPr>
          <w:color w:val="231F20"/>
          <w:spacing w:val="-2"/>
          <w:sz w:val="20"/>
        </w:rPr>
        <w:t> </w:t>
      </w:r>
      <w:r>
        <w:rPr>
          <w:color w:val="231F20"/>
          <w:spacing w:val="-6"/>
          <w:sz w:val="20"/>
        </w:rPr>
        <w:t>школы;</w:t>
      </w:r>
    </w:p>
    <w:p>
      <w:pPr>
        <w:pStyle w:val="ListParagraph"/>
        <w:numPr>
          <w:ilvl w:val="2"/>
          <w:numId w:val="88"/>
        </w:numPr>
        <w:tabs>
          <w:tab w:pos="424" w:val="left" w:leader="none"/>
        </w:tabs>
        <w:spacing w:line="222" w:lineRule="exact" w:before="0" w:after="0"/>
        <w:ind w:left="424" w:right="0" w:hanging="283"/>
        <w:jc w:val="left"/>
        <w:rPr>
          <w:sz w:val="20"/>
        </w:rPr>
      </w:pPr>
      <w:r>
        <w:rPr>
          <w:color w:val="231F20"/>
          <w:sz w:val="20"/>
        </w:rPr>
        <w:t>фотографии</w:t>
      </w:r>
      <w:r>
        <w:rPr>
          <w:color w:val="231F20"/>
          <w:spacing w:val="-7"/>
          <w:sz w:val="20"/>
        </w:rPr>
        <w:t> </w:t>
      </w:r>
      <w:r>
        <w:rPr>
          <w:color w:val="231F20"/>
          <w:sz w:val="20"/>
        </w:rPr>
        <w:t>или</w:t>
      </w:r>
      <w:r>
        <w:rPr>
          <w:color w:val="231F20"/>
          <w:spacing w:val="-4"/>
          <w:sz w:val="20"/>
        </w:rPr>
        <w:t> </w:t>
      </w:r>
      <w:r>
        <w:rPr>
          <w:color w:val="231F20"/>
          <w:sz w:val="20"/>
        </w:rPr>
        <w:t>рисунки,</w:t>
      </w:r>
      <w:r>
        <w:rPr>
          <w:color w:val="231F20"/>
          <w:spacing w:val="-3"/>
          <w:sz w:val="20"/>
        </w:rPr>
        <w:t> </w:t>
      </w:r>
      <w:r>
        <w:rPr>
          <w:color w:val="231F20"/>
          <w:sz w:val="20"/>
        </w:rPr>
        <w:t>отражающие</w:t>
      </w:r>
      <w:r>
        <w:rPr>
          <w:color w:val="231F20"/>
          <w:spacing w:val="-4"/>
          <w:sz w:val="20"/>
        </w:rPr>
        <w:t> </w:t>
      </w:r>
      <w:r>
        <w:rPr>
          <w:color w:val="231F20"/>
          <w:sz w:val="20"/>
        </w:rPr>
        <w:t>памятные</w:t>
      </w:r>
      <w:r>
        <w:rPr>
          <w:color w:val="231F20"/>
          <w:spacing w:val="-3"/>
          <w:sz w:val="20"/>
        </w:rPr>
        <w:t> </w:t>
      </w:r>
      <w:r>
        <w:rPr>
          <w:color w:val="231F20"/>
          <w:sz w:val="20"/>
        </w:rPr>
        <w:t>знаки</w:t>
      </w:r>
      <w:r>
        <w:rPr>
          <w:color w:val="231F20"/>
          <w:spacing w:val="-4"/>
          <w:sz w:val="20"/>
        </w:rPr>
        <w:t> </w:t>
      </w:r>
      <w:r>
        <w:rPr>
          <w:color w:val="231F20"/>
          <w:sz w:val="20"/>
        </w:rPr>
        <w:t>разных</w:t>
      </w:r>
      <w:r>
        <w:rPr>
          <w:color w:val="231F20"/>
          <w:spacing w:val="-3"/>
          <w:sz w:val="20"/>
        </w:rPr>
        <w:t> </w:t>
      </w:r>
      <w:r>
        <w:rPr>
          <w:color w:val="231F20"/>
          <w:spacing w:val="-2"/>
          <w:sz w:val="20"/>
        </w:rPr>
        <w:t>стран;</w:t>
      </w:r>
    </w:p>
    <w:p>
      <w:pPr>
        <w:pStyle w:val="ListParagraph"/>
        <w:numPr>
          <w:ilvl w:val="2"/>
          <w:numId w:val="88"/>
        </w:numPr>
        <w:tabs>
          <w:tab w:pos="424" w:val="left" w:leader="none"/>
        </w:tabs>
        <w:spacing w:line="222" w:lineRule="exact" w:before="0" w:after="0"/>
        <w:ind w:left="424" w:right="0" w:hanging="283"/>
        <w:jc w:val="left"/>
        <w:rPr>
          <w:sz w:val="20"/>
        </w:rPr>
      </w:pPr>
      <w:r>
        <w:rPr>
          <w:color w:val="231F20"/>
          <w:sz w:val="20"/>
        </w:rPr>
        <w:t>слова</w:t>
      </w:r>
      <w:r>
        <w:rPr>
          <w:color w:val="231F20"/>
          <w:spacing w:val="-4"/>
          <w:sz w:val="20"/>
        </w:rPr>
        <w:t> </w:t>
      </w:r>
      <w:r>
        <w:rPr>
          <w:color w:val="231F20"/>
          <w:sz w:val="20"/>
        </w:rPr>
        <w:t>или</w:t>
      </w:r>
      <w:r>
        <w:rPr>
          <w:color w:val="231F20"/>
          <w:spacing w:val="-5"/>
          <w:sz w:val="20"/>
        </w:rPr>
        <w:t> </w:t>
      </w:r>
      <w:r>
        <w:rPr>
          <w:color w:val="231F20"/>
          <w:sz w:val="20"/>
        </w:rPr>
        <w:t>высказывания</w:t>
      </w:r>
      <w:r>
        <w:rPr>
          <w:color w:val="231F20"/>
          <w:spacing w:val="-3"/>
          <w:sz w:val="20"/>
        </w:rPr>
        <w:t> </w:t>
      </w:r>
      <w:r>
        <w:rPr>
          <w:color w:val="231F20"/>
          <w:sz w:val="20"/>
        </w:rPr>
        <w:t>на</w:t>
      </w:r>
      <w:r>
        <w:rPr>
          <w:color w:val="231F20"/>
          <w:spacing w:val="-4"/>
          <w:sz w:val="20"/>
        </w:rPr>
        <w:t> </w:t>
      </w:r>
      <w:r>
        <w:rPr>
          <w:color w:val="231F20"/>
          <w:sz w:val="20"/>
        </w:rPr>
        <w:t>разных</w:t>
      </w:r>
      <w:r>
        <w:rPr>
          <w:color w:val="231F20"/>
          <w:spacing w:val="-3"/>
          <w:sz w:val="20"/>
        </w:rPr>
        <w:t> </w:t>
      </w:r>
      <w:r>
        <w:rPr>
          <w:color w:val="231F20"/>
          <w:spacing w:val="-2"/>
          <w:sz w:val="20"/>
        </w:rPr>
        <w:t>языках.</w:t>
      </w:r>
    </w:p>
    <w:p>
      <w:pPr>
        <w:pStyle w:val="BodyText"/>
        <w:spacing w:line="232" w:lineRule="auto" w:before="2"/>
      </w:pPr>
      <w:r>
        <w:rPr>
          <w:color w:val="231F20"/>
        </w:rPr>
        <w:t>Отметим, что примеры из стран изучаемых языков или слова на изучаемых ино- странных языках эту задачу не решают.</w:t>
      </w:r>
    </w:p>
    <w:p>
      <w:pPr>
        <w:pStyle w:val="BodyText"/>
        <w:spacing w:line="232" w:lineRule="auto"/>
      </w:pPr>
      <w:r>
        <w:rPr>
          <w:color w:val="231F20"/>
        </w:rPr>
        <w:t>Педагог или психолог может попросить родителя научить его двум-трем словам родного языка, чтобы можно было их использовать в общении с ребенком. Можно познакомить</w:t>
      </w:r>
      <w:r>
        <w:rPr>
          <w:color w:val="231F20"/>
          <w:spacing w:val="-6"/>
        </w:rPr>
        <w:t> </w:t>
      </w:r>
      <w:r>
        <w:rPr>
          <w:color w:val="231F20"/>
        </w:rPr>
        <w:t>родителей</w:t>
      </w:r>
      <w:r>
        <w:rPr>
          <w:color w:val="231F20"/>
          <w:spacing w:val="-6"/>
        </w:rPr>
        <w:t> </w:t>
      </w:r>
      <w:r>
        <w:rPr>
          <w:color w:val="231F20"/>
        </w:rPr>
        <w:t>с</w:t>
      </w:r>
      <w:r>
        <w:rPr>
          <w:color w:val="231F20"/>
          <w:spacing w:val="-6"/>
        </w:rPr>
        <w:t> </w:t>
      </w:r>
      <w:r>
        <w:rPr>
          <w:color w:val="231F20"/>
        </w:rPr>
        <w:t>активистами</w:t>
      </w:r>
      <w:r>
        <w:rPr>
          <w:color w:val="231F20"/>
          <w:spacing w:val="-6"/>
        </w:rPr>
        <w:t> </w:t>
      </w:r>
      <w:r>
        <w:rPr>
          <w:color w:val="231F20"/>
        </w:rPr>
        <w:t>родительского</w:t>
      </w:r>
      <w:r>
        <w:rPr>
          <w:color w:val="231F20"/>
          <w:spacing w:val="-6"/>
        </w:rPr>
        <w:t> </w:t>
      </w:r>
      <w:r>
        <w:rPr>
          <w:color w:val="231F20"/>
        </w:rPr>
        <w:t>комитета,</w:t>
      </w:r>
      <w:r>
        <w:rPr>
          <w:color w:val="231F20"/>
          <w:spacing w:val="-6"/>
        </w:rPr>
        <w:t> </w:t>
      </w:r>
      <w:r>
        <w:rPr>
          <w:color w:val="231F20"/>
        </w:rPr>
        <w:t>которые</w:t>
      </w:r>
      <w:r>
        <w:rPr>
          <w:color w:val="231F20"/>
          <w:spacing w:val="-6"/>
        </w:rPr>
        <w:t> </w:t>
      </w:r>
      <w:r>
        <w:rPr>
          <w:color w:val="231F20"/>
        </w:rPr>
        <w:t>также</w:t>
      </w:r>
      <w:r>
        <w:rPr>
          <w:color w:val="231F20"/>
          <w:spacing w:val="-6"/>
        </w:rPr>
        <w:t> </w:t>
      </w:r>
      <w:r>
        <w:rPr>
          <w:color w:val="231F20"/>
        </w:rPr>
        <w:t>явля- ются иностранными гражданами.</w:t>
      </w:r>
    </w:p>
    <w:p>
      <w:pPr>
        <w:pStyle w:val="BodyText"/>
        <w:spacing w:line="232" w:lineRule="auto"/>
        <w:jc w:val="right"/>
      </w:pPr>
      <w:r>
        <w:rPr>
          <w:color w:val="231F20"/>
        </w:rPr>
        <w:t>Точно так же, как в работе с детьми-мигрантами важно не противопоставлять их другим</w:t>
      </w:r>
      <w:r>
        <w:rPr>
          <w:color w:val="231F20"/>
          <w:spacing w:val="-13"/>
        </w:rPr>
        <w:t> </w:t>
      </w:r>
      <w:r>
        <w:rPr>
          <w:color w:val="231F20"/>
        </w:rPr>
        <w:t>учащимся,</w:t>
      </w:r>
      <w:r>
        <w:rPr>
          <w:color w:val="231F20"/>
          <w:spacing w:val="-12"/>
        </w:rPr>
        <w:t> </w:t>
      </w:r>
      <w:r>
        <w:rPr>
          <w:color w:val="231F20"/>
        </w:rPr>
        <w:t>а</w:t>
      </w:r>
      <w:r>
        <w:rPr>
          <w:color w:val="231F20"/>
          <w:spacing w:val="-13"/>
        </w:rPr>
        <w:t> </w:t>
      </w:r>
      <w:r>
        <w:rPr>
          <w:color w:val="231F20"/>
        </w:rPr>
        <w:t>помогать</w:t>
      </w:r>
      <w:r>
        <w:rPr>
          <w:color w:val="231F20"/>
          <w:spacing w:val="-12"/>
        </w:rPr>
        <w:t> </w:t>
      </w:r>
      <w:r>
        <w:rPr>
          <w:color w:val="231F20"/>
        </w:rPr>
        <w:t>интегрироваться</w:t>
      </w:r>
      <w:r>
        <w:rPr>
          <w:color w:val="231F20"/>
          <w:spacing w:val="-13"/>
        </w:rPr>
        <w:t> </w:t>
      </w:r>
      <w:r>
        <w:rPr>
          <w:color w:val="231F20"/>
        </w:rPr>
        <w:t>в</w:t>
      </w:r>
      <w:r>
        <w:rPr>
          <w:color w:val="231F20"/>
          <w:spacing w:val="-12"/>
        </w:rPr>
        <w:t> </w:t>
      </w:r>
      <w:r>
        <w:rPr>
          <w:color w:val="231F20"/>
        </w:rPr>
        <w:t>принимающее</w:t>
      </w:r>
      <w:r>
        <w:rPr>
          <w:color w:val="231F20"/>
          <w:spacing w:val="-13"/>
        </w:rPr>
        <w:t> </w:t>
      </w:r>
      <w:r>
        <w:rPr>
          <w:color w:val="231F20"/>
        </w:rPr>
        <w:t>общество</w:t>
      </w:r>
      <w:r>
        <w:rPr>
          <w:color w:val="231F20"/>
          <w:spacing w:val="-12"/>
        </w:rPr>
        <w:t> </w:t>
      </w:r>
      <w:r>
        <w:rPr>
          <w:color w:val="231F20"/>
        </w:rPr>
        <w:t>с</w:t>
      </w:r>
      <w:r>
        <w:rPr>
          <w:color w:val="231F20"/>
          <w:spacing w:val="-13"/>
        </w:rPr>
        <w:t> </w:t>
      </w:r>
      <w:r>
        <w:rPr>
          <w:color w:val="231F20"/>
        </w:rPr>
        <w:t>учетом</w:t>
      </w:r>
      <w:r>
        <w:rPr>
          <w:color w:val="231F20"/>
          <w:spacing w:val="-12"/>
        </w:rPr>
        <w:t> </w:t>
      </w:r>
      <w:r>
        <w:rPr>
          <w:color w:val="231F20"/>
        </w:rPr>
        <w:t>их дополнительных</w:t>
      </w:r>
      <w:r>
        <w:rPr>
          <w:color w:val="231F20"/>
          <w:spacing w:val="-8"/>
        </w:rPr>
        <w:t> </w:t>
      </w:r>
      <w:r>
        <w:rPr>
          <w:color w:val="231F20"/>
        </w:rPr>
        <w:t>потребностей,</w:t>
      </w:r>
      <w:r>
        <w:rPr>
          <w:color w:val="231F20"/>
          <w:spacing w:val="-9"/>
        </w:rPr>
        <w:t> </w:t>
      </w:r>
      <w:r>
        <w:rPr>
          <w:color w:val="231F20"/>
        </w:rPr>
        <w:t>необходимо</w:t>
      </w:r>
      <w:r>
        <w:rPr>
          <w:color w:val="231F20"/>
          <w:spacing w:val="-9"/>
        </w:rPr>
        <w:t> </w:t>
      </w:r>
      <w:r>
        <w:rPr>
          <w:color w:val="231F20"/>
        </w:rPr>
        <w:t>помогать</w:t>
      </w:r>
      <w:r>
        <w:rPr>
          <w:color w:val="231F20"/>
          <w:spacing w:val="-9"/>
        </w:rPr>
        <w:t> </w:t>
      </w:r>
      <w:r>
        <w:rPr>
          <w:color w:val="231F20"/>
        </w:rPr>
        <w:t>иностранным</w:t>
      </w:r>
      <w:r>
        <w:rPr>
          <w:color w:val="231F20"/>
          <w:spacing w:val="-9"/>
        </w:rPr>
        <w:t> </w:t>
      </w:r>
      <w:r>
        <w:rPr>
          <w:color w:val="231F20"/>
        </w:rPr>
        <w:t>гражданам</w:t>
      </w:r>
      <w:r>
        <w:rPr>
          <w:color w:val="231F20"/>
          <w:spacing w:val="-9"/>
        </w:rPr>
        <w:t> </w:t>
      </w:r>
      <w:r>
        <w:rPr>
          <w:color w:val="231F20"/>
        </w:rPr>
        <w:t>стать частью</w:t>
      </w:r>
      <w:r>
        <w:rPr>
          <w:color w:val="231F20"/>
          <w:spacing w:val="-5"/>
        </w:rPr>
        <w:t> </w:t>
      </w:r>
      <w:r>
        <w:rPr>
          <w:color w:val="231F20"/>
        </w:rPr>
        <w:t>родительского</w:t>
      </w:r>
      <w:r>
        <w:rPr>
          <w:color w:val="231F20"/>
          <w:spacing w:val="-5"/>
        </w:rPr>
        <w:t> </w:t>
      </w:r>
      <w:r>
        <w:rPr>
          <w:color w:val="231F20"/>
        </w:rPr>
        <w:t>сообщества</w:t>
      </w:r>
      <w:r>
        <w:rPr>
          <w:color w:val="231F20"/>
          <w:spacing w:val="-5"/>
        </w:rPr>
        <w:t> </w:t>
      </w:r>
      <w:r>
        <w:rPr>
          <w:color w:val="231F20"/>
        </w:rPr>
        <w:t>школы.</w:t>
      </w:r>
      <w:r>
        <w:rPr>
          <w:color w:val="231F20"/>
          <w:spacing w:val="-5"/>
        </w:rPr>
        <w:t> </w:t>
      </w:r>
      <w:r>
        <w:rPr>
          <w:color w:val="231F20"/>
        </w:rPr>
        <w:t>Важно,</w:t>
      </w:r>
      <w:r>
        <w:rPr>
          <w:color w:val="231F20"/>
          <w:spacing w:val="-5"/>
        </w:rPr>
        <w:t> </w:t>
      </w:r>
      <w:r>
        <w:rPr>
          <w:color w:val="231F20"/>
        </w:rPr>
        <w:t>с</w:t>
      </w:r>
      <w:r>
        <w:rPr>
          <w:color w:val="231F20"/>
          <w:spacing w:val="-5"/>
        </w:rPr>
        <w:t> </w:t>
      </w:r>
      <w:r>
        <w:rPr>
          <w:color w:val="231F20"/>
        </w:rPr>
        <w:t>одной</w:t>
      </w:r>
      <w:r>
        <w:rPr>
          <w:color w:val="231F20"/>
          <w:spacing w:val="-5"/>
        </w:rPr>
        <w:t> </w:t>
      </w:r>
      <w:r>
        <w:rPr>
          <w:color w:val="231F20"/>
        </w:rPr>
        <w:t>стороны,</w:t>
      </w:r>
      <w:r>
        <w:rPr>
          <w:color w:val="231F20"/>
          <w:spacing w:val="-5"/>
        </w:rPr>
        <w:t> </w:t>
      </w:r>
      <w:r>
        <w:rPr>
          <w:color w:val="231F20"/>
        </w:rPr>
        <w:t>учитывать</w:t>
      </w:r>
      <w:r>
        <w:rPr>
          <w:color w:val="231F20"/>
          <w:spacing w:val="-5"/>
        </w:rPr>
        <w:t> </w:t>
      </w:r>
      <w:r>
        <w:rPr>
          <w:color w:val="231F20"/>
        </w:rPr>
        <w:t>спец- ифические</w:t>
      </w:r>
      <w:r>
        <w:rPr>
          <w:color w:val="231F20"/>
          <w:spacing w:val="-6"/>
        </w:rPr>
        <w:t> </w:t>
      </w:r>
      <w:r>
        <w:rPr>
          <w:color w:val="231F20"/>
        </w:rPr>
        <w:t>языковые</w:t>
      </w:r>
      <w:r>
        <w:rPr>
          <w:color w:val="231F20"/>
          <w:spacing w:val="-6"/>
        </w:rPr>
        <w:t> </w:t>
      </w:r>
      <w:r>
        <w:rPr>
          <w:color w:val="231F20"/>
        </w:rPr>
        <w:t>и</w:t>
      </w:r>
      <w:r>
        <w:rPr>
          <w:color w:val="231F20"/>
          <w:spacing w:val="-6"/>
        </w:rPr>
        <w:t> </w:t>
      </w:r>
      <w:r>
        <w:rPr>
          <w:color w:val="231F20"/>
        </w:rPr>
        <w:t>культурные</w:t>
      </w:r>
      <w:r>
        <w:rPr>
          <w:color w:val="231F20"/>
          <w:spacing w:val="-6"/>
        </w:rPr>
        <w:t> </w:t>
      </w:r>
      <w:r>
        <w:rPr>
          <w:color w:val="231F20"/>
        </w:rPr>
        <w:t>особенности,</w:t>
      </w:r>
      <w:r>
        <w:rPr>
          <w:color w:val="231F20"/>
          <w:spacing w:val="-6"/>
        </w:rPr>
        <w:t> </w:t>
      </w:r>
      <w:r>
        <w:rPr>
          <w:color w:val="231F20"/>
        </w:rPr>
        <w:t>характеризующие</w:t>
      </w:r>
      <w:r>
        <w:rPr>
          <w:color w:val="231F20"/>
          <w:spacing w:val="-6"/>
        </w:rPr>
        <w:t> </w:t>
      </w:r>
      <w:r>
        <w:rPr>
          <w:color w:val="231F20"/>
        </w:rPr>
        <w:t>родителей</w:t>
      </w:r>
      <w:r>
        <w:rPr>
          <w:color w:val="231F20"/>
          <w:spacing w:val="-6"/>
        </w:rPr>
        <w:t> </w:t>
      </w:r>
      <w:r>
        <w:rPr>
          <w:color w:val="231F20"/>
        </w:rPr>
        <w:t>–</w:t>
      </w:r>
      <w:r>
        <w:rPr>
          <w:color w:val="231F20"/>
          <w:spacing w:val="-6"/>
        </w:rPr>
        <w:t> </w:t>
      </w:r>
      <w:r>
        <w:rPr>
          <w:color w:val="231F20"/>
        </w:rPr>
        <w:t>ино- странных</w:t>
      </w:r>
      <w:r>
        <w:rPr>
          <w:color w:val="231F20"/>
          <w:spacing w:val="-7"/>
        </w:rPr>
        <w:t> </w:t>
      </w:r>
      <w:r>
        <w:rPr>
          <w:color w:val="231F20"/>
        </w:rPr>
        <w:t>граждан,</w:t>
      </w:r>
      <w:r>
        <w:rPr>
          <w:color w:val="231F20"/>
          <w:spacing w:val="-7"/>
        </w:rPr>
        <w:t> </w:t>
      </w:r>
      <w:r>
        <w:rPr>
          <w:color w:val="231F20"/>
        </w:rPr>
        <w:t>а</w:t>
      </w:r>
      <w:r>
        <w:rPr>
          <w:color w:val="231F20"/>
          <w:spacing w:val="-7"/>
        </w:rPr>
        <w:t> </w:t>
      </w:r>
      <w:r>
        <w:rPr>
          <w:color w:val="231F20"/>
        </w:rPr>
        <w:t>с</w:t>
      </w:r>
      <w:r>
        <w:rPr>
          <w:color w:val="231F20"/>
          <w:spacing w:val="-7"/>
        </w:rPr>
        <w:t> </w:t>
      </w:r>
      <w:r>
        <w:rPr>
          <w:color w:val="231F20"/>
        </w:rPr>
        <w:t>другой</w:t>
      </w:r>
      <w:r>
        <w:rPr>
          <w:color w:val="231F20"/>
          <w:spacing w:val="-7"/>
        </w:rPr>
        <w:t> </w:t>
      </w:r>
      <w:r>
        <w:rPr>
          <w:color w:val="231F20"/>
        </w:rPr>
        <w:t>–</w:t>
      </w:r>
      <w:r>
        <w:rPr>
          <w:color w:val="231F20"/>
          <w:spacing w:val="-7"/>
        </w:rPr>
        <w:t> </w:t>
      </w:r>
      <w:r>
        <w:rPr>
          <w:color w:val="231F20"/>
        </w:rPr>
        <w:t>вовлекать</w:t>
      </w:r>
      <w:r>
        <w:rPr>
          <w:color w:val="231F20"/>
          <w:spacing w:val="-7"/>
        </w:rPr>
        <w:t> </w:t>
      </w:r>
      <w:r>
        <w:rPr>
          <w:color w:val="231F20"/>
        </w:rPr>
        <w:t>их</w:t>
      </w:r>
      <w:r>
        <w:rPr>
          <w:color w:val="231F20"/>
          <w:spacing w:val="-7"/>
        </w:rPr>
        <w:t> </w:t>
      </w:r>
      <w:r>
        <w:rPr>
          <w:color w:val="231F20"/>
        </w:rPr>
        <w:t>в</w:t>
      </w:r>
      <w:r>
        <w:rPr>
          <w:color w:val="231F20"/>
          <w:spacing w:val="-7"/>
        </w:rPr>
        <w:t> </w:t>
      </w:r>
      <w:r>
        <w:rPr>
          <w:color w:val="231F20"/>
        </w:rPr>
        <w:t>общешкольные</w:t>
      </w:r>
      <w:r>
        <w:rPr>
          <w:color w:val="231F20"/>
          <w:spacing w:val="-7"/>
        </w:rPr>
        <w:t> </w:t>
      </w:r>
      <w:r>
        <w:rPr>
          <w:color w:val="231F20"/>
        </w:rPr>
        <w:t>или</w:t>
      </w:r>
      <w:r>
        <w:rPr>
          <w:color w:val="231F20"/>
          <w:spacing w:val="-7"/>
        </w:rPr>
        <w:t> </w:t>
      </w:r>
      <w:r>
        <w:rPr>
          <w:color w:val="231F20"/>
        </w:rPr>
        <w:t>общеклассные</w:t>
      </w:r>
      <w:r>
        <w:rPr>
          <w:color w:val="231F20"/>
          <w:spacing w:val="-7"/>
        </w:rPr>
        <w:t> </w:t>
      </w:r>
      <w:r>
        <w:rPr>
          <w:color w:val="231F20"/>
        </w:rPr>
        <w:t>ак- тивности,</w:t>
      </w:r>
      <w:r>
        <w:rPr>
          <w:color w:val="231F20"/>
          <w:spacing w:val="-12"/>
        </w:rPr>
        <w:t> </w:t>
      </w:r>
      <w:r>
        <w:rPr>
          <w:color w:val="231F20"/>
        </w:rPr>
        <w:t>показывать,</w:t>
      </w:r>
      <w:r>
        <w:rPr>
          <w:color w:val="231F20"/>
          <w:spacing w:val="-12"/>
        </w:rPr>
        <w:t> </w:t>
      </w:r>
      <w:r>
        <w:rPr>
          <w:color w:val="231F20"/>
        </w:rPr>
        <w:t>что</w:t>
      </w:r>
      <w:r>
        <w:rPr>
          <w:color w:val="231F20"/>
          <w:spacing w:val="-12"/>
        </w:rPr>
        <w:t> </w:t>
      </w:r>
      <w:r>
        <w:rPr>
          <w:color w:val="231F20"/>
        </w:rPr>
        <w:t>к</w:t>
      </w:r>
      <w:r>
        <w:rPr>
          <w:color w:val="231F20"/>
          <w:spacing w:val="-12"/>
        </w:rPr>
        <w:t> </w:t>
      </w:r>
      <w:r>
        <w:rPr>
          <w:color w:val="231F20"/>
        </w:rPr>
        <w:t>ним</w:t>
      </w:r>
      <w:r>
        <w:rPr>
          <w:color w:val="231F20"/>
          <w:spacing w:val="-12"/>
        </w:rPr>
        <w:t> </w:t>
      </w:r>
      <w:r>
        <w:rPr>
          <w:color w:val="231F20"/>
        </w:rPr>
        <w:t>относятся</w:t>
      </w:r>
      <w:r>
        <w:rPr>
          <w:color w:val="231F20"/>
          <w:spacing w:val="-12"/>
        </w:rPr>
        <w:t> </w:t>
      </w:r>
      <w:r>
        <w:rPr>
          <w:color w:val="231F20"/>
        </w:rPr>
        <w:t>как</w:t>
      </w:r>
      <w:r>
        <w:rPr>
          <w:color w:val="231F20"/>
          <w:spacing w:val="-12"/>
        </w:rPr>
        <w:t> </w:t>
      </w:r>
      <w:r>
        <w:rPr>
          <w:color w:val="231F20"/>
        </w:rPr>
        <w:t>в</w:t>
      </w:r>
      <w:r>
        <w:rPr>
          <w:color w:val="231F20"/>
          <w:spacing w:val="-12"/>
        </w:rPr>
        <w:t> </w:t>
      </w:r>
      <w:r>
        <w:rPr>
          <w:color w:val="231F20"/>
        </w:rPr>
        <w:t>любым</w:t>
      </w:r>
      <w:r>
        <w:rPr>
          <w:color w:val="231F20"/>
          <w:spacing w:val="-12"/>
        </w:rPr>
        <w:t> </w:t>
      </w:r>
      <w:r>
        <w:rPr>
          <w:color w:val="231F20"/>
        </w:rPr>
        <w:t>другим</w:t>
      </w:r>
      <w:r>
        <w:rPr>
          <w:color w:val="231F20"/>
          <w:spacing w:val="-12"/>
        </w:rPr>
        <w:t> </w:t>
      </w:r>
      <w:r>
        <w:rPr>
          <w:color w:val="231F20"/>
        </w:rPr>
        <w:t>родителям</w:t>
      </w:r>
      <w:r>
        <w:rPr>
          <w:color w:val="231F20"/>
          <w:spacing w:val="-12"/>
        </w:rPr>
        <w:t> </w:t>
      </w:r>
      <w:r>
        <w:rPr>
          <w:color w:val="231F20"/>
        </w:rPr>
        <w:t>учащихся. Важно также помнить, что установлению и поддержанию контакта с родителями- мигрантами</w:t>
      </w:r>
      <w:r>
        <w:rPr>
          <w:color w:val="231F20"/>
          <w:spacing w:val="-10"/>
        </w:rPr>
        <w:t> </w:t>
      </w:r>
      <w:r>
        <w:rPr>
          <w:color w:val="231F20"/>
        </w:rPr>
        <w:t>в</w:t>
      </w:r>
      <w:r>
        <w:rPr>
          <w:color w:val="231F20"/>
          <w:spacing w:val="-8"/>
        </w:rPr>
        <w:t> </w:t>
      </w:r>
      <w:r>
        <w:rPr>
          <w:color w:val="231F20"/>
        </w:rPr>
        <w:t>целом</w:t>
      </w:r>
      <w:r>
        <w:rPr>
          <w:color w:val="231F20"/>
          <w:spacing w:val="-8"/>
        </w:rPr>
        <w:t> </w:t>
      </w:r>
      <w:r>
        <w:rPr>
          <w:color w:val="231F20"/>
        </w:rPr>
        <w:t>способствуют</w:t>
      </w:r>
      <w:r>
        <w:rPr>
          <w:color w:val="231F20"/>
          <w:spacing w:val="-8"/>
        </w:rPr>
        <w:t> </w:t>
      </w:r>
      <w:r>
        <w:rPr>
          <w:color w:val="231F20"/>
        </w:rPr>
        <w:t>общие</w:t>
      </w:r>
      <w:r>
        <w:rPr>
          <w:color w:val="231F20"/>
          <w:spacing w:val="-8"/>
        </w:rPr>
        <w:t> </w:t>
      </w:r>
      <w:r>
        <w:rPr>
          <w:color w:val="231F20"/>
        </w:rPr>
        <w:t>рекомендации</w:t>
      </w:r>
      <w:r>
        <w:rPr>
          <w:color w:val="231F20"/>
          <w:spacing w:val="-8"/>
        </w:rPr>
        <w:t> </w:t>
      </w:r>
      <w:r>
        <w:rPr>
          <w:color w:val="231F20"/>
        </w:rPr>
        <w:t>по</w:t>
      </w:r>
      <w:r>
        <w:rPr>
          <w:color w:val="231F20"/>
          <w:spacing w:val="-8"/>
        </w:rPr>
        <w:t> </w:t>
      </w:r>
      <w:r>
        <w:rPr>
          <w:color w:val="231F20"/>
        </w:rPr>
        <w:t>оптимизации</w:t>
      </w:r>
      <w:r>
        <w:rPr>
          <w:color w:val="231F20"/>
          <w:spacing w:val="-8"/>
        </w:rPr>
        <w:t> </w:t>
      </w:r>
      <w:r>
        <w:rPr>
          <w:color w:val="231F20"/>
          <w:spacing w:val="-2"/>
        </w:rPr>
        <w:t>взаимодей-</w:t>
      </w:r>
    </w:p>
    <w:p>
      <w:pPr>
        <w:pStyle w:val="BodyText"/>
        <w:spacing w:line="216" w:lineRule="exact"/>
        <w:ind w:right="0" w:firstLine="0"/>
      </w:pPr>
      <w:r>
        <w:rPr>
          <w:color w:val="231F20"/>
        </w:rPr>
        <w:t>ствия с </w:t>
      </w:r>
      <w:r>
        <w:rPr>
          <w:color w:val="231F20"/>
          <w:spacing w:val="-2"/>
        </w:rPr>
        <w:t>родителями:</w:t>
      </w:r>
    </w:p>
    <w:p>
      <w:pPr>
        <w:pStyle w:val="ListParagraph"/>
        <w:numPr>
          <w:ilvl w:val="0"/>
          <w:numId w:val="90"/>
        </w:numPr>
        <w:tabs>
          <w:tab w:pos="423" w:val="left" w:leader="none"/>
          <w:tab w:pos="425" w:val="left" w:leader="none"/>
        </w:tabs>
        <w:spacing w:line="232" w:lineRule="auto" w:before="0" w:after="0"/>
        <w:ind w:left="425" w:right="139" w:hanging="284"/>
        <w:jc w:val="both"/>
        <w:rPr>
          <w:sz w:val="20"/>
        </w:rPr>
      </w:pPr>
      <w:r>
        <w:rPr>
          <w:color w:val="231F20"/>
          <w:sz w:val="20"/>
        </w:rPr>
        <w:t>Подчеркивать, что имеющиеся у ребенка трудности свойственны многим детям этого возраста, понятны и разрешимы («Многие первоклассники долго привыка- ют к школе»).</w:t>
      </w:r>
    </w:p>
    <w:p>
      <w:pPr>
        <w:pStyle w:val="ListParagraph"/>
        <w:numPr>
          <w:ilvl w:val="0"/>
          <w:numId w:val="90"/>
        </w:numPr>
        <w:tabs>
          <w:tab w:pos="423" w:val="left" w:leader="none"/>
          <w:tab w:pos="425" w:val="left" w:leader="none"/>
        </w:tabs>
        <w:spacing w:line="232" w:lineRule="auto" w:before="0" w:after="0"/>
        <w:ind w:left="425" w:right="139" w:hanging="284"/>
        <w:jc w:val="both"/>
        <w:rPr>
          <w:sz w:val="20"/>
        </w:rPr>
      </w:pPr>
      <w:r>
        <w:rPr>
          <w:color w:val="231F20"/>
          <w:sz w:val="20"/>
        </w:rPr>
        <w:t>Подчеркивать</w:t>
      </w:r>
      <w:r>
        <w:rPr>
          <w:color w:val="231F20"/>
          <w:spacing w:val="-2"/>
          <w:sz w:val="20"/>
        </w:rPr>
        <w:t> </w:t>
      </w:r>
      <w:r>
        <w:rPr>
          <w:color w:val="231F20"/>
          <w:sz w:val="20"/>
        </w:rPr>
        <w:t>позитивную</w:t>
      </w:r>
      <w:r>
        <w:rPr>
          <w:color w:val="231F20"/>
          <w:spacing w:val="-1"/>
          <w:sz w:val="20"/>
        </w:rPr>
        <w:t> </w:t>
      </w:r>
      <w:r>
        <w:rPr>
          <w:color w:val="231F20"/>
          <w:sz w:val="20"/>
        </w:rPr>
        <w:t>мотивацию</w:t>
      </w:r>
      <w:r>
        <w:rPr>
          <w:color w:val="231F20"/>
          <w:spacing w:val="-1"/>
          <w:sz w:val="20"/>
        </w:rPr>
        <w:t> </w:t>
      </w:r>
      <w:r>
        <w:rPr>
          <w:color w:val="231F20"/>
          <w:sz w:val="20"/>
        </w:rPr>
        <w:t>родителя</w:t>
      </w:r>
      <w:r>
        <w:rPr>
          <w:color w:val="231F20"/>
          <w:spacing w:val="-2"/>
          <w:sz w:val="20"/>
        </w:rPr>
        <w:t> </w:t>
      </w:r>
      <w:r>
        <w:rPr>
          <w:color w:val="231F20"/>
          <w:sz w:val="20"/>
        </w:rPr>
        <w:t>(«Вы</w:t>
      </w:r>
      <w:r>
        <w:rPr>
          <w:color w:val="231F20"/>
          <w:spacing w:val="-2"/>
          <w:sz w:val="20"/>
        </w:rPr>
        <w:t> </w:t>
      </w:r>
      <w:r>
        <w:rPr>
          <w:color w:val="231F20"/>
          <w:sz w:val="20"/>
        </w:rPr>
        <w:t>стремитесь</w:t>
      </w:r>
      <w:r>
        <w:rPr>
          <w:color w:val="231F20"/>
          <w:spacing w:val="-2"/>
          <w:sz w:val="20"/>
        </w:rPr>
        <w:t> </w:t>
      </w:r>
      <w:r>
        <w:rPr>
          <w:color w:val="231F20"/>
          <w:sz w:val="20"/>
        </w:rPr>
        <w:t>создать</w:t>
      </w:r>
      <w:r>
        <w:rPr>
          <w:color w:val="231F20"/>
          <w:spacing w:val="-1"/>
          <w:sz w:val="20"/>
        </w:rPr>
        <w:t> </w:t>
      </w:r>
      <w:r>
        <w:rPr>
          <w:color w:val="231F20"/>
          <w:sz w:val="20"/>
        </w:rPr>
        <w:t>для</w:t>
      </w:r>
      <w:r>
        <w:rPr>
          <w:color w:val="231F20"/>
          <w:spacing w:val="-2"/>
          <w:sz w:val="20"/>
        </w:rPr>
        <w:t> </w:t>
      </w:r>
      <w:r>
        <w:rPr>
          <w:color w:val="231F20"/>
          <w:sz w:val="20"/>
        </w:rPr>
        <w:t>ре- бенка эмоционально комфортную атмосферу»).</w:t>
      </w:r>
    </w:p>
    <w:p>
      <w:pPr>
        <w:pStyle w:val="ListParagraph"/>
        <w:numPr>
          <w:ilvl w:val="0"/>
          <w:numId w:val="90"/>
        </w:numPr>
        <w:tabs>
          <w:tab w:pos="423" w:val="left" w:leader="none"/>
          <w:tab w:pos="425" w:val="left" w:leader="none"/>
        </w:tabs>
        <w:spacing w:line="232" w:lineRule="auto" w:before="1" w:after="0"/>
        <w:ind w:left="425" w:right="139" w:hanging="284"/>
        <w:jc w:val="both"/>
        <w:rPr>
          <w:sz w:val="20"/>
        </w:rPr>
      </w:pPr>
      <w:r>
        <w:rPr>
          <w:color w:val="231F20"/>
          <w:sz w:val="20"/>
        </w:rPr>
        <w:t>Формулировать</w:t>
      </w:r>
      <w:r>
        <w:rPr>
          <w:color w:val="231F20"/>
          <w:spacing w:val="-12"/>
          <w:sz w:val="20"/>
        </w:rPr>
        <w:t> </w:t>
      </w:r>
      <w:r>
        <w:rPr>
          <w:color w:val="231F20"/>
          <w:sz w:val="20"/>
        </w:rPr>
        <w:t>общие</w:t>
      </w:r>
      <w:r>
        <w:rPr>
          <w:color w:val="231F20"/>
          <w:spacing w:val="-12"/>
          <w:sz w:val="20"/>
        </w:rPr>
        <w:t> </w:t>
      </w:r>
      <w:r>
        <w:rPr>
          <w:color w:val="231F20"/>
          <w:sz w:val="20"/>
        </w:rPr>
        <w:t>с</w:t>
      </w:r>
      <w:r>
        <w:rPr>
          <w:color w:val="231F20"/>
          <w:spacing w:val="-12"/>
          <w:sz w:val="20"/>
        </w:rPr>
        <w:t> </w:t>
      </w:r>
      <w:r>
        <w:rPr>
          <w:color w:val="231F20"/>
          <w:sz w:val="20"/>
        </w:rPr>
        <w:t>родителем</w:t>
      </w:r>
      <w:r>
        <w:rPr>
          <w:color w:val="231F20"/>
          <w:spacing w:val="-12"/>
          <w:sz w:val="20"/>
        </w:rPr>
        <w:t> </w:t>
      </w:r>
      <w:r>
        <w:rPr>
          <w:color w:val="231F20"/>
          <w:sz w:val="20"/>
        </w:rPr>
        <w:t>цели</w:t>
      </w:r>
      <w:r>
        <w:rPr>
          <w:color w:val="231F20"/>
          <w:spacing w:val="-12"/>
          <w:sz w:val="20"/>
        </w:rPr>
        <w:t> </w:t>
      </w:r>
      <w:r>
        <w:rPr>
          <w:color w:val="231F20"/>
          <w:sz w:val="20"/>
        </w:rPr>
        <w:t>и</w:t>
      </w:r>
      <w:r>
        <w:rPr>
          <w:color w:val="231F20"/>
          <w:spacing w:val="-12"/>
          <w:sz w:val="20"/>
        </w:rPr>
        <w:t> </w:t>
      </w:r>
      <w:r>
        <w:rPr>
          <w:color w:val="231F20"/>
          <w:sz w:val="20"/>
        </w:rPr>
        <w:t>ценности,</w:t>
      </w:r>
      <w:r>
        <w:rPr>
          <w:color w:val="231F20"/>
          <w:spacing w:val="-12"/>
          <w:sz w:val="20"/>
        </w:rPr>
        <w:t> </w:t>
      </w:r>
      <w:r>
        <w:rPr>
          <w:color w:val="231F20"/>
          <w:sz w:val="20"/>
        </w:rPr>
        <w:t>касающиеся</w:t>
      </w:r>
      <w:r>
        <w:rPr>
          <w:color w:val="231F20"/>
          <w:spacing w:val="-12"/>
          <w:sz w:val="20"/>
        </w:rPr>
        <w:t> </w:t>
      </w:r>
      <w:r>
        <w:rPr>
          <w:color w:val="231F20"/>
          <w:sz w:val="20"/>
        </w:rPr>
        <w:t>ребенка</w:t>
      </w:r>
      <w:r>
        <w:rPr>
          <w:color w:val="231F20"/>
          <w:spacing w:val="-12"/>
          <w:sz w:val="20"/>
        </w:rPr>
        <w:t> </w:t>
      </w:r>
      <w:r>
        <w:rPr>
          <w:color w:val="231F20"/>
          <w:sz w:val="20"/>
        </w:rPr>
        <w:t>(«И</w:t>
      </w:r>
      <w:r>
        <w:rPr>
          <w:color w:val="231F20"/>
          <w:spacing w:val="-12"/>
          <w:sz w:val="20"/>
        </w:rPr>
        <w:t> </w:t>
      </w:r>
      <w:r>
        <w:rPr>
          <w:color w:val="231F20"/>
          <w:sz w:val="20"/>
        </w:rPr>
        <w:t>для нас, и для вас важно, чтобы ребенок получил хорошее образование»).</w:t>
      </w:r>
    </w:p>
    <w:p>
      <w:pPr>
        <w:pStyle w:val="ListParagraph"/>
        <w:numPr>
          <w:ilvl w:val="0"/>
          <w:numId w:val="90"/>
        </w:numPr>
        <w:tabs>
          <w:tab w:pos="423" w:val="left" w:leader="none"/>
          <w:tab w:pos="425" w:val="left" w:leader="none"/>
        </w:tabs>
        <w:spacing w:line="232" w:lineRule="auto" w:before="2" w:after="0"/>
        <w:ind w:left="425" w:right="139" w:hanging="284"/>
        <w:jc w:val="both"/>
        <w:rPr>
          <w:sz w:val="20"/>
        </w:rPr>
      </w:pPr>
      <w:r>
        <w:rPr>
          <w:color w:val="231F20"/>
          <w:sz w:val="20"/>
        </w:rPr>
        <w:t>Поставить родителя в позицию «эксперта» («Никто не знает вашего ребенка так хорошо, как вы»).</w:t>
      </w:r>
    </w:p>
    <w:p>
      <w:pPr>
        <w:pStyle w:val="ListParagraph"/>
        <w:numPr>
          <w:ilvl w:val="0"/>
          <w:numId w:val="90"/>
        </w:numPr>
        <w:tabs>
          <w:tab w:pos="423" w:val="left" w:leader="none"/>
          <w:tab w:pos="425" w:val="left" w:leader="none"/>
        </w:tabs>
        <w:spacing w:line="232" w:lineRule="auto" w:before="1" w:after="0"/>
        <w:ind w:left="425" w:right="139" w:hanging="284"/>
        <w:jc w:val="both"/>
        <w:rPr>
          <w:sz w:val="20"/>
        </w:rPr>
      </w:pPr>
      <w:r>
        <w:rPr>
          <w:color w:val="231F20"/>
          <w:sz w:val="20"/>
        </w:rPr>
        <w:t>Обозначить</w:t>
      </w:r>
      <w:r>
        <w:rPr>
          <w:color w:val="231F20"/>
          <w:spacing w:val="-13"/>
          <w:sz w:val="20"/>
        </w:rPr>
        <w:t> </w:t>
      </w:r>
      <w:r>
        <w:rPr>
          <w:color w:val="231F20"/>
          <w:sz w:val="20"/>
        </w:rPr>
        <w:t>ресурсы,</w:t>
      </w:r>
      <w:r>
        <w:rPr>
          <w:color w:val="231F20"/>
          <w:spacing w:val="-12"/>
          <w:sz w:val="20"/>
        </w:rPr>
        <w:t> </w:t>
      </w:r>
      <w:r>
        <w:rPr>
          <w:color w:val="231F20"/>
          <w:sz w:val="20"/>
        </w:rPr>
        <w:t>имеющиеся</w:t>
      </w:r>
      <w:r>
        <w:rPr>
          <w:color w:val="231F20"/>
          <w:spacing w:val="-13"/>
          <w:sz w:val="20"/>
        </w:rPr>
        <w:t> </w:t>
      </w:r>
      <w:r>
        <w:rPr>
          <w:color w:val="231F20"/>
          <w:sz w:val="20"/>
        </w:rPr>
        <w:t>у</w:t>
      </w:r>
      <w:r>
        <w:rPr>
          <w:color w:val="231F20"/>
          <w:spacing w:val="-12"/>
          <w:sz w:val="20"/>
        </w:rPr>
        <w:t> </w:t>
      </w:r>
      <w:r>
        <w:rPr>
          <w:color w:val="231F20"/>
          <w:sz w:val="20"/>
        </w:rPr>
        <w:t>родителя:</w:t>
      </w:r>
      <w:r>
        <w:rPr>
          <w:color w:val="231F20"/>
          <w:spacing w:val="-13"/>
          <w:sz w:val="20"/>
        </w:rPr>
        <w:t> </w:t>
      </w:r>
      <w:r>
        <w:rPr>
          <w:color w:val="231F20"/>
          <w:sz w:val="20"/>
        </w:rPr>
        <w:t>характеристики</w:t>
      </w:r>
      <w:r>
        <w:rPr>
          <w:color w:val="231F20"/>
          <w:spacing w:val="-12"/>
          <w:sz w:val="20"/>
        </w:rPr>
        <w:t> </w:t>
      </w:r>
      <w:r>
        <w:rPr>
          <w:color w:val="231F20"/>
          <w:sz w:val="20"/>
        </w:rPr>
        <w:t>его</w:t>
      </w:r>
      <w:r>
        <w:rPr>
          <w:color w:val="231F20"/>
          <w:spacing w:val="-13"/>
          <w:sz w:val="20"/>
        </w:rPr>
        <w:t> </w:t>
      </w:r>
      <w:r>
        <w:rPr>
          <w:color w:val="231F20"/>
          <w:sz w:val="20"/>
        </w:rPr>
        <w:t>самого,</w:t>
      </w:r>
      <w:r>
        <w:rPr>
          <w:color w:val="231F20"/>
          <w:spacing w:val="-12"/>
          <w:sz w:val="20"/>
        </w:rPr>
        <w:t> </w:t>
      </w:r>
      <w:r>
        <w:rPr>
          <w:color w:val="231F20"/>
          <w:sz w:val="20"/>
        </w:rPr>
        <w:t>ребенка, их взаимодействия и т.п. («У вас с ребенком очень хороший контакт»).</w:t>
      </w:r>
    </w:p>
    <w:p>
      <w:pPr>
        <w:pStyle w:val="ListParagraph"/>
        <w:numPr>
          <w:ilvl w:val="0"/>
          <w:numId w:val="90"/>
        </w:numPr>
        <w:tabs>
          <w:tab w:pos="423" w:val="left" w:leader="none"/>
          <w:tab w:pos="425" w:val="left" w:leader="none"/>
        </w:tabs>
        <w:spacing w:line="232" w:lineRule="auto" w:before="2" w:after="0"/>
        <w:ind w:left="425" w:right="140" w:hanging="284"/>
        <w:jc w:val="both"/>
        <w:rPr>
          <w:sz w:val="20"/>
        </w:rPr>
      </w:pPr>
      <w:r>
        <w:rPr>
          <w:color w:val="231F20"/>
          <w:sz w:val="20"/>
        </w:rPr>
        <w:t>Получать</w:t>
      </w:r>
      <w:r>
        <w:rPr>
          <w:color w:val="231F20"/>
          <w:spacing w:val="-2"/>
          <w:sz w:val="20"/>
        </w:rPr>
        <w:t> </w:t>
      </w:r>
      <w:r>
        <w:rPr>
          <w:color w:val="231F20"/>
          <w:sz w:val="20"/>
        </w:rPr>
        <w:t>от</w:t>
      </w:r>
      <w:r>
        <w:rPr>
          <w:color w:val="231F20"/>
          <w:spacing w:val="-2"/>
          <w:sz w:val="20"/>
        </w:rPr>
        <w:t> </w:t>
      </w:r>
      <w:r>
        <w:rPr>
          <w:color w:val="231F20"/>
          <w:sz w:val="20"/>
        </w:rPr>
        <w:t>родителя</w:t>
      </w:r>
      <w:r>
        <w:rPr>
          <w:color w:val="231F20"/>
          <w:spacing w:val="-2"/>
          <w:sz w:val="20"/>
        </w:rPr>
        <w:t> </w:t>
      </w:r>
      <w:r>
        <w:rPr>
          <w:color w:val="231F20"/>
          <w:sz w:val="20"/>
        </w:rPr>
        <w:t>обратную</w:t>
      </w:r>
      <w:r>
        <w:rPr>
          <w:color w:val="231F20"/>
          <w:spacing w:val="-2"/>
          <w:sz w:val="20"/>
        </w:rPr>
        <w:t> </w:t>
      </w:r>
      <w:r>
        <w:rPr>
          <w:color w:val="231F20"/>
          <w:sz w:val="20"/>
        </w:rPr>
        <w:t>связь</w:t>
      </w:r>
      <w:r>
        <w:rPr>
          <w:color w:val="231F20"/>
          <w:spacing w:val="-2"/>
          <w:sz w:val="20"/>
        </w:rPr>
        <w:t> </w:t>
      </w:r>
      <w:r>
        <w:rPr>
          <w:color w:val="231F20"/>
          <w:sz w:val="20"/>
        </w:rPr>
        <w:t>(«Что</w:t>
      </w:r>
      <w:r>
        <w:rPr>
          <w:color w:val="231F20"/>
          <w:spacing w:val="-2"/>
          <w:sz w:val="20"/>
        </w:rPr>
        <w:t> </w:t>
      </w:r>
      <w:r>
        <w:rPr>
          <w:color w:val="231F20"/>
          <w:sz w:val="20"/>
        </w:rPr>
        <w:t>вы</w:t>
      </w:r>
      <w:r>
        <w:rPr>
          <w:color w:val="231F20"/>
          <w:spacing w:val="-2"/>
          <w:sz w:val="20"/>
        </w:rPr>
        <w:t> </w:t>
      </w:r>
      <w:r>
        <w:rPr>
          <w:color w:val="231F20"/>
          <w:sz w:val="20"/>
        </w:rPr>
        <w:t>думаете</w:t>
      </w:r>
      <w:r>
        <w:rPr>
          <w:color w:val="231F20"/>
          <w:spacing w:val="-2"/>
          <w:sz w:val="20"/>
        </w:rPr>
        <w:t> </w:t>
      </w:r>
      <w:r>
        <w:rPr>
          <w:color w:val="231F20"/>
          <w:sz w:val="20"/>
        </w:rPr>
        <w:t>по</w:t>
      </w:r>
      <w:r>
        <w:rPr>
          <w:color w:val="231F20"/>
          <w:spacing w:val="-2"/>
          <w:sz w:val="20"/>
        </w:rPr>
        <w:t> </w:t>
      </w:r>
      <w:r>
        <w:rPr>
          <w:color w:val="231F20"/>
          <w:sz w:val="20"/>
        </w:rPr>
        <w:t>поводу</w:t>
      </w:r>
      <w:r>
        <w:rPr>
          <w:color w:val="231F20"/>
          <w:spacing w:val="-2"/>
          <w:sz w:val="20"/>
        </w:rPr>
        <w:t> </w:t>
      </w:r>
      <w:r>
        <w:rPr>
          <w:color w:val="231F20"/>
          <w:sz w:val="20"/>
        </w:rPr>
        <w:t>того,</w:t>
      </w:r>
      <w:r>
        <w:rPr>
          <w:color w:val="231F20"/>
          <w:spacing w:val="-2"/>
          <w:sz w:val="20"/>
        </w:rPr>
        <w:t> </w:t>
      </w:r>
      <w:r>
        <w:rPr>
          <w:color w:val="231F20"/>
          <w:sz w:val="20"/>
        </w:rPr>
        <w:t>что</w:t>
      </w:r>
      <w:r>
        <w:rPr>
          <w:color w:val="231F20"/>
          <w:spacing w:val="-2"/>
          <w:sz w:val="20"/>
        </w:rPr>
        <w:t> </w:t>
      </w:r>
      <w:r>
        <w:rPr>
          <w:color w:val="231F20"/>
          <w:sz w:val="20"/>
        </w:rPr>
        <w:t>мы</w:t>
      </w:r>
      <w:r>
        <w:rPr>
          <w:color w:val="231F20"/>
          <w:spacing w:val="-2"/>
          <w:sz w:val="20"/>
        </w:rPr>
        <w:t> </w:t>
      </w:r>
      <w:r>
        <w:rPr>
          <w:color w:val="231F20"/>
          <w:sz w:val="20"/>
        </w:rPr>
        <w:t>с вами обсуждали?»).</w:t>
      </w:r>
    </w:p>
    <w:p>
      <w:pPr>
        <w:pStyle w:val="BodyText"/>
        <w:spacing w:line="232" w:lineRule="auto" w:before="2"/>
      </w:pPr>
      <w:r>
        <w:rPr>
          <w:color w:val="231F20"/>
        </w:rPr>
        <w:t>Приведем</w:t>
      </w:r>
      <w:r>
        <w:rPr>
          <w:color w:val="231F20"/>
          <w:spacing w:val="-11"/>
        </w:rPr>
        <w:t> </w:t>
      </w:r>
      <w:r>
        <w:rPr>
          <w:color w:val="231F20"/>
        </w:rPr>
        <w:t>наиболее</w:t>
      </w:r>
      <w:r>
        <w:rPr>
          <w:color w:val="231F20"/>
          <w:spacing w:val="-11"/>
        </w:rPr>
        <w:t> </w:t>
      </w:r>
      <w:r>
        <w:rPr>
          <w:color w:val="231F20"/>
        </w:rPr>
        <w:t>общие</w:t>
      </w:r>
      <w:r>
        <w:rPr>
          <w:color w:val="231F20"/>
          <w:spacing w:val="-11"/>
        </w:rPr>
        <w:t> </w:t>
      </w:r>
      <w:r>
        <w:rPr>
          <w:color w:val="231F20"/>
        </w:rPr>
        <w:t>рекомендации</w:t>
      </w:r>
      <w:r>
        <w:rPr>
          <w:color w:val="231F20"/>
          <w:spacing w:val="-11"/>
        </w:rPr>
        <w:t> </w:t>
      </w:r>
      <w:r>
        <w:rPr>
          <w:color w:val="231F20"/>
        </w:rPr>
        <w:t>для</w:t>
      </w:r>
      <w:r>
        <w:rPr>
          <w:color w:val="231F20"/>
          <w:spacing w:val="-11"/>
        </w:rPr>
        <w:t> </w:t>
      </w:r>
      <w:r>
        <w:rPr>
          <w:color w:val="231F20"/>
        </w:rPr>
        <w:t>начального</w:t>
      </w:r>
      <w:r>
        <w:rPr>
          <w:color w:val="231F20"/>
          <w:spacing w:val="-11"/>
        </w:rPr>
        <w:t> </w:t>
      </w:r>
      <w:r>
        <w:rPr>
          <w:color w:val="231F20"/>
        </w:rPr>
        <w:t>этапа</w:t>
      </w:r>
      <w:r>
        <w:rPr>
          <w:color w:val="231F20"/>
          <w:spacing w:val="-11"/>
        </w:rPr>
        <w:t> </w:t>
      </w:r>
      <w:r>
        <w:rPr>
          <w:color w:val="231F20"/>
        </w:rPr>
        <w:t>работы</w:t>
      </w:r>
      <w:r>
        <w:rPr>
          <w:color w:val="231F20"/>
          <w:spacing w:val="-11"/>
        </w:rPr>
        <w:t> </w:t>
      </w:r>
      <w:r>
        <w:rPr>
          <w:color w:val="231F20"/>
        </w:rPr>
        <w:t>с</w:t>
      </w:r>
      <w:r>
        <w:rPr>
          <w:color w:val="231F20"/>
          <w:spacing w:val="-11"/>
        </w:rPr>
        <w:t> </w:t>
      </w:r>
      <w:r>
        <w:rPr>
          <w:color w:val="231F20"/>
        </w:rPr>
        <w:t>инокуль- турными клиентами, которые могут быть полезны школьному психологу, работаю- щему с родителями-мигрантами (Sommers-Flanagan J., Sommers-Flanagan R., 2003).</w:t>
      </w:r>
    </w:p>
    <w:p>
      <w:pPr>
        <w:spacing w:line="224" w:lineRule="exact" w:before="0"/>
        <w:ind w:left="425" w:right="0" w:firstLine="0"/>
        <w:jc w:val="both"/>
        <w:rPr>
          <w:i/>
          <w:sz w:val="20"/>
        </w:rPr>
      </w:pPr>
      <w:r>
        <w:rPr>
          <w:i/>
          <w:color w:val="231F20"/>
          <w:sz w:val="20"/>
        </w:rPr>
        <w:t>Общая</w:t>
      </w:r>
      <w:r>
        <w:rPr>
          <w:i/>
          <w:color w:val="231F20"/>
          <w:spacing w:val="5"/>
          <w:sz w:val="20"/>
        </w:rPr>
        <w:t> </w:t>
      </w:r>
      <w:r>
        <w:rPr>
          <w:i/>
          <w:color w:val="231F20"/>
          <w:spacing w:val="-2"/>
          <w:sz w:val="20"/>
        </w:rPr>
        <w:t>информация</w:t>
      </w:r>
    </w:p>
    <w:p>
      <w:pPr>
        <w:pStyle w:val="ListParagraph"/>
        <w:numPr>
          <w:ilvl w:val="0"/>
          <w:numId w:val="91"/>
        </w:numPr>
        <w:tabs>
          <w:tab w:pos="425" w:val="left" w:leader="none"/>
        </w:tabs>
        <w:spacing w:line="237" w:lineRule="auto" w:before="0" w:after="0"/>
        <w:ind w:left="425" w:right="139" w:hanging="284"/>
        <w:jc w:val="both"/>
        <w:rPr>
          <w:sz w:val="20"/>
        </w:rPr>
      </w:pPr>
      <w:r>
        <w:rPr>
          <w:color w:val="231F20"/>
          <w:sz w:val="20"/>
        </w:rPr>
        <w:t>Расспрашивайте</w:t>
      </w:r>
      <w:r>
        <w:rPr>
          <w:color w:val="231F20"/>
          <w:spacing w:val="-2"/>
          <w:sz w:val="20"/>
        </w:rPr>
        <w:t> </w:t>
      </w:r>
      <w:r>
        <w:rPr>
          <w:color w:val="231F20"/>
          <w:sz w:val="20"/>
        </w:rPr>
        <w:t>об</w:t>
      </w:r>
      <w:r>
        <w:rPr>
          <w:color w:val="231F20"/>
          <w:spacing w:val="-2"/>
          <w:sz w:val="20"/>
        </w:rPr>
        <w:t> </w:t>
      </w:r>
      <w:r>
        <w:rPr>
          <w:color w:val="231F20"/>
          <w:sz w:val="20"/>
        </w:rPr>
        <w:t>этнических,</w:t>
      </w:r>
      <w:r>
        <w:rPr>
          <w:color w:val="231F20"/>
          <w:spacing w:val="-2"/>
          <w:sz w:val="20"/>
        </w:rPr>
        <w:t> </w:t>
      </w:r>
      <w:r>
        <w:rPr>
          <w:color w:val="231F20"/>
          <w:sz w:val="20"/>
        </w:rPr>
        <w:t>культурных,</w:t>
      </w:r>
      <w:r>
        <w:rPr>
          <w:color w:val="231F20"/>
          <w:spacing w:val="-2"/>
          <w:sz w:val="20"/>
        </w:rPr>
        <w:t> </w:t>
      </w:r>
      <w:r>
        <w:rPr>
          <w:color w:val="231F20"/>
          <w:sz w:val="20"/>
        </w:rPr>
        <w:t>племенных</w:t>
      </w:r>
      <w:r>
        <w:rPr>
          <w:color w:val="231F20"/>
          <w:spacing w:val="-2"/>
          <w:sz w:val="20"/>
        </w:rPr>
        <w:t> </w:t>
      </w:r>
      <w:r>
        <w:rPr>
          <w:color w:val="231F20"/>
          <w:sz w:val="20"/>
        </w:rPr>
        <w:t>и</w:t>
      </w:r>
      <w:r>
        <w:rPr>
          <w:color w:val="231F20"/>
          <w:spacing w:val="-2"/>
          <w:sz w:val="20"/>
        </w:rPr>
        <w:t> </w:t>
      </w:r>
      <w:r>
        <w:rPr>
          <w:color w:val="231F20"/>
          <w:sz w:val="20"/>
        </w:rPr>
        <w:t>прочих</w:t>
      </w:r>
      <w:r>
        <w:rPr>
          <w:color w:val="231F20"/>
          <w:spacing w:val="-2"/>
          <w:sz w:val="20"/>
        </w:rPr>
        <w:t> </w:t>
      </w:r>
      <w:r>
        <w:rPr>
          <w:color w:val="231F20"/>
          <w:sz w:val="20"/>
        </w:rPr>
        <w:t>различиях,</w:t>
      </w:r>
      <w:r>
        <w:rPr>
          <w:color w:val="231F20"/>
          <w:spacing w:val="-2"/>
          <w:sz w:val="20"/>
        </w:rPr>
        <w:t> </w:t>
      </w:r>
      <w:r>
        <w:rPr>
          <w:color w:val="231F20"/>
          <w:sz w:val="20"/>
        </w:rPr>
        <w:t>ко- торые</w:t>
      </w:r>
      <w:r>
        <w:rPr>
          <w:color w:val="231F20"/>
          <w:spacing w:val="-7"/>
          <w:sz w:val="20"/>
        </w:rPr>
        <w:t> </w:t>
      </w:r>
      <w:r>
        <w:rPr>
          <w:color w:val="231F20"/>
          <w:sz w:val="20"/>
        </w:rPr>
        <w:t>очевидны</w:t>
      </w:r>
      <w:r>
        <w:rPr>
          <w:color w:val="231F20"/>
          <w:spacing w:val="-7"/>
          <w:sz w:val="20"/>
        </w:rPr>
        <w:t> </w:t>
      </w:r>
      <w:r>
        <w:rPr>
          <w:color w:val="231F20"/>
          <w:sz w:val="20"/>
        </w:rPr>
        <w:t>или</w:t>
      </w:r>
      <w:r>
        <w:rPr>
          <w:color w:val="231F20"/>
          <w:spacing w:val="-7"/>
          <w:sz w:val="20"/>
        </w:rPr>
        <w:t> </w:t>
      </w:r>
      <w:r>
        <w:rPr>
          <w:color w:val="231F20"/>
          <w:sz w:val="20"/>
        </w:rPr>
        <w:t>становятся</w:t>
      </w:r>
      <w:r>
        <w:rPr>
          <w:color w:val="231F20"/>
          <w:spacing w:val="-7"/>
          <w:sz w:val="20"/>
        </w:rPr>
        <w:t> </w:t>
      </w:r>
      <w:r>
        <w:rPr>
          <w:color w:val="231F20"/>
          <w:sz w:val="20"/>
        </w:rPr>
        <w:t>очевидными</w:t>
      </w:r>
      <w:r>
        <w:rPr>
          <w:color w:val="231F20"/>
          <w:spacing w:val="-7"/>
          <w:sz w:val="20"/>
        </w:rPr>
        <w:t> </w:t>
      </w:r>
      <w:r>
        <w:rPr>
          <w:color w:val="231F20"/>
          <w:sz w:val="20"/>
        </w:rPr>
        <w:t>по</w:t>
      </w:r>
      <w:r>
        <w:rPr>
          <w:color w:val="231F20"/>
          <w:spacing w:val="-7"/>
          <w:sz w:val="20"/>
        </w:rPr>
        <w:t> </w:t>
      </w:r>
      <w:r>
        <w:rPr>
          <w:color w:val="231F20"/>
          <w:sz w:val="20"/>
        </w:rPr>
        <w:t>итогам</w:t>
      </w:r>
      <w:r>
        <w:rPr>
          <w:color w:val="231F20"/>
          <w:spacing w:val="-7"/>
          <w:sz w:val="20"/>
        </w:rPr>
        <w:t> </w:t>
      </w:r>
      <w:r>
        <w:rPr>
          <w:color w:val="231F20"/>
          <w:sz w:val="20"/>
        </w:rPr>
        <w:t>информации,</w:t>
      </w:r>
      <w:r>
        <w:rPr>
          <w:color w:val="231F20"/>
          <w:spacing w:val="-7"/>
          <w:sz w:val="20"/>
        </w:rPr>
        <w:t> </w:t>
      </w:r>
      <w:r>
        <w:rPr>
          <w:color w:val="231F20"/>
          <w:sz w:val="20"/>
        </w:rPr>
        <w:t>полученной от клиента.</w:t>
      </w:r>
    </w:p>
    <w:p>
      <w:pPr>
        <w:pStyle w:val="ListParagraph"/>
        <w:spacing w:after="0" w:line="237" w:lineRule="auto"/>
        <w:jc w:val="both"/>
        <w:rPr>
          <w:sz w:val="20"/>
        </w:rPr>
        <w:sectPr>
          <w:pgSz w:w="8400" w:h="11910"/>
          <w:pgMar w:header="0" w:footer="535" w:top="400" w:bottom="740" w:left="425" w:right="425"/>
        </w:sectPr>
      </w:pPr>
    </w:p>
    <w:p>
      <w:pPr>
        <w:spacing w:before="80"/>
        <w:ind w:left="141" w:right="139" w:firstLine="0"/>
        <w:jc w:val="right"/>
        <w:rPr>
          <w:rFonts w:ascii="Georgia" w:hAnsi="Georgia"/>
          <w:sz w:val="18"/>
        </w:rPr>
      </w:pPr>
      <w:bookmarkStart w:name="_bookmark57" w:id="59"/>
      <w:bookmarkEnd w:id="59"/>
      <w:r>
        <w:rPr/>
      </w:r>
      <w:r>
        <w:rPr>
          <w:rFonts w:ascii="Georgia" w:hAnsi="Georgia"/>
          <w:color w:val="231F20"/>
          <w:spacing w:val="-2"/>
          <w:sz w:val="18"/>
        </w:rPr>
        <w:t>Раздел</w:t>
      </w:r>
      <w:r>
        <w:rPr>
          <w:rFonts w:ascii="Georgia" w:hAnsi="Georgia"/>
          <w:color w:val="231F20"/>
          <w:spacing w:val="-5"/>
          <w:sz w:val="18"/>
        </w:rPr>
        <w:t> 3.</w:t>
      </w:r>
    </w:p>
    <w:p>
      <w:pPr>
        <w:pStyle w:val="ListParagraph"/>
        <w:numPr>
          <w:ilvl w:val="0"/>
          <w:numId w:val="91"/>
        </w:numPr>
        <w:tabs>
          <w:tab w:pos="425" w:val="left" w:leader="none"/>
        </w:tabs>
        <w:spacing w:line="235" w:lineRule="auto" w:before="116" w:after="0"/>
        <w:ind w:left="425" w:right="139" w:hanging="284"/>
        <w:jc w:val="both"/>
        <w:rPr>
          <w:sz w:val="20"/>
        </w:rPr>
      </w:pPr>
      <w:r>
        <w:rPr>
          <w:color w:val="231F20"/>
          <w:sz w:val="20"/>
        </w:rPr>
        <w:t>Не настаивайте на более глубоком исследовании этих различий, если клиент к этому не готов.</w:t>
      </w:r>
    </w:p>
    <w:p>
      <w:pPr>
        <w:pStyle w:val="ListParagraph"/>
        <w:numPr>
          <w:ilvl w:val="0"/>
          <w:numId w:val="91"/>
        </w:numPr>
        <w:tabs>
          <w:tab w:pos="425" w:val="left" w:leader="none"/>
        </w:tabs>
        <w:spacing w:line="235" w:lineRule="auto" w:before="1" w:after="0"/>
        <w:ind w:left="425" w:right="139" w:hanging="284"/>
        <w:jc w:val="both"/>
        <w:rPr>
          <w:sz w:val="20"/>
        </w:rPr>
      </w:pPr>
      <w:r>
        <w:rPr>
          <w:color w:val="231F20"/>
          <w:sz w:val="20"/>
        </w:rPr>
        <w:t>Осознайте,</w:t>
      </w:r>
      <w:r>
        <w:rPr>
          <w:color w:val="231F20"/>
          <w:spacing w:val="-10"/>
          <w:sz w:val="20"/>
        </w:rPr>
        <w:t> </w:t>
      </w:r>
      <w:r>
        <w:rPr>
          <w:color w:val="231F20"/>
          <w:sz w:val="20"/>
        </w:rPr>
        <w:t>что</w:t>
      </w:r>
      <w:r>
        <w:rPr>
          <w:color w:val="231F20"/>
          <w:spacing w:val="-10"/>
          <w:sz w:val="20"/>
        </w:rPr>
        <w:t> </w:t>
      </w:r>
      <w:r>
        <w:rPr>
          <w:color w:val="231F20"/>
          <w:sz w:val="20"/>
        </w:rPr>
        <w:t>культурная</w:t>
      </w:r>
      <w:r>
        <w:rPr>
          <w:color w:val="231F20"/>
          <w:spacing w:val="-10"/>
          <w:sz w:val="20"/>
        </w:rPr>
        <w:t> </w:t>
      </w:r>
      <w:r>
        <w:rPr>
          <w:color w:val="231F20"/>
          <w:sz w:val="20"/>
        </w:rPr>
        <w:t>идентичность</w:t>
      </w:r>
      <w:r>
        <w:rPr>
          <w:color w:val="231F20"/>
          <w:spacing w:val="-10"/>
          <w:sz w:val="20"/>
        </w:rPr>
        <w:t> </w:t>
      </w:r>
      <w:r>
        <w:rPr>
          <w:color w:val="231F20"/>
          <w:sz w:val="20"/>
        </w:rPr>
        <w:t>и</w:t>
      </w:r>
      <w:r>
        <w:rPr>
          <w:color w:val="231F20"/>
          <w:spacing w:val="-10"/>
          <w:sz w:val="20"/>
        </w:rPr>
        <w:t> </w:t>
      </w:r>
      <w:r>
        <w:rPr>
          <w:color w:val="231F20"/>
          <w:sz w:val="20"/>
        </w:rPr>
        <w:t>степень</w:t>
      </w:r>
      <w:r>
        <w:rPr>
          <w:color w:val="231F20"/>
          <w:spacing w:val="-10"/>
          <w:sz w:val="20"/>
        </w:rPr>
        <w:t> </w:t>
      </w:r>
      <w:r>
        <w:rPr>
          <w:color w:val="231F20"/>
          <w:sz w:val="20"/>
        </w:rPr>
        <w:t>аккультурации</w:t>
      </w:r>
      <w:r>
        <w:rPr>
          <w:color w:val="231F20"/>
          <w:spacing w:val="-10"/>
          <w:sz w:val="20"/>
        </w:rPr>
        <w:t> </w:t>
      </w:r>
      <w:r>
        <w:rPr>
          <w:color w:val="231F20"/>
          <w:sz w:val="20"/>
        </w:rPr>
        <w:t>гибки</w:t>
      </w:r>
      <w:r>
        <w:rPr>
          <w:color w:val="231F20"/>
          <w:spacing w:val="-10"/>
          <w:sz w:val="20"/>
        </w:rPr>
        <w:t> </w:t>
      </w:r>
      <w:r>
        <w:rPr>
          <w:color w:val="231F20"/>
          <w:sz w:val="20"/>
        </w:rPr>
        <w:t>и</w:t>
      </w:r>
      <w:r>
        <w:rPr>
          <w:color w:val="231F20"/>
          <w:spacing w:val="-10"/>
          <w:sz w:val="20"/>
        </w:rPr>
        <w:t> </w:t>
      </w:r>
      <w:r>
        <w:rPr>
          <w:color w:val="231F20"/>
          <w:sz w:val="20"/>
        </w:rPr>
        <w:t>измен- </w:t>
      </w:r>
      <w:r>
        <w:rPr>
          <w:color w:val="231F20"/>
          <w:spacing w:val="-2"/>
          <w:sz w:val="20"/>
        </w:rPr>
        <w:t>чивы.</w:t>
      </w:r>
    </w:p>
    <w:p>
      <w:pPr>
        <w:pStyle w:val="ListParagraph"/>
        <w:numPr>
          <w:ilvl w:val="0"/>
          <w:numId w:val="91"/>
        </w:numPr>
        <w:tabs>
          <w:tab w:pos="425" w:val="left" w:leader="none"/>
        </w:tabs>
        <w:spacing w:line="235" w:lineRule="auto" w:before="1" w:after="0"/>
        <w:ind w:left="425" w:right="139" w:hanging="284"/>
        <w:jc w:val="both"/>
        <w:rPr>
          <w:sz w:val="20"/>
        </w:rPr>
      </w:pPr>
      <w:r>
        <w:rPr>
          <w:color w:val="231F20"/>
          <w:sz w:val="20"/>
        </w:rPr>
        <w:t>Не</w:t>
      </w:r>
      <w:r>
        <w:rPr>
          <w:color w:val="231F20"/>
          <w:spacing w:val="-13"/>
          <w:sz w:val="20"/>
        </w:rPr>
        <w:t> </w:t>
      </w:r>
      <w:r>
        <w:rPr>
          <w:color w:val="231F20"/>
          <w:sz w:val="20"/>
        </w:rPr>
        <w:t>думайте,</w:t>
      </w:r>
      <w:r>
        <w:rPr>
          <w:color w:val="231F20"/>
          <w:spacing w:val="-12"/>
          <w:sz w:val="20"/>
        </w:rPr>
        <w:t> </w:t>
      </w:r>
      <w:r>
        <w:rPr>
          <w:color w:val="231F20"/>
          <w:sz w:val="20"/>
        </w:rPr>
        <w:t>что</w:t>
      </w:r>
      <w:r>
        <w:rPr>
          <w:color w:val="231F20"/>
          <w:spacing w:val="-13"/>
          <w:sz w:val="20"/>
        </w:rPr>
        <w:t> </w:t>
      </w:r>
      <w:r>
        <w:rPr>
          <w:color w:val="231F20"/>
          <w:sz w:val="20"/>
        </w:rPr>
        <w:t>члены</w:t>
      </w:r>
      <w:r>
        <w:rPr>
          <w:color w:val="231F20"/>
          <w:spacing w:val="-12"/>
          <w:sz w:val="20"/>
        </w:rPr>
        <w:t> </w:t>
      </w:r>
      <w:r>
        <w:rPr>
          <w:color w:val="231F20"/>
          <w:sz w:val="20"/>
        </w:rPr>
        <w:t>одной</w:t>
      </w:r>
      <w:r>
        <w:rPr>
          <w:color w:val="231F20"/>
          <w:spacing w:val="-13"/>
          <w:sz w:val="20"/>
        </w:rPr>
        <w:t> </w:t>
      </w:r>
      <w:r>
        <w:rPr>
          <w:color w:val="231F20"/>
          <w:sz w:val="20"/>
        </w:rPr>
        <w:t>и</w:t>
      </w:r>
      <w:r>
        <w:rPr>
          <w:color w:val="231F20"/>
          <w:spacing w:val="-12"/>
          <w:sz w:val="20"/>
        </w:rPr>
        <w:t> </w:t>
      </w:r>
      <w:r>
        <w:rPr>
          <w:color w:val="231F20"/>
          <w:sz w:val="20"/>
        </w:rPr>
        <w:t>той</w:t>
      </w:r>
      <w:r>
        <w:rPr>
          <w:color w:val="231F20"/>
          <w:spacing w:val="-13"/>
          <w:sz w:val="20"/>
        </w:rPr>
        <w:t> </w:t>
      </w:r>
      <w:r>
        <w:rPr>
          <w:color w:val="231F20"/>
          <w:sz w:val="20"/>
        </w:rPr>
        <w:t>же</w:t>
      </w:r>
      <w:r>
        <w:rPr>
          <w:color w:val="231F20"/>
          <w:spacing w:val="-12"/>
          <w:sz w:val="20"/>
        </w:rPr>
        <w:t> </w:t>
      </w:r>
      <w:r>
        <w:rPr>
          <w:color w:val="231F20"/>
          <w:sz w:val="20"/>
        </w:rPr>
        <w:t>семьи</w:t>
      </w:r>
      <w:r>
        <w:rPr>
          <w:color w:val="231F20"/>
          <w:spacing w:val="-13"/>
          <w:sz w:val="20"/>
        </w:rPr>
        <w:t> </w:t>
      </w:r>
      <w:r>
        <w:rPr>
          <w:color w:val="231F20"/>
          <w:sz w:val="20"/>
        </w:rPr>
        <w:t>или</w:t>
      </w:r>
      <w:r>
        <w:rPr>
          <w:color w:val="231F20"/>
          <w:spacing w:val="-12"/>
          <w:sz w:val="20"/>
        </w:rPr>
        <w:t> </w:t>
      </w:r>
      <w:r>
        <w:rPr>
          <w:color w:val="231F20"/>
          <w:sz w:val="20"/>
        </w:rPr>
        <w:t>пары</w:t>
      </w:r>
      <w:r>
        <w:rPr>
          <w:color w:val="231F20"/>
          <w:spacing w:val="-13"/>
          <w:sz w:val="20"/>
        </w:rPr>
        <w:t> </w:t>
      </w:r>
      <w:r>
        <w:rPr>
          <w:color w:val="231F20"/>
          <w:sz w:val="20"/>
        </w:rPr>
        <w:t>имеют</w:t>
      </w:r>
      <w:r>
        <w:rPr>
          <w:color w:val="231F20"/>
          <w:spacing w:val="-12"/>
          <w:sz w:val="20"/>
        </w:rPr>
        <w:t> </w:t>
      </w:r>
      <w:r>
        <w:rPr>
          <w:color w:val="231F20"/>
          <w:sz w:val="20"/>
        </w:rPr>
        <w:t>одинаковый</w:t>
      </w:r>
      <w:r>
        <w:rPr>
          <w:color w:val="231F20"/>
          <w:spacing w:val="-13"/>
          <w:sz w:val="20"/>
        </w:rPr>
        <w:t> </w:t>
      </w:r>
      <w:r>
        <w:rPr>
          <w:color w:val="231F20"/>
          <w:sz w:val="20"/>
        </w:rPr>
        <w:t>уровень идентификации</w:t>
      </w:r>
      <w:r>
        <w:rPr>
          <w:color w:val="231F20"/>
          <w:spacing w:val="-9"/>
          <w:sz w:val="20"/>
        </w:rPr>
        <w:t> </w:t>
      </w:r>
      <w:r>
        <w:rPr>
          <w:color w:val="231F20"/>
          <w:sz w:val="20"/>
        </w:rPr>
        <w:t>с</w:t>
      </w:r>
      <w:r>
        <w:rPr>
          <w:color w:val="231F20"/>
          <w:spacing w:val="-9"/>
          <w:sz w:val="20"/>
        </w:rPr>
        <w:t> </w:t>
      </w:r>
      <w:r>
        <w:rPr>
          <w:color w:val="231F20"/>
          <w:sz w:val="20"/>
        </w:rPr>
        <w:t>культурой</w:t>
      </w:r>
      <w:r>
        <w:rPr>
          <w:color w:val="231F20"/>
          <w:spacing w:val="-9"/>
          <w:sz w:val="20"/>
        </w:rPr>
        <w:t> </w:t>
      </w:r>
      <w:r>
        <w:rPr>
          <w:color w:val="231F20"/>
          <w:sz w:val="20"/>
        </w:rPr>
        <w:t>или</w:t>
      </w:r>
      <w:r>
        <w:rPr>
          <w:color w:val="231F20"/>
          <w:spacing w:val="-9"/>
          <w:sz w:val="20"/>
        </w:rPr>
        <w:t> </w:t>
      </w:r>
      <w:r>
        <w:rPr>
          <w:color w:val="231F20"/>
          <w:sz w:val="20"/>
        </w:rPr>
        <w:t>одинаковый</w:t>
      </w:r>
      <w:r>
        <w:rPr>
          <w:color w:val="231F20"/>
          <w:spacing w:val="-9"/>
          <w:sz w:val="20"/>
        </w:rPr>
        <w:t> </w:t>
      </w:r>
      <w:r>
        <w:rPr>
          <w:color w:val="231F20"/>
          <w:sz w:val="20"/>
        </w:rPr>
        <w:t>опыт</w:t>
      </w:r>
      <w:r>
        <w:rPr>
          <w:color w:val="231F20"/>
          <w:spacing w:val="-9"/>
          <w:sz w:val="20"/>
        </w:rPr>
        <w:t> </w:t>
      </w:r>
      <w:r>
        <w:rPr>
          <w:color w:val="231F20"/>
          <w:sz w:val="20"/>
        </w:rPr>
        <w:t>взаимодействия</w:t>
      </w:r>
      <w:r>
        <w:rPr>
          <w:color w:val="231F20"/>
          <w:spacing w:val="-9"/>
          <w:sz w:val="20"/>
        </w:rPr>
        <w:t> </w:t>
      </w:r>
      <w:r>
        <w:rPr>
          <w:color w:val="231F20"/>
          <w:sz w:val="20"/>
        </w:rPr>
        <w:t>с</w:t>
      </w:r>
      <w:r>
        <w:rPr>
          <w:color w:val="231F20"/>
          <w:spacing w:val="-9"/>
          <w:sz w:val="20"/>
        </w:rPr>
        <w:t> </w:t>
      </w:r>
      <w:r>
        <w:rPr>
          <w:color w:val="231F20"/>
          <w:sz w:val="20"/>
        </w:rPr>
        <w:t>доминирую- щей культурой.</w:t>
      </w:r>
    </w:p>
    <w:p>
      <w:pPr>
        <w:spacing w:line="226" w:lineRule="exact" w:before="0"/>
        <w:ind w:left="425" w:right="0" w:firstLine="0"/>
        <w:jc w:val="left"/>
        <w:rPr>
          <w:i/>
          <w:sz w:val="20"/>
        </w:rPr>
      </w:pPr>
      <w:r>
        <w:rPr>
          <w:i/>
          <w:color w:val="231F20"/>
          <w:spacing w:val="-2"/>
          <w:sz w:val="20"/>
        </w:rPr>
        <w:t>Семья</w:t>
      </w:r>
    </w:p>
    <w:p>
      <w:pPr>
        <w:pStyle w:val="ListParagraph"/>
        <w:numPr>
          <w:ilvl w:val="0"/>
          <w:numId w:val="92"/>
        </w:numPr>
        <w:tabs>
          <w:tab w:pos="425" w:val="left" w:leader="none"/>
        </w:tabs>
        <w:spacing w:line="235" w:lineRule="auto" w:before="2" w:after="0"/>
        <w:ind w:left="425" w:right="139" w:hanging="284"/>
        <w:jc w:val="both"/>
        <w:rPr>
          <w:sz w:val="20"/>
        </w:rPr>
      </w:pPr>
      <w:r>
        <w:rPr>
          <w:color w:val="231F20"/>
          <w:sz w:val="20"/>
        </w:rPr>
        <w:t>Признайте,</w:t>
      </w:r>
      <w:r>
        <w:rPr>
          <w:color w:val="231F20"/>
          <w:spacing w:val="-7"/>
          <w:sz w:val="20"/>
        </w:rPr>
        <w:t> </w:t>
      </w:r>
      <w:r>
        <w:rPr>
          <w:color w:val="231F20"/>
          <w:sz w:val="20"/>
        </w:rPr>
        <w:t>что</w:t>
      </w:r>
      <w:r>
        <w:rPr>
          <w:color w:val="231F20"/>
          <w:spacing w:val="-7"/>
          <w:sz w:val="20"/>
        </w:rPr>
        <w:t> </w:t>
      </w:r>
      <w:r>
        <w:rPr>
          <w:color w:val="231F20"/>
          <w:sz w:val="20"/>
        </w:rPr>
        <w:t>во</w:t>
      </w:r>
      <w:r>
        <w:rPr>
          <w:color w:val="231F20"/>
          <w:spacing w:val="-7"/>
          <w:sz w:val="20"/>
        </w:rPr>
        <w:t> </w:t>
      </w:r>
      <w:r>
        <w:rPr>
          <w:color w:val="231F20"/>
          <w:sz w:val="20"/>
        </w:rPr>
        <w:t>многих</w:t>
      </w:r>
      <w:r>
        <w:rPr>
          <w:color w:val="231F20"/>
          <w:spacing w:val="-7"/>
          <w:sz w:val="20"/>
        </w:rPr>
        <w:t> </w:t>
      </w:r>
      <w:r>
        <w:rPr>
          <w:color w:val="231F20"/>
          <w:sz w:val="20"/>
        </w:rPr>
        <w:t>культурах</w:t>
      </w:r>
      <w:r>
        <w:rPr>
          <w:color w:val="231F20"/>
          <w:spacing w:val="-7"/>
          <w:sz w:val="20"/>
        </w:rPr>
        <w:t> </w:t>
      </w:r>
      <w:r>
        <w:rPr>
          <w:color w:val="231F20"/>
          <w:sz w:val="20"/>
        </w:rPr>
        <w:t>семья</w:t>
      </w:r>
      <w:r>
        <w:rPr>
          <w:color w:val="231F20"/>
          <w:spacing w:val="-7"/>
          <w:sz w:val="20"/>
        </w:rPr>
        <w:t> </w:t>
      </w:r>
      <w:r>
        <w:rPr>
          <w:color w:val="231F20"/>
          <w:sz w:val="20"/>
        </w:rPr>
        <w:t>играет</w:t>
      </w:r>
      <w:r>
        <w:rPr>
          <w:color w:val="231F20"/>
          <w:spacing w:val="-7"/>
          <w:sz w:val="20"/>
        </w:rPr>
        <w:t> </w:t>
      </w:r>
      <w:r>
        <w:rPr>
          <w:color w:val="231F20"/>
          <w:sz w:val="20"/>
        </w:rPr>
        <w:t>центральную</w:t>
      </w:r>
      <w:r>
        <w:rPr>
          <w:color w:val="231F20"/>
          <w:spacing w:val="-7"/>
          <w:sz w:val="20"/>
        </w:rPr>
        <w:t> </w:t>
      </w:r>
      <w:r>
        <w:rPr>
          <w:color w:val="231F20"/>
          <w:sz w:val="20"/>
        </w:rPr>
        <w:t>роль,</w:t>
      </w:r>
      <w:r>
        <w:rPr>
          <w:color w:val="231F20"/>
          <w:spacing w:val="-7"/>
          <w:sz w:val="20"/>
        </w:rPr>
        <w:t> </w:t>
      </w:r>
      <w:r>
        <w:rPr>
          <w:color w:val="231F20"/>
          <w:sz w:val="20"/>
        </w:rPr>
        <w:t>поэтому</w:t>
      </w:r>
      <w:r>
        <w:rPr>
          <w:color w:val="231F20"/>
          <w:spacing w:val="-7"/>
          <w:sz w:val="20"/>
        </w:rPr>
        <w:t> </w:t>
      </w:r>
      <w:r>
        <w:rPr>
          <w:color w:val="231F20"/>
          <w:sz w:val="20"/>
        </w:rPr>
        <w:t>об- ходитесь с семейными темами с особым вниманием и эмпатией.</w:t>
      </w:r>
    </w:p>
    <w:p>
      <w:pPr>
        <w:pStyle w:val="ListParagraph"/>
        <w:numPr>
          <w:ilvl w:val="0"/>
          <w:numId w:val="92"/>
        </w:numPr>
        <w:tabs>
          <w:tab w:pos="425" w:val="left" w:leader="none"/>
        </w:tabs>
        <w:spacing w:line="235" w:lineRule="auto" w:before="1" w:after="0"/>
        <w:ind w:left="425" w:right="139" w:hanging="284"/>
        <w:jc w:val="both"/>
        <w:rPr>
          <w:sz w:val="20"/>
        </w:rPr>
      </w:pPr>
      <w:r>
        <w:rPr>
          <w:color w:val="231F20"/>
          <w:sz w:val="20"/>
        </w:rPr>
        <w:t>Не навязывайте клиенту свое собственное определение семьи или определение, которое вы прочитали применительно к культуре клиента. Будьте открыты</w:t>
      </w:r>
      <w:r>
        <w:rPr>
          <w:color w:val="231F20"/>
          <w:spacing w:val="-1"/>
          <w:sz w:val="20"/>
        </w:rPr>
        <w:t> </w:t>
      </w:r>
      <w:r>
        <w:rPr>
          <w:color w:val="231F20"/>
          <w:sz w:val="20"/>
        </w:rPr>
        <w:t>тому, как клиент сам воспринимает свою семью.</w:t>
      </w:r>
    </w:p>
    <w:p>
      <w:pPr>
        <w:pStyle w:val="ListParagraph"/>
        <w:numPr>
          <w:ilvl w:val="0"/>
          <w:numId w:val="92"/>
        </w:numPr>
        <w:tabs>
          <w:tab w:pos="425" w:val="left" w:leader="none"/>
        </w:tabs>
        <w:spacing w:line="235" w:lineRule="auto" w:before="2" w:after="0"/>
        <w:ind w:left="425" w:right="139" w:hanging="284"/>
        <w:jc w:val="both"/>
        <w:rPr>
          <w:sz w:val="20"/>
        </w:rPr>
      </w:pPr>
      <w:r>
        <w:rPr>
          <w:color w:val="231F20"/>
          <w:sz w:val="20"/>
        </w:rPr>
        <w:t>Позвольте некоторым членам семьи прийти на первичную встречу, если они на- стаивают на этом.</w:t>
      </w:r>
    </w:p>
    <w:p>
      <w:pPr>
        <w:spacing w:line="225" w:lineRule="exact" w:before="0"/>
        <w:ind w:left="425" w:right="0" w:firstLine="0"/>
        <w:jc w:val="both"/>
        <w:rPr>
          <w:i/>
          <w:sz w:val="20"/>
        </w:rPr>
      </w:pPr>
      <w:r>
        <w:rPr>
          <w:i/>
          <w:color w:val="231F20"/>
          <w:spacing w:val="-2"/>
          <w:sz w:val="20"/>
        </w:rPr>
        <w:t>Коммуникативный</w:t>
      </w:r>
      <w:r>
        <w:rPr>
          <w:i/>
          <w:color w:val="231F20"/>
          <w:spacing w:val="9"/>
          <w:sz w:val="20"/>
        </w:rPr>
        <w:t> </w:t>
      </w:r>
      <w:r>
        <w:rPr>
          <w:i/>
          <w:color w:val="231F20"/>
          <w:spacing w:val="-2"/>
          <w:sz w:val="20"/>
        </w:rPr>
        <w:t>стиль</w:t>
      </w:r>
    </w:p>
    <w:p>
      <w:pPr>
        <w:pStyle w:val="ListParagraph"/>
        <w:numPr>
          <w:ilvl w:val="0"/>
          <w:numId w:val="93"/>
        </w:numPr>
        <w:tabs>
          <w:tab w:pos="425" w:val="left" w:leader="none"/>
        </w:tabs>
        <w:spacing w:line="235" w:lineRule="auto" w:before="2" w:after="0"/>
        <w:ind w:left="425" w:right="139" w:hanging="284"/>
        <w:jc w:val="both"/>
        <w:rPr>
          <w:sz w:val="20"/>
        </w:rPr>
      </w:pPr>
      <w:r>
        <w:rPr>
          <w:color w:val="231F20"/>
          <w:sz w:val="20"/>
        </w:rPr>
        <w:t>Помните, что паттерны визуального контакта, прямая вербализация проблемы, ведение записей и др. детерминируются культурными нормами, которые весьма </w:t>
      </w:r>
      <w:r>
        <w:rPr>
          <w:color w:val="231F20"/>
          <w:spacing w:val="-2"/>
          <w:sz w:val="20"/>
        </w:rPr>
        <w:t>разнообразны.</w:t>
      </w:r>
    </w:p>
    <w:p>
      <w:pPr>
        <w:pStyle w:val="ListParagraph"/>
        <w:numPr>
          <w:ilvl w:val="0"/>
          <w:numId w:val="93"/>
        </w:numPr>
        <w:tabs>
          <w:tab w:pos="425" w:val="left" w:leader="none"/>
        </w:tabs>
        <w:spacing w:line="235" w:lineRule="auto" w:before="2" w:after="0"/>
        <w:ind w:left="425" w:right="140" w:hanging="284"/>
        <w:jc w:val="both"/>
        <w:rPr>
          <w:sz w:val="20"/>
        </w:rPr>
      </w:pPr>
      <w:r>
        <w:rPr>
          <w:color w:val="231F20"/>
          <w:sz w:val="20"/>
        </w:rPr>
        <w:t>Не демонстрируйте чрезмерно фамильярный стиль общения, даже если обычно ведете себя таким образом. Стремитесь проявить уважение к клиенту.</w:t>
      </w:r>
    </w:p>
    <w:p>
      <w:pPr>
        <w:pStyle w:val="ListParagraph"/>
        <w:numPr>
          <w:ilvl w:val="0"/>
          <w:numId w:val="93"/>
        </w:numPr>
        <w:tabs>
          <w:tab w:pos="424" w:val="left" w:leader="none"/>
        </w:tabs>
        <w:spacing w:line="225" w:lineRule="exact" w:before="0" w:after="0"/>
        <w:ind w:left="424" w:right="0" w:hanging="283"/>
        <w:jc w:val="both"/>
        <w:rPr>
          <w:sz w:val="20"/>
        </w:rPr>
      </w:pPr>
      <w:r>
        <w:rPr>
          <w:color w:val="231F20"/>
          <w:sz w:val="20"/>
        </w:rPr>
        <w:t>Проясняйте,</w:t>
      </w:r>
      <w:r>
        <w:rPr>
          <w:color w:val="231F20"/>
          <w:spacing w:val="-3"/>
          <w:sz w:val="20"/>
        </w:rPr>
        <w:t> </w:t>
      </w:r>
      <w:r>
        <w:rPr>
          <w:color w:val="231F20"/>
          <w:sz w:val="20"/>
        </w:rPr>
        <w:t>если</w:t>
      </w:r>
      <w:r>
        <w:rPr>
          <w:color w:val="231F20"/>
          <w:spacing w:val="-4"/>
          <w:sz w:val="20"/>
        </w:rPr>
        <w:t> </w:t>
      </w:r>
      <w:r>
        <w:rPr>
          <w:color w:val="231F20"/>
          <w:sz w:val="20"/>
        </w:rPr>
        <w:t>что-то</w:t>
      </w:r>
      <w:r>
        <w:rPr>
          <w:color w:val="231F20"/>
          <w:spacing w:val="-2"/>
          <w:sz w:val="20"/>
        </w:rPr>
        <w:t> непонятно.</w:t>
      </w:r>
    </w:p>
    <w:p>
      <w:pPr>
        <w:pStyle w:val="ListParagraph"/>
        <w:numPr>
          <w:ilvl w:val="0"/>
          <w:numId w:val="93"/>
        </w:numPr>
        <w:tabs>
          <w:tab w:pos="425" w:val="left" w:leader="none"/>
        </w:tabs>
        <w:spacing w:line="235" w:lineRule="auto" w:before="1" w:after="0"/>
        <w:ind w:left="425" w:right="139" w:hanging="284"/>
        <w:jc w:val="both"/>
        <w:rPr>
          <w:sz w:val="20"/>
        </w:rPr>
      </w:pPr>
      <w:r>
        <w:rPr>
          <w:color w:val="231F20"/>
          <w:sz w:val="20"/>
        </w:rPr>
        <w:t>Не проясняйте таким образом, чтобы недостаток ясности казался проблемой </w:t>
      </w:r>
      <w:r>
        <w:rPr>
          <w:color w:val="231F20"/>
          <w:spacing w:val="-2"/>
          <w:sz w:val="20"/>
        </w:rPr>
        <w:t>клиента.</w:t>
      </w:r>
    </w:p>
    <w:p>
      <w:pPr>
        <w:numPr>
          <w:ilvl w:val="2"/>
          <w:numId w:val="80"/>
        </w:numPr>
        <w:tabs>
          <w:tab w:pos="2556" w:val="left" w:leader="none"/>
        </w:tabs>
        <w:spacing w:line="235" w:lineRule="auto" w:before="228"/>
        <w:ind w:left="1871" w:right="1868" w:firstLine="185"/>
        <w:jc w:val="left"/>
        <w:rPr>
          <w:b/>
          <w:sz w:val="20"/>
        </w:rPr>
      </w:pPr>
      <w:r>
        <w:rPr>
          <w:b/>
          <w:color w:val="231F20"/>
          <w:sz w:val="20"/>
        </w:rPr>
        <w:t>Сбор необходимой информации: анкетирование</w:t>
      </w:r>
      <w:r>
        <w:rPr>
          <w:b/>
          <w:color w:val="231F20"/>
          <w:spacing w:val="-13"/>
          <w:sz w:val="20"/>
        </w:rPr>
        <w:t> </w:t>
      </w:r>
      <w:r>
        <w:rPr>
          <w:b/>
          <w:color w:val="231F20"/>
          <w:sz w:val="20"/>
        </w:rPr>
        <w:t>и</w:t>
      </w:r>
      <w:r>
        <w:rPr>
          <w:b/>
          <w:color w:val="231F20"/>
          <w:spacing w:val="-12"/>
          <w:sz w:val="20"/>
        </w:rPr>
        <w:t> </w:t>
      </w:r>
      <w:r>
        <w:rPr>
          <w:b/>
          <w:color w:val="231F20"/>
          <w:sz w:val="20"/>
        </w:rPr>
        <w:t>индивидуальные</w:t>
      </w:r>
      <w:r>
        <w:rPr>
          <w:b/>
          <w:color w:val="231F20"/>
          <w:spacing w:val="-13"/>
          <w:sz w:val="20"/>
        </w:rPr>
        <w:t> </w:t>
      </w:r>
      <w:r>
        <w:rPr>
          <w:b/>
          <w:color w:val="231F20"/>
          <w:sz w:val="20"/>
        </w:rPr>
        <w:t>беседы</w:t>
      </w:r>
    </w:p>
    <w:p>
      <w:pPr>
        <w:pStyle w:val="BodyText"/>
        <w:spacing w:line="235" w:lineRule="auto" w:before="114"/>
      </w:pPr>
      <w:r>
        <w:rPr>
          <w:color w:val="231F20"/>
          <w:spacing w:val="-4"/>
        </w:rPr>
        <w:t>Сбор</w:t>
      </w:r>
      <w:r>
        <w:rPr>
          <w:color w:val="231F20"/>
          <w:spacing w:val="-6"/>
        </w:rPr>
        <w:t> </w:t>
      </w:r>
      <w:r>
        <w:rPr>
          <w:color w:val="231F20"/>
          <w:spacing w:val="-4"/>
        </w:rPr>
        <w:t>информации</w:t>
      </w:r>
      <w:r>
        <w:rPr>
          <w:color w:val="231F20"/>
          <w:spacing w:val="-6"/>
        </w:rPr>
        <w:t> </w:t>
      </w:r>
      <w:r>
        <w:rPr>
          <w:color w:val="231F20"/>
          <w:spacing w:val="-4"/>
        </w:rPr>
        <w:t>о</w:t>
      </w:r>
      <w:r>
        <w:rPr>
          <w:color w:val="231F20"/>
          <w:spacing w:val="-6"/>
        </w:rPr>
        <w:t> </w:t>
      </w:r>
      <w:r>
        <w:rPr>
          <w:color w:val="231F20"/>
          <w:spacing w:val="-4"/>
        </w:rPr>
        <w:t>семьях</w:t>
      </w:r>
      <w:r>
        <w:rPr>
          <w:color w:val="231F20"/>
          <w:spacing w:val="-6"/>
        </w:rPr>
        <w:t> </w:t>
      </w:r>
      <w:r>
        <w:rPr>
          <w:color w:val="231F20"/>
          <w:spacing w:val="-4"/>
        </w:rPr>
        <w:t>учеников-мигрантов</w:t>
      </w:r>
      <w:r>
        <w:rPr>
          <w:color w:val="231F20"/>
          <w:spacing w:val="-6"/>
        </w:rPr>
        <w:t> </w:t>
      </w:r>
      <w:r>
        <w:rPr>
          <w:color w:val="231F20"/>
          <w:spacing w:val="-4"/>
        </w:rPr>
        <w:t>–</w:t>
      </w:r>
      <w:r>
        <w:rPr>
          <w:color w:val="231F20"/>
          <w:spacing w:val="-6"/>
        </w:rPr>
        <w:t> </w:t>
      </w:r>
      <w:r>
        <w:rPr>
          <w:color w:val="231F20"/>
          <w:spacing w:val="-4"/>
        </w:rPr>
        <w:t>важная</w:t>
      </w:r>
      <w:r>
        <w:rPr>
          <w:color w:val="231F20"/>
          <w:spacing w:val="-6"/>
        </w:rPr>
        <w:t> </w:t>
      </w:r>
      <w:r>
        <w:rPr>
          <w:color w:val="231F20"/>
          <w:spacing w:val="-4"/>
        </w:rPr>
        <w:t>часть</w:t>
      </w:r>
      <w:r>
        <w:rPr>
          <w:color w:val="231F20"/>
          <w:spacing w:val="-6"/>
        </w:rPr>
        <w:t> </w:t>
      </w:r>
      <w:r>
        <w:rPr>
          <w:color w:val="231F20"/>
          <w:spacing w:val="-4"/>
        </w:rPr>
        <w:t>работы</w:t>
      </w:r>
      <w:r>
        <w:rPr>
          <w:color w:val="231F20"/>
          <w:spacing w:val="-6"/>
        </w:rPr>
        <w:t> </w:t>
      </w:r>
      <w:r>
        <w:rPr>
          <w:color w:val="231F20"/>
          <w:spacing w:val="-4"/>
        </w:rPr>
        <w:t>по</w:t>
      </w:r>
      <w:r>
        <w:rPr>
          <w:color w:val="231F20"/>
          <w:spacing w:val="-6"/>
        </w:rPr>
        <w:t> </w:t>
      </w:r>
      <w:r>
        <w:rPr>
          <w:color w:val="231F20"/>
          <w:spacing w:val="-4"/>
        </w:rPr>
        <w:t>обеспече- </w:t>
      </w:r>
      <w:r>
        <w:rPr>
          <w:color w:val="231F20"/>
          <w:spacing w:val="-2"/>
        </w:rPr>
        <w:t>нию</w:t>
      </w:r>
      <w:r>
        <w:rPr>
          <w:color w:val="231F20"/>
          <w:spacing w:val="-7"/>
        </w:rPr>
        <w:t> </w:t>
      </w:r>
      <w:r>
        <w:rPr>
          <w:color w:val="231F20"/>
          <w:spacing w:val="-2"/>
        </w:rPr>
        <w:t>языковой</w:t>
      </w:r>
      <w:r>
        <w:rPr>
          <w:color w:val="231F20"/>
          <w:spacing w:val="-7"/>
        </w:rPr>
        <w:t> </w:t>
      </w:r>
      <w:r>
        <w:rPr>
          <w:color w:val="231F20"/>
          <w:spacing w:val="-2"/>
        </w:rPr>
        <w:t>и</w:t>
      </w:r>
      <w:r>
        <w:rPr>
          <w:color w:val="231F20"/>
          <w:spacing w:val="-7"/>
        </w:rPr>
        <w:t> </w:t>
      </w:r>
      <w:r>
        <w:rPr>
          <w:color w:val="231F20"/>
          <w:spacing w:val="-2"/>
        </w:rPr>
        <w:t>социокультурной</w:t>
      </w:r>
      <w:r>
        <w:rPr>
          <w:color w:val="231F20"/>
          <w:spacing w:val="-7"/>
        </w:rPr>
        <w:t> </w:t>
      </w:r>
      <w:r>
        <w:rPr>
          <w:color w:val="231F20"/>
          <w:spacing w:val="-2"/>
        </w:rPr>
        <w:t>адаптации</w:t>
      </w:r>
      <w:r>
        <w:rPr>
          <w:color w:val="231F20"/>
          <w:spacing w:val="-7"/>
        </w:rPr>
        <w:t> </w:t>
      </w:r>
      <w:r>
        <w:rPr>
          <w:color w:val="231F20"/>
          <w:spacing w:val="-2"/>
        </w:rPr>
        <w:t>несовершеннолетних</w:t>
      </w:r>
      <w:r>
        <w:rPr>
          <w:color w:val="231F20"/>
          <w:spacing w:val="-7"/>
        </w:rPr>
        <w:t> </w:t>
      </w:r>
      <w:r>
        <w:rPr>
          <w:color w:val="231F20"/>
          <w:spacing w:val="-2"/>
        </w:rPr>
        <w:t>иностранных</w:t>
      </w:r>
      <w:r>
        <w:rPr>
          <w:color w:val="231F20"/>
          <w:spacing w:val="-7"/>
        </w:rPr>
        <w:t> </w:t>
      </w:r>
      <w:r>
        <w:rPr>
          <w:color w:val="231F20"/>
          <w:spacing w:val="-2"/>
        </w:rPr>
        <w:t>граж- </w:t>
      </w:r>
      <w:r>
        <w:rPr>
          <w:color w:val="231F20"/>
        </w:rPr>
        <w:t>дан.</w:t>
      </w:r>
      <w:r>
        <w:rPr>
          <w:color w:val="231F20"/>
          <w:spacing w:val="-13"/>
        </w:rPr>
        <w:t> </w:t>
      </w:r>
      <w:r>
        <w:rPr>
          <w:color w:val="231F20"/>
        </w:rPr>
        <w:t>Факты,</w:t>
      </w:r>
      <w:r>
        <w:rPr>
          <w:color w:val="231F20"/>
          <w:spacing w:val="-12"/>
        </w:rPr>
        <w:t> </w:t>
      </w:r>
      <w:r>
        <w:rPr>
          <w:color w:val="231F20"/>
        </w:rPr>
        <w:t>описывающие</w:t>
      </w:r>
      <w:r>
        <w:rPr>
          <w:color w:val="231F20"/>
          <w:spacing w:val="-13"/>
        </w:rPr>
        <w:t> </w:t>
      </w:r>
      <w:r>
        <w:rPr>
          <w:color w:val="231F20"/>
        </w:rPr>
        <w:t>миграционную</w:t>
      </w:r>
      <w:r>
        <w:rPr>
          <w:color w:val="231F20"/>
          <w:spacing w:val="-12"/>
        </w:rPr>
        <w:t> </w:t>
      </w:r>
      <w:r>
        <w:rPr>
          <w:color w:val="231F20"/>
        </w:rPr>
        <w:t>историю</w:t>
      </w:r>
      <w:r>
        <w:rPr>
          <w:color w:val="231F20"/>
          <w:spacing w:val="-13"/>
        </w:rPr>
        <w:t> </w:t>
      </w:r>
      <w:r>
        <w:rPr>
          <w:color w:val="231F20"/>
        </w:rPr>
        <w:t>и</w:t>
      </w:r>
      <w:r>
        <w:rPr>
          <w:color w:val="231F20"/>
          <w:spacing w:val="-12"/>
        </w:rPr>
        <w:t> </w:t>
      </w:r>
      <w:r>
        <w:rPr>
          <w:color w:val="231F20"/>
        </w:rPr>
        <w:t>культурные</w:t>
      </w:r>
      <w:r>
        <w:rPr>
          <w:color w:val="231F20"/>
          <w:spacing w:val="-13"/>
        </w:rPr>
        <w:t> </w:t>
      </w:r>
      <w:r>
        <w:rPr>
          <w:color w:val="231F20"/>
        </w:rPr>
        <w:t>особенности</w:t>
      </w:r>
      <w:r>
        <w:rPr>
          <w:color w:val="231F20"/>
          <w:spacing w:val="-12"/>
        </w:rPr>
        <w:t> </w:t>
      </w:r>
      <w:r>
        <w:rPr>
          <w:color w:val="231F20"/>
        </w:rPr>
        <w:t>семьи, помогут</w:t>
      </w:r>
      <w:r>
        <w:rPr>
          <w:color w:val="231F20"/>
          <w:spacing w:val="-5"/>
        </w:rPr>
        <w:t> </w:t>
      </w:r>
      <w:r>
        <w:rPr>
          <w:color w:val="231F20"/>
        </w:rPr>
        <w:t>более</w:t>
      </w:r>
      <w:r>
        <w:rPr>
          <w:color w:val="231F20"/>
          <w:spacing w:val="-5"/>
        </w:rPr>
        <w:t> </w:t>
      </w:r>
      <w:r>
        <w:rPr>
          <w:color w:val="231F20"/>
        </w:rPr>
        <w:t>корректно</w:t>
      </w:r>
      <w:r>
        <w:rPr>
          <w:color w:val="231F20"/>
          <w:spacing w:val="-5"/>
        </w:rPr>
        <w:t> </w:t>
      </w:r>
      <w:r>
        <w:rPr>
          <w:color w:val="231F20"/>
        </w:rPr>
        <w:t>выстроить</w:t>
      </w:r>
      <w:r>
        <w:rPr>
          <w:color w:val="231F20"/>
          <w:spacing w:val="-6"/>
        </w:rPr>
        <w:t> </w:t>
      </w:r>
      <w:r>
        <w:rPr>
          <w:color w:val="231F20"/>
        </w:rPr>
        <w:t>стратегию</w:t>
      </w:r>
      <w:r>
        <w:rPr>
          <w:color w:val="231F20"/>
          <w:spacing w:val="-6"/>
        </w:rPr>
        <w:t> </w:t>
      </w:r>
      <w:r>
        <w:rPr>
          <w:color w:val="231F20"/>
        </w:rPr>
        <w:t>работы</w:t>
      </w:r>
      <w:r>
        <w:rPr>
          <w:color w:val="231F20"/>
          <w:spacing w:val="-5"/>
        </w:rPr>
        <w:t> </w:t>
      </w:r>
      <w:r>
        <w:rPr>
          <w:color w:val="231F20"/>
        </w:rPr>
        <w:t>с</w:t>
      </w:r>
      <w:r>
        <w:rPr>
          <w:color w:val="231F20"/>
          <w:spacing w:val="-5"/>
        </w:rPr>
        <w:t> </w:t>
      </w:r>
      <w:r>
        <w:rPr>
          <w:color w:val="231F20"/>
        </w:rPr>
        <w:t>ребенком</w:t>
      </w:r>
      <w:r>
        <w:rPr>
          <w:color w:val="231F20"/>
          <w:spacing w:val="-5"/>
        </w:rPr>
        <w:t> </w:t>
      </w:r>
      <w:r>
        <w:rPr>
          <w:color w:val="231F20"/>
        </w:rPr>
        <w:t>и</w:t>
      </w:r>
      <w:r>
        <w:rPr>
          <w:color w:val="231F20"/>
          <w:spacing w:val="-6"/>
        </w:rPr>
        <w:t> </w:t>
      </w:r>
      <w:r>
        <w:rPr>
          <w:color w:val="231F20"/>
        </w:rPr>
        <w:t>его</w:t>
      </w:r>
      <w:r>
        <w:rPr>
          <w:color w:val="231F20"/>
          <w:spacing w:val="-5"/>
        </w:rPr>
        <w:t> </w:t>
      </w:r>
      <w:r>
        <w:rPr>
          <w:color w:val="231F20"/>
        </w:rPr>
        <w:t>родителями.</w:t>
      </w:r>
    </w:p>
    <w:p>
      <w:pPr>
        <w:pStyle w:val="BodyText"/>
        <w:spacing w:line="235" w:lineRule="auto" w:before="3"/>
        <w:ind w:right="140"/>
      </w:pPr>
      <w:r>
        <w:rPr>
          <w:color w:val="231F20"/>
        </w:rPr>
        <w:t>Помимо общих биографических сведений (возраст, состав семьи и пр.), важной может явиться следующая информация.</w:t>
      </w:r>
    </w:p>
    <w:p>
      <w:pPr>
        <w:pStyle w:val="ListParagraph"/>
        <w:numPr>
          <w:ilvl w:val="0"/>
          <w:numId w:val="94"/>
        </w:numPr>
        <w:tabs>
          <w:tab w:pos="423" w:val="left" w:leader="none"/>
          <w:tab w:pos="425" w:val="left" w:leader="none"/>
        </w:tabs>
        <w:spacing w:line="235" w:lineRule="auto" w:before="1" w:after="0"/>
        <w:ind w:left="425" w:right="139" w:hanging="284"/>
        <w:jc w:val="both"/>
        <w:rPr>
          <w:sz w:val="20"/>
        </w:rPr>
      </w:pPr>
      <w:r>
        <w:rPr>
          <w:color w:val="231F20"/>
          <w:sz w:val="20"/>
        </w:rPr>
        <w:t>Страна</w:t>
      </w:r>
      <w:r>
        <w:rPr>
          <w:color w:val="231F20"/>
          <w:spacing w:val="-3"/>
          <w:sz w:val="20"/>
        </w:rPr>
        <w:t> </w:t>
      </w:r>
      <w:r>
        <w:rPr>
          <w:color w:val="231F20"/>
          <w:sz w:val="20"/>
        </w:rPr>
        <w:t>и</w:t>
      </w:r>
      <w:r>
        <w:rPr>
          <w:color w:val="231F20"/>
          <w:spacing w:val="-3"/>
          <w:sz w:val="20"/>
        </w:rPr>
        <w:t> </w:t>
      </w:r>
      <w:r>
        <w:rPr>
          <w:color w:val="231F20"/>
          <w:sz w:val="20"/>
        </w:rPr>
        <w:t>регион</w:t>
      </w:r>
      <w:r>
        <w:rPr>
          <w:color w:val="231F20"/>
          <w:spacing w:val="-3"/>
          <w:sz w:val="20"/>
        </w:rPr>
        <w:t> </w:t>
      </w:r>
      <w:r>
        <w:rPr>
          <w:color w:val="231F20"/>
          <w:sz w:val="20"/>
        </w:rPr>
        <w:t>исхода.</w:t>
      </w:r>
      <w:r>
        <w:rPr>
          <w:color w:val="231F20"/>
          <w:spacing w:val="-3"/>
          <w:sz w:val="20"/>
        </w:rPr>
        <w:t> </w:t>
      </w:r>
      <w:r>
        <w:rPr>
          <w:color w:val="231F20"/>
          <w:sz w:val="20"/>
        </w:rPr>
        <w:t>Эта</w:t>
      </w:r>
      <w:r>
        <w:rPr>
          <w:color w:val="231F20"/>
          <w:spacing w:val="-3"/>
          <w:sz w:val="20"/>
        </w:rPr>
        <w:t> </w:t>
      </w:r>
      <w:r>
        <w:rPr>
          <w:color w:val="231F20"/>
          <w:sz w:val="20"/>
        </w:rPr>
        <w:t>информация</w:t>
      </w:r>
      <w:r>
        <w:rPr>
          <w:color w:val="231F20"/>
          <w:spacing w:val="-3"/>
          <w:sz w:val="20"/>
        </w:rPr>
        <w:t> </w:t>
      </w:r>
      <w:r>
        <w:rPr>
          <w:color w:val="231F20"/>
          <w:sz w:val="20"/>
        </w:rPr>
        <w:t>поможет</w:t>
      </w:r>
      <w:r>
        <w:rPr>
          <w:color w:val="231F20"/>
          <w:spacing w:val="-3"/>
          <w:sz w:val="20"/>
        </w:rPr>
        <w:t> </w:t>
      </w:r>
      <w:r>
        <w:rPr>
          <w:color w:val="231F20"/>
          <w:sz w:val="20"/>
        </w:rPr>
        <w:t>найти</w:t>
      </w:r>
      <w:r>
        <w:rPr>
          <w:color w:val="231F20"/>
          <w:spacing w:val="-3"/>
          <w:sz w:val="20"/>
        </w:rPr>
        <w:t> </w:t>
      </w:r>
      <w:r>
        <w:rPr>
          <w:color w:val="231F20"/>
          <w:sz w:val="20"/>
        </w:rPr>
        <w:t>семьи</w:t>
      </w:r>
      <w:r>
        <w:rPr>
          <w:color w:val="231F20"/>
          <w:spacing w:val="-3"/>
          <w:sz w:val="20"/>
        </w:rPr>
        <w:t> </w:t>
      </w:r>
      <w:r>
        <w:rPr>
          <w:color w:val="231F20"/>
          <w:sz w:val="20"/>
        </w:rPr>
        <w:t>из</w:t>
      </w:r>
      <w:r>
        <w:rPr>
          <w:color w:val="231F20"/>
          <w:spacing w:val="-3"/>
          <w:sz w:val="20"/>
        </w:rPr>
        <w:t> </w:t>
      </w:r>
      <w:r>
        <w:rPr>
          <w:color w:val="231F20"/>
          <w:sz w:val="20"/>
        </w:rPr>
        <w:t>того</w:t>
      </w:r>
      <w:r>
        <w:rPr>
          <w:color w:val="231F20"/>
          <w:spacing w:val="-3"/>
          <w:sz w:val="20"/>
        </w:rPr>
        <w:t> </w:t>
      </w:r>
      <w:r>
        <w:rPr>
          <w:color w:val="231F20"/>
          <w:sz w:val="20"/>
        </w:rPr>
        <w:t>же</w:t>
      </w:r>
      <w:r>
        <w:rPr>
          <w:color w:val="231F20"/>
          <w:spacing w:val="-3"/>
          <w:sz w:val="20"/>
        </w:rPr>
        <w:t> </w:t>
      </w:r>
      <w:r>
        <w:rPr>
          <w:color w:val="231F20"/>
          <w:sz w:val="20"/>
        </w:rPr>
        <w:t>регио- на, которых можно привлечь к помощи ребенку и родителям.</w:t>
      </w:r>
    </w:p>
    <w:p>
      <w:pPr>
        <w:pStyle w:val="ListParagraph"/>
        <w:numPr>
          <w:ilvl w:val="0"/>
          <w:numId w:val="94"/>
        </w:numPr>
        <w:tabs>
          <w:tab w:pos="423" w:val="left" w:leader="none"/>
          <w:tab w:pos="425" w:val="left" w:leader="none"/>
        </w:tabs>
        <w:spacing w:line="235" w:lineRule="auto" w:before="1" w:after="0"/>
        <w:ind w:left="425" w:right="139" w:hanging="284"/>
        <w:jc w:val="both"/>
        <w:rPr>
          <w:sz w:val="20"/>
        </w:rPr>
      </w:pPr>
      <w:r>
        <w:rPr>
          <w:color w:val="231F20"/>
          <w:sz w:val="20"/>
        </w:rPr>
        <w:t>Языки, на которых говорят в семье, и уровень владения этими языками. Напри- мер,</w:t>
      </w:r>
      <w:r>
        <w:rPr>
          <w:color w:val="231F20"/>
          <w:spacing w:val="-2"/>
          <w:sz w:val="20"/>
        </w:rPr>
        <w:t> </w:t>
      </w:r>
      <w:r>
        <w:rPr>
          <w:color w:val="231F20"/>
          <w:sz w:val="20"/>
        </w:rPr>
        <w:t>может</w:t>
      </w:r>
      <w:r>
        <w:rPr>
          <w:color w:val="231F20"/>
          <w:spacing w:val="-2"/>
          <w:sz w:val="20"/>
        </w:rPr>
        <w:t> </w:t>
      </w:r>
      <w:r>
        <w:rPr>
          <w:color w:val="231F20"/>
          <w:sz w:val="20"/>
        </w:rPr>
        <w:t>оказаться,</w:t>
      </w:r>
      <w:r>
        <w:rPr>
          <w:color w:val="231F20"/>
          <w:spacing w:val="-2"/>
          <w:sz w:val="20"/>
        </w:rPr>
        <w:t> </w:t>
      </w:r>
      <w:r>
        <w:rPr>
          <w:color w:val="231F20"/>
          <w:sz w:val="20"/>
        </w:rPr>
        <w:t>что,</w:t>
      </w:r>
      <w:r>
        <w:rPr>
          <w:color w:val="231F20"/>
          <w:spacing w:val="-2"/>
          <w:sz w:val="20"/>
        </w:rPr>
        <w:t> </w:t>
      </w:r>
      <w:r>
        <w:rPr>
          <w:color w:val="231F20"/>
          <w:sz w:val="20"/>
        </w:rPr>
        <w:t>хотя</w:t>
      </w:r>
      <w:r>
        <w:rPr>
          <w:color w:val="231F20"/>
          <w:spacing w:val="-2"/>
          <w:sz w:val="20"/>
        </w:rPr>
        <w:t> </w:t>
      </w:r>
      <w:r>
        <w:rPr>
          <w:color w:val="231F20"/>
          <w:sz w:val="20"/>
        </w:rPr>
        <w:t>оба</w:t>
      </w:r>
      <w:r>
        <w:rPr>
          <w:color w:val="231F20"/>
          <w:spacing w:val="-2"/>
          <w:sz w:val="20"/>
        </w:rPr>
        <w:t> </w:t>
      </w:r>
      <w:r>
        <w:rPr>
          <w:color w:val="231F20"/>
          <w:sz w:val="20"/>
        </w:rPr>
        <w:t>родителя</w:t>
      </w:r>
      <w:r>
        <w:rPr>
          <w:color w:val="231F20"/>
          <w:spacing w:val="-2"/>
          <w:sz w:val="20"/>
        </w:rPr>
        <w:t> </w:t>
      </w:r>
      <w:r>
        <w:rPr>
          <w:color w:val="231F20"/>
          <w:sz w:val="20"/>
        </w:rPr>
        <w:t>не</w:t>
      </w:r>
      <w:r>
        <w:rPr>
          <w:color w:val="231F20"/>
          <w:spacing w:val="-2"/>
          <w:sz w:val="20"/>
        </w:rPr>
        <w:t> </w:t>
      </w:r>
      <w:r>
        <w:rPr>
          <w:color w:val="231F20"/>
          <w:sz w:val="20"/>
        </w:rPr>
        <w:t>очень</w:t>
      </w:r>
      <w:r>
        <w:rPr>
          <w:color w:val="231F20"/>
          <w:spacing w:val="-2"/>
          <w:sz w:val="20"/>
        </w:rPr>
        <w:t> </w:t>
      </w:r>
      <w:r>
        <w:rPr>
          <w:color w:val="231F20"/>
          <w:sz w:val="20"/>
        </w:rPr>
        <w:t>хорош</w:t>
      </w:r>
      <w:r>
        <w:rPr>
          <w:color w:val="231F20"/>
          <w:spacing w:val="-2"/>
          <w:sz w:val="20"/>
        </w:rPr>
        <w:t> </w:t>
      </w:r>
      <w:r>
        <w:rPr>
          <w:color w:val="231F20"/>
          <w:sz w:val="20"/>
        </w:rPr>
        <w:t>владеют</w:t>
      </w:r>
      <w:r>
        <w:rPr>
          <w:color w:val="231F20"/>
          <w:spacing w:val="-2"/>
          <w:sz w:val="20"/>
        </w:rPr>
        <w:t> </w:t>
      </w:r>
      <w:r>
        <w:rPr>
          <w:color w:val="231F20"/>
          <w:sz w:val="20"/>
        </w:rPr>
        <w:t>русским,</w:t>
      </w:r>
      <w:r>
        <w:rPr>
          <w:color w:val="231F20"/>
          <w:spacing w:val="-2"/>
          <w:sz w:val="20"/>
        </w:rPr>
        <w:t> </w:t>
      </w:r>
      <w:r>
        <w:rPr>
          <w:color w:val="231F20"/>
          <w:sz w:val="20"/>
        </w:rPr>
        <w:t>у ребенка есть тетя или старший брат, которые готовы выступать переводчиками. </w:t>
      </w:r>
      <w:r>
        <w:rPr>
          <w:color w:val="231F20"/>
          <w:spacing w:val="-2"/>
          <w:sz w:val="20"/>
        </w:rPr>
        <w:t>Также</w:t>
      </w:r>
      <w:r>
        <w:rPr>
          <w:color w:val="231F20"/>
          <w:spacing w:val="-4"/>
          <w:sz w:val="20"/>
        </w:rPr>
        <w:t> </w:t>
      </w:r>
      <w:r>
        <w:rPr>
          <w:color w:val="231F20"/>
          <w:spacing w:val="-2"/>
          <w:sz w:val="20"/>
        </w:rPr>
        <w:t>важно</w:t>
      </w:r>
      <w:r>
        <w:rPr>
          <w:color w:val="231F20"/>
          <w:spacing w:val="-4"/>
          <w:sz w:val="20"/>
        </w:rPr>
        <w:t> </w:t>
      </w:r>
      <w:r>
        <w:rPr>
          <w:color w:val="231F20"/>
          <w:spacing w:val="-2"/>
          <w:sz w:val="20"/>
        </w:rPr>
        <w:t>прояснить,</w:t>
      </w:r>
      <w:r>
        <w:rPr>
          <w:color w:val="231F20"/>
          <w:spacing w:val="-4"/>
          <w:sz w:val="20"/>
        </w:rPr>
        <w:t> </w:t>
      </w:r>
      <w:r>
        <w:rPr>
          <w:color w:val="231F20"/>
          <w:spacing w:val="-2"/>
          <w:sz w:val="20"/>
        </w:rPr>
        <w:t>на</w:t>
      </w:r>
      <w:r>
        <w:rPr>
          <w:color w:val="231F20"/>
          <w:spacing w:val="-4"/>
          <w:sz w:val="20"/>
        </w:rPr>
        <w:t> </w:t>
      </w:r>
      <w:r>
        <w:rPr>
          <w:color w:val="231F20"/>
          <w:spacing w:val="-2"/>
          <w:sz w:val="20"/>
        </w:rPr>
        <w:t>каком</w:t>
      </w:r>
      <w:r>
        <w:rPr>
          <w:color w:val="231F20"/>
          <w:spacing w:val="-4"/>
          <w:sz w:val="20"/>
        </w:rPr>
        <w:t> </w:t>
      </w:r>
      <w:r>
        <w:rPr>
          <w:color w:val="231F20"/>
          <w:spacing w:val="-2"/>
          <w:sz w:val="20"/>
        </w:rPr>
        <w:t>языке</w:t>
      </w:r>
      <w:r>
        <w:rPr>
          <w:color w:val="231F20"/>
          <w:spacing w:val="-4"/>
          <w:sz w:val="20"/>
        </w:rPr>
        <w:t> </w:t>
      </w:r>
      <w:r>
        <w:rPr>
          <w:color w:val="231F20"/>
          <w:spacing w:val="-2"/>
          <w:sz w:val="20"/>
        </w:rPr>
        <w:t>ребенок</w:t>
      </w:r>
      <w:r>
        <w:rPr>
          <w:color w:val="231F20"/>
          <w:spacing w:val="-4"/>
          <w:sz w:val="20"/>
        </w:rPr>
        <w:t> </w:t>
      </w:r>
      <w:r>
        <w:rPr>
          <w:color w:val="231F20"/>
          <w:spacing w:val="-2"/>
          <w:sz w:val="20"/>
        </w:rPr>
        <w:t>учился</w:t>
      </w:r>
      <w:r>
        <w:rPr>
          <w:color w:val="231F20"/>
          <w:spacing w:val="-4"/>
          <w:sz w:val="20"/>
        </w:rPr>
        <w:t> </w:t>
      </w:r>
      <w:r>
        <w:rPr>
          <w:color w:val="231F20"/>
          <w:spacing w:val="-2"/>
          <w:sz w:val="20"/>
        </w:rPr>
        <w:t>(например,</w:t>
      </w:r>
      <w:r>
        <w:rPr>
          <w:color w:val="231F20"/>
          <w:spacing w:val="-4"/>
          <w:sz w:val="20"/>
        </w:rPr>
        <w:t> </w:t>
      </w:r>
      <w:r>
        <w:rPr>
          <w:color w:val="231F20"/>
          <w:spacing w:val="-2"/>
          <w:sz w:val="20"/>
        </w:rPr>
        <w:t>дома</w:t>
      </w:r>
      <w:r>
        <w:rPr>
          <w:color w:val="231F20"/>
          <w:spacing w:val="-4"/>
          <w:sz w:val="20"/>
        </w:rPr>
        <w:t> </w:t>
      </w:r>
      <w:r>
        <w:rPr>
          <w:color w:val="231F20"/>
          <w:spacing w:val="-2"/>
          <w:sz w:val="20"/>
        </w:rPr>
        <w:t>говорили </w:t>
      </w:r>
      <w:r>
        <w:rPr>
          <w:color w:val="231F20"/>
          <w:sz w:val="20"/>
        </w:rPr>
        <w:t>по-русски, а ходил ребенок в узбекскую школу).</w:t>
      </w:r>
    </w:p>
    <w:p>
      <w:pPr>
        <w:pStyle w:val="ListParagraph"/>
        <w:numPr>
          <w:ilvl w:val="0"/>
          <w:numId w:val="94"/>
        </w:numPr>
        <w:tabs>
          <w:tab w:pos="423" w:val="left" w:leader="none"/>
          <w:tab w:pos="425" w:val="left" w:leader="none"/>
        </w:tabs>
        <w:spacing w:line="235" w:lineRule="auto" w:before="3" w:after="0"/>
        <w:ind w:left="425" w:right="139" w:hanging="284"/>
        <w:jc w:val="both"/>
        <w:rPr>
          <w:sz w:val="20"/>
        </w:rPr>
      </w:pPr>
      <w:r>
        <w:rPr>
          <w:color w:val="231F20"/>
          <w:sz w:val="20"/>
        </w:rPr>
        <w:t>Вероисповедание и степень важность религиозных обычаев для семьи. Мусуль- манская</w:t>
      </w:r>
      <w:r>
        <w:rPr>
          <w:color w:val="231F20"/>
          <w:spacing w:val="-10"/>
          <w:sz w:val="20"/>
        </w:rPr>
        <w:t> </w:t>
      </w:r>
      <w:r>
        <w:rPr>
          <w:color w:val="231F20"/>
          <w:sz w:val="20"/>
        </w:rPr>
        <w:t>семья,</w:t>
      </w:r>
      <w:r>
        <w:rPr>
          <w:color w:val="231F20"/>
          <w:spacing w:val="-10"/>
          <w:sz w:val="20"/>
        </w:rPr>
        <w:t> </w:t>
      </w:r>
      <w:r>
        <w:rPr>
          <w:color w:val="231F20"/>
          <w:sz w:val="20"/>
        </w:rPr>
        <w:t>строго</w:t>
      </w:r>
      <w:r>
        <w:rPr>
          <w:color w:val="231F20"/>
          <w:spacing w:val="-10"/>
          <w:sz w:val="20"/>
        </w:rPr>
        <w:t> </w:t>
      </w:r>
      <w:r>
        <w:rPr>
          <w:color w:val="231F20"/>
          <w:sz w:val="20"/>
        </w:rPr>
        <w:t>соблюдающая</w:t>
      </w:r>
      <w:r>
        <w:rPr>
          <w:color w:val="231F20"/>
          <w:spacing w:val="-10"/>
          <w:sz w:val="20"/>
        </w:rPr>
        <w:t> </w:t>
      </w:r>
      <w:r>
        <w:rPr>
          <w:color w:val="231F20"/>
          <w:sz w:val="20"/>
        </w:rPr>
        <w:t>нормы</w:t>
      </w:r>
      <w:r>
        <w:rPr>
          <w:color w:val="231F20"/>
          <w:spacing w:val="-10"/>
          <w:sz w:val="20"/>
        </w:rPr>
        <w:t> </w:t>
      </w:r>
      <w:r>
        <w:rPr>
          <w:color w:val="231F20"/>
          <w:sz w:val="20"/>
        </w:rPr>
        <w:t>ислама,</w:t>
      </w:r>
      <w:r>
        <w:rPr>
          <w:color w:val="231F20"/>
          <w:spacing w:val="-10"/>
          <w:sz w:val="20"/>
        </w:rPr>
        <w:t> </w:t>
      </w:r>
      <w:r>
        <w:rPr>
          <w:color w:val="231F20"/>
          <w:sz w:val="20"/>
        </w:rPr>
        <w:t>будет</w:t>
      </w:r>
      <w:r>
        <w:rPr>
          <w:color w:val="231F20"/>
          <w:spacing w:val="-10"/>
          <w:sz w:val="20"/>
        </w:rPr>
        <w:t> </w:t>
      </w:r>
      <w:r>
        <w:rPr>
          <w:color w:val="231F20"/>
          <w:sz w:val="20"/>
        </w:rPr>
        <w:t>отличаться</w:t>
      </w:r>
      <w:r>
        <w:rPr>
          <w:color w:val="231F20"/>
          <w:spacing w:val="-10"/>
          <w:sz w:val="20"/>
        </w:rPr>
        <w:t> </w:t>
      </w:r>
      <w:r>
        <w:rPr>
          <w:color w:val="231F20"/>
          <w:sz w:val="20"/>
        </w:rPr>
        <w:t>от</w:t>
      </w:r>
      <w:r>
        <w:rPr>
          <w:color w:val="231F20"/>
          <w:spacing w:val="-10"/>
          <w:sz w:val="20"/>
        </w:rPr>
        <w:t> </w:t>
      </w:r>
      <w:r>
        <w:rPr>
          <w:color w:val="231F20"/>
          <w:sz w:val="20"/>
        </w:rPr>
        <w:t>светской семьи, для которой ислам – скорее традиция.</w:t>
      </w:r>
    </w:p>
    <w:p>
      <w:pPr>
        <w:pStyle w:val="ListParagraph"/>
        <w:numPr>
          <w:ilvl w:val="0"/>
          <w:numId w:val="94"/>
        </w:numPr>
        <w:tabs>
          <w:tab w:pos="423" w:val="left" w:leader="none"/>
          <w:tab w:pos="425" w:val="left" w:leader="none"/>
        </w:tabs>
        <w:spacing w:line="235" w:lineRule="auto" w:before="2" w:after="0"/>
        <w:ind w:left="425" w:right="139" w:hanging="284"/>
        <w:jc w:val="both"/>
        <w:rPr>
          <w:sz w:val="20"/>
        </w:rPr>
      </w:pPr>
      <w:r>
        <w:rPr>
          <w:color w:val="231F20"/>
          <w:sz w:val="20"/>
        </w:rPr>
        <w:t>Уровень</w:t>
      </w:r>
      <w:r>
        <w:rPr>
          <w:color w:val="231F20"/>
          <w:spacing w:val="-11"/>
          <w:sz w:val="20"/>
        </w:rPr>
        <w:t> </w:t>
      </w:r>
      <w:r>
        <w:rPr>
          <w:color w:val="231F20"/>
          <w:sz w:val="20"/>
        </w:rPr>
        <w:t>образования</w:t>
      </w:r>
      <w:r>
        <w:rPr>
          <w:color w:val="231F20"/>
          <w:spacing w:val="-11"/>
          <w:sz w:val="20"/>
        </w:rPr>
        <w:t> </w:t>
      </w:r>
      <w:r>
        <w:rPr>
          <w:color w:val="231F20"/>
          <w:sz w:val="20"/>
        </w:rPr>
        <w:t>родителей.</w:t>
      </w:r>
      <w:r>
        <w:rPr>
          <w:color w:val="231F20"/>
          <w:spacing w:val="-11"/>
          <w:sz w:val="20"/>
        </w:rPr>
        <w:t> </w:t>
      </w:r>
      <w:r>
        <w:rPr>
          <w:color w:val="231F20"/>
          <w:sz w:val="20"/>
        </w:rPr>
        <w:t>Родителям</w:t>
      </w:r>
      <w:r>
        <w:rPr>
          <w:color w:val="231F20"/>
          <w:spacing w:val="-12"/>
          <w:sz w:val="20"/>
        </w:rPr>
        <w:t> </w:t>
      </w:r>
      <w:r>
        <w:rPr>
          <w:color w:val="231F20"/>
          <w:sz w:val="20"/>
        </w:rPr>
        <w:t>со</w:t>
      </w:r>
      <w:r>
        <w:rPr>
          <w:color w:val="231F20"/>
          <w:spacing w:val="-11"/>
          <w:sz w:val="20"/>
        </w:rPr>
        <w:t> </w:t>
      </w:r>
      <w:r>
        <w:rPr>
          <w:color w:val="231F20"/>
          <w:sz w:val="20"/>
        </w:rPr>
        <w:t>средним</w:t>
      </w:r>
      <w:r>
        <w:rPr>
          <w:color w:val="231F20"/>
          <w:spacing w:val="-11"/>
          <w:sz w:val="20"/>
        </w:rPr>
        <w:t> </w:t>
      </w:r>
      <w:r>
        <w:rPr>
          <w:color w:val="231F20"/>
          <w:sz w:val="20"/>
        </w:rPr>
        <w:t>и</w:t>
      </w:r>
      <w:r>
        <w:rPr>
          <w:color w:val="231F20"/>
          <w:spacing w:val="-12"/>
          <w:sz w:val="20"/>
        </w:rPr>
        <w:t> </w:t>
      </w:r>
      <w:r>
        <w:rPr>
          <w:color w:val="231F20"/>
          <w:sz w:val="20"/>
        </w:rPr>
        <w:t>особенно</w:t>
      </w:r>
      <w:r>
        <w:rPr>
          <w:color w:val="231F20"/>
          <w:spacing w:val="-11"/>
          <w:sz w:val="20"/>
        </w:rPr>
        <w:t> </w:t>
      </w:r>
      <w:r>
        <w:rPr>
          <w:color w:val="231F20"/>
          <w:sz w:val="20"/>
        </w:rPr>
        <w:t>высшим</w:t>
      </w:r>
      <w:r>
        <w:rPr>
          <w:color w:val="231F20"/>
          <w:spacing w:val="-11"/>
          <w:sz w:val="20"/>
        </w:rPr>
        <w:t> </w:t>
      </w:r>
      <w:r>
        <w:rPr>
          <w:color w:val="231F20"/>
          <w:sz w:val="20"/>
        </w:rPr>
        <w:t>обра- зованием может быть проще поддерживать ребенка в учении, собственный обра-</w:t>
      </w:r>
    </w:p>
    <w:p>
      <w:pPr>
        <w:pStyle w:val="ListParagraph"/>
        <w:spacing w:after="0" w:line="235" w:lineRule="auto"/>
        <w:jc w:val="both"/>
        <w:rPr>
          <w:sz w:val="20"/>
        </w:rPr>
        <w:sectPr>
          <w:pgSz w:w="8400" w:h="11910"/>
          <w:pgMar w:header="0" w:footer="535" w:top="400" w:bottom="720" w:left="425" w:right="425"/>
        </w:sectPr>
      </w:pPr>
    </w:p>
    <w:p>
      <w:pPr>
        <w:pStyle w:val="ListParagraph"/>
        <w:numPr>
          <w:ilvl w:val="1"/>
          <w:numId w:val="86"/>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Стратегии</w:t>
      </w:r>
      <w:r>
        <w:rPr>
          <w:rFonts w:ascii="Georgia" w:hAnsi="Georgia"/>
          <w:color w:val="231F20"/>
          <w:spacing w:val="1"/>
          <w:sz w:val="18"/>
        </w:rPr>
        <w:t> </w:t>
      </w:r>
      <w:r>
        <w:rPr>
          <w:rFonts w:ascii="Georgia" w:hAnsi="Georgia"/>
          <w:color w:val="231F20"/>
          <w:sz w:val="18"/>
        </w:rPr>
        <w:t>индивидуального</w:t>
      </w:r>
      <w:r>
        <w:rPr>
          <w:rFonts w:ascii="Georgia" w:hAnsi="Georgia"/>
          <w:color w:val="231F20"/>
          <w:spacing w:val="2"/>
          <w:sz w:val="18"/>
        </w:rPr>
        <w:t> </w:t>
      </w:r>
      <w:r>
        <w:rPr>
          <w:rFonts w:ascii="Georgia" w:hAnsi="Georgia"/>
          <w:color w:val="231F20"/>
          <w:sz w:val="18"/>
        </w:rPr>
        <w:t>взаимодействия</w:t>
      </w:r>
      <w:r>
        <w:rPr>
          <w:rFonts w:ascii="Georgia" w:hAnsi="Georgia"/>
          <w:color w:val="231F20"/>
          <w:spacing w:val="1"/>
          <w:sz w:val="18"/>
        </w:rPr>
        <w:t> </w:t>
      </w:r>
      <w:r>
        <w:rPr>
          <w:rFonts w:ascii="Georgia" w:hAnsi="Georgia"/>
          <w:color w:val="231F20"/>
          <w:sz w:val="18"/>
        </w:rPr>
        <w:t>с</w:t>
      </w:r>
      <w:r>
        <w:rPr>
          <w:rFonts w:ascii="Georgia" w:hAnsi="Georgia"/>
          <w:color w:val="231F20"/>
          <w:spacing w:val="2"/>
          <w:sz w:val="18"/>
        </w:rPr>
        <w:t> </w:t>
      </w:r>
      <w:r>
        <w:rPr>
          <w:rFonts w:ascii="Georgia" w:hAnsi="Georgia"/>
          <w:color w:val="231F20"/>
          <w:spacing w:val="-2"/>
          <w:sz w:val="18"/>
        </w:rPr>
        <w:t>родителями...</w:t>
      </w:r>
    </w:p>
    <w:p>
      <w:pPr>
        <w:pStyle w:val="BodyText"/>
        <w:spacing w:line="232" w:lineRule="auto" w:before="118"/>
        <w:ind w:left="425" w:firstLine="0"/>
      </w:pPr>
      <w:r>
        <w:rPr>
          <w:color w:val="231F20"/>
        </w:rPr>
        <w:t>зовательный</w:t>
      </w:r>
      <w:r>
        <w:rPr>
          <w:color w:val="231F20"/>
          <w:spacing w:val="-10"/>
        </w:rPr>
        <w:t> </w:t>
      </w:r>
      <w:r>
        <w:rPr>
          <w:color w:val="231F20"/>
        </w:rPr>
        <w:t>опыт</w:t>
      </w:r>
      <w:r>
        <w:rPr>
          <w:color w:val="231F20"/>
          <w:spacing w:val="-10"/>
        </w:rPr>
        <w:t> </w:t>
      </w:r>
      <w:r>
        <w:rPr>
          <w:color w:val="231F20"/>
        </w:rPr>
        <w:t>для</w:t>
      </w:r>
      <w:r>
        <w:rPr>
          <w:color w:val="231F20"/>
          <w:spacing w:val="-10"/>
        </w:rPr>
        <w:t> </w:t>
      </w:r>
      <w:r>
        <w:rPr>
          <w:color w:val="231F20"/>
        </w:rPr>
        <w:t>них</w:t>
      </w:r>
      <w:r>
        <w:rPr>
          <w:color w:val="231F20"/>
          <w:spacing w:val="-10"/>
        </w:rPr>
        <w:t> </w:t>
      </w:r>
      <w:r>
        <w:rPr>
          <w:color w:val="231F20"/>
        </w:rPr>
        <w:t>часто</w:t>
      </w:r>
      <w:r>
        <w:rPr>
          <w:color w:val="231F20"/>
          <w:spacing w:val="-10"/>
        </w:rPr>
        <w:t> </w:t>
      </w:r>
      <w:r>
        <w:rPr>
          <w:color w:val="231F20"/>
        </w:rPr>
        <w:t>становится</w:t>
      </w:r>
      <w:r>
        <w:rPr>
          <w:color w:val="231F20"/>
          <w:spacing w:val="-10"/>
        </w:rPr>
        <w:t> </w:t>
      </w:r>
      <w:r>
        <w:rPr>
          <w:color w:val="231F20"/>
        </w:rPr>
        <w:t>важным</w:t>
      </w:r>
      <w:r>
        <w:rPr>
          <w:color w:val="231F20"/>
          <w:spacing w:val="-10"/>
        </w:rPr>
        <w:t> </w:t>
      </w:r>
      <w:r>
        <w:rPr>
          <w:color w:val="231F20"/>
        </w:rPr>
        <w:t>ресурсом.</w:t>
      </w:r>
      <w:r>
        <w:rPr>
          <w:color w:val="231F20"/>
          <w:spacing w:val="-10"/>
        </w:rPr>
        <w:t> </w:t>
      </w:r>
      <w:r>
        <w:rPr>
          <w:color w:val="231F20"/>
        </w:rPr>
        <w:t>Однако</w:t>
      </w:r>
      <w:r>
        <w:rPr>
          <w:color w:val="231F20"/>
          <w:spacing w:val="-10"/>
        </w:rPr>
        <w:t> </w:t>
      </w:r>
      <w:r>
        <w:rPr>
          <w:color w:val="231F20"/>
        </w:rPr>
        <w:t>не</w:t>
      </w:r>
      <w:r>
        <w:rPr>
          <w:color w:val="231F20"/>
          <w:spacing w:val="-10"/>
        </w:rPr>
        <w:t> </w:t>
      </w:r>
      <w:r>
        <w:rPr>
          <w:color w:val="231F20"/>
        </w:rPr>
        <w:t>следует игнорировать</w:t>
      </w:r>
      <w:r>
        <w:rPr>
          <w:color w:val="231F20"/>
          <w:spacing w:val="-9"/>
        </w:rPr>
        <w:t> </w:t>
      </w:r>
      <w:r>
        <w:rPr>
          <w:color w:val="231F20"/>
        </w:rPr>
        <w:t>и</w:t>
      </w:r>
      <w:r>
        <w:rPr>
          <w:color w:val="231F20"/>
          <w:spacing w:val="-9"/>
        </w:rPr>
        <w:t> </w:t>
      </w:r>
      <w:r>
        <w:rPr>
          <w:color w:val="231F20"/>
        </w:rPr>
        <w:t>родителей</w:t>
      </w:r>
      <w:r>
        <w:rPr>
          <w:color w:val="231F20"/>
          <w:spacing w:val="-9"/>
        </w:rPr>
        <w:t> </w:t>
      </w:r>
      <w:r>
        <w:rPr>
          <w:color w:val="231F20"/>
        </w:rPr>
        <w:t>без</w:t>
      </w:r>
      <w:r>
        <w:rPr>
          <w:color w:val="231F20"/>
          <w:spacing w:val="-9"/>
        </w:rPr>
        <w:t> </w:t>
      </w:r>
      <w:r>
        <w:rPr>
          <w:color w:val="231F20"/>
        </w:rPr>
        <w:t>образования,</w:t>
      </w:r>
      <w:r>
        <w:rPr>
          <w:color w:val="231F20"/>
          <w:spacing w:val="-9"/>
        </w:rPr>
        <w:t> </w:t>
      </w:r>
      <w:r>
        <w:rPr>
          <w:color w:val="231F20"/>
        </w:rPr>
        <w:t>для</w:t>
      </w:r>
      <w:r>
        <w:rPr>
          <w:color w:val="231F20"/>
          <w:spacing w:val="-9"/>
        </w:rPr>
        <w:t> </w:t>
      </w:r>
      <w:r>
        <w:rPr>
          <w:color w:val="231F20"/>
        </w:rPr>
        <w:t>которых</w:t>
      </w:r>
      <w:r>
        <w:rPr>
          <w:color w:val="231F20"/>
          <w:spacing w:val="-9"/>
        </w:rPr>
        <w:t> </w:t>
      </w:r>
      <w:r>
        <w:rPr>
          <w:color w:val="231F20"/>
        </w:rPr>
        <w:t>порой</w:t>
      </w:r>
      <w:r>
        <w:rPr>
          <w:color w:val="231F20"/>
          <w:spacing w:val="-9"/>
        </w:rPr>
        <w:t> </w:t>
      </w:r>
      <w:r>
        <w:rPr>
          <w:color w:val="231F20"/>
        </w:rPr>
        <w:t>становятся</w:t>
      </w:r>
      <w:r>
        <w:rPr>
          <w:color w:val="231F20"/>
          <w:spacing w:val="-9"/>
        </w:rPr>
        <w:t> </w:t>
      </w:r>
      <w:r>
        <w:rPr>
          <w:color w:val="231F20"/>
        </w:rPr>
        <w:t>крайне важными учебные успехи детей.</w:t>
      </w:r>
    </w:p>
    <w:p>
      <w:pPr>
        <w:pStyle w:val="ListParagraph"/>
        <w:numPr>
          <w:ilvl w:val="2"/>
          <w:numId w:val="86"/>
        </w:numPr>
        <w:tabs>
          <w:tab w:pos="423" w:val="left" w:leader="none"/>
          <w:tab w:pos="425" w:val="left" w:leader="none"/>
        </w:tabs>
        <w:spacing w:line="232" w:lineRule="auto" w:before="0" w:after="0"/>
        <w:ind w:left="425" w:right="140" w:hanging="284"/>
        <w:jc w:val="both"/>
        <w:rPr>
          <w:sz w:val="20"/>
        </w:rPr>
      </w:pPr>
      <w:r>
        <w:rPr>
          <w:color w:val="231F20"/>
          <w:sz w:val="20"/>
        </w:rPr>
        <w:t>Наличие травматических событий в истории миграции семьи (боевые действия, природные катаклизмы и пр.).</w:t>
      </w:r>
    </w:p>
    <w:p>
      <w:pPr>
        <w:pStyle w:val="BodyText"/>
        <w:spacing w:line="232" w:lineRule="auto"/>
      </w:pPr>
      <w:r>
        <w:rPr>
          <w:color w:val="231F20"/>
        </w:rPr>
        <w:t>Собрать</w:t>
      </w:r>
      <w:r>
        <w:rPr>
          <w:color w:val="231F20"/>
          <w:spacing w:val="-5"/>
        </w:rPr>
        <w:t> </w:t>
      </w:r>
      <w:r>
        <w:rPr>
          <w:color w:val="231F20"/>
        </w:rPr>
        <w:t>всю</w:t>
      </w:r>
      <w:r>
        <w:rPr>
          <w:color w:val="231F20"/>
          <w:spacing w:val="-5"/>
        </w:rPr>
        <w:t> </w:t>
      </w:r>
      <w:r>
        <w:rPr>
          <w:color w:val="231F20"/>
        </w:rPr>
        <w:t>эту</w:t>
      </w:r>
      <w:r>
        <w:rPr>
          <w:color w:val="231F20"/>
          <w:spacing w:val="-5"/>
        </w:rPr>
        <w:t> </w:t>
      </w:r>
      <w:r>
        <w:rPr>
          <w:color w:val="231F20"/>
        </w:rPr>
        <w:t>информацию</w:t>
      </w:r>
      <w:r>
        <w:rPr>
          <w:color w:val="231F20"/>
          <w:spacing w:val="-5"/>
        </w:rPr>
        <w:t> </w:t>
      </w:r>
      <w:r>
        <w:rPr>
          <w:color w:val="231F20"/>
        </w:rPr>
        <w:t>единовременно</w:t>
      </w:r>
      <w:r>
        <w:rPr>
          <w:color w:val="231F20"/>
          <w:spacing w:val="-5"/>
        </w:rPr>
        <w:t> </w:t>
      </w:r>
      <w:r>
        <w:rPr>
          <w:color w:val="231F20"/>
        </w:rPr>
        <w:t>может</w:t>
      </w:r>
      <w:r>
        <w:rPr>
          <w:color w:val="231F20"/>
          <w:spacing w:val="-5"/>
        </w:rPr>
        <w:t> </w:t>
      </w:r>
      <w:r>
        <w:rPr>
          <w:color w:val="231F20"/>
        </w:rPr>
        <w:t>быть</w:t>
      </w:r>
      <w:r>
        <w:rPr>
          <w:color w:val="231F20"/>
          <w:spacing w:val="-5"/>
        </w:rPr>
        <w:t> </w:t>
      </w:r>
      <w:r>
        <w:rPr>
          <w:color w:val="231F20"/>
        </w:rPr>
        <w:t>затруднительно.</w:t>
      </w:r>
      <w:r>
        <w:rPr>
          <w:color w:val="231F20"/>
          <w:spacing w:val="-5"/>
        </w:rPr>
        <w:t> </w:t>
      </w:r>
      <w:r>
        <w:rPr>
          <w:color w:val="231F20"/>
        </w:rPr>
        <w:t>Часть сведений имеет личный характер, и родители смогут ими поделиться только при ус- ловии хорошего контакта и достаточного доверия. Важно помнить, что для получе- ния полной картины может потребоваться достаточно времени.</w:t>
      </w:r>
    </w:p>
    <w:p>
      <w:pPr>
        <w:pStyle w:val="BodyText"/>
        <w:spacing w:line="216" w:lineRule="exact"/>
        <w:ind w:left="425" w:right="0" w:firstLine="0"/>
      </w:pPr>
      <w:r>
        <w:rPr>
          <w:color w:val="231F20"/>
        </w:rPr>
        <w:t>Сбор</w:t>
      </w:r>
      <w:r>
        <w:rPr>
          <w:color w:val="231F20"/>
          <w:spacing w:val="-7"/>
        </w:rPr>
        <w:t> </w:t>
      </w:r>
      <w:r>
        <w:rPr>
          <w:color w:val="231F20"/>
        </w:rPr>
        <w:t>информации</w:t>
      </w:r>
      <w:r>
        <w:rPr>
          <w:color w:val="231F20"/>
          <w:spacing w:val="-7"/>
        </w:rPr>
        <w:t> </w:t>
      </w:r>
      <w:r>
        <w:rPr>
          <w:color w:val="231F20"/>
        </w:rPr>
        <w:t>может</w:t>
      </w:r>
      <w:r>
        <w:rPr>
          <w:color w:val="231F20"/>
          <w:spacing w:val="-6"/>
        </w:rPr>
        <w:t> </w:t>
      </w:r>
      <w:r>
        <w:rPr>
          <w:color w:val="231F20"/>
        </w:rPr>
        <w:t>производиться</w:t>
      </w:r>
      <w:r>
        <w:rPr>
          <w:color w:val="231F20"/>
          <w:spacing w:val="-6"/>
        </w:rPr>
        <w:t> </w:t>
      </w:r>
      <w:r>
        <w:rPr>
          <w:color w:val="231F20"/>
        </w:rPr>
        <w:t>следующим</w:t>
      </w:r>
      <w:r>
        <w:rPr>
          <w:color w:val="231F20"/>
          <w:spacing w:val="-6"/>
        </w:rPr>
        <w:t> </w:t>
      </w:r>
      <w:r>
        <w:rPr>
          <w:color w:val="231F20"/>
          <w:spacing w:val="-2"/>
        </w:rPr>
        <w:t>образом.</w:t>
      </w:r>
    </w:p>
    <w:p>
      <w:pPr>
        <w:pStyle w:val="ListParagraph"/>
        <w:numPr>
          <w:ilvl w:val="2"/>
          <w:numId w:val="86"/>
        </w:numPr>
        <w:tabs>
          <w:tab w:pos="423" w:val="left" w:leader="none"/>
          <w:tab w:pos="425" w:val="left" w:leader="none"/>
        </w:tabs>
        <w:spacing w:line="232" w:lineRule="auto" w:before="0" w:after="0"/>
        <w:ind w:left="425" w:right="139" w:hanging="284"/>
        <w:jc w:val="both"/>
        <w:rPr>
          <w:sz w:val="20"/>
        </w:rPr>
      </w:pPr>
      <w:r>
        <w:rPr>
          <w:color w:val="231F20"/>
          <w:sz w:val="20"/>
        </w:rPr>
        <w:t>В ходе общеклассного анкетирования. Этот вариант подходит для родителей, в достаточной степени владеющих русским языком, и помогает им включиться в общую</w:t>
      </w:r>
      <w:r>
        <w:rPr>
          <w:color w:val="231F20"/>
          <w:spacing w:val="-13"/>
          <w:sz w:val="20"/>
        </w:rPr>
        <w:t> </w:t>
      </w:r>
      <w:r>
        <w:rPr>
          <w:color w:val="231F20"/>
          <w:sz w:val="20"/>
        </w:rPr>
        <w:t>жизнедеятельность.</w:t>
      </w:r>
      <w:r>
        <w:rPr>
          <w:color w:val="231F20"/>
          <w:spacing w:val="-12"/>
          <w:sz w:val="20"/>
        </w:rPr>
        <w:t> </w:t>
      </w:r>
      <w:r>
        <w:rPr>
          <w:color w:val="231F20"/>
          <w:sz w:val="20"/>
        </w:rPr>
        <w:t>Если</w:t>
      </w:r>
      <w:r>
        <w:rPr>
          <w:color w:val="231F20"/>
          <w:spacing w:val="-13"/>
          <w:sz w:val="20"/>
        </w:rPr>
        <w:t> </w:t>
      </w:r>
      <w:r>
        <w:rPr>
          <w:color w:val="231F20"/>
          <w:sz w:val="20"/>
        </w:rPr>
        <w:t>в</w:t>
      </w:r>
      <w:r>
        <w:rPr>
          <w:color w:val="231F20"/>
          <w:spacing w:val="-12"/>
          <w:sz w:val="20"/>
        </w:rPr>
        <w:t> </w:t>
      </w:r>
      <w:r>
        <w:rPr>
          <w:color w:val="231F20"/>
          <w:sz w:val="20"/>
        </w:rPr>
        <w:t>классе</w:t>
      </w:r>
      <w:r>
        <w:rPr>
          <w:color w:val="231F20"/>
          <w:spacing w:val="-13"/>
          <w:sz w:val="20"/>
        </w:rPr>
        <w:t> </w:t>
      </w:r>
      <w:r>
        <w:rPr>
          <w:color w:val="231F20"/>
          <w:sz w:val="20"/>
        </w:rPr>
        <w:t>проводится</w:t>
      </w:r>
      <w:r>
        <w:rPr>
          <w:color w:val="231F20"/>
          <w:spacing w:val="-12"/>
          <w:sz w:val="20"/>
        </w:rPr>
        <w:t> </w:t>
      </w:r>
      <w:r>
        <w:rPr>
          <w:color w:val="231F20"/>
          <w:sz w:val="20"/>
        </w:rPr>
        <w:t>анкетирование,</w:t>
      </w:r>
      <w:r>
        <w:rPr>
          <w:color w:val="231F20"/>
          <w:spacing w:val="-13"/>
          <w:sz w:val="20"/>
        </w:rPr>
        <w:t> </w:t>
      </w:r>
      <w:r>
        <w:rPr>
          <w:color w:val="231F20"/>
          <w:sz w:val="20"/>
        </w:rPr>
        <w:t>но</w:t>
      </w:r>
      <w:r>
        <w:rPr>
          <w:color w:val="231F20"/>
          <w:spacing w:val="-12"/>
          <w:sz w:val="20"/>
        </w:rPr>
        <w:t> </w:t>
      </w:r>
      <w:r>
        <w:rPr>
          <w:color w:val="231F20"/>
          <w:sz w:val="20"/>
        </w:rPr>
        <w:t>родители в силу недостаточного владения языком не ответили на вопросы, целесообразно договориться с ними об отдельной встрече (по необходимости с приглашением волонтеров-переводчиков). Также возможно отдать анкету домой и попросить принести,</w:t>
      </w:r>
      <w:r>
        <w:rPr>
          <w:color w:val="231F20"/>
          <w:spacing w:val="-2"/>
          <w:sz w:val="20"/>
        </w:rPr>
        <w:t> </w:t>
      </w:r>
      <w:r>
        <w:rPr>
          <w:color w:val="231F20"/>
          <w:sz w:val="20"/>
        </w:rPr>
        <w:t>но</w:t>
      </w:r>
      <w:r>
        <w:rPr>
          <w:color w:val="231F20"/>
          <w:spacing w:val="-2"/>
          <w:sz w:val="20"/>
        </w:rPr>
        <w:t> </w:t>
      </w:r>
      <w:r>
        <w:rPr>
          <w:color w:val="231F20"/>
          <w:sz w:val="20"/>
        </w:rPr>
        <w:t>в</w:t>
      </w:r>
      <w:r>
        <w:rPr>
          <w:color w:val="231F20"/>
          <w:spacing w:val="-2"/>
          <w:sz w:val="20"/>
        </w:rPr>
        <w:t> </w:t>
      </w:r>
      <w:r>
        <w:rPr>
          <w:color w:val="231F20"/>
          <w:sz w:val="20"/>
        </w:rPr>
        <w:t>этом</w:t>
      </w:r>
      <w:r>
        <w:rPr>
          <w:color w:val="231F20"/>
          <w:spacing w:val="-2"/>
          <w:sz w:val="20"/>
        </w:rPr>
        <w:t> </w:t>
      </w:r>
      <w:r>
        <w:rPr>
          <w:color w:val="231F20"/>
          <w:sz w:val="20"/>
        </w:rPr>
        <w:t>случае</w:t>
      </w:r>
      <w:r>
        <w:rPr>
          <w:color w:val="231F20"/>
          <w:spacing w:val="-2"/>
          <w:sz w:val="20"/>
        </w:rPr>
        <w:t> </w:t>
      </w:r>
      <w:r>
        <w:rPr>
          <w:color w:val="231F20"/>
          <w:sz w:val="20"/>
        </w:rPr>
        <w:t>целесообразно</w:t>
      </w:r>
      <w:r>
        <w:rPr>
          <w:color w:val="231F20"/>
          <w:spacing w:val="-2"/>
          <w:sz w:val="20"/>
        </w:rPr>
        <w:t> </w:t>
      </w:r>
      <w:r>
        <w:rPr>
          <w:color w:val="231F20"/>
          <w:sz w:val="20"/>
        </w:rPr>
        <w:t>также</w:t>
      </w:r>
      <w:r>
        <w:rPr>
          <w:color w:val="231F20"/>
          <w:spacing w:val="-2"/>
          <w:sz w:val="20"/>
        </w:rPr>
        <w:t> </w:t>
      </w:r>
      <w:r>
        <w:rPr>
          <w:color w:val="231F20"/>
          <w:sz w:val="20"/>
        </w:rPr>
        <w:t>привлечь</w:t>
      </w:r>
      <w:r>
        <w:rPr>
          <w:color w:val="231F20"/>
          <w:spacing w:val="-2"/>
          <w:sz w:val="20"/>
        </w:rPr>
        <w:t> </w:t>
      </w:r>
      <w:r>
        <w:rPr>
          <w:color w:val="231F20"/>
          <w:sz w:val="20"/>
        </w:rPr>
        <w:t>какого-то</w:t>
      </w:r>
      <w:r>
        <w:rPr>
          <w:color w:val="231F20"/>
          <w:spacing w:val="-2"/>
          <w:sz w:val="20"/>
        </w:rPr>
        <w:t> </w:t>
      </w:r>
      <w:r>
        <w:rPr>
          <w:color w:val="231F20"/>
          <w:sz w:val="20"/>
        </w:rPr>
        <w:t>посредника, который сможет объяснить родителям важность анкеты и поможет ее заполнить.</w:t>
      </w:r>
    </w:p>
    <w:p>
      <w:pPr>
        <w:pStyle w:val="ListParagraph"/>
        <w:numPr>
          <w:ilvl w:val="2"/>
          <w:numId w:val="86"/>
        </w:numPr>
        <w:tabs>
          <w:tab w:pos="423" w:val="left" w:leader="none"/>
          <w:tab w:pos="425" w:val="left" w:leader="none"/>
        </w:tabs>
        <w:spacing w:line="232" w:lineRule="auto" w:before="0" w:after="0"/>
        <w:ind w:left="425" w:right="139" w:hanging="284"/>
        <w:jc w:val="both"/>
        <w:rPr>
          <w:sz w:val="20"/>
        </w:rPr>
      </w:pPr>
      <w:r>
        <w:rPr>
          <w:color w:val="231F20"/>
          <w:sz w:val="20"/>
        </w:rPr>
        <w:t>В рамках индивидуальных бесед. Подобные беседы могут проводиться с пригла- шением</w:t>
      </w:r>
      <w:r>
        <w:rPr>
          <w:color w:val="231F20"/>
          <w:spacing w:val="-8"/>
          <w:sz w:val="20"/>
        </w:rPr>
        <w:t> </w:t>
      </w:r>
      <w:r>
        <w:rPr>
          <w:color w:val="231F20"/>
          <w:sz w:val="20"/>
        </w:rPr>
        <w:t>помощников</w:t>
      </w:r>
      <w:r>
        <w:rPr>
          <w:color w:val="231F20"/>
          <w:spacing w:val="-8"/>
          <w:sz w:val="20"/>
        </w:rPr>
        <w:t> </w:t>
      </w:r>
      <w:r>
        <w:rPr>
          <w:color w:val="231F20"/>
          <w:sz w:val="20"/>
        </w:rPr>
        <w:t>(других</w:t>
      </w:r>
      <w:r>
        <w:rPr>
          <w:color w:val="231F20"/>
          <w:spacing w:val="-8"/>
          <w:sz w:val="20"/>
        </w:rPr>
        <w:t> </w:t>
      </w:r>
      <w:r>
        <w:rPr>
          <w:color w:val="231F20"/>
          <w:sz w:val="20"/>
        </w:rPr>
        <w:t>родителей,</w:t>
      </w:r>
      <w:r>
        <w:rPr>
          <w:color w:val="231F20"/>
          <w:spacing w:val="-8"/>
          <w:sz w:val="20"/>
        </w:rPr>
        <w:t> </w:t>
      </w:r>
      <w:r>
        <w:rPr>
          <w:color w:val="231F20"/>
          <w:sz w:val="20"/>
        </w:rPr>
        <w:t>старшеклассников</w:t>
      </w:r>
      <w:r>
        <w:rPr>
          <w:color w:val="231F20"/>
          <w:spacing w:val="-8"/>
          <w:sz w:val="20"/>
        </w:rPr>
        <w:t> </w:t>
      </w:r>
      <w:r>
        <w:rPr>
          <w:color w:val="231F20"/>
          <w:sz w:val="20"/>
        </w:rPr>
        <w:t>и</w:t>
      </w:r>
      <w:r>
        <w:rPr>
          <w:color w:val="231F20"/>
          <w:spacing w:val="-8"/>
          <w:sz w:val="20"/>
        </w:rPr>
        <w:t> </w:t>
      </w:r>
      <w:r>
        <w:rPr>
          <w:color w:val="231F20"/>
          <w:sz w:val="20"/>
        </w:rPr>
        <w:t>пр.),</w:t>
      </w:r>
      <w:r>
        <w:rPr>
          <w:color w:val="231F20"/>
          <w:spacing w:val="-8"/>
          <w:sz w:val="20"/>
        </w:rPr>
        <w:t> </w:t>
      </w:r>
      <w:r>
        <w:rPr>
          <w:color w:val="231F20"/>
          <w:sz w:val="20"/>
        </w:rPr>
        <w:t>с</w:t>
      </w:r>
      <w:r>
        <w:rPr>
          <w:color w:val="231F20"/>
          <w:spacing w:val="-8"/>
          <w:sz w:val="20"/>
        </w:rPr>
        <w:t> </w:t>
      </w:r>
      <w:r>
        <w:rPr>
          <w:color w:val="231F20"/>
          <w:sz w:val="20"/>
        </w:rPr>
        <w:t>приглашени- ем педагогов по русскому как иностранному. Такая беседа может расцениваться родителями как показатель их отличия от остальных, поэтому важно нормализо- вать эту ситуацию и подчеркнуть, что вы беседуете со многими/всеми родителя- ми.</w:t>
      </w:r>
      <w:r>
        <w:rPr>
          <w:color w:val="231F20"/>
          <w:spacing w:val="-8"/>
          <w:sz w:val="20"/>
        </w:rPr>
        <w:t> </w:t>
      </w:r>
      <w:r>
        <w:rPr>
          <w:color w:val="231F20"/>
          <w:sz w:val="20"/>
        </w:rPr>
        <w:t>Важно</w:t>
      </w:r>
      <w:r>
        <w:rPr>
          <w:color w:val="231F20"/>
          <w:spacing w:val="-8"/>
          <w:sz w:val="20"/>
        </w:rPr>
        <w:t> </w:t>
      </w:r>
      <w:r>
        <w:rPr>
          <w:color w:val="231F20"/>
          <w:sz w:val="20"/>
        </w:rPr>
        <w:t>строить</w:t>
      </w:r>
      <w:r>
        <w:rPr>
          <w:color w:val="231F20"/>
          <w:spacing w:val="-8"/>
          <w:sz w:val="20"/>
        </w:rPr>
        <w:t> </w:t>
      </w:r>
      <w:r>
        <w:rPr>
          <w:color w:val="231F20"/>
          <w:sz w:val="20"/>
        </w:rPr>
        <w:t>беседу</w:t>
      </w:r>
      <w:r>
        <w:rPr>
          <w:color w:val="231F20"/>
          <w:spacing w:val="-8"/>
          <w:sz w:val="20"/>
        </w:rPr>
        <w:t> </w:t>
      </w:r>
      <w:r>
        <w:rPr>
          <w:color w:val="231F20"/>
          <w:sz w:val="20"/>
        </w:rPr>
        <w:t>в</w:t>
      </w:r>
      <w:r>
        <w:rPr>
          <w:color w:val="231F20"/>
          <w:spacing w:val="-8"/>
          <w:sz w:val="20"/>
        </w:rPr>
        <w:t> </w:t>
      </w:r>
      <w:r>
        <w:rPr>
          <w:color w:val="231F20"/>
          <w:sz w:val="20"/>
        </w:rPr>
        <w:t>поддерживающем</w:t>
      </w:r>
      <w:r>
        <w:rPr>
          <w:color w:val="231F20"/>
          <w:spacing w:val="-8"/>
          <w:sz w:val="20"/>
        </w:rPr>
        <w:t> </w:t>
      </w:r>
      <w:r>
        <w:rPr>
          <w:color w:val="231F20"/>
          <w:sz w:val="20"/>
        </w:rPr>
        <w:t>и</w:t>
      </w:r>
      <w:r>
        <w:rPr>
          <w:color w:val="231F20"/>
          <w:spacing w:val="-8"/>
          <w:sz w:val="20"/>
        </w:rPr>
        <w:t> </w:t>
      </w:r>
      <w:r>
        <w:rPr>
          <w:color w:val="231F20"/>
          <w:sz w:val="20"/>
        </w:rPr>
        <w:t>уважительном</w:t>
      </w:r>
      <w:r>
        <w:rPr>
          <w:color w:val="231F20"/>
          <w:spacing w:val="-8"/>
          <w:sz w:val="20"/>
        </w:rPr>
        <w:t> </w:t>
      </w:r>
      <w:r>
        <w:rPr>
          <w:color w:val="231F20"/>
          <w:sz w:val="20"/>
        </w:rPr>
        <w:t>тоне.</w:t>
      </w:r>
      <w:r>
        <w:rPr>
          <w:color w:val="231F20"/>
          <w:spacing w:val="-8"/>
          <w:sz w:val="20"/>
        </w:rPr>
        <w:t> </w:t>
      </w:r>
      <w:r>
        <w:rPr>
          <w:color w:val="231F20"/>
          <w:sz w:val="20"/>
        </w:rPr>
        <w:t>Необходимо донести до родителя, что вы хотели бы лучше узнать его самого и его ребенка, чтобы ваше взаимодействие было более продуктивным.</w:t>
      </w:r>
    </w:p>
    <w:p>
      <w:pPr>
        <w:pStyle w:val="ListParagraph"/>
        <w:numPr>
          <w:ilvl w:val="2"/>
          <w:numId w:val="86"/>
        </w:numPr>
        <w:tabs>
          <w:tab w:pos="423" w:val="left" w:leader="none"/>
          <w:tab w:pos="425" w:val="left" w:leader="none"/>
        </w:tabs>
        <w:spacing w:line="232" w:lineRule="auto" w:before="0" w:after="0"/>
        <w:ind w:left="425" w:right="139" w:hanging="284"/>
        <w:jc w:val="both"/>
        <w:rPr>
          <w:sz w:val="20"/>
        </w:rPr>
      </w:pPr>
      <w:r>
        <w:rPr>
          <w:color w:val="231F20"/>
          <w:sz w:val="20"/>
        </w:rPr>
        <w:t>В рамках индивидуальных заданий, в том числе домашних, проектов и пр. Так, ребенок</w:t>
      </w:r>
      <w:r>
        <w:rPr>
          <w:color w:val="231F20"/>
          <w:spacing w:val="-13"/>
          <w:sz w:val="20"/>
        </w:rPr>
        <w:t> </w:t>
      </w:r>
      <w:r>
        <w:rPr>
          <w:color w:val="231F20"/>
          <w:sz w:val="20"/>
        </w:rPr>
        <w:t>может</w:t>
      </w:r>
      <w:r>
        <w:rPr>
          <w:color w:val="231F20"/>
          <w:spacing w:val="-12"/>
          <w:sz w:val="20"/>
        </w:rPr>
        <w:t> </w:t>
      </w:r>
      <w:r>
        <w:rPr>
          <w:color w:val="231F20"/>
          <w:sz w:val="20"/>
        </w:rPr>
        <w:t>получить</w:t>
      </w:r>
      <w:r>
        <w:rPr>
          <w:color w:val="231F20"/>
          <w:spacing w:val="-13"/>
          <w:sz w:val="20"/>
        </w:rPr>
        <w:t> </w:t>
      </w:r>
      <w:r>
        <w:rPr>
          <w:color w:val="231F20"/>
          <w:sz w:val="20"/>
        </w:rPr>
        <w:t>задание</w:t>
      </w:r>
      <w:r>
        <w:rPr>
          <w:color w:val="231F20"/>
          <w:spacing w:val="-12"/>
          <w:sz w:val="20"/>
        </w:rPr>
        <w:t> </w:t>
      </w:r>
      <w:r>
        <w:rPr>
          <w:color w:val="231F20"/>
          <w:sz w:val="20"/>
        </w:rPr>
        <w:t>нарисовать</w:t>
      </w:r>
      <w:r>
        <w:rPr>
          <w:color w:val="231F20"/>
          <w:spacing w:val="-13"/>
          <w:sz w:val="20"/>
        </w:rPr>
        <w:t> </w:t>
      </w:r>
      <w:r>
        <w:rPr>
          <w:color w:val="231F20"/>
          <w:sz w:val="20"/>
        </w:rPr>
        <w:t>семейное</w:t>
      </w:r>
      <w:r>
        <w:rPr>
          <w:color w:val="231F20"/>
          <w:spacing w:val="-12"/>
          <w:sz w:val="20"/>
        </w:rPr>
        <w:t> </w:t>
      </w:r>
      <w:r>
        <w:rPr>
          <w:color w:val="231F20"/>
          <w:sz w:val="20"/>
        </w:rPr>
        <w:t>древо</w:t>
      </w:r>
      <w:r>
        <w:rPr>
          <w:color w:val="231F20"/>
          <w:spacing w:val="-13"/>
          <w:sz w:val="20"/>
        </w:rPr>
        <w:t> </w:t>
      </w:r>
      <w:r>
        <w:rPr>
          <w:color w:val="231F20"/>
          <w:sz w:val="20"/>
        </w:rPr>
        <w:t>или</w:t>
      </w:r>
      <w:r>
        <w:rPr>
          <w:color w:val="231F20"/>
          <w:spacing w:val="-12"/>
          <w:sz w:val="20"/>
        </w:rPr>
        <w:t> </w:t>
      </w:r>
      <w:r>
        <w:rPr>
          <w:color w:val="231F20"/>
          <w:sz w:val="20"/>
        </w:rPr>
        <w:t>подготовить</w:t>
      </w:r>
      <w:r>
        <w:rPr>
          <w:color w:val="231F20"/>
          <w:spacing w:val="-13"/>
          <w:sz w:val="20"/>
        </w:rPr>
        <w:t> </w:t>
      </w:r>
      <w:r>
        <w:rPr>
          <w:color w:val="231F20"/>
          <w:sz w:val="20"/>
        </w:rPr>
        <w:t>рас- сказ</w:t>
      </w:r>
      <w:r>
        <w:rPr>
          <w:color w:val="231F20"/>
          <w:spacing w:val="-13"/>
          <w:sz w:val="20"/>
        </w:rPr>
        <w:t> </w:t>
      </w:r>
      <w:r>
        <w:rPr>
          <w:color w:val="231F20"/>
          <w:sz w:val="20"/>
        </w:rPr>
        <w:t>о</w:t>
      </w:r>
      <w:r>
        <w:rPr>
          <w:color w:val="231F20"/>
          <w:spacing w:val="-12"/>
          <w:sz w:val="20"/>
        </w:rPr>
        <w:t> </w:t>
      </w:r>
      <w:r>
        <w:rPr>
          <w:color w:val="231F20"/>
          <w:sz w:val="20"/>
        </w:rPr>
        <w:t>семье,</w:t>
      </w:r>
      <w:r>
        <w:rPr>
          <w:color w:val="231F20"/>
          <w:spacing w:val="-13"/>
          <w:sz w:val="20"/>
        </w:rPr>
        <w:t> </w:t>
      </w:r>
      <w:r>
        <w:rPr>
          <w:color w:val="231F20"/>
          <w:sz w:val="20"/>
        </w:rPr>
        <w:t>и</w:t>
      </w:r>
      <w:r>
        <w:rPr>
          <w:color w:val="231F20"/>
          <w:spacing w:val="-12"/>
          <w:sz w:val="20"/>
        </w:rPr>
        <w:t> </w:t>
      </w:r>
      <w:r>
        <w:rPr>
          <w:color w:val="231F20"/>
          <w:sz w:val="20"/>
        </w:rPr>
        <w:t>можно</w:t>
      </w:r>
      <w:r>
        <w:rPr>
          <w:color w:val="231F20"/>
          <w:spacing w:val="-13"/>
          <w:sz w:val="20"/>
        </w:rPr>
        <w:t> </w:t>
      </w:r>
      <w:r>
        <w:rPr>
          <w:color w:val="231F20"/>
          <w:sz w:val="20"/>
        </w:rPr>
        <w:t>предложить</w:t>
      </w:r>
      <w:r>
        <w:rPr>
          <w:color w:val="231F20"/>
          <w:spacing w:val="-12"/>
          <w:sz w:val="20"/>
        </w:rPr>
        <w:t> </w:t>
      </w:r>
      <w:r>
        <w:rPr>
          <w:color w:val="231F20"/>
          <w:sz w:val="20"/>
        </w:rPr>
        <w:t>родителями</w:t>
      </w:r>
      <w:r>
        <w:rPr>
          <w:color w:val="231F20"/>
          <w:spacing w:val="-13"/>
          <w:sz w:val="20"/>
        </w:rPr>
        <w:t> </w:t>
      </w:r>
      <w:r>
        <w:rPr>
          <w:color w:val="231F20"/>
          <w:sz w:val="20"/>
        </w:rPr>
        <w:t>выполнить</w:t>
      </w:r>
      <w:r>
        <w:rPr>
          <w:color w:val="231F20"/>
          <w:spacing w:val="-12"/>
          <w:sz w:val="20"/>
        </w:rPr>
        <w:t> </w:t>
      </w:r>
      <w:r>
        <w:rPr>
          <w:color w:val="231F20"/>
          <w:sz w:val="20"/>
        </w:rPr>
        <w:t>это</w:t>
      </w:r>
      <w:r>
        <w:rPr>
          <w:color w:val="231F20"/>
          <w:spacing w:val="-13"/>
          <w:sz w:val="20"/>
        </w:rPr>
        <w:t> </w:t>
      </w:r>
      <w:r>
        <w:rPr>
          <w:color w:val="231F20"/>
          <w:sz w:val="20"/>
        </w:rPr>
        <w:t>задание</w:t>
      </w:r>
      <w:r>
        <w:rPr>
          <w:color w:val="231F20"/>
          <w:spacing w:val="-12"/>
          <w:sz w:val="20"/>
        </w:rPr>
        <w:t> </w:t>
      </w:r>
      <w:r>
        <w:rPr>
          <w:color w:val="231F20"/>
          <w:sz w:val="20"/>
        </w:rPr>
        <w:t>совместно</w:t>
      </w:r>
      <w:r>
        <w:rPr>
          <w:color w:val="231F20"/>
          <w:spacing w:val="-13"/>
          <w:sz w:val="20"/>
        </w:rPr>
        <w:t> </w:t>
      </w:r>
      <w:r>
        <w:rPr>
          <w:color w:val="231F20"/>
          <w:sz w:val="20"/>
        </w:rPr>
        <w:t>с </w:t>
      </w:r>
      <w:r>
        <w:rPr>
          <w:color w:val="231F20"/>
          <w:spacing w:val="-4"/>
          <w:sz w:val="20"/>
        </w:rPr>
        <w:t>ним.</w:t>
      </w:r>
    </w:p>
    <w:p>
      <w:pPr>
        <w:pStyle w:val="BodyText"/>
        <w:spacing w:line="235" w:lineRule="auto"/>
      </w:pPr>
      <w:r>
        <w:rPr>
          <w:color w:val="231F20"/>
        </w:rPr>
        <w:t>Важно</w:t>
      </w:r>
      <w:r>
        <w:rPr>
          <w:color w:val="231F20"/>
          <w:spacing w:val="-12"/>
        </w:rPr>
        <w:t> </w:t>
      </w:r>
      <w:r>
        <w:rPr>
          <w:color w:val="231F20"/>
        </w:rPr>
        <w:t>рассматривать</w:t>
      </w:r>
      <w:r>
        <w:rPr>
          <w:color w:val="231F20"/>
          <w:spacing w:val="-12"/>
        </w:rPr>
        <w:t> </w:t>
      </w:r>
      <w:r>
        <w:rPr>
          <w:color w:val="231F20"/>
        </w:rPr>
        <w:t>родителей</w:t>
      </w:r>
      <w:r>
        <w:rPr>
          <w:color w:val="231F20"/>
          <w:spacing w:val="-13"/>
        </w:rPr>
        <w:t> </w:t>
      </w:r>
      <w:r>
        <w:rPr>
          <w:color w:val="231F20"/>
        </w:rPr>
        <w:t>как</w:t>
      </w:r>
      <w:r>
        <w:rPr>
          <w:color w:val="231F20"/>
          <w:spacing w:val="-12"/>
        </w:rPr>
        <w:t> </w:t>
      </w:r>
      <w:r>
        <w:rPr>
          <w:color w:val="231F20"/>
        </w:rPr>
        <w:t>экспертов</w:t>
      </w:r>
      <w:r>
        <w:rPr>
          <w:color w:val="231F20"/>
          <w:spacing w:val="-12"/>
        </w:rPr>
        <w:t> </w:t>
      </w:r>
      <w:r>
        <w:rPr>
          <w:color w:val="231F20"/>
        </w:rPr>
        <w:t>и</w:t>
      </w:r>
      <w:r>
        <w:rPr>
          <w:color w:val="231F20"/>
          <w:spacing w:val="-12"/>
        </w:rPr>
        <w:t> </w:t>
      </w:r>
      <w:r>
        <w:rPr>
          <w:color w:val="231F20"/>
        </w:rPr>
        <w:t>обращаться</w:t>
      </w:r>
      <w:r>
        <w:rPr>
          <w:color w:val="231F20"/>
          <w:spacing w:val="-12"/>
        </w:rPr>
        <w:t> </w:t>
      </w:r>
      <w:r>
        <w:rPr>
          <w:color w:val="231F20"/>
        </w:rPr>
        <w:t>к</w:t>
      </w:r>
      <w:r>
        <w:rPr>
          <w:color w:val="231F20"/>
          <w:spacing w:val="-12"/>
        </w:rPr>
        <w:t> </w:t>
      </w:r>
      <w:r>
        <w:rPr>
          <w:color w:val="231F20"/>
        </w:rPr>
        <w:t>ним</w:t>
      </w:r>
      <w:r>
        <w:rPr>
          <w:color w:val="231F20"/>
          <w:spacing w:val="-12"/>
        </w:rPr>
        <w:t> </w:t>
      </w:r>
      <w:r>
        <w:rPr>
          <w:color w:val="231F20"/>
        </w:rPr>
        <w:t>за</w:t>
      </w:r>
      <w:r>
        <w:rPr>
          <w:color w:val="231F20"/>
          <w:spacing w:val="-12"/>
        </w:rPr>
        <w:t> </w:t>
      </w:r>
      <w:r>
        <w:rPr>
          <w:color w:val="231F20"/>
        </w:rPr>
        <w:t>информаци- ей о ребенке, о культурных правилах, праздниках и пр.</w:t>
      </w:r>
    </w:p>
    <w:p>
      <w:pPr>
        <w:pStyle w:val="BodyText"/>
        <w:spacing w:line="235" w:lineRule="auto"/>
        <w:ind w:right="140"/>
      </w:pPr>
      <w:r>
        <w:rPr>
          <w:color w:val="231F20"/>
        </w:rPr>
        <w:t>Если было принято решение проводить анкетирование, необходимо учитывать следующую специфику анкеты как инструмента.</w:t>
      </w:r>
    </w:p>
    <w:p>
      <w:pPr>
        <w:pStyle w:val="ListParagraph"/>
        <w:numPr>
          <w:ilvl w:val="0"/>
          <w:numId w:val="95"/>
        </w:numPr>
        <w:tabs>
          <w:tab w:pos="425" w:val="left" w:leader="none"/>
        </w:tabs>
        <w:spacing w:line="235" w:lineRule="auto" w:before="0" w:after="0"/>
        <w:ind w:left="425" w:right="139" w:hanging="284"/>
        <w:jc w:val="both"/>
        <w:rPr>
          <w:sz w:val="20"/>
        </w:rPr>
      </w:pPr>
      <w:r>
        <w:rPr>
          <w:color w:val="231F20"/>
          <w:sz w:val="20"/>
        </w:rPr>
        <w:t>Анкета – это упорядоченный перечень вопросов</w:t>
      </w:r>
      <w:r>
        <w:rPr>
          <w:color w:val="231F20"/>
          <w:spacing w:val="-1"/>
          <w:sz w:val="20"/>
        </w:rPr>
        <w:t> </w:t>
      </w:r>
      <w:r>
        <w:rPr>
          <w:color w:val="231F20"/>
          <w:sz w:val="20"/>
        </w:rPr>
        <w:t>по определенной</w:t>
      </w:r>
      <w:r>
        <w:rPr>
          <w:color w:val="231F20"/>
          <w:spacing w:val="-1"/>
          <w:sz w:val="20"/>
        </w:rPr>
        <w:t> </w:t>
      </w:r>
      <w:r>
        <w:rPr>
          <w:color w:val="231F20"/>
          <w:sz w:val="20"/>
        </w:rPr>
        <w:t>тематике, при- чем</w:t>
      </w:r>
      <w:r>
        <w:rPr>
          <w:color w:val="231F20"/>
          <w:spacing w:val="-1"/>
          <w:sz w:val="20"/>
        </w:rPr>
        <w:t> </w:t>
      </w:r>
      <w:r>
        <w:rPr>
          <w:color w:val="231F20"/>
          <w:sz w:val="20"/>
        </w:rPr>
        <w:t>каждый</w:t>
      </w:r>
      <w:r>
        <w:rPr>
          <w:color w:val="231F20"/>
          <w:spacing w:val="-2"/>
          <w:sz w:val="20"/>
        </w:rPr>
        <w:t> </w:t>
      </w:r>
      <w:r>
        <w:rPr>
          <w:color w:val="231F20"/>
          <w:sz w:val="20"/>
        </w:rPr>
        <w:t>вопрос</w:t>
      </w:r>
      <w:r>
        <w:rPr>
          <w:color w:val="231F20"/>
          <w:spacing w:val="-1"/>
          <w:sz w:val="20"/>
        </w:rPr>
        <w:t> </w:t>
      </w:r>
      <w:r>
        <w:rPr>
          <w:color w:val="231F20"/>
          <w:sz w:val="20"/>
        </w:rPr>
        <w:t>имеет</w:t>
      </w:r>
      <w:r>
        <w:rPr>
          <w:color w:val="231F20"/>
          <w:spacing w:val="-1"/>
          <w:sz w:val="20"/>
        </w:rPr>
        <w:t> </w:t>
      </w:r>
      <w:r>
        <w:rPr>
          <w:color w:val="231F20"/>
          <w:sz w:val="20"/>
        </w:rPr>
        <w:t>самостоятельное</w:t>
      </w:r>
      <w:r>
        <w:rPr>
          <w:color w:val="231F20"/>
          <w:spacing w:val="-1"/>
          <w:sz w:val="20"/>
        </w:rPr>
        <w:t> </w:t>
      </w:r>
      <w:r>
        <w:rPr>
          <w:color w:val="231F20"/>
          <w:sz w:val="20"/>
        </w:rPr>
        <w:t>значение</w:t>
      </w:r>
      <w:r>
        <w:rPr>
          <w:color w:val="231F20"/>
          <w:spacing w:val="-1"/>
          <w:sz w:val="20"/>
        </w:rPr>
        <w:t> </w:t>
      </w:r>
      <w:r>
        <w:rPr>
          <w:color w:val="231F20"/>
          <w:sz w:val="20"/>
        </w:rPr>
        <w:t>и</w:t>
      </w:r>
      <w:r>
        <w:rPr>
          <w:color w:val="231F20"/>
          <w:spacing w:val="-2"/>
          <w:sz w:val="20"/>
        </w:rPr>
        <w:t> </w:t>
      </w:r>
      <w:r>
        <w:rPr>
          <w:color w:val="231F20"/>
          <w:sz w:val="20"/>
        </w:rPr>
        <w:t>обрабатывается</w:t>
      </w:r>
      <w:r>
        <w:rPr>
          <w:color w:val="231F20"/>
          <w:spacing w:val="-1"/>
          <w:sz w:val="20"/>
        </w:rPr>
        <w:t> </w:t>
      </w:r>
      <w:r>
        <w:rPr>
          <w:color w:val="231F20"/>
          <w:sz w:val="20"/>
        </w:rPr>
        <w:t>отдельно.</w:t>
      </w:r>
    </w:p>
    <w:p>
      <w:pPr>
        <w:pStyle w:val="ListParagraph"/>
        <w:numPr>
          <w:ilvl w:val="0"/>
          <w:numId w:val="95"/>
        </w:numPr>
        <w:tabs>
          <w:tab w:pos="425" w:val="left" w:leader="none"/>
        </w:tabs>
        <w:spacing w:line="235" w:lineRule="auto" w:before="0" w:after="0"/>
        <w:ind w:left="425" w:right="139" w:hanging="284"/>
        <w:jc w:val="both"/>
        <w:rPr>
          <w:sz w:val="20"/>
        </w:rPr>
      </w:pPr>
      <w:r>
        <w:rPr>
          <w:color w:val="231F20"/>
          <w:sz w:val="20"/>
        </w:rPr>
        <w:t>Опросник – это стандартизированный психодиагностический инструмент, вклю- чающий</w:t>
      </w:r>
      <w:r>
        <w:rPr>
          <w:color w:val="231F20"/>
          <w:spacing w:val="-8"/>
          <w:sz w:val="20"/>
        </w:rPr>
        <w:t> </w:t>
      </w:r>
      <w:r>
        <w:rPr>
          <w:color w:val="231F20"/>
          <w:sz w:val="20"/>
        </w:rPr>
        <w:t>в</w:t>
      </w:r>
      <w:r>
        <w:rPr>
          <w:color w:val="231F20"/>
          <w:spacing w:val="-8"/>
          <w:sz w:val="20"/>
        </w:rPr>
        <w:t> </w:t>
      </w:r>
      <w:r>
        <w:rPr>
          <w:color w:val="231F20"/>
          <w:sz w:val="20"/>
        </w:rPr>
        <w:t>себя</w:t>
      </w:r>
      <w:r>
        <w:rPr>
          <w:color w:val="231F20"/>
          <w:spacing w:val="-8"/>
          <w:sz w:val="20"/>
        </w:rPr>
        <w:t> </w:t>
      </w:r>
      <w:r>
        <w:rPr>
          <w:color w:val="231F20"/>
          <w:sz w:val="20"/>
        </w:rPr>
        <w:t>определенные</w:t>
      </w:r>
      <w:r>
        <w:rPr>
          <w:color w:val="231F20"/>
          <w:spacing w:val="-8"/>
          <w:sz w:val="20"/>
        </w:rPr>
        <w:t> </w:t>
      </w:r>
      <w:r>
        <w:rPr>
          <w:color w:val="231F20"/>
          <w:sz w:val="20"/>
        </w:rPr>
        <w:t>шкалы</w:t>
      </w:r>
      <w:r>
        <w:rPr>
          <w:color w:val="231F20"/>
          <w:spacing w:val="-8"/>
          <w:sz w:val="20"/>
        </w:rPr>
        <w:t> </w:t>
      </w:r>
      <w:r>
        <w:rPr>
          <w:color w:val="231F20"/>
          <w:sz w:val="20"/>
        </w:rPr>
        <w:t>и</w:t>
      </w:r>
      <w:r>
        <w:rPr>
          <w:color w:val="231F20"/>
          <w:spacing w:val="-8"/>
          <w:sz w:val="20"/>
        </w:rPr>
        <w:t> </w:t>
      </w:r>
      <w:r>
        <w:rPr>
          <w:color w:val="231F20"/>
          <w:sz w:val="20"/>
        </w:rPr>
        <w:t>тестовые</w:t>
      </w:r>
      <w:r>
        <w:rPr>
          <w:color w:val="231F20"/>
          <w:spacing w:val="-8"/>
          <w:sz w:val="20"/>
        </w:rPr>
        <w:t> </w:t>
      </w:r>
      <w:r>
        <w:rPr>
          <w:color w:val="231F20"/>
          <w:sz w:val="20"/>
        </w:rPr>
        <w:t>баллы.</w:t>
      </w:r>
      <w:r>
        <w:rPr>
          <w:color w:val="231F20"/>
          <w:spacing w:val="-8"/>
          <w:sz w:val="20"/>
        </w:rPr>
        <w:t> </w:t>
      </w:r>
      <w:r>
        <w:rPr>
          <w:color w:val="231F20"/>
          <w:sz w:val="20"/>
        </w:rPr>
        <w:t>При</w:t>
      </w:r>
      <w:r>
        <w:rPr>
          <w:color w:val="231F20"/>
          <w:spacing w:val="-8"/>
          <w:sz w:val="20"/>
        </w:rPr>
        <w:t> </w:t>
      </w:r>
      <w:r>
        <w:rPr>
          <w:color w:val="231F20"/>
          <w:sz w:val="20"/>
        </w:rPr>
        <w:t>обработке</w:t>
      </w:r>
      <w:r>
        <w:rPr>
          <w:color w:val="231F20"/>
          <w:spacing w:val="-8"/>
          <w:sz w:val="20"/>
        </w:rPr>
        <w:t> </w:t>
      </w:r>
      <w:r>
        <w:rPr>
          <w:color w:val="231F20"/>
          <w:sz w:val="20"/>
        </w:rPr>
        <w:t>опросника какой-то конкретный вопрос не имеет для нас значения, он приобретает смысл только как часть шкалы. Данные опросника – это результат подсчета баллов по опроснику целиком и по отдельным шкалам.</w:t>
      </w:r>
    </w:p>
    <w:p>
      <w:pPr>
        <w:pStyle w:val="BodyText"/>
        <w:spacing w:line="235" w:lineRule="auto"/>
      </w:pPr>
      <w:r>
        <w:rPr>
          <w:color w:val="231F20"/>
        </w:rPr>
        <w:t>Анкеты подходят для оценки мнений или позиций, анализа поведения. Для изу- чения</w:t>
      </w:r>
      <w:r>
        <w:rPr>
          <w:color w:val="231F20"/>
          <w:spacing w:val="-8"/>
        </w:rPr>
        <w:t> </w:t>
      </w:r>
      <w:r>
        <w:rPr>
          <w:color w:val="231F20"/>
        </w:rPr>
        <w:t>психологических</w:t>
      </w:r>
      <w:r>
        <w:rPr>
          <w:color w:val="231F20"/>
          <w:spacing w:val="-8"/>
        </w:rPr>
        <w:t> </w:t>
      </w:r>
      <w:r>
        <w:rPr>
          <w:color w:val="231F20"/>
        </w:rPr>
        <w:t>феноменов</w:t>
      </w:r>
      <w:r>
        <w:rPr>
          <w:color w:val="231F20"/>
          <w:spacing w:val="-8"/>
        </w:rPr>
        <w:t> </w:t>
      </w:r>
      <w:r>
        <w:rPr>
          <w:color w:val="231F20"/>
        </w:rPr>
        <w:t>(самооценки,</w:t>
      </w:r>
      <w:r>
        <w:rPr>
          <w:color w:val="231F20"/>
          <w:spacing w:val="-8"/>
        </w:rPr>
        <w:t> </w:t>
      </w:r>
      <w:r>
        <w:rPr>
          <w:color w:val="231F20"/>
        </w:rPr>
        <w:t>стиля</w:t>
      </w:r>
      <w:r>
        <w:rPr>
          <w:color w:val="231F20"/>
          <w:spacing w:val="-8"/>
        </w:rPr>
        <w:t> </w:t>
      </w:r>
      <w:r>
        <w:rPr>
          <w:color w:val="231F20"/>
        </w:rPr>
        <w:t>воспитания,</w:t>
      </w:r>
      <w:r>
        <w:rPr>
          <w:color w:val="231F20"/>
          <w:spacing w:val="-8"/>
        </w:rPr>
        <w:t> </w:t>
      </w:r>
      <w:r>
        <w:rPr>
          <w:color w:val="231F20"/>
        </w:rPr>
        <w:t>психологическо- го климата и т.д.) они не подходят, нужно использовать специально разработанные опросники. Так, с помощью анкеты можно понять, считают ли родители своего ре- бенка тревожным, но для оценки тревожности потребуется опросник тревожности.</w:t>
      </w:r>
    </w:p>
    <w:p>
      <w:pPr>
        <w:pStyle w:val="BodyText"/>
        <w:spacing w:after="0" w:line="235" w:lineRule="auto"/>
        <w:sectPr>
          <w:pgSz w:w="8400" w:h="11910"/>
          <w:pgMar w:header="0" w:footer="535"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3.</w:t>
      </w:r>
    </w:p>
    <w:p>
      <w:pPr>
        <w:pStyle w:val="BodyText"/>
        <w:spacing w:line="235" w:lineRule="auto" w:before="116"/>
      </w:pPr>
      <w:r>
        <w:rPr>
          <w:color w:val="231F20"/>
        </w:rPr>
        <w:t>При составлении вопросов для анкеты главный критерий оценки вопроса как удачного или нет – насколько он позволяет получить данные по интересующей нас проблеме.</w:t>
      </w:r>
      <w:r>
        <w:rPr>
          <w:color w:val="231F20"/>
          <w:spacing w:val="-9"/>
        </w:rPr>
        <w:t> </w:t>
      </w:r>
      <w:r>
        <w:rPr>
          <w:color w:val="231F20"/>
        </w:rPr>
        <w:t>Никаких</w:t>
      </w:r>
      <w:r>
        <w:rPr>
          <w:color w:val="231F20"/>
          <w:spacing w:val="-9"/>
        </w:rPr>
        <w:t> </w:t>
      </w:r>
      <w:r>
        <w:rPr>
          <w:color w:val="231F20"/>
        </w:rPr>
        <w:t>дополнительных</w:t>
      </w:r>
      <w:r>
        <w:rPr>
          <w:color w:val="231F20"/>
          <w:spacing w:val="-9"/>
        </w:rPr>
        <w:t> </w:t>
      </w:r>
      <w:r>
        <w:rPr>
          <w:color w:val="231F20"/>
        </w:rPr>
        <w:t>функций</w:t>
      </w:r>
      <w:r>
        <w:rPr>
          <w:color w:val="231F20"/>
          <w:spacing w:val="-9"/>
        </w:rPr>
        <w:t> </w:t>
      </w:r>
      <w:r>
        <w:rPr>
          <w:color w:val="231F20"/>
        </w:rPr>
        <w:t>(заставить</w:t>
      </w:r>
      <w:r>
        <w:rPr>
          <w:color w:val="231F20"/>
          <w:spacing w:val="-9"/>
        </w:rPr>
        <w:t> </w:t>
      </w:r>
      <w:r>
        <w:rPr>
          <w:color w:val="231F20"/>
        </w:rPr>
        <w:t>задуматься,</w:t>
      </w:r>
      <w:r>
        <w:rPr>
          <w:color w:val="231F20"/>
          <w:spacing w:val="-9"/>
        </w:rPr>
        <w:t> </w:t>
      </w:r>
      <w:r>
        <w:rPr>
          <w:color w:val="231F20"/>
        </w:rPr>
        <w:t>предложить</w:t>
      </w:r>
      <w:r>
        <w:rPr>
          <w:color w:val="231F20"/>
          <w:spacing w:val="-9"/>
        </w:rPr>
        <w:t> </w:t>
      </w:r>
      <w:r>
        <w:rPr>
          <w:color w:val="231F20"/>
        </w:rPr>
        <w:t>ре- комендацию и пр.) у вопросов анкеты нет и быть не может. Для этого есть другие формы</w:t>
      </w:r>
      <w:r>
        <w:rPr>
          <w:color w:val="231F20"/>
          <w:spacing w:val="-2"/>
        </w:rPr>
        <w:t> </w:t>
      </w:r>
      <w:r>
        <w:rPr>
          <w:color w:val="231F20"/>
        </w:rPr>
        <w:t>работы.</w:t>
      </w:r>
      <w:r>
        <w:rPr>
          <w:color w:val="231F20"/>
          <w:spacing w:val="-2"/>
        </w:rPr>
        <w:t> </w:t>
      </w:r>
      <w:r>
        <w:rPr>
          <w:color w:val="231F20"/>
        </w:rPr>
        <w:t>Скажем,</w:t>
      </w:r>
      <w:r>
        <w:rPr>
          <w:color w:val="231F20"/>
          <w:spacing w:val="-2"/>
        </w:rPr>
        <w:t> </w:t>
      </w:r>
      <w:r>
        <w:rPr>
          <w:color w:val="231F20"/>
        </w:rPr>
        <w:t>вопрос:</w:t>
      </w:r>
      <w:r>
        <w:rPr>
          <w:color w:val="231F20"/>
          <w:spacing w:val="-2"/>
        </w:rPr>
        <w:t> </w:t>
      </w:r>
      <w:r>
        <w:rPr>
          <w:color w:val="231F20"/>
        </w:rPr>
        <w:t>«</w:t>
      </w:r>
      <w:r>
        <w:rPr/>
        <w:t>Планируете</w:t>
      </w:r>
      <w:r>
        <w:rPr>
          <w:spacing w:val="-2"/>
        </w:rPr>
        <w:t> </w:t>
      </w:r>
      <w:r>
        <w:rPr/>
        <w:t>ли</w:t>
      </w:r>
      <w:r>
        <w:rPr>
          <w:spacing w:val="-2"/>
        </w:rPr>
        <w:t> </w:t>
      </w:r>
      <w:r>
        <w:rPr/>
        <w:t>вы</w:t>
      </w:r>
      <w:r>
        <w:rPr>
          <w:spacing w:val="-2"/>
        </w:rPr>
        <w:t> </w:t>
      </w:r>
      <w:r>
        <w:rPr/>
        <w:t>оставить</w:t>
      </w:r>
      <w:r>
        <w:rPr>
          <w:spacing w:val="-2"/>
        </w:rPr>
        <w:t> </w:t>
      </w:r>
      <w:r>
        <w:rPr/>
        <w:t>на</w:t>
      </w:r>
      <w:r>
        <w:rPr>
          <w:spacing w:val="-2"/>
        </w:rPr>
        <w:t> </w:t>
      </w:r>
      <w:r>
        <w:rPr/>
        <w:t>время</w:t>
      </w:r>
      <w:r>
        <w:rPr>
          <w:spacing w:val="-2"/>
        </w:rPr>
        <w:t> </w:t>
      </w:r>
      <w:r>
        <w:rPr/>
        <w:t>работу</w:t>
      </w:r>
      <w:r>
        <w:rPr>
          <w:spacing w:val="-2"/>
        </w:rPr>
        <w:t> </w:t>
      </w:r>
      <w:r>
        <w:rPr/>
        <w:t>(взять отпуск,</w:t>
      </w:r>
      <w:r>
        <w:rPr>
          <w:spacing w:val="-3"/>
        </w:rPr>
        <w:t> </w:t>
      </w:r>
      <w:r>
        <w:rPr/>
        <w:t>отгулы</w:t>
      </w:r>
      <w:r>
        <w:rPr>
          <w:spacing w:val="-3"/>
        </w:rPr>
        <w:t> </w:t>
      </w:r>
      <w:r>
        <w:rPr/>
        <w:t>и</w:t>
      </w:r>
      <w:r>
        <w:rPr>
          <w:spacing w:val="-3"/>
        </w:rPr>
        <w:t> </w:t>
      </w:r>
      <w:r>
        <w:rPr/>
        <w:t>др.)</w:t>
      </w:r>
      <w:r>
        <w:rPr>
          <w:spacing w:val="-3"/>
        </w:rPr>
        <w:t> </w:t>
      </w:r>
      <w:r>
        <w:rPr/>
        <w:t>либо</w:t>
      </w:r>
      <w:r>
        <w:rPr>
          <w:spacing w:val="-3"/>
        </w:rPr>
        <w:t> </w:t>
      </w:r>
      <w:r>
        <w:rPr/>
        <w:t>изменить</w:t>
      </w:r>
      <w:r>
        <w:rPr>
          <w:spacing w:val="-3"/>
        </w:rPr>
        <w:t> </w:t>
      </w:r>
      <w:r>
        <w:rPr/>
        <w:t>график</w:t>
      </w:r>
      <w:r>
        <w:rPr>
          <w:spacing w:val="-3"/>
        </w:rPr>
        <w:t> </w:t>
      </w:r>
      <w:r>
        <w:rPr/>
        <w:t>рабочего</w:t>
      </w:r>
      <w:r>
        <w:rPr>
          <w:spacing w:val="-3"/>
        </w:rPr>
        <w:t> </w:t>
      </w:r>
      <w:r>
        <w:rPr/>
        <w:t>дня</w:t>
      </w:r>
      <w:r>
        <w:rPr>
          <w:spacing w:val="-3"/>
        </w:rPr>
        <w:t> </w:t>
      </w:r>
      <w:r>
        <w:rPr/>
        <w:t>для</w:t>
      </w:r>
      <w:r>
        <w:rPr>
          <w:spacing w:val="-3"/>
        </w:rPr>
        <w:t> </w:t>
      </w:r>
      <w:r>
        <w:rPr/>
        <w:t>того,</w:t>
      </w:r>
      <w:r>
        <w:rPr>
          <w:spacing w:val="-3"/>
        </w:rPr>
        <w:t> </w:t>
      </w:r>
      <w:r>
        <w:rPr/>
        <w:t>чтобы</w:t>
      </w:r>
      <w:r>
        <w:rPr>
          <w:spacing w:val="-3"/>
        </w:rPr>
        <w:t> </w:t>
      </w:r>
      <w:r>
        <w:rPr/>
        <w:t>иметь</w:t>
      </w:r>
      <w:r>
        <w:rPr>
          <w:spacing w:val="-3"/>
        </w:rPr>
        <w:t> </w:t>
      </w:r>
      <w:r>
        <w:rPr/>
        <w:t>воз- можность</w:t>
      </w:r>
      <w:r>
        <w:rPr>
          <w:spacing w:val="-9"/>
        </w:rPr>
        <w:t> </w:t>
      </w:r>
      <w:r>
        <w:rPr/>
        <w:t>провожать</w:t>
      </w:r>
      <w:r>
        <w:rPr>
          <w:spacing w:val="-9"/>
        </w:rPr>
        <w:t> </w:t>
      </w:r>
      <w:r>
        <w:rPr/>
        <w:t>ребенка</w:t>
      </w:r>
      <w:r>
        <w:rPr>
          <w:spacing w:val="-9"/>
        </w:rPr>
        <w:t> </w:t>
      </w:r>
      <w:r>
        <w:rPr/>
        <w:t>на</w:t>
      </w:r>
      <w:r>
        <w:rPr>
          <w:spacing w:val="-9"/>
        </w:rPr>
        <w:t> </w:t>
      </w:r>
      <w:r>
        <w:rPr/>
        <w:t>занятия</w:t>
      </w:r>
      <w:r>
        <w:rPr>
          <w:spacing w:val="-9"/>
        </w:rPr>
        <w:t> </w:t>
      </w:r>
      <w:r>
        <w:rPr/>
        <w:t>и</w:t>
      </w:r>
      <w:r>
        <w:rPr>
          <w:spacing w:val="-9"/>
        </w:rPr>
        <w:t> </w:t>
      </w:r>
      <w:r>
        <w:rPr/>
        <w:t>встречать</w:t>
      </w:r>
      <w:r>
        <w:rPr>
          <w:spacing w:val="-9"/>
        </w:rPr>
        <w:t> </w:t>
      </w:r>
      <w:r>
        <w:rPr/>
        <w:t>его</w:t>
      </w:r>
      <w:r>
        <w:rPr>
          <w:spacing w:val="-9"/>
        </w:rPr>
        <w:t> </w:t>
      </w:r>
      <w:r>
        <w:rPr/>
        <w:t>из</w:t>
      </w:r>
      <w:r>
        <w:rPr>
          <w:spacing w:val="-9"/>
        </w:rPr>
        <w:t> </w:t>
      </w:r>
      <w:r>
        <w:rPr/>
        <w:t>школы?»</w:t>
      </w:r>
      <w:r>
        <w:rPr>
          <w:spacing w:val="-9"/>
        </w:rPr>
        <w:t> </w:t>
      </w:r>
      <w:r>
        <w:rPr/>
        <w:t>–</w:t>
      </w:r>
      <w:r>
        <w:rPr>
          <w:spacing w:val="-9"/>
        </w:rPr>
        <w:t> </w:t>
      </w:r>
      <w:r>
        <w:rPr/>
        <w:t>является</w:t>
      </w:r>
      <w:r>
        <w:rPr>
          <w:spacing w:val="-9"/>
        </w:rPr>
        <w:t> </w:t>
      </w:r>
      <w:r>
        <w:rPr/>
        <w:t>край- не</w:t>
      </w:r>
      <w:r>
        <w:rPr>
          <w:spacing w:val="-2"/>
        </w:rPr>
        <w:t> </w:t>
      </w:r>
      <w:r>
        <w:rPr/>
        <w:t>неудачным:</w:t>
      </w:r>
      <w:r>
        <w:rPr>
          <w:spacing w:val="-2"/>
        </w:rPr>
        <w:t> </w:t>
      </w:r>
      <w:r>
        <w:rPr/>
        <w:t>он</w:t>
      </w:r>
      <w:r>
        <w:rPr>
          <w:spacing w:val="-2"/>
        </w:rPr>
        <w:t> </w:t>
      </w:r>
      <w:r>
        <w:rPr/>
        <w:t>явно</w:t>
      </w:r>
      <w:r>
        <w:rPr>
          <w:spacing w:val="-2"/>
        </w:rPr>
        <w:t> </w:t>
      </w:r>
      <w:r>
        <w:rPr/>
        <w:t>нацелен</w:t>
      </w:r>
      <w:r>
        <w:rPr>
          <w:spacing w:val="-2"/>
        </w:rPr>
        <w:t> </w:t>
      </w:r>
      <w:r>
        <w:rPr/>
        <w:t>на</w:t>
      </w:r>
      <w:r>
        <w:rPr>
          <w:spacing w:val="-2"/>
        </w:rPr>
        <w:t> </w:t>
      </w:r>
      <w:r>
        <w:rPr/>
        <w:t>то,</w:t>
      </w:r>
      <w:r>
        <w:rPr>
          <w:spacing w:val="-2"/>
        </w:rPr>
        <w:t> </w:t>
      </w:r>
      <w:r>
        <w:rPr/>
        <w:t>чтобы</w:t>
      </w:r>
      <w:r>
        <w:rPr>
          <w:spacing w:val="-2"/>
        </w:rPr>
        <w:t> </w:t>
      </w:r>
      <w:r>
        <w:rPr/>
        <w:t>дать</w:t>
      </w:r>
      <w:r>
        <w:rPr>
          <w:spacing w:val="-2"/>
        </w:rPr>
        <w:t> </w:t>
      </w:r>
      <w:r>
        <w:rPr/>
        <w:t>респондентам</w:t>
      </w:r>
      <w:r>
        <w:rPr>
          <w:spacing w:val="-2"/>
        </w:rPr>
        <w:t> </w:t>
      </w:r>
      <w:r>
        <w:rPr/>
        <w:t>совет,</w:t>
      </w:r>
      <w:r>
        <w:rPr>
          <w:spacing w:val="-2"/>
        </w:rPr>
        <w:t> </w:t>
      </w:r>
      <w:r>
        <w:rPr/>
        <w:t>а</w:t>
      </w:r>
      <w:r>
        <w:rPr>
          <w:spacing w:val="-2"/>
        </w:rPr>
        <w:t> </w:t>
      </w:r>
      <w:r>
        <w:rPr/>
        <w:t>не</w:t>
      </w:r>
      <w:r>
        <w:rPr>
          <w:spacing w:val="-2"/>
        </w:rPr>
        <w:t> </w:t>
      </w:r>
      <w:r>
        <w:rPr/>
        <w:t>получить от</w:t>
      </w:r>
      <w:r>
        <w:rPr>
          <w:spacing w:val="-8"/>
        </w:rPr>
        <w:t> </w:t>
      </w:r>
      <w:r>
        <w:rPr/>
        <w:t>них</w:t>
      </w:r>
      <w:r>
        <w:rPr>
          <w:spacing w:val="-8"/>
        </w:rPr>
        <w:t> </w:t>
      </w:r>
      <w:r>
        <w:rPr/>
        <w:t>информацию.</w:t>
      </w:r>
      <w:r>
        <w:rPr>
          <w:spacing w:val="-8"/>
        </w:rPr>
        <w:t> </w:t>
      </w:r>
      <w:r>
        <w:rPr/>
        <w:t>Если</w:t>
      </w:r>
      <w:r>
        <w:rPr>
          <w:spacing w:val="-8"/>
        </w:rPr>
        <w:t> </w:t>
      </w:r>
      <w:r>
        <w:rPr/>
        <w:t>его</w:t>
      </w:r>
      <w:r>
        <w:rPr>
          <w:spacing w:val="-8"/>
        </w:rPr>
        <w:t> </w:t>
      </w:r>
      <w:r>
        <w:rPr/>
        <w:t>переформулировать</w:t>
      </w:r>
      <w:r>
        <w:rPr>
          <w:spacing w:val="-8"/>
        </w:rPr>
        <w:t> </w:t>
      </w:r>
      <w:r>
        <w:rPr/>
        <w:t>в</w:t>
      </w:r>
      <w:r>
        <w:rPr>
          <w:spacing w:val="-8"/>
        </w:rPr>
        <w:t> </w:t>
      </w:r>
      <w:r>
        <w:rPr/>
        <w:t>утвердительной</w:t>
      </w:r>
      <w:r>
        <w:rPr>
          <w:spacing w:val="-8"/>
        </w:rPr>
        <w:t> </w:t>
      </w:r>
      <w:r>
        <w:rPr/>
        <w:t>форме,</w:t>
      </w:r>
      <w:r>
        <w:rPr>
          <w:spacing w:val="-8"/>
        </w:rPr>
        <w:t> </w:t>
      </w:r>
      <w:r>
        <w:rPr/>
        <w:t>он</w:t>
      </w:r>
      <w:r>
        <w:rPr>
          <w:spacing w:val="-8"/>
        </w:rPr>
        <w:t> </w:t>
      </w:r>
      <w:r>
        <w:rPr/>
        <w:t>будет вполне уместен в рамках памятки для родителей, но в анкете ему не место.</w:t>
      </w:r>
    </w:p>
    <w:p>
      <w:pPr>
        <w:pStyle w:val="BodyText"/>
        <w:spacing w:line="235" w:lineRule="auto" w:before="6"/>
      </w:pPr>
      <w:r>
        <w:rPr>
          <w:color w:val="231F20"/>
        </w:rPr>
        <w:t>Традиционно</w:t>
      </w:r>
      <w:r>
        <w:rPr>
          <w:color w:val="231F20"/>
          <w:spacing w:val="-3"/>
        </w:rPr>
        <w:t> </w:t>
      </w:r>
      <w:r>
        <w:rPr>
          <w:color w:val="231F20"/>
        </w:rPr>
        <w:t>приято</w:t>
      </w:r>
      <w:r>
        <w:rPr>
          <w:color w:val="231F20"/>
          <w:spacing w:val="-3"/>
        </w:rPr>
        <w:t> </w:t>
      </w:r>
      <w:r>
        <w:rPr>
          <w:color w:val="231F20"/>
        </w:rPr>
        <w:t>делить</w:t>
      </w:r>
      <w:r>
        <w:rPr>
          <w:color w:val="231F20"/>
          <w:spacing w:val="-3"/>
        </w:rPr>
        <w:t> </w:t>
      </w:r>
      <w:r>
        <w:rPr>
          <w:color w:val="231F20"/>
        </w:rPr>
        <w:t>вопросы</w:t>
      </w:r>
      <w:r>
        <w:rPr>
          <w:color w:val="231F20"/>
          <w:spacing w:val="-3"/>
        </w:rPr>
        <w:t> </w:t>
      </w:r>
      <w:r>
        <w:rPr>
          <w:color w:val="231F20"/>
        </w:rPr>
        <w:t>на</w:t>
      </w:r>
      <w:r>
        <w:rPr>
          <w:color w:val="231F20"/>
          <w:spacing w:val="-3"/>
        </w:rPr>
        <w:t> </w:t>
      </w:r>
      <w:r>
        <w:rPr>
          <w:color w:val="231F20"/>
        </w:rPr>
        <w:t>открытые</w:t>
      </w:r>
      <w:r>
        <w:rPr>
          <w:color w:val="231F20"/>
          <w:spacing w:val="-3"/>
        </w:rPr>
        <w:t> </w:t>
      </w:r>
      <w:r>
        <w:rPr>
          <w:color w:val="231F20"/>
        </w:rPr>
        <w:t>и</w:t>
      </w:r>
      <w:r>
        <w:rPr>
          <w:color w:val="231F20"/>
          <w:spacing w:val="-3"/>
        </w:rPr>
        <w:t> </w:t>
      </w:r>
      <w:r>
        <w:rPr>
          <w:color w:val="231F20"/>
        </w:rPr>
        <w:t>закрытые.</w:t>
      </w:r>
      <w:r>
        <w:rPr>
          <w:color w:val="231F20"/>
          <w:spacing w:val="-3"/>
        </w:rPr>
        <w:t> </w:t>
      </w:r>
      <w:r>
        <w:rPr>
          <w:color w:val="231F20"/>
        </w:rPr>
        <w:t>Открытый</w:t>
      </w:r>
      <w:r>
        <w:rPr>
          <w:color w:val="231F20"/>
          <w:spacing w:val="-3"/>
        </w:rPr>
        <w:t> </w:t>
      </w:r>
      <w:r>
        <w:rPr>
          <w:color w:val="231F20"/>
        </w:rPr>
        <w:t>вопрос предполагает</w:t>
      </w:r>
      <w:r>
        <w:rPr>
          <w:color w:val="231F20"/>
          <w:spacing w:val="-2"/>
        </w:rPr>
        <w:t> </w:t>
      </w:r>
      <w:r>
        <w:rPr>
          <w:color w:val="231F20"/>
        </w:rPr>
        <w:t>наличие</w:t>
      </w:r>
      <w:r>
        <w:rPr>
          <w:color w:val="231F20"/>
          <w:spacing w:val="-2"/>
        </w:rPr>
        <w:t> </w:t>
      </w:r>
      <w:r>
        <w:rPr>
          <w:color w:val="231F20"/>
        </w:rPr>
        <w:t>развернутого</w:t>
      </w:r>
      <w:r>
        <w:rPr>
          <w:color w:val="231F20"/>
          <w:spacing w:val="-2"/>
        </w:rPr>
        <w:t> </w:t>
      </w:r>
      <w:r>
        <w:rPr>
          <w:color w:val="231F20"/>
        </w:rPr>
        <w:t>ответа</w:t>
      </w:r>
      <w:r>
        <w:rPr>
          <w:color w:val="231F20"/>
          <w:spacing w:val="-2"/>
        </w:rPr>
        <w:t> </w:t>
      </w:r>
      <w:r>
        <w:rPr>
          <w:color w:val="231F20"/>
        </w:rPr>
        <w:t>(«Чем</w:t>
      </w:r>
      <w:r>
        <w:rPr>
          <w:color w:val="231F20"/>
          <w:spacing w:val="-2"/>
        </w:rPr>
        <w:t> </w:t>
      </w:r>
      <w:r>
        <w:rPr>
          <w:color w:val="231F20"/>
        </w:rPr>
        <w:t>увлекается</w:t>
      </w:r>
      <w:r>
        <w:rPr>
          <w:color w:val="231F20"/>
          <w:spacing w:val="-2"/>
        </w:rPr>
        <w:t> </w:t>
      </w:r>
      <w:r>
        <w:rPr>
          <w:color w:val="231F20"/>
        </w:rPr>
        <w:t>ваш</w:t>
      </w:r>
      <w:r>
        <w:rPr>
          <w:color w:val="231F20"/>
          <w:spacing w:val="-2"/>
        </w:rPr>
        <w:t> </w:t>
      </w:r>
      <w:r>
        <w:rPr>
          <w:color w:val="231F20"/>
        </w:rPr>
        <w:t>ребенок?»),</w:t>
      </w:r>
      <w:r>
        <w:rPr>
          <w:color w:val="231F20"/>
          <w:spacing w:val="-2"/>
        </w:rPr>
        <w:t> </w:t>
      </w:r>
      <w:r>
        <w:rPr>
          <w:color w:val="231F20"/>
        </w:rPr>
        <w:t>закры- тый</w:t>
      </w:r>
      <w:r>
        <w:rPr>
          <w:color w:val="231F20"/>
          <w:spacing w:val="-9"/>
        </w:rPr>
        <w:t> </w:t>
      </w:r>
      <w:r>
        <w:rPr>
          <w:color w:val="231F20"/>
        </w:rPr>
        <w:t>вопрос</w:t>
      </w:r>
      <w:r>
        <w:rPr>
          <w:color w:val="231F20"/>
          <w:spacing w:val="-9"/>
        </w:rPr>
        <w:t> </w:t>
      </w:r>
      <w:r>
        <w:rPr>
          <w:color w:val="231F20"/>
        </w:rPr>
        <w:t>означает,</w:t>
      </w:r>
      <w:r>
        <w:rPr>
          <w:color w:val="231F20"/>
          <w:spacing w:val="-9"/>
        </w:rPr>
        <w:t> </w:t>
      </w:r>
      <w:r>
        <w:rPr>
          <w:color w:val="231F20"/>
        </w:rPr>
        <w:t>что</w:t>
      </w:r>
      <w:r>
        <w:rPr>
          <w:color w:val="231F20"/>
          <w:spacing w:val="-9"/>
        </w:rPr>
        <w:t> </w:t>
      </w:r>
      <w:r>
        <w:rPr>
          <w:color w:val="231F20"/>
        </w:rPr>
        <w:t>на</w:t>
      </w:r>
      <w:r>
        <w:rPr>
          <w:color w:val="231F20"/>
          <w:spacing w:val="-9"/>
        </w:rPr>
        <w:t> </w:t>
      </w:r>
      <w:r>
        <w:rPr>
          <w:color w:val="231F20"/>
        </w:rPr>
        <w:t>вопрос</w:t>
      </w:r>
      <w:r>
        <w:rPr>
          <w:color w:val="231F20"/>
          <w:spacing w:val="-9"/>
        </w:rPr>
        <w:t> </w:t>
      </w:r>
      <w:r>
        <w:rPr>
          <w:color w:val="231F20"/>
        </w:rPr>
        <w:t>есть</w:t>
      </w:r>
      <w:r>
        <w:rPr>
          <w:color w:val="231F20"/>
          <w:spacing w:val="-9"/>
        </w:rPr>
        <w:t> </w:t>
      </w:r>
      <w:r>
        <w:rPr>
          <w:color w:val="231F20"/>
        </w:rPr>
        <w:t>несколько</w:t>
      </w:r>
      <w:r>
        <w:rPr>
          <w:color w:val="231F20"/>
          <w:spacing w:val="-9"/>
        </w:rPr>
        <w:t> </w:t>
      </w:r>
      <w:r>
        <w:rPr>
          <w:color w:val="231F20"/>
        </w:rPr>
        <w:t>кратких</w:t>
      </w:r>
      <w:r>
        <w:rPr>
          <w:color w:val="231F20"/>
          <w:spacing w:val="-9"/>
        </w:rPr>
        <w:t> </w:t>
      </w:r>
      <w:r>
        <w:rPr>
          <w:color w:val="231F20"/>
        </w:rPr>
        <w:t>вариантов</w:t>
      </w:r>
      <w:r>
        <w:rPr>
          <w:color w:val="231F20"/>
          <w:spacing w:val="-9"/>
        </w:rPr>
        <w:t> </w:t>
      </w:r>
      <w:r>
        <w:rPr>
          <w:color w:val="231F20"/>
        </w:rPr>
        <w:t>ответа,</w:t>
      </w:r>
      <w:r>
        <w:rPr>
          <w:color w:val="231F20"/>
          <w:spacing w:val="-9"/>
        </w:rPr>
        <w:t> </w:t>
      </w:r>
      <w:r>
        <w:rPr>
          <w:color w:val="231F20"/>
        </w:rPr>
        <w:t>прежде всего «да» или «нет» («Посещал ли ваш ребенок занятия по подготовке к школе?»). Закрытые вопросы легче обрабатывать, они позволяют представить полученные ре- зультаты</w:t>
      </w:r>
      <w:r>
        <w:rPr>
          <w:color w:val="231F20"/>
          <w:spacing w:val="-10"/>
        </w:rPr>
        <w:t> </w:t>
      </w:r>
      <w:r>
        <w:rPr>
          <w:color w:val="231F20"/>
        </w:rPr>
        <w:t>в</w:t>
      </w:r>
      <w:r>
        <w:rPr>
          <w:color w:val="231F20"/>
          <w:spacing w:val="-10"/>
        </w:rPr>
        <w:t> </w:t>
      </w:r>
      <w:r>
        <w:rPr>
          <w:color w:val="231F20"/>
        </w:rPr>
        <w:t>количественном</w:t>
      </w:r>
      <w:r>
        <w:rPr>
          <w:color w:val="231F20"/>
          <w:spacing w:val="-10"/>
        </w:rPr>
        <w:t> </w:t>
      </w:r>
      <w:r>
        <w:rPr>
          <w:color w:val="231F20"/>
        </w:rPr>
        <w:t>виде.</w:t>
      </w:r>
      <w:r>
        <w:rPr>
          <w:color w:val="231F20"/>
          <w:spacing w:val="-10"/>
        </w:rPr>
        <w:t> </w:t>
      </w:r>
      <w:r>
        <w:rPr>
          <w:color w:val="231F20"/>
        </w:rPr>
        <w:t>При</w:t>
      </w:r>
      <w:r>
        <w:rPr>
          <w:color w:val="231F20"/>
          <w:spacing w:val="-10"/>
        </w:rPr>
        <w:t> </w:t>
      </w:r>
      <w:r>
        <w:rPr>
          <w:color w:val="231F20"/>
        </w:rPr>
        <w:t>составлении</w:t>
      </w:r>
      <w:r>
        <w:rPr>
          <w:color w:val="231F20"/>
          <w:spacing w:val="-10"/>
        </w:rPr>
        <w:t> </w:t>
      </w:r>
      <w:r>
        <w:rPr>
          <w:color w:val="231F20"/>
        </w:rPr>
        <w:t>анкеты</w:t>
      </w:r>
      <w:r>
        <w:rPr>
          <w:color w:val="231F20"/>
          <w:spacing w:val="-10"/>
        </w:rPr>
        <w:t> </w:t>
      </w:r>
      <w:r>
        <w:rPr>
          <w:color w:val="231F20"/>
        </w:rPr>
        <w:t>следует</w:t>
      </w:r>
      <w:r>
        <w:rPr>
          <w:color w:val="231F20"/>
          <w:spacing w:val="-10"/>
        </w:rPr>
        <w:t> </w:t>
      </w:r>
      <w:r>
        <w:rPr>
          <w:color w:val="231F20"/>
        </w:rPr>
        <w:t>использовать</w:t>
      </w:r>
      <w:r>
        <w:rPr>
          <w:color w:val="231F20"/>
          <w:spacing w:val="-10"/>
        </w:rPr>
        <w:t> </w:t>
      </w:r>
      <w:r>
        <w:rPr>
          <w:color w:val="231F20"/>
        </w:rPr>
        <w:t>пре- имущественно закрытые вопросы.</w:t>
      </w:r>
    </w:p>
    <w:p>
      <w:pPr>
        <w:pStyle w:val="BodyText"/>
        <w:spacing w:line="228" w:lineRule="exact" w:before="1"/>
        <w:ind w:left="425" w:right="0" w:firstLine="0"/>
      </w:pPr>
      <w:r>
        <w:rPr>
          <w:color w:val="231F20"/>
        </w:rPr>
        <w:t>Принято</w:t>
      </w:r>
      <w:r>
        <w:rPr>
          <w:color w:val="231F20"/>
          <w:spacing w:val="-5"/>
        </w:rPr>
        <w:t> </w:t>
      </w:r>
      <w:r>
        <w:rPr>
          <w:color w:val="231F20"/>
        </w:rPr>
        <w:t>выделять</w:t>
      </w:r>
      <w:r>
        <w:rPr>
          <w:color w:val="231F20"/>
          <w:spacing w:val="-6"/>
        </w:rPr>
        <w:t> </w:t>
      </w:r>
      <w:r>
        <w:rPr>
          <w:color w:val="231F20"/>
        </w:rPr>
        <w:t>несколько</w:t>
      </w:r>
      <w:r>
        <w:rPr>
          <w:color w:val="231F20"/>
          <w:spacing w:val="-5"/>
        </w:rPr>
        <w:t> </w:t>
      </w:r>
      <w:r>
        <w:rPr>
          <w:color w:val="231F20"/>
        </w:rPr>
        <w:t>типов</w:t>
      </w:r>
      <w:r>
        <w:rPr>
          <w:color w:val="231F20"/>
          <w:spacing w:val="-6"/>
        </w:rPr>
        <w:t> </w:t>
      </w:r>
      <w:r>
        <w:rPr>
          <w:color w:val="231F20"/>
        </w:rPr>
        <w:t>закрытых</w:t>
      </w:r>
      <w:r>
        <w:rPr>
          <w:color w:val="231F20"/>
          <w:spacing w:val="-5"/>
        </w:rPr>
        <w:t> </w:t>
      </w:r>
      <w:r>
        <w:rPr>
          <w:color w:val="231F20"/>
        </w:rPr>
        <w:t>вопросов</w:t>
      </w:r>
      <w:r>
        <w:rPr>
          <w:color w:val="231F20"/>
          <w:spacing w:val="-6"/>
        </w:rPr>
        <w:t> </w:t>
      </w:r>
      <w:r>
        <w:rPr>
          <w:color w:val="231F20"/>
        </w:rPr>
        <w:t>для</w:t>
      </w:r>
      <w:r>
        <w:rPr>
          <w:color w:val="231F20"/>
          <w:spacing w:val="-4"/>
        </w:rPr>
        <w:t> </w:t>
      </w:r>
      <w:r>
        <w:rPr>
          <w:color w:val="231F20"/>
          <w:spacing w:val="-2"/>
        </w:rPr>
        <w:t>анкет.</w:t>
      </w:r>
    </w:p>
    <w:p>
      <w:pPr>
        <w:pStyle w:val="ListParagraph"/>
        <w:numPr>
          <w:ilvl w:val="0"/>
          <w:numId w:val="96"/>
        </w:numPr>
        <w:tabs>
          <w:tab w:pos="425" w:val="left" w:leader="none"/>
        </w:tabs>
        <w:spacing w:line="235" w:lineRule="auto" w:before="1" w:after="0"/>
        <w:ind w:left="425" w:right="139" w:hanging="284"/>
        <w:jc w:val="both"/>
        <w:rPr>
          <w:sz w:val="20"/>
        </w:rPr>
      </w:pPr>
      <w:r>
        <w:rPr>
          <w:color w:val="231F20"/>
          <w:sz w:val="20"/>
        </w:rPr>
        <w:t>Единичный выбор. Такой вопрос предполагает, что разработчики анкеты состав- ляют перечень вариантов, из которого респондент может выбрать только один. Скажем,</w:t>
      </w:r>
      <w:r>
        <w:rPr>
          <w:color w:val="231F20"/>
          <w:spacing w:val="-2"/>
          <w:sz w:val="20"/>
        </w:rPr>
        <w:t> </w:t>
      </w:r>
      <w:r>
        <w:rPr>
          <w:color w:val="231F20"/>
          <w:sz w:val="20"/>
        </w:rPr>
        <w:t>вопрос</w:t>
      </w:r>
      <w:r>
        <w:rPr>
          <w:color w:val="231F20"/>
          <w:spacing w:val="-2"/>
          <w:sz w:val="20"/>
        </w:rPr>
        <w:t> </w:t>
      </w:r>
      <w:r>
        <w:rPr>
          <w:color w:val="231F20"/>
          <w:sz w:val="20"/>
        </w:rPr>
        <w:t>«Какой</w:t>
      </w:r>
      <w:r>
        <w:rPr>
          <w:color w:val="231F20"/>
          <w:spacing w:val="-2"/>
          <w:sz w:val="20"/>
        </w:rPr>
        <w:t> </w:t>
      </w:r>
      <w:r>
        <w:rPr>
          <w:color w:val="231F20"/>
          <w:sz w:val="20"/>
        </w:rPr>
        <w:t>кружок</w:t>
      </w:r>
      <w:r>
        <w:rPr>
          <w:color w:val="231F20"/>
          <w:spacing w:val="-2"/>
          <w:sz w:val="20"/>
        </w:rPr>
        <w:t> </w:t>
      </w:r>
      <w:r>
        <w:rPr>
          <w:color w:val="231F20"/>
          <w:sz w:val="20"/>
        </w:rPr>
        <w:t>посещает</w:t>
      </w:r>
      <w:r>
        <w:rPr>
          <w:color w:val="231F20"/>
          <w:spacing w:val="-2"/>
          <w:sz w:val="20"/>
        </w:rPr>
        <w:t> </w:t>
      </w:r>
      <w:r>
        <w:rPr>
          <w:color w:val="231F20"/>
          <w:sz w:val="20"/>
        </w:rPr>
        <w:t>ваш</w:t>
      </w:r>
      <w:r>
        <w:rPr>
          <w:color w:val="231F20"/>
          <w:spacing w:val="-2"/>
          <w:sz w:val="20"/>
        </w:rPr>
        <w:t> </w:t>
      </w:r>
      <w:r>
        <w:rPr>
          <w:color w:val="231F20"/>
          <w:sz w:val="20"/>
        </w:rPr>
        <w:t>ребенок»</w:t>
      </w:r>
      <w:r>
        <w:rPr>
          <w:color w:val="231F20"/>
          <w:spacing w:val="-2"/>
          <w:sz w:val="20"/>
        </w:rPr>
        <w:t> </w:t>
      </w:r>
      <w:r>
        <w:rPr>
          <w:color w:val="231F20"/>
          <w:sz w:val="20"/>
        </w:rPr>
        <w:t>не</w:t>
      </w:r>
      <w:r>
        <w:rPr>
          <w:color w:val="231F20"/>
          <w:spacing w:val="-2"/>
          <w:sz w:val="20"/>
        </w:rPr>
        <w:t> </w:t>
      </w:r>
      <w:r>
        <w:rPr>
          <w:color w:val="231F20"/>
          <w:sz w:val="20"/>
        </w:rPr>
        <w:t>предполагает</w:t>
      </w:r>
      <w:r>
        <w:rPr>
          <w:color w:val="231F20"/>
          <w:spacing w:val="-2"/>
          <w:sz w:val="20"/>
        </w:rPr>
        <w:t> </w:t>
      </w:r>
      <w:r>
        <w:rPr>
          <w:color w:val="231F20"/>
          <w:sz w:val="20"/>
        </w:rPr>
        <w:t>единич- ного выбора: кружков может быть несколько. А вот если вы проводите анкети- рование родителей всех первых классов, которых у вас несколько, то вы вполне можете</w:t>
      </w:r>
      <w:r>
        <w:rPr>
          <w:color w:val="231F20"/>
          <w:spacing w:val="-3"/>
          <w:sz w:val="20"/>
        </w:rPr>
        <w:t> </w:t>
      </w:r>
      <w:r>
        <w:rPr>
          <w:color w:val="231F20"/>
          <w:sz w:val="20"/>
        </w:rPr>
        <w:t>включить</w:t>
      </w:r>
      <w:r>
        <w:rPr>
          <w:color w:val="231F20"/>
          <w:spacing w:val="-3"/>
          <w:sz w:val="20"/>
        </w:rPr>
        <w:t> </w:t>
      </w:r>
      <w:r>
        <w:rPr>
          <w:color w:val="231F20"/>
          <w:sz w:val="20"/>
        </w:rPr>
        <w:t>вопрос</w:t>
      </w:r>
      <w:r>
        <w:rPr>
          <w:color w:val="231F20"/>
          <w:spacing w:val="-3"/>
          <w:sz w:val="20"/>
        </w:rPr>
        <w:t> </w:t>
      </w:r>
      <w:r>
        <w:rPr>
          <w:color w:val="231F20"/>
          <w:sz w:val="20"/>
        </w:rPr>
        <w:t>«В</w:t>
      </w:r>
      <w:r>
        <w:rPr>
          <w:color w:val="231F20"/>
          <w:spacing w:val="-3"/>
          <w:sz w:val="20"/>
        </w:rPr>
        <w:t> </w:t>
      </w:r>
      <w:r>
        <w:rPr>
          <w:color w:val="231F20"/>
          <w:sz w:val="20"/>
        </w:rPr>
        <w:t>каком</w:t>
      </w:r>
      <w:r>
        <w:rPr>
          <w:color w:val="231F20"/>
          <w:spacing w:val="-3"/>
          <w:sz w:val="20"/>
        </w:rPr>
        <w:t> </w:t>
      </w:r>
      <w:r>
        <w:rPr>
          <w:color w:val="231F20"/>
          <w:sz w:val="20"/>
        </w:rPr>
        <w:t>из</w:t>
      </w:r>
      <w:r>
        <w:rPr>
          <w:color w:val="231F20"/>
          <w:spacing w:val="-3"/>
          <w:sz w:val="20"/>
        </w:rPr>
        <w:t> </w:t>
      </w:r>
      <w:r>
        <w:rPr>
          <w:color w:val="231F20"/>
          <w:sz w:val="20"/>
        </w:rPr>
        <w:t>первых</w:t>
      </w:r>
      <w:r>
        <w:rPr>
          <w:color w:val="231F20"/>
          <w:spacing w:val="-3"/>
          <w:sz w:val="20"/>
        </w:rPr>
        <w:t> </w:t>
      </w:r>
      <w:r>
        <w:rPr>
          <w:color w:val="231F20"/>
          <w:sz w:val="20"/>
        </w:rPr>
        <w:t>классов</w:t>
      </w:r>
      <w:r>
        <w:rPr>
          <w:color w:val="231F20"/>
          <w:spacing w:val="-3"/>
          <w:sz w:val="20"/>
        </w:rPr>
        <w:t> </w:t>
      </w:r>
      <w:r>
        <w:rPr>
          <w:color w:val="231F20"/>
          <w:sz w:val="20"/>
        </w:rPr>
        <w:t>обучается</w:t>
      </w:r>
      <w:r>
        <w:rPr>
          <w:color w:val="231F20"/>
          <w:spacing w:val="-3"/>
          <w:sz w:val="20"/>
        </w:rPr>
        <w:t> </w:t>
      </w:r>
      <w:r>
        <w:rPr>
          <w:color w:val="231F20"/>
          <w:sz w:val="20"/>
        </w:rPr>
        <w:t>ваш</w:t>
      </w:r>
      <w:r>
        <w:rPr>
          <w:color w:val="231F20"/>
          <w:spacing w:val="-3"/>
          <w:sz w:val="20"/>
        </w:rPr>
        <w:t> </w:t>
      </w:r>
      <w:r>
        <w:rPr>
          <w:color w:val="231F20"/>
          <w:sz w:val="20"/>
        </w:rPr>
        <w:t>ребенок?»</w:t>
      </w:r>
      <w:r>
        <w:rPr>
          <w:color w:val="231F20"/>
          <w:spacing w:val="-3"/>
          <w:sz w:val="20"/>
        </w:rPr>
        <w:t> </w:t>
      </w:r>
      <w:r>
        <w:rPr>
          <w:color w:val="231F20"/>
          <w:sz w:val="20"/>
        </w:rPr>
        <w:t>и предложить</w:t>
      </w:r>
      <w:r>
        <w:rPr>
          <w:color w:val="231F20"/>
          <w:spacing w:val="-1"/>
          <w:sz w:val="20"/>
        </w:rPr>
        <w:t> </w:t>
      </w:r>
      <w:r>
        <w:rPr>
          <w:color w:val="231F20"/>
          <w:sz w:val="20"/>
        </w:rPr>
        <w:t>перечень</w:t>
      </w:r>
      <w:r>
        <w:rPr>
          <w:color w:val="231F20"/>
          <w:spacing w:val="-1"/>
          <w:sz w:val="20"/>
        </w:rPr>
        <w:t> </w:t>
      </w:r>
      <w:r>
        <w:rPr>
          <w:color w:val="231F20"/>
          <w:sz w:val="20"/>
        </w:rPr>
        <w:t>классов:</w:t>
      </w:r>
      <w:r>
        <w:rPr>
          <w:color w:val="231F20"/>
          <w:spacing w:val="-1"/>
          <w:sz w:val="20"/>
        </w:rPr>
        <w:t> </w:t>
      </w:r>
      <w:r>
        <w:rPr>
          <w:color w:val="231F20"/>
          <w:sz w:val="20"/>
        </w:rPr>
        <w:t>1</w:t>
      </w:r>
      <w:r>
        <w:rPr>
          <w:color w:val="231F20"/>
          <w:spacing w:val="-1"/>
          <w:sz w:val="20"/>
        </w:rPr>
        <w:t> </w:t>
      </w:r>
      <w:r>
        <w:rPr>
          <w:color w:val="231F20"/>
          <w:sz w:val="20"/>
        </w:rPr>
        <w:t>«А»,</w:t>
      </w:r>
      <w:r>
        <w:rPr>
          <w:color w:val="231F20"/>
          <w:spacing w:val="-1"/>
          <w:sz w:val="20"/>
        </w:rPr>
        <w:t> </w:t>
      </w:r>
      <w:r>
        <w:rPr>
          <w:color w:val="231F20"/>
          <w:sz w:val="20"/>
        </w:rPr>
        <w:t>1</w:t>
      </w:r>
      <w:r>
        <w:rPr>
          <w:color w:val="231F20"/>
          <w:spacing w:val="-1"/>
          <w:sz w:val="20"/>
        </w:rPr>
        <w:t> </w:t>
      </w:r>
      <w:r>
        <w:rPr>
          <w:color w:val="231F20"/>
          <w:sz w:val="20"/>
        </w:rPr>
        <w:t>«Б»</w:t>
      </w:r>
      <w:r>
        <w:rPr>
          <w:color w:val="231F20"/>
          <w:spacing w:val="-1"/>
          <w:sz w:val="20"/>
        </w:rPr>
        <w:t> </w:t>
      </w:r>
      <w:r>
        <w:rPr>
          <w:color w:val="231F20"/>
          <w:sz w:val="20"/>
        </w:rPr>
        <w:t>и</w:t>
      </w:r>
      <w:r>
        <w:rPr>
          <w:color w:val="231F20"/>
          <w:spacing w:val="-1"/>
          <w:sz w:val="20"/>
        </w:rPr>
        <w:t> </w:t>
      </w:r>
      <w:r>
        <w:rPr>
          <w:color w:val="231F20"/>
          <w:sz w:val="20"/>
        </w:rPr>
        <w:t>так</w:t>
      </w:r>
      <w:r>
        <w:rPr>
          <w:color w:val="231F20"/>
          <w:spacing w:val="-1"/>
          <w:sz w:val="20"/>
        </w:rPr>
        <w:t> </w:t>
      </w:r>
      <w:r>
        <w:rPr>
          <w:color w:val="231F20"/>
          <w:sz w:val="20"/>
        </w:rPr>
        <w:t>далее.</w:t>
      </w:r>
      <w:r>
        <w:rPr>
          <w:color w:val="231F20"/>
          <w:spacing w:val="-1"/>
          <w:sz w:val="20"/>
        </w:rPr>
        <w:t> </w:t>
      </w:r>
      <w:r>
        <w:rPr>
          <w:color w:val="231F20"/>
          <w:sz w:val="20"/>
        </w:rPr>
        <w:t>Очевидно,</w:t>
      </w:r>
      <w:r>
        <w:rPr>
          <w:color w:val="231F20"/>
          <w:spacing w:val="-1"/>
          <w:sz w:val="20"/>
        </w:rPr>
        <w:t> </w:t>
      </w:r>
      <w:r>
        <w:rPr>
          <w:color w:val="231F20"/>
          <w:sz w:val="20"/>
        </w:rPr>
        <w:t>что</w:t>
      </w:r>
      <w:r>
        <w:rPr>
          <w:color w:val="231F20"/>
          <w:spacing w:val="-1"/>
          <w:sz w:val="20"/>
        </w:rPr>
        <w:t> </w:t>
      </w:r>
      <w:r>
        <w:rPr>
          <w:color w:val="231F20"/>
          <w:sz w:val="20"/>
        </w:rPr>
        <w:t>тут</w:t>
      </w:r>
      <w:r>
        <w:rPr>
          <w:color w:val="231F20"/>
          <w:spacing w:val="-1"/>
          <w:sz w:val="20"/>
        </w:rPr>
        <w:t> </w:t>
      </w:r>
      <w:r>
        <w:rPr>
          <w:color w:val="231F20"/>
          <w:sz w:val="20"/>
        </w:rPr>
        <w:t>выбор может быть только один.</w:t>
      </w:r>
    </w:p>
    <w:p>
      <w:pPr>
        <w:pStyle w:val="ListParagraph"/>
        <w:numPr>
          <w:ilvl w:val="0"/>
          <w:numId w:val="96"/>
        </w:numPr>
        <w:tabs>
          <w:tab w:pos="425" w:val="left" w:leader="none"/>
        </w:tabs>
        <w:spacing w:line="235" w:lineRule="auto" w:before="5" w:after="0"/>
        <w:ind w:left="425" w:right="139" w:hanging="284"/>
        <w:jc w:val="both"/>
        <w:rPr>
          <w:sz w:val="20"/>
        </w:rPr>
      </w:pPr>
      <w:r>
        <w:rPr>
          <w:color w:val="231F20"/>
          <w:sz w:val="20"/>
        </w:rPr>
        <w:t>Множественный выбор. Как видно из названия, тут психолог снова предлагает перечень вариантов, однако на этот раз респонденты могут выбрать несколько. Вопрос: «ЕГЭ по каким предметам планирует сдавать ваш ребенок», после кото- рого</w:t>
      </w:r>
      <w:r>
        <w:rPr>
          <w:color w:val="231F20"/>
          <w:spacing w:val="-9"/>
          <w:sz w:val="20"/>
        </w:rPr>
        <w:t> </w:t>
      </w:r>
      <w:r>
        <w:rPr>
          <w:color w:val="231F20"/>
          <w:sz w:val="20"/>
        </w:rPr>
        <w:t>следует</w:t>
      </w:r>
      <w:r>
        <w:rPr>
          <w:color w:val="231F20"/>
          <w:spacing w:val="-9"/>
          <w:sz w:val="20"/>
        </w:rPr>
        <w:t> </w:t>
      </w:r>
      <w:r>
        <w:rPr>
          <w:color w:val="231F20"/>
          <w:sz w:val="20"/>
        </w:rPr>
        <w:t>перечень</w:t>
      </w:r>
      <w:r>
        <w:rPr>
          <w:color w:val="231F20"/>
          <w:spacing w:val="-9"/>
          <w:sz w:val="20"/>
        </w:rPr>
        <w:t> </w:t>
      </w:r>
      <w:r>
        <w:rPr>
          <w:color w:val="231F20"/>
          <w:sz w:val="20"/>
        </w:rPr>
        <w:t>предметов,</w:t>
      </w:r>
      <w:r>
        <w:rPr>
          <w:color w:val="231F20"/>
          <w:spacing w:val="-9"/>
          <w:sz w:val="20"/>
        </w:rPr>
        <w:t> </w:t>
      </w:r>
      <w:r>
        <w:rPr>
          <w:color w:val="231F20"/>
          <w:sz w:val="20"/>
        </w:rPr>
        <w:t>как</w:t>
      </w:r>
      <w:r>
        <w:rPr>
          <w:color w:val="231F20"/>
          <w:spacing w:val="-9"/>
          <w:sz w:val="20"/>
        </w:rPr>
        <w:t> </w:t>
      </w:r>
      <w:r>
        <w:rPr>
          <w:color w:val="231F20"/>
          <w:sz w:val="20"/>
        </w:rPr>
        <w:t>раз</w:t>
      </w:r>
      <w:r>
        <w:rPr>
          <w:color w:val="231F20"/>
          <w:spacing w:val="-9"/>
          <w:sz w:val="20"/>
        </w:rPr>
        <w:t> </w:t>
      </w:r>
      <w:r>
        <w:rPr>
          <w:color w:val="231F20"/>
          <w:sz w:val="20"/>
        </w:rPr>
        <w:t>относится</w:t>
      </w:r>
      <w:r>
        <w:rPr>
          <w:color w:val="231F20"/>
          <w:spacing w:val="-9"/>
          <w:sz w:val="20"/>
        </w:rPr>
        <w:t> </w:t>
      </w:r>
      <w:r>
        <w:rPr>
          <w:color w:val="231F20"/>
          <w:sz w:val="20"/>
        </w:rPr>
        <w:t>к</w:t>
      </w:r>
      <w:r>
        <w:rPr>
          <w:color w:val="231F20"/>
          <w:spacing w:val="-9"/>
          <w:sz w:val="20"/>
        </w:rPr>
        <w:t> </w:t>
      </w:r>
      <w:r>
        <w:rPr>
          <w:color w:val="231F20"/>
          <w:sz w:val="20"/>
        </w:rPr>
        <w:t>таким.</w:t>
      </w:r>
      <w:r>
        <w:rPr>
          <w:color w:val="231F20"/>
          <w:spacing w:val="-9"/>
          <w:sz w:val="20"/>
        </w:rPr>
        <w:t> </w:t>
      </w:r>
      <w:r>
        <w:rPr>
          <w:color w:val="231F20"/>
          <w:sz w:val="20"/>
        </w:rPr>
        <w:t>Такой</w:t>
      </w:r>
      <w:r>
        <w:rPr>
          <w:color w:val="231F20"/>
          <w:spacing w:val="-9"/>
          <w:sz w:val="20"/>
        </w:rPr>
        <w:t> </w:t>
      </w:r>
      <w:r>
        <w:rPr>
          <w:color w:val="231F20"/>
          <w:sz w:val="20"/>
        </w:rPr>
        <w:t>вопрос</w:t>
      </w:r>
      <w:r>
        <w:rPr>
          <w:color w:val="231F20"/>
          <w:spacing w:val="-9"/>
          <w:sz w:val="20"/>
        </w:rPr>
        <w:t> </w:t>
      </w:r>
      <w:r>
        <w:rPr>
          <w:color w:val="231F20"/>
          <w:sz w:val="20"/>
        </w:rPr>
        <w:t>можно сделать открытым, но, во-первых, это потребует больше времени на заполнение, а</w:t>
      </w:r>
      <w:r>
        <w:rPr>
          <w:color w:val="231F20"/>
          <w:spacing w:val="-4"/>
          <w:sz w:val="20"/>
        </w:rPr>
        <w:t> </w:t>
      </w:r>
      <w:r>
        <w:rPr>
          <w:color w:val="231F20"/>
          <w:sz w:val="20"/>
        </w:rPr>
        <w:t>во-вторых,</w:t>
      </w:r>
      <w:r>
        <w:rPr>
          <w:color w:val="231F20"/>
          <w:spacing w:val="-4"/>
          <w:sz w:val="20"/>
        </w:rPr>
        <w:t> </w:t>
      </w:r>
      <w:r>
        <w:rPr>
          <w:color w:val="231F20"/>
          <w:sz w:val="20"/>
        </w:rPr>
        <w:t>в</w:t>
      </w:r>
      <w:r>
        <w:rPr>
          <w:color w:val="231F20"/>
          <w:spacing w:val="-4"/>
          <w:sz w:val="20"/>
        </w:rPr>
        <w:t> </w:t>
      </w:r>
      <w:r>
        <w:rPr>
          <w:color w:val="231F20"/>
          <w:sz w:val="20"/>
        </w:rPr>
        <w:t>варианте</w:t>
      </w:r>
      <w:r>
        <w:rPr>
          <w:color w:val="231F20"/>
          <w:spacing w:val="-4"/>
          <w:sz w:val="20"/>
        </w:rPr>
        <w:t> </w:t>
      </w:r>
      <w:r>
        <w:rPr>
          <w:color w:val="231F20"/>
          <w:sz w:val="20"/>
        </w:rPr>
        <w:t>закрытого</w:t>
      </w:r>
      <w:r>
        <w:rPr>
          <w:color w:val="231F20"/>
          <w:spacing w:val="-4"/>
          <w:sz w:val="20"/>
        </w:rPr>
        <w:t> </w:t>
      </w:r>
      <w:r>
        <w:rPr>
          <w:color w:val="231F20"/>
          <w:sz w:val="20"/>
        </w:rPr>
        <w:t>вопроса</w:t>
      </w:r>
      <w:r>
        <w:rPr>
          <w:color w:val="231F20"/>
          <w:spacing w:val="-4"/>
          <w:sz w:val="20"/>
        </w:rPr>
        <w:t> </w:t>
      </w:r>
      <w:r>
        <w:rPr>
          <w:color w:val="231F20"/>
          <w:sz w:val="20"/>
        </w:rPr>
        <w:t>проще</w:t>
      </w:r>
      <w:r>
        <w:rPr>
          <w:color w:val="231F20"/>
          <w:spacing w:val="-4"/>
          <w:sz w:val="20"/>
        </w:rPr>
        <w:t> </w:t>
      </w:r>
      <w:r>
        <w:rPr>
          <w:color w:val="231F20"/>
          <w:sz w:val="20"/>
        </w:rPr>
        <w:t>избежать</w:t>
      </w:r>
      <w:r>
        <w:rPr>
          <w:color w:val="231F20"/>
          <w:spacing w:val="-4"/>
          <w:sz w:val="20"/>
        </w:rPr>
        <w:t> </w:t>
      </w:r>
      <w:r>
        <w:rPr>
          <w:color w:val="231F20"/>
          <w:sz w:val="20"/>
        </w:rPr>
        <w:t>ошибок</w:t>
      </w:r>
      <w:r>
        <w:rPr>
          <w:color w:val="231F20"/>
          <w:spacing w:val="-4"/>
          <w:sz w:val="20"/>
        </w:rPr>
        <w:t> </w:t>
      </w:r>
      <w:r>
        <w:rPr>
          <w:color w:val="231F20"/>
          <w:sz w:val="20"/>
        </w:rPr>
        <w:t>или</w:t>
      </w:r>
      <w:r>
        <w:rPr>
          <w:color w:val="231F20"/>
          <w:spacing w:val="-4"/>
          <w:sz w:val="20"/>
        </w:rPr>
        <w:t> </w:t>
      </w:r>
      <w:r>
        <w:rPr>
          <w:color w:val="231F20"/>
          <w:sz w:val="20"/>
        </w:rPr>
        <w:t>неточно- стей. Надо ли ограничивать количество возможных ответов? Если их не ограни- чивать, существует вероятность, что часть респондентов отметит все варианты. Поэтому лучше дать инструкцию вроде «Выберите не более трех вариантов из </w:t>
      </w:r>
      <w:r>
        <w:rPr>
          <w:color w:val="231F20"/>
          <w:spacing w:val="-2"/>
          <w:sz w:val="20"/>
        </w:rPr>
        <w:t>списка».</w:t>
      </w:r>
    </w:p>
    <w:p>
      <w:pPr>
        <w:pStyle w:val="ListParagraph"/>
        <w:numPr>
          <w:ilvl w:val="0"/>
          <w:numId w:val="96"/>
        </w:numPr>
        <w:tabs>
          <w:tab w:pos="425" w:val="left" w:leader="none"/>
        </w:tabs>
        <w:spacing w:line="235" w:lineRule="auto" w:before="6" w:after="0"/>
        <w:ind w:left="425" w:right="139" w:hanging="284"/>
        <w:jc w:val="both"/>
        <w:rPr>
          <w:sz w:val="20"/>
        </w:rPr>
      </w:pPr>
      <w:r>
        <w:rPr>
          <w:color w:val="231F20"/>
          <w:sz w:val="20"/>
        </w:rPr>
        <w:t>Ранжирование. В этом случае нужно не просто выделить значимые варианты от- вета,</w:t>
      </w:r>
      <w:r>
        <w:rPr>
          <w:color w:val="231F20"/>
          <w:spacing w:val="-1"/>
          <w:sz w:val="20"/>
        </w:rPr>
        <w:t> </w:t>
      </w:r>
      <w:r>
        <w:rPr>
          <w:color w:val="231F20"/>
          <w:sz w:val="20"/>
        </w:rPr>
        <w:t>но</w:t>
      </w:r>
      <w:r>
        <w:rPr>
          <w:color w:val="231F20"/>
          <w:spacing w:val="-1"/>
          <w:sz w:val="20"/>
        </w:rPr>
        <w:t> </w:t>
      </w:r>
      <w:r>
        <w:rPr>
          <w:color w:val="231F20"/>
          <w:sz w:val="20"/>
        </w:rPr>
        <w:t>и</w:t>
      </w:r>
      <w:r>
        <w:rPr>
          <w:color w:val="231F20"/>
          <w:spacing w:val="-1"/>
          <w:sz w:val="20"/>
        </w:rPr>
        <w:t> </w:t>
      </w:r>
      <w:r>
        <w:rPr>
          <w:color w:val="231F20"/>
          <w:sz w:val="20"/>
        </w:rPr>
        <w:t>расположить</w:t>
      </w:r>
      <w:r>
        <w:rPr>
          <w:color w:val="231F20"/>
          <w:spacing w:val="-1"/>
          <w:sz w:val="20"/>
        </w:rPr>
        <w:t> </w:t>
      </w:r>
      <w:r>
        <w:rPr>
          <w:color w:val="231F20"/>
          <w:sz w:val="20"/>
        </w:rPr>
        <w:t>их</w:t>
      </w:r>
      <w:r>
        <w:rPr>
          <w:color w:val="231F20"/>
          <w:spacing w:val="-1"/>
          <w:sz w:val="20"/>
        </w:rPr>
        <w:t> </w:t>
      </w:r>
      <w:r>
        <w:rPr>
          <w:color w:val="231F20"/>
          <w:sz w:val="20"/>
        </w:rPr>
        <w:t>в</w:t>
      </w:r>
      <w:r>
        <w:rPr>
          <w:color w:val="231F20"/>
          <w:spacing w:val="-1"/>
          <w:sz w:val="20"/>
        </w:rPr>
        <w:t> </w:t>
      </w:r>
      <w:r>
        <w:rPr>
          <w:color w:val="231F20"/>
          <w:sz w:val="20"/>
        </w:rPr>
        <w:t>определенном</w:t>
      </w:r>
      <w:r>
        <w:rPr>
          <w:color w:val="231F20"/>
          <w:spacing w:val="-1"/>
          <w:sz w:val="20"/>
        </w:rPr>
        <w:t> </w:t>
      </w:r>
      <w:r>
        <w:rPr>
          <w:color w:val="231F20"/>
          <w:sz w:val="20"/>
        </w:rPr>
        <w:t>порядке</w:t>
      </w:r>
      <w:r>
        <w:rPr>
          <w:color w:val="231F20"/>
          <w:spacing w:val="-1"/>
          <w:sz w:val="20"/>
        </w:rPr>
        <w:t> </w:t>
      </w:r>
      <w:r>
        <w:rPr>
          <w:color w:val="231F20"/>
          <w:sz w:val="20"/>
        </w:rPr>
        <w:t>по</w:t>
      </w:r>
      <w:r>
        <w:rPr>
          <w:color w:val="231F20"/>
          <w:spacing w:val="-1"/>
          <w:sz w:val="20"/>
        </w:rPr>
        <w:t> </w:t>
      </w:r>
      <w:r>
        <w:rPr>
          <w:color w:val="231F20"/>
          <w:sz w:val="20"/>
        </w:rPr>
        <w:t>степени</w:t>
      </w:r>
      <w:r>
        <w:rPr>
          <w:color w:val="231F20"/>
          <w:spacing w:val="-1"/>
          <w:sz w:val="20"/>
        </w:rPr>
        <w:t> </w:t>
      </w:r>
      <w:r>
        <w:rPr>
          <w:color w:val="231F20"/>
          <w:sz w:val="20"/>
        </w:rPr>
        <w:t>предпочтения.</w:t>
      </w:r>
      <w:r>
        <w:rPr>
          <w:color w:val="231F20"/>
          <w:spacing w:val="-1"/>
          <w:sz w:val="20"/>
        </w:rPr>
        <w:t> </w:t>
      </w:r>
      <w:r>
        <w:rPr>
          <w:color w:val="231F20"/>
          <w:sz w:val="20"/>
        </w:rPr>
        <w:t>По такому принципу построено большинство методик, направленных на изучение </w:t>
      </w:r>
      <w:r>
        <w:rPr>
          <w:color w:val="231F20"/>
          <w:spacing w:val="-2"/>
          <w:sz w:val="20"/>
        </w:rPr>
        <w:t>ценностей.</w:t>
      </w:r>
    </w:p>
    <w:p>
      <w:pPr>
        <w:pStyle w:val="ListParagraph"/>
        <w:numPr>
          <w:ilvl w:val="0"/>
          <w:numId w:val="96"/>
        </w:numPr>
        <w:tabs>
          <w:tab w:pos="425" w:val="left" w:leader="none"/>
        </w:tabs>
        <w:spacing w:line="235" w:lineRule="auto" w:before="3" w:after="0"/>
        <w:ind w:left="425" w:right="139" w:hanging="284"/>
        <w:jc w:val="both"/>
        <w:rPr>
          <w:sz w:val="20"/>
        </w:rPr>
      </w:pPr>
      <w:r>
        <w:rPr>
          <w:color w:val="231F20"/>
          <w:sz w:val="20"/>
        </w:rPr>
        <w:t>Шкала</w:t>
      </w:r>
      <w:r>
        <w:rPr>
          <w:color w:val="231F20"/>
          <w:spacing w:val="-5"/>
          <w:sz w:val="20"/>
        </w:rPr>
        <w:t> </w:t>
      </w:r>
      <w:r>
        <w:rPr>
          <w:color w:val="231F20"/>
          <w:sz w:val="20"/>
        </w:rPr>
        <w:t>Лайкерта</w:t>
      </w:r>
      <w:r>
        <w:rPr>
          <w:color w:val="231F20"/>
          <w:spacing w:val="-5"/>
          <w:sz w:val="20"/>
        </w:rPr>
        <w:t> </w:t>
      </w:r>
      <w:r>
        <w:rPr>
          <w:color w:val="231F20"/>
          <w:sz w:val="20"/>
        </w:rPr>
        <w:t>предполагает</w:t>
      </w:r>
      <w:r>
        <w:rPr>
          <w:color w:val="231F20"/>
          <w:spacing w:val="-5"/>
          <w:sz w:val="20"/>
        </w:rPr>
        <w:t> </w:t>
      </w:r>
      <w:r>
        <w:rPr>
          <w:color w:val="231F20"/>
          <w:sz w:val="20"/>
        </w:rPr>
        <w:t>использование</w:t>
      </w:r>
      <w:r>
        <w:rPr>
          <w:color w:val="231F20"/>
          <w:spacing w:val="-5"/>
          <w:sz w:val="20"/>
        </w:rPr>
        <w:t> </w:t>
      </w:r>
      <w:r>
        <w:rPr>
          <w:color w:val="231F20"/>
          <w:sz w:val="20"/>
        </w:rPr>
        <w:t>градаций,</w:t>
      </w:r>
      <w:r>
        <w:rPr>
          <w:color w:val="231F20"/>
          <w:spacing w:val="-5"/>
          <w:sz w:val="20"/>
        </w:rPr>
        <w:t> </w:t>
      </w:r>
      <w:r>
        <w:rPr>
          <w:color w:val="231F20"/>
          <w:sz w:val="20"/>
        </w:rPr>
        <w:t>отражающих</w:t>
      </w:r>
      <w:r>
        <w:rPr>
          <w:color w:val="231F20"/>
          <w:spacing w:val="-5"/>
          <w:sz w:val="20"/>
        </w:rPr>
        <w:t> </w:t>
      </w:r>
      <w:r>
        <w:rPr>
          <w:color w:val="231F20"/>
          <w:sz w:val="20"/>
        </w:rPr>
        <w:t>степень</w:t>
      </w:r>
      <w:r>
        <w:rPr>
          <w:color w:val="231F20"/>
          <w:spacing w:val="-5"/>
          <w:sz w:val="20"/>
        </w:rPr>
        <w:t> </w:t>
      </w:r>
      <w:r>
        <w:rPr>
          <w:color w:val="231F20"/>
          <w:sz w:val="20"/>
        </w:rPr>
        <w:t>со- гласия</w:t>
      </w:r>
      <w:r>
        <w:rPr>
          <w:color w:val="231F20"/>
          <w:spacing w:val="-13"/>
          <w:sz w:val="20"/>
        </w:rPr>
        <w:t> </w:t>
      </w:r>
      <w:r>
        <w:rPr>
          <w:color w:val="231F20"/>
          <w:sz w:val="20"/>
        </w:rPr>
        <w:t>респондента</w:t>
      </w:r>
      <w:r>
        <w:rPr>
          <w:color w:val="231F20"/>
          <w:spacing w:val="-12"/>
          <w:sz w:val="20"/>
        </w:rPr>
        <w:t> </w:t>
      </w:r>
      <w:r>
        <w:rPr>
          <w:color w:val="231F20"/>
          <w:sz w:val="20"/>
        </w:rPr>
        <w:t>с</w:t>
      </w:r>
      <w:r>
        <w:rPr>
          <w:color w:val="231F20"/>
          <w:spacing w:val="-13"/>
          <w:sz w:val="20"/>
        </w:rPr>
        <w:t> </w:t>
      </w:r>
      <w:r>
        <w:rPr>
          <w:color w:val="231F20"/>
          <w:sz w:val="20"/>
        </w:rPr>
        <w:t>утверждением.</w:t>
      </w:r>
      <w:r>
        <w:rPr>
          <w:color w:val="231F20"/>
          <w:spacing w:val="-12"/>
          <w:sz w:val="20"/>
        </w:rPr>
        <w:t> </w:t>
      </w:r>
      <w:r>
        <w:rPr>
          <w:color w:val="231F20"/>
          <w:sz w:val="20"/>
        </w:rPr>
        <w:t>Наиболее</w:t>
      </w:r>
      <w:r>
        <w:rPr>
          <w:color w:val="231F20"/>
          <w:spacing w:val="-13"/>
          <w:sz w:val="20"/>
        </w:rPr>
        <w:t> </w:t>
      </w:r>
      <w:r>
        <w:rPr>
          <w:color w:val="231F20"/>
          <w:sz w:val="20"/>
        </w:rPr>
        <w:t>известен</w:t>
      </w:r>
      <w:r>
        <w:rPr>
          <w:color w:val="231F20"/>
          <w:spacing w:val="-12"/>
          <w:sz w:val="20"/>
        </w:rPr>
        <w:t> </w:t>
      </w:r>
      <w:r>
        <w:rPr>
          <w:color w:val="231F20"/>
          <w:sz w:val="20"/>
        </w:rPr>
        <w:t>вариант</w:t>
      </w:r>
      <w:r>
        <w:rPr>
          <w:color w:val="231F20"/>
          <w:spacing w:val="-13"/>
          <w:sz w:val="20"/>
        </w:rPr>
        <w:t> </w:t>
      </w:r>
      <w:r>
        <w:rPr>
          <w:color w:val="231F20"/>
          <w:sz w:val="20"/>
        </w:rPr>
        <w:t>шкалы</w:t>
      </w:r>
      <w:r>
        <w:rPr>
          <w:color w:val="231F20"/>
          <w:spacing w:val="-12"/>
          <w:sz w:val="20"/>
        </w:rPr>
        <w:t> </w:t>
      </w:r>
      <w:r>
        <w:rPr>
          <w:color w:val="231F20"/>
          <w:sz w:val="20"/>
        </w:rPr>
        <w:t>Лайкерта, включающий утверждения: «абсолютно согласен», «скорее согласен», «трудно сказать», «скорее не согласен», «абсолютно не согласен». Однако очень удобно также</w:t>
      </w:r>
      <w:r>
        <w:rPr>
          <w:color w:val="231F20"/>
          <w:spacing w:val="-13"/>
          <w:sz w:val="20"/>
        </w:rPr>
        <w:t> </w:t>
      </w:r>
      <w:r>
        <w:rPr>
          <w:color w:val="231F20"/>
          <w:sz w:val="20"/>
        </w:rPr>
        <w:t>использовать</w:t>
      </w:r>
      <w:r>
        <w:rPr>
          <w:color w:val="231F20"/>
          <w:spacing w:val="-12"/>
          <w:sz w:val="20"/>
        </w:rPr>
        <w:t> </w:t>
      </w:r>
      <w:r>
        <w:rPr>
          <w:color w:val="231F20"/>
          <w:sz w:val="20"/>
        </w:rPr>
        <w:t>числовые</w:t>
      </w:r>
      <w:r>
        <w:rPr>
          <w:color w:val="231F20"/>
          <w:spacing w:val="-13"/>
          <w:sz w:val="20"/>
        </w:rPr>
        <w:t> </w:t>
      </w:r>
      <w:r>
        <w:rPr>
          <w:color w:val="231F20"/>
          <w:sz w:val="20"/>
        </w:rPr>
        <w:t>эквиваленты,</w:t>
      </w:r>
      <w:r>
        <w:rPr>
          <w:color w:val="231F20"/>
          <w:spacing w:val="-12"/>
          <w:sz w:val="20"/>
        </w:rPr>
        <w:t> </w:t>
      </w:r>
      <w:r>
        <w:rPr>
          <w:color w:val="231F20"/>
          <w:sz w:val="20"/>
        </w:rPr>
        <w:t>например:</w:t>
      </w:r>
      <w:r>
        <w:rPr>
          <w:color w:val="231F20"/>
          <w:spacing w:val="-13"/>
          <w:sz w:val="20"/>
        </w:rPr>
        <w:t> </w:t>
      </w:r>
      <w:r>
        <w:rPr>
          <w:color w:val="231F20"/>
          <w:sz w:val="20"/>
        </w:rPr>
        <w:t>«Оцените</w:t>
      </w:r>
      <w:r>
        <w:rPr>
          <w:color w:val="231F20"/>
          <w:spacing w:val="-12"/>
          <w:sz w:val="20"/>
        </w:rPr>
        <w:t> </w:t>
      </w:r>
      <w:r>
        <w:rPr>
          <w:color w:val="231F20"/>
          <w:sz w:val="20"/>
        </w:rPr>
        <w:t>степень</w:t>
      </w:r>
      <w:r>
        <w:rPr>
          <w:color w:val="231F20"/>
          <w:spacing w:val="-13"/>
          <w:sz w:val="20"/>
        </w:rPr>
        <w:t> </w:t>
      </w:r>
      <w:r>
        <w:rPr>
          <w:color w:val="231F20"/>
          <w:sz w:val="20"/>
        </w:rPr>
        <w:t>согласия</w:t>
      </w:r>
    </w:p>
    <w:p>
      <w:pPr>
        <w:pStyle w:val="ListParagraph"/>
        <w:spacing w:after="0" w:line="235" w:lineRule="auto"/>
        <w:jc w:val="both"/>
        <w:rPr>
          <w:sz w:val="20"/>
        </w:rPr>
        <w:sectPr>
          <w:pgSz w:w="8400" w:h="11910"/>
          <w:pgMar w:header="0" w:footer="535" w:top="400" w:bottom="740" w:left="425" w:right="425"/>
        </w:sectPr>
      </w:pPr>
    </w:p>
    <w:p>
      <w:pPr>
        <w:spacing w:before="80"/>
        <w:ind w:left="141" w:right="0" w:firstLine="0"/>
        <w:jc w:val="left"/>
        <w:rPr>
          <w:rFonts w:ascii="Georgia" w:hAnsi="Georgia"/>
          <w:sz w:val="18"/>
        </w:rPr>
      </w:pPr>
      <w:bookmarkStart w:name="_bookmark58" w:id="60"/>
      <w:bookmarkEnd w:id="60"/>
      <w:r>
        <w:rPr/>
      </w:r>
      <w:r>
        <w:rPr>
          <w:rFonts w:ascii="Georgia" w:hAnsi="Georgia"/>
          <w:color w:val="231F20"/>
          <w:sz w:val="18"/>
        </w:rPr>
        <w:t>3.2.</w:t>
      </w:r>
      <w:r>
        <w:rPr>
          <w:rFonts w:ascii="Georgia" w:hAnsi="Georgia"/>
          <w:color w:val="231F20"/>
          <w:spacing w:val="-5"/>
          <w:sz w:val="18"/>
        </w:rPr>
        <w:t> </w:t>
      </w:r>
      <w:r>
        <w:rPr>
          <w:rFonts w:ascii="Georgia" w:hAnsi="Georgia"/>
          <w:color w:val="231F20"/>
          <w:sz w:val="18"/>
        </w:rPr>
        <w:t>Стратегии</w:t>
      </w:r>
      <w:r>
        <w:rPr>
          <w:rFonts w:ascii="Georgia" w:hAnsi="Georgia"/>
          <w:color w:val="231F20"/>
          <w:spacing w:val="-4"/>
          <w:sz w:val="18"/>
        </w:rPr>
        <w:t> </w:t>
      </w:r>
      <w:r>
        <w:rPr>
          <w:rFonts w:ascii="Georgia" w:hAnsi="Georgia"/>
          <w:color w:val="231F20"/>
          <w:sz w:val="18"/>
        </w:rPr>
        <w:t>индивидуального</w:t>
      </w:r>
      <w:r>
        <w:rPr>
          <w:rFonts w:ascii="Georgia" w:hAnsi="Georgia"/>
          <w:color w:val="231F20"/>
          <w:spacing w:val="-5"/>
          <w:sz w:val="18"/>
        </w:rPr>
        <w:t> </w:t>
      </w:r>
      <w:r>
        <w:rPr>
          <w:rFonts w:ascii="Georgia" w:hAnsi="Georgia"/>
          <w:color w:val="231F20"/>
          <w:sz w:val="18"/>
        </w:rPr>
        <w:t>взаимодействия</w:t>
      </w:r>
      <w:r>
        <w:rPr>
          <w:rFonts w:ascii="Georgia" w:hAnsi="Georgia"/>
          <w:color w:val="231F20"/>
          <w:spacing w:val="-4"/>
          <w:sz w:val="18"/>
        </w:rPr>
        <w:t> </w:t>
      </w:r>
      <w:r>
        <w:rPr>
          <w:rFonts w:ascii="Georgia" w:hAnsi="Georgia"/>
          <w:color w:val="231F20"/>
          <w:sz w:val="18"/>
        </w:rPr>
        <w:t>с</w:t>
      </w:r>
      <w:r>
        <w:rPr>
          <w:rFonts w:ascii="Georgia" w:hAnsi="Georgia"/>
          <w:color w:val="231F20"/>
          <w:spacing w:val="-5"/>
          <w:sz w:val="18"/>
        </w:rPr>
        <w:t> </w:t>
      </w:r>
      <w:r>
        <w:rPr>
          <w:rFonts w:ascii="Georgia" w:hAnsi="Georgia"/>
          <w:color w:val="231F20"/>
          <w:spacing w:val="-2"/>
          <w:sz w:val="18"/>
        </w:rPr>
        <w:t>родителями...</w:t>
      </w:r>
    </w:p>
    <w:p>
      <w:pPr>
        <w:pStyle w:val="BodyText"/>
        <w:spacing w:line="235" w:lineRule="auto" w:before="116"/>
        <w:ind w:left="425" w:firstLine="0"/>
      </w:pPr>
      <w:r>
        <w:rPr>
          <w:color w:val="231F20"/>
        </w:rPr>
        <w:t>с каждым пунктом по 10-балльной шкале, где 1 – совершенно не согласен, 10 – совершенно</w:t>
      </w:r>
      <w:r>
        <w:rPr>
          <w:color w:val="231F20"/>
          <w:spacing w:val="-12"/>
        </w:rPr>
        <w:t> </w:t>
      </w:r>
      <w:r>
        <w:rPr>
          <w:color w:val="231F20"/>
        </w:rPr>
        <w:t>согласен».</w:t>
      </w:r>
      <w:r>
        <w:rPr>
          <w:color w:val="231F20"/>
          <w:spacing w:val="-12"/>
        </w:rPr>
        <w:t> </w:t>
      </w:r>
      <w:r>
        <w:rPr>
          <w:color w:val="231F20"/>
        </w:rPr>
        <w:t>При</w:t>
      </w:r>
      <w:r>
        <w:rPr>
          <w:color w:val="231F20"/>
          <w:spacing w:val="-12"/>
        </w:rPr>
        <w:t> </w:t>
      </w:r>
      <w:r>
        <w:rPr>
          <w:color w:val="231F20"/>
        </w:rPr>
        <w:t>использовании</w:t>
      </w:r>
      <w:r>
        <w:rPr>
          <w:color w:val="231F20"/>
          <w:spacing w:val="-12"/>
        </w:rPr>
        <w:t> </w:t>
      </w:r>
      <w:r>
        <w:rPr>
          <w:color w:val="231F20"/>
        </w:rPr>
        <w:t>шкалы</w:t>
      </w:r>
      <w:r>
        <w:rPr>
          <w:color w:val="231F20"/>
          <w:spacing w:val="-12"/>
        </w:rPr>
        <w:t> </w:t>
      </w:r>
      <w:r>
        <w:rPr>
          <w:color w:val="231F20"/>
        </w:rPr>
        <w:t>Лайкерта</w:t>
      </w:r>
      <w:r>
        <w:rPr>
          <w:color w:val="231F20"/>
          <w:spacing w:val="-12"/>
        </w:rPr>
        <w:t> </w:t>
      </w:r>
      <w:r>
        <w:rPr>
          <w:color w:val="231F20"/>
        </w:rPr>
        <w:t>вопросы</w:t>
      </w:r>
      <w:r>
        <w:rPr>
          <w:color w:val="231F20"/>
          <w:spacing w:val="-12"/>
        </w:rPr>
        <w:t> </w:t>
      </w:r>
      <w:r>
        <w:rPr>
          <w:color w:val="231F20"/>
        </w:rPr>
        <w:t>формулиру- ются в утвердительной форме, в виде суждений или высказываний.</w:t>
      </w:r>
    </w:p>
    <w:p>
      <w:pPr>
        <w:numPr>
          <w:ilvl w:val="2"/>
          <w:numId w:val="80"/>
        </w:numPr>
        <w:tabs>
          <w:tab w:pos="1030" w:val="left" w:leader="none"/>
        </w:tabs>
        <w:spacing w:before="224"/>
        <w:ind w:left="1030" w:right="0" w:hanging="500"/>
        <w:jc w:val="both"/>
        <w:rPr>
          <w:b/>
          <w:sz w:val="20"/>
        </w:rPr>
      </w:pPr>
      <w:r>
        <w:rPr>
          <w:b/>
          <w:color w:val="231F20"/>
          <w:sz w:val="20"/>
        </w:rPr>
        <w:t>Использование</w:t>
      </w:r>
      <w:r>
        <w:rPr>
          <w:b/>
          <w:color w:val="231F20"/>
          <w:spacing w:val="-12"/>
          <w:sz w:val="20"/>
        </w:rPr>
        <w:t> </w:t>
      </w:r>
      <w:r>
        <w:rPr>
          <w:b/>
          <w:color w:val="231F20"/>
          <w:sz w:val="20"/>
        </w:rPr>
        <w:t>рекомендаций</w:t>
      </w:r>
      <w:r>
        <w:rPr>
          <w:b/>
          <w:color w:val="231F20"/>
          <w:spacing w:val="-10"/>
          <w:sz w:val="20"/>
        </w:rPr>
        <w:t> </w:t>
      </w:r>
      <w:r>
        <w:rPr>
          <w:b/>
          <w:color w:val="231F20"/>
          <w:sz w:val="20"/>
        </w:rPr>
        <w:t>в</w:t>
      </w:r>
      <w:r>
        <w:rPr>
          <w:b/>
          <w:color w:val="231F20"/>
          <w:spacing w:val="-10"/>
          <w:sz w:val="20"/>
        </w:rPr>
        <w:t> </w:t>
      </w:r>
      <w:r>
        <w:rPr>
          <w:b/>
          <w:color w:val="231F20"/>
          <w:sz w:val="20"/>
        </w:rPr>
        <w:t>работе</w:t>
      </w:r>
      <w:r>
        <w:rPr>
          <w:b/>
          <w:color w:val="231F20"/>
          <w:spacing w:val="-9"/>
          <w:sz w:val="20"/>
        </w:rPr>
        <w:t> </w:t>
      </w:r>
      <w:r>
        <w:rPr>
          <w:b/>
          <w:color w:val="231F20"/>
          <w:sz w:val="20"/>
        </w:rPr>
        <w:t>с</w:t>
      </w:r>
      <w:r>
        <w:rPr>
          <w:b/>
          <w:color w:val="231F20"/>
          <w:spacing w:val="-9"/>
          <w:sz w:val="20"/>
        </w:rPr>
        <w:t> </w:t>
      </w:r>
      <w:r>
        <w:rPr>
          <w:b/>
          <w:color w:val="231F20"/>
          <w:sz w:val="20"/>
        </w:rPr>
        <w:t>родителями-</w:t>
      </w:r>
      <w:r>
        <w:rPr>
          <w:b/>
          <w:color w:val="231F20"/>
          <w:spacing w:val="-2"/>
          <w:sz w:val="20"/>
        </w:rPr>
        <w:t>мигрантами</w:t>
      </w:r>
    </w:p>
    <w:p>
      <w:pPr>
        <w:pStyle w:val="BodyText"/>
        <w:spacing w:line="235" w:lineRule="auto" w:before="113"/>
      </w:pPr>
      <w:r>
        <w:rPr>
          <w:color w:val="231F20"/>
        </w:rPr>
        <w:t>Важным инструментом в работе с родителями являются рекомендации. Они по- зволяют</w:t>
      </w:r>
      <w:r>
        <w:rPr>
          <w:color w:val="231F20"/>
          <w:spacing w:val="-10"/>
        </w:rPr>
        <w:t> </w:t>
      </w:r>
      <w:r>
        <w:rPr>
          <w:color w:val="231F20"/>
        </w:rPr>
        <w:t>родителям</w:t>
      </w:r>
      <w:r>
        <w:rPr>
          <w:color w:val="231F20"/>
          <w:spacing w:val="-10"/>
        </w:rPr>
        <w:t> </w:t>
      </w:r>
      <w:r>
        <w:rPr>
          <w:color w:val="231F20"/>
        </w:rPr>
        <w:t>получить</w:t>
      </w:r>
      <w:r>
        <w:rPr>
          <w:color w:val="231F20"/>
          <w:spacing w:val="-10"/>
        </w:rPr>
        <w:t> </w:t>
      </w:r>
      <w:r>
        <w:rPr>
          <w:color w:val="231F20"/>
        </w:rPr>
        <w:t>более</w:t>
      </w:r>
      <w:r>
        <w:rPr>
          <w:color w:val="231F20"/>
          <w:spacing w:val="-10"/>
        </w:rPr>
        <w:t> </w:t>
      </w:r>
      <w:r>
        <w:rPr>
          <w:color w:val="231F20"/>
        </w:rPr>
        <w:t>четкое</w:t>
      </w:r>
      <w:r>
        <w:rPr>
          <w:color w:val="231F20"/>
          <w:spacing w:val="-10"/>
        </w:rPr>
        <w:t> </w:t>
      </w:r>
      <w:r>
        <w:rPr>
          <w:color w:val="231F20"/>
        </w:rPr>
        <w:t>понимание,</w:t>
      </w:r>
      <w:r>
        <w:rPr>
          <w:color w:val="231F20"/>
          <w:spacing w:val="-10"/>
        </w:rPr>
        <w:t> </w:t>
      </w:r>
      <w:r>
        <w:rPr>
          <w:color w:val="231F20"/>
        </w:rPr>
        <w:t>как</w:t>
      </w:r>
      <w:r>
        <w:rPr>
          <w:color w:val="231F20"/>
          <w:spacing w:val="-10"/>
        </w:rPr>
        <w:t> </w:t>
      </w:r>
      <w:r>
        <w:rPr>
          <w:color w:val="231F20"/>
        </w:rPr>
        <w:t>именно</w:t>
      </w:r>
      <w:r>
        <w:rPr>
          <w:color w:val="231F20"/>
          <w:spacing w:val="-10"/>
        </w:rPr>
        <w:t> </w:t>
      </w:r>
      <w:r>
        <w:rPr>
          <w:color w:val="231F20"/>
        </w:rPr>
        <w:t>они</w:t>
      </w:r>
      <w:r>
        <w:rPr>
          <w:color w:val="231F20"/>
          <w:spacing w:val="-10"/>
        </w:rPr>
        <w:t> </w:t>
      </w:r>
      <w:r>
        <w:rPr>
          <w:color w:val="231F20"/>
        </w:rPr>
        <w:t>могут</w:t>
      </w:r>
      <w:r>
        <w:rPr>
          <w:color w:val="231F20"/>
          <w:spacing w:val="-10"/>
        </w:rPr>
        <w:t> </w:t>
      </w:r>
      <w:r>
        <w:rPr>
          <w:color w:val="231F20"/>
        </w:rPr>
        <w:t>поддер- </w:t>
      </w:r>
      <w:r>
        <w:rPr>
          <w:color w:val="231F20"/>
          <w:spacing w:val="-2"/>
        </w:rPr>
        <w:t>жать детей, и помогают освоить новые поведенческие модели. Удачная рекомендация </w:t>
      </w:r>
      <w:r>
        <w:rPr>
          <w:color w:val="231F20"/>
        </w:rPr>
        <w:t>соответствует следующим критериям:</w:t>
      </w:r>
    </w:p>
    <w:p>
      <w:pPr>
        <w:pStyle w:val="ListParagraph"/>
        <w:numPr>
          <w:ilvl w:val="0"/>
          <w:numId w:val="97"/>
        </w:numPr>
        <w:tabs>
          <w:tab w:pos="425" w:val="left" w:leader="none"/>
        </w:tabs>
        <w:spacing w:line="235" w:lineRule="auto" w:before="2" w:after="0"/>
        <w:ind w:left="425" w:right="139" w:hanging="284"/>
        <w:jc w:val="left"/>
        <w:rPr>
          <w:color w:val="231F20"/>
          <w:sz w:val="20"/>
        </w:rPr>
      </w:pPr>
      <w:r>
        <w:rPr>
          <w:color w:val="231F20"/>
          <w:sz w:val="20"/>
        </w:rPr>
        <w:t>предлагается</w:t>
      </w:r>
      <w:r>
        <w:rPr>
          <w:color w:val="231F20"/>
          <w:spacing w:val="-13"/>
          <w:sz w:val="20"/>
        </w:rPr>
        <w:t> </w:t>
      </w:r>
      <w:r>
        <w:rPr>
          <w:color w:val="231F20"/>
          <w:sz w:val="20"/>
        </w:rPr>
        <w:t>в</w:t>
      </w:r>
      <w:r>
        <w:rPr>
          <w:color w:val="231F20"/>
          <w:spacing w:val="-12"/>
          <w:sz w:val="20"/>
        </w:rPr>
        <w:t> </w:t>
      </w:r>
      <w:r>
        <w:rPr>
          <w:color w:val="231F20"/>
          <w:sz w:val="20"/>
        </w:rPr>
        <w:t>утвердительной</w:t>
      </w:r>
      <w:r>
        <w:rPr>
          <w:color w:val="231F20"/>
          <w:spacing w:val="-13"/>
          <w:sz w:val="20"/>
        </w:rPr>
        <w:t> </w:t>
      </w:r>
      <w:r>
        <w:rPr>
          <w:color w:val="231F20"/>
          <w:sz w:val="20"/>
        </w:rPr>
        <w:t>форме</w:t>
      </w:r>
      <w:r>
        <w:rPr>
          <w:color w:val="231F20"/>
          <w:spacing w:val="-12"/>
          <w:sz w:val="20"/>
        </w:rPr>
        <w:t> </w:t>
      </w:r>
      <w:r>
        <w:rPr>
          <w:color w:val="231F20"/>
          <w:sz w:val="20"/>
        </w:rPr>
        <w:t>(если</w:t>
      </w:r>
      <w:r>
        <w:rPr>
          <w:color w:val="231F20"/>
          <w:spacing w:val="-13"/>
          <w:sz w:val="20"/>
        </w:rPr>
        <w:t> </w:t>
      </w:r>
      <w:r>
        <w:rPr>
          <w:color w:val="231F20"/>
          <w:sz w:val="20"/>
        </w:rPr>
        <w:t>рекомендация</w:t>
      </w:r>
      <w:r>
        <w:rPr>
          <w:color w:val="231F20"/>
          <w:spacing w:val="-12"/>
          <w:sz w:val="20"/>
        </w:rPr>
        <w:t> </w:t>
      </w:r>
      <w:r>
        <w:rPr>
          <w:color w:val="231F20"/>
          <w:sz w:val="20"/>
        </w:rPr>
        <w:t>формулируется</w:t>
      </w:r>
      <w:r>
        <w:rPr>
          <w:color w:val="231F20"/>
          <w:spacing w:val="-13"/>
          <w:sz w:val="20"/>
        </w:rPr>
        <w:t> </w:t>
      </w:r>
      <w:r>
        <w:rPr>
          <w:color w:val="231F20"/>
          <w:sz w:val="20"/>
        </w:rPr>
        <w:t>в</w:t>
      </w:r>
      <w:r>
        <w:rPr>
          <w:color w:val="231F20"/>
          <w:spacing w:val="-12"/>
          <w:sz w:val="20"/>
        </w:rPr>
        <w:t> </w:t>
      </w:r>
      <w:r>
        <w:rPr>
          <w:color w:val="231F20"/>
          <w:sz w:val="20"/>
        </w:rPr>
        <w:t>отри- цательной форме, она не дает образца желательного поведения);</w:t>
      </w:r>
    </w:p>
    <w:p>
      <w:pPr>
        <w:pStyle w:val="ListParagraph"/>
        <w:numPr>
          <w:ilvl w:val="0"/>
          <w:numId w:val="97"/>
        </w:numPr>
        <w:tabs>
          <w:tab w:pos="424" w:val="left" w:leader="none"/>
        </w:tabs>
        <w:spacing w:line="225" w:lineRule="exact" w:before="0" w:after="0"/>
        <w:ind w:left="424" w:right="0" w:hanging="283"/>
        <w:jc w:val="left"/>
        <w:rPr>
          <w:color w:val="231F20"/>
          <w:sz w:val="20"/>
        </w:rPr>
      </w:pPr>
      <w:r>
        <w:rPr>
          <w:color w:val="231F20"/>
          <w:sz w:val="20"/>
        </w:rPr>
        <w:t>достаточно</w:t>
      </w:r>
      <w:r>
        <w:rPr>
          <w:color w:val="231F20"/>
          <w:spacing w:val="-9"/>
          <w:sz w:val="20"/>
        </w:rPr>
        <w:t> </w:t>
      </w:r>
      <w:r>
        <w:rPr>
          <w:color w:val="231F20"/>
          <w:sz w:val="20"/>
        </w:rPr>
        <w:t>конкретна,</w:t>
      </w:r>
      <w:r>
        <w:rPr>
          <w:color w:val="231F20"/>
          <w:spacing w:val="-9"/>
          <w:sz w:val="20"/>
        </w:rPr>
        <w:t> </w:t>
      </w:r>
      <w:r>
        <w:rPr>
          <w:color w:val="231F20"/>
          <w:sz w:val="20"/>
        </w:rPr>
        <w:t>описывает</w:t>
      </w:r>
      <w:r>
        <w:rPr>
          <w:color w:val="231F20"/>
          <w:spacing w:val="-9"/>
          <w:sz w:val="20"/>
        </w:rPr>
        <w:t> </w:t>
      </w:r>
      <w:r>
        <w:rPr>
          <w:color w:val="231F20"/>
          <w:sz w:val="20"/>
        </w:rPr>
        <w:t>желательное</w:t>
      </w:r>
      <w:r>
        <w:rPr>
          <w:color w:val="231F20"/>
          <w:spacing w:val="-8"/>
          <w:sz w:val="20"/>
        </w:rPr>
        <w:t> </w:t>
      </w:r>
      <w:r>
        <w:rPr>
          <w:color w:val="231F20"/>
          <w:spacing w:val="-2"/>
          <w:sz w:val="20"/>
        </w:rPr>
        <w:t>поведение;</w:t>
      </w:r>
    </w:p>
    <w:p>
      <w:pPr>
        <w:pStyle w:val="ListParagraph"/>
        <w:numPr>
          <w:ilvl w:val="0"/>
          <w:numId w:val="97"/>
        </w:numPr>
        <w:tabs>
          <w:tab w:pos="424" w:val="left" w:leader="none"/>
        </w:tabs>
        <w:spacing w:line="226" w:lineRule="exact" w:before="0" w:after="0"/>
        <w:ind w:left="424" w:right="0" w:hanging="283"/>
        <w:jc w:val="left"/>
        <w:rPr>
          <w:color w:val="231F20"/>
          <w:sz w:val="20"/>
        </w:rPr>
      </w:pPr>
      <w:r>
        <w:rPr>
          <w:color w:val="231F20"/>
          <w:sz w:val="20"/>
        </w:rPr>
        <w:t>реалистична,</w:t>
      </w:r>
      <w:r>
        <w:rPr>
          <w:color w:val="231F20"/>
          <w:spacing w:val="-7"/>
          <w:sz w:val="20"/>
        </w:rPr>
        <w:t> </w:t>
      </w:r>
      <w:r>
        <w:rPr>
          <w:color w:val="231F20"/>
          <w:sz w:val="20"/>
        </w:rPr>
        <w:t>т.е.</w:t>
      </w:r>
      <w:r>
        <w:rPr>
          <w:color w:val="231F20"/>
          <w:spacing w:val="-5"/>
          <w:sz w:val="20"/>
        </w:rPr>
        <w:t> </w:t>
      </w:r>
      <w:r>
        <w:rPr>
          <w:color w:val="231F20"/>
          <w:sz w:val="20"/>
        </w:rPr>
        <w:t>родитель</w:t>
      </w:r>
      <w:r>
        <w:rPr>
          <w:color w:val="231F20"/>
          <w:spacing w:val="-5"/>
          <w:sz w:val="20"/>
        </w:rPr>
        <w:t> </w:t>
      </w:r>
      <w:r>
        <w:rPr>
          <w:color w:val="231F20"/>
          <w:sz w:val="20"/>
        </w:rPr>
        <w:t>в</w:t>
      </w:r>
      <w:r>
        <w:rPr>
          <w:color w:val="231F20"/>
          <w:spacing w:val="-6"/>
          <w:sz w:val="20"/>
        </w:rPr>
        <w:t> </w:t>
      </w:r>
      <w:r>
        <w:rPr>
          <w:color w:val="231F20"/>
          <w:sz w:val="20"/>
        </w:rPr>
        <w:t>принципе</w:t>
      </w:r>
      <w:r>
        <w:rPr>
          <w:color w:val="231F20"/>
          <w:spacing w:val="-4"/>
          <w:sz w:val="20"/>
        </w:rPr>
        <w:t> </w:t>
      </w:r>
      <w:r>
        <w:rPr>
          <w:color w:val="231F20"/>
          <w:sz w:val="20"/>
        </w:rPr>
        <w:t>может</w:t>
      </w:r>
      <w:r>
        <w:rPr>
          <w:color w:val="231F20"/>
          <w:spacing w:val="-5"/>
          <w:sz w:val="20"/>
        </w:rPr>
        <w:t> </w:t>
      </w:r>
      <w:r>
        <w:rPr>
          <w:color w:val="231F20"/>
          <w:sz w:val="20"/>
        </w:rPr>
        <w:t>ее</w:t>
      </w:r>
      <w:r>
        <w:rPr>
          <w:color w:val="231F20"/>
          <w:spacing w:val="-4"/>
          <w:sz w:val="20"/>
        </w:rPr>
        <w:t> </w:t>
      </w:r>
      <w:r>
        <w:rPr>
          <w:color w:val="231F20"/>
          <w:spacing w:val="-2"/>
          <w:sz w:val="20"/>
        </w:rPr>
        <w:t>выполнить.</w:t>
      </w:r>
    </w:p>
    <w:p>
      <w:pPr>
        <w:pStyle w:val="BodyText"/>
        <w:spacing w:line="235" w:lineRule="auto" w:before="2"/>
      </w:pPr>
      <w:r>
        <w:rPr>
          <w:color w:val="231F20"/>
        </w:rPr>
        <w:t>Очевидной рекомендацией, которую чаще всего предлагают семьям детей-ино- фонов, является предложение как можно больше говорить дома на русском. Однако данная рекомендация является и наименее выполнимой. Во-первых, в силу недоста- точного</w:t>
      </w:r>
      <w:r>
        <w:rPr>
          <w:color w:val="231F20"/>
          <w:spacing w:val="-6"/>
        </w:rPr>
        <w:t> </w:t>
      </w:r>
      <w:r>
        <w:rPr>
          <w:color w:val="231F20"/>
        </w:rPr>
        <w:t>владения</w:t>
      </w:r>
      <w:r>
        <w:rPr>
          <w:color w:val="231F20"/>
          <w:spacing w:val="-6"/>
        </w:rPr>
        <w:t> </w:t>
      </w:r>
      <w:r>
        <w:rPr>
          <w:color w:val="231F20"/>
        </w:rPr>
        <w:t>русским</w:t>
      </w:r>
      <w:r>
        <w:rPr>
          <w:color w:val="231F20"/>
          <w:spacing w:val="-6"/>
        </w:rPr>
        <w:t> </w:t>
      </w:r>
      <w:r>
        <w:rPr>
          <w:color w:val="231F20"/>
        </w:rPr>
        <w:t>родственников</w:t>
      </w:r>
      <w:r>
        <w:rPr>
          <w:color w:val="231F20"/>
          <w:spacing w:val="-6"/>
        </w:rPr>
        <w:t> </w:t>
      </w:r>
      <w:r>
        <w:rPr>
          <w:color w:val="231F20"/>
        </w:rPr>
        <w:t>ребенка,</w:t>
      </w:r>
      <w:r>
        <w:rPr>
          <w:color w:val="231F20"/>
          <w:spacing w:val="-6"/>
        </w:rPr>
        <w:t> </w:t>
      </w:r>
      <w:r>
        <w:rPr>
          <w:color w:val="231F20"/>
        </w:rPr>
        <w:t>во-вторых,</w:t>
      </w:r>
      <w:r>
        <w:rPr>
          <w:color w:val="231F20"/>
          <w:spacing w:val="-6"/>
        </w:rPr>
        <w:t> </w:t>
      </w:r>
      <w:r>
        <w:rPr>
          <w:color w:val="231F20"/>
        </w:rPr>
        <w:t>в</w:t>
      </w:r>
      <w:r>
        <w:rPr>
          <w:color w:val="231F20"/>
          <w:spacing w:val="-6"/>
        </w:rPr>
        <w:t> </w:t>
      </w:r>
      <w:r>
        <w:rPr>
          <w:color w:val="231F20"/>
        </w:rPr>
        <w:t>силу</w:t>
      </w:r>
      <w:r>
        <w:rPr>
          <w:color w:val="231F20"/>
          <w:spacing w:val="-6"/>
        </w:rPr>
        <w:t> </w:t>
      </w:r>
      <w:r>
        <w:rPr>
          <w:color w:val="231F20"/>
        </w:rPr>
        <w:t>значимости</w:t>
      </w:r>
      <w:r>
        <w:rPr>
          <w:color w:val="231F20"/>
          <w:spacing w:val="-6"/>
        </w:rPr>
        <w:t> </w:t>
      </w:r>
      <w:r>
        <w:rPr>
          <w:color w:val="231F20"/>
        </w:rPr>
        <w:t>со- хранения родного языка. Родной язык для родителей-мигрантов может иметь сим- волическое значение, отражая их связь с родной культурой и сохраняя возможность </w:t>
      </w:r>
      <w:r>
        <w:rPr>
          <w:color w:val="231F20"/>
          <w:spacing w:val="-2"/>
        </w:rPr>
        <w:t>продолжать</w:t>
      </w:r>
      <w:r>
        <w:rPr>
          <w:color w:val="231F20"/>
          <w:spacing w:val="-6"/>
        </w:rPr>
        <w:t> </w:t>
      </w:r>
      <w:r>
        <w:rPr>
          <w:color w:val="231F20"/>
          <w:spacing w:val="-2"/>
        </w:rPr>
        <w:t>говорить</w:t>
      </w:r>
      <w:r>
        <w:rPr>
          <w:color w:val="231F20"/>
          <w:spacing w:val="-6"/>
        </w:rPr>
        <w:t> </w:t>
      </w:r>
      <w:r>
        <w:rPr>
          <w:color w:val="231F20"/>
          <w:spacing w:val="-2"/>
        </w:rPr>
        <w:t>на</w:t>
      </w:r>
      <w:r>
        <w:rPr>
          <w:color w:val="231F20"/>
          <w:spacing w:val="-6"/>
        </w:rPr>
        <w:t> </w:t>
      </w:r>
      <w:r>
        <w:rPr>
          <w:color w:val="231F20"/>
          <w:spacing w:val="-2"/>
        </w:rPr>
        <w:t>нем</w:t>
      </w:r>
      <w:r>
        <w:rPr>
          <w:color w:val="231F20"/>
          <w:spacing w:val="-6"/>
        </w:rPr>
        <w:t> </w:t>
      </w:r>
      <w:r>
        <w:rPr>
          <w:color w:val="231F20"/>
          <w:spacing w:val="-2"/>
        </w:rPr>
        <w:t>между</w:t>
      </w:r>
      <w:r>
        <w:rPr>
          <w:color w:val="231F20"/>
          <w:spacing w:val="-6"/>
        </w:rPr>
        <w:t> </w:t>
      </w:r>
      <w:r>
        <w:rPr>
          <w:color w:val="231F20"/>
          <w:spacing w:val="-2"/>
        </w:rPr>
        <w:t>собой,</w:t>
      </w:r>
      <w:r>
        <w:rPr>
          <w:color w:val="231F20"/>
          <w:spacing w:val="-6"/>
        </w:rPr>
        <w:t> </w:t>
      </w:r>
      <w:r>
        <w:rPr>
          <w:color w:val="231F20"/>
          <w:spacing w:val="-2"/>
        </w:rPr>
        <w:t>с</w:t>
      </w:r>
      <w:r>
        <w:rPr>
          <w:color w:val="231F20"/>
          <w:spacing w:val="-6"/>
        </w:rPr>
        <w:t> </w:t>
      </w:r>
      <w:r>
        <w:rPr>
          <w:color w:val="231F20"/>
          <w:spacing w:val="-2"/>
        </w:rPr>
        <w:t>родственниками</w:t>
      </w:r>
      <w:r>
        <w:rPr>
          <w:color w:val="231F20"/>
          <w:spacing w:val="-6"/>
        </w:rPr>
        <w:t> </w:t>
      </w:r>
      <w:r>
        <w:rPr>
          <w:color w:val="231F20"/>
          <w:spacing w:val="-2"/>
        </w:rPr>
        <w:t>в</w:t>
      </w:r>
      <w:r>
        <w:rPr>
          <w:color w:val="231F20"/>
          <w:spacing w:val="-6"/>
        </w:rPr>
        <w:t> </w:t>
      </w:r>
      <w:r>
        <w:rPr>
          <w:color w:val="231F20"/>
          <w:spacing w:val="-2"/>
        </w:rPr>
        <w:t>стране</w:t>
      </w:r>
      <w:r>
        <w:rPr>
          <w:color w:val="231F20"/>
          <w:spacing w:val="-6"/>
        </w:rPr>
        <w:t> </w:t>
      </w:r>
      <w:r>
        <w:rPr>
          <w:color w:val="231F20"/>
          <w:spacing w:val="-2"/>
        </w:rPr>
        <w:t>исхода</w:t>
      </w:r>
      <w:r>
        <w:rPr>
          <w:color w:val="231F20"/>
          <w:spacing w:val="-6"/>
        </w:rPr>
        <w:t> </w:t>
      </w:r>
      <w:r>
        <w:rPr>
          <w:color w:val="231F20"/>
          <w:spacing w:val="-2"/>
        </w:rPr>
        <w:t>и</w:t>
      </w:r>
      <w:r>
        <w:rPr>
          <w:color w:val="231F20"/>
          <w:spacing w:val="-6"/>
        </w:rPr>
        <w:t> </w:t>
      </w:r>
      <w:r>
        <w:rPr>
          <w:color w:val="231F20"/>
          <w:spacing w:val="-2"/>
        </w:rPr>
        <w:t>с</w:t>
      </w:r>
      <w:r>
        <w:rPr>
          <w:color w:val="231F20"/>
          <w:spacing w:val="-6"/>
        </w:rPr>
        <w:t> </w:t>
      </w:r>
      <w:r>
        <w:rPr>
          <w:color w:val="231F20"/>
          <w:spacing w:val="-2"/>
        </w:rPr>
        <w:t>пред- </w:t>
      </w:r>
      <w:r>
        <w:rPr>
          <w:color w:val="231F20"/>
        </w:rPr>
        <w:t>ставителями своей культуры на новом месте, что крайне значимо. Современные ис- </w:t>
      </w:r>
      <w:r>
        <w:rPr>
          <w:color w:val="231F20"/>
          <w:spacing w:val="-2"/>
        </w:rPr>
        <w:t>следования</w:t>
      </w:r>
      <w:r>
        <w:rPr>
          <w:color w:val="231F20"/>
          <w:spacing w:val="-3"/>
        </w:rPr>
        <w:t> </w:t>
      </w:r>
      <w:r>
        <w:rPr>
          <w:color w:val="231F20"/>
          <w:spacing w:val="-2"/>
        </w:rPr>
        <w:t>позволяют</w:t>
      </w:r>
      <w:r>
        <w:rPr>
          <w:color w:val="231F20"/>
          <w:spacing w:val="-3"/>
        </w:rPr>
        <w:t> </w:t>
      </w:r>
      <w:r>
        <w:rPr>
          <w:color w:val="231F20"/>
          <w:spacing w:val="-2"/>
        </w:rPr>
        <w:t>утверждать,</w:t>
      </w:r>
      <w:r>
        <w:rPr>
          <w:color w:val="231F20"/>
          <w:spacing w:val="-3"/>
        </w:rPr>
        <w:t> </w:t>
      </w:r>
      <w:r>
        <w:rPr>
          <w:color w:val="231F20"/>
          <w:spacing w:val="-2"/>
        </w:rPr>
        <w:t>что</w:t>
      </w:r>
      <w:r>
        <w:rPr>
          <w:color w:val="231F20"/>
          <w:spacing w:val="-3"/>
        </w:rPr>
        <w:t> </w:t>
      </w:r>
      <w:r>
        <w:rPr>
          <w:color w:val="231F20"/>
          <w:spacing w:val="-2"/>
        </w:rPr>
        <w:t>уровень</w:t>
      </w:r>
      <w:r>
        <w:rPr>
          <w:color w:val="231F20"/>
          <w:spacing w:val="-3"/>
        </w:rPr>
        <w:t> </w:t>
      </w:r>
      <w:r>
        <w:rPr>
          <w:color w:val="231F20"/>
          <w:spacing w:val="-2"/>
        </w:rPr>
        <w:t>владения</w:t>
      </w:r>
      <w:r>
        <w:rPr>
          <w:color w:val="231F20"/>
          <w:spacing w:val="-3"/>
        </w:rPr>
        <w:t> </w:t>
      </w:r>
      <w:r>
        <w:rPr>
          <w:color w:val="231F20"/>
          <w:spacing w:val="-2"/>
        </w:rPr>
        <w:t>родным</w:t>
      </w:r>
      <w:r>
        <w:rPr>
          <w:color w:val="231F20"/>
          <w:spacing w:val="-3"/>
        </w:rPr>
        <w:t> </w:t>
      </w:r>
      <w:r>
        <w:rPr>
          <w:color w:val="231F20"/>
          <w:spacing w:val="-2"/>
        </w:rPr>
        <w:t>языком,</w:t>
      </w:r>
      <w:r>
        <w:rPr>
          <w:color w:val="231F20"/>
          <w:spacing w:val="-3"/>
        </w:rPr>
        <w:t> </w:t>
      </w:r>
      <w:r>
        <w:rPr>
          <w:color w:val="231F20"/>
          <w:spacing w:val="-2"/>
        </w:rPr>
        <w:t>в</w:t>
      </w:r>
      <w:r>
        <w:rPr>
          <w:color w:val="231F20"/>
          <w:spacing w:val="-3"/>
        </w:rPr>
        <w:t> </w:t>
      </w:r>
      <w:r>
        <w:rPr>
          <w:color w:val="231F20"/>
          <w:spacing w:val="-2"/>
        </w:rPr>
        <w:t>том</w:t>
      </w:r>
      <w:r>
        <w:rPr>
          <w:color w:val="231F20"/>
          <w:spacing w:val="-3"/>
        </w:rPr>
        <w:t> </w:t>
      </w:r>
      <w:r>
        <w:rPr>
          <w:color w:val="231F20"/>
          <w:spacing w:val="-2"/>
        </w:rPr>
        <w:t>числе </w:t>
      </w:r>
      <w:r>
        <w:rPr>
          <w:color w:val="231F20"/>
        </w:rPr>
        <w:t>письменной речью, положительно сказывается на изучении нового языка (</w:t>
      </w:r>
      <w:r>
        <w:rPr>
          <w:color w:val="17161A"/>
        </w:rPr>
        <w:t>August &amp; Shanahan,</w:t>
      </w:r>
      <w:r>
        <w:rPr>
          <w:color w:val="17161A"/>
          <w:spacing w:val="-13"/>
        </w:rPr>
        <w:t> </w:t>
      </w:r>
      <w:r>
        <w:rPr>
          <w:color w:val="17161A"/>
        </w:rPr>
        <w:t>2006)</w:t>
      </w:r>
      <w:r>
        <w:rPr>
          <w:color w:val="231F20"/>
        </w:rPr>
        <w:t>.</w:t>
      </w:r>
      <w:r>
        <w:rPr>
          <w:color w:val="231F20"/>
          <w:spacing w:val="-12"/>
        </w:rPr>
        <w:t> </w:t>
      </w:r>
      <w:r>
        <w:rPr>
          <w:color w:val="231F20"/>
        </w:rPr>
        <w:t>Кроме</w:t>
      </w:r>
      <w:r>
        <w:rPr>
          <w:color w:val="231F20"/>
          <w:spacing w:val="-13"/>
        </w:rPr>
        <w:t> </w:t>
      </w:r>
      <w:r>
        <w:rPr>
          <w:color w:val="231F20"/>
        </w:rPr>
        <w:t>того,</w:t>
      </w:r>
      <w:r>
        <w:rPr>
          <w:color w:val="231F20"/>
          <w:spacing w:val="-12"/>
        </w:rPr>
        <w:t> </w:t>
      </w:r>
      <w:r>
        <w:rPr>
          <w:color w:val="231F20"/>
        </w:rPr>
        <w:t>как</w:t>
      </w:r>
      <w:r>
        <w:rPr>
          <w:color w:val="231F20"/>
          <w:spacing w:val="-13"/>
        </w:rPr>
        <w:t> </w:t>
      </w:r>
      <w:r>
        <w:rPr>
          <w:color w:val="231F20"/>
        </w:rPr>
        <w:t>показывают</w:t>
      </w:r>
      <w:r>
        <w:rPr>
          <w:color w:val="231F20"/>
          <w:spacing w:val="-12"/>
        </w:rPr>
        <w:t> </w:t>
      </w:r>
      <w:r>
        <w:rPr>
          <w:color w:val="231F20"/>
        </w:rPr>
        <w:t>исследования,</w:t>
      </w:r>
      <w:r>
        <w:rPr>
          <w:color w:val="231F20"/>
          <w:spacing w:val="-13"/>
        </w:rPr>
        <w:t> </w:t>
      </w:r>
      <w:r>
        <w:rPr>
          <w:color w:val="231F20"/>
        </w:rPr>
        <w:t>общение</w:t>
      </w:r>
      <w:r>
        <w:rPr>
          <w:color w:val="231F20"/>
          <w:spacing w:val="-12"/>
        </w:rPr>
        <w:t> </w:t>
      </w:r>
      <w:r>
        <w:rPr>
          <w:color w:val="231F20"/>
        </w:rPr>
        <w:t>с</w:t>
      </w:r>
      <w:r>
        <w:rPr>
          <w:color w:val="231F20"/>
          <w:spacing w:val="-13"/>
        </w:rPr>
        <w:t> </w:t>
      </w:r>
      <w:r>
        <w:rPr>
          <w:color w:val="231F20"/>
        </w:rPr>
        <w:t>людьми,</w:t>
      </w:r>
      <w:r>
        <w:rPr>
          <w:color w:val="231F20"/>
          <w:spacing w:val="-12"/>
        </w:rPr>
        <w:t> </w:t>
      </w:r>
      <w:r>
        <w:rPr>
          <w:color w:val="231F20"/>
        </w:rPr>
        <w:t>обла- дающими</w:t>
      </w:r>
      <w:r>
        <w:rPr>
          <w:color w:val="231F20"/>
          <w:spacing w:val="-13"/>
        </w:rPr>
        <w:t> </w:t>
      </w:r>
      <w:r>
        <w:rPr>
          <w:color w:val="231F20"/>
        </w:rPr>
        <w:t>низким</w:t>
      </w:r>
      <w:r>
        <w:rPr>
          <w:color w:val="231F20"/>
          <w:spacing w:val="-12"/>
        </w:rPr>
        <w:t> </w:t>
      </w:r>
      <w:r>
        <w:rPr>
          <w:color w:val="231F20"/>
        </w:rPr>
        <w:t>уровнем</w:t>
      </w:r>
      <w:r>
        <w:rPr>
          <w:color w:val="231F20"/>
          <w:spacing w:val="-13"/>
        </w:rPr>
        <w:t> </w:t>
      </w:r>
      <w:r>
        <w:rPr>
          <w:color w:val="231F20"/>
        </w:rPr>
        <w:t>компетентности</w:t>
      </w:r>
      <w:r>
        <w:rPr>
          <w:color w:val="231F20"/>
          <w:spacing w:val="-12"/>
        </w:rPr>
        <w:t> </w:t>
      </w:r>
      <w:r>
        <w:rPr>
          <w:color w:val="231F20"/>
        </w:rPr>
        <w:t>в</w:t>
      </w:r>
      <w:r>
        <w:rPr>
          <w:color w:val="231F20"/>
          <w:spacing w:val="-13"/>
        </w:rPr>
        <w:t> </w:t>
      </w:r>
      <w:r>
        <w:rPr>
          <w:color w:val="231F20"/>
        </w:rPr>
        <w:t>изучаемом</w:t>
      </w:r>
      <w:r>
        <w:rPr>
          <w:color w:val="231F20"/>
          <w:spacing w:val="-12"/>
        </w:rPr>
        <w:t> </w:t>
      </w:r>
      <w:r>
        <w:rPr>
          <w:color w:val="231F20"/>
        </w:rPr>
        <w:t>языке,</w:t>
      </w:r>
      <w:r>
        <w:rPr>
          <w:color w:val="231F20"/>
          <w:spacing w:val="-13"/>
        </w:rPr>
        <w:t> </w:t>
      </w:r>
      <w:r>
        <w:rPr>
          <w:color w:val="231F20"/>
        </w:rPr>
        <w:t>негативно</w:t>
      </w:r>
      <w:r>
        <w:rPr>
          <w:color w:val="231F20"/>
          <w:spacing w:val="-12"/>
        </w:rPr>
        <w:t> </w:t>
      </w:r>
      <w:r>
        <w:rPr>
          <w:color w:val="231F20"/>
        </w:rPr>
        <w:t>сказывают- ся на уровне владения языком у детей-инофонов (Hoff, 2018).</w:t>
      </w:r>
    </w:p>
    <w:p>
      <w:pPr>
        <w:pStyle w:val="BodyText"/>
        <w:spacing w:line="235" w:lineRule="auto" w:before="8"/>
      </w:pPr>
      <w:r>
        <w:rPr>
          <w:color w:val="231F20"/>
        </w:rPr>
        <w:t>Из вышесказанного вытекает следующее. Если в семье есть кто-то из взрослых, на</w:t>
      </w:r>
      <w:r>
        <w:rPr>
          <w:color w:val="231F20"/>
          <w:spacing w:val="-10"/>
        </w:rPr>
        <w:t> </w:t>
      </w:r>
      <w:r>
        <w:rPr>
          <w:color w:val="231F20"/>
        </w:rPr>
        <w:t>хорошем</w:t>
      </w:r>
      <w:r>
        <w:rPr>
          <w:color w:val="231F20"/>
          <w:spacing w:val="-10"/>
        </w:rPr>
        <w:t> </w:t>
      </w:r>
      <w:r>
        <w:rPr>
          <w:color w:val="231F20"/>
        </w:rPr>
        <w:t>уровне</w:t>
      </w:r>
      <w:r>
        <w:rPr>
          <w:color w:val="231F20"/>
          <w:spacing w:val="-10"/>
        </w:rPr>
        <w:t> </w:t>
      </w:r>
      <w:r>
        <w:rPr>
          <w:color w:val="231F20"/>
        </w:rPr>
        <w:t>владеющий</w:t>
      </w:r>
      <w:r>
        <w:rPr>
          <w:color w:val="231F20"/>
          <w:spacing w:val="-10"/>
        </w:rPr>
        <w:t> </w:t>
      </w:r>
      <w:r>
        <w:rPr>
          <w:color w:val="231F20"/>
        </w:rPr>
        <w:t>русским</w:t>
      </w:r>
      <w:r>
        <w:rPr>
          <w:color w:val="231F20"/>
          <w:spacing w:val="-10"/>
        </w:rPr>
        <w:t> </w:t>
      </w:r>
      <w:r>
        <w:rPr>
          <w:color w:val="231F20"/>
        </w:rPr>
        <w:t>языком,</w:t>
      </w:r>
      <w:r>
        <w:rPr>
          <w:color w:val="231F20"/>
          <w:spacing w:val="-10"/>
        </w:rPr>
        <w:t> </w:t>
      </w:r>
      <w:r>
        <w:rPr>
          <w:color w:val="231F20"/>
        </w:rPr>
        <w:t>можно</w:t>
      </w:r>
      <w:r>
        <w:rPr>
          <w:color w:val="231F20"/>
          <w:spacing w:val="-10"/>
        </w:rPr>
        <w:t> </w:t>
      </w:r>
      <w:r>
        <w:rPr>
          <w:color w:val="231F20"/>
        </w:rPr>
        <w:t>предложить</w:t>
      </w:r>
      <w:r>
        <w:rPr>
          <w:color w:val="231F20"/>
          <w:spacing w:val="-10"/>
        </w:rPr>
        <w:t> </w:t>
      </w:r>
      <w:r>
        <w:rPr>
          <w:color w:val="231F20"/>
        </w:rPr>
        <w:t>семье</w:t>
      </w:r>
      <w:r>
        <w:rPr>
          <w:color w:val="231F20"/>
          <w:spacing w:val="-10"/>
        </w:rPr>
        <w:t> </w:t>
      </w:r>
      <w:r>
        <w:rPr>
          <w:color w:val="231F20"/>
        </w:rPr>
        <w:t>ввести</w:t>
      </w:r>
      <w:r>
        <w:rPr>
          <w:color w:val="231F20"/>
          <w:spacing w:val="-10"/>
        </w:rPr>
        <w:t> </w:t>
      </w:r>
      <w:r>
        <w:rPr>
          <w:color w:val="231F20"/>
        </w:rPr>
        <w:t>ре- гулярные</w:t>
      </w:r>
      <w:r>
        <w:rPr>
          <w:color w:val="231F20"/>
          <w:spacing w:val="-4"/>
        </w:rPr>
        <w:t> </w:t>
      </w:r>
      <w:r>
        <w:rPr>
          <w:color w:val="231F20"/>
        </w:rPr>
        <w:t>периоды</w:t>
      </w:r>
      <w:r>
        <w:rPr>
          <w:color w:val="231F20"/>
          <w:spacing w:val="-4"/>
        </w:rPr>
        <w:t> </w:t>
      </w:r>
      <w:r>
        <w:rPr>
          <w:color w:val="231F20"/>
        </w:rPr>
        <w:t>общения</w:t>
      </w:r>
      <w:r>
        <w:rPr>
          <w:color w:val="231F20"/>
          <w:spacing w:val="-4"/>
        </w:rPr>
        <w:t> </w:t>
      </w:r>
      <w:r>
        <w:rPr>
          <w:color w:val="231F20"/>
        </w:rPr>
        <w:t>на</w:t>
      </w:r>
      <w:r>
        <w:rPr>
          <w:color w:val="231F20"/>
          <w:spacing w:val="-4"/>
        </w:rPr>
        <w:t> </w:t>
      </w:r>
      <w:r>
        <w:rPr>
          <w:color w:val="231F20"/>
        </w:rPr>
        <w:t>русском.</w:t>
      </w:r>
      <w:r>
        <w:rPr>
          <w:color w:val="231F20"/>
          <w:spacing w:val="-4"/>
        </w:rPr>
        <w:t> </w:t>
      </w:r>
      <w:r>
        <w:rPr>
          <w:color w:val="231F20"/>
        </w:rPr>
        <w:t>Например,</w:t>
      </w:r>
      <w:r>
        <w:rPr>
          <w:color w:val="231F20"/>
          <w:spacing w:val="-4"/>
        </w:rPr>
        <w:t> </w:t>
      </w:r>
      <w:r>
        <w:rPr>
          <w:color w:val="231F20"/>
        </w:rPr>
        <w:t>мама</w:t>
      </w:r>
      <w:r>
        <w:rPr>
          <w:color w:val="231F20"/>
          <w:spacing w:val="-4"/>
        </w:rPr>
        <w:t> </w:t>
      </w:r>
      <w:r>
        <w:rPr>
          <w:color w:val="231F20"/>
        </w:rPr>
        <w:t>хорошо</w:t>
      </w:r>
      <w:r>
        <w:rPr>
          <w:color w:val="231F20"/>
          <w:spacing w:val="-4"/>
        </w:rPr>
        <w:t> </w:t>
      </w:r>
      <w:r>
        <w:rPr>
          <w:color w:val="231F20"/>
        </w:rPr>
        <w:t>говорит</w:t>
      </w:r>
      <w:r>
        <w:rPr>
          <w:color w:val="231F20"/>
          <w:spacing w:val="-4"/>
        </w:rPr>
        <w:t> </w:t>
      </w:r>
      <w:r>
        <w:rPr>
          <w:color w:val="231F20"/>
        </w:rPr>
        <w:t>по-русски, и</w:t>
      </w:r>
      <w:r>
        <w:rPr>
          <w:color w:val="231F20"/>
          <w:spacing w:val="-10"/>
        </w:rPr>
        <w:t> </w:t>
      </w:r>
      <w:r>
        <w:rPr>
          <w:color w:val="231F20"/>
        </w:rPr>
        <w:t>каждый</w:t>
      </w:r>
      <w:r>
        <w:rPr>
          <w:color w:val="231F20"/>
          <w:spacing w:val="-10"/>
        </w:rPr>
        <w:t> </w:t>
      </w:r>
      <w:r>
        <w:rPr>
          <w:color w:val="231F20"/>
        </w:rPr>
        <w:t>вечер</w:t>
      </w:r>
      <w:r>
        <w:rPr>
          <w:color w:val="231F20"/>
          <w:spacing w:val="-10"/>
        </w:rPr>
        <w:t> </w:t>
      </w:r>
      <w:r>
        <w:rPr>
          <w:color w:val="231F20"/>
        </w:rPr>
        <w:t>за</w:t>
      </w:r>
      <w:r>
        <w:rPr>
          <w:color w:val="231F20"/>
          <w:spacing w:val="-10"/>
        </w:rPr>
        <w:t> </w:t>
      </w:r>
      <w:r>
        <w:rPr>
          <w:color w:val="231F20"/>
        </w:rPr>
        <w:t>ужином</w:t>
      </w:r>
      <w:r>
        <w:rPr>
          <w:color w:val="231F20"/>
          <w:spacing w:val="-10"/>
        </w:rPr>
        <w:t> </w:t>
      </w:r>
      <w:r>
        <w:rPr>
          <w:color w:val="231F20"/>
        </w:rPr>
        <w:t>–</w:t>
      </w:r>
      <w:r>
        <w:rPr>
          <w:color w:val="231F20"/>
          <w:spacing w:val="-10"/>
        </w:rPr>
        <w:t> </w:t>
      </w:r>
      <w:r>
        <w:rPr>
          <w:color w:val="231F20"/>
        </w:rPr>
        <w:t>время</w:t>
      </w:r>
      <w:r>
        <w:rPr>
          <w:color w:val="231F20"/>
          <w:spacing w:val="-10"/>
        </w:rPr>
        <w:t> </w:t>
      </w:r>
      <w:r>
        <w:rPr>
          <w:color w:val="231F20"/>
        </w:rPr>
        <w:t>русского</w:t>
      </w:r>
      <w:r>
        <w:rPr>
          <w:color w:val="231F20"/>
          <w:spacing w:val="-10"/>
        </w:rPr>
        <w:t> </w:t>
      </w:r>
      <w:r>
        <w:rPr>
          <w:color w:val="231F20"/>
        </w:rPr>
        <w:t>языка,</w:t>
      </w:r>
      <w:r>
        <w:rPr>
          <w:color w:val="231F20"/>
          <w:spacing w:val="-10"/>
        </w:rPr>
        <w:t> </w:t>
      </w:r>
      <w:r>
        <w:rPr>
          <w:color w:val="231F20"/>
        </w:rPr>
        <w:t>когда</w:t>
      </w:r>
      <w:r>
        <w:rPr>
          <w:color w:val="231F20"/>
          <w:spacing w:val="-10"/>
        </w:rPr>
        <w:t> </w:t>
      </w:r>
      <w:r>
        <w:rPr>
          <w:color w:val="231F20"/>
        </w:rPr>
        <w:t>на</w:t>
      </w:r>
      <w:r>
        <w:rPr>
          <w:color w:val="231F20"/>
          <w:spacing w:val="-10"/>
        </w:rPr>
        <w:t> </w:t>
      </w:r>
      <w:r>
        <w:rPr>
          <w:color w:val="231F20"/>
        </w:rPr>
        <w:t>другом</w:t>
      </w:r>
      <w:r>
        <w:rPr>
          <w:color w:val="231F20"/>
          <w:spacing w:val="-10"/>
        </w:rPr>
        <w:t> </w:t>
      </w:r>
      <w:r>
        <w:rPr>
          <w:color w:val="231F20"/>
        </w:rPr>
        <w:t>языке</w:t>
      </w:r>
      <w:r>
        <w:rPr>
          <w:color w:val="231F20"/>
          <w:spacing w:val="-10"/>
        </w:rPr>
        <w:t> </w:t>
      </w:r>
      <w:r>
        <w:rPr>
          <w:color w:val="231F20"/>
        </w:rPr>
        <w:t>не</w:t>
      </w:r>
      <w:r>
        <w:rPr>
          <w:color w:val="231F20"/>
          <w:spacing w:val="-10"/>
        </w:rPr>
        <w:t> </w:t>
      </w:r>
      <w:r>
        <w:rPr>
          <w:color w:val="231F20"/>
        </w:rPr>
        <w:t>говорят. Если уровень владения русским у всей семьи недостаточен, лучше рекомендовать слушать аудио или смотреть видео на русском языке с последующим обсуждением. Это</w:t>
      </w:r>
      <w:r>
        <w:rPr>
          <w:color w:val="231F20"/>
          <w:spacing w:val="-1"/>
        </w:rPr>
        <w:t> </w:t>
      </w:r>
      <w:r>
        <w:rPr>
          <w:color w:val="231F20"/>
        </w:rPr>
        <w:t>могут</w:t>
      </w:r>
      <w:r>
        <w:rPr>
          <w:color w:val="231F20"/>
          <w:spacing w:val="-1"/>
        </w:rPr>
        <w:t> </w:t>
      </w:r>
      <w:r>
        <w:rPr>
          <w:color w:val="231F20"/>
        </w:rPr>
        <w:t>быть</w:t>
      </w:r>
      <w:r>
        <w:rPr>
          <w:color w:val="231F20"/>
          <w:spacing w:val="-1"/>
        </w:rPr>
        <w:t> </w:t>
      </w:r>
      <w:r>
        <w:rPr>
          <w:color w:val="231F20"/>
        </w:rPr>
        <w:t>фильмы,</w:t>
      </w:r>
      <w:r>
        <w:rPr>
          <w:color w:val="231F20"/>
          <w:spacing w:val="-1"/>
        </w:rPr>
        <w:t> </w:t>
      </w:r>
      <w:r>
        <w:rPr>
          <w:color w:val="231F20"/>
        </w:rPr>
        <w:t>передачи,</w:t>
      </w:r>
      <w:r>
        <w:rPr>
          <w:color w:val="231F20"/>
          <w:spacing w:val="-1"/>
        </w:rPr>
        <w:t> </w:t>
      </w:r>
      <w:r>
        <w:rPr>
          <w:color w:val="231F20"/>
        </w:rPr>
        <w:t>мультфильмы</w:t>
      </w:r>
      <w:r>
        <w:rPr>
          <w:color w:val="231F20"/>
          <w:spacing w:val="-1"/>
        </w:rPr>
        <w:t> </w:t>
      </w:r>
      <w:r>
        <w:rPr>
          <w:color w:val="231F20"/>
        </w:rPr>
        <w:t>и</w:t>
      </w:r>
      <w:r>
        <w:rPr>
          <w:color w:val="231F20"/>
          <w:spacing w:val="-1"/>
        </w:rPr>
        <w:t> </w:t>
      </w:r>
      <w:r>
        <w:rPr>
          <w:color w:val="231F20"/>
        </w:rPr>
        <w:t>т.д.</w:t>
      </w:r>
      <w:r>
        <w:rPr>
          <w:color w:val="231F20"/>
          <w:spacing w:val="-2"/>
        </w:rPr>
        <w:t> </w:t>
      </w:r>
      <w:r>
        <w:rPr>
          <w:color w:val="231F20"/>
        </w:rPr>
        <w:t>После</w:t>
      </w:r>
      <w:r>
        <w:rPr>
          <w:color w:val="231F20"/>
          <w:spacing w:val="-1"/>
        </w:rPr>
        <w:t> </w:t>
      </w:r>
      <w:r>
        <w:rPr>
          <w:color w:val="231F20"/>
        </w:rPr>
        <w:t>просмотра</w:t>
      </w:r>
      <w:r>
        <w:rPr>
          <w:color w:val="231F20"/>
          <w:spacing w:val="-1"/>
        </w:rPr>
        <w:t> </w:t>
      </w:r>
      <w:r>
        <w:rPr>
          <w:color w:val="231F20"/>
        </w:rPr>
        <w:t>родители</w:t>
      </w:r>
      <w:r>
        <w:rPr>
          <w:color w:val="231F20"/>
          <w:spacing w:val="-2"/>
        </w:rPr>
        <w:t> </w:t>
      </w:r>
      <w:r>
        <w:rPr>
          <w:color w:val="231F20"/>
        </w:rPr>
        <w:t>с ребенком могут разбирать сложные слова или словесные конструкции.</w:t>
      </w:r>
    </w:p>
    <w:p>
      <w:pPr>
        <w:pStyle w:val="BodyText"/>
        <w:spacing w:line="235" w:lineRule="auto" w:before="5"/>
      </w:pPr>
      <w:r>
        <w:rPr>
          <w:color w:val="231F20"/>
        </w:rPr>
        <w:t>Необходимо при этом транслировать уважительное отношение к родному язы-</w:t>
      </w:r>
      <w:r>
        <w:rPr>
          <w:color w:val="231F20"/>
          <w:spacing w:val="40"/>
        </w:rPr>
        <w:t> </w:t>
      </w:r>
      <w:r>
        <w:rPr>
          <w:color w:val="231F20"/>
        </w:rPr>
        <w:t>ку родителей. Билингвизм – ресурс для ребенка, а не препятствие, и важно поддер- живать родителей в их намерении учить ребенка родному языку или сохранять его. Можно,</w:t>
      </w:r>
      <w:r>
        <w:rPr>
          <w:color w:val="231F20"/>
          <w:spacing w:val="-4"/>
        </w:rPr>
        <w:t> </w:t>
      </w:r>
      <w:r>
        <w:rPr>
          <w:color w:val="231F20"/>
        </w:rPr>
        <w:t>например,</w:t>
      </w:r>
      <w:r>
        <w:rPr>
          <w:color w:val="231F20"/>
          <w:spacing w:val="-4"/>
        </w:rPr>
        <w:t> </w:t>
      </w:r>
      <w:r>
        <w:rPr>
          <w:color w:val="231F20"/>
        </w:rPr>
        <w:t>предложить</w:t>
      </w:r>
      <w:r>
        <w:rPr>
          <w:color w:val="231F20"/>
          <w:spacing w:val="-4"/>
        </w:rPr>
        <w:t> </w:t>
      </w:r>
      <w:r>
        <w:rPr>
          <w:color w:val="231F20"/>
        </w:rPr>
        <w:t>родителям</w:t>
      </w:r>
      <w:r>
        <w:rPr>
          <w:color w:val="231F20"/>
          <w:spacing w:val="-4"/>
        </w:rPr>
        <w:t> </w:t>
      </w:r>
      <w:r>
        <w:rPr>
          <w:color w:val="231F20"/>
        </w:rPr>
        <w:t>помимо</w:t>
      </w:r>
      <w:r>
        <w:rPr>
          <w:color w:val="231F20"/>
          <w:spacing w:val="-4"/>
        </w:rPr>
        <w:t> </w:t>
      </w:r>
      <w:r>
        <w:rPr>
          <w:color w:val="231F20"/>
        </w:rPr>
        <w:t>вечером</w:t>
      </w:r>
      <w:r>
        <w:rPr>
          <w:color w:val="231F20"/>
          <w:spacing w:val="-4"/>
        </w:rPr>
        <w:t> </w:t>
      </w:r>
      <w:r>
        <w:rPr>
          <w:color w:val="231F20"/>
        </w:rPr>
        <w:t>чтения</w:t>
      </w:r>
      <w:r>
        <w:rPr>
          <w:color w:val="231F20"/>
          <w:spacing w:val="-4"/>
        </w:rPr>
        <w:t> </w:t>
      </w:r>
      <w:r>
        <w:rPr>
          <w:color w:val="231F20"/>
        </w:rPr>
        <w:t>на</w:t>
      </w:r>
      <w:r>
        <w:rPr>
          <w:color w:val="231F20"/>
          <w:spacing w:val="-4"/>
        </w:rPr>
        <w:t> </w:t>
      </w:r>
      <w:r>
        <w:rPr>
          <w:color w:val="231F20"/>
        </w:rPr>
        <w:t>русском</w:t>
      </w:r>
      <w:r>
        <w:rPr>
          <w:color w:val="231F20"/>
          <w:spacing w:val="-4"/>
        </w:rPr>
        <w:t> </w:t>
      </w:r>
      <w:r>
        <w:rPr>
          <w:color w:val="231F20"/>
        </w:rPr>
        <w:t>языке проводить вечера чтения на родной языке.</w:t>
      </w:r>
    </w:p>
    <w:p>
      <w:pPr>
        <w:pStyle w:val="BodyText"/>
        <w:spacing w:line="235" w:lineRule="auto" w:before="3"/>
      </w:pPr>
      <w:r>
        <w:rPr>
          <w:color w:val="231F20"/>
          <w:spacing w:val="-4"/>
        </w:rPr>
        <w:t>Рекомендации могут также касаться помощи учащимся с домашним заданием. Важ- но</w:t>
      </w:r>
      <w:r>
        <w:rPr>
          <w:color w:val="231F20"/>
          <w:spacing w:val="-5"/>
        </w:rPr>
        <w:t> </w:t>
      </w:r>
      <w:r>
        <w:rPr>
          <w:color w:val="231F20"/>
          <w:spacing w:val="-4"/>
        </w:rPr>
        <w:t>объяснить</w:t>
      </w:r>
      <w:r>
        <w:rPr>
          <w:color w:val="231F20"/>
          <w:spacing w:val="-5"/>
        </w:rPr>
        <w:t> </w:t>
      </w:r>
      <w:r>
        <w:rPr>
          <w:color w:val="231F20"/>
          <w:spacing w:val="-4"/>
        </w:rPr>
        <w:t>родителям,</w:t>
      </w:r>
      <w:r>
        <w:rPr>
          <w:color w:val="231F20"/>
          <w:spacing w:val="-5"/>
        </w:rPr>
        <w:t> </w:t>
      </w:r>
      <w:r>
        <w:rPr>
          <w:color w:val="231F20"/>
          <w:spacing w:val="-4"/>
        </w:rPr>
        <w:t>как они</w:t>
      </w:r>
      <w:r>
        <w:rPr>
          <w:color w:val="231F20"/>
          <w:spacing w:val="-5"/>
        </w:rPr>
        <w:t> </w:t>
      </w:r>
      <w:r>
        <w:rPr>
          <w:color w:val="231F20"/>
          <w:spacing w:val="-4"/>
        </w:rPr>
        <w:t>могут</w:t>
      </w:r>
      <w:r>
        <w:rPr>
          <w:color w:val="231F20"/>
          <w:spacing w:val="-5"/>
        </w:rPr>
        <w:t> </w:t>
      </w:r>
      <w:r>
        <w:rPr>
          <w:color w:val="231F20"/>
          <w:spacing w:val="-4"/>
        </w:rPr>
        <w:t>узнать</w:t>
      </w:r>
      <w:r>
        <w:rPr>
          <w:color w:val="231F20"/>
          <w:spacing w:val="-5"/>
        </w:rPr>
        <w:t> </w:t>
      </w:r>
      <w:r>
        <w:rPr>
          <w:color w:val="231F20"/>
          <w:spacing w:val="-4"/>
        </w:rPr>
        <w:t>домашнее задание (например,</w:t>
      </w:r>
      <w:r>
        <w:rPr>
          <w:color w:val="231F20"/>
          <w:spacing w:val="-5"/>
        </w:rPr>
        <w:t> </w:t>
      </w:r>
      <w:r>
        <w:rPr>
          <w:color w:val="231F20"/>
          <w:spacing w:val="-4"/>
        </w:rPr>
        <w:t>как посмо- </w:t>
      </w:r>
      <w:r>
        <w:rPr>
          <w:color w:val="231F20"/>
          <w:spacing w:val="-2"/>
        </w:rPr>
        <w:t>треть</w:t>
      </w:r>
      <w:r>
        <w:rPr>
          <w:color w:val="231F20"/>
          <w:spacing w:val="-10"/>
        </w:rPr>
        <w:t> </w:t>
      </w:r>
      <w:r>
        <w:rPr>
          <w:color w:val="231F20"/>
          <w:spacing w:val="-2"/>
        </w:rPr>
        <w:t>его</w:t>
      </w:r>
      <w:r>
        <w:rPr>
          <w:color w:val="231F20"/>
          <w:spacing w:val="-10"/>
        </w:rPr>
        <w:t> </w:t>
      </w:r>
      <w:r>
        <w:rPr>
          <w:color w:val="231F20"/>
          <w:spacing w:val="-2"/>
        </w:rPr>
        <w:t>в</w:t>
      </w:r>
      <w:r>
        <w:rPr>
          <w:color w:val="231F20"/>
          <w:spacing w:val="-10"/>
        </w:rPr>
        <w:t> </w:t>
      </w:r>
      <w:r>
        <w:rPr>
          <w:color w:val="231F20"/>
          <w:spacing w:val="-2"/>
        </w:rPr>
        <w:t>электронном</w:t>
      </w:r>
      <w:r>
        <w:rPr>
          <w:color w:val="231F20"/>
          <w:spacing w:val="-10"/>
        </w:rPr>
        <w:t> </w:t>
      </w:r>
      <w:r>
        <w:rPr>
          <w:color w:val="231F20"/>
          <w:spacing w:val="-2"/>
        </w:rPr>
        <w:t>дневнике).</w:t>
      </w:r>
      <w:r>
        <w:rPr>
          <w:color w:val="231F20"/>
          <w:spacing w:val="-10"/>
        </w:rPr>
        <w:t> </w:t>
      </w:r>
      <w:r>
        <w:rPr>
          <w:color w:val="231F20"/>
          <w:spacing w:val="-2"/>
        </w:rPr>
        <w:t>Можно</w:t>
      </w:r>
      <w:r>
        <w:rPr>
          <w:color w:val="231F20"/>
          <w:spacing w:val="-10"/>
        </w:rPr>
        <w:t> </w:t>
      </w:r>
      <w:r>
        <w:rPr>
          <w:color w:val="231F20"/>
          <w:spacing w:val="-2"/>
        </w:rPr>
        <w:t>предложить</w:t>
      </w:r>
      <w:r>
        <w:rPr>
          <w:color w:val="231F20"/>
          <w:spacing w:val="-10"/>
        </w:rPr>
        <w:t> </w:t>
      </w:r>
      <w:r>
        <w:rPr>
          <w:color w:val="231F20"/>
          <w:spacing w:val="-2"/>
        </w:rPr>
        <w:t>родителям</w:t>
      </w:r>
      <w:r>
        <w:rPr>
          <w:color w:val="231F20"/>
          <w:spacing w:val="-10"/>
        </w:rPr>
        <w:t> </w:t>
      </w:r>
      <w:r>
        <w:rPr>
          <w:color w:val="231F20"/>
          <w:spacing w:val="-2"/>
        </w:rPr>
        <w:t>различные</w:t>
      </w:r>
      <w:r>
        <w:rPr>
          <w:color w:val="231F20"/>
          <w:spacing w:val="-10"/>
        </w:rPr>
        <w:t> </w:t>
      </w:r>
      <w:r>
        <w:rPr>
          <w:color w:val="231F20"/>
          <w:spacing w:val="-2"/>
        </w:rPr>
        <w:t>способы обсуждения</w:t>
      </w:r>
      <w:r>
        <w:rPr>
          <w:color w:val="231F20"/>
          <w:spacing w:val="-11"/>
        </w:rPr>
        <w:t> </w:t>
      </w:r>
      <w:r>
        <w:rPr>
          <w:color w:val="231F20"/>
          <w:spacing w:val="-2"/>
        </w:rPr>
        <w:t>домашнего</w:t>
      </w:r>
      <w:r>
        <w:rPr>
          <w:color w:val="231F20"/>
          <w:spacing w:val="-10"/>
        </w:rPr>
        <w:t> </w:t>
      </w:r>
      <w:r>
        <w:rPr>
          <w:color w:val="231F20"/>
          <w:spacing w:val="-2"/>
        </w:rPr>
        <w:t>задания.</w:t>
      </w:r>
      <w:r>
        <w:rPr>
          <w:color w:val="231F20"/>
          <w:spacing w:val="-11"/>
        </w:rPr>
        <w:t> </w:t>
      </w:r>
      <w:r>
        <w:rPr>
          <w:color w:val="231F20"/>
          <w:spacing w:val="-2"/>
        </w:rPr>
        <w:t>Если</w:t>
      </w:r>
      <w:r>
        <w:rPr>
          <w:color w:val="231F20"/>
          <w:spacing w:val="-10"/>
        </w:rPr>
        <w:t> </w:t>
      </w:r>
      <w:r>
        <w:rPr>
          <w:color w:val="231F20"/>
          <w:spacing w:val="-2"/>
        </w:rPr>
        <w:t>родители</w:t>
      </w:r>
      <w:r>
        <w:rPr>
          <w:color w:val="231F20"/>
          <w:spacing w:val="-11"/>
        </w:rPr>
        <w:t> </w:t>
      </w:r>
      <w:r>
        <w:rPr>
          <w:color w:val="231F20"/>
          <w:spacing w:val="-2"/>
        </w:rPr>
        <w:t>в</w:t>
      </w:r>
      <w:r>
        <w:rPr>
          <w:color w:val="231F20"/>
          <w:spacing w:val="-10"/>
        </w:rPr>
        <w:t> </w:t>
      </w:r>
      <w:r>
        <w:rPr>
          <w:color w:val="231F20"/>
          <w:spacing w:val="-2"/>
        </w:rPr>
        <w:t>силу</w:t>
      </w:r>
      <w:r>
        <w:rPr>
          <w:color w:val="231F20"/>
          <w:spacing w:val="-11"/>
        </w:rPr>
        <w:t> </w:t>
      </w:r>
      <w:r>
        <w:rPr>
          <w:color w:val="231F20"/>
          <w:spacing w:val="-2"/>
        </w:rPr>
        <w:t>языковых</w:t>
      </w:r>
      <w:r>
        <w:rPr>
          <w:color w:val="231F20"/>
          <w:spacing w:val="-10"/>
        </w:rPr>
        <w:t> </w:t>
      </w:r>
      <w:r>
        <w:rPr>
          <w:color w:val="231F20"/>
          <w:spacing w:val="-2"/>
        </w:rPr>
        <w:t>или</w:t>
      </w:r>
      <w:r>
        <w:rPr>
          <w:color w:val="231F20"/>
          <w:spacing w:val="-11"/>
        </w:rPr>
        <w:t> </w:t>
      </w:r>
      <w:r>
        <w:rPr>
          <w:color w:val="231F20"/>
          <w:spacing w:val="-2"/>
        </w:rPr>
        <w:t>иных</w:t>
      </w:r>
      <w:r>
        <w:rPr>
          <w:color w:val="231F20"/>
          <w:spacing w:val="-10"/>
        </w:rPr>
        <w:t> </w:t>
      </w:r>
      <w:r>
        <w:rPr>
          <w:color w:val="231F20"/>
          <w:spacing w:val="-2"/>
        </w:rPr>
        <w:t>сложностей </w:t>
      </w:r>
      <w:r>
        <w:rPr>
          <w:color w:val="231F20"/>
        </w:rPr>
        <w:t>не</w:t>
      </w:r>
      <w:r>
        <w:rPr>
          <w:color w:val="231F20"/>
          <w:spacing w:val="-12"/>
        </w:rPr>
        <w:t> </w:t>
      </w:r>
      <w:r>
        <w:rPr>
          <w:color w:val="231F20"/>
        </w:rPr>
        <w:t>могут</w:t>
      </w:r>
      <w:r>
        <w:rPr>
          <w:color w:val="231F20"/>
          <w:spacing w:val="-12"/>
        </w:rPr>
        <w:t> </w:t>
      </w:r>
      <w:r>
        <w:rPr>
          <w:color w:val="231F20"/>
        </w:rPr>
        <w:t>проверить</w:t>
      </w:r>
      <w:r>
        <w:rPr>
          <w:color w:val="231F20"/>
          <w:spacing w:val="-12"/>
        </w:rPr>
        <w:t> </w:t>
      </w:r>
      <w:r>
        <w:rPr>
          <w:color w:val="231F20"/>
        </w:rPr>
        <w:t>задание</w:t>
      </w:r>
      <w:r>
        <w:rPr>
          <w:color w:val="231F20"/>
          <w:spacing w:val="-12"/>
        </w:rPr>
        <w:t> </w:t>
      </w:r>
      <w:r>
        <w:rPr>
          <w:color w:val="231F20"/>
        </w:rPr>
        <w:t>у</w:t>
      </w:r>
      <w:r>
        <w:rPr>
          <w:color w:val="231F20"/>
          <w:spacing w:val="-12"/>
        </w:rPr>
        <w:t> </w:t>
      </w:r>
      <w:r>
        <w:rPr>
          <w:color w:val="231F20"/>
        </w:rPr>
        <w:t>ребенка,</w:t>
      </w:r>
      <w:r>
        <w:rPr>
          <w:color w:val="231F20"/>
          <w:spacing w:val="-12"/>
        </w:rPr>
        <w:t> </w:t>
      </w:r>
      <w:r>
        <w:rPr>
          <w:color w:val="231F20"/>
        </w:rPr>
        <w:t>они</w:t>
      </w:r>
      <w:r>
        <w:rPr>
          <w:color w:val="231F20"/>
          <w:spacing w:val="-12"/>
        </w:rPr>
        <w:t> </w:t>
      </w:r>
      <w:r>
        <w:rPr>
          <w:color w:val="231F20"/>
        </w:rPr>
        <w:t>могут</w:t>
      </w:r>
      <w:r>
        <w:rPr>
          <w:color w:val="231F20"/>
          <w:spacing w:val="-12"/>
        </w:rPr>
        <w:t> </w:t>
      </w:r>
      <w:r>
        <w:rPr>
          <w:color w:val="231F20"/>
        </w:rPr>
        <w:t>спросить</w:t>
      </w:r>
      <w:r>
        <w:rPr>
          <w:color w:val="231F20"/>
          <w:spacing w:val="-12"/>
        </w:rPr>
        <w:t> </w:t>
      </w:r>
      <w:r>
        <w:rPr>
          <w:color w:val="231F20"/>
        </w:rPr>
        <w:t>его,</w:t>
      </w:r>
      <w:r>
        <w:rPr>
          <w:color w:val="231F20"/>
          <w:spacing w:val="-12"/>
        </w:rPr>
        <w:t> </w:t>
      </w:r>
      <w:r>
        <w:rPr>
          <w:color w:val="231F20"/>
        </w:rPr>
        <w:t>что</w:t>
      </w:r>
      <w:r>
        <w:rPr>
          <w:color w:val="231F20"/>
          <w:spacing w:val="-12"/>
        </w:rPr>
        <w:t> </w:t>
      </w:r>
      <w:r>
        <w:rPr>
          <w:color w:val="231F20"/>
        </w:rPr>
        <w:t>он</w:t>
      </w:r>
      <w:r>
        <w:rPr>
          <w:color w:val="231F20"/>
          <w:spacing w:val="-12"/>
        </w:rPr>
        <w:t> </w:t>
      </w:r>
      <w:r>
        <w:rPr>
          <w:color w:val="231F20"/>
        </w:rPr>
        <w:t>сделал</w:t>
      </w:r>
      <w:r>
        <w:rPr>
          <w:color w:val="231F20"/>
          <w:spacing w:val="-12"/>
        </w:rPr>
        <w:t> </w:t>
      </w:r>
      <w:r>
        <w:rPr>
          <w:color w:val="231F20"/>
        </w:rPr>
        <w:t>сегодня, </w:t>
      </w:r>
      <w:r>
        <w:rPr>
          <w:color w:val="231F20"/>
          <w:spacing w:val="-4"/>
        </w:rPr>
        <w:t>что</w:t>
      </w:r>
      <w:r>
        <w:rPr>
          <w:color w:val="231F20"/>
          <w:spacing w:val="-5"/>
        </w:rPr>
        <w:t> </w:t>
      </w:r>
      <w:r>
        <w:rPr>
          <w:color w:val="231F20"/>
          <w:spacing w:val="-4"/>
        </w:rPr>
        <w:t>из</w:t>
      </w:r>
      <w:r>
        <w:rPr>
          <w:color w:val="231F20"/>
          <w:spacing w:val="-5"/>
        </w:rPr>
        <w:t> </w:t>
      </w:r>
      <w:r>
        <w:rPr>
          <w:color w:val="231F20"/>
          <w:spacing w:val="-4"/>
        </w:rPr>
        <w:t>этого</w:t>
      </w:r>
      <w:r>
        <w:rPr>
          <w:color w:val="231F20"/>
          <w:spacing w:val="-5"/>
        </w:rPr>
        <w:t> </w:t>
      </w:r>
      <w:r>
        <w:rPr>
          <w:color w:val="231F20"/>
          <w:spacing w:val="-4"/>
        </w:rPr>
        <w:t>было</w:t>
      </w:r>
      <w:r>
        <w:rPr>
          <w:color w:val="231F20"/>
          <w:spacing w:val="-5"/>
        </w:rPr>
        <w:t> </w:t>
      </w:r>
      <w:r>
        <w:rPr>
          <w:color w:val="231F20"/>
          <w:spacing w:val="-4"/>
        </w:rPr>
        <w:t>для</w:t>
      </w:r>
      <w:r>
        <w:rPr>
          <w:color w:val="231F20"/>
          <w:spacing w:val="-5"/>
        </w:rPr>
        <w:t> </w:t>
      </w:r>
      <w:r>
        <w:rPr>
          <w:color w:val="231F20"/>
          <w:spacing w:val="-4"/>
        </w:rPr>
        <w:t>него</w:t>
      </w:r>
      <w:r>
        <w:rPr>
          <w:color w:val="231F20"/>
          <w:spacing w:val="-5"/>
        </w:rPr>
        <w:t> </w:t>
      </w:r>
      <w:r>
        <w:rPr>
          <w:color w:val="231F20"/>
          <w:spacing w:val="-4"/>
        </w:rPr>
        <w:t>легким</w:t>
      </w:r>
      <w:r>
        <w:rPr>
          <w:color w:val="231F20"/>
          <w:spacing w:val="-5"/>
        </w:rPr>
        <w:t> </w:t>
      </w:r>
      <w:r>
        <w:rPr>
          <w:color w:val="231F20"/>
          <w:spacing w:val="-4"/>
        </w:rPr>
        <w:t>или</w:t>
      </w:r>
      <w:r>
        <w:rPr>
          <w:color w:val="231F20"/>
          <w:spacing w:val="-5"/>
        </w:rPr>
        <w:t> </w:t>
      </w:r>
      <w:r>
        <w:rPr>
          <w:color w:val="231F20"/>
          <w:spacing w:val="-4"/>
        </w:rPr>
        <w:t>сложным,</w:t>
      </w:r>
      <w:r>
        <w:rPr>
          <w:color w:val="231F20"/>
          <w:spacing w:val="-5"/>
        </w:rPr>
        <w:t> </w:t>
      </w:r>
      <w:r>
        <w:rPr>
          <w:color w:val="231F20"/>
          <w:spacing w:val="-4"/>
        </w:rPr>
        <w:t>что</w:t>
      </w:r>
      <w:r>
        <w:rPr>
          <w:color w:val="231F20"/>
          <w:spacing w:val="-5"/>
        </w:rPr>
        <w:t> </w:t>
      </w:r>
      <w:r>
        <w:rPr>
          <w:color w:val="231F20"/>
          <w:spacing w:val="-4"/>
        </w:rPr>
        <w:t>новое</w:t>
      </w:r>
      <w:r>
        <w:rPr>
          <w:color w:val="231F20"/>
          <w:spacing w:val="-5"/>
        </w:rPr>
        <w:t> </w:t>
      </w:r>
      <w:r>
        <w:rPr>
          <w:color w:val="231F20"/>
          <w:spacing w:val="-4"/>
        </w:rPr>
        <w:t>он</w:t>
      </w:r>
      <w:r>
        <w:rPr>
          <w:color w:val="231F20"/>
          <w:spacing w:val="-5"/>
        </w:rPr>
        <w:t> </w:t>
      </w:r>
      <w:r>
        <w:rPr>
          <w:color w:val="231F20"/>
          <w:spacing w:val="-4"/>
        </w:rPr>
        <w:t>узнал</w:t>
      </w:r>
      <w:r>
        <w:rPr>
          <w:color w:val="231F20"/>
          <w:spacing w:val="-5"/>
        </w:rPr>
        <w:t> </w:t>
      </w:r>
      <w:r>
        <w:rPr>
          <w:color w:val="231F20"/>
          <w:spacing w:val="-4"/>
        </w:rPr>
        <w:t>или</w:t>
      </w:r>
      <w:r>
        <w:rPr>
          <w:color w:val="231F20"/>
          <w:spacing w:val="-5"/>
        </w:rPr>
        <w:t> </w:t>
      </w:r>
      <w:r>
        <w:rPr>
          <w:color w:val="231F20"/>
          <w:spacing w:val="-4"/>
        </w:rPr>
        <w:t>чему</w:t>
      </w:r>
      <w:r>
        <w:rPr>
          <w:color w:val="231F20"/>
          <w:spacing w:val="-5"/>
        </w:rPr>
        <w:t> </w:t>
      </w:r>
      <w:r>
        <w:rPr>
          <w:color w:val="231F20"/>
          <w:spacing w:val="-4"/>
        </w:rPr>
        <w:t>научился.</w:t>
      </w:r>
    </w:p>
    <w:p>
      <w:pPr>
        <w:pStyle w:val="BodyText"/>
        <w:spacing w:after="0" w:line="235" w:lineRule="auto"/>
        <w:sectPr>
          <w:pgSz w:w="8400" w:h="11910"/>
          <w:pgMar w:header="0" w:footer="535"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3.</w:t>
      </w:r>
    </w:p>
    <w:p>
      <w:pPr>
        <w:pStyle w:val="BodyText"/>
        <w:spacing w:line="235" w:lineRule="auto" w:before="116"/>
      </w:pPr>
      <w:r>
        <w:rPr>
          <w:color w:val="231F20"/>
        </w:rPr>
        <w:t>Как в работе с любыми родителями, целесообразно фиксировать рекомендации</w:t>
      </w:r>
      <w:r>
        <w:rPr>
          <w:color w:val="231F20"/>
          <w:spacing w:val="80"/>
        </w:rPr>
        <w:t> </w:t>
      </w:r>
      <w:r>
        <w:rPr>
          <w:color w:val="231F20"/>
        </w:rPr>
        <w:t>в письменном виде или использовать памятки. Пример такой памятки для родите- лей-мигрантов приведен ниже. Основной метод работы с памятками – комментиро- ванное чтение, то есть</w:t>
      </w:r>
      <w:r>
        <w:rPr>
          <w:color w:val="231F20"/>
          <w:spacing w:val="-1"/>
        </w:rPr>
        <w:t> </w:t>
      </w:r>
      <w:r>
        <w:rPr>
          <w:color w:val="231F20"/>
        </w:rPr>
        <w:t>важно не просто раздать родителям</w:t>
      </w:r>
      <w:r>
        <w:rPr>
          <w:color w:val="231F20"/>
          <w:spacing w:val="-1"/>
        </w:rPr>
        <w:t> </w:t>
      </w:r>
      <w:r>
        <w:rPr>
          <w:color w:val="231F20"/>
        </w:rPr>
        <w:t>памятки,</w:t>
      </w:r>
      <w:r>
        <w:rPr>
          <w:color w:val="231F20"/>
          <w:spacing w:val="-1"/>
        </w:rPr>
        <w:t> </w:t>
      </w:r>
      <w:r>
        <w:rPr>
          <w:color w:val="231F20"/>
        </w:rPr>
        <w:t>а проговорить и разобрать написанное.</w:t>
      </w:r>
    </w:p>
    <w:p>
      <w:pPr>
        <w:pStyle w:val="BodyText"/>
        <w:spacing w:before="9"/>
        <w:ind w:left="0" w:right="0" w:firstLine="0"/>
        <w:jc w:val="left"/>
        <w:rPr>
          <w:sz w:val="4"/>
        </w:rPr>
      </w:pPr>
      <w:r>
        <w:rPr>
          <w:sz w:val="4"/>
        </w:rPr>
        <w:drawing>
          <wp:anchor distT="0" distB="0" distL="0" distR="0" allowOverlap="1" layoutInCell="1" locked="0" behindDoc="1" simplePos="0" relativeHeight="487621120">
            <wp:simplePos x="0" y="0"/>
            <wp:positionH relativeFrom="page">
              <wp:posOffset>363423</wp:posOffset>
            </wp:positionH>
            <wp:positionV relativeFrom="paragraph">
              <wp:posOffset>50584</wp:posOffset>
            </wp:positionV>
            <wp:extent cx="4574311" cy="3352800"/>
            <wp:effectExtent l="0" t="0" r="0" b="0"/>
            <wp:wrapTopAndBottom/>
            <wp:docPr id="109" name="Image 109" descr="F:\Documents and Settings\User\Рабочий стол\Переподготовка\памятка.jpg"/>
            <wp:cNvGraphicFramePr>
              <a:graphicFrameLocks/>
            </wp:cNvGraphicFramePr>
            <a:graphic>
              <a:graphicData uri="http://schemas.openxmlformats.org/drawingml/2006/picture">
                <pic:pic>
                  <pic:nvPicPr>
                    <pic:cNvPr id="109" name="Image 109" descr="F:\Documents and Settings\User\Рабочий стол\Переподготовка\памятка.jpg"/>
                    <pic:cNvPicPr/>
                  </pic:nvPicPr>
                  <pic:blipFill>
                    <a:blip r:embed="rId93" cstate="print"/>
                    <a:stretch>
                      <a:fillRect/>
                    </a:stretch>
                  </pic:blipFill>
                  <pic:spPr>
                    <a:xfrm>
                      <a:off x="0" y="0"/>
                      <a:ext cx="4574311" cy="3352800"/>
                    </a:xfrm>
                    <a:prstGeom prst="rect">
                      <a:avLst/>
                    </a:prstGeom>
                  </pic:spPr>
                </pic:pic>
              </a:graphicData>
            </a:graphic>
          </wp:anchor>
        </w:drawing>
      </w:r>
    </w:p>
    <w:p>
      <w:pPr>
        <w:pStyle w:val="BodyText"/>
        <w:spacing w:after="0"/>
        <w:jc w:val="left"/>
        <w:rPr>
          <w:sz w:val="4"/>
        </w:rPr>
        <w:sectPr>
          <w:pgSz w:w="8400" w:h="11910"/>
          <w:pgMar w:header="0" w:footer="535" w:top="400" w:bottom="740" w:left="425" w:right="425"/>
        </w:sectPr>
      </w:pPr>
    </w:p>
    <w:p>
      <w:pPr>
        <w:numPr>
          <w:ilvl w:val="1"/>
          <w:numId w:val="80"/>
        </w:numPr>
        <w:tabs>
          <w:tab w:pos="1763" w:val="left" w:leader="none"/>
        </w:tabs>
        <w:spacing w:before="73"/>
        <w:ind w:left="1763" w:right="0" w:hanging="350"/>
        <w:jc w:val="left"/>
        <w:rPr>
          <w:b/>
          <w:sz w:val="20"/>
        </w:rPr>
      </w:pPr>
      <w:bookmarkStart w:name="_bookmark59" w:id="61"/>
      <w:bookmarkEnd w:id="61"/>
      <w:r>
        <w:rPr/>
      </w:r>
      <w:r>
        <w:rPr>
          <w:b/>
          <w:color w:val="231F20"/>
          <w:sz w:val="20"/>
        </w:rPr>
        <w:t>Стратегии</w:t>
      </w:r>
      <w:r>
        <w:rPr>
          <w:b/>
          <w:color w:val="231F20"/>
          <w:spacing w:val="-9"/>
          <w:sz w:val="20"/>
        </w:rPr>
        <w:t> </w:t>
      </w:r>
      <w:r>
        <w:rPr>
          <w:b/>
          <w:color w:val="231F20"/>
          <w:sz w:val="20"/>
        </w:rPr>
        <w:t>работы</w:t>
      </w:r>
      <w:r>
        <w:rPr>
          <w:b/>
          <w:color w:val="231F20"/>
          <w:spacing w:val="-8"/>
          <w:sz w:val="20"/>
        </w:rPr>
        <w:t> </w:t>
      </w:r>
      <w:r>
        <w:rPr>
          <w:b/>
          <w:color w:val="231F20"/>
          <w:sz w:val="20"/>
        </w:rPr>
        <w:t>с</w:t>
      </w:r>
      <w:r>
        <w:rPr>
          <w:b/>
          <w:color w:val="231F20"/>
          <w:spacing w:val="-9"/>
          <w:sz w:val="20"/>
        </w:rPr>
        <w:t> </w:t>
      </w:r>
      <w:r>
        <w:rPr>
          <w:b/>
          <w:color w:val="231F20"/>
          <w:sz w:val="20"/>
        </w:rPr>
        <w:t>родительским</w:t>
      </w:r>
      <w:r>
        <w:rPr>
          <w:b/>
          <w:color w:val="231F20"/>
          <w:spacing w:val="-8"/>
          <w:sz w:val="20"/>
        </w:rPr>
        <w:t> </w:t>
      </w:r>
      <w:r>
        <w:rPr>
          <w:b/>
          <w:color w:val="231F20"/>
          <w:spacing w:val="-2"/>
          <w:sz w:val="20"/>
        </w:rPr>
        <w:t>сообществом</w:t>
      </w:r>
    </w:p>
    <w:p>
      <w:pPr>
        <w:spacing w:before="166"/>
        <w:ind w:left="141" w:right="139" w:firstLine="0"/>
        <w:jc w:val="right"/>
        <w:rPr>
          <w:i/>
          <w:sz w:val="20"/>
        </w:rPr>
      </w:pPr>
      <w:r>
        <w:rPr>
          <w:i/>
          <w:color w:val="231F20"/>
          <w:sz w:val="20"/>
        </w:rPr>
        <w:t>М.Ю. </w:t>
      </w:r>
      <w:r>
        <w:rPr>
          <w:i/>
          <w:color w:val="231F20"/>
          <w:spacing w:val="-2"/>
          <w:sz w:val="20"/>
        </w:rPr>
        <w:t>Чибисова</w:t>
      </w:r>
    </w:p>
    <w:p>
      <w:pPr>
        <w:numPr>
          <w:ilvl w:val="2"/>
          <w:numId w:val="80"/>
        </w:numPr>
        <w:tabs>
          <w:tab w:pos="1986" w:val="left" w:leader="none"/>
        </w:tabs>
        <w:spacing w:before="110"/>
        <w:ind w:left="1986" w:right="0" w:hanging="500"/>
        <w:jc w:val="both"/>
        <w:rPr>
          <w:b/>
          <w:sz w:val="20"/>
        </w:rPr>
      </w:pPr>
      <w:r>
        <w:rPr>
          <w:b/>
          <w:color w:val="231F20"/>
          <w:sz w:val="20"/>
        </w:rPr>
        <w:t>Информационные</w:t>
      </w:r>
      <w:r>
        <w:rPr>
          <w:b/>
          <w:color w:val="231F20"/>
          <w:spacing w:val="-6"/>
          <w:sz w:val="20"/>
        </w:rPr>
        <w:t> </w:t>
      </w:r>
      <w:r>
        <w:rPr>
          <w:b/>
          <w:color w:val="231F20"/>
          <w:sz w:val="20"/>
        </w:rPr>
        <w:t>материалы</w:t>
      </w:r>
      <w:r>
        <w:rPr>
          <w:b/>
          <w:color w:val="231F20"/>
          <w:spacing w:val="-6"/>
          <w:sz w:val="20"/>
        </w:rPr>
        <w:t> </w:t>
      </w:r>
      <w:r>
        <w:rPr>
          <w:b/>
          <w:color w:val="231F20"/>
          <w:sz w:val="20"/>
        </w:rPr>
        <w:t>для</w:t>
      </w:r>
      <w:r>
        <w:rPr>
          <w:b/>
          <w:color w:val="231F20"/>
          <w:spacing w:val="-5"/>
          <w:sz w:val="20"/>
        </w:rPr>
        <w:t> </w:t>
      </w:r>
      <w:r>
        <w:rPr>
          <w:b/>
          <w:color w:val="231F20"/>
          <w:spacing w:val="-2"/>
          <w:sz w:val="20"/>
        </w:rPr>
        <w:t>родителей</w:t>
      </w:r>
    </w:p>
    <w:p>
      <w:pPr>
        <w:pStyle w:val="BodyText"/>
        <w:spacing w:line="235" w:lineRule="auto" w:before="113"/>
      </w:pPr>
      <w:r>
        <w:rPr>
          <w:color w:val="231F20"/>
        </w:rPr>
        <w:t>Важной</w:t>
      </w:r>
      <w:r>
        <w:rPr>
          <w:color w:val="231F20"/>
          <w:spacing w:val="-1"/>
        </w:rPr>
        <w:t> </w:t>
      </w:r>
      <w:r>
        <w:rPr>
          <w:color w:val="231F20"/>
        </w:rPr>
        <w:t>задачей</w:t>
      </w:r>
      <w:r>
        <w:rPr>
          <w:color w:val="231F20"/>
          <w:spacing w:val="-1"/>
        </w:rPr>
        <w:t> </w:t>
      </w:r>
      <w:r>
        <w:rPr>
          <w:color w:val="231F20"/>
        </w:rPr>
        <w:t>образовательной</w:t>
      </w:r>
      <w:r>
        <w:rPr>
          <w:color w:val="231F20"/>
          <w:spacing w:val="-1"/>
        </w:rPr>
        <w:t> </w:t>
      </w:r>
      <w:r>
        <w:rPr>
          <w:color w:val="231F20"/>
        </w:rPr>
        <w:t>организации</w:t>
      </w:r>
      <w:r>
        <w:rPr>
          <w:color w:val="231F20"/>
          <w:spacing w:val="-1"/>
        </w:rPr>
        <w:t> </w:t>
      </w:r>
      <w:r>
        <w:rPr>
          <w:color w:val="231F20"/>
        </w:rPr>
        <w:t>в</w:t>
      </w:r>
      <w:r>
        <w:rPr>
          <w:color w:val="231F20"/>
          <w:spacing w:val="-1"/>
        </w:rPr>
        <w:t> </w:t>
      </w:r>
      <w:r>
        <w:rPr>
          <w:color w:val="231F20"/>
        </w:rPr>
        <w:t>работе</w:t>
      </w:r>
      <w:r>
        <w:rPr>
          <w:color w:val="231F20"/>
          <w:spacing w:val="-1"/>
        </w:rPr>
        <w:t> </w:t>
      </w:r>
      <w:r>
        <w:rPr>
          <w:color w:val="231F20"/>
        </w:rPr>
        <w:t>с</w:t>
      </w:r>
      <w:r>
        <w:rPr>
          <w:color w:val="231F20"/>
          <w:spacing w:val="-1"/>
        </w:rPr>
        <w:t> </w:t>
      </w:r>
      <w:r>
        <w:rPr>
          <w:color w:val="231F20"/>
        </w:rPr>
        <w:t>родителями</w:t>
      </w:r>
      <w:r>
        <w:rPr>
          <w:color w:val="231F20"/>
          <w:spacing w:val="-1"/>
        </w:rPr>
        <w:t> </w:t>
      </w:r>
      <w:r>
        <w:rPr>
          <w:color w:val="231F20"/>
        </w:rPr>
        <w:t>–иностран- ными</w:t>
      </w:r>
      <w:r>
        <w:rPr>
          <w:color w:val="231F20"/>
          <w:spacing w:val="-8"/>
        </w:rPr>
        <w:t> </w:t>
      </w:r>
      <w:r>
        <w:rPr>
          <w:color w:val="231F20"/>
        </w:rPr>
        <w:t>гражданами</w:t>
      </w:r>
      <w:r>
        <w:rPr>
          <w:color w:val="231F20"/>
          <w:spacing w:val="-8"/>
        </w:rPr>
        <w:t> </w:t>
      </w:r>
      <w:r>
        <w:rPr>
          <w:color w:val="231F20"/>
        </w:rPr>
        <w:t>является</w:t>
      </w:r>
      <w:r>
        <w:rPr>
          <w:color w:val="231F20"/>
          <w:spacing w:val="-8"/>
        </w:rPr>
        <w:t> </w:t>
      </w:r>
      <w:r>
        <w:rPr>
          <w:color w:val="231F20"/>
        </w:rPr>
        <w:t>повышение</w:t>
      </w:r>
      <w:r>
        <w:rPr>
          <w:color w:val="231F20"/>
          <w:spacing w:val="-8"/>
        </w:rPr>
        <w:t> </w:t>
      </w:r>
      <w:r>
        <w:rPr>
          <w:color w:val="231F20"/>
        </w:rPr>
        <w:t>их</w:t>
      </w:r>
      <w:r>
        <w:rPr>
          <w:color w:val="231F20"/>
          <w:spacing w:val="-8"/>
        </w:rPr>
        <w:t> </w:t>
      </w:r>
      <w:r>
        <w:rPr>
          <w:color w:val="231F20"/>
        </w:rPr>
        <w:t>осведомленности</w:t>
      </w:r>
      <w:r>
        <w:rPr>
          <w:color w:val="231F20"/>
          <w:spacing w:val="-8"/>
        </w:rPr>
        <w:t> </w:t>
      </w:r>
      <w:r>
        <w:rPr>
          <w:color w:val="231F20"/>
        </w:rPr>
        <w:t>о</w:t>
      </w:r>
      <w:r>
        <w:rPr>
          <w:color w:val="231F20"/>
          <w:spacing w:val="-8"/>
        </w:rPr>
        <w:t> </w:t>
      </w:r>
      <w:r>
        <w:rPr>
          <w:color w:val="231F20"/>
        </w:rPr>
        <w:t>системе</w:t>
      </w:r>
      <w:r>
        <w:rPr>
          <w:color w:val="231F20"/>
          <w:spacing w:val="-8"/>
        </w:rPr>
        <w:t> </w:t>
      </w:r>
      <w:r>
        <w:rPr>
          <w:color w:val="231F20"/>
        </w:rPr>
        <w:t>образования</w:t>
      </w:r>
      <w:r>
        <w:rPr>
          <w:color w:val="231F20"/>
          <w:spacing w:val="-8"/>
        </w:rPr>
        <w:t> </w:t>
      </w:r>
      <w:r>
        <w:rPr>
          <w:color w:val="231F20"/>
        </w:rPr>
        <w:t>в Российской</w:t>
      </w:r>
      <w:r>
        <w:rPr>
          <w:color w:val="231F20"/>
          <w:spacing w:val="-1"/>
        </w:rPr>
        <w:t> </w:t>
      </w:r>
      <w:r>
        <w:rPr>
          <w:color w:val="231F20"/>
        </w:rPr>
        <w:t>Федерации</w:t>
      </w:r>
      <w:r>
        <w:rPr>
          <w:color w:val="231F20"/>
          <w:spacing w:val="-1"/>
        </w:rPr>
        <w:t> </w:t>
      </w:r>
      <w:r>
        <w:rPr>
          <w:color w:val="231F20"/>
        </w:rPr>
        <w:t>в</w:t>
      </w:r>
      <w:r>
        <w:rPr>
          <w:color w:val="231F20"/>
          <w:spacing w:val="-1"/>
        </w:rPr>
        <w:t> </w:t>
      </w:r>
      <w:r>
        <w:rPr>
          <w:color w:val="231F20"/>
        </w:rPr>
        <w:t>целом</w:t>
      </w:r>
      <w:r>
        <w:rPr>
          <w:color w:val="231F20"/>
          <w:spacing w:val="-1"/>
        </w:rPr>
        <w:t> </w:t>
      </w:r>
      <w:r>
        <w:rPr>
          <w:color w:val="231F20"/>
        </w:rPr>
        <w:t>и</w:t>
      </w:r>
      <w:r>
        <w:rPr>
          <w:color w:val="231F20"/>
          <w:spacing w:val="-1"/>
        </w:rPr>
        <w:t> </w:t>
      </w:r>
      <w:r>
        <w:rPr>
          <w:color w:val="231F20"/>
        </w:rPr>
        <w:t>о</w:t>
      </w:r>
      <w:r>
        <w:rPr>
          <w:color w:val="231F20"/>
          <w:spacing w:val="-1"/>
        </w:rPr>
        <w:t> </w:t>
      </w:r>
      <w:r>
        <w:rPr>
          <w:color w:val="231F20"/>
        </w:rPr>
        <w:t>системе</w:t>
      </w:r>
      <w:r>
        <w:rPr>
          <w:color w:val="231F20"/>
          <w:spacing w:val="-1"/>
        </w:rPr>
        <w:t> </w:t>
      </w:r>
      <w:r>
        <w:rPr>
          <w:color w:val="231F20"/>
        </w:rPr>
        <w:t>работы</w:t>
      </w:r>
      <w:r>
        <w:rPr>
          <w:color w:val="231F20"/>
          <w:spacing w:val="-1"/>
        </w:rPr>
        <w:t> </w:t>
      </w:r>
      <w:r>
        <w:rPr>
          <w:color w:val="231F20"/>
        </w:rPr>
        <w:t>конкретной</w:t>
      </w:r>
      <w:r>
        <w:rPr>
          <w:color w:val="231F20"/>
          <w:spacing w:val="-1"/>
        </w:rPr>
        <w:t> </w:t>
      </w:r>
      <w:r>
        <w:rPr>
          <w:color w:val="231F20"/>
        </w:rPr>
        <w:t>школы,</w:t>
      </w:r>
      <w:r>
        <w:rPr>
          <w:color w:val="231F20"/>
          <w:spacing w:val="-1"/>
        </w:rPr>
        <w:t> </w:t>
      </w:r>
      <w:r>
        <w:rPr>
          <w:color w:val="231F20"/>
        </w:rPr>
        <w:t>в</w:t>
      </w:r>
      <w:r>
        <w:rPr>
          <w:color w:val="231F20"/>
          <w:spacing w:val="-1"/>
        </w:rPr>
        <w:t> </w:t>
      </w:r>
      <w:r>
        <w:rPr>
          <w:color w:val="231F20"/>
        </w:rPr>
        <w:t>частности. Для решения этой задачи целесообразно готовить информационные материалы для родителей.</w:t>
      </w:r>
      <w:r>
        <w:rPr>
          <w:color w:val="231F20"/>
          <w:spacing w:val="-9"/>
        </w:rPr>
        <w:t> </w:t>
      </w:r>
      <w:r>
        <w:rPr>
          <w:color w:val="231F20"/>
        </w:rPr>
        <w:t>Такие</w:t>
      </w:r>
      <w:r>
        <w:rPr>
          <w:color w:val="231F20"/>
          <w:spacing w:val="-9"/>
        </w:rPr>
        <w:t> </w:t>
      </w:r>
      <w:r>
        <w:rPr>
          <w:color w:val="231F20"/>
        </w:rPr>
        <w:t>материалы</w:t>
      </w:r>
      <w:r>
        <w:rPr>
          <w:color w:val="231F20"/>
          <w:spacing w:val="-9"/>
        </w:rPr>
        <w:t> </w:t>
      </w:r>
      <w:r>
        <w:rPr>
          <w:color w:val="231F20"/>
        </w:rPr>
        <w:t>могут</w:t>
      </w:r>
      <w:r>
        <w:rPr>
          <w:color w:val="231F20"/>
          <w:spacing w:val="-9"/>
        </w:rPr>
        <w:t> </w:t>
      </w:r>
      <w:r>
        <w:rPr>
          <w:color w:val="231F20"/>
        </w:rPr>
        <w:t>включать</w:t>
      </w:r>
      <w:r>
        <w:rPr>
          <w:color w:val="231F20"/>
          <w:spacing w:val="-9"/>
        </w:rPr>
        <w:t> </w:t>
      </w:r>
      <w:r>
        <w:rPr>
          <w:color w:val="231F20"/>
        </w:rPr>
        <w:t>общую</w:t>
      </w:r>
      <w:r>
        <w:rPr>
          <w:color w:val="231F20"/>
          <w:spacing w:val="-9"/>
        </w:rPr>
        <w:t> </w:t>
      </w:r>
      <w:r>
        <w:rPr>
          <w:color w:val="231F20"/>
        </w:rPr>
        <w:t>информацию</w:t>
      </w:r>
      <w:r>
        <w:rPr>
          <w:color w:val="231F20"/>
          <w:spacing w:val="-9"/>
        </w:rPr>
        <w:t> </w:t>
      </w:r>
      <w:r>
        <w:rPr>
          <w:color w:val="231F20"/>
        </w:rPr>
        <w:t>о</w:t>
      </w:r>
      <w:r>
        <w:rPr>
          <w:color w:val="231F20"/>
          <w:spacing w:val="-9"/>
        </w:rPr>
        <w:t> </w:t>
      </w:r>
      <w:r>
        <w:rPr>
          <w:color w:val="231F20"/>
        </w:rPr>
        <w:t>школе,</w:t>
      </w:r>
      <w:r>
        <w:rPr>
          <w:color w:val="231F20"/>
          <w:spacing w:val="-9"/>
        </w:rPr>
        <w:t> </w:t>
      </w:r>
      <w:r>
        <w:rPr>
          <w:color w:val="231F20"/>
        </w:rPr>
        <w:t>рекомен- дации о подготовке к учебному году, требования к домашним заданиям и пр. Они могут</w:t>
      </w:r>
      <w:r>
        <w:rPr>
          <w:color w:val="231F20"/>
          <w:spacing w:val="-5"/>
        </w:rPr>
        <w:t> </w:t>
      </w:r>
      <w:r>
        <w:rPr>
          <w:color w:val="231F20"/>
        </w:rPr>
        <w:t>размещаться</w:t>
      </w:r>
      <w:r>
        <w:rPr>
          <w:color w:val="231F20"/>
          <w:spacing w:val="-5"/>
        </w:rPr>
        <w:t> </w:t>
      </w:r>
      <w:r>
        <w:rPr>
          <w:color w:val="231F20"/>
        </w:rPr>
        <w:t>на</w:t>
      </w:r>
      <w:r>
        <w:rPr>
          <w:color w:val="231F20"/>
          <w:spacing w:val="-5"/>
        </w:rPr>
        <w:t> </w:t>
      </w:r>
      <w:r>
        <w:rPr>
          <w:color w:val="231F20"/>
        </w:rPr>
        <w:t>сайте</w:t>
      </w:r>
      <w:r>
        <w:rPr>
          <w:color w:val="231F20"/>
          <w:spacing w:val="-5"/>
        </w:rPr>
        <w:t> </w:t>
      </w:r>
      <w:r>
        <w:rPr>
          <w:color w:val="231F20"/>
        </w:rPr>
        <w:t>школы</w:t>
      </w:r>
      <w:r>
        <w:rPr>
          <w:color w:val="231F20"/>
          <w:spacing w:val="-5"/>
        </w:rPr>
        <w:t> </w:t>
      </w:r>
      <w:r>
        <w:rPr>
          <w:color w:val="231F20"/>
        </w:rPr>
        <w:t>или</w:t>
      </w:r>
      <w:r>
        <w:rPr>
          <w:color w:val="231F20"/>
          <w:spacing w:val="-5"/>
        </w:rPr>
        <w:t> </w:t>
      </w:r>
      <w:r>
        <w:rPr>
          <w:color w:val="231F20"/>
        </w:rPr>
        <w:t>предоставляться</w:t>
      </w:r>
      <w:r>
        <w:rPr>
          <w:color w:val="231F20"/>
          <w:spacing w:val="-5"/>
        </w:rPr>
        <w:t> </w:t>
      </w:r>
      <w:r>
        <w:rPr>
          <w:color w:val="231F20"/>
        </w:rPr>
        <w:t>родителям</w:t>
      </w:r>
      <w:r>
        <w:rPr>
          <w:color w:val="231F20"/>
          <w:spacing w:val="-5"/>
        </w:rPr>
        <w:t> </w:t>
      </w:r>
      <w:r>
        <w:rPr>
          <w:color w:val="231F20"/>
        </w:rPr>
        <w:t>в</w:t>
      </w:r>
      <w:r>
        <w:rPr>
          <w:color w:val="231F20"/>
          <w:spacing w:val="-5"/>
        </w:rPr>
        <w:t> </w:t>
      </w:r>
      <w:r>
        <w:rPr>
          <w:color w:val="231F20"/>
        </w:rPr>
        <w:t>распечатанном виде (например, в рамках приветственного семинара или родительского собрания, а также при индивидуальных встречах). Важно, чтобы эти материалы были написаны на максимально простом русском языке и сопровождались наглядным материалом, например схемами или таблицами.</w:t>
      </w:r>
    </w:p>
    <w:p>
      <w:pPr>
        <w:pStyle w:val="BodyText"/>
        <w:spacing w:line="235" w:lineRule="auto" w:before="7"/>
      </w:pPr>
      <w:r>
        <w:rPr>
          <w:color w:val="231F20"/>
        </w:rPr>
        <w:t>Необходимо также учитывать, что родители – иностранные граждане могут ну- ждаться</w:t>
      </w:r>
      <w:r>
        <w:rPr>
          <w:color w:val="231F20"/>
          <w:spacing w:val="-10"/>
        </w:rPr>
        <w:t> </w:t>
      </w:r>
      <w:r>
        <w:rPr>
          <w:color w:val="231F20"/>
        </w:rPr>
        <w:t>в</w:t>
      </w:r>
      <w:r>
        <w:rPr>
          <w:color w:val="231F20"/>
          <w:spacing w:val="-10"/>
        </w:rPr>
        <w:t> </w:t>
      </w:r>
      <w:r>
        <w:rPr>
          <w:color w:val="231F20"/>
        </w:rPr>
        <w:t>помощи</w:t>
      </w:r>
      <w:r>
        <w:rPr>
          <w:color w:val="231F20"/>
          <w:spacing w:val="-10"/>
        </w:rPr>
        <w:t> </w:t>
      </w:r>
      <w:r>
        <w:rPr>
          <w:color w:val="231F20"/>
        </w:rPr>
        <w:t>с</w:t>
      </w:r>
      <w:r>
        <w:rPr>
          <w:color w:val="231F20"/>
          <w:spacing w:val="-10"/>
        </w:rPr>
        <w:t> </w:t>
      </w:r>
      <w:r>
        <w:rPr>
          <w:color w:val="231F20"/>
        </w:rPr>
        <w:t>работой</w:t>
      </w:r>
      <w:r>
        <w:rPr>
          <w:color w:val="231F20"/>
          <w:spacing w:val="-10"/>
        </w:rPr>
        <w:t> </w:t>
      </w:r>
      <w:r>
        <w:rPr>
          <w:color w:val="231F20"/>
        </w:rPr>
        <w:t>в</w:t>
      </w:r>
      <w:r>
        <w:rPr>
          <w:color w:val="231F20"/>
          <w:spacing w:val="-10"/>
        </w:rPr>
        <w:t> </w:t>
      </w:r>
      <w:r>
        <w:rPr>
          <w:color w:val="231F20"/>
        </w:rPr>
        <w:t>различных</w:t>
      </w:r>
      <w:r>
        <w:rPr>
          <w:color w:val="231F20"/>
          <w:spacing w:val="-10"/>
        </w:rPr>
        <w:t> </w:t>
      </w:r>
      <w:r>
        <w:rPr>
          <w:color w:val="231F20"/>
        </w:rPr>
        <w:t>электронных</w:t>
      </w:r>
      <w:r>
        <w:rPr>
          <w:color w:val="231F20"/>
          <w:spacing w:val="-10"/>
        </w:rPr>
        <w:t> </w:t>
      </w:r>
      <w:r>
        <w:rPr>
          <w:color w:val="231F20"/>
        </w:rPr>
        <w:t>средах</w:t>
      </w:r>
      <w:r>
        <w:rPr>
          <w:color w:val="231F20"/>
          <w:spacing w:val="-10"/>
        </w:rPr>
        <w:t> </w:t>
      </w:r>
      <w:r>
        <w:rPr>
          <w:color w:val="231F20"/>
        </w:rPr>
        <w:t>(электронный</w:t>
      </w:r>
      <w:r>
        <w:rPr>
          <w:color w:val="231F20"/>
          <w:spacing w:val="-10"/>
        </w:rPr>
        <w:t> </w:t>
      </w:r>
      <w:r>
        <w:rPr>
          <w:color w:val="231F20"/>
        </w:rPr>
        <w:t>дневник и пр.). Целесообразно оказать им помощь в освоении этих ресурсов. Во-первых, во время</w:t>
      </w:r>
      <w:r>
        <w:rPr>
          <w:color w:val="231F20"/>
          <w:spacing w:val="-12"/>
        </w:rPr>
        <w:t> </w:t>
      </w:r>
      <w:r>
        <w:rPr>
          <w:color w:val="231F20"/>
        </w:rPr>
        <w:t>индивидуальной</w:t>
      </w:r>
      <w:r>
        <w:rPr>
          <w:color w:val="231F20"/>
          <w:spacing w:val="-12"/>
        </w:rPr>
        <w:t> </w:t>
      </w:r>
      <w:r>
        <w:rPr>
          <w:color w:val="231F20"/>
        </w:rPr>
        <w:t>встречи</w:t>
      </w:r>
      <w:r>
        <w:rPr>
          <w:color w:val="231F20"/>
          <w:spacing w:val="-12"/>
        </w:rPr>
        <w:t> </w:t>
      </w:r>
      <w:r>
        <w:rPr>
          <w:color w:val="231F20"/>
        </w:rPr>
        <w:t>можно</w:t>
      </w:r>
      <w:r>
        <w:rPr>
          <w:color w:val="231F20"/>
          <w:spacing w:val="-12"/>
        </w:rPr>
        <w:t> </w:t>
      </w:r>
      <w:r>
        <w:rPr>
          <w:color w:val="231F20"/>
        </w:rPr>
        <w:t>продемонстрировать</w:t>
      </w:r>
      <w:r>
        <w:rPr>
          <w:color w:val="231F20"/>
          <w:spacing w:val="-12"/>
        </w:rPr>
        <w:t> </w:t>
      </w:r>
      <w:r>
        <w:rPr>
          <w:color w:val="231F20"/>
        </w:rPr>
        <w:t>работу</w:t>
      </w:r>
      <w:r>
        <w:rPr>
          <w:color w:val="231F20"/>
          <w:spacing w:val="-12"/>
        </w:rPr>
        <w:t> </w:t>
      </w:r>
      <w:r>
        <w:rPr>
          <w:color w:val="231F20"/>
        </w:rPr>
        <w:t>с</w:t>
      </w:r>
      <w:r>
        <w:rPr>
          <w:color w:val="231F20"/>
          <w:spacing w:val="-12"/>
        </w:rPr>
        <w:t> </w:t>
      </w:r>
      <w:r>
        <w:rPr>
          <w:color w:val="231F20"/>
        </w:rPr>
        <w:t>данными</w:t>
      </w:r>
      <w:r>
        <w:rPr>
          <w:color w:val="231F20"/>
          <w:spacing w:val="-12"/>
        </w:rPr>
        <w:t> </w:t>
      </w:r>
      <w:r>
        <w:rPr>
          <w:color w:val="231F20"/>
        </w:rPr>
        <w:t>ресур- </w:t>
      </w:r>
      <w:r>
        <w:rPr>
          <w:color w:val="231F20"/>
          <w:spacing w:val="-4"/>
        </w:rPr>
        <w:t>сами. Во-вторых, не лишним будет подготовить соответствующую памятку. В-третьих, </w:t>
      </w:r>
      <w:r>
        <w:rPr>
          <w:color w:val="231F20"/>
          <w:spacing w:val="-2"/>
        </w:rPr>
        <w:t>надо</w:t>
      </w:r>
      <w:r>
        <w:rPr>
          <w:color w:val="231F20"/>
          <w:spacing w:val="-11"/>
        </w:rPr>
        <w:t> </w:t>
      </w:r>
      <w:r>
        <w:rPr>
          <w:color w:val="231F20"/>
          <w:spacing w:val="-2"/>
        </w:rPr>
        <w:t>записать</w:t>
      </w:r>
      <w:r>
        <w:rPr>
          <w:color w:val="231F20"/>
          <w:spacing w:val="-10"/>
        </w:rPr>
        <w:t> </w:t>
      </w:r>
      <w:r>
        <w:rPr>
          <w:color w:val="231F20"/>
          <w:spacing w:val="-2"/>
        </w:rPr>
        <w:t>короткие</w:t>
      </w:r>
      <w:r>
        <w:rPr>
          <w:color w:val="231F20"/>
          <w:spacing w:val="-11"/>
        </w:rPr>
        <w:t> </w:t>
      </w:r>
      <w:r>
        <w:rPr>
          <w:color w:val="231F20"/>
          <w:spacing w:val="-2"/>
        </w:rPr>
        <w:t>обучающие</w:t>
      </w:r>
      <w:r>
        <w:rPr>
          <w:color w:val="231F20"/>
          <w:spacing w:val="-10"/>
        </w:rPr>
        <w:t> </w:t>
      </w:r>
      <w:r>
        <w:rPr>
          <w:color w:val="231F20"/>
          <w:spacing w:val="-2"/>
        </w:rPr>
        <w:t>видеоролики.</w:t>
      </w:r>
      <w:r>
        <w:rPr>
          <w:color w:val="231F20"/>
          <w:spacing w:val="-11"/>
        </w:rPr>
        <w:t> </w:t>
      </w:r>
      <w:r>
        <w:rPr>
          <w:color w:val="231F20"/>
          <w:spacing w:val="-2"/>
        </w:rPr>
        <w:t>Подготовка</w:t>
      </w:r>
      <w:r>
        <w:rPr>
          <w:color w:val="231F20"/>
          <w:spacing w:val="-10"/>
        </w:rPr>
        <w:t> </w:t>
      </w:r>
      <w:r>
        <w:rPr>
          <w:color w:val="231F20"/>
          <w:spacing w:val="-2"/>
        </w:rPr>
        <w:t>таких</w:t>
      </w:r>
      <w:r>
        <w:rPr>
          <w:color w:val="231F20"/>
          <w:spacing w:val="-11"/>
        </w:rPr>
        <w:t> </w:t>
      </w:r>
      <w:r>
        <w:rPr>
          <w:color w:val="231F20"/>
          <w:spacing w:val="-2"/>
        </w:rPr>
        <w:t>материалов</w:t>
      </w:r>
      <w:r>
        <w:rPr>
          <w:color w:val="231F20"/>
          <w:spacing w:val="-10"/>
        </w:rPr>
        <w:t> </w:t>
      </w:r>
      <w:r>
        <w:rPr>
          <w:color w:val="231F20"/>
          <w:spacing w:val="-2"/>
        </w:rPr>
        <w:t>может осуществляться</w:t>
      </w:r>
      <w:r>
        <w:rPr>
          <w:color w:val="231F20"/>
          <w:spacing w:val="-9"/>
        </w:rPr>
        <w:t> </w:t>
      </w:r>
      <w:r>
        <w:rPr>
          <w:color w:val="231F20"/>
          <w:spacing w:val="-2"/>
        </w:rPr>
        <w:t>в</w:t>
      </w:r>
      <w:r>
        <w:rPr>
          <w:color w:val="231F20"/>
          <w:spacing w:val="-9"/>
        </w:rPr>
        <w:t> </w:t>
      </w:r>
      <w:r>
        <w:rPr>
          <w:color w:val="231F20"/>
          <w:spacing w:val="-2"/>
        </w:rPr>
        <w:t>рамках</w:t>
      </w:r>
      <w:r>
        <w:rPr>
          <w:color w:val="231F20"/>
          <w:spacing w:val="-9"/>
        </w:rPr>
        <w:t> </w:t>
      </w:r>
      <w:r>
        <w:rPr>
          <w:color w:val="231F20"/>
          <w:spacing w:val="-2"/>
        </w:rPr>
        <w:t>внутришкольных</w:t>
      </w:r>
      <w:r>
        <w:rPr>
          <w:color w:val="231F20"/>
          <w:spacing w:val="-9"/>
        </w:rPr>
        <w:t> </w:t>
      </w:r>
      <w:r>
        <w:rPr>
          <w:color w:val="231F20"/>
          <w:spacing w:val="-2"/>
        </w:rPr>
        <w:t>проектов.</w:t>
      </w:r>
      <w:r>
        <w:rPr>
          <w:color w:val="231F20"/>
          <w:spacing w:val="-9"/>
        </w:rPr>
        <w:t> </w:t>
      </w:r>
      <w:r>
        <w:rPr>
          <w:color w:val="231F20"/>
          <w:spacing w:val="-2"/>
        </w:rPr>
        <w:t>Практикум</w:t>
      </w:r>
      <w:r>
        <w:rPr>
          <w:color w:val="231F20"/>
          <w:spacing w:val="-9"/>
        </w:rPr>
        <w:t> </w:t>
      </w:r>
      <w:r>
        <w:rPr>
          <w:color w:val="231F20"/>
          <w:spacing w:val="-2"/>
        </w:rPr>
        <w:t>по</w:t>
      </w:r>
      <w:r>
        <w:rPr>
          <w:color w:val="231F20"/>
          <w:spacing w:val="-9"/>
        </w:rPr>
        <w:t> </w:t>
      </w:r>
      <w:r>
        <w:rPr>
          <w:color w:val="231F20"/>
          <w:spacing w:val="-2"/>
        </w:rPr>
        <w:t>работе</w:t>
      </w:r>
      <w:r>
        <w:rPr>
          <w:color w:val="231F20"/>
          <w:spacing w:val="-9"/>
        </w:rPr>
        <w:t> </w:t>
      </w:r>
      <w:r>
        <w:rPr>
          <w:color w:val="231F20"/>
          <w:spacing w:val="-2"/>
        </w:rPr>
        <w:t>с</w:t>
      </w:r>
      <w:r>
        <w:rPr>
          <w:color w:val="231F20"/>
          <w:spacing w:val="-9"/>
        </w:rPr>
        <w:t> </w:t>
      </w:r>
      <w:r>
        <w:rPr>
          <w:color w:val="231F20"/>
          <w:spacing w:val="-2"/>
        </w:rPr>
        <w:t>электрон- </w:t>
      </w:r>
      <w:r>
        <w:rPr>
          <w:color w:val="231F20"/>
        </w:rPr>
        <w:t>ными ресурсами для родителей-иностранных граждан может проводиться в рамках родительских</w:t>
      </w:r>
      <w:r>
        <w:rPr>
          <w:color w:val="231F20"/>
          <w:spacing w:val="-3"/>
        </w:rPr>
        <w:t> </w:t>
      </w:r>
      <w:r>
        <w:rPr>
          <w:color w:val="231F20"/>
        </w:rPr>
        <w:t>собраний,</w:t>
      </w:r>
      <w:r>
        <w:rPr>
          <w:color w:val="231F20"/>
          <w:spacing w:val="-3"/>
        </w:rPr>
        <w:t> </w:t>
      </w:r>
      <w:r>
        <w:rPr>
          <w:color w:val="231F20"/>
        </w:rPr>
        <w:t>о</w:t>
      </w:r>
      <w:r>
        <w:rPr>
          <w:color w:val="231F20"/>
          <w:spacing w:val="-3"/>
        </w:rPr>
        <w:t> </w:t>
      </w:r>
      <w:r>
        <w:rPr>
          <w:color w:val="231F20"/>
        </w:rPr>
        <w:t>которых</w:t>
      </w:r>
      <w:r>
        <w:rPr>
          <w:color w:val="231F20"/>
          <w:spacing w:val="-3"/>
        </w:rPr>
        <w:t> </w:t>
      </w:r>
      <w:r>
        <w:rPr>
          <w:color w:val="231F20"/>
        </w:rPr>
        <w:t>подробнее</w:t>
      </w:r>
      <w:r>
        <w:rPr>
          <w:color w:val="231F20"/>
          <w:spacing w:val="-3"/>
        </w:rPr>
        <w:t> </w:t>
      </w:r>
      <w:r>
        <w:rPr>
          <w:color w:val="231F20"/>
        </w:rPr>
        <w:t>можно</w:t>
      </w:r>
      <w:r>
        <w:rPr>
          <w:color w:val="231F20"/>
          <w:spacing w:val="-3"/>
        </w:rPr>
        <w:t> </w:t>
      </w:r>
      <w:r>
        <w:rPr>
          <w:color w:val="231F20"/>
        </w:rPr>
        <w:t>прочитать</w:t>
      </w:r>
      <w:r>
        <w:rPr>
          <w:color w:val="231F20"/>
          <w:spacing w:val="-3"/>
        </w:rPr>
        <w:t> </w:t>
      </w:r>
      <w:r>
        <w:rPr>
          <w:color w:val="231F20"/>
        </w:rPr>
        <w:t>в</w:t>
      </w:r>
      <w:r>
        <w:rPr>
          <w:color w:val="231F20"/>
          <w:spacing w:val="-3"/>
        </w:rPr>
        <w:t> </w:t>
      </w:r>
      <w:r>
        <w:rPr>
          <w:color w:val="231F20"/>
        </w:rPr>
        <w:t>Инструментарии.</w:t>
      </w:r>
    </w:p>
    <w:p>
      <w:pPr>
        <w:pStyle w:val="BodyText"/>
        <w:spacing w:before="2"/>
      </w:pPr>
      <w:r>
        <w:rPr>
          <w:color w:val="231F20"/>
          <w:spacing w:val="-2"/>
        </w:rPr>
        <w:t>Информационные</w:t>
      </w:r>
      <w:r>
        <w:rPr>
          <w:color w:val="231F20"/>
          <w:spacing w:val="-9"/>
        </w:rPr>
        <w:t> </w:t>
      </w:r>
      <w:r>
        <w:rPr>
          <w:color w:val="231F20"/>
          <w:spacing w:val="-2"/>
        </w:rPr>
        <w:t>материалы</w:t>
      </w:r>
      <w:r>
        <w:rPr>
          <w:color w:val="231F20"/>
          <w:spacing w:val="-9"/>
        </w:rPr>
        <w:t> </w:t>
      </w:r>
      <w:r>
        <w:rPr>
          <w:color w:val="231F20"/>
          <w:spacing w:val="-2"/>
        </w:rPr>
        <w:t>могут</w:t>
      </w:r>
      <w:r>
        <w:rPr>
          <w:color w:val="231F20"/>
          <w:spacing w:val="-9"/>
        </w:rPr>
        <w:t> </w:t>
      </w:r>
      <w:r>
        <w:rPr>
          <w:color w:val="231F20"/>
          <w:spacing w:val="-2"/>
        </w:rPr>
        <w:t>обсуждаться</w:t>
      </w:r>
      <w:r>
        <w:rPr>
          <w:color w:val="231F20"/>
          <w:spacing w:val="-9"/>
        </w:rPr>
        <w:t> </w:t>
      </w:r>
      <w:r>
        <w:rPr>
          <w:color w:val="231F20"/>
          <w:spacing w:val="-2"/>
        </w:rPr>
        <w:t>с</w:t>
      </w:r>
      <w:r>
        <w:rPr>
          <w:color w:val="231F20"/>
          <w:spacing w:val="-9"/>
        </w:rPr>
        <w:t> </w:t>
      </w:r>
      <w:r>
        <w:rPr>
          <w:color w:val="231F20"/>
          <w:spacing w:val="-2"/>
        </w:rPr>
        <w:t>родителями</w:t>
      </w:r>
      <w:r>
        <w:rPr>
          <w:color w:val="231F20"/>
          <w:spacing w:val="-9"/>
        </w:rPr>
        <w:t> </w:t>
      </w:r>
      <w:r>
        <w:rPr>
          <w:color w:val="231F20"/>
          <w:spacing w:val="-2"/>
        </w:rPr>
        <w:t>непосредственно</w:t>
      </w:r>
      <w:r>
        <w:rPr>
          <w:color w:val="231F20"/>
          <w:spacing w:val="-9"/>
        </w:rPr>
        <w:t> </w:t>
      </w:r>
      <w:r>
        <w:rPr>
          <w:color w:val="231F20"/>
          <w:spacing w:val="-2"/>
        </w:rPr>
        <w:t>во </w:t>
      </w:r>
      <w:r>
        <w:rPr>
          <w:color w:val="231F20"/>
        </w:rPr>
        <w:t>время</w:t>
      </w:r>
      <w:r>
        <w:rPr>
          <w:color w:val="231F20"/>
          <w:spacing w:val="-11"/>
        </w:rPr>
        <w:t> </w:t>
      </w:r>
      <w:r>
        <w:rPr>
          <w:color w:val="231F20"/>
        </w:rPr>
        <w:t>встречи.</w:t>
      </w:r>
      <w:r>
        <w:rPr>
          <w:color w:val="231F20"/>
          <w:spacing w:val="-11"/>
        </w:rPr>
        <w:t> </w:t>
      </w:r>
      <w:r>
        <w:rPr>
          <w:color w:val="231F20"/>
        </w:rPr>
        <w:t>Например,</w:t>
      </w:r>
      <w:r>
        <w:rPr>
          <w:color w:val="231F20"/>
          <w:spacing w:val="-11"/>
        </w:rPr>
        <w:t> </w:t>
      </w:r>
      <w:r>
        <w:rPr>
          <w:color w:val="231F20"/>
        </w:rPr>
        <w:t>в</w:t>
      </w:r>
      <w:r>
        <w:rPr>
          <w:color w:val="231F20"/>
          <w:spacing w:val="-11"/>
        </w:rPr>
        <w:t> </w:t>
      </w:r>
      <w:r>
        <w:rPr>
          <w:color w:val="231F20"/>
        </w:rPr>
        <w:t>ходе</w:t>
      </w:r>
      <w:r>
        <w:rPr>
          <w:color w:val="231F20"/>
          <w:spacing w:val="-11"/>
        </w:rPr>
        <w:t> </w:t>
      </w:r>
      <w:r>
        <w:rPr>
          <w:color w:val="231F20"/>
        </w:rPr>
        <w:t>беседы</w:t>
      </w:r>
      <w:r>
        <w:rPr>
          <w:color w:val="231F20"/>
          <w:spacing w:val="-11"/>
        </w:rPr>
        <w:t> </w:t>
      </w:r>
      <w:r>
        <w:rPr>
          <w:color w:val="231F20"/>
        </w:rPr>
        <w:t>с</w:t>
      </w:r>
      <w:r>
        <w:rPr>
          <w:color w:val="231F20"/>
          <w:spacing w:val="-11"/>
        </w:rPr>
        <w:t> </w:t>
      </w:r>
      <w:r>
        <w:rPr>
          <w:color w:val="231F20"/>
        </w:rPr>
        <w:t>родителями-мигрантами</w:t>
      </w:r>
      <w:r>
        <w:rPr>
          <w:color w:val="231F20"/>
          <w:spacing w:val="-11"/>
        </w:rPr>
        <w:t> </w:t>
      </w:r>
      <w:r>
        <w:rPr>
          <w:color w:val="231F20"/>
        </w:rPr>
        <w:t>классный</w:t>
      </w:r>
      <w:r>
        <w:rPr>
          <w:color w:val="231F20"/>
          <w:spacing w:val="-11"/>
        </w:rPr>
        <w:t> </w:t>
      </w:r>
      <w:r>
        <w:rPr>
          <w:color w:val="231F20"/>
        </w:rPr>
        <w:t>руково- дитель</w:t>
      </w:r>
      <w:r>
        <w:rPr>
          <w:color w:val="231F20"/>
          <w:spacing w:val="-10"/>
        </w:rPr>
        <w:t> </w:t>
      </w:r>
      <w:r>
        <w:rPr>
          <w:color w:val="231F20"/>
        </w:rPr>
        <w:t>может</w:t>
      </w:r>
      <w:r>
        <w:rPr>
          <w:color w:val="231F20"/>
          <w:spacing w:val="-10"/>
        </w:rPr>
        <w:t> </w:t>
      </w:r>
      <w:r>
        <w:rPr>
          <w:color w:val="231F20"/>
        </w:rPr>
        <w:t>сказать:</w:t>
      </w:r>
      <w:r>
        <w:rPr>
          <w:color w:val="231F20"/>
          <w:spacing w:val="-10"/>
        </w:rPr>
        <w:t> </w:t>
      </w:r>
      <w:r>
        <w:rPr>
          <w:color w:val="231F20"/>
        </w:rPr>
        <w:t>«У</w:t>
      </w:r>
      <w:r>
        <w:rPr>
          <w:color w:val="231F20"/>
          <w:spacing w:val="-10"/>
        </w:rPr>
        <w:t> </w:t>
      </w:r>
      <w:r>
        <w:rPr>
          <w:color w:val="231F20"/>
        </w:rPr>
        <w:t>нас</w:t>
      </w:r>
      <w:r>
        <w:rPr>
          <w:color w:val="231F20"/>
          <w:spacing w:val="-10"/>
        </w:rPr>
        <w:t> </w:t>
      </w:r>
      <w:r>
        <w:rPr>
          <w:color w:val="231F20"/>
        </w:rPr>
        <w:t>в</w:t>
      </w:r>
      <w:r>
        <w:rPr>
          <w:color w:val="231F20"/>
          <w:spacing w:val="-10"/>
        </w:rPr>
        <w:t> </w:t>
      </w:r>
      <w:r>
        <w:rPr>
          <w:color w:val="231F20"/>
        </w:rPr>
        <w:t>школе</w:t>
      </w:r>
      <w:r>
        <w:rPr>
          <w:color w:val="231F20"/>
          <w:spacing w:val="-10"/>
        </w:rPr>
        <w:t> </w:t>
      </w:r>
      <w:r>
        <w:rPr>
          <w:color w:val="231F20"/>
        </w:rPr>
        <w:t>есть</w:t>
      </w:r>
      <w:r>
        <w:rPr>
          <w:color w:val="231F20"/>
          <w:spacing w:val="-10"/>
        </w:rPr>
        <w:t> </w:t>
      </w:r>
      <w:r>
        <w:rPr>
          <w:color w:val="231F20"/>
        </w:rPr>
        <w:t>факультатив</w:t>
      </w:r>
      <w:r>
        <w:rPr>
          <w:color w:val="231F20"/>
          <w:spacing w:val="-10"/>
        </w:rPr>
        <w:t> </w:t>
      </w:r>
      <w:r>
        <w:rPr>
          <w:color w:val="231F20"/>
        </w:rPr>
        <w:t>для</w:t>
      </w:r>
      <w:r>
        <w:rPr>
          <w:color w:val="231F20"/>
          <w:spacing w:val="-10"/>
        </w:rPr>
        <w:t> </w:t>
      </w:r>
      <w:r>
        <w:rPr>
          <w:color w:val="231F20"/>
        </w:rPr>
        <w:t>детей,</w:t>
      </w:r>
      <w:r>
        <w:rPr>
          <w:color w:val="231F20"/>
          <w:spacing w:val="-10"/>
        </w:rPr>
        <w:t> </w:t>
      </w:r>
      <w:r>
        <w:rPr>
          <w:color w:val="231F20"/>
        </w:rPr>
        <w:t>у</w:t>
      </w:r>
      <w:r>
        <w:rPr>
          <w:color w:val="231F20"/>
          <w:spacing w:val="-10"/>
        </w:rPr>
        <w:t> </w:t>
      </w:r>
      <w:r>
        <w:rPr>
          <w:color w:val="231F20"/>
        </w:rPr>
        <w:t>которых</w:t>
      </w:r>
      <w:r>
        <w:rPr>
          <w:color w:val="231F20"/>
          <w:spacing w:val="-10"/>
        </w:rPr>
        <w:t> </w:t>
      </w:r>
      <w:r>
        <w:rPr>
          <w:color w:val="231F20"/>
        </w:rPr>
        <w:t>русский </w:t>
      </w:r>
      <w:r>
        <w:rPr>
          <w:color w:val="231F20"/>
          <w:spacing w:val="-4"/>
        </w:rPr>
        <w:t>язык неродной. Кроме того, у нас работают кружки, которые мы советуем таким учени- </w:t>
      </w:r>
      <w:r>
        <w:rPr>
          <w:color w:val="231F20"/>
        </w:rPr>
        <w:t>кам</w:t>
      </w:r>
      <w:r>
        <w:rPr>
          <w:color w:val="231F20"/>
          <w:spacing w:val="-13"/>
        </w:rPr>
        <w:t> </w:t>
      </w:r>
      <w:r>
        <w:rPr>
          <w:color w:val="231F20"/>
        </w:rPr>
        <w:t>посещать.</w:t>
      </w:r>
      <w:r>
        <w:rPr>
          <w:color w:val="231F20"/>
          <w:spacing w:val="-12"/>
        </w:rPr>
        <w:t> </w:t>
      </w:r>
      <w:r>
        <w:rPr>
          <w:color w:val="231F20"/>
        </w:rPr>
        <w:t>В</w:t>
      </w:r>
      <w:r>
        <w:rPr>
          <w:color w:val="231F20"/>
          <w:spacing w:val="-13"/>
        </w:rPr>
        <w:t> </w:t>
      </w:r>
      <w:r>
        <w:rPr>
          <w:color w:val="231F20"/>
        </w:rPr>
        <w:t>этой</w:t>
      </w:r>
      <w:r>
        <w:rPr>
          <w:color w:val="231F20"/>
          <w:spacing w:val="-12"/>
        </w:rPr>
        <w:t> </w:t>
      </w:r>
      <w:r>
        <w:rPr>
          <w:color w:val="231F20"/>
        </w:rPr>
        <w:t>памятке</w:t>
      </w:r>
      <w:r>
        <w:rPr>
          <w:color w:val="231F20"/>
          <w:spacing w:val="-13"/>
        </w:rPr>
        <w:t> </w:t>
      </w:r>
      <w:r>
        <w:rPr>
          <w:color w:val="231F20"/>
        </w:rPr>
        <w:t>есть</w:t>
      </w:r>
      <w:r>
        <w:rPr>
          <w:color w:val="231F20"/>
          <w:spacing w:val="-12"/>
        </w:rPr>
        <w:t> </w:t>
      </w:r>
      <w:r>
        <w:rPr>
          <w:color w:val="231F20"/>
        </w:rPr>
        <w:t>перечень</w:t>
      </w:r>
      <w:r>
        <w:rPr>
          <w:color w:val="231F20"/>
          <w:spacing w:val="-13"/>
        </w:rPr>
        <w:t> </w:t>
      </w:r>
      <w:r>
        <w:rPr>
          <w:color w:val="231F20"/>
        </w:rPr>
        <w:t>таких</w:t>
      </w:r>
      <w:r>
        <w:rPr>
          <w:color w:val="231F20"/>
          <w:spacing w:val="-12"/>
        </w:rPr>
        <w:t> </w:t>
      </w:r>
      <w:r>
        <w:rPr>
          <w:color w:val="231F20"/>
        </w:rPr>
        <w:t>кружков,</w:t>
      </w:r>
      <w:r>
        <w:rPr>
          <w:color w:val="231F20"/>
          <w:spacing w:val="-13"/>
        </w:rPr>
        <w:t> </w:t>
      </w:r>
      <w:r>
        <w:rPr>
          <w:color w:val="231F20"/>
        </w:rPr>
        <w:t>указано</w:t>
      </w:r>
      <w:r>
        <w:rPr>
          <w:color w:val="231F20"/>
          <w:spacing w:val="-12"/>
        </w:rPr>
        <w:t> </w:t>
      </w:r>
      <w:r>
        <w:rPr>
          <w:color w:val="231F20"/>
        </w:rPr>
        <w:t>время</w:t>
      </w:r>
      <w:r>
        <w:rPr>
          <w:color w:val="231F20"/>
          <w:spacing w:val="-13"/>
        </w:rPr>
        <w:t> </w:t>
      </w:r>
      <w:r>
        <w:rPr>
          <w:color w:val="231F20"/>
        </w:rPr>
        <w:t>их</w:t>
      </w:r>
      <w:r>
        <w:rPr>
          <w:color w:val="231F20"/>
          <w:spacing w:val="-12"/>
        </w:rPr>
        <w:t> </w:t>
      </w:r>
      <w:r>
        <w:rPr>
          <w:color w:val="231F20"/>
        </w:rPr>
        <w:t>работы. Давайте</w:t>
      </w:r>
      <w:r>
        <w:rPr>
          <w:color w:val="231F20"/>
          <w:spacing w:val="-3"/>
        </w:rPr>
        <w:t> </w:t>
      </w:r>
      <w:r>
        <w:rPr>
          <w:color w:val="231F20"/>
        </w:rPr>
        <w:t>посмотрим,</w:t>
      </w:r>
      <w:r>
        <w:rPr>
          <w:color w:val="231F20"/>
          <w:spacing w:val="-3"/>
        </w:rPr>
        <w:t> </w:t>
      </w:r>
      <w:r>
        <w:rPr>
          <w:color w:val="231F20"/>
        </w:rPr>
        <w:t>какие</w:t>
      </w:r>
      <w:r>
        <w:rPr>
          <w:color w:val="231F20"/>
          <w:spacing w:val="-3"/>
        </w:rPr>
        <w:t> </w:t>
      </w:r>
      <w:r>
        <w:rPr>
          <w:color w:val="231F20"/>
        </w:rPr>
        <w:t>из</w:t>
      </w:r>
      <w:r>
        <w:rPr>
          <w:color w:val="231F20"/>
          <w:spacing w:val="-3"/>
        </w:rPr>
        <w:t> </w:t>
      </w:r>
      <w:r>
        <w:rPr>
          <w:color w:val="231F20"/>
        </w:rPr>
        <w:t>этих</w:t>
      </w:r>
      <w:r>
        <w:rPr>
          <w:color w:val="231F20"/>
          <w:spacing w:val="-3"/>
        </w:rPr>
        <w:t> </w:t>
      </w:r>
      <w:r>
        <w:rPr>
          <w:color w:val="231F20"/>
        </w:rPr>
        <w:t>кружков</w:t>
      </w:r>
      <w:r>
        <w:rPr>
          <w:color w:val="231F20"/>
          <w:spacing w:val="-4"/>
        </w:rPr>
        <w:t> </w:t>
      </w:r>
      <w:r>
        <w:rPr>
          <w:color w:val="231F20"/>
        </w:rPr>
        <w:t>могли</w:t>
      </w:r>
      <w:r>
        <w:rPr>
          <w:color w:val="231F20"/>
          <w:spacing w:val="-4"/>
        </w:rPr>
        <w:t> </w:t>
      </w:r>
      <w:r>
        <w:rPr>
          <w:color w:val="231F20"/>
        </w:rPr>
        <w:t>бы</w:t>
      </w:r>
      <w:r>
        <w:rPr>
          <w:color w:val="231F20"/>
          <w:spacing w:val="-3"/>
        </w:rPr>
        <w:t> </w:t>
      </w:r>
      <w:r>
        <w:rPr>
          <w:color w:val="231F20"/>
        </w:rPr>
        <w:t>подойти</w:t>
      </w:r>
      <w:r>
        <w:rPr>
          <w:color w:val="231F20"/>
          <w:spacing w:val="-4"/>
        </w:rPr>
        <w:t> </w:t>
      </w:r>
      <w:r>
        <w:rPr>
          <w:color w:val="231F20"/>
        </w:rPr>
        <w:t>вашему</w:t>
      </w:r>
      <w:r>
        <w:rPr>
          <w:color w:val="231F20"/>
          <w:spacing w:val="-3"/>
        </w:rPr>
        <w:t> </w:t>
      </w:r>
      <w:r>
        <w:rPr>
          <w:color w:val="231F20"/>
        </w:rPr>
        <w:t>ребенку».</w:t>
      </w:r>
    </w:p>
    <w:p>
      <w:pPr>
        <w:pStyle w:val="BodyText"/>
      </w:pPr>
      <w:r>
        <w:rPr>
          <w:color w:val="231F20"/>
        </w:rPr>
        <w:t>Также имеет смысл собирать типичные вопросы, которые часто возникают у ро- дителей – иностранных граждан, и совместно с родительским активом подготовить ответы на эти вопросы (см. раздел 3.3.5).</w:t>
      </w:r>
    </w:p>
    <w:p>
      <w:pPr>
        <w:pStyle w:val="BodyText"/>
        <w:ind w:left="0" w:right="0" w:firstLine="0"/>
        <w:jc w:val="left"/>
      </w:pPr>
    </w:p>
    <w:p>
      <w:pPr>
        <w:numPr>
          <w:ilvl w:val="2"/>
          <w:numId w:val="80"/>
        </w:numPr>
        <w:tabs>
          <w:tab w:pos="1743" w:val="left" w:leader="none"/>
          <w:tab w:pos="1995" w:val="left" w:leader="none"/>
        </w:tabs>
        <w:spacing w:before="0"/>
        <w:ind w:left="1743" w:right="1494" w:hanging="248"/>
        <w:jc w:val="left"/>
        <w:rPr>
          <w:b/>
          <w:sz w:val="20"/>
        </w:rPr>
      </w:pPr>
      <w:r>
        <w:rPr>
          <w:b/>
          <w:color w:val="231F20"/>
          <w:sz w:val="20"/>
        </w:rPr>
        <w:t>Создание</w:t>
      </w:r>
      <w:r>
        <w:rPr>
          <w:b/>
          <w:color w:val="231F20"/>
          <w:spacing w:val="-11"/>
          <w:sz w:val="20"/>
        </w:rPr>
        <w:t> </w:t>
      </w:r>
      <w:r>
        <w:rPr>
          <w:b/>
          <w:color w:val="231F20"/>
          <w:sz w:val="20"/>
        </w:rPr>
        <w:t>системы</w:t>
      </w:r>
      <w:r>
        <w:rPr>
          <w:b/>
          <w:color w:val="231F20"/>
          <w:spacing w:val="-11"/>
          <w:sz w:val="20"/>
        </w:rPr>
        <w:t> </w:t>
      </w:r>
      <w:r>
        <w:rPr>
          <w:b/>
          <w:color w:val="231F20"/>
          <w:sz w:val="20"/>
        </w:rPr>
        <w:t>поддержки</w:t>
      </w:r>
      <w:r>
        <w:rPr>
          <w:b/>
          <w:color w:val="231F20"/>
          <w:spacing w:val="-12"/>
          <w:sz w:val="20"/>
        </w:rPr>
        <w:t> </w:t>
      </w:r>
      <w:r>
        <w:rPr>
          <w:b/>
          <w:color w:val="231F20"/>
          <w:sz w:val="20"/>
        </w:rPr>
        <w:t>для</w:t>
      </w:r>
      <w:r>
        <w:rPr>
          <w:b/>
          <w:color w:val="231F20"/>
          <w:spacing w:val="-11"/>
          <w:sz w:val="20"/>
        </w:rPr>
        <w:t> </w:t>
      </w:r>
      <w:r>
        <w:rPr>
          <w:b/>
          <w:color w:val="231F20"/>
          <w:sz w:val="20"/>
        </w:rPr>
        <w:t>родителей с низким уровнем владения русским языком</w:t>
      </w:r>
    </w:p>
    <w:p>
      <w:pPr>
        <w:pStyle w:val="BodyText"/>
        <w:spacing w:line="237" w:lineRule="auto" w:before="115"/>
      </w:pPr>
      <w:r>
        <w:rPr/>
        <w:t>Многие родители – иностранные граждане не обладают достаточным уровнем владения русским языком. Однако взаимодействовать с педагогами им необходимо</w:t>
      </w:r>
      <w:r>
        <w:rPr>
          <w:spacing w:val="40"/>
        </w:rPr>
        <w:t> </w:t>
      </w:r>
      <w:r>
        <w:rPr/>
        <w:t>с</w:t>
      </w:r>
      <w:r>
        <w:rPr>
          <w:spacing w:val="-2"/>
        </w:rPr>
        <w:t> </w:t>
      </w:r>
      <w:r>
        <w:rPr/>
        <w:t>первого</w:t>
      </w:r>
      <w:r>
        <w:rPr>
          <w:spacing w:val="-2"/>
        </w:rPr>
        <w:t> </w:t>
      </w:r>
      <w:r>
        <w:rPr/>
        <w:t>дня</w:t>
      </w:r>
      <w:r>
        <w:rPr>
          <w:spacing w:val="-2"/>
        </w:rPr>
        <w:t> </w:t>
      </w:r>
      <w:r>
        <w:rPr/>
        <w:t>пребывания</w:t>
      </w:r>
      <w:r>
        <w:rPr>
          <w:spacing w:val="-2"/>
        </w:rPr>
        <w:t> </w:t>
      </w:r>
      <w:r>
        <w:rPr/>
        <w:t>ребенка</w:t>
      </w:r>
      <w:r>
        <w:rPr>
          <w:spacing w:val="-2"/>
        </w:rPr>
        <w:t> </w:t>
      </w:r>
      <w:r>
        <w:rPr/>
        <w:t>в</w:t>
      </w:r>
      <w:r>
        <w:rPr>
          <w:spacing w:val="-2"/>
        </w:rPr>
        <w:t> </w:t>
      </w:r>
      <w:r>
        <w:rPr/>
        <w:t>школе.</w:t>
      </w:r>
      <w:r>
        <w:rPr>
          <w:spacing w:val="-2"/>
        </w:rPr>
        <w:t> </w:t>
      </w:r>
      <w:r>
        <w:rPr/>
        <w:t>Поэтому</w:t>
      </w:r>
      <w:r>
        <w:rPr>
          <w:spacing w:val="-2"/>
        </w:rPr>
        <w:t> </w:t>
      </w:r>
      <w:r>
        <w:rPr/>
        <w:t>важно,</w:t>
      </w:r>
      <w:r>
        <w:rPr>
          <w:spacing w:val="-2"/>
        </w:rPr>
        <w:t> </w:t>
      </w:r>
      <w:r>
        <w:rPr/>
        <w:t>чтобы</w:t>
      </w:r>
      <w:r>
        <w:rPr>
          <w:spacing w:val="-2"/>
        </w:rPr>
        <w:t> </w:t>
      </w:r>
      <w:r>
        <w:rPr/>
        <w:t>в</w:t>
      </w:r>
      <w:r>
        <w:rPr>
          <w:spacing w:val="-2"/>
        </w:rPr>
        <w:t> </w:t>
      </w:r>
      <w:r>
        <w:rPr/>
        <w:t>школе</w:t>
      </w:r>
      <w:r>
        <w:rPr>
          <w:spacing w:val="-2"/>
        </w:rPr>
        <w:t> </w:t>
      </w:r>
      <w:r>
        <w:rPr/>
        <w:t>была</w:t>
      </w:r>
      <w:r>
        <w:rPr>
          <w:spacing w:val="-2"/>
        </w:rPr>
        <w:t> </w:t>
      </w:r>
      <w:r>
        <w:rPr/>
        <w:t>со- здана</w:t>
      </w:r>
      <w:r>
        <w:rPr>
          <w:spacing w:val="-13"/>
        </w:rPr>
        <w:t> </w:t>
      </w:r>
      <w:r>
        <w:rPr/>
        <w:t>система</w:t>
      </w:r>
      <w:r>
        <w:rPr>
          <w:spacing w:val="-11"/>
        </w:rPr>
        <w:t> </w:t>
      </w:r>
      <w:r>
        <w:rPr/>
        <w:t>поддержки</w:t>
      </w:r>
      <w:r>
        <w:rPr>
          <w:spacing w:val="-10"/>
        </w:rPr>
        <w:t> </w:t>
      </w:r>
      <w:r>
        <w:rPr/>
        <w:t>для</w:t>
      </w:r>
      <w:r>
        <w:rPr>
          <w:spacing w:val="-11"/>
        </w:rPr>
        <w:t> </w:t>
      </w:r>
      <w:r>
        <w:rPr/>
        <w:t>родителей</w:t>
      </w:r>
      <w:r>
        <w:rPr>
          <w:spacing w:val="-10"/>
        </w:rPr>
        <w:t> </w:t>
      </w:r>
      <w:r>
        <w:rPr/>
        <w:t>с</w:t>
      </w:r>
      <w:r>
        <w:rPr>
          <w:spacing w:val="-11"/>
        </w:rPr>
        <w:t> </w:t>
      </w:r>
      <w:r>
        <w:rPr/>
        <w:t>низким</w:t>
      </w:r>
      <w:r>
        <w:rPr>
          <w:spacing w:val="-11"/>
        </w:rPr>
        <w:t> </w:t>
      </w:r>
      <w:r>
        <w:rPr/>
        <w:t>уровнем</w:t>
      </w:r>
      <w:r>
        <w:rPr>
          <w:spacing w:val="-10"/>
        </w:rPr>
        <w:t> </w:t>
      </w:r>
      <w:r>
        <w:rPr/>
        <w:t>владения</w:t>
      </w:r>
      <w:r>
        <w:rPr>
          <w:spacing w:val="-11"/>
        </w:rPr>
        <w:t> </w:t>
      </w:r>
      <w:r>
        <w:rPr/>
        <w:t>русским</w:t>
      </w:r>
      <w:r>
        <w:rPr>
          <w:spacing w:val="-10"/>
        </w:rPr>
        <w:t> </w:t>
      </w:r>
      <w:r>
        <w:rPr>
          <w:spacing w:val="-2"/>
        </w:rPr>
        <w:t>языком.</w:t>
      </w:r>
    </w:p>
    <w:p>
      <w:pPr>
        <w:pStyle w:val="BodyText"/>
        <w:spacing w:line="227" w:lineRule="exact"/>
        <w:ind w:left="425" w:right="0" w:firstLine="0"/>
      </w:pPr>
      <w:r>
        <w:rPr/>
        <w:t>Эта</w:t>
      </w:r>
      <w:r>
        <w:rPr>
          <w:spacing w:val="-7"/>
        </w:rPr>
        <w:t> </w:t>
      </w:r>
      <w:r>
        <w:rPr/>
        <w:t>система</w:t>
      </w:r>
      <w:r>
        <w:rPr>
          <w:spacing w:val="-6"/>
        </w:rPr>
        <w:t> </w:t>
      </w:r>
      <w:r>
        <w:rPr/>
        <w:t>может</w:t>
      </w:r>
      <w:r>
        <w:rPr>
          <w:spacing w:val="-6"/>
        </w:rPr>
        <w:t> </w:t>
      </w:r>
      <w:r>
        <w:rPr/>
        <w:t>включать</w:t>
      </w:r>
      <w:r>
        <w:rPr>
          <w:spacing w:val="-6"/>
        </w:rPr>
        <w:t> </w:t>
      </w:r>
      <w:r>
        <w:rPr/>
        <w:t>следующие</w:t>
      </w:r>
      <w:r>
        <w:rPr>
          <w:spacing w:val="-6"/>
        </w:rPr>
        <w:t> </w:t>
      </w:r>
      <w:r>
        <w:rPr>
          <w:spacing w:val="-2"/>
        </w:rPr>
        <w:t>направления:</w:t>
      </w:r>
    </w:p>
    <w:p>
      <w:pPr>
        <w:pStyle w:val="ListParagraph"/>
        <w:numPr>
          <w:ilvl w:val="0"/>
          <w:numId w:val="97"/>
        </w:numPr>
        <w:tabs>
          <w:tab w:pos="425" w:val="left" w:leader="none"/>
        </w:tabs>
        <w:spacing w:line="235" w:lineRule="auto" w:before="2" w:after="0"/>
        <w:ind w:left="425" w:right="139" w:hanging="284"/>
        <w:jc w:val="both"/>
        <w:rPr>
          <w:sz w:val="20"/>
        </w:rPr>
      </w:pPr>
      <w:r>
        <w:rPr>
          <w:sz w:val="20"/>
        </w:rPr>
        <w:t>Создание</w:t>
      </w:r>
      <w:r>
        <w:rPr>
          <w:spacing w:val="-12"/>
          <w:sz w:val="20"/>
        </w:rPr>
        <w:t> </w:t>
      </w:r>
      <w:r>
        <w:rPr>
          <w:sz w:val="20"/>
        </w:rPr>
        <w:t>группы</w:t>
      </w:r>
      <w:r>
        <w:rPr>
          <w:spacing w:val="-12"/>
          <w:sz w:val="20"/>
        </w:rPr>
        <w:t> </w:t>
      </w:r>
      <w:r>
        <w:rPr>
          <w:sz w:val="20"/>
        </w:rPr>
        <w:t>волонтеров,</w:t>
      </w:r>
      <w:r>
        <w:rPr>
          <w:spacing w:val="-12"/>
          <w:sz w:val="20"/>
        </w:rPr>
        <w:t> </w:t>
      </w:r>
      <w:r>
        <w:rPr>
          <w:sz w:val="20"/>
        </w:rPr>
        <w:t>готовых</w:t>
      </w:r>
      <w:r>
        <w:rPr>
          <w:spacing w:val="-12"/>
          <w:sz w:val="20"/>
        </w:rPr>
        <w:t> </w:t>
      </w:r>
      <w:r>
        <w:rPr>
          <w:sz w:val="20"/>
        </w:rPr>
        <w:t>помочь</w:t>
      </w:r>
      <w:r>
        <w:rPr>
          <w:spacing w:val="-12"/>
          <w:sz w:val="20"/>
        </w:rPr>
        <w:t> </w:t>
      </w:r>
      <w:r>
        <w:rPr>
          <w:sz w:val="20"/>
        </w:rPr>
        <w:t>с</w:t>
      </w:r>
      <w:r>
        <w:rPr>
          <w:spacing w:val="-12"/>
          <w:sz w:val="20"/>
        </w:rPr>
        <w:t> </w:t>
      </w:r>
      <w:r>
        <w:rPr>
          <w:sz w:val="20"/>
        </w:rPr>
        <w:t>переводом</w:t>
      </w:r>
      <w:r>
        <w:rPr>
          <w:spacing w:val="-12"/>
          <w:sz w:val="20"/>
        </w:rPr>
        <w:t> </w:t>
      </w:r>
      <w:r>
        <w:rPr>
          <w:sz w:val="20"/>
        </w:rPr>
        <w:t>в</w:t>
      </w:r>
      <w:r>
        <w:rPr>
          <w:spacing w:val="-12"/>
          <w:sz w:val="20"/>
        </w:rPr>
        <w:t> </w:t>
      </w:r>
      <w:r>
        <w:rPr>
          <w:sz w:val="20"/>
        </w:rPr>
        <w:t>общении.</w:t>
      </w:r>
      <w:r>
        <w:rPr>
          <w:spacing w:val="-12"/>
          <w:sz w:val="20"/>
        </w:rPr>
        <w:t> </w:t>
      </w:r>
      <w:r>
        <w:rPr>
          <w:sz w:val="20"/>
        </w:rPr>
        <w:t>В</w:t>
      </w:r>
      <w:r>
        <w:rPr>
          <w:spacing w:val="-12"/>
          <w:sz w:val="20"/>
        </w:rPr>
        <w:t> </w:t>
      </w:r>
      <w:r>
        <w:rPr>
          <w:sz w:val="20"/>
        </w:rPr>
        <w:t>качестве </w:t>
      </w:r>
      <w:r>
        <w:rPr>
          <w:spacing w:val="-2"/>
          <w:sz w:val="20"/>
        </w:rPr>
        <w:t>волонтеров могут выступать хорошо адаптированные родители, старшеклассники, представители</w:t>
      </w:r>
      <w:r>
        <w:rPr>
          <w:spacing w:val="-3"/>
          <w:sz w:val="20"/>
        </w:rPr>
        <w:t> </w:t>
      </w:r>
      <w:r>
        <w:rPr>
          <w:spacing w:val="-2"/>
          <w:sz w:val="20"/>
        </w:rPr>
        <w:t>местных</w:t>
      </w:r>
      <w:r>
        <w:rPr>
          <w:spacing w:val="-3"/>
          <w:sz w:val="20"/>
        </w:rPr>
        <w:t> </w:t>
      </w:r>
      <w:r>
        <w:rPr>
          <w:spacing w:val="-2"/>
          <w:sz w:val="20"/>
        </w:rPr>
        <w:t>НКО.</w:t>
      </w:r>
      <w:r>
        <w:rPr>
          <w:spacing w:val="-3"/>
          <w:sz w:val="20"/>
        </w:rPr>
        <w:t> </w:t>
      </w:r>
      <w:r>
        <w:rPr>
          <w:spacing w:val="-2"/>
          <w:sz w:val="20"/>
        </w:rPr>
        <w:t>Необходимо</w:t>
      </w:r>
      <w:r>
        <w:rPr>
          <w:spacing w:val="-3"/>
          <w:sz w:val="20"/>
        </w:rPr>
        <w:t> </w:t>
      </w:r>
      <w:r>
        <w:rPr>
          <w:spacing w:val="-2"/>
          <w:sz w:val="20"/>
        </w:rPr>
        <w:t>рассказать</w:t>
      </w:r>
      <w:r>
        <w:rPr>
          <w:spacing w:val="-3"/>
          <w:sz w:val="20"/>
        </w:rPr>
        <w:t> </w:t>
      </w:r>
      <w:r>
        <w:rPr>
          <w:spacing w:val="-2"/>
          <w:sz w:val="20"/>
        </w:rPr>
        <w:t>родителям</w:t>
      </w:r>
      <w:r>
        <w:rPr>
          <w:spacing w:val="-3"/>
          <w:sz w:val="20"/>
        </w:rPr>
        <w:t> </w:t>
      </w:r>
      <w:r>
        <w:rPr>
          <w:spacing w:val="-2"/>
          <w:sz w:val="20"/>
        </w:rPr>
        <w:t>о</w:t>
      </w:r>
      <w:r>
        <w:rPr>
          <w:spacing w:val="-3"/>
          <w:sz w:val="20"/>
        </w:rPr>
        <w:t> </w:t>
      </w:r>
      <w:r>
        <w:rPr>
          <w:spacing w:val="-2"/>
          <w:sz w:val="20"/>
        </w:rPr>
        <w:t>наличии</w:t>
      </w:r>
      <w:r>
        <w:rPr>
          <w:spacing w:val="-3"/>
          <w:sz w:val="20"/>
        </w:rPr>
        <w:t> </w:t>
      </w:r>
      <w:r>
        <w:rPr>
          <w:spacing w:val="-2"/>
          <w:sz w:val="20"/>
        </w:rPr>
        <w:t>в</w:t>
      </w:r>
      <w:r>
        <w:rPr>
          <w:spacing w:val="-3"/>
          <w:sz w:val="20"/>
        </w:rPr>
        <w:t> </w:t>
      </w:r>
      <w:r>
        <w:rPr>
          <w:spacing w:val="-2"/>
          <w:sz w:val="20"/>
        </w:rPr>
        <w:t>шко-</w:t>
      </w:r>
    </w:p>
    <w:p>
      <w:pPr>
        <w:pStyle w:val="ListParagraph"/>
        <w:spacing w:after="0" w:line="235" w:lineRule="auto"/>
        <w:jc w:val="both"/>
        <w:rPr>
          <w:sz w:val="20"/>
        </w:rPr>
        <w:sectPr>
          <w:pgSz w:w="8400" w:h="11910"/>
          <w:pgMar w:header="0" w:footer="535" w:top="72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3.</w:t>
      </w:r>
    </w:p>
    <w:p>
      <w:pPr>
        <w:pStyle w:val="BodyText"/>
        <w:spacing w:line="235" w:lineRule="auto" w:before="116"/>
        <w:ind w:left="425" w:firstLine="0"/>
      </w:pPr>
      <w:r>
        <w:rPr/>
        <w:t>ле такой опции, как помощь с переводом. Во время приветственных семинаров или индивидуальных встреч можно рассказать о такой группе волонтеров, а так- же</w:t>
      </w:r>
      <w:r>
        <w:rPr>
          <w:spacing w:val="-7"/>
        </w:rPr>
        <w:t> </w:t>
      </w:r>
      <w:r>
        <w:rPr/>
        <w:t>познакомить</w:t>
      </w:r>
      <w:r>
        <w:rPr>
          <w:spacing w:val="-7"/>
        </w:rPr>
        <w:t> </w:t>
      </w:r>
      <w:r>
        <w:rPr/>
        <w:t>родителей</w:t>
      </w:r>
      <w:r>
        <w:rPr>
          <w:spacing w:val="-7"/>
        </w:rPr>
        <w:t> </w:t>
      </w:r>
      <w:r>
        <w:rPr/>
        <w:t>с</w:t>
      </w:r>
      <w:r>
        <w:rPr>
          <w:spacing w:val="-7"/>
        </w:rPr>
        <w:t> </w:t>
      </w:r>
      <w:r>
        <w:rPr/>
        <w:t>ее</w:t>
      </w:r>
      <w:r>
        <w:rPr>
          <w:spacing w:val="-7"/>
        </w:rPr>
        <w:t> </w:t>
      </w:r>
      <w:r>
        <w:rPr/>
        <w:t>участниками.</w:t>
      </w:r>
      <w:r>
        <w:rPr>
          <w:spacing w:val="-7"/>
        </w:rPr>
        <w:t> </w:t>
      </w:r>
      <w:r>
        <w:rPr/>
        <w:t>При</w:t>
      </w:r>
      <w:r>
        <w:rPr>
          <w:spacing w:val="-7"/>
        </w:rPr>
        <w:t> </w:t>
      </w:r>
      <w:r>
        <w:rPr/>
        <w:t>планировании</w:t>
      </w:r>
      <w:r>
        <w:rPr>
          <w:spacing w:val="-7"/>
        </w:rPr>
        <w:t> </w:t>
      </w:r>
      <w:r>
        <w:rPr/>
        <w:t>индивидуальной встречи</w:t>
      </w:r>
      <w:r>
        <w:rPr>
          <w:spacing w:val="-2"/>
        </w:rPr>
        <w:t> </w:t>
      </w:r>
      <w:r>
        <w:rPr/>
        <w:t>с</w:t>
      </w:r>
      <w:r>
        <w:rPr>
          <w:spacing w:val="-2"/>
        </w:rPr>
        <w:t> </w:t>
      </w:r>
      <w:r>
        <w:rPr/>
        <w:t>родителями</w:t>
      </w:r>
      <w:r>
        <w:rPr>
          <w:spacing w:val="-2"/>
        </w:rPr>
        <w:t> </w:t>
      </w:r>
      <w:r>
        <w:rPr/>
        <w:t>имеет</w:t>
      </w:r>
      <w:r>
        <w:rPr>
          <w:spacing w:val="-2"/>
        </w:rPr>
        <w:t> </w:t>
      </w:r>
      <w:r>
        <w:rPr/>
        <w:t>смысл</w:t>
      </w:r>
      <w:r>
        <w:rPr>
          <w:spacing w:val="-2"/>
        </w:rPr>
        <w:t> </w:t>
      </w:r>
      <w:r>
        <w:rPr/>
        <w:t>сразу</w:t>
      </w:r>
      <w:r>
        <w:rPr>
          <w:spacing w:val="-2"/>
        </w:rPr>
        <w:t> </w:t>
      </w:r>
      <w:r>
        <w:rPr/>
        <w:t>уточнить,</w:t>
      </w:r>
      <w:r>
        <w:rPr>
          <w:spacing w:val="-2"/>
        </w:rPr>
        <w:t> </w:t>
      </w:r>
      <w:r>
        <w:rPr/>
        <w:t>приглашать</w:t>
      </w:r>
      <w:r>
        <w:rPr>
          <w:spacing w:val="-2"/>
        </w:rPr>
        <w:t> </w:t>
      </w:r>
      <w:r>
        <w:rPr/>
        <w:t>ли</w:t>
      </w:r>
      <w:r>
        <w:rPr>
          <w:spacing w:val="-2"/>
        </w:rPr>
        <w:t> </w:t>
      </w:r>
      <w:r>
        <w:rPr/>
        <w:t>переводчика.</w:t>
      </w:r>
    </w:p>
    <w:p>
      <w:pPr>
        <w:pStyle w:val="ListParagraph"/>
        <w:numPr>
          <w:ilvl w:val="0"/>
          <w:numId w:val="97"/>
        </w:numPr>
        <w:tabs>
          <w:tab w:pos="425" w:val="left" w:leader="none"/>
        </w:tabs>
        <w:spacing w:line="235" w:lineRule="auto" w:before="2" w:after="0"/>
        <w:ind w:left="425" w:right="139" w:hanging="284"/>
        <w:jc w:val="both"/>
        <w:rPr>
          <w:sz w:val="20"/>
        </w:rPr>
      </w:pPr>
      <w:r>
        <w:rPr>
          <w:sz w:val="20"/>
        </w:rPr>
        <w:t>Установление контактов с местными некоммерческими организациями и фонда- ми, которые занимаются поддержкой мигрантов. Сотрудники этих организаций могут оказывать консультативную помощь, социальную поддержку и др.</w:t>
      </w:r>
    </w:p>
    <w:p>
      <w:pPr>
        <w:pStyle w:val="ListParagraph"/>
        <w:numPr>
          <w:ilvl w:val="0"/>
          <w:numId w:val="97"/>
        </w:numPr>
        <w:tabs>
          <w:tab w:pos="425" w:val="left" w:leader="none"/>
        </w:tabs>
        <w:spacing w:line="235" w:lineRule="auto" w:before="2" w:after="0"/>
        <w:ind w:left="425" w:right="139" w:hanging="284"/>
        <w:jc w:val="both"/>
        <w:rPr>
          <w:sz w:val="20"/>
        </w:rPr>
      </w:pPr>
      <w:r>
        <w:rPr>
          <w:sz w:val="20"/>
        </w:rPr>
        <w:t>Создание банка материалов (памяток, информационных буклетов) с параллель- ным переводом на родной язык мигрантов.</w:t>
      </w:r>
    </w:p>
    <w:p>
      <w:pPr>
        <w:pStyle w:val="BodyText"/>
        <w:spacing w:line="237" w:lineRule="auto"/>
      </w:pPr>
      <w:r>
        <w:rPr/>
        <w:t>Важно понимать, что все эти меры имеют временный характер и важно поддер- живать родителей в изучении русского языка. Так, даже при наличии переводчика стоит стремиться говорить с родителями на русском, даже если это требует усилий от обеих сторон.</w:t>
      </w:r>
    </w:p>
    <w:p>
      <w:pPr>
        <w:pStyle w:val="BodyText"/>
      </w:pPr>
      <w:r>
        <w:rPr/>
        <w:t>В ряде школ распространена практика приглашения родителей на занятия рус- ским языком как иностранным. Если подобные занятия проводятся на базе школы, родители могут их посещать вместе с детьми (с учетом времени и загруженности на </w:t>
      </w:r>
      <w:r>
        <w:rPr>
          <w:spacing w:val="-2"/>
        </w:rPr>
        <w:t>работе).</w:t>
      </w:r>
      <w:r>
        <w:rPr>
          <w:spacing w:val="-3"/>
        </w:rPr>
        <w:t> </w:t>
      </w:r>
      <w:r>
        <w:rPr>
          <w:spacing w:val="-2"/>
        </w:rPr>
        <w:t>Либо можно посоветовать такие</w:t>
      </w:r>
      <w:r>
        <w:rPr>
          <w:spacing w:val="-3"/>
        </w:rPr>
        <w:t> </w:t>
      </w:r>
      <w:r>
        <w:rPr>
          <w:spacing w:val="-2"/>
        </w:rPr>
        <w:t>занятия, которые</w:t>
      </w:r>
      <w:r>
        <w:rPr>
          <w:spacing w:val="-3"/>
        </w:rPr>
        <w:t> </w:t>
      </w:r>
      <w:r>
        <w:rPr>
          <w:spacing w:val="-2"/>
        </w:rPr>
        <w:t>проводятся</w:t>
      </w:r>
      <w:r>
        <w:rPr>
          <w:spacing w:val="-3"/>
        </w:rPr>
        <w:t> </w:t>
      </w:r>
      <w:r>
        <w:rPr>
          <w:spacing w:val="-2"/>
        </w:rPr>
        <w:t>в другой</w:t>
      </w:r>
      <w:r>
        <w:rPr>
          <w:spacing w:val="-3"/>
        </w:rPr>
        <w:t> </w:t>
      </w:r>
      <w:r>
        <w:rPr>
          <w:spacing w:val="-2"/>
        </w:rPr>
        <w:t>струк- </w:t>
      </w:r>
      <w:r>
        <w:rPr/>
        <w:t>туре (например, в муниципальном ресурсном центре).</w:t>
      </w:r>
    </w:p>
    <w:p>
      <w:pPr>
        <w:numPr>
          <w:ilvl w:val="2"/>
          <w:numId w:val="80"/>
        </w:numPr>
        <w:tabs>
          <w:tab w:pos="2021" w:val="left" w:leader="none"/>
        </w:tabs>
        <w:spacing w:line="229" w:lineRule="exact" w:before="217"/>
        <w:ind w:left="2021" w:right="0" w:hanging="500"/>
        <w:jc w:val="both"/>
        <w:rPr>
          <w:b/>
          <w:sz w:val="20"/>
        </w:rPr>
      </w:pPr>
      <w:r>
        <w:rPr>
          <w:b/>
          <w:color w:val="231F20"/>
          <w:spacing w:val="-2"/>
          <w:sz w:val="20"/>
        </w:rPr>
        <w:t>Вовлечение</w:t>
      </w:r>
      <w:r>
        <w:rPr>
          <w:b/>
          <w:color w:val="231F20"/>
          <w:spacing w:val="11"/>
          <w:sz w:val="20"/>
        </w:rPr>
        <w:t> </w:t>
      </w:r>
      <w:r>
        <w:rPr>
          <w:b/>
          <w:color w:val="231F20"/>
          <w:spacing w:val="-2"/>
          <w:sz w:val="20"/>
        </w:rPr>
        <w:t>родителей</w:t>
      </w:r>
      <w:r>
        <w:rPr>
          <w:b/>
          <w:color w:val="231F20"/>
          <w:spacing w:val="10"/>
          <w:sz w:val="20"/>
        </w:rPr>
        <w:t> </w:t>
      </w:r>
      <w:r>
        <w:rPr>
          <w:b/>
          <w:color w:val="231F20"/>
          <w:spacing w:val="-2"/>
          <w:sz w:val="20"/>
        </w:rPr>
        <w:t>учащихся-мигрантов</w:t>
      </w:r>
    </w:p>
    <w:p>
      <w:pPr>
        <w:spacing w:line="229" w:lineRule="exact" w:before="0"/>
        <w:ind w:left="1161" w:right="0" w:firstLine="0"/>
        <w:jc w:val="both"/>
        <w:rPr>
          <w:b/>
          <w:sz w:val="20"/>
        </w:rPr>
      </w:pPr>
      <w:r>
        <w:rPr>
          <w:b/>
          <w:color w:val="231F20"/>
          <w:sz w:val="20"/>
        </w:rPr>
        <w:t>в</w:t>
      </w:r>
      <w:r>
        <w:rPr>
          <w:b/>
          <w:color w:val="231F20"/>
          <w:spacing w:val="-9"/>
          <w:sz w:val="20"/>
        </w:rPr>
        <w:t> </w:t>
      </w:r>
      <w:r>
        <w:rPr>
          <w:b/>
          <w:color w:val="231F20"/>
          <w:sz w:val="20"/>
        </w:rPr>
        <w:t>деятельность</w:t>
      </w:r>
      <w:r>
        <w:rPr>
          <w:b/>
          <w:color w:val="231F20"/>
          <w:spacing w:val="-6"/>
          <w:sz w:val="20"/>
        </w:rPr>
        <w:t> </w:t>
      </w:r>
      <w:r>
        <w:rPr>
          <w:b/>
          <w:color w:val="231F20"/>
          <w:sz w:val="20"/>
        </w:rPr>
        <w:t>родительского</w:t>
      </w:r>
      <w:r>
        <w:rPr>
          <w:b/>
          <w:color w:val="231F20"/>
          <w:spacing w:val="-7"/>
          <w:sz w:val="20"/>
        </w:rPr>
        <w:t> </w:t>
      </w:r>
      <w:r>
        <w:rPr>
          <w:b/>
          <w:color w:val="231F20"/>
          <w:sz w:val="20"/>
        </w:rPr>
        <w:t>комитета</w:t>
      </w:r>
      <w:r>
        <w:rPr>
          <w:b/>
          <w:color w:val="231F20"/>
          <w:spacing w:val="-6"/>
          <w:sz w:val="20"/>
        </w:rPr>
        <w:t> </w:t>
      </w:r>
      <w:r>
        <w:rPr>
          <w:b/>
          <w:color w:val="231F20"/>
          <w:sz w:val="20"/>
        </w:rPr>
        <w:t>и</w:t>
      </w:r>
      <w:r>
        <w:rPr>
          <w:b/>
          <w:color w:val="231F20"/>
          <w:spacing w:val="-7"/>
          <w:sz w:val="20"/>
        </w:rPr>
        <w:t> </w:t>
      </w:r>
      <w:r>
        <w:rPr>
          <w:b/>
          <w:color w:val="231F20"/>
          <w:sz w:val="20"/>
        </w:rPr>
        <w:t>помощь</w:t>
      </w:r>
      <w:r>
        <w:rPr>
          <w:b/>
          <w:color w:val="231F20"/>
          <w:spacing w:val="-6"/>
          <w:sz w:val="20"/>
        </w:rPr>
        <w:t> </w:t>
      </w:r>
      <w:r>
        <w:rPr>
          <w:b/>
          <w:color w:val="231F20"/>
          <w:spacing w:val="-2"/>
          <w:sz w:val="20"/>
        </w:rPr>
        <w:t>классу</w:t>
      </w:r>
    </w:p>
    <w:p>
      <w:pPr>
        <w:pStyle w:val="BodyText"/>
        <w:spacing w:before="111"/>
      </w:pPr>
      <w:r>
        <w:rPr/>
        <w:t>Родители – иностранные граждане могут, как и любые другие родители, сопро- вождать</w:t>
      </w:r>
      <w:r>
        <w:rPr>
          <w:spacing w:val="-5"/>
        </w:rPr>
        <w:t> </w:t>
      </w:r>
      <w:r>
        <w:rPr/>
        <w:t>класс</w:t>
      </w:r>
      <w:r>
        <w:rPr>
          <w:spacing w:val="-5"/>
        </w:rPr>
        <w:t> </w:t>
      </w:r>
      <w:r>
        <w:rPr/>
        <w:t>во</w:t>
      </w:r>
      <w:r>
        <w:rPr>
          <w:spacing w:val="-5"/>
        </w:rPr>
        <w:t> </w:t>
      </w:r>
      <w:r>
        <w:rPr/>
        <w:t>время</w:t>
      </w:r>
      <w:r>
        <w:rPr>
          <w:spacing w:val="-5"/>
        </w:rPr>
        <w:t> </w:t>
      </w:r>
      <w:r>
        <w:rPr/>
        <w:t>поездок,</w:t>
      </w:r>
      <w:r>
        <w:rPr>
          <w:spacing w:val="-5"/>
        </w:rPr>
        <w:t> </w:t>
      </w:r>
      <w:r>
        <w:rPr/>
        <w:t>помогать</w:t>
      </w:r>
      <w:r>
        <w:rPr>
          <w:spacing w:val="-5"/>
        </w:rPr>
        <w:t> </w:t>
      </w:r>
      <w:r>
        <w:rPr/>
        <w:t>с</w:t>
      </w:r>
      <w:r>
        <w:rPr>
          <w:spacing w:val="-5"/>
        </w:rPr>
        <w:t> </w:t>
      </w:r>
      <w:r>
        <w:rPr/>
        <w:t>организационными</w:t>
      </w:r>
      <w:r>
        <w:rPr>
          <w:spacing w:val="-5"/>
        </w:rPr>
        <w:t> </w:t>
      </w:r>
      <w:r>
        <w:rPr/>
        <w:t>вопросами,</w:t>
      </w:r>
      <w:r>
        <w:rPr>
          <w:spacing w:val="-5"/>
        </w:rPr>
        <w:t> </w:t>
      </w:r>
      <w:r>
        <w:rPr/>
        <w:t>готовить мероприятия для детей. Большинство таких задач не требует высокого уровня вла- дения языком. Это позволяет родителям ощущать включенность в жизнь школы и открытость образовательного учреждения к взаимодействию с ними.</w:t>
      </w:r>
    </w:p>
    <w:p>
      <w:pPr>
        <w:pStyle w:val="BodyText"/>
        <w:spacing w:line="237" w:lineRule="auto"/>
      </w:pPr>
      <w:r>
        <w:rPr/>
        <w:t>Классному руководителю целесообразно выступить с инициативой привлечения родителей,</w:t>
      </w:r>
      <w:r>
        <w:rPr>
          <w:spacing w:val="-13"/>
        </w:rPr>
        <w:t> </w:t>
      </w:r>
      <w:r>
        <w:rPr/>
        <w:t>а</w:t>
      </w:r>
      <w:r>
        <w:rPr>
          <w:spacing w:val="-12"/>
        </w:rPr>
        <w:t> </w:t>
      </w:r>
      <w:r>
        <w:rPr/>
        <w:t>также</w:t>
      </w:r>
      <w:r>
        <w:rPr>
          <w:spacing w:val="-13"/>
        </w:rPr>
        <w:t> </w:t>
      </w:r>
      <w:r>
        <w:rPr/>
        <w:t>попросить</w:t>
      </w:r>
      <w:r>
        <w:rPr>
          <w:spacing w:val="-12"/>
        </w:rPr>
        <w:t> </w:t>
      </w:r>
      <w:r>
        <w:rPr/>
        <w:t>об</w:t>
      </w:r>
      <w:r>
        <w:rPr>
          <w:spacing w:val="-13"/>
        </w:rPr>
        <w:t> </w:t>
      </w:r>
      <w:r>
        <w:rPr/>
        <w:t>этом</w:t>
      </w:r>
      <w:r>
        <w:rPr>
          <w:spacing w:val="-12"/>
        </w:rPr>
        <w:t> </w:t>
      </w:r>
      <w:r>
        <w:rPr/>
        <w:t>активных</w:t>
      </w:r>
      <w:r>
        <w:rPr>
          <w:spacing w:val="-13"/>
        </w:rPr>
        <w:t> </w:t>
      </w:r>
      <w:r>
        <w:rPr/>
        <w:t>членов</w:t>
      </w:r>
      <w:r>
        <w:rPr>
          <w:spacing w:val="-12"/>
        </w:rPr>
        <w:t> </w:t>
      </w:r>
      <w:r>
        <w:rPr/>
        <w:t>родительского</w:t>
      </w:r>
      <w:r>
        <w:rPr>
          <w:spacing w:val="-13"/>
        </w:rPr>
        <w:t> </w:t>
      </w:r>
      <w:r>
        <w:rPr/>
        <w:t>комитета</w:t>
      </w:r>
      <w:r>
        <w:rPr>
          <w:spacing w:val="-12"/>
        </w:rPr>
        <w:t> </w:t>
      </w:r>
      <w:r>
        <w:rPr/>
        <w:t>клас- са.</w:t>
      </w:r>
      <w:r>
        <w:rPr>
          <w:spacing w:val="-9"/>
        </w:rPr>
        <w:t> </w:t>
      </w:r>
      <w:r>
        <w:rPr/>
        <w:t>В</w:t>
      </w:r>
      <w:r>
        <w:rPr>
          <w:spacing w:val="-9"/>
        </w:rPr>
        <w:t> </w:t>
      </w:r>
      <w:r>
        <w:rPr/>
        <w:t>личных</w:t>
      </w:r>
      <w:r>
        <w:rPr>
          <w:spacing w:val="-9"/>
        </w:rPr>
        <w:t> </w:t>
      </w:r>
      <w:r>
        <w:rPr/>
        <w:t>разговорах</w:t>
      </w:r>
      <w:r>
        <w:rPr>
          <w:spacing w:val="-9"/>
        </w:rPr>
        <w:t> </w:t>
      </w:r>
      <w:r>
        <w:rPr/>
        <w:t>с</w:t>
      </w:r>
      <w:r>
        <w:rPr>
          <w:spacing w:val="-9"/>
        </w:rPr>
        <w:t> </w:t>
      </w:r>
      <w:r>
        <w:rPr/>
        <w:t>родителями</w:t>
      </w:r>
      <w:r>
        <w:rPr>
          <w:spacing w:val="-9"/>
        </w:rPr>
        <w:t> </w:t>
      </w:r>
      <w:r>
        <w:rPr/>
        <w:t>важно</w:t>
      </w:r>
      <w:r>
        <w:rPr>
          <w:spacing w:val="-9"/>
        </w:rPr>
        <w:t> </w:t>
      </w:r>
      <w:r>
        <w:rPr/>
        <w:t>собирать</w:t>
      </w:r>
      <w:r>
        <w:rPr>
          <w:spacing w:val="-9"/>
        </w:rPr>
        <w:t> </w:t>
      </w:r>
      <w:r>
        <w:rPr/>
        <w:t>информацию</w:t>
      </w:r>
      <w:r>
        <w:rPr>
          <w:spacing w:val="-9"/>
        </w:rPr>
        <w:t> </w:t>
      </w:r>
      <w:r>
        <w:rPr/>
        <w:t>об</w:t>
      </w:r>
      <w:r>
        <w:rPr>
          <w:spacing w:val="-9"/>
        </w:rPr>
        <w:t> </w:t>
      </w:r>
      <w:r>
        <w:rPr/>
        <w:t>их</w:t>
      </w:r>
      <w:r>
        <w:rPr>
          <w:spacing w:val="-9"/>
        </w:rPr>
        <w:t> </w:t>
      </w:r>
      <w:r>
        <w:rPr/>
        <w:t>интересах, увлечениях, профессиях, чтобы при удобном случае воспользоваться их опытом.</w:t>
      </w:r>
    </w:p>
    <w:p>
      <w:pPr>
        <w:pStyle w:val="BodyText"/>
      </w:pPr>
      <w:r>
        <w:rPr/>
        <w:t>Необходимо, чтобы подобное приглашение не выглядело как нечто натужное и искусственное. Классный руководитель может сказать: «Мы стараемся, чтобы как можно больше наших родителей принимали участие в жизни класса. Вы бы могли поехать с нашим классом на экскурсию или в музей?»</w:t>
      </w:r>
    </w:p>
    <w:p>
      <w:pPr>
        <w:pStyle w:val="BodyText"/>
      </w:pPr>
      <w:r>
        <w:rPr/>
        <w:t>Если родители-мигранты еще ни разу не принимали участие в поездках или ме- роприятиях,</w:t>
      </w:r>
      <w:r>
        <w:rPr>
          <w:spacing w:val="-1"/>
        </w:rPr>
        <w:t> </w:t>
      </w:r>
      <w:r>
        <w:rPr/>
        <w:t>можно,</w:t>
      </w:r>
      <w:r>
        <w:rPr>
          <w:spacing w:val="-1"/>
        </w:rPr>
        <w:t> </w:t>
      </w:r>
      <w:r>
        <w:rPr/>
        <w:t>во-первых,</w:t>
      </w:r>
      <w:r>
        <w:rPr>
          <w:spacing w:val="-2"/>
        </w:rPr>
        <w:t> </w:t>
      </w:r>
      <w:r>
        <w:rPr/>
        <w:t>пригласить</w:t>
      </w:r>
      <w:r>
        <w:rPr>
          <w:spacing w:val="-1"/>
        </w:rPr>
        <w:t> </w:t>
      </w:r>
      <w:r>
        <w:rPr/>
        <w:t>еще</w:t>
      </w:r>
      <w:r>
        <w:rPr>
          <w:spacing w:val="-1"/>
        </w:rPr>
        <w:t> </w:t>
      </w:r>
      <w:r>
        <w:rPr/>
        <w:t>кого-то</w:t>
      </w:r>
      <w:r>
        <w:rPr>
          <w:spacing w:val="-2"/>
        </w:rPr>
        <w:t> </w:t>
      </w:r>
      <w:r>
        <w:rPr/>
        <w:t>из</w:t>
      </w:r>
      <w:r>
        <w:rPr>
          <w:spacing w:val="-1"/>
        </w:rPr>
        <w:t> </w:t>
      </w:r>
      <w:r>
        <w:rPr/>
        <w:t>родителей,</w:t>
      </w:r>
      <w:r>
        <w:rPr>
          <w:spacing w:val="-1"/>
        </w:rPr>
        <w:t> </w:t>
      </w:r>
      <w:r>
        <w:rPr/>
        <w:t>чтобы</w:t>
      </w:r>
      <w:r>
        <w:rPr>
          <w:spacing w:val="-2"/>
        </w:rPr>
        <w:t> </w:t>
      </w:r>
      <w:r>
        <w:rPr/>
        <w:t>у</w:t>
      </w:r>
      <w:r>
        <w:rPr>
          <w:spacing w:val="-1"/>
        </w:rPr>
        <w:t> </w:t>
      </w:r>
      <w:r>
        <w:rPr/>
        <w:t>роди- телей</w:t>
      </w:r>
      <w:r>
        <w:rPr>
          <w:spacing w:val="-1"/>
        </w:rPr>
        <w:t> </w:t>
      </w:r>
      <w:r>
        <w:rPr/>
        <w:t>–</w:t>
      </w:r>
      <w:r>
        <w:rPr>
          <w:spacing w:val="-1"/>
        </w:rPr>
        <w:t> </w:t>
      </w:r>
      <w:r>
        <w:rPr/>
        <w:t>иностранных</w:t>
      </w:r>
      <w:r>
        <w:rPr>
          <w:spacing w:val="-1"/>
        </w:rPr>
        <w:t> </w:t>
      </w:r>
      <w:r>
        <w:rPr/>
        <w:t>граждан</w:t>
      </w:r>
      <w:r>
        <w:rPr>
          <w:spacing w:val="-1"/>
        </w:rPr>
        <w:t> </w:t>
      </w:r>
      <w:r>
        <w:rPr/>
        <w:t>была</w:t>
      </w:r>
      <w:r>
        <w:rPr>
          <w:spacing w:val="-1"/>
        </w:rPr>
        <w:t> </w:t>
      </w:r>
      <w:r>
        <w:rPr/>
        <w:t>возможность</w:t>
      </w:r>
      <w:r>
        <w:rPr>
          <w:spacing w:val="-1"/>
        </w:rPr>
        <w:t> </w:t>
      </w:r>
      <w:r>
        <w:rPr/>
        <w:t>понаблюдать</w:t>
      </w:r>
      <w:r>
        <w:rPr>
          <w:spacing w:val="-1"/>
        </w:rPr>
        <w:t> </w:t>
      </w:r>
      <w:r>
        <w:rPr/>
        <w:t>и</w:t>
      </w:r>
      <w:r>
        <w:rPr>
          <w:spacing w:val="-1"/>
        </w:rPr>
        <w:t> </w:t>
      </w:r>
      <w:r>
        <w:rPr/>
        <w:t>понять,</w:t>
      </w:r>
      <w:r>
        <w:rPr>
          <w:spacing w:val="-1"/>
        </w:rPr>
        <w:t> </w:t>
      </w:r>
      <w:r>
        <w:rPr/>
        <w:t>как</w:t>
      </w:r>
      <w:r>
        <w:rPr>
          <w:spacing w:val="-1"/>
        </w:rPr>
        <w:t> </w:t>
      </w:r>
      <w:r>
        <w:rPr/>
        <w:t>обычно проходит такого рода активность; во-вторых, можно заранее обсудить с родителем, что будет происходить и что от них ожидается.</w:t>
      </w:r>
    </w:p>
    <w:p>
      <w:pPr>
        <w:numPr>
          <w:ilvl w:val="2"/>
          <w:numId w:val="80"/>
        </w:numPr>
        <w:tabs>
          <w:tab w:pos="1810" w:val="left" w:leader="none"/>
          <w:tab w:pos="1955" w:val="left" w:leader="none"/>
        </w:tabs>
        <w:spacing w:before="224"/>
        <w:ind w:left="1955" w:right="1308" w:hanging="645"/>
        <w:jc w:val="left"/>
        <w:rPr>
          <w:b/>
          <w:sz w:val="20"/>
        </w:rPr>
      </w:pPr>
      <w:r>
        <w:rPr>
          <w:b/>
          <w:color w:val="231F20"/>
          <w:spacing w:val="-2"/>
          <w:sz w:val="20"/>
        </w:rPr>
        <w:t>Привлечение родителей-мигрантов к подготовке </w:t>
      </w:r>
      <w:r>
        <w:rPr>
          <w:b/>
          <w:color w:val="231F20"/>
          <w:sz w:val="20"/>
        </w:rPr>
        <w:t>мероприятий этнокультурной тематики</w:t>
      </w:r>
    </w:p>
    <w:p>
      <w:pPr>
        <w:pStyle w:val="BodyText"/>
        <w:spacing w:before="113"/>
        <w:ind w:right="140"/>
      </w:pPr>
      <w:r>
        <w:rPr>
          <w:color w:val="231F20"/>
        </w:rPr>
        <w:t>Важной составляющей работы образовательной организации по обеспечению языковой</w:t>
      </w:r>
      <w:r>
        <w:rPr>
          <w:color w:val="231F20"/>
          <w:spacing w:val="-2"/>
        </w:rPr>
        <w:t> </w:t>
      </w:r>
      <w:r>
        <w:rPr>
          <w:color w:val="231F20"/>
        </w:rPr>
        <w:t>и</w:t>
      </w:r>
      <w:r>
        <w:rPr>
          <w:color w:val="231F20"/>
          <w:spacing w:val="-2"/>
        </w:rPr>
        <w:t> </w:t>
      </w:r>
      <w:r>
        <w:rPr>
          <w:color w:val="231F20"/>
        </w:rPr>
        <w:t>социокультурной</w:t>
      </w:r>
      <w:r>
        <w:rPr>
          <w:color w:val="231F20"/>
          <w:spacing w:val="-2"/>
        </w:rPr>
        <w:t> </w:t>
      </w:r>
      <w:r>
        <w:rPr>
          <w:color w:val="231F20"/>
        </w:rPr>
        <w:t>адаптации</w:t>
      </w:r>
      <w:r>
        <w:rPr>
          <w:color w:val="231F20"/>
          <w:spacing w:val="-2"/>
        </w:rPr>
        <w:t> </w:t>
      </w:r>
      <w:r>
        <w:rPr>
          <w:color w:val="231F20"/>
        </w:rPr>
        <w:t>несовершеннолетних</w:t>
      </w:r>
      <w:r>
        <w:rPr>
          <w:color w:val="231F20"/>
          <w:spacing w:val="-2"/>
        </w:rPr>
        <w:t> </w:t>
      </w:r>
      <w:r>
        <w:rPr>
          <w:color w:val="231F20"/>
        </w:rPr>
        <w:t>иностранных</w:t>
      </w:r>
      <w:r>
        <w:rPr>
          <w:color w:val="231F20"/>
          <w:spacing w:val="-2"/>
        </w:rPr>
        <w:t> </w:t>
      </w:r>
      <w:r>
        <w:rPr>
          <w:color w:val="231F20"/>
        </w:rPr>
        <w:t>граждан</w:t>
      </w:r>
    </w:p>
    <w:p>
      <w:pPr>
        <w:pStyle w:val="BodyText"/>
        <w:spacing w:after="0"/>
        <w:sectPr>
          <w:pgSz w:w="8400" w:h="11910"/>
          <w:pgMar w:header="0" w:footer="535" w:top="400" w:bottom="740" w:left="425" w:right="425"/>
        </w:sectPr>
      </w:pPr>
    </w:p>
    <w:p>
      <w:pPr>
        <w:spacing w:before="80"/>
        <w:ind w:left="141" w:right="0" w:firstLine="0"/>
        <w:jc w:val="left"/>
        <w:rPr>
          <w:rFonts w:ascii="Georgia" w:hAnsi="Georgia"/>
          <w:sz w:val="18"/>
        </w:rPr>
      </w:pPr>
      <w:r>
        <w:rPr>
          <w:rFonts w:ascii="Georgia" w:hAnsi="Georgia"/>
          <w:color w:val="231F20"/>
          <w:sz w:val="18"/>
        </w:rPr>
        <w:t>3.3.</w:t>
      </w:r>
      <w:r>
        <w:rPr>
          <w:rFonts w:ascii="Georgia" w:hAnsi="Georgia"/>
          <w:color w:val="231F20"/>
          <w:spacing w:val="-1"/>
          <w:sz w:val="18"/>
        </w:rPr>
        <w:t> </w:t>
      </w:r>
      <w:r>
        <w:rPr>
          <w:rFonts w:ascii="Georgia" w:hAnsi="Georgia"/>
          <w:color w:val="231F20"/>
          <w:sz w:val="18"/>
        </w:rPr>
        <w:t>Стратегии работы с родительским </w:t>
      </w:r>
      <w:r>
        <w:rPr>
          <w:rFonts w:ascii="Georgia" w:hAnsi="Georgia"/>
          <w:color w:val="231F20"/>
          <w:spacing w:val="-2"/>
          <w:sz w:val="18"/>
        </w:rPr>
        <w:t>сообществом</w:t>
      </w:r>
    </w:p>
    <w:p>
      <w:pPr>
        <w:pStyle w:val="BodyText"/>
        <w:spacing w:line="230" w:lineRule="auto" w:before="119"/>
        <w:ind w:firstLine="0"/>
      </w:pPr>
      <w:r>
        <w:rPr>
          <w:color w:val="231F20"/>
        </w:rPr>
        <w:t>является проведение различных мероприятий этнокультурной тематики. Привлече- ние родителей-мигрантов к подготовке таких мероприятий демонстрирует интерес школы к их родной культуре и предоставляет родителям возможность выступить в </w:t>
      </w:r>
      <w:r>
        <w:rPr>
          <w:color w:val="231F20"/>
          <w:spacing w:val="-2"/>
        </w:rPr>
        <w:t>экспертной позиции. Родители могут принимать участие в подготовке проектов по эт- </w:t>
      </w:r>
      <w:r>
        <w:rPr>
          <w:color w:val="231F20"/>
        </w:rPr>
        <w:t>нокультурным</w:t>
      </w:r>
      <w:r>
        <w:rPr>
          <w:color w:val="231F20"/>
          <w:spacing w:val="-13"/>
        </w:rPr>
        <w:t> </w:t>
      </w:r>
      <w:r>
        <w:rPr>
          <w:color w:val="231F20"/>
        </w:rPr>
        <w:t>темам,</w:t>
      </w:r>
      <w:r>
        <w:rPr>
          <w:color w:val="231F20"/>
          <w:spacing w:val="-12"/>
        </w:rPr>
        <w:t> </w:t>
      </w:r>
      <w:r>
        <w:rPr>
          <w:color w:val="231F20"/>
        </w:rPr>
        <w:t>а</w:t>
      </w:r>
      <w:r>
        <w:rPr>
          <w:color w:val="231F20"/>
          <w:spacing w:val="-13"/>
        </w:rPr>
        <w:t> </w:t>
      </w:r>
      <w:r>
        <w:rPr>
          <w:color w:val="231F20"/>
        </w:rPr>
        <w:t>также</w:t>
      </w:r>
      <w:r>
        <w:rPr>
          <w:color w:val="231F20"/>
          <w:spacing w:val="-12"/>
        </w:rPr>
        <w:t> </w:t>
      </w:r>
      <w:r>
        <w:rPr>
          <w:color w:val="231F20"/>
        </w:rPr>
        <w:t>в</w:t>
      </w:r>
      <w:r>
        <w:rPr>
          <w:color w:val="231F20"/>
          <w:spacing w:val="-13"/>
        </w:rPr>
        <w:t> </w:t>
      </w:r>
      <w:r>
        <w:rPr>
          <w:color w:val="231F20"/>
        </w:rPr>
        <w:t>различных</w:t>
      </w:r>
      <w:r>
        <w:rPr>
          <w:color w:val="231F20"/>
          <w:spacing w:val="-12"/>
        </w:rPr>
        <w:t> </w:t>
      </w:r>
      <w:r>
        <w:rPr>
          <w:color w:val="231F20"/>
        </w:rPr>
        <w:t>формах</w:t>
      </w:r>
      <w:r>
        <w:rPr>
          <w:color w:val="231F20"/>
          <w:spacing w:val="-13"/>
        </w:rPr>
        <w:t> </w:t>
      </w:r>
      <w:r>
        <w:rPr>
          <w:color w:val="231F20"/>
        </w:rPr>
        <w:t>интеграционного</w:t>
      </w:r>
      <w:r>
        <w:rPr>
          <w:color w:val="231F20"/>
          <w:spacing w:val="-12"/>
        </w:rPr>
        <w:t> </w:t>
      </w:r>
      <w:r>
        <w:rPr>
          <w:color w:val="231F20"/>
        </w:rPr>
        <w:t>межкультурного краеведения (см. Методические рекомендации, раздел 4.3.7)</w:t>
      </w:r>
    </w:p>
    <w:p>
      <w:pPr>
        <w:pStyle w:val="BodyText"/>
        <w:spacing w:line="225" w:lineRule="auto"/>
      </w:pPr>
      <w:r>
        <w:rPr>
          <w:color w:val="231F20"/>
        </w:rPr>
        <w:t>Большим потенциалом в плане привлечения родителей-иностранных граждан к деятельности</w:t>
      </w:r>
      <w:r>
        <w:rPr>
          <w:color w:val="231F20"/>
          <w:spacing w:val="-3"/>
        </w:rPr>
        <w:t> </w:t>
      </w:r>
      <w:r>
        <w:rPr>
          <w:color w:val="231F20"/>
        </w:rPr>
        <w:t>школы</w:t>
      </w:r>
      <w:r>
        <w:rPr>
          <w:color w:val="231F20"/>
          <w:spacing w:val="-3"/>
        </w:rPr>
        <w:t> </w:t>
      </w:r>
      <w:r>
        <w:rPr>
          <w:color w:val="231F20"/>
        </w:rPr>
        <w:t>обладают</w:t>
      </w:r>
      <w:r>
        <w:rPr>
          <w:color w:val="231F20"/>
          <w:spacing w:val="-3"/>
        </w:rPr>
        <w:t> </w:t>
      </w:r>
      <w:r>
        <w:rPr>
          <w:color w:val="231F20"/>
        </w:rPr>
        <w:t>фестивали</w:t>
      </w:r>
      <w:r>
        <w:rPr>
          <w:color w:val="231F20"/>
          <w:spacing w:val="-3"/>
        </w:rPr>
        <w:t> </w:t>
      </w:r>
      <w:r>
        <w:rPr>
          <w:color w:val="231F20"/>
        </w:rPr>
        <w:t>национальной</w:t>
      </w:r>
      <w:r>
        <w:rPr>
          <w:color w:val="231F20"/>
          <w:spacing w:val="-3"/>
        </w:rPr>
        <w:t> </w:t>
      </w:r>
      <w:r>
        <w:rPr>
          <w:color w:val="231F20"/>
        </w:rPr>
        <w:t>культуры</w:t>
      </w:r>
      <w:r>
        <w:rPr>
          <w:color w:val="231F20"/>
          <w:spacing w:val="-3"/>
        </w:rPr>
        <w:t> </w:t>
      </w:r>
      <w:r>
        <w:rPr>
          <w:color w:val="231F20"/>
        </w:rPr>
        <w:t>можно</w:t>
      </w:r>
      <w:r>
        <w:rPr>
          <w:color w:val="231F20"/>
          <w:spacing w:val="-3"/>
        </w:rPr>
        <w:t> </w:t>
      </w:r>
      <w:r>
        <w:rPr>
          <w:color w:val="231F20"/>
        </w:rPr>
        <w:t>прочитать в пункте 4.3.2. Методических рекомендаций.</w:t>
      </w:r>
    </w:p>
    <w:p>
      <w:pPr>
        <w:pStyle w:val="BodyText"/>
        <w:spacing w:line="225" w:lineRule="auto"/>
        <w:ind w:right="140"/>
      </w:pPr>
      <w:r>
        <w:rPr>
          <w:color w:val="231F20"/>
        </w:rPr>
        <w:t>Для привлечения родителей к проведению фестиваля национальной культуры предусматривается несколько шагов.</w:t>
      </w:r>
    </w:p>
    <w:p>
      <w:pPr>
        <w:pStyle w:val="BodyText"/>
        <w:spacing w:line="225" w:lineRule="auto"/>
      </w:pPr>
      <w:r>
        <w:rPr>
          <w:color w:val="231F20"/>
        </w:rPr>
        <w:t>Известите родителей, что в школе планируется такое мероприятие, и предложи- те им поучаствовать. Родители-мигранты могут испытывать различные чувства по этому поводу: сомнение, стеснение, тревогу. Важно максимально подробно расска- </w:t>
      </w:r>
      <w:r>
        <w:rPr>
          <w:color w:val="231F20"/>
          <w:spacing w:val="-2"/>
        </w:rPr>
        <w:t>зать</w:t>
      </w:r>
      <w:r>
        <w:rPr>
          <w:color w:val="231F20"/>
          <w:spacing w:val="-3"/>
        </w:rPr>
        <w:t> </w:t>
      </w:r>
      <w:r>
        <w:rPr>
          <w:color w:val="231F20"/>
          <w:spacing w:val="-2"/>
        </w:rPr>
        <w:t>им,</w:t>
      </w:r>
      <w:r>
        <w:rPr>
          <w:color w:val="231F20"/>
          <w:spacing w:val="-3"/>
        </w:rPr>
        <w:t> </w:t>
      </w:r>
      <w:r>
        <w:rPr>
          <w:color w:val="231F20"/>
          <w:spacing w:val="-2"/>
        </w:rPr>
        <w:t>что</w:t>
      </w:r>
      <w:r>
        <w:rPr>
          <w:color w:val="231F20"/>
          <w:spacing w:val="-3"/>
        </w:rPr>
        <w:t> </w:t>
      </w:r>
      <w:r>
        <w:rPr>
          <w:color w:val="231F20"/>
          <w:spacing w:val="-2"/>
        </w:rPr>
        <w:t>будет</w:t>
      </w:r>
      <w:r>
        <w:rPr>
          <w:color w:val="231F20"/>
          <w:spacing w:val="-3"/>
        </w:rPr>
        <w:t> </w:t>
      </w:r>
      <w:r>
        <w:rPr>
          <w:color w:val="231F20"/>
          <w:spacing w:val="-2"/>
        </w:rPr>
        <w:t>происходить,</w:t>
      </w:r>
      <w:r>
        <w:rPr>
          <w:color w:val="231F20"/>
          <w:spacing w:val="-3"/>
        </w:rPr>
        <w:t> </w:t>
      </w:r>
      <w:r>
        <w:rPr>
          <w:color w:val="231F20"/>
          <w:spacing w:val="-2"/>
        </w:rPr>
        <w:t>возможно</w:t>
      </w:r>
      <w:r>
        <w:rPr>
          <w:color w:val="231F20"/>
          <w:spacing w:val="-3"/>
        </w:rPr>
        <w:t> </w:t>
      </w:r>
      <w:r>
        <w:rPr>
          <w:color w:val="231F20"/>
          <w:spacing w:val="-2"/>
        </w:rPr>
        <w:t>показать</w:t>
      </w:r>
      <w:r>
        <w:rPr>
          <w:color w:val="231F20"/>
          <w:spacing w:val="-3"/>
        </w:rPr>
        <w:t> </w:t>
      </w:r>
      <w:r>
        <w:rPr>
          <w:color w:val="231F20"/>
          <w:spacing w:val="-2"/>
        </w:rPr>
        <w:t>фотографии</w:t>
      </w:r>
      <w:r>
        <w:rPr>
          <w:color w:val="231F20"/>
          <w:spacing w:val="-3"/>
        </w:rPr>
        <w:t> </w:t>
      </w:r>
      <w:r>
        <w:rPr>
          <w:color w:val="231F20"/>
          <w:spacing w:val="-2"/>
        </w:rPr>
        <w:t>с</w:t>
      </w:r>
      <w:r>
        <w:rPr>
          <w:color w:val="231F20"/>
          <w:spacing w:val="-3"/>
        </w:rPr>
        <w:t> </w:t>
      </w:r>
      <w:r>
        <w:rPr>
          <w:color w:val="231F20"/>
          <w:spacing w:val="-2"/>
        </w:rPr>
        <w:t>прошлых</w:t>
      </w:r>
      <w:r>
        <w:rPr>
          <w:color w:val="231F20"/>
          <w:spacing w:val="-3"/>
        </w:rPr>
        <w:t> </w:t>
      </w:r>
      <w:r>
        <w:rPr>
          <w:color w:val="231F20"/>
          <w:spacing w:val="-2"/>
        </w:rPr>
        <w:t>подобных </w:t>
      </w:r>
      <w:r>
        <w:rPr>
          <w:color w:val="231F20"/>
        </w:rPr>
        <w:t>мероприятий. Можно также предложить родителям различные варианты участия: выступить самим, помочь подготовить выступление детей, подготовить националь- ное</w:t>
      </w:r>
      <w:r>
        <w:rPr>
          <w:color w:val="231F20"/>
          <w:spacing w:val="-2"/>
        </w:rPr>
        <w:t> </w:t>
      </w:r>
      <w:r>
        <w:rPr>
          <w:color w:val="231F20"/>
        </w:rPr>
        <w:t>блюдо,</w:t>
      </w:r>
      <w:r>
        <w:rPr>
          <w:color w:val="231F20"/>
          <w:spacing w:val="-2"/>
        </w:rPr>
        <w:t> </w:t>
      </w:r>
      <w:r>
        <w:rPr>
          <w:color w:val="231F20"/>
        </w:rPr>
        <w:t>оформить</w:t>
      </w:r>
      <w:r>
        <w:rPr>
          <w:color w:val="231F20"/>
          <w:spacing w:val="-2"/>
        </w:rPr>
        <w:t> </w:t>
      </w:r>
      <w:r>
        <w:rPr>
          <w:color w:val="231F20"/>
        </w:rPr>
        <w:t>помещение</w:t>
      </w:r>
      <w:r>
        <w:rPr>
          <w:color w:val="231F20"/>
          <w:spacing w:val="-2"/>
        </w:rPr>
        <w:t> </w:t>
      </w:r>
      <w:r>
        <w:rPr>
          <w:color w:val="231F20"/>
        </w:rPr>
        <w:t>и</w:t>
      </w:r>
      <w:r>
        <w:rPr>
          <w:color w:val="231F20"/>
          <w:spacing w:val="-2"/>
        </w:rPr>
        <w:t> </w:t>
      </w:r>
      <w:r>
        <w:rPr>
          <w:color w:val="231F20"/>
        </w:rPr>
        <w:t>пр.</w:t>
      </w:r>
      <w:r>
        <w:rPr>
          <w:color w:val="231F20"/>
          <w:spacing w:val="-2"/>
        </w:rPr>
        <w:t> </w:t>
      </w:r>
      <w:r>
        <w:rPr>
          <w:color w:val="231F20"/>
        </w:rPr>
        <w:t>Можно</w:t>
      </w:r>
      <w:r>
        <w:rPr>
          <w:color w:val="231F20"/>
          <w:spacing w:val="-2"/>
        </w:rPr>
        <w:t> </w:t>
      </w:r>
      <w:r>
        <w:rPr>
          <w:color w:val="231F20"/>
        </w:rPr>
        <w:t>предложить</w:t>
      </w:r>
      <w:r>
        <w:rPr>
          <w:color w:val="231F20"/>
          <w:spacing w:val="-2"/>
        </w:rPr>
        <w:t> </w:t>
      </w:r>
      <w:r>
        <w:rPr>
          <w:color w:val="231F20"/>
        </w:rPr>
        <w:t>родителям</w:t>
      </w:r>
      <w:r>
        <w:rPr>
          <w:color w:val="231F20"/>
          <w:spacing w:val="-2"/>
        </w:rPr>
        <w:t> </w:t>
      </w:r>
      <w:r>
        <w:rPr>
          <w:color w:val="231F20"/>
        </w:rPr>
        <w:t>объединиться и подготовиться вместе. Так, в одной московской школе в рамках такого фестиваля объединились три узбекские семьи: одна мама разучила с детьми песню, другая до- говорилась</w:t>
      </w:r>
      <w:r>
        <w:rPr>
          <w:color w:val="231F20"/>
          <w:spacing w:val="-2"/>
        </w:rPr>
        <w:t> </w:t>
      </w:r>
      <w:r>
        <w:rPr>
          <w:color w:val="231F20"/>
        </w:rPr>
        <w:t>с</w:t>
      </w:r>
      <w:r>
        <w:rPr>
          <w:color w:val="231F20"/>
          <w:spacing w:val="-2"/>
        </w:rPr>
        <w:t> </w:t>
      </w:r>
      <w:r>
        <w:rPr>
          <w:color w:val="231F20"/>
        </w:rPr>
        <w:t>танцевальным</w:t>
      </w:r>
      <w:r>
        <w:rPr>
          <w:color w:val="231F20"/>
          <w:spacing w:val="-2"/>
        </w:rPr>
        <w:t> </w:t>
      </w:r>
      <w:r>
        <w:rPr>
          <w:color w:val="231F20"/>
        </w:rPr>
        <w:t>ансамблем</w:t>
      </w:r>
      <w:r>
        <w:rPr>
          <w:color w:val="231F20"/>
          <w:spacing w:val="-2"/>
        </w:rPr>
        <w:t> </w:t>
      </w:r>
      <w:r>
        <w:rPr>
          <w:color w:val="231F20"/>
        </w:rPr>
        <w:t>и</w:t>
      </w:r>
      <w:r>
        <w:rPr>
          <w:color w:val="231F20"/>
          <w:spacing w:val="-2"/>
        </w:rPr>
        <w:t> </w:t>
      </w:r>
      <w:r>
        <w:rPr>
          <w:color w:val="231F20"/>
        </w:rPr>
        <w:t>взяла</w:t>
      </w:r>
      <w:r>
        <w:rPr>
          <w:color w:val="231F20"/>
          <w:spacing w:val="-2"/>
        </w:rPr>
        <w:t> </w:t>
      </w:r>
      <w:r>
        <w:rPr>
          <w:color w:val="231F20"/>
        </w:rPr>
        <w:t>у</w:t>
      </w:r>
      <w:r>
        <w:rPr>
          <w:color w:val="231F20"/>
          <w:spacing w:val="-2"/>
        </w:rPr>
        <w:t> </w:t>
      </w:r>
      <w:r>
        <w:rPr>
          <w:color w:val="231F20"/>
        </w:rPr>
        <w:t>них</w:t>
      </w:r>
      <w:r>
        <w:rPr>
          <w:color w:val="231F20"/>
          <w:spacing w:val="-2"/>
        </w:rPr>
        <w:t> </w:t>
      </w:r>
      <w:r>
        <w:rPr>
          <w:color w:val="231F20"/>
        </w:rPr>
        <w:t>костюмы,</w:t>
      </w:r>
      <w:r>
        <w:rPr>
          <w:color w:val="231F20"/>
          <w:spacing w:val="-2"/>
        </w:rPr>
        <w:t> </w:t>
      </w:r>
      <w:r>
        <w:rPr>
          <w:color w:val="231F20"/>
        </w:rPr>
        <w:t>а</w:t>
      </w:r>
      <w:r>
        <w:rPr>
          <w:color w:val="231F20"/>
          <w:spacing w:val="-2"/>
        </w:rPr>
        <w:t> </w:t>
      </w:r>
      <w:r>
        <w:rPr>
          <w:color w:val="231F20"/>
        </w:rPr>
        <w:t>дедушка</w:t>
      </w:r>
      <w:r>
        <w:rPr>
          <w:color w:val="231F20"/>
          <w:spacing w:val="-2"/>
        </w:rPr>
        <w:t> </w:t>
      </w:r>
      <w:r>
        <w:rPr>
          <w:color w:val="231F20"/>
        </w:rPr>
        <w:t>из</w:t>
      </w:r>
      <w:r>
        <w:rPr>
          <w:color w:val="231F20"/>
          <w:spacing w:val="-2"/>
        </w:rPr>
        <w:t> </w:t>
      </w:r>
      <w:r>
        <w:rPr>
          <w:color w:val="231F20"/>
        </w:rPr>
        <w:t>третьей семьи приготовил плов.</w:t>
      </w:r>
    </w:p>
    <w:p>
      <w:pPr>
        <w:pStyle w:val="BodyText"/>
        <w:spacing w:line="225" w:lineRule="auto"/>
      </w:pPr>
      <w:r>
        <w:rPr>
          <w:color w:val="231F20"/>
        </w:rPr>
        <w:t>Дайте</w:t>
      </w:r>
      <w:r>
        <w:rPr>
          <w:color w:val="231F20"/>
          <w:spacing w:val="-13"/>
        </w:rPr>
        <w:t> </w:t>
      </w:r>
      <w:r>
        <w:rPr>
          <w:color w:val="231F20"/>
        </w:rPr>
        <w:t>родителям</w:t>
      </w:r>
      <w:r>
        <w:rPr>
          <w:color w:val="231F20"/>
          <w:spacing w:val="-12"/>
        </w:rPr>
        <w:t> </w:t>
      </w:r>
      <w:r>
        <w:rPr>
          <w:color w:val="231F20"/>
        </w:rPr>
        <w:t>время</w:t>
      </w:r>
      <w:r>
        <w:rPr>
          <w:color w:val="231F20"/>
          <w:spacing w:val="-13"/>
        </w:rPr>
        <w:t> </w:t>
      </w:r>
      <w:r>
        <w:rPr>
          <w:color w:val="231F20"/>
        </w:rPr>
        <w:t>подумать,</w:t>
      </w:r>
      <w:r>
        <w:rPr>
          <w:color w:val="231F20"/>
          <w:spacing w:val="-12"/>
        </w:rPr>
        <w:t> </w:t>
      </w:r>
      <w:r>
        <w:rPr>
          <w:color w:val="231F20"/>
        </w:rPr>
        <w:t>но</w:t>
      </w:r>
      <w:r>
        <w:rPr>
          <w:color w:val="231F20"/>
          <w:spacing w:val="-13"/>
        </w:rPr>
        <w:t> </w:t>
      </w:r>
      <w:r>
        <w:rPr>
          <w:color w:val="231F20"/>
        </w:rPr>
        <w:t>не</w:t>
      </w:r>
      <w:r>
        <w:rPr>
          <w:color w:val="231F20"/>
          <w:spacing w:val="-12"/>
        </w:rPr>
        <w:t> </w:t>
      </w:r>
      <w:r>
        <w:rPr>
          <w:color w:val="231F20"/>
        </w:rPr>
        <w:t>оставляйте</w:t>
      </w:r>
      <w:r>
        <w:rPr>
          <w:color w:val="231F20"/>
          <w:spacing w:val="-13"/>
        </w:rPr>
        <w:t> </w:t>
      </w:r>
      <w:r>
        <w:rPr>
          <w:color w:val="231F20"/>
        </w:rPr>
        <w:t>их</w:t>
      </w:r>
      <w:r>
        <w:rPr>
          <w:color w:val="231F20"/>
          <w:spacing w:val="-12"/>
        </w:rPr>
        <w:t> </w:t>
      </w:r>
      <w:r>
        <w:rPr>
          <w:color w:val="231F20"/>
        </w:rPr>
        <w:t>наедине</w:t>
      </w:r>
      <w:r>
        <w:rPr>
          <w:color w:val="231F20"/>
          <w:spacing w:val="-13"/>
        </w:rPr>
        <w:t> </w:t>
      </w:r>
      <w:r>
        <w:rPr>
          <w:color w:val="231F20"/>
        </w:rPr>
        <w:t>с</w:t>
      </w:r>
      <w:r>
        <w:rPr>
          <w:color w:val="231F20"/>
          <w:spacing w:val="-12"/>
        </w:rPr>
        <w:t> </w:t>
      </w:r>
      <w:r>
        <w:rPr>
          <w:color w:val="231F20"/>
        </w:rPr>
        <w:t>сомнениями.</w:t>
      </w:r>
      <w:r>
        <w:rPr>
          <w:color w:val="231F20"/>
          <w:spacing w:val="-13"/>
        </w:rPr>
        <w:t> </w:t>
      </w:r>
      <w:r>
        <w:rPr>
          <w:color w:val="231F20"/>
        </w:rPr>
        <w:t>Мо- тивируйте</w:t>
      </w:r>
      <w:r>
        <w:rPr>
          <w:color w:val="231F20"/>
          <w:spacing w:val="-12"/>
        </w:rPr>
        <w:t> </w:t>
      </w:r>
      <w:r>
        <w:rPr>
          <w:color w:val="231F20"/>
        </w:rPr>
        <w:t>родителей</w:t>
      </w:r>
      <w:r>
        <w:rPr>
          <w:color w:val="231F20"/>
          <w:spacing w:val="-12"/>
        </w:rPr>
        <w:t> </w:t>
      </w:r>
      <w:r>
        <w:rPr>
          <w:color w:val="231F20"/>
        </w:rPr>
        <w:t>и</w:t>
      </w:r>
      <w:r>
        <w:rPr>
          <w:color w:val="231F20"/>
          <w:spacing w:val="-12"/>
        </w:rPr>
        <w:t> </w:t>
      </w:r>
      <w:r>
        <w:rPr>
          <w:color w:val="231F20"/>
        </w:rPr>
        <w:t>обсуждайте</w:t>
      </w:r>
      <w:r>
        <w:rPr>
          <w:color w:val="231F20"/>
          <w:spacing w:val="-12"/>
        </w:rPr>
        <w:t> </w:t>
      </w:r>
      <w:r>
        <w:rPr>
          <w:color w:val="231F20"/>
        </w:rPr>
        <w:t>с</w:t>
      </w:r>
      <w:r>
        <w:rPr>
          <w:color w:val="231F20"/>
          <w:spacing w:val="-12"/>
        </w:rPr>
        <w:t> </w:t>
      </w:r>
      <w:r>
        <w:rPr>
          <w:color w:val="231F20"/>
        </w:rPr>
        <w:t>ними</w:t>
      </w:r>
      <w:r>
        <w:rPr>
          <w:color w:val="231F20"/>
          <w:spacing w:val="-12"/>
        </w:rPr>
        <w:t> </w:t>
      </w:r>
      <w:r>
        <w:rPr>
          <w:color w:val="231F20"/>
        </w:rPr>
        <w:t>возможные</w:t>
      </w:r>
      <w:r>
        <w:rPr>
          <w:color w:val="231F20"/>
          <w:spacing w:val="-12"/>
        </w:rPr>
        <w:t> </w:t>
      </w:r>
      <w:r>
        <w:rPr>
          <w:color w:val="231F20"/>
        </w:rPr>
        <w:t>формы</w:t>
      </w:r>
      <w:r>
        <w:rPr>
          <w:color w:val="231F20"/>
          <w:spacing w:val="-12"/>
        </w:rPr>
        <w:t> </w:t>
      </w:r>
      <w:r>
        <w:rPr>
          <w:color w:val="231F20"/>
        </w:rPr>
        <w:t>участия.</w:t>
      </w:r>
      <w:r>
        <w:rPr>
          <w:color w:val="231F20"/>
          <w:spacing w:val="-12"/>
        </w:rPr>
        <w:t> </w:t>
      </w:r>
      <w:r>
        <w:rPr>
          <w:color w:val="231F20"/>
        </w:rPr>
        <w:t>Будьте</w:t>
      </w:r>
      <w:r>
        <w:rPr>
          <w:color w:val="231F20"/>
          <w:spacing w:val="-12"/>
        </w:rPr>
        <w:t> </w:t>
      </w:r>
      <w:r>
        <w:rPr>
          <w:color w:val="231F20"/>
        </w:rPr>
        <w:t>откры- ты для разных вариантов.</w:t>
      </w:r>
    </w:p>
    <w:p>
      <w:pPr>
        <w:pStyle w:val="BodyText"/>
        <w:spacing w:line="225" w:lineRule="auto"/>
      </w:pPr>
      <w:r>
        <w:rPr>
          <w:color w:val="231F20"/>
        </w:rPr>
        <w:t>Когда</w:t>
      </w:r>
      <w:r>
        <w:rPr>
          <w:color w:val="231F20"/>
          <w:spacing w:val="-9"/>
        </w:rPr>
        <w:t> </w:t>
      </w:r>
      <w:r>
        <w:rPr>
          <w:color w:val="231F20"/>
        </w:rPr>
        <w:t>решение</w:t>
      </w:r>
      <w:r>
        <w:rPr>
          <w:color w:val="231F20"/>
          <w:spacing w:val="-9"/>
        </w:rPr>
        <w:t> </w:t>
      </w:r>
      <w:r>
        <w:rPr>
          <w:color w:val="231F20"/>
        </w:rPr>
        <w:t>принято,</w:t>
      </w:r>
      <w:r>
        <w:rPr>
          <w:color w:val="231F20"/>
          <w:spacing w:val="-9"/>
        </w:rPr>
        <w:t> </w:t>
      </w:r>
      <w:r>
        <w:rPr>
          <w:color w:val="231F20"/>
        </w:rPr>
        <w:t>составьте</w:t>
      </w:r>
      <w:r>
        <w:rPr>
          <w:color w:val="231F20"/>
          <w:spacing w:val="-9"/>
        </w:rPr>
        <w:t> </w:t>
      </w:r>
      <w:r>
        <w:rPr>
          <w:color w:val="231F20"/>
        </w:rPr>
        <w:t>план</w:t>
      </w:r>
      <w:r>
        <w:rPr>
          <w:color w:val="231F20"/>
          <w:spacing w:val="-9"/>
        </w:rPr>
        <w:t> </w:t>
      </w:r>
      <w:r>
        <w:rPr>
          <w:color w:val="231F20"/>
        </w:rPr>
        <w:t>подготовки</w:t>
      </w:r>
      <w:r>
        <w:rPr>
          <w:color w:val="231F20"/>
          <w:spacing w:val="-9"/>
        </w:rPr>
        <w:t> </w:t>
      </w:r>
      <w:r>
        <w:rPr>
          <w:color w:val="231F20"/>
        </w:rPr>
        <w:t>и</w:t>
      </w:r>
      <w:r>
        <w:rPr>
          <w:color w:val="231F20"/>
          <w:spacing w:val="-9"/>
        </w:rPr>
        <w:t> </w:t>
      </w:r>
      <w:r>
        <w:rPr>
          <w:color w:val="231F20"/>
        </w:rPr>
        <w:t>помогите</w:t>
      </w:r>
      <w:r>
        <w:rPr>
          <w:color w:val="231F20"/>
          <w:spacing w:val="-9"/>
        </w:rPr>
        <w:t> </w:t>
      </w:r>
      <w:r>
        <w:rPr>
          <w:color w:val="231F20"/>
        </w:rPr>
        <w:t>родителям</w:t>
      </w:r>
      <w:r>
        <w:rPr>
          <w:color w:val="231F20"/>
          <w:spacing w:val="-9"/>
        </w:rPr>
        <w:t> </w:t>
      </w:r>
      <w:r>
        <w:rPr>
          <w:color w:val="231F20"/>
        </w:rPr>
        <w:t>проду- мать и организовать необходимые действия. Предложите обращаться к вам с вопро- сами или затруднениями.</w:t>
      </w:r>
    </w:p>
    <w:p>
      <w:pPr>
        <w:pStyle w:val="BodyText"/>
        <w:spacing w:line="225" w:lineRule="auto"/>
        <w:ind w:left="425" w:right="140" w:firstLine="0"/>
      </w:pPr>
      <w:r>
        <w:rPr>
          <w:color w:val="231F20"/>
        </w:rPr>
        <w:t>После мероприятия непременно поблагодарите и</w:t>
      </w:r>
      <w:r>
        <w:rPr>
          <w:color w:val="231F20"/>
          <w:spacing w:val="-1"/>
        </w:rPr>
        <w:t> </w:t>
      </w:r>
      <w:r>
        <w:rPr>
          <w:color w:val="231F20"/>
        </w:rPr>
        <w:t>отметьте приложенные усилия. Еще</w:t>
      </w:r>
      <w:r>
        <w:rPr>
          <w:color w:val="231F20"/>
          <w:spacing w:val="24"/>
        </w:rPr>
        <w:t> </w:t>
      </w:r>
      <w:r>
        <w:rPr>
          <w:color w:val="231F20"/>
        </w:rPr>
        <w:t>одно</w:t>
      </w:r>
      <w:r>
        <w:rPr>
          <w:color w:val="231F20"/>
          <w:spacing w:val="25"/>
        </w:rPr>
        <w:t> </w:t>
      </w:r>
      <w:r>
        <w:rPr>
          <w:color w:val="231F20"/>
        </w:rPr>
        <w:t>мероприятие,</w:t>
      </w:r>
      <w:r>
        <w:rPr>
          <w:color w:val="231F20"/>
          <w:spacing w:val="24"/>
        </w:rPr>
        <w:t> </w:t>
      </w:r>
      <w:r>
        <w:rPr>
          <w:color w:val="231F20"/>
        </w:rPr>
        <w:t>к</w:t>
      </w:r>
      <w:r>
        <w:rPr>
          <w:color w:val="231F20"/>
          <w:spacing w:val="25"/>
        </w:rPr>
        <w:t> </w:t>
      </w:r>
      <w:r>
        <w:rPr>
          <w:color w:val="231F20"/>
        </w:rPr>
        <w:t>которому</w:t>
      </w:r>
      <w:r>
        <w:rPr>
          <w:color w:val="231F20"/>
          <w:spacing w:val="25"/>
        </w:rPr>
        <w:t> </w:t>
      </w:r>
      <w:r>
        <w:rPr>
          <w:color w:val="231F20"/>
        </w:rPr>
        <w:t>можно</w:t>
      </w:r>
      <w:r>
        <w:rPr>
          <w:color w:val="231F20"/>
          <w:spacing w:val="24"/>
        </w:rPr>
        <w:t> </w:t>
      </w:r>
      <w:r>
        <w:rPr>
          <w:color w:val="231F20"/>
        </w:rPr>
        <w:t>привлекать</w:t>
      </w:r>
      <w:r>
        <w:rPr>
          <w:color w:val="231F20"/>
          <w:spacing w:val="25"/>
        </w:rPr>
        <w:t> </w:t>
      </w:r>
      <w:r>
        <w:rPr>
          <w:color w:val="231F20"/>
        </w:rPr>
        <w:t>родителей-мигрантов,</w:t>
      </w:r>
      <w:r>
        <w:rPr>
          <w:color w:val="231F20"/>
          <w:spacing w:val="25"/>
        </w:rPr>
        <w:t> </w:t>
      </w:r>
      <w:r>
        <w:rPr>
          <w:color w:val="231F20"/>
          <w:spacing w:val="-10"/>
        </w:rPr>
        <w:t>–</w:t>
      </w:r>
    </w:p>
    <w:p>
      <w:pPr>
        <w:pStyle w:val="BodyText"/>
        <w:spacing w:line="225" w:lineRule="auto"/>
        <w:ind w:firstLine="0"/>
      </w:pPr>
      <w:r>
        <w:rPr>
          <w:color w:val="231F20"/>
        </w:rPr>
        <w:t>«Живая библиотека». Подробнее о ней можно прочитать в разделе 4.2. Инструмен- тария. Родители-мигранты могут выступать в качестве спикеров «Живой библиоте- ки». При выборе родителя для участия в ней важно руководствоваться следующими критериями. Родитель должен достаточно бегло говорить по-русски и владеть на- выками рассказчика. В отдельных случаях можно рассмотреть общение с помощью переводчика, но это может усложнить процесс. Хорошо, если у родителя есть опыт публичных</w:t>
      </w:r>
      <w:r>
        <w:rPr>
          <w:color w:val="231F20"/>
          <w:spacing w:val="-6"/>
        </w:rPr>
        <w:t> </w:t>
      </w:r>
      <w:r>
        <w:rPr>
          <w:color w:val="231F20"/>
        </w:rPr>
        <w:t>выступлений</w:t>
      </w:r>
      <w:r>
        <w:rPr>
          <w:color w:val="231F20"/>
          <w:spacing w:val="-6"/>
        </w:rPr>
        <w:t> </w:t>
      </w:r>
      <w:r>
        <w:rPr>
          <w:color w:val="231F20"/>
        </w:rPr>
        <w:t>и/или</w:t>
      </w:r>
      <w:r>
        <w:rPr>
          <w:color w:val="231F20"/>
          <w:spacing w:val="-6"/>
        </w:rPr>
        <w:t> </w:t>
      </w:r>
      <w:r>
        <w:rPr>
          <w:color w:val="231F20"/>
        </w:rPr>
        <w:t>он</w:t>
      </w:r>
      <w:r>
        <w:rPr>
          <w:color w:val="231F20"/>
          <w:spacing w:val="-6"/>
        </w:rPr>
        <w:t> </w:t>
      </w:r>
      <w:r>
        <w:rPr>
          <w:color w:val="231F20"/>
        </w:rPr>
        <w:t>не</w:t>
      </w:r>
      <w:r>
        <w:rPr>
          <w:color w:val="231F20"/>
          <w:spacing w:val="-6"/>
        </w:rPr>
        <w:t> </w:t>
      </w:r>
      <w:r>
        <w:rPr>
          <w:color w:val="231F20"/>
        </w:rPr>
        <w:t>испытывает</w:t>
      </w:r>
      <w:r>
        <w:rPr>
          <w:color w:val="231F20"/>
          <w:spacing w:val="-6"/>
        </w:rPr>
        <w:t> </w:t>
      </w:r>
      <w:r>
        <w:rPr>
          <w:color w:val="231F20"/>
        </w:rPr>
        <w:t>стеснения</w:t>
      </w:r>
      <w:r>
        <w:rPr>
          <w:color w:val="231F20"/>
          <w:spacing w:val="-6"/>
        </w:rPr>
        <w:t> </w:t>
      </w:r>
      <w:r>
        <w:rPr>
          <w:color w:val="231F20"/>
        </w:rPr>
        <w:t>при</w:t>
      </w:r>
      <w:r>
        <w:rPr>
          <w:color w:val="231F20"/>
          <w:spacing w:val="-6"/>
        </w:rPr>
        <w:t> </w:t>
      </w:r>
      <w:r>
        <w:rPr>
          <w:color w:val="231F20"/>
        </w:rPr>
        <w:t>общении</w:t>
      </w:r>
      <w:r>
        <w:rPr>
          <w:color w:val="231F20"/>
          <w:spacing w:val="-6"/>
        </w:rPr>
        <w:t> </w:t>
      </w:r>
      <w:r>
        <w:rPr>
          <w:color w:val="231F20"/>
        </w:rPr>
        <w:t>с</w:t>
      </w:r>
      <w:r>
        <w:rPr>
          <w:color w:val="231F20"/>
          <w:spacing w:val="-6"/>
        </w:rPr>
        <w:t> </w:t>
      </w:r>
      <w:r>
        <w:rPr>
          <w:color w:val="231F20"/>
        </w:rPr>
        <w:t>большим количеством незнакомых людей. Родитель находится в достаточно устойчивом эмо- циональном состоянии; даже если у него в прошлом имеются травматические собы- тия, он способен говорить о них и сохранять эмоциональную стабильность.</w:t>
      </w:r>
    </w:p>
    <w:p>
      <w:pPr>
        <w:pStyle w:val="BodyText"/>
        <w:spacing w:line="225" w:lineRule="auto"/>
      </w:pPr>
      <w:r>
        <w:rPr>
          <w:color w:val="231F20"/>
        </w:rPr>
        <w:t>Если</w:t>
      </w:r>
      <w:r>
        <w:rPr>
          <w:color w:val="231F20"/>
          <w:spacing w:val="-1"/>
        </w:rPr>
        <w:t> </w:t>
      </w:r>
      <w:r>
        <w:rPr>
          <w:color w:val="231F20"/>
        </w:rPr>
        <w:t>имеется</w:t>
      </w:r>
      <w:r>
        <w:rPr>
          <w:color w:val="231F20"/>
          <w:spacing w:val="-1"/>
        </w:rPr>
        <w:t> </w:t>
      </w:r>
      <w:r>
        <w:rPr>
          <w:color w:val="231F20"/>
        </w:rPr>
        <w:t>потенциальный</w:t>
      </w:r>
      <w:r>
        <w:rPr>
          <w:color w:val="231F20"/>
          <w:spacing w:val="-1"/>
        </w:rPr>
        <w:t> </w:t>
      </w:r>
      <w:r>
        <w:rPr>
          <w:color w:val="231F20"/>
        </w:rPr>
        <w:t>кандидат,</w:t>
      </w:r>
      <w:r>
        <w:rPr>
          <w:color w:val="231F20"/>
          <w:spacing w:val="-1"/>
        </w:rPr>
        <w:t> </w:t>
      </w:r>
      <w:r>
        <w:rPr>
          <w:color w:val="231F20"/>
        </w:rPr>
        <w:t>ему</w:t>
      </w:r>
      <w:r>
        <w:rPr>
          <w:color w:val="231F20"/>
          <w:spacing w:val="-1"/>
        </w:rPr>
        <w:t> </w:t>
      </w:r>
      <w:r>
        <w:rPr>
          <w:color w:val="231F20"/>
        </w:rPr>
        <w:t>необходимо</w:t>
      </w:r>
      <w:r>
        <w:rPr>
          <w:color w:val="231F20"/>
          <w:spacing w:val="-1"/>
        </w:rPr>
        <w:t> </w:t>
      </w:r>
      <w:r>
        <w:rPr>
          <w:color w:val="231F20"/>
        </w:rPr>
        <w:t>рассказать</w:t>
      </w:r>
      <w:r>
        <w:rPr>
          <w:color w:val="231F20"/>
          <w:spacing w:val="-1"/>
        </w:rPr>
        <w:t> </w:t>
      </w:r>
      <w:r>
        <w:rPr>
          <w:color w:val="231F20"/>
        </w:rPr>
        <w:t>о</w:t>
      </w:r>
      <w:r>
        <w:rPr>
          <w:color w:val="231F20"/>
          <w:spacing w:val="-1"/>
        </w:rPr>
        <w:t> </w:t>
      </w:r>
      <w:r>
        <w:rPr>
          <w:color w:val="231F20"/>
        </w:rPr>
        <w:t>таком</w:t>
      </w:r>
      <w:r>
        <w:rPr>
          <w:color w:val="231F20"/>
          <w:spacing w:val="-1"/>
        </w:rPr>
        <w:t> </w:t>
      </w:r>
      <w:r>
        <w:rPr>
          <w:color w:val="231F20"/>
        </w:rPr>
        <w:t>фор- мате,</w:t>
      </w:r>
      <w:r>
        <w:rPr>
          <w:color w:val="231F20"/>
          <w:spacing w:val="-4"/>
        </w:rPr>
        <w:t> </w:t>
      </w:r>
      <w:r>
        <w:rPr>
          <w:color w:val="231F20"/>
        </w:rPr>
        <w:t>как</w:t>
      </w:r>
      <w:r>
        <w:rPr>
          <w:color w:val="231F20"/>
          <w:spacing w:val="-4"/>
        </w:rPr>
        <w:t> </w:t>
      </w:r>
      <w:r>
        <w:rPr>
          <w:color w:val="231F20"/>
        </w:rPr>
        <w:t>«Живая</w:t>
      </w:r>
      <w:r>
        <w:rPr>
          <w:color w:val="231F20"/>
          <w:spacing w:val="-4"/>
        </w:rPr>
        <w:t> </w:t>
      </w:r>
      <w:r>
        <w:rPr>
          <w:color w:val="231F20"/>
        </w:rPr>
        <w:t>библиотека»,</w:t>
      </w:r>
      <w:r>
        <w:rPr>
          <w:color w:val="231F20"/>
          <w:spacing w:val="-4"/>
        </w:rPr>
        <w:t> </w:t>
      </w:r>
      <w:r>
        <w:rPr>
          <w:color w:val="231F20"/>
        </w:rPr>
        <w:t>и</w:t>
      </w:r>
      <w:r>
        <w:rPr>
          <w:color w:val="231F20"/>
          <w:spacing w:val="-4"/>
        </w:rPr>
        <w:t> </w:t>
      </w:r>
      <w:r>
        <w:rPr>
          <w:color w:val="231F20"/>
        </w:rPr>
        <w:t>пригласить</w:t>
      </w:r>
      <w:r>
        <w:rPr>
          <w:color w:val="231F20"/>
          <w:spacing w:val="-4"/>
        </w:rPr>
        <w:t> </w:t>
      </w:r>
      <w:r>
        <w:rPr>
          <w:color w:val="231F20"/>
        </w:rPr>
        <w:t>на</w:t>
      </w:r>
      <w:r>
        <w:rPr>
          <w:color w:val="231F20"/>
          <w:spacing w:val="-4"/>
        </w:rPr>
        <w:t> </w:t>
      </w:r>
      <w:r>
        <w:rPr>
          <w:color w:val="231F20"/>
        </w:rPr>
        <w:t>одну</w:t>
      </w:r>
      <w:r>
        <w:rPr>
          <w:color w:val="231F20"/>
          <w:spacing w:val="-4"/>
        </w:rPr>
        <w:t> </w:t>
      </w:r>
      <w:r>
        <w:rPr>
          <w:color w:val="231F20"/>
        </w:rPr>
        <w:t>из</w:t>
      </w:r>
      <w:r>
        <w:rPr>
          <w:color w:val="231F20"/>
          <w:spacing w:val="-4"/>
        </w:rPr>
        <w:t> </w:t>
      </w:r>
      <w:r>
        <w:rPr>
          <w:color w:val="231F20"/>
        </w:rPr>
        <w:t>встреч</w:t>
      </w:r>
      <w:r>
        <w:rPr>
          <w:color w:val="231F20"/>
          <w:spacing w:val="-4"/>
        </w:rPr>
        <w:t> </w:t>
      </w:r>
      <w:r>
        <w:rPr>
          <w:color w:val="231F20"/>
        </w:rPr>
        <w:t>в</w:t>
      </w:r>
      <w:r>
        <w:rPr>
          <w:color w:val="231F20"/>
          <w:spacing w:val="-4"/>
        </w:rPr>
        <w:t> </w:t>
      </w:r>
      <w:r>
        <w:rPr>
          <w:color w:val="231F20"/>
        </w:rPr>
        <w:t>качестве</w:t>
      </w:r>
      <w:r>
        <w:rPr>
          <w:color w:val="231F20"/>
          <w:spacing w:val="-4"/>
        </w:rPr>
        <w:t> </w:t>
      </w:r>
      <w:r>
        <w:rPr>
          <w:color w:val="231F20"/>
        </w:rPr>
        <w:t>участника. У родителя могут быть сомнения, насколько его опыт релевантен, насколько он сам может быть интересен участникам и пр. Об этом важно подробно поговорить. Боль- шую помощь может оказать именно посещение «Живой библиотеки», где родитель сможет убедиться, что никаких исключительных заслуг для спикеров не требуется.</w:t>
      </w:r>
    </w:p>
    <w:p>
      <w:pPr>
        <w:pStyle w:val="BodyText"/>
        <w:spacing w:after="0" w:line="225" w:lineRule="auto"/>
        <w:sectPr>
          <w:pgSz w:w="8400" w:h="11910"/>
          <w:pgMar w:header="0" w:footer="535" w:top="400" w:bottom="740" w:left="425" w:right="425"/>
        </w:sectPr>
      </w:pPr>
    </w:p>
    <w:p>
      <w:pPr>
        <w:spacing w:before="80"/>
        <w:ind w:left="141" w:right="139" w:firstLine="0"/>
        <w:jc w:val="right"/>
        <w:rPr>
          <w:rFonts w:ascii="Georgia" w:hAnsi="Georgia"/>
          <w:sz w:val="18"/>
        </w:rPr>
      </w:pPr>
      <w:bookmarkStart w:name="_bookmark60" w:id="62"/>
      <w:bookmarkEnd w:id="62"/>
      <w:r>
        <w:rPr/>
      </w:r>
      <w:r>
        <w:rPr>
          <w:rFonts w:ascii="Georgia" w:hAnsi="Georgia"/>
          <w:color w:val="231F20"/>
          <w:spacing w:val="-2"/>
          <w:sz w:val="18"/>
        </w:rPr>
        <w:t>Раздел</w:t>
      </w:r>
      <w:r>
        <w:rPr>
          <w:rFonts w:ascii="Georgia" w:hAnsi="Georgia"/>
          <w:color w:val="231F20"/>
          <w:spacing w:val="-5"/>
          <w:sz w:val="18"/>
        </w:rPr>
        <w:t> 3.</w:t>
      </w:r>
    </w:p>
    <w:p>
      <w:pPr>
        <w:numPr>
          <w:ilvl w:val="2"/>
          <w:numId w:val="80"/>
        </w:numPr>
        <w:tabs>
          <w:tab w:pos="2406" w:val="left" w:leader="none"/>
        </w:tabs>
        <w:spacing w:line="223" w:lineRule="exact" w:before="109"/>
        <w:ind w:left="2406" w:right="0" w:hanging="500"/>
        <w:jc w:val="left"/>
        <w:rPr>
          <w:b/>
          <w:sz w:val="20"/>
        </w:rPr>
      </w:pPr>
      <w:r>
        <w:rPr>
          <w:b/>
          <w:color w:val="231F20"/>
          <w:sz w:val="20"/>
        </w:rPr>
        <w:t>Создание</w:t>
      </w:r>
      <w:r>
        <w:rPr>
          <w:b/>
          <w:color w:val="231F20"/>
          <w:spacing w:val="-12"/>
          <w:sz w:val="20"/>
        </w:rPr>
        <w:t> </w:t>
      </w:r>
      <w:r>
        <w:rPr>
          <w:b/>
          <w:color w:val="231F20"/>
          <w:sz w:val="20"/>
        </w:rPr>
        <w:t>внутришкольного</w:t>
      </w:r>
      <w:r>
        <w:rPr>
          <w:b/>
          <w:color w:val="231F20"/>
          <w:spacing w:val="-11"/>
          <w:sz w:val="20"/>
        </w:rPr>
        <w:t> </w:t>
      </w:r>
      <w:r>
        <w:rPr>
          <w:b/>
          <w:color w:val="231F20"/>
          <w:spacing w:val="-2"/>
          <w:sz w:val="20"/>
        </w:rPr>
        <w:t>актива</w:t>
      </w:r>
    </w:p>
    <w:p>
      <w:pPr>
        <w:spacing w:line="223" w:lineRule="exact" w:before="0"/>
        <w:ind w:left="1517" w:right="0" w:firstLine="0"/>
        <w:jc w:val="left"/>
        <w:rPr>
          <w:b/>
          <w:sz w:val="20"/>
        </w:rPr>
      </w:pPr>
      <w:r>
        <w:rPr>
          <w:b/>
          <w:color w:val="231F20"/>
          <w:sz w:val="20"/>
        </w:rPr>
        <w:t>из</w:t>
      </w:r>
      <w:r>
        <w:rPr>
          <w:b/>
          <w:color w:val="231F20"/>
          <w:spacing w:val="-10"/>
          <w:sz w:val="20"/>
        </w:rPr>
        <w:t> </w:t>
      </w:r>
      <w:r>
        <w:rPr>
          <w:b/>
          <w:color w:val="231F20"/>
          <w:sz w:val="20"/>
        </w:rPr>
        <w:t>хорошо</w:t>
      </w:r>
      <w:r>
        <w:rPr>
          <w:b/>
          <w:color w:val="231F20"/>
          <w:spacing w:val="-10"/>
          <w:sz w:val="20"/>
        </w:rPr>
        <w:t> </w:t>
      </w:r>
      <w:r>
        <w:rPr>
          <w:b/>
          <w:color w:val="231F20"/>
          <w:sz w:val="20"/>
        </w:rPr>
        <w:t>адаптированных</w:t>
      </w:r>
      <w:r>
        <w:rPr>
          <w:b/>
          <w:color w:val="231F20"/>
          <w:spacing w:val="-10"/>
          <w:sz w:val="20"/>
        </w:rPr>
        <w:t> </w:t>
      </w:r>
      <w:r>
        <w:rPr>
          <w:b/>
          <w:color w:val="231F20"/>
          <w:sz w:val="20"/>
        </w:rPr>
        <w:t>родителей-</w:t>
      </w:r>
      <w:r>
        <w:rPr>
          <w:b/>
          <w:color w:val="231F20"/>
          <w:spacing w:val="-2"/>
          <w:sz w:val="20"/>
        </w:rPr>
        <w:t>мигрантов</w:t>
      </w:r>
    </w:p>
    <w:p>
      <w:pPr>
        <w:pStyle w:val="BodyText"/>
        <w:spacing w:line="235" w:lineRule="auto" w:before="103"/>
      </w:pPr>
      <w:r>
        <w:rPr/>
        <w:t>Родители, находящиеся на стадии лидерства, могут стать основой внутришколь- ного актива (при условии достаточной мотивации и наличия времени). Важно обра- щать внимание на таких родителей: они могут проявлять активность во время ме- роприятий для детей, родительских собраний и пр. Возможно, сами эти родители</w:t>
      </w:r>
      <w:r>
        <w:rPr>
          <w:spacing w:val="80"/>
          <w:w w:val="150"/>
        </w:rPr>
        <w:t> </w:t>
      </w:r>
      <w:r>
        <w:rPr/>
        <w:t>не</w:t>
      </w:r>
      <w:r>
        <w:rPr>
          <w:spacing w:val="-9"/>
        </w:rPr>
        <w:t> </w:t>
      </w:r>
      <w:r>
        <w:rPr/>
        <w:t>выступают</w:t>
      </w:r>
      <w:r>
        <w:rPr>
          <w:spacing w:val="-9"/>
        </w:rPr>
        <w:t> </w:t>
      </w:r>
      <w:r>
        <w:rPr/>
        <w:t>с</w:t>
      </w:r>
      <w:r>
        <w:rPr>
          <w:spacing w:val="-9"/>
        </w:rPr>
        <w:t> </w:t>
      </w:r>
      <w:r>
        <w:rPr/>
        <w:t>инициативой</w:t>
      </w:r>
      <w:r>
        <w:rPr>
          <w:spacing w:val="-9"/>
        </w:rPr>
        <w:t> </w:t>
      </w:r>
      <w:r>
        <w:rPr/>
        <w:t>участия</w:t>
      </w:r>
      <w:r>
        <w:rPr>
          <w:spacing w:val="-9"/>
        </w:rPr>
        <w:t> </w:t>
      </w:r>
      <w:r>
        <w:rPr/>
        <w:t>в</w:t>
      </w:r>
      <w:r>
        <w:rPr>
          <w:spacing w:val="-9"/>
        </w:rPr>
        <w:t> </w:t>
      </w:r>
      <w:r>
        <w:rPr/>
        <w:t>родительском</w:t>
      </w:r>
      <w:r>
        <w:rPr>
          <w:spacing w:val="-9"/>
        </w:rPr>
        <w:t> </w:t>
      </w:r>
      <w:r>
        <w:rPr/>
        <w:t>комитете</w:t>
      </w:r>
      <w:r>
        <w:rPr>
          <w:spacing w:val="-9"/>
        </w:rPr>
        <w:t> </w:t>
      </w:r>
      <w:r>
        <w:rPr/>
        <w:t>или</w:t>
      </w:r>
      <w:r>
        <w:rPr>
          <w:spacing w:val="-9"/>
        </w:rPr>
        <w:t> </w:t>
      </w:r>
      <w:r>
        <w:rPr/>
        <w:t>внутришкольном активе,</w:t>
      </w:r>
      <w:r>
        <w:rPr>
          <w:spacing w:val="-2"/>
        </w:rPr>
        <w:t> </w:t>
      </w:r>
      <w:r>
        <w:rPr/>
        <w:t>поэтому</w:t>
      </w:r>
      <w:r>
        <w:rPr>
          <w:spacing w:val="-2"/>
        </w:rPr>
        <w:t> </w:t>
      </w:r>
      <w:r>
        <w:rPr/>
        <w:t>важно,</w:t>
      </w:r>
      <w:r>
        <w:rPr>
          <w:spacing w:val="-2"/>
        </w:rPr>
        <w:t> </w:t>
      </w:r>
      <w:r>
        <w:rPr/>
        <w:t>чтобы</w:t>
      </w:r>
      <w:r>
        <w:rPr>
          <w:spacing w:val="-2"/>
        </w:rPr>
        <w:t> </w:t>
      </w:r>
      <w:r>
        <w:rPr/>
        <w:t>это</w:t>
      </w:r>
      <w:r>
        <w:rPr>
          <w:spacing w:val="-2"/>
        </w:rPr>
        <w:t> </w:t>
      </w:r>
      <w:r>
        <w:rPr/>
        <w:t>делали</w:t>
      </w:r>
      <w:r>
        <w:rPr>
          <w:spacing w:val="-2"/>
        </w:rPr>
        <w:t> </w:t>
      </w:r>
      <w:r>
        <w:rPr/>
        <w:t>сотрудники</w:t>
      </w:r>
      <w:r>
        <w:rPr>
          <w:spacing w:val="-2"/>
        </w:rPr>
        <w:t> </w:t>
      </w:r>
      <w:r>
        <w:rPr/>
        <w:t>школы</w:t>
      </w:r>
      <w:r>
        <w:rPr>
          <w:spacing w:val="-2"/>
        </w:rPr>
        <w:t> </w:t>
      </w:r>
      <w:r>
        <w:rPr/>
        <w:t>или</w:t>
      </w:r>
      <w:r>
        <w:rPr>
          <w:spacing w:val="-2"/>
        </w:rPr>
        <w:t> </w:t>
      </w:r>
      <w:r>
        <w:rPr/>
        <w:t>другие</w:t>
      </w:r>
      <w:r>
        <w:rPr>
          <w:spacing w:val="-2"/>
        </w:rPr>
        <w:t> </w:t>
      </w:r>
      <w:r>
        <w:rPr/>
        <w:t>родители,</w:t>
      </w:r>
      <w:r>
        <w:rPr>
          <w:spacing w:val="-2"/>
        </w:rPr>
        <w:t> </w:t>
      </w:r>
      <w:r>
        <w:rPr/>
        <w:t>в том числе члены родительского комитета. Можно заблаговременно заручиться под- держкой членов школьного родительского комитета, чтобы они тоже наблюдали за активными родителями – иностранными гражданами и приглашали их принять уча- стие в деятельности актива.</w:t>
      </w:r>
    </w:p>
    <w:p>
      <w:pPr>
        <w:pStyle w:val="BodyText"/>
        <w:spacing w:line="235" w:lineRule="auto" w:before="6"/>
      </w:pPr>
      <w:r>
        <w:rPr/>
        <w:t>При этом нельзя рассматривать активных родителей-мигрантов исключительно как посредников в общении с соотечественниками. Такого утилитарного отношения следует избегать. Нужно уточнить у этих родителей, насколько они, помимо других функций</w:t>
      </w:r>
      <w:r>
        <w:rPr>
          <w:spacing w:val="-4"/>
        </w:rPr>
        <w:t> </w:t>
      </w:r>
      <w:r>
        <w:rPr/>
        <w:t>родительского</w:t>
      </w:r>
      <w:r>
        <w:rPr>
          <w:spacing w:val="-4"/>
        </w:rPr>
        <w:t> </w:t>
      </w:r>
      <w:r>
        <w:rPr/>
        <w:t>актива,</w:t>
      </w:r>
      <w:r>
        <w:rPr>
          <w:spacing w:val="-4"/>
        </w:rPr>
        <w:t> </w:t>
      </w:r>
      <w:r>
        <w:rPr/>
        <w:t>готовы</w:t>
      </w:r>
      <w:r>
        <w:rPr>
          <w:spacing w:val="-4"/>
        </w:rPr>
        <w:t> </w:t>
      </w:r>
      <w:r>
        <w:rPr/>
        <w:t>заниматься</w:t>
      </w:r>
      <w:r>
        <w:rPr>
          <w:spacing w:val="-4"/>
        </w:rPr>
        <w:t> </w:t>
      </w:r>
      <w:r>
        <w:rPr/>
        <w:t>различными</w:t>
      </w:r>
      <w:r>
        <w:rPr>
          <w:spacing w:val="-4"/>
        </w:rPr>
        <w:t> </w:t>
      </w:r>
      <w:r>
        <w:rPr/>
        <w:t>задачами,</w:t>
      </w:r>
      <w:r>
        <w:rPr>
          <w:spacing w:val="-4"/>
        </w:rPr>
        <w:t> </w:t>
      </w:r>
      <w:r>
        <w:rPr/>
        <w:t>связанны- ми с адаптацией несовершеннолетних иностранных граждан. Если родители этим заниматься</w:t>
      </w:r>
      <w:r>
        <w:rPr>
          <w:spacing w:val="-12"/>
        </w:rPr>
        <w:t> </w:t>
      </w:r>
      <w:r>
        <w:rPr/>
        <w:t>не</w:t>
      </w:r>
      <w:r>
        <w:rPr>
          <w:spacing w:val="-12"/>
        </w:rPr>
        <w:t> </w:t>
      </w:r>
      <w:r>
        <w:rPr/>
        <w:t>готовы,</w:t>
      </w:r>
      <w:r>
        <w:rPr>
          <w:spacing w:val="-12"/>
        </w:rPr>
        <w:t> </w:t>
      </w:r>
      <w:r>
        <w:rPr/>
        <w:t>но</w:t>
      </w:r>
      <w:r>
        <w:rPr>
          <w:spacing w:val="-12"/>
        </w:rPr>
        <w:t> </w:t>
      </w:r>
      <w:r>
        <w:rPr/>
        <w:t>при</w:t>
      </w:r>
      <w:r>
        <w:rPr>
          <w:spacing w:val="-12"/>
        </w:rPr>
        <w:t> </w:t>
      </w:r>
      <w:r>
        <w:rPr/>
        <w:t>этом</w:t>
      </w:r>
      <w:r>
        <w:rPr>
          <w:spacing w:val="-12"/>
        </w:rPr>
        <w:t> </w:t>
      </w:r>
      <w:r>
        <w:rPr/>
        <w:t>мотивированы</w:t>
      </w:r>
      <w:r>
        <w:rPr>
          <w:spacing w:val="-12"/>
        </w:rPr>
        <w:t> </w:t>
      </w:r>
      <w:r>
        <w:rPr/>
        <w:t>включиться</w:t>
      </w:r>
      <w:r>
        <w:rPr>
          <w:spacing w:val="-12"/>
        </w:rPr>
        <w:t> </w:t>
      </w:r>
      <w:r>
        <w:rPr/>
        <w:t>в</w:t>
      </w:r>
      <w:r>
        <w:rPr>
          <w:spacing w:val="-12"/>
        </w:rPr>
        <w:t> </w:t>
      </w:r>
      <w:r>
        <w:rPr/>
        <w:t>другие</w:t>
      </w:r>
      <w:r>
        <w:rPr>
          <w:spacing w:val="-12"/>
        </w:rPr>
        <w:t> </w:t>
      </w:r>
      <w:r>
        <w:rPr/>
        <w:t>виды</w:t>
      </w:r>
      <w:r>
        <w:rPr>
          <w:spacing w:val="-12"/>
        </w:rPr>
        <w:t> </w:t>
      </w:r>
      <w:r>
        <w:rPr/>
        <w:t>деятель- ности</w:t>
      </w:r>
      <w:r>
        <w:rPr>
          <w:spacing w:val="-12"/>
        </w:rPr>
        <w:t> </w:t>
      </w:r>
      <w:r>
        <w:rPr/>
        <w:t>родительского</w:t>
      </w:r>
      <w:r>
        <w:rPr>
          <w:spacing w:val="-12"/>
        </w:rPr>
        <w:t> </w:t>
      </w:r>
      <w:r>
        <w:rPr/>
        <w:t>комитета,</w:t>
      </w:r>
      <w:r>
        <w:rPr>
          <w:spacing w:val="-12"/>
        </w:rPr>
        <w:t> </w:t>
      </w:r>
      <w:r>
        <w:rPr/>
        <w:t>не</w:t>
      </w:r>
      <w:r>
        <w:rPr>
          <w:spacing w:val="-12"/>
        </w:rPr>
        <w:t> </w:t>
      </w:r>
      <w:r>
        <w:rPr/>
        <w:t>стоит</w:t>
      </w:r>
      <w:r>
        <w:rPr>
          <w:spacing w:val="-12"/>
        </w:rPr>
        <w:t> </w:t>
      </w:r>
      <w:r>
        <w:rPr/>
        <w:t>настаивать.</w:t>
      </w:r>
      <w:r>
        <w:rPr>
          <w:spacing w:val="-12"/>
        </w:rPr>
        <w:t> </w:t>
      </w:r>
      <w:r>
        <w:rPr/>
        <w:t>В</w:t>
      </w:r>
      <w:r>
        <w:rPr>
          <w:spacing w:val="-12"/>
        </w:rPr>
        <w:t> </w:t>
      </w:r>
      <w:r>
        <w:rPr/>
        <w:t>любом</w:t>
      </w:r>
      <w:r>
        <w:rPr>
          <w:spacing w:val="-12"/>
        </w:rPr>
        <w:t> </w:t>
      </w:r>
      <w:r>
        <w:rPr/>
        <w:t>случае</w:t>
      </w:r>
      <w:r>
        <w:rPr>
          <w:spacing w:val="-12"/>
        </w:rPr>
        <w:t> </w:t>
      </w:r>
      <w:r>
        <w:rPr/>
        <w:t>такой</w:t>
      </w:r>
      <w:r>
        <w:rPr>
          <w:spacing w:val="-12"/>
        </w:rPr>
        <w:t> </w:t>
      </w:r>
      <w:r>
        <w:rPr/>
        <w:t>поликуль- турный состав родительского актива транслирует всем субъектам образовательного процесса ценность межкультурного диалога.</w:t>
      </w:r>
    </w:p>
    <w:p>
      <w:pPr>
        <w:pStyle w:val="BodyText"/>
        <w:spacing w:line="235" w:lineRule="auto" w:before="6"/>
      </w:pPr>
      <w:r>
        <w:rPr/>
        <w:t>Важно</w:t>
      </w:r>
      <w:r>
        <w:rPr>
          <w:spacing w:val="-12"/>
        </w:rPr>
        <w:t> </w:t>
      </w:r>
      <w:r>
        <w:rPr/>
        <w:t>не</w:t>
      </w:r>
      <w:r>
        <w:rPr>
          <w:spacing w:val="-12"/>
        </w:rPr>
        <w:t> </w:t>
      </w:r>
      <w:r>
        <w:rPr/>
        <w:t>противопоставлять</w:t>
      </w:r>
      <w:r>
        <w:rPr>
          <w:spacing w:val="-12"/>
        </w:rPr>
        <w:t> </w:t>
      </w:r>
      <w:r>
        <w:rPr/>
        <w:t>эту</w:t>
      </w:r>
      <w:r>
        <w:rPr>
          <w:spacing w:val="-12"/>
        </w:rPr>
        <w:t> </w:t>
      </w:r>
      <w:r>
        <w:rPr/>
        <w:t>группу</w:t>
      </w:r>
      <w:r>
        <w:rPr>
          <w:spacing w:val="-12"/>
        </w:rPr>
        <w:t> </w:t>
      </w:r>
      <w:r>
        <w:rPr/>
        <w:t>прочим</w:t>
      </w:r>
      <w:r>
        <w:rPr>
          <w:spacing w:val="-12"/>
        </w:rPr>
        <w:t> </w:t>
      </w:r>
      <w:r>
        <w:rPr/>
        <w:t>активным</w:t>
      </w:r>
      <w:r>
        <w:rPr>
          <w:spacing w:val="-12"/>
        </w:rPr>
        <w:t> </w:t>
      </w:r>
      <w:r>
        <w:rPr/>
        <w:t>родителям.</w:t>
      </w:r>
      <w:r>
        <w:rPr>
          <w:spacing w:val="-12"/>
        </w:rPr>
        <w:t> </w:t>
      </w:r>
      <w:r>
        <w:rPr/>
        <w:t>Возможно, например, включить этих родителей в состав школьного родительского комитета и работать над стратегией помощи детям иностранных граждан совместно.</w:t>
      </w:r>
    </w:p>
    <w:p>
      <w:pPr>
        <w:pStyle w:val="BodyText"/>
        <w:spacing w:line="235" w:lineRule="auto" w:before="2"/>
      </w:pPr>
      <w:r>
        <w:rPr/>
        <w:t>Такие</w:t>
      </w:r>
      <w:r>
        <w:rPr>
          <w:spacing w:val="-13"/>
        </w:rPr>
        <w:t> </w:t>
      </w:r>
      <w:r>
        <w:rPr/>
        <w:t>родители</w:t>
      </w:r>
      <w:r>
        <w:rPr>
          <w:spacing w:val="-12"/>
        </w:rPr>
        <w:t> </w:t>
      </w:r>
      <w:r>
        <w:rPr/>
        <w:t>могут</w:t>
      </w:r>
      <w:r>
        <w:rPr>
          <w:spacing w:val="-13"/>
        </w:rPr>
        <w:t> </w:t>
      </w:r>
      <w:r>
        <w:rPr/>
        <w:t>принимать</w:t>
      </w:r>
      <w:r>
        <w:rPr>
          <w:spacing w:val="-12"/>
        </w:rPr>
        <w:t> </w:t>
      </w:r>
      <w:r>
        <w:rPr/>
        <w:t>участие</w:t>
      </w:r>
      <w:r>
        <w:rPr>
          <w:spacing w:val="-13"/>
        </w:rPr>
        <w:t> </w:t>
      </w:r>
      <w:r>
        <w:rPr/>
        <w:t>в</w:t>
      </w:r>
      <w:r>
        <w:rPr>
          <w:spacing w:val="-12"/>
        </w:rPr>
        <w:t> </w:t>
      </w:r>
      <w:r>
        <w:rPr/>
        <w:t>разработке</w:t>
      </w:r>
      <w:r>
        <w:rPr>
          <w:spacing w:val="-13"/>
        </w:rPr>
        <w:t> </w:t>
      </w:r>
      <w:r>
        <w:rPr/>
        <w:t>информационных</w:t>
      </w:r>
      <w:r>
        <w:rPr>
          <w:spacing w:val="-12"/>
        </w:rPr>
        <w:t> </w:t>
      </w:r>
      <w:r>
        <w:rPr/>
        <w:t>материа- лов</w:t>
      </w:r>
      <w:r>
        <w:rPr>
          <w:spacing w:val="-12"/>
        </w:rPr>
        <w:t> </w:t>
      </w:r>
      <w:r>
        <w:rPr/>
        <w:t>для</w:t>
      </w:r>
      <w:r>
        <w:rPr>
          <w:spacing w:val="-12"/>
        </w:rPr>
        <w:t> </w:t>
      </w:r>
      <w:r>
        <w:rPr/>
        <w:t>иностранных</w:t>
      </w:r>
      <w:r>
        <w:rPr>
          <w:spacing w:val="-12"/>
        </w:rPr>
        <w:t> </w:t>
      </w:r>
      <w:r>
        <w:rPr/>
        <w:t>граждан,</w:t>
      </w:r>
      <w:r>
        <w:rPr>
          <w:spacing w:val="-12"/>
        </w:rPr>
        <w:t> </w:t>
      </w:r>
      <w:r>
        <w:rPr/>
        <w:t>а</w:t>
      </w:r>
      <w:r>
        <w:rPr>
          <w:spacing w:val="-12"/>
        </w:rPr>
        <w:t> </w:t>
      </w:r>
      <w:r>
        <w:rPr/>
        <w:t>также</w:t>
      </w:r>
      <w:r>
        <w:rPr>
          <w:spacing w:val="-12"/>
        </w:rPr>
        <w:t> </w:t>
      </w:r>
      <w:r>
        <w:rPr/>
        <w:t>выступать</w:t>
      </w:r>
      <w:r>
        <w:rPr>
          <w:spacing w:val="-12"/>
        </w:rPr>
        <w:t> </w:t>
      </w:r>
      <w:r>
        <w:rPr/>
        <w:t>в</w:t>
      </w:r>
      <w:r>
        <w:rPr>
          <w:spacing w:val="-12"/>
        </w:rPr>
        <w:t> </w:t>
      </w:r>
      <w:r>
        <w:rPr/>
        <w:t>качестве</w:t>
      </w:r>
      <w:r>
        <w:rPr>
          <w:spacing w:val="-12"/>
        </w:rPr>
        <w:t> </w:t>
      </w:r>
      <w:r>
        <w:rPr/>
        <w:t>экспертов.</w:t>
      </w:r>
      <w:r>
        <w:rPr>
          <w:spacing w:val="-12"/>
        </w:rPr>
        <w:t> </w:t>
      </w:r>
      <w:r>
        <w:rPr/>
        <w:t>Подготовлен- ные</w:t>
      </w:r>
      <w:r>
        <w:rPr>
          <w:spacing w:val="-13"/>
        </w:rPr>
        <w:t> </w:t>
      </w:r>
      <w:r>
        <w:rPr/>
        <w:t>сотрудниками</w:t>
      </w:r>
      <w:r>
        <w:rPr>
          <w:spacing w:val="-12"/>
        </w:rPr>
        <w:t> </w:t>
      </w:r>
      <w:r>
        <w:rPr/>
        <w:t>школы</w:t>
      </w:r>
      <w:r>
        <w:rPr>
          <w:spacing w:val="-13"/>
        </w:rPr>
        <w:t> </w:t>
      </w:r>
      <w:r>
        <w:rPr/>
        <w:t>материалы</w:t>
      </w:r>
      <w:r>
        <w:rPr>
          <w:spacing w:val="-12"/>
        </w:rPr>
        <w:t> </w:t>
      </w:r>
      <w:r>
        <w:rPr/>
        <w:t>имеет</w:t>
      </w:r>
      <w:r>
        <w:rPr>
          <w:spacing w:val="-13"/>
        </w:rPr>
        <w:t> </w:t>
      </w:r>
      <w:r>
        <w:rPr/>
        <w:t>смысл</w:t>
      </w:r>
      <w:r>
        <w:rPr>
          <w:spacing w:val="-12"/>
        </w:rPr>
        <w:t> </w:t>
      </w:r>
      <w:r>
        <w:rPr/>
        <w:t>обсудить</w:t>
      </w:r>
      <w:r>
        <w:rPr>
          <w:spacing w:val="-13"/>
        </w:rPr>
        <w:t> </w:t>
      </w:r>
      <w:r>
        <w:rPr/>
        <w:t>с</w:t>
      </w:r>
      <w:r>
        <w:rPr>
          <w:spacing w:val="-12"/>
        </w:rPr>
        <w:t> </w:t>
      </w:r>
      <w:r>
        <w:rPr/>
        <w:t>активом</w:t>
      </w:r>
      <w:r>
        <w:rPr>
          <w:spacing w:val="-13"/>
        </w:rPr>
        <w:t> </w:t>
      </w:r>
      <w:r>
        <w:rPr/>
        <w:t>родителей-ми- грантов,</w:t>
      </w:r>
      <w:r>
        <w:rPr>
          <w:spacing w:val="-11"/>
        </w:rPr>
        <w:t> </w:t>
      </w:r>
      <w:r>
        <w:rPr/>
        <w:t>чтобы</w:t>
      </w:r>
      <w:r>
        <w:rPr>
          <w:spacing w:val="-11"/>
        </w:rPr>
        <w:t> </w:t>
      </w:r>
      <w:r>
        <w:rPr/>
        <w:t>получить</w:t>
      </w:r>
      <w:r>
        <w:rPr>
          <w:spacing w:val="-11"/>
        </w:rPr>
        <w:t> </w:t>
      </w:r>
      <w:r>
        <w:rPr/>
        <w:t>обратную</w:t>
      </w:r>
      <w:r>
        <w:rPr>
          <w:spacing w:val="-11"/>
        </w:rPr>
        <w:t> </w:t>
      </w:r>
      <w:r>
        <w:rPr/>
        <w:t>связь</w:t>
      </w:r>
      <w:r>
        <w:rPr>
          <w:spacing w:val="-11"/>
        </w:rPr>
        <w:t> </w:t>
      </w:r>
      <w:r>
        <w:rPr/>
        <w:t>и</w:t>
      </w:r>
      <w:r>
        <w:rPr>
          <w:spacing w:val="-11"/>
        </w:rPr>
        <w:t> </w:t>
      </w:r>
      <w:r>
        <w:rPr/>
        <w:t>по</w:t>
      </w:r>
      <w:r>
        <w:rPr>
          <w:spacing w:val="-11"/>
        </w:rPr>
        <w:t> </w:t>
      </w:r>
      <w:r>
        <w:rPr/>
        <w:t>необходимости</w:t>
      </w:r>
      <w:r>
        <w:rPr>
          <w:spacing w:val="-11"/>
        </w:rPr>
        <w:t> </w:t>
      </w:r>
      <w:r>
        <w:rPr/>
        <w:t>внести</w:t>
      </w:r>
      <w:r>
        <w:rPr>
          <w:spacing w:val="-11"/>
        </w:rPr>
        <w:t> </w:t>
      </w:r>
      <w:r>
        <w:rPr/>
        <w:t>дополнения</w:t>
      </w:r>
      <w:r>
        <w:rPr>
          <w:spacing w:val="-11"/>
        </w:rPr>
        <w:t> </w:t>
      </w:r>
      <w:r>
        <w:rPr/>
        <w:t>или </w:t>
      </w:r>
      <w:r>
        <w:rPr>
          <w:spacing w:val="-2"/>
        </w:rPr>
        <w:t>уточнения.</w:t>
      </w:r>
    </w:p>
    <w:p>
      <w:pPr>
        <w:pStyle w:val="BodyText"/>
        <w:spacing w:line="235" w:lineRule="auto" w:before="3"/>
      </w:pPr>
      <w:r>
        <w:rPr/>
        <w:t>В</w:t>
      </w:r>
      <w:r>
        <w:rPr>
          <w:spacing w:val="-1"/>
        </w:rPr>
        <w:t> </w:t>
      </w:r>
      <w:r>
        <w:rPr/>
        <w:t>ходе</w:t>
      </w:r>
      <w:r>
        <w:rPr>
          <w:spacing w:val="-1"/>
        </w:rPr>
        <w:t> </w:t>
      </w:r>
      <w:r>
        <w:rPr/>
        <w:t>разработки</w:t>
      </w:r>
      <w:r>
        <w:rPr>
          <w:spacing w:val="-1"/>
        </w:rPr>
        <w:t> </w:t>
      </w:r>
      <w:r>
        <w:rPr/>
        <w:t>и</w:t>
      </w:r>
      <w:r>
        <w:rPr>
          <w:spacing w:val="-1"/>
        </w:rPr>
        <w:t> </w:t>
      </w:r>
      <w:r>
        <w:rPr/>
        <w:t>уточнения</w:t>
      </w:r>
      <w:r>
        <w:rPr>
          <w:spacing w:val="-1"/>
        </w:rPr>
        <w:t> </w:t>
      </w:r>
      <w:r>
        <w:rPr/>
        <w:t>стратегии</w:t>
      </w:r>
      <w:r>
        <w:rPr>
          <w:spacing w:val="-1"/>
        </w:rPr>
        <w:t> </w:t>
      </w:r>
      <w:r>
        <w:rPr/>
        <w:t>сопровождения</w:t>
      </w:r>
      <w:r>
        <w:rPr>
          <w:spacing w:val="-1"/>
        </w:rPr>
        <w:t> </w:t>
      </w:r>
      <w:r>
        <w:rPr/>
        <w:t>языковой</w:t>
      </w:r>
      <w:r>
        <w:rPr>
          <w:spacing w:val="-1"/>
        </w:rPr>
        <w:t> </w:t>
      </w:r>
      <w:r>
        <w:rPr/>
        <w:t>и</w:t>
      </w:r>
      <w:r>
        <w:rPr>
          <w:spacing w:val="-1"/>
        </w:rPr>
        <w:t> </w:t>
      </w:r>
      <w:r>
        <w:rPr/>
        <w:t>социокуль- турной</w:t>
      </w:r>
      <w:r>
        <w:rPr>
          <w:spacing w:val="-12"/>
        </w:rPr>
        <w:t> </w:t>
      </w:r>
      <w:r>
        <w:rPr/>
        <w:t>адаптации</w:t>
      </w:r>
      <w:r>
        <w:rPr>
          <w:spacing w:val="-12"/>
        </w:rPr>
        <w:t> </w:t>
      </w:r>
      <w:r>
        <w:rPr/>
        <w:t>несовершеннолетних</w:t>
      </w:r>
      <w:r>
        <w:rPr>
          <w:spacing w:val="-12"/>
        </w:rPr>
        <w:t> </w:t>
      </w:r>
      <w:r>
        <w:rPr/>
        <w:t>иностранных</w:t>
      </w:r>
      <w:r>
        <w:rPr>
          <w:spacing w:val="-12"/>
        </w:rPr>
        <w:t> </w:t>
      </w:r>
      <w:r>
        <w:rPr/>
        <w:t>граждан</w:t>
      </w:r>
      <w:r>
        <w:rPr>
          <w:spacing w:val="-12"/>
        </w:rPr>
        <w:t> </w:t>
      </w:r>
      <w:r>
        <w:rPr/>
        <w:t>имеет</w:t>
      </w:r>
      <w:r>
        <w:rPr>
          <w:spacing w:val="-12"/>
        </w:rPr>
        <w:t> </w:t>
      </w:r>
      <w:r>
        <w:rPr/>
        <w:t>смысл</w:t>
      </w:r>
      <w:r>
        <w:rPr>
          <w:spacing w:val="-12"/>
        </w:rPr>
        <w:t> </w:t>
      </w:r>
      <w:r>
        <w:rPr/>
        <w:t>привлечь активных</w:t>
      </w:r>
      <w:r>
        <w:rPr>
          <w:spacing w:val="-13"/>
        </w:rPr>
        <w:t> </w:t>
      </w:r>
      <w:r>
        <w:rPr/>
        <w:t>родителей-мигрантов</w:t>
      </w:r>
      <w:r>
        <w:rPr>
          <w:spacing w:val="-12"/>
        </w:rPr>
        <w:t> </w:t>
      </w:r>
      <w:r>
        <w:rPr/>
        <w:t>к</w:t>
      </w:r>
      <w:r>
        <w:rPr>
          <w:spacing w:val="-13"/>
        </w:rPr>
        <w:t> </w:t>
      </w:r>
      <w:r>
        <w:rPr/>
        <w:t>анализу</w:t>
      </w:r>
      <w:r>
        <w:rPr>
          <w:spacing w:val="-12"/>
        </w:rPr>
        <w:t> </w:t>
      </w:r>
      <w:r>
        <w:rPr/>
        <w:t>эффективности</w:t>
      </w:r>
      <w:r>
        <w:rPr>
          <w:spacing w:val="-13"/>
        </w:rPr>
        <w:t> </w:t>
      </w:r>
      <w:r>
        <w:rPr/>
        <w:t>предлагаемых</w:t>
      </w:r>
      <w:r>
        <w:rPr>
          <w:spacing w:val="-12"/>
        </w:rPr>
        <w:t> </w:t>
      </w:r>
      <w:r>
        <w:rPr/>
        <w:t>школой</w:t>
      </w:r>
      <w:r>
        <w:rPr>
          <w:spacing w:val="-13"/>
        </w:rPr>
        <w:t> </w:t>
      </w:r>
      <w:r>
        <w:rPr/>
        <w:t>мер. Возможно,</w:t>
      </w:r>
      <w:r>
        <w:rPr>
          <w:spacing w:val="-5"/>
        </w:rPr>
        <w:t> </w:t>
      </w:r>
      <w:r>
        <w:rPr/>
        <w:t>надо</w:t>
      </w:r>
      <w:r>
        <w:rPr>
          <w:spacing w:val="-5"/>
        </w:rPr>
        <w:t> </w:t>
      </w:r>
      <w:r>
        <w:rPr/>
        <w:t>будет</w:t>
      </w:r>
      <w:r>
        <w:rPr>
          <w:spacing w:val="-5"/>
        </w:rPr>
        <w:t> </w:t>
      </w:r>
      <w:r>
        <w:rPr/>
        <w:t>провести</w:t>
      </w:r>
      <w:r>
        <w:rPr>
          <w:spacing w:val="-5"/>
        </w:rPr>
        <w:t> </w:t>
      </w:r>
      <w:r>
        <w:rPr/>
        <w:t>фокус-группу,</w:t>
      </w:r>
      <w:r>
        <w:rPr>
          <w:spacing w:val="-5"/>
        </w:rPr>
        <w:t> </w:t>
      </w:r>
      <w:r>
        <w:rPr/>
        <w:t>на</w:t>
      </w:r>
      <w:r>
        <w:rPr>
          <w:spacing w:val="-5"/>
        </w:rPr>
        <w:t> </w:t>
      </w:r>
      <w:r>
        <w:rPr/>
        <w:t>которой</w:t>
      </w:r>
      <w:r>
        <w:rPr>
          <w:spacing w:val="-5"/>
        </w:rPr>
        <w:t> </w:t>
      </w:r>
      <w:r>
        <w:rPr/>
        <w:t>могут</w:t>
      </w:r>
      <w:r>
        <w:rPr>
          <w:spacing w:val="-5"/>
        </w:rPr>
        <w:t> </w:t>
      </w:r>
      <w:r>
        <w:rPr/>
        <w:t>обсуждаться</w:t>
      </w:r>
      <w:r>
        <w:rPr>
          <w:spacing w:val="-5"/>
        </w:rPr>
        <w:t> </w:t>
      </w:r>
      <w:r>
        <w:rPr/>
        <w:t>следу- ющие вопросы:</w:t>
      </w:r>
    </w:p>
    <w:p>
      <w:pPr>
        <w:pStyle w:val="ListParagraph"/>
        <w:numPr>
          <w:ilvl w:val="0"/>
          <w:numId w:val="98"/>
        </w:numPr>
        <w:tabs>
          <w:tab w:pos="424" w:val="left" w:leader="none"/>
        </w:tabs>
        <w:spacing w:line="227" w:lineRule="exact" w:before="0" w:after="0"/>
        <w:ind w:left="424" w:right="0" w:hanging="283"/>
        <w:jc w:val="left"/>
        <w:rPr>
          <w:sz w:val="20"/>
        </w:rPr>
      </w:pPr>
      <w:r>
        <w:rPr>
          <w:sz w:val="20"/>
        </w:rPr>
        <w:t>Каковы</w:t>
      </w:r>
      <w:r>
        <w:rPr>
          <w:spacing w:val="-11"/>
          <w:sz w:val="20"/>
        </w:rPr>
        <w:t> </w:t>
      </w:r>
      <w:r>
        <w:rPr>
          <w:sz w:val="20"/>
        </w:rPr>
        <w:t>ожидания</w:t>
      </w:r>
      <w:r>
        <w:rPr>
          <w:spacing w:val="-8"/>
          <w:sz w:val="20"/>
        </w:rPr>
        <w:t> </w:t>
      </w:r>
      <w:r>
        <w:rPr>
          <w:sz w:val="20"/>
        </w:rPr>
        <w:t>родителей</w:t>
      </w:r>
      <w:r>
        <w:rPr>
          <w:spacing w:val="-10"/>
          <w:sz w:val="20"/>
        </w:rPr>
        <w:t> </w:t>
      </w:r>
      <w:r>
        <w:rPr>
          <w:sz w:val="20"/>
        </w:rPr>
        <w:t>от</w:t>
      </w:r>
      <w:r>
        <w:rPr>
          <w:spacing w:val="-8"/>
          <w:sz w:val="20"/>
        </w:rPr>
        <w:t> </w:t>
      </w:r>
      <w:r>
        <w:rPr>
          <w:sz w:val="20"/>
        </w:rPr>
        <w:t>школы,</w:t>
      </w:r>
      <w:r>
        <w:rPr>
          <w:spacing w:val="-9"/>
          <w:sz w:val="20"/>
        </w:rPr>
        <w:t> </w:t>
      </w:r>
      <w:r>
        <w:rPr>
          <w:sz w:val="20"/>
        </w:rPr>
        <w:t>педагогов</w:t>
      </w:r>
      <w:r>
        <w:rPr>
          <w:spacing w:val="-9"/>
          <w:sz w:val="20"/>
        </w:rPr>
        <w:t> </w:t>
      </w:r>
      <w:r>
        <w:rPr>
          <w:sz w:val="20"/>
        </w:rPr>
        <w:t>и</w:t>
      </w:r>
      <w:r>
        <w:rPr>
          <w:spacing w:val="-9"/>
          <w:sz w:val="20"/>
        </w:rPr>
        <w:t> </w:t>
      </w:r>
      <w:r>
        <w:rPr>
          <w:sz w:val="20"/>
        </w:rPr>
        <w:t>от</w:t>
      </w:r>
      <w:r>
        <w:rPr>
          <w:spacing w:val="-9"/>
          <w:sz w:val="20"/>
        </w:rPr>
        <w:t> </w:t>
      </w:r>
      <w:r>
        <w:rPr>
          <w:sz w:val="20"/>
        </w:rPr>
        <w:t>собственных</w:t>
      </w:r>
      <w:r>
        <w:rPr>
          <w:spacing w:val="-8"/>
          <w:sz w:val="20"/>
        </w:rPr>
        <w:t> </w:t>
      </w:r>
      <w:r>
        <w:rPr>
          <w:spacing w:val="-2"/>
          <w:sz w:val="20"/>
        </w:rPr>
        <w:t>детей?</w:t>
      </w:r>
    </w:p>
    <w:p>
      <w:pPr>
        <w:pStyle w:val="ListParagraph"/>
        <w:numPr>
          <w:ilvl w:val="0"/>
          <w:numId w:val="98"/>
        </w:numPr>
        <w:tabs>
          <w:tab w:pos="425" w:val="left" w:leader="none"/>
        </w:tabs>
        <w:spacing w:line="235" w:lineRule="auto" w:before="1" w:after="0"/>
        <w:ind w:left="425" w:right="139" w:hanging="284"/>
        <w:jc w:val="left"/>
        <w:rPr>
          <w:sz w:val="20"/>
        </w:rPr>
      </w:pPr>
      <w:r>
        <w:rPr>
          <w:sz w:val="20"/>
        </w:rPr>
        <w:t>Какие мероприятия для родителей-мигрантов будут наиболее интересными, по- лезными, и какие мероприятия они с большей готовностью будут посещать?</w:t>
      </w:r>
    </w:p>
    <w:p>
      <w:pPr>
        <w:pStyle w:val="ListParagraph"/>
        <w:numPr>
          <w:ilvl w:val="0"/>
          <w:numId w:val="98"/>
        </w:numPr>
        <w:tabs>
          <w:tab w:pos="424" w:val="left" w:leader="none"/>
        </w:tabs>
        <w:spacing w:line="227" w:lineRule="exact" w:before="0" w:after="0"/>
        <w:ind w:left="424" w:right="0" w:hanging="283"/>
        <w:jc w:val="left"/>
        <w:rPr>
          <w:sz w:val="20"/>
        </w:rPr>
      </w:pPr>
      <w:r>
        <w:rPr>
          <w:sz w:val="20"/>
        </w:rPr>
        <w:t>Какие</w:t>
      </w:r>
      <w:r>
        <w:rPr>
          <w:spacing w:val="-6"/>
          <w:sz w:val="20"/>
        </w:rPr>
        <w:t> </w:t>
      </w:r>
      <w:r>
        <w:rPr>
          <w:sz w:val="20"/>
        </w:rPr>
        <w:t>факторы</w:t>
      </w:r>
      <w:r>
        <w:rPr>
          <w:spacing w:val="-5"/>
          <w:sz w:val="20"/>
        </w:rPr>
        <w:t> </w:t>
      </w:r>
      <w:r>
        <w:rPr>
          <w:sz w:val="20"/>
        </w:rPr>
        <w:t>могут</w:t>
      </w:r>
      <w:r>
        <w:rPr>
          <w:spacing w:val="-5"/>
          <w:sz w:val="20"/>
        </w:rPr>
        <w:t> </w:t>
      </w:r>
      <w:r>
        <w:rPr>
          <w:sz w:val="20"/>
        </w:rPr>
        <w:t>препятствовать</w:t>
      </w:r>
      <w:r>
        <w:rPr>
          <w:spacing w:val="-6"/>
          <w:sz w:val="20"/>
        </w:rPr>
        <w:t> </w:t>
      </w:r>
      <w:r>
        <w:rPr>
          <w:sz w:val="20"/>
        </w:rPr>
        <w:t>успешному</w:t>
      </w:r>
      <w:r>
        <w:rPr>
          <w:spacing w:val="-5"/>
          <w:sz w:val="20"/>
        </w:rPr>
        <w:t> </w:t>
      </w:r>
      <w:r>
        <w:rPr>
          <w:spacing w:val="-2"/>
          <w:sz w:val="20"/>
        </w:rPr>
        <w:t>взаимодействию?</w:t>
      </w:r>
    </w:p>
    <w:p>
      <w:pPr>
        <w:pStyle w:val="BodyText"/>
        <w:spacing w:line="235" w:lineRule="auto" w:before="114"/>
      </w:pPr>
      <w:r>
        <w:rPr/>
        <w:t>Важным проектом, которым может заняться родительский актив совместно с пе- дагогами,</w:t>
      </w:r>
      <w:r>
        <w:rPr>
          <w:spacing w:val="-2"/>
        </w:rPr>
        <w:t> </w:t>
      </w:r>
      <w:r>
        <w:rPr/>
        <w:t>является</w:t>
      </w:r>
      <w:r>
        <w:rPr>
          <w:spacing w:val="-2"/>
        </w:rPr>
        <w:t> </w:t>
      </w:r>
      <w:r>
        <w:rPr/>
        <w:t>подготовка</w:t>
      </w:r>
      <w:r>
        <w:rPr>
          <w:spacing w:val="-2"/>
        </w:rPr>
        <w:t> </w:t>
      </w:r>
      <w:r>
        <w:rPr/>
        <w:t>ответов</w:t>
      </w:r>
      <w:r>
        <w:rPr>
          <w:spacing w:val="-2"/>
        </w:rPr>
        <w:t> </w:t>
      </w:r>
      <w:r>
        <w:rPr/>
        <w:t>на</w:t>
      </w:r>
      <w:r>
        <w:rPr>
          <w:spacing w:val="-2"/>
        </w:rPr>
        <w:t> </w:t>
      </w:r>
      <w:r>
        <w:rPr/>
        <w:t>частые</w:t>
      </w:r>
      <w:r>
        <w:rPr>
          <w:spacing w:val="-2"/>
        </w:rPr>
        <w:t> </w:t>
      </w:r>
      <w:r>
        <w:rPr/>
        <w:t>вопросы</w:t>
      </w:r>
      <w:r>
        <w:rPr>
          <w:spacing w:val="-2"/>
        </w:rPr>
        <w:t> </w:t>
      </w:r>
      <w:r>
        <w:rPr/>
        <w:t>родителей</w:t>
      </w:r>
      <w:r>
        <w:rPr>
          <w:spacing w:val="-2"/>
        </w:rPr>
        <w:t> </w:t>
      </w:r>
      <w:r>
        <w:rPr/>
        <w:t>–</w:t>
      </w:r>
      <w:r>
        <w:rPr>
          <w:spacing w:val="-2"/>
        </w:rPr>
        <w:t> </w:t>
      </w:r>
      <w:r>
        <w:rPr/>
        <w:t>иностранных граждан. Реализация этого проекта проходит в несколько этапов.</w:t>
      </w:r>
    </w:p>
    <w:p>
      <w:pPr>
        <w:pStyle w:val="BodyText"/>
        <w:spacing w:line="235" w:lineRule="auto" w:before="1"/>
      </w:pPr>
      <w:r>
        <w:rPr/>
        <w:t>На</w:t>
      </w:r>
      <w:r>
        <w:rPr>
          <w:spacing w:val="-4"/>
        </w:rPr>
        <w:t> </w:t>
      </w:r>
      <w:r>
        <w:rPr/>
        <w:t>первом</w:t>
      </w:r>
      <w:r>
        <w:rPr>
          <w:spacing w:val="-4"/>
        </w:rPr>
        <w:t> </w:t>
      </w:r>
      <w:r>
        <w:rPr/>
        <w:t>этапе</w:t>
      </w:r>
      <w:r>
        <w:rPr>
          <w:spacing w:val="-4"/>
        </w:rPr>
        <w:t> </w:t>
      </w:r>
      <w:r>
        <w:rPr/>
        <w:t>проводится</w:t>
      </w:r>
      <w:r>
        <w:rPr>
          <w:spacing w:val="-4"/>
        </w:rPr>
        <w:t> </w:t>
      </w:r>
      <w:r>
        <w:rPr/>
        <w:t>сбор</w:t>
      </w:r>
      <w:r>
        <w:rPr>
          <w:spacing w:val="-4"/>
        </w:rPr>
        <w:t> </w:t>
      </w:r>
      <w:r>
        <w:rPr/>
        <w:t>типичных</w:t>
      </w:r>
      <w:r>
        <w:rPr>
          <w:spacing w:val="-4"/>
        </w:rPr>
        <w:t> </w:t>
      </w:r>
      <w:r>
        <w:rPr/>
        <w:t>вопросов.</w:t>
      </w:r>
      <w:r>
        <w:rPr>
          <w:spacing w:val="-4"/>
        </w:rPr>
        <w:t> </w:t>
      </w:r>
      <w:r>
        <w:rPr/>
        <w:t>Для</w:t>
      </w:r>
      <w:r>
        <w:rPr>
          <w:spacing w:val="-4"/>
        </w:rPr>
        <w:t> </w:t>
      </w:r>
      <w:r>
        <w:rPr/>
        <w:t>этого</w:t>
      </w:r>
      <w:r>
        <w:rPr>
          <w:spacing w:val="-4"/>
        </w:rPr>
        <w:t> </w:t>
      </w:r>
      <w:r>
        <w:rPr/>
        <w:t>могут</w:t>
      </w:r>
      <w:r>
        <w:rPr>
          <w:spacing w:val="-4"/>
        </w:rPr>
        <w:t> </w:t>
      </w:r>
      <w:r>
        <w:rPr/>
        <w:t>использо- ваться</w:t>
      </w:r>
      <w:r>
        <w:rPr>
          <w:spacing w:val="-7"/>
        </w:rPr>
        <w:t> </w:t>
      </w:r>
      <w:r>
        <w:rPr/>
        <w:t>опросы</w:t>
      </w:r>
      <w:r>
        <w:rPr>
          <w:spacing w:val="-7"/>
        </w:rPr>
        <w:t> </w:t>
      </w:r>
      <w:r>
        <w:rPr/>
        <w:t>родителей</w:t>
      </w:r>
      <w:r>
        <w:rPr>
          <w:spacing w:val="-7"/>
        </w:rPr>
        <w:t> </w:t>
      </w:r>
      <w:r>
        <w:rPr/>
        <w:t>–</w:t>
      </w:r>
      <w:r>
        <w:rPr>
          <w:spacing w:val="-7"/>
        </w:rPr>
        <w:t> </w:t>
      </w:r>
      <w:r>
        <w:rPr/>
        <w:t>иностранных</w:t>
      </w:r>
      <w:r>
        <w:rPr>
          <w:spacing w:val="-7"/>
        </w:rPr>
        <w:t> </w:t>
      </w:r>
      <w:r>
        <w:rPr/>
        <w:t>граждан,</w:t>
      </w:r>
      <w:r>
        <w:rPr>
          <w:spacing w:val="-7"/>
        </w:rPr>
        <w:t> </w:t>
      </w:r>
      <w:r>
        <w:rPr/>
        <w:t>в</w:t>
      </w:r>
      <w:r>
        <w:rPr>
          <w:spacing w:val="-7"/>
        </w:rPr>
        <w:t> </w:t>
      </w:r>
      <w:r>
        <w:rPr/>
        <w:t>том</w:t>
      </w:r>
      <w:r>
        <w:rPr>
          <w:spacing w:val="-7"/>
        </w:rPr>
        <w:t> </w:t>
      </w:r>
      <w:r>
        <w:rPr/>
        <w:t>числе</w:t>
      </w:r>
      <w:r>
        <w:rPr>
          <w:spacing w:val="-7"/>
        </w:rPr>
        <w:t> </w:t>
      </w:r>
      <w:r>
        <w:rPr/>
        <w:t>и</w:t>
      </w:r>
      <w:r>
        <w:rPr>
          <w:spacing w:val="-7"/>
        </w:rPr>
        <w:t> </w:t>
      </w:r>
      <w:r>
        <w:rPr/>
        <w:t>самого</w:t>
      </w:r>
      <w:r>
        <w:rPr>
          <w:spacing w:val="-7"/>
        </w:rPr>
        <w:t> </w:t>
      </w:r>
      <w:r>
        <w:rPr/>
        <w:t>родительско- го</w:t>
      </w:r>
      <w:r>
        <w:rPr>
          <w:spacing w:val="-5"/>
        </w:rPr>
        <w:t> </w:t>
      </w:r>
      <w:r>
        <w:rPr/>
        <w:t>актива</w:t>
      </w:r>
      <w:r>
        <w:rPr>
          <w:spacing w:val="-5"/>
        </w:rPr>
        <w:t> </w:t>
      </w:r>
      <w:r>
        <w:rPr/>
        <w:t>(в</w:t>
      </w:r>
      <w:r>
        <w:rPr>
          <w:spacing w:val="-5"/>
        </w:rPr>
        <w:t> </w:t>
      </w:r>
      <w:r>
        <w:rPr/>
        <w:t>устной</w:t>
      </w:r>
      <w:r>
        <w:rPr>
          <w:spacing w:val="-5"/>
        </w:rPr>
        <w:t> </w:t>
      </w:r>
      <w:r>
        <w:rPr/>
        <w:t>или</w:t>
      </w:r>
      <w:r>
        <w:rPr>
          <w:spacing w:val="-5"/>
        </w:rPr>
        <w:t> </w:t>
      </w:r>
      <w:r>
        <w:rPr/>
        <w:t>письменной</w:t>
      </w:r>
      <w:r>
        <w:rPr>
          <w:spacing w:val="-5"/>
        </w:rPr>
        <w:t> </w:t>
      </w:r>
      <w:r>
        <w:rPr/>
        <w:t>форме,</w:t>
      </w:r>
      <w:r>
        <w:rPr>
          <w:spacing w:val="-5"/>
        </w:rPr>
        <w:t> </w:t>
      </w:r>
      <w:r>
        <w:rPr/>
        <w:t>на</w:t>
      </w:r>
      <w:r>
        <w:rPr>
          <w:spacing w:val="-5"/>
        </w:rPr>
        <w:t> </w:t>
      </w:r>
      <w:r>
        <w:rPr/>
        <w:t>русском</w:t>
      </w:r>
      <w:r>
        <w:rPr>
          <w:spacing w:val="-5"/>
        </w:rPr>
        <w:t> </w:t>
      </w:r>
      <w:r>
        <w:rPr/>
        <w:t>или</w:t>
      </w:r>
      <w:r>
        <w:rPr>
          <w:spacing w:val="-5"/>
        </w:rPr>
        <w:t> </w:t>
      </w:r>
      <w:r>
        <w:rPr/>
        <w:t>родном</w:t>
      </w:r>
      <w:r>
        <w:rPr>
          <w:spacing w:val="-5"/>
        </w:rPr>
        <w:t> </w:t>
      </w:r>
      <w:r>
        <w:rPr/>
        <w:t>языке);</w:t>
      </w:r>
      <w:r>
        <w:rPr>
          <w:spacing w:val="-5"/>
        </w:rPr>
        <w:t> </w:t>
      </w:r>
      <w:r>
        <w:rPr/>
        <w:t>мозговой</w:t>
      </w:r>
    </w:p>
    <w:p>
      <w:pPr>
        <w:pStyle w:val="BodyText"/>
        <w:spacing w:after="0" w:line="235" w:lineRule="auto"/>
        <w:sectPr>
          <w:pgSz w:w="8400" w:h="11910"/>
          <w:pgMar w:header="0" w:footer="535" w:top="400" w:bottom="740" w:left="425" w:right="425"/>
        </w:sectPr>
      </w:pPr>
    </w:p>
    <w:p>
      <w:pPr>
        <w:pStyle w:val="ListParagraph"/>
        <w:numPr>
          <w:ilvl w:val="1"/>
          <w:numId w:val="86"/>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Стратегии</w:t>
      </w:r>
      <w:r>
        <w:rPr>
          <w:rFonts w:ascii="Georgia" w:hAnsi="Georgia"/>
          <w:color w:val="231F20"/>
          <w:spacing w:val="6"/>
          <w:sz w:val="18"/>
        </w:rPr>
        <w:t> </w:t>
      </w:r>
      <w:r>
        <w:rPr>
          <w:rFonts w:ascii="Georgia" w:hAnsi="Georgia"/>
          <w:color w:val="231F20"/>
          <w:sz w:val="18"/>
        </w:rPr>
        <w:t>работы</w:t>
      </w:r>
      <w:r>
        <w:rPr>
          <w:rFonts w:ascii="Georgia" w:hAnsi="Georgia"/>
          <w:color w:val="231F20"/>
          <w:spacing w:val="6"/>
          <w:sz w:val="18"/>
        </w:rPr>
        <w:t> </w:t>
      </w:r>
      <w:r>
        <w:rPr>
          <w:rFonts w:ascii="Georgia" w:hAnsi="Georgia"/>
          <w:color w:val="231F20"/>
          <w:sz w:val="18"/>
        </w:rPr>
        <w:t>с</w:t>
      </w:r>
      <w:r>
        <w:rPr>
          <w:rFonts w:ascii="Georgia" w:hAnsi="Georgia"/>
          <w:color w:val="231F20"/>
          <w:spacing w:val="6"/>
          <w:sz w:val="18"/>
        </w:rPr>
        <w:t> </w:t>
      </w:r>
      <w:r>
        <w:rPr>
          <w:rFonts w:ascii="Georgia" w:hAnsi="Georgia"/>
          <w:color w:val="231F20"/>
          <w:sz w:val="18"/>
        </w:rPr>
        <w:t>родительским</w:t>
      </w:r>
      <w:r>
        <w:rPr>
          <w:rFonts w:ascii="Georgia" w:hAnsi="Georgia"/>
          <w:color w:val="231F20"/>
          <w:spacing w:val="6"/>
          <w:sz w:val="18"/>
        </w:rPr>
        <w:t> </w:t>
      </w:r>
      <w:r>
        <w:rPr>
          <w:rFonts w:ascii="Georgia" w:hAnsi="Georgia"/>
          <w:color w:val="231F20"/>
          <w:spacing w:val="-2"/>
          <w:sz w:val="18"/>
        </w:rPr>
        <w:t>сообществом</w:t>
      </w:r>
    </w:p>
    <w:p>
      <w:pPr>
        <w:pStyle w:val="BodyText"/>
        <w:spacing w:line="235" w:lineRule="auto" w:before="116"/>
        <w:ind w:firstLine="0"/>
      </w:pPr>
      <w:r>
        <w:rPr/>
        <w:t>штурм педагогов, работающих с семьями мигрантов, и педагогов русского как ино- странного,</w:t>
      </w:r>
      <w:r>
        <w:rPr>
          <w:spacing w:val="-9"/>
        </w:rPr>
        <w:t> </w:t>
      </w:r>
      <w:r>
        <w:rPr/>
        <w:t>среди</w:t>
      </w:r>
      <w:r>
        <w:rPr>
          <w:spacing w:val="-9"/>
        </w:rPr>
        <w:t> </w:t>
      </w:r>
      <w:r>
        <w:rPr/>
        <w:t>непосредственно</w:t>
      </w:r>
      <w:r>
        <w:rPr>
          <w:spacing w:val="-9"/>
        </w:rPr>
        <w:t> </w:t>
      </w:r>
      <w:r>
        <w:rPr/>
        <w:t>родительского</w:t>
      </w:r>
      <w:r>
        <w:rPr>
          <w:spacing w:val="-9"/>
        </w:rPr>
        <w:t> </w:t>
      </w:r>
      <w:r>
        <w:rPr/>
        <w:t>актива.</w:t>
      </w:r>
      <w:r>
        <w:rPr>
          <w:spacing w:val="-9"/>
        </w:rPr>
        <w:t> </w:t>
      </w:r>
      <w:r>
        <w:rPr/>
        <w:t>Итогом</w:t>
      </w:r>
      <w:r>
        <w:rPr>
          <w:spacing w:val="-9"/>
        </w:rPr>
        <w:t> </w:t>
      </w:r>
      <w:r>
        <w:rPr/>
        <w:t>этого</w:t>
      </w:r>
      <w:r>
        <w:rPr>
          <w:spacing w:val="-9"/>
        </w:rPr>
        <w:t> </w:t>
      </w:r>
      <w:r>
        <w:rPr/>
        <w:t>этапа</w:t>
      </w:r>
      <w:r>
        <w:rPr>
          <w:spacing w:val="-9"/>
        </w:rPr>
        <w:t> </w:t>
      </w:r>
      <w:r>
        <w:rPr/>
        <w:t>должен явиться</w:t>
      </w:r>
      <w:r>
        <w:rPr>
          <w:spacing w:val="-8"/>
        </w:rPr>
        <w:t> </w:t>
      </w:r>
      <w:r>
        <w:rPr/>
        <w:t>перечень</w:t>
      </w:r>
      <w:r>
        <w:rPr>
          <w:spacing w:val="-8"/>
        </w:rPr>
        <w:t> </w:t>
      </w:r>
      <w:r>
        <w:rPr/>
        <w:t>типичных</w:t>
      </w:r>
      <w:r>
        <w:rPr>
          <w:spacing w:val="-8"/>
        </w:rPr>
        <w:t> </w:t>
      </w:r>
      <w:r>
        <w:rPr/>
        <w:t>родительских</w:t>
      </w:r>
      <w:r>
        <w:rPr>
          <w:spacing w:val="-8"/>
        </w:rPr>
        <w:t> </w:t>
      </w:r>
      <w:r>
        <w:rPr/>
        <w:t>вопросов.</w:t>
      </w:r>
      <w:r>
        <w:rPr>
          <w:spacing w:val="-8"/>
        </w:rPr>
        <w:t> </w:t>
      </w:r>
      <w:r>
        <w:rPr/>
        <w:t>Можно</w:t>
      </w:r>
      <w:r>
        <w:rPr>
          <w:spacing w:val="-8"/>
        </w:rPr>
        <w:t> </w:t>
      </w:r>
      <w:r>
        <w:rPr/>
        <w:t>сделать</w:t>
      </w:r>
      <w:r>
        <w:rPr>
          <w:spacing w:val="-8"/>
        </w:rPr>
        <w:t> </w:t>
      </w:r>
      <w:r>
        <w:rPr/>
        <w:t>один</w:t>
      </w:r>
      <w:r>
        <w:rPr>
          <w:spacing w:val="-8"/>
        </w:rPr>
        <w:t> </w:t>
      </w:r>
      <w:r>
        <w:rPr/>
        <w:t>список</w:t>
      </w:r>
      <w:r>
        <w:rPr>
          <w:spacing w:val="-8"/>
        </w:rPr>
        <w:t> </w:t>
      </w:r>
      <w:r>
        <w:rPr/>
        <w:t>для всей школы, иногда целесообразно составить различные списки в зависимости от ступени обучения.</w:t>
      </w:r>
    </w:p>
    <w:p>
      <w:pPr>
        <w:pStyle w:val="BodyText"/>
        <w:spacing w:line="235" w:lineRule="auto" w:before="3"/>
      </w:pPr>
      <w:r>
        <w:rPr/>
        <w:t>На втором этапе необходимо подготовить ответы на эти вопросы. Для подго- товки ответов могут привлекаться различные сотрудники образовательной органи- зации: представители администрации, учителя-предметники, учителя русского как иностранного,</w:t>
      </w:r>
      <w:r>
        <w:rPr>
          <w:spacing w:val="-2"/>
        </w:rPr>
        <w:t> </w:t>
      </w:r>
      <w:r>
        <w:rPr/>
        <w:t>педагог-психолог.</w:t>
      </w:r>
      <w:r>
        <w:rPr>
          <w:spacing w:val="-2"/>
        </w:rPr>
        <w:t> </w:t>
      </w:r>
      <w:r>
        <w:rPr/>
        <w:t>После</w:t>
      </w:r>
      <w:r>
        <w:rPr>
          <w:spacing w:val="-2"/>
        </w:rPr>
        <w:t> </w:t>
      </w:r>
      <w:r>
        <w:rPr/>
        <w:t>того</w:t>
      </w:r>
      <w:r>
        <w:rPr>
          <w:spacing w:val="-2"/>
        </w:rPr>
        <w:t> </w:t>
      </w:r>
      <w:r>
        <w:rPr/>
        <w:t>как</w:t>
      </w:r>
      <w:r>
        <w:rPr>
          <w:spacing w:val="-2"/>
        </w:rPr>
        <w:t> </w:t>
      </w:r>
      <w:r>
        <w:rPr/>
        <w:t>ответы</w:t>
      </w:r>
      <w:r>
        <w:rPr>
          <w:spacing w:val="-2"/>
        </w:rPr>
        <w:t> </w:t>
      </w:r>
      <w:r>
        <w:rPr/>
        <w:t>готовы,</w:t>
      </w:r>
      <w:r>
        <w:rPr>
          <w:spacing w:val="-2"/>
        </w:rPr>
        <w:t> </w:t>
      </w:r>
      <w:r>
        <w:rPr/>
        <w:t>родительский</w:t>
      </w:r>
      <w:r>
        <w:rPr>
          <w:spacing w:val="-3"/>
        </w:rPr>
        <w:t> </w:t>
      </w:r>
      <w:r>
        <w:rPr/>
        <w:t>актив проводит</w:t>
      </w:r>
      <w:r>
        <w:rPr>
          <w:spacing w:val="-9"/>
        </w:rPr>
        <w:t> </w:t>
      </w:r>
      <w:r>
        <w:rPr/>
        <w:t>их</w:t>
      </w:r>
      <w:r>
        <w:rPr>
          <w:spacing w:val="-9"/>
        </w:rPr>
        <w:t> </w:t>
      </w:r>
      <w:r>
        <w:rPr/>
        <w:t>экспертизу:</w:t>
      </w:r>
      <w:r>
        <w:rPr>
          <w:spacing w:val="-9"/>
        </w:rPr>
        <w:t> </w:t>
      </w:r>
      <w:r>
        <w:rPr/>
        <w:t>оценивает</w:t>
      </w:r>
      <w:r>
        <w:rPr>
          <w:spacing w:val="-9"/>
        </w:rPr>
        <w:t> </w:t>
      </w:r>
      <w:r>
        <w:rPr/>
        <w:t>понятность</w:t>
      </w:r>
      <w:r>
        <w:rPr>
          <w:spacing w:val="-9"/>
        </w:rPr>
        <w:t> </w:t>
      </w:r>
      <w:r>
        <w:rPr/>
        <w:t>формулировок,</w:t>
      </w:r>
      <w:r>
        <w:rPr>
          <w:spacing w:val="-9"/>
        </w:rPr>
        <w:t> </w:t>
      </w:r>
      <w:r>
        <w:rPr/>
        <w:t>полноту</w:t>
      </w:r>
      <w:r>
        <w:rPr>
          <w:spacing w:val="-9"/>
        </w:rPr>
        <w:t> </w:t>
      </w:r>
      <w:r>
        <w:rPr/>
        <w:t>ответов</w:t>
      </w:r>
      <w:r>
        <w:rPr>
          <w:spacing w:val="-9"/>
        </w:rPr>
        <w:t> </w:t>
      </w:r>
      <w:r>
        <w:rPr/>
        <w:t>и</w:t>
      </w:r>
      <w:r>
        <w:rPr>
          <w:spacing w:val="-9"/>
        </w:rPr>
        <w:t> </w:t>
      </w:r>
      <w:r>
        <w:rPr/>
        <w:t>пр. После</w:t>
      </w:r>
      <w:r>
        <w:rPr>
          <w:spacing w:val="-10"/>
        </w:rPr>
        <w:t> </w:t>
      </w:r>
      <w:r>
        <w:rPr/>
        <w:t>внесения</w:t>
      </w:r>
      <w:r>
        <w:rPr>
          <w:spacing w:val="-10"/>
        </w:rPr>
        <w:t> </w:t>
      </w:r>
      <w:r>
        <w:rPr/>
        <w:t>поправок</w:t>
      </w:r>
      <w:r>
        <w:rPr>
          <w:spacing w:val="-10"/>
        </w:rPr>
        <w:t> </w:t>
      </w:r>
      <w:r>
        <w:rPr/>
        <w:t>формируется</w:t>
      </w:r>
      <w:r>
        <w:rPr>
          <w:spacing w:val="-10"/>
        </w:rPr>
        <w:t> </w:t>
      </w:r>
      <w:r>
        <w:rPr/>
        <w:t>итоговый</w:t>
      </w:r>
      <w:r>
        <w:rPr>
          <w:spacing w:val="-10"/>
        </w:rPr>
        <w:t> </w:t>
      </w:r>
      <w:r>
        <w:rPr/>
        <w:t>вариант</w:t>
      </w:r>
      <w:r>
        <w:rPr>
          <w:spacing w:val="-10"/>
        </w:rPr>
        <w:t> </w:t>
      </w:r>
      <w:r>
        <w:rPr/>
        <w:t>вопросов</w:t>
      </w:r>
      <w:r>
        <w:rPr>
          <w:spacing w:val="-10"/>
        </w:rPr>
        <w:t> </w:t>
      </w:r>
      <w:r>
        <w:rPr/>
        <w:t>и</w:t>
      </w:r>
      <w:r>
        <w:rPr>
          <w:spacing w:val="-10"/>
        </w:rPr>
        <w:t> </w:t>
      </w:r>
      <w:r>
        <w:rPr/>
        <w:t>ответов,</w:t>
      </w:r>
      <w:r>
        <w:rPr>
          <w:spacing w:val="-10"/>
        </w:rPr>
        <w:t> </w:t>
      </w:r>
      <w:r>
        <w:rPr/>
        <w:t>можно также подготовить перевод данных вопросов на родной язык родителей-мигрантов.</w:t>
      </w:r>
    </w:p>
    <w:p>
      <w:pPr>
        <w:pStyle w:val="BodyText"/>
        <w:spacing w:line="235" w:lineRule="auto" w:before="4"/>
      </w:pPr>
      <w:r>
        <w:rPr/>
        <w:t>На завершающем этапе эти вопросы размещаются на сайте образовательной ор- ганизации, предлагаются педагогам в печатном виде, используются при проведении приветственных</w:t>
      </w:r>
      <w:r>
        <w:rPr>
          <w:spacing w:val="-13"/>
        </w:rPr>
        <w:t> </w:t>
      </w:r>
      <w:r>
        <w:rPr/>
        <w:t>семинаров</w:t>
      </w:r>
      <w:r>
        <w:rPr>
          <w:spacing w:val="-12"/>
        </w:rPr>
        <w:t> </w:t>
      </w:r>
      <w:r>
        <w:rPr/>
        <w:t>и</w:t>
      </w:r>
      <w:r>
        <w:rPr>
          <w:spacing w:val="-13"/>
        </w:rPr>
        <w:t> </w:t>
      </w:r>
      <w:r>
        <w:rPr/>
        <w:t>родительских</w:t>
      </w:r>
      <w:r>
        <w:rPr>
          <w:spacing w:val="-12"/>
        </w:rPr>
        <w:t> </w:t>
      </w:r>
      <w:r>
        <w:rPr/>
        <w:t>собраний.</w:t>
      </w:r>
      <w:r>
        <w:rPr>
          <w:spacing w:val="-13"/>
        </w:rPr>
        <w:t> </w:t>
      </w:r>
      <w:r>
        <w:rPr/>
        <w:t>По</w:t>
      </w:r>
      <w:r>
        <w:rPr>
          <w:spacing w:val="-12"/>
        </w:rPr>
        <w:t> </w:t>
      </w:r>
      <w:r>
        <w:rPr/>
        <w:t>необходимости</w:t>
      </w:r>
      <w:r>
        <w:rPr>
          <w:spacing w:val="-13"/>
        </w:rPr>
        <w:t> </w:t>
      </w:r>
      <w:r>
        <w:rPr/>
        <w:t>этот</w:t>
      </w:r>
      <w:r>
        <w:rPr>
          <w:spacing w:val="-12"/>
        </w:rPr>
        <w:t> </w:t>
      </w:r>
      <w:r>
        <w:rPr/>
        <w:t>список можно пополнить.</w:t>
      </w:r>
    </w:p>
    <w:p>
      <w:pPr>
        <w:spacing w:line="206" w:lineRule="exact" w:before="111"/>
        <w:ind w:left="425" w:right="0" w:firstLine="0"/>
        <w:jc w:val="left"/>
        <w:rPr>
          <w:b/>
          <w:sz w:val="18"/>
        </w:rPr>
      </w:pPr>
      <w:r>
        <w:rPr>
          <w:b/>
          <w:color w:val="231F20"/>
          <w:spacing w:val="-2"/>
          <w:sz w:val="18"/>
        </w:rPr>
        <w:t>Литература</w:t>
      </w:r>
    </w:p>
    <w:p>
      <w:pPr>
        <w:pStyle w:val="ListParagraph"/>
        <w:numPr>
          <w:ilvl w:val="0"/>
          <w:numId w:val="99"/>
        </w:numPr>
        <w:tabs>
          <w:tab w:pos="708" w:val="left" w:leader="none"/>
        </w:tabs>
        <w:spacing w:line="240" w:lineRule="auto" w:before="0" w:after="0"/>
        <w:ind w:left="708" w:right="423" w:hanging="284"/>
        <w:jc w:val="both"/>
        <w:rPr>
          <w:sz w:val="18"/>
        </w:rPr>
      </w:pPr>
      <w:r>
        <w:rPr>
          <w:color w:val="231F20"/>
          <w:sz w:val="18"/>
        </w:rPr>
        <w:t>August, D. &amp; Shanahan, T. (2006). Developing literacy in second-language </w:t>
      </w:r>
      <w:r>
        <w:rPr>
          <w:color w:val="231F20"/>
          <w:sz w:val="18"/>
        </w:rPr>
        <w:t>learners: Report of the National Literacy Panel on Language-Minority Children and Youth. Mahwah, NJ: Lawrence Erlbaum. Executive Summary retrieved from </w:t>
      </w:r>
      <w:hyperlink r:id="rId94">
        <w:r>
          <w:rPr>
            <w:color w:val="2255A6"/>
            <w:sz w:val="18"/>
            <w:u w:val="single" w:color="2255A6"/>
          </w:rPr>
          <w:t>http://www.</w:t>
        </w:r>
      </w:hyperlink>
      <w:r>
        <w:rPr>
          <w:color w:val="2255A6"/>
          <w:sz w:val="18"/>
        </w:rPr>
        <w:t> </w:t>
      </w:r>
      <w:hyperlink r:id="rId94">
        <w:r>
          <w:rPr>
            <w:color w:val="2255A6"/>
            <w:spacing w:val="-2"/>
            <w:sz w:val="18"/>
            <w:u w:val="single" w:color="2255A6"/>
          </w:rPr>
          <w:t>bilingualeducation.org/pdfs/PROP2272.pdf</w:t>
        </w:r>
      </w:hyperlink>
      <w:r>
        <w:rPr>
          <w:color w:val="231F20"/>
          <w:spacing w:val="-2"/>
          <w:sz w:val="18"/>
        </w:rPr>
        <w:t>.</w:t>
      </w:r>
    </w:p>
    <w:p>
      <w:pPr>
        <w:pStyle w:val="ListParagraph"/>
        <w:numPr>
          <w:ilvl w:val="0"/>
          <w:numId w:val="99"/>
        </w:numPr>
        <w:tabs>
          <w:tab w:pos="708" w:val="left" w:leader="none"/>
        </w:tabs>
        <w:spacing w:line="240" w:lineRule="auto" w:before="0" w:after="0"/>
        <w:ind w:left="708" w:right="423" w:hanging="284"/>
        <w:jc w:val="both"/>
        <w:rPr>
          <w:sz w:val="18"/>
        </w:rPr>
      </w:pPr>
      <w:r>
        <w:rPr>
          <w:color w:val="231F20"/>
          <w:sz w:val="18"/>
        </w:rPr>
        <w:t>Dryden-Peterson, S. (2018). Family–school relationships in immigrant children’s well- being: The intersection of demographics and school culture in the experiences of black African</w:t>
      </w:r>
      <w:r>
        <w:rPr>
          <w:color w:val="231F20"/>
          <w:spacing w:val="-6"/>
          <w:sz w:val="18"/>
        </w:rPr>
        <w:t> </w:t>
      </w:r>
      <w:r>
        <w:rPr>
          <w:color w:val="231F20"/>
          <w:sz w:val="18"/>
        </w:rPr>
        <w:t>immigrants</w:t>
      </w:r>
      <w:r>
        <w:rPr>
          <w:color w:val="231F20"/>
          <w:spacing w:val="-6"/>
          <w:sz w:val="18"/>
        </w:rPr>
        <w:t> </w:t>
      </w:r>
      <w:r>
        <w:rPr>
          <w:color w:val="231F20"/>
          <w:sz w:val="18"/>
        </w:rPr>
        <w:t>in</w:t>
      </w:r>
      <w:r>
        <w:rPr>
          <w:color w:val="231F20"/>
          <w:spacing w:val="-6"/>
          <w:sz w:val="18"/>
        </w:rPr>
        <w:t> </w:t>
      </w:r>
      <w:r>
        <w:rPr>
          <w:color w:val="231F20"/>
          <w:sz w:val="18"/>
        </w:rPr>
        <w:t>the</w:t>
      </w:r>
      <w:r>
        <w:rPr>
          <w:color w:val="231F20"/>
          <w:spacing w:val="-6"/>
          <w:sz w:val="18"/>
        </w:rPr>
        <w:t> </w:t>
      </w:r>
      <w:r>
        <w:rPr>
          <w:color w:val="231F20"/>
          <w:sz w:val="18"/>
        </w:rPr>
        <w:t>United</w:t>
      </w:r>
      <w:r>
        <w:rPr>
          <w:color w:val="231F20"/>
          <w:spacing w:val="-6"/>
          <w:sz w:val="18"/>
        </w:rPr>
        <w:t> </w:t>
      </w:r>
      <w:r>
        <w:rPr>
          <w:color w:val="231F20"/>
          <w:sz w:val="18"/>
        </w:rPr>
        <w:t>States.</w:t>
      </w:r>
      <w:r>
        <w:rPr>
          <w:color w:val="231F20"/>
          <w:spacing w:val="-6"/>
          <w:sz w:val="18"/>
        </w:rPr>
        <w:t> </w:t>
      </w:r>
      <w:r>
        <w:rPr>
          <w:color w:val="231F20"/>
          <w:sz w:val="18"/>
        </w:rPr>
        <w:t>Race,</w:t>
      </w:r>
      <w:r>
        <w:rPr>
          <w:color w:val="231F20"/>
          <w:spacing w:val="-6"/>
          <w:sz w:val="18"/>
        </w:rPr>
        <w:t> </w:t>
      </w:r>
      <w:r>
        <w:rPr>
          <w:color w:val="231F20"/>
          <w:sz w:val="18"/>
        </w:rPr>
        <w:t>Ethnicity,</w:t>
      </w:r>
      <w:r>
        <w:rPr>
          <w:color w:val="231F20"/>
          <w:spacing w:val="-6"/>
          <w:sz w:val="18"/>
        </w:rPr>
        <w:t> </w:t>
      </w:r>
      <w:r>
        <w:rPr>
          <w:color w:val="231F20"/>
          <w:sz w:val="18"/>
        </w:rPr>
        <w:t>and</w:t>
      </w:r>
      <w:r>
        <w:rPr>
          <w:color w:val="231F20"/>
          <w:spacing w:val="-6"/>
          <w:sz w:val="18"/>
        </w:rPr>
        <w:t> </w:t>
      </w:r>
      <w:r>
        <w:rPr>
          <w:color w:val="231F20"/>
          <w:sz w:val="18"/>
        </w:rPr>
        <w:t>Education,</w:t>
      </w:r>
      <w:r>
        <w:rPr>
          <w:color w:val="231F20"/>
          <w:spacing w:val="-6"/>
          <w:sz w:val="18"/>
        </w:rPr>
        <w:t> </w:t>
      </w:r>
      <w:r>
        <w:rPr>
          <w:color w:val="231F20"/>
          <w:sz w:val="18"/>
        </w:rPr>
        <w:t>21(4),</w:t>
      </w:r>
      <w:r>
        <w:rPr>
          <w:color w:val="231F20"/>
          <w:spacing w:val="-6"/>
          <w:sz w:val="18"/>
        </w:rPr>
        <w:t> </w:t>
      </w:r>
      <w:r>
        <w:rPr>
          <w:color w:val="231F20"/>
          <w:sz w:val="18"/>
        </w:rPr>
        <w:t>486–502. </w:t>
      </w:r>
      <w:hyperlink r:id="rId95">
        <w:r>
          <w:rPr>
            <w:color w:val="2255A6"/>
            <w:sz w:val="18"/>
            <w:u w:val="single" w:color="2255A6"/>
          </w:rPr>
          <w:t>https://eric.ed.gov/?id=EJ1175004</w:t>
        </w:r>
      </w:hyperlink>
      <w:r>
        <w:rPr>
          <w:color w:val="231F20"/>
          <w:sz w:val="18"/>
        </w:rPr>
        <w:t>. P. 487.</w:t>
      </w:r>
    </w:p>
    <w:p>
      <w:pPr>
        <w:pStyle w:val="ListParagraph"/>
        <w:numPr>
          <w:ilvl w:val="0"/>
          <w:numId w:val="99"/>
        </w:numPr>
        <w:tabs>
          <w:tab w:pos="708" w:val="left" w:leader="none"/>
        </w:tabs>
        <w:spacing w:line="240" w:lineRule="auto" w:before="0" w:after="0"/>
        <w:ind w:left="708" w:right="423" w:hanging="284"/>
        <w:jc w:val="both"/>
        <w:rPr>
          <w:sz w:val="18"/>
        </w:rPr>
      </w:pPr>
      <w:r>
        <w:rPr>
          <w:color w:val="231F20"/>
          <w:spacing w:val="-2"/>
          <w:sz w:val="18"/>
        </w:rPr>
        <w:t>Han,</w:t>
      </w:r>
      <w:r>
        <w:rPr>
          <w:color w:val="231F20"/>
          <w:spacing w:val="-10"/>
          <w:sz w:val="18"/>
        </w:rPr>
        <w:t> </w:t>
      </w:r>
      <w:r>
        <w:rPr>
          <w:color w:val="231F20"/>
          <w:spacing w:val="-2"/>
          <w:sz w:val="18"/>
        </w:rPr>
        <w:t>Y.C.</w:t>
      </w:r>
      <w:r>
        <w:rPr>
          <w:color w:val="231F20"/>
          <w:spacing w:val="-9"/>
          <w:sz w:val="18"/>
        </w:rPr>
        <w:t> </w:t>
      </w:r>
      <w:r>
        <w:rPr>
          <w:color w:val="231F20"/>
          <w:spacing w:val="-2"/>
          <w:sz w:val="18"/>
        </w:rPr>
        <w:t>(2012).</w:t>
      </w:r>
      <w:r>
        <w:rPr>
          <w:color w:val="231F20"/>
          <w:spacing w:val="12"/>
          <w:sz w:val="18"/>
        </w:rPr>
        <w:t> </w:t>
      </w:r>
      <w:r>
        <w:rPr>
          <w:color w:val="231F20"/>
          <w:spacing w:val="-2"/>
          <w:sz w:val="18"/>
        </w:rPr>
        <w:t>Stages</w:t>
      </w:r>
      <w:r>
        <w:rPr>
          <w:color w:val="231F20"/>
          <w:spacing w:val="-6"/>
          <w:sz w:val="18"/>
        </w:rPr>
        <w:t> </w:t>
      </w:r>
      <w:r>
        <w:rPr>
          <w:color w:val="231F20"/>
          <w:spacing w:val="-2"/>
          <w:sz w:val="18"/>
        </w:rPr>
        <w:t>of</w:t>
      </w:r>
      <w:r>
        <w:rPr>
          <w:color w:val="231F20"/>
          <w:spacing w:val="-6"/>
          <w:sz w:val="18"/>
        </w:rPr>
        <w:t> </w:t>
      </w:r>
      <w:r>
        <w:rPr>
          <w:color w:val="231F20"/>
          <w:spacing w:val="-2"/>
          <w:sz w:val="18"/>
        </w:rPr>
        <w:t>immigrant</w:t>
      </w:r>
      <w:r>
        <w:rPr>
          <w:color w:val="231F20"/>
          <w:spacing w:val="-6"/>
          <w:sz w:val="18"/>
        </w:rPr>
        <w:t> </w:t>
      </w:r>
      <w:r>
        <w:rPr>
          <w:color w:val="231F20"/>
          <w:spacing w:val="-2"/>
          <w:sz w:val="18"/>
        </w:rPr>
        <w:t>parent</w:t>
      </w:r>
      <w:r>
        <w:rPr>
          <w:color w:val="231F20"/>
          <w:spacing w:val="-6"/>
          <w:sz w:val="18"/>
        </w:rPr>
        <w:t> </w:t>
      </w:r>
      <w:r>
        <w:rPr>
          <w:color w:val="231F20"/>
          <w:spacing w:val="-2"/>
          <w:sz w:val="18"/>
        </w:rPr>
        <w:t>involvement</w:t>
      </w:r>
      <w:r>
        <w:rPr>
          <w:color w:val="231F20"/>
          <w:spacing w:val="-6"/>
          <w:sz w:val="18"/>
        </w:rPr>
        <w:t> </w:t>
      </w:r>
      <w:r>
        <w:rPr>
          <w:color w:val="231F20"/>
          <w:spacing w:val="-2"/>
          <w:sz w:val="18"/>
        </w:rPr>
        <w:t>in</w:t>
      </w:r>
      <w:r>
        <w:rPr>
          <w:color w:val="231F20"/>
          <w:spacing w:val="-6"/>
          <w:sz w:val="18"/>
        </w:rPr>
        <w:t> </w:t>
      </w:r>
      <w:r>
        <w:rPr>
          <w:color w:val="231F20"/>
          <w:spacing w:val="-2"/>
          <w:sz w:val="18"/>
        </w:rPr>
        <w:t>schools:</w:t>
      </w:r>
      <w:r>
        <w:rPr>
          <w:color w:val="231F20"/>
          <w:spacing w:val="-6"/>
          <w:sz w:val="18"/>
        </w:rPr>
        <w:t> </w:t>
      </w:r>
      <w:r>
        <w:rPr>
          <w:color w:val="231F20"/>
          <w:spacing w:val="-2"/>
          <w:sz w:val="18"/>
        </w:rPr>
        <w:t>Survivors</w:t>
      </w:r>
      <w:r>
        <w:rPr>
          <w:color w:val="231F20"/>
          <w:spacing w:val="-6"/>
          <w:sz w:val="18"/>
        </w:rPr>
        <w:t> </w:t>
      </w:r>
      <w:r>
        <w:rPr>
          <w:color w:val="231F20"/>
          <w:spacing w:val="-2"/>
          <w:sz w:val="18"/>
        </w:rPr>
        <w:t>to</w:t>
      </w:r>
      <w:r>
        <w:rPr>
          <w:color w:val="231F20"/>
          <w:spacing w:val="-6"/>
          <w:sz w:val="18"/>
        </w:rPr>
        <w:t> </w:t>
      </w:r>
      <w:r>
        <w:rPr>
          <w:color w:val="231F20"/>
          <w:spacing w:val="-2"/>
          <w:sz w:val="18"/>
        </w:rPr>
        <w:t>leaders. </w:t>
      </w:r>
      <w:r>
        <w:rPr>
          <w:color w:val="231F20"/>
          <w:sz w:val="18"/>
        </w:rPr>
        <w:t>In Kugler, E.G. (Ed.), Innovative Voices in Education: Engaging Diverse Communities (pp. 171–186). Lanham, MD: Rowman &amp; Littlefield.</w:t>
      </w:r>
    </w:p>
    <w:p>
      <w:pPr>
        <w:pStyle w:val="ListParagraph"/>
        <w:numPr>
          <w:ilvl w:val="0"/>
          <w:numId w:val="99"/>
        </w:numPr>
        <w:tabs>
          <w:tab w:pos="708" w:val="left" w:leader="none"/>
        </w:tabs>
        <w:spacing w:line="240" w:lineRule="auto" w:before="0" w:after="0"/>
        <w:ind w:left="708" w:right="423" w:hanging="284"/>
        <w:jc w:val="both"/>
        <w:rPr>
          <w:sz w:val="18"/>
        </w:rPr>
      </w:pPr>
      <w:r>
        <w:rPr>
          <w:color w:val="231F20"/>
          <w:sz w:val="18"/>
        </w:rPr>
        <w:t>Hoff E. (2018). Bilingual Development in Children of Immigrant Families.</w:t>
      </w:r>
      <w:r>
        <w:rPr>
          <w:color w:val="231F20"/>
          <w:spacing w:val="-2"/>
          <w:sz w:val="18"/>
        </w:rPr>
        <w:t> </w:t>
      </w:r>
      <w:r>
        <w:rPr>
          <w:color w:val="231F20"/>
          <w:sz w:val="18"/>
        </w:rPr>
        <w:t>Child development perspectives, 12(2), 80–86. </w:t>
      </w:r>
      <w:hyperlink r:id="rId96">
        <w:r>
          <w:rPr>
            <w:color w:val="231F20"/>
            <w:sz w:val="18"/>
          </w:rPr>
          <w:t>DOI: 10.1111/cdep.12262</w:t>
        </w:r>
      </w:hyperlink>
      <w:r>
        <w:rPr>
          <w:color w:val="231F20"/>
          <w:sz w:val="18"/>
        </w:rPr>
        <w:t>.</w:t>
      </w:r>
    </w:p>
    <w:p>
      <w:pPr>
        <w:pStyle w:val="ListParagraph"/>
        <w:numPr>
          <w:ilvl w:val="0"/>
          <w:numId w:val="99"/>
        </w:numPr>
        <w:tabs>
          <w:tab w:pos="708" w:val="left" w:leader="none"/>
        </w:tabs>
        <w:spacing w:line="205" w:lineRule="exact" w:before="0" w:after="0"/>
        <w:ind w:left="708" w:right="0" w:hanging="283"/>
        <w:jc w:val="both"/>
        <w:rPr>
          <w:sz w:val="18"/>
        </w:rPr>
      </w:pPr>
      <w:r>
        <w:rPr>
          <w:color w:val="231F20"/>
          <w:sz w:val="18"/>
        </w:rPr>
        <w:t>Sommers-Flanagan</w:t>
      </w:r>
      <w:r>
        <w:rPr>
          <w:color w:val="231F20"/>
          <w:spacing w:val="-2"/>
          <w:sz w:val="18"/>
        </w:rPr>
        <w:t> </w:t>
      </w:r>
      <w:r>
        <w:rPr>
          <w:color w:val="231F20"/>
          <w:sz w:val="18"/>
        </w:rPr>
        <w:t>J.,</w:t>
      </w:r>
      <w:r>
        <w:rPr>
          <w:color w:val="231F20"/>
          <w:spacing w:val="-2"/>
          <w:sz w:val="18"/>
        </w:rPr>
        <w:t> </w:t>
      </w:r>
      <w:r>
        <w:rPr>
          <w:color w:val="231F20"/>
          <w:sz w:val="18"/>
        </w:rPr>
        <w:t>Sommers-Flanagan</w:t>
      </w:r>
      <w:r>
        <w:rPr>
          <w:color w:val="231F20"/>
          <w:spacing w:val="-2"/>
          <w:sz w:val="18"/>
        </w:rPr>
        <w:t> </w:t>
      </w:r>
      <w:r>
        <w:rPr>
          <w:color w:val="231F20"/>
          <w:sz w:val="18"/>
        </w:rPr>
        <w:t>R.</w:t>
      </w:r>
      <w:r>
        <w:rPr>
          <w:color w:val="231F20"/>
          <w:spacing w:val="-2"/>
          <w:sz w:val="18"/>
        </w:rPr>
        <w:t> </w:t>
      </w:r>
      <w:r>
        <w:rPr>
          <w:color w:val="231F20"/>
          <w:sz w:val="18"/>
        </w:rPr>
        <w:t>Clinical</w:t>
      </w:r>
      <w:r>
        <w:rPr>
          <w:color w:val="231F20"/>
          <w:spacing w:val="-1"/>
          <w:sz w:val="18"/>
        </w:rPr>
        <w:t> </w:t>
      </w:r>
      <w:r>
        <w:rPr>
          <w:color w:val="231F20"/>
          <w:sz w:val="18"/>
        </w:rPr>
        <w:t>interweing.</w:t>
      </w:r>
      <w:r>
        <w:rPr>
          <w:color w:val="231F20"/>
          <w:spacing w:val="-2"/>
          <w:sz w:val="18"/>
        </w:rPr>
        <w:t> </w:t>
      </w:r>
      <w:r>
        <w:rPr>
          <w:color w:val="231F20"/>
          <w:sz w:val="18"/>
        </w:rPr>
        <w:t>New</w:t>
      </w:r>
      <w:r>
        <w:rPr>
          <w:color w:val="231F20"/>
          <w:spacing w:val="-3"/>
          <w:sz w:val="18"/>
        </w:rPr>
        <w:t> </w:t>
      </w:r>
      <w:r>
        <w:rPr>
          <w:color w:val="231F20"/>
          <w:sz w:val="18"/>
        </w:rPr>
        <w:t>Jersey,</w:t>
      </w:r>
      <w:r>
        <w:rPr>
          <w:color w:val="231F20"/>
          <w:spacing w:val="-1"/>
          <w:sz w:val="18"/>
        </w:rPr>
        <w:t> </w:t>
      </w:r>
      <w:r>
        <w:rPr>
          <w:color w:val="231F20"/>
          <w:spacing w:val="-2"/>
          <w:sz w:val="18"/>
        </w:rPr>
        <w:t>2003.</w:t>
      </w:r>
    </w:p>
    <w:p>
      <w:pPr>
        <w:pStyle w:val="ListParagraph"/>
        <w:spacing w:after="0" w:line="205" w:lineRule="exact"/>
        <w:jc w:val="both"/>
        <w:rPr>
          <w:sz w:val="18"/>
        </w:rPr>
        <w:sectPr>
          <w:pgSz w:w="8400" w:h="11910"/>
          <w:pgMar w:header="0" w:footer="535" w:top="400" w:bottom="740" w:left="425" w:right="425"/>
        </w:sect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spacing w:before="299"/>
        <w:ind w:left="0" w:right="0" w:firstLine="0"/>
        <w:jc w:val="left"/>
        <w:rPr>
          <w:sz w:val="28"/>
        </w:rPr>
      </w:pPr>
    </w:p>
    <w:p>
      <w:pPr>
        <w:spacing w:before="1"/>
        <w:ind w:left="303" w:right="303" w:firstLine="0"/>
        <w:jc w:val="center"/>
        <w:rPr>
          <w:rFonts w:ascii="Georgia" w:hAnsi="Georgia"/>
          <w:b/>
          <w:sz w:val="28"/>
        </w:rPr>
      </w:pPr>
      <w:bookmarkStart w:name="_bookmark61" w:id="63"/>
      <w:bookmarkEnd w:id="63"/>
      <w:r>
        <w:rPr/>
      </w:r>
      <w:r>
        <w:rPr>
          <w:rFonts w:ascii="Georgia" w:hAnsi="Georgia"/>
          <w:b/>
          <w:color w:val="231F20"/>
          <w:w w:val="90"/>
          <w:sz w:val="28"/>
        </w:rPr>
        <w:t>РАЗДЕЛ</w:t>
      </w:r>
      <w:r>
        <w:rPr>
          <w:rFonts w:ascii="Georgia" w:hAnsi="Georgia"/>
          <w:b/>
          <w:color w:val="231F20"/>
          <w:spacing w:val="6"/>
          <w:sz w:val="28"/>
        </w:rPr>
        <w:t> </w:t>
      </w:r>
      <w:r>
        <w:rPr>
          <w:rFonts w:ascii="Georgia" w:hAnsi="Georgia"/>
          <w:b/>
          <w:color w:val="231F20"/>
          <w:spacing w:val="-5"/>
          <w:sz w:val="28"/>
        </w:rPr>
        <w:t>4.</w:t>
      </w:r>
    </w:p>
    <w:p>
      <w:pPr>
        <w:spacing w:line="348" w:lineRule="auto" w:before="255"/>
        <w:ind w:left="303" w:right="301" w:firstLine="0"/>
        <w:jc w:val="center"/>
        <w:rPr>
          <w:rFonts w:ascii="Georgia" w:hAnsi="Georgia"/>
          <w:b/>
          <w:sz w:val="28"/>
        </w:rPr>
      </w:pPr>
      <w:r>
        <w:rPr>
          <w:rFonts w:ascii="Georgia" w:hAnsi="Georgia"/>
          <w:b/>
          <w:color w:val="231F20"/>
          <w:w w:val="90"/>
          <w:sz w:val="28"/>
        </w:rPr>
        <w:t>Работа</w:t>
      </w:r>
      <w:r>
        <w:rPr>
          <w:rFonts w:ascii="Georgia" w:hAnsi="Georgia"/>
          <w:b/>
          <w:color w:val="231F20"/>
          <w:spacing w:val="-11"/>
          <w:w w:val="90"/>
          <w:sz w:val="28"/>
        </w:rPr>
        <w:t> </w:t>
      </w:r>
      <w:r>
        <w:rPr>
          <w:rFonts w:ascii="Georgia" w:hAnsi="Georgia"/>
          <w:b/>
          <w:color w:val="231F20"/>
          <w:w w:val="90"/>
          <w:sz w:val="28"/>
        </w:rPr>
        <w:t>педагога</w:t>
      </w:r>
      <w:r>
        <w:rPr>
          <w:rFonts w:ascii="Georgia" w:hAnsi="Georgia"/>
          <w:b/>
          <w:color w:val="231F20"/>
          <w:spacing w:val="-11"/>
          <w:w w:val="90"/>
          <w:sz w:val="28"/>
        </w:rPr>
        <w:t> </w:t>
      </w:r>
      <w:r>
        <w:rPr>
          <w:rFonts w:ascii="Georgia" w:hAnsi="Georgia"/>
          <w:b/>
          <w:color w:val="231F20"/>
          <w:w w:val="90"/>
          <w:sz w:val="28"/>
        </w:rPr>
        <w:t>с</w:t>
      </w:r>
      <w:r>
        <w:rPr>
          <w:rFonts w:ascii="Georgia" w:hAnsi="Georgia"/>
          <w:b/>
          <w:color w:val="231F20"/>
          <w:spacing w:val="-10"/>
          <w:w w:val="90"/>
          <w:sz w:val="28"/>
        </w:rPr>
        <w:t> </w:t>
      </w:r>
      <w:r>
        <w:rPr>
          <w:rFonts w:ascii="Georgia" w:hAnsi="Georgia"/>
          <w:b/>
          <w:color w:val="231F20"/>
          <w:w w:val="90"/>
          <w:sz w:val="28"/>
        </w:rPr>
        <w:t>ученическим</w:t>
      </w:r>
      <w:r>
        <w:rPr>
          <w:rFonts w:ascii="Georgia" w:hAnsi="Georgia"/>
          <w:b/>
          <w:color w:val="231F20"/>
          <w:spacing w:val="-11"/>
          <w:w w:val="90"/>
          <w:sz w:val="28"/>
        </w:rPr>
        <w:t> </w:t>
      </w:r>
      <w:r>
        <w:rPr>
          <w:rFonts w:ascii="Georgia" w:hAnsi="Georgia"/>
          <w:b/>
          <w:color w:val="231F20"/>
          <w:w w:val="90"/>
          <w:sz w:val="28"/>
        </w:rPr>
        <w:t>сообществом: </w:t>
      </w:r>
      <w:r>
        <w:rPr>
          <w:rFonts w:ascii="Georgia" w:hAnsi="Georgia"/>
          <w:b/>
          <w:color w:val="231F20"/>
          <w:sz w:val="28"/>
        </w:rPr>
        <w:t>класс</w:t>
      </w:r>
      <w:r>
        <w:rPr>
          <w:rFonts w:ascii="Georgia" w:hAnsi="Georgia"/>
          <w:b/>
          <w:color w:val="231F20"/>
          <w:spacing w:val="-18"/>
          <w:sz w:val="28"/>
        </w:rPr>
        <w:t> </w:t>
      </w:r>
      <w:r>
        <w:rPr>
          <w:rFonts w:ascii="Georgia" w:hAnsi="Georgia"/>
          <w:b/>
          <w:color w:val="231F20"/>
          <w:sz w:val="28"/>
        </w:rPr>
        <w:t>и</w:t>
      </w:r>
      <w:r>
        <w:rPr>
          <w:rFonts w:ascii="Georgia" w:hAnsi="Georgia"/>
          <w:b/>
          <w:color w:val="231F20"/>
          <w:spacing w:val="-18"/>
          <w:sz w:val="28"/>
        </w:rPr>
        <w:t> </w:t>
      </w:r>
      <w:r>
        <w:rPr>
          <w:rFonts w:ascii="Georgia" w:hAnsi="Georgia"/>
          <w:b/>
          <w:color w:val="231F20"/>
          <w:sz w:val="28"/>
        </w:rPr>
        <w:t>школа</w:t>
      </w:r>
    </w:p>
    <w:p>
      <w:pPr>
        <w:spacing w:after="0" w:line="348" w:lineRule="auto"/>
        <w:jc w:val="center"/>
        <w:rPr>
          <w:rFonts w:ascii="Georgia" w:hAnsi="Georgia"/>
          <w:b/>
          <w:sz w:val="28"/>
        </w:rPr>
        <w:sectPr>
          <w:footerReference w:type="default" r:id="rId97"/>
          <w:pgSz w:w="8400" w:h="11910"/>
          <w:pgMar w:header="0" w:footer="0" w:top="1340" w:bottom="280" w:left="425" w:right="425"/>
        </w:sectPr>
      </w:pPr>
    </w:p>
    <w:p>
      <w:pPr>
        <w:numPr>
          <w:ilvl w:val="1"/>
          <w:numId w:val="96"/>
        </w:numPr>
        <w:tabs>
          <w:tab w:pos="3198" w:val="left" w:leader="none"/>
        </w:tabs>
        <w:spacing w:before="73"/>
        <w:ind w:left="3198" w:right="0" w:hanging="350"/>
        <w:jc w:val="left"/>
        <w:rPr>
          <w:b/>
          <w:color w:val="231F20"/>
          <w:sz w:val="20"/>
        </w:rPr>
      </w:pPr>
      <w:bookmarkStart w:name="_bookmark62" w:id="64"/>
      <w:bookmarkEnd w:id="64"/>
      <w:r>
        <w:rPr/>
      </w:r>
      <w:r>
        <w:rPr>
          <w:b/>
          <w:color w:val="231F20"/>
          <w:sz w:val="20"/>
        </w:rPr>
        <w:t>Общее </w:t>
      </w:r>
      <w:r>
        <w:rPr>
          <w:b/>
          <w:color w:val="231F20"/>
          <w:spacing w:val="-2"/>
          <w:sz w:val="20"/>
        </w:rPr>
        <w:t>описание</w:t>
      </w:r>
    </w:p>
    <w:p>
      <w:pPr>
        <w:spacing w:before="166"/>
        <w:ind w:left="141" w:right="140" w:firstLine="0"/>
        <w:jc w:val="right"/>
        <w:rPr>
          <w:i/>
          <w:sz w:val="20"/>
        </w:rPr>
      </w:pPr>
      <w:r>
        <w:rPr>
          <w:i/>
          <w:color w:val="231F20"/>
          <w:sz w:val="20"/>
        </w:rPr>
        <w:t>Хухлаев</w:t>
      </w:r>
      <w:r>
        <w:rPr>
          <w:i/>
          <w:color w:val="231F20"/>
          <w:spacing w:val="-8"/>
          <w:sz w:val="20"/>
        </w:rPr>
        <w:t> </w:t>
      </w:r>
      <w:r>
        <w:rPr>
          <w:i/>
          <w:color w:val="231F20"/>
          <w:spacing w:val="-4"/>
          <w:sz w:val="20"/>
        </w:rPr>
        <w:t>О.Е.</w:t>
      </w:r>
    </w:p>
    <w:p>
      <w:pPr>
        <w:pStyle w:val="BodyText"/>
        <w:spacing w:line="235" w:lineRule="auto" w:before="114"/>
      </w:pPr>
      <w:r>
        <w:rPr>
          <w:color w:val="231F20"/>
        </w:rPr>
        <w:t>В данном разделе описаны методы психолого-педагогического сопровождения, позволяющие</w:t>
      </w:r>
      <w:r>
        <w:rPr>
          <w:color w:val="231F20"/>
          <w:spacing w:val="-4"/>
        </w:rPr>
        <w:t> </w:t>
      </w:r>
      <w:r>
        <w:rPr>
          <w:color w:val="231F20"/>
        </w:rPr>
        <w:t>создать</w:t>
      </w:r>
      <w:r>
        <w:rPr>
          <w:color w:val="231F20"/>
          <w:spacing w:val="-4"/>
        </w:rPr>
        <w:t> </w:t>
      </w:r>
      <w:r>
        <w:rPr>
          <w:color w:val="231F20"/>
        </w:rPr>
        <w:t>особые</w:t>
      </w:r>
      <w:r>
        <w:rPr>
          <w:color w:val="231F20"/>
          <w:spacing w:val="-4"/>
        </w:rPr>
        <w:t> </w:t>
      </w:r>
      <w:r>
        <w:rPr>
          <w:color w:val="231F20"/>
        </w:rPr>
        <w:t>условия</w:t>
      </w:r>
      <w:r>
        <w:rPr>
          <w:color w:val="231F20"/>
          <w:spacing w:val="-4"/>
        </w:rPr>
        <w:t> </w:t>
      </w:r>
      <w:r>
        <w:rPr>
          <w:color w:val="231F20"/>
        </w:rPr>
        <w:t>в</w:t>
      </w:r>
      <w:r>
        <w:rPr>
          <w:color w:val="231F20"/>
          <w:spacing w:val="-4"/>
        </w:rPr>
        <w:t> </w:t>
      </w:r>
      <w:r>
        <w:rPr>
          <w:color w:val="231F20"/>
        </w:rPr>
        <w:t>воспитательной</w:t>
      </w:r>
      <w:r>
        <w:rPr>
          <w:color w:val="231F20"/>
          <w:spacing w:val="-4"/>
        </w:rPr>
        <w:t> </w:t>
      </w:r>
      <w:r>
        <w:rPr>
          <w:color w:val="231F20"/>
        </w:rPr>
        <w:t>работе</w:t>
      </w:r>
      <w:r>
        <w:rPr>
          <w:color w:val="231F20"/>
          <w:spacing w:val="-4"/>
        </w:rPr>
        <w:t> </w:t>
      </w:r>
      <w:r>
        <w:rPr>
          <w:color w:val="231F20"/>
        </w:rPr>
        <w:t>с</w:t>
      </w:r>
      <w:r>
        <w:rPr>
          <w:color w:val="231F20"/>
          <w:spacing w:val="-4"/>
        </w:rPr>
        <w:t> </w:t>
      </w:r>
      <w:r>
        <w:rPr>
          <w:color w:val="231F20"/>
        </w:rPr>
        <w:t>детьми</w:t>
      </w:r>
      <w:r>
        <w:rPr>
          <w:color w:val="231F20"/>
          <w:spacing w:val="-4"/>
        </w:rPr>
        <w:t> </w:t>
      </w:r>
      <w:r>
        <w:rPr>
          <w:color w:val="231F20"/>
        </w:rPr>
        <w:t>–</w:t>
      </w:r>
      <w:r>
        <w:rPr>
          <w:color w:val="231F20"/>
          <w:spacing w:val="-4"/>
        </w:rPr>
        <w:t> </w:t>
      </w:r>
      <w:r>
        <w:rPr>
          <w:color w:val="231F20"/>
        </w:rPr>
        <w:t>иностран- ными гражданами как имеющими особые образовательные потребности.. Образо- вательному учреждению рекомендуется формировать календарный план воспита- тельной работы организации посредством включения в него отдельных технологий, описанных в разделе.</w:t>
      </w:r>
    </w:p>
    <w:p>
      <w:pPr>
        <w:pStyle w:val="BodyText"/>
        <w:spacing w:line="235" w:lineRule="auto" w:before="3"/>
        <w:ind w:right="140"/>
      </w:pPr>
      <w:r>
        <w:rPr>
          <w:color w:val="231F20"/>
        </w:rPr>
        <w:t>Данная работа реализуется в зависимости от количества детей – иностранных граждан в образовательном учреждении, а также от результатов диагностики детей иностранных граждан и строится по двум уровням.</w:t>
      </w:r>
    </w:p>
    <w:p>
      <w:pPr>
        <w:pStyle w:val="BodyText"/>
        <w:spacing w:line="235" w:lineRule="auto" w:before="59"/>
      </w:pPr>
      <w:r>
        <w:rPr>
          <w:i/>
          <w:color w:val="231F20"/>
        </w:rPr>
        <w:t>1 уровень – общешкольный. </w:t>
      </w:r>
      <w:r>
        <w:rPr>
          <w:color w:val="231F20"/>
        </w:rPr>
        <w:t>Уровень мероприятий, нацеленных на работу с об- разовательной средой в целом. Для его осуществления рекомендуется в каждой об- разовательной организации использовать следующие методы работы с ученическим </w:t>
      </w:r>
      <w:r>
        <w:rPr>
          <w:color w:val="231F20"/>
          <w:spacing w:val="-2"/>
        </w:rPr>
        <w:t>сообществом:</w:t>
      </w:r>
    </w:p>
    <w:p>
      <w:pPr>
        <w:pStyle w:val="ListParagraph"/>
        <w:numPr>
          <w:ilvl w:val="1"/>
          <w:numId w:val="99"/>
        </w:numPr>
        <w:tabs>
          <w:tab w:pos="706" w:val="left" w:leader="none"/>
          <w:tab w:pos="708" w:val="left" w:leader="none"/>
        </w:tabs>
        <w:spacing w:line="235" w:lineRule="auto" w:before="2" w:after="0"/>
        <w:ind w:left="708" w:right="139" w:hanging="284"/>
        <w:jc w:val="left"/>
        <w:rPr>
          <w:sz w:val="20"/>
        </w:rPr>
      </w:pPr>
      <w:r>
        <w:rPr>
          <w:color w:val="231F20"/>
          <w:sz w:val="20"/>
        </w:rPr>
        <w:t>Организация</w:t>
      </w:r>
      <w:r>
        <w:rPr>
          <w:color w:val="231F20"/>
          <w:spacing w:val="26"/>
          <w:sz w:val="20"/>
        </w:rPr>
        <w:t> </w:t>
      </w:r>
      <w:r>
        <w:rPr>
          <w:color w:val="231F20"/>
          <w:sz w:val="20"/>
        </w:rPr>
        <w:t>внутришкольного</w:t>
      </w:r>
      <w:r>
        <w:rPr>
          <w:color w:val="231F20"/>
          <w:spacing w:val="26"/>
          <w:sz w:val="20"/>
        </w:rPr>
        <w:t> </w:t>
      </w:r>
      <w:r>
        <w:rPr>
          <w:color w:val="231F20"/>
          <w:sz w:val="20"/>
        </w:rPr>
        <w:t>наставничества</w:t>
      </w:r>
      <w:r>
        <w:rPr>
          <w:color w:val="231F20"/>
          <w:spacing w:val="26"/>
          <w:sz w:val="20"/>
        </w:rPr>
        <w:t> </w:t>
      </w:r>
      <w:r>
        <w:rPr>
          <w:color w:val="231F20"/>
          <w:sz w:val="20"/>
        </w:rPr>
        <w:t>по</w:t>
      </w:r>
      <w:r>
        <w:rPr>
          <w:color w:val="231F20"/>
          <w:spacing w:val="26"/>
          <w:sz w:val="20"/>
        </w:rPr>
        <w:t> </w:t>
      </w:r>
      <w:r>
        <w:rPr>
          <w:color w:val="231F20"/>
          <w:sz w:val="20"/>
        </w:rPr>
        <w:t>отношению</w:t>
      </w:r>
      <w:r>
        <w:rPr>
          <w:color w:val="231F20"/>
          <w:spacing w:val="26"/>
          <w:sz w:val="20"/>
        </w:rPr>
        <w:t> </w:t>
      </w:r>
      <w:r>
        <w:rPr>
          <w:color w:val="231F20"/>
          <w:sz w:val="20"/>
        </w:rPr>
        <w:t>к</w:t>
      </w:r>
      <w:r>
        <w:rPr>
          <w:color w:val="231F20"/>
          <w:spacing w:val="26"/>
          <w:sz w:val="20"/>
        </w:rPr>
        <w:t> </w:t>
      </w:r>
      <w:r>
        <w:rPr>
          <w:color w:val="231F20"/>
          <w:sz w:val="20"/>
        </w:rPr>
        <w:t>детям</w:t>
      </w:r>
      <w:r>
        <w:rPr>
          <w:color w:val="231F20"/>
          <w:spacing w:val="26"/>
          <w:sz w:val="20"/>
        </w:rPr>
        <w:t> </w:t>
      </w:r>
      <w:r>
        <w:rPr>
          <w:color w:val="231F20"/>
          <w:sz w:val="20"/>
        </w:rPr>
        <w:t>ино- странных граждан (параграф 4.3.1.)</w:t>
      </w:r>
    </w:p>
    <w:p>
      <w:pPr>
        <w:pStyle w:val="ListParagraph"/>
        <w:numPr>
          <w:ilvl w:val="1"/>
          <w:numId w:val="99"/>
        </w:numPr>
        <w:tabs>
          <w:tab w:pos="706" w:val="left" w:leader="none"/>
          <w:tab w:pos="708" w:val="left" w:leader="none"/>
        </w:tabs>
        <w:spacing w:line="240" w:lineRule="auto" w:before="0" w:after="0"/>
        <w:ind w:left="708" w:right="139" w:hanging="284"/>
        <w:jc w:val="left"/>
        <w:rPr>
          <w:sz w:val="20"/>
        </w:rPr>
      </w:pPr>
      <w:r>
        <w:rPr>
          <w:color w:val="231F20"/>
          <w:sz w:val="20"/>
        </w:rPr>
        <w:t>Проведение</w:t>
      </w:r>
      <w:r>
        <w:rPr>
          <w:color w:val="231F20"/>
          <w:spacing w:val="14"/>
          <w:sz w:val="20"/>
        </w:rPr>
        <w:t> </w:t>
      </w:r>
      <w:r>
        <w:rPr>
          <w:color w:val="231F20"/>
          <w:sz w:val="20"/>
        </w:rPr>
        <w:t>фестивалей</w:t>
      </w:r>
      <w:r>
        <w:rPr>
          <w:color w:val="231F20"/>
          <w:spacing w:val="14"/>
          <w:sz w:val="20"/>
        </w:rPr>
        <w:t> </w:t>
      </w:r>
      <w:r>
        <w:rPr>
          <w:color w:val="231F20"/>
          <w:sz w:val="20"/>
        </w:rPr>
        <w:t>национальных</w:t>
      </w:r>
      <w:r>
        <w:rPr>
          <w:color w:val="231F20"/>
          <w:spacing w:val="14"/>
          <w:sz w:val="20"/>
        </w:rPr>
        <w:t> </w:t>
      </w:r>
      <w:r>
        <w:rPr>
          <w:color w:val="231F20"/>
          <w:sz w:val="20"/>
        </w:rPr>
        <w:t>культур</w:t>
      </w:r>
      <w:r>
        <w:rPr>
          <w:color w:val="231F20"/>
          <w:spacing w:val="14"/>
          <w:sz w:val="20"/>
        </w:rPr>
        <w:t> </w:t>
      </w:r>
      <w:r>
        <w:rPr>
          <w:color w:val="231F20"/>
          <w:sz w:val="20"/>
        </w:rPr>
        <w:t>с</w:t>
      </w:r>
      <w:r>
        <w:rPr>
          <w:color w:val="231F20"/>
          <w:spacing w:val="14"/>
          <w:sz w:val="20"/>
        </w:rPr>
        <w:t> </w:t>
      </w:r>
      <w:r>
        <w:rPr>
          <w:color w:val="231F20"/>
          <w:sz w:val="20"/>
        </w:rPr>
        <w:t>привлечением</w:t>
      </w:r>
      <w:r>
        <w:rPr>
          <w:color w:val="231F20"/>
          <w:spacing w:val="14"/>
          <w:sz w:val="20"/>
        </w:rPr>
        <w:t> </w:t>
      </w:r>
      <w:r>
        <w:rPr>
          <w:color w:val="231F20"/>
          <w:sz w:val="20"/>
        </w:rPr>
        <w:t>инокультур- ных родителей (параграф 4.3.2.)</w:t>
      </w:r>
    </w:p>
    <w:p>
      <w:pPr>
        <w:pStyle w:val="ListParagraph"/>
        <w:numPr>
          <w:ilvl w:val="1"/>
          <w:numId w:val="99"/>
        </w:numPr>
        <w:tabs>
          <w:tab w:pos="706" w:val="left" w:leader="none"/>
          <w:tab w:pos="708" w:val="left" w:leader="none"/>
        </w:tabs>
        <w:spacing w:line="237" w:lineRule="auto" w:before="0" w:after="0"/>
        <w:ind w:left="708" w:right="139" w:hanging="284"/>
        <w:jc w:val="left"/>
        <w:rPr>
          <w:sz w:val="20"/>
        </w:rPr>
      </w:pPr>
      <w:r>
        <w:rPr>
          <w:color w:val="231F20"/>
          <w:sz w:val="20"/>
        </w:rPr>
        <w:t>Организация деятельности школьной службы примирения как средства пре- дотвращения и разрешения межкультурных конфликтов (параграф 4.3.5.)</w:t>
      </w:r>
    </w:p>
    <w:p>
      <w:pPr>
        <w:pStyle w:val="BodyText"/>
        <w:spacing w:before="53"/>
      </w:pPr>
      <w:r>
        <w:rPr>
          <w:i/>
          <w:color w:val="231F20"/>
        </w:rPr>
        <w:t>2</w:t>
      </w:r>
      <w:r>
        <w:rPr>
          <w:i/>
          <w:color w:val="231F20"/>
          <w:spacing w:val="-6"/>
        </w:rPr>
        <w:t> </w:t>
      </w:r>
      <w:r>
        <w:rPr>
          <w:i/>
          <w:color w:val="231F20"/>
        </w:rPr>
        <w:t>уровень</w:t>
      </w:r>
      <w:r>
        <w:rPr>
          <w:i/>
          <w:color w:val="231F20"/>
          <w:spacing w:val="-6"/>
        </w:rPr>
        <w:t> </w:t>
      </w:r>
      <w:r>
        <w:rPr>
          <w:i/>
          <w:color w:val="231F20"/>
        </w:rPr>
        <w:t>–</w:t>
      </w:r>
      <w:r>
        <w:rPr>
          <w:i/>
          <w:color w:val="231F20"/>
          <w:spacing w:val="-6"/>
        </w:rPr>
        <w:t> </w:t>
      </w:r>
      <w:r>
        <w:rPr>
          <w:i/>
          <w:color w:val="231F20"/>
        </w:rPr>
        <w:t>школьного</w:t>
      </w:r>
      <w:r>
        <w:rPr>
          <w:i/>
          <w:color w:val="231F20"/>
          <w:spacing w:val="-6"/>
        </w:rPr>
        <w:t> </w:t>
      </w:r>
      <w:r>
        <w:rPr>
          <w:i/>
          <w:color w:val="231F20"/>
        </w:rPr>
        <w:t>класса</w:t>
      </w:r>
      <w:r>
        <w:rPr>
          <w:b/>
          <w:i/>
          <w:color w:val="231F20"/>
        </w:rPr>
        <w:t>.</w:t>
      </w:r>
      <w:r>
        <w:rPr>
          <w:b/>
          <w:i/>
          <w:color w:val="231F20"/>
          <w:spacing w:val="-6"/>
        </w:rPr>
        <w:t> </w:t>
      </w:r>
      <w:r>
        <w:rPr>
          <w:color w:val="231F20"/>
        </w:rPr>
        <w:t>Применяется</w:t>
      </w:r>
      <w:r>
        <w:rPr>
          <w:color w:val="231F20"/>
          <w:spacing w:val="-7"/>
        </w:rPr>
        <w:t> </w:t>
      </w:r>
      <w:r>
        <w:rPr>
          <w:color w:val="231F20"/>
        </w:rPr>
        <w:t>в</w:t>
      </w:r>
      <w:r>
        <w:rPr>
          <w:color w:val="231F20"/>
          <w:spacing w:val="-7"/>
        </w:rPr>
        <w:t> </w:t>
      </w:r>
      <w:r>
        <w:rPr>
          <w:color w:val="231F20"/>
        </w:rPr>
        <w:t>классах</w:t>
      </w:r>
      <w:r>
        <w:rPr>
          <w:color w:val="231F20"/>
          <w:spacing w:val="-7"/>
        </w:rPr>
        <w:t> </w:t>
      </w:r>
      <w:r>
        <w:rPr>
          <w:color w:val="231F20"/>
        </w:rPr>
        <w:t>(группах),</w:t>
      </w:r>
      <w:r>
        <w:rPr>
          <w:color w:val="231F20"/>
          <w:spacing w:val="-7"/>
        </w:rPr>
        <w:t> </w:t>
      </w:r>
      <w:r>
        <w:rPr>
          <w:color w:val="231F20"/>
        </w:rPr>
        <w:t>где</w:t>
      </w:r>
      <w:r>
        <w:rPr>
          <w:color w:val="231F20"/>
          <w:spacing w:val="-7"/>
        </w:rPr>
        <w:t> </w:t>
      </w:r>
      <w:r>
        <w:rPr>
          <w:color w:val="231F20"/>
        </w:rPr>
        <w:t>присутствует как</w:t>
      </w:r>
      <w:r>
        <w:rPr>
          <w:color w:val="231F20"/>
          <w:spacing w:val="-3"/>
        </w:rPr>
        <w:t> </w:t>
      </w:r>
      <w:r>
        <w:rPr>
          <w:color w:val="231F20"/>
        </w:rPr>
        <w:t>минимум</w:t>
      </w:r>
      <w:r>
        <w:rPr>
          <w:color w:val="231F20"/>
          <w:spacing w:val="-3"/>
        </w:rPr>
        <w:t> </w:t>
      </w:r>
      <w:r>
        <w:rPr>
          <w:color w:val="231F20"/>
        </w:rPr>
        <w:t>один</w:t>
      </w:r>
      <w:r>
        <w:rPr>
          <w:color w:val="231F20"/>
          <w:spacing w:val="-3"/>
        </w:rPr>
        <w:t> </w:t>
      </w:r>
      <w:r>
        <w:rPr>
          <w:color w:val="231F20"/>
        </w:rPr>
        <w:t>несовершеннолетний</w:t>
      </w:r>
      <w:r>
        <w:rPr>
          <w:color w:val="231F20"/>
          <w:spacing w:val="-3"/>
        </w:rPr>
        <w:t> </w:t>
      </w:r>
      <w:r>
        <w:rPr>
          <w:color w:val="231F20"/>
        </w:rPr>
        <w:t>иностранный</w:t>
      </w:r>
      <w:r>
        <w:rPr>
          <w:color w:val="231F20"/>
          <w:spacing w:val="-3"/>
        </w:rPr>
        <w:t> </w:t>
      </w:r>
      <w:r>
        <w:rPr>
          <w:color w:val="231F20"/>
        </w:rPr>
        <w:t>гражданин,</w:t>
      </w:r>
      <w:r>
        <w:rPr>
          <w:color w:val="231F20"/>
          <w:spacing w:val="-3"/>
        </w:rPr>
        <w:t> </w:t>
      </w:r>
      <w:r>
        <w:rPr>
          <w:color w:val="231F20"/>
        </w:rPr>
        <w:t>слабо</w:t>
      </w:r>
      <w:r>
        <w:rPr>
          <w:color w:val="231F20"/>
          <w:spacing w:val="-3"/>
        </w:rPr>
        <w:t> </w:t>
      </w:r>
      <w:r>
        <w:rPr>
          <w:color w:val="231F20"/>
        </w:rPr>
        <w:t>владеющий </w:t>
      </w:r>
      <w:r>
        <w:rPr>
          <w:color w:val="231F20"/>
          <w:spacing w:val="-2"/>
        </w:rPr>
        <w:t>русским</w:t>
      </w:r>
      <w:r>
        <w:rPr>
          <w:color w:val="231F20"/>
          <w:spacing w:val="-8"/>
        </w:rPr>
        <w:t> </w:t>
      </w:r>
      <w:r>
        <w:rPr>
          <w:color w:val="231F20"/>
          <w:spacing w:val="-2"/>
        </w:rPr>
        <w:t>языком</w:t>
      </w:r>
      <w:r>
        <w:rPr>
          <w:color w:val="231F20"/>
          <w:spacing w:val="-8"/>
        </w:rPr>
        <w:t> </w:t>
      </w:r>
      <w:r>
        <w:rPr>
          <w:color w:val="231F20"/>
          <w:spacing w:val="-2"/>
        </w:rPr>
        <w:t>и/или</w:t>
      </w:r>
      <w:r>
        <w:rPr>
          <w:color w:val="231F20"/>
          <w:spacing w:val="-8"/>
        </w:rPr>
        <w:t> </w:t>
      </w:r>
      <w:r>
        <w:rPr>
          <w:color w:val="231F20"/>
          <w:spacing w:val="-2"/>
        </w:rPr>
        <w:t>по</w:t>
      </w:r>
      <w:r>
        <w:rPr>
          <w:color w:val="231F20"/>
          <w:spacing w:val="-8"/>
        </w:rPr>
        <w:t> </w:t>
      </w:r>
      <w:r>
        <w:rPr>
          <w:color w:val="231F20"/>
          <w:spacing w:val="-2"/>
        </w:rPr>
        <w:t>данным</w:t>
      </w:r>
      <w:r>
        <w:rPr>
          <w:color w:val="231F20"/>
          <w:spacing w:val="-8"/>
        </w:rPr>
        <w:t> </w:t>
      </w:r>
      <w:r>
        <w:rPr>
          <w:color w:val="231F20"/>
          <w:spacing w:val="-2"/>
        </w:rPr>
        <w:t>психолого-педагогической</w:t>
      </w:r>
      <w:r>
        <w:rPr>
          <w:color w:val="231F20"/>
          <w:spacing w:val="-8"/>
        </w:rPr>
        <w:t> </w:t>
      </w:r>
      <w:r>
        <w:rPr>
          <w:color w:val="231F20"/>
          <w:spacing w:val="-2"/>
        </w:rPr>
        <w:t>оценки</w:t>
      </w:r>
      <w:r>
        <w:rPr>
          <w:color w:val="231F20"/>
          <w:spacing w:val="-8"/>
        </w:rPr>
        <w:t> </w:t>
      </w:r>
      <w:r>
        <w:rPr>
          <w:color w:val="231F20"/>
          <w:spacing w:val="-2"/>
        </w:rPr>
        <w:t>особых</w:t>
      </w:r>
      <w:r>
        <w:rPr>
          <w:color w:val="231F20"/>
          <w:spacing w:val="-8"/>
        </w:rPr>
        <w:t> </w:t>
      </w:r>
      <w:r>
        <w:rPr>
          <w:color w:val="231F20"/>
          <w:spacing w:val="-2"/>
        </w:rPr>
        <w:t>образова- </w:t>
      </w:r>
      <w:r>
        <w:rPr>
          <w:color w:val="231F20"/>
          <w:spacing w:val="-4"/>
        </w:rPr>
        <w:t>тельных</w:t>
      </w:r>
      <w:r>
        <w:rPr>
          <w:color w:val="231F20"/>
          <w:spacing w:val="-6"/>
        </w:rPr>
        <w:t> </w:t>
      </w:r>
      <w:r>
        <w:rPr>
          <w:color w:val="231F20"/>
          <w:spacing w:val="-4"/>
        </w:rPr>
        <w:t>потребностей</w:t>
      </w:r>
      <w:r>
        <w:rPr>
          <w:color w:val="231F20"/>
          <w:spacing w:val="-6"/>
        </w:rPr>
        <w:t> </w:t>
      </w:r>
      <w:r>
        <w:rPr>
          <w:color w:val="231F20"/>
          <w:spacing w:val="-4"/>
        </w:rPr>
        <w:t>детей</w:t>
      </w:r>
      <w:r>
        <w:rPr>
          <w:color w:val="231F20"/>
          <w:spacing w:val="-6"/>
        </w:rPr>
        <w:t> </w:t>
      </w:r>
      <w:r>
        <w:rPr>
          <w:color w:val="231F20"/>
          <w:spacing w:val="-4"/>
        </w:rPr>
        <w:t>иностранных</w:t>
      </w:r>
      <w:r>
        <w:rPr>
          <w:color w:val="231F20"/>
          <w:spacing w:val="-6"/>
        </w:rPr>
        <w:t> </w:t>
      </w:r>
      <w:r>
        <w:rPr>
          <w:color w:val="231F20"/>
          <w:spacing w:val="-4"/>
        </w:rPr>
        <w:t>граждан</w:t>
      </w:r>
      <w:r>
        <w:rPr>
          <w:color w:val="231F20"/>
          <w:spacing w:val="-6"/>
        </w:rPr>
        <w:t> </w:t>
      </w:r>
      <w:r>
        <w:rPr>
          <w:color w:val="231F20"/>
          <w:spacing w:val="-4"/>
        </w:rPr>
        <w:t>в</w:t>
      </w:r>
      <w:r>
        <w:rPr>
          <w:color w:val="231F20"/>
          <w:spacing w:val="-6"/>
        </w:rPr>
        <w:t> </w:t>
      </w:r>
      <w:r>
        <w:rPr>
          <w:color w:val="231F20"/>
          <w:spacing w:val="-4"/>
        </w:rPr>
        <w:t>сферах</w:t>
      </w:r>
      <w:r>
        <w:rPr>
          <w:color w:val="231F20"/>
          <w:spacing w:val="-6"/>
        </w:rPr>
        <w:t> </w:t>
      </w:r>
      <w:r>
        <w:rPr>
          <w:color w:val="231F20"/>
          <w:spacing w:val="-4"/>
        </w:rPr>
        <w:t>психологического</w:t>
      </w:r>
      <w:r>
        <w:rPr>
          <w:color w:val="231F20"/>
          <w:spacing w:val="-6"/>
        </w:rPr>
        <w:t> </w:t>
      </w:r>
      <w:r>
        <w:rPr>
          <w:color w:val="231F20"/>
          <w:spacing w:val="-4"/>
        </w:rPr>
        <w:t>благопо- лучия,</w:t>
      </w:r>
      <w:r>
        <w:rPr>
          <w:color w:val="231F20"/>
          <w:spacing w:val="-8"/>
        </w:rPr>
        <w:t> </w:t>
      </w:r>
      <w:r>
        <w:rPr>
          <w:color w:val="231F20"/>
          <w:spacing w:val="-4"/>
        </w:rPr>
        <w:t>социальных</w:t>
      </w:r>
      <w:r>
        <w:rPr>
          <w:color w:val="231F20"/>
          <w:spacing w:val="-8"/>
        </w:rPr>
        <w:t> </w:t>
      </w:r>
      <w:r>
        <w:rPr>
          <w:color w:val="231F20"/>
          <w:spacing w:val="-4"/>
        </w:rPr>
        <w:t>навыков</w:t>
      </w:r>
      <w:r>
        <w:rPr>
          <w:color w:val="231F20"/>
          <w:spacing w:val="-8"/>
        </w:rPr>
        <w:t> </w:t>
      </w:r>
      <w:r>
        <w:rPr>
          <w:color w:val="231F20"/>
          <w:spacing w:val="-4"/>
        </w:rPr>
        <w:t>и</w:t>
      </w:r>
      <w:r>
        <w:rPr>
          <w:color w:val="231F20"/>
          <w:spacing w:val="-8"/>
        </w:rPr>
        <w:t> </w:t>
      </w:r>
      <w:r>
        <w:rPr>
          <w:color w:val="231F20"/>
          <w:spacing w:val="-4"/>
        </w:rPr>
        <w:t>культурной</w:t>
      </w:r>
      <w:r>
        <w:rPr>
          <w:color w:val="231F20"/>
          <w:spacing w:val="-8"/>
        </w:rPr>
        <w:t> </w:t>
      </w:r>
      <w:r>
        <w:rPr>
          <w:color w:val="231F20"/>
          <w:spacing w:val="-4"/>
        </w:rPr>
        <w:t>адаптации</w:t>
      </w:r>
      <w:r>
        <w:rPr>
          <w:color w:val="231F20"/>
          <w:spacing w:val="-8"/>
        </w:rPr>
        <w:t> </w:t>
      </w:r>
      <w:r>
        <w:rPr>
          <w:color w:val="231F20"/>
          <w:spacing w:val="-4"/>
        </w:rPr>
        <w:t>относящийся</w:t>
      </w:r>
      <w:r>
        <w:rPr>
          <w:color w:val="231F20"/>
          <w:spacing w:val="-8"/>
        </w:rPr>
        <w:t> </w:t>
      </w:r>
      <w:r>
        <w:rPr>
          <w:color w:val="231F20"/>
          <w:spacing w:val="-4"/>
        </w:rPr>
        <w:t>к</w:t>
      </w:r>
      <w:r>
        <w:rPr>
          <w:color w:val="231F20"/>
          <w:spacing w:val="-8"/>
        </w:rPr>
        <w:t> </w:t>
      </w:r>
      <w:r>
        <w:rPr>
          <w:color w:val="231F20"/>
          <w:spacing w:val="-4"/>
        </w:rPr>
        <w:t>дезадаптационному </w:t>
      </w:r>
      <w:r>
        <w:rPr>
          <w:color w:val="231F20"/>
          <w:spacing w:val="-2"/>
        </w:rPr>
        <w:t>профилю.</w:t>
      </w:r>
      <w:r>
        <w:rPr>
          <w:color w:val="231F20"/>
          <w:spacing w:val="-3"/>
        </w:rPr>
        <w:t> </w:t>
      </w:r>
      <w:r>
        <w:rPr>
          <w:color w:val="231F20"/>
          <w:spacing w:val="-2"/>
        </w:rPr>
        <w:t>Если</w:t>
      </w:r>
      <w:r>
        <w:rPr>
          <w:color w:val="231F20"/>
          <w:spacing w:val="-3"/>
        </w:rPr>
        <w:t> </w:t>
      </w:r>
      <w:r>
        <w:rPr>
          <w:color w:val="231F20"/>
          <w:spacing w:val="-2"/>
        </w:rPr>
        <w:t>в</w:t>
      </w:r>
      <w:r>
        <w:rPr>
          <w:color w:val="231F20"/>
          <w:spacing w:val="-3"/>
        </w:rPr>
        <w:t> </w:t>
      </w:r>
      <w:r>
        <w:rPr>
          <w:color w:val="231F20"/>
          <w:spacing w:val="-2"/>
        </w:rPr>
        <w:t>классе</w:t>
      </w:r>
      <w:r>
        <w:rPr>
          <w:color w:val="231F20"/>
          <w:spacing w:val="-3"/>
        </w:rPr>
        <w:t> </w:t>
      </w:r>
      <w:r>
        <w:rPr>
          <w:color w:val="231F20"/>
          <w:spacing w:val="-2"/>
        </w:rPr>
        <w:t>(группе)</w:t>
      </w:r>
      <w:r>
        <w:rPr>
          <w:color w:val="231F20"/>
          <w:spacing w:val="-3"/>
        </w:rPr>
        <w:t> </w:t>
      </w:r>
      <w:r>
        <w:rPr>
          <w:color w:val="231F20"/>
          <w:spacing w:val="-2"/>
        </w:rPr>
        <w:t>нет</w:t>
      </w:r>
      <w:r>
        <w:rPr>
          <w:color w:val="231F20"/>
          <w:spacing w:val="-3"/>
        </w:rPr>
        <w:t> </w:t>
      </w:r>
      <w:r>
        <w:rPr>
          <w:color w:val="231F20"/>
          <w:spacing w:val="-2"/>
        </w:rPr>
        <w:t>таких</w:t>
      </w:r>
      <w:r>
        <w:rPr>
          <w:color w:val="231F20"/>
          <w:spacing w:val="-3"/>
        </w:rPr>
        <w:t> </w:t>
      </w:r>
      <w:r>
        <w:rPr>
          <w:color w:val="231F20"/>
          <w:spacing w:val="-2"/>
        </w:rPr>
        <w:t>детей,</w:t>
      </w:r>
      <w:r>
        <w:rPr>
          <w:color w:val="231F20"/>
          <w:spacing w:val="-3"/>
        </w:rPr>
        <w:t> </w:t>
      </w:r>
      <w:r>
        <w:rPr>
          <w:color w:val="231F20"/>
          <w:spacing w:val="-2"/>
        </w:rPr>
        <w:t>однако</w:t>
      </w:r>
      <w:r>
        <w:rPr>
          <w:color w:val="231F20"/>
          <w:spacing w:val="-3"/>
        </w:rPr>
        <w:t> </w:t>
      </w:r>
      <w:r>
        <w:rPr>
          <w:color w:val="231F20"/>
          <w:spacing w:val="-2"/>
        </w:rPr>
        <w:t>присутствуют</w:t>
      </w:r>
      <w:r>
        <w:rPr>
          <w:color w:val="231F20"/>
          <w:spacing w:val="-3"/>
        </w:rPr>
        <w:t> </w:t>
      </w:r>
      <w:r>
        <w:rPr>
          <w:color w:val="231F20"/>
          <w:spacing w:val="-2"/>
        </w:rPr>
        <w:t>дети,</w:t>
      </w:r>
      <w:r>
        <w:rPr>
          <w:color w:val="231F20"/>
          <w:spacing w:val="-3"/>
        </w:rPr>
        <w:t> </w:t>
      </w:r>
      <w:r>
        <w:rPr>
          <w:color w:val="231F20"/>
          <w:spacing w:val="-2"/>
        </w:rPr>
        <w:t>которые по</w:t>
      </w:r>
      <w:r>
        <w:rPr>
          <w:color w:val="231F20"/>
          <w:spacing w:val="-3"/>
        </w:rPr>
        <w:t> </w:t>
      </w:r>
      <w:r>
        <w:rPr>
          <w:color w:val="231F20"/>
          <w:spacing w:val="-2"/>
        </w:rPr>
        <w:t>результатам</w:t>
      </w:r>
      <w:r>
        <w:rPr>
          <w:color w:val="231F20"/>
          <w:spacing w:val="-3"/>
        </w:rPr>
        <w:t> </w:t>
      </w:r>
      <w:r>
        <w:rPr>
          <w:color w:val="231F20"/>
          <w:spacing w:val="-2"/>
        </w:rPr>
        <w:t>вышеуказанной</w:t>
      </w:r>
      <w:r>
        <w:rPr>
          <w:color w:val="231F20"/>
          <w:spacing w:val="-3"/>
        </w:rPr>
        <w:t> </w:t>
      </w:r>
      <w:r>
        <w:rPr>
          <w:color w:val="231F20"/>
          <w:spacing w:val="-2"/>
        </w:rPr>
        <w:t>диагностики</w:t>
      </w:r>
      <w:r>
        <w:rPr>
          <w:color w:val="231F20"/>
          <w:spacing w:val="-3"/>
        </w:rPr>
        <w:t> </w:t>
      </w:r>
      <w:r>
        <w:rPr>
          <w:color w:val="231F20"/>
          <w:spacing w:val="-2"/>
        </w:rPr>
        <w:t>относятся</w:t>
      </w:r>
      <w:r>
        <w:rPr>
          <w:color w:val="231F20"/>
          <w:spacing w:val="-3"/>
        </w:rPr>
        <w:t> </w:t>
      </w:r>
      <w:r>
        <w:rPr>
          <w:color w:val="231F20"/>
          <w:spacing w:val="-2"/>
        </w:rPr>
        <w:t>к</w:t>
      </w:r>
      <w:r>
        <w:rPr>
          <w:color w:val="231F20"/>
          <w:spacing w:val="-3"/>
        </w:rPr>
        <w:t> </w:t>
      </w:r>
      <w:r>
        <w:rPr>
          <w:color w:val="231F20"/>
          <w:spacing w:val="-2"/>
        </w:rPr>
        <w:t>смешанному</w:t>
      </w:r>
      <w:r>
        <w:rPr>
          <w:color w:val="231F20"/>
          <w:spacing w:val="-3"/>
        </w:rPr>
        <w:t> </w:t>
      </w:r>
      <w:r>
        <w:rPr>
          <w:color w:val="231F20"/>
          <w:spacing w:val="-2"/>
        </w:rPr>
        <w:t>профилю,</w:t>
      </w:r>
      <w:r>
        <w:rPr>
          <w:color w:val="231F20"/>
          <w:spacing w:val="-3"/>
        </w:rPr>
        <w:t> </w:t>
      </w:r>
      <w:r>
        <w:rPr>
          <w:color w:val="231F20"/>
          <w:spacing w:val="-2"/>
        </w:rPr>
        <w:t>реко- </w:t>
      </w:r>
      <w:r>
        <w:rPr>
          <w:color w:val="231F20"/>
        </w:rPr>
        <w:t>мендуется</w:t>
      </w:r>
      <w:r>
        <w:rPr>
          <w:color w:val="231F20"/>
          <w:spacing w:val="-12"/>
        </w:rPr>
        <w:t> </w:t>
      </w:r>
      <w:r>
        <w:rPr>
          <w:color w:val="231F20"/>
        </w:rPr>
        <w:t>рассмотреть</w:t>
      </w:r>
      <w:r>
        <w:rPr>
          <w:color w:val="231F20"/>
          <w:spacing w:val="-12"/>
        </w:rPr>
        <w:t> </w:t>
      </w:r>
      <w:r>
        <w:rPr>
          <w:color w:val="231F20"/>
        </w:rPr>
        <w:t>использование</w:t>
      </w:r>
      <w:r>
        <w:rPr>
          <w:color w:val="231F20"/>
          <w:spacing w:val="-12"/>
        </w:rPr>
        <w:t> </w:t>
      </w:r>
      <w:r>
        <w:rPr>
          <w:color w:val="231F20"/>
        </w:rPr>
        <w:t>отдельных</w:t>
      </w:r>
      <w:r>
        <w:rPr>
          <w:color w:val="231F20"/>
          <w:spacing w:val="-12"/>
        </w:rPr>
        <w:t> </w:t>
      </w:r>
      <w:r>
        <w:rPr>
          <w:color w:val="231F20"/>
        </w:rPr>
        <w:t>составляющих</w:t>
      </w:r>
      <w:r>
        <w:rPr>
          <w:color w:val="231F20"/>
          <w:spacing w:val="-12"/>
        </w:rPr>
        <w:t> </w:t>
      </w:r>
      <w:r>
        <w:rPr>
          <w:color w:val="231F20"/>
        </w:rPr>
        <w:t>данного</w:t>
      </w:r>
      <w:r>
        <w:rPr>
          <w:color w:val="231F20"/>
          <w:spacing w:val="-12"/>
        </w:rPr>
        <w:t> </w:t>
      </w:r>
      <w:r>
        <w:rPr>
          <w:color w:val="231F20"/>
        </w:rPr>
        <w:t>уровня.</w:t>
      </w:r>
    </w:p>
    <w:p>
      <w:pPr>
        <w:pStyle w:val="ListParagraph"/>
        <w:numPr>
          <w:ilvl w:val="1"/>
          <w:numId w:val="99"/>
        </w:numPr>
        <w:tabs>
          <w:tab w:pos="707" w:val="left" w:leader="none"/>
        </w:tabs>
        <w:spacing w:line="213" w:lineRule="exact" w:before="0" w:after="0"/>
        <w:ind w:left="707" w:right="0" w:hanging="282"/>
        <w:jc w:val="both"/>
        <w:rPr>
          <w:sz w:val="20"/>
        </w:rPr>
      </w:pPr>
      <w:r>
        <w:rPr>
          <w:color w:val="231F20"/>
          <w:sz w:val="20"/>
        </w:rPr>
        <w:t>Организация наставничества</w:t>
      </w:r>
      <w:r>
        <w:rPr>
          <w:color w:val="231F20"/>
          <w:spacing w:val="2"/>
          <w:sz w:val="20"/>
        </w:rPr>
        <w:t> </w:t>
      </w:r>
      <w:r>
        <w:rPr>
          <w:color w:val="231F20"/>
          <w:sz w:val="20"/>
        </w:rPr>
        <w:t>по</w:t>
      </w:r>
      <w:r>
        <w:rPr>
          <w:color w:val="231F20"/>
          <w:spacing w:val="2"/>
          <w:sz w:val="20"/>
        </w:rPr>
        <w:t> </w:t>
      </w:r>
      <w:r>
        <w:rPr>
          <w:color w:val="231F20"/>
          <w:sz w:val="20"/>
        </w:rPr>
        <w:t>отношению</w:t>
      </w:r>
      <w:r>
        <w:rPr>
          <w:color w:val="231F20"/>
          <w:spacing w:val="2"/>
          <w:sz w:val="20"/>
        </w:rPr>
        <w:t> </w:t>
      </w:r>
      <w:r>
        <w:rPr>
          <w:color w:val="231F20"/>
          <w:sz w:val="20"/>
        </w:rPr>
        <w:t>к</w:t>
      </w:r>
      <w:r>
        <w:rPr>
          <w:color w:val="231F20"/>
          <w:spacing w:val="2"/>
          <w:sz w:val="20"/>
        </w:rPr>
        <w:t> </w:t>
      </w:r>
      <w:r>
        <w:rPr>
          <w:color w:val="231F20"/>
          <w:sz w:val="20"/>
        </w:rPr>
        <w:t>ребенку-иностранному</w:t>
      </w:r>
      <w:r>
        <w:rPr>
          <w:color w:val="231F20"/>
          <w:spacing w:val="3"/>
          <w:sz w:val="20"/>
        </w:rPr>
        <w:t> </w:t>
      </w:r>
      <w:r>
        <w:rPr>
          <w:color w:val="231F20"/>
          <w:spacing w:val="-2"/>
          <w:sz w:val="20"/>
        </w:rPr>
        <w:t>гражда-</w:t>
      </w:r>
    </w:p>
    <w:p>
      <w:pPr>
        <w:pStyle w:val="BodyText"/>
        <w:spacing w:line="228" w:lineRule="exact"/>
        <w:ind w:left="708" w:right="0" w:firstLine="0"/>
      </w:pPr>
      <w:r>
        <w:rPr>
          <w:color w:val="231F20"/>
        </w:rPr>
        <w:t>нину</w:t>
      </w:r>
      <w:r>
        <w:rPr>
          <w:color w:val="231F20"/>
          <w:spacing w:val="-6"/>
        </w:rPr>
        <w:t> </w:t>
      </w:r>
      <w:r>
        <w:rPr>
          <w:color w:val="231F20"/>
        </w:rPr>
        <w:t>с</w:t>
      </w:r>
      <w:r>
        <w:rPr>
          <w:color w:val="231F20"/>
          <w:spacing w:val="-5"/>
        </w:rPr>
        <w:t> </w:t>
      </w:r>
      <w:r>
        <w:rPr>
          <w:color w:val="231F20"/>
        </w:rPr>
        <w:t>дезадаптивным</w:t>
      </w:r>
      <w:r>
        <w:rPr>
          <w:color w:val="231F20"/>
          <w:spacing w:val="-5"/>
        </w:rPr>
        <w:t> </w:t>
      </w:r>
      <w:r>
        <w:rPr>
          <w:color w:val="231F20"/>
        </w:rPr>
        <w:t>профилем</w:t>
      </w:r>
      <w:r>
        <w:rPr>
          <w:color w:val="231F20"/>
          <w:spacing w:val="-5"/>
        </w:rPr>
        <w:t> </w:t>
      </w:r>
      <w:r>
        <w:rPr>
          <w:color w:val="231F20"/>
        </w:rPr>
        <w:t>аккультурации</w:t>
      </w:r>
      <w:r>
        <w:rPr>
          <w:color w:val="231F20"/>
          <w:spacing w:val="-5"/>
        </w:rPr>
        <w:t> </w:t>
      </w:r>
      <w:r>
        <w:rPr>
          <w:color w:val="231F20"/>
        </w:rPr>
        <w:t>(параграф</w:t>
      </w:r>
      <w:r>
        <w:rPr>
          <w:color w:val="231F20"/>
          <w:spacing w:val="-5"/>
        </w:rPr>
        <w:t> </w:t>
      </w:r>
      <w:r>
        <w:rPr>
          <w:color w:val="231F20"/>
          <w:spacing w:val="-2"/>
        </w:rPr>
        <w:t>4.3.1.).</w:t>
      </w:r>
    </w:p>
    <w:p>
      <w:pPr>
        <w:pStyle w:val="ListParagraph"/>
        <w:numPr>
          <w:ilvl w:val="1"/>
          <w:numId w:val="99"/>
        </w:numPr>
        <w:tabs>
          <w:tab w:pos="706" w:val="left" w:leader="none"/>
          <w:tab w:pos="708" w:val="left" w:leader="none"/>
        </w:tabs>
        <w:spacing w:line="240" w:lineRule="auto" w:before="0" w:after="0"/>
        <w:ind w:left="708" w:right="139" w:hanging="284"/>
        <w:jc w:val="both"/>
        <w:rPr>
          <w:sz w:val="20"/>
        </w:rPr>
      </w:pPr>
      <w:r>
        <w:rPr>
          <w:color w:val="231F20"/>
          <w:sz w:val="20"/>
        </w:rPr>
        <w:t>Использование школьных проектов в формировании инклюзивной образова- тельной среды в классе (параграф 4.4.1.).</w:t>
      </w:r>
    </w:p>
    <w:p>
      <w:pPr>
        <w:pStyle w:val="ListParagraph"/>
        <w:numPr>
          <w:ilvl w:val="1"/>
          <w:numId w:val="99"/>
        </w:numPr>
        <w:tabs>
          <w:tab w:pos="706" w:val="left" w:leader="none"/>
          <w:tab w:pos="708" w:val="left" w:leader="none"/>
        </w:tabs>
        <w:spacing w:line="237" w:lineRule="auto" w:before="0" w:after="0"/>
        <w:ind w:left="708" w:right="139" w:hanging="284"/>
        <w:jc w:val="both"/>
        <w:rPr>
          <w:sz w:val="20"/>
        </w:rPr>
      </w:pPr>
      <w:r>
        <w:rPr>
          <w:color w:val="231F20"/>
          <w:sz w:val="20"/>
        </w:rPr>
        <w:t>Организация групповой учебной работы учащихся в поликультурном классе (параграф 4.4.2.).</w:t>
      </w:r>
    </w:p>
    <w:p>
      <w:pPr>
        <w:pStyle w:val="ListParagraph"/>
        <w:numPr>
          <w:ilvl w:val="1"/>
          <w:numId w:val="99"/>
        </w:numPr>
        <w:tabs>
          <w:tab w:pos="706" w:val="left" w:leader="none"/>
          <w:tab w:pos="708" w:val="left" w:leader="none"/>
        </w:tabs>
        <w:spacing w:line="240" w:lineRule="auto" w:before="0" w:after="0"/>
        <w:ind w:left="708" w:right="139" w:hanging="284"/>
        <w:jc w:val="both"/>
        <w:rPr>
          <w:sz w:val="20"/>
        </w:rPr>
      </w:pPr>
      <w:r>
        <w:rPr>
          <w:color w:val="231F20"/>
          <w:spacing w:val="-2"/>
          <w:sz w:val="20"/>
        </w:rPr>
        <w:t>Проведение интеграционных мероприятий (“Живая библиотека”, интеграцион- ное</w:t>
      </w:r>
      <w:r>
        <w:rPr>
          <w:color w:val="231F20"/>
          <w:spacing w:val="-5"/>
          <w:sz w:val="20"/>
        </w:rPr>
        <w:t> </w:t>
      </w:r>
      <w:r>
        <w:rPr>
          <w:color w:val="231F20"/>
          <w:spacing w:val="-2"/>
          <w:sz w:val="20"/>
        </w:rPr>
        <w:t>межкультурное</w:t>
      </w:r>
      <w:r>
        <w:rPr>
          <w:color w:val="231F20"/>
          <w:spacing w:val="-5"/>
          <w:sz w:val="20"/>
        </w:rPr>
        <w:t> </w:t>
      </w:r>
      <w:r>
        <w:rPr>
          <w:color w:val="231F20"/>
          <w:spacing w:val="-2"/>
          <w:sz w:val="20"/>
        </w:rPr>
        <w:t>краеведение,</w:t>
      </w:r>
      <w:r>
        <w:rPr>
          <w:color w:val="231F20"/>
          <w:spacing w:val="-5"/>
          <w:sz w:val="20"/>
        </w:rPr>
        <w:t> </w:t>
      </w:r>
      <w:r>
        <w:rPr>
          <w:color w:val="231F20"/>
          <w:spacing w:val="-2"/>
          <w:sz w:val="20"/>
        </w:rPr>
        <w:t>театральная</w:t>
      </w:r>
      <w:r>
        <w:rPr>
          <w:color w:val="231F20"/>
          <w:spacing w:val="-5"/>
          <w:sz w:val="20"/>
        </w:rPr>
        <w:t> </w:t>
      </w:r>
      <w:r>
        <w:rPr>
          <w:color w:val="231F20"/>
          <w:spacing w:val="-2"/>
          <w:sz w:val="20"/>
        </w:rPr>
        <w:t>деятельность,</w:t>
      </w:r>
      <w:r>
        <w:rPr>
          <w:color w:val="231F20"/>
          <w:spacing w:val="-5"/>
          <w:sz w:val="20"/>
        </w:rPr>
        <w:t> </w:t>
      </w:r>
      <w:r>
        <w:rPr>
          <w:color w:val="231F20"/>
          <w:spacing w:val="-2"/>
          <w:sz w:val="20"/>
        </w:rPr>
        <w:t>использование</w:t>
      </w:r>
      <w:r>
        <w:rPr>
          <w:color w:val="231F20"/>
          <w:spacing w:val="-5"/>
          <w:sz w:val="20"/>
        </w:rPr>
        <w:t> </w:t>
      </w:r>
      <w:r>
        <w:rPr>
          <w:color w:val="231F20"/>
          <w:spacing w:val="-2"/>
          <w:sz w:val="20"/>
        </w:rPr>
        <w:t>кре- </w:t>
      </w:r>
      <w:r>
        <w:rPr>
          <w:color w:val="231F20"/>
          <w:sz w:val="20"/>
        </w:rPr>
        <w:t>ативных коммуникативных технологи) (параграфы 4.3.3.; 4.3.4; 4.3.6. и 4.3.7).</w:t>
      </w:r>
    </w:p>
    <w:p>
      <w:pPr>
        <w:pStyle w:val="BodyText"/>
        <w:spacing w:line="235" w:lineRule="auto" w:before="107"/>
      </w:pPr>
      <w:r>
        <w:rPr>
          <w:color w:val="231F20"/>
        </w:rPr>
        <w:t>Также методы, представленные в данном разделе, рекомендуется использовать при осуществлении коррекционно-развивающей составляющей программы коррек- ционной работы с несовершеннолетними-иностранными гражданами.</w:t>
      </w:r>
    </w:p>
    <w:p>
      <w:pPr>
        <w:pStyle w:val="BodyText"/>
        <w:spacing w:line="242" w:lineRule="auto"/>
      </w:pPr>
      <w:r>
        <w:rPr>
          <w:color w:val="231F20"/>
        </w:rPr>
        <w:t>Согласно научно-методологической концепции программы психолого-педаго- гического сопровождения процессов обучения, социальной, языковой и культурной</w:t>
      </w:r>
    </w:p>
    <w:p>
      <w:pPr>
        <w:pStyle w:val="BodyText"/>
        <w:spacing w:after="0" w:line="242" w:lineRule="auto"/>
        <w:sectPr>
          <w:footerReference w:type="default" r:id="rId98"/>
          <w:pgSz w:w="8400" w:h="11910"/>
          <w:pgMar w:header="0" w:footer="527" w:top="720" w:bottom="720" w:left="425" w:right="425"/>
          <w:pgNumType w:start="93"/>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firstLine="0"/>
      </w:pPr>
      <w:r>
        <w:rPr>
          <w:color w:val="231F20"/>
        </w:rPr>
        <w:t>адаптации детей иностранных граждан, рекомендуется выделять три уровня орга- низации</w:t>
      </w:r>
      <w:r>
        <w:rPr>
          <w:color w:val="231F20"/>
          <w:spacing w:val="-1"/>
        </w:rPr>
        <w:t> </w:t>
      </w:r>
      <w:r>
        <w:rPr>
          <w:color w:val="231F20"/>
        </w:rPr>
        <w:t>коррекционной</w:t>
      </w:r>
      <w:r>
        <w:rPr>
          <w:color w:val="231F20"/>
          <w:spacing w:val="-1"/>
        </w:rPr>
        <w:t> </w:t>
      </w:r>
      <w:r>
        <w:rPr>
          <w:color w:val="231F20"/>
        </w:rPr>
        <w:t>работы с несовершеннолетним-иностранным гражданином.</w:t>
      </w:r>
    </w:p>
    <w:p>
      <w:pPr>
        <w:pStyle w:val="BodyText"/>
        <w:spacing w:line="235" w:lineRule="auto" w:before="58"/>
      </w:pPr>
      <w:r>
        <w:rPr>
          <w:i/>
          <w:color w:val="231F20"/>
        </w:rPr>
        <w:t>Уровень 1. </w:t>
      </w:r>
      <w:r>
        <w:rPr>
          <w:color w:val="231F20"/>
        </w:rPr>
        <w:t>Профилактическое сопровождение. Осуществляется по отношению к </w:t>
      </w:r>
      <w:r>
        <w:rPr>
          <w:color w:val="231F20"/>
          <w:spacing w:val="-2"/>
        </w:rPr>
        <w:t>школьнику – иностранному гражданину с интеграционным профилем аккультурации.</w:t>
      </w:r>
    </w:p>
    <w:p>
      <w:pPr>
        <w:pStyle w:val="BodyText"/>
        <w:spacing w:line="225" w:lineRule="exact"/>
        <w:ind w:left="425" w:right="0" w:firstLine="0"/>
      </w:pPr>
      <w:r>
        <w:rPr>
          <w:color w:val="231F20"/>
        </w:rPr>
        <w:t>В</w:t>
      </w:r>
      <w:r>
        <w:rPr>
          <w:color w:val="231F20"/>
          <w:spacing w:val="-6"/>
        </w:rPr>
        <w:t> </w:t>
      </w:r>
      <w:r>
        <w:rPr>
          <w:color w:val="231F20"/>
        </w:rPr>
        <w:t>него</w:t>
      </w:r>
      <w:r>
        <w:rPr>
          <w:color w:val="231F20"/>
          <w:spacing w:val="-6"/>
        </w:rPr>
        <w:t> </w:t>
      </w:r>
      <w:r>
        <w:rPr>
          <w:color w:val="231F20"/>
        </w:rPr>
        <w:t>входят</w:t>
      </w:r>
      <w:r>
        <w:rPr>
          <w:color w:val="231F20"/>
          <w:spacing w:val="-6"/>
        </w:rPr>
        <w:t> </w:t>
      </w:r>
      <w:r>
        <w:rPr>
          <w:color w:val="231F20"/>
        </w:rPr>
        <w:t>следующие</w:t>
      </w:r>
      <w:r>
        <w:rPr>
          <w:color w:val="231F20"/>
          <w:spacing w:val="-6"/>
        </w:rPr>
        <w:t> </w:t>
      </w:r>
      <w:r>
        <w:rPr>
          <w:color w:val="231F20"/>
          <w:spacing w:val="-2"/>
        </w:rPr>
        <w:t>составляющие:</w:t>
      </w:r>
    </w:p>
    <w:p>
      <w:pPr>
        <w:pStyle w:val="ListParagraph"/>
        <w:numPr>
          <w:ilvl w:val="0"/>
          <w:numId w:val="100"/>
        </w:numPr>
        <w:tabs>
          <w:tab w:pos="423" w:val="left" w:leader="none"/>
          <w:tab w:pos="425" w:val="left" w:leader="none"/>
        </w:tabs>
        <w:spacing w:line="235" w:lineRule="auto" w:before="1" w:after="0"/>
        <w:ind w:left="425" w:right="139" w:hanging="284"/>
        <w:jc w:val="both"/>
        <w:rPr>
          <w:sz w:val="20"/>
        </w:rPr>
      </w:pPr>
      <w:r>
        <w:rPr>
          <w:color w:val="231F20"/>
          <w:sz w:val="20"/>
        </w:rPr>
        <w:t>Задействование ребенка-иностранного гражданина в совместной деятельности с детьми принимающего общества (школьный проект, использование креативных коммуникативных</w:t>
      </w:r>
      <w:r>
        <w:rPr>
          <w:color w:val="231F20"/>
          <w:spacing w:val="-13"/>
          <w:sz w:val="20"/>
        </w:rPr>
        <w:t> </w:t>
      </w:r>
      <w:r>
        <w:rPr>
          <w:color w:val="231F20"/>
          <w:sz w:val="20"/>
        </w:rPr>
        <w:t>технологий,</w:t>
      </w:r>
      <w:r>
        <w:rPr>
          <w:color w:val="231F20"/>
          <w:spacing w:val="-12"/>
          <w:sz w:val="20"/>
        </w:rPr>
        <w:t> </w:t>
      </w:r>
      <w:r>
        <w:rPr>
          <w:color w:val="231F20"/>
          <w:sz w:val="20"/>
        </w:rPr>
        <w:t>организация</w:t>
      </w:r>
      <w:r>
        <w:rPr>
          <w:color w:val="231F20"/>
          <w:spacing w:val="-13"/>
          <w:sz w:val="20"/>
        </w:rPr>
        <w:t> </w:t>
      </w:r>
      <w:r>
        <w:rPr>
          <w:color w:val="231F20"/>
          <w:sz w:val="20"/>
        </w:rPr>
        <w:t>групповой</w:t>
      </w:r>
      <w:r>
        <w:rPr>
          <w:color w:val="231F20"/>
          <w:spacing w:val="-12"/>
          <w:sz w:val="20"/>
        </w:rPr>
        <w:t> </w:t>
      </w:r>
      <w:r>
        <w:rPr>
          <w:color w:val="231F20"/>
          <w:sz w:val="20"/>
        </w:rPr>
        <w:t>учебной</w:t>
      </w:r>
      <w:r>
        <w:rPr>
          <w:color w:val="231F20"/>
          <w:spacing w:val="-13"/>
          <w:sz w:val="20"/>
        </w:rPr>
        <w:t> </w:t>
      </w:r>
      <w:r>
        <w:rPr>
          <w:color w:val="231F20"/>
          <w:sz w:val="20"/>
        </w:rPr>
        <w:t>работы</w:t>
      </w:r>
      <w:r>
        <w:rPr>
          <w:color w:val="231F20"/>
          <w:spacing w:val="-12"/>
          <w:sz w:val="20"/>
        </w:rPr>
        <w:t> </w:t>
      </w:r>
      <w:r>
        <w:rPr>
          <w:color w:val="231F20"/>
          <w:sz w:val="20"/>
        </w:rPr>
        <w:t>и</w:t>
      </w:r>
      <w:r>
        <w:rPr>
          <w:color w:val="231F20"/>
          <w:spacing w:val="-13"/>
          <w:sz w:val="20"/>
        </w:rPr>
        <w:t> </w:t>
      </w:r>
      <w:r>
        <w:rPr>
          <w:color w:val="231F20"/>
          <w:sz w:val="20"/>
        </w:rPr>
        <w:t>пр.</w:t>
      </w:r>
      <w:r>
        <w:rPr>
          <w:color w:val="231F20"/>
          <w:spacing w:val="-12"/>
          <w:sz w:val="20"/>
        </w:rPr>
        <w:t> </w:t>
      </w:r>
      <w:r>
        <w:rPr>
          <w:color w:val="231F20"/>
          <w:sz w:val="20"/>
        </w:rPr>
        <w:t>–</w:t>
      </w:r>
      <w:r>
        <w:rPr>
          <w:color w:val="231F20"/>
          <w:spacing w:val="-13"/>
          <w:sz w:val="20"/>
        </w:rPr>
        <w:t> </w:t>
      </w:r>
      <w:r>
        <w:rPr>
          <w:color w:val="231F20"/>
          <w:sz w:val="20"/>
        </w:rPr>
        <w:t>па- раграфы 4.3.4; 4.4.1 и 4.4.2).</w:t>
      </w:r>
    </w:p>
    <w:p>
      <w:pPr>
        <w:pStyle w:val="ListParagraph"/>
        <w:numPr>
          <w:ilvl w:val="0"/>
          <w:numId w:val="100"/>
        </w:numPr>
        <w:tabs>
          <w:tab w:pos="423" w:val="left" w:leader="none"/>
          <w:tab w:pos="425" w:val="left" w:leader="none"/>
        </w:tabs>
        <w:spacing w:line="235" w:lineRule="auto" w:before="3" w:after="0"/>
        <w:ind w:left="425" w:right="140" w:hanging="284"/>
        <w:jc w:val="both"/>
        <w:rPr>
          <w:sz w:val="20"/>
        </w:rPr>
      </w:pPr>
      <w:r>
        <w:rPr>
          <w:color w:val="231F20"/>
          <w:sz w:val="20"/>
        </w:rPr>
        <w:t>При наличии межгрупповой враждебности и ощущения ребенком дискримина- ции – проведение «Живой библиотеки» (параграф 4.3.6).</w:t>
      </w:r>
    </w:p>
    <w:p>
      <w:pPr>
        <w:pStyle w:val="BodyText"/>
        <w:spacing w:line="235" w:lineRule="auto" w:before="58"/>
      </w:pPr>
      <w:r>
        <w:rPr>
          <w:i/>
          <w:color w:val="231F20"/>
        </w:rPr>
        <w:t>Уровень</w:t>
      </w:r>
      <w:r>
        <w:rPr>
          <w:i/>
          <w:color w:val="231F20"/>
          <w:spacing w:val="-8"/>
        </w:rPr>
        <w:t> </w:t>
      </w:r>
      <w:r>
        <w:rPr>
          <w:i/>
          <w:color w:val="231F20"/>
        </w:rPr>
        <w:t>2.</w:t>
      </w:r>
      <w:r>
        <w:rPr>
          <w:i/>
          <w:color w:val="231F20"/>
          <w:spacing w:val="-8"/>
        </w:rPr>
        <w:t> </w:t>
      </w:r>
      <w:r>
        <w:rPr>
          <w:color w:val="231F20"/>
        </w:rPr>
        <w:t>Профилактически-коррекционное</w:t>
      </w:r>
      <w:r>
        <w:rPr>
          <w:color w:val="231F20"/>
          <w:spacing w:val="-8"/>
        </w:rPr>
        <w:t> </w:t>
      </w:r>
      <w:r>
        <w:rPr>
          <w:color w:val="231F20"/>
        </w:rPr>
        <w:t>сопровождение.</w:t>
      </w:r>
      <w:r>
        <w:rPr>
          <w:color w:val="231F20"/>
          <w:spacing w:val="-8"/>
        </w:rPr>
        <w:t> </w:t>
      </w:r>
      <w:r>
        <w:rPr>
          <w:color w:val="231F20"/>
        </w:rPr>
        <w:t>Осуществляется</w:t>
      </w:r>
      <w:r>
        <w:rPr>
          <w:color w:val="231F20"/>
          <w:spacing w:val="-8"/>
        </w:rPr>
        <w:t> </w:t>
      </w:r>
      <w:r>
        <w:rPr>
          <w:color w:val="231F20"/>
        </w:rPr>
        <w:t>по отношению к школьнику-иностранному гражданину со смешанным профилем ак- </w:t>
      </w:r>
      <w:r>
        <w:rPr>
          <w:color w:val="231F20"/>
          <w:spacing w:val="-2"/>
        </w:rPr>
        <w:t>культурации.</w:t>
      </w:r>
    </w:p>
    <w:p>
      <w:pPr>
        <w:pStyle w:val="BodyText"/>
        <w:spacing w:line="226" w:lineRule="exact"/>
        <w:ind w:left="425" w:right="0" w:firstLine="0"/>
      </w:pPr>
      <w:r>
        <w:rPr>
          <w:color w:val="231F20"/>
        </w:rPr>
        <w:t>В</w:t>
      </w:r>
      <w:r>
        <w:rPr>
          <w:color w:val="231F20"/>
          <w:spacing w:val="-6"/>
        </w:rPr>
        <w:t> </w:t>
      </w:r>
      <w:r>
        <w:rPr>
          <w:color w:val="231F20"/>
        </w:rPr>
        <w:t>него</w:t>
      </w:r>
      <w:r>
        <w:rPr>
          <w:color w:val="231F20"/>
          <w:spacing w:val="-6"/>
        </w:rPr>
        <w:t> </w:t>
      </w:r>
      <w:r>
        <w:rPr>
          <w:color w:val="231F20"/>
        </w:rPr>
        <w:t>входят</w:t>
      </w:r>
      <w:r>
        <w:rPr>
          <w:color w:val="231F20"/>
          <w:spacing w:val="-6"/>
        </w:rPr>
        <w:t> </w:t>
      </w:r>
      <w:r>
        <w:rPr>
          <w:color w:val="231F20"/>
        </w:rPr>
        <w:t>следующие</w:t>
      </w:r>
      <w:r>
        <w:rPr>
          <w:color w:val="231F20"/>
          <w:spacing w:val="-6"/>
        </w:rPr>
        <w:t> </w:t>
      </w:r>
      <w:r>
        <w:rPr>
          <w:color w:val="231F20"/>
          <w:spacing w:val="-2"/>
        </w:rPr>
        <w:t>составляющие:</w:t>
      </w:r>
    </w:p>
    <w:p>
      <w:pPr>
        <w:pStyle w:val="ListParagraph"/>
        <w:numPr>
          <w:ilvl w:val="0"/>
          <w:numId w:val="100"/>
        </w:numPr>
        <w:tabs>
          <w:tab w:pos="423" w:val="left" w:leader="none"/>
          <w:tab w:pos="425" w:val="left" w:leader="none"/>
        </w:tabs>
        <w:spacing w:line="235" w:lineRule="auto" w:before="2" w:after="0"/>
        <w:ind w:left="425" w:right="139" w:hanging="284"/>
        <w:jc w:val="both"/>
        <w:rPr>
          <w:sz w:val="20"/>
        </w:rPr>
      </w:pPr>
      <w:r>
        <w:rPr>
          <w:color w:val="231F20"/>
          <w:sz w:val="20"/>
        </w:rPr>
        <w:t>Проведение</w:t>
      </w:r>
      <w:r>
        <w:rPr>
          <w:color w:val="231F20"/>
          <w:spacing w:val="-12"/>
          <w:sz w:val="20"/>
        </w:rPr>
        <w:t> </w:t>
      </w:r>
      <w:r>
        <w:rPr>
          <w:color w:val="231F20"/>
          <w:sz w:val="20"/>
        </w:rPr>
        <w:t>в</w:t>
      </w:r>
      <w:r>
        <w:rPr>
          <w:color w:val="231F20"/>
          <w:spacing w:val="-12"/>
          <w:sz w:val="20"/>
        </w:rPr>
        <w:t> </w:t>
      </w:r>
      <w:r>
        <w:rPr>
          <w:color w:val="231F20"/>
          <w:sz w:val="20"/>
        </w:rPr>
        <w:t>классе,</w:t>
      </w:r>
      <w:r>
        <w:rPr>
          <w:color w:val="231F20"/>
          <w:spacing w:val="-12"/>
          <w:sz w:val="20"/>
        </w:rPr>
        <w:t> </w:t>
      </w:r>
      <w:r>
        <w:rPr>
          <w:color w:val="231F20"/>
          <w:sz w:val="20"/>
        </w:rPr>
        <w:t>где</w:t>
      </w:r>
      <w:r>
        <w:rPr>
          <w:color w:val="231F20"/>
          <w:spacing w:val="-12"/>
          <w:sz w:val="20"/>
        </w:rPr>
        <w:t> </w:t>
      </w:r>
      <w:r>
        <w:rPr>
          <w:color w:val="231F20"/>
          <w:sz w:val="20"/>
        </w:rPr>
        <w:t>учится</w:t>
      </w:r>
      <w:r>
        <w:rPr>
          <w:color w:val="231F20"/>
          <w:spacing w:val="-12"/>
          <w:sz w:val="20"/>
        </w:rPr>
        <w:t> </w:t>
      </w:r>
      <w:r>
        <w:rPr>
          <w:color w:val="231F20"/>
          <w:sz w:val="20"/>
        </w:rPr>
        <w:t>данный</w:t>
      </w:r>
      <w:r>
        <w:rPr>
          <w:color w:val="231F20"/>
          <w:spacing w:val="-12"/>
          <w:sz w:val="20"/>
        </w:rPr>
        <w:t> </w:t>
      </w:r>
      <w:r>
        <w:rPr>
          <w:color w:val="231F20"/>
          <w:sz w:val="20"/>
        </w:rPr>
        <w:t>ребенок</w:t>
      </w:r>
      <w:r>
        <w:rPr>
          <w:color w:val="231F20"/>
          <w:spacing w:val="-12"/>
          <w:sz w:val="20"/>
        </w:rPr>
        <w:t> </w:t>
      </w:r>
      <w:r>
        <w:rPr>
          <w:color w:val="231F20"/>
          <w:sz w:val="20"/>
        </w:rPr>
        <w:t>межкультурного</w:t>
      </w:r>
      <w:r>
        <w:rPr>
          <w:color w:val="231F20"/>
          <w:spacing w:val="-12"/>
          <w:sz w:val="20"/>
        </w:rPr>
        <w:t> </w:t>
      </w:r>
      <w:r>
        <w:rPr>
          <w:color w:val="231F20"/>
          <w:sz w:val="20"/>
        </w:rPr>
        <w:t>тренинга</w:t>
      </w:r>
      <w:r>
        <w:rPr>
          <w:color w:val="231F20"/>
          <w:spacing w:val="-12"/>
          <w:sz w:val="20"/>
        </w:rPr>
        <w:t> </w:t>
      </w:r>
      <w:r>
        <w:rPr>
          <w:color w:val="231F20"/>
          <w:sz w:val="20"/>
        </w:rPr>
        <w:t>(пара- граф 4.2.1), не менее 2 занятий.</w:t>
      </w:r>
    </w:p>
    <w:p>
      <w:pPr>
        <w:pStyle w:val="ListParagraph"/>
        <w:numPr>
          <w:ilvl w:val="0"/>
          <w:numId w:val="100"/>
        </w:numPr>
        <w:tabs>
          <w:tab w:pos="423" w:val="left" w:leader="none"/>
          <w:tab w:pos="425" w:val="left" w:leader="none"/>
        </w:tabs>
        <w:spacing w:line="235" w:lineRule="auto" w:before="1" w:after="0"/>
        <w:ind w:left="425" w:right="139" w:hanging="284"/>
        <w:jc w:val="both"/>
        <w:rPr>
          <w:sz w:val="20"/>
        </w:rPr>
      </w:pPr>
      <w:r>
        <w:rPr>
          <w:color w:val="231F20"/>
          <w:sz w:val="20"/>
        </w:rPr>
        <w:t>Задействование ребенка-иностранного гражданина в совместной деятельности с детьми принимающего общества (школьный проект, использование креативных коммуникативных технологий, организация групповой учебной работы и пр. па- раграфы 4.3.4; 4.4.1 и 4.4.2)..</w:t>
      </w:r>
    </w:p>
    <w:p>
      <w:pPr>
        <w:pStyle w:val="ListParagraph"/>
        <w:numPr>
          <w:ilvl w:val="0"/>
          <w:numId w:val="100"/>
        </w:numPr>
        <w:tabs>
          <w:tab w:pos="423" w:val="left" w:leader="none"/>
          <w:tab w:pos="425" w:val="left" w:leader="none"/>
        </w:tabs>
        <w:spacing w:line="235" w:lineRule="auto" w:before="2" w:after="0"/>
        <w:ind w:left="425" w:right="140" w:hanging="284"/>
        <w:jc w:val="both"/>
        <w:rPr>
          <w:sz w:val="20"/>
        </w:rPr>
      </w:pPr>
      <w:r>
        <w:rPr>
          <w:color w:val="231F20"/>
          <w:sz w:val="20"/>
        </w:rPr>
        <w:t>При наличии межгрупповой враждебности и ощущения ребенком дискримина- ции – проведение «Живой библиотеки» (параграф 4.3.6).</w:t>
      </w:r>
    </w:p>
    <w:p>
      <w:pPr>
        <w:pStyle w:val="BodyText"/>
        <w:spacing w:line="235" w:lineRule="auto" w:before="58"/>
      </w:pPr>
      <w:r>
        <w:rPr>
          <w:i/>
          <w:color w:val="231F20"/>
        </w:rPr>
        <w:t>Уровень 3. </w:t>
      </w:r>
      <w:r>
        <w:rPr>
          <w:color w:val="231F20"/>
        </w:rPr>
        <w:t>Коррекционная работа. Осуществляется по отношению к школьнику- иностранному гражданину с дезадаптивным профилем аккультурации.</w:t>
      </w:r>
    </w:p>
    <w:p>
      <w:pPr>
        <w:pStyle w:val="BodyText"/>
        <w:spacing w:line="225" w:lineRule="exact"/>
        <w:ind w:left="425" w:right="0" w:firstLine="0"/>
      </w:pPr>
      <w:r>
        <w:rPr>
          <w:color w:val="231F20"/>
        </w:rPr>
        <w:t>В</w:t>
      </w:r>
      <w:r>
        <w:rPr>
          <w:color w:val="231F20"/>
          <w:spacing w:val="-6"/>
        </w:rPr>
        <w:t> </w:t>
      </w:r>
      <w:r>
        <w:rPr>
          <w:color w:val="231F20"/>
        </w:rPr>
        <w:t>него</w:t>
      </w:r>
      <w:r>
        <w:rPr>
          <w:color w:val="231F20"/>
          <w:spacing w:val="-6"/>
        </w:rPr>
        <w:t> </w:t>
      </w:r>
      <w:r>
        <w:rPr>
          <w:color w:val="231F20"/>
        </w:rPr>
        <w:t>входят</w:t>
      </w:r>
      <w:r>
        <w:rPr>
          <w:color w:val="231F20"/>
          <w:spacing w:val="-6"/>
        </w:rPr>
        <w:t> </w:t>
      </w:r>
      <w:r>
        <w:rPr>
          <w:color w:val="231F20"/>
        </w:rPr>
        <w:t>следующие</w:t>
      </w:r>
      <w:r>
        <w:rPr>
          <w:color w:val="231F20"/>
          <w:spacing w:val="-6"/>
        </w:rPr>
        <w:t> </w:t>
      </w:r>
      <w:r>
        <w:rPr>
          <w:color w:val="231F20"/>
          <w:spacing w:val="-2"/>
        </w:rPr>
        <w:t>составляющие:</w:t>
      </w:r>
    </w:p>
    <w:p>
      <w:pPr>
        <w:pStyle w:val="ListParagraph"/>
        <w:numPr>
          <w:ilvl w:val="0"/>
          <w:numId w:val="100"/>
        </w:numPr>
        <w:tabs>
          <w:tab w:pos="423" w:val="left" w:leader="none"/>
          <w:tab w:pos="425" w:val="left" w:leader="none"/>
        </w:tabs>
        <w:spacing w:line="235" w:lineRule="auto" w:before="2" w:after="0"/>
        <w:ind w:left="425" w:right="139" w:hanging="284"/>
        <w:jc w:val="both"/>
        <w:rPr>
          <w:sz w:val="20"/>
        </w:rPr>
      </w:pPr>
      <w:r>
        <w:rPr>
          <w:color w:val="231F20"/>
          <w:sz w:val="20"/>
        </w:rPr>
        <w:t>Для детей начальной школы – проведение занятий с классом по технологии «Со- циально-эмоциональное развитие школьников как основа социальной адаптации в начальной школе» (параграф 4.2.3).</w:t>
      </w:r>
    </w:p>
    <w:p>
      <w:pPr>
        <w:pStyle w:val="ListParagraph"/>
        <w:numPr>
          <w:ilvl w:val="0"/>
          <w:numId w:val="100"/>
        </w:numPr>
        <w:tabs>
          <w:tab w:pos="423" w:val="left" w:leader="none"/>
          <w:tab w:pos="425" w:val="left" w:leader="none"/>
        </w:tabs>
        <w:spacing w:line="235" w:lineRule="auto" w:before="2" w:after="0"/>
        <w:ind w:left="425" w:right="139" w:hanging="284"/>
        <w:jc w:val="both"/>
        <w:rPr>
          <w:sz w:val="20"/>
        </w:rPr>
      </w:pPr>
      <w:r>
        <w:rPr>
          <w:color w:val="231F20"/>
          <w:sz w:val="20"/>
        </w:rPr>
        <w:t>Для детей</w:t>
      </w:r>
      <w:r>
        <w:rPr>
          <w:color w:val="231F20"/>
          <w:spacing w:val="-1"/>
          <w:sz w:val="20"/>
        </w:rPr>
        <w:t> </w:t>
      </w:r>
      <w:r>
        <w:rPr>
          <w:color w:val="231F20"/>
          <w:sz w:val="20"/>
        </w:rPr>
        <w:t>старшей</w:t>
      </w:r>
      <w:r>
        <w:rPr>
          <w:color w:val="231F20"/>
          <w:spacing w:val="-1"/>
          <w:sz w:val="20"/>
        </w:rPr>
        <w:t> </w:t>
      </w:r>
      <w:r>
        <w:rPr>
          <w:color w:val="231F20"/>
          <w:sz w:val="20"/>
        </w:rPr>
        <w:t>и</w:t>
      </w:r>
      <w:r>
        <w:rPr>
          <w:color w:val="231F20"/>
          <w:spacing w:val="-1"/>
          <w:sz w:val="20"/>
        </w:rPr>
        <w:t> </w:t>
      </w:r>
      <w:r>
        <w:rPr>
          <w:color w:val="231F20"/>
          <w:sz w:val="20"/>
        </w:rPr>
        <w:t>средней</w:t>
      </w:r>
      <w:r>
        <w:rPr>
          <w:color w:val="231F20"/>
          <w:spacing w:val="-1"/>
          <w:sz w:val="20"/>
        </w:rPr>
        <w:t> </w:t>
      </w:r>
      <w:r>
        <w:rPr>
          <w:color w:val="231F20"/>
          <w:sz w:val="20"/>
        </w:rPr>
        <w:t>школы</w:t>
      </w:r>
      <w:r>
        <w:rPr>
          <w:color w:val="231F20"/>
          <w:spacing w:val="-1"/>
          <w:sz w:val="20"/>
        </w:rPr>
        <w:t> </w:t>
      </w:r>
      <w:r>
        <w:rPr>
          <w:color w:val="231F20"/>
          <w:sz w:val="20"/>
        </w:rPr>
        <w:t>–</w:t>
      </w:r>
      <w:r>
        <w:rPr>
          <w:color w:val="231F20"/>
          <w:spacing w:val="-1"/>
          <w:sz w:val="20"/>
        </w:rPr>
        <w:t> </w:t>
      </w:r>
      <w:r>
        <w:rPr>
          <w:color w:val="231F20"/>
          <w:sz w:val="20"/>
        </w:rPr>
        <w:t>проведение</w:t>
      </w:r>
      <w:r>
        <w:rPr>
          <w:color w:val="231F20"/>
          <w:spacing w:val="-1"/>
          <w:sz w:val="20"/>
        </w:rPr>
        <w:t> </w:t>
      </w:r>
      <w:r>
        <w:rPr>
          <w:color w:val="231F20"/>
          <w:sz w:val="20"/>
        </w:rPr>
        <w:t>занятий с классом</w:t>
      </w:r>
      <w:r>
        <w:rPr>
          <w:color w:val="231F20"/>
          <w:spacing w:val="-1"/>
          <w:sz w:val="20"/>
        </w:rPr>
        <w:t> </w:t>
      </w:r>
      <w:r>
        <w:rPr>
          <w:color w:val="231F20"/>
          <w:sz w:val="20"/>
        </w:rPr>
        <w:t>с</w:t>
      </w:r>
      <w:r>
        <w:rPr>
          <w:color w:val="231F20"/>
          <w:spacing w:val="-1"/>
          <w:sz w:val="20"/>
        </w:rPr>
        <w:t> </w:t>
      </w:r>
      <w:r>
        <w:rPr>
          <w:color w:val="231F20"/>
          <w:sz w:val="20"/>
        </w:rPr>
        <w:t>использо- ванием технологий психологического театра (параграф 4.2.2).</w:t>
      </w:r>
    </w:p>
    <w:p>
      <w:pPr>
        <w:pStyle w:val="ListParagraph"/>
        <w:numPr>
          <w:ilvl w:val="0"/>
          <w:numId w:val="100"/>
        </w:numPr>
        <w:tabs>
          <w:tab w:pos="423" w:val="left" w:leader="none"/>
          <w:tab w:pos="425" w:val="left" w:leader="none"/>
        </w:tabs>
        <w:spacing w:line="235" w:lineRule="auto" w:before="1" w:after="0"/>
        <w:ind w:left="425" w:right="139" w:hanging="284"/>
        <w:jc w:val="both"/>
        <w:rPr>
          <w:sz w:val="20"/>
        </w:rPr>
      </w:pPr>
      <w:r>
        <w:rPr>
          <w:color w:val="231F20"/>
          <w:sz w:val="20"/>
        </w:rPr>
        <w:t>Проведение</w:t>
      </w:r>
      <w:r>
        <w:rPr>
          <w:color w:val="231F20"/>
          <w:spacing w:val="-12"/>
          <w:sz w:val="20"/>
        </w:rPr>
        <w:t> </w:t>
      </w:r>
      <w:r>
        <w:rPr>
          <w:color w:val="231F20"/>
          <w:sz w:val="20"/>
        </w:rPr>
        <w:t>в</w:t>
      </w:r>
      <w:r>
        <w:rPr>
          <w:color w:val="231F20"/>
          <w:spacing w:val="-12"/>
          <w:sz w:val="20"/>
        </w:rPr>
        <w:t> </w:t>
      </w:r>
      <w:r>
        <w:rPr>
          <w:color w:val="231F20"/>
          <w:sz w:val="20"/>
        </w:rPr>
        <w:t>классе,</w:t>
      </w:r>
      <w:r>
        <w:rPr>
          <w:color w:val="231F20"/>
          <w:spacing w:val="-12"/>
          <w:sz w:val="20"/>
        </w:rPr>
        <w:t> </w:t>
      </w:r>
      <w:r>
        <w:rPr>
          <w:color w:val="231F20"/>
          <w:sz w:val="20"/>
        </w:rPr>
        <w:t>где</w:t>
      </w:r>
      <w:r>
        <w:rPr>
          <w:color w:val="231F20"/>
          <w:spacing w:val="-12"/>
          <w:sz w:val="20"/>
        </w:rPr>
        <w:t> </w:t>
      </w:r>
      <w:r>
        <w:rPr>
          <w:color w:val="231F20"/>
          <w:sz w:val="20"/>
        </w:rPr>
        <w:t>учится</w:t>
      </w:r>
      <w:r>
        <w:rPr>
          <w:color w:val="231F20"/>
          <w:spacing w:val="-12"/>
          <w:sz w:val="20"/>
        </w:rPr>
        <w:t> </w:t>
      </w:r>
      <w:r>
        <w:rPr>
          <w:color w:val="231F20"/>
          <w:sz w:val="20"/>
        </w:rPr>
        <w:t>данный</w:t>
      </w:r>
      <w:r>
        <w:rPr>
          <w:color w:val="231F20"/>
          <w:spacing w:val="-12"/>
          <w:sz w:val="20"/>
        </w:rPr>
        <w:t> </w:t>
      </w:r>
      <w:r>
        <w:rPr>
          <w:color w:val="231F20"/>
          <w:sz w:val="20"/>
        </w:rPr>
        <w:t>ребенок</w:t>
      </w:r>
      <w:r>
        <w:rPr>
          <w:color w:val="231F20"/>
          <w:spacing w:val="-12"/>
          <w:sz w:val="20"/>
        </w:rPr>
        <w:t> </w:t>
      </w:r>
      <w:r>
        <w:rPr>
          <w:color w:val="231F20"/>
          <w:sz w:val="20"/>
        </w:rPr>
        <w:t>межкультурного</w:t>
      </w:r>
      <w:r>
        <w:rPr>
          <w:color w:val="231F20"/>
          <w:spacing w:val="-12"/>
          <w:sz w:val="20"/>
        </w:rPr>
        <w:t> </w:t>
      </w:r>
      <w:r>
        <w:rPr>
          <w:color w:val="231F20"/>
          <w:sz w:val="20"/>
        </w:rPr>
        <w:t>тренинга</w:t>
      </w:r>
      <w:r>
        <w:rPr>
          <w:color w:val="231F20"/>
          <w:spacing w:val="-12"/>
          <w:sz w:val="20"/>
        </w:rPr>
        <w:t> </w:t>
      </w:r>
      <w:r>
        <w:rPr>
          <w:color w:val="231F20"/>
          <w:sz w:val="20"/>
        </w:rPr>
        <w:t>(пара- граф 4.2.1), не менее 4 занятий.</w:t>
      </w:r>
    </w:p>
    <w:p>
      <w:pPr>
        <w:pStyle w:val="ListParagraph"/>
        <w:numPr>
          <w:ilvl w:val="0"/>
          <w:numId w:val="100"/>
        </w:numPr>
        <w:tabs>
          <w:tab w:pos="423" w:val="left" w:leader="none"/>
          <w:tab w:pos="425" w:val="left" w:leader="none"/>
        </w:tabs>
        <w:spacing w:line="235" w:lineRule="auto" w:before="1" w:after="0"/>
        <w:ind w:left="425" w:right="139" w:hanging="284"/>
        <w:jc w:val="both"/>
        <w:rPr>
          <w:sz w:val="20"/>
        </w:rPr>
      </w:pPr>
      <w:r>
        <w:rPr>
          <w:color w:val="231F20"/>
          <w:sz w:val="20"/>
        </w:rPr>
        <w:t>Задействование ребенка-иностранного гражданина в совместной деятельности с детьми принимающего общества (школьный проект, использование креативных коммуникативных технологий, организация групповой учебной работы и пр. па- раграфы 4.3.4; 4.4.1 и 4.4.2).).</w:t>
      </w:r>
    </w:p>
    <w:p>
      <w:pPr>
        <w:pStyle w:val="ListParagraph"/>
        <w:numPr>
          <w:ilvl w:val="0"/>
          <w:numId w:val="100"/>
        </w:numPr>
        <w:tabs>
          <w:tab w:pos="423" w:val="left" w:leader="none"/>
          <w:tab w:pos="425" w:val="left" w:leader="none"/>
        </w:tabs>
        <w:spacing w:line="235" w:lineRule="auto" w:before="3" w:after="0"/>
        <w:ind w:left="425" w:right="140" w:hanging="284"/>
        <w:jc w:val="both"/>
        <w:rPr>
          <w:sz w:val="20"/>
        </w:rPr>
      </w:pPr>
      <w:r>
        <w:rPr>
          <w:color w:val="231F20"/>
          <w:sz w:val="20"/>
        </w:rPr>
        <w:t>При наличии межгрупповой враждебности и ощущения ребенком дискримина- ции – проведение «Живой библиотеки» (параграф 4.3.6).</w:t>
      </w:r>
    </w:p>
    <w:p>
      <w:pPr>
        <w:pStyle w:val="BodyText"/>
        <w:spacing w:line="235" w:lineRule="auto" w:before="114"/>
      </w:pPr>
      <w:r>
        <w:rPr>
          <w:color w:val="231F20"/>
        </w:rPr>
        <w:t>По</w:t>
      </w:r>
      <w:r>
        <w:rPr>
          <w:color w:val="231F20"/>
          <w:spacing w:val="-6"/>
        </w:rPr>
        <w:t> </w:t>
      </w:r>
      <w:r>
        <w:rPr>
          <w:color w:val="231F20"/>
        </w:rPr>
        <w:t>итогам</w:t>
      </w:r>
      <w:r>
        <w:rPr>
          <w:color w:val="231F20"/>
          <w:spacing w:val="-6"/>
        </w:rPr>
        <w:t> </w:t>
      </w:r>
      <w:r>
        <w:rPr>
          <w:color w:val="231F20"/>
        </w:rPr>
        <w:t>апробации</w:t>
      </w:r>
      <w:r>
        <w:rPr>
          <w:color w:val="231F20"/>
          <w:spacing w:val="-6"/>
        </w:rPr>
        <w:t> </w:t>
      </w:r>
      <w:r>
        <w:rPr>
          <w:color w:val="231F20"/>
        </w:rPr>
        <w:t>программы</w:t>
      </w:r>
      <w:r>
        <w:rPr>
          <w:color w:val="231F20"/>
          <w:spacing w:val="-6"/>
        </w:rPr>
        <w:t> </w:t>
      </w:r>
      <w:r>
        <w:rPr>
          <w:color w:val="231F20"/>
        </w:rPr>
        <w:t>представляется</w:t>
      </w:r>
      <w:r>
        <w:rPr>
          <w:color w:val="231F20"/>
          <w:spacing w:val="-6"/>
        </w:rPr>
        <w:t> </w:t>
      </w:r>
      <w:r>
        <w:rPr>
          <w:color w:val="231F20"/>
        </w:rPr>
        <w:t>важным</w:t>
      </w:r>
      <w:r>
        <w:rPr>
          <w:color w:val="231F20"/>
          <w:spacing w:val="-6"/>
        </w:rPr>
        <w:t> </w:t>
      </w:r>
      <w:r>
        <w:rPr>
          <w:color w:val="231F20"/>
        </w:rPr>
        <w:t>добавить,</w:t>
      </w:r>
      <w:r>
        <w:rPr>
          <w:color w:val="231F20"/>
          <w:spacing w:val="-6"/>
        </w:rPr>
        <w:t> </w:t>
      </w:r>
      <w:r>
        <w:rPr>
          <w:color w:val="231F20"/>
        </w:rPr>
        <w:t>что</w:t>
      </w:r>
      <w:r>
        <w:rPr>
          <w:color w:val="231F20"/>
          <w:spacing w:val="-6"/>
        </w:rPr>
        <w:t> </w:t>
      </w:r>
      <w:r>
        <w:rPr>
          <w:color w:val="231F20"/>
        </w:rPr>
        <w:t>для</w:t>
      </w:r>
      <w:r>
        <w:rPr>
          <w:color w:val="231F20"/>
          <w:spacing w:val="-6"/>
        </w:rPr>
        <w:t> </w:t>
      </w:r>
      <w:r>
        <w:rPr>
          <w:color w:val="231F20"/>
        </w:rPr>
        <w:t>орга- низации</w:t>
      </w:r>
      <w:r>
        <w:rPr>
          <w:color w:val="231F20"/>
          <w:spacing w:val="-12"/>
        </w:rPr>
        <w:t> </w:t>
      </w:r>
      <w:r>
        <w:rPr>
          <w:color w:val="231F20"/>
        </w:rPr>
        <w:t>работы</w:t>
      </w:r>
      <w:r>
        <w:rPr>
          <w:color w:val="231F20"/>
          <w:spacing w:val="-12"/>
        </w:rPr>
        <w:t> </w:t>
      </w:r>
      <w:r>
        <w:rPr>
          <w:color w:val="231F20"/>
        </w:rPr>
        <w:t>с</w:t>
      </w:r>
      <w:r>
        <w:rPr>
          <w:color w:val="231F20"/>
          <w:spacing w:val="-12"/>
        </w:rPr>
        <w:t> </w:t>
      </w:r>
      <w:r>
        <w:rPr>
          <w:color w:val="231F20"/>
        </w:rPr>
        <w:t>сообществом</w:t>
      </w:r>
      <w:r>
        <w:rPr>
          <w:color w:val="231F20"/>
          <w:spacing w:val="-12"/>
        </w:rPr>
        <w:t> </w:t>
      </w:r>
      <w:r>
        <w:rPr>
          <w:color w:val="231F20"/>
        </w:rPr>
        <w:t>класса</w:t>
      </w:r>
      <w:r>
        <w:rPr>
          <w:color w:val="231F20"/>
          <w:spacing w:val="-12"/>
        </w:rPr>
        <w:t> </w:t>
      </w:r>
      <w:r>
        <w:rPr>
          <w:color w:val="231F20"/>
        </w:rPr>
        <w:t>или</w:t>
      </w:r>
      <w:r>
        <w:rPr>
          <w:color w:val="231F20"/>
          <w:spacing w:val="-12"/>
        </w:rPr>
        <w:t> </w:t>
      </w:r>
      <w:r>
        <w:rPr>
          <w:color w:val="231F20"/>
        </w:rPr>
        <w:t>школы,</w:t>
      </w:r>
      <w:r>
        <w:rPr>
          <w:color w:val="231F20"/>
          <w:spacing w:val="-12"/>
        </w:rPr>
        <w:t> </w:t>
      </w:r>
      <w:r>
        <w:rPr>
          <w:color w:val="231F20"/>
        </w:rPr>
        <w:t>в</w:t>
      </w:r>
      <w:r>
        <w:rPr>
          <w:color w:val="231F20"/>
          <w:spacing w:val="-12"/>
        </w:rPr>
        <w:t> </w:t>
      </w:r>
      <w:r>
        <w:rPr>
          <w:color w:val="231F20"/>
        </w:rPr>
        <w:t>которых</w:t>
      </w:r>
      <w:r>
        <w:rPr>
          <w:color w:val="231F20"/>
          <w:spacing w:val="-12"/>
        </w:rPr>
        <w:t> </w:t>
      </w:r>
      <w:r>
        <w:rPr>
          <w:color w:val="231F20"/>
        </w:rPr>
        <w:t>обучаются</w:t>
      </w:r>
      <w:r>
        <w:rPr>
          <w:color w:val="231F20"/>
          <w:spacing w:val="-12"/>
        </w:rPr>
        <w:t> </w:t>
      </w:r>
      <w:r>
        <w:rPr>
          <w:color w:val="231F20"/>
        </w:rPr>
        <w:t>несовершен- нолетние иностранные граждане, могут использоваться групповые формы работы, используемые</w:t>
      </w:r>
      <w:r>
        <w:rPr>
          <w:color w:val="231F20"/>
          <w:spacing w:val="-2"/>
        </w:rPr>
        <w:t> </w:t>
      </w:r>
      <w:r>
        <w:rPr>
          <w:color w:val="231F20"/>
        </w:rPr>
        <w:t>в</w:t>
      </w:r>
      <w:r>
        <w:rPr>
          <w:color w:val="231F20"/>
          <w:spacing w:val="-2"/>
        </w:rPr>
        <w:t> </w:t>
      </w:r>
      <w:r>
        <w:rPr>
          <w:color w:val="231F20"/>
        </w:rPr>
        <w:t>образовательной</w:t>
      </w:r>
      <w:r>
        <w:rPr>
          <w:color w:val="231F20"/>
          <w:spacing w:val="-2"/>
        </w:rPr>
        <w:t> </w:t>
      </w:r>
      <w:r>
        <w:rPr>
          <w:color w:val="231F20"/>
        </w:rPr>
        <w:t>практике</w:t>
      </w:r>
      <w:r>
        <w:rPr>
          <w:color w:val="231F20"/>
          <w:spacing w:val="-2"/>
        </w:rPr>
        <w:t> </w:t>
      </w:r>
      <w:r>
        <w:rPr>
          <w:color w:val="231F20"/>
        </w:rPr>
        <w:t>школы</w:t>
      </w:r>
      <w:r>
        <w:rPr>
          <w:color w:val="231F20"/>
          <w:spacing w:val="-2"/>
        </w:rPr>
        <w:t> </w:t>
      </w:r>
      <w:r>
        <w:rPr>
          <w:color w:val="231F20"/>
        </w:rPr>
        <w:t>и</w:t>
      </w:r>
      <w:r>
        <w:rPr>
          <w:color w:val="231F20"/>
          <w:spacing w:val="-2"/>
        </w:rPr>
        <w:t> </w:t>
      </w:r>
      <w:r>
        <w:rPr>
          <w:color w:val="231F20"/>
        </w:rPr>
        <w:t>содержательно</w:t>
      </w:r>
      <w:r>
        <w:rPr>
          <w:color w:val="231F20"/>
          <w:spacing w:val="-2"/>
        </w:rPr>
        <w:t> </w:t>
      </w:r>
      <w:r>
        <w:rPr>
          <w:color w:val="231F20"/>
        </w:rPr>
        <w:t>адаптированные к</w:t>
      </w:r>
      <w:r>
        <w:rPr>
          <w:color w:val="231F20"/>
          <w:spacing w:val="-2"/>
        </w:rPr>
        <w:t> </w:t>
      </w:r>
      <w:r>
        <w:rPr>
          <w:color w:val="231F20"/>
        </w:rPr>
        <w:t>вопросам</w:t>
      </w:r>
      <w:r>
        <w:rPr>
          <w:color w:val="231F20"/>
          <w:spacing w:val="1"/>
        </w:rPr>
        <w:t> </w:t>
      </w:r>
      <w:r>
        <w:rPr>
          <w:color w:val="231F20"/>
        </w:rPr>
        <w:t>знакомства</w:t>
      </w:r>
      <w:r>
        <w:rPr>
          <w:color w:val="231F20"/>
          <w:spacing w:val="1"/>
        </w:rPr>
        <w:t> </w:t>
      </w:r>
      <w:r>
        <w:rPr>
          <w:color w:val="231F20"/>
        </w:rPr>
        <w:t>с</w:t>
      </w:r>
      <w:r>
        <w:rPr>
          <w:color w:val="231F20"/>
          <w:spacing w:val="1"/>
        </w:rPr>
        <w:t> </w:t>
      </w:r>
      <w:r>
        <w:rPr>
          <w:color w:val="231F20"/>
        </w:rPr>
        <w:t>российской</w:t>
      </w:r>
      <w:r>
        <w:rPr>
          <w:color w:val="231F20"/>
          <w:spacing w:val="1"/>
        </w:rPr>
        <w:t> </w:t>
      </w:r>
      <w:r>
        <w:rPr>
          <w:color w:val="231F20"/>
        </w:rPr>
        <w:t>культурой, с</w:t>
      </w:r>
      <w:r>
        <w:rPr>
          <w:color w:val="231F20"/>
          <w:spacing w:val="1"/>
        </w:rPr>
        <w:t> </w:t>
      </w:r>
      <w:r>
        <w:rPr>
          <w:color w:val="231F20"/>
        </w:rPr>
        <w:t>культурой</w:t>
      </w:r>
      <w:r>
        <w:rPr>
          <w:color w:val="231F20"/>
          <w:spacing w:val="1"/>
        </w:rPr>
        <w:t> </w:t>
      </w:r>
      <w:r>
        <w:rPr>
          <w:color w:val="231F20"/>
        </w:rPr>
        <w:t>стран,</w:t>
      </w:r>
      <w:r>
        <w:rPr>
          <w:color w:val="231F20"/>
          <w:spacing w:val="1"/>
        </w:rPr>
        <w:t> </w:t>
      </w:r>
      <w:r>
        <w:rPr>
          <w:color w:val="231F20"/>
        </w:rPr>
        <w:t>откуда</w:t>
      </w:r>
      <w:r>
        <w:rPr>
          <w:color w:val="231F20"/>
          <w:spacing w:val="1"/>
        </w:rPr>
        <w:t> </w:t>
      </w:r>
      <w:r>
        <w:rPr>
          <w:color w:val="231F20"/>
          <w:spacing w:val="-2"/>
        </w:rPr>
        <w:t>приехали</w:t>
      </w:r>
    </w:p>
    <w:p>
      <w:pPr>
        <w:pStyle w:val="BodyText"/>
        <w:spacing w:after="0" w:line="235" w:lineRule="auto"/>
        <w:sectPr>
          <w:pgSz w:w="8400" w:h="11910"/>
          <w:pgMar w:header="0" w:footer="527" w:top="400" w:bottom="740" w:left="425" w:right="425"/>
        </w:sectPr>
      </w:pPr>
    </w:p>
    <w:p>
      <w:pPr>
        <w:pStyle w:val="ListParagraph"/>
        <w:numPr>
          <w:ilvl w:val="1"/>
          <w:numId w:val="101"/>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Общее</w:t>
      </w:r>
      <w:r>
        <w:rPr>
          <w:rFonts w:ascii="Georgia" w:hAnsi="Georgia"/>
          <w:color w:val="231F20"/>
          <w:spacing w:val="12"/>
          <w:sz w:val="18"/>
        </w:rPr>
        <w:t> </w:t>
      </w:r>
      <w:r>
        <w:rPr>
          <w:rFonts w:ascii="Georgia" w:hAnsi="Georgia"/>
          <w:color w:val="231F20"/>
          <w:spacing w:val="-2"/>
          <w:sz w:val="18"/>
        </w:rPr>
        <w:t>описание</w:t>
      </w:r>
    </w:p>
    <w:p>
      <w:pPr>
        <w:pStyle w:val="BodyText"/>
        <w:spacing w:line="235" w:lineRule="auto" w:before="116"/>
        <w:ind w:right="0" w:firstLine="0"/>
        <w:jc w:val="left"/>
      </w:pPr>
      <w:r>
        <w:rPr>
          <w:color w:val="231F20"/>
        </w:rPr>
        <w:t>несовершеннолетние</w:t>
      </w:r>
      <w:r>
        <w:rPr>
          <w:color w:val="231F20"/>
          <w:spacing w:val="-13"/>
        </w:rPr>
        <w:t> </w:t>
      </w:r>
      <w:r>
        <w:rPr>
          <w:color w:val="231F20"/>
        </w:rPr>
        <w:t>иностранные</w:t>
      </w:r>
      <w:r>
        <w:rPr>
          <w:color w:val="231F20"/>
          <w:spacing w:val="-12"/>
        </w:rPr>
        <w:t> </w:t>
      </w:r>
      <w:r>
        <w:rPr>
          <w:color w:val="231F20"/>
        </w:rPr>
        <w:t>граждане,</w:t>
      </w:r>
      <w:r>
        <w:rPr>
          <w:color w:val="231F20"/>
          <w:spacing w:val="-13"/>
        </w:rPr>
        <w:t> </w:t>
      </w:r>
      <w:r>
        <w:rPr>
          <w:color w:val="231F20"/>
        </w:rPr>
        <w:t>а</w:t>
      </w:r>
      <w:r>
        <w:rPr>
          <w:color w:val="231F20"/>
          <w:spacing w:val="-12"/>
        </w:rPr>
        <w:t> </w:t>
      </w:r>
      <w:r>
        <w:rPr>
          <w:color w:val="231F20"/>
        </w:rPr>
        <w:t>также</w:t>
      </w:r>
      <w:r>
        <w:rPr>
          <w:color w:val="231F20"/>
          <w:spacing w:val="-13"/>
        </w:rPr>
        <w:t> </w:t>
      </w:r>
      <w:r>
        <w:rPr>
          <w:color w:val="231F20"/>
        </w:rPr>
        <w:t>к</w:t>
      </w:r>
      <w:r>
        <w:rPr>
          <w:color w:val="231F20"/>
          <w:spacing w:val="-12"/>
        </w:rPr>
        <w:t> </w:t>
      </w:r>
      <w:r>
        <w:rPr>
          <w:color w:val="231F20"/>
        </w:rPr>
        <w:t>тематике</w:t>
      </w:r>
      <w:r>
        <w:rPr>
          <w:color w:val="231F20"/>
          <w:spacing w:val="-13"/>
        </w:rPr>
        <w:t> </w:t>
      </w:r>
      <w:r>
        <w:rPr>
          <w:color w:val="231F20"/>
        </w:rPr>
        <w:t>культурного</w:t>
      </w:r>
      <w:r>
        <w:rPr>
          <w:color w:val="231F20"/>
          <w:spacing w:val="-12"/>
        </w:rPr>
        <w:t> </w:t>
      </w:r>
      <w:r>
        <w:rPr>
          <w:color w:val="231F20"/>
        </w:rPr>
        <w:t>разноо- бразия. К таким формам можно отнести:</w:t>
      </w:r>
    </w:p>
    <w:p>
      <w:pPr>
        <w:pStyle w:val="ListParagraph"/>
        <w:numPr>
          <w:ilvl w:val="0"/>
          <w:numId w:val="102"/>
        </w:numPr>
        <w:tabs>
          <w:tab w:pos="425" w:val="left" w:leader="none"/>
        </w:tabs>
        <w:spacing w:line="235" w:lineRule="auto" w:before="1" w:after="0"/>
        <w:ind w:left="425" w:right="227" w:hanging="284"/>
        <w:jc w:val="left"/>
        <w:rPr>
          <w:sz w:val="20"/>
        </w:rPr>
      </w:pPr>
      <w:r>
        <w:rPr>
          <w:color w:val="231F20"/>
          <w:sz w:val="20"/>
        </w:rPr>
        <w:t>Групповые</w:t>
      </w:r>
      <w:r>
        <w:rPr>
          <w:color w:val="231F20"/>
          <w:spacing w:val="-8"/>
          <w:sz w:val="20"/>
        </w:rPr>
        <w:t> </w:t>
      </w:r>
      <w:r>
        <w:rPr>
          <w:color w:val="231F20"/>
          <w:sz w:val="20"/>
        </w:rPr>
        <w:t>игры</w:t>
      </w:r>
      <w:r>
        <w:rPr>
          <w:color w:val="231F20"/>
          <w:spacing w:val="-8"/>
          <w:sz w:val="20"/>
        </w:rPr>
        <w:t> </w:t>
      </w:r>
      <w:r>
        <w:rPr>
          <w:color w:val="231F20"/>
          <w:sz w:val="20"/>
        </w:rPr>
        <w:t>с</w:t>
      </w:r>
      <w:r>
        <w:rPr>
          <w:color w:val="231F20"/>
          <w:spacing w:val="-8"/>
          <w:sz w:val="20"/>
        </w:rPr>
        <w:t> </w:t>
      </w:r>
      <w:r>
        <w:rPr>
          <w:color w:val="231F20"/>
          <w:sz w:val="20"/>
        </w:rPr>
        <w:t>заданиями</w:t>
      </w:r>
      <w:r>
        <w:rPr>
          <w:color w:val="231F20"/>
          <w:spacing w:val="-8"/>
          <w:sz w:val="20"/>
        </w:rPr>
        <w:t> </w:t>
      </w:r>
      <w:r>
        <w:rPr>
          <w:color w:val="231F20"/>
          <w:sz w:val="20"/>
        </w:rPr>
        <w:t>по</w:t>
      </w:r>
      <w:r>
        <w:rPr>
          <w:color w:val="231F20"/>
          <w:spacing w:val="-8"/>
          <w:sz w:val="20"/>
        </w:rPr>
        <w:t> </w:t>
      </w:r>
      <w:r>
        <w:rPr>
          <w:color w:val="231F20"/>
          <w:sz w:val="20"/>
        </w:rPr>
        <w:t>станциям</w:t>
      </w:r>
      <w:r>
        <w:rPr>
          <w:color w:val="231F20"/>
          <w:spacing w:val="-8"/>
          <w:sz w:val="20"/>
        </w:rPr>
        <w:t> </w:t>
      </w:r>
      <w:r>
        <w:rPr>
          <w:color w:val="231F20"/>
          <w:sz w:val="20"/>
        </w:rPr>
        <w:t>(содержание</w:t>
      </w:r>
      <w:r>
        <w:rPr>
          <w:color w:val="231F20"/>
          <w:spacing w:val="-8"/>
          <w:sz w:val="20"/>
        </w:rPr>
        <w:t> </w:t>
      </w:r>
      <w:r>
        <w:rPr>
          <w:color w:val="231F20"/>
          <w:sz w:val="20"/>
        </w:rPr>
        <w:t>заданий</w:t>
      </w:r>
      <w:r>
        <w:rPr>
          <w:color w:val="231F20"/>
          <w:spacing w:val="-8"/>
          <w:sz w:val="20"/>
        </w:rPr>
        <w:t> </w:t>
      </w:r>
      <w:r>
        <w:rPr>
          <w:color w:val="231F20"/>
          <w:sz w:val="20"/>
        </w:rPr>
        <w:t>может</w:t>
      </w:r>
      <w:r>
        <w:rPr>
          <w:color w:val="231F20"/>
          <w:spacing w:val="-8"/>
          <w:sz w:val="20"/>
        </w:rPr>
        <w:t> </w:t>
      </w:r>
      <w:r>
        <w:rPr>
          <w:color w:val="231F20"/>
          <w:sz w:val="20"/>
        </w:rPr>
        <w:t>включать вопросы, касающиеся истории и достопримечательностей региона проживания обучающихся, а также культуры и истории стран исхода несовершеннолетних иностранных граждан).</w:t>
      </w:r>
    </w:p>
    <w:p>
      <w:pPr>
        <w:pStyle w:val="ListParagraph"/>
        <w:numPr>
          <w:ilvl w:val="0"/>
          <w:numId w:val="102"/>
        </w:numPr>
        <w:tabs>
          <w:tab w:pos="425" w:val="left" w:leader="none"/>
        </w:tabs>
        <w:spacing w:line="235" w:lineRule="auto" w:before="2" w:after="0"/>
        <w:ind w:left="425" w:right="384" w:hanging="284"/>
        <w:jc w:val="left"/>
        <w:rPr>
          <w:sz w:val="20"/>
        </w:rPr>
      </w:pPr>
      <w:r>
        <w:rPr>
          <w:color w:val="231F20"/>
          <w:sz w:val="20"/>
        </w:rPr>
        <w:t>Творческие</w:t>
      </w:r>
      <w:r>
        <w:rPr>
          <w:color w:val="231F20"/>
          <w:spacing w:val="-10"/>
          <w:sz w:val="20"/>
        </w:rPr>
        <w:t> </w:t>
      </w:r>
      <w:r>
        <w:rPr>
          <w:color w:val="231F20"/>
          <w:sz w:val="20"/>
        </w:rPr>
        <w:t>мастер-классы,</w:t>
      </w:r>
      <w:r>
        <w:rPr>
          <w:color w:val="231F20"/>
          <w:spacing w:val="-11"/>
          <w:sz w:val="20"/>
        </w:rPr>
        <w:t> </w:t>
      </w:r>
      <w:r>
        <w:rPr>
          <w:color w:val="231F20"/>
          <w:sz w:val="20"/>
        </w:rPr>
        <w:t>направленные</w:t>
      </w:r>
      <w:r>
        <w:rPr>
          <w:color w:val="231F20"/>
          <w:spacing w:val="-10"/>
          <w:sz w:val="20"/>
        </w:rPr>
        <w:t> </w:t>
      </w:r>
      <w:r>
        <w:rPr>
          <w:color w:val="231F20"/>
          <w:sz w:val="20"/>
        </w:rPr>
        <w:t>на</w:t>
      </w:r>
      <w:r>
        <w:rPr>
          <w:color w:val="231F20"/>
          <w:spacing w:val="-10"/>
          <w:sz w:val="20"/>
        </w:rPr>
        <w:t> </w:t>
      </w:r>
      <w:r>
        <w:rPr>
          <w:color w:val="231F20"/>
          <w:sz w:val="20"/>
        </w:rPr>
        <w:t>знакомство</w:t>
      </w:r>
      <w:r>
        <w:rPr>
          <w:color w:val="231F20"/>
          <w:spacing w:val="-10"/>
          <w:sz w:val="20"/>
        </w:rPr>
        <w:t> </w:t>
      </w:r>
      <w:r>
        <w:rPr>
          <w:color w:val="231F20"/>
          <w:sz w:val="20"/>
        </w:rPr>
        <w:t>с</w:t>
      </w:r>
      <w:r>
        <w:rPr>
          <w:color w:val="231F20"/>
          <w:spacing w:val="-10"/>
          <w:sz w:val="20"/>
        </w:rPr>
        <w:t> </w:t>
      </w:r>
      <w:r>
        <w:rPr>
          <w:color w:val="231F20"/>
          <w:sz w:val="20"/>
        </w:rPr>
        <w:t>элементами</w:t>
      </w:r>
      <w:r>
        <w:rPr>
          <w:color w:val="231F20"/>
          <w:spacing w:val="-11"/>
          <w:sz w:val="20"/>
        </w:rPr>
        <w:t> </w:t>
      </w:r>
      <w:r>
        <w:rPr>
          <w:color w:val="231F20"/>
          <w:sz w:val="20"/>
        </w:rPr>
        <w:t>матери- альной культуры (например, изготовление тряпичных кукол).</w:t>
      </w:r>
    </w:p>
    <w:p>
      <w:pPr>
        <w:pStyle w:val="ListParagraph"/>
        <w:numPr>
          <w:ilvl w:val="0"/>
          <w:numId w:val="102"/>
        </w:numPr>
        <w:tabs>
          <w:tab w:pos="425" w:val="left" w:leader="none"/>
        </w:tabs>
        <w:spacing w:line="235" w:lineRule="auto" w:before="2" w:after="0"/>
        <w:ind w:left="425" w:right="228" w:hanging="284"/>
        <w:jc w:val="left"/>
        <w:rPr>
          <w:sz w:val="20"/>
        </w:rPr>
      </w:pPr>
      <w:r>
        <w:rPr>
          <w:color w:val="231F20"/>
          <w:sz w:val="20"/>
        </w:rPr>
        <w:t>Викторины</w:t>
      </w:r>
      <w:r>
        <w:rPr>
          <w:color w:val="231F20"/>
          <w:spacing w:val="-8"/>
          <w:sz w:val="20"/>
        </w:rPr>
        <w:t> </w:t>
      </w:r>
      <w:r>
        <w:rPr>
          <w:color w:val="231F20"/>
          <w:sz w:val="20"/>
        </w:rPr>
        <w:t>(вопросы</w:t>
      </w:r>
      <w:r>
        <w:rPr>
          <w:color w:val="231F20"/>
          <w:spacing w:val="-8"/>
          <w:sz w:val="20"/>
        </w:rPr>
        <w:t> </w:t>
      </w:r>
      <w:r>
        <w:rPr>
          <w:color w:val="231F20"/>
          <w:sz w:val="20"/>
        </w:rPr>
        <w:t>могут</w:t>
      </w:r>
      <w:r>
        <w:rPr>
          <w:color w:val="231F20"/>
          <w:spacing w:val="-8"/>
          <w:sz w:val="20"/>
        </w:rPr>
        <w:t> </w:t>
      </w:r>
      <w:r>
        <w:rPr>
          <w:color w:val="231F20"/>
          <w:sz w:val="20"/>
        </w:rPr>
        <w:t>касаться</w:t>
      </w:r>
      <w:r>
        <w:rPr>
          <w:color w:val="231F20"/>
          <w:spacing w:val="-8"/>
          <w:sz w:val="20"/>
        </w:rPr>
        <w:t> </w:t>
      </w:r>
      <w:r>
        <w:rPr>
          <w:color w:val="231F20"/>
          <w:sz w:val="20"/>
        </w:rPr>
        <w:t>достопримечательностей</w:t>
      </w:r>
      <w:r>
        <w:rPr>
          <w:color w:val="231F20"/>
          <w:spacing w:val="-9"/>
          <w:sz w:val="20"/>
        </w:rPr>
        <w:t> </w:t>
      </w:r>
      <w:r>
        <w:rPr>
          <w:color w:val="231F20"/>
          <w:sz w:val="20"/>
        </w:rPr>
        <w:t>региона</w:t>
      </w:r>
      <w:r>
        <w:rPr>
          <w:color w:val="231F20"/>
          <w:spacing w:val="-8"/>
          <w:sz w:val="20"/>
        </w:rPr>
        <w:t> </w:t>
      </w:r>
      <w:r>
        <w:rPr>
          <w:color w:val="231F20"/>
          <w:sz w:val="20"/>
        </w:rPr>
        <w:t>прожива- ния) и квесты (интерактивные игры с сюжетной линией, которая заключается в решении различных головоломок и логических заданий).</w:t>
      </w:r>
    </w:p>
    <w:p>
      <w:pPr>
        <w:pStyle w:val="ListParagraph"/>
        <w:numPr>
          <w:ilvl w:val="0"/>
          <w:numId w:val="102"/>
        </w:numPr>
        <w:tabs>
          <w:tab w:pos="425" w:val="left" w:leader="none"/>
        </w:tabs>
        <w:spacing w:line="226" w:lineRule="exact" w:before="0" w:after="0"/>
        <w:ind w:left="425" w:right="0" w:hanging="284"/>
        <w:jc w:val="left"/>
        <w:rPr>
          <w:sz w:val="20"/>
        </w:rPr>
      </w:pPr>
      <w:r>
        <w:rPr>
          <w:color w:val="231F20"/>
          <w:sz w:val="20"/>
        </w:rPr>
        <w:t>Волонтерская</w:t>
      </w:r>
      <w:r>
        <w:rPr>
          <w:color w:val="231F20"/>
          <w:spacing w:val="-7"/>
          <w:sz w:val="20"/>
        </w:rPr>
        <w:t> </w:t>
      </w:r>
      <w:r>
        <w:rPr>
          <w:color w:val="231F20"/>
          <w:spacing w:val="-2"/>
          <w:sz w:val="20"/>
        </w:rPr>
        <w:t>деятельность.</w:t>
      </w:r>
    </w:p>
    <w:p>
      <w:pPr>
        <w:pStyle w:val="ListParagraph"/>
        <w:numPr>
          <w:ilvl w:val="0"/>
          <w:numId w:val="102"/>
        </w:numPr>
        <w:tabs>
          <w:tab w:pos="425" w:val="left" w:leader="none"/>
        </w:tabs>
        <w:spacing w:line="226" w:lineRule="exact" w:before="0" w:after="0"/>
        <w:ind w:left="425" w:right="0" w:hanging="284"/>
        <w:jc w:val="left"/>
        <w:rPr>
          <w:sz w:val="20"/>
        </w:rPr>
      </w:pPr>
      <w:r>
        <w:rPr>
          <w:color w:val="231F20"/>
          <w:sz w:val="20"/>
        </w:rPr>
        <w:t>Посещение</w:t>
      </w:r>
      <w:r>
        <w:rPr>
          <w:color w:val="231F20"/>
          <w:spacing w:val="-7"/>
          <w:sz w:val="20"/>
        </w:rPr>
        <w:t> </w:t>
      </w:r>
      <w:r>
        <w:rPr>
          <w:color w:val="231F20"/>
          <w:sz w:val="20"/>
        </w:rPr>
        <w:t>школьных</w:t>
      </w:r>
      <w:r>
        <w:rPr>
          <w:color w:val="231F20"/>
          <w:spacing w:val="-4"/>
          <w:sz w:val="20"/>
        </w:rPr>
        <w:t> </w:t>
      </w:r>
      <w:r>
        <w:rPr>
          <w:color w:val="231F20"/>
          <w:sz w:val="20"/>
        </w:rPr>
        <w:t>краеведческих</w:t>
      </w:r>
      <w:r>
        <w:rPr>
          <w:color w:val="231F20"/>
          <w:spacing w:val="-4"/>
          <w:sz w:val="20"/>
        </w:rPr>
        <w:t> </w:t>
      </w:r>
      <w:r>
        <w:rPr>
          <w:color w:val="231F20"/>
          <w:spacing w:val="-2"/>
          <w:sz w:val="20"/>
        </w:rPr>
        <w:t>музеев.</w:t>
      </w:r>
    </w:p>
    <w:p>
      <w:pPr>
        <w:pStyle w:val="ListParagraph"/>
        <w:numPr>
          <w:ilvl w:val="0"/>
          <w:numId w:val="102"/>
        </w:numPr>
        <w:tabs>
          <w:tab w:pos="425" w:val="left" w:leader="none"/>
        </w:tabs>
        <w:spacing w:line="228" w:lineRule="exact" w:before="0" w:after="0"/>
        <w:ind w:left="425" w:right="0" w:hanging="284"/>
        <w:jc w:val="left"/>
        <w:rPr>
          <w:sz w:val="20"/>
        </w:rPr>
      </w:pPr>
      <w:r>
        <w:rPr>
          <w:color w:val="231F20"/>
          <w:sz w:val="20"/>
        </w:rPr>
        <w:t>Музыкальная</w:t>
      </w:r>
      <w:r>
        <w:rPr>
          <w:color w:val="231F20"/>
          <w:spacing w:val="-5"/>
          <w:sz w:val="20"/>
        </w:rPr>
        <w:t> </w:t>
      </w:r>
      <w:r>
        <w:rPr>
          <w:color w:val="231F20"/>
          <w:sz w:val="20"/>
        </w:rPr>
        <w:t>исполнительная</w:t>
      </w:r>
      <w:r>
        <w:rPr>
          <w:color w:val="231F20"/>
          <w:spacing w:val="-3"/>
          <w:sz w:val="20"/>
        </w:rPr>
        <w:t> </w:t>
      </w:r>
      <w:r>
        <w:rPr>
          <w:color w:val="231F20"/>
          <w:sz w:val="20"/>
        </w:rPr>
        <w:t>деятельность</w:t>
      </w:r>
      <w:r>
        <w:rPr>
          <w:color w:val="231F20"/>
          <w:spacing w:val="-4"/>
          <w:sz w:val="20"/>
        </w:rPr>
        <w:t> </w:t>
      </w:r>
      <w:r>
        <w:rPr>
          <w:color w:val="231F20"/>
          <w:sz w:val="20"/>
        </w:rPr>
        <w:t>(в</w:t>
      </w:r>
      <w:r>
        <w:rPr>
          <w:color w:val="231F20"/>
          <w:spacing w:val="-4"/>
          <w:sz w:val="20"/>
        </w:rPr>
        <w:t> </w:t>
      </w:r>
      <w:r>
        <w:rPr>
          <w:color w:val="231F20"/>
          <w:sz w:val="20"/>
        </w:rPr>
        <w:t>том</w:t>
      </w:r>
      <w:r>
        <w:rPr>
          <w:color w:val="231F20"/>
          <w:spacing w:val="-3"/>
          <w:sz w:val="20"/>
        </w:rPr>
        <w:t> </w:t>
      </w:r>
      <w:r>
        <w:rPr>
          <w:color w:val="231F20"/>
          <w:sz w:val="20"/>
        </w:rPr>
        <w:t>числе</w:t>
      </w:r>
      <w:r>
        <w:rPr>
          <w:color w:val="231F20"/>
          <w:spacing w:val="-3"/>
          <w:sz w:val="20"/>
        </w:rPr>
        <w:t> </w:t>
      </w:r>
      <w:r>
        <w:rPr>
          <w:color w:val="231F20"/>
          <w:sz w:val="20"/>
        </w:rPr>
        <w:t>шумовые</w:t>
      </w:r>
      <w:r>
        <w:rPr>
          <w:color w:val="231F20"/>
          <w:spacing w:val="-2"/>
          <w:sz w:val="20"/>
        </w:rPr>
        <w:t> оркестры).</w:t>
      </w:r>
    </w:p>
    <w:p>
      <w:pPr>
        <w:pStyle w:val="ListParagraph"/>
        <w:spacing w:after="0" w:line="228" w:lineRule="exact"/>
        <w:jc w:val="left"/>
        <w:rPr>
          <w:sz w:val="20"/>
        </w:rPr>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numPr>
          <w:ilvl w:val="1"/>
          <w:numId w:val="101"/>
        </w:numPr>
        <w:tabs>
          <w:tab w:pos="863" w:val="left" w:leader="none"/>
          <w:tab w:pos="1201" w:val="left" w:leader="none"/>
        </w:tabs>
        <w:spacing w:line="235" w:lineRule="auto" w:before="113"/>
        <w:ind w:left="1201" w:right="512" w:hanging="688"/>
        <w:jc w:val="left"/>
        <w:rPr>
          <w:b/>
          <w:color w:val="231F20"/>
          <w:sz w:val="20"/>
        </w:rPr>
      </w:pPr>
      <w:r>
        <w:rPr>
          <w:b/>
          <w:color w:val="231F20"/>
          <w:sz w:val="20"/>
        </w:rPr>
        <w:t>Работа</w:t>
      </w:r>
      <w:r>
        <w:rPr>
          <w:b/>
          <w:color w:val="231F20"/>
          <w:spacing w:val="-9"/>
          <w:sz w:val="20"/>
        </w:rPr>
        <w:t> </w:t>
      </w:r>
      <w:r>
        <w:rPr>
          <w:b/>
          <w:color w:val="231F20"/>
          <w:sz w:val="20"/>
        </w:rPr>
        <w:t>педагога-психолога</w:t>
      </w:r>
      <w:r>
        <w:rPr>
          <w:b/>
          <w:color w:val="231F20"/>
          <w:spacing w:val="-9"/>
          <w:sz w:val="20"/>
        </w:rPr>
        <w:t> </w:t>
      </w:r>
      <w:r>
        <w:rPr>
          <w:b/>
          <w:color w:val="231F20"/>
          <w:sz w:val="20"/>
        </w:rPr>
        <w:t>в</w:t>
      </w:r>
      <w:r>
        <w:rPr>
          <w:b/>
          <w:color w:val="231F20"/>
          <w:spacing w:val="-9"/>
          <w:sz w:val="20"/>
        </w:rPr>
        <w:t> </w:t>
      </w:r>
      <w:r>
        <w:rPr>
          <w:b/>
          <w:color w:val="231F20"/>
          <w:sz w:val="20"/>
        </w:rPr>
        <w:t>области</w:t>
      </w:r>
      <w:r>
        <w:rPr>
          <w:b/>
          <w:color w:val="231F20"/>
          <w:spacing w:val="-10"/>
          <w:sz w:val="20"/>
        </w:rPr>
        <w:t> </w:t>
      </w:r>
      <w:r>
        <w:rPr>
          <w:b/>
          <w:color w:val="231F20"/>
          <w:sz w:val="20"/>
        </w:rPr>
        <w:t>адаптации</w:t>
      </w:r>
      <w:r>
        <w:rPr>
          <w:b/>
          <w:color w:val="231F20"/>
          <w:spacing w:val="-10"/>
          <w:sz w:val="20"/>
        </w:rPr>
        <w:t> </w:t>
      </w:r>
      <w:r>
        <w:rPr>
          <w:b/>
          <w:color w:val="231F20"/>
          <w:sz w:val="20"/>
        </w:rPr>
        <w:t>детей</w:t>
      </w:r>
      <w:r>
        <w:rPr>
          <w:b/>
          <w:color w:val="231F20"/>
          <w:spacing w:val="-10"/>
          <w:sz w:val="20"/>
        </w:rPr>
        <w:t> </w:t>
      </w:r>
      <w:r>
        <w:rPr>
          <w:b/>
          <w:color w:val="231F20"/>
          <w:sz w:val="20"/>
        </w:rPr>
        <w:t>иностранных граждан во взаимодействии с ученическим сообществом</w:t>
      </w:r>
    </w:p>
    <w:p>
      <w:pPr>
        <w:numPr>
          <w:ilvl w:val="2"/>
          <w:numId w:val="101"/>
        </w:numPr>
        <w:tabs>
          <w:tab w:pos="1596" w:val="left" w:leader="none"/>
        </w:tabs>
        <w:spacing w:before="167"/>
        <w:ind w:left="1596" w:right="0" w:hanging="500"/>
        <w:jc w:val="left"/>
        <w:rPr>
          <w:b/>
          <w:sz w:val="20"/>
        </w:rPr>
      </w:pPr>
      <w:r>
        <w:rPr>
          <w:b/>
          <w:color w:val="231F20"/>
          <w:sz w:val="20"/>
        </w:rPr>
        <w:t>Психологические</w:t>
      </w:r>
      <w:r>
        <w:rPr>
          <w:b/>
          <w:color w:val="231F20"/>
          <w:spacing w:val="-11"/>
          <w:sz w:val="20"/>
        </w:rPr>
        <w:t> </w:t>
      </w:r>
      <w:r>
        <w:rPr>
          <w:b/>
          <w:color w:val="231F20"/>
          <w:sz w:val="20"/>
        </w:rPr>
        <w:t>тренинги</w:t>
      </w:r>
      <w:r>
        <w:rPr>
          <w:b/>
          <w:color w:val="231F20"/>
          <w:spacing w:val="-11"/>
          <w:sz w:val="20"/>
        </w:rPr>
        <w:t> </w:t>
      </w:r>
      <w:r>
        <w:rPr>
          <w:b/>
          <w:color w:val="231F20"/>
          <w:sz w:val="20"/>
        </w:rPr>
        <w:t>в</w:t>
      </w:r>
      <w:r>
        <w:rPr>
          <w:b/>
          <w:color w:val="231F20"/>
          <w:spacing w:val="-10"/>
          <w:sz w:val="20"/>
        </w:rPr>
        <w:t> </w:t>
      </w:r>
      <w:r>
        <w:rPr>
          <w:b/>
          <w:color w:val="231F20"/>
          <w:sz w:val="20"/>
        </w:rPr>
        <w:t>поликультурном</w:t>
      </w:r>
      <w:r>
        <w:rPr>
          <w:b/>
          <w:color w:val="231F20"/>
          <w:spacing w:val="-11"/>
          <w:sz w:val="20"/>
        </w:rPr>
        <w:t> </w:t>
      </w:r>
      <w:r>
        <w:rPr>
          <w:b/>
          <w:color w:val="231F20"/>
          <w:spacing w:val="-2"/>
          <w:sz w:val="20"/>
        </w:rPr>
        <w:t>классе</w:t>
      </w:r>
    </w:p>
    <w:p>
      <w:pPr>
        <w:spacing w:before="110"/>
        <w:ind w:left="6323" w:right="0" w:firstLine="0"/>
        <w:jc w:val="left"/>
        <w:rPr>
          <w:i/>
          <w:sz w:val="20"/>
        </w:rPr>
      </w:pPr>
      <w:r>
        <w:rPr>
          <w:i/>
          <w:color w:val="231F20"/>
          <w:sz w:val="20"/>
        </w:rPr>
        <w:t>О.Е.</w:t>
      </w:r>
      <w:r>
        <w:rPr>
          <w:i/>
          <w:color w:val="231F20"/>
          <w:spacing w:val="-2"/>
          <w:sz w:val="20"/>
        </w:rPr>
        <w:t> Хухлаев</w:t>
      </w:r>
    </w:p>
    <w:p>
      <w:pPr>
        <w:pStyle w:val="BodyText"/>
        <w:spacing w:line="242" w:lineRule="auto" w:before="117"/>
      </w:pPr>
      <w:r>
        <w:rPr>
          <w:color w:val="231F20"/>
        </w:rPr>
        <w:t>Психологический тренинг – эффективный инструмент в организации психоло- го-педагогического сопровождения. Рассмотрим психологический тренинг в поли- культурном</w:t>
      </w:r>
      <w:r>
        <w:rPr>
          <w:color w:val="231F20"/>
          <w:spacing w:val="-12"/>
        </w:rPr>
        <w:t> </w:t>
      </w:r>
      <w:r>
        <w:rPr>
          <w:color w:val="231F20"/>
        </w:rPr>
        <w:t>классе</w:t>
      </w:r>
      <w:r>
        <w:rPr>
          <w:color w:val="231F20"/>
          <w:spacing w:val="-12"/>
        </w:rPr>
        <w:t> </w:t>
      </w:r>
      <w:r>
        <w:rPr>
          <w:color w:val="231F20"/>
        </w:rPr>
        <w:t>в</w:t>
      </w:r>
      <w:r>
        <w:rPr>
          <w:color w:val="231F20"/>
          <w:spacing w:val="-12"/>
        </w:rPr>
        <w:t> </w:t>
      </w:r>
      <w:r>
        <w:rPr>
          <w:color w:val="231F20"/>
        </w:rPr>
        <w:t>контексте</w:t>
      </w:r>
      <w:r>
        <w:rPr>
          <w:color w:val="231F20"/>
          <w:spacing w:val="-12"/>
        </w:rPr>
        <w:t> </w:t>
      </w:r>
      <w:r>
        <w:rPr/>
        <w:t>задач</w:t>
      </w:r>
      <w:r>
        <w:rPr>
          <w:spacing w:val="-12"/>
        </w:rPr>
        <w:t> </w:t>
      </w:r>
      <w:r>
        <w:rPr/>
        <w:t>программы</w:t>
      </w:r>
      <w:r>
        <w:rPr>
          <w:spacing w:val="-12"/>
        </w:rPr>
        <w:t> </w:t>
      </w:r>
      <w:r>
        <w:rPr/>
        <w:t>в</w:t>
      </w:r>
      <w:r>
        <w:rPr>
          <w:spacing w:val="-12"/>
        </w:rPr>
        <w:t> </w:t>
      </w:r>
      <w:r>
        <w:rPr/>
        <w:t>области</w:t>
      </w:r>
      <w:r>
        <w:rPr>
          <w:spacing w:val="-12"/>
        </w:rPr>
        <w:t> </w:t>
      </w:r>
      <w:r>
        <w:rPr/>
        <w:t>особых</w:t>
      </w:r>
      <w:r>
        <w:rPr>
          <w:spacing w:val="-12"/>
        </w:rPr>
        <w:t> </w:t>
      </w:r>
      <w:r>
        <w:rPr/>
        <w:t>(дополнительных) образовательных потребностей </w:t>
      </w:r>
      <w:r>
        <w:rPr>
          <w:color w:val="231F20"/>
        </w:rPr>
        <w:t>детей иностранных граждан.</w:t>
      </w:r>
    </w:p>
    <w:p>
      <w:pPr>
        <w:pStyle w:val="BodyText"/>
        <w:ind w:firstLine="325"/>
      </w:pPr>
      <w:r>
        <w:rPr>
          <w:color w:val="231F20"/>
          <w:spacing w:val="-2"/>
        </w:rPr>
        <w:t>Первая группа задач программы по достижению п</w:t>
      </w:r>
      <w:r>
        <w:rPr>
          <w:spacing w:val="-2"/>
        </w:rPr>
        <w:t>сихологического благополучия: </w:t>
      </w:r>
      <w:r>
        <w:rPr/>
        <w:t>а) снижение выраженности психологических трудностей: эмоциональных проблем, проблем с поведением; б) повышение субъективного психологического благополу- чия,</w:t>
      </w:r>
      <w:r>
        <w:rPr>
          <w:spacing w:val="-6"/>
        </w:rPr>
        <w:t> </w:t>
      </w:r>
      <w:r>
        <w:rPr/>
        <w:t>уровня</w:t>
      </w:r>
      <w:r>
        <w:rPr>
          <w:spacing w:val="-6"/>
        </w:rPr>
        <w:t> </w:t>
      </w:r>
      <w:r>
        <w:rPr/>
        <w:t>удовлетворенности</w:t>
      </w:r>
      <w:r>
        <w:rPr>
          <w:spacing w:val="-6"/>
        </w:rPr>
        <w:t> </w:t>
      </w:r>
      <w:r>
        <w:rPr/>
        <w:t>жизнью</w:t>
      </w:r>
      <w:r>
        <w:rPr>
          <w:spacing w:val="-6"/>
        </w:rPr>
        <w:t> </w:t>
      </w:r>
      <w:r>
        <w:rPr/>
        <w:t>в</w:t>
      </w:r>
      <w:r>
        <w:rPr>
          <w:spacing w:val="-6"/>
        </w:rPr>
        <w:t> </w:t>
      </w:r>
      <w:r>
        <w:rPr/>
        <w:t>различных</w:t>
      </w:r>
      <w:r>
        <w:rPr>
          <w:spacing w:val="-6"/>
        </w:rPr>
        <w:t> </w:t>
      </w:r>
      <w:r>
        <w:rPr/>
        <w:t>сферах;</w:t>
      </w:r>
      <w:r>
        <w:rPr>
          <w:spacing w:val="-6"/>
        </w:rPr>
        <w:t> </w:t>
      </w:r>
      <w:r>
        <w:rPr/>
        <w:t>в)</w:t>
      </w:r>
      <w:r>
        <w:rPr>
          <w:spacing w:val="-6"/>
        </w:rPr>
        <w:t> </w:t>
      </w:r>
      <w:r>
        <w:rPr/>
        <w:t>формирование</w:t>
      </w:r>
      <w:r>
        <w:rPr>
          <w:spacing w:val="-6"/>
        </w:rPr>
        <w:t> </w:t>
      </w:r>
      <w:r>
        <w:rPr/>
        <w:t>навы- ков поведения в классе и школе, выполнения домашних заданий, взаимодействия со сверстниками и взрослыми.</w:t>
      </w:r>
    </w:p>
    <w:p>
      <w:pPr>
        <w:pStyle w:val="BodyText"/>
      </w:pPr>
      <w:r>
        <w:rPr/>
        <w:t>В данном разделе нет описания технологии проведения тренинга коммуникатив- ных навыков (Жуков, 2003) и тренинга командообразования, обеспечивающего в классе обстановку взаимного доверия и принятия, на эту тему существует много из- вестных</w:t>
      </w:r>
      <w:r>
        <w:rPr>
          <w:spacing w:val="-3"/>
        </w:rPr>
        <w:t> </w:t>
      </w:r>
      <w:r>
        <w:rPr/>
        <w:t>методик.</w:t>
      </w:r>
      <w:r>
        <w:rPr>
          <w:spacing w:val="-3"/>
        </w:rPr>
        <w:t> </w:t>
      </w:r>
      <w:r>
        <w:rPr/>
        <w:t>Заметим</w:t>
      </w:r>
      <w:r>
        <w:rPr>
          <w:spacing w:val="-3"/>
        </w:rPr>
        <w:t> </w:t>
      </w:r>
      <w:r>
        <w:rPr/>
        <w:t>только,</w:t>
      </w:r>
      <w:r>
        <w:rPr>
          <w:spacing w:val="-3"/>
        </w:rPr>
        <w:t> </w:t>
      </w:r>
      <w:r>
        <w:rPr/>
        <w:t>что</w:t>
      </w:r>
      <w:r>
        <w:rPr>
          <w:spacing w:val="-3"/>
        </w:rPr>
        <w:t> </w:t>
      </w:r>
      <w:r>
        <w:rPr/>
        <w:t>такие</w:t>
      </w:r>
      <w:r>
        <w:rPr>
          <w:spacing w:val="-3"/>
        </w:rPr>
        <w:t> </w:t>
      </w:r>
      <w:r>
        <w:rPr/>
        <w:t>занятия</w:t>
      </w:r>
      <w:r>
        <w:rPr>
          <w:spacing w:val="-3"/>
        </w:rPr>
        <w:t> </w:t>
      </w:r>
      <w:r>
        <w:rPr/>
        <w:t>в</w:t>
      </w:r>
      <w:r>
        <w:rPr>
          <w:spacing w:val="-3"/>
        </w:rPr>
        <w:t> </w:t>
      </w:r>
      <w:r>
        <w:rPr/>
        <w:t>классе,</w:t>
      </w:r>
      <w:r>
        <w:rPr>
          <w:spacing w:val="-3"/>
        </w:rPr>
        <w:t> </w:t>
      </w:r>
      <w:r>
        <w:rPr/>
        <w:t>где</w:t>
      </w:r>
      <w:r>
        <w:rPr>
          <w:spacing w:val="-3"/>
        </w:rPr>
        <w:t> </w:t>
      </w:r>
      <w:r>
        <w:rPr/>
        <w:t>учатся</w:t>
      </w:r>
      <w:r>
        <w:rPr>
          <w:spacing w:val="-3"/>
        </w:rPr>
        <w:t> </w:t>
      </w:r>
      <w:r>
        <w:rPr/>
        <w:t>дети</w:t>
      </w:r>
      <w:r>
        <w:rPr>
          <w:spacing w:val="-3"/>
        </w:rPr>
        <w:t> </w:t>
      </w:r>
      <w:r>
        <w:rPr/>
        <w:t>–</w:t>
      </w:r>
      <w:r>
        <w:rPr>
          <w:spacing w:val="-3"/>
        </w:rPr>
        <w:t> </w:t>
      </w:r>
      <w:r>
        <w:rPr/>
        <w:t>ино- странные</w:t>
      </w:r>
      <w:r>
        <w:rPr>
          <w:spacing w:val="-13"/>
        </w:rPr>
        <w:t> </w:t>
      </w:r>
      <w:r>
        <w:rPr/>
        <w:t>граждане,</w:t>
      </w:r>
      <w:r>
        <w:rPr>
          <w:spacing w:val="-12"/>
        </w:rPr>
        <w:t> </w:t>
      </w:r>
      <w:r>
        <w:rPr/>
        <w:t>необходимо</w:t>
      </w:r>
      <w:r>
        <w:rPr>
          <w:spacing w:val="-13"/>
        </w:rPr>
        <w:t> </w:t>
      </w:r>
      <w:r>
        <w:rPr/>
        <w:t>проводить</w:t>
      </w:r>
      <w:r>
        <w:rPr>
          <w:spacing w:val="-12"/>
        </w:rPr>
        <w:t> </w:t>
      </w:r>
      <w:r>
        <w:rPr/>
        <w:t>не</w:t>
      </w:r>
      <w:r>
        <w:rPr>
          <w:spacing w:val="-13"/>
        </w:rPr>
        <w:t> </w:t>
      </w:r>
      <w:r>
        <w:rPr/>
        <w:t>реже</w:t>
      </w:r>
      <w:r>
        <w:rPr>
          <w:spacing w:val="-12"/>
        </w:rPr>
        <w:t> </w:t>
      </w:r>
      <w:r>
        <w:rPr/>
        <w:t>двух</w:t>
      </w:r>
      <w:r>
        <w:rPr>
          <w:spacing w:val="-13"/>
        </w:rPr>
        <w:t> </w:t>
      </w:r>
      <w:r>
        <w:rPr/>
        <w:t>раз</w:t>
      </w:r>
      <w:r>
        <w:rPr>
          <w:spacing w:val="-12"/>
        </w:rPr>
        <w:t> </w:t>
      </w:r>
      <w:r>
        <w:rPr/>
        <w:t>в</w:t>
      </w:r>
      <w:r>
        <w:rPr>
          <w:spacing w:val="-13"/>
        </w:rPr>
        <w:t> </w:t>
      </w:r>
      <w:r>
        <w:rPr/>
        <w:t>год</w:t>
      </w:r>
      <w:r>
        <w:rPr>
          <w:spacing w:val="-12"/>
        </w:rPr>
        <w:t> </w:t>
      </w:r>
      <w:r>
        <w:rPr/>
        <w:t>по</w:t>
      </w:r>
      <w:r>
        <w:rPr>
          <w:spacing w:val="-13"/>
        </w:rPr>
        <w:t> </w:t>
      </w:r>
      <w:r>
        <w:rPr/>
        <w:t>3–4</w:t>
      </w:r>
      <w:r>
        <w:rPr>
          <w:spacing w:val="-12"/>
        </w:rPr>
        <w:t> </w:t>
      </w:r>
      <w:r>
        <w:rPr/>
        <w:t>занятия.</w:t>
      </w:r>
      <w:r>
        <w:rPr>
          <w:spacing w:val="-13"/>
        </w:rPr>
        <w:t> </w:t>
      </w:r>
      <w:r>
        <w:rPr/>
        <w:t>Это позволит поработать с коммуникативными навыками учащихся и улучшить навыки </w:t>
      </w:r>
      <w:r>
        <w:rPr>
          <w:spacing w:val="-2"/>
        </w:rPr>
        <w:t>командообразования.</w:t>
      </w:r>
    </w:p>
    <w:p>
      <w:pPr>
        <w:pStyle w:val="BodyText"/>
      </w:pPr>
      <w:r>
        <w:rPr/>
        <w:t>Теперь обратим внимание на вторую группу задач программы культурной адап- </w:t>
      </w:r>
      <w:r>
        <w:rPr>
          <w:spacing w:val="-2"/>
        </w:rPr>
        <w:t>тации:</w:t>
      </w:r>
    </w:p>
    <w:p>
      <w:pPr>
        <w:pStyle w:val="ListParagraph"/>
        <w:numPr>
          <w:ilvl w:val="0"/>
          <w:numId w:val="103"/>
        </w:numPr>
        <w:tabs>
          <w:tab w:pos="425" w:val="left" w:leader="none"/>
        </w:tabs>
        <w:spacing w:line="240" w:lineRule="auto" w:before="0" w:after="0"/>
        <w:ind w:left="425" w:right="139" w:hanging="284"/>
        <w:jc w:val="both"/>
        <w:rPr>
          <w:sz w:val="20"/>
        </w:rPr>
      </w:pPr>
      <w:r>
        <w:rPr>
          <w:sz w:val="20"/>
        </w:rPr>
        <w:t>обеспечение объективной и субъективной включенности ребенка в школьное со- </w:t>
      </w:r>
      <w:r>
        <w:rPr>
          <w:spacing w:val="-2"/>
          <w:sz w:val="20"/>
        </w:rPr>
        <w:t>общество;</w:t>
      </w:r>
    </w:p>
    <w:p>
      <w:pPr>
        <w:pStyle w:val="ListParagraph"/>
        <w:numPr>
          <w:ilvl w:val="0"/>
          <w:numId w:val="103"/>
        </w:numPr>
        <w:tabs>
          <w:tab w:pos="424" w:val="left" w:leader="none"/>
        </w:tabs>
        <w:spacing w:line="240" w:lineRule="auto" w:before="0" w:after="0"/>
        <w:ind w:left="424" w:right="0" w:hanging="283"/>
        <w:jc w:val="both"/>
        <w:rPr>
          <w:sz w:val="20"/>
        </w:rPr>
      </w:pPr>
      <w:r>
        <w:rPr>
          <w:sz w:val="20"/>
        </w:rPr>
        <w:t>содействие</w:t>
      </w:r>
      <w:r>
        <w:rPr>
          <w:spacing w:val="-9"/>
          <w:sz w:val="20"/>
        </w:rPr>
        <w:t> </w:t>
      </w:r>
      <w:r>
        <w:rPr>
          <w:sz w:val="20"/>
        </w:rPr>
        <w:t>выбору</w:t>
      </w:r>
      <w:r>
        <w:rPr>
          <w:spacing w:val="-7"/>
          <w:sz w:val="20"/>
        </w:rPr>
        <w:t> </w:t>
      </w:r>
      <w:r>
        <w:rPr>
          <w:sz w:val="20"/>
        </w:rPr>
        <w:t>интеграции</w:t>
      </w:r>
      <w:r>
        <w:rPr>
          <w:spacing w:val="-8"/>
          <w:sz w:val="20"/>
        </w:rPr>
        <w:t> </w:t>
      </w:r>
      <w:r>
        <w:rPr>
          <w:sz w:val="20"/>
        </w:rPr>
        <w:t>как</w:t>
      </w:r>
      <w:r>
        <w:rPr>
          <w:spacing w:val="-6"/>
          <w:sz w:val="20"/>
        </w:rPr>
        <w:t> </w:t>
      </w:r>
      <w:r>
        <w:rPr>
          <w:sz w:val="20"/>
        </w:rPr>
        <w:t>предпочитаемой</w:t>
      </w:r>
      <w:r>
        <w:rPr>
          <w:spacing w:val="-8"/>
          <w:sz w:val="20"/>
        </w:rPr>
        <w:t> </w:t>
      </w:r>
      <w:r>
        <w:rPr>
          <w:sz w:val="20"/>
        </w:rPr>
        <w:t>стратегии</w:t>
      </w:r>
      <w:r>
        <w:rPr>
          <w:spacing w:val="-7"/>
          <w:sz w:val="20"/>
        </w:rPr>
        <w:t> </w:t>
      </w:r>
      <w:r>
        <w:rPr>
          <w:spacing w:val="-2"/>
          <w:sz w:val="20"/>
        </w:rPr>
        <w:t>аккультурации;</w:t>
      </w:r>
    </w:p>
    <w:p>
      <w:pPr>
        <w:pStyle w:val="ListParagraph"/>
        <w:numPr>
          <w:ilvl w:val="0"/>
          <w:numId w:val="103"/>
        </w:numPr>
        <w:tabs>
          <w:tab w:pos="425" w:val="left" w:leader="none"/>
        </w:tabs>
        <w:spacing w:line="240" w:lineRule="auto" w:before="0" w:after="0"/>
        <w:ind w:left="425" w:right="139" w:hanging="284"/>
        <w:jc w:val="both"/>
        <w:rPr>
          <w:sz w:val="20"/>
        </w:rPr>
      </w:pPr>
      <w:r>
        <w:rPr>
          <w:sz w:val="20"/>
        </w:rPr>
        <w:t>формирование</w:t>
      </w:r>
      <w:r>
        <w:rPr>
          <w:spacing w:val="-13"/>
          <w:sz w:val="20"/>
        </w:rPr>
        <w:t> </w:t>
      </w:r>
      <w:r>
        <w:rPr>
          <w:sz w:val="20"/>
        </w:rPr>
        <w:t>российской</w:t>
      </w:r>
      <w:r>
        <w:rPr>
          <w:spacing w:val="-12"/>
          <w:sz w:val="20"/>
        </w:rPr>
        <w:t> </w:t>
      </w:r>
      <w:r>
        <w:rPr>
          <w:sz w:val="20"/>
        </w:rPr>
        <w:t>гражданской</w:t>
      </w:r>
      <w:r>
        <w:rPr>
          <w:spacing w:val="-13"/>
          <w:sz w:val="20"/>
        </w:rPr>
        <w:t> </w:t>
      </w:r>
      <w:r>
        <w:rPr>
          <w:sz w:val="20"/>
        </w:rPr>
        <w:t>идентичности</w:t>
      </w:r>
      <w:r>
        <w:rPr>
          <w:spacing w:val="-12"/>
          <w:sz w:val="20"/>
        </w:rPr>
        <w:t> </w:t>
      </w:r>
      <w:r>
        <w:rPr>
          <w:sz w:val="20"/>
        </w:rPr>
        <w:t>при</w:t>
      </w:r>
      <w:r>
        <w:rPr>
          <w:spacing w:val="-13"/>
          <w:sz w:val="20"/>
        </w:rPr>
        <w:t> </w:t>
      </w:r>
      <w:r>
        <w:rPr>
          <w:sz w:val="20"/>
        </w:rPr>
        <w:t>поддержании</w:t>
      </w:r>
      <w:r>
        <w:rPr>
          <w:spacing w:val="-12"/>
          <w:sz w:val="20"/>
        </w:rPr>
        <w:t> </w:t>
      </w:r>
      <w:r>
        <w:rPr>
          <w:sz w:val="20"/>
        </w:rPr>
        <w:t>идентич- ности со страной исхода и обеспечение их бесконфликтного сочетания.</w:t>
      </w:r>
    </w:p>
    <w:p>
      <w:pPr>
        <w:pStyle w:val="BodyText"/>
      </w:pPr>
      <w:r>
        <w:rPr/>
        <w:t>Для решения таких задач необходимо создать в классе инклюзивную среду, чув- ствительную к культурным различиям и принимающую культурное разнообразие. Эффективным способом в этом случае является межкультурный тренинг – разно- видность психологического тренинга. </w:t>
      </w:r>
      <w:r>
        <w:rPr>
          <w:color w:val="231F20"/>
        </w:rPr>
        <w:t>С его помощью участники знакомятся с куль- турными различиями в межличностных отношениях, осознают своеобразие своей культуры,</w:t>
      </w:r>
      <w:r>
        <w:rPr>
          <w:color w:val="231F20"/>
          <w:spacing w:val="-12"/>
        </w:rPr>
        <w:t> </w:t>
      </w:r>
      <w:r>
        <w:rPr>
          <w:color w:val="231F20"/>
        </w:rPr>
        <w:t>знакомятся</w:t>
      </w:r>
      <w:r>
        <w:rPr>
          <w:color w:val="231F20"/>
          <w:spacing w:val="-12"/>
        </w:rPr>
        <w:t> </w:t>
      </w:r>
      <w:r>
        <w:rPr>
          <w:color w:val="231F20"/>
        </w:rPr>
        <w:t>с</w:t>
      </w:r>
      <w:r>
        <w:rPr>
          <w:color w:val="231F20"/>
          <w:spacing w:val="-12"/>
        </w:rPr>
        <w:t> </w:t>
      </w:r>
      <w:r>
        <w:rPr>
          <w:color w:val="231F20"/>
        </w:rPr>
        <w:t>чужой,</w:t>
      </w:r>
      <w:r>
        <w:rPr>
          <w:color w:val="231F20"/>
          <w:spacing w:val="-12"/>
        </w:rPr>
        <w:t> </w:t>
      </w:r>
      <w:r>
        <w:rPr>
          <w:color w:val="231F20"/>
        </w:rPr>
        <w:t>к</w:t>
      </w:r>
      <w:r>
        <w:rPr>
          <w:color w:val="231F20"/>
          <w:spacing w:val="-12"/>
        </w:rPr>
        <w:t> </w:t>
      </w:r>
      <w:r>
        <w:rPr>
          <w:color w:val="231F20"/>
        </w:rPr>
        <w:t>ним</w:t>
      </w:r>
      <w:r>
        <w:rPr>
          <w:color w:val="231F20"/>
          <w:spacing w:val="-12"/>
        </w:rPr>
        <w:t> </w:t>
      </w:r>
      <w:r>
        <w:rPr>
          <w:color w:val="231F20"/>
        </w:rPr>
        <w:t>приходит</w:t>
      </w:r>
      <w:r>
        <w:rPr>
          <w:color w:val="231F20"/>
          <w:spacing w:val="-12"/>
        </w:rPr>
        <w:t> </w:t>
      </w:r>
      <w:r>
        <w:rPr>
          <w:color w:val="231F20"/>
        </w:rPr>
        <w:t>понимание</w:t>
      </w:r>
      <w:r>
        <w:rPr>
          <w:color w:val="231F20"/>
          <w:spacing w:val="-12"/>
        </w:rPr>
        <w:t> </w:t>
      </w:r>
      <w:r>
        <w:rPr>
          <w:color w:val="231F20"/>
        </w:rPr>
        <w:t>сходств</w:t>
      </w:r>
      <w:r>
        <w:rPr>
          <w:color w:val="231F20"/>
          <w:spacing w:val="-12"/>
        </w:rPr>
        <w:t> </w:t>
      </w:r>
      <w:r>
        <w:rPr>
          <w:color w:val="231F20"/>
        </w:rPr>
        <w:t>и</w:t>
      </w:r>
      <w:r>
        <w:rPr>
          <w:color w:val="231F20"/>
          <w:spacing w:val="-12"/>
        </w:rPr>
        <w:t> </w:t>
      </w:r>
      <w:r>
        <w:rPr>
          <w:color w:val="231F20"/>
        </w:rPr>
        <w:t>различий</w:t>
      </w:r>
      <w:r>
        <w:rPr>
          <w:color w:val="231F20"/>
          <w:spacing w:val="-12"/>
        </w:rPr>
        <w:t> </w:t>
      </w:r>
      <w:r>
        <w:rPr>
          <w:color w:val="231F20"/>
        </w:rPr>
        <w:t>между культурами и необходимости их безоценочного принятия.</w:t>
      </w:r>
    </w:p>
    <w:p>
      <w:pPr>
        <w:pStyle w:val="BodyText"/>
      </w:pPr>
      <w:r>
        <w:rPr>
          <w:color w:val="231F20"/>
        </w:rPr>
        <w:t>Межкультурный тренинг направлен также на достижение более глобальных це- лей, так как способствует:</w:t>
      </w:r>
    </w:p>
    <w:p>
      <w:pPr>
        <w:pStyle w:val="ListParagraph"/>
        <w:numPr>
          <w:ilvl w:val="0"/>
          <w:numId w:val="103"/>
        </w:numPr>
        <w:tabs>
          <w:tab w:pos="425" w:val="left" w:leader="none"/>
        </w:tabs>
        <w:spacing w:line="240" w:lineRule="auto" w:before="0" w:after="0"/>
        <w:ind w:left="425" w:right="140" w:hanging="284"/>
        <w:jc w:val="both"/>
        <w:rPr>
          <w:color w:val="231F20"/>
          <w:sz w:val="20"/>
        </w:rPr>
      </w:pPr>
      <w:r>
        <w:rPr>
          <w:color w:val="231F20"/>
          <w:sz w:val="20"/>
        </w:rPr>
        <w:t>изменению</w:t>
      </w:r>
      <w:r>
        <w:rPr>
          <w:color w:val="231F20"/>
          <w:spacing w:val="-13"/>
          <w:sz w:val="20"/>
        </w:rPr>
        <w:t> </w:t>
      </w:r>
      <w:r>
        <w:rPr>
          <w:color w:val="231F20"/>
          <w:sz w:val="20"/>
        </w:rPr>
        <w:t>социальной</w:t>
      </w:r>
      <w:r>
        <w:rPr>
          <w:color w:val="231F20"/>
          <w:spacing w:val="-12"/>
          <w:sz w:val="20"/>
        </w:rPr>
        <w:t> </w:t>
      </w:r>
      <w:r>
        <w:rPr>
          <w:color w:val="231F20"/>
          <w:sz w:val="20"/>
        </w:rPr>
        <w:t>и</w:t>
      </w:r>
      <w:r>
        <w:rPr>
          <w:color w:val="231F20"/>
          <w:spacing w:val="-13"/>
          <w:sz w:val="20"/>
        </w:rPr>
        <w:t> </w:t>
      </w:r>
      <w:r>
        <w:rPr>
          <w:color w:val="231F20"/>
          <w:sz w:val="20"/>
        </w:rPr>
        <w:t>культурной</w:t>
      </w:r>
      <w:r>
        <w:rPr>
          <w:color w:val="231F20"/>
          <w:spacing w:val="-12"/>
          <w:sz w:val="20"/>
        </w:rPr>
        <w:t> </w:t>
      </w:r>
      <w:r>
        <w:rPr>
          <w:color w:val="231F20"/>
          <w:sz w:val="20"/>
        </w:rPr>
        <w:t>ситуации</w:t>
      </w:r>
      <w:r>
        <w:rPr>
          <w:color w:val="231F20"/>
          <w:spacing w:val="-13"/>
          <w:sz w:val="20"/>
        </w:rPr>
        <w:t> </w:t>
      </w:r>
      <w:r>
        <w:rPr>
          <w:color w:val="231F20"/>
          <w:sz w:val="20"/>
        </w:rPr>
        <w:t>–</w:t>
      </w:r>
      <w:r>
        <w:rPr>
          <w:color w:val="231F20"/>
          <w:spacing w:val="-12"/>
          <w:sz w:val="20"/>
        </w:rPr>
        <w:t> </w:t>
      </w:r>
      <w:r>
        <w:rPr>
          <w:color w:val="231F20"/>
          <w:sz w:val="20"/>
        </w:rPr>
        <w:t>ослаблению</w:t>
      </w:r>
      <w:r>
        <w:rPr>
          <w:color w:val="231F20"/>
          <w:spacing w:val="-13"/>
          <w:sz w:val="20"/>
        </w:rPr>
        <w:t> </w:t>
      </w:r>
      <w:r>
        <w:rPr>
          <w:color w:val="231F20"/>
          <w:sz w:val="20"/>
        </w:rPr>
        <w:t>расизма,</w:t>
      </w:r>
      <w:r>
        <w:rPr>
          <w:color w:val="231F20"/>
          <w:spacing w:val="-12"/>
          <w:sz w:val="20"/>
        </w:rPr>
        <w:t> </w:t>
      </w:r>
      <w:r>
        <w:rPr>
          <w:color w:val="231F20"/>
          <w:sz w:val="20"/>
        </w:rPr>
        <w:t>шовинизма и других существующих в обществе предубеждений и дискриминации;</w:t>
      </w:r>
    </w:p>
    <w:p>
      <w:pPr>
        <w:pStyle w:val="ListParagraph"/>
        <w:numPr>
          <w:ilvl w:val="0"/>
          <w:numId w:val="103"/>
        </w:numPr>
        <w:tabs>
          <w:tab w:pos="425" w:val="left" w:leader="none"/>
        </w:tabs>
        <w:spacing w:line="240" w:lineRule="auto" w:before="0" w:after="0"/>
        <w:ind w:left="425" w:right="139" w:hanging="284"/>
        <w:jc w:val="both"/>
        <w:rPr>
          <w:color w:val="231F20"/>
          <w:sz w:val="20"/>
        </w:rPr>
      </w:pPr>
      <w:r>
        <w:rPr>
          <w:color w:val="231F20"/>
          <w:sz w:val="20"/>
        </w:rPr>
        <w:t>урегулированию конфликтов и пропаганде более гармоничных межэтнических </w:t>
      </w:r>
      <w:r>
        <w:rPr>
          <w:color w:val="231F20"/>
          <w:spacing w:val="-2"/>
          <w:sz w:val="20"/>
        </w:rPr>
        <w:t>отношений.</w:t>
      </w:r>
    </w:p>
    <w:p>
      <w:pPr>
        <w:pStyle w:val="ListParagraph"/>
        <w:spacing w:after="0" w:line="240" w:lineRule="auto"/>
        <w:jc w:val="both"/>
        <w:rPr>
          <w:sz w:val="20"/>
        </w:rPr>
        <w:sectPr>
          <w:pgSz w:w="8400" w:h="11910"/>
          <w:pgMar w:header="0" w:footer="527" w:top="400" w:bottom="740" w:left="425" w:right="425"/>
        </w:sectPr>
      </w:pPr>
    </w:p>
    <w:p>
      <w:pPr>
        <w:pStyle w:val="ListParagraph"/>
        <w:numPr>
          <w:ilvl w:val="1"/>
          <w:numId w:val="96"/>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Работа</w:t>
      </w:r>
      <w:r>
        <w:rPr>
          <w:rFonts w:ascii="Georgia" w:hAnsi="Georgia"/>
          <w:color w:val="231F20"/>
          <w:spacing w:val="-3"/>
          <w:sz w:val="18"/>
        </w:rPr>
        <w:t> </w:t>
      </w:r>
      <w:r>
        <w:rPr>
          <w:rFonts w:ascii="Georgia" w:hAnsi="Georgia"/>
          <w:color w:val="231F20"/>
          <w:sz w:val="18"/>
        </w:rPr>
        <w:t>педагога-психолога</w:t>
      </w:r>
      <w:r>
        <w:rPr>
          <w:rFonts w:ascii="Georgia" w:hAnsi="Georgia"/>
          <w:color w:val="231F20"/>
          <w:spacing w:val="-2"/>
          <w:sz w:val="18"/>
        </w:rPr>
        <w:t> </w:t>
      </w:r>
      <w:r>
        <w:rPr>
          <w:rFonts w:ascii="Georgia" w:hAnsi="Georgia"/>
          <w:color w:val="231F20"/>
          <w:sz w:val="18"/>
        </w:rPr>
        <w:t>в</w:t>
      </w:r>
      <w:r>
        <w:rPr>
          <w:rFonts w:ascii="Georgia" w:hAnsi="Georgia"/>
          <w:color w:val="231F20"/>
          <w:spacing w:val="-2"/>
          <w:sz w:val="18"/>
        </w:rPr>
        <w:t> </w:t>
      </w:r>
      <w:r>
        <w:rPr>
          <w:rFonts w:ascii="Georgia" w:hAnsi="Georgia"/>
          <w:color w:val="231F20"/>
          <w:sz w:val="18"/>
        </w:rPr>
        <w:t>области</w:t>
      </w:r>
      <w:r>
        <w:rPr>
          <w:rFonts w:ascii="Georgia" w:hAnsi="Georgia"/>
          <w:color w:val="231F20"/>
          <w:spacing w:val="-2"/>
          <w:sz w:val="18"/>
        </w:rPr>
        <w:t> </w:t>
      </w:r>
      <w:r>
        <w:rPr>
          <w:rFonts w:ascii="Georgia" w:hAnsi="Georgia"/>
          <w:color w:val="231F20"/>
          <w:sz w:val="18"/>
        </w:rPr>
        <w:t>адаптации</w:t>
      </w:r>
      <w:r>
        <w:rPr>
          <w:rFonts w:ascii="Georgia" w:hAnsi="Georgia"/>
          <w:color w:val="231F20"/>
          <w:spacing w:val="-3"/>
          <w:sz w:val="18"/>
        </w:rPr>
        <w:t> </w:t>
      </w:r>
      <w:r>
        <w:rPr>
          <w:rFonts w:ascii="Georgia" w:hAnsi="Georgia"/>
          <w:color w:val="231F20"/>
          <w:sz w:val="18"/>
        </w:rPr>
        <w:t>детей</w:t>
      </w:r>
      <w:r>
        <w:rPr>
          <w:rFonts w:ascii="Georgia" w:hAnsi="Georgia"/>
          <w:color w:val="231F20"/>
          <w:spacing w:val="-2"/>
          <w:sz w:val="18"/>
        </w:rPr>
        <w:t> </w:t>
      </w:r>
      <w:r>
        <w:rPr>
          <w:rFonts w:ascii="Georgia" w:hAnsi="Georgia"/>
          <w:color w:val="231F20"/>
          <w:sz w:val="18"/>
        </w:rPr>
        <w:t>...</w:t>
      </w:r>
      <w:r>
        <w:rPr>
          <w:rFonts w:ascii="Georgia" w:hAnsi="Georgia"/>
          <w:color w:val="231F20"/>
          <w:spacing w:val="-2"/>
          <w:sz w:val="18"/>
        </w:rPr>
        <w:t> </w:t>
      </w:r>
      <w:r>
        <w:rPr>
          <w:rFonts w:ascii="Georgia" w:hAnsi="Georgia"/>
          <w:color w:val="231F20"/>
          <w:sz w:val="18"/>
        </w:rPr>
        <w:t>во</w:t>
      </w:r>
      <w:r>
        <w:rPr>
          <w:rFonts w:ascii="Georgia" w:hAnsi="Georgia"/>
          <w:color w:val="231F20"/>
          <w:spacing w:val="-2"/>
          <w:sz w:val="18"/>
        </w:rPr>
        <w:t> взаимодействии...</w:t>
      </w:r>
    </w:p>
    <w:p>
      <w:pPr>
        <w:pStyle w:val="BodyText"/>
        <w:spacing w:line="244" w:lineRule="auto" w:before="112"/>
      </w:pPr>
      <w:r>
        <w:rPr>
          <w:color w:val="231F20"/>
        </w:rPr>
        <w:t>В российской практике представлены несколько вариантов межкультурного тре- нинга,</w:t>
      </w:r>
      <w:r>
        <w:rPr>
          <w:color w:val="231F20"/>
          <w:spacing w:val="-13"/>
        </w:rPr>
        <w:t> </w:t>
      </w:r>
      <w:r>
        <w:rPr>
          <w:color w:val="231F20"/>
        </w:rPr>
        <w:t>каждый</w:t>
      </w:r>
      <w:r>
        <w:rPr>
          <w:color w:val="231F20"/>
          <w:spacing w:val="-12"/>
        </w:rPr>
        <w:t> </w:t>
      </w:r>
      <w:r>
        <w:rPr>
          <w:color w:val="231F20"/>
        </w:rPr>
        <w:t>из</w:t>
      </w:r>
      <w:r>
        <w:rPr>
          <w:color w:val="231F20"/>
          <w:spacing w:val="-13"/>
        </w:rPr>
        <w:t> </w:t>
      </w:r>
      <w:r>
        <w:rPr>
          <w:color w:val="231F20"/>
        </w:rPr>
        <w:t>которых</w:t>
      </w:r>
      <w:r>
        <w:rPr>
          <w:color w:val="231F20"/>
          <w:spacing w:val="-12"/>
        </w:rPr>
        <w:t> </w:t>
      </w:r>
      <w:r>
        <w:rPr>
          <w:color w:val="231F20"/>
        </w:rPr>
        <w:t>доступен</w:t>
      </w:r>
      <w:r>
        <w:rPr>
          <w:color w:val="231F20"/>
          <w:spacing w:val="-13"/>
        </w:rPr>
        <w:t> </w:t>
      </w:r>
      <w:r>
        <w:rPr>
          <w:color w:val="231F20"/>
        </w:rPr>
        <w:t>педагогу-психологу</w:t>
      </w:r>
      <w:r>
        <w:rPr>
          <w:color w:val="231F20"/>
          <w:spacing w:val="-12"/>
        </w:rPr>
        <w:t> </w:t>
      </w:r>
      <w:r>
        <w:rPr>
          <w:color w:val="231F20"/>
        </w:rPr>
        <w:t>и</w:t>
      </w:r>
      <w:r>
        <w:rPr>
          <w:color w:val="231F20"/>
          <w:spacing w:val="-13"/>
        </w:rPr>
        <w:t> </w:t>
      </w:r>
      <w:r>
        <w:rPr>
          <w:color w:val="231F20"/>
        </w:rPr>
        <w:t>предназначен</w:t>
      </w:r>
      <w:r>
        <w:rPr>
          <w:color w:val="231F20"/>
          <w:spacing w:val="-12"/>
        </w:rPr>
        <w:t> </w:t>
      </w:r>
      <w:r>
        <w:rPr>
          <w:color w:val="231F20"/>
        </w:rPr>
        <w:t>для</w:t>
      </w:r>
      <w:r>
        <w:rPr>
          <w:color w:val="231F20"/>
          <w:spacing w:val="-13"/>
        </w:rPr>
        <w:t> </w:t>
      </w:r>
      <w:r>
        <w:rPr>
          <w:color w:val="231F20"/>
        </w:rPr>
        <w:t>проведе- ния его в школе. Ниже приводится описание тренинговых программ, материалы для которых находятся в открытом доступе в интернете.</w:t>
      </w:r>
    </w:p>
    <w:p>
      <w:pPr>
        <w:numPr>
          <w:ilvl w:val="2"/>
          <w:numId w:val="96"/>
        </w:numPr>
        <w:tabs>
          <w:tab w:pos="625" w:val="left" w:leader="none"/>
        </w:tabs>
        <w:spacing w:line="218" w:lineRule="exact" w:before="0"/>
        <w:ind w:left="625" w:right="0" w:hanging="200"/>
        <w:jc w:val="both"/>
        <w:rPr>
          <w:b/>
          <w:color w:val="231F20"/>
          <w:sz w:val="20"/>
        </w:rPr>
      </w:pPr>
      <w:r>
        <w:rPr>
          <w:b/>
          <w:i/>
          <w:color w:val="231F20"/>
          <w:sz w:val="20"/>
        </w:rPr>
        <w:t>Тренинговые</w:t>
      </w:r>
      <w:r>
        <w:rPr>
          <w:b/>
          <w:i/>
          <w:color w:val="231F20"/>
          <w:spacing w:val="-7"/>
          <w:sz w:val="20"/>
        </w:rPr>
        <w:t> </w:t>
      </w:r>
      <w:r>
        <w:rPr>
          <w:b/>
          <w:i/>
          <w:color w:val="231F20"/>
          <w:sz w:val="20"/>
        </w:rPr>
        <w:t>программы</w:t>
      </w:r>
      <w:r>
        <w:rPr>
          <w:b/>
          <w:i/>
          <w:color w:val="231F20"/>
          <w:spacing w:val="-4"/>
          <w:sz w:val="20"/>
        </w:rPr>
        <w:t> </w:t>
      </w:r>
      <w:r>
        <w:rPr>
          <w:b/>
          <w:i/>
          <w:color w:val="231F20"/>
          <w:sz w:val="20"/>
        </w:rPr>
        <w:t>«Искусство</w:t>
      </w:r>
      <w:r>
        <w:rPr>
          <w:b/>
          <w:i/>
          <w:color w:val="231F20"/>
          <w:spacing w:val="-4"/>
          <w:sz w:val="20"/>
        </w:rPr>
        <w:t> </w:t>
      </w:r>
      <w:r>
        <w:rPr>
          <w:b/>
          <w:i/>
          <w:color w:val="231F20"/>
          <w:sz w:val="20"/>
        </w:rPr>
        <w:t>жить</w:t>
      </w:r>
      <w:r>
        <w:rPr>
          <w:b/>
          <w:i/>
          <w:color w:val="231F20"/>
          <w:spacing w:val="-4"/>
          <w:sz w:val="20"/>
        </w:rPr>
        <w:t> </w:t>
      </w:r>
      <w:r>
        <w:rPr>
          <w:b/>
          <w:i/>
          <w:color w:val="231F20"/>
          <w:sz w:val="20"/>
        </w:rPr>
        <w:t>с</w:t>
      </w:r>
      <w:r>
        <w:rPr>
          <w:b/>
          <w:i/>
          <w:color w:val="231F20"/>
          <w:spacing w:val="-4"/>
          <w:sz w:val="20"/>
        </w:rPr>
        <w:t> </w:t>
      </w:r>
      <w:r>
        <w:rPr>
          <w:b/>
          <w:i/>
          <w:color w:val="231F20"/>
          <w:sz w:val="20"/>
        </w:rPr>
        <w:t>непохожими</w:t>
      </w:r>
      <w:r>
        <w:rPr>
          <w:b/>
          <w:i/>
          <w:color w:val="231F20"/>
          <w:spacing w:val="-5"/>
          <w:sz w:val="20"/>
        </w:rPr>
        <w:t> </w:t>
      </w:r>
      <w:r>
        <w:rPr>
          <w:b/>
          <w:i/>
          <w:color w:val="231F20"/>
          <w:spacing w:val="-2"/>
          <w:sz w:val="20"/>
        </w:rPr>
        <w:t>людьми»</w:t>
      </w:r>
      <w:r>
        <w:rPr>
          <w:color w:val="231F20"/>
          <w:spacing w:val="-2"/>
          <w:sz w:val="20"/>
          <w:vertAlign w:val="superscript"/>
        </w:rPr>
        <w:t>1</w:t>
      </w:r>
    </w:p>
    <w:p>
      <w:pPr>
        <w:pStyle w:val="BodyText"/>
        <w:spacing w:line="237" w:lineRule="auto"/>
      </w:pPr>
      <w:r>
        <w:rPr>
          <w:color w:val="231F20"/>
        </w:rPr>
        <w:t>В</w:t>
      </w:r>
      <w:r>
        <w:rPr>
          <w:color w:val="231F20"/>
          <w:spacing w:val="-5"/>
        </w:rPr>
        <w:t> </w:t>
      </w:r>
      <w:r>
        <w:rPr>
          <w:color w:val="231F20"/>
        </w:rPr>
        <w:t>центре</w:t>
      </w:r>
      <w:r>
        <w:rPr>
          <w:color w:val="231F20"/>
          <w:spacing w:val="-5"/>
        </w:rPr>
        <w:t> </w:t>
      </w:r>
      <w:r>
        <w:rPr>
          <w:color w:val="231F20"/>
        </w:rPr>
        <w:t>«Гратис»</w:t>
      </w:r>
      <w:r>
        <w:rPr>
          <w:color w:val="231F20"/>
          <w:spacing w:val="-5"/>
        </w:rPr>
        <w:t> </w:t>
      </w:r>
      <w:r>
        <w:rPr>
          <w:color w:val="231F20"/>
        </w:rPr>
        <w:t>под</w:t>
      </w:r>
      <w:r>
        <w:rPr>
          <w:color w:val="231F20"/>
          <w:spacing w:val="-5"/>
        </w:rPr>
        <w:t> </w:t>
      </w:r>
      <w:r>
        <w:rPr>
          <w:color w:val="231F20"/>
        </w:rPr>
        <w:t>руководством</w:t>
      </w:r>
      <w:r>
        <w:rPr>
          <w:color w:val="231F20"/>
          <w:spacing w:val="-5"/>
        </w:rPr>
        <w:t> </w:t>
      </w:r>
      <w:r>
        <w:rPr>
          <w:color w:val="231F20"/>
        </w:rPr>
        <w:t>Г.У.</w:t>
      </w:r>
      <w:r>
        <w:rPr>
          <w:color w:val="231F20"/>
          <w:spacing w:val="-5"/>
        </w:rPr>
        <w:t> </w:t>
      </w:r>
      <w:r>
        <w:rPr>
          <w:color w:val="231F20"/>
        </w:rPr>
        <w:t>Солдатовой</w:t>
      </w:r>
      <w:r>
        <w:rPr>
          <w:color w:val="231F20"/>
          <w:spacing w:val="-5"/>
        </w:rPr>
        <w:t> </w:t>
      </w:r>
      <w:r>
        <w:rPr>
          <w:color w:val="231F20"/>
        </w:rPr>
        <w:t>подготовлены</w:t>
      </w:r>
      <w:r>
        <w:rPr>
          <w:color w:val="231F20"/>
          <w:spacing w:val="-5"/>
        </w:rPr>
        <w:t> </w:t>
      </w:r>
      <w:r>
        <w:rPr>
          <w:color w:val="231F20"/>
        </w:rPr>
        <w:t>четыре</w:t>
      </w:r>
      <w:r>
        <w:rPr>
          <w:color w:val="231F20"/>
          <w:spacing w:val="-5"/>
        </w:rPr>
        <w:t> </w:t>
      </w:r>
      <w:r>
        <w:rPr>
          <w:color w:val="231F20"/>
        </w:rPr>
        <w:t>пси- хологические программы для работы с принимающей стороной. Они направлены на создание условий для позитивного межкультурного общения в образовательном уч- </w:t>
      </w:r>
      <w:r>
        <w:rPr>
          <w:color w:val="231F20"/>
          <w:spacing w:val="-2"/>
        </w:rPr>
        <w:t>реждении.</w:t>
      </w:r>
    </w:p>
    <w:p>
      <w:pPr>
        <w:pStyle w:val="BodyText"/>
        <w:spacing w:line="242" w:lineRule="auto" w:before="117"/>
      </w:pPr>
      <w:r>
        <w:rPr>
          <w:i/>
          <w:color w:val="231F20"/>
        </w:rPr>
        <w:t>Первая программа </w:t>
      </w:r>
      <w:r>
        <w:rPr>
          <w:color w:val="231F20"/>
        </w:rPr>
        <w:t>– базовый тренинг толерантности для подростков, получив- ший широкую известность у российских психологов (Солдатова, Шайгерова, Шаро- ва, 2001).</w:t>
      </w:r>
    </w:p>
    <w:p>
      <w:pPr>
        <w:pStyle w:val="BodyText"/>
        <w:spacing w:line="229" w:lineRule="exact"/>
        <w:ind w:left="425" w:right="0" w:firstLine="0"/>
      </w:pPr>
      <w:r>
        <w:rPr>
          <w:color w:val="231F20"/>
        </w:rPr>
        <w:t>Тренинг</w:t>
      </w:r>
      <w:r>
        <w:rPr>
          <w:color w:val="231F20"/>
          <w:spacing w:val="-5"/>
        </w:rPr>
        <w:t> </w:t>
      </w:r>
      <w:r>
        <w:rPr>
          <w:color w:val="231F20"/>
        </w:rPr>
        <w:t>состоит</w:t>
      </w:r>
      <w:r>
        <w:rPr>
          <w:color w:val="231F20"/>
          <w:spacing w:val="-3"/>
        </w:rPr>
        <w:t> </w:t>
      </w:r>
      <w:r>
        <w:rPr>
          <w:color w:val="231F20"/>
        </w:rPr>
        <w:t>из</w:t>
      </w:r>
      <w:r>
        <w:rPr>
          <w:color w:val="231F20"/>
          <w:spacing w:val="-4"/>
        </w:rPr>
        <w:t> </w:t>
      </w:r>
      <w:r>
        <w:rPr>
          <w:color w:val="231F20"/>
        </w:rPr>
        <w:t>трех</w:t>
      </w:r>
      <w:r>
        <w:rPr>
          <w:color w:val="231F20"/>
          <w:spacing w:val="-3"/>
        </w:rPr>
        <w:t> </w:t>
      </w:r>
      <w:r>
        <w:rPr>
          <w:color w:val="231F20"/>
        </w:rPr>
        <w:t>проблемных</w:t>
      </w:r>
      <w:r>
        <w:rPr>
          <w:color w:val="231F20"/>
          <w:spacing w:val="-3"/>
        </w:rPr>
        <w:t> </w:t>
      </w:r>
      <w:r>
        <w:rPr>
          <w:color w:val="231F20"/>
          <w:spacing w:val="-2"/>
        </w:rPr>
        <w:t>блоков.</w:t>
      </w:r>
    </w:p>
    <w:p>
      <w:pPr>
        <w:pStyle w:val="BodyText"/>
        <w:spacing w:before="2"/>
        <w:ind w:right="0" w:firstLine="0"/>
      </w:pPr>
      <w:r>
        <w:rPr>
          <w:color w:val="231F20"/>
        </w:rPr>
        <w:t>а)</w:t>
      </w:r>
      <w:r>
        <w:rPr>
          <w:color w:val="231F20"/>
          <w:spacing w:val="76"/>
        </w:rPr>
        <w:t> </w:t>
      </w:r>
      <w:r>
        <w:rPr>
          <w:color w:val="231F20"/>
        </w:rPr>
        <w:t>Понятие толерантности</w:t>
      </w:r>
      <w:r>
        <w:rPr>
          <w:color w:val="231F20"/>
          <w:spacing w:val="-2"/>
        </w:rPr>
        <w:t> </w:t>
      </w:r>
      <w:r>
        <w:rPr>
          <w:color w:val="231F20"/>
        </w:rPr>
        <w:t>и</w:t>
      </w:r>
      <w:r>
        <w:rPr>
          <w:color w:val="231F20"/>
          <w:spacing w:val="-1"/>
        </w:rPr>
        <w:t> </w:t>
      </w:r>
      <w:r>
        <w:rPr>
          <w:color w:val="231F20"/>
        </w:rPr>
        <w:t>связанные</w:t>
      </w:r>
      <w:r>
        <w:rPr>
          <w:color w:val="231F20"/>
          <w:spacing w:val="-1"/>
        </w:rPr>
        <w:t> </w:t>
      </w:r>
      <w:r>
        <w:rPr>
          <w:color w:val="231F20"/>
        </w:rPr>
        <w:t>с этим</w:t>
      </w:r>
      <w:r>
        <w:rPr>
          <w:color w:val="231F20"/>
          <w:spacing w:val="-1"/>
        </w:rPr>
        <w:t> </w:t>
      </w:r>
      <w:r>
        <w:rPr>
          <w:color w:val="231F20"/>
        </w:rPr>
        <w:t>вопросы (занятия </w:t>
      </w:r>
      <w:r>
        <w:rPr>
          <w:color w:val="231F20"/>
          <w:spacing w:val="-2"/>
        </w:rPr>
        <w:t>1–3).</w:t>
      </w:r>
    </w:p>
    <w:p>
      <w:pPr>
        <w:pStyle w:val="BodyText"/>
        <w:spacing w:before="2"/>
        <w:ind w:left="425" w:right="0" w:firstLine="0"/>
        <w:jc w:val="left"/>
      </w:pPr>
      <w:r>
        <w:rPr>
          <w:color w:val="231F20"/>
          <w:spacing w:val="-2"/>
        </w:rPr>
        <w:t>Цели:</w:t>
      </w:r>
    </w:p>
    <w:p>
      <w:pPr>
        <w:pStyle w:val="ListParagraph"/>
        <w:numPr>
          <w:ilvl w:val="0"/>
          <w:numId w:val="104"/>
        </w:numPr>
        <w:tabs>
          <w:tab w:pos="708" w:val="left" w:leader="none"/>
        </w:tabs>
        <w:spacing w:line="242" w:lineRule="auto" w:before="2" w:after="0"/>
        <w:ind w:left="708" w:right="139" w:hanging="284"/>
        <w:jc w:val="left"/>
        <w:rPr>
          <w:sz w:val="20"/>
        </w:rPr>
      </w:pPr>
      <w:r>
        <w:rPr>
          <w:color w:val="231F20"/>
          <w:sz w:val="20"/>
        </w:rPr>
        <w:t>ознакомление</w:t>
      </w:r>
      <w:r>
        <w:rPr>
          <w:color w:val="231F20"/>
          <w:spacing w:val="-10"/>
          <w:sz w:val="20"/>
        </w:rPr>
        <w:t> </w:t>
      </w:r>
      <w:r>
        <w:rPr>
          <w:color w:val="231F20"/>
          <w:sz w:val="20"/>
        </w:rPr>
        <w:t>с</w:t>
      </w:r>
      <w:r>
        <w:rPr>
          <w:color w:val="231F20"/>
          <w:spacing w:val="-10"/>
          <w:sz w:val="20"/>
        </w:rPr>
        <w:t> </w:t>
      </w:r>
      <w:r>
        <w:rPr>
          <w:color w:val="231F20"/>
          <w:sz w:val="20"/>
        </w:rPr>
        <w:t>понятиями</w:t>
      </w:r>
      <w:r>
        <w:rPr>
          <w:color w:val="231F20"/>
          <w:spacing w:val="-10"/>
          <w:sz w:val="20"/>
        </w:rPr>
        <w:t> </w:t>
      </w:r>
      <w:r>
        <w:rPr>
          <w:color w:val="231F20"/>
          <w:sz w:val="20"/>
        </w:rPr>
        <w:t>«толерантность»,</w:t>
      </w:r>
      <w:r>
        <w:rPr>
          <w:color w:val="231F20"/>
          <w:spacing w:val="-10"/>
          <w:sz w:val="20"/>
        </w:rPr>
        <w:t> </w:t>
      </w:r>
      <w:r>
        <w:rPr>
          <w:color w:val="231F20"/>
          <w:sz w:val="20"/>
        </w:rPr>
        <w:t>«толерантная</w:t>
      </w:r>
      <w:r>
        <w:rPr>
          <w:color w:val="231F20"/>
          <w:spacing w:val="-10"/>
          <w:sz w:val="20"/>
        </w:rPr>
        <w:t> </w:t>
      </w:r>
      <w:r>
        <w:rPr>
          <w:color w:val="231F20"/>
          <w:sz w:val="20"/>
        </w:rPr>
        <w:t>личность»,</w:t>
      </w:r>
      <w:r>
        <w:rPr>
          <w:color w:val="231F20"/>
          <w:spacing w:val="-10"/>
          <w:sz w:val="20"/>
        </w:rPr>
        <w:t> </w:t>
      </w:r>
      <w:r>
        <w:rPr>
          <w:color w:val="231F20"/>
          <w:sz w:val="20"/>
        </w:rPr>
        <w:t>«грани- цы толерантности»;</w:t>
      </w:r>
    </w:p>
    <w:p>
      <w:pPr>
        <w:pStyle w:val="ListParagraph"/>
        <w:numPr>
          <w:ilvl w:val="0"/>
          <w:numId w:val="104"/>
        </w:numPr>
        <w:tabs>
          <w:tab w:pos="708" w:val="left" w:leader="none"/>
        </w:tabs>
        <w:spacing w:line="229" w:lineRule="exact" w:before="0" w:after="0"/>
        <w:ind w:left="708" w:right="0" w:hanging="283"/>
        <w:jc w:val="left"/>
        <w:rPr>
          <w:sz w:val="20"/>
        </w:rPr>
      </w:pPr>
      <w:r>
        <w:rPr>
          <w:color w:val="231F20"/>
          <w:sz w:val="20"/>
        </w:rPr>
        <w:t>обсуждение</w:t>
      </w:r>
      <w:r>
        <w:rPr>
          <w:color w:val="231F20"/>
          <w:spacing w:val="-6"/>
          <w:sz w:val="20"/>
        </w:rPr>
        <w:t> </w:t>
      </w:r>
      <w:r>
        <w:rPr>
          <w:color w:val="231F20"/>
          <w:sz w:val="20"/>
        </w:rPr>
        <w:t>проявлений</w:t>
      </w:r>
      <w:r>
        <w:rPr>
          <w:color w:val="231F20"/>
          <w:spacing w:val="-4"/>
          <w:sz w:val="20"/>
        </w:rPr>
        <w:t> </w:t>
      </w:r>
      <w:r>
        <w:rPr>
          <w:color w:val="231F20"/>
          <w:sz w:val="20"/>
        </w:rPr>
        <w:t>толерантности</w:t>
      </w:r>
      <w:r>
        <w:rPr>
          <w:color w:val="231F20"/>
          <w:spacing w:val="-4"/>
          <w:sz w:val="20"/>
        </w:rPr>
        <w:t> </w:t>
      </w:r>
      <w:r>
        <w:rPr>
          <w:color w:val="231F20"/>
          <w:sz w:val="20"/>
        </w:rPr>
        <w:t>и</w:t>
      </w:r>
      <w:r>
        <w:rPr>
          <w:color w:val="231F20"/>
          <w:spacing w:val="-4"/>
          <w:sz w:val="20"/>
        </w:rPr>
        <w:t> </w:t>
      </w:r>
      <w:r>
        <w:rPr>
          <w:color w:val="231F20"/>
          <w:sz w:val="20"/>
        </w:rPr>
        <w:t>нетерпимости</w:t>
      </w:r>
      <w:r>
        <w:rPr>
          <w:color w:val="231F20"/>
          <w:spacing w:val="-4"/>
          <w:sz w:val="20"/>
        </w:rPr>
        <w:t> </w:t>
      </w:r>
      <w:r>
        <w:rPr>
          <w:color w:val="231F20"/>
          <w:sz w:val="20"/>
        </w:rPr>
        <w:t>в</w:t>
      </w:r>
      <w:r>
        <w:rPr>
          <w:color w:val="231F20"/>
          <w:spacing w:val="-3"/>
          <w:sz w:val="20"/>
        </w:rPr>
        <w:t> </w:t>
      </w:r>
      <w:r>
        <w:rPr>
          <w:color w:val="231F20"/>
          <w:spacing w:val="-2"/>
          <w:sz w:val="20"/>
        </w:rPr>
        <w:t>обществе.</w:t>
      </w:r>
    </w:p>
    <w:p>
      <w:pPr>
        <w:pStyle w:val="BodyText"/>
        <w:spacing w:before="2"/>
        <w:ind w:right="0" w:firstLine="0"/>
        <w:jc w:val="left"/>
      </w:pPr>
      <w:r>
        <w:rPr>
          <w:color w:val="231F20"/>
        </w:rPr>
        <w:t>б)</w:t>
      </w:r>
      <w:r>
        <w:rPr>
          <w:color w:val="231F20"/>
          <w:spacing w:val="56"/>
        </w:rPr>
        <w:t> </w:t>
      </w:r>
      <w:r>
        <w:rPr>
          <w:color w:val="231F20"/>
        </w:rPr>
        <w:t>Толерантность</w:t>
      </w:r>
      <w:r>
        <w:rPr>
          <w:color w:val="231F20"/>
          <w:spacing w:val="-4"/>
        </w:rPr>
        <w:t> </w:t>
      </w:r>
      <w:r>
        <w:rPr>
          <w:color w:val="231F20"/>
        </w:rPr>
        <w:t>по</w:t>
      </w:r>
      <w:r>
        <w:rPr>
          <w:color w:val="231F20"/>
          <w:spacing w:val="-3"/>
        </w:rPr>
        <w:t> </w:t>
      </w:r>
      <w:r>
        <w:rPr>
          <w:color w:val="231F20"/>
        </w:rPr>
        <w:t>отношению</w:t>
      </w:r>
      <w:r>
        <w:rPr>
          <w:color w:val="231F20"/>
          <w:spacing w:val="-4"/>
        </w:rPr>
        <w:t> </w:t>
      </w:r>
      <w:r>
        <w:rPr>
          <w:color w:val="231F20"/>
        </w:rPr>
        <w:t>к</w:t>
      </w:r>
      <w:r>
        <w:rPr>
          <w:color w:val="231F20"/>
          <w:spacing w:val="-2"/>
        </w:rPr>
        <w:t> </w:t>
      </w:r>
      <w:r>
        <w:rPr>
          <w:color w:val="231F20"/>
        </w:rPr>
        <w:t>себе</w:t>
      </w:r>
      <w:r>
        <w:rPr>
          <w:color w:val="231F20"/>
          <w:spacing w:val="-3"/>
        </w:rPr>
        <w:t> </w:t>
      </w:r>
      <w:r>
        <w:rPr>
          <w:color w:val="231F20"/>
        </w:rPr>
        <w:t>и</w:t>
      </w:r>
      <w:r>
        <w:rPr>
          <w:color w:val="231F20"/>
          <w:spacing w:val="-4"/>
        </w:rPr>
        <w:t> </w:t>
      </w:r>
      <w:r>
        <w:rPr>
          <w:color w:val="231F20"/>
        </w:rPr>
        <w:t>к</w:t>
      </w:r>
      <w:r>
        <w:rPr>
          <w:color w:val="231F20"/>
          <w:spacing w:val="-3"/>
        </w:rPr>
        <w:t> </w:t>
      </w:r>
      <w:r>
        <w:rPr>
          <w:color w:val="231F20"/>
        </w:rPr>
        <w:t>участникам</w:t>
      </w:r>
      <w:r>
        <w:rPr>
          <w:color w:val="231F20"/>
          <w:spacing w:val="-3"/>
        </w:rPr>
        <w:t> </w:t>
      </w:r>
      <w:r>
        <w:rPr>
          <w:color w:val="231F20"/>
        </w:rPr>
        <w:t>группы</w:t>
      </w:r>
      <w:r>
        <w:rPr>
          <w:color w:val="231F20"/>
          <w:spacing w:val="-3"/>
        </w:rPr>
        <w:t> </w:t>
      </w:r>
      <w:r>
        <w:rPr>
          <w:color w:val="231F20"/>
        </w:rPr>
        <w:t>(занятия</w:t>
      </w:r>
      <w:r>
        <w:rPr>
          <w:color w:val="231F20"/>
          <w:spacing w:val="-2"/>
        </w:rPr>
        <w:t> 4–6).</w:t>
      </w:r>
    </w:p>
    <w:p>
      <w:pPr>
        <w:pStyle w:val="BodyText"/>
        <w:spacing w:before="2"/>
        <w:ind w:left="425" w:right="0" w:firstLine="0"/>
        <w:jc w:val="left"/>
      </w:pPr>
      <w:r>
        <w:rPr>
          <w:color w:val="231F20"/>
          <w:spacing w:val="-2"/>
        </w:rPr>
        <w:t>Цели:</w:t>
      </w:r>
    </w:p>
    <w:p>
      <w:pPr>
        <w:pStyle w:val="ListParagraph"/>
        <w:numPr>
          <w:ilvl w:val="0"/>
          <w:numId w:val="104"/>
        </w:numPr>
        <w:tabs>
          <w:tab w:pos="708" w:val="left" w:leader="none"/>
        </w:tabs>
        <w:spacing w:line="242" w:lineRule="auto" w:before="2" w:after="0"/>
        <w:ind w:left="708" w:right="140" w:hanging="284"/>
        <w:jc w:val="left"/>
        <w:rPr>
          <w:sz w:val="20"/>
        </w:rPr>
      </w:pPr>
      <w:r>
        <w:rPr>
          <w:color w:val="231F20"/>
          <w:sz w:val="20"/>
        </w:rPr>
        <w:t>развитие</w:t>
      </w:r>
      <w:r>
        <w:rPr>
          <w:color w:val="231F20"/>
          <w:spacing w:val="32"/>
          <w:sz w:val="20"/>
        </w:rPr>
        <w:t> </w:t>
      </w:r>
      <w:r>
        <w:rPr>
          <w:color w:val="231F20"/>
          <w:sz w:val="20"/>
        </w:rPr>
        <w:t>чувства</w:t>
      </w:r>
      <w:r>
        <w:rPr>
          <w:color w:val="231F20"/>
          <w:spacing w:val="32"/>
          <w:sz w:val="20"/>
        </w:rPr>
        <w:t> </w:t>
      </w:r>
      <w:r>
        <w:rPr>
          <w:color w:val="231F20"/>
          <w:sz w:val="20"/>
        </w:rPr>
        <w:t>собственного</w:t>
      </w:r>
      <w:r>
        <w:rPr>
          <w:color w:val="231F20"/>
          <w:spacing w:val="32"/>
          <w:sz w:val="20"/>
        </w:rPr>
        <w:t> </w:t>
      </w:r>
      <w:r>
        <w:rPr>
          <w:color w:val="231F20"/>
          <w:sz w:val="20"/>
        </w:rPr>
        <w:t>достоинства</w:t>
      </w:r>
      <w:r>
        <w:rPr>
          <w:color w:val="231F20"/>
          <w:spacing w:val="32"/>
          <w:sz w:val="20"/>
        </w:rPr>
        <w:t> </w:t>
      </w:r>
      <w:r>
        <w:rPr>
          <w:color w:val="231F20"/>
          <w:sz w:val="20"/>
        </w:rPr>
        <w:t>и</w:t>
      </w:r>
      <w:r>
        <w:rPr>
          <w:color w:val="231F20"/>
          <w:spacing w:val="32"/>
          <w:sz w:val="20"/>
        </w:rPr>
        <w:t> </w:t>
      </w:r>
      <w:r>
        <w:rPr>
          <w:color w:val="231F20"/>
          <w:sz w:val="20"/>
        </w:rPr>
        <w:t>умения</w:t>
      </w:r>
      <w:r>
        <w:rPr>
          <w:color w:val="231F20"/>
          <w:spacing w:val="32"/>
          <w:sz w:val="20"/>
        </w:rPr>
        <w:t> </w:t>
      </w:r>
      <w:r>
        <w:rPr>
          <w:color w:val="231F20"/>
          <w:sz w:val="20"/>
        </w:rPr>
        <w:t>уважать</w:t>
      </w:r>
      <w:r>
        <w:rPr>
          <w:color w:val="231F20"/>
          <w:spacing w:val="32"/>
          <w:sz w:val="20"/>
        </w:rPr>
        <w:t> </w:t>
      </w:r>
      <w:r>
        <w:rPr>
          <w:color w:val="231F20"/>
          <w:sz w:val="20"/>
        </w:rPr>
        <w:t>достоинство </w:t>
      </w:r>
      <w:r>
        <w:rPr>
          <w:color w:val="231F20"/>
          <w:spacing w:val="-2"/>
          <w:sz w:val="20"/>
        </w:rPr>
        <w:t>других;</w:t>
      </w:r>
    </w:p>
    <w:p>
      <w:pPr>
        <w:pStyle w:val="ListParagraph"/>
        <w:numPr>
          <w:ilvl w:val="0"/>
          <w:numId w:val="104"/>
        </w:numPr>
        <w:tabs>
          <w:tab w:pos="708" w:val="left" w:leader="none"/>
        </w:tabs>
        <w:spacing w:line="240" w:lineRule="auto" w:before="0" w:after="0"/>
        <w:ind w:left="708" w:right="139" w:hanging="284"/>
        <w:jc w:val="left"/>
        <w:rPr>
          <w:sz w:val="20"/>
        </w:rPr>
      </w:pPr>
      <w:r>
        <w:rPr>
          <w:color w:val="231F20"/>
          <w:sz w:val="20"/>
        </w:rPr>
        <w:t>осознание многообразия проявлений личности каждого участника в группо- вом взаимодействии;</w:t>
      </w:r>
    </w:p>
    <w:p>
      <w:pPr>
        <w:pStyle w:val="ListParagraph"/>
        <w:numPr>
          <w:ilvl w:val="0"/>
          <w:numId w:val="104"/>
        </w:numPr>
        <w:tabs>
          <w:tab w:pos="708" w:val="left" w:leader="none"/>
        </w:tabs>
        <w:spacing w:line="240" w:lineRule="auto" w:before="0" w:after="0"/>
        <w:ind w:left="708" w:right="139" w:hanging="284"/>
        <w:jc w:val="left"/>
        <w:rPr>
          <w:sz w:val="20"/>
        </w:rPr>
      </w:pPr>
      <w:r>
        <w:rPr>
          <w:color w:val="231F20"/>
          <w:sz w:val="20"/>
        </w:rPr>
        <w:t>развитие способности к самоанализу, самопознанию, навыков ведения пози- тивного внутреннего диалога с самим собой;</w:t>
      </w:r>
    </w:p>
    <w:p>
      <w:pPr>
        <w:pStyle w:val="ListParagraph"/>
        <w:numPr>
          <w:ilvl w:val="0"/>
          <w:numId w:val="104"/>
        </w:numPr>
        <w:tabs>
          <w:tab w:pos="708" w:val="left" w:leader="none"/>
        </w:tabs>
        <w:spacing w:line="240" w:lineRule="auto" w:before="0" w:after="0"/>
        <w:ind w:left="708" w:right="0" w:hanging="283"/>
        <w:jc w:val="left"/>
        <w:rPr>
          <w:sz w:val="20"/>
        </w:rPr>
      </w:pPr>
      <w:r>
        <w:rPr>
          <w:color w:val="231F20"/>
          <w:sz w:val="20"/>
        </w:rPr>
        <w:t>формирование</w:t>
      </w:r>
      <w:r>
        <w:rPr>
          <w:color w:val="231F20"/>
          <w:spacing w:val="-6"/>
          <w:sz w:val="20"/>
        </w:rPr>
        <w:t> </w:t>
      </w:r>
      <w:r>
        <w:rPr>
          <w:color w:val="231F20"/>
          <w:sz w:val="20"/>
        </w:rPr>
        <w:t>позитивного</w:t>
      </w:r>
      <w:r>
        <w:rPr>
          <w:color w:val="231F20"/>
          <w:spacing w:val="-6"/>
          <w:sz w:val="20"/>
        </w:rPr>
        <w:t> </w:t>
      </w:r>
      <w:r>
        <w:rPr>
          <w:color w:val="231F20"/>
          <w:sz w:val="20"/>
        </w:rPr>
        <w:t>отношения</w:t>
      </w:r>
      <w:r>
        <w:rPr>
          <w:color w:val="231F20"/>
          <w:spacing w:val="-6"/>
          <w:sz w:val="20"/>
        </w:rPr>
        <w:t> </w:t>
      </w:r>
      <w:r>
        <w:rPr>
          <w:color w:val="231F20"/>
          <w:sz w:val="20"/>
        </w:rPr>
        <w:t>к</w:t>
      </w:r>
      <w:r>
        <w:rPr>
          <w:color w:val="231F20"/>
          <w:spacing w:val="-6"/>
          <w:sz w:val="20"/>
        </w:rPr>
        <w:t> </w:t>
      </w:r>
      <w:r>
        <w:rPr>
          <w:color w:val="231F20"/>
          <w:sz w:val="20"/>
        </w:rPr>
        <w:t>своему</w:t>
      </w:r>
      <w:r>
        <w:rPr>
          <w:color w:val="231F20"/>
          <w:spacing w:val="-5"/>
          <w:sz w:val="20"/>
        </w:rPr>
        <w:t> </w:t>
      </w:r>
      <w:r>
        <w:rPr>
          <w:color w:val="231F20"/>
          <w:spacing w:val="-2"/>
          <w:sz w:val="20"/>
        </w:rPr>
        <w:t>народу;</w:t>
      </w:r>
    </w:p>
    <w:p>
      <w:pPr>
        <w:pStyle w:val="ListParagraph"/>
        <w:numPr>
          <w:ilvl w:val="0"/>
          <w:numId w:val="104"/>
        </w:numPr>
        <w:tabs>
          <w:tab w:pos="708" w:val="left" w:leader="none"/>
        </w:tabs>
        <w:spacing w:line="240" w:lineRule="auto" w:before="0" w:after="0"/>
        <w:ind w:left="708" w:right="0" w:hanging="283"/>
        <w:jc w:val="left"/>
        <w:rPr>
          <w:sz w:val="20"/>
        </w:rPr>
      </w:pPr>
      <w:r>
        <w:rPr>
          <w:color w:val="231F20"/>
          <w:sz w:val="20"/>
        </w:rPr>
        <w:t>повышение</w:t>
      </w:r>
      <w:r>
        <w:rPr>
          <w:color w:val="231F20"/>
          <w:spacing w:val="-7"/>
          <w:sz w:val="20"/>
        </w:rPr>
        <w:t> </w:t>
      </w:r>
      <w:r>
        <w:rPr>
          <w:color w:val="231F20"/>
          <w:sz w:val="20"/>
        </w:rPr>
        <w:t>самооценки</w:t>
      </w:r>
      <w:r>
        <w:rPr>
          <w:color w:val="231F20"/>
          <w:spacing w:val="-5"/>
          <w:sz w:val="20"/>
        </w:rPr>
        <w:t> </w:t>
      </w:r>
      <w:r>
        <w:rPr>
          <w:color w:val="231F20"/>
          <w:sz w:val="20"/>
        </w:rPr>
        <w:t>через</w:t>
      </w:r>
      <w:r>
        <w:rPr>
          <w:color w:val="231F20"/>
          <w:spacing w:val="-4"/>
          <w:sz w:val="20"/>
        </w:rPr>
        <w:t> </w:t>
      </w:r>
      <w:r>
        <w:rPr>
          <w:color w:val="231F20"/>
          <w:sz w:val="20"/>
        </w:rPr>
        <w:t>позитивную</w:t>
      </w:r>
      <w:r>
        <w:rPr>
          <w:color w:val="231F20"/>
          <w:spacing w:val="-5"/>
          <w:sz w:val="20"/>
        </w:rPr>
        <w:t> </w:t>
      </w:r>
      <w:r>
        <w:rPr>
          <w:color w:val="231F20"/>
          <w:sz w:val="20"/>
        </w:rPr>
        <w:t>поддержку</w:t>
      </w:r>
      <w:r>
        <w:rPr>
          <w:color w:val="231F20"/>
          <w:spacing w:val="-4"/>
          <w:sz w:val="20"/>
        </w:rPr>
        <w:t> </w:t>
      </w:r>
      <w:r>
        <w:rPr>
          <w:color w:val="231F20"/>
          <w:sz w:val="20"/>
        </w:rPr>
        <w:t>от</w:t>
      </w:r>
      <w:r>
        <w:rPr>
          <w:color w:val="231F20"/>
          <w:spacing w:val="-4"/>
          <w:sz w:val="20"/>
        </w:rPr>
        <w:t> </w:t>
      </w:r>
      <w:r>
        <w:rPr>
          <w:color w:val="231F20"/>
          <w:spacing w:val="-2"/>
          <w:sz w:val="20"/>
        </w:rPr>
        <w:t>группы.</w:t>
      </w:r>
    </w:p>
    <w:p>
      <w:pPr>
        <w:pStyle w:val="BodyText"/>
        <w:ind w:right="0" w:firstLine="0"/>
        <w:jc w:val="left"/>
      </w:pPr>
      <w:r>
        <w:rPr>
          <w:color w:val="231F20"/>
        </w:rPr>
        <w:t>в)</w:t>
      </w:r>
      <w:r>
        <w:rPr>
          <w:color w:val="231F20"/>
          <w:spacing w:val="65"/>
        </w:rPr>
        <w:t> </w:t>
      </w:r>
      <w:r>
        <w:rPr>
          <w:color w:val="231F20"/>
        </w:rPr>
        <w:t>Толерантность</w:t>
      </w:r>
      <w:r>
        <w:rPr>
          <w:color w:val="231F20"/>
          <w:spacing w:val="-4"/>
        </w:rPr>
        <w:t> </w:t>
      </w:r>
      <w:r>
        <w:rPr>
          <w:color w:val="231F20"/>
        </w:rPr>
        <w:t>по</w:t>
      </w:r>
      <w:r>
        <w:rPr>
          <w:color w:val="231F20"/>
          <w:spacing w:val="-3"/>
        </w:rPr>
        <w:t> </w:t>
      </w:r>
      <w:r>
        <w:rPr>
          <w:color w:val="231F20"/>
        </w:rPr>
        <w:t>отношению</w:t>
      </w:r>
      <w:r>
        <w:rPr>
          <w:color w:val="231F20"/>
          <w:spacing w:val="-4"/>
        </w:rPr>
        <w:t> </w:t>
      </w:r>
      <w:r>
        <w:rPr>
          <w:color w:val="231F20"/>
        </w:rPr>
        <w:t>к</w:t>
      </w:r>
      <w:r>
        <w:rPr>
          <w:color w:val="231F20"/>
          <w:spacing w:val="-3"/>
        </w:rPr>
        <w:t> </w:t>
      </w:r>
      <w:r>
        <w:rPr>
          <w:color w:val="231F20"/>
        </w:rPr>
        <w:t>разнообразным</w:t>
      </w:r>
      <w:r>
        <w:rPr>
          <w:color w:val="231F20"/>
          <w:spacing w:val="-3"/>
        </w:rPr>
        <w:t> </w:t>
      </w:r>
      <w:r>
        <w:rPr>
          <w:color w:val="231F20"/>
        </w:rPr>
        <w:t>«иным»</w:t>
      </w:r>
      <w:r>
        <w:rPr>
          <w:color w:val="231F20"/>
          <w:spacing w:val="-3"/>
        </w:rPr>
        <w:t> </w:t>
      </w:r>
      <w:r>
        <w:rPr>
          <w:color w:val="231F20"/>
        </w:rPr>
        <w:t>(занятия</w:t>
      </w:r>
      <w:r>
        <w:rPr>
          <w:color w:val="231F20"/>
          <w:spacing w:val="-2"/>
        </w:rPr>
        <w:t> 7–10).</w:t>
      </w:r>
    </w:p>
    <w:p>
      <w:pPr>
        <w:pStyle w:val="BodyText"/>
        <w:ind w:left="425" w:right="0" w:firstLine="0"/>
        <w:jc w:val="left"/>
      </w:pPr>
      <w:r>
        <w:rPr>
          <w:color w:val="231F20"/>
          <w:spacing w:val="-2"/>
        </w:rPr>
        <w:t>Цели:</w:t>
      </w:r>
    </w:p>
    <w:p>
      <w:pPr>
        <w:pStyle w:val="ListParagraph"/>
        <w:numPr>
          <w:ilvl w:val="0"/>
          <w:numId w:val="104"/>
        </w:numPr>
        <w:tabs>
          <w:tab w:pos="708" w:val="left" w:leader="none"/>
        </w:tabs>
        <w:spacing w:line="240" w:lineRule="auto" w:before="0" w:after="0"/>
        <w:ind w:left="708" w:right="139" w:hanging="284"/>
        <w:jc w:val="left"/>
        <w:rPr>
          <w:sz w:val="20"/>
        </w:rPr>
      </w:pPr>
      <w:r>
        <w:rPr>
          <w:color w:val="231F20"/>
          <w:sz w:val="20"/>
        </w:rPr>
        <w:t>обучение</w:t>
      </w:r>
      <w:r>
        <w:rPr>
          <w:color w:val="231F20"/>
          <w:spacing w:val="-3"/>
          <w:sz w:val="20"/>
        </w:rPr>
        <w:t> </w:t>
      </w:r>
      <w:r>
        <w:rPr>
          <w:color w:val="231F20"/>
          <w:sz w:val="20"/>
        </w:rPr>
        <w:t>конструктивным</w:t>
      </w:r>
      <w:r>
        <w:rPr>
          <w:color w:val="231F20"/>
          <w:spacing w:val="-2"/>
          <w:sz w:val="20"/>
        </w:rPr>
        <w:t> </w:t>
      </w:r>
      <w:r>
        <w:rPr>
          <w:color w:val="231F20"/>
          <w:sz w:val="20"/>
        </w:rPr>
        <w:t>способам</w:t>
      </w:r>
      <w:r>
        <w:rPr>
          <w:color w:val="231F20"/>
          <w:spacing w:val="-3"/>
          <w:sz w:val="20"/>
        </w:rPr>
        <w:t> </w:t>
      </w:r>
      <w:r>
        <w:rPr>
          <w:color w:val="231F20"/>
          <w:sz w:val="20"/>
        </w:rPr>
        <w:t>выхода</w:t>
      </w:r>
      <w:r>
        <w:rPr>
          <w:color w:val="231F20"/>
          <w:spacing w:val="-3"/>
          <w:sz w:val="20"/>
        </w:rPr>
        <w:t> </w:t>
      </w:r>
      <w:r>
        <w:rPr>
          <w:color w:val="231F20"/>
          <w:sz w:val="20"/>
        </w:rPr>
        <w:t>из</w:t>
      </w:r>
      <w:r>
        <w:rPr>
          <w:color w:val="231F20"/>
          <w:spacing w:val="-3"/>
          <w:sz w:val="20"/>
        </w:rPr>
        <w:t> </w:t>
      </w:r>
      <w:r>
        <w:rPr>
          <w:color w:val="231F20"/>
          <w:sz w:val="20"/>
        </w:rPr>
        <w:t>конфликтных</w:t>
      </w:r>
      <w:r>
        <w:rPr>
          <w:color w:val="231F20"/>
          <w:spacing w:val="-3"/>
          <w:sz w:val="20"/>
        </w:rPr>
        <w:t> </w:t>
      </w:r>
      <w:r>
        <w:rPr>
          <w:color w:val="231F20"/>
          <w:sz w:val="20"/>
        </w:rPr>
        <w:t>ситуаций,</w:t>
      </w:r>
      <w:r>
        <w:rPr>
          <w:color w:val="231F20"/>
          <w:spacing w:val="-2"/>
          <w:sz w:val="20"/>
        </w:rPr>
        <w:t> </w:t>
      </w:r>
      <w:r>
        <w:rPr>
          <w:color w:val="231F20"/>
          <w:sz w:val="20"/>
        </w:rPr>
        <w:t>выра- жению своих чувств и переживаний без конфликтов и насилия;</w:t>
      </w:r>
    </w:p>
    <w:p>
      <w:pPr>
        <w:pStyle w:val="ListParagraph"/>
        <w:numPr>
          <w:ilvl w:val="0"/>
          <w:numId w:val="104"/>
        </w:numPr>
        <w:tabs>
          <w:tab w:pos="708" w:val="left" w:leader="none"/>
        </w:tabs>
        <w:spacing w:line="240" w:lineRule="auto" w:before="0" w:after="0"/>
        <w:ind w:left="708" w:right="139" w:hanging="284"/>
        <w:jc w:val="both"/>
        <w:rPr>
          <w:sz w:val="20"/>
        </w:rPr>
      </w:pPr>
      <w:r>
        <w:rPr>
          <w:color w:val="231F20"/>
          <w:sz w:val="20"/>
        </w:rPr>
        <w:t>развитие социальной восприимчивости, социального воображения, доверия, умения</w:t>
      </w:r>
      <w:r>
        <w:rPr>
          <w:color w:val="231F20"/>
          <w:spacing w:val="-3"/>
          <w:sz w:val="20"/>
        </w:rPr>
        <w:t> </w:t>
      </w:r>
      <w:r>
        <w:rPr>
          <w:color w:val="231F20"/>
          <w:sz w:val="20"/>
        </w:rPr>
        <w:t>выслушать</w:t>
      </w:r>
      <w:r>
        <w:rPr>
          <w:color w:val="231F20"/>
          <w:spacing w:val="-3"/>
          <w:sz w:val="20"/>
        </w:rPr>
        <w:t> </w:t>
      </w:r>
      <w:r>
        <w:rPr>
          <w:color w:val="231F20"/>
          <w:sz w:val="20"/>
        </w:rPr>
        <w:t>другого</w:t>
      </w:r>
      <w:r>
        <w:rPr>
          <w:color w:val="231F20"/>
          <w:spacing w:val="-3"/>
          <w:sz w:val="20"/>
        </w:rPr>
        <w:t> </w:t>
      </w:r>
      <w:r>
        <w:rPr>
          <w:color w:val="231F20"/>
          <w:sz w:val="20"/>
        </w:rPr>
        <w:t>человека,</w:t>
      </w:r>
      <w:r>
        <w:rPr>
          <w:color w:val="231F20"/>
          <w:spacing w:val="-3"/>
          <w:sz w:val="20"/>
        </w:rPr>
        <w:t> </w:t>
      </w:r>
      <w:r>
        <w:rPr>
          <w:color w:val="231F20"/>
          <w:sz w:val="20"/>
        </w:rPr>
        <w:t>способности</w:t>
      </w:r>
      <w:r>
        <w:rPr>
          <w:color w:val="231F20"/>
          <w:spacing w:val="-3"/>
          <w:sz w:val="20"/>
        </w:rPr>
        <w:t> </w:t>
      </w:r>
      <w:r>
        <w:rPr>
          <w:color w:val="231F20"/>
          <w:sz w:val="20"/>
        </w:rPr>
        <w:t>к</w:t>
      </w:r>
      <w:r>
        <w:rPr>
          <w:color w:val="231F20"/>
          <w:spacing w:val="-3"/>
          <w:sz w:val="20"/>
        </w:rPr>
        <w:t> </w:t>
      </w:r>
      <w:r>
        <w:rPr>
          <w:color w:val="231F20"/>
          <w:sz w:val="20"/>
        </w:rPr>
        <w:t>эмпатии,</w:t>
      </w:r>
      <w:r>
        <w:rPr>
          <w:color w:val="231F20"/>
          <w:spacing w:val="-3"/>
          <w:sz w:val="20"/>
        </w:rPr>
        <w:t> </w:t>
      </w:r>
      <w:r>
        <w:rPr>
          <w:color w:val="231F20"/>
          <w:sz w:val="20"/>
        </w:rPr>
        <w:t>сочувствию,</w:t>
      </w:r>
      <w:r>
        <w:rPr>
          <w:color w:val="231F20"/>
          <w:spacing w:val="-3"/>
          <w:sz w:val="20"/>
        </w:rPr>
        <w:t> </w:t>
      </w:r>
      <w:r>
        <w:rPr>
          <w:color w:val="231F20"/>
          <w:sz w:val="20"/>
        </w:rPr>
        <w:t>со- </w:t>
      </w:r>
      <w:r>
        <w:rPr>
          <w:color w:val="231F20"/>
          <w:spacing w:val="-2"/>
          <w:sz w:val="20"/>
        </w:rPr>
        <w:t>переживанию;</w:t>
      </w:r>
    </w:p>
    <w:p>
      <w:pPr>
        <w:pStyle w:val="ListParagraph"/>
        <w:numPr>
          <w:ilvl w:val="0"/>
          <w:numId w:val="104"/>
        </w:numPr>
        <w:tabs>
          <w:tab w:pos="708" w:val="left" w:leader="none"/>
        </w:tabs>
        <w:spacing w:line="240" w:lineRule="auto" w:before="0" w:after="0"/>
        <w:ind w:left="708" w:right="0" w:hanging="283"/>
        <w:jc w:val="both"/>
        <w:rPr>
          <w:sz w:val="20"/>
        </w:rPr>
      </w:pPr>
      <w:r>
        <w:rPr>
          <w:color w:val="231F20"/>
          <w:sz w:val="20"/>
        </w:rPr>
        <w:t>развитие</w:t>
      </w:r>
      <w:r>
        <w:rPr>
          <w:color w:val="231F20"/>
          <w:spacing w:val="-7"/>
          <w:sz w:val="20"/>
        </w:rPr>
        <w:t> </w:t>
      </w:r>
      <w:r>
        <w:rPr>
          <w:color w:val="231F20"/>
          <w:sz w:val="20"/>
        </w:rPr>
        <w:t>коммуникативных</w:t>
      </w:r>
      <w:r>
        <w:rPr>
          <w:color w:val="231F20"/>
          <w:spacing w:val="-7"/>
          <w:sz w:val="20"/>
        </w:rPr>
        <w:t> </w:t>
      </w:r>
      <w:r>
        <w:rPr>
          <w:color w:val="231F20"/>
          <w:sz w:val="20"/>
        </w:rPr>
        <w:t>навыков,</w:t>
      </w:r>
      <w:r>
        <w:rPr>
          <w:color w:val="231F20"/>
          <w:spacing w:val="-7"/>
          <w:sz w:val="20"/>
        </w:rPr>
        <w:t> </w:t>
      </w:r>
      <w:r>
        <w:rPr>
          <w:color w:val="231F20"/>
          <w:sz w:val="20"/>
        </w:rPr>
        <w:t>укрепляющих</w:t>
      </w:r>
      <w:r>
        <w:rPr>
          <w:color w:val="231F20"/>
          <w:spacing w:val="-7"/>
          <w:sz w:val="20"/>
        </w:rPr>
        <w:t> </w:t>
      </w:r>
      <w:r>
        <w:rPr>
          <w:color w:val="231F20"/>
          <w:sz w:val="20"/>
        </w:rPr>
        <w:t>социальные</w:t>
      </w:r>
      <w:r>
        <w:rPr>
          <w:color w:val="231F20"/>
          <w:spacing w:val="-6"/>
          <w:sz w:val="20"/>
        </w:rPr>
        <w:t> </w:t>
      </w:r>
      <w:r>
        <w:rPr>
          <w:color w:val="231F20"/>
          <w:spacing w:val="-2"/>
          <w:sz w:val="20"/>
        </w:rPr>
        <w:t>связи;</w:t>
      </w:r>
    </w:p>
    <w:p>
      <w:pPr>
        <w:pStyle w:val="ListParagraph"/>
        <w:numPr>
          <w:ilvl w:val="0"/>
          <w:numId w:val="104"/>
        </w:numPr>
        <w:tabs>
          <w:tab w:pos="708" w:val="left" w:leader="none"/>
        </w:tabs>
        <w:spacing w:line="242" w:lineRule="auto" w:before="0" w:after="0"/>
        <w:ind w:left="708" w:right="139" w:hanging="284"/>
        <w:jc w:val="both"/>
        <w:rPr>
          <w:sz w:val="20"/>
        </w:rPr>
      </w:pPr>
      <w:r>
        <w:rPr>
          <w:color w:val="231F20"/>
          <w:sz w:val="20"/>
        </w:rPr>
        <w:t>обучение</w:t>
      </w:r>
      <w:r>
        <w:rPr>
          <w:color w:val="231F20"/>
          <w:spacing w:val="-13"/>
          <w:sz w:val="20"/>
        </w:rPr>
        <w:t> </w:t>
      </w:r>
      <w:r>
        <w:rPr>
          <w:color w:val="231F20"/>
          <w:sz w:val="20"/>
        </w:rPr>
        <w:t>межкультурному</w:t>
      </w:r>
      <w:r>
        <w:rPr>
          <w:color w:val="231F20"/>
          <w:spacing w:val="-12"/>
          <w:sz w:val="20"/>
        </w:rPr>
        <w:t> </w:t>
      </w:r>
      <w:r>
        <w:rPr>
          <w:color w:val="231F20"/>
          <w:sz w:val="20"/>
        </w:rPr>
        <w:t>пониманию</w:t>
      </w:r>
      <w:r>
        <w:rPr>
          <w:color w:val="231F20"/>
          <w:spacing w:val="-13"/>
          <w:sz w:val="20"/>
        </w:rPr>
        <w:t> </w:t>
      </w:r>
      <w:r>
        <w:rPr>
          <w:color w:val="231F20"/>
          <w:sz w:val="20"/>
        </w:rPr>
        <w:t>и</w:t>
      </w:r>
      <w:r>
        <w:rPr>
          <w:color w:val="231F20"/>
          <w:spacing w:val="-12"/>
          <w:sz w:val="20"/>
        </w:rPr>
        <w:t> </w:t>
      </w:r>
      <w:r>
        <w:rPr>
          <w:color w:val="231F20"/>
          <w:sz w:val="20"/>
        </w:rPr>
        <w:t>толерантному</w:t>
      </w:r>
      <w:r>
        <w:rPr>
          <w:color w:val="231F20"/>
          <w:spacing w:val="-13"/>
          <w:sz w:val="20"/>
        </w:rPr>
        <w:t> </w:t>
      </w:r>
      <w:r>
        <w:rPr>
          <w:color w:val="231F20"/>
          <w:sz w:val="20"/>
        </w:rPr>
        <w:t>поведению</w:t>
      </w:r>
      <w:r>
        <w:rPr>
          <w:color w:val="231F20"/>
          <w:spacing w:val="-12"/>
          <w:sz w:val="20"/>
        </w:rPr>
        <w:t> </w:t>
      </w:r>
      <w:r>
        <w:rPr>
          <w:color w:val="231F20"/>
          <w:sz w:val="20"/>
        </w:rPr>
        <w:t>в</w:t>
      </w:r>
      <w:r>
        <w:rPr>
          <w:color w:val="231F20"/>
          <w:spacing w:val="-13"/>
          <w:sz w:val="20"/>
        </w:rPr>
        <w:t> </w:t>
      </w:r>
      <w:r>
        <w:rPr>
          <w:color w:val="231F20"/>
          <w:sz w:val="20"/>
        </w:rPr>
        <w:t>межэтни- ческих отношениях.</w:t>
      </w:r>
    </w:p>
    <w:p>
      <w:pPr>
        <w:pStyle w:val="BodyText"/>
        <w:spacing w:line="242" w:lineRule="auto" w:before="110"/>
      </w:pPr>
      <w:r>
        <w:rPr>
          <w:i/>
          <w:color w:val="231F20"/>
        </w:rPr>
        <w:t>Вторая программа </w:t>
      </w:r>
      <w:r>
        <w:rPr>
          <w:color w:val="231F20"/>
        </w:rPr>
        <w:t>– тренинг по профилактике ксенофобии «Может ли “другой” стать</w:t>
      </w:r>
      <w:r>
        <w:rPr>
          <w:color w:val="231F20"/>
          <w:spacing w:val="-9"/>
        </w:rPr>
        <w:t> </w:t>
      </w:r>
      <w:r>
        <w:rPr>
          <w:color w:val="231F20"/>
        </w:rPr>
        <w:t>другом?»</w:t>
      </w:r>
      <w:r>
        <w:rPr>
          <w:color w:val="231F20"/>
          <w:spacing w:val="-9"/>
        </w:rPr>
        <w:t> </w:t>
      </w:r>
      <w:r>
        <w:rPr>
          <w:color w:val="231F20"/>
        </w:rPr>
        <w:t>(Солдатова,</w:t>
      </w:r>
      <w:r>
        <w:rPr>
          <w:color w:val="231F20"/>
          <w:spacing w:val="-9"/>
        </w:rPr>
        <w:t> </w:t>
      </w:r>
      <w:r>
        <w:rPr>
          <w:color w:val="231F20"/>
        </w:rPr>
        <w:t>Макарчук,</w:t>
      </w:r>
      <w:r>
        <w:rPr>
          <w:color w:val="231F20"/>
          <w:spacing w:val="-9"/>
        </w:rPr>
        <w:t> </w:t>
      </w:r>
      <w:r>
        <w:rPr>
          <w:color w:val="231F20"/>
        </w:rPr>
        <w:t>2006).</w:t>
      </w:r>
      <w:r>
        <w:rPr>
          <w:color w:val="231F20"/>
          <w:spacing w:val="-9"/>
        </w:rPr>
        <w:t> </w:t>
      </w:r>
      <w:r>
        <w:rPr>
          <w:color w:val="231F20"/>
        </w:rPr>
        <w:t>Он</w:t>
      </w:r>
      <w:r>
        <w:rPr>
          <w:color w:val="231F20"/>
          <w:spacing w:val="-9"/>
        </w:rPr>
        <w:t> </w:t>
      </w:r>
      <w:r>
        <w:rPr>
          <w:color w:val="231F20"/>
        </w:rPr>
        <w:t>работает</w:t>
      </w:r>
      <w:r>
        <w:rPr>
          <w:color w:val="231F20"/>
          <w:spacing w:val="-9"/>
        </w:rPr>
        <w:t> </w:t>
      </w:r>
      <w:r>
        <w:rPr>
          <w:color w:val="231F20"/>
        </w:rPr>
        <w:t>на</w:t>
      </w:r>
      <w:r>
        <w:rPr>
          <w:color w:val="231F20"/>
          <w:spacing w:val="-9"/>
        </w:rPr>
        <w:t> </w:t>
      </w:r>
      <w:r>
        <w:rPr>
          <w:color w:val="231F20"/>
        </w:rPr>
        <w:t>формирование</w:t>
      </w:r>
      <w:r>
        <w:rPr>
          <w:color w:val="231F20"/>
          <w:spacing w:val="-9"/>
        </w:rPr>
        <w:t> </w:t>
      </w:r>
      <w:r>
        <w:rPr>
          <w:color w:val="231F20"/>
        </w:rPr>
        <w:t>позитив- ного отношения к различиям, раскрытие базовых механизмов формирования и дей- </w:t>
      </w:r>
      <w:r>
        <w:rPr>
          <w:color w:val="231F20"/>
          <w:spacing w:val="-2"/>
        </w:rPr>
        <w:t>ствия</w:t>
      </w:r>
      <w:r>
        <w:rPr>
          <w:color w:val="231F20"/>
          <w:spacing w:val="-4"/>
        </w:rPr>
        <w:t> </w:t>
      </w:r>
      <w:r>
        <w:rPr>
          <w:color w:val="231F20"/>
          <w:spacing w:val="-2"/>
        </w:rPr>
        <w:t>негативных</w:t>
      </w:r>
      <w:r>
        <w:rPr>
          <w:color w:val="231F20"/>
          <w:spacing w:val="-1"/>
        </w:rPr>
        <w:t> </w:t>
      </w:r>
      <w:r>
        <w:rPr>
          <w:color w:val="231F20"/>
          <w:spacing w:val="-2"/>
        </w:rPr>
        <w:t>стереотипов</w:t>
      </w:r>
      <w:r>
        <w:rPr>
          <w:color w:val="231F20"/>
          <w:spacing w:val="-1"/>
        </w:rPr>
        <w:t> </w:t>
      </w:r>
      <w:r>
        <w:rPr>
          <w:color w:val="231F20"/>
          <w:spacing w:val="-2"/>
        </w:rPr>
        <w:t>и предрассудков,</w:t>
      </w:r>
      <w:r>
        <w:rPr>
          <w:color w:val="231F20"/>
          <w:spacing w:val="-1"/>
        </w:rPr>
        <w:t> </w:t>
      </w:r>
      <w:r>
        <w:rPr>
          <w:color w:val="231F20"/>
          <w:spacing w:val="-2"/>
        </w:rPr>
        <w:t>формирование</w:t>
      </w:r>
      <w:r>
        <w:rPr>
          <w:color w:val="231F20"/>
          <w:spacing w:val="-1"/>
        </w:rPr>
        <w:t> </w:t>
      </w:r>
      <w:r>
        <w:rPr>
          <w:color w:val="231F20"/>
          <w:spacing w:val="-2"/>
        </w:rPr>
        <w:t>навыков</w:t>
      </w:r>
      <w:r>
        <w:rPr>
          <w:color w:val="231F20"/>
          <w:spacing w:val="-1"/>
        </w:rPr>
        <w:t> </w:t>
      </w:r>
      <w:r>
        <w:rPr>
          <w:color w:val="231F20"/>
          <w:spacing w:val="-2"/>
        </w:rPr>
        <w:t>конструктив-</w:t>
      </w:r>
    </w:p>
    <w:p>
      <w:pPr>
        <w:pStyle w:val="BodyText"/>
        <w:spacing w:before="2"/>
        <w:ind w:left="0" w:right="0" w:firstLine="0"/>
        <w:jc w:val="left"/>
        <w:rPr>
          <w:sz w:val="9"/>
        </w:rPr>
      </w:pPr>
      <w:r>
        <w:rPr>
          <w:sz w:val="9"/>
        </w:rPr>
        <mc:AlternateContent>
          <mc:Choice Requires="wps">
            <w:drawing>
              <wp:anchor distT="0" distB="0" distL="0" distR="0" allowOverlap="1" layoutInCell="1" locked="0" behindDoc="1" simplePos="0" relativeHeight="487621632">
                <wp:simplePos x="0" y="0"/>
                <wp:positionH relativeFrom="page">
                  <wp:posOffset>359999</wp:posOffset>
                </wp:positionH>
                <wp:positionV relativeFrom="paragraph">
                  <wp:posOffset>82244</wp:posOffset>
                </wp:positionV>
                <wp:extent cx="1440180" cy="1270"/>
                <wp:effectExtent l="0" t="0" r="0" b="0"/>
                <wp:wrapTopAndBottom/>
                <wp:docPr id="111" name="Graphic 111"/>
                <wp:cNvGraphicFramePr>
                  <a:graphicFrameLocks/>
                </wp:cNvGraphicFramePr>
                <a:graphic>
                  <a:graphicData uri="http://schemas.microsoft.com/office/word/2010/wordprocessingShape">
                    <wps:wsp>
                      <wps:cNvPr id="111" name="Graphic 111"/>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399pt;margin-top:6.475955pt;width:113.4pt;height:.1pt;mso-position-horizontal-relative:page;mso-position-vertical-relative:paragraph;z-index:-15694848;mso-wrap-distance-left:0;mso-wrap-distance-right:0" id="docshape68" coordorigin="567,130" coordsize="2268,0" path="m567,130l2835,130e" filled="false" stroked="true" strokeweight=".5pt" strokecolor="#231f20">
                <v:path arrowok="t"/>
                <v:stroke dashstyle="solid"/>
                <w10:wrap type="topAndBottom"/>
              </v:shape>
            </w:pict>
          </mc:Fallback>
        </mc:AlternateContent>
      </w:r>
    </w:p>
    <w:p>
      <w:pPr>
        <w:tabs>
          <w:tab w:pos="425" w:val="left" w:leader="none"/>
        </w:tabs>
        <w:spacing w:before="27"/>
        <w:ind w:left="141" w:right="0" w:firstLine="0"/>
        <w:jc w:val="left"/>
        <w:rPr>
          <w:sz w:val="18"/>
        </w:rPr>
      </w:pPr>
      <w:r>
        <w:rPr>
          <w:color w:val="231F20"/>
          <w:spacing w:val="-10"/>
          <w:sz w:val="18"/>
          <w:vertAlign w:val="superscript"/>
        </w:rPr>
        <w:t>1</w:t>
      </w:r>
      <w:r>
        <w:rPr>
          <w:color w:val="231F20"/>
          <w:sz w:val="18"/>
          <w:vertAlign w:val="baseline"/>
        </w:rPr>
        <w:tab/>
        <w:t>Представлены</w:t>
      </w:r>
      <w:r>
        <w:rPr>
          <w:color w:val="231F20"/>
          <w:spacing w:val="-6"/>
          <w:sz w:val="18"/>
          <w:vertAlign w:val="baseline"/>
        </w:rPr>
        <w:t> </w:t>
      </w:r>
      <w:r>
        <w:rPr>
          <w:color w:val="231F20"/>
          <w:sz w:val="18"/>
          <w:vertAlign w:val="baseline"/>
        </w:rPr>
        <w:t>в</w:t>
      </w:r>
      <w:r>
        <w:rPr>
          <w:color w:val="231F20"/>
          <w:spacing w:val="-4"/>
          <w:sz w:val="18"/>
          <w:vertAlign w:val="baseline"/>
        </w:rPr>
        <w:t> </w:t>
      </w:r>
      <w:r>
        <w:rPr>
          <w:color w:val="231F20"/>
          <w:sz w:val="18"/>
          <w:vertAlign w:val="baseline"/>
        </w:rPr>
        <w:t>открытом</w:t>
      </w:r>
      <w:r>
        <w:rPr>
          <w:color w:val="231F20"/>
          <w:spacing w:val="-4"/>
          <w:sz w:val="18"/>
          <w:vertAlign w:val="baseline"/>
        </w:rPr>
        <w:t> </w:t>
      </w:r>
      <w:r>
        <w:rPr>
          <w:color w:val="231F20"/>
          <w:sz w:val="18"/>
          <w:vertAlign w:val="baseline"/>
        </w:rPr>
        <w:t>доступе</w:t>
      </w:r>
      <w:r>
        <w:rPr>
          <w:color w:val="231F20"/>
          <w:spacing w:val="-3"/>
          <w:sz w:val="18"/>
          <w:vertAlign w:val="baseline"/>
        </w:rPr>
        <w:t> </w:t>
      </w:r>
      <w:hyperlink r:id="rId99">
        <w:r>
          <w:rPr>
            <w:color w:val="2255A6"/>
            <w:spacing w:val="-2"/>
            <w:sz w:val="18"/>
            <w:u w:val="single" w:color="2255A6"/>
            <w:vertAlign w:val="baseline"/>
          </w:rPr>
          <w:t>https://psyjournals.ru/toler_psychotech_2009/</w:t>
        </w:r>
      </w:hyperlink>
      <w:r>
        <w:rPr>
          <w:color w:val="231F20"/>
          <w:spacing w:val="-2"/>
          <w:sz w:val="18"/>
          <w:vertAlign w:val="baseline"/>
        </w:rPr>
        <w:t>.</w:t>
      </w:r>
    </w:p>
    <w:p>
      <w:pPr>
        <w:spacing w:after="0"/>
        <w:jc w:val="left"/>
        <w:rPr>
          <w:sz w:val="18"/>
        </w:rPr>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before="112"/>
        <w:ind w:right="0" w:firstLine="0"/>
        <w:jc w:val="left"/>
      </w:pPr>
      <w:r>
        <w:rPr>
          <w:color w:val="231F20"/>
          <w:spacing w:val="-2"/>
        </w:rPr>
        <w:t>ного межкультурного взаимодействия.</w:t>
      </w:r>
    </w:p>
    <w:p>
      <w:pPr>
        <w:pStyle w:val="BodyText"/>
        <w:spacing w:before="2"/>
        <w:ind w:left="425" w:right="0" w:firstLine="0"/>
        <w:jc w:val="left"/>
      </w:pPr>
      <w:r>
        <w:rPr>
          <w:color w:val="231F20"/>
        </w:rPr>
        <w:t>Главная</w:t>
      </w:r>
      <w:r>
        <w:rPr>
          <w:color w:val="231F20"/>
          <w:spacing w:val="-10"/>
        </w:rPr>
        <w:t> </w:t>
      </w:r>
      <w:r>
        <w:rPr>
          <w:color w:val="231F20"/>
        </w:rPr>
        <w:t>цель</w:t>
      </w:r>
      <w:r>
        <w:rPr>
          <w:color w:val="231F20"/>
          <w:spacing w:val="-10"/>
        </w:rPr>
        <w:t> </w:t>
      </w:r>
      <w:r>
        <w:rPr>
          <w:color w:val="231F20"/>
          <w:spacing w:val="-2"/>
        </w:rPr>
        <w:t>тренинга:</w:t>
      </w:r>
    </w:p>
    <w:p>
      <w:pPr>
        <w:pStyle w:val="ListParagraph"/>
        <w:numPr>
          <w:ilvl w:val="0"/>
          <w:numId w:val="105"/>
        </w:numPr>
        <w:tabs>
          <w:tab w:pos="425" w:val="left" w:leader="none"/>
        </w:tabs>
        <w:spacing w:line="242" w:lineRule="auto" w:before="0" w:after="0"/>
        <w:ind w:left="425" w:right="139" w:hanging="284"/>
        <w:jc w:val="left"/>
        <w:rPr>
          <w:sz w:val="20"/>
        </w:rPr>
      </w:pPr>
      <w:r>
        <w:rPr>
          <w:color w:val="231F20"/>
          <w:sz w:val="20"/>
        </w:rPr>
        <w:t>повышение</w:t>
      </w:r>
      <w:r>
        <w:rPr>
          <w:color w:val="231F20"/>
          <w:spacing w:val="23"/>
          <w:sz w:val="20"/>
        </w:rPr>
        <w:t> </w:t>
      </w:r>
      <w:r>
        <w:rPr>
          <w:color w:val="231F20"/>
          <w:sz w:val="20"/>
        </w:rPr>
        <w:t>социокультурной</w:t>
      </w:r>
      <w:r>
        <w:rPr>
          <w:color w:val="231F20"/>
          <w:spacing w:val="23"/>
          <w:sz w:val="20"/>
        </w:rPr>
        <w:t> </w:t>
      </w:r>
      <w:r>
        <w:rPr>
          <w:color w:val="231F20"/>
          <w:sz w:val="20"/>
        </w:rPr>
        <w:t>компетентности</w:t>
      </w:r>
      <w:r>
        <w:rPr>
          <w:color w:val="231F20"/>
          <w:spacing w:val="23"/>
          <w:sz w:val="20"/>
        </w:rPr>
        <w:t> </w:t>
      </w:r>
      <w:r>
        <w:rPr>
          <w:color w:val="231F20"/>
          <w:sz w:val="20"/>
        </w:rPr>
        <w:t>личности</w:t>
      </w:r>
      <w:r>
        <w:rPr>
          <w:color w:val="231F20"/>
          <w:spacing w:val="23"/>
          <w:sz w:val="20"/>
        </w:rPr>
        <w:t> </w:t>
      </w:r>
      <w:r>
        <w:rPr>
          <w:color w:val="231F20"/>
          <w:sz w:val="20"/>
        </w:rPr>
        <w:t>с</w:t>
      </w:r>
      <w:r>
        <w:rPr>
          <w:color w:val="231F20"/>
          <w:spacing w:val="23"/>
          <w:sz w:val="20"/>
        </w:rPr>
        <w:t> </w:t>
      </w:r>
      <w:r>
        <w:rPr>
          <w:color w:val="231F20"/>
          <w:sz w:val="20"/>
        </w:rPr>
        <w:t>целью</w:t>
      </w:r>
      <w:r>
        <w:rPr>
          <w:color w:val="231F20"/>
          <w:spacing w:val="23"/>
          <w:sz w:val="20"/>
        </w:rPr>
        <w:t> </w:t>
      </w:r>
      <w:r>
        <w:rPr>
          <w:color w:val="231F20"/>
          <w:sz w:val="20"/>
        </w:rPr>
        <w:t>профилактики ксенофобии в среднем и старшем школьном возрасте.</w:t>
      </w:r>
    </w:p>
    <w:p>
      <w:pPr>
        <w:pStyle w:val="BodyText"/>
        <w:spacing w:line="221" w:lineRule="exact"/>
        <w:ind w:left="425" w:right="0" w:firstLine="0"/>
        <w:jc w:val="left"/>
      </w:pPr>
      <w:r>
        <w:rPr>
          <w:color w:val="231F20"/>
        </w:rPr>
        <w:t>Основные</w:t>
      </w:r>
      <w:r>
        <w:rPr>
          <w:color w:val="231F20"/>
          <w:spacing w:val="-6"/>
        </w:rPr>
        <w:t> </w:t>
      </w:r>
      <w:r>
        <w:rPr>
          <w:color w:val="231F20"/>
        </w:rPr>
        <w:t>задачи</w:t>
      </w:r>
      <w:r>
        <w:rPr>
          <w:color w:val="231F20"/>
          <w:spacing w:val="-5"/>
        </w:rPr>
        <w:t> </w:t>
      </w:r>
      <w:r>
        <w:rPr>
          <w:color w:val="231F20"/>
          <w:spacing w:val="-2"/>
        </w:rPr>
        <w:t>тренинга:</w:t>
      </w:r>
    </w:p>
    <w:p>
      <w:pPr>
        <w:pStyle w:val="ListParagraph"/>
        <w:numPr>
          <w:ilvl w:val="0"/>
          <w:numId w:val="105"/>
        </w:numPr>
        <w:tabs>
          <w:tab w:pos="425" w:val="left" w:leader="none"/>
        </w:tabs>
        <w:spacing w:line="235" w:lineRule="auto" w:before="0" w:after="0"/>
        <w:ind w:left="425" w:right="140" w:hanging="284"/>
        <w:jc w:val="left"/>
        <w:rPr>
          <w:sz w:val="20"/>
        </w:rPr>
      </w:pPr>
      <w:r>
        <w:rPr>
          <w:color w:val="231F20"/>
          <w:sz w:val="20"/>
        </w:rPr>
        <w:t>формирование гуманистического мировоззрения, «идеологии культуры мира» и </w:t>
      </w:r>
      <w:r>
        <w:rPr>
          <w:color w:val="231F20"/>
          <w:spacing w:val="-2"/>
          <w:sz w:val="20"/>
        </w:rPr>
        <w:t>толерантности;</w:t>
      </w:r>
    </w:p>
    <w:p>
      <w:pPr>
        <w:pStyle w:val="ListParagraph"/>
        <w:numPr>
          <w:ilvl w:val="0"/>
          <w:numId w:val="105"/>
        </w:numPr>
        <w:tabs>
          <w:tab w:pos="424" w:val="left" w:leader="none"/>
        </w:tabs>
        <w:spacing w:line="225" w:lineRule="exact" w:before="0" w:after="0"/>
        <w:ind w:left="424" w:right="0" w:hanging="283"/>
        <w:jc w:val="left"/>
        <w:rPr>
          <w:sz w:val="20"/>
        </w:rPr>
      </w:pPr>
      <w:r>
        <w:rPr>
          <w:color w:val="231F20"/>
          <w:spacing w:val="-2"/>
          <w:sz w:val="20"/>
        </w:rPr>
        <w:t>формирование</w:t>
      </w:r>
      <w:r>
        <w:rPr>
          <w:color w:val="231F20"/>
          <w:spacing w:val="-3"/>
          <w:sz w:val="20"/>
        </w:rPr>
        <w:t> </w:t>
      </w:r>
      <w:r>
        <w:rPr>
          <w:color w:val="231F20"/>
          <w:spacing w:val="-2"/>
          <w:sz w:val="20"/>
        </w:rPr>
        <w:t>мультикультурной</w:t>
      </w:r>
      <w:r>
        <w:rPr>
          <w:color w:val="231F20"/>
          <w:spacing w:val="-1"/>
          <w:sz w:val="20"/>
        </w:rPr>
        <w:t> </w:t>
      </w:r>
      <w:r>
        <w:rPr>
          <w:color w:val="231F20"/>
          <w:spacing w:val="-2"/>
          <w:sz w:val="20"/>
        </w:rPr>
        <w:t>личности;</w:t>
      </w:r>
    </w:p>
    <w:p>
      <w:pPr>
        <w:pStyle w:val="ListParagraph"/>
        <w:numPr>
          <w:ilvl w:val="0"/>
          <w:numId w:val="105"/>
        </w:numPr>
        <w:tabs>
          <w:tab w:pos="425" w:val="left" w:leader="none"/>
        </w:tabs>
        <w:spacing w:line="235" w:lineRule="auto" w:before="0" w:after="0"/>
        <w:ind w:left="425" w:right="140" w:hanging="284"/>
        <w:jc w:val="left"/>
        <w:rPr>
          <w:sz w:val="20"/>
        </w:rPr>
      </w:pPr>
      <w:r>
        <w:rPr>
          <w:color w:val="231F20"/>
          <w:sz w:val="20"/>
        </w:rPr>
        <w:t>осознание</w:t>
      </w:r>
      <w:r>
        <w:rPr>
          <w:color w:val="231F20"/>
          <w:spacing w:val="40"/>
          <w:sz w:val="20"/>
        </w:rPr>
        <w:t> </w:t>
      </w:r>
      <w:r>
        <w:rPr>
          <w:color w:val="231F20"/>
          <w:sz w:val="20"/>
        </w:rPr>
        <w:t>собственной</w:t>
      </w:r>
      <w:r>
        <w:rPr>
          <w:color w:val="231F20"/>
          <w:spacing w:val="40"/>
          <w:sz w:val="20"/>
        </w:rPr>
        <w:t> </w:t>
      </w:r>
      <w:r>
        <w:rPr>
          <w:color w:val="231F20"/>
          <w:sz w:val="20"/>
        </w:rPr>
        <w:t>уникальности,</w:t>
      </w:r>
      <w:r>
        <w:rPr>
          <w:color w:val="231F20"/>
          <w:spacing w:val="40"/>
          <w:sz w:val="20"/>
        </w:rPr>
        <w:t> </w:t>
      </w:r>
      <w:r>
        <w:rPr>
          <w:color w:val="231F20"/>
          <w:sz w:val="20"/>
        </w:rPr>
        <w:t>формирование</w:t>
      </w:r>
      <w:r>
        <w:rPr>
          <w:color w:val="231F20"/>
          <w:spacing w:val="40"/>
          <w:sz w:val="20"/>
        </w:rPr>
        <w:t> </w:t>
      </w:r>
      <w:r>
        <w:rPr>
          <w:color w:val="231F20"/>
          <w:sz w:val="20"/>
        </w:rPr>
        <w:t>самоуважения</w:t>
      </w:r>
      <w:r>
        <w:rPr>
          <w:color w:val="231F20"/>
          <w:spacing w:val="40"/>
          <w:sz w:val="20"/>
        </w:rPr>
        <w:t> </w:t>
      </w:r>
      <w:r>
        <w:rPr>
          <w:color w:val="231F20"/>
          <w:sz w:val="20"/>
        </w:rPr>
        <w:t>и</w:t>
      </w:r>
      <w:r>
        <w:rPr>
          <w:color w:val="231F20"/>
          <w:spacing w:val="40"/>
          <w:sz w:val="20"/>
        </w:rPr>
        <w:t> </w:t>
      </w:r>
      <w:r>
        <w:rPr>
          <w:color w:val="231F20"/>
          <w:sz w:val="20"/>
        </w:rPr>
        <w:t>чувства собственного достоинства;</w:t>
      </w:r>
    </w:p>
    <w:p>
      <w:pPr>
        <w:pStyle w:val="ListParagraph"/>
        <w:numPr>
          <w:ilvl w:val="0"/>
          <w:numId w:val="105"/>
        </w:numPr>
        <w:tabs>
          <w:tab w:pos="424" w:val="left" w:leader="none"/>
        </w:tabs>
        <w:spacing w:line="225" w:lineRule="exact" w:before="0" w:after="0"/>
        <w:ind w:left="424" w:right="0" w:hanging="283"/>
        <w:jc w:val="left"/>
        <w:rPr>
          <w:sz w:val="20"/>
        </w:rPr>
      </w:pPr>
      <w:r>
        <w:rPr>
          <w:color w:val="231F20"/>
          <w:sz w:val="20"/>
        </w:rPr>
        <w:t>понимание</w:t>
      </w:r>
      <w:r>
        <w:rPr>
          <w:color w:val="231F20"/>
          <w:spacing w:val="-2"/>
          <w:sz w:val="20"/>
        </w:rPr>
        <w:t> </w:t>
      </w:r>
      <w:r>
        <w:rPr>
          <w:color w:val="231F20"/>
          <w:sz w:val="20"/>
        </w:rPr>
        <w:t>уникальности</w:t>
      </w:r>
      <w:r>
        <w:rPr>
          <w:color w:val="231F20"/>
          <w:spacing w:val="-2"/>
          <w:sz w:val="20"/>
        </w:rPr>
        <w:t> </w:t>
      </w:r>
      <w:r>
        <w:rPr>
          <w:color w:val="231F20"/>
          <w:sz w:val="20"/>
        </w:rPr>
        <w:t>других</w:t>
      </w:r>
      <w:r>
        <w:rPr>
          <w:color w:val="231F20"/>
          <w:spacing w:val="-2"/>
          <w:sz w:val="20"/>
        </w:rPr>
        <w:t> </w:t>
      </w:r>
      <w:r>
        <w:rPr>
          <w:color w:val="231F20"/>
          <w:sz w:val="20"/>
        </w:rPr>
        <w:t>и</w:t>
      </w:r>
      <w:r>
        <w:rPr>
          <w:color w:val="231F20"/>
          <w:spacing w:val="-2"/>
          <w:sz w:val="20"/>
        </w:rPr>
        <w:t> </w:t>
      </w:r>
      <w:r>
        <w:rPr>
          <w:color w:val="231F20"/>
          <w:sz w:val="20"/>
        </w:rPr>
        <w:t>ценности</w:t>
      </w:r>
      <w:r>
        <w:rPr>
          <w:color w:val="231F20"/>
          <w:spacing w:val="-3"/>
          <w:sz w:val="20"/>
        </w:rPr>
        <w:t> </w:t>
      </w:r>
      <w:r>
        <w:rPr>
          <w:color w:val="231F20"/>
          <w:sz w:val="20"/>
        </w:rPr>
        <w:t>многообразия</w:t>
      </w:r>
      <w:r>
        <w:rPr>
          <w:color w:val="231F20"/>
          <w:spacing w:val="-1"/>
          <w:sz w:val="20"/>
        </w:rPr>
        <w:t> </w:t>
      </w:r>
      <w:r>
        <w:rPr>
          <w:color w:val="231F20"/>
          <w:spacing w:val="-2"/>
          <w:sz w:val="20"/>
        </w:rPr>
        <w:t>мира;</w:t>
      </w:r>
    </w:p>
    <w:p>
      <w:pPr>
        <w:pStyle w:val="ListParagraph"/>
        <w:numPr>
          <w:ilvl w:val="0"/>
          <w:numId w:val="105"/>
        </w:numPr>
        <w:tabs>
          <w:tab w:pos="424" w:val="left" w:leader="none"/>
        </w:tabs>
        <w:spacing w:line="226" w:lineRule="exact" w:before="0" w:after="0"/>
        <w:ind w:left="424" w:right="0" w:hanging="283"/>
        <w:jc w:val="left"/>
        <w:rPr>
          <w:sz w:val="20"/>
        </w:rPr>
      </w:pPr>
      <w:r>
        <w:rPr>
          <w:color w:val="231F20"/>
          <w:sz w:val="20"/>
        </w:rPr>
        <w:t>осознание</w:t>
      </w:r>
      <w:r>
        <w:rPr>
          <w:color w:val="231F20"/>
          <w:spacing w:val="-4"/>
          <w:sz w:val="20"/>
        </w:rPr>
        <w:t> </w:t>
      </w:r>
      <w:r>
        <w:rPr>
          <w:color w:val="231F20"/>
          <w:sz w:val="20"/>
        </w:rPr>
        <w:t>многообразия</w:t>
      </w:r>
      <w:r>
        <w:rPr>
          <w:color w:val="231F20"/>
          <w:spacing w:val="-2"/>
          <w:sz w:val="20"/>
        </w:rPr>
        <w:t> </w:t>
      </w:r>
      <w:r>
        <w:rPr>
          <w:color w:val="231F20"/>
          <w:sz w:val="20"/>
        </w:rPr>
        <w:t>групп</w:t>
      </w:r>
      <w:r>
        <w:rPr>
          <w:color w:val="231F20"/>
          <w:spacing w:val="-3"/>
          <w:sz w:val="20"/>
        </w:rPr>
        <w:t> </w:t>
      </w:r>
      <w:r>
        <w:rPr>
          <w:color w:val="231F20"/>
          <w:sz w:val="20"/>
        </w:rPr>
        <w:t>в</w:t>
      </w:r>
      <w:r>
        <w:rPr>
          <w:color w:val="231F20"/>
          <w:spacing w:val="-3"/>
          <w:sz w:val="20"/>
        </w:rPr>
        <w:t> </w:t>
      </w:r>
      <w:r>
        <w:rPr>
          <w:color w:val="231F20"/>
          <w:sz w:val="20"/>
        </w:rPr>
        <w:t>обществе</w:t>
      </w:r>
      <w:r>
        <w:rPr>
          <w:color w:val="231F20"/>
          <w:spacing w:val="-2"/>
          <w:sz w:val="20"/>
        </w:rPr>
        <w:t> </w:t>
      </w:r>
      <w:r>
        <w:rPr>
          <w:color w:val="231F20"/>
          <w:sz w:val="20"/>
        </w:rPr>
        <w:t>и</w:t>
      </w:r>
      <w:r>
        <w:rPr>
          <w:color w:val="231F20"/>
          <w:spacing w:val="-3"/>
          <w:sz w:val="20"/>
        </w:rPr>
        <w:t> </w:t>
      </w:r>
      <w:r>
        <w:rPr>
          <w:color w:val="231F20"/>
          <w:sz w:val="20"/>
        </w:rPr>
        <w:t>различий</w:t>
      </w:r>
      <w:r>
        <w:rPr>
          <w:color w:val="231F20"/>
          <w:spacing w:val="-3"/>
          <w:sz w:val="20"/>
        </w:rPr>
        <w:t> </w:t>
      </w:r>
      <w:r>
        <w:rPr>
          <w:color w:val="231F20"/>
          <w:sz w:val="20"/>
        </w:rPr>
        <w:t>между</w:t>
      </w:r>
      <w:r>
        <w:rPr>
          <w:color w:val="231F20"/>
          <w:spacing w:val="-1"/>
          <w:sz w:val="20"/>
        </w:rPr>
        <w:t> </w:t>
      </w:r>
      <w:r>
        <w:rPr>
          <w:color w:val="231F20"/>
          <w:spacing w:val="-2"/>
          <w:sz w:val="20"/>
        </w:rPr>
        <w:t>ними;</w:t>
      </w:r>
    </w:p>
    <w:p>
      <w:pPr>
        <w:pStyle w:val="ListParagraph"/>
        <w:numPr>
          <w:ilvl w:val="0"/>
          <w:numId w:val="105"/>
        </w:numPr>
        <w:tabs>
          <w:tab w:pos="425" w:val="left" w:leader="none"/>
        </w:tabs>
        <w:spacing w:line="235" w:lineRule="auto" w:before="1" w:after="0"/>
        <w:ind w:left="425" w:right="139" w:hanging="284"/>
        <w:jc w:val="left"/>
        <w:rPr>
          <w:sz w:val="20"/>
        </w:rPr>
      </w:pPr>
      <w:r>
        <w:rPr>
          <w:color w:val="231F20"/>
          <w:sz w:val="20"/>
        </w:rPr>
        <w:t>понимание</w:t>
      </w:r>
      <w:r>
        <w:rPr>
          <w:color w:val="231F20"/>
          <w:spacing w:val="32"/>
          <w:sz w:val="20"/>
        </w:rPr>
        <w:t> </w:t>
      </w:r>
      <w:r>
        <w:rPr>
          <w:color w:val="231F20"/>
          <w:sz w:val="20"/>
        </w:rPr>
        <w:t>социально-психологических</w:t>
      </w:r>
      <w:r>
        <w:rPr>
          <w:color w:val="231F20"/>
          <w:spacing w:val="32"/>
          <w:sz w:val="20"/>
        </w:rPr>
        <w:t> </w:t>
      </w:r>
      <w:r>
        <w:rPr>
          <w:color w:val="231F20"/>
          <w:sz w:val="20"/>
        </w:rPr>
        <w:t>законов</w:t>
      </w:r>
      <w:r>
        <w:rPr>
          <w:color w:val="231F20"/>
          <w:spacing w:val="32"/>
          <w:sz w:val="20"/>
        </w:rPr>
        <w:t> </w:t>
      </w:r>
      <w:r>
        <w:rPr>
          <w:color w:val="231F20"/>
          <w:sz w:val="20"/>
        </w:rPr>
        <w:t>поведения</w:t>
      </w:r>
      <w:r>
        <w:rPr>
          <w:color w:val="231F20"/>
          <w:spacing w:val="32"/>
          <w:sz w:val="20"/>
        </w:rPr>
        <w:t> </w:t>
      </w:r>
      <w:r>
        <w:rPr>
          <w:color w:val="231F20"/>
          <w:sz w:val="20"/>
        </w:rPr>
        <w:t>человека</w:t>
      </w:r>
      <w:r>
        <w:rPr>
          <w:color w:val="231F20"/>
          <w:spacing w:val="32"/>
          <w:sz w:val="20"/>
        </w:rPr>
        <w:t> </w:t>
      </w:r>
      <w:r>
        <w:rPr>
          <w:color w:val="231F20"/>
          <w:sz w:val="20"/>
        </w:rPr>
        <w:t>как</w:t>
      </w:r>
      <w:r>
        <w:rPr>
          <w:color w:val="231F20"/>
          <w:spacing w:val="32"/>
          <w:sz w:val="20"/>
        </w:rPr>
        <w:t> </w:t>
      </w:r>
      <w:r>
        <w:rPr>
          <w:color w:val="231F20"/>
          <w:sz w:val="20"/>
        </w:rPr>
        <w:t>члена определенной группы;</w:t>
      </w:r>
    </w:p>
    <w:p>
      <w:pPr>
        <w:pStyle w:val="ListParagraph"/>
        <w:numPr>
          <w:ilvl w:val="0"/>
          <w:numId w:val="105"/>
        </w:numPr>
        <w:tabs>
          <w:tab w:pos="424" w:val="left" w:leader="none"/>
        </w:tabs>
        <w:spacing w:line="225" w:lineRule="exact" w:before="0" w:after="0"/>
        <w:ind w:left="424" w:right="0" w:hanging="283"/>
        <w:jc w:val="left"/>
        <w:rPr>
          <w:sz w:val="20"/>
        </w:rPr>
      </w:pPr>
      <w:r>
        <w:rPr>
          <w:color w:val="231F20"/>
          <w:sz w:val="20"/>
        </w:rPr>
        <w:t>понимание</w:t>
      </w:r>
      <w:r>
        <w:rPr>
          <w:color w:val="231F20"/>
          <w:spacing w:val="-6"/>
          <w:sz w:val="20"/>
        </w:rPr>
        <w:t> </w:t>
      </w:r>
      <w:r>
        <w:rPr>
          <w:color w:val="231F20"/>
          <w:sz w:val="20"/>
        </w:rPr>
        <w:t>психологических</w:t>
      </w:r>
      <w:r>
        <w:rPr>
          <w:color w:val="231F20"/>
          <w:spacing w:val="-4"/>
          <w:sz w:val="20"/>
        </w:rPr>
        <w:t> </w:t>
      </w:r>
      <w:r>
        <w:rPr>
          <w:color w:val="231F20"/>
          <w:sz w:val="20"/>
        </w:rPr>
        <w:t>и</w:t>
      </w:r>
      <w:r>
        <w:rPr>
          <w:color w:val="231F20"/>
          <w:spacing w:val="-4"/>
          <w:sz w:val="20"/>
        </w:rPr>
        <w:t> </w:t>
      </w:r>
      <w:r>
        <w:rPr>
          <w:color w:val="231F20"/>
          <w:sz w:val="20"/>
        </w:rPr>
        <w:t>социальных</w:t>
      </w:r>
      <w:r>
        <w:rPr>
          <w:color w:val="231F20"/>
          <w:spacing w:val="-4"/>
          <w:sz w:val="20"/>
        </w:rPr>
        <w:t> </w:t>
      </w:r>
      <w:r>
        <w:rPr>
          <w:color w:val="231F20"/>
          <w:sz w:val="20"/>
        </w:rPr>
        <w:t>механизмов</w:t>
      </w:r>
      <w:r>
        <w:rPr>
          <w:color w:val="231F20"/>
          <w:spacing w:val="-4"/>
          <w:sz w:val="20"/>
        </w:rPr>
        <w:t> </w:t>
      </w:r>
      <w:r>
        <w:rPr>
          <w:color w:val="231F20"/>
          <w:spacing w:val="-2"/>
          <w:sz w:val="20"/>
        </w:rPr>
        <w:t>ксенофобии;</w:t>
      </w:r>
    </w:p>
    <w:p>
      <w:pPr>
        <w:pStyle w:val="ListParagraph"/>
        <w:numPr>
          <w:ilvl w:val="0"/>
          <w:numId w:val="105"/>
        </w:numPr>
        <w:tabs>
          <w:tab w:pos="425" w:val="left" w:leader="none"/>
        </w:tabs>
        <w:spacing w:line="235" w:lineRule="auto" w:before="2" w:after="0"/>
        <w:ind w:left="425" w:right="139" w:hanging="284"/>
        <w:jc w:val="left"/>
        <w:rPr>
          <w:sz w:val="20"/>
        </w:rPr>
      </w:pPr>
      <w:r>
        <w:rPr>
          <w:color w:val="231F20"/>
          <w:sz w:val="20"/>
        </w:rPr>
        <w:t>развитие позитивного социального потенциала: социального интереса, социаль- ной чувствительности, социального воображения;</w:t>
      </w:r>
    </w:p>
    <w:p>
      <w:pPr>
        <w:pStyle w:val="ListParagraph"/>
        <w:numPr>
          <w:ilvl w:val="0"/>
          <w:numId w:val="105"/>
        </w:numPr>
        <w:tabs>
          <w:tab w:pos="424" w:val="left" w:leader="none"/>
        </w:tabs>
        <w:spacing w:line="225" w:lineRule="exact" w:before="0" w:after="0"/>
        <w:ind w:left="424" w:right="0" w:hanging="283"/>
        <w:jc w:val="left"/>
        <w:rPr>
          <w:sz w:val="20"/>
        </w:rPr>
      </w:pPr>
      <w:r>
        <w:rPr>
          <w:color w:val="231F20"/>
          <w:sz w:val="20"/>
        </w:rPr>
        <w:t>развитие</w:t>
      </w:r>
      <w:r>
        <w:rPr>
          <w:color w:val="231F20"/>
          <w:spacing w:val="-3"/>
          <w:sz w:val="20"/>
        </w:rPr>
        <w:t> </w:t>
      </w:r>
      <w:r>
        <w:rPr>
          <w:color w:val="231F20"/>
          <w:sz w:val="20"/>
        </w:rPr>
        <w:t>способности</w:t>
      </w:r>
      <w:r>
        <w:rPr>
          <w:color w:val="231F20"/>
          <w:spacing w:val="-3"/>
          <w:sz w:val="20"/>
        </w:rPr>
        <w:t> </w:t>
      </w:r>
      <w:r>
        <w:rPr>
          <w:color w:val="231F20"/>
          <w:sz w:val="20"/>
        </w:rPr>
        <w:t>к</w:t>
      </w:r>
      <w:r>
        <w:rPr>
          <w:color w:val="231F20"/>
          <w:spacing w:val="-3"/>
          <w:sz w:val="20"/>
        </w:rPr>
        <w:t> </w:t>
      </w:r>
      <w:r>
        <w:rPr>
          <w:color w:val="231F20"/>
          <w:sz w:val="20"/>
        </w:rPr>
        <w:t>эмпатии,</w:t>
      </w:r>
      <w:r>
        <w:rPr>
          <w:color w:val="231F20"/>
          <w:spacing w:val="-2"/>
          <w:sz w:val="20"/>
        </w:rPr>
        <w:t> </w:t>
      </w:r>
      <w:r>
        <w:rPr>
          <w:color w:val="231F20"/>
          <w:sz w:val="20"/>
        </w:rPr>
        <w:t>сочувствию,</w:t>
      </w:r>
      <w:r>
        <w:rPr>
          <w:color w:val="231F20"/>
          <w:spacing w:val="-2"/>
          <w:sz w:val="20"/>
        </w:rPr>
        <w:t> сопереживанию;</w:t>
      </w:r>
    </w:p>
    <w:p>
      <w:pPr>
        <w:pStyle w:val="ListParagraph"/>
        <w:numPr>
          <w:ilvl w:val="0"/>
          <w:numId w:val="105"/>
        </w:numPr>
        <w:tabs>
          <w:tab w:pos="424" w:val="left" w:leader="none"/>
        </w:tabs>
        <w:spacing w:line="226" w:lineRule="exact" w:before="0" w:after="0"/>
        <w:ind w:left="424" w:right="0" w:hanging="283"/>
        <w:jc w:val="left"/>
        <w:rPr>
          <w:sz w:val="20"/>
        </w:rPr>
      </w:pPr>
      <w:r>
        <w:rPr>
          <w:color w:val="231F20"/>
          <w:spacing w:val="-2"/>
          <w:sz w:val="20"/>
        </w:rPr>
        <w:t>формирование</w:t>
      </w:r>
      <w:r>
        <w:rPr>
          <w:color w:val="231F20"/>
          <w:spacing w:val="3"/>
          <w:sz w:val="20"/>
        </w:rPr>
        <w:t> </w:t>
      </w:r>
      <w:r>
        <w:rPr>
          <w:color w:val="231F20"/>
          <w:spacing w:val="-2"/>
          <w:sz w:val="20"/>
        </w:rPr>
        <w:t>коммуникативной</w:t>
      </w:r>
      <w:r>
        <w:rPr>
          <w:color w:val="231F20"/>
          <w:spacing w:val="2"/>
          <w:sz w:val="20"/>
        </w:rPr>
        <w:t> </w:t>
      </w:r>
      <w:r>
        <w:rPr>
          <w:color w:val="231F20"/>
          <w:spacing w:val="-2"/>
          <w:sz w:val="20"/>
        </w:rPr>
        <w:t>и</w:t>
      </w:r>
      <w:r>
        <w:rPr>
          <w:color w:val="231F20"/>
          <w:spacing w:val="2"/>
          <w:sz w:val="20"/>
        </w:rPr>
        <w:t> </w:t>
      </w:r>
      <w:r>
        <w:rPr>
          <w:color w:val="231F20"/>
          <w:spacing w:val="-2"/>
          <w:sz w:val="20"/>
        </w:rPr>
        <w:t>межкультурной</w:t>
      </w:r>
      <w:r>
        <w:rPr>
          <w:color w:val="231F20"/>
          <w:spacing w:val="3"/>
          <w:sz w:val="20"/>
        </w:rPr>
        <w:t> </w:t>
      </w:r>
      <w:r>
        <w:rPr>
          <w:color w:val="231F20"/>
          <w:spacing w:val="-2"/>
          <w:sz w:val="20"/>
        </w:rPr>
        <w:t>компетентности;</w:t>
      </w:r>
    </w:p>
    <w:p>
      <w:pPr>
        <w:pStyle w:val="ListParagraph"/>
        <w:numPr>
          <w:ilvl w:val="0"/>
          <w:numId w:val="105"/>
        </w:numPr>
        <w:tabs>
          <w:tab w:pos="424" w:val="left" w:leader="none"/>
        </w:tabs>
        <w:spacing w:line="226" w:lineRule="exact" w:before="0" w:after="0"/>
        <w:ind w:left="424" w:right="0" w:hanging="283"/>
        <w:jc w:val="left"/>
        <w:rPr>
          <w:sz w:val="20"/>
        </w:rPr>
      </w:pPr>
      <w:r>
        <w:rPr>
          <w:color w:val="231F20"/>
          <w:sz w:val="20"/>
        </w:rPr>
        <w:t>воспитание</w:t>
      </w:r>
      <w:r>
        <w:rPr>
          <w:color w:val="231F20"/>
          <w:spacing w:val="-5"/>
          <w:sz w:val="20"/>
        </w:rPr>
        <w:t> </w:t>
      </w:r>
      <w:r>
        <w:rPr>
          <w:color w:val="231F20"/>
          <w:sz w:val="20"/>
        </w:rPr>
        <w:t>позитивного</w:t>
      </w:r>
      <w:r>
        <w:rPr>
          <w:color w:val="231F20"/>
          <w:spacing w:val="-3"/>
          <w:sz w:val="20"/>
        </w:rPr>
        <w:t> </w:t>
      </w:r>
      <w:r>
        <w:rPr>
          <w:color w:val="231F20"/>
          <w:sz w:val="20"/>
        </w:rPr>
        <w:t>отношения</w:t>
      </w:r>
      <w:r>
        <w:rPr>
          <w:color w:val="231F20"/>
          <w:spacing w:val="-3"/>
          <w:sz w:val="20"/>
        </w:rPr>
        <w:t> </w:t>
      </w:r>
      <w:r>
        <w:rPr>
          <w:color w:val="231F20"/>
          <w:sz w:val="20"/>
        </w:rPr>
        <w:t>к</w:t>
      </w:r>
      <w:r>
        <w:rPr>
          <w:color w:val="231F20"/>
          <w:spacing w:val="-3"/>
          <w:sz w:val="20"/>
        </w:rPr>
        <w:t> </w:t>
      </w:r>
      <w:r>
        <w:rPr>
          <w:color w:val="231F20"/>
          <w:sz w:val="20"/>
        </w:rPr>
        <w:t>социально</w:t>
      </w:r>
      <w:r>
        <w:rPr>
          <w:color w:val="231F20"/>
          <w:spacing w:val="-3"/>
          <w:sz w:val="20"/>
        </w:rPr>
        <w:t> </w:t>
      </w:r>
      <w:r>
        <w:rPr>
          <w:color w:val="231F20"/>
          <w:sz w:val="20"/>
        </w:rPr>
        <w:t>уязвимым</w:t>
      </w:r>
      <w:r>
        <w:rPr>
          <w:color w:val="231F20"/>
          <w:spacing w:val="-2"/>
          <w:sz w:val="20"/>
        </w:rPr>
        <w:t> группам;</w:t>
      </w:r>
    </w:p>
    <w:p>
      <w:pPr>
        <w:pStyle w:val="ListParagraph"/>
        <w:numPr>
          <w:ilvl w:val="0"/>
          <w:numId w:val="105"/>
        </w:numPr>
        <w:tabs>
          <w:tab w:pos="424" w:val="left" w:leader="none"/>
        </w:tabs>
        <w:spacing w:line="226" w:lineRule="exact" w:before="0" w:after="0"/>
        <w:ind w:left="424" w:right="0" w:hanging="283"/>
        <w:jc w:val="left"/>
        <w:rPr>
          <w:sz w:val="20"/>
        </w:rPr>
      </w:pPr>
      <w:r>
        <w:rPr>
          <w:color w:val="231F20"/>
          <w:sz w:val="20"/>
        </w:rPr>
        <w:t>развитие</w:t>
      </w:r>
      <w:r>
        <w:rPr>
          <w:color w:val="231F20"/>
          <w:spacing w:val="-4"/>
          <w:sz w:val="20"/>
        </w:rPr>
        <w:t> </w:t>
      </w:r>
      <w:r>
        <w:rPr>
          <w:color w:val="231F20"/>
          <w:sz w:val="20"/>
        </w:rPr>
        <w:t>способности</w:t>
      </w:r>
      <w:r>
        <w:rPr>
          <w:color w:val="231F20"/>
          <w:spacing w:val="-4"/>
          <w:sz w:val="20"/>
        </w:rPr>
        <w:t> </w:t>
      </w:r>
      <w:r>
        <w:rPr>
          <w:color w:val="231F20"/>
          <w:sz w:val="20"/>
        </w:rPr>
        <w:t>к</w:t>
      </w:r>
      <w:r>
        <w:rPr>
          <w:color w:val="231F20"/>
          <w:spacing w:val="-4"/>
          <w:sz w:val="20"/>
        </w:rPr>
        <w:t> </w:t>
      </w:r>
      <w:r>
        <w:rPr>
          <w:color w:val="231F20"/>
          <w:sz w:val="20"/>
        </w:rPr>
        <w:t>выходу</w:t>
      </w:r>
      <w:r>
        <w:rPr>
          <w:color w:val="231F20"/>
          <w:spacing w:val="-3"/>
          <w:sz w:val="20"/>
        </w:rPr>
        <w:t> </w:t>
      </w:r>
      <w:r>
        <w:rPr>
          <w:color w:val="231F20"/>
          <w:sz w:val="20"/>
        </w:rPr>
        <w:t>за</w:t>
      </w:r>
      <w:r>
        <w:rPr>
          <w:color w:val="231F20"/>
          <w:spacing w:val="-4"/>
          <w:sz w:val="20"/>
        </w:rPr>
        <w:t> </w:t>
      </w:r>
      <w:r>
        <w:rPr>
          <w:color w:val="231F20"/>
          <w:sz w:val="20"/>
        </w:rPr>
        <w:t>пределы</w:t>
      </w:r>
      <w:r>
        <w:rPr>
          <w:color w:val="231F20"/>
          <w:spacing w:val="-3"/>
          <w:sz w:val="20"/>
        </w:rPr>
        <w:t> </w:t>
      </w:r>
      <w:r>
        <w:rPr>
          <w:color w:val="231F20"/>
          <w:sz w:val="20"/>
        </w:rPr>
        <w:t>стереотипного</w:t>
      </w:r>
      <w:r>
        <w:rPr>
          <w:color w:val="231F20"/>
          <w:spacing w:val="-3"/>
          <w:sz w:val="20"/>
        </w:rPr>
        <w:t> </w:t>
      </w:r>
      <w:r>
        <w:rPr>
          <w:color w:val="231F20"/>
          <w:spacing w:val="-2"/>
          <w:sz w:val="20"/>
        </w:rPr>
        <w:t>восприятия;</w:t>
      </w:r>
    </w:p>
    <w:p>
      <w:pPr>
        <w:pStyle w:val="ListParagraph"/>
        <w:numPr>
          <w:ilvl w:val="0"/>
          <w:numId w:val="105"/>
        </w:numPr>
        <w:tabs>
          <w:tab w:pos="425" w:val="left" w:leader="none"/>
        </w:tabs>
        <w:spacing w:line="235" w:lineRule="auto" w:before="2" w:after="0"/>
        <w:ind w:left="425" w:right="139" w:hanging="284"/>
        <w:jc w:val="left"/>
        <w:rPr>
          <w:sz w:val="20"/>
        </w:rPr>
      </w:pPr>
      <w:r>
        <w:rPr>
          <w:color w:val="231F20"/>
          <w:spacing w:val="-2"/>
          <w:sz w:val="20"/>
        </w:rPr>
        <w:t>формирование коммуникативных и поведенческих</w:t>
      </w:r>
      <w:r>
        <w:rPr>
          <w:color w:val="231F20"/>
          <w:spacing w:val="-3"/>
          <w:sz w:val="20"/>
        </w:rPr>
        <w:t> </w:t>
      </w:r>
      <w:r>
        <w:rPr>
          <w:color w:val="231F20"/>
          <w:spacing w:val="-2"/>
          <w:sz w:val="20"/>
        </w:rPr>
        <w:t>навыков и умений позитивного </w:t>
      </w:r>
      <w:r>
        <w:rPr>
          <w:color w:val="231F20"/>
          <w:sz w:val="20"/>
        </w:rPr>
        <w:t>и эффективного взаимодействия с представителями разных социальных групп.</w:t>
      </w:r>
    </w:p>
    <w:p>
      <w:pPr>
        <w:spacing w:line="228" w:lineRule="exact" w:before="111"/>
        <w:ind w:left="425" w:right="0" w:firstLine="0"/>
        <w:jc w:val="both"/>
        <w:rPr>
          <w:sz w:val="20"/>
        </w:rPr>
      </w:pPr>
      <w:r>
        <w:rPr>
          <w:i/>
          <w:color w:val="231F20"/>
          <w:sz w:val="20"/>
        </w:rPr>
        <w:t>Третья</w:t>
      </w:r>
      <w:r>
        <w:rPr>
          <w:i/>
          <w:color w:val="231F20"/>
          <w:spacing w:val="22"/>
          <w:sz w:val="20"/>
        </w:rPr>
        <w:t> </w:t>
      </w:r>
      <w:r>
        <w:rPr>
          <w:i/>
          <w:color w:val="231F20"/>
          <w:sz w:val="20"/>
        </w:rPr>
        <w:t>программа</w:t>
      </w:r>
      <w:r>
        <w:rPr>
          <w:i/>
          <w:color w:val="231F20"/>
          <w:spacing w:val="24"/>
          <w:sz w:val="20"/>
        </w:rPr>
        <w:t> </w:t>
      </w:r>
      <w:r>
        <w:rPr>
          <w:color w:val="231F20"/>
          <w:sz w:val="20"/>
        </w:rPr>
        <w:t>–</w:t>
      </w:r>
      <w:r>
        <w:rPr>
          <w:color w:val="231F20"/>
          <w:spacing w:val="24"/>
          <w:sz w:val="20"/>
        </w:rPr>
        <w:t> </w:t>
      </w:r>
      <w:r>
        <w:rPr>
          <w:color w:val="231F20"/>
          <w:sz w:val="20"/>
        </w:rPr>
        <w:t>тренинг</w:t>
      </w:r>
      <w:r>
        <w:rPr>
          <w:color w:val="231F20"/>
          <w:spacing w:val="25"/>
          <w:sz w:val="20"/>
        </w:rPr>
        <w:t> </w:t>
      </w:r>
      <w:r>
        <w:rPr>
          <w:color w:val="231F20"/>
          <w:sz w:val="20"/>
        </w:rPr>
        <w:t>межкультурной</w:t>
      </w:r>
      <w:r>
        <w:rPr>
          <w:color w:val="231F20"/>
          <w:spacing w:val="24"/>
          <w:sz w:val="20"/>
        </w:rPr>
        <w:t> </w:t>
      </w:r>
      <w:r>
        <w:rPr>
          <w:color w:val="231F20"/>
          <w:sz w:val="20"/>
        </w:rPr>
        <w:t>коммуникации</w:t>
      </w:r>
      <w:r>
        <w:rPr>
          <w:color w:val="231F20"/>
          <w:spacing w:val="24"/>
          <w:sz w:val="20"/>
        </w:rPr>
        <w:t> </w:t>
      </w:r>
      <w:r>
        <w:rPr>
          <w:color w:val="231F20"/>
          <w:sz w:val="20"/>
        </w:rPr>
        <w:t>и</w:t>
      </w:r>
      <w:r>
        <w:rPr>
          <w:color w:val="231F20"/>
          <w:spacing w:val="25"/>
          <w:sz w:val="20"/>
        </w:rPr>
        <w:t> </w:t>
      </w:r>
      <w:r>
        <w:rPr>
          <w:color w:val="231F20"/>
          <w:spacing w:val="-2"/>
          <w:sz w:val="20"/>
        </w:rPr>
        <w:t>компетентности</w:t>
      </w:r>
    </w:p>
    <w:p>
      <w:pPr>
        <w:pStyle w:val="BodyText"/>
        <w:spacing w:line="235" w:lineRule="auto" w:before="1"/>
        <w:ind w:firstLine="0"/>
      </w:pPr>
      <w:r>
        <w:rPr>
          <w:color w:val="231F20"/>
        </w:rPr>
        <w:t>«На перекрестке культур» – предполагает «развитие черт мультикультурной лично- сти,</w:t>
      </w:r>
      <w:r>
        <w:rPr>
          <w:color w:val="231F20"/>
          <w:spacing w:val="-12"/>
        </w:rPr>
        <w:t> </w:t>
      </w:r>
      <w:r>
        <w:rPr>
          <w:color w:val="231F20"/>
        </w:rPr>
        <w:t>позволяющей</w:t>
      </w:r>
      <w:r>
        <w:rPr>
          <w:color w:val="231F20"/>
          <w:spacing w:val="-12"/>
        </w:rPr>
        <w:t> </w:t>
      </w:r>
      <w:r>
        <w:rPr>
          <w:color w:val="231F20"/>
        </w:rPr>
        <w:t>человеку</w:t>
      </w:r>
      <w:r>
        <w:rPr>
          <w:color w:val="231F20"/>
          <w:spacing w:val="-12"/>
        </w:rPr>
        <w:t> </w:t>
      </w:r>
      <w:r>
        <w:rPr>
          <w:color w:val="231F20"/>
        </w:rPr>
        <w:t>успешно</w:t>
      </w:r>
      <w:r>
        <w:rPr>
          <w:color w:val="231F20"/>
          <w:spacing w:val="-12"/>
        </w:rPr>
        <w:t> </w:t>
      </w:r>
      <w:r>
        <w:rPr>
          <w:color w:val="231F20"/>
        </w:rPr>
        <w:t>контактировать</w:t>
      </w:r>
      <w:r>
        <w:rPr>
          <w:color w:val="231F20"/>
          <w:spacing w:val="-12"/>
        </w:rPr>
        <w:t> </w:t>
      </w:r>
      <w:r>
        <w:rPr>
          <w:color w:val="231F20"/>
        </w:rPr>
        <w:t>с</w:t>
      </w:r>
      <w:r>
        <w:rPr>
          <w:color w:val="231F20"/>
          <w:spacing w:val="-12"/>
        </w:rPr>
        <w:t> </w:t>
      </w:r>
      <w:r>
        <w:rPr>
          <w:color w:val="231F20"/>
        </w:rPr>
        <w:t>представителями</w:t>
      </w:r>
      <w:r>
        <w:rPr>
          <w:color w:val="231F20"/>
          <w:spacing w:val="-12"/>
        </w:rPr>
        <w:t> </w:t>
      </w:r>
      <w:r>
        <w:rPr>
          <w:color w:val="231F20"/>
        </w:rPr>
        <w:t>любой</w:t>
      </w:r>
      <w:r>
        <w:rPr>
          <w:color w:val="231F20"/>
          <w:spacing w:val="-12"/>
        </w:rPr>
        <w:t> </w:t>
      </w:r>
      <w:r>
        <w:rPr>
          <w:color w:val="231F20"/>
        </w:rPr>
        <w:t>куль- туры, отличающейся от его собственной» (Солдатова, Шайгерова, Макарчук, 2005).</w:t>
      </w:r>
    </w:p>
    <w:p>
      <w:pPr>
        <w:pStyle w:val="BodyText"/>
        <w:spacing w:line="235" w:lineRule="auto" w:before="2"/>
        <w:ind w:right="3152"/>
        <w:jc w:val="left"/>
      </w:pPr>
      <w:r>
        <w:rPr>
          <w:color w:val="231F20"/>
        </w:rPr>
        <w:t>Тренинг</w:t>
      </w:r>
      <w:r>
        <w:rPr>
          <w:color w:val="231F20"/>
          <w:spacing w:val="-12"/>
        </w:rPr>
        <w:t> </w:t>
      </w:r>
      <w:r>
        <w:rPr>
          <w:color w:val="231F20"/>
        </w:rPr>
        <w:t>состоит</w:t>
      </w:r>
      <w:r>
        <w:rPr>
          <w:color w:val="231F20"/>
          <w:spacing w:val="-11"/>
        </w:rPr>
        <w:t> </w:t>
      </w:r>
      <w:r>
        <w:rPr>
          <w:color w:val="231F20"/>
        </w:rPr>
        <w:t>из</w:t>
      </w:r>
      <w:r>
        <w:rPr>
          <w:color w:val="231F20"/>
          <w:spacing w:val="-11"/>
        </w:rPr>
        <w:t> </w:t>
      </w:r>
      <w:r>
        <w:rPr>
          <w:color w:val="231F20"/>
        </w:rPr>
        <w:t>трех</w:t>
      </w:r>
      <w:r>
        <w:rPr>
          <w:color w:val="231F20"/>
          <w:spacing w:val="-11"/>
        </w:rPr>
        <w:t> </w:t>
      </w:r>
      <w:r>
        <w:rPr>
          <w:color w:val="231F20"/>
        </w:rPr>
        <w:t>проблемных</w:t>
      </w:r>
      <w:r>
        <w:rPr>
          <w:color w:val="231F20"/>
          <w:spacing w:val="-11"/>
        </w:rPr>
        <w:t> </w:t>
      </w:r>
      <w:r>
        <w:rPr>
          <w:color w:val="231F20"/>
        </w:rPr>
        <w:t>блоков. а)</w:t>
      </w:r>
      <w:r>
        <w:rPr>
          <w:color w:val="231F20"/>
          <w:spacing w:val="80"/>
        </w:rPr>
        <w:t> </w:t>
      </w:r>
      <w:r>
        <w:rPr>
          <w:color w:val="231F20"/>
        </w:rPr>
        <w:t>Я и мой народ.</w:t>
      </w:r>
    </w:p>
    <w:p>
      <w:pPr>
        <w:pStyle w:val="BodyText"/>
        <w:spacing w:line="225" w:lineRule="exact"/>
        <w:ind w:left="425" w:right="0" w:firstLine="0"/>
        <w:jc w:val="left"/>
      </w:pPr>
      <w:r>
        <w:rPr>
          <w:color w:val="231F20"/>
          <w:spacing w:val="-2"/>
        </w:rPr>
        <w:t>Цели:</w:t>
      </w:r>
    </w:p>
    <w:p>
      <w:pPr>
        <w:pStyle w:val="ListParagraph"/>
        <w:numPr>
          <w:ilvl w:val="0"/>
          <w:numId w:val="106"/>
        </w:numPr>
        <w:tabs>
          <w:tab w:pos="708" w:val="left" w:leader="none"/>
        </w:tabs>
        <w:spacing w:line="235" w:lineRule="auto" w:before="2" w:after="0"/>
        <w:ind w:left="708" w:right="139" w:hanging="284"/>
        <w:jc w:val="left"/>
        <w:rPr>
          <w:sz w:val="20"/>
        </w:rPr>
      </w:pPr>
      <w:r>
        <w:rPr>
          <w:color w:val="231F20"/>
          <w:sz w:val="20"/>
        </w:rPr>
        <w:t>осознание участниками своей принадлежности к различным культурным, эт- ническим, религиозным группам;</w:t>
      </w:r>
    </w:p>
    <w:p>
      <w:pPr>
        <w:pStyle w:val="ListParagraph"/>
        <w:numPr>
          <w:ilvl w:val="0"/>
          <w:numId w:val="106"/>
        </w:numPr>
        <w:tabs>
          <w:tab w:pos="708" w:val="left" w:leader="none"/>
        </w:tabs>
        <w:spacing w:line="235" w:lineRule="auto" w:before="1" w:after="0"/>
        <w:ind w:left="708" w:right="139" w:hanging="284"/>
        <w:jc w:val="left"/>
        <w:rPr>
          <w:sz w:val="20"/>
        </w:rPr>
      </w:pPr>
      <w:r>
        <w:rPr>
          <w:color w:val="231F20"/>
          <w:sz w:val="20"/>
        </w:rPr>
        <w:t>осознание и более глубокое понимание особенностей своей культуры, своих корней и истоков;</w:t>
      </w:r>
    </w:p>
    <w:p>
      <w:pPr>
        <w:pStyle w:val="ListParagraph"/>
        <w:numPr>
          <w:ilvl w:val="0"/>
          <w:numId w:val="106"/>
        </w:numPr>
        <w:tabs>
          <w:tab w:pos="708" w:val="left" w:leader="none"/>
        </w:tabs>
        <w:spacing w:line="225" w:lineRule="exact" w:before="0" w:after="0"/>
        <w:ind w:left="708" w:right="0" w:hanging="283"/>
        <w:jc w:val="left"/>
        <w:rPr>
          <w:sz w:val="20"/>
        </w:rPr>
      </w:pPr>
      <w:r>
        <w:rPr>
          <w:color w:val="231F20"/>
          <w:sz w:val="20"/>
        </w:rPr>
        <w:t>осознание</w:t>
      </w:r>
      <w:r>
        <w:rPr>
          <w:color w:val="231F20"/>
          <w:spacing w:val="-11"/>
          <w:sz w:val="20"/>
        </w:rPr>
        <w:t> </w:t>
      </w:r>
      <w:r>
        <w:rPr>
          <w:color w:val="231F20"/>
          <w:sz w:val="20"/>
        </w:rPr>
        <w:t>многообразия</w:t>
      </w:r>
      <w:r>
        <w:rPr>
          <w:color w:val="231F20"/>
          <w:spacing w:val="-8"/>
          <w:sz w:val="20"/>
        </w:rPr>
        <w:t> </w:t>
      </w:r>
      <w:r>
        <w:rPr>
          <w:color w:val="231F20"/>
          <w:sz w:val="20"/>
        </w:rPr>
        <w:t>внутри</w:t>
      </w:r>
      <w:r>
        <w:rPr>
          <w:color w:val="231F20"/>
          <w:spacing w:val="-10"/>
          <w:sz w:val="20"/>
        </w:rPr>
        <w:t> </w:t>
      </w:r>
      <w:r>
        <w:rPr>
          <w:color w:val="231F20"/>
          <w:sz w:val="20"/>
        </w:rPr>
        <w:t>собственной</w:t>
      </w:r>
      <w:r>
        <w:rPr>
          <w:color w:val="231F20"/>
          <w:spacing w:val="-9"/>
          <w:sz w:val="20"/>
        </w:rPr>
        <w:t> </w:t>
      </w:r>
      <w:r>
        <w:rPr>
          <w:color w:val="231F20"/>
          <w:sz w:val="20"/>
        </w:rPr>
        <w:t>этнокультурной</w:t>
      </w:r>
      <w:r>
        <w:rPr>
          <w:color w:val="231F20"/>
          <w:spacing w:val="-9"/>
          <w:sz w:val="20"/>
        </w:rPr>
        <w:t> </w:t>
      </w:r>
      <w:r>
        <w:rPr>
          <w:color w:val="231F20"/>
          <w:spacing w:val="-2"/>
          <w:sz w:val="20"/>
        </w:rPr>
        <w:t>группы;</w:t>
      </w:r>
    </w:p>
    <w:p>
      <w:pPr>
        <w:pStyle w:val="ListParagraph"/>
        <w:numPr>
          <w:ilvl w:val="0"/>
          <w:numId w:val="106"/>
        </w:numPr>
        <w:tabs>
          <w:tab w:pos="708" w:val="left" w:leader="none"/>
        </w:tabs>
        <w:spacing w:line="226" w:lineRule="exact" w:before="0" w:after="0"/>
        <w:ind w:left="708" w:right="0" w:hanging="283"/>
        <w:jc w:val="left"/>
        <w:rPr>
          <w:sz w:val="20"/>
        </w:rPr>
      </w:pPr>
      <w:r>
        <w:rPr>
          <w:color w:val="231F20"/>
          <w:sz w:val="20"/>
        </w:rPr>
        <w:t>осознание</w:t>
      </w:r>
      <w:r>
        <w:rPr>
          <w:color w:val="231F20"/>
          <w:spacing w:val="4"/>
          <w:sz w:val="20"/>
        </w:rPr>
        <w:t> </w:t>
      </w:r>
      <w:r>
        <w:rPr>
          <w:color w:val="231F20"/>
          <w:spacing w:val="-2"/>
          <w:sz w:val="20"/>
        </w:rPr>
        <w:t>этноцентризма;</w:t>
      </w:r>
    </w:p>
    <w:p>
      <w:pPr>
        <w:pStyle w:val="ListParagraph"/>
        <w:numPr>
          <w:ilvl w:val="0"/>
          <w:numId w:val="106"/>
        </w:numPr>
        <w:tabs>
          <w:tab w:pos="707" w:val="left" w:leader="none"/>
        </w:tabs>
        <w:spacing w:line="235" w:lineRule="auto" w:before="2" w:after="0"/>
        <w:ind w:left="141" w:right="556" w:firstLine="283"/>
        <w:jc w:val="left"/>
        <w:rPr>
          <w:sz w:val="20"/>
        </w:rPr>
      </w:pPr>
      <w:r>
        <w:rPr>
          <w:color w:val="231F20"/>
          <w:sz w:val="20"/>
        </w:rPr>
        <w:t>развитие</w:t>
      </w:r>
      <w:r>
        <w:rPr>
          <w:color w:val="231F20"/>
          <w:spacing w:val="-6"/>
          <w:sz w:val="20"/>
        </w:rPr>
        <w:t> </w:t>
      </w:r>
      <w:r>
        <w:rPr>
          <w:color w:val="231F20"/>
          <w:sz w:val="20"/>
        </w:rPr>
        <w:t>у</w:t>
      </w:r>
      <w:r>
        <w:rPr>
          <w:color w:val="231F20"/>
          <w:spacing w:val="-6"/>
          <w:sz w:val="20"/>
        </w:rPr>
        <w:t> </w:t>
      </w:r>
      <w:r>
        <w:rPr>
          <w:color w:val="231F20"/>
          <w:sz w:val="20"/>
        </w:rPr>
        <w:t>участников</w:t>
      </w:r>
      <w:r>
        <w:rPr>
          <w:color w:val="231F20"/>
          <w:spacing w:val="-7"/>
          <w:sz w:val="20"/>
        </w:rPr>
        <w:t> </w:t>
      </w:r>
      <w:r>
        <w:rPr>
          <w:color w:val="231F20"/>
          <w:sz w:val="20"/>
        </w:rPr>
        <w:t>стремления</w:t>
      </w:r>
      <w:r>
        <w:rPr>
          <w:color w:val="231F20"/>
          <w:spacing w:val="-6"/>
          <w:sz w:val="20"/>
        </w:rPr>
        <w:t> </w:t>
      </w:r>
      <w:r>
        <w:rPr>
          <w:color w:val="231F20"/>
          <w:sz w:val="20"/>
        </w:rPr>
        <w:t>осознать</w:t>
      </w:r>
      <w:r>
        <w:rPr>
          <w:color w:val="231F20"/>
          <w:spacing w:val="-7"/>
          <w:sz w:val="20"/>
        </w:rPr>
        <w:t> </w:t>
      </w:r>
      <w:r>
        <w:rPr>
          <w:color w:val="231F20"/>
          <w:sz w:val="20"/>
        </w:rPr>
        <w:t>собственные</w:t>
      </w:r>
      <w:r>
        <w:rPr>
          <w:color w:val="231F20"/>
          <w:spacing w:val="-6"/>
          <w:sz w:val="20"/>
        </w:rPr>
        <w:t> </w:t>
      </w:r>
      <w:r>
        <w:rPr>
          <w:color w:val="231F20"/>
          <w:sz w:val="20"/>
        </w:rPr>
        <w:t>корни</w:t>
      </w:r>
      <w:r>
        <w:rPr>
          <w:color w:val="231F20"/>
          <w:spacing w:val="-7"/>
          <w:sz w:val="20"/>
        </w:rPr>
        <w:t> </w:t>
      </w:r>
      <w:r>
        <w:rPr>
          <w:color w:val="231F20"/>
          <w:sz w:val="20"/>
        </w:rPr>
        <w:t>и</w:t>
      </w:r>
      <w:r>
        <w:rPr>
          <w:color w:val="231F20"/>
          <w:spacing w:val="-7"/>
          <w:sz w:val="20"/>
        </w:rPr>
        <w:t> </w:t>
      </w:r>
      <w:r>
        <w:rPr>
          <w:color w:val="231F20"/>
          <w:sz w:val="20"/>
        </w:rPr>
        <w:t>истоки. б)</w:t>
      </w:r>
      <w:r>
        <w:rPr>
          <w:color w:val="231F20"/>
          <w:spacing w:val="40"/>
          <w:sz w:val="20"/>
        </w:rPr>
        <w:t> </w:t>
      </w:r>
      <w:r>
        <w:rPr>
          <w:color w:val="231F20"/>
          <w:sz w:val="20"/>
        </w:rPr>
        <w:t>Встреча с другой культурой.</w:t>
      </w:r>
    </w:p>
    <w:p>
      <w:pPr>
        <w:pStyle w:val="BodyText"/>
        <w:spacing w:line="225" w:lineRule="exact"/>
        <w:ind w:left="425" w:right="0" w:firstLine="0"/>
        <w:jc w:val="left"/>
      </w:pPr>
      <w:r>
        <w:rPr>
          <w:color w:val="231F20"/>
          <w:spacing w:val="-2"/>
        </w:rPr>
        <w:t>Цели:</w:t>
      </w:r>
    </w:p>
    <w:p>
      <w:pPr>
        <w:pStyle w:val="ListParagraph"/>
        <w:numPr>
          <w:ilvl w:val="0"/>
          <w:numId w:val="106"/>
        </w:numPr>
        <w:tabs>
          <w:tab w:pos="708" w:val="left" w:leader="none"/>
        </w:tabs>
        <w:spacing w:line="226" w:lineRule="exact" w:before="0" w:after="0"/>
        <w:ind w:left="708" w:right="0" w:hanging="283"/>
        <w:jc w:val="left"/>
        <w:rPr>
          <w:sz w:val="20"/>
        </w:rPr>
      </w:pPr>
      <w:r>
        <w:rPr>
          <w:color w:val="231F20"/>
          <w:spacing w:val="-2"/>
          <w:sz w:val="20"/>
        </w:rPr>
        <w:t>осознание</w:t>
      </w:r>
      <w:r>
        <w:rPr>
          <w:color w:val="231F20"/>
          <w:spacing w:val="-10"/>
          <w:sz w:val="20"/>
        </w:rPr>
        <w:t> </w:t>
      </w:r>
      <w:r>
        <w:rPr>
          <w:color w:val="231F20"/>
          <w:spacing w:val="-2"/>
          <w:sz w:val="20"/>
        </w:rPr>
        <w:t>стереотипов,</w:t>
      </w:r>
      <w:r>
        <w:rPr>
          <w:color w:val="231F20"/>
          <w:spacing w:val="-9"/>
          <w:sz w:val="20"/>
        </w:rPr>
        <w:t> </w:t>
      </w:r>
      <w:r>
        <w:rPr>
          <w:color w:val="231F20"/>
          <w:spacing w:val="-2"/>
          <w:sz w:val="20"/>
        </w:rPr>
        <w:t>предубеждений</w:t>
      </w:r>
      <w:r>
        <w:rPr>
          <w:color w:val="231F20"/>
          <w:spacing w:val="-9"/>
          <w:sz w:val="20"/>
        </w:rPr>
        <w:t> </w:t>
      </w:r>
      <w:r>
        <w:rPr>
          <w:color w:val="231F20"/>
          <w:spacing w:val="-2"/>
          <w:sz w:val="20"/>
        </w:rPr>
        <w:t>в</w:t>
      </w:r>
      <w:r>
        <w:rPr>
          <w:color w:val="231F20"/>
          <w:spacing w:val="-9"/>
          <w:sz w:val="20"/>
        </w:rPr>
        <w:t> </w:t>
      </w:r>
      <w:r>
        <w:rPr>
          <w:color w:val="231F20"/>
          <w:spacing w:val="-2"/>
          <w:sz w:val="20"/>
        </w:rPr>
        <w:t>отношении</w:t>
      </w:r>
      <w:r>
        <w:rPr>
          <w:color w:val="231F20"/>
          <w:spacing w:val="-9"/>
          <w:sz w:val="20"/>
        </w:rPr>
        <w:t> </w:t>
      </w:r>
      <w:r>
        <w:rPr>
          <w:color w:val="231F20"/>
          <w:spacing w:val="-2"/>
          <w:sz w:val="20"/>
        </w:rPr>
        <w:t>других</w:t>
      </w:r>
      <w:r>
        <w:rPr>
          <w:color w:val="231F20"/>
          <w:spacing w:val="-10"/>
          <w:sz w:val="20"/>
        </w:rPr>
        <w:t> </w:t>
      </w:r>
      <w:r>
        <w:rPr>
          <w:color w:val="231F20"/>
          <w:spacing w:val="-2"/>
          <w:sz w:val="20"/>
        </w:rPr>
        <w:t>культур</w:t>
      </w:r>
      <w:r>
        <w:rPr>
          <w:color w:val="231F20"/>
          <w:spacing w:val="-9"/>
          <w:sz w:val="20"/>
        </w:rPr>
        <w:t> </w:t>
      </w:r>
      <w:r>
        <w:rPr>
          <w:color w:val="231F20"/>
          <w:spacing w:val="-2"/>
          <w:sz w:val="20"/>
        </w:rPr>
        <w:t>и</w:t>
      </w:r>
      <w:r>
        <w:rPr>
          <w:color w:val="231F20"/>
          <w:spacing w:val="-9"/>
          <w:sz w:val="20"/>
        </w:rPr>
        <w:t> </w:t>
      </w:r>
      <w:r>
        <w:rPr>
          <w:color w:val="231F20"/>
          <w:spacing w:val="-2"/>
          <w:sz w:val="20"/>
        </w:rPr>
        <w:t>народов;</w:t>
      </w:r>
    </w:p>
    <w:p>
      <w:pPr>
        <w:pStyle w:val="ListParagraph"/>
        <w:numPr>
          <w:ilvl w:val="0"/>
          <w:numId w:val="106"/>
        </w:numPr>
        <w:tabs>
          <w:tab w:pos="708" w:val="left" w:leader="none"/>
        </w:tabs>
        <w:spacing w:line="235" w:lineRule="auto" w:before="2" w:after="0"/>
        <w:ind w:left="708" w:right="139" w:hanging="284"/>
        <w:jc w:val="left"/>
        <w:rPr>
          <w:sz w:val="20"/>
        </w:rPr>
      </w:pPr>
      <w:r>
        <w:rPr>
          <w:color w:val="231F20"/>
          <w:sz w:val="20"/>
        </w:rPr>
        <w:t>осознание</w:t>
      </w:r>
      <w:r>
        <w:rPr>
          <w:color w:val="231F20"/>
          <w:spacing w:val="37"/>
          <w:sz w:val="20"/>
        </w:rPr>
        <w:t> </w:t>
      </w:r>
      <w:r>
        <w:rPr>
          <w:color w:val="231F20"/>
          <w:sz w:val="20"/>
        </w:rPr>
        <w:t>негативных</w:t>
      </w:r>
      <w:r>
        <w:rPr>
          <w:color w:val="231F20"/>
          <w:spacing w:val="37"/>
          <w:sz w:val="20"/>
        </w:rPr>
        <w:t> </w:t>
      </w:r>
      <w:r>
        <w:rPr>
          <w:color w:val="231F20"/>
          <w:sz w:val="20"/>
        </w:rPr>
        <w:t>чувств</w:t>
      </w:r>
      <w:r>
        <w:rPr>
          <w:color w:val="231F20"/>
          <w:spacing w:val="37"/>
          <w:sz w:val="20"/>
        </w:rPr>
        <w:t> </w:t>
      </w:r>
      <w:r>
        <w:rPr>
          <w:color w:val="231F20"/>
          <w:sz w:val="20"/>
        </w:rPr>
        <w:t>и</w:t>
      </w:r>
      <w:r>
        <w:rPr>
          <w:color w:val="231F20"/>
          <w:spacing w:val="37"/>
          <w:sz w:val="20"/>
        </w:rPr>
        <w:t> </w:t>
      </w:r>
      <w:r>
        <w:rPr>
          <w:color w:val="231F20"/>
          <w:sz w:val="20"/>
        </w:rPr>
        <w:t>поведенческих</w:t>
      </w:r>
      <w:r>
        <w:rPr>
          <w:color w:val="231F20"/>
          <w:spacing w:val="37"/>
          <w:sz w:val="20"/>
        </w:rPr>
        <w:t> </w:t>
      </w:r>
      <w:r>
        <w:rPr>
          <w:color w:val="231F20"/>
          <w:sz w:val="20"/>
        </w:rPr>
        <w:t>реакций,</w:t>
      </w:r>
      <w:r>
        <w:rPr>
          <w:color w:val="231F20"/>
          <w:spacing w:val="37"/>
          <w:sz w:val="20"/>
        </w:rPr>
        <w:t> </w:t>
      </w:r>
      <w:r>
        <w:rPr>
          <w:color w:val="231F20"/>
          <w:sz w:val="20"/>
        </w:rPr>
        <w:t>возникающих</w:t>
      </w:r>
      <w:r>
        <w:rPr>
          <w:color w:val="231F20"/>
          <w:spacing w:val="37"/>
          <w:sz w:val="20"/>
        </w:rPr>
        <w:t> </w:t>
      </w:r>
      <w:r>
        <w:rPr>
          <w:color w:val="231F20"/>
          <w:sz w:val="20"/>
        </w:rPr>
        <w:t>при столкновении с другой культурой;</w:t>
      </w:r>
    </w:p>
    <w:p>
      <w:pPr>
        <w:pStyle w:val="ListParagraph"/>
        <w:numPr>
          <w:ilvl w:val="0"/>
          <w:numId w:val="106"/>
        </w:numPr>
        <w:tabs>
          <w:tab w:pos="708" w:val="left" w:leader="none"/>
        </w:tabs>
        <w:spacing w:line="225" w:lineRule="exact" w:before="0" w:after="0"/>
        <w:ind w:left="708" w:right="0" w:hanging="283"/>
        <w:jc w:val="left"/>
        <w:rPr>
          <w:sz w:val="20"/>
        </w:rPr>
      </w:pPr>
      <w:r>
        <w:rPr>
          <w:color w:val="231F20"/>
          <w:sz w:val="20"/>
        </w:rPr>
        <w:t>развитие</w:t>
      </w:r>
      <w:r>
        <w:rPr>
          <w:color w:val="231F20"/>
          <w:spacing w:val="-12"/>
          <w:sz w:val="20"/>
        </w:rPr>
        <w:t> </w:t>
      </w:r>
      <w:r>
        <w:rPr>
          <w:color w:val="231F20"/>
          <w:sz w:val="20"/>
        </w:rPr>
        <w:t>представления</w:t>
      </w:r>
      <w:r>
        <w:rPr>
          <w:color w:val="231F20"/>
          <w:spacing w:val="-10"/>
          <w:sz w:val="20"/>
        </w:rPr>
        <w:t> </w:t>
      </w:r>
      <w:r>
        <w:rPr>
          <w:color w:val="231F20"/>
          <w:sz w:val="20"/>
        </w:rPr>
        <w:t>о</w:t>
      </w:r>
      <w:r>
        <w:rPr>
          <w:color w:val="231F20"/>
          <w:spacing w:val="-10"/>
          <w:sz w:val="20"/>
        </w:rPr>
        <w:t> </w:t>
      </w:r>
      <w:r>
        <w:rPr>
          <w:color w:val="231F20"/>
          <w:sz w:val="20"/>
        </w:rPr>
        <w:t>культурном</w:t>
      </w:r>
      <w:r>
        <w:rPr>
          <w:color w:val="231F20"/>
          <w:spacing w:val="-10"/>
          <w:sz w:val="20"/>
        </w:rPr>
        <w:t> </w:t>
      </w:r>
      <w:r>
        <w:rPr>
          <w:color w:val="231F20"/>
          <w:sz w:val="20"/>
        </w:rPr>
        <w:t>многообразии</w:t>
      </w:r>
      <w:r>
        <w:rPr>
          <w:color w:val="231F20"/>
          <w:spacing w:val="-10"/>
          <w:sz w:val="20"/>
        </w:rPr>
        <w:t> </w:t>
      </w:r>
      <w:r>
        <w:rPr>
          <w:color w:val="231F20"/>
          <w:spacing w:val="-4"/>
          <w:sz w:val="20"/>
        </w:rPr>
        <w:t>мира;</w:t>
      </w:r>
    </w:p>
    <w:p>
      <w:pPr>
        <w:pStyle w:val="ListParagraph"/>
        <w:numPr>
          <w:ilvl w:val="0"/>
          <w:numId w:val="106"/>
        </w:numPr>
        <w:tabs>
          <w:tab w:pos="708" w:val="left" w:leader="none"/>
        </w:tabs>
        <w:spacing w:line="228" w:lineRule="exact" w:before="0" w:after="0"/>
        <w:ind w:left="708" w:right="0" w:hanging="283"/>
        <w:jc w:val="left"/>
        <w:rPr>
          <w:sz w:val="20"/>
        </w:rPr>
      </w:pPr>
      <w:r>
        <w:rPr>
          <w:color w:val="231F20"/>
          <w:sz w:val="20"/>
        </w:rPr>
        <w:t>развитие</w:t>
      </w:r>
      <w:r>
        <w:rPr>
          <w:color w:val="231F20"/>
          <w:spacing w:val="39"/>
          <w:sz w:val="20"/>
        </w:rPr>
        <w:t> </w:t>
      </w:r>
      <w:r>
        <w:rPr>
          <w:color w:val="231F20"/>
          <w:sz w:val="20"/>
        </w:rPr>
        <w:t>стремления</w:t>
      </w:r>
      <w:r>
        <w:rPr>
          <w:color w:val="231F20"/>
          <w:spacing w:val="38"/>
          <w:sz w:val="20"/>
        </w:rPr>
        <w:t> </w:t>
      </w:r>
      <w:r>
        <w:rPr>
          <w:color w:val="231F20"/>
          <w:sz w:val="20"/>
        </w:rPr>
        <w:t>к</w:t>
      </w:r>
      <w:r>
        <w:rPr>
          <w:color w:val="231F20"/>
          <w:spacing w:val="39"/>
          <w:sz w:val="20"/>
        </w:rPr>
        <w:t> </w:t>
      </w:r>
      <w:r>
        <w:rPr>
          <w:color w:val="231F20"/>
          <w:sz w:val="20"/>
        </w:rPr>
        <w:t>изменению</w:t>
      </w:r>
      <w:r>
        <w:rPr>
          <w:color w:val="231F20"/>
          <w:spacing w:val="39"/>
          <w:sz w:val="20"/>
        </w:rPr>
        <w:t> </w:t>
      </w:r>
      <w:r>
        <w:rPr>
          <w:color w:val="231F20"/>
          <w:sz w:val="20"/>
        </w:rPr>
        <w:t>собственных</w:t>
      </w:r>
      <w:r>
        <w:rPr>
          <w:color w:val="231F20"/>
          <w:spacing w:val="39"/>
          <w:sz w:val="20"/>
        </w:rPr>
        <w:t> </w:t>
      </w:r>
      <w:r>
        <w:rPr>
          <w:color w:val="231F20"/>
          <w:sz w:val="20"/>
        </w:rPr>
        <w:t>негативных</w:t>
      </w:r>
      <w:r>
        <w:rPr>
          <w:color w:val="231F20"/>
          <w:spacing w:val="38"/>
          <w:sz w:val="20"/>
        </w:rPr>
        <w:t> </w:t>
      </w:r>
      <w:r>
        <w:rPr>
          <w:color w:val="231F20"/>
          <w:sz w:val="20"/>
        </w:rPr>
        <w:t>стереотипов</w:t>
      </w:r>
      <w:r>
        <w:rPr>
          <w:color w:val="231F20"/>
          <w:spacing w:val="40"/>
          <w:sz w:val="20"/>
        </w:rPr>
        <w:t> </w:t>
      </w:r>
      <w:r>
        <w:rPr>
          <w:color w:val="231F20"/>
          <w:spacing w:val="-10"/>
          <w:sz w:val="20"/>
        </w:rPr>
        <w:t>и</w:t>
      </w:r>
    </w:p>
    <w:p>
      <w:pPr>
        <w:pStyle w:val="ListParagraph"/>
        <w:spacing w:after="0" w:line="228" w:lineRule="exact"/>
        <w:jc w:val="left"/>
        <w:rPr>
          <w:sz w:val="20"/>
        </w:rPr>
        <w:sectPr>
          <w:pgSz w:w="8400" w:h="11910"/>
          <w:pgMar w:header="0" w:footer="527" w:top="400" w:bottom="740" w:left="425" w:right="425"/>
        </w:sectPr>
      </w:pPr>
    </w:p>
    <w:p>
      <w:pPr>
        <w:pStyle w:val="ListParagraph"/>
        <w:numPr>
          <w:ilvl w:val="1"/>
          <w:numId w:val="107"/>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Работа</w:t>
      </w:r>
      <w:r>
        <w:rPr>
          <w:rFonts w:ascii="Georgia" w:hAnsi="Georgia"/>
          <w:color w:val="231F20"/>
          <w:spacing w:val="-3"/>
          <w:sz w:val="18"/>
        </w:rPr>
        <w:t> </w:t>
      </w:r>
      <w:r>
        <w:rPr>
          <w:rFonts w:ascii="Georgia" w:hAnsi="Georgia"/>
          <w:color w:val="231F20"/>
          <w:sz w:val="18"/>
        </w:rPr>
        <w:t>педагога-психолога</w:t>
      </w:r>
      <w:r>
        <w:rPr>
          <w:rFonts w:ascii="Georgia" w:hAnsi="Georgia"/>
          <w:color w:val="231F20"/>
          <w:spacing w:val="-2"/>
          <w:sz w:val="18"/>
        </w:rPr>
        <w:t> </w:t>
      </w:r>
      <w:r>
        <w:rPr>
          <w:rFonts w:ascii="Georgia" w:hAnsi="Georgia"/>
          <w:color w:val="231F20"/>
          <w:sz w:val="18"/>
        </w:rPr>
        <w:t>в</w:t>
      </w:r>
      <w:r>
        <w:rPr>
          <w:rFonts w:ascii="Georgia" w:hAnsi="Georgia"/>
          <w:color w:val="231F20"/>
          <w:spacing w:val="-2"/>
          <w:sz w:val="18"/>
        </w:rPr>
        <w:t> </w:t>
      </w:r>
      <w:r>
        <w:rPr>
          <w:rFonts w:ascii="Georgia" w:hAnsi="Georgia"/>
          <w:color w:val="231F20"/>
          <w:sz w:val="18"/>
        </w:rPr>
        <w:t>области</w:t>
      </w:r>
      <w:r>
        <w:rPr>
          <w:rFonts w:ascii="Georgia" w:hAnsi="Georgia"/>
          <w:color w:val="231F20"/>
          <w:spacing w:val="-2"/>
          <w:sz w:val="18"/>
        </w:rPr>
        <w:t> </w:t>
      </w:r>
      <w:r>
        <w:rPr>
          <w:rFonts w:ascii="Georgia" w:hAnsi="Georgia"/>
          <w:color w:val="231F20"/>
          <w:sz w:val="18"/>
        </w:rPr>
        <w:t>адаптации</w:t>
      </w:r>
      <w:r>
        <w:rPr>
          <w:rFonts w:ascii="Georgia" w:hAnsi="Georgia"/>
          <w:color w:val="231F20"/>
          <w:spacing w:val="-3"/>
          <w:sz w:val="18"/>
        </w:rPr>
        <w:t> </w:t>
      </w:r>
      <w:r>
        <w:rPr>
          <w:rFonts w:ascii="Georgia" w:hAnsi="Georgia"/>
          <w:color w:val="231F20"/>
          <w:sz w:val="18"/>
        </w:rPr>
        <w:t>детей</w:t>
      </w:r>
      <w:r>
        <w:rPr>
          <w:rFonts w:ascii="Georgia" w:hAnsi="Georgia"/>
          <w:color w:val="231F20"/>
          <w:spacing w:val="-2"/>
          <w:sz w:val="18"/>
        </w:rPr>
        <w:t> </w:t>
      </w:r>
      <w:r>
        <w:rPr>
          <w:rFonts w:ascii="Georgia" w:hAnsi="Georgia"/>
          <w:color w:val="231F20"/>
          <w:sz w:val="18"/>
        </w:rPr>
        <w:t>...</w:t>
      </w:r>
      <w:r>
        <w:rPr>
          <w:rFonts w:ascii="Georgia" w:hAnsi="Georgia"/>
          <w:color w:val="231F20"/>
          <w:spacing w:val="-2"/>
          <w:sz w:val="18"/>
        </w:rPr>
        <w:t> </w:t>
      </w:r>
      <w:r>
        <w:rPr>
          <w:rFonts w:ascii="Georgia" w:hAnsi="Georgia"/>
          <w:color w:val="231F20"/>
          <w:sz w:val="18"/>
        </w:rPr>
        <w:t>во</w:t>
      </w:r>
      <w:r>
        <w:rPr>
          <w:rFonts w:ascii="Georgia" w:hAnsi="Georgia"/>
          <w:color w:val="231F20"/>
          <w:spacing w:val="-2"/>
          <w:sz w:val="18"/>
        </w:rPr>
        <w:t> взаимодействии...</w:t>
      </w:r>
    </w:p>
    <w:p>
      <w:pPr>
        <w:pStyle w:val="BodyText"/>
        <w:spacing w:line="228" w:lineRule="exact" w:before="112"/>
        <w:ind w:left="708" w:right="0" w:firstLine="0"/>
        <w:jc w:val="left"/>
      </w:pPr>
      <w:r>
        <w:rPr>
          <w:color w:val="231F20"/>
          <w:spacing w:val="-2"/>
        </w:rPr>
        <w:t>предубеждений;</w:t>
      </w:r>
    </w:p>
    <w:p>
      <w:pPr>
        <w:pStyle w:val="ListParagraph"/>
        <w:numPr>
          <w:ilvl w:val="2"/>
          <w:numId w:val="107"/>
        </w:numPr>
        <w:tabs>
          <w:tab w:pos="708" w:val="left" w:leader="none"/>
        </w:tabs>
        <w:spacing w:line="235" w:lineRule="auto" w:before="2" w:after="0"/>
        <w:ind w:left="708" w:right="140" w:hanging="284"/>
        <w:jc w:val="left"/>
        <w:rPr>
          <w:sz w:val="20"/>
        </w:rPr>
      </w:pPr>
      <w:r>
        <w:rPr>
          <w:color w:val="231F20"/>
          <w:sz w:val="20"/>
        </w:rPr>
        <w:t>стимулирование</w:t>
      </w:r>
      <w:r>
        <w:rPr>
          <w:color w:val="231F20"/>
          <w:spacing w:val="28"/>
          <w:sz w:val="20"/>
        </w:rPr>
        <w:t> </w:t>
      </w:r>
      <w:r>
        <w:rPr>
          <w:color w:val="231F20"/>
          <w:sz w:val="20"/>
        </w:rPr>
        <w:t>интереса</w:t>
      </w:r>
      <w:r>
        <w:rPr>
          <w:color w:val="231F20"/>
          <w:spacing w:val="28"/>
          <w:sz w:val="20"/>
        </w:rPr>
        <w:t> </w:t>
      </w:r>
      <w:r>
        <w:rPr>
          <w:color w:val="231F20"/>
          <w:sz w:val="20"/>
        </w:rPr>
        <w:t>к</w:t>
      </w:r>
      <w:r>
        <w:rPr>
          <w:color w:val="231F20"/>
          <w:spacing w:val="28"/>
          <w:sz w:val="20"/>
        </w:rPr>
        <w:t> </w:t>
      </w:r>
      <w:r>
        <w:rPr>
          <w:color w:val="231F20"/>
          <w:sz w:val="20"/>
        </w:rPr>
        <w:t>изучению</w:t>
      </w:r>
      <w:r>
        <w:rPr>
          <w:color w:val="231F20"/>
          <w:spacing w:val="28"/>
          <w:sz w:val="20"/>
        </w:rPr>
        <w:t> </w:t>
      </w:r>
      <w:r>
        <w:rPr>
          <w:color w:val="231F20"/>
          <w:sz w:val="20"/>
        </w:rPr>
        <w:t>других</w:t>
      </w:r>
      <w:r>
        <w:rPr>
          <w:color w:val="231F20"/>
          <w:spacing w:val="28"/>
          <w:sz w:val="20"/>
        </w:rPr>
        <w:t> </w:t>
      </w:r>
      <w:r>
        <w:rPr>
          <w:color w:val="231F20"/>
          <w:sz w:val="20"/>
        </w:rPr>
        <w:t>культур,</w:t>
      </w:r>
      <w:r>
        <w:rPr>
          <w:color w:val="231F20"/>
          <w:spacing w:val="28"/>
          <w:sz w:val="20"/>
        </w:rPr>
        <w:t> </w:t>
      </w:r>
      <w:r>
        <w:rPr>
          <w:color w:val="231F20"/>
          <w:sz w:val="20"/>
        </w:rPr>
        <w:t>традиций</w:t>
      </w:r>
      <w:r>
        <w:rPr>
          <w:color w:val="231F20"/>
          <w:spacing w:val="28"/>
          <w:sz w:val="20"/>
        </w:rPr>
        <w:t> </w:t>
      </w:r>
      <w:r>
        <w:rPr>
          <w:color w:val="231F20"/>
          <w:sz w:val="20"/>
        </w:rPr>
        <w:t>и</w:t>
      </w:r>
      <w:r>
        <w:rPr>
          <w:color w:val="231F20"/>
          <w:spacing w:val="28"/>
          <w:sz w:val="20"/>
        </w:rPr>
        <w:t> </w:t>
      </w:r>
      <w:r>
        <w:rPr>
          <w:color w:val="231F20"/>
          <w:sz w:val="20"/>
        </w:rPr>
        <w:t>обычаев других народов;</w:t>
      </w:r>
    </w:p>
    <w:p>
      <w:pPr>
        <w:pStyle w:val="ListParagraph"/>
        <w:numPr>
          <w:ilvl w:val="2"/>
          <w:numId w:val="107"/>
        </w:numPr>
        <w:tabs>
          <w:tab w:pos="708" w:val="left" w:leader="none"/>
        </w:tabs>
        <w:spacing w:line="232" w:lineRule="auto" w:before="0" w:after="0"/>
        <w:ind w:left="708" w:right="139" w:hanging="284"/>
        <w:jc w:val="left"/>
        <w:rPr>
          <w:sz w:val="20"/>
        </w:rPr>
      </w:pPr>
      <w:r>
        <w:rPr>
          <w:color w:val="231F20"/>
          <w:sz w:val="20"/>
        </w:rPr>
        <w:t>поиск</w:t>
      </w:r>
      <w:r>
        <w:rPr>
          <w:color w:val="231F20"/>
          <w:spacing w:val="-3"/>
          <w:sz w:val="20"/>
        </w:rPr>
        <w:t> </w:t>
      </w:r>
      <w:r>
        <w:rPr>
          <w:color w:val="231F20"/>
          <w:sz w:val="20"/>
        </w:rPr>
        <w:t>положительных</w:t>
      </w:r>
      <w:r>
        <w:rPr>
          <w:color w:val="231F20"/>
          <w:spacing w:val="-3"/>
          <w:sz w:val="20"/>
        </w:rPr>
        <w:t> </w:t>
      </w:r>
      <w:r>
        <w:rPr>
          <w:color w:val="231F20"/>
          <w:sz w:val="20"/>
        </w:rPr>
        <w:t>сторон</w:t>
      </w:r>
      <w:r>
        <w:rPr>
          <w:color w:val="231F20"/>
          <w:spacing w:val="-3"/>
          <w:sz w:val="20"/>
        </w:rPr>
        <w:t> </w:t>
      </w:r>
      <w:r>
        <w:rPr>
          <w:color w:val="231F20"/>
          <w:sz w:val="20"/>
        </w:rPr>
        <w:t>в</w:t>
      </w:r>
      <w:r>
        <w:rPr>
          <w:color w:val="231F20"/>
          <w:spacing w:val="-3"/>
          <w:sz w:val="20"/>
        </w:rPr>
        <w:t> </w:t>
      </w:r>
      <w:r>
        <w:rPr>
          <w:color w:val="231F20"/>
          <w:sz w:val="20"/>
        </w:rPr>
        <w:t>непохожем</w:t>
      </w:r>
      <w:r>
        <w:rPr>
          <w:color w:val="231F20"/>
          <w:spacing w:val="-3"/>
          <w:sz w:val="20"/>
        </w:rPr>
        <w:t> </w:t>
      </w:r>
      <w:r>
        <w:rPr>
          <w:color w:val="231F20"/>
          <w:sz w:val="20"/>
        </w:rPr>
        <w:t>и</w:t>
      </w:r>
      <w:r>
        <w:rPr>
          <w:color w:val="231F20"/>
          <w:spacing w:val="-3"/>
          <w:sz w:val="20"/>
        </w:rPr>
        <w:t> </w:t>
      </w:r>
      <w:r>
        <w:rPr>
          <w:color w:val="231F20"/>
          <w:sz w:val="20"/>
        </w:rPr>
        <w:t>непривычном,</w:t>
      </w:r>
      <w:r>
        <w:rPr>
          <w:color w:val="231F20"/>
          <w:spacing w:val="-3"/>
          <w:sz w:val="20"/>
        </w:rPr>
        <w:t> </w:t>
      </w:r>
      <w:r>
        <w:rPr>
          <w:color w:val="231F20"/>
          <w:sz w:val="20"/>
        </w:rPr>
        <w:t>развитие</w:t>
      </w:r>
      <w:r>
        <w:rPr>
          <w:color w:val="231F20"/>
          <w:spacing w:val="-3"/>
          <w:sz w:val="20"/>
        </w:rPr>
        <w:t> </w:t>
      </w:r>
      <w:r>
        <w:rPr>
          <w:color w:val="231F20"/>
          <w:sz w:val="20"/>
        </w:rPr>
        <w:t>понима- ния преимуществ разнообразия в мире.</w:t>
      </w:r>
    </w:p>
    <w:p>
      <w:pPr>
        <w:pStyle w:val="BodyText"/>
        <w:spacing w:line="223" w:lineRule="exact"/>
        <w:ind w:right="0" w:firstLine="0"/>
        <w:jc w:val="left"/>
      </w:pPr>
      <w:r>
        <w:rPr>
          <w:color w:val="231F20"/>
        </w:rPr>
        <w:t>в)</w:t>
      </w:r>
      <w:r>
        <w:rPr>
          <w:color w:val="231F20"/>
          <w:spacing w:val="57"/>
        </w:rPr>
        <w:t> </w:t>
      </w:r>
      <w:r>
        <w:rPr>
          <w:color w:val="231F20"/>
        </w:rPr>
        <w:t>Другая</w:t>
      </w:r>
      <w:r>
        <w:rPr>
          <w:color w:val="231F20"/>
          <w:spacing w:val="-6"/>
        </w:rPr>
        <w:t> </w:t>
      </w:r>
      <w:r>
        <w:rPr>
          <w:color w:val="231F20"/>
        </w:rPr>
        <w:t>культура:</w:t>
      </w:r>
      <w:r>
        <w:rPr>
          <w:color w:val="231F20"/>
          <w:spacing w:val="-6"/>
        </w:rPr>
        <w:t> </w:t>
      </w:r>
      <w:r>
        <w:rPr>
          <w:color w:val="231F20"/>
        </w:rPr>
        <w:t>возможно</w:t>
      </w:r>
      <w:r>
        <w:rPr>
          <w:color w:val="231F20"/>
          <w:spacing w:val="-6"/>
        </w:rPr>
        <w:t> </w:t>
      </w:r>
      <w:r>
        <w:rPr>
          <w:color w:val="231F20"/>
        </w:rPr>
        <w:t>ли</w:t>
      </w:r>
      <w:r>
        <w:rPr>
          <w:color w:val="231F20"/>
          <w:spacing w:val="-6"/>
        </w:rPr>
        <w:t> </w:t>
      </w:r>
      <w:r>
        <w:rPr>
          <w:color w:val="231F20"/>
          <w:spacing w:val="-2"/>
        </w:rPr>
        <w:t>понимание?</w:t>
      </w:r>
    </w:p>
    <w:p>
      <w:pPr>
        <w:pStyle w:val="BodyText"/>
        <w:spacing w:line="224" w:lineRule="exact"/>
        <w:ind w:left="425" w:right="0" w:firstLine="0"/>
        <w:jc w:val="left"/>
      </w:pPr>
      <w:r>
        <w:rPr>
          <w:color w:val="231F20"/>
          <w:spacing w:val="-2"/>
        </w:rPr>
        <w:t>Цели:</w:t>
      </w:r>
    </w:p>
    <w:p>
      <w:pPr>
        <w:pStyle w:val="ListParagraph"/>
        <w:numPr>
          <w:ilvl w:val="2"/>
          <w:numId w:val="107"/>
        </w:numPr>
        <w:tabs>
          <w:tab w:pos="708" w:val="left" w:leader="none"/>
        </w:tabs>
        <w:spacing w:line="232" w:lineRule="auto" w:before="0" w:after="0"/>
        <w:ind w:left="708" w:right="139" w:hanging="284"/>
        <w:jc w:val="left"/>
        <w:rPr>
          <w:sz w:val="20"/>
        </w:rPr>
      </w:pPr>
      <w:r>
        <w:rPr>
          <w:color w:val="231F20"/>
          <w:sz w:val="20"/>
        </w:rPr>
        <w:t>развитие</w:t>
      </w:r>
      <w:r>
        <w:rPr>
          <w:color w:val="231F20"/>
          <w:spacing w:val="-13"/>
          <w:sz w:val="20"/>
        </w:rPr>
        <w:t> </w:t>
      </w:r>
      <w:r>
        <w:rPr>
          <w:color w:val="231F20"/>
          <w:sz w:val="20"/>
        </w:rPr>
        <w:t>межкультурной</w:t>
      </w:r>
      <w:r>
        <w:rPr>
          <w:color w:val="231F20"/>
          <w:spacing w:val="-12"/>
          <w:sz w:val="20"/>
        </w:rPr>
        <w:t> </w:t>
      </w:r>
      <w:r>
        <w:rPr>
          <w:color w:val="231F20"/>
          <w:sz w:val="20"/>
        </w:rPr>
        <w:t>компетентности</w:t>
      </w:r>
      <w:r>
        <w:rPr>
          <w:color w:val="231F20"/>
          <w:spacing w:val="-13"/>
          <w:sz w:val="20"/>
        </w:rPr>
        <w:t> </w:t>
      </w:r>
      <w:r>
        <w:rPr>
          <w:color w:val="231F20"/>
          <w:sz w:val="20"/>
        </w:rPr>
        <w:t>путем</w:t>
      </w:r>
      <w:r>
        <w:rPr>
          <w:color w:val="231F20"/>
          <w:spacing w:val="-12"/>
          <w:sz w:val="20"/>
        </w:rPr>
        <w:t> </w:t>
      </w:r>
      <w:r>
        <w:rPr>
          <w:color w:val="231F20"/>
          <w:sz w:val="20"/>
        </w:rPr>
        <w:t>приобретения</w:t>
      </w:r>
      <w:r>
        <w:rPr>
          <w:color w:val="231F20"/>
          <w:spacing w:val="-13"/>
          <w:sz w:val="20"/>
        </w:rPr>
        <w:t> </w:t>
      </w:r>
      <w:r>
        <w:rPr>
          <w:color w:val="231F20"/>
          <w:sz w:val="20"/>
        </w:rPr>
        <w:t>знаний</w:t>
      </w:r>
      <w:r>
        <w:rPr>
          <w:color w:val="231F20"/>
          <w:spacing w:val="-12"/>
          <w:sz w:val="20"/>
        </w:rPr>
        <w:t> </w:t>
      </w:r>
      <w:r>
        <w:rPr>
          <w:color w:val="231F20"/>
          <w:sz w:val="20"/>
        </w:rPr>
        <w:t>о</w:t>
      </w:r>
      <w:r>
        <w:rPr>
          <w:color w:val="231F20"/>
          <w:spacing w:val="-13"/>
          <w:sz w:val="20"/>
        </w:rPr>
        <w:t> </w:t>
      </w:r>
      <w:r>
        <w:rPr>
          <w:color w:val="231F20"/>
          <w:sz w:val="20"/>
        </w:rPr>
        <w:t>тради- циях, обычаях, особенностях поведения в других культурах;</w:t>
      </w:r>
    </w:p>
    <w:p>
      <w:pPr>
        <w:pStyle w:val="ListParagraph"/>
        <w:numPr>
          <w:ilvl w:val="2"/>
          <w:numId w:val="107"/>
        </w:numPr>
        <w:tabs>
          <w:tab w:pos="708" w:val="left" w:leader="none"/>
        </w:tabs>
        <w:spacing w:line="228" w:lineRule="auto" w:before="0" w:after="0"/>
        <w:ind w:left="708" w:right="139" w:hanging="284"/>
        <w:jc w:val="left"/>
        <w:rPr>
          <w:sz w:val="20"/>
        </w:rPr>
      </w:pPr>
      <w:r>
        <w:rPr>
          <w:color w:val="231F20"/>
          <w:sz w:val="20"/>
        </w:rPr>
        <w:t>развитие</w:t>
      </w:r>
      <w:r>
        <w:rPr>
          <w:color w:val="231F20"/>
          <w:spacing w:val="-5"/>
          <w:sz w:val="20"/>
        </w:rPr>
        <w:t> </w:t>
      </w:r>
      <w:r>
        <w:rPr>
          <w:color w:val="231F20"/>
          <w:sz w:val="20"/>
        </w:rPr>
        <w:t>сензитивности</w:t>
      </w:r>
      <w:r>
        <w:rPr>
          <w:color w:val="231F20"/>
          <w:spacing w:val="-5"/>
          <w:sz w:val="20"/>
        </w:rPr>
        <w:t> </w:t>
      </w:r>
      <w:r>
        <w:rPr>
          <w:color w:val="231F20"/>
          <w:sz w:val="20"/>
        </w:rPr>
        <w:t>и</w:t>
      </w:r>
      <w:r>
        <w:rPr>
          <w:color w:val="231F20"/>
          <w:spacing w:val="-5"/>
          <w:sz w:val="20"/>
        </w:rPr>
        <w:t> </w:t>
      </w:r>
      <w:r>
        <w:rPr>
          <w:color w:val="231F20"/>
          <w:sz w:val="20"/>
        </w:rPr>
        <w:t>социального</w:t>
      </w:r>
      <w:r>
        <w:rPr>
          <w:color w:val="231F20"/>
          <w:spacing w:val="-5"/>
          <w:sz w:val="20"/>
        </w:rPr>
        <w:t> </w:t>
      </w:r>
      <w:r>
        <w:rPr>
          <w:color w:val="231F20"/>
          <w:sz w:val="20"/>
        </w:rPr>
        <w:t>внимания</w:t>
      </w:r>
      <w:r>
        <w:rPr>
          <w:color w:val="231F20"/>
          <w:spacing w:val="-5"/>
          <w:sz w:val="20"/>
        </w:rPr>
        <w:t> </w:t>
      </w:r>
      <w:r>
        <w:rPr>
          <w:color w:val="231F20"/>
          <w:sz w:val="20"/>
        </w:rPr>
        <w:t>в</w:t>
      </w:r>
      <w:r>
        <w:rPr>
          <w:color w:val="231F20"/>
          <w:spacing w:val="-5"/>
          <w:sz w:val="20"/>
        </w:rPr>
        <w:t> </w:t>
      </w:r>
      <w:r>
        <w:rPr>
          <w:color w:val="231F20"/>
          <w:sz w:val="20"/>
        </w:rPr>
        <w:t>ситуациях</w:t>
      </w:r>
      <w:r>
        <w:rPr>
          <w:color w:val="231F20"/>
          <w:spacing w:val="-5"/>
          <w:sz w:val="20"/>
        </w:rPr>
        <w:t> </w:t>
      </w:r>
      <w:r>
        <w:rPr>
          <w:color w:val="231F20"/>
          <w:sz w:val="20"/>
        </w:rPr>
        <w:t>взаимодействия с представителями других культур;</w:t>
      </w:r>
    </w:p>
    <w:p>
      <w:pPr>
        <w:pStyle w:val="ListParagraph"/>
        <w:numPr>
          <w:ilvl w:val="2"/>
          <w:numId w:val="107"/>
        </w:numPr>
        <w:tabs>
          <w:tab w:pos="708" w:val="left" w:leader="none"/>
        </w:tabs>
        <w:spacing w:line="214" w:lineRule="exact" w:before="0" w:after="0"/>
        <w:ind w:left="708" w:right="0" w:hanging="283"/>
        <w:jc w:val="left"/>
        <w:rPr>
          <w:sz w:val="20"/>
        </w:rPr>
      </w:pPr>
      <w:r>
        <w:rPr>
          <w:color w:val="231F20"/>
          <w:sz w:val="20"/>
        </w:rPr>
        <w:t>формирование</w:t>
      </w:r>
      <w:r>
        <w:rPr>
          <w:color w:val="231F20"/>
          <w:spacing w:val="-11"/>
          <w:sz w:val="20"/>
        </w:rPr>
        <w:t> </w:t>
      </w:r>
      <w:r>
        <w:rPr>
          <w:color w:val="231F20"/>
          <w:sz w:val="20"/>
        </w:rPr>
        <w:t>позитивного</w:t>
      </w:r>
      <w:r>
        <w:rPr>
          <w:color w:val="231F20"/>
          <w:spacing w:val="-10"/>
          <w:sz w:val="20"/>
        </w:rPr>
        <w:t> </w:t>
      </w:r>
      <w:r>
        <w:rPr>
          <w:color w:val="231F20"/>
          <w:sz w:val="20"/>
        </w:rPr>
        <w:t>отношения</w:t>
      </w:r>
      <w:r>
        <w:rPr>
          <w:color w:val="231F20"/>
          <w:spacing w:val="-11"/>
          <w:sz w:val="20"/>
        </w:rPr>
        <w:t> </w:t>
      </w:r>
      <w:r>
        <w:rPr>
          <w:color w:val="231F20"/>
          <w:sz w:val="20"/>
        </w:rPr>
        <w:t>к</w:t>
      </w:r>
      <w:r>
        <w:rPr>
          <w:color w:val="231F20"/>
          <w:spacing w:val="-10"/>
          <w:sz w:val="20"/>
        </w:rPr>
        <w:t> </w:t>
      </w:r>
      <w:r>
        <w:rPr>
          <w:color w:val="231F20"/>
          <w:sz w:val="20"/>
        </w:rPr>
        <w:t>межкультурным</w:t>
      </w:r>
      <w:r>
        <w:rPr>
          <w:color w:val="231F20"/>
          <w:spacing w:val="-10"/>
          <w:sz w:val="20"/>
        </w:rPr>
        <w:t> </w:t>
      </w:r>
      <w:r>
        <w:rPr>
          <w:color w:val="231F20"/>
          <w:spacing w:val="-2"/>
          <w:sz w:val="20"/>
        </w:rPr>
        <w:t>различиям;</w:t>
      </w:r>
    </w:p>
    <w:p>
      <w:pPr>
        <w:pStyle w:val="ListParagraph"/>
        <w:numPr>
          <w:ilvl w:val="2"/>
          <w:numId w:val="107"/>
        </w:numPr>
        <w:tabs>
          <w:tab w:pos="708" w:val="left" w:leader="none"/>
        </w:tabs>
        <w:spacing w:line="228" w:lineRule="auto" w:before="2" w:after="0"/>
        <w:ind w:left="708" w:right="139" w:hanging="284"/>
        <w:jc w:val="left"/>
        <w:rPr>
          <w:sz w:val="20"/>
        </w:rPr>
      </w:pPr>
      <w:r>
        <w:rPr>
          <w:color w:val="231F20"/>
          <w:sz w:val="20"/>
        </w:rPr>
        <w:t>развитие</w:t>
      </w:r>
      <w:r>
        <w:rPr>
          <w:color w:val="231F20"/>
          <w:spacing w:val="-12"/>
          <w:sz w:val="20"/>
        </w:rPr>
        <w:t> </w:t>
      </w:r>
      <w:r>
        <w:rPr>
          <w:color w:val="231F20"/>
          <w:sz w:val="20"/>
        </w:rPr>
        <w:t>готовности</w:t>
      </w:r>
      <w:r>
        <w:rPr>
          <w:color w:val="231F20"/>
          <w:spacing w:val="-12"/>
          <w:sz w:val="20"/>
        </w:rPr>
        <w:t> </w:t>
      </w:r>
      <w:r>
        <w:rPr>
          <w:color w:val="231F20"/>
          <w:sz w:val="20"/>
        </w:rPr>
        <w:t>понимать</w:t>
      </w:r>
      <w:r>
        <w:rPr>
          <w:color w:val="231F20"/>
          <w:spacing w:val="-12"/>
          <w:sz w:val="20"/>
        </w:rPr>
        <w:t> </w:t>
      </w:r>
      <w:r>
        <w:rPr>
          <w:color w:val="231F20"/>
          <w:sz w:val="20"/>
        </w:rPr>
        <w:t>нормы</w:t>
      </w:r>
      <w:r>
        <w:rPr>
          <w:color w:val="231F20"/>
          <w:spacing w:val="-12"/>
          <w:sz w:val="20"/>
        </w:rPr>
        <w:t> </w:t>
      </w:r>
      <w:r>
        <w:rPr>
          <w:color w:val="231F20"/>
          <w:sz w:val="20"/>
        </w:rPr>
        <w:t>и</w:t>
      </w:r>
      <w:r>
        <w:rPr>
          <w:color w:val="231F20"/>
          <w:spacing w:val="-12"/>
          <w:sz w:val="20"/>
        </w:rPr>
        <w:t> </w:t>
      </w:r>
      <w:r>
        <w:rPr>
          <w:color w:val="231F20"/>
          <w:sz w:val="20"/>
        </w:rPr>
        <w:t>ценности</w:t>
      </w:r>
      <w:r>
        <w:rPr>
          <w:color w:val="231F20"/>
          <w:spacing w:val="-12"/>
          <w:sz w:val="20"/>
        </w:rPr>
        <w:t> </w:t>
      </w:r>
      <w:r>
        <w:rPr>
          <w:color w:val="231F20"/>
          <w:sz w:val="20"/>
        </w:rPr>
        <w:t>другой</w:t>
      </w:r>
      <w:r>
        <w:rPr>
          <w:color w:val="231F20"/>
          <w:spacing w:val="-12"/>
          <w:sz w:val="20"/>
        </w:rPr>
        <w:t> </w:t>
      </w:r>
      <w:r>
        <w:rPr>
          <w:color w:val="231F20"/>
          <w:sz w:val="20"/>
        </w:rPr>
        <w:t>культуры</w:t>
      </w:r>
      <w:r>
        <w:rPr>
          <w:color w:val="231F20"/>
          <w:spacing w:val="-12"/>
          <w:sz w:val="20"/>
        </w:rPr>
        <w:t> </w:t>
      </w:r>
      <w:r>
        <w:rPr>
          <w:color w:val="231F20"/>
          <w:sz w:val="20"/>
        </w:rPr>
        <w:t>и</w:t>
      </w:r>
      <w:r>
        <w:rPr>
          <w:color w:val="231F20"/>
          <w:spacing w:val="-12"/>
          <w:sz w:val="20"/>
        </w:rPr>
        <w:t> </w:t>
      </w:r>
      <w:r>
        <w:rPr>
          <w:color w:val="231F20"/>
          <w:sz w:val="20"/>
        </w:rPr>
        <w:t>при</w:t>
      </w:r>
      <w:r>
        <w:rPr>
          <w:color w:val="231F20"/>
          <w:spacing w:val="-12"/>
          <w:sz w:val="20"/>
        </w:rPr>
        <w:t> </w:t>
      </w:r>
      <w:r>
        <w:rPr>
          <w:color w:val="231F20"/>
          <w:sz w:val="20"/>
        </w:rPr>
        <w:t>необ- ходимости следовать им;</w:t>
      </w:r>
    </w:p>
    <w:p>
      <w:pPr>
        <w:pStyle w:val="ListParagraph"/>
        <w:numPr>
          <w:ilvl w:val="2"/>
          <w:numId w:val="107"/>
        </w:numPr>
        <w:tabs>
          <w:tab w:pos="708" w:val="left" w:leader="none"/>
        </w:tabs>
        <w:spacing w:line="214" w:lineRule="exact" w:before="0" w:after="0"/>
        <w:ind w:left="708" w:right="0" w:hanging="283"/>
        <w:jc w:val="left"/>
        <w:rPr>
          <w:sz w:val="20"/>
        </w:rPr>
      </w:pPr>
      <w:r>
        <w:rPr>
          <w:color w:val="231F20"/>
          <w:sz w:val="20"/>
        </w:rPr>
        <w:t>развитие</w:t>
      </w:r>
      <w:r>
        <w:rPr>
          <w:color w:val="231F20"/>
          <w:spacing w:val="-5"/>
          <w:sz w:val="20"/>
        </w:rPr>
        <w:t> </w:t>
      </w:r>
      <w:r>
        <w:rPr>
          <w:color w:val="231F20"/>
          <w:sz w:val="20"/>
        </w:rPr>
        <w:t>навыков</w:t>
      </w:r>
      <w:r>
        <w:rPr>
          <w:color w:val="231F20"/>
          <w:spacing w:val="-6"/>
          <w:sz w:val="20"/>
        </w:rPr>
        <w:t> </w:t>
      </w:r>
      <w:r>
        <w:rPr>
          <w:color w:val="231F20"/>
          <w:sz w:val="20"/>
        </w:rPr>
        <w:t>вербальной</w:t>
      </w:r>
      <w:r>
        <w:rPr>
          <w:color w:val="231F20"/>
          <w:spacing w:val="-6"/>
          <w:sz w:val="20"/>
        </w:rPr>
        <w:t> </w:t>
      </w:r>
      <w:r>
        <w:rPr>
          <w:color w:val="231F20"/>
          <w:sz w:val="20"/>
        </w:rPr>
        <w:t>и</w:t>
      </w:r>
      <w:r>
        <w:rPr>
          <w:color w:val="231F20"/>
          <w:spacing w:val="-6"/>
          <w:sz w:val="20"/>
        </w:rPr>
        <w:t> </w:t>
      </w:r>
      <w:r>
        <w:rPr>
          <w:color w:val="231F20"/>
          <w:sz w:val="20"/>
        </w:rPr>
        <w:t>невербальной</w:t>
      </w:r>
      <w:r>
        <w:rPr>
          <w:color w:val="231F20"/>
          <w:spacing w:val="-5"/>
          <w:sz w:val="20"/>
        </w:rPr>
        <w:t> </w:t>
      </w:r>
      <w:r>
        <w:rPr>
          <w:color w:val="231F20"/>
          <w:spacing w:val="-2"/>
          <w:sz w:val="20"/>
        </w:rPr>
        <w:t>коммуникации;</w:t>
      </w:r>
    </w:p>
    <w:p>
      <w:pPr>
        <w:pStyle w:val="ListParagraph"/>
        <w:numPr>
          <w:ilvl w:val="2"/>
          <w:numId w:val="107"/>
        </w:numPr>
        <w:tabs>
          <w:tab w:pos="708" w:val="left" w:leader="none"/>
        </w:tabs>
        <w:spacing w:line="228" w:lineRule="auto" w:before="4" w:after="0"/>
        <w:ind w:left="708" w:right="139" w:hanging="284"/>
        <w:jc w:val="left"/>
        <w:rPr>
          <w:sz w:val="20"/>
        </w:rPr>
      </w:pPr>
      <w:r>
        <w:rPr>
          <w:color w:val="231F20"/>
          <w:sz w:val="20"/>
        </w:rPr>
        <w:t>развитие этнокультурной толерантности, формирование толерантных устано- вок по отношению к людям других культур, рас и национальностей;</w:t>
      </w:r>
    </w:p>
    <w:p>
      <w:pPr>
        <w:pStyle w:val="ListParagraph"/>
        <w:numPr>
          <w:ilvl w:val="2"/>
          <w:numId w:val="107"/>
        </w:numPr>
        <w:tabs>
          <w:tab w:pos="708" w:val="left" w:leader="none"/>
        </w:tabs>
        <w:spacing w:line="228" w:lineRule="auto" w:before="0" w:after="0"/>
        <w:ind w:left="708" w:right="140" w:hanging="284"/>
        <w:jc w:val="left"/>
        <w:rPr>
          <w:sz w:val="20"/>
        </w:rPr>
      </w:pPr>
      <w:r>
        <w:rPr>
          <w:color w:val="231F20"/>
          <w:sz w:val="20"/>
        </w:rPr>
        <w:t>формирование</w:t>
      </w:r>
      <w:r>
        <w:rPr>
          <w:color w:val="231F20"/>
          <w:spacing w:val="36"/>
          <w:sz w:val="20"/>
        </w:rPr>
        <w:t> </w:t>
      </w:r>
      <w:r>
        <w:rPr>
          <w:color w:val="231F20"/>
          <w:sz w:val="20"/>
        </w:rPr>
        <w:t>стремления</w:t>
      </w:r>
      <w:r>
        <w:rPr>
          <w:color w:val="231F20"/>
          <w:spacing w:val="36"/>
          <w:sz w:val="20"/>
        </w:rPr>
        <w:t> </w:t>
      </w:r>
      <w:r>
        <w:rPr>
          <w:color w:val="231F20"/>
          <w:sz w:val="20"/>
        </w:rPr>
        <w:t>использовать</w:t>
      </w:r>
      <w:r>
        <w:rPr>
          <w:color w:val="231F20"/>
          <w:spacing w:val="36"/>
          <w:sz w:val="20"/>
        </w:rPr>
        <w:t> </w:t>
      </w:r>
      <w:r>
        <w:rPr>
          <w:color w:val="231F20"/>
          <w:sz w:val="20"/>
        </w:rPr>
        <w:t>позитивную</w:t>
      </w:r>
      <w:r>
        <w:rPr>
          <w:color w:val="231F20"/>
          <w:spacing w:val="37"/>
          <w:sz w:val="20"/>
        </w:rPr>
        <w:t> </w:t>
      </w:r>
      <w:r>
        <w:rPr>
          <w:color w:val="231F20"/>
          <w:sz w:val="20"/>
        </w:rPr>
        <w:t>лексику</w:t>
      </w:r>
      <w:r>
        <w:rPr>
          <w:color w:val="231F20"/>
          <w:spacing w:val="36"/>
          <w:sz w:val="20"/>
        </w:rPr>
        <w:t> </w:t>
      </w:r>
      <w:r>
        <w:rPr>
          <w:color w:val="231F20"/>
          <w:sz w:val="20"/>
        </w:rPr>
        <w:t>в</w:t>
      </w:r>
      <w:r>
        <w:rPr>
          <w:color w:val="231F20"/>
          <w:spacing w:val="36"/>
          <w:sz w:val="20"/>
        </w:rPr>
        <w:t> </w:t>
      </w:r>
      <w:r>
        <w:rPr>
          <w:color w:val="231F20"/>
          <w:sz w:val="20"/>
        </w:rPr>
        <w:t>отношении других культур, рас и национальностей;</w:t>
      </w:r>
    </w:p>
    <w:p>
      <w:pPr>
        <w:pStyle w:val="ListParagraph"/>
        <w:numPr>
          <w:ilvl w:val="2"/>
          <w:numId w:val="107"/>
        </w:numPr>
        <w:tabs>
          <w:tab w:pos="708" w:val="left" w:leader="none"/>
        </w:tabs>
        <w:spacing w:line="220" w:lineRule="exact" w:before="0" w:after="0"/>
        <w:ind w:left="708" w:right="0" w:hanging="283"/>
        <w:jc w:val="left"/>
        <w:rPr>
          <w:sz w:val="20"/>
        </w:rPr>
      </w:pPr>
      <w:r>
        <w:rPr>
          <w:color w:val="231F20"/>
          <w:sz w:val="20"/>
        </w:rPr>
        <w:t>профилактика</w:t>
      </w:r>
      <w:r>
        <w:rPr>
          <w:color w:val="231F20"/>
          <w:spacing w:val="-7"/>
          <w:sz w:val="20"/>
        </w:rPr>
        <w:t> </w:t>
      </w:r>
      <w:r>
        <w:rPr>
          <w:color w:val="231F20"/>
          <w:spacing w:val="-2"/>
          <w:sz w:val="20"/>
        </w:rPr>
        <w:t>ксенофобии.</w:t>
      </w:r>
    </w:p>
    <w:p>
      <w:pPr>
        <w:pStyle w:val="BodyText"/>
        <w:spacing w:line="228" w:lineRule="auto" w:before="110"/>
      </w:pPr>
      <w:r>
        <w:rPr>
          <w:b/>
          <w:i/>
          <w:color w:val="231F20"/>
        </w:rPr>
        <w:t>Четвертая программа </w:t>
      </w:r>
      <w:r>
        <w:rPr>
          <w:color w:val="231F20"/>
        </w:rPr>
        <w:t>«Позволь другим быть другими: тренинг толерантности для</w:t>
      </w:r>
      <w:r>
        <w:rPr>
          <w:color w:val="231F20"/>
          <w:spacing w:val="-13"/>
        </w:rPr>
        <w:t> </w:t>
      </w:r>
      <w:r>
        <w:rPr>
          <w:color w:val="231F20"/>
        </w:rPr>
        <w:t>подростков</w:t>
      </w:r>
      <w:r>
        <w:rPr>
          <w:color w:val="231F20"/>
          <w:spacing w:val="-12"/>
        </w:rPr>
        <w:t> </w:t>
      </w:r>
      <w:r>
        <w:rPr>
          <w:color w:val="231F20"/>
        </w:rPr>
        <w:t>по</w:t>
      </w:r>
      <w:r>
        <w:rPr>
          <w:color w:val="231F20"/>
          <w:spacing w:val="-13"/>
        </w:rPr>
        <w:t> </w:t>
      </w:r>
      <w:r>
        <w:rPr>
          <w:color w:val="231F20"/>
        </w:rPr>
        <w:t>преодолению</w:t>
      </w:r>
      <w:r>
        <w:rPr>
          <w:color w:val="231F20"/>
          <w:spacing w:val="-12"/>
        </w:rPr>
        <w:t> </w:t>
      </w:r>
      <w:r>
        <w:rPr>
          <w:color w:val="231F20"/>
        </w:rPr>
        <w:t>мигрантофобии»</w:t>
      </w:r>
      <w:r>
        <w:rPr>
          <w:color w:val="231F20"/>
          <w:spacing w:val="-13"/>
        </w:rPr>
        <w:t> </w:t>
      </w:r>
      <w:r>
        <w:rPr>
          <w:color w:val="231F20"/>
        </w:rPr>
        <w:t>(Солдатова,</w:t>
      </w:r>
      <w:r>
        <w:rPr>
          <w:color w:val="231F20"/>
          <w:spacing w:val="-12"/>
        </w:rPr>
        <w:t> </w:t>
      </w:r>
      <w:r>
        <w:rPr>
          <w:color w:val="231F20"/>
        </w:rPr>
        <w:t>Шайгерова,</w:t>
      </w:r>
      <w:r>
        <w:rPr>
          <w:color w:val="231F20"/>
          <w:spacing w:val="-13"/>
        </w:rPr>
        <w:t> </w:t>
      </w:r>
      <w:r>
        <w:rPr>
          <w:color w:val="231F20"/>
        </w:rPr>
        <w:t>Макарчук, Хухлаев,</w:t>
      </w:r>
      <w:r>
        <w:rPr>
          <w:color w:val="231F20"/>
          <w:spacing w:val="-9"/>
        </w:rPr>
        <w:t> </w:t>
      </w:r>
      <w:r>
        <w:rPr>
          <w:color w:val="231F20"/>
        </w:rPr>
        <w:t>2002).</w:t>
      </w:r>
      <w:r>
        <w:rPr>
          <w:color w:val="231F20"/>
          <w:spacing w:val="-9"/>
        </w:rPr>
        <w:t> </w:t>
      </w:r>
      <w:r>
        <w:rPr>
          <w:color w:val="231F20"/>
        </w:rPr>
        <w:t>Как</w:t>
      </w:r>
      <w:r>
        <w:rPr>
          <w:color w:val="231F20"/>
          <w:spacing w:val="-9"/>
        </w:rPr>
        <w:t> </w:t>
      </w:r>
      <w:r>
        <w:rPr>
          <w:color w:val="231F20"/>
        </w:rPr>
        <w:t>отмечают</w:t>
      </w:r>
      <w:r>
        <w:rPr>
          <w:color w:val="231F20"/>
          <w:spacing w:val="-9"/>
        </w:rPr>
        <w:t> </w:t>
      </w:r>
      <w:r>
        <w:rPr>
          <w:color w:val="231F20"/>
        </w:rPr>
        <w:t>авторы,</w:t>
      </w:r>
      <w:r>
        <w:rPr>
          <w:color w:val="231F20"/>
          <w:spacing w:val="-9"/>
        </w:rPr>
        <w:t> </w:t>
      </w:r>
      <w:r>
        <w:rPr>
          <w:color w:val="231F20"/>
        </w:rPr>
        <w:t>специальная</w:t>
      </w:r>
      <w:r>
        <w:rPr>
          <w:color w:val="231F20"/>
          <w:spacing w:val="-9"/>
        </w:rPr>
        <w:t> </w:t>
      </w:r>
      <w:r>
        <w:rPr>
          <w:color w:val="231F20"/>
        </w:rPr>
        <w:t>цель</w:t>
      </w:r>
      <w:r>
        <w:rPr>
          <w:color w:val="231F20"/>
          <w:spacing w:val="-9"/>
        </w:rPr>
        <w:t> </w:t>
      </w:r>
      <w:r>
        <w:rPr>
          <w:color w:val="231F20"/>
        </w:rPr>
        <w:t>программы</w:t>
      </w:r>
      <w:r>
        <w:rPr>
          <w:color w:val="231F20"/>
          <w:spacing w:val="-9"/>
        </w:rPr>
        <w:t> </w:t>
      </w:r>
      <w:r>
        <w:rPr>
          <w:color w:val="231F20"/>
        </w:rPr>
        <w:t>–</w:t>
      </w:r>
      <w:r>
        <w:rPr>
          <w:color w:val="231F20"/>
          <w:spacing w:val="-9"/>
        </w:rPr>
        <w:t> </w:t>
      </w:r>
      <w:r>
        <w:rPr>
          <w:color w:val="231F20"/>
        </w:rPr>
        <w:t>формирование у</w:t>
      </w:r>
      <w:r>
        <w:rPr>
          <w:color w:val="231F20"/>
          <w:spacing w:val="-5"/>
        </w:rPr>
        <w:t> </w:t>
      </w:r>
      <w:r>
        <w:rPr>
          <w:color w:val="231F20"/>
        </w:rPr>
        <w:t>подростков</w:t>
      </w:r>
      <w:r>
        <w:rPr>
          <w:color w:val="231F20"/>
          <w:spacing w:val="-5"/>
        </w:rPr>
        <w:t> </w:t>
      </w:r>
      <w:r>
        <w:rPr>
          <w:color w:val="231F20"/>
        </w:rPr>
        <w:t>установок</w:t>
      </w:r>
      <w:r>
        <w:rPr>
          <w:color w:val="231F20"/>
          <w:spacing w:val="-5"/>
        </w:rPr>
        <w:t> </w:t>
      </w:r>
      <w:r>
        <w:rPr>
          <w:color w:val="231F20"/>
        </w:rPr>
        <w:t>толерантного</w:t>
      </w:r>
      <w:r>
        <w:rPr>
          <w:color w:val="231F20"/>
          <w:spacing w:val="-5"/>
        </w:rPr>
        <w:t> </w:t>
      </w:r>
      <w:r>
        <w:rPr>
          <w:color w:val="231F20"/>
        </w:rPr>
        <w:t>поведения</w:t>
      </w:r>
      <w:r>
        <w:rPr>
          <w:color w:val="231F20"/>
          <w:spacing w:val="-5"/>
        </w:rPr>
        <w:t> </w:t>
      </w:r>
      <w:r>
        <w:rPr>
          <w:color w:val="231F20"/>
        </w:rPr>
        <w:t>в</w:t>
      </w:r>
      <w:r>
        <w:rPr>
          <w:color w:val="231F20"/>
          <w:spacing w:val="-5"/>
        </w:rPr>
        <w:t> </w:t>
      </w:r>
      <w:r>
        <w:rPr>
          <w:color w:val="231F20"/>
        </w:rPr>
        <w:t>отношении</w:t>
      </w:r>
      <w:r>
        <w:rPr>
          <w:color w:val="231F20"/>
          <w:spacing w:val="-5"/>
        </w:rPr>
        <w:t> </w:t>
      </w:r>
      <w:r>
        <w:rPr>
          <w:color w:val="231F20"/>
        </w:rPr>
        <w:t>одной</w:t>
      </w:r>
      <w:r>
        <w:rPr>
          <w:color w:val="231F20"/>
          <w:spacing w:val="-5"/>
        </w:rPr>
        <w:t> </w:t>
      </w:r>
      <w:r>
        <w:rPr>
          <w:color w:val="231F20"/>
        </w:rPr>
        <w:t>из</w:t>
      </w:r>
      <w:r>
        <w:rPr>
          <w:color w:val="231F20"/>
          <w:spacing w:val="-5"/>
        </w:rPr>
        <w:t> </w:t>
      </w:r>
      <w:r>
        <w:rPr>
          <w:color w:val="231F20"/>
        </w:rPr>
        <w:t>наиболее</w:t>
      </w:r>
      <w:r>
        <w:rPr>
          <w:color w:val="231F20"/>
          <w:spacing w:val="-5"/>
        </w:rPr>
        <w:t> </w:t>
      </w:r>
      <w:r>
        <w:rPr>
          <w:color w:val="231F20"/>
        </w:rPr>
        <w:t>не- защищенных</w:t>
      </w:r>
      <w:r>
        <w:rPr>
          <w:color w:val="231F20"/>
          <w:spacing w:val="-3"/>
        </w:rPr>
        <w:t> </w:t>
      </w:r>
      <w:r>
        <w:rPr>
          <w:color w:val="231F20"/>
        </w:rPr>
        <w:t>и</w:t>
      </w:r>
      <w:r>
        <w:rPr>
          <w:color w:val="231F20"/>
          <w:spacing w:val="-4"/>
        </w:rPr>
        <w:t> </w:t>
      </w:r>
      <w:r>
        <w:rPr>
          <w:color w:val="231F20"/>
        </w:rPr>
        <w:t>уязвимых</w:t>
      </w:r>
      <w:r>
        <w:rPr>
          <w:color w:val="231F20"/>
          <w:spacing w:val="-4"/>
        </w:rPr>
        <w:t> </w:t>
      </w:r>
      <w:r>
        <w:rPr>
          <w:color w:val="231F20"/>
        </w:rPr>
        <w:t>групп</w:t>
      </w:r>
      <w:r>
        <w:rPr>
          <w:color w:val="231F20"/>
          <w:spacing w:val="-4"/>
        </w:rPr>
        <w:t> </w:t>
      </w:r>
      <w:r>
        <w:rPr>
          <w:color w:val="231F20"/>
        </w:rPr>
        <w:t>российского</w:t>
      </w:r>
      <w:r>
        <w:rPr>
          <w:color w:val="231F20"/>
          <w:spacing w:val="-4"/>
        </w:rPr>
        <w:t> </w:t>
      </w:r>
      <w:r>
        <w:rPr>
          <w:color w:val="231F20"/>
        </w:rPr>
        <w:t>общества</w:t>
      </w:r>
      <w:r>
        <w:rPr>
          <w:color w:val="231F20"/>
          <w:spacing w:val="-4"/>
        </w:rPr>
        <w:t> </w:t>
      </w:r>
      <w:r>
        <w:rPr>
          <w:color w:val="231F20"/>
        </w:rPr>
        <w:t>–</w:t>
      </w:r>
      <w:r>
        <w:rPr>
          <w:color w:val="231F20"/>
          <w:spacing w:val="-4"/>
        </w:rPr>
        <w:t> </w:t>
      </w:r>
      <w:r>
        <w:rPr>
          <w:color w:val="231F20"/>
        </w:rPr>
        <w:t>вынужденных</w:t>
      </w:r>
      <w:r>
        <w:rPr>
          <w:color w:val="231F20"/>
          <w:spacing w:val="-4"/>
        </w:rPr>
        <w:t> </w:t>
      </w:r>
      <w:r>
        <w:rPr>
          <w:color w:val="231F20"/>
        </w:rPr>
        <w:t>мигрантов.</w:t>
      </w:r>
      <w:r>
        <w:rPr>
          <w:color w:val="231F20"/>
          <w:spacing w:val="-3"/>
        </w:rPr>
        <w:t> </w:t>
      </w:r>
      <w:r>
        <w:rPr>
          <w:color w:val="231F20"/>
        </w:rPr>
        <w:t>В тренинге отрабатываются «различные социальные навыки, позволяющие подростку постигать</w:t>
      </w:r>
      <w:r>
        <w:rPr>
          <w:color w:val="231F20"/>
          <w:spacing w:val="-2"/>
        </w:rPr>
        <w:t> </w:t>
      </w:r>
      <w:r>
        <w:rPr>
          <w:color w:val="231F20"/>
        </w:rPr>
        <w:t>трудное</w:t>
      </w:r>
      <w:r>
        <w:rPr>
          <w:color w:val="231F20"/>
          <w:spacing w:val="-1"/>
        </w:rPr>
        <w:t> </w:t>
      </w:r>
      <w:r>
        <w:rPr>
          <w:color w:val="231F20"/>
        </w:rPr>
        <w:t>искусство</w:t>
      </w:r>
      <w:r>
        <w:rPr>
          <w:color w:val="231F20"/>
          <w:spacing w:val="-1"/>
        </w:rPr>
        <w:t> </w:t>
      </w:r>
      <w:r>
        <w:rPr>
          <w:color w:val="231F20"/>
        </w:rPr>
        <w:t>успешно</w:t>
      </w:r>
      <w:r>
        <w:rPr>
          <w:color w:val="231F20"/>
          <w:spacing w:val="-1"/>
        </w:rPr>
        <w:t> </w:t>
      </w:r>
      <w:r>
        <w:rPr>
          <w:color w:val="231F20"/>
        </w:rPr>
        <w:t>жить</w:t>
      </w:r>
      <w:r>
        <w:rPr>
          <w:color w:val="231F20"/>
          <w:spacing w:val="-2"/>
        </w:rPr>
        <w:t> </w:t>
      </w:r>
      <w:r>
        <w:rPr>
          <w:color w:val="231F20"/>
        </w:rPr>
        <w:t>в</w:t>
      </w:r>
      <w:r>
        <w:rPr>
          <w:color w:val="231F20"/>
          <w:spacing w:val="-2"/>
        </w:rPr>
        <w:t> </w:t>
      </w:r>
      <w:r>
        <w:rPr>
          <w:color w:val="231F20"/>
        </w:rPr>
        <w:t>мире</w:t>
      </w:r>
      <w:r>
        <w:rPr>
          <w:color w:val="231F20"/>
          <w:spacing w:val="-1"/>
        </w:rPr>
        <w:t> </w:t>
      </w:r>
      <w:r>
        <w:rPr>
          <w:color w:val="231F20"/>
        </w:rPr>
        <w:t>и</w:t>
      </w:r>
      <w:r>
        <w:rPr>
          <w:color w:val="231F20"/>
          <w:spacing w:val="-2"/>
        </w:rPr>
        <w:t> </w:t>
      </w:r>
      <w:r>
        <w:rPr>
          <w:color w:val="231F20"/>
        </w:rPr>
        <w:t>согласии</w:t>
      </w:r>
      <w:r>
        <w:rPr>
          <w:color w:val="231F20"/>
          <w:spacing w:val="-2"/>
        </w:rPr>
        <w:t> </w:t>
      </w:r>
      <w:r>
        <w:rPr>
          <w:color w:val="231F20"/>
        </w:rPr>
        <w:t>с</w:t>
      </w:r>
      <w:r>
        <w:rPr>
          <w:color w:val="231F20"/>
          <w:spacing w:val="-1"/>
        </w:rPr>
        <w:t> </w:t>
      </w:r>
      <w:r>
        <w:rPr>
          <w:color w:val="231F20"/>
        </w:rPr>
        <w:t>собой</w:t>
      </w:r>
      <w:r>
        <w:rPr>
          <w:color w:val="231F20"/>
          <w:spacing w:val="-2"/>
        </w:rPr>
        <w:t> </w:t>
      </w:r>
      <w:r>
        <w:rPr>
          <w:color w:val="231F20"/>
        </w:rPr>
        <w:t>и</w:t>
      </w:r>
      <w:r>
        <w:rPr>
          <w:color w:val="231F20"/>
          <w:spacing w:val="-2"/>
        </w:rPr>
        <w:t> </w:t>
      </w:r>
      <w:r>
        <w:rPr>
          <w:color w:val="231F20"/>
        </w:rPr>
        <w:t>с</w:t>
      </w:r>
      <w:r>
        <w:rPr>
          <w:color w:val="231F20"/>
          <w:spacing w:val="-1"/>
        </w:rPr>
        <w:t> </w:t>
      </w:r>
      <w:r>
        <w:rPr>
          <w:color w:val="231F20"/>
        </w:rPr>
        <w:t>другими».</w:t>
      </w:r>
    </w:p>
    <w:p>
      <w:pPr>
        <w:pStyle w:val="BodyText"/>
        <w:spacing w:line="228" w:lineRule="auto"/>
        <w:ind w:right="3422"/>
        <w:jc w:val="left"/>
      </w:pPr>
      <w:r>
        <w:rPr>
          <w:color w:val="231F20"/>
        </w:rPr>
        <w:t>Тренинг</w:t>
      </w:r>
      <w:r>
        <w:rPr>
          <w:color w:val="231F20"/>
          <w:spacing w:val="-13"/>
        </w:rPr>
        <w:t> </w:t>
      </w:r>
      <w:r>
        <w:rPr>
          <w:color w:val="231F20"/>
        </w:rPr>
        <w:t>включает</w:t>
      </w:r>
      <w:r>
        <w:rPr>
          <w:color w:val="231F20"/>
          <w:spacing w:val="-12"/>
        </w:rPr>
        <w:t> </w:t>
      </w:r>
      <w:r>
        <w:rPr>
          <w:color w:val="231F20"/>
        </w:rPr>
        <w:t>три</w:t>
      </w:r>
      <w:r>
        <w:rPr>
          <w:color w:val="231F20"/>
          <w:spacing w:val="-13"/>
        </w:rPr>
        <w:t> </w:t>
      </w:r>
      <w:r>
        <w:rPr>
          <w:color w:val="231F20"/>
        </w:rPr>
        <w:t>проблемных</w:t>
      </w:r>
      <w:r>
        <w:rPr>
          <w:color w:val="231F20"/>
          <w:spacing w:val="-12"/>
        </w:rPr>
        <w:t> </w:t>
      </w:r>
      <w:r>
        <w:rPr>
          <w:color w:val="231F20"/>
        </w:rPr>
        <w:t>блока. а)</w:t>
      </w:r>
      <w:r>
        <w:rPr>
          <w:color w:val="231F20"/>
          <w:spacing w:val="80"/>
        </w:rPr>
        <w:t> </w:t>
      </w:r>
      <w:r>
        <w:rPr>
          <w:color w:val="231F20"/>
        </w:rPr>
        <w:t>Кто мы? (занятия 1–2).</w:t>
      </w:r>
    </w:p>
    <w:p>
      <w:pPr>
        <w:pStyle w:val="BodyText"/>
        <w:spacing w:line="214" w:lineRule="exact"/>
        <w:ind w:left="425" w:right="0" w:firstLine="0"/>
        <w:jc w:val="left"/>
      </w:pPr>
      <w:r>
        <w:rPr>
          <w:color w:val="231F20"/>
          <w:spacing w:val="-2"/>
        </w:rPr>
        <w:t>Цели:</w:t>
      </w:r>
    </w:p>
    <w:p>
      <w:pPr>
        <w:pStyle w:val="ListParagraph"/>
        <w:numPr>
          <w:ilvl w:val="2"/>
          <w:numId w:val="107"/>
        </w:numPr>
        <w:tabs>
          <w:tab w:pos="708" w:val="left" w:leader="none"/>
        </w:tabs>
        <w:spacing w:line="228" w:lineRule="auto" w:before="0" w:after="0"/>
        <w:ind w:left="708" w:right="139" w:hanging="284"/>
        <w:jc w:val="left"/>
        <w:rPr>
          <w:sz w:val="20"/>
        </w:rPr>
      </w:pPr>
      <w:r>
        <w:rPr>
          <w:color w:val="231F20"/>
          <w:sz w:val="20"/>
        </w:rPr>
        <w:t>введение</w:t>
      </w:r>
      <w:r>
        <w:rPr>
          <w:color w:val="231F20"/>
          <w:spacing w:val="-13"/>
          <w:sz w:val="20"/>
        </w:rPr>
        <w:t> </w:t>
      </w:r>
      <w:r>
        <w:rPr>
          <w:color w:val="231F20"/>
          <w:sz w:val="20"/>
        </w:rPr>
        <w:t>участников</w:t>
      </w:r>
      <w:r>
        <w:rPr>
          <w:color w:val="231F20"/>
          <w:spacing w:val="-12"/>
          <w:sz w:val="20"/>
        </w:rPr>
        <w:t> </w:t>
      </w:r>
      <w:r>
        <w:rPr>
          <w:color w:val="231F20"/>
          <w:sz w:val="20"/>
        </w:rPr>
        <w:t>в</w:t>
      </w:r>
      <w:r>
        <w:rPr>
          <w:color w:val="231F20"/>
          <w:spacing w:val="-13"/>
          <w:sz w:val="20"/>
        </w:rPr>
        <w:t> </w:t>
      </w:r>
      <w:r>
        <w:rPr>
          <w:color w:val="231F20"/>
          <w:sz w:val="20"/>
        </w:rPr>
        <w:t>ситуацию</w:t>
      </w:r>
      <w:r>
        <w:rPr>
          <w:color w:val="231F20"/>
          <w:spacing w:val="-12"/>
          <w:sz w:val="20"/>
        </w:rPr>
        <w:t> </w:t>
      </w:r>
      <w:r>
        <w:rPr>
          <w:color w:val="231F20"/>
          <w:sz w:val="20"/>
        </w:rPr>
        <w:t>тренинга,</w:t>
      </w:r>
      <w:r>
        <w:rPr>
          <w:color w:val="231F20"/>
          <w:spacing w:val="-13"/>
          <w:sz w:val="20"/>
        </w:rPr>
        <w:t> </w:t>
      </w:r>
      <w:r>
        <w:rPr>
          <w:color w:val="231F20"/>
          <w:sz w:val="20"/>
        </w:rPr>
        <w:t>постановка</w:t>
      </w:r>
      <w:r>
        <w:rPr>
          <w:color w:val="231F20"/>
          <w:spacing w:val="-12"/>
          <w:sz w:val="20"/>
        </w:rPr>
        <w:t> </w:t>
      </w:r>
      <w:r>
        <w:rPr>
          <w:color w:val="231F20"/>
          <w:sz w:val="20"/>
        </w:rPr>
        <w:t>целей</w:t>
      </w:r>
      <w:r>
        <w:rPr>
          <w:color w:val="231F20"/>
          <w:spacing w:val="-13"/>
          <w:sz w:val="20"/>
        </w:rPr>
        <w:t> </w:t>
      </w:r>
      <w:r>
        <w:rPr>
          <w:color w:val="231F20"/>
          <w:sz w:val="20"/>
        </w:rPr>
        <w:t>и</w:t>
      </w:r>
      <w:r>
        <w:rPr>
          <w:color w:val="231F20"/>
          <w:spacing w:val="-12"/>
          <w:sz w:val="20"/>
        </w:rPr>
        <w:t> </w:t>
      </w:r>
      <w:r>
        <w:rPr>
          <w:color w:val="231F20"/>
          <w:sz w:val="20"/>
        </w:rPr>
        <w:t>задач</w:t>
      </w:r>
      <w:r>
        <w:rPr>
          <w:color w:val="231F20"/>
          <w:spacing w:val="-13"/>
          <w:sz w:val="20"/>
        </w:rPr>
        <w:t> </w:t>
      </w:r>
      <w:r>
        <w:rPr>
          <w:color w:val="231F20"/>
          <w:sz w:val="20"/>
        </w:rPr>
        <w:t>тренинга, принятие правил работы в группе, формирование интереса к теме тренинга;</w:t>
      </w:r>
    </w:p>
    <w:p>
      <w:pPr>
        <w:pStyle w:val="ListParagraph"/>
        <w:numPr>
          <w:ilvl w:val="2"/>
          <w:numId w:val="107"/>
        </w:numPr>
        <w:tabs>
          <w:tab w:pos="708" w:val="left" w:leader="none"/>
        </w:tabs>
        <w:spacing w:line="228" w:lineRule="auto" w:before="0" w:after="0"/>
        <w:ind w:left="708" w:right="140" w:hanging="284"/>
        <w:jc w:val="left"/>
        <w:rPr>
          <w:sz w:val="20"/>
        </w:rPr>
      </w:pPr>
      <w:r>
        <w:rPr>
          <w:color w:val="231F20"/>
          <w:sz w:val="20"/>
        </w:rPr>
        <w:t>развитие у подростков стремления понять и изучить себя, свои достоинства и слабые стороны, осознать свое место в группе;</w:t>
      </w:r>
    </w:p>
    <w:p>
      <w:pPr>
        <w:pStyle w:val="ListParagraph"/>
        <w:numPr>
          <w:ilvl w:val="2"/>
          <w:numId w:val="107"/>
        </w:numPr>
        <w:tabs>
          <w:tab w:pos="708" w:val="left" w:leader="none"/>
        </w:tabs>
        <w:spacing w:line="215" w:lineRule="exact" w:before="0" w:after="0"/>
        <w:ind w:left="708" w:right="0" w:hanging="283"/>
        <w:jc w:val="left"/>
        <w:rPr>
          <w:sz w:val="20"/>
        </w:rPr>
      </w:pPr>
      <w:r>
        <w:rPr>
          <w:color w:val="231F20"/>
          <w:sz w:val="20"/>
        </w:rPr>
        <w:t>развитие</w:t>
      </w:r>
      <w:r>
        <w:rPr>
          <w:color w:val="231F20"/>
          <w:spacing w:val="-9"/>
          <w:sz w:val="20"/>
        </w:rPr>
        <w:t> </w:t>
      </w:r>
      <w:r>
        <w:rPr>
          <w:color w:val="231F20"/>
          <w:sz w:val="20"/>
        </w:rPr>
        <w:t>чувства</w:t>
      </w:r>
      <w:r>
        <w:rPr>
          <w:color w:val="231F20"/>
          <w:spacing w:val="-7"/>
          <w:sz w:val="20"/>
        </w:rPr>
        <w:t> </w:t>
      </w:r>
      <w:r>
        <w:rPr>
          <w:color w:val="231F20"/>
          <w:sz w:val="20"/>
        </w:rPr>
        <w:t>собственного</w:t>
      </w:r>
      <w:r>
        <w:rPr>
          <w:color w:val="231F20"/>
          <w:spacing w:val="-6"/>
          <w:sz w:val="20"/>
        </w:rPr>
        <w:t> </w:t>
      </w:r>
      <w:r>
        <w:rPr>
          <w:color w:val="231F20"/>
          <w:sz w:val="20"/>
        </w:rPr>
        <w:t>достоинства</w:t>
      </w:r>
      <w:r>
        <w:rPr>
          <w:color w:val="231F20"/>
          <w:spacing w:val="-7"/>
          <w:sz w:val="20"/>
        </w:rPr>
        <w:t> </w:t>
      </w:r>
      <w:r>
        <w:rPr>
          <w:color w:val="231F20"/>
          <w:sz w:val="20"/>
        </w:rPr>
        <w:t>и</w:t>
      </w:r>
      <w:r>
        <w:rPr>
          <w:color w:val="231F20"/>
          <w:spacing w:val="-7"/>
          <w:sz w:val="20"/>
        </w:rPr>
        <w:t> </w:t>
      </w:r>
      <w:r>
        <w:rPr>
          <w:color w:val="231F20"/>
          <w:sz w:val="20"/>
        </w:rPr>
        <w:t>умения</w:t>
      </w:r>
      <w:r>
        <w:rPr>
          <w:color w:val="231F20"/>
          <w:spacing w:val="-7"/>
          <w:sz w:val="20"/>
        </w:rPr>
        <w:t> </w:t>
      </w:r>
      <w:r>
        <w:rPr>
          <w:color w:val="231F20"/>
          <w:sz w:val="20"/>
        </w:rPr>
        <w:t>уважать</w:t>
      </w:r>
      <w:r>
        <w:rPr>
          <w:color w:val="231F20"/>
          <w:spacing w:val="-7"/>
          <w:sz w:val="20"/>
        </w:rPr>
        <w:t> </w:t>
      </w:r>
      <w:r>
        <w:rPr>
          <w:color w:val="231F20"/>
          <w:spacing w:val="-2"/>
          <w:sz w:val="20"/>
        </w:rPr>
        <w:t>других;</w:t>
      </w:r>
    </w:p>
    <w:p>
      <w:pPr>
        <w:pStyle w:val="ListParagraph"/>
        <w:numPr>
          <w:ilvl w:val="2"/>
          <w:numId w:val="107"/>
        </w:numPr>
        <w:tabs>
          <w:tab w:pos="708" w:val="left" w:leader="none"/>
        </w:tabs>
        <w:spacing w:line="220" w:lineRule="exact" w:before="0" w:after="0"/>
        <w:ind w:left="708" w:right="0" w:hanging="283"/>
        <w:jc w:val="left"/>
        <w:rPr>
          <w:sz w:val="20"/>
        </w:rPr>
      </w:pPr>
      <w:r>
        <w:rPr>
          <w:color w:val="231F20"/>
          <w:sz w:val="20"/>
        </w:rPr>
        <w:t>развитие</w:t>
      </w:r>
      <w:r>
        <w:rPr>
          <w:color w:val="231F20"/>
          <w:spacing w:val="-6"/>
          <w:sz w:val="20"/>
        </w:rPr>
        <w:t> </w:t>
      </w:r>
      <w:r>
        <w:rPr>
          <w:color w:val="231F20"/>
          <w:sz w:val="20"/>
        </w:rPr>
        <w:t>способности</w:t>
      </w:r>
      <w:r>
        <w:rPr>
          <w:color w:val="231F20"/>
          <w:spacing w:val="-6"/>
          <w:sz w:val="20"/>
        </w:rPr>
        <w:t> </w:t>
      </w:r>
      <w:r>
        <w:rPr>
          <w:color w:val="231F20"/>
          <w:sz w:val="20"/>
        </w:rPr>
        <w:t>к</w:t>
      </w:r>
      <w:r>
        <w:rPr>
          <w:color w:val="231F20"/>
          <w:spacing w:val="-6"/>
          <w:sz w:val="20"/>
        </w:rPr>
        <w:t> </w:t>
      </w:r>
      <w:r>
        <w:rPr>
          <w:color w:val="231F20"/>
          <w:sz w:val="20"/>
        </w:rPr>
        <w:t>самоанализу,</w:t>
      </w:r>
      <w:r>
        <w:rPr>
          <w:color w:val="231F20"/>
          <w:spacing w:val="-5"/>
          <w:sz w:val="20"/>
        </w:rPr>
        <w:t> </w:t>
      </w:r>
      <w:r>
        <w:rPr>
          <w:color w:val="231F20"/>
          <w:spacing w:val="-2"/>
          <w:sz w:val="20"/>
        </w:rPr>
        <w:t>самопознанию;</w:t>
      </w:r>
    </w:p>
    <w:p>
      <w:pPr>
        <w:pStyle w:val="ListParagraph"/>
        <w:numPr>
          <w:ilvl w:val="2"/>
          <w:numId w:val="107"/>
        </w:numPr>
        <w:tabs>
          <w:tab w:pos="707" w:val="left" w:leader="none"/>
        </w:tabs>
        <w:spacing w:line="230" w:lineRule="auto" w:before="1" w:after="0"/>
        <w:ind w:left="141" w:right="793" w:firstLine="283"/>
        <w:jc w:val="left"/>
        <w:rPr>
          <w:sz w:val="20"/>
        </w:rPr>
      </w:pPr>
      <w:r>
        <w:rPr>
          <w:color w:val="231F20"/>
          <w:sz w:val="20"/>
        </w:rPr>
        <w:t>развитие</w:t>
      </w:r>
      <w:r>
        <w:rPr>
          <w:color w:val="231F20"/>
          <w:spacing w:val="-12"/>
          <w:sz w:val="20"/>
        </w:rPr>
        <w:t> </w:t>
      </w:r>
      <w:r>
        <w:rPr>
          <w:color w:val="231F20"/>
          <w:sz w:val="20"/>
        </w:rPr>
        <w:t>коммуникативных</w:t>
      </w:r>
      <w:r>
        <w:rPr>
          <w:color w:val="231F20"/>
          <w:spacing w:val="-12"/>
          <w:sz w:val="20"/>
        </w:rPr>
        <w:t> </w:t>
      </w:r>
      <w:r>
        <w:rPr>
          <w:color w:val="231F20"/>
          <w:sz w:val="20"/>
        </w:rPr>
        <w:t>навыков,</w:t>
      </w:r>
      <w:r>
        <w:rPr>
          <w:color w:val="231F20"/>
          <w:spacing w:val="-12"/>
          <w:sz w:val="20"/>
        </w:rPr>
        <w:t> </w:t>
      </w:r>
      <w:r>
        <w:rPr>
          <w:color w:val="231F20"/>
          <w:sz w:val="20"/>
        </w:rPr>
        <w:t>укрепляющих</w:t>
      </w:r>
      <w:r>
        <w:rPr>
          <w:color w:val="231F20"/>
          <w:spacing w:val="-12"/>
          <w:sz w:val="20"/>
        </w:rPr>
        <w:t> </w:t>
      </w:r>
      <w:r>
        <w:rPr>
          <w:color w:val="231F20"/>
          <w:sz w:val="20"/>
        </w:rPr>
        <w:t>социальные</w:t>
      </w:r>
      <w:r>
        <w:rPr>
          <w:color w:val="231F20"/>
          <w:spacing w:val="-12"/>
          <w:sz w:val="20"/>
        </w:rPr>
        <w:t> </w:t>
      </w:r>
      <w:r>
        <w:rPr>
          <w:color w:val="231F20"/>
          <w:sz w:val="20"/>
        </w:rPr>
        <w:t>связи. б)</w:t>
      </w:r>
      <w:r>
        <w:rPr>
          <w:color w:val="231F20"/>
          <w:spacing w:val="40"/>
          <w:sz w:val="20"/>
        </w:rPr>
        <w:t> </w:t>
      </w:r>
      <w:r>
        <w:rPr>
          <w:color w:val="231F20"/>
          <w:sz w:val="20"/>
        </w:rPr>
        <w:t>Кто они? (занятия 3– 4).</w:t>
      </w:r>
    </w:p>
    <w:p>
      <w:pPr>
        <w:pStyle w:val="BodyText"/>
        <w:spacing w:line="216" w:lineRule="exact"/>
        <w:ind w:left="425" w:right="0" w:firstLine="0"/>
        <w:jc w:val="left"/>
      </w:pPr>
      <w:r>
        <w:rPr>
          <w:color w:val="231F20"/>
          <w:spacing w:val="-2"/>
        </w:rPr>
        <w:t>Цели:</w:t>
      </w:r>
    </w:p>
    <w:p>
      <w:pPr>
        <w:pStyle w:val="ListParagraph"/>
        <w:numPr>
          <w:ilvl w:val="2"/>
          <w:numId w:val="107"/>
        </w:numPr>
        <w:tabs>
          <w:tab w:pos="708" w:val="left" w:leader="none"/>
        </w:tabs>
        <w:spacing w:line="220" w:lineRule="exact" w:before="0" w:after="0"/>
        <w:ind w:left="708" w:right="0" w:hanging="283"/>
        <w:jc w:val="left"/>
        <w:rPr>
          <w:sz w:val="20"/>
        </w:rPr>
      </w:pPr>
      <w:r>
        <w:rPr>
          <w:color w:val="231F20"/>
          <w:spacing w:val="-2"/>
          <w:sz w:val="20"/>
        </w:rPr>
        <w:t>осознание</w:t>
      </w:r>
      <w:r>
        <w:rPr>
          <w:color w:val="231F20"/>
          <w:spacing w:val="-1"/>
          <w:sz w:val="20"/>
        </w:rPr>
        <w:t> </w:t>
      </w:r>
      <w:r>
        <w:rPr>
          <w:color w:val="231F20"/>
          <w:spacing w:val="-2"/>
          <w:sz w:val="20"/>
        </w:rPr>
        <w:t>многообразия</w:t>
      </w:r>
      <w:r>
        <w:rPr>
          <w:color w:val="231F20"/>
          <w:spacing w:val="-1"/>
          <w:sz w:val="20"/>
        </w:rPr>
        <w:t> </w:t>
      </w:r>
      <w:r>
        <w:rPr>
          <w:color w:val="231F20"/>
          <w:spacing w:val="-2"/>
          <w:sz w:val="20"/>
        </w:rPr>
        <w:t>общества</w:t>
      </w:r>
      <w:r>
        <w:rPr>
          <w:color w:val="231F20"/>
          <w:spacing w:val="-1"/>
          <w:sz w:val="20"/>
        </w:rPr>
        <w:t> </w:t>
      </w:r>
      <w:r>
        <w:rPr>
          <w:color w:val="231F20"/>
          <w:spacing w:val="-2"/>
          <w:sz w:val="20"/>
        </w:rPr>
        <w:t>и</w:t>
      </w:r>
      <w:r>
        <w:rPr>
          <w:color w:val="231F20"/>
          <w:spacing w:val="-1"/>
          <w:sz w:val="20"/>
        </w:rPr>
        <w:t> </w:t>
      </w:r>
      <w:r>
        <w:rPr>
          <w:color w:val="231F20"/>
          <w:spacing w:val="-2"/>
          <w:sz w:val="20"/>
        </w:rPr>
        <w:t>наличия</w:t>
      </w:r>
      <w:r>
        <w:rPr>
          <w:color w:val="231F20"/>
          <w:spacing w:val="-1"/>
          <w:sz w:val="20"/>
        </w:rPr>
        <w:t> </w:t>
      </w:r>
      <w:r>
        <w:rPr>
          <w:color w:val="231F20"/>
          <w:spacing w:val="-2"/>
          <w:sz w:val="20"/>
        </w:rPr>
        <w:t>в</w:t>
      </w:r>
      <w:r>
        <w:rPr>
          <w:color w:val="231F20"/>
          <w:spacing w:val="-1"/>
          <w:sz w:val="20"/>
        </w:rPr>
        <w:t> </w:t>
      </w:r>
      <w:r>
        <w:rPr>
          <w:color w:val="231F20"/>
          <w:spacing w:val="-2"/>
          <w:sz w:val="20"/>
        </w:rPr>
        <w:t>нем</w:t>
      </w:r>
      <w:r>
        <w:rPr>
          <w:color w:val="231F20"/>
          <w:spacing w:val="-1"/>
          <w:sz w:val="20"/>
        </w:rPr>
        <w:t> </w:t>
      </w:r>
      <w:r>
        <w:rPr>
          <w:color w:val="231F20"/>
          <w:spacing w:val="-2"/>
          <w:sz w:val="20"/>
        </w:rPr>
        <w:t>социально</w:t>
      </w:r>
      <w:r>
        <w:rPr>
          <w:color w:val="231F20"/>
          <w:spacing w:val="-1"/>
          <w:sz w:val="20"/>
        </w:rPr>
        <w:t> </w:t>
      </w:r>
      <w:r>
        <w:rPr>
          <w:color w:val="231F20"/>
          <w:spacing w:val="-2"/>
          <w:sz w:val="20"/>
        </w:rPr>
        <w:t>уязвимых</w:t>
      </w:r>
      <w:r>
        <w:rPr>
          <w:color w:val="231F20"/>
          <w:spacing w:val="-1"/>
          <w:sz w:val="20"/>
        </w:rPr>
        <w:t> </w:t>
      </w:r>
      <w:r>
        <w:rPr>
          <w:color w:val="231F20"/>
          <w:spacing w:val="-2"/>
          <w:sz w:val="20"/>
        </w:rPr>
        <w:t>групп;</w:t>
      </w:r>
    </w:p>
    <w:p>
      <w:pPr>
        <w:pStyle w:val="ListParagraph"/>
        <w:numPr>
          <w:ilvl w:val="2"/>
          <w:numId w:val="107"/>
        </w:numPr>
        <w:tabs>
          <w:tab w:pos="708" w:val="left" w:leader="none"/>
        </w:tabs>
        <w:spacing w:line="220" w:lineRule="exact" w:before="0" w:after="0"/>
        <w:ind w:left="708" w:right="0" w:hanging="283"/>
        <w:jc w:val="left"/>
        <w:rPr>
          <w:sz w:val="20"/>
        </w:rPr>
      </w:pPr>
      <w:r>
        <w:rPr>
          <w:color w:val="231F20"/>
          <w:sz w:val="20"/>
        </w:rPr>
        <w:t>понимание</w:t>
      </w:r>
      <w:r>
        <w:rPr>
          <w:color w:val="231F20"/>
          <w:spacing w:val="-2"/>
          <w:sz w:val="20"/>
        </w:rPr>
        <w:t> </w:t>
      </w:r>
      <w:r>
        <w:rPr>
          <w:color w:val="231F20"/>
          <w:sz w:val="20"/>
        </w:rPr>
        <w:t>условности</w:t>
      </w:r>
      <w:r>
        <w:rPr>
          <w:color w:val="231F20"/>
          <w:spacing w:val="-2"/>
          <w:sz w:val="20"/>
        </w:rPr>
        <w:t> </w:t>
      </w:r>
      <w:r>
        <w:rPr>
          <w:color w:val="231F20"/>
          <w:sz w:val="20"/>
        </w:rPr>
        <w:t>выделения</w:t>
      </w:r>
      <w:r>
        <w:rPr>
          <w:color w:val="231F20"/>
          <w:spacing w:val="-1"/>
          <w:sz w:val="20"/>
        </w:rPr>
        <w:t> </w:t>
      </w:r>
      <w:r>
        <w:rPr>
          <w:color w:val="231F20"/>
          <w:sz w:val="20"/>
        </w:rPr>
        <w:t>групп</w:t>
      </w:r>
      <w:r>
        <w:rPr>
          <w:color w:val="231F20"/>
          <w:spacing w:val="-3"/>
          <w:sz w:val="20"/>
        </w:rPr>
        <w:t> </w:t>
      </w:r>
      <w:r>
        <w:rPr>
          <w:color w:val="231F20"/>
          <w:sz w:val="20"/>
        </w:rPr>
        <w:t>и</w:t>
      </w:r>
      <w:r>
        <w:rPr>
          <w:color w:val="231F20"/>
          <w:spacing w:val="-2"/>
          <w:sz w:val="20"/>
        </w:rPr>
        <w:t> </w:t>
      </w:r>
      <w:r>
        <w:rPr>
          <w:color w:val="231F20"/>
          <w:sz w:val="20"/>
        </w:rPr>
        <w:t>границ</w:t>
      </w:r>
      <w:r>
        <w:rPr>
          <w:color w:val="231F20"/>
          <w:spacing w:val="-2"/>
          <w:sz w:val="20"/>
        </w:rPr>
        <w:t> </w:t>
      </w:r>
      <w:r>
        <w:rPr>
          <w:color w:val="231F20"/>
          <w:sz w:val="20"/>
        </w:rPr>
        <w:t>между</w:t>
      </w:r>
      <w:r>
        <w:rPr>
          <w:color w:val="231F20"/>
          <w:spacing w:val="-1"/>
          <w:sz w:val="20"/>
        </w:rPr>
        <w:t> </w:t>
      </w:r>
      <w:r>
        <w:rPr>
          <w:color w:val="231F20"/>
          <w:spacing w:val="-2"/>
          <w:sz w:val="20"/>
        </w:rPr>
        <w:t>группами;</w:t>
      </w:r>
    </w:p>
    <w:p>
      <w:pPr>
        <w:pStyle w:val="ListParagraph"/>
        <w:numPr>
          <w:ilvl w:val="2"/>
          <w:numId w:val="107"/>
        </w:numPr>
        <w:tabs>
          <w:tab w:pos="708" w:val="left" w:leader="none"/>
        </w:tabs>
        <w:spacing w:line="220" w:lineRule="exact" w:before="0" w:after="0"/>
        <w:ind w:left="708" w:right="0" w:hanging="283"/>
        <w:jc w:val="left"/>
        <w:rPr>
          <w:sz w:val="20"/>
        </w:rPr>
      </w:pPr>
      <w:r>
        <w:rPr>
          <w:color w:val="231F20"/>
          <w:sz w:val="20"/>
        </w:rPr>
        <w:t>ознакомление</w:t>
      </w:r>
      <w:r>
        <w:rPr>
          <w:color w:val="231F20"/>
          <w:spacing w:val="-9"/>
          <w:sz w:val="20"/>
        </w:rPr>
        <w:t> </w:t>
      </w:r>
      <w:r>
        <w:rPr>
          <w:color w:val="231F20"/>
          <w:sz w:val="20"/>
        </w:rPr>
        <w:t>с</w:t>
      </w:r>
      <w:r>
        <w:rPr>
          <w:color w:val="231F20"/>
          <w:spacing w:val="-7"/>
          <w:sz w:val="20"/>
        </w:rPr>
        <w:t> </w:t>
      </w:r>
      <w:r>
        <w:rPr>
          <w:color w:val="231F20"/>
          <w:sz w:val="20"/>
        </w:rPr>
        <w:t>проблемой</w:t>
      </w:r>
      <w:r>
        <w:rPr>
          <w:color w:val="231F20"/>
          <w:spacing w:val="-8"/>
          <w:sz w:val="20"/>
        </w:rPr>
        <w:t> </w:t>
      </w:r>
      <w:r>
        <w:rPr>
          <w:color w:val="231F20"/>
          <w:sz w:val="20"/>
        </w:rPr>
        <w:t>вынужденной</w:t>
      </w:r>
      <w:r>
        <w:rPr>
          <w:color w:val="231F20"/>
          <w:spacing w:val="-7"/>
          <w:sz w:val="20"/>
        </w:rPr>
        <w:t> </w:t>
      </w:r>
      <w:r>
        <w:rPr>
          <w:color w:val="231F20"/>
          <w:sz w:val="20"/>
        </w:rPr>
        <w:t>миграции</w:t>
      </w:r>
      <w:r>
        <w:rPr>
          <w:color w:val="231F20"/>
          <w:spacing w:val="-8"/>
          <w:sz w:val="20"/>
        </w:rPr>
        <w:t> </w:t>
      </w:r>
      <w:r>
        <w:rPr>
          <w:color w:val="231F20"/>
          <w:sz w:val="20"/>
        </w:rPr>
        <w:t>и</w:t>
      </w:r>
      <w:r>
        <w:rPr>
          <w:color w:val="231F20"/>
          <w:spacing w:val="-8"/>
          <w:sz w:val="20"/>
        </w:rPr>
        <w:t> </w:t>
      </w:r>
      <w:r>
        <w:rPr>
          <w:color w:val="231F20"/>
          <w:sz w:val="20"/>
        </w:rPr>
        <w:t>причинами</w:t>
      </w:r>
      <w:r>
        <w:rPr>
          <w:color w:val="231F20"/>
          <w:spacing w:val="-7"/>
          <w:sz w:val="20"/>
        </w:rPr>
        <w:t> </w:t>
      </w:r>
      <w:r>
        <w:rPr>
          <w:color w:val="231F20"/>
          <w:spacing w:val="-2"/>
          <w:sz w:val="20"/>
        </w:rPr>
        <w:t>миграции;</w:t>
      </w:r>
    </w:p>
    <w:p>
      <w:pPr>
        <w:pStyle w:val="ListParagraph"/>
        <w:numPr>
          <w:ilvl w:val="2"/>
          <w:numId w:val="107"/>
        </w:numPr>
        <w:tabs>
          <w:tab w:pos="708" w:val="left" w:leader="none"/>
        </w:tabs>
        <w:spacing w:line="230" w:lineRule="auto" w:before="2" w:after="0"/>
        <w:ind w:left="708" w:right="139" w:hanging="284"/>
        <w:jc w:val="left"/>
        <w:rPr>
          <w:sz w:val="20"/>
        </w:rPr>
      </w:pPr>
      <w:r>
        <w:rPr>
          <w:color w:val="231F20"/>
          <w:sz w:val="20"/>
        </w:rPr>
        <w:t>развитие социальной чувствительности, эмпатии, повышение сензитивности по отношению к социально уязвимым группам.</w:t>
      </w:r>
    </w:p>
    <w:p>
      <w:pPr>
        <w:pStyle w:val="BodyText"/>
        <w:spacing w:line="221" w:lineRule="exact"/>
        <w:ind w:right="0" w:firstLine="0"/>
        <w:jc w:val="left"/>
      </w:pPr>
      <w:r>
        <w:rPr>
          <w:color w:val="231F20"/>
        </w:rPr>
        <w:t>в)</w:t>
      </w:r>
      <w:r>
        <w:rPr>
          <w:color w:val="231F20"/>
          <w:spacing w:val="69"/>
        </w:rPr>
        <w:t> </w:t>
      </w:r>
      <w:r>
        <w:rPr>
          <w:color w:val="231F20"/>
        </w:rPr>
        <w:t>Мы</w:t>
      </w:r>
      <w:r>
        <w:rPr>
          <w:color w:val="231F20"/>
          <w:spacing w:val="-1"/>
        </w:rPr>
        <w:t> </w:t>
      </w:r>
      <w:r>
        <w:rPr>
          <w:color w:val="231F20"/>
        </w:rPr>
        <w:t>и</w:t>
      </w:r>
      <w:r>
        <w:rPr>
          <w:color w:val="231F20"/>
          <w:spacing w:val="-2"/>
        </w:rPr>
        <w:t> </w:t>
      </w:r>
      <w:r>
        <w:rPr>
          <w:color w:val="231F20"/>
        </w:rPr>
        <w:t>они:</w:t>
      </w:r>
      <w:r>
        <w:rPr>
          <w:color w:val="231F20"/>
          <w:spacing w:val="-1"/>
        </w:rPr>
        <w:t> </w:t>
      </w:r>
      <w:r>
        <w:rPr>
          <w:color w:val="231F20"/>
        </w:rPr>
        <w:t>шаг</w:t>
      </w:r>
      <w:r>
        <w:rPr>
          <w:color w:val="231F20"/>
          <w:spacing w:val="-2"/>
        </w:rPr>
        <w:t> </w:t>
      </w:r>
      <w:r>
        <w:rPr>
          <w:color w:val="231F20"/>
        </w:rPr>
        <w:t>навстречу</w:t>
      </w:r>
      <w:r>
        <w:rPr>
          <w:color w:val="231F20"/>
          <w:spacing w:val="-1"/>
        </w:rPr>
        <w:t> </w:t>
      </w:r>
      <w:r>
        <w:rPr>
          <w:color w:val="231F20"/>
        </w:rPr>
        <w:t>(занятия</w:t>
      </w:r>
      <w:r>
        <w:rPr>
          <w:color w:val="231F20"/>
          <w:spacing w:val="-1"/>
        </w:rPr>
        <w:t> </w:t>
      </w:r>
      <w:r>
        <w:rPr>
          <w:color w:val="231F20"/>
          <w:spacing w:val="-2"/>
        </w:rPr>
        <w:t>5–9).</w:t>
      </w:r>
    </w:p>
    <w:p>
      <w:pPr>
        <w:pStyle w:val="BodyText"/>
        <w:spacing w:after="0" w:line="221" w:lineRule="exact"/>
        <w:jc w:val="left"/>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before="112"/>
        <w:ind w:left="425" w:right="0" w:firstLine="0"/>
        <w:jc w:val="left"/>
      </w:pPr>
      <w:r>
        <w:rPr>
          <w:color w:val="231F20"/>
          <w:spacing w:val="-2"/>
        </w:rPr>
        <w:t>Цели:</w:t>
      </w:r>
    </w:p>
    <w:p>
      <w:pPr>
        <w:pStyle w:val="ListParagraph"/>
        <w:numPr>
          <w:ilvl w:val="2"/>
          <w:numId w:val="107"/>
        </w:numPr>
        <w:tabs>
          <w:tab w:pos="708" w:val="left" w:leader="none"/>
        </w:tabs>
        <w:spacing w:line="235" w:lineRule="auto" w:before="0" w:after="0"/>
        <w:ind w:left="708" w:right="139" w:hanging="284"/>
        <w:jc w:val="both"/>
        <w:rPr>
          <w:sz w:val="20"/>
        </w:rPr>
      </w:pPr>
      <w:r>
        <w:rPr>
          <w:color w:val="231F20"/>
          <w:sz w:val="20"/>
        </w:rPr>
        <w:t>ознакомление участников с понятием «толерантность», его значимостью как качества личности, важного для построения позитивных отношений между разными людьми и разными группами;</w:t>
      </w:r>
    </w:p>
    <w:p>
      <w:pPr>
        <w:pStyle w:val="ListParagraph"/>
        <w:numPr>
          <w:ilvl w:val="2"/>
          <w:numId w:val="107"/>
        </w:numPr>
        <w:tabs>
          <w:tab w:pos="708" w:val="left" w:leader="none"/>
        </w:tabs>
        <w:spacing w:line="235" w:lineRule="auto" w:before="0" w:after="0"/>
        <w:ind w:left="708" w:right="139" w:hanging="284"/>
        <w:jc w:val="both"/>
        <w:rPr>
          <w:sz w:val="20"/>
        </w:rPr>
      </w:pPr>
      <w:r>
        <w:rPr>
          <w:color w:val="231F20"/>
          <w:sz w:val="20"/>
        </w:rPr>
        <w:t>развитие воображения подростков в поисках собственного понимания толе- </w:t>
      </w:r>
      <w:r>
        <w:rPr>
          <w:color w:val="231F20"/>
          <w:spacing w:val="-2"/>
          <w:sz w:val="20"/>
        </w:rPr>
        <w:t>рантности;</w:t>
      </w:r>
    </w:p>
    <w:p>
      <w:pPr>
        <w:pStyle w:val="ListParagraph"/>
        <w:numPr>
          <w:ilvl w:val="2"/>
          <w:numId w:val="107"/>
        </w:numPr>
        <w:tabs>
          <w:tab w:pos="708" w:val="left" w:leader="none"/>
        </w:tabs>
        <w:spacing w:line="235" w:lineRule="auto" w:before="0" w:after="0"/>
        <w:ind w:left="708" w:right="139" w:hanging="284"/>
        <w:jc w:val="both"/>
        <w:rPr>
          <w:sz w:val="20"/>
        </w:rPr>
      </w:pPr>
      <w:r>
        <w:rPr>
          <w:color w:val="231F20"/>
          <w:sz w:val="20"/>
        </w:rPr>
        <w:t>развитие понимания сложности и противоречивости человеческой натуры и собственной личности, осознание единства личности, взаимодействия ее по- зитивных и негативных сторон;</w:t>
      </w:r>
    </w:p>
    <w:p>
      <w:pPr>
        <w:pStyle w:val="ListParagraph"/>
        <w:numPr>
          <w:ilvl w:val="2"/>
          <w:numId w:val="107"/>
        </w:numPr>
        <w:tabs>
          <w:tab w:pos="708" w:val="left" w:leader="none"/>
        </w:tabs>
        <w:spacing w:line="242" w:lineRule="auto" w:before="0" w:after="0"/>
        <w:ind w:left="708" w:right="139" w:hanging="284"/>
        <w:jc w:val="both"/>
        <w:rPr>
          <w:sz w:val="20"/>
        </w:rPr>
      </w:pPr>
      <w:r>
        <w:rPr>
          <w:color w:val="231F20"/>
          <w:sz w:val="20"/>
        </w:rPr>
        <w:t>формирование умения находить положительные стороны в негативных явле- ниях и качествах;</w:t>
      </w:r>
    </w:p>
    <w:p>
      <w:pPr>
        <w:pStyle w:val="ListParagraph"/>
        <w:numPr>
          <w:ilvl w:val="2"/>
          <w:numId w:val="107"/>
        </w:numPr>
        <w:tabs>
          <w:tab w:pos="708" w:val="left" w:leader="none"/>
        </w:tabs>
        <w:spacing w:line="229" w:lineRule="exact" w:before="0" w:after="0"/>
        <w:ind w:left="708" w:right="0" w:hanging="283"/>
        <w:jc w:val="both"/>
        <w:rPr>
          <w:sz w:val="20"/>
        </w:rPr>
      </w:pPr>
      <w:r>
        <w:rPr>
          <w:color w:val="231F20"/>
          <w:sz w:val="20"/>
        </w:rPr>
        <w:t>знакомство</w:t>
      </w:r>
      <w:r>
        <w:rPr>
          <w:color w:val="231F20"/>
          <w:spacing w:val="-10"/>
          <w:sz w:val="20"/>
        </w:rPr>
        <w:t> </w:t>
      </w:r>
      <w:r>
        <w:rPr>
          <w:color w:val="231F20"/>
          <w:sz w:val="20"/>
        </w:rPr>
        <w:t>с</w:t>
      </w:r>
      <w:r>
        <w:rPr>
          <w:color w:val="231F20"/>
          <w:spacing w:val="-9"/>
          <w:sz w:val="20"/>
        </w:rPr>
        <w:t> </w:t>
      </w:r>
      <w:r>
        <w:rPr>
          <w:color w:val="231F20"/>
          <w:sz w:val="20"/>
        </w:rPr>
        <w:t>механизмами</w:t>
      </w:r>
      <w:r>
        <w:rPr>
          <w:color w:val="231F20"/>
          <w:spacing w:val="-11"/>
          <w:sz w:val="20"/>
        </w:rPr>
        <w:t> </w:t>
      </w:r>
      <w:r>
        <w:rPr>
          <w:color w:val="231F20"/>
          <w:sz w:val="20"/>
        </w:rPr>
        <w:t>формирования</w:t>
      </w:r>
      <w:r>
        <w:rPr>
          <w:color w:val="231F20"/>
          <w:spacing w:val="-9"/>
          <w:sz w:val="20"/>
        </w:rPr>
        <w:t> </w:t>
      </w:r>
      <w:r>
        <w:rPr>
          <w:color w:val="231F20"/>
          <w:sz w:val="20"/>
        </w:rPr>
        <w:t>стереотипов,</w:t>
      </w:r>
      <w:r>
        <w:rPr>
          <w:color w:val="231F20"/>
          <w:spacing w:val="-9"/>
          <w:sz w:val="20"/>
        </w:rPr>
        <w:t> </w:t>
      </w:r>
      <w:r>
        <w:rPr>
          <w:color w:val="231F20"/>
          <w:spacing w:val="-2"/>
          <w:sz w:val="20"/>
        </w:rPr>
        <w:t>предубеждений;</w:t>
      </w:r>
    </w:p>
    <w:p>
      <w:pPr>
        <w:pStyle w:val="ListParagraph"/>
        <w:numPr>
          <w:ilvl w:val="2"/>
          <w:numId w:val="107"/>
        </w:numPr>
        <w:tabs>
          <w:tab w:pos="708" w:val="left" w:leader="none"/>
        </w:tabs>
        <w:spacing w:line="242" w:lineRule="auto" w:before="1" w:after="0"/>
        <w:ind w:left="708" w:right="139" w:hanging="284"/>
        <w:jc w:val="both"/>
        <w:rPr>
          <w:sz w:val="20"/>
        </w:rPr>
      </w:pPr>
      <w:r>
        <w:rPr>
          <w:color w:val="231F20"/>
          <w:sz w:val="20"/>
        </w:rPr>
        <w:t>формирование</w:t>
      </w:r>
      <w:r>
        <w:rPr>
          <w:color w:val="231F20"/>
          <w:spacing w:val="-1"/>
          <w:sz w:val="20"/>
        </w:rPr>
        <w:t> </w:t>
      </w:r>
      <w:r>
        <w:rPr>
          <w:color w:val="231F20"/>
          <w:sz w:val="20"/>
        </w:rPr>
        <w:t>толерантности</w:t>
      </w:r>
      <w:r>
        <w:rPr>
          <w:color w:val="231F20"/>
          <w:spacing w:val="-1"/>
          <w:sz w:val="20"/>
        </w:rPr>
        <w:t> </w:t>
      </w:r>
      <w:r>
        <w:rPr>
          <w:color w:val="231F20"/>
          <w:sz w:val="20"/>
        </w:rPr>
        <w:t>по</w:t>
      </w:r>
      <w:r>
        <w:rPr>
          <w:color w:val="231F20"/>
          <w:spacing w:val="-1"/>
          <w:sz w:val="20"/>
        </w:rPr>
        <w:t> </w:t>
      </w:r>
      <w:r>
        <w:rPr>
          <w:color w:val="231F20"/>
          <w:sz w:val="20"/>
        </w:rPr>
        <w:t>отношению</w:t>
      </w:r>
      <w:r>
        <w:rPr>
          <w:color w:val="231F20"/>
          <w:spacing w:val="-1"/>
          <w:sz w:val="20"/>
        </w:rPr>
        <w:t> </w:t>
      </w:r>
      <w:r>
        <w:rPr>
          <w:color w:val="231F20"/>
          <w:sz w:val="20"/>
        </w:rPr>
        <w:t>к</w:t>
      </w:r>
      <w:r>
        <w:rPr>
          <w:color w:val="231F20"/>
          <w:spacing w:val="-1"/>
          <w:sz w:val="20"/>
        </w:rPr>
        <w:t> </w:t>
      </w:r>
      <w:r>
        <w:rPr>
          <w:color w:val="231F20"/>
          <w:sz w:val="20"/>
        </w:rPr>
        <w:t>социально</w:t>
      </w:r>
      <w:r>
        <w:rPr>
          <w:color w:val="231F20"/>
          <w:spacing w:val="-1"/>
          <w:sz w:val="20"/>
        </w:rPr>
        <w:t> </w:t>
      </w:r>
      <w:r>
        <w:rPr>
          <w:color w:val="231F20"/>
          <w:sz w:val="20"/>
        </w:rPr>
        <w:t>уязвимым</w:t>
      </w:r>
      <w:r>
        <w:rPr>
          <w:color w:val="231F20"/>
          <w:spacing w:val="-1"/>
          <w:sz w:val="20"/>
        </w:rPr>
        <w:t> </w:t>
      </w:r>
      <w:r>
        <w:rPr>
          <w:color w:val="231F20"/>
          <w:sz w:val="20"/>
        </w:rPr>
        <w:t>группам, развитие способности к пониманию, сопереживанию и сочувствию;</w:t>
      </w:r>
    </w:p>
    <w:p>
      <w:pPr>
        <w:pStyle w:val="ListParagraph"/>
        <w:numPr>
          <w:ilvl w:val="2"/>
          <w:numId w:val="107"/>
        </w:numPr>
        <w:tabs>
          <w:tab w:pos="708" w:val="left" w:leader="none"/>
        </w:tabs>
        <w:spacing w:line="244" w:lineRule="auto" w:before="0" w:after="0"/>
        <w:ind w:left="708" w:right="139" w:hanging="284"/>
        <w:jc w:val="both"/>
        <w:rPr>
          <w:sz w:val="20"/>
        </w:rPr>
      </w:pPr>
      <w:r>
        <w:rPr>
          <w:color w:val="231F20"/>
          <w:sz w:val="20"/>
        </w:rPr>
        <w:t>обучение</w:t>
      </w:r>
      <w:r>
        <w:rPr>
          <w:color w:val="231F20"/>
          <w:spacing w:val="-3"/>
          <w:sz w:val="20"/>
        </w:rPr>
        <w:t> </w:t>
      </w:r>
      <w:r>
        <w:rPr>
          <w:color w:val="231F20"/>
          <w:sz w:val="20"/>
        </w:rPr>
        <w:t>конструктивным</w:t>
      </w:r>
      <w:r>
        <w:rPr>
          <w:color w:val="231F20"/>
          <w:spacing w:val="-2"/>
          <w:sz w:val="20"/>
        </w:rPr>
        <w:t> </w:t>
      </w:r>
      <w:r>
        <w:rPr>
          <w:color w:val="231F20"/>
          <w:sz w:val="20"/>
        </w:rPr>
        <w:t>способам</w:t>
      </w:r>
      <w:r>
        <w:rPr>
          <w:color w:val="231F20"/>
          <w:spacing w:val="-3"/>
          <w:sz w:val="20"/>
        </w:rPr>
        <w:t> </w:t>
      </w:r>
      <w:r>
        <w:rPr>
          <w:color w:val="231F20"/>
          <w:sz w:val="20"/>
        </w:rPr>
        <w:t>выхода</w:t>
      </w:r>
      <w:r>
        <w:rPr>
          <w:color w:val="231F20"/>
          <w:spacing w:val="-3"/>
          <w:sz w:val="20"/>
        </w:rPr>
        <w:t> </w:t>
      </w:r>
      <w:r>
        <w:rPr>
          <w:color w:val="231F20"/>
          <w:sz w:val="20"/>
        </w:rPr>
        <w:t>из</w:t>
      </w:r>
      <w:r>
        <w:rPr>
          <w:color w:val="231F20"/>
          <w:spacing w:val="-3"/>
          <w:sz w:val="20"/>
        </w:rPr>
        <w:t> </w:t>
      </w:r>
      <w:r>
        <w:rPr>
          <w:color w:val="231F20"/>
          <w:sz w:val="20"/>
        </w:rPr>
        <w:t>конфликтных</w:t>
      </w:r>
      <w:r>
        <w:rPr>
          <w:color w:val="231F20"/>
          <w:spacing w:val="-3"/>
          <w:sz w:val="20"/>
        </w:rPr>
        <w:t> </w:t>
      </w:r>
      <w:r>
        <w:rPr>
          <w:color w:val="231F20"/>
          <w:sz w:val="20"/>
        </w:rPr>
        <w:t>ситуаций,</w:t>
      </w:r>
      <w:r>
        <w:rPr>
          <w:color w:val="231F20"/>
          <w:spacing w:val="-2"/>
          <w:sz w:val="20"/>
        </w:rPr>
        <w:t> </w:t>
      </w:r>
      <w:r>
        <w:rPr>
          <w:color w:val="231F20"/>
          <w:sz w:val="20"/>
        </w:rPr>
        <w:t>выра- жению своих чувств и переживаний без конфликтов и насилия.</w:t>
      </w:r>
    </w:p>
    <w:p>
      <w:pPr>
        <w:pStyle w:val="BodyText"/>
        <w:spacing w:line="244" w:lineRule="auto"/>
      </w:pPr>
      <w:r>
        <w:rPr>
          <w:color w:val="231F20"/>
        </w:rPr>
        <w:t>Все материалы данных программ, как уже было отмечено, находятся в открытом доступе. Педагог-психолог может самостоятельно, ориентируясь на цели тренинго- вых блоков и отдельных заданий, конструировать собственный тренинг исходя из специфики конкретной ситуации.</w:t>
      </w:r>
    </w:p>
    <w:p>
      <w:pPr>
        <w:pStyle w:val="BodyText"/>
        <w:ind w:left="0" w:right="0" w:firstLine="0"/>
        <w:jc w:val="left"/>
      </w:pPr>
    </w:p>
    <w:p>
      <w:pPr>
        <w:numPr>
          <w:ilvl w:val="2"/>
          <w:numId w:val="96"/>
        </w:numPr>
        <w:tabs>
          <w:tab w:pos="625" w:val="left" w:leader="none"/>
        </w:tabs>
        <w:spacing w:line="244" w:lineRule="auto" w:before="0"/>
        <w:ind w:left="425" w:right="1030" w:firstLine="0"/>
        <w:jc w:val="both"/>
        <w:rPr>
          <w:b/>
          <w:color w:val="231F20"/>
          <w:sz w:val="20"/>
        </w:rPr>
      </w:pPr>
      <w:r>
        <w:rPr>
          <w:b/>
          <w:i/>
          <w:color w:val="231F20"/>
          <w:sz w:val="20"/>
        </w:rPr>
        <w:t>Интерактивные</w:t>
      </w:r>
      <w:r>
        <w:rPr>
          <w:b/>
          <w:i/>
          <w:color w:val="231F20"/>
          <w:spacing w:val="-13"/>
          <w:sz w:val="20"/>
        </w:rPr>
        <w:t> </w:t>
      </w:r>
      <w:r>
        <w:rPr>
          <w:b/>
          <w:i/>
          <w:color w:val="231F20"/>
          <w:sz w:val="20"/>
        </w:rPr>
        <w:t>программы</w:t>
      </w:r>
      <w:r>
        <w:rPr>
          <w:b/>
          <w:i/>
          <w:color w:val="231F20"/>
          <w:spacing w:val="-12"/>
          <w:sz w:val="20"/>
        </w:rPr>
        <w:t> </w:t>
      </w:r>
      <w:r>
        <w:rPr>
          <w:b/>
          <w:i/>
          <w:color w:val="231F20"/>
          <w:sz w:val="20"/>
        </w:rPr>
        <w:t>Федерального</w:t>
      </w:r>
      <w:r>
        <w:rPr>
          <w:b/>
          <w:i/>
          <w:color w:val="231F20"/>
          <w:spacing w:val="-13"/>
          <w:sz w:val="20"/>
        </w:rPr>
        <w:t> </w:t>
      </w:r>
      <w:r>
        <w:rPr>
          <w:b/>
          <w:i/>
          <w:color w:val="231F20"/>
          <w:sz w:val="20"/>
        </w:rPr>
        <w:t>научно-</w:t>
      </w:r>
      <w:r>
        <w:rPr>
          <w:b/>
          <w:i/>
          <w:color w:val="231F20"/>
          <w:sz w:val="20"/>
        </w:rPr>
        <w:t>методического центра в области психологии и педагогики толерантности</w:t>
      </w:r>
      <w:r>
        <w:rPr>
          <w:color w:val="231F20"/>
          <w:sz w:val="20"/>
          <w:vertAlign w:val="superscript"/>
        </w:rPr>
        <w:t>1</w:t>
      </w:r>
    </w:p>
    <w:p>
      <w:pPr>
        <w:pStyle w:val="BodyText"/>
        <w:spacing w:line="244" w:lineRule="auto"/>
      </w:pPr>
      <w:r>
        <w:rPr>
          <w:color w:val="231F20"/>
        </w:rPr>
        <w:t>Федеральный</w:t>
      </w:r>
      <w:r>
        <w:rPr>
          <w:color w:val="231F20"/>
          <w:spacing w:val="-9"/>
        </w:rPr>
        <w:t> </w:t>
      </w:r>
      <w:r>
        <w:rPr>
          <w:color w:val="231F20"/>
        </w:rPr>
        <w:t>научно-методический</w:t>
      </w:r>
      <w:r>
        <w:rPr>
          <w:color w:val="231F20"/>
          <w:spacing w:val="-9"/>
        </w:rPr>
        <w:t> </w:t>
      </w:r>
      <w:r>
        <w:rPr>
          <w:color w:val="231F20"/>
        </w:rPr>
        <w:t>центр</w:t>
      </w:r>
      <w:r>
        <w:rPr>
          <w:color w:val="231F20"/>
          <w:spacing w:val="-9"/>
        </w:rPr>
        <w:t> </w:t>
      </w:r>
      <w:r>
        <w:rPr>
          <w:color w:val="231F20"/>
        </w:rPr>
        <w:t>в</w:t>
      </w:r>
      <w:r>
        <w:rPr>
          <w:color w:val="231F20"/>
          <w:spacing w:val="-9"/>
        </w:rPr>
        <w:t> </w:t>
      </w:r>
      <w:r>
        <w:rPr>
          <w:color w:val="231F20"/>
        </w:rPr>
        <w:t>области</w:t>
      </w:r>
      <w:r>
        <w:rPr>
          <w:color w:val="231F20"/>
          <w:spacing w:val="-9"/>
        </w:rPr>
        <w:t> </w:t>
      </w:r>
      <w:r>
        <w:rPr>
          <w:color w:val="231F20"/>
        </w:rPr>
        <w:t>психологии</w:t>
      </w:r>
      <w:r>
        <w:rPr>
          <w:color w:val="231F20"/>
          <w:spacing w:val="-9"/>
        </w:rPr>
        <w:t> </w:t>
      </w:r>
      <w:r>
        <w:rPr>
          <w:color w:val="231F20"/>
        </w:rPr>
        <w:t>и</w:t>
      </w:r>
      <w:r>
        <w:rPr>
          <w:color w:val="231F20"/>
          <w:spacing w:val="-9"/>
        </w:rPr>
        <w:t> </w:t>
      </w:r>
      <w:r>
        <w:rPr>
          <w:color w:val="231F20"/>
        </w:rPr>
        <w:t>педагогики</w:t>
      </w:r>
      <w:r>
        <w:rPr>
          <w:color w:val="231F20"/>
          <w:spacing w:val="-9"/>
        </w:rPr>
        <w:t> </w:t>
      </w:r>
      <w:r>
        <w:rPr>
          <w:color w:val="231F20"/>
        </w:rPr>
        <w:t>то- лерантности предлагает педагогам-психологам обучение и передачу двух тренинго- вых</w:t>
      </w:r>
      <w:r>
        <w:rPr>
          <w:color w:val="231F20"/>
          <w:spacing w:val="-4"/>
        </w:rPr>
        <w:t> </w:t>
      </w:r>
      <w:r>
        <w:rPr>
          <w:color w:val="231F20"/>
        </w:rPr>
        <w:t>программ,</w:t>
      </w:r>
      <w:r>
        <w:rPr>
          <w:color w:val="231F20"/>
          <w:spacing w:val="-5"/>
        </w:rPr>
        <w:t> </w:t>
      </w:r>
      <w:r>
        <w:rPr>
          <w:color w:val="231F20"/>
        </w:rPr>
        <w:t>которые</w:t>
      </w:r>
      <w:r>
        <w:rPr>
          <w:color w:val="231F20"/>
          <w:spacing w:val="-5"/>
        </w:rPr>
        <w:t> </w:t>
      </w:r>
      <w:r>
        <w:rPr>
          <w:color w:val="231F20"/>
        </w:rPr>
        <w:t>можно</w:t>
      </w:r>
      <w:r>
        <w:rPr>
          <w:color w:val="231F20"/>
          <w:spacing w:val="-5"/>
        </w:rPr>
        <w:t> </w:t>
      </w:r>
      <w:r>
        <w:rPr>
          <w:color w:val="231F20"/>
        </w:rPr>
        <w:t>использовать</w:t>
      </w:r>
      <w:r>
        <w:rPr>
          <w:color w:val="231F20"/>
          <w:spacing w:val="-5"/>
        </w:rPr>
        <w:t> </w:t>
      </w:r>
      <w:r>
        <w:rPr>
          <w:color w:val="231F20"/>
        </w:rPr>
        <w:t>для</w:t>
      </w:r>
      <w:r>
        <w:rPr>
          <w:color w:val="231F20"/>
          <w:spacing w:val="-5"/>
        </w:rPr>
        <w:t> </w:t>
      </w:r>
      <w:r>
        <w:rPr>
          <w:color w:val="231F20"/>
        </w:rPr>
        <w:t>работы</w:t>
      </w:r>
      <w:r>
        <w:rPr>
          <w:color w:val="231F20"/>
          <w:spacing w:val="-5"/>
        </w:rPr>
        <w:t> </w:t>
      </w:r>
      <w:r>
        <w:rPr>
          <w:color w:val="231F20"/>
        </w:rPr>
        <w:t>с</w:t>
      </w:r>
      <w:r>
        <w:rPr>
          <w:color w:val="231F20"/>
          <w:spacing w:val="-4"/>
        </w:rPr>
        <w:t> </w:t>
      </w:r>
      <w:r>
        <w:rPr>
          <w:color w:val="231F20"/>
        </w:rPr>
        <w:t>поликультурным</w:t>
      </w:r>
      <w:r>
        <w:rPr>
          <w:color w:val="231F20"/>
          <w:spacing w:val="-4"/>
        </w:rPr>
        <w:t> </w:t>
      </w:r>
      <w:r>
        <w:rPr>
          <w:color w:val="231F20"/>
        </w:rPr>
        <w:t>классом, где учатся дети – иностранные граждане.</w:t>
      </w:r>
    </w:p>
    <w:p>
      <w:pPr>
        <w:pStyle w:val="BodyText"/>
        <w:spacing w:line="244" w:lineRule="auto" w:before="110"/>
      </w:pPr>
      <w:r>
        <w:rPr>
          <w:i/>
          <w:color w:val="231F20"/>
        </w:rPr>
        <w:t>Первая</w:t>
      </w:r>
      <w:r>
        <w:rPr>
          <w:i/>
          <w:color w:val="231F20"/>
          <w:spacing w:val="-13"/>
        </w:rPr>
        <w:t> </w:t>
      </w:r>
      <w:r>
        <w:rPr>
          <w:i/>
          <w:color w:val="231F20"/>
        </w:rPr>
        <w:t>программа</w:t>
      </w:r>
      <w:r>
        <w:rPr>
          <w:i/>
          <w:color w:val="231F20"/>
          <w:spacing w:val="-12"/>
        </w:rPr>
        <w:t> </w:t>
      </w:r>
      <w:r>
        <w:rPr>
          <w:color w:val="231F20"/>
        </w:rPr>
        <w:t>–</w:t>
      </w:r>
      <w:r>
        <w:rPr>
          <w:color w:val="231F20"/>
          <w:spacing w:val="-13"/>
        </w:rPr>
        <w:t> </w:t>
      </w:r>
      <w:r>
        <w:rPr>
          <w:color w:val="231F20"/>
        </w:rPr>
        <w:t>программа</w:t>
      </w:r>
      <w:r>
        <w:rPr>
          <w:color w:val="231F20"/>
          <w:spacing w:val="-12"/>
        </w:rPr>
        <w:t> </w:t>
      </w:r>
      <w:r>
        <w:rPr>
          <w:color w:val="231F20"/>
        </w:rPr>
        <w:t>повышения</w:t>
      </w:r>
      <w:r>
        <w:rPr>
          <w:color w:val="231F20"/>
          <w:spacing w:val="-13"/>
        </w:rPr>
        <w:t> </w:t>
      </w:r>
      <w:r>
        <w:rPr>
          <w:color w:val="231F20"/>
        </w:rPr>
        <w:t>квалификации</w:t>
      </w:r>
      <w:r>
        <w:rPr>
          <w:color w:val="231F20"/>
          <w:spacing w:val="-12"/>
        </w:rPr>
        <w:t> </w:t>
      </w:r>
      <w:r>
        <w:rPr>
          <w:color w:val="231F20"/>
        </w:rPr>
        <w:t>«Интерактивные</w:t>
      </w:r>
      <w:r>
        <w:rPr>
          <w:color w:val="231F20"/>
          <w:spacing w:val="-13"/>
        </w:rPr>
        <w:t> </w:t>
      </w:r>
      <w:r>
        <w:rPr>
          <w:color w:val="231F20"/>
        </w:rPr>
        <w:t>мето- ды формирования гражданской идентичности обучающихся «Я – россиянин».</w:t>
      </w:r>
    </w:p>
    <w:p>
      <w:pPr>
        <w:pStyle w:val="BodyText"/>
        <w:spacing w:line="244" w:lineRule="auto"/>
        <w:ind w:right="138"/>
      </w:pPr>
      <w:r>
        <w:rPr/>
        <w:t>Цель курса</w:t>
      </w:r>
      <w:r>
        <w:rPr>
          <w:spacing w:val="-4"/>
        </w:rPr>
        <w:t> </w:t>
      </w:r>
      <w:r>
        <w:rPr/>
        <w:t>повышения квалификации: обучение теоретическим и практическим основам интерактивных технологий в области формирования гражданской иден- тичности школьников 9–17 лет в соответствии с действующим законодательством Российской Федерации. </w:t>
      </w:r>
      <w:r>
        <w:rPr>
          <w:color w:val="231F20"/>
        </w:rPr>
        <w:t>Педагоги, прошедшие дистанционные программу повыше- ния</w:t>
      </w:r>
      <w:r>
        <w:rPr>
          <w:color w:val="231F20"/>
          <w:spacing w:val="-2"/>
        </w:rPr>
        <w:t> </w:t>
      </w:r>
      <w:r>
        <w:rPr>
          <w:color w:val="231F20"/>
        </w:rPr>
        <w:t>квалификации</w:t>
      </w:r>
      <w:r>
        <w:rPr>
          <w:color w:val="231F20"/>
          <w:spacing w:val="-2"/>
        </w:rPr>
        <w:t> </w:t>
      </w:r>
      <w:r>
        <w:rPr>
          <w:color w:val="231F20"/>
        </w:rPr>
        <w:t>«Я</w:t>
      </w:r>
      <w:r>
        <w:rPr>
          <w:color w:val="231F20"/>
          <w:spacing w:val="-2"/>
        </w:rPr>
        <w:t> </w:t>
      </w:r>
      <w:r>
        <w:rPr>
          <w:color w:val="231F20"/>
        </w:rPr>
        <w:t>–</w:t>
      </w:r>
      <w:r>
        <w:rPr>
          <w:color w:val="231F20"/>
          <w:spacing w:val="-2"/>
        </w:rPr>
        <w:t> </w:t>
      </w:r>
      <w:r>
        <w:rPr>
          <w:color w:val="231F20"/>
        </w:rPr>
        <w:t>россиянин:</w:t>
      </w:r>
      <w:r>
        <w:rPr>
          <w:color w:val="231F20"/>
          <w:spacing w:val="-2"/>
        </w:rPr>
        <w:t> </w:t>
      </w:r>
      <w:r>
        <w:rPr>
          <w:color w:val="231F20"/>
        </w:rPr>
        <w:t>интерактивные</w:t>
      </w:r>
      <w:r>
        <w:rPr>
          <w:color w:val="231F20"/>
          <w:spacing w:val="-2"/>
        </w:rPr>
        <w:t> </w:t>
      </w:r>
      <w:r>
        <w:rPr>
          <w:color w:val="231F20"/>
        </w:rPr>
        <w:t>методы</w:t>
      </w:r>
      <w:r>
        <w:rPr>
          <w:color w:val="231F20"/>
          <w:spacing w:val="-3"/>
        </w:rPr>
        <w:t> </w:t>
      </w:r>
      <w:r>
        <w:rPr>
          <w:color w:val="231F20"/>
        </w:rPr>
        <w:t>укрепления</w:t>
      </w:r>
      <w:r>
        <w:rPr>
          <w:color w:val="231F20"/>
          <w:spacing w:val="-2"/>
        </w:rPr>
        <w:t> </w:t>
      </w:r>
      <w:r>
        <w:rPr>
          <w:color w:val="231F20"/>
        </w:rPr>
        <w:t>гражданской идентичности»</w:t>
      </w:r>
      <w:r>
        <w:rPr>
          <w:color w:val="231F20"/>
          <w:spacing w:val="-10"/>
        </w:rPr>
        <w:t> </w:t>
      </w:r>
      <w:r>
        <w:rPr>
          <w:color w:val="231F20"/>
        </w:rPr>
        <w:t>на</w:t>
      </w:r>
      <w:r>
        <w:rPr>
          <w:color w:val="231F20"/>
          <w:spacing w:val="-10"/>
        </w:rPr>
        <w:t> </w:t>
      </w:r>
      <w:r>
        <w:rPr>
          <w:color w:val="231F20"/>
        </w:rPr>
        <w:t>сайте</w:t>
      </w:r>
      <w:r>
        <w:rPr>
          <w:color w:val="231F20"/>
          <w:spacing w:val="-10"/>
        </w:rPr>
        <w:t> </w:t>
      </w:r>
      <w:hyperlink r:id="rId100">
        <w:r>
          <w:rPr>
            <w:color w:val="2255A6"/>
            <w:u w:val="single" w:color="2255A6"/>
          </w:rPr>
          <w:t>www.tolerancecenter.ru</w:t>
        </w:r>
      </w:hyperlink>
      <w:r>
        <w:rPr>
          <w:color w:val="231F20"/>
        </w:rPr>
        <w:t>,</w:t>
      </w:r>
      <w:r>
        <w:rPr>
          <w:color w:val="231F20"/>
          <w:spacing w:val="-10"/>
        </w:rPr>
        <w:t> </w:t>
      </w:r>
      <w:r>
        <w:rPr>
          <w:color w:val="231F20"/>
        </w:rPr>
        <w:t>получают</w:t>
      </w:r>
      <w:r>
        <w:rPr>
          <w:color w:val="231F20"/>
          <w:spacing w:val="-10"/>
        </w:rPr>
        <w:t> </w:t>
      </w:r>
      <w:r>
        <w:rPr>
          <w:color w:val="231F20"/>
        </w:rPr>
        <w:t>методические</w:t>
      </w:r>
      <w:r>
        <w:rPr>
          <w:color w:val="231F20"/>
          <w:spacing w:val="-10"/>
        </w:rPr>
        <w:t> </w:t>
      </w:r>
      <w:r>
        <w:rPr>
          <w:color w:val="231F20"/>
        </w:rPr>
        <w:t>руководства по самостоятельному проведению занятий.</w:t>
      </w:r>
    </w:p>
    <w:p>
      <w:pPr>
        <w:pStyle w:val="BodyText"/>
        <w:spacing w:line="244" w:lineRule="auto"/>
      </w:pPr>
      <w:r>
        <w:rPr/>
        <w:t>Программа «</w:t>
      </w:r>
      <w:r>
        <w:rPr>
          <w:color w:val="231F20"/>
        </w:rPr>
        <w:t>Я – россиянин» представляет собой цикл из 8 интерактивных заня- тий.</w:t>
      </w:r>
      <w:r>
        <w:rPr>
          <w:color w:val="231F20"/>
          <w:spacing w:val="-5"/>
        </w:rPr>
        <w:t> </w:t>
      </w:r>
      <w:r>
        <w:rPr>
          <w:color w:val="231F20"/>
        </w:rPr>
        <w:t>Они</w:t>
      </w:r>
      <w:r>
        <w:rPr>
          <w:color w:val="231F20"/>
          <w:spacing w:val="-5"/>
        </w:rPr>
        <w:t> </w:t>
      </w:r>
      <w:r>
        <w:rPr>
          <w:color w:val="231F20"/>
        </w:rPr>
        <w:t>адресованы</w:t>
      </w:r>
      <w:r>
        <w:rPr>
          <w:color w:val="231F20"/>
          <w:spacing w:val="-5"/>
        </w:rPr>
        <w:t> </w:t>
      </w:r>
      <w:r>
        <w:rPr>
          <w:color w:val="231F20"/>
        </w:rPr>
        <w:t>обучающимся</w:t>
      </w:r>
      <w:r>
        <w:rPr>
          <w:color w:val="231F20"/>
          <w:spacing w:val="-5"/>
        </w:rPr>
        <w:t> </w:t>
      </w:r>
      <w:r>
        <w:rPr>
          <w:color w:val="231F20"/>
        </w:rPr>
        <w:t>4–11-х</w:t>
      </w:r>
      <w:r>
        <w:rPr>
          <w:color w:val="231F20"/>
          <w:spacing w:val="-5"/>
        </w:rPr>
        <w:t> </w:t>
      </w:r>
      <w:r>
        <w:rPr>
          <w:color w:val="231F20"/>
        </w:rPr>
        <w:t>классов,</w:t>
      </w:r>
      <w:r>
        <w:rPr>
          <w:color w:val="231F20"/>
          <w:spacing w:val="-5"/>
        </w:rPr>
        <w:t> </w:t>
      </w:r>
      <w:r>
        <w:rPr>
          <w:color w:val="231F20"/>
        </w:rPr>
        <w:t>предполагается</w:t>
      </w:r>
      <w:r>
        <w:rPr>
          <w:color w:val="231F20"/>
          <w:spacing w:val="-5"/>
        </w:rPr>
        <w:t> </w:t>
      </w:r>
      <w:r>
        <w:rPr>
          <w:color w:val="231F20"/>
        </w:rPr>
        <w:t>проведение</w:t>
      </w:r>
      <w:r>
        <w:rPr>
          <w:color w:val="231F20"/>
          <w:spacing w:val="-5"/>
        </w:rPr>
        <w:t> </w:t>
      </w:r>
      <w:r>
        <w:rPr>
          <w:color w:val="231F20"/>
        </w:rPr>
        <w:t>1</w:t>
      </w:r>
      <w:r>
        <w:rPr>
          <w:color w:val="231F20"/>
          <w:spacing w:val="-5"/>
        </w:rPr>
        <w:t> </w:t>
      </w:r>
      <w:r>
        <w:rPr>
          <w:color w:val="231F20"/>
        </w:rPr>
        <w:t>за- нятия в год. Продолжительность занятия – 1,5 часа.</w:t>
      </w:r>
    </w:p>
    <w:p>
      <w:pPr>
        <w:pStyle w:val="BodyText"/>
        <w:spacing w:line="228" w:lineRule="exact"/>
        <w:ind w:left="425" w:right="0" w:firstLine="0"/>
      </w:pPr>
      <w:r>
        <w:rPr>
          <w:color w:val="231F20"/>
          <w:spacing w:val="-2"/>
        </w:rPr>
        <w:t>Тематика</w:t>
      </w:r>
      <w:r>
        <w:rPr>
          <w:color w:val="231F20"/>
          <w:spacing w:val="-3"/>
        </w:rPr>
        <w:t> </w:t>
      </w:r>
      <w:r>
        <w:rPr>
          <w:color w:val="231F20"/>
          <w:spacing w:val="-2"/>
        </w:rPr>
        <w:t>занятий:</w:t>
      </w:r>
    </w:p>
    <w:p>
      <w:pPr>
        <w:pStyle w:val="ListParagraph"/>
        <w:numPr>
          <w:ilvl w:val="0"/>
          <w:numId w:val="108"/>
        </w:numPr>
        <w:tabs>
          <w:tab w:pos="575" w:val="left" w:leader="none"/>
        </w:tabs>
        <w:spacing w:line="240" w:lineRule="auto" w:before="0" w:after="0"/>
        <w:ind w:left="575" w:right="0" w:hanging="150"/>
        <w:jc w:val="both"/>
        <w:rPr>
          <w:sz w:val="20"/>
        </w:rPr>
      </w:pPr>
      <w:r>
        <w:rPr>
          <w:color w:val="231F20"/>
          <w:sz w:val="20"/>
        </w:rPr>
        <w:t>класс.</w:t>
      </w:r>
      <w:r>
        <w:rPr>
          <w:color w:val="231F20"/>
          <w:spacing w:val="-4"/>
          <w:sz w:val="20"/>
        </w:rPr>
        <w:t> </w:t>
      </w:r>
      <w:r>
        <w:rPr>
          <w:color w:val="231F20"/>
          <w:sz w:val="20"/>
        </w:rPr>
        <w:t>Кто</w:t>
      </w:r>
      <w:r>
        <w:rPr>
          <w:color w:val="231F20"/>
          <w:spacing w:val="-3"/>
          <w:sz w:val="20"/>
        </w:rPr>
        <w:t> </w:t>
      </w:r>
      <w:r>
        <w:rPr>
          <w:color w:val="231F20"/>
          <w:sz w:val="20"/>
        </w:rPr>
        <w:t>Я?</w:t>
      </w:r>
      <w:r>
        <w:rPr>
          <w:color w:val="231F20"/>
          <w:spacing w:val="-2"/>
          <w:sz w:val="20"/>
        </w:rPr>
        <w:t> </w:t>
      </w:r>
      <w:r>
        <w:rPr>
          <w:color w:val="231F20"/>
          <w:sz w:val="20"/>
        </w:rPr>
        <w:t>(основы</w:t>
      </w:r>
      <w:r>
        <w:rPr>
          <w:color w:val="231F20"/>
          <w:spacing w:val="-2"/>
          <w:sz w:val="20"/>
        </w:rPr>
        <w:t> </w:t>
      </w:r>
      <w:r>
        <w:rPr>
          <w:color w:val="231F20"/>
          <w:sz w:val="20"/>
        </w:rPr>
        <w:t>социальной</w:t>
      </w:r>
      <w:r>
        <w:rPr>
          <w:color w:val="231F20"/>
          <w:spacing w:val="-2"/>
          <w:sz w:val="20"/>
        </w:rPr>
        <w:t> идентичности).</w:t>
      </w:r>
    </w:p>
    <w:p>
      <w:pPr>
        <w:pStyle w:val="ListParagraph"/>
        <w:numPr>
          <w:ilvl w:val="0"/>
          <w:numId w:val="108"/>
        </w:numPr>
        <w:tabs>
          <w:tab w:pos="575" w:val="left" w:leader="none"/>
        </w:tabs>
        <w:spacing w:line="240" w:lineRule="auto" w:before="3" w:after="0"/>
        <w:ind w:left="575" w:right="0" w:hanging="150"/>
        <w:jc w:val="both"/>
        <w:rPr>
          <w:sz w:val="20"/>
        </w:rPr>
      </w:pPr>
      <w:r>
        <w:rPr>
          <w:color w:val="231F20"/>
          <w:sz w:val="20"/>
        </w:rPr>
        <w:t>класс.</w:t>
      </w:r>
      <w:r>
        <w:rPr>
          <w:color w:val="231F20"/>
          <w:spacing w:val="-15"/>
          <w:sz w:val="20"/>
        </w:rPr>
        <w:t> </w:t>
      </w:r>
      <w:r>
        <w:rPr>
          <w:color w:val="231F20"/>
          <w:sz w:val="20"/>
        </w:rPr>
        <w:t>Что</w:t>
      </w:r>
      <w:r>
        <w:rPr>
          <w:color w:val="231F20"/>
          <w:spacing w:val="-12"/>
          <w:sz w:val="20"/>
        </w:rPr>
        <w:t> </w:t>
      </w:r>
      <w:r>
        <w:rPr>
          <w:color w:val="231F20"/>
          <w:sz w:val="20"/>
        </w:rPr>
        <w:t>такое</w:t>
      </w:r>
      <w:r>
        <w:rPr>
          <w:color w:val="231F20"/>
          <w:spacing w:val="-12"/>
          <w:sz w:val="20"/>
        </w:rPr>
        <w:t> </w:t>
      </w:r>
      <w:r>
        <w:rPr>
          <w:color w:val="231F20"/>
          <w:sz w:val="20"/>
        </w:rPr>
        <w:t>государство:</w:t>
      </w:r>
      <w:r>
        <w:rPr>
          <w:color w:val="231F20"/>
          <w:spacing w:val="-13"/>
          <w:sz w:val="20"/>
        </w:rPr>
        <w:t> </w:t>
      </w:r>
      <w:r>
        <w:rPr>
          <w:color w:val="231F20"/>
          <w:sz w:val="20"/>
        </w:rPr>
        <w:t>конституция,</w:t>
      </w:r>
      <w:r>
        <w:rPr>
          <w:color w:val="231F20"/>
          <w:spacing w:val="-12"/>
          <w:sz w:val="20"/>
        </w:rPr>
        <w:t> </w:t>
      </w:r>
      <w:r>
        <w:rPr>
          <w:color w:val="231F20"/>
          <w:sz w:val="20"/>
        </w:rPr>
        <w:t>государственная</w:t>
      </w:r>
      <w:r>
        <w:rPr>
          <w:color w:val="231F20"/>
          <w:spacing w:val="-12"/>
          <w:sz w:val="20"/>
        </w:rPr>
        <w:t> </w:t>
      </w:r>
      <w:r>
        <w:rPr>
          <w:color w:val="231F20"/>
          <w:spacing w:val="-2"/>
          <w:sz w:val="20"/>
        </w:rPr>
        <w:t>символика.</w:t>
      </w:r>
    </w:p>
    <w:p>
      <w:pPr>
        <w:pStyle w:val="BodyText"/>
        <w:spacing w:before="2"/>
        <w:ind w:left="0" w:right="0" w:firstLine="0"/>
        <w:jc w:val="left"/>
        <w:rPr>
          <w:sz w:val="15"/>
        </w:rPr>
      </w:pPr>
      <w:r>
        <w:rPr>
          <w:sz w:val="15"/>
        </w:rPr>
        <mc:AlternateContent>
          <mc:Choice Requires="wps">
            <w:drawing>
              <wp:anchor distT="0" distB="0" distL="0" distR="0" allowOverlap="1" layoutInCell="1" locked="0" behindDoc="1" simplePos="0" relativeHeight="487622144">
                <wp:simplePos x="0" y="0"/>
                <wp:positionH relativeFrom="page">
                  <wp:posOffset>359999</wp:posOffset>
                </wp:positionH>
                <wp:positionV relativeFrom="paragraph">
                  <wp:posOffset>126627</wp:posOffset>
                </wp:positionV>
                <wp:extent cx="1440180" cy="1270"/>
                <wp:effectExtent l="0" t="0" r="0" b="0"/>
                <wp:wrapTopAndBottom/>
                <wp:docPr id="112" name="Graphic 112"/>
                <wp:cNvGraphicFramePr>
                  <a:graphicFrameLocks/>
                </wp:cNvGraphicFramePr>
                <a:graphic>
                  <a:graphicData uri="http://schemas.microsoft.com/office/word/2010/wordprocessingShape">
                    <wps:wsp>
                      <wps:cNvPr id="112" name="Graphic 112"/>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399pt;margin-top:9.970652pt;width:113.4pt;height:.1pt;mso-position-horizontal-relative:page;mso-position-vertical-relative:paragraph;z-index:-15694336;mso-wrap-distance-left:0;mso-wrap-distance-right:0" id="docshape69" coordorigin="567,199" coordsize="2268,0" path="m567,199l2835,199e" filled="false" stroked="true" strokeweight=".5pt" strokecolor="#231f20">
                <v:path arrowok="t"/>
                <v:stroke dashstyle="solid"/>
                <w10:wrap type="topAndBottom"/>
              </v:shape>
            </w:pict>
          </mc:Fallback>
        </mc:AlternateContent>
      </w:r>
    </w:p>
    <w:p>
      <w:pPr>
        <w:tabs>
          <w:tab w:pos="425" w:val="left" w:leader="none"/>
        </w:tabs>
        <w:spacing w:before="27"/>
        <w:ind w:left="141" w:right="0" w:firstLine="0"/>
        <w:jc w:val="left"/>
        <w:rPr>
          <w:sz w:val="18"/>
        </w:rPr>
      </w:pPr>
      <w:r>
        <w:rPr>
          <w:color w:val="231F20"/>
          <w:spacing w:val="-10"/>
          <w:sz w:val="18"/>
          <w:vertAlign w:val="superscript"/>
        </w:rPr>
        <w:t>1</w:t>
      </w:r>
      <w:r>
        <w:rPr>
          <w:color w:val="231F20"/>
          <w:sz w:val="18"/>
          <w:vertAlign w:val="baseline"/>
        </w:rPr>
        <w:tab/>
      </w:r>
      <w:hyperlink r:id="rId101">
        <w:r>
          <w:rPr>
            <w:color w:val="2255A6"/>
            <w:spacing w:val="-2"/>
            <w:sz w:val="18"/>
            <w:u w:val="single" w:color="2255A6"/>
            <w:vertAlign w:val="baseline"/>
          </w:rPr>
          <w:t>https://tolerancecenter.ru/</w:t>
        </w:r>
      </w:hyperlink>
    </w:p>
    <w:p>
      <w:pPr>
        <w:spacing w:after="0"/>
        <w:jc w:val="left"/>
        <w:rPr>
          <w:sz w:val="18"/>
        </w:rPr>
        <w:sectPr>
          <w:pgSz w:w="8400" w:h="11910"/>
          <w:pgMar w:header="0" w:footer="527" w:top="400" w:bottom="720" w:left="425" w:right="425"/>
        </w:sectPr>
      </w:pPr>
    </w:p>
    <w:p>
      <w:pPr>
        <w:pStyle w:val="ListParagraph"/>
        <w:numPr>
          <w:ilvl w:val="1"/>
          <w:numId w:val="109"/>
        </w:numPr>
        <w:tabs>
          <w:tab w:pos="455" w:val="left" w:leader="none"/>
        </w:tabs>
        <w:spacing w:line="240" w:lineRule="auto" w:before="80" w:after="0"/>
        <w:ind w:left="455" w:right="0" w:hanging="314"/>
        <w:jc w:val="both"/>
        <w:rPr>
          <w:rFonts w:ascii="Georgia" w:hAnsi="Georgia"/>
          <w:sz w:val="18"/>
        </w:rPr>
      </w:pPr>
      <w:r>
        <w:rPr>
          <w:rFonts w:ascii="Georgia" w:hAnsi="Georgia"/>
          <w:color w:val="231F20"/>
          <w:sz w:val="18"/>
        </w:rPr>
        <w:t>Работа</w:t>
      </w:r>
      <w:r>
        <w:rPr>
          <w:rFonts w:ascii="Georgia" w:hAnsi="Georgia"/>
          <w:color w:val="231F20"/>
          <w:spacing w:val="-3"/>
          <w:sz w:val="18"/>
        </w:rPr>
        <w:t> </w:t>
      </w:r>
      <w:r>
        <w:rPr>
          <w:rFonts w:ascii="Georgia" w:hAnsi="Georgia"/>
          <w:color w:val="231F20"/>
          <w:sz w:val="18"/>
        </w:rPr>
        <w:t>педагога-психолога</w:t>
      </w:r>
      <w:r>
        <w:rPr>
          <w:rFonts w:ascii="Georgia" w:hAnsi="Georgia"/>
          <w:color w:val="231F20"/>
          <w:spacing w:val="-2"/>
          <w:sz w:val="18"/>
        </w:rPr>
        <w:t> </w:t>
      </w:r>
      <w:r>
        <w:rPr>
          <w:rFonts w:ascii="Georgia" w:hAnsi="Georgia"/>
          <w:color w:val="231F20"/>
          <w:sz w:val="18"/>
        </w:rPr>
        <w:t>в</w:t>
      </w:r>
      <w:r>
        <w:rPr>
          <w:rFonts w:ascii="Georgia" w:hAnsi="Georgia"/>
          <w:color w:val="231F20"/>
          <w:spacing w:val="-2"/>
          <w:sz w:val="18"/>
        </w:rPr>
        <w:t> </w:t>
      </w:r>
      <w:r>
        <w:rPr>
          <w:rFonts w:ascii="Georgia" w:hAnsi="Georgia"/>
          <w:color w:val="231F20"/>
          <w:sz w:val="18"/>
        </w:rPr>
        <w:t>области</w:t>
      </w:r>
      <w:r>
        <w:rPr>
          <w:rFonts w:ascii="Georgia" w:hAnsi="Georgia"/>
          <w:color w:val="231F20"/>
          <w:spacing w:val="-2"/>
          <w:sz w:val="18"/>
        </w:rPr>
        <w:t> </w:t>
      </w:r>
      <w:r>
        <w:rPr>
          <w:rFonts w:ascii="Georgia" w:hAnsi="Georgia"/>
          <w:color w:val="231F20"/>
          <w:sz w:val="18"/>
        </w:rPr>
        <w:t>адаптации</w:t>
      </w:r>
      <w:r>
        <w:rPr>
          <w:rFonts w:ascii="Georgia" w:hAnsi="Georgia"/>
          <w:color w:val="231F20"/>
          <w:spacing w:val="-3"/>
          <w:sz w:val="18"/>
        </w:rPr>
        <w:t> </w:t>
      </w:r>
      <w:r>
        <w:rPr>
          <w:rFonts w:ascii="Georgia" w:hAnsi="Georgia"/>
          <w:color w:val="231F20"/>
          <w:sz w:val="18"/>
        </w:rPr>
        <w:t>детей</w:t>
      </w:r>
      <w:r>
        <w:rPr>
          <w:rFonts w:ascii="Georgia" w:hAnsi="Georgia"/>
          <w:color w:val="231F20"/>
          <w:spacing w:val="-2"/>
          <w:sz w:val="18"/>
        </w:rPr>
        <w:t> </w:t>
      </w:r>
      <w:r>
        <w:rPr>
          <w:rFonts w:ascii="Georgia" w:hAnsi="Georgia"/>
          <w:color w:val="231F20"/>
          <w:sz w:val="18"/>
        </w:rPr>
        <w:t>...</w:t>
      </w:r>
      <w:r>
        <w:rPr>
          <w:rFonts w:ascii="Georgia" w:hAnsi="Georgia"/>
          <w:color w:val="231F20"/>
          <w:spacing w:val="-2"/>
          <w:sz w:val="18"/>
        </w:rPr>
        <w:t> </w:t>
      </w:r>
      <w:r>
        <w:rPr>
          <w:rFonts w:ascii="Georgia" w:hAnsi="Georgia"/>
          <w:color w:val="231F20"/>
          <w:sz w:val="18"/>
        </w:rPr>
        <w:t>во</w:t>
      </w:r>
      <w:r>
        <w:rPr>
          <w:rFonts w:ascii="Georgia" w:hAnsi="Georgia"/>
          <w:color w:val="231F20"/>
          <w:spacing w:val="-2"/>
          <w:sz w:val="18"/>
        </w:rPr>
        <w:t> взаимодействии...</w:t>
      </w:r>
    </w:p>
    <w:p>
      <w:pPr>
        <w:pStyle w:val="ListParagraph"/>
        <w:numPr>
          <w:ilvl w:val="0"/>
          <w:numId w:val="108"/>
        </w:numPr>
        <w:tabs>
          <w:tab w:pos="575" w:val="left" w:leader="none"/>
        </w:tabs>
        <w:spacing w:line="240" w:lineRule="auto" w:before="112" w:after="0"/>
        <w:ind w:left="575" w:right="0" w:hanging="150"/>
        <w:jc w:val="left"/>
        <w:rPr>
          <w:sz w:val="20"/>
        </w:rPr>
      </w:pPr>
      <w:r>
        <w:rPr>
          <w:color w:val="231F20"/>
          <w:sz w:val="20"/>
        </w:rPr>
        <w:t>класс.</w:t>
      </w:r>
      <w:r>
        <w:rPr>
          <w:color w:val="231F20"/>
          <w:spacing w:val="-2"/>
          <w:sz w:val="20"/>
        </w:rPr>
        <w:t> </w:t>
      </w:r>
      <w:r>
        <w:rPr>
          <w:color w:val="231F20"/>
          <w:sz w:val="20"/>
        </w:rPr>
        <w:t>Моя</w:t>
      </w:r>
      <w:r>
        <w:rPr>
          <w:color w:val="231F20"/>
          <w:spacing w:val="-2"/>
          <w:sz w:val="20"/>
        </w:rPr>
        <w:t> </w:t>
      </w:r>
      <w:r>
        <w:rPr>
          <w:color w:val="231F20"/>
          <w:sz w:val="20"/>
        </w:rPr>
        <w:t>страна</w:t>
      </w:r>
      <w:r>
        <w:rPr>
          <w:color w:val="231F20"/>
          <w:spacing w:val="-2"/>
          <w:sz w:val="20"/>
        </w:rPr>
        <w:t> </w:t>
      </w:r>
      <w:r>
        <w:rPr>
          <w:color w:val="231F20"/>
          <w:sz w:val="20"/>
        </w:rPr>
        <w:t>–</w:t>
      </w:r>
      <w:r>
        <w:rPr>
          <w:color w:val="231F20"/>
          <w:spacing w:val="-2"/>
          <w:sz w:val="20"/>
        </w:rPr>
        <w:t> </w:t>
      </w:r>
      <w:r>
        <w:rPr>
          <w:color w:val="231F20"/>
          <w:sz w:val="20"/>
        </w:rPr>
        <w:t>моя</w:t>
      </w:r>
      <w:r>
        <w:rPr>
          <w:color w:val="231F20"/>
          <w:spacing w:val="-2"/>
          <w:sz w:val="20"/>
        </w:rPr>
        <w:t> </w:t>
      </w:r>
      <w:r>
        <w:rPr>
          <w:color w:val="231F20"/>
          <w:sz w:val="20"/>
        </w:rPr>
        <w:t>география:</w:t>
      </w:r>
      <w:r>
        <w:rPr>
          <w:color w:val="231F20"/>
          <w:spacing w:val="-2"/>
          <w:sz w:val="20"/>
        </w:rPr>
        <w:t> </w:t>
      </w:r>
      <w:r>
        <w:rPr>
          <w:color w:val="231F20"/>
          <w:sz w:val="20"/>
        </w:rPr>
        <w:t>региональная</w:t>
      </w:r>
      <w:r>
        <w:rPr>
          <w:color w:val="231F20"/>
          <w:spacing w:val="-2"/>
          <w:sz w:val="20"/>
        </w:rPr>
        <w:t> идентичность.</w:t>
      </w:r>
    </w:p>
    <w:p>
      <w:pPr>
        <w:pStyle w:val="ListParagraph"/>
        <w:numPr>
          <w:ilvl w:val="0"/>
          <w:numId w:val="108"/>
        </w:numPr>
        <w:tabs>
          <w:tab w:pos="575" w:val="left" w:leader="none"/>
        </w:tabs>
        <w:spacing w:line="240" w:lineRule="auto" w:before="2" w:after="0"/>
        <w:ind w:left="575" w:right="0" w:hanging="150"/>
        <w:jc w:val="left"/>
        <w:rPr>
          <w:sz w:val="20"/>
        </w:rPr>
      </w:pPr>
      <w:r>
        <w:rPr>
          <w:color w:val="231F20"/>
          <w:sz w:val="20"/>
        </w:rPr>
        <w:t>класс.</w:t>
      </w:r>
      <w:r>
        <w:rPr>
          <w:color w:val="231F20"/>
          <w:spacing w:val="-3"/>
          <w:sz w:val="20"/>
        </w:rPr>
        <w:t> </w:t>
      </w:r>
      <w:r>
        <w:rPr>
          <w:color w:val="231F20"/>
          <w:sz w:val="20"/>
        </w:rPr>
        <w:t>Я</w:t>
      </w:r>
      <w:r>
        <w:rPr>
          <w:color w:val="231F20"/>
          <w:spacing w:val="-3"/>
          <w:sz w:val="20"/>
        </w:rPr>
        <w:t> </w:t>
      </w:r>
      <w:r>
        <w:rPr>
          <w:color w:val="231F20"/>
          <w:sz w:val="20"/>
        </w:rPr>
        <w:t>и</w:t>
      </w:r>
      <w:r>
        <w:rPr>
          <w:color w:val="231F20"/>
          <w:spacing w:val="-3"/>
          <w:sz w:val="20"/>
        </w:rPr>
        <w:t> </w:t>
      </w:r>
      <w:r>
        <w:rPr>
          <w:color w:val="231F20"/>
          <w:sz w:val="20"/>
        </w:rPr>
        <w:t>закон:</w:t>
      </w:r>
      <w:r>
        <w:rPr>
          <w:color w:val="231F20"/>
          <w:spacing w:val="-2"/>
          <w:sz w:val="20"/>
        </w:rPr>
        <w:t> </w:t>
      </w:r>
      <w:r>
        <w:rPr>
          <w:color w:val="231F20"/>
          <w:sz w:val="20"/>
        </w:rPr>
        <w:t>социальные</w:t>
      </w:r>
      <w:r>
        <w:rPr>
          <w:color w:val="231F20"/>
          <w:spacing w:val="-3"/>
          <w:sz w:val="20"/>
        </w:rPr>
        <w:t> </w:t>
      </w:r>
      <w:r>
        <w:rPr>
          <w:color w:val="231F20"/>
          <w:sz w:val="20"/>
        </w:rPr>
        <w:t>нормы,</w:t>
      </w:r>
      <w:r>
        <w:rPr>
          <w:color w:val="231F20"/>
          <w:spacing w:val="-3"/>
          <w:sz w:val="20"/>
        </w:rPr>
        <w:t> </w:t>
      </w:r>
      <w:r>
        <w:rPr>
          <w:color w:val="231F20"/>
          <w:sz w:val="20"/>
        </w:rPr>
        <w:t>права</w:t>
      </w:r>
      <w:r>
        <w:rPr>
          <w:color w:val="231F20"/>
          <w:spacing w:val="-2"/>
          <w:sz w:val="20"/>
        </w:rPr>
        <w:t> </w:t>
      </w:r>
      <w:r>
        <w:rPr>
          <w:color w:val="231F20"/>
          <w:sz w:val="20"/>
        </w:rPr>
        <w:t>и</w:t>
      </w:r>
      <w:r>
        <w:rPr>
          <w:color w:val="231F20"/>
          <w:spacing w:val="-3"/>
          <w:sz w:val="20"/>
        </w:rPr>
        <w:t> </w:t>
      </w:r>
      <w:r>
        <w:rPr>
          <w:color w:val="231F20"/>
          <w:spacing w:val="-2"/>
          <w:sz w:val="20"/>
        </w:rPr>
        <w:t>обязанности.</w:t>
      </w:r>
    </w:p>
    <w:p>
      <w:pPr>
        <w:pStyle w:val="ListParagraph"/>
        <w:numPr>
          <w:ilvl w:val="0"/>
          <w:numId w:val="108"/>
        </w:numPr>
        <w:tabs>
          <w:tab w:pos="575" w:val="left" w:leader="none"/>
        </w:tabs>
        <w:spacing w:line="240" w:lineRule="auto" w:before="2" w:after="0"/>
        <w:ind w:left="575" w:right="0" w:hanging="150"/>
        <w:jc w:val="left"/>
        <w:rPr>
          <w:sz w:val="20"/>
        </w:rPr>
      </w:pPr>
      <w:r>
        <w:rPr>
          <w:color w:val="231F20"/>
          <w:sz w:val="20"/>
        </w:rPr>
        <w:t>класс.</w:t>
      </w:r>
      <w:r>
        <w:rPr>
          <w:color w:val="231F20"/>
          <w:spacing w:val="-2"/>
          <w:sz w:val="20"/>
        </w:rPr>
        <w:t> </w:t>
      </w:r>
      <w:r>
        <w:rPr>
          <w:color w:val="231F20"/>
          <w:sz w:val="20"/>
        </w:rPr>
        <w:t>Я</w:t>
      </w:r>
      <w:r>
        <w:rPr>
          <w:color w:val="231F20"/>
          <w:spacing w:val="1"/>
          <w:sz w:val="20"/>
        </w:rPr>
        <w:t> </w:t>
      </w:r>
      <w:r>
        <w:rPr>
          <w:color w:val="231F20"/>
          <w:sz w:val="20"/>
        </w:rPr>
        <w:t>и</w:t>
      </w:r>
      <w:r>
        <w:rPr>
          <w:color w:val="231F20"/>
          <w:spacing w:val="-1"/>
          <w:sz w:val="20"/>
        </w:rPr>
        <w:t> </w:t>
      </w:r>
      <w:r>
        <w:rPr>
          <w:color w:val="231F20"/>
          <w:sz w:val="20"/>
        </w:rPr>
        <w:t>мой этнос: этническая</w:t>
      </w:r>
      <w:r>
        <w:rPr>
          <w:color w:val="231F20"/>
          <w:spacing w:val="1"/>
          <w:sz w:val="20"/>
        </w:rPr>
        <w:t> </w:t>
      </w:r>
      <w:r>
        <w:rPr>
          <w:color w:val="231F20"/>
          <w:spacing w:val="-2"/>
          <w:sz w:val="20"/>
        </w:rPr>
        <w:t>идентичность</w:t>
      </w:r>
    </w:p>
    <w:p>
      <w:pPr>
        <w:pStyle w:val="ListParagraph"/>
        <w:numPr>
          <w:ilvl w:val="0"/>
          <w:numId w:val="108"/>
        </w:numPr>
        <w:tabs>
          <w:tab w:pos="575" w:val="left" w:leader="none"/>
        </w:tabs>
        <w:spacing w:line="240" w:lineRule="auto" w:before="2" w:after="0"/>
        <w:ind w:left="575" w:right="0" w:hanging="150"/>
        <w:jc w:val="left"/>
        <w:rPr>
          <w:sz w:val="20"/>
        </w:rPr>
      </w:pPr>
      <w:r>
        <w:rPr>
          <w:color w:val="231F20"/>
          <w:sz w:val="20"/>
        </w:rPr>
        <w:t>класс.</w:t>
      </w:r>
      <w:r>
        <w:rPr>
          <w:color w:val="231F20"/>
          <w:spacing w:val="-8"/>
          <w:sz w:val="20"/>
        </w:rPr>
        <w:t> </w:t>
      </w:r>
      <w:r>
        <w:rPr>
          <w:color w:val="231F20"/>
          <w:sz w:val="20"/>
        </w:rPr>
        <w:t>Гражданин</w:t>
      </w:r>
      <w:r>
        <w:rPr>
          <w:color w:val="231F20"/>
          <w:spacing w:val="-6"/>
          <w:sz w:val="20"/>
        </w:rPr>
        <w:t> </w:t>
      </w:r>
      <w:r>
        <w:rPr>
          <w:color w:val="231F20"/>
          <w:sz w:val="20"/>
        </w:rPr>
        <w:t>и</w:t>
      </w:r>
      <w:r>
        <w:rPr>
          <w:color w:val="231F20"/>
          <w:spacing w:val="-6"/>
          <w:sz w:val="20"/>
        </w:rPr>
        <w:t> </w:t>
      </w:r>
      <w:r>
        <w:rPr>
          <w:color w:val="231F20"/>
          <w:sz w:val="20"/>
        </w:rPr>
        <w:t>патриот:</w:t>
      </w:r>
      <w:r>
        <w:rPr>
          <w:color w:val="231F20"/>
          <w:spacing w:val="-5"/>
          <w:sz w:val="20"/>
        </w:rPr>
        <w:t> </w:t>
      </w:r>
      <w:r>
        <w:rPr>
          <w:color w:val="231F20"/>
          <w:sz w:val="20"/>
        </w:rPr>
        <w:t>гражданский</w:t>
      </w:r>
      <w:r>
        <w:rPr>
          <w:color w:val="231F20"/>
          <w:spacing w:val="-6"/>
          <w:sz w:val="20"/>
        </w:rPr>
        <w:t> </w:t>
      </w:r>
      <w:r>
        <w:rPr>
          <w:color w:val="231F20"/>
          <w:sz w:val="20"/>
        </w:rPr>
        <w:t>и</w:t>
      </w:r>
      <w:r>
        <w:rPr>
          <w:color w:val="231F20"/>
          <w:spacing w:val="-6"/>
          <w:sz w:val="20"/>
        </w:rPr>
        <w:t> </w:t>
      </w:r>
      <w:r>
        <w:rPr>
          <w:color w:val="231F20"/>
          <w:sz w:val="20"/>
        </w:rPr>
        <w:t>шовинистический</w:t>
      </w:r>
      <w:r>
        <w:rPr>
          <w:color w:val="231F20"/>
          <w:spacing w:val="-5"/>
          <w:sz w:val="20"/>
        </w:rPr>
        <w:t> </w:t>
      </w:r>
      <w:r>
        <w:rPr>
          <w:color w:val="231F20"/>
          <w:spacing w:val="-2"/>
          <w:sz w:val="20"/>
        </w:rPr>
        <w:t>патриотизм.</w:t>
      </w:r>
    </w:p>
    <w:p>
      <w:pPr>
        <w:pStyle w:val="ListParagraph"/>
        <w:numPr>
          <w:ilvl w:val="0"/>
          <w:numId w:val="108"/>
        </w:numPr>
        <w:tabs>
          <w:tab w:pos="675" w:val="left" w:leader="none"/>
        </w:tabs>
        <w:spacing w:line="228" w:lineRule="exact" w:before="2" w:after="0"/>
        <w:ind w:left="675" w:right="0" w:hanging="250"/>
        <w:jc w:val="left"/>
        <w:rPr>
          <w:sz w:val="20"/>
        </w:rPr>
      </w:pPr>
      <w:r>
        <w:rPr>
          <w:color w:val="231F20"/>
          <w:sz w:val="20"/>
        </w:rPr>
        <w:t>класс.</w:t>
      </w:r>
      <w:r>
        <w:rPr>
          <w:color w:val="231F20"/>
          <w:spacing w:val="-5"/>
          <w:sz w:val="20"/>
        </w:rPr>
        <w:t> </w:t>
      </w:r>
      <w:r>
        <w:rPr>
          <w:color w:val="231F20"/>
          <w:sz w:val="20"/>
        </w:rPr>
        <w:t>Я</w:t>
      </w:r>
      <w:r>
        <w:rPr>
          <w:color w:val="231F20"/>
          <w:spacing w:val="-4"/>
          <w:sz w:val="20"/>
        </w:rPr>
        <w:t> </w:t>
      </w:r>
      <w:r>
        <w:rPr>
          <w:color w:val="231F20"/>
          <w:sz w:val="20"/>
        </w:rPr>
        <w:t>и</w:t>
      </w:r>
      <w:r>
        <w:rPr>
          <w:color w:val="231F20"/>
          <w:spacing w:val="-4"/>
          <w:sz w:val="20"/>
        </w:rPr>
        <w:t> </w:t>
      </w:r>
      <w:r>
        <w:rPr>
          <w:color w:val="231F20"/>
          <w:sz w:val="20"/>
        </w:rPr>
        <w:t>мое</w:t>
      </w:r>
      <w:r>
        <w:rPr>
          <w:color w:val="231F20"/>
          <w:spacing w:val="-5"/>
          <w:sz w:val="20"/>
        </w:rPr>
        <w:t> </w:t>
      </w:r>
      <w:r>
        <w:rPr>
          <w:color w:val="231F20"/>
          <w:sz w:val="20"/>
        </w:rPr>
        <w:t>государство:</w:t>
      </w:r>
      <w:r>
        <w:rPr>
          <w:color w:val="231F20"/>
          <w:spacing w:val="-4"/>
          <w:sz w:val="20"/>
        </w:rPr>
        <w:t> </w:t>
      </w:r>
      <w:r>
        <w:rPr>
          <w:color w:val="231F20"/>
          <w:sz w:val="20"/>
        </w:rPr>
        <w:t>активная</w:t>
      </w:r>
      <w:r>
        <w:rPr>
          <w:color w:val="231F20"/>
          <w:spacing w:val="-4"/>
          <w:sz w:val="20"/>
        </w:rPr>
        <w:t> </w:t>
      </w:r>
      <w:r>
        <w:rPr>
          <w:color w:val="231F20"/>
          <w:sz w:val="20"/>
        </w:rPr>
        <w:t>гражданская</w:t>
      </w:r>
      <w:r>
        <w:rPr>
          <w:color w:val="231F20"/>
          <w:spacing w:val="-4"/>
          <w:sz w:val="20"/>
        </w:rPr>
        <w:t> </w:t>
      </w:r>
      <w:r>
        <w:rPr>
          <w:color w:val="231F20"/>
          <w:spacing w:val="-2"/>
          <w:sz w:val="20"/>
        </w:rPr>
        <w:t>позиция</w:t>
      </w:r>
    </w:p>
    <w:p>
      <w:pPr>
        <w:pStyle w:val="ListParagraph"/>
        <w:numPr>
          <w:ilvl w:val="0"/>
          <w:numId w:val="108"/>
        </w:numPr>
        <w:tabs>
          <w:tab w:pos="667" w:val="left" w:leader="none"/>
        </w:tabs>
        <w:spacing w:line="221" w:lineRule="exact" w:before="0" w:after="0"/>
        <w:ind w:left="667" w:right="0" w:hanging="242"/>
        <w:jc w:val="left"/>
        <w:rPr>
          <w:sz w:val="20"/>
        </w:rPr>
      </w:pPr>
      <w:r>
        <w:rPr>
          <w:color w:val="231F20"/>
          <w:sz w:val="20"/>
        </w:rPr>
        <w:t>класс.</w:t>
      </w:r>
      <w:r>
        <w:rPr>
          <w:color w:val="231F20"/>
          <w:spacing w:val="-4"/>
          <w:sz w:val="20"/>
        </w:rPr>
        <w:t> </w:t>
      </w:r>
      <w:r>
        <w:rPr>
          <w:color w:val="231F20"/>
          <w:sz w:val="20"/>
        </w:rPr>
        <w:t>Между</w:t>
      </w:r>
      <w:r>
        <w:rPr>
          <w:color w:val="231F20"/>
          <w:spacing w:val="-1"/>
          <w:sz w:val="20"/>
        </w:rPr>
        <w:t> </w:t>
      </w:r>
      <w:r>
        <w:rPr>
          <w:i/>
          <w:color w:val="231F20"/>
          <w:sz w:val="20"/>
        </w:rPr>
        <w:t>Я</w:t>
      </w:r>
      <w:r>
        <w:rPr>
          <w:i/>
          <w:color w:val="231F20"/>
          <w:spacing w:val="-1"/>
          <w:sz w:val="20"/>
        </w:rPr>
        <w:t> </w:t>
      </w:r>
      <w:r>
        <w:rPr>
          <w:color w:val="231F20"/>
          <w:sz w:val="20"/>
        </w:rPr>
        <w:t>и</w:t>
      </w:r>
      <w:r>
        <w:rPr>
          <w:color w:val="231F20"/>
          <w:spacing w:val="-2"/>
          <w:sz w:val="20"/>
        </w:rPr>
        <w:t> </w:t>
      </w:r>
      <w:r>
        <w:rPr>
          <w:i/>
          <w:color w:val="231F20"/>
          <w:sz w:val="20"/>
        </w:rPr>
        <w:t>Homo</w:t>
      </w:r>
      <w:r>
        <w:rPr>
          <w:i/>
          <w:color w:val="231F20"/>
          <w:spacing w:val="-1"/>
          <w:sz w:val="20"/>
        </w:rPr>
        <w:t> </w:t>
      </w:r>
      <w:r>
        <w:rPr>
          <w:i/>
          <w:color w:val="231F20"/>
          <w:sz w:val="20"/>
        </w:rPr>
        <w:t>Sapiens</w:t>
      </w:r>
      <w:r>
        <w:rPr>
          <w:color w:val="231F20"/>
          <w:sz w:val="20"/>
        </w:rPr>
        <w:t>:</w:t>
      </w:r>
      <w:r>
        <w:rPr>
          <w:color w:val="231F20"/>
          <w:spacing w:val="-2"/>
          <w:sz w:val="20"/>
        </w:rPr>
        <w:t> </w:t>
      </w:r>
      <w:r>
        <w:rPr>
          <w:color w:val="231F20"/>
          <w:sz w:val="20"/>
        </w:rPr>
        <w:t>социальная</w:t>
      </w:r>
      <w:r>
        <w:rPr>
          <w:color w:val="231F20"/>
          <w:spacing w:val="-1"/>
          <w:sz w:val="20"/>
        </w:rPr>
        <w:t> </w:t>
      </w:r>
      <w:r>
        <w:rPr>
          <w:color w:val="231F20"/>
          <w:sz w:val="20"/>
        </w:rPr>
        <w:t>и</w:t>
      </w:r>
      <w:r>
        <w:rPr>
          <w:color w:val="231F20"/>
          <w:spacing w:val="-2"/>
          <w:sz w:val="20"/>
        </w:rPr>
        <w:t> </w:t>
      </w:r>
      <w:r>
        <w:rPr>
          <w:color w:val="231F20"/>
          <w:sz w:val="20"/>
        </w:rPr>
        <w:t>гражданская</w:t>
      </w:r>
      <w:r>
        <w:rPr>
          <w:color w:val="231F20"/>
          <w:spacing w:val="-1"/>
          <w:sz w:val="20"/>
        </w:rPr>
        <w:t> </w:t>
      </w:r>
      <w:r>
        <w:rPr>
          <w:color w:val="231F20"/>
          <w:spacing w:val="-2"/>
          <w:sz w:val="20"/>
        </w:rPr>
        <w:t>идентичность.</w:t>
      </w:r>
    </w:p>
    <w:p>
      <w:pPr>
        <w:spacing w:line="216" w:lineRule="exact" w:before="0"/>
        <w:ind w:left="425" w:right="0" w:firstLine="0"/>
        <w:jc w:val="left"/>
        <w:rPr>
          <w:sz w:val="20"/>
        </w:rPr>
      </w:pPr>
      <w:r>
        <w:rPr>
          <w:i/>
          <w:sz w:val="20"/>
        </w:rPr>
        <w:t>Вторая программа</w:t>
      </w:r>
      <w:r>
        <w:rPr>
          <w:i/>
          <w:spacing w:val="-1"/>
          <w:sz w:val="20"/>
        </w:rPr>
        <w:t> </w:t>
      </w:r>
      <w:r>
        <w:rPr>
          <w:sz w:val="20"/>
        </w:rPr>
        <w:t>– «</w:t>
      </w:r>
      <w:r>
        <w:rPr>
          <w:color w:val="231F20"/>
          <w:sz w:val="20"/>
        </w:rPr>
        <w:t>Учеба на перекрестке</w:t>
      </w:r>
      <w:r>
        <w:rPr>
          <w:color w:val="231F20"/>
          <w:spacing w:val="1"/>
          <w:sz w:val="20"/>
        </w:rPr>
        <w:t> </w:t>
      </w:r>
      <w:r>
        <w:rPr>
          <w:color w:val="231F20"/>
          <w:spacing w:val="-2"/>
          <w:sz w:val="20"/>
        </w:rPr>
        <w:t>культур».</w:t>
      </w:r>
    </w:p>
    <w:p>
      <w:pPr>
        <w:pStyle w:val="BodyText"/>
        <w:spacing w:line="225" w:lineRule="auto" w:before="4"/>
      </w:pPr>
      <w:r>
        <w:rPr>
          <w:color w:val="231F20"/>
        </w:rPr>
        <w:t>Программа представляет собой серию интерактивных занятий, направленных на профилактику</w:t>
      </w:r>
      <w:r>
        <w:rPr>
          <w:color w:val="231F20"/>
          <w:spacing w:val="-9"/>
        </w:rPr>
        <w:t> </w:t>
      </w:r>
      <w:r>
        <w:rPr>
          <w:color w:val="231F20"/>
        </w:rPr>
        <w:t>ксенофобии</w:t>
      </w:r>
      <w:r>
        <w:rPr>
          <w:color w:val="231F20"/>
          <w:spacing w:val="-9"/>
        </w:rPr>
        <w:t> </w:t>
      </w:r>
      <w:r>
        <w:rPr>
          <w:color w:val="231F20"/>
        </w:rPr>
        <w:t>и</w:t>
      </w:r>
      <w:r>
        <w:rPr>
          <w:color w:val="231F20"/>
          <w:spacing w:val="-9"/>
        </w:rPr>
        <w:t> </w:t>
      </w:r>
      <w:r>
        <w:rPr>
          <w:color w:val="231F20"/>
        </w:rPr>
        <w:t>мигрантофобии</w:t>
      </w:r>
      <w:r>
        <w:rPr>
          <w:color w:val="231F20"/>
          <w:spacing w:val="-9"/>
        </w:rPr>
        <w:t> </w:t>
      </w:r>
      <w:r>
        <w:rPr>
          <w:color w:val="231F20"/>
        </w:rPr>
        <w:t>в</w:t>
      </w:r>
      <w:r>
        <w:rPr>
          <w:color w:val="231F20"/>
          <w:spacing w:val="-9"/>
        </w:rPr>
        <w:t> </w:t>
      </w:r>
      <w:r>
        <w:rPr>
          <w:color w:val="231F20"/>
        </w:rPr>
        <w:t>школьных</w:t>
      </w:r>
      <w:r>
        <w:rPr>
          <w:color w:val="231F20"/>
          <w:spacing w:val="-9"/>
        </w:rPr>
        <w:t> </w:t>
      </w:r>
      <w:r>
        <w:rPr>
          <w:color w:val="231F20"/>
        </w:rPr>
        <w:t>классах,</w:t>
      </w:r>
      <w:r>
        <w:rPr>
          <w:color w:val="231F20"/>
          <w:spacing w:val="-9"/>
        </w:rPr>
        <w:t> </w:t>
      </w:r>
      <w:r>
        <w:rPr>
          <w:color w:val="231F20"/>
        </w:rPr>
        <w:t>содействие</w:t>
      </w:r>
      <w:r>
        <w:rPr>
          <w:color w:val="231F20"/>
          <w:spacing w:val="-9"/>
        </w:rPr>
        <w:t> </w:t>
      </w:r>
      <w:r>
        <w:rPr>
          <w:color w:val="231F20"/>
        </w:rPr>
        <w:t>социо- культурной</w:t>
      </w:r>
      <w:r>
        <w:rPr>
          <w:color w:val="231F20"/>
          <w:spacing w:val="-8"/>
        </w:rPr>
        <w:t> </w:t>
      </w:r>
      <w:r>
        <w:rPr>
          <w:color w:val="231F20"/>
        </w:rPr>
        <w:t>адаптации</w:t>
      </w:r>
      <w:r>
        <w:rPr>
          <w:color w:val="231F20"/>
          <w:spacing w:val="-8"/>
        </w:rPr>
        <w:t> </w:t>
      </w:r>
      <w:r>
        <w:rPr>
          <w:color w:val="231F20"/>
        </w:rPr>
        <w:t>и</w:t>
      </w:r>
      <w:r>
        <w:rPr>
          <w:color w:val="231F20"/>
          <w:spacing w:val="-8"/>
        </w:rPr>
        <w:t> </w:t>
      </w:r>
      <w:r>
        <w:rPr>
          <w:color w:val="231F20"/>
        </w:rPr>
        <w:t>интеграции</w:t>
      </w:r>
      <w:r>
        <w:rPr>
          <w:color w:val="231F20"/>
          <w:spacing w:val="-8"/>
        </w:rPr>
        <w:t> </w:t>
      </w:r>
      <w:r>
        <w:rPr>
          <w:color w:val="231F20"/>
        </w:rPr>
        <w:t>детей</w:t>
      </w:r>
      <w:r>
        <w:rPr>
          <w:color w:val="231F20"/>
          <w:spacing w:val="-8"/>
        </w:rPr>
        <w:t> </w:t>
      </w:r>
      <w:r>
        <w:rPr>
          <w:color w:val="231F20"/>
        </w:rPr>
        <w:t>из</w:t>
      </w:r>
      <w:r>
        <w:rPr>
          <w:color w:val="231F20"/>
          <w:spacing w:val="-8"/>
        </w:rPr>
        <w:t> </w:t>
      </w:r>
      <w:r>
        <w:rPr>
          <w:color w:val="231F20"/>
        </w:rPr>
        <w:t>семей</w:t>
      </w:r>
      <w:r>
        <w:rPr>
          <w:color w:val="231F20"/>
          <w:spacing w:val="-8"/>
        </w:rPr>
        <w:t> </w:t>
      </w:r>
      <w:r>
        <w:rPr>
          <w:color w:val="231F20"/>
        </w:rPr>
        <w:t>мигрантов/беженцев.</w:t>
      </w:r>
      <w:r>
        <w:rPr>
          <w:color w:val="231F20"/>
          <w:spacing w:val="-8"/>
        </w:rPr>
        <w:t> </w:t>
      </w:r>
      <w:r>
        <w:rPr>
          <w:color w:val="231F20"/>
        </w:rPr>
        <w:t>Программа реализуется в партнерстве с УВКБ ООН.</w:t>
      </w:r>
    </w:p>
    <w:p>
      <w:pPr>
        <w:pStyle w:val="BodyText"/>
        <w:spacing w:line="225" w:lineRule="auto"/>
        <w:ind w:left="425" w:right="865" w:firstLine="0"/>
      </w:pPr>
      <w:r>
        <w:rPr>
          <w:color w:val="231F20"/>
        </w:rPr>
        <w:t>Занятия</w:t>
      </w:r>
      <w:r>
        <w:rPr>
          <w:color w:val="231F20"/>
          <w:spacing w:val="-4"/>
        </w:rPr>
        <w:t> </w:t>
      </w:r>
      <w:r>
        <w:rPr>
          <w:color w:val="231F20"/>
        </w:rPr>
        <w:t>разработаны</w:t>
      </w:r>
      <w:r>
        <w:rPr>
          <w:color w:val="231F20"/>
          <w:spacing w:val="-4"/>
        </w:rPr>
        <w:t> </w:t>
      </w:r>
      <w:r>
        <w:rPr>
          <w:color w:val="231F20"/>
        </w:rPr>
        <w:t>для</w:t>
      </w:r>
      <w:r>
        <w:rPr>
          <w:color w:val="231F20"/>
          <w:spacing w:val="-4"/>
        </w:rPr>
        <w:t> </w:t>
      </w:r>
      <w:r>
        <w:rPr>
          <w:color w:val="231F20"/>
        </w:rPr>
        <w:t>трех</w:t>
      </w:r>
      <w:r>
        <w:rPr>
          <w:color w:val="231F20"/>
          <w:spacing w:val="-4"/>
        </w:rPr>
        <w:t> </w:t>
      </w:r>
      <w:r>
        <w:rPr>
          <w:color w:val="231F20"/>
        </w:rPr>
        <w:t>ступеней</w:t>
      </w:r>
      <w:r>
        <w:rPr>
          <w:color w:val="231F20"/>
          <w:spacing w:val="-5"/>
        </w:rPr>
        <w:t> </w:t>
      </w:r>
      <w:r>
        <w:rPr>
          <w:color w:val="231F20"/>
        </w:rPr>
        <w:t>образования:</w:t>
      </w:r>
      <w:r>
        <w:rPr>
          <w:color w:val="231F20"/>
          <w:spacing w:val="-4"/>
        </w:rPr>
        <w:t> </w:t>
      </w:r>
      <w:r>
        <w:rPr>
          <w:color w:val="231F20"/>
        </w:rPr>
        <w:t>НОО,</w:t>
      </w:r>
      <w:r>
        <w:rPr>
          <w:color w:val="231F20"/>
          <w:spacing w:val="-4"/>
        </w:rPr>
        <w:t> </w:t>
      </w:r>
      <w:r>
        <w:rPr>
          <w:color w:val="231F20"/>
        </w:rPr>
        <w:t>ООО</w:t>
      </w:r>
      <w:r>
        <w:rPr>
          <w:color w:val="231F20"/>
          <w:spacing w:val="-5"/>
        </w:rPr>
        <w:t> </w:t>
      </w:r>
      <w:r>
        <w:rPr>
          <w:color w:val="231F20"/>
        </w:rPr>
        <w:t>и</w:t>
      </w:r>
      <w:r>
        <w:rPr>
          <w:color w:val="231F20"/>
          <w:spacing w:val="-5"/>
        </w:rPr>
        <w:t> </w:t>
      </w:r>
      <w:r>
        <w:rPr>
          <w:color w:val="231F20"/>
        </w:rPr>
        <w:t>СОО. Тематика занятий:</w:t>
      </w:r>
    </w:p>
    <w:p>
      <w:pPr>
        <w:pStyle w:val="ListParagraph"/>
        <w:numPr>
          <w:ilvl w:val="0"/>
          <w:numId w:val="110"/>
        </w:numPr>
        <w:tabs>
          <w:tab w:pos="423" w:val="left" w:leader="none"/>
        </w:tabs>
        <w:spacing w:line="209" w:lineRule="exact" w:before="0" w:after="0"/>
        <w:ind w:left="423" w:right="0" w:hanging="282"/>
        <w:jc w:val="both"/>
        <w:rPr>
          <w:sz w:val="20"/>
        </w:rPr>
      </w:pPr>
      <w:r>
        <w:rPr>
          <w:color w:val="231F20"/>
          <w:sz w:val="20"/>
        </w:rPr>
        <w:t>Социальная, этническая и</w:t>
      </w:r>
      <w:r>
        <w:rPr>
          <w:color w:val="231F20"/>
          <w:spacing w:val="-1"/>
          <w:sz w:val="20"/>
        </w:rPr>
        <w:t> </w:t>
      </w:r>
      <w:r>
        <w:rPr>
          <w:color w:val="231F20"/>
          <w:sz w:val="20"/>
        </w:rPr>
        <w:t>региональная</w:t>
      </w:r>
      <w:r>
        <w:rPr>
          <w:color w:val="231F20"/>
          <w:spacing w:val="1"/>
          <w:sz w:val="20"/>
        </w:rPr>
        <w:t> </w:t>
      </w:r>
      <w:r>
        <w:rPr>
          <w:color w:val="231F20"/>
          <w:spacing w:val="-2"/>
          <w:sz w:val="20"/>
        </w:rPr>
        <w:t>идентичность.</w:t>
      </w:r>
    </w:p>
    <w:p>
      <w:pPr>
        <w:pStyle w:val="ListParagraph"/>
        <w:numPr>
          <w:ilvl w:val="0"/>
          <w:numId w:val="110"/>
        </w:numPr>
        <w:tabs>
          <w:tab w:pos="423" w:val="left" w:leader="none"/>
        </w:tabs>
        <w:spacing w:line="212" w:lineRule="exact" w:before="0" w:after="0"/>
        <w:ind w:left="423" w:right="0" w:hanging="282"/>
        <w:jc w:val="both"/>
        <w:rPr>
          <w:sz w:val="20"/>
        </w:rPr>
      </w:pPr>
      <w:r>
        <w:rPr>
          <w:color w:val="231F20"/>
          <w:sz w:val="20"/>
        </w:rPr>
        <w:t>Принятие</w:t>
      </w:r>
      <w:r>
        <w:rPr>
          <w:color w:val="231F20"/>
          <w:spacing w:val="-3"/>
          <w:sz w:val="20"/>
        </w:rPr>
        <w:t> </w:t>
      </w:r>
      <w:r>
        <w:rPr>
          <w:color w:val="231F20"/>
          <w:sz w:val="20"/>
        </w:rPr>
        <w:t>разнообразия,</w:t>
      </w:r>
      <w:r>
        <w:rPr>
          <w:color w:val="231F20"/>
          <w:spacing w:val="-2"/>
          <w:sz w:val="20"/>
        </w:rPr>
        <w:t> </w:t>
      </w:r>
      <w:r>
        <w:rPr>
          <w:color w:val="231F20"/>
          <w:sz w:val="20"/>
        </w:rPr>
        <w:t>понимание</w:t>
      </w:r>
      <w:r>
        <w:rPr>
          <w:color w:val="231F20"/>
          <w:spacing w:val="-3"/>
          <w:sz w:val="20"/>
        </w:rPr>
        <w:t> </w:t>
      </w:r>
      <w:r>
        <w:rPr>
          <w:color w:val="231F20"/>
          <w:sz w:val="20"/>
        </w:rPr>
        <w:t>значения</w:t>
      </w:r>
      <w:r>
        <w:rPr>
          <w:color w:val="231F20"/>
          <w:spacing w:val="-2"/>
          <w:sz w:val="20"/>
        </w:rPr>
        <w:t> разнообразия.</w:t>
      </w:r>
    </w:p>
    <w:p>
      <w:pPr>
        <w:pStyle w:val="ListParagraph"/>
        <w:numPr>
          <w:ilvl w:val="0"/>
          <w:numId w:val="110"/>
        </w:numPr>
        <w:tabs>
          <w:tab w:pos="423" w:val="left" w:leader="none"/>
          <w:tab w:pos="425" w:val="left" w:leader="none"/>
        </w:tabs>
        <w:spacing w:line="220" w:lineRule="auto" w:before="6" w:after="0"/>
        <w:ind w:left="425" w:right="139" w:hanging="284"/>
        <w:jc w:val="left"/>
        <w:rPr>
          <w:sz w:val="20"/>
        </w:rPr>
      </w:pPr>
      <w:r>
        <w:rPr>
          <w:color w:val="231F20"/>
          <w:sz w:val="20"/>
        </w:rPr>
        <w:t>Развитие эмпатии по отношению к мигрантам/беженцам, понимание причин ми- грации и сложностей, с которым сталкиваются мигранты.</w:t>
      </w:r>
    </w:p>
    <w:p>
      <w:pPr>
        <w:pStyle w:val="ListParagraph"/>
        <w:numPr>
          <w:ilvl w:val="0"/>
          <w:numId w:val="110"/>
        </w:numPr>
        <w:tabs>
          <w:tab w:pos="423" w:val="left" w:leader="none"/>
        </w:tabs>
        <w:spacing w:line="207" w:lineRule="exact" w:before="0" w:after="0"/>
        <w:ind w:left="423" w:right="0" w:hanging="282"/>
        <w:jc w:val="left"/>
        <w:rPr>
          <w:sz w:val="20"/>
        </w:rPr>
      </w:pPr>
      <w:r>
        <w:rPr>
          <w:color w:val="231F20"/>
          <w:spacing w:val="-2"/>
          <w:sz w:val="20"/>
        </w:rPr>
        <w:t>Развитие</w:t>
      </w:r>
      <w:r>
        <w:rPr>
          <w:color w:val="231F20"/>
          <w:spacing w:val="4"/>
          <w:sz w:val="20"/>
        </w:rPr>
        <w:t> </w:t>
      </w:r>
      <w:r>
        <w:rPr>
          <w:color w:val="231F20"/>
          <w:spacing w:val="-2"/>
          <w:sz w:val="20"/>
        </w:rPr>
        <w:t>межкультурной</w:t>
      </w:r>
      <w:r>
        <w:rPr>
          <w:color w:val="231F20"/>
          <w:spacing w:val="4"/>
          <w:sz w:val="20"/>
        </w:rPr>
        <w:t> </w:t>
      </w:r>
      <w:r>
        <w:rPr>
          <w:color w:val="231F20"/>
          <w:spacing w:val="-2"/>
          <w:sz w:val="20"/>
        </w:rPr>
        <w:t>коммуникативной</w:t>
      </w:r>
      <w:r>
        <w:rPr>
          <w:color w:val="231F20"/>
          <w:spacing w:val="4"/>
          <w:sz w:val="20"/>
        </w:rPr>
        <w:t> </w:t>
      </w:r>
      <w:r>
        <w:rPr>
          <w:color w:val="231F20"/>
          <w:spacing w:val="-2"/>
          <w:sz w:val="20"/>
        </w:rPr>
        <w:t>компетентности.</w:t>
      </w:r>
    </w:p>
    <w:p>
      <w:pPr>
        <w:pStyle w:val="ListParagraph"/>
        <w:numPr>
          <w:ilvl w:val="0"/>
          <w:numId w:val="110"/>
        </w:numPr>
        <w:tabs>
          <w:tab w:pos="423" w:val="left" w:leader="none"/>
        </w:tabs>
        <w:spacing w:line="212" w:lineRule="exact" w:before="0" w:after="0"/>
        <w:ind w:left="423" w:right="0" w:hanging="282"/>
        <w:jc w:val="left"/>
        <w:rPr>
          <w:sz w:val="20"/>
        </w:rPr>
      </w:pPr>
      <w:r>
        <w:rPr>
          <w:color w:val="231F20"/>
          <w:spacing w:val="-2"/>
          <w:sz w:val="20"/>
        </w:rPr>
        <w:t>Гражданская</w:t>
      </w:r>
      <w:r>
        <w:rPr>
          <w:color w:val="231F20"/>
          <w:spacing w:val="5"/>
          <w:sz w:val="20"/>
        </w:rPr>
        <w:t> </w:t>
      </w:r>
      <w:r>
        <w:rPr>
          <w:color w:val="231F20"/>
          <w:spacing w:val="-2"/>
          <w:sz w:val="20"/>
        </w:rPr>
        <w:t>идентичность.</w:t>
      </w:r>
    </w:p>
    <w:p>
      <w:pPr>
        <w:pStyle w:val="BodyText"/>
        <w:spacing w:line="220" w:lineRule="auto" w:before="5"/>
      </w:pPr>
      <w:r>
        <w:rPr>
          <w:color w:val="231F20"/>
        </w:rPr>
        <w:t>Такие занятия учащиеся могут бесплатно посетить в Центре толерантности Ев- рейского</w:t>
      </w:r>
      <w:r>
        <w:rPr>
          <w:color w:val="231F20"/>
          <w:spacing w:val="-5"/>
        </w:rPr>
        <w:t> </w:t>
      </w:r>
      <w:r>
        <w:rPr>
          <w:color w:val="231F20"/>
        </w:rPr>
        <w:t>музея</w:t>
      </w:r>
      <w:r>
        <w:rPr>
          <w:color w:val="231F20"/>
          <w:spacing w:val="-5"/>
        </w:rPr>
        <w:t> </w:t>
      </w:r>
      <w:r>
        <w:rPr>
          <w:color w:val="231F20"/>
        </w:rPr>
        <w:t>Москвы</w:t>
      </w:r>
      <w:r>
        <w:rPr>
          <w:color w:val="231F20"/>
          <w:spacing w:val="-5"/>
        </w:rPr>
        <w:t> </w:t>
      </w:r>
      <w:r>
        <w:rPr>
          <w:color w:val="231F20"/>
        </w:rPr>
        <w:t>по</w:t>
      </w:r>
      <w:r>
        <w:rPr>
          <w:color w:val="231F20"/>
          <w:spacing w:val="-5"/>
        </w:rPr>
        <w:t> </w:t>
      </w:r>
      <w:r>
        <w:rPr>
          <w:color w:val="231F20"/>
        </w:rPr>
        <w:t>предварительной</w:t>
      </w:r>
      <w:r>
        <w:rPr>
          <w:color w:val="231F20"/>
          <w:spacing w:val="-5"/>
        </w:rPr>
        <w:t> </w:t>
      </w:r>
      <w:r>
        <w:rPr>
          <w:color w:val="231F20"/>
        </w:rPr>
        <w:t>записи.</w:t>
      </w:r>
      <w:r>
        <w:rPr>
          <w:color w:val="231F20"/>
          <w:spacing w:val="-5"/>
        </w:rPr>
        <w:t> </w:t>
      </w:r>
      <w:r>
        <w:rPr>
          <w:color w:val="231F20"/>
        </w:rPr>
        <w:t>Педагоги,</w:t>
      </w:r>
      <w:r>
        <w:rPr>
          <w:color w:val="231F20"/>
          <w:spacing w:val="-5"/>
        </w:rPr>
        <w:t> </w:t>
      </w:r>
      <w:r>
        <w:rPr>
          <w:color w:val="231F20"/>
        </w:rPr>
        <w:t>прошедшие</w:t>
      </w:r>
      <w:r>
        <w:rPr>
          <w:color w:val="231F20"/>
          <w:spacing w:val="-5"/>
        </w:rPr>
        <w:t> </w:t>
      </w:r>
      <w:r>
        <w:rPr>
          <w:color w:val="231F20"/>
        </w:rPr>
        <w:t>програм- му</w:t>
      </w:r>
      <w:r>
        <w:rPr>
          <w:color w:val="231F20"/>
          <w:spacing w:val="-13"/>
        </w:rPr>
        <w:t> </w:t>
      </w:r>
      <w:r>
        <w:rPr>
          <w:color w:val="231F20"/>
        </w:rPr>
        <w:t>повышения</w:t>
      </w:r>
      <w:r>
        <w:rPr>
          <w:color w:val="231F20"/>
          <w:spacing w:val="-12"/>
        </w:rPr>
        <w:t> </w:t>
      </w:r>
      <w:r>
        <w:rPr>
          <w:color w:val="231F20"/>
        </w:rPr>
        <w:t>квалификации</w:t>
      </w:r>
      <w:r>
        <w:rPr>
          <w:color w:val="231F20"/>
          <w:spacing w:val="-13"/>
        </w:rPr>
        <w:t> </w:t>
      </w:r>
      <w:r>
        <w:rPr>
          <w:color w:val="231F20"/>
        </w:rPr>
        <w:t>«Учеба</w:t>
      </w:r>
      <w:r>
        <w:rPr>
          <w:color w:val="231F20"/>
          <w:spacing w:val="-12"/>
        </w:rPr>
        <w:t> </w:t>
      </w:r>
      <w:r>
        <w:rPr>
          <w:color w:val="231F20"/>
        </w:rPr>
        <w:t>на</w:t>
      </w:r>
      <w:r>
        <w:rPr>
          <w:color w:val="231F20"/>
          <w:spacing w:val="-13"/>
        </w:rPr>
        <w:t> </w:t>
      </w:r>
      <w:r>
        <w:rPr>
          <w:color w:val="231F20"/>
        </w:rPr>
        <w:t>перекрестке</w:t>
      </w:r>
      <w:r>
        <w:rPr>
          <w:color w:val="231F20"/>
          <w:spacing w:val="-12"/>
        </w:rPr>
        <w:t> </w:t>
      </w:r>
      <w:r>
        <w:rPr>
          <w:color w:val="231F20"/>
        </w:rPr>
        <w:t>культур:</w:t>
      </w:r>
      <w:r>
        <w:rPr>
          <w:color w:val="231F20"/>
          <w:spacing w:val="-13"/>
        </w:rPr>
        <w:t> </w:t>
      </w:r>
      <w:r>
        <w:rPr>
          <w:color w:val="231F20"/>
        </w:rPr>
        <w:t>интерактивные</w:t>
      </w:r>
      <w:r>
        <w:rPr>
          <w:color w:val="231F20"/>
          <w:spacing w:val="-12"/>
        </w:rPr>
        <w:t> </w:t>
      </w:r>
      <w:r>
        <w:rPr>
          <w:color w:val="231F20"/>
        </w:rPr>
        <w:t>методы профилактики мигрантофобии среди обучающихся», получают методические руко- водства по самостоятельному проведению занятий программы.</w:t>
      </w:r>
    </w:p>
    <w:p>
      <w:pPr>
        <w:pStyle w:val="BodyText"/>
        <w:spacing w:line="218" w:lineRule="auto"/>
      </w:pPr>
      <w:r>
        <w:rPr/>
        <w:t>Для</w:t>
      </w:r>
      <w:r>
        <w:rPr>
          <w:spacing w:val="-7"/>
        </w:rPr>
        <w:t> </w:t>
      </w:r>
      <w:r>
        <w:rPr/>
        <w:t>обучения</w:t>
      </w:r>
      <w:r>
        <w:rPr>
          <w:spacing w:val="-7"/>
        </w:rPr>
        <w:t> </w:t>
      </w:r>
      <w:r>
        <w:rPr/>
        <w:t>данным</w:t>
      </w:r>
      <w:r>
        <w:rPr>
          <w:spacing w:val="-7"/>
        </w:rPr>
        <w:t> </w:t>
      </w:r>
      <w:r>
        <w:rPr/>
        <w:t>программам</w:t>
      </w:r>
      <w:r>
        <w:rPr>
          <w:spacing w:val="-7"/>
        </w:rPr>
        <w:t> </w:t>
      </w:r>
      <w:r>
        <w:rPr/>
        <w:t>нужно</w:t>
      </w:r>
      <w:r>
        <w:rPr>
          <w:spacing w:val="-7"/>
        </w:rPr>
        <w:t> </w:t>
      </w:r>
      <w:r>
        <w:rPr/>
        <w:t>зарегистрироваться</w:t>
      </w:r>
      <w:r>
        <w:rPr>
          <w:spacing w:val="-7"/>
        </w:rPr>
        <w:t> </w:t>
      </w:r>
      <w:r>
        <w:rPr/>
        <w:t>на</w:t>
      </w:r>
      <w:r>
        <w:rPr>
          <w:spacing w:val="-7"/>
        </w:rPr>
        <w:t> </w:t>
      </w:r>
      <w:r>
        <w:rPr/>
        <w:t>сайте</w:t>
      </w:r>
      <w:r>
        <w:rPr>
          <w:spacing w:val="-8"/>
        </w:rPr>
        <w:t> </w:t>
      </w:r>
      <w:r>
        <w:rPr>
          <w:color w:val="231F20"/>
        </w:rPr>
        <w:t>Федераль- ного научно-методического центра в области психологии и педагогики толерантно- сти</w:t>
      </w:r>
      <w:r>
        <w:rPr>
          <w:color w:val="231F20"/>
          <w:vertAlign w:val="superscript"/>
        </w:rPr>
        <w:t>1</w:t>
      </w:r>
      <w:r>
        <w:rPr>
          <w:color w:val="231F20"/>
          <w:spacing w:val="-12"/>
          <w:vertAlign w:val="baseline"/>
        </w:rPr>
        <w:t> </w:t>
      </w:r>
      <w:r>
        <w:rPr>
          <w:color w:val="231F20"/>
          <w:vertAlign w:val="baseline"/>
        </w:rPr>
        <w:t>и</w:t>
      </w:r>
      <w:r>
        <w:rPr>
          <w:color w:val="231F20"/>
          <w:spacing w:val="-12"/>
          <w:vertAlign w:val="baseline"/>
        </w:rPr>
        <w:t> </w:t>
      </w:r>
      <w:r>
        <w:rPr>
          <w:color w:val="231F20"/>
          <w:vertAlign w:val="baseline"/>
        </w:rPr>
        <w:t>пройти</w:t>
      </w:r>
      <w:r>
        <w:rPr>
          <w:color w:val="231F20"/>
          <w:spacing w:val="-12"/>
          <w:vertAlign w:val="baseline"/>
        </w:rPr>
        <w:t> </w:t>
      </w:r>
      <w:r>
        <w:rPr>
          <w:color w:val="231F20"/>
          <w:vertAlign w:val="baseline"/>
        </w:rPr>
        <w:t>соответствующее</w:t>
      </w:r>
      <w:r>
        <w:rPr>
          <w:color w:val="231F20"/>
          <w:spacing w:val="-12"/>
          <w:vertAlign w:val="baseline"/>
        </w:rPr>
        <w:t> </w:t>
      </w:r>
      <w:r>
        <w:rPr>
          <w:color w:val="231F20"/>
          <w:vertAlign w:val="baseline"/>
        </w:rPr>
        <w:t>онлайн-обучение.</w:t>
      </w:r>
      <w:r>
        <w:rPr>
          <w:color w:val="231F20"/>
          <w:spacing w:val="-12"/>
          <w:vertAlign w:val="baseline"/>
        </w:rPr>
        <w:t> </w:t>
      </w:r>
      <w:r>
        <w:rPr>
          <w:color w:val="231F20"/>
          <w:vertAlign w:val="baseline"/>
        </w:rPr>
        <w:t>После</w:t>
      </w:r>
      <w:r>
        <w:rPr>
          <w:color w:val="231F20"/>
          <w:spacing w:val="-12"/>
          <w:vertAlign w:val="baseline"/>
        </w:rPr>
        <w:t> </w:t>
      </w:r>
      <w:r>
        <w:rPr>
          <w:color w:val="231F20"/>
          <w:vertAlign w:val="baseline"/>
        </w:rPr>
        <w:t>обучения,</w:t>
      </w:r>
      <w:r>
        <w:rPr>
          <w:color w:val="231F20"/>
          <w:spacing w:val="-12"/>
          <w:vertAlign w:val="baseline"/>
        </w:rPr>
        <w:t> </w:t>
      </w:r>
      <w:r>
        <w:rPr>
          <w:color w:val="231F20"/>
          <w:vertAlign w:val="baseline"/>
        </w:rPr>
        <w:t>кроме</w:t>
      </w:r>
      <w:r>
        <w:rPr>
          <w:color w:val="231F20"/>
          <w:spacing w:val="-12"/>
          <w:vertAlign w:val="baseline"/>
        </w:rPr>
        <w:t> </w:t>
      </w:r>
      <w:r>
        <w:rPr>
          <w:color w:val="231F20"/>
          <w:vertAlign w:val="baseline"/>
        </w:rPr>
        <w:t>сертифика- </w:t>
      </w:r>
      <w:r>
        <w:rPr>
          <w:color w:val="231F20"/>
          <w:spacing w:val="-2"/>
          <w:vertAlign w:val="baseline"/>
        </w:rPr>
        <w:t>та о повышении квалификации, педагог-психолог получает</w:t>
      </w:r>
      <w:r>
        <w:rPr>
          <w:color w:val="231F20"/>
          <w:spacing w:val="-3"/>
          <w:vertAlign w:val="baseline"/>
        </w:rPr>
        <w:t> </w:t>
      </w:r>
      <w:r>
        <w:rPr>
          <w:color w:val="231F20"/>
          <w:spacing w:val="-2"/>
          <w:vertAlign w:val="baseline"/>
        </w:rPr>
        <w:t>полный пакет материалов, </w:t>
      </w:r>
      <w:r>
        <w:rPr>
          <w:color w:val="231F20"/>
          <w:vertAlign w:val="baseline"/>
        </w:rPr>
        <w:t>необходимых для проведения соответствующей программы.</w:t>
      </w:r>
    </w:p>
    <w:p>
      <w:pPr>
        <w:numPr>
          <w:ilvl w:val="2"/>
          <w:numId w:val="96"/>
        </w:numPr>
        <w:tabs>
          <w:tab w:pos="625" w:val="left" w:leader="none"/>
        </w:tabs>
        <w:spacing w:line="218" w:lineRule="auto" w:before="117"/>
        <w:ind w:left="425" w:right="1296" w:firstLine="0"/>
        <w:jc w:val="both"/>
        <w:rPr>
          <w:b/>
          <w:color w:val="231F20"/>
          <w:sz w:val="20"/>
        </w:rPr>
      </w:pPr>
      <w:r>
        <w:rPr>
          <w:b/>
          <w:i/>
          <w:color w:val="231F20"/>
          <w:spacing w:val="-2"/>
          <w:sz w:val="20"/>
        </w:rPr>
        <w:t>Тренинг этнокультурной компетентности и межкультурного взаимодействия</w:t>
      </w:r>
    </w:p>
    <w:p>
      <w:pPr>
        <w:pStyle w:val="BodyText"/>
        <w:spacing w:line="218" w:lineRule="auto" w:before="2"/>
      </w:pPr>
      <w:r>
        <w:rPr>
          <w:color w:val="231F20"/>
          <w:spacing w:val="-2"/>
        </w:rPr>
        <w:t>Данная</w:t>
      </w:r>
      <w:r>
        <w:rPr>
          <w:color w:val="231F20"/>
          <w:spacing w:val="-13"/>
        </w:rPr>
        <w:t> </w:t>
      </w:r>
      <w:r>
        <w:rPr>
          <w:color w:val="231F20"/>
          <w:spacing w:val="-2"/>
        </w:rPr>
        <w:t>программа</w:t>
      </w:r>
      <w:r>
        <w:rPr>
          <w:color w:val="231F20"/>
          <w:spacing w:val="-10"/>
        </w:rPr>
        <w:t> </w:t>
      </w:r>
      <w:r>
        <w:rPr>
          <w:color w:val="231F20"/>
          <w:spacing w:val="-2"/>
        </w:rPr>
        <w:t>разработана</w:t>
      </w:r>
      <w:r>
        <w:rPr>
          <w:color w:val="231F20"/>
          <w:spacing w:val="-11"/>
        </w:rPr>
        <w:t> </w:t>
      </w:r>
      <w:r>
        <w:rPr>
          <w:color w:val="231F20"/>
          <w:spacing w:val="-2"/>
        </w:rPr>
        <w:t>авторским</w:t>
      </w:r>
      <w:r>
        <w:rPr>
          <w:color w:val="231F20"/>
          <w:spacing w:val="-10"/>
        </w:rPr>
        <w:t> </w:t>
      </w:r>
      <w:r>
        <w:rPr>
          <w:color w:val="231F20"/>
          <w:spacing w:val="-2"/>
        </w:rPr>
        <w:t>коллективом</w:t>
      </w:r>
      <w:r>
        <w:rPr>
          <w:color w:val="231F20"/>
          <w:spacing w:val="-11"/>
        </w:rPr>
        <w:t> </w:t>
      </w:r>
      <w:r>
        <w:rPr>
          <w:color w:val="231F20"/>
          <w:spacing w:val="-2"/>
        </w:rPr>
        <w:t>под</w:t>
      </w:r>
      <w:r>
        <w:rPr>
          <w:color w:val="231F20"/>
          <w:spacing w:val="-10"/>
        </w:rPr>
        <w:t> </w:t>
      </w:r>
      <w:r>
        <w:rPr>
          <w:color w:val="231F20"/>
          <w:spacing w:val="-2"/>
        </w:rPr>
        <w:t>руководством</w:t>
      </w:r>
      <w:r>
        <w:rPr>
          <w:color w:val="231F20"/>
          <w:spacing w:val="-11"/>
        </w:rPr>
        <w:t> </w:t>
      </w:r>
      <w:r>
        <w:rPr>
          <w:color w:val="231F20"/>
          <w:spacing w:val="-2"/>
        </w:rPr>
        <w:t>Н.М.</w:t>
      </w:r>
      <w:r>
        <w:rPr>
          <w:color w:val="231F20"/>
          <w:spacing w:val="-10"/>
        </w:rPr>
        <w:t> </w:t>
      </w:r>
      <w:r>
        <w:rPr>
          <w:color w:val="231F20"/>
          <w:spacing w:val="-2"/>
        </w:rPr>
        <w:t>Ле- </w:t>
      </w:r>
      <w:r>
        <w:rPr>
          <w:color w:val="231F20"/>
        </w:rPr>
        <w:t>бедевой (Лебедева, Стефаненко, Лунева, 2004). Эта комплексная программа – метод подготовки</w:t>
      </w:r>
      <w:r>
        <w:rPr>
          <w:color w:val="231F20"/>
          <w:spacing w:val="-8"/>
        </w:rPr>
        <w:t> </w:t>
      </w:r>
      <w:r>
        <w:rPr>
          <w:color w:val="231F20"/>
        </w:rPr>
        <w:t>к</w:t>
      </w:r>
      <w:r>
        <w:rPr>
          <w:color w:val="231F20"/>
          <w:spacing w:val="-8"/>
        </w:rPr>
        <w:t> </w:t>
      </w:r>
      <w:r>
        <w:rPr>
          <w:color w:val="231F20"/>
        </w:rPr>
        <w:t>толерантному</w:t>
      </w:r>
      <w:r>
        <w:rPr>
          <w:color w:val="231F20"/>
          <w:spacing w:val="-8"/>
        </w:rPr>
        <w:t> </w:t>
      </w:r>
      <w:r>
        <w:rPr>
          <w:color w:val="231F20"/>
        </w:rPr>
        <w:t>и</w:t>
      </w:r>
      <w:r>
        <w:rPr>
          <w:color w:val="231F20"/>
          <w:spacing w:val="-8"/>
        </w:rPr>
        <w:t> </w:t>
      </w:r>
      <w:r>
        <w:rPr>
          <w:color w:val="231F20"/>
        </w:rPr>
        <w:t>продуктивному</w:t>
      </w:r>
      <w:r>
        <w:rPr>
          <w:color w:val="231F20"/>
          <w:spacing w:val="-8"/>
        </w:rPr>
        <w:t> </w:t>
      </w:r>
      <w:r>
        <w:rPr>
          <w:color w:val="231F20"/>
        </w:rPr>
        <w:t>межкультурному</w:t>
      </w:r>
      <w:r>
        <w:rPr>
          <w:color w:val="231F20"/>
          <w:spacing w:val="-8"/>
        </w:rPr>
        <w:t> </w:t>
      </w:r>
      <w:r>
        <w:rPr>
          <w:color w:val="231F20"/>
        </w:rPr>
        <w:t>взаимодействию.</w:t>
      </w:r>
      <w:r>
        <w:rPr>
          <w:color w:val="231F20"/>
          <w:spacing w:val="-8"/>
        </w:rPr>
        <w:t> </w:t>
      </w:r>
      <w:r>
        <w:rPr>
          <w:color w:val="231F20"/>
        </w:rPr>
        <w:t>С</w:t>
      </w:r>
      <w:r>
        <w:rPr>
          <w:color w:val="171B1E"/>
        </w:rPr>
        <w:t>о- кращенная</w:t>
      </w:r>
      <w:r>
        <w:rPr>
          <w:color w:val="171B1E"/>
          <w:spacing w:val="-13"/>
        </w:rPr>
        <w:t> </w:t>
      </w:r>
      <w:r>
        <w:rPr>
          <w:color w:val="171B1E"/>
        </w:rPr>
        <w:t>версия</w:t>
      </w:r>
      <w:r>
        <w:rPr>
          <w:color w:val="171B1E"/>
          <w:spacing w:val="-12"/>
        </w:rPr>
        <w:t> </w:t>
      </w:r>
      <w:r>
        <w:rPr>
          <w:color w:val="171B1E"/>
        </w:rPr>
        <w:t>программы</w:t>
      </w:r>
      <w:r>
        <w:rPr>
          <w:color w:val="171B1E"/>
          <w:spacing w:val="-13"/>
        </w:rPr>
        <w:t> </w:t>
      </w:r>
      <w:r>
        <w:rPr>
          <w:color w:val="171B1E"/>
        </w:rPr>
        <w:t>доступна</w:t>
      </w:r>
      <w:r>
        <w:rPr>
          <w:color w:val="171B1E"/>
          <w:spacing w:val="-12"/>
        </w:rPr>
        <w:t> </w:t>
      </w:r>
      <w:r>
        <w:rPr>
          <w:color w:val="171B1E"/>
        </w:rPr>
        <w:t>пользователям</w:t>
      </w:r>
      <w:r>
        <w:rPr>
          <w:color w:val="171B1E"/>
          <w:spacing w:val="-13"/>
        </w:rPr>
        <w:t> </w:t>
      </w:r>
      <w:r>
        <w:rPr>
          <w:color w:val="171B1E"/>
        </w:rPr>
        <w:t>в</w:t>
      </w:r>
      <w:r>
        <w:rPr>
          <w:color w:val="171B1E"/>
          <w:spacing w:val="-12"/>
        </w:rPr>
        <w:t> </w:t>
      </w:r>
      <w:r>
        <w:rPr>
          <w:color w:val="171B1E"/>
        </w:rPr>
        <w:t>методическом</w:t>
      </w:r>
      <w:r>
        <w:rPr>
          <w:color w:val="171B1E"/>
          <w:spacing w:val="-13"/>
        </w:rPr>
        <w:t> </w:t>
      </w:r>
      <w:r>
        <w:rPr>
          <w:color w:val="171B1E"/>
        </w:rPr>
        <w:t>пособии</w:t>
      </w:r>
      <w:r>
        <w:rPr>
          <w:color w:val="171B1E"/>
          <w:spacing w:val="-12"/>
        </w:rPr>
        <w:t> </w:t>
      </w:r>
      <w:r>
        <w:rPr>
          <w:color w:val="171B1E"/>
        </w:rPr>
        <w:t>«</w:t>
      </w:r>
      <w:r>
        <w:rPr/>
        <w:t>Ме- тоды</w:t>
      </w:r>
      <w:r>
        <w:rPr>
          <w:spacing w:val="-13"/>
        </w:rPr>
        <w:t> </w:t>
      </w:r>
      <w:r>
        <w:rPr/>
        <w:t>этнической</w:t>
      </w:r>
      <w:r>
        <w:rPr>
          <w:spacing w:val="-12"/>
        </w:rPr>
        <w:t> </w:t>
      </w:r>
      <w:r>
        <w:rPr/>
        <w:t>и</w:t>
      </w:r>
      <w:r>
        <w:rPr>
          <w:spacing w:val="-13"/>
        </w:rPr>
        <w:t> </w:t>
      </w:r>
      <w:r>
        <w:rPr/>
        <w:t>кросскультурной</w:t>
      </w:r>
      <w:r>
        <w:rPr>
          <w:spacing w:val="-12"/>
        </w:rPr>
        <w:t> </w:t>
      </w:r>
      <w:r>
        <w:rPr/>
        <w:t>психологии»</w:t>
      </w:r>
      <w:r>
        <w:rPr>
          <w:vertAlign w:val="superscript"/>
        </w:rPr>
        <w:t>2</w:t>
      </w:r>
      <w:r>
        <w:rPr>
          <w:vertAlign w:val="baseline"/>
        </w:rPr>
        <w:t>.</w:t>
      </w:r>
      <w:r>
        <w:rPr>
          <w:spacing w:val="-13"/>
          <w:vertAlign w:val="baseline"/>
        </w:rPr>
        <w:t> </w:t>
      </w:r>
      <w:r>
        <w:rPr>
          <w:vertAlign w:val="baseline"/>
        </w:rPr>
        <w:t>В</w:t>
      </w:r>
      <w:r>
        <w:rPr>
          <w:spacing w:val="-12"/>
          <w:vertAlign w:val="baseline"/>
        </w:rPr>
        <w:t> </w:t>
      </w:r>
      <w:r>
        <w:rPr>
          <w:vertAlign w:val="baseline"/>
        </w:rPr>
        <w:t>нем</w:t>
      </w:r>
      <w:r>
        <w:rPr>
          <w:spacing w:val="-13"/>
          <w:vertAlign w:val="baseline"/>
        </w:rPr>
        <w:t> </w:t>
      </w:r>
      <w:r>
        <w:rPr>
          <w:vertAlign w:val="baseline"/>
        </w:rPr>
        <w:t>описаны</w:t>
      </w:r>
      <w:r>
        <w:rPr>
          <w:spacing w:val="-12"/>
          <w:vertAlign w:val="baseline"/>
        </w:rPr>
        <w:t> </w:t>
      </w:r>
      <w:r>
        <w:rPr>
          <w:vertAlign w:val="baseline"/>
        </w:rPr>
        <w:t>тренинг</w:t>
      </w:r>
      <w:r>
        <w:rPr>
          <w:spacing w:val="-13"/>
          <w:vertAlign w:val="baseline"/>
        </w:rPr>
        <w:t> </w:t>
      </w:r>
      <w:r>
        <w:rPr>
          <w:vertAlign w:val="baseline"/>
        </w:rPr>
        <w:t>как</w:t>
      </w:r>
      <w:r>
        <w:rPr>
          <w:spacing w:val="-12"/>
          <w:vertAlign w:val="baseline"/>
        </w:rPr>
        <w:t> </w:t>
      </w:r>
      <w:r>
        <w:rPr>
          <w:vertAlign w:val="baseline"/>
        </w:rPr>
        <w:t>форма подготовки к толерантному межкультурному взаимодействию, программа тренинга этнической толерантности для школьников и приведена оценка эффективности тре- нинга</w:t>
      </w:r>
      <w:r>
        <w:rPr>
          <w:spacing w:val="-9"/>
          <w:vertAlign w:val="baseline"/>
        </w:rPr>
        <w:t> </w:t>
      </w:r>
      <w:r>
        <w:rPr>
          <w:vertAlign w:val="baseline"/>
        </w:rPr>
        <w:t>межкультурного</w:t>
      </w:r>
      <w:r>
        <w:rPr>
          <w:spacing w:val="-9"/>
          <w:vertAlign w:val="baseline"/>
        </w:rPr>
        <w:t> </w:t>
      </w:r>
      <w:r>
        <w:rPr>
          <w:vertAlign w:val="baseline"/>
        </w:rPr>
        <w:t>взаимодействия.</w:t>
      </w:r>
      <w:r>
        <w:rPr>
          <w:spacing w:val="-9"/>
          <w:vertAlign w:val="baseline"/>
        </w:rPr>
        <w:t> </w:t>
      </w:r>
      <w:r>
        <w:rPr>
          <w:vertAlign w:val="baseline"/>
        </w:rPr>
        <w:t>В</w:t>
      </w:r>
      <w:r>
        <w:rPr>
          <w:spacing w:val="-9"/>
          <w:vertAlign w:val="baseline"/>
        </w:rPr>
        <w:t> </w:t>
      </w:r>
      <w:r>
        <w:rPr>
          <w:vertAlign w:val="baseline"/>
        </w:rPr>
        <w:t>приложении</w:t>
      </w:r>
      <w:r>
        <w:rPr>
          <w:spacing w:val="-9"/>
          <w:vertAlign w:val="baseline"/>
        </w:rPr>
        <w:t> </w:t>
      </w:r>
      <w:r>
        <w:rPr>
          <w:vertAlign w:val="baseline"/>
        </w:rPr>
        <w:t>–</w:t>
      </w:r>
      <w:r>
        <w:rPr>
          <w:spacing w:val="-9"/>
          <w:vertAlign w:val="baseline"/>
        </w:rPr>
        <w:t> </w:t>
      </w:r>
      <w:r>
        <w:rPr>
          <w:vertAlign w:val="baseline"/>
        </w:rPr>
        <w:t>описание</w:t>
      </w:r>
      <w:r>
        <w:rPr>
          <w:spacing w:val="-9"/>
          <w:vertAlign w:val="baseline"/>
        </w:rPr>
        <w:t> </w:t>
      </w:r>
      <w:r>
        <w:rPr>
          <w:vertAlign w:val="baseline"/>
        </w:rPr>
        <w:t>ряда</w:t>
      </w:r>
      <w:r>
        <w:rPr>
          <w:spacing w:val="-9"/>
          <w:vertAlign w:val="baseline"/>
        </w:rPr>
        <w:t> </w:t>
      </w:r>
      <w:r>
        <w:rPr>
          <w:vertAlign w:val="baseline"/>
        </w:rPr>
        <w:t>активностей, которые можно использовать в межкультурном тренинге.</w:t>
      </w:r>
    </w:p>
    <w:p>
      <w:pPr>
        <w:pStyle w:val="BodyText"/>
        <w:spacing w:line="220" w:lineRule="auto" w:before="8"/>
      </w:pPr>
      <w:r>
        <w:rPr/>
        <w:t>В</w:t>
      </w:r>
      <w:r>
        <w:rPr>
          <w:spacing w:val="-12"/>
        </w:rPr>
        <w:t> </w:t>
      </w:r>
      <w:r>
        <w:rPr/>
        <w:t>печатном</w:t>
      </w:r>
      <w:r>
        <w:rPr>
          <w:spacing w:val="-12"/>
        </w:rPr>
        <w:t> </w:t>
      </w:r>
      <w:r>
        <w:rPr/>
        <w:t>виде</w:t>
      </w:r>
      <w:r>
        <w:rPr>
          <w:spacing w:val="-12"/>
        </w:rPr>
        <w:t> </w:t>
      </w:r>
      <w:r>
        <w:rPr/>
        <w:t>программу</w:t>
      </w:r>
      <w:r>
        <w:rPr>
          <w:spacing w:val="-12"/>
        </w:rPr>
        <w:t> </w:t>
      </w:r>
      <w:r>
        <w:rPr/>
        <w:t>можно</w:t>
      </w:r>
      <w:r>
        <w:rPr>
          <w:spacing w:val="-12"/>
        </w:rPr>
        <w:t> </w:t>
      </w:r>
      <w:r>
        <w:rPr/>
        <w:t>получить</w:t>
      </w:r>
      <w:r>
        <w:rPr>
          <w:spacing w:val="-12"/>
        </w:rPr>
        <w:t> </w:t>
      </w:r>
      <w:r>
        <w:rPr/>
        <w:t>в</w:t>
      </w:r>
      <w:r>
        <w:rPr>
          <w:spacing w:val="-12"/>
        </w:rPr>
        <w:t> </w:t>
      </w:r>
      <w:r>
        <w:rPr/>
        <w:t>Центре</w:t>
      </w:r>
      <w:r>
        <w:rPr>
          <w:spacing w:val="-12"/>
        </w:rPr>
        <w:t> </w:t>
      </w:r>
      <w:r>
        <w:rPr/>
        <w:t>социокультурных</w:t>
      </w:r>
      <w:r>
        <w:rPr>
          <w:spacing w:val="-12"/>
        </w:rPr>
        <w:t> </w:t>
      </w:r>
      <w:r>
        <w:rPr/>
        <w:t>исследо- ваний НИУ «Высшая школа экономики»</w:t>
      </w:r>
      <w:r>
        <w:rPr>
          <w:vertAlign w:val="superscript"/>
        </w:rPr>
        <w:t>3</w:t>
      </w:r>
      <w:r>
        <w:rPr>
          <w:vertAlign w:val="baseline"/>
        </w:rPr>
        <w:t> в Москве.</w:t>
      </w:r>
    </w:p>
    <w:p>
      <w:pPr>
        <w:numPr>
          <w:ilvl w:val="2"/>
          <w:numId w:val="96"/>
        </w:numPr>
        <w:tabs>
          <w:tab w:pos="625" w:val="left" w:leader="none"/>
        </w:tabs>
        <w:spacing w:before="100"/>
        <w:ind w:left="625" w:right="0" w:hanging="200"/>
        <w:jc w:val="both"/>
        <w:rPr>
          <w:b/>
          <w:color w:val="231F20"/>
          <w:sz w:val="20"/>
        </w:rPr>
      </w:pPr>
      <w:r>
        <w:rPr>
          <w:b/>
          <w:i/>
          <w:color w:val="231F20"/>
          <w:sz w:val="20"/>
        </w:rPr>
        <w:t>Программа</w:t>
      </w:r>
      <w:r>
        <w:rPr>
          <w:b/>
          <w:i/>
          <w:color w:val="231F20"/>
          <w:spacing w:val="-11"/>
          <w:sz w:val="20"/>
        </w:rPr>
        <w:t> </w:t>
      </w:r>
      <w:r>
        <w:rPr>
          <w:b/>
          <w:i/>
          <w:color w:val="231F20"/>
          <w:sz w:val="20"/>
        </w:rPr>
        <w:t>социально-психологической</w:t>
      </w:r>
      <w:r>
        <w:rPr>
          <w:b/>
          <w:i/>
          <w:color w:val="231F20"/>
          <w:spacing w:val="-9"/>
          <w:sz w:val="20"/>
        </w:rPr>
        <w:t> </w:t>
      </w:r>
      <w:r>
        <w:rPr>
          <w:b/>
          <w:i/>
          <w:color w:val="231F20"/>
          <w:sz w:val="20"/>
        </w:rPr>
        <w:t>поддержки</w:t>
      </w:r>
      <w:r>
        <w:rPr>
          <w:b/>
          <w:i/>
          <w:color w:val="231F20"/>
          <w:spacing w:val="-10"/>
          <w:sz w:val="20"/>
        </w:rPr>
        <w:t> </w:t>
      </w:r>
      <w:r>
        <w:rPr>
          <w:b/>
          <w:i/>
          <w:color w:val="231F20"/>
          <w:sz w:val="20"/>
        </w:rPr>
        <w:t>и</w:t>
      </w:r>
      <w:r>
        <w:rPr>
          <w:b/>
          <w:i/>
          <w:color w:val="231F20"/>
          <w:spacing w:val="-9"/>
          <w:sz w:val="20"/>
        </w:rPr>
        <w:t> </w:t>
      </w:r>
      <w:r>
        <w:rPr>
          <w:b/>
          <w:i/>
          <w:color w:val="231F20"/>
          <w:sz w:val="20"/>
        </w:rPr>
        <w:t>помощи</w:t>
      </w:r>
      <w:r>
        <w:rPr>
          <w:b/>
          <w:i/>
          <w:color w:val="231F20"/>
          <w:spacing w:val="-9"/>
          <w:sz w:val="20"/>
        </w:rPr>
        <w:t> </w:t>
      </w:r>
      <w:r>
        <w:rPr>
          <w:b/>
          <w:i/>
          <w:color w:val="231F20"/>
          <w:sz w:val="20"/>
        </w:rPr>
        <w:t>детям</w:t>
      </w:r>
      <w:r>
        <w:rPr>
          <w:b/>
          <w:i/>
          <w:color w:val="231F20"/>
          <w:spacing w:val="-9"/>
          <w:sz w:val="20"/>
        </w:rPr>
        <w:t> </w:t>
      </w:r>
      <w:r>
        <w:rPr>
          <w:b/>
          <w:i/>
          <w:color w:val="231F20"/>
          <w:spacing w:val="-10"/>
          <w:sz w:val="20"/>
        </w:rPr>
        <w:t>и</w:t>
      </w:r>
    </w:p>
    <w:p>
      <w:pPr>
        <w:pStyle w:val="BodyText"/>
        <w:spacing w:before="3"/>
        <w:ind w:left="0" w:right="0" w:firstLine="0"/>
        <w:jc w:val="left"/>
        <w:rPr>
          <w:b/>
          <w:i/>
          <w:sz w:val="5"/>
        </w:rPr>
      </w:pPr>
      <w:r>
        <w:rPr>
          <w:b/>
          <w:i/>
          <w:sz w:val="5"/>
        </w:rPr>
        <mc:AlternateContent>
          <mc:Choice Requires="wps">
            <w:drawing>
              <wp:anchor distT="0" distB="0" distL="0" distR="0" allowOverlap="1" layoutInCell="1" locked="0" behindDoc="1" simplePos="0" relativeHeight="487622656">
                <wp:simplePos x="0" y="0"/>
                <wp:positionH relativeFrom="page">
                  <wp:posOffset>360000</wp:posOffset>
                </wp:positionH>
                <wp:positionV relativeFrom="paragraph">
                  <wp:posOffset>53750</wp:posOffset>
                </wp:positionV>
                <wp:extent cx="1440180" cy="1270"/>
                <wp:effectExtent l="0" t="0" r="0" b="0"/>
                <wp:wrapTopAndBottom/>
                <wp:docPr id="113" name="Graphic 113"/>
                <wp:cNvGraphicFramePr>
                  <a:graphicFrameLocks/>
                </wp:cNvGraphicFramePr>
                <a:graphic>
                  <a:graphicData uri="http://schemas.microsoft.com/office/word/2010/wordprocessingShape">
                    <wps:wsp>
                      <wps:cNvPr id="113" name="Graphic 113"/>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5pt;margin-top:4.232294pt;width:113.4pt;height:.1pt;mso-position-horizontal-relative:page;mso-position-vertical-relative:paragraph;z-index:-15693824;mso-wrap-distance-left:0;mso-wrap-distance-right:0" id="docshape70" coordorigin="567,85" coordsize="2268,0" path="m567,85l2835,85e" filled="false" stroked="true" strokeweight=".5pt" strokecolor="#231f20">
                <v:path arrowok="t"/>
                <v:stroke dashstyle="solid"/>
                <w10:wrap type="topAndBottom"/>
              </v:shape>
            </w:pict>
          </mc:Fallback>
        </mc:AlternateContent>
      </w:r>
    </w:p>
    <w:p>
      <w:pPr>
        <w:tabs>
          <w:tab w:pos="425" w:val="left" w:leader="none"/>
        </w:tabs>
        <w:spacing w:before="27"/>
        <w:ind w:left="141" w:right="0" w:firstLine="0"/>
        <w:jc w:val="left"/>
        <w:rPr>
          <w:sz w:val="18"/>
        </w:rPr>
      </w:pPr>
      <w:r>
        <w:rPr>
          <w:color w:val="231F20"/>
          <w:spacing w:val="-10"/>
          <w:sz w:val="18"/>
          <w:vertAlign w:val="superscript"/>
        </w:rPr>
        <w:t>1</w:t>
      </w:r>
      <w:r>
        <w:rPr>
          <w:color w:val="231F20"/>
          <w:sz w:val="18"/>
          <w:vertAlign w:val="baseline"/>
        </w:rPr>
        <w:tab/>
      </w:r>
      <w:hyperlink r:id="rId101">
        <w:r>
          <w:rPr>
            <w:color w:val="2255A6"/>
            <w:spacing w:val="-2"/>
            <w:sz w:val="18"/>
            <w:u w:val="single" w:color="2255A6"/>
            <w:vertAlign w:val="baseline"/>
          </w:rPr>
          <w:t>https://tolerancecenter.ru/</w:t>
        </w:r>
      </w:hyperlink>
    </w:p>
    <w:p>
      <w:pPr>
        <w:tabs>
          <w:tab w:pos="425" w:val="left" w:leader="none"/>
        </w:tabs>
        <w:spacing w:before="49"/>
        <w:ind w:left="141" w:right="0" w:firstLine="0"/>
        <w:jc w:val="left"/>
        <w:rPr>
          <w:sz w:val="18"/>
        </w:rPr>
      </w:pPr>
      <w:r>
        <w:rPr>
          <w:color w:val="231F20"/>
          <w:spacing w:val="-10"/>
          <w:sz w:val="18"/>
          <w:vertAlign w:val="superscript"/>
        </w:rPr>
        <w:t>2</w:t>
      </w:r>
      <w:r>
        <w:rPr>
          <w:color w:val="231F20"/>
          <w:sz w:val="18"/>
          <w:vertAlign w:val="baseline"/>
        </w:rPr>
        <w:tab/>
        <w:t>Доступ</w:t>
      </w:r>
      <w:r>
        <w:rPr>
          <w:color w:val="231F20"/>
          <w:spacing w:val="-3"/>
          <w:sz w:val="18"/>
          <w:vertAlign w:val="baseline"/>
        </w:rPr>
        <w:t> </w:t>
      </w:r>
      <w:r>
        <w:rPr>
          <w:color w:val="231F20"/>
          <w:sz w:val="18"/>
          <w:vertAlign w:val="baseline"/>
        </w:rPr>
        <w:t>по</w:t>
      </w:r>
      <w:r>
        <w:rPr>
          <w:color w:val="231F20"/>
          <w:spacing w:val="-2"/>
          <w:sz w:val="18"/>
          <w:vertAlign w:val="baseline"/>
        </w:rPr>
        <w:t> </w:t>
      </w:r>
      <w:r>
        <w:rPr>
          <w:color w:val="231F20"/>
          <w:sz w:val="18"/>
          <w:vertAlign w:val="baseline"/>
        </w:rPr>
        <w:t>ссылке:</w:t>
      </w:r>
      <w:r>
        <w:rPr>
          <w:color w:val="231F20"/>
          <w:spacing w:val="-1"/>
          <w:sz w:val="18"/>
          <w:vertAlign w:val="baseline"/>
        </w:rPr>
        <w:t> </w:t>
      </w:r>
      <w:hyperlink r:id="rId102">
        <w:r>
          <w:rPr>
            <w:color w:val="2255A6"/>
            <w:spacing w:val="-2"/>
            <w:sz w:val="18"/>
            <w:u w:val="single" w:color="2255A6"/>
            <w:vertAlign w:val="baseline"/>
          </w:rPr>
          <w:t>https://publications.hse.ru/pubs/share/folder/1dwdd218w6/76201575.pdf</w:t>
        </w:r>
      </w:hyperlink>
    </w:p>
    <w:p>
      <w:pPr>
        <w:tabs>
          <w:tab w:pos="425" w:val="left" w:leader="none"/>
        </w:tabs>
        <w:spacing w:before="50"/>
        <w:ind w:left="141" w:right="0" w:firstLine="0"/>
        <w:jc w:val="left"/>
        <w:rPr>
          <w:sz w:val="18"/>
        </w:rPr>
      </w:pPr>
      <w:r>
        <w:rPr>
          <w:color w:val="231F20"/>
          <w:spacing w:val="-10"/>
          <w:sz w:val="18"/>
          <w:vertAlign w:val="superscript"/>
        </w:rPr>
        <w:t>3</w:t>
      </w:r>
      <w:r>
        <w:rPr>
          <w:color w:val="231F20"/>
          <w:sz w:val="18"/>
          <w:vertAlign w:val="baseline"/>
        </w:rPr>
        <w:tab/>
      </w:r>
      <w:hyperlink r:id="rId103">
        <w:r>
          <w:rPr>
            <w:color w:val="2255A6"/>
            <w:spacing w:val="-2"/>
            <w:sz w:val="18"/>
            <w:u w:val="single" w:color="2255A6"/>
            <w:vertAlign w:val="baseline"/>
          </w:rPr>
          <w:t>https://scr.hse.ru/</w:t>
        </w:r>
      </w:hyperlink>
    </w:p>
    <w:p>
      <w:pPr>
        <w:spacing w:after="0"/>
        <w:jc w:val="left"/>
        <w:rPr>
          <w:sz w:val="18"/>
        </w:rPr>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before="109"/>
        <w:ind w:left="425" w:right="0" w:firstLine="0"/>
        <w:jc w:val="left"/>
        <w:rPr>
          <w:b/>
          <w:i/>
          <w:sz w:val="20"/>
        </w:rPr>
      </w:pPr>
      <w:r>
        <w:rPr>
          <w:b/>
          <w:i/>
          <w:color w:val="231F20"/>
          <w:spacing w:val="-2"/>
          <w:sz w:val="20"/>
        </w:rPr>
        <w:t>подросткам-мигрантам</w:t>
      </w:r>
    </w:p>
    <w:p>
      <w:pPr>
        <w:pStyle w:val="BodyText"/>
        <w:spacing w:line="235" w:lineRule="auto"/>
        <w:ind w:right="140"/>
      </w:pPr>
      <w:r>
        <w:rPr>
          <w:color w:val="231F20"/>
        </w:rPr>
        <w:t>Программа</w:t>
      </w:r>
      <w:r>
        <w:rPr>
          <w:color w:val="231F20"/>
          <w:spacing w:val="-2"/>
        </w:rPr>
        <w:t> </w:t>
      </w:r>
      <w:r>
        <w:rPr>
          <w:color w:val="231F20"/>
        </w:rPr>
        <w:t>подготовлена</w:t>
      </w:r>
      <w:r>
        <w:rPr>
          <w:color w:val="231F20"/>
          <w:spacing w:val="-3"/>
        </w:rPr>
        <w:t> </w:t>
      </w:r>
      <w:r>
        <w:rPr>
          <w:color w:val="231F20"/>
        </w:rPr>
        <w:t>В.В.</w:t>
      </w:r>
      <w:r>
        <w:rPr>
          <w:color w:val="231F20"/>
          <w:spacing w:val="-2"/>
        </w:rPr>
        <w:t> </w:t>
      </w:r>
      <w:r>
        <w:rPr>
          <w:color w:val="231F20"/>
        </w:rPr>
        <w:t>Гриценко</w:t>
      </w:r>
      <w:r>
        <w:rPr>
          <w:color w:val="231F20"/>
          <w:spacing w:val="-2"/>
        </w:rPr>
        <w:t> </w:t>
      </w:r>
      <w:r>
        <w:rPr>
          <w:color w:val="231F20"/>
        </w:rPr>
        <w:t>и</w:t>
      </w:r>
      <w:r>
        <w:rPr>
          <w:color w:val="231F20"/>
          <w:spacing w:val="-2"/>
        </w:rPr>
        <w:t> </w:t>
      </w:r>
      <w:r>
        <w:rPr>
          <w:color w:val="231F20"/>
        </w:rPr>
        <w:t>Н.Е.</w:t>
      </w:r>
      <w:r>
        <w:rPr>
          <w:color w:val="231F20"/>
          <w:spacing w:val="-2"/>
        </w:rPr>
        <w:t> </w:t>
      </w:r>
      <w:r>
        <w:rPr>
          <w:color w:val="231F20"/>
        </w:rPr>
        <w:t>Шустовой</w:t>
      </w:r>
      <w:r>
        <w:rPr>
          <w:color w:val="231F20"/>
          <w:spacing w:val="-2"/>
        </w:rPr>
        <w:t> </w:t>
      </w:r>
      <w:r>
        <w:rPr>
          <w:color w:val="231F20"/>
        </w:rPr>
        <w:t>и</w:t>
      </w:r>
      <w:r>
        <w:rPr>
          <w:color w:val="231F20"/>
          <w:spacing w:val="-2"/>
        </w:rPr>
        <w:t> </w:t>
      </w:r>
      <w:r>
        <w:rPr>
          <w:color w:val="231F20"/>
        </w:rPr>
        <w:t>помогает</w:t>
      </w:r>
      <w:r>
        <w:rPr>
          <w:color w:val="231F20"/>
          <w:spacing w:val="-2"/>
        </w:rPr>
        <w:t> </w:t>
      </w:r>
      <w:r>
        <w:rPr>
          <w:color w:val="231F20"/>
        </w:rPr>
        <w:t>преодолеть отчуждение в новой социокультурной среде, оказывает содействие в оптимизации адаптационного процесса в новой культуре.</w:t>
      </w:r>
    </w:p>
    <w:p>
      <w:pPr>
        <w:pStyle w:val="BodyText"/>
        <w:spacing w:line="244" w:lineRule="auto"/>
      </w:pPr>
      <w:r>
        <w:rPr>
          <w:color w:val="231F20"/>
        </w:rPr>
        <w:t>В публикации (Гриценко, Шустова, 2011) раскрыты особенности психологиче- ской работы с подростками и юношами в форме тренинга, направленного на купи- рование кризисных состояний личности, преодоление психологических барьеров и внутренних конфликтов, самопознание, повышение адаптивных возможностей лич- ности. Представлены различные упражнения, методы и практические приемы с </w:t>
      </w:r>
      <w:r>
        <w:rPr>
          <w:color w:val="231F20"/>
        </w:rPr>
        <w:t>не- обходимыми рекомендациями и приложениями, дается примерный план разработки </w:t>
      </w:r>
      <w:r>
        <w:rPr>
          <w:color w:val="231F20"/>
          <w:spacing w:val="-2"/>
        </w:rPr>
        <w:t>занятий.</w:t>
      </w:r>
    </w:p>
    <w:p>
      <w:pPr>
        <w:pStyle w:val="BodyText"/>
        <w:spacing w:line="244" w:lineRule="auto"/>
      </w:pPr>
      <w:r>
        <w:rPr>
          <w:color w:val="231F20"/>
        </w:rPr>
        <w:t>Программа есть в открытом доступе на портале психологических изданий Psyjournals.ru </w:t>
      </w:r>
      <w:r>
        <w:rPr>
          <w:color w:val="231F20"/>
          <w:vertAlign w:val="superscript"/>
        </w:rPr>
        <w:t>1</w:t>
      </w:r>
      <w:r>
        <w:rPr>
          <w:color w:val="231F20"/>
          <w:vertAlign w:val="baseline"/>
        </w:rPr>
        <w:t>.</w:t>
      </w:r>
    </w:p>
    <w:p>
      <w:pPr>
        <w:numPr>
          <w:ilvl w:val="2"/>
          <w:numId w:val="96"/>
        </w:numPr>
        <w:tabs>
          <w:tab w:pos="625" w:val="left" w:leader="none"/>
        </w:tabs>
        <w:spacing w:before="116"/>
        <w:ind w:left="625" w:right="0" w:hanging="200"/>
        <w:jc w:val="both"/>
        <w:rPr>
          <w:b/>
          <w:color w:val="231F20"/>
          <w:sz w:val="20"/>
        </w:rPr>
      </w:pPr>
      <w:r>
        <w:rPr>
          <w:b/>
          <w:i/>
          <w:color w:val="231F20"/>
          <w:sz w:val="20"/>
        </w:rPr>
        <w:t>Толерантность</w:t>
      </w:r>
      <w:r>
        <w:rPr>
          <w:b/>
          <w:i/>
          <w:color w:val="231F20"/>
          <w:spacing w:val="-4"/>
          <w:sz w:val="20"/>
        </w:rPr>
        <w:t> </w:t>
      </w:r>
      <w:r>
        <w:rPr>
          <w:b/>
          <w:i/>
          <w:color w:val="231F20"/>
          <w:sz w:val="20"/>
        </w:rPr>
        <w:t>–</w:t>
      </w:r>
      <w:r>
        <w:rPr>
          <w:b/>
          <w:i/>
          <w:color w:val="231F20"/>
          <w:spacing w:val="-3"/>
          <w:sz w:val="20"/>
        </w:rPr>
        <w:t> </w:t>
      </w:r>
      <w:r>
        <w:rPr>
          <w:b/>
          <w:i/>
          <w:color w:val="231F20"/>
          <w:sz w:val="20"/>
        </w:rPr>
        <w:t>дорога</w:t>
      </w:r>
      <w:r>
        <w:rPr>
          <w:b/>
          <w:i/>
          <w:color w:val="231F20"/>
          <w:spacing w:val="-3"/>
          <w:sz w:val="20"/>
        </w:rPr>
        <w:t> </w:t>
      </w:r>
      <w:r>
        <w:rPr>
          <w:b/>
          <w:i/>
          <w:color w:val="231F20"/>
          <w:sz w:val="20"/>
        </w:rPr>
        <w:t>к</w:t>
      </w:r>
      <w:r>
        <w:rPr>
          <w:b/>
          <w:i/>
          <w:color w:val="231F20"/>
          <w:spacing w:val="-3"/>
          <w:sz w:val="20"/>
        </w:rPr>
        <w:t> </w:t>
      </w:r>
      <w:r>
        <w:rPr>
          <w:b/>
          <w:i/>
          <w:color w:val="231F20"/>
          <w:spacing w:val="-4"/>
          <w:sz w:val="20"/>
        </w:rPr>
        <w:t>миру</w:t>
      </w:r>
    </w:p>
    <w:p>
      <w:pPr>
        <w:pStyle w:val="BodyText"/>
        <w:spacing w:line="244" w:lineRule="auto" w:before="4"/>
      </w:pPr>
      <w:r>
        <w:rPr>
          <w:color w:val="231F20"/>
        </w:rPr>
        <w:t>Публикация представляет собой сборник учебных материалов и методик, ото- бранных</w:t>
      </w:r>
      <w:r>
        <w:rPr>
          <w:color w:val="231F20"/>
          <w:spacing w:val="-2"/>
        </w:rPr>
        <w:t> </w:t>
      </w:r>
      <w:r>
        <w:rPr>
          <w:color w:val="231F20"/>
        </w:rPr>
        <w:t>из</w:t>
      </w:r>
      <w:r>
        <w:rPr>
          <w:color w:val="231F20"/>
          <w:spacing w:val="-2"/>
        </w:rPr>
        <w:t> </w:t>
      </w:r>
      <w:r>
        <w:rPr>
          <w:color w:val="231F20"/>
        </w:rPr>
        <w:t>статей</w:t>
      </w:r>
      <w:r>
        <w:rPr>
          <w:color w:val="231F20"/>
          <w:spacing w:val="-2"/>
        </w:rPr>
        <w:t> </w:t>
      </w:r>
      <w:r>
        <w:rPr>
          <w:color w:val="231F20"/>
        </w:rPr>
        <w:t>и</w:t>
      </w:r>
      <w:r>
        <w:rPr>
          <w:color w:val="231F20"/>
          <w:spacing w:val="-2"/>
        </w:rPr>
        <w:t> </w:t>
      </w:r>
      <w:r>
        <w:rPr>
          <w:color w:val="231F20"/>
        </w:rPr>
        <w:t>докладов,</w:t>
      </w:r>
      <w:r>
        <w:rPr>
          <w:color w:val="231F20"/>
          <w:spacing w:val="-2"/>
        </w:rPr>
        <w:t> </w:t>
      </w:r>
      <w:r>
        <w:rPr>
          <w:color w:val="231F20"/>
        </w:rPr>
        <w:t>присланных</w:t>
      </w:r>
      <w:r>
        <w:rPr>
          <w:color w:val="231F20"/>
          <w:spacing w:val="-2"/>
        </w:rPr>
        <w:t> </w:t>
      </w:r>
      <w:r>
        <w:rPr>
          <w:color w:val="231F20"/>
        </w:rPr>
        <w:t>в</w:t>
      </w:r>
      <w:r>
        <w:rPr>
          <w:color w:val="231F20"/>
          <w:spacing w:val="-2"/>
        </w:rPr>
        <w:t> </w:t>
      </w:r>
      <w:r>
        <w:rPr>
          <w:color w:val="231F20"/>
        </w:rPr>
        <w:t>ЮНЕСКО</w:t>
      </w:r>
      <w:r>
        <w:rPr>
          <w:color w:val="231F20"/>
          <w:spacing w:val="-2"/>
        </w:rPr>
        <w:t> </w:t>
      </w:r>
      <w:r>
        <w:rPr>
          <w:color w:val="231F20"/>
        </w:rPr>
        <w:t>со</w:t>
      </w:r>
      <w:r>
        <w:rPr>
          <w:color w:val="231F20"/>
          <w:spacing w:val="-2"/>
        </w:rPr>
        <w:t> </w:t>
      </w:r>
      <w:r>
        <w:rPr>
          <w:color w:val="231F20"/>
        </w:rPr>
        <w:t>всех</w:t>
      </w:r>
      <w:r>
        <w:rPr>
          <w:color w:val="231F20"/>
          <w:spacing w:val="-2"/>
        </w:rPr>
        <w:t> </w:t>
      </w:r>
      <w:r>
        <w:rPr>
          <w:color w:val="231F20"/>
        </w:rPr>
        <w:t>концов</w:t>
      </w:r>
      <w:r>
        <w:rPr>
          <w:color w:val="231F20"/>
          <w:spacing w:val="-2"/>
        </w:rPr>
        <w:t> </w:t>
      </w:r>
      <w:r>
        <w:rPr>
          <w:color w:val="231F20"/>
        </w:rPr>
        <w:t>света</w:t>
      </w:r>
      <w:r>
        <w:rPr>
          <w:color w:val="231F20"/>
          <w:spacing w:val="-2"/>
        </w:rPr>
        <w:t> </w:t>
      </w:r>
      <w:r>
        <w:rPr>
          <w:color w:val="231F20"/>
        </w:rPr>
        <w:t>в</w:t>
      </w:r>
      <w:r>
        <w:rPr>
          <w:color w:val="231F20"/>
          <w:spacing w:val="-2"/>
        </w:rPr>
        <w:t> </w:t>
      </w:r>
      <w:r>
        <w:rPr>
          <w:color w:val="231F20"/>
        </w:rPr>
        <w:t>ответ </w:t>
      </w:r>
      <w:r>
        <w:rPr>
          <w:color w:val="231F20"/>
          <w:spacing w:val="-2"/>
        </w:rPr>
        <w:t>на приглашение, распространенное в 1995 году. Пособие призвано утвердить принци- </w:t>
      </w:r>
      <w:r>
        <w:rPr>
          <w:color w:val="231F20"/>
        </w:rPr>
        <w:t>пы</w:t>
      </w:r>
      <w:r>
        <w:rPr>
          <w:color w:val="231F20"/>
          <w:spacing w:val="-9"/>
        </w:rPr>
        <w:t> </w:t>
      </w:r>
      <w:r>
        <w:rPr>
          <w:color w:val="231F20"/>
        </w:rPr>
        <w:t>воспитания</w:t>
      </w:r>
      <w:r>
        <w:rPr>
          <w:color w:val="231F20"/>
          <w:spacing w:val="-9"/>
        </w:rPr>
        <w:t> </w:t>
      </w:r>
      <w:r>
        <w:rPr>
          <w:color w:val="231F20"/>
        </w:rPr>
        <w:t>толерантности</w:t>
      </w:r>
      <w:r>
        <w:rPr>
          <w:color w:val="231F20"/>
          <w:spacing w:val="-9"/>
        </w:rPr>
        <w:t> </w:t>
      </w:r>
      <w:r>
        <w:rPr>
          <w:color w:val="231F20"/>
        </w:rPr>
        <w:t>и</w:t>
      </w:r>
      <w:r>
        <w:rPr>
          <w:color w:val="231F20"/>
          <w:spacing w:val="-9"/>
        </w:rPr>
        <w:t> </w:t>
      </w:r>
      <w:r>
        <w:rPr>
          <w:color w:val="231F20"/>
        </w:rPr>
        <w:t>предложить</w:t>
      </w:r>
      <w:r>
        <w:rPr>
          <w:color w:val="231F20"/>
          <w:spacing w:val="-9"/>
        </w:rPr>
        <w:t> </w:t>
      </w:r>
      <w:r>
        <w:rPr>
          <w:color w:val="231F20"/>
        </w:rPr>
        <w:t>возможные</w:t>
      </w:r>
      <w:r>
        <w:rPr>
          <w:color w:val="231F20"/>
          <w:spacing w:val="-9"/>
        </w:rPr>
        <w:t> </w:t>
      </w:r>
      <w:r>
        <w:rPr>
          <w:color w:val="231F20"/>
        </w:rPr>
        <w:t>подходы</w:t>
      </w:r>
      <w:r>
        <w:rPr>
          <w:color w:val="231F20"/>
          <w:spacing w:val="-9"/>
        </w:rPr>
        <w:t> </w:t>
      </w:r>
      <w:r>
        <w:rPr>
          <w:color w:val="231F20"/>
        </w:rPr>
        <w:t>к</w:t>
      </w:r>
      <w:r>
        <w:rPr>
          <w:color w:val="231F20"/>
          <w:spacing w:val="-9"/>
        </w:rPr>
        <w:t> </w:t>
      </w:r>
      <w:r>
        <w:rPr>
          <w:color w:val="231F20"/>
        </w:rPr>
        <w:t>нему</w:t>
      </w:r>
      <w:r>
        <w:rPr>
          <w:color w:val="231F20"/>
          <w:spacing w:val="-9"/>
        </w:rPr>
        <w:t> </w:t>
      </w:r>
      <w:r>
        <w:rPr>
          <w:color w:val="231F20"/>
        </w:rPr>
        <w:t>в</w:t>
      </w:r>
      <w:r>
        <w:rPr>
          <w:color w:val="231F20"/>
          <w:spacing w:val="-9"/>
        </w:rPr>
        <w:t> </w:t>
      </w:r>
      <w:r>
        <w:rPr>
          <w:color w:val="231F20"/>
        </w:rPr>
        <w:t>начальной и средней школе.</w:t>
      </w:r>
    </w:p>
    <w:p>
      <w:pPr>
        <w:pStyle w:val="BodyText"/>
        <w:spacing w:line="244" w:lineRule="auto"/>
      </w:pPr>
      <w:r>
        <w:rPr>
          <w:color w:val="231F20"/>
        </w:rPr>
        <w:t>Следует</w:t>
      </w:r>
      <w:r>
        <w:rPr>
          <w:color w:val="231F20"/>
          <w:spacing w:val="-7"/>
        </w:rPr>
        <w:t> </w:t>
      </w:r>
      <w:r>
        <w:rPr>
          <w:color w:val="231F20"/>
        </w:rPr>
        <w:t>отметить,</w:t>
      </w:r>
      <w:r>
        <w:rPr>
          <w:color w:val="231F20"/>
          <w:spacing w:val="-7"/>
        </w:rPr>
        <w:t> </w:t>
      </w:r>
      <w:r>
        <w:rPr>
          <w:color w:val="231F20"/>
        </w:rPr>
        <w:t>что</w:t>
      </w:r>
      <w:r>
        <w:rPr>
          <w:color w:val="231F20"/>
          <w:spacing w:val="-7"/>
        </w:rPr>
        <w:t> </w:t>
      </w:r>
      <w:r>
        <w:rPr>
          <w:color w:val="231F20"/>
        </w:rPr>
        <w:t>пособие</w:t>
      </w:r>
      <w:r>
        <w:rPr>
          <w:color w:val="231F20"/>
          <w:spacing w:val="-7"/>
        </w:rPr>
        <w:t> </w:t>
      </w:r>
      <w:r>
        <w:rPr>
          <w:color w:val="231F20"/>
        </w:rPr>
        <w:t>не</w:t>
      </w:r>
      <w:r>
        <w:rPr>
          <w:color w:val="231F20"/>
          <w:spacing w:val="-7"/>
        </w:rPr>
        <w:t> </w:t>
      </w:r>
      <w:r>
        <w:rPr>
          <w:color w:val="231F20"/>
        </w:rPr>
        <w:t>является</w:t>
      </w:r>
      <w:r>
        <w:rPr>
          <w:color w:val="231F20"/>
          <w:spacing w:val="-7"/>
        </w:rPr>
        <w:t> </w:t>
      </w:r>
      <w:r>
        <w:rPr>
          <w:color w:val="231F20"/>
        </w:rPr>
        <w:t>всеобъемлющим</w:t>
      </w:r>
      <w:r>
        <w:rPr>
          <w:color w:val="231F20"/>
          <w:spacing w:val="-7"/>
        </w:rPr>
        <w:t> </w:t>
      </w:r>
      <w:r>
        <w:rPr>
          <w:color w:val="231F20"/>
        </w:rPr>
        <w:t>учебным</w:t>
      </w:r>
      <w:r>
        <w:rPr>
          <w:color w:val="231F20"/>
          <w:spacing w:val="-7"/>
        </w:rPr>
        <w:t> </w:t>
      </w:r>
      <w:r>
        <w:rPr>
          <w:color w:val="231F20"/>
        </w:rPr>
        <w:t>курсом</w:t>
      </w:r>
      <w:r>
        <w:rPr>
          <w:color w:val="231F20"/>
          <w:spacing w:val="-7"/>
        </w:rPr>
        <w:t> </w:t>
      </w:r>
      <w:r>
        <w:rPr>
          <w:color w:val="231F20"/>
        </w:rPr>
        <w:t>или совершенным</w:t>
      </w:r>
      <w:r>
        <w:rPr>
          <w:color w:val="231F20"/>
          <w:spacing w:val="-3"/>
        </w:rPr>
        <w:t> </w:t>
      </w:r>
      <w:r>
        <w:rPr>
          <w:color w:val="231F20"/>
        </w:rPr>
        <w:t>руководством</w:t>
      </w:r>
      <w:r>
        <w:rPr>
          <w:color w:val="231F20"/>
          <w:spacing w:val="-3"/>
        </w:rPr>
        <w:t> </w:t>
      </w:r>
      <w:r>
        <w:rPr>
          <w:color w:val="231F20"/>
        </w:rPr>
        <w:t>для</w:t>
      </w:r>
      <w:r>
        <w:rPr>
          <w:color w:val="231F20"/>
          <w:spacing w:val="-3"/>
        </w:rPr>
        <w:t> </w:t>
      </w:r>
      <w:r>
        <w:rPr>
          <w:color w:val="231F20"/>
        </w:rPr>
        <w:t>учителей.</w:t>
      </w:r>
      <w:r>
        <w:rPr>
          <w:color w:val="231F20"/>
          <w:spacing w:val="-3"/>
        </w:rPr>
        <w:t> </w:t>
      </w:r>
      <w:r>
        <w:rPr>
          <w:color w:val="231F20"/>
        </w:rPr>
        <w:t>По</w:t>
      </w:r>
      <w:r>
        <w:rPr>
          <w:color w:val="231F20"/>
          <w:spacing w:val="-3"/>
        </w:rPr>
        <w:t> </w:t>
      </w:r>
      <w:r>
        <w:rPr>
          <w:color w:val="231F20"/>
        </w:rPr>
        <w:t>замыслу</w:t>
      </w:r>
      <w:r>
        <w:rPr>
          <w:color w:val="231F20"/>
          <w:spacing w:val="-3"/>
        </w:rPr>
        <w:t> </w:t>
      </w:r>
      <w:r>
        <w:rPr>
          <w:color w:val="231F20"/>
        </w:rPr>
        <w:t>авторов,</w:t>
      </w:r>
      <w:r>
        <w:rPr>
          <w:color w:val="231F20"/>
          <w:spacing w:val="-3"/>
        </w:rPr>
        <w:t> </w:t>
      </w:r>
      <w:r>
        <w:rPr>
          <w:color w:val="231F20"/>
        </w:rPr>
        <w:t>оно</w:t>
      </w:r>
      <w:r>
        <w:rPr>
          <w:color w:val="231F20"/>
          <w:spacing w:val="-3"/>
        </w:rPr>
        <w:t> </w:t>
      </w:r>
      <w:r>
        <w:rPr>
          <w:color w:val="231F20"/>
        </w:rPr>
        <w:t>должно</w:t>
      </w:r>
      <w:r>
        <w:rPr>
          <w:color w:val="231F20"/>
          <w:spacing w:val="-3"/>
        </w:rPr>
        <w:t> </w:t>
      </w:r>
      <w:r>
        <w:rPr>
          <w:color w:val="231F20"/>
        </w:rPr>
        <w:t>сыграть роль катализатора в работе по подбору материалов, предназначенных для анализа конкретных социальных и культурных проблем. Часть 1-я включает материалы для учителей. Часть 2-я призвана помочь учителям начальных школ и организаторам внешкольных</w:t>
      </w:r>
      <w:r>
        <w:rPr>
          <w:color w:val="231F20"/>
          <w:spacing w:val="-8"/>
        </w:rPr>
        <w:t> </w:t>
      </w:r>
      <w:r>
        <w:rPr>
          <w:color w:val="231F20"/>
        </w:rPr>
        <w:t>занятий</w:t>
      </w:r>
      <w:r>
        <w:rPr>
          <w:color w:val="231F20"/>
          <w:spacing w:val="-8"/>
        </w:rPr>
        <w:t> </w:t>
      </w:r>
      <w:r>
        <w:rPr>
          <w:color w:val="231F20"/>
        </w:rPr>
        <w:t>детей</w:t>
      </w:r>
      <w:r>
        <w:rPr>
          <w:color w:val="231F20"/>
          <w:spacing w:val="-8"/>
        </w:rPr>
        <w:t> </w:t>
      </w:r>
      <w:r>
        <w:rPr>
          <w:color w:val="231F20"/>
        </w:rPr>
        <w:t>в</w:t>
      </w:r>
      <w:r>
        <w:rPr>
          <w:color w:val="231F20"/>
          <w:spacing w:val="-8"/>
        </w:rPr>
        <w:t> </w:t>
      </w:r>
      <w:r>
        <w:rPr>
          <w:color w:val="231F20"/>
        </w:rPr>
        <w:t>возрасте</w:t>
      </w:r>
      <w:r>
        <w:rPr>
          <w:color w:val="231F20"/>
          <w:spacing w:val="-8"/>
        </w:rPr>
        <w:t> </w:t>
      </w:r>
      <w:r>
        <w:rPr>
          <w:color w:val="231F20"/>
        </w:rPr>
        <w:t>от</w:t>
      </w:r>
      <w:r>
        <w:rPr>
          <w:color w:val="231F20"/>
          <w:spacing w:val="-8"/>
        </w:rPr>
        <w:t> </w:t>
      </w:r>
      <w:r>
        <w:rPr>
          <w:color w:val="231F20"/>
        </w:rPr>
        <w:t>4–5</w:t>
      </w:r>
      <w:r>
        <w:rPr>
          <w:color w:val="231F20"/>
          <w:spacing w:val="-8"/>
        </w:rPr>
        <w:t> </w:t>
      </w:r>
      <w:r>
        <w:rPr>
          <w:color w:val="231F20"/>
        </w:rPr>
        <w:t>до</w:t>
      </w:r>
      <w:r>
        <w:rPr>
          <w:color w:val="231F20"/>
          <w:spacing w:val="-8"/>
        </w:rPr>
        <w:t> </w:t>
      </w:r>
      <w:r>
        <w:rPr>
          <w:color w:val="231F20"/>
        </w:rPr>
        <w:t>12–13</w:t>
      </w:r>
      <w:r>
        <w:rPr>
          <w:color w:val="231F20"/>
          <w:spacing w:val="-8"/>
        </w:rPr>
        <w:t> </w:t>
      </w:r>
      <w:r>
        <w:rPr>
          <w:color w:val="231F20"/>
        </w:rPr>
        <w:t>лет</w:t>
      </w:r>
      <w:r>
        <w:rPr>
          <w:color w:val="231F20"/>
          <w:spacing w:val="-8"/>
        </w:rPr>
        <w:t> </w:t>
      </w:r>
      <w:r>
        <w:rPr>
          <w:color w:val="231F20"/>
        </w:rPr>
        <w:t>начать</w:t>
      </w:r>
      <w:r>
        <w:rPr>
          <w:color w:val="231F20"/>
          <w:spacing w:val="-8"/>
        </w:rPr>
        <w:t> </w:t>
      </w:r>
      <w:r>
        <w:rPr>
          <w:color w:val="231F20"/>
        </w:rPr>
        <w:t>и</w:t>
      </w:r>
      <w:r>
        <w:rPr>
          <w:color w:val="231F20"/>
          <w:spacing w:val="-8"/>
        </w:rPr>
        <w:t> </w:t>
      </w:r>
      <w:r>
        <w:rPr>
          <w:color w:val="231F20"/>
        </w:rPr>
        <w:t>продолжить</w:t>
      </w:r>
      <w:r>
        <w:rPr>
          <w:color w:val="231F20"/>
          <w:spacing w:val="-8"/>
        </w:rPr>
        <w:t> </w:t>
      </w:r>
      <w:r>
        <w:rPr>
          <w:color w:val="231F20"/>
        </w:rPr>
        <w:t>обу- чение,</w:t>
      </w:r>
      <w:r>
        <w:rPr>
          <w:color w:val="231F20"/>
          <w:spacing w:val="-1"/>
        </w:rPr>
        <w:t> </w:t>
      </w:r>
      <w:r>
        <w:rPr>
          <w:color w:val="231F20"/>
        </w:rPr>
        <w:t>воспитывающее</w:t>
      </w:r>
      <w:r>
        <w:rPr>
          <w:color w:val="231F20"/>
          <w:spacing w:val="-1"/>
        </w:rPr>
        <w:t> </w:t>
      </w:r>
      <w:r>
        <w:rPr>
          <w:color w:val="231F20"/>
        </w:rPr>
        <w:t>в</w:t>
      </w:r>
      <w:r>
        <w:rPr>
          <w:color w:val="231F20"/>
          <w:spacing w:val="-1"/>
        </w:rPr>
        <w:t> </w:t>
      </w:r>
      <w:r>
        <w:rPr>
          <w:color w:val="231F20"/>
        </w:rPr>
        <w:t>учениках</w:t>
      </w:r>
      <w:r>
        <w:rPr>
          <w:color w:val="231F20"/>
          <w:spacing w:val="-1"/>
        </w:rPr>
        <w:t> </w:t>
      </w:r>
      <w:r>
        <w:rPr>
          <w:color w:val="231F20"/>
        </w:rPr>
        <w:t>толерантность</w:t>
      </w:r>
      <w:r>
        <w:rPr>
          <w:color w:val="231F20"/>
          <w:spacing w:val="-1"/>
        </w:rPr>
        <w:t> </w:t>
      </w:r>
      <w:r>
        <w:rPr>
          <w:color w:val="231F20"/>
        </w:rPr>
        <w:t>как</w:t>
      </w:r>
      <w:r>
        <w:rPr>
          <w:color w:val="231F20"/>
          <w:spacing w:val="-1"/>
        </w:rPr>
        <w:t> </w:t>
      </w:r>
      <w:r>
        <w:rPr>
          <w:color w:val="231F20"/>
        </w:rPr>
        <w:t>личное</w:t>
      </w:r>
      <w:r>
        <w:rPr>
          <w:color w:val="231F20"/>
          <w:spacing w:val="-1"/>
        </w:rPr>
        <w:t> </w:t>
      </w:r>
      <w:r>
        <w:rPr>
          <w:color w:val="231F20"/>
        </w:rPr>
        <w:t>качество,</w:t>
      </w:r>
      <w:r>
        <w:rPr>
          <w:color w:val="231F20"/>
          <w:spacing w:val="-1"/>
        </w:rPr>
        <w:t> </w:t>
      </w:r>
      <w:r>
        <w:rPr>
          <w:color w:val="231F20"/>
        </w:rPr>
        <w:t>практику</w:t>
      </w:r>
      <w:r>
        <w:rPr>
          <w:color w:val="231F20"/>
          <w:spacing w:val="-1"/>
        </w:rPr>
        <w:t> </w:t>
      </w:r>
      <w:r>
        <w:rPr>
          <w:color w:val="231F20"/>
        </w:rPr>
        <w:t>по- ведения и социальную обязанность. Часть 3-я предназначена для учителей средней школы</w:t>
      </w:r>
      <w:r>
        <w:rPr>
          <w:color w:val="231F20"/>
          <w:spacing w:val="-6"/>
        </w:rPr>
        <w:t> </w:t>
      </w:r>
      <w:r>
        <w:rPr>
          <w:color w:val="231F20"/>
        </w:rPr>
        <w:t>и</w:t>
      </w:r>
      <w:r>
        <w:rPr>
          <w:color w:val="231F20"/>
          <w:spacing w:val="-6"/>
        </w:rPr>
        <w:t> </w:t>
      </w:r>
      <w:r>
        <w:rPr>
          <w:color w:val="231F20"/>
        </w:rPr>
        <w:t>тех</w:t>
      </w:r>
      <w:r>
        <w:rPr>
          <w:color w:val="231F20"/>
          <w:spacing w:val="-6"/>
        </w:rPr>
        <w:t> </w:t>
      </w:r>
      <w:r>
        <w:rPr>
          <w:color w:val="231F20"/>
        </w:rPr>
        <w:t>работников</w:t>
      </w:r>
      <w:r>
        <w:rPr>
          <w:color w:val="231F20"/>
          <w:spacing w:val="-6"/>
        </w:rPr>
        <w:t> </w:t>
      </w:r>
      <w:r>
        <w:rPr>
          <w:color w:val="231F20"/>
        </w:rPr>
        <w:t>внешкольного</w:t>
      </w:r>
      <w:r>
        <w:rPr>
          <w:color w:val="231F20"/>
          <w:spacing w:val="-6"/>
        </w:rPr>
        <w:t> </w:t>
      </w:r>
      <w:r>
        <w:rPr>
          <w:color w:val="231F20"/>
        </w:rPr>
        <w:t>образования,</w:t>
      </w:r>
      <w:r>
        <w:rPr>
          <w:color w:val="231F20"/>
          <w:spacing w:val="-6"/>
        </w:rPr>
        <w:t> </w:t>
      </w:r>
      <w:r>
        <w:rPr>
          <w:color w:val="231F20"/>
        </w:rPr>
        <w:t>которые</w:t>
      </w:r>
      <w:r>
        <w:rPr>
          <w:color w:val="231F20"/>
          <w:spacing w:val="-6"/>
        </w:rPr>
        <w:t> </w:t>
      </w:r>
      <w:r>
        <w:rPr>
          <w:color w:val="231F20"/>
        </w:rPr>
        <w:t>создают</w:t>
      </w:r>
      <w:r>
        <w:rPr>
          <w:color w:val="231F20"/>
          <w:spacing w:val="-6"/>
        </w:rPr>
        <w:t> </w:t>
      </w:r>
      <w:r>
        <w:rPr>
          <w:color w:val="231F20"/>
        </w:rPr>
        <w:t>образователь- ные программы для детей и молодежи от 13 до18 лет.</w:t>
      </w:r>
    </w:p>
    <w:p>
      <w:pPr>
        <w:pStyle w:val="BodyText"/>
        <w:spacing w:line="244" w:lineRule="auto"/>
      </w:pPr>
      <w:r>
        <w:rPr>
          <w:color w:val="231F20"/>
        </w:rPr>
        <w:t>Материалы пособия есть в открытом доступе по ссылке </w:t>
      </w:r>
      <w:hyperlink r:id="rId104">
        <w:r>
          <w:rPr>
            <w:color w:val="2255A6"/>
            <w:u w:val="single" w:color="2255A6"/>
          </w:rPr>
          <w:t>https://disk.yandex.ru/i/</w:t>
        </w:r>
      </w:hyperlink>
      <w:r>
        <w:rPr>
          <w:color w:val="2255A6"/>
        </w:rPr>
        <w:t> </w:t>
      </w:r>
      <w:hyperlink r:id="rId104">
        <w:r>
          <w:rPr>
            <w:color w:val="2255A6"/>
            <w:spacing w:val="-2"/>
            <w:u w:val="single" w:color="2255A6"/>
          </w:rPr>
          <w:t>uQxI5LJ-10J6fA</w:t>
        </w:r>
      </w:hyperlink>
      <w:r>
        <w:rPr>
          <w:color w:val="231F20"/>
          <w:spacing w:val="-2"/>
        </w:rPr>
        <w:t>.</w:t>
      </w:r>
    </w:p>
    <w:p>
      <w:pPr>
        <w:pStyle w:val="BodyText"/>
        <w:spacing w:line="244" w:lineRule="auto" w:before="151"/>
      </w:pPr>
      <w:r>
        <w:rPr>
          <w:color w:val="231F20"/>
        </w:rPr>
        <w:t>В</w:t>
      </w:r>
      <w:r>
        <w:rPr>
          <w:color w:val="231F20"/>
          <w:spacing w:val="-9"/>
        </w:rPr>
        <w:t> </w:t>
      </w:r>
      <w:r>
        <w:rPr>
          <w:color w:val="231F20"/>
        </w:rPr>
        <w:t>завершение</w:t>
      </w:r>
      <w:r>
        <w:rPr>
          <w:color w:val="231F20"/>
          <w:spacing w:val="-9"/>
        </w:rPr>
        <w:t> </w:t>
      </w:r>
      <w:r>
        <w:rPr>
          <w:color w:val="231F20"/>
        </w:rPr>
        <w:t>обзора</w:t>
      </w:r>
      <w:r>
        <w:rPr>
          <w:color w:val="231F20"/>
          <w:spacing w:val="-9"/>
        </w:rPr>
        <w:t> </w:t>
      </w:r>
      <w:r>
        <w:rPr>
          <w:color w:val="231F20"/>
        </w:rPr>
        <w:t>обратим</w:t>
      </w:r>
      <w:r>
        <w:rPr>
          <w:color w:val="231F20"/>
          <w:spacing w:val="-9"/>
        </w:rPr>
        <w:t> </w:t>
      </w:r>
      <w:r>
        <w:rPr>
          <w:color w:val="231F20"/>
        </w:rPr>
        <w:t>внимание</w:t>
      </w:r>
      <w:r>
        <w:rPr>
          <w:color w:val="231F20"/>
          <w:spacing w:val="-9"/>
        </w:rPr>
        <w:t> </w:t>
      </w:r>
      <w:r>
        <w:rPr>
          <w:color w:val="231F20"/>
        </w:rPr>
        <w:t>на</w:t>
      </w:r>
      <w:r>
        <w:rPr>
          <w:color w:val="231F20"/>
          <w:spacing w:val="-9"/>
        </w:rPr>
        <w:t> </w:t>
      </w:r>
      <w:r>
        <w:rPr>
          <w:color w:val="231F20"/>
        </w:rPr>
        <w:t>несколько</w:t>
      </w:r>
      <w:r>
        <w:rPr>
          <w:color w:val="231F20"/>
          <w:spacing w:val="-9"/>
        </w:rPr>
        <w:t> </w:t>
      </w:r>
      <w:r>
        <w:rPr>
          <w:color w:val="231F20"/>
        </w:rPr>
        <w:t>публикаций,</w:t>
      </w:r>
      <w:r>
        <w:rPr>
          <w:color w:val="231F20"/>
          <w:spacing w:val="-9"/>
        </w:rPr>
        <w:t> </w:t>
      </w:r>
      <w:r>
        <w:rPr>
          <w:color w:val="231F20"/>
        </w:rPr>
        <w:t>которые</w:t>
      </w:r>
      <w:r>
        <w:rPr>
          <w:color w:val="231F20"/>
          <w:spacing w:val="-9"/>
        </w:rPr>
        <w:t> </w:t>
      </w:r>
      <w:r>
        <w:rPr>
          <w:color w:val="231F20"/>
        </w:rPr>
        <w:t>не</w:t>
      </w:r>
      <w:r>
        <w:rPr>
          <w:color w:val="231F20"/>
          <w:spacing w:val="-9"/>
        </w:rPr>
        <w:t> </w:t>
      </w:r>
      <w:r>
        <w:rPr>
          <w:color w:val="231F20"/>
        </w:rPr>
        <w:t>яв- ляются</w:t>
      </w:r>
      <w:r>
        <w:rPr>
          <w:color w:val="231F20"/>
          <w:spacing w:val="-13"/>
        </w:rPr>
        <w:t> </w:t>
      </w:r>
      <w:r>
        <w:rPr>
          <w:color w:val="231F20"/>
        </w:rPr>
        <w:t>полномасштабными</w:t>
      </w:r>
      <w:r>
        <w:rPr>
          <w:color w:val="231F20"/>
          <w:spacing w:val="-12"/>
        </w:rPr>
        <w:t> </w:t>
      </w:r>
      <w:r>
        <w:rPr>
          <w:color w:val="231F20"/>
        </w:rPr>
        <w:t>тренинговыми</w:t>
      </w:r>
      <w:r>
        <w:rPr>
          <w:color w:val="231F20"/>
          <w:spacing w:val="-13"/>
        </w:rPr>
        <w:t> </w:t>
      </w:r>
      <w:r>
        <w:rPr>
          <w:color w:val="231F20"/>
        </w:rPr>
        <w:t>программами,</w:t>
      </w:r>
      <w:r>
        <w:rPr>
          <w:color w:val="231F20"/>
          <w:spacing w:val="-12"/>
        </w:rPr>
        <w:t> </w:t>
      </w:r>
      <w:r>
        <w:rPr>
          <w:color w:val="231F20"/>
        </w:rPr>
        <w:t>но</w:t>
      </w:r>
      <w:r>
        <w:rPr>
          <w:color w:val="231F20"/>
          <w:spacing w:val="-13"/>
        </w:rPr>
        <w:t> </w:t>
      </w:r>
      <w:r>
        <w:rPr>
          <w:color w:val="231F20"/>
        </w:rPr>
        <w:t>из</w:t>
      </w:r>
      <w:r>
        <w:rPr>
          <w:color w:val="231F20"/>
          <w:spacing w:val="-12"/>
        </w:rPr>
        <w:t> </w:t>
      </w:r>
      <w:r>
        <w:rPr>
          <w:color w:val="231F20"/>
        </w:rPr>
        <w:t>которых</w:t>
      </w:r>
      <w:r>
        <w:rPr>
          <w:color w:val="231F20"/>
          <w:spacing w:val="-13"/>
        </w:rPr>
        <w:t> </w:t>
      </w:r>
      <w:r>
        <w:rPr>
          <w:color w:val="231F20"/>
        </w:rPr>
        <w:t>педагог-пси- холог может брать материалы.</w:t>
      </w:r>
    </w:p>
    <w:p>
      <w:pPr>
        <w:pStyle w:val="BodyText"/>
        <w:spacing w:line="244" w:lineRule="auto"/>
      </w:pPr>
      <w:r>
        <w:rPr>
          <w:color w:val="231F20"/>
        </w:rPr>
        <w:t>О.Е. Хухлаев предлагает краткий тренинг психологической адаптации детей-ми- </w:t>
      </w:r>
      <w:r>
        <w:rPr>
          <w:color w:val="231F20"/>
          <w:spacing w:val="-2"/>
        </w:rPr>
        <w:t>грантов</w:t>
      </w:r>
      <w:r>
        <w:rPr>
          <w:color w:val="231F20"/>
          <w:spacing w:val="-4"/>
        </w:rPr>
        <w:t> </w:t>
      </w:r>
      <w:r>
        <w:rPr>
          <w:color w:val="231F20"/>
          <w:spacing w:val="-2"/>
        </w:rPr>
        <w:t>из</w:t>
      </w:r>
      <w:r>
        <w:rPr>
          <w:color w:val="231F20"/>
          <w:spacing w:val="-4"/>
        </w:rPr>
        <w:t> </w:t>
      </w:r>
      <w:r>
        <w:rPr>
          <w:color w:val="231F20"/>
          <w:spacing w:val="-2"/>
        </w:rPr>
        <w:t>инокультурной</w:t>
      </w:r>
      <w:r>
        <w:rPr>
          <w:color w:val="231F20"/>
          <w:spacing w:val="-4"/>
        </w:rPr>
        <w:t> </w:t>
      </w:r>
      <w:r>
        <w:rPr>
          <w:color w:val="231F20"/>
          <w:spacing w:val="-2"/>
        </w:rPr>
        <w:t>среды</w:t>
      </w:r>
      <w:r>
        <w:rPr>
          <w:color w:val="231F20"/>
          <w:spacing w:val="-4"/>
        </w:rPr>
        <w:t> </w:t>
      </w:r>
      <w:r>
        <w:rPr>
          <w:color w:val="231F20"/>
          <w:spacing w:val="-2"/>
        </w:rPr>
        <w:t>в</w:t>
      </w:r>
      <w:r>
        <w:rPr>
          <w:color w:val="231F20"/>
          <w:spacing w:val="-4"/>
        </w:rPr>
        <w:t> </w:t>
      </w:r>
      <w:r>
        <w:rPr>
          <w:color w:val="231F20"/>
          <w:spacing w:val="-2"/>
        </w:rPr>
        <w:t>начальной</w:t>
      </w:r>
      <w:r>
        <w:rPr>
          <w:color w:val="231F20"/>
          <w:spacing w:val="-4"/>
        </w:rPr>
        <w:t> </w:t>
      </w:r>
      <w:r>
        <w:rPr>
          <w:color w:val="231F20"/>
          <w:spacing w:val="-2"/>
        </w:rPr>
        <w:t>школе</w:t>
      </w:r>
      <w:r>
        <w:rPr>
          <w:color w:val="231F20"/>
          <w:spacing w:val="-4"/>
        </w:rPr>
        <w:t> </w:t>
      </w:r>
      <w:r>
        <w:rPr>
          <w:color w:val="231F20"/>
          <w:spacing w:val="-2"/>
        </w:rPr>
        <w:t>(Хухлаев,</w:t>
      </w:r>
      <w:r>
        <w:rPr>
          <w:color w:val="231F20"/>
          <w:spacing w:val="-4"/>
        </w:rPr>
        <w:t> </w:t>
      </w:r>
      <w:r>
        <w:rPr>
          <w:color w:val="231F20"/>
          <w:spacing w:val="-2"/>
        </w:rPr>
        <w:t>2005).</w:t>
      </w:r>
      <w:r>
        <w:rPr>
          <w:color w:val="231F20"/>
          <w:spacing w:val="-4"/>
        </w:rPr>
        <w:t> </w:t>
      </w:r>
      <w:r>
        <w:rPr>
          <w:spacing w:val="-2"/>
        </w:rPr>
        <w:t>Представленные </w:t>
      </w:r>
      <w:r>
        <w:rPr/>
        <w:t>в статье упражнения направлены на решение следующих задач:</w:t>
      </w:r>
    </w:p>
    <w:p>
      <w:pPr>
        <w:pStyle w:val="ListParagraph"/>
        <w:numPr>
          <w:ilvl w:val="0"/>
          <w:numId w:val="111"/>
        </w:numPr>
        <w:tabs>
          <w:tab w:pos="571" w:val="left" w:leader="none"/>
        </w:tabs>
        <w:spacing w:line="244" w:lineRule="auto" w:before="0" w:after="0"/>
        <w:ind w:left="141" w:right="139" w:firstLine="283"/>
        <w:jc w:val="both"/>
        <w:rPr>
          <w:sz w:val="20"/>
        </w:rPr>
      </w:pPr>
      <w:r>
        <w:rPr>
          <w:sz w:val="20"/>
        </w:rPr>
        <w:t>осознание</w:t>
      </w:r>
      <w:r>
        <w:rPr>
          <w:spacing w:val="-10"/>
          <w:sz w:val="20"/>
        </w:rPr>
        <w:t> </w:t>
      </w:r>
      <w:r>
        <w:rPr>
          <w:sz w:val="20"/>
        </w:rPr>
        <w:t>детьми</w:t>
      </w:r>
      <w:r>
        <w:rPr>
          <w:spacing w:val="-10"/>
          <w:sz w:val="20"/>
        </w:rPr>
        <w:t> </w:t>
      </w:r>
      <w:r>
        <w:rPr>
          <w:sz w:val="20"/>
        </w:rPr>
        <w:t>своей</w:t>
      </w:r>
      <w:r>
        <w:rPr>
          <w:spacing w:val="-10"/>
          <w:sz w:val="20"/>
        </w:rPr>
        <w:t> </w:t>
      </w:r>
      <w:r>
        <w:rPr>
          <w:sz w:val="20"/>
        </w:rPr>
        <w:t>этнической</w:t>
      </w:r>
      <w:r>
        <w:rPr>
          <w:spacing w:val="-10"/>
          <w:sz w:val="20"/>
        </w:rPr>
        <w:t> </w:t>
      </w:r>
      <w:r>
        <w:rPr>
          <w:sz w:val="20"/>
        </w:rPr>
        <w:t>уникальности</w:t>
      </w:r>
      <w:r>
        <w:rPr>
          <w:spacing w:val="-10"/>
          <w:sz w:val="20"/>
        </w:rPr>
        <w:t> </w:t>
      </w:r>
      <w:r>
        <w:rPr>
          <w:sz w:val="20"/>
        </w:rPr>
        <w:t>в</w:t>
      </w:r>
      <w:r>
        <w:rPr>
          <w:spacing w:val="-10"/>
          <w:sz w:val="20"/>
        </w:rPr>
        <w:t> </w:t>
      </w:r>
      <w:r>
        <w:rPr>
          <w:sz w:val="20"/>
        </w:rPr>
        <w:t>целостном</w:t>
      </w:r>
      <w:r>
        <w:rPr>
          <w:spacing w:val="-10"/>
          <w:sz w:val="20"/>
        </w:rPr>
        <w:t> </w:t>
      </w:r>
      <w:r>
        <w:rPr>
          <w:sz w:val="20"/>
        </w:rPr>
        <w:t>культурном</w:t>
      </w:r>
      <w:r>
        <w:rPr>
          <w:spacing w:val="-10"/>
          <w:sz w:val="20"/>
        </w:rPr>
        <w:t> </w:t>
      </w:r>
      <w:r>
        <w:rPr>
          <w:sz w:val="20"/>
        </w:rPr>
        <w:t>кон- </w:t>
      </w:r>
      <w:r>
        <w:rPr>
          <w:spacing w:val="-2"/>
          <w:sz w:val="20"/>
        </w:rPr>
        <w:t>тексте;</w:t>
      </w:r>
    </w:p>
    <w:p>
      <w:pPr>
        <w:pStyle w:val="ListParagraph"/>
        <w:numPr>
          <w:ilvl w:val="0"/>
          <w:numId w:val="111"/>
        </w:numPr>
        <w:tabs>
          <w:tab w:pos="596" w:val="left" w:leader="none"/>
        </w:tabs>
        <w:spacing w:line="244" w:lineRule="auto" w:before="0" w:after="0"/>
        <w:ind w:left="141" w:right="139" w:firstLine="283"/>
        <w:jc w:val="both"/>
        <w:rPr>
          <w:sz w:val="20"/>
        </w:rPr>
      </w:pPr>
      <w:r>
        <w:rPr>
          <w:sz w:val="20"/>
        </w:rPr>
        <w:t>развитие культурной сензитивности, чувствительности и уважения к культур- ным различиям;</w:t>
      </w:r>
    </w:p>
    <w:p>
      <w:pPr>
        <w:pStyle w:val="BodyText"/>
        <w:spacing w:before="7"/>
        <w:ind w:left="0" w:right="0" w:firstLine="0"/>
        <w:jc w:val="left"/>
        <w:rPr>
          <w:sz w:val="15"/>
        </w:rPr>
      </w:pPr>
      <w:r>
        <w:rPr>
          <w:sz w:val="15"/>
        </w:rPr>
        <mc:AlternateContent>
          <mc:Choice Requires="wps">
            <w:drawing>
              <wp:anchor distT="0" distB="0" distL="0" distR="0" allowOverlap="1" layoutInCell="1" locked="0" behindDoc="1" simplePos="0" relativeHeight="487623168">
                <wp:simplePos x="0" y="0"/>
                <wp:positionH relativeFrom="page">
                  <wp:posOffset>360000</wp:posOffset>
                </wp:positionH>
                <wp:positionV relativeFrom="paragraph">
                  <wp:posOffset>129602</wp:posOffset>
                </wp:positionV>
                <wp:extent cx="1440180" cy="1270"/>
                <wp:effectExtent l="0" t="0" r="0" b="0"/>
                <wp:wrapTopAndBottom/>
                <wp:docPr id="114" name="Graphic 114"/>
                <wp:cNvGraphicFramePr>
                  <a:graphicFrameLocks/>
                </wp:cNvGraphicFramePr>
                <a:graphic>
                  <a:graphicData uri="http://schemas.microsoft.com/office/word/2010/wordprocessingShape">
                    <wps:wsp>
                      <wps:cNvPr id="114" name="Graphic 114"/>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5pt;margin-top:10.204909pt;width:113.4pt;height:.1pt;mso-position-horizontal-relative:page;mso-position-vertical-relative:paragraph;z-index:-15693312;mso-wrap-distance-left:0;mso-wrap-distance-right:0" id="docshape71" coordorigin="567,204" coordsize="2268,0" path="m567,204l2835,204e" filled="false" stroked="true" strokeweight=".5pt" strokecolor="#231f20">
                <v:path arrowok="t"/>
                <v:stroke dashstyle="solid"/>
                <w10:wrap type="topAndBottom"/>
              </v:shape>
            </w:pict>
          </mc:Fallback>
        </mc:AlternateContent>
      </w:r>
    </w:p>
    <w:p>
      <w:pPr>
        <w:tabs>
          <w:tab w:pos="425" w:val="left" w:leader="none"/>
        </w:tabs>
        <w:spacing w:before="27"/>
        <w:ind w:left="141" w:right="0" w:firstLine="0"/>
        <w:jc w:val="left"/>
        <w:rPr>
          <w:sz w:val="18"/>
        </w:rPr>
      </w:pPr>
      <w:r>
        <w:rPr>
          <w:color w:val="231F20"/>
          <w:spacing w:val="-10"/>
          <w:sz w:val="18"/>
          <w:vertAlign w:val="superscript"/>
        </w:rPr>
        <w:t>1</w:t>
      </w:r>
      <w:r>
        <w:rPr>
          <w:color w:val="231F20"/>
          <w:sz w:val="18"/>
          <w:vertAlign w:val="baseline"/>
        </w:rPr>
        <w:tab/>
      </w:r>
      <w:hyperlink r:id="rId105">
        <w:r>
          <w:rPr>
            <w:color w:val="2255A6"/>
            <w:spacing w:val="-2"/>
            <w:sz w:val="18"/>
            <w:u w:val="single" w:color="2255A6"/>
            <w:vertAlign w:val="baseline"/>
          </w:rPr>
          <w:t>https://psyjournals.ru/spacmf_2016/issue/</w:t>
        </w:r>
      </w:hyperlink>
      <w:r>
        <w:rPr>
          <w:color w:val="231F20"/>
          <w:spacing w:val="-2"/>
          <w:sz w:val="18"/>
          <w:vertAlign w:val="baseline"/>
        </w:rPr>
        <w:t>.</w:t>
      </w:r>
    </w:p>
    <w:p>
      <w:pPr>
        <w:spacing w:after="0"/>
        <w:jc w:val="left"/>
        <w:rPr>
          <w:sz w:val="18"/>
        </w:rPr>
        <w:sectPr>
          <w:pgSz w:w="8400" w:h="11910"/>
          <w:pgMar w:header="0" w:footer="527" w:top="400" w:bottom="720" w:left="425" w:right="425"/>
        </w:sectPr>
      </w:pPr>
    </w:p>
    <w:p>
      <w:pPr>
        <w:pStyle w:val="ListParagraph"/>
        <w:numPr>
          <w:ilvl w:val="1"/>
          <w:numId w:val="112"/>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Работа</w:t>
      </w:r>
      <w:r>
        <w:rPr>
          <w:rFonts w:ascii="Georgia" w:hAnsi="Georgia"/>
          <w:color w:val="231F20"/>
          <w:spacing w:val="-3"/>
          <w:sz w:val="18"/>
        </w:rPr>
        <w:t> </w:t>
      </w:r>
      <w:r>
        <w:rPr>
          <w:rFonts w:ascii="Georgia" w:hAnsi="Georgia"/>
          <w:color w:val="231F20"/>
          <w:sz w:val="18"/>
        </w:rPr>
        <w:t>педагога-психолога</w:t>
      </w:r>
      <w:r>
        <w:rPr>
          <w:rFonts w:ascii="Georgia" w:hAnsi="Georgia"/>
          <w:color w:val="231F20"/>
          <w:spacing w:val="-2"/>
          <w:sz w:val="18"/>
        </w:rPr>
        <w:t> </w:t>
      </w:r>
      <w:r>
        <w:rPr>
          <w:rFonts w:ascii="Georgia" w:hAnsi="Georgia"/>
          <w:color w:val="231F20"/>
          <w:sz w:val="18"/>
        </w:rPr>
        <w:t>в</w:t>
      </w:r>
      <w:r>
        <w:rPr>
          <w:rFonts w:ascii="Georgia" w:hAnsi="Georgia"/>
          <w:color w:val="231F20"/>
          <w:spacing w:val="-2"/>
          <w:sz w:val="18"/>
        </w:rPr>
        <w:t> </w:t>
      </w:r>
      <w:r>
        <w:rPr>
          <w:rFonts w:ascii="Georgia" w:hAnsi="Georgia"/>
          <w:color w:val="231F20"/>
          <w:sz w:val="18"/>
        </w:rPr>
        <w:t>области</w:t>
      </w:r>
      <w:r>
        <w:rPr>
          <w:rFonts w:ascii="Georgia" w:hAnsi="Georgia"/>
          <w:color w:val="231F20"/>
          <w:spacing w:val="-2"/>
          <w:sz w:val="18"/>
        </w:rPr>
        <w:t> </w:t>
      </w:r>
      <w:r>
        <w:rPr>
          <w:rFonts w:ascii="Georgia" w:hAnsi="Georgia"/>
          <w:color w:val="231F20"/>
          <w:sz w:val="18"/>
        </w:rPr>
        <w:t>адаптации</w:t>
      </w:r>
      <w:r>
        <w:rPr>
          <w:rFonts w:ascii="Georgia" w:hAnsi="Georgia"/>
          <w:color w:val="231F20"/>
          <w:spacing w:val="-3"/>
          <w:sz w:val="18"/>
        </w:rPr>
        <w:t> </w:t>
      </w:r>
      <w:r>
        <w:rPr>
          <w:rFonts w:ascii="Georgia" w:hAnsi="Georgia"/>
          <w:color w:val="231F20"/>
          <w:sz w:val="18"/>
        </w:rPr>
        <w:t>детей</w:t>
      </w:r>
      <w:r>
        <w:rPr>
          <w:rFonts w:ascii="Georgia" w:hAnsi="Georgia"/>
          <w:color w:val="231F20"/>
          <w:spacing w:val="-2"/>
          <w:sz w:val="18"/>
        </w:rPr>
        <w:t> </w:t>
      </w:r>
      <w:r>
        <w:rPr>
          <w:rFonts w:ascii="Georgia" w:hAnsi="Georgia"/>
          <w:color w:val="231F20"/>
          <w:sz w:val="18"/>
        </w:rPr>
        <w:t>...</w:t>
      </w:r>
      <w:r>
        <w:rPr>
          <w:rFonts w:ascii="Georgia" w:hAnsi="Georgia"/>
          <w:color w:val="231F20"/>
          <w:spacing w:val="-2"/>
          <w:sz w:val="18"/>
        </w:rPr>
        <w:t> </w:t>
      </w:r>
      <w:r>
        <w:rPr>
          <w:rFonts w:ascii="Georgia" w:hAnsi="Georgia"/>
          <w:color w:val="231F20"/>
          <w:sz w:val="18"/>
        </w:rPr>
        <w:t>во</w:t>
      </w:r>
      <w:r>
        <w:rPr>
          <w:rFonts w:ascii="Georgia" w:hAnsi="Georgia"/>
          <w:color w:val="231F20"/>
          <w:spacing w:val="-2"/>
          <w:sz w:val="18"/>
        </w:rPr>
        <w:t> взаимодействии...</w:t>
      </w:r>
    </w:p>
    <w:p>
      <w:pPr>
        <w:pStyle w:val="BodyText"/>
        <w:spacing w:before="112"/>
        <w:ind w:left="425" w:right="0" w:firstLine="0"/>
      </w:pPr>
      <w:r>
        <w:rPr/>
        <w:t>–</w:t>
      </w:r>
      <w:r>
        <w:rPr>
          <w:spacing w:val="-9"/>
        </w:rPr>
        <w:t> </w:t>
      </w:r>
      <w:r>
        <w:rPr/>
        <w:t>обучение</w:t>
      </w:r>
      <w:r>
        <w:rPr>
          <w:spacing w:val="-8"/>
        </w:rPr>
        <w:t> </w:t>
      </w:r>
      <w:r>
        <w:rPr/>
        <w:t>базовым</w:t>
      </w:r>
      <w:r>
        <w:rPr>
          <w:spacing w:val="-9"/>
        </w:rPr>
        <w:t> </w:t>
      </w:r>
      <w:r>
        <w:rPr/>
        <w:t>навыкам</w:t>
      </w:r>
      <w:r>
        <w:rPr>
          <w:spacing w:val="-8"/>
        </w:rPr>
        <w:t> </w:t>
      </w:r>
      <w:r>
        <w:rPr/>
        <w:t>этнокультурной</w:t>
      </w:r>
      <w:r>
        <w:rPr>
          <w:spacing w:val="-9"/>
        </w:rPr>
        <w:t> </w:t>
      </w:r>
      <w:r>
        <w:rPr>
          <w:spacing w:val="-2"/>
        </w:rPr>
        <w:t>компетентности.</w:t>
      </w:r>
    </w:p>
    <w:p>
      <w:pPr>
        <w:pStyle w:val="BodyText"/>
        <w:spacing w:line="227" w:lineRule="exact" w:before="4"/>
        <w:ind w:left="425" w:right="0" w:firstLine="0"/>
      </w:pPr>
      <w:r>
        <w:rPr>
          <w:color w:val="231F20"/>
        </w:rPr>
        <w:t>Тренинг</w:t>
      </w:r>
      <w:r>
        <w:rPr>
          <w:color w:val="231F20"/>
          <w:spacing w:val="-8"/>
        </w:rPr>
        <w:t> </w:t>
      </w:r>
      <w:r>
        <w:rPr>
          <w:color w:val="231F20"/>
        </w:rPr>
        <w:t>представлен</w:t>
      </w:r>
      <w:r>
        <w:rPr>
          <w:color w:val="231F20"/>
          <w:spacing w:val="-5"/>
        </w:rPr>
        <w:t> </w:t>
      </w:r>
      <w:r>
        <w:rPr>
          <w:color w:val="231F20"/>
        </w:rPr>
        <w:t>в</w:t>
      </w:r>
      <w:r>
        <w:rPr>
          <w:color w:val="231F20"/>
          <w:spacing w:val="-5"/>
        </w:rPr>
        <w:t> </w:t>
      </w:r>
      <w:r>
        <w:rPr>
          <w:color w:val="231F20"/>
        </w:rPr>
        <w:t>открытом</w:t>
      </w:r>
      <w:r>
        <w:rPr>
          <w:color w:val="231F20"/>
          <w:spacing w:val="-4"/>
        </w:rPr>
        <w:t> </w:t>
      </w:r>
      <w:r>
        <w:rPr>
          <w:color w:val="231F20"/>
        </w:rPr>
        <w:t>доступе</w:t>
      </w:r>
      <w:r>
        <w:rPr>
          <w:color w:val="231F20"/>
          <w:spacing w:val="-4"/>
        </w:rPr>
        <w:t> </w:t>
      </w:r>
      <w:r>
        <w:rPr>
          <w:color w:val="231F20"/>
        </w:rPr>
        <w:t>на</w:t>
      </w:r>
      <w:r>
        <w:rPr>
          <w:color w:val="231F20"/>
          <w:spacing w:val="-4"/>
        </w:rPr>
        <w:t> </w:t>
      </w:r>
      <w:r>
        <w:rPr>
          <w:color w:val="231F20"/>
        </w:rPr>
        <w:t>портале</w:t>
      </w:r>
      <w:r>
        <w:rPr>
          <w:color w:val="231F20"/>
          <w:spacing w:val="-4"/>
        </w:rPr>
        <w:t> </w:t>
      </w:r>
      <w:r>
        <w:rPr>
          <w:color w:val="231F20"/>
        </w:rPr>
        <w:t>«Первое</w:t>
      </w:r>
      <w:r>
        <w:rPr>
          <w:color w:val="231F20"/>
          <w:spacing w:val="-4"/>
        </w:rPr>
        <w:t> </w:t>
      </w:r>
      <w:r>
        <w:rPr>
          <w:color w:val="231F20"/>
          <w:spacing w:val="-2"/>
        </w:rPr>
        <w:t>сентября»</w:t>
      </w:r>
      <w:r>
        <w:rPr>
          <w:color w:val="231F20"/>
          <w:spacing w:val="-2"/>
          <w:vertAlign w:val="superscript"/>
        </w:rPr>
        <w:t>1</w:t>
      </w:r>
      <w:r>
        <w:rPr>
          <w:color w:val="231F20"/>
          <w:spacing w:val="-2"/>
          <w:vertAlign w:val="baseline"/>
        </w:rPr>
        <w:t>.</w:t>
      </w:r>
    </w:p>
    <w:p>
      <w:pPr>
        <w:pStyle w:val="BodyText"/>
        <w:spacing w:line="235" w:lineRule="auto" w:before="1"/>
      </w:pPr>
      <w:r>
        <w:rPr>
          <w:color w:val="231F20"/>
          <w:spacing w:val="-2"/>
        </w:rPr>
        <w:t>И.Я.</w:t>
      </w:r>
      <w:r>
        <w:rPr>
          <w:color w:val="231F20"/>
          <w:spacing w:val="-5"/>
        </w:rPr>
        <w:t> </w:t>
      </w:r>
      <w:r>
        <w:rPr>
          <w:color w:val="231F20"/>
          <w:spacing w:val="-2"/>
        </w:rPr>
        <w:t>Лейбман</w:t>
      </w:r>
      <w:r>
        <w:rPr>
          <w:color w:val="231F20"/>
          <w:spacing w:val="-5"/>
        </w:rPr>
        <w:t> </w:t>
      </w:r>
      <w:r>
        <w:rPr>
          <w:color w:val="231F20"/>
          <w:spacing w:val="-2"/>
        </w:rPr>
        <w:t>и</w:t>
      </w:r>
      <w:r>
        <w:rPr>
          <w:color w:val="231F20"/>
          <w:spacing w:val="-5"/>
        </w:rPr>
        <w:t> </w:t>
      </w:r>
      <w:r>
        <w:rPr>
          <w:color w:val="231F20"/>
          <w:spacing w:val="-2"/>
        </w:rPr>
        <w:t>М.В.</w:t>
      </w:r>
      <w:r>
        <w:rPr>
          <w:color w:val="231F20"/>
          <w:spacing w:val="-5"/>
        </w:rPr>
        <w:t> </w:t>
      </w:r>
      <w:r>
        <w:rPr>
          <w:color w:val="231F20"/>
          <w:spacing w:val="-2"/>
        </w:rPr>
        <w:t>Корнилова</w:t>
      </w:r>
      <w:r>
        <w:rPr>
          <w:color w:val="231F20"/>
          <w:spacing w:val="-5"/>
        </w:rPr>
        <w:t> </w:t>
      </w:r>
      <w:r>
        <w:rPr>
          <w:color w:val="231F20"/>
          <w:spacing w:val="-2"/>
        </w:rPr>
        <w:t>(Лейбман,</w:t>
      </w:r>
      <w:r>
        <w:rPr>
          <w:color w:val="231F20"/>
          <w:spacing w:val="-5"/>
        </w:rPr>
        <w:t> </w:t>
      </w:r>
      <w:r>
        <w:rPr>
          <w:color w:val="231F20"/>
          <w:spacing w:val="-2"/>
        </w:rPr>
        <w:t>Корнилова,</w:t>
      </w:r>
      <w:r>
        <w:rPr>
          <w:color w:val="231F20"/>
          <w:spacing w:val="-5"/>
        </w:rPr>
        <w:t> </w:t>
      </w:r>
      <w:r>
        <w:rPr>
          <w:color w:val="231F20"/>
          <w:spacing w:val="-2"/>
        </w:rPr>
        <w:t>2013)</w:t>
      </w:r>
      <w:r>
        <w:rPr>
          <w:color w:val="231F20"/>
          <w:spacing w:val="-5"/>
        </w:rPr>
        <w:t> </w:t>
      </w:r>
      <w:r>
        <w:rPr>
          <w:color w:val="231F20"/>
          <w:spacing w:val="-2"/>
        </w:rPr>
        <w:t>описывают</w:t>
      </w:r>
      <w:r>
        <w:rPr>
          <w:color w:val="231F20"/>
          <w:spacing w:val="-5"/>
        </w:rPr>
        <w:t> </w:t>
      </w:r>
      <w:r>
        <w:rPr>
          <w:color w:val="231F20"/>
          <w:spacing w:val="-2"/>
        </w:rPr>
        <w:t>межкуль- </w:t>
      </w:r>
      <w:r>
        <w:rPr>
          <w:color w:val="231F20"/>
        </w:rPr>
        <w:t>турный</w:t>
      </w:r>
      <w:r>
        <w:rPr>
          <w:color w:val="231F20"/>
          <w:spacing w:val="-9"/>
        </w:rPr>
        <w:t> </w:t>
      </w:r>
      <w:r>
        <w:rPr>
          <w:color w:val="231F20"/>
        </w:rPr>
        <w:t>тренинг</w:t>
      </w:r>
      <w:r>
        <w:rPr>
          <w:color w:val="231F20"/>
          <w:spacing w:val="-9"/>
        </w:rPr>
        <w:t> </w:t>
      </w:r>
      <w:r>
        <w:rPr>
          <w:color w:val="231F20"/>
        </w:rPr>
        <w:t>и</w:t>
      </w:r>
      <w:r>
        <w:rPr>
          <w:color w:val="231F20"/>
          <w:spacing w:val="-9"/>
        </w:rPr>
        <w:t> </w:t>
      </w:r>
      <w:r>
        <w:rPr>
          <w:color w:val="231F20"/>
        </w:rPr>
        <w:t>предлагают</w:t>
      </w:r>
      <w:r>
        <w:rPr>
          <w:color w:val="231F20"/>
          <w:spacing w:val="-9"/>
        </w:rPr>
        <w:t> </w:t>
      </w:r>
      <w:r>
        <w:rPr>
          <w:color w:val="231F20"/>
        </w:rPr>
        <w:t>примеры</w:t>
      </w:r>
      <w:r>
        <w:rPr>
          <w:color w:val="231F20"/>
          <w:spacing w:val="-9"/>
        </w:rPr>
        <w:t> </w:t>
      </w:r>
      <w:r>
        <w:rPr>
          <w:color w:val="231F20"/>
        </w:rPr>
        <w:t>упражнений.</w:t>
      </w:r>
      <w:r>
        <w:rPr>
          <w:color w:val="231F20"/>
          <w:spacing w:val="-8"/>
        </w:rPr>
        <w:t> </w:t>
      </w:r>
      <w:r>
        <w:rPr>
          <w:color w:val="231F20"/>
        </w:rPr>
        <w:t>Эти</w:t>
      </w:r>
      <w:r>
        <w:rPr>
          <w:color w:val="231F20"/>
          <w:spacing w:val="-9"/>
        </w:rPr>
        <w:t> </w:t>
      </w:r>
      <w:r>
        <w:rPr>
          <w:color w:val="231F20"/>
        </w:rPr>
        <w:t>материалы</w:t>
      </w:r>
      <w:r>
        <w:rPr>
          <w:color w:val="231F20"/>
          <w:spacing w:val="-9"/>
        </w:rPr>
        <w:t> </w:t>
      </w:r>
      <w:r>
        <w:rPr>
          <w:color w:val="231F20"/>
        </w:rPr>
        <w:t>есть</w:t>
      </w:r>
      <w:r>
        <w:rPr>
          <w:color w:val="231F20"/>
          <w:spacing w:val="-9"/>
        </w:rPr>
        <w:t> </w:t>
      </w:r>
      <w:r>
        <w:rPr>
          <w:color w:val="231F20"/>
        </w:rPr>
        <w:t>в</w:t>
      </w:r>
      <w:r>
        <w:rPr>
          <w:color w:val="231F20"/>
          <w:spacing w:val="-9"/>
        </w:rPr>
        <w:t> </w:t>
      </w:r>
      <w:r>
        <w:rPr>
          <w:color w:val="231F20"/>
        </w:rPr>
        <w:t>открытом доступе на портале психологических изданий Psyjournals.ru</w:t>
      </w:r>
      <w:r>
        <w:rPr>
          <w:color w:val="231F20"/>
          <w:vertAlign w:val="superscript"/>
        </w:rPr>
        <w:t>2</w:t>
      </w:r>
      <w:r>
        <w:rPr>
          <w:color w:val="231F20"/>
          <w:vertAlign w:val="baseline"/>
        </w:rPr>
        <w:t>.</w:t>
      </w:r>
    </w:p>
    <w:p>
      <w:pPr>
        <w:pStyle w:val="BodyText"/>
      </w:pPr>
      <w:r>
        <w:rPr>
          <w:color w:val="231F20"/>
        </w:rPr>
        <w:t>В инструментарии настоящей </w:t>
      </w:r>
      <w:r>
        <w:rPr/>
        <w:t>Программы психолого-педагогического сопрово- ждения процессов обучения, социальной, языковой и культурной адаптации детей иностранных граждан также представлены задания и упражнения, которые можно использовать при проведении межкультурного тренинга в поликультурном классе.</w:t>
      </w:r>
    </w:p>
    <w:p>
      <w:pPr>
        <w:spacing w:before="102"/>
        <w:ind w:left="425" w:right="0" w:firstLine="0"/>
        <w:jc w:val="left"/>
        <w:rPr>
          <w:b/>
          <w:sz w:val="18"/>
        </w:rPr>
      </w:pPr>
      <w:r>
        <w:rPr>
          <w:b/>
          <w:color w:val="231F20"/>
          <w:spacing w:val="-2"/>
          <w:sz w:val="18"/>
        </w:rPr>
        <w:t>Литература</w:t>
      </w:r>
    </w:p>
    <w:p>
      <w:pPr>
        <w:pStyle w:val="ListParagraph"/>
        <w:numPr>
          <w:ilvl w:val="2"/>
          <w:numId w:val="112"/>
        </w:numPr>
        <w:tabs>
          <w:tab w:pos="708" w:val="left" w:leader="none"/>
        </w:tabs>
        <w:spacing w:line="240" w:lineRule="auto" w:before="1" w:after="0"/>
        <w:ind w:left="708" w:right="423" w:hanging="284"/>
        <w:jc w:val="left"/>
        <w:rPr>
          <w:color w:val="231F20"/>
          <w:sz w:val="18"/>
        </w:rPr>
      </w:pPr>
      <w:r>
        <w:rPr>
          <w:color w:val="231F20"/>
          <w:sz w:val="18"/>
        </w:rPr>
        <w:t>Гриценко В.В., Шустова Н.Е. Социально-психологическая адаптация детей из се- мей мигрантов. – М.: Форум, 2011. – 224 с.</w:t>
      </w:r>
    </w:p>
    <w:p>
      <w:pPr>
        <w:pStyle w:val="ListParagraph"/>
        <w:numPr>
          <w:ilvl w:val="2"/>
          <w:numId w:val="112"/>
        </w:numPr>
        <w:tabs>
          <w:tab w:pos="708" w:val="left" w:leader="none"/>
        </w:tabs>
        <w:spacing w:line="206" w:lineRule="exact" w:before="2" w:after="0"/>
        <w:ind w:left="708" w:right="0" w:hanging="283"/>
        <w:jc w:val="left"/>
        <w:rPr>
          <w:color w:val="231F20"/>
          <w:sz w:val="18"/>
        </w:rPr>
      </w:pPr>
      <w:r>
        <w:rPr>
          <w:color w:val="231F20"/>
          <w:spacing w:val="-2"/>
          <w:sz w:val="18"/>
        </w:rPr>
        <w:t>Жуков</w:t>
      </w:r>
      <w:r>
        <w:rPr>
          <w:color w:val="231F20"/>
          <w:sz w:val="18"/>
        </w:rPr>
        <w:t> </w:t>
      </w:r>
      <w:r>
        <w:rPr>
          <w:color w:val="231F20"/>
          <w:spacing w:val="-2"/>
          <w:sz w:val="18"/>
        </w:rPr>
        <w:t>Ю.М.</w:t>
      </w:r>
      <w:r>
        <w:rPr>
          <w:color w:val="231F20"/>
          <w:sz w:val="18"/>
        </w:rPr>
        <w:t> </w:t>
      </w:r>
      <w:r>
        <w:rPr>
          <w:color w:val="231F20"/>
          <w:spacing w:val="-2"/>
          <w:sz w:val="18"/>
        </w:rPr>
        <w:t>Коммуникативный</w:t>
      </w:r>
      <w:r>
        <w:rPr>
          <w:color w:val="231F20"/>
          <w:sz w:val="18"/>
        </w:rPr>
        <w:t> </w:t>
      </w:r>
      <w:r>
        <w:rPr>
          <w:color w:val="231F20"/>
          <w:spacing w:val="-2"/>
          <w:sz w:val="18"/>
        </w:rPr>
        <w:t>тренинг.</w:t>
      </w:r>
      <w:r>
        <w:rPr>
          <w:color w:val="231F20"/>
          <w:sz w:val="18"/>
        </w:rPr>
        <w:t> </w:t>
      </w:r>
      <w:r>
        <w:rPr>
          <w:color w:val="231F20"/>
          <w:spacing w:val="-2"/>
          <w:sz w:val="18"/>
        </w:rPr>
        <w:t>—</w:t>
      </w:r>
      <w:r>
        <w:rPr>
          <w:color w:val="231F20"/>
          <w:sz w:val="18"/>
        </w:rPr>
        <w:t> </w:t>
      </w:r>
      <w:r>
        <w:rPr>
          <w:color w:val="231F20"/>
          <w:spacing w:val="-2"/>
          <w:sz w:val="18"/>
        </w:rPr>
        <w:t>М.,</w:t>
      </w:r>
      <w:r>
        <w:rPr>
          <w:color w:val="231F20"/>
          <w:spacing w:val="1"/>
          <w:sz w:val="18"/>
        </w:rPr>
        <w:t> </w:t>
      </w:r>
      <w:r>
        <w:rPr>
          <w:color w:val="231F20"/>
          <w:spacing w:val="-2"/>
          <w:sz w:val="18"/>
        </w:rPr>
        <w:t>2003.</w:t>
      </w:r>
    </w:p>
    <w:p>
      <w:pPr>
        <w:pStyle w:val="ListParagraph"/>
        <w:numPr>
          <w:ilvl w:val="2"/>
          <w:numId w:val="112"/>
        </w:numPr>
        <w:tabs>
          <w:tab w:pos="708" w:val="left" w:leader="none"/>
        </w:tabs>
        <w:spacing w:line="240" w:lineRule="auto" w:before="0" w:after="0"/>
        <w:ind w:left="708" w:right="423" w:hanging="284"/>
        <w:jc w:val="both"/>
        <w:rPr>
          <w:color w:val="231F20"/>
          <w:sz w:val="18"/>
        </w:rPr>
      </w:pPr>
      <w:r>
        <w:rPr>
          <w:color w:val="231F20"/>
          <w:sz w:val="18"/>
        </w:rPr>
        <w:t>Искусство жить с непохожими людьми: психотехника толерантности / под ред. А.Г.</w:t>
      </w:r>
      <w:r>
        <w:rPr>
          <w:color w:val="231F20"/>
          <w:spacing w:val="-7"/>
          <w:sz w:val="18"/>
        </w:rPr>
        <w:t> </w:t>
      </w:r>
      <w:r>
        <w:rPr>
          <w:color w:val="231F20"/>
          <w:sz w:val="18"/>
        </w:rPr>
        <w:t>Асмолова, Г.У. Солдатовой, А.В. Макарчук. – М.: Московия, 2009. – 312 с. </w:t>
      </w:r>
      <w:hyperlink r:id="rId99">
        <w:r>
          <w:rPr>
            <w:color w:val="2255A6"/>
            <w:spacing w:val="-2"/>
            <w:sz w:val="18"/>
            <w:u w:val="single" w:color="2255A6"/>
          </w:rPr>
          <w:t>https://psyjournals.ru/toler_psychotech_2009/</w:t>
        </w:r>
      </w:hyperlink>
      <w:r>
        <w:rPr>
          <w:color w:val="231F20"/>
          <w:spacing w:val="-2"/>
          <w:sz w:val="18"/>
        </w:rPr>
        <w:t>.</w:t>
      </w:r>
    </w:p>
    <w:p>
      <w:pPr>
        <w:pStyle w:val="ListParagraph"/>
        <w:numPr>
          <w:ilvl w:val="2"/>
          <w:numId w:val="112"/>
        </w:numPr>
        <w:tabs>
          <w:tab w:pos="708" w:val="left" w:leader="none"/>
        </w:tabs>
        <w:spacing w:line="240" w:lineRule="auto" w:before="0" w:after="0"/>
        <w:ind w:left="708" w:right="423" w:hanging="284"/>
        <w:jc w:val="both"/>
        <w:rPr>
          <w:color w:val="231F20"/>
          <w:sz w:val="18"/>
        </w:rPr>
      </w:pPr>
      <w:r>
        <w:rPr>
          <w:color w:val="231F20"/>
          <w:sz w:val="18"/>
        </w:rPr>
        <w:t>Лебедева Н.М., Лунева О.В., Стефаненко Т.Г., Мартынова М.Ю. Межкультурный </w:t>
      </w:r>
      <w:r>
        <w:rPr>
          <w:color w:val="231F20"/>
          <w:spacing w:val="-2"/>
          <w:sz w:val="18"/>
        </w:rPr>
        <w:t>диалог</w:t>
      </w:r>
      <w:r>
        <w:rPr>
          <w:color w:val="231F20"/>
          <w:spacing w:val="-4"/>
          <w:sz w:val="18"/>
        </w:rPr>
        <w:t> </w:t>
      </w:r>
      <w:r>
        <w:rPr>
          <w:color w:val="231F20"/>
          <w:spacing w:val="-2"/>
          <w:sz w:val="18"/>
        </w:rPr>
        <w:t>Тренинг</w:t>
      </w:r>
      <w:r>
        <w:rPr>
          <w:color w:val="231F20"/>
          <w:spacing w:val="-4"/>
          <w:sz w:val="18"/>
        </w:rPr>
        <w:t> </w:t>
      </w:r>
      <w:r>
        <w:rPr>
          <w:color w:val="231F20"/>
          <w:spacing w:val="-2"/>
          <w:sz w:val="18"/>
        </w:rPr>
        <w:t>этнокультурной</w:t>
      </w:r>
      <w:r>
        <w:rPr>
          <w:color w:val="231F20"/>
          <w:spacing w:val="-4"/>
          <w:sz w:val="18"/>
        </w:rPr>
        <w:t> </w:t>
      </w:r>
      <w:r>
        <w:rPr>
          <w:color w:val="231F20"/>
          <w:spacing w:val="-2"/>
          <w:sz w:val="18"/>
        </w:rPr>
        <w:t>компетентности.</w:t>
      </w:r>
      <w:r>
        <w:rPr>
          <w:color w:val="231F20"/>
          <w:spacing w:val="-4"/>
          <w:sz w:val="18"/>
        </w:rPr>
        <w:t> </w:t>
      </w:r>
      <w:r>
        <w:rPr>
          <w:color w:val="231F20"/>
          <w:spacing w:val="-2"/>
          <w:sz w:val="18"/>
        </w:rPr>
        <w:t>—</w:t>
      </w:r>
      <w:r>
        <w:rPr>
          <w:color w:val="231F20"/>
          <w:spacing w:val="-4"/>
          <w:sz w:val="18"/>
        </w:rPr>
        <w:t> </w:t>
      </w:r>
      <w:r>
        <w:rPr>
          <w:color w:val="231F20"/>
          <w:spacing w:val="-2"/>
          <w:sz w:val="18"/>
        </w:rPr>
        <w:t>М.:</w:t>
      </w:r>
      <w:r>
        <w:rPr>
          <w:color w:val="231F20"/>
          <w:spacing w:val="-4"/>
          <w:sz w:val="18"/>
        </w:rPr>
        <w:t> </w:t>
      </w:r>
      <w:r>
        <w:rPr>
          <w:color w:val="231F20"/>
          <w:spacing w:val="-2"/>
          <w:sz w:val="18"/>
        </w:rPr>
        <w:t>Изд-во</w:t>
      </w:r>
      <w:r>
        <w:rPr>
          <w:color w:val="231F20"/>
          <w:spacing w:val="-4"/>
          <w:sz w:val="18"/>
        </w:rPr>
        <w:t> </w:t>
      </w:r>
      <w:r>
        <w:rPr>
          <w:color w:val="231F20"/>
          <w:spacing w:val="-2"/>
          <w:sz w:val="18"/>
        </w:rPr>
        <w:t>РУДН,</w:t>
      </w:r>
      <w:r>
        <w:rPr>
          <w:color w:val="231F20"/>
          <w:spacing w:val="-4"/>
          <w:sz w:val="18"/>
        </w:rPr>
        <w:t> </w:t>
      </w:r>
      <w:r>
        <w:rPr>
          <w:color w:val="231F20"/>
          <w:spacing w:val="-2"/>
          <w:sz w:val="18"/>
        </w:rPr>
        <w:t>2003.</w:t>
      </w:r>
      <w:r>
        <w:rPr>
          <w:color w:val="231F20"/>
          <w:spacing w:val="-4"/>
          <w:sz w:val="18"/>
        </w:rPr>
        <w:t> </w:t>
      </w:r>
      <w:r>
        <w:rPr>
          <w:color w:val="231F20"/>
          <w:spacing w:val="-2"/>
          <w:sz w:val="18"/>
        </w:rPr>
        <w:t>–</w:t>
      </w:r>
      <w:r>
        <w:rPr>
          <w:color w:val="231F20"/>
          <w:spacing w:val="-4"/>
          <w:sz w:val="18"/>
        </w:rPr>
        <w:t> </w:t>
      </w:r>
      <w:r>
        <w:rPr>
          <w:color w:val="231F20"/>
          <w:spacing w:val="-2"/>
          <w:sz w:val="18"/>
        </w:rPr>
        <w:t>268</w:t>
      </w:r>
      <w:r>
        <w:rPr>
          <w:color w:val="231F20"/>
          <w:spacing w:val="-4"/>
          <w:sz w:val="18"/>
        </w:rPr>
        <w:t> </w:t>
      </w:r>
      <w:r>
        <w:rPr>
          <w:color w:val="231F20"/>
          <w:spacing w:val="-2"/>
          <w:sz w:val="18"/>
        </w:rPr>
        <w:t>с.</w:t>
      </w:r>
    </w:p>
    <w:p>
      <w:pPr>
        <w:pStyle w:val="ListParagraph"/>
        <w:numPr>
          <w:ilvl w:val="2"/>
          <w:numId w:val="112"/>
        </w:numPr>
        <w:tabs>
          <w:tab w:pos="708" w:val="left" w:leader="none"/>
        </w:tabs>
        <w:spacing w:line="240" w:lineRule="auto" w:before="0" w:after="0"/>
        <w:ind w:left="708" w:right="422" w:hanging="284"/>
        <w:jc w:val="both"/>
        <w:rPr>
          <w:color w:val="231F20"/>
          <w:sz w:val="18"/>
        </w:rPr>
      </w:pPr>
      <w:r>
        <w:rPr>
          <w:color w:val="231F20"/>
          <w:spacing w:val="-6"/>
          <w:sz w:val="18"/>
        </w:rPr>
        <w:t>Лебедева</w:t>
      </w:r>
      <w:r>
        <w:rPr>
          <w:color w:val="231F20"/>
          <w:spacing w:val="-2"/>
          <w:sz w:val="18"/>
        </w:rPr>
        <w:t> </w:t>
      </w:r>
      <w:r>
        <w:rPr>
          <w:color w:val="231F20"/>
          <w:spacing w:val="-6"/>
          <w:sz w:val="18"/>
        </w:rPr>
        <w:t>Н.М.,</w:t>
      </w:r>
      <w:r>
        <w:rPr>
          <w:color w:val="231F20"/>
          <w:spacing w:val="-2"/>
          <w:sz w:val="18"/>
        </w:rPr>
        <w:t> </w:t>
      </w:r>
      <w:r>
        <w:rPr>
          <w:color w:val="231F20"/>
          <w:spacing w:val="-6"/>
          <w:sz w:val="18"/>
        </w:rPr>
        <w:t>Стефаненко</w:t>
      </w:r>
      <w:r>
        <w:rPr>
          <w:color w:val="231F20"/>
          <w:spacing w:val="-2"/>
          <w:sz w:val="18"/>
        </w:rPr>
        <w:t> </w:t>
      </w:r>
      <w:r>
        <w:rPr>
          <w:color w:val="231F20"/>
          <w:spacing w:val="-6"/>
          <w:sz w:val="18"/>
        </w:rPr>
        <w:t>Т.Г.,</w:t>
      </w:r>
      <w:r>
        <w:rPr>
          <w:color w:val="231F20"/>
          <w:spacing w:val="-2"/>
          <w:sz w:val="18"/>
        </w:rPr>
        <w:t> </w:t>
      </w:r>
      <w:r>
        <w:rPr>
          <w:color w:val="231F20"/>
          <w:spacing w:val="-6"/>
          <w:sz w:val="18"/>
        </w:rPr>
        <w:t>Лунева</w:t>
      </w:r>
      <w:r>
        <w:rPr>
          <w:color w:val="231F20"/>
          <w:spacing w:val="-2"/>
          <w:sz w:val="18"/>
        </w:rPr>
        <w:t> </w:t>
      </w:r>
      <w:r>
        <w:rPr>
          <w:color w:val="231F20"/>
          <w:spacing w:val="-6"/>
          <w:sz w:val="18"/>
        </w:rPr>
        <w:t>О.В.</w:t>
      </w:r>
      <w:r>
        <w:rPr>
          <w:color w:val="231F20"/>
          <w:spacing w:val="-2"/>
          <w:sz w:val="18"/>
        </w:rPr>
        <w:t> </w:t>
      </w:r>
      <w:r>
        <w:rPr>
          <w:color w:val="231F20"/>
          <w:spacing w:val="-6"/>
          <w:sz w:val="18"/>
        </w:rPr>
        <w:t>Межкультурный</w:t>
      </w:r>
      <w:r>
        <w:rPr>
          <w:color w:val="231F20"/>
          <w:spacing w:val="-2"/>
          <w:sz w:val="18"/>
        </w:rPr>
        <w:t> </w:t>
      </w:r>
      <w:r>
        <w:rPr>
          <w:color w:val="231F20"/>
          <w:spacing w:val="-6"/>
          <w:sz w:val="18"/>
        </w:rPr>
        <w:t>диалог</w:t>
      </w:r>
      <w:r>
        <w:rPr>
          <w:color w:val="231F20"/>
          <w:spacing w:val="-2"/>
          <w:sz w:val="18"/>
        </w:rPr>
        <w:t> </w:t>
      </w:r>
      <w:r>
        <w:rPr>
          <w:color w:val="231F20"/>
          <w:spacing w:val="-6"/>
          <w:sz w:val="18"/>
        </w:rPr>
        <w:t>в</w:t>
      </w:r>
      <w:r>
        <w:rPr>
          <w:color w:val="231F20"/>
          <w:spacing w:val="-2"/>
          <w:sz w:val="18"/>
        </w:rPr>
        <w:t> </w:t>
      </w:r>
      <w:r>
        <w:rPr>
          <w:color w:val="231F20"/>
          <w:spacing w:val="-6"/>
          <w:sz w:val="18"/>
        </w:rPr>
        <w:t>школе.</w:t>
      </w:r>
      <w:r>
        <w:rPr>
          <w:color w:val="231F20"/>
          <w:spacing w:val="-2"/>
          <w:sz w:val="18"/>
        </w:rPr>
        <w:t> </w:t>
      </w:r>
      <w:r>
        <w:rPr>
          <w:color w:val="231F20"/>
          <w:spacing w:val="-6"/>
          <w:sz w:val="18"/>
        </w:rPr>
        <w:t>Книга</w:t>
      </w:r>
      <w:r>
        <w:rPr>
          <w:color w:val="231F20"/>
          <w:spacing w:val="-2"/>
          <w:sz w:val="18"/>
        </w:rPr>
        <w:t> </w:t>
      </w:r>
      <w:r>
        <w:rPr>
          <w:color w:val="231F20"/>
          <w:spacing w:val="-6"/>
          <w:sz w:val="18"/>
        </w:rPr>
        <w:t>1:</w:t>
      </w:r>
      <w:r>
        <w:rPr>
          <w:color w:val="231F20"/>
          <w:sz w:val="18"/>
        </w:rPr>
        <w:t> Теория и методология. Книга 2: Программа тренинга. – М.: Изд-во РУДН, 2004. – 195 с., 213 с.</w:t>
      </w:r>
    </w:p>
    <w:p>
      <w:pPr>
        <w:pStyle w:val="ListParagraph"/>
        <w:numPr>
          <w:ilvl w:val="2"/>
          <w:numId w:val="112"/>
        </w:numPr>
        <w:tabs>
          <w:tab w:pos="708" w:val="left" w:leader="none"/>
        </w:tabs>
        <w:spacing w:line="240" w:lineRule="auto" w:before="0" w:after="0"/>
        <w:ind w:left="708" w:right="423" w:hanging="284"/>
        <w:jc w:val="both"/>
        <w:rPr>
          <w:color w:val="231F20"/>
          <w:sz w:val="18"/>
        </w:rPr>
      </w:pPr>
      <w:r>
        <w:rPr>
          <w:color w:val="231F20"/>
          <w:sz w:val="18"/>
        </w:rPr>
        <w:t>Лейбман И.Я., Корнилова М.В. Межкультурный тренинг: общая характеристика и примеры</w:t>
      </w:r>
      <w:r>
        <w:rPr>
          <w:color w:val="231F20"/>
          <w:spacing w:val="-2"/>
          <w:sz w:val="18"/>
        </w:rPr>
        <w:t> </w:t>
      </w:r>
      <w:r>
        <w:rPr>
          <w:color w:val="231F20"/>
          <w:sz w:val="18"/>
        </w:rPr>
        <w:t>упражнений</w:t>
      </w:r>
      <w:r>
        <w:rPr>
          <w:color w:val="231F20"/>
          <w:spacing w:val="-2"/>
          <w:sz w:val="18"/>
        </w:rPr>
        <w:t> </w:t>
      </w:r>
      <w:r>
        <w:rPr>
          <w:color w:val="231F20"/>
          <w:sz w:val="18"/>
        </w:rPr>
        <w:t>//</w:t>
      </w:r>
      <w:r>
        <w:rPr>
          <w:color w:val="231F20"/>
          <w:spacing w:val="-2"/>
          <w:sz w:val="18"/>
        </w:rPr>
        <w:t> </w:t>
      </w:r>
      <w:r>
        <w:rPr>
          <w:color w:val="231F20"/>
          <w:sz w:val="18"/>
        </w:rPr>
        <w:t>Технологии</w:t>
      </w:r>
      <w:r>
        <w:rPr>
          <w:color w:val="231F20"/>
          <w:spacing w:val="-2"/>
          <w:sz w:val="18"/>
        </w:rPr>
        <w:t> </w:t>
      </w:r>
      <w:r>
        <w:rPr>
          <w:color w:val="231F20"/>
          <w:sz w:val="18"/>
        </w:rPr>
        <w:t>психологического</w:t>
      </w:r>
      <w:r>
        <w:rPr>
          <w:color w:val="231F20"/>
          <w:spacing w:val="-2"/>
          <w:sz w:val="18"/>
        </w:rPr>
        <w:t> </w:t>
      </w:r>
      <w:r>
        <w:rPr>
          <w:color w:val="231F20"/>
          <w:sz w:val="18"/>
        </w:rPr>
        <w:t>сопровождения</w:t>
      </w:r>
      <w:r>
        <w:rPr>
          <w:color w:val="231F20"/>
          <w:spacing w:val="-2"/>
          <w:sz w:val="18"/>
        </w:rPr>
        <w:t> </w:t>
      </w:r>
      <w:r>
        <w:rPr>
          <w:color w:val="231F20"/>
          <w:sz w:val="18"/>
        </w:rPr>
        <w:t>интеграции мигрантов в образовательной среде: учеб.-метод. пособие. – М., 2013. – С. 84–131.</w:t>
      </w:r>
    </w:p>
    <w:p>
      <w:pPr>
        <w:pStyle w:val="ListParagraph"/>
        <w:numPr>
          <w:ilvl w:val="2"/>
          <w:numId w:val="112"/>
        </w:numPr>
        <w:tabs>
          <w:tab w:pos="708" w:val="left" w:leader="none"/>
        </w:tabs>
        <w:spacing w:line="240" w:lineRule="auto" w:before="0" w:after="0"/>
        <w:ind w:left="708" w:right="424" w:hanging="284"/>
        <w:jc w:val="both"/>
        <w:rPr>
          <w:color w:val="231F20"/>
          <w:sz w:val="18"/>
        </w:rPr>
      </w:pPr>
      <w:r>
        <w:rPr>
          <w:color w:val="231F20"/>
          <w:sz w:val="18"/>
        </w:rPr>
        <w:t>Солдатова</w:t>
      </w:r>
      <w:r>
        <w:rPr>
          <w:color w:val="231F20"/>
          <w:spacing w:val="-9"/>
          <w:sz w:val="18"/>
        </w:rPr>
        <w:t> </w:t>
      </w:r>
      <w:r>
        <w:rPr>
          <w:color w:val="231F20"/>
          <w:sz w:val="18"/>
        </w:rPr>
        <w:t>Г.,</w:t>
      </w:r>
      <w:r>
        <w:rPr>
          <w:color w:val="231F20"/>
          <w:spacing w:val="-9"/>
          <w:sz w:val="18"/>
        </w:rPr>
        <w:t> </w:t>
      </w:r>
      <w:r>
        <w:rPr>
          <w:color w:val="231F20"/>
          <w:sz w:val="18"/>
        </w:rPr>
        <w:t>Шайгерова</w:t>
      </w:r>
      <w:r>
        <w:rPr>
          <w:color w:val="231F20"/>
          <w:spacing w:val="-9"/>
          <w:sz w:val="18"/>
        </w:rPr>
        <w:t> </w:t>
      </w:r>
      <w:r>
        <w:rPr>
          <w:color w:val="231F20"/>
          <w:sz w:val="18"/>
        </w:rPr>
        <w:t>Л.,</w:t>
      </w:r>
      <w:r>
        <w:rPr>
          <w:color w:val="231F20"/>
          <w:spacing w:val="-9"/>
          <w:sz w:val="18"/>
        </w:rPr>
        <w:t> </w:t>
      </w:r>
      <w:r>
        <w:rPr>
          <w:color w:val="231F20"/>
          <w:sz w:val="18"/>
        </w:rPr>
        <w:t>Шарова</w:t>
      </w:r>
      <w:r>
        <w:rPr>
          <w:color w:val="231F20"/>
          <w:spacing w:val="-9"/>
          <w:sz w:val="18"/>
        </w:rPr>
        <w:t> </w:t>
      </w:r>
      <w:r>
        <w:rPr>
          <w:color w:val="231F20"/>
          <w:sz w:val="18"/>
        </w:rPr>
        <w:t>О.</w:t>
      </w:r>
      <w:r>
        <w:rPr>
          <w:color w:val="231F20"/>
          <w:spacing w:val="-9"/>
          <w:sz w:val="18"/>
        </w:rPr>
        <w:t> </w:t>
      </w:r>
      <w:r>
        <w:rPr>
          <w:color w:val="231F20"/>
          <w:sz w:val="18"/>
        </w:rPr>
        <w:t>Жить</w:t>
      </w:r>
      <w:r>
        <w:rPr>
          <w:color w:val="231F20"/>
          <w:spacing w:val="-9"/>
          <w:sz w:val="18"/>
        </w:rPr>
        <w:t> </w:t>
      </w:r>
      <w:r>
        <w:rPr>
          <w:color w:val="231F20"/>
          <w:sz w:val="18"/>
        </w:rPr>
        <w:t>в</w:t>
      </w:r>
      <w:r>
        <w:rPr>
          <w:color w:val="231F20"/>
          <w:spacing w:val="-9"/>
          <w:sz w:val="18"/>
        </w:rPr>
        <w:t> </w:t>
      </w:r>
      <w:r>
        <w:rPr>
          <w:color w:val="231F20"/>
          <w:sz w:val="18"/>
        </w:rPr>
        <w:t>мире</w:t>
      </w:r>
      <w:r>
        <w:rPr>
          <w:color w:val="231F20"/>
          <w:spacing w:val="-9"/>
          <w:sz w:val="18"/>
        </w:rPr>
        <w:t> </w:t>
      </w:r>
      <w:r>
        <w:rPr>
          <w:color w:val="231F20"/>
          <w:sz w:val="18"/>
        </w:rPr>
        <w:t>с</w:t>
      </w:r>
      <w:r>
        <w:rPr>
          <w:color w:val="231F20"/>
          <w:spacing w:val="-9"/>
          <w:sz w:val="18"/>
        </w:rPr>
        <w:t> </w:t>
      </w:r>
      <w:r>
        <w:rPr>
          <w:color w:val="231F20"/>
          <w:sz w:val="18"/>
        </w:rPr>
        <w:t>собой</w:t>
      </w:r>
      <w:r>
        <w:rPr>
          <w:color w:val="231F20"/>
          <w:spacing w:val="-9"/>
          <w:sz w:val="18"/>
        </w:rPr>
        <w:t> </w:t>
      </w:r>
      <w:r>
        <w:rPr>
          <w:color w:val="231F20"/>
          <w:sz w:val="18"/>
        </w:rPr>
        <w:t>и</w:t>
      </w:r>
      <w:r>
        <w:rPr>
          <w:color w:val="231F20"/>
          <w:spacing w:val="-9"/>
          <w:sz w:val="18"/>
        </w:rPr>
        <w:t> </w:t>
      </w:r>
      <w:r>
        <w:rPr>
          <w:color w:val="231F20"/>
          <w:sz w:val="18"/>
        </w:rPr>
        <w:t>с</w:t>
      </w:r>
      <w:r>
        <w:rPr>
          <w:color w:val="231F20"/>
          <w:spacing w:val="-9"/>
          <w:sz w:val="18"/>
        </w:rPr>
        <w:t> </w:t>
      </w:r>
      <w:r>
        <w:rPr>
          <w:color w:val="231F20"/>
          <w:sz w:val="18"/>
        </w:rPr>
        <w:t>другими</w:t>
      </w:r>
      <w:r>
        <w:rPr>
          <w:color w:val="231F20"/>
          <w:spacing w:val="-9"/>
          <w:sz w:val="18"/>
        </w:rPr>
        <w:t> </w:t>
      </w:r>
      <w:r>
        <w:rPr>
          <w:color w:val="231F20"/>
          <w:sz w:val="18"/>
        </w:rPr>
        <w:t>//</w:t>
      </w:r>
      <w:r>
        <w:rPr>
          <w:color w:val="231F20"/>
          <w:spacing w:val="-9"/>
          <w:sz w:val="18"/>
        </w:rPr>
        <w:t> </w:t>
      </w:r>
      <w:r>
        <w:rPr>
          <w:color w:val="231F20"/>
          <w:sz w:val="18"/>
        </w:rPr>
        <w:t>Тренинг толерантности для подростков. – М.: Генезис, 2001. – 112 с.</w:t>
      </w:r>
    </w:p>
    <w:p>
      <w:pPr>
        <w:pStyle w:val="ListParagraph"/>
        <w:numPr>
          <w:ilvl w:val="2"/>
          <w:numId w:val="112"/>
        </w:numPr>
        <w:tabs>
          <w:tab w:pos="708" w:val="left" w:leader="none"/>
        </w:tabs>
        <w:spacing w:line="240" w:lineRule="auto" w:before="0" w:after="0"/>
        <w:ind w:left="708" w:right="423" w:hanging="284"/>
        <w:jc w:val="both"/>
        <w:rPr>
          <w:color w:val="231F20"/>
          <w:sz w:val="18"/>
        </w:rPr>
      </w:pPr>
      <w:r>
        <w:rPr>
          <w:color w:val="231F20"/>
          <w:sz w:val="18"/>
        </w:rPr>
        <w:t>Солдатова</w:t>
      </w:r>
      <w:r>
        <w:rPr>
          <w:color w:val="231F20"/>
          <w:spacing w:val="-3"/>
          <w:sz w:val="18"/>
        </w:rPr>
        <w:t> </w:t>
      </w:r>
      <w:r>
        <w:rPr>
          <w:color w:val="231F20"/>
          <w:sz w:val="18"/>
        </w:rPr>
        <w:t>Г.У.,</w:t>
      </w:r>
      <w:r>
        <w:rPr>
          <w:color w:val="231F20"/>
          <w:spacing w:val="-3"/>
          <w:sz w:val="18"/>
        </w:rPr>
        <w:t> </w:t>
      </w:r>
      <w:r>
        <w:rPr>
          <w:color w:val="231F20"/>
          <w:sz w:val="18"/>
        </w:rPr>
        <w:t>Шайгерова</w:t>
      </w:r>
      <w:r>
        <w:rPr>
          <w:color w:val="231F20"/>
          <w:spacing w:val="-3"/>
          <w:sz w:val="18"/>
        </w:rPr>
        <w:t> </w:t>
      </w:r>
      <w:r>
        <w:rPr>
          <w:color w:val="231F20"/>
          <w:sz w:val="18"/>
        </w:rPr>
        <w:t>Л.А.,</w:t>
      </w:r>
      <w:r>
        <w:rPr>
          <w:color w:val="231F20"/>
          <w:spacing w:val="-3"/>
          <w:sz w:val="18"/>
        </w:rPr>
        <w:t> </w:t>
      </w:r>
      <w:r>
        <w:rPr>
          <w:color w:val="231F20"/>
          <w:sz w:val="18"/>
        </w:rPr>
        <w:t>Макарчук</w:t>
      </w:r>
      <w:r>
        <w:rPr>
          <w:color w:val="231F20"/>
          <w:spacing w:val="-3"/>
          <w:sz w:val="18"/>
        </w:rPr>
        <w:t> </w:t>
      </w:r>
      <w:r>
        <w:rPr>
          <w:color w:val="231F20"/>
          <w:sz w:val="18"/>
        </w:rPr>
        <w:t>А.В.</w:t>
      </w:r>
      <w:r>
        <w:rPr>
          <w:color w:val="231F20"/>
          <w:spacing w:val="-3"/>
          <w:sz w:val="18"/>
        </w:rPr>
        <w:t> </w:t>
      </w:r>
      <w:r>
        <w:rPr>
          <w:color w:val="231F20"/>
          <w:sz w:val="18"/>
        </w:rPr>
        <w:t>Тренинг</w:t>
      </w:r>
      <w:r>
        <w:rPr>
          <w:color w:val="231F20"/>
          <w:spacing w:val="-3"/>
          <w:sz w:val="18"/>
        </w:rPr>
        <w:t> </w:t>
      </w:r>
      <w:r>
        <w:rPr>
          <w:color w:val="231F20"/>
          <w:sz w:val="18"/>
        </w:rPr>
        <w:t>повышения</w:t>
      </w:r>
      <w:r>
        <w:rPr>
          <w:color w:val="231F20"/>
          <w:spacing w:val="-3"/>
          <w:sz w:val="18"/>
        </w:rPr>
        <w:t> </w:t>
      </w:r>
      <w:r>
        <w:rPr>
          <w:color w:val="231F20"/>
          <w:sz w:val="18"/>
        </w:rPr>
        <w:t>межкультур- ной компетентности. – М.: НПЦ Гратис, 2005. – 155 с.</w:t>
      </w:r>
    </w:p>
    <w:p>
      <w:pPr>
        <w:pStyle w:val="ListParagraph"/>
        <w:numPr>
          <w:ilvl w:val="2"/>
          <w:numId w:val="112"/>
        </w:numPr>
        <w:tabs>
          <w:tab w:pos="708" w:val="left" w:leader="none"/>
        </w:tabs>
        <w:spacing w:line="240" w:lineRule="auto" w:before="0" w:after="0"/>
        <w:ind w:left="708" w:right="423" w:hanging="284"/>
        <w:jc w:val="both"/>
        <w:rPr>
          <w:color w:val="231F20"/>
          <w:sz w:val="18"/>
        </w:rPr>
      </w:pPr>
      <w:r>
        <w:rPr>
          <w:color w:val="231F20"/>
          <w:sz w:val="18"/>
        </w:rPr>
        <w:t>Солдатова</w:t>
      </w:r>
      <w:r>
        <w:rPr>
          <w:color w:val="231F20"/>
          <w:spacing w:val="-4"/>
          <w:sz w:val="18"/>
        </w:rPr>
        <w:t> </w:t>
      </w:r>
      <w:r>
        <w:rPr>
          <w:color w:val="231F20"/>
          <w:sz w:val="18"/>
        </w:rPr>
        <w:t>Г.,</w:t>
      </w:r>
      <w:r>
        <w:rPr>
          <w:color w:val="231F20"/>
          <w:spacing w:val="-4"/>
          <w:sz w:val="18"/>
        </w:rPr>
        <w:t> </w:t>
      </w:r>
      <w:r>
        <w:rPr>
          <w:color w:val="231F20"/>
          <w:sz w:val="18"/>
        </w:rPr>
        <w:t>Макарчук</w:t>
      </w:r>
      <w:r>
        <w:rPr>
          <w:color w:val="231F20"/>
          <w:spacing w:val="-4"/>
          <w:sz w:val="18"/>
        </w:rPr>
        <w:t> </w:t>
      </w:r>
      <w:r>
        <w:rPr>
          <w:color w:val="231F20"/>
          <w:sz w:val="18"/>
        </w:rPr>
        <w:t>А.</w:t>
      </w:r>
      <w:r>
        <w:rPr>
          <w:color w:val="231F20"/>
          <w:spacing w:val="-4"/>
          <w:sz w:val="18"/>
        </w:rPr>
        <w:t> </w:t>
      </w:r>
      <w:r>
        <w:rPr>
          <w:color w:val="231F20"/>
          <w:sz w:val="18"/>
        </w:rPr>
        <w:t>Может</w:t>
      </w:r>
      <w:r>
        <w:rPr>
          <w:color w:val="231F20"/>
          <w:spacing w:val="-4"/>
          <w:sz w:val="18"/>
        </w:rPr>
        <w:t> </w:t>
      </w:r>
      <w:r>
        <w:rPr>
          <w:color w:val="231F20"/>
          <w:sz w:val="18"/>
        </w:rPr>
        <w:t>ли</w:t>
      </w:r>
      <w:r>
        <w:rPr>
          <w:color w:val="231F20"/>
          <w:spacing w:val="-4"/>
          <w:sz w:val="18"/>
        </w:rPr>
        <w:t> </w:t>
      </w:r>
      <w:r>
        <w:rPr>
          <w:color w:val="231F20"/>
          <w:sz w:val="18"/>
        </w:rPr>
        <w:t>«другой»</w:t>
      </w:r>
      <w:r>
        <w:rPr>
          <w:color w:val="231F20"/>
          <w:spacing w:val="-4"/>
          <w:sz w:val="18"/>
        </w:rPr>
        <w:t> </w:t>
      </w:r>
      <w:r>
        <w:rPr>
          <w:color w:val="231F20"/>
          <w:sz w:val="18"/>
        </w:rPr>
        <w:t>стать</w:t>
      </w:r>
      <w:r>
        <w:rPr>
          <w:color w:val="231F20"/>
          <w:spacing w:val="-4"/>
          <w:sz w:val="18"/>
        </w:rPr>
        <w:t> </w:t>
      </w:r>
      <w:r>
        <w:rPr>
          <w:color w:val="231F20"/>
          <w:sz w:val="18"/>
        </w:rPr>
        <w:t>другом?</w:t>
      </w:r>
      <w:r>
        <w:rPr>
          <w:color w:val="231F20"/>
          <w:spacing w:val="-4"/>
          <w:sz w:val="18"/>
        </w:rPr>
        <w:t> </w:t>
      </w:r>
      <w:r>
        <w:rPr>
          <w:color w:val="231F20"/>
          <w:sz w:val="18"/>
        </w:rPr>
        <w:t>//</w:t>
      </w:r>
      <w:r>
        <w:rPr>
          <w:color w:val="231F20"/>
          <w:spacing w:val="-4"/>
          <w:sz w:val="18"/>
        </w:rPr>
        <w:t> </w:t>
      </w:r>
      <w:r>
        <w:rPr>
          <w:color w:val="231F20"/>
          <w:sz w:val="18"/>
        </w:rPr>
        <w:t>Тренинг</w:t>
      </w:r>
      <w:r>
        <w:rPr>
          <w:color w:val="231F20"/>
          <w:spacing w:val="-4"/>
          <w:sz w:val="18"/>
        </w:rPr>
        <w:t> </w:t>
      </w:r>
      <w:r>
        <w:rPr>
          <w:color w:val="231F20"/>
          <w:sz w:val="18"/>
        </w:rPr>
        <w:t>по</w:t>
      </w:r>
      <w:r>
        <w:rPr>
          <w:color w:val="231F20"/>
          <w:spacing w:val="-4"/>
          <w:sz w:val="18"/>
        </w:rPr>
        <w:t> </w:t>
      </w:r>
      <w:r>
        <w:rPr>
          <w:color w:val="231F20"/>
          <w:sz w:val="18"/>
        </w:rPr>
        <w:t>профи- лактике ксенофобии. – М.: Генезис, 2006. – 162 с.</w:t>
      </w:r>
    </w:p>
    <w:p>
      <w:pPr>
        <w:pStyle w:val="ListParagraph"/>
        <w:numPr>
          <w:ilvl w:val="2"/>
          <w:numId w:val="112"/>
        </w:numPr>
        <w:tabs>
          <w:tab w:pos="708" w:val="left" w:leader="none"/>
        </w:tabs>
        <w:spacing w:line="240" w:lineRule="auto" w:before="0" w:after="0"/>
        <w:ind w:left="708" w:right="423" w:hanging="284"/>
        <w:jc w:val="both"/>
        <w:rPr>
          <w:color w:val="231F20"/>
          <w:sz w:val="18"/>
        </w:rPr>
      </w:pPr>
      <w:r>
        <w:rPr>
          <w:color w:val="231F20"/>
          <w:sz w:val="18"/>
        </w:rPr>
        <w:t>Солдатова</w:t>
      </w:r>
      <w:r>
        <w:rPr>
          <w:color w:val="231F20"/>
          <w:spacing w:val="-8"/>
          <w:sz w:val="18"/>
        </w:rPr>
        <w:t> </w:t>
      </w:r>
      <w:r>
        <w:rPr>
          <w:color w:val="231F20"/>
          <w:sz w:val="18"/>
        </w:rPr>
        <w:t>Г.У., Шайгерова Л.А., Макарчук А.В., Хухлаев О.Е., Щепина А.И. По- зволь</w:t>
      </w:r>
      <w:r>
        <w:rPr>
          <w:color w:val="231F20"/>
          <w:spacing w:val="-4"/>
          <w:sz w:val="18"/>
        </w:rPr>
        <w:t> </w:t>
      </w:r>
      <w:r>
        <w:rPr>
          <w:color w:val="231F20"/>
          <w:sz w:val="18"/>
        </w:rPr>
        <w:t>другим</w:t>
      </w:r>
      <w:r>
        <w:rPr>
          <w:color w:val="231F20"/>
          <w:spacing w:val="-4"/>
          <w:sz w:val="18"/>
        </w:rPr>
        <w:t> </w:t>
      </w:r>
      <w:r>
        <w:rPr>
          <w:color w:val="231F20"/>
          <w:sz w:val="18"/>
        </w:rPr>
        <w:t>быть</w:t>
      </w:r>
      <w:r>
        <w:rPr>
          <w:color w:val="231F20"/>
          <w:spacing w:val="-4"/>
          <w:sz w:val="18"/>
        </w:rPr>
        <w:t> </w:t>
      </w:r>
      <w:r>
        <w:rPr>
          <w:color w:val="231F20"/>
          <w:sz w:val="18"/>
        </w:rPr>
        <w:t>другими</w:t>
      </w:r>
      <w:r>
        <w:rPr>
          <w:color w:val="231F20"/>
          <w:spacing w:val="-4"/>
          <w:sz w:val="18"/>
        </w:rPr>
        <w:t> </w:t>
      </w:r>
      <w:r>
        <w:rPr>
          <w:color w:val="231F20"/>
          <w:sz w:val="18"/>
        </w:rPr>
        <w:t>//</w:t>
      </w:r>
      <w:r>
        <w:rPr>
          <w:color w:val="231F20"/>
          <w:spacing w:val="-4"/>
          <w:sz w:val="18"/>
        </w:rPr>
        <w:t> </w:t>
      </w:r>
      <w:r>
        <w:rPr>
          <w:color w:val="231F20"/>
          <w:sz w:val="18"/>
        </w:rPr>
        <w:t>Тренинг</w:t>
      </w:r>
      <w:r>
        <w:rPr>
          <w:color w:val="231F20"/>
          <w:spacing w:val="-4"/>
          <w:sz w:val="18"/>
        </w:rPr>
        <w:t> </w:t>
      </w:r>
      <w:r>
        <w:rPr>
          <w:color w:val="231F20"/>
          <w:sz w:val="18"/>
        </w:rPr>
        <w:t>толерантности</w:t>
      </w:r>
      <w:r>
        <w:rPr>
          <w:color w:val="231F20"/>
          <w:spacing w:val="-4"/>
          <w:sz w:val="18"/>
        </w:rPr>
        <w:t> </w:t>
      </w:r>
      <w:r>
        <w:rPr>
          <w:color w:val="231F20"/>
          <w:sz w:val="18"/>
        </w:rPr>
        <w:t>для</w:t>
      </w:r>
      <w:r>
        <w:rPr>
          <w:color w:val="231F20"/>
          <w:spacing w:val="-4"/>
          <w:sz w:val="18"/>
        </w:rPr>
        <w:t> </w:t>
      </w:r>
      <w:r>
        <w:rPr>
          <w:color w:val="231F20"/>
          <w:sz w:val="18"/>
        </w:rPr>
        <w:t>подростков</w:t>
      </w:r>
      <w:r>
        <w:rPr>
          <w:color w:val="231F20"/>
          <w:spacing w:val="-4"/>
          <w:sz w:val="18"/>
        </w:rPr>
        <w:t> </w:t>
      </w:r>
      <w:r>
        <w:rPr>
          <w:color w:val="231F20"/>
          <w:sz w:val="18"/>
        </w:rPr>
        <w:t>по</w:t>
      </w:r>
      <w:r>
        <w:rPr>
          <w:color w:val="231F20"/>
          <w:spacing w:val="-4"/>
          <w:sz w:val="18"/>
        </w:rPr>
        <w:t> </w:t>
      </w:r>
      <w:r>
        <w:rPr>
          <w:color w:val="231F20"/>
          <w:sz w:val="18"/>
        </w:rPr>
        <w:t>преодоле- нию мигрантофобии. – М.: НПЦ Гратис, 2002. – 120 с.</w:t>
      </w:r>
    </w:p>
    <w:p>
      <w:pPr>
        <w:pStyle w:val="ListParagraph"/>
        <w:numPr>
          <w:ilvl w:val="2"/>
          <w:numId w:val="112"/>
        </w:numPr>
        <w:tabs>
          <w:tab w:pos="708" w:val="left" w:leader="none"/>
        </w:tabs>
        <w:spacing w:line="240" w:lineRule="auto" w:before="0" w:after="0"/>
        <w:ind w:left="708" w:right="423" w:hanging="284"/>
        <w:jc w:val="both"/>
        <w:rPr>
          <w:color w:val="231F20"/>
          <w:sz w:val="18"/>
        </w:rPr>
      </w:pPr>
      <w:r>
        <w:rPr>
          <w:color w:val="231F20"/>
          <w:sz w:val="18"/>
        </w:rPr>
        <w:t>Татарко</w:t>
      </w:r>
      <w:r>
        <w:rPr>
          <w:color w:val="231F20"/>
          <w:spacing w:val="-8"/>
          <w:sz w:val="18"/>
        </w:rPr>
        <w:t> </w:t>
      </w:r>
      <w:r>
        <w:rPr>
          <w:color w:val="231F20"/>
          <w:sz w:val="18"/>
        </w:rPr>
        <w:t>А.Н.,</w:t>
      </w:r>
      <w:r>
        <w:rPr>
          <w:color w:val="231F20"/>
          <w:spacing w:val="-8"/>
          <w:sz w:val="18"/>
        </w:rPr>
        <w:t> </w:t>
      </w:r>
      <w:r>
        <w:rPr>
          <w:color w:val="231F20"/>
          <w:sz w:val="18"/>
        </w:rPr>
        <w:t>Лебедева</w:t>
      </w:r>
      <w:r>
        <w:rPr>
          <w:color w:val="231F20"/>
          <w:spacing w:val="-8"/>
          <w:sz w:val="18"/>
        </w:rPr>
        <w:t> </w:t>
      </w:r>
      <w:r>
        <w:rPr>
          <w:color w:val="231F20"/>
          <w:sz w:val="18"/>
        </w:rPr>
        <w:t>Н.М.</w:t>
      </w:r>
      <w:r>
        <w:rPr>
          <w:color w:val="231F20"/>
          <w:spacing w:val="-8"/>
          <w:sz w:val="18"/>
        </w:rPr>
        <w:t> </w:t>
      </w:r>
      <w:r>
        <w:rPr>
          <w:color w:val="231F20"/>
          <w:sz w:val="18"/>
        </w:rPr>
        <w:t>Методы этнической и кросскультурной психологии / отв. ред. И.М. Савельева. – М.: НИУ ВШЭ, 2011. — ISBN 978-5-7598-0867-1.</w:t>
      </w:r>
    </w:p>
    <w:p>
      <w:pPr>
        <w:pStyle w:val="ListParagraph"/>
        <w:numPr>
          <w:ilvl w:val="2"/>
          <w:numId w:val="112"/>
        </w:numPr>
        <w:tabs>
          <w:tab w:pos="708" w:val="left" w:leader="none"/>
        </w:tabs>
        <w:spacing w:line="240" w:lineRule="auto" w:before="0" w:after="0"/>
        <w:ind w:left="708" w:right="423" w:hanging="284"/>
        <w:jc w:val="both"/>
        <w:rPr>
          <w:color w:val="231F20"/>
          <w:sz w:val="18"/>
        </w:rPr>
      </w:pPr>
      <w:r>
        <w:rPr>
          <w:color w:val="231F20"/>
          <w:sz w:val="18"/>
        </w:rPr>
        <w:t>Хухлаев</w:t>
      </w:r>
      <w:r>
        <w:rPr>
          <w:color w:val="231F20"/>
          <w:spacing w:val="-12"/>
          <w:sz w:val="18"/>
        </w:rPr>
        <w:t> </w:t>
      </w:r>
      <w:r>
        <w:rPr>
          <w:color w:val="231F20"/>
          <w:sz w:val="18"/>
        </w:rPr>
        <w:t>О.Е.</w:t>
      </w:r>
      <w:r>
        <w:rPr>
          <w:color w:val="231F20"/>
          <w:spacing w:val="-11"/>
          <w:sz w:val="18"/>
        </w:rPr>
        <w:t> </w:t>
      </w:r>
      <w:r>
        <w:rPr>
          <w:color w:val="231F20"/>
          <w:sz w:val="18"/>
        </w:rPr>
        <w:t>Не</w:t>
      </w:r>
      <w:r>
        <w:rPr>
          <w:color w:val="231F20"/>
          <w:spacing w:val="-11"/>
          <w:sz w:val="18"/>
        </w:rPr>
        <w:t> </w:t>
      </w:r>
      <w:r>
        <w:rPr>
          <w:color w:val="231F20"/>
          <w:sz w:val="18"/>
        </w:rPr>
        <w:t>такой</w:t>
      </w:r>
      <w:r>
        <w:rPr>
          <w:color w:val="231F20"/>
          <w:spacing w:val="-11"/>
          <w:sz w:val="18"/>
        </w:rPr>
        <w:t> </w:t>
      </w:r>
      <w:r>
        <w:rPr>
          <w:color w:val="231F20"/>
          <w:sz w:val="18"/>
        </w:rPr>
        <w:t>как</w:t>
      </w:r>
      <w:r>
        <w:rPr>
          <w:color w:val="231F20"/>
          <w:spacing w:val="-12"/>
          <w:sz w:val="18"/>
        </w:rPr>
        <w:t> </w:t>
      </w:r>
      <w:r>
        <w:rPr>
          <w:color w:val="231F20"/>
          <w:sz w:val="18"/>
        </w:rPr>
        <w:t>все:</w:t>
      </w:r>
      <w:r>
        <w:rPr>
          <w:color w:val="231F20"/>
          <w:spacing w:val="-11"/>
          <w:sz w:val="18"/>
        </w:rPr>
        <w:t> </w:t>
      </w:r>
      <w:r>
        <w:rPr>
          <w:color w:val="231F20"/>
          <w:sz w:val="18"/>
        </w:rPr>
        <w:t>психологическая</w:t>
      </w:r>
      <w:r>
        <w:rPr>
          <w:color w:val="231F20"/>
          <w:spacing w:val="-11"/>
          <w:sz w:val="18"/>
        </w:rPr>
        <w:t> </w:t>
      </w:r>
      <w:r>
        <w:rPr>
          <w:color w:val="231F20"/>
          <w:sz w:val="18"/>
        </w:rPr>
        <w:t>адаптация</w:t>
      </w:r>
      <w:r>
        <w:rPr>
          <w:color w:val="231F20"/>
          <w:spacing w:val="-11"/>
          <w:sz w:val="18"/>
        </w:rPr>
        <w:t> </w:t>
      </w:r>
      <w:r>
        <w:rPr>
          <w:color w:val="231F20"/>
          <w:sz w:val="18"/>
        </w:rPr>
        <w:t>детей-мигрантов</w:t>
      </w:r>
      <w:r>
        <w:rPr>
          <w:color w:val="231F20"/>
          <w:spacing w:val="-12"/>
          <w:sz w:val="18"/>
        </w:rPr>
        <w:t> </w:t>
      </w:r>
      <w:r>
        <w:rPr>
          <w:color w:val="231F20"/>
          <w:sz w:val="18"/>
        </w:rPr>
        <w:t>из</w:t>
      </w:r>
      <w:r>
        <w:rPr>
          <w:color w:val="231F20"/>
          <w:spacing w:val="-11"/>
          <w:sz w:val="18"/>
        </w:rPr>
        <w:t> </w:t>
      </w:r>
      <w:r>
        <w:rPr>
          <w:color w:val="231F20"/>
          <w:sz w:val="18"/>
        </w:rPr>
        <w:t>ино- культурной среды в начальной школе // Школьный психолог, 2005. – № 18 (352). – С. 35–38.</w:t>
      </w:r>
    </w:p>
    <w:p>
      <w:pPr>
        <w:spacing w:line="206" w:lineRule="exact" w:before="32"/>
        <w:ind w:left="425" w:right="0" w:firstLine="0"/>
        <w:jc w:val="both"/>
        <w:rPr>
          <w:b/>
          <w:sz w:val="18"/>
        </w:rPr>
      </w:pPr>
      <w:r>
        <w:rPr>
          <w:b/>
          <w:color w:val="231F20"/>
          <w:sz w:val="18"/>
        </w:rPr>
        <w:t>Дополнительная</w:t>
      </w:r>
      <w:r>
        <w:rPr>
          <w:b/>
          <w:color w:val="231F20"/>
          <w:spacing w:val="-11"/>
          <w:sz w:val="18"/>
        </w:rPr>
        <w:t> </w:t>
      </w:r>
      <w:r>
        <w:rPr>
          <w:b/>
          <w:color w:val="231F20"/>
          <w:sz w:val="18"/>
        </w:rPr>
        <w:t>литература</w:t>
      </w:r>
      <w:r>
        <w:rPr>
          <w:b/>
          <w:color w:val="231F20"/>
          <w:spacing w:val="-8"/>
          <w:sz w:val="18"/>
        </w:rPr>
        <w:t> </w:t>
      </w:r>
      <w:r>
        <w:rPr>
          <w:b/>
          <w:color w:val="231F20"/>
          <w:sz w:val="18"/>
        </w:rPr>
        <w:t>с</w:t>
      </w:r>
      <w:r>
        <w:rPr>
          <w:b/>
          <w:color w:val="231F20"/>
          <w:spacing w:val="-9"/>
          <w:sz w:val="18"/>
        </w:rPr>
        <w:t> </w:t>
      </w:r>
      <w:r>
        <w:rPr>
          <w:b/>
          <w:color w:val="231F20"/>
          <w:sz w:val="18"/>
        </w:rPr>
        <w:t>материалами</w:t>
      </w:r>
      <w:r>
        <w:rPr>
          <w:b/>
          <w:color w:val="231F20"/>
          <w:spacing w:val="-9"/>
          <w:sz w:val="18"/>
        </w:rPr>
        <w:t> </w:t>
      </w:r>
      <w:r>
        <w:rPr>
          <w:b/>
          <w:color w:val="231F20"/>
          <w:sz w:val="18"/>
        </w:rPr>
        <w:t>для</w:t>
      </w:r>
      <w:r>
        <w:rPr>
          <w:b/>
          <w:color w:val="231F20"/>
          <w:spacing w:val="-8"/>
          <w:sz w:val="18"/>
        </w:rPr>
        <w:t> </w:t>
      </w:r>
      <w:r>
        <w:rPr>
          <w:b/>
          <w:color w:val="231F20"/>
          <w:sz w:val="18"/>
        </w:rPr>
        <w:t>межкультурного</w:t>
      </w:r>
      <w:r>
        <w:rPr>
          <w:b/>
          <w:color w:val="231F20"/>
          <w:spacing w:val="-8"/>
          <w:sz w:val="18"/>
        </w:rPr>
        <w:t> </w:t>
      </w:r>
      <w:r>
        <w:rPr>
          <w:b/>
          <w:color w:val="231F20"/>
          <w:spacing w:val="-2"/>
          <w:sz w:val="18"/>
        </w:rPr>
        <w:t>тренинга</w:t>
      </w:r>
    </w:p>
    <w:p>
      <w:pPr>
        <w:pStyle w:val="ListParagraph"/>
        <w:numPr>
          <w:ilvl w:val="2"/>
          <w:numId w:val="112"/>
        </w:numPr>
        <w:tabs>
          <w:tab w:pos="708" w:val="left" w:leader="none"/>
        </w:tabs>
        <w:spacing w:line="240" w:lineRule="auto" w:before="0" w:after="0"/>
        <w:ind w:left="708" w:right="423" w:hanging="284"/>
        <w:jc w:val="left"/>
        <w:rPr>
          <w:color w:val="231F20"/>
          <w:sz w:val="18"/>
        </w:rPr>
      </w:pPr>
      <w:r>
        <w:rPr>
          <w:color w:val="231F20"/>
          <w:sz w:val="18"/>
        </w:rPr>
        <w:t>Аксельрод А., Любарская Е. Мир различий // Сборник упражнений для учащих-</w:t>
      </w:r>
      <w:r>
        <w:rPr>
          <w:color w:val="231F20"/>
          <w:spacing w:val="80"/>
          <w:sz w:val="18"/>
        </w:rPr>
        <w:t> </w:t>
      </w:r>
      <w:r>
        <w:rPr>
          <w:color w:val="231F20"/>
          <w:sz w:val="18"/>
        </w:rPr>
        <w:t>ся</w:t>
      </w:r>
      <w:r>
        <w:rPr>
          <w:color w:val="231F20"/>
          <w:spacing w:val="-3"/>
          <w:sz w:val="18"/>
        </w:rPr>
        <w:t> </w:t>
      </w:r>
      <w:r>
        <w:rPr>
          <w:color w:val="231F20"/>
          <w:sz w:val="18"/>
        </w:rPr>
        <w:t>общеобразовательных</w:t>
      </w:r>
      <w:r>
        <w:rPr>
          <w:color w:val="231F20"/>
          <w:spacing w:val="-3"/>
          <w:sz w:val="18"/>
        </w:rPr>
        <w:t> </w:t>
      </w:r>
      <w:r>
        <w:rPr>
          <w:color w:val="231F20"/>
          <w:sz w:val="18"/>
        </w:rPr>
        <w:t>школ.</w:t>
      </w:r>
      <w:r>
        <w:rPr>
          <w:color w:val="231F20"/>
          <w:spacing w:val="-3"/>
          <w:sz w:val="18"/>
        </w:rPr>
        <w:t> </w:t>
      </w:r>
      <w:r>
        <w:rPr>
          <w:color w:val="231F20"/>
          <w:sz w:val="18"/>
        </w:rPr>
        <w:t>–</w:t>
      </w:r>
      <w:r>
        <w:rPr>
          <w:color w:val="231F20"/>
          <w:spacing w:val="-3"/>
          <w:sz w:val="18"/>
        </w:rPr>
        <w:t> </w:t>
      </w:r>
      <w:r>
        <w:rPr>
          <w:color w:val="231F20"/>
          <w:sz w:val="18"/>
        </w:rPr>
        <w:t>Уфа:</w:t>
      </w:r>
      <w:r>
        <w:rPr>
          <w:color w:val="231F20"/>
          <w:spacing w:val="-3"/>
          <w:sz w:val="18"/>
        </w:rPr>
        <w:t> </w:t>
      </w:r>
      <w:r>
        <w:rPr>
          <w:color w:val="231F20"/>
          <w:sz w:val="18"/>
        </w:rPr>
        <w:t>Фонд</w:t>
      </w:r>
      <w:r>
        <w:rPr>
          <w:color w:val="231F20"/>
          <w:spacing w:val="-2"/>
          <w:sz w:val="18"/>
        </w:rPr>
        <w:t> </w:t>
      </w:r>
      <w:r>
        <w:rPr>
          <w:color w:val="231F20"/>
          <w:sz w:val="18"/>
        </w:rPr>
        <w:t>гуманитарных</w:t>
      </w:r>
      <w:r>
        <w:rPr>
          <w:color w:val="231F20"/>
          <w:spacing w:val="-3"/>
          <w:sz w:val="18"/>
        </w:rPr>
        <w:t> </w:t>
      </w:r>
      <w:r>
        <w:rPr>
          <w:color w:val="231F20"/>
          <w:sz w:val="18"/>
        </w:rPr>
        <w:t>проектов</w:t>
      </w:r>
      <w:r>
        <w:rPr>
          <w:color w:val="231F20"/>
          <w:spacing w:val="-3"/>
          <w:sz w:val="18"/>
        </w:rPr>
        <w:t> </w:t>
      </w:r>
      <w:r>
        <w:rPr>
          <w:color w:val="231F20"/>
          <w:sz w:val="18"/>
        </w:rPr>
        <w:t>и</w:t>
      </w:r>
      <w:r>
        <w:rPr>
          <w:color w:val="231F20"/>
          <w:spacing w:val="-3"/>
          <w:sz w:val="18"/>
        </w:rPr>
        <w:t> </w:t>
      </w:r>
      <w:r>
        <w:rPr>
          <w:color w:val="231F20"/>
          <w:sz w:val="18"/>
        </w:rPr>
        <w:t>технологий</w:t>
      </w:r>
    </w:p>
    <w:p>
      <w:pPr>
        <w:spacing w:line="205" w:lineRule="exact" w:before="0"/>
        <w:ind w:left="708" w:right="0" w:firstLine="0"/>
        <w:jc w:val="left"/>
        <w:rPr>
          <w:sz w:val="18"/>
        </w:rPr>
      </w:pPr>
      <w:r>
        <w:rPr>
          <w:color w:val="231F20"/>
          <w:spacing w:val="-2"/>
          <w:sz w:val="18"/>
        </w:rPr>
        <w:t>«Толерантность»,</w:t>
      </w:r>
      <w:r>
        <w:rPr>
          <w:color w:val="231F20"/>
          <w:spacing w:val="17"/>
          <w:sz w:val="18"/>
        </w:rPr>
        <w:t> </w:t>
      </w:r>
      <w:r>
        <w:rPr>
          <w:color w:val="231F20"/>
          <w:spacing w:val="-2"/>
          <w:sz w:val="18"/>
        </w:rPr>
        <w:t>2004.</w:t>
      </w:r>
    </w:p>
    <w:p>
      <w:pPr>
        <w:pStyle w:val="ListParagraph"/>
        <w:numPr>
          <w:ilvl w:val="2"/>
          <w:numId w:val="112"/>
        </w:numPr>
        <w:tabs>
          <w:tab w:pos="708" w:val="left" w:leader="none"/>
        </w:tabs>
        <w:spacing w:line="206" w:lineRule="exact" w:before="0" w:after="0"/>
        <w:ind w:left="708" w:right="0" w:hanging="283"/>
        <w:jc w:val="left"/>
        <w:rPr>
          <w:color w:val="231F20"/>
          <w:sz w:val="18"/>
        </w:rPr>
      </w:pPr>
      <w:r>
        <w:rPr>
          <w:color w:val="231F20"/>
          <w:sz w:val="18"/>
        </w:rPr>
        <w:t>Кипнис</w:t>
      </w:r>
      <w:r>
        <w:rPr>
          <w:color w:val="231F20"/>
          <w:spacing w:val="-6"/>
          <w:sz w:val="18"/>
        </w:rPr>
        <w:t> </w:t>
      </w:r>
      <w:r>
        <w:rPr>
          <w:color w:val="231F20"/>
          <w:sz w:val="18"/>
        </w:rPr>
        <w:t>М.</w:t>
      </w:r>
      <w:r>
        <w:rPr>
          <w:color w:val="231F20"/>
          <w:spacing w:val="-4"/>
          <w:sz w:val="18"/>
        </w:rPr>
        <w:t> </w:t>
      </w:r>
      <w:r>
        <w:rPr>
          <w:color w:val="231F20"/>
          <w:sz w:val="18"/>
        </w:rPr>
        <w:t>Тренинг</w:t>
      </w:r>
      <w:r>
        <w:rPr>
          <w:color w:val="231F20"/>
          <w:spacing w:val="-5"/>
          <w:sz w:val="18"/>
        </w:rPr>
        <w:t> </w:t>
      </w:r>
      <w:r>
        <w:rPr>
          <w:color w:val="231F20"/>
          <w:sz w:val="18"/>
        </w:rPr>
        <w:t>межкультурных</w:t>
      </w:r>
      <w:r>
        <w:rPr>
          <w:color w:val="231F20"/>
          <w:spacing w:val="-4"/>
          <w:sz w:val="18"/>
        </w:rPr>
        <w:t> </w:t>
      </w:r>
      <w:r>
        <w:rPr>
          <w:color w:val="231F20"/>
          <w:sz w:val="18"/>
        </w:rPr>
        <w:t>отношений.</w:t>
      </w:r>
      <w:r>
        <w:rPr>
          <w:color w:val="231F20"/>
          <w:spacing w:val="-4"/>
          <w:sz w:val="18"/>
        </w:rPr>
        <w:t> </w:t>
      </w:r>
      <w:r>
        <w:rPr>
          <w:color w:val="231F20"/>
          <w:sz w:val="18"/>
        </w:rPr>
        <w:t>–</w:t>
      </w:r>
      <w:r>
        <w:rPr>
          <w:color w:val="231F20"/>
          <w:spacing w:val="-4"/>
          <w:sz w:val="18"/>
        </w:rPr>
        <w:t> </w:t>
      </w:r>
      <w:r>
        <w:rPr>
          <w:color w:val="231F20"/>
          <w:sz w:val="18"/>
        </w:rPr>
        <w:t>М.:</w:t>
      </w:r>
      <w:r>
        <w:rPr>
          <w:color w:val="231F20"/>
          <w:spacing w:val="-4"/>
          <w:sz w:val="18"/>
        </w:rPr>
        <w:t> </w:t>
      </w:r>
      <w:r>
        <w:rPr>
          <w:color w:val="231F20"/>
          <w:sz w:val="18"/>
        </w:rPr>
        <w:t>Ось-89,</w:t>
      </w:r>
      <w:r>
        <w:rPr>
          <w:color w:val="231F20"/>
          <w:spacing w:val="-4"/>
          <w:sz w:val="18"/>
        </w:rPr>
        <w:t> </w:t>
      </w:r>
      <w:r>
        <w:rPr>
          <w:color w:val="231F20"/>
          <w:sz w:val="18"/>
        </w:rPr>
        <w:t>2006.</w:t>
      </w:r>
      <w:r>
        <w:rPr>
          <w:color w:val="231F20"/>
          <w:spacing w:val="-4"/>
          <w:sz w:val="18"/>
        </w:rPr>
        <w:t> </w:t>
      </w:r>
      <w:r>
        <w:rPr>
          <w:color w:val="231F20"/>
          <w:sz w:val="18"/>
        </w:rPr>
        <w:t>–</w:t>
      </w:r>
      <w:r>
        <w:rPr>
          <w:color w:val="231F20"/>
          <w:spacing w:val="-4"/>
          <w:sz w:val="18"/>
        </w:rPr>
        <w:t> </w:t>
      </w:r>
      <w:r>
        <w:rPr>
          <w:color w:val="231F20"/>
          <w:sz w:val="18"/>
        </w:rPr>
        <w:t>112</w:t>
      </w:r>
      <w:r>
        <w:rPr>
          <w:color w:val="231F20"/>
          <w:spacing w:val="-3"/>
          <w:sz w:val="18"/>
        </w:rPr>
        <w:t> </w:t>
      </w:r>
      <w:r>
        <w:rPr>
          <w:color w:val="231F20"/>
          <w:spacing w:val="-5"/>
          <w:sz w:val="18"/>
        </w:rPr>
        <w:t>с.</w:t>
      </w:r>
    </w:p>
    <w:p>
      <w:pPr>
        <w:pStyle w:val="ListParagraph"/>
        <w:numPr>
          <w:ilvl w:val="2"/>
          <w:numId w:val="112"/>
        </w:numPr>
        <w:tabs>
          <w:tab w:pos="708" w:val="left" w:leader="none"/>
        </w:tabs>
        <w:spacing w:line="237" w:lineRule="auto" w:before="0" w:after="0"/>
        <w:ind w:left="708" w:right="423" w:hanging="284"/>
        <w:jc w:val="left"/>
        <w:rPr>
          <w:color w:val="231F20"/>
          <w:sz w:val="18"/>
        </w:rPr>
      </w:pPr>
      <w:r>
        <w:rPr>
          <w:color w:val="231F20"/>
          <w:sz w:val="18"/>
        </w:rPr>
        <w:t>Культурный ассимилятор // Тренинг адаптации к жизни в Санкт-Петербурге / под ред. Р.К. Тангалычевой, Н.А. Головина. – СПб., 2009.</w:t>
      </w:r>
    </w:p>
    <w:p>
      <w:pPr>
        <w:pStyle w:val="BodyText"/>
        <w:spacing w:before="8"/>
        <w:ind w:left="0" w:right="0" w:firstLine="0"/>
        <w:jc w:val="left"/>
        <w:rPr>
          <w:sz w:val="11"/>
        </w:rPr>
      </w:pPr>
      <w:r>
        <w:rPr>
          <w:sz w:val="11"/>
        </w:rPr>
        <mc:AlternateContent>
          <mc:Choice Requires="wps">
            <w:drawing>
              <wp:anchor distT="0" distB="0" distL="0" distR="0" allowOverlap="1" layoutInCell="1" locked="0" behindDoc="1" simplePos="0" relativeHeight="487623680">
                <wp:simplePos x="0" y="0"/>
                <wp:positionH relativeFrom="page">
                  <wp:posOffset>360000</wp:posOffset>
                </wp:positionH>
                <wp:positionV relativeFrom="paragraph">
                  <wp:posOffset>100676</wp:posOffset>
                </wp:positionV>
                <wp:extent cx="1440180" cy="1270"/>
                <wp:effectExtent l="0" t="0" r="0" b="0"/>
                <wp:wrapTopAndBottom/>
                <wp:docPr id="115" name="Graphic 115"/>
                <wp:cNvGraphicFramePr>
                  <a:graphicFrameLocks/>
                </wp:cNvGraphicFramePr>
                <a:graphic>
                  <a:graphicData uri="http://schemas.microsoft.com/office/word/2010/wordprocessingShape">
                    <wps:wsp>
                      <wps:cNvPr id="115" name="Graphic 115"/>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5pt;margin-top:7.927255pt;width:113.4pt;height:.1pt;mso-position-horizontal-relative:page;mso-position-vertical-relative:paragraph;z-index:-15692800;mso-wrap-distance-left:0;mso-wrap-distance-right:0" id="docshape72" coordorigin="567,159" coordsize="2268,0" path="m567,159l2835,159e" filled="false" stroked="true" strokeweight=".5pt" strokecolor="#231f20">
                <v:path arrowok="t"/>
                <v:stroke dashstyle="solid"/>
                <w10:wrap type="topAndBottom"/>
              </v:shape>
            </w:pict>
          </mc:Fallback>
        </mc:AlternateContent>
      </w:r>
    </w:p>
    <w:p>
      <w:pPr>
        <w:tabs>
          <w:tab w:pos="425" w:val="left" w:leader="none"/>
        </w:tabs>
        <w:spacing w:before="27"/>
        <w:ind w:left="141" w:right="0" w:firstLine="0"/>
        <w:jc w:val="left"/>
        <w:rPr>
          <w:sz w:val="18"/>
        </w:rPr>
      </w:pPr>
      <w:r>
        <w:rPr>
          <w:color w:val="231F20"/>
          <w:spacing w:val="-10"/>
          <w:sz w:val="18"/>
          <w:vertAlign w:val="superscript"/>
        </w:rPr>
        <w:t>1</w:t>
      </w:r>
      <w:r>
        <w:rPr>
          <w:color w:val="231F20"/>
          <w:sz w:val="18"/>
          <w:vertAlign w:val="baseline"/>
        </w:rPr>
        <w:tab/>
      </w:r>
      <w:hyperlink r:id="rId106">
        <w:r>
          <w:rPr>
            <w:color w:val="2255A6"/>
            <w:spacing w:val="-2"/>
            <w:sz w:val="18"/>
            <w:u w:val="single" w:color="2255A6"/>
            <w:vertAlign w:val="baseline"/>
          </w:rPr>
          <w:t>https://psy.1sept.ru/article.php?ID=200501811</w:t>
        </w:r>
      </w:hyperlink>
      <w:r>
        <w:rPr>
          <w:color w:val="231F20"/>
          <w:spacing w:val="-2"/>
          <w:sz w:val="18"/>
          <w:vertAlign w:val="baseline"/>
        </w:rPr>
        <w:t>.</w:t>
      </w:r>
    </w:p>
    <w:p>
      <w:pPr>
        <w:tabs>
          <w:tab w:pos="425" w:val="left" w:leader="none"/>
        </w:tabs>
        <w:spacing w:before="49"/>
        <w:ind w:left="141" w:right="0" w:firstLine="0"/>
        <w:jc w:val="left"/>
        <w:rPr>
          <w:sz w:val="18"/>
        </w:rPr>
      </w:pPr>
      <w:r>
        <w:rPr>
          <w:color w:val="231F20"/>
          <w:spacing w:val="-10"/>
          <w:sz w:val="18"/>
          <w:vertAlign w:val="superscript"/>
        </w:rPr>
        <w:t>2</w:t>
      </w:r>
      <w:r>
        <w:rPr>
          <w:color w:val="231F20"/>
          <w:sz w:val="18"/>
          <w:vertAlign w:val="baseline"/>
        </w:rPr>
        <w:tab/>
      </w:r>
      <w:hyperlink r:id="rId107">
        <w:r>
          <w:rPr>
            <w:color w:val="2255A6"/>
            <w:spacing w:val="-2"/>
            <w:sz w:val="18"/>
            <w:u w:val="single" w:color="2255A6"/>
            <w:vertAlign w:val="baseline"/>
          </w:rPr>
          <w:t>https://psyjournals.ru/soprovozhdenie_migrantov/issue/66982.shtml</w:t>
        </w:r>
      </w:hyperlink>
      <w:r>
        <w:rPr>
          <w:color w:val="231F20"/>
          <w:spacing w:val="-2"/>
          <w:sz w:val="18"/>
          <w:vertAlign w:val="baseline"/>
        </w:rPr>
        <w:t>.</w:t>
      </w:r>
    </w:p>
    <w:p>
      <w:pPr>
        <w:spacing w:after="0"/>
        <w:jc w:val="left"/>
        <w:rPr>
          <w:sz w:val="18"/>
        </w:rPr>
        <w:sectPr>
          <w:pgSz w:w="8400" w:h="11910"/>
          <w:pgMar w:header="0" w:footer="527" w:top="400" w:bottom="720" w:left="425" w:right="425"/>
        </w:sectPr>
      </w:pPr>
    </w:p>
    <w:p>
      <w:pPr>
        <w:spacing w:before="80"/>
        <w:ind w:left="141" w:right="139" w:firstLine="0"/>
        <w:jc w:val="right"/>
        <w:rPr>
          <w:rFonts w:ascii="Georgia" w:hAnsi="Georgia"/>
          <w:sz w:val="18"/>
        </w:rPr>
      </w:pPr>
      <w:bookmarkStart w:name="_bookmark63" w:id="65"/>
      <w:bookmarkEnd w:id="65"/>
      <w:r>
        <w:rPr/>
      </w:r>
      <w:r>
        <w:rPr>
          <w:rFonts w:ascii="Georgia" w:hAnsi="Georgia"/>
          <w:color w:val="231F20"/>
          <w:spacing w:val="-2"/>
          <w:sz w:val="18"/>
        </w:rPr>
        <w:t>Раздел</w:t>
      </w:r>
      <w:r>
        <w:rPr>
          <w:rFonts w:ascii="Georgia" w:hAnsi="Georgia"/>
          <w:color w:val="231F20"/>
          <w:spacing w:val="-5"/>
          <w:sz w:val="18"/>
        </w:rPr>
        <w:t> 4.</w:t>
      </w:r>
    </w:p>
    <w:p>
      <w:pPr>
        <w:pStyle w:val="ListParagraph"/>
        <w:numPr>
          <w:ilvl w:val="2"/>
          <w:numId w:val="112"/>
        </w:numPr>
        <w:tabs>
          <w:tab w:pos="708" w:val="left" w:leader="none"/>
        </w:tabs>
        <w:spacing w:line="240" w:lineRule="auto" w:before="117" w:after="0"/>
        <w:ind w:left="708" w:right="423" w:hanging="284"/>
        <w:jc w:val="left"/>
        <w:rPr>
          <w:color w:val="231F20"/>
          <w:sz w:val="18"/>
        </w:rPr>
      </w:pPr>
      <w:r>
        <w:rPr>
          <w:color w:val="231F20"/>
          <w:sz w:val="18"/>
        </w:rPr>
        <w:t>Методическая</w:t>
      </w:r>
      <w:r>
        <w:rPr>
          <w:color w:val="231F20"/>
          <w:spacing w:val="-10"/>
          <w:sz w:val="18"/>
        </w:rPr>
        <w:t> </w:t>
      </w:r>
      <w:r>
        <w:rPr>
          <w:color w:val="231F20"/>
          <w:sz w:val="18"/>
        </w:rPr>
        <w:t>брошюра</w:t>
      </w:r>
      <w:r>
        <w:rPr>
          <w:color w:val="231F20"/>
          <w:spacing w:val="-10"/>
          <w:sz w:val="18"/>
        </w:rPr>
        <w:t> </w:t>
      </w:r>
      <w:r>
        <w:rPr>
          <w:color w:val="231F20"/>
          <w:sz w:val="18"/>
        </w:rPr>
        <w:t>«Baustein:</w:t>
      </w:r>
      <w:r>
        <w:rPr>
          <w:color w:val="231F20"/>
          <w:spacing w:val="-10"/>
          <w:sz w:val="18"/>
        </w:rPr>
        <w:t> </w:t>
      </w:r>
      <w:r>
        <w:rPr>
          <w:color w:val="231F20"/>
          <w:sz w:val="18"/>
        </w:rPr>
        <w:t>пособие</w:t>
      </w:r>
      <w:r>
        <w:rPr>
          <w:color w:val="231F20"/>
          <w:spacing w:val="-10"/>
          <w:sz w:val="18"/>
        </w:rPr>
        <w:t> </w:t>
      </w:r>
      <w:r>
        <w:rPr>
          <w:color w:val="231F20"/>
          <w:sz w:val="18"/>
        </w:rPr>
        <w:t>по</w:t>
      </w:r>
      <w:r>
        <w:rPr>
          <w:color w:val="231F20"/>
          <w:spacing w:val="-10"/>
          <w:sz w:val="18"/>
        </w:rPr>
        <w:t> </w:t>
      </w:r>
      <w:r>
        <w:rPr>
          <w:color w:val="231F20"/>
          <w:sz w:val="18"/>
        </w:rPr>
        <w:t>не-расистскому</w:t>
      </w:r>
      <w:r>
        <w:rPr>
          <w:color w:val="231F20"/>
          <w:spacing w:val="-10"/>
          <w:sz w:val="18"/>
        </w:rPr>
        <w:t> </w:t>
      </w:r>
      <w:r>
        <w:rPr>
          <w:color w:val="231F20"/>
          <w:sz w:val="18"/>
        </w:rPr>
        <w:t>образованию».</w:t>
      </w:r>
      <w:r>
        <w:rPr>
          <w:color w:val="231F20"/>
          <w:spacing w:val="-10"/>
          <w:sz w:val="18"/>
        </w:rPr>
        <w:t> </w:t>
      </w:r>
      <w:r>
        <w:rPr>
          <w:color w:val="231F20"/>
          <w:sz w:val="18"/>
        </w:rPr>
        <w:t>–</w:t>
      </w:r>
      <w:r>
        <w:rPr>
          <w:color w:val="231F20"/>
          <w:spacing w:val="-10"/>
          <w:sz w:val="18"/>
        </w:rPr>
        <w:t> </w:t>
      </w:r>
      <w:r>
        <w:rPr>
          <w:color w:val="231F20"/>
          <w:sz w:val="18"/>
        </w:rPr>
        <w:t>Во- ронеж, 2011.</w:t>
      </w:r>
    </w:p>
    <w:p>
      <w:pPr>
        <w:pStyle w:val="ListParagraph"/>
        <w:numPr>
          <w:ilvl w:val="2"/>
          <w:numId w:val="112"/>
        </w:numPr>
        <w:tabs>
          <w:tab w:pos="708" w:val="left" w:leader="none"/>
        </w:tabs>
        <w:spacing w:line="240" w:lineRule="auto" w:before="0" w:after="0"/>
        <w:ind w:left="708" w:right="423" w:hanging="284"/>
        <w:jc w:val="left"/>
        <w:rPr>
          <w:color w:val="231F20"/>
          <w:sz w:val="18"/>
        </w:rPr>
      </w:pPr>
      <w:r>
        <w:rPr>
          <w:color w:val="231F20"/>
          <w:sz w:val="18"/>
        </w:rPr>
        <w:t>Психология</w:t>
      </w:r>
      <w:r>
        <w:rPr>
          <w:color w:val="231F20"/>
          <w:spacing w:val="-4"/>
          <w:sz w:val="18"/>
        </w:rPr>
        <w:t> </w:t>
      </w:r>
      <w:r>
        <w:rPr>
          <w:color w:val="231F20"/>
          <w:sz w:val="18"/>
        </w:rPr>
        <w:t>беженцев</w:t>
      </w:r>
      <w:r>
        <w:rPr>
          <w:color w:val="231F20"/>
          <w:spacing w:val="-5"/>
          <w:sz w:val="18"/>
        </w:rPr>
        <w:t> </w:t>
      </w:r>
      <w:r>
        <w:rPr>
          <w:color w:val="231F20"/>
          <w:sz w:val="18"/>
        </w:rPr>
        <w:t>и</w:t>
      </w:r>
      <w:r>
        <w:rPr>
          <w:color w:val="231F20"/>
          <w:spacing w:val="-5"/>
          <w:sz w:val="18"/>
        </w:rPr>
        <w:t> </w:t>
      </w:r>
      <w:r>
        <w:rPr>
          <w:color w:val="231F20"/>
          <w:sz w:val="18"/>
        </w:rPr>
        <w:t>вынужденных</w:t>
      </w:r>
      <w:r>
        <w:rPr>
          <w:color w:val="231F20"/>
          <w:spacing w:val="-5"/>
          <w:sz w:val="18"/>
        </w:rPr>
        <w:t> </w:t>
      </w:r>
      <w:r>
        <w:rPr>
          <w:color w:val="231F20"/>
          <w:sz w:val="18"/>
        </w:rPr>
        <w:t>переселенцев:</w:t>
      </w:r>
      <w:r>
        <w:rPr>
          <w:color w:val="231F20"/>
          <w:spacing w:val="-5"/>
          <w:sz w:val="18"/>
        </w:rPr>
        <w:t> </w:t>
      </w:r>
      <w:r>
        <w:rPr>
          <w:color w:val="231F20"/>
          <w:sz w:val="18"/>
        </w:rPr>
        <w:t>опыт</w:t>
      </w:r>
      <w:r>
        <w:rPr>
          <w:color w:val="231F20"/>
          <w:spacing w:val="-5"/>
          <w:sz w:val="18"/>
        </w:rPr>
        <w:t> </w:t>
      </w:r>
      <w:r>
        <w:rPr>
          <w:color w:val="231F20"/>
          <w:sz w:val="18"/>
        </w:rPr>
        <w:t>исследований</w:t>
      </w:r>
      <w:r>
        <w:rPr>
          <w:color w:val="231F20"/>
          <w:spacing w:val="-5"/>
          <w:sz w:val="18"/>
        </w:rPr>
        <w:t> </w:t>
      </w:r>
      <w:r>
        <w:rPr>
          <w:color w:val="231F20"/>
          <w:sz w:val="18"/>
        </w:rPr>
        <w:t>и</w:t>
      </w:r>
      <w:r>
        <w:rPr>
          <w:color w:val="231F20"/>
          <w:spacing w:val="-5"/>
          <w:sz w:val="18"/>
        </w:rPr>
        <w:t> </w:t>
      </w:r>
      <w:r>
        <w:rPr>
          <w:color w:val="231F20"/>
          <w:sz w:val="18"/>
        </w:rPr>
        <w:t>практи- ческой работы / под ред. Г.У. Солдатовой. – М.: Смысл, 2001. – 279 с.</w:t>
      </w:r>
    </w:p>
    <w:p>
      <w:pPr>
        <w:pStyle w:val="ListParagraph"/>
        <w:numPr>
          <w:ilvl w:val="2"/>
          <w:numId w:val="112"/>
        </w:numPr>
        <w:tabs>
          <w:tab w:pos="708" w:val="left" w:leader="none"/>
        </w:tabs>
        <w:spacing w:line="240" w:lineRule="auto" w:before="0" w:after="0"/>
        <w:ind w:left="708" w:right="423" w:hanging="284"/>
        <w:jc w:val="left"/>
        <w:rPr>
          <w:color w:val="231F20"/>
          <w:sz w:val="18"/>
        </w:rPr>
      </w:pPr>
      <w:r>
        <w:rPr>
          <w:color w:val="231F20"/>
          <w:sz w:val="18"/>
        </w:rPr>
        <w:t>Рот</w:t>
      </w:r>
      <w:r>
        <w:rPr>
          <w:color w:val="231F20"/>
          <w:spacing w:val="40"/>
          <w:sz w:val="18"/>
        </w:rPr>
        <w:t> </w:t>
      </w:r>
      <w:r>
        <w:rPr>
          <w:color w:val="231F20"/>
          <w:sz w:val="18"/>
        </w:rPr>
        <w:t>Ю.,</w:t>
      </w:r>
      <w:r>
        <w:rPr>
          <w:color w:val="231F20"/>
          <w:spacing w:val="40"/>
          <w:sz w:val="18"/>
        </w:rPr>
        <w:t> </w:t>
      </w:r>
      <w:r>
        <w:rPr>
          <w:color w:val="231F20"/>
          <w:sz w:val="18"/>
        </w:rPr>
        <w:t>Коптельцева</w:t>
      </w:r>
      <w:r>
        <w:rPr>
          <w:color w:val="231F20"/>
          <w:spacing w:val="40"/>
          <w:sz w:val="18"/>
        </w:rPr>
        <w:t> </w:t>
      </w:r>
      <w:r>
        <w:rPr>
          <w:color w:val="231F20"/>
          <w:sz w:val="18"/>
        </w:rPr>
        <w:t>Г.</w:t>
      </w:r>
      <w:r>
        <w:rPr>
          <w:color w:val="231F20"/>
          <w:spacing w:val="40"/>
          <w:sz w:val="18"/>
        </w:rPr>
        <w:t> </w:t>
      </w:r>
      <w:r>
        <w:rPr>
          <w:color w:val="231F20"/>
          <w:sz w:val="18"/>
        </w:rPr>
        <w:t>Межкультурная</w:t>
      </w:r>
      <w:r>
        <w:rPr>
          <w:color w:val="231F20"/>
          <w:spacing w:val="40"/>
          <w:sz w:val="18"/>
        </w:rPr>
        <w:t> </w:t>
      </w:r>
      <w:r>
        <w:rPr>
          <w:color w:val="231F20"/>
          <w:sz w:val="18"/>
        </w:rPr>
        <w:t>коммуникация:</w:t>
      </w:r>
      <w:r>
        <w:rPr>
          <w:color w:val="231F20"/>
          <w:spacing w:val="40"/>
          <w:sz w:val="18"/>
        </w:rPr>
        <w:t> </w:t>
      </w:r>
      <w:r>
        <w:rPr>
          <w:color w:val="231F20"/>
          <w:sz w:val="18"/>
        </w:rPr>
        <w:t>теория</w:t>
      </w:r>
      <w:r>
        <w:rPr>
          <w:color w:val="231F20"/>
          <w:spacing w:val="40"/>
          <w:sz w:val="18"/>
        </w:rPr>
        <w:t> </w:t>
      </w:r>
      <w:r>
        <w:rPr>
          <w:color w:val="231F20"/>
          <w:sz w:val="18"/>
        </w:rPr>
        <w:t>и</w:t>
      </w:r>
      <w:r>
        <w:rPr>
          <w:color w:val="231F20"/>
          <w:spacing w:val="40"/>
          <w:sz w:val="18"/>
        </w:rPr>
        <w:t> </w:t>
      </w:r>
      <w:r>
        <w:rPr>
          <w:color w:val="231F20"/>
          <w:sz w:val="18"/>
        </w:rPr>
        <w:t>тренинг.</w:t>
      </w:r>
      <w:r>
        <w:rPr>
          <w:color w:val="231F20"/>
          <w:spacing w:val="40"/>
          <w:sz w:val="18"/>
        </w:rPr>
        <w:t> </w:t>
      </w:r>
      <w:r>
        <w:rPr>
          <w:color w:val="231F20"/>
          <w:sz w:val="18"/>
        </w:rPr>
        <w:t>– М.: Юнити-Дана, 2006. – 223 с.</w:t>
      </w:r>
    </w:p>
    <w:p>
      <w:pPr>
        <w:pStyle w:val="ListParagraph"/>
        <w:numPr>
          <w:ilvl w:val="2"/>
          <w:numId w:val="112"/>
        </w:numPr>
        <w:tabs>
          <w:tab w:pos="708" w:val="left" w:leader="none"/>
        </w:tabs>
        <w:spacing w:line="202" w:lineRule="exact" w:before="0" w:after="0"/>
        <w:ind w:left="708" w:right="0" w:hanging="283"/>
        <w:jc w:val="left"/>
        <w:rPr>
          <w:color w:val="231F20"/>
          <w:sz w:val="18"/>
        </w:rPr>
      </w:pPr>
      <w:r>
        <w:rPr>
          <w:color w:val="231F20"/>
          <w:spacing w:val="-2"/>
          <w:sz w:val="18"/>
        </w:rPr>
        <w:t>Стефаненко</w:t>
      </w:r>
      <w:r>
        <w:rPr>
          <w:color w:val="231F20"/>
          <w:sz w:val="18"/>
        </w:rPr>
        <w:t> </w:t>
      </w:r>
      <w:r>
        <w:rPr>
          <w:color w:val="231F20"/>
          <w:spacing w:val="-2"/>
          <w:sz w:val="18"/>
        </w:rPr>
        <w:t>Т.Г.</w:t>
      </w:r>
      <w:r>
        <w:rPr>
          <w:color w:val="231F20"/>
          <w:spacing w:val="3"/>
          <w:sz w:val="18"/>
        </w:rPr>
        <w:t> </w:t>
      </w:r>
      <w:r>
        <w:rPr>
          <w:color w:val="231F20"/>
          <w:spacing w:val="-2"/>
          <w:sz w:val="18"/>
        </w:rPr>
        <w:t>Этнопсихология:</w:t>
      </w:r>
      <w:r>
        <w:rPr>
          <w:color w:val="231F20"/>
          <w:spacing w:val="2"/>
          <w:sz w:val="18"/>
        </w:rPr>
        <w:t> </w:t>
      </w:r>
      <w:r>
        <w:rPr>
          <w:color w:val="231F20"/>
          <w:spacing w:val="-2"/>
          <w:sz w:val="18"/>
        </w:rPr>
        <w:t>практикум.</w:t>
      </w:r>
      <w:r>
        <w:rPr>
          <w:color w:val="231F20"/>
          <w:spacing w:val="3"/>
          <w:sz w:val="18"/>
        </w:rPr>
        <w:t> </w:t>
      </w:r>
      <w:r>
        <w:rPr>
          <w:color w:val="231F20"/>
          <w:spacing w:val="-2"/>
          <w:sz w:val="18"/>
        </w:rPr>
        <w:t>–</w:t>
      </w:r>
      <w:r>
        <w:rPr>
          <w:color w:val="231F20"/>
          <w:spacing w:val="2"/>
          <w:sz w:val="18"/>
        </w:rPr>
        <w:t> </w:t>
      </w:r>
      <w:r>
        <w:rPr>
          <w:color w:val="231F20"/>
          <w:spacing w:val="-2"/>
          <w:sz w:val="18"/>
        </w:rPr>
        <w:t>М.,</w:t>
      </w:r>
      <w:r>
        <w:rPr>
          <w:color w:val="231F20"/>
          <w:spacing w:val="3"/>
          <w:sz w:val="18"/>
        </w:rPr>
        <w:t> </w:t>
      </w:r>
      <w:r>
        <w:rPr>
          <w:color w:val="231F20"/>
          <w:spacing w:val="-2"/>
          <w:sz w:val="18"/>
        </w:rPr>
        <w:t>2006.</w:t>
      </w:r>
    </w:p>
    <w:p>
      <w:pPr>
        <w:pStyle w:val="ListParagraph"/>
        <w:numPr>
          <w:ilvl w:val="2"/>
          <w:numId w:val="112"/>
        </w:numPr>
        <w:tabs>
          <w:tab w:pos="708" w:val="left" w:leader="none"/>
        </w:tabs>
        <w:spacing w:line="237" w:lineRule="auto" w:before="0" w:after="0"/>
        <w:ind w:left="708" w:right="423" w:hanging="284"/>
        <w:jc w:val="left"/>
        <w:rPr>
          <w:color w:val="231F20"/>
          <w:sz w:val="18"/>
        </w:rPr>
      </w:pPr>
      <w:r>
        <w:rPr>
          <w:color w:val="231F20"/>
          <w:sz w:val="18"/>
        </w:rPr>
        <w:t>Фопель</w:t>
      </w:r>
      <w:r>
        <w:rPr>
          <w:color w:val="231F20"/>
          <w:spacing w:val="-11"/>
          <w:sz w:val="18"/>
        </w:rPr>
        <w:t> </w:t>
      </w:r>
      <w:r>
        <w:rPr>
          <w:color w:val="231F20"/>
          <w:sz w:val="18"/>
        </w:rPr>
        <w:t>К.</w:t>
      </w:r>
      <w:r>
        <w:rPr>
          <w:color w:val="231F20"/>
          <w:spacing w:val="-11"/>
          <w:sz w:val="18"/>
        </w:rPr>
        <w:t> </w:t>
      </w:r>
      <w:r>
        <w:rPr>
          <w:color w:val="231F20"/>
          <w:sz w:val="18"/>
        </w:rPr>
        <w:t>Сплоченность</w:t>
      </w:r>
      <w:r>
        <w:rPr>
          <w:color w:val="231F20"/>
          <w:spacing w:val="-11"/>
          <w:sz w:val="18"/>
        </w:rPr>
        <w:t> </w:t>
      </w:r>
      <w:r>
        <w:rPr>
          <w:color w:val="231F20"/>
          <w:sz w:val="18"/>
        </w:rPr>
        <w:t>и</w:t>
      </w:r>
      <w:r>
        <w:rPr>
          <w:color w:val="231F20"/>
          <w:spacing w:val="-11"/>
          <w:sz w:val="18"/>
        </w:rPr>
        <w:t> </w:t>
      </w:r>
      <w:r>
        <w:rPr>
          <w:color w:val="231F20"/>
          <w:sz w:val="18"/>
        </w:rPr>
        <w:t>толерантность</w:t>
      </w:r>
      <w:r>
        <w:rPr>
          <w:color w:val="231F20"/>
          <w:spacing w:val="-11"/>
          <w:sz w:val="18"/>
        </w:rPr>
        <w:t> </w:t>
      </w:r>
      <w:r>
        <w:rPr>
          <w:color w:val="231F20"/>
          <w:sz w:val="18"/>
        </w:rPr>
        <w:t>в</w:t>
      </w:r>
      <w:r>
        <w:rPr>
          <w:color w:val="231F20"/>
          <w:spacing w:val="-11"/>
          <w:sz w:val="18"/>
        </w:rPr>
        <w:t> </w:t>
      </w:r>
      <w:r>
        <w:rPr>
          <w:color w:val="231F20"/>
          <w:sz w:val="18"/>
        </w:rPr>
        <w:t>группе:</w:t>
      </w:r>
      <w:r>
        <w:rPr>
          <w:color w:val="231F20"/>
          <w:spacing w:val="-11"/>
          <w:sz w:val="18"/>
        </w:rPr>
        <w:t> </w:t>
      </w:r>
      <w:r>
        <w:rPr>
          <w:color w:val="231F20"/>
          <w:sz w:val="18"/>
        </w:rPr>
        <w:t>психологические</w:t>
      </w:r>
      <w:r>
        <w:rPr>
          <w:color w:val="231F20"/>
          <w:spacing w:val="-11"/>
          <w:sz w:val="18"/>
        </w:rPr>
        <w:t> </w:t>
      </w:r>
      <w:r>
        <w:rPr>
          <w:color w:val="231F20"/>
          <w:sz w:val="18"/>
        </w:rPr>
        <w:t>игры</w:t>
      </w:r>
      <w:r>
        <w:rPr>
          <w:color w:val="231F20"/>
          <w:spacing w:val="-11"/>
          <w:sz w:val="18"/>
        </w:rPr>
        <w:t> </w:t>
      </w:r>
      <w:r>
        <w:rPr>
          <w:color w:val="231F20"/>
          <w:sz w:val="18"/>
        </w:rPr>
        <w:t>и</w:t>
      </w:r>
      <w:r>
        <w:rPr>
          <w:color w:val="231F20"/>
          <w:spacing w:val="-11"/>
          <w:sz w:val="18"/>
        </w:rPr>
        <w:t> </w:t>
      </w:r>
      <w:r>
        <w:rPr>
          <w:color w:val="231F20"/>
          <w:sz w:val="18"/>
        </w:rPr>
        <w:t>упраж- нения. – М., 2002.</w:t>
      </w:r>
    </w:p>
    <w:p>
      <w:pPr>
        <w:pStyle w:val="ListParagraph"/>
        <w:numPr>
          <w:ilvl w:val="2"/>
          <w:numId w:val="112"/>
        </w:numPr>
        <w:tabs>
          <w:tab w:pos="708" w:val="left" w:leader="none"/>
        </w:tabs>
        <w:spacing w:line="237" w:lineRule="auto" w:before="0" w:after="0"/>
        <w:ind w:left="708" w:right="423" w:hanging="284"/>
        <w:jc w:val="left"/>
        <w:rPr>
          <w:color w:val="231F20"/>
          <w:sz w:val="18"/>
        </w:rPr>
      </w:pPr>
      <w:r>
        <w:rPr>
          <w:color w:val="231F20"/>
          <w:sz w:val="18"/>
        </w:rPr>
        <w:t>Хухлаева</w:t>
      </w:r>
      <w:r>
        <w:rPr>
          <w:color w:val="231F20"/>
          <w:spacing w:val="-6"/>
          <w:sz w:val="18"/>
        </w:rPr>
        <w:t> </w:t>
      </w:r>
      <w:r>
        <w:rPr>
          <w:color w:val="231F20"/>
          <w:sz w:val="18"/>
        </w:rPr>
        <w:t>О.В.,</w:t>
      </w:r>
      <w:r>
        <w:rPr>
          <w:color w:val="231F20"/>
          <w:spacing w:val="19"/>
          <w:sz w:val="18"/>
        </w:rPr>
        <w:t> </w:t>
      </w:r>
      <w:r>
        <w:rPr>
          <w:color w:val="231F20"/>
          <w:sz w:val="18"/>
        </w:rPr>
        <w:t>Чибисова</w:t>
      </w:r>
      <w:r>
        <w:rPr>
          <w:color w:val="231F20"/>
          <w:spacing w:val="-6"/>
          <w:sz w:val="18"/>
        </w:rPr>
        <w:t> </w:t>
      </w:r>
      <w:r>
        <w:rPr>
          <w:color w:val="231F20"/>
          <w:sz w:val="18"/>
        </w:rPr>
        <w:t>М.Ю.</w:t>
      </w:r>
      <w:r>
        <w:rPr>
          <w:color w:val="231F20"/>
          <w:spacing w:val="19"/>
          <w:sz w:val="18"/>
        </w:rPr>
        <w:t> </w:t>
      </w:r>
      <w:r>
        <w:rPr>
          <w:color w:val="231F20"/>
          <w:sz w:val="18"/>
        </w:rPr>
        <w:t>Работа</w:t>
      </w:r>
      <w:r>
        <w:rPr>
          <w:color w:val="231F20"/>
          <w:spacing w:val="19"/>
          <w:sz w:val="18"/>
        </w:rPr>
        <w:t> </w:t>
      </w:r>
      <w:r>
        <w:rPr>
          <w:color w:val="231F20"/>
          <w:sz w:val="18"/>
        </w:rPr>
        <w:t>психолога</w:t>
      </w:r>
      <w:r>
        <w:rPr>
          <w:color w:val="231F20"/>
          <w:spacing w:val="19"/>
          <w:sz w:val="18"/>
        </w:rPr>
        <w:t> </w:t>
      </w:r>
      <w:r>
        <w:rPr>
          <w:color w:val="231F20"/>
          <w:sz w:val="18"/>
        </w:rPr>
        <w:t>в</w:t>
      </w:r>
      <w:r>
        <w:rPr>
          <w:color w:val="231F20"/>
          <w:spacing w:val="19"/>
          <w:sz w:val="18"/>
        </w:rPr>
        <w:t> </w:t>
      </w:r>
      <w:r>
        <w:rPr>
          <w:color w:val="231F20"/>
          <w:sz w:val="18"/>
        </w:rPr>
        <w:t>многонациональной</w:t>
      </w:r>
      <w:r>
        <w:rPr>
          <w:color w:val="231F20"/>
          <w:spacing w:val="19"/>
          <w:sz w:val="18"/>
        </w:rPr>
        <w:t> </w:t>
      </w:r>
      <w:r>
        <w:rPr>
          <w:color w:val="231F20"/>
          <w:sz w:val="18"/>
        </w:rPr>
        <w:t>школе.</w:t>
      </w:r>
      <w:r>
        <w:rPr>
          <w:color w:val="231F20"/>
          <w:spacing w:val="19"/>
          <w:sz w:val="18"/>
        </w:rPr>
        <w:t> </w:t>
      </w:r>
      <w:r>
        <w:rPr>
          <w:color w:val="231F20"/>
          <w:sz w:val="18"/>
        </w:rPr>
        <w:t>– М.: Форум, 2011. – 176 с.</w:t>
      </w:r>
    </w:p>
    <w:p>
      <w:pPr>
        <w:pStyle w:val="ListParagraph"/>
        <w:numPr>
          <w:ilvl w:val="2"/>
          <w:numId w:val="112"/>
        </w:numPr>
        <w:tabs>
          <w:tab w:pos="708" w:val="left" w:leader="none"/>
        </w:tabs>
        <w:spacing w:line="237" w:lineRule="auto" w:before="0" w:after="0"/>
        <w:ind w:left="708" w:right="423" w:hanging="284"/>
        <w:jc w:val="left"/>
        <w:rPr>
          <w:color w:val="231F20"/>
          <w:sz w:val="18"/>
        </w:rPr>
      </w:pPr>
      <w:r>
        <w:rPr>
          <w:color w:val="231F20"/>
          <w:sz w:val="18"/>
        </w:rPr>
        <w:t>Чикер</w:t>
      </w:r>
      <w:r>
        <w:rPr>
          <w:color w:val="231F20"/>
          <w:spacing w:val="-5"/>
          <w:sz w:val="18"/>
        </w:rPr>
        <w:t> </w:t>
      </w:r>
      <w:r>
        <w:rPr>
          <w:color w:val="231F20"/>
          <w:sz w:val="18"/>
        </w:rPr>
        <w:t>В.А.,</w:t>
      </w:r>
      <w:r>
        <w:rPr>
          <w:color w:val="231F20"/>
          <w:spacing w:val="40"/>
          <w:sz w:val="18"/>
        </w:rPr>
        <w:t> </w:t>
      </w:r>
      <w:r>
        <w:rPr>
          <w:color w:val="231F20"/>
          <w:sz w:val="18"/>
        </w:rPr>
        <w:t>Капустина</w:t>
      </w:r>
      <w:r>
        <w:rPr>
          <w:color w:val="231F20"/>
          <w:spacing w:val="-5"/>
          <w:sz w:val="18"/>
        </w:rPr>
        <w:t> </w:t>
      </w:r>
      <w:r>
        <w:rPr>
          <w:color w:val="231F20"/>
          <w:sz w:val="18"/>
        </w:rPr>
        <w:t>А.Н.,</w:t>
      </w:r>
      <w:r>
        <w:rPr>
          <w:color w:val="231F20"/>
          <w:spacing w:val="40"/>
          <w:sz w:val="18"/>
        </w:rPr>
        <w:t> </w:t>
      </w:r>
      <w:r>
        <w:rPr>
          <w:color w:val="231F20"/>
          <w:sz w:val="18"/>
        </w:rPr>
        <w:t>Захарова</w:t>
      </w:r>
      <w:r>
        <w:rPr>
          <w:color w:val="231F20"/>
          <w:spacing w:val="-5"/>
          <w:sz w:val="18"/>
        </w:rPr>
        <w:t> </w:t>
      </w:r>
      <w:r>
        <w:rPr>
          <w:color w:val="231F20"/>
          <w:sz w:val="18"/>
        </w:rPr>
        <w:t>А.М.</w:t>
      </w:r>
      <w:r>
        <w:rPr>
          <w:color w:val="231F20"/>
          <w:spacing w:val="40"/>
          <w:sz w:val="18"/>
        </w:rPr>
        <w:t> </w:t>
      </w:r>
      <w:r>
        <w:rPr>
          <w:color w:val="231F20"/>
          <w:sz w:val="18"/>
        </w:rPr>
        <w:t>18</w:t>
      </w:r>
      <w:r>
        <w:rPr>
          <w:color w:val="231F20"/>
          <w:spacing w:val="-5"/>
          <w:sz w:val="18"/>
        </w:rPr>
        <w:t> </w:t>
      </w:r>
      <w:r>
        <w:rPr>
          <w:color w:val="231F20"/>
          <w:sz w:val="18"/>
        </w:rPr>
        <w:t>программ</w:t>
      </w:r>
      <w:r>
        <w:rPr>
          <w:color w:val="231F20"/>
          <w:spacing w:val="-5"/>
          <w:sz w:val="18"/>
        </w:rPr>
        <w:t> </w:t>
      </w:r>
      <w:r>
        <w:rPr>
          <w:color w:val="231F20"/>
          <w:sz w:val="18"/>
        </w:rPr>
        <w:t>тренингов:</w:t>
      </w:r>
      <w:r>
        <w:rPr>
          <w:color w:val="231F20"/>
          <w:spacing w:val="-5"/>
          <w:sz w:val="18"/>
        </w:rPr>
        <w:t> </w:t>
      </w:r>
      <w:r>
        <w:rPr>
          <w:color w:val="231F20"/>
          <w:sz w:val="18"/>
        </w:rPr>
        <w:t>руководство для профессионалов. – СПб., 2007. (Раздел про межкультурный тренинг.)</w:t>
      </w:r>
    </w:p>
    <w:p>
      <w:pPr>
        <w:numPr>
          <w:ilvl w:val="2"/>
          <w:numId w:val="101"/>
        </w:numPr>
        <w:tabs>
          <w:tab w:pos="2220" w:val="left" w:leader="none"/>
        </w:tabs>
        <w:spacing w:line="232" w:lineRule="auto" w:before="200"/>
        <w:ind w:left="959" w:right="958" w:firstLine="761"/>
        <w:jc w:val="left"/>
        <w:rPr>
          <w:b/>
          <w:sz w:val="20"/>
        </w:rPr>
      </w:pPr>
      <w:r>
        <w:rPr>
          <w:b/>
          <w:color w:val="231F20"/>
          <w:sz w:val="20"/>
        </w:rPr>
        <w:t>Психологический театр как технология групповой</w:t>
      </w:r>
      <w:r>
        <w:rPr>
          <w:b/>
          <w:color w:val="231F20"/>
          <w:spacing w:val="-13"/>
          <w:sz w:val="20"/>
        </w:rPr>
        <w:t> </w:t>
      </w:r>
      <w:r>
        <w:rPr>
          <w:b/>
          <w:color w:val="231F20"/>
          <w:sz w:val="20"/>
        </w:rPr>
        <w:t>психологической</w:t>
      </w:r>
      <w:r>
        <w:rPr>
          <w:b/>
          <w:color w:val="231F20"/>
          <w:spacing w:val="-12"/>
          <w:sz w:val="20"/>
        </w:rPr>
        <w:t> </w:t>
      </w:r>
      <w:r>
        <w:rPr>
          <w:b/>
          <w:color w:val="231F20"/>
          <w:sz w:val="20"/>
        </w:rPr>
        <w:t>работы</w:t>
      </w:r>
      <w:r>
        <w:rPr>
          <w:b/>
          <w:color w:val="231F20"/>
          <w:spacing w:val="-13"/>
          <w:sz w:val="20"/>
        </w:rPr>
        <w:t> </w:t>
      </w:r>
      <w:r>
        <w:rPr>
          <w:b/>
          <w:color w:val="231F20"/>
          <w:sz w:val="20"/>
        </w:rPr>
        <w:t>в</w:t>
      </w:r>
      <w:r>
        <w:rPr>
          <w:b/>
          <w:color w:val="231F20"/>
          <w:spacing w:val="-12"/>
          <w:sz w:val="20"/>
        </w:rPr>
        <w:t> </w:t>
      </w:r>
      <w:r>
        <w:rPr>
          <w:b/>
          <w:color w:val="231F20"/>
          <w:sz w:val="20"/>
        </w:rPr>
        <w:t>поликультурном</w:t>
      </w:r>
      <w:r>
        <w:rPr>
          <w:b/>
          <w:color w:val="231F20"/>
          <w:spacing w:val="-13"/>
          <w:sz w:val="20"/>
        </w:rPr>
        <w:t> </w:t>
      </w:r>
      <w:r>
        <w:rPr>
          <w:b/>
          <w:color w:val="231F20"/>
          <w:sz w:val="20"/>
        </w:rPr>
        <w:t>классе</w:t>
      </w:r>
    </w:p>
    <w:p>
      <w:pPr>
        <w:spacing w:before="109"/>
        <w:ind w:left="425" w:right="0" w:firstLine="5898"/>
        <w:jc w:val="left"/>
        <w:rPr>
          <w:i/>
          <w:sz w:val="20"/>
        </w:rPr>
      </w:pPr>
      <w:r>
        <w:rPr>
          <w:i/>
          <w:color w:val="231F20"/>
          <w:sz w:val="20"/>
        </w:rPr>
        <w:t>О.Е.</w:t>
      </w:r>
      <w:r>
        <w:rPr>
          <w:i/>
          <w:color w:val="231F20"/>
          <w:spacing w:val="-2"/>
          <w:sz w:val="20"/>
        </w:rPr>
        <w:t> Хухлаев</w:t>
      </w:r>
    </w:p>
    <w:p>
      <w:pPr>
        <w:pStyle w:val="BodyText"/>
        <w:spacing w:line="230" w:lineRule="auto" w:before="115"/>
        <w:jc w:val="right"/>
      </w:pPr>
      <w:r>
        <w:rPr>
          <w:color w:val="231F20"/>
        </w:rPr>
        <w:t>В</w:t>
      </w:r>
      <w:r>
        <w:rPr>
          <w:color w:val="231F20"/>
          <w:spacing w:val="40"/>
        </w:rPr>
        <w:t> </w:t>
      </w:r>
      <w:r>
        <w:rPr>
          <w:color w:val="231F20"/>
        </w:rPr>
        <w:t>работе</w:t>
      </w:r>
      <w:r>
        <w:rPr>
          <w:color w:val="231F20"/>
          <w:spacing w:val="40"/>
        </w:rPr>
        <w:t> </w:t>
      </w:r>
      <w:r>
        <w:rPr>
          <w:color w:val="231F20"/>
        </w:rPr>
        <w:t>педагога-психолога</w:t>
      </w:r>
      <w:r>
        <w:rPr>
          <w:color w:val="231F20"/>
          <w:spacing w:val="40"/>
        </w:rPr>
        <w:t> </w:t>
      </w:r>
      <w:r>
        <w:rPr>
          <w:color w:val="231F20"/>
        </w:rPr>
        <w:t>с</w:t>
      </w:r>
      <w:r>
        <w:rPr>
          <w:color w:val="231F20"/>
          <w:spacing w:val="40"/>
        </w:rPr>
        <w:t> </w:t>
      </w:r>
      <w:r>
        <w:rPr>
          <w:color w:val="231F20"/>
        </w:rPr>
        <w:t>ученическим</w:t>
      </w:r>
      <w:r>
        <w:rPr>
          <w:color w:val="231F20"/>
          <w:spacing w:val="40"/>
        </w:rPr>
        <w:t> </w:t>
      </w:r>
      <w:r>
        <w:rPr>
          <w:color w:val="231F20"/>
        </w:rPr>
        <w:t>сообществом</w:t>
      </w:r>
      <w:r>
        <w:rPr>
          <w:color w:val="231F20"/>
          <w:spacing w:val="40"/>
        </w:rPr>
        <w:t> </w:t>
      </w:r>
      <w:r>
        <w:rPr>
          <w:color w:val="231F20"/>
        </w:rPr>
        <w:t>по</w:t>
      </w:r>
      <w:r>
        <w:rPr>
          <w:color w:val="231F20"/>
          <w:spacing w:val="40"/>
        </w:rPr>
        <w:t> </w:t>
      </w:r>
      <w:r>
        <w:rPr>
          <w:color w:val="231F20"/>
        </w:rPr>
        <w:t>адаптации</w:t>
      </w:r>
      <w:r>
        <w:rPr>
          <w:color w:val="231F20"/>
          <w:spacing w:val="40"/>
        </w:rPr>
        <w:t> </w:t>
      </w:r>
      <w:r>
        <w:rPr>
          <w:color w:val="231F20"/>
        </w:rPr>
        <w:t>де- тей</w:t>
      </w:r>
      <w:r>
        <w:rPr>
          <w:color w:val="231F20"/>
          <w:spacing w:val="-9"/>
        </w:rPr>
        <w:t> </w:t>
      </w:r>
      <w:r>
        <w:rPr>
          <w:color w:val="231F20"/>
        </w:rPr>
        <w:t>–</w:t>
      </w:r>
      <w:r>
        <w:rPr>
          <w:color w:val="231F20"/>
          <w:spacing w:val="-9"/>
        </w:rPr>
        <w:t> </w:t>
      </w:r>
      <w:r>
        <w:rPr>
          <w:color w:val="231F20"/>
        </w:rPr>
        <w:t>иностранных</w:t>
      </w:r>
      <w:r>
        <w:rPr>
          <w:color w:val="231F20"/>
          <w:spacing w:val="-9"/>
        </w:rPr>
        <w:t> </w:t>
      </w:r>
      <w:r>
        <w:rPr>
          <w:color w:val="231F20"/>
        </w:rPr>
        <w:t>граждан</w:t>
      </w:r>
      <w:r>
        <w:rPr>
          <w:color w:val="231F20"/>
          <w:spacing w:val="-9"/>
        </w:rPr>
        <w:t> </w:t>
      </w:r>
      <w:r>
        <w:rPr>
          <w:color w:val="231F20"/>
        </w:rPr>
        <w:t>необходимо</w:t>
      </w:r>
      <w:r>
        <w:rPr>
          <w:color w:val="231F20"/>
          <w:spacing w:val="-9"/>
        </w:rPr>
        <w:t> </w:t>
      </w:r>
      <w:r>
        <w:rPr>
          <w:color w:val="231F20"/>
        </w:rPr>
        <w:t>использовать</w:t>
      </w:r>
      <w:r>
        <w:rPr>
          <w:color w:val="231F20"/>
          <w:spacing w:val="-9"/>
        </w:rPr>
        <w:t> </w:t>
      </w:r>
      <w:r>
        <w:rPr>
          <w:color w:val="231F20"/>
        </w:rPr>
        <w:t>подходы,</w:t>
      </w:r>
      <w:r>
        <w:rPr>
          <w:color w:val="231F20"/>
          <w:spacing w:val="-9"/>
        </w:rPr>
        <w:t> </w:t>
      </w:r>
      <w:r>
        <w:rPr>
          <w:color w:val="231F20"/>
        </w:rPr>
        <w:t>адекватные</w:t>
      </w:r>
      <w:r>
        <w:rPr>
          <w:color w:val="231F20"/>
          <w:spacing w:val="-9"/>
        </w:rPr>
        <w:t> </w:t>
      </w:r>
      <w:r>
        <w:rPr>
          <w:color w:val="231F20"/>
        </w:rPr>
        <w:t>культур- ным и возрастным особенностям детей. Один из методов, хорошо зарекомендовав- ших себя в работе с детьми беженцев и вынужденных переселенцев, – групповые</w:t>
      </w:r>
      <w:r>
        <w:rPr>
          <w:color w:val="231F20"/>
          <w:spacing w:val="80"/>
        </w:rPr>
        <w:t> </w:t>
      </w:r>
      <w:r>
        <w:rPr>
          <w:color w:val="231F20"/>
        </w:rPr>
        <w:t>арт-терапевтические</w:t>
      </w:r>
      <w:r>
        <w:rPr>
          <w:color w:val="231F20"/>
          <w:spacing w:val="40"/>
        </w:rPr>
        <w:t> </w:t>
      </w:r>
      <w:r>
        <w:rPr>
          <w:color w:val="231F20"/>
        </w:rPr>
        <w:t>технологии</w:t>
      </w:r>
      <w:r>
        <w:rPr>
          <w:color w:val="231F20"/>
          <w:spacing w:val="40"/>
        </w:rPr>
        <w:t> </w:t>
      </w:r>
      <w:r>
        <w:rPr>
          <w:color w:val="231F20"/>
        </w:rPr>
        <w:t>(</w:t>
      </w:r>
      <w:r>
        <w:rPr/>
        <w:t>Байерс,</w:t>
      </w:r>
      <w:r>
        <w:rPr>
          <w:spacing w:val="40"/>
        </w:rPr>
        <w:t> </w:t>
      </w:r>
      <w:r>
        <w:rPr>
          <w:color w:val="231F20"/>
        </w:rPr>
        <w:t>2000;</w:t>
      </w:r>
      <w:r>
        <w:rPr>
          <w:color w:val="231F20"/>
          <w:spacing w:val="40"/>
        </w:rPr>
        <w:t> </w:t>
      </w:r>
      <w:r>
        <w:rPr/>
        <w:t>Калманович,</w:t>
      </w:r>
      <w:r>
        <w:rPr>
          <w:spacing w:val="40"/>
        </w:rPr>
        <w:t> </w:t>
      </w:r>
      <w:r>
        <w:rPr/>
        <w:t>Ллойд,</w:t>
      </w:r>
      <w:r>
        <w:rPr>
          <w:spacing w:val="40"/>
        </w:rPr>
        <w:t> </w:t>
      </w:r>
      <w:r>
        <w:rPr>
          <w:color w:val="231F20"/>
        </w:rPr>
        <w:t>2000</w:t>
      </w:r>
      <w:r>
        <w:rPr>
          <w:color w:val="231F20"/>
          <w:spacing w:val="40"/>
        </w:rPr>
        <w:t> </w:t>
      </w:r>
      <w:r>
        <w:rPr>
          <w:color w:val="231F20"/>
        </w:rPr>
        <w:t>и</w:t>
      </w:r>
      <w:r>
        <w:rPr>
          <w:color w:val="231F20"/>
          <w:spacing w:val="40"/>
        </w:rPr>
        <w:t> </w:t>
      </w:r>
      <w:r>
        <w:rPr>
          <w:color w:val="231F20"/>
        </w:rPr>
        <w:t>др.). С</w:t>
      </w:r>
      <w:r>
        <w:rPr>
          <w:color w:val="231F20"/>
          <w:spacing w:val="-6"/>
        </w:rPr>
        <w:t> </w:t>
      </w:r>
      <w:r>
        <w:rPr>
          <w:color w:val="231F20"/>
        </w:rPr>
        <w:t>точки</w:t>
      </w:r>
      <w:r>
        <w:rPr>
          <w:color w:val="231F20"/>
          <w:spacing w:val="-6"/>
        </w:rPr>
        <w:t> </w:t>
      </w:r>
      <w:r>
        <w:rPr>
          <w:color w:val="231F20"/>
        </w:rPr>
        <w:t>зрения</w:t>
      </w:r>
      <w:r>
        <w:rPr>
          <w:color w:val="231F20"/>
          <w:spacing w:val="-6"/>
        </w:rPr>
        <w:t> </w:t>
      </w:r>
      <w:r>
        <w:rPr>
          <w:color w:val="231F20"/>
        </w:rPr>
        <w:t>М.</w:t>
      </w:r>
      <w:r>
        <w:rPr>
          <w:color w:val="231F20"/>
          <w:spacing w:val="-6"/>
        </w:rPr>
        <w:t> </w:t>
      </w:r>
      <w:r>
        <w:rPr>
          <w:color w:val="231F20"/>
        </w:rPr>
        <w:t>Мауро,</w:t>
      </w:r>
      <w:r>
        <w:rPr>
          <w:color w:val="231F20"/>
          <w:spacing w:val="-6"/>
        </w:rPr>
        <w:t> </w:t>
      </w:r>
      <w:r>
        <w:rPr>
          <w:color w:val="231F20"/>
        </w:rPr>
        <w:t>задача</w:t>
      </w:r>
      <w:r>
        <w:rPr>
          <w:color w:val="231F20"/>
          <w:spacing w:val="-6"/>
        </w:rPr>
        <w:t> </w:t>
      </w:r>
      <w:r>
        <w:rPr>
          <w:color w:val="231F20"/>
        </w:rPr>
        <w:t>арт-терапии</w:t>
      </w:r>
      <w:r>
        <w:rPr>
          <w:color w:val="231F20"/>
          <w:spacing w:val="-6"/>
        </w:rPr>
        <w:t> </w:t>
      </w:r>
      <w:r>
        <w:rPr>
          <w:color w:val="231F20"/>
        </w:rPr>
        <w:t>–</w:t>
      </w:r>
      <w:r>
        <w:rPr>
          <w:color w:val="231F20"/>
          <w:spacing w:val="-6"/>
        </w:rPr>
        <w:t> </w:t>
      </w:r>
      <w:r>
        <w:rPr>
          <w:color w:val="231F20"/>
        </w:rPr>
        <w:t>помочь</w:t>
      </w:r>
      <w:r>
        <w:rPr>
          <w:color w:val="231F20"/>
          <w:spacing w:val="-6"/>
        </w:rPr>
        <w:t> </w:t>
      </w:r>
      <w:r>
        <w:rPr>
          <w:color w:val="231F20"/>
        </w:rPr>
        <w:t>подростку-мигранту</w:t>
      </w:r>
      <w:r>
        <w:rPr>
          <w:color w:val="231F20"/>
          <w:spacing w:val="-6"/>
        </w:rPr>
        <w:t> </w:t>
      </w:r>
      <w:r>
        <w:rPr>
          <w:color w:val="231F20"/>
        </w:rPr>
        <w:t>в</w:t>
      </w:r>
      <w:r>
        <w:rPr>
          <w:color w:val="231F20"/>
          <w:spacing w:val="-6"/>
        </w:rPr>
        <w:t> </w:t>
      </w:r>
      <w:r>
        <w:rPr>
          <w:color w:val="231F20"/>
        </w:rPr>
        <w:t>дости- жении</w:t>
      </w:r>
      <w:r>
        <w:rPr>
          <w:color w:val="231F20"/>
          <w:spacing w:val="-4"/>
        </w:rPr>
        <w:t> </w:t>
      </w:r>
      <w:r>
        <w:rPr>
          <w:color w:val="231F20"/>
        </w:rPr>
        <w:t>положительной</w:t>
      </w:r>
      <w:r>
        <w:rPr>
          <w:color w:val="231F20"/>
          <w:spacing w:val="-4"/>
        </w:rPr>
        <w:t> </w:t>
      </w:r>
      <w:r>
        <w:rPr>
          <w:color w:val="231F20"/>
        </w:rPr>
        <w:t>стадии</w:t>
      </w:r>
      <w:r>
        <w:rPr>
          <w:color w:val="231F20"/>
          <w:spacing w:val="-4"/>
        </w:rPr>
        <w:t> </w:t>
      </w:r>
      <w:r>
        <w:rPr>
          <w:color w:val="231F20"/>
        </w:rPr>
        <w:t>становления</w:t>
      </w:r>
      <w:r>
        <w:rPr>
          <w:color w:val="231F20"/>
          <w:spacing w:val="-3"/>
        </w:rPr>
        <w:t> </w:t>
      </w:r>
      <w:r>
        <w:rPr>
          <w:color w:val="231F20"/>
        </w:rPr>
        <w:t>культурной</w:t>
      </w:r>
      <w:r>
        <w:rPr>
          <w:color w:val="231F20"/>
          <w:spacing w:val="-4"/>
        </w:rPr>
        <w:t> </w:t>
      </w:r>
      <w:r>
        <w:rPr>
          <w:color w:val="231F20"/>
        </w:rPr>
        <w:t>идентичности</w:t>
      </w:r>
      <w:r>
        <w:rPr>
          <w:color w:val="231F20"/>
          <w:spacing w:val="-4"/>
        </w:rPr>
        <w:t> </w:t>
      </w:r>
      <w:r>
        <w:rPr>
          <w:color w:val="231F20"/>
        </w:rPr>
        <w:t>(</w:t>
      </w:r>
      <w:r>
        <w:rPr/>
        <w:t>Мауро</w:t>
      </w:r>
      <w:r>
        <w:rPr>
          <w:color w:val="231F20"/>
        </w:rPr>
        <w:t>,</w:t>
      </w:r>
      <w:r>
        <w:rPr>
          <w:color w:val="231F20"/>
          <w:spacing w:val="-3"/>
        </w:rPr>
        <w:t> </w:t>
      </w:r>
      <w:r>
        <w:rPr>
          <w:color w:val="231F20"/>
        </w:rPr>
        <w:t>2000). В данном тексте описан ряд арт-терапевтических методов, названных нами пси- хологическим</w:t>
      </w:r>
      <w:r>
        <w:rPr>
          <w:color w:val="231F20"/>
          <w:spacing w:val="17"/>
        </w:rPr>
        <w:t> </w:t>
      </w:r>
      <w:r>
        <w:rPr>
          <w:color w:val="231F20"/>
        </w:rPr>
        <w:t>театром,</w:t>
      </w:r>
      <w:r>
        <w:rPr>
          <w:color w:val="231F20"/>
          <w:spacing w:val="17"/>
        </w:rPr>
        <w:t> </w:t>
      </w:r>
      <w:r>
        <w:rPr>
          <w:color w:val="231F20"/>
        </w:rPr>
        <w:t>объединяющих</w:t>
      </w:r>
      <w:r>
        <w:rPr>
          <w:color w:val="231F20"/>
          <w:spacing w:val="18"/>
        </w:rPr>
        <w:t> </w:t>
      </w:r>
      <w:r>
        <w:rPr>
          <w:color w:val="231F20"/>
        </w:rPr>
        <w:t>различные</w:t>
      </w:r>
      <w:r>
        <w:rPr>
          <w:color w:val="231F20"/>
          <w:spacing w:val="17"/>
        </w:rPr>
        <w:t> </w:t>
      </w:r>
      <w:r>
        <w:rPr>
          <w:color w:val="231F20"/>
        </w:rPr>
        <w:t>формы</w:t>
      </w:r>
      <w:r>
        <w:rPr>
          <w:color w:val="231F20"/>
          <w:spacing w:val="17"/>
        </w:rPr>
        <w:t> </w:t>
      </w:r>
      <w:r>
        <w:rPr>
          <w:color w:val="231F20"/>
        </w:rPr>
        <w:t>групповой</w:t>
      </w:r>
      <w:r>
        <w:rPr>
          <w:color w:val="231F20"/>
          <w:spacing w:val="18"/>
        </w:rPr>
        <w:t> </w:t>
      </w:r>
      <w:r>
        <w:rPr>
          <w:color w:val="231F20"/>
        </w:rPr>
        <w:t>работы</w:t>
      </w:r>
      <w:r>
        <w:rPr>
          <w:color w:val="231F20"/>
          <w:spacing w:val="17"/>
        </w:rPr>
        <w:t> </w:t>
      </w:r>
      <w:r>
        <w:rPr>
          <w:color w:val="231F20"/>
        </w:rPr>
        <w:t>с</w:t>
      </w:r>
      <w:r>
        <w:rPr>
          <w:color w:val="231F20"/>
          <w:spacing w:val="18"/>
        </w:rPr>
        <w:t> </w:t>
      </w:r>
      <w:r>
        <w:rPr>
          <w:color w:val="231F20"/>
          <w:spacing w:val="-4"/>
        </w:rPr>
        <w:t>под-</w:t>
      </w:r>
    </w:p>
    <w:p>
      <w:pPr>
        <w:pStyle w:val="BodyText"/>
        <w:spacing w:line="210" w:lineRule="exact"/>
        <w:ind w:right="0" w:firstLine="0"/>
        <w:jc w:val="left"/>
      </w:pPr>
      <w:r>
        <w:rPr>
          <w:color w:val="231F20"/>
          <w:spacing w:val="-2"/>
        </w:rPr>
        <w:t>ростками.</w:t>
      </w:r>
    </w:p>
    <w:p>
      <w:pPr>
        <w:pStyle w:val="BodyText"/>
        <w:spacing w:line="230" w:lineRule="auto" w:before="3"/>
      </w:pPr>
      <w:r>
        <w:rPr>
          <w:color w:val="231F20"/>
        </w:rPr>
        <w:t>Подчеркнем, что в рамках психологической работы использование театральной модели будет отличаться от привычной для педагога театральной работы. Эти от- личия заключаются в психологической направленности, акценте на переживаниях участников,</w:t>
      </w:r>
      <w:r>
        <w:rPr>
          <w:color w:val="231F20"/>
          <w:spacing w:val="-3"/>
        </w:rPr>
        <w:t> </w:t>
      </w:r>
      <w:r>
        <w:rPr>
          <w:color w:val="231F20"/>
        </w:rPr>
        <w:t>а</w:t>
      </w:r>
      <w:r>
        <w:rPr>
          <w:color w:val="231F20"/>
          <w:spacing w:val="-3"/>
        </w:rPr>
        <w:t> </w:t>
      </w:r>
      <w:r>
        <w:rPr>
          <w:color w:val="231F20"/>
        </w:rPr>
        <w:t>не</w:t>
      </w:r>
      <w:r>
        <w:rPr>
          <w:color w:val="231F20"/>
          <w:spacing w:val="-3"/>
        </w:rPr>
        <w:t> </w:t>
      </w:r>
      <w:r>
        <w:rPr>
          <w:color w:val="231F20"/>
        </w:rPr>
        <w:t>на</w:t>
      </w:r>
      <w:r>
        <w:rPr>
          <w:color w:val="231F20"/>
          <w:spacing w:val="-3"/>
        </w:rPr>
        <w:t> </w:t>
      </w:r>
      <w:r>
        <w:rPr>
          <w:color w:val="231F20"/>
        </w:rPr>
        <w:t>театральной</w:t>
      </w:r>
      <w:r>
        <w:rPr>
          <w:color w:val="231F20"/>
          <w:spacing w:val="-3"/>
        </w:rPr>
        <w:t> </w:t>
      </w:r>
      <w:r>
        <w:rPr>
          <w:color w:val="231F20"/>
        </w:rPr>
        <w:t>форме.</w:t>
      </w:r>
      <w:r>
        <w:rPr>
          <w:color w:val="231F20"/>
          <w:spacing w:val="-3"/>
        </w:rPr>
        <w:t> </w:t>
      </w:r>
      <w:r>
        <w:rPr>
          <w:color w:val="231F20"/>
        </w:rPr>
        <w:t>Такая</w:t>
      </w:r>
      <w:r>
        <w:rPr>
          <w:color w:val="231F20"/>
          <w:spacing w:val="-3"/>
        </w:rPr>
        <w:t> </w:t>
      </w:r>
      <w:r>
        <w:rPr>
          <w:color w:val="231F20"/>
        </w:rPr>
        <w:t>работа</w:t>
      </w:r>
      <w:r>
        <w:rPr>
          <w:color w:val="231F20"/>
          <w:spacing w:val="-3"/>
        </w:rPr>
        <w:t> </w:t>
      </w:r>
      <w:r>
        <w:rPr>
          <w:color w:val="231F20"/>
        </w:rPr>
        <w:t>ориентирована</w:t>
      </w:r>
      <w:r>
        <w:rPr>
          <w:color w:val="231F20"/>
          <w:spacing w:val="-3"/>
        </w:rPr>
        <w:t> </w:t>
      </w:r>
      <w:r>
        <w:rPr>
          <w:color w:val="231F20"/>
        </w:rPr>
        <w:t>на</w:t>
      </w:r>
      <w:r>
        <w:rPr>
          <w:color w:val="231F20"/>
          <w:spacing w:val="-3"/>
        </w:rPr>
        <w:t> </w:t>
      </w:r>
      <w:r>
        <w:rPr>
          <w:color w:val="231F20"/>
        </w:rPr>
        <w:t>эмоциональ- но-психологическое пространство зрителя и актера (не театр затягивает и заворажи- вает зрителя, а сам «мир зрителя и актера» становится «миром театра»).</w:t>
      </w:r>
    </w:p>
    <w:p>
      <w:pPr>
        <w:pStyle w:val="BodyText"/>
        <w:spacing w:line="230" w:lineRule="auto"/>
      </w:pPr>
      <w:r>
        <w:rPr>
          <w:color w:val="231F20"/>
          <w:spacing w:val="-2"/>
        </w:rPr>
        <w:t>Совмещение</w:t>
      </w:r>
      <w:r>
        <w:rPr>
          <w:color w:val="231F20"/>
          <w:spacing w:val="-10"/>
        </w:rPr>
        <w:t> </w:t>
      </w:r>
      <w:r>
        <w:rPr>
          <w:color w:val="231F20"/>
          <w:spacing w:val="-2"/>
        </w:rPr>
        <w:t>театральной</w:t>
      </w:r>
      <w:r>
        <w:rPr>
          <w:color w:val="231F20"/>
          <w:spacing w:val="-10"/>
        </w:rPr>
        <w:t> </w:t>
      </w:r>
      <w:r>
        <w:rPr>
          <w:color w:val="231F20"/>
          <w:spacing w:val="-2"/>
        </w:rPr>
        <w:t>и</w:t>
      </w:r>
      <w:r>
        <w:rPr>
          <w:color w:val="231F20"/>
          <w:spacing w:val="-10"/>
        </w:rPr>
        <w:t> </w:t>
      </w:r>
      <w:r>
        <w:rPr>
          <w:color w:val="231F20"/>
          <w:spacing w:val="-2"/>
        </w:rPr>
        <w:t>психологической</w:t>
      </w:r>
      <w:r>
        <w:rPr>
          <w:color w:val="231F20"/>
          <w:spacing w:val="-10"/>
        </w:rPr>
        <w:t> </w:t>
      </w:r>
      <w:r>
        <w:rPr>
          <w:color w:val="231F20"/>
          <w:spacing w:val="-2"/>
        </w:rPr>
        <w:t>работы</w:t>
      </w:r>
      <w:r>
        <w:rPr>
          <w:color w:val="231F20"/>
          <w:spacing w:val="-10"/>
        </w:rPr>
        <w:t> </w:t>
      </w:r>
      <w:r>
        <w:rPr>
          <w:color w:val="231F20"/>
          <w:spacing w:val="-2"/>
        </w:rPr>
        <w:t>имеет</w:t>
      </w:r>
      <w:r>
        <w:rPr>
          <w:color w:val="231F20"/>
          <w:spacing w:val="-10"/>
        </w:rPr>
        <w:t> </w:t>
      </w:r>
      <w:r>
        <w:rPr>
          <w:color w:val="231F20"/>
          <w:spacing w:val="-2"/>
        </w:rPr>
        <w:t>давнюю</w:t>
      </w:r>
      <w:r>
        <w:rPr>
          <w:color w:val="231F20"/>
          <w:spacing w:val="-10"/>
        </w:rPr>
        <w:t> </w:t>
      </w:r>
      <w:r>
        <w:rPr>
          <w:color w:val="231F20"/>
          <w:spacing w:val="-2"/>
        </w:rPr>
        <w:t>историю,</w:t>
      </w:r>
      <w:r>
        <w:rPr>
          <w:color w:val="231F20"/>
          <w:spacing w:val="-10"/>
        </w:rPr>
        <w:t> </w:t>
      </w:r>
      <w:r>
        <w:rPr>
          <w:color w:val="231F20"/>
          <w:spacing w:val="-2"/>
        </w:rPr>
        <w:t>нача- </w:t>
      </w:r>
      <w:r>
        <w:rPr>
          <w:color w:val="231F20"/>
        </w:rPr>
        <w:t>ло</w:t>
      </w:r>
      <w:r>
        <w:rPr>
          <w:color w:val="231F20"/>
          <w:spacing w:val="-12"/>
        </w:rPr>
        <w:t> </w:t>
      </w:r>
      <w:r>
        <w:rPr>
          <w:color w:val="231F20"/>
        </w:rPr>
        <w:t>которой</w:t>
      </w:r>
      <w:r>
        <w:rPr>
          <w:color w:val="231F20"/>
          <w:spacing w:val="-12"/>
        </w:rPr>
        <w:t> </w:t>
      </w:r>
      <w:r>
        <w:rPr>
          <w:color w:val="231F20"/>
        </w:rPr>
        <w:t>положил</w:t>
      </w:r>
      <w:r>
        <w:rPr>
          <w:color w:val="231F20"/>
          <w:spacing w:val="-12"/>
        </w:rPr>
        <w:t> </w:t>
      </w:r>
      <w:r>
        <w:rPr>
          <w:color w:val="231F20"/>
        </w:rPr>
        <w:t>Дж.</w:t>
      </w:r>
      <w:r>
        <w:rPr>
          <w:color w:val="231F20"/>
          <w:spacing w:val="-12"/>
        </w:rPr>
        <w:t> </w:t>
      </w:r>
      <w:r>
        <w:rPr>
          <w:color w:val="231F20"/>
        </w:rPr>
        <w:t>Морено</w:t>
      </w:r>
      <w:r>
        <w:rPr>
          <w:color w:val="231F20"/>
          <w:spacing w:val="-12"/>
        </w:rPr>
        <w:t> </w:t>
      </w:r>
      <w:r>
        <w:rPr>
          <w:color w:val="231F20"/>
        </w:rPr>
        <w:t>с</w:t>
      </w:r>
      <w:r>
        <w:rPr>
          <w:color w:val="231F20"/>
          <w:spacing w:val="-12"/>
        </w:rPr>
        <w:t> </w:t>
      </w:r>
      <w:r>
        <w:rPr>
          <w:color w:val="231F20"/>
        </w:rPr>
        <w:t>«театром</w:t>
      </w:r>
      <w:r>
        <w:rPr>
          <w:color w:val="231F20"/>
          <w:spacing w:val="-12"/>
        </w:rPr>
        <w:t> </w:t>
      </w:r>
      <w:r>
        <w:rPr>
          <w:color w:val="231F20"/>
        </w:rPr>
        <w:t>спонтанности»,</w:t>
      </w:r>
      <w:r>
        <w:rPr>
          <w:color w:val="231F20"/>
          <w:spacing w:val="-12"/>
        </w:rPr>
        <w:t> </w:t>
      </w:r>
      <w:r>
        <w:rPr>
          <w:color w:val="231F20"/>
        </w:rPr>
        <w:t>а</w:t>
      </w:r>
      <w:r>
        <w:rPr>
          <w:color w:val="231F20"/>
          <w:spacing w:val="-12"/>
        </w:rPr>
        <w:t> </w:t>
      </w:r>
      <w:r>
        <w:rPr>
          <w:color w:val="231F20"/>
        </w:rPr>
        <w:t>затем</w:t>
      </w:r>
      <w:r>
        <w:rPr>
          <w:color w:val="231F20"/>
          <w:spacing w:val="-12"/>
        </w:rPr>
        <w:t> </w:t>
      </w:r>
      <w:r>
        <w:rPr>
          <w:color w:val="231F20"/>
        </w:rPr>
        <w:t>возникла</w:t>
      </w:r>
      <w:r>
        <w:rPr>
          <w:color w:val="231F20"/>
          <w:spacing w:val="-12"/>
        </w:rPr>
        <w:t> </w:t>
      </w:r>
      <w:r>
        <w:rPr>
          <w:color w:val="231F20"/>
        </w:rPr>
        <w:t>отдель- </w:t>
      </w:r>
      <w:r>
        <w:rPr>
          <w:color w:val="231F20"/>
          <w:spacing w:val="-2"/>
        </w:rPr>
        <w:t>ная</w:t>
      </w:r>
      <w:r>
        <w:rPr>
          <w:color w:val="231F20"/>
          <w:spacing w:val="-8"/>
        </w:rPr>
        <w:t> </w:t>
      </w:r>
      <w:r>
        <w:rPr>
          <w:color w:val="231F20"/>
          <w:spacing w:val="-2"/>
        </w:rPr>
        <w:t>психотерапевтическая</w:t>
      </w:r>
      <w:r>
        <w:rPr>
          <w:color w:val="231F20"/>
          <w:spacing w:val="-8"/>
        </w:rPr>
        <w:t> </w:t>
      </w:r>
      <w:r>
        <w:rPr>
          <w:color w:val="231F20"/>
          <w:spacing w:val="-2"/>
        </w:rPr>
        <w:t>методика</w:t>
      </w:r>
      <w:r>
        <w:rPr>
          <w:color w:val="231F20"/>
          <w:spacing w:val="-8"/>
        </w:rPr>
        <w:t> </w:t>
      </w:r>
      <w:r>
        <w:rPr>
          <w:color w:val="231F20"/>
          <w:spacing w:val="-2"/>
        </w:rPr>
        <w:t>–</w:t>
      </w:r>
      <w:r>
        <w:rPr>
          <w:color w:val="231F20"/>
          <w:spacing w:val="-8"/>
        </w:rPr>
        <w:t> </w:t>
      </w:r>
      <w:r>
        <w:rPr>
          <w:color w:val="231F20"/>
          <w:spacing w:val="-2"/>
        </w:rPr>
        <w:t>психодрама.</w:t>
      </w:r>
      <w:r>
        <w:rPr>
          <w:color w:val="231F20"/>
          <w:spacing w:val="-8"/>
        </w:rPr>
        <w:t> </w:t>
      </w:r>
      <w:r>
        <w:rPr>
          <w:color w:val="231F20"/>
          <w:spacing w:val="-2"/>
        </w:rPr>
        <w:t>Ее</w:t>
      </w:r>
      <w:r>
        <w:rPr>
          <w:color w:val="231F20"/>
          <w:spacing w:val="-8"/>
        </w:rPr>
        <w:t> </w:t>
      </w:r>
      <w:r>
        <w:rPr>
          <w:color w:val="231F20"/>
          <w:spacing w:val="-2"/>
        </w:rPr>
        <w:t>создатели</w:t>
      </w:r>
      <w:r>
        <w:rPr>
          <w:color w:val="231F20"/>
          <w:spacing w:val="-8"/>
        </w:rPr>
        <w:t> </w:t>
      </w:r>
      <w:r>
        <w:rPr>
          <w:color w:val="231F20"/>
          <w:spacing w:val="-2"/>
        </w:rPr>
        <w:t>решительно</w:t>
      </w:r>
      <w:r>
        <w:rPr>
          <w:color w:val="231F20"/>
          <w:spacing w:val="-8"/>
        </w:rPr>
        <w:t> </w:t>
      </w:r>
      <w:r>
        <w:rPr>
          <w:color w:val="231F20"/>
          <w:spacing w:val="-2"/>
        </w:rPr>
        <w:t>отделяют </w:t>
      </w:r>
      <w:r>
        <w:rPr>
          <w:color w:val="231F20"/>
        </w:rPr>
        <w:t>психодраму</w:t>
      </w:r>
      <w:r>
        <w:rPr>
          <w:color w:val="231F20"/>
          <w:spacing w:val="-13"/>
        </w:rPr>
        <w:t> </w:t>
      </w:r>
      <w:r>
        <w:rPr>
          <w:color w:val="231F20"/>
        </w:rPr>
        <w:t>от</w:t>
      </w:r>
      <w:r>
        <w:rPr>
          <w:color w:val="231F20"/>
          <w:spacing w:val="-12"/>
        </w:rPr>
        <w:t> </w:t>
      </w:r>
      <w:r>
        <w:rPr>
          <w:color w:val="231F20"/>
        </w:rPr>
        <w:t>классического</w:t>
      </w:r>
      <w:r>
        <w:rPr>
          <w:color w:val="231F20"/>
          <w:spacing w:val="-13"/>
        </w:rPr>
        <w:t> </w:t>
      </w:r>
      <w:r>
        <w:rPr>
          <w:color w:val="231F20"/>
        </w:rPr>
        <w:t>театра.</w:t>
      </w:r>
      <w:r>
        <w:rPr>
          <w:color w:val="231F20"/>
          <w:spacing w:val="-12"/>
        </w:rPr>
        <w:t> </w:t>
      </w:r>
      <w:r>
        <w:rPr>
          <w:color w:val="231F20"/>
        </w:rPr>
        <w:t>Основа</w:t>
      </w:r>
      <w:r>
        <w:rPr>
          <w:color w:val="231F20"/>
          <w:spacing w:val="-13"/>
        </w:rPr>
        <w:t> </w:t>
      </w:r>
      <w:r>
        <w:rPr>
          <w:color w:val="231F20"/>
        </w:rPr>
        <w:t>психодрамы</w:t>
      </w:r>
      <w:r>
        <w:rPr>
          <w:color w:val="231F20"/>
          <w:spacing w:val="-12"/>
        </w:rPr>
        <w:t> </w:t>
      </w:r>
      <w:r>
        <w:rPr>
          <w:color w:val="231F20"/>
        </w:rPr>
        <w:t>–</w:t>
      </w:r>
      <w:r>
        <w:rPr>
          <w:color w:val="231F20"/>
          <w:spacing w:val="-13"/>
        </w:rPr>
        <w:t> </w:t>
      </w:r>
      <w:r>
        <w:rPr>
          <w:color w:val="231F20"/>
        </w:rPr>
        <w:t>спонтанность</w:t>
      </w:r>
      <w:r>
        <w:rPr>
          <w:color w:val="231F20"/>
          <w:spacing w:val="-12"/>
        </w:rPr>
        <w:t> </w:t>
      </w:r>
      <w:r>
        <w:rPr>
          <w:color w:val="231F20"/>
        </w:rPr>
        <w:t>и</w:t>
      </w:r>
      <w:r>
        <w:rPr>
          <w:color w:val="231F20"/>
          <w:spacing w:val="-13"/>
        </w:rPr>
        <w:t> </w:t>
      </w:r>
      <w:r>
        <w:rPr>
          <w:color w:val="231F20"/>
        </w:rPr>
        <w:t>использо- вание</w:t>
      </w:r>
      <w:r>
        <w:rPr>
          <w:color w:val="231F20"/>
          <w:spacing w:val="-6"/>
        </w:rPr>
        <w:t> </w:t>
      </w:r>
      <w:r>
        <w:rPr>
          <w:color w:val="231F20"/>
        </w:rPr>
        <w:t>психодраматических</w:t>
      </w:r>
      <w:r>
        <w:rPr>
          <w:color w:val="231F20"/>
          <w:spacing w:val="-6"/>
        </w:rPr>
        <w:t> </w:t>
      </w:r>
      <w:r>
        <w:rPr>
          <w:color w:val="231F20"/>
        </w:rPr>
        <w:t>ролей,</w:t>
      </w:r>
      <w:r>
        <w:rPr>
          <w:color w:val="231F20"/>
          <w:spacing w:val="-6"/>
        </w:rPr>
        <w:t> </w:t>
      </w:r>
      <w:r>
        <w:rPr>
          <w:color w:val="231F20"/>
        </w:rPr>
        <w:t>то</w:t>
      </w:r>
      <w:r>
        <w:rPr>
          <w:color w:val="231F20"/>
          <w:spacing w:val="-6"/>
        </w:rPr>
        <w:t> </w:t>
      </w:r>
      <w:r>
        <w:rPr>
          <w:color w:val="231F20"/>
        </w:rPr>
        <w:t>есть</w:t>
      </w:r>
      <w:r>
        <w:rPr>
          <w:color w:val="231F20"/>
          <w:spacing w:val="-6"/>
        </w:rPr>
        <w:t> </w:t>
      </w:r>
      <w:r>
        <w:rPr>
          <w:color w:val="231F20"/>
        </w:rPr>
        <w:t>тех</w:t>
      </w:r>
      <w:r>
        <w:rPr>
          <w:color w:val="231F20"/>
          <w:spacing w:val="-6"/>
        </w:rPr>
        <w:t> </w:t>
      </w:r>
      <w:r>
        <w:rPr>
          <w:color w:val="231F20"/>
        </w:rPr>
        <w:t>ролей,</w:t>
      </w:r>
      <w:r>
        <w:rPr>
          <w:color w:val="231F20"/>
          <w:spacing w:val="-6"/>
        </w:rPr>
        <w:t> </w:t>
      </w:r>
      <w:r>
        <w:rPr>
          <w:color w:val="231F20"/>
        </w:rPr>
        <w:t>которые</w:t>
      </w:r>
      <w:r>
        <w:rPr>
          <w:color w:val="231F20"/>
          <w:spacing w:val="-6"/>
        </w:rPr>
        <w:t> </w:t>
      </w:r>
      <w:r>
        <w:rPr>
          <w:color w:val="231F20"/>
        </w:rPr>
        <w:t>человек</w:t>
      </w:r>
      <w:r>
        <w:rPr>
          <w:color w:val="231F20"/>
          <w:spacing w:val="-6"/>
        </w:rPr>
        <w:t> </w:t>
      </w:r>
      <w:r>
        <w:rPr>
          <w:color w:val="231F20"/>
        </w:rPr>
        <w:t>играет</w:t>
      </w:r>
      <w:r>
        <w:rPr>
          <w:color w:val="231F20"/>
          <w:spacing w:val="-6"/>
        </w:rPr>
        <w:t> </w:t>
      </w:r>
      <w:r>
        <w:rPr>
          <w:color w:val="231F20"/>
        </w:rPr>
        <w:t>в</w:t>
      </w:r>
      <w:r>
        <w:rPr>
          <w:color w:val="231F20"/>
          <w:spacing w:val="-6"/>
        </w:rPr>
        <w:t> </w:t>
      </w:r>
      <w:r>
        <w:rPr>
          <w:color w:val="231F20"/>
        </w:rPr>
        <w:t>реаль- ности на протяжении всей жизни и которые в сумме составляют его личность. Роли классического</w:t>
      </w:r>
      <w:r>
        <w:rPr>
          <w:color w:val="231F20"/>
          <w:spacing w:val="-11"/>
        </w:rPr>
        <w:t> </w:t>
      </w:r>
      <w:r>
        <w:rPr>
          <w:color w:val="231F20"/>
        </w:rPr>
        <w:t>театра</w:t>
      </w:r>
      <w:r>
        <w:rPr>
          <w:color w:val="231F20"/>
          <w:spacing w:val="-11"/>
        </w:rPr>
        <w:t> </w:t>
      </w:r>
      <w:r>
        <w:rPr>
          <w:color w:val="231F20"/>
        </w:rPr>
        <w:t>названы</w:t>
      </w:r>
      <w:r>
        <w:rPr>
          <w:color w:val="231F20"/>
          <w:spacing w:val="-11"/>
        </w:rPr>
        <w:t> </w:t>
      </w:r>
      <w:r>
        <w:rPr>
          <w:color w:val="231F20"/>
        </w:rPr>
        <w:t>Дж.</w:t>
      </w:r>
      <w:r>
        <w:rPr>
          <w:color w:val="231F20"/>
          <w:spacing w:val="-11"/>
        </w:rPr>
        <w:t> </w:t>
      </w:r>
      <w:r>
        <w:rPr>
          <w:color w:val="231F20"/>
        </w:rPr>
        <w:t>Морено</w:t>
      </w:r>
      <w:r>
        <w:rPr>
          <w:color w:val="231F20"/>
          <w:spacing w:val="-11"/>
        </w:rPr>
        <w:t> </w:t>
      </w:r>
      <w:r>
        <w:rPr>
          <w:color w:val="231F20"/>
        </w:rPr>
        <w:t>«культурными</w:t>
      </w:r>
      <w:r>
        <w:rPr>
          <w:color w:val="231F20"/>
          <w:spacing w:val="-11"/>
        </w:rPr>
        <w:t> </w:t>
      </w:r>
      <w:r>
        <w:rPr>
          <w:color w:val="231F20"/>
        </w:rPr>
        <w:t>консервами»</w:t>
      </w:r>
      <w:r>
        <w:rPr>
          <w:color w:val="231F20"/>
          <w:spacing w:val="-11"/>
        </w:rPr>
        <w:t> </w:t>
      </w:r>
      <w:r>
        <w:rPr>
          <w:i/>
          <w:color w:val="231F20"/>
        </w:rPr>
        <w:t>(</w:t>
      </w:r>
      <w:r>
        <w:rPr>
          <w:color w:val="231F20"/>
        </w:rPr>
        <w:t>Лейтц,</w:t>
      </w:r>
      <w:r>
        <w:rPr>
          <w:color w:val="231F20"/>
          <w:spacing w:val="-11"/>
        </w:rPr>
        <w:t> </w:t>
      </w:r>
      <w:r>
        <w:rPr>
          <w:color w:val="231F20"/>
        </w:rPr>
        <w:t>1994; Морено, 1993). Это маски, которые не составляют креативного единства с исполни- телем, не предоставляют актеру необходимой свободы для спонтанной игры. В ре- зультате такой игры актер говорит не «о себе», а «о ком-то», что даже при высоком актерском таланте никогда не будет выглядеть истиной.</w:t>
      </w:r>
    </w:p>
    <w:p>
      <w:pPr>
        <w:pStyle w:val="BodyText"/>
        <w:spacing w:line="232" w:lineRule="auto"/>
      </w:pPr>
      <w:r>
        <w:rPr>
          <w:color w:val="231F20"/>
        </w:rPr>
        <w:t>Мы предлагаем, применяя психодраматические техники, опираться на более ши- рокую</w:t>
      </w:r>
      <w:r>
        <w:rPr>
          <w:color w:val="231F20"/>
          <w:spacing w:val="8"/>
        </w:rPr>
        <w:t> </w:t>
      </w:r>
      <w:r>
        <w:rPr>
          <w:color w:val="231F20"/>
        </w:rPr>
        <w:t>трактовку</w:t>
      </w:r>
      <w:r>
        <w:rPr>
          <w:color w:val="231F20"/>
          <w:spacing w:val="11"/>
        </w:rPr>
        <w:t> </w:t>
      </w:r>
      <w:r>
        <w:rPr>
          <w:color w:val="231F20"/>
        </w:rPr>
        <w:t>ролей</w:t>
      </w:r>
      <w:r>
        <w:rPr>
          <w:color w:val="231F20"/>
          <w:spacing w:val="11"/>
        </w:rPr>
        <w:t> </w:t>
      </w:r>
      <w:r>
        <w:rPr>
          <w:color w:val="231F20"/>
        </w:rPr>
        <w:t>и</w:t>
      </w:r>
      <w:r>
        <w:rPr>
          <w:color w:val="231F20"/>
          <w:spacing w:val="10"/>
        </w:rPr>
        <w:t> </w:t>
      </w:r>
      <w:r>
        <w:rPr>
          <w:color w:val="231F20"/>
        </w:rPr>
        <w:t>ценности</w:t>
      </w:r>
      <w:r>
        <w:rPr>
          <w:color w:val="231F20"/>
          <w:spacing w:val="11"/>
        </w:rPr>
        <w:t> </w:t>
      </w:r>
      <w:r>
        <w:rPr>
          <w:color w:val="231F20"/>
        </w:rPr>
        <w:t>их</w:t>
      </w:r>
      <w:r>
        <w:rPr>
          <w:color w:val="231F20"/>
          <w:spacing w:val="11"/>
        </w:rPr>
        <w:t> </w:t>
      </w:r>
      <w:r>
        <w:rPr>
          <w:color w:val="231F20"/>
        </w:rPr>
        <w:t>разыгрывания.</w:t>
      </w:r>
      <w:r>
        <w:rPr>
          <w:color w:val="231F20"/>
          <w:spacing w:val="10"/>
        </w:rPr>
        <w:t> </w:t>
      </w:r>
      <w:r>
        <w:rPr>
          <w:color w:val="231F20"/>
        </w:rPr>
        <w:t>В</w:t>
      </w:r>
      <w:r>
        <w:rPr>
          <w:color w:val="231F20"/>
          <w:spacing w:val="11"/>
        </w:rPr>
        <w:t> </w:t>
      </w:r>
      <w:r>
        <w:rPr>
          <w:color w:val="231F20"/>
        </w:rPr>
        <w:t>нашем</w:t>
      </w:r>
      <w:r>
        <w:rPr>
          <w:color w:val="231F20"/>
          <w:spacing w:val="11"/>
        </w:rPr>
        <w:t> </w:t>
      </w:r>
      <w:r>
        <w:rPr>
          <w:color w:val="231F20"/>
        </w:rPr>
        <w:t>подходе</w:t>
      </w:r>
      <w:r>
        <w:rPr>
          <w:color w:val="231F20"/>
          <w:spacing w:val="11"/>
        </w:rPr>
        <w:t> </w:t>
      </w:r>
      <w:r>
        <w:rPr>
          <w:color w:val="231F20"/>
          <w:spacing w:val="-2"/>
        </w:rPr>
        <w:t>сочетаются</w:t>
      </w:r>
    </w:p>
    <w:p>
      <w:pPr>
        <w:pStyle w:val="BodyText"/>
        <w:spacing w:after="0" w:line="232" w:lineRule="auto"/>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z w:val="18"/>
        </w:rPr>
        <w:t>4.2.</w:t>
      </w:r>
      <w:r>
        <w:rPr>
          <w:rFonts w:ascii="Georgia" w:hAnsi="Georgia"/>
          <w:color w:val="231F20"/>
          <w:spacing w:val="-6"/>
          <w:sz w:val="18"/>
        </w:rPr>
        <w:t> </w:t>
      </w:r>
      <w:r>
        <w:rPr>
          <w:rFonts w:ascii="Georgia" w:hAnsi="Georgia"/>
          <w:color w:val="231F20"/>
          <w:sz w:val="18"/>
        </w:rPr>
        <w:t>Работа</w:t>
      </w:r>
      <w:r>
        <w:rPr>
          <w:rFonts w:ascii="Georgia" w:hAnsi="Georgia"/>
          <w:color w:val="231F20"/>
          <w:spacing w:val="-5"/>
          <w:sz w:val="18"/>
        </w:rPr>
        <w:t> </w:t>
      </w:r>
      <w:r>
        <w:rPr>
          <w:rFonts w:ascii="Georgia" w:hAnsi="Georgia"/>
          <w:color w:val="231F20"/>
          <w:sz w:val="18"/>
        </w:rPr>
        <w:t>педагога-психолога</w:t>
      </w:r>
      <w:r>
        <w:rPr>
          <w:rFonts w:ascii="Georgia" w:hAnsi="Georgia"/>
          <w:color w:val="231F20"/>
          <w:spacing w:val="-5"/>
          <w:sz w:val="18"/>
        </w:rPr>
        <w:t> </w:t>
      </w:r>
      <w:r>
        <w:rPr>
          <w:rFonts w:ascii="Georgia" w:hAnsi="Georgia"/>
          <w:color w:val="231F20"/>
          <w:sz w:val="18"/>
        </w:rPr>
        <w:t>в</w:t>
      </w:r>
      <w:r>
        <w:rPr>
          <w:rFonts w:ascii="Georgia" w:hAnsi="Georgia"/>
          <w:color w:val="231F20"/>
          <w:spacing w:val="-5"/>
          <w:sz w:val="18"/>
        </w:rPr>
        <w:t> </w:t>
      </w:r>
      <w:r>
        <w:rPr>
          <w:rFonts w:ascii="Georgia" w:hAnsi="Georgia"/>
          <w:color w:val="231F20"/>
          <w:sz w:val="18"/>
        </w:rPr>
        <w:t>области</w:t>
      </w:r>
      <w:r>
        <w:rPr>
          <w:rFonts w:ascii="Georgia" w:hAnsi="Georgia"/>
          <w:color w:val="231F20"/>
          <w:spacing w:val="-6"/>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детей</w:t>
      </w:r>
      <w:r>
        <w:rPr>
          <w:rFonts w:ascii="Georgia" w:hAnsi="Georgia"/>
          <w:color w:val="231F20"/>
          <w:spacing w:val="-5"/>
          <w:sz w:val="18"/>
        </w:rPr>
        <w:t> </w:t>
      </w:r>
      <w:r>
        <w:rPr>
          <w:rFonts w:ascii="Georgia" w:hAnsi="Georgia"/>
          <w:color w:val="231F20"/>
          <w:sz w:val="18"/>
        </w:rPr>
        <w:t>...</w:t>
      </w:r>
      <w:r>
        <w:rPr>
          <w:rFonts w:ascii="Georgia" w:hAnsi="Georgia"/>
          <w:color w:val="231F20"/>
          <w:spacing w:val="-5"/>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BodyText"/>
        <w:spacing w:line="235" w:lineRule="auto" w:before="116"/>
        <w:ind w:firstLine="0"/>
      </w:pPr>
      <w:r>
        <w:rPr>
          <w:color w:val="231F20"/>
        </w:rPr>
        <w:t>индивидуальная</w:t>
      </w:r>
      <w:r>
        <w:rPr>
          <w:color w:val="231F20"/>
          <w:spacing w:val="-10"/>
        </w:rPr>
        <w:t> </w:t>
      </w:r>
      <w:r>
        <w:rPr>
          <w:color w:val="231F20"/>
        </w:rPr>
        <w:t>спонтанность</w:t>
      </w:r>
      <w:r>
        <w:rPr>
          <w:color w:val="231F20"/>
          <w:spacing w:val="-10"/>
        </w:rPr>
        <w:t> </w:t>
      </w:r>
      <w:r>
        <w:rPr>
          <w:color w:val="231F20"/>
        </w:rPr>
        <w:t>и</w:t>
      </w:r>
      <w:r>
        <w:rPr>
          <w:color w:val="231F20"/>
          <w:spacing w:val="-10"/>
        </w:rPr>
        <w:t> </w:t>
      </w:r>
      <w:r>
        <w:rPr>
          <w:color w:val="231F20"/>
        </w:rPr>
        <w:t>жесткие</w:t>
      </w:r>
      <w:r>
        <w:rPr>
          <w:color w:val="231F20"/>
          <w:spacing w:val="-10"/>
        </w:rPr>
        <w:t> </w:t>
      </w:r>
      <w:r>
        <w:rPr>
          <w:color w:val="231F20"/>
        </w:rPr>
        <w:t>ролевые</w:t>
      </w:r>
      <w:r>
        <w:rPr>
          <w:color w:val="231F20"/>
          <w:spacing w:val="-10"/>
        </w:rPr>
        <w:t> </w:t>
      </w:r>
      <w:r>
        <w:rPr>
          <w:color w:val="231F20"/>
        </w:rPr>
        <w:t>стереотипы.</w:t>
      </w:r>
      <w:r>
        <w:rPr>
          <w:color w:val="231F20"/>
          <w:spacing w:val="-10"/>
        </w:rPr>
        <w:t> </w:t>
      </w:r>
      <w:r>
        <w:rPr>
          <w:color w:val="231F20"/>
        </w:rPr>
        <w:t>Такая</w:t>
      </w:r>
      <w:r>
        <w:rPr>
          <w:color w:val="231F20"/>
          <w:spacing w:val="-10"/>
        </w:rPr>
        <w:t> </w:t>
      </w:r>
      <w:r>
        <w:rPr>
          <w:color w:val="231F20"/>
        </w:rPr>
        <w:t>работа</w:t>
      </w:r>
      <w:r>
        <w:rPr>
          <w:color w:val="231F20"/>
          <w:spacing w:val="-10"/>
        </w:rPr>
        <w:t> </w:t>
      </w:r>
      <w:r>
        <w:rPr>
          <w:color w:val="231F20"/>
        </w:rPr>
        <w:t>относит- ся к «театрализованным формам психокоррекции», где под театрализацией понима- ется «...комплексная система использования всех выразительных средств искусства на основе драматического сценария для целостного воздействия на личность участ- ника</w:t>
      </w:r>
      <w:r>
        <w:rPr>
          <w:color w:val="231F20"/>
          <w:spacing w:val="-5"/>
        </w:rPr>
        <w:t> </w:t>
      </w:r>
      <w:r>
        <w:rPr>
          <w:color w:val="231F20"/>
        </w:rPr>
        <w:t>социального</w:t>
      </w:r>
      <w:r>
        <w:rPr>
          <w:color w:val="231F20"/>
          <w:spacing w:val="-5"/>
        </w:rPr>
        <w:t> </w:t>
      </w:r>
      <w:r>
        <w:rPr>
          <w:color w:val="231F20"/>
        </w:rPr>
        <w:t>общения»</w:t>
      </w:r>
      <w:r>
        <w:rPr>
          <w:color w:val="231F20"/>
          <w:spacing w:val="-5"/>
        </w:rPr>
        <w:t> </w:t>
      </w:r>
      <w:r>
        <w:rPr>
          <w:color w:val="231F20"/>
        </w:rPr>
        <w:t>(Гройсман,</w:t>
      </w:r>
      <w:r>
        <w:rPr>
          <w:color w:val="231F20"/>
          <w:spacing w:val="-5"/>
        </w:rPr>
        <w:t> </w:t>
      </w:r>
      <w:r>
        <w:rPr>
          <w:color w:val="231F20"/>
        </w:rPr>
        <w:t>1998,</w:t>
      </w:r>
      <w:r>
        <w:rPr>
          <w:color w:val="231F20"/>
          <w:spacing w:val="-5"/>
        </w:rPr>
        <w:t> </w:t>
      </w:r>
      <w:r>
        <w:rPr>
          <w:color w:val="231F20"/>
        </w:rPr>
        <w:t>с.</w:t>
      </w:r>
      <w:r>
        <w:rPr>
          <w:color w:val="231F20"/>
          <w:spacing w:val="-5"/>
        </w:rPr>
        <w:t> </w:t>
      </w:r>
      <w:r>
        <w:rPr>
          <w:color w:val="231F20"/>
        </w:rPr>
        <w:t>325).</w:t>
      </w:r>
      <w:r>
        <w:rPr>
          <w:color w:val="231F20"/>
          <w:spacing w:val="-5"/>
        </w:rPr>
        <w:t> </w:t>
      </w:r>
      <w:r>
        <w:rPr>
          <w:color w:val="231F20"/>
        </w:rPr>
        <w:t>Она</w:t>
      </w:r>
      <w:r>
        <w:rPr>
          <w:color w:val="231F20"/>
          <w:spacing w:val="-5"/>
        </w:rPr>
        <w:t> </w:t>
      </w:r>
      <w:r>
        <w:rPr>
          <w:color w:val="231F20"/>
        </w:rPr>
        <w:t>ближе</w:t>
      </w:r>
      <w:r>
        <w:rPr>
          <w:color w:val="231F20"/>
          <w:spacing w:val="-5"/>
        </w:rPr>
        <w:t> </w:t>
      </w:r>
      <w:r>
        <w:rPr>
          <w:color w:val="231F20"/>
        </w:rPr>
        <w:t>к</w:t>
      </w:r>
      <w:r>
        <w:rPr>
          <w:color w:val="231F20"/>
          <w:spacing w:val="-5"/>
        </w:rPr>
        <w:t> </w:t>
      </w:r>
      <w:r>
        <w:rPr>
          <w:color w:val="231F20"/>
        </w:rPr>
        <w:t>драматерапии</w:t>
      </w:r>
      <w:r>
        <w:rPr>
          <w:color w:val="231F20"/>
          <w:spacing w:val="-5"/>
        </w:rPr>
        <w:t> </w:t>
      </w:r>
      <w:r>
        <w:rPr>
          <w:color w:val="231F20"/>
        </w:rPr>
        <w:t>как форме</w:t>
      </w:r>
      <w:r>
        <w:rPr>
          <w:color w:val="231F20"/>
          <w:spacing w:val="-10"/>
        </w:rPr>
        <w:t> </w:t>
      </w:r>
      <w:r>
        <w:rPr>
          <w:color w:val="231F20"/>
        </w:rPr>
        <w:t>арт-терапии</w:t>
      </w:r>
      <w:r>
        <w:rPr>
          <w:color w:val="231F20"/>
          <w:spacing w:val="-10"/>
        </w:rPr>
        <w:t> </w:t>
      </w:r>
      <w:r>
        <w:rPr>
          <w:color w:val="231F20"/>
        </w:rPr>
        <w:t>(Валента,</w:t>
      </w:r>
      <w:r>
        <w:rPr>
          <w:color w:val="231F20"/>
          <w:spacing w:val="-10"/>
        </w:rPr>
        <w:t> </w:t>
      </w:r>
      <w:r>
        <w:rPr>
          <w:color w:val="231F20"/>
        </w:rPr>
        <w:t>Полинек,</w:t>
      </w:r>
      <w:r>
        <w:rPr>
          <w:color w:val="231F20"/>
          <w:spacing w:val="-10"/>
        </w:rPr>
        <w:t> </w:t>
      </w:r>
      <w:r>
        <w:rPr>
          <w:color w:val="231F20"/>
        </w:rPr>
        <w:t>2013),</w:t>
      </w:r>
      <w:r>
        <w:rPr>
          <w:color w:val="231F20"/>
          <w:spacing w:val="-10"/>
        </w:rPr>
        <w:t> </w:t>
      </w:r>
      <w:r>
        <w:rPr>
          <w:color w:val="231F20"/>
        </w:rPr>
        <w:t>не</w:t>
      </w:r>
      <w:r>
        <w:rPr>
          <w:color w:val="231F20"/>
          <w:spacing w:val="-10"/>
        </w:rPr>
        <w:t> </w:t>
      </w:r>
      <w:r>
        <w:rPr>
          <w:color w:val="231F20"/>
        </w:rPr>
        <w:t>являясь</w:t>
      </w:r>
      <w:r>
        <w:rPr>
          <w:color w:val="231F20"/>
          <w:spacing w:val="-10"/>
        </w:rPr>
        <w:t> </w:t>
      </w:r>
      <w:r>
        <w:rPr>
          <w:color w:val="231F20"/>
        </w:rPr>
        <w:t>при</w:t>
      </w:r>
      <w:r>
        <w:rPr>
          <w:color w:val="231F20"/>
          <w:spacing w:val="-10"/>
        </w:rPr>
        <w:t> </w:t>
      </w:r>
      <w:r>
        <w:rPr>
          <w:color w:val="231F20"/>
        </w:rPr>
        <w:t>этом</w:t>
      </w:r>
      <w:r>
        <w:rPr>
          <w:color w:val="231F20"/>
          <w:spacing w:val="-10"/>
        </w:rPr>
        <w:t> </w:t>
      </w:r>
      <w:r>
        <w:rPr>
          <w:color w:val="231F20"/>
        </w:rPr>
        <w:t>психотерапевтиче- ским, а скорее психолого-педагогическим подходом.</w:t>
      </w:r>
    </w:p>
    <w:p>
      <w:pPr>
        <w:pStyle w:val="BodyText"/>
        <w:spacing w:line="232" w:lineRule="auto"/>
      </w:pPr>
      <w:r>
        <w:rPr>
          <w:color w:val="231F20"/>
        </w:rPr>
        <w:t>Общая</w:t>
      </w:r>
      <w:r>
        <w:rPr>
          <w:color w:val="231F20"/>
          <w:spacing w:val="-12"/>
        </w:rPr>
        <w:t> </w:t>
      </w:r>
      <w:r>
        <w:rPr>
          <w:color w:val="231F20"/>
        </w:rPr>
        <w:t>схема</w:t>
      </w:r>
      <w:r>
        <w:rPr>
          <w:color w:val="231F20"/>
          <w:spacing w:val="-12"/>
        </w:rPr>
        <w:t> </w:t>
      </w:r>
      <w:r>
        <w:rPr>
          <w:color w:val="231F20"/>
        </w:rPr>
        <w:t>психологической</w:t>
      </w:r>
      <w:r>
        <w:rPr>
          <w:color w:val="231F20"/>
          <w:spacing w:val="-12"/>
        </w:rPr>
        <w:t> </w:t>
      </w:r>
      <w:r>
        <w:rPr>
          <w:color w:val="231F20"/>
        </w:rPr>
        <w:t>театральной</w:t>
      </w:r>
      <w:r>
        <w:rPr>
          <w:color w:val="231F20"/>
          <w:spacing w:val="-12"/>
        </w:rPr>
        <w:t> </w:t>
      </w:r>
      <w:r>
        <w:rPr>
          <w:color w:val="231F20"/>
        </w:rPr>
        <w:t>работы</w:t>
      </w:r>
      <w:r>
        <w:rPr>
          <w:color w:val="231F20"/>
          <w:spacing w:val="-12"/>
        </w:rPr>
        <w:t> </w:t>
      </w:r>
      <w:r>
        <w:rPr>
          <w:color w:val="231F20"/>
        </w:rPr>
        <w:t>состоит</w:t>
      </w:r>
      <w:r>
        <w:rPr>
          <w:color w:val="231F20"/>
          <w:spacing w:val="-12"/>
        </w:rPr>
        <w:t> </w:t>
      </w:r>
      <w:r>
        <w:rPr>
          <w:color w:val="231F20"/>
        </w:rPr>
        <w:t>из</w:t>
      </w:r>
      <w:r>
        <w:rPr>
          <w:color w:val="231F20"/>
          <w:spacing w:val="-12"/>
        </w:rPr>
        <w:t> </w:t>
      </w:r>
      <w:r>
        <w:rPr>
          <w:color w:val="231F20"/>
        </w:rPr>
        <w:t>двух</w:t>
      </w:r>
      <w:r>
        <w:rPr>
          <w:color w:val="231F20"/>
          <w:spacing w:val="-12"/>
        </w:rPr>
        <w:t> </w:t>
      </w:r>
      <w:r>
        <w:rPr>
          <w:color w:val="231F20"/>
        </w:rPr>
        <w:t>аспектов:</w:t>
      </w:r>
      <w:r>
        <w:rPr>
          <w:color w:val="231F20"/>
          <w:spacing w:val="-12"/>
        </w:rPr>
        <w:t> </w:t>
      </w:r>
      <w:r>
        <w:rPr>
          <w:color w:val="231F20"/>
        </w:rPr>
        <w:t>тре- нинговой формы и постановки конкретного спектакля.</w:t>
      </w:r>
    </w:p>
    <w:p>
      <w:pPr>
        <w:pStyle w:val="BodyText"/>
        <w:spacing w:line="235" w:lineRule="auto"/>
      </w:pPr>
      <w:r>
        <w:rPr>
          <w:color w:val="231F20"/>
        </w:rPr>
        <w:t>Постановка</w:t>
      </w:r>
      <w:r>
        <w:rPr>
          <w:color w:val="231F20"/>
          <w:spacing w:val="-4"/>
        </w:rPr>
        <w:t> </w:t>
      </w:r>
      <w:r>
        <w:rPr>
          <w:color w:val="231F20"/>
        </w:rPr>
        <w:t>спектаклей</w:t>
      </w:r>
      <w:r>
        <w:rPr>
          <w:color w:val="231F20"/>
          <w:spacing w:val="-4"/>
        </w:rPr>
        <w:t> </w:t>
      </w:r>
      <w:r>
        <w:rPr>
          <w:color w:val="231F20"/>
        </w:rPr>
        <w:t>зависит</w:t>
      </w:r>
      <w:r>
        <w:rPr>
          <w:color w:val="231F20"/>
          <w:spacing w:val="-4"/>
        </w:rPr>
        <w:t> </w:t>
      </w:r>
      <w:r>
        <w:rPr>
          <w:color w:val="231F20"/>
        </w:rPr>
        <w:t>от</w:t>
      </w:r>
      <w:r>
        <w:rPr>
          <w:color w:val="231F20"/>
          <w:spacing w:val="-4"/>
        </w:rPr>
        <w:t> </w:t>
      </w:r>
      <w:r>
        <w:rPr>
          <w:color w:val="231F20"/>
        </w:rPr>
        <w:t>личных</w:t>
      </w:r>
      <w:r>
        <w:rPr>
          <w:color w:val="231F20"/>
          <w:spacing w:val="-4"/>
        </w:rPr>
        <w:t> </w:t>
      </w:r>
      <w:r>
        <w:rPr>
          <w:color w:val="231F20"/>
        </w:rPr>
        <w:t>предпочтений</w:t>
      </w:r>
      <w:r>
        <w:rPr>
          <w:color w:val="231F20"/>
          <w:spacing w:val="-4"/>
        </w:rPr>
        <w:t> </w:t>
      </w:r>
      <w:r>
        <w:rPr>
          <w:color w:val="231F20"/>
        </w:rPr>
        <w:t>как</w:t>
      </w:r>
      <w:r>
        <w:rPr>
          <w:color w:val="231F20"/>
          <w:spacing w:val="-4"/>
        </w:rPr>
        <w:t> </w:t>
      </w:r>
      <w:r>
        <w:rPr>
          <w:color w:val="231F20"/>
        </w:rPr>
        <w:t>участников</w:t>
      </w:r>
      <w:r>
        <w:rPr>
          <w:color w:val="231F20"/>
          <w:spacing w:val="-4"/>
        </w:rPr>
        <w:t> </w:t>
      </w:r>
      <w:r>
        <w:rPr>
          <w:color w:val="231F20"/>
        </w:rPr>
        <w:t>группы, так и ведущего, от того, с какой целью была организована группа. При этом, по на- шему</w:t>
      </w:r>
      <w:r>
        <w:rPr>
          <w:color w:val="231F20"/>
          <w:spacing w:val="20"/>
        </w:rPr>
        <w:t> </w:t>
      </w:r>
      <w:r>
        <w:rPr>
          <w:color w:val="231F20"/>
        </w:rPr>
        <w:t>мнению,</w:t>
      </w:r>
      <w:r>
        <w:rPr>
          <w:color w:val="231F20"/>
          <w:spacing w:val="20"/>
        </w:rPr>
        <w:t> </w:t>
      </w:r>
      <w:r>
        <w:rPr>
          <w:color w:val="231F20"/>
        </w:rPr>
        <w:t>основная</w:t>
      </w:r>
      <w:r>
        <w:rPr>
          <w:color w:val="231F20"/>
          <w:spacing w:val="20"/>
        </w:rPr>
        <w:t> </w:t>
      </w:r>
      <w:r>
        <w:rPr>
          <w:color w:val="231F20"/>
        </w:rPr>
        <w:t>направленность</w:t>
      </w:r>
      <w:r>
        <w:rPr>
          <w:color w:val="231F20"/>
          <w:spacing w:val="20"/>
        </w:rPr>
        <w:t> </w:t>
      </w:r>
      <w:r>
        <w:rPr>
          <w:color w:val="231F20"/>
        </w:rPr>
        <w:t>должна</w:t>
      </w:r>
      <w:r>
        <w:rPr>
          <w:color w:val="231F20"/>
          <w:spacing w:val="20"/>
        </w:rPr>
        <w:t> </w:t>
      </w:r>
      <w:r>
        <w:rPr>
          <w:color w:val="231F20"/>
        </w:rPr>
        <w:t>заключаться</w:t>
      </w:r>
      <w:r>
        <w:rPr>
          <w:color w:val="231F20"/>
          <w:spacing w:val="20"/>
        </w:rPr>
        <w:t> </w:t>
      </w:r>
      <w:r>
        <w:rPr>
          <w:color w:val="231F20"/>
        </w:rPr>
        <w:t>в</w:t>
      </w:r>
      <w:r>
        <w:rPr>
          <w:color w:val="231F20"/>
          <w:spacing w:val="20"/>
        </w:rPr>
        <w:t> </w:t>
      </w:r>
      <w:r>
        <w:rPr>
          <w:color w:val="231F20"/>
        </w:rPr>
        <w:t>побуждении</w:t>
      </w:r>
      <w:r>
        <w:rPr>
          <w:color w:val="231F20"/>
          <w:spacing w:val="20"/>
        </w:rPr>
        <w:t> </w:t>
      </w:r>
      <w:r>
        <w:rPr>
          <w:color w:val="231F20"/>
        </w:rPr>
        <w:t>детей к самостоятельному творчеству и к личной активности. Достаточно успешно здесь действует техника импровизационного театра – спонтанные импровизации как ма- териал для создания спектаклей. Важно, чтобы при работе с текстом можно было вносить любые изменения и дополнения, отражающие творческую интерпретацию детей.</w:t>
      </w:r>
      <w:r>
        <w:rPr>
          <w:color w:val="231F20"/>
          <w:spacing w:val="-5"/>
        </w:rPr>
        <w:t> </w:t>
      </w:r>
      <w:r>
        <w:rPr>
          <w:color w:val="231F20"/>
        </w:rPr>
        <w:t>Кроме</w:t>
      </w:r>
      <w:r>
        <w:rPr>
          <w:color w:val="231F20"/>
          <w:spacing w:val="-5"/>
        </w:rPr>
        <w:t> </w:t>
      </w:r>
      <w:r>
        <w:rPr>
          <w:color w:val="231F20"/>
        </w:rPr>
        <w:t>того,</w:t>
      </w:r>
      <w:r>
        <w:rPr>
          <w:color w:val="231F20"/>
          <w:spacing w:val="-5"/>
        </w:rPr>
        <w:t> </w:t>
      </w:r>
      <w:r>
        <w:rPr>
          <w:color w:val="231F20"/>
        </w:rPr>
        <w:t>следует</w:t>
      </w:r>
      <w:r>
        <w:rPr>
          <w:color w:val="231F20"/>
          <w:spacing w:val="-5"/>
        </w:rPr>
        <w:t> </w:t>
      </w:r>
      <w:r>
        <w:rPr>
          <w:color w:val="231F20"/>
        </w:rPr>
        <w:t>предоставлять</w:t>
      </w:r>
      <w:r>
        <w:rPr>
          <w:color w:val="231F20"/>
          <w:spacing w:val="-5"/>
        </w:rPr>
        <w:t> </w:t>
      </w:r>
      <w:r>
        <w:rPr>
          <w:color w:val="231F20"/>
        </w:rPr>
        <w:t>подросткам</w:t>
      </w:r>
      <w:r>
        <w:rPr>
          <w:color w:val="231F20"/>
          <w:spacing w:val="-5"/>
        </w:rPr>
        <w:t> </w:t>
      </w:r>
      <w:r>
        <w:rPr>
          <w:color w:val="231F20"/>
        </w:rPr>
        <w:t>максимум</w:t>
      </w:r>
      <w:r>
        <w:rPr>
          <w:color w:val="231F20"/>
          <w:spacing w:val="-5"/>
        </w:rPr>
        <w:t> </w:t>
      </w:r>
      <w:r>
        <w:rPr>
          <w:color w:val="231F20"/>
        </w:rPr>
        <w:t>самостоятельности, напоминая о6 ответственности за принятые решения и их выполнение.</w:t>
      </w:r>
    </w:p>
    <w:p>
      <w:pPr>
        <w:pStyle w:val="BodyText"/>
        <w:spacing w:line="232" w:lineRule="auto"/>
      </w:pPr>
      <w:r>
        <w:rPr>
          <w:color w:val="231F20"/>
        </w:rPr>
        <w:t>Работа над спектаклями, вне зависимости от наличия или отсутствия выступле- ний перед публикой, не может полностью определять деятельность тренинговой группы.</w:t>
      </w:r>
      <w:r>
        <w:rPr>
          <w:color w:val="231F20"/>
          <w:spacing w:val="-13"/>
        </w:rPr>
        <w:t> </w:t>
      </w:r>
      <w:r>
        <w:rPr>
          <w:color w:val="231F20"/>
        </w:rPr>
        <w:t>Структурирующей</w:t>
      </w:r>
      <w:r>
        <w:rPr>
          <w:color w:val="231F20"/>
          <w:spacing w:val="-12"/>
        </w:rPr>
        <w:t> </w:t>
      </w:r>
      <w:r>
        <w:rPr>
          <w:color w:val="231F20"/>
        </w:rPr>
        <w:t>и</w:t>
      </w:r>
      <w:r>
        <w:rPr>
          <w:color w:val="231F20"/>
          <w:spacing w:val="-13"/>
        </w:rPr>
        <w:t> </w:t>
      </w:r>
      <w:r>
        <w:rPr>
          <w:color w:val="231F20"/>
        </w:rPr>
        <w:t>организующей</w:t>
      </w:r>
      <w:r>
        <w:rPr>
          <w:color w:val="231F20"/>
          <w:spacing w:val="-12"/>
        </w:rPr>
        <w:t> </w:t>
      </w:r>
      <w:r>
        <w:rPr>
          <w:color w:val="231F20"/>
        </w:rPr>
        <w:t>формой</w:t>
      </w:r>
      <w:r>
        <w:rPr>
          <w:color w:val="231F20"/>
          <w:spacing w:val="-13"/>
        </w:rPr>
        <w:t> </w:t>
      </w:r>
      <w:r>
        <w:rPr>
          <w:color w:val="231F20"/>
        </w:rPr>
        <w:t>психологического</w:t>
      </w:r>
      <w:r>
        <w:rPr>
          <w:color w:val="231F20"/>
          <w:spacing w:val="-12"/>
        </w:rPr>
        <w:t> </w:t>
      </w:r>
      <w:r>
        <w:rPr>
          <w:color w:val="231F20"/>
        </w:rPr>
        <w:t>театра</w:t>
      </w:r>
      <w:r>
        <w:rPr>
          <w:color w:val="231F20"/>
          <w:spacing w:val="-13"/>
        </w:rPr>
        <w:t> </w:t>
      </w:r>
      <w:r>
        <w:rPr>
          <w:color w:val="231F20"/>
        </w:rPr>
        <w:t>высту- пает психологический театральный тренинг, при этом тренинговые формы работы используются здесь не в их «классическом» виде (социально-психологический, по- веденческий и пр.) – групповая работа в форме психологического театра занимает промежуточное положение между тренингом и групповой психотерапией.</w:t>
      </w:r>
    </w:p>
    <w:p>
      <w:pPr>
        <w:pStyle w:val="BodyText"/>
        <w:spacing w:line="232" w:lineRule="auto"/>
      </w:pPr>
      <w:r>
        <w:rPr>
          <w:color w:val="231F20"/>
        </w:rPr>
        <w:t>В связи с этим формируются две основные цели групповой театральной работы. Во-первых,</w:t>
      </w:r>
      <w:r>
        <w:rPr>
          <w:color w:val="231F20"/>
          <w:spacing w:val="-6"/>
        </w:rPr>
        <w:t> </w:t>
      </w:r>
      <w:r>
        <w:rPr>
          <w:color w:val="231F20"/>
        </w:rPr>
        <w:t>это</w:t>
      </w:r>
      <w:r>
        <w:rPr>
          <w:color w:val="231F20"/>
          <w:spacing w:val="-6"/>
        </w:rPr>
        <w:t> </w:t>
      </w:r>
      <w:r>
        <w:rPr>
          <w:color w:val="231F20"/>
        </w:rPr>
        <w:t>осознавание</w:t>
      </w:r>
      <w:r>
        <w:rPr>
          <w:color w:val="231F20"/>
          <w:spacing w:val="-6"/>
        </w:rPr>
        <w:t> </w:t>
      </w:r>
      <w:r>
        <w:rPr>
          <w:color w:val="231F20"/>
        </w:rPr>
        <w:t>себя,</w:t>
      </w:r>
      <w:r>
        <w:rPr>
          <w:color w:val="231F20"/>
          <w:spacing w:val="-6"/>
        </w:rPr>
        <w:t> </w:t>
      </w:r>
      <w:r>
        <w:rPr>
          <w:color w:val="231F20"/>
        </w:rPr>
        <w:t>своих</w:t>
      </w:r>
      <w:r>
        <w:rPr>
          <w:color w:val="231F20"/>
          <w:spacing w:val="-6"/>
        </w:rPr>
        <w:t> </w:t>
      </w:r>
      <w:r>
        <w:rPr>
          <w:color w:val="231F20"/>
        </w:rPr>
        <w:t>особенностей</w:t>
      </w:r>
      <w:r>
        <w:rPr>
          <w:color w:val="231F20"/>
          <w:spacing w:val="-6"/>
        </w:rPr>
        <w:t> </w:t>
      </w:r>
      <w:r>
        <w:rPr>
          <w:color w:val="231F20"/>
        </w:rPr>
        <w:t>и</w:t>
      </w:r>
      <w:r>
        <w:rPr>
          <w:color w:val="231F20"/>
          <w:spacing w:val="-6"/>
        </w:rPr>
        <w:t> </w:t>
      </w:r>
      <w:r>
        <w:rPr>
          <w:color w:val="231F20"/>
        </w:rPr>
        <w:t>возможностей</w:t>
      </w:r>
      <w:r>
        <w:rPr>
          <w:color w:val="231F20"/>
          <w:spacing w:val="-6"/>
        </w:rPr>
        <w:t> </w:t>
      </w:r>
      <w:r>
        <w:rPr>
          <w:color w:val="231F20"/>
        </w:rPr>
        <w:t>через</w:t>
      </w:r>
      <w:r>
        <w:rPr>
          <w:color w:val="231F20"/>
          <w:spacing w:val="-6"/>
        </w:rPr>
        <w:t> </w:t>
      </w:r>
      <w:r>
        <w:rPr>
          <w:color w:val="231F20"/>
        </w:rPr>
        <w:t>ролевое взаимодействие.</w:t>
      </w:r>
      <w:r>
        <w:rPr>
          <w:color w:val="231F20"/>
          <w:spacing w:val="-2"/>
        </w:rPr>
        <w:t> </w:t>
      </w:r>
      <w:r>
        <w:rPr>
          <w:color w:val="231F20"/>
        </w:rPr>
        <w:t>Во-вторых,</w:t>
      </w:r>
      <w:r>
        <w:rPr>
          <w:color w:val="231F20"/>
          <w:spacing w:val="-2"/>
        </w:rPr>
        <w:t> </w:t>
      </w:r>
      <w:r>
        <w:rPr>
          <w:color w:val="231F20"/>
        </w:rPr>
        <w:t>это</w:t>
      </w:r>
      <w:r>
        <w:rPr>
          <w:color w:val="231F20"/>
          <w:spacing w:val="-2"/>
        </w:rPr>
        <w:t> </w:t>
      </w:r>
      <w:r>
        <w:rPr>
          <w:color w:val="231F20"/>
        </w:rPr>
        <w:t>драматическое</w:t>
      </w:r>
      <w:r>
        <w:rPr>
          <w:color w:val="231F20"/>
          <w:spacing w:val="-2"/>
        </w:rPr>
        <w:t> </w:t>
      </w:r>
      <w:r>
        <w:rPr>
          <w:color w:val="231F20"/>
        </w:rPr>
        <w:t>(в</w:t>
      </w:r>
      <w:r>
        <w:rPr>
          <w:color w:val="231F20"/>
          <w:spacing w:val="-2"/>
        </w:rPr>
        <w:t> </w:t>
      </w:r>
      <w:r>
        <w:rPr>
          <w:color w:val="231F20"/>
        </w:rPr>
        <w:t>театрализованной</w:t>
      </w:r>
      <w:r>
        <w:rPr>
          <w:color w:val="231F20"/>
          <w:spacing w:val="-2"/>
        </w:rPr>
        <w:t> </w:t>
      </w:r>
      <w:r>
        <w:rPr>
          <w:color w:val="231F20"/>
        </w:rPr>
        <w:t>форме)</w:t>
      </w:r>
      <w:r>
        <w:rPr>
          <w:color w:val="231F20"/>
          <w:spacing w:val="-2"/>
        </w:rPr>
        <w:t> </w:t>
      </w:r>
      <w:r>
        <w:rPr>
          <w:color w:val="231F20"/>
        </w:rPr>
        <w:t>отраже- ние и терапевтическая переработка чувств и переживаний участников группы, свя- занных</w:t>
      </w:r>
      <w:r>
        <w:rPr>
          <w:color w:val="231F20"/>
          <w:spacing w:val="-1"/>
        </w:rPr>
        <w:t> </w:t>
      </w:r>
      <w:r>
        <w:rPr>
          <w:color w:val="231F20"/>
        </w:rPr>
        <w:t>как</w:t>
      </w:r>
      <w:r>
        <w:rPr>
          <w:color w:val="231F20"/>
          <w:spacing w:val="-1"/>
        </w:rPr>
        <w:t> </w:t>
      </w:r>
      <w:r>
        <w:rPr>
          <w:color w:val="231F20"/>
        </w:rPr>
        <w:t>с</w:t>
      </w:r>
      <w:r>
        <w:rPr>
          <w:color w:val="231F20"/>
          <w:spacing w:val="-1"/>
        </w:rPr>
        <w:t> </w:t>
      </w:r>
      <w:r>
        <w:rPr>
          <w:color w:val="231F20"/>
        </w:rPr>
        <w:t>актуальным</w:t>
      </w:r>
      <w:r>
        <w:rPr>
          <w:color w:val="231F20"/>
          <w:spacing w:val="-1"/>
        </w:rPr>
        <w:t> </w:t>
      </w:r>
      <w:r>
        <w:rPr>
          <w:color w:val="231F20"/>
        </w:rPr>
        <w:t>опытом,</w:t>
      </w:r>
      <w:r>
        <w:rPr>
          <w:color w:val="231F20"/>
          <w:spacing w:val="-1"/>
        </w:rPr>
        <w:t> </w:t>
      </w:r>
      <w:r>
        <w:rPr>
          <w:color w:val="231F20"/>
        </w:rPr>
        <w:t>так</w:t>
      </w:r>
      <w:r>
        <w:rPr>
          <w:color w:val="231F20"/>
          <w:spacing w:val="-1"/>
        </w:rPr>
        <w:t> </w:t>
      </w:r>
      <w:r>
        <w:rPr>
          <w:color w:val="231F20"/>
        </w:rPr>
        <w:t>и</w:t>
      </w:r>
      <w:r>
        <w:rPr>
          <w:color w:val="231F20"/>
          <w:spacing w:val="-1"/>
        </w:rPr>
        <w:t> </w:t>
      </w:r>
      <w:r>
        <w:rPr>
          <w:color w:val="231F20"/>
        </w:rPr>
        <w:t>с</w:t>
      </w:r>
      <w:r>
        <w:rPr>
          <w:color w:val="231F20"/>
          <w:spacing w:val="-1"/>
        </w:rPr>
        <w:t> </w:t>
      </w:r>
      <w:r>
        <w:rPr>
          <w:color w:val="231F20"/>
        </w:rPr>
        <w:t>воспоминаниями</w:t>
      </w:r>
      <w:r>
        <w:rPr>
          <w:color w:val="231F20"/>
          <w:spacing w:val="-1"/>
        </w:rPr>
        <w:t> </w:t>
      </w:r>
      <w:r>
        <w:rPr>
          <w:color w:val="231F20"/>
        </w:rPr>
        <w:t>(пережитыми</w:t>
      </w:r>
      <w:r>
        <w:rPr>
          <w:color w:val="231F20"/>
          <w:spacing w:val="-1"/>
        </w:rPr>
        <w:t> </w:t>
      </w:r>
      <w:r>
        <w:rPr>
          <w:color w:val="231F20"/>
        </w:rPr>
        <w:t>травмами), а</w:t>
      </w:r>
      <w:r>
        <w:rPr>
          <w:color w:val="231F20"/>
          <w:spacing w:val="-1"/>
        </w:rPr>
        <w:t> </w:t>
      </w:r>
      <w:r>
        <w:rPr>
          <w:color w:val="231F20"/>
        </w:rPr>
        <w:t>также</w:t>
      </w:r>
      <w:r>
        <w:rPr>
          <w:color w:val="231F20"/>
          <w:spacing w:val="-1"/>
        </w:rPr>
        <w:t> </w:t>
      </w:r>
      <w:r>
        <w:rPr>
          <w:color w:val="231F20"/>
        </w:rPr>
        <w:t>с</w:t>
      </w:r>
      <w:r>
        <w:rPr>
          <w:color w:val="231F20"/>
          <w:spacing w:val="-1"/>
        </w:rPr>
        <w:t> </w:t>
      </w:r>
      <w:r>
        <w:rPr>
          <w:color w:val="231F20"/>
        </w:rPr>
        <w:t>будущим.</w:t>
      </w:r>
      <w:r>
        <w:rPr>
          <w:color w:val="231F20"/>
          <w:spacing w:val="-1"/>
        </w:rPr>
        <w:t> </w:t>
      </w:r>
      <w:r>
        <w:rPr>
          <w:color w:val="231F20"/>
        </w:rPr>
        <w:t>Следует</w:t>
      </w:r>
      <w:r>
        <w:rPr>
          <w:color w:val="231F20"/>
          <w:spacing w:val="-1"/>
        </w:rPr>
        <w:t> </w:t>
      </w:r>
      <w:r>
        <w:rPr>
          <w:color w:val="231F20"/>
        </w:rPr>
        <w:t>заметить,</w:t>
      </w:r>
      <w:r>
        <w:rPr>
          <w:color w:val="231F20"/>
          <w:spacing w:val="-1"/>
        </w:rPr>
        <w:t> </w:t>
      </w:r>
      <w:r>
        <w:rPr>
          <w:color w:val="231F20"/>
        </w:rPr>
        <w:t>что</w:t>
      </w:r>
      <w:r>
        <w:rPr>
          <w:color w:val="231F20"/>
          <w:spacing w:val="-1"/>
        </w:rPr>
        <w:t> </w:t>
      </w:r>
      <w:r>
        <w:rPr>
          <w:color w:val="231F20"/>
        </w:rPr>
        <w:t>к</w:t>
      </w:r>
      <w:r>
        <w:rPr>
          <w:color w:val="231F20"/>
          <w:spacing w:val="-1"/>
        </w:rPr>
        <w:t> </w:t>
      </w:r>
      <w:r>
        <w:rPr>
          <w:color w:val="231F20"/>
        </w:rPr>
        <w:t>реализации</w:t>
      </w:r>
      <w:r>
        <w:rPr>
          <w:color w:val="231F20"/>
          <w:spacing w:val="-1"/>
        </w:rPr>
        <w:t> </w:t>
      </w:r>
      <w:r>
        <w:rPr>
          <w:color w:val="231F20"/>
        </w:rPr>
        <w:t>последней</w:t>
      </w:r>
      <w:r>
        <w:rPr>
          <w:color w:val="231F20"/>
          <w:spacing w:val="-1"/>
        </w:rPr>
        <w:t> </w:t>
      </w:r>
      <w:r>
        <w:rPr>
          <w:color w:val="231F20"/>
        </w:rPr>
        <w:t>цели</w:t>
      </w:r>
      <w:r>
        <w:rPr>
          <w:color w:val="231F20"/>
          <w:spacing w:val="-1"/>
        </w:rPr>
        <w:t> </w:t>
      </w:r>
      <w:r>
        <w:rPr>
          <w:color w:val="231F20"/>
        </w:rPr>
        <w:t>мы</w:t>
      </w:r>
      <w:r>
        <w:rPr>
          <w:color w:val="231F20"/>
          <w:spacing w:val="-1"/>
        </w:rPr>
        <w:t> </w:t>
      </w:r>
      <w:r>
        <w:rPr>
          <w:color w:val="231F20"/>
        </w:rPr>
        <w:t>обраща- емся только в том случае, если отмеченные переживания каким-либо образом опре- деляются в рамках группового процесса, стараясь избегать прямых «интервенций», связанных непосредственно с пережитым негативным опытом.</w:t>
      </w:r>
    </w:p>
    <w:p>
      <w:pPr>
        <w:pStyle w:val="BodyText"/>
        <w:spacing w:line="235" w:lineRule="auto"/>
      </w:pPr>
      <w:r>
        <w:rPr>
          <w:color w:val="231F20"/>
        </w:rPr>
        <w:t>Методы, используемые нами в процессе групповой работы, могут быть структу- рированы следующим образом.</w:t>
      </w:r>
    </w:p>
    <w:p>
      <w:pPr>
        <w:pStyle w:val="BodyText"/>
        <w:spacing w:line="235" w:lineRule="auto" w:before="56"/>
      </w:pPr>
      <w:r>
        <w:rPr>
          <w:b/>
          <w:color w:val="231F20"/>
        </w:rPr>
        <w:t>А. </w:t>
      </w:r>
      <w:r>
        <w:rPr>
          <w:i/>
          <w:color w:val="231F20"/>
        </w:rPr>
        <w:t>Сенсорный опыт. </w:t>
      </w:r>
      <w:r>
        <w:rPr>
          <w:color w:val="231F20"/>
        </w:rPr>
        <w:t>Через упражнения этого блока дети получают базовый сен- сорный опыт, необходимый для осознавания самих себя и контакта с окружающим миром </w:t>
      </w:r>
      <w:r>
        <w:rPr>
          <w:i/>
          <w:color w:val="231F20"/>
        </w:rPr>
        <w:t>(Оклендер, </w:t>
      </w:r>
      <w:r>
        <w:rPr>
          <w:color w:val="231F20"/>
        </w:rPr>
        <w:t>1997, с. 114). На этом уровне акцент именно на осознавании без какого-либо осмысления.</w:t>
      </w:r>
    </w:p>
    <w:p>
      <w:pPr>
        <w:pStyle w:val="ListParagraph"/>
        <w:numPr>
          <w:ilvl w:val="0"/>
          <w:numId w:val="113"/>
        </w:numPr>
        <w:tabs>
          <w:tab w:pos="708" w:val="left" w:leader="none"/>
        </w:tabs>
        <w:spacing w:line="227" w:lineRule="exact" w:before="0" w:after="0"/>
        <w:ind w:left="708" w:right="0" w:hanging="283"/>
        <w:jc w:val="left"/>
        <w:rPr>
          <w:i/>
          <w:sz w:val="20"/>
        </w:rPr>
      </w:pPr>
      <w:r>
        <w:rPr>
          <w:i/>
          <w:color w:val="231F20"/>
          <w:sz w:val="20"/>
        </w:rPr>
        <w:t>Телесный</w:t>
      </w:r>
      <w:r>
        <w:rPr>
          <w:i/>
          <w:color w:val="231F20"/>
          <w:spacing w:val="-12"/>
          <w:sz w:val="20"/>
        </w:rPr>
        <w:t> </w:t>
      </w:r>
      <w:r>
        <w:rPr>
          <w:i/>
          <w:color w:val="231F20"/>
          <w:spacing w:val="-2"/>
          <w:sz w:val="20"/>
        </w:rPr>
        <w:t>опыт.</w:t>
      </w:r>
    </w:p>
    <w:p>
      <w:pPr>
        <w:pStyle w:val="ListParagraph"/>
        <w:numPr>
          <w:ilvl w:val="0"/>
          <w:numId w:val="113"/>
        </w:numPr>
        <w:tabs>
          <w:tab w:pos="708" w:val="left" w:leader="none"/>
        </w:tabs>
        <w:spacing w:line="226" w:lineRule="exact" w:before="0" w:after="0"/>
        <w:ind w:left="708" w:right="0" w:hanging="283"/>
        <w:jc w:val="left"/>
        <w:rPr>
          <w:i/>
          <w:sz w:val="20"/>
        </w:rPr>
      </w:pPr>
      <w:r>
        <w:rPr>
          <w:i/>
          <w:color w:val="231F20"/>
          <w:sz w:val="20"/>
        </w:rPr>
        <w:t>Визуальный</w:t>
      </w:r>
      <w:r>
        <w:rPr>
          <w:i/>
          <w:color w:val="231F20"/>
          <w:spacing w:val="-4"/>
          <w:sz w:val="20"/>
        </w:rPr>
        <w:t> опыт.</w:t>
      </w:r>
    </w:p>
    <w:p>
      <w:pPr>
        <w:pStyle w:val="ListParagraph"/>
        <w:numPr>
          <w:ilvl w:val="0"/>
          <w:numId w:val="113"/>
        </w:numPr>
        <w:tabs>
          <w:tab w:pos="708" w:val="left" w:leader="none"/>
        </w:tabs>
        <w:spacing w:line="228" w:lineRule="exact" w:before="0" w:after="0"/>
        <w:ind w:left="708" w:right="0" w:hanging="283"/>
        <w:jc w:val="left"/>
        <w:rPr>
          <w:i/>
          <w:sz w:val="20"/>
        </w:rPr>
      </w:pPr>
      <w:r>
        <w:rPr>
          <w:i/>
          <w:color w:val="231F20"/>
          <w:sz w:val="20"/>
        </w:rPr>
        <w:t>Общая</w:t>
      </w:r>
      <w:r>
        <w:rPr>
          <w:i/>
          <w:color w:val="231F20"/>
          <w:spacing w:val="-5"/>
          <w:sz w:val="20"/>
        </w:rPr>
        <w:t> </w:t>
      </w:r>
      <w:r>
        <w:rPr>
          <w:i/>
          <w:color w:val="231F20"/>
          <w:sz w:val="20"/>
        </w:rPr>
        <w:t>чувствительность</w:t>
      </w:r>
      <w:r>
        <w:rPr>
          <w:i/>
          <w:color w:val="231F20"/>
          <w:spacing w:val="-4"/>
          <w:sz w:val="20"/>
        </w:rPr>
        <w:t> </w:t>
      </w:r>
      <w:r>
        <w:rPr>
          <w:i/>
          <w:color w:val="231F20"/>
          <w:sz w:val="20"/>
        </w:rPr>
        <w:t>и</w:t>
      </w:r>
      <w:r>
        <w:rPr>
          <w:i/>
          <w:color w:val="231F20"/>
          <w:spacing w:val="-4"/>
          <w:sz w:val="20"/>
        </w:rPr>
        <w:t> </w:t>
      </w:r>
      <w:r>
        <w:rPr>
          <w:i/>
          <w:color w:val="231F20"/>
          <w:spacing w:val="-2"/>
          <w:sz w:val="20"/>
        </w:rPr>
        <w:t>внимание.</w:t>
      </w:r>
    </w:p>
    <w:p>
      <w:pPr>
        <w:pStyle w:val="BodyText"/>
        <w:spacing w:line="235" w:lineRule="auto" w:before="57"/>
        <w:ind w:right="0"/>
        <w:jc w:val="left"/>
      </w:pPr>
      <w:r>
        <w:rPr>
          <w:b/>
          <w:color w:val="231F20"/>
        </w:rPr>
        <w:t>В. </w:t>
      </w:r>
      <w:r>
        <w:rPr>
          <w:i/>
          <w:color w:val="231F20"/>
        </w:rPr>
        <w:t>Драматический опыт. </w:t>
      </w:r>
      <w:r>
        <w:rPr>
          <w:color w:val="231F20"/>
        </w:rPr>
        <w:t>Это центральный блок, состоящий из ряда различных подуровней,</w:t>
      </w:r>
      <w:r>
        <w:rPr>
          <w:color w:val="231F20"/>
          <w:spacing w:val="24"/>
        </w:rPr>
        <w:t> </w:t>
      </w:r>
      <w:r>
        <w:rPr>
          <w:color w:val="231F20"/>
        </w:rPr>
        <w:t>каждый</w:t>
      </w:r>
      <w:r>
        <w:rPr>
          <w:color w:val="231F20"/>
          <w:spacing w:val="27"/>
        </w:rPr>
        <w:t> </w:t>
      </w:r>
      <w:r>
        <w:rPr>
          <w:color w:val="231F20"/>
        </w:rPr>
        <w:t>из</w:t>
      </w:r>
      <w:r>
        <w:rPr>
          <w:color w:val="231F20"/>
          <w:spacing w:val="26"/>
        </w:rPr>
        <w:t> </w:t>
      </w:r>
      <w:r>
        <w:rPr>
          <w:color w:val="231F20"/>
        </w:rPr>
        <w:t>которых</w:t>
      </w:r>
      <w:r>
        <w:rPr>
          <w:color w:val="231F20"/>
          <w:spacing w:val="27"/>
        </w:rPr>
        <w:t> </w:t>
      </w:r>
      <w:r>
        <w:rPr>
          <w:color w:val="231F20"/>
        </w:rPr>
        <w:t>направлен</w:t>
      </w:r>
      <w:r>
        <w:rPr>
          <w:color w:val="231F20"/>
          <w:spacing w:val="27"/>
        </w:rPr>
        <w:t> </w:t>
      </w:r>
      <w:r>
        <w:rPr>
          <w:color w:val="231F20"/>
        </w:rPr>
        <w:t>на</w:t>
      </w:r>
      <w:r>
        <w:rPr>
          <w:color w:val="231F20"/>
          <w:spacing w:val="26"/>
        </w:rPr>
        <w:t> </w:t>
      </w:r>
      <w:r>
        <w:rPr>
          <w:color w:val="231F20"/>
        </w:rPr>
        <w:t>получение</w:t>
      </w:r>
      <w:r>
        <w:rPr>
          <w:color w:val="231F20"/>
          <w:spacing w:val="27"/>
        </w:rPr>
        <w:t> </w:t>
      </w:r>
      <w:r>
        <w:rPr>
          <w:color w:val="231F20"/>
        </w:rPr>
        <w:t>особого</w:t>
      </w:r>
      <w:r>
        <w:rPr>
          <w:color w:val="231F20"/>
          <w:spacing w:val="27"/>
        </w:rPr>
        <w:t> </w:t>
      </w:r>
      <w:r>
        <w:rPr>
          <w:color w:val="231F20"/>
          <w:spacing w:val="-2"/>
        </w:rPr>
        <w:t>драматического</w:t>
      </w:r>
    </w:p>
    <w:p>
      <w:pPr>
        <w:pStyle w:val="BodyText"/>
        <w:spacing w:after="0" w:line="235" w:lineRule="auto"/>
        <w:jc w:val="left"/>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28" w:lineRule="exact" w:before="112"/>
        <w:ind w:right="0" w:firstLine="0"/>
        <w:jc w:val="left"/>
      </w:pPr>
      <w:r>
        <w:rPr>
          <w:color w:val="231F20"/>
          <w:spacing w:val="-2"/>
        </w:rPr>
        <w:t>опыта.</w:t>
      </w:r>
    </w:p>
    <w:p>
      <w:pPr>
        <w:pStyle w:val="BodyText"/>
        <w:spacing w:line="226" w:lineRule="exact"/>
        <w:ind w:left="425" w:right="0" w:firstLine="0"/>
        <w:jc w:val="left"/>
      </w:pPr>
      <w:r>
        <w:rPr>
          <w:color w:val="231F20"/>
        </w:rPr>
        <w:t>Первые</w:t>
      </w:r>
      <w:r>
        <w:rPr>
          <w:color w:val="231F20"/>
          <w:spacing w:val="-2"/>
        </w:rPr>
        <w:t> </w:t>
      </w:r>
      <w:r>
        <w:rPr>
          <w:color w:val="231F20"/>
        </w:rPr>
        <w:t>три</w:t>
      </w:r>
      <w:r>
        <w:rPr>
          <w:color w:val="231F20"/>
          <w:spacing w:val="-3"/>
        </w:rPr>
        <w:t> </w:t>
      </w:r>
      <w:r>
        <w:rPr>
          <w:color w:val="231F20"/>
        </w:rPr>
        <w:t>его</w:t>
      </w:r>
      <w:r>
        <w:rPr>
          <w:color w:val="231F20"/>
          <w:spacing w:val="-1"/>
        </w:rPr>
        <w:t> </w:t>
      </w:r>
      <w:r>
        <w:rPr>
          <w:color w:val="231F20"/>
          <w:spacing w:val="-2"/>
        </w:rPr>
        <w:t>составляющие:</w:t>
      </w:r>
    </w:p>
    <w:p>
      <w:pPr>
        <w:pStyle w:val="ListParagraph"/>
        <w:numPr>
          <w:ilvl w:val="0"/>
          <w:numId w:val="114"/>
        </w:numPr>
        <w:tabs>
          <w:tab w:pos="707" w:val="left" w:leader="none"/>
        </w:tabs>
        <w:spacing w:line="226" w:lineRule="exact" w:before="0" w:after="0"/>
        <w:ind w:left="707" w:right="0" w:hanging="282"/>
        <w:jc w:val="left"/>
        <w:rPr>
          <w:i/>
          <w:sz w:val="20"/>
        </w:rPr>
      </w:pPr>
      <w:r>
        <w:rPr>
          <w:i/>
          <w:color w:val="231F20"/>
          <w:spacing w:val="-2"/>
          <w:sz w:val="20"/>
        </w:rPr>
        <w:t>пантомима,</w:t>
      </w:r>
    </w:p>
    <w:p>
      <w:pPr>
        <w:pStyle w:val="ListParagraph"/>
        <w:numPr>
          <w:ilvl w:val="0"/>
          <w:numId w:val="114"/>
        </w:numPr>
        <w:tabs>
          <w:tab w:pos="707" w:val="left" w:leader="none"/>
        </w:tabs>
        <w:spacing w:line="226" w:lineRule="exact" w:before="0" w:after="0"/>
        <w:ind w:left="707" w:right="0" w:hanging="282"/>
        <w:jc w:val="left"/>
        <w:rPr>
          <w:i/>
          <w:sz w:val="20"/>
        </w:rPr>
      </w:pPr>
      <w:r>
        <w:rPr>
          <w:i/>
          <w:color w:val="231F20"/>
          <w:spacing w:val="-2"/>
          <w:sz w:val="20"/>
        </w:rPr>
        <w:t>этюды-сценки,</w:t>
      </w:r>
    </w:p>
    <w:p>
      <w:pPr>
        <w:pStyle w:val="ListParagraph"/>
        <w:numPr>
          <w:ilvl w:val="0"/>
          <w:numId w:val="114"/>
        </w:numPr>
        <w:tabs>
          <w:tab w:pos="707" w:val="left" w:leader="none"/>
        </w:tabs>
        <w:spacing w:line="228" w:lineRule="exact" w:before="0" w:after="0"/>
        <w:ind w:left="707" w:right="0" w:hanging="282"/>
        <w:jc w:val="left"/>
        <w:rPr>
          <w:i/>
          <w:sz w:val="20"/>
        </w:rPr>
      </w:pPr>
      <w:r>
        <w:rPr>
          <w:i/>
          <w:color w:val="231F20"/>
          <w:sz w:val="20"/>
        </w:rPr>
        <w:t>ролевые</w:t>
      </w:r>
      <w:r>
        <w:rPr>
          <w:i/>
          <w:color w:val="231F20"/>
          <w:spacing w:val="-3"/>
          <w:sz w:val="20"/>
        </w:rPr>
        <w:t> </w:t>
      </w:r>
      <w:r>
        <w:rPr>
          <w:i/>
          <w:color w:val="231F20"/>
          <w:sz w:val="20"/>
        </w:rPr>
        <w:t>драматические</w:t>
      </w:r>
      <w:r>
        <w:rPr>
          <w:i/>
          <w:color w:val="231F20"/>
          <w:spacing w:val="-2"/>
          <w:sz w:val="20"/>
        </w:rPr>
        <w:t> </w:t>
      </w:r>
      <w:r>
        <w:rPr>
          <w:i/>
          <w:color w:val="231F20"/>
          <w:sz w:val="20"/>
        </w:rPr>
        <w:t>игры</w:t>
      </w:r>
      <w:r>
        <w:rPr>
          <w:i/>
          <w:color w:val="231F20"/>
          <w:spacing w:val="-3"/>
          <w:sz w:val="20"/>
        </w:rPr>
        <w:t> </w:t>
      </w:r>
      <w:r>
        <w:rPr>
          <w:i/>
          <w:color w:val="231F20"/>
          <w:spacing w:val="-10"/>
          <w:sz w:val="20"/>
        </w:rPr>
        <w:t>–</w:t>
      </w:r>
    </w:p>
    <w:p>
      <w:pPr>
        <w:pStyle w:val="BodyText"/>
        <w:ind w:left="425" w:right="0" w:firstLine="0"/>
        <w:jc w:val="left"/>
      </w:pPr>
      <w:r>
        <w:rPr>
          <w:color w:val="231F20"/>
        </w:rPr>
        <w:t>различаются по степени вербального осмысления процессов драматического са- </w:t>
      </w:r>
      <w:r>
        <w:rPr>
          <w:color w:val="231F20"/>
          <w:spacing w:val="-2"/>
        </w:rPr>
        <w:t>мовыражения;</w:t>
      </w:r>
    </w:p>
    <w:p>
      <w:pPr>
        <w:pStyle w:val="ListParagraph"/>
        <w:numPr>
          <w:ilvl w:val="0"/>
          <w:numId w:val="114"/>
        </w:numPr>
        <w:tabs>
          <w:tab w:pos="861" w:val="left" w:leader="none"/>
        </w:tabs>
        <w:spacing w:line="225" w:lineRule="exact" w:before="0" w:after="0"/>
        <w:ind w:left="861" w:right="0" w:hanging="436"/>
        <w:jc w:val="left"/>
        <w:rPr>
          <w:i/>
          <w:sz w:val="20"/>
        </w:rPr>
      </w:pPr>
      <w:r>
        <w:rPr>
          <w:i/>
          <w:color w:val="231F20"/>
          <w:sz w:val="20"/>
        </w:rPr>
        <w:t>импровизационные </w:t>
      </w:r>
      <w:r>
        <w:rPr>
          <w:i/>
          <w:color w:val="231F20"/>
          <w:spacing w:val="-2"/>
          <w:sz w:val="20"/>
        </w:rPr>
        <w:t>задания</w:t>
      </w:r>
    </w:p>
    <w:p>
      <w:pPr>
        <w:pStyle w:val="BodyText"/>
        <w:ind w:left="425" w:right="0" w:firstLine="0"/>
        <w:jc w:val="left"/>
      </w:pPr>
      <w:r>
        <w:rPr>
          <w:color w:val="231F20"/>
        </w:rPr>
        <w:t>объединяют</w:t>
      </w:r>
      <w:r>
        <w:rPr>
          <w:color w:val="231F20"/>
          <w:spacing w:val="-3"/>
        </w:rPr>
        <w:t> </w:t>
      </w:r>
      <w:r>
        <w:rPr>
          <w:color w:val="231F20"/>
        </w:rPr>
        <w:t>первые</w:t>
      </w:r>
      <w:r>
        <w:rPr>
          <w:color w:val="231F20"/>
          <w:spacing w:val="-3"/>
        </w:rPr>
        <w:t> </w:t>
      </w:r>
      <w:r>
        <w:rPr>
          <w:color w:val="231F20"/>
        </w:rPr>
        <w:t>три</w:t>
      </w:r>
      <w:r>
        <w:rPr>
          <w:color w:val="231F20"/>
          <w:spacing w:val="-3"/>
        </w:rPr>
        <w:t> </w:t>
      </w:r>
      <w:r>
        <w:rPr>
          <w:color w:val="231F20"/>
        </w:rPr>
        <w:t>подуровня</w:t>
      </w:r>
      <w:r>
        <w:rPr>
          <w:color w:val="231F20"/>
          <w:spacing w:val="-3"/>
        </w:rPr>
        <w:t> </w:t>
      </w:r>
      <w:r>
        <w:rPr>
          <w:color w:val="231F20"/>
        </w:rPr>
        <w:t>на</w:t>
      </w:r>
      <w:r>
        <w:rPr>
          <w:color w:val="231F20"/>
          <w:spacing w:val="-2"/>
        </w:rPr>
        <w:t> </w:t>
      </w:r>
      <w:r>
        <w:rPr>
          <w:color w:val="231F20"/>
        </w:rPr>
        <w:t>основе</w:t>
      </w:r>
      <w:r>
        <w:rPr>
          <w:color w:val="231F20"/>
          <w:spacing w:val="-3"/>
        </w:rPr>
        <w:t> </w:t>
      </w:r>
      <w:r>
        <w:rPr>
          <w:color w:val="231F20"/>
        </w:rPr>
        <w:t>использования</w:t>
      </w:r>
      <w:r>
        <w:rPr>
          <w:color w:val="231F20"/>
          <w:spacing w:val="-3"/>
        </w:rPr>
        <w:t> </w:t>
      </w:r>
      <w:r>
        <w:rPr>
          <w:color w:val="231F20"/>
        </w:rPr>
        <w:t>различных</w:t>
      </w:r>
      <w:r>
        <w:rPr>
          <w:color w:val="231F20"/>
          <w:spacing w:val="-3"/>
        </w:rPr>
        <w:t> </w:t>
      </w:r>
      <w:r>
        <w:rPr>
          <w:color w:val="231F20"/>
        </w:rPr>
        <w:t>степеней спонтанности в процессе разыгрывания ролей.</w:t>
      </w:r>
    </w:p>
    <w:p>
      <w:pPr>
        <w:pStyle w:val="ListParagraph"/>
        <w:numPr>
          <w:ilvl w:val="1"/>
          <w:numId w:val="114"/>
        </w:numPr>
        <w:tabs>
          <w:tab w:pos="708" w:val="left" w:leader="none"/>
        </w:tabs>
        <w:spacing w:line="229" w:lineRule="exact" w:before="50" w:after="0"/>
        <w:ind w:left="708" w:right="0" w:hanging="283"/>
        <w:jc w:val="left"/>
        <w:rPr>
          <w:i/>
          <w:sz w:val="20"/>
        </w:rPr>
      </w:pPr>
      <w:r>
        <w:rPr>
          <w:i/>
          <w:color w:val="231F20"/>
          <w:spacing w:val="-2"/>
          <w:sz w:val="20"/>
        </w:rPr>
        <w:t>Пантомима:</w:t>
      </w:r>
    </w:p>
    <w:p>
      <w:pPr>
        <w:pStyle w:val="BodyText"/>
        <w:ind w:left="708" w:right="2678" w:firstLine="0"/>
        <w:jc w:val="left"/>
      </w:pPr>
      <w:r>
        <w:rPr>
          <w:color w:val="231F20"/>
        </w:rPr>
        <w:t>а)</w:t>
      </w:r>
      <w:r>
        <w:rPr>
          <w:color w:val="231F20"/>
          <w:spacing w:val="69"/>
        </w:rPr>
        <w:t> </w:t>
      </w:r>
      <w:r>
        <w:rPr>
          <w:color w:val="231F20"/>
        </w:rPr>
        <w:t>осязание,</w:t>
      </w:r>
      <w:r>
        <w:rPr>
          <w:color w:val="231F20"/>
          <w:spacing w:val="-4"/>
        </w:rPr>
        <w:t> </w:t>
      </w:r>
      <w:r>
        <w:rPr>
          <w:color w:val="231F20"/>
        </w:rPr>
        <w:t>зрение,</w:t>
      </w:r>
      <w:r>
        <w:rPr>
          <w:color w:val="231F20"/>
          <w:spacing w:val="-4"/>
        </w:rPr>
        <w:t> </w:t>
      </w:r>
      <w:r>
        <w:rPr>
          <w:color w:val="231F20"/>
        </w:rPr>
        <w:t>слух,</w:t>
      </w:r>
      <w:r>
        <w:rPr>
          <w:color w:val="231F20"/>
          <w:spacing w:val="-4"/>
        </w:rPr>
        <w:t> </w:t>
      </w:r>
      <w:r>
        <w:rPr>
          <w:color w:val="231F20"/>
        </w:rPr>
        <w:t>обоняние,</w:t>
      </w:r>
      <w:r>
        <w:rPr>
          <w:color w:val="231F20"/>
          <w:spacing w:val="-4"/>
        </w:rPr>
        <w:t> </w:t>
      </w:r>
      <w:r>
        <w:rPr>
          <w:color w:val="231F20"/>
        </w:rPr>
        <w:t>вкус,</w:t>
      </w:r>
      <w:r>
        <w:rPr>
          <w:color w:val="231F20"/>
          <w:spacing w:val="-4"/>
        </w:rPr>
        <w:t> </w:t>
      </w:r>
      <w:r>
        <w:rPr>
          <w:color w:val="231F20"/>
        </w:rPr>
        <w:t>тело; б)</w:t>
      </w:r>
      <w:r>
        <w:rPr>
          <w:color w:val="231F20"/>
          <w:spacing w:val="40"/>
        </w:rPr>
        <w:t> </w:t>
      </w:r>
      <w:r>
        <w:rPr>
          <w:color w:val="231F20"/>
        </w:rPr>
        <w:t>изображения действий.</w:t>
      </w:r>
    </w:p>
    <w:p>
      <w:pPr>
        <w:pStyle w:val="ListParagraph"/>
        <w:numPr>
          <w:ilvl w:val="1"/>
          <w:numId w:val="114"/>
        </w:numPr>
        <w:tabs>
          <w:tab w:pos="708" w:val="left" w:leader="none"/>
        </w:tabs>
        <w:spacing w:line="240" w:lineRule="auto" w:before="9" w:after="0"/>
        <w:ind w:left="708" w:right="0" w:hanging="283"/>
        <w:jc w:val="left"/>
        <w:rPr>
          <w:i/>
          <w:sz w:val="20"/>
        </w:rPr>
      </w:pPr>
      <w:r>
        <w:rPr>
          <w:i/>
          <w:color w:val="231F20"/>
          <w:sz w:val="20"/>
        </w:rPr>
        <w:t>Этюды-</w:t>
      </w:r>
      <w:r>
        <w:rPr>
          <w:i/>
          <w:color w:val="231F20"/>
          <w:spacing w:val="-2"/>
          <w:sz w:val="20"/>
        </w:rPr>
        <w:t>сценки,</w:t>
      </w:r>
    </w:p>
    <w:p>
      <w:pPr>
        <w:pStyle w:val="ListParagraph"/>
        <w:numPr>
          <w:ilvl w:val="1"/>
          <w:numId w:val="114"/>
        </w:numPr>
        <w:tabs>
          <w:tab w:pos="708" w:val="left" w:leader="none"/>
        </w:tabs>
        <w:spacing w:line="240" w:lineRule="auto" w:before="6" w:after="0"/>
        <w:ind w:left="708" w:right="0" w:hanging="283"/>
        <w:jc w:val="left"/>
        <w:rPr>
          <w:i/>
          <w:sz w:val="20"/>
        </w:rPr>
      </w:pPr>
      <w:r>
        <w:rPr>
          <w:i/>
          <w:color w:val="231F20"/>
          <w:sz w:val="20"/>
        </w:rPr>
        <w:t>Ролевые</w:t>
      </w:r>
      <w:r>
        <w:rPr>
          <w:i/>
          <w:color w:val="231F20"/>
          <w:spacing w:val="-6"/>
          <w:sz w:val="20"/>
        </w:rPr>
        <w:t> </w:t>
      </w:r>
      <w:r>
        <w:rPr>
          <w:i/>
          <w:color w:val="231F20"/>
          <w:sz w:val="20"/>
        </w:rPr>
        <w:t>драматические</w:t>
      </w:r>
      <w:r>
        <w:rPr>
          <w:i/>
          <w:color w:val="231F20"/>
          <w:spacing w:val="-5"/>
          <w:sz w:val="20"/>
        </w:rPr>
        <w:t> </w:t>
      </w:r>
      <w:r>
        <w:rPr>
          <w:i/>
          <w:color w:val="231F20"/>
          <w:spacing w:val="-2"/>
          <w:sz w:val="20"/>
        </w:rPr>
        <w:t>игры:</w:t>
      </w:r>
    </w:p>
    <w:p>
      <w:pPr>
        <w:pStyle w:val="BodyText"/>
        <w:spacing w:before="6"/>
        <w:ind w:left="708" w:right="0" w:firstLine="0"/>
        <w:jc w:val="left"/>
      </w:pPr>
      <w:r>
        <w:rPr>
          <w:color w:val="231F20"/>
        </w:rPr>
        <w:t>а)</w:t>
      </w:r>
      <w:r>
        <w:rPr>
          <w:color w:val="231F20"/>
          <w:spacing w:val="75"/>
        </w:rPr>
        <w:t> </w:t>
      </w:r>
      <w:r>
        <w:rPr>
          <w:color w:val="231F20"/>
        </w:rPr>
        <w:t>связаны</w:t>
      </w:r>
      <w:r>
        <w:rPr>
          <w:color w:val="231F20"/>
          <w:spacing w:val="-1"/>
        </w:rPr>
        <w:t> </w:t>
      </w:r>
      <w:r>
        <w:rPr>
          <w:color w:val="231F20"/>
        </w:rPr>
        <w:t>с </w:t>
      </w:r>
      <w:r>
        <w:rPr>
          <w:color w:val="231F20"/>
          <w:spacing w:val="-2"/>
        </w:rPr>
        <w:t>идентичностью;</w:t>
      </w:r>
    </w:p>
    <w:p>
      <w:pPr>
        <w:pStyle w:val="BodyText"/>
        <w:spacing w:line="247" w:lineRule="auto" w:before="6"/>
        <w:ind w:left="708" w:right="1507" w:firstLine="0"/>
        <w:jc w:val="left"/>
      </w:pPr>
      <w:r>
        <w:rPr>
          <w:color w:val="231F20"/>
        </w:rPr>
        <w:t>б)</w:t>
      </w:r>
      <w:r>
        <w:rPr>
          <w:color w:val="231F20"/>
          <w:spacing w:val="40"/>
        </w:rPr>
        <w:t> </w:t>
      </w:r>
      <w:r>
        <w:rPr>
          <w:color w:val="231F20"/>
        </w:rPr>
        <w:t>основаны</w:t>
      </w:r>
      <w:r>
        <w:rPr>
          <w:color w:val="231F20"/>
          <w:spacing w:val="-3"/>
        </w:rPr>
        <w:t> </w:t>
      </w:r>
      <w:r>
        <w:rPr>
          <w:color w:val="231F20"/>
        </w:rPr>
        <w:t>на</w:t>
      </w:r>
      <w:r>
        <w:rPr>
          <w:color w:val="231F20"/>
          <w:spacing w:val="-3"/>
        </w:rPr>
        <w:t> </w:t>
      </w:r>
      <w:r>
        <w:rPr>
          <w:color w:val="231F20"/>
        </w:rPr>
        <w:t>универсалиях</w:t>
      </w:r>
      <w:r>
        <w:rPr>
          <w:color w:val="231F20"/>
          <w:spacing w:val="-3"/>
        </w:rPr>
        <w:t> </w:t>
      </w:r>
      <w:r>
        <w:rPr>
          <w:color w:val="231F20"/>
        </w:rPr>
        <w:t>времени</w:t>
      </w:r>
      <w:r>
        <w:rPr>
          <w:color w:val="231F20"/>
          <w:spacing w:val="-4"/>
        </w:rPr>
        <w:t> </w:t>
      </w:r>
      <w:r>
        <w:rPr>
          <w:color w:val="231F20"/>
        </w:rPr>
        <w:t>и</w:t>
      </w:r>
      <w:r>
        <w:rPr>
          <w:color w:val="231F20"/>
          <w:spacing w:val="-4"/>
        </w:rPr>
        <w:t> </w:t>
      </w:r>
      <w:r>
        <w:rPr>
          <w:color w:val="231F20"/>
        </w:rPr>
        <w:t>пространства (Киппер</w:t>
      </w:r>
      <w:r>
        <w:rPr>
          <w:i/>
          <w:color w:val="231F20"/>
        </w:rPr>
        <w:t>, </w:t>
      </w:r>
      <w:r>
        <w:rPr>
          <w:color w:val="231F20"/>
        </w:rPr>
        <w:t>1993);</w:t>
      </w:r>
    </w:p>
    <w:p>
      <w:pPr>
        <w:pStyle w:val="BodyText"/>
        <w:spacing w:line="228" w:lineRule="exact"/>
        <w:ind w:left="708" w:right="0" w:firstLine="0"/>
        <w:jc w:val="left"/>
      </w:pPr>
      <w:r>
        <w:rPr>
          <w:color w:val="231F20"/>
        </w:rPr>
        <w:t>в)</w:t>
      </w:r>
      <w:r>
        <w:rPr>
          <w:color w:val="231F20"/>
          <w:spacing w:val="62"/>
        </w:rPr>
        <w:t> </w:t>
      </w:r>
      <w:r>
        <w:rPr>
          <w:color w:val="231F20"/>
        </w:rPr>
        <w:t>отражают</w:t>
      </w:r>
      <w:r>
        <w:rPr>
          <w:color w:val="231F20"/>
          <w:spacing w:val="-4"/>
        </w:rPr>
        <w:t> </w:t>
      </w:r>
      <w:r>
        <w:rPr>
          <w:color w:val="231F20"/>
        </w:rPr>
        <w:t>актуальные</w:t>
      </w:r>
      <w:r>
        <w:rPr>
          <w:color w:val="231F20"/>
          <w:spacing w:val="-4"/>
        </w:rPr>
        <w:t> </w:t>
      </w:r>
      <w:r>
        <w:rPr>
          <w:color w:val="231F20"/>
        </w:rPr>
        <w:t>проблемы</w:t>
      </w:r>
      <w:r>
        <w:rPr>
          <w:color w:val="231F20"/>
          <w:spacing w:val="-4"/>
        </w:rPr>
        <w:t> </w:t>
      </w:r>
      <w:r>
        <w:rPr>
          <w:color w:val="231F20"/>
        </w:rPr>
        <w:t>и</w:t>
      </w:r>
      <w:r>
        <w:rPr>
          <w:color w:val="231F20"/>
          <w:spacing w:val="-5"/>
        </w:rPr>
        <w:t> </w:t>
      </w:r>
      <w:r>
        <w:rPr>
          <w:color w:val="231F20"/>
        </w:rPr>
        <w:t>значимые</w:t>
      </w:r>
      <w:r>
        <w:rPr>
          <w:color w:val="231F20"/>
          <w:spacing w:val="-4"/>
        </w:rPr>
        <w:t> </w:t>
      </w:r>
      <w:r>
        <w:rPr>
          <w:color w:val="231F20"/>
          <w:spacing w:val="-2"/>
        </w:rPr>
        <w:t>темы.</w:t>
      </w:r>
    </w:p>
    <w:p>
      <w:pPr>
        <w:pStyle w:val="ListParagraph"/>
        <w:numPr>
          <w:ilvl w:val="1"/>
          <w:numId w:val="114"/>
        </w:numPr>
        <w:tabs>
          <w:tab w:pos="708" w:val="left" w:leader="none"/>
        </w:tabs>
        <w:spacing w:line="240" w:lineRule="auto" w:before="6" w:after="0"/>
        <w:ind w:left="708" w:right="0" w:hanging="283"/>
        <w:jc w:val="left"/>
        <w:rPr>
          <w:i/>
          <w:sz w:val="20"/>
        </w:rPr>
      </w:pPr>
      <w:r>
        <w:rPr>
          <w:i/>
          <w:color w:val="231F20"/>
          <w:sz w:val="20"/>
        </w:rPr>
        <w:t>Импровизационные </w:t>
      </w:r>
      <w:r>
        <w:rPr>
          <w:i/>
          <w:color w:val="231F20"/>
          <w:spacing w:val="-2"/>
          <w:sz w:val="20"/>
        </w:rPr>
        <w:t>задания:</w:t>
      </w:r>
    </w:p>
    <w:p>
      <w:pPr>
        <w:pStyle w:val="BodyText"/>
        <w:spacing w:line="247" w:lineRule="auto" w:before="6"/>
        <w:ind w:left="708" w:right="4015" w:firstLine="0"/>
        <w:jc w:val="left"/>
      </w:pPr>
      <w:r>
        <w:rPr>
          <w:color w:val="231F20"/>
        </w:rPr>
        <w:t>а)</w:t>
      </w:r>
      <w:r>
        <w:rPr>
          <w:color w:val="231F20"/>
          <w:spacing w:val="40"/>
        </w:rPr>
        <w:t> </w:t>
      </w:r>
      <w:r>
        <w:rPr>
          <w:color w:val="231F20"/>
        </w:rPr>
        <w:t>пластические</w:t>
      </w:r>
      <w:r>
        <w:rPr>
          <w:color w:val="231F20"/>
          <w:spacing w:val="-7"/>
        </w:rPr>
        <w:t> </w:t>
      </w:r>
      <w:r>
        <w:rPr>
          <w:color w:val="231F20"/>
        </w:rPr>
        <w:t>импровизации; б)</w:t>
      </w:r>
      <w:r>
        <w:rPr>
          <w:color w:val="231F20"/>
          <w:spacing w:val="40"/>
        </w:rPr>
        <w:t> </w:t>
      </w:r>
      <w:r>
        <w:rPr>
          <w:color w:val="231F20"/>
        </w:rPr>
        <w:t>вербальные импровизации;</w:t>
      </w:r>
    </w:p>
    <w:p>
      <w:pPr>
        <w:pStyle w:val="BodyText"/>
        <w:spacing w:line="228" w:lineRule="exact"/>
        <w:ind w:left="708" w:right="0" w:firstLine="0"/>
        <w:jc w:val="left"/>
      </w:pPr>
      <w:r>
        <w:rPr>
          <w:color w:val="231F20"/>
        </w:rPr>
        <w:t>в)</w:t>
      </w:r>
      <w:r>
        <w:rPr>
          <w:color w:val="231F20"/>
          <w:spacing w:val="69"/>
        </w:rPr>
        <w:t> </w:t>
      </w:r>
      <w:r>
        <w:rPr>
          <w:color w:val="231F20"/>
        </w:rPr>
        <w:t>драматические </w:t>
      </w:r>
      <w:r>
        <w:rPr>
          <w:color w:val="231F20"/>
          <w:spacing w:val="-2"/>
        </w:rPr>
        <w:t>импровизации.</w:t>
      </w:r>
    </w:p>
    <w:p>
      <w:pPr>
        <w:pStyle w:val="BodyText"/>
        <w:spacing w:line="247" w:lineRule="auto" w:before="63"/>
      </w:pPr>
      <w:r>
        <w:rPr>
          <w:b/>
          <w:color w:val="231F20"/>
        </w:rPr>
        <w:t>С.</w:t>
      </w:r>
      <w:r>
        <w:rPr>
          <w:b/>
          <w:color w:val="231F20"/>
          <w:spacing w:val="-10"/>
        </w:rPr>
        <w:t> </w:t>
      </w:r>
      <w:r>
        <w:rPr>
          <w:i/>
          <w:color w:val="231F20"/>
        </w:rPr>
        <w:t>Контакт</w:t>
      </w:r>
      <w:r>
        <w:rPr>
          <w:i/>
          <w:color w:val="231F20"/>
          <w:spacing w:val="-10"/>
        </w:rPr>
        <w:t> </w:t>
      </w:r>
      <w:r>
        <w:rPr>
          <w:i/>
          <w:color w:val="231F20"/>
        </w:rPr>
        <w:t>и</w:t>
      </w:r>
      <w:r>
        <w:rPr>
          <w:i/>
          <w:color w:val="231F20"/>
          <w:spacing w:val="-10"/>
        </w:rPr>
        <w:t> </w:t>
      </w:r>
      <w:r>
        <w:rPr>
          <w:i/>
          <w:color w:val="231F20"/>
        </w:rPr>
        <w:t>общение.</w:t>
      </w:r>
      <w:r>
        <w:rPr>
          <w:i/>
          <w:color w:val="231F20"/>
          <w:spacing w:val="-10"/>
        </w:rPr>
        <w:t> </w:t>
      </w:r>
      <w:r>
        <w:rPr>
          <w:color w:val="231F20"/>
        </w:rPr>
        <w:t>Третий</w:t>
      </w:r>
      <w:r>
        <w:rPr>
          <w:color w:val="231F20"/>
          <w:spacing w:val="-10"/>
        </w:rPr>
        <w:t> </w:t>
      </w:r>
      <w:r>
        <w:rPr>
          <w:color w:val="231F20"/>
        </w:rPr>
        <w:t>блок</w:t>
      </w:r>
      <w:r>
        <w:rPr>
          <w:color w:val="231F20"/>
          <w:spacing w:val="-10"/>
        </w:rPr>
        <w:t> </w:t>
      </w:r>
      <w:r>
        <w:rPr>
          <w:color w:val="231F20"/>
        </w:rPr>
        <w:t>направлен</w:t>
      </w:r>
      <w:r>
        <w:rPr>
          <w:color w:val="231F20"/>
          <w:spacing w:val="-10"/>
        </w:rPr>
        <w:t> </w:t>
      </w:r>
      <w:r>
        <w:rPr>
          <w:color w:val="231F20"/>
        </w:rPr>
        <w:t>на</w:t>
      </w:r>
      <w:r>
        <w:rPr>
          <w:color w:val="231F20"/>
          <w:spacing w:val="-10"/>
        </w:rPr>
        <w:t> </w:t>
      </w:r>
      <w:r>
        <w:rPr>
          <w:color w:val="231F20"/>
        </w:rPr>
        <w:t>углубленный</w:t>
      </w:r>
      <w:r>
        <w:rPr>
          <w:color w:val="231F20"/>
          <w:spacing w:val="-10"/>
        </w:rPr>
        <w:t> </w:t>
      </w:r>
      <w:r>
        <w:rPr>
          <w:color w:val="231F20"/>
        </w:rPr>
        <w:t>психологический анализ опыта, связанного с межличностным взаимодействием с использованием ме- тодов драматизации.</w:t>
      </w:r>
    </w:p>
    <w:p>
      <w:pPr>
        <w:pStyle w:val="ListParagraph"/>
        <w:numPr>
          <w:ilvl w:val="0"/>
          <w:numId w:val="115"/>
        </w:numPr>
        <w:tabs>
          <w:tab w:pos="708" w:val="left" w:leader="none"/>
        </w:tabs>
        <w:spacing w:line="227" w:lineRule="exact" w:before="0" w:after="0"/>
        <w:ind w:left="708" w:right="0" w:hanging="283"/>
        <w:jc w:val="left"/>
        <w:rPr>
          <w:i/>
          <w:sz w:val="20"/>
        </w:rPr>
      </w:pPr>
      <w:r>
        <w:rPr>
          <w:i/>
          <w:color w:val="231F20"/>
          <w:sz w:val="20"/>
        </w:rPr>
        <w:t>Эмпатия</w:t>
      </w:r>
      <w:r>
        <w:rPr>
          <w:i/>
          <w:color w:val="231F20"/>
          <w:spacing w:val="-4"/>
          <w:sz w:val="20"/>
        </w:rPr>
        <w:t> </w:t>
      </w:r>
      <w:r>
        <w:rPr>
          <w:i/>
          <w:color w:val="231F20"/>
          <w:sz w:val="20"/>
        </w:rPr>
        <w:t>и</w:t>
      </w:r>
      <w:r>
        <w:rPr>
          <w:i/>
          <w:color w:val="231F20"/>
          <w:spacing w:val="-1"/>
          <w:sz w:val="20"/>
        </w:rPr>
        <w:t> </w:t>
      </w:r>
      <w:r>
        <w:rPr>
          <w:i/>
          <w:color w:val="231F20"/>
          <w:spacing w:val="-2"/>
          <w:sz w:val="20"/>
        </w:rPr>
        <w:t>доверие.</w:t>
      </w:r>
    </w:p>
    <w:p>
      <w:pPr>
        <w:pStyle w:val="ListParagraph"/>
        <w:numPr>
          <w:ilvl w:val="0"/>
          <w:numId w:val="115"/>
        </w:numPr>
        <w:tabs>
          <w:tab w:pos="708" w:val="left" w:leader="none"/>
        </w:tabs>
        <w:spacing w:line="240" w:lineRule="auto" w:before="6" w:after="0"/>
        <w:ind w:left="708" w:right="0" w:hanging="283"/>
        <w:jc w:val="left"/>
        <w:rPr>
          <w:i/>
          <w:sz w:val="20"/>
        </w:rPr>
      </w:pPr>
      <w:r>
        <w:rPr>
          <w:i/>
          <w:color w:val="231F20"/>
          <w:sz w:val="20"/>
        </w:rPr>
        <w:t>Самораскрытие в </w:t>
      </w:r>
      <w:r>
        <w:rPr>
          <w:i/>
          <w:color w:val="231F20"/>
          <w:spacing w:val="-2"/>
          <w:sz w:val="20"/>
        </w:rPr>
        <w:t>общении.</w:t>
      </w:r>
    </w:p>
    <w:p>
      <w:pPr>
        <w:pStyle w:val="ListParagraph"/>
        <w:numPr>
          <w:ilvl w:val="0"/>
          <w:numId w:val="115"/>
        </w:numPr>
        <w:tabs>
          <w:tab w:pos="708" w:val="left" w:leader="none"/>
        </w:tabs>
        <w:spacing w:line="240" w:lineRule="auto" w:before="6" w:after="0"/>
        <w:ind w:left="708" w:right="0" w:hanging="283"/>
        <w:jc w:val="left"/>
        <w:rPr>
          <w:i/>
          <w:sz w:val="20"/>
        </w:rPr>
      </w:pPr>
      <w:r>
        <w:rPr>
          <w:i/>
          <w:color w:val="231F20"/>
          <w:sz w:val="20"/>
        </w:rPr>
        <w:t>Приемы</w:t>
      </w:r>
      <w:r>
        <w:rPr>
          <w:i/>
          <w:color w:val="231F20"/>
          <w:spacing w:val="-7"/>
          <w:sz w:val="20"/>
        </w:rPr>
        <w:t> </w:t>
      </w:r>
      <w:r>
        <w:rPr>
          <w:i/>
          <w:color w:val="231F20"/>
          <w:spacing w:val="-2"/>
          <w:sz w:val="20"/>
        </w:rPr>
        <w:t>общения.</w:t>
      </w:r>
    </w:p>
    <w:p>
      <w:pPr>
        <w:pStyle w:val="BodyText"/>
        <w:spacing w:line="247" w:lineRule="auto" w:before="62"/>
      </w:pPr>
      <w:r>
        <w:rPr>
          <w:b/>
          <w:color w:val="231F20"/>
        </w:rPr>
        <w:t>D. </w:t>
      </w:r>
      <w:r>
        <w:rPr>
          <w:i/>
          <w:color w:val="231F20"/>
        </w:rPr>
        <w:t>Психотерапевтические интервенции</w:t>
      </w:r>
      <w:r>
        <w:rPr>
          <w:color w:val="231F20"/>
        </w:rPr>
        <w:t>. К этому блоку относятся методы, </w:t>
      </w:r>
      <w:r>
        <w:rPr>
          <w:color w:val="231F20"/>
        </w:rPr>
        <w:t>ис- пользующие активное вмешательство в групповой процесс на основе техник комби- </w:t>
      </w:r>
      <w:r>
        <w:rPr>
          <w:color w:val="231F20"/>
          <w:spacing w:val="-2"/>
        </w:rPr>
        <w:t>нации групповой и индивидуальной психотерапии, адаптированных применительно к </w:t>
      </w:r>
      <w:r>
        <w:rPr>
          <w:color w:val="231F20"/>
        </w:rPr>
        <w:t>подростковому</w:t>
      </w:r>
      <w:r>
        <w:rPr>
          <w:color w:val="231F20"/>
          <w:spacing w:val="-3"/>
        </w:rPr>
        <w:t> </w:t>
      </w:r>
      <w:r>
        <w:rPr>
          <w:color w:val="231F20"/>
        </w:rPr>
        <w:t>возрасту</w:t>
      </w:r>
      <w:r>
        <w:rPr>
          <w:color w:val="231F20"/>
          <w:spacing w:val="-3"/>
        </w:rPr>
        <w:t> </w:t>
      </w:r>
      <w:r>
        <w:rPr>
          <w:color w:val="231F20"/>
        </w:rPr>
        <w:t>и</w:t>
      </w:r>
      <w:r>
        <w:rPr>
          <w:color w:val="231F20"/>
          <w:spacing w:val="-3"/>
        </w:rPr>
        <w:t> </w:t>
      </w:r>
      <w:r>
        <w:rPr>
          <w:color w:val="231F20"/>
        </w:rPr>
        <w:t>театрализованной</w:t>
      </w:r>
      <w:r>
        <w:rPr>
          <w:color w:val="231F20"/>
          <w:spacing w:val="-3"/>
        </w:rPr>
        <w:t> </w:t>
      </w:r>
      <w:r>
        <w:rPr>
          <w:color w:val="231F20"/>
        </w:rPr>
        <w:t>форме</w:t>
      </w:r>
      <w:r>
        <w:rPr>
          <w:color w:val="231F20"/>
          <w:spacing w:val="-3"/>
        </w:rPr>
        <w:t> </w:t>
      </w:r>
      <w:r>
        <w:rPr>
          <w:color w:val="231F20"/>
        </w:rPr>
        <w:t>группового</w:t>
      </w:r>
      <w:r>
        <w:rPr>
          <w:color w:val="231F20"/>
          <w:spacing w:val="-3"/>
        </w:rPr>
        <w:t> </w:t>
      </w:r>
      <w:r>
        <w:rPr>
          <w:color w:val="231F20"/>
        </w:rPr>
        <w:t>процесса.</w:t>
      </w:r>
      <w:r>
        <w:rPr>
          <w:color w:val="231F20"/>
          <w:spacing w:val="-3"/>
        </w:rPr>
        <w:t> </w:t>
      </w:r>
      <w:r>
        <w:rPr>
          <w:color w:val="231F20"/>
        </w:rPr>
        <w:t>Подобные техники применяются ведущими достаточно редко и только при наличии соответ- ствующей</w:t>
      </w:r>
      <w:r>
        <w:rPr>
          <w:color w:val="231F20"/>
          <w:spacing w:val="-13"/>
        </w:rPr>
        <w:t> </w:t>
      </w:r>
      <w:r>
        <w:rPr>
          <w:color w:val="231F20"/>
        </w:rPr>
        <w:t>квалификации,</w:t>
      </w:r>
      <w:r>
        <w:rPr>
          <w:color w:val="231F20"/>
          <w:spacing w:val="-12"/>
        </w:rPr>
        <w:t> </w:t>
      </w:r>
      <w:r>
        <w:rPr>
          <w:color w:val="231F20"/>
        </w:rPr>
        <w:t>а</w:t>
      </w:r>
      <w:r>
        <w:rPr>
          <w:color w:val="231F20"/>
          <w:spacing w:val="-13"/>
        </w:rPr>
        <w:t> </w:t>
      </w:r>
      <w:r>
        <w:rPr>
          <w:color w:val="231F20"/>
        </w:rPr>
        <w:t>также</w:t>
      </w:r>
      <w:r>
        <w:rPr>
          <w:color w:val="231F20"/>
          <w:spacing w:val="-12"/>
        </w:rPr>
        <w:t> </w:t>
      </w:r>
      <w:r>
        <w:rPr>
          <w:color w:val="231F20"/>
        </w:rPr>
        <w:t>более</w:t>
      </w:r>
      <w:r>
        <w:rPr>
          <w:color w:val="231F20"/>
          <w:spacing w:val="-13"/>
        </w:rPr>
        <w:t> </w:t>
      </w:r>
      <w:r>
        <w:rPr>
          <w:color w:val="231F20"/>
        </w:rPr>
        <w:t>или</w:t>
      </w:r>
      <w:r>
        <w:rPr>
          <w:color w:val="231F20"/>
          <w:spacing w:val="-12"/>
        </w:rPr>
        <w:t> </w:t>
      </w:r>
      <w:r>
        <w:rPr>
          <w:color w:val="231F20"/>
        </w:rPr>
        <w:t>менее</w:t>
      </w:r>
      <w:r>
        <w:rPr>
          <w:color w:val="231F20"/>
          <w:spacing w:val="-13"/>
        </w:rPr>
        <w:t> </w:t>
      </w:r>
      <w:r>
        <w:rPr>
          <w:color w:val="231F20"/>
        </w:rPr>
        <w:t>четко</w:t>
      </w:r>
      <w:r>
        <w:rPr>
          <w:color w:val="231F20"/>
          <w:spacing w:val="-12"/>
        </w:rPr>
        <w:t> </w:t>
      </w:r>
      <w:r>
        <w:rPr>
          <w:color w:val="231F20"/>
        </w:rPr>
        <w:t>сформулированного</w:t>
      </w:r>
      <w:r>
        <w:rPr>
          <w:color w:val="231F20"/>
          <w:spacing w:val="-13"/>
        </w:rPr>
        <w:t> </w:t>
      </w:r>
      <w:r>
        <w:rPr>
          <w:color w:val="231F20"/>
        </w:rPr>
        <w:t>запроса в группе на психотерапевтическую работу.</w:t>
      </w:r>
    </w:p>
    <w:p>
      <w:pPr>
        <w:pStyle w:val="BodyText"/>
        <w:spacing w:line="247" w:lineRule="auto"/>
      </w:pPr>
      <w:r>
        <w:rPr>
          <w:color w:val="231F20"/>
        </w:rPr>
        <w:t>Особо следует отметить необходимость акцента на использовании телесно-ори- ентированных техник. Подростки-мигранты зачастую характеризуются высокой моторной экспрессивностью, а когда двигательное самовыражение связывается с осознанием,</w:t>
      </w:r>
      <w:r>
        <w:rPr>
          <w:color w:val="231F20"/>
          <w:spacing w:val="-3"/>
        </w:rPr>
        <w:t> </w:t>
      </w:r>
      <w:r>
        <w:rPr>
          <w:color w:val="231F20"/>
        </w:rPr>
        <w:t>это</w:t>
      </w:r>
      <w:r>
        <w:rPr>
          <w:color w:val="231F20"/>
          <w:spacing w:val="-3"/>
        </w:rPr>
        <w:t> </w:t>
      </w:r>
      <w:r>
        <w:rPr>
          <w:color w:val="231F20"/>
        </w:rPr>
        <w:t>дает</w:t>
      </w:r>
      <w:r>
        <w:rPr>
          <w:color w:val="231F20"/>
          <w:spacing w:val="-3"/>
        </w:rPr>
        <w:t> </w:t>
      </w:r>
      <w:r>
        <w:rPr>
          <w:color w:val="231F20"/>
        </w:rPr>
        <w:t>большой</w:t>
      </w:r>
      <w:r>
        <w:rPr>
          <w:color w:val="231F20"/>
          <w:spacing w:val="-3"/>
        </w:rPr>
        <w:t> </w:t>
      </w:r>
      <w:r>
        <w:rPr>
          <w:color w:val="231F20"/>
        </w:rPr>
        <w:t>терапевтический</w:t>
      </w:r>
      <w:r>
        <w:rPr>
          <w:color w:val="231F20"/>
          <w:spacing w:val="-3"/>
        </w:rPr>
        <w:t> </w:t>
      </w:r>
      <w:r>
        <w:rPr>
          <w:color w:val="231F20"/>
        </w:rPr>
        <w:t>эффект.</w:t>
      </w:r>
      <w:r>
        <w:rPr>
          <w:color w:val="231F20"/>
          <w:spacing w:val="-3"/>
        </w:rPr>
        <w:t> </w:t>
      </w:r>
      <w:r>
        <w:rPr>
          <w:color w:val="231F20"/>
        </w:rPr>
        <w:t>Учитывая</w:t>
      </w:r>
      <w:r>
        <w:rPr>
          <w:color w:val="231F20"/>
          <w:spacing w:val="-3"/>
        </w:rPr>
        <w:t> </w:t>
      </w:r>
      <w:r>
        <w:rPr>
          <w:color w:val="231F20"/>
        </w:rPr>
        <w:t>это,</w:t>
      </w:r>
      <w:r>
        <w:rPr>
          <w:color w:val="231F20"/>
          <w:spacing w:val="-3"/>
        </w:rPr>
        <w:t> </w:t>
      </w:r>
      <w:r>
        <w:rPr>
          <w:color w:val="231F20"/>
        </w:rPr>
        <w:t>мы</w:t>
      </w:r>
      <w:r>
        <w:rPr>
          <w:color w:val="231F20"/>
          <w:spacing w:val="-3"/>
        </w:rPr>
        <w:t> </w:t>
      </w:r>
      <w:r>
        <w:rPr>
          <w:color w:val="231F20"/>
        </w:rPr>
        <w:t>предлага- ем использовать методы телесно-ориентированной психотерапии, в задачи которой входит</w:t>
      </w:r>
      <w:r>
        <w:rPr>
          <w:color w:val="231F20"/>
          <w:spacing w:val="-10"/>
        </w:rPr>
        <w:t> </w:t>
      </w:r>
      <w:r>
        <w:rPr>
          <w:color w:val="231F20"/>
        </w:rPr>
        <w:t>повышение</w:t>
      </w:r>
      <w:r>
        <w:rPr>
          <w:color w:val="231F20"/>
          <w:spacing w:val="-10"/>
        </w:rPr>
        <w:t> </w:t>
      </w:r>
      <w:r>
        <w:rPr>
          <w:color w:val="231F20"/>
        </w:rPr>
        <w:t>степени</w:t>
      </w:r>
      <w:r>
        <w:rPr>
          <w:color w:val="231F20"/>
          <w:spacing w:val="-10"/>
        </w:rPr>
        <w:t> </w:t>
      </w:r>
      <w:r>
        <w:rPr>
          <w:color w:val="231F20"/>
        </w:rPr>
        <w:t>осознания</w:t>
      </w:r>
      <w:r>
        <w:rPr>
          <w:color w:val="231F20"/>
          <w:spacing w:val="-10"/>
        </w:rPr>
        <w:t> </w:t>
      </w:r>
      <w:r>
        <w:rPr>
          <w:color w:val="231F20"/>
        </w:rPr>
        <w:t>своего</w:t>
      </w:r>
      <w:r>
        <w:rPr>
          <w:color w:val="231F20"/>
          <w:spacing w:val="-10"/>
        </w:rPr>
        <w:t> </w:t>
      </w:r>
      <w:r>
        <w:rPr>
          <w:color w:val="231F20"/>
        </w:rPr>
        <w:t>тела,</w:t>
      </w:r>
      <w:r>
        <w:rPr>
          <w:color w:val="231F20"/>
          <w:spacing w:val="-10"/>
        </w:rPr>
        <w:t> </w:t>
      </w:r>
      <w:r>
        <w:rPr>
          <w:color w:val="231F20"/>
        </w:rPr>
        <w:t>осознание</w:t>
      </w:r>
      <w:r>
        <w:rPr>
          <w:color w:val="231F20"/>
          <w:spacing w:val="-10"/>
        </w:rPr>
        <w:t> </w:t>
      </w:r>
      <w:r>
        <w:rPr>
          <w:color w:val="231F20"/>
        </w:rPr>
        <w:t>невербальных</w:t>
      </w:r>
      <w:r>
        <w:rPr>
          <w:color w:val="231F20"/>
          <w:spacing w:val="-10"/>
        </w:rPr>
        <w:t> </w:t>
      </w:r>
      <w:r>
        <w:rPr>
          <w:color w:val="231F20"/>
        </w:rPr>
        <w:t>аспектов контакта</w:t>
      </w:r>
      <w:r>
        <w:rPr>
          <w:color w:val="231F20"/>
          <w:spacing w:val="-12"/>
        </w:rPr>
        <w:t> </w:t>
      </w:r>
      <w:r>
        <w:rPr>
          <w:color w:val="231F20"/>
        </w:rPr>
        <w:t>и</w:t>
      </w:r>
      <w:r>
        <w:rPr>
          <w:color w:val="231F20"/>
          <w:spacing w:val="-11"/>
        </w:rPr>
        <w:t> </w:t>
      </w:r>
      <w:r>
        <w:rPr>
          <w:color w:val="231F20"/>
        </w:rPr>
        <w:t>взаимодействия</w:t>
      </w:r>
      <w:r>
        <w:rPr>
          <w:color w:val="231F20"/>
          <w:spacing w:val="-11"/>
        </w:rPr>
        <w:t> </w:t>
      </w:r>
      <w:r>
        <w:rPr>
          <w:color w:val="231F20"/>
        </w:rPr>
        <w:t>между</w:t>
      </w:r>
      <w:r>
        <w:rPr>
          <w:color w:val="231F20"/>
          <w:spacing w:val="-11"/>
        </w:rPr>
        <w:t> </w:t>
      </w:r>
      <w:r>
        <w:rPr>
          <w:color w:val="231F20"/>
        </w:rPr>
        <w:t>людьми</w:t>
      </w:r>
      <w:r>
        <w:rPr>
          <w:color w:val="231F20"/>
          <w:spacing w:val="-10"/>
        </w:rPr>
        <w:t> </w:t>
      </w:r>
      <w:r>
        <w:rPr>
          <w:color w:val="231F20"/>
        </w:rPr>
        <w:t>и</w:t>
      </w:r>
      <w:r>
        <w:rPr>
          <w:color w:val="231F20"/>
          <w:spacing w:val="-11"/>
        </w:rPr>
        <w:t> </w:t>
      </w:r>
      <w:r>
        <w:rPr>
          <w:color w:val="231F20"/>
        </w:rPr>
        <w:t>развитие</w:t>
      </w:r>
      <w:r>
        <w:rPr>
          <w:color w:val="231F20"/>
          <w:spacing w:val="-10"/>
        </w:rPr>
        <w:t> </w:t>
      </w:r>
      <w:r>
        <w:rPr>
          <w:color w:val="231F20"/>
        </w:rPr>
        <w:t>телесной</w:t>
      </w:r>
      <w:r>
        <w:rPr>
          <w:color w:val="231F20"/>
          <w:spacing w:val="-11"/>
        </w:rPr>
        <w:t> </w:t>
      </w:r>
      <w:r>
        <w:rPr>
          <w:color w:val="231F20"/>
        </w:rPr>
        <w:t>сензитивности</w:t>
      </w:r>
      <w:r>
        <w:rPr>
          <w:color w:val="231F20"/>
          <w:spacing w:val="-10"/>
        </w:rPr>
        <w:t> </w:t>
      </w:r>
      <w:r>
        <w:rPr>
          <w:color w:val="231F20"/>
          <w:spacing w:val="-2"/>
        </w:rPr>
        <w:t>(Рома-</w:t>
      </w:r>
    </w:p>
    <w:p>
      <w:pPr>
        <w:pStyle w:val="BodyText"/>
        <w:spacing w:after="0" w:line="247" w:lineRule="auto"/>
        <w:sectPr>
          <w:pgSz w:w="8400" w:h="11910"/>
          <w:pgMar w:header="0" w:footer="527" w:top="400" w:bottom="740" w:left="425" w:right="425"/>
        </w:sectPr>
      </w:pPr>
    </w:p>
    <w:p>
      <w:pPr>
        <w:spacing w:before="80"/>
        <w:ind w:left="141" w:right="0" w:firstLine="0"/>
        <w:jc w:val="both"/>
        <w:rPr>
          <w:rFonts w:ascii="Georgia" w:hAnsi="Georgia"/>
          <w:sz w:val="18"/>
        </w:rPr>
      </w:pPr>
      <w:r>
        <w:rPr>
          <w:rFonts w:ascii="Georgia" w:hAnsi="Georgia"/>
          <w:color w:val="231F20"/>
          <w:sz w:val="18"/>
        </w:rPr>
        <w:t>4.2.</w:t>
      </w:r>
      <w:r>
        <w:rPr>
          <w:rFonts w:ascii="Georgia" w:hAnsi="Georgia"/>
          <w:color w:val="231F20"/>
          <w:spacing w:val="-6"/>
          <w:sz w:val="18"/>
        </w:rPr>
        <w:t> </w:t>
      </w:r>
      <w:r>
        <w:rPr>
          <w:rFonts w:ascii="Georgia" w:hAnsi="Georgia"/>
          <w:color w:val="231F20"/>
          <w:sz w:val="18"/>
        </w:rPr>
        <w:t>Работа</w:t>
      </w:r>
      <w:r>
        <w:rPr>
          <w:rFonts w:ascii="Georgia" w:hAnsi="Georgia"/>
          <w:color w:val="231F20"/>
          <w:spacing w:val="-5"/>
          <w:sz w:val="18"/>
        </w:rPr>
        <w:t> </w:t>
      </w:r>
      <w:r>
        <w:rPr>
          <w:rFonts w:ascii="Georgia" w:hAnsi="Georgia"/>
          <w:color w:val="231F20"/>
          <w:sz w:val="18"/>
        </w:rPr>
        <w:t>педагога-психолога</w:t>
      </w:r>
      <w:r>
        <w:rPr>
          <w:rFonts w:ascii="Georgia" w:hAnsi="Georgia"/>
          <w:color w:val="231F20"/>
          <w:spacing w:val="-5"/>
          <w:sz w:val="18"/>
        </w:rPr>
        <w:t> </w:t>
      </w:r>
      <w:r>
        <w:rPr>
          <w:rFonts w:ascii="Georgia" w:hAnsi="Georgia"/>
          <w:color w:val="231F20"/>
          <w:sz w:val="18"/>
        </w:rPr>
        <w:t>в</w:t>
      </w:r>
      <w:r>
        <w:rPr>
          <w:rFonts w:ascii="Georgia" w:hAnsi="Georgia"/>
          <w:color w:val="231F20"/>
          <w:spacing w:val="-5"/>
          <w:sz w:val="18"/>
        </w:rPr>
        <w:t> </w:t>
      </w:r>
      <w:r>
        <w:rPr>
          <w:rFonts w:ascii="Georgia" w:hAnsi="Georgia"/>
          <w:color w:val="231F20"/>
          <w:sz w:val="18"/>
        </w:rPr>
        <w:t>области</w:t>
      </w:r>
      <w:r>
        <w:rPr>
          <w:rFonts w:ascii="Georgia" w:hAnsi="Georgia"/>
          <w:color w:val="231F20"/>
          <w:spacing w:val="-6"/>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детей</w:t>
      </w:r>
      <w:r>
        <w:rPr>
          <w:rFonts w:ascii="Georgia" w:hAnsi="Georgia"/>
          <w:color w:val="231F20"/>
          <w:spacing w:val="-5"/>
          <w:sz w:val="18"/>
        </w:rPr>
        <w:t> </w:t>
      </w:r>
      <w:r>
        <w:rPr>
          <w:rFonts w:ascii="Georgia" w:hAnsi="Georgia"/>
          <w:color w:val="231F20"/>
          <w:sz w:val="18"/>
        </w:rPr>
        <w:t>...</w:t>
      </w:r>
      <w:r>
        <w:rPr>
          <w:rFonts w:ascii="Georgia" w:hAnsi="Georgia"/>
          <w:color w:val="231F20"/>
          <w:spacing w:val="-5"/>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BodyText"/>
        <w:spacing w:line="237" w:lineRule="auto" w:before="114"/>
        <w:ind w:firstLine="0"/>
      </w:pPr>
      <w:r>
        <w:rPr>
          <w:color w:val="231F20"/>
          <w:spacing w:val="-2"/>
        </w:rPr>
        <w:t>ненко, 1996). Также возможно использовать элементы пластико-когнитивной терапии </w:t>
      </w:r>
      <w:r>
        <w:rPr>
          <w:color w:val="231F20"/>
        </w:rPr>
        <w:t>(Никитин, 2000), направленной на развитие телесного сознания через пантомими- ческие упражнения, коммуникативные игры и техники выразительного движения.</w:t>
      </w:r>
      <w:r>
        <w:rPr>
          <w:color w:val="231F20"/>
          <w:spacing w:val="80"/>
        </w:rPr>
        <w:t> </w:t>
      </w:r>
      <w:r>
        <w:rPr>
          <w:color w:val="231F20"/>
        </w:rPr>
        <w:t>В программу также включаются актерские телесно-ориентированные психотехники </w:t>
      </w:r>
      <w:r>
        <w:rPr>
          <w:color w:val="231F20"/>
          <w:spacing w:val="-2"/>
        </w:rPr>
        <w:t>(Березкина-Орлова, 2001), которые интегрируют различные телесные методы и вклю- </w:t>
      </w:r>
      <w:r>
        <w:rPr>
          <w:color w:val="231F20"/>
        </w:rPr>
        <w:t>чают техники снятия напряжения и произвольной релаксации.</w:t>
      </w:r>
    </w:p>
    <w:p>
      <w:pPr>
        <w:pStyle w:val="BodyText"/>
        <w:spacing w:line="230" w:lineRule="auto" w:before="1"/>
      </w:pPr>
      <w:r>
        <w:rPr>
          <w:color w:val="231F20"/>
        </w:rPr>
        <w:t>Следует подчеркнуть, что психологический театр – уникальная форма, позволя- ющая интегрировать самые разные техники групповой тренинговой работы с под- ростками. При этом отчетливое понимание ими смысла такой деятельности («для театра»)</w:t>
      </w:r>
      <w:r>
        <w:rPr>
          <w:color w:val="231F20"/>
          <w:spacing w:val="-3"/>
        </w:rPr>
        <w:t> </w:t>
      </w:r>
      <w:r>
        <w:rPr>
          <w:color w:val="231F20"/>
        </w:rPr>
        <w:t>зачастую</w:t>
      </w:r>
      <w:r>
        <w:rPr>
          <w:color w:val="231F20"/>
          <w:spacing w:val="-3"/>
        </w:rPr>
        <w:t> </w:t>
      </w:r>
      <w:r>
        <w:rPr>
          <w:color w:val="231F20"/>
        </w:rPr>
        <w:t>существенно</w:t>
      </w:r>
      <w:r>
        <w:rPr>
          <w:color w:val="231F20"/>
          <w:spacing w:val="-3"/>
        </w:rPr>
        <w:t> </w:t>
      </w:r>
      <w:r>
        <w:rPr>
          <w:color w:val="231F20"/>
        </w:rPr>
        <w:t>повышает</w:t>
      </w:r>
      <w:r>
        <w:rPr>
          <w:color w:val="231F20"/>
          <w:spacing w:val="-3"/>
        </w:rPr>
        <w:t> </w:t>
      </w:r>
      <w:r>
        <w:rPr>
          <w:color w:val="231F20"/>
        </w:rPr>
        <w:t>эффективность</w:t>
      </w:r>
      <w:r>
        <w:rPr>
          <w:color w:val="231F20"/>
          <w:spacing w:val="-3"/>
        </w:rPr>
        <w:t> </w:t>
      </w:r>
      <w:r>
        <w:rPr>
          <w:color w:val="231F20"/>
        </w:rPr>
        <w:t>данных</w:t>
      </w:r>
      <w:r>
        <w:rPr>
          <w:color w:val="231F20"/>
          <w:spacing w:val="-3"/>
        </w:rPr>
        <w:t> </w:t>
      </w:r>
      <w:r>
        <w:rPr>
          <w:color w:val="231F20"/>
        </w:rPr>
        <w:t>методов,</w:t>
      </w:r>
      <w:r>
        <w:rPr>
          <w:color w:val="231F20"/>
          <w:spacing w:val="-3"/>
        </w:rPr>
        <w:t> </w:t>
      </w:r>
      <w:r>
        <w:rPr>
          <w:color w:val="231F20"/>
        </w:rPr>
        <w:t>позволяя </w:t>
      </w:r>
      <w:r>
        <w:rPr>
          <w:color w:val="231F20"/>
          <w:spacing w:val="-2"/>
        </w:rPr>
        <w:t>добиваться высоких психологически значимых результатов при работе с подростками </w:t>
      </w:r>
      <w:r>
        <w:rPr>
          <w:color w:val="231F20"/>
        </w:rPr>
        <w:t>из различных культур.</w:t>
      </w:r>
    </w:p>
    <w:p>
      <w:pPr>
        <w:spacing w:before="100"/>
        <w:ind w:left="425" w:right="0" w:firstLine="0"/>
        <w:jc w:val="both"/>
        <w:rPr>
          <w:b/>
          <w:sz w:val="20"/>
        </w:rPr>
      </w:pPr>
      <w:r>
        <w:rPr>
          <w:b/>
          <w:color w:val="231F20"/>
          <w:sz w:val="20"/>
        </w:rPr>
        <w:t>Авторские</w:t>
      </w:r>
      <w:r>
        <w:rPr>
          <w:b/>
          <w:color w:val="231F20"/>
          <w:spacing w:val="-8"/>
          <w:sz w:val="20"/>
        </w:rPr>
        <w:t> </w:t>
      </w:r>
      <w:r>
        <w:rPr>
          <w:b/>
          <w:color w:val="231F20"/>
          <w:sz w:val="20"/>
        </w:rPr>
        <w:t>техники</w:t>
      </w:r>
      <w:r>
        <w:rPr>
          <w:b/>
          <w:color w:val="231F20"/>
          <w:spacing w:val="-9"/>
          <w:sz w:val="20"/>
        </w:rPr>
        <w:t> </w:t>
      </w:r>
      <w:r>
        <w:rPr>
          <w:b/>
          <w:color w:val="231F20"/>
          <w:sz w:val="20"/>
        </w:rPr>
        <w:t>из</w:t>
      </w:r>
      <w:r>
        <w:rPr>
          <w:b/>
          <w:color w:val="231F20"/>
          <w:spacing w:val="-8"/>
          <w:sz w:val="20"/>
        </w:rPr>
        <w:t> </w:t>
      </w:r>
      <w:r>
        <w:rPr>
          <w:b/>
          <w:color w:val="231F20"/>
          <w:sz w:val="20"/>
        </w:rPr>
        <w:t>тренинговой</w:t>
      </w:r>
      <w:r>
        <w:rPr>
          <w:b/>
          <w:color w:val="231F20"/>
          <w:spacing w:val="-9"/>
          <w:sz w:val="20"/>
        </w:rPr>
        <w:t> </w:t>
      </w:r>
      <w:r>
        <w:rPr>
          <w:b/>
          <w:color w:val="231F20"/>
          <w:sz w:val="20"/>
        </w:rPr>
        <w:t>театральной</w:t>
      </w:r>
      <w:r>
        <w:rPr>
          <w:b/>
          <w:color w:val="231F20"/>
          <w:spacing w:val="-8"/>
          <w:sz w:val="20"/>
        </w:rPr>
        <w:t> </w:t>
      </w:r>
      <w:r>
        <w:rPr>
          <w:b/>
          <w:color w:val="231F20"/>
          <w:spacing w:val="-2"/>
          <w:sz w:val="20"/>
        </w:rPr>
        <w:t>программы</w:t>
      </w:r>
    </w:p>
    <w:p>
      <w:pPr>
        <w:pStyle w:val="ListParagraph"/>
        <w:numPr>
          <w:ilvl w:val="0"/>
          <w:numId w:val="116"/>
        </w:numPr>
        <w:tabs>
          <w:tab w:pos="424" w:val="left" w:leader="none"/>
        </w:tabs>
        <w:spacing w:line="227" w:lineRule="exact" w:before="50" w:after="0"/>
        <w:ind w:left="424" w:right="0" w:hanging="283"/>
        <w:jc w:val="both"/>
        <w:rPr>
          <w:i/>
          <w:sz w:val="20"/>
        </w:rPr>
      </w:pPr>
      <w:r>
        <w:rPr>
          <w:i/>
          <w:color w:val="231F20"/>
          <w:spacing w:val="-2"/>
          <w:sz w:val="20"/>
        </w:rPr>
        <w:t>«Комфортный</w:t>
      </w:r>
      <w:r>
        <w:rPr>
          <w:i/>
          <w:color w:val="231F20"/>
          <w:sz w:val="20"/>
        </w:rPr>
        <w:t> </w:t>
      </w:r>
      <w:r>
        <w:rPr>
          <w:i/>
          <w:color w:val="231F20"/>
          <w:spacing w:val="-4"/>
          <w:sz w:val="20"/>
        </w:rPr>
        <w:t>круг»</w:t>
      </w:r>
    </w:p>
    <w:p>
      <w:pPr>
        <w:pStyle w:val="BodyText"/>
        <w:spacing w:line="224" w:lineRule="exact"/>
        <w:ind w:left="425" w:right="0" w:firstLine="0"/>
      </w:pPr>
      <w:r>
        <w:rPr>
          <w:color w:val="231F20"/>
        </w:rPr>
        <w:t>(раздел</w:t>
      </w:r>
      <w:r>
        <w:rPr>
          <w:color w:val="231F20"/>
          <w:spacing w:val="-9"/>
        </w:rPr>
        <w:t> </w:t>
      </w:r>
      <w:r>
        <w:rPr>
          <w:color w:val="231F20"/>
        </w:rPr>
        <w:t>«Сенсорный</w:t>
      </w:r>
      <w:r>
        <w:rPr>
          <w:color w:val="231F20"/>
          <w:spacing w:val="-7"/>
        </w:rPr>
        <w:t> </w:t>
      </w:r>
      <w:r>
        <w:rPr>
          <w:color w:val="231F20"/>
        </w:rPr>
        <w:t>опыт.</w:t>
      </w:r>
      <w:r>
        <w:rPr>
          <w:color w:val="231F20"/>
          <w:spacing w:val="-7"/>
        </w:rPr>
        <w:t> </w:t>
      </w:r>
      <w:r>
        <w:rPr>
          <w:color w:val="231F20"/>
        </w:rPr>
        <w:t>1.</w:t>
      </w:r>
      <w:r>
        <w:rPr>
          <w:color w:val="231F20"/>
          <w:spacing w:val="-6"/>
        </w:rPr>
        <w:t> </w:t>
      </w:r>
      <w:r>
        <w:rPr>
          <w:color w:val="231F20"/>
        </w:rPr>
        <w:t>Телесный</w:t>
      </w:r>
      <w:r>
        <w:rPr>
          <w:color w:val="231F20"/>
          <w:spacing w:val="-7"/>
        </w:rPr>
        <w:t> </w:t>
      </w:r>
      <w:r>
        <w:rPr>
          <w:color w:val="231F20"/>
          <w:spacing w:val="-2"/>
        </w:rPr>
        <w:t>опыт»)</w:t>
      </w:r>
    </w:p>
    <w:p>
      <w:pPr>
        <w:pStyle w:val="BodyText"/>
        <w:spacing w:line="232" w:lineRule="auto" w:before="3"/>
      </w:pPr>
      <w:r>
        <w:rPr>
          <w:color w:val="231F20"/>
        </w:rPr>
        <w:t>Упражнение основано на идеях гештaльт-терапии, акцентирующих внимание на процессе контакта. Оно служит развитию телесной чувствительности, невербаль- ному осознаванию процессов контакта. Первоначально детям объясняют, что опти- мальное (комфортное для человека) расстояние между людьми при общении может быть разным. Оно зависит от культуры, личных особенностей и от характера отно- шений</w:t>
      </w:r>
      <w:r>
        <w:rPr>
          <w:color w:val="231F20"/>
          <w:spacing w:val="-3"/>
        </w:rPr>
        <w:t> </w:t>
      </w:r>
      <w:r>
        <w:rPr>
          <w:color w:val="231F20"/>
        </w:rPr>
        <w:t>с</w:t>
      </w:r>
      <w:r>
        <w:rPr>
          <w:color w:val="231F20"/>
          <w:spacing w:val="-3"/>
        </w:rPr>
        <w:t> </w:t>
      </w:r>
      <w:r>
        <w:rPr>
          <w:color w:val="231F20"/>
        </w:rPr>
        <w:t>человеком.</w:t>
      </w:r>
      <w:r>
        <w:rPr>
          <w:color w:val="231F20"/>
          <w:spacing w:val="-3"/>
        </w:rPr>
        <w:t> </w:t>
      </w:r>
      <w:r>
        <w:rPr>
          <w:color w:val="231F20"/>
        </w:rPr>
        <w:t>После</w:t>
      </w:r>
      <w:r>
        <w:rPr>
          <w:color w:val="231F20"/>
          <w:spacing w:val="-3"/>
        </w:rPr>
        <w:t> </w:t>
      </w:r>
      <w:r>
        <w:rPr>
          <w:color w:val="231F20"/>
        </w:rPr>
        <w:t>этого</w:t>
      </w:r>
      <w:r>
        <w:rPr>
          <w:color w:val="231F20"/>
          <w:spacing w:val="-3"/>
        </w:rPr>
        <w:t> </w:t>
      </w:r>
      <w:r>
        <w:rPr>
          <w:color w:val="231F20"/>
        </w:rPr>
        <w:t>ребята</w:t>
      </w:r>
      <w:r>
        <w:rPr>
          <w:color w:val="231F20"/>
          <w:spacing w:val="-3"/>
        </w:rPr>
        <w:t> </w:t>
      </w:r>
      <w:r>
        <w:rPr>
          <w:color w:val="231F20"/>
        </w:rPr>
        <w:t>пробуют</w:t>
      </w:r>
      <w:r>
        <w:rPr>
          <w:color w:val="231F20"/>
          <w:spacing w:val="-3"/>
        </w:rPr>
        <w:t> </w:t>
      </w:r>
      <w:r>
        <w:rPr>
          <w:color w:val="231F20"/>
        </w:rPr>
        <w:t>в</w:t>
      </w:r>
      <w:r>
        <w:rPr>
          <w:color w:val="231F20"/>
          <w:spacing w:val="-3"/>
        </w:rPr>
        <w:t> </w:t>
      </w:r>
      <w:r>
        <w:rPr>
          <w:color w:val="231F20"/>
        </w:rPr>
        <w:t>парах</w:t>
      </w:r>
      <w:r>
        <w:rPr>
          <w:color w:val="231F20"/>
          <w:spacing w:val="-3"/>
        </w:rPr>
        <w:t> </w:t>
      </w:r>
      <w:r>
        <w:rPr>
          <w:color w:val="231F20"/>
        </w:rPr>
        <w:t>найти</w:t>
      </w:r>
      <w:r>
        <w:rPr>
          <w:color w:val="231F20"/>
          <w:spacing w:val="-3"/>
        </w:rPr>
        <w:t> </w:t>
      </w:r>
      <w:r>
        <w:rPr>
          <w:color w:val="231F20"/>
        </w:rPr>
        <w:t>комфортное</w:t>
      </w:r>
      <w:r>
        <w:rPr>
          <w:color w:val="231F20"/>
          <w:spacing w:val="-3"/>
        </w:rPr>
        <w:t> </w:t>
      </w:r>
      <w:r>
        <w:rPr>
          <w:color w:val="231F20"/>
        </w:rPr>
        <w:t>расстоя- ние между собой и партнером.</w:t>
      </w:r>
    </w:p>
    <w:p>
      <w:pPr>
        <w:pStyle w:val="BodyText"/>
        <w:spacing w:line="232" w:lineRule="auto" w:before="6"/>
      </w:pPr>
      <w:r>
        <w:rPr>
          <w:color w:val="231F20"/>
        </w:rPr>
        <w:t>Затем,</w:t>
      </w:r>
      <w:r>
        <w:rPr>
          <w:color w:val="231F20"/>
          <w:spacing w:val="40"/>
        </w:rPr>
        <w:t> </w:t>
      </w:r>
      <w:r>
        <w:rPr>
          <w:color w:val="231F20"/>
        </w:rPr>
        <w:t>по</w:t>
      </w:r>
      <w:r>
        <w:rPr>
          <w:color w:val="231F20"/>
          <w:spacing w:val="40"/>
        </w:rPr>
        <w:t> </w:t>
      </w:r>
      <w:r>
        <w:rPr>
          <w:color w:val="231F20"/>
        </w:rPr>
        <w:t>окончании</w:t>
      </w:r>
      <w:r>
        <w:rPr>
          <w:color w:val="231F20"/>
          <w:spacing w:val="40"/>
        </w:rPr>
        <w:t> </w:t>
      </w:r>
      <w:r>
        <w:rPr>
          <w:color w:val="231F20"/>
        </w:rPr>
        <w:t>обсуждения</w:t>
      </w:r>
      <w:r>
        <w:rPr>
          <w:color w:val="231F20"/>
          <w:spacing w:val="40"/>
        </w:rPr>
        <w:t> </w:t>
      </w:r>
      <w:r>
        <w:rPr>
          <w:color w:val="231F20"/>
        </w:rPr>
        <w:t>предварительного</w:t>
      </w:r>
      <w:r>
        <w:rPr>
          <w:color w:val="231F20"/>
          <w:spacing w:val="40"/>
        </w:rPr>
        <w:t> </w:t>
      </w:r>
      <w:r>
        <w:rPr>
          <w:color w:val="231F20"/>
        </w:rPr>
        <w:t>этапа,</w:t>
      </w:r>
      <w:r>
        <w:rPr>
          <w:color w:val="231F20"/>
          <w:spacing w:val="40"/>
        </w:rPr>
        <w:t> </w:t>
      </w:r>
      <w:r>
        <w:rPr>
          <w:color w:val="231F20"/>
        </w:rPr>
        <w:t>выбирается</w:t>
      </w:r>
      <w:r>
        <w:rPr>
          <w:color w:val="231F20"/>
          <w:spacing w:val="40"/>
        </w:rPr>
        <w:t> </w:t>
      </w:r>
      <w:r>
        <w:rPr>
          <w:color w:val="231F20"/>
        </w:rPr>
        <w:t>ребе- нок – ведущий упражнение. Он встает на лист бумаги, лежащий посредине помеще- ния. Ему необходимо расставить всех участников группы по кругу вокруг себя так, чтобы</w:t>
      </w:r>
      <w:r>
        <w:rPr>
          <w:color w:val="231F20"/>
          <w:spacing w:val="-13"/>
        </w:rPr>
        <w:t> </w:t>
      </w:r>
      <w:r>
        <w:rPr>
          <w:color w:val="231F20"/>
        </w:rPr>
        <w:t>ему</w:t>
      </w:r>
      <w:r>
        <w:rPr>
          <w:color w:val="231F20"/>
          <w:spacing w:val="-12"/>
        </w:rPr>
        <w:t> </w:t>
      </w:r>
      <w:r>
        <w:rPr>
          <w:color w:val="231F20"/>
        </w:rPr>
        <w:t>было</w:t>
      </w:r>
      <w:r>
        <w:rPr>
          <w:color w:val="231F20"/>
          <w:spacing w:val="-13"/>
        </w:rPr>
        <w:t> </w:t>
      </w:r>
      <w:r>
        <w:rPr>
          <w:color w:val="231F20"/>
        </w:rPr>
        <w:t>максимально</w:t>
      </w:r>
      <w:r>
        <w:rPr>
          <w:color w:val="231F20"/>
          <w:spacing w:val="-12"/>
        </w:rPr>
        <w:t> </w:t>
      </w:r>
      <w:r>
        <w:rPr>
          <w:color w:val="231F20"/>
        </w:rPr>
        <w:t>комфортно.</w:t>
      </w:r>
      <w:r>
        <w:rPr>
          <w:color w:val="231F20"/>
          <w:spacing w:val="-13"/>
        </w:rPr>
        <w:t> </w:t>
      </w:r>
      <w:r>
        <w:rPr>
          <w:color w:val="231F20"/>
        </w:rPr>
        <w:t>Для</w:t>
      </w:r>
      <w:r>
        <w:rPr>
          <w:color w:val="231F20"/>
          <w:spacing w:val="-12"/>
        </w:rPr>
        <w:t> </w:t>
      </w:r>
      <w:r>
        <w:rPr>
          <w:color w:val="231F20"/>
        </w:rPr>
        <w:t>этого</w:t>
      </w:r>
      <w:r>
        <w:rPr>
          <w:color w:val="231F20"/>
          <w:spacing w:val="-13"/>
        </w:rPr>
        <w:t> </w:t>
      </w:r>
      <w:r>
        <w:rPr>
          <w:color w:val="231F20"/>
        </w:rPr>
        <w:t>ведущему</w:t>
      </w:r>
      <w:r>
        <w:rPr>
          <w:color w:val="231F20"/>
          <w:spacing w:val="-12"/>
        </w:rPr>
        <w:t> </w:t>
      </w:r>
      <w:r>
        <w:rPr>
          <w:color w:val="231F20"/>
        </w:rPr>
        <w:t>разрешается</w:t>
      </w:r>
      <w:r>
        <w:rPr>
          <w:color w:val="231F20"/>
          <w:spacing w:val="-13"/>
        </w:rPr>
        <w:t> </w:t>
      </w:r>
      <w:r>
        <w:rPr>
          <w:color w:val="231F20"/>
        </w:rPr>
        <w:t>сходить</w:t>
      </w:r>
      <w:r>
        <w:rPr>
          <w:color w:val="231F20"/>
          <w:spacing w:val="-12"/>
        </w:rPr>
        <w:t> </w:t>
      </w:r>
      <w:r>
        <w:rPr>
          <w:color w:val="231F20"/>
        </w:rPr>
        <w:t>с места,</w:t>
      </w:r>
      <w:r>
        <w:rPr>
          <w:color w:val="231F20"/>
          <w:spacing w:val="-7"/>
        </w:rPr>
        <w:t> </w:t>
      </w:r>
      <w:r>
        <w:rPr>
          <w:color w:val="231F20"/>
        </w:rPr>
        <w:t>однако</w:t>
      </w:r>
      <w:r>
        <w:rPr>
          <w:color w:val="231F20"/>
          <w:spacing w:val="-7"/>
        </w:rPr>
        <w:t> </w:t>
      </w:r>
      <w:r>
        <w:rPr>
          <w:color w:val="231F20"/>
        </w:rPr>
        <w:t>«расставляются»</w:t>
      </w:r>
      <w:r>
        <w:rPr>
          <w:color w:val="231F20"/>
          <w:spacing w:val="-7"/>
        </w:rPr>
        <w:t> </w:t>
      </w:r>
      <w:r>
        <w:rPr>
          <w:color w:val="231F20"/>
        </w:rPr>
        <w:t>все</w:t>
      </w:r>
      <w:r>
        <w:rPr>
          <w:color w:val="231F20"/>
          <w:spacing w:val="-7"/>
        </w:rPr>
        <w:t> </w:t>
      </w:r>
      <w:r>
        <w:rPr>
          <w:color w:val="231F20"/>
        </w:rPr>
        <w:t>именно</w:t>
      </w:r>
      <w:r>
        <w:rPr>
          <w:color w:val="231F20"/>
          <w:spacing w:val="-7"/>
        </w:rPr>
        <w:t> </w:t>
      </w:r>
      <w:r>
        <w:rPr>
          <w:color w:val="231F20"/>
        </w:rPr>
        <w:t>относительно</w:t>
      </w:r>
      <w:r>
        <w:rPr>
          <w:color w:val="231F20"/>
          <w:spacing w:val="-7"/>
        </w:rPr>
        <w:t> </w:t>
      </w:r>
      <w:r>
        <w:rPr>
          <w:color w:val="231F20"/>
        </w:rPr>
        <w:t>его</w:t>
      </w:r>
      <w:r>
        <w:rPr>
          <w:color w:val="231F20"/>
          <w:spacing w:val="-7"/>
        </w:rPr>
        <w:t> </w:t>
      </w:r>
      <w:r>
        <w:rPr>
          <w:color w:val="231F20"/>
        </w:rPr>
        <w:t>базового</w:t>
      </w:r>
      <w:r>
        <w:rPr>
          <w:color w:val="231F20"/>
          <w:spacing w:val="-7"/>
        </w:rPr>
        <w:t> </w:t>
      </w:r>
      <w:r>
        <w:rPr>
          <w:color w:val="231F20"/>
        </w:rPr>
        <w:t>места,</w:t>
      </w:r>
      <w:r>
        <w:rPr>
          <w:color w:val="231F20"/>
          <w:spacing w:val="-7"/>
        </w:rPr>
        <w:t> </w:t>
      </w:r>
      <w:r>
        <w:rPr>
          <w:color w:val="231F20"/>
        </w:rPr>
        <w:t>обозна- ченного листом бумаги.</w:t>
      </w:r>
    </w:p>
    <w:p>
      <w:pPr>
        <w:pStyle w:val="ListParagraph"/>
        <w:numPr>
          <w:ilvl w:val="0"/>
          <w:numId w:val="116"/>
        </w:numPr>
        <w:tabs>
          <w:tab w:pos="424" w:val="left" w:leader="none"/>
        </w:tabs>
        <w:spacing w:line="227" w:lineRule="exact" w:before="114" w:after="0"/>
        <w:ind w:left="424" w:right="0" w:hanging="283"/>
        <w:jc w:val="both"/>
        <w:rPr>
          <w:i/>
          <w:sz w:val="20"/>
        </w:rPr>
      </w:pPr>
      <w:r>
        <w:rPr>
          <w:i/>
          <w:color w:val="231F20"/>
          <w:sz w:val="20"/>
        </w:rPr>
        <w:t>«Ходим,</w:t>
      </w:r>
      <w:r>
        <w:rPr>
          <w:i/>
          <w:color w:val="231F20"/>
          <w:spacing w:val="-7"/>
          <w:sz w:val="20"/>
        </w:rPr>
        <w:t> </w:t>
      </w:r>
      <w:r>
        <w:rPr>
          <w:i/>
          <w:color w:val="231F20"/>
          <w:spacing w:val="-2"/>
          <w:sz w:val="20"/>
        </w:rPr>
        <w:t>как…»</w:t>
      </w:r>
    </w:p>
    <w:p>
      <w:pPr>
        <w:pStyle w:val="BodyText"/>
        <w:spacing w:line="232" w:lineRule="auto" w:before="2"/>
        <w:ind w:left="425" w:firstLine="0"/>
      </w:pPr>
      <w:r>
        <w:rPr>
          <w:color w:val="231F20"/>
        </w:rPr>
        <w:t>(раздел «Драматический опыт. 1. Пантомима, (б) изображения действий») Наиболее</w:t>
      </w:r>
      <w:r>
        <w:rPr>
          <w:color w:val="231F20"/>
          <w:spacing w:val="17"/>
        </w:rPr>
        <w:t> </w:t>
      </w:r>
      <w:r>
        <w:rPr>
          <w:color w:val="231F20"/>
        </w:rPr>
        <w:t>важной</w:t>
      </w:r>
      <w:r>
        <w:rPr>
          <w:color w:val="231F20"/>
          <w:spacing w:val="18"/>
        </w:rPr>
        <w:t> </w:t>
      </w:r>
      <w:r>
        <w:rPr>
          <w:color w:val="231F20"/>
        </w:rPr>
        <w:t>формой</w:t>
      </w:r>
      <w:r>
        <w:rPr>
          <w:color w:val="231F20"/>
          <w:spacing w:val="18"/>
        </w:rPr>
        <w:t> </w:t>
      </w:r>
      <w:r>
        <w:rPr>
          <w:color w:val="231F20"/>
        </w:rPr>
        <w:t>данного</w:t>
      </w:r>
      <w:r>
        <w:rPr>
          <w:color w:val="231F20"/>
          <w:spacing w:val="18"/>
        </w:rPr>
        <w:t> </w:t>
      </w:r>
      <w:r>
        <w:rPr>
          <w:color w:val="231F20"/>
        </w:rPr>
        <w:t>упражнения</w:t>
      </w:r>
      <w:r>
        <w:rPr>
          <w:color w:val="231F20"/>
          <w:spacing w:val="17"/>
        </w:rPr>
        <w:t> </w:t>
      </w:r>
      <w:r>
        <w:rPr>
          <w:color w:val="231F20"/>
        </w:rPr>
        <w:t>является</w:t>
      </w:r>
      <w:r>
        <w:rPr>
          <w:color w:val="231F20"/>
          <w:spacing w:val="18"/>
        </w:rPr>
        <w:t> </w:t>
      </w:r>
      <w:r>
        <w:rPr>
          <w:color w:val="231F20"/>
        </w:rPr>
        <w:t>его</w:t>
      </w:r>
      <w:r>
        <w:rPr>
          <w:color w:val="231F20"/>
          <w:spacing w:val="18"/>
        </w:rPr>
        <w:t> </w:t>
      </w:r>
      <w:r>
        <w:rPr>
          <w:color w:val="231F20"/>
        </w:rPr>
        <w:t>выполнение</w:t>
      </w:r>
      <w:r>
        <w:rPr>
          <w:color w:val="231F20"/>
          <w:spacing w:val="18"/>
        </w:rPr>
        <w:t> </w:t>
      </w:r>
      <w:r>
        <w:rPr>
          <w:color w:val="231F20"/>
        </w:rPr>
        <w:t>в</w:t>
      </w:r>
      <w:r>
        <w:rPr>
          <w:color w:val="231F20"/>
          <w:spacing w:val="18"/>
        </w:rPr>
        <w:t> </w:t>
      </w:r>
      <w:r>
        <w:rPr>
          <w:color w:val="231F20"/>
          <w:spacing w:val="-4"/>
        </w:rPr>
        <w:t>дви-</w:t>
      </w:r>
    </w:p>
    <w:p>
      <w:pPr>
        <w:pStyle w:val="BodyText"/>
        <w:spacing w:line="232" w:lineRule="auto" w:before="2"/>
        <w:ind w:firstLine="0"/>
      </w:pPr>
      <w:r>
        <w:rPr>
          <w:color w:val="231F20"/>
        </w:rPr>
        <w:t>жении, основанное на изображении полярных ролей. Вся группа свободно движется по помещению. Ведущий дает команду: «Изображаем: важного начальника; беглого вора; тело из стали; тело из пластилина; спортсмена; больного». Временной проме- жуток между командами в среднем около минуты, количество самих команд и их возможное</w:t>
      </w:r>
      <w:r>
        <w:rPr>
          <w:color w:val="231F20"/>
          <w:spacing w:val="-13"/>
        </w:rPr>
        <w:t> </w:t>
      </w:r>
      <w:r>
        <w:rPr>
          <w:color w:val="231F20"/>
        </w:rPr>
        <w:t>разнообразие</w:t>
      </w:r>
      <w:r>
        <w:rPr>
          <w:color w:val="231F20"/>
          <w:spacing w:val="-12"/>
        </w:rPr>
        <w:t> </w:t>
      </w:r>
      <w:r>
        <w:rPr>
          <w:color w:val="231F20"/>
        </w:rPr>
        <w:t>не</w:t>
      </w:r>
      <w:r>
        <w:rPr>
          <w:color w:val="231F20"/>
          <w:spacing w:val="-13"/>
        </w:rPr>
        <w:t> </w:t>
      </w:r>
      <w:r>
        <w:rPr>
          <w:color w:val="231F20"/>
        </w:rPr>
        <w:t>ограничено.</w:t>
      </w:r>
      <w:r>
        <w:rPr>
          <w:color w:val="231F20"/>
          <w:spacing w:val="-12"/>
        </w:rPr>
        <w:t> </w:t>
      </w:r>
      <w:r>
        <w:rPr>
          <w:color w:val="231F20"/>
        </w:rPr>
        <w:t>Полезно,</w:t>
      </w:r>
      <w:r>
        <w:rPr>
          <w:color w:val="231F20"/>
          <w:spacing w:val="-13"/>
        </w:rPr>
        <w:t> </w:t>
      </w:r>
      <w:r>
        <w:rPr>
          <w:color w:val="231F20"/>
        </w:rPr>
        <w:t>если</w:t>
      </w:r>
      <w:r>
        <w:rPr>
          <w:color w:val="231F20"/>
          <w:spacing w:val="-12"/>
        </w:rPr>
        <w:t> </w:t>
      </w:r>
      <w:r>
        <w:rPr>
          <w:color w:val="231F20"/>
        </w:rPr>
        <w:t>дети</w:t>
      </w:r>
      <w:r>
        <w:rPr>
          <w:color w:val="231F20"/>
          <w:spacing w:val="-13"/>
        </w:rPr>
        <w:t> </w:t>
      </w:r>
      <w:r>
        <w:rPr>
          <w:color w:val="231F20"/>
        </w:rPr>
        <w:t>после</w:t>
      </w:r>
      <w:r>
        <w:rPr>
          <w:color w:val="231F20"/>
          <w:spacing w:val="-12"/>
        </w:rPr>
        <w:t> </w:t>
      </w:r>
      <w:r>
        <w:rPr>
          <w:color w:val="231F20"/>
        </w:rPr>
        <w:t>ряда</w:t>
      </w:r>
      <w:r>
        <w:rPr>
          <w:color w:val="231F20"/>
          <w:spacing w:val="-13"/>
        </w:rPr>
        <w:t> </w:t>
      </w:r>
      <w:r>
        <w:rPr>
          <w:color w:val="231F20"/>
        </w:rPr>
        <w:t>занятий</w:t>
      </w:r>
      <w:r>
        <w:rPr>
          <w:color w:val="231F20"/>
          <w:spacing w:val="-12"/>
        </w:rPr>
        <w:t> </w:t>
      </w:r>
      <w:r>
        <w:rPr>
          <w:color w:val="231F20"/>
        </w:rPr>
        <w:t>будут сами придумывать и проводить это упражнение.</w:t>
      </w:r>
    </w:p>
    <w:p>
      <w:pPr>
        <w:pStyle w:val="ListParagraph"/>
        <w:numPr>
          <w:ilvl w:val="0"/>
          <w:numId w:val="116"/>
        </w:numPr>
        <w:tabs>
          <w:tab w:pos="424" w:val="left" w:leader="none"/>
        </w:tabs>
        <w:spacing w:line="227" w:lineRule="exact" w:before="113" w:after="0"/>
        <w:ind w:left="424" w:right="0" w:hanging="283"/>
        <w:jc w:val="both"/>
        <w:rPr>
          <w:i/>
          <w:sz w:val="20"/>
        </w:rPr>
      </w:pPr>
      <w:r>
        <w:rPr>
          <w:i/>
          <w:color w:val="231F20"/>
          <w:sz w:val="20"/>
        </w:rPr>
        <w:t>«Учитель</w:t>
      </w:r>
      <w:r>
        <w:rPr>
          <w:i/>
          <w:color w:val="231F20"/>
          <w:spacing w:val="-3"/>
          <w:sz w:val="20"/>
        </w:rPr>
        <w:t> </w:t>
      </w:r>
      <w:r>
        <w:rPr>
          <w:i/>
          <w:color w:val="231F20"/>
          <w:sz w:val="20"/>
        </w:rPr>
        <w:t>–</w:t>
      </w:r>
      <w:r>
        <w:rPr>
          <w:i/>
          <w:color w:val="231F20"/>
          <w:spacing w:val="-1"/>
          <w:sz w:val="20"/>
        </w:rPr>
        <w:t> </w:t>
      </w:r>
      <w:r>
        <w:rPr>
          <w:i/>
          <w:color w:val="231F20"/>
          <w:sz w:val="20"/>
        </w:rPr>
        <w:t>ученик</w:t>
      </w:r>
      <w:r>
        <w:rPr>
          <w:i/>
          <w:color w:val="231F20"/>
          <w:spacing w:val="-1"/>
          <w:sz w:val="20"/>
        </w:rPr>
        <w:t> </w:t>
      </w:r>
      <w:r>
        <w:rPr>
          <w:i/>
          <w:color w:val="231F20"/>
          <w:sz w:val="20"/>
        </w:rPr>
        <w:t>с</w:t>
      </w:r>
      <w:r>
        <w:rPr>
          <w:i/>
          <w:color w:val="231F20"/>
          <w:spacing w:val="-1"/>
          <w:sz w:val="20"/>
        </w:rPr>
        <w:t> </w:t>
      </w:r>
      <w:r>
        <w:rPr>
          <w:i/>
          <w:color w:val="231F20"/>
          <w:sz w:val="20"/>
        </w:rPr>
        <w:t>разными</w:t>
      </w:r>
      <w:r>
        <w:rPr>
          <w:i/>
          <w:color w:val="231F20"/>
          <w:spacing w:val="-1"/>
          <w:sz w:val="20"/>
        </w:rPr>
        <w:t> </w:t>
      </w:r>
      <w:r>
        <w:rPr>
          <w:i/>
          <w:color w:val="231F20"/>
          <w:spacing w:val="-2"/>
          <w:sz w:val="20"/>
        </w:rPr>
        <w:t>настроениями»</w:t>
      </w:r>
    </w:p>
    <w:p>
      <w:pPr>
        <w:pStyle w:val="BodyText"/>
        <w:spacing w:line="224" w:lineRule="exact"/>
        <w:ind w:left="425" w:right="0" w:firstLine="0"/>
      </w:pPr>
      <w:r>
        <w:rPr>
          <w:color w:val="231F20"/>
        </w:rPr>
        <w:t>(раздел</w:t>
      </w:r>
      <w:r>
        <w:rPr>
          <w:color w:val="231F20"/>
          <w:spacing w:val="-10"/>
        </w:rPr>
        <w:t> </w:t>
      </w:r>
      <w:r>
        <w:rPr>
          <w:color w:val="231F20"/>
        </w:rPr>
        <w:t>«Драматический</w:t>
      </w:r>
      <w:r>
        <w:rPr>
          <w:color w:val="231F20"/>
          <w:spacing w:val="-11"/>
        </w:rPr>
        <w:t> </w:t>
      </w:r>
      <w:r>
        <w:rPr>
          <w:color w:val="231F20"/>
        </w:rPr>
        <w:t>опыт.</w:t>
      </w:r>
      <w:r>
        <w:rPr>
          <w:color w:val="231F20"/>
          <w:spacing w:val="-10"/>
        </w:rPr>
        <w:t> </w:t>
      </w:r>
      <w:r>
        <w:rPr>
          <w:color w:val="231F20"/>
        </w:rPr>
        <w:t>2.</w:t>
      </w:r>
      <w:r>
        <w:rPr>
          <w:color w:val="231F20"/>
          <w:spacing w:val="-9"/>
        </w:rPr>
        <w:t> </w:t>
      </w:r>
      <w:r>
        <w:rPr>
          <w:color w:val="231F20"/>
        </w:rPr>
        <w:t>Этюды-</w:t>
      </w:r>
      <w:r>
        <w:rPr>
          <w:color w:val="231F20"/>
          <w:spacing w:val="-2"/>
        </w:rPr>
        <w:t>сценки»)</w:t>
      </w:r>
    </w:p>
    <w:p>
      <w:pPr>
        <w:pStyle w:val="BodyText"/>
        <w:spacing w:line="232" w:lineRule="auto" w:before="3"/>
      </w:pPr>
      <w:r>
        <w:rPr>
          <w:color w:val="231F20"/>
        </w:rPr>
        <w:t>Сначала дети обсуждают и придумывают, какие настроения (эмоциональные со- стояния) человека можно выразить интонацией. Затем их название (страх, радость, удивление и др.) ведущий записывает на заранее заготовленных карточках. Каждый участник получает одну из них.</w:t>
      </w:r>
    </w:p>
    <w:p>
      <w:pPr>
        <w:pStyle w:val="BodyText"/>
        <w:spacing w:before="4"/>
        <w:ind w:left="425" w:right="0" w:firstLine="0"/>
      </w:pPr>
      <w:r>
        <w:rPr>
          <w:color w:val="231F20"/>
        </w:rPr>
        <w:t>После</w:t>
      </w:r>
      <w:r>
        <w:rPr>
          <w:color w:val="231F20"/>
          <w:spacing w:val="12"/>
        </w:rPr>
        <w:t> </w:t>
      </w:r>
      <w:r>
        <w:rPr>
          <w:color w:val="231F20"/>
        </w:rPr>
        <w:t>этого</w:t>
      </w:r>
      <w:r>
        <w:rPr>
          <w:color w:val="231F20"/>
          <w:spacing w:val="13"/>
        </w:rPr>
        <w:t> </w:t>
      </w:r>
      <w:r>
        <w:rPr>
          <w:color w:val="231F20"/>
        </w:rPr>
        <w:t>группа</w:t>
      </w:r>
      <w:r>
        <w:rPr>
          <w:color w:val="231F20"/>
          <w:spacing w:val="13"/>
        </w:rPr>
        <w:t> </w:t>
      </w:r>
      <w:r>
        <w:rPr>
          <w:color w:val="231F20"/>
        </w:rPr>
        <w:t>разбивается</w:t>
      </w:r>
      <w:r>
        <w:rPr>
          <w:color w:val="231F20"/>
          <w:spacing w:val="13"/>
        </w:rPr>
        <w:t> </w:t>
      </w:r>
      <w:r>
        <w:rPr>
          <w:color w:val="231F20"/>
        </w:rPr>
        <w:t>на</w:t>
      </w:r>
      <w:r>
        <w:rPr>
          <w:color w:val="231F20"/>
          <w:spacing w:val="14"/>
        </w:rPr>
        <w:t> </w:t>
      </w:r>
      <w:r>
        <w:rPr>
          <w:color w:val="231F20"/>
        </w:rPr>
        <w:t>пары:</w:t>
      </w:r>
      <w:r>
        <w:rPr>
          <w:color w:val="231F20"/>
          <w:spacing w:val="12"/>
        </w:rPr>
        <w:t> </w:t>
      </w:r>
      <w:r>
        <w:rPr>
          <w:color w:val="231F20"/>
        </w:rPr>
        <w:t>один</w:t>
      </w:r>
      <w:r>
        <w:rPr>
          <w:color w:val="231F20"/>
          <w:spacing w:val="13"/>
        </w:rPr>
        <w:t> </w:t>
      </w:r>
      <w:r>
        <w:rPr>
          <w:color w:val="231F20"/>
        </w:rPr>
        <w:t>–</w:t>
      </w:r>
      <w:r>
        <w:rPr>
          <w:color w:val="231F20"/>
          <w:spacing w:val="13"/>
        </w:rPr>
        <w:t> </w:t>
      </w:r>
      <w:r>
        <w:rPr>
          <w:color w:val="231F20"/>
        </w:rPr>
        <w:t>учитель,</w:t>
      </w:r>
      <w:r>
        <w:rPr>
          <w:color w:val="231F20"/>
          <w:spacing w:val="12"/>
        </w:rPr>
        <w:t> </w:t>
      </w:r>
      <w:r>
        <w:rPr>
          <w:color w:val="231F20"/>
        </w:rPr>
        <w:t>другой</w:t>
      </w:r>
      <w:r>
        <w:rPr>
          <w:color w:val="231F20"/>
          <w:spacing w:val="13"/>
        </w:rPr>
        <w:t> </w:t>
      </w:r>
      <w:r>
        <w:rPr>
          <w:color w:val="231F20"/>
        </w:rPr>
        <w:t>–</w:t>
      </w:r>
      <w:r>
        <w:rPr>
          <w:color w:val="231F20"/>
          <w:spacing w:val="13"/>
        </w:rPr>
        <w:t> </w:t>
      </w:r>
      <w:r>
        <w:rPr>
          <w:color w:val="231F20"/>
        </w:rPr>
        <w:t>ученик.</w:t>
      </w:r>
      <w:r>
        <w:rPr>
          <w:color w:val="231F20"/>
          <w:spacing w:val="13"/>
        </w:rPr>
        <w:t> </w:t>
      </w:r>
      <w:r>
        <w:rPr>
          <w:color w:val="231F20"/>
          <w:spacing w:val="-5"/>
        </w:rPr>
        <w:t>Они</w:t>
      </w:r>
    </w:p>
    <w:p>
      <w:pPr>
        <w:pStyle w:val="BodyText"/>
        <w:spacing w:after="0"/>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before="112"/>
        <w:ind w:right="0" w:firstLine="0"/>
        <w:jc w:val="left"/>
      </w:pPr>
      <w:r>
        <w:rPr>
          <w:color w:val="231F20"/>
        </w:rPr>
        <w:t>готовят</w:t>
      </w:r>
      <w:r>
        <w:rPr>
          <w:color w:val="231F20"/>
          <w:spacing w:val="-11"/>
        </w:rPr>
        <w:t> </w:t>
      </w:r>
      <w:r>
        <w:rPr>
          <w:color w:val="231F20"/>
        </w:rPr>
        <w:t>короткий</w:t>
      </w:r>
      <w:r>
        <w:rPr>
          <w:color w:val="231F20"/>
          <w:spacing w:val="-11"/>
        </w:rPr>
        <w:t> </w:t>
      </w:r>
      <w:r>
        <w:rPr>
          <w:color w:val="231F20"/>
        </w:rPr>
        <w:t>этюд,</w:t>
      </w:r>
      <w:r>
        <w:rPr>
          <w:color w:val="231F20"/>
          <w:spacing w:val="-11"/>
        </w:rPr>
        <w:t> </w:t>
      </w:r>
      <w:r>
        <w:rPr>
          <w:color w:val="231F20"/>
        </w:rPr>
        <w:t>заключающийся,</w:t>
      </w:r>
      <w:r>
        <w:rPr>
          <w:color w:val="231F20"/>
          <w:spacing w:val="-10"/>
        </w:rPr>
        <w:t> </w:t>
      </w:r>
      <w:r>
        <w:rPr>
          <w:color w:val="231F20"/>
        </w:rPr>
        <w:t>к</w:t>
      </w:r>
      <w:r>
        <w:rPr>
          <w:color w:val="231F20"/>
          <w:spacing w:val="-11"/>
        </w:rPr>
        <w:t> </w:t>
      </w:r>
      <w:r>
        <w:rPr>
          <w:color w:val="231F20"/>
        </w:rPr>
        <w:t>примеру,</w:t>
      </w:r>
      <w:r>
        <w:rPr>
          <w:color w:val="231F20"/>
          <w:spacing w:val="-11"/>
        </w:rPr>
        <w:t> </w:t>
      </w:r>
      <w:r>
        <w:rPr>
          <w:color w:val="231F20"/>
        </w:rPr>
        <w:t>в</w:t>
      </w:r>
      <w:r>
        <w:rPr>
          <w:color w:val="231F20"/>
          <w:spacing w:val="-11"/>
        </w:rPr>
        <w:t> </w:t>
      </w:r>
      <w:r>
        <w:rPr>
          <w:color w:val="231F20"/>
        </w:rPr>
        <w:t>следующем</w:t>
      </w:r>
      <w:r>
        <w:rPr>
          <w:color w:val="231F20"/>
          <w:spacing w:val="-10"/>
        </w:rPr>
        <w:t> </w:t>
      </w:r>
      <w:r>
        <w:rPr>
          <w:color w:val="231F20"/>
          <w:spacing w:val="-2"/>
        </w:rPr>
        <w:t>диалоге:</w:t>
      </w:r>
    </w:p>
    <w:p>
      <w:pPr>
        <w:pStyle w:val="ListParagraph"/>
        <w:numPr>
          <w:ilvl w:val="0"/>
          <w:numId w:val="117"/>
        </w:numPr>
        <w:tabs>
          <w:tab w:pos="575" w:val="left" w:leader="none"/>
        </w:tabs>
        <w:spacing w:line="240" w:lineRule="auto" w:before="6" w:after="0"/>
        <w:ind w:left="575" w:right="0" w:hanging="150"/>
        <w:jc w:val="left"/>
        <w:rPr>
          <w:i/>
          <w:sz w:val="20"/>
        </w:rPr>
      </w:pPr>
      <w:r>
        <w:rPr>
          <w:i/>
          <w:color w:val="231F20"/>
          <w:sz w:val="20"/>
        </w:rPr>
        <w:t>Учитель,</w:t>
      </w:r>
      <w:r>
        <w:rPr>
          <w:i/>
          <w:color w:val="231F20"/>
          <w:spacing w:val="-8"/>
          <w:sz w:val="20"/>
        </w:rPr>
        <w:t> </w:t>
      </w:r>
      <w:r>
        <w:rPr>
          <w:i/>
          <w:color w:val="231F20"/>
          <w:sz w:val="20"/>
        </w:rPr>
        <w:t>поставьте</w:t>
      </w:r>
      <w:r>
        <w:rPr>
          <w:i/>
          <w:color w:val="231F20"/>
          <w:spacing w:val="-6"/>
          <w:sz w:val="20"/>
        </w:rPr>
        <w:t> </w:t>
      </w:r>
      <w:r>
        <w:rPr>
          <w:i/>
          <w:color w:val="231F20"/>
          <w:sz w:val="20"/>
        </w:rPr>
        <w:t>мне,</w:t>
      </w:r>
      <w:r>
        <w:rPr>
          <w:i/>
          <w:color w:val="231F20"/>
          <w:spacing w:val="-6"/>
          <w:sz w:val="20"/>
        </w:rPr>
        <w:t> </w:t>
      </w:r>
      <w:r>
        <w:rPr>
          <w:i/>
          <w:color w:val="231F20"/>
          <w:sz w:val="20"/>
        </w:rPr>
        <w:t>пожалуйста,</w:t>
      </w:r>
      <w:r>
        <w:rPr>
          <w:i/>
          <w:color w:val="231F20"/>
          <w:spacing w:val="-5"/>
          <w:sz w:val="20"/>
        </w:rPr>
        <w:t> </w:t>
      </w:r>
      <w:r>
        <w:rPr>
          <w:i/>
          <w:color w:val="231F20"/>
          <w:spacing w:val="-2"/>
          <w:sz w:val="20"/>
        </w:rPr>
        <w:t>пять!</w:t>
      </w:r>
    </w:p>
    <w:p>
      <w:pPr>
        <w:pStyle w:val="ListParagraph"/>
        <w:numPr>
          <w:ilvl w:val="0"/>
          <w:numId w:val="117"/>
        </w:numPr>
        <w:tabs>
          <w:tab w:pos="575" w:val="left" w:leader="none"/>
        </w:tabs>
        <w:spacing w:line="240" w:lineRule="auto" w:before="6" w:after="0"/>
        <w:ind w:left="575" w:right="0" w:hanging="150"/>
        <w:jc w:val="left"/>
        <w:rPr>
          <w:i/>
          <w:sz w:val="20"/>
        </w:rPr>
      </w:pPr>
      <w:r>
        <w:rPr>
          <w:i/>
          <w:color w:val="231F20"/>
          <w:sz w:val="20"/>
        </w:rPr>
        <w:t>Нет,</w:t>
      </w:r>
      <w:r>
        <w:rPr>
          <w:i/>
          <w:color w:val="231F20"/>
          <w:spacing w:val="-2"/>
          <w:sz w:val="20"/>
        </w:rPr>
        <w:t> </w:t>
      </w:r>
      <w:r>
        <w:rPr>
          <w:i/>
          <w:color w:val="231F20"/>
          <w:sz w:val="20"/>
        </w:rPr>
        <w:t>ни</w:t>
      </w:r>
      <w:r>
        <w:rPr>
          <w:i/>
          <w:color w:val="231F20"/>
          <w:spacing w:val="-1"/>
          <w:sz w:val="20"/>
        </w:rPr>
        <w:t> </w:t>
      </w:r>
      <w:r>
        <w:rPr>
          <w:i/>
          <w:color w:val="231F20"/>
          <w:sz w:val="20"/>
        </w:rPr>
        <w:t>за</w:t>
      </w:r>
      <w:r>
        <w:rPr>
          <w:i/>
          <w:color w:val="231F20"/>
          <w:spacing w:val="-1"/>
          <w:sz w:val="20"/>
        </w:rPr>
        <w:t> </w:t>
      </w:r>
      <w:r>
        <w:rPr>
          <w:i/>
          <w:color w:val="231F20"/>
          <w:sz w:val="20"/>
        </w:rPr>
        <w:t>что!</w:t>
      </w:r>
      <w:r>
        <w:rPr>
          <w:i/>
          <w:color w:val="231F20"/>
          <w:spacing w:val="-1"/>
          <w:sz w:val="20"/>
        </w:rPr>
        <w:t> </w:t>
      </w:r>
      <w:r>
        <w:rPr>
          <w:i/>
          <w:color w:val="231F20"/>
          <w:sz w:val="20"/>
        </w:rPr>
        <w:t>Ты</w:t>
      </w:r>
      <w:r>
        <w:rPr>
          <w:i/>
          <w:color w:val="231F20"/>
          <w:spacing w:val="-2"/>
          <w:sz w:val="20"/>
        </w:rPr>
        <w:t> </w:t>
      </w:r>
      <w:r>
        <w:rPr>
          <w:i/>
          <w:color w:val="231F20"/>
          <w:sz w:val="20"/>
        </w:rPr>
        <w:t>не</w:t>
      </w:r>
      <w:r>
        <w:rPr>
          <w:i/>
          <w:color w:val="231F20"/>
          <w:spacing w:val="-1"/>
          <w:sz w:val="20"/>
        </w:rPr>
        <w:t> </w:t>
      </w:r>
      <w:r>
        <w:rPr>
          <w:i/>
          <w:color w:val="231F20"/>
          <w:spacing w:val="-2"/>
          <w:sz w:val="20"/>
        </w:rPr>
        <w:t>заслужил!</w:t>
      </w:r>
    </w:p>
    <w:p>
      <w:pPr>
        <w:pStyle w:val="BodyText"/>
        <w:spacing w:line="247" w:lineRule="auto" w:before="6"/>
      </w:pPr>
      <w:r>
        <w:rPr>
          <w:color w:val="231F20"/>
        </w:rPr>
        <w:t>Естественно, что содержание диалога зависит от состава группы, интересов и проблем ребят и пр.</w:t>
      </w:r>
    </w:p>
    <w:p>
      <w:pPr>
        <w:pStyle w:val="BodyText"/>
        <w:spacing w:line="247" w:lineRule="auto"/>
      </w:pPr>
      <w:r>
        <w:rPr>
          <w:color w:val="231F20"/>
        </w:rPr>
        <w:t>Учитель и ученик должны играть свою роль (словами, выражением лица, позой) так, чтобы отразить настроение, которое написано у ребенка на карточке.</w:t>
      </w:r>
    </w:p>
    <w:p>
      <w:pPr>
        <w:pStyle w:val="BodyText"/>
        <w:spacing w:line="247" w:lineRule="auto"/>
      </w:pPr>
      <w:r>
        <w:rPr>
          <w:color w:val="231F20"/>
        </w:rPr>
        <w:t>После</w:t>
      </w:r>
      <w:r>
        <w:rPr>
          <w:color w:val="231F20"/>
          <w:spacing w:val="-3"/>
        </w:rPr>
        <w:t> </w:t>
      </w:r>
      <w:r>
        <w:rPr>
          <w:color w:val="231F20"/>
        </w:rPr>
        <w:t>трех</w:t>
      </w:r>
      <w:r>
        <w:rPr>
          <w:color w:val="231F20"/>
          <w:spacing w:val="-3"/>
        </w:rPr>
        <w:t> </w:t>
      </w:r>
      <w:r>
        <w:rPr>
          <w:color w:val="231F20"/>
        </w:rPr>
        <w:t>минут</w:t>
      </w:r>
      <w:r>
        <w:rPr>
          <w:color w:val="231F20"/>
          <w:spacing w:val="-3"/>
        </w:rPr>
        <w:t> </w:t>
      </w:r>
      <w:r>
        <w:rPr>
          <w:color w:val="231F20"/>
        </w:rPr>
        <w:t>подготовки</w:t>
      </w:r>
      <w:r>
        <w:rPr>
          <w:color w:val="231F20"/>
          <w:spacing w:val="-3"/>
        </w:rPr>
        <w:t> </w:t>
      </w:r>
      <w:r>
        <w:rPr>
          <w:color w:val="231F20"/>
        </w:rPr>
        <w:t>каждая</w:t>
      </w:r>
      <w:r>
        <w:rPr>
          <w:color w:val="231F20"/>
          <w:spacing w:val="-3"/>
        </w:rPr>
        <w:t> </w:t>
      </w:r>
      <w:r>
        <w:rPr>
          <w:color w:val="231F20"/>
        </w:rPr>
        <w:t>пара</w:t>
      </w:r>
      <w:r>
        <w:rPr>
          <w:color w:val="231F20"/>
          <w:spacing w:val="-3"/>
        </w:rPr>
        <w:t> </w:t>
      </w:r>
      <w:r>
        <w:rPr>
          <w:color w:val="231F20"/>
        </w:rPr>
        <w:t>демонстрирует</w:t>
      </w:r>
      <w:r>
        <w:rPr>
          <w:color w:val="231F20"/>
          <w:spacing w:val="-3"/>
        </w:rPr>
        <w:t> </w:t>
      </w:r>
      <w:r>
        <w:rPr>
          <w:color w:val="231F20"/>
        </w:rPr>
        <w:t>свой</w:t>
      </w:r>
      <w:r>
        <w:rPr>
          <w:color w:val="231F20"/>
          <w:spacing w:val="-3"/>
        </w:rPr>
        <w:t> </w:t>
      </w:r>
      <w:r>
        <w:rPr>
          <w:color w:val="231F20"/>
        </w:rPr>
        <w:t>этюд,</w:t>
      </w:r>
      <w:r>
        <w:rPr>
          <w:color w:val="231F20"/>
          <w:spacing w:val="-3"/>
        </w:rPr>
        <w:t> </w:t>
      </w:r>
      <w:r>
        <w:rPr>
          <w:color w:val="231F20"/>
        </w:rPr>
        <w:t>затем</w:t>
      </w:r>
      <w:r>
        <w:rPr>
          <w:color w:val="231F20"/>
          <w:spacing w:val="-3"/>
        </w:rPr>
        <w:t> </w:t>
      </w:r>
      <w:r>
        <w:rPr>
          <w:color w:val="231F20"/>
        </w:rPr>
        <w:t>груп- па обсуждает, какое настроение отражали актеры, все ли удалось, какие могут быть пожелания.</w:t>
      </w:r>
      <w:r>
        <w:rPr>
          <w:color w:val="231F20"/>
          <w:spacing w:val="-13"/>
        </w:rPr>
        <w:t> </w:t>
      </w:r>
      <w:r>
        <w:rPr>
          <w:color w:val="231F20"/>
        </w:rPr>
        <w:t>Затем</w:t>
      </w:r>
      <w:r>
        <w:rPr>
          <w:color w:val="231F20"/>
          <w:spacing w:val="-11"/>
        </w:rPr>
        <w:t> </w:t>
      </w:r>
      <w:r>
        <w:rPr>
          <w:color w:val="231F20"/>
        </w:rPr>
        <w:t>происходит</w:t>
      </w:r>
      <w:r>
        <w:rPr>
          <w:color w:val="231F20"/>
          <w:spacing w:val="-11"/>
        </w:rPr>
        <w:t> </w:t>
      </w:r>
      <w:r>
        <w:rPr>
          <w:color w:val="231F20"/>
        </w:rPr>
        <w:t>смена</w:t>
      </w:r>
      <w:r>
        <w:rPr>
          <w:color w:val="231F20"/>
          <w:spacing w:val="-11"/>
        </w:rPr>
        <w:t> </w:t>
      </w:r>
      <w:r>
        <w:rPr>
          <w:color w:val="231F20"/>
        </w:rPr>
        <w:t>ролей:</w:t>
      </w:r>
      <w:r>
        <w:rPr>
          <w:color w:val="231F20"/>
          <w:spacing w:val="-10"/>
        </w:rPr>
        <w:t> </w:t>
      </w:r>
      <w:r>
        <w:rPr>
          <w:color w:val="231F20"/>
        </w:rPr>
        <w:t>учитель</w:t>
      </w:r>
      <w:r>
        <w:rPr>
          <w:color w:val="231F20"/>
          <w:spacing w:val="-11"/>
        </w:rPr>
        <w:t> </w:t>
      </w:r>
      <w:r>
        <w:rPr>
          <w:color w:val="231F20"/>
        </w:rPr>
        <w:t>становится</w:t>
      </w:r>
      <w:r>
        <w:rPr>
          <w:color w:val="231F20"/>
          <w:spacing w:val="-11"/>
        </w:rPr>
        <w:t> </w:t>
      </w:r>
      <w:r>
        <w:rPr>
          <w:color w:val="231F20"/>
        </w:rPr>
        <w:t>учеником</w:t>
      </w:r>
      <w:r>
        <w:rPr>
          <w:color w:val="231F20"/>
          <w:spacing w:val="-11"/>
        </w:rPr>
        <w:t> </w:t>
      </w:r>
      <w:r>
        <w:rPr>
          <w:color w:val="231F20"/>
        </w:rPr>
        <w:t>и</w:t>
      </w:r>
      <w:r>
        <w:rPr>
          <w:color w:val="231F20"/>
          <w:spacing w:val="-10"/>
        </w:rPr>
        <w:t> </w:t>
      </w:r>
      <w:r>
        <w:rPr>
          <w:color w:val="231F20"/>
          <w:spacing w:val="-2"/>
        </w:rPr>
        <w:t>наоборот.</w:t>
      </w:r>
    </w:p>
    <w:p>
      <w:pPr>
        <w:pStyle w:val="ListParagraph"/>
        <w:numPr>
          <w:ilvl w:val="0"/>
          <w:numId w:val="116"/>
        </w:numPr>
        <w:tabs>
          <w:tab w:pos="424" w:val="left" w:leader="none"/>
        </w:tabs>
        <w:spacing w:line="228" w:lineRule="exact" w:before="97" w:after="0"/>
        <w:ind w:left="424" w:right="0" w:hanging="283"/>
        <w:jc w:val="both"/>
        <w:rPr>
          <w:i/>
          <w:sz w:val="20"/>
        </w:rPr>
      </w:pPr>
      <w:r>
        <w:rPr>
          <w:i/>
          <w:color w:val="231F20"/>
          <w:sz w:val="20"/>
        </w:rPr>
        <w:t>«Случайный</w:t>
      </w:r>
      <w:r>
        <w:rPr>
          <w:i/>
          <w:color w:val="231F20"/>
          <w:spacing w:val="-3"/>
          <w:sz w:val="20"/>
        </w:rPr>
        <w:t> </w:t>
      </w:r>
      <w:r>
        <w:rPr>
          <w:i/>
          <w:color w:val="231F20"/>
          <w:spacing w:val="-2"/>
          <w:sz w:val="20"/>
        </w:rPr>
        <w:t>попутчик»</w:t>
      </w:r>
    </w:p>
    <w:p>
      <w:pPr>
        <w:spacing w:line="235" w:lineRule="auto" w:before="2"/>
        <w:ind w:left="425" w:right="139" w:firstLine="0"/>
        <w:jc w:val="both"/>
        <w:rPr>
          <w:sz w:val="20"/>
        </w:rPr>
      </w:pPr>
      <w:r>
        <w:rPr>
          <w:color w:val="231F20"/>
          <w:sz w:val="20"/>
        </w:rPr>
        <w:t>(раздел «Драматический опыт. З. </w:t>
      </w:r>
      <w:r>
        <w:rPr>
          <w:i/>
          <w:color w:val="231F20"/>
          <w:sz w:val="20"/>
        </w:rPr>
        <w:t>Ролевые драматические игры, (а) </w:t>
      </w:r>
      <w:r>
        <w:rPr>
          <w:color w:val="231F20"/>
          <w:sz w:val="20"/>
        </w:rPr>
        <w:t>связанные с </w:t>
      </w:r>
      <w:r>
        <w:rPr>
          <w:color w:val="231F20"/>
          <w:spacing w:val="-2"/>
          <w:sz w:val="20"/>
        </w:rPr>
        <w:t>идентичностью»)</w:t>
      </w:r>
    </w:p>
    <w:p>
      <w:pPr>
        <w:pStyle w:val="BodyText"/>
        <w:spacing w:line="235" w:lineRule="auto" w:before="1"/>
      </w:pPr>
      <w:r>
        <w:rPr>
          <w:color w:val="231F20"/>
        </w:rPr>
        <w:t>Дети узнают, что такое феномен «случайного попутчика», – это когда человек, предположим в вагоне поезда, может рассказать соседям о своей жизни то, что не рассказал бы никому из знакомых.</w:t>
      </w:r>
    </w:p>
    <w:p>
      <w:pPr>
        <w:pStyle w:val="BodyText"/>
        <w:spacing w:line="235" w:lineRule="auto" w:before="2"/>
        <w:ind w:right="140"/>
      </w:pPr>
      <w:r>
        <w:rPr>
          <w:color w:val="231F20"/>
        </w:rPr>
        <w:t>Выбирается (по желанию) один участник – ведущий, который придумывает себе целостный</w:t>
      </w:r>
      <w:r>
        <w:rPr>
          <w:color w:val="231F20"/>
          <w:spacing w:val="-8"/>
        </w:rPr>
        <w:t> </w:t>
      </w:r>
      <w:r>
        <w:rPr>
          <w:color w:val="231F20"/>
        </w:rPr>
        <w:t>образ</w:t>
      </w:r>
      <w:r>
        <w:rPr>
          <w:color w:val="231F20"/>
          <w:spacing w:val="-8"/>
        </w:rPr>
        <w:t> </w:t>
      </w:r>
      <w:r>
        <w:rPr>
          <w:color w:val="231F20"/>
        </w:rPr>
        <w:t>человека</w:t>
      </w:r>
      <w:r>
        <w:rPr>
          <w:color w:val="231F20"/>
          <w:spacing w:val="-8"/>
        </w:rPr>
        <w:t> </w:t>
      </w:r>
      <w:r>
        <w:rPr>
          <w:color w:val="231F20"/>
        </w:rPr>
        <w:t>со</w:t>
      </w:r>
      <w:r>
        <w:rPr>
          <w:color w:val="231F20"/>
          <w:spacing w:val="-8"/>
        </w:rPr>
        <w:t> </w:t>
      </w:r>
      <w:r>
        <w:rPr>
          <w:color w:val="231F20"/>
        </w:rPr>
        <w:t>своей</w:t>
      </w:r>
      <w:r>
        <w:rPr>
          <w:color w:val="231F20"/>
          <w:spacing w:val="-8"/>
        </w:rPr>
        <w:t> </w:t>
      </w:r>
      <w:r>
        <w:rPr>
          <w:color w:val="231F20"/>
        </w:rPr>
        <w:t>жизненной</w:t>
      </w:r>
      <w:r>
        <w:rPr>
          <w:color w:val="231F20"/>
          <w:spacing w:val="-8"/>
        </w:rPr>
        <w:t> </w:t>
      </w:r>
      <w:r>
        <w:rPr>
          <w:color w:val="231F20"/>
        </w:rPr>
        <w:t>историей.</w:t>
      </w:r>
      <w:r>
        <w:rPr>
          <w:color w:val="231F20"/>
          <w:spacing w:val="-8"/>
        </w:rPr>
        <w:t> </w:t>
      </w:r>
      <w:r>
        <w:rPr>
          <w:color w:val="231F20"/>
        </w:rPr>
        <w:t>Все</w:t>
      </w:r>
      <w:r>
        <w:rPr>
          <w:color w:val="231F20"/>
          <w:spacing w:val="-8"/>
        </w:rPr>
        <w:t> </w:t>
      </w:r>
      <w:r>
        <w:rPr>
          <w:color w:val="231F20"/>
        </w:rPr>
        <w:t>остальные</w:t>
      </w:r>
      <w:r>
        <w:rPr>
          <w:color w:val="231F20"/>
          <w:spacing w:val="-8"/>
        </w:rPr>
        <w:t> </w:t>
      </w:r>
      <w:r>
        <w:rPr>
          <w:color w:val="231F20"/>
        </w:rPr>
        <w:t>–</w:t>
      </w:r>
      <w:r>
        <w:rPr>
          <w:color w:val="231F20"/>
          <w:spacing w:val="-8"/>
        </w:rPr>
        <w:t> </w:t>
      </w:r>
      <w:r>
        <w:rPr>
          <w:color w:val="231F20"/>
        </w:rPr>
        <w:t>случайные </w:t>
      </w:r>
      <w:r>
        <w:rPr>
          <w:color w:val="231F20"/>
          <w:spacing w:val="-2"/>
        </w:rPr>
        <w:t>попутчики.</w:t>
      </w:r>
    </w:p>
    <w:p>
      <w:pPr>
        <w:pStyle w:val="BodyText"/>
        <w:spacing w:line="235" w:lineRule="auto" w:before="2"/>
        <w:ind w:right="141"/>
      </w:pPr>
      <w:r>
        <w:rPr>
          <w:color w:val="231F20"/>
        </w:rPr>
        <w:t>Упражнение начинается со знакомства: ведущий представляется (представляет свой</w:t>
      </w:r>
      <w:r>
        <w:rPr>
          <w:color w:val="231F20"/>
          <w:spacing w:val="-13"/>
        </w:rPr>
        <w:t> </w:t>
      </w:r>
      <w:r>
        <w:rPr>
          <w:color w:val="231F20"/>
        </w:rPr>
        <w:t>выдуманный</w:t>
      </w:r>
      <w:r>
        <w:rPr>
          <w:color w:val="231F20"/>
          <w:spacing w:val="-12"/>
        </w:rPr>
        <w:t> </w:t>
      </w:r>
      <w:r>
        <w:rPr>
          <w:color w:val="231F20"/>
        </w:rPr>
        <w:t>образ),</w:t>
      </w:r>
      <w:r>
        <w:rPr>
          <w:color w:val="231F20"/>
          <w:spacing w:val="-13"/>
        </w:rPr>
        <w:t> </w:t>
      </w:r>
      <w:r>
        <w:rPr>
          <w:color w:val="231F20"/>
        </w:rPr>
        <w:t>при</w:t>
      </w:r>
      <w:r>
        <w:rPr>
          <w:color w:val="231F20"/>
          <w:spacing w:val="-12"/>
        </w:rPr>
        <w:t> </w:t>
      </w:r>
      <w:r>
        <w:rPr>
          <w:color w:val="231F20"/>
        </w:rPr>
        <w:t>этом</w:t>
      </w:r>
      <w:r>
        <w:rPr>
          <w:color w:val="231F20"/>
          <w:spacing w:val="-13"/>
        </w:rPr>
        <w:t> </w:t>
      </w:r>
      <w:r>
        <w:rPr>
          <w:color w:val="231F20"/>
        </w:rPr>
        <w:t>может</w:t>
      </w:r>
      <w:r>
        <w:rPr>
          <w:color w:val="231F20"/>
          <w:spacing w:val="-12"/>
        </w:rPr>
        <w:t> </w:t>
      </w:r>
      <w:r>
        <w:rPr>
          <w:color w:val="231F20"/>
        </w:rPr>
        <w:t>что-нибудь</w:t>
      </w:r>
      <w:r>
        <w:rPr>
          <w:color w:val="231F20"/>
          <w:spacing w:val="-13"/>
        </w:rPr>
        <w:t> </w:t>
      </w:r>
      <w:r>
        <w:rPr>
          <w:color w:val="231F20"/>
        </w:rPr>
        <w:t>рассказать</w:t>
      </w:r>
      <w:r>
        <w:rPr>
          <w:color w:val="231F20"/>
          <w:spacing w:val="-12"/>
        </w:rPr>
        <w:t> </w:t>
      </w:r>
      <w:r>
        <w:rPr>
          <w:color w:val="231F20"/>
        </w:rPr>
        <w:t>и</w:t>
      </w:r>
      <w:r>
        <w:rPr>
          <w:color w:val="231F20"/>
          <w:spacing w:val="-13"/>
        </w:rPr>
        <w:t> </w:t>
      </w:r>
      <w:r>
        <w:rPr>
          <w:color w:val="231F20"/>
        </w:rPr>
        <w:t>о</w:t>
      </w:r>
      <w:r>
        <w:rPr>
          <w:color w:val="231F20"/>
          <w:spacing w:val="-12"/>
        </w:rPr>
        <w:t> </w:t>
      </w:r>
      <w:r>
        <w:rPr>
          <w:color w:val="231F20"/>
        </w:rPr>
        <w:t>себе.</w:t>
      </w:r>
      <w:r>
        <w:rPr>
          <w:color w:val="231F20"/>
          <w:spacing w:val="-13"/>
        </w:rPr>
        <w:t> </w:t>
      </w:r>
      <w:r>
        <w:rPr>
          <w:color w:val="231F20"/>
        </w:rPr>
        <w:t>Начинается свободная дискуссия, которая заканчивается по мере исчерпания темы.</w:t>
      </w:r>
    </w:p>
    <w:p>
      <w:pPr>
        <w:pStyle w:val="BodyText"/>
        <w:spacing w:line="235" w:lineRule="auto" w:before="2"/>
      </w:pPr>
      <w:r>
        <w:rPr>
          <w:color w:val="231F20"/>
        </w:rPr>
        <w:t>Попутчикам</w:t>
      </w:r>
      <w:r>
        <w:rPr>
          <w:color w:val="231F20"/>
          <w:spacing w:val="-8"/>
        </w:rPr>
        <w:t> </w:t>
      </w:r>
      <w:r>
        <w:rPr>
          <w:color w:val="231F20"/>
        </w:rPr>
        <w:t>ставится</w:t>
      </w:r>
      <w:r>
        <w:rPr>
          <w:color w:val="231F20"/>
          <w:spacing w:val="-8"/>
        </w:rPr>
        <w:t> </w:t>
      </w:r>
      <w:r>
        <w:rPr>
          <w:color w:val="231F20"/>
        </w:rPr>
        <w:t>задача</w:t>
      </w:r>
      <w:r>
        <w:rPr>
          <w:color w:val="231F20"/>
          <w:spacing w:val="-8"/>
        </w:rPr>
        <w:t> </w:t>
      </w:r>
      <w:r>
        <w:rPr>
          <w:color w:val="231F20"/>
        </w:rPr>
        <w:t>выискивать</w:t>
      </w:r>
      <w:r>
        <w:rPr>
          <w:color w:val="231F20"/>
          <w:spacing w:val="-8"/>
        </w:rPr>
        <w:t> </w:t>
      </w:r>
      <w:r>
        <w:rPr>
          <w:color w:val="231F20"/>
        </w:rPr>
        <w:t>несоответствия</w:t>
      </w:r>
      <w:r>
        <w:rPr>
          <w:color w:val="231F20"/>
          <w:spacing w:val="-8"/>
        </w:rPr>
        <w:t> </w:t>
      </w:r>
      <w:r>
        <w:rPr>
          <w:color w:val="231F20"/>
        </w:rPr>
        <w:t>в</w:t>
      </w:r>
      <w:r>
        <w:rPr>
          <w:color w:val="231F20"/>
          <w:spacing w:val="-8"/>
        </w:rPr>
        <w:t> </w:t>
      </w:r>
      <w:r>
        <w:rPr>
          <w:color w:val="231F20"/>
        </w:rPr>
        <w:t>том,</w:t>
      </w:r>
      <w:r>
        <w:rPr>
          <w:color w:val="231F20"/>
          <w:spacing w:val="-8"/>
        </w:rPr>
        <w:t> </w:t>
      </w:r>
      <w:r>
        <w:rPr>
          <w:color w:val="231F20"/>
        </w:rPr>
        <w:t>о</w:t>
      </w:r>
      <w:r>
        <w:rPr>
          <w:color w:val="231F20"/>
          <w:spacing w:val="-8"/>
        </w:rPr>
        <w:t> </w:t>
      </w:r>
      <w:r>
        <w:rPr>
          <w:color w:val="231F20"/>
        </w:rPr>
        <w:t>чем</w:t>
      </w:r>
      <w:r>
        <w:rPr>
          <w:color w:val="231F20"/>
          <w:spacing w:val="-8"/>
        </w:rPr>
        <w:t> </w:t>
      </w:r>
      <w:r>
        <w:rPr>
          <w:color w:val="231F20"/>
        </w:rPr>
        <w:t>рассказывал ведущий.</w:t>
      </w:r>
      <w:r>
        <w:rPr>
          <w:color w:val="231F20"/>
          <w:spacing w:val="-2"/>
        </w:rPr>
        <w:t> </w:t>
      </w:r>
      <w:r>
        <w:rPr>
          <w:color w:val="231F20"/>
        </w:rPr>
        <w:t>Если</w:t>
      </w:r>
      <w:r>
        <w:rPr>
          <w:color w:val="231F20"/>
          <w:spacing w:val="-2"/>
        </w:rPr>
        <w:t> </w:t>
      </w:r>
      <w:r>
        <w:rPr>
          <w:color w:val="231F20"/>
        </w:rPr>
        <w:t>им</w:t>
      </w:r>
      <w:r>
        <w:rPr>
          <w:color w:val="231F20"/>
          <w:spacing w:val="-2"/>
        </w:rPr>
        <w:t> </w:t>
      </w:r>
      <w:r>
        <w:rPr>
          <w:color w:val="231F20"/>
        </w:rPr>
        <w:t>кажется,</w:t>
      </w:r>
      <w:r>
        <w:rPr>
          <w:color w:val="231F20"/>
          <w:spacing w:val="-2"/>
        </w:rPr>
        <w:t> </w:t>
      </w:r>
      <w:r>
        <w:rPr>
          <w:color w:val="231F20"/>
        </w:rPr>
        <w:t>что</w:t>
      </w:r>
      <w:r>
        <w:rPr>
          <w:color w:val="231F20"/>
          <w:spacing w:val="-2"/>
        </w:rPr>
        <w:t> </w:t>
      </w:r>
      <w:r>
        <w:rPr>
          <w:color w:val="231F20"/>
        </w:rPr>
        <w:t>рассказанного</w:t>
      </w:r>
      <w:r>
        <w:rPr>
          <w:color w:val="231F20"/>
          <w:spacing w:val="-2"/>
        </w:rPr>
        <w:t> </w:t>
      </w:r>
      <w:r>
        <w:rPr>
          <w:color w:val="231F20"/>
        </w:rPr>
        <w:t>ведущим</w:t>
      </w:r>
      <w:r>
        <w:rPr>
          <w:color w:val="231F20"/>
          <w:spacing w:val="-2"/>
        </w:rPr>
        <w:t> </w:t>
      </w:r>
      <w:r>
        <w:rPr>
          <w:color w:val="231F20"/>
        </w:rPr>
        <w:t>«не</w:t>
      </w:r>
      <w:r>
        <w:rPr>
          <w:color w:val="231F20"/>
          <w:spacing w:val="-2"/>
        </w:rPr>
        <w:t> </w:t>
      </w:r>
      <w:r>
        <w:rPr>
          <w:color w:val="231F20"/>
        </w:rPr>
        <w:t>может</w:t>
      </w:r>
      <w:r>
        <w:rPr>
          <w:color w:val="231F20"/>
          <w:spacing w:val="-2"/>
        </w:rPr>
        <w:t> </w:t>
      </w:r>
      <w:r>
        <w:rPr>
          <w:color w:val="231F20"/>
        </w:rPr>
        <w:t>быть»</w:t>
      </w:r>
      <w:r>
        <w:rPr>
          <w:color w:val="231F20"/>
          <w:spacing w:val="-2"/>
        </w:rPr>
        <w:t> </w:t>
      </w:r>
      <w:r>
        <w:rPr>
          <w:color w:val="231F20"/>
        </w:rPr>
        <w:t>(не</w:t>
      </w:r>
      <w:r>
        <w:rPr>
          <w:color w:val="231F20"/>
          <w:spacing w:val="-2"/>
        </w:rPr>
        <w:t> </w:t>
      </w:r>
      <w:r>
        <w:rPr>
          <w:color w:val="231F20"/>
        </w:rPr>
        <w:t>сочета- ется с образом, так вообще не бывает и пр.), они поднимают красную карточку. При </w:t>
      </w:r>
      <w:r>
        <w:rPr>
          <w:color w:val="231F20"/>
          <w:spacing w:val="-2"/>
        </w:rPr>
        <w:t>этом любой участник группы может попросить поднявшего карточку обосновать свое </w:t>
      </w:r>
      <w:r>
        <w:rPr>
          <w:color w:val="231F20"/>
        </w:rPr>
        <w:t>мнение. У детей также имеются зеленые карточки, которые они поднимают, когда чувствуют, что рассказ исключительно убедительный, полностью соответствующий выбранному ведущим образу.</w:t>
      </w:r>
    </w:p>
    <w:p>
      <w:pPr>
        <w:pStyle w:val="BodyText"/>
        <w:spacing w:line="235" w:lineRule="auto" w:before="4"/>
        <w:ind w:right="140"/>
      </w:pPr>
      <w:r>
        <w:rPr>
          <w:color w:val="231F20"/>
        </w:rPr>
        <w:t>Проводящий игру фиксирует количество красных и зеленых карточек и после окончания подводит баланс.</w:t>
      </w:r>
    </w:p>
    <w:p>
      <w:pPr>
        <w:pStyle w:val="BodyText"/>
        <w:spacing w:line="235" w:lineRule="auto" w:before="1"/>
      </w:pPr>
      <w:r>
        <w:rPr>
          <w:color w:val="231F20"/>
        </w:rPr>
        <w:t>Затем проводится обсуждение, сконцентрированное на ребенке, бывшем в роли ведущего. Могут подниматься следующие вопросы:</w:t>
      </w:r>
    </w:p>
    <w:p>
      <w:pPr>
        <w:pStyle w:val="ListParagraph"/>
        <w:numPr>
          <w:ilvl w:val="0"/>
          <w:numId w:val="118"/>
        </w:numPr>
        <w:tabs>
          <w:tab w:pos="575" w:val="left" w:leader="none"/>
        </w:tabs>
        <w:spacing w:line="225" w:lineRule="exact" w:before="0" w:after="0"/>
        <w:ind w:left="575" w:right="0" w:hanging="150"/>
        <w:jc w:val="left"/>
        <w:rPr>
          <w:sz w:val="20"/>
        </w:rPr>
      </w:pPr>
      <w:r>
        <w:rPr>
          <w:color w:val="231F20"/>
          <w:sz w:val="20"/>
        </w:rPr>
        <w:t>С</w:t>
      </w:r>
      <w:r>
        <w:rPr>
          <w:color w:val="231F20"/>
          <w:spacing w:val="-3"/>
          <w:sz w:val="20"/>
        </w:rPr>
        <w:t> </w:t>
      </w:r>
      <w:r>
        <w:rPr>
          <w:color w:val="231F20"/>
          <w:sz w:val="20"/>
        </w:rPr>
        <w:t>чем</w:t>
      </w:r>
      <w:r>
        <w:rPr>
          <w:color w:val="231F20"/>
          <w:spacing w:val="-3"/>
          <w:sz w:val="20"/>
        </w:rPr>
        <w:t> </w:t>
      </w:r>
      <w:r>
        <w:rPr>
          <w:color w:val="231F20"/>
          <w:sz w:val="20"/>
        </w:rPr>
        <w:t>был</w:t>
      </w:r>
      <w:r>
        <w:rPr>
          <w:color w:val="231F20"/>
          <w:spacing w:val="-3"/>
          <w:sz w:val="20"/>
        </w:rPr>
        <w:t> </w:t>
      </w:r>
      <w:r>
        <w:rPr>
          <w:color w:val="231F20"/>
          <w:sz w:val="20"/>
        </w:rPr>
        <w:t>связан</w:t>
      </w:r>
      <w:r>
        <w:rPr>
          <w:color w:val="231F20"/>
          <w:spacing w:val="-3"/>
          <w:sz w:val="20"/>
        </w:rPr>
        <w:t> </w:t>
      </w:r>
      <w:r>
        <w:rPr>
          <w:color w:val="231F20"/>
          <w:sz w:val="20"/>
        </w:rPr>
        <w:t>для</w:t>
      </w:r>
      <w:r>
        <w:rPr>
          <w:color w:val="231F20"/>
          <w:spacing w:val="-3"/>
          <w:sz w:val="20"/>
        </w:rPr>
        <w:t> </w:t>
      </w:r>
      <w:r>
        <w:rPr>
          <w:color w:val="231F20"/>
          <w:sz w:val="20"/>
        </w:rPr>
        <w:t>тебя</w:t>
      </w:r>
      <w:r>
        <w:rPr>
          <w:color w:val="231F20"/>
          <w:spacing w:val="-3"/>
          <w:sz w:val="20"/>
        </w:rPr>
        <w:t> </w:t>
      </w:r>
      <w:r>
        <w:rPr>
          <w:color w:val="231F20"/>
          <w:sz w:val="20"/>
        </w:rPr>
        <w:t>выбор</w:t>
      </w:r>
      <w:r>
        <w:rPr>
          <w:color w:val="231F20"/>
          <w:spacing w:val="-3"/>
          <w:sz w:val="20"/>
        </w:rPr>
        <w:t> </w:t>
      </w:r>
      <w:r>
        <w:rPr>
          <w:color w:val="231F20"/>
          <w:sz w:val="20"/>
        </w:rPr>
        <w:t>этого</w:t>
      </w:r>
      <w:r>
        <w:rPr>
          <w:color w:val="231F20"/>
          <w:spacing w:val="-2"/>
          <w:sz w:val="20"/>
        </w:rPr>
        <w:t> образа?</w:t>
      </w:r>
    </w:p>
    <w:p>
      <w:pPr>
        <w:pStyle w:val="ListParagraph"/>
        <w:numPr>
          <w:ilvl w:val="0"/>
          <w:numId w:val="118"/>
        </w:numPr>
        <w:tabs>
          <w:tab w:pos="575" w:val="left" w:leader="none"/>
        </w:tabs>
        <w:spacing w:line="226" w:lineRule="exact" w:before="0" w:after="0"/>
        <w:ind w:left="575" w:right="0" w:hanging="150"/>
        <w:jc w:val="left"/>
        <w:rPr>
          <w:sz w:val="20"/>
        </w:rPr>
      </w:pPr>
      <w:r>
        <w:rPr>
          <w:color w:val="231F20"/>
          <w:sz w:val="20"/>
        </w:rPr>
        <w:t>Чем</w:t>
      </w:r>
      <w:r>
        <w:rPr>
          <w:color w:val="231F20"/>
          <w:spacing w:val="-5"/>
          <w:sz w:val="20"/>
        </w:rPr>
        <w:t> </w:t>
      </w:r>
      <w:r>
        <w:rPr>
          <w:color w:val="231F20"/>
          <w:sz w:val="20"/>
        </w:rPr>
        <w:t>он</w:t>
      </w:r>
      <w:r>
        <w:rPr>
          <w:color w:val="231F20"/>
          <w:spacing w:val="-4"/>
          <w:sz w:val="20"/>
        </w:rPr>
        <w:t> </w:t>
      </w:r>
      <w:r>
        <w:rPr>
          <w:color w:val="231F20"/>
          <w:sz w:val="20"/>
        </w:rPr>
        <w:t>тебе</w:t>
      </w:r>
      <w:r>
        <w:rPr>
          <w:color w:val="231F20"/>
          <w:spacing w:val="-3"/>
          <w:sz w:val="20"/>
        </w:rPr>
        <w:t> </w:t>
      </w:r>
      <w:r>
        <w:rPr>
          <w:color w:val="231F20"/>
          <w:sz w:val="20"/>
        </w:rPr>
        <w:t>близок?</w:t>
      </w:r>
      <w:r>
        <w:rPr>
          <w:color w:val="231F20"/>
          <w:spacing w:val="-3"/>
          <w:sz w:val="20"/>
        </w:rPr>
        <w:t> </w:t>
      </w:r>
      <w:r>
        <w:rPr>
          <w:color w:val="231F20"/>
          <w:sz w:val="20"/>
        </w:rPr>
        <w:t>Что</w:t>
      </w:r>
      <w:r>
        <w:rPr>
          <w:color w:val="231F20"/>
          <w:spacing w:val="-3"/>
          <w:sz w:val="20"/>
        </w:rPr>
        <w:t> </w:t>
      </w:r>
      <w:r>
        <w:rPr>
          <w:color w:val="231F20"/>
          <w:sz w:val="20"/>
        </w:rPr>
        <w:t>бы</w:t>
      </w:r>
      <w:r>
        <w:rPr>
          <w:color w:val="231F20"/>
          <w:spacing w:val="-2"/>
          <w:sz w:val="20"/>
        </w:rPr>
        <w:t> </w:t>
      </w:r>
      <w:r>
        <w:rPr>
          <w:color w:val="231F20"/>
          <w:sz w:val="20"/>
        </w:rPr>
        <w:t>ты</w:t>
      </w:r>
      <w:r>
        <w:rPr>
          <w:color w:val="231F20"/>
          <w:spacing w:val="-3"/>
          <w:sz w:val="20"/>
        </w:rPr>
        <w:t> </w:t>
      </w:r>
      <w:r>
        <w:rPr>
          <w:color w:val="231F20"/>
          <w:sz w:val="20"/>
        </w:rPr>
        <w:t>хотел</w:t>
      </w:r>
      <w:r>
        <w:rPr>
          <w:color w:val="231F20"/>
          <w:spacing w:val="-3"/>
          <w:sz w:val="20"/>
        </w:rPr>
        <w:t> </w:t>
      </w:r>
      <w:r>
        <w:rPr>
          <w:color w:val="231F20"/>
          <w:sz w:val="20"/>
        </w:rPr>
        <w:t>взять</w:t>
      </w:r>
      <w:r>
        <w:rPr>
          <w:color w:val="231F20"/>
          <w:spacing w:val="-4"/>
          <w:sz w:val="20"/>
        </w:rPr>
        <w:t> </w:t>
      </w:r>
      <w:r>
        <w:rPr>
          <w:color w:val="231F20"/>
          <w:sz w:val="20"/>
        </w:rPr>
        <w:t>для</w:t>
      </w:r>
      <w:r>
        <w:rPr>
          <w:color w:val="231F20"/>
          <w:spacing w:val="-3"/>
          <w:sz w:val="20"/>
        </w:rPr>
        <w:t> </w:t>
      </w:r>
      <w:r>
        <w:rPr>
          <w:color w:val="231F20"/>
          <w:sz w:val="20"/>
        </w:rPr>
        <w:t>себя</w:t>
      </w:r>
      <w:r>
        <w:rPr>
          <w:color w:val="231F20"/>
          <w:spacing w:val="-3"/>
          <w:sz w:val="20"/>
        </w:rPr>
        <w:t> </w:t>
      </w:r>
      <w:r>
        <w:rPr>
          <w:color w:val="231F20"/>
          <w:sz w:val="20"/>
        </w:rPr>
        <w:t>из</w:t>
      </w:r>
      <w:r>
        <w:rPr>
          <w:color w:val="231F20"/>
          <w:spacing w:val="-2"/>
          <w:sz w:val="20"/>
        </w:rPr>
        <w:t> </w:t>
      </w:r>
      <w:r>
        <w:rPr>
          <w:color w:val="231F20"/>
          <w:spacing w:val="-4"/>
          <w:sz w:val="20"/>
        </w:rPr>
        <w:t>него?</w:t>
      </w:r>
    </w:p>
    <w:p>
      <w:pPr>
        <w:pStyle w:val="ListParagraph"/>
        <w:numPr>
          <w:ilvl w:val="0"/>
          <w:numId w:val="118"/>
        </w:numPr>
        <w:tabs>
          <w:tab w:pos="575" w:val="left" w:leader="none"/>
        </w:tabs>
        <w:spacing w:line="226" w:lineRule="exact" w:before="0" w:after="0"/>
        <w:ind w:left="575" w:right="0" w:hanging="150"/>
        <w:jc w:val="left"/>
        <w:rPr>
          <w:sz w:val="20"/>
        </w:rPr>
      </w:pPr>
      <w:r>
        <w:rPr>
          <w:color w:val="231F20"/>
          <w:sz w:val="20"/>
        </w:rPr>
        <w:t>Что</w:t>
      </w:r>
      <w:r>
        <w:rPr>
          <w:color w:val="231F20"/>
          <w:spacing w:val="-1"/>
          <w:sz w:val="20"/>
        </w:rPr>
        <w:t> </w:t>
      </w:r>
      <w:r>
        <w:rPr>
          <w:color w:val="231F20"/>
          <w:sz w:val="20"/>
        </w:rPr>
        <w:t>тебе</w:t>
      </w:r>
      <w:r>
        <w:rPr>
          <w:color w:val="231F20"/>
          <w:spacing w:val="-1"/>
          <w:sz w:val="20"/>
        </w:rPr>
        <w:t> </w:t>
      </w:r>
      <w:r>
        <w:rPr>
          <w:color w:val="231F20"/>
          <w:sz w:val="20"/>
        </w:rPr>
        <w:t>не</w:t>
      </w:r>
      <w:r>
        <w:rPr>
          <w:color w:val="231F20"/>
          <w:spacing w:val="-1"/>
          <w:sz w:val="20"/>
        </w:rPr>
        <w:t> </w:t>
      </w:r>
      <w:r>
        <w:rPr>
          <w:color w:val="231F20"/>
          <w:sz w:val="20"/>
        </w:rPr>
        <w:t>нравится</w:t>
      </w:r>
      <w:r>
        <w:rPr>
          <w:color w:val="231F20"/>
          <w:spacing w:val="-1"/>
          <w:sz w:val="20"/>
        </w:rPr>
        <w:t> </w:t>
      </w:r>
      <w:r>
        <w:rPr>
          <w:color w:val="231F20"/>
          <w:sz w:val="20"/>
        </w:rPr>
        <w:t>в</w:t>
      </w:r>
      <w:r>
        <w:rPr>
          <w:color w:val="231F20"/>
          <w:spacing w:val="-2"/>
          <w:sz w:val="20"/>
        </w:rPr>
        <w:t> </w:t>
      </w:r>
      <w:r>
        <w:rPr>
          <w:color w:val="231F20"/>
          <w:sz w:val="20"/>
        </w:rPr>
        <w:t>нем?</w:t>
      </w:r>
      <w:r>
        <w:rPr>
          <w:color w:val="231F20"/>
          <w:spacing w:val="-1"/>
          <w:sz w:val="20"/>
        </w:rPr>
        <w:t> </w:t>
      </w:r>
      <w:r>
        <w:rPr>
          <w:color w:val="231F20"/>
          <w:sz w:val="20"/>
        </w:rPr>
        <w:t>Что</w:t>
      </w:r>
      <w:r>
        <w:rPr>
          <w:color w:val="231F20"/>
          <w:spacing w:val="-1"/>
          <w:sz w:val="20"/>
        </w:rPr>
        <w:t> </w:t>
      </w:r>
      <w:r>
        <w:rPr>
          <w:color w:val="231F20"/>
          <w:sz w:val="20"/>
        </w:rPr>
        <w:t>тебе</w:t>
      </w:r>
      <w:r>
        <w:rPr>
          <w:color w:val="231F20"/>
          <w:spacing w:val="-1"/>
          <w:sz w:val="20"/>
        </w:rPr>
        <w:t> </w:t>
      </w:r>
      <w:r>
        <w:rPr>
          <w:color w:val="231F20"/>
          <w:sz w:val="20"/>
        </w:rPr>
        <w:t>в</w:t>
      </w:r>
      <w:r>
        <w:rPr>
          <w:color w:val="231F20"/>
          <w:spacing w:val="-2"/>
          <w:sz w:val="20"/>
        </w:rPr>
        <w:t> </w:t>
      </w:r>
      <w:r>
        <w:rPr>
          <w:color w:val="231F20"/>
          <w:sz w:val="20"/>
        </w:rPr>
        <w:t>нем</w:t>
      </w:r>
      <w:r>
        <w:rPr>
          <w:color w:val="231F20"/>
          <w:spacing w:val="-1"/>
          <w:sz w:val="20"/>
        </w:rPr>
        <w:t> </w:t>
      </w:r>
      <w:r>
        <w:rPr>
          <w:color w:val="231F20"/>
          <w:sz w:val="20"/>
        </w:rPr>
        <w:t>не </w:t>
      </w:r>
      <w:r>
        <w:rPr>
          <w:color w:val="231F20"/>
          <w:spacing w:val="-2"/>
          <w:sz w:val="20"/>
        </w:rPr>
        <w:t>близко?</w:t>
      </w:r>
    </w:p>
    <w:p>
      <w:pPr>
        <w:pStyle w:val="ListParagraph"/>
        <w:numPr>
          <w:ilvl w:val="0"/>
          <w:numId w:val="118"/>
        </w:numPr>
        <w:tabs>
          <w:tab w:pos="575" w:val="left" w:leader="none"/>
        </w:tabs>
        <w:spacing w:line="228" w:lineRule="exact" w:before="0" w:after="0"/>
        <w:ind w:left="575" w:right="0" w:hanging="150"/>
        <w:jc w:val="left"/>
        <w:rPr>
          <w:sz w:val="20"/>
        </w:rPr>
      </w:pPr>
      <w:r>
        <w:rPr>
          <w:color w:val="231F20"/>
          <w:sz w:val="20"/>
        </w:rPr>
        <w:t>Чем</w:t>
      </w:r>
      <w:r>
        <w:rPr>
          <w:color w:val="231F20"/>
          <w:spacing w:val="-5"/>
          <w:sz w:val="20"/>
        </w:rPr>
        <w:t> </w:t>
      </w:r>
      <w:r>
        <w:rPr>
          <w:color w:val="231F20"/>
          <w:sz w:val="20"/>
        </w:rPr>
        <w:t>он</w:t>
      </w:r>
      <w:r>
        <w:rPr>
          <w:color w:val="231F20"/>
          <w:spacing w:val="-5"/>
          <w:sz w:val="20"/>
        </w:rPr>
        <w:t> </w:t>
      </w:r>
      <w:r>
        <w:rPr>
          <w:color w:val="231F20"/>
          <w:sz w:val="20"/>
        </w:rPr>
        <w:t>похож</w:t>
      </w:r>
      <w:r>
        <w:rPr>
          <w:color w:val="231F20"/>
          <w:spacing w:val="-4"/>
          <w:sz w:val="20"/>
        </w:rPr>
        <w:t> </w:t>
      </w:r>
      <w:r>
        <w:rPr>
          <w:color w:val="231F20"/>
          <w:sz w:val="20"/>
        </w:rPr>
        <w:t>на</w:t>
      </w:r>
      <w:r>
        <w:rPr>
          <w:color w:val="231F20"/>
          <w:spacing w:val="-4"/>
          <w:sz w:val="20"/>
        </w:rPr>
        <w:t> </w:t>
      </w:r>
      <w:r>
        <w:rPr>
          <w:color w:val="231F20"/>
          <w:sz w:val="20"/>
        </w:rPr>
        <w:t>тебя?</w:t>
      </w:r>
      <w:r>
        <w:rPr>
          <w:color w:val="231F20"/>
          <w:spacing w:val="-4"/>
          <w:sz w:val="20"/>
        </w:rPr>
        <w:t> </w:t>
      </w:r>
      <w:r>
        <w:rPr>
          <w:color w:val="231F20"/>
          <w:sz w:val="20"/>
        </w:rPr>
        <w:t>Чем</w:t>
      </w:r>
      <w:r>
        <w:rPr>
          <w:color w:val="231F20"/>
          <w:spacing w:val="-4"/>
          <w:sz w:val="20"/>
        </w:rPr>
        <w:t> </w:t>
      </w:r>
      <w:r>
        <w:rPr>
          <w:color w:val="231F20"/>
          <w:spacing w:val="-2"/>
          <w:sz w:val="20"/>
        </w:rPr>
        <w:t>отличается?</w:t>
      </w:r>
    </w:p>
    <w:p>
      <w:pPr>
        <w:pStyle w:val="ListParagraph"/>
        <w:numPr>
          <w:ilvl w:val="0"/>
          <w:numId w:val="116"/>
        </w:numPr>
        <w:tabs>
          <w:tab w:pos="424" w:val="left" w:leader="none"/>
        </w:tabs>
        <w:spacing w:line="228" w:lineRule="exact" w:before="110" w:after="0"/>
        <w:ind w:left="424" w:right="0" w:hanging="283"/>
        <w:jc w:val="left"/>
        <w:rPr>
          <w:i/>
          <w:sz w:val="20"/>
        </w:rPr>
      </w:pPr>
      <w:r>
        <w:rPr>
          <w:i/>
          <w:color w:val="231F20"/>
          <w:sz w:val="20"/>
        </w:rPr>
        <w:t>Драматический</w:t>
      </w:r>
      <w:r>
        <w:rPr>
          <w:i/>
          <w:color w:val="231F20"/>
          <w:spacing w:val="-13"/>
          <w:sz w:val="20"/>
        </w:rPr>
        <w:t> </w:t>
      </w:r>
      <w:r>
        <w:rPr>
          <w:i/>
          <w:color w:val="231F20"/>
          <w:sz w:val="20"/>
        </w:rPr>
        <w:t>комфортный</w:t>
      </w:r>
      <w:r>
        <w:rPr>
          <w:i/>
          <w:color w:val="231F20"/>
          <w:spacing w:val="-12"/>
          <w:sz w:val="20"/>
        </w:rPr>
        <w:t> </w:t>
      </w:r>
      <w:r>
        <w:rPr>
          <w:i/>
          <w:color w:val="231F20"/>
          <w:spacing w:val="-4"/>
          <w:sz w:val="20"/>
        </w:rPr>
        <w:t>круг</w:t>
      </w:r>
    </w:p>
    <w:p>
      <w:pPr>
        <w:pStyle w:val="BodyText"/>
        <w:spacing w:line="235" w:lineRule="auto" w:before="2"/>
        <w:ind w:left="425" w:right="0" w:firstLine="0"/>
        <w:jc w:val="left"/>
      </w:pPr>
      <w:r>
        <w:rPr>
          <w:color w:val="231F20"/>
        </w:rPr>
        <w:t>(раздел «Драматический опыт. 3. Ролевые драматические игры, (в) отражающие актуальные проблемы»)</w:t>
      </w:r>
    </w:p>
    <w:p>
      <w:pPr>
        <w:pStyle w:val="BodyText"/>
        <w:spacing w:line="235" w:lineRule="auto" w:before="1"/>
      </w:pPr>
      <w:r>
        <w:rPr>
          <w:color w:val="231F20"/>
        </w:rPr>
        <w:t>Сначала, как в упражнении «Комфортный круг», ребенку-ведущему необходимо расставить всех участников группы вокруг себя так, чтобы ему было максимально </w:t>
      </w:r>
      <w:r>
        <w:rPr>
          <w:color w:val="231F20"/>
          <w:spacing w:val="-2"/>
        </w:rPr>
        <w:t>комфортно.</w:t>
      </w:r>
    </w:p>
    <w:p>
      <w:pPr>
        <w:pStyle w:val="BodyText"/>
        <w:spacing w:line="228" w:lineRule="exact"/>
        <w:ind w:left="425" w:right="0" w:firstLine="0"/>
      </w:pPr>
      <w:r>
        <w:rPr>
          <w:color w:val="231F20"/>
        </w:rPr>
        <w:t>Затем</w:t>
      </w:r>
      <w:r>
        <w:rPr>
          <w:color w:val="231F20"/>
          <w:spacing w:val="22"/>
        </w:rPr>
        <w:t> </w:t>
      </w:r>
      <w:r>
        <w:rPr>
          <w:color w:val="231F20"/>
        </w:rPr>
        <w:t>дается</w:t>
      </w:r>
      <w:r>
        <w:rPr>
          <w:color w:val="231F20"/>
          <w:spacing w:val="25"/>
        </w:rPr>
        <w:t> </w:t>
      </w:r>
      <w:r>
        <w:rPr>
          <w:color w:val="231F20"/>
        </w:rPr>
        <w:t>инструкция:</w:t>
      </w:r>
      <w:r>
        <w:rPr>
          <w:color w:val="231F20"/>
          <w:spacing w:val="25"/>
        </w:rPr>
        <w:t> </w:t>
      </w:r>
      <w:r>
        <w:rPr>
          <w:color w:val="231F20"/>
        </w:rPr>
        <w:t>«Сейчас</w:t>
      </w:r>
      <w:r>
        <w:rPr>
          <w:color w:val="231F20"/>
          <w:spacing w:val="25"/>
        </w:rPr>
        <w:t> </w:t>
      </w:r>
      <w:r>
        <w:rPr>
          <w:color w:val="231F20"/>
        </w:rPr>
        <w:t>все</w:t>
      </w:r>
      <w:r>
        <w:rPr>
          <w:color w:val="231F20"/>
          <w:spacing w:val="25"/>
        </w:rPr>
        <w:t> </w:t>
      </w:r>
      <w:r>
        <w:rPr>
          <w:color w:val="231F20"/>
        </w:rPr>
        <w:t>эти</w:t>
      </w:r>
      <w:r>
        <w:rPr>
          <w:color w:val="231F20"/>
          <w:spacing w:val="24"/>
        </w:rPr>
        <w:t> </w:t>
      </w:r>
      <w:r>
        <w:rPr>
          <w:color w:val="231F20"/>
        </w:rPr>
        <w:t>люди</w:t>
      </w:r>
      <w:r>
        <w:rPr>
          <w:color w:val="231F20"/>
          <w:spacing w:val="25"/>
        </w:rPr>
        <w:t> </w:t>
      </w:r>
      <w:r>
        <w:rPr>
          <w:color w:val="231F20"/>
        </w:rPr>
        <w:t>–</w:t>
      </w:r>
      <w:r>
        <w:rPr>
          <w:color w:val="231F20"/>
          <w:spacing w:val="25"/>
        </w:rPr>
        <w:t> </w:t>
      </w:r>
      <w:r>
        <w:rPr>
          <w:color w:val="231F20"/>
        </w:rPr>
        <w:t>твои</w:t>
      </w:r>
      <w:r>
        <w:rPr>
          <w:color w:val="231F20"/>
          <w:spacing w:val="25"/>
        </w:rPr>
        <w:t> </w:t>
      </w:r>
      <w:r>
        <w:rPr>
          <w:color w:val="231F20"/>
        </w:rPr>
        <w:t>персонажи.</w:t>
      </w:r>
      <w:r>
        <w:rPr>
          <w:color w:val="231F20"/>
          <w:spacing w:val="25"/>
        </w:rPr>
        <w:t> </w:t>
      </w:r>
      <w:r>
        <w:rPr>
          <w:color w:val="231F20"/>
          <w:spacing w:val="-2"/>
        </w:rPr>
        <w:t>Представь,</w:t>
      </w:r>
    </w:p>
    <w:p>
      <w:pPr>
        <w:pStyle w:val="BodyText"/>
        <w:spacing w:after="0" w:line="228" w:lineRule="exact"/>
        <w:sectPr>
          <w:pgSz w:w="8400" w:h="11910"/>
          <w:pgMar w:header="0" w:footer="527" w:top="400" w:bottom="740" w:left="425" w:right="425"/>
        </w:sectPr>
      </w:pPr>
    </w:p>
    <w:p>
      <w:pPr>
        <w:spacing w:before="80"/>
        <w:ind w:left="141" w:right="0" w:firstLine="0"/>
        <w:jc w:val="both"/>
        <w:rPr>
          <w:rFonts w:ascii="Georgia" w:hAnsi="Georgia"/>
          <w:sz w:val="18"/>
        </w:rPr>
      </w:pPr>
      <w:r>
        <w:rPr>
          <w:rFonts w:ascii="Georgia" w:hAnsi="Georgia"/>
          <w:color w:val="231F20"/>
          <w:sz w:val="18"/>
        </w:rPr>
        <w:t>4.2.</w:t>
      </w:r>
      <w:r>
        <w:rPr>
          <w:rFonts w:ascii="Georgia" w:hAnsi="Georgia"/>
          <w:color w:val="231F20"/>
          <w:spacing w:val="-6"/>
          <w:sz w:val="18"/>
        </w:rPr>
        <w:t> </w:t>
      </w:r>
      <w:r>
        <w:rPr>
          <w:rFonts w:ascii="Georgia" w:hAnsi="Georgia"/>
          <w:color w:val="231F20"/>
          <w:sz w:val="18"/>
        </w:rPr>
        <w:t>Работа</w:t>
      </w:r>
      <w:r>
        <w:rPr>
          <w:rFonts w:ascii="Georgia" w:hAnsi="Georgia"/>
          <w:color w:val="231F20"/>
          <w:spacing w:val="-5"/>
          <w:sz w:val="18"/>
        </w:rPr>
        <w:t> </w:t>
      </w:r>
      <w:r>
        <w:rPr>
          <w:rFonts w:ascii="Georgia" w:hAnsi="Georgia"/>
          <w:color w:val="231F20"/>
          <w:sz w:val="18"/>
        </w:rPr>
        <w:t>педагога-психолога</w:t>
      </w:r>
      <w:r>
        <w:rPr>
          <w:rFonts w:ascii="Georgia" w:hAnsi="Georgia"/>
          <w:color w:val="231F20"/>
          <w:spacing w:val="-5"/>
          <w:sz w:val="18"/>
        </w:rPr>
        <w:t> </w:t>
      </w:r>
      <w:r>
        <w:rPr>
          <w:rFonts w:ascii="Georgia" w:hAnsi="Georgia"/>
          <w:color w:val="231F20"/>
          <w:sz w:val="18"/>
        </w:rPr>
        <w:t>в</w:t>
      </w:r>
      <w:r>
        <w:rPr>
          <w:rFonts w:ascii="Georgia" w:hAnsi="Georgia"/>
          <w:color w:val="231F20"/>
          <w:spacing w:val="-5"/>
          <w:sz w:val="18"/>
        </w:rPr>
        <w:t> </w:t>
      </w:r>
      <w:r>
        <w:rPr>
          <w:rFonts w:ascii="Georgia" w:hAnsi="Georgia"/>
          <w:color w:val="231F20"/>
          <w:sz w:val="18"/>
        </w:rPr>
        <w:t>области</w:t>
      </w:r>
      <w:r>
        <w:rPr>
          <w:rFonts w:ascii="Georgia" w:hAnsi="Georgia"/>
          <w:color w:val="231F20"/>
          <w:spacing w:val="-6"/>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детей</w:t>
      </w:r>
      <w:r>
        <w:rPr>
          <w:rFonts w:ascii="Georgia" w:hAnsi="Georgia"/>
          <w:color w:val="231F20"/>
          <w:spacing w:val="-5"/>
          <w:sz w:val="18"/>
        </w:rPr>
        <w:t> </w:t>
      </w:r>
      <w:r>
        <w:rPr>
          <w:rFonts w:ascii="Georgia" w:hAnsi="Georgia"/>
          <w:color w:val="231F20"/>
          <w:sz w:val="18"/>
        </w:rPr>
        <w:t>...</w:t>
      </w:r>
      <w:r>
        <w:rPr>
          <w:rFonts w:ascii="Georgia" w:hAnsi="Georgia"/>
          <w:color w:val="231F20"/>
          <w:spacing w:val="-5"/>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BodyText"/>
        <w:spacing w:line="235" w:lineRule="auto" w:before="116"/>
        <w:ind w:firstLine="0"/>
      </w:pPr>
      <w:r>
        <w:rPr>
          <w:color w:val="231F20"/>
        </w:rPr>
        <w:t>кому</w:t>
      </w:r>
      <w:r>
        <w:rPr>
          <w:color w:val="231F20"/>
          <w:spacing w:val="-5"/>
        </w:rPr>
        <w:t> </w:t>
      </w:r>
      <w:r>
        <w:rPr>
          <w:color w:val="231F20"/>
        </w:rPr>
        <w:t>6ы</w:t>
      </w:r>
      <w:r>
        <w:rPr>
          <w:color w:val="231F20"/>
          <w:spacing w:val="-5"/>
        </w:rPr>
        <w:t> </w:t>
      </w:r>
      <w:r>
        <w:rPr>
          <w:color w:val="231F20"/>
        </w:rPr>
        <w:t>ты</w:t>
      </w:r>
      <w:r>
        <w:rPr>
          <w:color w:val="231F20"/>
          <w:spacing w:val="-5"/>
        </w:rPr>
        <w:t> </w:t>
      </w:r>
      <w:r>
        <w:rPr>
          <w:color w:val="231F20"/>
        </w:rPr>
        <w:t>хотел</w:t>
      </w:r>
      <w:r>
        <w:rPr>
          <w:color w:val="231F20"/>
          <w:spacing w:val="-5"/>
        </w:rPr>
        <w:t> </w:t>
      </w:r>
      <w:r>
        <w:rPr>
          <w:color w:val="231F20"/>
        </w:rPr>
        <w:t>что-то</w:t>
      </w:r>
      <w:r>
        <w:rPr>
          <w:color w:val="231F20"/>
          <w:spacing w:val="-5"/>
        </w:rPr>
        <w:t> </w:t>
      </w:r>
      <w:r>
        <w:rPr>
          <w:color w:val="231F20"/>
        </w:rPr>
        <w:t>сказать</w:t>
      </w:r>
      <w:r>
        <w:rPr>
          <w:color w:val="231F20"/>
          <w:spacing w:val="-5"/>
        </w:rPr>
        <w:t> </w:t>
      </w:r>
      <w:r>
        <w:rPr>
          <w:color w:val="231F20"/>
        </w:rPr>
        <w:t>или</w:t>
      </w:r>
      <w:r>
        <w:rPr>
          <w:color w:val="231F20"/>
          <w:spacing w:val="-5"/>
        </w:rPr>
        <w:t> </w:t>
      </w:r>
      <w:r>
        <w:rPr>
          <w:color w:val="231F20"/>
        </w:rPr>
        <w:t>что-нибудь</w:t>
      </w:r>
      <w:r>
        <w:rPr>
          <w:color w:val="231F20"/>
          <w:spacing w:val="-5"/>
        </w:rPr>
        <w:t> </w:t>
      </w:r>
      <w:r>
        <w:rPr>
          <w:color w:val="231F20"/>
        </w:rPr>
        <w:t>услышать</w:t>
      </w:r>
      <w:r>
        <w:rPr>
          <w:color w:val="231F20"/>
          <w:spacing w:val="-5"/>
        </w:rPr>
        <w:t> </w:t>
      </w:r>
      <w:r>
        <w:rPr>
          <w:color w:val="231F20"/>
        </w:rPr>
        <w:t>от</w:t>
      </w:r>
      <w:r>
        <w:rPr>
          <w:color w:val="231F20"/>
          <w:spacing w:val="-5"/>
        </w:rPr>
        <w:t> </w:t>
      </w:r>
      <w:r>
        <w:rPr>
          <w:color w:val="231F20"/>
        </w:rPr>
        <w:t>него.</w:t>
      </w:r>
      <w:r>
        <w:rPr>
          <w:color w:val="231F20"/>
          <w:spacing w:val="-5"/>
        </w:rPr>
        <w:t> </w:t>
      </w:r>
      <w:r>
        <w:rPr>
          <w:color w:val="231F20"/>
        </w:rPr>
        <w:t>Это</w:t>
      </w:r>
      <w:r>
        <w:rPr>
          <w:color w:val="231F20"/>
          <w:spacing w:val="-5"/>
        </w:rPr>
        <w:t> </w:t>
      </w:r>
      <w:r>
        <w:rPr>
          <w:color w:val="231F20"/>
        </w:rPr>
        <w:t>могут</w:t>
      </w:r>
      <w:r>
        <w:rPr>
          <w:color w:val="231F20"/>
          <w:spacing w:val="-5"/>
        </w:rPr>
        <w:t> </w:t>
      </w:r>
      <w:r>
        <w:rPr>
          <w:color w:val="231F20"/>
        </w:rPr>
        <w:t>быть</w:t>
      </w:r>
      <w:r>
        <w:rPr>
          <w:color w:val="231F20"/>
          <w:spacing w:val="-5"/>
        </w:rPr>
        <w:t> </w:t>
      </w:r>
      <w:r>
        <w:rPr>
          <w:color w:val="231F20"/>
        </w:rPr>
        <w:t>и выдуманные персонажи, и реальные».</w:t>
      </w:r>
    </w:p>
    <w:p>
      <w:pPr>
        <w:pStyle w:val="BodyText"/>
        <w:spacing w:line="235" w:lineRule="auto" w:before="1"/>
      </w:pPr>
      <w:r>
        <w:rPr>
          <w:color w:val="231F20"/>
          <w:spacing w:val="-2"/>
        </w:rPr>
        <w:t>Итак,</w:t>
      </w:r>
      <w:r>
        <w:rPr>
          <w:color w:val="231F20"/>
          <w:spacing w:val="-6"/>
        </w:rPr>
        <w:t> </w:t>
      </w:r>
      <w:r>
        <w:rPr>
          <w:color w:val="231F20"/>
          <w:spacing w:val="-2"/>
        </w:rPr>
        <w:t>ребенок</w:t>
      </w:r>
      <w:r>
        <w:rPr>
          <w:color w:val="231F20"/>
          <w:spacing w:val="-6"/>
        </w:rPr>
        <w:t> </w:t>
      </w:r>
      <w:r>
        <w:rPr>
          <w:color w:val="231F20"/>
          <w:spacing w:val="-2"/>
        </w:rPr>
        <w:t>каждому</w:t>
      </w:r>
      <w:r>
        <w:rPr>
          <w:color w:val="231F20"/>
          <w:spacing w:val="-6"/>
        </w:rPr>
        <w:t> </w:t>
      </w:r>
      <w:r>
        <w:rPr>
          <w:color w:val="231F20"/>
          <w:spacing w:val="-2"/>
        </w:rPr>
        <w:t>назначает</w:t>
      </w:r>
      <w:r>
        <w:rPr>
          <w:color w:val="231F20"/>
          <w:spacing w:val="-6"/>
        </w:rPr>
        <w:t> </w:t>
      </w:r>
      <w:r>
        <w:rPr>
          <w:color w:val="231F20"/>
          <w:spacing w:val="-2"/>
        </w:rPr>
        <w:t>роли,</w:t>
      </w:r>
      <w:r>
        <w:rPr>
          <w:color w:val="231F20"/>
          <w:spacing w:val="-6"/>
        </w:rPr>
        <w:t> </w:t>
      </w:r>
      <w:r>
        <w:rPr>
          <w:color w:val="231F20"/>
          <w:spacing w:val="-2"/>
        </w:rPr>
        <w:t>говорит,</w:t>
      </w:r>
      <w:r>
        <w:rPr>
          <w:color w:val="231F20"/>
          <w:spacing w:val="-6"/>
        </w:rPr>
        <w:t> </w:t>
      </w:r>
      <w:r>
        <w:rPr>
          <w:color w:val="231F20"/>
          <w:spacing w:val="-2"/>
        </w:rPr>
        <w:t>кем</w:t>
      </w:r>
      <w:r>
        <w:rPr>
          <w:color w:val="231F20"/>
          <w:spacing w:val="-6"/>
        </w:rPr>
        <w:t> </w:t>
      </w:r>
      <w:r>
        <w:rPr>
          <w:color w:val="231F20"/>
          <w:spacing w:val="-2"/>
        </w:rPr>
        <w:t>они</w:t>
      </w:r>
      <w:r>
        <w:rPr>
          <w:color w:val="231F20"/>
          <w:spacing w:val="-6"/>
        </w:rPr>
        <w:t> </w:t>
      </w:r>
      <w:r>
        <w:rPr>
          <w:color w:val="231F20"/>
          <w:spacing w:val="-2"/>
        </w:rPr>
        <w:t>будут,</w:t>
      </w:r>
      <w:r>
        <w:rPr>
          <w:color w:val="231F20"/>
          <w:spacing w:val="-6"/>
        </w:rPr>
        <w:t> </w:t>
      </w:r>
      <w:r>
        <w:rPr>
          <w:color w:val="231F20"/>
          <w:spacing w:val="-2"/>
        </w:rPr>
        <w:t>как</w:t>
      </w:r>
      <w:r>
        <w:rPr>
          <w:color w:val="231F20"/>
          <w:spacing w:val="-6"/>
        </w:rPr>
        <w:t> </w:t>
      </w:r>
      <w:r>
        <w:rPr>
          <w:color w:val="231F20"/>
          <w:spacing w:val="-2"/>
        </w:rPr>
        <w:t>должны</w:t>
      </w:r>
      <w:r>
        <w:rPr>
          <w:color w:val="231F20"/>
          <w:spacing w:val="-6"/>
        </w:rPr>
        <w:t> </w:t>
      </w:r>
      <w:r>
        <w:rPr>
          <w:color w:val="231F20"/>
          <w:spacing w:val="-2"/>
        </w:rPr>
        <w:t>стоять </w:t>
      </w:r>
      <w:r>
        <w:rPr>
          <w:color w:val="231F20"/>
        </w:rPr>
        <w:t>(играть роль) и что говорить (фразу или предложение). Далее он определяет, будет ли он сам что-нибудь говорить и как – в форме ответа каждому или после того, как выслушает всех в кругу.</w:t>
      </w:r>
    </w:p>
    <w:p>
      <w:pPr>
        <w:pStyle w:val="BodyText"/>
        <w:spacing w:line="232" w:lineRule="auto"/>
      </w:pPr>
      <w:r>
        <w:rPr>
          <w:color w:val="231F20"/>
        </w:rPr>
        <w:t>После</w:t>
      </w:r>
      <w:r>
        <w:rPr>
          <w:color w:val="231F20"/>
          <w:spacing w:val="-13"/>
        </w:rPr>
        <w:t> </w:t>
      </w:r>
      <w:r>
        <w:rPr>
          <w:color w:val="231F20"/>
        </w:rPr>
        <w:t>получения</w:t>
      </w:r>
      <w:r>
        <w:rPr>
          <w:color w:val="231F20"/>
          <w:spacing w:val="-12"/>
        </w:rPr>
        <w:t> </w:t>
      </w:r>
      <w:r>
        <w:rPr>
          <w:color w:val="231F20"/>
        </w:rPr>
        <w:t>инструкции</w:t>
      </w:r>
      <w:r>
        <w:rPr>
          <w:color w:val="231F20"/>
          <w:spacing w:val="-13"/>
        </w:rPr>
        <w:t> </w:t>
      </w:r>
      <w:r>
        <w:rPr>
          <w:color w:val="231F20"/>
        </w:rPr>
        <w:t>начинается</w:t>
      </w:r>
      <w:r>
        <w:rPr>
          <w:color w:val="231F20"/>
          <w:spacing w:val="-12"/>
        </w:rPr>
        <w:t> </w:t>
      </w:r>
      <w:r>
        <w:rPr>
          <w:color w:val="231F20"/>
        </w:rPr>
        <w:t>упражнение.</w:t>
      </w:r>
      <w:r>
        <w:rPr>
          <w:color w:val="231F20"/>
          <w:spacing w:val="-13"/>
        </w:rPr>
        <w:t> </w:t>
      </w:r>
      <w:r>
        <w:rPr>
          <w:color w:val="231F20"/>
        </w:rPr>
        <w:t>Персонажи,</w:t>
      </w:r>
      <w:r>
        <w:rPr>
          <w:color w:val="231F20"/>
          <w:spacing w:val="-12"/>
        </w:rPr>
        <w:t> </w:t>
      </w:r>
      <w:r>
        <w:rPr>
          <w:color w:val="231F20"/>
        </w:rPr>
        <w:t>стоящие</w:t>
      </w:r>
      <w:r>
        <w:rPr>
          <w:color w:val="231F20"/>
          <w:spacing w:val="-13"/>
        </w:rPr>
        <w:t> </w:t>
      </w:r>
      <w:r>
        <w:rPr>
          <w:color w:val="231F20"/>
        </w:rPr>
        <w:t>в</w:t>
      </w:r>
      <w:r>
        <w:rPr>
          <w:color w:val="231F20"/>
          <w:spacing w:val="-12"/>
        </w:rPr>
        <w:t> </w:t>
      </w:r>
      <w:r>
        <w:rPr>
          <w:color w:val="231F20"/>
        </w:rPr>
        <w:t>кру- гу,</w:t>
      </w:r>
      <w:r>
        <w:rPr>
          <w:color w:val="231F20"/>
          <w:spacing w:val="-10"/>
        </w:rPr>
        <w:t> </w:t>
      </w:r>
      <w:r>
        <w:rPr>
          <w:color w:val="231F20"/>
        </w:rPr>
        <w:t>«озвучивают»</w:t>
      </w:r>
      <w:r>
        <w:rPr>
          <w:color w:val="231F20"/>
          <w:spacing w:val="-10"/>
        </w:rPr>
        <w:t> </w:t>
      </w:r>
      <w:r>
        <w:rPr>
          <w:color w:val="231F20"/>
        </w:rPr>
        <w:t>свои</w:t>
      </w:r>
      <w:r>
        <w:rPr>
          <w:color w:val="231F20"/>
          <w:spacing w:val="-10"/>
        </w:rPr>
        <w:t> </w:t>
      </w:r>
      <w:r>
        <w:rPr>
          <w:color w:val="231F20"/>
        </w:rPr>
        <w:t>роли</w:t>
      </w:r>
      <w:r>
        <w:rPr>
          <w:color w:val="231F20"/>
          <w:spacing w:val="-10"/>
        </w:rPr>
        <w:t> </w:t>
      </w:r>
      <w:r>
        <w:rPr>
          <w:color w:val="231F20"/>
        </w:rPr>
        <w:t>тогда,</w:t>
      </w:r>
      <w:r>
        <w:rPr>
          <w:color w:val="231F20"/>
          <w:spacing w:val="-10"/>
        </w:rPr>
        <w:t> </w:t>
      </w:r>
      <w:r>
        <w:rPr>
          <w:color w:val="231F20"/>
        </w:rPr>
        <w:t>когда</w:t>
      </w:r>
      <w:r>
        <w:rPr>
          <w:color w:val="231F20"/>
          <w:spacing w:val="-10"/>
        </w:rPr>
        <w:t> </w:t>
      </w:r>
      <w:r>
        <w:rPr>
          <w:color w:val="231F20"/>
        </w:rPr>
        <w:t>на</w:t>
      </w:r>
      <w:r>
        <w:rPr>
          <w:color w:val="231F20"/>
          <w:spacing w:val="-10"/>
        </w:rPr>
        <w:t> </w:t>
      </w:r>
      <w:r>
        <w:rPr>
          <w:color w:val="231F20"/>
        </w:rPr>
        <w:t>них</w:t>
      </w:r>
      <w:r>
        <w:rPr>
          <w:color w:val="231F20"/>
          <w:spacing w:val="-10"/>
        </w:rPr>
        <w:t> </w:t>
      </w:r>
      <w:r>
        <w:rPr>
          <w:color w:val="231F20"/>
        </w:rPr>
        <w:t>смотрит</w:t>
      </w:r>
      <w:r>
        <w:rPr>
          <w:color w:val="231F20"/>
          <w:spacing w:val="-10"/>
        </w:rPr>
        <w:t> </w:t>
      </w:r>
      <w:r>
        <w:rPr>
          <w:color w:val="231F20"/>
        </w:rPr>
        <w:t>ведущий;</w:t>
      </w:r>
      <w:r>
        <w:rPr>
          <w:color w:val="231F20"/>
          <w:spacing w:val="-10"/>
        </w:rPr>
        <w:t> </w:t>
      </w:r>
      <w:r>
        <w:rPr>
          <w:color w:val="231F20"/>
        </w:rPr>
        <w:t>когда</w:t>
      </w:r>
      <w:r>
        <w:rPr>
          <w:color w:val="231F20"/>
          <w:spacing w:val="-10"/>
        </w:rPr>
        <w:t> </w:t>
      </w:r>
      <w:r>
        <w:rPr>
          <w:color w:val="231F20"/>
        </w:rPr>
        <w:t>он</w:t>
      </w:r>
      <w:r>
        <w:rPr>
          <w:color w:val="231F20"/>
          <w:spacing w:val="-10"/>
        </w:rPr>
        <w:t> </w:t>
      </w:r>
      <w:r>
        <w:rPr>
          <w:color w:val="231F20"/>
        </w:rPr>
        <w:t>отворачи- вается – замирают. Ведущий либо общается с ними, либо просто выслушивает (что решил заранее). Ребенок-ведущий сам управляет процессом и останавливает упраж- нение,</w:t>
      </w:r>
      <w:r>
        <w:rPr>
          <w:color w:val="231F20"/>
          <w:spacing w:val="-2"/>
        </w:rPr>
        <w:t> </w:t>
      </w:r>
      <w:r>
        <w:rPr>
          <w:color w:val="231F20"/>
        </w:rPr>
        <w:t>когда</w:t>
      </w:r>
      <w:r>
        <w:rPr>
          <w:color w:val="231F20"/>
          <w:spacing w:val="-2"/>
        </w:rPr>
        <w:t> </w:t>
      </w:r>
      <w:r>
        <w:rPr>
          <w:color w:val="231F20"/>
        </w:rPr>
        <w:t>посчитает</w:t>
      </w:r>
      <w:r>
        <w:rPr>
          <w:color w:val="231F20"/>
          <w:spacing w:val="-2"/>
        </w:rPr>
        <w:t> </w:t>
      </w:r>
      <w:r>
        <w:rPr>
          <w:color w:val="231F20"/>
        </w:rPr>
        <w:t>нужным.</w:t>
      </w:r>
      <w:r>
        <w:rPr>
          <w:color w:val="231F20"/>
          <w:spacing w:val="-2"/>
        </w:rPr>
        <w:t> </w:t>
      </w:r>
      <w:r>
        <w:rPr>
          <w:color w:val="231F20"/>
        </w:rPr>
        <w:t>Последующее</w:t>
      </w:r>
      <w:r>
        <w:rPr>
          <w:color w:val="231F20"/>
          <w:spacing w:val="-2"/>
        </w:rPr>
        <w:t> </w:t>
      </w:r>
      <w:r>
        <w:rPr>
          <w:color w:val="231F20"/>
        </w:rPr>
        <w:t>обсуждение</w:t>
      </w:r>
      <w:r>
        <w:rPr>
          <w:color w:val="231F20"/>
          <w:spacing w:val="-2"/>
        </w:rPr>
        <w:t> </w:t>
      </w:r>
      <w:r>
        <w:rPr>
          <w:color w:val="231F20"/>
        </w:rPr>
        <w:t>строится</w:t>
      </w:r>
      <w:r>
        <w:rPr>
          <w:color w:val="231F20"/>
          <w:spacing w:val="-2"/>
        </w:rPr>
        <w:t> </w:t>
      </w:r>
      <w:r>
        <w:rPr>
          <w:color w:val="231F20"/>
        </w:rPr>
        <w:t>на</w:t>
      </w:r>
      <w:r>
        <w:rPr>
          <w:color w:val="231F20"/>
          <w:spacing w:val="-2"/>
        </w:rPr>
        <w:t> </w:t>
      </w:r>
      <w:r>
        <w:rPr>
          <w:color w:val="231F20"/>
        </w:rPr>
        <w:t>тех</w:t>
      </w:r>
      <w:r>
        <w:rPr>
          <w:color w:val="231F20"/>
          <w:spacing w:val="-2"/>
        </w:rPr>
        <w:t> </w:t>
      </w:r>
      <w:r>
        <w:rPr>
          <w:color w:val="231F20"/>
        </w:rPr>
        <w:t>отноше- ниях и образах-фигурах из реальной или воображаемой жизни, которые проявились в процессе упражнения.</w:t>
      </w:r>
    </w:p>
    <w:p>
      <w:pPr>
        <w:pStyle w:val="ListParagraph"/>
        <w:numPr>
          <w:ilvl w:val="0"/>
          <w:numId w:val="116"/>
        </w:numPr>
        <w:tabs>
          <w:tab w:pos="424" w:val="left" w:leader="none"/>
        </w:tabs>
        <w:spacing w:line="224" w:lineRule="exact" w:before="101" w:after="0"/>
        <w:ind w:left="424" w:right="0" w:hanging="283"/>
        <w:jc w:val="both"/>
        <w:rPr>
          <w:i/>
          <w:sz w:val="20"/>
        </w:rPr>
      </w:pPr>
      <w:r>
        <w:rPr>
          <w:i/>
          <w:color w:val="231F20"/>
          <w:sz w:val="20"/>
        </w:rPr>
        <w:t>Театрализация</w:t>
      </w:r>
      <w:r>
        <w:rPr>
          <w:i/>
          <w:color w:val="231F20"/>
          <w:spacing w:val="-11"/>
          <w:sz w:val="20"/>
        </w:rPr>
        <w:t> </w:t>
      </w:r>
      <w:r>
        <w:rPr>
          <w:i/>
          <w:color w:val="231F20"/>
          <w:spacing w:val="-2"/>
          <w:sz w:val="20"/>
        </w:rPr>
        <w:t>затруднений</w:t>
      </w:r>
    </w:p>
    <w:p>
      <w:pPr>
        <w:pStyle w:val="BodyText"/>
        <w:spacing w:line="218" w:lineRule="exact"/>
        <w:ind w:left="425" w:right="0" w:firstLine="0"/>
      </w:pPr>
      <w:r>
        <w:rPr>
          <w:color w:val="231F20"/>
        </w:rPr>
        <w:t>(раздел</w:t>
      </w:r>
      <w:r>
        <w:rPr>
          <w:color w:val="231F20"/>
          <w:spacing w:val="-10"/>
        </w:rPr>
        <w:t> </w:t>
      </w:r>
      <w:r>
        <w:rPr>
          <w:color w:val="231F20"/>
        </w:rPr>
        <w:t>«Психотерапевтические</w:t>
      </w:r>
      <w:r>
        <w:rPr>
          <w:color w:val="231F20"/>
          <w:spacing w:val="-10"/>
        </w:rPr>
        <w:t> </w:t>
      </w:r>
      <w:r>
        <w:rPr>
          <w:color w:val="231F20"/>
          <w:spacing w:val="-2"/>
        </w:rPr>
        <w:t>интервенции»).</w:t>
      </w:r>
    </w:p>
    <w:p>
      <w:pPr>
        <w:pStyle w:val="BodyText"/>
        <w:spacing w:line="228" w:lineRule="auto" w:before="3"/>
      </w:pPr>
      <w:r>
        <w:rPr>
          <w:color w:val="231F20"/>
        </w:rPr>
        <w:t>Упражнение основано на идее, предложенной А. Лазарусом </w:t>
      </w:r>
      <w:r>
        <w:rPr>
          <w:i/>
          <w:color w:val="231F20"/>
        </w:rPr>
        <w:t>(Лазарус, </w:t>
      </w:r>
      <w:r>
        <w:rPr>
          <w:color w:val="231F20"/>
        </w:rPr>
        <w:t>2000). В начале выбирается какая-нибудь ситуация, вызывающая (или способная вызвать) в реальной</w:t>
      </w:r>
      <w:r>
        <w:rPr>
          <w:color w:val="231F20"/>
          <w:spacing w:val="-3"/>
        </w:rPr>
        <w:t> </w:t>
      </w:r>
      <w:r>
        <w:rPr>
          <w:color w:val="231F20"/>
        </w:rPr>
        <w:t>жизни</w:t>
      </w:r>
      <w:r>
        <w:rPr>
          <w:color w:val="231F20"/>
          <w:spacing w:val="-3"/>
        </w:rPr>
        <w:t> </w:t>
      </w:r>
      <w:r>
        <w:rPr>
          <w:color w:val="231F20"/>
        </w:rPr>
        <w:t>затруднения,</w:t>
      </w:r>
      <w:r>
        <w:rPr>
          <w:color w:val="231F20"/>
          <w:spacing w:val="-3"/>
        </w:rPr>
        <w:t> </w:t>
      </w:r>
      <w:r>
        <w:rPr>
          <w:color w:val="231F20"/>
        </w:rPr>
        <w:t>создающая</w:t>
      </w:r>
      <w:r>
        <w:rPr>
          <w:color w:val="231F20"/>
          <w:spacing w:val="-3"/>
        </w:rPr>
        <w:t> </w:t>
      </w:r>
      <w:r>
        <w:rPr>
          <w:color w:val="231F20"/>
        </w:rPr>
        <w:t>проблемы.</w:t>
      </w:r>
      <w:r>
        <w:rPr>
          <w:color w:val="231F20"/>
          <w:spacing w:val="-3"/>
        </w:rPr>
        <w:t> </w:t>
      </w:r>
      <w:r>
        <w:rPr>
          <w:color w:val="231F20"/>
        </w:rPr>
        <w:t>Затем</w:t>
      </w:r>
      <w:r>
        <w:rPr>
          <w:color w:val="231F20"/>
          <w:spacing w:val="-3"/>
        </w:rPr>
        <w:t> </w:t>
      </w:r>
      <w:r>
        <w:rPr>
          <w:color w:val="231F20"/>
        </w:rPr>
        <w:t>вся</w:t>
      </w:r>
      <w:r>
        <w:rPr>
          <w:color w:val="231F20"/>
          <w:spacing w:val="-3"/>
        </w:rPr>
        <w:t> </w:t>
      </w:r>
      <w:r>
        <w:rPr>
          <w:color w:val="231F20"/>
        </w:rPr>
        <w:t>группа</w:t>
      </w:r>
      <w:r>
        <w:rPr>
          <w:color w:val="231F20"/>
          <w:spacing w:val="-3"/>
        </w:rPr>
        <w:t> </w:t>
      </w:r>
      <w:r>
        <w:rPr>
          <w:color w:val="231F20"/>
        </w:rPr>
        <w:t>решает,</w:t>
      </w:r>
      <w:r>
        <w:rPr>
          <w:color w:val="231F20"/>
          <w:spacing w:val="-3"/>
        </w:rPr>
        <w:t> </w:t>
      </w:r>
      <w:r>
        <w:rPr>
          <w:color w:val="231F20"/>
        </w:rPr>
        <w:t>каким должен быть человек, чтобы успешно действовать в такой ситуации, то есть какими качествами он должен обладать.</w:t>
      </w:r>
    </w:p>
    <w:p>
      <w:pPr>
        <w:pStyle w:val="BodyText"/>
        <w:spacing w:line="228" w:lineRule="auto"/>
      </w:pPr>
      <w:r>
        <w:rPr>
          <w:color w:val="231F20"/>
          <w:spacing w:val="-2"/>
        </w:rPr>
        <w:t>Выбирается</w:t>
      </w:r>
      <w:r>
        <w:rPr>
          <w:color w:val="231F20"/>
          <w:spacing w:val="-5"/>
        </w:rPr>
        <w:t> </w:t>
      </w:r>
      <w:r>
        <w:rPr>
          <w:color w:val="231F20"/>
          <w:spacing w:val="-2"/>
        </w:rPr>
        <w:t>участник,</w:t>
      </w:r>
      <w:r>
        <w:rPr>
          <w:color w:val="231F20"/>
          <w:spacing w:val="-5"/>
        </w:rPr>
        <w:t> </w:t>
      </w:r>
      <w:r>
        <w:rPr>
          <w:color w:val="231F20"/>
          <w:spacing w:val="-2"/>
        </w:rPr>
        <w:t>желающий</w:t>
      </w:r>
      <w:r>
        <w:rPr>
          <w:color w:val="231F20"/>
          <w:spacing w:val="-5"/>
        </w:rPr>
        <w:t> </w:t>
      </w:r>
      <w:r>
        <w:rPr>
          <w:color w:val="231F20"/>
          <w:spacing w:val="-2"/>
        </w:rPr>
        <w:t>быть</w:t>
      </w:r>
      <w:r>
        <w:rPr>
          <w:color w:val="231F20"/>
          <w:spacing w:val="-5"/>
        </w:rPr>
        <w:t> </w:t>
      </w:r>
      <w:r>
        <w:rPr>
          <w:color w:val="231F20"/>
          <w:spacing w:val="-2"/>
        </w:rPr>
        <w:t>ведущим</w:t>
      </w:r>
      <w:r>
        <w:rPr>
          <w:color w:val="231F20"/>
          <w:spacing w:val="-5"/>
        </w:rPr>
        <w:t> </w:t>
      </w:r>
      <w:r>
        <w:rPr>
          <w:color w:val="231F20"/>
          <w:spacing w:val="-2"/>
        </w:rPr>
        <w:t>в</w:t>
      </w:r>
      <w:r>
        <w:rPr>
          <w:color w:val="231F20"/>
          <w:spacing w:val="-5"/>
        </w:rPr>
        <w:t> </w:t>
      </w:r>
      <w:r>
        <w:rPr>
          <w:color w:val="231F20"/>
          <w:spacing w:val="-2"/>
        </w:rPr>
        <w:t>упражнении.</w:t>
      </w:r>
      <w:r>
        <w:rPr>
          <w:color w:val="231F20"/>
          <w:spacing w:val="-5"/>
        </w:rPr>
        <w:t> </w:t>
      </w:r>
      <w:r>
        <w:rPr>
          <w:color w:val="231F20"/>
          <w:spacing w:val="-2"/>
        </w:rPr>
        <w:t>Он</w:t>
      </w:r>
      <w:r>
        <w:rPr>
          <w:color w:val="231F20"/>
          <w:spacing w:val="-5"/>
        </w:rPr>
        <w:t> </w:t>
      </w:r>
      <w:r>
        <w:rPr>
          <w:color w:val="231F20"/>
          <w:spacing w:val="-2"/>
        </w:rPr>
        <w:t>играет</w:t>
      </w:r>
      <w:r>
        <w:rPr>
          <w:color w:val="231F20"/>
          <w:spacing w:val="-5"/>
        </w:rPr>
        <w:t> </w:t>
      </w:r>
      <w:r>
        <w:rPr>
          <w:color w:val="231F20"/>
          <w:spacing w:val="-2"/>
        </w:rPr>
        <w:t>роль</w:t>
      </w:r>
      <w:r>
        <w:rPr>
          <w:color w:val="231F20"/>
          <w:spacing w:val="-5"/>
        </w:rPr>
        <w:t> </w:t>
      </w:r>
      <w:r>
        <w:rPr>
          <w:color w:val="231F20"/>
          <w:spacing w:val="-2"/>
        </w:rPr>
        <w:t>че- ловека,</w:t>
      </w:r>
      <w:r>
        <w:rPr>
          <w:color w:val="231F20"/>
          <w:spacing w:val="-5"/>
        </w:rPr>
        <w:t> </w:t>
      </w:r>
      <w:r>
        <w:rPr>
          <w:color w:val="231F20"/>
          <w:spacing w:val="-2"/>
        </w:rPr>
        <w:t>успешно</w:t>
      </w:r>
      <w:r>
        <w:rPr>
          <w:color w:val="231F20"/>
          <w:spacing w:val="-5"/>
        </w:rPr>
        <w:t> </w:t>
      </w:r>
      <w:r>
        <w:rPr>
          <w:color w:val="231F20"/>
          <w:spacing w:val="-2"/>
        </w:rPr>
        <w:t>действующего</w:t>
      </w:r>
      <w:r>
        <w:rPr>
          <w:color w:val="231F20"/>
          <w:spacing w:val="-5"/>
        </w:rPr>
        <w:t> </w:t>
      </w:r>
      <w:r>
        <w:rPr>
          <w:color w:val="231F20"/>
          <w:spacing w:val="-2"/>
        </w:rPr>
        <w:t>в</w:t>
      </w:r>
      <w:r>
        <w:rPr>
          <w:color w:val="231F20"/>
          <w:spacing w:val="-5"/>
        </w:rPr>
        <w:t> </w:t>
      </w:r>
      <w:r>
        <w:rPr>
          <w:color w:val="231F20"/>
          <w:spacing w:val="-2"/>
        </w:rPr>
        <w:t>выбранной</w:t>
      </w:r>
      <w:r>
        <w:rPr>
          <w:color w:val="231F20"/>
          <w:spacing w:val="-5"/>
        </w:rPr>
        <w:t> </w:t>
      </w:r>
      <w:r>
        <w:rPr>
          <w:color w:val="231F20"/>
          <w:spacing w:val="-2"/>
        </w:rPr>
        <w:t>ситуации,</w:t>
      </w:r>
      <w:r>
        <w:rPr>
          <w:color w:val="231F20"/>
          <w:spacing w:val="-5"/>
        </w:rPr>
        <w:t> </w:t>
      </w:r>
      <w:r>
        <w:rPr>
          <w:color w:val="231F20"/>
          <w:spacing w:val="-2"/>
        </w:rPr>
        <w:t>следуя</w:t>
      </w:r>
      <w:r>
        <w:rPr>
          <w:color w:val="231F20"/>
          <w:spacing w:val="-5"/>
        </w:rPr>
        <w:t> </w:t>
      </w:r>
      <w:r>
        <w:rPr>
          <w:color w:val="231F20"/>
          <w:spacing w:val="-2"/>
        </w:rPr>
        <w:t>заранее</w:t>
      </w:r>
      <w:r>
        <w:rPr>
          <w:color w:val="231F20"/>
          <w:spacing w:val="-5"/>
        </w:rPr>
        <w:t> </w:t>
      </w:r>
      <w:r>
        <w:rPr>
          <w:color w:val="231F20"/>
          <w:spacing w:val="-2"/>
        </w:rPr>
        <w:t>обговоренному </w:t>
      </w:r>
      <w:r>
        <w:rPr>
          <w:color w:val="231F20"/>
        </w:rPr>
        <w:t>с</w:t>
      </w:r>
      <w:r>
        <w:rPr>
          <w:color w:val="231F20"/>
          <w:spacing w:val="-13"/>
        </w:rPr>
        <w:t> </w:t>
      </w:r>
      <w:r>
        <w:rPr>
          <w:color w:val="231F20"/>
        </w:rPr>
        <w:t>группой</w:t>
      </w:r>
      <w:r>
        <w:rPr>
          <w:color w:val="231F20"/>
          <w:spacing w:val="-12"/>
        </w:rPr>
        <w:t> </w:t>
      </w:r>
      <w:r>
        <w:rPr>
          <w:color w:val="231F20"/>
        </w:rPr>
        <w:t>пониманию</w:t>
      </w:r>
      <w:r>
        <w:rPr>
          <w:color w:val="231F20"/>
          <w:spacing w:val="-13"/>
        </w:rPr>
        <w:t> </w:t>
      </w:r>
      <w:r>
        <w:rPr>
          <w:color w:val="231F20"/>
        </w:rPr>
        <w:t>(список</w:t>
      </w:r>
      <w:r>
        <w:rPr>
          <w:color w:val="231F20"/>
          <w:spacing w:val="-12"/>
        </w:rPr>
        <w:t> </w:t>
      </w:r>
      <w:r>
        <w:rPr>
          <w:color w:val="231F20"/>
        </w:rPr>
        <w:t>качеств</w:t>
      </w:r>
      <w:r>
        <w:rPr>
          <w:color w:val="231F20"/>
          <w:spacing w:val="-13"/>
        </w:rPr>
        <w:t> </w:t>
      </w:r>
      <w:r>
        <w:rPr>
          <w:color w:val="231F20"/>
        </w:rPr>
        <w:t>и</w:t>
      </w:r>
      <w:r>
        <w:rPr>
          <w:color w:val="231F20"/>
          <w:spacing w:val="-12"/>
        </w:rPr>
        <w:t> </w:t>
      </w:r>
      <w:r>
        <w:rPr>
          <w:color w:val="231F20"/>
        </w:rPr>
        <w:t>пр.).</w:t>
      </w:r>
      <w:r>
        <w:rPr>
          <w:color w:val="231F20"/>
          <w:spacing w:val="-13"/>
        </w:rPr>
        <w:t> </w:t>
      </w:r>
      <w:r>
        <w:rPr>
          <w:color w:val="231F20"/>
        </w:rPr>
        <w:t>Также</w:t>
      </w:r>
      <w:r>
        <w:rPr>
          <w:color w:val="231F20"/>
          <w:spacing w:val="-12"/>
        </w:rPr>
        <w:t> </w:t>
      </w:r>
      <w:r>
        <w:rPr>
          <w:color w:val="231F20"/>
        </w:rPr>
        <w:t>ведущий</w:t>
      </w:r>
      <w:r>
        <w:rPr>
          <w:color w:val="231F20"/>
          <w:spacing w:val="-13"/>
        </w:rPr>
        <w:t> </w:t>
      </w:r>
      <w:r>
        <w:rPr>
          <w:color w:val="231F20"/>
        </w:rPr>
        <w:t>самостоятельно</w:t>
      </w:r>
      <w:r>
        <w:rPr>
          <w:color w:val="231F20"/>
          <w:spacing w:val="-12"/>
        </w:rPr>
        <w:t> </w:t>
      </w:r>
      <w:r>
        <w:rPr>
          <w:color w:val="231F20"/>
        </w:rPr>
        <w:t>опреде- ляет актеров, необходимых для разыгрывания затруднений, дает им инструкции.</w:t>
      </w:r>
    </w:p>
    <w:p>
      <w:pPr>
        <w:pStyle w:val="BodyText"/>
        <w:spacing w:line="228" w:lineRule="auto"/>
      </w:pPr>
      <w:r>
        <w:rPr>
          <w:color w:val="231F20"/>
        </w:rPr>
        <w:t>Затем</w:t>
      </w:r>
      <w:r>
        <w:rPr>
          <w:color w:val="231F20"/>
          <w:spacing w:val="-13"/>
        </w:rPr>
        <w:t> </w:t>
      </w:r>
      <w:r>
        <w:rPr>
          <w:color w:val="231F20"/>
        </w:rPr>
        <w:t>разыгрывается</w:t>
      </w:r>
      <w:r>
        <w:rPr>
          <w:color w:val="231F20"/>
          <w:spacing w:val="-12"/>
        </w:rPr>
        <w:t> </w:t>
      </w:r>
      <w:r>
        <w:rPr>
          <w:color w:val="231F20"/>
        </w:rPr>
        <w:t>сама</w:t>
      </w:r>
      <w:r>
        <w:rPr>
          <w:color w:val="231F20"/>
          <w:spacing w:val="-13"/>
        </w:rPr>
        <w:t> </w:t>
      </w:r>
      <w:r>
        <w:rPr>
          <w:color w:val="231F20"/>
        </w:rPr>
        <w:t>ситуация.</w:t>
      </w:r>
      <w:r>
        <w:rPr>
          <w:color w:val="231F20"/>
          <w:spacing w:val="-12"/>
        </w:rPr>
        <w:t> </w:t>
      </w:r>
      <w:r>
        <w:rPr>
          <w:color w:val="231F20"/>
        </w:rPr>
        <w:t>Если</w:t>
      </w:r>
      <w:r>
        <w:rPr>
          <w:color w:val="231F20"/>
          <w:spacing w:val="-13"/>
        </w:rPr>
        <w:t> </w:t>
      </w:r>
      <w:r>
        <w:rPr>
          <w:color w:val="231F20"/>
        </w:rPr>
        <w:t>наблюдатели,</w:t>
      </w:r>
      <w:r>
        <w:rPr>
          <w:color w:val="231F20"/>
          <w:spacing w:val="-12"/>
        </w:rPr>
        <w:t> </w:t>
      </w:r>
      <w:r>
        <w:rPr>
          <w:color w:val="231F20"/>
        </w:rPr>
        <w:t>не</w:t>
      </w:r>
      <w:r>
        <w:rPr>
          <w:color w:val="231F20"/>
          <w:spacing w:val="-13"/>
        </w:rPr>
        <w:t> </w:t>
      </w:r>
      <w:r>
        <w:rPr>
          <w:color w:val="231F20"/>
        </w:rPr>
        <w:t>участвующие</w:t>
      </w:r>
      <w:r>
        <w:rPr>
          <w:color w:val="231F20"/>
          <w:spacing w:val="-12"/>
        </w:rPr>
        <w:t> </w:t>
      </w:r>
      <w:r>
        <w:rPr>
          <w:color w:val="231F20"/>
        </w:rPr>
        <w:t>в</w:t>
      </w:r>
      <w:r>
        <w:rPr>
          <w:color w:val="231F20"/>
          <w:spacing w:val="-13"/>
        </w:rPr>
        <w:t> </w:t>
      </w:r>
      <w:r>
        <w:rPr>
          <w:color w:val="231F20"/>
        </w:rPr>
        <w:t>театра- лизации,</w:t>
      </w:r>
      <w:r>
        <w:rPr>
          <w:color w:val="231F20"/>
          <w:spacing w:val="-7"/>
        </w:rPr>
        <w:t> </w:t>
      </w:r>
      <w:r>
        <w:rPr>
          <w:color w:val="231F20"/>
        </w:rPr>
        <w:t>замечают,</w:t>
      </w:r>
      <w:r>
        <w:rPr>
          <w:color w:val="231F20"/>
          <w:spacing w:val="-7"/>
        </w:rPr>
        <w:t> </w:t>
      </w:r>
      <w:r>
        <w:rPr>
          <w:color w:val="231F20"/>
        </w:rPr>
        <w:t>что</w:t>
      </w:r>
      <w:r>
        <w:rPr>
          <w:color w:val="231F20"/>
          <w:spacing w:val="-7"/>
        </w:rPr>
        <w:t> </w:t>
      </w:r>
      <w:r>
        <w:rPr>
          <w:color w:val="231F20"/>
        </w:rPr>
        <w:t>ведущий</w:t>
      </w:r>
      <w:r>
        <w:rPr>
          <w:color w:val="231F20"/>
          <w:spacing w:val="-7"/>
        </w:rPr>
        <w:t> </w:t>
      </w:r>
      <w:r>
        <w:rPr>
          <w:color w:val="231F20"/>
        </w:rPr>
        <w:t>«вышел</w:t>
      </w:r>
      <w:r>
        <w:rPr>
          <w:color w:val="231F20"/>
          <w:spacing w:val="-7"/>
        </w:rPr>
        <w:t> </w:t>
      </w:r>
      <w:r>
        <w:rPr>
          <w:color w:val="231F20"/>
        </w:rPr>
        <w:t>из</w:t>
      </w:r>
      <w:r>
        <w:rPr>
          <w:color w:val="231F20"/>
          <w:spacing w:val="-7"/>
        </w:rPr>
        <w:t> </w:t>
      </w:r>
      <w:r>
        <w:rPr>
          <w:color w:val="231F20"/>
        </w:rPr>
        <w:t>роли»,</w:t>
      </w:r>
      <w:r>
        <w:rPr>
          <w:color w:val="231F20"/>
          <w:spacing w:val="-7"/>
        </w:rPr>
        <w:t> </w:t>
      </w:r>
      <w:r>
        <w:rPr>
          <w:color w:val="231F20"/>
        </w:rPr>
        <w:t>они</w:t>
      </w:r>
      <w:r>
        <w:rPr>
          <w:color w:val="231F20"/>
          <w:spacing w:val="-7"/>
        </w:rPr>
        <w:t> </w:t>
      </w:r>
      <w:r>
        <w:rPr>
          <w:color w:val="231F20"/>
        </w:rPr>
        <w:t>останавливают</w:t>
      </w:r>
      <w:r>
        <w:rPr>
          <w:color w:val="231F20"/>
          <w:spacing w:val="-7"/>
        </w:rPr>
        <w:t> </w:t>
      </w:r>
      <w:r>
        <w:rPr>
          <w:color w:val="231F20"/>
        </w:rPr>
        <w:t>упражнение</w:t>
      </w:r>
      <w:r>
        <w:rPr>
          <w:color w:val="231F20"/>
          <w:spacing w:val="-7"/>
        </w:rPr>
        <w:t> </w:t>
      </w:r>
      <w:r>
        <w:rPr>
          <w:color w:val="231F20"/>
        </w:rPr>
        <w:t>и делают замечания. Театрализация заканчивается либо сама по себе (например, кон- фликт исчерпан), либо по сигналу ведущего.</w:t>
      </w:r>
    </w:p>
    <w:p>
      <w:pPr>
        <w:pStyle w:val="BodyText"/>
        <w:spacing w:line="228" w:lineRule="auto"/>
      </w:pPr>
      <w:r>
        <w:rPr>
          <w:color w:val="231F20"/>
        </w:rPr>
        <w:t>По</w:t>
      </w:r>
      <w:r>
        <w:rPr>
          <w:color w:val="231F20"/>
          <w:spacing w:val="-9"/>
        </w:rPr>
        <w:t> </w:t>
      </w:r>
      <w:r>
        <w:rPr>
          <w:color w:val="231F20"/>
        </w:rPr>
        <w:t>окончании</w:t>
      </w:r>
      <w:r>
        <w:rPr>
          <w:color w:val="231F20"/>
          <w:spacing w:val="-9"/>
        </w:rPr>
        <w:t> </w:t>
      </w:r>
      <w:r>
        <w:rPr>
          <w:color w:val="231F20"/>
        </w:rPr>
        <w:t>занятия</w:t>
      </w:r>
      <w:r>
        <w:rPr>
          <w:color w:val="231F20"/>
          <w:spacing w:val="-9"/>
        </w:rPr>
        <w:t> </w:t>
      </w:r>
      <w:r>
        <w:rPr>
          <w:color w:val="231F20"/>
        </w:rPr>
        <w:t>необходимо</w:t>
      </w:r>
      <w:r>
        <w:rPr>
          <w:color w:val="231F20"/>
          <w:spacing w:val="-9"/>
        </w:rPr>
        <w:t> </w:t>
      </w:r>
      <w:r>
        <w:rPr>
          <w:color w:val="231F20"/>
        </w:rPr>
        <w:t>подробно</w:t>
      </w:r>
      <w:r>
        <w:rPr>
          <w:color w:val="231F20"/>
          <w:spacing w:val="-9"/>
        </w:rPr>
        <w:t> </w:t>
      </w:r>
      <w:r>
        <w:rPr>
          <w:color w:val="231F20"/>
        </w:rPr>
        <w:t>обсудить</w:t>
      </w:r>
      <w:r>
        <w:rPr>
          <w:color w:val="231F20"/>
          <w:spacing w:val="-9"/>
        </w:rPr>
        <w:t> </w:t>
      </w:r>
      <w:r>
        <w:rPr>
          <w:color w:val="231F20"/>
        </w:rPr>
        <w:t>все</w:t>
      </w:r>
      <w:r>
        <w:rPr>
          <w:color w:val="231F20"/>
          <w:spacing w:val="-9"/>
        </w:rPr>
        <w:t> </w:t>
      </w:r>
      <w:r>
        <w:rPr>
          <w:color w:val="231F20"/>
        </w:rPr>
        <w:t>элементы</w:t>
      </w:r>
      <w:r>
        <w:rPr>
          <w:color w:val="231F20"/>
          <w:spacing w:val="-9"/>
        </w:rPr>
        <w:t> </w:t>
      </w:r>
      <w:r>
        <w:rPr>
          <w:color w:val="231F20"/>
        </w:rPr>
        <w:t>упражнения, выслушать высказывания участников о своих чувствах и мыслях и оказать эмоцио- нальную поддержку ведущему.</w:t>
      </w:r>
    </w:p>
    <w:p>
      <w:pPr>
        <w:spacing w:line="204" w:lineRule="exact" w:before="99"/>
        <w:ind w:left="425" w:right="0" w:firstLine="0"/>
        <w:jc w:val="left"/>
        <w:rPr>
          <w:b/>
          <w:sz w:val="18"/>
        </w:rPr>
      </w:pPr>
      <w:r>
        <w:rPr>
          <w:b/>
          <w:color w:val="231F20"/>
          <w:spacing w:val="-2"/>
          <w:sz w:val="18"/>
        </w:rPr>
        <w:t>Литератyра</w:t>
      </w:r>
    </w:p>
    <w:p>
      <w:pPr>
        <w:pStyle w:val="ListParagraph"/>
        <w:numPr>
          <w:ilvl w:val="1"/>
          <w:numId w:val="116"/>
        </w:numPr>
        <w:tabs>
          <w:tab w:pos="708" w:val="left" w:leader="none"/>
        </w:tabs>
        <w:spacing w:line="235" w:lineRule="auto" w:before="1" w:after="0"/>
        <w:ind w:left="708" w:right="422" w:hanging="284"/>
        <w:jc w:val="left"/>
        <w:rPr>
          <w:sz w:val="18"/>
        </w:rPr>
      </w:pPr>
      <w:r>
        <w:rPr>
          <w:color w:val="231F20"/>
          <w:sz w:val="18"/>
        </w:rPr>
        <w:t>Байерс Д. Невидимые границы – открытые границы: арт-терапия и политический конфликт // Практикум по арт-терапии. – СПб., 2000.</w:t>
      </w:r>
    </w:p>
    <w:p>
      <w:pPr>
        <w:pStyle w:val="ListParagraph"/>
        <w:numPr>
          <w:ilvl w:val="1"/>
          <w:numId w:val="116"/>
        </w:numPr>
        <w:tabs>
          <w:tab w:pos="708" w:val="left" w:leader="none"/>
        </w:tabs>
        <w:spacing w:line="235" w:lineRule="auto" w:before="0" w:after="0"/>
        <w:ind w:left="708" w:right="423" w:hanging="284"/>
        <w:jc w:val="left"/>
        <w:rPr>
          <w:sz w:val="18"/>
        </w:rPr>
      </w:pPr>
      <w:r>
        <w:rPr>
          <w:color w:val="231F20"/>
          <w:spacing w:val="-2"/>
          <w:sz w:val="18"/>
        </w:rPr>
        <w:t>Березкина-Орлова В. Актерские телесно-ориентированные психотехники // Свобод- </w:t>
      </w:r>
      <w:r>
        <w:rPr>
          <w:color w:val="231F20"/>
          <w:sz w:val="18"/>
        </w:rPr>
        <w:t>ное тело. – М., 2001. – С. 125–153.</w:t>
      </w:r>
    </w:p>
    <w:p>
      <w:pPr>
        <w:pStyle w:val="ListParagraph"/>
        <w:numPr>
          <w:ilvl w:val="1"/>
          <w:numId w:val="116"/>
        </w:numPr>
        <w:tabs>
          <w:tab w:pos="708" w:val="left" w:leader="none"/>
        </w:tabs>
        <w:spacing w:line="199" w:lineRule="exact" w:before="0" w:after="0"/>
        <w:ind w:left="708" w:right="0" w:hanging="283"/>
        <w:jc w:val="left"/>
        <w:rPr>
          <w:sz w:val="18"/>
        </w:rPr>
      </w:pPr>
      <w:r>
        <w:rPr>
          <w:color w:val="231F20"/>
          <w:sz w:val="18"/>
        </w:rPr>
        <w:t>Валента</w:t>
      </w:r>
      <w:r>
        <w:rPr>
          <w:color w:val="231F20"/>
          <w:spacing w:val="-2"/>
          <w:sz w:val="18"/>
        </w:rPr>
        <w:t> </w:t>
      </w:r>
      <w:r>
        <w:rPr>
          <w:color w:val="231F20"/>
          <w:sz w:val="18"/>
        </w:rPr>
        <w:t>М.,</w:t>
      </w:r>
      <w:r>
        <w:rPr>
          <w:color w:val="231F20"/>
          <w:spacing w:val="-1"/>
          <w:sz w:val="18"/>
        </w:rPr>
        <w:t> </w:t>
      </w:r>
      <w:r>
        <w:rPr>
          <w:color w:val="231F20"/>
          <w:sz w:val="18"/>
        </w:rPr>
        <w:t>Полинек</w:t>
      </w:r>
      <w:r>
        <w:rPr>
          <w:color w:val="231F20"/>
          <w:spacing w:val="-2"/>
          <w:sz w:val="18"/>
        </w:rPr>
        <w:t> </w:t>
      </w:r>
      <w:r>
        <w:rPr>
          <w:color w:val="231F20"/>
          <w:sz w:val="18"/>
        </w:rPr>
        <w:t>М.</w:t>
      </w:r>
      <w:r>
        <w:rPr>
          <w:color w:val="231F20"/>
          <w:spacing w:val="-1"/>
          <w:sz w:val="18"/>
        </w:rPr>
        <w:t> </w:t>
      </w:r>
      <w:r>
        <w:rPr>
          <w:color w:val="231F20"/>
          <w:sz w:val="18"/>
        </w:rPr>
        <w:t>Драматерапия.</w:t>
      </w:r>
      <w:r>
        <w:rPr>
          <w:color w:val="231F20"/>
          <w:spacing w:val="-2"/>
          <w:sz w:val="18"/>
        </w:rPr>
        <w:t> </w:t>
      </w:r>
      <w:r>
        <w:rPr>
          <w:color w:val="231F20"/>
          <w:sz w:val="18"/>
        </w:rPr>
        <w:t>–</w:t>
      </w:r>
      <w:r>
        <w:rPr>
          <w:color w:val="231F20"/>
          <w:spacing w:val="-1"/>
          <w:sz w:val="18"/>
        </w:rPr>
        <w:t> </w:t>
      </w:r>
      <w:r>
        <w:rPr>
          <w:color w:val="231F20"/>
          <w:sz w:val="18"/>
        </w:rPr>
        <w:t>М.,</w:t>
      </w:r>
      <w:r>
        <w:rPr>
          <w:color w:val="231F20"/>
          <w:spacing w:val="-1"/>
          <w:sz w:val="18"/>
        </w:rPr>
        <w:t> </w:t>
      </w:r>
      <w:r>
        <w:rPr>
          <w:color w:val="231F20"/>
          <w:spacing w:val="-2"/>
          <w:sz w:val="18"/>
        </w:rPr>
        <w:t>2013.</w:t>
      </w:r>
    </w:p>
    <w:p>
      <w:pPr>
        <w:pStyle w:val="ListParagraph"/>
        <w:numPr>
          <w:ilvl w:val="1"/>
          <w:numId w:val="116"/>
        </w:numPr>
        <w:tabs>
          <w:tab w:pos="708" w:val="left" w:leader="none"/>
        </w:tabs>
        <w:spacing w:line="202" w:lineRule="exact" w:before="0" w:after="0"/>
        <w:ind w:left="708" w:right="0" w:hanging="283"/>
        <w:jc w:val="left"/>
        <w:rPr>
          <w:sz w:val="18"/>
        </w:rPr>
      </w:pPr>
      <w:r>
        <w:rPr>
          <w:color w:val="231F20"/>
          <w:sz w:val="18"/>
        </w:rPr>
        <w:t>Гройсман</w:t>
      </w:r>
      <w:r>
        <w:rPr>
          <w:color w:val="231F20"/>
          <w:spacing w:val="-5"/>
          <w:sz w:val="18"/>
        </w:rPr>
        <w:t> </w:t>
      </w:r>
      <w:r>
        <w:rPr>
          <w:color w:val="231F20"/>
          <w:sz w:val="18"/>
        </w:rPr>
        <w:t>А.Л.</w:t>
      </w:r>
      <w:r>
        <w:rPr>
          <w:color w:val="231F20"/>
          <w:spacing w:val="-4"/>
          <w:sz w:val="18"/>
        </w:rPr>
        <w:t> </w:t>
      </w:r>
      <w:r>
        <w:rPr>
          <w:color w:val="231F20"/>
          <w:sz w:val="18"/>
        </w:rPr>
        <w:t>Личность,</w:t>
      </w:r>
      <w:r>
        <w:rPr>
          <w:color w:val="231F20"/>
          <w:spacing w:val="-4"/>
          <w:sz w:val="18"/>
        </w:rPr>
        <w:t> </w:t>
      </w:r>
      <w:r>
        <w:rPr>
          <w:color w:val="231F20"/>
          <w:sz w:val="18"/>
        </w:rPr>
        <w:t>творчество,</w:t>
      </w:r>
      <w:r>
        <w:rPr>
          <w:color w:val="231F20"/>
          <w:spacing w:val="-3"/>
          <w:sz w:val="18"/>
        </w:rPr>
        <w:t> </w:t>
      </w:r>
      <w:r>
        <w:rPr>
          <w:color w:val="231F20"/>
          <w:sz w:val="18"/>
        </w:rPr>
        <w:t>регуляция</w:t>
      </w:r>
      <w:r>
        <w:rPr>
          <w:color w:val="231F20"/>
          <w:spacing w:val="-4"/>
          <w:sz w:val="18"/>
        </w:rPr>
        <w:t> </w:t>
      </w:r>
      <w:r>
        <w:rPr>
          <w:color w:val="231F20"/>
          <w:sz w:val="18"/>
        </w:rPr>
        <w:t>состояний.</w:t>
      </w:r>
      <w:r>
        <w:rPr>
          <w:color w:val="231F20"/>
          <w:spacing w:val="-4"/>
          <w:sz w:val="18"/>
        </w:rPr>
        <w:t> </w:t>
      </w:r>
      <w:r>
        <w:rPr>
          <w:color w:val="231F20"/>
          <w:sz w:val="18"/>
        </w:rPr>
        <w:t>–</w:t>
      </w:r>
      <w:r>
        <w:rPr>
          <w:color w:val="231F20"/>
          <w:spacing w:val="-4"/>
          <w:sz w:val="18"/>
        </w:rPr>
        <w:t> </w:t>
      </w:r>
      <w:r>
        <w:rPr>
          <w:color w:val="231F20"/>
          <w:sz w:val="18"/>
        </w:rPr>
        <w:t>М.,</w:t>
      </w:r>
      <w:r>
        <w:rPr>
          <w:color w:val="231F20"/>
          <w:spacing w:val="-3"/>
          <w:sz w:val="18"/>
        </w:rPr>
        <w:t> </w:t>
      </w:r>
      <w:r>
        <w:rPr>
          <w:color w:val="231F20"/>
          <w:spacing w:val="-2"/>
          <w:sz w:val="18"/>
        </w:rPr>
        <w:t>1998.</w:t>
      </w:r>
    </w:p>
    <w:p>
      <w:pPr>
        <w:pStyle w:val="ListParagraph"/>
        <w:numPr>
          <w:ilvl w:val="1"/>
          <w:numId w:val="116"/>
        </w:numPr>
        <w:tabs>
          <w:tab w:pos="708" w:val="left" w:leader="none"/>
        </w:tabs>
        <w:spacing w:line="202" w:lineRule="exact" w:before="0" w:after="0"/>
        <w:ind w:left="708" w:right="0" w:hanging="283"/>
        <w:jc w:val="left"/>
        <w:rPr>
          <w:sz w:val="18"/>
        </w:rPr>
      </w:pPr>
      <w:r>
        <w:rPr>
          <w:color w:val="231F20"/>
          <w:sz w:val="18"/>
        </w:rPr>
        <w:t>Дьяченко</w:t>
      </w:r>
      <w:r>
        <w:rPr>
          <w:color w:val="231F20"/>
          <w:spacing w:val="-6"/>
          <w:sz w:val="18"/>
        </w:rPr>
        <w:t> </w:t>
      </w:r>
      <w:r>
        <w:rPr>
          <w:color w:val="231F20"/>
          <w:sz w:val="18"/>
        </w:rPr>
        <w:t>О.М.,</w:t>
      </w:r>
      <w:r>
        <w:rPr>
          <w:color w:val="231F20"/>
          <w:spacing w:val="-4"/>
          <w:sz w:val="18"/>
        </w:rPr>
        <w:t> </w:t>
      </w:r>
      <w:r>
        <w:rPr>
          <w:color w:val="231F20"/>
          <w:sz w:val="18"/>
        </w:rPr>
        <w:t>Веракса</w:t>
      </w:r>
      <w:r>
        <w:rPr>
          <w:color w:val="231F20"/>
          <w:spacing w:val="-4"/>
          <w:sz w:val="18"/>
        </w:rPr>
        <w:t> </w:t>
      </w:r>
      <w:r>
        <w:rPr>
          <w:color w:val="231F20"/>
          <w:sz w:val="18"/>
        </w:rPr>
        <w:t>Н.Е.</w:t>
      </w:r>
      <w:r>
        <w:rPr>
          <w:color w:val="231F20"/>
          <w:spacing w:val="-4"/>
          <w:sz w:val="18"/>
        </w:rPr>
        <w:t> </w:t>
      </w:r>
      <w:r>
        <w:rPr>
          <w:color w:val="231F20"/>
          <w:sz w:val="18"/>
        </w:rPr>
        <w:t>Чего</w:t>
      </w:r>
      <w:r>
        <w:rPr>
          <w:color w:val="231F20"/>
          <w:spacing w:val="-4"/>
          <w:sz w:val="18"/>
        </w:rPr>
        <w:t> </w:t>
      </w:r>
      <w:r>
        <w:rPr>
          <w:color w:val="231F20"/>
          <w:sz w:val="18"/>
        </w:rPr>
        <w:t>на</w:t>
      </w:r>
      <w:r>
        <w:rPr>
          <w:color w:val="231F20"/>
          <w:spacing w:val="-3"/>
          <w:sz w:val="18"/>
        </w:rPr>
        <w:t> </w:t>
      </w:r>
      <w:r>
        <w:rPr>
          <w:color w:val="231F20"/>
          <w:sz w:val="18"/>
        </w:rPr>
        <w:t>свете</w:t>
      </w:r>
      <w:r>
        <w:rPr>
          <w:color w:val="231F20"/>
          <w:spacing w:val="-4"/>
          <w:sz w:val="18"/>
        </w:rPr>
        <w:t> </w:t>
      </w:r>
      <w:r>
        <w:rPr>
          <w:color w:val="231F20"/>
          <w:sz w:val="18"/>
        </w:rPr>
        <w:t>не</w:t>
      </w:r>
      <w:r>
        <w:rPr>
          <w:color w:val="231F20"/>
          <w:spacing w:val="-4"/>
          <w:sz w:val="18"/>
        </w:rPr>
        <w:t> </w:t>
      </w:r>
      <w:r>
        <w:rPr>
          <w:color w:val="231F20"/>
          <w:sz w:val="18"/>
        </w:rPr>
        <w:t>бывает.</w:t>
      </w:r>
      <w:r>
        <w:rPr>
          <w:color w:val="231F20"/>
          <w:spacing w:val="-4"/>
          <w:sz w:val="18"/>
        </w:rPr>
        <w:t> </w:t>
      </w:r>
      <w:r>
        <w:rPr>
          <w:color w:val="231F20"/>
          <w:sz w:val="18"/>
        </w:rPr>
        <w:t>–</w:t>
      </w:r>
      <w:r>
        <w:rPr>
          <w:color w:val="231F20"/>
          <w:spacing w:val="-4"/>
          <w:sz w:val="18"/>
        </w:rPr>
        <w:t> </w:t>
      </w:r>
      <w:r>
        <w:rPr>
          <w:color w:val="231F20"/>
          <w:sz w:val="18"/>
        </w:rPr>
        <w:t>М.,</w:t>
      </w:r>
      <w:r>
        <w:rPr>
          <w:color w:val="231F20"/>
          <w:spacing w:val="-3"/>
          <w:sz w:val="18"/>
        </w:rPr>
        <w:t> </w:t>
      </w:r>
      <w:r>
        <w:rPr>
          <w:color w:val="231F20"/>
          <w:spacing w:val="-2"/>
          <w:sz w:val="18"/>
        </w:rPr>
        <w:t>1994.</w:t>
      </w:r>
    </w:p>
    <w:p>
      <w:pPr>
        <w:pStyle w:val="ListParagraph"/>
        <w:numPr>
          <w:ilvl w:val="1"/>
          <w:numId w:val="116"/>
        </w:numPr>
        <w:tabs>
          <w:tab w:pos="708" w:val="left" w:leader="none"/>
        </w:tabs>
        <w:spacing w:line="235" w:lineRule="auto" w:before="0" w:after="0"/>
        <w:ind w:left="708" w:right="423" w:hanging="284"/>
        <w:jc w:val="left"/>
        <w:rPr>
          <w:sz w:val="18"/>
        </w:rPr>
      </w:pPr>
      <w:r>
        <w:rPr>
          <w:color w:val="231F20"/>
          <w:sz w:val="18"/>
        </w:rPr>
        <w:t>Калманович</w:t>
      </w:r>
      <w:r>
        <w:rPr>
          <w:color w:val="231F20"/>
          <w:spacing w:val="22"/>
          <w:sz w:val="18"/>
        </w:rPr>
        <w:t> </w:t>
      </w:r>
      <w:r>
        <w:rPr>
          <w:color w:val="231F20"/>
          <w:sz w:val="18"/>
        </w:rPr>
        <w:t>Д.,</w:t>
      </w:r>
      <w:r>
        <w:rPr>
          <w:color w:val="231F20"/>
          <w:spacing w:val="22"/>
          <w:sz w:val="18"/>
        </w:rPr>
        <w:t> </w:t>
      </w:r>
      <w:r>
        <w:rPr>
          <w:color w:val="231F20"/>
          <w:sz w:val="18"/>
        </w:rPr>
        <w:t>Ллойд</w:t>
      </w:r>
      <w:r>
        <w:rPr>
          <w:color w:val="231F20"/>
          <w:spacing w:val="22"/>
          <w:sz w:val="18"/>
        </w:rPr>
        <w:t> </w:t>
      </w:r>
      <w:r>
        <w:rPr>
          <w:color w:val="231F20"/>
          <w:sz w:val="18"/>
        </w:rPr>
        <w:t>Б.</w:t>
      </w:r>
      <w:r>
        <w:rPr>
          <w:color w:val="231F20"/>
          <w:spacing w:val="22"/>
          <w:sz w:val="18"/>
        </w:rPr>
        <w:t> </w:t>
      </w:r>
      <w:r>
        <w:rPr>
          <w:color w:val="231F20"/>
          <w:sz w:val="18"/>
        </w:rPr>
        <w:t>Портативная</w:t>
      </w:r>
      <w:r>
        <w:rPr>
          <w:color w:val="231F20"/>
          <w:spacing w:val="22"/>
          <w:sz w:val="18"/>
        </w:rPr>
        <w:t> </w:t>
      </w:r>
      <w:r>
        <w:rPr>
          <w:color w:val="231F20"/>
          <w:sz w:val="18"/>
        </w:rPr>
        <w:t>студия:</w:t>
      </w:r>
      <w:r>
        <w:rPr>
          <w:color w:val="231F20"/>
          <w:spacing w:val="22"/>
          <w:sz w:val="18"/>
        </w:rPr>
        <w:t> </w:t>
      </w:r>
      <w:r>
        <w:rPr>
          <w:color w:val="231F20"/>
          <w:sz w:val="18"/>
        </w:rPr>
        <w:t>арт-терапия</w:t>
      </w:r>
      <w:r>
        <w:rPr>
          <w:color w:val="231F20"/>
          <w:spacing w:val="22"/>
          <w:sz w:val="18"/>
        </w:rPr>
        <w:t> </w:t>
      </w:r>
      <w:r>
        <w:rPr>
          <w:color w:val="231F20"/>
          <w:sz w:val="18"/>
        </w:rPr>
        <w:t>и</w:t>
      </w:r>
      <w:r>
        <w:rPr>
          <w:color w:val="231F20"/>
          <w:spacing w:val="22"/>
          <w:sz w:val="18"/>
        </w:rPr>
        <w:t> </w:t>
      </w:r>
      <w:r>
        <w:rPr>
          <w:color w:val="231F20"/>
          <w:sz w:val="18"/>
        </w:rPr>
        <w:t>политический</w:t>
      </w:r>
      <w:r>
        <w:rPr>
          <w:color w:val="231F20"/>
          <w:spacing w:val="22"/>
          <w:sz w:val="18"/>
        </w:rPr>
        <w:t> </w:t>
      </w:r>
      <w:r>
        <w:rPr>
          <w:color w:val="231F20"/>
          <w:sz w:val="18"/>
        </w:rPr>
        <w:t>кон- фликт // Практикум по арт-терапии. – СП6., 2000.</w:t>
      </w:r>
    </w:p>
    <w:p>
      <w:pPr>
        <w:pStyle w:val="ListParagraph"/>
        <w:numPr>
          <w:ilvl w:val="1"/>
          <w:numId w:val="116"/>
        </w:numPr>
        <w:tabs>
          <w:tab w:pos="708" w:val="left" w:leader="none"/>
        </w:tabs>
        <w:spacing w:line="199" w:lineRule="exact" w:before="0" w:after="0"/>
        <w:ind w:left="708" w:right="0" w:hanging="283"/>
        <w:jc w:val="left"/>
        <w:rPr>
          <w:sz w:val="18"/>
        </w:rPr>
      </w:pPr>
      <w:r>
        <w:rPr>
          <w:color w:val="231F20"/>
          <w:sz w:val="18"/>
        </w:rPr>
        <w:t>Кандинский</w:t>
      </w:r>
      <w:r>
        <w:rPr>
          <w:color w:val="231F20"/>
          <w:spacing w:val="-5"/>
          <w:sz w:val="18"/>
        </w:rPr>
        <w:t> </w:t>
      </w:r>
      <w:r>
        <w:rPr>
          <w:color w:val="231F20"/>
          <w:sz w:val="18"/>
        </w:rPr>
        <w:t>В.</w:t>
      </w:r>
      <w:r>
        <w:rPr>
          <w:color w:val="231F20"/>
          <w:spacing w:val="-4"/>
          <w:sz w:val="18"/>
        </w:rPr>
        <w:t> </w:t>
      </w:r>
      <w:r>
        <w:rPr>
          <w:color w:val="231F20"/>
          <w:sz w:val="18"/>
        </w:rPr>
        <w:t>О</w:t>
      </w:r>
      <w:r>
        <w:rPr>
          <w:color w:val="231F20"/>
          <w:spacing w:val="-5"/>
          <w:sz w:val="18"/>
        </w:rPr>
        <w:t> </w:t>
      </w:r>
      <w:r>
        <w:rPr>
          <w:color w:val="231F20"/>
          <w:sz w:val="18"/>
        </w:rPr>
        <w:t>духовном</w:t>
      </w:r>
      <w:r>
        <w:rPr>
          <w:color w:val="231F20"/>
          <w:spacing w:val="-4"/>
          <w:sz w:val="18"/>
        </w:rPr>
        <w:t> </w:t>
      </w:r>
      <w:r>
        <w:rPr>
          <w:color w:val="231F20"/>
          <w:sz w:val="18"/>
        </w:rPr>
        <w:t>в</w:t>
      </w:r>
      <w:r>
        <w:rPr>
          <w:color w:val="231F20"/>
          <w:spacing w:val="-5"/>
          <w:sz w:val="18"/>
        </w:rPr>
        <w:t> </w:t>
      </w:r>
      <w:r>
        <w:rPr>
          <w:color w:val="231F20"/>
          <w:sz w:val="18"/>
        </w:rPr>
        <w:t>искусстве.</w:t>
      </w:r>
      <w:r>
        <w:rPr>
          <w:color w:val="231F20"/>
          <w:spacing w:val="-4"/>
          <w:sz w:val="18"/>
        </w:rPr>
        <w:t> </w:t>
      </w:r>
      <w:r>
        <w:rPr>
          <w:color w:val="231F20"/>
          <w:sz w:val="18"/>
        </w:rPr>
        <w:t>–</w:t>
      </w:r>
      <w:r>
        <w:rPr>
          <w:color w:val="231F20"/>
          <w:spacing w:val="-4"/>
          <w:sz w:val="18"/>
        </w:rPr>
        <w:t> </w:t>
      </w:r>
      <w:r>
        <w:rPr>
          <w:color w:val="231F20"/>
          <w:sz w:val="18"/>
        </w:rPr>
        <w:t>М.,</w:t>
      </w:r>
      <w:r>
        <w:rPr>
          <w:color w:val="231F20"/>
          <w:spacing w:val="-3"/>
          <w:sz w:val="18"/>
        </w:rPr>
        <w:t> </w:t>
      </w:r>
      <w:r>
        <w:rPr>
          <w:color w:val="231F20"/>
          <w:spacing w:val="-2"/>
          <w:sz w:val="18"/>
        </w:rPr>
        <w:t>1992.</w:t>
      </w:r>
    </w:p>
    <w:p>
      <w:pPr>
        <w:pStyle w:val="ListParagraph"/>
        <w:numPr>
          <w:ilvl w:val="1"/>
          <w:numId w:val="116"/>
        </w:numPr>
        <w:tabs>
          <w:tab w:pos="708" w:val="left" w:leader="none"/>
        </w:tabs>
        <w:spacing w:line="202" w:lineRule="exact" w:before="0" w:after="0"/>
        <w:ind w:left="708" w:right="0" w:hanging="283"/>
        <w:jc w:val="left"/>
        <w:rPr>
          <w:sz w:val="18"/>
        </w:rPr>
      </w:pPr>
      <w:r>
        <w:rPr>
          <w:color w:val="231F20"/>
          <w:sz w:val="18"/>
        </w:rPr>
        <w:t>Киппер</w:t>
      </w:r>
      <w:r>
        <w:rPr>
          <w:color w:val="231F20"/>
          <w:spacing w:val="-2"/>
          <w:sz w:val="18"/>
        </w:rPr>
        <w:t> </w:t>
      </w:r>
      <w:r>
        <w:rPr>
          <w:color w:val="231F20"/>
          <w:sz w:val="18"/>
        </w:rPr>
        <w:t>Д.</w:t>
      </w:r>
      <w:r>
        <w:rPr>
          <w:color w:val="231F20"/>
          <w:spacing w:val="-2"/>
          <w:sz w:val="18"/>
        </w:rPr>
        <w:t> </w:t>
      </w:r>
      <w:r>
        <w:rPr>
          <w:color w:val="231F20"/>
          <w:sz w:val="18"/>
        </w:rPr>
        <w:t>Клинические</w:t>
      </w:r>
      <w:r>
        <w:rPr>
          <w:color w:val="231F20"/>
          <w:spacing w:val="-1"/>
          <w:sz w:val="18"/>
        </w:rPr>
        <w:t> </w:t>
      </w:r>
      <w:r>
        <w:rPr>
          <w:color w:val="231F20"/>
          <w:sz w:val="18"/>
        </w:rPr>
        <w:t>ролевые</w:t>
      </w:r>
      <w:r>
        <w:rPr>
          <w:color w:val="231F20"/>
          <w:spacing w:val="-2"/>
          <w:sz w:val="18"/>
        </w:rPr>
        <w:t> </w:t>
      </w:r>
      <w:r>
        <w:rPr>
          <w:color w:val="231F20"/>
          <w:sz w:val="18"/>
        </w:rPr>
        <w:t>игры</w:t>
      </w:r>
      <w:r>
        <w:rPr>
          <w:color w:val="231F20"/>
          <w:spacing w:val="-1"/>
          <w:sz w:val="18"/>
        </w:rPr>
        <w:t> </w:t>
      </w:r>
      <w:r>
        <w:rPr>
          <w:color w:val="231F20"/>
          <w:sz w:val="18"/>
        </w:rPr>
        <w:t>и</w:t>
      </w:r>
      <w:r>
        <w:rPr>
          <w:color w:val="231F20"/>
          <w:spacing w:val="-3"/>
          <w:sz w:val="18"/>
        </w:rPr>
        <w:t> </w:t>
      </w:r>
      <w:r>
        <w:rPr>
          <w:color w:val="231F20"/>
          <w:sz w:val="18"/>
        </w:rPr>
        <w:t>психодрама.</w:t>
      </w:r>
      <w:r>
        <w:rPr>
          <w:color w:val="231F20"/>
          <w:spacing w:val="-1"/>
          <w:sz w:val="18"/>
        </w:rPr>
        <w:t> </w:t>
      </w:r>
      <w:r>
        <w:rPr>
          <w:color w:val="231F20"/>
          <w:sz w:val="18"/>
        </w:rPr>
        <w:t>–</w:t>
      </w:r>
      <w:r>
        <w:rPr>
          <w:color w:val="231F20"/>
          <w:spacing w:val="-2"/>
          <w:sz w:val="18"/>
        </w:rPr>
        <w:t> </w:t>
      </w:r>
      <w:r>
        <w:rPr>
          <w:color w:val="231F20"/>
          <w:sz w:val="18"/>
        </w:rPr>
        <w:t>М.,</w:t>
      </w:r>
      <w:r>
        <w:rPr>
          <w:color w:val="231F20"/>
          <w:spacing w:val="-1"/>
          <w:sz w:val="18"/>
        </w:rPr>
        <w:t> </w:t>
      </w:r>
      <w:r>
        <w:rPr>
          <w:color w:val="231F20"/>
          <w:spacing w:val="-4"/>
          <w:sz w:val="18"/>
        </w:rPr>
        <w:t>1993.</w:t>
      </w:r>
    </w:p>
    <w:p>
      <w:pPr>
        <w:pStyle w:val="ListParagraph"/>
        <w:numPr>
          <w:ilvl w:val="1"/>
          <w:numId w:val="116"/>
        </w:numPr>
        <w:tabs>
          <w:tab w:pos="708" w:val="left" w:leader="none"/>
        </w:tabs>
        <w:spacing w:line="235" w:lineRule="auto" w:before="0" w:after="0"/>
        <w:ind w:left="708" w:right="423" w:hanging="284"/>
        <w:jc w:val="left"/>
        <w:rPr>
          <w:sz w:val="18"/>
        </w:rPr>
      </w:pPr>
      <w:r>
        <w:rPr>
          <w:color w:val="231F20"/>
          <w:sz w:val="18"/>
        </w:rPr>
        <w:t>Лазарус А. Мысленным взором: Образы как средство психотерапии. – М.: Незави- симая фирма «Класс», 2000. – 144 с.</w:t>
      </w:r>
    </w:p>
    <w:p>
      <w:pPr>
        <w:pStyle w:val="ListParagraph"/>
        <w:numPr>
          <w:ilvl w:val="1"/>
          <w:numId w:val="116"/>
        </w:numPr>
        <w:tabs>
          <w:tab w:pos="708" w:val="left" w:leader="none"/>
        </w:tabs>
        <w:spacing w:line="202" w:lineRule="exact" w:before="0" w:after="0"/>
        <w:ind w:left="708" w:right="0" w:hanging="283"/>
        <w:jc w:val="left"/>
        <w:rPr>
          <w:sz w:val="18"/>
        </w:rPr>
      </w:pPr>
      <w:r>
        <w:rPr>
          <w:color w:val="231F20"/>
          <w:sz w:val="18"/>
        </w:rPr>
        <w:t>Лебедева</w:t>
      </w:r>
      <w:r>
        <w:rPr>
          <w:color w:val="231F20"/>
          <w:spacing w:val="-7"/>
          <w:sz w:val="18"/>
        </w:rPr>
        <w:t> </w:t>
      </w:r>
      <w:r>
        <w:rPr>
          <w:color w:val="231F20"/>
          <w:sz w:val="18"/>
        </w:rPr>
        <w:t>Н.</w:t>
      </w:r>
      <w:r>
        <w:rPr>
          <w:color w:val="231F20"/>
          <w:spacing w:val="-4"/>
          <w:sz w:val="18"/>
        </w:rPr>
        <w:t> </w:t>
      </w:r>
      <w:r>
        <w:rPr>
          <w:color w:val="231F20"/>
          <w:sz w:val="18"/>
        </w:rPr>
        <w:t>Введение</w:t>
      </w:r>
      <w:r>
        <w:rPr>
          <w:color w:val="231F20"/>
          <w:spacing w:val="-5"/>
          <w:sz w:val="18"/>
        </w:rPr>
        <w:t> </w:t>
      </w:r>
      <w:r>
        <w:rPr>
          <w:color w:val="231F20"/>
          <w:sz w:val="18"/>
        </w:rPr>
        <w:t>в</w:t>
      </w:r>
      <w:r>
        <w:rPr>
          <w:color w:val="231F20"/>
          <w:spacing w:val="-5"/>
          <w:sz w:val="18"/>
        </w:rPr>
        <w:t> </w:t>
      </w:r>
      <w:r>
        <w:rPr>
          <w:color w:val="231F20"/>
          <w:sz w:val="18"/>
        </w:rPr>
        <w:t>этническую</w:t>
      </w:r>
      <w:r>
        <w:rPr>
          <w:color w:val="231F20"/>
          <w:spacing w:val="-5"/>
          <w:sz w:val="18"/>
        </w:rPr>
        <w:t> </w:t>
      </w:r>
      <w:r>
        <w:rPr>
          <w:color w:val="231F20"/>
          <w:sz w:val="18"/>
        </w:rPr>
        <w:t>и</w:t>
      </w:r>
      <w:r>
        <w:rPr>
          <w:color w:val="231F20"/>
          <w:spacing w:val="-5"/>
          <w:sz w:val="18"/>
        </w:rPr>
        <w:t> </w:t>
      </w:r>
      <w:r>
        <w:rPr>
          <w:color w:val="231F20"/>
          <w:sz w:val="18"/>
        </w:rPr>
        <w:t>кросскульryрную</w:t>
      </w:r>
      <w:r>
        <w:rPr>
          <w:color w:val="231F20"/>
          <w:spacing w:val="-5"/>
          <w:sz w:val="18"/>
        </w:rPr>
        <w:t> </w:t>
      </w:r>
      <w:r>
        <w:rPr>
          <w:color w:val="231F20"/>
          <w:sz w:val="18"/>
        </w:rPr>
        <w:t>психологию.</w:t>
      </w:r>
      <w:r>
        <w:rPr>
          <w:color w:val="231F20"/>
          <w:spacing w:val="-5"/>
          <w:sz w:val="18"/>
        </w:rPr>
        <w:t> </w:t>
      </w:r>
      <w:r>
        <w:rPr>
          <w:color w:val="231F20"/>
          <w:sz w:val="18"/>
        </w:rPr>
        <w:t>–</w:t>
      </w:r>
      <w:r>
        <w:rPr>
          <w:color w:val="231F20"/>
          <w:spacing w:val="-4"/>
          <w:sz w:val="18"/>
        </w:rPr>
        <w:t> </w:t>
      </w:r>
      <w:r>
        <w:rPr>
          <w:color w:val="231F20"/>
          <w:sz w:val="18"/>
        </w:rPr>
        <w:t>М.,</w:t>
      </w:r>
      <w:r>
        <w:rPr>
          <w:color w:val="231F20"/>
          <w:spacing w:val="-4"/>
          <w:sz w:val="18"/>
        </w:rPr>
        <w:t> </w:t>
      </w:r>
      <w:r>
        <w:rPr>
          <w:color w:val="231F20"/>
          <w:spacing w:val="-2"/>
          <w:sz w:val="18"/>
        </w:rPr>
        <w:t>1999.</w:t>
      </w:r>
    </w:p>
    <w:p>
      <w:pPr>
        <w:pStyle w:val="ListParagraph"/>
        <w:spacing w:after="0" w:line="202" w:lineRule="exact"/>
        <w:jc w:val="left"/>
        <w:rPr>
          <w:sz w:val="18"/>
        </w:rPr>
        <w:sectPr>
          <w:pgSz w:w="8400" w:h="11910"/>
          <w:pgMar w:header="0" w:footer="527" w:top="400" w:bottom="740" w:left="425" w:right="425"/>
        </w:sectPr>
      </w:pPr>
    </w:p>
    <w:p>
      <w:pPr>
        <w:spacing w:before="80"/>
        <w:ind w:left="141" w:right="139" w:firstLine="0"/>
        <w:jc w:val="right"/>
        <w:rPr>
          <w:rFonts w:ascii="Georgia" w:hAnsi="Georgia"/>
          <w:sz w:val="18"/>
        </w:rPr>
      </w:pPr>
      <w:bookmarkStart w:name="_bookmark64" w:id="66"/>
      <w:bookmarkEnd w:id="66"/>
      <w:r>
        <w:rPr/>
      </w:r>
      <w:r>
        <w:rPr>
          <w:rFonts w:ascii="Georgia" w:hAnsi="Georgia"/>
          <w:color w:val="231F20"/>
          <w:spacing w:val="-2"/>
          <w:sz w:val="18"/>
        </w:rPr>
        <w:t>Раздел</w:t>
      </w:r>
      <w:r>
        <w:rPr>
          <w:rFonts w:ascii="Georgia" w:hAnsi="Georgia"/>
          <w:color w:val="231F20"/>
          <w:spacing w:val="-5"/>
          <w:sz w:val="18"/>
        </w:rPr>
        <w:t> 4.</w:t>
      </w:r>
    </w:p>
    <w:p>
      <w:pPr>
        <w:pStyle w:val="ListParagraph"/>
        <w:numPr>
          <w:ilvl w:val="1"/>
          <w:numId w:val="116"/>
        </w:numPr>
        <w:tabs>
          <w:tab w:pos="708" w:val="left" w:leader="none"/>
        </w:tabs>
        <w:spacing w:line="205" w:lineRule="exact" w:before="117" w:after="0"/>
        <w:ind w:left="708" w:right="0" w:hanging="283"/>
        <w:jc w:val="left"/>
        <w:rPr>
          <w:sz w:val="18"/>
        </w:rPr>
      </w:pPr>
      <w:r>
        <w:rPr>
          <w:color w:val="231F20"/>
          <w:sz w:val="18"/>
        </w:rPr>
        <w:t>Лейтц</w:t>
      </w:r>
      <w:r>
        <w:rPr>
          <w:color w:val="231F20"/>
          <w:spacing w:val="-7"/>
          <w:sz w:val="18"/>
        </w:rPr>
        <w:t> </w:t>
      </w:r>
      <w:r>
        <w:rPr>
          <w:color w:val="231F20"/>
          <w:sz w:val="18"/>
        </w:rPr>
        <w:t>Г.</w:t>
      </w:r>
      <w:r>
        <w:rPr>
          <w:color w:val="231F20"/>
          <w:spacing w:val="-6"/>
          <w:sz w:val="18"/>
        </w:rPr>
        <w:t> </w:t>
      </w:r>
      <w:r>
        <w:rPr>
          <w:color w:val="231F20"/>
          <w:sz w:val="18"/>
        </w:rPr>
        <w:t>Психодрама:</w:t>
      </w:r>
      <w:r>
        <w:rPr>
          <w:color w:val="231F20"/>
          <w:spacing w:val="-6"/>
          <w:sz w:val="18"/>
        </w:rPr>
        <w:t> </w:t>
      </w:r>
      <w:r>
        <w:rPr>
          <w:color w:val="231F20"/>
          <w:sz w:val="18"/>
        </w:rPr>
        <w:t>теория</w:t>
      </w:r>
      <w:r>
        <w:rPr>
          <w:color w:val="231F20"/>
          <w:spacing w:val="-6"/>
          <w:sz w:val="18"/>
        </w:rPr>
        <w:t> </w:t>
      </w:r>
      <w:r>
        <w:rPr>
          <w:color w:val="231F20"/>
          <w:sz w:val="18"/>
        </w:rPr>
        <w:t>и</w:t>
      </w:r>
      <w:r>
        <w:rPr>
          <w:color w:val="231F20"/>
          <w:spacing w:val="-7"/>
          <w:sz w:val="18"/>
        </w:rPr>
        <w:t> </w:t>
      </w:r>
      <w:r>
        <w:rPr>
          <w:color w:val="231F20"/>
          <w:sz w:val="18"/>
        </w:rPr>
        <w:t>практика.</w:t>
      </w:r>
      <w:r>
        <w:rPr>
          <w:color w:val="231F20"/>
          <w:spacing w:val="-6"/>
          <w:sz w:val="18"/>
        </w:rPr>
        <w:t> </w:t>
      </w:r>
      <w:r>
        <w:rPr>
          <w:color w:val="231F20"/>
          <w:sz w:val="18"/>
        </w:rPr>
        <w:t>–</w:t>
      </w:r>
      <w:r>
        <w:rPr>
          <w:color w:val="231F20"/>
          <w:spacing w:val="-6"/>
          <w:sz w:val="18"/>
        </w:rPr>
        <w:t> </w:t>
      </w:r>
      <w:r>
        <w:rPr>
          <w:color w:val="231F20"/>
          <w:sz w:val="18"/>
        </w:rPr>
        <w:t>М.,</w:t>
      </w:r>
      <w:r>
        <w:rPr>
          <w:color w:val="231F20"/>
          <w:spacing w:val="-5"/>
          <w:sz w:val="18"/>
        </w:rPr>
        <w:t> </w:t>
      </w:r>
      <w:r>
        <w:rPr>
          <w:color w:val="231F20"/>
          <w:spacing w:val="-2"/>
          <w:sz w:val="18"/>
        </w:rPr>
        <w:t>1994.</w:t>
      </w:r>
    </w:p>
    <w:p>
      <w:pPr>
        <w:pStyle w:val="ListParagraph"/>
        <w:numPr>
          <w:ilvl w:val="1"/>
          <w:numId w:val="116"/>
        </w:numPr>
        <w:tabs>
          <w:tab w:pos="708" w:val="left" w:leader="none"/>
        </w:tabs>
        <w:spacing w:line="205" w:lineRule="exact" w:before="0" w:after="0"/>
        <w:ind w:left="708" w:right="0" w:hanging="283"/>
        <w:jc w:val="left"/>
        <w:rPr>
          <w:sz w:val="18"/>
        </w:rPr>
      </w:pPr>
      <w:r>
        <w:rPr>
          <w:color w:val="231F20"/>
          <w:sz w:val="18"/>
        </w:rPr>
        <w:t>Макарова</w:t>
      </w:r>
      <w:r>
        <w:rPr>
          <w:color w:val="231F20"/>
          <w:spacing w:val="-6"/>
          <w:sz w:val="18"/>
        </w:rPr>
        <w:t> </w:t>
      </w:r>
      <w:r>
        <w:rPr>
          <w:color w:val="231F20"/>
          <w:sz w:val="18"/>
        </w:rPr>
        <w:t>Е.</w:t>
      </w:r>
      <w:r>
        <w:rPr>
          <w:color w:val="231F20"/>
          <w:spacing w:val="-4"/>
          <w:sz w:val="18"/>
        </w:rPr>
        <w:t> </w:t>
      </w:r>
      <w:r>
        <w:rPr>
          <w:color w:val="231F20"/>
          <w:sz w:val="18"/>
        </w:rPr>
        <w:t>Преодолеть</w:t>
      </w:r>
      <w:r>
        <w:rPr>
          <w:color w:val="231F20"/>
          <w:spacing w:val="-4"/>
          <w:sz w:val="18"/>
        </w:rPr>
        <w:t> </w:t>
      </w:r>
      <w:r>
        <w:rPr>
          <w:color w:val="231F20"/>
          <w:sz w:val="18"/>
        </w:rPr>
        <w:t>страх,</w:t>
      </w:r>
      <w:r>
        <w:rPr>
          <w:color w:val="231F20"/>
          <w:spacing w:val="-4"/>
          <w:sz w:val="18"/>
        </w:rPr>
        <w:t> </w:t>
      </w:r>
      <w:r>
        <w:rPr>
          <w:color w:val="231F20"/>
          <w:sz w:val="18"/>
        </w:rPr>
        <w:t>или</w:t>
      </w:r>
      <w:r>
        <w:rPr>
          <w:color w:val="231F20"/>
          <w:spacing w:val="-5"/>
          <w:sz w:val="18"/>
        </w:rPr>
        <w:t> </w:t>
      </w:r>
      <w:r>
        <w:rPr>
          <w:color w:val="231F20"/>
          <w:sz w:val="18"/>
        </w:rPr>
        <w:t>Искусствотерапия.</w:t>
      </w:r>
      <w:r>
        <w:rPr>
          <w:color w:val="231F20"/>
          <w:spacing w:val="-4"/>
          <w:sz w:val="18"/>
        </w:rPr>
        <w:t> </w:t>
      </w:r>
      <w:r>
        <w:rPr>
          <w:color w:val="231F20"/>
          <w:sz w:val="18"/>
        </w:rPr>
        <w:t>–</w:t>
      </w:r>
      <w:r>
        <w:rPr>
          <w:color w:val="231F20"/>
          <w:spacing w:val="-4"/>
          <w:sz w:val="18"/>
        </w:rPr>
        <w:t> </w:t>
      </w:r>
      <w:r>
        <w:rPr>
          <w:color w:val="231F20"/>
          <w:sz w:val="18"/>
        </w:rPr>
        <w:t>М.,</w:t>
      </w:r>
      <w:r>
        <w:rPr>
          <w:color w:val="231F20"/>
          <w:spacing w:val="-3"/>
          <w:sz w:val="18"/>
        </w:rPr>
        <w:t> </w:t>
      </w:r>
      <w:r>
        <w:rPr>
          <w:color w:val="231F20"/>
          <w:spacing w:val="-4"/>
          <w:sz w:val="18"/>
        </w:rPr>
        <w:t>1996.</w:t>
      </w:r>
    </w:p>
    <w:p>
      <w:pPr>
        <w:pStyle w:val="ListParagraph"/>
        <w:numPr>
          <w:ilvl w:val="1"/>
          <w:numId w:val="116"/>
        </w:numPr>
        <w:tabs>
          <w:tab w:pos="708" w:val="left" w:leader="none"/>
        </w:tabs>
        <w:spacing w:line="235" w:lineRule="auto" w:before="0" w:after="0"/>
        <w:ind w:left="708" w:right="423" w:hanging="284"/>
        <w:jc w:val="left"/>
        <w:rPr>
          <w:sz w:val="18"/>
        </w:rPr>
      </w:pPr>
      <w:r>
        <w:rPr>
          <w:color w:val="231F20"/>
          <w:sz w:val="18"/>
        </w:rPr>
        <w:t>Мауро М. Использование арт-терапии в формировании идентичности подростка // Практикум по арт-терапии. – СПб., 2000.</w:t>
      </w:r>
    </w:p>
    <w:p>
      <w:pPr>
        <w:pStyle w:val="ListParagraph"/>
        <w:numPr>
          <w:ilvl w:val="1"/>
          <w:numId w:val="116"/>
        </w:numPr>
        <w:tabs>
          <w:tab w:pos="708" w:val="left" w:leader="none"/>
        </w:tabs>
        <w:spacing w:line="202" w:lineRule="exact" w:before="0" w:after="0"/>
        <w:ind w:left="708" w:right="0" w:hanging="283"/>
        <w:jc w:val="left"/>
        <w:rPr>
          <w:sz w:val="18"/>
        </w:rPr>
      </w:pPr>
      <w:r>
        <w:rPr>
          <w:color w:val="231F20"/>
          <w:sz w:val="18"/>
        </w:rPr>
        <w:t>Морено</w:t>
      </w:r>
      <w:r>
        <w:rPr>
          <w:color w:val="231F20"/>
          <w:spacing w:val="-2"/>
          <w:sz w:val="18"/>
        </w:rPr>
        <w:t> </w:t>
      </w:r>
      <w:r>
        <w:rPr>
          <w:color w:val="231F20"/>
          <w:sz w:val="18"/>
        </w:rPr>
        <w:t>Дж.</w:t>
      </w:r>
      <w:r>
        <w:rPr>
          <w:color w:val="231F20"/>
          <w:spacing w:val="-2"/>
          <w:sz w:val="18"/>
        </w:rPr>
        <w:t> </w:t>
      </w:r>
      <w:r>
        <w:rPr>
          <w:color w:val="231F20"/>
          <w:sz w:val="18"/>
        </w:rPr>
        <w:t>Театр</w:t>
      </w:r>
      <w:r>
        <w:rPr>
          <w:color w:val="231F20"/>
          <w:spacing w:val="-2"/>
          <w:sz w:val="18"/>
        </w:rPr>
        <w:t> </w:t>
      </w:r>
      <w:r>
        <w:rPr>
          <w:color w:val="231F20"/>
          <w:sz w:val="18"/>
        </w:rPr>
        <w:t>спонтанности.</w:t>
      </w:r>
      <w:r>
        <w:rPr>
          <w:color w:val="231F20"/>
          <w:spacing w:val="-2"/>
          <w:sz w:val="18"/>
        </w:rPr>
        <w:t> </w:t>
      </w:r>
      <w:r>
        <w:rPr>
          <w:color w:val="231F20"/>
          <w:sz w:val="18"/>
        </w:rPr>
        <w:t>–</w:t>
      </w:r>
      <w:r>
        <w:rPr>
          <w:color w:val="231F20"/>
          <w:spacing w:val="-2"/>
          <w:sz w:val="18"/>
        </w:rPr>
        <w:t> </w:t>
      </w:r>
      <w:r>
        <w:rPr>
          <w:color w:val="231F20"/>
          <w:sz w:val="18"/>
        </w:rPr>
        <w:t>Красноярск,</w:t>
      </w:r>
      <w:r>
        <w:rPr>
          <w:color w:val="231F20"/>
          <w:spacing w:val="-1"/>
          <w:sz w:val="18"/>
        </w:rPr>
        <w:t> </w:t>
      </w:r>
      <w:r>
        <w:rPr>
          <w:color w:val="231F20"/>
          <w:spacing w:val="-2"/>
          <w:sz w:val="18"/>
        </w:rPr>
        <w:t>1993.</w:t>
      </w:r>
    </w:p>
    <w:p>
      <w:pPr>
        <w:pStyle w:val="ListParagraph"/>
        <w:numPr>
          <w:ilvl w:val="1"/>
          <w:numId w:val="116"/>
        </w:numPr>
        <w:tabs>
          <w:tab w:pos="708" w:val="left" w:leader="none"/>
        </w:tabs>
        <w:spacing w:line="240" w:lineRule="auto" w:before="5" w:after="0"/>
        <w:ind w:left="708" w:right="0" w:hanging="283"/>
        <w:jc w:val="left"/>
        <w:rPr>
          <w:sz w:val="18"/>
        </w:rPr>
      </w:pPr>
      <w:r>
        <w:rPr>
          <w:color w:val="231F20"/>
          <w:sz w:val="18"/>
        </w:rPr>
        <w:t>Никитин</w:t>
      </w:r>
      <w:r>
        <w:rPr>
          <w:color w:val="231F20"/>
          <w:spacing w:val="-3"/>
          <w:sz w:val="18"/>
        </w:rPr>
        <w:t> </w:t>
      </w:r>
      <w:r>
        <w:rPr>
          <w:color w:val="231F20"/>
          <w:sz w:val="18"/>
        </w:rPr>
        <w:t>В.Н.</w:t>
      </w:r>
      <w:r>
        <w:rPr>
          <w:color w:val="231F20"/>
          <w:spacing w:val="-1"/>
          <w:sz w:val="18"/>
        </w:rPr>
        <w:t> </w:t>
      </w:r>
      <w:r>
        <w:rPr>
          <w:color w:val="231F20"/>
          <w:sz w:val="18"/>
        </w:rPr>
        <w:t>Энциклопедия</w:t>
      </w:r>
      <w:r>
        <w:rPr>
          <w:color w:val="231F20"/>
          <w:spacing w:val="-2"/>
          <w:sz w:val="18"/>
        </w:rPr>
        <w:t> </w:t>
      </w:r>
      <w:r>
        <w:rPr>
          <w:color w:val="231F20"/>
          <w:sz w:val="18"/>
        </w:rPr>
        <w:t>тела.</w:t>
      </w:r>
      <w:r>
        <w:rPr>
          <w:color w:val="231F20"/>
          <w:spacing w:val="-1"/>
          <w:sz w:val="18"/>
        </w:rPr>
        <w:t> </w:t>
      </w:r>
      <w:r>
        <w:rPr>
          <w:color w:val="231F20"/>
          <w:sz w:val="18"/>
        </w:rPr>
        <w:t>–</w:t>
      </w:r>
      <w:r>
        <w:rPr>
          <w:color w:val="231F20"/>
          <w:spacing w:val="-2"/>
          <w:sz w:val="18"/>
        </w:rPr>
        <w:t> </w:t>
      </w:r>
      <w:r>
        <w:rPr>
          <w:color w:val="231F20"/>
          <w:sz w:val="18"/>
        </w:rPr>
        <w:t>М.,</w:t>
      </w:r>
      <w:r>
        <w:rPr>
          <w:color w:val="231F20"/>
          <w:spacing w:val="-1"/>
          <w:sz w:val="18"/>
        </w:rPr>
        <w:t> </w:t>
      </w:r>
      <w:r>
        <w:rPr>
          <w:color w:val="231F20"/>
          <w:spacing w:val="-2"/>
          <w:sz w:val="18"/>
        </w:rPr>
        <w:t>2000.</w:t>
      </w:r>
    </w:p>
    <w:p>
      <w:pPr>
        <w:pStyle w:val="ListParagraph"/>
        <w:numPr>
          <w:ilvl w:val="1"/>
          <w:numId w:val="116"/>
        </w:numPr>
        <w:tabs>
          <w:tab w:pos="708" w:val="left" w:leader="none"/>
        </w:tabs>
        <w:spacing w:line="244" w:lineRule="auto" w:before="5" w:after="0"/>
        <w:ind w:left="708" w:right="423" w:hanging="284"/>
        <w:jc w:val="left"/>
        <w:rPr>
          <w:sz w:val="18"/>
        </w:rPr>
      </w:pPr>
      <w:r>
        <w:rPr>
          <w:color w:val="231F20"/>
          <w:sz w:val="18"/>
        </w:rPr>
        <w:t>Никитин</w:t>
      </w:r>
      <w:r>
        <w:rPr>
          <w:color w:val="231F20"/>
          <w:spacing w:val="40"/>
          <w:sz w:val="18"/>
        </w:rPr>
        <w:t> </w:t>
      </w:r>
      <w:r>
        <w:rPr>
          <w:color w:val="231F20"/>
          <w:sz w:val="18"/>
        </w:rPr>
        <w:t>В.Н.</w:t>
      </w:r>
      <w:r>
        <w:rPr>
          <w:color w:val="231F20"/>
          <w:spacing w:val="40"/>
          <w:sz w:val="18"/>
        </w:rPr>
        <w:t> </w:t>
      </w:r>
      <w:r>
        <w:rPr>
          <w:color w:val="231F20"/>
          <w:sz w:val="18"/>
        </w:rPr>
        <w:t>Этико-культyрологические</w:t>
      </w:r>
      <w:r>
        <w:rPr>
          <w:color w:val="231F20"/>
          <w:spacing w:val="40"/>
          <w:sz w:val="18"/>
        </w:rPr>
        <w:t> </w:t>
      </w:r>
      <w:r>
        <w:rPr>
          <w:color w:val="231F20"/>
          <w:sz w:val="18"/>
        </w:rPr>
        <w:t>аспекты</w:t>
      </w:r>
      <w:r>
        <w:rPr>
          <w:color w:val="231F20"/>
          <w:spacing w:val="40"/>
          <w:sz w:val="18"/>
        </w:rPr>
        <w:t> </w:t>
      </w:r>
      <w:r>
        <w:rPr>
          <w:color w:val="231F20"/>
          <w:sz w:val="18"/>
        </w:rPr>
        <w:t>телесно-ориентированной</w:t>
      </w:r>
      <w:r>
        <w:rPr>
          <w:color w:val="231F20"/>
          <w:spacing w:val="40"/>
          <w:sz w:val="18"/>
        </w:rPr>
        <w:t> </w:t>
      </w:r>
      <w:r>
        <w:rPr>
          <w:color w:val="231F20"/>
          <w:sz w:val="18"/>
        </w:rPr>
        <w:t>и арт-психотерапии в работе с детьми и подростками. – М., 1996.</w:t>
      </w:r>
    </w:p>
    <w:p>
      <w:pPr>
        <w:pStyle w:val="ListParagraph"/>
        <w:numPr>
          <w:ilvl w:val="1"/>
          <w:numId w:val="116"/>
        </w:numPr>
        <w:tabs>
          <w:tab w:pos="708" w:val="left" w:leader="none"/>
        </w:tabs>
        <w:spacing w:line="240" w:lineRule="auto" w:before="2" w:after="0"/>
        <w:ind w:left="708" w:right="0" w:hanging="283"/>
        <w:jc w:val="left"/>
        <w:rPr>
          <w:sz w:val="18"/>
        </w:rPr>
      </w:pPr>
      <w:r>
        <w:rPr>
          <w:color w:val="231F20"/>
          <w:sz w:val="18"/>
        </w:rPr>
        <w:t>Оклендер</w:t>
      </w:r>
      <w:r>
        <w:rPr>
          <w:color w:val="231F20"/>
          <w:spacing w:val="-11"/>
          <w:sz w:val="18"/>
        </w:rPr>
        <w:t> </w:t>
      </w:r>
      <w:r>
        <w:rPr>
          <w:color w:val="231F20"/>
          <w:sz w:val="18"/>
        </w:rPr>
        <w:t>В.</w:t>
      </w:r>
      <w:r>
        <w:rPr>
          <w:color w:val="231F20"/>
          <w:spacing w:val="-9"/>
          <w:sz w:val="18"/>
        </w:rPr>
        <w:t> </w:t>
      </w:r>
      <w:r>
        <w:rPr>
          <w:color w:val="231F20"/>
          <w:sz w:val="18"/>
        </w:rPr>
        <w:t>Окна</w:t>
      </w:r>
      <w:r>
        <w:rPr>
          <w:color w:val="231F20"/>
          <w:spacing w:val="-8"/>
          <w:sz w:val="18"/>
        </w:rPr>
        <w:t> </w:t>
      </w:r>
      <w:r>
        <w:rPr>
          <w:color w:val="231F20"/>
          <w:sz w:val="18"/>
        </w:rPr>
        <w:t>в</w:t>
      </w:r>
      <w:r>
        <w:rPr>
          <w:color w:val="231F20"/>
          <w:spacing w:val="-9"/>
          <w:sz w:val="18"/>
        </w:rPr>
        <w:t> </w:t>
      </w:r>
      <w:r>
        <w:rPr>
          <w:color w:val="231F20"/>
          <w:sz w:val="18"/>
        </w:rPr>
        <w:t>мир</w:t>
      </w:r>
      <w:r>
        <w:rPr>
          <w:color w:val="231F20"/>
          <w:spacing w:val="-8"/>
          <w:sz w:val="18"/>
        </w:rPr>
        <w:t> </w:t>
      </w:r>
      <w:r>
        <w:rPr>
          <w:color w:val="231F20"/>
          <w:sz w:val="18"/>
        </w:rPr>
        <w:t>ребенка:</w:t>
      </w:r>
      <w:r>
        <w:rPr>
          <w:color w:val="231F20"/>
          <w:spacing w:val="-9"/>
          <w:sz w:val="18"/>
        </w:rPr>
        <w:t> </w:t>
      </w:r>
      <w:r>
        <w:rPr>
          <w:color w:val="231F20"/>
          <w:sz w:val="18"/>
        </w:rPr>
        <w:t>руководство</w:t>
      </w:r>
      <w:r>
        <w:rPr>
          <w:color w:val="231F20"/>
          <w:spacing w:val="-9"/>
          <w:sz w:val="18"/>
        </w:rPr>
        <w:t> </w:t>
      </w:r>
      <w:r>
        <w:rPr>
          <w:color w:val="231F20"/>
          <w:sz w:val="18"/>
        </w:rPr>
        <w:t>по</w:t>
      </w:r>
      <w:r>
        <w:rPr>
          <w:color w:val="231F20"/>
          <w:spacing w:val="-8"/>
          <w:sz w:val="18"/>
        </w:rPr>
        <w:t> </w:t>
      </w:r>
      <w:r>
        <w:rPr>
          <w:color w:val="231F20"/>
          <w:sz w:val="18"/>
        </w:rPr>
        <w:t>детской</w:t>
      </w:r>
      <w:r>
        <w:rPr>
          <w:color w:val="231F20"/>
          <w:spacing w:val="-9"/>
          <w:sz w:val="18"/>
        </w:rPr>
        <w:t> </w:t>
      </w:r>
      <w:r>
        <w:rPr>
          <w:color w:val="231F20"/>
          <w:sz w:val="18"/>
        </w:rPr>
        <w:t>психотерапии.</w:t>
      </w:r>
      <w:r>
        <w:rPr>
          <w:color w:val="231F20"/>
          <w:spacing w:val="-8"/>
          <w:sz w:val="18"/>
        </w:rPr>
        <w:t> </w:t>
      </w:r>
      <w:r>
        <w:rPr>
          <w:color w:val="231F20"/>
          <w:sz w:val="18"/>
        </w:rPr>
        <w:t>–</w:t>
      </w:r>
      <w:r>
        <w:rPr>
          <w:color w:val="231F20"/>
          <w:spacing w:val="-9"/>
          <w:sz w:val="18"/>
        </w:rPr>
        <w:t> </w:t>
      </w:r>
      <w:r>
        <w:rPr>
          <w:color w:val="231F20"/>
          <w:sz w:val="18"/>
        </w:rPr>
        <w:t>М.,</w:t>
      </w:r>
      <w:r>
        <w:rPr>
          <w:color w:val="231F20"/>
          <w:spacing w:val="-8"/>
          <w:sz w:val="18"/>
        </w:rPr>
        <w:t> </w:t>
      </w:r>
      <w:r>
        <w:rPr>
          <w:color w:val="231F20"/>
          <w:spacing w:val="-2"/>
          <w:sz w:val="18"/>
        </w:rPr>
        <w:t>1997.</w:t>
      </w:r>
    </w:p>
    <w:p>
      <w:pPr>
        <w:pStyle w:val="ListParagraph"/>
        <w:numPr>
          <w:ilvl w:val="1"/>
          <w:numId w:val="116"/>
        </w:numPr>
        <w:tabs>
          <w:tab w:pos="708" w:val="left" w:leader="none"/>
        </w:tabs>
        <w:spacing w:line="240" w:lineRule="auto" w:before="5" w:after="0"/>
        <w:ind w:left="708" w:right="0" w:hanging="283"/>
        <w:jc w:val="left"/>
        <w:rPr>
          <w:sz w:val="18"/>
        </w:rPr>
      </w:pPr>
      <w:r>
        <w:rPr>
          <w:color w:val="231F20"/>
          <w:sz w:val="18"/>
        </w:rPr>
        <w:t>Перлз</w:t>
      </w:r>
      <w:r>
        <w:rPr>
          <w:color w:val="231F20"/>
          <w:spacing w:val="-6"/>
          <w:sz w:val="18"/>
        </w:rPr>
        <w:t> </w:t>
      </w:r>
      <w:r>
        <w:rPr>
          <w:color w:val="231F20"/>
          <w:sz w:val="18"/>
        </w:rPr>
        <w:t>Ф.</w:t>
      </w:r>
      <w:r>
        <w:rPr>
          <w:color w:val="231F20"/>
          <w:spacing w:val="-5"/>
          <w:sz w:val="18"/>
        </w:rPr>
        <w:t> </w:t>
      </w:r>
      <w:r>
        <w:rPr>
          <w:color w:val="231F20"/>
          <w:sz w:val="18"/>
        </w:rPr>
        <w:t>Гештальт-подход</w:t>
      </w:r>
      <w:r>
        <w:rPr>
          <w:color w:val="231F20"/>
          <w:spacing w:val="-6"/>
          <w:sz w:val="18"/>
        </w:rPr>
        <w:t> </w:t>
      </w:r>
      <w:r>
        <w:rPr>
          <w:color w:val="231F20"/>
          <w:sz w:val="18"/>
        </w:rPr>
        <w:t>и</w:t>
      </w:r>
      <w:r>
        <w:rPr>
          <w:color w:val="231F20"/>
          <w:spacing w:val="-6"/>
          <w:sz w:val="18"/>
        </w:rPr>
        <w:t> </w:t>
      </w:r>
      <w:r>
        <w:rPr>
          <w:color w:val="231F20"/>
          <w:sz w:val="18"/>
        </w:rPr>
        <w:t>свидетель</w:t>
      </w:r>
      <w:r>
        <w:rPr>
          <w:color w:val="231F20"/>
          <w:spacing w:val="-5"/>
          <w:sz w:val="18"/>
        </w:rPr>
        <w:t> </w:t>
      </w:r>
      <w:r>
        <w:rPr>
          <w:color w:val="231F20"/>
          <w:sz w:val="18"/>
        </w:rPr>
        <w:t>терапии.</w:t>
      </w:r>
      <w:r>
        <w:rPr>
          <w:color w:val="231F20"/>
          <w:spacing w:val="-6"/>
          <w:sz w:val="18"/>
        </w:rPr>
        <w:t> </w:t>
      </w:r>
      <w:r>
        <w:rPr>
          <w:color w:val="231F20"/>
          <w:sz w:val="18"/>
        </w:rPr>
        <w:t>–</w:t>
      </w:r>
      <w:r>
        <w:rPr>
          <w:color w:val="231F20"/>
          <w:spacing w:val="-5"/>
          <w:sz w:val="18"/>
        </w:rPr>
        <w:t> </w:t>
      </w:r>
      <w:r>
        <w:rPr>
          <w:color w:val="231F20"/>
          <w:sz w:val="18"/>
        </w:rPr>
        <w:t>М.,</w:t>
      </w:r>
      <w:r>
        <w:rPr>
          <w:color w:val="231F20"/>
          <w:spacing w:val="-5"/>
          <w:sz w:val="18"/>
        </w:rPr>
        <w:t> </w:t>
      </w:r>
      <w:r>
        <w:rPr>
          <w:color w:val="231F20"/>
          <w:spacing w:val="-2"/>
          <w:sz w:val="18"/>
        </w:rPr>
        <w:t>1996.</w:t>
      </w:r>
    </w:p>
    <w:p>
      <w:pPr>
        <w:pStyle w:val="ListParagraph"/>
        <w:numPr>
          <w:ilvl w:val="1"/>
          <w:numId w:val="116"/>
        </w:numPr>
        <w:tabs>
          <w:tab w:pos="708" w:val="left" w:leader="none"/>
        </w:tabs>
        <w:spacing w:line="240" w:lineRule="auto" w:before="5" w:after="0"/>
        <w:ind w:left="708" w:right="0" w:hanging="283"/>
        <w:jc w:val="left"/>
        <w:rPr>
          <w:sz w:val="18"/>
        </w:rPr>
      </w:pPr>
      <w:r>
        <w:rPr>
          <w:color w:val="231F20"/>
          <w:sz w:val="18"/>
        </w:rPr>
        <w:t>Родари</w:t>
      </w:r>
      <w:r>
        <w:rPr>
          <w:color w:val="231F20"/>
          <w:spacing w:val="-7"/>
          <w:sz w:val="18"/>
        </w:rPr>
        <w:t> </w:t>
      </w:r>
      <w:r>
        <w:rPr>
          <w:color w:val="231F20"/>
          <w:sz w:val="18"/>
        </w:rPr>
        <w:t>Дж.</w:t>
      </w:r>
      <w:r>
        <w:rPr>
          <w:color w:val="231F20"/>
          <w:spacing w:val="-6"/>
          <w:sz w:val="18"/>
        </w:rPr>
        <w:t> </w:t>
      </w:r>
      <w:r>
        <w:rPr>
          <w:color w:val="231F20"/>
          <w:sz w:val="18"/>
        </w:rPr>
        <w:t>Грамматика</w:t>
      </w:r>
      <w:r>
        <w:rPr>
          <w:color w:val="231F20"/>
          <w:spacing w:val="-5"/>
          <w:sz w:val="18"/>
        </w:rPr>
        <w:t> </w:t>
      </w:r>
      <w:r>
        <w:rPr>
          <w:color w:val="231F20"/>
          <w:sz w:val="18"/>
        </w:rPr>
        <w:t>фантазии.</w:t>
      </w:r>
      <w:r>
        <w:rPr>
          <w:color w:val="231F20"/>
          <w:spacing w:val="-6"/>
          <w:sz w:val="18"/>
        </w:rPr>
        <w:t> </w:t>
      </w:r>
      <w:r>
        <w:rPr>
          <w:color w:val="231F20"/>
          <w:sz w:val="18"/>
        </w:rPr>
        <w:t>–</w:t>
      </w:r>
      <w:r>
        <w:rPr>
          <w:color w:val="231F20"/>
          <w:spacing w:val="-6"/>
          <w:sz w:val="18"/>
        </w:rPr>
        <w:t> </w:t>
      </w:r>
      <w:r>
        <w:rPr>
          <w:color w:val="231F20"/>
          <w:sz w:val="18"/>
        </w:rPr>
        <w:t>М.,</w:t>
      </w:r>
      <w:r>
        <w:rPr>
          <w:color w:val="231F20"/>
          <w:spacing w:val="-5"/>
          <w:sz w:val="18"/>
        </w:rPr>
        <w:t> </w:t>
      </w:r>
      <w:r>
        <w:rPr>
          <w:color w:val="231F20"/>
          <w:spacing w:val="-2"/>
          <w:sz w:val="18"/>
        </w:rPr>
        <w:t>1990.</w:t>
      </w:r>
    </w:p>
    <w:p>
      <w:pPr>
        <w:pStyle w:val="ListParagraph"/>
        <w:numPr>
          <w:ilvl w:val="1"/>
          <w:numId w:val="116"/>
        </w:numPr>
        <w:tabs>
          <w:tab w:pos="708" w:val="left" w:leader="none"/>
        </w:tabs>
        <w:spacing w:line="240" w:lineRule="auto" w:before="5" w:after="0"/>
        <w:ind w:left="708" w:right="0" w:hanging="283"/>
        <w:jc w:val="left"/>
        <w:rPr>
          <w:sz w:val="18"/>
        </w:rPr>
      </w:pPr>
      <w:r>
        <w:rPr>
          <w:color w:val="231F20"/>
          <w:sz w:val="18"/>
        </w:rPr>
        <w:t>Романенко</w:t>
      </w:r>
      <w:r>
        <w:rPr>
          <w:color w:val="231F20"/>
          <w:spacing w:val="-6"/>
          <w:sz w:val="18"/>
        </w:rPr>
        <w:t> </w:t>
      </w:r>
      <w:r>
        <w:rPr>
          <w:color w:val="231F20"/>
          <w:sz w:val="18"/>
        </w:rPr>
        <w:t>О.</w:t>
      </w:r>
      <w:r>
        <w:rPr>
          <w:color w:val="231F20"/>
          <w:spacing w:val="-5"/>
          <w:sz w:val="18"/>
        </w:rPr>
        <w:t> </w:t>
      </w:r>
      <w:r>
        <w:rPr>
          <w:color w:val="231F20"/>
          <w:sz w:val="18"/>
        </w:rPr>
        <w:t>Практическая</w:t>
      </w:r>
      <w:r>
        <w:rPr>
          <w:color w:val="231F20"/>
          <w:spacing w:val="-6"/>
          <w:sz w:val="18"/>
        </w:rPr>
        <w:t> </w:t>
      </w:r>
      <w:r>
        <w:rPr>
          <w:color w:val="231F20"/>
          <w:sz w:val="18"/>
        </w:rPr>
        <w:t>гештальттерапия.</w:t>
      </w:r>
      <w:r>
        <w:rPr>
          <w:color w:val="231F20"/>
          <w:spacing w:val="-5"/>
          <w:sz w:val="18"/>
        </w:rPr>
        <w:t> </w:t>
      </w:r>
      <w:r>
        <w:rPr>
          <w:color w:val="231F20"/>
          <w:sz w:val="18"/>
        </w:rPr>
        <w:t>–</w:t>
      </w:r>
      <w:r>
        <w:rPr>
          <w:color w:val="231F20"/>
          <w:spacing w:val="-6"/>
          <w:sz w:val="18"/>
        </w:rPr>
        <w:t> </w:t>
      </w:r>
      <w:r>
        <w:rPr>
          <w:color w:val="231F20"/>
          <w:sz w:val="18"/>
        </w:rPr>
        <w:t>М.,</w:t>
      </w:r>
      <w:r>
        <w:rPr>
          <w:color w:val="231F20"/>
          <w:spacing w:val="-5"/>
          <w:sz w:val="18"/>
        </w:rPr>
        <w:t> </w:t>
      </w:r>
      <w:r>
        <w:rPr>
          <w:color w:val="231F20"/>
          <w:spacing w:val="-2"/>
          <w:sz w:val="18"/>
        </w:rPr>
        <w:t>1996.</w:t>
      </w:r>
    </w:p>
    <w:p>
      <w:pPr>
        <w:pStyle w:val="ListParagraph"/>
        <w:numPr>
          <w:ilvl w:val="1"/>
          <w:numId w:val="116"/>
        </w:numPr>
        <w:tabs>
          <w:tab w:pos="708" w:val="left" w:leader="none"/>
        </w:tabs>
        <w:spacing w:line="240" w:lineRule="auto" w:before="5" w:after="0"/>
        <w:ind w:left="708" w:right="0" w:hanging="283"/>
        <w:jc w:val="left"/>
        <w:rPr>
          <w:sz w:val="18"/>
        </w:rPr>
      </w:pPr>
      <w:r>
        <w:rPr>
          <w:color w:val="231F20"/>
          <w:sz w:val="18"/>
        </w:rPr>
        <w:t>Фопель</w:t>
      </w:r>
      <w:r>
        <w:rPr>
          <w:color w:val="231F20"/>
          <w:spacing w:val="-4"/>
          <w:sz w:val="18"/>
        </w:rPr>
        <w:t> </w:t>
      </w:r>
      <w:r>
        <w:rPr>
          <w:color w:val="231F20"/>
          <w:sz w:val="18"/>
        </w:rPr>
        <w:t>К.</w:t>
      </w:r>
      <w:r>
        <w:rPr>
          <w:color w:val="231F20"/>
          <w:spacing w:val="-3"/>
          <w:sz w:val="18"/>
        </w:rPr>
        <w:t> </w:t>
      </w:r>
      <w:r>
        <w:rPr>
          <w:color w:val="231F20"/>
          <w:sz w:val="18"/>
        </w:rPr>
        <w:t>Как</w:t>
      </w:r>
      <w:r>
        <w:rPr>
          <w:color w:val="231F20"/>
          <w:spacing w:val="-4"/>
          <w:sz w:val="18"/>
        </w:rPr>
        <w:t> </w:t>
      </w:r>
      <w:r>
        <w:rPr>
          <w:color w:val="231F20"/>
          <w:sz w:val="18"/>
        </w:rPr>
        <w:t>научить</w:t>
      </w:r>
      <w:r>
        <w:rPr>
          <w:color w:val="231F20"/>
          <w:spacing w:val="-3"/>
          <w:sz w:val="18"/>
        </w:rPr>
        <w:t> </w:t>
      </w:r>
      <w:r>
        <w:rPr>
          <w:color w:val="231F20"/>
          <w:sz w:val="18"/>
        </w:rPr>
        <w:t>детей</w:t>
      </w:r>
      <w:r>
        <w:rPr>
          <w:color w:val="231F20"/>
          <w:spacing w:val="-5"/>
          <w:sz w:val="18"/>
        </w:rPr>
        <w:t> </w:t>
      </w:r>
      <w:r>
        <w:rPr>
          <w:color w:val="231F20"/>
          <w:sz w:val="18"/>
        </w:rPr>
        <w:t>сотрудничать.</w:t>
      </w:r>
      <w:r>
        <w:rPr>
          <w:color w:val="231F20"/>
          <w:spacing w:val="-3"/>
          <w:sz w:val="18"/>
        </w:rPr>
        <w:t> </w:t>
      </w:r>
      <w:r>
        <w:rPr>
          <w:color w:val="231F20"/>
          <w:sz w:val="18"/>
        </w:rPr>
        <w:t>–</w:t>
      </w:r>
      <w:r>
        <w:rPr>
          <w:color w:val="231F20"/>
          <w:spacing w:val="-4"/>
          <w:sz w:val="18"/>
        </w:rPr>
        <w:t> </w:t>
      </w:r>
      <w:r>
        <w:rPr>
          <w:color w:val="231F20"/>
          <w:sz w:val="18"/>
        </w:rPr>
        <w:t>М.,</w:t>
      </w:r>
      <w:r>
        <w:rPr>
          <w:color w:val="231F20"/>
          <w:spacing w:val="-3"/>
          <w:sz w:val="18"/>
        </w:rPr>
        <w:t> </w:t>
      </w:r>
      <w:r>
        <w:rPr>
          <w:color w:val="231F20"/>
          <w:sz w:val="18"/>
        </w:rPr>
        <w:t>1998.</w:t>
      </w:r>
      <w:r>
        <w:rPr>
          <w:color w:val="231F20"/>
          <w:spacing w:val="-4"/>
          <w:sz w:val="18"/>
        </w:rPr>
        <w:t> </w:t>
      </w:r>
      <w:r>
        <w:rPr>
          <w:color w:val="231F20"/>
          <w:sz w:val="18"/>
        </w:rPr>
        <w:t>–</w:t>
      </w:r>
      <w:r>
        <w:rPr>
          <w:color w:val="231F20"/>
          <w:spacing w:val="-3"/>
          <w:sz w:val="18"/>
        </w:rPr>
        <w:t> </w:t>
      </w:r>
      <w:r>
        <w:rPr>
          <w:color w:val="231F20"/>
          <w:sz w:val="18"/>
        </w:rPr>
        <w:t>Ч.</w:t>
      </w:r>
      <w:r>
        <w:rPr>
          <w:color w:val="231F20"/>
          <w:spacing w:val="-3"/>
          <w:sz w:val="18"/>
        </w:rPr>
        <w:t> </w:t>
      </w:r>
      <w:r>
        <w:rPr>
          <w:color w:val="231F20"/>
          <w:sz w:val="18"/>
        </w:rPr>
        <w:t>3-</w:t>
      </w:r>
      <w:r>
        <w:rPr>
          <w:color w:val="231F20"/>
          <w:spacing w:val="-5"/>
          <w:sz w:val="18"/>
        </w:rPr>
        <w:t>я.</w:t>
      </w:r>
    </w:p>
    <w:p>
      <w:pPr>
        <w:pStyle w:val="BodyText"/>
        <w:spacing w:before="13"/>
        <w:ind w:left="0" w:right="0" w:firstLine="0"/>
        <w:jc w:val="left"/>
        <w:rPr>
          <w:sz w:val="18"/>
        </w:rPr>
      </w:pPr>
    </w:p>
    <w:p>
      <w:pPr>
        <w:numPr>
          <w:ilvl w:val="2"/>
          <w:numId w:val="101"/>
        </w:numPr>
        <w:tabs>
          <w:tab w:pos="1309" w:val="left" w:leader="none"/>
          <w:tab w:pos="1757" w:val="left" w:leader="none"/>
        </w:tabs>
        <w:spacing w:line="247" w:lineRule="auto" w:before="0"/>
        <w:ind w:left="1309" w:right="1255" w:hanging="52"/>
        <w:jc w:val="left"/>
        <w:rPr>
          <w:b/>
          <w:sz w:val="20"/>
        </w:rPr>
      </w:pPr>
      <w:r>
        <w:rPr>
          <w:b/>
          <w:color w:val="231F20"/>
          <w:sz w:val="20"/>
        </w:rPr>
        <w:t>Социально-эмоциональное</w:t>
      </w:r>
      <w:r>
        <w:rPr>
          <w:b/>
          <w:color w:val="231F20"/>
          <w:spacing w:val="-13"/>
          <w:sz w:val="20"/>
        </w:rPr>
        <w:t> </w:t>
      </w:r>
      <w:r>
        <w:rPr>
          <w:b/>
          <w:color w:val="231F20"/>
          <w:sz w:val="20"/>
        </w:rPr>
        <w:t>развитие</w:t>
      </w:r>
      <w:r>
        <w:rPr>
          <w:b/>
          <w:color w:val="231F20"/>
          <w:spacing w:val="-12"/>
          <w:sz w:val="20"/>
        </w:rPr>
        <w:t> </w:t>
      </w:r>
      <w:r>
        <w:rPr>
          <w:b/>
          <w:color w:val="231F20"/>
          <w:sz w:val="20"/>
        </w:rPr>
        <w:t>школьников как основа социальной адаптации в начальной школе</w:t>
      </w:r>
    </w:p>
    <w:p>
      <w:pPr>
        <w:spacing w:before="112"/>
        <w:ind w:left="425" w:right="0" w:firstLine="4559"/>
        <w:jc w:val="left"/>
        <w:rPr>
          <w:i/>
          <w:sz w:val="20"/>
        </w:rPr>
      </w:pPr>
      <w:r>
        <w:rPr>
          <w:i/>
          <w:color w:val="231F20"/>
          <w:spacing w:val="-2"/>
          <w:sz w:val="20"/>
        </w:rPr>
        <w:t>М.А.</w:t>
      </w:r>
      <w:r>
        <w:rPr>
          <w:i/>
          <w:color w:val="231F20"/>
          <w:spacing w:val="23"/>
          <w:sz w:val="20"/>
        </w:rPr>
        <w:t> </w:t>
      </w:r>
      <w:r>
        <w:rPr>
          <w:i/>
          <w:color w:val="231F20"/>
          <w:spacing w:val="-2"/>
          <w:sz w:val="20"/>
        </w:rPr>
        <w:t>Крашенинникова-</w:t>
      </w:r>
      <w:r>
        <w:rPr>
          <w:i/>
          <w:color w:val="231F20"/>
          <w:spacing w:val="-4"/>
          <w:sz w:val="20"/>
        </w:rPr>
        <w:t>Хайт</w:t>
      </w:r>
    </w:p>
    <w:p>
      <w:pPr>
        <w:pStyle w:val="BodyText"/>
        <w:spacing w:line="242" w:lineRule="auto" w:before="119"/>
      </w:pPr>
      <w:r>
        <w:rPr/>
        <w:t>Учебно-методический комплекс «Школа возможностей» для младших школь- ников (далее – УМК) – это программа, направленная на развитие эмоционального интеллекта: умение понимать и принимать свои эмоции и эмоции других людей, строить</w:t>
      </w:r>
      <w:r>
        <w:rPr>
          <w:spacing w:val="-1"/>
        </w:rPr>
        <w:t> </w:t>
      </w:r>
      <w:r>
        <w:rPr/>
        <w:t>взаимоотношения</w:t>
      </w:r>
      <w:r>
        <w:rPr>
          <w:spacing w:val="-1"/>
        </w:rPr>
        <w:t> </w:t>
      </w:r>
      <w:r>
        <w:rPr/>
        <w:t>со</w:t>
      </w:r>
      <w:r>
        <w:rPr>
          <w:spacing w:val="-1"/>
        </w:rPr>
        <w:t> </w:t>
      </w:r>
      <w:r>
        <w:rPr/>
        <w:t>сверстниками</w:t>
      </w:r>
      <w:r>
        <w:rPr>
          <w:spacing w:val="-1"/>
        </w:rPr>
        <w:t> </w:t>
      </w:r>
      <w:r>
        <w:rPr/>
        <w:t>и</w:t>
      </w:r>
      <w:r>
        <w:rPr>
          <w:spacing w:val="-1"/>
        </w:rPr>
        <w:t> </w:t>
      </w:r>
      <w:r>
        <w:rPr/>
        <w:t>взрослыми,</w:t>
      </w:r>
      <w:r>
        <w:rPr>
          <w:spacing w:val="-1"/>
        </w:rPr>
        <w:t> </w:t>
      </w:r>
      <w:r>
        <w:rPr/>
        <w:t>освоение</w:t>
      </w:r>
      <w:r>
        <w:rPr>
          <w:spacing w:val="-1"/>
        </w:rPr>
        <w:t> </w:t>
      </w:r>
      <w:r>
        <w:rPr/>
        <w:t>социальной</w:t>
      </w:r>
      <w:r>
        <w:rPr>
          <w:spacing w:val="-1"/>
        </w:rPr>
        <w:t> </w:t>
      </w:r>
      <w:r>
        <w:rPr/>
        <w:t>роли школьника и овладение приемами саморегуляции.</w:t>
      </w:r>
    </w:p>
    <w:p>
      <w:pPr>
        <w:pStyle w:val="BodyText"/>
        <w:spacing w:line="242" w:lineRule="auto" w:before="3"/>
      </w:pPr>
      <w:r>
        <w:rPr/>
        <w:t>Несмотря на то что УМК не предназначен непосредственно для работы с детьми иностранных граждан, проведение занятий в поликультурном классе способно су- щественно улучшить процесс адаптации инокультурных детей, поскольку уровень социально-эмоционального развития ребенка прямо связан с его способностями принимать</w:t>
      </w:r>
      <w:r>
        <w:rPr>
          <w:spacing w:val="-6"/>
        </w:rPr>
        <w:t> </w:t>
      </w:r>
      <w:r>
        <w:rPr/>
        <w:t>других</w:t>
      </w:r>
      <w:r>
        <w:rPr>
          <w:spacing w:val="-6"/>
        </w:rPr>
        <w:t> </w:t>
      </w:r>
      <w:r>
        <w:rPr/>
        <w:t>детей,</w:t>
      </w:r>
      <w:r>
        <w:rPr>
          <w:spacing w:val="-6"/>
        </w:rPr>
        <w:t> </w:t>
      </w:r>
      <w:r>
        <w:rPr/>
        <w:t>находить</w:t>
      </w:r>
      <w:r>
        <w:rPr>
          <w:spacing w:val="-6"/>
        </w:rPr>
        <w:t> </w:t>
      </w:r>
      <w:r>
        <w:rPr/>
        <w:t>с</w:t>
      </w:r>
      <w:r>
        <w:rPr>
          <w:spacing w:val="-6"/>
        </w:rPr>
        <w:t> </w:t>
      </w:r>
      <w:r>
        <w:rPr/>
        <w:t>ними</w:t>
      </w:r>
      <w:r>
        <w:rPr>
          <w:spacing w:val="-6"/>
        </w:rPr>
        <w:t> </w:t>
      </w:r>
      <w:r>
        <w:rPr/>
        <w:t>общий</w:t>
      </w:r>
      <w:r>
        <w:rPr>
          <w:spacing w:val="-6"/>
        </w:rPr>
        <w:t> </w:t>
      </w:r>
      <w:r>
        <w:rPr/>
        <w:t>язык.</w:t>
      </w:r>
      <w:r>
        <w:rPr>
          <w:spacing w:val="-6"/>
        </w:rPr>
        <w:t> </w:t>
      </w:r>
      <w:r>
        <w:rPr/>
        <w:t>Высокий</w:t>
      </w:r>
      <w:r>
        <w:rPr>
          <w:spacing w:val="-6"/>
        </w:rPr>
        <w:t> </w:t>
      </w:r>
      <w:r>
        <w:rPr/>
        <w:t>уровень</w:t>
      </w:r>
      <w:r>
        <w:rPr>
          <w:spacing w:val="-6"/>
        </w:rPr>
        <w:t> </w:t>
      </w:r>
      <w:r>
        <w:rPr/>
        <w:t>социально- эмоционального развития учащихся является основой для построения инклюзивной образовательной среды. Особенно это важно в начальной школе – в этом возрасте проблематика межгрупповых отношений (предрассудки, ксенофобия) не стоит так остро, как у подростков, и основой принятия другого являются как раз социально- эмоциональные навыки. Таким образом, мы рекомендуем проведение УМК в клас- сах, где обучаются дети – иностранные граждане.</w:t>
      </w:r>
    </w:p>
    <w:p>
      <w:pPr>
        <w:pStyle w:val="BodyText"/>
        <w:spacing w:line="244" w:lineRule="auto" w:before="5"/>
      </w:pPr>
      <w:r>
        <w:rPr/>
        <w:t>В УМК входят теоретическое пособие, четыре подробных блока занятий для ра- боты</w:t>
      </w:r>
      <w:r>
        <w:rPr>
          <w:spacing w:val="-2"/>
        </w:rPr>
        <w:t> </w:t>
      </w:r>
      <w:r>
        <w:rPr/>
        <w:t>педагога</w:t>
      </w:r>
      <w:r>
        <w:rPr>
          <w:spacing w:val="-2"/>
        </w:rPr>
        <w:t> </w:t>
      </w:r>
      <w:r>
        <w:rPr/>
        <w:t>в</w:t>
      </w:r>
      <w:r>
        <w:rPr>
          <w:spacing w:val="-2"/>
        </w:rPr>
        <w:t> </w:t>
      </w:r>
      <w:r>
        <w:rPr/>
        <w:t>1–4-х</w:t>
      </w:r>
      <w:r>
        <w:rPr>
          <w:spacing w:val="-2"/>
        </w:rPr>
        <w:t> </w:t>
      </w:r>
      <w:r>
        <w:rPr/>
        <w:t>классах,</w:t>
      </w:r>
      <w:r>
        <w:rPr>
          <w:spacing w:val="-2"/>
        </w:rPr>
        <w:t> </w:t>
      </w:r>
      <w:r>
        <w:rPr/>
        <w:t>а</w:t>
      </w:r>
      <w:r>
        <w:rPr>
          <w:spacing w:val="-2"/>
        </w:rPr>
        <w:t> </w:t>
      </w:r>
      <w:r>
        <w:rPr/>
        <w:t>также</w:t>
      </w:r>
      <w:r>
        <w:rPr>
          <w:spacing w:val="-2"/>
        </w:rPr>
        <w:t> </w:t>
      </w:r>
      <w:r>
        <w:rPr/>
        <w:t>дополнительные</w:t>
      </w:r>
      <w:r>
        <w:rPr>
          <w:spacing w:val="-2"/>
        </w:rPr>
        <w:t> </w:t>
      </w:r>
      <w:r>
        <w:rPr/>
        <w:t>материалы:</w:t>
      </w:r>
      <w:r>
        <w:rPr>
          <w:spacing w:val="-2"/>
        </w:rPr>
        <w:t> </w:t>
      </w:r>
      <w:r>
        <w:rPr/>
        <w:t>художественная литература, онлайн-курсы для родителей, набор игровых карточек и даже веб-игра, которую</w:t>
      </w:r>
      <w:r>
        <w:rPr>
          <w:spacing w:val="-6"/>
        </w:rPr>
        <w:t> </w:t>
      </w:r>
      <w:r>
        <w:rPr/>
        <w:t>ребенок</w:t>
      </w:r>
      <w:r>
        <w:rPr>
          <w:spacing w:val="-6"/>
        </w:rPr>
        <w:t> </w:t>
      </w:r>
      <w:r>
        <w:rPr/>
        <w:t>может</w:t>
      </w:r>
      <w:r>
        <w:rPr>
          <w:spacing w:val="-6"/>
        </w:rPr>
        <w:t> </w:t>
      </w:r>
      <w:r>
        <w:rPr/>
        <w:t>пройти</w:t>
      </w:r>
      <w:r>
        <w:rPr>
          <w:spacing w:val="-6"/>
        </w:rPr>
        <w:t> </w:t>
      </w:r>
      <w:r>
        <w:rPr/>
        <w:t>самостоятельно.</w:t>
      </w:r>
      <w:r>
        <w:rPr>
          <w:spacing w:val="-6"/>
        </w:rPr>
        <w:t> </w:t>
      </w:r>
      <w:r>
        <w:rPr/>
        <w:t>Комплекс</w:t>
      </w:r>
      <w:r>
        <w:rPr>
          <w:spacing w:val="-6"/>
        </w:rPr>
        <w:t> </w:t>
      </w:r>
      <w:r>
        <w:rPr/>
        <w:t>содержит</w:t>
      </w:r>
      <w:r>
        <w:rPr>
          <w:spacing w:val="-6"/>
        </w:rPr>
        <w:t> </w:t>
      </w:r>
      <w:r>
        <w:rPr/>
        <w:t>и</w:t>
      </w:r>
      <w:r>
        <w:rPr>
          <w:spacing w:val="-6"/>
        </w:rPr>
        <w:t> </w:t>
      </w:r>
      <w:r>
        <w:rPr/>
        <w:t>другие</w:t>
      </w:r>
      <w:r>
        <w:rPr>
          <w:spacing w:val="-6"/>
        </w:rPr>
        <w:t> </w:t>
      </w:r>
      <w:r>
        <w:rPr/>
        <w:t>разде- лы: для дошкольников, младших и старших подростков, однако именно программа начальной</w:t>
      </w:r>
      <w:r>
        <w:rPr>
          <w:spacing w:val="-11"/>
        </w:rPr>
        <w:t> </w:t>
      </w:r>
      <w:r>
        <w:rPr/>
        <w:t>школы</w:t>
      </w:r>
      <w:r>
        <w:rPr>
          <w:spacing w:val="-11"/>
        </w:rPr>
        <w:t> </w:t>
      </w:r>
      <w:r>
        <w:rPr/>
        <w:t>способна</w:t>
      </w:r>
      <w:r>
        <w:rPr>
          <w:spacing w:val="-11"/>
        </w:rPr>
        <w:t> </w:t>
      </w:r>
      <w:r>
        <w:rPr/>
        <w:t>дать</w:t>
      </w:r>
      <w:r>
        <w:rPr>
          <w:spacing w:val="-11"/>
        </w:rPr>
        <w:t> </w:t>
      </w:r>
      <w:r>
        <w:rPr/>
        <w:t>дополнительный</w:t>
      </w:r>
      <w:r>
        <w:rPr>
          <w:spacing w:val="-11"/>
        </w:rPr>
        <w:t> </w:t>
      </w:r>
      <w:r>
        <w:rPr/>
        <w:t>позитивный</w:t>
      </w:r>
      <w:r>
        <w:rPr>
          <w:spacing w:val="-11"/>
        </w:rPr>
        <w:t> </w:t>
      </w:r>
      <w:r>
        <w:rPr/>
        <w:t>эффект</w:t>
      </w:r>
      <w:r>
        <w:rPr>
          <w:spacing w:val="-11"/>
        </w:rPr>
        <w:t> </w:t>
      </w:r>
      <w:r>
        <w:rPr/>
        <w:t>при</w:t>
      </w:r>
      <w:r>
        <w:rPr>
          <w:spacing w:val="-11"/>
        </w:rPr>
        <w:t> </w:t>
      </w:r>
      <w:r>
        <w:rPr/>
        <w:t>адаптации к новой культурной и социальной ситуации ребенка с миграционным опытом. Ком- плекс создан при поддержке Благотворительного фонда Сбербанка «Вклад в буду- щее» и доступен всем заинтересованным педагогам бесплатно при регистрации на портале фонда (подробнее см. в разделе «Где научиться»).</w:t>
      </w:r>
    </w:p>
    <w:p>
      <w:pPr>
        <w:pStyle w:val="BodyText"/>
        <w:spacing w:line="218" w:lineRule="exact"/>
        <w:ind w:left="425" w:right="0" w:firstLine="0"/>
      </w:pPr>
      <w:r>
        <w:rPr/>
        <w:t>В</w:t>
      </w:r>
      <w:r>
        <w:rPr>
          <w:spacing w:val="-4"/>
        </w:rPr>
        <w:t> </w:t>
      </w:r>
      <w:r>
        <w:rPr/>
        <w:t>основе</w:t>
      </w:r>
      <w:r>
        <w:rPr>
          <w:spacing w:val="-1"/>
        </w:rPr>
        <w:t> </w:t>
      </w:r>
      <w:r>
        <w:rPr/>
        <w:t>программы</w:t>
      </w:r>
      <w:r>
        <w:rPr>
          <w:spacing w:val="-1"/>
        </w:rPr>
        <w:t> </w:t>
      </w:r>
      <w:r>
        <w:rPr/>
        <w:t>лежат</w:t>
      </w:r>
      <w:r>
        <w:rPr>
          <w:spacing w:val="-1"/>
        </w:rPr>
        <w:t> </w:t>
      </w:r>
      <w:r>
        <w:rPr/>
        <w:t>три</w:t>
      </w:r>
      <w:r>
        <w:rPr>
          <w:spacing w:val="-2"/>
        </w:rPr>
        <w:t> принципа:</w:t>
      </w:r>
    </w:p>
    <w:p>
      <w:pPr>
        <w:pStyle w:val="BodyText"/>
        <w:spacing w:after="0" w:line="218" w:lineRule="exact"/>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z w:val="18"/>
        </w:rPr>
        <w:t>4.2.</w:t>
      </w:r>
      <w:r>
        <w:rPr>
          <w:rFonts w:ascii="Georgia" w:hAnsi="Georgia"/>
          <w:color w:val="231F20"/>
          <w:spacing w:val="-6"/>
          <w:sz w:val="18"/>
        </w:rPr>
        <w:t> </w:t>
      </w:r>
      <w:r>
        <w:rPr>
          <w:rFonts w:ascii="Georgia" w:hAnsi="Georgia"/>
          <w:color w:val="231F20"/>
          <w:sz w:val="18"/>
        </w:rPr>
        <w:t>Работа</w:t>
      </w:r>
      <w:r>
        <w:rPr>
          <w:rFonts w:ascii="Georgia" w:hAnsi="Georgia"/>
          <w:color w:val="231F20"/>
          <w:spacing w:val="-5"/>
          <w:sz w:val="18"/>
        </w:rPr>
        <w:t> </w:t>
      </w:r>
      <w:r>
        <w:rPr>
          <w:rFonts w:ascii="Georgia" w:hAnsi="Georgia"/>
          <w:color w:val="231F20"/>
          <w:sz w:val="18"/>
        </w:rPr>
        <w:t>педагога-психолога</w:t>
      </w:r>
      <w:r>
        <w:rPr>
          <w:rFonts w:ascii="Georgia" w:hAnsi="Georgia"/>
          <w:color w:val="231F20"/>
          <w:spacing w:val="-5"/>
          <w:sz w:val="18"/>
        </w:rPr>
        <w:t> </w:t>
      </w:r>
      <w:r>
        <w:rPr>
          <w:rFonts w:ascii="Georgia" w:hAnsi="Georgia"/>
          <w:color w:val="231F20"/>
          <w:sz w:val="18"/>
        </w:rPr>
        <w:t>в</w:t>
      </w:r>
      <w:r>
        <w:rPr>
          <w:rFonts w:ascii="Georgia" w:hAnsi="Georgia"/>
          <w:color w:val="231F20"/>
          <w:spacing w:val="-5"/>
          <w:sz w:val="18"/>
        </w:rPr>
        <w:t> </w:t>
      </w:r>
      <w:r>
        <w:rPr>
          <w:rFonts w:ascii="Georgia" w:hAnsi="Georgia"/>
          <w:color w:val="231F20"/>
          <w:sz w:val="18"/>
        </w:rPr>
        <w:t>области</w:t>
      </w:r>
      <w:r>
        <w:rPr>
          <w:rFonts w:ascii="Georgia" w:hAnsi="Georgia"/>
          <w:color w:val="231F20"/>
          <w:spacing w:val="-6"/>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детей</w:t>
      </w:r>
      <w:r>
        <w:rPr>
          <w:rFonts w:ascii="Georgia" w:hAnsi="Georgia"/>
          <w:color w:val="231F20"/>
          <w:spacing w:val="-5"/>
          <w:sz w:val="18"/>
        </w:rPr>
        <w:t> </w:t>
      </w:r>
      <w:r>
        <w:rPr>
          <w:rFonts w:ascii="Georgia" w:hAnsi="Georgia"/>
          <w:color w:val="231F20"/>
          <w:sz w:val="18"/>
        </w:rPr>
        <w:t>...</w:t>
      </w:r>
      <w:r>
        <w:rPr>
          <w:rFonts w:ascii="Georgia" w:hAnsi="Georgia"/>
          <w:color w:val="231F20"/>
          <w:spacing w:val="-5"/>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ListParagraph"/>
        <w:numPr>
          <w:ilvl w:val="0"/>
          <w:numId w:val="119"/>
        </w:numPr>
        <w:tabs>
          <w:tab w:pos="425" w:val="left" w:leader="none"/>
        </w:tabs>
        <w:spacing w:line="242" w:lineRule="auto" w:before="112" w:after="0"/>
        <w:ind w:left="425" w:right="139" w:hanging="284"/>
        <w:jc w:val="both"/>
        <w:rPr>
          <w:sz w:val="20"/>
        </w:rPr>
      </w:pPr>
      <w:r>
        <w:rPr>
          <w:sz w:val="20"/>
        </w:rPr>
        <w:t>единство аффекта и интеллекта: эмоциональное и рациональное неразрывны, поэтому психическое развитие ребенка, становление его личности, социальная успешность и психологическое благополучие достигаются не только за счет ин- теллектуального развития, но и за счет развития эмоциональной грамотности;</w:t>
      </w:r>
    </w:p>
    <w:p>
      <w:pPr>
        <w:pStyle w:val="ListParagraph"/>
        <w:numPr>
          <w:ilvl w:val="0"/>
          <w:numId w:val="119"/>
        </w:numPr>
        <w:tabs>
          <w:tab w:pos="425" w:val="left" w:leader="none"/>
        </w:tabs>
        <w:spacing w:line="232" w:lineRule="auto" w:before="0" w:after="0"/>
        <w:ind w:left="425" w:right="139" w:hanging="284"/>
        <w:jc w:val="both"/>
        <w:rPr>
          <w:sz w:val="20"/>
        </w:rPr>
      </w:pPr>
      <w:r>
        <w:rPr>
          <w:spacing w:val="-2"/>
          <w:sz w:val="20"/>
        </w:rPr>
        <w:t>возрастная</w:t>
      </w:r>
      <w:r>
        <w:rPr>
          <w:spacing w:val="-11"/>
          <w:sz w:val="20"/>
        </w:rPr>
        <w:t> </w:t>
      </w:r>
      <w:r>
        <w:rPr>
          <w:spacing w:val="-2"/>
          <w:sz w:val="20"/>
        </w:rPr>
        <w:t>опосредованность:</w:t>
      </w:r>
      <w:r>
        <w:rPr>
          <w:spacing w:val="-10"/>
          <w:sz w:val="20"/>
        </w:rPr>
        <w:t> </w:t>
      </w:r>
      <w:r>
        <w:rPr>
          <w:spacing w:val="-2"/>
          <w:sz w:val="20"/>
        </w:rPr>
        <w:t>каждому</w:t>
      </w:r>
      <w:r>
        <w:rPr>
          <w:spacing w:val="-11"/>
          <w:sz w:val="20"/>
        </w:rPr>
        <w:t> </w:t>
      </w:r>
      <w:r>
        <w:rPr>
          <w:spacing w:val="-2"/>
          <w:sz w:val="20"/>
        </w:rPr>
        <w:t>возрасту</w:t>
      </w:r>
      <w:r>
        <w:rPr>
          <w:spacing w:val="-10"/>
          <w:sz w:val="20"/>
        </w:rPr>
        <w:t> </w:t>
      </w:r>
      <w:r>
        <w:rPr>
          <w:spacing w:val="-2"/>
          <w:sz w:val="20"/>
        </w:rPr>
        <w:t>соответствуют</w:t>
      </w:r>
      <w:r>
        <w:rPr>
          <w:spacing w:val="-11"/>
          <w:sz w:val="20"/>
        </w:rPr>
        <w:t> </w:t>
      </w:r>
      <w:r>
        <w:rPr>
          <w:spacing w:val="-2"/>
          <w:sz w:val="20"/>
        </w:rPr>
        <w:t>определенные</w:t>
      </w:r>
      <w:r>
        <w:rPr>
          <w:spacing w:val="-10"/>
          <w:sz w:val="20"/>
        </w:rPr>
        <w:t> </w:t>
      </w:r>
      <w:r>
        <w:rPr>
          <w:spacing w:val="-2"/>
          <w:sz w:val="20"/>
        </w:rPr>
        <w:t>пси- хические</w:t>
      </w:r>
      <w:r>
        <w:rPr>
          <w:spacing w:val="-13"/>
          <w:sz w:val="20"/>
        </w:rPr>
        <w:t> </w:t>
      </w:r>
      <w:r>
        <w:rPr>
          <w:spacing w:val="-2"/>
          <w:sz w:val="20"/>
        </w:rPr>
        <w:t>процессы,</w:t>
      </w:r>
      <w:r>
        <w:rPr>
          <w:spacing w:val="-10"/>
          <w:sz w:val="20"/>
        </w:rPr>
        <w:t> </w:t>
      </w:r>
      <w:r>
        <w:rPr>
          <w:spacing w:val="-2"/>
          <w:sz w:val="20"/>
        </w:rPr>
        <w:t>и</w:t>
      </w:r>
      <w:r>
        <w:rPr>
          <w:spacing w:val="-11"/>
          <w:sz w:val="20"/>
        </w:rPr>
        <w:t> </w:t>
      </w:r>
      <w:r>
        <w:rPr>
          <w:spacing w:val="-2"/>
          <w:sz w:val="20"/>
        </w:rPr>
        <w:t>их</w:t>
      </w:r>
      <w:r>
        <w:rPr>
          <w:spacing w:val="-10"/>
          <w:sz w:val="20"/>
        </w:rPr>
        <w:t> </w:t>
      </w:r>
      <w:r>
        <w:rPr>
          <w:spacing w:val="-2"/>
          <w:sz w:val="20"/>
        </w:rPr>
        <w:t>понимание</w:t>
      </w:r>
      <w:r>
        <w:rPr>
          <w:spacing w:val="-11"/>
          <w:sz w:val="20"/>
        </w:rPr>
        <w:t> </w:t>
      </w:r>
      <w:r>
        <w:rPr>
          <w:spacing w:val="-2"/>
          <w:sz w:val="20"/>
        </w:rPr>
        <w:t>позволяет</w:t>
      </w:r>
      <w:r>
        <w:rPr>
          <w:spacing w:val="-10"/>
          <w:sz w:val="20"/>
        </w:rPr>
        <w:t> </w:t>
      </w:r>
      <w:r>
        <w:rPr>
          <w:spacing w:val="-2"/>
          <w:sz w:val="20"/>
        </w:rPr>
        <w:t>последовательно</w:t>
      </w:r>
      <w:r>
        <w:rPr>
          <w:spacing w:val="-11"/>
          <w:sz w:val="20"/>
        </w:rPr>
        <w:t> </w:t>
      </w:r>
      <w:r>
        <w:rPr>
          <w:spacing w:val="-2"/>
          <w:sz w:val="20"/>
        </w:rPr>
        <w:t>актуализировать</w:t>
      </w:r>
      <w:r>
        <w:rPr>
          <w:spacing w:val="-10"/>
          <w:sz w:val="20"/>
        </w:rPr>
        <w:t> </w:t>
      </w:r>
      <w:r>
        <w:rPr>
          <w:spacing w:val="-2"/>
          <w:sz w:val="20"/>
        </w:rPr>
        <w:t>те </w:t>
      </w:r>
      <w:r>
        <w:rPr>
          <w:sz w:val="20"/>
        </w:rPr>
        <w:t>механизмы,</w:t>
      </w:r>
      <w:r>
        <w:rPr>
          <w:spacing w:val="-6"/>
          <w:sz w:val="20"/>
        </w:rPr>
        <w:t> </w:t>
      </w:r>
      <w:r>
        <w:rPr>
          <w:sz w:val="20"/>
        </w:rPr>
        <w:t>которые</w:t>
      </w:r>
      <w:r>
        <w:rPr>
          <w:spacing w:val="-6"/>
          <w:sz w:val="20"/>
        </w:rPr>
        <w:t> </w:t>
      </w:r>
      <w:r>
        <w:rPr>
          <w:sz w:val="20"/>
        </w:rPr>
        <w:t>соответствуют</w:t>
      </w:r>
      <w:r>
        <w:rPr>
          <w:spacing w:val="-6"/>
          <w:sz w:val="20"/>
        </w:rPr>
        <w:t> </w:t>
      </w:r>
      <w:r>
        <w:rPr>
          <w:sz w:val="20"/>
        </w:rPr>
        <w:t>текущему</w:t>
      </w:r>
      <w:r>
        <w:rPr>
          <w:spacing w:val="-6"/>
          <w:sz w:val="20"/>
        </w:rPr>
        <w:t> </w:t>
      </w:r>
      <w:r>
        <w:rPr>
          <w:sz w:val="20"/>
        </w:rPr>
        <w:t>и</w:t>
      </w:r>
      <w:r>
        <w:rPr>
          <w:spacing w:val="-7"/>
          <w:sz w:val="20"/>
        </w:rPr>
        <w:t> </w:t>
      </w:r>
      <w:r>
        <w:rPr>
          <w:sz w:val="20"/>
        </w:rPr>
        <w:t>ближайшему</w:t>
      </w:r>
      <w:r>
        <w:rPr>
          <w:spacing w:val="-6"/>
          <w:sz w:val="20"/>
        </w:rPr>
        <w:t> </w:t>
      </w:r>
      <w:r>
        <w:rPr>
          <w:sz w:val="20"/>
        </w:rPr>
        <w:t>развитию</w:t>
      </w:r>
      <w:r>
        <w:rPr>
          <w:spacing w:val="-7"/>
          <w:sz w:val="20"/>
        </w:rPr>
        <w:t> </w:t>
      </w:r>
      <w:r>
        <w:rPr>
          <w:sz w:val="20"/>
        </w:rPr>
        <w:t>ребенка;</w:t>
      </w:r>
    </w:p>
    <w:p>
      <w:pPr>
        <w:pStyle w:val="ListParagraph"/>
        <w:numPr>
          <w:ilvl w:val="0"/>
          <w:numId w:val="119"/>
        </w:numPr>
        <w:tabs>
          <w:tab w:pos="424" w:val="left" w:leader="none"/>
        </w:tabs>
        <w:spacing w:line="235" w:lineRule="auto" w:before="0" w:after="0"/>
        <w:ind w:left="141" w:right="139" w:firstLine="0"/>
        <w:jc w:val="right"/>
        <w:rPr>
          <w:sz w:val="20"/>
        </w:rPr>
      </w:pPr>
      <w:r>
        <w:rPr>
          <w:spacing w:val="-2"/>
          <w:sz w:val="20"/>
        </w:rPr>
        <w:t>междисциплинарность:</w:t>
      </w:r>
      <w:r>
        <w:rPr>
          <w:spacing w:val="-5"/>
          <w:sz w:val="20"/>
        </w:rPr>
        <w:t> </w:t>
      </w:r>
      <w:r>
        <w:rPr>
          <w:spacing w:val="-2"/>
          <w:sz w:val="20"/>
        </w:rPr>
        <w:t>школа</w:t>
      </w:r>
      <w:r>
        <w:rPr>
          <w:spacing w:val="-5"/>
          <w:sz w:val="20"/>
        </w:rPr>
        <w:t> </w:t>
      </w:r>
      <w:r>
        <w:rPr>
          <w:spacing w:val="-2"/>
          <w:sz w:val="20"/>
        </w:rPr>
        <w:t>и</w:t>
      </w:r>
      <w:r>
        <w:rPr>
          <w:spacing w:val="-5"/>
          <w:sz w:val="20"/>
        </w:rPr>
        <w:t> </w:t>
      </w:r>
      <w:r>
        <w:rPr>
          <w:spacing w:val="-2"/>
          <w:sz w:val="20"/>
        </w:rPr>
        <w:t>семья</w:t>
      </w:r>
      <w:r>
        <w:rPr>
          <w:spacing w:val="-5"/>
          <w:sz w:val="20"/>
        </w:rPr>
        <w:t> </w:t>
      </w:r>
      <w:r>
        <w:rPr>
          <w:spacing w:val="-2"/>
          <w:sz w:val="20"/>
        </w:rPr>
        <w:t>сотрудничают,</w:t>
      </w:r>
      <w:r>
        <w:rPr>
          <w:spacing w:val="-5"/>
          <w:sz w:val="20"/>
        </w:rPr>
        <w:t> </w:t>
      </w:r>
      <w:r>
        <w:rPr>
          <w:spacing w:val="-2"/>
          <w:sz w:val="20"/>
        </w:rPr>
        <w:t>чтобы</w:t>
      </w:r>
      <w:r>
        <w:rPr>
          <w:spacing w:val="-5"/>
          <w:sz w:val="20"/>
        </w:rPr>
        <w:t> </w:t>
      </w:r>
      <w:r>
        <w:rPr>
          <w:spacing w:val="-2"/>
          <w:sz w:val="20"/>
        </w:rPr>
        <w:t>личность</w:t>
      </w:r>
      <w:r>
        <w:rPr>
          <w:spacing w:val="-5"/>
          <w:sz w:val="20"/>
        </w:rPr>
        <w:t> </w:t>
      </w:r>
      <w:r>
        <w:rPr>
          <w:spacing w:val="-2"/>
          <w:sz w:val="20"/>
        </w:rPr>
        <w:t>ребенка</w:t>
      </w:r>
      <w:r>
        <w:rPr>
          <w:spacing w:val="-5"/>
          <w:sz w:val="20"/>
        </w:rPr>
        <w:t> </w:t>
      </w:r>
      <w:r>
        <w:rPr>
          <w:spacing w:val="-2"/>
          <w:sz w:val="20"/>
        </w:rPr>
        <w:t>раз- </w:t>
      </w:r>
      <w:r>
        <w:rPr>
          <w:sz w:val="20"/>
        </w:rPr>
        <w:t>вивалась</w:t>
      </w:r>
      <w:r>
        <w:rPr>
          <w:spacing w:val="-4"/>
          <w:sz w:val="20"/>
        </w:rPr>
        <w:t> </w:t>
      </w:r>
      <w:r>
        <w:rPr>
          <w:sz w:val="20"/>
        </w:rPr>
        <w:t>в</w:t>
      </w:r>
      <w:r>
        <w:rPr>
          <w:spacing w:val="-4"/>
          <w:sz w:val="20"/>
        </w:rPr>
        <w:t> </w:t>
      </w:r>
      <w:r>
        <w:rPr>
          <w:sz w:val="20"/>
        </w:rPr>
        <w:t>единстве</w:t>
      </w:r>
      <w:r>
        <w:rPr>
          <w:spacing w:val="-4"/>
          <w:sz w:val="20"/>
        </w:rPr>
        <w:t> </w:t>
      </w:r>
      <w:r>
        <w:rPr>
          <w:sz w:val="20"/>
        </w:rPr>
        <w:t>его</w:t>
      </w:r>
      <w:r>
        <w:rPr>
          <w:spacing w:val="-4"/>
          <w:sz w:val="20"/>
        </w:rPr>
        <w:t> </w:t>
      </w:r>
      <w:r>
        <w:rPr>
          <w:sz w:val="20"/>
        </w:rPr>
        <w:t>эмоциональных,</w:t>
      </w:r>
      <w:r>
        <w:rPr>
          <w:spacing w:val="-4"/>
          <w:sz w:val="20"/>
        </w:rPr>
        <w:t> </w:t>
      </w:r>
      <w:r>
        <w:rPr>
          <w:sz w:val="20"/>
        </w:rPr>
        <w:t>познавательных</w:t>
      </w:r>
      <w:r>
        <w:rPr>
          <w:spacing w:val="-4"/>
          <w:sz w:val="20"/>
        </w:rPr>
        <w:t> </w:t>
      </w:r>
      <w:r>
        <w:rPr>
          <w:sz w:val="20"/>
        </w:rPr>
        <w:t>и</w:t>
      </w:r>
      <w:r>
        <w:rPr>
          <w:spacing w:val="-4"/>
          <w:sz w:val="20"/>
        </w:rPr>
        <w:t> </w:t>
      </w:r>
      <w:r>
        <w:rPr>
          <w:sz w:val="20"/>
        </w:rPr>
        <w:t>поведенческих</w:t>
      </w:r>
      <w:r>
        <w:rPr>
          <w:spacing w:val="-4"/>
          <w:sz w:val="20"/>
        </w:rPr>
        <w:t> </w:t>
      </w:r>
      <w:r>
        <w:rPr>
          <w:sz w:val="20"/>
        </w:rPr>
        <w:t>качеств. Чтобы разработать программу, группа ученых из Института психологии РАН под руководством доктора наук, профессора Е.А. Сергиенко синтезировала зарубежные теории</w:t>
      </w:r>
      <w:r>
        <w:rPr>
          <w:spacing w:val="22"/>
          <w:sz w:val="20"/>
        </w:rPr>
        <w:t> </w:t>
      </w:r>
      <w:r>
        <w:rPr>
          <w:sz w:val="20"/>
        </w:rPr>
        <w:t>(теорию</w:t>
      </w:r>
      <w:r>
        <w:rPr>
          <w:spacing w:val="22"/>
          <w:sz w:val="20"/>
        </w:rPr>
        <w:t> </w:t>
      </w:r>
      <w:r>
        <w:rPr>
          <w:sz w:val="20"/>
        </w:rPr>
        <w:t>эмоционального</w:t>
      </w:r>
      <w:r>
        <w:rPr>
          <w:spacing w:val="22"/>
          <w:sz w:val="20"/>
        </w:rPr>
        <w:t> </w:t>
      </w:r>
      <w:r>
        <w:rPr>
          <w:sz w:val="20"/>
        </w:rPr>
        <w:t>интеллекта</w:t>
      </w:r>
      <w:r>
        <w:rPr>
          <w:spacing w:val="22"/>
          <w:sz w:val="20"/>
        </w:rPr>
        <w:t> </w:t>
      </w:r>
      <w:r>
        <w:rPr>
          <w:sz w:val="20"/>
        </w:rPr>
        <w:t>Дж.</w:t>
      </w:r>
      <w:r>
        <w:rPr>
          <w:spacing w:val="22"/>
          <w:sz w:val="20"/>
        </w:rPr>
        <w:t> </w:t>
      </w:r>
      <w:r>
        <w:rPr>
          <w:sz w:val="20"/>
        </w:rPr>
        <w:t>Мэйера,</w:t>
      </w:r>
      <w:r>
        <w:rPr>
          <w:spacing w:val="22"/>
          <w:sz w:val="20"/>
        </w:rPr>
        <w:t> </w:t>
      </w:r>
      <w:r>
        <w:rPr>
          <w:sz w:val="20"/>
        </w:rPr>
        <w:t>П.</w:t>
      </w:r>
      <w:r>
        <w:rPr>
          <w:spacing w:val="22"/>
          <w:sz w:val="20"/>
        </w:rPr>
        <w:t> </w:t>
      </w:r>
      <w:r>
        <w:rPr>
          <w:sz w:val="20"/>
        </w:rPr>
        <w:t>Сэловея,</w:t>
      </w:r>
      <w:r>
        <w:rPr>
          <w:spacing w:val="22"/>
          <w:sz w:val="20"/>
        </w:rPr>
        <w:t> </w:t>
      </w:r>
      <w:r>
        <w:rPr>
          <w:sz w:val="20"/>
        </w:rPr>
        <w:t>Д.</w:t>
      </w:r>
      <w:r>
        <w:rPr>
          <w:spacing w:val="22"/>
          <w:sz w:val="20"/>
        </w:rPr>
        <w:t> </w:t>
      </w:r>
      <w:r>
        <w:rPr>
          <w:sz w:val="20"/>
        </w:rPr>
        <w:t>Карузо</w:t>
      </w:r>
      <w:r>
        <w:rPr>
          <w:spacing w:val="22"/>
          <w:sz w:val="20"/>
        </w:rPr>
        <w:t> </w:t>
      </w:r>
      <w:r>
        <w:rPr>
          <w:sz w:val="20"/>
        </w:rPr>
        <w:t>и теорию модели психического – The Theory of Mind) с российскими подходами к со- циализации и развитию эмоциональной компетентности ребенка (с культурно-исто- рическим</w:t>
      </w:r>
      <w:r>
        <w:rPr>
          <w:spacing w:val="-8"/>
          <w:sz w:val="20"/>
        </w:rPr>
        <w:t> </w:t>
      </w:r>
      <w:r>
        <w:rPr>
          <w:sz w:val="20"/>
        </w:rPr>
        <w:t>подходом</w:t>
      </w:r>
      <w:r>
        <w:rPr>
          <w:spacing w:val="-8"/>
          <w:sz w:val="20"/>
        </w:rPr>
        <w:t> </w:t>
      </w:r>
      <w:r>
        <w:rPr>
          <w:sz w:val="20"/>
        </w:rPr>
        <w:t>Л.С.</w:t>
      </w:r>
      <w:r>
        <w:rPr>
          <w:spacing w:val="-12"/>
          <w:sz w:val="20"/>
        </w:rPr>
        <w:t> </w:t>
      </w:r>
      <w:r>
        <w:rPr>
          <w:sz w:val="20"/>
        </w:rPr>
        <w:t>Выготского,</w:t>
      </w:r>
      <w:r>
        <w:rPr>
          <w:spacing w:val="-8"/>
          <w:sz w:val="20"/>
        </w:rPr>
        <w:t> </w:t>
      </w:r>
      <w:r>
        <w:rPr>
          <w:sz w:val="20"/>
        </w:rPr>
        <w:t>теорией</w:t>
      </w:r>
      <w:r>
        <w:rPr>
          <w:spacing w:val="-8"/>
          <w:sz w:val="20"/>
        </w:rPr>
        <w:t> </w:t>
      </w:r>
      <w:r>
        <w:rPr>
          <w:sz w:val="20"/>
        </w:rPr>
        <w:t>деятельности,</w:t>
      </w:r>
      <w:r>
        <w:rPr>
          <w:spacing w:val="-8"/>
          <w:sz w:val="20"/>
        </w:rPr>
        <w:t> </w:t>
      </w:r>
      <w:r>
        <w:rPr>
          <w:sz w:val="20"/>
        </w:rPr>
        <w:t>субъектным</w:t>
      </w:r>
      <w:r>
        <w:rPr>
          <w:spacing w:val="-8"/>
          <w:sz w:val="20"/>
        </w:rPr>
        <w:t> </w:t>
      </w:r>
      <w:r>
        <w:rPr>
          <w:sz w:val="20"/>
        </w:rPr>
        <w:t>подходом). На основе теоретических разработок группа психологов-практиков (А.В.</w:t>
      </w:r>
      <w:r>
        <w:rPr>
          <w:spacing w:val="-7"/>
          <w:sz w:val="20"/>
        </w:rPr>
        <w:t> </w:t>
      </w:r>
      <w:r>
        <w:rPr>
          <w:sz w:val="20"/>
        </w:rPr>
        <w:t>Макарчук, Е.В.</w:t>
      </w:r>
      <w:r>
        <w:rPr>
          <w:spacing w:val="-13"/>
          <w:sz w:val="20"/>
        </w:rPr>
        <w:t> </w:t>
      </w:r>
      <w:r>
        <w:rPr>
          <w:sz w:val="20"/>
        </w:rPr>
        <w:t>Горинова,</w:t>
      </w:r>
      <w:r>
        <w:rPr>
          <w:spacing w:val="-12"/>
          <w:sz w:val="20"/>
        </w:rPr>
        <w:t> </w:t>
      </w:r>
      <w:r>
        <w:rPr>
          <w:sz w:val="20"/>
        </w:rPr>
        <w:t>Н.Е.</w:t>
      </w:r>
      <w:r>
        <w:rPr>
          <w:spacing w:val="-13"/>
          <w:sz w:val="20"/>
        </w:rPr>
        <w:t> </w:t>
      </w:r>
      <w:r>
        <w:rPr>
          <w:sz w:val="20"/>
        </w:rPr>
        <w:t>Рычка,</w:t>
      </w:r>
      <w:r>
        <w:rPr>
          <w:spacing w:val="-12"/>
          <w:sz w:val="20"/>
        </w:rPr>
        <w:t> </w:t>
      </w:r>
      <w:r>
        <w:rPr>
          <w:sz w:val="20"/>
        </w:rPr>
        <w:t>О.В.</w:t>
      </w:r>
      <w:r>
        <w:rPr>
          <w:spacing w:val="-11"/>
          <w:sz w:val="20"/>
        </w:rPr>
        <w:t> </w:t>
      </w:r>
      <w:r>
        <w:rPr>
          <w:sz w:val="20"/>
        </w:rPr>
        <w:t>Хухлаева,</w:t>
      </w:r>
      <w:r>
        <w:rPr>
          <w:spacing w:val="-13"/>
          <w:sz w:val="20"/>
        </w:rPr>
        <w:t> </w:t>
      </w:r>
      <w:r>
        <w:rPr>
          <w:sz w:val="20"/>
        </w:rPr>
        <w:t>О.Е.</w:t>
      </w:r>
      <w:r>
        <w:rPr>
          <w:spacing w:val="-7"/>
          <w:sz w:val="20"/>
        </w:rPr>
        <w:t> </w:t>
      </w:r>
      <w:r>
        <w:rPr>
          <w:sz w:val="20"/>
        </w:rPr>
        <w:t>Хухлаев,</w:t>
      </w:r>
      <w:r>
        <w:rPr>
          <w:spacing w:val="-13"/>
          <w:sz w:val="20"/>
        </w:rPr>
        <w:t> </w:t>
      </w:r>
      <w:r>
        <w:rPr>
          <w:sz w:val="20"/>
        </w:rPr>
        <w:t>И</w:t>
      </w:r>
      <w:r>
        <w:rPr>
          <w:spacing w:val="-8"/>
          <w:sz w:val="20"/>
        </w:rPr>
        <w:t> </w:t>
      </w:r>
      <w:r>
        <w:rPr>
          <w:sz w:val="20"/>
        </w:rPr>
        <w:t>А.</w:t>
      </w:r>
      <w:r>
        <w:rPr>
          <w:spacing w:val="-8"/>
          <w:sz w:val="20"/>
        </w:rPr>
        <w:t> </w:t>
      </w:r>
      <w:r>
        <w:rPr>
          <w:sz w:val="20"/>
        </w:rPr>
        <w:t>Дворецкая</w:t>
      </w:r>
      <w:r>
        <w:rPr>
          <w:spacing w:val="-13"/>
          <w:sz w:val="20"/>
        </w:rPr>
        <w:t> </w:t>
      </w:r>
      <w:r>
        <w:rPr>
          <w:sz w:val="20"/>
        </w:rPr>
        <w:t>и</w:t>
      </w:r>
      <w:r>
        <w:rPr>
          <w:spacing w:val="-12"/>
          <w:sz w:val="20"/>
        </w:rPr>
        <w:t> </w:t>
      </w:r>
      <w:r>
        <w:rPr>
          <w:sz w:val="20"/>
        </w:rPr>
        <w:t>др.)</w:t>
      </w:r>
      <w:r>
        <w:rPr>
          <w:spacing w:val="-13"/>
          <w:sz w:val="20"/>
        </w:rPr>
        <w:t> </w:t>
      </w:r>
      <w:r>
        <w:rPr>
          <w:sz w:val="20"/>
        </w:rPr>
        <w:t>созда- ла</w:t>
      </w:r>
      <w:r>
        <w:rPr>
          <w:spacing w:val="-10"/>
          <w:sz w:val="20"/>
        </w:rPr>
        <w:t> </w:t>
      </w:r>
      <w:r>
        <w:rPr>
          <w:sz w:val="20"/>
        </w:rPr>
        <w:t>методическое</w:t>
      </w:r>
      <w:r>
        <w:rPr>
          <w:spacing w:val="-10"/>
          <w:sz w:val="20"/>
        </w:rPr>
        <w:t> </w:t>
      </w:r>
      <w:r>
        <w:rPr>
          <w:sz w:val="20"/>
        </w:rPr>
        <w:t>пособие</w:t>
      </w:r>
      <w:r>
        <w:rPr>
          <w:spacing w:val="-9"/>
          <w:sz w:val="20"/>
        </w:rPr>
        <w:t> </w:t>
      </w:r>
      <w:r>
        <w:rPr>
          <w:sz w:val="20"/>
        </w:rPr>
        <w:t>по</w:t>
      </w:r>
      <w:r>
        <w:rPr>
          <w:spacing w:val="-10"/>
          <w:sz w:val="20"/>
        </w:rPr>
        <w:t> </w:t>
      </w:r>
      <w:r>
        <w:rPr>
          <w:sz w:val="20"/>
        </w:rPr>
        <w:t>развитию</w:t>
      </w:r>
      <w:r>
        <w:rPr>
          <w:spacing w:val="-8"/>
          <w:sz w:val="20"/>
        </w:rPr>
        <w:t> </w:t>
      </w:r>
      <w:r>
        <w:rPr>
          <w:sz w:val="20"/>
        </w:rPr>
        <w:t>эмоционального</w:t>
      </w:r>
      <w:r>
        <w:rPr>
          <w:spacing w:val="-10"/>
          <w:sz w:val="20"/>
        </w:rPr>
        <w:t> </w:t>
      </w:r>
      <w:r>
        <w:rPr>
          <w:sz w:val="20"/>
        </w:rPr>
        <w:t>интеллекта,</w:t>
      </w:r>
      <w:r>
        <w:rPr>
          <w:spacing w:val="-9"/>
          <w:sz w:val="20"/>
        </w:rPr>
        <w:t> </w:t>
      </w:r>
      <w:r>
        <w:rPr>
          <w:sz w:val="20"/>
        </w:rPr>
        <w:t>в</w:t>
      </w:r>
      <w:r>
        <w:rPr>
          <w:spacing w:val="-10"/>
          <w:sz w:val="20"/>
        </w:rPr>
        <w:t> </w:t>
      </w:r>
      <w:r>
        <w:rPr>
          <w:sz w:val="20"/>
        </w:rPr>
        <w:t>которое</w:t>
      </w:r>
      <w:r>
        <w:rPr>
          <w:spacing w:val="-9"/>
          <w:sz w:val="20"/>
        </w:rPr>
        <w:t> </w:t>
      </w:r>
      <w:r>
        <w:rPr>
          <w:spacing w:val="-2"/>
          <w:sz w:val="20"/>
        </w:rPr>
        <w:t>входят:</w:t>
      </w:r>
    </w:p>
    <w:p>
      <w:pPr>
        <w:pStyle w:val="ListParagraph"/>
        <w:numPr>
          <w:ilvl w:val="0"/>
          <w:numId w:val="119"/>
        </w:numPr>
        <w:tabs>
          <w:tab w:pos="424" w:val="left" w:leader="none"/>
        </w:tabs>
        <w:spacing w:line="240" w:lineRule="auto" w:before="2" w:after="0"/>
        <w:ind w:left="424" w:right="0" w:hanging="283"/>
        <w:jc w:val="left"/>
        <w:rPr>
          <w:sz w:val="20"/>
        </w:rPr>
      </w:pPr>
      <w:r>
        <w:rPr>
          <w:sz w:val="20"/>
        </w:rPr>
        <w:t>подробно</w:t>
      </w:r>
      <w:r>
        <w:rPr>
          <w:spacing w:val="-9"/>
          <w:sz w:val="20"/>
        </w:rPr>
        <w:t> </w:t>
      </w:r>
      <w:r>
        <w:rPr>
          <w:sz w:val="20"/>
        </w:rPr>
        <w:t>прописанные</w:t>
      </w:r>
      <w:r>
        <w:rPr>
          <w:spacing w:val="-6"/>
          <w:sz w:val="20"/>
        </w:rPr>
        <w:t> </w:t>
      </w:r>
      <w:r>
        <w:rPr>
          <w:sz w:val="20"/>
        </w:rPr>
        <w:t>сценарии</w:t>
      </w:r>
      <w:r>
        <w:rPr>
          <w:spacing w:val="-7"/>
          <w:sz w:val="20"/>
        </w:rPr>
        <w:t> </w:t>
      </w:r>
      <w:r>
        <w:rPr>
          <w:sz w:val="20"/>
        </w:rPr>
        <w:t>школьных</w:t>
      </w:r>
      <w:r>
        <w:rPr>
          <w:spacing w:val="-6"/>
          <w:sz w:val="20"/>
        </w:rPr>
        <w:t> </w:t>
      </w:r>
      <w:r>
        <w:rPr>
          <w:spacing w:val="-2"/>
          <w:sz w:val="20"/>
        </w:rPr>
        <w:t>занятий,</w:t>
      </w:r>
    </w:p>
    <w:p>
      <w:pPr>
        <w:pStyle w:val="ListParagraph"/>
        <w:numPr>
          <w:ilvl w:val="0"/>
          <w:numId w:val="119"/>
        </w:numPr>
        <w:tabs>
          <w:tab w:pos="424" w:val="left" w:leader="none"/>
        </w:tabs>
        <w:spacing w:line="240" w:lineRule="auto" w:before="0" w:after="0"/>
        <w:ind w:left="424" w:right="0" w:hanging="283"/>
        <w:jc w:val="left"/>
        <w:rPr>
          <w:sz w:val="20"/>
        </w:rPr>
      </w:pPr>
      <w:r>
        <w:rPr>
          <w:sz w:val="20"/>
        </w:rPr>
        <w:t>планы</w:t>
      </w:r>
      <w:r>
        <w:rPr>
          <w:spacing w:val="-3"/>
          <w:sz w:val="20"/>
        </w:rPr>
        <w:t> </w:t>
      </w:r>
      <w:r>
        <w:rPr>
          <w:sz w:val="20"/>
        </w:rPr>
        <w:t>тематических</w:t>
      </w:r>
      <w:r>
        <w:rPr>
          <w:spacing w:val="-2"/>
          <w:sz w:val="20"/>
        </w:rPr>
        <w:t> </w:t>
      </w:r>
      <w:r>
        <w:rPr>
          <w:sz w:val="20"/>
        </w:rPr>
        <w:t>встреч</w:t>
      </w:r>
      <w:r>
        <w:rPr>
          <w:spacing w:val="-2"/>
          <w:sz w:val="20"/>
        </w:rPr>
        <w:t> </w:t>
      </w:r>
      <w:r>
        <w:rPr>
          <w:sz w:val="20"/>
        </w:rPr>
        <w:t>с</w:t>
      </w:r>
      <w:r>
        <w:rPr>
          <w:spacing w:val="-2"/>
          <w:sz w:val="20"/>
        </w:rPr>
        <w:t> родителями,</w:t>
      </w:r>
    </w:p>
    <w:p>
      <w:pPr>
        <w:pStyle w:val="ListParagraph"/>
        <w:numPr>
          <w:ilvl w:val="0"/>
          <w:numId w:val="119"/>
        </w:numPr>
        <w:tabs>
          <w:tab w:pos="424" w:val="left" w:leader="none"/>
        </w:tabs>
        <w:spacing w:line="240" w:lineRule="auto" w:before="0" w:after="0"/>
        <w:ind w:left="424" w:right="0" w:hanging="283"/>
        <w:jc w:val="left"/>
        <w:rPr>
          <w:sz w:val="20"/>
        </w:rPr>
      </w:pPr>
      <w:r>
        <w:rPr>
          <w:sz w:val="20"/>
        </w:rPr>
        <w:t>сценарии</w:t>
      </w:r>
      <w:r>
        <w:rPr>
          <w:spacing w:val="-9"/>
          <w:sz w:val="20"/>
        </w:rPr>
        <w:t> </w:t>
      </w:r>
      <w:r>
        <w:rPr>
          <w:sz w:val="20"/>
        </w:rPr>
        <w:t>совместных</w:t>
      </w:r>
      <w:r>
        <w:rPr>
          <w:spacing w:val="-8"/>
          <w:sz w:val="20"/>
        </w:rPr>
        <w:t> </w:t>
      </w:r>
      <w:r>
        <w:rPr>
          <w:sz w:val="20"/>
        </w:rPr>
        <w:t>детско-родительских</w:t>
      </w:r>
      <w:r>
        <w:rPr>
          <w:spacing w:val="-8"/>
          <w:sz w:val="20"/>
        </w:rPr>
        <w:t> </w:t>
      </w:r>
      <w:r>
        <w:rPr>
          <w:spacing w:val="-2"/>
          <w:sz w:val="20"/>
        </w:rPr>
        <w:t>мероприятий,</w:t>
      </w:r>
    </w:p>
    <w:p>
      <w:pPr>
        <w:pStyle w:val="ListParagraph"/>
        <w:numPr>
          <w:ilvl w:val="0"/>
          <w:numId w:val="119"/>
        </w:numPr>
        <w:tabs>
          <w:tab w:pos="424" w:val="left" w:leader="none"/>
        </w:tabs>
        <w:spacing w:line="240" w:lineRule="auto" w:before="1" w:after="0"/>
        <w:ind w:left="424" w:right="0" w:hanging="283"/>
        <w:jc w:val="left"/>
        <w:rPr>
          <w:sz w:val="20"/>
        </w:rPr>
      </w:pPr>
      <w:r>
        <w:rPr>
          <w:sz w:val="20"/>
        </w:rPr>
        <w:t>инструменты</w:t>
      </w:r>
      <w:r>
        <w:rPr>
          <w:spacing w:val="-3"/>
          <w:sz w:val="20"/>
        </w:rPr>
        <w:t> </w:t>
      </w:r>
      <w:r>
        <w:rPr>
          <w:sz w:val="20"/>
        </w:rPr>
        <w:t>для</w:t>
      </w:r>
      <w:r>
        <w:rPr>
          <w:spacing w:val="-3"/>
          <w:sz w:val="20"/>
        </w:rPr>
        <w:t> </w:t>
      </w:r>
      <w:r>
        <w:rPr>
          <w:sz w:val="20"/>
        </w:rPr>
        <w:t>оценки</w:t>
      </w:r>
      <w:r>
        <w:rPr>
          <w:spacing w:val="-3"/>
          <w:sz w:val="20"/>
        </w:rPr>
        <w:t> </w:t>
      </w:r>
      <w:r>
        <w:rPr>
          <w:sz w:val="20"/>
        </w:rPr>
        <w:t>эффективности</w:t>
      </w:r>
      <w:r>
        <w:rPr>
          <w:spacing w:val="-4"/>
          <w:sz w:val="20"/>
        </w:rPr>
        <w:t> </w:t>
      </w:r>
      <w:r>
        <w:rPr>
          <w:sz w:val="20"/>
        </w:rPr>
        <w:t>работы</w:t>
      </w:r>
      <w:r>
        <w:rPr>
          <w:spacing w:val="-3"/>
          <w:sz w:val="20"/>
        </w:rPr>
        <w:t> </w:t>
      </w:r>
      <w:r>
        <w:rPr>
          <w:sz w:val="20"/>
        </w:rPr>
        <w:t>по</w:t>
      </w:r>
      <w:r>
        <w:rPr>
          <w:spacing w:val="-2"/>
          <w:sz w:val="20"/>
        </w:rPr>
        <w:t> программе,</w:t>
      </w:r>
    </w:p>
    <w:p>
      <w:pPr>
        <w:pStyle w:val="ListParagraph"/>
        <w:numPr>
          <w:ilvl w:val="0"/>
          <w:numId w:val="119"/>
        </w:numPr>
        <w:tabs>
          <w:tab w:pos="424" w:val="left" w:leader="none"/>
        </w:tabs>
        <w:spacing w:line="240" w:lineRule="auto" w:before="0" w:after="0"/>
        <w:ind w:left="424" w:right="0" w:hanging="283"/>
        <w:jc w:val="left"/>
        <w:rPr>
          <w:sz w:val="20"/>
        </w:rPr>
      </w:pPr>
      <w:r>
        <w:rPr>
          <w:sz w:val="20"/>
        </w:rPr>
        <w:t>иллюстрированная</w:t>
      </w:r>
      <w:r>
        <w:rPr>
          <w:spacing w:val="-4"/>
          <w:sz w:val="20"/>
        </w:rPr>
        <w:t> </w:t>
      </w:r>
      <w:r>
        <w:rPr>
          <w:sz w:val="20"/>
        </w:rPr>
        <w:t>рабочая</w:t>
      </w:r>
      <w:r>
        <w:rPr>
          <w:spacing w:val="-3"/>
          <w:sz w:val="20"/>
        </w:rPr>
        <w:t> </w:t>
      </w:r>
      <w:r>
        <w:rPr>
          <w:sz w:val="20"/>
        </w:rPr>
        <w:t>тетрадь</w:t>
      </w:r>
      <w:r>
        <w:rPr>
          <w:spacing w:val="-3"/>
          <w:sz w:val="20"/>
        </w:rPr>
        <w:t> </w:t>
      </w:r>
      <w:r>
        <w:rPr>
          <w:sz w:val="20"/>
        </w:rPr>
        <w:t>для</w:t>
      </w:r>
      <w:r>
        <w:rPr>
          <w:spacing w:val="-3"/>
          <w:sz w:val="20"/>
        </w:rPr>
        <w:t> </w:t>
      </w:r>
      <w:r>
        <w:rPr>
          <w:spacing w:val="-2"/>
          <w:sz w:val="20"/>
        </w:rPr>
        <w:t>участников,</w:t>
      </w:r>
    </w:p>
    <w:p>
      <w:pPr>
        <w:pStyle w:val="ListParagraph"/>
        <w:numPr>
          <w:ilvl w:val="0"/>
          <w:numId w:val="119"/>
        </w:numPr>
        <w:tabs>
          <w:tab w:pos="425" w:val="left" w:leader="none"/>
        </w:tabs>
        <w:spacing w:line="240" w:lineRule="auto" w:before="0" w:after="0"/>
        <w:ind w:left="425" w:right="139" w:hanging="284"/>
        <w:jc w:val="left"/>
        <w:rPr>
          <w:sz w:val="20"/>
        </w:rPr>
      </w:pPr>
      <w:r>
        <w:rPr>
          <w:sz w:val="20"/>
        </w:rPr>
        <w:t>материалы</w:t>
      </w:r>
      <w:r>
        <w:rPr>
          <w:spacing w:val="21"/>
          <w:sz w:val="20"/>
        </w:rPr>
        <w:t> </w:t>
      </w:r>
      <w:r>
        <w:rPr>
          <w:sz w:val="20"/>
        </w:rPr>
        <w:t>для</w:t>
      </w:r>
      <w:r>
        <w:rPr>
          <w:spacing w:val="21"/>
          <w:sz w:val="20"/>
        </w:rPr>
        <w:t> </w:t>
      </w:r>
      <w:r>
        <w:rPr>
          <w:sz w:val="20"/>
        </w:rPr>
        <w:t>родителей:</w:t>
      </w:r>
      <w:r>
        <w:rPr>
          <w:spacing w:val="21"/>
          <w:sz w:val="20"/>
        </w:rPr>
        <w:t> </w:t>
      </w:r>
      <w:r>
        <w:rPr>
          <w:sz w:val="20"/>
        </w:rPr>
        <w:t>семейные</w:t>
      </w:r>
      <w:r>
        <w:rPr>
          <w:spacing w:val="21"/>
          <w:sz w:val="20"/>
        </w:rPr>
        <w:t> </w:t>
      </w:r>
      <w:r>
        <w:rPr>
          <w:sz w:val="20"/>
        </w:rPr>
        <w:t>задания</w:t>
      </w:r>
      <w:r>
        <w:rPr>
          <w:spacing w:val="21"/>
          <w:sz w:val="20"/>
        </w:rPr>
        <w:t> </w:t>
      </w:r>
      <w:r>
        <w:rPr>
          <w:sz w:val="20"/>
        </w:rPr>
        <w:t>(продолжение</w:t>
      </w:r>
      <w:r>
        <w:rPr>
          <w:spacing w:val="21"/>
          <w:sz w:val="20"/>
        </w:rPr>
        <w:t> </w:t>
      </w:r>
      <w:r>
        <w:rPr>
          <w:sz w:val="20"/>
        </w:rPr>
        <w:t>рабочей</w:t>
      </w:r>
      <w:r>
        <w:rPr>
          <w:spacing w:val="21"/>
          <w:sz w:val="20"/>
        </w:rPr>
        <w:t> </w:t>
      </w:r>
      <w:r>
        <w:rPr>
          <w:sz w:val="20"/>
        </w:rPr>
        <w:t>тетради)</w:t>
      </w:r>
      <w:r>
        <w:rPr>
          <w:spacing w:val="21"/>
          <w:sz w:val="20"/>
        </w:rPr>
        <w:t> </w:t>
      </w:r>
      <w:r>
        <w:rPr>
          <w:sz w:val="20"/>
        </w:rPr>
        <w:t>и </w:t>
      </w:r>
      <w:r>
        <w:rPr>
          <w:spacing w:val="-2"/>
          <w:sz w:val="20"/>
        </w:rPr>
        <w:t>онлайн-курс,</w:t>
      </w:r>
    </w:p>
    <w:p>
      <w:pPr>
        <w:pStyle w:val="ListParagraph"/>
        <w:numPr>
          <w:ilvl w:val="0"/>
          <w:numId w:val="119"/>
        </w:numPr>
        <w:tabs>
          <w:tab w:pos="425" w:val="left" w:leader="none"/>
        </w:tabs>
        <w:spacing w:line="240" w:lineRule="auto" w:before="0" w:after="0"/>
        <w:ind w:left="425" w:right="139" w:hanging="284"/>
        <w:jc w:val="left"/>
        <w:rPr>
          <w:sz w:val="20"/>
        </w:rPr>
      </w:pPr>
      <w:r>
        <w:rPr>
          <w:spacing w:val="-2"/>
          <w:sz w:val="20"/>
        </w:rPr>
        <w:t>игровой комплект «Палитра эмоций» (карточки, которые можно распечатать, и ва- </w:t>
      </w:r>
      <w:r>
        <w:rPr>
          <w:sz w:val="20"/>
        </w:rPr>
        <w:t>рианты игр с ними),</w:t>
      </w:r>
    </w:p>
    <w:p>
      <w:pPr>
        <w:pStyle w:val="ListParagraph"/>
        <w:numPr>
          <w:ilvl w:val="0"/>
          <w:numId w:val="119"/>
        </w:numPr>
        <w:tabs>
          <w:tab w:pos="425" w:val="left" w:leader="none"/>
        </w:tabs>
        <w:spacing w:line="240" w:lineRule="auto" w:before="0" w:after="0"/>
        <w:ind w:left="425" w:right="139" w:hanging="284"/>
        <w:jc w:val="left"/>
        <w:rPr>
          <w:sz w:val="20"/>
        </w:rPr>
      </w:pPr>
      <w:r>
        <w:rPr>
          <w:spacing w:val="-2"/>
          <w:sz w:val="20"/>
        </w:rPr>
        <w:t>подборка художественных текстов и мультфильмов, которые способствуют разви- </w:t>
      </w:r>
      <w:r>
        <w:rPr>
          <w:sz w:val="20"/>
        </w:rPr>
        <w:t>тию эмоционального интеллекта, а также вопросы и игры к ним,</w:t>
      </w:r>
    </w:p>
    <w:p>
      <w:pPr>
        <w:pStyle w:val="ListParagraph"/>
        <w:numPr>
          <w:ilvl w:val="0"/>
          <w:numId w:val="119"/>
        </w:numPr>
        <w:tabs>
          <w:tab w:pos="425" w:val="left" w:leader="none"/>
        </w:tabs>
        <w:spacing w:line="240" w:lineRule="auto" w:before="0" w:after="0"/>
        <w:ind w:left="425" w:right="139" w:hanging="284"/>
        <w:jc w:val="left"/>
        <w:rPr>
          <w:sz w:val="20"/>
        </w:rPr>
      </w:pPr>
      <w:r>
        <w:rPr>
          <w:sz w:val="20"/>
        </w:rPr>
        <w:t>веб-игра «Город эмоций», в которую ребенок может играть самостоятельно или при содействии взрослого.</w:t>
      </w:r>
    </w:p>
    <w:p>
      <w:pPr>
        <w:pStyle w:val="BodyText"/>
      </w:pPr>
      <w:r>
        <w:rPr>
          <w:spacing w:val="-2"/>
        </w:rPr>
        <w:t>УМК разработан для современной российской школы, а значит, предполагает при- </w:t>
      </w:r>
      <w:r>
        <w:rPr/>
        <w:t>менение в мультикультурном контексте. Авторы утверждают, что в основе работы по УМК лежит понимание базовых эмоций, которые похожим образом выражают- ся представителями разных культур (Eckman, 1999). Результаты более поздних ис- следований</w:t>
      </w:r>
      <w:r>
        <w:rPr>
          <w:spacing w:val="-2"/>
        </w:rPr>
        <w:t> </w:t>
      </w:r>
      <w:r>
        <w:rPr/>
        <w:t>(Ekermans,</w:t>
      </w:r>
      <w:r>
        <w:rPr>
          <w:spacing w:val="-3"/>
        </w:rPr>
        <w:t> </w:t>
      </w:r>
      <w:r>
        <w:rPr/>
        <w:t>2009;</w:t>
      </w:r>
      <w:r>
        <w:rPr>
          <w:spacing w:val="-2"/>
        </w:rPr>
        <w:t> </w:t>
      </w:r>
      <w:r>
        <w:rPr/>
        <w:t>Jack</w:t>
      </w:r>
      <w:r>
        <w:rPr>
          <w:spacing w:val="-2"/>
        </w:rPr>
        <w:t> </w:t>
      </w:r>
      <w:r>
        <w:rPr/>
        <w:t>et</w:t>
      </w:r>
      <w:r>
        <w:rPr>
          <w:spacing w:val="-2"/>
        </w:rPr>
        <w:t> </w:t>
      </w:r>
      <w:r>
        <w:rPr/>
        <w:t>al.,</w:t>
      </w:r>
      <w:r>
        <w:rPr>
          <w:spacing w:val="-2"/>
        </w:rPr>
        <w:t> </w:t>
      </w:r>
      <w:r>
        <w:rPr/>
        <w:t>2012)</w:t>
      </w:r>
      <w:r>
        <w:rPr>
          <w:spacing w:val="-2"/>
        </w:rPr>
        <w:t> </w:t>
      </w:r>
      <w:r>
        <w:rPr/>
        <w:t>показывают,</w:t>
      </w:r>
      <w:r>
        <w:rPr>
          <w:spacing w:val="-2"/>
        </w:rPr>
        <w:t> </w:t>
      </w:r>
      <w:r>
        <w:rPr/>
        <w:t>что</w:t>
      </w:r>
      <w:r>
        <w:rPr>
          <w:spacing w:val="-2"/>
        </w:rPr>
        <w:t> </w:t>
      </w:r>
      <w:r>
        <w:rPr/>
        <w:t>эмоции</w:t>
      </w:r>
      <w:r>
        <w:rPr>
          <w:spacing w:val="-2"/>
        </w:rPr>
        <w:t> </w:t>
      </w:r>
      <w:r>
        <w:rPr/>
        <w:t>скорее</w:t>
      </w:r>
      <w:r>
        <w:rPr>
          <w:spacing w:val="-2"/>
        </w:rPr>
        <w:t> </w:t>
      </w:r>
      <w:r>
        <w:rPr/>
        <w:t>можно считать культурно обусловленными, а значит, не универсальными. Это фокусирует занятия УМК на распознавании физиологического проявления эмоций в конкрет- ной</w:t>
      </w:r>
      <w:r>
        <w:rPr>
          <w:spacing w:val="-6"/>
        </w:rPr>
        <w:t> </w:t>
      </w:r>
      <w:r>
        <w:rPr/>
        <w:t>культуре</w:t>
      </w:r>
      <w:r>
        <w:rPr>
          <w:spacing w:val="-6"/>
        </w:rPr>
        <w:t> </w:t>
      </w:r>
      <w:r>
        <w:rPr/>
        <w:t>–</w:t>
      </w:r>
      <w:r>
        <w:rPr>
          <w:spacing w:val="-6"/>
        </w:rPr>
        <w:t> </w:t>
      </w:r>
      <w:r>
        <w:rPr/>
        <w:t>принимающей</w:t>
      </w:r>
      <w:r>
        <w:rPr>
          <w:spacing w:val="-6"/>
        </w:rPr>
        <w:t> </w:t>
      </w:r>
      <w:r>
        <w:rPr/>
        <w:t>культуре</w:t>
      </w:r>
      <w:r>
        <w:rPr>
          <w:spacing w:val="-6"/>
        </w:rPr>
        <w:t> </w:t>
      </w:r>
      <w:r>
        <w:rPr/>
        <w:t>большинства,</w:t>
      </w:r>
      <w:r>
        <w:rPr>
          <w:spacing w:val="-6"/>
        </w:rPr>
        <w:t> </w:t>
      </w:r>
      <w:r>
        <w:rPr/>
        <w:t>а</w:t>
      </w:r>
      <w:r>
        <w:rPr>
          <w:spacing w:val="-6"/>
        </w:rPr>
        <w:t> </w:t>
      </w:r>
      <w:r>
        <w:rPr/>
        <w:t>также</w:t>
      </w:r>
      <w:r>
        <w:rPr>
          <w:spacing w:val="-6"/>
        </w:rPr>
        <w:t> </w:t>
      </w:r>
      <w:r>
        <w:rPr/>
        <w:t>на</w:t>
      </w:r>
      <w:r>
        <w:rPr>
          <w:spacing w:val="-6"/>
        </w:rPr>
        <w:t> </w:t>
      </w:r>
      <w:r>
        <w:rPr/>
        <w:t>понимании</w:t>
      </w:r>
      <w:r>
        <w:rPr>
          <w:spacing w:val="-6"/>
        </w:rPr>
        <w:t> </w:t>
      </w:r>
      <w:r>
        <w:rPr/>
        <w:t>каждым участником нюансов собственных эмоций и на формировании ценностей взаимопо- нимания и уважения, необходимых в полиэтничной среде.</w:t>
      </w:r>
    </w:p>
    <w:p>
      <w:pPr>
        <w:pStyle w:val="BodyText"/>
      </w:pPr>
      <w:r>
        <w:rPr/>
        <w:t>Занятия включают в себя игровые элементы и работу с иллюстрациями, доступ- ные</w:t>
      </w:r>
      <w:r>
        <w:rPr>
          <w:spacing w:val="-7"/>
        </w:rPr>
        <w:t> </w:t>
      </w:r>
      <w:r>
        <w:rPr/>
        <w:t>участникам</w:t>
      </w:r>
      <w:r>
        <w:rPr>
          <w:spacing w:val="-7"/>
        </w:rPr>
        <w:t> </w:t>
      </w:r>
      <w:r>
        <w:rPr/>
        <w:t>с</w:t>
      </w:r>
      <w:r>
        <w:rPr>
          <w:spacing w:val="-7"/>
        </w:rPr>
        <w:t> </w:t>
      </w:r>
      <w:r>
        <w:rPr/>
        <w:t>разным</w:t>
      </w:r>
      <w:r>
        <w:rPr>
          <w:spacing w:val="-8"/>
        </w:rPr>
        <w:t> </w:t>
      </w:r>
      <w:r>
        <w:rPr/>
        <w:t>уровнем</w:t>
      </w:r>
      <w:r>
        <w:rPr>
          <w:spacing w:val="-7"/>
        </w:rPr>
        <w:t> </w:t>
      </w:r>
      <w:r>
        <w:rPr/>
        <w:t>владения</w:t>
      </w:r>
      <w:r>
        <w:rPr>
          <w:spacing w:val="-7"/>
        </w:rPr>
        <w:t> </w:t>
      </w:r>
      <w:r>
        <w:rPr/>
        <w:t>русским</w:t>
      </w:r>
      <w:r>
        <w:rPr>
          <w:spacing w:val="-8"/>
        </w:rPr>
        <w:t> </w:t>
      </w:r>
      <w:r>
        <w:rPr/>
        <w:t>языком,</w:t>
      </w:r>
      <w:r>
        <w:rPr>
          <w:spacing w:val="-7"/>
        </w:rPr>
        <w:t> </w:t>
      </w:r>
      <w:r>
        <w:rPr/>
        <w:t>а</w:t>
      </w:r>
      <w:r>
        <w:rPr>
          <w:spacing w:val="-7"/>
        </w:rPr>
        <w:t> </w:t>
      </w:r>
      <w:r>
        <w:rPr/>
        <w:t>необходимость</w:t>
      </w:r>
      <w:r>
        <w:rPr>
          <w:spacing w:val="-8"/>
        </w:rPr>
        <w:t> </w:t>
      </w:r>
      <w:r>
        <w:rPr/>
        <w:t>назы- вать</w:t>
      </w:r>
      <w:r>
        <w:rPr>
          <w:spacing w:val="-1"/>
        </w:rPr>
        <w:t> </w:t>
      </w:r>
      <w:r>
        <w:rPr/>
        <w:t>эмоции,</w:t>
      </w:r>
      <w:r>
        <w:rPr>
          <w:spacing w:val="-1"/>
        </w:rPr>
        <w:t> </w:t>
      </w:r>
      <w:r>
        <w:rPr/>
        <w:t>говорить</w:t>
      </w:r>
      <w:r>
        <w:rPr>
          <w:spacing w:val="-1"/>
        </w:rPr>
        <w:t> </w:t>
      </w:r>
      <w:r>
        <w:rPr/>
        <w:t>о</w:t>
      </w:r>
      <w:r>
        <w:rPr>
          <w:spacing w:val="-1"/>
        </w:rPr>
        <w:t> </w:t>
      </w:r>
      <w:r>
        <w:rPr/>
        <w:t>них</w:t>
      </w:r>
      <w:r>
        <w:rPr>
          <w:spacing w:val="-1"/>
        </w:rPr>
        <w:t> </w:t>
      </w:r>
      <w:r>
        <w:rPr/>
        <w:t>и</w:t>
      </w:r>
      <w:r>
        <w:rPr>
          <w:spacing w:val="-1"/>
        </w:rPr>
        <w:t> </w:t>
      </w:r>
      <w:r>
        <w:rPr/>
        <w:t>выполнять</w:t>
      </w:r>
      <w:r>
        <w:rPr>
          <w:spacing w:val="-1"/>
        </w:rPr>
        <w:t> </w:t>
      </w:r>
      <w:r>
        <w:rPr/>
        <w:t>групповые</w:t>
      </w:r>
      <w:r>
        <w:rPr>
          <w:spacing w:val="-1"/>
        </w:rPr>
        <w:t> </w:t>
      </w:r>
      <w:r>
        <w:rPr/>
        <w:t>задания</w:t>
      </w:r>
      <w:r>
        <w:rPr>
          <w:spacing w:val="-2"/>
        </w:rPr>
        <w:t> </w:t>
      </w:r>
      <w:r>
        <w:rPr/>
        <w:t>позволяет</w:t>
      </w:r>
      <w:r>
        <w:rPr>
          <w:spacing w:val="-1"/>
        </w:rPr>
        <w:t> </w:t>
      </w:r>
      <w:r>
        <w:rPr/>
        <w:t>совершенст- </w:t>
      </w:r>
      <w:r>
        <w:rPr>
          <w:spacing w:val="-2"/>
        </w:rPr>
        <w:t>вовать</w:t>
      </w:r>
      <w:r>
        <w:rPr>
          <w:spacing w:val="-3"/>
        </w:rPr>
        <w:t> </w:t>
      </w:r>
      <w:r>
        <w:rPr>
          <w:spacing w:val="-2"/>
        </w:rPr>
        <w:t>коммуникативные</w:t>
      </w:r>
      <w:r>
        <w:rPr>
          <w:spacing w:val="-3"/>
        </w:rPr>
        <w:t> </w:t>
      </w:r>
      <w:r>
        <w:rPr>
          <w:spacing w:val="-2"/>
        </w:rPr>
        <w:t>навыки</w:t>
      </w:r>
      <w:r>
        <w:rPr>
          <w:spacing w:val="-3"/>
        </w:rPr>
        <w:t> </w:t>
      </w:r>
      <w:r>
        <w:rPr>
          <w:spacing w:val="-2"/>
        </w:rPr>
        <w:t>в</w:t>
      </w:r>
      <w:r>
        <w:rPr>
          <w:spacing w:val="-3"/>
        </w:rPr>
        <w:t> </w:t>
      </w:r>
      <w:r>
        <w:rPr>
          <w:spacing w:val="-2"/>
        </w:rPr>
        <w:t>том</w:t>
      </w:r>
      <w:r>
        <w:rPr>
          <w:spacing w:val="-3"/>
        </w:rPr>
        <w:t> </w:t>
      </w:r>
      <w:r>
        <w:rPr>
          <w:spacing w:val="-2"/>
        </w:rPr>
        <w:t>числе и</w:t>
      </w:r>
      <w:r>
        <w:rPr>
          <w:spacing w:val="-3"/>
        </w:rPr>
        <w:t> </w:t>
      </w:r>
      <w:r>
        <w:rPr>
          <w:spacing w:val="-2"/>
        </w:rPr>
        <w:t>с</w:t>
      </w:r>
      <w:r>
        <w:rPr>
          <w:spacing w:val="-3"/>
        </w:rPr>
        <w:t> </w:t>
      </w:r>
      <w:r>
        <w:rPr>
          <w:spacing w:val="-2"/>
        </w:rPr>
        <w:t>лингвистической</w:t>
      </w:r>
      <w:r>
        <w:rPr>
          <w:spacing w:val="-3"/>
        </w:rPr>
        <w:t> </w:t>
      </w:r>
      <w:r>
        <w:rPr>
          <w:spacing w:val="-2"/>
        </w:rPr>
        <w:t>стороны.</w:t>
      </w:r>
      <w:r>
        <w:rPr>
          <w:spacing w:val="-3"/>
        </w:rPr>
        <w:t> </w:t>
      </w:r>
      <w:r>
        <w:rPr>
          <w:spacing w:val="-2"/>
        </w:rPr>
        <w:t>Еще </w:t>
      </w:r>
      <w:r>
        <w:rPr>
          <w:spacing w:val="-4"/>
        </w:rPr>
        <w:t>один</w:t>
      </w:r>
    </w:p>
    <w:p>
      <w:pPr>
        <w:pStyle w:val="BodyText"/>
        <w:spacing w:after="0"/>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7" w:lineRule="auto" w:before="114"/>
        <w:ind w:firstLine="0"/>
      </w:pPr>
      <w:r>
        <w:rPr/>
        <w:t>из</w:t>
      </w:r>
      <w:r>
        <w:rPr>
          <w:spacing w:val="-7"/>
        </w:rPr>
        <w:t> </w:t>
      </w:r>
      <w:r>
        <w:rPr/>
        <w:t>эффектов</w:t>
      </w:r>
      <w:r>
        <w:rPr>
          <w:spacing w:val="-7"/>
        </w:rPr>
        <w:t> </w:t>
      </w:r>
      <w:r>
        <w:rPr/>
        <w:t>занятий</w:t>
      </w:r>
      <w:r>
        <w:rPr>
          <w:spacing w:val="-7"/>
        </w:rPr>
        <w:t> </w:t>
      </w:r>
      <w:r>
        <w:rPr/>
        <w:t>по</w:t>
      </w:r>
      <w:r>
        <w:rPr>
          <w:spacing w:val="-7"/>
        </w:rPr>
        <w:t> </w:t>
      </w:r>
      <w:r>
        <w:rPr/>
        <w:t>УМК</w:t>
      </w:r>
      <w:r>
        <w:rPr>
          <w:spacing w:val="-7"/>
        </w:rPr>
        <w:t> </w:t>
      </w:r>
      <w:r>
        <w:rPr/>
        <w:t>для</w:t>
      </w:r>
      <w:r>
        <w:rPr>
          <w:spacing w:val="-7"/>
        </w:rPr>
        <w:t> </w:t>
      </w:r>
      <w:r>
        <w:rPr/>
        <w:t>детей</w:t>
      </w:r>
      <w:r>
        <w:rPr>
          <w:spacing w:val="-7"/>
        </w:rPr>
        <w:t> </w:t>
      </w:r>
      <w:r>
        <w:rPr/>
        <w:t>с</w:t>
      </w:r>
      <w:r>
        <w:rPr>
          <w:spacing w:val="-7"/>
        </w:rPr>
        <w:t> </w:t>
      </w:r>
      <w:r>
        <w:rPr/>
        <w:t>опытом</w:t>
      </w:r>
      <w:r>
        <w:rPr>
          <w:spacing w:val="-7"/>
        </w:rPr>
        <w:t> </w:t>
      </w:r>
      <w:r>
        <w:rPr/>
        <w:t>миграции,</w:t>
      </w:r>
      <w:r>
        <w:rPr>
          <w:spacing w:val="-7"/>
        </w:rPr>
        <w:t> </w:t>
      </w:r>
      <w:r>
        <w:rPr/>
        <w:t>а</w:t>
      </w:r>
      <w:r>
        <w:rPr>
          <w:spacing w:val="-7"/>
        </w:rPr>
        <w:t> </w:t>
      </w:r>
      <w:r>
        <w:rPr/>
        <w:t>именно</w:t>
      </w:r>
      <w:r>
        <w:rPr>
          <w:spacing w:val="-7"/>
        </w:rPr>
        <w:t> </w:t>
      </w:r>
      <w:r>
        <w:rPr/>
        <w:t>развитие</w:t>
      </w:r>
      <w:r>
        <w:rPr>
          <w:spacing w:val="-6"/>
        </w:rPr>
        <w:t> </w:t>
      </w:r>
      <w:r>
        <w:rPr/>
        <w:t>соци- ального</w:t>
      </w:r>
      <w:r>
        <w:rPr>
          <w:spacing w:val="-3"/>
        </w:rPr>
        <w:t> </w:t>
      </w:r>
      <w:r>
        <w:rPr/>
        <w:t>интеллекта,</w:t>
      </w:r>
      <w:r>
        <w:rPr>
          <w:spacing w:val="-3"/>
        </w:rPr>
        <w:t> </w:t>
      </w:r>
      <w:r>
        <w:rPr/>
        <w:t>предполагает</w:t>
      </w:r>
      <w:r>
        <w:rPr>
          <w:spacing w:val="-3"/>
        </w:rPr>
        <w:t> </w:t>
      </w:r>
      <w:r>
        <w:rPr/>
        <w:t>облегченную</w:t>
      </w:r>
      <w:r>
        <w:rPr>
          <w:spacing w:val="-3"/>
        </w:rPr>
        <w:t> </w:t>
      </w:r>
      <w:r>
        <w:rPr/>
        <w:t>адаптацию</w:t>
      </w:r>
      <w:r>
        <w:rPr>
          <w:spacing w:val="-3"/>
        </w:rPr>
        <w:t> </w:t>
      </w:r>
      <w:r>
        <w:rPr/>
        <w:t>к</w:t>
      </w:r>
      <w:r>
        <w:rPr>
          <w:spacing w:val="-3"/>
        </w:rPr>
        <w:t> </w:t>
      </w:r>
      <w:r>
        <w:rPr/>
        <w:t>нормам</w:t>
      </w:r>
      <w:r>
        <w:rPr>
          <w:spacing w:val="-3"/>
        </w:rPr>
        <w:t> </w:t>
      </w:r>
      <w:r>
        <w:rPr/>
        <w:t>и</w:t>
      </w:r>
      <w:r>
        <w:rPr>
          <w:spacing w:val="-3"/>
        </w:rPr>
        <w:t> </w:t>
      </w:r>
      <w:r>
        <w:rPr/>
        <w:t>правилам</w:t>
      </w:r>
      <w:r>
        <w:rPr>
          <w:spacing w:val="-3"/>
        </w:rPr>
        <w:t> </w:t>
      </w:r>
      <w:r>
        <w:rPr/>
        <w:t>но- вого</w:t>
      </w:r>
      <w:r>
        <w:rPr>
          <w:spacing w:val="-9"/>
        </w:rPr>
        <w:t> </w:t>
      </w:r>
      <w:r>
        <w:rPr/>
        <w:t>культурно-языкового</w:t>
      </w:r>
      <w:r>
        <w:rPr>
          <w:spacing w:val="-9"/>
        </w:rPr>
        <w:t> </w:t>
      </w:r>
      <w:r>
        <w:rPr/>
        <w:t>сообщества,</w:t>
      </w:r>
      <w:r>
        <w:rPr>
          <w:spacing w:val="-9"/>
        </w:rPr>
        <w:t> </w:t>
      </w:r>
      <w:r>
        <w:rPr/>
        <w:t>умение</w:t>
      </w:r>
      <w:r>
        <w:rPr>
          <w:spacing w:val="-9"/>
        </w:rPr>
        <w:t> </w:t>
      </w:r>
      <w:r>
        <w:rPr/>
        <w:t>соотносить</w:t>
      </w:r>
      <w:r>
        <w:rPr>
          <w:spacing w:val="-9"/>
        </w:rPr>
        <w:t> </w:t>
      </w:r>
      <w:r>
        <w:rPr/>
        <w:t>их</w:t>
      </w:r>
      <w:r>
        <w:rPr>
          <w:spacing w:val="-9"/>
        </w:rPr>
        <w:t> </w:t>
      </w:r>
      <w:r>
        <w:rPr/>
        <w:t>со</w:t>
      </w:r>
      <w:r>
        <w:rPr>
          <w:spacing w:val="-9"/>
        </w:rPr>
        <w:t> </w:t>
      </w:r>
      <w:r>
        <w:rPr/>
        <w:t>своим</w:t>
      </w:r>
      <w:r>
        <w:rPr>
          <w:spacing w:val="-9"/>
        </w:rPr>
        <w:t> </w:t>
      </w:r>
      <w:r>
        <w:rPr/>
        <w:t>поведением</w:t>
      </w:r>
      <w:r>
        <w:rPr>
          <w:spacing w:val="-9"/>
        </w:rPr>
        <w:t> </w:t>
      </w:r>
      <w:r>
        <w:rPr/>
        <w:t>и выстраивать</w:t>
      </w:r>
      <w:r>
        <w:rPr>
          <w:spacing w:val="-4"/>
        </w:rPr>
        <w:t> </w:t>
      </w:r>
      <w:r>
        <w:rPr/>
        <w:t>социальные</w:t>
      </w:r>
      <w:r>
        <w:rPr>
          <w:spacing w:val="-3"/>
        </w:rPr>
        <w:t> </w:t>
      </w:r>
      <w:r>
        <w:rPr/>
        <w:t>связи,</w:t>
      </w:r>
      <w:r>
        <w:rPr>
          <w:spacing w:val="-3"/>
        </w:rPr>
        <w:t> </w:t>
      </w:r>
      <w:r>
        <w:rPr/>
        <w:t>ускоряющие</w:t>
      </w:r>
      <w:r>
        <w:rPr>
          <w:spacing w:val="-4"/>
        </w:rPr>
        <w:t> </w:t>
      </w:r>
      <w:r>
        <w:rPr/>
        <w:t>интеграцию</w:t>
      </w:r>
      <w:r>
        <w:rPr>
          <w:spacing w:val="-4"/>
        </w:rPr>
        <w:t> </w:t>
      </w:r>
      <w:r>
        <w:rPr/>
        <w:t>в</w:t>
      </w:r>
      <w:r>
        <w:rPr>
          <w:spacing w:val="-4"/>
        </w:rPr>
        <w:t> </w:t>
      </w:r>
      <w:r>
        <w:rPr/>
        <w:t>принимающую</w:t>
      </w:r>
      <w:r>
        <w:rPr>
          <w:spacing w:val="-4"/>
        </w:rPr>
        <w:t> </w:t>
      </w:r>
      <w:r>
        <w:rPr/>
        <w:t>культуру.</w:t>
      </w:r>
    </w:p>
    <w:p>
      <w:pPr>
        <w:spacing w:line="221" w:lineRule="exact" w:before="0"/>
        <w:ind w:left="425" w:right="0" w:firstLine="0"/>
        <w:jc w:val="left"/>
        <w:rPr>
          <w:b/>
          <w:i/>
          <w:sz w:val="20"/>
        </w:rPr>
      </w:pPr>
      <w:r>
        <w:rPr>
          <w:b/>
          <w:i/>
          <w:sz w:val="20"/>
        </w:rPr>
        <w:t>Сильные</w:t>
      </w:r>
      <w:r>
        <w:rPr>
          <w:b/>
          <w:i/>
          <w:spacing w:val="-2"/>
          <w:sz w:val="20"/>
        </w:rPr>
        <w:t> </w:t>
      </w:r>
      <w:r>
        <w:rPr>
          <w:b/>
          <w:i/>
          <w:sz w:val="20"/>
        </w:rPr>
        <w:t>стороны</w:t>
      </w:r>
      <w:r>
        <w:rPr>
          <w:b/>
          <w:i/>
          <w:spacing w:val="-1"/>
          <w:sz w:val="20"/>
        </w:rPr>
        <w:t> </w:t>
      </w:r>
      <w:r>
        <w:rPr>
          <w:b/>
          <w:i/>
          <w:spacing w:val="-2"/>
          <w:sz w:val="20"/>
        </w:rPr>
        <w:t>практики</w:t>
      </w:r>
    </w:p>
    <w:p>
      <w:pPr>
        <w:spacing w:line="226" w:lineRule="exact" w:before="0"/>
        <w:ind w:left="425" w:right="0" w:firstLine="0"/>
        <w:jc w:val="left"/>
        <w:rPr>
          <w:i/>
          <w:sz w:val="20"/>
        </w:rPr>
      </w:pPr>
      <w:r>
        <w:rPr>
          <w:i/>
          <w:spacing w:val="-2"/>
          <w:sz w:val="20"/>
        </w:rPr>
        <w:t>Доступность</w:t>
      </w:r>
    </w:p>
    <w:p>
      <w:pPr>
        <w:pStyle w:val="BodyText"/>
        <w:spacing w:line="235" w:lineRule="auto" w:before="2"/>
      </w:pPr>
      <w:r>
        <w:rPr/>
        <w:t>Школе и семьям не придется закупать книги и пособия: материалы УМК нахо- дятся в бесплатном доступе для всех желающих, необходима только регистрация на сайте.</w:t>
      </w:r>
      <w:r>
        <w:rPr>
          <w:spacing w:val="-9"/>
        </w:rPr>
        <w:t> </w:t>
      </w:r>
      <w:r>
        <w:rPr/>
        <w:t>Удобная</w:t>
      </w:r>
      <w:r>
        <w:rPr>
          <w:spacing w:val="-9"/>
        </w:rPr>
        <w:t> </w:t>
      </w:r>
      <w:r>
        <w:rPr/>
        <w:t>система</w:t>
      </w:r>
      <w:r>
        <w:rPr>
          <w:spacing w:val="-9"/>
        </w:rPr>
        <w:t> </w:t>
      </w:r>
      <w:r>
        <w:rPr/>
        <w:t>навигации</w:t>
      </w:r>
      <w:r>
        <w:rPr>
          <w:spacing w:val="-9"/>
        </w:rPr>
        <w:t> </w:t>
      </w:r>
      <w:r>
        <w:rPr/>
        <w:t>по</w:t>
      </w:r>
      <w:r>
        <w:rPr>
          <w:spacing w:val="-9"/>
        </w:rPr>
        <w:t> </w:t>
      </w:r>
      <w:r>
        <w:rPr/>
        <w:t>разделам</w:t>
      </w:r>
      <w:r>
        <w:rPr>
          <w:spacing w:val="-9"/>
        </w:rPr>
        <w:t> </w:t>
      </w:r>
      <w:r>
        <w:rPr/>
        <w:t>помогает</w:t>
      </w:r>
      <w:r>
        <w:rPr>
          <w:spacing w:val="-9"/>
        </w:rPr>
        <w:t> </w:t>
      </w:r>
      <w:r>
        <w:rPr/>
        <w:t>ориентироваться</w:t>
      </w:r>
      <w:r>
        <w:rPr>
          <w:spacing w:val="-9"/>
        </w:rPr>
        <w:t> </w:t>
      </w:r>
      <w:r>
        <w:rPr/>
        <w:t>в</w:t>
      </w:r>
      <w:r>
        <w:rPr>
          <w:spacing w:val="-9"/>
        </w:rPr>
        <w:t> </w:t>
      </w:r>
      <w:r>
        <w:rPr/>
        <w:t>материа- лах,</w:t>
      </w:r>
      <w:r>
        <w:rPr>
          <w:spacing w:val="-13"/>
        </w:rPr>
        <w:t> </w:t>
      </w:r>
      <w:r>
        <w:rPr/>
        <w:t>а</w:t>
      </w:r>
      <w:r>
        <w:rPr>
          <w:spacing w:val="-12"/>
        </w:rPr>
        <w:t> </w:t>
      </w:r>
      <w:r>
        <w:rPr/>
        <w:t>любой</w:t>
      </w:r>
      <w:r>
        <w:rPr>
          <w:spacing w:val="-13"/>
        </w:rPr>
        <w:t> </w:t>
      </w:r>
      <w:r>
        <w:rPr/>
        <w:t>план</w:t>
      </w:r>
      <w:r>
        <w:rPr>
          <w:spacing w:val="-12"/>
        </w:rPr>
        <w:t> </w:t>
      </w:r>
      <w:r>
        <w:rPr/>
        <w:t>занятия,</w:t>
      </w:r>
      <w:r>
        <w:rPr>
          <w:spacing w:val="-13"/>
        </w:rPr>
        <w:t> </w:t>
      </w:r>
      <w:r>
        <w:rPr/>
        <w:t>дополнительные</w:t>
      </w:r>
      <w:r>
        <w:rPr>
          <w:spacing w:val="-12"/>
        </w:rPr>
        <w:t> </w:t>
      </w:r>
      <w:r>
        <w:rPr/>
        <w:t>материалы</w:t>
      </w:r>
      <w:r>
        <w:rPr>
          <w:spacing w:val="-13"/>
        </w:rPr>
        <w:t> </w:t>
      </w:r>
      <w:r>
        <w:rPr/>
        <w:t>и</w:t>
      </w:r>
      <w:r>
        <w:rPr>
          <w:spacing w:val="-12"/>
        </w:rPr>
        <w:t> </w:t>
      </w:r>
      <w:r>
        <w:rPr/>
        <w:t>презентации</w:t>
      </w:r>
      <w:r>
        <w:rPr>
          <w:spacing w:val="-13"/>
        </w:rPr>
        <w:t> </w:t>
      </w:r>
      <w:r>
        <w:rPr/>
        <w:t>можно</w:t>
      </w:r>
      <w:r>
        <w:rPr>
          <w:spacing w:val="-12"/>
        </w:rPr>
        <w:t> </w:t>
      </w:r>
      <w:r>
        <w:rPr/>
        <w:t>скачать, чтобы</w:t>
      </w:r>
      <w:r>
        <w:rPr>
          <w:spacing w:val="-1"/>
        </w:rPr>
        <w:t> </w:t>
      </w:r>
      <w:r>
        <w:rPr/>
        <w:t>использовать</w:t>
      </w:r>
      <w:r>
        <w:rPr>
          <w:spacing w:val="-1"/>
        </w:rPr>
        <w:t> </w:t>
      </w:r>
      <w:r>
        <w:rPr/>
        <w:t>на</w:t>
      </w:r>
      <w:r>
        <w:rPr>
          <w:spacing w:val="-1"/>
        </w:rPr>
        <w:t> </w:t>
      </w:r>
      <w:r>
        <w:rPr/>
        <w:t>уроке.</w:t>
      </w:r>
      <w:r>
        <w:rPr>
          <w:spacing w:val="-1"/>
        </w:rPr>
        <w:t> </w:t>
      </w:r>
      <w:r>
        <w:rPr/>
        <w:t>Занятия</w:t>
      </w:r>
      <w:r>
        <w:rPr>
          <w:spacing w:val="-1"/>
        </w:rPr>
        <w:t> </w:t>
      </w:r>
      <w:r>
        <w:rPr/>
        <w:t>адаптируются</w:t>
      </w:r>
      <w:r>
        <w:rPr>
          <w:spacing w:val="-1"/>
        </w:rPr>
        <w:t> </w:t>
      </w:r>
      <w:r>
        <w:rPr/>
        <w:t>к</w:t>
      </w:r>
      <w:r>
        <w:rPr>
          <w:spacing w:val="-1"/>
        </w:rPr>
        <w:t> </w:t>
      </w:r>
      <w:r>
        <w:rPr/>
        <w:t>стандартному</w:t>
      </w:r>
      <w:r>
        <w:rPr>
          <w:spacing w:val="-1"/>
        </w:rPr>
        <w:t> </w:t>
      </w:r>
      <w:r>
        <w:rPr/>
        <w:t>канцелярскому минимуму и, как правило, не требуют дополнительных технических приспособле- ний. Рабочие тетради для учеников можно распечатать и выдать на дом: так у всех участников,</w:t>
      </w:r>
      <w:r>
        <w:rPr>
          <w:spacing w:val="-8"/>
        </w:rPr>
        <w:t> </w:t>
      </w:r>
      <w:r>
        <w:rPr/>
        <w:t>вне</w:t>
      </w:r>
      <w:r>
        <w:rPr>
          <w:spacing w:val="-8"/>
        </w:rPr>
        <w:t> </w:t>
      </w:r>
      <w:r>
        <w:rPr/>
        <w:t>зависимости</w:t>
      </w:r>
      <w:r>
        <w:rPr>
          <w:spacing w:val="-8"/>
        </w:rPr>
        <w:t> </w:t>
      </w:r>
      <w:r>
        <w:rPr/>
        <w:t>от</w:t>
      </w:r>
      <w:r>
        <w:rPr>
          <w:spacing w:val="-8"/>
        </w:rPr>
        <w:t> </w:t>
      </w:r>
      <w:r>
        <w:rPr/>
        <w:t>материальных</w:t>
      </w:r>
      <w:r>
        <w:rPr>
          <w:spacing w:val="-8"/>
        </w:rPr>
        <w:t> </w:t>
      </w:r>
      <w:r>
        <w:rPr/>
        <w:t>возможностей,</w:t>
      </w:r>
      <w:r>
        <w:rPr>
          <w:spacing w:val="-8"/>
        </w:rPr>
        <w:t> </w:t>
      </w:r>
      <w:r>
        <w:rPr/>
        <w:t>будет</w:t>
      </w:r>
      <w:r>
        <w:rPr>
          <w:spacing w:val="-8"/>
        </w:rPr>
        <w:t> </w:t>
      </w:r>
      <w:r>
        <w:rPr/>
        <w:t>шанс</w:t>
      </w:r>
      <w:r>
        <w:rPr>
          <w:spacing w:val="-8"/>
        </w:rPr>
        <w:t> </w:t>
      </w:r>
      <w:r>
        <w:rPr/>
        <w:t>выполнять задания и участвовать в занятиях наравне со всеми.</w:t>
      </w:r>
    </w:p>
    <w:p>
      <w:pPr>
        <w:spacing w:line="228" w:lineRule="exact" w:before="115"/>
        <w:ind w:left="425" w:right="0" w:firstLine="0"/>
        <w:jc w:val="left"/>
        <w:rPr>
          <w:i/>
          <w:sz w:val="20"/>
        </w:rPr>
      </w:pPr>
      <w:r>
        <w:rPr>
          <w:i/>
          <w:spacing w:val="-2"/>
          <w:sz w:val="20"/>
        </w:rPr>
        <w:t>Системность</w:t>
      </w:r>
    </w:p>
    <w:p>
      <w:pPr>
        <w:pStyle w:val="BodyText"/>
        <w:spacing w:line="235" w:lineRule="auto" w:before="2"/>
      </w:pPr>
      <w:r>
        <w:rPr>
          <w:spacing w:val="-2"/>
        </w:rPr>
        <w:t>Распознавание</w:t>
      </w:r>
      <w:r>
        <w:rPr>
          <w:spacing w:val="-8"/>
        </w:rPr>
        <w:t> </w:t>
      </w:r>
      <w:r>
        <w:rPr>
          <w:spacing w:val="-2"/>
        </w:rPr>
        <w:t>и</w:t>
      </w:r>
      <w:r>
        <w:rPr>
          <w:spacing w:val="-8"/>
        </w:rPr>
        <w:t> </w:t>
      </w:r>
      <w:r>
        <w:rPr>
          <w:spacing w:val="-2"/>
        </w:rPr>
        <w:t>называние</w:t>
      </w:r>
      <w:r>
        <w:rPr>
          <w:spacing w:val="-8"/>
        </w:rPr>
        <w:t> </w:t>
      </w:r>
      <w:r>
        <w:rPr>
          <w:spacing w:val="-2"/>
        </w:rPr>
        <w:t>эмоций</w:t>
      </w:r>
      <w:r>
        <w:rPr>
          <w:spacing w:val="-8"/>
        </w:rPr>
        <w:t> </w:t>
      </w:r>
      <w:r>
        <w:rPr>
          <w:spacing w:val="-2"/>
        </w:rPr>
        <w:t>(своих</w:t>
      </w:r>
      <w:r>
        <w:rPr>
          <w:spacing w:val="-8"/>
        </w:rPr>
        <w:t> </w:t>
      </w:r>
      <w:r>
        <w:rPr>
          <w:spacing w:val="-2"/>
        </w:rPr>
        <w:t>и</w:t>
      </w:r>
      <w:r>
        <w:rPr>
          <w:spacing w:val="-8"/>
        </w:rPr>
        <w:t> </w:t>
      </w:r>
      <w:r>
        <w:rPr>
          <w:spacing w:val="-2"/>
        </w:rPr>
        <w:t>чужих),</w:t>
      </w:r>
      <w:r>
        <w:rPr>
          <w:spacing w:val="-8"/>
        </w:rPr>
        <w:t> </w:t>
      </w:r>
      <w:r>
        <w:rPr>
          <w:spacing w:val="-2"/>
        </w:rPr>
        <w:t>умение</w:t>
      </w:r>
      <w:r>
        <w:rPr>
          <w:spacing w:val="-8"/>
        </w:rPr>
        <w:t> </w:t>
      </w:r>
      <w:r>
        <w:rPr>
          <w:spacing w:val="-2"/>
        </w:rPr>
        <w:t>проявлять</w:t>
      </w:r>
      <w:r>
        <w:rPr>
          <w:spacing w:val="-8"/>
        </w:rPr>
        <w:t> </w:t>
      </w:r>
      <w:r>
        <w:rPr>
          <w:spacing w:val="-2"/>
        </w:rPr>
        <w:t>их</w:t>
      </w:r>
      <w:r>
        <w:rPr>
          <w:spacing w:val="-8"/>
        </w:rPr>
        <w:t> </w:t>
      </w:r>
      <w:r>
        <w:rPr>
          <w:spacing w:val="-2"/>
        </w:rPr>
        <w:t>социаль- но</w:t>
      </w:r>
      <w:r>
        <w:rPr>
          <w:spacing w:val="-11"/>
        </w:rPr>
        <w:t> </w:t>
      </w:r>
      <w:r>
        <w:rPr>
          <w:spacing w:val="-2"/>
        </w:rPr>
        <w:t>конструктивным</w:t>
      </w:r>
      <w:r>
        <w:rPr>
          <w:spacing w:val="-10"/>
        </w:rPr>
        <w:t> </w:t>
      </w:r>
      <w:r>
        <w:rPr>
          <w:spacing w:val="-2"/>
        </w:rPr>
        <w:t>способом</w:t>
      </w:r>
      <w:r>
        <w:rPr>
          <w:spacing w:val="-11"/>
        </w:rPr>
        <w:t> </w:t>
      </w:r>
      <w:r>
        <w:rPr>
          <w:spacing w:val="-2"/>
        </w:rPr>
        <w:t>и</w:t>
      </w:r>
      <w:r>
        <w:rPr>
          <w:spacing w:val="-10"/>
        </w:rPr>
        <w:t> </w:t>
      </w:r>
      <w:r>
        <w:rPr>
          <w:spacing w:val="-2"/>
        </w:rPr>
        <w:t>договариваться</w:t>
      </w:r>
      <w:r>
        <w:rPr>
          <w:spacing w:val="-11"/>
        </w:rPr>
        <w:t> </w:t>
      </w:r>
      <w:r>
        <w:rPr>
          <w:spacing w:val="-2"/>
        </w:rPr>
        <w:t>с</w:t>
      </w:r>
      <w:r>
        <w:rPr>
          <w:spacing w:val="-10"/>
        </w:rPr>
        <w:t> </w:t>
      </w:r>
      <w:r>
        <w:rPr>
          <w:spacing w:val="-2"/>
        </w:rPr>
        <w:t>окружающими</w:t>
      </w:r>
      <w:r>
        <w:rPr>
          <w:spacing w:val="-11"/>
        </w:rPr>
        <w:t> </w:t>
      </w:r>
      <w:r>
        <w:rPr>
          <w:spacing w:val="-2"/>
        </w:rPr>
        <w:t>–</w:t>
      </w:r>
      <w:r>
        <w:rPr>
          <w:spacing w:val="-10"/>
        </w:rPr>
        <w:t> </w:t>
      </w:r>
      <w:r>
        <w:rPr>
          <w:spacing w:val="-2"/>
        </w:rPr>
        <w:t>это</w:t>
      </w:r>
      <w:r>
        <w:rPr>
          <w:spacing w:val="-11"/>
        </w:rPr>
        <w:t> </w:t>
      </w:r>
      <w:r>
        <w:rPr>
          <w:spacing w:val="-2"/>
        </w:rPr>
        <w:t>навыки,</w:t>
      </w:r>
      <w:r>
        <w:rPr>
          <w:spacing w:val="-10"/>
        </w:rPr>
        <w:t> </w:t>
      </w:r>
      <w:r>
        <w:rPr>
          <w:spacing w:val="-2"/>
        </w:rPr>
        <w:t>которые формируются</w:t>
      </w:r>
      <w:r>
        <w:rPr>
          <w:spacing w:val="-8"/>
        </w:rPr>
        <w:t> </w:t>
      </w:r>
      <w:r>
        <w:rPr>
          <w:spacing w:val="-2"/>
        </w:rPr>
        <w:t>при</w:t>
      </w:r>
      <w:r>
        <w:rPr>
          <w:spacing w:val="-8"/>
        </w:rPr>
        <w:t> </w:t>
      </w:r>
      <w:r>
        <w:rPr>
          <w:spacing w:val="-2"/>
        </w:rPr>
        <w:t>постоянной</w:t>
      </w:r>
      <w:r>
        <w:rPr>
          <w:spacing w:val="-8"/>
        </w:rPr>
        <w:t> </w:t>
      </w:r>
      <w:r>
        <w:rPr>
          <w:spacing w:val="-2"/>
        </w:rPr>
        <w:t>практике,</w:t>
      </w:r>
      <w:r>
        <w:rPr>
          <w:spacing w:val="-8"/>
        </w:rPr>
        <w:t> </w:t>
      </w:r>
      <w:r>
        <w:rPr>
          <w:spacing w:val="-2"/>
        </w:rPr>
        <w:t>входят</w:t>
      </w:r>
      <w:r>
        <w:rPr>
          <w:spacing w:val="-8"/>
        </w:rPr>
        <w:t> </w:t>
      </w:r>
      <w:r>
        <w:rPr>
          <w:spacing w:val="-2"/>
        </w:rPr>
        <w:t>для</w:t>
      </w:r>
      <w:r>
        <w:rPr>
          <w:spacing w:val="-8"/>
        </w:rPr>
        <w:t> </w:t>
      </w:r>
      <w:r>
        <w:rPr>
          <w:spacing w:val="-2"/>
        </w:rPr>
        <w:t>ребенка</w:t>
      </w:r>
      <w:r>
        <w:rPr>
          <w:spacing w:val="-8"/>
        </w:rPr>
        <w:t> </w:t>
      </w:r>
      <w:r>
        <w:rPr>
          <w:spacing w:val="-2"/>
        </w:rPr>
        <w:t>в</w:t>
      </w:r>
      <w:r>
        <w:rPr>
          <w:spacing w:val="-8"/>
        </w:rPr>
        <w:t> </w:t>
      </w:r>
      <w:r>
        <w:rPr>
          <w:spacing w:val="-2"/>
        </w:rPr>
        <w:t>привычку.</w:t>
      </w:r>
      <w:r>
        <w:rPr>
          <w:spacing w:val="-8"/>
        </w:rPr>
        <w:t> </w:t>
      </w:r>
      <w:r>
        <w:rPr>
          <w:spacing w:val="-2"/>
        </w:rPr>
        <w:t>УМК</w:t>
      </w:r>
      <w:r>
        <w:rPr>
          <w:spacing w:val="-8"/>
        </w:rPr>
        <w:t> </w:t>
      </w:r>
      <w:r>
        <w:rPr>
          <w:spacing w:val="-2"/>
        </w:rPr>
        <w:t>постро- ен так, чтобы последовательно и комплексно развивать социальный и эмоциональный интеллект</w:t>
      </w:r>
      <w:r>
        <w:rPr>
          <w:spacing w:val="-8"/>
        </w:rPr>
        <w:t> </w:t>
      </w:r>
      <w:r>
        <w:rPr>
          <w:spacing w:val="-2"/>
        </w:rPr>
        <w:t>в</w:t>
      </w:r>
      <w:r>
        <w:rPr>
          <w:spacing w:val="-8"/>
        </w:rPr>
        <w:t> </w:t>
      </w:r>
      <w:r>
        <w:rPr>
          <w:spacing w:val="-2"/>
        </w:rPr>
        <w:t>школе</w:t>
      </w:r>
      <w:r>
        <w:rPr>
          <w:spacing w:val="-8"/>
        </w:rPr>
        <w:t> </w:t>
      </w:r>
      <w:r>
        <w:rPr>
          <w:spacing w:val="-2"/>
        </w:rPr>
        <w:t>и</w:t>
      </w:r>
      <w:r>
        <w:rPr>
          <w:spacing w:val="-8"/>
        </w:rPr>
        <w:t> </w:t>
      </w:r>
      <w:r>
        <w:rPr>
          <w:spacing w:val="-2"/>
        </w:rPr>
        <w:t>дома.</w:t>
      </w:r>
      <w:r>
        <w:rPr>
          <w:spacing w:val="-8"/>
        </w:rPr>
        <w:t> </w:t>
      </w:r>
      <w:r>
        <w:rPr>
          <w:spacing w:val="-2"/>
        </w:rPr>
        <w:t>Педагог</w:t>
      </w:r>
      <w:r>
        <w:rPr>
          <w:spacing w:val="-8"/>
        </w:rPr>
        <w:t> </w:t>
      </w:r>
      <w:r>
        <w:rPr>
          <w:spacing w:val="-2"/>
        </w:rPr>
        <w:t>получает</w:t>
      </w:r>
      <w:r>
        <w:rPr>
          <w:spacing w:val="-8"/>
        </w:rPr>
        <w:t> </w:t>
      </w:r>
      <w:r>
        <w:rPr>
          <w:spacing w:val="-2"/>
        </w:rPr>
        <w:t>подробно</w:t>
      </w:r>
      <w:r>
        <w:rPr>
          <w:spacing w:val="-8"/>
        </w:rPr>
        <w:t> </w:t>
      </w:r>
      <w:r>
        <w:rPr>
          <w:spacing w:val="-2"/>
        </w:rPr>
        <w:t>прописанные</w:t>
      </w:r>
      <w:r>
        <w:rPr>
          <w:spacing w:val="-8"/>
        </w:rPr>
        <w:t> </w:t>
      </w:r>
      <w:r>
        <w:rPr>
          <w:spacing w:val="-2"/>
        </w:rPr>
        <w:t>сценарии</w:t>
      </w:r>
      <w:r>
        <w:rPr>
          <w:spacing w:val="-8"/>
        </w:rPr>
        <w:t> </w:t>
      </w:r>
      <w:r>
        <w:rPr>
          <w:spacing w:val="-2"/>
        </w:rPr>
        <w:t>занятий </w:t>
      </w:r>
      <w:r>
        <w:rPr/>
        <w:t>для каждого года начальной школы (1–2-й класс – раз в неделю, 3–4-й класс – раз в две</w:t>
      </w:r>
      <w:r>
        <w:rPr>
          <w:spacing w:val="-1"/>
        </w:rPr>
        <w:t> </w:t>
      </w:r>
      <w:r>
        <w:rPr/>
        <w:t>недели</w:t>
      </w:r>
      <w:r>
        <w:rPr>
          <w:spacing w:val="-1"/>
        </w:rPr>
        <w:t> </w:t>
      </w:r>
      <w:r>
        <w:rPr/>
        <w:t>на</w:t>
      </w:r>
      <w:r>
        <w:rPr>
          <w:spacing w:val="-1"/>
        </w:rPr>
        <w:t> </w:t>
      </w:r>
      <w:r>
        <w:rPr/>
        <w:t>протяжении</w:t>
      </w:r>
      <w:r>
        <w:rPr>
          <w:spacing w:val="-1"/>
        </w:rPr>
        <w:t> </w:t>
      </w:r>
      <w:r>
        <w:rPr/>
        <w:t>всего</w:t>
      </w:r>
      <w:r>
        <w:rPr>
          <w:spacing w:val="-1"/>
        </w:rPr>
        <w:t> </w:t>
      </w:r>
      <w:r>
        <w:rPr/>
        <w:t>учебного</w:t>
      </w:r>
      <w:r>
        <w:rPr>
          <w:spacing w:val="-1"/>
        </w:rPr>
        <w:t> </w:t>
      </w:r>
      <w:r>
        <w:rPr/>
        <w:t>года)</w:t>
      </w:r>
      <w:r>
        <w:rPr>
          <w:spacing w:val="-1"/>
        </w:rPr>
        <w:t> </w:t>
      </w:r>
      <w:r>
        <w:rPr/>
        <w:t>и</w:t>
      </w:r>
      <w:r>
        <w:rPr>
          <w:spacing w:val="-1"/>
        </w:rPr>
        <w:t> </w:t>
      </w:r>
      <w:r>
        <w:rPr/>
        <w:t>индивидуальную</w:t>
      </w:r>
      <w:r>
        <w:rPr>
          <w:spacing w:val="-1"/>
        </w:rPr>
        <w:t> </w:t>
      </w:r>
      <w:r>
        <w:rPr/>
        <w:t>рабочую</w:t>
      </w:r>
      <w:r>
        <w:rPr>
          <w:spacing w:val="-1"/>
        </w:rPr>
        <w:t> </w:t>
      </w:r>
      <w:r>
        <w:rPr/>
        <w:t>тетрадь ребенка, с помощью которой тот больше узнает о своих эмоциях и чувствах.</w:t>
      </w:r>
    </w:p>
    <w:p>
      <w:pPr>
        <w:pStyle w:val="BodyText"/>
        <w:spacing w:line="235" w:lineRule="auto" w:before="5"/>
      </w:pPr>
      <w:r>
        <w:rPr/>
        <w:t>Регулярность занятий не превращает педагога в «заложника» программы: ориен- тируясь</w:t>
      </w:r>
      <w:r>
        <w:rPr>
          <w:spacing w:val="-2"/>
        </w:rPr>
        <w:t> </w:t>
      </w:r>
      <w:r>
        <w:rPr/>
        <w:t>на</w:t>
      </w:r>
      <w:r>
        <w:rPr>
          <w:spacing w:val="-2"/>
        </w:rPr>
        <w:t> </w:t>
      </w:r>
      <w:r>
        <w:rPr/>
        <w:t>темп</w:t>
      </w:r>
      <w:r>
        <w:rPr>
          <w:spacing w:val="-2"/>
        </w:rPr>
        <w:t> </w:t>
      </w:r>
      <w:r>
        <w:rPr/>
        <w:t>класса,</w:t>
      </w:r>
      <w:r>
        <w:rPr>
          <w:spacing w:val="-2"/>
        </w:rPr>
        <w:t> </w:t>
      </w:r>
      <w:r>
        <w:rPr/>
        <w:t>он</w:t>
      </w:r>
      <w:r>
        <w:rPr>
          <w:spacing w:val="-2"/>
        </w:rPr>
        <w:t> </w:t>
      </w:r>
      <w:r>
        <w:rPr/>
        <w:t>может</w:t>
      </w:r>
      <w:r>
        <w:rPr>
          <w:spacing w:val="-2"/>
        </w:rPr>
        <w:t> </w:t>
      </w:r>
      <w:r>
        <w:rPr/>
        <w:t>предлагать</w:t>
      </w:r>
      <w:r>
        <w:rPr>
          <w:spacing w:val="-2"/>
        </w:rPr>
        <w:t> </w:t>
      </w:r>
      <w:r>
        <w:rPr/>
        <w:t>только</w:t>
      </w:r>
      <w:r>
        <w:rPr>
          <w:spacing w:val="-2"/>
        </w:rPr>
        <w:t> </w:t>
      </w:r>
      <w:r>
        <w:rPr/>
        <w:t>основные</w:t>
      </w:r>
      <w:r>
        <w:rPr>
          <w:spacing w:val="-2"/>
        </w:rPr>
        <w:t> </w:t>
      </w:r>
      <w:r>
        <w:rPr/>
        <w:t>или</w:t>
      </w:r>
      <w:r>
        <w:rPr>
          <w:spacing w:val="-2"/>
        </w:rPr>
        <w:t> </w:t>
      </w:r>
      <w:r>
        <w:rPr/>
        <w:t>добавлять</w:t>
      </w:r>
      <w:r>
        <w:rPr>
          <w:spacing w:val="-2"/>
        </w:rPr>
        <w:t> </w:t>
      </w:r>
      <w:r>
        <w:rPr/>
        <w:t>допол- нительные</w:t>
      </w:r>
      <w:r>
        <w:rPr>
          <w:spacing w:val="-8"/>
        </w:rPr>
        <w:t> </w:t>
      </w:r>
      <w:r>
        <w:rPr/>
        <w:t>активности,</w:t>
      </w:r>
      <w:r>
        <w:rPr>
          <w:spacing w:val="-8"/>
        </w:rPr>
        <w:t> </w:t>
      </w:r>
      <w:r>
        <w:rPr/>
        <w:t>отмеченные</w:t>
      </w:r>
      <w:r>
        <w:rPr>
          <w:spacing w:val="-8"/>
        </w:rPr>
        <w:t> </w:t>
      </w:r>
      <w:r>
        <w:rPr/>
        <w:t>в</w:t>
      </w:r>
      <w:r>
        <w:rPr>
          <w:spacing w:val="-8"/>
        </w:rPr>
        <w:t> </w:t>
      </w:r>
      <w:r>
        <w:rPr/>
        <w:t>методических</w:t>
      </w:r>
      <w:r>
        <w:rPr>
          <w:spacing w:val="-8"/>
        </w:rPr>
        <w:t> </w:t>
      </w:r>
      <w:r>
        <w:rPr/>
        <w:t>планах</w:t>
      </w:r>
      <w:r>
        <w:rPr>
          <w:spacing w:val="-8"/>
        </w:rPr>
        <w:t> </w:t>
      </w:r>
      <w:r>
        <w:rPr/>
        <w:t>специальными</w:t>
      </w:r>
      <w:r>
        <w:rPr>
          <w:spacing w:val="-8"/>
        </w:rPr>
        <w:t> </w:t>
      </w:r>
      <w:r>
        <w:rPr/>
        <w:t>значками, и комбинировать инструменты, подбирая их под потребности учеников.</w:t>
      </w:r>
    </w:p>
    <w:p>
      <w:pPr>
        <w:pStyle w:val="BodyText"/>
        <w:spacing w:line="235" w:lineRule="auto" w:before="2"/>
      </w:pPr>
      <w:r>
        <w:rPr/>
        <w:t>Также в УМК существует возможность подключать родителей к участию в про- грамме</w:t>
      </w:r>
      <w:r>
        <w:rPr>
          <w:spacing w:val="-9"/>
        </w:rPr>
        <w:t> </w:t>
      </w:r>
      <w:r>
        <w:rPr/>
        <w:t>с</w:t>
      </w:r>
      <w:r>
        <w:rPr>
          <w:spacing w:val="-9"/>
        </w:rPr>
        <w:t> </w:t>
      </w:r>
      <w:r>
        <w:rPr/>
        <w:t>помощью</w:t>
      </w:r>
      <w:r>
        <w:rPr>
          <w:spacing w:val="-9"/>
        </w:rPr>
        <w:t> </w:t>
      </w:r>
      <w:r>
        <w:rPr/>
        <w:t>несложных</w:t>
      </w:r>
      <w:r>
        <w:rPr>
          <w:spacing w:val="-9"/>
        </w:rPr>
        <w:t> </w:t>
      </w:r>
      <w:r>
        <w:rPr/>
        <w:t>и</w:t>
      </w:r>
      <w:r>
        <w:rPr>
          <w:spacing w:val="-9"/>
        </w:rPr>
        <w:t> </w:t>
      </w:r>
      <w:r>
        <w:rPr/>
        <w:t>увлекательных</w:t>
      </w:r>
      <w:r>
        <w:rPr>
          <w:spacing w:val="-9"/>
        </w:rPr>
        <w:t> </w:t>
      </w:r>
      <w:r>
        <w:rPr/>
        <w:t>совместных</w:t>
      </w:r>
      <w:r>
        <w:rPr>
          <w:spacing w:val="-9"/>
        </w:rPr>
        <w:t> </w:t>
      </w:r>
      <w:r>
        <w:rPr/>
        <w:t>заданий</w:t>
      </w:r>
      <w:r>
        <w:rPr>
          <w:spacing w:val="-9"/>
        </w:rPr>
        <w:t> </w:t>
      </w:r>
      <w:r>
        <w:rPr/>
        <w:t>и</w:t>
      </w:r>
      <w:r>
        <w:rPr>
          <w:spacing w:val="-9"/>
        </w:rPr>
        <w:t> </w:t>
      </w:r>
      <w:r>
        <w:rPr/>
        <w:t>мероприятий. Семьям</w:t>
      </w:r>
      <w:r>
        <w:rPr>
          <w:spacing w:val="-11"/>
        </w:rPr>
        <w:t> </w:t>
      </w:r>
      <w:r>
        <w:rPr/>
        <w:t>с</w:t>
      </w:r>
      <w:r>
        <w:rPr>
          <w:spacing w:val="-11"/>
        </w:rPr>
        <w:t> </w:t>
      </w:r>
      <w:r>
        <w:rPr/>
        <w:t>опытом</w:t>
      </w:r>
      <w:r>
        <w:rPr>
          <w:spacing w:val="-11"/>
        </w:rPr>
        <w:t> </w:t>
      </w:r>
      <w:r>
        <w:rPr/>
        <w:t>миграции</w:t>
      </w:r>
      <w:r>
        <w:rPr>
          <w:spacing w:val="-11"/>
        </w:rPr>
        <w:t> </w:t>
      </w:r>
      <w:r>
        <w:rPr/>
        <w:t>(не</w:t>
      </w:r>
      <w:r>
        <w:rPr>
          <w:spacing w:val="-11"/>
        </w:rPr>
        <w:t> </w:t>
      </w:r>
      <w:r>
        <w:rPr/>
        <w:t>только</w:t>
      </w:r>
      <w:r>
        <w:rPr>
          <w:spacing w:val="-11"/>
        </w:rPr>
        <w:t> </w:t>
      </w:r>
      <w:r>
        <w:rPr/>
        <w:t>детям,</w:t>
      </w:r>
      <w:r>
        <w:rPr>
          <w:spacing w:val="-11"/>
        </w:rPr>
        <w:t> </w:t>
      </w:r>
      <w:r>
        <w:rPr/>
        <w:t>но</w:t>
      </w:r>
      <w:r>
        <w:rPr>
          <w:spacing w:val="-11"/>
        </w:rPr>
        <w:t> </w:t>
      </w:r>
      <w:r>
        <w:rPr/>
        <w:t>и</w:t>
      </w:r>
      <w:r>
        <w:rPr>
          <w:spacing w:val="-11"/>
        </w:rPr>
        <w:t> </w:t>
      </w:r>
      <w:r>
        <w:rPr/>
        <w:t>взрослым)</w:t>
      </w:r>
      <w:r>
        <w:rPr>
          <w:spacing w:val="-11"/>
        </w:rPr>
        <w:t> </w:t>
      </w:r>
      <w:r>
        <w:rPr/>
        <w:t>это</w:t>
      </w:r>
      <w:r>
        <w:rPr>
          <w:spacing w:val="-11"/>
        </w:rPr>
        <w:t> </w:t>
      </w:r>
      <w:r>
        <w:rPr/>
        <w:t>может</w:t>
      </w:r>
      <w:r>
        <w:rPr>
          <w:spacing w:val="-11"/>
        </w:rPr>
        <w:t> </w:t>
      </w:r>
      <w:r>
        <w:rPr/>
        <w:t>помочь</w:t>
      </w:r>
      <w:r>
        <w:rPr>
          <w:spacing w:val="-11"/>
        </w:rPr>
        <w:t> </w:t>
      </w:r>
      <w:r>
        <w:rPr/>
        <w:t>инте- грироваться в культуру принимающего сообщества.</w:t>
      </w:r>
    </w:p>
    <w:p>
      <w:pPr>
        <w:spacing w:line="228" w:lineRule="exact" w:before="112"/>
        <w:ind w:left="425" w:right="0" w:firstLine="0"/>
        <w:jc w:val="both"/>
        <w:rPr>
          <w:i/>
          <w:sz w:val="20"/>
        </w:rPr>
      </w:pPr>
      <w:r>
        <w:rPr>
          <w:i/>
          <w:spacing w:val="-2"/>
          <w:sz w:val="20"/>
        </w:rPr>
        <w:t>Формирование</w:t>
      </w:r>
      <w:r>
        <w:rPr>
          <w:i/>
          <w:spacing w:val="8"/>
          <w:sz w:val="20"/>
        </w:rPr>
        <w:t> </w:t>
      </w:r>
      <w:r>
        <w:rPr>
          <w:i/>
          <w:spacing w:val="-2"/>
          <w:sz w:val="20"/>
        </w:rPr>
        <w:t>психологического</w:t>
      </w:r>
      <w:r>
        <w:rPr>
          <w:i/>
          <w:spacing w:val="11"/>
          <w:sz w:val="20"/>
        </w:rPr>
        <w:t> </w:t>
      </w:r>
      <w:r>
        <w:rPr>
          <w:i/>
          <w:spacing w:val="-2"/>
          <w:sz w:val="20"/>
        </w:rPr>
        <w:t>благополучия</w:t>
      </w:r>
    </w:p>
    <w:p>
      <w:pPr>
        <w:pStyle w:val="BodyText"/>
        <w:spacing w:line="235" w:lineRule="auto" w:before="2"/>
      </w:pPr>
      <w:r>
        <w:rPr/>
        <w:t>Занятия</w:t>
      </w:r>
      <w:r>
        <w:rPr>
          <w:spacing w:val="-2"/>
        </w:rPr>
        <w:t> </w:t>
      </w:r>
      <w:r>
        <w:rPr/>
        <w:t>УМК</w:t>
      </w:r>
      <w:r>
        <w:rPr>
          <w:spacing w:val="-2"/>
        </w:rPr>
        <w:t> </w:t>
      </w:r>
      <w:r>
        <w:rPr/>
        <w:t>направлены</w:t>
      </w:r>
      <w:r>
        <w:rPr>
          <w:spacing w:val="-2"/>
        </w:rPr>
        <w:t> </w:t>
      </w:r>
      <w:r>
        <w:rPr/>
        <w:t>на</w:t>
      </w:r>
      <w:r>
        <w:rPr>
          <w:spacing w:val="-2"/>
        </w:rPr>
        <w:t> </w:t>
      </w:r>
      <w:r>
        <w:rPr/>
        <w:t>развитие</w:t>
      </w:r>
      <w:r>
        <w:rPr>
          <w:spacing w:val="-2"/>
        </w:rPr>
        <w:t> </w:t>
      </w:r>
      <w:r>
        <w:rPr/>
        <w:t>личностного</w:t>
      </w:r>
      <w:r>
        <w:rPr>
          <w:spacing w:val="-2"/>
        </w:rPr>
        <w:t> </w:t>
      </w:r>
      <w:r>
        <w:rPr/>
        <w:t>потенциала</w:t>
      </w:r>
      <w:r>
        <w:rPr>
          <w:spacing w:val="-2"/>
        </w:rPr>
        <w:t> </w:t>
      </w:r>
      <w:r>
        <w:rPr/>
        <w:t>ребенка,</w:t>
      </w:r>
      <w:r>
        <w:rPr>
          <w:spacing w:val="-2"/>
        </w:rPr>
        <w:t> </w:t>
      </w:r>
      <w:r>
        <w:rPr/>
        <w:t>его</w:t>
      </w:r>
      <w:r>
        <w:rPr>
          <w:spacing w:val="-2"/>
        </w:rPr>
        <w:t> </w:t>
      </w:r>
      <w:r>
        <w:rPr/>
        <w:t>спо- собности к пониманию себя, к самоорганизации и саморегуляции, что дает неоспо- римые преимущества во взаимодействии со сверстниками и взрослыми, усвоении социальных норм и правил, активной самореализации в обществе</w:t>
      </w:r>
      <w:r>
        <w:rPr>
          <w:vertAlign w:val="superscript"/>
        </w:rPr>
        <w:t>1</w:t>
      </w:r>
      <w:r>
        <w:rPr>
          <w:vertAlign w:val="baseline"/>
        </w:rPr>
        <w:t>. Внимание к соб- ственным</w:t>
      </w:r>
      <w:r>
        <w:rPr>
          <w:spacing w:val="-13"/>
          <w:vertAlign w:val="baseline"/>
        </w:rPr>
        <w:t> </w:t>
      </w:r>
      <w:r>
        <w:rPr>
          <w:vertAlign w:val="baseline"/>
        </w:rPr>
        <w:t>эмоциям</w:t>
      </w:r>
      <w:r>
        <w:rPr>
          <w:spacing w:val="-12"/>
          <w:vertAlign w:val="baseline"/>
        </w:rPr>
        <w:t> </w:t>
      </w:r>
      <w:r>
        <w:rPr>
          <w:vertAlign w:val="baseline"/>
        </w:rPr>
        <w:t>и</w:t>
      </w:r>
      <w:r>
        <w:rPr>
          <w:spacing w:val="-13"/>
          <w:vertAlign w:val="baseline"/>
        </w:rPr>
        <w:t> </w:t>
      </w:r>
      <w:r>
        <w:rPr>
          <w:vertAlign w:val="baseline"/>
        </w:rPr>
        <w:t>умение</w:t>
      </w:r>
      <w:r>
        <w:rPr>
          <w:spacing w:val="-12"/>
          <w:vertAlign w:val="baseline"/>
        </w:rPr>
        <w:t> </w:t>
      </w:r>
      <w:r>
        <w:rPr>
          <w:vertAlign w:val="baseline"/>
        </w:rPr>
        <w:t>регулировать</w:t>
      </w:r>
      <w:r>
        <w:rPr>
          <w:spacing w:val="-13"/>
          <w:vertAlign w:val="baseline"/>
        </w:rPr>
        <w:t> </w:t>
      </w:r>
      <w:r>
        <w:rPr>
          <w:vertAlign w:val="baseline"/>
        </w:rPr>
        <w:t>их</w:t>
      </w:r>
      <w:r>
        <w:rPr>
          <w:spacing w:val="-12"/>
          <w:vertAlign w:val="baseline"/>
        </w:rPr>
        <w:t> </w:t>
      </w:r>
      <w:r>
        <w:rPr>
          <w:vertAlign w:val="baseline"/>
        </w:rPr>
        <w:t>проявления</w:t>
      </w:r>
      <w:r>
        <w:rPr>
          <w:spacing w:val="-13"/>
          <w:vertAlign w:val="baseline"/>
        </w:rPr>
        <w:t> </w:t>
      </w:r>
      <w:r>
        <w:rPr>
          <w:vertAlign w:val="baseline"/>
        </w:rPr>
        <w:t>отвечают</w:t>
      </w:r>
      <w:r>
        <w:rPr>
          <w:spacing w:val="-12"/>
          <w:vertAlign w:val="baseline"/>
        </w:rPr>
        <w:t> </w:t>
      </w:r>
      <w:r>
        <w:rPr>
          <w:vertAlign w:val="baseline"/>
        </w:rPr>
        <w:t>сразу</w:t>
      </w:r>
      <w:r>
        <w:rPr>
          <w:spacing w:val="-13"/>
          <w:vertAlign w:val="baseline"/>
        </w:rPr>
        <w:t> </w:t>
      </w:r>
      <w:r>
        <w:rPr>
          <w:vertAlign w:val="baseline"/>
        </w:rPr>
        <w:t>нескольким шкалам</w:t>
      </w:r>
      <w:r>
        <w:rPr>
          <w:spacing w:val="-11"/>
          <w:vertAlign w:val="baseline"/>
        </w:rPr>
        <w:t> </w:t>
      </w:r>
      <w:r>
        <w:rPr>
          <w:vertAlign w:val="baseline"/>
        </w:rPr>
        <w:t>психологического</w:t>
      </w:r>
      <w:r>
        <w:rPr>
          <w:spacing w:val="-11"/>
          <w:vertAlign w:val="baseline"/>
        </w:rPr>
        <w:t> </w:t>
      </w:r>
      <w:r>
        <w:rPr>
          <w:vertAlign w:val="baseline"/>
        </w:rPr>
        <w:t>благополучия</w:t>
      </w:r>
      <w:r>
        <w:rPr>
          <w:spacing w:val="-11"/>
          <w:vertAlign w:val="baseline"/>
        </w:rPr>
        <w:t> </w:t>
      </w:r>
      <w:r>
        <w:rPr>
          <w:vertAlign w:val="baseline"/>
        </w:rPr>
        <w:t>согласно</w:t>
      </w:r>
      <w:r>
        <w:rPr>
          <w:spacing w:val="-11"/>
          <w:vertAlign w:val="baseline"/>
        </w:rPr>
        <w:t> </w:t>
      </w:r>
      <w:r>
        <w:rPr>
          <w:vertAlign w:val="baseline"/>
        </w:rPr>
        <w:t>опроснику</w:t>
      </w:r>
      <w:r>
        <w:rPr>
          <w:spacing w:val="-11"/>
          <w:vertAlign w:val="baseline"/>
        </w:rPr>
        <w:t> </w:t>
      </w:r>
      <w:r>
        <w:rPr>
          <w:vertAlign w:val="baseline"/>
        </w:rPr>
        <w:t>К.</w:t>
      </w:r>
      <w:r>
        <w:rPr>
          <w:spacing w:val="-11"/>
          <w:vertAlign w:val="baseline"/>
        </w:rPr>
        <w:t> </w:t>
      </w:r>
      <w:r>
        <w:rPr>
          <w:vertAlign w:val="baseline"/>
        </w:rPr>
        <w:t>Рифф:</w:t>
      </w:r>
      <w:r>
        <w:rPr>
          <w:spacing w:val="-11"/>
          <w:vertAlign w:val="baseline"/>
        </w:rPr>
        <w:t> </w:t>
      </w:r>
      <w:r>
        <w:rPr>
          <w:vertAlign w:val="baseline"/>
        </w:rPr>
        <w:t>автономности (умение регулировать свои поступки, опираясь на собственные критерии), компе- тентности (умение справляться с ежедневными жизненными задачами), позитивных отношений</w:t>
      </w:r>
      <w:r>
        <w:rPr>
          <w:spacing w:val="18"/>
          <w:vertAlign w:val="baseline"/>
        </w:rPr>
        <w:t> </w:t>
      </w:r>
      <w:r>
        <w:rPr>
          <w:vertAlign w:val="baseline"/>
        </w:rPr>
        <w:t>и</w:t>
      </w:r>
      <w:r>
        <w:rPr>
          <w:spacing w:val="19"/>
          <w:vertAlign w:val="baseline"/>
        </w:rPr>
        <w:t> </w:t>
      </w:r>
      <w:r>
        <w:rPr>
          <w:vertAlign w:val="baseline"/>
        </w:rPr>
        <w:t>самопринятия</w:t>
      </w:r>
      <w:r>
        <w:rPr>
          <w:spacing w:val="18"/>
          <w:vertAlign w:val="baseline"/>
        </w:rPr>
        <w:t> </w:t>
      </w:r>
      <w:r>
        <w:rPr>
          <w:vertAlign w:val="baseline"/>
        </w:rPr>
        <w:t>(Жуковская,</w:t>
      </w:r>
      <w:r>
        <w:rPr>
          <w:spacing w:val="19"/>
          <w:vertAlign w:val="baseline"/>
        </w:rPr>
        <w:t> </w:t>
      </w:r>
      <w:r>
        <w:rPr>
          <w:vertAlign w:val="baseline"/>
        </w:rPr>
        <w:t>Трошихина,</w:t>
      </w:r>
      <w:r>
        <w:rPr>
          <w:spacing w:val="19"/>
          <w:vertAlign w:val="baseline"/>
        </w:rPr>
        <w:t> </w:t>
      </w:r>
      <w:r>
        <w:rPr>
          <w:vertAlign w:val="baseline"/>
        </w:rPr>
        <w:t>2011).</w:t>
      </w:r>
      <w:r>
        <w:rPr>
          <w:spacing w:val="18"/>
          <w:vertAlign w:val="baseline"/>
        </w:rPr>
        <w:t> </w:t>
      </w:r>
      <w:r>
        <w:rPr>
          <w:vertAlign w:val="baseline"/>
        </w:rPr>
        <w:t>Социальная</w:t>
      </w:r>
      <w:r>
        <w:rPr>
          <w:spacing w:val="19"/>
          <w:vertAlign w:val="baseline"/>
        </w:rPr>
        <w:t> </w:t>
      </w:r>
      <w:r>
        <w:rPr>
          <w:vertAlign w:val="baseline"/>
        </w:rPr>
        <w:t>и</w:t>
      </w:r>
      <w:r>
        <w:rPr>
          <w:spacing w:val="19"/>
          <w:vertAlign w:val="baseline"/>
        </w:rPr>
        <w:t> </w:t>
      </w:r>
      <w:r>
        <w:rPr>
          <w:spacing w:val="-2"/>
          <w:vertAlign w:val="baseline"/>
        </w:rPr>
        <w:t>эмоцио-</w:t>
      </w:r>
    </w:p>
    <w:p>
      <w:pPr>
        <w:pStyle w:val="BodyText"/>
        <w:spacing w:before="6"/>
        <w:ind w:left="0" w:right="0" w:firstLine="0"/>
        <w:jc w:val="left"/>
        <w:rPr>
          <w:sz w:val="9"/>
        </w:rPr>
      </w:pPr>
      <w:r>
        <w:rPr>
          <w:sz w:val="9"/>
        </w:rPr>
        <mc:AlternateContent>
          <mc:Choice Requires="wps">
            <w:drawing>
              <wp:anchor distT="0" distB="0" distL="0" distR="0" allowOverlap="1" layoutInCell="1" locked="0" behindDoc="1" simplePos="0" relativeHeight="487624192">
                <wp:simplePos x="0" y="0"/>
                <wp:positionH relativeFrom="page">
                  <wp:posOffset>360000</wp:posOffset>
                </wp:positionH>
                <wp:positionV relativeFrom="paragraph">
                  <wp:posOffset>85109</wp:posOffset>
                </wp:positionV>
                <wp:extent cx="1440180" cy="1270"/>
                <wp:effectExtent l="0" t="0" r="0" b="0"/>
                <wp:wrapTopAndBottom/>
                <wp:docPr id="116" name="Graphic 116"/>
                <wp:cNvGraphicFramePr>
                  <a:graphicFrameLocks/>
                </wp:cNvGraphicFramePr>
                <a:graphic>
                  <a:graphicData uri="http://schemas.microsoft.com/office/word/2010/wordprocessingShape">
                    <wps:wsp>
                      <wps:cNvPr id="116" name="Graphic 116"/>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5pt;margin-top:6.701548pt;width:113.4pt;height:.1pt;mso-position-horizontal-relative:page;mso-position-vertical-relative:paragraph;z-index:-15692288;mso-wrap-distance-left:0;mso-wrap-distance-right:0" id="docshape73" coordorigin="567,134" coordsize="2268,0" path="m567,134l2835,134e" filled="false" stroked="true" strokeweight=".5pt" strokecolor="#231f20">
                <v:path arrowok="t"/>
                <v:stroke dashstyle="solid"/>
                <w10:wrap type="topAndBottom"/>
              </v:shape>
            </w:pict>
          </mc:Fallback>
        </mc:AlternateContent>
      </w:r>
    </w:p>
    <w:p>
      <w:pPr>
        <w:tabs>
          <w:tab w:pos="425" w:val="left" w:leader="none"/>
        </w:tabs>
        <w:spacing w:line="232" w:lineRule="auto" w:before="32"/>
        <w:ind w:left="141" w:right="139" w:firstLine="0"/>
        <w:jc w:val="left"/>
        <w:rPr>
          <w:sz w:val="18"/>
        </w:rPr>
      </w:pPr>
      <w:r>
        <w:rPr>
          <w:color w:val="231F20"/>
          <w:spacing w:val="-10"/>
          <w:sz w:val="18"/>
          <w:vertAlign w:val="superscript"/>
        </w:rPr>
        <w:t>1</w:t>
      </w:r>
      <w:r>
        <w:rPr>
          <w:color w:val="231F20"/>
          <w:sz w:val="18"/>
          <w:vertAlign w:val="baseline"/>
        </w:rPr>
        <w:tab/>
        <w:t>Пояснительная</w:t>
      </w:r>
      <w:r>
        <w:rPr>
          <w:color w:val="231F20"/>
          <w:spacing w:val="80"/>
          <w:sz w:val="18"/>
          <w:vertAlign w:val="baseline"/>
        </w:rPr>
        <w:t> </w:t>
      </w:r>
      <w:r>
        <w:rPr>
          <w:color w:val="231F20"/>
          <w:sz w:val="18"/>
          <w:vertAlign w:val="baseline"/>
        </w:rPr>
        <w:t>записка</w:t>
      </w:r>
      <w:r>
        <w:rPr>
          <w:color w:val="231F20"/>
          <w:spacing w:val="80"/>
          <w:sz w:val="18"/>
          <w:vertAlign w:val="baseline"/>
        </w:rPr>
        <w:t> </w:t>
      </w:r>
      <w:r>
        <w:rPr>
          <w:color w:val="231F20"/>
          <w:sz w:val="18"/>
          <w:vertAlign w:val="baseline"/>
        </w:rPr>
        <w:t>к</w:t>
      </w:r>
      <w:r>
        <w:rPr>
          <w:color w:val="231F20"/>
          <w:spacing w:val="80"/>
          <w:sz w:val="18"/>
          <w:vertAlign w:val="baseline"/>
        </w:rPr>
        <w:t> </w:t>
      </w:r>
      <w:r>
        <w:rPr>
          <w:color w:val="231F20"/>
          <w:sz w:val="18"/>
          <w:vertAlign w:val="baseline"/>
        </w:rPr>
        <w:t>УМК</w:t>
      </w:r>
      <w:r>
        <w:rPr>
          <w:color w:val="231F20"/>
          <w:spacing w:val="80"/>
          <w:sz w:val="18"/>
          <w:vertAlign w:val="baseline"/>
        </w:rPr>
        <w:t> </w:t>
      </w:r>
      <w:r>
        <w:rPr>
          <w:color w:val="231F20"/>
          <w:sz w:val="18"/>
          <w:vertAlign w:val="baseline"/>
        </w:rPr>
        <w:t>«Школа</w:t>
      </w:r>
      <w:r>
        <w:rPr>
          <w:color w:val="231F20"/>
          <w:spacing w:val="80"/>
          <w:sz w:val="18"/>
          <w:vertAlign w:val="baseline"/>
        </w:rPr>
        <w:t> </w:t>
      </w:r>
      <w:r>
        <w:rPr>
          <w:color w:val="231F20"/>
          <w:sz w:val="18"/>
          <w:vertAlign w:val="baseline"/>
        </w:rPr>
        <w:t>возможностей»</w:t>
      </w:r>
      <w:r>
        <w:rPr>
          <w:color w:val="231F20"/>
          <w:spacing w:val="80"/>
          <w:sz w:val="18"/>
          <w:vertAlign w:val="baseline"/>
        </w:rPr>
        <w:t> </w:t>
      </w:r>
      <w:r>
        <w:rPr>
          <w:color w:val="2255A6"/>
          <w:sz w:val="18"/>
          <w:u w:val="single" w:color="2255A6"/>
          <w:vertAlign w:val="baseline"/>
        </w:rPr>
        <w:t>https://teacher.vbudushee.ru/</w:t>
      </w:r>
      <w:r>
        <w:rPr>
          <w:color w:val="2255A6"/>
          <w:sz w:val="18"/>
          <w:vertAlign w:val="baseline"/>
        </w:rPr>
        <w:t> </w:t>
      </w:r>
      <w:r>
        <w:rPr>
          <w:color w:val="2255A6"/>
          <w:spacing w:val="-2"/>
          <w:sz w:val="18"/>
          <w:u w:val="single" w:color="2255A6"/>
          <w:vertAlign w:val="baseline"/>
        </w:rPr>
        <w:t>module/3?program=2#heading-6</w:t>
      </w:r>
      <w:r>
        <w:rPr>
          <w:color w:val="231F20"/>
          <w:spacing w:val="-2"/>
          <w:sz w:val="18"/>
          <w:vertAlign w:val="baseline"/>
        </w:rPr>
        <w:t>.</w:t>
      </w:r>
    </w:p>
    <w:p>
      <w:pPr>
        <w:spacing w:after="0" w:line="232" w:lineRule="auto"/>
        <w:jc w:val="left"/>
        <w:rPr>
          <w:sz w:val="18"/>
        </w:rPr>
        <w:sectPr>
          <w:pgSz w:w="8400" w:h="11910"/>
          <w:pgMar w:header="0" w:footer="527" w:top="400" w:bottom="720" w:left="425" w:right="425"/>
        </w:sectPr>
      </w:pPr>
    </w:p>
    <w:p>
      <w:pPr>
        <w:spacing w:before="80"/>
        <w:ind w:left="141" w:right="0" w:firstLine="0"/>
        <w:jc w:val="left"/>
        <w:rPr>
          <w:rFonts w:ascii="Georgia" w:hAnsi="Georgia"/>
          <w:sz w:val="18"/>
        </w:rPr>
      </w:pPr>
      <w:r>
        <w:rPr>
          <w:rFonts w:ascii="Georgia" w:hAnsi="Georgia"/>
          <w:color w:val="231F20"/>
          <w:sz w:val="18"/>
        </w:rPr>
        <w:t>4.2.</w:t>
      </w:r>
      <w:r>
        <w:rPr>
          <w:rFonts w:ascii="Georgia" w:hAnsi="Georgia"/>
          <w:color w:val="231F20"/>
          <w:spacing w:val="-6"/>
          <w:sz w:val="18"/>
        </w:rPr>
        <w:t> </w:t>
      </w:r>
      <w:r>
        <w:rPr>
          <w:rFonts w:ascii="Georgia" w:hAnsi="Georgia"/>
          <w:color w:val="231F20"/>
          <w:sz w:val="18"/>
        </w:rPr>
        <w:t>Работа</w:t>
      </w:r>
      <w:r>
        <w:rPr>
          <w:rFonts w:ascii="Georgia" w:hAnsi="Georgia"/>
          <w:color w:val="231F20"/>
          <w:spacing w:val="-5"/>
          <w:sz w:val="18"/>
        </w:rPr>
        <w:t> </w:t>
      </w:r>
      <w:r>
        <w:rPr>
          <w:rFonts w:ascii="Georgia" w:hAnsi="Georgia"/>
          <w:color w:val="231F20"/>
          <w:sz w:val="18"/>
        </w:rPr>
        <w:t>педагога-психолога</w:t>
      </w:r>
      <w:r>
        <w:rPr>
          <w:rFonts w:ascii="Georgia" w:hAnsi="Georgia"/>
          <w:color w:val="231F20"/>
          <w:spacing w:val="-5"/>
          <w:sz w:val="18"/>
        </w:rPr>
        <w:t> </w:t>
      </w:r>
      <w:r>
        <w:rPr>
          <w:rFonts w:ascii="Georgia" w:hAnsi="Georgia"/>
          <w:color w:val="231F20"/>
          <w:sz w:val="18"/>
        </w:rPr>
        <w:t>в</w:t>
      </w:r>
      <w:r>
        <w:rPr>
          <w:rFonts w:ascii="Georgia" w:hAnsi="Georgia"/>
          <w:color w:val="231F20"/>
          <w:spacing w:val="-5"/>
          <w:sz w:val="18"/>
        </w:rPr>
        <w:t> </w:t>
      </w:r>
      <w:r>
        <w:rPr>
          <w:rFonts w:ascii="Georgia" w:hAnsi="Georgia"/>
          <w:color w:val="231F20"/>
          <w:sz w:val="18"/>
        </w:rPr>
        <w:t>области</w:t>
      </w:r>
      <w:r>
        <w:rPr>
          <w:rFonts w:ascii="Georgia" w:hAnsi="Georgia"/>
          <w:color w:val="231F20"/>
          <w:spacing w:val="-6"/>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детей</w:t>
      </w:r>
      <w:r>
        <w:rPr>
          <w:rFonts w:ascii="Georgia" w:hAnsi="Georgia"/>
          <w:color w:val="231F20"/>
          <w:spacing w:val="-5"/>
          <w:sz w:val="18"/>
        </w:rPr>
        <w:t> </w:t>
      </w:r>
      <w:r>
        <w:rPr>
          <w:rFonts w:ascii="Georgia" w:hAnsi="Georgia"/>
          <w:color w:val="231F20"/>
          <w:sz w:val="18"/>
        </w:rPr>
        <w:t>...</w:t>
      </w:r>
      <w:r>
        <w:rPr>
          <w:rFonts w:ascii="Georgia" w:hAnsi="Georgia"/>
          <w:color w:val="231F20"/>
          <w:spacing w:val="-5"/>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BodyText"/>
        <w:spacing w:line="232" w:lineRule="auto" w:before="118"/>
        <w:ind w:right="138" w:firstLine="0"/>
      </w:pPr>
      <w:r>
        <w:rPr/>
        <w:t>нальная компетентность помогает ребенку удовлетворять потребность в принятии, формировать устойчивые связи со сверстниками и быть включенным в сообщество. В дополнение к этому, занятия по УМК легитимизируют понимание и проявление эмоций, из-за чего создается</w:t>
      </w:r>
      <w:r>
        <w:rPr>
          <w:spacing w:val="-1"/>
        </w:rPr>
        <w:t> </w:t>
      </w:r>
      <w:r>
        <w:rPr/>
        <w:t>благоприятная, ненасильственная</w:t>
      </w:r>
      <w:r>
        <w:rPr>
          <w:spacing w:val="-1"/>
        </w:rPr>
        <w:t> </w:t>
      </w:r>
      <w:r>
        <w:rPr/>
        <w:t>образовательная сре- да. Все это повышает субъективное благополучие ребенка и уровень его удовлетво- ренности жизнью в различных сферах (и учебной, и социальной), что соответствует одной из целей программы психолого-педагогического сопровождения детей ино- странных граждан.</w:t>
      </w:r>
    </w:p>
    <w:p>
      <w:pPr>
        <w:spacing w:line="224" w:lineRule="exact" w:before="97"/>
        <w:ind w:left="425" w:right="0" w:firstLine="0"/>
        <w:jc w:val="both"/>
        <w:rPr>
          <w:i/>
          <w:sz w:val="20"/>
        </w:rPr>
      </w:pPr>
      <w:r>
        <w:rPr>
          <w:i/>
          <w:sz w:val="20"/>
        </w:rPr>
        <w:t>Среда</w:t>
      </w:r>
      <w:r>
        <w:rPr>
          <w:i/>
          <w:spacing w:val="-3"/>
          <w:sz w:val="20"/>
        </w:rPr>
        <w:t> </w:t>
      </w:r>
      <w:r>
        <w:rPr>
          <w:i/>
          <w:sz w:val="20"/>
        </w:rPr>
        <w:t>для</w:t>
      </w:r>
      <w:r>
        <w:rPr>
          <w:i/>
          <w:spacing w:val="-2"/>
          <w:sz w:val="20"/>
        </w:rPr>
        <w:t> социализации</w:t>
      </w:r>
    </w:p>
    <w:p>
      <w:pPr>
        <w:pStyle w:val="BodyText"/>
        <w:spacing w:line="228" w:lineRule="auto" w:before="3"/>
      </w:pPr>
      <w:r>
        <w:rPr/>
        <w:t>УМК нацелен на развитие личности каждого ребенка, однако большинство ак- тивностей программы предлагают встречу с социальной ситуацией: размышлением над примерами до взаимодействия в парах и группах. Ребенок, ставший участником занятий, попадает в ситуацию, где его навыки общения, эмпатии и эмоциональной саморегуляции становятся прикладными: выполняя задания, необходимо общаться</w:t>
      </w:r>
      <w:r>
        <w:rPr>
          <w:spacing w:val="40"/>
        </w:rPr>
        <w:t> </w:t>
      </w:r>
      <w:r>
        <w:rPr/>
        <w:t>и договариваться. Эффективная совместная деятельность становится одновременно целью и средством интеграции ребенка в сообщество сверстников, что приобретает дополнительную важность для участников с миграционным опытом.</w:t>
      </w:r>
    </w:p>
    <w:p>
      <w:pPr>
        <w:pStyle w:val="BodyText"/>
        <w:spacing w:line="232" w:lineRule="auto"/>
      </w:pPr>
      <w:r>
        <w:rPr/>
        <w:t>Интерактивные встречи с родителями, которые предполагает программа, тоже значимы</w:t>
      </w:r>
      <w:r>
        <w:rPr>
          <w:spacing w:val="-6"/>
        </w:rPr>
        <w:t> </w:t>
      </w:r>
      <w:r>
        <w:rPr/>
        <w:t>для</w:t>
      </w:r>
      <w:r>
        <w:rPr>
          <w:spacing w:val="-6"/>
        </w:rPr>
        <w:t> </w:t>
      </w:r>
      <w:r>
        <w:rPr/>
        <w:t>интеграции</w:t>
      </w:r>
      <w:r>
        <w:rPr>
          <w:spacing w:val="-5"/>
        </w:rPr>
        <w:t> </w:t>
      </w:r>
      <w:r>
        <w:rPr/>
        <w:t>семей</w:t>
      </w:r>
      <w:r>
        <w:rPr>
          <w:spacing w:val="-5"/>
        </w:rPr>
        <w:t> </w:t>
      </w:r>
      <w:r>
        <w:rPr/>
        <w:t>с</w:t>
      </w:r>
      <w:r>
        <w:rPr>
          <w:spacing w:val="-5"/>
        </w:rPr>
        <w:t> </w:t>
      </w:r>
      <w:r>
        <w:rPr/>
        <w:t>опытом</w:t>
      </w:r>
      <w:r>
        <w:rPr>
          <w:spacing w:val="-5"/>
        </w:rPr>
        <w:t> </w:t>
      </w:r>
      <w:r>
        <w:rPr/>
        <w:t>миграции</w:t>
      </w:r>
      <w:r>
        <w:rPr>
          <w:spacing w:val="-5"/>
        </w:rPr>
        <w:t> </w:t>
      </w:r>
      <w:r>
        <w:rPr/>
        <w:t>в</w:t>
      </w:r>
      <w:r>
        <w:rPr>
          <w:spacing w:val="-5"/>
        </w:rPr>
        <w:t> </w:t>
      </w:r>
      <w:r>
        <w:rPr/>
        <w:t>принимающую</w:t>
      </w:r>
      <w:r>
        <w:rPr>
          <w:spacing w:val="-6"/>
        </w:rPr>
        <w:t> </w:t>
      </w:r>
      <w:r>
        <w:rPr/>
        <w:t>культуру</w:t>
      </w:r>
      <w:r>
        <w:rPr>
          <w:spacing w:val="-5"/>
        </w:rPr>
        <w:t> </w:t>
      </w:r>
      <w:r>
        <w:rPr/>
        <w:t>и</w:t>
      </w:r>
      <w:r>
        <w:rPr>
          <w:spacing w:val="-5"/>
        </w:rPr>
        <w:t> </w:t>
      </w:r>
      <w:r>
        <w:rPr/>
        <w:t>кон- кретно в школьное сообщество: родители получат шанс познакомиться и повзаимо- действовать на личностном уровне, установить новые связи и, возможно, получить поддержку или оказать ее друг другу.</w:t>
      </w:r>
    </w:p>
    <w:p>
      <w:pPr>
        <w:spacing w:line="227" w:lineRule="exact" w:before="166"/>
        <w:ind w:left="2233" w:right="0" w:firstLine="0"/>
        <w:jc w:val="both"/>
        <w:rPr>
          <w:b/>
          <w:i/>
          <w:sz w:val="20"/>
        </w:rPr>
      </w:pPr>
      <w:r>
        <w:rPr>
          <w:b/>
          <w:i/>
          <w:sz w:val="20"/>
        </w:rPr>
        <w:t>Требования</w:t>
      </w:r>
      <w:r>
        <w:rPr>
          <w:b/>
          <w:i/>
          <w:spacing w:val="-9"/>
          <w:sz w:val="20"/>
        </w:rPr>
        <w:t> </w:t>
      </w:r>
      <w:r>
        <w:rPr>
          <w:b/>
          <w:i/>
          <w:sz w:val="20"/>
        </w:rPr>
        <w:t>к</w:t>
      </w:r>
      <w:r>
        <w:rPr>
          <w:b/>
          <w:i/>
          <w:spacing w:val="-8"/>
          <w:sz w:val="20"/>
        </w:rPr>
        <w:t> </w:t>
      </w:r>
      <w:r>
        <w:rPr>
          <w:b/>
          <w:i/>
          <w:sz w:val="20"/>
        </w:rPr>
        <w:t>проведению</w:t>
      </w:r>
      <w:r>
        <w:rPr>
          <w:b/>
          <w:i/>
          <w:spacing w:val="-8"/>
          <w:sz w:val="20"/>
        </w:rPr>
        <w:t> </w:t>
      </w:r>
      <w:r>
        <w:rPr>
          <w:b/>
          <w:i/>
          <w:spacing w:val="-2"/>
          <w:sz w:val="20"/>
        </w:rPr>
        <w:t>занятий</w:t>
      </w:r>
    </w:p>
    <w:p>
      <w:pPr>
        <w:spacing w:line="224" w:lineRule="exact" w:before="0"/>
        <w:ind w:left="425" w:right="0" w:firstLine="0"/>
        <w:jc w:val="both"/>
        <w:rPr>
          <w:i/>
          <w:sz w:val="20"/>
        </w:rPr>
      </w:pPr>
      <w:r>
        <w:rPr>
          <w:i/>
          <w:sz w:val="20"/>
        </w:rPr>
        <w:t>Квалификация</w:t>
      </w:r>
      <w:r>
        <w:rPr>
          <w:i/>
          <w:spacing w:val="-8"/>
          <w:sz w:val="20"/>
        </w:rPr>
        <w:t> </w:t>
      </w:r>
      <w:r>
        <w:rPr>
          <w:i/>
          <w:spacing w:val="-2"/>
          <w:sz w:val="20"/>
        </w:rPr>
        <w:t>педагога</w:t>
      </w:r>
    </w:p>
    <w:p>
      <w:pPr>
        <w:pStyle w:val="BodyText"/>
        <w:spacing w:line="232" w:lineRule="auto" w:before="2"/>
      </w:pPr>
      <w:r>
        <w:rPr/>
        <w:t>Проводить</w:t>
      </w:r>
      <w:r>
        <w:rPr>
          <w:spacing w:val="-4"/>
        </w:rPr>
        <w:t> </w:t>
      </w:r>
      <w:r>
        <w:rPr/>
        <w:t>занятия</w:t>
      </w:r>
      <w:r>
        <w:rPr>
          <w:spacing w:val="-4"/>
        </w:rPr>
        <w:t> </w:t>
      </w:r>
      <w:r>
        <w:rPr/>
        <w:t>по</w:t>
      </w:r>
      <w:r>
        <w:rPr>
          <w:spacing w:val="-4"/>
        </w:rPr>
        <w:t> </w:t>
      </w:r>
      <w:r>
        <w:rPr/>
        <w:t>УМК</w:t>
      </w:r>
      <w:r>
        <w:rPr>
          <w:spacing w:val="-4"/>
        </w:rPr>
        <w:t> </w:t>
      </w:r>
      <w:r>
        <w:rPr/>
        <w:t>может</w:t>
      </w:r>
      <w:r>
        <w:rPr>
          <w:spacing w:val="-4"/>
        </w:rPr>
        <w:t> </w:t>
      </w:r>
      <w:r>
        <w:rPr/>
        <w:t>как</w:t>
      </w:r>
      <w:r>
        <w:rPr>
          <w:spacing w:val="-4"/>
        </w:rPr>
        <w:t> </w:t>
      </w:r>
      <w:r>
        <w:rPr/>
        <w:t>педагог</w:t>
      </w:r>
      <w:r>
        <w:rPr>
          <w:spacing w:val="-4"/>
        </w:rPr>
        <w:t> </w:t>
      </w:r>
      <w:r>
        <w:rPr/>
        <w:t>высшей</w:t>
      </w:r>
      <w:r>
        <w:rPr>
          <w:spacing w:val="-4"/>
        </w:rPr>
        <w:t> </w:t>
      </w:r>
      <w:r>
        <w:rPr/>
        <w:t>или</w:t>
      </w:r>
      <w:r>
        <w:rPr>
          <w:spacing w:val="-4"/>
        </w:rPr>
        <w:t> </w:t>
      </w:r>
      <w:r>
        <w:rPr/>
        <w:t>первой</w:t>
      </w:r>
      <w:r>
        <w:rPr>
          <w:spacing w:val="-4"/>
        </w:rPr>
        <w:t> </w:t>
      </w:r>
      <w:r>
        <w:rPr/>
        <w:t>квалификаци- онной</w:t>
      </w:r>
      <w:r>
        <w:rPr>
          <w:spacing w:val="-8"/>
        </w:rPr>
        <w:t> </w:t>
      </w:r>
      <w:r>
        <w:rPr/>
        <w:t>категории,</w:t>
      </w:r>
      <w:r>
        <w:rPr>
          <w:spacing w:val="-8"/>
        </w:rPr>
        <w:t> </w:t>
      </w:r>
      <w:r>
        <w:rPr/>
        <w:t>так</w:t>
      </w:r>
      <w:r>
        <w:rPr>
          <w:spacing w:val="-8"/>
        </w:rPr>
        <w:t> </w:t>
      </w:r>
      <w:r>
        <w:rPr/>
        <w:t>и</w:t>
      </w:r>
      <w:r>
        <w:rPr>
          <w:spacing w:val="-8"/>
        </w:rPr>
        <w:t> </w:t>
      </w:r>
      <w:r>
        <w:rPr/>
        <w:t>учитель,</w:t>
      </w:r>
      <w:r>
        <w:rPr>
          <w:spacing w:val="-8"/>
        </w:rPr>
        <w:t> </w:t>
      </w:r>
      <w:r>
        <w:rPr/>
        <w:t>аттестованный</w:t>
      </w:r>
      <w:r>
        <w:rPr>
          <w:spacing w:val="-8"/>
        </w:rPr>
        <w:t> </w:t>
      </w:r>
      <w:r>
        <w:rPr/>
        <w:t>на</w:t>
      </w:r>
      <w:r>
        <w:rPr>
          <w:spacing w:val="-8"/>
        </w:rPr>
        <w:t> </w:t>
      </w:r>
      <w:r>
        <w:rPr/>
        <w:t>соответствие</w:t>
      </w:r>
      <w:r>
        <w:rPr>
          <w:spacing w:val="-8"/>
        </w:rPr>
        <w:t> </w:t>
      </w:r>
      <w:r>
        <w:rPr/>
        <w:t>занимаемой</w:t>
      </w:r>
      <w:r>
        <w:rPr>
          <w:spacing w:val="-8"/>
        </w:rPr>
        <w:t> </w:t>
      </w:r>
      <w:r>
        <w:rPr/>
        <w:t>должно- сти,</w:t>
      </w:r>
      <w:r>
        <w:rPr>
          <w:spacing w:val="-1"/>
        </w:rPr>
        <w:t> </w:t>
      </w:r>
      <w:r>
        <w:rPr/>
        <w:t>и</w:t>
      </w:r>
      <w:r>
        <w:rPr>
          <w:spacing w:val="-1"/>
        </w:rPr>
        <w:t> </w:t>
      </w:r>
      <w:r>
        <w:rPr/>
        <w:t>даже</w:t>
      </w:r>
      <w:r>
        <w:rPr>
          <w:spacing w:val="-1"/>
        </w:rPr>
        <w:t> </w:t>
      </w:r>
      <w:r>
        <w:rPr/>
        <w:t>молодой</w:t>
      </w:r>
      <w:r>
        <w:rPr>
          <w:spacing w:val="-1"/>
        </w:rPr>
        <w:t> </w:t>
      </w:r>
      <w:r>
        <w:rPr/>
        <w:t>специалист.</w:t>
      </w:r>
      <w:r>
        <w:rPr>
          <w:spacing w:val="-1"/>
        </w:rPr>
        <w:t> </w:t>
      </w:r>
      <w:r>
        <w:rPr/>
        <w:t>Предполагается,</w:t>
      </w:r>
      <w:r>
        <w:rPr>
          <w:spacing w:val="-1"/>
        </w:rPr>
        <w:t> </w:t>
      </w:r>
      <w:r>
        <w:rPr/>
        <w:t>что</w:t>
      </w:r>
      <w:r>
        <w:rPr>
          <w:spacing w:val="-1"/>
        </w:rPr>
        <w:t> </w:t>
      </w:r>
      <w:r>
        <w:rPr/>
        <w:t>ведущий</w:t>
      </w:r>
      <w:r>
        <w:rPr>
          <w:spacing w:val="-1"/>
        </w:rPr>
        <w:t> </w:t>
      </w:r>
      <w:r>
        <w:rPr/>
        <w:t>программы</w:t>
      </w:r>
      <w:r>
        <w:rPr>
          <w:spacing w:val="-1"/>
        </w:rPr>
        <w:t> </w:t>
      </w:r>
      <w:r>
        <w:rPr/>
        <w:t>обладает базовыми</w:t>
      </w:r>
      <w:r>
        <w:rPr>
          <w:spacing w:val="-1"/>
        </w:rPr>
        <w:t> </w:t>
      </w:r>
      <w:r>
        <w:rPr/>
        <w:t>компетенциями</w:t>
      </w:r>
      <w:r>
        <w:rPr>
          <w:spacing w:val="-1"/>
        </w:rPr>
        <w:t> </w:t>
      </w:r>
      <w:r>
        <w:rPr/>
        <w:t>в</w:t>
      </w:r>
      <w:r>
        <w:rPr>
          <w:spacing w:val="-1"/>
        </w:rPr>
        <w:t> </w:t>
      </w:r>
      <w:r>
        <w:rPr/>
        <w:t>области</w:t>
      </w:r>
      <w:r>
        <w:rPr>
          <w:spacing w:val="-1"/>
        </w:rPr>
        <w:t> </w:t>
      </w:r>
      <w:r>
        <w:rPr/>
        <w:t>психологии,</w:t>
      </w:r>
      <w:r>
        <w:rPr>
          <w:spacing w:val="-1"/>
        </w:rPr>
        <w:t> </w:t>
      </w:r>
      <w:r>
        <w:rPr/>
        <w:t>взаимодействует</w:t>
      </w:r>
      <w:r>
        <w:rPr>
          <w:spacing w:val="-1"/>
        </w:rPr>
        <w:t> </w:t>
      </w:r>
      <w:r>
        <w:rPr/>
        <w:t>с</w:t>
      </w:r>
      <w:r>
        <w:rPr>
          <w:spacing w:val="-1"/>
        </w:rPr>
        <w:t> </w:t>
      </w:r>
      <w:r>
        <w:rPr/>
        <w:t>детьми</w:t>
      </w:r>
      <w:r>
        <w:rPr>
          <w:spacing w:val="-1"/>
        </w:rPr>
        <w:t> </w:t>
      </w:r>
      <w:r>
        <w:rPr/>
        <w:t>в</w:t>
      </w:r>
      <w:r>
        <w:rPr>
          <w:spacing w:val="-1"/>
        </w:rPr>
        <w:t> </w:t>
      </w:r>
      <w:r>
        <w:rPr/>
        <w:t>диало- говом</w:t>
      </w:r>
      <w:r>
        <w:rPr>
          <w:spacing w:val="-2"/>
        </w:rPr>
        <w:t> </w:t>
      </w:r>
      <w:r>
        <w:rPr/>
        <w:t>формате,</w:t>
      </w:r>
      <w:r>
        <w:rPr>
          <w:spacing w:val="-3"/>
        </w:rPr>
        <w:t> </w:t>
      </w:r>
      <w:r>
        <w:rPr/>
        <w:t>готов</w:t>
      </w:r>
      <w:r>
        <w:rPr>
          <w:spacing w:val="-3"/>
        </w:rPr>
        <w:t> </w:t>
      </w:r>
      <w:r>
        <w:rPr/>
        <w:t>слушать</w:t>
      </w:r>
      <w:r>
        <w:rPr>
          <w:spacing w:val="-3"/>
        </w:rPr>
        <w:t> </w:t>
      </w:r>
      <w:r>
        <w:rPr/>
        <w:t>участников</w:t>
      </w:r>
      <w:r>
        <w:rPr>
          <w:spacing w:val="-3"/>
        </w:rPr>
        <w:t> </w:t>
      </w:r>
      <w:r>
        <w:rPr/>
        <w:t>и</w:t>
      </w:r>
      <w:r>
        <w:rPr>
          <w:spacing w:val="-3"/>
        </w:rPr>
        <w:t> </w:t>
      </w:r>
      <w:r>
        <w:rPr/>
        <w:t>позволять</w:t>
      </w:r>
      <w:r>
        <w:rPr>
          <w:spacing w:val="-3"/>
        </w:rPr>
        <w:t> </w:t>
      </w:r>
      <w:r>
        <w:rPr/>
        <w:t>их</w:t>
      </w:r>
      <w:r>
        <w:rPr>
          <w:spacing w:val="-2"/>
        </w:rPr>
        <w:t> </w:t>
      </w:r>
      <w:r>
        <w:rPr/>
        <w:t>эмоциям</w:t>
      </w:r>
      <w:r>
        <w:rPr>
          <w:spacing w:val="-2"/>
        </w:rPr>
        <w:t> </w:t>
      </w:r>
      <w:r>
        <w:rPr/>
        <w:t>проявляться</w:t>
      </w:r>
      <w:r>
        <w:rPr>
          <w:spacing w:val="-3"/>
        </w:rPr>
        <w:t> </w:t>
      </w:r>
      <w:r>
        <w:rPr/>
        <w:t>(при необходимости переводя в более безопасное русло).</w:t>
      </w:r>
    </w:p>
    <w:p>
      <w:pPr>
        <w:pStyle w:val="BodyText"/>
        <w:spacing w:line="232" w:lineRule="auto" w:before="6"/>
      </w:pPr>
      <w:r>
        <w:rPr/>
        <w:t>Для любого педагога, работающего в начальной школе, и особенно для того, кто ведет занятия по социально-эмоциональному развитию, важно быть безопасным взрослым, то есть:</w:t>
      </w:r>
    </w:p>
    <w:p>
      <w:pPr>
        <w:pStyle w:val="ListParagraph"/>
        <w:numPr>
          <w:ilvl w:val="0"/>
          <w:numId w:val="120"/>
        </w:numPr>
        <w:tabs>
          <w:tab w:pos="425" w:val="left" w:leader="none"/>
        </w:tabs>
        <w:spacing w:line="232" w:lineRule="auto" w:before="2" w:after="0"/>
        <w:ind w:left="425" w:right="139" w:hanging="284"/>
        <w:jc w:val="left"/>
        <w:rPr>
          <w:sz w:val="20"/>
        </w:rPr>
      </w:pPr>
      <w:r>
        <w:rPr>
          <w:sz w:val="20"/>
        </w:rPr>
        <w:t>поддерживать правила класса (в том числе правила этичной коммуникации и не- насильственного общения) и придерживаться их самому,</w:t>
      </w:r>
    </w:p>
    <w:p>
      <w:pPr>
        <w:pStyle w:val="ListParagraph"/>
        <w:numPr>
          <w:ilvl w:val="0"/>
          <w:numId w:val="120"/>
        </w:numPr>
        <w:tabs>
          <w:tab w:pos="424" w:val="left" w:leader="none"/>
        </w:tabs>
        <w:spacing w:line="223" w:lineRule="exact" w:before="0" w:after="0"/>
        <w:ind w:left="424" w:right="0" w:hanging="283"/>
        <w:jc w:val="left"/>
        <w:rPr>
          <w:sz w:val="20"/>
        </w:rPr>
      </w:pPr>
      <w:r>
        <w:rPr>
          <w:sz w:val="20"/>
        </w:rPr>
        <w:t>давать</w:t>
      </w:r>
      <w:r>
        <w:rPr>
          <w:spacing w:val="-11"/>
          <w:sz w:val="20"/>
        </w:rPr>
        <w:t> </w:t>
      </w:r>
      <w:r>
        <w:rPr>
          <w:sz w:val="20"/>
        </w:rPr>
        <w:t>участникам</w:t>
      </w:r>
      <w:r>
        <w:rPr>
          <w:spacing w:val="-7"/>
          <w:sz w:val="20"/>
        </w:rPr>
        <w:t> </w:t>
      </w:r>
      <w:r>
        <w:rPr>
          <w:sz w:val="20"/>
        </w:rPr>
        <w:t>поддержку</w:t>
      </w:r>
      <w:r>
        <w:rPr>
          <w:spacing w:val="-7"/>
          <w:sz w:val="20"/>
        </w:rPr>
        <w:t> </w:t>
      </w:r>
      <w:r>
        <w:rPr>
          <w:sz w:val="20"/>
        </w:rPr>
        <w:t>и</w:t>
      </w:r>
      <w:r>
        <w:rPr>
          <w:spacing w:val="-8"/>
          <w:sz w:val="20"/>
        </w:rPr>
        <w:t> </w:t>
      </w:r>
      <w:r>
        <w:rPr>
          <w:sz w:val="20"/>
        </w:rPr>
        <w:t>проявлять</w:t>
      </w:r>
      <w:r>
        <w:rPr>
          <w:spacing w:val="-8"/>
          <w:sz w:val="20"/>
        </w:rPr>
        <w:t> </w:t>
      </w:r>
      <w:r>
        <w:rPr>
          <w:spacing w:val="-2"/>
          <w:sz w:val="20"/>
        </w:rPr>
        <w:t>эмпатию,</w:t>
      </w:r>
    </w:p>
    <w:p>
      <w:pPr>
        <w:pStyle w:val="ListParagraph"/>
        <w:numPr>
          <w:ilvl w:val="0"/>
          <w:numId w:val="120"/>
        </w:numPr>
        <w:tabs>
          <w:tab w:pos="424" w:val="left" w:leader="none"/>
        </w:tabs>
        <w:spacing w:line="224" w:lineRule="exact" w:before="0" w:after="0"/>
        <w:ind w:left="424" w:right="0" w:hanging="283"/>
        <w:jc w:val="left"/>
        <w:rPr>
          <w:sz w:val="20"/>
        </w:rPr>
      </w:pPr>
      <w:r>
        <w:rPr>
          <w:sz w:val="20"/>
        </w:rPr>
        <w:t>использовать</w:t>
      </w:r>
      <w:r>
        <w:rPr>
          <w:spacing w:val="-8"/>
          <w:sz w:val="20"/>
        </w:rPr>
        <w:t> </w:t>
      </w:r>
      <w:r>
        <w:rPr>
          <w:sz w:val="20"/>
        </w:rPr>
        <w:t>Я-сообщения</w:t>
      </w:r>
      <w:r>
        <w:rPr>
          <w:spacing w:val="-6"/>
          <w:sz w:val="20"/>
        </w:rPr>
        <w:t> </w:t>
      </w:r>
      <w:r>
        <w:rPr>
          <w:sz w:val="20"/>
        </w:rPr>
        <w:t>и</w:t>
      </w:r>
      <w:r>
        <w:rPr>
          <w:spacing w:val="-7"/>
          <w:sz w:val="20"/>
        </w:rPr>
        <w:t> </w:t>
      </w:r>
      <w:r>
        <w:rPr>
          <w:sz w:val="20"/>
        </w:rPr>
        <w:t>безоценочные</w:t>
      </w:r>
      <w:r>
        <w:rPr>
          <w:spacing w:val="-6"/>
          <w:sz w:val="20"/>
        </w:rPr>
        <w:t> </w:t>
      </w:r>
      <w:r>
        <w:rPr>
          <w:spacing w:val="-2"/>
          <w:sz w:val="20"/>
        </w:rPr>
        <w:t>суждения,</w:t>
      </w:r>
    </w:p>
    <w:p>
      <w:pPr>
        <w:pStyle w:val="ListParagraph"/>
        <w:numPr>
          <w:ilvl w:val="0"/>
          <w:numId w:val="120"/>
        </w:numPr>
        <w:tabs>
          <w:tab w:pos="424" w:val="left" w:leader="none"/>
        </w:tabs>
        <w:spacing w:line="223" w:lineRule="exact" w:before="0" w:after="0"/>
        <w:ind w:left="424" w:right="0" w:hanging="283"/>
        <w:jc w:val="left"/>
        <w:rPr>
          <w:sz w:val="20"/>
        </w:rPr>
      </w:pPr>
      <w:r>
        <w:rPr>
          <w:sz w:val="20"/>
        </w:rPr>
        <w:t>вести</w:t>
      </w:r>
      <w:r>
        <w:rPr>
          <w:spacing w:val="-2"/>
          <w:sz w:val="20"/>
        </w:rPr>
        <w:t> </w:t>
      </w:r>
      <w:r>
        <w:rPr>
          <w:sz w:val="20"/>
        </w:rPr>
        <w:t>себя</w:t>
      </w:r>
      <w:r>
        <w:rPr>
          <w:spacing w:val="-1"/>
          <w:sz w:val="20"/>
        </w:rPr>
        <w:t> </w:t>
      </w:r>
      <w:r>
        <w:rPr>
          <w:spacing w:val="-2"/>
          <w:sz w:val="20"/>
        </w:rPr>
        <w:t>последовательно,</w:t>
      </w:r>
    </w:p>
    <w:p>
      <w:pPr>
        <w:pStyle w:val="ListParagraph"/>
        <w:numPr>
          <w:ilvl w:val="0"/>
          <w:numId w:val="120"/>
        </w:numPr>
        <w:tabs>
          <w:tab w:pos="424" w:val="left" w:leader="none"/>
        </w:tabs>
        <w:spacing w:line="222" w:lineRule="exact" w:before="0" w:after="0"/>
        <w:ind w:left="424" w:right="0" w:hanging="283"/>
        <w:jc w:val="left"/>
        <w:rPr>
          <w:sz w:val="20"/>
        </w:rPr>
      </w:pPr>
      <w:r>
        <w:rPr>
          <w:sz w:val="20"/>
        </w:rPr>
        <w:t>модерировать</w:t>
      </w:r>
      <w:r>
        <w:rPr>
          <w:spacing w:val="-14"/>
          <w:sz w:val="20"/>
        </w:rPr>
        <w:t> </w:t>
      </w:r>
      <w:r>
        <w:rPr>
          <w:sz w:val="20"/>
        </w:rPr>
        <w:t>групповую</w:t>
      </w:r>
      <w:r>
        <w:rPr>
          <w:spacing w:val="-12"/>
          <w:sz w:val="20"/>
        </w:rPr>
        <w:t> </w:t>
      </w:r>
      <w:r>
        <w:rPr>
          <w:sz w:val="20"/>
        </w:rPr>
        <w:t>работу</w:t>
      </w:r>
      <w:r>
        <w:rPr>
          <w:spacing w:val="-10"/>
          <w:sz w:val="20"/>
        </w:rPr>
        <w:t> </w:t>
      </w:r>
      <w:r>
        <w:rPr>
          <w:sz w:val="20"/>
        </w:rPr>
        <w:t>и</w:t>
      </w:r>
      <w:r>
        <w:rPr>
          <w:spacing w:val="-12"/>
          <w:sz w:val="20"/>
        </w:rPr>
        <w:t> </w:t>
      </w:r>
      <w:r>
        <w:rPr>
          <w:sz w:val="20"/>
        </w:rPr>
        <w:t>обеспечивать</w:t>
      </w:r>
      <w:r>
        <w:rPr>
          <w:spacing w:val="-12"/>
          <w:sz w:val="20"/>
        </w:rPr>
        <w:t> </w:t>
      </w:r>
      <w:r>
        <w:rPr>
          <w:sz w:val="20"/>
        </w:rPr>
        <w:t>профилактику</w:t>
      </w:r>
      <w:r>
        <w:rPr>
          <w:spacing w:val="-10"/>
          <w:sz w:val="20"/>
        </w:rPr>
        <w:t> </w:t>
      </w:r>
      <w:r>
        <w:rPr>
          <w:spacing w:val="-2"/>
          <w:sz w:val="20"/>
        </w:rPr>
        <w:t>конфликтов,</w:t>
      </w:r>
    </w:p>
    <w:p>
      <w:pPr>
        <w:pStyle w:val="ListParagraph"/>
        <w:numPr>
          <w:ilvl w:val="0"/>
          <w:numId w:val="120"/>
        </w:numPr>
        <w:tabs>
          <w:tab w:pos="424" w:val="left" w:leader="none"/>
        </w:tabs>
        <w:spacing w:line="222" w:lineRule="exact" w:before="0" w:after="0"/>
        <w:ind w:left="424" w:right="0" w:hanging="283"/>
        <w:jc w:val="left"/>
        <w:rPr>
          <w:sz w:val="20"/>
        </w:rPr>
      </w:pPr>
      <w:r>
        <w:rPr>
          <w:sz w:val="20"/>
        </w:rPr>
        <w:t>брать</w:t>
      </w:r>
      <w:r>
        <w:rPr>
          <w:spacing w:val="-6"/>
          <w:sz w:val="20"/>
        </w:rPr>
        <w:t> </w:t>
      </w:r>
      <w:r>
        <w:rPr>
          <w:sz w:val="20"/>
        </w:rPr>
        <w:t>на</w:t>
      </w:r>
      <w:r>
        <w:rPr>
          <w:spacing w:val="-5"/>
          <w:sz w:val="20"/>
        </w:rPr>
        <w:t> </w:t>
      </w:r>
      <w:r>
        <w:rPr>
          <w:sz w:val="20"/>
        </w:rPr>
        <w:t>себя</w:t>
      </w:r>
      <w:r>
        <w:rPr>
          <w:spacing w:val="-5"/>
          <w:sz w:val="20"/>
        </w:rPr>
        <w:t> </w:t>
      </w:r>
      <w:r>
        <w:rPr>
          <w:sz w:val="20"/>
        </w:rPr>
        <w:t>ответственность</w:t>
      </w:r>
      <w:r>
        <w:rPr>
          <w:spacing w:val="-5"/>
          <w:sz w:val="20"/>
        </w:rPr>
        <w:t> </w:t>
      </w:r>
      <w:r>
        <w:rPr>
          <w:sz w:val="20"/>
        </w:rPr>
        <w:t>за</w:t>
      </w:r>
      <w:r>
        <w:rPr>
          <w:spacing w:val="-5"/>
          <w:sz w:val="20"/>
        </w:rPr>
        <w:t> </w:t>
      </w:r>
      <w:r>
        <w:rPr>
          <w:sz w:val="20"/>
        </w:rPr>
        <w:t>происходящее</w:t>
      </w:r>
      <w:r>
        <w:rPr>
          <w:spacing w:val="-5"/>
          <w:sz w:val="20"/>
        </w:rPr>
        <w:t> </w:t>
      </w:r>
      <w:r>
        <w:rPr>
          <w:sz w:val="20"/>
        </w:rPr>
        <w:t>на</w:t>
      </w:r>
      <w:r>
        <w:rPr>
          <w:spacing w:val="-4"/>
          <w:sz w:val="20"/>
        </w:rPr>
        <w:t> </w:t>
      </w:r>
      <w:r>
        <w:rPr>
          <w:spacing w:val="-2"/>
          <w:sz w:val="20"/>
        </w:rPr>
        <w:t>занятиях.</w:t>
      </w:r>
    </w:p>
    <w:p>
      <w:pPr>
        <w:pStyle w:val="BodyText"/>
        <w:spacing w:line="230" w:lineRule="auto" w:before="4"/>
      </w:pPr>
      <w:r>
        <w:rPr/>
        <w:t>Социально-эмоциональное развитие в программе плотно связано с личностью педагога: обучение в том числе происходит через наблюдение за ролевой моделью взрослого. Поэтому предполагается, что ведущий обладает развитым эмоциональ- ным</w:t>
      </w:r>
      <w:r>
        <w:rPr>
          <w:spacing w:val="-13"/>
        </w:rPr>
        <w:t> </w:t>
      </w:r>
      <w:r>
        <w:rPr/>
        <w:t>интеллектом:</w:t>
      </w:r>
      <w:r>
        <w:rPr>
          <w:spacing w:val="-12"/>
        </w:rPr>
        <w:t> </w:t>
      </w:r>
      <w:r>
        <w:rPr/>
        <w:t>владеет</w:t>
      </w:r>
      <w:r>
        <w:rPr>
          <w:spacing w:val="-13"/>
        </w:rPr>
        <w:t> </w:t>
      </w:r>
      <w:r>
        <w:rPr/>
        <w:t>эмпатией,</w:t>
      </w:r>
      <w:r>
        <w:rPr>
          <w:spacing w:val="-12"/>
        </w:rPr>
        <w:t> </w:t>
      </w:r>
      <w:r>
        <w:rPr/>
        <w:t>понимает</w:t>
      </w:r>
      <w:r>
        <w:rPr>
          <w:spacing w:val="-13"/>
        </w:rPr>
        <w:t> </w:t>
      </w:r>
      <w:r>
        <w:rPr/>
        <w:t>собственные</w:t>
      </w:r>
      <w:r>
        <w:rPr>
          <w:spacing w:val="-12"/>
        </w:rPr>
        <w:t> </w:t>
      </w:r>
      <w:r>
        <w:rPr/>
        <w:t>эмоции,</w:t>
      </w:r>
      <w:r>
        <w:rPr>
          <w:spacing w:val="-13"/>
        </w:rPr>
        <w:t> </w:t>
      </w:r>
      <w:r>
        <w:rPr/>
        <w:t>умеет</w:t>
      </w:r>
      <w:r>
        <w:rPr>
          <w:spacing w:val="-12"/>
        </w:rPr>
        <w:t> </w:t>
      </w:r>
      <w:r>
        <w:rPr/>
        <w:t>конструк- тивно их выражать.</w:t>
      </w:r>
    </w:p>
    <w:p>
      <w:pPr>
        <w:pStyle w:val="BodyText"/>
        <w:spacing w:after="0" w:line="230" w:lineRule="auto"/>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ind w:left="0" w:right="0" w:firstLine="0"/>
        <w:jc w:val="left"/>
        <w:rPr>
          <w:rFonts w:ascii="Georgia"/>
          <w:sz w:val="12"/>
        </w:rPr>
      </w:pPr>
      <w:r>
        <w:rPr>
          <w:rFonts w:ascii="Georgia"/>
          <w:sz w:val="12"/>
        </w:rPr>
        <mc:AlternateContent>
          <mc:Choice Requires="wps">
            <w:drawing>
              <wp:anchor distT="0" distB="0" distL="0" distR="0" allowOverlap="1" layoutInCell="1" locked="0" behindDoc="1" simplePos="0" relativeHeight="487624704">
                <wp:simplePos x="0" y="0"/>
                <wp:positionH relativeFrom="page">
                  <wp:posOffset>733304</wp:posOffset>
                </wp:positionH>
                <wp:positionV relativeFrom="paragraph">
                  <wp:posOffset>101827</wp:posOffset>
                </wp:positionV>
                <wp:extent cx="3846829" cy="3112135"/>
                <wp:effectExtent l="0" t="0" r="0" b="0"/>
                <wp:wrapTopAndBottom/>
                <wp:docPr id="117" name="Group 117"/>
                <wp:cNvGraphicFramePr>
                  <a:graphicFrameLocks/>
                </wp:cNvGraphicFramePr>
                <a:graphic>
                  <a:graphicData uri="http://schemas.microsoft.com/office/word/2010/wordprocessingGroup">
                    <wpg:wgp>
                      <wpg:cNvPr id="117" name="Group 117"/>
                      <wpg:cNvGrpSpPr/>
                      <wpg:grpSpPr>
                        <a:xfrm>
                          <a:off x="0" y="0"/>
                          <a:ext cx="3846829" cy="3112135"/>
                          <a:chExt cx="3846829" cy="3112135"/>
                        </a:xfrm>
                      </wpg:grpSpPr>
                      <pic:pic>
                        <pic:nvPicPr>
                          <pic:cNvPr id="118" name="Image 118"/>
                          <pic:cNvPicPr/>
                        </pic:nvPicPr>
                        <pic:blipFill>
                          <a:blip r:embed="rId108" cstate="print"/>
                          <a:stretch>
                            <a:fillRect/>
                          </a:stretch>
                        </pic:blipFill>
                        <pic:spPr>
                          <a:xfrm>
                            <a:off x="0" y="0"/>
                            <a:ext cx="3737895" cy="3111690"/>
                          </a:xfrm>
                          <a:prstGeom prst="rect">
                            <a:avLst/>
                          </a:prstGeom>
                        </pic:spPr>
                      </pic:pic>
                      <wps:wsp>
                        <wps:cNvPr id="119" name="Graphic 119"/>
                        <wps:cNvSpPr/>
                        <wps:spPr>
                          <a:xfrm>
                            <a:off x="3614641" y="0"/>
                            <a:ext cx="232410" cy="481965"/>
                          </a:xfrm>
                          <a:custGeom>
                            <a:avLst/>
                            <a:gdLst/>
                            <a:ahLst/>
                            <a:cxnLst/>
                            <a:rect l="l" t="t" r="r" b="b"/>
                            <a:pathLst>
                              <a:path w="232410" h="481965">
                                <a:moveTo>
                                  <a:pt x="232105" y="0"/>
                                </a:moveTo>
                                <a:lnTo>
                                  <a:pt x="0" y="0"/>
                                </a:lnTo>
                                <a:lnTo>
                                  <a:pt x="0" y="481456"/>
                                </a:lnTo>
                                <a:lnTo>
                                  <a:pt x="232105" y="481456"/>
                                </a:lnTo>
                                <a:lnTo>
                                  <a:pt x="2321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57.740536pt;margin-top:8.017926pt;width:302.9pt;height:245.05pt;mso-position-horizontal-relative:page;mso-position-vertical-relative:paragraph;z-index:-15691776;mso-wrap-distance-left:0;mso-wrap-distance-right:0" id="docshapegroup74" coordorigin="1155,160" coordsize="6058,4901">
                <v:shape style="position:absolute;left:1154;top:160;width:5887;height:4901" type="#_x0000_t75" id="docshape75" stroked="false">
                  <v:imagedata r:id="rId108" o:title=""/>
                </v:shape>
                <v:rect style="position:absolute;left:6847;top:160;width:366;height:759" id="docshape76" filled="true" fillcolor="#ffffff" stroked="false">
                  <v:fill type="solid"/>
                </v:rect>
                <w10:wrap type="topAndBottom"/>
              </v:group>
            </w:pict>
          </mc:Fallback>
        </mc:AlternateContent>
      </w:r>
      <w:r>
        <w:rPr>
          <w:rFonts w:ascii="Georgia"/>
          <w:sz w:val="12"/>
        </w:rPr>
        <w:drawing>
          <wp:anchor distT="0" distB="0" distL="0" distR="0" allowOverlap="1" layoutInCell="1" locked="0" behindDoc="1" simplePos="0" relativeHeight="487625216">
            <wp:simplePos x="0" y="0"/>
            <wp:positionH relativeFrom="page">
              <wp:posOffset>778801</wp:posOffset>
            </wp:positionH>
            <wp:positionV relativeFrom="paragraph">
              <wp:posOffset>3465119</wp:posOffset>
            </wp:positionV>
            <wp:extent cx="3601713" cy="3074003"/>
            <wp:effectExtent l="0" t="0" r="0" b="0"/>
            <wp:wrapTopAndBottom/>
            <wp:docPr id="120" name="Image 120"/>
            <wp:cNvGraphicFramePr>
              <a:graphicFrameLocks/>
            </wp:cNvGraphicFramePr>
            <a:graphic>
              <a:graphicData uri="http://schemas.openxmlformats.org/drawingml/2006/picture">
                <pic:pic>
                  <pic:nvPicPr>
                    <pic:cNvPr id="120" name="Image 120"/>
                    <pic:cNvPicPr/>
                  </pic:nvPicPr>
                  <pic:blipFill>
                    <a:blip r:embed="rId109" cstate="print"/>
                    <a:stretch>
                      <a:fillRect/>
                    </a:stretch>
                  </pic:blipFill>
                  <pic:spPr>
                    <a:xfrm>
                      <a:off x="0" y="0"/>
                      <a:ext cx="3601713" cy="3074003"/>
                    </a:xfrm>
                    <a:prstGeom prst="rect">
                      <a:avLst/>
                    </a:prstGeom>
                  </pic:spPr>
                </pic:pic>
              </a:graphicData>
            </a:graphic>
          </wp:anchor>
        </w:drawing>
      </w:r>
    </w:p>
    <w:p>
      <w:pPr>
        <w:pStyle w:val="BodyText"/>
        <w:spacing w:before="144"/>
        <w:ind w:left="0" w:right="0" w:firstLine="0"/>
        <w:jc w:val="left"/>
        <w:rPr>
          <w:rFonts w:ascii="Georgia"/>
        </w:rPr>
      </w:pPr>
    </w:p>
    <w:p>
      <w:pPr>
        <w:pStyle w:val="BodyText"/>
        <w:spacing w:after="0"/>
        <w:jc w:val="left"/>
        <w:rPr>
          <w:rFonts w:ascii="Georgia"/>
        </w:rPr>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z w:val="18"/>
        </w:rPr>
        <w:t>4.2.</w:t>
      </w:r>
      <w:r>
        <w:rPr>
          <w:rFonts w:ascii="Georgia" w:hAnsi="Georgia"/>
          <w:color w:val="231F20"/>
          <w:spacing w:val="-6"/>
          <w:sz w:val="18"/>
        </w:rPr>
        <w:t> </w:t>
      </w:r>
      <w:r>
        <w:rPr>
          <w:rFonts w:ascii="Georgia" w:hAnsi="Georgia"/>
          <w:color w:val="231F20"/>
          <w:sz w:val="18"/>
        </w:rPr>
        <w:t>Работа</w:t>
      </w:r>
      <w:r>
        <w:rPr>
          <w:rFonts w:ascii="Georgia" w:hAnsi="Georgia"/>
          <w:color w:val="231F20"/>
          <w:spacing w:val="-5"/>
          <w:sz w:val="18"/>
        </w:rPr>
        <w:t> </w:t>
      </w:r>
      <w:r>
        <w:rPr>
          <w:rFonts w:ascii="Georgia" w:hAnsi="Georgia"/>
          <w:color w:val="231F20"/>
          <w:sz w:val="18"/>
        </w:rPr>
        <w:t>педагога-психолога</w:t>
      </w:r>
      <w:r>
        <w:rPr>
          <w:rFonts w:ascii="Georgia" w:hAnsi="Georgia"/>
          <w:color w:val="231F20"/>
          <w:spacing w:val="-5"/>
          <w:sz w:val="18"/>
        </w:rPr>
        <w:t> </w:t>
      </w:r>
      <w:r>
        <w:rPr>
          <w:rFonts w:ascii="Georgia" w:hAnsi="Georgia"/>
          <w:color w:val="231F20"/>
          <w:sz w:val="18"/>
        </w:rPr>
        <w:t>в</w:t>
      </w:r>
      <w:r>
        <w:rPr>
          <w:rFonts w:ascii="Georgia" w:hAnsi="Georgia"/>
          <w:color w:val="231F20"/>
          <w:spacing w:val="-5"/>
          <w:sz w:val="18"/>
        </w:rPr>
        <w:t> </w:t>
      </w:r>
      <w:r>
        <w:rPr>
          <w:rFonts w:ascii="Georgia" w:hAnsi="Georgia"/>
          <w:color w:val="231F20"/>
          <w:sz w:val="18"/>
        </w:rPr>
        <w:t>области</w:t>
      </w:r>
      <w:r>
        <w:rPr>
          <w:rFonts w:ascii="Georgia" w:hAnsi="Georgia"/>
          <w:color w:val="231F20"/>
          <w:spacing w:val="-6"/>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детей</w:t>
      </w:r>
      <w:r>
        <w:rPr>
          <w:rFonts w:ascii="Georgia" w:hAnsi="Georgia"/>
          <w:color w:val="231F20"/>
          <w:spacing w:val="-5"/>
          <w:sz w:val="18"/>
        </w:rPr>
        <w:t> </w:t>
      </w:r>
      <w:r>
        <w:rPr>
          <w:rFonts w:ascii="Georgia" w:hAnsi="Georgia"/>
          <w:color w:val="231F20"/>
          <w:sz w:val="18"/>
        </w:rPr>
        <w:t>...</w:t>
      </w:r>
      <w:r>
        <w:rPr>
          <w:rFonts w:ascii="Georgia" w:hAnsi="Georgia"/>
          <w:color w:val="231F20"/>
          <w:spacing w:val="-5"/>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BodyText"/>
        <w:ind w:left="0" w:right="0" w:firstLine="0"/>
        <w:jc w:val="left"/>
        <w:rPr>
          <w:rFonts w:ascii="Georgia"/>
          <w:sz w:val="12"/>
        </w:rPr>
      </w:pPr>
      <w:r>
        <w:rPr>
          <w:rFonts w:ascii="Georgia"/>
          <w:sz w:val="12"/>
        </w:rPr>
        <w:drawing>
          <wp:anchor distT="0" distB="0" distL="0" distR="0" allowOverlap="1" layoutInCell="1" locked="0" behindDoc="1" simplePos="0" relativeHeight="487625728">
            <wp:simplePos x="0" y="0"/>
            <wp:positionH relativeFrom="page">
              <wp:posOffset>711365</wp:posOffset>
            </wp:positionH>
            <wp:positionV relativeFrom="paragraph">
              <wp:posOffset>101827</wp:posOffset>
            </wp:positionV>
            <wp:extent cx="3884567" cy="6160770"/>
            <wp:effectExtent l="0" t="0" r="0" b="0"/>
            <wp:wrapTopAndBottom/>
            <wp:docPr id="121" name="Image 121"/>
            <wp:cNvGraphicFramePr>
              <a:graphicFrameLocks/>
            </wp:cNvGraphicFramePr>
            <a:graphic>
              <a:graphicData uri="http://schemas.openxmlformats.org/drawingml/2006/picture">
                <pic:pic>
                  <pic:nvPicPr>
                    <pic:cNvPr id="121" name="Image 121"/>
                    <pic:cNvPicPr/>
                  </pic:nvPicPr>
                  <pic:blipFill>
                    <a:blip r:embed="rId110" cstate="print"/>
                    <a:stretch>
                      <a:fillRect/>
                    </a:stretch>
                  </pic:blipFill>
                  <pic:spPr>
                    <a:xfrm>
                      <a:off x="0" y="0"/>
                      <a:ext cx="3884567" cy="6160770"/>
                    </a:xfrm>
                    <a:prstGeom prst="rect">
                      <a:avLst/>
                    </a:prstGeom>
                  </pic:spPr>
                </pic:pic>
              </a:graphicData>
            </a:graphic>
          </wp:anchor>
        </w:drawing>
      </w:r>
    </w:p>
    <w:p>
      <w:pPr>
        <w:pStyle w:val="BodyText"/>
        <w:spacing w:after="0"/>
        <w:jc w:val="left"/>
        <w:rPr>
          <w:rFonts w:ascii="Georgia"/>
          <w:sz w:val="12"/>
        </w:rPr>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before="112"/>
        <w:ind w:left="425" w:right="0" w:firstLine="0"/>
        <w:jc w:val="left"/>
        <w:rPr>
          <w:i/>
          <w:sz w:val="20"/>
        </w:rPr>
      </w:pPr>
      <w:r>
        <w:rPr>
          <w:i/>
          <w:sz w:val="20"/>
        </w:rPr>
        <w:t>Системная</w:t>
      </w:r>
      <w:r>
        <w:rPr>
          <w:i/>
          <w:spacing w:val="-5"/>
          <w:sz w:val="20"/>
        </w:rPr>
        <w:t> </w:t>
      </w:r>
      <w:r>
        <w:rPr>
          <w:i/>
          <w:spacing w:val="-2"/>
          <w:sz w:val="20"/>
        </w:rPr>
        <w:t>работа</w:t>
      </w:r>
    </w:p>
    <w:p>
      <w:pPr>
        <w:pStyle w:val="BodyText"/>
      </w:pPr>
      <w:r>
        <w:rPr/>
        <w:t>Чтобы</w:t>
      </w:r>
      <w:r>
        <w:rPr>
          <w:spacing w:val="-9"/>
        </w:rPr>
        <w:t> </w:t>
      </w:r>
      <w:r>
        <w:rPr/>
        <w:t>воспользоваться</w:t>
      </w:r>
      <w:r>
        <w:rPr>
          <w:spacing w:val="-9"/>
        </w:rPr>
        <w:t> </w:t>
      </w:r>
      <w:r>
        <w:rPr/>
        <w:t>преимуществами,</w:t>
      </w:r>
      <w:r>
        <w:rPr>
          <w:spacing w:val="-9"/>
        </w:rPr>
        <w:t> </w:t>
      </w:r>
      <w:r>
        <w:rPr/>
        <w:t>заложенными</w:t>
      </w:r>
      <w:r>
        <w:rPr>
          <w:spacing w:val="-9"/>
        </w:rPr>
        <w:t> </w:t>
      </w:r>
      <w:r>
        <w:rPr/>
        <w:t>в</w:t>
      </w:r>
      <w:r>
        <w:rPr>
          <w:spacing w:val="-9"/>
        </w:rPr>
        <w:t> </w:t>
      </w:r>
      <w:r>
        <w:rPr/>
        <w:t>УМК,</w:t>
      </w:r>
      <w:r>
        <w:rPr>
          <w:spacing w:val="-9"/>
        </w:rPr>
        <w:t> </w:t>
      </w:r>
      <w:r>
        <w:rPr/>
        <w:t>необходимо</w:t>
      </w:r>
      <w:r>
        <w:rPr>
          <w:spacing w:val="-9"/>
        </w:rPr>
        <w:t> </w:t>
      </w:r>
      <w:r>
        <w:rPr/>
        <w:t>под- держивать системность. Для этого необходимы:</w:t>
      </w:r>
    </w:p>
    <w:p>
      <w:pPr>
        <w:pStyle w:val="ListParagraph"/>
        <w:numPr>
          <w:ilvl w:val="0"/>
          <w:numId w:val="121"/>
        </w:numPr>
        <w:tabs>
          <w:tab w:pos="586" w:val="left" w:leader="none"/>
        </w:tabs>
        <w:spacing w:line="235" w:lineRule="auto" w:before="0" w:after="0"/>
        <w:ind w:left="141" w:right="140" w:firstLine="283"/>
        <w:jc w:val="both"/>
        <w:rPr>
          <w:sz w:val="20"/>
        </w:rPr>
      </w:pPr>
      <w:r>
        <w:rPr>
          <w:sz w:val="20"/>
        </w:rPr>
        <w:t>постоянный взрослый, который знает особенности класса и взаимодействует с детьми на протяжении учебного года или всей начальной школы;</w:t>
      </w:r>
    </w:p>
    <w:p>
      <w:pPr>
        <w:pStyle w:val="ListParagraph"/>
        <w:numPr>
          <w:ilvl w:val="0"/>
          <w:numId w:val="121"/>
        </w:numPr>
        <w:tabs>
          <w:tab w:pos="566" w:val="left" w:leader="none"/>
        </w:tabs>
        <w:spacing w:line="232" w:lineRule="auto" w:before="0" w:after="0"/>
        <w:ind w:left="141" w:right="139" w:firstLine="283"/>
        <w:jc w:val="right"/>
        <w:rPr>
          <w:sz w:val="20"/>
        </w:rPr>
      </w:pPr>
      <w:r>
        <w:rPr>
          <w:sz w:val="20"/>
        </w:rPr>
        <w:t>регулярное</w:t>
      </w:r>
      <w:r>
        <w:rPr>
          <w:spacing w:val="-13"/>
          <w:sz w:val="20"/>
        </w:rPr>
        <w:t> </w:t>
      </w:r>
      <w:r>
        <w:rPr>
          <w:sz w:val="20"/>
        </w:rPr>
        <w:t>проведение</w:t>
      </w:r>
      <w:r>
        <w:rPr>
          <w:spacing w:val="-12"/>
          <w:sz w:val="20"/>
        </w:rPr>
        <w:t> </w:t>
      </w:r>
      <w:r>
        <w:rPr>
          <w:sz w:val="20"/>
        </w:rPr>
        <w:t>занятий</w:t>
      </w:r>
      <w:r>
        <w:rPr>
          <w:spacing w:val="-13"/>
          <w:sz w:val="20"/>
        </w:rPr>
        <w:t> </w:t>
      </w:r>
      <w:r>
        <w:rPr>
          <w:sz w:val="20"/>
        </w:rPr>
        <w:t>в</w:t>
      </w:r>
      <w:r>
        <w:rPr>
          <w:spacing w:val="-12"/>
          <w:sz w:val="20"/>
        </w:rPr>
        <w:t> </w:t>
      </w:r>
      <w:r>
        <w:rPr>
          <w:sz w:val="20"/>
        </w:rPr>
        <w:t>соответствии</w:t>
      </w:r>
      <w:r>
        <w:rPr>
          <w:spacing w:val="-13"/>
          <w:sz w:val="20"/>
        </w:rPr>
        <w:t> </w:t>
      </w:r>
      <w:r>
        <w:rPr>
          <w:sz w:val="20"/>
        </w:rPr>
        <w:t>с</w:t>
      </w:r>
      <w:r>
        <w:rPr>
          <w:spacing w:val="-12"/>
          <w:sz w:val="20"/>
        </w:rPr>
        <w:t> </w:t>
      </w:r>
      <w:r>
        <w:rPr>
          <w:sz w:val="20"/>
        </w:rPr>
        <w:t>методическим</w:t>
      </w:r>
      <w:r>
        <w:rPr>
          <w:spacing w:val="-13"/>
          <w:sz w:val="20"/>
        </w:rPr>
        <w:t> </w:t>
      </w:r>
      <w:r>
        <w:rPr>
          <w:sz w:val="20"/>
        </w:rPr>
        <w:t>планом:</w:t>
      </w:r>
      <w:r>
        <w:rPr>
          <w:spacing w:val="-12"/>
          <w:sz w:val="20"/>
        </w:rPr>
        <w:t> </w:t>
      </w:r>
      <w:r>
        <w:rPr>
          <w:sz w:val="20"/>
        </w:rPr>
        <w:t>33</w:t>
      </w:r>
      <w:r>
        <w:rPr>
          <w:spacing w:val="-13"/>
          <w:sz w:val="20"/>
        </w:rPr>
        <w:t> </w:t>
      </w:r>
      <w:r>
        <w:rPr>
          <w:sz w:val="20"/>
        </w:rPr>
        <w:t>заня- тия</w:t>
      </w:r>
      <w:r>
        <w:rPr>
          <w:spacing w:val="-8"/>
          <w:sz w:val="20"/>
        </w:rPr>
        <w:t> </w:t>
      </w:r>
      <w:r>
        <w:rPr>
          <w:sz w:val="20"/>
        </w:rPr>
        <w:t>в</w:t>
      </w:r>
      <w:r>
        <w:rPr>
          <w:spacing w:val="-8"/>
          <w:sz w:val="20"/>
        </w:rPr>
        <w:t> </w:t>
      </w:r>
      <w:r>
        <w:rPr>
          <w:sz w:val="20"/>
        </w:rPr>
        <w:t>первый</w:t>
      </w:r>
      <w:r>
        <w:rPr>
          <w:spacing w:val="-8"/>
          <w:sz w:val="20"/>
        </w:rPr>
        <w:t> </w:t>
      </w:r>
      <w:r>
        <w:rPr>
          <w:sz w:val="20"/>
        </w:rPr>
        <w:t>год</w:t>
      </w:r>
      <w:r>
        <w:rPr>
          <w:spacing w:val="-8"/>
          <w:sz w:val="20"/>
        </w:rPr>
        <w:t> </w:t>
      </w:r>
      <w:r>
        <w:rPr>
          <w:sz w:val="20"/>
        </w:rPr>
        <w:t>начальной</w:t>
      </w:r>
      <w:r>
        <w:rPr>
          <w:spacing w:val="-8"/>
          <w:sz w:val="20"/>
        </w:rPr>
        <w:t> </w:t>
      </w:r>
      <w:r>
        <w:rPr>
          <w:sz w:val="20"/>
        </w:rPr>
        <w:t>школы,</w:t>
      </w:r>
      <w:r>
        <w:rPr>
          <w:spacing w:val="-8"/>
          <w:sz w:val="20"/>
        </w:rPr>
        <w:t> </w:t>
      </w:r>
      <w:r>
        <w:rPr>
          <w:sz w:val="20"/>
        </w:rPr>
        <w:t>34</w:t>
      </w:r>
      <w:r>
        <w:rPr>
          <w:spacing w:val="-8"/>
          <w:sz w:val="20"/>
        </w:rPr>
        <w:t> </w:t>
      </w:r>
      <w:r>
        <w:rPr>
          <w:sz w:val="20"/>
        </w:rPr>
        <w:t>–</w:t>
      </w:r>
      <w:r>
        <w:rPr>
          <w:spacing w:val="-8"/>
          <w:sz w:val="20"/>
        </w:rPr>
        <w:t> </w:t>
      </w:r>
      <w:r>
        <w:rPr>
          <w:sz w:val="20"/>
        </w:rPr>
        <w:t>во</w:t>
      </w:r>
      <w:r>
        <w:rPr>
          <w:spacing w:val="-8"/>
          <w:sz w:val="20"/>
        </w:rPr>
        <w:t> </w:t>
      </w:r>
      <w:r>
        <w:rPr>
          <w:sz w:val="20"/>
        </w:rPr>
        <w:t>второй,</w:t>
      </w:r>
      <w:r>
        <w:rPr>
          <w:spacing w:val="-8"/>
          <w:sz w:val="20"/>
        </w:rPr>
        <w:t> </w:t>
      </w:r>
      <w:r>
        <w:rPr>
          <w:sz w:val="20"/>
        </w:rPr>
        <w:t>по</w:t>
      </w:r>
      <w:r>
        <w:rPr>
          <w:spacing w:val="-8"/>
          <w:sz w:val="20"/>
        </w:rPr>
        <w:t> </w:t>
      </w:r>
      <w:r>
        <w:rPr>
          <w:sz w:val="20"/>
        </w:rPr>
        <w:t>17</w:t>
      </w:r>
      <w:r>
        <w:rPr>
          <w:spacing w:val="-8"/>
          <w:sz w:val="20"/>
        </w:rPr>
        <w:t> </w:t>
      </w:r>
      <w:r>
        <w:rPr>
          <w:sz w:val="20"/>
        </w:rPr>
        <w:t>–</w:t>
      </w:r>
      <w:r>
        <w:rPr>
          <w:spacing w:val="-8"/>
          <w:sz w:val="20"/>
        </w:rPr>
        <w:t> </w:t>
      </w:r>
      <w:r>
        <w:rPr>
          <w:sz w:val="20"/>
        </w:rPr>
        <w:t>в</w:t>
      </w:r>
      <w:r>
        <w:rPr>
          <w:spacing w:val="-8"/>
          <w:sz w:val="20"/>
        </w:rPr>
        <w:t> </w:t>
      </w:r>
      <w:r>
        <w:rPr>
          <w:sz w:val="20"/>
        </w:rPr>
        <w:t>третий</w:t>
      </w:r>
      <w:r>
        <w:rPr>
          <w:spacing w:val="-8"/>
          <w:sz w:val="20"/>
        </w:rPr>
        <w:t> </w:t>
      </w:r>
      <w:r>
        <w:rPr>
          <w:sz w:val="20"/>
        </w:rPr>
        <w:t>и</w:t>
      </w:r>
      <w:r>
        <w:rPr>
          <w:spacing w:val="-8"/>
          <w:sz w:val="20"/>
        </w:rPr>
        <w:t> </w:t>
      </w:r>
      <w:r>
        <w:rPr>
          <w:sz w:val="20"/>
        </w:rPr>
        <w:t>четвертый.</w:t>
      </w:r>
      <w:r>
        <w:rPr>
          <w:spacing w:val="-8"/>
          <w:sz w:val="20"/>
        </w:rPr>
        <w:t> </w:t>
      </w:r>
      <w:r>
        <w:rPr>
          <w:sz w:val="20"/>
        </w:rPr>
        <w:t>Это </w:t>
      </w:r>
      <w:r>
        <w:rPr>
          <w:spacing w:val="-2"/>
          <w:sz w:val="20"/>
        </w:rPr>
        <w:t>значит:</w:t>
      </w:r>
      <w:r>
        <w:rPr>
          <w:spacing w:val="-7"/>
          <w:sz w:val="20"/>
        </w:rPr>
        <w:t> </w:t>
      </w:r>
      <w:r>
        <w:rPr>
          <w:spacing w:val="-2"/>
          <w:sz w:val="20"/>
        </w:rPr>
        <w:t>сначала</w:t>
      </w:r>
      <w:r>
        <w:rPr>
          <w:spacing w:val="-4"/>
          <w:sz w:val="20"/>
        </w:rPr>
        <w:t> </w:t>
      </w:r>
      <w:r>
        <w:rPr>
          <w:spacing w:val="-2"/>
          <w:sz w:val="20"/>
        </w:rPr>
        <w:t>по</w:t>
      </w:r>
      <w:r>
        <w:rPr>
          <w:spacing w:val="-4"/>
          <w:sz w:val="20"/>
        </w:rPr>
        <w:t> </w:t>
      </w:r>
      <w:r>
        <w:rPr>
          <w:spacing w:val="-2"/>
          <w:sz w:val="20"/>
        </w:rPr>
        <w:t>одному</w:t>
      </w:r>
      <w:r>
        <w:rPr>
          <w:spacing w:val="-4"/>
          <w:sz w:val="20"/>
        </w:rPr>
        <w:t> </w:t>
      </w:r>
      <w:r>
        <w:rPr>
          <w:spacing w:val="-2"/>
          <w:sz w:val="20"/>
        </w:rPr>
        <w:t>занятию</w:t>
      </w:r>
      <w:r>
        <w:rPr>
          <w:spacing w:val="-4"/>
          <w:sz w:val="20"/>
        </w:rPr>
        <w:t> </w:t>
      </w:r>
      <w:r>
        <w:rPr>
          <w:spacing w:val="-2"/>
          <w:sz w:val="20"/>
        </w:rPr>
        <w:t>в</w:t>
      </w:r>
      <w:r>
        <w:rPr>
          <w:spacing w:val="-4"/>
          <w:sz w:val="20"/>
        </w:rPr>
        <w:t> </w:t>
      </w:r>
      <w:r>
        <w:rPr>
          <w:spacing w:val="-2"/>
          <w:sz w:val="20"/>
        </w:rPr>
        <w:t>неделю,</w:t>
      </w:r>
      <w:r>
        <w:rPr>
          <w:spacing w:val="-4"/>
          <w:sz w:val="20"/>
        </w:rPr>
        <w:t> </w:t>
      </w:r>
      <w:r>
        <w:rPr>
          <w:spacing w:val="-2"/>
          <w:sz w:val="20"/>
        </w:rPr>
        <w:t>а</w:t>
      </w:r>
      <w:r>
        <w:rPr>
          <w:spacing w:val="-5"/>
          <w:sz w:val="20"/>
        </w:rPr>
        <w:t> </w:t>
      </w:r>
      <w:r>
        <w:rPr>
          <w:spacing w:val="-2"/>
          <w:sz w:val="20"/>
        </w:rPr>
        <w:t>затем</w:t>
      </w:r>
      <w:r>
        <w:rPr>
          <w:spacing w:val="-4"/>
          <w:sz w:val="20"/>
        </w:rPr>
        <w:t> </w:t>
      </w:r>
      <w:r>
        <w:rPr>
          <w:spacing w:val="-2"/>
          <w:sz w:val="20"/>
        </w:rPr>
        <w:t>в</w:t>
      </w:r>
      <w:r>
        <w:rPr>
          <w:spacing w:val="-4"/>
          <w:sz w:val="20"/>
        </w:rPr>
        <w:t> </w:t>
      </w:r>
      <w:r>
        <w:rPr>
          <w:spacing w:val="-2"/>
          <w:sz w:val="20"/>
        </w:rPr>
        <w:t>две</w:t>
      </w:r>
      <w:r>
        <w:rPr>
          <w:spacing w:val="-4"/>
          <w:sz w:val="20"/>
        </w:rPr>
        <w:t> </w:t>
      </w:r>
      <w:r>
        <w:rPr>
          <w:spacing w:val="-2"/>
          <w:sz w:val="20"/>
        </w:rPr>
        <w:t>недели,</w:t>
      </w:r>
      <w:r>
        <w:rPr>
          <w:spacing w:val="-4"/>
          <w:sz w:val="20"/>
        </w:rPr>
        <w:t> </w:t>
      </w:r>
      <w:r>
        <w:rPr>
          <w:spacing w:val="-2"/>
          <w:sz w:val="20"/>
        </w:rPr>
        <w:t>на</w:t>
      </w:r>
      <w:r>
        <w:rPr>
          <w:spacing w:val="-4"/>
          <w:sz w:val="20"/>
        </w:rPr>
        <w:t> </w:t>
      </w:r>
      <w:r>
        <w:rPr>
          <w:spacing w:val="-2"/>
          <w:sz w:val="20"/>
        </w:rPr>
        <w:t>классных</w:t>
      </w:r>
      <w:r>
        <w:rPr>
          <w:spacing w:val="-4"/>
          <w:sz w:val="20"/>
        </w:rPr>
        <w:t> </w:t>
      </w:r>
      <w:r>
        <w:rPr>
          <w:spacing w:val="-2"/>
          <w:sz w:val="20"/>
        </w:rPr>
        <w:t>часах;</w:t>
      </w:r>
    </w:p>
    <w:p>
      <w:pPr>
        <w:pStyle w:val="ListParagraph"/>
        <w:numPr>
          <w:ilvl w:val="0"/>
          <w:numId w:val="121"/>
        </w:numPr>
        <w:tabs>
          <w:tab w:pos="584" w:val="left" w:leader="none"/>
        </w:tabs>
        <w:spacing w:line="232" w:lineRule="auto" w:before="0" w:after="0"/>
        <w:ind w:left="141" w:right="139" w:firstLine="283"/>
        <w:jc w:val="both"/>
        <w:rPr>
          <w:sz w:val="20"/>
        </w:rPr>
      </w:pPr>
      <w:r>
        <w:rPr>
          <w:sz w:val="20"/>
        </w:rPr>
        <w:t>привычное помещение и стабильное время – необходимо, чтобы каждый ребе- нок</w:t>
      </w:r>
      <w:r>
        <w:rPr>
          <w:spacing w:val="-5"/>
          <w:sz w:val="20"/>
        </w:rPr>
        <w:t> </w:t>
      </w:r>
      <w:r>
        <w:rPr>
          <w:sz w:val="20"/>
        </w:rPr>
        <w:t>чувствовал</w:t>
      </w:r>
      <w:r>
        <w:rPr>
          <w:spacing w:val="-5"/>
          <w:sz w:val="20"/>
        </w:rPr>
        <w:t> </w:t>
      </w:r>
      <w:r>
        <w:rPr>
          <w:sz w:val="20"/>
        </w:rPr>
        <w:t>себя</w:t>
      </w:r>
      <w:r>
        <w:rPr>
          <w:spacing w:val="-5"/>
          <w:sz w:val="20"/>
        </w:rPr>
        <w:t> </w:t>
      </w:r>
      <w:r>
        <w:rPr>
          <w:sz w:val="20"/>
        </w:rPr>
        <w:t>уверенно</w:t>
      </w:r>
      <w:r>
        <w:rPr>
          <w:spacing w:val="-5"/>
          <w:sz w:val="20"/>
        </w:rPr>
        <w:t> </w:t>
      </w:r>
      <w:r>
        <w:rPr>
          <w:sz w:val="20"/>
        </w:rPr>
        <w:t>и</w:t>
      </w:r>
      <w:r>
        <w:rPr>
          <w:spacing w:val="-5"/>
          <w:sz w:val="20"/>
        </w:rPr>
        <w:t> </w:t>
      </w:r>
      <w:r>
        <w:rPr>
          <w:sz w:val="20"/>
        </w:rPr>
        <w:t>комфортно,</w:t>
      </w:r>
      <w:r>
        <w:rPr>
          <w:spacing w:val="-5"/>
          <w:sz w:val="20"/>
        </w:rPr>
        <w:t> </w:t>
      </w:r>
      <w:r>
        <w:rPr>
          <w:sz w:val="20"/>
        </w:rPr>
        <w:t>а</w:t>
      </w:r>
      <w:r>
        <w:rPr>
          <w:spacing w:val="-5"/>
          <w:sz w:val="20"/>
        </w:rPr>
        <w:t> </w:t>
      </w:r>
      <w:r>
        <w:rPr>
          <w:sz w:val="20"/>
        </w:rPr>
        <w:t>одним</w:t>
      </w:r>
      <w:r>
        <w:rPr>
          <w:spacing w:val="-5"/>
          <w:sz w:val="20"/>
        </w:rPr>
        <w:t> </w:t>
      </w:r>
      <w:r>
        <w:rPr>
          <w:sz w:val="20"/>
        </w:rPr>
        <w:t>из</w:t>
      </w:r>
      <w:r>
        <w:rPr>
          <w:spacing w:val="-5"/>
          <w:sz w:val="20"/>
        </w:rPr>
        <w:t> </w:t>
      </w:r>
      <w:r>
        <w:rPr>
          <w:sz w:val="20"/>
        </w:rPr>
        <w:t>условий</w:t>
      </w:r>
      <w:r>
        <w:rPr>
          <w:spacing w:val="-5"/>
          <w:sz w:val="20"/>
        </w:rPr>
        <w:t> </w:t>
      </w:r>
      <w:r>
        <w:rPr>
          <w:sz w:val="20"/>
        </w:rPr>
        <w:t>этого</w:t>
      </w:r>
      <w:r>
        <w:rPr>
          <w:spacing w:val="-5"/>
          <w:sz w:val="20"/>
        </w:rPr>
        <w:t> </w:t>
      </w:r>
      <w:r>
        <w:rPr>
          <w:sz w:val="20"/>
        </w:rPr>
        <w:t>является</w:t>
      </w:r>
      <w:r>
        <w:rPr>
          <w:spacing w:val="-5"/>
          <w:sz w:val="20"/>
        </w:rPr>
        <w:t> </w:t>
      </w:r>
      <w:r>
        <w:rPr>
          <w:sz w:val="20"/>
        </w:rPr>
        <w:t>пред- сказуемость происходящего;</w:t>
      </w:r>
    </w:p>
    <w:p>
      <w:pPr>
        <w:pStyle w:val="ListParagraph"/>
        <w:numPr>
          <w:ilvl w:val="0"/>
          <w:numId w:val="121"/>
        </w:numPr>
        <w:tabs>
          <w:tab w:pos="583" w:val="left" w:leader="none"/>
        </w:tabs>
        <w:spacing w:line="232" w:lineRule="auto" w:before="3" w:after="0"/>
        <w:ind w:left="141" w:right="139" w:firstLine="283"/>
        <w:jc w:val="both"/>
        <w:rPr>
          <w:sz w:val="20"/>
        </w:rPr>
      </w:pPr>
      <w:r>
        <w:rPr>
          <w:sz w:val="20"/>
        </w:rPr>
        <w:t>интеграция принятых на занятиях ценностей и правил взаимодействия детей и педагога,</w:t>
      </w:r>
      <w:r>
        <w:rPr>
          <w:spacing w:val="-8"/>
          <w:sz w:val="20"/>
        </w:rPr>
        <w:t> </w:t>
      </w:r>
      <w:r>
        <w:rPr>
          <w:sz w:val="20"/>
        </w:rPr>
        <w:t>освоенных</w:t>
      </w:r>
      <w:r>
        <w:rPr>
          <w:spacing w:val="-8"/>
          <w:sz w:val="20"/>
        </w:rPr>
        <w:t> </w:t>
      </w:r>
      <w:r>
        <w:rPr>
          <w:sz w:val="20"/>
        </w:rPr>
        <w:t>приемов</w:t>
      </w:r>
      <w:r>
        <w:rPr>
          <w:spacing w:val="-8"/>
          <w:sz w:val="20"/>
        </w:rPr>
        <w:t> </w:t>
      </w:r>
      <w:r>
        <w:rPr>
          <w:sz w:val="20"/>
        </w:rPr>
        <w:t>и</w:t>
      </w:r>
      <w:r>
        <w:rPr>
          <w:spacing w:val="-8"/>
          <w:sz w:val="20"/>
        </w:rPr>
        <w:t> </w:t>
      </w:r>
      <w:r>
        <w:rPr>
          <w:sz w:val="20"/>
        </w:rPr>
        <w:t>техник</w:t>
      </w:r>
      <w:r>
        <w:rPr>
          <w:spacing w:val="-8"/>
          <w:sz w:val="20"/>
        </w:rPr>
        <w:t> </w:t>
      </w:r>
      <w:r>
        <w:rPr>
          <w:sz w:val="20"/>
        </w:rPr>
        <w:t>в</w:t>
      </w:r>
      <w:r>
        <w:rPr>
          <w:spacing w:val="-8"/>
          <w:sz w:val="20"/>
        </w:rPr>
        <w:t> </w:t>
      </w:r>
      <w:r>
        <w:rPr>
          <w:sz w:val="20"/>
        </w:rPr>
        <w:t>повседневное</w:t>
      </w:r>
      <w:r>
        <w:rPr>
          <w:spacing w:val="-8"/>
          <w:sz w:val="20"/>
        </w:rPr>
        <w:t> </w:t>
      </w:r>
      <w:r>
        <w:rPr>
          <w:sz w:val="20"/>
        </w:rPr>
        <w:t>общение</w:t>
      </w:r>
      <w:r>
        <w:rPr>
          <w:spacing w:val="-8"/>
          <w:sz w:val="20"/>
        </w:rPr>
        <w:t> </w:t>
      </w:r>
      <w:r>
        <w:rPr>
          <w:sz w:val="20"/>
        </w:rPr>
        <w:t>и</w:t>
      </w:r>
      <w:r>
        <w:rPr>
          <w:spacing w:val="-8"/>
          <w:sz w:val="20"/>
        </w:rPr>
        <w:t> </w:t>
      </w:r>
      <w:r>
        <w:rPr>
          <w:sz w:val="20"/>
        </w:rPr>
        <w:t>в</w:t>
      </w:r>
      <w:r>
        <w:rPr>
          <w:spacing w:val="-8"/>
          <w:sz w:val="20"/>
        </w:rPr>
        <w:t> </w:t>
      </w:r>
      <w:r>
        <w:rPr>
          <w:sz w:val="20"/>
        </w:rPr>
        <w:t>образовательный процесс</w:t>
      </w:r>
      <w:r>
        <w:rPr>
          <w:spacing w:val="-8"/>
          <w:sz w:val="20"/>
        </w:rPr>
        <w:t> </w:t>
      </w:r>
      <w:r>
        <w:rPr>
          <w:sz w:val="20"/>
        </w:rPr>
        <w:t>–</w:t>
      </w:r>
      <w:r>
        <w:rPr>
          <w:spacing w:val="-8"/>
          <w:sz w:val="20"/>
        </w:rPr>
        <w:t> </w:t>
      </w:r>
      <w:r>
        <w:rPr>
          <w:sz w:val="20"/>
        </w:rPr>
        <w:t>тогда</w:t>
      </w:r>
      <w:r>
        <w:rPr>
          <w:spacing w:val="-8"/>
          <w:sz w:val="20"/>
        </w:rPr>
        <w:t> </w:t>
      </w:r>
      <w:r>
        <w:rPr>
          <w:sz w:val="20"/>
        </w:rPr>
        <w:t>эффективность</w:t>
      </w:r>
      <w:r>
        <w:rPr>
          <w:spacing w:val="-8"/>
          <w:sz w:val="20"/>
        </w:rPr>
        <w:t> </w:t>
      </w:r>
      <w:r>
        <w:rPr>
          <w:sz w:val="20"/>
        </w:rPr>
        <w:t>программы</w:t>
      </w:r>
      <w:r>
        <w:rPr>
          <w:spacing w:val="-8"/>
          <w:sz w:val="20"/>
        </w:rPr>
        <w:t> </w:t>
      </w:r>
      <w:r>
        <w:rPr>
          <w:sz w:val="20"/>
        </w:rPr>
        <w:t>будет</w:t>
      </w:r>
      <w:r>
        <w:rPr>
          <w:spacing w:val="-8"/>
          <w:sz w:val="20"/>
        </w:rPr>
        <w:t> </w:t>
      </w:r>
      <w:r>
        <w:rPr>
          <w:sz w:val="20"/>
        </w:rPr>
        <w:t>выше,</w:t>
      </w:r>
      <w:r>
        <w:rPr>
          <w:spacing w:val="-8"/>
          <w:sz w:val="20"/>
        </w:rPr>
        <w:t> </w:t>
      </w:r>
      <w:r>
        <w:rPr>
          <w:sz w:val="20"/>
        </w:rPr>
        <w:t>результаты</w:t>
      </w:r>
      <w:r>
        <w:rPr>
          <w:spacing w:val="-8"/>
          <w:sz w:val="20"/>
        </w:rPr>
        <w:t> </w:t>
      </w:r>
      <w:r>
        <w:rPr>
          <w:sz w:val="20"/>
        </w:rPr>
        <w:t>устойчивее,</w:t>
      </w:r>
      <w:r>
        <w:rPr>
          <w:spacing w:val="-8"/>
          <w:sz w:val="20"/>
        </w:rPr>
        <w:t> </w:t>
      </w:r>
      <w:r>
        <w:rPr>
          <w:sz w:val="20"/>
        </w:rPr>
        <w:t>а</w:t>
      </w:r>
      <w:r>
        <w:rPr>
          <w:spacing w:val="-8"/>
          <w:sz w:val="20"/>
        </w:rPr>
        <w:t> </w:t>
      </w:r>
      <w:r>
        <w:rPr>
          <w:sz w:val="20"/>
        </w:rPr>
        <w:t>ат- мосфера школьной жизни будет ненавязчиво меняться в лучшую сторону</w:t>
      </w:r>
      <w:r>
        <w:rPr>
          <w:sz w:val="20"/>
          <w:vertAlign w:val="superscript"/>
        </w:rPr>
        <w:t>1</w:t>
      </w:r>
      <w:r>
        <w:rPr>
          <w:sz w:val="20"/>
          <w:vertAlign w:val="baseline"/>
        </w:rPr>
        <w:t>;</w:t>
      </w:r>
    </w:p>
    <w:p>
      <w:pPr>
        <w:pStyle w:val="ListParagraph"/>
        <w:numPr>
          <w:ilvl w:val="0"/>
          <w:numId w:val="121"/>
        </w:numPr>
        <w:tabs>
          <w:tab w:pos="570" w:val="left" w:leader="none"/>
        </w:tabs>
        <w:spacing w:line="232" w:lineRule="auto" w:before="3" w:after="0"/>
        <w:ind w:left="141" w:right="140" w:firstLine="283"/>
        <w:jc w:val="both"/>
        <w:rPr>
          <w:sz w:val="20"/>
        </w:rPr>
      </w:pPr>
      <w:r>
        <w:rPr>
          <w:sz w:val="20"/>
        </w:rPr>
        <w:t>регулярное</w:t>
      </w:r>
      <w:r>
        <w:rPr>
          <w:spacing w:val="-11"/>
          <w:sz w:val="20"/>
        </w:rPr>
        <w:t> </w:t>
      </w:r>
      <w:r>
        <w:rPr>
          <w:sz w:val="20"/>
        </w:rPr>
        <w:t>сотрудничество</w:t>
      </w:r>
      <w:r>
        <w:rPr>
          <w:spacing w:val="-11"/>
          <w:sz w:val="20"/>
        </w:rPr>
        <w:t> </w:t>
      </w:r>
      <w:r>
        <w:rPr>
          <w:sz w:val="20"/>
        </w:rPr>
        <w:t>с</w:t>
      </w:r>
      <w:r>
        <w:rPr>
          <w:spacing w:val="-11"/>
          <w:sz w:val="20"/>
        </w:rPr>
        <w:t> </w:t>
      </w:r>
      <w:r>
        <w:rPr>
          <w:sz w:val="20"/>
        </w:rPr>
        <w:t>родителями</w:t>
      </w:r>
      <w:r>
        <w:rPr>
          <w:spacing w:val="-11"/>
          <w:sz w:val="20"/>
        </w:rPr>
        <w:t> </w:t>
      </w:r>
      <w:r>
        <w:rPr>
          <w:sz w:val="20"/>
        </w:rPr>
        <w:t>—</w:t>
      </w:r>
      <w:r>
        <w:rPr>
          <w:spacing w:val="-11"/>
          <w:sz w:val="20"/>
        </w:rPr>
        <w:t> </w:t>
      </w:r>
      <w:r>
        <w:rPr>
          <w:sz w:val="20"/>
        </w:rPr>
        <w:t>чтобы</w:t>
      </w:r>
      <w:r>
        <w:rPr>
          <w:spacing w:val="-11"/>
          <w:sz w:val="20"/>
        </w:rPr>
        <w:t> </w:t>
      </w:r>
      <w:r>
        <w:rPr>
          <w:sz w:val="20"/>
        </w:rPr>
        <w:t>у</w:t>
      </w:r>
      <w:r>
        <w:rPr>
          <w:spacing w:val="-11"/>
          <w:sz w:val="20"/>
        </w:rPr>
        <w:t> </w:t>
      </w:r>
      <w:r>
        <w:rPr>
          <w:sz w:val="20"/>
        </w:rPr>
        <w:t>ребенка</w:t>
      </w:r>
      <w:r>
        <w:rPr>
          <w:spacing w:val="-11"/>
          <w:sz w:val="20"/>
        </w:rPr>
        <w:t> </w:t>
      </w:r>
      <w:r>
        <w:rPr>
          <w:sz w:val="20"/>
        </w:rPr>
        <w:t>была</w:t>
      </w:r>
      <w:r>
        <w:rPr>
          <w:spacing w:val="-11"/>
          <w:sz w:val="20"/>
        </w:rPr>
        <w:t> </w:t>
      </w:r>
      <w:r>
        <w:rPr>
          <w:sz w:val="20"/>
        </w:rPr>
        <w:t>возможность применять социально-эмоциональные навыки не только в школе, но и дома.</w:t>
      </w:r>
    </w:p>
    <w:p>
      <w:pPr>
        <w:spacing w:line="227" w:lineRule="exact" w:before="110"/>
        <w:ind w:left="425" w:right="0" w:firstLine="0"/>
        <w:jc w:val="both"/>
        <w:rPr>
          <w:i/>
          <w:sz w:val="20"/>
        </w:rPr>
      </w:pPr>
      <w:r>
        <w:rPr>
          <w:i/>
          <w:sz w:val="20"/>
        </w:rPr>
        <w:t>Материалы</w:t>
      </w:r>
      <w:r>
        <w:rPr>
          <w:i/>
          <w:spacing w:val="-6"/>
          <w:sz w:val="20"/>
        </w:rPr>
        <w:t> </w:t>
      </w:r>
      <w:r>
        <w:rPr>
          <w:i/>
          <w:sz w:val="20"/>
        </w:rPr>
        <w:t>для</w:t>
      </w:r>
      <w:r>
        <w:rPr>
          <w:i/>
          <w:spacing w:val="-5"/>
          <w:sz w:val="20"/>
        </w:rPr>
        <w:t> </w:t>
      </w:r>
      <w:r>
        <w:rPr>
          <w:i/>
          <w:spacing w:val="-2"/>
          <w:sz w:val="20"/>
        </w:rPr>
        <w:t>занятий</w:t>
      </w:r>
    </w:p>
    <w:p>
      <w:pPr>
        <w:pStyle w:val="BodyText"/>
        <w:spacing w:line="224" w:lineRule="exact"/>
        <w:ind w:left="425" w:right="0" w:firstLine="0"/>
      </w:pPr>
      <w:r>
        <w:rPr/>
        <w:t>Методическое</w:t>
      </w:r>
      <w:r>
        <w:rPr>
          <w:spacing w:val="-9"/>
        </w:rPr>
        <w:t> </w:t>
      </w:r>
      <w:r>
        <w:rPr/>
        <w:t>пособие</w:t>
      </w:r>
      <w:r>
        <w:rPr>
          <w:spacing w:val="-7"/>
        </w:rPr>
        <w:t> </w:t>
      </w:r>
      <w:r>
        <w:rPr/>
        <w:t>для</w:t>
      </w:r>
      <w:r>
        <w:rPr>
          <w:spacing w:val="-7"/>
        </w:rPr>
        <w:t> </w:t>
      </w:r>
      <w:r>
        <w:rPr/>
        <w:t>педагога</w:t>
      </w:r>
      <w:r>
        <w:rPr>
          <w:spacing w:val="-6"/>
        </w:rPr>
        <w:t> </w:t>
      </w:r>
      <w:r>
        <w:rPr/>
        <w:t>(можно</w:t>
      </w:r>
      <w:r>
        <w:rPr>
          <w:spacing w:val="-7"/>
        </w:rPr>
        <w:t> </w:t>
      </w:r>
      <w:r>
        <w:rPr/>
        <w:t>скачивать</w:t>
      </w:r>
      <w:r>
        <w:rPr>
          <w:spacing w:val="-8"/>
        </w:rPr>
        <w:t> </w:t>
      </w:r>
      <w:r>
        <w:rPr/>
        <w:t>или</w:t>
      </w:r>
      <w:r>
        <w:rPr>
          <w:spacing w:val="-7"/>
        </w:rPr>
        <w:t> </w:t>
      </w:r>
      <w:r>
        <w:rPr/>
        <w:t>смотреть</w:t>
      </w:r>
      <w:r>
        <w:rPr>
          <w:spacing w:val="-8"/>
        </w:rPr>
        <w:t> </w:t>
      </w:r>
      <w:r>
        <w:rPr/>
        <w:t>на</w:t>
      </w:r>
      <w:r>
        <w:rPr>
          <w:spacing w:val="-6"/>
        </w:rPr>
        <w:t> </w:t>
      </w:r>
      <w:r>
        <w:rPr>
          <w:spacing w:val="-2"/>
        </w:rPr>
        <w:t>сайте).</w:t>
      </w:r>
    </w:p>
    <w:p>
      <w:pPr>
        <w:pStyle w:val="BodyText"/>
        <w:spacing w:line="232" w:lineRule="auto" w:before="3"/>
        <w:ind w:right="140"/>
      </w:pPr>
      <w:r>
        <w:rPr/>
        <w:t>Рабочая тетрадь для каждого ученика (можно распечатывать к каждому занятию необходимые листы и предлагать участникам собирать их в папку).</w:t>
      </w:r>
    </w:p>
    <w:p>
      <w:pPr>
        <w:pStyle w:val="BodyText"/>
        <w:spacing w:line="235" w:lineRule="auto"/>
      </w:pPr>
      <w:r>
        <w:rPr/>
        <w:t>Канцелярские принадлежности (ручки, цветные карандаши, клей-карандаши, гу- ашь, листы А3 и т. д., подробно указано в описании каждого урока).</w:t>
      </w:r>
    </w:p>
    <w:p>
      <w:pPr>
        <w:pStyle w:val="BodyText"/>
        <w:spacing w:line="235" w:lineRule="auto" w:before="1"/>
      </w:pPr>
      <w:r>
        <w:rPr/>
        <w:t>Дополнительные материалы (презентации для встреч с родителями, сценарии совместных семейных активностей, карточки игрового пособия – можно скачать на сайте и распечатать, если необходимо).</w:t>
      </w:r>
    </w:p>
    <w:p>
      <w:pPr>
        <w:spacing w:line="228" w:lineRule="exact" w:before="111"/>
        <w:ind w:left="425" w:right="0" w:firstLine="0"/>
        <w:jc w:val="both"/>
        <w:rPr>
          <w:b/>
          <w:i/>
          <w:sz w:val="20"/>
        </w:rPr>
      </w:pPr>
      <w:r>
        <w:rPr>
          <w:b/>
          <w:i/>
          <w:sz w:val="20"/>
        </w:rPr>
        <w:t>Как</w:t>
      </w:r>
      <w:r>
        <w:rPr>
          <w:b/>
          <w:i/>
          <w:spacing w:val="-3"/>
          <w:sz w:val="20"/>
        </w:rPr>
        <w:t> </w:t>
      </w:r>
      <w:r>
        <w:rPr>
          <w:b/>
          <w:i/>
          <w:sz w:val="20"/>
        </w:rPr>
        <w:t>работать</w:t>
      </w:r>
      <w:r>
        <w:rPr>
          <w:b/>
          <w:i/>
          <w:spacing w:val="-1"/>
          <w:sz w:val="20"/>
        </w:rPr>
        <w:t> </w:t>
      </w:r>
      <w:r>
        <w:rPr>
          <w:b/>
          <w:i/>
          <w:sz w:val="20"/>
        </w:rPr>
        <w:t>по</w:t>
      </w:r>
      <w:r>
        <w:rPr>
          <w:b/>
          <w:i/>
          <w:spacing w:val="-1"/>
          <w:sz w:val="20"/>
        </w:rPr>
        <w:t> </w:t>
      </w:r>
      <w:r>
        <w:rPr>
          <w:b/>
          <w:i/>
          <w:spacing w:val="-5"/>
          <w:sz w:val="20"/>
        </w:rPr>
        <w:t>УМК</w:t>
      </w:r>
    </w:p>
    <w:p>
      <w:pPr>
        <w:pStyle w:val="BodyText"/>
        <w:spacing w:line="235" w:lineRule="auto" w:before="2"/>
      </w:pPr>
      <w:r>
        <w:rPr/>
        <w:t>Пользоваться методическим пособием, в котором все прописано максимально подробно. Ниже (см. след. стр.) пример занятия первого года работы по программе.</w:t>
      </w:r>
    </w:p>
    <w:p>
      <w:pPr>
        <w:pStyle w:val="BodyText"/>
        <w:spacing w:line="235" w:lineRule="auto" w:before="115"/>
      </w:pPr>
      <w:r>
        <w:rPr/>
        <w:t>Рабочая</w:t>
      </w:r>
      <w:r>
        <w:rPr>
          <w:spacing w:val="-1"/>
        </w:rPr>
        <w:t> </w:t>
      </w:r>
      <w:r>
        <w:rPr/>
        <w:t>тетрадь</w:t>
      </w:r>
      <w:r>
        <w:rPr>
          <w:spacing w:val="-1"/>
        </w:rPr>
        <w:t> </w:t>
      </w:r>
      <w:r>
        <w:rPr/>
        <w:t>для</w:t>
      </w:r>
      <w:r>
        <w:rPr>
          <w:spacing w:val="-1"/>
        </w:rPr>
        <w:t> </w:t>
      </w:r>
      <w:r>
        <w:rPr/>
        <w:t>учеников</w:t>
      </w:r>
      <w:r>
        <w:rPr>
          <w:spacing w:val="-1"/>
        </w:rPr>
        <w:t> </w:t>
      </w:r>
      <w:r>
        <w:rPr/>
        <w:t>и</w:t>
      </w:r>
      <w:r>
        <w:rPr>
          <w:spacing w:val="-1"/>
        </w:rPr>
        <w:t> </w:t>
      </w:r>
      <w:r>
        <w:rPr/>
        <w:t>рекомендации</w:t>
      </w:r>
      <w:r>
        <w:rPr>
          <w:spacing w:val="-1"/>
        </w:rPr>
        <w:t> </w:t>
      </w:r>
      <w:r>
        <w:rPr/>
        <w:t>для</w:t>
      </w:r>
      <w:r>
        <w:rPr>
          <w:spacing w:val="-1"/>
        </w:rPr>
        <w:t> </w:t>
      </w:r>
      <w:r>
        <w:rPr/>
        <w:t>родителей</w:t>
      </w:r>
      <w:r>
        <w:rPr>
          <w:spacing w:val="-1"/>
        </w:rPr>
        <w:t> </w:t>
      </w:r>
      <w:r>
        <w:rPr/>
        <w:t>скачиваются</w:t>
      </w:r>
      <w:r>
        <w:rPr>
          <w:spacing w:val="-1"/>
        </w:rPr>
        <w:t> </w:t>
      </w:r>
      <w:r>
        <w:rPr/>
        <w:t>и</w:t>
      </w:r>
      <w:r>
        <w:rPr>
          <w:spacing w:val="-1"/>
        </w:rPr>
        <w:t> </w:t>
      </w:r>
      <w:r>
        <w:rPr/>
        <w:t>рас- печатываются</w:t>
      </w:r>
      <w:r>
        <w:rPr>
          <w:spacing w:val="-4"/>
        </w:rPr>
        <w:t> </w:t>
      </w:r>
      <w:r>
        <w:rPr/>
        <w:t>отдельно.</w:t>
      </w:r>
      <w:r>
        <w:rPr>
          <w:spacing w:val="-4"/>
        </w:rPr>
        <w:t> </w:t>
      </w:r>
      <w:r>
        <w:rPr/>
        <w:t>Детям</w:t>
      </w:r>
      <w:r>
        <w:rPr>
          <w:spacing w:val="-4"/>
        </w:rPr>
        <w:t> </w:t>
      </w:r>
      <w:r>
        <w:rPr/>
        <w:t>можно</w:t>
      </w:r>
      <w:r>
        <w:rPr>
          <w:spacing w:val="-4"/>
        </w:rPr>
        <w:t> </w:t>
      </w:r>
      <w:r>
        <w:rPr/>
        <w:t>выдать</w:t>
      </w:r>
      <w:r>
        <w:rPr>
          <w:spacing w:val="-4"/>
        </w:rPr>
        <w:t> </w:t>
      </w:r>
      <w:r>
        <w:rPr/>
        <w:t>нужные</w:t>
      </w:r>
      <w:r>
        <w:rPr>
          <w:spacing w:val="-4"/>
        </w:rPr>
        <w:t> </w:t>
      </w:r>
      <w:r>
        <w:rPr/>
        <w:t>листы</w:t>
      </w:r>
      <w:r>
        <w:rPr>
          <w:spacing w:val="-4"/>
        </w:rPr>
        <w:t> </w:t>
      </w:r>
      <w:r>
        <w:rPr/>
        <w:t>прямо</w:t>
      </w:r>
      <w:r>
        <w:rPr>
          <w:spacing w:val="-4"/>
        </w:rPr>
        <w:t> </w:t>
      </w:r>
      <w:r>
        <w:rPr/>
        <w:t>на</w:t>
      </w:r>
      <w:r>
        <w:rPr>
          <w:spacing w:val="-4"/>
        </w:rPr>
        <w:t> </w:t>
      </w:r>
      <w:r>
        <w:rPr/>
        <w:t>занятии,</w:t>
      </w:r>
      <w:r>
        <w:rPr>
          <w:spacing w:val="-4"/>
        </w:rPr>
        <w:t> </w:t>
      </w:r>
      <w:r>
        <w:rPr/>
        <w:t>а</w:t>
      </w:r>
      <w:r>
        <w:rPr>
          <w:spacing w:val="-4"/>
        </w:rPr>
        <w:t> </w:t>
      </w:r>
      <w:r>
        <w:rPr/>
        <w:t>ро- дителям передавать их «Рабочую тетрадь» по частям на встречах.</w:t>
      </w:r>
    </w:p>
    <w:p>
      <w:pPr>
        <w:pStyle w:val="BodyText"/>
        <w:spacing w:line="235" w:lineRule="auto" w:before="1"/>
      </w:pPr>
      <w:r>
        <w:rPr/>
        <w:t>В программе очень важно соучастие родителей, поэтому перед началом работы рекомендуется организовать для них встречу, а в процессе реализации программы понадобятся</w:t>
      </w:r>
      <w:r>
        <w:rPr>
          <w:spacing w:val="-13"/>
        </w:rPr>
        <w:t> </w:t>
      </w:r>
      <w:r>
        <w:rPr/>
        <w:t>еще</w:t>
      </w:r>
      <w:r>
        <w:rPr>
          <w:spacing w:val="-12"/>
        </w:rPr>
        <w:t> </w:t>
      </w:r>
      <w:r>
        <w:rPr/>
        <w:t>несколько.</w:t>
      </w:r>
      <w:r>
        <w:rPr>
          <w:spacing w:val="-13"/>
        </w:rPr>
        <w:t> </w:t>
      </w:r>
      <w:r>
        <w:rPr/>
        <w:t>Сценарии</w:t>
      </w:r>
      <w:r>
        <w:rPr>
          <w:spacing w:val="-12"/>
        </w:rPr>
        <w:t> </w:t>
      </w:r>
      <w:r>
        <w:rPr/>
        <w:t>для</w:t>
      </w:r>
      <w:r>
        <w:rPr>
          <w:spacing w:val="-13"/>
        </w:rPr>
        <w:t> </w:t>
      </w:r>
      <w:r>
        <w:rPr/>
        <w:t>интерактивных</w:t>
      </w:r>
      <w:r>
        <w:rPr>
          <w:spacing w:val="-12"/>
        </w:rPr>
        <w:t> </w:t>
      </w:r>
      <w:r>
        <w:rPr/>
        <w:t>встреч</w:t>
      </w:r>
      <w:r>
        <w:rPr>
          <w:spacing w:val="-13"/>
        </w:rPr>
        <w:t> </w:t>
      </w:r>
      <w:r>
        <w:rPr/>
        <w:t>с</w:t>
      </w:r>
      <w:r>
        <w:rPr>
          <w:spacing w:val="-12"/>
        </w:rPr>
        <w:t> </w:t>
      </w:r>
      <w:r>
        <w:rPr/>
        <w:t>родителями</w:t>
      </w:r>
      <w:r>
        <w:rPr>
          <w:spacing w:val="-13"/>
        </w:rPr>
        <w:t> </w:t>
      </w:r>
      <w:r>
        <w:rPr/>
        <w:t>также детально прописаны и доступны. С их помощью взрослые смогут немного побыть детьми</w:t>
      </w:r>
      <w:r>
        <w:rPr>
          <w:spacing w:val="-6"/>
        </w:rPr>
        <w:t> </w:t>
      </w:r>
      <w:r>
        <w:rPr/>
        <w:t>и</w:t>
      </w:r>
      <w:r>
        <w:rPr>
          <w:spacing w:val="-6"/>
        </w:rPr>
        <w:t> </w:t>
      </w:r>
      <w:r>
        <w:rPr/>
        <w:t>расслабиться,</w:t>
      </w:r>
      <w:r>
        <w:rPr>
          <w:spacing w:val="-6"/>
        </w:rPr>
        <w:t> </w:t>
      </w:r>
      <w:r>
        <w:rPr/>
        <w:t>а</w:t>
      </w:r>
      <w:r>
        <w:rPr>
          <w:spacing w:val="-6"/>
        </w:rPr>
        <w:t> </w:t>
      </w:r>
      <w:r>
        <w:rPr/>
        <w:t>также</w:t>
      </w:r>
      <w:r>
        <w:rPr>
          <w:spacing w:val="-6"/>
        </w:rPr>
        <w:t> </w:t>
      </w:r>
      <w:r>
        <w:rPr/>
        <w:t>почувствовать</w:t>
      </w:r>
      <w:r>
        <w:rPr>
          <w:spacing w:val="-6"/>
        </w:rPr>
        <w:t> </w:t>
      </w:r>
      <w:r>
        <w:rPr/>
        <w:t>важность</w:t>
      </w:r>
      <w:r>
        <w:rPr>
          <w:spacing w:val="-6"/>
        </w:rPr>
        <w:t> </w:t>
      </w:r>
      <w:r>
        <w:rPr/>
        <w:t>своего</w:t>
      </w:r>
      <w:r>
        <w:rPr>
          <w:spacing w:val="-6"/>
        </w:rPr>
        <w:t> </w:t>
      </w:r>
      <w:r>
        <w:rPr/>
        <w:t>участия</w:t>
      </w:r>
      <w:r>
        <w:rPr>
          <w:spacing w:val="-6"/>
        </w:rPr>
        <w:t> </w:t>
      </w:r>
      <w:r>
        <w:rPr/>
        <w:t>в</w:t>
      </w:r>
      <w:r>
        <w:rPr>
          <w:spacing w:val="-6"/>
        </w:rPr>
        <w:t> </w:t>
      </w:r>
      <w:r>
        <w:rPr/>
        <w:t>программе.</w:t>
      </w:r>
    </w:p>
    <w:p>
      <w:pPr>
        <w:spacing w:line="229" w:lineRule="exact" w:before="115"/>
        <w:ind w:left="425" w:right="0" w:firstLine="0"/>
        <w:jc w:val="both"/>
        <w:rPr>
          <w:b/>
          <w:i/>
          <w:sz w:val="20"/>
        </w:rPr>
      </w:pPr>
      <w:r>
        <w:rPr>
          <w:b/>
          <w:i/>
          <w:sz w:val="20"/>
        </w:rPr>
        <w:t>Где</w:t>
      </w:r>
      <w:r>
        <w:rPr>
          <w:b/>
          <w:i/>
          <w:spacing w:val="-4"/>
          <w:sz w:val="20"/>
        </w:rPr>
        <w:t> </w:t>
      </w:r>
      <w:r>
        <w:rPr>
          <w:b/>
          <w:i/>
          <w:spacing w:val="-2"/>
          <w:sz w:val="20"/>
        </w:rPr>
        <w:t>научиться.</w:t>
      </w:r>
    </w:p>
    <w:p>
      <w:pPr>
        <w:pStyle w:val="ListParagraph"/>
        <w:numPr>
          <w:ilvl w:val="0"/>
          <w:numId w:val="122"/>
        </w:numPr>
        <w:tabs>
          <w:tab w:pos="425" w:val="left" w:leader="none"/>
        </w:tabs>
        <w:spacing w:line="232" w:lineRule="auto" w:before="5" w:after="0"/>
        <w:ind w:left="425" w:right="139" w:hanging="284"/>
        <w:jc w:val="both"/>
        <w:rPr>
          <w:sz w:val="20"/>
        </w:rPr>
      </w:pPr>
      <w:r>
        <w:rPr>
          <w:sz w:val="20"/>
        </w:rPr>
        <w:t>Чтобы получить доступ ко всем материалам УМК, нужно зарегистрироваться на портале </w:t>
      </w:r>
      <w:hyperlink r:id="rId111">
        <w:r>
          <w:rPr>
            <w:color w:val="2255A6"/>
            <w:sz w:val="20"/>
            <w:u w:val="single" w:color="2255A6"/>
          </w:rPr>
          <w:t>https://teacher.vbudushee.ru/</w:t>
        </w:r>
      </w:hyperlink>
      <w:r>
        <w:rPr>
          <w:i/>
          <w:sz w:val="20"/>
        </w:rPr>
        <w:t>. </w:t>
      </w:r>
      <w:r>
        <w:rPr>
          <w:sz w:val="20"/>
        </w:rPr>
        <w:t>Для этого надо перейти по ссылке, нажать в правом</w:t>
      </w:r>
      <w:r>
        <w:rPr>
          <w:spacing w:val="21"/>
          <w:sz w:val="20"/>
        </w:rPr>
        <w:t> </w:t>
      </w:r>
      <w:r>
        <w:rPr>
          <w:sz w:val="20"/>
        </w:rPr>
        <w:t>верхнем</w:t>
      </w:r>
      <w:r>
        <w:rPr>
          <w:spacing w:val="21"/>
          <w:sz w:val="20"/>
        </w:rPr>
        <w:t> </w:t>
      </w:r>
      <w:r>
        <w:rPr>
          <w:sz w:val="20"/>
        </w:rPr>
        <w:t>углу</w:t>
      </w:r>
      <w:r>
        <w:rPr>
          <w:spacing w:val="21"/>
          <w:sz w:val="20"/>
        </w:rPr>
        <w:t> </w:t>
      </w:r>
      <w:r>
        <w:rPr>
          <w:sz w:val="20"/>
        </w:rPr>
        <w:t>кнопку</w:t>
      </w:r>
      <w:r>
        <w:rPr>
          <w:spacing w:val="21"/>
          <w:sz w:val="20"/>
        </w:rPr>
        <w:t> </w:t>
      </w:r>
      <w:r>
        <w:rPr>
          <w:sz w:val="20"/>
        </w:rPr>
        <w:t>«Войти</w:t>
      </w:r>
      <w:r>
        <w:rPr>
          <w:spacing w:val="21"/>
          <w:sz w:val="20"/>
        </w:rPr>
        <w:t> </w:t>
      </w:r>
      <w:r>
        <w:rPr>
          <w:sz w:val="20"/>
        </w:rPr>
        <w:t>в</w:t>
      </w:r>
      <w:r>
        <w:rPr>
          <w:spacing w:val="21"/>
          <w:sz w:val="20"/>
        </w:rPr>
        <w:t> </w:t>
      </w:r>
      <w:r>
        <w:rPr>
          <w:sz w:val="20"/>
        </w:rPr>
        <w:t>систему»</w:t>
      </w:r>
      <w:r>
        <w:rPr>
          <w:spacing w:val="21"/>
          <w:sz w:val="20"/>
        </w:rPr>
        <w:t> </w:t>
      </w:r>
      <w:r>
        <w:rPr>
          <w:sz w:val="20"/>
        </w:rPr>
        <w:t>и</w:t>
      </w:r>
      <w:r>
        <w:rPr>
          <w:spacing w:val="21"/>
          <w:sz w:val="20"/>
        </w:rPr>
        <w:t> </w:t>
      </w:r>
      <w:r>
        <w:rPr>
          <w:sz w:val="20"/>
        </w:rPr>
        <w:t>выбрать</w:t>
      </w:r>
      <w:r>
        <w:rPr>
          <w:spacing w:val="21"/>
          <w:sz w:val="20"/>
        </w:rPr>
        <w:t> </w:t>
      </w:r>
      <w:r>
        <w:rPr>
          <w:sz w:val="20"/>
        </w:rPr>
        <w:t>вариант</w:t>
      </w:r>
      <w:r>
        <w:rPr>
          <w:spacing w:val="21"/>
          <w:sz w:val="20"/>
        </w:rPr>
        <w:t> </w:t>
      </w:r>
      <w:r>
        <w:rPr>
          <w:sz w:val="20"/>
        </w:rPr>
        <w:t>«Регистра-</w:t>
      </w:r>
    </w:p>
    <w:p>
      <w:pPr>
        <w:pStyle w:val="BodyText"/>
        <w:ind w:left="0" w:right="0" w:firstLine="0"/>
        <w:jc w:val="left"/>
        <w:rPr>
          <w:sz w:val="12"/>
        </w:rPr>
      </w:pPr>
      <w:r>
        <w:rPr>
          <w:sz w:val="12"/>
        </w:rPr>
        <mc:AlternateContent>
          <mc:Choice Requires="wps">
            <w:drawing>
              <wp:anchor distT="0" distB="0" distL="0" distR="0" allowOverlap="1" layoutInCell="1" locked="0" behindDoc="1" simplePos="0" relativeHeight="487626240">
                <wp:simplePos x="0" y="0"/>
                <wp:positionH relativeFrom="page">
                  <wp:posOffset>359999</wp:posOffset>
                </wp:positionH>
                <wp:positionV relativeFrom="paragraph">
                  <wp:posOffset>103073</wp:posOffset>
                </wp:positionV>
                <wp:extent cx="1440180" cy="1270"/>
                <wp:effectExtent l="0" t="0" r="0" b="0"/>
                <wp:wrapTopAndBottom/>
                <wp:docPr id="122" name="Graphic 122"/>
                <wp:cNvGraphicFramePr>
                  <a:graphicFrameLocks/>
                </wp:cNvGraphicFramePr>
                <a:graphic>
                  <a:graphicData uri="http://schemas.microsoft.com/office/word/2010/wordprocessingShape">
                    <wps:wsp>
                      <wps:cNvPr id="122" name="Graphic 122"/>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399pt;margin-top:8.116003pt;width:113.4pt;height:.1pt;mso-position-horizontal-relative:page;mso-position-vertical-relative:paragraph;z-index:-15690240;mso-wrap-distance-left:0;mso-wrap-distance-right:0" id="docshape77" coordorigin="567,162" coordsize="2268,0" path="m567,162l2835,162e" filled="false" stroked="true" strokeweight=".5pt" strokecolor="#231f20">
                <v:path arrowok="t"/>
                <v:stroke dashstyle="solid"/>
                <w10:wrap type="topAndBottom"/>
              </v:shape>
            </w:pict>
          </mc:Fallback>
        </mc:AlternateContent>
      </w:r>
    </w:p>
    <w:p>
      <w:pPr>
        <w:tabs>
          <w:tab w:pos="425" w:val="left" w:leader="none"/>
        </w:tabs>
        <w:spacing w:line="232" w:lineRule="auto" w:before="32"/>
        <w:ind w:left="141" w:right="139" w:firstLine="0"/>
        <w:jc w:val="left"/>
        <w:rPr>
          <w:sz w:val="18"/>
        </w:rPr>
      </w:pPr>
      <w:r>
        <w:rPr>
          <w:color w:val="231F20"/>
          <w:spacing w:val="-10"/>
          <w:sz w:val="18"/>
          <w:vertAlign w:val="superscript"/>
        </w:rPr>
        <w:t>1</w:t>
      </w:r>
      <w:r>
        <w:rPr>
          <w:color w:val="231F20"/>
          <w:sz w:val="18"/>
          <w:vertAlign w:val="baseline"/>
        </w:rPr>
        <w:tab/>
        <w:t>Пояснительная</w:t>
      </w:r>
      <w:r>
        <w:rPr>
          <w:color w:val="231F20"/>
          <w:spacing w:val="80"/>
          <w:sz w:val="18"/>
          <w:vertAlign w:val="baseline"/>
        </w:rPr>
        <w:t> </w:t>
      </w:r>
      <w:r>
        <w:rPr>
          <w:color w:val="231F20"/>
          <w:sz w:val="18"/>
          <w:vertAlign w:val="baseline"/>
        </w:rPr>
        <w:t>записка</w:t>
      </w:r>
      <w:r>
        <w:rPr>
          <w:color w:val="231F20"/>
          <w:spacing w:val="80"/>
          <w:sz w:val="18"/>
          <w:vertAlign w:val="baseline"/>
        </w:rPr>
        <w:t> </w:t>
      </w:r>
      <w:r>
        <w:rPr>
          <w:color w:val="231F20"/>
          <w:sz w:val="18"/>
          <w:vertAlign w:val="baseline"/>
        </w:rPr>
        <w:t>к</w:t>
      </w:r>
      <w:r>
        <w:rPr>
          <w:color w:val="231F20"/>
          <w:spacing w:val="80"/>
          <w:sz w:val="18"/>
          <w:vertAlign w:val="baseline"/>
        </w:rPr>
        <w:t> </w:t>
      </w:r>
      <w:r>
        <w:rPr>
          <w:color w:val="231F20"/>
          <w:sz w:val="18"/>
          <w:vertAlign w:val="baseline"/>
        </w:rPr>
        <w:t>УМК</w:t>
      </w:r>
      <w:r>
        <w:rPr>
          <w:color w:val="231F20"/>
          <w:spacing w:val="80"/>
          <w:sz w:val="18"/>
          <w:vertAlign w:val="baseline"/>
        </w:rPr>
        <w:t> </w:t>
      </w:r>
      <w:r>
        <w:rPr>
          <w:color w:val="231F20"/>
          <w:sz w:val="18"/>
          <w:vertAlign w:val="baseline"/>
        </w:rPr>
        <w:t>«Школа</w:t>
      </w:r>
      <w:r>
        <w:rPr>
          <w:color w:val="231F20"/>
          <w:spacing w:val="80"/>
          <w:sz w:val="18"/>
          <w:vertAlign w:val="baseline"/>
        </w:rPr>
        <w:t> </w:t>
      </w:r>
      <w:r>
        <w:rPr>
          <w:color w:val="231F20"/>
          <w:sz w:val="18"/>
          <w:vertAlign w:val="baseline"/>
        </w:rPr>
        <w:t>возможностей»</w:t>
      </w:r>
      <w:r>
        <w:rPr>
          <w:color w:val="231F20"/>
          <w:spacing w:val="80"/>
          <w:sz w:val="18"/>
          <w:vertAlign w:val="baseline"/>
        </w:rPr>
        <w:t> </w:t>
      </w:r>
      <w:r>
        <w:rPr>
          <w:color w:val="2255A6"/>
          <w:sz w:val="18"/>
          <w:u w:val="single" w:color="2255A6"/>
          <w:vertAlign w:val="baseline"/>
        </w:rPr>
        <w:t>https://teacher.vbudushee.ru/</w:t>
      </w:r>
      <w:r>
        <w:rPr>
          <w:color w:val="2255A6"/>
          <w:sz w:val="18"/>
          <w:vertAlign w:val="baseline"/>
        </w:rPr>
        <w:t> </w:t>
      </w:r>
      <w:r>
        <w:rPr>
          <w:color w:val="2255A6"/>
          <w:spacing w:val="-2"/>
          <w:sz w:val="18"/>
          <w:u w:val="single" w:color="2255A6"/>
          <w:vertAlign w:val="baseline"/>
        </w:rPr>
        <w:t>module/3#heading-6</w:t>
      </w:r>
      <w:r>
        <w:rPr>
          <w:color w:val="231F20"/>
          <w:spacing w:val="-2"/>
          <w:sz w:val="18"/>
          <w:vertAlign w:val="baseline"/>
        </w:rPr>
        <w:t>.</w:t>
      </w:r>
    </w:p>
    <w:p>
      <w:pPr>
        <w:spacing w:after="0" w:line="232" w:lineRule="auto"/>
        <w:jc w:val="left"/>
        <w:rPr>
          <w:sz w:val="18"/>
        </w:rPr>
        <w:sectPr>
          <w:pgSz w:w="8400" w:h="11910"/>
          <w:pgMar w:header="0" w:footer="527" w:top="400" w:bottom="720" w:left="425" w:right="425"/>
        </w:sectPr>
      </w:pPr>
    </w:p>
    <w:p>
      <w:pPr>
        <w:spacing w:before="80"/>
        <w:ind w:left="141" w:right="0" w:firstLine="0"/>
        <w:jc w:val="left"/>
        <w:rPr>
          <w:rFonts w:ascii="Georgia" w:hAnsi="Georgia"/>
          <w:sz w:val="18"/>
        </w:rPr>
      </w:pPr>
      <w:r>
        <w:rPr>
          <w:rFonts w:ascii="Georgia" w:hAnsi="Georgia"/>
          <w:color w:val="231F20"/>
          <w:sz w:val="18"/>
        </w:rPr>
        <w:t>4.2.</w:t>
      </w:r>
      <w:r>
        <w:rPr>
          <w:rFonts w:ascii="Georgia" w:hAnsi="Georgia"/>
          <w:color w:val="231F20"/>
          <w:spacing w:val="-6"/>
          <w:sz w:val="18"/>
        </w:rPr>
        <w:t> </w:t>
      </w:r>
      <w:r>
        <w:rPr>
          <w:rFonts w:ascii="Georgia" w:hAnsi="Georgia"/>
          <w:color w:val="231F20"/>
          <w:sz w:val="18"/>
        </w:rPr>
        <w:t>Работа</w:t>
      </w:r>
      <w:r>
        <w:rPr>
          <w:rFonts w:ascii="Georgia" w:hAnsi="Georgia"/>
          <w:color w:val="231F20"/>
          <w:spacing w:val="-5"/>
          <w:sz w:val="18"/>
        </w:rPr>
        <w:t> </w:t>
      </w:r>
      <w:r>
        <w:rPr>
          <w:rFonts w:ascii="Georgia" w:hAnsi="Georgia"/>
          <w:color w:val="231F20"/>
          <w:sz w:val="18"/>
        </w:rPr>
        <w:t>педагога-психолога</w:t>
      </w:r>
      <w:r>
        <w:rPr>
          <w:rFonts w:ascii="Georgia" w:hAnsi="Georgia"/>
          <w:color w:val="231F20"/>
          <w:spacing w:val="-5"/>
          <w:sz w:val="18"/>
        </w:rPr>
        <w:t> </w:t>
      </w:r>
      <w:r>
        <w:rPr>
          <w:rFonts w:ascii="Georgia" w:hAnsi="Georgia"/>
          <w:color w:val="231F20"/>
          <w:sz w:val="18"/>
        </w:rPr>
        <w:t>в</w:t>
      </w:r>
      <w:r>
        <w:rPr>
          <w:rFonts w:ascii="Georgia" w:hAnsi="Georgia"/>
          <w:color w:val="231F20"/>
          <w:spacing w:val="-5"/>
          <w:sz w:val="18"/>
        </w:rPr>
        <w:t> </w:t>
      </w:r>
      <w:r>
        <w:rPr>
          <w:rFonts w:ascii="Georgia" w:hAnsi="Georgia"/>
          <w:color w:val="231F20"/>
          <w:sz w:val="18"/>
        </w:rPr>
        <w:t>области</w:t>
      </w:r>
      <w:r>
        <w:rPr>
          <w:rFonts w:ascii="Georgia" w:hAnsi="Georgia"/>
          <w:color w:val="231F20"/>
          <w:spacing w:val="-6"/>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детей</w:t>
      </w:r>
      <w:r>
        <w:rPr>
          <w:rFonts w:ascii="Georgia" w:hAnsi="Georgia"/>
          <w:color w:val="231F20"/>
          <w:spacing w:val="-5"/>
          <w:sz w:val="18"/>
        </w:rPr>
        <w:t> </w:t>
      </w:r>
      <w:r>
        <w:rPr>
          <w:rFonts w:ascii="Georgia" w:hAnsi="Georgia"/>
          <w:color w:val="231F20"/>
          <w:sz w:val="18"/>
        </w:rPr>
        <w:t>...</w:t>
      </w:r>
      <w:r>
        <w:rPr>
          <w:rFonts w:ascii="Georgia" w:hAnsi="Georgia"/>
          <w:color w:val="231F20"/>
          <w:spacing w:val="-5"/>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BodyText"/>
        <w:spacing w:line="225" w:lineRule="auto" w:before="123"/>
        <w:ind w:left="425" w:firstLine="0"/>
      </w:pPr>
      <w:r>
        <w:rPr/>
        <w:t>ция».</w:t>
      </w:r>
      <w:r>
        <w:rPr>
          <w:spacing w:val="-11"/>
        </w:rPr>
        <w:t> </w:t>
      </w:r>
      <w:r>
        <w:rPr/>
        <w:t>Заполнить</w:t>
      </w:r>
      <w:r>
        <w:rPr>
          <w:spacing w:val="-11"/>
        </w:rPr>
        <w:t> </w:t>
      </w:r>
      <w:r>
        <w:rPr/>
        <w:t>все</w:t>
      </w:r>
      <w:r>
        <w:rPr>
          <w:spacing w:val="-11"/>
        </w:rPr>
        <w:t> </w:t>
      </w:r>
      <w:r>
        <w:rPr/>
        <w:t>поля</w:t>
      </w:r>
      <w:r>
        <w:rPr>
          <w:spacing w:val="-11"/>
        </w:rPr>
        <w:t> </w:t>
      </w:r>
      <w:r>
        <w:rPr/>
        <w:t>во</w:t>
      </w:r>
      <w:r>
        <w:rPr>
          <w:spacing w:val="-11"/>
        </w:rPr>
        <w:t> </w:t>
      </w:r>
      <w:r>
        <w:rPr/>
        <w:t>всплывшем</w:t>
      </w:r>
      <w:r>
        <w:rPr>
          <w:spacing w:val="-11"/>
        </w:rPr>
        <w:t> </w:t>
      </w:r>
      <w:r>
        <w:rPr/>
        <w:t>окне</w:t>
      </w:r>
      <w:r>
        <w:rPr>
          <w:spacing w:val="-11"/>
        </w:rPr>
        <w:t> </w:t>
      </w:r>
      <w:r>
        <w:rPr/>
        <w:t>(ваши</w:t>
      </w:r>
      <w:r>
        <w:rPr>
          <w:spacing w:val="-12"/>
        </w:rPr>
        <w:t> </w:t>
      </w:r>
      <w:r>
        <w:rPr/>
        <w:t>имя</w:t>
      </w:r>
      <w:r>
        <w:rPr>
          <w:spacing w:val="-11"/>
        </w:rPr>
        <w:t> </w:t>
      </w:r>
      <w:r>
        <w:rPr/>
        <w:t>и</w:t>
      </w:r>
      <w:r>
        <w:rPr>
          <w:spacing w:val="-11"/>
        </w:rPr>
        <w:t> </w:t>
      </w:r>
      <w:r>
        <w:rPr/>
        <w:t>фамилию,</w:t>
      </w:r>
      <w:r>
        <w:rPr>
          <w:spacing w:val="-11"/>
        </w:rPr>
        <w:t> </w:t>
      </w:r>
      <w:r>
        <w:rPr/>
        <w:t>электронную почту,</w:t>
      </w:r>
      <w:r>
        <w:rPr>
          <w:spacing w:val="24"/>
        </w:rPr>
        <w:t> </w:t>
      </w:r>
      <w:r>
        <w:rPr/>
        <w:t>населенный</w:t>
      </w:r>
      <w:r>
        <w:rPr>
          <w:spacing w:val="24"/>
        </w:rPr>
        <w:t> </w:t>
      </w:r>
      <w:r>
        <w:rPr/>
        <w:t>пункт,</w:t>
      </w:r>
      <w:r>
        <w:rPr>
          <w:spacing w:val="24"/>
        </w:rPr>
        <w:t> </w:t>
      </w:r>
      <w:r>
        <w:rPr/>
        <w:t>образовательную</w:t>
      </w:r>
      <w:r>
        <w:rPr>
          <w:spacing w:val="24"/>
        </w:rPr>
        <w:t> </w:t>
      </w:r>
      <w:r>
        <w:rPr/>
        <w:t>организацию,</w:t>
      </w:r>
      <w:r>
        <w:rPr>
          <w:spacing w:val="24"/>
        </w:rPr>
        <w:t> </w:t>
      </w:r>
      <w:r>
        <w:rPr/>
        <w:t>в</w:t>
      </w:r>
      <w:r>
        <w:rPr>
          <w:spacing w:val="24"/>
        </w:rPr>
        <w:t> </w:t>
      </w:r>
      <w:r>
        <w:rPr/>
        <w:t>которой</w:t>
      </w:r>
      <w:r>
        <w:rPr>
          <w:spacing w:val="24"/>
        </w:rPr>
        <w:t> </w:t>
      </w:r>
      <w:r>
        <w:rPr/>
        <w:t>работаете, и сами придумайте пароль). После этого нажать кнопку «Зарегистрироваться».</w:t>
      </w:r>
      <w:r>
        <w:rPr>
          <w:spacing w:val="80"/>
        </w:rPr>
        <w:t> </w:t>
      </w:r>
      <w:r>
        <w:rPr/>
        <w:t>С телефона все тоже работает.</w:t>
      </w:r>
    </w:p>
    <w:p>
      <w:pPr>
        <w:pStyle w:val="ListParagraph"/>
        <w:numPr>
          <w:ilvl w:val="0"/>
          <w:numId w:val="122"/>
        </w:numPr>
        <w:tabs>
          <w:tab w:pos="423" w:val="left" w:leader="none"/>
          <w:tab w:pos="425" w:val="left" w:leader="none"/>
        </w:tabs>
        <w:spacing w:line="228" w:lineRule="auto" w:before="0" w:after="0"/>
        <w:ind w:left="425" w:right="139" w:hanging="284"/>
        <w:jc w:val="left"/>
        <w:rPr>
          <w:sz w:val="20"/>
        </w:rPr>
      </w:pPr>
      <w:r>
        <w:rPr>
          <w:spacing w:val="-2"/>
          <w:sz w:val="20"/>
        </w:rPr>
        <w:t>Изучите</w:t>
      </w:r>
      <w:r>
        <w:rPr>
          <w:spacing w:val="-10"/>
          <w:sz w:val="20"/>
        </w:rPr>
        <w:t> </w:t>
      </w:r>
      <w:r>
        <w:rPr>
          <w:spacing w:val="-2"/>
          <w:sz w:val="20"/>
        </w:rPr>
        <w:t>сайт,</w:t>
      </w:r>
      <w:r>
        <w:rPr>
          <w:spacing w:val="-10"/>
          <w:sz w:val="20"/>
        </w:rPr>
        <w:t> </w:t>
      </w:r>
      <w:r>
        <w:rPr>
          <w:spacing w:val="-2"/>
          <w:sz w:val="20"/>
        </w:rPr>
        <w:t>там</w:t>
      </w:r>
      <w:r>
        <w:rPr>
          <w:spacing w:val="-10"/>
          <w:sz w:val="20"/>
        </w:rPr>
        <w:t> </w:t>
      </w:r>
      <w:r>
        <w:rPr>
          <w:spacing w:val="-2"/>
          <w:sz w:val="20"/>
        </w:rPr>
        <w:t>много</w:t>
      </w:r>
      <w:r>
        <w:rPr>
          <w:spacing w:val="-10"/>
          <w:sz w:val="20"/>
        </w:rPr>
        <w:t> </w:t>
      </w:r>
      <w:r>
        <w:rPr>
          <w:spacing w:val="-2"/>
          <w:sz w:val="20"/>
        </w:rPr>
        <w:t>материалов</w:t>
      </w:r>
      <w:r>
        <w:rPr>
          <w:spacing w:val="-10"/>
          <w:sz w:val="20"/>
        </w:rPr>
        <w:t> </w:t>
      </w:r>
      <w:r>
        <w:rPr>
          <w:spacing w:val="-2"/>
          <w:sz w:val="20"/>
        </w:rPr>
        <w:t>и</w:t>
      </w:r>
      <w:r>
        <w:rPr>
          <w:spacing w:val="-10"/>
          <w:sz w:val="20"/>
        </w:rPr>
        <w:t> </w:t>
      </w:r>
      <w:r>
        <w:rPr>
          <w:spacing w:val="-2"/>
          <w:sz w:val="20"/>
        </w:rPr>
        <w:t>удобная</w:t>
      </w:r>
      <w:r>
        <w:rPr>
          <w:spacing w:val="-10"/>
          <w:sz w:val="20"/>
        </w:rPr>
        <w:t> </w:t>
      </w:r>
      <w:r>
        <w:rPr>
          <w:spacing w:val="-2"/>
          <w:sz w:val="20"/>
        </w:rPr>
        <w:t>навигация.</w:t>
      </w:r>
      <w:r>
        <w:rPr>
          <w:spacing w:val="-10"/>
          <w:sz w:val="20"/>
        </w:rPr>
        <w:t> </w:t>
      </w:r>
      <w:r>
        <w:rPr>
          <w:spacing w:val="-2"/>
          <w:sz w:val="20"/>
        </w:rPr>
        <w:t>Вы</w:t>
      </w:r>
      <w:r>
        <w:rPr>
          <w:spacing w:val="-10"/>
          <w:sz w:val="20"/>
        </w:rPr>
        <w:t> </w:t>
      </w:r>
      <w:r>
        <w:rPr>
          <w:spacing w:val="-2"/>
          <w:sz w:val="20"/>
        </w:rPr>
        <w:t>можете</w:t>
      </w:r>
      <w:r>
        <w:rPr>
          <w:spacing w:val="-10"/>
          <w:sz w:val="20"/>
        </w:rPr>
        <w:t> </w:t>
      </w:r>
      <w:r>
        <w:rPr>
          <w:spacing w:val="-2"/>
          <w:sz w:val="20"/>
        </w:rPr>
        <w:t>читать</w:t>
      </w:r>
      <w:r>
        <w:rPr>
          <w:spacing w:val="-10"/>
          <w:sz w:val="20"/>
        </w:rPr>
        <w:t> </w:t>
      </w:r>
      <w:r>
        <w:rPr>
          <w:spacing w:val="-2"/>
          <w:sz w:val="20"/>
        </w:rPr>
        <w:t>прямо </w:t>
      </w:r>
      <w:r>
        <w:rPr>
          <w:sz w:val="20"/>
        </w:rPr>
        <w:t>на</w:t>
      </w:r>
      <w:r>
        <w:rPr>
          <w:spacing w:val="-11"/>
          <w:sz w:val="20"/>
        </w:rPr>
        <w:t> </w:t>
      </w:r>
      <w:r>
        <w:rPr>
          <w:sz w:val="20"/>
        </w:rPr>
        <w:t>сайте</w:t>
      </w:r>
      <w:r>
        <w:rPr>
          <w:spacing w:val="-11"/>
          <w:sz w:val="20"/>
        </w:rPr>
        <w:t> </w:t>
      </w:r>
      <w:r>
        <w:rPr>
          <w:sz w:val="20"/>
        </w:rPr>
        <w:t>или</w:t>
      </w:r>
      <w:r>
        <w:rPr>
          <w:spacing w:val="-11"/>
          <w:sz w:val="20"/>
        </w:rPr>
        <w:t> </w:t>
      </w:r>
      <w:r>
        <w:rPr>
          <w:sz w:val="20"/>
        </w:rPr>
        <w:t>скачивать</w:t>
      </w:r>
      <w:r>
        <w:rPr>
          <w:spacing w:val="-11"/>
          <w:sz w:val="20"/>
        </w:rPr>
        <w:t> </w:t>
      </w:r>
      <w:r>
        <w:rPr>
          <w:sz w:val="20"/>
        </w:rPr>
        <w:t>то,</w:t>
      </w:r>
      <w:r>
        <w:rPr>
          <w:spacing w:val="-11"/>
          <w:sz w:val="20"/>
        </w:rPr>
        <w:t> </w:t>
      </w:r>
      <w:r>
        <w:rPr>
          <w:sz w:val="20"/>
        </w:rPr>
        <w:t>что</w:t>
      </w:r>
      <w:r>
        <w:rPr>
          <w:spacing w:val="-11"/>
          <w:sz w:val="20"/>
        </w:rPr>
        <w:t> </w:t>
      </w:r>
      <w:r>
        <w:rPr>
          <w:sz w:val="20"/>
        </w:rPr>
        <w:t>нужно,</w:t>
      </w:r>
      <w:r>
        <w:rPr>
          <w:spacing w:val="-11"/>
          <w:sz w:val="20"/>
        </w:rPr>
        <w:t> </w:t>
      </w:r>
      <w:r>
        <w:rPr>
          <w:sz w:val="20"/>
        </w:rPr>
        <w:t>на</w:t>
      </w:r>
      <w:r>
        <w:rPr>
          <w:spacing w:val="-11"/>
          <w:sz w:val="20"/>
        </w:rPr>
        <w:t> </w:t>
      </w:r>
      <w:r>
        <w:rPr>
          <w:sz w:val="20"/>
        </w:rPr>
        <w:t>свой</w:t>
      </w:r>
      <w:r>
        <w:rPr>
          <w:spacing w:val="-11"/>
          <w:sz w:val="20"/>
        </w:rPr>
        <w:t> </w:t>
      </w:r>
      <w:r>
        <w:rPr>
          <w:sz w:val="20"/>
        </w:rPr>
        <w:t>компьютер</w:t>
      </w:r>
      <w:r>
        <w:rPr>
          <w:spacing w:val="-11"/>
          <w:sz w:val="20"/>
        </w:rPr>
        <w:t> </w:t>
      </w:r>
      <w:r>
        <w:rPr>
          <w:sz w:val="20"/>
        </w:rPr>
        <w:t>или</w:t>
      </w:r>
      <w:r>
        <w:rPr>
          <w:spacing w:val="-11"/>
          <w:sz w:val="20"/>
        </w:rPr>
        <w:t> </w:t>
      </w:r>
      <w:r>
        <w:rPr>
          <w:sz w:val="20"/>
        </w:rPr>
        <w:t>телефон.</w:t>
      </w:r>
      <w:r>
        <w:rPr>
          <w:spacing w:val="-11"/>
          <w:sz w:val="20"/>
        </w:rPr>
        <w:t> </w:t>
      </w:r>
      <w:r>
        <w:rPr>
          <w:sz w:val="20"/>
        </w:rPr>
        <w:t>Выше</w:t>
      </w:r>
      <w:r>
        <w:rPr>
          <w:spacing w:val="-11"/>
          <w:sz w:val="20"/>
        </w:rPr>
        <w:t> </w:t>
      </w:r>
      <w:r>
        <w:rPr>
          <w:sz w:val="20"/>
        </w:rPr>
        <w:t>опи- сана</w:t>
      </w:r>
      <w:r>
        <w:rPr>
          <w:spacing w:val="-6"/>
          <w:sz w:val="20"/>
        </w:rPr>
        <w:t> </w:t>
      </w:r>
      <w:r>
        <w:rPr>
          <w:sz w:val="20"/>
        </w:rPr>
        <w:t>программа</w:t>
      </w:r>
      <w:r>
        <w:rPr>
          <w:spacing w:val="-6"/>
          <w:sz w:val="20"/>
        </w:rPr>
        <w:t> </w:t>
      </w:r>
      <w:r>
        <w:rPr>
          <w:sz w:val="20"/>
        </w:rPr>
        <w:t>для</w:t>
      </w:r>
      <w:r>
        <w:rPr>
          <w:spacing w:val="-6"/>
          <w:sz w:val="20"/>
        </w:rPr>
        <w:t> </w:t>
      </w:r>
      <w:r>
        <w:rPr>
          <w:sz w:val="20"/>
        </w:rPr>
        <w:t>1–4-х</w:t>
      </w:r>
      <w:r>
        <w:rPr>
          <w:spacing w:val="-6"/>
          <w:sz w:val="20"/>
        </w:rPr>
        <w:t> </w:t>
      </w:r>
      <w:r>
        <w:rPr>
          <w:sz w:val="20"/>
        </w:rPr>
        <w:t>классов,</w:t>
      </w:r>
      <w:r>
        <w:rPr>
          <w:spacing w:val="-6"/>
          <w:sz w:val="20"/>
        </w:rPr>
        <w:t> </w:t>
      </w:r>
      <w:r>
        <w:rPr>
          <w:sz w:val="20"/>
        </w:rPr>
        <w:t>но,</w:t>
      </w:r>
      <w:r>
        <w:rPr>
          <w:spacing w:val="-6"/>
          <w:sz w:val="20"/>
        </w:rPr>
        <w:t> </w:t>
      </w:r>
      <w:r>
        <w:rPr>
          <w:sz w:val="20"/>
        </w:rPr>
        <w:t>если</w:t>
      </w:r>
      <w:r>
        <w:rPr>
          <w:spacing w:val="-6"/>
          <w:sz w:val="20"/>
        </w:rPr>
        <w:t> </w:t>
      </w:r>
      <w:r>
        <w:rPr>
          <w:sz w:val="20"/>
        </w:rPr>
        <w:t>вам</w:t>
      </w:r>
      <w:r>
        <w:rPr>
          <w:spacing w:val="-6"/>
          <w:sz w:val="20"/>
        </w:rPr>
        <w:t> </w:t>
      </w:r>
      <w:r>
        <w:rPr>
          <w:sz w:val="20"/>
        </w:rPr>
        <w:t>нужны</w:t>
      </w:r>
      <w:r>
        <w:rPr>
          <w:spacing w:val="-6"/>
          <w:sz w:val="20"/>
        </w:rPr>
        <w:t> </w:t>
      </w:r>
      <w:r>
        <w:rPr>
          <w:sz w:val="20"/>
        </w:rPr>
        <w:t>другие,</w:t>
      </w:r>
      <w:r>
        <w:rPr>
          <w:spacing w:val="-6"/>
          <w:sz w:val="20"/>
        </w:rPr>
        <w:t> </w:t>
      </w:r>
      <w:r>
        <w:rPr>
          <w:sz w:val="20"/>
        </w:rPr>
        <w:t>они</w:t>
      </w:r>
      <w:r>
        <w:rPr>
          <w:spacing w:val="-6"/>
          <w:sz w:val="20"/>
        </w:rPr>
        <w:t> </w:t>
      </w:r>
      <w:r>
        <w:rPr>
          <w:sz w:val="20"/>
        </w:rPr>
        <w:t>там</w:t>
      </w:r>
      <w:r>
        <w:rPr>
          <w:spacing w:val="-6"/>
          <w:sz w:val="20"/>
        </w:rPr>
        <w:t> </w:t>
      </w:r>
      <w:r>
        <w:rPr>
          <w:sz w:val="20"/>
        </w:rPr>
        <w:t>тоже</w:t>
      </w:r>
      <w:r>
        <w:rPr>
          <w:spacing w:val="-6"/>
          <w:sz w:val="20"/>
        </w:rPr>
        <w:t> </w:t>
      </w:r>
      <w:r>
        <w:rPr>
          <w:sz w:val="20"/>
        </w:rPr>
        <w:t>есть. Вам пригодится:</w:t>
      </w:r>
    </w:p>
    <w:p>
      <w:pPr>
        <w:pStyle w:val="BodyText"/>
        <w:spacing w:line="228" w:lineRule="auto"/>
      </w:pPr>
      <w:r>
        <w:rPr>
          <w:color w:val="2255A6"/>
          <w:u w:val="single" w:color="2255A6"/>
        </w:rPr>
        <w:t>теоретическое пособие</w:t>
      </w:r>
      <w:r>
        <w:rPr>
          <w:color w:val="2255A6"/>
        </w:rPr>
        <w:t> </w:t>
      </w:r>
      <w:r>
        <w:rPr/>
        <w:t>– в нем описаны психологические исследования того, как развивается эмоциональный и социальный интеллект в разном возрасте;</w:t>
      </w:r>
    </w:p>
    <w:p>
      <w:pPr>
        <w:pStyle w:val="BodyText"/>
        <w:spacing w:line="228" w:lineRule="auto"/>
      </w:pPr>
      <w:r>
        <w:rPr>
          <w:color w:val="2255A6"/>
          <w:u w:val="single" w:color="2255A6"/>
        </w:rPr>
        <w:t>концепция УМК</w:t>
      </w:r>
      <w:r>
        <w:rPr>
          <w:color w:val="2255A6"/>
        </w:rPr>
        <w:t> </w:t>
      </w:r>
      <w:r>
        <w:rPr/>
        <w:t>— из нее можно понять логику построения программы, узнать подробнее,</w:t>
      </w:r>
      <w:r>
        <w:rPr>
          <w:spacing w:val="-6"/>
        </w:rPr>
        <w:t> </w:t>
      </w:r>
      <w:r>
        <w:rPr/>
        <w:t>как</w:t>
      </w:r>
      <w:r>
        <w:rPr>
          <w:spacing w:val="-5"/>
        </w:rPr>
        <w:t> </w:t>
      </w:r>
      <w:r>
        <w:rPr/>
        <w:t>использовать</w:t>
      </w:r>
      <w:r>
        <w:rPr>
          <w:spacing w:val="-5"/>
        </w:rPr>
        <w:t> </w:t>
      </w:r>
      <w:r>
        <w:rPr/>
        <w:t>методички</w:t>
      </w:r>
      <w:r>
        <w:rPr>
          <w:spacing w:val="-6"/>
        </w:rPr>
        <w:t> </w:t>
      </w:r>
      <w:r>
        <w:rPr/>
        <w:t>и</w:t>
      </w:r>
      <w:r>
        <w:rPr>
          <w:spacing w:val="-5"/>
        </w:rPr>
        <w:t> </w:t>
      </w:r>
      <w:r>
        <w:rPr/>
        <w:t>рабочую</w:t>
      </w:r>
      <w:r>
        <w:rPr>
          <w:spacing w:val="-5"/>
        </w:rPr>
        <w:t> </w:t>
      </w:r>
      <w:r>
        <w:rPr/>
        <w:t>тетрадь,</w:t>
      </w:r>
      <w:r>
        <w:rPr>
          <w:spacing w:val="-5"/>
        </w:rPr>
        <w:t> </w:t>
      </w:r>
      <w:r>
        <w:rPr/>
        <w:t>как</w:t>
      </w:r>
      <w:r>
        <w:rPr>
          <w:spacing w:val="-5"/>
        </w:rPr>
        <w:t> </w:t>
      </w:r>
      <w:r>
        <w:rPr/>
        <w:t>взаимодействовать</w:t>
      </w:r>
      <w:r>
        <w:rPr>
          <w:spacing w:val="-5"/>
        </w:rPr>
        <w:t> </w:t>
      </w:r>
      <w:r>
        <w:rPr/>
        <w:t>с детьми</w:t>
      </w:r>
      <w:r>
        <w:rPr>
          <w:spacing w:val="-2"/>
        </w:rPr>
        <w:t> </w:t>
      </w:r>
      <w:r>
        <w:rPr/>
        <w:t>и</w:t>
      </w:r>
      <w:r>
        <w:rPr>
          <w:spacing w:val="-2"/>
        </w:rPr>
        <w:t> </w:t>
      </w:r>
      <w:r>
        <w:rPr/>
        <w:t>родителями</w:t>
      </w:r>
      <w:r>
        <w:rPr>
          <w:spacing w:val="-2"/>
        </w:rPr>
        <w:t> </w:t>
      </w:r>
      <w:r>
        <w:rPr/>
        <w:t>на</w:t>
      </w:r>
      <w:r>
        <w:rPr>
          <w:spacing w:val="-2"/>
        </w:rPr>
        <w:t> </w:t>
      </w:r>
      <w:r>
        <w:rPr/>
        <w:t>разных</w:t>
      </w:r>
      <w:r>
        <w:rPr>
          <w:spacing w:val="-2"/>
        </w:rPr>
        <w:t> </w:t>
      </w:r>
      <w:r>
        <w:rPr/>
        <w:t>этапах</w:t>
      </w:r>
      <w:r>
        <w:rPr>
          <w:spacing w:val="-2"/>
        </w:rPr>
        <w:t> </w:t>
      </w:r>
      <w:r>
        <w:rPr/>
        <w:t>проведения</w:t>
      </w:r>
      <w:r>
        <w:rPr>
          <w:spacing w:val="-2"/>
        </w:rPr>
        <w:t> </w:t>
      </w:r>
      <w:r>
        <w:rPr/>
        <w:t>занятий,</w:t>
      </w:r>
      <w:r>
        <w:rPr>
          <w:spacing w:val="-2"/>
        </w:rPr>
        <w:t> </w:t>
      </w:r>
      <w:r>
        <w:rPr/>
        <w:t>а</w:t>
      </w:r>
      <w:r>
        <w:rPr>
          <w:spacing w:val="-2"/>
        </w:rPr>
        <w:t> </w:t>
      </w:r>
      <w:r>
        <w:rPr/>
        <w:t>также</w:t>
      </w:r>
      <w:r>
        <w:rPr>
          <w:spacing w:val="-2"/>
        </w:rPr>
        <w:t> </w:t>
      </w:r>
      <w:r>
        <w:rPr/>
        <w:t>по</w:t>
      </w:r>
      <w:r>
        <w:rPr>
          <w:spacing w:val="-2"/>
        </w:rPr>
        <w:t> </w:t>
      </w:r>
      <w:r>
        <w:rPr/>
        <w:t>каким</w:t>
      </w:r>
      <w:r>
        <w:rPr>
          <w:spacing w:val="-2"/>
        </w:rPr>
        <w:t> </w:t>
      </w:r>
      <w:r>
        <w:rPr/>
        <w:t>крите- риям оценивать эффективность программы;</w:t>
      </w:r>
    </w:p>
    <w:p>
      <w:pPr>
        <w:pStyle w:val="BodyText"/>
        <w:spacing w:line="228" w:lineRule="auto"/>
      </w:pPr>
      <w:r>
        <w:rPr>
          <w:color w:val="2255A6"/>
          <w:u w:val="single" w:color="2255A6"/>
        </w:rPr>
        <w:t>методическое пособие</w:t>
      </w:r>
      <w:r>
        <w:rPr>
          <w:color w:val="2255A6"/>
        </w:rPr>
        <w:t> </w:t>
      </w:r>
      <w:r>
        <w:rPr/>
        <w:t>— главный материал, в котором детально прописаны все занятия</w:t>
      </w:r>
      <w:r>
        <w:rPr>
          <w:spacing w:val="-13"/>
        </w:rPr>
        <w:t> </w:t>
      </w:r>
      <w:r>
        <w:rPr/>
        <w:t>программы</w:t>
      </w:r>
      <w:r>
        <w:rPr>
          <w:spacing w:val="-12"/>
        </w:rPr>
        <w:t> </w:t>
      </w:r>
      <w:r>
        <w:rPr/>
        <w:t>с</w:t>
      </w:r>
      <w:r>
        <w:rPr>
          <w:spacing w:val="-13"/>
        </w:rPr>
        <w:t> </w:t>
      </w:r>
      <w:r>
        <w:rPr/>
        <w:t>темами,</w:t>
      </w:r>
      <w:r>
        <w:rPr>
          <w:spacing w:val="-12"/>
        </w:rPr>
        <w:t> </w:t>
      </w:r>
      <w:r>
        <w:rPr/>
        <w:t>задачами,</w:t>
      </w:r>
      <w:r>
        <w:rPr>
          <w:spacing w:val="-13"/>
        </w:rPr>
        <w:t> </w:t>
      </w:r>
      <w:r>
        <w:rPr/>
        <w:t>логикой,</w:t>
      </w:r>
      <w:r>
        <w:rPr>
          <w:spacing w:val="-12"/>
        </w:rPr>
        <w:t> </w:t>
      </w:r>
      <w:r>
        <w:rPr/>
        <w:t>детальным</w:t>
      </w:r>
      <w:r>
        <w:rPr>
          <w:spacing w:val="-13"/>
        </w:rPr>
        <w:t> </w:t>
      </w:r>
      <w:r>
        <w:rPr/>
        <w:t>таймингом,</w:t>
      </w:r>
      <w:r>
        <w:rPr>
          <w:spacing w:val="-12"/>
        </w:rPr>
        <w:t> </w:t>
      </w:r>
      <w:r>
        <w:rPr/>
        <w:t>подробными инструкциями, вопросами для рефлексии и подсказками для родителей, как выпол- нить</w:t>
      </w:r>
      <w:r>
        <w:rPr>
          <w:spacing w:val="-11"/>
        </w:rPr>
        <w:t> </w:t>
      </w:r>
      <w:r>
        <w:rPr/>
        <w:t>с</w:t>
      </w:r>
      <w:r>
        <w:rPr>
          <w:spacing w:val="-11"/>
        </w:rPr>
        <w:t> </w:t>
      </w:r>
      <w:r>
        <w:rPr/>
        <w:t>ребенком</w:t>
      </w:r>
      <w:r>
        <w:rPr>
          <w:spacing w:val="-11"/>
        </w:rPr>
        <w:t> </w:t>
      </w:r>
      <w:r>
        <w:rPr/>
        <w:t>семейное</w:t>
      </w:r>
      <w:r>
        <w:rPr>
          <w:spacing w:val="-11"/>
        </w:rPr>
        <w:t> </w:t>
      </w:r>
      <w:r>
        <w:rPr/>
        <w:t>задание.</w:t>
      </w:r>
      <w:r>
        <w:rPr>
          <w:spacing w:val="-11"/>
        </w:rPr>
        <w:t> </w:t>
      </w:r>
      <w:r>
        <w:rPr/>
        <w:t>Внизу</w:t>
      </w:r>
      <w:r>
        <w:rPr>
          <w:spacing w:val="-11"/>
        </w:rPr>
        <w:t> </w:t>
      </w:r>
      <w:r>
        <w:rPr/>
        <w:t>общей</w:t>
      </w:r>
      <w:r>
        <w:rPr>
          <w:spacing w:val="-11"/>
        </w:rPr>
        <w:t> </w:t>
      </w:r>
      <w:r>
        <w:rPr/>
        <w:t>страницы</w:t>
      </w:r>
      <w:r>
        <w:rPr>
          <w:spacing w:val="-11"/>
        </w:rPr>
        <w:t> </w:t>
      </w:r>
      <w:r>
        <w:rPr/>
        <w:t>с</w:t>
      </w:r>
      <w:r>
        <w:rPr>
          <w:spacing w:val="-11"/>
        </w:rPr>
        <w:t> </w:t>
      </w:r>
      <w:r>
        <w:rPr/>
        <w:t>программой</w:t>
      </w:r>
      <w:r>
        <w:rPr>
          <w:spacing w:val="-11"/>
        </w:rPr>
        <w:t> </w:t>
      </w:r>
      <w:r>
        <w:rPr/>
        <w:t>есть</w:t>
      </w:r>
      <w:r>
        <w:rPr>
          <w:spacing w:val="-11"/>
        </w:rPr>
        <w:t> </w:t>
      </w:r>
      <w:r>
        <w:rPr/>
        <w:t>ссылки на</w:t>
      </w:r>
      <w:r>
        <w:rPr>
          <w:spacing w:val="-6"/>
        </w:rPr>
        <w:t> </w:t>
      </w:r>
      <w:r>
        <w:rPr/>
        <w:t>материалы</w:t>
      </w:r>
      <w:r>
        <w:rPr>
          <w:spacing w:val="-6"/>
        </w:rPr>
        <w:t> </w:t>
      </w:r>
      <w:r>
        <w:rPr/>
        <w:t>для</w:t>
      </w:r>
      <w:r>
        <w:rPr>
          <w:spacing w:val="-6"/>
        </w:rPr>
        <w:t> </w:t>
      </w:r>
      <w:r>
        <w:rPr/>
        <w:t>интерактивных</w:t>
      </w:r>
      <w:r>
        <w:rPr>
          <w:spacing w:val="-6"/>
        </w:rPr>
        <w:t> </w:t>
      </w:r>
      <w:r>
        <w:rPr/>
        <w:t>встреч</w:t>
      </w:r>
      <w:r>
        <w:rPr>
          <w:spacing w:val="-6"/>
        </w:rPr>
        <w:t> </w:t>
      </w:r>
      <w:r>
        <w:rPr/>
        <w:t>с</w:t>
      </w:r>
      <w:r>
        <w:rPr>
          <w:spacing w:val="-6"/>
        </w:rPr>
        <w:t> </w:t>
      </w:r>
      <w:r>
        <w:rPr/>
        <w:t>родителями</w:t>
      </w:r>
      <w:r>
        <w:rPr>
          <w:spacing w:val="-6"/>
        </w:rPr>
        <w:t> </w:t>
      </w:r>
      <w:r>
        <w:rPr/>
        <w:t>(с</w:t>
      </w:r>
      <w:r>
        <w:rPr>
          <w:spacing w:val="-6"/>
        </w:rPr>
        <w:t> </w:t>
      </w:r>
      <w:r>
        <w:rPr/>
        <w:t>готовыми</w:t>
      </w:r>
      <w:r>
        <w:rPr>
          <w:spacing w:val="-6"/>
        </w:rPr>
        <w:t> </w:t>
      </w:r>
      <w:r>
        <w:rPr/>
        <w:t>презентациями!), а после каждого занятия вы найдете ссылки на рабочую тетрадь для ребенка и мате- риалы для родителей;</w:t>
      </w:r>
    </w:p>
    <w:p>
      <w:pPr>
        <w:pStyle w:val="BodyText"/>
        <w:spacing w:line="211" w:lineRule="exact"/>
        <w:ind w:left="425" w:right="0" w:firstLine="0"/>
      </w:pPr>
      <w:r>
        <w:rPr>
          <w:color w:val="2255A6"/>
          <w:u w:val="single" w:color="2255A6"/>
        </w:rPr>
        <w:t>игровой</w:t>
      </w:r>
      <w:r>
        <w:rPr>
          <w:color w:val="2255A6"/>
          <w:spacing w:val="-8"/>
          <w:u w:val="single" w:color="2255A6"/>
        </w:rPr>
        <w:t> </w:t>
      </w:r>
      <w:r>
        <w:rPr>
          <w:color w:val="2255A6"/>
          <w:u w:val="single" w:color="2255A6"/>
        </w:rPr>
        <w:t>комплект</w:t>
      </w:r>
      <w:r>
        <w:rPr>
          <w:color w:val="2255A6"/>
          <w:spacing w:val="-5"/>
          <w:u w:val="single" w:color="2255A6"/>
        </w:rPr>
        <w:t> </w:t>
      </w:r>
      <w:r>
        <w:rPr>
          <w:color w:val="2255A6"/>
          <w:u w:val="single" w:color="2255A6"/>
        </w:rPr>
        <w:t>«Палитра</w:t>
      </w:r>
      <w:r>
        <w:rPr>
          <w:color w:val="2255A6"/>
          <w:spacing w:val="-5"/>
          <w:u w:val="single" w:color="2255A6"/>
        </w:rPr>
        <w:t> </w:t>
      </w:r>
      <w:r>
        <w:rPr>
          <w:color w:val="2255A6"/>
          <w:u w:val="single" w:color="2255A6"/>
        </w:rPr>
        <w:t>эмоций»</w:t>
      </w:r>
      <w:r>
        <w:rPr>
          <w:color w:val="2255A6"/>
          <w:spacing w:val="-5"/>
        </w:rPr>
        <w:t> </w:t>
      </w:r>
      <w:r>
        <w:rPr/>
        <w:t>—</w:t>
      </w:r>
      <w:r>
        <w:rPr>
          <w:spacing w:val="-4"/>
        </w:rPr>
        <w:t> </w:t>
      </w:r>
      <w:r>
        <w:rPr/>
        <w:t>игры</w:t>
      </w:r>
      <w:r>
        <w:rPr>
          <w:spacing w:val="-5"/>
        </w:rPr>
        <w:t> </w:t>
      </w:r>
      <w:r>
        <w:rPr/>
        <w:t>и</w:t>
      </w:r>
      <w:r>
        <w:rPr>
          <w:spacing w:val="-5"/>
        </w:rPr>
        <w:t> </w:t>
      </w:r>
      <w:r>
        <w:rPr/>
        <w:t>карточки</w:t>
      </w:r>
      <w:r>
        <w:rPr>
          <w:spacing w:val="-6"/>
        </w:rPr>
        <w:t> </w:t>
      </w:r>
      <w:r>
        <w:rPr/>
        <w:t>к</w:t>
      </w:r>
      <w:r>
        <w:rPr>
          <w:spacing w:val="-4"/>
        </w:rPr>
        <w:t> ним.</w:t>
      </w:r>
    </w:p>
    <w:p>
      <w:pPr>
        <w:pStyle w:val="ListParagraph"/>
        <w:numPr>
          <w:ilvl w:val="0"/>
          <w:numId w:val="122"/>
        </w:numPr>
        <w:tabs>
          <w:tab w:pos="425" w:val="left" w:leader="none"/>
        </w:tabs>
        <w:spacing w:line="228" w:lineRule="auto" w:before="0" w:after="0"/>
        <w:ind w:left="425" w:right="139" w:hanging="284"/>
        <w:jc w:val="both"/>
        <w:rPr>
          <w:sz w:val="20"/>
        </w:rPr>
      </w:pPr>
      <w:r>
        <w:rPr>
          <w:sz w:val="20"/>
        </w:rPr>
        <w:t>Если вы уже поняли, что хотите работать по программе, но уверенности пока не хватает, </w:t>
      </w:r>
      <w:r>
        <w:rPr>
          <w:b/>
          <w:sz w:val="20"/>
        </w:rPr>
        <w:t>пройдите бесплатные обучающие видеокурсы</w:t>
      </w:r>
      <w:r>
        <w:rPr>
          <w:sz w:val="20"/>
        </w:rPr>
        <w:t>:</w:t>
      </w:r>
    </w:p>
    <w:p>
      <w:pPr>
        <w:pStyle w:val="BodyText"/>
        <w:spacing w:line="225" w:lineRule="auto"/>
        <w:ind w:left="425" w:right="3199" w:firstLine="0"/>
      </w:pPr>
      <w:r>
        <w:rPr/>
        <w:t>о</w:t>
      </w:r>
      <w:r>
        <w:rPr>
          <w:spacing w:val="-8"/>
        </w:rPr>
        <w:t> </w:t>
      </w:r>
      <w:r>
        <w:rPr/>
        <w:t>том,</w:t>
      </w:r>
      <w:r>
        <w:rPr>
          <w:spacing w:val="-8"/>
        </w:rPr>
        <w:t> </w:t>
      </w:r>
      <w:r>
        <w:rPr/>
        <w:t>как</w:t>
      </w:r>
      <w:r>
        <w:rPr>
          <w:spacing w:val="-8"/>
        </w:rPr>
        <w:t> </w:t>
      </w:r>
      <w:r>
        <w:rPr>
          <w:color w:val="2255A6"/>
          <w:u w:val="single" w:color="2255A6"/>
        </w:rPr>
        <w:t>развить</w:t>
      </w:r>
      <w:r>
        <w:rPr>
          <w:color w:val="2255A6"/>
          <w:spacing w:val="-8"/>
          <w:u w:val="single" w:color="2255A6"/>
        </w:rPr>
        <w:t> </w:t>
      </w:r>
      <w:r>
        <w:rPr>
          <w:color w:val="2255A6"/>
          <w:u w:val="single" w:color="2255A6"/>
        </w:rPr>
        <w:t>эмоциональный</w:t>
      </w:r>
      <w:r>
        <w:rPr>
          <w:color w:val="2255A6"/>
          <w:spacing w:val="-9"/>
          <w:u w:val="single" w:color="2255A6"/>
        </w:rPr>
        <w:t> </w:t>
      </w:r>
      <w:r>
        <w:rPr>
          <w:color w:val="2255A6"/>
          <w:u w:val="single" w:color="2255A6"/>
        </w:rPr>
        <w:t>интеллект</w:t>
      </w:r>
      <w:r>
        <w:rPr/>
        <w:t>; о том, как </w:t>
      </w:r>
      <w:r>
        <w:rPr>
          <w:color w:val="2255A6"/>
          <w:u w:val="single" w:color="2255A6"/>
        </w:rPr>
        <w:t>проводить занятия по УМК</w:t>
      </w:r>
      <w:r>
        <w:rPr/>
        <w:t>.</w:t>
      </w:r>
    </w:p>
    <w:p>
      <w:pPr>
        <w:pStyle w:val="BodyText"/>
        <w:spacing w:line="225" w:lineRule="auto"/>
        <w:ind w:right="140"/>
        <w:jc w:val="left"/>
      </w:pPr>
      <w:r>
        <w:rPr/>
        <w:t>Для этого нужно зайти на портал </w:t>
      </w:r>
      <w:hyperlink r:id="rId112">
        <w:r>
          <w:rPr>
            <w:color w:val="2255A6"/>
            <w:u w:val="single" w:color="2255A6"/>
          </w:rPr>
          <w:t>https://edutoria.ru</w:t>
        </w:r>
      </w:hyperlink>
      <w:r>
        <w:rPr/>
        <w:t>, в правом верхнем углу на- жать кнопку «Зарегистрироваться», ввести свой адрес электронной почты и само- стоятельно придумать пароль, а затем снова нажать «Зарегистрироваться». После этого</w:t>
      </w:r>
      <w:r>
        <w:rPr>
          <w:spacing w:val="-5"/>
        </w:rPr>
        <w:t> </w:t>
      </w:r>
      <w:r>
        <w:rPr/>
        <w:t>просмотр</w:t>
      </w:r>
      <w:r>
        <w:rPr>
          <w:spacing w:val="-5"/>
        </w:rPr>
        <w:t> </w:t>
      </w:r>
      <w:r>
        <w:rPr/>
        <w:t>курсов</w:t>
      </w:r>
      <w:r>
        <w:rPr>
          <w:spacing w:val="-6"/>
        </w:rPr>
        <w:t> </w:t>
      </w:r>
      <w:r>
        <w:rPr/>
        <w:t>станет</w:t>
      </w:r>
      <w:r>
        <w:rPr>
          <w:spacing w:val="-5"/>
        </w:rPr>
        <w:t> </w:t>
      </w:r>
      <w:r>
        <w:rPr/>
        <w:t>доступен:</w:t>
      </w:r>
      <w:r>
        <w:rPr>
          <w:spacing w:val="-5"/>
        </w:rPr>
        <w:t> </w:t>
      </w:r>
      <w:r>
        <w:rPr/>
        <w:t>переходите</w:t>
      </w:r>
      <w:r>
        <w:rPr>
          <w:spacing w:val="-5"/>
        </w:rPr>
        <w:t> </w:t>
      </w:r>
      <w:r>
        <w:rPr/>
        <w:t>по</w:t>
      </w:r>
      <w:r>
        <w:rPr>
          <w:spacing w:val="-5"/>
        </w:rPr>
        <w:t> </w:t>
      </w:r>
      <w:r>
        <w:rPr/>
        <w:t>ссылкам</w:t>
      </w:r>
      <w:r>
        <w:rPr>
          <w:spacing w:val="-5"/>
        </w:rPr>
        <w:t> </w:t>
      </w:r>
      <w:r>
        <w:rPr/>
        <w:t>выше</w:t>
      </w:r>
      <w:r>
        <w:rPr>
          <w:spacing w:val="-5"/>
        </w:rPr>
        <w:t> </w:t>
      </w:r>
      <w:r>
        <w:rPr/>
        <w:t>или</w:t>
      </w:r>
      <w:r>
        <w:rPr>
          <w:spacing w:val="-6"/>
        </w:rPr>
        <w:t> </w:t>
      </w:r>
      <w:r>
        <w:rPr/>
        <w:t>ищите</w:t>
      </w:r>
      <w:r>
        <w:rPr>
          <w:spacing w:val="-5"/>
        </w:rPr>
        <w:t> </w:t>
      </w:r>
      <w:r>
        <w:rPr/>
        <w:t>их вручную по запросу «УМК».</w:t>
      </w:r>
    </w:p>
    <w:p>
      <w:pPr>
        <w:pStyle w:val="ListParagraph"/>
        <w:numPr>
          <w:ilvl w:val="0"/>
          <w:numId w:val="122"/>
        </w:numPr>
        <w:tabs>
          <w:tab w:pos="425" w:val="left" w:leader="none"/>
        </w:tabs>
        <w:spacing w:line="225" w:lineRule="auto" w:before="0" w:after="0"/>
        <w:ind w:left="425" w:right="139" w:hanging="284"/>
        <w:jc w:val="both"/>
        <w:rPr>
          <w:sz w:val="20"/>
        </w:rPr>
      </w:pPr>
      <w:r>
        <w:rPr>
          <w:sz w:val="20"/>
        </w:rPr>
        <w:t>Предложите</w:t>
      </w:r>
      <w:r>
        <w:rPr>
          <w:spacing w:val="-3"/>
          <w:sz w:val="20"/>
        </w:rPr>
        <w:t> </w:t>
      </w:r>
      <w:r>
        <w:rPr>
          <w:sz w:val="20"/>
        </w:rPr>
        <w:t>родителям</w:t>
      </w:r>
      <w:r>
        <w:rPr>
          <w:spacing w:val="-3"/>
          <w:sz w:val="20"/>
        </w:rPr>
        <w:t> </w:t>
      </w:r>
      <w:r>
        <w:rPr>
          <w:sz w:val="20"/>
        </w:rPr>
        <w:t>своих</w:t>
      </w:r>
      <w:r>
        <w:rPr>
          <w:spacing w:val="-3"/>
          <w:sz w:val="20"/>
        </w:rPr>
        <w:t> </w:t>
      </w:r>
      <w:r>
        <w:rPr>
          <w:sz w:val="20"/>
        </w:rPr>
        <w:t>учеников</w:t>
      </w:r>
      <w:r>
        <w:rPr>
          <w:spacing w:val="-3"/>
          <w:sz w:val="20"/>
        </w:rPr>
        <w:t> </w:t>
      </w:r>
      <w:r>
        <w:rPr>
          <w:sz w:val="20"/>
        </w:rPr>
        <w:t>пройти</w:t>
      </w:r>
      <w:r>
        <w:rPr>
          <w:spacing w:val="-3"/>
          <w:sz w:val="20"/>
        </w:rPr>
        <w:t> </w:t>
      </w:r>
      <w:r>
        <w:rPr>
          <w:color w:val="2255A6"/>
          <w:sz w:val="20"/>
          <w:u w:val="single" w:color="2255A6"/>
        </w:rPr>
        <w:t>интерактивный</w:t>
      </w:r>
      <w:r>
        <w:rPr>
          <w:color w:val="2255A6"/>
          <w:spacing w:val="-3"/>
          <w:sz w:val="20"/>
          <w:u w:val="single" w:color="2255A6"/>
        </w:rPr>
        <w:t> </w:t>
      </w:r>
      <w:r>
        <w:rPr>
          <w:color w:val="2255A6"/>
          <w:sz w:val="20"/>
          <w:u w:val="single" w:color="2255A6"/>
        </w:rPr>
        <w:t>онлайн-курс</w:t>
      </w:r>
      <w:r>
        <w:rPr>
          <w:sz w:val="20"/>
        </w:rPr>
        <w:t>,</w:t>
      </w:r>
      <w:r>
        <w:rPr>
          <w:spacing w:val="-3"/>
          <w:sz w:val="20"/>
        </w:rPr>
        <w:t> </w:t>
      </w:r>
      <w:r>
        <w:rPr>
          <w:sz w:val="20"/>
        </w:rPr>
        <w:t>соз- данный специально для них, а детям — поиграть в </w:t>
      </w:r>
      <w:r>
        <w:rPr>
          <w:color w:val="2255A6"/>
          <w:sz w:val="20"/>
          <w:u w:val="single" w:color="2255A6"/>
        </w:rPr>
        <w:t>веб-игру</w:t>
      </w:r>
      <w:r>
        <w:rPr>
          <w:color w:val="2255A6"/>
          <w:sz w:val="20"/>
        </w:rPr>
        <w:t> </w:t>
      </w:r>
      <w:r>
        <w:rPr>
          <w:sz w:val="20"/>
        </w:rPr>
        <w:t>об эмоциях.</w:t>
      </w:r>
    </w:p>
    <w:p>
      <w:pPr>
        <w:pStyle w:val="ListParagraph"/>
        <w:numPr>
          <w:ilvl w:val="0"/>
          <w:numId w:val="122"/>
        </w:numPr>
        <w:tabs>
          <w:tab w:pos="425" w:val="left" w:leader="none"/>
        </w:tabs>
        <w:spacing w:line="225" w:lineRule="auto" w:before="0" w:after="0"/>
        <w:ind w:left="425" w:right="139" w:hanging="284"/>
        <w:jc w:val="both"/>
        <w:rPr>
          <w:sz w:val="20"/>
        </w:rPr>
      </w:pPr>
      <w:r>
        <w:rPr>
          <w:sz w:val="20"/>
        </w:rPr>
        <w:t>Почитайте</w:t>
      </w:r>
      <w:r>
        <w:rPr>
          <w:spacing w:val="-13"/>
          <w:sz w:val="20"/>
        </w:rPr>
        <w:t> </w:t>
      </w:r>
      <w:r>
        <w:rPr>
          <w:sz w:val="20"/>
        </w:rPr>
        <w:t>материалы</w:t>
      </w:r>
      <w:r>
        <w:rPr>
          <w:spacing w:val="-12"/>
          <w:sz w:val="20"/>
        </w:rPr>
        <w:t> </w:t>
      </w:r>
      <w:r>
        <w:rPr>
          <w:sz w:val="20"/>
        </w:rPr>
        <w:t>дружественного</w:t>
      </w:r>
      <w:r>
        <w:rPr>
          <w:spacing w:val="-13"/>
          <w:sz w:val="20"/>
        </w:rPr>
        <w:t> </w:t>
      </w:r>
      <w:r>
        <w:rPr>
          <w:sz w:val="20"/>
        </w:rPr>
        <w:t>проекта</w:t>
      </w:r>
      <w:r>
        <w:rPr>
          <w:spacing w:val="-12"/>
          <w:sz w:val="20"/>
        </w:rPr>
        <w:t> </w:t>
      </w:r>
      <w:r>
        <w:rPr>
          <w:sz w:val="20"/>
        </w:rPr>
        <w:t>–</w:t>
      </w:r>
      <w:r>
        <w:rPr>
          <w:spacing w:val="-13"/>
          <w:sz w:val="20"/>
        </w:rPr>
        <w:t> </w:t>
      </w:r>
      <w:r>
        <w:rPr>
          <w:color w:val="2255A6"/>
          <w:sz w:val="20"/>
          <w:u w:val="single" w:color="2255A6"/>
        </w:rPr>
        <w:t>Благотворительного</w:t>
      </w:r>
      <w:r>
        <w:rPr>
          <w:color w:val="2255A6"/>
          <w:spacing w:val="-12"/>
          <w:sz w:val="20"/>
          <w:u w:val="single" w:color="2255A6"/>
        </w:rPr>
        <w:t> </w:t>
      </w:r>
      <w:r>
        <w:rPr>
          <w:color w:val="2255A6"/>
          <w:sz w:val="20"/>
          <w:u w:val="single" w:color="2255A6"/>
        </w:rPr>
        <w:t>фонда</w:t>
      </w:r>
      <w:r>
        <w:rPr>
          <w:color w:val="2255A6"/>
          <w:spacing w:val="-13"/>
          <w:sz w:val="20"/>
          <w:u w:val="single" w:color="2255A6"/>
        </w:rPr>
        <w:t> </w:t>
      </w:r>
      <w:r>
        <w:rPr>
          <w:color w:val="2255A6"/>
          <w:sz w:val="20"/>
          <w:u w:val="single" w:color="2255A6"/>
        </w:rPr>
        <w:t>«Ша-</w:t>
      </w:r>
      <w:r>
        <w:rPr>
          <w:color w:val="2255A6"/>
          <w:sz w:val="20"/>
        </w:rPr>
        <w:t> </w:t>
      </w:r>
      <w:r>
        <w:rPr>
          <w:color w:val="2255A6"/>
          <w:sz w:val="20"/>
          <w:u w:val="single" w:color="2255A6"/>
        </w:rPr>
        <w:t>лаш»</w:t>
      </w:r>
      <w:r>
        <w:rPr>
          <w:sz w:val="20"/>
        </w:rPr>
        <w:t>,</w:t>
      </w:r>
      <w:r>
        <w:rPr>
          <w:spacing w:val="-5"/>
          <w:sz w:val="20"/>
        </w:rPr>
        <w:t> </w:t>
      </w:r>
      <w:r>
        <w:rPr>
          <w:sz w:val="20"/>
        </w:rPr>
        <w:t>который</w:t>
      </w:r>
      <w:r>
        <w:rPr>
          <w:spacing w:val="-5"/>
          <w:sz w:val="20"/>
        </w:rPr>
        <w:t> </w:t>
      </w:r>
      <w:r>
        <w:rPr>
          <w:sz w:val="20"/>
        </w:rPr>
        <w:t>работает</w:t>
      </w:r>
      <w:r>
        <w:rPr>
          <w:spacing w:val="-5"/>
          <w:sz w:val="20"/>
        </w:rPr>
        <w:t> </w:t>
      </w:r>
      <w:r>
        <w:rPr>
          <w:sz w:val="20"/>
        </w:rPr>
        <w:t>с</w:t>
      </w:r>
      <w:r>
        <w:rPr>
          <w:spacing w:val="-5"/>
          <w:sz w:val="20"/>
        </w:rPr>
        <w:t> </w:t>
      </w:r>
      <w:r>
        <w:rPr>
          <w:sz w:val="20"/>
        </w:rPr>
        <w:t>трудным</w:t>
      </w:r>
      <w:r>
        <w:rPr>
          <w:spacing w:val="-5"/>
          <w:sz w:val="20"/>
        </w:rPr>
        <w:t> </w:t>
      </w:r>
      <w:r>
        <w:rPr>
          <w:sz w:val="20"/>
        </w:rPr>
        <w:t>поведением.</w:t>
      </w:r>
      <w:r>
        <w:rPr>
          <w:spacing w:val="-5"/>
          <w:sz w:val="20"/>
        </w:rPr>
        <w:t> </w:t>
      </w:r>
      <w:r>
        <w:rPr>
          <w:sz w:val="20"/>
        </w:rPr>
        <w:t>Их</w:t>
      </w:r>
      <w:r>
        <w:rPr>
          <w:spacing w:val="-5"/>
          <w:sz w:val="20"/>
        </w:rPr>
        <w:t> </w:t>
      </w:r>
      <w:r>
        <w:rPr>
          <w:sz w:val="20"/>
        </w:rPr>
        <w:t>статьи</w:t>
      </w:r>
      <w:r>
        <w:rPr>
          <w:spacing w:val="-5"/>
          <w:sz w:val="20"/>
        </w:rPr>
        <w:t> </w:t>
      </w:r>
      <w:r>
        <w:rPr>
          <w:sz w:val="20"/>
        </w:rPr>
        <w:t>написаны</w:t>
      </w:r>
      <w:r>
        <w:rPr>
          <w:spacing w:val="-5"/>
          <w:sz w:val="20"/>
        </w:rPr>
        <w:t> </w:t>
      </w:r>
      <w:r>
        <w:rPr>
          <w:sz w:val="20"/>
        </w:rPr>
        <w:t>просто</w:t>
      </w:r>
      <w:r>
        <w:rPr>
          <w:spacing w:val="-5"/>
          <w:sz w:val="20"/>
        </w:rPr>
        <w:t> </w:t>
      </w:r>
      <w:r>
        <w:rPr>
          <w:sz w:val="20"/>
        </w:rPr>
        <w:t>и</w:t>
      </w:r>
      <w:r>
        <w:rPr>
          <w:spacing w:val="-5"/>
          <w:sz w:val="20"/>
        </w:rPr>
        <w:t> </w:t>
      </w:r>
      <w:r>
        <w:rPr>
          <w:sz w:val="20"/>
        </w:rPr>
        <w:t>на- глядно. Они помогают лучше понять детей, которым трудно на занятиях (в том числе детей с опытом миграции), подсказывают, зачем и как обеспечивать безо- пасное пространство, быть безопасным взрослым и создавать поддерживающую коммуникацию.</w:t>
      </w:r>
      <w:r>
        <w:rPr>
          <w:spacing w:val="-1"/>
          <w:sz w:val="20"/>
        </w:rPr>
        <w:t> </w:t>
      </w:r>
      <w:r>
        <w:rPr>
          <w:sz w:val="20"/>
        </w:rPr>
        <w:t>Это</w:t>
      </w:r>
      <w:r>
        <w:rPr>
          <w:spacing w:val="-1"/>
          <w:sz w:val="20"/>
        </w:rPr>
        <w:t> </w:t>
      </w:r>
      <w:r>
        <w:rPr>
          <w:sz w:val="20"/>
        </w:rPr>
        <w:t>пригодится</w:t>
      </w:r>
      <w:r>
        <w:rPr>
          <w:spacing w:val="-1"/>
          <w:sz w:val="20"/>
        </w:rPr>
        <w:t> </w:t>
      </w:r>
      <w:r>
        <w:rPr>
          <w:sz w:val="20"/>
        </w:rPr>
        <w:t>не</w:t>
      </w:r>
      <w:r>
        <w:rPr>
          <w:spacing w:val="-1"/>
          <w:sz w:val="20"/>
        </w:rPr>
        <w:t> </w:t>
      </w:r>
      <w:r>
        <w:rPr>
          <w:sz w:val="20"/>
        </w:rPr>
        <w:t>только</w:t>
      </w:r>
      <w:r>
        <w:rPr>
          <w:spacing w:val="-1"/>
          <w:sz w:val="20"/>
        </w:rPr>
        <w:t> </w:t>
      </w:r>
      <w:r>
        <w:rPr>
          <w:sz w:val="20"/>
        </w:rPr>
        <w:t>на</w:t>
      </w:r>
      <w:r>
        <w:rPr>
          <w:spacing w:val="-1"/>
          <w:sz w:val="20"/>
        </w:rPr>
        <w:t> </w:t>
      </w:r>
      <w:r>
        <w:rPr>
          <w:sz w:val="20"/>
        </w:rPr>
        <w:t>занятиях</w:t>
      </w:r>
      <w:r>
        <w:rPr>
          <w:spacing w:val="-1"/>
          <w:sz w:val="20"/>
        </w:rPr>
        <w:t> </w:t>
      </w:r>
      <w:r>
        <w:rPr>
          <w:sz w:val="20"/>
        </w:rPr>
        <w:t>по</w:t>
      </w:r>
      <w:r>
        <w:rPr>
          <w:spacing w:val="-1"/>
          <w:sz w:val="20"/>
        </w:rPr>
        <w:t> </w:t>
      </w:r>
      <w:r>
        <w:rPr>
          <w:sz w:val="20"/>
        </w:rPr>
        <w:t>УМК,</w:t>
      </w:r>
      <w:r>
        <w:rPr>
          <w:spacing w:val="-1"/>
          <w:sz w:val="20"/>
        </w:rPr>
        <w:t> </w:t>
      </w:r>
      <w:r>
        <w:rPr>
          <w:sz w:val="20"/>
        </w:rPr>
        <w:t>но</w:t>
      </w:r>
      <w:r>
        <w:rPr>
          <w:spacing w:val="-1"/>
          <w:sz w:val="20"/>
        </w:rPr>
        <w:t> </w:t>
      </w:r>
      <w:r>
        <w:rPr>
          <w:sz w:val="20"/>
        </w:rPr>
        <w:t>и</w:t>
      </w:r>
      <w:r>
        <w:rPr>
          <w:spacing w:val="-1"/>
          <w:sz w:val="20"/>
        </w:rPr>
        <w:t> </w:t>
      </w:r>
      <w:r>
        <w:rPr>
          <w:sz w:val="20"/>
        </w:rPr>
        <w:t>в</w:t>
      </w:r>
      <w:r>
        <w:rPr>
          <w:spacing w:val="-1"/>
          <w:sz w:val="20"/>
        </w:rPr>
        <w:t> </w:t>
      </w:r>
      <w:r>
        <w:rPr>
          <w:sz w:val="20"/>
        </w:rPr>
        <w:t>любой</w:t>
      </w:r>
      <w:r>
        <w:rPr>
          <w:spacing w:val="-1"/>
          <w:sz w:val="20"/>
        </w:rPr>
        <w:t> </w:t>
      </w:r>
      <w:r>
        <w:rPr>
          <w:sz w:val="20"/>
        </w:rPr>
        <w:t>ра- боте с детьми с миграционным опытом и не только.</w:t>
      </w:r>
    </w:p>
    <w:p>
      <w:pPr>
        <w:spacing w:line="227" w:lineRule="exact" w:before="96"/>
        <w:ind w:left="425" w:right="0" w:firstLine="0"/>
        <w:jc w:val="both"/>
        <w:rPr>
          <w:sz w:val="20"/>
        </w:rPr>
      </w:pPr>
      <w:r>
        <w:rPr>
          <w:b/>
          <w:i/>
          <w:spacing w:val="-2"/>
          <w:sz w:val="20"/>
        </w:rPr>
        <w:t>Доказательность</w:t>
      </w:r>
      <w:r>
        <w:rPr>
          <w:b/>
          <w:i/>
          <w:spacing w:val="17"/>
          <w:sz w:val="20"/>
        </w:rPr>
        <w:t> </w:t>
      </w:r>
      <w:r>
        <w:rPr>
          <w:b/>
          <w:i/>
          <w:spacing w:val="-2"/>
          <w:sz w:val="20"/>
        </w:rPr>
        <w:t>практики</w:t>
      </w:r>
      <w:r>
        <w:rPr>
          <w:spacing w:val="-2"/>
          <w:sz w:val="20"/>
          <w:vertAlign w:val="superscript"/>
        </w:rPr>
        <w:t>1</w:t>
      </w:r>
    </w:p>
    <w:p>
      <w:pPr>
        <w:pStyle w:val="BodyText"/>
        <w:spacing w:line="232" w:lineRule="auto" w:before="3"/>
      </w:pPr>
      <w:r>
        <w:rPr>
          <w:i/>
        </w:rPr>
        <w:t>Регламентированность. </w:t>
      </w:r>
      <w:r>
        <w:rPr/>
        <w:t>Процедуры работы по УМК, вплоть до четких инструк- </w:t>
      </w:r>
      <w:r>
        <w:rPr>
          <w:spacing w:val="-2"/>
        </w:rPr>
        <w:t>ций</w:t>
      </w:r>
      <w:r>
        <w:rPr>
          <w:spacing w:val="-3"/>
        </w:rPr>
        <w:t> </w:t>
      </w:r>
      <w:r>
        <w:rPr>
          <w:spacing w:val="-2"/>
        </w:rPr>
        <w:t>к</w:t>
      </w:r>
      <w:r>
        <w:rPr>
          <w:spacing w:val="-3"/>
        </w:rPr>
        <w:t> </w:t>
      </w:r>
      <w:r>
        <w:rPr>
          <w:spacing w:val="-2"/>
        </w:rPr>
        <w:t>заданиям, закреплены</w:t>
      </w:r>
      <w:r>
        <w:rPr>
          <w:spacing w:val="-3"/>
        </w:rPr>
        <w:t> </w:t>
      </w:r>
      <w:r>
        <w:rPr>
          <w:spacing w:val="-2"/>
        </w:rPr>
        <w:t>в методическом</w:t>
      </w:r>
      <w:r>
        <w:rPr>
          <w:spacing w:val="-3"/>
        </w:rPr>
        <w:t> </w:t>
      </w:r>
      <w:r>
        <w:rPr>
          <w:spacing w:val="-2"/>
        </w:rPr>
        <w:t>пособии</w:t>
      </w:r>
      <w:r>
        <w:rPr>
          <w:spacing w:val="-3"/>
        </w:rPr>
        <w:t> </w:t>
      </w:r>
      <w:r>
        <w:rPr>
          <w:spacing w:val="-2"/>
        </w:rPr>
        <w:t>и одинаковы</w:t>
      </w:r>
      <w:r>
        <w:rPr>
          <w:spacing w:val="-3"/>
        </w:rPr>
        <w:t> </w:t>
      </w:r>
      <w:r>
        <w:rPr>
          <w:spacing w:val="-2"/>
        </w:rPr>
        <w:t>для всех</w:t>
      </w:r>
      <w:r>
        <w:rPr>
          <w:spacing w:val="-3"/>
        </w:rPr>
        <w:t> </w:t>
      </w:r>
      <w:r>
        <w:rPr>
          <w:spacing w:val="-2"/>
        </w:rPr>
        <w:t>педагогов.</w:t>
      </w:r>
    </w:p>
    <w:p>
      <w:pPr>
        <w:pStyle w:val="BodyText"/>
        <w:spacing w:before="10"/>
        <w:ind w:left="0" w:right="0" w:firstLine="0"/>
        <w:jc w:val="left"/>
        <w:rPr>
          <w:sz w:val="13"/>
        </w:rPr>
      </w:pPr>
      <w:r>
        <w:rPr>
          <w:sz w:val="13"/>
        </w:rPr>
        <mc:AlternateContent>
          <mc:Choice Requires="wps">
            <w:drawing>
              <wp:anchor distT="0" distB="0" distL="0" distR="0" allowOverlap="1" layoutInCell="1" locked="0" behindDoc="1" simplePos="0" relativeHeight="487626752">
                <wp:simplePos x="0" y="0"/>
                <wp:positionH relativeFrom="page">
                  <wp:posOffset>360000</wp:posOffset>
                </wp:positionH>
                <wp:positionV relativeFrom="paragraph">
                  <wp:posOffset>116755</wp:posOffset>
                </wp:positionV>
                <wp:extent cx="1440180" cy="1270"/>
                <wp:effectExtent l="0" t="0" r="0" b="0"/>
                <wp:wrapTopAndBottom/>
                <wp:docPr id="123" name="Graphic 123"/>
                <wp:cNvGraphicFramePr>
                  <a:graphicFrameLocks/>
                </wp:cNvGraphicFramePr>
                <a:graphic>
                  <a:graphicData uri="http://schemas.microsoft.com/office/word/2010/wordprocessingShape">
                    <wps:wsp>
                      <wps:cNvPr id="123" name="Graphic 123"/>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5pt;margin-top:9.193372pt;width:113.4pt;height:.1pt;mso-position-horizontal-relative:page;mso-position-vertical-relative:paragraph;z-index:-15689728;mso-wrap-distance-left:0;mso-wrap-distance-right:0" id="docshape78" coordorigin="567,184" coordsize="2268,0" path="m567,184l2835,184e" filled="false" stroked="true" strokeweight=".5pt" strokecolor="#231f20">
                <v:path arrowok="t"/>
                <v:stroke dashstyle="solid"/>
                <w10:wrap type="topAndBottom"/>
              </v:shape>
            </w:pict>
          </mc:Fallback>
        </mc:AlternateContent>
      </w:r>
    </w:p>
    <w:p>
      <w:pPr>
        <w:spacing w:line="232" w:lineRule="auto" w:before="32"/>
        <w:ind w:left="141" w:right="139" w:firstLine="0"/>
        <w:jc w:val="both"/>
        <w:rPr>
          <w:sz w:val="18"/>
        </w:rPr>
      </w:pPr>
      <w:r>
        <w:rPr>
          <w:color w:val="231F20"/>
          <w:sz w:val="18"/>
          <w:vertAlign w:val="superscript"/>
        </w:rPr>
        <w:t>1</w:t>
      </w:r>
      <w:r>
        <w:rPr>
          <w:color w:val="231F20"/>
          <w:spacing w:val="40"/>
          <w:sz w:val="18"/>
          <w:vertAlign w:val="baseline"/>
        </w:rPr>
        <w:t>  </w:t>
      </w:r>
      <w:r>
        <w:rPr>
          <w:color w:val="231F20"/>
          <w:sz w:val="18"/>
          <w:vertAlign w:val="baseline"/>
        </w:rPr>
        <w:t>Согласно</w:t>
      </w:r>
      <w:r>
        <w:rPr>
          <w:color w:val="231F20"/>
          <w:spacing w:val="34"/>
          <w:sz w:val="18"/>
          <w:vertAlign w:val="baseline"/>
        </w:rPr>
        <w:t> </w:t>
      </w:r>
      <w:r>
        <w:rPr>
          <w:color w:val="231F20"/>
          <w:sz w:val="18"/>
          <w:vertAlign w:val="baseline"/>
        </w:rPr>
        <w:t>Стандарту</w:t>
      </w:r>
      <w:r>
        <w:rPr>
          <w:color w:val="231F20"/>
          <w:spacing w:val="34"/>
          <w:sz w:val="18"/>
          <w:vertAlign w:val="baseline"/>
        </w:rPr>
        <w:t> </w:t>
      </w:r>
      <w:r>
        <w:rPr>
          <w:color w:val="231F20"/>
          <w:sz w:val="18"/>
          <w:vertAlign w:val="baseline"/>
        </w:rPr>
        <w:t>доказательности</w:t>
      </w:r>
      <w:r>
        <w:rPr>
          <w:color w:val="231F20"/>
          <w:spacing w:val="34"/>
          <w:sz w:val="18"/>
          <w:vertAlign w:val="baseline"/>
        </w:rPr>
        <w:t> </w:t>
      </w:r>
      <w:r>
        <w:rPr>
          <w:color w:val="231F20"/>
          <w:sz w:val="18"/>
          <w:vertAlign w:val="baseline"/>
        </w:rPr>
        <w:t>социальных</w:t>
      </w:r>
      <w:r>
        <w:rPr>
          <w:color w:val="231F20"/>
          <w:spacing w:val="34"/>
          <w:sz w:val="18"/>
          <w:vertAlign w:val="baseline"/>
        </w:rPr>
        <w:t> </w:t>
      </w:r>
      <w:r>
        <w:rPr>
          <w:color w:val="231F20"/>
          <w:sz w:val="18"/>
          <w:vertAlign w:val="baseline"/>
        </w:rPr>
        <w:t>практик</w:t>
      </w:r>
      <w:r>
        <w:rPr>
          <w:color w:val="231F20"/>
          <w:spacing w:val="34"/>
          <w:sz w:val="18"/>
          <w:vertAlign w:val="baseline"/>
        </w:rPr>
        <w:t> </w:t>
      </w:r>
      <w:r>
        <w:rPr>
          <w:color w:val="231F20"/>
          <w:sz w:val="18"/>
          <w:vertAlign w:val="baseline"/>
        </w:rPr>
        <w:t>в</w:t>
      </w:r>
      <w:r>
        <w:rPr>
          <w:color w:val="231F20"/>
          <w:spacing w:val="34"/>
          <w:sz w:val="18"/>
          <w:vertAlign w:val="baseline"/>
        </w:rPr>
        <w:t> </w:t>
      </w:r>
      <w:r>
        <w:rPr>
          <w:color w:val="231F20"/>
          <w:sz w:val="18"/>
          <w:vertAlign w:val="baseline"/>
        </w:rPr>
        <w:t>сфере</w:t>
      </w:r>
      <w:r>
        <w:rPr>
          <w:color w:val="231F20"/>
          <w:spacing w:val="34"/>
          <w:sz w:val="18"/>
          <w:vertAlign w:val="baseline"/>
        </w:rPr>
        <w:t> </w:t>
      </w:r>
      <w:r>
        <w:rPr>
          <w:color w:val="231F20"/>
          <w:sz w:val="18"/>
          <w:vertAlign w:val="baseline"/>
        </w:rPr>
        <w:t>детства</w:t>
      </w:r>
      <w:r>
        <w:rPr>
          <w:color w:val="231F20"/>
          <w:spacing w:val="34"/>
          <w:sz w:val="18"/>
          <w:vertAlign w:val="baseline"/>
        </w:rPr>
        <w:t> </w:t>
      </w:r>
      <w:r>
        <w:rPr>
          <w:color w:val="231F20"/>
          <w:sz w:val="18"/>
          <w:vertAlign w:val="baseline"/>
        </w:rPr>
        <w:t>(версия</w:t>
      </w:r>
      <w:r>
        <w:rPr>
          <w:color w:val="231F20"/>
          <w:spacing w:val="34"/>
          <w:sz w:val="18"/>
          <w:vertAlign w:val="baseline"/>
        </w:rPr>
        <w:t> </w:t>
      </w:r>
      <w:r>
        <w:rPr>
          <w:color w:val="231F20"/>
          <w:sz w:val="18"/>
          <w:vertAlign w:val="baseline"/>
        </w:rPr>
        <w:t>2.1 от 23 ноября 2018 г.) </w:t>
      </w:r>
      <w:hyperlink r:id="rId113">
        <w:r>
          <w:rPr>
            <w:color w:val="2255A6"/>
            <w:sz w:val="18"/>
            <w:u w:val="single" w:color="2255A6"/>
            <w:vertAlign w:val="baseline"/>
          </w:rPr>
          <w:t>https://deti.timchenkofoundation.org/wp-</w:t>
        </w:r>
        <w:r>
          <w:rPr>
            <w:color w:val="2255A6"/>
            <w:sz w:val="18"/>
            <w:u w:val="single" w:color="2255A6"/>
            <w:vertAlign w:val="baseline"/>
          </w:rPr>
          <w:t>content/uploads/2019/11/Standart-</w:t>
        </w:r>
      </w:hyperlink>
      <w:r>
        <w:rPr>
          <w:color w:val="2255A6"/>
          <w:sz w:val="18"/>
          <w:vertAlign w:val="baseline"/>
        </w:rPr>
        <w:t> </w:t>
      </w:r>
      <w:hyperlink r:id="rId113">
        <w:r>
          <w:rPr>
            <w:color w:val="2255A6"/>
            <w:spacing w:val="-2"/>
            <w:sz w:val="18"/>
            <w:u w:val="single" w:color="2255A6"/>
            <w:vertAlign w:val="baseline"/>
          </w:rPr>
          <w:t>dokazatelnosti-praktik.pdf</w:t>
        </w:r>
      </w:hyperlink>
      <w:r>
        <w:rPr>
          <w:color w:val="231F20"/>
          <w:spacing w:val="-2"/>
          <w:sz w:val="18"/>
          <w:vertAlign w:val="baseline"/>
        </w:rPr>
        <w:t>.</w:t>
      </w:r>
    </w:p>
    <w:p>
      <w:pPr>
        <w:spacing w:after="0" w:line="232" w:lineRule="auto"/>
        <w:jc w:val="both"/>
        <w:rPr>
          <w:sz w:val="18"/>
        </w:rPr>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before="112"/>
        <w:ind w:firstLine="0"/>
      </w:pPr>
      <w:r>
        <w:rPr>
          <w:spacing w:val="-2"/>
        </w:rPr>
        <w:t>Соблюдение этих процедур способствует эффективности реализации программы. Для специалистов,</w:t>
      </w:r>
      <w:r>
        <w:rPr>
          <w:spacing w:val="-8"/>
        </w:rPr>
        <w:t> </w:t>
      </w:r>
      <w:r>
        <w:rPr>
          <w:spacing w:val="-2"/>
        </w:rPr>
        <w:t>реализующих</w:t>
      </w:r>
      <w:r>
        <w:rPr>
          <w:spacing w:val="-8"/>
        </w:rPr>
        <w:t> </w:t>
      </w:r>
      <w:r>
        <w:rPr>
          <w:spacing w:val="-2"/>
        </w:rPr>
        <w:t>практику,</w:t>
      </w:r>
      <w:r>
        <w:rPr>
          <w:spacing w:val="-8"/>
        </w:rPr>
        <w:t> </w:t>
      </w:r>
      <w:r>
        <w:rPr>
          <w:spacing w:val="-2"/>
        </w:rPr>
        <w:t>существуют</w:t>
      </w:r>
      <w:r>
        <w:rPr>
          <w:spacing w:val="-8"/>
        </w:rPr>
        <w:t> </w:t>
      </w:r>
      <w:r>
        <w:rPr>
          <w:spacing w:val="-2"/>
        </w:rPr>
        <w:t>теоретические</w:t>
      </w:r>
      <w:r>
        <w:rPr>
          <w:spacing w:val="-8"/>
        </w:rPr>
        <w:t> </w:t>
      </w:r>
      <w:r>
        <w:rPr>
          <w:spacing w:val="-2"/>
        </w:rPr>
        <w:t>материалы</w:t>
      </w:r>
      <w:r>
        <w:rPr>
          <w:spacing w:val="-8"/>
        </w:rPr>
        <w:t> </w:t>
      </w:r>
      <w:r>
        <w:rPr>
          <w:spacing w:val="-2"/>
        </w:rPr>
        <w:t>и</w:t>
      </w:r>
      <w:r>
        <w:rPr>
          <w:spacing w:val="-8"/>
        </w:rPr>
        <w:t> </w:t>
      </w:r>
      <w:r>
        <w:rPr>
          <w:spacing w:val="-2"/>
        </w:rPr>
        <w:t>подго- </w:t>
      </w:r>
      <w:r>
        <w:rPr>
          <w:spacing w:val="-4"/>
        </w:rPr>
        <w:t>товительные онлайн-курсы с тестированием в конце каждого блока, благодаря которым </w:t>
      </w:r>
      <w:r>
        <w:rPr/>
        <w:t>обеспечивается</w:t>
      </w:r>
      <w:r>
        <w:rPr>
          <w:spacing w:val="-9"/>
        </w:rPr>
        <w:t> </w:t>
      </w:r>
      <w:r>
        <w:rPr/>
        <w:t>качество</w:t>
      </w:r>
      <w:r>
        <w:rPr>
          <w:spacing w:val="-9"/>
        </w:rPr>
        <w:t> </w:t>
      </w:r>
      <w:r>
        <w:rPr/>
        <w:t>работы</w:t>
      </w:r>
      <w:r>
        <w:rPr>
          <w:spacing w:val="-9"/>
        </w:rPr>
        <w:t> </w:t>
      </w:r>
      <w:r>
        <w:rPr/>
        <w:t>по</w:t>
      </w:r>
      <w:r>
        <w:rPr>
          <w:spacing w:val="-9"/>
        </w:rPr>
        <w:t> </w:t>
      </w:r>
      <w:r>
        <w:rPr/>
        <w:t>программе.</w:t>
      </w:r>
      <w:r>
        <w:rPr>
          <w:spacing w:val="-9"/>
        </w:rPr>
        <w:t> </w:t>
      </w:r>
      <w:r>
        <w:rPr/>
        <w:t>Профилактика</w:t>
      </w:r>
      <w:r>
        <w:rPr>
          <w:spacing w:val="-9"/>
        </w:rPr>
        <w:t> </w:t>
      </w:r>
      <w:r>
        <w:rPr/>
        <w:t>в</w:t>
      </w:r>
      <w:r>
        <w:rPr>
          <w:spacing w:val="-9"/>
        </w:rPr>
        <w:t> </w:t>
      </w:r>
      <w:r>
        <w:rPr/>
        <w:t>области</w:t>
      </w:r>
      <w:r>
        <w:rPr>
          <w:spacing w:val="-9"/>
        </w:rPr>
        <w:t> </w:t>
      </w:r>
      <w:r>
        <w:rPr/>
        <w:t>возможного </w:t>
      </w:r>
      <w:r>
        <w:rPr>
          <w:spacing w:val="-2"/>
        </w:rPr>
        <w:t>негативного</w:t>
      </w:r>
      <w:r>
        <w:rPr>
          <w:spacing w:val="-4"/>
        </w:rPr>
        <w:t> </w:t>
      </w:r>
      <w:r>
        <w:rPr>
          <w:spacing w:val="-2"/>
        </w:rPr>
        <w:t>влияния</w:t>
      </w:r>
      <w:r>
        <w:rPr>
          <w:spacing w:val="-4"/>
        </w:rPr>
        <w:t> </w:t>
      </w:r>
      <w:r>
        <w:rPr>
          <w:spacing w:val="-2"/>
        </w:rPr>
        <w:t>и</w:t>
      </w:r>
      <w:r>
        <w:rPr>
          <w:spacing w:val="-4"/>
        </w:rPr>
        <w:t> </w:t>
      </w:r>
      <w:r>
        <w:rPr>
          <w:spacing w:val="-2"/>
        </w:rPr>
        <w:t>рисков</w:t>
      </w:r>
      <w:r>
        <w:rPr>
          <w:spacing w:val="-4"/>
        </w:rPr>
        <w:t> </w:t>
      </w:r>
      <w:r>
        <w:rPr>
          <w:spacing w:val="-2"/>
        </w:rPr>
        <w:t>реализуется</w:t>
      </w:r>
      <w:r>
        <w:rPr>
          <w:spacing w:val="-4"/>
        </w:rPr>
        <w:t> </w:t>
      </w:r>
      <w:r>
        <w:rPr>
          <w:spacing w:val="-2"/>
        </w:rPr>
        <w:t>за</w:t>
      </w:r>
      <w:r>
        <w:rPr>
          <w:spacing w:val="-4"/>
        </w:rPr>
        <w:t> </w:t>
      </w:r>
      <w:r>
        <w:rPr>
          <w:spacing w:val="-2"/>
        </w:rPr>
        <w:t>счет</w:t>
      </w:r>
      <w:r>
        <w:rPr>
          <w:spacing w:val="-4"/>
        </w:rPr>
        <w:t> </w:t>
      </w:r>
      <w:r>
        <w:rPr>
          <w:spacing w:val="-2"/>
        </w:rPr>
        <w:t>бланков</w:t>
      </w:r>
      <w:r>
        <w:rPr>
          <w:spacing w:val="-4"/>
        </w:rPr>
        <w:t> </w:t>
      </w:r>
      <w:r>
        <w:rPr>
          <w:spacing w:val="-2"/>
        </w:rPr>
        <w:t>педагогической</w:t>
      </w:r>
      <w:r>
        <w:rPr>
          <w:spacing w:val="-4"/>
        </w:rPr>
        <w:t> </w:t>
      </w:r>
      <w:r>
        <w:rPr>
          <w:spacing w:val="-2"/>
        </w:rPr>
        <w:t>оценки</w:t>
      </w:r>
      <w:r>
        <w:rPr>
          <w:spacing w:val="-5"/>
        </w:rPr>
        <w:t> </w:t>
      </w:r>
      <w:r>
        <w:rPr>
          <w:spacing w:val="-2"/>
        </w:rPr>
        <w:t>эф- </w:t>
      </w:r>
      <w:r>
        <w:rPr/>
        <w:t>фективности</w:t>
      </w:r>
      <w:r>
        <w:rPr>
          <w:spacing w:val="-13"/>
        </w:rPr>
        <w:t> </w:t>
      </w:r>
      <w:r>
        <w:rPr/>
        <w:t>программы</w:t>
      </w:r>
      <w:r>
        <w:rPr>
          <w:spacing w:val="-12"/>
        </w:rPr>
        <w:t> </w:t>
      </w:r>
      <w:r>
        <w:rPr/>
        <w:t>для</w:t>
      </w:r>
      <w:r>
        <w:rPr>
          <w:spacing w:val="-13"/>
        </w:rPr>
        <w:t> </w:t>
      </w:r>
      <w:r>
        <w:rPr/>
        <w:t>учеников</w:t>
      </w:r>
      <w:r>
        <w:rPr>
          <w:spacing w:val="-12"/>
        </w:rPr>
        <w:t> </w:t>
      </w:r>
      <w:r>
        <w:rPr/>
        <w:t>по</w:t>
      </w:r>
      <w:r>
        <w:rPr>
          <w:spacing w:val="-13"/>
        </w:rPr>
        <w:t> </w:t>
      </w:r>
      <w:r>
        <w:rPr/>
        <w:t>блокам,</w:t>
      </w:r>
      <w:r>
        <w:rPr>
          <w:spacing w:val="-12"/>
        </w:rPr>
        <w:t> </w:t>
      </w:r>
      <w:r>
        <w:rPr/>
        <w:t>родительской</w:t>
      </w:r>
      <w:r>
        <w:rPr>
          <w:spacing w:val="-13"/>
        </w:rPr>
        <w:t> </w:t>
      </w:r>
      <w:r>
        <w:rPr/>
        <w:t>оценки,</w:t>
      </w:r>
      <w:r>
        <w:rPr>
          <w:spacing w:val="-12"/>
        </w:rPr>
        <w:t> </w:t>
      </w:r>
      <w:r>
        <w:rPr/>
        <w:t>независимой от</w:t>
      </w:r>
      <w:r>
        <w:rPr>
          <w:spacing w:val="-2"/>
        </w:rPr>
        <w:t> </w:t>
      </w:r>
      <w:r>
        <w:rPr/>
        <w:t>мнения</w:t>
      </w:r>
      <w:r>
        <w:rPr>
          <w:spacing w:val="-2"/>
        </w:rPr>
        <w:t> </w:t>
      </w:r>
      <w:r>
        <w:rPr/>
        <w:t>педагога,</w:t>
      </w:r>
      <w:r>
        <w:rPr>
          <w:spacing w:val="-2"/>
        </w:rPr>
        <w:t> </w:t>
      </w:r>
      <w:r>
        <w:rPr/>
        <w:t>и</w:t>
      </w:r>
      <w:r>
        <w:rPr>
          <w:spacing w:val="-2"/>
        </w:rPr>
        <w:t> </w:t>
      </w:r>
      <w:r>
        <w:rPr/>
        <w:t>наглядности</w:t>
      </w:r>
      <w:r>
        <w:rPr>
          <w:spacing w:val="-3"/>
        </w:rPr>
        <w:t> </w:t>
      </w:r>
      <w:r>
        <w:rPr/>
        <w:t>процесса</w:t>
      </w:r>
      <w:r>
        <w:rPr>
          <w:spacing w:val="-2"/>
        </w:rPr>
        <w:t> </w:t>
      </w:r>
      <w:r>
        <w:rPr/>
        <w:t>в</w:t>
      </w:r>
      <w:r>
        <w:rPr>
          <w:spacing w:val="-3"/>
        </w:rPr>
        <w:t> </w:t>
      </w:r>
      <w:r>
        <w:rPr/>
        <w:t>рабочей</w:t>
      </w:r>
      <w:r>
        <w:rPr>
          <w:spacing w:val="-3"/>
        </w:rPr>
        <w:t> </w:t>
      </w:r>
      <w:r>
        <w:rPr/>
        <w:t>тетради</w:t>
      </w:r>
      <w:r>
        <w:rPr>
          <w:spacing w:val="-3"/>
        </w:rPr>
        <w:t> </w:t>
      </w:r>
      <w:r>
        <w:rPr/>
        <w:t>каждого</w:t>
      </w:r>
      <w:r>
        <w:rPr>
          <w:spacing w:val="-2"/>
        </w:rPr>
        <w:t> </w:t>
      </w:r>
      <w:r>
        <w:rPr/>
        <w:t>ученика.</w:t>
      </w:r>
    </w:p>
    <w:p>
      <w:pPr>
        <w:pStyle w:val="BodyText"/>
        <w:spacing w:line="232" w:lineRule="auto"/>
      </w:pPr>
      <w:r>
        <w:rPr>
          <w:i/>
        </w:rPr>
        <w:t>Обоснованность.</w:t>
      </w:r>
      <w:r>
        <w:rPr>
          <w:i/>
          <w:spacing w:val="-5"/>
        </w:rPr>
        <w:t> </w:t>
      </w:r>
      <w:r>
        <w:rPr/>
        <w:t>Практика</w:t>
      </w:r>
      <w:r>
        <w:rPr>
          <w:spacing w:val="-5"/>
        </w:rPr>
        <w:t> </w:t>
      </w:r>
      <w:r>
        <w:rPr/>
        <w:t>убедительно</w:t>
      </w:r>
      <w:r>
        <w:rPr>
          <w:spacing w:val="-5"/>
        </w:rPr>
        <w:t> </w:t>
      </w:r>
      <w:r>
        <w:rPr/>
        <w:t>демонстрирует</w:t>
      </w:r>
      <w:r>
        <w:rPr>
          <w:spacing w:val="-5"/>
        </w:rPr>
        <w:t> </w:t>
      </w:r>
      <w:r>
        <w:rPr/>
        <w:t>причинно-следственную связь между занятиями по УМК и социально-эмоциональным развитием детей, на- учно и практически обоснована, отвечает запросам школы и семьи. Подробнее об этом – в Пояснительной записке</w:t>
      </w:r>
      <w:r>
        <w:rPr>
          <w:vertAlign w:val="superscript"/>
        </w:rPr>
        <w:t>1</w:t>
      </w:r>
      <w:r>
        <w:rPr>
          <w:vertAlign w:val="baseline"/>
        </w:rPr>
        <w:t> к программе:</w:t>
      </w:r>
    </w:p>
    <w:p>
      <w:pPr>
        <w:pStyle w:val="BodyText"/>
        <w:spacing w:line="232" w:lineRule="auto" w:before="3"/>
      </w:pPr>
      <w:r>
        <w:rPr/>
        <w:t>«В мире, где нет универсальных методов преодоления трудностей, где традици- онные</w:t>
      </w:r>
      <w:r>
        <w:rPr>
          <w:spacing w:val="-4"/>
        </w:rPr>
        <w:t> </w:t>
      </w:r>
      <w:r>
        <w:rPr/>
        <w:t>формы</w:t>
      </w:r>
      <w:r>
        <w:rPr>
          <w:spacing w:val="-4"/>
        </w:rPr>
        <w:t> </w:t>
      </w:r>
      <w:r>
        <w:rPr/>
        <w:t>социальной</w:t>
      </w:r>
      <w:r>
        <w:rPr>
          <w:spacing w:val="-4"/>
        </w:rPr>
        <w:t> </w:t>
      </w:r>
      <w:r>
        <w:rPr/>
        <w:t>интеграции</w:t>
      </w:r>
      <w:r>
        <w:rPr>
          <w:spacing w:val="-4"/>
        </w:rPr>
        <w:t> </w:t>
      </w:r>
      <w:r>
        <w:rPr/>
        <w:t>уже</w:t>
      </w:r>
      <w:r>
        <w:rPr>
          <w:spacing w:val="-4"/>
        </w:rPr>
        <w:t> </w:t>
      </w:r>
      <w:r>
        <w:rPr/>
        <w:t>не</w:t>
      </w:r>
      <w:r>
        <w:rPr>
          <w:spacing w:val="-4"/>
        </w:rPr>
        <w:t> </w:t>
      </w:r>
      <w:r>
        <w:rPr/>
        <w:t>всегда</w:t>
      </w:r>
      <w:r>
        <w:rPr>
          <w:spacing w:val="-4"/>
        </w:rPr>
        <w:t> </w:t>
      </w:r>
      <w:r>
        <w:rPr/>
        <w:t>успешны,</w:t>
      </w:r>
      <w:r>
        <w:rPr>
          <w:spacing w:val="-4"/>
        </w:rPr>
        <w:t> </w:t>
      </w:r>
      <w:r>
        <w:rPr/>
        <w:t>все</w:t>
      </w:r>
      <w:r>
        <w:rPr>
          <w:spacing w:val="-4"/>
        </w:rPr>
        <w:t> </w:t>
      </w:r>
      <w:r>
        <w:rPr/>
        <w:t>большее</w:t>
      </w:r>
      <w:r>
        <w:rPr>
          <w:spacing w:val="-4"/>
        </w:rPr>
        <w:t> </w:t>
      </w:r>
      <w:r>
        <w:rPr/>
        <w:t>значение приобретает развитие личностного потенциала ребенка, его способности к понима- нию себя, к самоорганизации и саморегуляции, что дает неоспоримые преимуще- ства</w:t>
      </w:r>
      <w:r>
        <w:rPr>
          <w:spacing w:val="-2"/>
        </w:rPr>
        <w:t> </w:t>
      </w:r>
      <w:r>
        <w:rPr/>
        <w:t>во</w:t>
      </w:r>
      <w:r>
        <w:rPr>
          <w:spacing w:val="-2"/>
        </w:rPr>
        <w:t> </w:t>
      </w:r>
      <w:r>
        <w:rPr/>
        <w:t>взаимодействии</w:t>
      </w:r>
      <w:r>
        <w:rPr>
          <w:spacing w:val="-2"/>
        </w:rPr>
        <w:t> </w:t>
      </w:r>
      <w:r>
        <w:rPr/>
        <w:t>со</w:t>
      </w:r>
      <w:r>
        <w:rPr>
          <w:spacing w:val="-2"/>
        </w:rPr>
        <w:t> </w:t>
      </w:r>
      <w:r>
        <w:rPr/>
        <w:t>сверстниками</w:t>
      </w:r>
      <w:r>
        <w:rPr>
          <w:spacing w:val="-2"/>
        </w:rPr>
        <w:t> </w:t>
      </w:r>
      <w:r>
        <w:rPr/>
        <w:t>и</w:t>
      </w:r>
      <w:r>
        <w:rPr>
          <w:spacing w:val="-2"/>
        </w:rPr>
        <w:t> </w:t>
      </w:r>
      <w:r>
        <w:rPr/>
        <w:t>взрослыми,</w:t>
      </w:r>
      <w:r>
        <w:rPr>
          <w:spacing w:val="-2"/>
        </w:rPr>
        <w:t> </w:t>
      </w:r>
      <w:r>
        <w:rPr/>
        <w:t>усвоении</w:t>
      </w:r>
      <w:r>
        <w:rPr>
          <w:spacing w:val="-2"/>
        </w:rPr>
        <w:t> </w:t>
      </w:r>
      <w:r>
        <w:rPr/>
        <w:t>социальных</w:t>
      </w:r>
      <w:r>
        <w:rPr>
          <w:spacing w:val="-2"/>
        </w:rPr>
        <w:t> </w:t>
      </w:r>
      <w:r>
        <w:rPr/>
        <w:t>норм</w:t>
      </w:r>
      <w:r>
        <w:rPr>
          <w:spacing w:val="-2"/>
        </w:rPr>
        <w:t> </w:t>
      </w:r>
      <w:r>
        <w:rPr/>
        <w:t>и правил, активной самореализации в обществе. Таким образом, особенно актуальной становится</w:t>
      </w:r>
      <w:r>
        <w:rPr>
          <w:spacing w:val="-13"/>
        </w:rPr>
        <w:t> </w:t>
      </w:r>
      <w:r>
        <w:rPr/>
        <w:t>задача</w:t>
      </w:r>
      <w:r>
        <w:rPr>
          <w:spacing w:val="-12"/>
        </w:rPr>
        <w:t> </w:t>
      </w:r>
      <w:r>
        <w:rPr/>
        <w:t>организации</w:t>
      </w:r>
      <w:r>
        <w:rPr>
          <w:spacing w:val="-13"/>
        </w:rPr>
        <w:t> </w:t>
      </w:r>
      <w:r>
        <w:rPr/>
        <w:t>учебного</w:t>
      </w:r>
      <w:r>
        <w:rPr>
          <w:spacing w:val="-12"/>
        </w:rPr>
        <w:t> </w:t>
      </w:r>
      <w:r>
        <w:rPr/>
        <w:t>процесса,</w:t>
      </w:r>
      <w:r>
        <w:rPr>
          <w:spacing w:val="-13"/>
        </w:rPr>
        <w:t> </w:t>
      </w:r>
      <w:r>
        <w:rPr/>
        <w:t>включающего</w:t>
      </w:r>
      <w:r>
        <w:rPr>
          <w:spacing w:val="-12"/>
        </w:rPr>
        <w:t> </w:t>
      </w:r>
      <w:r>
        <w:rPr/>
        <w:t>в</w:t>
      </w:r>
      <w:r>
        <w:rPr>
          <w:spacing w:val="-13"/>
        </w:rPr>
        <w:t> </w:t>
      </w:r>
      <w:r>
        <w:rPr/>
        <w:t>себя</w:t>
      </w:r>
      <w:r>
        <w:rPr>
          <w:spacing w:val="-12"/>
        </w:rPr>
        <w:t> </w:t>
      </w:r>
      <w:r>
        <w:rPr/>
        <w:t>социально-э- моциональное развитие. Решать эту задачу можно двумя путями:</w:t>
      </w:r>
    </w:p>
    <w:p>
      <w:pPr>
        <w:pStyle w:val="ListParagraph"/>
        <w:numPr>
          <w:ilvl w:val="0"/>
          <w:numId w:val="123"/>
        </w:numPr>
        <w:tabs>
          <w:tab w:pos="423" w:val="left" w:leader="none"/>
          <w:tab w:pos="425" w:val="left" w:leader="none"/>
        </w:tabs>
        <w:spacing w:line="232" w:lineRule="auto" w:before="8" w:after="0"/>
        <w:ind w:left="425" w:right="139" w:hanging="284"/>
        <w:jc w:val="both"/>
        <w:rPr>
          <w:sz w:val="20"/>
        </w:rPr>
      </w:pPr>
      <w:r>
        <w:rPr>
          <w:sz w:val="20"/>
        </w:rPr>
        <w:t>Перестраивая среду, то есть саму школьную жизнь, создавая такие условия обу- чения, при которых эмоциональный мир, опыт взаимодействия со сверстниками и взрослыми обладают ценностью и заслуживают внимания независимо от до- стигнутого результата, где все это становится предметом рефлексии и органично включается в учебный процесс.</w:t>
      </w:r>
    </w:p>
    <w:p>
      <w:pPr>
        <w:pStyle w:val="ListParagraph"/>
        <w:numPr>
          <w:ilvl w:val="0"/>
          <w:numId w:val="123"/>
        </w:numPr>
        <w:tabs>
          <w:tab w:pos="423" w:val="left" w:leader="none"/>
          <w:tab w:pos="425" w:val="left" w:leader="none"/>
        </w:tabs>
        <w:spacing w:line="232" w:lineRule="auto" w:before="4" w:after="0"/>
        <w:ind w:left="425" w:right="139" w:hanging="284"/>
        <w:jc w:val="both"/>
        <w:rPr>
          <w:sz w:val="20"/>
        </w:rPr>
      </w:pPr>
      <w:r>
        <w:rPr>
          <w:sz w:val="20"/>
        </w:rPr>
        <w:t>Организуя с детьми специальные занятия, в ходе которых социально-эмоцио- нальное</w:t>
      </w:r>
      <w:r>
        <w:rPr>
          <w:spacing w:val="-2"/>
          <w:sz w:val="20"/>
        </w:rPr>
        <w:t> </w:t>
      </w:r>
      <w:r>
        <w:rPr>
          <w:sz w:val="20"/>
        </w:rPr>
        <w:t>развитие</w:t>
      </w:r>
      <w:r>
        <w:rPr>
          <w:spacing w:val="-2"/>
          <w:sz w:val="20"/>
        </w:rPr>
        <w:t> </w:t>
      </w:r>
      <w:r>
        <w:rPr>
          <w:sz w:val="20"/>
        </w:rPr>
        <w:t>становится</w:t>
      </w:r>
      <w:r>
        <w:rPr>
          <w:spacing w:val="-2"/>
          <w:sz w:val="20"/>
        </w:rPr>
        <w:t> </w:t>
      </w:r>
      <w:r>
        <w:rPr>
          <w:sz w:val="20"/>
        </w:rPr>
        <w:t>педагогической</w:t>
      </w:r>
      <w:r>
        <w:rPr>
          <w:spacing w:val="-2"/>
          <w:sz w:val="20"/>
        </w:rPr>
        <w:t> </w:t>
      </w:r>
      <w:r>
        <w:rPr>
          <w:sz w:val="20"/>
        </w:rPr>
        <w:t>задачей.</w:t>
      </w:r>
      <w:r>
        <w:rPr>
          <w:spacing w:val="-2"/>
          <w:sz w:val="20"/>
        </w:rPr>
        <w:t> </w:t>
      </w:r>
      <w:r>
        <w:rPr>
          <w:sz w:val="20"/>
        </w:rPr>
        <w:t>В</w:t>
      </w:r>
      <w:r>
        <w:rPr>
          <w:spacing w:val="-2"/>
          <w:sz w:val="20"/>
        </w:rPr>
        <w:t> </w:t>
      </w:r>
      <w:r>
        <w:rPr>
          <w:sz w:val="20"/>
        </w:rPr>
        <w:t>этом</w:t>
      </w:r>
      <w:r>
        <w:rPr>
          <w:spacing w:val="-2"/>
          <w:sz w:val="20"/>
        </w:rPr>
        <w:t> </w:t>
      </w:r>
      <w:r>
        <w:rPr>
          <w:sz w:val="20"/>
        </w:rPr>
        <w:t>случае</w:t>
      </w:r>
      <w:r>
        <w:rPr>
          <w:spacing w:val="-2"/>
          <w:sz w:val="20"/>
        </w:rPr>
        <w:t> </w:t>
      </w:r>
      <w:r>
        <w:rPr>
          <w:sz w:val="20"/>
        </w:rPr>
        <w:t>необходимо создание особой программы, работа по которой будет проводиться в отдельное, специально выделенное для этого время. Стоит отметить, что эффективность по- добной программы будет выше, а ее результаты устойчивее, если принятые на занятиях</w:t>
      </w:r>
      <w:r>
        <w:rPr>
          <w:spacing w:val="-5"/>
          <w:sz w:val="20"/>
        </w:rPr>
        <w:t> </w:t>
      </w:r>
      <w:r>
        <w:rPr>
          <w:sz w:val="20"/>
        </w:rPr>
        <w:t>ценности</w:t>
      </w:r>
      <w:r>
        <w:rPr>
          <w:spacing w:val="-5"/>
          <w:sz w:val="20"/>
        </w:rPr>
        <w:t> </w:t>
      </w:r>
      <w:r>
        <w:rPr>
          <w:sz w:val="20"/>
        </w:rPr>
        <w:t>и</w:t>
      </w:r>
      <w:r>
        <w:rPr>
          <w:spacing w:val="-5"/>
          <w:sz w:val="20"/>
        </w:rPr>
        <w:t> </w:t>
      </w:r>
      <w:r>
        <w:rPr>
          <w:sz w:val="20"/>
        </w:rPr>
        <w:t>правила</w:t>
      </w:r>
      <w:r>
        <w:rPr>
          <w:spacing w:val="-5"/>
          <w:sz w:val="20"/>
        </w:rPr>
        <w:t> </w:t>
      </w:r>
      <w:r>
        <w:rPr>
          <w:sz w:val="20"/>
        </w:rPr>
        <w:t>взаимодействия</w:t>
      </w:r>
      <w:r>
        <w:rPr>
          <w:spacing w:val="-5"/>
          <w:sz w:val="20"/>
        </w:rPr>
        <w:t> </w:t>
      </w:r>
      <w:r>
        <w:rPr>
          <w:sz w:val="20"/>
        </w:rPr>
        <w:t>между</w:t>
      </w:r>
      <w:r>
        <w:rPr>
          <w:spacing w:val="-5"/>
          <w:sz w:val="20"/>
        </w:rPr>
        <w:t> </w:t>
      </w:r>
      <w:r>
        <w:rPr>
          <w:sz w:val="20"/>
        </w:rPr>
        <w:t>детьми</w:t>
      </w:r>
      <w:r>
        <w:rPr>
          <w:spacing w:val="-5"/>
          <w:sz w:val="20"/>
        </w:rPr>
        <w:t> </w:t>
      </w:r>
      <w:r>
        <w:rPr>
          <w:sz w:val="20"/>
        </w:rPr>
        <w:t>и</w:t>
      </w:r>
      <w:r>
        <w:rPr>
          <w:spacing w:val="-5"/>
          <w:sz w:val="20"/>
        </w:rPr>
        <w:t> </w:t>
      </w:r>
      <w:r>
        <w:rPr>
          <w:sz w:val="20"/>
        </w:rPr>
        <w:t>педагогом,</w:t>
      </w:r>
      <w:r>
        <w:rPr>
          <w:spacing w:val="-5"/>
          <w:sz w:val="20"/>
        </w:rPr>
        <w:t> </w:t>
      </w:r>
      <w:r>
        <w:rPr>
          <w:sz w:val="20"/>
        </w:rPr>
        <w:t>освоен- ные приемы и техники будут переноситься в повседневное общение, интегриро- ваться в образовательный процесс.</w:t>
      </w:r>
    </w:p>
    <w:p>
      <w:pPr>
        <w:pStyle w:val="BodyText"/>
        <w:spacing w:line="227" w:lineRule="exact" w:before="2"/>
        <w:ind w:left="425" w:right="0" w:firstLine="0"/>
      </w:pPr>
      <w:r>
        <w:rPr/>
        <w:t>Программа,</w:t>
      </w:r>
      <w:r>
        <w:rPr>
          <w:spacing w:val="40"/>
        </w:rPr>
        <w:t> </w:t>
      </w:r>
      <w:r>
        <w:rPr/>
        <w:t>разработанная</w:t>
      </w:r>
      <w:r>
        <w:rPr>
          <w:spacing w:val="42"/>
        </w:rPr>
        <w:t> </w:t>
      </w:r>
      <w:r>
        <w:rPr/>
        <w:t>при</w:t>
      </w:r>
      <w:r>
        <w:rPr>
          <w:spacing w:val="42"/>
        </w:rPr>
        <w:t> </w:t>
      </w:r>
      <w:r>
        <w:rPr/>
        <w:t>участии</w:t>
      </w:r>
      <w:r>
        <w:rPr>
          <w:spacing w:val="42"/>
        </w:rPr>
        <w:t> </w:t>
      </w:r>
      <w:r>
        <w:rPr/>
        <w:t>Благотворительного</w:t>
      </w:r>
      <w:r>
        <w:rPr>
          <w:spacing w:val="42"/>
        </w:rPr>
        <w:t> </w:t>
      </w:r>
      <w:r>
        <w:rPr/>
        <w:t>фонда</w:t>
      </w:r>
      <w:r>
        <w:rPr>
          <w:spacing w:val="42"/>
        </w:rPr>
        <w:t> </w:t>
      </w:r>
      <w:r>
        <w:rPr>
          <w:spacing w:val="-2"/>
        </w:rPr>
        <w:t>Сбербанка</w:t>
      </w:r>
    </w:p>
    <w:p>
      <w:pPr>
        <w:pStyle w:val="BodyText"/>
        <w:spacing w:line="232" w:lineRule="auto" w:before="3"/>
        <w:ind w:firstLine="0"/>
      </w:pPr>
      <w:r>
        <w:rPr/>
        <w:t>«Вклад</w:t>
      </w:r>
      <w:r>
        <w:rPr>
          <w:spacing w:val="-4"/>
        </w:rPr>
        <w:t> </w:t>
      </w:r>
      <w:r>
        <w:rPr/>
        <w:t>в</w:t>
      </w:r>
      <w:r>
        <w:rPr>
          <w:spacing w:val="-4"/>
        </w:rPr>
        <w:t> </w:t>
      </w:r>
      <w:r>
        <w:rPr/>
        <w:t>будущее»,</w:t>
      </w:r>
      <w:r>
        <w:rPr>
          <w:spacing w:val="-4"/>
        </w:rPr>
        <w:t> </w:t>
      </w:r>
      <w:r>
        <w:rPr/>
        <w:t>отвечает</w:t>
      </w:r>
      <w:r>
        <w:rPr>
          <w:spacing w:val="-4"/>
        </w:rPr>
        <w:t> </w:t>
      </w:r>
      <w:r>
        <w:rPr/>
        <w:t>запросам</w:t>
      </w:r>
      <w:r>
        <w:rPr>
          <w:spacing w:val="-4"/>
        </w:rPr>
        <w:t> </w:t>
      </w:r>
      <w:r>
        <w:rPr/>
        <w:t>времени.</w:t>
      </w:r>
      <w:r>
        <w:rPr>
          <w:spacing w:val="-4"/>
        </w:rPr>
        <w:t> </w:t>
      </w:r>
      <w:r>
        <w:rPr/>
        <w:t>Она</w:t>
      </w:r>
      <w:r>
        <w:rPr>
          <w:spacing w:val="-4"/>
        </w:rPr>
        <w:t> </w:t>
      </w:r>
      <w:r>
        <w:rPr/>
        <w:t>позволяет</w:t>
      </w:r>
      <w:r>
        <w:rPr>
          <w:spacing w:val="-4"/>
        </w:rPr>
        <w:t> </w:t>
      </w:r>
      <w:r>
        <w:rPr/>
        <w:t>целенаправленно</w:t>
      </w:r>
      <w:r>
        <w:rPr>
          <w:spacing w:val="-4"/>
        </w:rPr>
        <w:t> </w:t>
      </w:r>
      <w:r>
        <w:rPr/>
        <w:t>об- учать</w:t>
      </w:r>
      <w:r>
        <w:rPr>
          <w:spacing w:val="-13"/>
        </w:rPr>
        <w:t> </w:t>
      </w:r>
      <w:r>
        <w:rPr/>
        <w:t>детей</w:t>
      </w:r>
      <w:r>
        <w:rPr>
          <w:spacing w:val="-12"/>
        </w:rPr>
        <w:t> </w:t>
      </w:r>
      <w:r>
        <w:rPr/>
        <w:t>внимательному</w:t>
      </w:r>
      <w:r>
        <w:rPr>
          <w:spacing w:val="-13"/>
        </w:rPr>
        <w:t> </w:t>
      </w:r>
      <w:r>
        <w:rPr/>
        <w:t>и</w:t>
      </w:r>
      <w:r>
        <w:rPr>
          <w:spacing w:val="-12"/>
        </w:rPr>
        <w:t> </w:t>
      </w:r>
      <w:r>
        <w:rPr/>
        <w:t>уважительному</w:t>
      </w:r>
      <w:r>
        <w:rPr>
          <w:spacing w:val="-13"/>
        </w:rPr>
        <w:t> </w:t>
      </w:r>
      <w:r>
        <w:rPr/>
        <w:t>отношению</w:t>
      </w:r>
      <w:r>
        <w:rPr>
          <w:spacing w:val="-12"/>
        </w:rPr>
        <w:t> </w:t>
      </w:r>
      <w:r>
        <w:rPr/>
        <w:t>к</w:t>
      </w:r>
      <w:r>
        <w:rPr>
          <w:spacing w:val="-13"/>
        </w:rPr>
        <w:t> </w:t>
      </w:r>
      <w:r>
        <w:rPr/>
        <w:t>эмоциям,</w:t>
      </w:r>
      <w:r>
        <w:rPr>
          <w:spacing w:val="-12"/>
        </w:rPr>
        <w:t> </w:t>
      </w:r>
      <w:r>
        <w:rPr/>
        <w:t>саморегуляции, взаимопониманию, использованию эмоций при выстраивании взаимодействия. Ре- зультаты</w:t>
      </w:r>
      <w:r>
        <w:rPr>
          <w:spacing w:val="-5"/>
        </w:rPr>
        <w:t> </w:t>
      </w:r>
      <w:r>
        <w:rPr/>
        <w:t>обучения</w:t>
      </w:r>
      <w:r>
        <w:rPr>
          <w:spacing w:val="-5"/>
        </w:rPr>
        <w:t> </w:t>
      </w:r>
      <w:r>
        <w:rPr/>
        <w:t>переносятся</w:t>
      </w:r>
      <w:r>
        <w:rPr>
          <w:spacing w:val="-5"/>
        </w:rPr>
        <w:t> </w:t>
      </w:r>
      <w:r>
        <w:rPr/>
        <w:t>и</w:t>
      </w:r>
      <w:r>
        <w:rPr>
          <w:spacing w:val="-5"/>
        </w:rPr>
        <w:t> </w:t>
      </w:r>
      <w:r>
        <w:rPr/>
        <w:t>в</w:t>
      </w:r>
      <w:r>
        <w:rPr>
          <w:spacing w:val="-5"/>
        </w:rPr>
        <w:t> </w:t>
      </w:r>
      <w:r>
        <w:rPr/>
        <w:t>школьную</w:t>
      </w:r>
      <w:r>
        <w:rPr>
          <w:spacing w:val="-5"/>
        </w:rPr>
        <w:t> </w:t>
      </w:r>
      <w:r>
        <w:rPr/>
        <w:t>среду</w:t>
      </w:r>
      <w:r>
        <w:rPr>
          <w:spacing w:val="-5"/>
        </w:rPr>
        <w:t> </w:t>
      </w:r>
      <w:r>
        <w:rPr/>
        <w:t>в</w:t>
      </w:r>
      <w:r>
        <w:rPr>
          <w:spacing w:val="-5"/>
        </w:rPr>
        <w:t> </w:t>
      </w:r>
      <w:r>
        <w:rPr/>
        <w:t>целом,</w:t>
      </w:r>
      <w:r>
        <w:rPr>
          <w:spacing w:val="-5"/>
        </w:rPr>
        <w:t> </w:t>
      </w:r>
      <w:r>
        <w:rPr/>
        <w:t>изменяя</w:t>
      </w:r>
      <w:r>
        <w:rPr>
          <w:spacing w:val="-5"/>
        </w:rPr>
        <w:t> </w:t>
      </w:r>
      <w:r>
        <w:rPr/>
        <w:t>в</w:t>
      </w:r>
      <w:r>
        <w:rPr>
          <w:spacing w:val="-5"/>
        </w:rPr>
        <w:t> </w:t>
      </w:r>
      <w:r>
        <w:rPr/>
        <w:t>лучшую</w:t>
      </w:r>
      <w:r>
        <w:rPr>
          <w:spacing w:val="-5"/>
        </w:rPr>
        <w:t> </w:t>
      </w:r>
      <w:r>
        <w:rPr/>
        <w:t>сто- рону не только отношения детей со сверстниками и взрослыми, но и всю атмосферу школьной</w:t>
      </w:r>
      <w:r>
        <w:rPr>
          <w:spacing w:val="-3"/>
        </w:rPr>
        <w:t> </w:t>
      </w:r>
      <w:r>
        <w:rPr/>
        <w:t>жизни.</w:t>
      </w:r>
      <w:r>
        <w:rPr>
          <w:spacing w:val="-3"/>
        </w:rPr>
        <w:t> </w:t>
      </w:r>
      <w:r>
        <w:rPr/>
        <w:t>Программа,</w:t>
      </w:r>
      <w:r>
        <w:rPr>
          <w:spacing w:val="-3"/>
        </w:rPr>
        <w:t> </w:t>
      </w:r>
      <w:r>
        <w:rPr/>
        <w:t>с</w:t>
      </w:r>
      <w:r>
        <w:rPr>
          <w:spacing w:val="-3"/>
        </w:rPr>
        <w:t> </w:t>
      </w:r>
      <w:r>
        <w:rPr/>
        <w:t>одной</w:t>
      </w:r>
      <w:r>
        <w:rPr>
          <w:spacing w:val="-3"/>
        </w:rPr>
        <w:t> </w:t>
      </w:r>
      <w:r>
        <w:rPr/>
        <w:t>стороны,</w:t>
      </w:r>
      <w:r>
        <w:rPr>
          <w:spacing w:val="-3"/>
        </w:rPr>
        <w:t> </w:t>
      </w:r>
      <w:r>
        <w:rPr/>
        <w:t>адаптирована</w:t>
      </w:r>
      <w:r>
        <w:rPr>
          <w:spacing w:val="-3"/>
        </w:rPr>
        <w:t> </w:t>
      </w:r>
      <w:r>
        <w:rPr/>
        <w:t>к</w:t>
      </w:r>
      <w:r>
        <w:rPr>
          <w:spacing w:val="-3"/>
        </w:rPr>
        <w:t> </w:t>
      </w:r>
      <w:r>
        <w:rPr/>
        <w:t>процессу</w:t>
      </w:r>
      <w:r>
        <w:rPr>
          <w:spacing w:val="-3"/>
        </w:rPr>
        <w:t> </w:t>
      </w:r>
      <w:r>
        <w:rPr/>
        <w:t>обучения</w:t>
      </w:r>
      <w:r>
        <w:rPr>
          <w:spacing w:val="-3"/>
        </w:rPr>
        <w:t> </w:t>
      </w:r>
      <w:r>
        <w:rPr/>
        <w:t>в школе,</w:t>
      </w:r>
      <w:r>
        <w:rPr>
          <w:spacing w:val="-10"/>
        </w:rPr>
        <w:t> </w:t>
      </w:r>
      <w:r>
        <w:rPr/>
        <w:t>а</w:t>
      </w:r>
      <w:r>
        <w:rPr>
          <w:spacing w:val="-10"/>
        </w:rPr>
        <w:t> </w:t>
      </w:r>
      <w:r>
        <w:rPr/>
        <w:t>с</w:t>
      </w:r>
      <w:r>
        <w:rPr>
          <w:spacing w:val="-10"/>
        </w:rPr>
        <w:t> </w:t>
      </w:r>
      <w:r>
        <w:rPr/>
        <w:t>другой</w:t>
      </w:r>
      <w:r>
        <w:rPr>
          <w:spacing w:val="-10"/>
        </w:rPr>
        <w:t> </w:t>
      </w:r>
      <w:r>
        <w:rPr/>
        <w:t>–</w:t>
      </w:r>
      <w:r>
        <w:rPr>
          <w:spacing w:val="-10"/>
        </w:rPr>
        <w:t> </w:t>
      </w:r>
      <w:r>
        <w:rPr/>
        <w:t>она</w:t>
      </w:r>
      <w:r>
        <w:rPr>
          <w:spacing w:val="-10"/>
        </w:rPr>
        <w:t> </w:t>
      </w:r>
      <w:r>
        <w:rPr/>
        <w:t>чувствительна</w:t>
      </w:r>
      <w:r>
        <w:rPr>
          <w:spacing w:val="-10"/>
        </w:rPr>
        <w:t> </w:t>
      </w:r>
      <w:r>
        <w:rPr/>
        <w:t>к</w:t>
      </w:r>
      <w:r>
        <w:rPr>
          <w:spacing w:val="-10"/>
        </w:rPr>
        <w:t> </w:t>
      </w:r>
      <w:r>
        <w:rPr/>
        <w:t>образовательной</w:t>
      </w:r>
      <w:r>
        <w:rPr>
          <w:spacing w:val="-10"/>
        </w:rPr>
        <w:t> </w:t>
      </w:r>
      <w:r>
        <w:rPr/>
        <w:t>среде</w:t>
      </w:r>
      <w:r>
        <w:rPr>
          <w:spacing w:val="-10"/>
        </w:rPr>
        <w:t> </w:t>
      </w:r>
      <w:r>
        <w:rPr/>
        <w:t>и</w:t>
      </w:r>
      <w:r>
        <w:rPr>
          <w:spacing w:val="-10"/>
        </w:rPr>
        <w:t> </w:t>
      </w:r>
      <w:r>
        <w:rPr/>
        <w:t>незаметно</w:t>
      </w:r>
      <w:r>
        <w:rPr>
          <w:spacing w:val="-10"/>
        </w:rPr>
        <w:t> </w:t>
      </w:r>
      <w:r>
        <w:rPr/>
        <w:t>изменяет ее, оказывая положительное влияние на детей, родителей, педагогов.</w:t>
      </w:r>
    </w:p>
    <w:p>
      <w:pPr>
        <w:pStyle w:val="BodyText"/>
        <w:spacing w:line="232" w:lineRule="auto" w:before="7"/>
      </w:pPr>
      <w:r>
        <w:rPr/>
        <w:t>В</w:t>
      </w:r>
      <w:r>
        <w:rPr>
          <w:spacing w:val="-13"/>
        </w:rPr>
        <w:t> </w:t>
      </w:r>
      <w:r>
        <w:rPr/>
        <w:t>апробации</w:t>
      </w:r>
      <w:r>
        <w:rPr>
          <w:spacing w:val="-12"/>
        </w:rPr>
        <w:t> </w:t>
      </w:r>
      <w:r>
        <w:rPr/>
        <w:t>программы,</w:t>
      </w:r>
      <w:r>
        <w:rPr>
          <w:spacing w:val="-13"/>
        </w:rPr>
        <w:t> </w:t>
      </w:r>
      <w:r>
        <w:rPr/>
        <w:t>стартовавшей</w:t>
      </w:r>
      <w:r>
        <w:rPr>
          <w:spacing w:val="-12"/>
        </w:rPr>
        <w:t> </w:t>
      </w:r>
      <w:r>
        <w:rPr/>
        <w:t>в</w:t>
      </w:r>
      <w:r>
        <w:rPr>
          <w:spacing w:val="-13"/>
        </w:rPr>
        <w:t> </w:t>
      </w:r>
      <w:r>
        <w:rPr/>
        <w:t>2017</w:t>
      </w:r>
      <w:r>
        <w:rPr>
          <w:spacing w:val="-12"/>
        </w:rPr>
        <w:t> </w:t>
      </w:r>
      <w:r>
        <w:rPr/>
        <w:t>г.,</w:t>
      </w:r>
      <w:r>
        <w:rPr>
          <w:spacing w:val="-13"/>
        </w:rPr>
        <w:t> </w:t>
      </w:r>
      <w:r>
        <w:rPr/>
        <w:t>приняли</w:t>
      </w:r>
      <w:r>
        <w:rPr>
          <w:spacing w:val="-12"/>
        </w:rPr>
        <w:t> </w:t>
      </w:r>
      <w:r>
        <w:rPr/>
        <w:t>участие</w:t>
      </w:r>
      <w:r>
        <w:rPr>
          <w:spacing w:val="-13"/>
        </w:rPr>
        <w:t> </w:t>
      </w:r>
      <w:r>
        <w:rPr/>
        <w:t>около</w:t>
      </w:r>
      <w:r>
        <w:rPr>
          <w:spacing w:val="-12"/>
        </w:rPr>
        <w:t> </w:t>
      </w:r>
      <w:r>
        <w:rPr/>
        <w:t>200</w:t>
      </w:r>
      <w:r>
        <w:rPr>
          <w:spacing w:val="-13"/>
        </w:rPr>
        <w:t> </w:t>
      </w:r>
      <w:r>
        <w:rPr/>
        <w:t>педа- гогов</w:t>
      </w:r>
      <w:r>
        <w:rPr>
          <w:spacing w:val="-2"/>
        </w:rPr>
        <w:t> </w:t>
      </w:r>
      <w:r>
        <w:rPr/>
        <w:t>из 13</w:t>
      </w:r>
      <w:r>
        <w:rPr>
          <w:spacing w:val="-8"/>
        </w:rPr>
        <w:t> </w:t>
      </w:r>
      <w:r>
        <w:rPr/>
        <w:t>школ</w:t>
      </w:r>
      <w:r>
        <w:rPr>
          <w:spacing w:val="1"/>
        </w:rPr>
        <w:t> </w:t>
      </w:r>
      <w:r>
        <w:rPr/>
        <w:t>Москвы и</w:t>
      </w:r>
      <w:r>
        <w:rPr>
          <w:spacing w:val="1"/>
        </w:rPr>
        <w:t> </w:t>
      </w:r>
      <w:r>
        <w:rPr/>
        <w:t>Тюмени. Среди</w:t>
      </w:r>
      <w:r>
        <w:rPr>
          <w:spacing w:val="1"/>
        </w:rPr>
        <w:t> </w:t>
      </w:r>
      <w:r>
        <w:rPr/>
        <w:t>результатов проведенного</w:t>
      </w:r>
      <w:r>
        <w:rPr>
          <w:spacing w:val="1"/>
        </w:rPr>
        <w:t> </w:t>
      </w:r>
      <w:r>
        <w:rPr>
          <w:spacing w:val="-2"/>
        </w:rPr>
        <w:t>исследования</w:t>
      </w:r>
    </w:p>
    <w:p>
      <w:pPr>
        <w:pStyle w:val="BodyText"/>
        <w:spacing w:before="7"/>
        <w:ind w:left="0" w:right="0" w:firstLine="0"/>
        <w:jc w:val="left"/>
        <w:rPr>
          <w:sz w:val="13"/>
        </w:rPr>
      </w:pPr>
      <w:r>
        <w:rPr>
          <w:sz w:val="13"/>
        </w:rPr>
        <mc:AlternateContent>
          <mc:Choice Requires="wps">
            <w:drawing>
              <wp:anchor distT="0" distB="0" distL="0" distR="0" allowOverlap="1" layoutInCell="1" locked="0" behindDoc="1" simplePos="0" relativeHeight="487627264">
                <wp:simplePos x="0" y="0"/>
                <wp:positionH relativeFrom="page">
                  <wp:posOffset>360000</wp:posOffset>
                </wp:positionH>
                <wp:positionV relativeFrom="paragraph">
                  <wp:posOffset>115185</wp:posOffset>
                </wp:positionV>
                <wp:extent cx="1440180" cy="1270"/>
                <wp:effectExtent l="0" t="0" r="0" b="0"/>
                <wp:wrapTopAndBottom/>
                <wp:docPr id="124" name="Graphic 124"/>
                <wp:cNvGraphicFramePr>
                  <a:graphicFrameLocks/>
                </wp:cNvGraphicFramePr>
                <a:graphic>
                  <a:graphicData uri="http://schemas.microsoft.com/office/word/2010/wordprocessingShape">
                    <wps:wsp>
                      <wps:cNvPr id="124" name="Graphic 124"/>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5pt;margin-top:9.069706pt;width:113.4pt;height:.1pt;mso-position-horizontal-relative:page;mso-position-vertical-relative:paragraph;z-index:-15689216;mso-wrap-distance-left:0;mso-wrap-distance-right:0" id="docshape79" coordorigin="567,181" coordsize="2268,0" path="m567,181l2835,181e" filled="false" stroked="true" strokeweight=".5pt" strokecolor="#231f20">
                <v:path arrowok="t"/>
                <v:stroke dashstyle="solid"/>
                <w10:wrap type="topAndBottom"/>
              </v:shape>
            </w:pict>
          </mc:Fallback>
        </mc:AlternateContent>
      </w:r>
    </w:p>
    <w:p>
      <w:pPr>
        <w:tabs>
          <w:tab w:pos="425" w:val="left" w:leader="none"/>
        </w:tabs>
        <w:spacing w:line="232" w:lineRule="auto" w:before="32"/>
        <w:ind w:left="141" w:right="139" w:firstLine="0"/>
        <w:jc w:val="left"/>
        <w:rPr>
          <w:sz w:val="18"/>
        </w:rPr>
      </w:pPr>
      <w:r>
        <w:rPr>
          <w:color w:val="231F20"/>
          <w:spacing w:val="-10"/>
          <w:sz w:val="18"/>
          <w:vertAlign w:val="superscript"/>
        </w:rPr>
        <w:t>1</w:t>
      </w:r>
      <w:r>
        <w:rPr>
          <w:color w:val="231F20"/>
          <w:sz w:val="18"/>
          <w:vertAlign w:val="baseline"/>
        </w:rPr>
        <w:tab/>
        <w:t>Пояснительная</w:t>
      </w:r>
      <w:r>
        <w:rPr>
          <w:color w:val="231F20"/>
          <w:spacing w:val="80"/>
          <w:sz w:val="18"/>
          <w:vertAlign w:val="baseline"/>
        </w:rPr>
        <w:t> </w:t>
      </w:r>
      <w:r>
        <w:rPr>
          <w:color w:val="231F20"/>
          <w:sz w:val="18"/>
          <w:vertAlign w:val="baseline"/>
        </w:rPr>
        <w:t>записка</w:t>
      </w:r>
      <w:r>
        <w:rPr>
          <w:color w:val="231F20"/>
          <w:spacing w:val="80"/>
          <w:sz w:val="18"/>
          <w:vertAlign w:val="baseline"/>
        </w:rPr>
        <w:t> </w:t>
      </w:r>
      <w:r>
        <w:rPr>
          <w:color w:val="231F20"/>
          <w:sz w:val="18"/>
          <w:vertAlign w:val="baseline"/>
        </w:rPr>
        <w:t>к</w:t>
      </w:r>
      <w:r>
        <w:rPr>
          <w:color w:val="231F20"/>
          <w:spacing w:val="80"/>
          <w:sz w:val="18"/>
          <w:vertAlign w:val="baseline"/>
        </w:rPr>
        <w:t> </w:t>
      </w:r>
      <w:r>
        <w:rPr>
          <w:color w:val="231F20"/>
          <w:sz w:val="18"/>
          <w:vertAlign w:val="baseline"/>
        </w:rPr>
        <w:t>УМК</w:t>
      </w:r>
      <w:r>
        <w:rPr>
          <w:color w:val="231F20"/>
          <w:spacing w:val="80"/>
          <w:sz w:val="18"/>
          <w:vertAlign w:val="baseline"/>
        </w:rPr>
        <w:t> </w:t>
      </w:r>
      <w:r>
        <w:rPr>
          <w:color w:val="231F20"/>
          <w:sz w:val="18"/>
          <w:vertAlign w:val="baseline"/>
        </w:rPr>
        <w:t>«Школа</w:t>
      </w:r>
      <w:r>
        <w:rPr>
          <w:color w:val="231F20"/>
          <w:spacing w:val="80"/>
          <w:sz w:val="18"/>
          <w:vertAlign w:val="baseline"/>
        </w:rPr>
        <w:t> </w:t>
      </w:r>
      <w:r>
        <w:rPr>
          <w:color w:val="231F20"/>
          <w:sz w:val="18"/>
          <w:vertAlign w:val="baseline"/>
        </w:rPr>
        <w:t>возможностей»</w:t>
      </w:r>
      <w:r>
        <w:rPr>
          <w:color w:val="231F20"/>
          <w:spacing w:val="80"/>
          <w:sz w:val="18"/>
          <w:vertAlign w:val="baseline"/>
        </w:rPr>
        <w:t> </w:t>
      </w:r>
      <w:r>
        <w:rPr>
          <w:color w:val="2255A6"/>
          <w:sz w:val="18"/>
          <w:u w:val="single" w:color="2255A6"/>
          <w:vertAlign w:val="baseline"/>
        </w:rPr>
        <w:t>https://teacher.vbudushee.ru/</w:t>
      </w:r>
      <w:r>
        <w:rPr>
          <w:color w:val="2255A6"/>
          <w:sz w:val="18"/>
          <w:vertAlign w:val="baseline"/>
        </w:rPr>
        <w:t> </w:t>
      </w:r>
      <w:r>
        <w:rPr>
          <w:color w:val="2255A6"/>
          <w:spacing w:val="-2"/>
          <w:sz w:val="18"/>
          <w:u w:val="single" w:color="2255A6"/>
          <w:vertAlign w:val="baseline"/>
        </w:rPr>
        <w:t>module/3#heading-6</w:t>
      </w:r>
    </w:p>
    <w:p>
      <w:pPr>
        <w:spacing w:after="0" w:line="232" w:lineRule="auto"/>
        <w:jc w:val="left"/>
        <w:rPr>
          <w:sz w:val="18"/>
        </w:rPr>
        <w:sectPr>
          <w:pgSz w:w="8400" w:h="11910"/>
          <w:pgMar w:header="0" w:footer="527" w:top="400" w:bottom="720" w:left="425" w:right="425"/>
        </w:sectPr>
      </w:pPr>
    </w:p>
    <w:p>
      <w:pPr>
        <w:spacing w:before="80"/>
        <w:ind w:left="141" w:right="0" w:firstLine="0"/>
        <w:jc w:val="left"/>
        <w:rPr>
          <w:rFonts w:ascii="Georgia" w:hAnsi="Georgia"/>
          <w:sz w:val="18"/>
        </w:rPr>
      </w:pPr>
      <w:r>
        <w:rPr>
          <w:rFonts w:ascii="Georgia" w:hAnsi="Georgia"/>
          <w:color w:val="231F20"/>
          <w:sz w:val="18"/>
        </w:rPr>
        <w:t>4.2.</w:t>
      </w:r>
      <w:r>
        <w:rPr>
          <w:rFonts w:ascii="Georgia" w:hAnsi="Georgia"/>
          <w:color w:val="231F20"/>
          <w:spacing w:val="-6"/>
          <w:sz w:val="18"/>
        </w:rPr>
        <w:t> </w:t>
      </w:r>
      <w:r>
        <w:rPr>
          <w:rFonts w:ascii="Georgia" w:hAnsi="Georgia"/>
          <w:color w:val="231F20"/>
          <w:sz w:val="18"/>
        </w:rPr>
        <w:t>Работа</w:t>
      </w:r>
      <w:r>
        <w:rPr>
          <w:rFonts w:ascii="Georgia" w:hAnsi="Georgia"/>
          <w:color w:val="231F20"/>
          <w:spacing w:val="-5"/>
          <w:sz w:val="18"/>
        </w:rPr>
        <w:t> </w:t>
      </w:r>
      <w:r>
        <w:rPr>
          <w:rFonts w:ascii="Georgia" w:hAnsi="Georgia"/>
          <w:color w:val="231F20"/>
          <w:sz w:val="18"/>
        </w:rPr>
        <w:t>педагога-психолога</w:t>
      </w:r>
      <w:r>
        <w:rPr>
          <w:rFonts w:ascii="Georgia" w:hAnsi="Georgia"/>
          <w:color w:val="231F20"/>
          <w:spacing w:val="-5"/>
          <w:sz w:val="18"/>
        </w:rPr>
        <w:t> </w:t>
      </w:r>
      <w:r>
        <w:rPr>
          <w:rFonts w:ascii="Georgia" w:hAnsi="Georgia"/>
          <w:color w:val="231F20"/>
          <w:sz w:val="18"/>
        </w:rPr>
        <w:t>в</w:t>
      </w:r>
      <w:r>
        <w:rPr>
          <w:rFonts w:ascii="Georgia" w:hAnsi="Georgia"/>
          <w:color w:val="231F20"/>
          <w:spacing w:val="-5"/>
          <w:sz w:val="18"/>
        </w:rPr>
        <w:t> </w:t>
      </w:r>
      <w:r>
        <w:rPr>
          <w:rFonts w:ascii="Georgia" w:hAnsi="Georgia"/>
          <w:color w:val="231F20"/>
          <w:sz w:val="18"/>
        </w:rPr>
        <w:t>области</w:t>
      </w:r>
      <w:r>
        <w:rPr>
          <w:rFonts w:ascii="Georgia" w:hAnsi="Georgia"/>
          <w:color w:val="231F20"/>
          <w:spacing w:val="-6"/>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детей</w:t>
      </w:r>
      <w:r>
        <w:rPr>
          <w:rFonts w:ascii="Georgia" w:hAnsi="Georgia"/>
          <w:color w:val="231F20"/>
          <w:spacing w:val="-5"/>
          <w:sz w:val="18"/>
        </w:rPr>
        <w:t> </w:t>
      </w:r>
      <w:r>
        <w:rPr>
          <w:rFonts w:ascii="Georgia" w:hAnsi="Georgia"/>
          <w:color w:val="231F20"/>
          <w:sz w:val="18"/>
        </w:rPr>
        <w:t>...</w:t>
      </w:r>
      <w:r>
        <w:rPr>
          <w:rFonts w:ascii="Georgia" w:hAnsi="Georgia"/>
          <w:color w:val="231F20"/>
          <w:spacing w:val="-5"/>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BodyText"/>
        <w:spacing w:line="235" w:lineRule="auto" w:before="116"/>
        <w:ind w:firstLine="0"/>
      </w:pPr>
      <w:r>
        <w:rPr/>
        <w:t>педагоги</w:t>
      </w:r>
      <w:r>
        <w:rPr>
          <w:spacing w:val="-12"/>
        </w:rPr>
        <w:t> </w:t>
      </w:r>
      <w:r>
        <w:rPr/>
        <w:t>отмечали</w:t>
      </w:r>
      <w:r>
        <w:rPr>
          <w:spacing w:val="-12"/>
        </w:rPr>
        <w:t> </w:t>
      </w:r>
      <w:r>
        <w:rPr/>
        <w:t>развитие</w:t>
      </w:r>
      <w:r>
        <w:rPr>
          <w:spacing w:val="-12"/>
        </w:rPr>
        <w:t> </w:t>
      </w:r>
      <w:r>
        <w:rPr/>
        <w:t>у</w:t>
      </w:r>
      <w:r>
        <w:rPr>
          <w:spacing w:val="-12"/>
        </w:rPr>
        <w:t> </w:t>
      </w:r>
      <w:r>
        <w:rPr/>
        <w:t>детей</w:t>
      </w:r>
      <w:r>
        <w:rPr>
          <w:spacing w:val="-12"/>
        </w:rPr>
        <w:t> </w:t>
      </w:r>
      <w:r>
        <w:rPr/>
        <w:t>способности</w:t>
      </w:r>
      <w:r>
        <w:rPr>
          <w:spacing w:val="-12"/>
        </w:rPr>
        <w:t> </w:t>
      </w:r>
      <w:r>
        <w:rPr/>
        <w:t>распознавать</w:t>
      </w:r>
      <w:r>
        <w:rPr>
          <w:spacing w:val="-12"/>
        </w:rPr>
        <w:t> </w:t>
      </w:r>
      <w:r>
        <w:rPr/>
        <w:t>свои</w:t>
      </w:r>
      <w:r>
        <w:rPr>
          <w:spacing w:val="-12"/>
        </w:rPr>
        <w:t> </w:t>
      </w:r>
      <w:r>
        <w:rPr/>
        <w:t>эмоции</w:t>
      </w:r>
      <w:r>
        <w:rPr>
          <w:spacing w:val="-12"/>
        </w:rPr>
        <w:t> </w:t>
      </w:r>
      <w:r>
        <w:rPr/>
        <w:t>и</w:t>
      </w:r>
      <w:r>
        <w:rPr>
          <w:spacing w:val="-12"/>
        </w:rPr>
        <w:t> </w:t>
      </w:r>
      <w:r>
        <w:rPr/>
        <w:t>эмоции </w:t>
      </w:r>
      <w:r>
        <w:rPr>
          <w:spacing w:val="-2"/>
        </w:rPr>
        <w:t>других</w:t>
      </w:r>
      <w:r>
        <w:rPr>
          <w:spacing w:val="-3"/>
        </w:rPr>
        <w:t> </w:t>
      </w:r>
      <w:r>
        <w:rPr>
          <w:spacing w:val="-2"/>
        </w:rPr>
        <w:t>людей,</w:t>
      </w:r>
      <w:r>
        <w:rPr>
          <w:spacing w:val="-3"/>
        </w:rPr>
        <w:t> </w:t>
      </w:r>
      <w:r>
        <w:rPr>
          <w:spacing w:val="-2"/>
        </w:rPr>
        <w:t>регулировать</w:t>
      </w:r>
      <w:r>
        <w:rPr>
          <w:spacing w:val="-3"/>
        </w:rPr>
        <w:t> </w:t>
      </w:r>
      <w:r>
        <w:rPr>
          <w:spacing w:val="-2"/>
        </w:rPr>
        <w:t>собственные</w:t>
      </w:r>
      <w:r>
        <w:rPr>
          <w:spacing w:val="-3"/>
        </w:rPr>
        <w:t> </w:t>
      </w:r>
      <w:r>
        <w:rPr>
          <w:spacing w:val="-2"/>
        </w:rPr>
        <w:t>эмоции,</w:t>
      </w:r>
      <w:r>
        <w:rPr>
          <w:spacing w:val="-3"/>
        </w:rPr>
        <w:t> </w:t>
      </w:r>
      <w:r>
        <w:rPr>
          <w:spacing w:val="-2"/>
        </w:rPr>
        <w:t>эффективно</w:t>
      </w:r>
      <w:r>
        <w:rPr>
          <w:spacing w:val="-3"/>
        </w:rPr>
        <w:t> </w:t>
      </w:r>
      <w:r>
        <w:rPr>
          <w:spacing w:val="-2"/>
        </w:rPr>
        <w:t>вести</w:t>
      </w:r>
      <w:r>
        <w:rPr>
          <w:spacing w:val="-3"/>
        </w:rPr>
        <w:t> </w:t>
      </w:r>
      <w:r>
        <w:rPr>
          <w:spacing w:val="-2"/>
        </w:rPr>
        <w:t>себя</w:t>
      </w:r>
      <w:r>
        <w:rPr>
          <w:spacing w:val="-3"/>
        </w:rPr>
        <w:t> </w:t>
      </w:r>
      <w:r>
        <w:rPr>
          <w:spacing w:val="-2"/>
        </w:rPr>
        <w:t>в</w:t>
      </w:r>
      <w:r>
        <w:rPr>
          <w:spacing w:val="-3"/>
        </w:rPr>
        <w:t> </w:t>
      </w:r>
      <w:r>
        <w:rPr>
          <w:spacing w:val="-2"/>
        </w:rPr>
        <w:t>конфликт- </w:t>
      </w:r>
      <w:r>
        <w:rPr/>
        <w:t>ных</w:t>
      </w:r>
      <w:r>
        <w:rPr>
          <w:spacing w:val="-10"/>
        </w:rPr>
        <w:t> </w:t>
      </w:r>
      <w:r>
        <w:rPr/>
        <w:t>ситуациях,</w:t>
      </w:r>
      <w:r>
        <w:rPr>
          <w:spacing w:val="-10"/>
        </w:rPr>
        <w:t> </w:t>
      </w:r>
      <w:r>
        <w:rPr/>
        <w:t>отслеживать</w:t>
      </w:r>
      <w:r>
        <w:rPr>
          <w:spacing w:val="-10"/>
        </w:rPr>
        <w:t> </w:t>
      </w:r>
      <w:r>
        <w:rPr/>
        <w:t>причинно-следственные</w:t>
      </w:r>
      <w:r>
        <w:rPr>
          <w:spacing w:val="-10"/>
        </w:rPr>
        <w:t> </w:t>
      </w:r>
      <w:r>
        <w:rPr/>
        <w:t>связи</w:t>
      </w:r>
      <w:r>
        <w:rPr>
          <w:spacing w:val="-10"/>
        </w:rPr>
        <w:t> </w:t>
      </w:r>
      <w:r>
        <w:rPr/>
        <w:t>при</w:t>
      </w:r>
      <w:r>
        <w:rPr>
          <w:spacing w:val="-10"/>
        </w:rPr>
        <w:t> </w:t>
      </w:r>
      <w:r>
        <w:rPr/>
        <w:t>анализе</w:t>
      </w:r>
      <w:r>
        <w:rPr>
          <w:spacing w:val="-10"/>
        </w:rPr>
        <w:t> </w:t>
      </w:r>
      <w:r>
        <w:rPr/>
        <w:t>эмоций</w:t>
      </w:r>
      <w:r>
        <w:rPr>
          <w:spacing w:val="-10"/>
        </w:rPr>
        <w:t> </w:t>
      </w:r>
      <w:r>
        <w:rPr/>
        <w:t>и</w:t>
      </w:r>
      <w:r>
        <w:rPr>
          <w:spacing w:val="-10"/>
        </w:rPr>
        <w:t> </w:t>
      </w:r>
      <w:r>
        <w:rPr/>
        <w:t>по- ведения</w:t>
      </w:r>
      <w:r>
        <w:rPr>
          <w:spacing w:val="-6"/>
        </w:rPr>
        <w:t> </w:t>
      </w:r>
      <w:r>
        <w:rPr/>
        <w:t>и</w:t>
      </w:r>
      <w:r>
        <w:rPr>
          <w:spacing w:val="-6"/>
        </w:rPr>
        <w:t> </w:t>
      </w:r>
      <w:r>
        <w:rPr/>
        <w:t>др.</w:t>
      </w:r>
      <w:r>
        <w:rPr>
          <w:spacing w:val="-6"/>
        </w:rPr>
        <w:t> </w:t>
      </w:r>
      <w:r>
        <w:rPr/>
        <w:t>Формирование</w:t>
      </w:r>
      <w:r>
        <w:rPr>
          <w:spacing w:val="-6"/>
        </w:rPr>
        <w:t> </w:t>
      </w:r>
      <w:r>
        <w:rPr/>
        <w:t>и</w:t>
      </w:r>
      <w:r>
        <w:rPr>
          <w:spacing w:val="-6"/>
        </w:rPr>
        <w:t> </w:t>
      </w:r>
      <w:r>
        <w:rPr/>
        <w:t>развитие</w:t>
      </w:r>
      <w:r>
        <w:rPr>
          <w:spacing w:val="-6"/>
        </w:rPr>
        <w:t> </w:t>
      </w:r>
      <w:r>
        <w:rPr/>
        <w:t>этих</w:t>
      </w:r>
      <w:r>
        <w:rPr>
          <w:spacing w:val="-6"/>
        </w:rPr>
        <w:t> </w:t>
      </w:r>
      <w:r>
        <w:rPr/>
        <w:t>навыков</w:t>
      </w:r>
      <w:r>
        <w:rPr>
          <w:spacing w:val="-6"/>
        </w:rPr>
        <w:t> </w:t>
      </w:r>
      <w:r>
        <w:rPr/>
        <w:t>у</w:t>
      </w:r>
      <w:r>
        <w:rPr>
          <w:spacing w:val="-6"/>
        </w:rPr>
        <w:t> </w:t>
      </w:r>
      <w:r>
        <w:rPr/>
        <w:t>детей</w:t>
      </w:r>
      <w:r>
        <w:rPr>
          <w:spacing w:val="-6"/>
        </w:rPr>
        <w:t> </w:t>
      </w:r>
      <w:r>
        <w:rPr/>
        <w:t>положительно</w:t>
      </w:r>
      <w:r>
        <w:rPr>
          <w:spacing w:val="-6"/>
        </w:rPr>
        <w:t> </w:t>
      </w:r>
      <w:r>
        <w:rPr/>
        <w:t>повлия- ло на успешность их обучения в школе.</w:t>
      </w:r>
    </w:p>
    <w:p>
      <w:pPr>
        <w:pStyle w:val="BodyText"/>
        <w:spacing w:line="242" w:lineRule="auto"/>
      </w:pPr>
      <w:r>
        <w:rPr/>
        <w:t>С</w:t>
      </w:r>
      <w:r>
        <w:rPr>
          <w:spacing w:val="-10"/>
        </w:rPr>
        <w:t> </w:t>
      </w:r>
      <w:r>
        <w:rPr/>
        <w:t>опорой</w:t>
      </w:r>
      <w:r>
        <w:rPr>
          <w:spacing w:val="-11"/>
        </w:rPr>
        <w:t> </w:t>
      </w:r>
      <w:r>
        <w:rPr/>
        <w:t>на</w:t>
      </w:r>
      <w:r>
        <w:rPr>
          <w:spacing w:val="-10"/>
        </w:rPr>
        <w:t> </w:t>
      </w:r>
      <w:r>
        <w:rPr/>
        <w:t>научную</w:t>
      </w:r>
      <w:r>
        <w:rPr>
          <w:spacing w:val="-11"/>
        </w:rPr>
        <w:t> </w:t>
      </w:r>
      <w:r>
        <w:rPr/>
        <w:t>основу</w:t>
      </w:r>
      <w:r>
        <w:rPr>
          <w:spacing w:val="-10"/>
        </w:rPr>
        <w:t> </w:t>
      </w:r>
      <w:r>
        <w:rPr/>
        <w:t>и</w:t>
      </w:r>
      <w:r>
        <w:rPr>
          <w:spacing w:val="-11"/>
        </w:rPr>
        <w:t> </w:t>
      </w:r>
      <w:r>
        <w:rPr/>
        <w:t>результаты</w:t>
      </w:r>
      <w:r>
        <w:rPr>
          <w:spacing w:val="-10"/>
        </w:rPr>
        <w:t> </w:t>
      </w:r>
      <w:r>
        <w:rPr/>
        <w:t>апробации</w:t>
      </w:r>
      <w:r>
        <w:rPr>
          <w:spacing w:val="-11"/>
        </w:rPr>
        <w:t> </w:t>
      </w:r>
      <w:r>
        <w:rPr/>
        <w:t>программы</w:t>
      </w:r>
      <w:r>
        <w:rPr>
          <w:spacing w:val="-11"/>
        </w:rPr>
        <w:t> </w:t>
      </w:r>
      <w:r>
        <w:rPr/>
        <w:t>была</w:t>
      </w:r>
      <w:r>
        <w:rPr>
          <w:spacing w:val="-11"/>
        </w:rPr>
        <w:t> </w:t>
      </w:r>
      <w:r>
        <w:rPr/>
        <w:t>разработа- на</w:t>
      </w:r>
      <w:r>
        <w:rPr>
          <w:spacing w:val="-1"/>
        </w:rPr>
        <w:t> </w:t>
      </w:r>
      <w:r>
        <w:rPr/>
        <w:t>ее</w:t>
      </w:r>
      <w:r>
        <w:rPr>
          <w:spacing w:val="-1"/>
        </w:rPr>
        <w:t> </w:t>
      </w:r>
      <w:r>
        <w:rPr/>
        <w:t>модифицированная</w:t>
      </w:r>
      <w:r>
        <w:rPr>
          <w:spacing w:val="-1"/>
        </w:rPr>
        <w:t> </w:t>
      </w:r>
      <w:r>
        <w:rPr/>
        <w:t>версия,</w:t>
      </w:r>
      <w:r>
        <w:rPr>
          <w:spacing w:val="-1"/>
        </w:rPr>
        <w:t> </w:t>
      </w:r>
      <w:r>
        <w:rPr/>
        <w:t>обогащенная</w:t>
      </w:r>
      <w:r>
        <w:rPr>
          <w:spacing w:val="-1"/>
        </w:rPr>
        <w:t> </w:t>
      </w:r>
      <w:r>
        <w:rPr/>
        <w:t>педагогическими</w:t>
      </w:r>
      <w:r>
        <w:rPr>
          <w:spacing w:val="-1"/>
        </w:rPr>
        <w:t> </w:t>
      </w:r>
      <w:r>
        <w:rPr/>
        <w:t>техниками</w:t>
      </w:r>
      <w:r>
        <w:rPr>
          <w:spacing w:val="-1"/>
        </w:rPr>
        <w:t> </w:t>
      </w:r>
      <w:r>
        <w:rPr/>
        <w:t>и</w:t>
      </w:r>
      <w:r>
        <w:rPr>
          <w:spacing w:val="-1"/>
        </w:rPr>
        <w:t> </w:t>
      </w:r>
      <w:r>
        <w:rPr/>
        <w:t>допол- нительными поддерживающими инструментами работы с детьми. Программа соот- ветствует Федеральному государственному образовательному стандарту.</w:t>
      </w:r>
    </w:p>
    <w:p>
      <w:pPr>
        <w:pStyle w:val="BodyText"/>
        <w:spacing w:line="247" w:lineRule="auto" w:before="4"/>
      </w:pPr>
      <w:r>
        <w:rPr/>
        <w:t>Методики прошли психолого-педагогическую экспертизу Российской академии образования</w:t>
      </w:r>
      <w:r>
        <w:rPr>
          <w:spacing w:val="-4"/>
        </w:rPr>
        <w:t> </w:t>
      </w:r>
      <w:r>
        <w:rPr/>
        <w:t>(РАО)</w:t>
      </w:r>
      <w:r>
        <w:rPr>
          <w:spacing w:val="-4"/>
        </w:rPr>
        <w:t> </w:t>
      </w:r>
      <w:r>
        <w:rPr/>
        <w:t>и</w:t>
      </w:r>
      <w:r>
        <w:rPr>
          <w:spacing w:val="-4"/>
        </w:rPr>
        <w:t> </w:t>
      </w:r>
      <w:r>
        <w:rPr/>
        <w:t>рекомендованы</w:t>
      </w:r>
      <w:r>
        <w:rPr>
          <w:spacing w:val="-4"/>
        </w:rPr>
        <w:t> </w:t>
      </w:r>
      <w:r>
        <w:rPr/>
        <w:t>к</w:t>
      </w:r>
      <w:r>
        <w:rPr>
          <w:spacing w:val="-4"/>
        </w:rPr>
        <w:t> </w:t>
      </w:r>
      <w:r>
        <w:rPr/>
        <w:t>интеграции</w:t>
      </w:r>
      <w:r>
        <w:rPr>
          <w:spacing w:val="-4"/>
        </w:rPr>
        <w:t> </w:t>
      </w:r>
      <w:r>
        <w:rPr/>
        <w:t>в</w:t>
      </w:r>
      <w:r>
        <w:rPr>
          <w:spacing w:val="-4"/>
        </w:rPr>
        <w:t> </w:t>
      </w:r>
      <w:r>
        <w:rPr/>
        <w:t>систему</w:t>
      </w:r>
      <w:r>
        <w:rPr>
          <w:spacing w:val="-4"/>
        </w:rPr>
        <w:t> </w:t>
      </w:r>
      <w:r>
        <w:rPr/>
        <w:t>дошкольного</w:t>
      </w:r>
      <w:r>
        <w:rPr>
          <w:spacing w:val="-4"/>
        </w:rPr>
        <w:t> </w:t>
      </w:r>
      <w:r>
        <w:rPr/>
        <w:t>и</w:t>
      </w:r>
      <w:r>
        <w:rPr>
          <w:spacing w:val="-4"/>
        </w:rPr>
        <w:t> </w:t>
      </w:r>
      <w:r>
        <w:rPr/>
        <w:t>общего </w:t>
      </w:r>
      <w:r>
        <w:rPr>
          <w:spacing w:val="-2"/>
        </w:rPr>
        <w:t>образования».</w:t>
      </w:r>
    </w:p>
    <w:p>
      <w:pPr>
        <w:pStyle w:val="BodyText"/>
        <w:spacing w:line="247" w:lineRule="auto" w:before="3"/>
        <w:ind w:right="138"/>
      </w:pPr>
      <w:r>
        <w:rPr>
          <w:i/>
        </w:rPr>
        <w:t>Результативность данных. </w:t>
      </w:r>
      <w:r>
        <w:rPr/>
        <w:t>Отдельные исследования эффективности занятий по УМК для детей с опытом миграции не проводились, однако в мировом научном со- обществе существуют разные оттенки мнений о том, как занятия по развитию эмо- ционального интеллекта влияют на культурную адаптацию. Исследователи предпо- лагают, что обучение методам эмоциональной регуляции может быть полезным и необходимым,</w:t>
      </w:r>
      <w:r>
        <w:rPr>
          <w:spacing w:val="-7"/>
        </w:rPr>
        <w:t> </w:t>
      </w:r>
      <w:r>
        <w:rPr/>
        <w:t>чтобы</w:t>
      </w:r>
      <w:r>
        <w:rPr>
          <w:spacing w:val="-7"/>
        </w:rPr>
        <w:t> </w:t>
      </w:r>
      <w:r>
        <w:rPr/>
        <w:t>преодолевать</w:t>
      </w:r>
      <w:r>
        <w:rPr>
          <w:spacing w:val="-7"/>
        </w:rPr>
        <w:t> </w:t>
      </w:r>
      <w:r>
        <w:rPr/>
        <w:t>социальные</w:t>
      </w:r>
      <w:r>
        <w:rPr>
          <w:spacing w:val="-7"/>
        </w:rPr>
        <w:t> </w:t>
      </w:r>
      <w:r>
        <w:rPr/>
        <w:t>препятствия</w:t>
      </w:r>
      <w:r>
        <w:rPr>
          <w:spacing w:val="-7"/>
        </w:rPr>
        <w:t> </w:t>
      </w:r>
      <w:r>
        <w:rPr/>
        <w:t>при</w:t>
      </w:r>
      <w:r>
        <w:rPr>
          <w:spacing w:val="-7"/>
        </w:rPr>
        <w:t> </w:t>
      </w:r>
      <w:r>
        <w:rPr/>
        <w:t>вхождении</w:t>
      </w:r>
      <w:r>
        <w:rPr>
          <w:spacing w:val="-7"/>
        </w:rPr>
        <w:t> </w:t>
      </w:r>
      <w:r>
        <w:rPr/>
        <w:t>в</w:t>
      </w:r>
      <w:r>
        <w:rPr>
          <w:spacing w:val="-7"/>
        </w:rPr>
        <w:t> </w:t>
      </w:r>
      <w:r>
        <w:rPr/>
        <w:t>новую культуру</w:t>
      </w:r>
      <w:r>
        <w:rPr>
          <w:spacing w:val="-2"/>
        </w:rPr>
        <w:t> </w:t>
      </w:r>
      <w:r>
        <w:rPr/>
        <w:t>(Peña-Acuña</w:t>
      </w:r>
      <w:r>
        <w:rPr>
          <w:spacing w:val="-2"/>
        </w:rPr>
        <w:t> </w:t>
      </w:r>
      <w:r>
        <w:rPr/>
        <w:t>B.,</w:t>
      </w:r>
      <w:r>
        <w:rPr>
          <w:spacing w:val="-2"/>
        </w:rPr>
        <w:t> </w:t>
      </w:r>
      <w:r>
        <w:rPr/>
        <w:t>Pisonero,</w:t>
      </w:r>
      <w:r>
        <w:rPr>
          <w:spacing w:val="-2"/>
        </w:rPr>
        <w:t> </w:t>
      </w:r>
      <w:r>
        <w:rPr/>
        <w:t>2017).</w:t>
      </w:r>
      <w:r>
        <w:rPr>
          <w:spacing w:val="-2"/>
        </w:rPr>
        <w:t> </w:t>
      </w:r>
      <w:r>
        <w:rPr/>
        <w:t>Излишнее</w:t>
      </w:r>
      <w:r>
        <w:rPr>
          <w:spacing w:val="-2"/>
        </w:rPr>
        <w:t> </w:t>
      </w:r>
      <w:r>
        <w:rPr/>
        <w:t>внимание</w:t>
      </w:r>
      <w:r>
        <w:rPr>
          <w:spacing w:val="-2"/>
        </w:rPr>
        <w:t> </w:t>
      </w:r>
      <w:r>
        <w:rPr/>
        <w:t>к</w:t>
      </w:r>
      <w:r>
        <w:rPr>
          <w:spacing w:val="-2"/>
        </w:rPr>
        <w:t> </w:t>
      </w:r>
      <w:r>
        <w:rPr/>
        <w:t>эмоциям</w:t>
      </w:r>
      <w:r>
        <w:rPr>
          <w:spacing w:val="-2"/>
        </w:rPr>
        <w:t> </w:t>
      </w:r>
      <w:r>
        <w:rPr/>
        <w:t>и</w:t>
      </w:r>
      <w:r>
        <w:rPr>
          <w:spacing w:val="-2"/>
        </w:rPr>
        <w:t> </w:t>
      </w:r>
      <w:r>
        <w:rPr/>
        <w:t>чувствам может спровоцировать усиление дистресса, возникающего вследствие миграции (Jamieson</w:t>
      </w:r>
      <w:r>
        <w:rPr>
          <w:spacing w:val="-8"/>
        </w:rPr>
        <w:t> </w:t>
      </w:r>
      <w:r>
        <w:rPr/>
        <w:t>et</w:t>
      </w:r>
      <w:r>
        <w:rPr>
          <w:spacing w:val="-8"/>
        </w:rPr>
        <w:t> </w:t>
      </w:r>
      <w:r>
        <w:rPr/>
        <w:t>al.,</w:t>
      </w:r>
      <w:r>
        <w:rPr>
          <w:spacing w:val="-8"/>
        </w:rPr>
        <w:t> </w:t>
      </w:r>
      <w:r>
        <w:rPr/>
        <w:t>2013),</w:t>
      </w:r>
      <w:r>
        <w:rPr>
          <w:spacing w:val="-8"/>
        </w:rPr>
        <w:t> </w:t>
      </w:r>
      <w:r>
        <w:rPr/>
        <w:t>однако</w:t>
      </w:r>
      <w:r>
        <w:rPr>
          <w:spacing w:val="-8"/>
        </w:rPr>
        <w:t> </w:t>
      </w:r>
      <w:r>
        <w:rPr/>
        <w:t>обучение</w:t>
      </w:r>
      <w:r>
        <w:rPr>
          <w:spacing w:val="-8"/>
        </w:rPr>
        <w:t> </w:t>
      </w:r>
      <w:r>
        <w:rPr/>
        <w:t>тому,</w:t>
      </w:r>
      <w:r>
        <w:rPr>
          <w:spacing w:val="-8"/>
        </w:rPr>
        <w:t> </w:t>
      </w:r>
      <w:r>
        <w:rPr/>
        <w:t>как</w:t>
      </w:r>
      <w:r>
        <w:rPr>
          <w:spacing w:val="-8"/>
        </w:rPr>
        <w:t> </w:t>
      </w:r>
      <w:r>
        <w:rPr/>
        <w:t>регулировать</w:t>
      </w:r>
      <w:r>
        <w:rPr>
          <w:spacing w:val="-8"/>
        </w:rPr>
        <w:t> </w:t>
      </w:r>
      <w:r>
        <w:rPr/>
        <w:t>эмоции</w:t>
      </w:r>
      <w:r>
        <w:rPr>
          <w:spacing w:val="-8"/>
        </w:rPr>
        <w:t> </w:t>
      </w:r>
      <w:r>
        <w:rPr/>
        <w:t>и</w:t>
      </w:r>
      <w:r>
        <w:rPr>
          <w:spacing w:val="-8"/>
        </w:rPr>
        <w:t> </w:t>
      </w:r>
      <w:r>
        <w:rPr/>
        <w:t>справляться с негативными переживаниями, в итоге влияет на более успешную адаптацию к но- вым культурным реалиям (Larsen, Prizmic, 2008). Психологические последствия ми- грационного</w:t>
      </w:r>
      <w:r>
        <w:rPr>
          <w:spacing w:val="-1"/>
        </w:rPr>
        <w:t> </w:t>
      </w:r>
      <w:r>
        <w:rPr/>
        <w:t>стресса</w:t>
      </w:r>
      <w:r>
        <w:rPr>
          <w:spacing w:val="-1"/>
        </w:rPr>
        <w:t> </w:t>
      </w:r>
      <w:r>
        <w:rPr/>
        <w:t>и</w:t>
      </w:r>
      <w:r>
        <w:rPr>
          <w:spacing w:val="-1"/>
        </w:rPr>
        <w:t> </w:t>
      </w:r>
      <w:r>
        <w:rPr/>
        <w:t>работы</w:t>
      </w:r>
      <w:r>
        <w:rPr>
          <w:spacing w:val="-1"/>
        </w:rPr>
        <w:t> </w:t>
      </w:r>
      <w:r>
        <w:rPr/>
        <w:t>с</w:t>
      </w:r>
      <w:r>
        <w:rPr>
          <w:spacing w:val="-1"/>
        </w:rPr>
        <w:t> </w:t>
      </w:r>
      <w:r>
        <w:rPr/>
        <w:t>эмоциональным</w:t>
      </w:r>
      <w:r>
        <w:rPr>
          <w:spacing w:val="-1"/>
        </w:rPr>
        <w:t> </w:t>
      </w:r>
      <w:r>
        <w:rPr/>
        <w:t>благополучием</w:t>
      </w:r>
      <w:r>
        <w:rPr>
          <w:spacing w:val="-1"/>
        </w:rPr>
        <w:t> </w:t>
      </w:r>
      <w:r>
        <w:rPr/>
        <w:t>имеют</w:t>
      </w:r>
      <w:r>
        <w:rPr>
          <w:spacing w:val="-1"/>
        </w:rPr>
        <w:t> </w:t>
      </w:r>
      <w:r>
        <w:rPr/>
        <w:t>отложенный эффект</w:t>
      </w:r>
      <w:r>
        <w:rPr>
          <w:spacing w:val="-8"/>
        </w:rPr>
        <w:t> </w:t>
      </w:r>
      <w:r>
        <w:rPr/>
        <w:t>и</w:t>
      </w:r>
      <w:r>
        <w:rPr>
          <w:spacing w:val="-8"/>
        </w:rPr>
        <w:t> </w:t>
      </w:r>
      <w:r>
        <w:rPr/>
        <w:t>могут</w:t>
      </w:r>
      <w:r>
        <w:rPr>
          <w:spacing w:val="-8"/>
        </w:rPr>
        <w:t> </w:t>
      </w:r>
      <w:r>
        <w:rPr/>
        <w:t>проявляться</w:t>
      </w:r>
      <w:r>
        <w:rPr>
          <w:spacing w:val="-8"/>
        </w:rPr>
        <w:t> </w:t>
      </w:r>
      <w:r>
        <w:rPr/>
        <w:t>спустя</w:t>
      </w:r>
      <w:r>
        <w:rPr>
          <w:spacing w:val="-8"/>
        </w:rPr>
        <w:t> </w:t>
      </w:r>
      <w:r>
        <w:rPr/>
        <w:t>год</w:t>
      </w:r>
      <w:r>
        <w:rPr>
          <w:spacing w:val="-8"/>
        </w:rPr>
        <w:t> </w:t>
      </w:r>
      <w:r>
        <w:rPr/>
        <w:t>и</w:t>
      </w:r>
      <w:r>
        <w:rPr>
          <w:spacing w:val="-8"/>
        </w:rPr>
        <w:t> </w:t>
      </w:r>
      <w:r>
        <w:rPr/>
        <w:t>более</w:t>
      </w:r>
      <w:r>
        <w:rPr>
          <w:spacing w:val="-8"/>
        </w:rPr>
        <w:t> </w:t>
      </w:r>
      <w:r>
        <w:rPr/>
        <w:t>после</w:t>
      </w:r>
      <w:r>
        <w:rPr>
          <w:spacing w:val="-8"/>
        </w:rPr>
        <w:t> </w:t>
      </w:r>
      <w:r>
        <w:rPr/>
        <w:t>переезда</w:t>
      </w:r>
      <w:r>
        <w:rPr>
          <w:spacing w:val="-8"/>
        </w:rPr>
        <w:t> </w:t>
      </w:r>
      <w:r>
        <w:rPr/>
        <w:t>(González-Castro</w:t>
      </w:r>
      <w:r>
        <w:rPr>
          <w:spacing w:val="-8"/>
        </w:rPr>
        <w:t> </w:t>
      </w:r>
      <w:r>
        <w:rPr/>
        <w:t>et</w:t>
      </w:r>
      <w:r>
        <w:rPr>
          <w:spacing w:val="-8"/>
        </w:rPr>
        <w:t> </w:t>
      </w:r>
      <w:r>
        <w:rPr/>
        <w:t>al., 2020),</w:t>
      </w:r>
      <w:r>
        <w:rPr>
          <w:spacing w:val="-12"/>
        </w:rPr>
        <w:t> </w:t>
      </w:r>
      <w:r>
        <w:rPr/>
        <w:t>что</w:t>
      </w:r>
      <w:r>
        <w:rPr>
          <w:spacing w:val="-12"/>
        </w:rPr>
        <w:t> </w:t>
      </w:r>
      <w:r>
        <w:rPr/>
        <w:t>приводит</w:t>
      </w:r>
      <w:r>
        <w:rPr>
          <w:spacing w:val="-12"/>
        </w:rPr>
        <w:t> </w:t>
      </w:r>
      <w:r>
        <w:rPr/>
        <w:t>к</w:t>
      </w:r>
      <w:r>
        <w:rPr>
          <w:spacing w:val="-12"/>
        </w:rPr>
        <w:t> </w:t>
      </w:r>
      <w:r>
        <w:rPr/>
        <w:t>выводу</w:t>
      </w:r>
      <w:r>
        <w:rPr>
          <w:spacing w:val="-12"/>
        </w:rPr>
        <w:t> </w:t>
      </w:r>
      <w:r>
        <w:rPr/>
        <w:t>об</w:t>
      </w:r>
      <w:r>
        <w:rPr>
          <w:spacing w:val="-12"/>
        </w:rPr>
        <w:t> </w:t>
      </w:r>
      <w:r>
        <w:rPr/>
        <w:t>эффективности</w:t>
      </w:r>
      <w:r>
        <w:rPr>
          <w:spacing w:val="-12"/>
        </w:rPr>
        <w:t> </w:t>
      </w:r>
      <w:r>
        <w:rPr/>
        <w:t>продолжительной</w:t>
      </w:r>
      <w:r>
        <w:rPr>
          <w:spacing w:val="-12"/>
        </w:rPr>
        <w:t> </w:t>
      </w:r>
      <w:r>
        <w:rPr/>
        <w:t>и</w:t>
      </w:r>
      <w:r>
        <w:rPr>
          <w:spacing w:val="-12"/>
        </w:rPr>
        <w:t> </w:t>
      </w:r>
      <w:r>
        <w:rPr/>
        <w:t>системной</w:t>
      </w:r>
      <w:r>
        <w:rPr>
          <w:spacing w:val="-12"/>
        </w:rPr>
        <w:t> </w:t>
      </w:r>
      <w:r>
        <w:rPr/>
        <w:t>рабо- ты</w:t>
      </w:r>
      <w:r>
        <w:rPr>
          <w:spacing w:val="-11"/>
        </w:rPr>
        <w:t> </w:t>
      </w:r>
      <w:r>
        <w:rPr/>
        <w:t>с</w:t>
      </w:r>
      <w:r>
        <w:rPr>
          <w:spacing w:val="-11"/>
        </w:rPr>
        <w:t> </w:t>
      </w:r>
      <w:r>
        <w:rPr/>
        <w:t>детьми</w:t>
      </w:r>
      <w:r>
        <w:rPr>
          <w:spacing w:val="-11"/>
        </w:rPr>
        <w:t> </w:t>
      </w:r>
      <w:r>
        <w:rPr/>
        <w:t>с</w:t>
      </w:r>
      <w:r>
        <w:rPr>
          <w:spacing w:val="-11"/>
        </w:rPr>
        <w:t> </w:t>
      </w:r>
      <w:r>
        <w:rPr/>
        <w:t>миграционным</w:t>
      </w:r>
      <w:r>
        <w:rPr>
          <w:spacing w:val="-11"/>
        </w:rPr>
        <w:t> </w:t>
      </w:r>
      <w:r>
        <w:rPr/>
        <w:t>опытом</w:t>
      </w:r>
      <w:r>
        <w:rPr>
          <w:spacing w:val="-11"/>
        </w:rPr>
        <w:t> </w:t>
      </w:r>
      <w:r>
        <w:rPr/>
        <w:t>в</w:t>
      </w:r>
      <w:r>
        <w:rPr>
          <w:spacing w:val="-11"/>
        </w:rPr>
        <w:t> </w:t>
      </w:r>
      <w:r>
        <w:rPr/>
        <w:t>области</w:t>
      </w:r>
      <w:r>
        <w:rPr>
          <w:spacing w:val="-11"/>
        </w:rPr>
        <w:t> </w:t>
      </w:r>
      <w:r>
        <w:rPr/>
        <w:t>социально-эмоционального</w:t>
      </w:r>
      <w:r>
        <w:rPr>
          <w:spacing w:val="-10"/>
        </w:rPr>
        <w:t> </w:t>
      </w:r>
      <w:r>
        <w:rPr>
          <w:spacing w:val="-2"/>
        </w:rPr>
        <w:t>развития.</w:t>
      </w:r>
    </w:p>
    <w:p>
      <w:pPr>
        <w:spacing w:before="133"/>
        <w:ind w:left="425" w:right="0" w:firstLine="0"/>
        <w:jc w:val="left"/>
        <w:rPr>
          <w:b/>
          <w:sz w:val="18"/>
        </w:rPr>
      </w:pPr>
      <w:r>
        <w:rPr>
          <w:b/>
          <w:color w:val="231F20"/>
          <w:spacing w:val="-2"/>
          <w:sz w:val="18"/>
        </w:rPr>
        <w:t>Литература</w:t>
      </w:r>
    </w:p>
    <w:p>
      <w:pPr>
        <w:spacing w:before="15"/>
        <w:ind w:left="425" w:right="0" w:firstLine="0"/>
        <w:jc w:val="left"/>
        <w:rPr>
          <w:i/>
          <w:sz w:val="18"/>
        </w:rPr>
      </w:pPr>
      <w:r>
        <w:rPr>
          <w:i/>
          <w:color w:val="231F20"/>
          <w:sz w:val="18"/>
        </w:rPr>
        <w:t>Рекомендации</w:t>
      </w:r>
      <w:r>
        <w:rPr>
          <w:i/>
          <w:color w:val="231F20"/>
          <w:spacing w:val="-10"/>
          <w:sz w:val="18"/>
        </w:rPr>
        <w:t> </w:t>
      </w:r>
      <w:r>
        <w:rPr>
          <w:i/>
          <w:color w:val="231F20"/>
          <w:sz w:val="18"/>
        </w:rPr>
        <w:t>от</w:t>
      </w:r>
      <w:r>
        <w:rPr>
          <w:i/>
          <w:color w:val="231F20"/>
          <w:spacing w:val="-10"/>
          <w:sz w:val="18"/>
        </w:rPr>
        <w:t> </w:t>
      </w:r>
      <w:r>
        <w:rPr>
          <w:i/>
          <w:color w:val="231F20"/>
          <w:sz w:val="18"/>
        </w:rPr>
        <w:t>создателей</w:t>
      </w:r>
      <w:r>
        <w:rPr>
          <w:i/>
          <w:color w:val="231F20"/>
          <w:spacing w:val="-9"/>
          <w:sz w:val="18"/>
        </w:rPr>
        <w:t> </w:t>
      </w:r>
      <w:r>
        <w:rPr>
          <w:i/>
          <w:color w:val="231F20"/>
          <w:sz w:val="18"/>
        </w:rPr>
        <w:t>УМК</w:t>
      </w:r>
      <w:r>
        <w:rPr>
          <w:i/>
          <w:color w:val="231F20"/>
          <w:spacing w:val="-10"/>
          <w:sz w:val="18"/>
        </w:rPr>
        <w:t> </w:t>
      </w:r>
      <w:r>
        <w:rPr>
          <w:i/>
          <w:color w:val="231F20"/>
          <w:sz w:val="18"/>
        </w:rPr>
        <w:t>«Школа</w:t>
      </w:r>
      <w:r>
        <w:rPr>
          <w:i/>
          <w:color w:val="231F20"/>
          <w:spacing w:val="-9"/>
          <w:sz w:val="18"/>
        </w:rPr>
        <w:t> </w:t>
      </w:r>
      <w:r>
        <w:rPr>
          <w:i/>
          <w:color w:val="231F20"/>
          <w:spacing w:val="-2"/>
          <w:sz w:val="18"/>
        </w:rPr>
        <w:t>возможностей»</w:t>
      </w:r>
    </w:p>
    <w:p>
      <w:pPr>
        <w:pStyle w:val="ListParagraph"/>
        <w:numPr>
          <w:ilvl w:val="0"/>
          <w:numId w:val="124"/>
        </w:numPr>
        <w:tabs>
          <w:tab w:pos="708" w:val="left" w:leader="none"/>
        </w:tabs>
        <w:spacing w:line="256" w:lineRule="auto" w:before="15" w:after="0"/>
        <w:ind w:left="708" w:right="422" w:hanging="284"/>
        <w:jc w:val="left"/>
        <w:rPr>
          <w:sz w:val="18"/>
        </w:rPr>
      </w:pPr>
      <w:r>
        <w:rPr>
          <w:color w:val="231F20"/>
          <w:sz w:val="18"/>
        </w:rPr>
        <w:t>Андреева</w:t>
      </w:r>
      <w:r>
        <w:rPr>
          <w:color w:val="231F20"/>
          <w:spacing w:val="-12"/>
          <w:sz w:val="18"/>
        </w:rPr>
        <w:t> </w:t>
      </w:r>
      <w:r>
        <w:rPr>
          <w:color w:val="231F20"/>
          <w:sz w:val="18"/>
        </w:rPr>
        <w:t>И.Н.</w:t>
      </w:r>
      <w:r>
        <w:rPr>
          <w:color w:val="231F20"/>
          <w:spacing w:val="-11"/>
          <w:sz w:val="18"/>
        </w:rPr>
        <w:t> </w:t>
      </w:r>
      <w:r>
        <w:rPr>
          <w:color w:val="231F20"/>
          <w:sz w:val="18"/>
        </w:rPr>
        <w:t>Азбука</w:t>
      </w:r>
      <w:r>
        <w:rPr>
          <w:color w:val="231F20"/>
          <w:spacing w:val="-11"/>
          <w:sz w:val="18"/>
        </w:rPr>
        <w:t> </w:t>
      </w:r>
      <w:r>
        <w:rPr>
          <w:color w:val="231F20"/>
          <w:sz w:val="18"/>
        </w:rPr>
        <w:t>эмоционального</w:t>
      </w:r>
      <w:r>
        <w:rPr>
          <w:color w:val="231F20"/>
          <w:spacing w:val="-11"/>
          <w:sz w:val="18"/>
        </w:rPr>
        <w:t> </w:t>
      </w:r>
      <w:r>
        <w:rPr>
          <w:color w:val="231F20"/>
          <w:sz w:val="18"/>
        </w:rPr>
        <w:t>интеллекта.</w:t>
      </w:r>
      <w:r>
        <w:rPr>
          <w:color w:val="231F20"/>
          <w:spacing w:val="-12"/>
          <w:sz w:val="18"/>
        </w:rPr>
        <w:t> </w:t>
      </w:r>
      <w:r>
        <w:rPr>
          <w:color w:val="231F20"/>
          <w:sz w:val="18"/>
        </w:rPr>
        <w:t>–</w:t>
      </w:r>
      <w:r>
        <w:rPr>
          <w:color w:val="231F20"/>
          <w:spacing w:val="-11"/>
          <w:sz w:val="18"/>
        </w:rPr>
        <w:t> </w:t>
      </w:r>
      <w:r>
        <w:rPr>
          <w:color w:val="231F20"/>
          <w:sz w:val="18"/>
        </w:rPr>
        <w:t>СПб.:</w:t>
      </w:r>
      <w:r>
        <w:rPr>
          <w:color w:val="231F20"/>
          <w:spacing w:val="-11"/>
          <w:sz w:val="18"/>
        </w:rPr>
        <w:t> </w:t>
      </w:r>
      <w:r>
        <w:rPr>
          <w:color w:val="231F20"/>
          <w:sz w:val="18"/>
        </w:rPr>
        <w:t>БХВ-Петербург,</w:t>
      </w:r>
      <w:r>
        <w:rPr>
          <w:color w:val="231F20"/>
          <w:spacing w:val="-11"/>
          <w:sz w:val="18"/>
        </w:rPr>
        <w:t> </w:t>
      </w:r>
      <w:r>
        <w:rPr>
          <w:color w:val="231F20"/>
          <w:sz w:val="18"/>
        </w:rPr>
        <w:t>2012.</w:t>
      </w:r>
      <w:r>
        <w:rPr>
          <w:color w:val="231F20"/>
          <w:spacing w:val="-12"/>
          <w:sz w:val="18"/>
        </w:rPr>
        <w:t> </w:t>
      </w:r>
      <w:r>
        <w:rPr>
          <w:color w:val="231F20"/>
          <w:sz w:val="18"/>
        </w:rPr>
        <w:t>– 28 с.</w:t>
      </w:r>
    </w:p>
    <w:p>
      <w:pPr>
        <w:pStyle w:val="ListParagraph"/>
        <w:numPr>
          <w:ilvl w:val="0"/>
          <w:numId w:val="124"/>
        </w:numPr>
        <w:tabs>
          <w:tab w:pos="708" w:val="left" w:leader="none"/>
        </w:tabs>
        <w:spacing w:line="240" w:lineRule="auto" w:before="1" w:after="0"/>
        <w:ind w:left="708" w:right="0" w:hanging="283"/>
        <w:jc w:val="left"/>
        <w:rPr>
          <w:sz w:val="18"/>
        </w:rPr>
      </w:pPr>
      <w:r>
        <w:rPr>
          <w:color w:val="231F20"/>
          <w:sz w:val="18"/>
        </w:rPr>
        <w:t>Бернс</w:t>
      </w:r>
      <w:r>
        <w:rPr>
          <w:color w:val="231F20"/>
          <w:spacing w:val="-5"/>
          <w:sz w:val="18"/>
        </w:rPr>
        <w:t> </w:t>
      </w:r>
      <w:r>
        <w:rPr>
          <w:color w:val="231F20"/>
          <w:sz w:val="18"/>
        </w:rPr>
        <w:t>Р.</w:t>
      </w:r>
      <w:r>
        <w:rPr>
          <w:color w:val="231F20"/>
          <w:spacing w:val="-2"/>
          <w:sz w:val="18"/>
        </w:rPr>
        <w:t> </w:t>
      </w:r>
      <w:r>
        <w:rPr>
          <w:color w:val="231F20"/>
          <w:sz w:val="18"/>
        </w:rPr>
        <w:t>Я-концепция</w:t>
      </w:r>
      <w:r>
        <w:rPr>
          <w:color w:val="231F20"/>
          <w:spacing w:val="-2"/>
          <w:sz w:val="18"/>
        </w:rPr>
        <w:t> </w:t>
      </w:r>
      <w:r>
        <w:rPr>
          <w:color w:val="231F20"/>
          <w:sz w:val="18"/>
        </w:rPr>
        <w:t>и</w:t>
      </w:r>
      <w:r>
        <w:rPr>
          <w:color w:val="231F20"/>
          <w:spacing w:val="-4"/>
          <w:sz w:val="18"/>
        </w:rPr>
        <w:t> </w:t>
      </w:r>
      <w:r>
        <w:rPr>
          <w:color w:val="231F20"/>
          <w:sz w:val="18"/>
        </w:rPr>
        <w:t>воспитание.</w:t>
      </w:r>
      <w:r>
        <w:rPr>
          <w:color w:val="231F20"/>
          <w:spacing w:val="-2"/>
          <w:sz w:val="18"/>
        </w:rPr>
        <w:t> </w:t>
      </w:r>
      <w:r>
        <w:rPr>
          <w:color w:val="231F20"/>
          <w:sz w:val="18"/>
        </w:rPr>
        <w:t>–</w:t>
      </w:r>
      <w:r>
        <w:rPr>
          <w:color w:val="231F20"/>
          <w:spacing w:val="-2"/>
          <w:sz w:val="18"/>
        </w:rPr>
        <w:t> </w:t>
      </w:r>
      <w:r>
        <w:rPr>
          <w:color w:val="231F20"/>
          <w:sz w:val="18"/>
        </w:rPr>
        <w:t>М.:</w:t>
      </w:r>
      <w:r>
        <w:rPr>
          <w:color w:val="231F20"/>
          <w:spacing w:val="-2"/>
          <w:sz w:val="18"/>
        </w:rPr>
        <w:t> </w:t>
      </w:r>
      <w:r>
        <w:rPr>
          <w:color w:val="231F20"/>
          <w:sz w:val="18"/>
        </w:rPr>
        <w:t>Прогресс,</w:t>
      </w:r>
      <w:r>
        <w:rPr>
          <w:color w:val="231F20"/>
          <w:spacing w:val="-3"/>
          <w:sz w:val="18"/>
        </w:rPr>
        <w:t> </w:t>
      </w:r>
      <w:r>
        <w:rPr>
          <w:color w:val="231F20"/>
          <w:sz w:val="18"/>
        </w:rPr>
        <w:t>1986.</w:t>
      </w:r>
      <w:r>
        <w:rPr>
          <w:color w:val="231F20"/>
          <w:spacing w:val="-2"/>
          <w:sz w:val="18"/>
        </w:rPr>
        <w:t> </w:t>
      </w:r>
      <w:r>
        <w:rPr>
          <w:color w:val="231F20"/>
          <w:sz w:val="18"/>
        </w:rPr>
        <w:t>–</w:t>
      </w:r>
      <w:r>
        <w:rPr>
          <w:color w:val="231F20"/>
          <w:spacing w:val="-2"/>
          <w:sz w:val="18"/>
        </w:rPr>
        <w:t> </w:t>
      </w:r>
      <w:r>
        <w:rPr>
          <w:color w:val="231F20"/>
          <w:sz w:val="18"/>
        </w:rPr>
        <w:t>36</w:t>
      </w:r>
      <w:r>
        <w:rPr>
          <w:color w:val="231F20"/>
          <w:spacing w:val="-2"/>
          <w:sz w:val="18"/>
        </w:rPr>
        <w:t> </w:t>
      </w:r>
      <w:r>
        <w:rPr>
          <w:color w:val="231F20"/>
          <w:spacing w:val="-5"/>
          <w:sz w:val="18"/>
        </w:rPr>
        <w:t>с.</w:t>
      </w:r>
    </w:p>
    <w:p>
      <w:pPr>
        <w:pStyle w:val="ListParagraph"/>
        <w:numPr>
          <w:ilvl w:val="0"/>
          <w:numId w:val="124"/>
        </w:numPr>
        <w:tabs>
          <w:tab w:pos="708" w:val="left" w:leader="none"/>
        </w:tabs>
        <w:spacing w:line="256" w:lineRule="auto" w:before="15" w:after="0"/>
        <w:ind w:left="708" w:right="422" w:hanging="284"/>
        <w:jc w:val="left"/>
        <w:rPr>
          <w:sz w:val="18"/>
        </w:rPr>
      </w:pPr>
      <w:r>
        <w:rPr>
          <w:color w:val="231F20"/>
          <w:sz w:val="18"/>
        </w:rPr>
        <w:t>Божович Л.И. Личность и ее формирование в детском возрасте: психологическое исследование – М.: Просвещение, 1968. – 398 с.</w:t>
      </w:r>
    </w:p>
    <w:p>
      <w:pPr>
        <w:pStyle w:val="ListParagraph"/>
        <w:numPr>
          <w:ilvl w:val="0"/>
          <w:numId w:val="124"/>
        </w:numPr>
        <w:tabs>
          <w:tab w:pos="708" w:val="left" w:leader="none"/>
        </w:tabs>
        <w:spacing w:line="256" w:lineRule="auto" w:before="1" w:after="0"/>
        <w:ind w:left="708" w:right="422" w:hanging="284"/>
        <w:jc w:val="left"/>
        <w:rPr>
          <w:sz w:val="18"/>
        </w:rPr>
      </w:pPr>
      <w:r>
        <w:rPr>
          <w:color w:val="231F20"/>
          <w:sz w:val="18"/>
        </w:rPr>
        <w:t>Выготский</w:t>
      </w:r>
      <w:r>
        <w:rPr>
          <w:color w:val="231F20"/>
          <w:spacing w:val="-5"/>
          <w:sz w:val="18"/>
        </w:rPr>
        <w:t> </w:t>
      </w:r>
      <w:r>
        <w:rPr>
          <w:color w:val="231F20"/>
          <w:sz w:val="18"/>
        </w:rPr>
        <w:t>Л.С.</w:t>
      </w:r>
      <w:r>
        <w:rPr>
          <w:color w:val="231F20"/>
          <w:spacing w:val="40"/>
          <w:sz w:val="18"/>
        </w:rPr>
        <w:t> </w:t>
      </w:r>
      <w:r>
        <w:rPr>
          <w:color w:val="231F20"/>
          <w:sz w:val="18"/>
        </w:rPr>
        <w:t>Учение</w:t>
      </w:r>
      <w:r>
        <w:rPr>
          <w:color w:val="231F20"/>
          <w:spacing w:val="40"/>
          <w:sz w:val="18"/>
        </w:rPr>
        <w:t> </w:t>
      </w:r>
      <w:r>
        <w:rPr>
          <w:color w:val="231F20"/>
          <w:sz w:val="18"/>
        </w:rPr>
        <w:t>об</w:t>
      </w:r>
      <w:r>
        <w:rPr>
          <w:color w:val="231F20"/>
          <w:spacing w:val="40"/>
          <w:sz w:val="18"/>
        </w:rPr>
        <w:t> </w:t>
      </w:r>
      <w:r>
        <w:rPr>
          <w:color w:val="231F20"/>
          <w:sz w:val="18"/>
        </w:rPr>
        <w:t>эмоциях:</w:t>
      </w:r>
      <w:r>
        <w:rPr>
          <w:color w:val="231F20"/>
          <w:spacing w:val="40"/>
          <w:sz w:val="18"/>
        </w:rPr>
        <w:t> </w:t>
      </w:r>
      <w:r>
        <w:rPr>
          <w:color w:val="231F20"/>
          <w:sz w:val="18"/>
        </w:rPr>
        <w:t>историко-психологическое</w:t>
      </w:r>
      <w:r>
        <w:rPr>
          <w:color w:val="231F20"/>
          <w:spacing w:val="40"/>
          <w:sz w:val="18"/>
        </w:rPr>
        <w:t> </w:t>
      </w:r>
      <w:r>
        <w:rPr>
          <w:color w:val="231F20"/>
          <w:sz w:val="18"/>
        </w:rPr>
        <w:t>исследование: собр. соч. в 6 т. Т. 6. – М.: Педагогика, 1984. – 399 с.</w:t>
      </w:r>
    </w:p>
    <w:p>
      <w:pPr>
        <w:pStyle w:val="ListParagraph"/>
        <w:numPr>
          <w:ilvl w:val="0"/>
          <w:numId w:val="124"/>
        </w:numPr>
        <w:tabs>
          <w:tab w:pos="708" w:val="left" w:leader="none"/>
        </w:tabs>
        <w:spacing w:line="256" w:lineRule="auto" w:before="1" w:after="0"/>
        <w:ind w:left="708" w:right="423" w:hanging="284"/>
        <w:jc w:val="left"/>
        <w:rPr>
          <w:sz w:val="18"/>
        </w:rPr>
      </w:pPr>
      <w:r>
        <w:rPr>
          <w:color w:val="231F20"/>
          <w:spacing w:val="-2"/>
          <w:sz w:val="18"/>
        </w:rPr>
        <w:t>Гендерная</w:t>
      </w:r>
      <w:r>
        <w:rPr>
          <w:color w:val="231F20"/>
          <w:spacing w:val="-15"/>
          <w:sz w:val="18"/>
        </w:rPr>
        <w:t> </w:t>
      </w:r>
      <w:r>
        <w:rPr>
          <w:color w:val="231F20"/>
          <w:spacing w:val="-2"/>
          <w:sz w:val="18"/>
        </w:rPr>
        <w:t>психология</w:t>
      </w:r>
      <w:r>
        <w:rPr>
          <w:color w:val="231F20"/>
          <w:spacing w:val="-15"/>
          <w:sz w:val="18"/>
        </w:rPr>
        <w:t> </w:t>
      </w:r>
      <w:r>
        <w:rPr>
          <w:color w:val="231F20"/>
          <w:spacing w:val="-2"/>
          <w:sz w:val="18"/>
        </w:rPr>
        <w:t>и</w:t>
      </w:r>
      <w:r>
        <w:rPr>
          <w:color w:val="231F20"/>
          <w:spacing w:val="-15"/>
          <w:sz w:val="18"/>
        </w:rPr>
        <w:t> </w:t>
      </w:r>
      <w:r>
        <w:rPr>
          <w:color w:val="231F20"/>
          <w:spacing w:val="-2"/>
          <w:sz w:val="18"/>
        </w:rPr>
        <w:t>педагогика</w:t>
      </w:r>
      <w:r>
        <w:rPr>
          <w:color w:val="231F20"/>
          <w:spacing w:val="-15"/>
          <w:sz w:val="18"/>
        </w:rPr>
        <w:t> </w:t>
      </w:r>
      <w:r>
        <w:rPr>
          <w:color w:val="231F20"/>
          <w:spacing w:val="-2"/>
          <w:sz w:val="18"/>
        </w:rPr>
        <w:t>/</w:t>
      </w:r>
      <w:r>
        <w:rPr>
          <w:color w:val="231F20"/>
          <w:spacing w:val="-15"/>
          <w:sz w:val="18"/>
        </w:rPr>
        <w:t> </w:t>
      </w:r>
      <w:r>
        <w:rPr>
          <w:color w:val="231F20"/>
          <w:spacing w:val="-2"/>
          <w:sz w:val="18"/>
        </w:rPr>
        <w:t>Под</w:t>
      </w:r>
      <w:r>
        <w:rPr>
          <w:color w:val="231F20"/>
          <w:spacing w:val="-15"/>
          <w:sz w:val="18"/>
        </w:rPr>
        <w:t> </w:t>
      </w:r>
      <w:r>
        <w:rPr>
          <w:color w:val="231F20"/>
          <w:spacing w:val="-2"/>
          <w:sz w:val="18"/>
        </w:rPr>
        <w:t>общ.</w:t>
      </w:r>
      <w:r>
        <w:rPr>
          <w:color w:val="231F20"/>
          <w:spacing w:val="-15"/>
          <w:sz w:val="18"/>
        </w:rPr>
        <w:t> </w:t>
      </w:r>
      <w:r>
        <w:rPr>
          <w:color w:val="231F20"/>
          <w:spacing w:val="-2"/>
          <w:sz w:val="18"/>
        </w:rPr>
        <w:t>ред.</w:t>
      </w:r>
      <w:r>
        <w:rPr>
          <w:color w:val="231F20"/>
          <w:spacing w:val="-15"/>
          <w:sz w:val="18"/>
        </w:rPr>
        <w:t> </w:t>
      </w:r>
      <w:r>
        <w:rPr>
          <w:color w:val="231F20"/>
          <w:spacing w:val="-2"/>
          <w:sz w:val="18"/>
        </w:rPr>
        <w:t>О.И.</w:t>
      </w:r>
      <w:r>
        <w:rPr>
          <w:color w:val="231F20"/>
          <w:spacing w:val="-15"/>
          <w:sz w:val="18"/>
        </w:rPr>
        <w:t> </w:t>
      </w:r>
      <w:r>
        <w:rPr>
          <w:color w:val="231F20"/>
          <w:spacing w:val="-2"/>
          <w:sz w:val="18"/>
        </w:rPr>
        <w:t>Ключко.</w:t>
      </w:r>
      <w:r>
        <w:rPr>
          <w:color w:val="231F20"/>
          <w:spacing w:val="-15"/>
          <w:sz w:val="18"/>
        </w:rPr>
        <w:t> </w:t>
      </w:r>
      <w:r>
        <w:rPr>
          <w:color w:val="231F20"/>
          <w:spacing w:val="-2"/>
          <w:sz w:val="18"/>
        </w:rPr>
        <w:t>–</w:t>
      </w:r>
      <w:r>
        <w:rPr>
          <w:color w:val="231F20"/>
          <w:spacing w:val="-15"/>
          <w:sz w:val="18"/>
        </w:rPr>
        <w:t> </w:t>
      </w:r>
      <w:r>
        <w:rPr>
          <w:color w:val="231F20"/>
          <w:spacing w:val="-2"/>
          <w:sz w:val="18"/>
        </w:rPr>
        <w:t>М.:</w:t>
      </w:r>
      <w:r>
        <w:rPr>
          <w:color w:val="231F20"/>
          <w:spacing w:val="-15"/>
          <w:sz w:val="18"/>
        </w:rPr>
        <w:t> </w:t>
      </w:r>
      <w:r>
        <w:rPr>
          <w:color w:val="231F20"/>
          <w:spacing w:val="-2"/>
          <w:sz w:val="18"/>
        </w:rPr>
        <w:t>Юрайт,</w:t>
      </w:r>
      <w:r>
        <w:rPr>
          <w:color w:val="231F20"/>
          <w:spacing w:val="-15"/>
          <w:sz w:val="18"/>
        </w:rPr>
        <w:t> </w:t>
      </w:r>
      <w:r>
        <w:rPr>
          <w:color w:val="231F20"/>
          <w:spacing w:val="-2"/>
          <w:sz w:val="18"/>
        </w:rPr>
        <w:t>2018.</w:t>
      </w:r>
      <w:r>
        <w:rPr>
          <w:color w:val="231F20"/>
          <w:spacing w:val="-15"/>
          <w:sz w:val="18"/>
        </w:rPr>
        <w:t> </w:t>
      </w:r>
      <w:r>
        <w:rPr>
          <w:color w:val="231F20"/>
          <w:spacing w:val="-2"/>
          <w:sz w:val="18"/>
        </w:rPr>
        <w:t>– </w:t>
      </w:r>
      <w:r>
        <w:rPr>
          <w:color w:val="231F20"/>
          <w:sz w:val="18"/>
        </w:rPr>
        <w:t>40 с.</w:t>
      </w:r>
    </w:p>
    <w:p>
      <w:pPr>
        <w:pStyle w:val="ListParagraph"/>
        <w:numPr>
          <w:ilvl w:val="0"/>
          <w:numId w:val="124"/>
        </w:numPr>
        <w:tabs>
          <w:tab w:pos="706" w:val="left" w:leader="none"/>
          <w:tab w:pos="708" w:val="left" w:leader="none"/>
        </w:tabs>
        <w:spacing w:line="256" w:lineRule="auto" w:before="1" w:after="0"/>
        <w:ind w:left="708" w:right="423" w:hanging="284"/>
        <w:jc w:val="left"/>
        <w:rPr>
          <w:sz w:val="18"/>
        </w:rPr>
      </w:pPr>
      <w:r>
        <w:rPr>
          <w:color w:val="231F20"/>
          <w:spacing w:val="-2"/>
          <w:sz w:val="18"/>
        </w:rPr>
        <w:t>Запорожец</w:t>
      </w:r>
      <w:r>
        <w:rPr>
          <w:color w:val="231F20"/>
          <w:spacing w:val="-12"/>
          <w:sz w:val="18"/>
        </w:rPr>
        <w:t> </w:t>
      </w:r>
      <w:r>
        <w:rPr>
          <w:color w:val="231F20"/>
          <w:spacing w:val="-2"/>
          <w:sz w:val="18"/>
        </w:rPr>
        <w:t>А.В.</w:t>
      </w:r>
      <w:r>
        <w:rPr>
          <w:color w:val="231F20"/>
          <w:spacing w:val="-12"/>
          <w:sz w:val="18"/>
        </w:rPr>
        <w:t> </w:t>
      </w:r>
      <w:r>
        <w:rPr>
          <w:color w:val="231F20"/>
          <w:spacing w:val="-2"/>
          <w:sz w:val="18"/>
        </w:rPr>
        <w:t>Роль</w:t>
      </w:r>
      <w:r>
        <w:rPr>
          <w:color w:val="231F20"/>
          <w:spacing w:val="-12"/>
          <w:sz w:val="18"/>
        </w:rPr>
        <w:t> </w:t>
      </w:r>
      <w:r>
        <w:rPr>
          <w:color w:val="231F20"/>
          <w:spacing w:val="-2"/>
          <w:sz w:val="18"/>
        </w:rPr>
        <w:t>Л.С.</w:t>
      </w:r>
      <w:r>
        <w:rPr>
          <w:color w:val="231F20"/>
          <w:spacing w:val="-12"/>
          <w:sz w:val="18"/>
        </w:rPr>
        <w:t> </w:t>
      </w:r>
      <w:r>
        <w:rPr>
          <w:color w:val="231F20"/>
          <w:spacing w:val="-2"/>
          <w:sz w:val="18"/>
        </w:rPr>
        <w:t>Выготского</w:t>
      </w:r>
      <w:r>
        <w:rPr>
          <w:color w:val="231F20"/>
          <w:spacing w:val="-12"/>
          <w:sz w:val="18"/>
        </w:rPr>
        <w:t> </w:t>
      </w:r>
      <w:r>
        <w:rPr>
          <w:color w:val="231F20"/>
          <w:spacing w:val="-2"/>
          <w:sz w:val="18"/>
        </w:rPr>
        <w:t>в</w:t>
      </w:r>
      <w:r>
        <w:rPr>
          <w:color w:val="231F20"/>
          <w:spacing w:val="-12"/>
          <w:sz w:val="18"/>
        </w:rPr>
        <w:t> </w:t>
      </w:r>
      <w:r>
        <w:rPr>
          <w:color w:val="231F20"/>
          <w:spacing w:val="-2"/>
          <w:sz w:val="18"/>
        </w:rPr>
        <w:t>разработке</w:t>
      </w:r>
      <w:r>
        <w:rPr>
          <w:color w:val="231F20"/>
          <w:spacing w:val="-12"/>
          <w:sz w:val="18"/>
        </w:rPr>
        <w:t> </w:t>
      </w:r>
      <w:r>
        <w:rPr>
          <w:color w:val="231F20"/>
          <w:spacing w:val="-2"/>
          <w:sz w:val="18"/>
        </w:rPr>
        <w:t>проблемы</w:t>
      </w:r>
      <w:r>
        <w:rPr>
          <w:color w:val="231F20"/>
          <w:spacing w:val="-12"/>
          <w:sz w:val="18"/>
        </w:rPr>
        <w:t> </w:t>
      </w:r>
      <w:r>
        <w:rPr>
          <w:color w:val="231F20"/>
          <w:spacing w:val="-2"/>
          <w:sz w:val="18"/>
        </w:rPr>
        <w:t>эмоций</w:t>
      </w:r>
      <w:r>
        <w:rPr>
          <w:color w:val="231F20"/>
          <w:spacing w:val="-12"/>
          <w:sz w:val="18"/>
        </w:rPr>
        <w:t> </w:t>
      </w:r>
      <w:r>
        <w:rPr>
          <w:color w:val="231F20"/>
          <w:spacing w:val="-2"/>
          <w:sz w:val="18"/>
        </w:rPr>
        <w:t>/</w:t>
      </w:r>
      <w:r>
        <w:rPr>
          <w:color w:val="231F20"/>
          <w:spacing w:val="-12"/>
          <w:sz w:val="18"/>
        </w:rPr>
        <w:t> </w:t>
      </w:r>
      <w:r>
        <w:rPr>
          <w:color w:val="231F20"/>
          <w:spacing w:val="-2"/>
          <w:sz w:val="18"/>
        </w:rPr>
        <w:t>Научное</w:t>
      </w:r>
      <w:r>
        <w:rPr>
          <w:color w:val="231F20"/>
          <w:spacing w:val="-12"/>
          <w:sz w:val="18"/>
        </w:rPr>
        <w:t> </w:t>
      </w:r>
      <w:r>
        <w:rPr>
          <w:color w:val="231F20"/>
          <w:spacing w:val="-2"/>
          <w:sz w:val="18"/>
        </w:rPr>
        <w:t>твор- </w:t>
      </w:r>
      <w:r>
        <w:rPr>
          <w:color w:val="231F20"/>
          <w:sz w:val="18"/>
        </w:rPr>
        <w:t>чество</w:t>
      </w:r>
      <w:r>
        <w:rPr>
          <w:color w:val="231F20"/>
          <w:spacing w:val="-6"/>
          <w:sz w:val="18"/>
        </w:rPr>
        <w:t> </w:t>
      </w:r>
      <w:r>
        <w:rPr>
          <w:color w:val="231F20"/>
          <w:sz w:val="18"/>
        </w:rPr>
        <w:t>Л.С.</w:t>
      </w:r>
      <w:r>
        <w:rPr>
          <w:color w:val="231F20"/>
          <w:spacing w:val="-6"/>
          <w:sz w:val="18"/>
        </w:rPr>
        <w:t> </w:t>
      </w:r>
      <w:r>
        <w:rPr>
          <w:color w:val="231F20"/>
          <w:sz w:val="18"/>
        </w:rPr>
        <w:t>Выготского</w:t>
      </w:r>
      <w:r>
        <w:rPr>
          <w:color w:val="231F20"/>
          <w:spacing w:val="-6"/>
          <w:sz w:val="18"/>
        </w:rPr>
        <w:t> </w:t>
      </w:r>
      <w:r>
        <w:rPr>
          <w:color w:val="231F20"/>
          <w:sz w:val="18"/>
        </w:rPr>
        <w:t>и</w:t>
      </w:r>
      <w:r>
        <w:rPr>
          <w:color w:val="231F20"/>
          <w:spacing w:val="-6"/>
          <w:sz w:val="18"/>
        </w:rPr>
        <w:t> </w:t>
      </w:r>
      <w:r>
        <w:rPr>
          <w:color w:val="231F20"/>
          <w:sz w:val="18"/>
        </w:rPr>
        <w:t>современная</w:t>
      </w:r>
      <w:r>
        <w:rPr>
          <w:color w:val="231F20"/>
          <w:spacing w:val="-6"/>
          <w:sz w:val="18"/>
        </w:rPr>
        <w:t> </w:t>
      </w:r>
      <w:r>
        <w:rPr>
          <w:color w:val="231F20"/>
          <w:sz w:val="18"/>
        </w:rPr>
        <w:t>психология.</w:t>
      </w:r>
      <w:r>
        <w:rPr>
          <w:color w:val="231F20"/>
          <w:spacing w:val="-6"/>
          <w:sz w:val="18"/>
        </w:rPr>
        <w:t> </w:t>
      </w:r>
      <w:r>
        <w:rPr>
          <w:color w:val="231F20"/>
          <w:sz w:val="18"/>
        </w:rPr>
        <w:t>–</w:t>
      </w:r>
      <w:r>
        <w:rPr>
          <w:color w:val="231F20"/>
          <w:spacing w:val="-6"/>
          <w:sz w:val="18"/>
        </w:rPr>
        <w:t> </w:t>
      </w:r>
      <w:r>
        <w:rPr>
          <w:color w:val="231F20"/>
          <w:sz w:val="18"/>
        </w:rPr>
        <w:t>М.:</w:t>
      </w:r>
      <w:r>
        <w:rPr>
          <w:color w:val="231F20"/>
          <w:spacing w:val="-6"/>
          <w:sz w:val="18"/>
        </w:rPr>
        <w:t> </w:t>
      </w:r>
      <w:r>
        <w:rPr>
          <w:color w:val="231F20"/>
          <w:sz w:val="18"/>
        </w:rPr>
        <w:t>Педагогика,</w:t>
      </w:r>
      <w:r>
        <w:rPr>
          <w:color w:val="231F20"/>
          <w:spacing w:val="-6"/>
          <w:sz w:val="18"/>
        </w:rPr>
        <w:t> </w:t>
      </w:r>
      <w:r>
        <w:rPr>
          <w:color w:val="231F20"/>
          <w:sz w:val="18"/>
        </w:rPr>
        <w:t>1981.</w:t>
      </w:r>
      <w:r>
        <w:rPr>
          <w:color w:val="231F20"/>
          <w:spacing w:val="-6"/>
          <w:sz w:val="18"/>
        </w:rPr>
        <w:t> </w:t>
      </w:r>
      <w:r>
        <w:rPr>
          <w:color w:val="231F20"/>
          <w:sz w:val="18"/>
        </w:rPr>
        <w:t>–</w:t>
      </w:r>
      <w:r>
        <w:rPr>
          <w:color w:val="231F20"/>
          <w:spacing w:val="-6"/>
          <w:sz w:val="18"/>
        </w:rPr>
        <w:t> </w:t>
      </w:r>
      <w:r>
        <w:rPr>
          <w:color w:val="231F20"/>
          <w:sz w:val="18"/>
        </w:rPr>
        <w:t>330</w:t>
      </w:r>
      <w:r>
        <w:rPr>
          <w:color w:val="231F20"/>
          <w:spacing w:val="-6"/>
          <w:sz w:val="18"/>
        </w:rPr>
        <w:t> </w:t>
      </w:r>
      <w:r>
        <w:rPr>
          <w:color w:val="231F20"/>
          <w:sz w:val="18"/>
        </w:rPr>
        <w:t>с.</w:t>
      </w:r>
    </w:p>
    <w:p>
      <w:pPr>
        <w:pStyle w:val="ListParagraph"/>
        <w:numPr>
          <w:ilvl w:val="0"/>
          <w:numId w:val="124"/>
        </w:numPr>
        <w:tabs>
          <w:tab w:pos="708" w:val="left" w:leader="none"/>
        </w:tabs>
        <w:spacing w:line="256" w:lineRule="auto" w:before="2" w:after="0"/>
        <w:ind w:left="708" w:right="423" w:hanging="284"/>
        <w:jc w:val="left"/>
        <w:rPr>
          <w:sz w:val="18"/>
        </w:rPr>
      </w:pPr>
      <w:r>
        <w:rPr>
          <w:color w:val="231F20"/>
          <w:sz w:val="18"/>
        </w:rPr>
        <w:t>Изотова</w:t>
      </w:r>
      <w:r>
        <w:rPr>
          <w:color w:val="231F20"/>
          <w:spacing w:val="-7"/>
          <w:sz w:val="18"/>
        </w:rPr>
        <w:t> </w:t>
      </w:r>
      <w:r>
        <w:rPr>
          <w:color w:val="231F20"/>
          <w:sz w:val="18"/>
        </w:rPr>
        <w:t>Е.И.</w:t>
      </w:r>
      <w:r>
        <w:rPr>
          <w:color w:val="231F20"/>
          <w:spacing w:val="-7"/>
          <w:sz w:val="18"/>
        </w:rPr>
        <w:t> </w:t>
      </w:r>
      <w:r>
        <w:rPr>
          <w:color w:val="231F20"/>
          <w:sz w:val="18"/>
        </w:rPr>
        <w:t>Закономерности</w:t>
      </w:r>
      <w:r>
        <w:rPr>
          <w:color w:val="231F20"/>
          <w:spacing w:val="-7"/>
          <w:sz w:val="18"/>
        </w:rPr>
        <w:t> </w:t>
      </w:r>
      <w:r>
        <w:rPr>
          <w:color w:val="231F20"/>
          <w:sz w:val="18"/>
        </w:rPr>
        <w:t>и</w:t>
      </w:r>
      <w:r>
        <w:rPr>
          <w:color w:val="231F20"/>
          <w:spacing w:val="-7"/>
          <w:sz w:val="18"/>
        </w:rPr>
        <w:t> </w:t>
      </w:r>
      <w:r>
        <w:rPr>
          <w:color w:val="231F20"/>
          <w:sz w:val="18"/>
        </w:rPr>
        <w:t>инварианты</w:t>
      </w:r>
      <w:r>
        <w:rPr>
          <w:color w:val="231F20"/>
          <w:spacing w:val="-7"/>
          <w:sz w:val="18"/>
        </w:rPr>
        <w:t> </w:t>
      </w:r>
      <w:r>
        <w:rPr>
          <w:color w:val="231F20"/>
          <w:sz w:val="18"/>
        </w:rPr>
        <w:t>эмоционального</w:t>
      </w:r>
      <w:r>
        <w:rPr>
          <w:color w:val="231F20"/>
          <w:spacing w:val="-7"/>
          <w:sz w:val="18"/>
        </w:rPr>
        <w:t> </w:t>
      </w:r>
      <w:r>
        <w:rPr>
          <w:color w:val="231F20"/>
          <w:sz w:val="18"/>
        </w:rPr>
        <w:t>развития</w:t>
      </w:r>
      <w:r>
        <w:rPr>
          <w:color w:val="231F20"/>
          <w:spacing w:val="-7"/>
          <w:sz w:val="18"/>
        </w:rPr>
        <w:t> </w:t>
      </w:r>
      <w:r>
        <w:rPr>
          <w:color w:val="231F20"/>
          <w:sz w:val="18"/>
        </w:rPr>
        <w:t>детей</w:t>
      </w:r>
      <w:r>
        <w:rPr>
          <w:color w:val="231F20"/>
          <w:spacing w:val="-7"/>
          <w:sz w:val="18"/>
        </w:rPr>
        <w:t> </w:t>
      </w:r>
      <w:r>
        <w:rPr>
          <w:color w:val="231F20"/>
          <w:sz w:val="18"/>
        </w:rPr>
        <w:t>и</w:t>
      </w:r>
      <w:r>
        <w:rPr>
          <w:color w:val="231F20"/>
          <w:spacing w:val="-7"/>
          <w:sz w:val="18"/>
        </w:rPr>
        <w:t> </w:t>
      </w:r>
      <w:r>
        <w:rPr>
          <w:color w:val="231F20"/>
          <w:sz w:val="18"/>
        </w:rPr>
        <w:t>под- ростков. – М.: МПГУ, 2014. – 236 с.</w:t>
      </w:r>
    </w:p>
    <w:p>
      <w:pPr>
        <w:pStyle w:val="ListParagraph"/>
        <w:numPr>
          <w:ilvl w:val="0"/>
          <w:numId w:val="124"/>
        </w:numPr>
        <w:tabs>
          <w:tab w:pos="708" w:val="left" w:leader="none"/>
        </w:tabs>
        <w:spacing w:line="252" w:lineRule="auto" w:before="0" w:after="0"/>
        <w:ind w:left="708" w:right="422" w:hanging="284"/>
        <w:jc w:val="left"/>
        <w:rPr>
          <w:sz w:val="18"/>
        </w:rPr>
      </w:pPr>
      <w:r>
        <w:rPr>
          <w:color w:val="231F20"/>
          <w:sz w:val="18"/>
        </w:rPr>
        <w:t>Изотова</w:t>
      </w:r>
      <w:r>
        <w:rPr>
          <w:color w:val="231F20"/>
          <w:spacing w:val="25"/>
          <w:sz w:val="18"/>
        </w:rPr>
        <w:t> </w:t>
      </w:r>
      <w:r>
        <w:rPr>
          <w:color w:val="231F20"/>
          <w:sz w:val="18"/>
        </w:rPr>
        <w:t>Е.И.</w:t>
      </w:r>
      <w:r>
        <w:rPr>
          <w:color w:val="231F20"/>
          <w:spacing w:val="25"/>
          <w:sz w:val="18"/>
        </w:rPr>
        <w:t> </w:t>
      </w:r>
      <w:r>
        <w:rPr>
          <w:color w:val="231F20"/>
          <w:sz w:val="18"/>
        </w:rPr>
        <w:t>Эмоциональная</w:t>
      </w:r>
      <w:r>
        <w:rPr>
          <w:color w:val="231F20"/>
          <w:spacing w:val="25"/>
          <w:sz w:val="18"/>
        </w:rPr>
        <w:t> </w:t>
      </w:r>
      <w:r>
        <w:rPr>
          <w:color w:val="231F20"/>
          <w:sz w:val="18"/>
        </w:rPr>
        <w:t>сфера</w:t>
      </w:r>
      <w:r>
        <w:rPr>
          <w:color w:val="231F20"/>
          <w:spacing w:val="25"/>
          <w:sz w:val="18"/>
        </w:rPr>
        <w:t> </w:t>
      </w:r>
      <w:r>
        <w:rPr>
          <w:color w:val="231F20"/>
          <w:sz w:val="18"/>
        </w:rPr>
        <w:t>ребенка:</w:t>
      </w:r>
      <w:r>
        <w:rPr>
          <w:color w:val="231F20"/>
          <w:spacing w:val="25"/>
          <w:sz w:val="18"/>
        </w:rPr>
        <w:t> </w:t>
      </w:r>
      <w:r>
        <w:rPr>
          <w:color w:val="231F20"/>
          <w:sz w:val="18"/>
        </w:rPr>
        <w:t>теория</w:t>
      </w:r>
      <w:r>
        <w:rPr>
          <w:color w:val="231F20"/>
          <w:spacing w:val="25"/>
          <w:sz w:val="18"/>
        </w:rPr>
        <w:t> </w:t>
      </w:r>
      <w:r>
        <w:rPr>
          <w:color w:val="231F20"/>
          <w:sz w:val="18"/>
        </w:rPr>
        <w:t>и</w:t>
      </w:r>
      <w:r>
        <w:rPr>
          <w:color w:val="231F20"/>
          <w:spacing w:val="25"/>
          <w:sz w:val="18"/>
        </w:rPr>
        <w:t> </w:t>
      </w:r>
      <w:r>
        <w:rPr>
          <w:color w:val="231F20"/>
          <w:sz w:val="18"/>
        </w:rPr>
        <w:t>практика</w:t>
      </w:r>
      <w:r>
        <w:rPr>
          <w:color w:val="231F20"/>
          <w:spacing w:val="25"/>
          <w:sz w:val="18"/>
        </w:rPr>
        <w:t> </w:t>
      </w:r>
      <w:r>
        <w:rPr>
          <w:color w:val="231F20"/>
          <w:sz w:val="18"/>
        </w:rPr>
        <w:t>//</w:t>
      </w:r>
      <w:r>
        <w:rPr>
          <w:color w:val="231F20"/>
          <w:spacing w:val="25"/>
          <w:sz w:val="18"/>
        </w:rPr>
        <w:t> </w:t>
      </w:r>
      <w:r>
        <w:rPr>
          <w:color w:val="231F20"/>
          <w:sz w:val="18"/>
        </w:rPr>
        <w:t>Е.И.</w:t>
      </w:r>
      <w:r>
        <w:rPr>
          <w:color w:val="231F20"/>
          <w:spacing w:val="25"/>
          <w:sz w:val="18"/>
        </w:rPr>
        <w:t> </w:t>
      </w:r>
      <w:r>
        <w:rPr>
          <w:color w:val="231F20"/>
          <w:sz w:val="18"/>
        </w:rPr>
        <w:t>Изотова, Е.В. Никифорова. – М.: Академия, 2004. – 50 с.</w:t>
      </w:r>
    </w:p>
    <w:p>
      <w:pPr>
        <w:pStyle w:val="ListParagraph"/>
        <w:spacing w:after="0" w:line="252" w:lineRule="auto"/>
        <w:jc w:val="left"/>
        <w:rPr>
          <w:sz w:val="18"/>
        </w:rPr>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ListParagraph"/>
        <w:numPr>
          <w:ilvl w:val="0"/>
          <w:numId w:val="124"/>
        </w:numPr>
        <w:tabs>
          <w:tab w:pos="708" w:val="left" w:leader="none"/>
        </w:tabs>
        <w:spacing w:line="252" w:lineRule="auto" w:before="117" w:after="0"/>
        <w:ind w:left="708" w:right="423" w:hanging="284"/>
        <w:jc w:val="both"/>
        <w:rPr>
          <w:sz w:val="18"/>
        </w:rPr>
      </w:pPr>
      <w:r>
        <w:rPr>
          <w:color w:val="231F20"/>
          <w:sz w:val="18"/>
        </w:rPr>
        <w:t>Кричевский</w:t>
      </w:r>
      <w:r>
        <w:rPr>
          <w:color w:val="231F20"/>
          <w:spacing w:val="-12"/>
          <w:sz w:val="18"/>
        </w:rPr>
        <w:t> </w:t>
      </w:r>
      <w:r>
        <w:rPr>
          <w:color w:val="231F20"/>
          <w:sz w:val="18"/>
        </w:rPr>
        <w:t>Р.Л.</w:t>
      </w:r>
      <w:r>
        <w:rPr>
          <w:color w:val="231F20"/>
          <w:spacing w:val="-11"/>
          <w:sz w:val="18"/>
        </w:rPr>
        <w:t> </w:t>
      </w:r>
      <w:r>
        <w:rPr>
          <w:color w:val="231F20"/>
          <w:sz w:val="18"/>
        </w:rPr>
        <w:t>Социальная</w:t>
      </w:r>
      <w:r>
        <w:rPr>
          <w:color w:val="231F20"/>
          <w:spacing w:val="-11"/>
          <w:sz w:val="18"/>
        </w:rPr>
        <w:t> </w:t>
      </w:r>
      <w:r>
        <w:rPr>
          <w:color w:val="231F20"/>
          <w:sz w:val="18"/>
        </w:rPr>
        <w:t>психология</w:t>
      </w:r>
      <w:r>
        <w:rPr>
          <w:color w:val="231F20"/>
          <w:spacing w:val="-11"/>
          <w:sz w:val="18"/>
        </w:rPr>
        <w:t> </w:t>
      </w:r>
      <w:r>
        <w:rPr>
          <w:color w:val="231F20"/>
          <w:sz w:val="18"/>
        </w:rPr>
        <w:t>малой</w:t>
      </w:r>
      <w:r>
        <w:rPr>
          <w:color w:val="231F20"/>
          <w:spacing w:val="-12"/>
          <w:sz w:val="18"/>
        </w:rPr>
        <w:t> </w:t>
      </w:r>
      <w:r>
        <w:rPr>
          <w:color w:val="231F20"/>
          <w:sz w:val="18"/>
        </w:rPr>
        <w:t>группы</w:t>
      </w:r>
      <w:r>
        <w:rPr>
          <w:color w:val="231F20"/>
          <w:spacing w:val="-11"/>
          <w:sz w:val="18"/>
        </w:rPr>
        <w:t> </w:t>
      </w:r>
      <w:r>
        <w:rPr>
          <w:color w:val="231F20"/>
          <w:sz w:val="18"/>
        </w:rPr>
        <w:t>//</w:t>
      </w:r>
      <w:r>
        <w:rPr>
          <w:color w:val="231F20"/>
          <w:spacing w:val="-11"/>
          <w:sz w:val="18"/>
        </w:rPr>
        <w:t> </w:t>
      </w:r>
      <w:r>
        <w:rPr>
          <w:color w:val="231F20"/>
          <w:sz w:val="18"/>
        </w:rPr>
        <w:t>Е.М.</w:t>
      </w:r>
      <w:r>
        <w:rPr>
          <w:color w:val="231F20"/>
          <w:spacing w:val="-11"/>
          <w:sz w:val="18"/>
        </w:rPr>
        <w:t> </w:t>
      </w:r>
      <w:r>
        <w:rPr>
          <w:color w:val="231F20"/>
          <w:sz w:val="18"/>
        </w:rPr>
        <w:t>Дубовская,</w:t>
      </w:r>
      <w:r>
        <w:rPr>
          <w:color w:val="231F20"/>
          <w:spacing w:val="-12"/>
          <w:sz w:val="18"/>
        </w:rPr>
        <w:t> </w:t>
      </w:r>
      <w:r>
        <w:rPr>
          <w:color w:val="231F20"/>
          <w:sz w:val="18"/>
        </w:rPr>
        <w:t>Р.Л.</w:t>
      </w:r>
      <w:r>
        <w:rPr>
          <w:color w:val="231F20"/>
          <w:spacing w:val="-11"/>
          <w:sz w:val="18"/>
        </w:rPr>
        <w:t> </w:t>
      </w:r>
      <w:r>
        <w:rPr>
          <w:color w:val="231F20"/>
          <w:sz w:val="18"/>
        </w:rPr>
        <w:t>Кри- чевский. – М.: Аспект Пресс, 2001. – 318 с.</w:t>
      </w:r>
    </w:p>
    <w:p>
      <w:pPr>
        <w:pStyle w:val="ListParagraph"/>
        <w:numPr>
          <w:ilvl w:val="0"/>
          <w:numId w:val="124"/>
        </w:numPr>
        <w:tabs>
          <w:tab w:pos="708" w:val="left" w:leader="none"/>
        </w:tabs>
        <w:spacing w:line="244" w:lineRule="auto" w:before="0" w:after="0"/>
        <w:ind w:left="708" w:right="422" w:hanging="284"/>
        <w:jc w:val="both"/>
        <w:rPr>
          <w:sz w:val="18"/>
        </w:rPr>
      </w:pPr>
      <w:r>
        <w:rPr>
          <w:color w:val="231F20"/>
          <w:sz w:val="18"/>
        </w:rPr>
        <w:t>Марцинковская</w:t>
      </w:r>
      <w:r>
        <w:rPr>
          <w:color w:val="231F20"/>
          <w:spacing w:val="-2"/>
          <w:sz w:val="18"/>
        </w:rPr>
        <w:t> </w:t>
      </w:r>
      <w:r>
        <w:rPr>
          <w:color w:val="231F20"/>
          <w:sz w:val="18"/>
        </w:rPr>
        <w:t>Т.Д.</w:t>
      </w:r>
      <w:r>
        <w:rPr>
          <w:color w:val="231F20"/>
          <w:spacing w:val="-2"/>
          <w:sz w:val="18"/>
        </w:rPr>
        <w:t> </w:t>
      </w:r>
      <w:r>
        <w:rPr>
          <w:color w:val="231F20"/>
          <w:sz w:val="18"/>
        </w:rPr>
        <w:t>Психология</w:t>
      </w:r>
      <w:r>
        <w:rPr>
          <w:color w:val="231F20"/>
          <w:spacing w:val="-2"/>
          <w:sz w:val="18"/>
        </w:rPr>
        <w:t> </w:t>
      </w:r>
      <w:r>
        <w:rPr>
          <w:color w:val="231F20"/>
          <w:sz w:val="18"/>
        </w:rPr>
        <w:t>развития</w:t>
      </w:r>
      <w:r>
        <w:rPr>
          <w:color w:val="231F20"/>
          <w:spacing w:val="-2"/>
          <w:sz w:val="18"/>
        </w:rPr>
        <w:t> </w:t>
      </w:r>
      <w:r>
        <w:rPr>
          <w:color w:val="231F20"/>
          <w:sz w:val="18"/>
        </w:rPr>
        <w:t>//</w:t>
      </w:r>
      <w:r>
        <w:rPr>
          <w:color w:val="231F20"/>
          <w:spacing w:val="-2"/>
          <w:sz w:val="18"/>
        </w:rPr>
        <w:t> </w:t>
      </w:r>
      <w:r>
        <w:rPr>
          <w:color w:val="231F20"/>
          <w:sz w:val="18"/>
        </w:rPr>
        <w:t>Т.Д.</w:t>
      </w:r>
      <w:r>
        <w:rPr>
          <w:color w:val="231F20"/>
          <w:spacing w:val="-2"/>
          <w:sz w:val="18"/>
        </w:rPr>
        <w:t> </w:t>
      </w:r>
      <w:r>
        <w:rPr>
          <w:color w:val="231F20"/>
          <w:sz w:val="18"/>
        </w:rPr>
        <w:t>Марцинковская,</w:t>
      </w:r>
      <w:r>
        <w:rPr>
          <w:color w:val="231F20"/>
          <w:spacing w:val="-2"/>
          <w:sz w:val="18"/>
        </w:rPr>
        <w:t> </w:t>
      </w:r>
      <w:r>
        <w:rPr>
          <w:color w:val="231F20"/>
          <w:sz w:val="18"/>
        </w:rPr>
        <w:t>Т.М.</w:t>
      </w:r>
      <w:r>
        <w:rPr>
          <w:color w:val="231F20"/>
          <w:spacing w:val="-2"/>
          <w:sz w:val="18"/>
        </w:rPr>
        <w:t> </w:t>
      </w:r>
      <w:r>
        <w:rPr>
          <w:color w:val="231F20"/>
          <w:sz w:val="18"/>
        </w:rPr>
        <w:t>Марютина, Т.Г.</w:t>
      </w:r>
      <w:r>
        <w:rPr>
          <w:color w:val="231F20"/>
          <w:spacing w:val="-11"/>
          <w:sz w:val="18"/>
        </w:rPr>
        <w:t> </w:t>
      </w:r>
      <w:r>
        <w:rPr>
          <w:color w:val="231F20"/>
          <w:sz w:val="18"/>
        </w:rPr>
        <w:t>Стефаненко</w:t>
      </w:r>
      <w:r>
        <w:rPr>
          <w:color w:val="231F20"/>
          <w:spacing w:val="-11"/>
          <w:sz w:val="18"/>
        </w:rPr>
        <w:t> </w:t>
      </w:r>
      <w:r>
        <w:rPr>
          <w:color w:val="231F20"/>
          <w:sz w:val="18"/>
        </w:rPr>
        <w:t>и</w:t>
      </w:r>
      <w:r>
        <w:rPr>
          <w:color w:val="231F20"/>
          <w:spacing w:val="-11"/>
          <w:sz w:val="18"/>
        </w:rPr>
        <w:t> </w:t>
      </w:r>
      <w:r>
        <w:rPr>
          <w:color w:val="231F20"/>
          <w:sz w:val="18"/>
        </w:rPr>
        <w:t>др.</w:t>
      </w:r>
      <w:r>
        <w:rPr>
          <w:color w:val="231F20"/>
          <w:spacing w:val="-11"/>
          <w:sz w:val="18"/>
        </w:rPr>
        <w:t> </w:t>
      </w:r>
      <w:r>
        <w:rPr>
          <w:color w:val="231F20"/>
          <w:sz w:val="18"/>
        </w:rPr>
        <w:t>/</w:t>
      </w:r>
      <w:r>
        <w:rPr>
          <w:color w:val="231F20"/>
          <w:spacing w:val="-11"/>
          <w:sz w:val="18"/>
        </w:rPr>
        <w:t> </w:t>
      </w:r>
      <w:r>
        <w:rPr>
          <w:color w:val="231F20"/>
          <w:sz w:val="18"/>
        </w:rPr>
        <w:t>Под</w:t>
      </w:r>
      <w:r>
        <w:rPr>
          <w:color w:val="231F20"/>
          <w:spacing w:val="-11"/>
          <w:sz w:val="18"/>
        </w:rPr>
        <w:t> </w:t>
      </w:r>
      <w:r>
        <w:rPr>
          <w:color w:val="231F20"/>
          <w:sz w:val="18"/>
        </w:rPr>
        <w:t>ред.</w:t>
      </w:r>
      <w:r>
        <w:rPr>
          <w:color w:val="231F20"/>
          <w:spacing w:val="-11"/>
          <w:sz w:val="18"/>
        </w:rPr>
        <w:t> </w:t>
      </w:r>
      <w:r>
        <w:rPr>
          <w:color w:val="231F20"/>
          <w:sz w:val="18"/>
        </w:rPr>
        <w:t>Т.Д.</w:t>
      </w:r>
      <w:r>
        <w:rPr>
          <w:color w:val="231F20"/>
          <w:spacing w:val="-11"/>
          <w:sz w:val="18"/>
        </w:rPr>
        <w:t> </w:t>
      </w:r>
      <w:r>
        <w:rPr>
          <w:color w:val="231F20"/>
          <w:sz w:val="18"/>
        </w:rPr>
        <w:t>Марцинковской.</w:t>
      </w:r>
      <w:r>
        <w:rPr>
          <w:color w:val="231F20"/>
          <w:spacing w:val="-11"/>
          <w:sz w:val="18"/>
        </w:rPr>
        <w:t> </w:t>
      </w:r>
      <w:r>
        <w:rPr>
          <w:color w:val="231F20"/>
          <w:sz w:val="18"/>
        </w:rPr>
        <w:t>–</w:t>
      </w:r>
      <w:r>
        <w:rPr>
          <w:color w:val="231F20"/>
          <w:spacing w:val="-11"/>
          <w:sz w:val="18"/>
        </w:rPr>
        <w:t> </w:t>
      </w:r>
      <w:r>
        <w:rPr>
          <w:color w:val="231F20"/>
          <w:sz w:val="18"/>
        </w:rPr>
        <w:t>М.:</w:t>
      </w:r>
      <w:r>
        <w:rPr>
          <w:color w:val="231F20"/>
          <w:spacing w:val="-11"/>
          <w:sz w:val="18"/>
        </w:rPr>
        <w:t> </w:t>
      </w:r>
      <w:r>
        <w:rPr>
          <w:color w:val="231F20"/>
          <w:sz w:val="18"/>
        </w:rPr>
        <w:t>Академия,</w:t>
      </w:r>
      <w:r>
        <w:rPr>
          <w:color w:val="231F20"/>
          <w:spacing w:val="-11"/>
          <w:sz w:val="18"/>
        </w:rPr>
        <w:t> </w:t>
      </w:r>
      <w:r>
        <w:rPr>
          <w:color w:val="231F20"/>
          <w:sz w:val="18"/>
        </w:rPr>
        <w:t>2001.</w:t>
      </w:r>
      <w:r>
        <w:rPr>
          <w:color w:val="231F20"/>
          <w:spacing w:val="-11"/>
          <w:sz w:val="18"/>
        </w:rPr>
        <w:t> </w:t>
      </w:r>
      <w:r>
        <w:rPr>
          <w:color w:val="231F20"/>
          <w:sz w:val="18"/>
        </w:rPr>
        <w:t>–</w:t>
      </w:r>
      <w:r>
        <w:rPr>
          <w:color w:val="231F20"/>
          <w:spacing w:val="-11"/>
          <w:sz w:val="18"/>
        </w:rPr>
        <w:t> </w:t>
      </w:r>
      <w:r>
        <w:rPr>
          <w:color w:val="231F20"/>
          <w:sz w:val="18"/>
        </w:rPr>
        <w:t>528</w:t>
      </w:r>
      <w:r>
        <w:rPr>
          <w:color w:val="231F20"/>
          <w:spacing w:val="-11"/>
          <w:sz w:val="18"/>
        </w:rPr>
        <w:t> </w:t>
      </w:r>
      <w:r>
        <w:rPr>
          <w:color w:val="231F20"/>
          <w:sz w:val="18"/>
        </w:rPr>
        <w:t>с.</w:t>
      </w:r>
    </w:p>
    <w:p>
      <w:pPr>
        <w:pStyle w:val="ListParagraph"/>
        <w:numPr>
          <w:ilvl w:val="0"/>
          <w:numId w:val="124"/>
        </w:numPr>
        <w:tabs>
          <w:tab w:pos="708" w:val="left" w:leader="none"/>
        </w:tabs>
        <w:spacing w:line="240" w:lineRule="auto" w:before="0" w:after="0"/>
        <w:ind w:left="708" w:right="422" w:hanging="284"/>
        <w:jc w:val="both"/>
        <w:rPr>
          <w:sz w:val="18"/>
        </w:rPr>
      </w:pPr>
      <w:r>
        <w:rPr>
          <w:color w:val="231F20"/>
          <w:spacing w:val="-2"/>
          <w:sz w:val="18"/>
        </w:rPr>
        <w:t>Пиаже</w:t>
      </w:r>
      <w:r>
        <w:rPr>
          <w:color w:val="231F20"/>
          <w:spacing w:val="-12"/>
          <w:sz w:val="18"/>
        </w:rPr>
        <w:t> </w:t>
      </w:r>
      <w:r>
        <w:rPr>
          <w:color w:val="231F20"/>
          <w:spacing w:val="-2"/>
          <w:sz w:val="18"/>
        </w:rPr>
        <w:t>Ж.</w:t>
      </w:r>
      <w:r>
        <w:rPr>
          <w:color w:val="231F20"/>
          <w:spacing w:val="-9"/>
          <w:sz w:val="18"/>
        </w:rPr>
        <w:t> </w:t>
      </w:r>
      <w:r>
        <w:rPr>
          <w:color w:val="231F20"/>
          <w:spacing w:val="-2"/>
          <w:sz w:val="18"/>
        </w:rPr>
        <w:t>Избранные</w:t>
      </w:r>
      <w:r>
        <w:rPr>
          <w:color w:val="231F20"/>
          <w:spacing w:val="-9"/>
          <w:sz w:val="18"/>
        </w:rPr>
        <w:t> </w:t>
      </w:r>
      <w:r>
        <w:rPr>
          <w:color w:val="231F20"/>
          <w:spacing w:val="-2"/>
          <w:sz w:val="18"/>
        </w:rPr>
        <w:t>психологические</w:t>
      </w:r>
      <w:r>
        <w:rPr>
          <w:color w:val="231F20"/>
          <w:spacing w:val="-9"/>
          <w:sz w:val="18"/>
        </w:rPr>
        <w:t> </w:t>
      </w:r>
      <w:r>
        <w:rPr>
          <w:color w:val="231F20"/>
          <w:spacing w:val="-2"/>
          <w:sz w:val="18"/>
        </w:rPr>
        <w:t>труды</w:t>
      </w:r>
      <w:r>
        <w:rPr>
          <w:color w:val="231F20"/>
          <w:spacing w:val="-10"/>
          <w:sz w:val="18"/>
        </w:rPr>
        <w:t> </w:t>
      </w:r>
      <w:r>
        <w:rPr>
          <w:color w:val="231F20"/>
          <w:spacing w:val="-2"/>
          <w:sz w:val="18"/>
        </w:rPr>
        <w:t>/</w:t>
      </w:r>
      <w:r>
        <w:rPr>
          <w:color w:val="231F20"/>
          <w:spacing w:val="-9"/>
          <w:sz w:val="18"/>
        </w:rPr>
        <w:t> </w:t>
      </w:r>
      <w:r>
        <w:rPr>
          <w:color w:val="231F20"/>
          <w:spacing w:val="-2"/>
          <w:sz w:val="18"/>
        </w:rPr>
        <w:t>Ж.</w:t>
      </w:r>
      <w:r>
        <w:rPr>
          <w:color w:val="231F20"/>
          <w:spacing w:val="-9"/>
          <w:sz w:val="18"/>
        </w:rPr>
        <w:t> </w:t>
      </w:r>
      <w:r>
        <w:rPr>
          <w:color w:val="231F20"/>
          <w:spacing w:val="-2"/>
          <w:sz w:val="18"/>
        </w:rPr>
        <w:t>Пиаже.</w:t>
      </w:r>
      <w:r>
        <w:rPr>
          <w:color w:val="231F20"/>
          <w:spacing w:val="-9"/>
          <w:sz w:val="18"/>
        </w:rPr>
        <w:t> </w:t>
      </w:r>
      <w:r>
        <w:rPr>
          <w:color w:val="231F20"/>
          <w:spacing w:val="-2"/>
          <w:sz w:val="18"/>
        </w:rPr>
        <w:t>–</w:t>
      </w:r>
      <w:r>
        <w:rPr>
          <w:color w:val="231F20"/>
          <w:spacing w:val="-10"/>
          <w:sz w:val="18"/>
        </w:rPr>
        <w:t> </w:t>
      </w:r>
      <w:r>
        <w:rPr>
          <w:color w:val="231F20"/>
          <w:spacing w:val="-2"/>
          <w:sz w:val="18"/>
        </w:rPr>
        <w:t>М.:</w:t>
      </w:r>
      <w:r>
        <w:rPr>
          <w:color w:val="231F20"/>
          <w:spacing w:val="-9"/>
          <w:sz w:val="18"/>
        </w:rPr>
        <w:t> </w:t>
      </w:r>
      <w:r>
        <w:rPr>
          <w:color w:val="231F20"/>
          <w:spacing w:val="-2"/>
          <w:sz w:val="18"/>
        </w:rPr>
        <w:t>Просвещение,</w:t>
      </w:r>
      <w:r>
        <w:rPr>
          <w:color w:val="231F20"/>
          <w:spacing w:val="-9"/>
          <w:sz w:val="18"/>
        </w:rPr>
        <w:t> </w:t>
      </w:r>
      <w:r>
        <w:rPr>
          <w:color w:val="231F20"/>
          <w:spacing w:val="-2"/>
          <w:sz w:val="18"/>
        </w:rPr>
        <w:t>1969.</w:t>
      </w:r>
      <w:r>
        <w:rPr>
          <w:color w:val="231F20"/>
          <w:spacing w:val="-9"/>
          <w:sz w:val="18"/>
        </w:rPr>
        <w:t> </w:t>
      </w:r>
      <w:r>
        <w:rPr>
          <w:color w:val="231F20"/>
          <w:spacing w:val="-2"/>
          <w:sz w:val="18"/>
        </w:rPr>
        <w:t>– </w:t>
      </w:r>
      <w:r>
        <w:rPr>
          <w:color w:val="231F20"/>
          <w:sz w:val="18"/>
        </w:rPr>
        <w:t>660 с.</w:t>
      </w:r>
    </w:p>
    <w:p>
      <w:pPr>
        <w:pStyle w:val="ListParagraph"/>
        <w:numPr>
          <w:ilvl w:val="0"/>
          <w:numId w:val="124"/>
        </w:numPr>
        <w:tabs>
          <w:tab w:pos="706" w:val="left" w:leader="none"/>
          <w:tab w:pos="708" w:val="left" w:leader="none"/>
        </w:tabs>
        <w:spacing w:line="240" w:lineRule="auto" w:before="0" w:after="0"/>
        <w:ind w:left="708" w:right="423" w:hanging="284"/>
        <w:jc w:val="both"/>
        <w:rPr>
          <w:sz w:val="18"/>
        </w:rPr>
      </w:pPr>
      <w:r>
        <w:rPr>
          <w:color w:val="231F20"/>
          <w:spacing w:val="-2"/>
          <w:sz w:val="18"/>
        </w:rPr>
        <w:t>Прихожан</w:t>
      </w:r>
      <w:r>
        <w:rPr>
          <w:color w:val="231F20"/>
          <w:spacing w:val="-10"/>
          <w:sz w:val="18"/>
        </w:rPr>
        <w:t> </w:t>
      </w:r>
      <w:r>
        <w:rPr>
          <w:color w:val="231F20"/>
          <w:spacing w:val="-2"/>
          <w:sz w:val="18"/>
        </w:rPr>
        <w:t>А.М.</w:t>
      </w:r>
      <w:r>
        <w:rPr>
          <w:color w:val="231F20"/>
          <w:spacing w:val="-9"/>
          <w:sz w:val="18"/>
        </w:rPr>
        <w:t> </w:t>
      </w:r>
      <w:r>
        <w:rPr>
          <w:color w:val="231F20"/>
          <w:spacing w:val="-2"/>
          <w:sz w:val="18"/>
        </w:rPr>
        <w:t>Практическая</w:t>
      </w:r>
      <w:r>
        <w:rPr>
          <w:color w:val="231F20"/>
          <w:spacing w:val="-9"/>
          <w:sz w:val="18"/>
        </w:rPr>
        <w:t> </w:t>
      </w:r>
      <w:r>
        <w:rPr>
          <w:color w:val="231F20"/>
          <w:spacing w:val="-2"/>
          <w:sz w:val="18"/>
        </w:rPr>
        <w:t>психология</w:t>
      </w:r>
      <w:r>
        <w:rPr>
          <w:color w:val="231F20"/>
          <w:spacing w:val="-9"/>
          <w:sz w:val="18"/>
        </w:rPr>
        <w:t> </w:t>
      </w:r>
      <w:r>
        <w:rPr>
          <w:color w:val="231F20"/>
          <w:spacing w:val="-2"/>
          <w:sz w:val="18"/>
        </w:rPr>
        <w:t>образования</w:t>
      </w:r>
      <w:r>
        <w:rPr>
          <w:color w:val="231F20"/>
          <w:spacing w:val="-10"/>
          <w:sz w:val="18"/>
        </w:rPr>
        <w:t> </w:t>
      </w:r>
      <w:r>
        <w:rPr>
          <w:color w:val="231F20"/>
          <w:spacing w:val="-2"/>
          <w:sz w:val="18"/>
        </w:rPr>
        <w:t>/</w:t>
      </w:r>
      <w:r>
        <w:rPr>
          <w:color w:val="231F20"/>
          <w:spacing w:val="-9"/>
          <w:sz w:val="18"/>
        </w:rPr>
        <w:t> </w:t>
      </w:r>
      <w:r>
        <w:rPr>
          <w:color w:val="231F20"/>
          <w:spacing w:val="-2"/>
          <w:sz w:val="18"/>
        </w:rPr>
        <w:t>Под</w:t>
      </w:r>
      <w:r>
        <w:rPr>
          <w:color w:val="231F20"/>
          <w:spacing w:val="-9"/>
          <w:sz w:val="18"/>
        </w:rPr>
        <w:t> </w:t>
      </w:r>
      <w:r>
        <w:rPr>
          <w:color w:val="231F20"/>
          <w:spacing w:val="-2"/>
          <w:sz w:val="18"/>
        </w:rPr>
        <w:t>ред.</w:t>
      </w:r>
      <w:r>
        <w:rPr>
          <w:color w:val="231F20"/>
          <w:spacing w:val="-9"/>
          <w:sz w:val="18"/>
        </w:rPr>
        <w:t> </w:t>
      </w:r>
      <w:r>
        <w:rPr>
          <w:color w:val="231F20"/>
          <w:spacing w:val="-2"/>
          <w:sz w:val="18"/>
        </w:rPr>
        <w:t>И.В.</w:t>
      </w:r>
      <w:r>
        <w:rPr>
          <w:color w:val="231F20"/>
          <w:spacing w:val="-10"/>
          <w:sz w:val="18"/>
        </w:rPr>
        <w:t> </w:t>
      </w:r>
      <w:r>
        <w:rPr>
          <w:color w:val="231F20"/>
          <w:spacing w:val="-2"/>
          <w:sz w:val="18"/>
        </w:rPr>
        <w:t>Дубровиной.</w:t>
      </w:r>
      <w:r>
        <w:rPr>
          <w:color w:val="231F20"/>
          <w:spacing w:val="-9"/>
          <w:sz w:val="18"/>
        </w:rPr>
        <w:t> </w:t>
      </w:r>
      <w:r>
        <w:rPr>
          <w:color w:val="231F20"/>
          <w:spacing w:val="-2"/>
          <w:sz w:val="18"/>
        </w:rPr>
        <w:t>– </w:t>
      </w:r>
      <w:r>
        <w:rPr>
          <w:color w:val="231F20"/>
          <w:sz w:val="18"/>
        </w:rPr>
        <w:t>СПб.: Питер, 2004. – 528 с.</w:t>
      </w:r>
    </w:p>
    <w:p>
      <w:pPr>
        <w:pStyle w:val="ListParagraph"/>
        <w:numPr>
          <w:ilvl w:val="0"/>
          <w:numId w:val="124"/>
        </w:numPr>
        <w:tabs>
          <w:tab w:pos="708" w:val="left" w:leader="none"/>
        </w:tabs>
        <w:spacing w:line="240" w:lineRule="auto" w:before="0" w:after="0"/>
        <w:ind w:left="708" w:right="422" w:hanging="284"/>
        <w:jc w:val="both"/>
        <w:rPr>
          <w:sz w:val="18"/>
        </w:rPr>
      </w:pPr>
      <w:r>
        <w:rPr>
          <w:color w:val="231F20"/>
          <w:sz w:val="18"/>
        </w:rPr>
        <w:t>Сергиенко Е.А. Модель психического в онтогенезе человека // Е.А. Сергиенко,</w:t>
      </w:r>
      <w:r>
        <w:rPr>
          <w:color w:val="231F20"/>
          <w:spacing w:val="40"/>
          <w:sz w:val="18"/>
        </w:rPr>
        <w:t> </w:t>
      </w:r>
      <w:r>
        <w:rPr>
          <w:color w:val="231F20"/>
          <w:sz w:val="18"/>
        </w:rPr>
        <w:t>Е.И. Лебедева, О.А. Прусакова. – М.: Институт психологии РАН, 2009. – 416 с.</w:t>
      </w:r>
    </w:p>
    <w:p>
      <w:pPr>
        <w:pStyle w:val="ListParagraph"/>
        <w:numPr>
          <w:ilvl w:val="0"/>
          <w:numId w:val="124"/>
        </w:numPr>
        <w:tabs>
          <w:tab w:pos="708" w:val="left" w:leader="none"/>
        </w:tabs>
        <w:spacing w:line="240" w:lineRule="auto" w:before="0" w:after="0"/>
        <w:ind w:left="708" w:right="422" w:hanging="284"/>
        <w:jc w:val="both"/>
        <w:rPr>
          <w:sz w:val="18"/>
        </w:rPr>
      </w:pPr>
      <w:r>
        <w:rPr>
          <w:color w:val="231F20"/>
          <w:sz w:val="18"/>
        </w:rPr>
        <w:t>Сергиенко Е.А. Тест Дж. Мэйера, П. Сэловея и Д. Карузо «Эмоциональный ин- теллект» (MSCEIT</w:t>
      </w:r>
      <w:r>
        <w:rPr>
          <w:color w:val="231F20"/>
          <w:spacing w:val="-3"/>
          <w:sz w:val="18"/>
        </w:rPr>
        <w:t> </w:t>
      </w:r>
      <w:r>
        <w:rPr>
          <w:color w:val="231F20"/>
          <w:sz w:val="18"/>
        </w:rPr>
        <w:t>v. 2.0). Русскоязычная версия / Е.А. Сергиенко, И.И. Ветрова. – М.: Институт психологии РАН, 2010. – 89 с.</w:t>
      </w:r>
    </w:p>
    <w:p>
      <w:pPr>
        <w:pStyle w:val="ListParagraph"/>
        <w:numPr>
          <w:ilvl w:val="0"/>
          <w:numId w:val="124"/>
        </w:numPr>
        <w:tabs>
          <w:tab w:pos="708" w:val="left" w:leader="none"/>
        </w:tabs>
        <w:spacing w:line="240" w:lineRule="auto" w:before="0" w:after="0"/>
        <w:ind w:left="708" w:right="423" w:hanging="284"/>
        <w:jc w:val="both"/>
        <w:rPr>
          <w:sz w:val="18"/>
        </w:rPr>
      </w:pPr>
      <w:r>
        <w:rPr>
          <w:color w:val="231F20"/>
          <w:spacing w:val="-4"/>
          <w:sz w:val="18"/>
        </w:rPr>
        <w:t>Эльконин Д.Б. Детская психология / ред.-сост. Б.Д. Эльконин. – М.: Академия, 2007. – </w:t>
      </w:r>
      <w:r>
        <w:rPr>
          <w:color w:val="231F20"/>
          <w:sz w:val="18"/>
        </w:rPr>
        <w:t>331 с.</w:t>
      </w:r>
    </w:p>
    <w:p>
      <w:pPr>
        <w:pStyle w:val="ListParagraph"/>
        <w:numPr>
          <w:ilvl w:val="0"/>
          <w:numId w:val="124"/>
        </w:numPr>
        <w:tabs>
          <w:tab w:pos="708" w:val="left" w:leader="none"/>
        </w:tabs>
        <w:spacing w:line="205" w:lineRule="exact" w:before="0" w:after="0"/>
        <w:ind w:left="708" w:right="0" w:hanging="283"/>
        <w:jc w:val="both"/>
        <w:rPr>
          <w:sz w:val="18"/>
        </w:rPr>
      </w:pPr>
      <w:r>
        <w:rPr>
          <w:color w:val="231F20"/>
          <w:sz w:val="18"/>
        </w:rPr>
        <w:t>Эриксон</w:t>
      </w:r>
      <w:r>
        <w:rPr>
          <w:color w:val="231F20"/>
          <w:spacing w:val="-2"/>
          <w:sz w:val="18"/>
        </w:rPr>
        <w:t> </w:t>
      </w:r>
      <w:r>
        <w:rPr>
          <w:color w:val="231F20"/>
          <w:sz w:val="18"/>
        </w:rPr>
        <w:t>Э.</w:t>
      </w:r>
      <w:r>
        <w:rPr>
          <w:color w:val="231F20"/>
          <w:spacing w:val="-1"/>
          <w:sz w:val="18"/>
        </w:rPr>
        <w:t> </w:t>
      </w:r>
      <w:r>
        <w:rPr>
          <w:color w:val="231F20"/>
          <w:sz w:val="18"/>
        </w:rPr>
        <w:t>Детство и</w:t>
      </w:r>
      <w:r>
        <w:rPr>
          <w:color w:val="231F20"/>
          <w:spacing w:val="-2"/>
          <w:sz w:val="18"/>
        </w:rPr>
        <w:t> </w:t>
      </w:r>
      <w:r>
        <w:rPr>
          <w:color w:val="231F20"/>
          <w:sz w:val="18"/>
        </w:rPr>
        <w:t>общество.</w:t>
      </w:r>
      <w:r>
        <w:rPr>
          <w:color w:val="231F20"/>
          <w:spacing w:val="-1"/>
          <w:sz w:val="18"/>
        </w:rPr>
        <w:t> </w:t>
      </w:r>
      <w:r>
        <w:rPr>
          <w:color w:val="231F20"/>
          <w:sz w:val="18"/>
        </w:rPr>
        <w:t>– СПб.:</w:t>
      </w:r>
      <w:r>
        <w:rPr>
          <w:color w:val="231F20"/>
          <w:spacing w:val="-1"/>
          <w:sz w:val="18"/>
        </w:rPr>
        <w:t> </w:t>
      </w:r>
      <w:r>
        <w:rPr>
          <w:color w:val="231F20"/>
          <w:sz w:val="18"/>
        </w:rPr>
        <w:t>Питер,</w:t>
      </w:r>
      <w:r>
        <w:rPr>
          <w:color w:val="231F20"/>
          <w:spacing w:val="-1"/>
          <w:sz w:val="18"/>
        </w:rPr>
        <w:t> </w:t>
      </w:r>
      <w:r>
        <w:rPr>
          <w:color w:val="231F20"/>
          <w:sz w:val="18"/>
        </w:rPr>
        <w:t>2019. –</w:t>
      </w:r>
      <w:r>
        <w:rPr>
          <w:color w:val="231F20"/>
          <w:spacing w:val="-1"/>
          <w:sz w:val="18"/>
        </w:rPr>
        <w:t> </w:t>
      </w:r>
      <w:r>
        <w:rPr>
          <w:color w:val="231F20"/>
          <w:sz w:val="18"/>
        </w:rPr>
        <w:t>448 </w:t>
      </w:r>
      <w:r>
        <w:rPr>
          <w:color w:val="231F20"/>
          <w:spacing w:val="-5"/>
          <w:sz w:val="18"/>
        </w:rPr>
        <w:t>с.</w:t>
      </w:r>
    </w:p>
    <w:p>
      <w:pPr>
        <w:spacing w:line="206" w:lineRule="exact" w:before="44"/>
        <w:ind w:left="425" w:right="0" w:firstLine="0"/>
        <w:jc w:val="both"/>
        <w:rPr>
          <w:i/>
          <w:sz w:val="18"/>
        </w:rPr>
      </w:pPr>
      <w:r>
        <w:rPr>
          <w:i/>
          <w:color w:val="231F20"/>
          <w:sz w:val="18"/>
        </w:rPr>
        <w:t>Источники,</w:t>
      </w:r>
      <w:r>
        <w:rPr>
          <w:i/>
          <w:color w:val="231F20"/>
          <w:spacing w:val="-9"/>
          <w:sz w:val="18"/>
        </w:rPr>
        <w:t> </w:t>
      </w:r>
      <w:r>
        <w:rPr>
          <w:i/>
          <w:color w:val="231F20"/>
          <w:sz w:val="18"/>
        </w:rPr>
        <w:t>использованные</w:t>
      </w:r>
      <w:r>
        <w:rPr>
          <w:i/>
          <w:color w:val="231F20"/>
          <w:spacing w:val="-6"/>
          <w:sz w:val="18"/>
        </w:rPr>
        <w:t> </w:t>
      </w:r>
      <w:r>
        <w:rPr>
          <w:i/>
          <w:color w:val="231F20"/>
          <w:sz w:val="18"/>
        </w:rPr>
        <w:t>в</w:t>
      </w:r>
      <w:r>
        <w:rPr>
          <w:i/>
          <w:color w:val="231F20"/>
          <w:spacing w:val="-6"/>
          <w:sz w:val="18"/>
        </w:rPr>
        <w:t> </w:t>
      </w:r>
      <w:r>
        <w:rPr>
          <w:i/>
          <w:color w:val="231F20"/>
          <w:spacing w:val="-2"/>
          <w:sz w:val="18"/>
        </w:rPr>
        <w:t>тексте</w:t>
      </w:r>
    </w:p>
    <w:p>
      <w:pPr>
        <w:pStyle w:val="ListParagraph"/>
        <w:numPr>
          <w:ilvl w:val="0"/>
          <w:numId w:val="124"/>
        </w:numPr>
        <w:tabs>
          <w:tab w:pos="708" w:val="left" w:leader="none"/>
        </w:tabs>
        <w:spacing w:line="240" w:lineRule="auto" w:before="0" w:after="0"/>
        <w:ind w:left="708" w:right="422" w:hanging="284"/>
        <w:jc w:val="both"/>
        <w:rPr>
          <w:sz w:val="18"/>
        </w:rPr>
      </w:pPr>
      <w:r>
        <w:rPr>
          <w:color w:val="231F20"/>
          <w:sz w:val="18"/>
        </w:rPr>
        <w:t>Ekermans, G. Emotional Intelligence Across Cultures: Theoretical and Methodological Considerations.</w:t>
      </w:r>
      <w:r>
        <w:rPr>
          <w:color w:val="231F20"/>
          <w:spacing w:val="-1"/>
          <w:sz w:val="18"/>
        </w:rPr>
        <w:t> </w:t>
      </w:r>
      <w:r>
        <w:rPr>
          <w:color w:val="231F20"/>
          <w:sz w:val="18"/>
        </w:rPr>
        <w:t>//</w:t>
      </w:r>
      <w:r>
        <w:rPr>
          <w:color w:val="231F20"/>
          <w:spacing w:val="-5"/>
          <w:sz w:val="18"/>
        </w:rPr>
        <w:t> </w:t>
      </w:r>
      <w:r>
        <w:rPr>
          <w:color w:val="231F20"/>
          <w:sz w:val="18"/>
        </w:rPr>
        <w:t>The</w:t>
      </w:r>
      <w:r>
        <w:rPr>
          <w:color w:val="231F20"/>
          <w:spacing w:val="-1"/>
          <w:sz w:val="18"/>
        </w:rPr>
        <w:t> </w:t>
      </w:r>
      <w:r>
        <w:rPr>
          <w:color w:val="231F20"/>
          <w:sz w:val="18"/>
        </w:rPr>
        <w:t>Springer</w:t>
      </w:r>
      <w:r>
        <w:rPr>
          <w:color w:val="231F20"/>
          <w:spacing w:val="-1"/>
          <w:sz w:val="18"/>
        </w:rPr>
        <w:t> </w:t>
      </w:r>
      <w:r>
        <w:rPr>
          <w:color w:val="231F20"/>
          <w:sz w:val="18"/>
        </w:rPr>
        <w:t>Series</w:t>
      </w:r>
      <w:r>
        <w:rPr>
          <w:color w:val="231F20"/>
          <w:spacing w:val="-1"/>
          <w:sz w:val="18"/>
        </w:rPr>
        <w:t> </w:t>
      </w:r>
      <w:r>
        <w:rPr>
          <w:color w:val="231F20"/>
          <w:sz w:val="18"/>
        </w:rPr>
        <w:t>on</w:t>
      </w:r>
      <w:r>
        <w:rPr>
          <w:color w:val="231F20"/>
          <w:spacing w:val="-1"/>
          <w:sz w:val="18"/>
        </w:rPr>
        <w:t> </w:t>
      </w:r>
      <w:r>
        <w:rPr>
          <w:color w:val="231F20"/>
          <w:sz w:val="18"/>
        </w:rPr>
        <w:t>Human</w:t>
      </w:r>
      <w:r>
        <w:rPr>
          <w:color w:val="231F20"/>
          <w:spacing w:val="-1"/>
          <w:sz w:val="18"/>
        </w:rPr>
        <w:t> </w:t>
      </w:r>
      <w:r>
        <w:rPr>
          <w:color w:val="231F20"/>
          <w:sz w:val="18"/>
        </w:rPr>
        <w:t>Exceptionality.</w:t>
      </w:r>
      <w:r>
        <w:rPr>
          <w:color w:val="231F20"/>
          <w:spacing w:val="-1"/>
          <w:sz w:val="18"/>
        </w:rPr>
        <w:t> </w:t>
      </w:r>
      <w:r>
        <w:rPr>
          <w:color w:val="231F20"/>
          <w:sz w:val="18"/>
        </w:rPr>
        <w:t>–</w:t>
      </w:r>
      <w:r>
        <w:rPr>
          <w:color w:val="231F20"/>
          <w:spacing w:val="-1"/>
          <w:sz w:val="18"/>
        </w:rPr>
        <w:t> </w:t>
      </w:r>
      <w:r>
        <w:rPr>
          <w:color w:val="231F20"/>
          <w:sz w:val="18"/>
        </w:rPr>
        <w:t>2009.</w:t>
      </w:r>
      <w:r>
        <w:rPr>
          <w:color w:val="231F20"/>
          <w:spacing w:val="-1"/>
          <w:sz w:val="18"/>
        </w:rPr>
        <w:t> </w:t>
      </w:r>
      <w:r>
        <w:rPr>
          <w:color w:val="231F20"/>
          <w:sz w:val="18"/>
        </w:rPr>
        <w:t>–</w:t>
      </w:r>
      <w:r>
        <w:rPr>
          <w:color w:val="231F20"/>
          <w:spacing w:val="-1"/>
          <w:sz w:val="18"/>
        </w:rPr>
        <w:t> </w:t>
      </w:r>
      <w:r>
        <w:rPr>
          <w:color w:val="231F20"/>
          <w:sz w:val="18"/>
        </w:rPr>
        <w:t>pp.</w:t>
      </w:r>
      <w:r>
        <w:rPr>
          <w:color w:val="231F20"/>
          <w:spacing w:val="-1"/>
          <w:sz w:val="18"/>
        </w:rPr>
        <w:t> </w:t>
      </w:r>
      <w:r>
        <w:rPr>
          <w:color w:val="231F20"/>
          <w:sz w:val="18"/>
        </w:rPr>
        <w:t>259–290. </w:t>
      </w:r>
      <w:r>
        <w:rPr>
          <w:color w:val="231F20"/>
          <w:spacing w:val="-2"/>
          <w:sz w:val="18"/>
        </w:rPr>
        <w:t>DOI:10.1007/978-0-387-88370-0_14.</w:t>
      </w:r>
    </w:p>
    <w:p>
      <w:pPr>
        <w:pStyle w:val="ListParagraph"/>
        <w:numPr>
          <w:ilvl w:val="0"/>
          <w:numId w:val="124"/>
        </w:numPr>
        <w:tabs>
          <w:tab w:pos="708" w:val="left" w:leader="none"/>
        </w:tabs>
        <w:spacing w:line="240" w:lineRule="auto" w:before="0" w:after="0"/>
        <w:ind w:left="708" w:right="423" w:hanging="284"/>
        <w:jc w:val="both"/>
        <w:rPr>
          <w:sz w:val="18"/>
        </w:rPr>
      </w:pPr>
      <w:r>
        <w:rPr>
          <w:color w:val="231F20"/>
          <w:sz w:val="18"/>
        </w:rPr>
        <w:t>Ekman P. Basic Emotions. – [Текст: электронный] // Dalgleish T, Power M.J. / (Eds.) Handbook of Cognition and Emotion. Chichester. – 1999. </w:t>
      </w:r>
      <w:hyperlink r:id="rId114">
        <w:r>
          <w:rPr>
            <w:color w:val="2255A6"/>
            <w:sz w:val="18"/>
            <w:u w:val="single" w:color="2255A6"/>
          </w:rPr>
          <w:t>https://www.paulekman.com/</w:t>
        </w:r>
      </w:hyperlink>
      <w:r>
        <w:rPr>
          <w:color w:val="2255A6"/>
          <w:sz w:val="18"/>
        </w:rPr>
        <w:t> </w:t>
      </w:r>
      <w:hyperlink r:id="rId114">
        <w:r>
          <w:rPr>
            <w:color w:val="2255A6"/>
            <w:spacing w:val="-2"/>
            <w:sz w:val="18"/>
            <w:u w:val="single" w:color="2255A6"/>
          </w:rPr>
          <w:t>wp-content/uploads/2013/07/Basic-Emotions.pdf</w:t>
        </w:r>
      </w:hyperlink>
      <w:r>
        <w:rPr>
          <w:color w:val="231F20"/>
          <w:spacing w:val="-2"/>
          <w:sz w:val="18"/>
        </w:rPr>
        <w:t>.</w:t>
      </w:r>
    </w:p>
    <w:p>
      <w:pPr>
        <w:pStyle w:val="ListParagraph"/>
        <w:numPr>
          <w:ilvl w:val="0"/>
          <w:numId w:val="124"/>
        </w:numPr>
        <w:tabs>
          <w:tab w:pos="708" w:val="left" w:leader="none"/>
        </w:tabs>
        <w:spacing w:line="240" w:lineRule="auto" w:before="0" w:after="0"/>
        <w:ind w:left="708" w:right="422" w:hanging="284"/>
        <w:jc w:val="both"/>
        <w:rPr>
          <w:sz w:val="18"/>
        </w:rPr>
      </w:pPr>
      <w:r>
        <w:rPr>
          <w:color w:val="231F20"/>
          <w:sz w:val="18"/>
        </w:rPr>
        <w:t>González-Castro J.L. The Role of Emotional Intelligence and Sociocultural</w:t>
      </w:r>
      <w:r>
        <w:rPr>
          <w:color w:val="231F20"/>
          <w:spacing w:val="-1"/>
          <w:sz w:val="18"/>
        </w:rPr>
        <w:t> </w:t>
      </w:r>
      <w:r>
        <w:rPr>
          <w:color w:val="231F20"/>
          <w:sz w:val="18"/>
        </w:rPr>
        <w:t>Adjustment on</w:t>
      </w:r>
      <w:r>
        <w:rPr>
          <w:color w:val="231F20"/>
          <w:spacing w:val="-12"/>
          <w:sz w:val="18"/>
        </w:rPr>
        <w:t> </w:t>
      </w:r>
      <w:r>
        <w:rPr>
          <w:color w:val="231F20"/>
          <w:sz w:val="18"/>
        </w:rPr>
        <w:t>Migrants’</w:t>
      </w:r>
      <w:r>
        <w:rPr>
          <w:color w:val="231F20"/>
          <w:spacing w:val="-14"/>
          <w:sz w:val="18"/>
        </w:rPr>
        <w:t> </w:t>
      </w:r>
      <w:r>
        <w:rPr>
          <w:color w:val="231F20"/>
          <w:sz w:val="18"/>
        </w:rPr>
        <w:t>Self-reported</w:t>
      </w:r>
      <w:r>
        <w:rPr>
          <w:color w:val="231F20"/>
          <w:spacing w:val="-8"/>
          <w:sz w:val="18"/>
        </w:rPr>
        <w:t> </w:t>
      </w:r>
      <w:r>
        <w:rPr>
          <w:color w:val="231F20"/>
          <w:sz w:val="18"/>
        </w:rPr>
        <w:t>Mental</w:t>
      </w:r>
      <w:r>
        <w:rPr>
          <w:color w:val="231F20"/>
          <w:spacing w:val="-8"/>
          <w:sz w:val="18"/>
        </w:rPr>
        <w:t> </w:t>
      </w:r>
      <w:r>
        <w:rPr>
          <w:color w:val="231F20"/>
          <w:sz w:val="18"/>
        </w:rPr>
        <w:t>Well-Being</w:t>
      </w:r>
      <w:r>
        <w:rPr>
          <w:color w:val="231F20"/>
          <w:spacing w:val="-6"/>
          <w:sz w:val="18"/>
        </w:rPr>
        <w:t> </w:t>
      </w:r>
      <w:r>
        <w:rPr>
          <w:color w:val="231F20"/>
          <w:sz w:val="18"/>
        </w:rPr>
        <w:t>in</w:t>
      </w:r>
      <w:r>
        <w:rPr>
          <w:color w:val="231F20"/>
          <w:spacing w:val="-6"/>
          <w:sz w:val="18"/>
        </w:rPr>
        <w:t> </w:t>
      </w:r>
      <w:r>
        <w:rPr>
          <w:color w:val="231F20"/>
          <w:sz w:val="18"/>
        </w:rPr>
        <w:t>Spain:</w:t>
      </w:r>
      <w:r>
        <w:rPr>
          <w:color w:val="231F20"/>
          <w:spacing w:val="-12"/>
          <w:sz w:val="18"/>
        </w:rPr>
        <w:t> </w:t>
      </w:r>
      <w:r>
        <w:rPr>
          <w:color w:val="231F20"/>
          <w:sz w:val="18"/>
        </w:rPr>
        <w:t>A</w:t>
      </w:r>
      <w:r>
        <w:rPr>
          <w:color w:val="231F20"/>
          <w:spacing w:val="-11"/>
          <w:sz w:val="18"/>
        </w:rPr>
        <w:t> </w:t>
      </w:r>
      <w:r>
        <w:rPr>
          <w:color w:val="231F20"/>
          <w:sz w:val="18"/>
        </w:rPr>
        <w:t>14</w:t>
      </w:r>
      <w:r>
        <w:rPr>
          <w:color w:val="231F20"/>
          <w:spacing w:val="-5"/>
          <w:sz w:val="18"/>
        </w:rPr>
        <w:t> </w:t>
      </w:r>
      <w:r>
        <w:rPr>
          <w:color w:val="231F20"/>
          <w:sz w:val="18"/>
        </w:rPr>
        <w:t>Month</w:t>
      </w:r>
      <w:r>
        <w:rPr>
          <w:color w:val="231F20"/>
          <w:spacing w:val="-6"/>
          <w:sz w:val="18"/>
        </w:rPr>
        <w:t> </w:t>
      </w:r>
      <w:r>
        <w:rPr>
          <w:color w:val="231F20"/>
          <w:sz w:val="18"/>
        </w:rPr>
        <w:t>Follow-Up</w:t>
      </w:r>
      <w:r>
        <w:rPr>
          <w:color w:val="231F20"/>
          <w:spacing w:val="-6"/>
          <w:sz w:val="18"/>
        </w:rPr>
        <w:t> </w:t>
      </w:r>
      <w:r>
        <w:rPr>
          <w:color w:val="231F20"/>
          <w:sz w:val="18"/>
        </w:rPr>
        <w:t>Study.</w:t>
      </w:r>
      <w:r>
        <w:rPr>
          <w:color w:val="231F20"/>
          <w:spacing w:val="-6"/>
          <w:sz w:val="18"/>
        </w:rPr>
        <w:t> </w:t>
      </w:r>
      <w:r>
        <w:rPr>
          <w:color w:val="231F20"/>
          <w:sz w:val="18"/>
        </w:rPr>
        <w:t>//</w:t>
      </w:r>
    </w:p>
    <w:p>
      <w:pPr>
        <w:spacing w:before="0"/>
        <w:ind w:left="708" w:right="423" w:firstLine="0"/>
        <w:jc w:val="both"/>
        <w:rPr>
          <w:sz w:val="18"/>
        </w:rPr>
      </w:pPr>
      <w:r>
        <w:rPr>
          <w:color w:val="231F20"/>
          <w:sz w:val="18"/>
        </w:rPr>
        <w:t>J.L.</w:t>
      </w:r>
      <w:r>
        <w:rPr>
          <w:color w:val="231F20"/>
          <w:spacing w:val="-12"/>
          <w:sz w:val="18"/>
        </w:rPr>
        <w:t> </w:t>
      </w:r>
      <w:r>
        <w:rPr>
          <w:color w:val="231F20"/>
          <w:sz w:val="18"/>
        </w:rPr>
        <w:t>González-Castro,</w:t>
      </w:r>
      <w:r>
        <w:rPr>
          <w:color w:val="231F20"/>
          <w:spacing w:val="-11"/>
          <w:sz w:val="18"/>
        </w:rPr>
        <w:t> </w:t>
      </w:r>
      <w:r>
        <w:rPr>
          <w:color w:val="231F20"/>
          <w:sz w:val="18"/>
        </w:rPr>
        <w:t>S.</w:t>
      </w:r>
      <w:r>
        <w:rPr>
          <w:color w:val="231F20"/>
          <w:spacing w:val="-11"/>
          <w:sz w:val="18"/>
        </w:rPr>
        <w:t> </w:t>
      </w:r>
      <w:r>
        <w:rPr>
          <w:color w:val="231F20"/>
          <w:sz w:val="18"/>
        </w:rPr>
        <w:t>Ubillos</w:t>
      </w:r>
      <w:r>
        <w:rPr>
          <w:color w:val="231F20"/>
          <w:spacing w:val="-11"/>
          <w:sz w:val="18"/>
        </w:rPr>
        <w:t> </w:t>
      </w:r>
      <w:r>
        <w:rPr>
          <w:color w:val="231F20"/>
          <w:sz w:val="18"/>
        </w:rPr>
        <w:t>Landa,</w:t>
      </w:r>
      <w:r>
        <w:rPr>
          <w:color w:val="231F20"/>
          <w:spacing w:val="-12"/>
          <w:sz w:val="18"/>
        </w:rPr>
        <w:t> </w:t>
      </w:r>
      <w:r>
        <w:rPr>
          <w:color w:val="231F20"/>
          <w:sz w:val="18"/>
        </w:rPr>
        <w:t>A.</w:t>
      </w:r>
      <w:r>
        <w:rPr>
          <w:color w:val="231F20"/>
          <w:spacing w:val="-11"/>
          <w:sz w:val="18"/>
        </w:rPr>
        <w:t> </w:t>
      </w:r>
      <w:r>
        <w:rPr>
          <w:color w:val="231F20"/>
          <w:sz w:val="18"/>
        </w:rPr>
        <w:t>Puente</w:t>
      </w:r>
      <w:r>
        <w:rPr>
          <w:color w:val="231F20"/>
          <w:spacing w:val="-11"/>
          <w:sz w:val="18"/>
        </w:rPr>
        <w:t> </w:t>
      </w:r>
      <w:r>
        <w:rPr>
          <w:color w:val="231F20"/>
          <w:sz w:val="18"/>
        </w:rPr>
        <w:t>Martínez,</w:t>
      </w:r>
      <w:r>
        <w:rPr>
          <w:color w:val="231F20"/>
          <w:spacing w:val="-11"/>
          <w:sz w:val="18"/>
        </w:rPr>
        <w:t> </w:t>
      </w:r>
      <w:r>
        <w:rPr>
          <w:color w:val="231F20"/>
          <w:sz w:val="18"/>
        </w:rPr>
        <w:t>M.</w:t>
      </w:r>
      <w:r>
        <w:rPr>
          <w:color w:val="231F20"/>
          <w:spacing w:val="-12"/>
          <w:sz w:val="18"/>
        </w:rPr>
        <w:t> </w:t>
      </w:r>
      <w:r>
        <w:rPr>
          <w:color w:val="231F20"/>
          <w:sz w:val="18"/>
        </w:rPr>
        <w:t>Vera</w:t>
      </w:r>
      <w:r>
        <w:rPr>
          <w:color w:val="231F20"/>
          <w:spacing w:val="-11"/>
          <w:sz w:val="18"/>
        </w:rPr>
        <w:t> </w:t>
      </w:r>
      <w:r>
        <w:rPr>
          <w:color w:val="231F20"/>
          <w:sz w:val="18"/>
        </w:rPr>
        <w:t>Perea</w:t>
      </w:r>
      <w:r>
        <w:rPr>
          <w:color w:val="231F20"/>
          <w:spacing w:val="-11"/>
          <w:sz w:val="18"/>
        </w:rPr>
        <w:t> </w:t>
      </w:r>
      <w:r>
        <w:rPr>
          <w:color w:val="231F20"/>
          <w:sz w:val="18"/>
        </w:rPr>
        <w:t>/</w:t>
      </w:r>
      <w:r>
        <w:rPr>
          <w:color w:val="231F20"/>
          <w:spacing w:val="-11"/>
          <w:sz w:val="18"/>
        </w:rPr>
        <w:t> </w:t>
      </w:r>
      <w:r>
        <w:rPr>
          <w:color w:val="231F20"/>
          <w:sz w:val="18"/>
        </w:rPr>
        <w:t>Int</w:t>
      </w:r>
      <w:r>
        <w:rPr>
          <w:color w:val="231F20"/>
          <w:spacing w:val="-12"/>
          <w:sz w:val="18"/>
        </w:rPr>
        <w:t> </w:t>
      </w:r>
      <w:r>
        <w:rPr>
          <w:color w:val="231F20"/>
          <w:sz w:val="18"/>
        </w:rPr>
        <w:t>J</w:t>
      </w:r>
      <w:r>
        <w:rPr>
          <w:color w:val="231F20"/>
          <w:spacing w:val="-11"/>
          <w:sz w:val="18"/>
        </w:rPr>
        <w:t> </w:t>
      </w:r>
      <w:r>
        <w:rPr>
          <w:color w:val="231F20"/>
          <w:sz w:val="18"/>
        </w:rPr>
        <w:t>Environ Res Public Health. – 2020. – 13. – 17.– 15 p. DOI: 10.3390/ijerph17041206. PMID: 32069983; PMCID: PMC7068327.</w:t>
      </w:r>
    </w:p>
    <w:p>
      <w:pPr>
        <w:pStyle w:val="ListParagraph"/>
        <w:numPr>
          <w:ilvl w:val="0"/>
          <w:numId w:val="124"/>
        </w:numPr>
        <w:tabs>
          <w:tab w:pos="708" w:val="left" w:leader="none"/>
        </w:tabs>
        <w:spacing w:line="240" w:lineRule="auto" w:before="0" w:after="0"/>
        <w:ind w:left="708" w:right="423" w:hanging="284"/>
        <w:jc w:val="both"/>
        <w:rPr>
          <w:sz w:val="18"/>
        </w:rPr>
      </w:pPr>
      <w:r>
        <w:rPr>
          <w:color w:val="231F20"/>
          <w:sz w:val="18"/>
        </w:rPr>
        <w:t>Jack</w:t>
      </w:r>
      <w:r>
        <w:rPr>
          <w:color w:val="231F20"/>
          <w:spacing w:val="-1"/>
          <w:sz w:val="18"/>
        </w:rPr>
        <w:t> </w:t>
      </w:r>
      <w:r>
        <w:rPr>
          <w:color w:val="231F20"/>
          <w:sz w:val="18"/>
        </w:rPr>
        <w:t>R.E.</w:t>
      </w:r>
      <w:r>
        <w:rPr>
          <w:color w:val="231F20"/>
          <w:spacing w:val="-1"/>
          <w:sz w:val="18"/>
        </w:rPr>
        <w:t> </w:t>
      </w:r>
      <w:r>
        <w:rPr>
          <w:color w:val="231F20"/>
          <w:sz w:val="18"/>
        </w:rPr>
        <w:t>Facial</w:t>
      </w:r>
      <w:r>
        <w:rPr>
          <w:color w:val="231F20"/>
          <w:spacing w:val="-1"/>
          <w:sz w:val="18"/>
        </w:rPr>
        <w:t> </w:t>
      </w:r>
      <w:r>
        <w:rPr>
          <w:color w:val="231F20"/>
          <w:sz w:val="18"/>
        </w:rPr>
        <w:t>expressions</w:t>
      </w:r>
      <w:r>
        <w:rPr>
          <w:color w:val="231F20"/>
          <w:spacing w:val="-1"/>
          <w:sz w:val="18"/>
        </w:rPr>
        <w:t> </w:t>
      </w:r>
      <w:r>
        <w:rPr>
          <w:color w:val="231F20"/>
          <w:sz w:val="18"/>
        </w:rPr>
        <w:t>of</w:t>
      </w:r>
      <w:r>
        <w:rPr>
          <w:color w:val="231F20"/>
          <w:spacing w:val="-1"/>
          <w:sz w:val="18"/>
        </w:rPr>
        <w:t> </w:t>
      </w:r>
      <w:r>
        <w:rPr>
          <w:color w:val="231F20"/>
          <w:sz w:val="18"/>
        </w:rPr>
        <w:t>emotion</w:t>
      </w:r>
      <w:r>
        <w:rPr>
          <w:color w:val="231F20"/>
          <w:spacing w:val="-1"/>
          <w:sz w:val="18"/>
        </w:rPr>
        <w:t> </w:t>
      </w:r>
      <w:r>
        <w:rPr>
          <w:color w:val="231F20"/>
          <w:sz w:val="18"/>
        </w:rPr>
        <w:t>are</w:t>
      </w:r>
      <w:r>
        <w:rPr>
          <w:color w:val="231F20"/>
          <w:spacing w:val="-1"/>
          <w:sz w:val="18"/>
        </w:rPr>
        <w:t> </w:t>
      </w:r>
      <w:r>
        <w:rPr>
          <w:color w:val="231F20"/>
          <w:sz w:val="18"/>
        </w:rPr>
        <w:t>not</w:t>
      </w:r>
      <w:r>
        <w:rPr>
          <w:color w:val="231F20"/>
          <w:spacing w:val="-1"/>
          <w:sz w:val="18"/>
        </w:rPr>
        <w:t> </w:t>
      </w:r>
      <w:r>
        <w:rPr>
          <w:color w:val="231F20"/>
          <w:sz w:val="18"/>
        </w:rPr>
        <w:t>culturally</w:t>
      </w:r>
      <w:r>
        <w:rPr>
          <w:color w:val="231F20"/>
          <w:spacing w:val="-1"/>
          <w:sz w:val="18"/>
        </w:rPr>
        <w:t> </w:t>
      </w:r>
      <w:r>
        <w:rPr>
          <w:color w:val="231F20"/>
          <w:sz w:val="18"/>
        </w:rPr>
        <w:t>universal.</w:t>
      </w:r>
      <w:r>
        <w:rPr>
          <w:color w:val="231F20"/>
          <w:spacing w:val="-1"/>
          <w:sz w:val="18"/>
        </w:rPr>
        <w:t> </w:t>
      </w:r>
      <w:r>
        <w:rPr>
          <w:color w:val="231F20"/>
          <w:sz w:val="18"/>
        </w:rPr>
        <w:t>//</w:t>
      </w:r>
      <w:r>
        <w:rPr>
          <w:color w:val="231F20"/>
          <w:spacing w:val="-1"/>
          <w:sz w:val="18"/>
        </w:rPr>
        <w:t> </w:t>
      </w:r>
      <w:r>
        <w:rPr>
          <w:color w:val="231F20"/>
          <w:sz w:val="18"/>
        </w:rPr>
        <w:t>R.E.</w:t>
      </w:r>
      <w:r>
        <w:rPr>
          <w:color w:val="231F20"/>
          <w:spacing w:val="-1"/>
          <w:sz w:val="18"/>
        </w:rPr>
        <w:t> </w:t>
      </w:r>
      <w:r>
        <w:rPr>
          <w:color w:val="231F20"/>
          <w:sz w:val="18"/>
        </w:rPr>
        <w:t>Jack,</w:t>
      </w:r>
      <w:r>
        <w:rPr>
          <w:color w:val="231F20"/>
          <w:spacing w:val="-2"/>
          <w:sz w:val="18"/>
        </w:rPr>
        <w:t> </w:t>
      </w:r>
      <w:r>
        <w:rPr>
          <w:color w:val="231F20"/>
          <w:sz w:val="18"/>
        </w:rPr>
        <w:t>O.G.B. Garrod,</w:t>
      </w:r>
      <w:r>
        <w:rPr>
          <w:color w:val="231F20"/>
          <w:spacing w:val="-3"/>
          <w:sz w:val="18"/>
        </w:rPr>
        <w:t> </w:t>
      </w:r>
      <w:r>
        <w:rPr>
          <w:color w:val="231F20"/>
          <w:sz w:val="18"/>
        </w:rPr>
        <w:t>H. Yu,</w:t>
      </w:r>
      <w:r>
        <w:rPr>
          <w:color w:val="231F20"/>
          <w:spacing w:val="-3"/>
          <w:sz w:val="18"/>
        </w:rPr>
        <w:t> </w:t>
      </w:r>
      <w:r>
        <w:rPr>
          <w:color w:val="231F20"/>
          <w:sz w:val="18"/>
        </w:rPr>
        <w:t>R. Caldara, P.G. Schyns / Edited by James L. McClelland, Stanford University, Stanford, CA. – 2012. – 109</w:t>
      </w:r>
      <w:r>
        <w:rPr>
          <w:color w:val="231F20"/>
          <w:spacing w:val="-1"/>
          <w:sz w:val="18"/>
        </w:rPr>
        <w:t> </w:t>
      </w:r>
      <w:r>
        <w:rPr>
          <w:color w:val="231F20"/>
          <w:sz w:val="18"/>
        </w:rPr>
        <w:t>(19) – pp.</w:t>
      </w:r>
      <w:r>
        <w:rPr>
          <w:color w:val="231F20"/>
          <w:spacing w:val="-1"/>
          <w:sz w:val="18"/>
        </w:rPr>
        <w:t> </w:t>
      </w:r>
      <w:r>
        <w:rPr>
          <w:color w:val="231F20"/>
          <w:sz w:val="18"/>
        </w:rPr>
        <w:t>7241–7244. DOI:</w:t>
      </w:r>
      <w:r>
        <w:rPr>
          <w:color w:val="231F20"/>
          <w:spacing w:val="-1"/>
          <w:sz w:val="18"/>
        </w:rPr>
        <w:t> </w:t>
      </w:r>
      <w:r>
        <w:rPr>
          <w:color w:val="231F20"/>
          <w:sz w:val="18"/>
        </w:rPr>
        <w:t>10.1073/ </w:t>
      </w:r>
      <w:r>
        <w:rPr>
          <w:color w:val="231F20"/>
          <w:spacing w:val="-2"/>
          <w:sz w:val="18"/>
        </w:rPr>
        <w:t>pnas.1200155109.</w:t>
      </w:r>
    </w:p>
    <w:p>
      <w:pPr>
        <w:pStyle w:val="ListParagraph"/>
        <w:numPr>
          <w:ilvl w:val="0"/>
          <w:numId w:val="124"/>
        </w:numPr>
        <w:tabs>
          <w:tab w:pos="282" w:val="left" w:leader="none"/>
        </w:tabs>
        <w:spacing w:line="203" w:lineRule="exact" w:before="0" w:after="0"/>
        <w:ind w:left="282" w:right="422" w:hanging="282"/>
        <w:jc w:val="right"/>
        <w:rPr>
          <w:sz w:val="18"/>
        </w:rPr>
      </w:pPr>
      <w:r>
        <w:rPr>
          <w:color w:val="231F20"/>
          <w:sz w:val="18"/>
        </w:rPr>
        <w:t>Jamieson</w:t>
      </w:r>
      <w:r>
        <w:rPr>
          <w:color w:val="231F20"/>
          <w:spacing w:val="-9"/>
          <w:sz w:val="18"/>
        </w:rPr>
        <w:t> </w:t>
      </w:r>
      <w:r>
        <w:rPr>
          <w:color w:val="231F20"/>
          <w:sz w:val="18"/>
        </w:rPr>
        <w:t>J.P.</w:t>
      </w:r>
      <w:r>
        <w:rPr>
          <w:color w:val="231F20"/>
          <w:spacing w:val="-8"/>
          <w:sz w:val="18"/>
        </w:rPr>
        <w:t> </w:t>
      </w:r>
      <w:r>
        <w:rPr>
          <w:color w:val="231F20"/>
          <w:sz w:val="18"/>
        </w:rPr>
        <w:t>Improving</w:t>
      </w:r>
      <w:r>
        <w:rPr>
          <w:color w:val="231F20"/>
          <w:spacing w:val="-8"/>
          <w:sz w:val="18"/>
        </w:rPr>
        <w:t> </w:t>
      </w:r>
      <w:r>
        <w:rPr>
          <w:color w:val="231F20"/>
          <w:sz w:val="18"/>
        </w:rPr>
        <w:t>acute</w:t>
      </w:r>
      <w:r>
        <w:rPr>
          <w:color w:val="231F20"/>
          <w:spacing w:val="-8"/>
          <w:sz w:val="18"/>
        </w:rPr>
        <w:t> </w:t>
      </w:r>
      <w:r>
        <w:rPr>
          <w:color w:val="231F20"/>
          <w:sz w:val="18"/>
        </w:rPr>
        <w:t>stress</w:t>
      </w:r>
      <w:r>
        <w:rPr>
          <w:color w:val="231F20"/>
          <w:spacing w:val="-9"/>
          <w:sz w:val="18"/>
        </w:rPr>
        <w:t> </w:t>
      </w:r>
      <w:r>
        <w:rPr>
          <w:color w:val="231F20"/>
          <w:sz w:val="18"/>
        </w:rPr>
        <w:t>responses:</w:t>
      </w:r>
      <w:r>
        <w:rPr>
          <w:color w:val="231F20"/>
          <w:spacing w:val="-10"/>
          <w:sz w:val="18"/>
        </w:rPr>
        <w:t> </w:t>
      </w:r>
      <w:r>
        <w:rPr>
          <w:color w:val="231F20"/>
          <w:sz w:val="18"/>
        </w:rPr>
        <w:t>The</w:t>
      </w:r>
      <w:r>
        <w:rPr>
          <w:color w:val="231F20"/>
          <w:spacing w:val="-8"/>
          <w:sz w:val="18"/>
        </w:rPr>
        <w:t> </w:t>
      </w:r>
      <w:r>
        <w:rPr>
          <w:color w:val="231F20"/>
          <w:sz w:val="18"/>
        </w:rPr>
        <w:t>power</w:t>
      </w:r>
      <w:r>
        <w:rPr>
          <w:color w:val="231F20"/>
          <w:spacing w:val="-9"/>
          <w:sz w:val="18"/>
        </w:rPr>
        <w:t> </w:t>
      </w:r>
      <w:r>
        <w:rPr>
          <w:color w:val="231F20"/>
          <w:sz w:val="18"/>
        </w:rPr>
        <w:t>of</w:t>
      </w:r>
      <w:r>
        <w:rPr>
          <w:color w:val="231F20"/>
          <w:spacing w:val="-8"/>
          <w:sz w:val="18"/>
        </w:rPr>
        <w:t> </w:t>
      </w:r>
      <w:r>
        <w:rPr>
          <w:color w:val="231F20"/>
          <w:sz w:val="18"/>
        </w:rPr>
        <w:t>reappraisal</w:t>
      </w:r>
      <w:r>
        <w:rPr>
          <w:color w:val="231F20"/>
          <w:spacing w:val="-8"/>
          <w:sz w:val="18"/>
        </w:rPr>
        <w:t> </w:t>
      </w:r>
      <w:r>
        <w:rPr>
          <w:color w:val="231F20"/>
          <w:sz w:val="18"/>
        </w:rPr>
        <w:t>//</w:t>
      </w:r>
      <w:r>
        <w:rPr>
          <w:color w:val="231F20"/>
          <w:spacing w:val="-8"/>
          <w:sz w:val="18"/>
        </w:rPr>
        <w:t> </w:t>
      </w:r>
      <w:r>
        <w:rPr>
          <w:color w:val="231F20"/>
          <w:sz w:val="18"/>
        </w:rPr>
        <w:t>J.P.</w:t>
      </w:r>
      <w:r>
        <w:rPr>
          <w:color w:val="231F20"/>
          <w:spacing w:val="-8"/>
          <w:sz w:val="18"/>
        </w:rPr>
        <w:t> </w:t>
      </w:r>
      <w:r>
        <w:rPr>
          <w:color w:val="231F20"/>
          <w:spacing w:val="-2"/>
          <w:sz w:val="18"/>
        </w:rPr>
        <w:t>Jamieson,</w:t>
      </w:r>
    </w:p>
    <w:p>
      <w:pPr>
        <w:spacing w:line="206" w:lineRule="exact" w:before="0"/>
        <w:ind w:left="141" w:right="423" w:firstLine="0"/>
        <w:jc w:val="right"/>
        <w:rPr>
          <w:sz w:val="18"/>
        </w:rPr>
      </w:pPr>
      <w:r>
        <w:rPr>
          <w:color w:val="231F20"/>
          <w:spacing w:val="-2"/>
          <w:sz w:val="18"/>
        </w:rPr>
        <w:t>W.B.</w:t>
      </w:r>
      <w:r>
        <w:rPr>
          <w:color w:val="231F20"/>
          <w:spacing w:val="-5"/>
          <w:sz w:val="18"/>
        </w:rPr>
        <w:t> </w:t>
      </w:r>
      <w:r>
        <w:rPr>
          <w:color w:val="231F20"/>
          <w:spacing w:val="-2"/>
          <w:sz w:val="18"/>
        </w:rPr>
        <w:t>Mendes,</w:t>
      </w:r>
      <w:r>
        <w:rPr>
          <w:color w:val="231F20"/>
          <w:spacing w:val="-4"/>
          <w:sz w:val="18"/>
        </w:rPr>
        <w:t> </w:t>
      </w:r>
      <w:r>
        <w:rPr>
          <w:color w:val="231F20"/>
          <w:spacing w:val="-2"/>
          <w:sz w:val="18"/>
        </w:rPr>
        <w:t>M.K.</w:t>
      </w:r>
      <w:r>
        <w:rPr>
          <w:color w:val="231F20"/>
          <w:spacing w:val="-5"/>
          <w:sz w:val="18"/>
        </w:rPr>
        <w:t> </w:t>
      </w:r>
      <w:r>
        <w:rPr>
          <w:color w:val="231F20"/>
          <w:spacing w:val="-2"/>
          <w:sz w:val="18"/>
        </w:rPr>
        <w:t>Nock</w:t>
      </w:r>
      <w:r>
        <w:rPr>
          <w:color w:val="231F20"/>
          <w:spacing w:val="-4"/>
          <w:sz w:val="18"/>
        </w:rPr>
        <w:t> </w:t>
      </w:r>
      <w:r>
        <w:rPr>
          <w:color w:val="231F20"/>
          <w:spacing w:val="-2"/>
          <w:sz w:val="18"/>
        </w:rPr>
        <w:t>/</w:t>
      </w:r>
      <w:r>
        <w:rPr>
          <w:color w:val="231F20"/>
          <w:spacing w:val="-5"/>
          <w:sz w:val="18"/>
        </w:rPr>
        <w:t> </w:t>
      </w:r>
      <w:r>
        <w:rPr>
          <w:color w:val="231F20"/>
          <w:spacing w:val="-2"/>
          <w:sz w:val="18"/>
        </w:rPr>
        <w:t>Current</w:t>
      </w:r>
      <w:r>
        <w:rPr>
          <w:color w:val="231F20"/>
          <w:spacing w:val="-4"/>
          <w:sz w:val="18"/>
        </w:rPr>
        <w:t> </w:t>
      </w:r>
      <w:r>
        <w:rPr>
          <w:color w:val="231F20"/>
          <w:spacing w:val="-2"/>
          <w:sz w:val="18"/>
        </w:rPr>
        <w:t>Directions</w:t>
      </w:r>
      <w:r>
        <w:rPr>
          <w:color w:val="231F20"/>
          <w:spacing w:val="-5"/>
          <w:sz w:val="18"/>
        </w:rPr>
        <w:t> </w:t>
      </w:r>
      <w:r>
        <w:rPr>
          <w:color w:val="231F20"/>
          <w:spacing w:val="-2"/>
          <w:sz w:val="18"/>
        </w:rPr>
        <w:t>in</w:t>
      </w:r>
      <w:r>
        <w:rPr>
          <w:color w:val="231F20"/>
          <w:spacing w:val="-4"/>
          <w:sz w:val="18"/>
        </w:rPr>
        <w:t> </w:t>
      </w:r>
      <w:r>
        <w:rPr>
          <w:color w:val="231F20"/>
          <w:spacing w:val="-2"/>
          <w:sz w:val="18"/>
        </w:rPr>
        <w:t>Psychological</w:t>
      </w:r>
      <w:r>
        <w:rPr>
          <w:color w:val="231F20"/>
          <w:spacing w:val="-5"/>
          <w:sz w:val="18"/>
        </w:rPr>
        <w:t> </w:t>
      </w:r>
      <w:r>
        <w:rPr>
          <w:color w:val="231F20"/>
          <w:spacing w:val="-2"/>
          <w:sz w:val="18"/>
        </w:rPr>
        <w:t>Science.</w:t>
      </w:r>
      <w:r>
        <w:rPr>
          <w:color w:val="231F20"/>
          <w:spacing w:val="-4"/>
          <w:sz w:val="18"/>
        </w:rPr>
        <w:t> </w:t>
      </w:r>
      <w:r>
        <w:rPr>
          <w:color w:val="231F20"/>
          <w:spacing w:val="-2"/>
          <w:sz w:val="18"/>
        </w:rPr>
        <w:t>–</w:t>
      </w:r>
      <w:r>
        <w:rPr>
          <w:color w:val="231F20"/>
          <w:spacing w:val="-5"/>
          <w:sz w:val="18"/>
        </w:rPr>
        <w:t> </w:t>
      </w:r>
      <w:r>
        <w:rPr>
          <w:color w:val="231F20"/>
          <w:spacing w:val="-2"/>
          <w:sz w:val="18"/>
        </w:rPr>
        <w:t>2013.</w:t>
      </w:r>
      <w:r>
        <w:rPr>
          <w:color w:val="231F20"/>
          <w:spacing w:val="-4"/>
          <w:sz w:val="18"/>
        </w:rPr>
        <w:t> </w:t>
      </w:r>
      <w:r>
        <w:rPr>
          <w:color w:val="231F20"/>
          <w:spacing w:val="-2"/>
          <w:sz w:val="18"/>
        </w:rPr>
        <w:t>–</w:t>
      </w:r>
      <w:r>
        <w:rPr>
          <w:color w:val="231F20"/>
          <w:spacing w:val="-4"/>
          <w:sz w:val="18"/>
        </w:rPr>
        <w:t> </w:t>
      </w:r>
      <w:r>
        <w:rPr>
          <w:color w:val="231F20"/>
          <w:spacing w:val="-2"/>
          <w:sz w:val="18"/>
        </w:rPr>
        <w:t>Т.</w:t>
      </w:r>
      <w:r>
        <w:rPr>
          <w:color w:val="231F20"/>
          <w:spacing w:val="-3"/>
          <w:sz w:val="18"/>
        </w:rPr>
        <w:t> </w:t>
      </w:r>
      <w:r>
        <w:rPr>
          <w:color w:val="231F20"/>
          <w:spacing w:val="-2"/>
          <w:sz w:val="18"/>
        </w:rPr>
        <w:t>22.</w:t>
      </w:r>
      <w:r>
        <w:rPr>
          <w:color w:val="231F20"/>
          <w:spacing w:val="-4"/>
          <w:sz w:val="18"/>
        </w:rPr>
        <w:t> </w:t>
      </w:r>
      <w:r>
        <w:rPr>
          <w:color w:val="231F20"/>
          <w:spacing w:val="-10"/>
          <w:sz w:val="18"/>
        </w:rPr>
        <w:t>–</w:t>
      </w:r>
    </w:p>
    <w:p>
      <w:pPr>
        <w:spacing w:line="206" w:lineRule="exact" w:before="0"/>
        <w:ind w:left="708" w:right="0" w:firstLine="0"/>
        <w:jc w:val="both"/>
        <w:rPr>
          <w:sz w:val="18"/>
        </w:rPr>
      </w:pPr>
      <w:r>
        <w:rPr>
          <w:color w:val="231F20"/>
          <w:sz w:val="18"/>
        </w:rPr>
        <w:t>№</w:t>
      </w:r>
      <w:r>
        <w:rPr>
          <w:color w:val="231F20"/>
          <w:spacing w:val="1"/>
          <w:sz w:val="18"/>
        </w:rPr>
        <w:t> </w:t>
      </w:r>
      <w:r>
        <w:rPr>
          <w:color w:val="231F20"/>
          <w:sz w:val="18"/>
        </w:rPr>
        <w:t>1.</w:t>
      </w:r>
      <w:r>
        <w:rPr>
          <w:color w:val="231F20"/>
          <w:spacing w:val="2"/>
          <w:sz w:val="18"/>
        </w:rPr>
        <w:t> </w:t>
      </w:r>
      <w:r>
        <w:rPr>
          <w:color w:val="231F20"/>
          <w:sz w:val="18"/>
        </w:rPr>
        <w:t>–</w:t>
      </w:r>
      <w:r>
        <w:rPr>
          <w:color w:val="231F20"/>
          <w:spacing w:val="3"/>
          <w:sz w:val="18"/>
        </w:rPr>
        <w:t> </w:t>
      </w:r>
      <w:r>
        <w:rPr>
          <w:color w:val="231F20"/>
          <w:sz w:val="18"/>
        </w:rPr>
        <w:t>p.</w:t>
      </w:r>
      <w:r>
        <w:rPr>
          <w:color w:val="231F20"/>
          <w:spacing w:val="2"/>
          <w:sz w:val="18"/>
        </w:rPr>
        <w:t> </w:t>
      </w:r>
      <w:r>
        <w:rPr>
          <w:color w:val="231F20"/>
          <w:sz w:val="18"/>
        </w:rPr>
        <w:t>51–56.</w:t>
      </w:r>
      <w:r>
        <w:rPr>
          <w:color w:val="231F20"/>
          <w:spacing w:val="6"/>
          <w:sz w:val="18"/>
        </w:rPr>
        <w:t> </w:t>
      </w:r>
      <w:r>
        <w:rPr>
          <w:color w:val="231F20"/>
          <w:sz w:val="18"/>
        </w:rPr>
        <w:t>DOI:</w:t>
      </w:r>
      <w:r>
        <w:rPr>
          <w:color w:val="231F20"/>
          <w:spacing w:val="3"/>
          <w:sz w:val="18"/>
        </w:rPr>
        <w:t> </w:t>
      </w:r>
      <w:r>
        <w:rPr>
          <w:color w:val="231F20"/>
          <w:spacing w:val="-2"/>
          <w:sz w:val="18"/>
        </w:rPr>
        <w:t>10.1177/0963721412461500.</w:t>
      </w:r>
    </w:p>
    <w:p>
      <w:pPr>
        <w:pStyle w:val="ListParagraph"/>
        <w:numPr>
          <w:ilvl w:val="0"/>
          <w:numId w:val="124"/>
        </w:numPr>
        <w:tabs>
          <w:tab w:pos="708" w:val="left" w:leader="none"/>
        </w:tabs>
        <w:spacing w:line="206" w:lineRule="exact" w:before="0" w:after="0"/>
        <w:ind w:left="708" w:right="0" w:hanging="283"/>
        <w:jc w:val="both"/>
        <w:rPr>
          <w:sz w:val="18"/>
        </w:rPr>
      </w:pPr>
      <w:r>
        <w:rPr>
          <w:color w:val="231F20"/>
          <w:sz w:val="18"/>
        </w:rPr>
        <w:t>Larsen</w:t>
      </w:r>
      <w:r>
        <w:rPr>
          <w:color w:val="231F20"/>
          <w:spacing w:val="22"/>
          <w:sz w:val="18"/>
        </w:rPr>
        <w:t> </w:t>
      </w:r>
      <w:r>
        <w:rPr>
          <w:color w:val="231F20"/>
          <w:sz w:val="18"/>
        </w:rPr>
        <w:t>R.J.</w:t>
      </w:r>
      <w:r>
        <w:rPr>
          <w:color w:val="231F20"/>
          <w:spacing w:val="22"/>
          <w:sz w:val="18"/>
        </w:rPr>
        <w:t> </w:t>
      </w:r>
      <w:r>
        <w:rPr>
          <w:color w:val="231F20"/>
          <w:sz w:val="18"/>
        </w:rPr>
        <w:t>Regulation</w:t>
      </w:r>
      <w:r>
        <w:rPr>
          <w:color w:val="231F20"/>
          <w:spacing w:val="22"/>
          <w:sz w:val="18"/>
        </w:rPr>
        <w:t> </w:t>
      </w:r>
      <w:r>
        <w:rPr>
          <w:color w:val="231F20"/>
          <w:sz w:val="18"/>
        </w:rPr>
        <w:t>of</w:t>
      </w:r>
      <w:r>
        <w:rPr>
          <w:color w:val="231F20"/>
          <w:spacing w:val="22"/>
          <w:sz w:val="18"/>
        </w:rPr>
        <w:t> </w:t>
      </w:r>
      <w:r>
        <w:rPr>
          <w:color w:val="231F20"/>
          <w:sz w:val="18"/>
        </w:rPr>
        <w:t>emotional</w:t>
      </w:r>
      <w:r>
        <w:rPr>
          <w:color w:val="231F20"/>
          <w:spacing w:val="22"/>
          <w:sz w:val="18"/>
        </w:rPr>
        <w:t> </w:t>
      </w:r>
      <w:r>
        <w:rPr>
          <w:color w:val="231F20"/>
          <w:sz w:val="18"/>
        </w:rPr>
        <w:t>well-being:</w:t>
      </w:r>
      <w:r>
        <w:rPr>
          <w:color w:val="231F20"/>
          <w:spacing w:val="22"/>
          <w:sz w:val="18"/>
        </w:rPr>
        <w:t> </w:t>
      </w:r>
      <w:r>
        <w:rPr>
          <w:color w:val="231F20"/>
          <w:sz w:val="18"/>
        </w:rPr>
        <w:t>Overcoming</w:t>
      </w:r>
      <w:r>
        <w:rPr>
          <w:color w:val="231F20"/>
          <w:spacing w:val="22"/>
          <w:sz w:val="18"/>
        </w:rPr>
        <w:t> </w:t>
      </w:r>
      <w:r>
        <w:rPr>
          <w:color w:val="231F20"/>
          <w:sz w:val="18"/>
        </w:rPr>
        <w:t>the</w:t>
      </w:r>
      <w:r>
        <w:rPr>
          <w:color w:val="231F20"/>
          <w:spacing w:val="22"/>
          <w:sz w:val="18"/>
        </w:rPr>
        <w:t> </w:t>
      </w:r>
      <w:r>
        <w:rPr>
          <w:color w:val="231F20"/>
          <w:sz w:val="18"/>
        </w:rPr>
        <w:t>hedonic</w:t>
      </w:r>
      <w:r>
        <w:rPr>
          <w:color w:val="231F20"/>
          <w:spacing w:val="22"/>
          <w:sz w:val="18"/>
        </w:rPr>
        <w:t> </w:t>
      </w:r>
      <w:r>
        <w:rPr>
          <w:color w:val="231F20"/>
          <w:sz w:val="18"/>
        </w:rPr>
        <w:t>treadmill.</w:t>
      </w:r>
      <w:r>
        <w:rPr>
          <w:color w:val="231F20"/>
          <w:spacing w:val="22"/>
          <w:sz w:val="18"/>
        </w:rPr>
        <w:t> </w:t>
      </w:r>
      <w:r>
        <w:rPr>
          <w:color w:val="231F20"/>
          <w:spacing w:val="-5"/>
          <w:sz w:val="18"/>
        </w:rPr>
        <w:t>//</w:t>
      </w:r>
    </w:p>
    <w:p>
      <w:pPr>
        <w:spacing w:before="0"/>
        <w:ind w:left="708" w:right="423" w:firstLine="0"/>
        <w:jc w:val="both"/>
        <w:rPr>
          <w:sz w:val="18"/>
        </w:rPr>
      </w:pPr>
      <w:r>
        <w:rPr>
          <w:color w:val="231F20"/>
          <w:sz w:val="18"/>
        </w:rPr>
        <w:t>R.J.</w:t>
      </w:r>
      <w:r>
        <w:rPr>
          <w:color w:val="231F20"/>
          <w:spacing w:val="-6"/>
          <w:sz w:val="18"/>
        </w:rPr>
        <w:t> </w:t>
      </w:r>
      <w:r>
        <w:rPr>
          <w:color w:val="231F20"/>
          <w:sz w:val="18"/>
        </w:rPr>
        <w:t>Larsen,</w:t>
      </w:r>
      <w:r>
        <w:rPr>
          <w:color w:val="231F20"/>
          <w:spacing w:val="-6"/>
          <w:sz w:val="18"/>
        </w:rPr>
        <w:t> </w:t>
      </w:r>
      <w:r>
        <w:rPr>
          <w:color w:val="231F20"/>
          <w:sz w:val="18"/>
        </w:rPr>
        <w:t>Z.</w:t>
      </w:r>
      <w:r>
        <w:rPr>
          <w:color w:val="231F20"/>
          <w:spacing w:val="-6"/>
          <w:sz w:val="18"/>
        </w:rPr>
        <w:t> </w:t>
      </w:r>
      <w:r>
        <w:rPr>
          <w:color w:val="231F20"/>
          <w:sz w:val="18"/>
        </w:rPr>
        <w:t>Prizmic</w:t>
      </w:r>
      <w:r>
        <w:rPr>
          <w:color w:val="231F20"/>
          <w:spacing w:val="-6"/>
          <w:sz w:val="18"/>
        </w:rPr>
        <w:t> </w:t>
      </w:r>
      <w:r>
        <w:rPr>
          <w:color w:val="231F20"/>
          <w:sz w:val="18"/>
        </w:rPr>
        <w:t>/</w:t>
      </w:r>
      <w:r>
        <w:rPr>
          <w:color w:val="231F20"/>
          <w:spacing w:val="-6"/>
          <w:sz w:val="18"/>
        </w:rPr>
        <w:t> </w:t>
      </w:r>
      <w:r>
        <w:rPr>
          <w:color w:val="231F20"/>
          <w:sz w:val="18"/>
        </w:rPr>
        <w:t>In:</w:t>
      </w:r>
      <w:r>
        <w:rPr>
          <w:color w:val="231F20"/>
          <w:spacing w:val="-6"/>
          <w:sz w:val="18"/>
        </w:rPr>
        <w:t> </w:t>
      </w:r>
      <w:r>
        <w:rPr>
          <w:color w:val="231F20"/>
          <w:sz w:val="18"/>
        </w:rPr>
        <w:t>Eid</w:t>
      </w:r>
      <w:r>
        <w:rPr>
          <w:color w:val="231F20"/>
          <w:spacing w:val="-6"/>
          <w:sz w:val="18"/>
        </w:rPr>
        <w:t> </w:t>
      </w:r>
      <w:r>
        <w:rPr>
          <w:color w:val="231F20"/>
          <w:sz w:val="18"/>
        </w:rPr>
        <w:t>M.,</w:t>
      </w:r>
      <w:r>
        <w:rPr>
          <w:color w:val="231F20"/>
          <w:spacing w:val="-6"/>
          <w:sz w:val="18"/>
        </w:rPr>
        <w:t> </w:t>
      </w:r>
      <w:r>
        <w:rPr>
          <w:color w:val="231F20"/>
          <w:sz w:val="18"/>
        </w:rPr>
        <w:t>Larsen</w:t>
      </w:r>
      <w:r>
        <w:rPr>
          <w:color w:val="231F20"/>
          <w:spacing w:val="-6"/>
          <w:sz w:val="18"/>
        </w:rPr>
        <w:t> </w:t>
      </w:r>
      <w:r>
        <w:rPr>
          <w:color w:val="231F20"/>
          <w:sz w:val="18"/>
        </w:rPr>
        <w:t>R.J.,</w:t>
      </w:r>
      <w:r>
        <w:rPr>
          <w:color w:val="231F20"/>
          <w:spacing w:val="-6"/>
          <w:sz w:val="18"/>
        </w:rPr>
        <w:t> </w:t>
      </w:r>
      <w:r>
        <w:rPr>
          <w:color w:val="231F20"/>
          <w:sz w:val="18"/>
        </w:rPr>
        <w:t>editors.</w:t>
      </w:r>
      <w:r>
        <w:rPr>
          <w:color w:val="231F20"/>
          <w:spacing w:val="-3"/>
          <w:sz w:val="18"/>
        </w:rPr>
        <w:t> </w:t>
      </w:r>
      <w:r>
        <w:rPr>
          <w:color w:val="231F20"/>
          <w:sz w:val="18"/>
        </w:rPr>
        <w:t>The</w:t>
      </w:r>
      <w:r>
        <w:rPr>
          <w:color w:val="231F20"/>
          <w:spacing w:val="-6"/>
          <w:sz w:val="18"/>
        </w:rPr>
        <w:t> </w:t>
      </w:r>
      <w:r>
        <w:rPr>
          <w:color w:val="231F20"/>
          <w:sz w:val="18"/>
        </w:rPr>
        <w:t>Science</w:t>
      </w:r>
      <w:r>
        <w:rPr>
          <w:color w:val="231F20"/>
          <w:spacing w:val="-6"/>
          <w:sz w:val="18"/>
        </w:rPr>
        <w:t> </w:t>
      </w:r>
      <w:r>
        <w:rPr>
          <w:color w:val="231F20"/>
          <w:sz w:val="18"/>
        </w:rPr>
        <w:t>of</w:t>
      </w:r>
      <w:r>
        <w:rPr>
          <w:color w:val="231F20"/>
          <w:spacing w:val="-6"/>
          <w:sz w:val="18"/>
        </w:rPr>
        <w:t> </w:t>
      </w:r>
      <w:r>
        <w:rPr>
          <w:color w:val="231F20"/>
          <w:sz w:val="18"/>
        </w:rPr>
        <w:t>Subjective</w:t>
      </w:r>
      <w:r>
        <w:rPr>
          <w:color w:val="231F20"/>
          <w:spacing w:val="-10"/>
          <w:sz w:val="18"/>
        </w:rPr>
        <w:t> </w:t>
      </w:r>
      <w:r>
        <w:rPr>
          <w:color w:val="231F20"/>
          <w:sz w:val="18"/>
        </w:rPr>
        <w:t>Well- Being. NY, USA. – 2008. – pp. 258–289.</w:t>
      </w:r>
    </w:p>
    <w:p>
      <w:pPr>
        <w:pStyle w:val="ListParagraph"/>
        <w:numPr>
          <w:ilvl w:val="0"/>
          <w:numId w:val="124"/>
        </w:numPr>
        <w:tabs>
          <w:tab w:pos="708" w:val="left" w:leader="none"/>
        </w:tabs>
        <w:spacing w:line="240" w:lineRule="auto" w:before="0" w:after="0"/>
        <w:ind w:left="708" w:right="422" w:hanging="284"/>
        <w:jc w:val="both"/>
        <w:rPr>
          <w:sz w:val="18"/>
        </w:rPr>
      </w:pPr>
      <w:r>
        <w:rPr>
          <w:color w:val="231F20"/>
          <w:sz w:val="18"/>
        </w:rPr>
        <w:t>Peña-Acuña B. Ethnography and emotions: cultural intelligence applied to </w:t>
      </w:r>
      <w:r>
        <w:rPr>
          <w:color w:val="231F20"/>
          <w:sz w:val="18"/>
        </w:rPr>
        <w:t>motherhood migration process // B. Peña-Acuña, C. G. Pisonero / Procedia-Social and Behavioral Sciences. – 2017. – Т. 237. – pp. 446-451.</w:t>
      </w:r>
    </w:p>
    <w:p>
      <w:pPr>
        <w:pStyle w:val="ListParagraph"/>
        <w:numPr>
          <w:ilvl w:val="0"/>
          <w:numId w:val="124"/>
        </w:numPr>
        <w:tabs>
          <w:tab w:pos="708" w:val="left" w:leader="none"/>
        </w:tabs>
        <w:spacing w:line="240" w:lineRule="auto" w:before="0" w:after="0"/>
        <w:ind w:left="708" w:right="422" w:hanging="284"/>
        <w:jc w:val="both"/>
        <w:rPr>
          <w:sz w:val="18"/>
        </w:rPr>
      </w:pPr>
      <w:r>
        <w:rPr>
          <w:color w:val="231F20"/>
          <w:sz w:val="18"/>
        </w:rPr>
        <w:t>Жуковская</w:t>
      </w:r>
      <w:r>
        <w:rPr>
          <w:color w:val="231F20"/>
          <w:spacing w:val="-12"/>
          <w:sz w:val="18"/>
        </w:rPr>
        <w:t> </w:t>
      </w:r>
      <w:r>
        <w:rPr>
          <w:color w:val="231F20"/>
          <w:sz w:val="18"/>
        </w:rPr>
        <w:t>Л.В.,</w:t>
      </w:r>
      <w:r>
        <w:rPr>
          <w:color w:val="231F20"/>
          <w:spacing w:val="-11"/>
          <w:sz w:val="18"/>
        </w:rPr>
        <w:t> </w:t>
      </w:r>
      <w:r>
        <w:rPr>
          <w:color w:val="231F20"/>
          <w:sz w:val="18"/>
        </w:rPr>
        <w:t>Трошихина</w:t>
      </w:r>
      <w:r>
        <w:rPr>
          <w:color w:val="231F20"/>
          <w:spacing w:val="-11"/>
          <w:sz w:val="18"/>
        </w:rPr>
        <w:t> </w:t>
      </w:r>
      <w:r>
        <w:rPr>
          <w:color w:val="231F20"/>
          <w:sz w:val="18"/>
        </w:rPr>
        <w:t>Е.Г.</w:t>
      </w:r>
      <w:r>
        <w:rPr>
          <w:color w:val="231F20"/>
          <w:spacing w:val="-11"/>
          <w:sz w:val="18"/>
        </w:rPr>
        <w:t> </w:t>
      </w:r>
      <w:r>
        <w:rPr>
          <w:color w:val="231F20"/>
          <w:sz w:val="18"/>
        </w:rPr>
        <w:t>Шкала</w:t>
      </w:r>
      <w:r>
        <w:rPr>
          <w:color w:val="231F20"/>
          <w:spacing w:val="-12"/>
          <w:sz w:val="18"/>
        </w:rPr>
        <w:t> </w:t>
      </w:r>
      <w:r>
        <w:rPr>
          <w:color w:val="231F20"/>
          <w:sz w:val="18"/>
        </w:rPr>
        <w:t>психологического</w:t>
      </w:r>
      <w:r>
        <w:rPr>
          <w:color w:val="231F20"/>
          <w:spacing w:val="-11"/>
          <w:sz w:val="18"/>
        </w:rPr>
        <w:t> </w:t>
      </w:r>
      <w:r>
        <w:rPr>
          <w:color w:val="231F20"/>
          <w:sz w:val="18"/>
        </w:rPr>
        <w:t>благополучия</w:t>
      </w:r>
      <w:r>
        <w:rPr>
          <w:color w:val="231F20"/>
          <w:spacing w:val="-11"/>
          <w:sz w:val="18"/>
        </w:rPr>
        <w:t> </w:t>
      </w:r>
      <w:r>
        <w:rPr>
          <w:color w:val="231F20"/>
          <w:sz w:val="18"/>
        </w:rPr>
        <w:t>К.</w:t>
      </w:r>
      <w:r>
        <w:rPr>
          <w:color w:val="231F20"/>
          <w:spacing w:val="-11"/>
          <w:sz w:val="18"/>
        </w:rPr>
        <w:t> </w:t>
      </w:r>
      <w:r>
        <w:rPr>
          <w:color w:val="231F20"/>
          <w:sz w:val="18"/>
        </w:rPr>
        <w:t>Рифф</w:t>
      </w:r>
      <w:r>
        <w:rPr>
          <w:color w:val="231F20"/>
          <w:spacing w:val="-12"/>
          <w:sz w:val="18"/>
        </w:rPr>
        <w:t> </w:t>
      </w:r>
      <w:r>
        <w:rPr>
          <w:color w:val="231F20"/>
          <w:sz w:val="18"/>
        </w:rPr>
        <w:t>// Психологический журнал. – 2011. – Т. 32. – № 2. – с. 82–93.</w:t>
      </w:r>
    </w:p>
    <w:p>
      <w:pPr>
        <w:pStyle w:val="ListParagraph"/>
        <w:numPr>
          <w:ilvl w:val="0"/>
          <w:numId w:val="124"/>
        </w:numPr>
        <w:tabs>
          <w:tab w:pos="708" w:val="left" w:leader="none"/>
        </w:tabs>
        <w:spacing w:line="240" w:lineRule="auto" w:before="0" w:after="0"/>
        <w:ind w:left="708" w:right="422" w:hanging="284"/>
        <w:jc w:val="both"/>
        <w:rPr>
          <w:sz w:val="18"/>
        </w:rPr>
      </w:pPr>
      <w:r>
        <w:rPr>
          <w:color w:val="231F20"/>
          <w:sz w:val="18"/>
        </w:rPr>
        <w:t>Сергиенко</w:t>
      </w:r>
      <w:r>
        <w:rPr>
          <w:color w:val="231F20"/>
          <w:spacing w:val="-3"/>
          <w:sz w:val="18"/>
        </w:rPr>
        <w:t> </w:t>
      </w:r>
      <w:r>
        <w:rPr>
          <w:color w:val="231F20"/>
          <w:sz w:val="18"/>
        </w:rPr>
        <w:t>Е.А. Социально-эмоциональное развитие детей. Теоретические осно-</w:t>
      </w:r>
      <w:r>
        <w:rPr>
          <w:color w:val="231F20"/>
          <w:spacing w:val="40"/>
          <w:sz w:val="18"/>
        </w:rPr>
        <w:t> </w:t>
      </w:r>
      <w:r>
        <w:rPr>
          <w:color w:val="231F20"/>
          <w:sz w:val="18"/>
        </w:rPr>
        <w:t>вы // Е.А. Сергиенко, Т.Д. Марцинковская, Е.И. Изотова и др. / М.: Дрофа, 2019. – 248 с.: илл. – (Российский учебник) ISBN 978-5-358-23199-3.</w:t>
      </w:r>
    </w:p>
    <w:p>
      <w:pPr>
        <w:pStyle w:val="ListParagraph"/>
        <w:spacing w:after="0" w:line="240" w:lineRule="auto"/>
        <w:jc w:val="both"/>
        <w:rPr>
          <w:sz w:val="18"/>
        </w:rPr>
        <w:sectPr>
          <w:pgSz w:w="8400" w:h="11910"/>
          <w:pgMar w:header="0" w:footer="527" w:top="400" w:bottom="740" w:left="425" w:right="425"/>
        </w:sectPr>
      </w:pPr>
    </w:p>
    <w:p>
      <w:pPr>
        <w:numPr>
          <w:ilvl w:val="1"/>
          <w:numId w:val="101"/>
        </w:numPr>
        <w:tabs>
          <w:tab w:pos="786" w:val="left" w:leader="none"/>
          <w:tab w:pos="878" w:val="left" w:leader="none"/>
        </w:tabs>
        <w:spacing w:line="235" w:lineRule="auto" w:before="77"/>
        <w:ind w:left="786" w:right="528" w:hanging="258"/>
        <w:jc w:val="left"/>
        <w:rPr>
          <w:b/>
          <w:color w:val="231F20"/>
          <w:sz w:val="20"/>
        </w:rPr>
      </w:pPr>
      <w:r>
        <w:rPr>
          <w:b/>
          <w:color w:val="231F20"/>
          <w:sz w:val="20"/>
        </w:rPr>
        <w:t>Методы воспитательной работы для адаптации детей иностранных граждан во взаимодействии педагога с ученическим сообществом</w:t>
      </w:r>
    </w:p>
    <w:p>
      <w:pPr>
        <w:numPr>
          <w:ilvl w:val="2"/>
          <w:numId w:val="101"/>
        </w:numPr>
        <w:tabs>
          <w:tab w:pos="1698" w:val="left" w:leader="none"/>
          <w:tab w:pos="1820" w:val="left" w:leader="none"/>
        </w:tabs>
        <w:spacing w:line="235" w:lineRule="auto" w:before="171"/>
        <w:ind w:left="1698" w:right="1319" w:hanging="378"/>
        <w:jc w:val="left"/>
        <w:rPr>
          <w:b/>
          <w:sz w:val="20"/>
        </w:rPr>
      </w:pPr>
      <w:r>
        <w:rPr>
          <w:b/>
          <w:color w:val="231F20"/>
          <w:sz w:val="20"/>
        </w:rPr>
        <w:t>Организация</w:t>
      </w:r>
      <w:r>
        <w:rPr>
          <w:b/>
          <w:color w:val="231F20"/>
          <w:spacing w:val="-13"/>
          <w:sz w:val="20"/>
        </w:rPr>
        <w:t> </w:t>
      </w:r>
      <w:r>
        <w:rPr>
          <w:b/>
          <w:color w:val="231F20"/>
          <w:sz w:val="20"/>
        </w:rPr>
        <w:t>внутришкольного</w:t>
      </w:r>
      <w:r>
        <w:rPr>
          <w:b/>
          <w:color w:val="231F20"/>
          <w:spacing w:val="-12"/>
          <w:sz w:val="20"/>
        </w:rPr>
        <w:t> </w:t>
      </w:r>
      <w:r>
        <w:rPr>
          <w:b/>
          <w:color w:val="231F20"/>
          <w:sz w:val="20"/>
        </w:rPr>
        <w:t>наставничества по отношению к детям иностранных граждан</w:t>
      </w:r>
    </w:p>
    <w:p>
      <w:pPr>
        <w:spacing w:before="111"/>
        <w:ind w:left="425" w:right="0" w:firstLine="4559"/>
        <w:jc w:val="left"/>
        <w:rPr>
          <w:i/>
          <w:sz w:val="20"/>
        </w:rPr>
      </w:pPr>
      <w:r>
        <w:rPr>
          <w:i/>
          <w:color w:val="231F20"/>
          <w:spacing w:val="-2"/>
          <w:sz w:val="20"/>
        </w:rPr>
        <w:t>М.А.</w:t>
      </w:r>
      <w:r>
        <w:rPr>
          <w:i/>
          <w:color w:val="231F20"/>
          <w:spacing w:val="23"/>
          <w:sz w:val="20"/>
        </w:rPr>
        <w:t> </w:t>
      </w:r>
      <w:r>
        <w:rPr>
          <w:i/>
          <w:color w:val="231F20"/>
          <w:spacing w:val="-2"/>
          <w:sz w:val="20"/>
        </w:rPr>
        <w:t>Крашенинникова-</w:t>
      </w:r>
      <w:r>
        <w:rPr>
          <w:i/>
          <w:color w:val="231F20"/>
          <w:spacing w:val="-4"/>
          <w:sz w:val="20"/>
        </w:rPr>
        <w:t>Хайт</w:t>
      </w:r>
    </w:p>
    <w:p>
      <w:pPr>
        <w:pStyle w:val="BodyText"/>
        <w:spacing w:line="232" w:lineRule="auto" w:before="115"/>
      </w:pPr>
      <w:r>
        <w:rPr>
          <w:color w:val="231F20"/>
        </w:rPr>
        <w:t>Наставничество – это педагогическая технология социальной интеграции детей иностранных граждан в непривычную языковую и культурную среду через взаимо- действие со старшим и/или более опытным человеком, принадлежащим к этой сре- де. Ребенок с миграционным опытом включается в деятельность, сопровождаемую наставником, который общается с ним, вводит в правила культуры/языка, помогает преодолевать сложные ситуации.</w:t>
      </w:r>
    </w:p>
    <w:p>
      <w:pPr>
        <w:pStyle w:val="BodyText"/>
        <w:spacing w:line="227" w:lineRule="exact"/>
        <w:ind w:left="425" w:right="0" w:firstLine="0"/>
      </w:pPr>
      <w:r>
        <w:rPr>
          <w:color w:val="231F20"/>
        </w:rPr>
        <w:t>Наставничество</w:t>
      </w:r>
      <w:r>
        <w:rPr>
          <w:color w:val="231F20"/>
          <w:spacing w:val="-7"/>
        </w:rPr>
        <w:t> </w:t>
      </w:r>
      <w:r>
        <w:rPr>
          <w:color w:val="231F20"/>
        </w:rPr>
        <w:t>в</w:t>
      </w:r>
      <w:r>
        <w:rPr>
          <w:color w:val="231F20"/>
          <w:spacing w:val="-6"/>
        </w:rPr>
        <w:t> </w:t>
      </w:r>
      <w:r>
        <w:rPr>
          <w:color w:val="231F20"/>
        </w:rPr>
        <w:t>школе</w:t>
      </w:r>
      <w:r>
        <w:rPr>
          <w:color w:val="231F20"/>
          <w:spacing w:val="-5"/>
        </w:rPr>
        <w:t> </w:t>
      </w:r>
      <w:r>
        <w:rPr>
          <w:color w:val="231F20"/>
        </w:rPr>
        <w:t>может</w:t>
      </w:r>
      <w:r>
        <w:rPr>
          <w:color w:val="231F20"/>
          <w:spacing w:val="-5"/>
        </w:rPr>
        <w:t> </w:t>
      </w:r>
      <w:r>
        <w:rPr>
          <w:color w:val="231F20"/>
        </w:rPr>
        <w:t>реализовываться</w:t>
      </w:r>
      <w:r>
        <w:rPr>
          <w:color w:val="231F20"/>
          <w:spacing w:val="-5"/>
        </w:rPr>
        <w:t> </w:t>
      </w:r>
      <w:r>
        <w:rPr>
          <w:color w:val="231F20"/>
        </w:rPr>
        <w:t>в</w:t>
      </w:r>
      <w:r>
        <w:rPr>
          <w:color w:val="231F20"/>
          <w:spacing w:val="-6"/>
        </w:rPr>
        <w:t> </w:t>
      </w:r>
      <w:r>
        <w:rPr>
          <w:color w:val="231F20"/>
        </w:rPr>
        <w:t>следующих</w:t>
      </w:r>
      <w:r>
        <w:rPr>
          <w:color w:val="231F20"/>
          <w:spacing w:val="-4"/>
        </w:rPr>
        <w:t> </w:t>
      </w:r>
      <w:r>
        <w:rPr>
          <w:color w:val="231F20"/>
          <w:spacing w:val="-2"/>
        </w:rPr>
        <w:t>формах:</w:t>
      </w:r>
    </w:p>
    <w:p>
      <w:pPr>
        <w:pStyle w:val="ListParagraph"/>
        <w:numPr>
          <w:ilvl w:val="0"/>
          <w:numId w:val="125"/>
        </w:numPr>
        <w:tabs>
          <w:tab w:pos="423" w:val="left" w:leader="none"/>
          <w:tab w:pos="425" w:val="left" w:leader="none"/>
        </w:tabs>
        <w:spacing w:line="232" w:lineRule="auto" w:before="3" w:after="0"/>
        <w:ind w:left="425" w:right="139" w:hanging="284"/>
        <w:jc w:val="both"/>
        <w:rPr>
          <w:sz w:val="20"/>
        </w:rPr>
      </w:pPr>
      <w:r>
        <w:rPr>
          <w:color w:val="231F20"/>
          <w:sz w:val="20"/>
        </w:rPr>
        <w:t>«</w:t>
      </w:r>
      <w:r>
        <w:rPr>
          <w:sz w:val="20"/>
        </w:rPr>
        <w:t>ученик</w:t>
      </w:r>
      <w:r>
        <w:rPr>
          <w:spacing w:val="-1"/>
          <w:sz w:val="20"/>
        </w:rPr>
        <w:t> </w:t>
      </w:r>
      <w:r>
        <w:rPr>
          <w:color w:val="231F20"/>
          <w:sz w:val="20"/>
        </w:rPr>
        <w:t>–</w:t>
      </w:r>
      <w:r>
        <w:rPr>
          <w:color w:val="231F20"/>
          <w:spacing w:val="-1"/>
          <w:sz w:val="20"/>
        </w:rPr>
        <w:t> </w:t>
      </w:r>
      <w:r>
        <w:rPr>
          <w:color w:val="231F20"/>
          <w:sz w:val="20"/>
        </w:rPr>
        <w:t>ученик»</w:t>
      </w:r>
      <w:r>
        <w:rPr>
          <w:color w:val="231F20"/>
          <w:spacing w:val="-1"/>
          <w:sz w:val="20"/>
        </w:rPr>
        <w:t> </w:t>
      </w:r>
      <w:r>
        <w:rPr>
          <w:color w:val="231F20"/>
          <w:sz w:val="20"/>
        </w:rPr>
        <w:t>–</w:t>
      </w:r>
      <w:r>
        <w:rPr>
          <w:color w:val="231F20"/>
          <w:spacing w:val="-1"/>
          <w:sz w:val="20"/>
        </w:rPr>
        <w:t> </w:t>
      </w:r>
      <w:r>
        <w:rPr>
          <w:color w:val="231F20"/>
          <w:sz w:val="20"/>
        </w:rPr>
        <w:t>когда</w:t>
      </w:r>
      <w:r>
        <w:rPr>
          <w:color w:val="231F20"/>
          <w:spacing w:val="-1"/>
          <w:sz w:val="20"/>
        </w:rPr>
        <w:t> </w:t>
      </w:r>
      <w:r>
        <w:rPr>
          <w:color w:val="231F20"/>
          <w:sz w:val="20"/>
        </w:rPr>
        <w:t>наставник</w:t>
      </w:r>
      <w:r>
        <w:rPr>
          <w:color w:val="231F20"/>
          <w:spacing w:val="-1"/>
          <w:sz w:val="20"/>
        </w:rPr>
        <w:t> </w:t>
      </w:r>
      <w:r>
        <w:rPr>
          <w:color w:val="231F20"/>
          <w:sz w:val="20"/>
        </w:rPr>
        <w:t>и</w:t>
      </w:r>
      <w:r>
        <w:rPr>
          <w:color w:val="231F20"/>
          <w:spacing w:val="-1"/>
          <w:sz w:val="20"/>
        </w:rPr>
        <w:t> </w:t>
      </w:r>
      <w:r>
        <w:rPr>
          <w:color w:val="231F20"/>
          <w:sz w:val="20"/>
        </w:rPr>
        <w:t>наставляемый</w:t>
      </w:r>
      <w:r>
        <w:rPr>
          <w:color w:val="231F20"/>
          <w:spacing w:val="-1"/>
          <w:sz w:val="20"/>
        </w:rPr>
        <w:t> </w:t>
      </w:r>
      <w:r>
        <w:rPr>
          <w:color w:val="231F20"/>
          <w:sz w:val="20"/>
        </w:rPr>
        <w:t>обучаются</w:t>
      </w:r>
      <w:r>
        <w:rPr>
          <w:color w:val="231F20"/>
          <w:spacing w:val="-1"/>
          <w:sz w:val="20"/>
        </w:rPr>
        <w:t> </w:t>
      </w:r>
      <w:r>
        <w:rPr>
          <w:color w:val="231F20"/>
          <w:sz w:val="20"/>
        </w:rPr>
        <w:t>в</w:t>
      </w:r>
      <w:r>
        <w:rPr>
          <w:color w:val="231F20"/>
          <w:spacing w:val="-1"/>
          <w:sz w:val="20"/>
        </w:rPr>
        <w:t> </w:t>
      </w:r>
      <w:r>
        <w:rPr>
          <w:color w:val="231F20"/>
          <w:sz w:val="20"/>
        </w:rPr>
        <w:t>одной</w:t>
      </w:r>
      <w:r>
        <w:rPr>
          <w:color w:val="231F20"/>
          <w:spacing w:val="-1"/>
          <w:sz w:val="20"/>
        </w:rPr>
        <w:t> </w:t>
      </w:r>
      <w:r>
        <w:rPr>
          <w:color w:val="231F20"/>
          <w:sz w:val="20"/>
        </w:rPr>
        <w:t>образо- вательной</w:t>
      </w:r>
      <w:r>
        <w:rPr>
          <w:color w:val="231F20"/>
          <w:spacing w:val="-2"/>
          <w:sz w:val="20"/>
        </w:rPr>
        <w:t> </w:t>
      </w:r>
      <w:r>
        <w:rPr>
          <w:color w:val="231F20"/>
          <w:sz w:val="20"/>
        </w:rPr>
        <w:t>организации,</w:t>
      </w:r>
      <w:r>
        <w:rPr>
          <w:color w:val="231F20"/>
          <w:spacing w:val="-2"/>
          <w:sz w:val="20"/>
        </w:rPr>
        <w:t> </w:t>
      </w:r>
      <w:r>
        <w:rPr>
          <w:color w:val="231F20"/>
          <w:sz w:val="20"/>
        </w:rPr>
        <w:t>причем</w:t>
      </w:r>
      <w:r>
        <w:rPr>
          <w:color w:val="231F20"/>
          <w:spacing w:val="-2"/>
          <w:sz w:val="20"/>
        </w:rPr>
        <w:t> </w:t>
      </w:r>
      <w:r>
        <w:rPr>
          <w:color w:val="231F20"/>
          <w:sz w:val="20"/>
        </w:rPr>
        <w:t>наставник,</w:t>
      </w:r>
      <w:r>
        <w:rPr>
          <w:color w:val="231F20"/>
          <w:spacing w:val="-2"/>
          <w:sz w:val="20"/>
        </w:rPr>
        <w:t> </w:t>
      </w:r>
      <w:r>
        <w:rPr>
          <w:color w:val="231F20"/>
          <w:sz w:val="20"/>
        </w:rPr>
        <w:t>который</w:t>
      </w:r>
      <w:r>
        <w:rPr>
          <w:color w:val="231F20"/>
          <w:spacing w:val="-2"/>
          <w:sz w:val="20"/>
        </w:rPr>
        <w:t> </w:t>
      </w:r>
      <w:r>
        <w:rPr>
          <w:color w:val="231F20"/>
          <w:sz w:val="20"/>
        </w:rPr>
        <w:t>учится</w:t>
      </w:r>
      <w:r>
        <w:rPr>
          <w:color w:val="231F20"/>
          <w:spacing w:val="-2"/>
          <w:sz w:val="20"/>
        </w:rPr>
        <w:t> </w:t>
      </w:r>
      <w:r>
        <w:rPr>
          <w:color w:val="231F20"/>
          <w:sz w:val="20"/>
        </w:rPr>
        <w:t>на</w:t>
      </w:r>
      <w:r>
        <w:rPr>
          <w:color w:val="231F20"/>
          <w:spacing w:val="-2"/>
          <w:sz w:val="20"/>
        </w:rPr>
        <w:t> </w:t>
      </w:r>
      <w:r>
        <w:rPr>
          <w:color w:val="231F20"/>
          <w:sz w:val="20"/>
        </w:rPr>
        <w:t>несколько</w:t>
      </w:r>
      <w:r>
        <w:rPr>
          <w:color w:val="231F20"/>
          <w:spacing w:val="-2"/>
          <w:sz w:val="20"/>
        </w:rPr>
        <w:t> </w:t>
      </w:r>
      <w:r>
        <w:rPr>
          <w:color w:val="231F20"/>
          <w:sz w:val="20"/>
        </w:rPr>
        <w:t>классов старше,</w:t>
      </w:r>
      <w:r>
        <w:rPr>
          <w:color w:val="231F20"/>
          <w:spacing w:val="-7"/>
          <w:sz w:val="20"/>
        </w:rPr>
        <w:t> </w:t>
      </w:r>
      <w:r>
        <w:rPr>
          <w:color w:val="231F20"/>
          <w:sz w:val="20"/>
        </w:rPr>
        <w:t>демонстрирует</w:t>
      </w:r>
      <w:r>
        <w:rPr>
          <w:color w:val="231F20"/>
          <w:spacing w:val="-7"/>
          <w:sz w:val="20"/>
        </w:rPr>
        <w:t> </w:t>
      </w:r>
      <w:r>
        <w:rPr>
          <w:color w:val="231F20"/>
          <w:sz w:val="20"/>
        </w:rPr>
        <w:t>образовательные</w:t>
      </w:r>
      <w:r>
        <w:rPr>
          <w:color w:val="231F20"/>
          <w:spacing w:val="-7"/>
          <w:sz w:val="20"/>
        </w:rPr>
        <w:t> </w:t>
      </w:r>
      <w:r>
        <w:rPr>
          <w:color w:val="231F20"/>
          <w:sz w:val="20"/>
        </w:rPr>
        <w:t>успехи</w:t>
      </w:r>
      <w:r>
        <w:rPr>
          <w:color w:val="231F20"/>
          <w:spacing w:val="-7"/>
          <w:sz w:val="20"/>
        </w:rPr>
        <w:t> </w:t>
      </w:r>
      <w:r>
        <w:rPr>
          <w:color w:val="231F20"/>
          <w:sz w:val="20"/>
        </w:rPr>
        <w:t>(«отличник»),</w:t>
      </w:r>
      <w:r>
        <w:rPr>
          <w:color w:val="231F20"/>
          <w:spacing w:val="-7"/>
          <w:sz w:val="20"/>
        </w:rPr>
        <w:t> </w:t>
      </w:r>
      <w:r>
        <w:rPr>
          <w:color w:val="231F20"/>
          <w:sz w:val="20"/>
        </w:rPr>
        <w:t>обладает</w:t>
      </w:r>
      <w:r>
        <w:rPr>
          <w:color w:val="231F20"/>
          <w:spacing w:val="-7"/>
          <w:sz w:val="20"/>
        </w:rPr>
        <w:t> </w:t>
      </w:r>
      <w:r>
        <w:rPr>
          <w:color w:val="231F20"/>
          <w:sz w:val="20"/>
        </w:rPr>
        <w:t>развиты- ми коммуникативными навыками и способностью оказывать психоэмоциональ- ную</w:t>
      </w:r>
      <w:r>
        <w:rPr>
          <w:color w:val="231F20"/>
          <w:spacing w:val="-13"/>
          <w:sz w:val="20"/>
        </w:rPr>
        <w:t> </w:t>
      </w:r>
      <w:r>
        <w:rPr>
          <w:color w:val="231F20"/>
          <w:sz w:val="20"/>
        </w:rPr>
        <w:t>поддержку</w:t>
      </w:r>
      <w:r>
        <w:rPr>
          <w:color w:val="231F20"/>
          <w:spacing w:val="-12"/>
          <w:sz w:val="20"/>
        </w:rPr>
        <w:t> </w:t>
      </w:r>
      <w:r>
        <w:rPr>
          <w:color w:val="231F20"/>
          <w:sz w:val="20"/>
        </w:rPr>
        <w:t>(«лидер»),</w:t>
      </w:r>
      <w:r>
        <w:rPr>
          <w:color w:val="231F20"/>
          <w:spacing w:val="-13"/>
          <w:sz w:val="20"/>
        </w:rPr>
        <w:t> </w:t>
      </w:r>
      <w:r>
        <w:rPr>
          <w:color w:val="231F20"/>
          <w:sz w:val="20"/>
        </w:rPr>
        <w:t>а</w:t>
      </w:r>
      <w:r>
        <w:rPr>
          <w:color w:val="231F20"/>
          <w:spacing w:val="-12"/>
          <w:sz w:val="20"/>
        </w:rPr>
        <w:t> </w:t>
      </w:r>
      <w:r>
        <w:rPr>
          <w:color w:val="231F20"/>
          <w:sz w:val="20"/>
        </w:rPr>
        <w:t>в</w:t>
      </w:r>
      <w:r>
        <w:rPr>
          <w:color w:val="231F20"/>
          <w:spacing w:val="-13"/>
          <w:sz w:val="20"/>
        </w:rPr>
        <w:t> </w:t>
      </w:r>
      <w:r>
        <w:rPr>
          <w:color w:val="231F20"/>
          <w:sz w:val="20"/>
        </w:rPr>
        <w:t>некоторых</w:t>
      </w:r>
      <w:r>
        <w:rPr>
          <w:color w:val="231F20"/>
          <w:spacing w:val="-12"/>
          <w:sz w:val="20"/>
        </w:rPr>
        <w:t> </w:t>
      </w:r>
      <w:r>
        <w:rPr>
          <w:color w:val="231F20"/>
          <w:sz w:val="20"/>
        </w:rPr>
        <w:t>случаях</w:t>
      </w:r>
      <w:r>
        <w:rPr>
          <w:color w:val="231F20"/>
          <w:spacing w:val="-13"/>
          <w:sz w:val="20"/>
        </w:rPr>
        <w:t> </w:t>
      </w:r>
      <w:r>
        <w:rPr>
          <w:color w:val="231F20"/>
          <w:sz w:val="20"/>
        </w:rPr>
        <w:t>готов</w:t>
      </w:r>
      <w:r>
        <w:rPr>
          <w:color w:val="231F20"/>
          <w:spacing w:val="-12"/>
          <w:sz w:val="20"/>
        </w:rPr>
        <w:t> </w:t>
      </w:r>
      <w:r>
        <w:rPr>
          <w:color w:val="231F20"/>
          <w:sz w:val="20"/>
        </w:rPr>
        <w:t>взаимодействовать</w:t>
      </w:r>
      <w:r>
        <w:rPr>
          <w:color w:val="231F20"/>
          <w:spacing w:val="-13"/>
          <w:sz w:val="20"/>
        </w:rPr>
        <w:t> </w:t>
      </w:r>
      <w:r>
        <w:rPr>
          <w:color w:val="231F20"/>
          <w:sz w:val="20"/>
        </w:rPr>
        <w:t>в</w:t>
      </w:r>
      <w:r>
        <w:rPr>
          <w:color w:val="231F20"/>
          <w:spacing w:val="-12"/>
          <w:sz w:val="20"/>
        </w:rPr>
        <w:t> </w:t>
      </w:r>
      <w:r>
        <w:rPr>
          <w:color w:val="231F20"/>
          <w:sz w:val="20"/>
        </w:rPr>
        <w:t>логи- ке «равный равному», то есть обмениваться навыками с наставляемым;</w:t>
      </w:r>
    </w:p>
    <w:p>
      <w:pPr>
        <w:pStyle w:val="ListParagraph"/>
        <w:numPr>
          <w:ilvl w:val="0"/>
          <w:numId w:val="125"/>
        </w:numPr>
        <w:tabs>
          <w:tab w:pos="423" w:val="left" w:leader="none"/>
          <w:tab w:pos="425" w:val="left" w:leader="none"/>
        </w:tabs>
        <w:spacing w:line="232" w:lineRule="auto" w:before="5" w:after="0"/>
        <w:ind w:left="425" w:right="139" w:hanging="284"/>
        <w:jc w:val="both"/>
        <w:rPr>
          <w:sz w:val="20"/>
        </w:rPr>
      </w:pPr>
      <w:r>
        <w:rPr>
          <w:color w:val="231F20"/>
          <w:sz w:val="20"/>
        </w:rPr>
        <w:t>«</w:t>
      </w:r>
      <w:r>
        <w:rPr>
          <w:sz w:val="20"/>
        </w:rPr>
        <w:t>студент </w:t>
      </w:r>
      <w:r>
        <w:rPr>
          <w:color w:val="231F20"/>
          <w:sz w:val="20"/>
        </w:rPr>
        <w:t>– ученик» – когда наставник обучается на следующей ступени образо- вания (то есть не сильно отличается от наставляемого по возрасту, но уже вы- брал</w:t>
      </w:r>
      <w:r>
        <w:rPr>
          <w:color w:val="231F20"/>
          <w:spacing w:val="-6"/>
          <w:sz w:val="20"/>
        </w:rPr>
        <w:t> </w:t>
      </w:r>
      <w:r>
        <w:rPr>
          <w:color w:val="231F20"/>
          <w:sz w:val="20"/>
        </w:rPr>
        <w:t>траекторию</w:t>
      </w:r>
      <w:r>
        <w:rPr>
          <w:color w:val="231F20"/>
          <w:spacing w:val="-6"/>
          <w:sz w:val="20"/>
        </w:rPr>
        <w:t> </w:t>
      </w:r>
      <w:r>
        <w:rPr>
          <w:color w:val="231F20"/>
          <w:sz w:val="20"/>
        </w:rPr>
        <w:t>развития)</w:t>
      </w:r>
      <w:r>
        <w:rPr>
          <w:color w:val="231F20"/>
          <w:spacing w:val="-6"/>
          <w:sz w:val="20"/>
        </w:rPr>
        <w:t> </w:t>
      </w:r>
      <w:r>
        <w:rPr>
          <w:color w:val="231F20"/>
          <w:sz w:val="20"/>
        </w:rPr>
        <w:t>и</w:t>
      </w:r>
      <w:r>
        <w:rPr>
          <w:color w:val="231F20"/>
          <w:spacing w:val="-6"/>
          <w:sz w:val="20"/>
        </w:rPr>
        <w:t> </w:t>
      </w:r>
      <w:r>
        <w:rPr>
          <w:color w:val="231F20"/>
          <w:sz w:val="20"/>
        </w:rPr>
        <w:t>помогает</w:t>
      </w:r>
      <w:r>
        <w:rPr>
          <w:color w:val="231F20"/>
          <w:spacing w:val="-6"/>
          <w:sz w:val="20"/>
        </w:rPr>
        <w:t> </w:t>
      </w:r>
      <w:r>
        <w:rPr>
          <w:color w:val="231F20"/>
          <w:sz w:val="20"/>
        </w:rPr>
        <w:t>наставляемому</w:t>
      </w:r>
      <w:r>
        <w:rPr>
          <w:color w:val="231F20"/>
          <w:spacing w:val="-6"/>
          <w:sz w:val="20"/>
        </w:rPr>
        <w:t> </w:t>
      </w:r>
      <w:r>
        <w:rPr>
          <w:color w:val="231F20"/>
          <w:sz w:val="20"/>
        </w:rPr>
        <w:t>не</w:t>
      </w:r>
      <w:r>
        <w:rPr>
          <w:color w:val="231F20"/>
          <w:spacing w:val="-6"/>
          <w:sz w:val="20"/>
        </w:rPr>
        <w:t> </w:t>
      </w:r>
      <w:r>
        <w:rPr>
          <w:color w:val="231F20"/>
          <w:sz w:val="20"/>
        </w:rPr>
        <w:t>только</w:t>
      </w:r>
      <w:r>
        <w:rPr>
          <w:color w:val="231F20"/>
          <w:spacing w:val="-6"/>
          <w:sz w:val="20"/>
        </w:rPr>
        <w:t> </w:t>
      </w:r>
      <w:r>
        <w:rPr>
          <w:color w:val="231F20"/>
          <w:sz w:val="20"/>
        </w:rPr>
        <w:t>интегрироваться в</w:t>
      </w:r>
      <w:r>
        <w:rPr>
          <w:color w:val="231F20"/>
          <w:spacing w:val="-6"/>
          <w:sz w:val="20"/>
        </w:rPr>
        <w:t> </w:t>
      </w:r>
      <w:r>
        <w:rPr>
          <w:color w:val="231F20"/>
          <w:sz w:val="20"/>
        </w:rPr>
        <w:t>культуру,</w:t>
      </w:r>
      <w:r>
        <w:rPr>
          <w:color w:val="231F20"/>
          <w:spacing w:val="-6"/>
          <w:sz w:val="20"/>
        </w:rPr>
        <w:t> </w:t>
      </w:r>
      <w:r>
        <w:rPr>
          <w:color w:val="231F20"/>
          <w:sz w:val="20"/>
        </w:rPr>
        <w:t>но</w:t>
      </w:r>
      <w:r>
        <w:rPr>
          <w:color w:val="231F20"/>
          <w:spacing w:val="-6"/>
          <w:sz w:val="20"/>
        </w:rPr>
        <w:t> </w:t>
      </w:r>
      <w:r>
        <w:rPr>
          <w:color w:val="231F20"/>
          <w:sz w:val="20"/>
        </w:rPr>
        <w:t>и</w:t>
      </w:r>
      <w:r>
        <w:rPr>
          <w:color w:val="231F20"/>
          <w:spacing w:val="-6"/>
          <w:sz w:val="20"/>
        </w:rPr>
        <w:t> </w:t>
      </w:r>
      <w:r>
        <w:rPr>
          <w:color w:val="231F20"/>
          <w:sz w:val="20"/>
        </w:rPr>
        <w:t>сориентироваться</w:t>
      </w:r>
      <w:r>
        <w:rPr>
          <w:color w:val="231F20"/>
          <w:spacing w:val="-6"/>
          <w:sz w:val="20"/>
        </w:rPr>
        <w:t> </w:t>
      </w:r>
      <w:r>
        <w:rPr>
          <w:color w:val="231F20"/>
          <w:sz w:val="20"/>
        </w:rPr>
        <w:t>в</w:t>
      </w:r>
      <w:r>
        <w:rPr>
          <w:color w:val="231F20"/>
          <w:spacing w:val="-6"/>
          <w:sz w:val="20"/>
        </w:rPr>
        <w:t> </w:t>
      </w:r>
      <w:r>
        <w:rPr>
          <w:color w:val="231F20"/>
          <w:sz w:val="20"/>
        </w:rPr>
        <w:t>сфере</w:t>
      </w:r>
      <w:r>
        <w:rPr>
          <w:color w:val="231F20"/>
          <w:spacing w:val="-6"/>
          <w:sz w:val="20"/>
        </w:rPr>
        <w:t> </w:t>
      </w:r>
      <w:r>
        <w:rPr>
          <w:color w:val="231F20"/>
          <w:sz w:val="20"/>
        </w:rPr>
        <w:t>будущих</w:t>
      </w:r>
      <w:r>
        <w:rPr>
          <w:color w:val="231F20"/>
          <w:spacing w:val="-6"/>
          <w:sz w:val="20"/>
        </w:rPr>
        <w:t> </w:t>
      </w:r>
      <w:r>
        <w:rPr>
          <w:color w:val="231F20"/>
          <w:sz w:val="20"/>
        </w:rPr>
        <w:t>профессий,</w:t>
      </w:r>
      <w:r>
        <w:rPr>
          <w:color w:val="231F20"/>
          <w:spacing w:val="-6"/>
          <w:sz w:val="20"/>
        </w:rPr>
        <w:t> </w:t>
      </w:r>
      <w:r>
        <w:rPr>
          <w:color w:val="231F20"/>
          <w:sz w:val="20"/>
        </w:rPr>
        <w:t>обнаружить</w:t>
      </w:r>
      <w:r>
        <w:rPr>
          <w:color w:val="231F20"/>
          <w:spacing w:val="-6"/>
          <w:sz w:val="20"/>
        </w:rPr>
        <w:t> </w:t>
      </w:r>
      <w:r>
        <w:rPr>
          <w:color w:val="231F20"/>
          <w:sz w:val="20"/>
        </w:rPr>
        <w:t>свои интересы и реализовать совместный проект;</w:t>
      </w:r>
    </w:p>
    <w:p>
      <w:pPr>
        <w:pStyle w:val="ListParagraph"/>
        <w:numPr>
          <w:ilvl w:val="0"/>
          <w:numId w:val="125"/>
        </w:numPr>
        <w:tabs>
          <w:tab w:pos="425" w:val="left" w:leader="none"/>
        </w:tabs>
        <w:spacing w:line="232" w:lineRule="auto" w:before="5" w:after="0"/>
        <w:ind w:left="425" w:right="139" w:hanging="284"/>
        <w:jc w:val="left"/>
        <w:rPr>
          <w:sz w:val="20"/>
        </w:rPr>
      </w:pPr>
      <w:r>
        <w:rPr>
          <w:color w:val="231F20"/>
          <w:sz w:val="20"/>
        </w:rPr>
        <w:t>«</w:t>
      </w:r>
      <w:r>
        <w:rPr>
          <w:sz w:val="20"/>
        </w:rPr>
        <w:t>профессионал</w:t>
      </w:r>
      <w:r>
        <w:rPr>
          <w:spacing w:val="-5"/>
          <w:sz w:val="20"/>
        </w:rPr>
        <w:t> </w:t>
      </w:r>
      <w:r>
        <w:rPr>
          <w:color w:val="231F20"/>
          <w:sz w:val="20"/>
        </w:rPr>
        <w:t>–</w:t>
      </w:r>
      <w:r>
        <w:rPr>
          <w:color w:val="231F20"/>
          <w:spacing w:val="-5"/>
          <w:sz w:val="20"/>
        </w:rPr>
        <w:t> </w:t>
      </w:r>
      <w:r>
        <w:rPr>
          <w:color w:val="231F20"/>
          <w:sz w:val="20"/>
        </w:rPr>
        <w:t>ученик»</w:t>
      </w:r>
      <w:r>
        <w:rPr>
          <w:color w:val="231F20"/>
          <w:spacing w:val="-5"/>
          <w:sz w:val="20"/>
        </w:rPr>
        <w:t> </w:t>
      </w:r>
      <w:r>
        <w:rPr>
          <w:color w:val="231F20"/>
          <w:sz w:val="20"/>
        </w:rPr>
        <w:t>–</w:t>
      </w:r>
      <w:r>
        <w:rPr>
          <w:color w:val="231F20"/>
          <w:spacing w:val="-5"/>
          <w:sz w:val="20"/>
        </w:rPr>
        <w:t> </w:t>
      </w:r>
      <w:r>
        <w:rPr>
          <w:color w:val="231F20"/>
          <w:sz w:val="20"/>
        </w:rPr>
        <w:t>когда</w:t>
      </w:r>
      <w:r>
        <w:rPr>
          <w:color w:val="231F20"/>
          <w:spacing w:val="-5"/>
          <w:sz w:val="20"/>
        </w:rPr>
        <w:t> </w:t>
      </w:r>
      <w:r>
        <w:rPr>
          <w:color w:val="231F20"/>
          <w:sz w:val="20"/>
        </w:rPr>
        <w:t>взрослый</w:t>
      </w:r>
      <w:r>
        <w:rPr>
          <w:color w:val="231F20"/>
          <w:spacing w:val="-5"/>
          <w:sz w:val="20"/>
        </w:rPr>
        <w:t> </w:t>
      </w:r>
      <w:r>
        <w:rPr>
          <w:color w:val="231F20"/>
          <w:sz w:val="20"/>
        </w:rPr>
        <w:t>(например,</w:t>
      </w:r>
      <w:r>
        <w:rPr>
          <w:color w:val="231F20"/>
          <w:spacing w:val="-5"/>
          <w:sz w:val="20"/>
        </w:rPr>
        <w:t> </w:t>
      </w:r>
      <w:r>
        <w:rPr>
          <w:color w:val="231F20"/>
          <w:sz w:val="20"/>
        </w:rPr>
        <w:t>выпускник</w:t>
      </w:r>
      <w:r>
        <w:rPr>
          <w:color w:val="231F20"/>
          <w:spacing w:val="-5"/>
          <w:sz w:val="20"/>
        </w:rPr>
        <w:t> </w:t>
      </w:r>
      <w:r>
        <w:rPr>
          <w:color w:val="231F20"/>
          <w:sz w:val="20"/>
        </w:rPr>
        <w:t>школы,</w:t>
      </w:r>
      <w:r>
        <w:rPr>
          <w:color w:val="231F20"/>
          <w:spacing w:val="-5"/>
          <w:sz w:val="20"/>
        </w:rPr>
        <w:t> </w:t>
      </w:r>
      <w:r>
        <w:rPr>
          <w:color w:val="231F20"/>
          <w:sz w:val="20"/>
        </w:rPr>
        <w:t>нерав- нодушный</w:t>
      </w:r>
      <w:r>
        <w:rPr>
          <w:color w:val="231F20"/>
          <w:spacing w:val="-12"/>
          <w:sz w:val="20"/>
        </w:rPr>
        <w:t> </w:t>
      </w:r>
      <w:r>
        <w:rPr>
          <w:color w:val="231F20"/>
          <w:sz w:val="20"/>
        </w:rPr>
        <w:t>к</w:t>
      </w:r>
      <w:r>
        <w:rPr>
          <w:color w:val="231F20"/>
          <w:spacing w:val="-12"/>
          <w:sz w:val="20"/>
        </w:rPr>
        <w:t> </w:t>
      </w:r>
      <w:r>
        <w:rPr>
          <w:color w:val="231F20"/>
          <w:sz w:val="20"/>
        </w:rPr>
        <w:t>ее</w:t>
      </w:r>
      <w:r>
        <w:rPr>
          <w:color w:val="231F20"/>
          <w:spacing w:val="-11"/>
          <w:sz w:val="20"/>
        </w:rPr>
        <w:t> </w:t>
      </w:r>
      <w:r>
        <w:rPr>
          <w:color w:val="231F20"/>
          <w:sz w:val="20"/>
        </w:rPr>
        <w:t>деятельности</w:t>
      </w:r>
      <w:r>
        <w:rPr>
          <w:color w:val="231F20"/>
          <w:spacing w:val="-12"/>
          <w:sz w:val="20"/>
        </w:rPr>
        <w:t> </w:t>
      </w:r>
      <w:r>
        <w:rPr>
          <w:color w:val="231F20"/>
          <w:sz w:val="20"/>
        </w:rPr>
        <w:t>и</w:t>
      </w:r>
      <w:r>
        <w:rPr>
          <w:color w:val="231F20"/>
          <w:spacing w:val="-12"/>
          <w:sz w:val="20"/>
        </w:rPr>
        <w:t> </w:t>
      </w:r>
      <w:r>
        <w:rPr>
          <w:color w:val="231F20"/>
          <w:sz w:val="20"/>
        </w:rPr>
        <w:t>входящий</w:t>
      </w:r>
      <w:r>
        <w:rPr>
          <w:color w:val="231F20"/>
          <w:spacing w:val="-11"/>
          <w:sz w:val="20"/>
        </w:rPr>
        <w:t> </w:t>
      </w:r>
      <w:r>
        <w:rPr>
          <w:color w:val="231F20"/>
          <w:sz w:val="20"/>
        </w:rPr>
        <w:t>в</w:t>
      </w:r>
      <w:r>
        <w:rPr>
          <w:color w:val="231F20"/>
          <w:spacing w:val="-12"/>
          <w:sz w:val="20"/>
        </w:rPr>
        <w:t> </w:t>
      </w:r>
      <w:r>
        <w:rPr>
          <w:color w:val="231F20"/>
          <w:sz w:val="20"/>
        </w:rPr>
        <w:t>сообщество</w:t>
      </w:r>
      <w:r>
        <w:rPr>
          <w:color w:val="231F20"/>
          <w:spacing w:val="-12"/>
          <w:sz w:val="20"/>
        </w:rPr>
        <w:t> </w:t>
      </w:r>
      <w:r>
        <w:rPr>
          <w:color w:val="231F20"/>
          <w:sz w:val="20"/>
        </w:rPr>
        <w:t>выпускников,</w:t>
      </w:r>
      <w:r>
        <w:rPr>
          <w:color w:val="231F20"/>
          <w:spacing w:val="-11"/>
          <w:sz w:val="20"/>
        </w:rPr>
        <w:t> </w:t>
      </w:r>
      <w:r>
        <w:rPr>
          <w:color w:val="231F20"/>
          <w:sz w:val="20"/>
        </w:rPr>
        <w:t>или</w:t>
      </w:r>
      <w:r>
        <w:rPr>
          <w:color w:val="231F20"/>
          <w:spacing w:val="-12"/>
          <w:sz w:val="20"/>
        </w:rPr>
        <w:t> </w:t>
      </w:r>
      <w:r>
        <w:rPr>
          <w:color w:val="231F20"/>
          <w:sz w:val="20"/>
        </w:rPr>
        <w:t>педагог, </w:t>
      </w:r>
      <w:r>
        <w:rPr>
          <w:color w:val="231F20"/>
          <w:spacing w:val="-4"/>
          <w:sz w:val="20"/>
        </w:rPr>
        <w:t>проводящий дополнительные занятия по интересам: театральные, технологические, </w:t>
      </w:r>
      <w:r>
        <w:rPr>
          <w:color w:val="231F20"/>
          <w:sz w:val="20"/>
        </w:rPr>
        <w:t>языковые</w:t>
      </w:r>
      <w:r>
        <w:rPr>
          <w:color w:val="231F20"/>
          <w:spacing w:val="-9"/>
          <w:sz w:val="20"/>
        </w:rPr>
        <w:t> </w:t>
      </w:r>
      <w:r>
        <w:rPr>
          <w:color w:val="231F20"/>
          <w:sz w:val="20"/>
        </w:rPr>
        <w:t>и</w:t>
      </w:r>
      <w:r>
        <w:rPr>
          <w:color w:val="231F20"/>
          <w:spacing w:val="-9"/>
          <w:sz w:val="20"/>
        </w:rPr>
        <w:t> </w:t>
      </w:r>
      <w:r>
        <w:rPr>
          <w:color w:val="231F20"/>
          <w:sz w:val="20"/>
        </w:rPr>
        <w:t>др.)</w:t>
      </w:r>
      <w:r>
        <w:rPr>
          <w:color w:val="231F20"/>
          <w:spacing w:val="-9"/>
          <w:sz w:val="20"/>
        </w:rPr>
        <w:t> </w:t>
      </w:r>
      <w:r>
        <w:rPr>
          <w:color w:val="231F20"/>
          <w:sz w:val="20"/>
        </w:rPr>
        <w:t>помогает</w:t>
      </w:r>
      <w:r>
        <w:rPr>
          <w:color w:val="231F20"/>
          <w:spacing w:val="-9"/>
          <w:sz w:val="20"/>
        </w:rPr>
        <w:t> </w:t>
      </w:r>
      <w:r>
        <w:rPr>
          <w:color w:val="231F20"/>
          <w:sz w:val="20"/>
        </w:rPr>
        <w:t>наставляемому</w:t>
      </w:r>
      <w:r>
        <w:rPr>
          <w:color w:val="231F20"/>
          <w:spacing w:val="-9"/>
          <w:sz w:val="20"/>
        </w:rPr>
        <w:t> </w:t>
      </w:r>
      <w:r>
        <w:rPr>
          <w:color w:val="231F20"/>
          <w:sz w:val="20"/>
        </w:rPr>
        <w:t>осознать</w:t>
      </w:r>
      <w:r>
        <w:rPr>
          <w:color w:val="231F20"/>
          <w:spacing w:val="-9"/>
          <w:sz w:val="20"/>
        </w:rPr>
        <w:t> </w:t>
      </w:r>
      <w:r>
        <w:rPr>
          <w:color w:val="231F20"/>
          <w:sz w:val="20"/>
        </w:rPr>
        <w:t>и</w:t>
      </w:r>
      <w:r>
        <w:rPr>
          <w:color w:val="231F20"/>
          <w:spacing w:val="-9"/>
          <w:sz w:val="20"/>
        </w:rPr>
        <w:t> </w:t>
      </w:r>
      <w:r>
        <w:rPr>
          <w:color w:val="231F20"/>
          <w:sz w:val="20"/>
        </w:rPr>
        <w:t>проявить</w:t>
      </w:r>
      <w:r>
        <w:rPr>
          <w:color w:val="231F20"/>
          <w:spacing w:val="-9"/>
          <w:sz w:val="20"/>
        </w:rPr>
        <w:t> </w:t>
      </w:r>
      <w:r>
        <w:rPr>
          <w:color w:val="231F20"/>
          <w:sz w:val="20"/>
        </w:rPr>
        <w:t>свой</w:t>
      </w:r>
      <w:r>
        <w:rPr>
          <w:color w:val="231F20"/>
          <w:spacing w:val="-9"/>
          <w:sz w:val="20"/>
        </w:rPr>
        <w:t> </w:t>
      </w:r>
      <w:r>
        <w:rPr>
          <w:color w:val="231F20"/>
          <w:sz w:val="20"/>
        </w:rPr>
        <w:t>личностный</w:t>
      </w:r>
      <w:r>
        <w:rPr>
          <w:color w:val="231F20"/>
          <w:spacing w:val="-9"/>
          <w:sz w:val="20"/>
        </w:rPr>
        <w:t> </w:t>
      </w:r>
      <w:r>
        <w:rPr>
          <w:color w:val="231F20"/>
          <w:sz w:val="20"/>
        </w:rPr>
        <w:t>и, возможно,</w:t>
      </w:r>
      <w:r>
        <w:rPr>
          <w:color w:val="231F20"/>
          <w:spacing w:val="-2"/>
          <w:sz w:val="20"/>
        </w:rPr>
        <w:t> </w:t>
      </w:r>
      <w:r>
        <w:rPr>
          <w:color w:val="231F20"/>
          <w:sz w:val="20"/>
        </w:rPr>
        <w:t>профессиональный</w:t>
      </w:r>
      <w:r>
        <w:rPr>
          <w:color w:val="231F20"/>
          <w:spacing w:val="-2"/>
          <w:sz w:val="20"/>
        </w:rPr>
        <w:t> </w:t>
      </w:r>
      <w:r>
        <w:rPr>
          <w:color w:val="231F20"/>
          <w:sz w:val="20"/>
        </w:rPr>
        <w:t>потенциал,</w:t>
      </w:r>
      <w:r>
        <w:rPr>
          <w:color w:val="231F20"/>
          <w:spacing w:val="-2"/>
          <w:sz w:val="20"/>
        </w:rPr>
        <w:t> </w:t>
      </w:r>
      <w:r>
        <w:rPr>
          <w:color w:val="231F20"/>
          <w:sz w:val="20"/>
        </w:rPr>
        <w:t>а</w:t>
      </w:r>
      <w:r>
        <w:rPr>
          <w:color w:val="231F20"/>
          <w:spacing w:val="-2"/>
          <w:sz w:val="20"/>
        </w:rPr>
        <w:t> </w:t>
      </w:r>
      <w:r>
        <w:rPr>
          <w:color w:val="231F20"/>
          <w:sz w:val="20"/>
        </w:rPr>
        <w:t>также</w:t>
      </w:r>
      <w:r>
        <w:rPr>
          <w:color w:val="231F20"/>
          <w:spacing w:val="-2"/>
          <w:sz w:val="20"/>
        </w:rPr>
        <w:t> </w:t>
      </w:r>
      <w:r>
        <w:rPr>
          <w:color w:val="231F20"/>
          <w:sz w:val="20"/>
        </w:rPr>
        <w:t>становится</w:t>
      </w:r>
      <w:r>
        <w:rPr>
          <w:color w:val="231F20"/>
          <w:spacing w:val="-2"/>
          <w:sz w:val="20"/>
        </w:rPr>
        <w:t> </w:t>
      </w:r>
      <w:r>
        <w:rPr>
          <w:color w:val="231F20"/>
          <w:sz w:val="20"/>
        </w:rPr>
        <w:t>ролевой</w:t>
      </w:r>
      <w:r>
        <w:rPr>
          <w:color w:val="231F20"/>
          <w:spacing w:val="-2"/>
          <w:sz w:val="20"/>
        </w:rPr>
        <w:t> </w:t>
      </w:r>
      <w:r>
        <w:rPr>
          <w:color w:val="231F20"/>
          <w:sz w:val="20"/>
        </w:rPr>
        <w:t>моделью</w:t>
      </w:r>
      <w:r>
        <w:rPr>
          <w:color w:val="231F20"/>
          <w:spacing w:val="-2"/>
          <w:sz w:val="20"/>
        </w:rPr>
        <w:t> </w:t>
      </w:r>
      <w:r>
        <w:rPr>
          <w:color w:val="231F20"/>
          <w:sz w:val="20"/>
        </w:rPr>
        <w:t>в </w:t>
      </w:r>
      <w:r>
        <w:rPr>
          <w:color w:val="231F20"/>
          <w:spacing w:val="-4"/>
          <w:sz w:val="20"/>
        </w:rPr>
        <w:t>области ценностного самоопределения (Наставничество в системе образования Рос- </w:t>
      </w:r>
      <w:r>
        <w:rPr>
          <w:color w:val="231F20"/>
          <w:spacing w:val="-2"/>
          <w:sz w:val="20"/>
        </w:rPr>
        <w:t>сии. Практическое пособие для кураторов в образовательных организациях, 2016). </w:t>
      </w:r>
      <w:r>
        <w:rPr>
          <w:color w:val="231F20"/>
          <w:sz w:val="20"/>
        </w:rPr>
        <w:t>Также</w:t>
      </w:r>
      <w:r>
        <w:rPr>
          <w:color w:val="231F20"/>
          <w:spacing w:val="-6"/>
          <w:sz w:val="20"/>
        </w:rPr>
        <w:t> </w:t>
      </w:r>
      <w:r>
        <w:rPr>
          <w:color w:val="231F20"/>
          <w:sz w:val="20"/>
        </w:rPr>
        <w:t>наставничество</w:t>
      </w:r>
      <w:r>
        <w:rPr>
          <w:color w:val="231F20"/>
          <w:spacing w:val="-6"/>
          <w:sz w:val="20"/>
        </w:rPr>
        <w:t> </w:t>
      </w:r>
      <w:r>
        <w:rPr>
          <w:color w:val="231F20"/>
          <w:sz w:val="20"/>
        </w:rPr>
        <w:t>может</w:t>
      </w:r>
      <w:r>
        <w:rPr>
          <w:color w:val="231F20"/>
          <w:spacing w:val="-6"/>
          <w:sz w:val="20"/>
        </w:rPr>
        <w:t> </w:t>
      </w:r>
      <w:r>
        <w:rPr>
          <w:color w:val="231F20"/>
          <w:sz w:val="20"/>
        </w:rPr>
        <w:t>осуществляться</w:t>
      </w:r>
      <w:r>
        <w:rPr>
          <w:color w:val="231F20"/>
          <w:spacing w:val="-6"/>
          <w:sz w:val="20"/>
        </w:rPr>
        <w:t> </w:t>
      </w:r>
      <w:r>
        <w:rPr>
          <w:color w:val="231F20"/>
          <w:sz w:val="20"/>
        </w:rPr>
        <w:t>в</w:t>
      </w:r>
      <w:r>
        <w:rPr>
          <w:color w:val="231F20"/>
          <w:spacing w:val="-6"/>
          <w:sz w:val="20"/>
        </w:rPr>
        <w:t> </w:t>
      </w:r>
      <w:r>
        <w:rPr>
          <w:color w:val="231F20"/>
          <w:sz w:val="20"/>
        </w:rPr>
        <w:t>индивидуальной,</w:t>
      </w:r>
      <w:r>
        <w:rPr>
          <w:color w:val="231F20"/>
          <w:spacing w:val="-6"/>
          <w:sz w:val="20"/>
        </w:rPr>
        <w:t> </w:t>
      </w:r>
      <w:r>
        <w:rPr>
          <w:color w:val="231F20"/>
          <w:sz w:val="20"/>
        </w:rPr>
        <w:t>групповой</w:t>
      </w:r>
      <w:r>
        <w:rPr>
          <w:color w:val="231F20"/>
          <w:spacing w:val="-6"/>
          <w:sz w:val="20"/>
        </w:rPr>
        <w:t> </w:t>
      </w:r>
      <w:r>
        <w:rPr>
          <w:color w:val="231F20"/>
          <w:sz w:val="20"/>
        </w:rPr>
        <w:t>и</w:t>
      </w:r>
      <w:r>
        <w:rPr>
          <w:color w:val="231F20"/>
          <w:spacing w:val="-6"/>
          <w:sz w:val="20"/>
        </w:rPr>
        <w:t> </w:t>
      </w:r>
      <w:r>
        <w:rPr>
          <w:color w:val="231F20"/>
          <w:sz w:val="20"/>
        </w:rPr>
        <w:t>ко-</w:t>
      </w:r>
    </w:p>
    <w:p>
      <w:pPr>
        <w:pStyle w:val="BodyText"/>
        <w:spacing w:line="232" w:lineRule="auto" w:before="7"/>
        <w:ind w:firstLine="0"/>
      </w:pPr>
      <w:r>
        <w:rPr>
          <w:color w:val="231F20"/>
        </w:rPr>
        <w:t>мандной</w:t>
      </w:r>
      <w:r>
        <w:rPr>
          <w:color w:val="231F20"/>
          <w:spacing w:val="-9"/>
        </w:rPr>
        <w:t> </w:t>
      </w:r>
      <w:r>
        <w:rPr>
          <w:color w:val="231F20"/>
        </w:rPr>
        <w:t>форме.</w:t>
      </w:r>
      <w:r>
        <w:rPr>
          <w:color w:val="231F20"/>
          <w:spacing w:val="-9"/>
        </w:rPr>
        <w:t> </w:t>
      </w:r>
      <w:r>
        <w:rPr>
          <w:color w:val="231F20"/>
        </w:rPr>
        <w:t>В</w:t>
      </w:r>
      <w:r>
        <w:rPr>
          <w:color w:val="231F20"/>
          <w:spacing w:val="-9"/>
        </w:rPr>
        <w:t> </w:t>
      </w:r>
      <w:r>
        <w:rPr>
          <w:color w:val="231F20"/>
        </w:rPr>
        <w:t>первом</w:t>
      </w:r>
      <w:r>
        <w:rPr>
          <w:color w:val="231F20"/>
          <w:spacing w:val="-9"/>
        </w:rPr>
        <w:t> </w:t>
      </w:r>
      <w:r>
        <w:rPr>
          <w:color w:val="231F20"/>
        </w:rPr>
        <w:t>случае</w:t>
      </w:r>
      <w:r>
        <w:rPr>
          <w:color w:val="231F20"/>
          <w:spacing w:val="-9"/>
        </w:rPr>
        <w:t> </w:t>
      </w:r>
      <w:r>
        <w:rPr>
          <w:color w:val="231F20"/>
        </w:rPr>
        <w:t>к</w:t>
      </w:r>
      <w:r>
        <w:rPr>
          <w:color w:val="231F20"/>
          <w:spacing w:val="-9"/>
        </w:rPr>
        <w:t> </w:t>
      </w:r>
      <w:r>
        <w:rPr>
          <w:color w:val="231F20"/>
        </w:rPr>
        <w:t>наставляемому</w:t>
      </w:r>
      <w:r>
        <w:rPr>
          <w:color w:val="231F20"/>
          <w:spacing w:val="-9"/>
        </w:rPr>
        <w:t> </w:t>
      </w:r>
      <w:r>
        <w:rPr>
          <w:color w:val="231F20"/>
        </w:rPr>
        <w:t>«прикрепляется»</w:t>
      </w:r>
      <w:r>
        <w:rPr>
          <w:color w:val="231F20"/>
          <w:spacing w:val="-9"/>
        </w:rPr>
        <w:t> </w:t>
      </w:r>
      <w:r>
        <w:rPr>
          <w:color w:val="231F20"/>
        </w:rPr>
        <w:t>более</w:t>
      </w:r>
      <w:r>
        <w:rPr>
          <w:color w:val="231F20"/>
          <w:spacing w:val="-9"/>
        </w:rPr>
        <w:t> </w:t>
      </w:r>
      <w:r>
        <w:rPr>
          <w:color w:val="231F20"/>
        </w:rPr>
        <w:t>старший</w:t>
      </w:r>
      <w:r>
        <w:rPr>
          <w:color w:val="231F20"/>
          <w:spacing w:val="-9"/>
        </w:rPr>
        <w:t> </w:t>
      </w:r>
      <w:r>
        <w:rPr>
          <w:color w:val="231F20"/>
        </w:rPr>
        <w:t>и адаптированный</w:t>
      </w:r>
      <w:r>
        <w:rPr>
          <w:color w:val="231F20"/>
          <w:spacing w:val="-13"/>
        </w:rPr>
        <w:t> </w:t>
      </w:r>
      <w:r>
        <w:rPr>
          <w:color w:val="231F20"/>
        </w:rPr>
        <w:t>ученик</w:t>
      </w:r>
      <w:r>
        <w:rPr>
          <w:color w:val="231F20"/>
          <w:spacing w:val="-12"/>
        </w:rPr>
        <w:t> </w:t>
      </w:r>
      <w:r>
        <w:rPr>
          <w:color w:val="231F20"/>
        </w:rPr>
        <w:t>или</w:t>
      </w:r>
      <w:r>
        <w:rPr>
          <w:color w:val="231F20"/>
          <w:spacing w:val="-13"/>
        </w:rPr>
        <w:t> </w:t>
      </w:r>
      <w:r>
        <w:rPr>
          <w:color w:val="231F20"/>
        </w:rPr>
        <w:t>студент,</w:t>
      </w:r>
      <w:r>
        <w:rPr>
          <w:color w:val="231F20"/>
          <w:spacing w:val="-12"/>
        </w:rPr>
        <w:t> </w:t>
      </w:r>
      <w:r>
        <w:rPr>
          <w:color w:val="231F20"/>
        </w:rPr>
        <w:t>и</w:t>
      </w:r>
      <w:r>
        <w:rPr>
          <w:color w:val="231F20"/>
          <w:spacing w:val="-13"/>
        </w:rPr>
        <w:t> </w:t>
      </w:r>
      <w:r>
        <w:rPr>
          <w:color w:val="231F20"/>
        </w:rPr>
        <w:t>взаимодействие</w:t>
      </w:r>
      <w:r>
        <w:rPr>
          <w:color w:val="231F20"/>
          <w:spacing w:val="-12"/>
        </w:rPr>
        <w:t> </w:t>
      </w:r>
      <w:r>
        <w:rPr>
          <w:color w:val="231F20"/>
        </w:rPr>
        <w:t>происходит</w:t>
      </w:r>
      <w:r>
        <w:rPr>
          <w:color w:val="231F20"/>
          <w:spacing w:val="-13"/>
        </w:rPr>
        <w:t> </w:t>
      </w:r>
      <w:r>
        <w:rPr>
          <w:color w:val="231F20"/>
        </w:rPr>
        <w:t>лично.</w:t>
      </w:r>
      <w:r>
        <w:rPr>
          <w:color w:val="231F20"/>
          <w:spacing w:val="-12"/>
        </w:rPr>
        <w:t> </w:t>
      </w:r>
      <w:r>
        <w:rPr>
          <w:color w:val="231F20"/>
        </w:rPr>
        <w:t>Во</w:t>
      </w:r>
      <w:r>
        <w:rPr>
          <w:color w:val="231F20"/>
          <w:spacing w:val="-13"/>
        </w:rPr>
        <w:t> </w:t>
      </w:r>
      <w:r>
        <w:rPr>
          <w:color w:val="231F20"/>
        </w:rPr>
        <w:t>втором случае один наставник проводит встречи для группы, состоящей максимум из четы- рех человек, и наставляемые общаются как с наставником, так и друг с другом.</w:t>
      </w:r>
    </w:p>
    <w:p>
      <w:pPr>
        <w:pStyle w:val="BodyText"/>
        <w:spacing w:line="235" w:lineRule="auto" w:before="2"/>
      </w:pPr>
      <w:r>
        <w:rPr>
          <w:color w:val="231F20"/>
        </w:rPr>
        <w:t>О конкретной истории создания практики наставничества, или менторства, гово- рить</w:t>
      </w:r>
      <w:r>
        <w:rPr>
          <w:color w:val="231F20"/>
          <w:spacing w:val="-4"/>
        </w:rPr>
        <w:t> </w:t>
      </w:r>
      <w:r>
        <w:rPr>
          <w:color w:val="231F20"/>
        </w:rPr>
        <w:t>сложно,</w:t>
      </w:r>
      <w:r>
        <w:rPr>
          <w:color w:val="231F20"/>
          <w:spacing w:val="-4"/>
        </w:rPr>
        <w:t> </w:t>
      </w:r>
      <w:r>
        <w:rPr>
          <w:color w:val="231F20"/>
        </w:rPr>
        <w:t>поскольку</w:t>
      </w:r>
      <w:r>
        <w:rPr>
          <w:color w:val="231F20"/>
          <w:spacing w:val="-4"/>
        </w:rPr>
        <w:t> </w:t>
      </w:r>
      <w:r>
        <w:rPr>
          <w:color w:val="231F20"/>
        </w:rPr>
        <w:t>она</w:t>
      </w:r>
      <w:r>
        <w:rPr>
          <w:color w:val="231F20"/>
          <w:spacing w:val="-4"/>
        </w:rPr>
        <w:t> </w:t>
      </w:r>
      <w:r>
        <w:rPr>
          <w:color w:val="231F20"/>
        </w:rPr>
        <w:t>берет</w:t>
      </w:r>
      <w:r>
        <w:rPr>
          <w:color w:val="231F20"/>
          <w:spacing w:val="-4"/>
        </w:rPr>
        <w:t> </w:t>
      </w:r>
      <w:r>
        <w:rPr>
          <w:color w:val="231F20"/>
        </w:rPr>
        <w:t>начало</w:t>
      </w:r>
      <w:r>
        <w:rPr>
          <w:color w:val="231F20"/>
          <w:spacing w:val="-4"/>
        </w:rPr>
        <w:t> </w:t>
      </w:r>
      <w:r>
        <w:rPr>
          <w:color w:val="231F20"/>
        </w:rPr>
        <w:t>еще</w:t>
      </w:r>
      <w:r>
        <w:rPr>
          <w:color w:val="231F20"/>
          <w:spacing w:val="-4"/>
        </w:rPr>
        <w:t> </w:t>
      </w:r>
      <w:r>
        <w:rPr>
          <w:color w:val="231F20"/>
        </w:rPr>
        <w:t>в</w:t>
      </w:r>
      <w:r>
        <w:rPr>
          <w:color w:val="231F20"/>
          <w:spacing w:val="-4"/>
        </w:rPr>
        <w:t> </w:t>
      </w:r>
      <w:r>
        <w:rPr>
          <w:color w:val="231F20"/>
        </w:rPr>
        <w:t>мифологии</w:t>
      </w:r>
      <w:r>
        <w:rPr>
          <w:color w:val="231F20"/>
          <w:spacing w:val="-4"/>
        </w:rPr>
        <w:t> </w:t>
      </w:r>
      <w:r>
        <w:rPr>
          <w:color w:val="231F20"/>
        </w:rPr>
        <w:t>Древней</w:t>
      </w:r>
      <w:r>
        <w:rPr>
          <w:color w:val="231F20"/>
          <w:spacing w:val="-4"/>
        </w:rPr>
        <w:t> </w:t>
      </w:r>
      <w:r>
        <w:rPr>
          <w:color w:val="231F20"/>
        </w:rPr>
        <w:t>Греции:</w:t>
      </w:r>
      <w:r>
        <w:rPr>
          <w:color w:val="231F20"/>
          <w:spacing w:val="-4"/>
        </w:rPr>
        <w:t> </w:t>
      </w:r>
      <w:r>
        <w:rPr>
          <w:color w:val="231F20"/>
        </w:rPr>
        <w:t>Менто- ром звали друга дома Одиссея, в облике которого являлась богиня мудрости Афина, наставлявшая Телемаха (Кондрашов, 2005). В Средние века в первых британских университетах возникло тьюторство — сопровождение самообразования (Медведе- ва, 2014). Наставничество как практика развивалось и в гуманитарном образовании, и при организации труда (институт подмастерий), и продолжает развиваться до сих пор,</w:t>
      </w:r>
      <w:r>
        <w:rPr>
          <w:color w:val="231F20"/>
          <w:spacing w:val="-2"/>
        </w:rPr>
        <w:t> </w:t>
      </w:r>
      <w:r>
        <w:rPr>
          <w:color w:val="231F20"/>
        </w:rPr>
        <w:t>включая</w:t>
      </w:r>
      <w:r>
        <w:rPr>
          <w:color w:val="231F20"/>
          <w:spacing w:val="-2"/>
        </w:rPr>
        <w:t> </w:t>
      </w:r>
      <w:r>
        <w:rPr>
          <w:color w:val="231F20"/>
        </w:rPr>
        <w:t>в</w:t>
      </w:r>
      <w:r>
        <w:rPr>
          <w:color w:val="231F20"/>
          <w:spacing w:val="-2"/>
        </w:rPr>
        <w:t> </w:t>
      </w:r>
      <w:r>
        <w:rPr>
          <w:color w:val="231F20"/>
        </w:rPr>
        <w:t>себя</w:t>
      </w:r>
      <w:r>
        <w:rPr>
          <w:color w:val="231F20"/>
          <w:spacing w:val="-2"/>
        </w:rPr>
        <w:t> </w:t>
      </w:r>
      <w:r>
        <w:rPr>
          <w:color w:val="231F20"/>
        </w:rPr>
        <w:t>не</w:t>
      </w:r>
      <w:r>
        <w:rPr>
          <w:color w:val="231F20"/>
          <w:spacing w:val="-2"/>
        </w:rPr>
        <w:t> </w:t>
      </w:r>
      <w:r>
        <w:rPr>
          <w:color w:val="231F20"/>
        </w:rPr>
        <w:t>только</w:t>
      </w:r>
      <w:r>
        <w:rPr>
          <w:color w:val="231F20"/>
          <w:spacing w:val="-2"/>
        </w:rPr>
        <w:t> </w:t>
      </w:r>
      <w:r>
        <w:rPr>
          <w:color w:val="231F20"/>
        </w:rPr>
        <w:t>сопровождение</w:t>
      </w:r>
      <w:r>
        <w:rPr>
          <w:color w:val="231F20"/>
          <w:spacing w:val="-2"/>
        </w:rPr>
        <w:t> </w:t>
      </w:r>
      <w:r>
        <w:rPr>
          <w:color w:val="231F20"/>
        </w:rPr>
        <w:t>обучения,</w:t>
      </w:r>
      <w:r>
        <w:rPr>
          <w:color w:val="231F20"/>
          <w:spacing w:val="-2"/>
        </w:rPr>
        <w:t> </w:t>
      </w:r>
      <w:r>
        <w:rPr>
          <w:color w:val="231F20"/>
        </w:rPr>
        <w:t>но</w:t>
      </w:r>
      <w:r>
        <w:rPr>
          <w:color w:val="231F20"/>
          <w:spacing w:val="-2"/>
        </w:rPr>
        <w:t> </w:t>
      </w:r>
      <w:r>
        <w:rPr>
          <w:color w:val="231F20"/>
        </w:rPr>
        <w:t>и</w:t>
      </w:r>
      <w:r>
        <w:rPr>
          <w:color w:val="231F20"/>
          <w:spacing w:val="-2"/>
        </w:rPr>
        <w:t> </w:t>
      </w:r>
      <w:r>
        <w:rPr>
          <w:color w:val="231F20"/>
        </w:rPr>
        <w:t>психологическую</w:t>
      </w:r>
      <w:r>
        <w:rPr>
          <w:color w:val="231F20"/>
          <w:spacing w:val="-2"/>
        </w:rPr>
        <w:t> </w:t>
      </w:r>
      <w:r>
        <w:rPr>
          <w:color w:val="231F20"/>
        </w:rPr>
        <w:t>под- держку, содействие развитию личности и культурной интеграции.</w:t>
      </w:r>
    </w:p>
    <w:p>
      <w:pPr>
        <w:pStyle w:val="BodyText"/>
        <w:spacing w:after="0" w:line="235" w:lineRule="auto"/>
        <w:sectPr>
          <w:pgSz w:w="8400" w:h="11910"/>
          <w:pgMar w:header="0" w:footer="527" w:top="72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before="109"/>
        <w:ind w:left="425" w:right="0" w:firstLine="0"/>
        <w:jc w:val="left"/>
        <w:rPr>
          <w:b/>
          <w:sz w:val="20"/>
        </w:rPr>
      </w:pPr>
      <w:r>
        <w:rPr>
          <w:b/>
          <w:sz w:val="20"/>
        </w:rPr>
        <w:t>Сильные</w:t>
      </w:r>
      <w:r>
        <w:rPr>
          <w:b/>
          <w:spacing w:val="-2"/>
          <w:sz w:val="20"/>
        </w:rPr>
        <w:t> </w:t>
      </w:r>
      <w:r>
        <w:rPr>
          <w:b/>
          <w:sz w:val="20"/>
        </w:rPr>
        <w:t>стороны</w:t>
      </w:r>
      <w:r>
        <w:rPr>
          <w:b/>
          <w:spacing w:val="-2"/>
          <w:sz w:val="20"/>
        </w:rPr>
        <w:t> практики</w:t>
      </w:r>
    </w:p>
    <w:p>
      <w:pPr>
        <w:pStyle w:val="ListParagraph"/>
        <w:numPr>
          <w:ilvl w:val="0"/>
          <w:numId w:val="125"/>
        </w:numPr>
        <w:tabs>
          <w:tab w:pos="425" w:val="left" w:leader="none"/>
        </w:tabs>
        <w:spacing w:line="240" w:lineRule="auto" w:before="53" w:after="0"/>
        <w:ind w:left="425" w:right="0" w:hanging="284"/>
        <w:jc w:val="left"/>
        <w:rPr>
          <w:i/>
          <w:sz w:val="20"/>
        </w:rPr>
      </w:pPr>
      <w:r>
        <w:rPr>
          <w:i/>
          <w:sz w:val="20"/>
        </w:rPr>
        <w:t>Социальная</w:t>
      </w:r>
      <w:r>
        <w:rPr>
          <w:i/>
          <w:spacing w:val="-7"/>
          <w:sz w:val="20"/>
        </w:rPr>
        <w:t> </w:t>
      </w:r>
      <w:r>
        <w:rPr>
          <w:i/>
          <w:sz w:val="20"/>
        </w:rPr>
        <w:t>адаптация</w:t>
      </w:r>
      <w:r>
        <w:rPr>
          <w:i/>
          <w:spacing w:val="-5"/>
          <w:sz w:val="20"/>
        </w:rPr>
        <w:t> </w:t>
      </w:r>
      <w:r>
        <w:rPr>
          <w:i/>
          <w:sz w:val="20"/>
        </w:rPr>
        <w:t>и</w:t>
      </w:r>
      <w:r>
        <w:rPr>
          <w:i/>
          <w:spacing w:val="-5"/>
          <w:sz w:val="20"/>
        </w:rPr>
        <w:t> </w:t>
      </w:r>
      <w:r>
        <w:rPr>
          <w:i/>
          <w:color w:val="231F20"/>
          <w:sz w:val="20"/>
        </w:rPr>
        <w:t>психологическая</w:t>
      </w:r>
      <w:r>
        <w:rPr>
          <w:i/>
          <w:color w:val="231F20"/>
          <w:spacing w:val="-5"/>
          <w:sz w:val="20"/>
        </w:rPr>
        <w:t> </w:t>
      </w:r>
      <w:r>
        <w:rPr>
          <w:i/>
          <w:spacing w:val="-2"/>
          <w:sz w:val="20"/>
        </w:rPr>
        <w:t>безопасность</w:t>
      </w:r>
    </w:p>
    <w:p>
      <w:pPr>
        <w:pStyle w:val="BodyText"/>
        <w:spacing w:line="235" w:lineRule="auto"/>
      </w:pPr>
      <w:r>
        <w:rPr/>
        <w:t>Одной из целей практики является формирование у детей с миграционным опы- том навыков взаимодействия со сверстниками и взрослыми. Наставничество пред- полагает регулярный контакт ребенка с эмпатичным собеседником, помогающим сориентироваться в незнакомом сообществе. Многие типичные школьные ситуации характеризуются</w:t>
      </w:r>
      <w:r>
        <w:rPr>
          <w:spacing w:val="-13"/>
        </w:rPr>
        <w:t> </w:t>
      </w:r>
      <w:r>
        <w:rPr/>
        <w:t>наличием</w:t>
      </w:r>
      <w:r>
        <w:rPr>
          <w:spacing w:val="-12"/>
        </w:rPr>
        <w:t> </w:t>
      </w:r>
      <w:r>
        <w:rPr/>
        <w:t>внешней</w:t>
      </w:r>
      <w:r>
        <w:rPr>
          <w:spacing w:val="-13"/>
        </w:rPr>
        <w:t> </w:t>
      </w:r>
      <w:r>
        <w:rPr/>
        <w:t>оценки</w:t>
      </w:r>
      <w:r>
        <w:rPr>
          <w:spacing w:val="-12"/>
        </w:rPr>
        <w:t> </w:t>
      </w:r>
      <w:r>
        <w:rPr/>
        <w:t>(взаимодействие</w:t>
      </w:r>
      <w:r>
        <w:rPr>
          <w:spacing w:val="-13"/>
        </w:rPr>
        <w:t> </w:t>
      </w:r>
      <w:r>
        <w:rPr/>
        <w:t>с</w:t>
      </w:r>
      <w:r>
        <w:rPr>
          <w:spacing w:val="-12"/>
        </w:rPr>
        <w:t> </w:t>
      </w:r>
      <w:r>
        <w:rPr/>
        <w:t>педагогами)</w:t>
      </w:r>
      <w:r>
        <w:rPr>
          <w:spacing w:val="-13"/>
        </w:rPr>
        <w:t> </w:t>
      </w:r>
      <w:r>
        <w:rPr/>
        <w:t>или</w:t>
      </w:r>
      <w:r>
        <w:rPr>
          <w:spacing w:val="-12"/>
        </w:rPr>
        <w:t> </w:t>
      </w:r>
      <w:r>
        <w:rPr/>
        <w:t>стол- кновением</w:t>
      </w:r>
      <w:r>
        <w:rPr>
          <w:spacing w:val="-4"/>
        </w:rPr>
        <w:t> </w:t>
      </w:r>
      <w:r>
        <w:rPr/>
        <w:t>интересов</w:t>
      </w:r>
      <w:r>
        <w:rPr>
          <w:spacing w:val="-4"/>
        </w:rPr>
        <w:t> </w:t>
      </w:r>
      <w:r>
        <w:rPr/>
        <w:t>(общение</w:t>
      </w:r>
      <w:r>
        <w:rPr>
          <w:spacing w:val="-4"/>
        </w:rPr>
        <w:t> </w:t>
      </w:r>
      <w:r>
        <w:rPr/>
        <w:t>со</w:t>
      </w:r>
      <w:r>
        <w:rPr>
          <w:spacing w:val="-4"/>
        </w:rPr>
        <w:t> </w:t>
      </w:r>
      <w:r>
        <w:rPr/>
        <w:t>сверстниками),</w:t>
      </w:r>
      <w:r>
        <w:rPr>
          <w:spacing w:val="-4"/>
        </w:rPr>
        <w:t> </w:t>
      </w:r>
      <w:r>
        <w:rPr/>
        <w:t>что</w:t>
      </w:r>
      <w:r>
        <w:rPr>
          <w:spacing w:val="-4"/>
        </w:rPr>
        <w:t> </w:t>
      </w:r>
      <w:r>
        <w:rPr/>
        <w:t>вызывает</w:t>
      </w:r>
      <w:r>
        <w:rPr>
          <w:spacing w:val="-4"/>
        </w:rPr>
        <w:t> </w:t>
      </w:r>
      <w:r>
        <w:rPr/>
        <w:t>сложности</w:t>
      </w:r>
      <w:r>
        <w:rPr>
          <w:spacing w:val="-4"/>
        </w:rPr>
        <w:t> </w:t>
      </w:r>
      <w:r>
        <w:rPr/>
        <w:t>в</w:t>
      </w:r>
      <w:r>
        <w:rPr>
          <w:spacing w:val="-4"/>
        </w:rPr>
        <w:t> </w:t>
      </w:r>
      <w:r>
        <w:rPr/>
        <w:t>адапта- ции. Наставник не оценивает подопечного и не взаимодействует с ним из формаль- ной позиции, что делает общение относительно безопасным для ребенка. При этом наставник хорошо представляет социальную среду, в которой находится его подо- печный, и может помочь ему сформировать и испробовать действенные стратегии взаимодействия с соучениками и взрослыми.</w:t>
      </w:r>
    </w:p>
    <w:p>
      <w:pPr>
        <w:pStyle w:val="ListParagraph"/>
        <w:numPr>
          <w:ilvl w:val="1"/>
          <w:numId w:val="125"/>
        </w:numPr>
        <w:tabs>
          <w:tab w:pos="544" w:val="left" w:leader="none"/>
        </w:tabs>
        <w:spacing w:line="229" w:lineRule="exact" w:before="122" w:after="0"/>
        <w:ind w:left="544" w:right="0" w:hanging="119"/>
        <w:jc w:val="both"/>
        <w:rPr>
          <w:i/>
          <w:sz w:val="20"/>
        </w:rPr>
      </w:pPr>
      <w:r>
        <w:rPr>
          <w:i/>
          <w:sz w:val="20"/>
        </w:rPr>
        <w:t>Культурная</w:t>
      </w:r>
      <w:r>
        <w:rPr>
          <w:i/>
          <w:spacing w:val="-10"/>
          <w:sz w:val="20"/>
        </w:rPr>
        <w:t> </w:t>
      </w:r>
      <w:r>
        <w:rPr>
          <w:i/>
          <w:sz w:val="20"/>
        </w:rPr>
        <w:t>адаптация</w:t>
      </w:r>
      <w:r>
        <w:rPr>
          <w:i/>
          <w:spacing w:val="-10"/>
          <w:sz w:val="20"/>
        </w:rPr>
        <w:t> </w:t>
      </w:r>
      <w:r>
        <w:rPr>
          <w:i/>
          <w:sz w:val="20"/>
        </w:rPr>
        <w:t>и</w:t>
      </w:r>
      <w:r>
        <w:rPr>
          <w:i/>
          <w:spacing w:val="-9"/>
          <w:sz w:val="20"/>
        </w:rPr>
        <w:t> </w:t>
      </w:r>
      <w:r>
        <w:rPr>
          <w:i/>
          <w:spacing w:val="-2"/>
          <w:sz w:val="20"/>
        </w:rPr>
        <w:t>интеграция</w:t>
      </w:r>
    </w:p>
    <w:p>
      <w:pPr>
        <w:pStyle w:val="BodyText"/>
      </w:pPr>
      <w:r>
        <w:rPr/>
        <w:t>Еще одной целью практики является обеспечение объективной и субъективной </w:t>
      </w:r>
      <w:r>
        <w:rPr>
          <w:spacing w:val="-2"/>
        </w:rPr>
        <w:t>включенности</w:t>
      </w:r>
      <w:r>
        <w:rPr>
          <w:spacing w:val="-6"/>
        </w:rPr>
        <w:t> </w:t>
      </w:r>
      <w:r>
        <w:rPr>
          <w:spacing w:val="-2"/>
        </w:rPr>
        <w:t>детей</w:t>
      </w:r>
      <w:r>
        <w:rPr>
          <w:spacing w:val="-6"/>
        </w:rPr>
        <w:t> </w:t>
      </w:r>
      <w:r>
        <w:rPr>
          <w:spacing w:val="-2"/>
        </w:rPr>
        <w:t>иностранных</w:t>
      </w:r>
      <w:r>
        <w:rPr>
          <w:spacing w:val="-6"/>
        </w:rPr>
        <w:t> </w:t>
      </w:r>
      <w:r>
        <w:rPr>
          <w:spacing w:val="-2"/>
        </w:rPr>
        <w:t>граждан</w:t>
      </w:r>
      <w:r>
        <w:rPr>
          <w:spacing w:val="-6"/>
        </w:rPr>
        <w:t> </w:t>
      </w:r>
      <w:r>
        <w:rPr>
          <w:spacing w:val="-2"/>
        </w:rPr>
        <w:t>в</w:t>
      </w:r>
      <w:r>
        <w:rPr>
          <w:spacing w:val="-6"/>
        </w:rPr>
        <w:t> </w:t>
      </w:r>
      <w:r>
        <w:rPr>
          <w:spacing w:val="-2"/>
        </w:rPr>
        <w:t>школьное</w:t>
      </w:r>
      <w:r>
        <w:rPr>
          <w:spacing w:val="-6"/>
        </w:rPr>
        <w:t> </w:t>
      </w:r>
      <w:r>
        <w:rPr>
          <w:spacing w:val="-2"/>
        </w:rPr>
        <w:t>сообщество.</w:t>
      </w:r>
      <w:r>
        <w:rPr>
          <w:spacing w:val="-6"/>
        </w:rPr>
        <w:t> </w:t>
      </w:r>
      <w:r>
        <w:rPr>
          <w:spacing w:val="-2"/>
        </w:rPr>
        <w:t>Для</w:t>
      </w:r>
      <w:r>
        <w:rPr>
          <w:spacing w:val="-6"/>
        </w:rPr>
        <w:t> </w:t>
      </w:r>
      <w:r>
        <w:rPr>
          <w:spacing w:val="-2"/>
        </w:rPr>
        <w:t>этого</w:t>
      </w:r>
      <w:r>
        <w:rPr>
          <w:spacing w:val="-6"/>
        </w:rPr>
        <w:t> </w:t>
      </w:r>
      <w:r>
        <w:rPr>
          <w:spacing w:val="-2"/>
        </w:rPr>
        <w:t>необхо- </w:t>
      </w:r>
      <w:r>
        <w:rPr/>
        <w:t>димо</w:t>
      </w:r>
      <w:r>
        <w:rPr>
          <w:spacing w:val="-13"/>
        </w:rPr>
        <w:t> </w:t>
      </w:r>
      <w:r>
        <w:rPr/>
        <w:t>владение</w:t>
      </w:r>
      <w:r>
        <w:rPr>
          <w:spacing w:val="-12"/>
        </w:rPr>
        <w:t> </w:t>
      </w:r>
      <w:r>
        <w:rPr/>
        <w:t>общим</w:t>
      </w:r>
      <w:r>
        <w:rPr>
          <w:spacing w:val="-13"/>
        </w:rPr>
        <w:t> </w:t>
      </w:r>
      <w:r>
        <w:rPr/>
        <w:t>языком</w:t>
      </w:r>
      <w:r>
        <w:rPr>
          <w:spacing w:val="-12"/>
        </w:rPr>
        <w:t> </w:t>
      </w:r>
      <w:r>
        <w:rPr/>
        <w:t>и</w:t>
      </w:r>
      <w:r>
        <w:rPr>
          <w:spacing w:val="-13"/>
        </w:rPr>
        <w:t> </w:t>
      </w:r>
      <w:r>
        <w:rPr/>
        <w:t>усвоение</w:t>
      </w:r>
      <w:r>
        <w:rPr>
          <w:spacing w:val="-12"/>
        </w:rPr>
        <w:t> </w:t>
      </w:r>
      <w:r>
        <w:rPr/>
        <w:t>норм</w:t>
      </w:r>
      <w:r>
        <w:rPr>
          <w:spacing w:val="-13"/>
        </w:rPr>
        <w:t> </w:t>
      </w:r>
      <w:r>
        <w:rPr/>
        <w:t>и</w:t>
      </w:r>
      <w:r>
        <w:rPr>
          <w:spacing w:val="-12"/>
        </w:rPr>
        <w:t> </w:t>
      </w:r>
      <w:r>
        <w:rPr/>
        <w:t>правил</w:t>
      </w:r>
      <w:r>
        <w:rPr>
          <w:spacing w:val="-13"/>
        </w:rPr>
        <w:t> </w:t>
      </w:r>
      <w:r>
        <w:rPr/>
        <w:t>коммуникации,</w:t>
      </w:r>
      <w:r>
        <w:rPr>
          <w:spacing w:val="-12"/>
        </w:rPr>
        <w:t> </w:t>
      </w:r>
      <w:r>
        <w:rPr/>
        <w:t>что</w:t>
      </w:r>
      <w:r>
        <w:rPr>
          <w:spacing w:val="-13"/>
        </w:rPr>
        <w:t> </w:t>
      </w:r>
      <w:r>
        <w:rPr/>
        <w:t>происхо- дит</w:t>
      </w:r>
      <w:r>
        <w:rPr>
          <w:spacing w:val="-13"/>
        </w:rPr>
        <w:t> </w:t>
      </w:r>
      <w:r>
        <w:rPr/>
        <w:t>как</w:t>
      </w:r>
      <w:r>
        <w:rPr>
          <w:spacing w:val="-12"/>
        </w:rPr>
        <w:t> </w:t>
      </w:r>
      <w:r>
        <w:rPr/>
        <w:t>при</w:t>
      </w:r>
      <w:r>
        <w:rPr>
          <w:spacing w:val="-13"/>
        </w:rPr>
        <w:t> </w:t>
      </w:r>
      <w:r>
        <w:rPr/>
        <w:t>индивидуальном</w:t>
      </w:r>
      <w:r>
        <w:rPr>
          <w:spacing w:val="-12"/>
        </w:rPr>
        <w:t> </w:t>
      </w:r>
      <w:r>
        <w:rPr/>
        <w:t>взаимодействии</w:t>
      </w:r>
      <w:r>
        <w:rPr>
          <w:spacing w:val="-13"/>
        </w:rPr>
        <w:t> </w:t>
      </w:r>
      <w:r>
        <w:rPr/>
        <w:t>наставляемого</w:t>
      </w:r>
      <w:r>
        <w:rPr>
          <w:spacing w:val="-12"/>
        </w:rPr>
        <w:t> </w:t>
      </w:r>
      <w:r>
        <w:rPr/>
        <w:t>с</w:t>
      </w:r>
      <w:r>
        <w:rPr>
          <w:spacing w:val="-13"/>
        </w:rPr>
        <w:t> </w:t>
      </w:r>
      <w:r>
        <w:rPr/>
        <w:t>наставником,</w:t>
      </w:r>
      <w:r>
        <w:rPr>
          <w:spacing w:val="-12"/>
        </w:rPr>
        <w:t> </w:t>
      </w:r>
      <w:r>
        <w:rPr/>
        <w:t>так</w:t>
      </w:r>
      <w:r>
        <w:rPr>
          <w:spacing w:val="-13"/>
        </w:rPr>
        <w:t> </w:t>
      </w:r>
      <w:r>
        <w:rPr/>
        <w:t>и</w:t>
      </w:r>
      <w:r>
        <w:rPr>
          <w:spacing w:val="-12"/>
        </w:rPr>
        <w:t> </w:t>
      </w:r>
      <w:r>
        <w:rPr/>
        <w:t>при </w:t>
      </w:r>
      <w:r>
        <w:rPr>
          <w:spacing w:val="-2"/>
        </w:rPr>
        <w:t>участии</w:t>
      </w:r>
      <w:r>
        <w:rPr>
          <w:spacing w:val="-11"/>
        </w:rPr>
        <w:t> </w:t>
      </w:r>
      <w:r>
        <w:rPr>
          <w:spacing w:val="-2"/>
        </w:rPr>
        <w:t>детей</w:t>
      </w:r>
      <w:r>
        <w:rPr>
          <w:spacing w:val="-10"/>
        </w:rPr>
        <w:t> </w:t>
      </w:r>
      <w:r>
        <w:rPr>
          <w:spacing w:val="-2"/>
        </w:rPr>
        <w:t>с</w:t>
      </w:r>
      <w:r>
        <w:rPr>
          <w:spacing w:val="-11"/>
        </w:rPr>
        <w:t> </w:t>
      </w:r>
      <w:r>
        <w:rPr>
          <w:spacing w:val="-2"/>
        </w:rPr>
        <w:t>миграционным</w:t>
      </w:r>
      <w:r>
        <w:rPr>
          <w:spacing w:val="-10"/>
        </w:rPr>
        <w:t> </w:t>
      </w:r>
      <w:r>
        <w:rPr>
          <w:spacing w:val="-2"/>
        </w:rPr>
        <w:t>опытом</w:t>
      </w:r>
      <w:r>
        <w:rPr>
          <w:spacing w:val="-11"/>
        </w:rPr>
        <w:t> </w:t>
      </w:r>
      <w:r>
        <w:rPr>
          <w:spacing w:val="-2"/>
        </w:rPr>
        <w:t>в</w:t>
      </w:r>
      <w:r>
        <w:rPr>
          <w:spacing w:val="-10"/>
        </w:rPr>
        <w:t> </w:t>
      </w:r>
      <w:r>
        <w:rPr>
          <w:spacing w:val="-2"/>
        </w:rPr>
        <w:t>групповых</w:t>
      </w:r>
      <w:r>
        <w:rPr>
          <w:spacing w:val="-11"/>
        </w:rPr>
        <w:t> </w:t>
      </w:r>
      <w:r>
        <w:rPr>
          <w:spacing w:val="-2"/>
        </w:rPr>
        <w:t>активностях,</w:t>
      </w:r>
      <w:r>
        <w:rPr>
          <w:spacing w:val="-10"/>
        </w:rPr>
        <w:t> </w:t>
      </w:r>
      <w:r>
        <w:rPr>
          <w:spacing w:val="-2"/>
        </w:rPr>
        <w:t>не</w:t>
      </w:r>
      <w:r>
        <w:rPr>
          <w:spacing w:val="-11"/>
        </w:rPr>
        <w:t> </w:t>
      </w:r>
      <w:r>
        <w:rPr>
          <w:spacing w:val="-2"/>
        </w:rPr>
        <w:t>связанных</w:t>
      </w:r>
      <w:r>
        <w:rPr>
          <w:spacing w:val="-10"/>
        </w:rPr>
        <w:t> </w:t>
      </w:r>
      <w:r>
        <w:rPr>
          <w:spacing w:val="-2"/>
        </w:rPr>
        <w:t>с</w:t>
      </w:r>
      <w:r>
        <w:rPr>
          <w:spacing w:val="-11"/>
        </w:rPr>
        <w:t> </w:t>
      </w:r>
      <w:r>
        <w:rPr>
          <w:spacing w:val="-2"/>
        </w:rPr>
        <w:t>усво- ением</w:t>
      </w:r>
      <w:r>
        <w:rPr>
          <w:spacing w:val="-11"/>
        </w:rPr>
        <w:t> </w:t>
      </w:r>
      <w:r>
        <w:rPr>
          <w:spacing w:val="-2"/>
        </w:rPr>
        <w:t>образовательного</w:t>
      </w:r>
      <w:r>
        <w:rPr>
          <w:spacing w:val="-10"/>
        </w:rPr>
        <w:t> </w:t>
      </w:r>
      <w:r>
        <w:rPr>
          <w:spacing w:val="-2"/>
        </w:rPr>
        <w:t>материала.</w:t>
      </w:r>
      <w:r>
        <w:rPr>
          <w:spacing w:val="-11"/>
        </w:rPr>
        <w:t> </w:t>
      </w:r>
      <w:r>
        <w:rPr>
          <w:spacing w:val="-2"/>
        </w:rPr>
        <w:t>В</w:t>
      </w:r>
      <w:r>
        <w:rPr>
          <w:spacing w:val="-10"/>
        </w:rPr>
        <w:t> </w:t>
      </w:r>
      <w:r>
        <w:rPr>
          <w:spacing w:val="-2"/>
        </w:rPr>
        <w:t>общении,</w:t>
      </w:r>
      <w:r>
        <w:rPr>
          <w:spacing w:val="-11"/>
        </w:rPr>
        <w:t> </w:t>
      </w:r>
      <w:r>
        <w:rPr>
          <w:spacing w:val="-2"/>
        </w:rPr>
        <w:t>построенном</w:t>
      </w:r>
      <w:r>
        <w:rPr>
          <w:spacing w:val="-10"/>
        </w:rPr>
        <w:t> </w:t>
      </w:r>
      <w:r>
        <w:rPr>
          <w:spacing w:val="-2"/>
        </w:rPr>
        <w:t>на</w:t>
      </w:r>
      <w:r>
        <w:rPr>
          <w:spacing w:val="-11"/>
        </w:rPr>
        <w:t> </w:t>
      </w:r>
      <w:r>
        <w:rPr>
          <w:spacing w:val="-2"/>
        </w:rPr>
        <w:t>общем</w:t>
      </w:r>
      <w:r>
        <w:rPr>
          <w:spacing w:val="-10"/>
        </w:rPr>
        <w:t> </w:t>
      </w:r>
      <w:r>
        <w:rPr>
          <w:spacing w:val="-2"/>
        </w:rPr>
        <w:t>интересе</w:t>
      </w:r>
      <w:r>
        <w:rPr>
          <w:spacing w:val="-11"/>
        </w:rPr>
        <w:t> </w:t>
      </w:r>
      <w:r>
        <w:rPr>
          <w:spacing w:val="-2"/>
        </w:rPr>
        <w:t>и</w:t>
      </w:r>
      <w:r>
        <w:rPr>
          <w:spacing w:val="-10"/>
        </w:rPr>
        <w:t> </w:t>
      </w:r>
      <w:r>
        <w:rPr>
          <w:spacing w:val="-2"/>
        </w:rPr>
        <w:t>соз- </w:t>
      </w:r>
      <w:r>
        <w:rPr>
          <w:spacing w:val="-4"/>
        </w:rPr>
        <w:t>дающем благоприятную атмосферу, наставник становится ролевой моделью и передает </w:t>
      </w:r>
      <w:r>
        <w:rPr/>
        <w:t>наставляемому</w:t>
      </w:r>
      <w:r>
        <w:rPr>
          <w:spacing w:val="-13"/>
        </w:rPr>
        <w:t> </w:t>
      </w:r>
      <w:r>
        <w:rPr/>
        <w:t>культурные</w:t>
      </w:r>
      <w:r>
        <w:rPr>
          <w:spacing w:val="-12"/>
        </w:rPr>
        <w:t> </w:t>
      </w:r>
      <w:r>
        <w:rPr/>
        <w:t>образцы</w:t>
      </w:r>
      <w:r>
        <w:rPr>
          <w:spacing w:val="-13"/>
        </w:rPr>
        <w:t> </w:t>
      </w:r>
      <w:r>
        <w:rPr/>
        <w:t>поведения,</w:t>
      </w:r>
      <w:r>
        <w:rPr>
          <w:spacing w:val="-12"/>
        </w:rPr>
        <w:t> </w:t>
      </w:r>
      <w:r>
        <w:rPr/>
        <w:t>которые</w:t>
      </w:r>
      <w:r>
        <w:rPr>
          <w:spacing w:val="-13"/>
        </w:rPr>
        <w:t> </w:t>
      </w:r>
      <w:r>
        <w:rPr/>
        <w:t>усваиваются</w:t>
      </w:r>
      <w:r>
        <w:rPr>
          <w:spacing w:val="-12"/>
        </w:rPr>
        <w:t> </w:t>
      </w:r>
      <w:r>
        <w:rPr/>
        <w:t>через</w:t>
      </w:r>
      <w:r>
        <w:rPr>
          <w:spacing w:val="-13"/>
        </w:rPr>
        <w:t> </w:t>
      </w:r>
      <w:r>
        <w:rPr/>
        <w:t>наблюде- </w:t>
      </w:r>
      <w:r>
        <w:rPr>
          <w:spacing w:val="-4"/>
        </w:rPr>
        <w:t>ние и повторение. В свою очередь, наставляемый чувствует себя достаточно безопасно, </w:t>
      </w:r>
      <w:r>
        <w:rPr/>
        <w:t>чтобы</w:t>
      </w:r>
      <w:r>
        <w:rPr>
          <w:spacing w:val="-13"/>
        </w:rPr>
        <w:t> </w:t>
      </w:r>
      <w:r>
        <w:rPr/>
        <w:t>демонстрировать</w:t>
      </w:r>
      <w:r>
        <w:rPr>
          <w:spacing w:val="-12"/>
        </w:rPr>
        <w:t> </w:t>
      </w:r>
      <w:r>
        <w:rPr/>
        <w:t>связь</w:t>
      </w:r>
      <w:r>
        <w:rPr>
          <w:spacing w:val="-13"/>
        </w:rPr>
        <w:t> </w:t>
      </w:r>
      <w:r>
        <w:rPr/>
        <w:t>со</w:t>
      </w:r>
      <w:r>
        <w:rPr>
          <w:spacing w:val="-12"/>
        </w:rPr>
        <w:t> </w:t>
      </w:r>
      <w:r>
        <w:rPr/>
        <w:t>своей</w:t>
      </w:r>
      <w:r>
        <w:rPr>
          <w:spacing w:val="-13"/>
        </w:rPr>
        <w:t> </w:t>
      </w:r>
      <w:r>
        <w:rPr/>
        <w:t>культурой</w:t>
      </w:r>
      <w:r>
        <w:rPr>
          <w:spacing w:val="-12"/>
        </w:rPr>
        <w:t> </w:t>
      </w:r>
      <w:r>
        <w:rPr/>
        <w:t>и</w:t>
      </w:r>
      <w:r>
        <w:rPr>
          <w:spacing w:val="-13"/>
        </w:rPr>
        <w:t> </w:t>
      </w:r>
      <w:r>
        <w:rPr/>
        <w:t>отмечать</w:t>
      </w:r>
      <w:r>
        <w:rPr>
          <w:spacing w:val="-12"/>
        </w:rPr>
        <w:t> </w:t>
      </w:r>
      <w:r>
        <w:rPr/>
        <w:t>сходства</w:t>
      </w:r>
      <w:r>
        <w:rPr>
          <w:spacing w:val="-13"/>
        </w:rPr>
        <w:t> </w:t>
      </w:r>
      <w:r>
        <w:rPr/>
        <w:t>и</w:t>
      </w:r>
      <w:r>
        <w:rPr>
          <w:spacing w:val="-12"/>
        </w:rPr>
        <w:t> </w:t>
      </w:r>
      <w:r>
        <w:rPr/>
        <w:t>различия,</w:t>
      </w:r>
      <w:r>
        <w:rPr>
          <w:spacing w:val="-13"/>
        </w:rPr>
        <w:t> </w:t>
      </w:r>
      <w:r>
        <w:rPr/>
        <w:t>что содействует</w:t>
      </w:r>
      <w:r>
        <w:rPr>
          <w:spacing w:val="-13"/>
        </w:rPr>
        <w:t> </w:t>
      </w:r>
      <w:r>
        <w:rPr/>
        <w:t>выбору</w:t>
      </w:r>
      <w:r>
        <w:rPr>
          <w:spacing w:val="-12"/>
        </w:rPr>
        <w:t> </w:t>
      </w:r>
      <w:r>
        <w:rPr/>
        <w:t>интеграции</w:t>
      </w:r>
      <w:r>
        <w:rPr>
          <w:spacing w:val="-13"/>
        </w:rPr>
        <w:t> </w:t>
      </w:r>
      <w:r>
        <w:rPr/>
        <w:t>как</w:t>
      </w:r>
      <w:r>
        <w:rPr>
          <w:spacing w:val="-12"/>
        </w:rPr>
        <w:t> </w:t>
      </w:r>
      <w:r>
        <w:rPr/>
        <w:t>предпочитаемой</w:t>
      </w:r>
      <w:r>
        <w:rPr>
          <w:spacing w:val="-13"/>
        </w:rPr>
        <w:t> </w:t>
      </w:r>
      <w:r>
        <w:rPr/>
        <w:t>стратегии</w:t>
      </w:r>
      <w:r>
        <w:rPr>
          <w:spacing w:val="-12"/>
        </w:rPr>
        <w:t> </w:t>
      </w:r>
      <w:r>
        <w:rPr/>
        <w:t>аккультурации.</w:t>
      </w:r>
    </w:p>
    <w:p>
      <w:pPr>
        <w:pStyle w:val="ListParagraph"/>
        <w:numPr>
          <w:ilvl w:val="1"/>
          <w:numId w:val="125"/>
        </w:numPr>
        <w:tabs>
          <w:tab w:pos="545" w:val="left" w:leader="none"/>
        </w:tabs>
        <w:spacing w:line="229" w:lineRule="exact" w:before="34" w:after="0"/>
        <w:ind w:left="545" w:right="0" w:hanging="120"/>
        <w:jc w:val="both"/>
        <w:rPr>
          <w:i/>
          <w:sz w:val="20"/>
        </w:rPr>
      </w:pPr>
      <w:r>
        <w:rPr>
          <w:i/>
          <w:color w:val="231F20"/>
          <w:sz w:val="20"/>
        </w:rPr>
        <w:t>Широкий</w:t>
      </w:r>
      <w:r>
        <w:rPr>
          <w:i/>
          <w:color w:val="231F20"/>
          <w:spacing w:val="-6"/>
          <w:sz w:val="20"/>
        </w:rPr>
        <w:t> </w:t>
      </w:r>
      <w:r>
        <w:rPr>
          <w:i/>
          <w:sz w:val="20"/>
        </w:rPr>
        <w:t>выбор</w:t>
      </w:r>
      <w:r>
        <w:rPr>
          <w:i/>
          <w:spacing w:val="-6"/>
          <w:sz w:val="20"/>
        </w:rPr>
        <w:t> </w:t>
      </w:r>
      <w:r>
        <w:rPr>
          <w:i/>
          <w:color w:val="231F20"/>
          <w:sz w:val="20"/>
        </w:rPr>
        <w:t>инструментов</w:t>
      </w:r>
      <w:r>
        <w:rPr>
          <w:i/>
          <w:color w:val="231F20"/>
          <w:spacing w:val="-6"/>
          <w:sz w:val="20"/>
        </w:rPr>
        <w:t> </w:t>
      </w:r>
      <w:r>
        <w:rPr>
          <w:i/>
          <w:color w:val="231F20"/>
          <w:spacing w:val="-2"/>
          <w:sz w:val="20"/>
        </w:rPr>
        <w:t>работы</w:t>
      </w:r>
    </w:p>
    <w:p>
      <w:pPr>
        <w:pStyle w:val="BodyText"/>
        <w:spacing w:line="237" w:lineRule="auto" w:before="1"/>
      </w:pPr>
      <w:r>
        <w:rPr>
          <w:color w:val="231F20"/>
        </w:rPr>
        <w:t>Наставничество</w:t>
      </w:r>
      <w:r>
        <w:rPr>
          <w:color w:val="231F20"/>
          <w:spacing w:val="-2"/>
        </w:rPr>
        <w:t> </w:t>
      </w:r>
      <w:r>
        <w:rPr>
          <w:color w:val="231F20"/>
        </w:rPr>
        <w:t>может</w:t>
      </w:r>
      <w:r>
        <w:rPr>
          <w:color w:val="231F20"/>
          <w:spacing w:val="-2"/>
        </w:rPr>
        <w:t> </w:t>
      </w:r>
      <w:r>
        <w:rPr>
          <w:color w:val="231F20"/>
        </w:rPr>
        <w:t>сопровождать</w:t>
      </w:r>
      <w:r>
        <w:rPr>
          <w:color w:val="231F20"/>
          <w:spacing w:val="-2"/>
        </w:rPr>
        <w:t> </w:t>
      </w:r>
      <w:r>
        <w:rPr>
          <w:color w:val="231F20"/>
        </w:rPr>
        <w:t>любую</w:t>
      </w:r>
      <w:r>
        <w:rPr>
          <w:color w:val="231F20"/>
          <w:spacing w:val="-2"/>
        </w:rPr>
        <w:t> </w:t>
      </w:r>
      <w:r>
        <w:rPr>
          <w:color w:val="231F20"/>
        </w:rPr>
        <w:t>деятельность:</w:t>
      </w:r>
      <w:r>
        <w:rPr>
          <w:color w:val="231F20"/>
          <w:spacing w:val="-2"/>
        </w:rPr>
        <w:t> </w:t>
      </w:r>
      <w:r>
        <w:rPr>
          <w:color w:val="231F20"/>
        </w:rPr>
        <w:t>совместное</w:t>
      </w:r>
      <w:r>
        <w:rPr>
          <w:color w:val="231F20"/>
          <w:spacing w:val="-2"/>
        </w:rPr>
        <w:t> </w:t>
      </w:r>
      <w:r>
        <w:rPr>
          <w:color w:val="231F20"/>
        </w:rPr>
        <w:t>выполне- ние</w:t>
      </w:r>
      <w:r>
        <w:rPr>
          <w:color w:val="231F20"/>
          <w:spacing w:val="-1"/>
        </w:rPr>
        <w:t> </w:t>
      </w:r>
      <w:r>
        <w:rPr>
          <w:color w:val="231F20"/>
        </w:rPr>
        <w:t>домашних</w:t>
      </w:r>
      <w:r>
        <w:rPr>
          <w:color w:val="231F20"/>
          <w:spacing w:val="-1"/>
        </w:rPr>
        <w:t> </w:t>
      </w:r>
      <w:r>
        <w:rPr>
          <w:color w:val="231F20"/>
        </w:rPr>
        <w:t>заданий,</w:t>
      </w:r>
      <w:r>
        <w:rPr>
          <w:color w:val="231F20"/>
          <w:spacing w:val="-1"/>
        </w:rPr>
        <w:t> </w:t>
      </w:r>
      <w:r>
        <w:rPr>
          <w:color w:val="231F20"/>
        </w:rPr>
        <w:t>общение</w:t>
      </w:r>
      <w:r>
        <w:rPr>
          <w:color w:val="231F20"/>
          <w:spacing w:val="-1"/>
        </w:rPr>
        <w:t> </w:t>
      </w:r>
      <w:r>
        <w:rPr>
          <w:color w:val="231F20"/>
        </w:rPr>
        <w:t>в</w:t>
      </w:r>
      <w:r>
        <w:rPr>
          <w:color w:val="231F20"/>
          <w:spacing w:val="-1"/>
        </w:rPr>
        <w:t> </w:t>
      </w:r>
      <w:r>
        <w:rPr>
          <w:color w:val="231F20"/>
        </w:rPr>
        <w:t>языковом</w:t>
      </w:r>
      <w:r>
        <w:rPr>
          <w:color w:val="231F20"/>
          <w:spacing w:val="-1"/>
        </w:rPr>
        <w:t> </w:t>
      </w:r>
      <w:r>
        <w:rPr>
          <w:color w:val="231F20"/>
        </w:rPr>
        <w:t>клубе,</w:t>
      </w:r>
      <w:r>
        <w:rPr>
          <w:color w:val="231F20"/>
          <w:spacing w:val="-1"/>
        </w:rPr>
        <w:t> </w:t>
      </w:r>
      <w:r>
        <w:rPr>
          <w:color w:val="231F20"/>
        </w:rPr>
        <w:t>спортивные</w:t>
      </w:r>
      <w:r>
        <w:rPr>
          <w:color w:val="231F20"/>
          <w:spacing w:val="-1"/>
        </w:rPr>
        <w:t> </w:t>
      </w:r>
      <w:r>
        <w:rPr>
          <w:color w:val="231F20"/>
        </w:rPr>
        <w:t>или</w:t>
      </w:r>
      <w:r>
        <w:rPr>
          <w:color w:val="231F20"/>
          <w:spacing w:val="-1"/>
        </w:rPr>
        <w:t> </w:t>
      </w:r>
      <w:r>
        <w:rPr>
          <w:color w:val="231F20"/>
        </w:rPr>
        <w:t>иные</w:t>
      </w:r>
      <w:r>
        <w:rPr>
          <w:color w:val="231F20"/>
          <w:spacing w:val="-1"/>
        </w:rPr>
        <w:t> </w:t>
      </w:r>
      <w:r>
        <w:rPr>
          <w:color w:val="231F20"/>
        </w:rPr>
        <w:t>трениров- ки,</w:t>
      </w:r>
      <w:r>
        <w:rPr>
          <w:color w:val="231F20"/>
          <w:spacing w:val="-12"/>
        </w:rPr>
        <w:t> </w:t>
      </w:r>
      <w:r>
        <w:rPr>
          <w:color w:val="231F20"/>
        </w:rPr>
        <w:t>прогулки</w:t>
      </w:r>
      <w:r>
        <w:rPr>
          <w:color w:val="231F20"/>
          <w:spacing w:val="-12"/>
        </w:rPr>
        <w:t> </w:t>
      </w:r>
      <w:r>
        <w:rPr>
          <w:color w:val="231F20"/>
        </w:rPr>
        <w:t>по</w:t>
      </w:r>
      <w:r>
        <w:rPr>
          <w:color w:val="231F20"/>
          <w:spacing w:val="-12"/>
        </w:rPr>
        <w:t> </w:t>
      </w:r>
      <w:r>
        <w:rPr>
          <w:color w:val="231F20"/>
        </w:rPr>
        <w:t>городу</w:t>
      </w:r>
      <w:r>
        <w:rPr>
          <w:color w:val="231F20"/>
          <w:spacing w:val="-12"/>
        </w:rPr>
        <w:t> </w:t>
      </w:r>
      <w:r>
        <w:rPr>
          <w:color w:val="231F20"/>
        </w:rPr>
        <w:t>и</w:t>
      </w:r>
      <w:r>
        <w:rPr>
          <w:color w:val="231F20"/>
          <w:spacing w:val="-6"/>
        </w:rPr>
        <w:t> </w:t>
      </w:r>
      <w:r>
        <w:rPr>
          <w:color w:val="231F20"/>
        </w:rPr>
        <w:t>др.</w:t>
      </w:r>
      <w:r>
        <w:rPr>
          <w:color w:val="231F20"/>
          <w:spacing w:val="-12"/>
        </w:rPr>
        <w:t> </w:t>
      </w:r>
      <w:r>
        <w:rPr>
          <w:color w:val="231F20"/>
        </w:rPr>
        <w:t>Выбор</w:t>
      </w:r>
      <w:r>
        <w:rPr>
          <w:color w:val="231F20"/>
          <w:spacing w:val="-12"/>
        </w:rPr>
        <w:t> </w:t>
      </w:r>
      <w:r>
        <w:rPr>
          <w:color w:val="231F20"/>
        </w:rPr>
        <w:t>темы</w:t>
      </w:r>
      <w:r>
        <w:rPr>
          <w:color w:val="231F20"/>
          <w:spacing w:val="-12"/>
        </w:rPr>
        <w:t> </w:t>
      </w:r>
      <w:r>
        <w:rPr>
          <w:color w:val="231F20"/>
        </w:rPr>
        <w:t>взаимодействия</w:t>
      </w:r>
      <w:r>
        <w:rPr>
          <w:color w:val="231F20"/>
          <w:spacing w:val="-12"/>
        </w:rPr>
        <w:t> </w:t>
      </w:r>
      <w:r>
        <w:rPr>
          <w:color w:val="231F20"/>
        </w:rPr>
        <w:t>может</w:t>
      </w:r>
      <w:r>
        <w:rPr>
          <w:color w:val="231F20"/>
          <w:spacing w:val="-12"/>
        </w:rPr>
        <w:t> </w:t>
      </w:r>
      <w:r>
        <w:rPr>
          <w:color w:val="231F20"/>
        </w:rPr>
        <w:t>зависеть</w:t>
      </w:r>
      <w:r>
        <w:rPr>
          <w:color w:val="231F20"/>
          <w:spacing w:val="-12"/>
        </w:rPr>
        <w:t> </w:t>
      </w:r>
      <w:r>
        <w:rPr>
          <w:color w:val="231F20"/>
        </w:rPr>
        <w:t>от</w:t>
      </w:r>
      <w:r>
        <w:rPr>
          <w:color w:val="231F20"/>
          <w:spacing w:val="-12"/>
        </w:rPr>
        <w:t> </w:t>
      </w:r>
      <w:r>
        <w:rPr>
          <w:color w:val="231F20"/>
        </w:rPr>
        <w:t>того,</w:t>
      </w:r>
      <w:r>
        <w:rPr>
          <w:color w:val="231F20"/>
          <w:spacing w:val="-12"/>
        </w:rPr>
        <w:t> </w:t>
      </w:r>
      <w:r>
        <w:rPr>
          <w:color w:val="231F20"/>
        </w:rPr>
        <w:t>что умеет</w:t>
      </w:r>
      <w:r>
        <w:rPr>
          <w:color w:val="231F20"/>
          <w:spacing w:val="-4"/>
        </w:rPr>
        <w:t> </w:t>
      </w:r>
      <w:r>
        <w:rPr>
          <w:color w:val="231F20"/>
        </w:rPr>
        <w:t>наставник,</w:t>
      </w:r>
      <w:r>
        <w:rPr>
          <w:color w:val="231F20"/>
          <w:spacing w:val="-4"/>
        </w:rPr>
        <w:t> </w:t>
      </w:r>
      <w:r>
        <w:rPr>
          <w:color w:val="231F20"/>
        </w:rPr>
        <w:t>что</w:t>
      </w:r>
      <w:r>
        <w:rPr>
          <w:color w:val="231F20"/>
          <w:spacing w:val="-4"/>
        </w:rPr>
        <w:t> </w:t>
      </w:r>
      <w:r>
        <w:rPr>
          <w:color w:val="231F20"/>
        </w:rPr>
        <w:t>предпочитает</w:t>
      </w:r>
      <w:r>
        <w:rPr>
          <w:color w:val="231F20"/>
          <w:spacing w:val="-4"/>
        </w:rPr>
        <w:t> </w:t>
      </w:r>
      <w:r>
        <w:rPr>
          <w:color w:val="231F20"/>
        </w:rPr>
        <w:t>делать</w:t>
      </w:r>
      <w:r>
        <w:rPr>
          <w:color w:val="231F20"/>
          <w:spacing w:val="-4"/>
        </w:rPr>
        <w:t> </w:t>
      </w:r>
      <w:r>
        <w:rPr>
          <w:color w:val="231F20"/>
        </w:rPr>
        <w:t>наставляемый</w:t>
      </w:r>
      <w:r>
        <w:rPr>
          <w:color w:val="231F20"/>
          <w:spacing w:val="-4"/>
        </w:rPr>
        <w:t> </w:t>
      </w:r>
      <w:r>
        <w:rPr>
          <w:color w:val="231F20"/>
        </w:rPr>
        <w:t>или</w:t>
      </w:r>
      <w:r>
        <w:rPr>
          <w:color w:val="231F20"/>
          <w:spacing w:val="-4"/>
        </w:rPr>
        <w:t> </w:t>
      </w:r>
      <w:r>
        <w:rPr>
          <w:color w:val="231F20"/>
        </w:rPr>
        <w:t>что</w:t>
      </w:r>
      <w:r>
        <w:rPr>
          <w:color w:val="231F20"/>
          <w:spacing w:val="-4"/>
        </w:rPr>
        <w:t> </w:t>
      </w:r>
      <w:r>
        <w:rPr>
          <w:color w:val="231F20"/>
        </w:rPr>
        <w:t>предлагает</w:t>
      </w:r>
      <w:r>
        <w:rPr>
          <w:color w:val="231F20"/>
          <w:spacing w:val="-4"/>
        </w:rPr>
        <w:t> </w:t>
      </w:r>
      <w:r>
        <w:rPr>
          <w:color w:val="231F20"/>
        </w:rPr>
        <w:t>педагог в</w:t>
      </w:r>
      <w:r>
        <w:rPr>
          <w:color w:val="231F20"/>
          <w:spacing w:val="-3"/>
        </w:rPr>
        <w:t> </w:t>
      </w:r>
      <w:r>
        <w:rPr>
          <w:color w:val="231F20"/>
        </w:rPr>
        <w:t>рамках</w:t>
      </w:r>
      <w:r>
        <w:rPr>
          <w:color w:val="231F20"/>
          <w:spacing w:val="-3"/>
        </w:rPr>
        <w:t> </w:t>
      </w:r>
      <w:r>
        <w:rPr>
          <w:color w:val="231F20"/>
        </w:rPr>
        <w:t>конкретно</w:t>
      </w:r>
      <w:r>
        <w:rPr>
          <w:color w:val="231F20"/>
          <w:spacing w:val="-2"/>
        </w:rPr>
        <w:t> </w:t>
      </w:r>
      <w:r>
        <w:rPr>
          <w:color w:val="231F20"/>
        </w:rPr>
        <w:t>поставленной</w:t>
      </w:r>
      <w:r>
        <w:rPr>
          <w:color w:val="231F20"/>
          <w:spacing w:val="-2"/>
        </w:rPr>
        <w:t> </w:t>
      </w:r>
      <w:r>
        <w:rPr>
          <w:color w:val="231F20"/>
        </w:rPr>
        <w:t>цели</w:t>
      </w:r>
      <w:r>
        <w:rPr>
          <w:color w:val="231F20"/>
          <w:spacing w:val="-2"/>
        </w:rPr>
        <w:t> </w:t>
      </w:r>
      <w:r>
        <w:rPr>
          <w:color w:val="231F20"/>
        </w:rPr>
        <w:t>программы</w:t>
      </w:r>
      <w:r>
        <w:rPr>
          <w:color w:val="231F20"/>
          <w:spacing w:val="-3"/>
        </w:rPr>
        <w:t> </w:t>
      </w:r>
      <w:r>
        <w:rPr>
          <w:color w:val="231F20"/>
        </w:rPr>
        <w:t>наставничества.</w:t>
      </w:r>
      <w:r>
        <w:rPr>
          <w:color w:val="231F20"/>
          <w:spacing w:val="-3"/>
        </w:rPr>
        <w:t> </w:t>
      </w:r>
      <w:r>
        <w:rPr>
          <w:color w:val="231F20"/>
        </w:rPr>
        <w:t>Это</w:t>
      </w:r>
      <w:r>
        <w:rPr>
          <w:color w:val="231F20"/>
          <w:spacing w:val="-3"/>
        </w:rPr>
        <w:t> </w:t>
      </w:r>
      <w:r>
        <w:rPr>
          <w:color w:val="231F20"/>
        </w:rPr>
        <w:t>обеспечива- ет гибкую применимость практики в различных условиях. Возможность реализации групповых</w:t>
      </w:r>
      <w:r>
        <w:rPr>
          <w:color w:val="231F20"/>
          <w:spacing w:val="-13"/>
        </w:rPr>
        <w:t> </w:t>
      </w:r>
      <w:r>
        <w:rPr>
          <w:color w:val="231F20"/>
        </w:rPr>
        <w:t>форматов</w:t>
      </w:r>
      <w:r>
        <w:rPr>
          <w:color w:val="231F20"/>
          <w:spacing w:val="-12"/>
        </w:rPr>
        <w:t> </w:t>
      </w:r>
      <w:r>
        <w:rPr>
          <w:color w:val="231F20"/>
        </w:rPr>
        <w:t>наставничества</w:t>
      </w:r>
      <w:r>
        <w:rPr>
          <w:color w:val="231F20"/>
          <w:spacing w:val="-13"/>
        </w:rPr>
        <w:t> </w:t>
      </w:r>
      <w:r>
        <w:rPr>
          <w:color w:val="231F20"/>
        </w:rPr>
        <w:t>предполагает</w:t>
      </w:r>
      <w:r>
        <w:rPr>
          <w:color w:val="231F20"/>
          <w:spacing w:val="-12"/>
        </w:rPr>
        <w:t> </w:t>
      </w:r>
      <w:r>
        <w:rPr>
          <w:color w:val="231F20"/>
        </w:rPr>
        <w:t>одновременную</w:t>
      </w:r>
      <w:r>
        <w:rPr>
          <w:color w:val="231F20"/>
          <w:spacing w:val="-13"/>
        </w:rPr>
        <w:t> </w:t>
      </w:r>
      <w:r>
        <w:rPr>
          <w:color w:val="231F20"/>
        </w:rPr>
        <w:t>работу</w:t>
      </w:r>
      <w:r>
        <w:rPr>
          <w:color w:val="231F20"/>
          <w:spacing w:val="-12"/>
        </w:rPr>
        <w:t> </w:t>
      </w:r>
      <w:r>
        <w:rPr>
          <w:color w:val="231F20"/>
        </w:rPr>
        <w:t>с</w:t>
      </w:r>
      <w:r>
        <w:rPr>
          <w:color w:val="231F20"/>
          <w:spacing w:val="-13"/>
        </w:rPr>
        <w:t> </w:t>
      </w:r>
      <w:r>
        <w:rPr>
          <w:color w:val="231F20"/>
        </w:rPr>
        <w:t>несколь- кими детьми с миграционным опытом, что может компенсировать дефицит настав- ников, а для наставляемых повысить комфорт и безопасность среды (Herrera, 2002).</w:t>
      </w:r>
    </w:p>
    <w:p>
      <w:pPr>
        <w:pStyle w:val="ListParagraph"/>
        <w:numPr>
          <w:ilvl w:val="1"/>
          <w:numId w:val="125"/>
        </w:numPr>
        <w:tabs>
          <w:tab w:pos="544" w:val="left" w:leader="none"/>
        </w:tabs>
        <w:spacing w:line="229" w:lineRule="exact" w:before="51" w:after="0"/>
        <w:ind w:left="544" w:right="0" w:hanging="119"/>
        <w:jc w:val="both"/>
        <w:rPr>
          <w:i/>
          <w:sz w:val="20"/>
        </w:rPr>
      </w:pPr>
      <w:r>
        <w:rPr>
          <w:i/>
          <w:sz w:val="20"/>
        </w:rPr>
        <w:t>Личностное</w:t>
      </w:r>
      <w:r>
        <w:rPr>
          <w:i/>
          <w:spacing w:val="-4"/>
          <w:sz w:val="20"/>
        </w:rPr>
        <w:t> </w:t>
      </w:r>
      <w:r>
        <w:rPr>
          <w:i/>
          <w:color w:val="231F20"/>
          <w:sz w:val="20"/>
        </w:rPr>
        <w:t>развитие</w:t>
      </w:r>
      <w:r>
        <w:rPr>
          <w:i/>
          <w:color w:val="231F20"/>
          <w:spacing w:val="-3"/>
          <w:sz w:val="20"/>
        </w:rPr>
        <w:t> </w:t>
      </w:r>
      <w:r>
        <w:rPr>
          <w:i/>
          <w:color w:val="231F20"/>
          <w:sz w:val="20"/>
        </w:rPr>
        <w:t>всех</w:t>
      </w:r>
      <w:r>
        <w:rPr>
          <w:i/>
          <w:color w:val="231F20"/>
          <w:spacing w:val="-3"/>
          <w:sz w:val="20"/>
        </w:rPr>
        <w:t> </w:t>
      </w:r>
      <w:r>
        <w:rPr>
          <w:i/>
          <w:color w:val="231F20"/>
          <w:spacing w:val="-2"/>
          <w:sz w:val="20"/>
        </w:rPr>
        <w:t>участников</w:t>
      </w:r>
    </w:p>
    <w:p>
      <w:pPr>
        <w:pStyle w:val="BodyText"/>
        <w:spacing w:line="235" w:lineRule="auto" w:before="3"/>
      </w:pPr>
      <w:r>
        <w:rPr>
          <w:color w:val="231F20"/>
        </w:rPr>
        <w:t>В</w:t>
      </w:r>
      <w:r>
        <w:rPr>
          <w:color w:val="231F20"/>
          <w:spacing w:val="-13"/>
        </w:rPr>
        <w:t> </w:t>
      </w:r>
      <w:r>
        <w:rPr>
          <w:color w:val="231F20"/>
        </w:rPr>
        <w:t>безоценочной</w:t>
      </w:r>
      <w:r>
        <w:rPr>
          <w:color w:val="231F20"/>
          <w:spacing w:val="-12"/>
        </w:rPr>
        <w:t> </w:t>
      </w:r>
      <w:r>
        <w:rPr>
          <w:color w:val="231F20"/>
        </w:rPr>
        <w:t>и</w:t>
      </w:r>
      <w:r>
        <w:rPr>
          <w:color w:val="231F20"/>
          <w:spacing w:val="-13"/>
        </w:rPr>
        <w:t> </w:t>
      </w:r>
      <w:r>
        <w:rPr>
          <w:color w:val="231F20"/>
        </w:rPr>
        <w:t>поддерживающей</w:t>
      </w:r>
      <w:r>
        <w:rPr>
          <w:color w:val="231F20"/>
          <w:spacing w:val="-12"/>
        </w:rPr>
        <w:t> </w:t>
      </w:r>
      <w:r>
        <w:rPr>
          <w:color w:val="231F20"/>
        </w:rPr>
        <w:t>системе</w:t>
      </w:r>
      <w:r>
        <w:rPr>
          <w:color w:val="231F20"/>
          <w:spacing w:val="-13"/>
        </w:rPr>
        <w:t> </w:t>
      </w:r>
      <w:r>
        <w:rPr>
          <w:color w:val="231F20"/>
        </w:rPr>
        <w:t>наставничества</w:t>
      </w:r>
      <w:r>
        <w:rPr>
          <w:color w:val="231F20"/>
          <w:spacing w:val="-12"/>
        </w:rPr>
        <w:t> </w:t>
      </w:r>
      <w:r>
        <w:rPr>
          <w:color w:val="231F20"/>
        </w:rPr>
        <w:t>наставляемый</w:t>
      </w:r>
      <w:r>
        <w:rPr>
          <w:color w:val="231F20"/>
          <w:spacing w:val="-13"/>
        </w:rPr>
        <w:t> </w:t>
      </w:r>
      <w:r>
        <w:rPr>
          <w:color w:val="231F20"/>
        </w:rPr>
        <w:t>может </w:t>
      </w:r>
      <w:r>
        <w:rPr>
          <w:color w:val="231F20"/>
          <w:spacing w:val="-2"/>
        </w:rPr>
        <w:t>проявлять</w:t>
      </w:r>
      <w:r>
        <w:rPr>
          <w:color w:val="231F20"/>
          <w:spacing w:val="-3"/>
        </w:rPr>
        <w:t> </w:t>
      </w:r>
      <w:r>
        <w:rPr>
          <w:color w:val="231F20"/>
          <w:spacing w:val="-2"/>
        </w:rPr>
        <w:t>себя</w:t>
      </w:r>
      <w:r>
        <w:rPr>
          <w:color w:val="231F20"/>
          <w:spacing w:val="-3"/>
        </w:rPr>
        <w:t> </w:t>
      </w:r>
      <w:r>
        <w:rPr>
          <w:color w:val="231F20"/>
          <w:spacing w:val="-2"/>
        </w:rPr>
        <w:t>и</w:t>
      </w:r>
      <w:r>
        <w:rPr>
          <w:color w:val="231F20"/>
          <w:spacing w:val="-3"/>
        </w:rPr>
        <w:t> </w:t>
      </w:r>
      <w:r>
        <w:rPr>
          <w:color w:val="231F20"/>
          <w:spacing w:val="-2"/>
        </w:rPr>
        <w:t>делиться</w:t>
      </w:r>
      <w:r>
        <w:rPr>
          <w:color w:val="231F20"/>
          <w:spacing w:val="-3"/>
        </w:rPr>
        <w:t> </w:t>
      </w:r>
      <w:r>
        <w:rPr>
          <w:color w:val="231F20"/>
          <w:spacing w:val="-2"/>
        </w:rPr>
        <w:t>своими</w:t>
      </w:r>
      <w:r>
        <w:rPr>
          <w:color w:val="231F20"/>
          <w:spacing w:val="-3"/>
        </w:rPr>
        <w:t> </w:t>
      </w:r>
      <w:r>
        <w:rPr>
          <w:color w:val="231F20"/>
          <w:spacing w:val="-2"/>
        </w:rPr>
        <w:t>ценностями,</w:t>
      </w:r>
      <w:r>
        <w:rPr>
          <w:color w:val="231F20"/>
          <w:spacing w:val="-3"/>
        </w:rPr>
        <w:t> </w:t>
      </w:r>
      <w:r>
        <w:rPr>
          <w:color w:val="231F20"/>
          <w:spacing w:val="-2"/>
        </w:rPr>
        <w:t>в</w:t>
      </w:r>
      <w:r>
        <w:rPr>
          <w:color w:val="231F20"/>
          <w:spacing w:val="-3"/>
        </w:rPr>
        <w:t> </w:t>
      </w:r>
      <w:r>
        <w:rPr>
          <w:color w:val="231F20"/>
          <w:spacing w:val="-2"/>
        </w:rPr>
        <w:t>том</w:t>
      </w:r>
      <w:r>
        <w:rPr>
          <w:color w:val="231F20"/>
          <w:spacing w:val="-3"/>
        </w:rPr>
        <w:t> </w:t>
      </w:r>
      <w:r>
        <w:rPr>
          <w:color w:val="231F20"/>
          <w:spacing w:val="-2"/>
        </w:rPr>
        <w:t>числе</w:t>
      </w:r>
      <w:r>
        <w:rPr>
          <w:color w:val="231F20"/>
          <w:spacing w:val="-3"/>
        </w:rPr>
        <w:t> </w:t>
      </w:r>
      <w:r>
        <w:rPr>
          <w:color w:val="231F20"/>
          <w:spacing w:val="-2"/>
        </w:rPr>
        <w:t>культурными,</w:t>
      </w:r>
      <w:r>
        <w:rPr>
          <w:color w:val="231F20"/>
          <w:spacing w:val="-3"/>
        </w:rPr>
        <w:t> </w:t>
      </w:r>
      <w:r>
        <w:rPr>
          <w:color w:val="231F20"/>
          <w:spacing w:val="-2"/>
        </w:rPr>
        <w:t>участвовать </w:t>
      </w:r>
      <w:r>
        <w:rPr>
          <w:color w:val="231F20"/>
        </w:rPr>
        <w:t>в</w:t>
      </w:r>
      <w:r>
        <w:rPr>
          <w:color w:val="231F20"/>
          <w:spacing w:val="-11"/>
        </w:rPr>
        <w:t> </w:t>
      </w:r>
      <w:r>
        <w:rPr>
          <w:color w:val="231F20"/>
        </w:rPr>
        <w:t>выборе</w:t>
      </w:r>
      <w:r>
        <w:rPr>
          <w:color w:val="231F20"/>
          <w:spacing w:val="-11"/>
        </w:rPr>
        <w:t> </w:t>
      </w:r>
      <w:r>
        <w:rPr>
          <w:color w:val="231F20"/>
        </w:rPr>
        <w:t>активности,</w:t>
      </w:r>
      <w:r>
        <w:rPr>
          <w:color w:val="231F20"/>
          <w:spacing w:val="-11"/>
        </w:rPr>
        <w:t> </w:t>
      </w:r>
      <w:r>
        <w:rPr>
          <w:color w:val="231F20"/>
        </w:rPr>
        <w:t>предлагать</w:t>
      </w:r>
      <w:r>
        <w:rPr>
          <w:color w:val="231F20"/>
          <w:spacing w:val="-11"/>
        </w:rPr>
        <w:t> </w:t>
      </w:r>
      <w:r>
        <w:rPr>
          <w:color w:val="231F20"/>
        </w:rPr>
        <w:t>свои</w:t>
      </w:r>
      <w:r>
        <w:rPr>
          <w:color w:val="231F20"/>
          <w:spacing w:val="-11"/>
        </w:rPr>
        <w:t> </w:t>
      </w:r>
      <w:r>
        <w:rPr>
          <w:color w:val="231F20"/>
        </w:rPr>
        <w:t>идеи</w:t>
      </w:r>
      <w:r>
        <w:rPr>
          <w:color w:val="231F20"/>
          <w:spacing w:val="-11"/>
        </w:rPr>
        <w:t> </w:t>
      </w:r>
      <w:r>
        <w:rPr>
          <w:color w:val="231F20"/>
        </w:rPr>
        <w:t>–</w:t>
      </w:r>
      <w:r>
        <w:rPr>
          <w:color w:val="231F20"/>
          <w:spacing w:val="-11"/>
        </w:rPr>
        <w:t> </w:t>
      </w:r>
      <w:r>
        <w:rPr>
          <w:color w:val="231F20"/>
        </w:rPr>
        <w:t>то</w:t>
      </w:r>
      <w:r>
        <w:rPr>
          <w:color w:val="231F20"/>
          <w:spacing w:val="-11"/>
        </w:rPr>
        <w:t> </w:t>
      </w:r>
      <w:r>
        <w:rPr>
          <w:color w:val="231F20"/>
        </w:rPr>
        <w:t>есть</w:t>
      </w:r>
      <w:r>
        <w:rPr>
          <w:color w:val="231F20"/>
          <w:spacing w:val="-11"/>
        </w:rPr>
        <w:t> </w:t>
      </w:r>
      <w:r>
        <w:rPr>
          <w:color w:val="231F20"/>
        </w:rPr>
        <w:t>проявлять</w:t>
      </w:r>
      <w:r>
        <w:rPr>
          <w:color w:val="231F20"/>
          <w:spacing w:val="-11"/>
        </w:rPr>
        <w:t> </w:t>
      </w:r>
      <w:r>
        <w:rPr>
          <w:color w:val="231F20"/>
        </w:rPr>
        <w:t>субъектную</w:t>
      </w:r>
      <w:r>
        <w:rPr>
          <w:color w:val="231F20"/>
          <w:spacing w:val="-11"/>
        </w:rPr>
        <w:t> </w:t>
      </w:r>
      <w:r>
        <w:rPr>
          <w:color w:val="231F20"/>
        </w:rPr>
        <w:t>позицию. Активность</w:t>
      </w:r>
      <w:r>
        <w:rPr>
          <w:color w:val="231F20"/>
          <w:spacing w:val="-13"/>
        </w:rPr>
        <w:t> </w:t>
      </w:r>
      <w:r>
        <w:rPr>
          <w:color w:val="231F20"/>
        </w:rPr>
        <w:t>наставляемого</w:t>
      </w:r>
      <w:r>
        <w:rPr>
          <w:color w:val="231F20"/>
          <w:spacing w:val="-12"/>
        </w:rPr>
        <w:t> </w:t>
      </w:r>
      <w:r>
        <w:rPr>
          <w:color w:val="231F20"/>
        </w:rPr>
        <w:t>способствует</w:t>
      </w:r>
      <w:r>
        <w:rPr>
          <w:color w:val="231F20"/>
          <w:spacing w:val="-13"/>
        </w:rPr>
        <w:t> </w:t>
      </w:r>
      <w:r>
        <w:rPr>
          <w:color w:val="231F20"/>
        </w:rPr>
        <w:t>его</w:t>
      </w:r>
      <w:r>
        <w:rPr>
          <w:color w:val="231F20"/>
          <w:spacing w:val="-12"/>
        </w:rPr>
        <w:t> </w:t>
      </w:r>
      <w:r>
        <w:rPr>
          <w:color w:val="231F20"/>
        </w:rPr>
        <w:t>личностному</w:t>
      </w:r>
      <w:r>
        <w:rPr>
          <w:color w:val="231F20"/>
          <w:spacing w:val="-13"/>
        </w:rPr>
        <w:t> </w:t>
      </w:r>
      <w:r>
        <w:rPr>
          <w:color w:val="231F20"/>
        </w:rPr>
        <w:t>росту</w:t>
      </w:r>
      <w:r>
        <w:rPr>
          <w:color w:val="231F20"/>
          <w:spacing w:val="-12"/>
        </w:rPr>
        <w:t> </w:t>
      </w:r>
      <w:r>
        <w:rPr>
          <w:color w:val="231F20"/>
        </w:rPr>
        <w:t>и</w:t>
      </w:r>
      <w:r>
        <w:rPr>
          <w:color w:val="231F20"/>
          <w:spacing w:val="-13"/>
        </w:rPr>
        <w:t> </w:t>
      </w:r>
      <w:r>
        <w:rPr>
          <w:color w:val="231F20"/>
        </w:rPr>
        <w:t>улучшению</w:t>
      </w:r>
      <w:r>
        <w:rPr>
          <w:color w:val="231F20"/>
          <w:spacing w:val="-12"/>
        </w:rPr>
        <w:t> </w:t>
      </w:r>
      <w:r>
        <w:rPr>
          <w:color w:val="231F20"/>
        </w:rPr>
        <w:t>психо- логического</w:t>
      </w:r>
      <w:r>
        <w:rPr>
          <w:color w:val="231F20"/>
          <w:spacing w:val="-4"/>
        </w:rPr>
        <w:t> </w:t>
      </w:r>
      <w:r>
        <w:rPr>
          <w:color w:val="231F20"/>
        </w:rPr>
        <w:t>благополучия</w:t>
      </w:r>
      <w:r>
        <w:rPr>
          <w:color w:val="231F20"/>
          <w:spacing w:val="-4"/>
        </w:rPr>
        <w:t> </w:t>
      </w:r>
      <w:r>
        <w:rPr>
          <w:color w:val="231F20"/>
        </w:rPr>
        <w:t>(Schmidt,</w:t>
      </w:r>
      <w:r>
        <w:rPr>
          <w:color w:val="231F20"/>
          <w:spacing w:val="-4"/>
        </w:rPr>
        <w:t> </w:t>
      </w:r>
      <w:r>
        <w:rPr>
          <w:color w:val="231F20"/>
        </w:rPr>
        <w:t>2006).</w:t>
      </w:r>
      <w:r>
        <w:rPr>
          <w:color w:val="231F20"/>
          <w:spacing w:val="-4"/>
        </w:rPr>
        <w:t> </w:t>
      </w:r>
      <w:r>
        <w:rPr>
          <w:color w:val="231F20"/>
        </w:rPr>
        <w:t>Практика</w:t>
      </w:r>
      <w:r>
        <w:rPr>
          <w:color w:val="231F20"/>
          <w:spacing w:val="-4"/>
        </w:rPr>
        <w:t> </w:t>
      </w:r>
      <w:r>
        <w:rPr>
          <w:color w:val="231F20"/>
        </w:rPr>
        <w:t>также</w:t>
      </w:r>
      <w:r>
        <w:rPr>
          <w:color w:val="231F20"/>
          <w:spacing w:val="-4"/>
        </w:rPr>
        <w:t> </w:t>
      </w:r>
      <w:r>
        <w:rPr>
          <w:color w:val="231F20"/>
        </w:rPr>
        <w:t>имеет</w:t>
      </w:r>
      <w:r>
        <w:rPr>
          <w:color w:val="231F20"/>
          <w:spacing w:val="-4"/>
        </w:rPr>
        <w:t> </w:t>
      </w:r>
      <w:r>
        <w:rPr>
          <w:color w:val="231F20"/>
        </w:rPr>
        <w:t>преимущества</w:t>
      </w:r>
      <w:r>
        <w:rPr>
          <w:color w:val="231F20"/>
          <w:spacing w:val="-4"/>
        </w:rPr>
        <w:t> </w:t>
      </w:r>
      <w:r>
        <w:rPr>
          <w:color w:val="231F20"/>
        </w:rPr>
        <w:t>для наставников,</w:t>
      </w:r>
      <w:r>
        <w:rPr>
          <w:color w:val="231F20"/>
          <w:spacing w:val="-9"/>
        </w:rPr>
        <w:t> </w:t>
      </w:r>
      <w:r>
        <w:rPr>
          <w:color w:val="231F20"/>
        </w:rPr>
        <w:t>которые</w:t>
      </w:r>
      <w:r>
        <w:rPr>
          <w:color w:val="231F20"/>
          <w:spacing w:val="-9"/>
        </w:rPr>
        <w:t> </w:t>
      </w:r>
      <w:r>
        <w:rPr>
          <w:color w:val="231F20"/>
        </w:rPr>
        <w:t>на</w:t>
      </w:r>
      <w:r>
        <w:rPr>
          <w:color w:val="231F20"/>
          <w:spacing w:val="-9"/>
        </w:rPr>
        <w:t> </w:t>
      </w:r>
      <w:r>
        <w:rPr>
          <w:color w:val="231F20"/>
        </w:rPr>
        <w:t>практике</w:t>
      </w:r>
      <w:r>
        <w:rPr>
          <w:color w:val="231F20"/>
          <w:spacing w:val="-9"/>
        </w:rPr>
        <w:t> </w:t>
      </w:r>
      <w:r>
        <w:rPr>
          <w:color w:val="231F20"/>
        </w:rPr>
        <w:t>учатся</w:t>
      </w:r>
      <w:r>
        <w:rPr>
          <w:color w:val="231F20"/>
          <w:spacing w:val="-9"/>
        </w:rPr>
        <w:t> </w:t>
      </w:r>
      <w:r>
        <w:rPr>
          <w:color w:val="231F20"/>
        </w:rPr>
        <w:t>применять</w:t>
      </w:r>
      <w:r>
        <w:rPr>
          <w:color w:val="231F20"/>
          <w:spacing w:val="-9"/>
        </w:rPr>
        <w:t> </w:t>
      </w:r>
      <w:r>
        <w:rPr>
          <w:color w:val="231F20"/>
        </w:rPr>
        <w:t>эмпатию,</w:t>
      </w:r>
      <w:r>
        <w:rPr>
          <w:color w:val="231F20"/>
          <w:spacing w:val="-9"/>
        </w:rPr>
        <w:t> </w:t>
      </w:r>
      <w:r>
        <w:rPr>
          <w:color w:val="231F20"/>
        </w:rPr>
        <w:t>быть</w:t>
      </w:r>
      <w:r>
        <w:rPr>
          <w:color w:val="231F20"/>
          <w:spacing w:val="-9"/>
        </w:rPr>
        <w:t> </w:t>
      </w:r>
      <w:r>
        <w:rPr>
          <w:color w:val="231F20"/>
        </w:rPr>
        <w:t>открытыми,</w:t>
      </w:r>
      <w:r>
        <w:rPr>
          <w:color w:val="231F20"/>
          <w:spacing w:val="-9"/>
        </w:rPr>
        <w:t> </w:t>
      </w:r>
      <w:r>
        <w:rPr>
          <w:color w:val="231F20"/>
        </w:rPr>
        <w:t>пре- доставлять</w:t>
      </w:r>
      <w:r>
        <w:rPr>
          <w:color w:val="231F20"/>
          <w:spacing w:val="-11"/>
        </w:rPr>
        <w:t> </w:t>
      </w:r>
      <w:r>
        <w:rPr>
          <w:color w:val="231F20"/>
        </w:rPr>
        <w:t>поддержку,</w:t>
      </w:r>
      <w:r>
        <w:rPr>
          <w:color w:val="231F20"/>
          <w:spacing w:val="-11"/>
        </w:rPr>
        <w:t> </w:t>
      </w:r>
      <w:r>
        <w:rPr>
          <w:color w:val="231F20"/>
        </w:rPr>
        <w:t>не</w:t>
      </w:r>
      <w:r>
        <w:rPr>
          <w:color w:val="231F20"/>
          <w:spacing w:val="-11"/>
        </w:rPr>
        <w:t> </w:t>
      </w:r>
      <w:r>
        <w:rPr>
          <w:color w:val="231F20"/>
        </w:rPr>
        <w:t>впадая</w:t>
      </w:r>
      <w:r>
        <w:rPr>
          <w:color w:val="231F20"/>
          <w:spacing w:val="-11"/>
        </w:rPr>
        <w:t> </w:t>
      </w:r>
      <w:r>
        <w:rPr>
          <w:color w:val="231F20"/>
        </w:rPr>
        <w:t>в</w:t>
      </w:r>
      <w:r>
        <w:rPr>
          <w:color w:val="231F20"/>
          <w:spacing w:val="-11"/>
        </w:rPr>
        <w:t> </w:t>
      </w:r>
      <w:r>
        <w:rPr>
          <w:color w:val="231F20"/>
        </w:rPr>
        <w:t>патернализм</w:t>
      </w:r>
      <w:r>
        <w:rPr>
          <w:color w:val="231F20"/>
          <w:spacing w:val="-11"/>
        </w:rPr>
        <w:t> </w:t>
      </w:r>
      <w:r>
        <w:rPr>
          <w:color w:val="231F20"/>
        </w:rPr>
        <w:t>и</w:t>
      </w:r>
      <w:r>
        <w:rPr>
          <w:color w:val="231F20"/>
          <w:spacing w:val="-11"/>
        </w:rPr>
        <w:t> </w:t>
      </w:r>
      <w:r>
        <w:rPr>
          <w:color w:val="231F20"/>
        </w:rPr>
        <w:t>колониальность,</w:t>
      </w:r>
      <w:r>
        <w:rPr>
          <w:color w:val="231F20"/>
          <w:spacing w:val="-11"/>
        </w:rPr>
        <w:t> </w:t>
      </w:r>
      <w:r>
        <w:rPr>
          <w:color w:val="231F20"/>
        </w:rPr>
        <w:t>а</w:t>
      </w:r>
      <w:r>
        <w:rPr>
          <w:color w:val="231F20"/>
          <w:spacing w:val="-11"/>
        </w:rPr>
        <w:t> </w:t>
      </w:r>
      <w:r>
        <w:rPr>
          <w:color w:val="231F20"/>
        </w:rPr>
        <w:t>также</w:t>
      </w:r>
      <w:r>
        <w:rPr>
          <w:color w:val="231F20"/>
          <w:spacing w:val="-11"/>
        </w:rPr>
        <w:t> </w:t>
      </w:r>
      <w:r>
        <w:rPr>
          <w:color w:val="231F20"/>
        </w:rPr>
        <w:t>проявлять межкультурную чувствительность (Prieto-Flores, 2016).</w:t>
      </w:r>
    </w:p>
    <w:p>
      <w:pPr>
        <w:pStyle w:val="BodyText"/>
        <w:spacing w:after="0" w:line="235" w:lineRule="auto"/>
        <w:sectPr>
          <w:pgSz w:w="8400" w:h="11910"/>
          <w:pgMar w:header="0" w:footer="527" w:top="400" w:bottom="740" w:left="425" w:right="425"/>
        </w:sectPr>
      </w:pPr>
    </w:p>
    <w:p>
      <w:pPr>
        <w:spacing w:before="80"/>
        <w:ind w:left="141" w:right="0" w:firstLine="0"/>
        <w:jc w:val="both"/>
        <w:rPr>
          <w:rFonts w:ascii="Georgia" w:hAnsi="Georgia"/>
          <w:sz w:val="18"/>
        </w:rPr>
      </w:pPr>
      <w:r>
        <w:rPr>
          <w:rFonts w:ascii="Georgia" w:hAnsi="Georgia"/>
          <w:color w:val="231F20"/>
          <w:sz w:val="18"/>
        </w:rPr>
        <w:t>4.3.</w:t>
      </w:r>
      <w:r>
        <w:rPr>
          <w:rFonts w:ascii="Georgia" w:hAnsi="Georgia"/>
          <w:color w:val="231F20"/>
          <w:spacing w:val="-5"/>
          <w:sz w:val="18"/>
        </w:rPr>
        <w:t> </w:t>
      </w:r>
      <w:r>
        <w:rPr>
          <w:rFonts w:ascii="Georgia" w:hAnsi="Georgia"/>
          <w:color w:val="231F20"/>
          <w:sz w:val="18"/>
        </w:rPr>
        <w:t>Методы</w:t>
      </w:r>
      <w:r>
        <w:rPr>
          <w:rFonts w:ascii="Georgia" w:hAnsi="Georgia"/>
          <w:color w:val="231F20"/>
          <w:spacing w:val="-5"/>
          <w:sz w:val="18"/>
        </w:rPr>
        <w:t> </w:t>
      </w:r>
      <w:r>
        <w:rPr>
          <w:rFonts w:ascii="Georgia" w:hAnsi="Georgia"/>
          <w:color w:val="231F20"/>
          <w:sz w:val="18"/>
        </w:rPr>
        <w:t>воспитательной</w:t>
      </w:r>
      <w:r>
        <w:rPr>
          <w:rFonts w:ascii="Georgia" w:hAnsi="Georgia"/>
          <w:color w:val="231F20"/>
          <w:spacing w:val="-4"/>
          <w:sz w:val="18"/>
        </w:rPr>
        <w:t> </w:t>
      </w:r>
      <w:r>
        <w:rPr>
          <w:rFonts w:ascii="Georgia" w:hAnsi="Georgia"/>
          <w:color w:val="231F20"/>
          <w:sz w:val="18"/>
        </w:rPr>
        <w:t>раюоты</w:t>
      </w:r>
      <w:r>
        <w:rPr>
          <w:rFonts w:ascii="Georgia" w:hAnsi="Georgia"/>
          <w:color w:val="231F20"/>
          <w:spacing w:val="-5"/>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w:t>
      </w:r>
      <w:r>
        <w:rPr>
          <w:rFonts w:ascii="Georgia" w:hAnsi="Georgia"/>
          <w:color w:val="231F20"/>
          <w:spacing w:val="-4"/>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ListParagraph"/>
        <w:numPr>
          <w:ilvl w:val="0"/>
          <w:numId w:val="126"/>
        </w:numPr>
        <w:tabs>
          <w:tab w:pos="544" w:val="left" w:leader="none"/>
        </w:tabs>
        <w:spacing w:line="228" w:lineRule="exact" w:before="112" w:after="0"/>
        <w:ind w:left="544" w:right="0" w:hanging="119"/>
        <w:jc w:val="both"/>
        <w:rPr>
          <w:i/>
          <w:sz w:val="20"/>
        </w:rPr>
      </w:pPr>
      <w:r>
        <w:rPr>
          <w:i/>
          <w:spacing w:val="-2"/>
          <w:sz w:val="20"/>
        </w:rPr>
        <w:t>Формирование</w:t>
      </w:r>
      <w:r>
        <w:rPr>
          <w:i/>
          <w:spacing w:val="7"/>
          <w:sz w:val="20"/>
        </w:rPr>
        <w:t> </w:t>
      </w:r>
      <w:r>
        <w:rPr>
          <w:i/>
          <w:color w:val="231F20"/>
          <w:spacing w:val="-2"/>
          <w:sz w:val="20"/>
        </w:rPr>
        <w:t>сообщества</w:t>
      </w:r>
    </w:p>
    <w:p>
      <w:pPr>
        <w:pStyle w:val="BodyText"/>
        <w:spacing w:line="232" w:lineRule="auto" w:before="4"/>
      </w:pPr>
      <w:r>
        <w:rPr>
          <w:color w:val="231F20"/>
        </w:rPr>
        <w:t>Практика</w:t>
      </w:r>
      <w:r>
        <w:rPr>
          <w:color w:val="231F20"/>
          <w:spacing w:val="-13"/>
        </w:rPr>
        <w:t> </w:t>
      </w:r>
      <w:r>
        <w:rPr>
          <w:color w:val="231F20"/>
        </w:rPr>
        <w:t>нацелена</w:t>
      </w:r>
      <w:r>
        <w:rPr>
          <w:color w:val="231F20"/>
          <w:spacing w:val="-12"/>
        </w:rPr>
        <w:t> </w:t>
      </w:r>
      <w:r>
        <w:rPr>
          <w:color w:val="231F20"/>
        </w:rPr>
        <w:t>на</w:t>
      </w:r>
      <w:r>
        <w:rPr>
          <w:color w:val="231F20"/>
          <w:spacing w:val="-13"/>
        </w:rPr>
        <w:t> </w:t>
      </w:r>
      <w:r>
        <w:rPr>
          <w:color w:val="231F20"/>
        </w:rPr>
        <w:t>формирование</w:t>
      </w:r>
      <w:r>
        <w:rPr>
          <w:color w:val="231F20"/>
          <w:spacing w:val="-12"/>
        </w:rPr>
        <w:t> </w:t>
      </w:r>
      <w:r>
        <w:rPr>
          <w:color w:val="231F20"/>
        </w:rPr>
        <w:t>школьного</w:t>
      </w:r>
      <w:r>
        <w:rPr>
          <w:color w:val="231F20"/>
          <w:spacing w:val="-13"/>
        </w:rPr>
        <w:t> </w:t>
      </w:r>
      <w:r>
        <w:rPr>
          <w:color w:val="231F20"/>
        </w:rPr>
        <w:t>сообщества,</w:t>
      </w:r>
      <w:r>
        <w:rPr>
          <w:color w:val="231F20"/>
          <w:spacing w:val="-12"/>
        </w:rPr>
        <w:t> </w:t>
      </w:r>
      <w:r>
        <w:rPr>
          <w:color w:val="231F20"/>
        </w:rPr>
        <w:t>готового</w:t>
      </w:r>
      <w:r>
        <w:rPr>
          <w:color w:val="231F20"/>
          <w:spacing w:val="-13"/>
        </w:rPr>
        <w:t> </w:t>
      </w:r>
      <w:r>
        <w:rPr>
          <w:color w:val="231F20"/>
        </w:rPr>
        <w:t>к</w:t>
      </w:r>
      <w:r>
        <w:rPr>
          <w:color w:val="231F20"/>
          <w:spacing w:val="-12"/>
        </w:rPr>
        <w:t> </w:t>
      </w:r>
      <w:r>
        <w:rPr>
          <w:color w:val="231F20"/>
        </w:rPr>
        <w:t>межкуль- турному взаимодействию. Такое сообщество возникает в первую очередь благодаря передаче</w:t>
      </w:r>
      <w:r>
        <w:rPr>
          <w:color w:val="231F20"/>
          <w:spacing w:val="-13"/>
        </w:rPr>
        <w:t> </w:t>
      </w:r>
      <w:r>
        <w:rPr>
          <w:color w:val="231F20"/>
        </w:rPr>
        <w:t>самим</w:t>
      </w:r>
      <w:r>
        <w:rPr>
          <w:color w:val="231F20"/>
          <w:spacing w:val="-12"/>
        </w:rPr>
        <w:t> </w:t>
      </w:r>
      <w:r>
        <w:rPr>
          <w:color w:val="231F20"/>
        </w:rPr>
        <w:t>обучающимся</w:t>
      </w:r>
      <w:r>
        <w:rPr>
          <w:color w:val="231F20"/>
          <w:spacing w:val="-13"/>
        </w:rPr>
        <w:t> </w:t>
      </w:r>
      <w:r>
        <w:rPr>
          <w:color w:val="231F20"/>
        </w:rPr>
        <w:t>ответственности</w:t>
      </w:r>
      <w:r>
        <w:rPr>
          <w:color w:val="231F20"/>
          <w:spacing w:val="-12"/>
        </w:rPr>
        <w:t> </w:t>
      </w:r>
      <w:r>
        <w:rPr>
          <w:color w:val="231F20"/>
        </w:rPr>
        <w:t>за</w:t>
      </w:r>
      <w:r>
        <w:rPr>
          <w:color w:val="231F20"/>
          <w:spacing w:val="-13"/>
        </w:rPr>
        <w:t> </w:t>
      </w:r>
      <w:r>
        <w:rPr>
          <w:color w:val="231F20"/>
        </w:rPr>
        <w:t>активное</w:t>
      </w:r>
      <w:r>
        <w:rPr>
          <w:color w:val="231F20"/>
          <w:spacing w:val="-12"/>
        </w:rPr>
        <w:t> </w:t>
      </w:r>
      <w:r>
        <w:rPr>
          <w:color w:val="231F20"/>
        </w:rPr>
        <w:t>участие</w:t>
      </w:r>
      <w:r>
        <w:rPr>
          <w:color w:val="231F20"/>
          <w:spacing w:val="-13"/>
        </w:rPr>
        <w:t> </w:t>
      </w:r>
      <w:r>
        <w:rPr>
          <w:color w:val="231F20"/>
        </w:rPr>
        <w:t>в</w:t>
      </w:r>
      <w:r>
        <w:rPr>
          <w:color w:val="231F20"/>
          <w:spacing w:val="-12"/>
        </w:rPr>
        <w:t> </w:t>
      </w:r>
      <w:r>
        <w:rPr>
          <w:color w:val="231F20"/>
        </w:rPr>
        <w:t>жизни</w:t>
      </w:r>
      <w:r>
        <w:rPr>
          <w:color w:val="231F20"/>
          <w:spacing w:val="-13"/>
        </w:rPr>
        <w:t> </w:t>
      </w:r>
      <w:r>
        <w:rPr>
          <w:color w:val="231F20"/>
        </w:rPr>
        <w:t>школы</w:t>
      </w:r>
      <w:r>
        <w:rPr>
          <w:color w:val="231F20"/>
          <w:spacing w:val="-12"/>
        </w:rPr>
        <w:t> </w:t>
      </w:r>
      <w:r>
        <w:rPr>
          <w:color w:val="231F20"/>
        </w:rPr>
        <w:t>и выбор</w:t>
      </w:r>
      <w:r>
        <w:rPr>
          <w:color w:val="231F20"/>
          <w:spacing w:val="-1"/>
        </w:rPr>
        <w:t> </w:t>
      </w:r>
      <w:r>
        <w:rPr>
          <w:color w:val="231F20"/>
        </w:rPr>
        <w:t>своей</w:t>
      </w:r>
      <w:r>
        <w:rPr>
          <w:color w:val="231F20"/>
          <w:spacing w:val="-1"/>
        </w:rPr>
        <w:t> </w:t>
      </w:r>
      <w:r>
        <w:rPr>
          <w:color w:val="231F20"/>
        </w:rPr>
        <w:t>траектории</w:t>
      </w:r>
      <w:r>
        <w:rPr>
          <w:color w:val="231F20"/>
          <w:spacing w:val="-1"/>
        </w:rPr>
        <w:t> </w:t>
      </w:r>
      <w:r>
        <w:rPr>
          <w:color w:val="231F20"/>
        </w:rPr>
        <w:t>развития.</w:t>
      </w:r>
      <w:r>
        <w:rPr>
          <w:color w:val="231F20"/>
          <w:spacing w:val="-1"/>
        </w:rPr>
        <w:t> </w:t>
      </w:r>
      <w:r>
        <w:rPr>
          <w:color w:val="231F20"/>
        </w:rPr>
        <w:t>Школьное</w:t>
      </w:r>
      <w:r>
        <w:rPr>
          <w:color w:val="231F20"/>
          <w:spacing w:val="-1"/>
        </w:rPr>
        <w:t> </w:t>
      </w:r>
      <w:r>
        <w:rPr>
          <w:color w:val="231F20"/>
        </w:rPr>
        <w:t>сообщество</w:t>
      </w:r>
      <w:r>
        <w:rPr>
          <w:color w:val="231F20"/>
          <w:spacing w:val="-1"/>
        </w:rPr>
        <w:t> </w:t>
      </w:r>
      <w:r>
        <w:rPr>
          <w:color w:val="231F20"/>
        </w:rPr>
        <w:t>предполагает</w:t>
      </w:r>
      <w:r>
        <w:rPr>
          <w:color w:val="231F20"/>
          <w:spacing w:val="-1"/>
        </w:rPr>
        <w:t> </w:t>
      </w:r>
      <w:r>
        <w:rPr>
          <w:color w:val="231F20"/>
        </w:rPr>
        <w:t>активное</w:t>
      </w:r>
      <w:r>
        <w:rPr>
          <w:color w:val="231F20"/>
          <w:spacing w:val="-1"/>
        </w:rPr>
        <w:t> </w:t>
      </w:r>
      <w:r>
        <w:rPr>
          <w:color w:val="231F20"/>
        </w:rPr>
        <w:t>со- трудничество</w:t>
      </w:r>
      <w:r>
        <w:rPr>
          <w:color w:val="231F20"/>
          <w:spacing w:val="-6"/>
        </w:rPr>
        <w:t> </w:t>
      </w:r>
      <w:r>
        <w:rPr>
          <w:color w:val="231F20"/>
        </w:rPr>
        <w:t>и</w:t>
      </w:r>
      <w:r>
        <w:rPr>
          <w:color w:val="231F20"/>
          <w:spacing w:val="-6"/>
        </w:rPr>
        <w:t> </w:t>
      </w:r>
      <w:r>
        <w:rPr>
          <w:color w:val="231F20"/>
        </w:rPr>
        <w:t>интерес</w:t>
      </w:r>
      <w:r>
        <w:rPr>
          <w:color w:val="231F20"/>
          <w:spacing w:val="-6"/>
        </w:rPr>
        <w:t> </w:t>
      </w:r>
      <w:r>
        <w:rPr>
          <w:color w:val="231F20"/>
        </w:rPr>
        <w:t>обучающихся</w:t>
      </w:r>
      <w:r>
        <w:rPr>
          <w:color w:val="231F20"/>
          <w:spacing w:val="-6"/>
        </w:rPr>
        <w:t> </w:t>
      </w:r>
      <w:r>
        <w:rPr>
          <w:color w:val="231F20"/>
        </w:rPr>
        <w:t>друг</w:t>
      </w:r>
      <w:r>
        <w:rPr>
          <w:color w:val="231F20"/>
          <w:spacing w:val="-6"/>
        </w:rPr>
        <w:t> </w:t>
      </w:r>
      <w:r>
        <w:rPr>
          <w:color w:val="231F20"/>
        </w:rPr>
        <w:t>к</w:t>
      </w:r>
      <w:r>
        <w:rPr>
          <w:color w:val="231F20"/>
          <w:spacing w:val="-6"/>
        </w:rPr>
        <w:t> </w:t>
      </w:r>
      <w:r>
        <w:rPr>
          <w:color w:val="231F20"/>
        </w:rPr>
        <w:t>другу,</w:t>
      </w:r>
      <w:r>
        <w:rPr>
          <w:color w:val="231F20"/>
          <w:spacing w:val="-6"/>
        </w:rPr>
        <w:t> </w:t>
      </w:r>
      <w:r>
        <w:rPr>
          <w:color w:val="231F20"/>
        </w:rPr>
        <w:t>оно</w:t>
      </w:r>
      <w:r>
        <w:rPr>
          <w:color w:val="231F20"/>
          <w:spacing w:val="-6"/>
        </w:rPr>
        <w:t> </w:t>
      </w:r>
      <w:r>
        <w:rPr>
          <w:color w:val="231F20"/>
        </w:rPr>
        <w:t>предлагает</w:t>
      </w:r>
      <w:r>
        <w:rPr>
          <w:color w:val="231F20"/>
          <w:spacing w:val="-6"/>
        </w:rPr>
        <w:t> </w:t>
      </w:r>
      <w:r>
        <w:rPr>
          <w:color w:val="231F20"/>
        </w:rPr>
        <w:t>детям</w:t>
      </w:r>
      <w:r>
        <w:rPr>
          <w:color w:val="231F20"/>
          <w:spacing w:val="-6"/>
        </w:rPr>
        <w:t> </w:t>
      </w:r>
      <w:r>
        <w:rPr>
          <w:color w:val="231F20"/>
        </w:rPr>
        <w:t>с</w:t>
      </w:r>
      <w:r>
        <w:rPr>
          <w:color w:val="231F20"/>
          <w:spacing w:val="-6"/>
        </w:rPr>
        <w:t> </w:t>
      </w:r>
      <w:r>
        <w:rPr>
          <w:color w:val="231F20"/>
        </w:rPr>
        <w:t>миграци- онным</w:t>
      </w:r>
      <w:r>
        <w:rPr>
          <w:color w:val="231F20"/>
          <w:spacing w:val="-7"/>
        </w:rPr>
        <w:t> </w:t>
      </w:r>
      <w:r>
        <w:rPr>
          <w:color w:val="231F20"/>
        </w:rPr>
        <w:t>опытом</w:t>
      </w:r>
      <w:r>
        <w:rPr>
          <w:color w:val="231F20"/>
          <w:spacing w:val="-7"/>
        </w:rPr>
        <w:t> </w:t>
      </w:r>
      <w:r>
        <w:rPr>
          <w:color w:val="231F20"/>
        </w:rPr>
        <w:t>еще</w:t>
      </w:r>
      <w:r>
        <w:rPr>
          <w:color w:val="231F20"/>
          <w:spacing w:val="-7"/>
        </w:rPr>
        <w:t> </w:t>
      </w:r>
      <w:r>
        <w:rPr>
          <w:color w:val="231F20"/>
        </w:rPr>
        <w:t>одну</w:t>
      </w:r>
      <w:r>
        <w:rPr>
          <w:color w:val="231F20"/>
          <w:spacing w:val="-7"/>
        </w:rPr>
        <w:t> </w:t>
      </w:r>
      <w:r>
        <w:rPr>
          <w:color w:val="231F20"/>
        </w:rPr>
        <w:t>идентичность,</w:t>
      </w:r>
      <w:r>
        <w:rPr>
          <w:color w:val="231F20"/>
          <w:spacing w:val="-7"/>
        </w:rPr>
        <w:t> </w:t>
      </w:r>
      <w:r>
        <w:rPr>
          <w:color w:val="231F20"/>
        </w:rPr>
        <w:t>не</w:t>
      </w:r>
      <w:r>
        <w:rPr>
          <w:color w:val="231F20"/>
          <w:spacing w:val="-7"/>
        </w:rPr>
        <w:t> </w:t>
      </w:r>
      <w:r>
        <w:rPr>
          <w:color w:val="231F20"/>
        </w:rPr>
        <w:t>обусловленную</w:t>
      </w:r>
      <w:r>
        <w:rPr>
          <w:color w:val="231F20"/>
          <w:spacing w:val="-7"/>
        </w:rPr>
        <w:t> </w:t>
      </w:r>
      <w:r>
        <w:rPr>
          <w:color w:val="231F20"/>
        </w:rPr>
        <w:t>культурными</w:t>
      </w:r>
      <w:r>
        <w:rPr>
          <w:color w:val="231F20"/>
          <w:spacing w:val="-7"/>
        </w:rPr>
        <w:t> </w:t>
      </w:r>
      <w:r>
        <w:rPr>
          <w:color w:val="231F20"/>
        </w:rPr>
        <w:t>различиями (Формы наставничества, 2019).</w:t>
      </w:r>
    </w:p>
    <w:p>
      <w:pPr>
        <w:spacing w:before="104"/>
        <w:ind w:left="425" w:right="0" w:firstLine="0"/>
        <w:jc w:val="both"/>
        <w:rPr>
          <w:b/>
          <w:sz w:val="20"/>
        </w:rPr>
      </w:pPr>
      <w:r>
        <w:rPr>
          <w:b/>
          <w:sz w:val="20"/>
        </w:rPr>
        <w:t>Требования</w:t>
      </w:r>
      <w:r>
        <w:rPr>
          <w:b/>
          <w:spacing w:val="-9"/>
          <w:sz w:val="20"/>
        </w:rPr>
        <w:t> </w:t>
      </w:r>
      <w:r>
        <w:rPr>
          <w:b/>
          <w:sz w:val="20"/>
        </w:rPr>
        <w:t>к</w:t>
      </w:r>
      <w:r>
        <w:rPr>
          <w:b/>
          <w:spacing w:val="-8"/>
          <w:sz w:val="20"/>
        </w:rPr>
        <w:t> </w:t>
      </w:r>
      <w:r>
        <w:rPr>
          <w:b/>
          <w:spacing w:val="-2"/>
          <w:sz w:val="20"/>
        </w:rPr>
        <w:t>проведению</w:t>
      </w:r>
    </w:p>
    <w:p>
      <w:pPr>
        <w:pStyle w:val="ListParagraph"/>
        <w:numPr>
          <w:ilvl w:val="0"/>
          <w:numId w:val="127"/>
        </w:numPr>
        <w:tabs>
          <w:tab w:pos="423" w:val="left" w:leader="none"/>
        </w:tabs>
        <w:spacing w:line="226" w:lineRule="exact" w:before="49" w:after="0"/>
        <w:ind w:left="423" w:right="0" w:hanging="282"/>
        <w:jc w:val="both"/>
        <w:rPr>
          <w:i/>
          <w:sz w:val="20"/>
        </w:rPr>
      </w:pPr>
      <w:r>
        <w:rPr>
          <w:i/>
          <w:sz w:val="20"/>
        </w:rPr>
        <w:t>Квалификация</w:t>
      </w:r>
      <w:r>
        <w:rPr>
          <w:i/>
          <w:spacing w:val="-8"/>
          <w:sz w:val="20"/>
        </w:rPr>
        <w:t> </w:t>
      </w:r>
      <w:r>
        <w:rPr>
          <w:i/>
          <w:spacing w:val="-2"/>
          <w:sz w:val="20"/>
        </w:rPr>
        <w:t>наставника</w:t>
      </w:r>
    </w:p>
    <w:p>
      <w:pPr>
        <w:pStyle w:val="BodyText"/>
        <w:spacing w:line="222" w:lineRule="exact"/>
        <w:ind w:left="425" w:right="0" w:firstLine="0"/>
        <w:jc w:val="left"/>
      </w:pPr>
      <w:r>
        <w:rPr/>
        <w:t>Наставник</w:t>
      </w:r>
      <w:r>
        <w:rPr>
          <w:spacing w:val="-1"/>
        </w:rPr>
        <w:t> </w:t>
      </w:r>
      <w:r>
        <w:rPr/>
        <w:t>–</w:t>
      </w:r>
      <w:r>
        <w:rPr>
          <w:spacing w:val="1"/>
        </w:rPr>
        <w:t> </w:t>
      </w:r>
      <w:r>
        <w:rPr>
          <w:spacing w:val="-4"/>
        </w:rPr>
        <w:t>это:</w:t>
      </w:r>
    </w:p>
    <w:p>
      <w:pPr>
        <w:pStyle w:val="ListParagraph"/>
        <w:numPr>
          <w:ilvl w:val="1"/>
          <w:numId w:val="127"/>
        </w:numPr>
        <w:tabs>
          <w:tab w:pos="708" w:val="left" w:leader="none"/>
        </w:tabs>
        <w:spacing w:line="222" w:lineRule="exact" w:before="0" w:after="0"/>
        <w:ind w:left="708" w:right="0" w:hanging="283"/>
        <w:jc w:val="left"/>
        <w:rPr>
          <w:sz w:val="20"/>
        </w:rPr>
      </w:pPr>
      <w:r>
        <w:rPr>
          <w:sz w:val="20"/>
        </w:rPr>
        <w:t>поддерживающий</w:t>
      </w:r>
      <w:r>
        <w:rPr>
          <w:spacing w:val="-9"/>
          <w:sz w:val="20"/>
        </w:rPr>
        <w:t> </w:t>
      </w:r>
      <w:r>
        <w:rPr>
          <w:sz w:val="20"/>
        </w:rPr>
        <w:t>друг</w:t>
      </w:r>
      <w:r>
        <w:rPr>
          <w:spacing w:val="-9"/>
          <w:sz w:val="20"/>
        </w:rPr>
        <w:t> </w:t>
      </w:r>
      <w:r>
        <w:rPr>
          <w:sz w:val="20"/>
        </w:rPr>
        <w:t>и</w:t>
      </w:r>
      <w:r>
        <w:rPr>
          <w:spacing w:val="-8"/>
          <w:sz w:val="20"/>
        </w:rPr>
        <w:t> </w:t>
      </w:r>
      <w:r>
        <w:rPr>
          <w:spacing w:val="-2"/>
          <w:sz w:val="20"/>
        </w:rPr>
        <w:t>советчик;</w:t>
      </w:r>
    </w:p>
    <w:p>
      <w:pPr>
        <w:pStyle w:val="ListParagraph"/>
        <w:numPr>
          <w:ilvl w:val="1"/>
          <w:numId w:val="127"/>
        </w:numPr>
        <w:tabs>
          <w:tab w:pos="708" w:val="left" w:leader="none"/>
        </w:tabs>
        <w:spacing w:line="222" w:lineRule="exact" w:before="0" w:after="0"/>
        <w:ind w:left="708" w:right="0" w:hanging="283"/>
        <w:jc w:val="left"/>
        <w:rPr>
          <w:sz w:val="20"/>
        </w:rPr>
      </w:pPr>
      <w:r>
        <w:rPr>
          <w:sz w:val="20"/>
        </w:rPr>
        <w:t>фасилитатор,</w:t>
      </w:r>
      <w:r>
        <w:rPr>
          <w:spacing w:val="-7"/>
          <w:sz w:val="20"/>
        </w:rPr>
        <w:t> </w:t>
      </w:r>
      <w:r>
        <w:rPr>
          <w:sz w:val="20"/>
        </w:rPr>
        <w:t>гид,</w:t>
      </w:r>
      <w:r>
        <w:rPr>
          <w:spacing w:val="-7"/>
          <w:sz w:val="20"/>
        </w:rPr>
        <w:t> </w:t>
      </w:r>
      <w:r>
        <w:rPr>
          <w:sz w:val="20"/>
        </w:rPr>
        <w:t>коуч</w:t>
      </w:r>
      <w:r>
        <w:rPr>
          <w:spacing w:val="-7"/>
          <w:sz w:val="20"/>
        </w:rPr>
        <w:t> </w:t>
      </w:r>
      <w:r>
        <w:rPr>
          <w:sz w:val="20"/>
        </w:rPr>
        <w:t>и</w:t>
      </w:r>
      <w:r>
        <w:rPr>
          <w:spacing w:val="-8"/>
          <w:sz w:val="20"/>
        </w:rPr>
        <w:t> </w:t>
      </w:r>
      <w:r>
        <w:rPr>
          <w:sz w:val="20"/>
        </w:rPr>
        <w:t>ролевая</w:t>
      </w:r>
      <w:r>
        <w:rPr>
          <w:spacing w:val="-6"/>
          <w:sz w:val="20"/>
        </w:rPr>
        <w:t> </w:t>
      </w:r>
      <w:r>
        <w:rPr>
          <w:spacing w:val="-2"/>
          <w:sz w:val="20"/>
        </w:rPr>
        <w:t>модель;</w:t>
      </w:r>
    </w:p>
    <w:p>
      <w:pPr>
        <w:pStyle w:val="ListParagraph"/>
        <w:numPr>
          <w:ilvl w:val="1"/>
          <w:numId w:val="127"/>
        </w:numPr>
        <w:tabs>
          <w:tab w:pos="708" w:val="left" w:leader="none"/>
        </w:tabs>
        <w:spacing w:line="222" w:lineRule="exact" w:before="0" w:after="0"/>
        <w:ind w:left="708" w:right="0" w:hanging="283"/>
        <w:jc w:val="left"/>
        <w:rPr>
          <w:sz w:val="20"/>
        </w:rPr>
      </w:pPr>
      <w:r>
        <w:rPr>
          <w:sz w:val="20"/>
        </w:rPr>
        <w:t>человек,</w:t>
      </w:r>
      <w:r>
        <w:rPr>
          <w:spacing w:val="-8"/>
          <w:sz w:val="20"/>
        </w:rPr>
        <w:t> </w:t>
      </w:r>
      <w:r>
        <w:rPr>
          <w:sz w:val="20"/>
        </w:rPr>
        <w:t>которому</w:t>
      </w:r>
      <w:r>
        <w:rPr>
          <w:spacing w:val="-8"/>
          <w:sz w:val="20"/>
        </w:rPr>
        <w:t> </w:t>
      </w:r>
      <w:r>
        <w:rPr>
          <w:sz w:val="20"/>
        </w:rPr>
        <w:t>можно</w:t>
      </w:r>
      <w:r>
        <w:rPr>
          <w:spacing w:val="-8"/>
          <w:sz w:val="20"/>
        </w:rPr>
        <w:t> </w:t>
      </w:r>
      <w:r>
        <w:rPr>
          <w:sz w:val="20"/>
        </w:rPr>
        <w:t>доверить</w:t>
      </w:r>
      <w:r>
        <w:rPr>
          <w:spacing w:val="-9"/>
          <w:sz w:val="20"/>
        </w:rPr>
        <w:t> </w:t>
      </w:r>
      <w:r>
        <w:rPr>
          <w:sz w:val="20"/>
        </w:rPr>
        <w:t>заботу</w:t>
      </w:r>
      <w:r>
        <w:rPr>
          <w:spacing w:val="-8"/>
          <w:sz w:val="20"/>
        </w:rPr>
        <w:t> </w:t>
      </w:r>
      <w:r>
        <w:rPr>
          <w:sz w:val="20"/>
        </w:rPr>
        <w:t>и</w:t>
      </w:r>
      <w:r>
        <w:rPr>
          <w:spacing w:val="-8"/>
          <w:sz w:val="20"/>
        </w:rPr>
        <w:t> </w:t>
      </w:r>
      <w:r>
        <w:rPr>
          <w:spacing w:val="-2"/>
          <w:sz w:val="20"/>
        </w:rPr>
        <w:t>обучение;</w:t>
      </w:r>
    </w:p>
    <w:p>
      <w:pPr>
        <w:pStyle w:val="ListParagraph"/>
        <w:numPr>
          <w:ilvl w:val="1"/>
          <w:numId w:val="127"/>
        </w:numPr>
        <w:tabs>
          <w:tab w:pos="708" w:val="left" w:leader="none"/>
        </w:tabs>
        <w:spacing w:line="232" w:lineRule="auto" w:before="1" w:after="0"/>
        <w:ind w:left="708" w:right="139" w:hanging="284"/>
        <w:jc w:val="left"/>
        <w:rPr>
          <w:sz w:val="20"/>
        </w:rPr>
      </w:pPr>
      <w:r>
        <w:rPr>
          <w:sz w:val="20"/>
        </w:rPr>
        <w:t>человек, обладающий знаниями или экспертизой в том, как поддержать инте- рес и развить навыки, необходимые для жизни;</w:t>
      </w:r>
    </w:p>
    <w:p>
      <w:pPr>
        <w:pStyle w:val="ListParagraph"/>
        <w:numPr>
          <w:ilvl w:val="1"/>
          <w:numId w:val="127"/>
        </w:numPr>
        <w:tabs>
          <w:tab w:pos="708" w:val="left" w:leader="none"/>
        </w:tabs>
        <w:spacing w:line="218" w:lineRule="exact" w:before="0" w:after="0"/>
        <w:ind w:left="708" w:right="0" w:hanging="283"/>
        <w:jc w:val="left"/>
        <w:rPr>
          <w:sz w:val="20"/>
        </w:rPr>
      </w:pPr>
      <w:r>
        <w:rPr>
          <w:sz w:val="20"/>
        </w:rPr>
        <w:t>тот,</w:t>
      </w:r>
      <w:r>
        <w:rPr>
          <w:spacing w:val="-8"/>
          <w:sz w:val="20"/>
        </w:rPr>
        <w:t> </w:t>
      </w:r>
      <w:r>
        <w:rPr>
          <w:sz w:val="20"/>
        </w:rPr>
        <w:t>кто</w:t>
      </w:r>
      <w:r>
        <w:rPr>
          <w:spacing w:val="-5"/>
          <w:sz w:val="20"/>
        </w:rPr>
        <w:t> </w:t>
      </w:r>
      <w:r>
        <w:rPr>
          <w:sz w:val="20"/>
        </w:rPr>
        <w:t>готов</w:t>
      </w:r>
      <w:r>
        <w:rPr>
          <w:spacing w:val="-5"/>
          <w:sz w:val="20"/>
        </w:rPr>
        <w:t> </w:t>
      </w:r>
      <w:r>
        <w:rPr>
          <w:sz w:val="20"/>
        </w:rPr>
        <w:t>делиться</w:t>
      </w:r>
      <w:r>
        <w:rPr>
          <w:spacing w:val="-6"/>
          <w:sz w:val="20"/>
        </w:rPr>
        <w:t> </w:t>
      </w:r>
      <w:r>
        <w:rPr>
          <w:sz w:val="20"/>
        </w:rPr>
        <w:t>знаниями,</w:t>
      </w:r>
      <w:r>
        <w:rPr>
          <w:spacing w:val="-5"/>
          <w:sz w:val="20"/>
        </w:rPr>
        <w:t> </w:t>
      </w:r>
      <w:r>
        <w:rPr>
          <w:sz w:val="20"/>
        </w:rPr>
        <w:t>не</w:t>
      </w:r>
      <w:r>
        <w:rPr>
          <w:spacing w:val="-5"/>
          <w:sz w:val="20"/>
        </w:rPr>
        <w:t> </w:t>
      </w:r>
      <w:r>
        <w:rPr>
          <w:sz w:val="20"/>
        </w:rPr>
        <w:t>ожидая</w:t>
      </w:r>
      <w:r>
        <w:rPr>
          <w:spacing w:val="-5"/>
          <w:sz w:val="20"/>
        </w:rPr>
        <w:t> </w:t>
      </w:r>
      <w:r>
        <w:rPr>
          <w:sz w:val="20"/>
        </w:rPr>
        <w:t>взаимности</w:t>
      </w:r>
      <w:r>
        <w:rPr>
          <w:spacing w:val="-6"/>
          <w:sz w:val="20"/>
        </w:rPr>
        <w:t> </w:t>
      </w:r>
      <w:r>
        <w:rPr>
          <w:sz w:val="20"/>
        </w:rPr>
        <w:t>или</w:t>
      </w:r>
      <w:r>
        <w:rPr>
          <w:spacing w:val="-5"/>
          <w:sz w:val="20"/>
        </w:rPr>
        <w:t> </w:t>
      </w:r>
      <w:r>
        <w:rPr>
          <w:spacing w:val="-2"/>
          <w:sz w:val="20"/>
        </w:rPr>
        <w:t>вознаграждения;</w:t>
      </w:r>
    </w:p>
    <w:p>
      <w:pPr>
        <w:pStyle w:val="ListParagraph"/>
        <w:numPr>
          <w:ilvl w:val="1"/>
          <w:numId w:val="127"/>
        </w:numPr>
        <w:tabs>
          <w:tab w:pos="708" w:val="left" w:leader="none"/>
        </w:tabs>
        <w:spacing w:line="232" w:lineRule="auto" w:before="2" w:after="0"/>
        <w:ind w:left="708" w:right="139" w:hanging="284"/>
        <w:jc w:val="both"/>
        <w:rPr>
          <w:sz w:val="20"/>
        </w:rPr>
      </w:pPr>
      <w:r>
        <w:rPr>
          <w:sz w:val="20"/>
        </w:rPr>
        <w:t>тот,</w:t>
      </w:r>
      <w:r>
        <w:rPr>
          <w:spacing w:val="-4"/>
          <w:sz w:val="20"/>
        </w:rPr>
        <w:t> </w:t>
      </w:r>
      <w:r>
        <w:rPr>
          <w:sz w:val="20"/>
        </w:rPr>
        <w:t>кто</w:t>
      </w:r>
      <w:r>
        <w:rPr>
          <w:spacing w:val="-4"/>
          <w:sz w:val="20"/>
        </w:rPr>
        <w:t> </w:t>
      </w:r>
      <w:r>
        <w:rPr>
          <w:sz w:val="20"/>
        </w:rPr>
        <w:t>готов</w:t>
      </w:r>
      <w:r>
        <w:rPr>
          <w:spacing w:val="-4"/>
          <w:sz w:val="20"/>
        </w:rPr>
        <w:t> </w:t>
      </w:r>
      <w:r>
        <w:rPr>
          <w:sz w:val="20"/>
        </w:rPr>
        <w:t>добровольно</w:t>
      </w:r>
      <w:r>
        <w:rPr>
          <w:spacing w:val="-4"/>
          <w:sz w:val="20"/>
        </w:rPr>
        <w:t> </w:t>
      </w:r>
      <w:r>
        <w:rPr>
          <w:sz w:val="20"/>
        </w:rPr>
        <w:t>и</w:t>
      </w:r>
      <w:r>
        <w:rPr>
          <w:spacing w:val="-4"/>
          <w:sz w:val="20"/>
        </w:rPr>
        <w:t> </w:t>
      </w:r>
      <w:r>
        <w:rPr>
          <w:sz w:val="20"/>
        </w:rPr>
        <w:t>стабильно</w:t>
      </w:r>
      <w:r>
        <w:rPr>
          <w:spacing w:val="-4"/>
          <w:sz w:val="20"/>
        </w:rPr>
        <w:t> </w:t>
      </w:r>
      <w:r>
        <w:rPr>
          <w:sz w:val="20"/>
        </w:rPr>
        <w:t>поддерживать</w:t>
      </w:r>
      <w:r>
        <w:rPr>
          <w:spacing w:val="-4"/>
          <w:sz w:val="20"/>
        </w:rPr>
        <w:t> </w:t>
      </w:r>
      <w:r>
        <w:rPr>
          <w:sz w:val="20"/>
        </w:rPr>
        <w:t>другого,</w:t>
      </w:r>
      <w:r>
        <w:rPr>
          <w:spacing w:val="-4"/>
          <w:sz w:val="20"/>
        </w:rPr>
        <w:t> </w:t>
      </w:r>
      <w:r>
        <w:rPr>
          <w:sz w:val="20"/>
        </w:rPr>
        <w:t>а</w:t>
      </w:r>
      <w:r>
        <w:rPr>
          <w:spacing w:val="-4"/>
          <w:sz w:val="20"/>
        </w:rPr>
        <w:t> </w:t>
      </w:r>
      <w:r>
        <w:rPr>
          <w:sz w:val="20"/>
        </w:rPr>
        <w:t>также</w:t>
      </w:r>
      <w:r>
        <w:rPr>
          <w:spacing w:val="-4"/>
          <w:sz w:val="20"/>
        </w:rPr>
        <w:t> </w:t>
      </w:r>
      <w:r>
        <w:rPr>
          <w:sz w:val="20"/>
        </w:rPr>
        <w:t>разви- вать определенные личностные навыки;</w:t>
      </w:r>
    </w:p>
    <w:p>
      <w:pPr>
        <w:pStyle w:val="ListParagraph"/>
        <w:numPr>
          <w:ilvl w:val="1"/>
          <w:numId w:val="127"/>
        </w:numPr>
        <w:tabs>
          <w:tab w:pos="708" w:val="left" w:leader="none"/>
        </w:tabs>
        <w:spacing w:line="232" w:lineRule="auto" w:before="0" w:after="0"/>
        <w:ind w:left="708" w:right="139" w:hanging="284"/>
        <w:jc w:val="both"/>
        <w:rPr>
          <w:sz w:val="20"/>
        </w:rPr>
      </w:pPr>
      <w:r>
        <w:rPr>
          <w:sz w:val="20"/>
        </w:rPr>
        <w:t>человек,</w:t>
      </w:r>
      <w:r>
        <w:rPr>
          <w:spacing w:val="-4"/>
          <w:sz w:val="20"/>
        </w:rPr>
        <w:t> </w:t>
      </w:r>
      <w:r>
        <w:rPr>
          <w:sz w:val="20"/>
        </w:rPr>
        <w:t>открытый</w:t>
      </w:r>
      <w:r>
        <w:rPr>
          <w:spacing w:val="-4"/>
          <w:sz w:val="20"/>
        </w:rPr>
        <w:t> </w:t>
      </w:r>
      <w:r>
        <w:rPr>
          <w:sz w:val="20"/>
        </w:rPr>
        <w:t>к</w:t>
      </w:r>
      <w:r>
        <w:rPr>
          <w:spacing w:val="-4"/>
          <w:sz w:val="20"/>
        </w:rPr>
        <w:t> </w:t>
      </w:r>
      <w:r>
        <w:rPr>
          <w:sz w:val="20"/>
        </w:rPr>
        <w:t>творческому</w:t>
      </w:r>
      <w:r>
        <w:rPr>
          <w:spacing w:val="-4"/>
          <w:sz w:val="20"/>
        </w:rPr>
        <w:t> </w:t>
      </w:r>
      <w:r>
        <w:rPr>
          <w:sz w:val="20"/>
        </w:rPr>
        <w:t>решению</w:t>
      </w:r>
      <w:r>
        <w:rPr>
          <w:spacing w:val="-4"/>
          <w:sz w:val="20"/>
        </w:rPr>
        <w:t> </w:t>
      </w:r>
      <w:r>
        <w:rPr>
          <w:sz w:val="20"/>
        </w:rPr>
        <w:t>проблем</w:t>
      </w:r>
      <w:r>
        <w:rPr>
          <w:spacing w:val="-4"/>
          <w:sz w:val="20"/>
        </w:rPr>
        <w:t> </w:t>
      </w:r>
      <w:r>
        <w:rPr>
          <w:sz w:val="20"/>
        </w:rPr>
        <w:t>своих</w:t>
      </w:r>
      <w:r>
        <w:rPr>
          <w:spacing w:val="-4"/>
          <w:sz w:val="20"/>
        </w:rPr>
        <w:t> </w:t>
      </w:r>
      <w:r>
        <w:rPr>
          <w:sz w:val="20"/>
        </w:rPr>
        <w:t>подопечных,</w:t>
      </w:r>
      <w:r>
        <w:rPr>
          <w:spacing w:val="-4"/>
          <w:sz w:val="20"/>
        </w:rPr>
        <w:t> </w:t>
      </w:r>
      <w:r>
        <w:rPr>
          <w:sz w:val="20"/>
        </w:rPr>
        <w:t>гото- вый принимать решения и уверенный в том, что новые задачи предоставляют новые возможности;</w:t>
      </w:r>
    </w:p>
    <w:p>
      <w:pPr>
        <w:pStyle w:val="ListParagraph"/>
        <w:numPr>
          <w:ilvl w:val="1"/>
          <w:numId w:val="127"/>
        </w:numPr>
        <w:tabs>
          <w:tab w:pos="708" w:val="left" w:leader="none"/>
        </w:tabs>
        <w:spacing w:line="232" w:lineRule="auto" w:before="0" w:after="0"/>
        <w:ind w:left="708" w:right="139" w:hanging="284"/>
        <w:jc w:val="both"/>
        <w:rPr>
          <w:sz w:val="20"/>
        </w:rPr>
      </w:pPr>
      <w:r>
        <w:rPr>
          <w:spacing w:val="-2"/>
          <w:sz w:val="20"/>
        </w:rPr>
        <w:t>тот,</w:t>
      </w:r>
      <w:r>
        <w:rPr>
          <w:spacing w:val="-5"/>
          <w:sz w:val="20"/>
        </w:rPr>
        <w:t> </w:t>
      </w:r>
      <w:r>
        <w:rPr>
          <w:spacing w:val="-2"/>
          <w:sz w:val="20"/>
        </w:rPr>
        <w:t>кто</w:t>
      </w:r>
      <w:r>
        <w:rPr>
          <w:spacing w:val="-5"/>
          <w:sz w:val="20"/>
        </w:rPr>
        <w:t> </w:t>
      </w:r>
      <w:r>
        <w:rPr>
          <w:spacing w:val="-2"/>
          <w:sz w:val="20"/>
        </w:rPr>
        <w:t>может</w:t>
      </w:r>
      <w:r>
        <w:rPr>
          <w:spacing w:val="-5"/>
          <w:sz w:val="20"/>
        </w:rPr>
        <w:t> </w:t>
      </w:r>
      <w:r>
        <w:rPr>
          <w:spacing w:val="-2"/>
          <w:sz w:val="20"/>
        </w:rPr>
        <w:t>установить</w:t>
      </w:r>
      <w:r>
        <w:rPr>
          <w:spacing w:val="-4"/>
          <w:sz w:val="20"/>
        </w:rPr>
        <w:t> </w:t>
      </w:r>
      <w:r>
        <w:rPr>
          <w:spacing w:val="-2"/>
          <w:sz w:val="20"/>
        </w:rPr>
        <w:t>прочную</w:t>
      </w:r>
      <w:r>
        <w:rPr>
          <w:spacing w:val="-4"/>
          <w:sz w:val="20"/>
        </w:rPr>
        <w:t> </w:t>
      </w:r>
      <w:r>
        <w:rPr>
          <w:spacing w:val="-2"/>
          <w:sz w:val="20"/>
        </w:rPr>
        <w:t>связь</w:t>
      </w:r>
      <w:r>
        <w:rPr>
          <w:spacing w:val="-5"/>
          <w:sz w:val="20"/>
        </w:rPr>
        <w:t> </w:t>
      </w:r>
      <w:r>
        <w:rPr>
          <w:spacing w:val="-2"/>
          <w:sz w:val="20"/>
        </w:rPr>
        <w:t>со</w:t>
      </w:r>
      <w:r>
        <w:rPr>
          <w:spacing w:val="-5"/>
          <w:sz w:val="20"/>
        </w:rPr>
        <w:t> </w:t>
      </w:r>
      <w:r>
        <w:rPr>
          <w:spacing w:val="-2"/>
          <w:sz w:val="20"/>
        </w:rPr>
        <w:t>своим</w:t>
      </w:r>
      <w:r>
        <w:rPr>
          <w:spacing w:val="-4"/>
          <w:sz w:val="20"/>
        </w:rPr>
        <w:t> </w:t>
      </w:r>
      <w:r>
        <w:rPr>
          <w:spacing w:val="-2"/>
          <w:sz w:val="20"/>
        </w:rPr>
        <w:t>подопечным</w:t>
      </w:r>
      <w:r>
        <w:rPr>
          <w:spacing w:val="-5"/>
          <w:sz w:val="20"/>
        </w:rPr>
        <w:t> </w:t>
      </w:r>
      <w:r>
        <w:rPr>
          <w:spacing w:val="-2"/>
          <w:sz w:val="20"/>
        </w:rPr>
        <w:t>и</w:t>
      </w:r>
      <w:r>
        <w:rPr>
          <w:spacing w:val="-5"/>
          <w:sz w:val="20"/>
        </w:rPr>
        <w:t> </w:t>
      </w:r>
      <w:r>
        <w:rPr>
          <w:spacing w:val="-2"/>
          <w:sz w:val="20"/>
        </w:rPr>
        <w:t>использовать </w:t>
      </w:r>
      <w:r>
        <w:rPr>
          <w:sz w:val="20"/>
        </w:rPr>
        <w:t>ее как катализатор позитивных изменений и личностного развития.</w:t>
      </w:r>
    </w:p>
    <w:p>
      <w:pPr>
        <w:pStyle w:val="BodyText"/>
        <w:spacing w:line="232" w:lineRule="auto"/>
      </w:pPr>
      <w:r>
        <w:rPr>
          <w:spacing w:val="-2"/>
        </w:rPr>
        <w:t>Потенциально хороший наставник проявляет уважение, умеет слушать, сопережи- </w:t>
      </w:r>
      <w:r>
        <w:rPr/>
        <w:t>вать и заботиться, с принятием относится к любым решениям наставляемого, может быть</w:t>
      </w:r>
      <w:r>
        <w:rPr>
          <w:spacing w:val="-11"/>
        </w:rPr>
        <w:t> </w:t>
      </w:r>
      <w:r>
        <w:rPr/>
        <w:t>гибким</w:t>
      </w:r>
      <w:r>
        <w:rPr>
          <w:spacing w:val="-11"/>
        </w:rPr>
        <w:t> </w:t>
      </w:r>
      <w:r>
        <w:rPr/>
        <w:t>и</w:t>
      </w:r>
      <w:r>
        <w:rPr>
          <w:spacing w:val="-11"/>
        </w:rPr>
        <w:t> </w:t>
      </w:r>
      <w:r>
        <w:rPr/>
        <w:t>открытым,</w:t>
      </w:r>
      <w:r>
        <w:rPr>
          <w:spacing w:val="-11"/>
        </w:rPr>
        <w:t> </w:t>
      </w:r>
      <w:r>
        <w:rPr/>
        <w:t>умеет</w:t>
      </w:r>
      <w:r>
        <w:rPr>
          <w:spacing w:val="-11"/>
        </w:rPr>
        <w:t> </w:t>
      </w:r>
      <w:r>
        <w:rPr/>
        <w:t>создавать</w:t>
      </w:r>
      <w:r>
        <w:rPr>
          <w:spacing w:val="-11"/>
        </w:rPr>
        <w:t> </w:t>
      </w:r>
      <w:r>
        <w:rPr/>
        <w:t>атмосферу</w:t>
      </w:r>
      <w:r>
        <w:rPr>
          <w:spacing w:val="-11"/>
        </w:rPr>
        <w:t> </w:t>
      </w:r>
      <w:r>
        <w:rPr/>
        <w:t>доверия</w:t>
      </w:r>
      <w:r>
        <w:rPr>
          <w:spacing w:val="-11"/>
        </w:rPr>
        <w:t> </w:t>
      </w:r>
      <w:r>
        <w:rPr/>
        <w:t>и</w:t>
      </w:r>
      <w:r>
        <w:rPr>
          <w:spacing w:val="-11"/>
        </w:rPr>
        <w:t> </w:t>
      </w:r>
      <w:r>
        <w:rPr/>
        <w:t>сохранять</w:t>
      </w:r>
      <w:r>
        <w:rPr>
          <w:spacing w:val="-11"/>
        </w:rPr>
        <w:t> </w:t>
      </w:r>
      <w:r>
        <w:rPr/>
        <w:t>конфиден- циальность, берет на себя ответственность, проявляется творчески, реалистически относится к миру, спокоен и уравновешен (Mentoring Methodological Framework for MINT</w:t>
      </w:r>
      <w:r>
        <w:rPr>
          <w:spacing w:val="-5"/>
        </w:rPr>
        <w:t> </w:t>
      </w:r>
      <w:r>
        <w:rPr/>
        <w:t>Project,</w:t>
      </w:r>
      <w:r>
        <w:rPr>
          <w:spacing w:val="-2"/>
        </w:rPr>
        <w:t> </w:t>
      </w:r>
      <w:r>
        <w:rPr/>
        <w:t>2021).</w:t>
      </w:r>
      <w:r>
        <w:rPr>
          <w:spacing w:val="-2"/>
        </w:rPr>
        <w:t> </w:t>
      </w:r>
      <w:r>
        <w:rPr/>
        <w:t>Также</w:t>
      </w:r>
      <w:r>
        <w:rPr>
          <w:spacing w:val="-2"/>
        </w:rPr>
        <w:t> </w:t>
      </w:r>
      <w:r>
        <w:rPr/>
        <w:t>он</w:t>
      </w:r>
      <w:r>
        <w:rPr>
          <w:spacing w:val="-2"/>
        </w:rPr>
        <w:t> </w:t>
      </w:r>
      <w:r>
        <w:rPr/>
        <w:t>понимает</w:t>
      </w:r>
      <w:r>
        <w:rPr>
          <w:spacing w:val="-2"/>
        </w:rPr>
        <w:t> </w:t>
      </w:r>
      <w:r>
        <w:rPr/>
        <w:t>(или</w:t>
      </w:r>
      <w:r>
        <w:rPr>
          <w:spacing w:val="-2"/>
        </w:rPr>
        <w:t> </w:t>
      </w:r>
      <w:r>
        <w:rPr/>
        <w:t>готов</w:t>
      </w:r>
      <w:r>
        <w:rPr>
          <w:spacing w:val="-2"/>
        </w:rPr>
        <w:t> </w:t>
      </w:r>
      <w:r>
        <w:rPr/>
        <w:t>узнать)</w:t>
      </w:r>
      <w:r>
        <w:rPr>
          <w:spacing w:val="-2"/>
        </w:rPr>
        <w:t> </w:t>
      </w:r>
      <w:r>
        <w:rPr/>
        <w:t>культурные</w:t>
      </w:r>
      <w:r>
        <w:rPr>
          <w:spacing w:val="-2"/>
        </w:rPr>
        <w:t> </w:t>
      </w:r>
      <w:r>
        <w:rPr/>
        <w:t>особенности ребенка</w:t>
      </w:r>
      <w:r>
        <w:rPr>
          <w:spacing w:val="-5"/>
        </w:rPr>
        <w:t> </w:t>
      </w:r>
      <w:r>
        <w:rPr/>
        <w:t>и</w:t>
      </w:r>
      <w:r>
        <w:rPr>
          <w:spacing w:val="-5"/>
        </w:rPr>
        <w:t> </w:t>
      </w:r>
      <w:r>
        <w:rPr/>
        <w:t>семьи,</w:t>
      </w:r>
      <w:r>
        <w:rPr>
          <w:spacing w:val="-5"/>
        </w:rPr>
        <w:t> </w:t>
      </w:r>
      <w:r>
        <w:rPr/>
        <w:t>с</w:t>
      </w:r>
      <w:r>
        <w:rPr>
          <w:spacing w:val="-5"/>
        </w:rPr>
        <w:t> </w:t>
      </w:r>
      <w:r>
        <w:rPr/>
        <w:t>которой</w:t>
      </w:r>
      <w:r>
        <w:rPr>
          <w:spacing w:val="-5"/>
        </w:rPr>
        <w:t> </w:t>
      </w:r>
      <w:r>
        <w:rPr/>
        <w:t>работает,</w:t>
      </w:r>
      <w:r>
        <w:rPr>
          <w:spacing w:val="-5"/>
        </w:rPr>
        <w:t> </w:t>
      </w:r>
      <w:r>
        <w:rPr/>
        <w:t>и</w:t>
      </w:r>
      <w:r>
        <w:rPr>
          <w:spacing w:val="-5"/>
        </w:rPr>
        <w:t> </w:t>
      </w:r>
      <w:r>
        <w:rPr/>
        <w:t>потенциальные</w:t>
      </w:r>
      <w:r>
        <w:rPr>
          <w:spacing w:val="-5"/>
        </w:rPr>
        <w:t> </w:t>
      </w:r>
      <w:r>
        <w:rPr/>
        <w:t>сложности,</w:t>
      </w:r>
      <w:r>
        <w:rPr>
          <w:spacing w:val="-5"/>
        </w:rPr>
        <w:t> </w:t>
      </w:r>
      <w:r>
        <w:rPr/>
        <w:t>с</w:t>
      </w:r>
      <w:r>
        <w:rPr>
          <w:spacing w:val="-5"/>
        </w:rPr>
        <w:t> </w:t>
      </w:r>
      <w:r>
        <w:rPr/>
        <w:t>которыми</w:t>
      </w:r>
      <w:r>
        <w:rPr>
          <w:spacing w:val="-5"/>
        </w:rPr>
        <w:t> </w:t>
      </w:r>
      <w:r>
        <w:rPr/>
        <w:t>могут сталкиваться люди в процессе миграции (Oberoi, 2016).</w:t>
      </w:r>
    </w:p>
    <w:p>
      <w:pPr>
        <w:pStyle w:val="ListParagraph"/>
        <w:numPr>
          <w:ilvl w:val="0"/>
          <w:numId w:val="127"/>
        </w:numPr>
        <w:tabs>
          <w:tab w:pos="423" w:val="left" w:leader="none"/>
        </w:tabs>
        <w:spacing w:line="227" w:lineRule="exact" w:before="41" w:after="0"/>
        <w:ind w:left="423" w:right="0" w:hanging="282"/>
        <w:jc w:val="both"/>
        <w:rPr>
          <w:i/>
          <w:sz w:val="20"/>
        </w:rPr>
      </w:pPr>
      <w:r>
        <w:rPr>
          <w:i/>
          <w:sz w:val="20"/>
        </w:rPr>
        <w:t>Отношения</w:t>
      </w:r>
      <w:r>
        <w:rPr>
          <w:i/>
          <w:spacing w:val="-4"/>
          <w:sz w:val="20"/>
        </w:rPr>
        <w:t> </w:t>
      </w:r>
      <w:r>
        <w:rPr>
          <w:i/>
          <w:sz w:val="20"/>
        </w:rPr>
        <w:t>наставника</w:t>
      </w:r>
      <w:r>
        <w:rPr>
          <w:i/>
          <w:spacing w:val="-2"/>
          <w:sz w:val="20"/>
        </w:rPr>
        <w:t> </w:t>
      </w:r>
      <w:r>
        <w:rPr>
          <w:i/>
          <w:sz w:val="20"/>
        </w:rPr>
        <w:t>и</w:t>
      </w:r>
      <w:r>
        <w:rPr>
          <w:i/>
          <w:spacing w:val="-2"/>
          <w:sz w:val="20"/>
        </w:rPr>
        <w:t> подопечного</w:t>
      </w:r>
    </w:p>
    <w:p>
      <w:pPr>
        <w:pStyle w:val="BodyText"/>
        <w:spacing w:line="224" w:lineRule="exact"/>
        <w:ind w:left="425" w:right="0" w:firstLine="0"/>
        <w:jc w:val="left"/>
      </w:pPr>
      <w:r>
        <w:rPr/>
        <w:t>Наставник</w:t>
      </w:r>
      <w:r>
        <w:rPr>
          <w:spacing w:val="1"/>
        </w:rPr>
        <w:t> </w:t>
      </w:r>
      <w:r>
        <w:rPr/>
        <w:t>не</w:t>
      </w:r>
      <w:r>
        <w:rPr>
          <w:spacing w:val="1"/>
        </w:rPr>
        <w:t> </w:t>
      </w:r>
      <w:r>
        <w:rPr>
          <w:spacing w:val="-2"/>
        </w:rPr>
        <w:t>является:</w:t>
      </w:r>
    </w:p>
    <w:p>
      <w:pPr>
        <w:pStyle w:val="ListParagraph"/>
        <w:numPr>
          <w:ilvl w:val="1"/>
          <w:numId w:val="127"/>
        </w:numPr>
        <w:tabs>
          <w:tab w:pos="708" w:val="left" w:leader="none"/>
        </w:tabs>
        <w:spacing w:line="232" w:lineRule="auto" w:before="2" w:after="0"/>
        <w:ind w:left="708" w:right="139" w:hanging="284"/>
        <w:jc w:val="left"/>
        <w:rPr>
          <w:sz w:val="20"/>
        </w:rPr>
      </w:pPr>
      <w:r>
        <w:rPr>
          <w:sz w:val="20"/>
        </w:rPr>
        <w:t>родителем и не претендует на эту роль, даже если ситуация дома у ребенка</w:t>
      </w:r>
      <w:r>
        <w:rPr>
          <w:spacing w:val="40"/>
          <w:sz w:val="20"/>
        </w:rPr>
        <w:t> </w:t>
      </w:r>
      <w:r>
        <w:rPr>
          <w:sz w:val="20"/>
        </w:rPr>
        <w:t>вызывает такой запрос;</w:t>
      </w:r>
    </w:p>
    <w:p>
      <w:pPr>
        <w:pStyle w:val="ListParagraph"/>
        <w:numPr>
          <w:ilvl w:val="1"/>
          <w:numId w:val="127"/>
        </w:numPr>
        <w:tabs>
          <w:tab w:pos="708" w:val="left" w:leader="none"/>
        </w:tabs>
        <w:spacing w:line="223" w:lineRule="exact" w:before="0" w:after="0"/>
        <w:ind w:left="708" w:right="0" w:hanging="283"/>
        <w:jc w:val="left"/>
        <w:rPr>
          <w:sz w:val="20"/>
        </w:rPr>
      </w:pPr>
      <w:r>
        <w:rPr>
          <w:sz w:val="20"/>
        </w:rPr>
        <w:t>всезнайкой</w:t>
      </w:r>
      <w:r>
        <w:rPr>
          <w:spacing w:val="-9"/>
          <w:sz w:val="20"/>
        </w:rPr>
        <w:t> </w:t>
      </w:r>
      <w:r>
        <w:rPr>
          <w:sz w:val="20"/>
        </w:rPr>
        <w:t>—</w:t>
      </w:r>
      <w:r>
        <w:rPr>
          <w:spacing w:val="-5"/>
          <w:sz w:val="20"/>
        </w:rPr>
        <w:t> </w:t>
      </w:r>
      <w:r>
        <w:rPr>
          <w:sz w:val="20"/>
        </w:rPr>
        <w:t>доверие</w:t>
      </w:r>
      <w:r>
        <w:rPr>
          <w:spacing w:val="-5"/>
          <w:sz w:val="20"/>
        </w:rPr>
        <w:t> </w:t>
      </w:r>
      <w:r>
        <w:rPr>
          <w:sz w:val="20"/>
        </w:rPr>
        <w:t>ребенка</w:t>
      </w:r>
      <w:r>
        <w:rPr>
          <w:spacing w:val="-5"/>
          <w:sz w:val="20"/>
        </w:rPr>
        <w:t> </w:t>
      </w:r>
      <w:r>
        <w:rPr>
          <w:sz w:val="20"/>
        </w:rPr>
        <w:t>легко</w:t>
      </w:r>
      <w:r>
        <w:rPr>
          <w:spacing w:val="-6"/>
          <w:sz w:val="20"/>
        </w:rPr>
        <w:t> </w:t>
      </w:r>
      <w:r>
        <w:rPr>
          <w:sz w:val="20"/>
        </w:rPr>
        <w:t>потерять,</w:t>
      </w:r>
      <w:r>
        <w:rPr>
          <w:spacing w:val="-5"/>
          <w:sz w:val="20"/>
        </w:rPr>
        <w:t> </w:t>
      </w:r>
      <w:r>
        <w:rPr>
          <w:sz w:val="20"/>
        </w:rPr>
        <w:t>если</w:t>
      </w:r>
      <w:r>
        <w:rPr>
          <w:spacing w:val="-6"/>
          <w:sz w:val="20"/>
        </w:rPr>
        <w:t> </w:t>
      </w:r>
      <w:r>
        <w:rPr>
          <w:sz w:val="20"/>
        </w:rPr>
        <w:t>дать</w:t>
      </w:r>
      <w:r>
        <w:rPr>
          <w:spacing w:val="-6"/>
          <w:sz w:val="20"/>
        </w:rPr>
        <w:t> </w:t>
      </w:r>
      <w:r>
        <w:rPr>
          <w:sz w:val="20"/>
        </w:rPr>
        <w:t>неверный</w:t>
      </w:r>
      <w:r>
        <w:rPr>
          <w:spacing w:val="-6"/>
          <w:sz w:val="20"/>
        </w:rPr>
        <w:t> </w:t>
      </w:r>
      <w:r>
        <w:rPr>
          <w:spacing w:val="-2"/>
          <w:sz w:val="20"/>
        </w:rPr>
        <w:t>совет;</w:t>
      </w:r>
    </w:p>
    <w:p>
      <w:pPr>
        <w:pStyle w:val="ListParagraph"/>
        <w:numPr>
          <w:ilvl w:val="1"/>
          <w:numId w:val="127"/>
        </w:numPr>
        <w:tabs>
          <w:tab w:pos="708" w:val="left" w:leader="none"/>
        </w:tabs>
        <w:spacing w:line="232" w:lineRule="auto" w:before="3" w:after="0"/>
        <w:ind w:left="708" w:right="139" w:hanging="284"/>
        <w:jc w:val="left"/>
        <w:rPr>
          <w:sz w:val="20"/>
        </w:rPr>
      </w:pPr>
      <w:r>
        <w:rPr>
          <w:sz w:val="20"/>
        </w:rPr>
        <w:t>профессиональным</w:t>
      </w:r>
      <w:r>
        <w:rPr>
          <w:spacing w:val="-7"/>
          <w:sz w:val="20"/>
        </w:rPr>
        <w:t> </w:t>
      </w:r>
      <w:r>
        <w:rPr>
          <w:sz w:val="20"/>
        </w:rPr>
        <w:t>педагогом</w:t>
      </w:r>
      <w:r>
        <w:rPr>
          <w:spacing w:val="-7"/>
          <w:sz w:val="20"/>
        </w:rPr>
        <w:t> </w:t>
      </w:r>
      <w:r>
        <w:rPr>
          <w:sz w:val="20"/>
        </w:rPr>
        <w:t>или</w:t>
      </w:r>
      <w:r>
        <w:rPr>
          <w:spacing w:val="-7"/>
          <w:sz w:val="20"/>
        </w:rPr>
        <w:t> </w:t>
      </w:r>
      <w:r>
        <w:rPr>
          <w:sz w:val="20"/>
        </w:rPr>
        <w:t>психологом</w:t>
      </w:r>
      <w:r>
        <w:rPr>
          <w:spacing w:val="-7"/>
          <w:sz w:val="20"/>
        </w:rPr>
        <w:t> </w:t>
      </w:r>
      <w:r>
        <w:rPr>
          <w:sz w:val="20"/>
        </w:rPr>
        <w:t>и</w:t>
      </w:r>
      <w:r>
        <w:rPr>
          <w:spacing w:val="-7"/>
          <w:sz w:val="20"/>
        </w:rPr>
        <w:t> </w:t>
      </w:r>
      <w:r>
        <w:rPr>
          <w:sz w:val="20"/>
        </w:rPr>
        <w:t>не</w:t>
      </w:r>
      <w:r>
        <w:rPr>
          <w:spacing w:val="-7"/>
          <w:sz w:val="20"/>
        </w:rPr>
        <w:t> </w:t>
      </w:r>
      <w:r>
        <w:rPr>
          <w:sz w:val="20"/>
        </w:rPr>
        <w:t>может</w:t>
      </w:r>
      <w:r>
        <w:rPr>
          <w:spacing w:val="-7"/>
          <w:sz w:val="20"/>
        </w:rPr>
        <w:t> </w:t>
      </w:r>
      <w:r>
        <w:rPr>
          <w:sz w:val="20"/>
        </w:rPr>
        <w:t>их</w:t>
      </w:r>
      <w:r>
        <w:rPr>
          <w:spacing w:val="-7"/>
          <w:sz w:val="20"/>
        </w:rPr>
        <w:t> </w:t>
      </w:r>
      <w:r>
        <w:rPr>
          <w:sz w:val="20"/>
        </w:rPr>
        <w:t>заменить,</w:t>
      </w:r>
      <w:r>
        <w:rPr>
          <w:spacing w:val="-7"/>
          <w:sz w:val="20"/>
        </w:rPr>
        <w:t> </w:t>
      </w:r>
      <w:r>
        <w:rPr>
          <w:sz w:val="20"/>
        </w:rPr>
        <w:t>хотя</w:t>
      </w:r>
      <w:r>
        <w:rPr>
          <w:spacing w:val="-7"/>
          <w:sz w:val="20"/>
        </w:rPr>
        <w:t> </w:t>
      </w:r>
      <w:r>
        <w:rPr>
          <w:sz w:val="20"/>
        </w:rPr>
        <w:t>и может предложить помощь по запросу подопечного;</w:t>
      </w:r>
    </w:p>
    <w:p>
      <w:pPr>
        <w:pStyle w:val="ListParagraph"/>
        <w:numPr>
          <w:ilvl w:val="1"/>
          <w:numId w:val="127"/>
        </w:numPr>
        <w:tabs>
          <w:tab w:pos="708" w:val="left" w:leader="none"/>
        </w:tabs>
        <w:spacing w:line="225" w:lineRule="exact" w:before="0" w:after="0"/>
        <w:ind w:left="708" w:right="0" w:hanging="283"/>
        <w:jc w:val="left"/>
        <w:rPr>
          <w:sz w:val="20"/>
        </w:rPr>
      </w:pPr>
      <w:r>
        <w:rPr>
          <w:sz w:val="20"/>
        </w:rPr>
        <w:t>спонсором,</w:t>
      </w:r>
      <w:r>
        <w:rPr>
          <w:spacing w:val="-3"/>
          <w:sz w:val="20"/>
        </w:rPr>
        <w:t> </w:t>
      </w:r>
      <w:r>
        <w:rPr>
          <w:sz w:val="20"/>
        </w:rPr>
        <w:t>это</w:t>
      </w:r>
      <w:r>
        <w:rPr>
          <w:spacing w:val="-3"/>
          <w:sz w:val="20"/>
        </w:rPr>
        <w:t> </w:t>
      </w:r>
      <w:r>
        <w:rPr>
          <w:sz w:val="20"/>
        </w:rPr>
        <w:t>осложняет</w:t>
      </w:r>
      <w:r>
        <w:rPr>
          <w:spacing w:val="-3"/>
          <w:sz w:val="20"/>
        </w:rPr>
        <w:t> </w:t>
      </w:r>
      <w:r>
        <w:rPr>
          <w:sz w:val="20"/>
        </w:rPr>
        <w:t>взаимодействие</w:t>
      </w:r>
      <w:r>
        <w:rPr>
          <w:spacing w:val="-3"/>
          <w:sz w:val="20"/>
        </w:rPr>
        <w:t> </w:t>
      </w:r>
      <w:r>
        <w:rPr>
          <w:sz w:val="20"/>
        </w:rPr>
        <w:t>с</w:t>
      </w:r>
      <w:r>
        <w:rPr>
          <w:spacing w:val="-2"/>
          <w:sz w:val="20"/>
        </w:rPr>
        <w:t> семьей;</w:t>
      </w:r>
    </w:p>
    <w:p>
      <w:pPr>
        <w:pStyle w:val="ListParagraph"/>
        <w:numPr>
          <w:ilvl w:val="1"/>
          <w:numId w:val="127"/>
        </w:numPr>
        <w:tabs>
          <w:tab w:pos="708" w:val="left" w:leader="none"/>
        </w:tabs>
        <w:spacing w:line="240" w:lineRule="auto" w:before="0" w:after="0"/>
        <w:ind w:left="708" w:right="139" w:hanging="284"/>
        <w:jc w:val="left"/>
        <w:rPr>
          <w:sz w:val="20"/>
        </w:rPr>
      </w:pPr>
      <w:r>
        <w:rPr>
          <w:sz w:val="20"/>
        </w:rPr>
        <w:t>спасителем, его задача – не нарушить баланс власти, а помочь ребенку полу- чить поддержку и адаптироваться самостоятельно.</w:t>
      </w:r>
    </w:p>
    <w:p>
      <w:pPr>
        <w:pStyle w:val="BodyText"/>
        <w:spacing w:line="235" w:lineRule="auto"/>
      </w:pPr>
      <w:r>
        <w:rPr/>
        <w:t>Если</w:t>
      </w:r>
      <w:r>
        <w:rPr>
          <w:spacing w:val="-2"/>
        </w:rPr>
        <w:t> </w:t>
      </w:r>
      <w:r>
        <w:rPr/>
        <w:t>наставником</w:t>
      </w:r>
      <w:r>
        <w:rPr>
          <w:spacing w:val="-2"/>
        </w:rPr>
        <w:t> </w:t>
      </w:r>
      <w:r>
        <w:rPr/>
        <w:t>становится</w:t>
      </w:r>
      <w:r>
        <w:rPr>
          <w:spacing w:val="-2"/>
        </w:rPr>
        <w:t> </w:t>
      </w:r>
      <w:r>
        <w:rPr/>
        <w:t>педагог,</w:t>
      </w:r>
      <w:r>
        <w:rPr>
          <w:spacing w:val="-2"/>
        </w:rPr>
        <w:t> </w:t>
      </w:r>
      <w:r>
        <w:rPr/>
        <w:t>у</w:t>
      </w:r>
      <w:r>
        <w:rPr>
          <w:spacing w:val="-2"/>
        </w:rPr>
        <w:t> </w:t>
      </w:r>
      <w:r>
        <w:rPr/>
        <w:t>него</w:t>
      </w:r>
      <w:r>
        <w:rPr>
          <w:spacing w:val="-2"/>
        </w:rPr>
        <w:t> </w:t>
      </w:r>
      <w:r>
        <w:rPr/>
        <w:t>не</w:t>
      </w:r>
      <w:r>
        <w:rPr>
          <w:spacing w:val="-2"/>
        </w:rPr>
        <w:t> </w:t>
      </w:r>
      <w:r>
        <w:rPr/>
        <w:t>должно</w:t>
      </w:r>
      <w:r>
        <w:rPr>
          <w:spacing w:val="-2"/>
        </w:rPr>
        <w:t> </w:t>
      </w:r>
      <w:r>
        <w:rPr/>
        <w:t>быть</w:t>
      </w:r>
      <w:r>
        <w:rPr>
          <w:spacing w:val="-2"/>
        </w:rPr>
        <w:t> </w:t>
      </w:r>
      <w:r>
        <w:rPr/>
        <w:t>таких</w:t>
      </w:r>
      <w:r>
        <w:rPr>
          <w:spacing w:val="-2"/>
        </w:rPr>
        <w:t> </w:t>
      </w:r>
      <w:r>
        <w:rPr/>
        <w:t>отношений</w:t>
      </w:r>
      <w:r>
        <w:rPr>
          <w:spacing w:val="-2"/>
        </w:rPr>
        <w:t> </w:t>
      </w:r>
      <w:r>
        <w:rPr/>
        <w:t>с ребенком,</w:t>
      </w:r>
      <w:r>
        <w:rPr>
          <w:spacing w:val="-9"/>
        </w:rPr>
        <w:t> </w:t>
      </w:r>
      <w:r>
        <w:rPr/>
        <w:t>которые</w:t>
      </w:r>
      <w:r>
        <w:rPr>
          <w:spacing w:val="-9"/>
        </w:rPr>
        <w:t> </w:t>
      </w:r>
      <w:r>
        <w:rPr/>
        <w:t>характеризуются</w:t>
      </w:r>
      <w:r>
        <w:rPr>
          <w:spacing w:val="-9"/>
        </w:rPr>
        <w:t> </w:t>
      </w:r>
      <w:r>
        <w:rPr/>
        <w:t>влиянием</w:t>
      </w:r>
      <w:r>
        <w:rPr>
          <w:spacing w:val="-9"/>
        </w:rPr>
        <w:t> </w:t>
      </w:r>
      <w:r>
        <w:rPr/>
        <w:t>и</w:t>
      </w:r>
      <w:r>
        <w:rPr>
          <w:spacing w:val="-9"/>
        </w:rPr>
        <w:t> </w:t>
      </w:r>
      <w:r>
        <w:rPr/>
        <w:t>властью.</w:t>
      </w:r>
      <w:r>
        <w:rPr>
          <w:spacing w:val="-9"/>
        </w:rPr>
        <w:t> </w:t>
      </w:r>
      <w:r>
        <w:rPr/>
        <w:t>Он</w:t>
      </w:r>
      <w:r>
        <w:rPr>
          <w:spacing w:val="-9"/>
        </w:rPr>
        <w:t> </w:t>
      </w:r>
      <w:r>
        <w:rPr/>
        <w:t>не</w:t>
      </w:r>
      <w:r>
        <w:rPr>
          <w:spacing w:val="-9"/>
        </w:rPr>
        <w:t> </w:t>
      </w:r>
      <w:r>
        <w:rPr/>
        <w:t>может</w:t>
      </w:r>
      <w:r>
        <w:rPr>
          <w:spacing w:val="-9"/>
        </w:rPr>
        <w:t> </w:t>
      </w:r>
      <w:r>
        <w:rPr/>
        <w:t>оценивать</w:t>
      </w:r>
      <w:r>
        <w:rPr>
          <w:spacing w:val="-9"/>
        </w:rPr>
        <w:t> </w:t>
      </w:r>
      <w:r>
        <w:rPr/>
        <w:t>ре- бенка</w:t>
      </w:r>
      <w:r>
        <w:rPr>
          <w:spacing w:val="-1"/>
        </w:rPr>
        <w:t> </w:t>
      </w:r>
      <w:r>
        <w:rPr/>
        <w:t>в</w:t>
      </w:r>
      <w:r>
        <w:rPr>
          <w:spacing w:val="-2"/>
        </w:rPr>
        <w:t> </w:t>
      </w:r>
      <w:r>
        <w:rPr/>
        <w:t>школе,</w:t>
      </w:r>
      <w:r>
        <w:rPr>
          <w:spacing w:val="-2"/>
        </w:rPr>
        <w:t> </w:t>
      </w:r>
      <w:r>
        <w:rPr/>
        <w:t>смешивать</w:t>
      </w:r>
      <w:r>
        <w:rPr>
          <w:spacing w:val="-2"/>
        </w:rPr>
        <w:t> </w:t>
      </w:r>
      <w:r>
        <w:rPr/>
        <w:t>ролевые</w:t>
      </w:r>
      <w:r>
        <w:rPr>
          <w:spacing w:val="-2"/>
        </w:rPr>
        <w:t> </w:t>
      </w:r>
      <w:r>
        <w:rPr/>
        <w:t>позиции</w:t>
      </w:r>
      <w:r>
        <w:rPr>
          <w:spacing w:val="-1"/>
        </w:rPr>
        <w:t> </w:t>
      </w:r>
      <w:r>
        <w:rPr/>
        <w:t>(например,</w:t>
      </w:r>
      <w:r>
        <w:rPr>
          <w:spacing w:val="-2"/>
        </w:rPr>
        <w:t> </w:t>
      </w:r>
      <w:r>
        <w:rPr/>
        <w:t>классного</w:t>
      </w:r>
      <w:r>
        <w:rPr>
          <w:spacing w:val="-2"/>
        </w:rPr>
        <w:t> </w:t>
      </w:r>
      <w:r>
        <w:rPr/>
        <w:t>руководителя</w:t>
      </w:r>
      <w:r>
        <w:rPr>
          <w:spacing w:val="-2"/>
        </w:rPr>
        <w:t> </w:t>
      </w:r>
      <w:r>
        <w:rPr/>
        <w:t>или</w:t>
      </w:r>
    </w:p>
    <w:p>
      <w:pPr>
        <w:pStyle w:val="BodyText"/>
        <w:spacing w:after="0" w:line="235" w:lineRule="auto"/>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2" w:lineRule="auto" w:before="118"/>
        <w:ind w:firstLine="0"/>
      </w:pPr>
      <w:r>
        <w:rPr/>
        <w:t>учителя-предметника – и наставника). Наставником может быть ведущий дополни- тельного кружка или клуба по интересам.</w:t>
      </w:r>
    </w:p>
    <w:p>
      <w:pPr>
        <w:pStyle w:val="ListParagraph"/>
        <w:numPr>
          <w:ilvl w:val="0"/>
          <w:numId w:val="127"/>
        </w:numPr>
        <w:tabs>
          <w:tab w:pos="423" w:val="left" w:leader="none"/>
        </w:tabs>
        <w:spacing w:line="226" w:lineRule="exact" w:before="49" w:after="0"/>
        <w:ind w:left="423" w:right="0" w:hanging="282"/>
        <w:jc w:val="both"/>
        <w:rPr>
          <w:sz w:val="20"/>
        </w:rPr>
      </w:pPr>
      <w:r>
        <w:rPr>
          <w:i/>
          <w:spacing w:val="-2"/>
          <w:sz w:val="20"/>
        </w:rPr>
        <w:t>Количество</w:t>
      </w:r>
      <w:r>
        <w:rPr>
          <w:i/>
          <w:spacing w:val="-1"/>
          <w:sz w:val="20"/>
        </w:rPr>
        <w:t> </w:t>
      </w:r>
      <w:r>
        <w:rPr>
          <w:i/>
          <w:spacing w:val="-2"/>
          <w:sz w:val="20"/>
        </w:rPr>
        <w:t>человек</w:t>
      </w:r>
    </w:p>
    <w:p>
      <w:pPr>
        <w:pStyle w:val="ListParagraph"/>
        <w:numPr>
          <w:ilvl w:val="1"/>
          <w:numId w:val="127"/>
        </w:numPr>
        <w:tabs>
          <w:tab w:pos="708" w:val="left" w:leader="none"/>
        </w:tabs>
        <w:spacing w:line="232" w:lineRule="auto" w:before="1" w:after="0"/>
        <w:ind w:left="708" w:right="139" w:hanging="284"/>
        <w:jc w:val="both"/>
        <w:rPr>
          <w:sz w:val="20"/>
        </w:rPr>
      </w:pPr>
      <w:r>
        <w:rPr>
          <w:spacing w:val="-4"/>
          <w:sz w:val="20"/>
        </w:rPr>
        <w:t>Индивидуальное наставничество предполагает, что один наставник курирует од- </w:t>
      </w:r>
      <w:r>
        <w:rPr>
          <w:sz w:val="20"/>
        </w:rPr>
        <w:t>ного</w:t>
      </w:r>
      <w:r>
        <w:rPr>
          <w:spacing w:val="-7"/>
          <w:sz w:val="20"/>
        </w:rPr>
        <w:t> </w:t>
      </w:r>
      <w:r>
        <w:rPr>
          <w:sz w:val="20"/>
        </w:rPr>
        <w:t>ребенка/подростка.</w:t>
      </w:r>
      <w:r>
        <w:rPr>
          <w:spacing w:val="-7"/>
          <w:sz w:val="20"/>
        </w:rPr>
        <w:t> </w:t>
      </w:r>
      <w:r>
        <w:rPr>
          <w:sz w:val="20"/>
        </w:rPr>
        <w:t>Они</w:t>
      </w:r>
      <w:r>
        <w:rPr>
          <w:spacing w:val="-7"/>
          <w:sz w:val="20"/>
        </w:rPr>
        <w:t> </w:t>
      </w:r>
      <w:r>
        <w:rPr>
          <w:sz w:val="20"/>
        </w:rPr>
        <w:t>встречаются</w:t>
      </w:r>
      <w:r>
        <w:rPr>
          <w:spacing w:val="-7"/>
          <w:sz w:val="20"/>
        </w:rPr>
        <w:t> </w:t>
      </w:r>
      <w:r>
        <w:rPr>
          <w:sz w:val="20"/>
        </w:rPr>
        <w:t>минимум</w:t>
      </w:r>
      <w:r>
        <w:rPr>
          <w:spacing w:val="-7"/>
          <w:sz w:val="20"/>
        </w:rPr>
        <w:t> </w:t>
      </w:r>
      <w:r>
        <w:rPr>
          <w:sz w:val="20"/>
        </w:rPr>
        <w:t>по</w:t>
      </w:r>
      <w:r>
        <w:rPr>
          <w:spacing w:val="-7"/>
          <w:sz w:val="20"/>
        </w:rPr>
        <w:t> </w:t>
      </w:r>
      <w:r>
        <w:rPr>
          <w:sz w:val="20"/>
        </w:rPr>
        <w:t>четыре</w:t>
      </w:r>
      <w:r>
        <w:rPr>
          <w:spacing w:val="-7"/>
          <w:sz w:val="20"/>
        </w:rPr>
        <w:t> </w:t>
      </w:r>
      <w:r>
        <w:rPr>
          <w:sz w:val="20"/>
        </w:rPr>
        <w:t>часа</w:t>
      </w:r>
      <w:r>
        <w:rPr>
          <w:spacing w:val="-7"/>
          <w:sz w:val="20"/>
        </w:rPr>
        <w:t> </w:t>
      </w:r>
      <w:r>
        <w:rPr>
          <w:sz w:val="20"/>
        </w:rPr>
        <w:t>в</w:t>
      </w:r>
      <w:r>
        <w:rPr>
          <w:spacing w:val="-7"/>
          <w:sz w:val="20"/>
        </w:rPr>
        <w:t> </w:t>
      </w:r>
      <w:r>
        <w:rPr>
          <w:sz w:val="20"/>
        </w:rPr>
        <w:t>месяц</w:t>
      </w:r>
      <w:r>
        <w:rPr>
          <w:spacing w:val="-7"/>
          <w:sz w:val="20"/>
        </w:rPr>
        <w:t> </w:t>
      </w:r>
      <w:r>
        <w:rPr>
          <w:sz w:val="20"/>
        </w:rPr>
        <w:t>на </w:t>
      </w:r>
      <w:r>
        <w:rPr>
          <w:spacing w:val="-4"/>
          <w:sz w:val="20"/>
        </w:rPr>
        <w:t>протяжении</w:t>
      </w:r>
      <w:r>
        <w:rPr>
          <w:spacing w:val="-8"/>
          <w:sz w:val="20"/>
        </w:rPr>
        <w:t> </w:t>
      </w:r>
      <w:r>
        <w:rPr>
          <w:spacing w:val="-4"/>
          <w:sz w:val="20"/>
        </w:rPr>
        <w:t>года.</w:t>
      </w:r>
      <w:r>
        <w:rPr>
          <w:spacing w:val="-8"/>
          <w:sz w:val="20"/>
        </w:rPr>
        <w:t> </w:t>
      </w:r>
      <w:r>
        <w:rPr>
          <w:spacing w:val="-4"/>
          <w:sz w:val="20"/>
        </w:rPr>
        <w:t>Наставляемые</w:t>
      </w:r>
      <w:r>
        <w:rPr>
          <w:spacing w:val="-8"/>
          <w:sz w:val="20"/>
        </w:rPr>
        <w:t> </w:t>
      </w:r>
      <w:r>
        <w:rPr>
          <w:spacing w:val="-4"/>
          <w:sz w:val="20"/>
        </w:rPr>
        <w:t>изначально</w:t>
      </w:r>
      <w:r>
        <w:rPr>
          <w:spacing w:val="-8"/>
          <w:sz w:val="20"/>
        </w:rPr>
        <w:t> </w:t>
      </w:r>
      <w:r>
        <w:rPr>
          <w:spacing w:val="-4"/>
          <w:sz w:val="20"/>
        </w:rPr>
        <w:t>знают,</w:t>
      </w:r>
      <w:r>
        <w:rPr>
          <w:spacing w:val="-8"/>
          <w:sz w:val="20"/>
        </w:rPr>
        <w:t> </w:t>
      </w:r>
      <w:r>
        <w:rPr>
          <w:spacing w:val="-4"/>
          <w:sz w:val="20"/>
        </w:rPr>
        <w:t>на</w:t>
      </w:r>
      <w:r>
        <w:rPr>
          <w:spacing w:val="-8"/>
          <w:sz w:val="20"/>
        </w:rPr>
        <w:t> </w:t>
      </w:r>
      <w:r>
        <w:rPr>
          <w:spacing w:val="-4"/>
          <w:sz w:val="20"/>
        </w:rPr>
        <w:t>какую</w:t>
      </w:r>
      <w:r>
        <w:rPr>
          <w:spacing w:val="-8"/>
          <w:sz w:val="20"/>
        </w:rPr>
        <w:t> </w:t>
      </w:r>
      <w:r>
        <w:rPr>
          <w:spacing w:val="-4"/>
          <w:sz w:val="20"/>
        </w:rPr>
        <w:t>продолжительность </w:t>
      </w:r>
      <w:r>
        <w:rPr>
          <w:sz w:val="20"/>
        </w:rPr>
        <w:t>отношений</w:t>
      </w:r>
      <w:r>
        <w:rPr>
          <w:spacing w:val="-11"/>
          <w:sz w:val="20"/>
        </w:rPr>
        <w:t> </w:t>
      </w:r>
      <w:r>
        <w:rPr>
          <w:sz w:val="20"/>
        </w:rPr>
        <w:t>они</w:t>
      </w:r>
      <w:r>
        <w:rPr>
          <w:spacing w:val="-11"/>
          <w:sz w:val="20"/>
        </w:rPr>
        <w:t> </w:t>
      </w:r>
      <w:r>
        <w:rPr>
          <w:sz w:val="20"/>
        </w:rPr>
        <w:t>могут</w:t>
      </w:r>
      <w:r>
        <w:rPr>
          <w:spacing w:val="-11"/>
          <w:sz w:val="20"/>
        </w:rPr>
        <w:t> </w:t>
      </w:r>
      <w:r>
        <w:rPr>
          <w:sz w:val="20"/>
        </w:rPr>
        <w:t>рассчитывать,</w:t>
      </w:r>
      <w:r>
        <w:rPr>
          <w:spacing w:val="-11"/>
          <w:sz w:val="20"/>
        </w:rPr>
        <w:t> </w:t>
      </w:r>
      <w:r>
        <w:rPr>
          <w:sz w:val="20"/>
        </w:rPr>
        <w:t>чтобы</w:t>
      </w:r>
      <w:r>
        <w:rPr>
          <w:spacing w:val="-11"/>
          <w:sz w:val="20"/>
        </w:rPr>
        <w:t> </w:t>
      </w:r>
      <w:r>
        <w:rPr>
          <w:sz w:val="20"/>
        </w:rPr>
        <w:t>избежать</w:t>
      </w:r>
      <w:r>
        <w:rPr>
          <w:spacing w:val="-11"/>
          <w:sz w:val="20"/>
        </w:rPr>
        <w:t> </w:t>
      </w:r>
      <w:r>
        <w:rPr>
          <w:sz w:val="20"/>
        </w:rPr>
        <w:t>завышенных</w:t>
      </w:r>
      <w:r>
        <w:rPr>
          <w:spacing w:val="-11"/>
          <w:sz w:val="20"/>
        </w:rPr>
        <w:t> </w:t>
      </w:r>
      <w:r>
        <w:rPr>
          <w:sz w:val="20"/>
        </w:rPr>
        <w:t>ожиданий.</w:t>
      </w:r>
    </w:p>
    <w:p>
      <w:pPr>
        <w:pStyle w:val="ListParagraph"/>
        <w:numPr>
          <w:ilvl w:val="1"/>
          <w:numId w:val="127"/>
        </w:numPr>
        <w:tabs>
          <w:tab w:pos="708" w:val="left" w:leader="none"/>
        </w:tabs>
        <w:spacing w:line="232" w:lineRule="auto" w:before="0" w:after="0"/>
        <w:ind w:left="708" w:right="139" w:hanging="284"/>
        <w:jc w:val="both"/>
        <w:rPr>
          <w:sz w:val="20"/>
        </w:rPr>
      </w:pPr>
      <w:r>
        <w:rPr>
          <w:spacing w:val="-2"/>
          <w:sz w:val="20"/>
        </w:rPr>
        <w:t>Групповое наставничество подразумевает работу одного наставника максимум </w:t>
      </w:r>
      <w:r>
        <w:rPr>
          <w:sz w:val="20"/>
        </w:rPr>
        <w:t>с четырьмя людьми, чтобы удавалось уделять внимание каждому и чтобы на- ставляемые могли комфортно взаимодействовать между собой (Наставниче- ство в системе образования России. Практическое пособие для кураторов в образовательных организациях, 2016).</w:t>
      </w:r>
    </w:p>
    <w:p>
      <w:pPr>
        <w:pStyle w:val="ListParagraph"/>
        <w:numPr>
          <w:ilvl w:val="1"/>
          <w:numId w:val="127"/>
        </w:numPr>
        <w:tabs>
          <w:tab w:pos="708" w:val="left" w:leader="none"/>
        </w:tabs>
        <w:spacing w:line="232" w:lineRule="auto" w:before="0" w:after="0"/>
        <w:ind w:left="708" w:right="139" w:hanging="284"/>
        <w:jc w:val="both"/>
        <w:rPr>
          <w:sz w:val="20"/>
        </w:rPr>
      </w:pPr>
      <w:r>
        <w:rPr>
          <w:sz w:val="20"/>
        </w:rPr>
        <w:t>Важнее сосредоточиться на качестве отношений, чем на количестве пар «на- ставник – наставляемый» и объеме программы (Prieto-Flores, 2022).</w:t>
      </w:r>
    </w:p>
    <w:p>
      <w:pPr>
        <w:pStyle w:val="ListParagraph"/>
        <w:numPr>
          <w:ilvl w:val="0"/>
          <w:numId w:val="127"/>
        </w:numPr>
        <w:tabs>
          <w:tab w:pos="544" w:val="left" w:leader="none"/>
        </w:tabs>
        <w:spacing w:line="226" w:lineRule="exact" w:before="39" w:after="0"/>
        <w:ind w:left="544" w:right="0" w:hanging="119"/>
        <w:jc w:val="both"/>
        <w:rPr>
          <w:i/>
          <w:sz w:val="20"/>
        </w:rPr>
      </w:pPr>
      <w:r>
        <w:rPr>
          <w:i/>
          <w:sz w:val="20"/>
        </w:rPr>
        <w:t>Интеграция</w:t>
      </w:r>
      <w:r>
        <w:rPr>
          <w:i/>
          <w:spacing w:val="-6"/>
          <w:sz w:val="20"/>
        </w:rPr>
        <w:t> </w:t>
      </w:r>
      <w:r>
        <w:rPr>
          <w:i/>
          <w:sz w:val="20"/>
        </w:rPr>
        <w:t>в</w:t>
      </w:r>
      <w:r>
        <w:rPr>
          <w:i/>
          <w:spacing w:val="-7"/>
          <w:sz w:val="20"/>
        </w:rPr>
        <w:t> </w:t>
      </w:r>
      <w:r>
        <w:rPr>
          <w:i/>
          <w:sz w:val="20"/>
        </w:rPr>
        <w:t>школьную</w:t>
      </w:r>
      <w:r>
        <w:rPr>
          <w:i/>
          <w:spacing w:val="-6"/>
          <w:sz w:val="20"/>
        </w:rPr>
        <w:t> </w:t>
      </w:r>
      <w:r>
        <w:rPr>
          <w:i/>
          <w:spacing w:val="-2"/>
          <w:sz w:val="20"/>
        </w:rPr>
        <w:t>жизнь</w:t>
      </w:r>
    </w:p>
    <w:p>
      <w:pPr>
        <w:pStyle w:val="ListParagraph"/>
        <w:numPr>
          <w:ilvl w:val="1"/>
          <w:numId w:val="127"/>
        </w:numPr>
        <w:tabs>
          <w:tab w:pos="708" w:val="left" w:leader="none"/>
        </w:tabs>
        <w:spacing w:line="232" w:lineRule="auto" w:before="2" w:after="0"/>
        <w:ind w:left="708" w:right="139" w:hanging="284"/>
        <w:jc w:val="both"/>
        <w:rPr>
          <w:sz w:val="20"/>
        </w:rPr>
      </w:pPr>
      <w:r>
        <w:rPr>
          <w:sz w:val="20"/>
        </w:rPr>
        <w:t>Наставничество сосредоточено на неформальном, неоцениваемом общении между наставником и подопечным, поэтому реализуется в факультативном формате.</w:t>
      </w:r>
      <w:r>
        <w:rPr>
          <w:spacing w:val="37"/>
          <w:sz w:val="20"/>
        </w:rPr>
        <w:t> </w:t>
      </w:r>
      <w:r>
        <w:rPr>
          <w:sz w:val="20"/>
        </w:rPr>
        <w:t>Отношения</w:t>
      </w:r>
      <w:r>
        <w:rPr>
          <w:spacing w:val="37"/>
          <w:sz w:val="20"/>
        </w:rPr>
        <w:t> </w:t>
      </w:r>
      <w:r>
        <w:rPr>
          <w:sz w:val="20"/>
        </w:rPr>
        <w:t>наставничества</w:t>
      </w:r>
      <w:r>
        <w:rPr>
          <w:spacing w:val="37"/>
          <w:sz w:val="20"/>
        </w:rPr>
        <w:t> </w:t>
      </w:r>
      <w:r>
        <w:rPr>
          <w:sz w:val="20"/>
        </w:rPr>
        <w:t>не</w:t>
      </w:r>
      <w:r>
        <w:rPr>
          <w:spacing w:val="37"/>
          <w:sz w:val="20"/>
        </w:rPr>
        <w:t> </w:t>
      </w:r>
      <w:r>
        <w:rPr>
          <w:sz w:val="20"/>
        </w:rPr>
        <w:t>оцениваются</w:t>
      </w:r>
      <w:r>
        <w:rPr>
          <w:spacing w:val="37"/>
          <w:sz w:val="20"/>
        </w:rPr>
        <w:t> </w:t>
      </w:r>
      <w:r>
        <w:rPr>
          <w:sz w:val="20"/>
        </w:rPr>
        <w:t>педагогами</w:t>
      </w:r>
      <w:r>
        <w:rPr>
          <w:spacing w:val="37"/>
          <w:sz w:val="20"/>
        </w:rPr>
        <w:t> </w:t>
      </w:r>
      <w:r>
        <w:rPr>
          <w:sz w:val="20"/>
        </w:rPr>
        <w:t>школы</w:t>
      </w:r>
      <w:r>
        <w:rPr>
          <w:spacing w:val="37"/>
          <w:sz w:val="20"/>
        </w:rPr>
        <w:t> </w:t>
      </w:r>
      <w:r>
        <w:rPr>
          <w:sz w:val="20"/>
        </w:rPr>
        <w:t>и не позиционируются как причина или следствие образовательной (не)успеш- ности любого из участников. Групповое наставничество может включать не только детей или подростков с миграционным опытом, но и тех, кто входит в отношения наставничества по иным причинам: это исключает сегрегацию по какому-либо признаку и формирует ценность разнообразия.</w:t>
      </w:r>
    </w:p>
    <w:p>
      <w:pPr>
        <w:pStyle w:val="ListParagraph"/>
        <w:numPr>
          <w:ilvl w:val="0"/>
          <w:numId w:val="127"/>
        </w:numPr>
        <w:tabs>
          <w:tab w:pos="680" w:val="left" w:leader="none"/>
        </w:tabs>
        <w:spacing w:line="226" w:lineRule="exact" w:before="42" w:after="0"/>
        <w:ind w:left="680" w:right="0" w:hanging="255"/>
        <w:jc w:val="both"/>
        <w:rPr>
          <w:i/>
          <w:sz w:val="20"/>
        </w:rPr>
      </w:pPr>
      <w:r>
        <w:rPr>
          <w:i/>
          <w:spacing w:val="-2"/>
          <w:sz w:val="20"/>
        </w:rPr>
        <w:t>Постоянство</w:t>
      </w:r>
    </w:p>
    <w:p>
      <w:pPr>
        <w:pStyle w:val="BodyText"/>
        <w:spacing w:line="232" w:lineRule="auto" w:before="2"/>
        <w:ind w:left="708" w:firstLine="0"/>
      </w:pPr>
      <w:r>
        <w:rPr/>
        <w:t>Эффективные отношения наставничества должны быть прочными, последо- вательными и длиться не менее года (</w:t>
      </w:r>
      <w:r>
        <w:rPr>
          <w:color w:val="231F20"/>
        </w:rPr>
        <w:t>Toolkit on effective mentoring for youth facing barriers to success, 2016).</w:t>
      </w:r>
    </w:p>
    <w:p>
      <w:pPr>
        <w:spacing w:line="226" w:lineRule="exact" w:before="105"/>
        <w:ind w:left="425" w:right="0" w:firstLine="0"/>
        <w:jc w:val="both"/>
        <w:rPr>
          <w:b/>
          <w:sz w:val="20"/>
        </w:rPr>
      </w:pPr>
      <w:r>
        <w:rPr>
          <w:b/>
          <w:sz w:val="20"/>
        </w:rPr>
        <w:t>Как</w:t>
      </w:r>
      <w:r>
        <w:rPr>
          <w:b/>
          <w:spacing w:val="-10"/>
          <w:sz w:val="20"/>
        </w:rPr>
        <w:t> </w:t>
      </w:r>
      <w:r>
        <w:rPr>
          <w:b/>
          <w:sz w:val="20"/>
        </w:rPr>
        <w:t>организовать</w:t>
      </w:r>
      <w:r>
        <w:rPr>
          <w:b/>
          <w:spacing w:val="-8"/>
          <w:sz w:val="20"/>
        </w:rPr>
        <w:t> </w:t>
      </w:r>
      <w:r>
        <w:rPr>
          <w:b/>
          <w:spacing w:val="-2"/>
          <w:sz w:val="20"/>
        </w:rPr>
        <w:t>наставничество</w:t>
      </w:r>
    </w:p>
    <w:p>
      <w:pPr>
        <w:pStyle w:val="BodyText"/>
        <w:spacing w:line="232" w:lineRule="auto" w:before="1"/>
        <w:ind w:right="140"/>
      </w:pPr>
      <w:r>
        <w:rPr/>
        <w:t>Определить,</w:t>
      </w:r>
      <w:r>
        <w:rPr>
          <w:spacing w:val="-9"/>
        </w:rPr>
        <w:t> </w:t>
      </w:r>
      <w:r>
        <w:rPr/>
        <w:t>кому</w:t>
      </w:r>
      <w:r>
        <w:rPr>
          <w:spacing w:val="-9"/>
        </w:rPr>
        <w:t> </w:t>
      </w:r>
      <w:r>
        <w:rPr/>
        <w:t>нужен</w:t>
      </w:r>
      <w:r>
        <w:rPr>
          <w:spacing w:val="-9"/>
        </w:rPr>
        <w:t> </w:t>
      </w:r>
      <w:r>
        <w:rPr/>
        <w:t>наставник,</w:t>
      </w:r>
      <w:r>
        <w:rPr>
          <w:spacing w:val="-9"/>
        </w:rPr>
        <w:t> </w:t>
      </w:r>
      <w:r>
        <w:rPr/>
        <w:t>и</w:t>
      </w:r>
      <w:r>
        <w:rPr>
          <w:spacing w:val="-9"/>
        </w:rPr>
        <w:t> </w:t>
      </w:r>
      <w:r>
        <w:rPr/>
        <w:t>сформировать</w:t>
      </w:r>
      <w:r>
        <w:rPr>
          <w:spacing w:val="-9"/>
        </w:rPr>
        <w:t> </w:t>
      </w:r>
      <w:r>
        <w:rPr/>
        <w:t>список</w:t>
      </w:r>
      <w:r>
        <w:rPr>
          <w:spacing w:val="-9"/>
        </w:rPr>
        <w:t> </w:t>
      </w:r>
      <w:r>
        <w:rPr/>
        <w:t>их</w:t>
      </w:r>
      <w:r>
        <w:rPr>
          <w:spacing w:val="-9"/>
        </w:rPr>
        <w:t> </w:t>
      </w:r>
      <w:r>
        <w:rPr/>
        <w:t>потребностей</w:t>
      </w:r>
      <w:r>
        <w:rPr>
          <w:spacing w:val="-9"/>
        </w:rPr>
        <w:t> </w:t>
      </w:r>
      <w:r>
        <w:rPr/>
        <w:t>–</w:t>
      </w:r>
      <w:r>
        <w:rPr>
          <w:spacing w:val="-9"/>
        </w:rPr>
        <w:t> </w:t>
      </w:r>
      <w:r>
        <w:rPr/>
        <w:t>по данным наблюдения, личной беседы, опроса.</w:t>
      </w:r>
    </w:p>
    <w:p>
      <w:pPr>
        <w:pStyle w:val="BodyText"/>
        <w:spacing w:line="232" w:lineRule="auto"/>
      </w:pPr>
      <w:r>
        <w:rPr/>
        <w:t>Сформировать</w:t>
      </w:r>
      <w:r>
        <w:rPr>
          <w:spacing w:val="-13"/>
        </w:rPr>
        <w:t> </w:t>
      </w:r>
      <w:r>
        <w:rPr/>
        <w:t>базу</w:t>
      </w:r>
      <w:r>
        <w:rPr>
          <w:spacing w:val="-12"/>
        </w:rPr>
        <w:t> </w:t>
      </w:r>
      <w:r>
        <w:rPr/>
        <w:t>наставников</w:t>
      </w:r>
      <w:r>
        <w:rPr>
          <w:spacing w:val="-13"/>
        </w:rPr>
        <w:t> </w:t>
      </w:r>
      <w:r>
        <w:rPr/>
        <w:t>–</w:t>
      </w:r>
      <w:r>
        <w:rPr>
          <w:spacing w:val="-12"/>
        </w:rPr>
        <w:t> </w:t>
      </w:r>
      <w:r>
        <w:rPr/>
        <w:t>взрослых,</w:t>
      </w:r>
      <w:r>
        <w:rPr>
          <w:spacing w:val="-13"/>
        </w:rPr>
        <w:t> </w:t>
      </w:r>
      <w:r>
        <w:rPr/>
        <w:t>студентов</w:t>
      </w:r>
      <w:r>
        <w:rPr>
          <w:spacing w:val="-12"/>
        </w:rPr>
        <w:t> </w:t>
      </w:r>
      <w:r>
        <w:rPr/>
        <w:t>и</w:t>
      </w:r>
      <w:r>
        <w:rPr>
          <w:spacing w:val="-13"/>
        </w:rPr>
        <w:t> </w:t>
      </w:r>
      <w:r>
        <w:rPr/>
        <w:t>старшеклассников,</w:t>
      </w:r>
      <w:r>
        <w:rPr>
          <w:spacing w:val="-12"/>
        </w:rPr>
        <w:t> </w:t>
      </w:r>
      <w:r>
        <w:rPr/>
        <w:t>кото- рые соответствуют указанным выше критериям.</w:t>
      </w:r>
    </w:p>
    <w:p>
      <w:pPr>
        <w:pStyle w:val="BodyText"/>
        <w:spacing w:line="218" w:lineRule="exact"/>
        <w:ind w:left="425" w:right="0" w:firstLine="0"/>
      </w:pPr>
      <w:r>
        <w:rPr>
          <w:spacing w:val="-2"/>
        </w:rPr>
        <w:t>Обучить наставников необходимым коммуникативным и другим мягким навыкам.</w:t>
      </w:r>
    </w:p>
    <w:p>
      <w:pPr>
        <w:pStyle w:val="BodyText"/>
        <w:spacing w:line="222" w:lineRule="exact"/>
        <w:ind w:right="0" w:firstLine="0"/>
      </w:pPr>
      <w:r>
        <w:rPr/>
        <w:t>Уровень</w:t>
      </w:r>
      <w:r>
        <w:rPr>
          <w:spacing w:val="-9"/>
        </w:rPr>
        <w:t> </w:t>
      </w:r>
      <w:r>
        <w:rPr/>
        <w:t>профессиональной</w:t>
      </w:r>
      <w:r>
        <w:rPr>
          <w:spacing w:val="-8"/>
        </w:rPr>
        <w:t> </w:t>
      </w:r>
      <w:r>
        <w:rPr/>
        <w:t>компетентности</w:t>
      </w:r>
      <w:r>
        <w:rPr>
          <w:spacing w:val="-9"/>
        </w:rPr>
        <w:t> </w:t>
      </w:r>
      <w:r>
        <w:rPr/>
        <w:t>при</w:t>
      </w:r>
      <w:r>
        <w:rPr>
          <w:spacing w:val="-8"/>
        </w:rPr>
        <w:t> </w:t>
      </w:r>
      <w:r>
        <w:rPr/>
        <w:t>этом</w:t>
      </w:r>
      <w:r>
        <w:rPr>
          <w:spacing w:val="-7"/>
        </w:rPr>
        <w:t> </w:t>
      </w:r>
      <w:r>
        <w:rPr/>
        <w:t>значения</w:t>
      </w:r>
      <w:r>
        <w:rPr>
          <w:spacing w:val="-8"/>
        </w:rPr>
        <w:t> </w:t>
      </w:r>
      <w:r>
        <w:rPr/>
        <w:t>не</w:t>
      </w:r>
      <w:r>
        <w:rPr>
          <w:spacing w:val="-7"/>
        </w:rPr>
        <w:t> </w:t>
      </w:r>
      <w:r>
        <w:rPr>
          <w:spacing w:val="-2"/>
        </w:rPr>
        <w:t>имеет.</w:t>
      </w:r>
    </w:p>
    <w:p>
      <w:pPr>
        <w:pStyle w:val="BodyText"/>
        <w:spacing w:line="232" w:lineRule="auto"/>
      </w:pPr>
      <w:r>
        <w:rPr/>
        <w:t>Сформировать наставнические пары или группы – для этого можно провести специальное мероприятие.</w:t>
      </w:r>
    </w:p>
    <w:p>
      <w:pPr>
        <w:pStyle w:val="BodyText"/>
        <w:spacing w:line="232" w:lineRule="auto"/>
      </w:pPr>
      <w:r>
        <w:rPr/>
        <w:t>Выбрать две или три конкретные цели, на которых наставники могут сосредото- читься</w:t>
      </w:r>
      <w:r>
        <w:rPr>
          <w:spacing w:val="-13"/>
        </w:rPr>
        <w:t> </w:t>
      </w:r>
      <w:r>
        <w:rPr/>
        <w:t>(например,</w:t>
      </w:r>
      <w:r>
        <w:rPr>
          <w:spacing w:val="-12"/>
        </w:rPr>
        <w:t> </w:t>
      </w:r>
      <w:r>
        <w:rPr/>
        <w:t>овладение</w:t>
      </w:r>
      <w:r>
        <w:rPr>
          <w:spacing w:val="-13"/>
        </w:rPr>
        <w:t> </w:t>
      </w:r>
      <w:r>
        <w:rPr/>
        <w:t>языком</w:t>
      </w:r>
      <w:r>
        <w:rPr>
          <w:spacing w:val="-12"/>
        </w:rPr>
        <w:t> </w:t>
      </w:r>
      <w:r>
        <w:rPr/>
        <w:t>или</w:t>
      </w:r>
      <w:r>
        <w:rPr>
          <w:spacing w:val="-13"/>
        </w:rPr>
        <w:t> </w:t>
      </w:r>
      <w:r>
        <w:rPr/>
        <w:t>знакомство</w:t>
      </w:r>
      <w:r>
        <w:rPr>
          <w:spacing w:val="-12"/>
        </w:rPr>
        <w:t> </w:t>
      </w:r>
      <w:r>
        <w:rPr/>
        <w:t>с</w:t>
      </w:r>
      <w:r>
        <w:rPr>
          <w:spacing w:val="-13"/>
        </w:rPr>
        <w:t> </w:t>
      </w:r>
      <w:r>
        <w:rPr/>
        <w:t>городом).</w:t>
      </w:r>
      <w:r>
        <w:rPr>
          <w:spacing w:val="-12"/>
        </w:rPr>
        <w:t> </w:t>
      </w:r>
      <w:r>
        <w:rPr/>
        <w:t>Предложить</w:t>
      </w:r>
      <w:r>
        <w:rPr>
          <w:spacing w:val="-13"/>
        </w:rPr>
        <w:t> </w:t>
      </w:r>
      <w:r>
        <w:rPr/>
        <w:t>настав- никам</w:t>
      </w:r>
      <w:r>
        <w:rPr>
          <w:spacing w:val="-7"/>
        </w:rPr>
        <w:t> </w:t>
      </w:r>
      <w:r>
        <w:rPr/>
        <w:t>ряд</w:t>
      </w:r>
      <w:r>
        <w:rPr>
          <w:spacing w:val="-7"/>
        </w:rPr>
        <w:t> </w:t>
      </w:r>
      <w:r>
        <w:rPr/>
        <w:t>простых</w:t>
      </w:r>
      <w:r>
        <w:rPr>
          <w:spacing w:val="-7"/>
        </w:rPr>
        <w:t> </w:t>
      </w:r>
      <w:r>
        <w:rPr/>
        <w:t>активностей,</w:t>
      </w:r>
      <w:r>
        <w:rPr>
          <w:spacing w:val="-7"/>
        </w:rPr>
        <w:t> </w:t>
      </w:r>
      <w:r>
        <w:rPr/>
        <w:t>которые</w:t>
      </w:r>
      <w:r>
        <w:rPr>
          <w:spacing w:val="-7"/>
        </w:rPr>
        <w:t> </w:t>
      </w:r>
      <w:r>
        <w:rPr/>
        <w:t>можно</w:t>
      </w:r>
      <w:r>
        <w:rPr>
          <w:spacing w:val="-7"/>
        </w:rPr>
        <w:t> </w:t>
      </w:r>
      <w:r>
        <w:rPr/>
        <w:t>проводить</w:t>
      </w:r>
      <w:r>
        <w:rPr>
          <w:spacing w:val="-7"/>
        </w:rPr>
        <w:t> </w:t>
      </w:r>
      <w:r>
        <w:rPr/>
        <w:t>с</w:t>
      </w:r>
      <w:r>
        <w:rPr>
          <w:spacing w:val="-7"/>
        </w:rPr>
        <w:t> </w:t>
      </w:r>
      <w:r>
        <w:rPr/>
        <w:t>подопечным,</w:t>
      </w:r>
      <w:r>
        <w:rPr>
          <w:spacing w:val="-7"/>
        </w:rPr>
        <w:t> </w:t>
      </w:r>
      <w:r>
        <w:rPr/>
        <w:t>задать</w:t>
      </w:r>
      <w:r>
        <w:rPr>
          <w:spacing w:val="-7"/>
        </w:rPr>
        <w:t> </w:t>
      </w:r>
      <w:r>
        <w:rPr/>
        <w:t>им стабильный</w:t>
      </w:r>
      <w:r>
        <w:rPr>
          <w:spacing w:val="-2"/>
        </w:rPr>
        <w:t> </w:t>
      </w:r>
      <w:r>
        <w:rPr/>
        <w:t>характер</w:t>
      </w:r>
      <w:r>
        <w:rPr>
          <w:spacing w:val="-2"/>
        </w:rPr>
        <w:t> </w:t>
      </w:r>
      <w:r>
        <w:rPr/>
        <w:t>и</w:t>
      </w:r>
      <w:r>
        <w:rPr>
          <w:spacing w:val="-2"/>
        </w:rPr>
        <w:t> </w:t>
      </w:r>
      <w:r>
        <w:rPr/>
        <w:t>понятные</w:t>
      </w:r>
      <w:r>
        <w:rPr>
          <w:spacing w:val="-2"/>
        </w:rPr>
        <w:t> </w:t>
      </w:r>
      <w:r>
        <w:rPr/>
        <w:t>правила,</w:t>
      </w:r>
      <w:r>
        <w:rPr>
          <w:spacing w:val="-2"/>
        </w:rPr>
        <w:t> </w:t>
      </w:r>
      <w:r>
        <w:rPr/>
        <w:t>но</w:t>
      </w:r>
      <w:r>
        <w:rPr>
          <w:spacing w:val="-2"/>
        </w:rPr>
        <w:t> </w:t>
      </w:r>
      <w:r>
        <w:rPr/>
        <w:t>не</w:t>
      </w:r>
      <w:r>
        <w:rPr>
          <w:spacing w:val="-2"/>
        </w:rPr>
        <w:t> </w:t>
      </w:r>
      <w:r>
        <w:rPr/>
        <w:t>вмешиваться</w:t>
      </w:r>
      <w:r>
        <w:rPr>
          <w:spacing w:val="-2"/>
        </w:rPr>
        <w:t> </w:t>
      </w:r>
      <w:r>
        <w:rPr/>
        <w:t>в</w:t>
      </w:r>
      <w:r>
        <w:rPr>
          <w:spacing w:val="-2"/>
        </w:rPr>
        <w:t> </w:t>
      </w:r>
      <w:r>
        <w:rPr/>
        <w:t>отношения</w:t>
      </w:r>
      <w:r>
        <w:rPr>
          <w:spacing w:val="-2"/>
        </w:rPr>
        <w:t> </w:t>
      </w:r>
      <w:r>
        <w:rPr/>
        <w:t>в</w:t>
      </w:r>
      <w:r>
        <w:rPr>
          <w:spacing w:val="-2"/>
        </w:rPr>
        <w:t> </w:t>
      </w:r>
      <w:r>
        <w:rPr/>
        <w:t>настав- нической паре/группе.</w:t>
      </w:r>
    </w:p>
    <w:p>
      <w:pPr>
        <w:pStyle w:val="BodyText"/>
        <w:spacing w:line="232" w:lineRule="auto"/>
      </w:pPr>
      <w:r>
        <w:rPr/>
        <w:t>Выстроить</w:t>
      </w:r>
      <w:r>
        <w:rPr>
          <w:spacing w:val="-11"/>
        </w:rPr>
        <w:t> </w:t>
      </w:r>
      <w:r>
        <w:rPr/>
        <w:t>систему</w:t>
      </w:r>
      <w:r>
        <w:rPr>
          <w:spacing w:val="-11"/>
        </w:rPr>
        <w:t> </w:t>
      </w:r>
      <w:r>
        <w:rPr/>
        <w:t>обратной</w:t>
      </w:r>
      <w:r>
        <w:rPr>
          <w:spacing w:val="-11"/>
        </w:rPr>
        <w:t> </w:t>
      </w:r>
      <w:r>
        <w:rPr/>
        <w:t>связи:</w:t>
      </w:r>
      <w:r>
        <w:rPr>
          <w:spacing w:val="-11"/>
        </w:rPr>
        <w:t> </w:t>
      </w:r>
      <w:r>
        <w:rPr/>
        <w:t>например,</w:t>
      </w:r>
      <w:r>
        <w:rPr>
          <w:spacing w:val="-11"/>
        </w:rPr>
        <w:t> </w:t>
      </w:r>
      <w:r>
        <w:rPr/>
        <w:t>предложить</w:t>
      </w:r>
      <w:r>
        <w:rPr>
          <w:spacing w:val="-11"/>
        </w:rPr>
        <w:t> </w:t>
      </w:r>
      <w:r>
        <w:rPr/>
        <w:t>наставникам</w:t>
      </w:r>
      <w:r>
        <w:rPr>
          <w:spacing w:val="-11"/>
        </w:rPr>
        <w:t> </w:t>
      </w:r>
      <w:r>
        <w:rPr/>
        <w:t>и</w:t>
      </w:r>
      <w:r>
        <w:rPr>
          <w:spacing w:val="-11"/>
        </w:rPr>
        <w:t> </w:t>
      </w:r>
      <w:r>
        <w:rPr/>
        <w:t>настав- ляемым после каждой встречи заполнять онлайн-дневник.</w:t>
      </w:r>
    </w:p>
    <w:p>
      <w:pPr>
        <w:pStyle w:val="BodyText"/>
        <w:spacing w:line="235" w:lineRule="auto"/>
      </w:pPr>
      <w:r>
        <w:rPr/>
        <w:t>Быть</w:t>
      </w:r>
      <w:r>
        <w:rPr>
          <w:spacing w:val="-13"/>
        </w:rPr>
        <w:t> </w:t>
      </w:r>
      <w:r>
        <w:rPr/>
        <w:t>готовым</w:t>
      </w:r>
      <w:r>
        <w:rPr>
          <w:spacing w:val="-12"/>
        </w:rPr>
        <w:t> </w:t>
      </w:r>
      <w:r>
        <w:rPr/>
        <w:t>самостоятельно</w:t>
      </w:r>
      <w:r>
        <w:rPr>
          <w:spacing w:val="-13"/>
        </w:rPr>
        <w:t> </w:t>
      </w:r>
      <w:r>
        <w:rPr/>
        <w:t>или</w:t>
      </w:r>
      <w:r>
        <w:rPr>
          <w:spacing w:val="-12"/>
        </w:rPr>
        <w:t> </w:t>
      </w:r>
      <w:r>
        <w:rPr/>
        <w:t>с</w:t>
      </w:r>
      <w:r>
        <w:rPr>
          <w:spacing w:val="-13"/>
        </w:rPr>
        <w:t> </w:t>
      </w:r>
      <w:r>
        <w:rPr/>
        <w:t>помощью</w:t>
      </w:r>
      <w:r>
        <w:rPr>
          <w:spacing w:val="-12"/>
        </w:rPr>
        <w:t> </w:t>
      </w:r>
      <w:r>
        <w:rPr/>
        <w:t>коллег</w:t>
      </w:r>
      <w:r>
        <w:rPr>
          <w:spacing w:val="-13"/>
        </w:rPr>
        <w:t> </w:t>
      </w:r>
      <w:r>
        <w:rPr/>
        <w:t>отвечать</w:t>
      </w:r>
      <w:r>
        <w:rPr>
          <w:spacing w:val="-12"/>
        </w:rPr>
        <w:t> </w:t>
      </w:r>
      <w:r>
        <w:rPr/>
        <w:t>на</w:t>
      </w:r>
      <w:r>
        <w:rPr>
          <w:spacing w:val="-13"/>
        </w:rPr>
        <w:t> </w:t>
      </w:r>
      <w:r>
        <w:rPr/>
        <w:t>вопросы</w:t>
      </w:r>
      <w:r>
        <w:rPr>
          <w:spacing w:val="-12"/>
        </w:rPr>
        <w:t> </w:t>
      </w:r>
      <w:r>
        <w:rPr/>
        <w:t>настав- ников, если они возникают.</w:t>
      </w:r>
    </w:p>
    <w:p>
      <w:pPr>
        <w:pStyle w:val="BodyText"/>
        <w:spacing w:after="0" w:line="235" w:lineRule="auto"/>
        <w:sectPr>
          <w:pgSz w:w="8400" w:h="11910"/>
          <w:pgMar w:header="0" w:footer="527" w:top="400" w:bottom="720" w:left="425" w:right="425"/>
        </w:sectPr>
      </w:pPr>
    </w:p>
    <w:p>
      <w:pPr>
        <w:spacing w:before="80"/>
        <w:ind w:left="141" w:right="0" w:firstLine="0"/>
        <w:jc w:val="both"/>
        <w:rPr>
          <w:rFonts w:ascii="Georgia" w:hAnsi="Georgia"/>
          <w:sz w:val="18"/>
        </w:rPr>
      </w:pPr>
      <w:r>
        <w:rPr>
          <w:rFonts w:ascii="Georgia" w:hAnsi="Georgia"/>
          <w:color w:val="231F20"/>
          <w:sz w:val="18"/>
        </w:rPr>
        <w:t>4.3.</w:t>
      </w:r>
      <w:r>
        <w:rPr>
          <w:rFonts w:ascii="Georgia" w:hAnsi="Georgia"/>
          <w:color w:val="231F20"/>
          <w:spacing w:val="-5"/>
          <w:sz w:val="18"/>
        </w:rPr>
        <w:t> </w:t>
      </w:r>
      <w:r>
        <w:rPr>
          <w:rFonts w:ascii="Georgia" w:hAnsi="Georgia"/>
          <w:color w:val="231F20"/>
          <w:sz w:val="18"/>
        </w:rPr>
        <w:t>Методы</w:t>
      </w:r>
      <w:r>
        <w:rPr>
          <w:rFonts w:ascii="Georgia" w:hAnsi="Georgia"/>
          <w:color w:val="231F20"/>
          <w:spacing w:val="-5"/>
          <w:sz w:val="18"/>
        </w:rPr>
        <w:t> </w:t>
      </w:r>
      <w:r>
        <w:rPr>
          <w:rFonts w:ascii="Georgia" w:hAnsi="Georgia"/>
          <w:color w:val="231F20"/>
          <w:sz w:val="18"/>
        </w:rPr>
        <w:t>воспитательной</w:t>
      </w:r>
      <w:r>
        <w:rPr>
          <w:rFonts w:ascii="Georgia" w:hAnsi="Georgia"/>
          <w:color w:val="231F20"/>
          <w:spacing w:val="-4"/>
          <w:sz w:val="18"/>
        </w:rPr>
        <w:t> </w:t>
      </w:r>
      <w:r>
        <w:rPr>
          <w:rFonts w:ascii="Georgia" w:hAnsi="Georgia"/>
          <w:color w:val="231F20"/>
          <w:sz w:val="18"/>
        </w:rPr>
        <w:t>раюоты</w:t>
      </w:r>
      <w:r>
        <w:rPr>
          <w:rFonts w:ascii="Georgia" w:hAnsi="Georgia"/>
          <w:color w:val="231F20"/>
          <w:spacing w:val="-5"/>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w:t>
      </w:r>
      <w:r>
        <w:rPr>
          <w:rFonts w:ascii="Georgia" w:hAnsi="Georgia"/>
          <w:color w:val="231F20"/>
          <w:spacing w:val="-4"/>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BodyText"/>
        <w:spacing w:line="235" w:lineRule="auto" w:before="116"/>
        <w:ind w:right="140"/>
      </w:pPr>
      <w:r>
        <w:rPr/>
        <w:t>Завершить программу наставничества, когда достигнута ее цель или исчерпан срок. Провести финальное мероприятие для всех участников программы.</w:t>
      </w:r>
    </w:p>
    <w:p>
      <w:pPr>
        <w:pStyle w:val="BodyText"/>
        <w:spacing w:line="235" w:lineRule="auto" w:before="1"/>
      </w:pPr>
      <w:r>
        <w:rPr/>
        <w:t>Тиражировать наставническую практику внутри школы: опубликовать материал о</w:t>
      </w:r>
      <w:r>
        <w:rPr>
          <w:spacing w:val="-1"/>
        </w:rPr>
        <w:t> </w:t>
      </w:r>
      <w:r>
        <w:rPr/>
        <w:t>результатах,</w:t>
      </w:r>
      <w:r>
        <w:rPr>
          <w:spacing w:val="-1"/>
        </w:rPr>
        <w:t> </w:t>
      </w:r>
      <w:r>
        <w:rPr/>
        <w:t>зафиксировать</w:t>
      </w:r>
      <w:r>
        <w:rPr>
          <w:spacing w:val="-1"/>
        </w:rPr>
        <w:t> </w:t>
      </w:r>
      <w:r>
        <w:rPr/>
        <w:t>в</w:t>
      </w:r>
      <w:r>
        <w:rPr>
          <w:spacing w:val="-1"/>
        </w:rPr>
        <w:t> </w:t>
      </w:r>
      <w:r>
        <w:rPr/>
        <w:t>базе</w:t>
      </w:r>
      <w:r>
        <w:rPr>
          <w:spacing w:val="-1"/>
        </w:rPr>
        <w:t> </w:t>
      </w:r>
      <w:r>
        <w:rPr/>
        <w:t>успешные</w:t>
      </w:r>
      <w:r>
        <w:rPr>
          <w:spacing w:val="-1"/>
        </w:rPr>
        <w:t> </w:t>
      </w:r>
      <w:r>
        <w:rPr/>
        <w:t>кейсы</w:t>
      </w:r>
      <w:r>
        <w:rPr>
          <w:spacing w:val="-1"/>
        </w:rPr>
        <w:t> </w:t>
      </w:r>
      <w:r>
        <w:rPr/>
        <w:t>–</w:t>
      </w:r>
      <w:r>
        <w:rPr>
          <w:spacing w:val="-1"/>
        </w:rPr>
        <w:t> </w:t>
      </w:r>
      <w:r>
        <w:rPr/>
        <w:t>разумеется,</w:t>
      </w:r>
      <w:r>
        <w:rPr>
          <w:spacing w:val="-1"/>
        </w:rPr>
        <w:t> </w:t>
      </w:r>
      <w:r>
        <w:rPr/>
        <w:t>на</w:t>
      </w:r>
      <w:r>
        <w:rPr>
          <w:spacing w:val="-1"/>
        </w:rPr>
        <w:t> </w:t>
      </w:r>
      <w:r>
        <w:rPr/>
        <w:t>условиях</w:t>
      </w:r>
      <w:r>
        <w:rPr>
          <w:spacing w:val="-1"/>
        </w:rPr>
        <w:t> </w:t>
      </w:r>
      <w:r>
        <w:rPr/>
        <w:t>ано- нимности участников и при соблюдении всех правил журналистской этики. В даль- нейшем</w:t>
      </w:r>
      <w:r>
        <w:rPr>
          <w:spacing w:val="-7"/>
        </w:rPr>
        <w:t> </w:t>
      </w:r>
      <w:r>
        <w:rPr/>
        <w:t>предложить</w:t>
      </w:r>
      <w:r>
        <w:rPr>
          <w:spacing w:val="-8"/>
        </w:rPr>
        <w:t> </w:t>
      </w:r>
      <w:r>
        <w:rPr/>
        <w:t>большему</w:t>
      </w:r>
      <w:r>
        <w:rPr>
          <w:spacing w:val="-6"/>
        </w:rPr>
        <w:t> </w:t>
      </w:r>
      <w:r>
        <w:rPr/>
        <w:t>количеству</w:t>
      </w:r>
      <w:r>
        <w:rPr>
          <w:spacing w:val="-7"/>
        </w:rPr>
        <w:t> </w:t>
      </w:r>
      <w:r>
        <w:rPr/>
        <w:t>участников</w:t>
      </w:r>
      <w:r>
        <w:rPr>
          <w:spacing w:val="-7"/>
        </w:rPr>
        <w:t> </w:t>
      </w:r>
      <w:r>
        <w:rPr/>
        <w:t>присоединиться</w:t>
      </w:r>
      <w:r>
        <w:rPr>
          <w:spacing w:val="-7"/>
        </w:rPr>
        <w:t> </w:t>
      </w:r>
      <w:r>
        <w:rPr/>
        <w:t>к</w:t>
      </w:r>
      <w:r>
        <w:rPr>
          <w:spacing w:val="-6"/>
        </w:rPr>
        <w:t> </w:t>
      </w:r>
      <w:r>
        <w:rPr>
          <w:spacing w:val="-2"/>
        </w:rPr>
        <w:t>программе.</w:t>
      </w:r>
    </w:p>
    <w:p>
      <w:pPr>
        <w:pStyle w:val="BodyText"/>
        <w:spacing w:before="112"/>
        <w:ind w:left="425" w:right="0" w:firstLine="0"/>
        <w:rPr>
          <w:i/>
        </w:rPr>
      </w:pPr>
      <w:r>
        <w:rPr/>
        <w:t>Подробнее</w:t>
      </w:r>
      <w:r>
        <w:rPr>
          <w:spacing w:val="-7"/>
        </w:rPr>
        <w:t> </w:t>
      </w:r>
      <w:r>
        <w:rPr/>
        <w:t>–</w:t>
      </w:r>
      <w:r>
        <w:rPr>
          <w:spacing w:val="-5"/>
        </w:rPr>
        <w:t> </w:t>
      </w:r>
      <w:r>
        <w:rPr/>
        <w:t>в</w:t>
      </w:r>
      <w:r>
        <w:rPr>
          <w:spacing w:val="-6"/>
        </w:rPr>
        <w:t> </w:t>
      </w:r>
      <w:r>
        <w:rPr>
          <w:color w:val="2255A6"/>
          <w:u w:val="single" w:color="2255A6"/>
        </w:rPr>
        <w:t>Памятке</w:t>
      </w:r>
      <w:r>
        <w:rPr>
          <w:color w:val="2255A6"/>
          <w:spacing w:val="-5"/>
          <w:u w:val="single" w:color="2255A6"/>
        </w:rPr>
        <w:t> </w:t>
      </w:r>
      <w:r>
        <w:rPr>
          <w:color w:val="2255A6"/>
          <w:u w:val="single" w:color="2255A6"/>
        </w:rPr>
        <w:t>куратора</w:t>
      </w:r>
      <w:r>
        <w:rPr>
          <w:color w:val="2255A6"/>
          <w:spacing w:val="-5"/>
          <w:u w:val="single" w:color="2255A6"/>
        </w:rPr>
        <w:t> </w:t>
      </w:r>
      <w:r>
        <w:rPr>
          <w:color w:val="2255A6"/>
          <w:u w:val="single" w:color="2255A6"/>
        </w:rPr>
        <w:t>наставнической</w:t>
      </w:r>
      <w:r>
        <w:rPr>
          <w:color w:val="2255A6"/>
          <w:spacing w:val="-5"/>
          <w:u w:val="single" w:color="2255A6"/>
        </w:rPr>
        <w:t> </w:t>
      </w:r>
      <w:r>
        <w:rPr>
          <w:color w:val="2255A6"/>
          <w:spacing w:val="-2"/>
          <w:u w:val="single" w:color="2255A6"/>
        </w:rPr>
        <w:t>программы</w:t>
      </w:r>
      <w:r>
        <w:rPr>
          <w:i/>
          <w:spacing w:val="-2"/>
        </w:rPr>
        <w:t>.</w:t>
      </w:r>
    </w:p>
    <w:p>
      <w:pPr>
        <w:spacing w:line="228" w:lineRule="exact" w:before="110"/>
        <w:ind w:left="425" w:right="0" w:firstLine="0"/>
        <w:jc w:val="both"/>
        <w:rPr>
          <w:b/>
          <w:sz w:val="20"/>
        </w:rPr>
      </w:pPr>
      <w:r>
        <w:rPr>
          <w:b/>
          <w:spacing w:val="-2"/>
          <w:sz w:val="20"/>
        </w:rPr>
        <w:t>Где</w:t>
      </w:r>
      <w:r>
        <w:rPr>
          <w:b/>
          <w:spacing w:val="-10"/>
          <w:sz w:val="20"/>
        </w:rPr>
        <w:t> </w:t>
      </w:r>
      <w:r>
        <w:rPr>
          <w:b/>
          <w:spacing w:val="-2"/>
          <w:sz w:val="20"/>
        </w:rPr>
        <w:t>научиться</w:t>
      </w:r>
    </w:p>
    <w:p>
      <w:pPr>
        <w:pStyle w:val="ListParagraph"/>
        <w:numPr>
          <w:ilvl w:val="0"/>
          <w:numId w:val="128"/>
        </w:numPr>
        <w:tabs>
          <w:tab w:pos="423" w:val="left" w:leader="none"/>
        </w:tabs>
        <w:spacing w:line="226" w:lineRule="exact" w:before="0" w:after="0"/>
        <w:ind w:left="423" w:right="0" w:hanging="282"/>
        <w:jc w:val="both"/>
        <w:rPr>
          <w:sz w:val="20"/>
        </w:rPr>
      </w:pPr>
      <w:r>
        <w:rPr>
          <w:color w:val="231F20"/>
          <w:sz w:val="20"/>
        </w:rPr>
        <w:t>Ознакомиться</w:t>
      </w:r>
      <w:r>
        <w:rPr>
          <w:color w:val="231F20"/>
          <w:spacing w:val="-13"/>
          <w:sz w:val="20"/>
        </w:rPr>
        <w:t> </w:t>
      </w:r>
      <w:r>
        <w:rPr>
          <w:sz w:val="20"/>
        </w:rPr>
        <w:t>с</w:t>
      </w:r>
      <w:r>
        <w:rPr>
          <w:spacing w:val="-12"/>
          <w:sz w:val="20"/>
        </w:rPr>
        <w:t> </w:t>
      </w:r>
      <w:r>
        <w:rPr>
          <w:sz w:val="20"/>
        </w:rPr>
        <w:t>разработками</w:t>
      </w:r>
      <w:r>
        <w:rPr>
          <w:spacing w:val="-12"/>
          <w:sz w:val="20"/>
        </w:rPr>
        <w:t> </w:t>
      </w:r>
      <w:r>
        <w:rPr>
          <w:sz w:val="20"/>
        </w:rPr>
        <w:t>«Рыбаков-</w:t>
      </w:r>
      <w:r>
        <w:rPr>
          <w:spacing w:val="-2"/>
          <w:sz w:val="20"/>
        </w:rPr>
        <w:t>Фонда»:</w:t>
      </w:r>
    </w:p>
    <w:p>
      <w:pPr>
        <w:pStyle w:val="ListParagraph"/>
        <w:numPr>
          <w:ilvl w:val="1"/>
          <w:numId w:val="128"/>
        </w:numPr>
        <w:tabs>
          <w:tab w:pos="708" w:val="left" w:leader="none"/>
        </w:tabs>
        <w:spacing w:line="235" w:lineRule="auto" w:before="1" w:after="0"/>
        <w:ind w:left="708" w:right="139" w:hanging="284"/>
        <w:jc w:val="both"/>
        <w:rPr>
          <w:sz w:val="20"/>
        </w:rPr>
      </w:pPr>
      <w:r>
        <w:rPr>
          <w:sz w:val="20"/>
        </w:rPr>
        <w:t>прочитать</w:t>
      </w:r>
      <w:r>
        <w:rPr>
          <w:spacing w:val="-5"/>
          <w:sz w:val="20"/>
        </w:rPr>
        <w:t> </w:t>
      </w:r>
      <w:r>
        <w:rPr>
          <w:color w:val="2255A6"/>
          <w:sz w:val="20"/>
          <w:u w:val="single" w:color="2255A6"/>
        </w:rPr>
        <w:t>практическое</w:t>
      </w:r>
      <w:r>
        <w:rPr>
          <w:color w:val="2255A6"/>
          <w:spacing w:val="-5"/>
          <w:sz w:val="20"/>
          <w:u w:val="single" w:color="2255A6"/>
        </w:rPr>
        <w:t> </w:t>
      </w:r>
      <w:r>
        <w:rPr>
          <w:color w:val="2255A6"/>
          <w:sz w:val="20"/>
          <w:u w:val="single" w:color="2255A6"/>
        </w:rPr>
        <w:t>пособие</w:t>
      </w:r>
      <w:r>
        <w:rPr>
          <w:color w:val="2255A6"/>
          <w:spacing w:val="-5"/>
          <w:sz w:val="20"/>
        </w:rPr>
        <w:t> </w:t>
      </w:r>
      <w:r>
        <w:rPr>
          <w:sz w:val="20"/>
        </w:rPr>
        <w:t>(Наставничество</w:t>
      </w:r>
      <w:r>
        <w:rPr>
          <w:spacing w:val="-5"/>
          <w:sz w:val="20"/>
        </w:rPr>
        <w:t> </w:t>
      </w:r>
      <w:r>
        <w:rPr>
          <w:sz w:val="20"/>
        </w:rPr>
        <w:t>в</w:t>
      </w:r>
      <w:r>
        <w:rPr>
          <w:spacing w:val="-5"/>
          <w:sz w:val="20"/>
        </w:rPr>
        <w:t> </w:t>
      </w:r>
      <w:r>
        <w:rPr>
          <w:sz w:val="20"/>
        </w:rPr>
        <w:t>системе</w:t>
      </w:r>
      <w:r>
        <w:rPr>
          <w:spacing w:val="-5"/>
          <w:sz w:val="20"/>
        </w:rPr>
        <w:t> </w:t>
      </w:r>
      <w:r>
        <w:rPr>
          <w:sz w:val="20"/>
        </w:rPr>
        <w:t>образования</w:t>
      </w:r>
      <w:r>
        <w:rPr>
          <w:spacing w:val="-5"/>
          <w:sz w:val="20"/>
        </w:rPr>
        <w:t> </w:t>
      </w:r>
      <w:r>
        <w:rPr>
          <w:sz w:val="20"/>
        </w:rPr>
        <w:t>Рос- сии, 2016),</w:t>
      </w:r>
    </w:p>
    <w:p>
      <w:pPr>
        <w:pStyle w:val="ListParagraph"/>
        <w:numPr>
          <w:ilvl w:val="1"/>
          <w:numId w:val="128"/>
        </w:numPr>
        <w:tabs>
          <w:tab w:pos="708" w:val="left" w:leader="none"/>
        </w:tabs>
        <w:spacing w:line="235" w:lineRule="auto" w:before="2" w:after="0"/>
        <w:ind w:left="708" w:right="139" w:hanging="284"/>
        <w:jc w:val="both"/>
        <w:rPr>
          <w:sz w:val="20"/>
        </w:rPr>
      </w:pPr>
      <w:r>
        <w:rPr>
          <w:sz w:val="20"/>
        </w:rPr>
        <w:t>изучить</w:t>
      </w:r>
      <w:r>
        <w:rPr>
          <w:spacing w:val="-8"/>
          <w:sz w:val="20"/>
        </w:rPr>
        <w:t> </w:t>
      </w:r>
      <w:r>
        <w:rPr>
          <w:sz w:val="20"/>
        </w:rPr>
        <w:t>вебинары</w:t>
      </w:r>
      <w:r>
        <w:rPr>
          <w:spacing w:val="-8"/>
          <w:sz w:val="20"/>
        </w:rPr>
        <w:t> </w:t>
      </w:r>
      <w:r>
        <w:rPr>
          <w:sz w:val="20"/>
        </w:rPr>
        <w:t>и</w:t>
      </w:r>
      <w:r>
        <w:rPr>
          <w:spacing w:val="-8"/>
          <w:sz w:val="20"/>
        </w:rPr>
        <w:t> </w:t>
      </w:r>
      <w:r>
        <w:rPr>
          <w:sz w:val="20"/>
        </w:rPr>
        <w:t>текстовые</w:t>
      </w:r>
      <w:r>
        <w:rPr>
          <w:spacing w:val="-8"/>
          <w:sz w:val="20"/>
        </w:rPr>
        <w:t> </w:t>
      </w:r>
      <w:r>
        <w:rPr>
          <w:sz w:val="20"/>
        </w:rPr>
        <w:t>материалы</w:t>
      </w:r>
      <w:r>
        <w:rPr>
          <w:spacing w:val="-8"/>
          <w:sz w:val="20"/>
        </w:rPr>
        <w:t> </w:t>
      </w:r>
      <w:r>
        <w:rPr>
          <w:sz w:val="20"/>
        </w:rPr>
        <w:t>на</w:t>
      </w:r>
      <w:r>
        <w:rPr>
          <w:spacing w:val="-8"/>
          <w:sz w:val="20"/>
        </w:rPr>
        <w:t> </w:t>
      </w:r>
      <w:r>
        <w:rPr>
          <w:sz w:val="20"/>
        </w:rPr>
        <w:t>сайте</w:t>
      </w:r>
      <w:r>
        <w:rPr>
          <w:spacing w:val="-9"/>
          <w:sz w:val="20"/>
        </w:rPr>
        <w:t> </w:t>
      </w:r>
      <w:r>
        <w:rPr>
          <w:color w:val="231F20"/>
          <w:sz w:val="20"/>
        </w:rPr>
        <w:t>Национального</w:t>
      </w:r>
      <w:r>
        <w:rPr>
          <w:color w:val="231F20"/>
          <w:spacing w:val="-8"/>
          <w:sz w:val="20"/>
        </w:rPr>
        <w:t> </w:t>
      </w:r>
      <w:r>
        <w:rPr>
          <w:color w:val="231F20"/>
          <w:sz w:val="20"/>
        </w:rPr>
        <w:t>ресурсного центра</w:t>
      </w:r>
      <w:r>
        <w:rPr>
          <w:color w:val="231F20"/>
          <w:spacing w:val="-4"/>
          <w:sz w:val="20"/>
        </w:rPr>
        <w:t> </w:t>
      </w:r>
      <w:r>
        <w:rPr>
          <w:color w:val="231F20"/>
          <w:sz w:val="20"/>
        </w:rPr>
        <w:t>наставничества</w:t>
      </w:r>
      <w:r>
        <w:rPr>
          <w:color w:val="231F20"/>
          <w:spacing w:val="-4"/>
          <w:sz w:val="20"/>
        </w:rPr>
        <w:t> </w:t>
      </w:r>
      <w:r>
        <w:rPr>
          <w:color w:val="231F20"/>
          <w:sz w:val="20"/>
        </w:rPr>
        <w:t>«Ментори»</w:t>
      </w:r>
      <w:r>
        <w:rPr>
          <w:color w:val="231F20"/>
          <w:spacing w:val="-4"/>
          <w:sz w:val="20"/>
        </w:rPr>
        <w:t> </w:t>
      </w:r>
      <w:hyperlink r:id="rId115">
        <w:r>
          <w:rPr>
            <w:color w:val="2255A6"/>
            <w:sz w:val="20"/>
            <w:u w:val="single" w:color="2255A6"/>
          </w:rPr>
          <w:t>https://mentori.ru/</w:t>
        </w:r>
      </w:hyperlink>
      <w:r>
        <w:rPr>
          <w:color w:val="2255A6"/>
          <w:spacing w:val="-4"/>
          <w:sz w:val="20"/>
        </w:rPr>
        <w:t> </w:t>
      </w:r>
      <w:r>
        <w:rPr>
          <w:sz w:val="20"/>
        </w:rPr>
        <w:t>в</w:t>
      </w:r>
      <w:r>
        <w:rPr>
          <w:spacing w:val="-4"/>
          <w:sz w:val="20"/>
        </w:rPr>
        <w:t> </w:t>
      </w:r>
      <w:r>
        <w:rPr>
          <w:sz w:val="20"/>
        </w:rPr>
        <w:t>подразделе</w:t>
      </w:r>
      <w:r>
        <w:rPr>
          <w:spacing w:val="-4"/>
          <w:sz w:val="20"/>
        </w:rPr>
        <w:t> </w:t>
      </w:r>
      <w:r>
        <w:rPr>
          <w:sz w:val="20"/>
        </w:rPr>
        <w:t>«Нацпроект </w:t>
      </w:r>
      <w:r>
        <w:rPr>
          <w:spacing w:val="-2"/>
          <w:sz w:val="20"/>
        </w:rPr>
        <w:t>“Образование”».</w:t>
      </w:r>
    </w:p>
    <w:p>
      <w:pPr>
        <w:pStyle w:val="ListParagraph"/>
        <w:numPr>
          <w:ilvl w:val="0"/>
          <w:numId w:val="128"/>
        </w:numPr>
        <w:tabs>
          <w:tab w:pos="423" w:val="left" w:leader="none"/>
          <w:tab w:pos="425" w:val="left" w:leader="none"/>
        </w:tabs>
        <w:spacing w:line="235" w:lineRule="auto" w:before="1" w:after="0"/>
        <w:ind w:left="425" w:right="139" w:hanging="284"/>
        <w:jc w:val="both"/>
        <w:rPr>
          <w:sz w:val="20"/>
        </w:rPr>
      </w:pPr>
      <w:r>
        <w:rPr>
          <w:color w:val="231F20"/>
          <w:sz w:val="20"/>
        </w:rPr>
        <w:t>Ознакомиться </w:t>
      </w:r>
      <w:r>
        <w:rPr>
          <w:sz w:val="20"/>
        </w:rPr>
        <w:t>с зарубежными методическими пособиями (на английском языке, см. список в Приложении) по организации системы наставничества и выбрать из них то, что применимо и актуально именно для вас.</w:t>
      </w:r>
    </w:p>
    <w:p>
      <w:pPr>
        <w:spacing w:line="235" w:lineRule="auto" w:before="116"/>
        <w:ind w:left="141" w:right="139" w:firstLine="283"/>
        <w:jc w:val="right"/>
        <w:rPr>
          <w:sz w:val="20"/>
        </w:rPr>
      </w:pPr>
      <w:r>
        <w:rPr>
          <w:b/>
          <w:spacing w:val="-2"/>
          <w:sz w:val="20"/>
        </w:rPr>
        <w:t>Примеры наставничества в работе с детьми/подростками</w:t>
      </w:r>
      <w:r>
        <w:rPr>
          <w:b/>
          <w:spacing w:val="-3"/>
          <w:sz w:val="20"/>
        </w:rPr>
        <w:t> </w:t>
      </w:r>
      <w:r>
        <w:rPr>
          <w:b/>
          <w:spacing w:val="-2"/>
          <w:sz w:val="20"/>
        </w:rPr>
        <w:t>с опытом</w:t>
      </w:r>
      <w:r>
        <w:rPr>
          <w:b/>
          <w:spacing w:val="-3"/>
          <w:sz w:val="20"/>
        </w:rPr>
        <w:t> </w:t>
      </w:r>
      <w:r>
        <w:rPr>
          <w:b/>
          <w:spacing w:val="-2"/>
          <w:sz w:val="20"/>
        </w:rPr>
        <w:t>миграции </w:t>
      </w:r>
      <w:r>
        <w:rPr>
          <w:sz w:val="20"/>
        </w:rPr>
        <w:t>Хотя наставничество является широко известным педагогическим инструментом, осуществление</w:t>
      </w:r>
      <w:r>
        <w:rPr>
          <w:spacing w:val="-6"/>
          <w:sz w:val="20"/>
        </w:rPr>
        <w:t> </w:t>
      </w:r>
      <w:r>
        <w:rPr>
          <w:sz w:val="20"/>
        </w:rPr>
        <w:t>этой</w:t>
      </w:r>
      <w:r>
        <w:rPr>
          <w:spacing w:val="-6"/>
          <w:sz w:val="20"/>
        </w:rPr>
        <w:t> </w:t>
      </w:r>
      <w:r>
        <w:rPr>
          <w:sz w:val="20"/>
        </w:rPr>
        <w:t>практики</w:t>
      </w:r>
      <w:r>
        <w:rPr>
          <w:spacing w:val="-6"/>
          <w:sz w:val="20"/>
        </w:rPr>
        <w:t> </w:t>
      </w:r>
      <w:r>
        <w:rPr>
          <w:sz w:val="20"/>
        </w:rPr>
        <w:t>при</w:t>
      </w:r>
      <w:r>
        <w:rPr>
          <w:spacing w:val="-5"/>
          <w:sz w:val="20"/>
        </w:rPr>
        <w:t> </w:t>
      </w:r>
      <w:r>
        <w:rPr>
          <w:sz w:val="20"/>
        </w:rPr>
        <w:t>работе</w:t>
      </w:r>
      <w:r>
        <w:rPr>
          <w:spacing w:val="-6"/>
          <w:sz w:val="20"/>
        </w:rPr>
        <w:t> </w:t>
      </w:r>
      <w:r>
        <w:rPr>
          <w:sz w:val="20"/>
        </w:rPr>
        <w:t>с</w:t>
      </w:r>
      <w:r>
        <w:rPr>
          <w:spacing w:val="-6"/>
          <w:sz w:val="20"/>
        </w:rPr>
        <w:t> </w:t>
      </w:r>
      <w:r>
        <w:rPr>
          <w:sz w:val="20"/>
        </w:rPr>
        <w:t>детьми</w:t>
      </w:r>
      <w:r>
        <w:rPr>
          <w:spacing w:val="-5"/>
          <w:sz w:val="20"/>
        </w:rPr>
        <w:t> </w:t>
      </w:r>
      <w:r>
        <w:rPr>
          <w:sz w:val="20"/>
        </w:rPr>
        <w:t>с</w:t>
      </w:r>
      <w:r>
        <w:rPr>
          <w:spacing w:val="-6"/>
          <w:sz w:val="20"/>
        </w:rPr>
        <w:t> </w:t>
      </w:r>
      <w:r>
        <w:rPr>
          <w:sz w:val="20"/>
        </w:rPr>
        <w:t>миграционным</w:t>
      </w:r>
      <w:r>
        <w:rPr>
          <w:spacing w:val="-6"/>
          <w:sz w:val="20"/>
        </w:rPr>
        <w:t> </w:t>
      </w:r>
      <w:r>
        <w:rPr>
          <w:sz w:val="20"/>
        </w:rPr>
        <w:t>опытом</w:t>
      </w:r>
      <w:r>
        <w:rPr>
          <w:spacing w:val="-5"/>
          <w:sz w:val="20"/>
        </w:rPr>
        <w:t> </w:t>
      </w:r>
      <w:r>
        <w:rPr>
          <w:spacing w:val="-2"/>
          <w:sz w:val="20"/>
        </w:rPr>
        <w:t>характе-</w:t>
      </w:r>
    </w:p>
    <w:p>
      <w:pPr>
        <w:pStyle w:val="BodyText"/>
        <w:spacing w:line="226" w:lineRule="exact"/>
        <w:ind w:right="0" w:firstLine="0"/>
      </w:pPr>
      <w:r>
        <w:rPr/>
        <w:t>ризуется</w:t>
      </w:r>
      <w:r>
        <w:rPr>
          <w:spacing w:val="-9"/>
        </w:rPr>
        <w:t> </w:t>
      </w:r>
      <w:r>
        <w:rPr/>
        <w:t>определенными</w:t>
      </w:r>
      <w:r>
        <w:rPr>
          <w:spacing w:val="-9"/>
        </w:rPr>
        <w:t> </w:t>
      </w:r>
      <w:r>
        <w:rPr>
          <w:spacing w:val="-2"/>
        </w:rPr>
        <w:t>особенностями.</w:t>
      </w:r>
    </w:p>
    <w:p>
      <w:pPr>
        <w:pStyle w:val="BodyText"/>
        <w:spacing w:line="235" w:lineRule="auto" w:before="1"/>
      </w:pPr>
      <w:r>
        <w:rPr/>
        <w:t>Например, специфика наставнической работы с детьми с миграционным опытом отмечается в американском методическом пособии от Национального ресурсного центра</w:t>
      </w:r>
      <w:r>
        <w:rPr>
          <w:spacing w:val="-5"/>
        </w:rPr>
        <w:t> </w:t>
      </w:r>
      <w:r>
        <w:rPr/>
        <w:t>по</w:t>
      </w:r>
      <w:r>
        <w:rPr>
          <w:spacing w:val="-5"/>
        </w:rPr>
        <w:t> </w:t>
      </w:r>
      <w:r>
        <w:rPr/>
        <w:t>наставничеству</w:t>
      </w:r>
      <w:r>
        <w:rPr>
          <w:spacing w:val="-5"/>
        </w:rPr>
        <w:t> </w:t>
      </w:r>
      <w:r>
        <w:rPr/>
        <w:t>из</w:t>
      </w:r>
      <w:r>
        <w:rPr>
          <w:spacing w:val="-5"/>
        </w:rPr>
        <w:t> </w:t>
      </w:r>
      <w:r>
        <w:rPr/>
        <w:t>Бостона</w:t>
      </w:r>
      <w:r>
        <w:rPr>
          <w:spacing w:val="-5"/>
        </w:rPr>
        <w:t> </w:t>
      </w:r>
      <w:r>
        <w:rPr/>
        <w:t>(</w:t>
      </w:r>
      <w:r>
        <w:rPr>
          <w:color w:val="231F20"/>
        </w:rPr>
        <w:t>MENTOR,</w:t>
      </w:r>
      <w:r>
        <w:rPr>
          <w:color w:val="231F20"/>
          <w:spacing w:val="-5"/>
        </w:rPr>
        <w:t> </w:t>
      </w:r>
      <w:r>
        <w:rPr>
          <w:color w:val="231F20"/>
        </w:rPr>
        <w:t>2011).</w:t>
      </w:r>
      <w:r>
        <w:rPr>
          <w:color w:val="231F20"/>
          <w:spacing w:val="-5"/>
        </w:rPr>
        <w:t> </w:t>
      </w:r>
      <w:r>
        <w:rPr>
          <w:color w:val="231F20"/>
        </w:rPr>
        <w:t>Там</w:t>
      </w:r>
      <w:r>
        <w:rPr>
          <w:color w:val="231F20"/>
          <w:spacing w:val="-5"/>
        </w:rPr>
        <w:t> </w:t>
      </w:r>
      <w:r>
        <w:rPr>
          <w:color w:val="231F20"/>
        </w:rPr>
        <w:t>перечисляются</w:t>
      </w:r>
      <w:r>
        <w:rPr>
          <w:color w:val="231F20"/>
          <w:spacing w:val="-5"/>
        </w:rPr>
        <w:t> </w:t>
      </w:r>
      <w:r>
        <w:rPr>
          <w:color w:val="231F20"/>
        </w:rPr>
        <w:t>нюансы, выявленные в действующих проектах по наставничеству:</w:t>
      </w:r>
    </w:p>
    <w:p>
      <w:pPr>
        <w:pStyle w:val="ListParagraph"/>
        <w:numPr>
          <w:ilvl w:val="0"/>
          <w:numId w:val="128"/>
        </w:numPr>
        <w:tabs>
          <w:tab w:pos="423" w:val="left" w:leader="none"/>
          <w:tab w:pos="425" w:val="left" w:leader="none"/>
        </w:tabs>
        <w:spacing w:line="235" w:lineRule="auto" w:before="3" w:after="0"/>
        <w:ind w:left="425" w:right="139" w:hanging="284"/>
        <w:jc w:val="both"/>
        <w:rPr>
          <w:sz w:val="20"/>
        </w:rPr>
      </w:pPr>
      <w:r>
        <w:rPr>
          <w:color w:val="231F20"/>
          <w:sz w:val="20"/>
        </w:rPr>
        <w:t>Работа</w:t>
      </w:r>
      <w:r>
        <w:rPr>
          <w:color w:val="231F20"/>
          <w:spacing w:val="-6"/>
          <w:sz w:val="20"/>
        </w:rPr>
        <w:t> </w:t>
      </w:r>
      <w:r>
        <w:rPr>
          <w:color w:val="231F20"/>
          <w:sz w:val="20"/>
        </w:rPr>
        <w:t>с</w:t>
      </w:r>
      <w:r>
        <w:rPr>
          <w:color w:val="231F20"/>
          <w:spacing w:val="-6"/>
          <w:sz w:val="20"/>
        </w:rPr>
        <w:t> </w:t>
      </w:r>
      <w:r>
        <w:rPr>
          <w:color w:val="231F20"/>
          <w:sz w:val="20"/>
        </w:rPr>
        <w:t>детьми</w:t>
      </w:r>
      <w:r>
        <w:rPr>
          <w:color w:val="231F20"/>
          <w:spacing w:val="-6"/>
          <w:sz w:val="20"/>
        </w:rPr>
        <w:t> </w:t>
      </w:r>
      <w:r>
        <w:rPr>
          <w:color w:val="231F20"/>
          <w:sz w:val="20"/>
        </w:rPr>
        <w:t>из</w:t>
      </w:r>
      <w:r>
        <w:rPr>
          <w:color w:val="231F20"/>
          <w:spacing w:val="-6"/>
          <w:sz w:val="20"/>
        </w:rPr>
        <w:t> </w:t>
      </w:r>
      <w:r>
        <w:rPr>
          <w:color w:val="231F20"/>
          <w:sz w:val="20"/>
        </w:rPr>
        <w:t>семей</w:t>
      </w:r>
      <w:r>
        <w:rPr>
          <w:color w:val="231F20"/>
          <w:spacing w:val="-6"/>
          <w:sz w:val="20"/>
        </w:rPr>
        <w:t> </w:t>
      </w:r>
      <w:r>
        <w:rPr>
          <w:color w:val="231F20"/>
          <w:sz w:val="20"/>
        </w:rPr>
        <w:t>мигрантов</w:t>
      </w:r>
      <w:r>
        <w:rPr>
          <w:color w:val="231F20"/>
          <w:spacing w:val="-6"/>
          <w:sz w:val="20"/>
        </w:rPr>
        <w:t> </w:t>
      </w:r>
      <w:r>
        <w:rPr>
          <w:color w:val="231F20"/>
          <w:sz w:val="20"/>
        </w:rPr>
        <w:t>требует</w:t>
      </w:r>
      <w:r>
        <w:rPr>
          <w:color w:val="231F20"/>
          <w:spacing w:val="-6"/>
          <w:sz w:val="20"/>
        </w:rPr>
        <w:t> </w:t>
      </w:r>
      <w:r>
        <w:rPr>
          <w:color w:val="231F20"/>
          <w:sz w:val="20"/>
        </w:rPr>
        <w:t>большого</w:t>
      </w:r>
      <w:r>
        <w:rPr>
          <w:color w:val="231F20"/>
          <w:spacing w:val="-6"/>
          <w:sz w:val="20"/>
        </w:rPr>
        <w:t> </w:t>
      </w:r>
      <w:r>
        <w:rPr>
          <w:color w:val="231F20"/>
          <w:sz w:val="20"/>
        </w:rPr>
        <w:t>сочувствия</w:t>
      </w:r>
      <w:r>
        <w:rPr>
          <w:color w:val="231F20"/>
          <w:spacing w:val="-6"/>
          <w:sz w:val="20"/>
        </w:rPr>
        <w:t> </w:t>
      </w:r>
      <w:r>
        <w:rPr>
          <w:color w:val="231F20"/>
          <w:sz w:val="20"/>
        </w:rPr>
        <w:t>и</w:t>
      </w:r>
      <w:r>
        <w:rPr>
          <w:color w:val="231F20"/>
          <w:spacing w:val="-6"/>
          <w:sz w:val="20"/>
        </w:rPr>
        <w:t> </w:t>
      </w:r>
      <w:r>
        <w:rPr>
          <w:color w:val="231F20"/>
          <w:sz w:val="20"/>
        </w:rPr>
        <w:t>заботы.</w:t>
      </w:r>
      <w:r>
        <w:rPr>
          <w:color w:val="231F20"/>
          <w:spacing w:val="-6"/>
          <w:sz w:val="20"/>
        </w:rPr>
        <w:t> </w:t>
      </w:r>
      <w:r>
        <w:rPr>
          <w:color w:val="231F20"/>
          <w:sz w:val="20"/>
        </w:rPr>
        <w:t>Важ- но, чтобы координатор программы имел возможность на самом деле узнать об опыте,</w:t>
      </w:r>
      <w:r>
        <w:rPr>
          <w:color w:val="231F20"/>
          <w:spacing w:val="-7"/>
          <w:sz w:val="20"/>
        </w:rPr>
        <w:t> </w:t>
      </w:r>
      <w:r>
        <w:rPr>
          <w:color w:val="231F20"/>
          <w:sz w:val="20"/>
        </w:rPr>
        <w:t>надеждах</w:t>
      </w:r>
      <w:r>
        <w:rPr>
          <w:color w:val="231F20"/>
          <w:spacing w:val="-7"/>
          <w:sz w:val="20"/>
        </w:rPr>
        <w:t> </w:t>
      </w:r>
      <w:r>
        <w:rPr>
          <w:color w:val="231F20"/>
          <w:sz w:val="20"/>
        </w:rPr>
        <w:t>и</w:t>
      </w:r>
      <w:r>
        <w:rPr>
          <w:color w:val="231F20"/>
          <w:spacing w:val="-7"/>
          <w:sz w:val="20"/>
        </w:rPr>
        <w:t> </w:t>
      </w:r>
      <w:r>
        <w:rPr>
          <w:color w:val="231F20"/>
          <w:sz w:val="20"/>
        </w:rPr>
        <w:t>проблемах,</w:t>
      </w:r>
      <w:r>
        <w:rPr>
          <w:color w:val="231F20"/>
          <w:spacing w:val="-7"/>
          <w:sz w:val="20"/>
        </w:rPr>
        <w:t> </w:t>
      </w:r>
      <w:r>
        <w:rPr>
          <w:color w:val="231F20"/>
          <w:sz w:val="20"/>
        </w:rPr>
        <w:t>с</w:t>
      </w:r>
      <w:r>
        <w:rPr>
          <w:color w:val="231F20"/>
          <w:spacing w:val="-7"/>
          <w:sz w:val="20"/>
        </w:rPr>
        <w:t> </w:t>
      </w:r>
      <w:r>
        <w:rPr>
          <w:color w:val="231F20"/>
          <w:sz w:val="20"/>
        </w:rPr>
        <w:t>которыми</w:t>
      </w:r>
      <w:r>
        <w:rPr>
          <w:color w:val="231F20"/>
          <w:spacing w:val="-7"/>
          <w:sz w:val="20"/>
        </w:rPr>
        <w:t> </w:t>
      </w:r>
      <w:r>
        <w:rPr>
          <w:color w:val="231F20"/>
          <w:sz w:val="20"/>
        </w:rPr>
        <w:t>сталкивается</w:t>
      </w:r>
      <w:r>
        <w:rPr>
          <w:color w:val="231F20"/>
          <w:spacing w:val="-7"/>
          <w:sz w:val="20"/>
        </w:rPr>
        <w:t> </w:t>
      </w:r>
      <w:r>
        <w:rPr>
          <w:color w:val="231F20"/>
          <w:sz w:val="20"/>
        </w:rPr>
        <w:t>каждый</w:t>
      </w:r>
      <w:r>
        <w:rPr>
          <w:color w:val="231F20"/>
          <w:spacing w:val="-7"/>
          <w:sz w:val="20"/>
        </w:rPr>
        <w:t> </w:t>
      </w:r>
      <w:r>
        <w:rPr>
          <w:color w:val="231F20"/>
          <w:sz w:val="20"/>
        </w:rPr>
        <w:t>ребенок</w:t>
      </w:r>
      <w:r>
        <w:rPr>
          <w:color w:val="231F20"/>
          <w:spacing w:val="-7"/>
          <w:sz w:val="20"/>
        </w:rPr>
        <w:t> </w:t>
      </w:r>
      <w:r>
        <w:rPr>
          <w:color w:val="231F20"/>
          <w:sz w:val="20"/>
        </w:rPr>
        <w:t>с</w:t>
      </w:r>
      <w:r>
        <w:rPr>
          <w:color w:val="231F20"/>
          <w:spacing w:val="-7"/>
          <w:sz w:val="20"/>
        </w:rPr>
        <w:t> </w:t>
      </w:r>
      <w:r>
        <w:rPr>
          <w:color w:val="231F20"/>
          <w:sz w:val="20"/>
        </w:rPr>
        <w:t>мигра- ционным</w:t>
      </w:r>
      <w:r>
        <w:rPr>
          <w:color w:val="231F20"/>
          <w:spacing w:val="-9"/>
          <w:sz w:val="20"/>
        </w:rPr>
        <w:t> </w:t>
      </w:r>
      <w:r>
        <w:rPr>
          <w:color w:val="231F20"/>
          <w:sz w:val="20"/>
        </w:rPr>
        <w:t>опытом.</w:t>
      </w:r>
      <w:r>
        <w:rPr>
          <w:color w:val="231F20"/>
          <w:spacing w:val="-9"/>
          <w:sz w:val="20"/>
        </w:rPr>
        <w:t> </w:t>
      </w:r>
      <w:r>
        <w:rPr>
          <w:color w:val="231F20"/>
          <w:sz w:val="20"/>
        </w:rPr>
        <w:t>Кроме</w:t>
      </w:r>
      <w:r>
        <w:rPr>
          <w:color w:val="231F20"/>
          <w:spacing w:val="-9"/>
          <w:sz w:val="20"/>
        </w:rPr>
        <w:t> </w:t>
      </w:r>
      <w:r>
        <w:rPr>
          <w:color w:val="231F20"/>
          <w:sz w:val="20"/>
        </w:rPr>
        <w:t>того,</w:t>
      </w:r>
      <w:r>
        <w:rPr>
          <w:color w:val="231F20"/>
          <w:spacing w:val="-9"/>
          <w:sz w:val="20"/>
        </w:rPr>
        <w:t> </w:t>
      </w:r>
      <w:r>
        <w:rPr>
          <w:color w:val="231F20"/>
          <w:sz w:val="20"/>
        </w:rPr>
        <w:t>многие</w:t>
      </w:r>
      <w:r>
        <w:rPr>
          <w:color w:val="231F20"/>
          <w:spacing w:val="-9"/>
          <w:sz w:val="20"/>
        </w:rPr>
        <w:t> </w:t>
      </w:r>
      <w:r>
        <w:rPr>
          <w:color w:val="231F20"/>
          <w:sz w:val="20"/>
        </w:rPr>
        <w:t>молодые</w:t>
      </w:r>
      <w:r>
        <w:rPr>
          <w:color w:val="231F20"/>
          <w:spacing w:val="-9"/>
          <w:sz w:val="20"/>
        </w:rPr>
        <w:t> </w:t>
      </w:r>
      <w:r>
        <w:rPr>
          <w:color w:val="231F20"/>
          <w:sz w:val="20"/>
        </w:rPr>
        <w:t>люди,</w:t>
      </w:r>
      <w:r>
        <w:rPr>
          <w:color w:val="231F20"/>
          <w:spacing w:val="-9"/>
          <w:sz w:val="20"/>
        </w:rPr>
        <w:t> </w:t>
      </w:r>
      <w:r>
        <w:rPr>
          <w:color w:val="231F20"/>
          <w:sz w:val="20"/>
        </w:rPr>
        <w:t>могут</w:t>
      </w:r>
      <w:r>
        <w:rPr>
          <w:color w:val="231F20"/>
          <w:spacing w:val="-9"/>
          <w:sz w:val="20"/>
        </w:rPr>
        <w:t> </w:t>
      </w:r>
      <w:r>
        <w:rPr>
          <w:color w:val="231F20"/>
          <w:sz w:val="20"/>
        </w:rPr>
        <w:t>иметь</w:t>
      </w:r>
      <w:r>
        <w:rPr>
          <w:color w:val="231F20"/>
          <w:spacing w:val="-9"/>
          <w:sz w:val="20"/>
        </w:rPr>
        <w:t> </w:t>
      </w:r>
      <w:r>
        <w:rPr>
          <w:color w:val="231F20"/>
          <w:sz w:val="20"/>
        </w:rPr>
        <w:t>дело</w:t>
      </w:r>
      <w:r>
        <w:rPr>
          <w:color w:val="231F20"/>
          <w:spacing w:val="-9"/>
          <w:sz w:val="20"/>
        </w:rPr>
        <w:t> </w:t>
      </w:r>
      <w:r>
        <w:rPr>
          <w:color w:val="231F20"/>
          <w:sz w:val="20"/>
        </w:rPr>
        <w:t>с</w:t>
      </w:r>
      <w:r>
        <w:rPr>
          <w:color w:val="231F20"/>
          <w:spacing w:val="-9"/>
          <w:sz w:val="20"/>
        </w:rPr>
        <w:t> </w:t>
      </w:r>
      <w:r>
        <w:rPr>
          <w:color w:val="231F20"/>
          <w:sz w:val="20"/>
        </w:rPr>
        <w:t>потерей</w:t>
      </w:r>
    </w:p>
    <w:p>
      <w:pPr>
        <w:pStyle w:val="ListParagraph"/>
        <w:numPr>
          <w:ilvl w:val="1"/>
          <w:numId w:val="128"/>
        </w:numPr>
        <w:tabs>
          <w:tab w:pos="596" w:val="left" w:leader="none"/>
        </w:tabs>
        <w:spacing w:line="235" w:lineRule="auto" w:before="2" w:after="0"/>
        <w:ind w:left="425" w:right="139" w:firstLine="0"/>
        <w:jc w:val="both"/>
        <w:rPr>
          <w:color w:val="231F20"/>
          <w:sz w:val="20"/>
        </w:rPr>
      </w:pPr>
      <w:r>
        <w:rPr>
          <w:color w:val="231F20"/>
          <w:sz w:val="20"/>
        </w:rPr>
        <w:t>своей родины, семьи или друзей. Наличие этих особенностей создает особые требования</w:t>
      </w:r>
      <w:r>
        <w:rPr>
          <w:color w:val="231F20"/>
          <w:spacing w:val="-7"/>
          <w:sz w:val="20"/>
        </w:rPr>
        <w:t> </w:t>
      </w:r>
      <w:r>
        <w:rPr>
          <w:color w:val="231F20"/>
          <w:sz w:val="20"/>
        </w:rPr>
        <w:t>к</w:t>
      </w:r>
      <w:r>
        <w:rPr>
          <w:color w:val="231F20"/>
          <w:spacing w:val="-7"/>
          <w:sz w:val="20"/>
        </w:rPr>
        <w:t> </w:t>
      </w:r>
      <w:r>
        <w:rPr>
          <w:color w:val="231F20"/>
          <w:sz w:val="20"/>
        </w:rPr>
        <w:t>инклюзивности,</w:t>
      </w:r>
      <w:r>
        <w:rPr>
          <w:color w:val="231F20"/>
          <w:spacing w:val="-7"/>
          <w:sz w:val="20"/>
        </w:rPr>
        <w:t> </w:t>
      </w:r>
      <w:r>
        <w:rPr>
          <w:color w:val="231F20"/>
          <w:sz w:val="20"/>
        </w:rPr>
        <w:t>приветливости</w:t>
      </w:r>
      <w:r>
        <w:rPr>
          <w:color w:val="231F20"/>
          <w:spacing w:val="-7"/>
          <w:sz w:val="20"/>
        </w:rPr>
        <w:t> </w:t>
      </w:r>
      <w:r>
        <w:rPr>
          <w:color w:val="231F20"/>
          <w:sz w:val="20"/>
        </w:rPr>
        <w:t>и</w:t>
      </w:r>
      <w:r>
        <w:rPr>
          <w:color w:val="231F20"/>
          <w:spacing w:val="-7"/>
          <w:sz w:val="20"/>
        </w:rPr>
        <w:t> </w:t>
      </w:r>
      <w:r>
        <w:rPr>
          <w:color w:val="231F20"/>
          <w:sz w:val="20"/>
        </w:rPr>
        <w:t>отзывчивости</w:t>
      </w:r>
      <w:r>
        <w:rPr>
          <w:color w:val="231F20"/>
          <w:spacing w:val="-7"/>
          <w:sz w:val="20"/>
        </w:rPr>
        <w:t> </w:t>
      </w:r>
      <w:r>
        <w:rPr>
          <w:color w:val="231F20"/>
          <w:sz w:val="20"/>
        </w:rPr>
        <w:t>конкретных</w:t>
      </w:r>
      <w:r>
        <w:rPr>
          <w:color w:val="231F20"/>
          <w:spacing w:val="-7"/>
          <w:sz w:val="20"/>
        </w:rPr>
        <w:t> </w:t>
      </w:r>
      <w:r>
        <w:rPr>
          <w:color w:val="231F20"/>
          <w:sz w:val="20"/>
        </w:rPr>
        <w:t>настав- ников и программы в целом.</w:t>
      </w:r>
    </w:p>
    <w:p>
      <w:pPr>
        <w:pStyle w:val="ListParagraph"/>
        <w:numPr>
          <w:ilvl w:val="0"/>
          <w:numId w:val="128"/>
        </w:numPr>
        <w:tabs>
          <w:tab w:pos="423" w:val="left" w:leader="none"/>
          <w:tab w:pos="425" w:val="left" w:leader="none"/>
        </w:tabs>
        <w:spacing w:line="235" w:lineRule="auto" w:before="2" w:after="0"/>
        <w:ind w:left="425" w:right="139" w:hanging="284"/>
        <w:jc w:val="both"/>
        <w:rPr>
          <w:sz w:val="20"/>
        </w:rPr>
      </w:pPr>
      <w:r>
        <w:rPr>
          <w:color w:val="231F20"/>
          <w:sz w:val="20"/>
        </w:rPr>
        <w:t>Необходимо</w:t>
      </w:r>
      <w:r>
        <w:rPr>
          <w:color w:val="231F20"/>
          <w:spacing w:val="-13"/>
          <w:sz w:val="20"/>
        </w:rPr>
        <w:t> </w:t>
      </w:r>
      <w:r>
        <w:rPr>
          <w:color w:val="231F20"/>
          <w:sz w:val="20"/>
        </w:rPr>
        <w:t>поощрять</w:t>
      </w:r>
      <w:r>
        <w:rPr>
          <w:color w:val="231F20"/>
          <w:spacing w:val="-12"/>
          <w:sz w:val="20"/>
        </w:rPr>
        <w:t> </w:t>
      </w:r>
      <w:r>
        <w:rPr>
          <w:color w:val="231F20"/>
          <w:sz w:val="20"/>
        </w:rPr>
        <w:t>и</w:t>
      </w:r>
      <w:r>
        <w:rPr>
          <w:color w:val="231F20"/>
          <w:spacing w:val="-13"/>
          <w:sz w:val="20"/>
        </w:rPr>
        <w:t> </w:t>
      </w:r>
      <w:r>
        <w:rPr>
          <w:color w:val="231F20"/>
          <w:sz w:val="20"/>
        </w:rPr>
        <w:t>поддерживать</w:t>
      </w:r>
      <w:r>
        <w:rPr>
          <w:color w:val="231F20"/>
          <w:spacing w:val="-12"/>
          <w:sz w:val="20"/>
        </w:rPr>
        <w:t> </w:t>
      </w:r>
      <w:r>
        <w:rPr>
          <w:color w:val="231F20"/>
          <w:sz w:val="20"/>
        </w:rPr>
        <w:t>детей</w:t>
      </w:r>
      <w:r>
        <w:rPr>
          <w:color w:val="231F20"/>
          <w:spacing w:val="-13"/>
          <w:sz w:val="20"/>
        </w:rPr>
        <w:t> </w:t>
      </w:r>
      <w:r>
        <w:rPr>
          <w:color w:val="231F20"/>
          <w:sz w:val="20"/>
        </w:rPr>
        <w:t>в</w:t>
      </w:r>
      <w:r>
        <w:rPr>
          <w:color w:val="231F20"/>
          <w:spacing w:val="-12"/>
          <w:sz w:val="20"/>
        </w:rPr>
        <w:t> </w:t>
      </w:r>
      <w:r>
        <w:rPr>
          <w:color w:val="231F20"/>
          <w:sz w:val="20"/>
        </w:rPr>
        <w:t>сохранении</w:t>
      </w:r>
      <w:r>
        <w:rPr>
          <w:color w:val="231F20"/>
          <w:spacing w:val="-13"/>
          <w:sz w:val="20"/>
        </w:rPr>
        <w:t> </w:t>
      </w:r>
      <w:r>
        <w:rPr>
          <w:color w:val="231F20"/>
          <w:sz w:val="20"/>
        </w:rPr>
        <w:t>культурных,</w:t>
      </w:r>
      <w:r>
        <w:rPr>
          <w:color w:val="231F20"/>
          <w:spacing w:val="-12"/>
          <w:sz w:val="20"/>
        </w:rPr>
        <w:t> </w:t>
      </w:r>
      <w:r>
        <w:rPr>
          <w:color w:val="231F20"/>
          <w:sz w:val="20"/>
        </w:rPr>
        <w:t>религиоз- ных</w:t>
      </w:r>
      <w:r>
        <w:rPr>
          <w:color w:val="231F20"/>
          <w:spacing w:val="-4"/>
          <w:sz w:val="20"/>
        </w:rPr>
        <w:t> </w:t>
      </w:r>
      <w:r>
        <w:rPr>
          <w:color w:val="231F20"/>
          <w:sz w:val="20"/>
        </w:rPr>
        <w:t>и</w:t>
      </w:r>
      <w:r>
        <w:rPr>
          <w:color w:val="231F20"/>
          <w:spacing w:val="-4"/>
          <w:sz w:val="20"/>
        </w:rPr>
        <w:t> </w:t>
      </w:r>
      <w:r>
        <w:rPr>
          <w:color w:val="231F20"/>
          <w:sz w:val="20"/>
        </w:rPr>
        <w:t>семейных</w:t>
      </w:r>
      <w:r>
        <w:rPr>
          <w:color w:val="231F20"/>
          <w:spacing w:val="-4"/>
          <w:sz w:val="20"/>
        </w:rPr>
        <w:t> </w:t>
      </w:r>
      <w:r>
        <w:rPr>
          <w:color w:val="231F20"/>
          <w:sz w:val="20"/>
        </w:rPr>
        <w:t>ценностей</w:t>
      </w:r>
      <w:r>
        <w:rPr>
          <w:color w:val="231F20"/>
          <w:spacing w:val="-4"/>
          <w:sz w:val="20"/>
        </w:rPr>
        <w:t> </w:t>
      </w:r>
      <w:r>
        <w:rPr>
          <w:color w:val="231F20"/>
          <w:sz w:val="20"/>
        </w:rPr>
        <w:t>страны</w:t>
      </w:r>
      <w:r>
        <w:rPr>
          <w:color w:val="231F20"/>
          <w:spacing w:val="-4"/>
          <w:sz w:val="20"/>
        </w:rPr>
        <w:t> </w:t>
      </w:r>
      <w:r>
        <w:rPr>
          <w:color w:val="231F20"/>
          <w:sz w:val="20"/>
        </w:rPr>
        <w:t>их</w:t>
      </w:r>
      <w:r>
        <w:rPr>
          <w:color w:val="231F20"/>
          <w:spacing w:val="-4"/>
          <w:sz w:val="20"/>
        </w:rPr>
        <w:t> </w:t>
      </w:r>
      <w:r>
        <w:rPr>
          <w:color w:val="231F20"/>
          <w:sz w:val="20"/>
        </w:rPr>
        <w:t>происхождения,</w:t>
      </w:r>
      <w:r>
        <w:rPr>
          <w:color w:val="231F20"/>
          <w:spacing w:val="-4"/>
          <w:sz w:val="20"/>
        </w:rPr>
        <w:t> </w:t>
      </w:r>
      <w:r>
        <w:rPr>
          <w:color w:val="231F20"/>
          <w:sz w:val="20"/>
        </w:rPr>
        <w:t>одновременно</w:t>
      </w:r>
      <w:r>
        <w:rPr>
          <w:color w:val="231F20"/>
          <w:spacing w:val="-4"/>
          <w:sz w:val="20"/>
        </w:rPr>
        <w:t> </w:t>
      </w:r>
      <w:r>
        <w:rPr>
          <w:color w:val="231F20"/>
          <w:sz w:val="20"/>
        </w:rPr>
        <w:t>помогая</w:t>
      </w:r>
      <w:r>
        <w:rPr>
          <w:color w:val="231F20"/>
          <w:spacing w:val="-4"/>
          <w:sz w:val="20"/>
        </w:rPr>
        <w:t> </w:t>
      </w:r>
      <w:r>
        <w:rPr>
          <w:color w:val="231F20"/>
          <w:sz w:val="20"/>
        </w:rPr>
        <w:t>им адаптироваться к местной культуре.</w:t>
      </w:r>
    </w:p>
    <w:p>
      <w:pPr>
        <w:pStyle w:val="ListParagraph"/>
        <w:numPr>
          <w:ilvl w:val="0"/>
          <w:numId w:val="128"/>
        </w:numPr>
        <w:tabs>
          <w:tab w:pos="423" w:val="left" w:leader="none"/>
          <w:tab w:pos="425" w:val="left" w:leader="none"/>
        </w:tabs>
        <w:spacing w:line="235" w:lineRule="auto" w:before="2" w:after="0"/>
        <w:ind w:left="425" w:right="140" w:hanging="284"/>
        <w:jc w:val="both"/>
        <w:rPr>
          <w:sz w:val="20"/>
        </w:rPr>
      </w:pPr>
      <w:r>
        <w:rPr>
          <w:color w:val="231F20"/>
          <w:sz w:val="20"/>
        </w:rPr>
        <w:t>Важно</w:t>
      </w:r>
      <w:r>
        <w:rPr>
          <w:color w:val="231F20"/>
          <w:spacing w:val="-9"/>
          <w:sz w:val="20"/>
        </w:rPr>
        <w:t> </w:t>
      </w:r>
      <w:r>
        <w:rPr>
          <w:color w:val="231F20"/>
          <w:sz w:val="20"/>
        </w:rPr>
        <w:t>давать</w:t>
      </w:r>
      <w:r>
        <w:rPr>
          <w:color w:val="231F20"/>
          <w:spacing w:val="-9"/>
          <w:sz w:val="20"/>
        </w:rPr>
        <w:t> </w:t>
      </w:r>
      <w:r>
        <w:rPr>
          <w:color w:val="231F20"/>
          <w:sz w:val="20"/>
        </w:rPr>
        <w:t>детям</w:t>
      </w:r>
      <w:r>
        <w:rPr>
          <w:color w:val="231F20"/>
          <w:spacing w:val="-9"/>
          <w:sz w:val="20"/>
        </w:rPr>
        <w:t> </w:t>
      </w:r>
      <w:r>
        <w:rPr>
          <w:color w:val="231F20"/>
          <w:sz w:val="20"/>
        </w:rPr>
        <w:t>возможность</w:t>
      </w:r>
      <w:r>
        <w:rPr>
          <w:color w:val="231F20"/>
          <w:spacing w:val="-9"/>
          <w:sz w:val="20"/>
        </w:rPr>
        <w:t> </w:t>
      </w:r>
      <w:r>
        <w:rPr>
          <w:color w:val="231F20"/>
          <w:sz w:val="20"/>
        </w:rPr>
        <w:t>выступать</w:t>
      </w:r>
      <w:r>
        <w:rPr>
          <w:color w:val="231F20"/>
          <w:spacing w:val="-9"/>
          <w:sz w:val="20"/>
        </w:rPr>
        <w:t> </w:t>
      </w:r>
      <w:r>
        <w:rPr>
          <w:color w:val="231F20"/>
          <w:sz w:val="20"/>
        </w:rPr>
        <w:t>в</w:t>
      </w:r>
      <w:r>
        <w:rPr>
          <w:color w:val="231F20"/>
          <w:spacing w:val="-9"/>
          <w:sz w:val="20"/>
        </w:rPr>
        <w:t> </w:t>
      </w:r>
      <w:r>
        <w:rPr>
          <w:color w:val="231F20"/>
          <w:sz w:val="20"/>
        </w:rPr>
        <w:t>качестве</w:t>
      </w:r>
      <w:r>
        <w:rPr>
          <w:color w:val="231F20"/>
          <w:spacing w:val="-9"/>
          <w:sz w:val="20"/>
        </w:rPr>
        <w:t> </w:t>
      </w:r>
      <w:r>
        <w:rPr>
          <w:color w:val="231F20"/>
          <w:sz w:val="20"/>
        </w:rPr>
        <w:t>лидеров</w:t>
      </w:r>
      <w:r>
        <w:rPr>
          <w:color w:val="231F20"/>
          <w:spacing w:val="-9"/>
          <w:sz w:val="20"/>
        </w:rPr>
        <w:t> </w:t>
      </w:r>
      <w:r>
        <w:rPr>
          <w:color w:val="231F20"/>
          <w:sz w:val="20"/>
        </w:rPr>
        <w:t>и</w:t>
      </w:r>
      <w:r>
        <w:rPr>
          <w:color w:val="231F20"/>
          <w:spacing w:val="-9"/>
          <w:sz w:val="20"/>
        </w:rPr>
        <w:t> </w:t>
      </w:r>
      <w:r>
        <w:rPr>
          <w:color w:val="231F20"/>
          <w:sz w:val="20"/>
        </w:rPr>
        <w:t>представителей своей культуры и языка.</w:t>
      </w:r>
    </w:p>
    <w:p>
      <w:pPr>
        <w:pStyle w:val="ListParagraph"/>
        <w:numPr>
          <w:ilvl w:val="0"/>
          <w:numId w:val="128"/>
        </w:numPr>
        <w:tabs>
          <w:tab w:pos="423" w:val="left" w:leader="none"/>
          <w:tab w:pos="425" w:val="left" w:leader="none"/>
        </w:tabs>
        <w:spacing w:line="235" w:lineRule="auto" w:before="1" w:after="0"/>
        <w:ind w:left="425" w:right="139" w:hanging="284"/>
        <w:jc w:val="both"/>
        <w:rPr>
          <w:sz w:val="20"/>
        </w:rPr>
      </w:pPr>
      <w:r>
        <w:rPr>
          <w:color w:val="231F20"/>
          <w:sz w:val="20"/>
        </w:rPr>
        <w:t>Стоит</w:t>
      </w:r>
      <w:r>
        <w:rPr>
          <w:color w:val="231F20"/>
          <w:spacing w:val="-6"/>
          <w:sz w:val="20"/>
        </w:rPr>
        <w:t> </w:t>
      </w:r>
      <w:r>
        <w:rPr>
          <w:color w:val="231F20"/>
          <w:sz w:val="20"/>
        </w:rPr>
        <w:t>поддерживать</w:t>
      </w:r>
      <w:r>
        <w:rPr>
          <w:color w:val="231F20"/>
          <w:spacing w:val="-6"/>
          <w:sz w:val="20"/>
        </w:rPr>
        <w:t> </w:t>
      </w:r>
      <w:r>
        <w:rPr>
          <w:color w:val="231F20"/>
          <w:sz w:val="20"/>
        </w:rPr>
        <w:t>академические</w:t>
      </w:r>
      <w:r>
        <w:rPr>
          <w:color w:val="231F20"/>
          <w:spacing w:val="-6"/>
          <w:sz w:val="20"/>
        </w:rPr>
        <w:t> </w:t>
      </w:r>
      <w:r>
        <w:rPr>
          <w:color w:val="231F20"/>
          <w:sz w:val="20"/>
        </w:rPr>
        <w:t>успехи</w:t>
      </w:r>
      <w:r>
        <w:rPr>
          <w:color w:val="231F20"/>
          <w:spacing w:val="-6"/>
          <w:sz w:val="20"/>
        </w:rPr>
        <w:t> </w:t>
      </w:r>
      <w:r>
        <w:rPr>
          <w:color w:val="231F20"/>
          <w:sz w:val="20"/>
        </w:rPr>
        <w:t>детей,</w:t>
      </w:r>
      <w:r>
        <w:rPr>
          <w:color w:val="231F20"/>
          <w:spacing w:val="-6"/>
          <w:sz w:val="20"/>
        </w:rPr>
        <w:t> </w:t>
      </w:r>
      <w:r>
        <w:rPr>
          <w:color w:val="231F20"/>
          <w:sz w:val="20"/>
        </w:rPr>
        <w:t>поощряя</w:t>
      </w:r>
      <w:r>
        <w:rPr>
          <w:color w:val="231F20"/>
          <w:spacing w:val="-6"/>
          <w:sz w:val="20"/>
        </w:rPr>
        <w:t> </w:t>
      </w:r>
      <w:r>
        <w:rPr>
          <w:color w:val="231F20"/>
          <w:sz w:val="20"/>
        </w:rPr>
        <w:t>их</w:t>
      </w:r>
      <w:r>
        <w:rPr>
          <w:color w:val="231F20"/>
          <w:spacing w:val="-6"/>
          <w:sz w:val="20"/>
        </w:rPr>
        <w:t> </w:t>
      </w:r>
      <w:r>
        <w:rPr>
          <w:color w:val="231F20"/>
          <w:sz w:val="20"/>
        </w:rPr>
        <w:t>стремление</w:t>
      </w:r>
      <w:r>
        <w:rPr>
          <w:color w:val="231F20"/>
          <w:spacing w:val="-6"/>
          <w:sz w:val="20"/>
        </w:rPr>
        <w:t> </w:t>
      </w:r>
      <w:r>
        <w:rPr>
          <w:color w:val="231F20"/>
          <w:sz w:val="20"/>
        </w:rPr>
        <w:t>учить- ся и обращаться за помощью в случае необходимости.</w:t>
      </w:r>
    </w:p>
    <w:p>
      <w:pPr>
        <w:pStyle w:val="ListParagraph"/>
        <w:numPr>
          <w:ilvl w:val="0"/>
          <w:numId w:val="128"/>
        </w:numPr>
        <w:tabs>
          <w:tab w:pos="423" w:val="left" w:leader="none"/>
          <w:tab w:pos="425" w:val="left" w:leader="none"/>
        </w:tabs>
        <w:spacing w:line="235" w:lineRule="auto" w:before="1" w:after="0"/>
        <w:ind w:left="425" w:right="139" w:hanging="284"/>
        <w:jc w:val="both"/>
        <w:rPr>
          <w:sz w:val="20"/>
        </w:rPr>
      </w:pPr>
      <w:r>
        <w:rPr>
          <w:color w:val="231F20"/>
          <w:sz w:val="20"/>
        </w:rPr>
        <w:t>Важно</w:t>
      </w:r>
      <w:r>
        <w:rPr>
          <w:color w:val="231F20"/>
          <w:spacing w:val="-8"/>
          <w:sz w:val="20"/>
        </w:rPr>
        <w:t> </w:t>
      </w:r>
      <w:r>
        <w:rPr>
          <w:sz w:val="20"/>
        </w:rPr>
        <w:t>собрать</w:t>
      </w:r>
      <w:r>
        <w:rPr>
          <w:spacing w:val="-8"/>
          <w:sz w:val="20"/>
        </w:rPr>
        <w:t> </w:t>
      </w:r>
      <w:r>
        <w:rPr>
          <w:sz w:val="20"/>
        </w:rPr>
        <w:t>информацию</w:t>
      </w:r>
      <w:r>
        <w:rPr>
          <w:spacing w:val="-8"/>
          <w:sz w:val="20"/>
        </w:rPr>
        <w:t> </w:t>
      </w:r>
      <w:r>
        <w:rPr>
          <w:sz w:val="20"/>
        </w:rPr>
        <w:t>об</w:t>
      </w:r>
      <w:r>
        <w:rPr>
          <w:spacing w:val="-8"/>
          <w:sz w:val="20"/>
        </w:rPr>
        <w:t> </w:t>
      </w:r>
      <w:r>
        <w:rPr>
          <w:sz w:val="20"/>
        </w:rPr>
        <w:t>организациях</w:t>
      </w:r>
      <w:r>
        <w:rPr>
          <w:spacing w:val="-8"/>
          <w:sz w:val="20"/>
        </w:rPr>
        <w:t> </w:t>
      </w:r>
      <w:r>
        <w:rPr>
          <w:sz w:val="20"/>
        </w:rPr>
        <w:t>–</w:t>
      </w:r>
      <w:r>
        <w:rPr>
          <w:spacing w:val="-8"/>
          <w:sz w:val="20"/>
        </w:rPr>
        <w:t> </w:t>
      </w:r>
      <w:r>
        <w:rPr>
          <w:sz w:val="20"/>
        </w:rPr>
        <w:t>«культурных</w:t>
      </w:r>
      <w:r>
        <w:rPr>
          <w:spacing w:val="-8"/>
          <w:sz w:val="20"/>
        </w:rPr>
        <w:t> </w:t>
      </w:r>
      <w:r>
        <w:rPr>
          <w:sz w:val="20"/>
        </w:rPr>
        <w:t>посредниках»,</w:t>
      </w:r>
      <w:r>
        <w:rPr>
          <w:spacing w:val="-8"/>
          <w:sz w:val="20"/>
        </w:rPr>
        <w:t> </w:t>
      </w:r>
      <w:r>
        <w:rPr>
          <w:sz w:val="20"/>
        </w:rPr>
        <w:t>зани- мающихся</w:t>
      </w:r>
      <w:r>
        <w:rPr>
          <w:spacing w:val="-2"/>
          <w:sz w:val="20"/>
        </w:rPr>
        <w:t> </w:t>
      </w:r>
      <w:r>
        <w:rPr>
          <w:sz w:val="20"/>
        </w:rPr>
        <w:t>проблемами</w:t>
      </w:r>
      <w:r>
        <w:rPr>
          <w:spacing w:val="-3"/>
          <w:sz w:val="20"/>
        </w:rPr>
        <w:t> </w:t>
      </w:r>
      <w:r>
        <w:rPr>
          <w:sz w:val="20"/>
        </w:rPr>
        <w:t>семей</w:t>
      </w:r>
      <w:r>
        <w:rPr>
          <w:spacing w:val="-3"/>
          <w:sz w:val="20"/>
        </w:rPr>
        <w:t> </w:t>
      </w:r>
      <w:r>
        <w:rPr>
          <w:sz w:val="20"/>
        </w:rPr>
        <w:t>с</w:t>
      </w:r>
      <w:r>
        <w:rPr>
          <w:spacing w:val="-2"/>
          <w:sz w:val="20"/>
        </w:rPr>
        <w:t> </w:t>
      </w:r>
      <w:r>
        <w:rPr>
          <w:sz w:val="20"/>
        </w:rPr>
        <w:t>миграционным</w:t>
      </w:r>
      <w:r>
        <w:rPr>
          <w:spacing w:val="-2"/>
          <w:sz w:val="20"/>
        </w:rPr>
        <w:t> </w:t>
      </w:r>
      <w:r>
        <w:rPr>
          <w:sz w:val="20"/>
        </w:rPr>
        <w:t>опытом,</w:t>
      </w:r>
      <w:r>
        <w:rPr>
          <w:spacing w:val="-2"/>
          <w:sz w:val="20"/>
        </w:rPr>
        <w:t> </w:t>
      </w:r>
      <w:r>
        <w:rPr>
          <w:sz w:val="20"/>
        </w:rPr>
        <w:t>и</w:t>
      </w:r>
      <w:r>
        <w:rPr>
          <w:spacing w:val="-3"/>
          <w:sz w:val="20"/>
        </w:rPr>
        <w:t> </w:t>
      </w:r>
      <w:r>
        <w:rPr>
          <w:sz w:val="20"/>
        </w:rPr>
        <w:t>наладить</w:t>
      </w:r>
      <w:r>
        <w:rPr>
          <w:spacing w:val="-3"/>
          <w:sz w:val="20"/>
        </w:rPr>
        <w:t> </w:t>
      </w:r>
      <w:r>
        <w:rPr>
          <w:sz w:val="20"/>
        </w:rPr>
        <w:t>связи</w:t>
      </w:r>
      <w:r>
        <w:rPr>
          <w:spacing w:val="-3"/>
          <w:sz w:val="20"/>
        </w:rPr>
        <w:t> </w:t>
      </w:r>
      <w:r>
        <w:rPr>
          <w:sz w:val="20"/>
        </w:rPr>
        <w:t>с</w:t>
      </w:r>
      <w:r>
        <w:rPr>
          <w:spacing w:val="-2"/>
          <w:sz w:val="20"/>
        </w:rPr>
        <w:t> </w:t>
      </w:r>
      <w:r>
        <w:rPr>
          <w:sz w:val="20"/>
        </w:rPr>
        <w:t>ними.</w:t>
      </w:r>
    </w:p>
    <w:p>
      <w:pPr>
        <w:pStyle w:val="ListParagraph"/>
        <w:numPr>
          <w:ilvl w:val="0"/>
          <w:numId w:val="128"/>
        </w:numPr>
        <w:tabs>
          <w:tab w:pos="423" w:val="left" w:leader="none"/>
          <w:tab w:pos="425" w:val="left" w:leader="none"/>
        </w:tabs>
        <w:spacing w:line="235" w:lineRule="auto" w:before="2" w:after="0"/>
        <w:ind w:left="425" w:right="139" w:hanging="284"/>
        <w:jc w:val="both"/>
        <w:rPr>
          <w:sz w:val="20"/>
        </w:rPr>
      </w:pPr>
      <w:r>
        <w:rPr>
          <w:sz w:val="20"/>
        </w:rPr>
        <w:t>Не</w:t>
      </w:r>
      <w:r>
        <w:rPr>
          <w:spacing w:val="-9"/>
          <w:sz w:val="20"/>
        </w:rPr>
        <w:t> </w:t>
      </w:r>
      <w:r>
        <w:rPr>
          <w:color w:val="231F20"/>
          <w:sz w:val="20"/>
        </w:rPr>
        <w:t>стоит</w:t>
      </w:r>
      <w:r>
        <w:rPr>
          <w:color w:val="231F20"/>
          <w:spacing w:val="-9"/>
          <w:sz w:val="20"/>
        </w:rPr>
        <w:t> </w:t>
      </w:r>
      <w:r>
        <w:rPr>
          <w:color w:val="231F20"/>
          <w:sz w:val="20"/>
        </w:rPr>
        <w:t>закрывать</w:t>
      </w:r>
      <w:r>
        <w:rPr>
          <w:color w:val="231F20"/>
          <w:spacing w:val="-9"/>
          <w:sz w:val="20"/>
        </w:rPr>
        <w:t> </w:t>
      </w:r>
      <w:r>
        <w:rPr>
          <w:sz w:val="20"/>
        </w:rPr>
        <w:t>глаза</w:t>
      </w:r>
      <w:r>
        <w:rPr>
          <w:spacing w:val="-9"/>
          <w:sz w:val="20"/>
        </w:rPr>
        <w:t> </w:t>
      </w:r>
      <w:r>
        <w:rPr>
          <w:sz w:val="20"/>
        </w:rPr>
        <w:t>на</w:t>
      </w:r>
      <w:r>
        <w:rPr>
          <w:spacing w:val="-9"/>
          <w:sz w:val="20"/>
        </w:rPr>
        <w:t> </w:t>
      </w:r>
      <w:r>
        <w:rPr>
          <w:sz w:val="20"/>
        </w:rPr>
        <w:t>запрос</w:t>
      </w:r>
      <w:r>
        <w:rPr>
          <w:spacing w:val="-9"/>
          <w:sz w:val="20"/>
        </w:rPr>
        <w:t> </w:t>
      </w:r>
      <w:r>
        <w:rPr>
          <w:sz w:val="20"/>
        </w:rPr>
        <w:t>от</w:t>
      </w:r>
      <w:r>
        <w:rPr>
          <w:spacing w:val="-9"/>
          <w:sz w:val="20"/>
        </w:rPr>
        <w:t> </w:t>
      </w:r>
      <w:r>
        <w:rPr>
          <w:sz w:val="20"/>
        </w:rPr>
        <w:t>самих</w:t>
      </w:r>
      <w:r>
        <w:rPr>
          <w:spacing w:val="-9"/>
          <w:sz w:val="20"/>
        </w:rPr>
        <w:t> </w:t>
      </w:r>
      <w:r>
        <w:rPr>
          <w:sz w:val="20"/>
        </w:rPr>
        <w:t>детей</w:t>
      </w:r>
      <w:r>
        <w:rPr>
          <w:spacing w:val="-9"/>
          <w:sz w:val="20"/>
        </w:rPr>
        <w:t> </w:t>
      </w:r>
      <w:r>
        <w:rPr>
          <w:sz w:val="20"/>
        </w:rPr>
        <w:t>с</w:t>
      </w:r>
      <w:r>
        <w:rPr>
          <w:spacing w:val="-9"/>
          <w:sz w:val="20"/>
        </w:rPr>
        <w:t> </w:t>
      </w:r>
      <w:r>
        <w:rPr>
          <w:sz w:val="20"/>
        </w:rPr>
        <w:t>миграционным</w:t>
      </w:r>
      <w:r>
        <w:rPr>
          <w:spacing w:val="-9"/>
          <w:sz w:val="20"/>
        </w:rPr>
        <w:t> </w:t>
      </w:r>
      <w:r>
        <w:rPr>
          <w:sz w:val="20"/>
        </w:rPr>
        <w:t>опытом.</w:t>
      </w:r>
      <w:r>
        <w:rPr>
          <w:spacing w:val="-9"/>
          <w:sz w:val="20"/>
        </w:rPr>
        <w:t> </w:t>
      </w:r>
      <w:r>
        <w:rPr>
          <w:sz w:val="20"/>
        </w:rPr>
        <w:t>Важ- но собрать информацию об их потребностях и использовать ее при разработке </w:t>
      </w:r>
      <w:r>
        <w:rPr>
          <w:spacing w:val="-2"/>
          <w:sz w:val="20"/>
        </w:rPr>
        <w:t>программы.</w:t>
      </w:r>
    </w:p>
    <w:p>
      <w:pPr>
        <w:pStyle w:val="ListParagraph"/>
        <w:spacing w:after="0" w:line="235" w:lineRule="auto"/>
        <w:jc w:val="both"/>
        <w:rPr>
          <w:sz w:val="20"/>
        </w:rPr>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ListParagraph"/>
        <w:numPr>
          <w:ilvl w:val="0"/>
          <w:numId w:val="128"/>
        </w:numPr>
        <w:tabs>
          <w:tab w:pos="423" w:val="left" w:leader="none"/>
          <w:tab w:pos="425" w:val="left" w:leader="none"/>
        </w:tabs>
        <w:spacing w:line="235" w:lineRule="auto" w:before="116" w:after="0"/>
        <w:ind w:left="425" w:right="139" w:hanging="284"/>
        <w:jc w:val="both"/>
        <w:rPr>
          <w:sz w:val="20"/>
        </w:rPr>
      </w:pPr>
      <w:r>
        <w:rPr>
          <w:sz w:val="20"/>
        </w:rPr>
        <w:t>Если</w:t>
      </w:r>
      <w:r>
        <w:rPr>
          <w:spacing w:val="-13"/>
          <w:sz w:val="20"/>
        </w:rPr>
        <w:t> </w:t>
      </w:r>
      <w:r>
        <w:rPr>
          <w:sz w:val="20"/>
        </w:rPr>
        <w:t>это</w:t>
      </w:r>
      <w:r>
        <w:rPr>
          <w:spacing w:val="-12"/>
          <w:sz w:val="20"/>
        </w:rPr>
        <w:t> </w:t>
      </w:r>
      <w:r>
        <w:rPr>
          <w:sz w:val="20"/>
        </w:rPr>
        <w:t>возможно,</w:t>
      </w:r>
      <w:r>
        <w:rPr>
          <w:spacing w:val="-13"/>
          <w:sz w:val="20"/>
        </w:rPr>
        <w:t> </w:t>
      </w:r>
      <w:r>
        <w:rPr>
          <w:sz w:val="20"/>
        </w:rPr>
        <w:t>состав</w:t>
      </w:r>
      <w:r>
        <w:rPr>
          <w:spacing w:val="-12"/>
          <w:sz w:val="20"/>
        </w:rPr>
        <w:t> </w:t>
      </w:r>
      <w:r>
        <w:rPr>
          <w:sz w:val="20"/>
        </w:rPr>
        <w:t>команды</w:t>
      </w:r>
      <w:r>
        <w:rPr>
          <w:spacing w:val="-13"/>
          <w:sz w:val="20"/>
        </w:rPr>
        <w:t> </w:t>
      </w:r>
      <w:r>
        <w:rPr>
          <w:sz w:val="20"/>
        </w:rPr>
        <w:t>наставников</w:t>
      </w:r>
      <w:r>
        <w:rPr>
          <w:spacing w:val="-12"/>
          <w:sz w:val="20"/>
        </w:rPr>
        <w:t> </w:t>
      </w:r>
      <w:r>
        <w:rPr>
          <w:sz w:val="20"/>
        </w:rPr>
        <w:t>должен</w:t>
      </w:r>
      <w:r>
        <w:rPr>
          <w:spacing w:val="-13"/>
          <w:sz w:val="20"/>
        </w:rPr>
        <w:t> </w:t>
      </w:r>
      <w:r>
        <w:rPr>
          <w:sz w:val="20"/>
        </w:rPr>
        <w:t>быть</w:t>
      </w:r>
      <w:r>
        <w:rPr>
          <w:spacing w:val="-12"/>
          <w:sz w:val="20"/>
        </w:rPr>
        <w:t> </w:t>
      </w:r>
      <w:r>
        <w:rPr>
          <w:sz w:val="20"/>
        </w:rPr>
        <w:t>мультикультурным и</w:t>
      </w:r>
      <w:r>
        <w:rPr>
          <w:spacing w:val="-8"/>
          <w:sz w:val="20"/>
        </w:rPr>
        <w:t> </w:t>
      </w:r>
      <w:r>
        <w:rPr>
          <w:sz w:val="20"/>
        </w:rPr>
        <w:t>многоязычным.</w:t>
      </w:r>
      <w:r>
        <w:rPr>
          <w:spacing w:val="-8"/>
          <w:sz w:val="20"/>
        </w:rPr>
        <w:t> </w:t>
      </w:r>
      <w:r>
        <w:rPr>
          <w:sz w:val="20"/>
        </w:rPr>
        <w:t>Если</w:t>
      </w:r>
      <w:r>
        <w:rPr>
          <w:spacing w:val="-8"/>
          <w:sz w:val="20"/>
        </w:rPr>
        <w:t> </w:t>
      </w:r>
      <w:r>
        <w:rPr>
          <w:sz w:val="20"/>
        </w:rPr>
        <w:t>нет,</w:t>
      </w:r>
      <w:r>
        <w:rPr>
          <w:spacing w:val="-8"/>
          <w:sz w:val="20"/>
        </w:rPr>
        <w:t> </w:t>
      </w:r>
      <w:r>
        <w:rPr>
          <w:sz w:val="20"/>
        </w:rPr>
        <w:t>стоит</w:t>
      </w:r>
      <w:r>
        <w:rPr>
          <w:spacing w:val="-8"/>
          <w:sz w:val="20"/>
        </w:rPr>
        <w:t> </w:t>
      </w:r>
      <w:r>
        <w:rPr>
          <w:sz w:val="20"/>
        </w:rPr>
        <w:t>регулярно</w:t>
      </w:r>
      <w:r>
        <w:rPr>
          <w:spacing w:val="-8"/>
          <w:sz w:val="20"/>
        </w:rPr>
        <w:t> </w:t>
      </w:r>
      <w:r>
        <w:rPr>
          <w:sz w:val="20"/>
        </w:rPr>
        <w:t>проводить</w:t>
      </w:r>
      <w:r>
        <w:rPr>
          <w:spacing w:val="-8"/>
          <w:sz w:val="20"/>
        </w:rPr>
        <w:t> </w:t>
      </w:r>
      <w:r>
        <w:rPr>
          <w:sz w:val="20"/>
        </w:rPr>
        <w:t>соответствующие</w:t>
      </w:r>
      <w:r>
        <w:rPr>
          <w:spacing w:val="-8"/>
          <w:sz w:val="20"/>
        </w:rPr>
        <w:t> </w:t>
      </w:r>
      <w:r>
        <w:rPr>
          <w:sz w:val="20"/>
        </w:rPr>
        <w:t>тренин- ги</w:t>
      </w:r>
      <w:r>
        <w:rPr>
          <w:spacing w:val="-13"/>
          <w:sz w:val="20"/>
        </w:rPr>
        <w:t> </w:t>
      </w:r>
      <w:r>
        <w:rPr>
          <w:sz w:val="20"/>
        </w:rPr>
        <w:t>по</w:t>
      </w:r>
      <w:r>
        <w:rPr>
          <w:spacing w:val="-12"/>
          <w:sz w:val="20"/>
        </w:rPr>
        <w:t> </w:t>
      </w:r>
      <w:r>
        <w:rPr>
          <w:sz w:val="20"/>
        </w:rPr>
        <w:t>культурному</w:t>
      </w:r>
      <w:r>
        <w:rPr>
          <w:spacing w:val="-13"/>
          <w:sz w:val="20"/>
        </w:rPr>
        <w:t> </w:t>
      </w:r>
      <w:r>
        <w:rPr>
          <w:sz w:val="20"/>
        </w:rPr>
        <w:t>разнообразию</w:t>
      </w:r>
      <w:r>
        <w:rPr>
          <w:spacing w:val="-12"/>
          <w:sz w:val="20"/>
        </w:rPr>
        <w:t> </w:t>
      </w:r>
      <w:r>
        <w:rPr>
          <w:sz w:val="20"/>
        </w:rPr>
        <w:t>и</w:t>
      </w:r>
      <w:r>
        <w:rPr>
          <w:spacing w:val="-13"/>
          <w:sz w:val="20"/>
        </w:rPr>
        <w:t> </w:t>
      </w:r>
      <w:r>
        <w:rPr>
          <w:sz w:val="20"/>
        </w:rPr>
        <w:t>налаживать</w:t>
      </w:r>
      <w:r>
        <w:rPr>
          <w:spacing w:val="-12"/>
          <w:sz w:val="20"/>
        </w:rPr>
        <w:t> </w:t>
      </w:r>
      <w:r>
        <w:rPr>
          <w:sz w:val="20"/>
        </w:rPr>
        <w:t>связи</w:t>
      </w:r>
      <w:r>
        <w:rPr>
          <w:spacing w:val="-13"/>
          <w:sz w:val="20"/>
        </w:rPr>
        <w:t> </w:t>
      </w:r>
      <w:r>
        <w:rPr>
          <w:sz w:val="20"/>
        </w:rPr>
        <w:t>с</w:t>
      </w:r>
      <w:r>
        <w:rPr>
          <w:spacing w:val="-12"/>
          <w:sz w:val="20"/>
        </w:rPr>
        <w:t> </w:t>
      </w:r>
      <w:r>
        <w:rPr>
          <w:sz w:val="20"/>
        </w:rPr>
        <w:t>организациями</w:t>
      </w:r>
      <w:r>
        <w:rPr>
          <w:spacing w:val="-13"/>
          <w:sz w:val="20"/>
        </w:rPr>
        <w:t> </w:t>
      </w:r>
      <w:r>
        <w:rPr>
          <w:sz w:val="20"/>
        </w:rPr>
        <w:t>–</w:t>
      </w:r>
      <w:r>
        <w:rPr>
          <w:spacing w:val="-12"/>
          <w:sz w:val="20"/>
        </w:rPr>
        <w:t> </w:t>
      </w:r>
      <w:r>
        <w:rPr>
          <w:sz w:val="20"/>
        </w:rPr>
        <w:t>«культур- ными посредниками».</w:t>
      </w:r>
    </w:p>
    <w:p>
      <w:pPr>
        <w:pStyle w:val="BodyText"/>
        <w:spacing w:line="235" w:lineRule="auto" w:before="116"/>
      </w:pPr>
      <w:r>
        <w:rPr/>
        <w:t>Хороший</w:t>
      </w:r>
      <w:r>
        <w:rPr>
          <w:spacing w:val="-11"/>
        </w:rPr>
        <w:t> </w:t>
      </w:r>
      <w:r>
        <w:rPr/>
        <w:t>пример</w:t>
      </w:r>
      <w:r>
        <w:rPr>
          <w:spacing w:val="-11"/>
        </w:rPr>
        <w:t> </w:t>
      </w:r>
      <w:r>
        <w:rPr/>
        <w:t>практической</w:t>
      </w:r>
      <w:r>
        <w:rPr>
          <w:spacing w:val="-11"/>
        </w:rPr>
        <w:t> </w:t>
      </w:r>
      <w:r>
        <w:rPr/>
        <w:t>реализации</w:t>
      </w:r>
      <w:r>
        <w:rPr>
          <w:spacing w:val="-11"/>
        </w:rPr>
        <w:t> </w:t>
      </w:r>
      <w:r>
        <w:rPr/>
        <w:t>наставнической</w:t>
      </w:r>
      <w:r>
        <w:rPr>
          <w:spacing w:val="-11"/>
        </w:rPr>
        <w:t> </w:t>
      </w:r>
      <w:r>
        <w:rPr/>
        <w:t>программы</w:t>
      </w:r>
      <w:r>
        <w:rPr>
          <w:spacing w:val="-11"/>
        </w:rPr>
        <w:t> </w:t>
      </w:r>
      <w:r>
        <w:rPr/>
        <w:t>для</w:t>
      </w:r>
      <w:r>
        <w:rPr>
          <w:spacing w:val="-11"/>
        </w:rPr>
        <w:t> </w:t>
      </w:r>
      <w:r>
        <w:rPr/>
        <w:t>детей с</w:t>
      </w:r>
      <w:r>
        <w:rPr>
          <w:spacing w:val="-13"/>
        </w:rPr>
        <w:t> </w:t>
      </w:r>
      <w:r>
        <w:rPr/>
        <w:t>миграционным</w:t>
      </w:r>
      <w:r>
        <w:rPr>
          <w:spacing w:val="-12"/>
        </w:rPr>
        <w:t> </w:t>
      </w:r>
      <w:r>
        <w:rPr/>
        <w:t>опытом</w:t>
      </w:r>
      <w:r>
        <w:rPr>
          <w:spacing w:val="-13"/>
        </w:rPr>
        <w:t> </w:t>
      </w:r>
      <w:r>
        <w:rPr/>
        <w:t>дает</w:t>
      </w:r>
      <w:r>
        <w:rPr>
          <w:spacing w:val="-12"/>
        </w:rPr>
        <w:t> </w:t>
      </w:r>
      <w:r>
        <w:rPr/>
        <w:t>испанский</w:t>
      </w:r>
      <w:r>
        <w:rPr>
          <w:spacing w:val="-13"/>
        </w:rPr>
        <w:t> </w:t>
      </w:r>
      <w:r>
        <w:rPr/>
        <w:t>проект,</w:t>
      </w:r>
      <w:r>
        <w:rPr>
          <w:spacing w:val="-12"/>
        </w:rPr>
        <w:t> </w:t>
      </w:r>
      <w:r>
        <w:rPr/>
        <w:t>реализованный</w:t>
      </w:r>
      <w:r>
        <w:rPr>
          <w:spacing w:val="-13"/>
        </w:rPr>
        <w:t> </w:t>
      </w:r>
      <w:r>
        <w:rPr/>
        <w:t>в</w:t>
      </w:r>
      <w:r>
        <w:rPr>
          <w:spacing w:val="-12"/>
        </w:rPr>
        <w:t> </w:t>
      </w:r>
      <w:r>
        <w:rPr/>
        <w:t>Жироне</w:t>
      </w:r>
      <w:r>
        <w:rPr>
          <w:spacing w:val="-13"/>
        </w:rPr>
        <w:t> </w:t>
      </w:r>
      <w:r>
        <w:rPr/>
        <w:t>и</w:t>
      </w:r>
      <w:r>
        <w:rPr>
          <w:spacing w:val="-12"/>
        </w:rPr>
        <w:t> </w:t>
      </w:r>
      <w:r>
        <w:rPr/>
        <w:t>Барсело- не</w:t>
      </w:r>
      <w:r>
        <w:rPr>
          <w:spacing w:val="-13"/>
        </w:rPr>
        <w:t> </w:t>
      </w:r>
      <w:r>
        <w:rPr/>
        <w:t>(</w:t>
      </w:r>
      <w:r>
        <w:rPr>
          <w:color w:val="231F20"/>
        </w:rPr>
        <w:t>Prieto-Flores</w:t>
      </w:r>
      <w:r>
        <w:rPr/>
        <w:t>,</w:t>
      </w:r>
      <w:r>
        <w:rPr>
          <w:spacing w:val="-12"/>
        </w:rPr>
        <w:t> </w:t>
      </w:r>
      <w:r>
        <w:rPr/>
        <w:t>2021).</w:t>
      </w:r>
      <w:r>
        <w:rPr>
          <w:spacing w:val="-13"/>
        </w:rPr>
        <w:t> </w:t>
      </w:r>
      <w:r>
        <w:rPr/>
        <w:t>Программа</w:t>
      </w:r>
      <w:r>
        <w:rPr>
          <w:spacing w:val="-12"/>
        </w:rPr>
        <w:t> </w:t>
      </w:r>
      <w:r>
        <w:rPr/>
        <w:t>наставничества</w:t>
      </w:r>
      <w:r>
        <w:rPr>
          <w:spacing w:val="-13"/>
        </w:rPr>
        <w:t> </w:t>
      </w:r>
      <w:r>
        <w:rPr/>
        <w:t>была</w:t>
      </w:r>
      <w:r>
        <w:rPr>
          <w:spacing w:val="-12"/>
        </w:rPr>
        <w:t> </w:t>
      </w:r>
      <w:r>
        <w:rPr/>
        <w:t>направлена</w:t>
      </w:r>
      <w:r>
        <w:rPr>
          <w:spacing w:val="-13"/>
        </w:rPr>
        <w:t> </w:t>
      </w:r>
      <w:r>
        <w:rPr/>
        <w:t>на</w:t>
      </w:r>
      <w:r>
        <w:rPr>
          <w:spacing w:val="-12"/>
        </w:rPr>
        <w:t> </w:t>
      </w:r>
      <w:r>
        <w:rPr/>
        <w:t>выстраивание доверительных отношений между местными студентами и школьниками с опытом миграции и на формирование чувства принадлежности последних к новому контек- сту общественной жизни.</w:t>
      </w:r>
    </w:p>
    <w:p>
      <w:pPr>
        <w:pStyle w:val="BodyText"/>
        <w:spacing w:line="235" w:lineRule="auto" w:before="4"/>
      </w:pPr>
      <w:r>
        <w:rPr/>
        <w:t>Так</w:t>
      </w:r>
      <w:r>
        <w:rPr>
          <w:spacing w:val="-9"/>
        </w:rPr>
        <w:t> </w:t>
      </w:r>
      <w:r>
        <w:rPr/>
        <w:t>как</w:t>
      </w:r>
      <w:r>
        <w:rPr>
          <w:spacing w:val="-9"/>
        </w:rPr>
        <w:t> </w:t>
      </w:r>
      <w:r>
        <w:rPr/>
        <w:t>количество</w:t>
      </w:r>
      <w:r>
        <w:rPr>
          <w:spacing w:val="-9"/>
        </w:rPr>
        <w:t> </w:t>
      </w:r>
      <w:r>
        <w:rPr/>
        <w:t>наставников-студентов</w:t>
      </w:r>
      <w:r>
        <w:rPr>
          <w:spacing w:val="-9"/>
        </w:rPr>
        <w:t> </w:t>
      </w:r>
      <w:r>
        <w:rPr/>
        <w:t>было</w:t>
      </w:r>
      <w:r>
        <w:rPr>
          <w:spacing w:val="-9"/>
        </w:rPr>
        <w:t> </w:t>
      </w:r>
      <w:r>
        <w:rPr/>
        <w:t>ограничено,</w:t>
      </w:r>
      <w:r>
        <w:rPr>
          <w:spacing w:val="-9"/>
        </w:rPr>
        <w:t> </w:t>
      </w:r>
      <w:r>
        <w:rPr/>
        <w:t>наставляемые</w:t>
      </w:r>
      <w:r>
        <w:rPr>
          <w:spacing w:val="-9"/>
        </w:rPr>
        <w:t> </w:t>
      </w:r>
      <w:r>
        <w:rPr/>
        <w:t>отби- рались по следующим критериям:</w:t>
      </w:r>
    </w:p>
    <w:p>
      <w:pPr>
        <w:pStyle w:val="ListParagraph"/>
        <w:numPr>
          <w:ilvl w:val="0"/>
          <w:numId w:val="129"/>
        </w:numPr>
        <w:tabs>
          <w:tab w:pos="425" w:val="left" w:leader="none"/>
        </w:tabs>
        <w:spacing w:line="235" w:lineRule="auto" w:before="1" w:after="0"/>
        <w:ind w:left="425" w:right="140" w:hanging="284"/>
        <w:jc w:val="left"/>
        <w:rPr>
          <w:color w:val="231F20"/>
          <w:sz w:val="20"/>
        </w:rPr>
      </w:pPr>
      <w:r>
        <w:rPr>
          <w:color w:val="231F20"/>
          <w:sz w:val="20"/>
        </w:rPr>
        <w:t>они </w:t>
      </w:r>
      <w:r>
        <w:rPr>
          <w:sz w:val="20"/>
        </w:rPr>
        <w:t>прибыли в страну недавно, но владели языком на уровне, достаточном для взаимодействия с наставником;</w:t>
      </w:r>
    </w:p>
    <w:p>
      <w:pPr>
        <w:pStyle w:val="ListParagraph"/>
        <w:numPr>
          <w:ilvl w:val="0"/>
          <w:numId w:val="129"/>
        </w:numPr>
        <w:tabs>
          <w:tab w:pos="424" w:val="left" w:leader="none"/>
        </w:tabs>
        <w:spacing w:line="225" w:lineRule="exact" w:before="0" w:after="0"/>
        <w:ind w:left="424" w:right="0" w:hanging="283"/>
        <w:jc w:val="left"/>
        <w:rPr>
          <w:sz w:val="20"/>
        </w:rPr>
      </w:pPr>
      <w:r>
        <w:rPr>
          <w:sz w:val="20"/>
        </w:rPr>
        <w:t>им</w:t>
      </w:r>
      <w:r>
        <w:rPr>
          <w:spacing w:val="-4"/>
          <w:sz w:val="20"/>
        </w:rPr>
        <w:t> </w:t>
      </w:r>
      <w:r>
        <w:rPr>
          <w:sz w:val="20"/>
        </w:rPr>
        <w:t>не</w:t>
      </w:r>
      <w:r>
        <w:rPr>
          <w:spacing w:val="-3"/>
          <w:sz w:val="20"/>
        </w:rPr>
        <w:t> </w:t>
      </w:r>
      <w:r>
        <w:rPr>
          <w:sz w:val="20"/>
        </w:rPr>
        <w:t>хватало</w:t>
      </w:r>
      <w:r>
        <w:rPr>
          <w:spacing w:val="-3"/>
          <w:sz w:val="20"/>
        </w:rPr>
        <w:t> </w:t>
      </w:r>
      <w:r>
        <w:rPr>
          <w:sz w:val="20"/>
        </w:rPr>
        <w:t>близких</w:t>
      </w:r>
      <w:r>
        <w:rPr>
          <w:spacing w:val="-3"/>
          <w:sz w:val="20"/>
        </w:rPr>
        <w:t> </w:t>
      </w:r>
      <w:r>
        <w:rPr>
          <w:sz w:val="20"/>
        </w:rPr>
        <w:t>отношений</w:t>
      </w:r>
      <w:r>
        <w:rPr>
          <w:spacing w:val="-5"/>
          <w:sz w:val="20"/>
        </w:rPr>
        <w:t> </w:t>
      </w:r>
      <w:r>
        <w:rPr>
          <w:sz w:val="20"/>
        </w:rPr>
        <w:t>со</w:t>
      </w:r>
      <w:r>
        <w:rPr>
          <w:spacing w:val="-3"/>
          <w:sz w:val="20"/>
        </w:rPr>
        <w:t> </w:t>
      </w:r>
      <w:r>
        <w:rPr>
          <w:sz w:val="20"/>
        </w:rPr>
        <w:t>взрослыми</w:t>
      </w:r>
      <w:r>
        <w:rPr>
          <w:spacing w:val="-4"/>
          <w:sz w:val="20"/>
        </w:rPr>
        <w:t> </w:t>
      </w:r>
      <w:r>
        <w:rPr>
          <w:sz w:val="20"/>
        </w:rPr>
        <w:t>в</w:t>
      </w:r>
      <w:r>
        <w:rPr>
          <w:spacing w:val="-4"/>
          <w:sz w:val="20"/>
        </w:rPr>
        <w:t> </w:t>
      </w:r>
      <w:r>
        <w:rPr>
          <w:sz w:val="20"/>
        </w:rPr>
        <w:t>новом</w:t>
      </w:r>
      <w:r>
        <w:rPr>
          <w:spacing w:val="-3"/>
          <w:sz w:val="20"/>
        </w:rPr>
        <w:t> </w:t>
      </w:r>
      <w:r>
        <w:rPr>
          <w:spacing w:val="-2"/>
          <w:sz w:val="20"/>
        </w:rPr>
        <w:t>окружении;</w:t>
      </w:r>
    </w:p>
    <w:p>
      <w:pPr>
        <w:pStyle w:val="ListParagraph"/>
        <w:numPr>
          <w:ilvl w:val="0"/>
          <w:numId w:val="129"/>
        </w:numPr>
        <w:tabs>
          <w:tab w:pos="424" w:val="left" w:leader="none"/>
        </w:tabs>
        <w:spacing w:line="226" w:lineRule="exact" w:before="0" w:after="0"/>
        <w:ind w:left="424" w:right="0" w:hanging="283"/>
        <w:jc w:val="left"/>
        <w:rPr>
          <w:sz w:val="20"/>
        </w:rPr>
      </w:pPr>
      <w:r>
        <w:rPr>
          <w:sz w:val="20"/>
        </w:rPr>
        <w:t>они</w:t>
      </w:r>
      <w:r>
        <w:rPr>
          <w:spacing w:val="-5"/>
          <w:sz w:val="20"/>
        </w:rPr>
        <w:t> </w:t>
      </w:r>
      <w:r>
        <w:rPr>
          <w:sz w:val="20"/>
        </w:rPr>
        <w:t>стали</w:t>
      </w:r>
      <w:r>
        <w:rPr>
          <w:spacing w:val="-2"/>
          <w:sz w:val="20"/>
        </w:rPr>
        <w:t> </w:t>
      </w:r>
      <w:r>
        <w:rPr>
          <w:sz w:val="20"/>
        </w:rPr>
        <w:t>первым</w:t>
      </w:r>
      <w:r>
        <w:rPr>
          <w:spacing w:val="-1"/>
          <w:sz w:val="20"/>
        </w:rPr>
        <w:t> </w:t>
      </w:r>
      <w:r>
        <w:rPr>
          <w:sz w:val="20"/>
        </w:rPr>
        <w:t>поколением</w:t>
      </w:r>
      <w:r>
        <w:rPr>
          <w:spacing w:val="-2"/>
          <w:sz w:val="20"/>
        </w:rPr>
        <w:t> </w:t>
      </w:r>
      <w:r>
        <w:rPr>
          <w:sz w:val="20"/>
        </w:rPr>
        <w:t>в</w:t>
      </w:r>
      <w:r>
        <w:rPr>
          <w:spacing w:val="-2"/>
          <w:sz w:val="20"/>
        </w:rPr>
        <w:t> </w:t>
      </w:r>
      <w:r>
        <w:rPr>
          <w:sz w:val="20"/>
        </w:rPr>
        <w:t>семье,</w:t>
      </w:r>
      <w:r>
        <w:rPr>
          <w:spacing w:val="-1"/>
          <w:sz w:val="20"/>
        </w:rPr>
        <w:t> </w:t>
      </w:r>
      <w:r>
        <w:rPr>
          <w:sz w:val="20"/>
        </w:rPr>
        <w:t>имеющим</w:t>
      </w:r>
      <w:r>
        <w:rPr>
          <w:spacing w:val="-2"/>
          <w:sz w:val="20"/>
        </w:rPr>
        <w:t> </w:t>
      </w:r>
      <w:r>
        <w:rPr>
          <w:sz w:val="20"/>
        </w:rPr>
        <w:t>доступ</w:t>
      </w:r>
      <w:r>
        <w:rPr>
          <w:spacing w:val="-2"/>
          <w:sz w:val="20"/>
        </w:rPr>
        <w:t> </w:t>
      </w:r>
      <w:r>
        <w:rPr>
          <w:sz w:val="20"/>
        </w:rPr>
        <w:t>к</w:t>
      </w:r>
      <w:r>
        <w:rPr>
          <w:spacing w:val="-1"/>
          <w:sz w:val="20"/>
        </w:rPr>
        <w:t> </w:t>
      </w:r>
      <w:r>
        <w:rPr>
          <w:spacing w:val="-2"/>
          <w:sz w:val="20"/>
        </w:rPr>
        <w:t>университету;</w:t>
      </w:r>
    </w:p>
    <w:p>
      <w:pPr>
        <w:pStyle w:val="ListParagraph"/>
        <w:numPr>
          <w:ilvl w:val="0"/>
          <w:numId w:val="129"/>
        </w:numPr>
        <w:tabs>
          <w:tab w:pos="424" w:val="left" w:leader="none"/>
        </w:tabs>
        <w:spacing w:line="226" w:lineRule="exact" w:before="0" w:after="0"/>
        <w:ind w:left="424" w:right="0" w:hanging="283"/>
        <w:jc w:val="left"/>
        <w:rPr>
          <w:sz w:val="20"/>
        </w:rPr>
      </w:pPr>
      <w:r>
        <w:rPr>
          <w:sz w:val="20"/>
        </w:rPr>
        <w:t>им</w:t>
      </w:r>
      <w:r>
        <w:rPr>
          <w:spacing w:val="-3"/>
          <w:sz w:val="20"/>
        </w:rPr>
        <w:t> </w:t>
      </w:r>
      <w:r>
        <w:rPr>
          <w:sz w:val="20"/>
        </w:rPr>
        <w:t>требовалась</w:t>
      </w:r>
      <w:r>
        <w:rPr>
          <w:spacing w:val="-3"/>
          <w:sz w:val="20"/>
        </w:rPr>
        <w:t> </w:t>
      </w:r>
      <w:r>
        <w:rPr>
          <w:sz w:val="20"/>
        </w:rPr>
        <w:t>работа</w:t>
      </w:r>
      <w:r>
        <w:rPr>
          <w:spacing w:val="-2"/>
          <w:sz w:val="20"/>
        </w:rPr>
        <w:t> </w:t>
      </w:r>
      <w:r>
        <w:rPr>
          <w:sz w:val="20"/>
        </w:rPr>
        <w:t>с</w:t>
      </w:r>
      <w:r>
        <w:rPr>
          <w:spacing w:val="-2"/>
          <w:sz w:val="20"/>
        </w:rPr>
        <w:t> </w:t>
      </w:r>
      <w:r>
        <w:rPr>
          <w:sz w:val="20"/>
        </w:rPr>
        <w:t>волонтером,</w:t>
      </w:r>
      <w:r>
        <w:rPr>
          <w:spacing w:val="-2"/>
          <w:sz w:val="20"/>
        </w:rPr>
        <w:t> </w:t>
      </w:r>
      <w:r>
        <w:rPr>
          <w:sz w:val="20"/>
        </w:rPr>
        <w:t>а</w:t>
      </w:r>
      <w:r>
        <w:rPr>
          <w:spacing w:val="-2"/>
          <w:sz w:val="20"/>
        </w:rPr>
        <w:t> </w:t>
      </w:r>
      <w:r>
        <w:rPr>
          <w:sz w:val="20"/>
        </w:rPr>
        <w:t>не</w:t>
      </w:r>
      <w:r>
        <w:rPr>
          <w:spacing w:val="-2"/>
          <w:sz w:val="20"/>
        </w:rPr>
        <w:t> </w:t>
      </w:r>
      <w:r>
        <w:rPr>
          <w:sz w:val="20"/>
        </w:rPr>
        <w:t>со</w:t>
      </w:r>
      <w:r>
        <w:rPr>
          <w:spacing w:val="-2"/>
          <w:sz w:val="20"/>
        </w:rPr>
        <w:t> специалистом.</w:t>
      </w:r>
    </w:p>
    <w:p>
      <w:pPr>
        <w:pStyle w:val="BodyText"/>
        <w:spacing w:line="235" w:lineRule="auto" w:before="2"/>
      </w:pPr>
      <w:r>
        <w:rPr/>
        <w:t>Наставники</w:t>
      </w:r>
      <w:r>
        <w:rPr>
          <w:spacing w:val="-13"/>
        </w:rPr>
        <w:t> </w:t>
      </w:r>
      <w:r>
        <w:rPr/>
        <w:t>также</w:t>
      </w:r>
      <w:r>
        <w:rPr>
          <w:spacing w:val="-12"/>
        </w:rPr>
        <w:t> </w:t>
      </w:r>
      <w:r>
        <w:rPr/>
        <w:t>отбирались</w:t>
      </w:r>
      <w:r>
        <w:rPr>
          <w:spacing w:val="-13"/>
        </w:rPr>
        <w:t> </w:t>
      </w:r>
      <w:r>
        <w:rPr/>
        <w:t>по</w:t>
      </w:r>
      <w:r>
        <w:rPr>
          <w:spacing w:val="-12"/>
        </w:rPr>
        <w:t> </w:t>
      </w:r>
      <w:r>
        <w:rPr/>
        <w:t>нескольким</w:t>
      </w:r>
      <w:r>
        <w:rPr>
          <w:spacing w:val="-13"/>
        </w:rPr>
        <w:t> </w:t>
      </w:r>
      <w:r>
        <w:rPr/>
        <w:t>критериям,</w:t>
      </w:r>
      <w:r>
        <w:rPr>
          <w:spacing w:val="-12"/>
        </w:rPr>
        <w:t> </w:t>
      </w:r>
      <w:r>
        <w:rPr/>
        <w:t>включавшим</w:t>
      </w:r>
      <w:r>
        <w:rPr>
          <w:spacing w:val="-13"/>
        </w:rPr>
        <w:t> </w:t>
      </w:r>
      <w:r>
        <w:rPr/>
        <w:t>отсутствие судимостей,</w:t>
      </w:r>
      <w:r>
        <w:rPr>
          <w:spacing w:val="-2"/>
        </w:rPr>
        <w:t> </w:t>
      </w:r>
      <w:r>
        <w:rPr/>
        <w:t>положительные</w:t>
      </w:r>
      <w:r>
        <w:rPr>
          <w:spacing w:val="-2"/>
        </w:rPr>
        <w:t> </w:t>
      </w:r>
      <w:r>
        <w:rPr/>
        <w:t>результаты</w:t>
      </w:r>
      <w:r>
        <w:rPr>
          <w:spacing w:val="-2"/>
        </w:rPr>
        <w:t> </w:t>
      </w:r>
      <w:r>
        <w:rPr/>
        <w:t>на</w:t>
      </w:r>
      <w:r>
        <w:rPr>
          <w:spacing w:val="-2"/>
        </w:rPr>
        <w:t> </w:t>
      </w:r>
      <w:r>
        <w:rPr/>
        <w:t>собеседовании</w:t>
      </w:r>
      <w:r>
        <w:rPr>
          <w:spacing w:val="-2"/>
        </w:rPr>
        <w:t> </w:t>
      </w:r>
      <w:r>
        <w:rPr/>
        <w:t>и</w:t>
      </w:r>
      <w:r>
        <w:rPr>
          <w:spacing w:val="-3"/>
        </w:rPr>
        <w:t> </w:t>
      </w:r>
      <w:r>
        <w:rPr/>
        <w:t>успешное</w:t>
      </w:r>
      <w:r>
        <w:rPr>
          <w:spacing w:val="-2"/>
        </w:rPr>
        <w:t> </w:t>
      </w:r>
      <w:r>
        <w:rPr/>
        <w:t>прохождение интенсивного обучения наставнической работе (около 10 часов).</w:t>
      </w:r>
    </w:p>
    <w:p>
      <w:pPr>
        <w:pStyle w:val="BodyText"/>
        <w:spacing w:line="235" w:lineRule="auto" w:before="1"/>
      </w:pPr>
      <w:r>
        <w:rPr>
          <w:color w:val="231F20"/>
        </w:rPr>
        <w:t>Наставники встречались с наставляемыми еженедельно, общались и перемеща- лись по городу. Для </w:t>
      </w:r>
      <w:r>
        <w:rPr/>
        <w:t>работы выбиралось ограниченное количество целей, обычно</w:t>
      </w:r>
      <w:r>
        <w:rPr>
          <w:spacing w:val="40"/>
        </w:rPr>
        <w:t> </w:t>
      </w:r>
      <w:r>
        <w:rPr/>
        <w:t>две или три (например, овладение языком и знакомство с городом). </w:t>
      </w:r>
      <w:r>
        <w:rPr>
          <w:color w:val="231F20"/>
        </w:rPr>
        <w:t>Принципиально важной</w:t>
      </w:r>
      <w:r>
        <w:rPr>
          <w:color w:val="231F20"/>
          <w:spacing w:val="-1"/>
        </w:rPr>
        <w:t> </w:t>
      </w:r>
      <w:r>
        <w:rPr>
          <w:color w:val="231F20"/>
        </w:rPr>
        <w:t>задачей</w:t>
      </w:r>
      <w:r>
        <w:rPr>
          <w:color w:val="231F20"/>
          <w:spacing w:val="-1"/>
        </w:rPr>
        <w:t> </w:t>
      </w:r>
      <w:r>
        <w:rPr>
          <w:color w:val="231F20"/>
        </w:rPr>
        <w:t>было</w:t>
      </w:r>
      <w:r>
        <w:rPr>
          <w:color w:val="231F20"/>
          <w:spacing w:val="-1"/>
        </w:rPr>
        <w:t> </w:t>
      </w:r>
      <w:r>
        <w:rPr>
          <w:color w:val="231F20"/>
        </w:rPr>
        <w:t>создание</w:t>
      </w:r>
      <w:r>
        <w:rPr>
          <w:color w:val="231F20"/>
          <w:spacing w:val="-1"/>
        </w:rPr>
        <w:t> </w:t>
      </w:r>
      <w:r>
        <w:rPr>
          <w:color w:val="231F20"/>
        </w:rPr>
        <w:t>безопасного</w:t>
      </w:r>
      <w:r>
        <w:rPr>
          <w:color w:val="231F20"/>
          <w:spacing w:val="-1"/>
        </w:rPr>
        <w:t> </w:t>
      </w:r>
      <w:r>
        <w:rPr>
          <w:color w:val="231F20"/>
        </w:rPr>
        <w:t>пространства</w:t>
      </w:r>
      <w:r>
        <w:rPr>
          <w:color w:val="231F20"/>
          <w:spacing w:val="-1"/>
        </w:rPr>
        <w:t> </w:t>
      </w:r>
      <w:r>
        <w:rPr>
          <w:color w:val="231F20"/>
        </w:rPr>
        <w:t>с</w:t>
      </w:r>
      <w:r>
        <w:rPr>
          <w:color w:val="231F20"/>
          <w:spacing w:val="-1"/>
        </w:rPr>
        <w:t> </w:t>
      </w:r>
      <w:r>
        <w:rPr>
          <w:color w:val="231F20"/>
        </w:rPr>
        <w:t>«пользовательской»</w:t>
      </w:r>
      <w:r>
        <w:rPr>
          <w:color w:val="231F20"/>
          <w:spacing w:val="-1"/>
        </w:rPr>
        <w:t> </w:t>
      </w:r>
      <w:r>
        <w:rPr>
          <w:color w:val="231F20"/>
        </w:rPr>
        <w:t>точ- ки зрения: наставники показывали детям, как пользоваться доступными обществен- ными ресурсами: транспортом, библиотеками и др. Наравне с этим важной задачей было создание психологической безопасности, Она возникала благодаря установле- нию</w:t>
      </w:r>
      <w:r>
        <w:rPr>
          <w:color w:val="231F20"/>
          <w:spacing w:val="-4"/>
        </w:rPr>
        <w:t> </w:t>
      </w:r>
      <w:r>
        <w:rPr>
          <w:color w:val="231F20"/>
        </w:rPr>
        <w:t>доверительных</w:t>
      </w:r>
      <w:r>
        <w:rPr>
          <w:color w:val="231F20"/>
          <w:spacing w:val="-4"/>
        </w:rPr>
        <w:t> </w:t>
      </w:r>
      <w:r>
        <w:rPr>
          <w:color w:val="231F20"/>
        </w:rPr>
        <w:t>отношений</w:t>
      </w:r>
      <w:r>
        <w:rPr>
          <w:color w:val="231F20"/>
          <w:spacing w:val="-4"/>
        </w:rPr>
        <w:t> </w:t>
      </w:r>
      <w:r>
        <w:rPr>
          <w:color w:val="231F20"/>
        </w:rPr>
        <w:t>между</w:t>
      </w:r>
      <w:r>
        <w:rPr>
          <w:color w:val="231F20"/>
          <w:spacing w:val="-4"/>
        </w:rPr>
        <w:t> </w:t>
      </w:r>
      <w:r>
        <w:rPr>
          <w:color w:val="231F20"/>
        </w:rPr>
        <w:t>наставником</w:t>
      </w:r>
      <w:r>
        <w:rPr>
          <w:color w:val="231F20"/>
          <w:spacing w:val="-4"/>
        </w:rPr>
        <w:t> </w:t>
      </w:r>
      <w:r>
        <w:rPr>
          <w:color w:val="231F20"/>
        </w:rPr>
        <w:t>и</w:t>
      </w:r>
      <w:r>
        <w:rPr>
          <w:color w:val="231F20"/>
          <w:spacing w:val="-4"/>
        </w:rPr>
        <w:t> </w:t>
      </w:r>
      <w:r>
        <w:rPr>
          <w:color w:val="231F20"/>
        </w:rPr>
        <w:t>наставляемым</w:t>
      </w:r>
      <w:r>
        <w:rPr>
          <w:color w:val="231F20"/>
          <w:spacing w:val="-4"/>
        </w:rPr>
        <w:t> </w:t>
      </w:r>
      <w:r>
        <w:rPr>
          <w:color w:val="231F20"/>
        </w:rPr>
        <w:t>и</w:t>
      </w:r>
      <w:r>
        <w:rPr>
          <w:color w:val="231F20"/>
          <w:spacing w:val="-4"/>
        </w:rPr>
        <w:t> </w:t>
      </w:r>
      <w:r>
        <w:rPr>
          <w:color w:val="231F20"/>
        </w:rPr>
        <w:t>регулярности совместного досуга. Также в проекте делался особый акцент на взаимодействие с родителями. Наставники поддерживали с ними связь, включали их в некоторые со- вместные активности и таким образом встраивали в социальный контекст не только самого ребенка, но и ребенка как члена семьи.</w:t>
      </w:r>
    </w:p>
    <w:p>
      <w:pPr>
        <w:pStyle w:val="BodyText"/>
        <w:spacing w:line="235" w:lineRule="auto" w:before="8"/>
      </w:pPr>
      <w:r>
        <w:rPr/>
        <w:t>Мониторинг</w:t>
      </w:r>
      <w:r>
        <w:rPr>
          <w:spacing w:val="-13"/>
        </w:rPr>
        <w:t> </w:t>
      </w:r>
      <w:r>
        <w:rPr/>
        <w:t>наставничества</w:t>
      </w:r>
      <w:r>
        <w:rPr>
          <w:spacing w:val="-12"/>
        </w:rPr>
        <w:t> </w:t>
      </w:r>
      <w:r>
        <w:rPr/>
        <w:t>осуществлялся</w:t>
      </w:r>
      <w:r>
        <w:rPr>
          <w:spacing w:val="-13"/>
        </w:rPr>
        <w:t> </w:t>
      </w:r>
      <w:r>
        <w:rPr/>
        <w:t>через</w:t>
      </w:r>
      <w:r>
        <w:rPr>
          <w:spacing w:val="-12"/>
        </w:rPr>
        <w:t> </w:t>
      </w:r>
      <w:r>
        <w:rPr/>
        <w:t>мобильное</w:t>
      </w:r>
      <w:r>
        <w:rPr>
          <w:spacing w:val="-13"/>
        </w:rPr>
        <w:t> </w:t>
      </w:r>
      <w:r>
        <w:rPr/>
        <w:t>приложение,</w:t>
      </w:r>
      <w:r>
        <w:rPr>
          <w:spacing w:val="-12"/>
        </w:rPr>
        <w:t> </w:t>
      </w:r>
      <w:r>
        <w:rPr/>
        <w:t>в</w:t>
      </w:r>
      <w:r>
        <w:rPr>
          <w:spacing w:val="-13"/>
        </w:rPr>
        <w:t> </w:t>
      </w:r>
      <w:r>
        <w:rPr/>
        <w:t>кото- ром наставник и наставляемый описывали свои эмоции после каждой встречи.</w:t>
      </w:r>
    </w:p>
    <w:p>
      <w:pPr>
        <w:spacing w:before="111"/>
        <w:ind w:left="425" w:right="0" w:firstLine="0"/>
        <w:jc w:val="both"/>
        <w:rPr>
          <w:b/>
          <w:sz w:val="20"/>
        </w:rPr>
      </w:pPr>
      <w:r>
        <w:rPr>
          <w:b/>
          <w:sz w:val="20"/>
        </w:rPr>
        <w:t>Доказательность</w:t>
      </w:r>
      <w:r>
        <w:rPr>
          <w:b/>
          <w:spacing w:val="-12"/>
          <w:sz w:val="20"/>
        </w:rPr>
        <w:t> </w:t>
      </w:r>
      <w:r>
        <w:rPr>
          <w:b/>
          <w:spacing w:val="-2"/>
          <w:sz w:val="20"/>
        </w:rPr>
        <w:t>практики</w:t>
      </w:r>
    </w:p>
    <w:p>
      <w:pPr>
        <w:pStyle w:val="ListParagraph"/>
        <w:numPr>
          <w:ilvl w:val="0"/>
          <w:numId w:val="128"/>
        </w:numPr>
        <w:tabs>
          <w:tab w:pos="423" w:val="left" w:leader="none"/>
        </w:tabs>
        <w:spacing w:line="228" w:lineRule="exact" w:before="52" w:after="0"/>
        <w:ind w:left="423" w:right="0" w:hanging="282"/>
        <w:jc w:val="both"/>
        <w:rPr>
          <w:i/>
          <w:sz w:val="20"/>
        </w:rPr>
      </w:pPr>
      <w:r>
        <w:rPr>
          <w:i/>
          <w:color w:val="231F20"/>
          <w:spacing w:val="-2"/>
          <w:sz w:val="20"/>
        </w:rPr>
        <w:t>Регламентированность</w:t>
      </w:r>
    </w:p>
    <w:p>
      <w:pPr>
        <w:pStyle w:val="BodyText"/>
        <w:spacing w:line="235" w:lineRule="auto" w:before="2"/>
      </w:pPr>
      <w:r>
        <w:rPr>
          <w:color w:val="231F20"/>
        </w:rPr>
        <w:t>В международном образовательном пространстве существует большое количе- ство методических материалов, регламентирующих процедуры наставничества: ка- надский Инструментарий лучших практик наставничества (Mentorship Best Practices Toolkit, 2017), американское Пособие для координаторов программ наставничества среди</w:t>
      </w:r>
      <w:r>
        <w:rPr>
          <w:color w:val="231F20"/>
          <w:spacing w:val="24"/>
        </w:rPr>
        <w:t> </w:t>
      </w:r>
      <w:r>
        <w:rPr>
          <w:color w:val="231F20"/>
        </w:rPr>
        <w:t>молодых</w:t>
      </w:r>
      <w:r>
        <w:rPr>
          <w:color w:val="231F20"/>
          <w:spacing w:val="24"/>
        </w:rPr>
        <w:t> </w:t>
      </w:r>
      <w:r>
        <w:rPr>
          <w:color w:val="231F20"/>
        </w:rPr>
        <w:t>иммигрантов</w:t>
      </w:r>
      <w:r>
        <w:rPr>
          <w:color w:val="231F20"/>
          <w:spacing w:val="24"/>
        </w:rPr>
        <w:t> </w:t>
      </w:r>
      <w:r>
        <w:rPr>
          <w:color w:val="231F20"/>
        </w:rPr>
        <w:t>и</w:t>
      </w:r>
      <w:r>
        <w:rPr>
          <w:color w:val="231F20"/>
          <w:spacing w:val="24"/>
        </w:rPr>
        <w:t> </w:t>
      </w:r>
      <w:r>
        <w:rPr>
          <w:color w:val="231F20"/>
        </w:rPr>
        <w:t>беженцев</w:t>
      </w:r>
      <w:r>
        <w:rPr>
          <w:color w:val="231F20"/>
          <w:spacing w:val="24"/>
        </w:rPr>
        <w:t> </w:t>
      </w:r>
      <w:r>
        <w:rPr>
          <w:color w:val="231F20"/>
        </w:rPr>
        <w:t>(Mentoring</w:t>
      </w:r>
      <w:r>
        <w:rPr>
          <w:color w:val="231F20"/>
          <w:spacing w:val="24"/>
        </w:rPr>
        <w:t> </w:t>
      </w:r>
      <w:r>
        <w:rPr>
          <w:color w:val="231F20"/>
        </w:rPr>
        <w:t>Immigrant</w:t>
      </w:r>
      <w:r>
        <w:rPr>
          <w:color w:val="231F20"/>
          <w:spacing w:val="24"/>
        </w:rPr>
        <w:t> </w:t>
      </w:r>
      <w:r>
        <w:rPr>
          <w:color w:val="231F20"/>
        </w:rPr>
        <w:t>and</w:t>
      </w:r>
      <w:r>
        <w:rPr>
          <w:color w:val="231F20"/>
          <w:spacing w:val="24"/>
        </w:rPr>
        <w:t> </w:t>
      </w:r>
      <w:r>
        <w:rPr>
          <w:color w:val="231F20"/>
        </w:rPr>
        <w:t>Refugee Youth: A</w:t>
      </w:r>
      <w:r>
        <w:rPr>
          <w:color w:val="231F20"/>
          <w:spacing w:val="-2"/>
        </w:rPr>
        <w:t> </w:t>
      </w:r>
      <w:r>
        <w:rPr>
          <w:color w:val="231F20"/>
        </w:rPr>
        <w:t>Toolkit for Program Coordinators, 2011), канадский Инструментарий по эффектив- ному наставничеству для молодежи, встречающей препятствия к успеху (Toolkit on effective</w:t>
      </w:r>
      <w:r>
        <w:rPr>
          <w:color w:val="231F20"/>
          <w:spacing w:val="4"/>
        </w:rPr>
        <w:t> </w:t>
      </w:r>
      <w:r>
        <w:rPr>
          <w:color w:val="231F20"/>
        </w:rPr>
        <w:t>mentoring</w:t>
      </w:r>
      <w:r>
        <w:rPr>
          <w:color w:val="231F20"/>
          <w:spacing w:val="5"/>
        </w:rPr>
        <w:t> </w:t>
      </w:r>
      <w:r>
        <w:rPr>
          <w:color w:val="231F20"/>
        </w:rPr>
        <w:t>for</w:t>
      </w:r>
      <w:r>
        <w:rPr>
          <w:color w:val="231F20"/>
          <w:spacing w:val="4"/>
        </w:rPr>
        <w:t> </w:t>
      </w:r>
      <w:r>
        <w:rPr>
          <w:color w:val="231F20"/>
        </w:rPr>
        <w:t>youth</w:t>
      </w:r>
      <w:r>
        <w:rPr>
          <w:color w:val="231F20"/>
          <w:spacing w:val="5"/>
        </w:rPr>
        <w:t> </w:t>
      </w:r>
      <w:r>
        <w:rPr>
          <w:color w:val="231F20"/>
        </w:rPr>
        <w:t>facing</w:t>
      </w:r>
      <w:r>
        <w:rPr>
          <w:color w:val="231F20"/>
          <w:spacing w:val="5"/>
        </w:rPr>
        <w:t> </w:t>
      </w:r>
      <w:r>
        <w:rPr>
          <w:color w:val="231F20"/>
        </w:rPr>
        <w:t>barriers</w:t>
      </w:r>
      <w:r>
        <w:rPr>
          <w:color w:val="231F20"/>
          <w:spacing w:val="4"/>
        </w:rPr>
        <w:t> </w:t>
      </w:r>
      <w:r>
        <w:rPr>
          <w:color w:val="231F20"/>
        </w:rPr>
        <w:t>to</w:t>
      </w:r>
      <w:r>
        <w:rPr>
          <w:color w:val="231F20"/>
          <w:spacing w:val="5"/>
        </w:rPr>
        <w:t> </w:t>
      </w:r>
      <w:r>
        <w:rPr>
          <w:color w:val="231F20"/>
        </w:rPr>
        <w:t>success,</w:t>
      </w:r>
      <w:r>
        <w:rPr>
          <w:color w:val="231F20"/>
          <w:spacing w:val="5"/>
        </w:rPr>
        <w:t> </w:t>
      </w:r>
      <w:r>
        <w:rPr>
          <w:color w:val="231F20"/>
        </w:rPr>
        <w:t>2016),</w:t>
      </w:r>
      <w:r>
        <w:rPr>
          <w:color w:val="231F20"/>
          <w:spacing w:val="4"/>
        </w:rPr>
        <w:t> </w:t>
      </w:r>
      <w:r>
        <w:rPr>
          <w:color w:val="231F20"/>
        </w:rPr>
        <w:t>европейское</w:t>
      </w:r>
      <w:r>
        <w:rPr>
          <w:color w:val="231F20"/>
          <w:spacing w:val="5"/>
        </w:rPr>
        <w:t> </w:t>
      </w:r>
      <w:r>
        <w:rPr>
          <w:color w:val="231F20"/>
        </w:rPr>
        <w:t>Пособие</w:t>
      </w:r>
      <w:r>
        <w:rPr>
          <w:color w:val="231F20"/>
          <w:spacing w:val="5"/>
        </w:rPr>
        <w:t> </w:t>
      </w:r>
      <w:r>
        <w:rPr>
          <w:color w:val="231F20"/>
          <w:spacing w:val="-5"/>
        </w:rPr>
        <w:t>по</w:t>
      </w:r>
    </w:p>
    <w:p>
      <w:pPr>
        <w:pStyle w:val="BodyText"/>
        <w:spacing w:after="0" w:line="235" w:lineRule="auto"/>
        <w:sectPr>
          <w:pgSz w:w="8400" w:h="11910"/>
          <w:pgMar w:header="0" w:footer="527" w:top="400" w:bottom="740" w:left="425" w:right="425"/>
        </w:sectPr>
      </w:pPr>
    </w:p>
    <w:p>
      <w:pPr>
        <w:spacing w:before="80"/>
        <w:ind w:left="141" w:right="0" w:firstLine="0"/>
        <w:jc w:val="both"/>
        <w:rPr>
          <w:rFonts w:ascii="Georgia" w:hAnsi="Georgia"/>
          <w:sz w:val="18"/>
        </w:rPr>
      </w:pPr>
      <w:r>
        <w:rPr>
          <w:rFonts w:ascii="Georgia" w:hAnsi="Georgia"/>
          <w:color w:val="231F20"/>
          <w:sz w:val="18"/>
        </w:rPr>
        <w:t>4.3.</w:t>
      </w:r>
      <w:r>
        <w:rPr>
          <w:rFonts w:ascii="Georgia" w:hAnsi="Georgia"/>
          <w:color w:val="231F20"/>
          <w:spacing w:val="-5"/>
          <w:sz w:val="18"/>
        </w:rPr>
        <w:t> </w:t>
      </w:r>
      <w:r>
        <w:rPr>
          <w:rFonts w:ascii="Georgia" w:hAnsi="Georgia"/>
          <w:color w:val="231F20"/>
          <w:sz w:val="18"/>
        </w:rPr>
        <w:t>Методы</w:t>
      </w:r>
      <w:r>
        <w:rPr>
          <w:rFonts w:ascii="Georgia" w:hAnsi="Georgia"/>
          <w:color w:val="231F20"/>
          <w:spacing w:val="-5"/>
          <w:sz w:val="18"/>
        </w:rPr>
        <w:t> </w:t>
      </w:r>
      <w:r>
        <w:rPr>
          <w:rFonts w:ascii="Georgia" w:hAnsi="Georgia"/>
          <w:color w:val="231F20"/>
          <w:sz w:val="18"/>
        </w:rPr>
        <w:t>воспитательной</w:t>
      </w:r>
      <w:r>
        <w:rPr>
          <w:rFonts w:ascii="Georgia" w:hAnsi="Georgia"/>
          <w:color w:val="231F20"/>
          <w:spacing w:val="-4"/>
          <w:sz w:val="18"/>
        </w:rPr>
        <w:t> </w:t>
      </w:r>
      <w:r>
        <w:rPr>
          <w:rFonts w:ascii="Georgia" w:hAnsi="Georgia"/>
          <w:color w:val="231F20"/>
          <w:sz w:val="18"/>
        </w:rPr>
        <w:t>раюоты</w:t>
      </w:r>
      <w:r>
        <w:rPr>
          <w:rFonts w:ascii="Georgia" w:hAnsi="Georgia"/>
          <w:color w:val="231F20"/>
          <w:spacing w:val="-5"/>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w:t>
      </w:r>
      <w:r>
        <w:rPr>
          <w:rFonts w:ascii="Georgia" w:hAnsi="Georgia"/>
          <w:color w:val="231F20"/>
          <w:spacing w:val="-4"/>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BodyText"/>
        <w:spacing w:line="235" w:lineRule="auto" w:before="116"/>
        <w:ind w:right="140" w:firstLine="0"/>
      </w:pPr>
      <w:r>
        <w:rPr>
          <w:color w:val="231F20"/>
        </w:rPr>
        <w:t>наставничеству</w:t>
      </w:r>
      <w:r>
        <w:rPr>
          <w:color w:val="231F20"/>
          <w:spacing w:val="-10"/>
        </w:rPr>
        <w:t> </w:t>
      </w:r>
      <w:r>
        <w:rPr>
          <w:color w:val="231F20"/>
        </w:rPr>
        <w:t>для</w:t>
      </w:r>
      <w:r>
        <w:rPr>
          <w:color w:val="231F20"/>
          <w:spacing w:val="-10"/>
        </w:rPr>
        <w:t> </w:t>
      </w:r>
      <w:r>
        <w:rPr>
          <w:color w:val="231F20"/>
        </w:rPr>
        <w:t>молодых</w:t>
      </w:r>
      <w:r>
        <w:rPr>
          <w:color w:val="231F20"/>
          <w:spacing w:val="-10"/>
        </w:rPr>
        <w:t> </w:t>
      </w:r>
      <w:r>
        <w:rPr>
          <w:color w:val="231F20"/>
        </w:rPr>
        <w:t>мигрантов</w:t>
      </w:r>
      <w:r>
        <w:rPr>
          <w:color w:val="231F20"/>
          <w:spacing w:val="-10"/>
        </w:rPr>
        <w:t> </w:t>
      </w:r>
      <w:r>
        <w:rPr>
          <w:color w:val="231F20"/>
        </w:rPr>
        <w:t>в</w:t>
      </w:r>
      <w:r>
        <w:rPr>
          <w:color w:val="231F20"/>
          <w:spacing w:val="-10"/>
        </w:rPr>
        <w:t> </w:t>
      </w:r>
      <w:r>
        <w:rPr>
          <w:color w:val="231F20"/>
        </w:rPr>
        <w:t>образовании</w:t>
      </w:r>
      <w:r>
        <w:rPr>
          <w:color w:val="231F20"/>
          <w:spacing w:val="-10"/>
        </w:rPr>
        <w:t> </w:t>
      </w:r>
      <w:r>
        <w:rPr>
          <w:color w:val="231F20"/>
        </w:rPr>
        <w:t>(Mentoring</w:t>
      </w:r>
      <w:r>
        <w:rPr>
          <w:color w:val="231F20"/>
          <w:spacing w:val="-10"/>
        </w:rPr>
        <w:t> </w:t>
      </w:r>
      <w:r>
        <w:rPr>
          <w:color w:val="231F20"/>
        </w:rPr>
        <w:t>for</w:t>
      </w:r>
      <w:r>
        <w:rPr>
          <w:color w:val="231F20"/>
          <w:spacing w:val="-10"/>
        </w:rPr>
        <w:t> </w:t>
      </w:r>
      <w:r>
        <w:rPr>
          <w:color w:val="231F20"/>
        </w:rPr>
        <w:t>migrant</w:t>
      </w:r>
      <w:r>
        <w:rPr>
          <w:color w:val="231F20"/>
          <w:spacing w:val="-10"/>
        </w:rPr>
        <w:t> </w:t>
      </w:r>
      <w:r>
        <w:rPr>
          <w:color w:val="231F20"/>
        </w:rPr>
        <w:t>youth</w:t>
      </w:r>
      <w:r>
        <w:rPr>
          <w:color w:val="231F20"/>
          <w:spacing w:val="-10"/>
        </w:rPr>
        <w:t> </w:t>
      </w:r>
      <w:r>
        <w:rPr>
          <w:color w:val="231F20"/>
        </w:rPr>
        <w:t>in education, 2018) и другие.</w:t>
      </w:r>
    </w:p>
    <w:p>
      <w:pPr>
        <w:pStyle w:val="BodyText"/>
        <w:spacing w:line="235" w:lineRule="auto" w:before="1"/>
      </w:pPr>
      <w:r>
        <w:rPr>
          <w:color w:val="231F20"/>
        </w:rPr>
        <w:t>Методические материалы содержат четкие и выполнимые рекомендации по обе- </w:t>
      </w:r>
      <w:r>
        <w:rPr>
          <w:color w:val="231F20"/>
          <w:spacing w:val="-2"/>
        </w:rPr>
        <w:t>спечению качества работы специалистов, реализующих практику, процедурам отбора </w:t>
      </w:r>
      <w:r>
        <w:rPr>
          <w:color w:val="231F20"/>
        </w:rPr>
        <w:t>наставников,</w:t>
      </w:r>
      <w:r>
        <w:rPr>
          <w:color w:val="231F20"/>
          <w:spacing w:val="-13"/>
        </w:rPr>
        <w:t> </w:t>
      </w:r>
      <w:r>
        <w:rPr>
          <w:color w:val="231F20"/>
        </w:rPr>
        <w:t>интервьюирования</w:t>
      </w:r>
      <w:r>
        <w:rPr>
          <w:color w:val="231F20"/>
          <w:spacing w:val="-12"/>
        </w:rPr>
        <w:t> </w:t>
      </w:r>
      <w:r>
        <w:rPr>
          <w:color w:val="231F20"/>
        </w:rPr>
        <w:t>наставляемых,</w:t>
      </w:r>
      <w:r>
        <w:rPr>
          <w:color w:val="231F20"/>
          <w:spacing w:val="-13"/>
        </w:rPr>
        <w:t> </w:t>
      </w:r>
      <w:r>
        <w:rPr>
          <w:color w:val="231F20"/>
        </w:rPr>
        <w:t>ходе</w:t>
      </w:r>
      <w:r>
        <w:rPr>
          <w:color w:val="231F20"/>
          <w:spacing w:val="-12"/>
        </w:rPr>
        <w:t> </w:t>
      </w:r>
      <w:r>
        <w:rPr>
          <w:color w:val="231F20"/>
        </w:rPr>
        <w:t>реализации</w:t>
      </w:r>
      <w:r>
        <w:rPr>
          <w:color w:val="231F20"/>
          <w:spacing w:val="-13"/>
        </w:rPr>
        <w:t> </w:t>
      </w:r>
      <w:r>
        <w:rPr>
          <w:color w:val="231F20"/>
        </w:rPr>
        <w:t>программы</w:t>
      </w:r>
      <w:r>
        <w:rPr>
          <w:color w:val="231F20"/>
          <w:spacing w:val="-12"/>
        </w:rPr>
        <w:t> </w:t>
      </w:r>
      <w:r>
        <w:rPr>
          <w:color w:val="231F20"/>
        </w:rPr>
        <w:t>в</w:t>
      </w:r>
      <w:r>
        <w:rPr>
          <w:color w:val="231F20"/>
          <w:spacing w:val="-13"/>
        </w:rPr>
        <w:t> </w:t>
      </w:r>
      <w:r>
        <w:rPr>
          <w:color w:val="231F20"/>
        </w:rPr>
        <w:t>школе. Дополнительные</w:t>
      </w:r>
      <w:r>
        <w:rPr>
          <w:color w:val="231F20"/>
          <w:spacing w:val="-5"/>
        </w:rPr>
        <w:t> </w:t>
      </w:r>
      <w:r>
        <w:rPr>
          <w:color w:val="231F20"/>
        </w:rPr>
        <w:t>методические</w:t>
      </w:r>
      <w:r>
        <w:rPr>
          <w:color w:val="231F20"/>
          <w:spacing w:val="-5"/>
        </w:rPr>
        <w:t> </w:t>
      </w:r>
      <w:r>
        <w:rPr>
          <w:color w:val="231F20"/>
        </w:rPr>
        <w:t>рекомендации</w:t>
      </w:r>
      <w:r>
        <w:rPr>
          <w:color w:val="231F20"/>
          <w:spacing w:val="-5"/>
        </w:rPr>
        <w:t> </w:t>
      </w:r>
      <w:r>
        <w:rPr>
          <w:color w:val="231F20"/>
        </w:rPr>
        <w:t>могут</w:t>
      </w:r>
      <w:r>
        <w:rPr>
          <w:color w:val="231F20"/>
          <w:spacing w:val="-5"/>
        </w:rPr>
        <w:t> </w:t>
      </w:r>
      <w:r>
        <w:rPr>
          <w:color w:val="231F20"/>
        </w:rPr>
        <w:t>быть</w:t>
      </w:r>
      <w:r>
        <w:rPr>
          <w:color w:val="231F20"/>
          <w:spacing w:val="-5"/>
        </w:rPr>
        <w:t> </w:t>
      </w:r>
      <w:r>
        <w:rPr>
          <w:color w:val="231F20"/>
        </w:rPr>
        <w:t>разработаны</w:t>
      </w:r>
      <w:r>
        <w:rPr>
          <w:color w:val="231F20"/>
          <w:spacing w:val="-5"/>
        </w:rPr>
        <w:t> </w:t>
      </w:r>
      <w:r>
        <w:rPr>
          <w:color w:val="231F20"/>
        </w:rPr>
        <w:t>в</w:t>
      </w:r>
      <w:r>
        <w:rPr>
          <w:color w:val="231F20"/>
          <w:spacing w:val="-5"/>
        </w:rPr>
        <w:t> </w:t>
      </w:r>
      <w:r>
        <w:rPr>
          <w:color w:val="231F20"/>
        </w:rPr>
        <w:t>самой</w:t>
      </w:r>
      <w:r>
        <w:rPr>
          <w:color w:val="231F20"/>
          <w:spacing w:val="-5"/>
        </w:rPr>
        <w:t> </w:t>
      </w:r>
      <w:r>
        <w:rPr>
          <w:color w:val="231F20"/>
        </w:rPr>
        <w:t>шко- ле с учетом ее специфики. Это же касается внутришкольных документов, регламен- тирующих процесс, сроки и техники наставничества – разработанные однажды, они используются в обучающей работе с наставниками и подопечными.</w:t>
      </w:r>
    </w:p>
    <w:p>
      <w:pPr>
        <w:pStyle w:val="BodyText"/>
        <w:spacing w:line="237" w:lineRule="auto" w:before="2"/>
      </w:pPr>
      <w:r>
        <w:rPr>
          <w:color w:val="231F20"/>
        </w:rPr>
        <w:t>Возможности</w:t>
      </w:r>
      <w:r>
        <w:rPr>
          <w:color w:val="231F20"/>
          <w:spacing w:val="-13"/>
        </w:rPr>
        <w:t> </w:t>
      </w:r>
      <w:r>
        <w:rPr>
          <w:color w:val="231F20"/>
        </w:rPr>
        <w:t>негативного</w:t>
      </w:r>
      <w:r>
        <w:rPr>
          <w:color w:val="231F20"/>
          <w:spacing w:val="-12"/>
        </w:rPr>
        <w:t> </w:t>
      </w:r>
      <w:r>
        <w:rPr>
          <w:color w:val="231F20"/>
        </w:rPr>
        <w:t>влияния</w:t>
      </w:r>
      <w:r>
        <w:rPr>
          <w:color w:val="231F20"/>
          <w:spacing w:val="-13"/>
        </w:rPr>
        <w:t> </w:t>
      </w:r>
      <w:r>
        <w:rPr>
          <w:color w:val="231F20"/>
        </w:rPr>
        <w:t>и</w:t>
      </w:r>
      <w:r>
        <w:rPr>
          <w:color w:val="231F20"/>
          <w:spacing w:val="-12"/>
        </w:rPr>
        <w:t> </w:t>
      </w:r>
      <w:r>
        <w:rPr>
          <w:color w:val="231F20"/>
        </w:rPr>
        <w:t>рисков</w:t>
      </w:r>
      <w:r>
        <w:rPr>
          <w:color w:val="231F20"/>
          <w:spacing w:val="-13"/>
        </w:rPr>
        <w:t> </w:t>
      </w:r>
      <w:r>
        <w:rPr>
          <w:color w:val="231F20"/>
        </w:rPr>
        <w:t>могут</w:t>
      </w:r>
      <w:r>
        <w:rPr>
          <w:color w:val="231F20"/>
          <w:spacing w:val="-12"/>
        </w:rPr>
        <w:t> </w:t>
      </w:r>
      <w:r>
        <w:rPr>
          <w:color w:val="231F20"/>
        </w:rPr>
        <w:t>быть</w:t>
      </w:r>
      <w:r>
        <w:rPr>
          <w:color w:val="231F20"/>
          <w:spacing w:val="-13"/>
        </w:rPr>
        <w:t> </w:t>
      </w:r>
      <w:r>
        <w:rPr>
          <w:color w:val="231F20"/>
        </w:rPr>
        <w:t>нивелированы</w:t>
      </w:r>
      <w:r>
        <w:rPr>
          <w:color w:val="231F20"/>
          <w:spacing w:val="-12"/>
        </w:rPr>
        <w:t> </w:t>
      </w:r>
      <w:r>
        <w:rPr>
          <w:color w:val="231F20"/>
        </w:rPr>
        <w:t>за</w:t>
      </w:r>
      <w:r>
        <w:rPr>
          <w:color w:val="231F20"/>
          <w:spacing w:val="-13"/>
        </w:rPr>
        <w:t> </w:t>
      </w:r>
      <w:r>
        <w:rPr>
          <w:color w:val="231F20"/>
        </w:rPr>
        <w:t>счет</w:t>
      </w:r>
      <w:r>
        <w:rPr>
          <w:color w:val="231F20"/>
          <w:spacing w:val="-12"/>
        </w:rPr>
        <w:t> </w:t>
      </w:r>
      <w:r>
        <w:rPr>
          <w:color w:val="231F20"/>
        </w:rPr>
        <w:t>вы- полнения</w:t>
      </w:r>
      <w:r>
        <w:rPr>
          <w:color w:val="231F20"/>
          <w:spacing w:val="-1"/>
        </w:rPr>
        <w:t> </w:t>
      </w:r>
      <w:r>
        <w:rPr>
          <w:color w:val="231F20"/>
        </w:rPr>
        <w:t>безопасных</w:t>
      </w:r>
      <w:r>
        <w:rPr>
          <w:color w:val="231F20"/>
          <w:spacing w:val="-1"/>
        </w:rPr>
        <w:t> </w:t>
      </w:r>
      <w:r>
        <w:rPr>
          <w:color w:val="231F20"/>
        </w:rPr>
        <w:t>и</w:t>
      </w:r>
      <w:r>
        <w:rPr>
          <w:color w:val="231F20"/>
          <w:spacing w:val="-1"/>
        </w:rPr>
        <w:t> </w:t>
      </w:r>
      <w:r>
        <w:rPr>
          <w:color w:val="231F20"/>
        </w:rPr>
        <w:t>эффективных</w:t>
      </w:r>
      <w:r>
        <w:rPr>
          <w:color w:val="231F20"/>
          <w:spacing w:val="-1"/>
        </w:rPr>
        <w:t> </w:t>
      </w:r>
      <w:r>
        <w:rPr>
          <w:color w:val="231F20"/>
        </w:rPr>
        <w:t>правил</w:t>
      </w:r>
      <w:r>
        <w:rPr>
          <w:color w:val="231F20"/>
          <w:spacing w:val="-1"/>
        </w:rPr>
        <w:t> </w:t>
      </w:r>
      <w:r>
        <w:rPr>
          <w:color w:val="231F20"/>
        </w:rPr>
        <w:t>наставничества:</w:t>
      </w:r>
      <w:r>
        <w:rPr>
          <w:color w:val="231F20"/>
          <w:spacing w:val="-1"/>
        </w:rPr>
        <w:t> </w:t>
      </w:r>
      <w:r>
        <w:rPr>
          <w:color w:val="231F20"/>
        </w:rPr>
        <w:t>соблюдения</w:t>
      </w:r>
      <w:r>
        <w:rPr>
          <w:color w:val="231F20"/>
          <w:spacing w:val="-1"/>
        </w:rPr>
        <w:t> </w:t>
      </w:r>
      <w:r>
        <w:rPr>
          <w:color w:val="231F20"/>
        </w:rPr>
        <w:t>заданных ролей</w:t>
      </w:r>
      <w:r>
        <w:rPr>
          <w:color w:val="231F20"/>
          <w:spacing w:val="-7"/>
        </w:rPr>
        <w:t> </w:t>
      </w:r>
      <w:r>
        <w:rPr>
          <w:color w:val="231F20"/>
        </w:rPr>
        <w:t>и</w:t>
      </w:r>
      <w:r>
        <w:rPr>
          <w:color w:val="231F20"/>
          <w:spacing w:val="-7"/>
        </w:rPr>
        <w:t> </w:t>
      </w:r>
      <w:r>
        <w:rPr>
          <w:color w:val="231F20"/>
        </w:rPr>
        <w:t>обязанностей</w:t>
      </w:r>
      <w:r>
        <w:rPr>
          <w:color w:val="231F20"/>
          <w:spacing w:val="-7"/>
        </w:rPr>
        <w:t> </w:t>
      </w:r>
      <w:r>
        <w:rPr>
          <w:color w:val="231F20"/>
        </w:rPr>
        <w:t>наставников</w:t>
      </w:r>
      <w:r>
        <w:rPr>
          <w:color w:val="231F20"/>
          <w:spacing w:val="-7"/>
        </w:rPr>
        <w:t> </w:t>
      </w:r>
      <w:r>
        <w:rPr>
          <w:color w:val="231F20"/>
        </w:rPr>
        <w:t>и</w:t>
      </w:r>
      <w:r>
        <w:rPr>
          <w:color w:val="231F20"/>
          <w:spacing w:val="-7"/>
        </w:rPr>
        <w:t> </w:t>
      </w:r>
      <w:r>
        <w:rPr>
          <w:color w:val="231F20"/>
        </w:rPr>
        <w:t>подопечных,</w:t>
      </w:r>
      <w:r>
        <w:rPr>
          <w:color w:val="231F20"/>
          <w:spacing w:val="-7"/>
        </w:rPr>
        <w:t> </w:t>
      </w:r>
      <w:r>
        <w:rPr>
          <w:color w:val="231F20"/>
        </w:rPr>
        <w:t>последовательной</w:t>
      </w:r>
      <w:r>
        <w:rPr>
          <w:color w:val="231F20"/>
          <w:spacing w:val="-7"/>
        </w:rPr>
        <w:t> </w:t>
      </w:r>
      <w:r>
        <w:rPr>
          <w:color w:val="231F20"/>
        </w:rPr>
        <w:t>подготовке</w:t>
      </w:r>
      <w:r>
        <w:rPr>
          <w:color w:val="231F20"/>
          <w:spacing w:val="-7"/>
        </w:rPr>
        <w:t> </w:t>
      </w:r>
      <w:r>
        <w:rPr>
          <w:color w:val="231F20"/>
        </w:rPr>
        <w:t>обе- их сторон к взаимодействию и выполнения программы в соответствии с заданными сроками</w:t>
      </w:r>
      <w:r>
        <w:rPr>
          <w:color w:val="231F20"/>
          <w:spacing w:val="-2"/>
        </w:rPr>
        <w:t> </w:t>
      </w:r>
      <w:r>
        <w:rPr>
          <w:color w:val="231F20"/>
        </w:rPr>
        <w:t>(от</w:t>
      </w:r>
      <w:r>
        <w:rPr>
          <w:color w:val="231F20"/>
          <w:spacing w:val="-2"/>
        </w:rPr>
        <w:t> </w:t>
      </w:r>
      <w:r>
        <w:rPr>
          <w:color w:val="231F20"/>
        </w:rPr>
        <w:t>года).</w:t>
      </w:r>
      <w:r>
        <w:rPr>
          <w:color w:val="231F20"/>
          <w:spacing w:val="-2"/>
        </w:rPr>
        <w:t> </w:t>
      </w:r>
      <w:r>
        <w:rPr>
          <w:color w:val="231F20"/>
        </w:rPr>
        <w:t>Мониторинг</w:t>
      </w:r>
      <w:r>
        <w:rPr>
          <w:color w:val="231F20"/>
          <w:spacing w:val="-2"/>
        </w:rPr>
        <w:t> </w:t>
      </w:r>
      <w:r>
        <w:rPr>
          <w:color w:val="231F20"/>
        </w:rPr>
        <w:t>наставничества</w:t>
      </w:r>
      <w:r>
        <w:rPr>
          <w:color w:val="231F20"/>
          <w:spacing w:val="-2"/>
        </w:rPr>
        <w:t> </w:t>
      </w:r>
      <w:r>
        <w:rPr>
          <w:color w:val="231F20"/>
        </w:rPr>
        <w:t>со</w:t>
      </w:r>
      <w:r>
        <w:rPr>
          <w:color w:val="231F20"/>
          <w:spacing w:val="-2"/>
        </w:rPr>
        <w:t> </w:t>
      </w:r>
      <w:r>
        <w:rPr>
          <w:color w:val="231F20"/>
        </w:rPr>
        <w:t>стороны</w:t>
      </w:r>
      <w:r>
        <w:rPr>
          <w:color w:val="231F20"/>
          <w:spacing w:val="-2"/>
        </w:rPr>
        <w:t> </w:t>
      </w:r>
      <w:r>
        <w:rPr>
          <w:color w:val="231F20"/>
        </w:rPr>
        <w:t>куратора</w:t>
      </w:r>
      <w:r>
        <w:rPr>
          <w:color w:val="231F20"/>
          <w:spacing w:val="-2"/>
        </w:rPr>
        <w:t> </w:t>
      </w:r>
      <w:r>
        <w:rPr>
          <w:color w:val="231F20"/>
        </w:rPr>
        <w:t>программы,</w:t>
      </w:r>
      <w:r>
        <w:rPr>
          <w:color w:val="231F20"/>
          <w:spacing w:val="-2"/>
        </w:rPr>
        <w:t> </w:t>
      </w:r>
      <w:r>
        <w:rPr>
          <w:color w:val="231F20"/>
        </w:rPr>
        <w:t>ис- </w:t>
      </w:r>
      <w:r>
        <w:rPr>
          <w:color w:val="231F20"/>
          <w:spacing w:val="-2"/>
        </w:rPr>
        <w:t>пользование специализированных программ в обучении наставников, методическая и </w:t>
      </w:r>
      <w:r>
        <w:rPr>
          <w:color w:val="231F20"/>
        </w:rPr>
        <w:t>психологическая</w:t>
      </w:r>
      <w:r>
        <w:rPr>
          <w:color w:val="231F20"/>
          <w:spacing w:val="-10"/>
        </w:rPr>
        <w:t> </w:t>
      </w:r>
      <w:r>
        <w:rPr>
          <w:color w:val="231F20"/>
        </w:rPr>
        <w:t>поддержка</w:t>
      </w:r>
      <w:r>
        <w:rPr>
          <w:color w:val="231F20"/>
          <w:spacing w:val="-10"/>
        </w:rPr>
        <w:t> </w:t>
      </w:r>
      <w:r>
        <w:rPr>
          <w:color w:val="231F20"/>
        </w:rPr>
        <w:t>наставников</w:t>
      </w:r>
      <w:r>
        <w:rPr>
          <w:color w:val="231F20"/>
          <w:spacing w:val="-10"/>
        </w:rPr>
        <w:t> </w:t>
      </w:r>
      <w:r>
        <w:rPr>
          <w:color w:val="231F20"/>
        </w:rPr>
        <w:t>при</w:t>
      </w:r>
      <w:r>
        <w:rPr>
          <w:color w:val="231F20"/>
          <w:spacing w:val="-10"/>
        </w:rPr>
        <w:t> </w:t>
      </w:r>
      <w:r>
        <w:rPr>
          <w:color w:val="231F20"/>
        </w:rPr>
        <w:t>возникновении</w:t>
      </w:r>
      <w:r>
        <w:rPr>
          <w:color w:val="231F20"/>
          <w:spacing w:val="-10"/>
        </w:rPr>
        <w:t> </w:t>
      </w:r>
      <w:r>
        <w:rPr>
          <w:color w:val="231F20"/>
        </w:rPr>
        <w:t>сложных</w:t>
      </w:r>
      <w:r>
        <w:rPr>
          <w:color w:val="231F20"/>
          <w:spacing w:val="-10"/>
        </w:rPr>
        <w:t> </w:t>
      </w:r>
      <w:r>
        <w:rPr>
          <w:color w:val="231F20"/>
        </w:rPr>
        <w:t>ситуаций</w:t>
      </w:r>
      <w:r>
        <w:rPr>
          <w:color w:val="231F20"/>
          <w:spacing w:val="-10"/>
        </w:rPr>
        <w:t> </w:t>
      </w:r>
      <w:r>
        <w:rPr>
          <w:color w:val="231F20"/>
        </w:rPr>
        <w:t>так- же позволяют снизить потенциальные риски проведения практики (Mentorship Best Practices Toolkit, 2017).</w:t>
      </w:r>
    </w:p>
    <w:p>
      <w:pPr>
        <w:pStyle w:val="ListParagraph"/>
        <w:numPr>
          <w:ilvl w:val="0"/>
          <w:numId w:val="130"/>
        </w:numPr>
        <w:tabs>
          <w:tab w:pos="423" w:val="left" w:leader="none"/>
        </w:tabs>
        <w:spacing w:line="229" w:lineRule="exact" w:before="54" w:after="0"/>
        <w:ind w:left="423" w:right="0" w:hanging="282"/>
        <w:jc w:val="both"/>
        <w:rPr>
          <w:i/>
          <w:sz w:val="20"/>
        </w:rPr>
      </w:pPr>
      <w:r>
        <w:rPr>
          <w:i/>
          <w:color w:val="231F20"/>
          <w:spacing w:val="-2"/>
          <w:sz w:val="20"/>
        </w:rPr>
        <w:t>Обоснованность</w:t>
      </w:r>
    </w:p>
    <w:p>
      <w:pPr>
        <w:pStyle w:val="BodyText"/>
        <w:spacing w:line="237" w:lineRule="auto" w:before="1"/>
        <w:jc w:val="right"/>
      </w:pPr>
      <w:r>
        <w:rPr>
          <w:color w:val="231F20"/>
          <w:spacing w:val="-2"/>
        </w:rPr>
        <w:t>Наставничество</w:t>
      </w:r>
      <w:r>
        <w:rPr>
          <w:color w:val="231F20"/>
          <w:spacing w:val="-4"/>
        </w:rPr>
        <w:t> </w:t>
      </w:r>
      <w:r>
        <w:rPr>
          <w:color w:val="231F20"/>
          <w:spacing w:val="-2"/>
        </w:rPr>
        <w:t>–</w:t>
      </w:r>
      <w:r>
        <w:rPr>
          <w:color w:val="231F20"/>
          <w:spacing w:val="-4"/>
        </w:rPr>
        <w:t> </w:t>
      </w:r>
      <w:r>
        <w:rPr>
          <w:color w:val="231F20"/>
          <w:spacing w:val="-2"/>
        </w:rPr>
        <w:t>одна</w:t>
      </w:r>
      <w:r>
        <w:rPr>
          <w:color w:val="231F20"/>
          <w:spacing w:val="-4"/>
        </w:rPr>
        <w:t> </w:t>
      </w:r>
      <w:r>
        <w:rPr>
          <w:color w:val="231F20"/>
          <w:spacing w:val="-2"/>
        </w:rPr>
        <w:t>из</w:t>
      </w:r>
      <w:r>
        <w:rPr>
          <w:color w:val="231F20"/>
          <w:spacing w:val="-4"/>
        </w:rPr>
        <w:t> </w:t>
      </w:r>
      <w:r>
        <w:rPr>
          <w:color w:val="231F20"/>
          <w:spacing w:val="-2"/>
        </w:rPr>
        <w:t>распространенных</w:t>
      </w:r>
      <w:r>
        <w:rPr>
          <w:color w:val="231F20"/>
          <w:spacing w:val="-4"/>
        </w:rPr>
        <w:t> </w:t>
      </w:r>
      <w:r>
        <w:rPr>
          <w:color w:val="231F20"/>
          <w:spacing w:val="-2"/>
        </w:rPr>
        <w:t>практик</w:t>
      </w:r>
      <w:r>
        <w:rPr>
          <w:color w:val="231F20"/>
          <w:spacing w:val="-4"/>
        </w:rPr>
        <w:t> </w:t>
      </w:r>
      <w:r>
        <w:rPr>
          <w:color w:val="231F20"/>
          <w:spacing w:val="-2"/>
        </w:rPr>
        <w:t>оказания</w:t>
      </w:r>
      <w:r>
        <w:rPr>
          <w:color w:val="231F20"/>
          <w:spacing w:val="-4"/>
        </w:rPr>
        <w:t> </w:t>
      </w:r>
      <w:r>
        <w:rPr>
          <w:color w:val="231F20"/>
          <w:spacing w:val="-2"/>
        </w:rPr>
        <w:t>неформальной</w:t>
      </w:r>
      <w:r>
        <w:rPr>
          <w:color w:val="231F20"/>
          <w:spacing w:val="-4"/>
        </w:rPr>
        <w:t> </w:t>
      </w:r>
      <w:r>
        <w:rPr>
          <w:color w:val="231F20"/>
          <w:spacing w:val="-2"/>
        </w:rPr>
        <w:t>под- </w:t>
      </w:r>
      <w:r>
        <w:rPr>
          <w:color w:val="231F20"/>
        </w:rPr>
        <w:t>держки</w:t>
      </w:r>
      <w:r>
        <w:rPr>
          <w:color w:val="231F20"/>
          <w:spacing w:val="-7"/>
        </w:rPr>
        <w:t> </w:t>
      </w:r>
      <w:r>
        <w:rPr>
          <w:color w:val="231F20"/>
        </w:rPr>
        <w:t>детям</w:t>
      </w:r>
      <w:r>
        <w:rPr>
          <w:color w:val="231F20"/>
          <w:spacing w:val="-7"/>
        </w:rPr>
        <w:t> </w:t>
      </w:r>
      <w:r>
        <w:rPr>
          <w:color w:val="231F20"/>
        </w:rPr>
        <w:t>и</w:t>
      </w:r>
      <w:r>
        <w:rPr>
          <w:color w:val="231F20"/>
          <w:spacing w:val="-7"/>
        </w:rPr>
        <w:t> </w:t>
      </w:r>
      <w:r>
        <w:rPr>
          <w:color w:val="231F20"/>
        </w:rPr>
        <w:t>молодежи</w:t>
      </w:r>
      <w:r>
        <w:rPr>
          <w:color w:val="231F20"/>
          <w:spacing w:val="-7"/>
        </w:rPr>
        <w:t> </w:t>
      </w:r>
      <w:r>
        <w:rPr>
          <w:color w:val="231F20"/>
        </w:rPr>
        <w:t>с</w:t>
      </w:r>
      <w:r>
        <w:rPr>
          <w:color w:val="231F20"/>
          <w:spacing w:val="-7"/>
        </w:rPr>
        <w:t> </w:t>
      </w:r>
      <w:r>
        <w:rPr>
          <w:color w:val="231F20"/>
        </w:rPr>
        <w:t>миграционным</w:t>
      </w:r>
      <w:r>
        <w:rPr>
          <w:color w:val="231F20"/>
          <w:spacing w:val="-7"/>
        </w:rPr>
        <w:t> </w:t>
      </w:r>
      <w:r>
        <w:rPr>
          <w:color w:val="231F20"/>
        </w:rPr>
        <w:t>опытом</w:t>
      </w:r>
      <w:r>
        <w:rPr>
          <w:color w:val="231F20"/>
          <w:spacing w:val="-7"/>
        </w:rPr>
        <w:t> </w:t>
      </w:r>
      <w:r>
        <w:rPr>
          <w:color w:val="231F20"/>
        </w:rPr>
        <w:t>для</w:t>
      </w:r>
      <w:r>
        <w:rPr>
          <w:color w:val="231F20"/>
          <w:spacing w:val="-7"/>
        </w:rPr>
        <w:t> </w:t>
      </w:r>
      <w:r>
        <w:rPr>
          <w:color w:val="231F20"/>
        </w:rPr>
        <w:t>достижения</w:t>
      </w:r>
      <w:r>
        <w:rPr>
          <w:color w:val="231F20"/>
          <w:spacing w:val="-7"/>
        </w:rPr>
        <w:t> </w:t>
      </w:r>
      <w:r>
        <w:rPr>
          <w:color w:val="231F20"/>
        </w:rPr>
        <w:t>таких</w:t>
      </w:r>
      <w:r>
        <w:rPr>
          <w:color w:val="231F20"/>
          <w:spacing w:val="-7"/>
        </w:rPr>
        <w:t> </w:t>
      </w:r>
      <w:r>
        <w:rPr>
          <w:color w:val="231F20"/>
        </w:rPr>
        <w:t>целей,</w:t>
      </w:r>
      <w:r>
        <w:rPr>
          <w:color w:val="231F20"/>
          <w:spacing w:val="-7"/>
        </w:rPr>
        <w:t> </w:t>
      </w:r>
      <w:r>
        <w:rPr>
          <w:color w:val="231F20"/>
        </w:rPr>
        <w:t>как </w:t>
      </w:r>
      <w:r>
        <w:rPr>
          <w:color w:val="231F20"/>
          <w:spacing w:val="-4"/>
        </w:rPr>
        <w:t>овладение</w:t>
      </w:r>
      <w:r>
        <w:rPr>
          <w:color w:val="231F20"/>
          <w:spacing w:val="-7"/>
        </w:rPr>
        <w:t> </w:t>
      </w:r>
      <w:r>
        <w:rPr>
          <w:color w:val="231F20"/>
          <w:spacing w:val="-4"/>
        </w:rPr>
        <w:t>языком,</w:t>
      </w:r>
      <w:r>
        <w:rPr>
          <w:color w:val="231F20"/>
          <w:spacing w:val="-7"/>
        </w:rPr>
        <w:t> </w:t>
      </w:r>
      <w:r>
        <w:rPr>
          <w:color w:val="231F20"/>
          <w:spacing w:val="-4"/>
        </w:rPr>
        <w:t>предотвращение</w:t>
      </w:r>
      <w:r>
        <w:rPr>
          <w:color w:val="231F20"/>
          <w:spacing w:val="-7"/>
        </w:rPr>
        <w:t> </w:t>
      </w:r>
      <w:r>
        <w:rPr>
          <w:color w:val="231F20"/>
          <w:spacing w:val="-4"/>
        </w:rPr>
        <w:t>отсева</w:t>
      </w:r>
      <w:r>
        <w:rPr>
          <w:color w:val="231F20"/>
          <w:spacing w:val="-7"/>
        </w:rPr>
        <w:t> </w:t>
      </w:r>
      <w:r>
        <w:rPr>
          <w:color w:val="231F20"/>
          <w:spacing w:val="-4"/>
        </w:rPr>
        <w:t>из</w:t>
      </w:r>
      <w:r>
        <w:rPr>
          <w:color w:val="231F20"/>
          <w:spacing w:val="-7"/>
        </w:rPr>
        <w:t> </w:t>
      </w:r>
      <w:r>
        <w:rPr>
          <w:color w:val="231F20"/>
          <w:spacing w:val="-4"/>
        </w:rPr>
        <w:t>школы,</w:t>
      </w:r>
      <w:r>
        <w:rPr>
          <w:color w:val="231F20"/>
          <w:spacing w:val="-7"/>
        </w:rPr>
        <w:t> </w:t>
      </w:r>
      <w:r>
        <w:rPr>
          <w:color w:val="231F20"/>
          <w:spacing w:val="-4"/>
        </w:rPr>
        <w:t>поиск</w:t>
      </w:r>
      <w:r>
        <w:rPr>
          <w:color w:val="231F20"/>
          <w:spacing w:val="-7"/>
        </w:rPr>
        <w:t> </w:t>
      </w:r>
      <w:r>
        <w:rPr>
          <w:color w:val="231F20"/>
          <w:spacing w:val="-4"/>
        </w:rPr>
        <w:t>работы</w:t>
      </w:r>
      <w:r>
        <w:rPr>
          <w:color w:val="231F20"/>
          <w:spacing w:val="-7"/>
        </w:rPr>
        <w:t> </w:t>
      </w:r>
      <w:r>
        <w:rPr>
          <w:color w:val="231F20"/>
          <w:spacing w:val="-4"/>
        </w:rPr>
        <w:t>и</w:t>
      </w:r>
      <w:r>
        <w:rPr>
          <w:color w:val="231F20"/>
          <w:spacing w:val="-7"/>
        </w:rPr>
        <w:t> </w:t>
      </w:r>
      <w:r>
        <w:rPr>
          <w:color w:val="231F20"/>
          <w:spacing w:val="-4"/>
        </w:rPr>
        <w:t>др.</w:t>
      </w:r>
      <w:r>
        <w:rPr>
          <w:color w:val="231F20"/>
          <w:spacing w:val="-7"/>
        </w:rPr>
        <w:t> </w:t>
      </w:r>
      <w:r>
        <w:rPr>
          <w:color w:val="231F20"/>
          <w:spacing w:val="-4"/>
        </w:rPr>
        <w:t>(Preston,</w:t>
      </w:r>
      <w:r>
        <w:rPr>
          <w:color w:val="231F20"/>
          <w:spacing w:val="-7"/>
        </w:rPr>
        <w:t> </w:t>
      </w:r>
      <w:r>
        <w:rPr>
          <w:color w:val="231F20"/>
          <w:spacing w:val="-4"/>
        </w:rPr>
        <w:t>2019). </w:t>
      </w:r>
      <w:r>
        <w:rPr>
          <w:color w:val="231F20"/>
        </w:rPr>
        <w:t>Недавние исследования показывают, что наставничество может иметь решающее значение</w:t>
      </w:r>
      <w:r>
        <w:rPr>
          <w:color w:val="231F20"/>
          <w:spacing w:val="-13"/>
        </w:rPr>
        <w:t> </w:t>
      </w:r>
      <w:r>
        <w:rPr>
          <w:color w:val="231F20"/>
        </w:rPr>
        <w:t>не</w:t>
      </w:r>
      <w:r>
        <w:rPr>
          <w:color w:val="231F20"/>
          <w:spacing w:val="-12"/>
        </w:rPr>
        <w:t> </w:t>
      </w:r>
      <w:r>
        <w:rPr>
          <w:color w:val="231F20"/>
        </w:rPr>
        <w:t>только</w:t>
      </w:r>
      <w:r>
        <w:rPr>
          <w:color w:val="231F20"/>
          <w:spacing w:val="-13"/>
        </w:rPr>
        <w:t> </w:t>
      </w:r>
      <w:r>
        <w:rPr>
          <w:color w:val="231F20"/>
        </w:rPr>
        <w:t>в</w:t>
      </w:r>
      <w:r>
        <w:rPr>
          <w:color w:val="231F20"/>
          <w:spacing w:val="-12"/>
        </w:rPr>
        <w:t> </w:t>
      </w:r>
      <w:r>
        <w:rPr>
          <w:color w:val="231F20"/>
        </w:rPr>
        <w:t>первые</w:t>
      </w:r>
      <w:r>
        <w:rPr>
          <w:color w:val="231F20"/>
          <w:spacing w:val="-13"/>
        </w:rPr>
        <w:t> </w:t>
      </w:r>
      <w:r>
        <w:rPr>
          <w:color w:val="231F20"/>
        </w:rPr>
        <w:t>годы</w:t>
      </w:r>
      <w:r>
        <w:rPr>
          <w:color w:val="231F20"/>
          <w:spacing w:val="-12"/>
        </w:rPr>
        <w:t> </w:t>
      </w:r>
      <w:r>
        <w:rPr>
          <w:color w:val="231F20"/>
        </w:rPr>
        <w:t>после</w:t>
      </w:r>
      <w:r>
        <w:rPr>
          <w:color w:val="231F20"/>
          <w:spacing w:val="-13"/>
        </w:rPr>
        <w:t> </w:t>
      </w:r>
      <w:r>
        <w:rPr>
          <w:color w:val="231F20"/>
        </w:rPr>
        <w:t>переселения,</w:t>
      </w:r>
      <w:r>
        <w:rPr>
          <w:color w:val="231F20"/>
          <w:spacing w:val="-12"/>
        </w:rPr>
        <w:t> </w:t>
      </w:r>
      <w:r>
        <w:rPr>
          <w:color w:val="231F20"/>
        </w:rPr>
        <w:t>но</w:t>
      </w:r>
      <w:r>
        <w:rPr>
          <w:color w:val="231F20"/>
          <w:spacing w:val="-13"/>
        </w:rPr>
        <w:t> </w:t>
      </w:r>
      <w:r>
        <w:rPr>
          <w:color w:val="231F20"/>
        </w:rPr>
        <w:t>и</w:t>
      </w:r>
      <w:r>
        <w:rPr>
          <w:color w:val="231F20"/>
          <w:spacing w:val="-12"/>
        </w:rPr>
        <w:t> </w:t>
      </w:r>
      <w:r>
        <w:rPr>
          <w:color w:val="231F20"/>
        </w:rPr>
        <w:t>в</w:t>
      </w:r>
      <w:r>
        <w:rPr>
          <w:color w:val="231F20"/>
          <w:spacing w:val="-13"/>
        </w:rPr>
        <w:t> </w:t>
      </w:r>
      <w:r>
        <w:rPr>
          <w:color w:val="231F20"/>
        </w:rPr>
        <w:t>течение</w:t>
      </w:r>
      <w:r>
        <w:rPr>
          <w:color w:val="231F20"/>
          <w:spacing w:val="-12"/>
        </w:rPr>
        <w:t> </w:t>
      </w:r>
      <w:r>
        <w:rPr>
          <w:color w:val="231F20"/>
        </w:rPr>
        <w:t>дальнейшей</w:t>
      </w:r>
      <w:r>
        <w:rPr>
          <w:color w:val="231F20"/>
          <w:spacing w:val="-13"/>
        </w:rPr>
        <w:t> </w:t>
      </w:r>
      <w:r>
        <w:rPr>
          <w:color w:val="231F20"/>
        </w:rPr>
        <w:t>жиз- ни,</w:t>
      </w:r>
      <w:r>
        <w:rPr>
          <w:color w:val="231F20"/>
          <w:spacing w:val="-11"/>
        </w:rPr>
        <w:t> </w:t>
      </w:r>
      <w:r>
        <w:rPr>
          <w:color w:val="231F20"/>
        </w:rPr>
        <w:t>помогая</w:t>
      </w:r>
      <w:r>
        <w:rPr>
          <w:color w:val="231F20"/>
          <w:spacing w:val="-11"/>
        </w:rPr>
        <w:t> </w:t>
      </w:r>
      <w:r>
        <w:rPr>
          <w:color w:val="231F20"/>
        </w:rPr>
        <w:t>детям</w:t>
      </w:r>
      <w:r>
        <w:rPr>
          <w:color w:val="231F20"/>
          <w:spacing w:val="-11"/>
        </w:rPr>
        <w:t> </w:t>
      </w:r>
      <w:r>
        <w:rPr>
          <w:color w:val="231F20"/>
        </w:rPr>
        <w:t>с</w:t>
      </w:r>
      <w:r>
        <w:rPr>
          <w:color w:val="231F20"/>
          <w:spacing w:val="-11"/>
        </w:rPr>
        <w:t> </w:t>
      </w:r>
      <w:r>
        <w:rPr>
          <w:color w:val="231F20"/>
        </w:rPr>
        <w:t>миграционным</w:t>
      </w:r>
      <w:r>
        <w:rPr>
          <w:color w:val="231F20"/>
          <w:spacing w:val="-11"/>
        </w:rPr>
        <w:t> </w:t>
      </w:r>
      <w:r>
        <w:rPr>
          <w:color w:val="231F20"/>
        </w:rPr>
        <w:t>опытом</w:t>
      </w:r>
      <w:r>
        <w:rPr>
          <w:color w:val="231F20"/>
          <w:spacing w:val="-11"/>
        </w:rPr>
        <w:t> </w:t>
      </w:r>
      <w:r>
        <w:rPr>
          <w:color w:val="231F20"/>
        </w:rPr>
        <w:t>выучить</w:t>
      </w:r>
      <w:r>
        <w:rPr>
          <w:color w:val="231F20"/>
          <w:spacing w:val="-11"/>
        </w:rPr>
        <w:t> </w:t>
      </w:r>
      <w:r>
        <w:rPr>
          <w:color w:val="231F20"/>
        </w:rPr>
        <w:t>язык</w:t>
      </w:r>
      <w:r>
        <w:rPr>
          <w:color w:val="231F20"/>
          <w:spacing w:val="-11"/>
        </w:rPr>
        <w:t> </w:t>
      </w:r>
      <w:r>
        <w:rPr>
          <w:color w:val="231F20"/>
        </w:rPr>
        <w:t>быстрее,</w:t>
      </w:r>
      <w:r>
        <w:rPr>
          <w:color w:val="231F20"/>
          <w:spacing w:val="-11"/>
        </w:rPr>
        <w:t> </w:t>
      </w:r>
      <w:r>
        <w:rPr>
          <w:color w:val="231F20"/>
        </w:rPr>
        <w:t>создать</w:t>
      </w:r>
      <w:r>
        <w:rPr>
          <w:color w:val="231F20"/>
          <w:spacing w:val="-11"/>
        </w:rPr>
        <w:t> </w:t>
      </w:r>
      <w:r>
        <w:rPr>
          <w:color w:val="231F20"/>
        </w:rPr>
        <w:t>более</w:t>
      </w:r>
      <w:r>
        <w:rPr>
          <w:color w:val="231F20"/>
          <w:spacing w:val="-11"/>
        </w:rPr>
        <w:t> </w:t>
      </w:r>
      <w:r>
        <w:rPr>
          <w:color w:val="231F20"/>
        </w:rPr>
        <w:t>ши- рокую</w:t>
      </w:r>
      <w:r>
        <w:rPr>
          <w:color w:val="231F20"/>
          <w:spacing w:val="-8"/>
        </w:rPr>
        <w:t> </w:t>
      </w:r>
      <w:r>
        <w:rPr>
          <w:color w:val="231F20"/>
        </w:rPr>
        <w:t>и</w:t>
      </w:r>
      <w:r>
        <w:rPr>
          <w:color w:val="231F20"/>
          <w:spacing w:val="-8"/>
        </w:rPr>
        <w:t> </w:t>
      </w:r>
      <w:r>
        <w:rPr>
          <w:color w:val="231F20"/>
        </w:rPr>
        <w:t>разнообразную</w:t>
      </w:r>
      <w:r>
        <w:rPr>
          <w:color w:val="231F20"/>
          <w:spacing w:val="-8"/>
        </w:rPr>
        <w:t> </w:t>
      </w:r>
      <w:r>
        <w:rPr>
          <w:color w:val="231F20"/>
        </w:rPr>
        <w:t>сеть</w:t>
      </w:r>
      <w:r>
        <w:rPr>
          <w:color w:val="231F20"/>
          <w:spacing w:val="-8"/>
        </w:rPr>
        <w:t> </w:t>
      </w:r>
      <w:r>
        <w:rPr>
          <w:color w:val="231F20"/>
        </w:rPr>
        <w:t>друзей</w:t>
      </w:r>
      <w:r>
        <w:rPr>
          <w:color w:val="231F20"/>
          <w:spacing w:val="-8"/>
        </w:rPr>
        <w:t> </w:t>
      </w:r>
      <w:r>
        <w:rPr>
          <w:color w:val="231F20"/>
        </w:rPr>
        <w:t>в</w:t>
      </w:r>
      <w:r>
        <w:rPr>
          <w:color w:val="231F20"/>
          <w:spacing w:val="-8"/>
        </w:rPr>
        <w:t> </w:t>
      </w:r>
      <w:r>
        <w:rPr>
          <w:color w:val="231F20"/>
        </w:rPr>
        <w:t>школе</w:t>
      </w:r>
      <w:r>
        <w:rPr>
          <w:color w:val="231F20"/>
          <w:spacing w:val="-8"/>
        </w:rPr>
        <w:t> </w:t>
      </w:r>
      <w:r>
        <w:rPr>
          <w:color w:val="231F20"/>
        </w:rPr>
        <w:t>и</w:t>
      </w:r>
      <w:r>
        <w:rPr>
          <w:color w:val="231F20"/>
          <w:spacing w:val="-8"/>
        </w:rPr>
        <w:t> </w:t>
      </w:r>
      <w:r>
        <w:rPr>
          <w:color w:val="231F20"/>
        </w:rPr>
        <w:t>развить</w:t>
      </w:r>
      <w:r>
        <w:rPr>
          <w:color w:val="231F20"/>
          <w:spacing w:val="-8"/>
        </w:rPr>
        <w:t> </w:t>
      </w:r>
      <w:r>
        <w:rPr>
          <w:color w:val="231F20"/>
        </w:rPr>
        <w:t>чувство</w:t>
      </w:r>
      <w:r>
        <w:rPr>
          <w:color w:val="231F20"/>
          <w:spacing w:val="-8"/>
        </w:rPr>
        <w:t> </w:t>
      </w:r>
      <w:r>
        <w:rPr>
          <w:color w:val="231F20"/>
        </w:rPr>
        <w:t>принадлежности</w:t>
      </w:r>
      <w:r>
        <w:rPr>
          <w:color w:val="231F20"/>
          <w:spacing w:val="-8"/>
        </w:rPr>
        <w:t> </w:t>
      </w:r>
      <w:r>
        <w:rPr>
          <w:color w:val="231F20"/>
        </w:rPr>
        <w:t>к</w:t>
      </w:r>
      <w:r>
        <w:rPr>
          <w:color w:val="231F20"/>
          <w:spacing w:val="-8"/>
        </w:rPr>
        <w:t> </w:t>
      </w:r>
      <w:r>
        <w:rPr>
          <w:color w:val="231F20"/>
        </w:rPr>
        <w:t>го- </w:t>
      </w:r>
      <w:r>
        <w:rPr>
          <w:color w:val="231F20"/>
          <w:spacing w:val="-2"/>
        </w:rPr>
        <w:t>роду,</w:t>
      </w:r>
      <w:r>
        <w:rPr>
          <w:color w:val="231F20"/>
          <w:spacing w:val="-11"/>
        </w:rPr>
        <w:t> </w:t>
      </w:r>
      <w:r>
        <w:rPr>
          <w:color w:val="231F20"/>
          <w:spacing w:val="-2"/>
        </w:rPr>
        <w:t>в</w:t>
      </w:r>
      <w:r>
        <w:rPr>
          <w:color w:val="231F20"/>
          <w:spacing w:val="-6"/>
        </w:rPr>
        <w:t> </w:t>
      </w:r>
      <w:r>
        <w:rPr>
          <w:color w:val="231F20"/>
          <w:spacing w:val="-2"/>
        </w:rPr>
        <w:t>котором</w:t>
      </w:r>
      <w:r>
        <w:rPr>
          <w:color w:val="231F20"/>
          <w:spacing w:val="-6"/>
        </w:rPr>
        <w:t> </w:t>
      </w:r>
      <w:r>
        <w:rPr>
          <w:color w:val="231F20"/>
          <w:spacing w:val="-2"/>
        </w:rPr>
        <w:t>они</w:t>
      </w:r>
      <w:r>
        <w:rPr>
          <w:color w:val="231F20"/>
          <w:spacing w:val="-6"/>
        </w:rPr>
        <w:t> </w:t>
      </w:r>
      <w:r>
        <w:rPr>
          <w:color w:val="231F20"/>
          <w:spacing w:val="-2"/>
        </w:rPr>
        <w:t>живут</w:t>
      </w:r>
      <w:r>
        <w:rPr>
          <w:color w:val="231F20"/>
          <w:spacing w:val="-6"/>
        </w:rPr>
        <w:t> </w:t>
      </w:r>
      <w:r>
        <w:rPr>
          <w:color w:val="231F20"/>
          <w:spacing w:val="-2"/>
        </w:rPr>
        <w:t>(Principales</w:t>
      </w:r>
      <w:r>
        <w:rPr>
          <w:color w:val="231F20"/>
          <w:spacing w:val="-6"/>
        </w:rPr>
        <w:t> </w:t>
      </w:r>
      <w:r>
        <w:rPr>
          <w:color w:val="231F20"/>
          <w:spacing w:val="-2"/>
        </w:rPr>
        <w:t>resultados</w:t>
      </w:r>
      <w:r>
        <w:rPr>
          <w:color w:val="231F20"/>
          <w:spacing w:val="-6"/>
        </w:rPr>
        <w:t> </w:t>
      </w:r>
      <w:r>
        <w:rPr>
          <w:color w:val="231F20"/>
          <w:spacing w:val="-2"/>
        </w:rPr>
        <w:t>de</w:t>
      </w:r>
      <w:r>
        <w:rPr>
          <w:color w:val="231F20"/>
          <w:spacing w:val="-6"/>
        </w:rPr>
        <w:t> </w:t>
      </w:r>
      <w:r>
        <w:rPr>
          <w:color w:val="231F20"/>
          <w:spacing w:val="-2"/>
        </w:rPr>
        <w:t>la</w:t>
      </w:r>
      <w:r>
        <w:rPr>
          <w:color w:val="231F20"/>
          <w:spacing w:val="-6"/>
        </w:rPr>
        <w:t> </w:t>
      </w:r>
      <w:r>
        <w:rPr>
          <w:color w:val="231F20"/>
          <w:spacing w:val="-2"/>
        </w:rPr>
        <w:t>investigación</w:t>
      </w:r>
      <w:r>
        <w:rPr>
          <w:color w:val="231F20"/>
          <w:spacing w:val="-6"/>
        </w:rPr>
        <w:t> </w:t>
      </w:r>
      <w:r>
        <w:rPr>
          <w:color w:val="231F20"/>
          <w:spacing w:val="-2"/>
        </w:rPr>
        <w:t>Recercaixa</w:t>
      </w:r>
      <w:r>
        <w:rPr>
          <w:color w:val="231F20"/>
          <w:spacing w:val="-11"/>
        </w:rPr>
        <w:t> </w:t>
      </w:r>
      <w:r>
        <w:rPr>
          <w:color w:val="231F20"/>
          <w:spacing w:val="-2"/>
        </w:rPr>
        <w:t>Applying </w:t>
      </w:r>
      <w:r>
        <w:rPr>
          <w:color w:val="231F20"/>
        </w:rPr>
        <w:t>Mentoring,</w:t>
      </w:r>
      <w:r>
        <w:rPr>
          <w:color w:val="231F20"/>
          <w:spacing w:val="-7"/>
        </w:rPr>
        <w:t> </w:t>
      </w:r>
      <w:r>
        <w:rPr>
          <w:color w:val="231F20"/>
        </w:rPr>
        <w:t>2021),</w:t>
      </w:r>
      <w:r>
        <w:rPr>
          <w:color w:val="231F20"/>
          <w:spacing w:val="-7"/>
        </w:rPr>
        <w:t> </w:t>
      </w:r>
      <w:r>
        <w:rPr>
          <w:color w:val="231F20"/>
        </w:rPr>
        <w:t>(Feu,</w:t>
      </w:r>
      <w:r>
        <w:rPr>
          <w:color w:val="231F20"/>
          <w:spacing w:val="-7"/>
        </w:rPr>
        <w:t> </w:t>
      </w:r>
      <w:r>
        <w:rPr>
          <w:color w:val="231F20"/>
        </w:rPr>
        <w:t>2015).</w:t>
      </w:r>
      <w:r>
        <w:rPr>
          <w:color w:val="231F20"/>
          <w:spacing w:val="-7"/>
        </w:rPr>
        <w:t> </w:t>
      </w:r>
      <w:r>
        <w:rPr>
          <w:color w:val="231F20"/>
        </w:rPr>
        <w:t>Оно</w:t>
      </w:r>
      <w:r>
        <w:rPr>
          <w:color w:val="231F20"/>
          <w:spacing w:val="-7"/>
        </w:rPr>
        <w:t> </w:t>
      </w:r>
      <w:r>
        <w:rPr>
          <w:color w:val="231F20"/>
        </w:rPr>
        <w:t>также</w:t>
      </w:r>
      <w:r>
        <w:rPr>
          <w:color w:val="231F20"/>
          <w:spacing w:val="-7"/>
        </w:rPr>
        <w:t> </w:t>
      </w:r>
      <w:r>
        <w:rPr>
          <w:color w:val="231F20"/>
        </w:rPr>
        <w:t>приносит</w:t>
      </w:r>
      <w:r>
        <w:rPr>
          <w:color w:val="231F20"/>
          <w:spacing w:val="-7"/>
        </w:rPr>
        <w:t> </w:t>
      </w:r>
      <w:r>
        <w:rPr>
          <w:color w:val="231F20"/>
        </w:rPr>
        <w:t>пользу</w:t>
      </w:r>
      <w:r>
        <w:rPr>
          <w:color w:val="231F20"/>
          <w:spacing w:val="-7"/>
        </w:rPr>
        <w:t> </w:t>
      </w:r>
      <w:r>
        <w:rPr>
          <w:color w:val="231F20"/>
        </w:rPr>
        <w:t>детям</w:t>
      </w:r>
      <w:r>
        <w:rPr>
          <w:color w:val="231F20"/>
          <w:spacing w:val="-7"/>
        </w:rPr>
        <w:t> </w:t>
      </w:r>
      <w:r>
        <w:rPr>
          <w:color w:val="231F20"/>
        </w:rPr>
        <w:t>и</w:t>
      </w:r>
      <w:r>
        <w:rPr>
          <w:color w:val="231F20"/>
          <w:spacing w:val="-7"/>
        </w:rPr>
        <w:t> </w:t>
      </w:r>
      <w:r>
        <w:rPr>
          <w:color w:val="231F20"/>
        </w:rPr>
        <w:t>молодежи</w:t>
      </w:r>
      <w:r>
        <w:rPr>
          <w:color w:val="231F20"/>
          <w:spacing w:val="-7"/>
        </w:rPr>
        <w:t> </w:t>
      </w:r>
      <w:r>
        <w:rPr>
          <w:color w:val="231F20"/>
        </w:rPr>
        <w:t>из</w:t>
      </w:r>
      <w:r>
        <w:rPr>
          <w:color w:val="231F20"/>
          <w:spacing w:val="-7"/>
        </w:rPr>
        <w:t> </w:t>
      </w:r>
      <w:r>
        <w:rPr>
          <w:color w:val="231F20"/>
        </w:rPr>
        <w:t>более адаптированных</w:t>
      </w:r>
      <w:r>
        <w:rPr>
          <w:color w:val="231F20"/>
          <w:spacing w:val="-8"/>
        </w:rPr>
        <w:t> </w:t>
      </w:r>
      <w:r>
        <w:rPr>
          <w:color w:val="231F20"/>
        </w:rPr>
        <w:t>семей,</w:t>
      </w:r>
      <w:r>
        <w:rPr>
          <w:color w:val="231F20"/>
          <w:spacing w:val="-8"/>
        </w:rPr>
        <w:t> </w:t>
      </w:r>
      <w:r>
        <w:rPr>
          <w:color w:val="231F20"/>
        </w:rPr>
        <w:t>предоставляя</w:t>
      </w:r>
      <w:r>
        <w:rPr>
          <w:color w:val="231F20"/>
          <w:spacing w:val="-8"/>
        </w:rPr>
        <w:t> </w:t>
      </w:r>
      <w:r>
        <w:rPr>
          <w:color w:val="231F20"/>
        </w:rPr>
        <w:t>им</w:t>
      </w:r>
      <w:r>
        <w:rPr>
          <w:color w:val="231F20"/>
          <w:spacing w:val="-7"/>
        </w:rPr>
        <w:t> </w:t>
      </w:r>
      <w:r>
        <w:rPr>
          <w:color w:val="231F20"/>
        </w:rPr>
        <w:t>социально-эмоциональную</w:t>
      </w:r>
      <w:r>
        <w:rPr>
          <w:color w:val="231F20"/>
          <w:spacing w:val="-8"/>
        </w:rPr>
        <w:t> </w:t>
      </w:r>
      <w:r>
        <w:rPr>
          <w:color w:val="231F20"/>
        </w:rPr>
        <w:t>поддержку</w:t>
      </w:r>
      <w:r>
        <w:rPr>
          <w:color w:val="231F20"/>
          <w:spacing w:val="-8"/>
        </w:rPr>
        <w:t> </w:t>
      </w:r>
      <w:r>
        <w:rPr>
          <w:color w:val="231F20"/>
        </w:rPr>
        <w:t>и</w:t>
      </w:r>
      <w:r>
        <w:rPr>
          <w:color w:val="231F20"/>
          <w:spacing w:val="-8"/>
        </w:rPr>
        <w:t> </w:t>
      </w:r>
      <w:r>
        <w:rPr>
          <w:color w:val="231F20"/>
        </w:rPr>
        <w:t>со- циальный</w:t>
      </w:r>
      <w:r>
        <w:rPr>
          <w:color w:val="231F20"/>
          <w:spacing w:val="-6"/>
        </w:rPr>
        <w:t> </w:t>
      </w:r>
      <w:r>
        <w:rPr>
          <w:color w:val="231F20"/>
        </w:rPr>
        <w:t>капитал,</w:t>
      </w:r>
      <w:r>
        <w:rPr>
          <w:color w:val="231F20"/>
          <w:spacing w:val="-6"/>
        </w:rPr>
        <w:t> </w:t>
      </w:r>
      <w:r>
        <w:rPr>
          <w:color w:val="231F20"/>
        </w:rPr>
        <w:t>а</w:t>
      </w:r>
      <w:r>
        <w:rPr>
          <w:color w:val="231F20"/>
          <w:spacing w:val="-6"/>
        </w:rPr>
        <w:t> </w:t>
      </w:r>
      <w:r>
        <w:rPr>
          <w:color w:val="231F20"/>
        </w:rPr>
        <w:t>также</w:t>
      </w:r>
      <w:r>
        <w:rPr>
          <w:color w:val="231F20"/>
          <w:spacing w:val="-6"/>
        </w:rPr>
        <w:t> </w:t>
      </w:r>
      <w:r>
        <w:rPr>
          <w:color w:val="231F20"/>
        </w:rPr>
        <w:t>возможности</w:t>
      </w:r>
      <w:r>
        <w:rPr>
          <w:color w:val="231F20"/>
          <w:spacing w:val="-6"/>
        </w:rPr>
        <w:t> </w:t>
      </w:r>
      <w:r>
        <w:rPr>
          <w:color w:val="231F20"/>
        </w:rPr>
        <w:t>для</w:t>
      </w:r>
      <w:r>
        <w:rPr>
          <w:color w:val="231F20"/>
          <w:spacing w:val="-6"/>
        </w:rPr>
        <w:t> </w:t>
      </w:r>
      <w:r>
        <w:rPr>
          <w:color w:val="231F20"/>
        </w:rPr>
        <w:t>построения</w:t>
      </w:r>
      <w:r>
        <w:rPr>
          <w:color w:val="231F20"/>
          <w:spacing w:val="-6"/>
        </w:rPr>
        <w:t> </w:t>
      </w:r>
      <w:r>
        <w:rPr>
          <w:color w:val="231F20"/>
        </w:rPr>
        <w:t>новой</w:t>
      </w:r>
      <w:r>
        <w:rPr>
          <w:color w:val="231F20"/>
          <w:spacing w:val="-6"/>
        </w:rPr>
        <w:t> </w:t>
      </w:r>
      <w:r>
        <w:rPr>
          <w:color w:val="231F20"/>
        </w:rPr>
        <w:t>социальной</w:t>
      </w:r>
      <w:r>
        <w:rPr>
          <w:color w:val="231F20"/>
          <w:spacing w:val="-6"/>
        </w:rPr>
        <w:t> </w:t>
      </w:r>
      <w:r>
        <w:rPr>
          <w:color w:val="231F20"/>
        </w:rPr>
        <w:t>идентич- </w:t>
      </w:r>
      <w:r>
        <w:rPr>
          <w:color w:val="231F20"/>
          <w:spacing w:val="-2"/>
        </w:rPr>
        <w:t>ности.</w:t>
      </w:r>
      <w:r>
        <w:rPr>
          <w:color w:val="231F20"/>
          <w:spacing w:val="-10"/>
        </w:rPr>
        <w:t> </w:t>
      </w:r>
      <w:r>
        <w:rPr>
          <w:color w:val="231F20"/>
          <w:spacing w:val="-2"/>
        </w:rPr>
        <w:t>Эти</w:t>
      </w:r>
      <w:r>
        <w:rPr>
          <w:color w:val="231F20"/>
          <w:spacing w:val="-10"/>
        </w:rPr>
        <w:t> </w:t>
      </w:r>
      <w:r>
        <w:rPr>
          <w:color w:val="231F20"/>
          <w:spacing w:val="-2"/>
        </w:rPr>
        <w:t>преимущества</w:t>
      </w:r>
      <w:r>
        <w:rPr>
          <w:color w:val="231F20"/>
          <w:spacing w:val="-10"/>
        </w:rPr>
        <w:t> </w:t>
      </w:r>
      <w:r>
        <w:rPr>
          <w:color w:val="231F20"/>
          <w:spacing w:val="-2"/>
        </w:rPr>
        <w:t>напрямую</w:t>
      </w:r>
      <w:r>
        <w:rPr>
          <w:color w:val="231F20"/>
          <w:spacing w:val="-10"/>
        </w:rPr>
        <w:t> </w:t>
      </w:r>
      <w:r>
        <w:rPr>
          <w:color w:val="231F20"/>
          <w:spacing w:val="-2"/>
        </w:rPr>
        <w:t>влияют</w:t>
      </w:r>
      <w:r>
        <w:rPr>
          <w:color w:val="231F20"/>
          <w:spacing w:val="-10"/>
        </w:rPr>
        <w:t> </w:t>
      </w:r>
      <w:r>
        <w:rPr>
          <w:color w:val="231F20"/>
          <w:spacing w:val="-2"/>
        </w:rPr>
        <w:t>на</w:t>
      </w:r>
      <w:r>
        <w:rPr>
          <w:color w:val="231F20"/>
          <w:spacing w:val="-10"/>
        </w:rPr>
        <w:t> </w:t>
      </w:r>
      <w:r>
        <w:rPr>
          <w:color w:val="231F20"/>
          <w:spacing w:val="-2"/>
        </w:rPr>
        <w:t>школьную</w:t>
      </w:r>
      <w:r>
        <w:rPr>
          <w:color w:val="231F20"/>
          <w:spacing w:val="-10"/>
        </w:rPr>
        <w:t> </w:t>
      </w:r>
      <w:r>
        <w:rPr>
          <w:color w:val="231F20"/>
          <w:spacing w:val="-2"/>
        </w:rPr>
        <w:t>вовлеченность</w:t>
      </w:r>
      <w:r>
        <w:rPr>
          <w:color w:val="231F20"/>
          <w:spacing w:val="-10"/>
        </w:rPr>
        <w:t> </w:t>
      </w:r>
      <w:r>
        <w:rPr>
          <w:color w:val="231F20"/>
          <w:spacing w:val="-2"/>
        </w:rPr>
        <w:t>и</w:t>
      </w:r>
      <w:r>
        <w:rPr>
          <w:color w:val="231F20"/>
          <w:spacing w:val="-10"/>
        </w:rPr>
        <w:t> </w:t>
      </w:r>
      <w:r>
        <w:rPr>
          <w:color w:val="231F20"/>
          <w:spacing w:val="-2"/>
        </w:rPr>
        <w:t>академиче- </w:t>
      </w:r>
      <w:r>
        <w:rPr>
          <w:color w:val="231F20"/>
          <w:spacing w:val="-4"/>
        </w:rPr>
        <w:t>скую успешность, а также на эмоциональное благополучие детей (Suárez-Orozco, 2009). </w:t>
      </w:r>
      <w:r>
        <w:rPr>
          <w:color w:val="231F20"/>
        </w:rPr>
        <w:t>Наставничество</w:t>
      </w:r>
      <w:r>
        <w:rPr>
          <w:color w:val="231F20"/>
          <w:spacing w:val="40"/>
        </w:rPr>
        <w:t> </w:t>
      </w:r>
      <w:r>
        <w:rPr>
          <w:color w:val="231F20"/>
        </w:rPr>
        <w:t>позволяет</w:t>
      </w:r>
      <w:r>
        <w:rPr>
          <w:color w:val="231F20"/>
          <w:spacing w:val="40"/>
        </w:rPr>
        <w:t> </w:t>
      </w:r>
      <w:r>
        <w:rPr>
          <w:color w:val="231F20"/>
        </w:rPr>
        <w:t>вывести</w:t>
      </w:r>
      <w:r>
        <w:rPr>
          <w:color w:val="231F20"/>
          <w:spacing w:val="40"/>
        </w:rPr>
        <w:t> </w:t>
      </w:r>
      <w:r>
        <w:rPr>
          <w:color w:val="231F20"/>
        </w:rPr>
        <w:t>отношения</w:t>
      </w:r>
      <w:r>
        <w:rPr>
          <w:color w:val="231F20"/>
          <w:spacing w:val="40"/>
        </w:rPr>
        <w:t> </w:t>
      </w:r>
      <w:r>
        <w:rPr>
          <w:color w:val="231F20"/>
        </w:rPr>
        <w:t>с</w:t>
      </w:r>
      <w:r>
        <w:rPr>
          <w:color w:val="231F20"/>
          <w:spacing w:val="40"/>
        </w:rPr>
        <w:t> </w:t>
      </w:r>
      <w:r>
        <w:rPr>
          <w:color w:val="231F20"/>
        </w:rPr>
        <w:t>ребенком</w:t>
      </w:r>
      <w:r>
        <w:rPr>
          <w:color w:val="231F20"/>
          <w:spacing w:val="40"/>
        </w:rPr>
        <w:t> </w:t>
      </w:r>
      <w:r>
        <w:rPr>
          <w:color w:val="231F20"/>
        </w:rPr>
        <w:t>на</w:t>
      </w:r>
      <w:r>
        <w:rPr>
          <w:color w:val="231F20"/>
          <w:spacing w:val="40"/>
        </w:rPr>
        <w:t> </w:t>
      </w:r>
      <w:r>
        <w:rPr>
          <w:color w:val="231F20"/>
        </w:rPr>
        <w:t>новый</w:t>
      </w:r>
      <w:r>
        <w:rPr>
          <w:color w:val="231F20"/>
          <w:spacing w:val="40"/>
        </w:rPr>
        <w:t> </w:t>
      </w:r>
      <w:r>
        <w:rPr>
          <w:color w:val="231F20"/>
        </w:rPr>
        <w:t>уровень</w:t>
      </w:r>
      <w:r>
        <w:rPr>
          <w:color w:val="231F20"/>
          <w:spacing w:val="40"/>
        </w:rPr>
        <w:t> </w:t>
      </w:r>
      <w:r>
        <w:rPr>
          <w:color w:val="231F20"/>
        </w:rPr>
        <w:t>и помочь ему удовлетворить те потребности, которые остаются фрустрированными в обычной</w:t>
      </w:r>
      <w:r>
        <w:rPr>
          <w:color w:val="231F20"/>
          <w:spacing w:val="-9"/>
        </w:rPr>
        <w:t> </w:t>
      </w:r>
      <w:r>
        <w:rPr>
          <w:color w:val="231F20"/>
        </w:rPr>
        <w:t>образовательной</w:t>
      </w:r>
      <w:r>
        <w:rPr>
          <w:color w:val="231F20"/>
          <w:spacing w:val="-9"/>
        </w:rPr>
        <w:t> </w:t>
      </w:r>
      <w:r>
        <w:rPr>
          <w:color w:val="231F20"/>
        </w:rPr>
        <w:t>среде.</w:t>
      </w:r>
      <w:r>
        <w:rPr>
          <w:color w:val="231F20"/>
          <w:spacing w:val="-9"/>
        </w:rPr>
        <w:t> </w:t>
      </w:r>
      <w:r>
        <w:rPr>
          <w:color w:val="231F20"/>
        </w:rPr>
        <w:t>Например,</w:t>
      </w:r>
      <w:r>
        <w:rPr>
          <w:color w:val="231F20"/>
          <w:spacing w:val="-9"/>
        </w:rPr>
        <w:t> </w:t>
      </w:r>
      <w:r>
        <w:rPr>
          <w:color w:val="231F20"/>
        </w:rPr>
        <w:t>S.</w:t>
      </w:r>
      <w:r>
        <w:rPr>
          <w:color w:val="231F20"/>
          <w:spacing w:val="-9"/>
        </w:rPr>
        <w:t> </w:t>
      </w:r>
      <w:r>
        <w:rPr>
          <w:color w:val="231F20"/>
        </w:rPr>
        <w:t>Holm</w:t>
      </w:r>
      <w:r>
        <w:rPr>
          <w:color w:val="231F20"/>
          <w:spacing w:val="-9"/>
        </w:rPr>
        <w:t> </w:t>
      </w:r>
      <w:r>
        <w:rPr>
          <w:color w:val="231F20"/>
        </w:rPr>
        <w:t>описывает</w:t>
      </w:r>
      <w:r>
        <w:rPr>
          <w:color w:val="231F20"/>
          <w:spacing w:val="-9"/>
        </w:rPr>
        <w:t> </w:t>
      </w:r>
      <w:r>
        <w:rPr>
          <w:color w:val="231F20"/>
        </w:rPr>
        <w:t>ряд</w:t>
      </w:r>
      <w:r>
        <w:rPr>
          <w:color w:val="231F20"/>
          <w:spacing w:val="-9"/>
        </w:rPr>
        <w:t> </w:t>
      </w:r>
      <w:r>
        <w:rPr>
          <w:color w:val="231F20"/>
        </w:rPr>
        <w:t>ситуаций,</w:t>
      </w:r>
      <w:r>
        <w:rPr>
          <w:color w:val="231F20"/>
          <w:spacing w:val="-9"/>
        </w:rPr>
        <w:t> </w:t>
      </w:r>
      <w:r>
        <w:rPr>
          <w:color w:val="231F20"/>
        </w:rPr>
        <w:t>в</w:t>
      </w:r>
      <w:r>
        <w:rPr>
          <w:color w:val="231F20"/>
          <w:spacing w:val="-9"/>
        </w:rPr>
        <w:t> </w:t>
      </w:r>
      <w:r>
        <w:rPr>
          <w:color w:val="231F20"/>
        </w:rPr>
        <w:t>кото- рых ей удавалось адаптировать среду под специфические нужды детей: обеспечить ребенку с диабетом подходящую еду в школе, перевести другого ребенка с низким уровнем</w:t>
      </w:r>
      <w:r>
        <w:rPr>
          <w:color w:val="231F20"/>
          <w:spacing w:val="20"/>
        </w:rPr>
        <w:t> </w:t>
      </w:r>
      <w:r>
        <w:rPr>
          <w:color w:val="231F20"/>
        </w:rPr>
        <w:t>владения</w:t>
      </w:r>
      <w:r>
        <w:rPr>
          <w:color w:val="231F20"/>
          <w:spacing w:val="20"/>
        </w:rPr>
        <w:t> </w:t>
      </w:r>
      <w:r>
        <w:rPr>
          <w:color w:val="231F20"/>
        </w:rPr>
        <w:t>языком</w:t>
      </w:r>
      <w:r>
        <w:rPr>
          <w:color w:val="231F20"/>
          <w:spacing w:val="20"/>
        </w:rPr>
        <w:t> </w:t>
      </w:r>
      <w:r>
        <w:rPr>
          <w:color w:val="231F20"/>
        </w:rPr>
        <w:t>в</w:t>
      </w:r>
      <w:r>
        <w:rPr>
          <w:color w:val="231F20"/>
          <w:spacing w:val="20"/>
        </w:rPr>
        <w:t> </w:t>
      </w:r>
      <w:r>
        <w:rPr>
          <w:color w:val="231F20"/>
        </w:rPr>
        <w:t>подходящую</w:t>
      </w:r>
      <w:r>
        <w:rPr>
          <w:color w:val="231F20"/>
          <w:spacing w:val="20"/>
        </w:rPr>
        <w:t> </w:t>
      </w:r>
      <w:r>
        <w:rPr>
          <w:color w:val="231F20"/>
        </w:rPr>
        <w:t>обучающую</w:t>
      </w:r>
      <w:r>
        <w:rPr>
          <w:color w:val="231F20"/>
          <w:spacing w:val="20"/>
        </w:rPr>
        <w:t> </w:t>
      </w:r>
      <w:r>
        <w:rPr>
          <w:color w:val="231F20"/>
        </w:rPr>
        <w:t>группу</w:t>
      </w:r>
      <w:r>
        <w:rPr>
          <w:color w:val="231F20"/>
          <w:spacing w:val="20"/>
        </w:rPr>
        <w:t> </w:t>
      </w:r>
      <w:r>
        <w:rPr>
          <w:color w:val="231F20"/>
        </w:rPr>
        <w:t>(Holm,</w:t>
      </w:r>
      <w:r>
        <w:rPr>
          <w:color w:val="231F20"/>
          <w:spacing w:val="20"/>
        </w:rPr>
        <w:t> </w:t>
      </w:r>
      <w:r>
        <w:rPr>
          <w:color w:val="231F20"/>
        </w:rPr>
        <w:t>2018).</w:t>
      </w:r>
      <w:r>
        <w:rPr>
          <w:color w:val="231F20"/>
          <w:spacing w:val="20"/>
        </w:rPr>
        <w:t> </w:t>
      </w:r>
      <w:r>
        <w:rPr>
          <w:color w:val="231F20"/>
        </w:rPr>
        <w:t>Безус- ловно, возможности наставничества при поддержке ценностей и потребностей по- допечных гораздо шире. Дети с миграционным опытом и их родители зачастую не обладают</w:t>
      </w:r>
      <w:r>
        <w:rPr>
          <w:color w:val="231F20"/>
          <w:spacing w:val="32"/>
        </w:rPr>
        <w:t> </w:t>
      </w:r>
      <w:r>
        <w:rPr>
          <w:color w:val="231F20"/>
        </w:rPr>
        <w:t>нужными</w:t>
      </w:r>
      <w:r>
        <w:rPr>
          <w:color w:val="231F20"/>
          <w:spacing w:val="31"/>
        </w:rPr>
        <w:t> </w:t>
      </w:r>
      <w:r>
        <w:rPr>
          <w:color w:val="231F20"/>
        </w:rPr>
        <w:t>знаниями</w:t>
      </w:r>
      <w:r>
        <w:rPr>
          <w:color w:val="231F20"/>
          <w:spacing w:val="32"/>
        </w:rPr>
        <w:t> </w:t>
      </w:r>
      <w:r>
        <w:rPr>
          <w:color w:val="231F20"/>
        </w:rPr>
        <w:t>о</w:t>
      </w:r>
      <w:r>
        <w:rPr>
          <w:color w:val="231F20"/>
          <w:spacing w:val="32"/>
        </w:rPr>
        <w:t> </w:t>
      </w:r>
      <w:r>
        <w:rPr>
          <w:color w:val="231F20"/>
        </w:rPr>
        <w:t>структуре</w:t>
      </w:r>
      <w:r>
        <w:rPr>
          <w:color w:val="231F20"/>
          <w:spacing w:val="32"/>
        </w:rPr>
        <w:t> </w:t>
      </w:r>
      <w:r>
        <w:rPr>
          <w:color w:val="231F20"/>
        </w:rPr>
        <w:t>социальных</w:t>
      </w:r>
      <w:r>
        <w:rPr>
          <w:color w:val="231F20"/>
          <w:spacing w:val="32"/>
        </w:rPr>
        <w:t> </w:t>
      </w:r>
      <w:r>
        <w:rPr>
          <w:color w:val="231F20"/>
        </w:rPr>
        <w:t>институтов</w:t>
      </w:r>
      <w:r>
        <w:rPr>
          <w:color w:val="231F20"/>
          <w:spacing w:val="32"/>
        </w:rPr>
        <w:t> </w:t>
      </w:r>
      <w:r>
        <w:rPr>
          <w:color w:val="231F20"/>
        </w:rPr>
        <w:t>и</w:t>
      </w:r>
      <w:r>
        <w:rPr>
          <w:color w:val="231F20"/>
          <w:spacing w:val="32"/>
        </w:rPr>
        <w:t> </w:t>
      </w:r>
      <w:r>
        <w:rPr>
          <w:color w:val="231F20"/>
        </w:rPr>
        <w:t>администра- тивных механизмах решения своих проблем. Наставник в доверительном общении может лучше понять культурные особенности, специфические потребности ребенка (или</w:t>
      </w:r>
      <w:r>
        <w:rPr>
          <w:color w:val="231F20"/>
          <w:spacing w:val="18"/>
        </w:rPr>
        <w:t> </w:t>
      </w:r>
      <w:r>
        <w:rPr>
          <w:color w:val="231F20"/>
        </w:rPr>
        <w:t>его</w:t>
      </w:r>
      <w:r>
        <w:rPr>
          <w:color w:val="231F20"/>
          <w:spacing w:val="19"/>
        </w:rPr>
        <w:t> </w:t>
      </w:r>
      <w:r>
        <w:rPr>
          <w:color w:val="231F20"/>
        </w:rPr>
        <w:t>родителей)</w:t>
      </w:r>
      <w:r>
        <w:rPr>
          <w:color w:val="231F20"/>
          <w:spacing w:val="19"/>
        </w:rPr>
        <w:t> </w:t>
      </w:r>
      <w:r>
        <w:rPr>
          <w:color w:val="231F20"/>
        </w:rPr>
        <w:t>и</w:t>
      </w:r>
      <w:r>
        <w:rPr>
          <w:color w:val="231F20"/>
          <w:spacing w:val="19"/>
        </w:rPr>
        <w:t> </w:t>
      </w:r>
      <w:r>
        <w:rPr>
          <w:color w:val="231F20"/>
        </w:rPr>
        <w:t>найти</w:t>
      </w:r>
      <w:r>
        <w:rPr>
          <w:color w:val="231F20"/>
          <w:spacing w:val="19"/>
        </w:rPr>
        <w:t> </w:t>
      </w:r>
      <w:r>
        <w:rPr>
          <w:color w:val="231F20"/>
        </w:rPr>
        <w:t>способы</w:t>
      </w:r>
      <w:r>
        <w:rPr>
          <w:color w:val="231F20"/>
          <w:spacing w:val="18"/>
        </w:rPr>
        <w:t> </w:t>
      </w:r>
      <w:r>
        <w:rPr>
          <w:color w:val="231F20"/>
        </w:rPr>
        <w:t>сделать</w:t>
      </w:r>
      <w:r>
        <w:rPr>
          <w:color w:val="231F20"/>
          <w:spacing w:val="19"/>
        </w:rPr>
        <w:t> </w:t>
      </w:r>
      <w:r>
        <w:rPr>
          <w:color w:val="231F20"/>
        </w:rPr>
        <w:t>адаптационные</w:t>
      </w:r>
      <w:r>
        <w:rPr>
          <w:color w:val="231F20"/>
          <w:spacing w:val="19"/>
        </w:rPr>
        <w:t> </w:t>
      </w:r>
      <w:r>
        <w:rPr>
          <w:color w:val="231F20"/>
        </w:rPr>
        <w:t>процессы</w:t>
      </w:r>
      <w:r>
        <w:rPr>
          <w:color w:val="231F20"/>
          <w:spacing w:val="19"/>
        </w:rPr>
        <w:t> </w:t>
      </w:r>
      <w:r>
        <w:rPr>
          <w:color w:val="231F20"/>
        </w:rPr>
        <w:t>более</w:t>
      </w:r>
      <w:r>
        <w:rPr>
          <w:color w:val="231F20"/>
          <w:spacing w:val="19"/>
        </w:rPr>
        <w:t> </w:t>
      </w:r>
      <w:r>
        <w:rPr>
          <w:color w:val="231F20"/>
          <w:spacing w:val="-4"/>
        </w:rPr>
        <w:t>ком-</w:t>
      </w:r>
    </w:p>
    <w:p>
      <w:pPr>
        <w:pStyle w:val="BodyText"/>
        <w:spacing w:line="204" w:lineRule="exact"/>
        <w:ind w:right="0" w:firstLine="0"/>
      </w:pPr>
      <w:r>
        <w:rPr>
          <w:color w:val="231F20"/>
        </w:rPr>
        <w:t>фортными</w:t>
      </w:r>
      <w:r>
        <w:rPr>
          <w:color w:val="231F20"/>
          <w:spacing w:val="-5"/>
        </w:rPr>
        <w:t> </w:t>
      </w:r>
      <w:r>
        <w:rPr>
          <w:color w:val="231F20"/>
        </w:rPr>
        <w:t>и</w:t>
      </w:r>
      <w:r>
        <w:rPr>
          <w:color w:val="231F20"/>
          <w:spacing w:val="-4"/>
        </w:rPr>
        <w:t> </w:t>
      </w:r>
      <w:r>
        <w:rPr>
          <w:color w:val="231F20"/>
          <w:spacing w:val="-2"/>
        </w:rPr>
        <w:t>безопасными.</w:t>
      </w:r>
    </w:p>
    <w:p>
      <w:pPr>
        <w:pStyle w:val="BodyText"/>
        <w:spacing w:after="0" w:line="204" w:lineRule="exact"/>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before="112"/>
      </w:pPr>
      <w:r>
        <w:rPr>
          <w:color w:val="231F20"/>
          <w:spacing w:val="-2"/>
        </w:rPr>
        <w:t>Обоснованность практики наставничества с научной точки зрения подтверждается </w:t>
      </w:r>
      <w:r>
        <w:rPr>
          <w:color w:val="231F20"/>
        </w:rPr>
        <w:t>результатами</w:t>
      </w:r>
      <w:r>
        <w:rPr>
          <w:color w:val="231F20"/>
          <w:spacing w:val="-10"/>
        </w:rPr>
        <w:t> </w:t>
      </w:r>
      <w:r>
        <w:rPr>
          <w:color w:val="231F20"/>
        </w:rPr>
        <w:t>многочисленных</w:t>
      </w:r>
      <w:r>
        <w:rPr>
          <w:color w:val="231F20"/>
          <w:spacing w:val="-10"/>
        </w:rPr>
        <w:t> </w:t>
      </w:r>
      <w:r>
        <w:rPr>
          <w:color w:val="231F20"/>
        </w:rPr>
        <w:t>современных</w:t>
      </w:r>
      <w:r>
        <w:rPr>
          <w:color w:val="231F20"/>
          <w:spacing w:val="-10"/>
        </w:rPr>
        <w:t> </w:t>
      </w:r>
      <w:r>
        <w:rPr>
          <w:color w:val="231F20"/>
        </w:rPr>
        <w:t>исследований.</w:t>
      </w:r>
      <w:r>
        <w:rPr>
          <w:color w:val="231F20"/>
          <w:spacing w:val="-10"/>
        </w:rPr>
        <w:t> </w:t>
      </w:r>
      <w:r>
        <w:rPr>
          <w:color w:val="231F20"/>
        </w:rPr>
        <w:t>Данные</w:t>
      </w:r>
      <w:r>
        <w:rPr>
          <w:color w:val="231F20"/>
          <w:spacing w:val="-10"/>
        </w:rPr>
        <w:t> </w:t>
      </w:r>
      <w:r>
        <w:rPr>
          <w:color w:val="231F20"/>
        </w:rPr>
        <w:t>показывают,</w:t>
      </w:r>
      <w:r>
        <w:rPr>
          <w:color w:val="231F20"/>
          <w:spacing w:val="-10"/>
        </w:rPr>
        <w:t> </w:t>
      </w:r>
      <w:r>
        <w:rPr>
          <w:color w:val="231F20"/>
        </w:rPr>
        <w:t>что наставничество позволяет подопечным безопасно перенимать новые поведенческие модели, наблюдая за действиями наставника (Kuperminc, 2014), создает атмосферу сотрудничества и способствует позитивному включению в групповую активность (Emelo, 2011). Наставничество в групповой работе позволяет создать комфортную атмосферу</w:t>
      </w:r>
      <w:r>
        <w:rPr>
          <w:color w:val="231F20"/>
          <w:spacing w:val="-5"/>
        </w:rPr>
        <w:t> </w:t>
      </w:r>
      <w:r>
        <w:rPr>
          <w:color w:val="231F20"/>
        </w:rPr>
        <w:t>для</w:t>
      </w:r>
      <w:r>
        <w:rPr>
          <w:color w:val="231F20"/>
          <w:spacing w:val="-5"/>
        </w:rPr>
        <w:t> </w:t>
      </w:r>
      <w:r>
        <w:rPr>
          <w:color w:val="231F20"/>
        </w:rPr>
        <w:t>детей</w:t>
      </w:r>
      <w:r>
        <w:rPr>
          <w:color w:val="231F20"/>
          <w:spacing w:val="-5"/>
        </w:rPr>
        <w:t> </w:t>
      </w:r>
      <w:r>
        <w:rPr>
          <w:color w:val="231F20"/>
        </w:rPr>
        <w:t>с</w:t>
      </w:r>
      <w:r>
        <w:rPr>
          <w:color w:val="231F20"/>
          <w:spacing w:val="-5"/>
        </w:rPr>
        <w:t> </w:t>
      </w:r>
      <w:r>
        <w:rPr>
          <w:color w:val="231F20"/>
        </w:rPr>
        <w:t>миграционным</w:t>
      </w:r>
      <w:r>
        <w:rPr>
          <w:color w:val="231F20"/>
          <w:spacing w:val="-5"/>
        </w:rPr>
        <w:t> </w:t>
      </w:r>
      <w:r>
        <w:rPr>
          <w:color w:val="231F20"/>
        </w:rPr>
        <w:t>опытом,</w:t>
      </w:r>
      <w:r>
        <w:rPr>
          <w:color w:val="231F20"/>
          <w:spacing w:val="-5"/>
        </w:rPr>
        <w:t> </w:t>
      </w:r>
      <w:r>
        <w:rPr>
          <w:color w:val="231F20"/>
        </w:rPr>
        <w:t>которым</w:t>
      </w:r>
      <w:r>
        <w:rPr>
          <w:color w:val="231F20"/>
          <w:spacing w:val="-5"/>
        </w:rPr>
        <w:t> </w:t>
      </w:r>
      <w:r>
        <w:rPr>
          <w:color w:val="231F20"/>
        </w:rPr>
        <w:t>было</w:t>
      </w:r>
      <w:r>
        <w:rPr>
          <w:color w:val="231F20"/>
          <w:spacing w:val="-5"/>
        </w:rPr>
        <w:t> </w:t>
      </w:r>
      <w:r>
        <w:rPr>
          <w:color w:val="231F20"/>
        </w:rPr>
        <w:t>бы</w:t>
      </w:r>
      <w:r>
        <w:rPr>
          <w:color w:val="231F20"/>
          <w:spacing w:val="-5"/>
        </w:rPr>
        <w:t> </w:t>
      </w:r>
      <w:r>
        <w:rPr>
          <w:color w:val="231F20"/>
        </w:rPr>
        <w:t>сложно</w:t>
      </w:r>
      <w:r>
        <w:rPr>
          <w:color w:val="231F20"/>
          <w:spacing w:val="-5"/>
        </w:rPr>
        <w:t> </w:t>
      </w:r>
      <w:r>
        <w:rPr>
          <w:color w:val="231F20"/>
        </w:rPr>
        <w:t>взаимодей- ствовать</w:t>
      </w:r>
      <w:r>
        <w:rPr>
          <w:color w:val="231F20"/>
          <w:spacing w:val="-13"/>
        </w:rPr>
        <w:t> </w:t>
      </w:r>
      <w:r>
        <w:rPr>
          <w:color w:val="231F20"/>
        </w:rPr>
        <w:t>один</w:t>
      </w:r>
      <w:r>
        <w:rPr>
          <w:color w:val="231F20"/>
          <w:spacing w:val="-12"/>
        </w:rPr>
        <w:t> </w:t>
      </w:r>
      <w:r>
        <w:rPr>
          <w:color w:val="231F20"/>
        </w:rPr>
        <w:t>на</w:t>
      </w:r>
      <w:r>
        <w:rPr>
          <w:color w:val="231F20"/>
          <w:spacing w:val="-13"/>
        </w:rPr>
        <w:t> </w:t>
      </w:r>
      <w:r>
        <w:rPr>
          <w:color w:val="231F20"/>
        </w:rPr>
        <w:t>один</w:t>
      </w:r>
      <w:r>
        <w:rPr>
          <w:color w:val="231F20"/>
          <w:spacing w:val="-12"/>
        </w:rPr>
        <w:t> </w:t>
      </w:r>
      <w:r>
        <w:rPr>
          <w:color w:val="231F20"/>
        </w:rPr>
        <w:t>с</w:t>
      </w:r>
      <w:r>
        <w:rPr>
          <w:color w:val="231F20"/>
          <w:spacing w:val="-13"/>
        </w:rPr>
        <w:t> </w:t>
      </w:r>
      <w:r>
        <w:rPr>
          <w:color w:val="231F20"/>
        </w:rPr>
        <w:t>наставником</w:t>
      </w:r>
      <w:r>
        <w:rPr>
          <w:color w:val="231F20"/>
          <w:spacing w:val="-12"/>
        </w:rPr>
        <w:t> </w:t>
      </w:r>
      <w:r>
        <w:rPr>
          <w:color w:val="231F20"/>
        </w:rPr>
        <w:t>из</w:t>
      </w:r>
      <w:r>
        <w:rPr>
          <w:color w:val="231F20"/>
          <w:spacing w:val="-13"/>
        </w:rPr>
        <w:t> </w:t>
      </w:r>
      <w:r>
        <w:rPr>
          <w:color w:val="231F20"/>
        </w:rPr>
        <w:t>другой</w:t>
      </w:r>
      <w:r>
        <w:rPr>
          <w:color w:val="231F20"/>
          <w:spacing w:val="-12"/>
        </w:rPr>
        <w:t> </w:t>
      </w:r>
      <w:r>
        <w:rPr>
          <w:color w:val="231F20"/>
        </w:rPr>
        <w:t>культуры</w:t>
      </w:r>
      <w:r>
        <w:rPr>
          <w:color w:val="231F20"/>
          <w:spacing w:val="-13"/>
        </w:rPr>
        <w:t> </w:t>
      </w:r>
      <w:r>
        <w:rPr>
          <w:color w:val="231F20"/>
        </w:rPr>
        <w:t>(Howard,</w:t>
      </w:r>
      <w:r>
        <w:rPr>
          <w:color w:val="231F20"/>
          <w:spacing w:val="-12"/>
        </w:rPr>
        <w:t> </w:t>
      </w:r>
      <w:r>
        <w:rPr>
          <w:color w:val="231F20"/>
        </w:rPr>
        <w:t>2003).</w:t>
      </w:r>
      <w:r>
        <w:rPr>
          <w:color w:val="231F20"/>
          <w:spacing w:val="-13"/>
        </w:rPr>
        <w:t> </w:t>
      </w:r>
      <w:r>
        <w:rPr>
          <w:color w:val="231F20"/>
        </w:rPr>
        <w:t>Наставники создают среду, в которой обозначается ценность, личный опыт и стремления детей (MENTOR,</w:t>
      </w:r>
      <w:r>
        <w:rPr>
          <w:color w:val="231F20"/>
          <w:spacing w:val="-13"/>
        </w:rPr>
        <w:t> </w:t>
      </w:r>
      <w:r>
        <w:rPr>
          <w:color w:val="231F20"/>
        </w:rPr>
        <w:t>2011),</w:t>
      </w:r>
      <w:r>
        <w:rPr>
          <w:color w:val="231F20"/>
          <w:spacing w:val="-12"/>
        </w:rPr>
        <w:t> </w:t>
      </w:r>
      <w:r>
        <w:rPr>
          <w:color w:val="231F20"/>
        </w:rPr>
        <w:t>формируют</w:t>
      </w:r>
      <w:r>
        <w:rPr>
          <w:color w:val="231F20"/>
          <w:spacing w:val="-13"/>
        </w:rPr>
        <w:t> </w:t>
      </w:r>
      <w:r>
        <w:rPr>
          <w:color w:val="231F20"/>
        </w:rPr>
        <w:t>безопасное</w:t>
      </w:r>
      <w:r>
        <w:rPr>
          <w:color w:val="231F20"/>
          <w:spacing w:val="-12"/>
        </w:rPr>
        <w:t> </w:t>
      </w:r>
      <w:r>
        <w:rPr>
          <w:color w:val="231F20"/>
        </w:rPr>
        <w:t>пространство,</w:t>
      </w:r>
      <w:r>
        <w:rPr>
          <w:color w:val="231F20"/>
          <w:spacing w:val="-13"/>
        </w:rPr>
        <w:t> </w:t>
      </w:r>
      <w:r>
        <w:rPr>
          <w:color w:val="231F20"/>
        </w:rPr>
        <w:t>помогают</w:t>
      </w:r>
      <w:r>
        <w:rPr>
          <w:color w:val="231F20"/>
          <w:spacing w:val="-12"/>
        </w:rPr>
        <w:t> </w:t>
      </w:r>
      <w:r>
        <w:rPr>
          <w:color w:val="231F20"/>
        </w:rPr>
        <w:t>детям</w:t>
      </w:r>
      <w:r>
        <w:rPr>
          <w:color w:val="231F20"/>
          <w:spacing w:val="-13"/>
        </w:rPr>
        <w:t> </w:t>
      </w:r>
      <w:r>
        <w:rPr>
          <w:color w:val="231F20"/>
        </w:rPr>
        <w:t>включиться в социальную среду (Patton, 2016), повышают культурную компетентность (Oberoi, 2016) и конфликтную компетентность подопечных (Deutsch, 2012), дают детям воз- можность реализовать свои потребности в рамках программы (BRYCS, 2010).</w:t>
      </w:r>
    </w:p>
    <w:p>
      <w:pPr>
        <w:pStyle w:val="ListParagraph"/>
        <w:numPr>
          <w:ilvl w:val="0"/>
          <w:numId w:val="130"/>
        </w:numPr>
        <w:tabs>
          <w:tab w:pos="423" w:val="left" w:leader="none"/>
        </w:tabs>
        <w:spacing w:line="240" w:lineRule="auto" w:before="49" w:after="0"/>
        <w:ind w:left="423" w:right="0" w:hanging="282"/>
        <w:jc w:val="both"/>
        <w:rPr>
          <w:i/>
          <w:sz w:val="20"/>
        </w:rPr>
      </w:pPr>
      <w:r>
        <w:rPr>
          <w:i/>
          <w:color w:val="231F20"/>
          <w:spacing w:val="-2"/>
          <w:sz w:val="20"/>
        </w:rPr>
        <w:t>Результативность</w:t>
      </w:r>
    </w:p>
    <w:p>
      <w:pPr>
        <w:pStyle w:val="BodyText"/>
      </w:pPr>
      <w:r>
        <w:rPr>
          <w:color w:val="231F20"/>
        </w:rPr>
        <w:t>Исследования показывают, что групповое наставничество может стать основой для установления дружеских отношений со сверстниками и для организации под- держки детей с миграционным опытом в процессе их адаптации (Birman, 2014). Также научные данные свидетельствуют о том, что молодые люди с миграционным опытом зачастую не готовы включаться в активную жизнь новых сообществ. При этом молодежь, которая чувствует себя частью сообщества, что может быть обеспе- чено</w:t>
      </w:r>
      <w:r>
        <w:rPr>
          <w:color w:val="231F20"/>
          <w:spacing w:val="-7"/>
        </w:rPr>
        <w:t> </w:t>
      </w:r>
      <w:r>
        <w:rPr>
          <w:color w:val="231F20"/>
        </w:rPr>
        <w:t>наставничеством,</w:t>
      </w:r>
      <w:r>
        <w:rPr>
          <w:color w:val="231F20"/>
          <w:spacing w:val="-7"/>
        </w:rPr>
        <w:t> </w:t>
      </w:r>
      <w:r>
        <w:rPr>
          <w:color w:val="231F20"/>
        </w:rPr>
        <w:t>активно</w:t>
      </w:r>
      <w:r>
        <w:rPr>
          <w:color w:val="231F20"/>
          <w:spacing w:val="-7"/>
        </w:rPr>
        <w:t> </w:t>
      </w:r>
      <w:r>
        <w:rPr>
          <w:color w:val="231F20"/>
        </w:rPr>
        <w:t>участвует</w:t>
      </w:r>
      <w:r>
        <w:rPr>
          <w:color w:val="231F20"/>
          <w:spacing w:val="-7"/>
        </w:rPr>
        <w:t> </w:t>
      </w:r>
      <w:r>
        <w:rPr>
          <w:color w:val="231F20"/>
        </w:rPr>
        <w:t>в</w:t>
      </w:r>
      <w:r>
        <w:rPr>
          <w:color w:val="231F20"/>
          <w:spacing w:val="-7"/>
        </w:rPr>
        <w:t> </w:t>
      </w:r>
      <w:r>
        <w:rPr>
          <w:color w:val="231F20"/>
        </w:rPr>
        <w:t>общественной</w:t>
      </w:r>
      <w:r>
        <w:rPr>
          <w:color w:val="231F20"/>
          <w:spacing w:val="-7"/>
        </w:rPr>
        <w:t> </w:t>
      </w:r>
      <w:r>
        <w:rPr>
          <w:color w:val="231F20"/>
        </w:rPr>
        <w:t>жизни</w:t>
      </w:r>
      <w:r>
        <w:rPr>
          <w:color w:val="231F20"/>
          <w:spacing w:val="-7"/>
        </w:rPr>
        <w:t> </w:t>
      </w:r>
      <w:r>
        <w:rPr>
          <w:color w:val="231F20"/>
        </w:rPr>
        <w:t>и</w:t>
      </w:r>
      <w:r>
        <w:rPr>
          <w:color w:val="231F20"/>
          <w:spacing w:val="-7"/>
        </w:rPr>
        <w:t> </w:t>
      </w:r>
      <w:r>
        <w:rPr>
          <w:color w:val="231F20"/>
        </w:rPr>
        <w:t>более</w:t>
      </w:r>
      <w:r>
        <w:rPr>
          <w:color w:val="231F20"/>
          <w:spacing w:val="-7"/>
        </w:rPr>
        <w:t> </w:t>
      </w:r>
      <w:r>
        <w:rPr>
          <w:color w:val="231F20"/>
        </w:rPr>
        <w:t>успешна</w:t>
      </w:r>
      <w:r>
        <w:rPr>
          <w:color w:val="231F20"/>
          <w:spacing w:val="-7"/>
        </w:rPr>
        <w:t> </w:t>
      </w:r>
      <w:r>
        <w:rPr>
          <w:color w:val="231F20"/>
        </w:rPr>
        <w:t>во взрослом возрасте (Evans, 2007).</w:t>
      </w:r>
    </w:p>
    <w:p>
      <w:pPr>
        <w:pStyle w:val="BodyText"/>
      </w:pPr>
      <w:r>
        <w:rPr>
          <w:color w:val="231F20"/>
        </w:rPr>
        <w:t>Одна</w:t>
      </w:r>
      <w:r>
        <w:rPr>
          <w:color w:val="231F20"/>
          <w:spacing w:val="-4"/>
        </w:rPr>
        <w:t> </w:t>
      </w:r>
      <w:r>
        <w:rPr>
          <w:color w:val="231F20"/>
        </w:rPr>
        <w:t>из</w:t>
      </w:r>
      <w:r>
        <w:rPr>
          <w:color w:val="231F20"/>
          <w:spacing w:val="-4"/>
        </w:rPr>
        <w:t> </w:t>
      </w:r>
      <w:r>
        <w:rPr>
          <w:color w:val="231F20"/>
        </w:rPr>
        <w:t>канадских</w:t>
      </w:r>
      <w:r>
        <w:rPr>
          <w:color w:val="231F20"/>
          <w:spacing w:val="-4"/>
        </w:rPr>
        <w:t> </w:t>
      </w:r>
      <w:r>
        <w:rPr>
          <w:color w:val="231F20"/>
        </w:rPr>
        <w:t>практик,</w:t>
      </w:r>
      <w:r>
        <w:rPr>
          <w:color w:val="231F20"/>
          <w:spacing w:val="-4"/>
        </w:rPr>
        <w:t> </w:t>
      </w:r>
      <w:r>
        <w:rPr>
          <w:color w:val="231F20"/>
        </w:rPr>
        <w:t>распространенная</w:t>
      </w:r>
      <w:r>
        <w:rPr>
          <w:color w:val="231F20"/>
          <w:spacing w:val="-4"/>
        </w:rPr>
        <w:t> </w:t>
      </w:r>
      <w:r>
        <w:rPr>
          <w:color w:val="231F20"/>
        </w:rPr>
        <w:t>по</w:t>
      </w:r>
      <w:r>
        <w:rPr>
          <w:color w:val="231F20"/>
          <w:spacing w:val="-4"/>
        </w:rPr>
        <w:t> </w:t>
      </w:r>
      <w:r>
        <w:rPr>
          <w:color w:val="231F20"/>
        </w:rPr>
        <w:t>всей</w:t>
      </w:r>
      <w:r>
        <w:rPr>
          <w:color w:val="231F20"/>
          <w:spacing w:val="-4"/>
        </w:rPr>
        <w:t> </w:t>
      </w:r>
      <w:r>
        <w:rPr>
          <w:color w:val="231F20"/>
        </w:rPr>
        <w:t>стране,</w:t>
      </w:r>
      <w:r>
        <w:rPr>
          <w:color w:val="231F20"/>
          <w:spacing w:val="-4"/>
        </w:rPr>
        <w:t> </w:t>
      </w:r>
      <w:r>
        <w:rPr>
          <w:color w:val="231F20"/>
        </w:rPr>
        <w:t>–</w:t>
      </w:r>
      <w:r>
        <w:rPr>
          <w:color w:val="231F20"/>
          <w:spacing w:val="-4"/>
        </w:rPr>
        <w:t> </w:t>
      </w:r>
      <w:r>
        <w:rPr>
          <w:color w:val="231F20"/>
        </w:rPr>
        <w:t>лингвистические разговорные клубы – показала, как дети с миграционным опытом вместе адаптиру- ются</w:t>
      </w:r>
      <w:r>
        <w:rPr>
          <w:color w:val="231F20"/>
          <w:spacing w:val="-13"/>
        </w:rPr>
        <w:t> </w:t>
      </w:r>
      <w:r>
        <w:rPr>
          <w:color w:val="231F20"/>
        </w:rPr>
        <w:t>к</w:t>
      </w:r>
      <w:r>
        <w:rPr>
          <w:color w:val="231F20"/>
          <w:spacing w:val="-12"/>
        </w:rPr>
        <w:t> </w:t>
      </w:r>
      <w:r>
        <w:rPr>
          <w:color w:val="231F20"/>
        </w:rPr>
        <w:t>отличающейся</w:t>
      </w:r>
      <w:r>
        <w:rPr>
          <w:color w:val="231F20"/>
          <w:spacing w:val="-13"/>
        </w:rPr>
        <w:t> </w:t>
      </w:r>
      <w:r>
        <w:rPr>
          <w:color w:val="231F20"/>
        </w:rPr>
        <w:t>культурной</w:t>
      </w:r>
      <w:r>
        <w:rPr>
          <w:color w:val="231F20"/>
          <w:spacing w:val="-12"/>
        </w:rPr>
        <w:t> </w:t>
      </w:r>
      <w:r>
        <w:rPr>
          <w:color w:val="231F20"/>
        </w:rPr>
        <w:t>и</w:t>
      </w:r>
      <w:r>
        <w:rPr>
          <w:color w:val="231F20"/>
          <w:spacing w:val="-13"/>
        </w:rPr>
        <w:t> </w:t>
      </w:r>
      <w:r>
        <w:rPr>
          <w:color w:val="231F20"/>
        </w:rPr>
        <w:t>языковой</w:t>
      </w:r>
      <w:r>
        <w:rPr>
          <w:color w:val="231F20"/>
          <w:spacing w:val="-12"/>
        </w:rPr>
        <w:t> </w:t>
      </w:r>
      <w:r>
        <w:rPr>
          <w:color w:val="231F20"/>
        </w:rPr>
        <w:t>среде</w:t>
      </w:r>
      <w:r>
        <w:rPr>
          <w:color w:val="231F20"/>
          <w:spacing w:val="-13"/>
        </w:rPr>
        <w:t> </w:t>
      </w:r>
      <w:r>
        <w:rPr>
          <w:color w:val="231F20"/>
        </w:rPr>
        <w:t>с</w:t>
      </w:r>
      <w:r>
        <w:rPr>
          <w:color w:val="231F20"/>
          <w:spacing w:val="-12"/>
        </w:rPr>
        <w:t> </w:t>
      </w:r>
      <w:r>
        <w:rPr>
          <w:color w:val="231F20"/>
        </w:rPr>
        <w:t>помощью</w:t>
      </w:r>
      <w:r>
        <w:rPr>
          <w:color w:val="231F20"/>
          <w:spacing w:val="-13"/>
        </w:rPr>
        <w:t> </w:t>
      </w:r>
      <w:r>
        <w:rPr>
          <w:color w:val="231F20"/>
        </w:rPr>
        <w:t>наставников</w:t>
      </w:r>
      <w:r>
        <w:rPr>
          <w:color w:val="231F20"/>
          <w:spacing w:val="-12"/>
        </w:rPr>
        <w:t> </w:t>
      </w:r>
      <w:r>
        <w:rPr>
          <w:color w:val="231F20"/>
        </w:rPr>
        <w:t>и</w:t>
      </w:r>
      <w:r>
        <w:rPr>
          <w:color w:val="231F20"/>
          <w:spacing w:val="-13"/>
        </w:rPr>
        <w:t> </w:t>
      </w:r>
      <w:r>
        <w:rPr>
          <w:color w:val="231F20"/>
        </w:rPr>
        <w:t>других школьников, посещающих клуб (Pryce, 2018). В рамках опросов большинство детей с миграционным опытом говорили о первоначальном чувстве изоляции и дезориен- тации, связанным с переездом в другую страну, а затем отмечали, что участие в раз- говорном клубе помогло им обрести чувство общности и включенности в местный социум, повысить уверенность в себе (Pryce, 2018).</w:t>
      </w:r>
    </w:p>
    <w:p>
      <w:pPr>
        <w:pStyle w:val="BodyText"/>
        <w:spacing w:line="237" w:lineRule="auto" w:before="2"/>
      </w:pPr>
      <w:r>
        <w:rPr>
          <w:color w:val="231F20"/>
        </w:rPr>
        <w:t>Об устойчивости практики говорит и то, что наставничество на уровне сообще- ства, групповое наставничество и наставничество сверстников, которые длятся в течение как минимум одного года, дают положительный эффект для подопечных в области академического, эмоционального, поведенческого и социального развития. (Toolkit on effective mentoring for youth facing barriers to success, 2016).</w:t>
      </w:r>
    </w:p>
    <w:p>
      <w:pPr>
        <w:spacing w:line="206" w:lineRule="exact" w:before="110"/>
        <w:ind w:left="425" w:right="0" w:firstLine="0"/>
        <w:jc w:val="left"/>
        <w:rPr>
          <w:b/>
          <w:sz w:val="18"/>
        </w:rPr>
      </w:pPr>
      <w:r>
        <w:rPr>
          <w:b/>
          <w:color w:val="231F20"/>
          <w:spacing w:val="-2"/>
          <w:sz w:val="18"/>
        </w:rPr>
        <w:t>Литература</w:t>
      </w:r>
    </w:p>
    <w:p>
      <w:pPr>
        <w:pStyle w:val="ListParagraph"/>
        <w:numPr>
          <w:ilvl w:val="0"/>
          <w:numId w:val="131"/>
        </w:numPr>
        <w:tabs>
          <w:tab w:pos="708" w:val="left" w:leader="none"/>
        </w:tabs>
        <w:spacing w:line="240" w:lineRule="auto" w:before="0" w:after="0"/>
        <w:ind w:left="708" w:right="423" w:hanging="284"/>
        <w:jc w:val="both"/>
        <w:rPr>
          <w:sz w:val="18"/>
        </w:rPr>
      </w:pPr>
      <w:r>
        <w:rPr>
          <w:color w:val="231F20"/>
          <w:sz w:val="18"/>
        </w:rPr>
        <w:t>Кондрашов А. Легенды и мифы Древней Греции и Рима: Энциклопедия. – М.: РИ- ПОЛ классик, 2005. – 768 с.</w:t>
      </w:r>
    </w:p>
    <w:p>
      <w:pPr>
        <w:pStyle w:val="ListParagraph"/>
        <w:numPr>
          <w:ilvl w:val="0"/>
          <w:numId w:val="131"/>
        </w:numPr>
        <w:tabs>
          <w:tab w:pos="708" w:val="left" w:leader="none"/>
        </w:tabs>
        <w:spacing w:line="240" w:lineRule="auto" w:before="0" w:after="0"/>
        <w:ind w:left="708" w:right="423" w:hanging="284"/>
        <w:jc w:val="both"/>
        <w:rPr>
          <w:sz w:val="18"/>
        </w:rPr>
      </w:pPr>
      <w:r>
        <w:rPr>
          <w:color w:val="231F20"/>
          <w:sz w:val="18"/>
        </w:rPr>
        <w:t>Наставничество в системе образования России: практическое пособие для курато- ров в образовательных организациях / под ред. Н.Ю. Синягиной, Т.Ю. Райфшнай- дер. – М.: Рыбаков Фонд, 2016. – 153 с.</w:t>
      </w:r>
    </w:p>
    <w:p>
      <w:pPr>
        <w:pStyle w:val="ListParagraph"/>
        <w:numPr>
          <w:ilvl w:val="0"/>
          <w:numId w:val="131"/>
        </w:numPr>
        <w:tabs>
          <w:tab w:pos="708" w:val="left" w:leader="none"/>
        </w:tabs>
        <w:spacing w:line="240" w:lineRule="auto" w:before="0" w:after="0"/>
        <w:ind w:left="708" w:right="422" w:hanging="284"/>
        <w:jc w:val="both"/>
        <w:rPr>
          <w:sz w:val="18"/>
        </w:rPr>
      </w:pPr>
      <w:r>
        <w:rPr>
          <w:color w:val="231F20"/>
          <w:sz w:val="18"/>
        </w:rPr>
        <w:t>Медведева</w:t>
      </w:r>
      <w:r>
        <w:rPr>
          <w:color w:val="231F20"/>
          <w:spacing w:val="-2"/>
          <w:sz w:val="18"/>
        </w:rPr>
        <w:t> </w:t>
      </w:r>
      <w:r>
        <w:rPr>
          <w:color w:val="231F20"/>
          <w:sz w:val="18"/>
        </w:rPr>
        <w:t>А.В.</w:t>
      </w:r>
      <w:r>
        <w:rPr>
          <w:color w:val="231F20"/>
          <w:spacing w:val="-2"/>
          <w:sz w:val="18"/>
        </w:rPr>
        <w:t> </w:t>
      </w:r>
      <w:r>
        <w:rPr>
          <w:color w:val="231F20"/>
          <w:sz w:val="18"/>
        </w:rPr>
        <w:t>Хрестоматийный</w:t>
      </w:r>
      <w:r>
        <w:rPr>
          <w:color w:val="231F20"/>
          <w:spacing w:val="-2"/>
          <w:sz w:val="18"/>
        </w:rPr>
        <w:t> </w:t>
      </w:r>
      <w:r>
        <w:rPr>
          <w:color w:val="231F20"/>
          <w:sz w:val="18"/>
        </w:rPr>
        <w:t>учебник</w:t>
      </w:r>
      <w:r>
        <w:rPr>
          <w:color w:val="231F20"/>
          <w:spacing w:val="-2"/>
          <w:sz w:val="18"/>
        </w:rPr>
        <w:t> </w:t>
      </w:r>
      <w:r>
        <w:rPr>
          <w:color w:val="231F20"/>
          <w:sz w:val="18"/>
        </w:rPr>
        <w:t>по</w:t>
      </w:r>
      <w:r>
        <w:rPr>
          <w:color w:val="231F20"/>
          <w:spacing w:val="-2"/>
          <w:sz w:val="18"/>
        </w:rPr>
        <w:t> </w:t>
      </w:r>
      <w:r>
        <w:rPr>
          <w:color w:val="231F20"/>
          <w:sz w:val="18"/>
        </w:rPr>
        <w:t>дисциплине</w:t>
      </w:r>
      <w:r>
        <w:rPr>
          <w:color w:val="231F20"/>
          <w:spacing w:val="-2"/>
          <w:sz w:val="18"/>
        </w:rPr>
        <w:t> </w:t>
      </w:r>
      <w:r>
        <w:rPr>
          <w:color w:val="231F20"/>
          <w:sz w:val="18"/>
        </w:rPr>
        <w:t>«Исторические</w:t>
      </w:r>
      <w:r>
        <w:rPr>
          <w:color w:val="231F20"/>
          <w:spacing w:val="-2"/>
          <w:sz w:val="18"/>
        </w:rPr>
        <w:t> </w:t>
      </w:r>
      <w:r>
        <w:rPr>
          <w:color w:val="231F20"/>
          <w:sz w:val="18"/>
        </w:rPr>
        <w:t>истоки</w:t>
      </w:r>
      <w:r>
        <w:rPr>
          <w:color w:val="231F20"/>
          <w:spacing w:val="-2"/>
          <w:sz w:val="18"/>
        </w:rPr>
        <w:t> </w:t>
      </w:r>
      <w:r>
        <w:rPr>
          <w:color w:val="231F20"/>
          <w:sz w:val="18"/>
        </w:rPr>
        <w:t>и теоретические</w:t>
      </w:r>
      <w:r>
        <w:rPr>
          <w:color w:val="231F20"/>
          <w:spacing w:val="-12"/>
          <w:sz w:val="18"/>
        </w:rPr>
        <w:t> </w:t>
      </w:r>
      <w:r>
        <w:rPr>
          <w:color w:val="231F20"/>
          <w:sz w:val="18"/>
        </w:rPr>
        <w:t>основы</w:t>
      </w:r>
      <w:r>
        <w:rPr>
          <w:color w:val="231F20"/>
          <w:spacing w:val="-11"/>
          <w:sz w:val="18"/>
        </w:rPr>
        <w:t> </w:t>
      </w:r>
      <w:r>
        <w:rPr>
          <w:color w:val="231F20"/>
          <w:sz w:val="18"/>
        </w:rPr>
        <w:t>тьюторства»</w:t>
      </w:r>
      <w:r>
        <w:rPr>
          <w:color w:val="231F20"/>
          <w:spacing w:val="-11"/>
          <w:sz w:val="18"/>
        </w:rPr>
        <w:t> </w:t>
      </w:r>
      <w:r>
        <w:rPr>
          <w:color w:val="231F20"/>
          <w:sz w:val="18"/>
        </w:rPr>
        <w:t>/</w:t>
      </w:r>
      <w:r>
        <w:rPr>
          <w:color w:val="231F20"/>
          <w:spacing w:val="-11"/>
          <w:sz w:val="18"/>
        </w:rPr>
        <w:t> </w:t>
      </w:r>
      <w:r>
        <w:rPr>
          <w:color w:val="231F20"/>
          <w:sz w:val="18"/>
        </w:rPr>
        <w:t>А.В.</w:t>
      </w:r>
      <w:r>
        <w:rPr>
          <w:color w:val="231F20"/>
          <w:spacing w:val="-12"/>
          <w:sz w:val="18"/>
        </w:rPr>
        <w:t> </w:t>
      </w:r>
      <w:r>
        <w:rPr>
          <w:color w:val="231F20"/>
          <w:sz w:val="18"/>
        </w:rPr>
        <w:t>Медведева,</w:t>
      </w:r>
      <w:r>
        <w:rPr>
          <w:color w:val="231F20"/>
          <w:spacing w:val="-11"/>
          <w:sz w:val="18"/>
        </w:rPr>
        <w:t> </w:t>
      </w:r>
      <w:r>
        <w:rPr>
          <w:color w:val="231F20"/>
          <w:sz w:val="18"/>
        </w:rPr>
        <w:t>И.Б.</w:t>
      </w:r>
      <w:r>
        <w:rPr>
          <w:color w:val="231F20"/>
          <w:spacing w:val="-11"/>
          <w:sz w:val="18"/>
        </w:rPr>
        <w:t> </w:t>
      </w:r>
      <w:r>
        <w:rPr>
          <w:color w:val="231F20"/>
          <w:sz w:val="18"/>
        </w:rPr>
        <w:t>Клюбина</w:t>
      </w:r>
      <w:r>
        <w:rPr>
          <w:color w:val="231F20"/>
          <w:spacing w:val="-11"/>
          <w:sz w:val="18"/>
        </w:rPr>
        <w:t> </w:t>
      </w:r>
      <w:r>
        <w:rPr>
          <w:color w:val="231F20"/>
          <w:sz w:val="18"/>
        </w:rPr>
        <w:t>//</w:t>
      </w:r>
      <w:r>
        <w:rPr>
          <w:color w:val="231F20"/>
          <w:spacing w:val="-12"/>
          <w:sz w:val="18"/>
        </w:rPr>
        <w:t> </w:t>
      </w:r>
      <w:r>
        <w:rPr>
          <w:color w:val="231F20"/>
          <w:sz w:val="18"/>
        </w:rPr>
        <w:t>Владивосток: Дальневосточный федеральный университет, 2014. (дата обращения: 15.07.22). </w:t>
      </w:r>
      <w:hyperlink r:id="rId116">
        <w:r>
          <w:rPr>
            <w:color w:val="2255A6"/>
            <w:spacing w:val="-2"/>
            <w:sz w:val="18"/>
            <w:u w:val="single" w:color="2255A6"/>
          </w:rPr>
          <w:t>http://uss.dvfu.ru/struct/publish_center/index.php?p=epublications</w:t>
        </w:r>
      </w:hyperlink>
      <w:r>
        <w:rPr>
          <w:color w:val="231F20"/>
          <w:spacing w:val="-2"/>
          <w:sz w:val="18"/>
        </w:rPr>
        <w:t>.</w:t>
      </w:r>
    </w:p>
    <w:p>
      <w:pPr>
        <w:pStyle w:val="ListParagraph"/>
        <w:spacing w:after="0" w:line="240" w:lineRule="auto"/>
        <w:jc w:val="both"/>
        <w:rPr>
          <w:sz w:val="18"/>
        </w:rPr>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5"/>
          <w:sz w:val="18"/>
        </w:rPr>
        <w:t> </w:t>
      </w:r>
      <w:r>
        <w:rPr>
          <w:rFonts w:ascii="Georgia" w:hAnsi="Georgia"/>
          <w:color w:val="231F20"/>
          <w:sz w:val="18"/>
        </w:rPr>
        <w:t>Методы</w:t>
      </w:r>
      <w:r>
        <w:rPr>
          <w:rFonts w:ascii="Georgia" w:hAnsi="Georgia"/>
          <w:color w:val="231F20"/>
          <w:spacing w:val="-5"/>
          <w:sz w:val="18"/>
        </w:rPr>
        <w:t> </w:t>
      </w:r>
      <w:r>
        <w:rPr>
          <w:rFonts w:ascii="Georgia" w:hAnsi="Georgia"/>
          <w:color w:val="231F20"/>
          <w:sz w:val="18"/>
        </w:rPr>
        <w:t>воспитательной</w:t>
      </w:r>
      <w:r>
        <w:rPr>
          <w:rFonts w:ascii="Georgia" w:hAnsi="Georgia"/>
          <w:color w:val="231F20"/>
          <w:spacing w:val="-4"/>
          <w:sz w:val="18"/>
        </w:rPr>
        <w:t> </w:t>
      </w:r>
      <w:r>
        <w:rPr>
          <w:rFonts w:ascii="Georgia" w:hAnsi="Georgia"/>
          <w:color w:val="231F20"/>
          <w:sz w:val="18"/>
        </w:rPr>
        <w:t>раюоты</w:t>
      </w:r>
      <w:r>
        <w:rPr>
          <w:rFonts w:ascii="Georgia" w:hAnsi="Georgia"/>
          <w:color w:val="231F20"/>
          <w:spacing w:val="-5"/>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w:t>
      </w:r>
      <w:r>
        <w:rPr>
          <w:rFonts w:ascii="Georgia" w:hAnsi="Georgia"/>
          <w:color w:val="231F20"/>
          <w:spacing w:val="-4"/>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ListParagraph"/>
        <w:numPr>
          <w:ilvl w:val="0"/>
          <w:numId w:val="131"/>
        </w:numPr>
        <w:tabs>
          <w:tab w:pos="708" w:val="left" w:leader="none"/>
        </w:tabs>
        <w:spacing w:line="242" w:lineRule="auto" w:before="117" w:after="0"/>
        <w:ind w:left="708" w:right="423" w:hanging="284"/>
        <w:jc w:val="both"/>
        <w:rPr>
          <w:sz w:val="18"/>
        </w:rPr>
      </w:pPr>
      <w:r>
        <w:rPr>
          <w:color w:val="231F20"/>
          <w:sz w:val="18"/>
        </w:rPr>
        <w:t>Формы</w:t>
      </w:r>
      <w:r>
        <w:rPr>
          <w:color w:val="231F20"/>
          <w:spacing w:val="-6"/>
          <w:sz w:val="18"/>
        </w:rPr>
        <w:t> </w:t>
      </w:r>
      <w:r>
        <w:rPr>
          <w:color w:val="231F20"/>
          <w:sz w:val="18"/>
        </w:rPr>
        <w:t>наставничества</w:t>
      </w:r>
      <w:r>
        <w:rPr>
          <w:color w:val="231F20"/>
          <w:spacing w:val="-6"/>
          <w:sz w:val="18"/>
        </w:rPr>
        <w:t> </w:t>
      </w:r>
      <w:r>
        <w:rPr>
          <w:color w:val="231F20"/>
          <w:sz w:val="18"/>
        </w:rPr>
        <w:t>в</w:t>
      </w:r>
      <w:r>
        <w:rPr>
          <w:color w:val="231F20"/>
          <w:spacing w:val="-6"/>
          <w:sz w:val="18"/>
        </w:rPr>
        <w:t> </w:t>
      </w:r>
      <w:r>
        <w:rPr>
          <w:color w:val="231F20"/>
          <w:sz w:val="18"/>
        </w:rPr>
        <w:t>рамках</w:t>
      </w:r>
      <w:r>
        <w:rPr>
          <w:color w:val="231F20"/>
          <w:spacing w:val="-6"/>
          <w:sz w:val="18"/>
        </w:rPr>
        <w:t> </w:t>
      </w:r>
      <w:r>
        <w:rPr>
          <w:color w:val="231F20"/>
          <w:sz w:val="18"/>
        </w:rPr>
        <w:t>целевой</w:t>
      </w:r>
      <w:r>
        <w:rPr>
          <w:color w:val="231F20"/>
          <w:spacing w:val="-6"/>
          <w:sz w:val="18"/>
        </w:rPr>
        <w:t> </w:t>
      </w:r>
      <w:r>
        <w:rPr>
          <w:color w:val="231F20"/>
          <w:sz w:val="18"/>
        </w:rPr>
        <w:t>модели</w:t>
      </w:r>
      <w:r>
        <w:rPr>
          <w:color w:val="231F20"/>
          <w:spacing w:val="-6"/>
          <w:sz w:val="18"/>
        </w:rPr>
        <w:t> </w:t>
      </w:r>
      <w:r>
        <w:rPr>
          <w:color w:val="231F20"/>
          <w:sz w:val="18"/>
        </w:rPr>
        <w:t>наставничества</w:t>
      </w:r>
      <w:r>
        <w:rPr>
          <w:color w:val="231F20"/>
          <w:spacing w:val="-6"/>
          <w:sz w:val="18"/>
        </w:rPr>
        <w:t> </w:t>
      </w:r>
      <w:r>
        <w:rPr>
          <w:color w:val="231F20"/>
          <w:sz w:val="18"/>
        </w:rPr>
        <w:t>обучающихся</w:t>
      </w:r>
      <w:r>
        <w:rPr>
          <w:color w:val="231F20"/>
          <w:spacing w:val="-6"/>
          <w:sz w:val="18"/>
        </w:rPr>
        <w:t> </w:t>
      </w:r>
      <w:r>
        <w:rPr>
          <w:color w:val="231F20"/>
          <w:sz w:val="18"/>
        </w:rPr>
        <w:t>для организаций, осуществляющих образовательную деятельность по общеобразова- тельным, дополнительным общеобразовательным и программам среднего профес- сионального</w:t>
      </w:r>
      <w:r>
        <w:rPr>
          <w:color w:val="231F20"/>
          <w:spacing w:val="-9"/>
          <w:sz w:val="18"/>
        </w:rPr>
        <w:t> </w:t>
      </w:r>
      <w:r>
        <w:rPr>
          <w:color w:val="231F20"/>
          <w:sz w:val="18"/>
        </w:rPr>
        <w:t>образования,</w:t>
      </w:r>
      <w:r>
        <w:rPr>
          <w:color w:val="231F20"/>
          <w:spacing w:val="-9"/>
          <w:sz w:val="18"/>
        </w:rPr>
        <w:t> </w:t>
      </w:r>
      <w:r>
        <w:rPr>
          <w:color w:val="231F20"/>
          <w:sz w:val="18"/>
        </w:rPr>
        <w:t>в</w:t>
      </w:r>
      <w:r>
        <w:rPr>
          <w:color w:val="231F20"/>
          <w:spacing w:val="-9"/>
          <w:sz w:val="18"/>
        </w:rPr>
        <w:t> </w:t>
      </w:r>
      <w:r>
        <w:rPr>
          <w:color w:val="231F20"/>
          <w:sz w:val="18"/>
        </w:rPr>
        <w:t>том</w:t>
      </w:r>
      <w:r>
        <w:rPr>
          <w:color w:val="231F20"/>
          <w:spacing w:val="-9"/>
          <w:sz w:val="18"/>
        </w:rPr>
        <w:t> </w:t>
      </w:r>
      <w:r>
        <w:rPr>
          <w:color w:val="231F20"/>
          <w:sz w:val="18"/>
        </w:rPr>
        <w:t>числе</w:t>
      </w:r>
      <w:r>
        <w:rPr>
          <w:color w:val="231F20"/>
          <w:spacing w:val="-9"/>
          <w:sz w:val="18"/>
        </w:rPr>
        <w:t> </w:t>
      </w:r>
      <w:r>
        <w:rPr>
          <w:color w:val="231F20"/>
          <w:sz w:val="18"/>
        </w:rPr>
        <w:t>с</w:t>
      </w:r>
      <w:r>
        <w:rPr>
          <w:color w:val="231F20"/>
          <w:spacing w:val="-9"/>
          <w:sz w:val="18"/>
        </w:rPr>
        <w:t> </w:t>
      </w:r>
      <w:r>
        <w:rPr>
          <w:color w:val="231F20"/>
          <w:sz w:val="18"/>
        </w:rPr>
        <w:t>применением</w:t>
      </w:r>
      <w:r>
        <w:rPr>
          <w:color w:val="231F20"/>
          <w:spacing w:val="-9"/>
          <w:sz w:val="18"/>
        </w:rPr>
        <w:t> </w:t>
      </w:r>
      <w:r>
        <w:rPr>
          <w:color w:val="231F20"/>
          <w:sz w:val="18"/>
        </w:rPr>
        <w:t>лучших</w:t>
      </w:r>
      <w:r>
        <w:rPr>
          <w:color w:val="231F20"/>
          <w:spacing w:val="-9"/>
          <w:sz w:val="18"/>
        </w:rPr>
        <w:t> </w:t>
      </w:r>
      <w:r>
        <w:rPr>
          <w:color w:val="231F20"/>
          <w:sz w:val="18"/>
        </w:rPr>
        <w:t>практик</w:t>
      </w:r>
      <w:r>
        <w:rPr>
          <w:color w:val="231F20"/>
          <w:spacing w:val="-9"/>
          <w:sz w:val="18"/>
        </w:rPr>
        <w:t> </w:t>
      </w:r>
      <w:r>
        <w:rPr>
          <w:color w:val="231F20"/>
          <w:sz w:val="18"/>
        </w:rPr>
        <w:t>обмена</w:t>
      </w:r>
      <w:r>
        <w:rPr>
          <w:color w:val="231F20"/>
          <w:spacing w:val="-9"/>
          <w:sz w:val="18"/>
        </w:rPr>
        <w:t> </w:t>
      </w:r>
      <w:r>
        <w:rPr>
          <w:color w:val="231F20"/>
          <w:sz w:val="18"/>
        </w:rPr>
        <w:t>опы- том между обучающимися. // 2019. (дата обращения: 25.07.22). </w:t>
      </w:r>
      <w:hyperlink r:id="rId117">
        <w:r>
          <w:rPr>
            <w:color w:val="2255A6"/>
            <w:sz w:val="18"/>
            <w:u w:val="single" w:color="2255A6"/>
          </w:rPr>
          <w:t>https://drive.google.</w:t>
        </w:r>
      </w:hyperlink>
      <w:r>
        <w:rPr>
          <w:color w:val="2255A6"/>
          <w:sz w:val="18"/>
        </w:rPr>
        <w:t> </w:t>
      </w:r>
      <w:hyperlink r:id="rId117">
        <w:r>
          <w:rPr>
            <w:color w:val="2255A6"/>
            <w:spacing w:val="-2"/>
            <w:sz w:val="18"/>
            <w:u w:val="single" w:color="2255A6"/>
          </w:rPr>
          <w:t>com/file/d/1T--DkpCTh8OzG_r-H9ItFR2T645p0A_B/view</w:t>
        </w:r>
      </w:hyperlink>
      <w:r>
        <w:rPr>
          <w:color w:val="231F20"/>
          <w:spacing w:val="-2"/>
          <w:sz w:val="18"/>
        </w:rPr>
        <w:t>.</w:t>
      </w:r>
    </w:p>
    <w:p>
      <w:pPr>
        <w:pStyle w:val="ListParagraph"/>
        <w:numPr>
          <w:ilvl w:val="0"/>
          <w:numId w:val="131"/>
        </w:numPr>
        <w:tabs>
          <w:tab w:pos="708" w:val="left" w:leader="none"/>
        </w:tabs>
        <w:spacing w:line="242" w:lineRule="auto" w:before="6" w:after="0"/>
        <w:ind w:left="708" w:right="423" w:hanging="284"/>
        <w:jc w:val="both"/>
        <w:rPr>
          <w:sz w:val="18"/>
        </w:rPr>
      </w:pPr>
      <w:r>
        <w:rPr>
          <w:color w:val="231F20"/>
          <w:spacing w:val="-2"/>
          <w:sz w:val="18"/>
        </w:rPr>
        <w:t>Alberta</w:t>
      </w:r>
      <w:r>
        <w:rPr>
          <w:color w:val="231F20"/>
          <w:spacing w:val="-3"/>
          <w:sz w:val="18"/>
        </w:rPr>
        <w:t> </w:t>
      </w:r>
      <w:r>
        <w:rPr>
          <w:color w:val="231F20"/>
          <w:spacing w:val="-2"/>
          <w:sz w:val="18"/>
        </w:rPr>
        <w:t>Mentoring</w:t>
      </w:r>
      <w:r>
        <w:rPr>
          <w:color w:val="231F20"/>
          <w:spacing w:val="-3"/>
          <w:sz w:val="18"/>
        </w:rPr>
        <w:t> </w:t>
      </w:r>
      <w:r>
        <w:rPr>
          <w:color w:val="231F20"/>
          <w:spacing w:val="-2"/>
          <w:sz w:val="18"/>
        </w:rPr>
        <w:t>Partnership.</w:t>
      </w:r>
      <w:r>
        <w:rPr>
          <w:color w:val="231F20"/>
          <w:spacing w:val="-3"/>
          <w:sz w:val="18"/>
        </w:rPr>
        <w:t> </w:t>
      </w:r>
      <w:r>
        <w:rPr>
          <w:color w:val="231F20"/>
          <w:spacing w:val="-2"/>
          <w:sz w:val="18"/>
        </w:rPr>
        <w:t>Mentoring</w:t>
      </w:r>
      <w:r>
        <w:rPr>
          <w:color w:val="231F20"/>
          <w:spacing w:val="-3"/>
          <w:sz w:val="18"/>
        </w:rPr>
        <w:t> </w:t>
      </w:r>
      <w:r>
        <w:rPr>
          <w:color w:val="231F20"/>
          <w:spacing w:val="-2"/>
          <w:sz w:val="18"/>
        </w:rPr>
        <w:t>Refugee,</w:t>
      </w:r>
      <w:r>
        <w:rPr>
          <w:color w:val="231F20"/>
          <w:spacing w:val="-3"/>
          <w:sz w:val="18"/>
        </w:rPr>
        <w:t> </w:t>
      </w:r>
      <w:r>
        <w:rPr>
          <w:color w:val="231F20"/>
          <w:spacing w:val="-2"/>
          <w:sz w:val="18"/>
        </w:rPr>
        <w:t>Immigrant</w:t>
      </w:r>
      <w:r>
        <w:rPr>
          <w:color w:val="231F20"/>
          <w:spacing w:val="-3"/>
          <w:sz w:val="18"/>
        </w:rPr>
        <w:t> </w:t>
      </w:r>
      <w:r>
        <w:rPr>
          <w:color w:val="231F20"/>
          <w:spacing w:val="-2"/>
          <w:sz w:val="18"/>
        </w:rPr>
        <w:t>&amp;</w:t>
      </w:r>
      <w:r>
        <w:rPr>
          <w:color w:val="231F20"/>
          <w:spacing w:val="-3"/>
          <w:sz w:val="18"/>
        </w:rPr>
        <w:t> </w:t>
      </w:r>
      <w:r>
        <w:rPr>
          <w:color w:val="231F20"/>
          <w:spacing w:val="-2"/>
          <w:sz w:val="18"/>
        </w:rPr>
        <w:t>Newcomer</w:t>
      </w:r>
      <w:r>
        <w:rPr>
          <w:color w:val="231F20"/>
          <w:spacing w:val="-3"/>
          <w:sz w:val="18"/>
        </w:rPr>
        <w:t> </w:t>
      </w:r>
      <w:r>
        <w:rPr>
          <w:color w:val="231F20"/>
          <w:spacing w:val="-2"/>
          <w:sz w:val="18"/>
        </w:rPr>
        <w:t>Children</w:t>
      </w:r>
      <w:r>
        <w:rPr>
          <w:color w:val="231F20"/>
          <w:spacing w:val="-3"/>
          <w:sz w:val="18"/>
        </w:rPr>
        <w:t> </w:t>
      </w:r>
      <w:r>
        <w:rPr>
          <w:color w:val="231F20"/>
          <w:spacing w:val="-2"/>
          <w:sz w:val="18"/>
        </w:rPr>
        <w:t>and Youth: Conversation Club. // 2017. (дата обращения: 03.06.2022). </w:t>
      </w:r>
      <w:hyperlink r:id="rId118">
        <w:r>
          <w:rPr>
            <w:color w:val="2255A6"/>
            <w:spacing w:val="-2"/>
            <w:sz w:val="18"/>
            <w:u w:val="single" w:color="2255A6"/>
          </w:rPr>
          <w:t>https://albertamentors.</w:t>
        </w:r>
      </w:hyperlink>
      <w:r>
        <w:rPr>
          <w:color w:val="2255A6"/>
          <w:spacing w:val="-2"/>
          <w:sz w:val="18"/>
        </w:rPr>
        <w:t> </w:t>
      </w:r>
      <w:hyperlink r:id="rId118">
        <w:r>
          <w:rPr>
            <w:color w:val="2255A6"/>
            <w:spacing w:val="-2"/>
            <w:sz w:val="18"/>
            <w:u w:val="single" w:color="2255A6"/>
          </w:rPr>
          <w:t>ca/wp-content/uploads/2017/07/3-Conversation-Club-Refugee-Immigrant-Newcomer-</w:t>
        </w:r>
      </w:hyperlink>
      <w:r>
        <w:rPr>
          <w:color w:val="2255A6"/>
          <w:spacing w:val="-2"/>
          <w:sz w:val="18"/>
        </w:rPr>
        <w:t> </w:t>
      </w:r>
      <w:hyperlink r:id="rId118">
        <w:r>
          <w:rPr>
            <w:color w:val="2255A6"/>
            <w:spacing w:val="-2"/>
            <w:sz w:val="18"/>
            <w:u w:val="single" w:color="2255A6"/>
          </w:rPr>
          <w:t>Toolkit.pdf</w:t>
        </w:r>
      </w:hyperlink>
      <w:r>
        <w:rPr>
          <w:color w:val="231F20"/>
          <w:spacing w:val="-2"/>
          <w:sz w:val="18"/>
        </w:rPr>
        <w:t>.</w:t>
      </w:r>
    </w:p>
    <w:p>
      <w:pPr>
        <w:pStyle w:val="ListParagraph"/>
        <w:numPr>
          <w:ilvl w:val="0"/>
          <w:numId w:val="131"/>
        </w:numPr>
        <w:tabs>
          <w:tab w:pos="708" w:val="left" w:leader="none"/>
        </w:tabs>
        <w:spacing w:line="242" w:lineRule="auto" w:before="3" w:after="0"/>
        <w:ind w:left="708" w:right="423" w:hanging="284"/>
        <w:jc w:val="both"/>
        <w:rPr>
          <w:sz w:val="18"/>
        </w:rPr>
      </w:pPr>
      <w:r>
        <w:rPr>
          <w:color w:val="231F20"/>
          <w:sz w:val="18"/>
        </w:rPr>
        <w:t>Birman</w:t>
      </w:r>
      <w:r>
        <w:rPr>
          <w:color w:val="231F20"/>
          <w:spacing w:val="-2"/>
          <w:sz w:val="18"/>
        </w:rPr>
        <w:t> </w:t>
      </w:r>
      <w:r>
        <w:rPr>
          <w:color w:val="231F20"/>
          <w:sz w:val="18"/>
        </w:rPr>
        <w:t>D. Immigrant and refugee youth. // D. Birman, L. Morland / In Handbook </w:t>
      </w:r>
      <w:r>
        <w:rPr>
          <w:color w:val="231F20"/>
          <w:sz w:val="18"/>
        </w:rPr>
        <w:t>of Youth Mentoring. – 2014. – pp. 273–289. DOI: 10.4135/9781412996907.n24.</w:t>
      </w:r>
    </w:p>
    <w:p>
      <w:pPr>
        <w:pStyle w:val="ListParagraph"/>
        <w:numPr>
          <w:ilvl w:val="0"/>
          <w:numId w:val="131"/>
        </w:numPr>
        <w:tabs>
          <w:tab w:pos="708" w:val="left" w:leader="none"/>
        </w:tabs>
        <w:spacing w:line="242" w:lineRule="auto" w:before="2" w:after="0"/>
        <w:ind w:left="708" w:right="423" w:hanging="284"/>
        <w:jc w:val="both"/>
        <w:rPr>
          <w:sz w:val="18"/>
        </w:rPr>
      </w:pPr>
      <w:r>
        <w:rPr>
          <w:color w:val="231F20"/>
          <w:sz w:val="18"/>
        </w:rPr>
        <w:t>BRYCS. Bridging Refugee Youth &amp; Children’s Services New directions in mentoring refugee youth. // 2010 (дата обращения: 21.07.2022) Retrieved from </w:t>
      </w:r>
      <w:hyperlink r:id="rId119">
        <w:r>
          <w:rPr>
            <w:color w:val="2255A6"/>
            <w:sz w:val="18"/>
            <w:u w:val="single" w:color="2255A6"/>
          </w:rPr>
          <w:t>http://www.brycs.</w:t>
        </w:r>
      </w:hyperlink>
      <w:r>
        <w:rPr>
          <w:color w:val="2255A6"/>
          <w:sz w:val="18"/>
        </w:rPr>
        <w:t> </w:t>
      </w:r>
      <w:hyperlink r:id="rId119">
        <w:r>
          <w:rPr>
            <w:color w:val="2255A6"/>
            <w:spacing w:val="-2"/>
            <w:sz w:val="18"/>
            <w:u w:val="single" w:color="2255A6"/>
          </w:rPr>
          <w:t>org/documents/upload/BRYCS-BRIEF-Mentoring-Summer-2010.pdf</w:t>
        </w:r>
      </w:hyperlink>
      <w:r>
        <w:rPr>
          <w:color w:val="231F20"/>
          <w:spacing w:val="-2"/>
          <w:sz w:val="18"/>
        </w:rPr>
        <w:t>.</w:t>
      </w:r>
    </w:p>
    <w:p>
      <w:pPr>
        <w:pStyle w:val="ListParagraph"/>
        <w:numPr>
          <w:ilvl w:val="0"/>
          <w:numId w:val="131"/>
        </w:numPr>
        <w:tabs>
          <w:tab w:pos="708" w:val="left" w:leader="none"/>
        </w:tabs>
        <w:spacing w:line="242" w:lineRule="auto" w:before="3" w:after="0"/>
        <w:ind w:left="708" w:right="423" w:hanging="284"/>
        <w:jc w:val="both"/>
        <w:rPr>
          <w:sz w:val="18"/>
        </w:rPr>
      </w:pPr>
      <w:r>
        <w:rPr>
          <w:color w:val="231F20"/>
          <w:sz w:val="18"/>
        </w:rPr>
        <w:t>Pryce, J. Conversation Club:</w:t>
      </w:r>
      <w:r>
        <w:rPr>
          <w:color w:val="231F20"/>
          <w:spacing w:val="-4"/>
          <w:sz w:val="18"/>
        </w:rPr>
        <w:t> </w:t>
      </w:r>
      <w:r>
        <w:rPr>
          <w:color w:val="231F20"/>
          <w:sz w:val="18"/>
        </w:rPr>
        <w:t>A</w:t>
      </w:r>
      <w:r>
        <w:rPr>
          <w:color w:val="231F20"/>
          <w:spacing w:val="-4"/>
          <w:sz w:val="18"/>
        </w:rPr>
        <w:t> </w:t>
      </w:r>
      <w:r>
        <w:rPr>
          <w:color w:val="231F20"/>
          <w:sz w:val="18"/>
        </w:rPr>
        <w:t>Promising Practice in</w:t>
      </w:r>
      <w:r>
        <w:rPr>
          <w:color w:val="231F20"/>
          <w:spacing w:val="-1"/>
          <w:sz w:val="18"/>
        </w:rPr>
        <w:t> </w:t>
      </w:r>
      <w:r>
        <w:rPr>
          <w:color w:val="231F20"/>
          <w:sz w:val="18"/>
        </w:rPr>
        <w:t>Youth Mentoring of Migrants and Refugees.</w:t>
      </w:r>
      <w:r>
        <w:rPr>
          <w:color w:val="231F20"/>
          <w:spacing w:val="-12"/>
          <w:sz w:val="18"/>
        </w:rPr>
        <w:t> </w:t>
      </w:r>
      <w:r>
        <w:rPr>
          <w:color w:val="231F20"/>
          <w:sz w:val="18"/>
        </w:rPr>
        <w:t>//</w:t>
      </w:r>
      <w:r>
        <w:rPr>
          <w:color w:val="231F20"/>
          <w:spacing w:val="-11"/>
          <w:sz w:val="18"/>
        </w:rPr>
        <w:t> </w:t>
      </w:r>
      <w:r>
        <w:rPr>
          <w:color w:val="231F20"/>
          <w:sz w:val="18"/>
        </w:rPr>
        <w:t>J.</w:t>
      </w:r>
      <w:r>
        <w:rPr>
          <w:color w:val="231F20"/>
          <w:spacing w:val="-11"/>
          <w:sz w:val="18"/>
        </w:rPr>
        <w:t> </w:t>
      </w:r>
      <w:r>
        <w:rPr>
          <w:color w:val="231F20"/>
          <w:sz w:val="18"/>
        </w:rPr>
        <w:t>Pryce,</w:t>
      </w:r>
      <w:r>
        <w:rPr>
          <w:color w:val="231F20"/>
          <w:spacing w:val="-11"/>
          <w:sz w:val="18"/>
        </w:rPr>
        <w:t> </w:t>
      </w:r>
      <w:r>
        <w:rPr>
          <w:color w:val="231F20"/>
          <w:sz w:val="18"/>
        </w:rPr>
        <w:t>M.S.</w:t>
      </w:r>
      <w:r>
        <w:rPr>
          <w:color w:val="231F20"/>
          <w:spacing w:val="-11"/>
          <w:sz w:val="18"/>
        </w:rPr>
        <w:t> </w:t>
      </w:r>
      <w:r>
        <w:rPr>
          <w:color w:val="231F20"/>
          <w:sz w:val="18"/>
        </w:rPr>
        <w:t>Kelly,</w:t>
      </w:r>
      <w:r>
        <w:rPr>
          <w:color w:val="231F20"/>
          <w:spacing w:val="-9"/>
          <w:sz w:val="18"/>
        </w:rPr>
        <w:t> </w:t>
      </w:r>
      <w:r>
        <w:rPr>
          <w:color w:val="231F20"/>
          <w:sz w:val="18"/>
        </w:rPr>
        <w:t>M.</w:t>
      </w:r>
      <w:r>
        <w:rPr>
          <w:color w:val="231F20"/>
          <w:spacing w:val="-9"/>
          <w:sz w:val="18"/>
        </w:rPr>
        <w:t> </w:t>
      </w:r>
      <w:r>
        <w:rPr>
          <w:color w:val="231F20"/>
          <w:sz w:val="18"/>
        </w:rPr>
        <w:t>Lawinger,</w:t>
      </w:r>
      <w:r>
        <w:rPr>
          <w:color w:val="231F20"/>
          <w:spacing w:val="-12"/>
          <w:sz w:val="18"/>
        </w:rPr>
        <w:t> </w:t>
      </w:r>
      <w:r>
        <w:rPr>
          <w:color w:val="231F20"/>
          <w:sz w:val="18"/>
        </w:rPr>
        <w:t>A.</w:t>
      </w:r>
      <w:r>
        <w:rPr>
          <w:color w:val="231F20"/>
          <w:spacing w:val="-11"/>
          <w:sz w:val="18"/>
        </w:rPr>
        <w:t> </w:t>
      </w:r>
      <w:r>
        <w:rPr>
          <w:color w:val="231F20"/>
          <w:sz w:val="18"/>
        </w:rPr>
        <w:t>Wildman</w:t>
      </w:r>
      <w:r>
        <w:rPr>
          <w:color w:val="231F20"/>
          <w:spacing w:val="-9"/>
          <w:sz w:val="18"/>
        </w:rPr>
        <w:t> </w:t>
      </w:r>
      <w:r>
        <w:rPr>
          <w:color w:val="231F20"/>
          <w:sz w:val="18"/>
        </w:rPr>
        <w:t>/</w:t>
      </w:r>
      <w:r>
        <w:rPr>
          <w:color w:val="231F20"/>
          <w:spacing w:val="-12"/>
          <w:sz w:val="18"/>
        </w:rPr>
        <w:t> </w:t>
      </w:r>
      <w:r>
        <w:rPr>
          <w:color w:val="231F20"/>
          <w:sz w:val="18"/>
        </w:rPr>
        <w:t>Advances</w:t>
      </w:r>
      <w:r>
        <w:rPr>
          <w:color w:val="231F20"/>
          <w:spacing w:val="-9"/>
          <w:sz w:val="18"/>
        </w:rPr>
        <w:t> </w:t>
      </w:r>
      <w:r>
        <w:rPr>
          <w:color w:val="231F20"/>
          <w:sz w:val="18"/>
        </w:rPr>
        <w:t>in</w:t>
      </w:r>
      <w:r>
        <w:rPr>
          <w:color w:val="231F20"/>
          <w:spacing w:val="-9"/>
          <w:sz w:val="18"/>
        </w:rPr>
        <w:t> </w:t>
      </w:r>
      <w:r>
        <w:rPr>
          <w:color w:val="231F20"/>
          <w:sz w:val="18"/>
        </w:rPr>
        <w:t>Social</w:t>
      </w:r>
      <w:r>
        <w:rPr>
          <w:color w:val="231F20"/>
          <w:spacing w:val="-12"/>
          <w:sz w:val="18"/>
        </w:rPr>
        <w:t> </w:t>
      </w:r>
      <w:r>
        <w:rPr>
          <w:color w:val="231F20"/>
          <w:sz w:val="18"/>
        </w:rPr>
        <w:t>Work.</w:t>
      </w:r>
      <w:r>
        <w:rPr>
          <w:color w:val="231F20"/>
          <w:spacing w:val="-9"/>
          <w:sz w:val="18"/>
        </w:rPr>
        <w:t> </w:t>
      </w:r>
      <w:r>
        <w:rPr>
          <w:color w:val="231F20"/>
          <w:sz w:val="18"/>
        </w:rPr>
        <w:t>– 2018. – V.18. – № 3 – pp. 767–787. DOI: 10.18060/21650.</w:t>
      </w:r>
    </w:p>
    <w:p>
      <w:pPr>
        <w:pStyle w:val="ListParagraph"/>
        <w:numPr>
          <w:ilvl w:val="0"/>
          <w:numId w:val="131"/>
        </w:numPr>
        <w:tabs>
          <w:tab w:pos="708" w:val="left" w:leader="none"/>
        </w:tabs>
        <w:spacing w:line="242" w:lineRule="auto" w:before="3" w:after="0"/>
        <w:ind w:left="708" w:right="423" w:hanging="284"/>
        <w:jc w:val="both"/>
        <w:rPr>
          <w:sz w:val="18"/>
        </w:rPr>
      </w:pPr>
      <w:r>
        <w:rPr>
          <w:color w:val="231F20"/>
          <w:sz w:val="18"/>
        </w:rPr>
        <w:t>Deutsch</w:t>
      </w:r>
      <w:r>
        <w:rPr>
          <w:color w:val="231F20"/>
          <w:spacing w:val="-2"/>
          <w:sz w:val="18"/>
        </w:rPr>
        <w:t> </w:t>
      </w:r>
      <w:r>
        <w:rPr>
          <w:color w:val="231F20"/>
          <w:sz w:val="18"/>
        </w:rPr>
        <w:t>N.L. Combining mentoring with structured group activities: A potential after- school</w:t>
      </w:r>
      <w:r>
        <w:rPr>
          <w:color w:val="231F20"/>
          <w:spacing w:val="24"/>
          <w:sz w:val="18"/>
        </w:rPr>
        <w:t> </w:t>
      </w:r>
      <w:r>
        <w:rPr>
          <w:color w:val="231F20"/>
          <w:sz w:val="18"/>
        </w:rPr>
        <w:t>context</w:t>
      </w:r>
      <w:r>
        <w:rPr>
          <w:color w:val="231F20"/>
          <w:spacing w:val="24"/>
          <w:sz w:val="18"/>
        </w:rPr>
        <w:t> </w:t>
      </w:r>
      <w:r>
        <w:rPr>
          <w:color w:val="231F20"/>
          <w:sz w:val="18"/>
        </w:rPr>
        <w:t>for</w:t>
      </w:r>
      <w:r>
        <w:rPr>
          <w:color w:val="231F20"/>
          <w:spacing w:val="24"/>
          <w:sz w:val="18"/>
        </w:rPr>
        <w:t> </w:t>
      </w:r>
      <w:r>
        <w:rPr>
          <w:color w:val="231F20"/>
          <w:sz w:val="18"/>
        </w:rPr>
        <w:t>fostering</w:t>
      </w:r>
      <w:r>
        <w:rPr>
          <w:color w:val="231F20"/>
          <w:spacing w:val="24"/>
          <w:sz w:val="18"/>
        </w:rPr>
        <w:t> </w:t>
      </w:r>
      <w:r>
        <w:rPr>
          <w:color w:val="231F20"/>
          <w:sz w:val="18"/>
        </w:rPr>
        <w:t>relationships</w:t>
      </w:r>
      <w:r>
        <w:rPr>
          <w:color w:val="231F20"/>
          <w:spacing w:val="24"/>
          <w:sz w:val="18"/>
        </w:rPr>
        <w:t> </w:t>
      </w:r>
      <w:r>
        <w:rPr>
          <w:color w:val="231F20"/>
          <w:sz w:val="18"/>
        </w:rPr>
        <w:t>between</w:t>
      </w:r>
      <w:r>
        <w:rPr>
          <w:color w:val="231F20"/>
          <w:spacing w:val="24"/>
          <w:sz w:val="18"/>
        </w:rPr>
        <w:t> </w:t>
      </w:r>
      <w:r>
        <w:rPr>
          <w:color w:val="231F20"/>
          <w:sz w:val="18"/>
        </w:rPr>
        <w:t>girls</w:t>
      </w:r>
      <w:r>
        <w:rPr>
          <w:color w:val="231F20"/>
          <w:spacing w:val="24"/>
          <w:sz w:val="18"/>
        </w:rPr>
        <w:t> </w:t>
      </w:r>
      <w:r>
        <w:rPr>
          <w:color w:val="231F20"/>
          <w:sz w:val="18"/>
        </w:rPr>
        <w:t>and</w:t>
      </w:r>
      <w:r>
        <w:rPr>
          <w:color w:val="231F20"/>
          <w:spacing w:val="24"/>
          <w:sz w:val="18"/>
        </w:rPr>
        <w:t> </w:t>
      </w:r>
      <w:r>
        <w:rPr>
          <w:color w:val="231F20"/>
          <w:sz w:val="18"/>
        </w:rPr>
        <w:t>mentors.</w:t>
      </w:r>
      <w:r>
        <w:rPr>
          <w:color w:val="231F20"/>
          <w:spacing w:val="24"/>
          <w:sz w:val="18"/>
        </w:rPr>
        <w:t> </w:t>
      </w:r>
      <w:r>
        <w:rPr>
          <w:color w:val="231F20"/>
          <w:sz w:val="18"/>
        </w:rPr>
        <w:t>//</w:t>
      </w:r>
      <w:r>
        <w:rPr>
          <w:color w:val="231F20"/>
          <w:spacing w:val="24"/>
          <w:sz w:val="18"/>
        </w:rPr>
        <w:t> </w:t>
      </w:r>
      <w:r>
        <w:rPr>
          <w:color w:val="231F20"/>
          <w:sz w:val="18"/>
        </w:rPr>
        <w:t>N.L.</w:t>
      </w:r>
      <w:r>
        <w:rPr>
          <w:color w:val="231F20"/>
          <w:spacing w:val="-2"/>
          <w:sz w:val="18"/>
        </w:rPr>
        <w:t> </w:t>
      </w:r>
      <w:r>
        <w:rPr>
          <w:color w:val="231F20"/>
          <w:sz w:val="18"/>
        </w:rPr>
        <w:t>Deutsch,</w:t>
      </w:r>
    </w:p>
    <w:p>
      <w:pPr>
        <w:spacing w:line="242" w:lineRule="auto" w:before="2"/>
        <w:ind w:left="708" w:right="423" w:firstLine="0"/>
        <w:jc w:val="both"/>
        <w:rPr>
          <w:sz w:val="18"/>
        </w:rPr>
      </w:pPr>
      <w:r>
        <w:rPr>
          <w:color w:val="231F20"/>
          <w:sz w:val="18"/>
        </w:rPr>
        <w:t>A.Y.</w:t>
      </w:r>
      <w:r>
        <w:rPr>
          <w:color w:val="231F20"/>
          <w:spacing w:val="-5"/>
          <w:sz w:val="18"/>
        </w:rPr>
        <w:t> </w:t>
      </w:r>
      <w:r>
        <w:rPr>
          <w:color w:val="231F20"/>
          <w:sz w:val="18"/>
        </w:rPr>
        <w:t>Wiggins,</w:t>
      </w:r>
      <w:r>
        <w:rPr>
          <w:color w:val="231F20"/>
          <w:spacing w:val="-2"/>
          <w:sz w:val="18"/>
        </w:rPr>
        <w:t> </w:t>
      </w:r>
      <w:r>
        <w:rPr>
          <w:color w:val="231F20"/>
          <w:sz w:val="18"/>
        </w:rPr>
        <w:t>A.K.</w:t>
      </w:r>
      <w:r>
        <w:rPr>
          <w:color w:val="231F20"/>
          <w:spacing w:val="-5"/>
          <w:sz w:val="18"/>
        </w:rPr>
        <w:t> </w:t>
      </w:r>
      <w:r>
        <w:rPr>
          <w:color w:val="231F20"/>
          <w:sz w:val="18"/>
        </w:rPr>
        <w:t>Henneberger, E.C.</w:t>
      </w:r>
      <w:r>
        <w:rPr>
          <w:color w:val="231F20"/>
          <w:spacing w:val="-5"/>
          <w:sz w:val="18"/>
        </w:rPr>
        <w:t> </w:t>
      </w:r>
      <w:r>
        <w:rPr>
          <w:color w:val="231F20"/>
          <w:sz w:val="18"/>
        </w:rPr>
        <w:t>Lawrence / The Journal of Early</w:t>
      </w:r>
      <w:r>
        <w:rPr>
          <w:color w:val="231F20"/>
          <w:spacing w:val="-2"/>
          <w:sz w:val="18"/>
        </w:rPr>
        <w:t> </w:t>
      </w:r>
      <w:r>
        <w:rPr>
          <w:color w:val="231F20"/>
          <w:sz w:val="18"/>
        </w:rPr>
        <w:t>Adolescence. – 2012. – 33(1). – pp. 44–76. DOI: 10.1177/0272431612458037.</w:t>
      </w:r>
    </w:p>
    <w:p>
      <w:pPr>
        <w:pStyle w:val="ListParagraph"/>
        <w:numPr>
          <w:ilvl w:val="0"/>
          <w:numId w:val="131"/>
        </w:numPr>
        <w:tabs>
          <w:tab w:pos="708" w:val="left" w:leader="none"/>
        </w:tabs>
        <w:spacing w:line="240" w:lineRule="auto" w:before="2" w:after="0"/>
        <w:ind w:left="708" w:right="0" w:hanging="283"/>
        <w:jc w:val="both"/>
        <w:rPr>
          <w:sz w:val="18"/>
        </w:rPr>
      </w:pPr>
      <w:r>
        <w:rPr>
          <w:color w:val="231F20"/>
          <w:sz w:val="18"/>
        </w:rPr>
        <w:t>Emelo</w:t>
      </w:r>
      <w:r>
        <w:rPr>
          <w:color w:val="231F20"/>
          <w:spacing w:val="-3"/>
          <w:sz w:val="18"/>
        </w:rPr>
        <w:t> </w:t>
      </w:r>
      <w:r>
        <w:rPr>
          <w:color w:val="231F20"/>
          <w:sz w:val="18"/>
        </w:rPr>
        <w:t>R.</w:t>
      </w:r>
      <w:r>
        <w:rPr>
          <w:color w:val="231F20"/>
          <w:spacing w:val="-4"/>
          <w:sz w:val="18"/>
        </w:rPr>
        <w:t> </w:t>
      </w:r>
      <w:r>
        <w:rPr>
          <w:color w:val="231F20"/>
          <w:sz w:val="18"/>
        </w:rPr>
        <w:t>Group</w:t>
      </w:r>
      <w:r>
        <w:rPr>
          <w:color w:val="231F20"/>
          <w:spacing w:val="-3"/>
          <w:sz w:val="18"/>
        </w:rPr>
        <w:t> </w:t>
      </w:r>
      <w:r>
        <w:rPr>
          <w:color w:val="231F20"/>
          <w:sz w:val="18"/>
        </w:rPr>
        <w:t>mentoring</w:t>
      </w:r>
      <w:r>
        <w:rPr>
          <w:color w:val="231F20"/>
          <w:spacing w:val="-4"/>
          <w:sz w:val="18"/>
        </w:rPr>
        <w:t> </w:t>
      </w:r>
      <w:r>
        <w:rPr>
          <w:color w:val="231F20"/>
          <w:sz w:val="18"/>
        </w:rPr>
        <w:t>best</w:t>
      </w:r>
      <w:r>
        <w:rPr>
          <w:color w:val="231F20"/>
          <w:spacing w:val="-4"/>
          <w:sz w:val="18"/>
        </w:rPr>
        <w:t> </w:t>
      </w:r>
      <w:r>
        <w:rPr>
          <w:color w:val="231F20"/>
          <w:sz w:val="18"/>
        </w:rPr>
        <w:t>practices.</w:t>
      </w:r>
      <w:r>
        <w:rPr>
          <w:color w:val="231F20"/>
          <w:spacing w:val="-4"/>
          <w:sz w:val="18"/>
        </w:rPr>
        <w:t> </w:t>
      </w:r>
      <w:r>
        <w:rPr>
          <w:color w:val="231F20"/>
          <w:sz w:val="18"/>
        </w:rPr>
        <w:t>Industrial</w:t>
      </w:r>
      <w:r>
        <w:rPr>
          <w:color w:val="231F20"/>
          <w:spacing w:val="-3"/>
          <w:sz w:val="18"/>
        </w:rPr>
        <w:t> </w:t>
      </w:r>
      <w:r>
        <w:rPr>
          <w:color w:val="231F20"/>
          <w:sz w:val="18"/>
        </w:rPr>
        <w:t>and</w:t>
      </w:r>
      <w:r>
        <w:rPr>
          <w:color w:val="231F20"/>
          <w:spacing w:val="-3"/>
          <w:sz w:val="18"/>
        </w:rPr>
        <w:t> </w:t>
      </w:r>
      <w:r>
        <w:rPr>
          <w:color w:val="231F20"/>
          <w:sz w:val="18"/>
        </w:rPr>
        <w:t>Commercial</w:t>
      </w:r>
      <w:r>
        <w:rPr>
          <w:color w:val="231F20"/>
          <w:spacing w:val="-8"/>
          <w:sz w:val="18"/>
        </w:rPr>
        <w:t> </w:t>
      </w:r>
      <w:r>
        <w:rPr>
          <w:color w:val="231F20"/>
          <w:sz w:val="18"/>
        </w:rPr>
        <w:t>Training.</w:t>
      </w:r>
      <w:r>
        <w:rPr>
          <w:color w:val="231F20"/>
          <w:spacing w:val="-4"/>
          <w:sz w:val="18"/>
        </w:rPr>
        <w:t> </w:t>
      </w:r>
      <w:r>
        <w:rPr>
          <w:color w:val="231F20"/>
          <w:sz w:val="18"/>
        </w:rPr>
        <w:t>–</w:t>
      </w:r>
      <w:r>
        <w:rPr>
          <w:color w:val="231F20"/>
          <w:spacing w:val="-3"/>
          <w:sz w:val="18"/>
        </w:rPr>
        <w:t> </w:t>
      </w:r>
      <w:r>
        <w:rPr>
          <w:color w:val="231F20"/>
          <w:sz w:val="18"/>
        </w:rPr>
        <w:t>2011.</w:t>
      </w:r>
      <w:r>
        <w:rPr>
          <w:color w:val="231F20"/>
          <w:spacing w:val="-3"/>
          <w:sz w:val="18"/>
        </w:rPr>
        <w:t> </w:t>
      </w:r>
      <w:r>
        <w:rPr>
          <w:color w:val="231F20"/>
          <w:spacing w:val="-10"/>
          <w:sz w:val="18"/>
        </w:rPr>
        <w:t>–</w:t>
      </w:r>
    </w:p>
    <w:p>
      <w:pPr>
        <w:spacing w:before="3"/>
        <w:ind w:left="708" w:right="0" w:firstLine="0"/>
        <w:jc w:val="both"/>
        <w:rPr>
          <w:sz w:val="18"/>
        </w:rPr>
      </w:pPr>
      <w:r>
        <w:rPr>
          <w:color w:val="231F20"/>
          <w:sz w:val="18"/>
        </w:rPr>
        <w:t>43(4).</w:t>
      </w:r>
      <w:r>
        <w:rPr>
          <w:color w:val="231F20"/>
          <w:spacing w:val="2"/>
          <w:sz w:val="18"/>
        </w:rPr>
        <w:t> </w:t>
      </w:r>
      <w:r>
        <w:rPr>
          <w:color w:val="231F20"/>
          <w:sz w:val="18"/>
        </w:rPr>
        <w:t>–</w:t>
      </w:r>
      <w:r>
        <w:rPr>
          <w:color w:val="231F20"/>
          <w:spacing w:val="3"/>
          <w:sz w:val="18"/>
        </w:rPr>
        <w:t> </w:t>
      </w:r>
      <w:r>
        <w:rPr>
          <w:color w:val="231F20"/>
          <w:sz w:val="18"/>
        </w:rPr>
        <w:t>pp.</w:t>
      </w:r>
      <w:r>
        <w:rPr>
          <w:color w:val="231F20"/>
          <w:spacing w:val="3"/>
          <w:sz w:val="18"/>
        </w:rPr>
        <w:t> </w:t>
      </w:r>
      <w:r>
        <w:rPr>
          <w:color w:val="231F20"/>
          <w:sz w:val="18"/>
        </w:rPr>
        <w:t>221–227.</w:t>
      </w:r>
      <w:r>
        <w:rPr>
          <w:color w:val="231F20"/>
          <w:spacing w:val="7"/>
          <w:sz w:val="18"/>
        </w:rPr>
        <w:t> </w:t>
      </w:r>
      <w:r>
        <w:rPr>
          <w:color w:val="231F20"/>
          <w:sz w:val="18"/>
        </w:rPr>
        <w:t>DOI:</w:t>
      </w:r>
      <w:r>
        <w:rPr>
          <w:color w:val="231F20"/>
          <w:spacing w:val="3"/>
          <w:sz w:val="18"/>
        </w:rPr>
        <w:t> </w:t>
      </w:r>
      <w:r>
        <w:rPr>
          <w:color w:val="231F20"/>
          <w:spacing w:val="-2"/>
          <w:sz w:val="18"/>
        </w:rPr>
        <w:t>10.1108/00197851111137898.</w:t>
      </w:r>
    </w:p>
    <w:p>
      <w:pPr>
        <w:pStyle w:val="ListParagraph"/>
        <w:numPr>
          <w:ilvl w:val="0"/>
          <w:numId w:val="131"/>
        </w:numPr>
        <w:tabs>
          <w:tab w:pos="708" w:val="left" w:leader="none"/>
        </w:tabs>
        <w:spacing w:line="242" w:lineRule="auto" w:before="3" w:after="0"/>
        <w:ind w:left="708" w:right="423" w:hanging="284"/>
        <w:jc w:val="left"/>
        <w:rPr>
          <w:sz w:val="18"/>
        </w:rPr>
      </w:pPr>
      <w:r>
        <w:rPr>
          <w:color w:val="231F20"/>
          <w:spacing w:val="-2"/>
          <w:sz w:val="18"/>
        </w:rPr>
        <w:t>Evans</w:t>
      </w:r>
      <w:r>
        <w:rPr>
          <w:color w:val="231F20"/>
          <w:sz w:val="18"/>
        </w:rPr>
        <w:t> </w:t>
      </w:r>
      <w:r>
        <w:rPr>
          <w:color w:val="231F20"/>
          <w:spacing w:val="-2"/>
          <w:sz w:val="18"/>
        </w:rPr>
        <w:t>S.D.</w:t>
      </w:r>
      <w:r>
        <w:rPr>
          <w:color w:val="231F20"/>
          <w:spacing w:val="-12"/>
          <w:sz w:val="18"/>
        </w:rPr>
        <w:t> </w:t>
      </w:r>
      <w:r>
        <w:rPr>
          <w:color w:val="231F20"/>
          <w:spacing w:val="-2"/>
          <w:sz w:val="18"/>
        </w:rPr>
        <w:t>Youth</w:t>
      </w:r>
      <w:r>
        <w:rPr>
          <w:color w:val="231F20"/>
          <w:spacing w:val="-5"/>
          <w:sz w:val="18"/>
        </w:rPr>
        <w:t> </w:t>
      </w:r>
      <w:r>
        <w:rPr>
          <w:color w:val="231F20"/>
          <w:spacing w:val="-2"/>
          <w:sz w:val="18"/>
        </w:rPr>
        <w:t>sense</w:t>
      </w:r>
      <w:r>
        <w:rPr>
          <w:color w:val="231F20"/>
          <w:spacing w:val="-5"/>
          <w:sz w:val="18"/>
        </w:rPr>
        <w:t> </w:t>
      </w:r>
      <w:r>
        <w:rPr>
          <w:color w:val="231F20"/>
          <w:spacing w:val="-2"/>
          <w:sz w:val="18"/>
        </w:rPr>
        <w:t>of</w:t>
      </w:r>
      <w:r>
        <w:rPr>
          <w:color w:val="231F20"/>
          <w:spacing w:val="-5"/>
          <w:sz w:val="18"/>
        </w:rPr>
        <w:t> </w:t>
      </w:r>
      <w:r>
        <w:rPr>
          <w:color w:val="231F20"/>
          <w:spacing w:val="-2"/>
          <w:sz w:val="18"/>
        </w:rPr>
        <w:t>community:</w:t>
      </w:r>
      <w:r>
        <w:rPr>
          <w:color w:val="231F20"/>
          <w:spacing w:val="-8"/>
          <w:sz w:val="18"/>
        </w:rPr>
        <w:t> </w:t>
      </w:r>
      <w:r>
        <w:rPr>
          <w:color w:val="231F20"/>
          <w:spacing w:val="-2"/>
          <w:sz w:val="18"/>
        </w:rPr>
        <w:t>Voice</w:t>
      </w:r>
      <w:r>
        <w:rPr>
          <w:color w:val="231F20"/>
          <w:spacing w:val="-5"/>
          <w:sz w:val="18"/>
        </w:rPr>
        <w:t> </w:t>
      </w:r>
      <w:r>
        <w:rPr>
          <w:color w:val="231F20"/>
          <w:spacing w:val="-2"/>
          <w:sz w:val="18"/>
        </w:rPr>
        <w:t>and</w:t>
      </w:r>
      <w:r>
        <w:rPr>
          <w:color w:val="231F20"/>
          <w:spacing w:val="-5"/>
          <w:sz w:val="18"/>
        </w:rPr>
        <w:t> </w:t>
      </w:r>
      <w:r>
        <w:rPr>
          <w:color w:val="231F20"/>
          <w:spacing w:val="-2"/>
          <w:sz w:val="18"/>
        </w:rPr>
        <w:t>power</w:t>
      </w:r>
      <w:r>
        <w:rPr>
          <w:color w:val="231F20"/>
          <w:spacing w:val="-5"/>
          <w:sz w:val="18"/>
        </w:rPr>
        <w:t> </w:t>
      </w:r>
      <w:r>
        <w:rPr>
          <w:color w:val="231F20"/>
          <w:spacing w:val="-2"/>
          <w:sz w:val="18"/>
        </w:rPr>
        <w:t>in</w:t>
      </w:r>
      <w:r>
        <w:rPr>
          <w:color w:val="231F20"/>
          <w:spacing w:val="-5"/>
          <w:sz w:val="18"/>
        </w:rPr>
        <w:t> </w:t>
      </w:r>
      <w:r>
        <w:rPr>
          <w:color w:val="231F20"/>
          <w:spacing w:val="-2"/>
          <w:sz w:val="18"/>
        </w:rPr>
        <w:t>community</w:t>
      </w:r>
      <w:r>
        <w:rPr>
          <w:color w:val="231F20"/>
          <w:spacing w:val="-5"/>
          <w:sz w:val="18"/>
        </w:rPr>
        <w:t> </w:t>
      </w:r>
      <w:r>
        <w:rPr>
          <w:color w:val="231F20"/>
          <w:spacing w:val="-2"/>
          <w:sz w:val="18"/>
        </w:rPr>
        <w:t>contexts.</w:t>
      </w:r>
      <w:r>
        <w:rPr>
          <w:color w:val="231F20"/>
          <w:spacing w:val="-5"/>
          <w:sz w:val="18"/>
        </w:rPr>
        <w:t> </w:t>
      </w:r>
      <w:r>
        <w:rPr>
          <w:color w:val="231F20"/>
          <w:spacing w:val="-2"/>
          <w:sz w:val="18"/>
        </w:rPr>
        <w:t>//</w:t>
      </w:r>
      <w:r>
        <w:rPr>
          <w:color w:val="231F20"/>
          <w:spacing w:val="-5"/>
          <w:sz w:val="18"/>
        </w:rPr>
        <w:t> </w:t>
      </w:r>
      <w:r>
        <w:rPr>
          <w:color w:val="231F20"/>
          <w:spacing w:val="-2"/>
          <w:sz w:val="18"/>
        </w:rPr>
        <w:t>Journal </w:t>
      </w:r>
      <w:r>
        <w:rPr>
          <w:color w:val="231F20"/>
          <w:sz w:val="18"/>
        </w:rPr>
        <w:t>of Community Psychology, 2007. – 35(6). – pp. 693–709. DOI: 10.1002/jcop.20173).</w:t>
      </w:r>
    </w:p>
    <w:p>
      <w:pPr>
        <w:pStyle w:val="ListParagraph"/>
        <w:numPr>
          <w:ilvl w:val="0"/>
          <w:numId w:val="131"/>
        </w:numPr>
        <w:tabs>
          <w:tab w:pos="708" w:val="left" w:leader="none"/>
        </w:tabs>
        <w:spacing w:line="242" w:lineRule="auto" w:before="2" w:after="0"/>
        <w:ind w:left="708" w:right="424" w:hanging="284"/>
        <w:jc w:val="left"/>
        <w:rPr>
          <w:sz w:val="18"/>
        </w:rPr>
      </w:pPr>
      <w:r>
        <w:rPr>
          <w:color w:val="231F20"/>
          <w:sz w:val="18"/>
        </w:rPr>
        <w:t>Feu</w:t>
      </w:r>
      <w:r>
        <w:rPr>
          <w:color w:val="231F20"/>
          <w:spacing w:val="-2"/>
          <w:sz w:val="18"/>
        </w:rPr>
        <w:t> </w:t>
      </w:r>
      <w:r>
        <w:rPr>
          <w:color w:val="231F20"/>
          <w:sz w:val="18"/>
        </w:rPr>
        <w:t>J.</w:t>
      </w:r>
      <w:r>
        <w:rPr>
          <w:color w:val="231F20"/>
          <w:spacing w:val="27"/>
          <w:sz w:val="18"/>
        </w:rPr>
        <w:t> </w:t>
      </w:r>
      <w:r>
        <w:rPr>
          <w:color w:val="231F20"/>
          <w:sz w:val="18"/>
        </w:rPr>
        <w:t>How</w:t>
      </w:r>
      <w:r>
        <w:rPr>
          <w:color w:val="231F20"/>
          <w:spacing w:val="27"/>
          <w:sz w:val="18"/>
        </w:rPr>
        <w:t> </w:t>
      </w:r>
      <w:r>
        <w:rPr>
          <w:color w:val="231F20"/>
          <w:sz w:val="18"/>
        </w:rPr>
        <w:t>an</w:t>
      </w:r>
      <w:r>
        <w:rPr>
          <w:color w:val="231F20"/>
          <w:spacing w:val="27"/>
          <w:sz w:val="18"/>
        </w:rPr>
        <w:t> </w:t>
      </w:r>
      <w:r>
        <w:rPr>
          <w:color w:val="231F20"/>
          <w:sz w:val="18"/>
        </w:rPr>
        <w:t>intervention</w:t>
      </w:r>
      <w:r>
        <w:rPr>
          <w:color w:val="231F20"/>
          <w:spacing w:val="27"/>
          <w:sz w:val="18"/>
        </w:rPr>
        <w:t> </w:t>
      </w:r>
      <w:r>
        <w:rPr>
          <w:color w:val="231F20"/>
          <w:sz w:val="18"/>
        </w:rPr>
        <w:t>project</w:t>
      </w:r>
      <w:r>
        <w:rPr>
          <w:color w:val="231F20"/>
          <w:spacing w:val="27"/>
          <w:sz w:val="18"/>
        </w:rPr>
        <w:t> </w:t>
      </w:r>
      <w:r>
        <w:rPr>
          <w:color w:val="231F20"/>
          <w:sz w:val="18"/>
        </w:rPr>
        <w:t>contributes</w:t>
      </w:r>
      <w:r>
        <w:rPr>
          <w:color w:val="231F20"/>
          <w:spacing w:val="27"/>
          <w:sz w:val="18"/>
        </w:rPr>
        <w:t> </w:t>
      </w:r>
      <w:r>
        <w:rPr>
          <w:color w:val="231F20"/>
          <w:sz w:val="18"/>
        </w:rPr>
        <w:t>to</w:t>
      </w:r>
      <w:r>
        <w:rPr>
          <w:color w:val="231F20"/>
          <w:spacing w:val="27"/>
          <w:sz w:val="18"/>
        </w:rPr>
        <w:t> </w:t>
      </w:r>
      <w:r>
        <w:rPr>
          <w:color w:val="231F20"/>
          <w:sz w:val="18"/>
        </w:rPr>
        <w:t>social</w:t>
      </w:r>
      <w:r>
        <w:rPr>
          <w:color w:val="231F20"/>
          <w:spacing w:val="27"/>
          <w:sz w:val="18"/>
        </w:rPr>
        <w:t> </w:t>
      </w:r>
      <w:r>
        <w:rPr>
          <w:color w:val="231F20"/>
          <w:sz w:val="18"/>
        </w:rPr>
        <w:t>inclusion</w:t>
      </w:r>
      <w:r>
        <w:rPr>
          <w:color w:val="231F20"/>
          <w:spacing w:val="27"/>
          <w:sz w:val="18"/>
        </w:rPr>
        <w:t> </w:t>
      </w:r>
      <w:r>
        <w:rPr>
          <w:color w:val="231F20"/>
          <w:sz w:val="18"/>
        </w:rPr>
        <w:t>of</w:t>
      </w:r>
      <w:r>
        <w:rPr>
          <w:color w:val="231F20"/>
          <w:spacing w:val="27"/>
          <w:sz w:val="18"/>
        </w:rPr>
        <w:t> </w:t>
      </w:r>
      <w:r>
        <w:rPr>
          <w:color w:val="231F20"/>
          <w:sz w:val="18"/>
        </w:rPr>
        <w:t>adolescents</w:t>
      </w:r>
      <w:r>
        <w:rPr>
          <w:color w:val="231F20"/>
          <w:spacing w:val="27"/>
          <w:sz w:val="18"/>
        </w:rPr>
        <w:t> </w:t>
      </w:r>
      <w:r>
        <w:rPr>
          <w:color w:val="231F20"/>
          <w:sz w:val="18"/>
        </w:rPr>
        <w:t>and young people of foreign origin. // Children and Youth Services Review. – 2015. – 52. –</w:t>
      </w:r>
    </w:p>
    <w:p>
      <w:pPr>
        <w:spacing w:before="1"/>
        <w:ind w:left="708" w:right="0" w:firstLine="0"/>
        <w:jc w:val="left"/>
        <w:rPr>
          <w:sz w:val="18"/>
        </w:rPr>
      </w:pPr>
      <w:r>
        <w:rPr>
          <w:color w:val="231F20"/>
          <w:sz w:val="18"/>
        </w:rPr>
        <w:t>pp. </w:t>
      </w:r>
      <w:r>
        <w:rPr>
          <w:color w:val="231F20"/>
          <w:spacing w:val="-2"/>
          <w:sz w:val="18"/>
        </w:rPr>
        <w:t>144–149.</w:t>
      </w:r>
    </w:p>
    <w:p>
      <w:pPr>
        <w:pStyle w:val="ListParagraph"/>
        <w:numPr>
          <w:ilvl w:val="0"/>
          <w:numId w:val="131"/>
        </w:numPr>
        <w:tabs>
          <w:tab w:pos="708" w:val="left" w:leader="none"/>
        </w:tabs>
        <w:spacing w:line="240" w:lineRule="auto" w:before="4" w:after="0"/>
        <w:ind w:left="708" w:right="0" w:hanging="283"/>
        <w:jc w:val="left"/>
        <w:rPr>
          <w:sz w:val="18"/>
        </w:rPr>
      </w:pPr>
      <w:r>
        <w:rPr>
          <w:color w:val="231F20"/>
          <w:sz w:val="18"/>
        </w:rPr>
        <w:t>Herrera</w:t>
      </w:r>
      <w:r>
        <w:rPr>
          <w:color w:val="231F20"/>
          <w:spacing w:val="-2"/>
          <w:sz w:val="18"/>
        </w:rPr>
        <w:t> </w:t>
      </w:r>
      <w:r>
        <w:rPr>
          <w:color w:val="231F20"/>
          <w:sz w:val="18"/>
        </w:rPr>
        <w:t>C.</w:t>
      </w:r>
      <w:r>
        <w:rPr>
          <w:color w:val="231F20"/>
          <w:spacing w:val="2"/>
          <w:sz w:val="18"/>
        </w:rPr>
        <w:t> </w:t>
      </w:r>
      <w:r>
        <w:rPr>
          <w:color w:val="231F20"/>
          <w:sz w:val="18"/>
        </w:rPr>
        <w:t>Group</w:t>
      </w:r>
      <w:r>
        <w:rPr>
          <w:color w:val="231F20"/>
          <w:spacing w:val="2"/>
          <w:sz w:val="18"/>
        </w:rPr>
        <w:t> </w:t>
      </w:r>
      <w:r>
        <w:rPr>
          <w:color w:val="231F20"/>
          <w:sz w:val="18"/>
        </w:rPr>
        <w:t>mentoring:</w:t>
      </w:r>
      <w:r>
        <w:rPr>
          <w:color w:val="231F20"/>
          <w:spacing w:val="-8"/>
          <w:sz w:val="18"/>
        </w:rPr>
        <w:t> </w:t>
      </w:r>
      <w:r>
        <w:rPr>
          <w:color w:val="231F20"/>
          <w:sz w:val="18"/>
        </w:rPr>
        <w:t>A</w:t>
      </w:r>
      <w:r>
        <w:rPr>
          <w:color w:val="231F20"/>
          <w:spacing w:val="-8"/>
          <w:sz w:val="18"/>
        </w:rPr>
        <w:t> </w:t>
      </w:r>
      <w:r>
        <w:rPr>
          <w:color w:val="231F20"/>
          <w:sz w:val="18"/>
        </w:rPr>
        <w:t>study</w:t>
      </w:r>
      <w:r>
        <w:rPr>
          <w:color w:val="231F20"/>
          <w:spacing w:val="1"/>
          <w:sz w:val="18"/>
        </w:rPr>
        <w:t> </w:t>
      </w:r>
      <w:r>
        <w:rPr>
          <w:color w:val="231F20"/>
          <w:sz w:val="18"/>
        </w:rPr>
        <w:t>of</w:t>
      </w:r>
      <w:r>
        <w:rPr>
          <w:color w:val="231F20"/>
          <w:spacing w:val="2"/>
          <w:sz w:val="18"/>
        </w:rPr>
        <w:t> </w:t>
      </w:r>
      <w:r>
        <w:rPr>
          <w:color w:val="231F20"/>
          <w:sz w:val="18"/>
        </w:rPr>
        <w:t>mentoring</w:t>
      </w:r>
      <w:r>
        <w:rPr>
          <w:color w:val="231F20"/>
          <w:spacing w:val="2"/>
          <w:sz w:val="18"/>
        </w:rPr>
        <w:t> </w:t>
      </w:r>
      <w:r>
        <w:rPr>
          <w:color w:val="231F20"/>
          <w:sz w:val="18"/>
        </w:rPr>
        <w:t>groups</w:t>
      </w:r>
      <w:r>
        <w:rPr>
          <w:color w:val="231F20"/>
          <w:spacing w:val="2"/>
          <w:sz w:val="18"/>
        </w:rPr>
        <w:t> </w:t>
      </w:r>
      <w:r>
        <w:rPr>
          <w:color w:val="231F20"/>
          <w:sz w:val="18"/>
        </w:rPr>
        <w:t>in</w:t>
      </w:r>
      <w:r>
        <w:rPr>
          <w:color w:val="231F20"/>
          <w:spacing w:val="1"/>
          <w:sz w:val="18"/>
        </w:rPr>
        <w:t> </w:t>
      </w:r>
      <w:r>
        <w:rPr>
          <w:color w:val="231F20"/>
          <w:sz w:val="18"/>
        </w:rPr>
        <w:t>three</w:t>
      </w:r>
      <w:r>
        <w:rPr>
          <w:color w:val="231F20"/>
          <w:spacing w:val="2"/>
          <w:sz w:val="18"/>
        </w:rPr>
        <w:t> </w:t>
      </w:r>
      <w:r>
        <w:rPr>
          <w:color w:val="231F20"/>
          <w:sz w:val="18"/>
        </w:rPr>
        <w:t>programs</w:t>
      </w:r>
      <w:r>
        <w:rPr>
          <w:color w:val="231F20"/>
          <w:spacing w:val="2"/>
          <w:sz w:val="18"/>
        </w:rPr>
        <w:t> </w:t>
      </w:r>
      <w:r>
        <w:rPr>
          <w:color w:val="231F20"/>
          <w:sz w:val="18"/>
        </w:rPr>
        <w:t>[Report].</w:t>
      </w:r>
      <w:r>
        <w:rPr>
          <w:color w:val="231F20"/>
          <w:spacing w:val="2"/>
          <w:sz w:val="18"/>
        </w:rPr>
        <w:t> </w:t>
      </w:r>
      <w:r>
        <w:rPr>
          <w:color w:val="231F20"/>
          <w:spacing w:val="-5"/>
          <w:sz w:val="18"/>
        </w:rPr>
        <w:t>//</w:t>
      </w:r>
    </w:p>
    <w:p>
      <w:pPr>
        <w:spacing w:line="242" w:lineRule="auto" w:before="3"/>
        <w:ind w:left="708" w:right="486" w:firstLine="0"/>
        <w:jc w:val="left"/>
        <w:rPr>
          <w:sz w:val="18"/>
        </w:rPr>
      </w:pPr>
      <w:r>
        <w:rPr>
          <w:color w:val="231F20"/>
          <w:sz w:val="18"/>
        </w:rPr>
        <w:t>C.</w:t>
      </w:r>
      <w:r>
        <w:rPr>
          <w:color w:val="231F20"/>
          <w:spacing w:val="-5"/>
          <w:sz w:val="18"/>
        </w:rPr>
        <w:t> </w:t>
      </w:r>
      <w:r>
        <w:rPr>
          <w:color w:val="231F20"/>
          <w:sz w:val="18"/>
        </w:rPr>
        <w:t>Herrera, Z.</w:t>
      </w:r>
      <w:r>
        <w:rPr>
          <w:color w:val="231F20"/>
          <w:spacing w:val="-5"/>
          <w:sz w:val="18"/>
        </w:rPr>
        <w:t> </w:t>
      </w:r>
      <w:r>
        <w:rPr>
          <w:color w:val="231F20"/>
          <w:sz w:val="18"/>
        </w:rPr>
        <w:t>Vang, L.Y.</w:t>
      </w:r>
      <w:r>
        <w:rPr>
          <w:color w:val="231F20"/>
          <w:spacing w:val="-5"/>
          <w:sz w:val="18"/>
        </w:rPr>
        <w:t> </w:t>
      </w:r>
      <w:r>
        <w:rPr>
          <w:color w:val="231F20"/>
          <w:sz w:val="18"/>
        </w:rPr>
        <w:t>Gale / 2002. (дата обращения: 19.07.2022). Retrieved from 36T</w:t>
      </w:r>
      <w:r>
        <w:rPr>
          <w:color w:val="231F20"/>
          <w:spacing w:val="-4"/>
          <w:sz w:val="18"/>
        </w:rPr>
        <w:t> </w:t>
      </w:r>
      <w:hyperlink r:id="rId120">
        <w:r>
          <w:rPr>
            <w:color w:val="2255A6"/>
            <w:sz w:val="18"/>
            <w:u w:val="single" w:color="2255A6"/>
          </w:rPr>
          <w:t>https://files.eric.ed.gov/fulltext/ED467570.pdf</w:t>
        </w:r>
      </w:hyperlink>
      <w:r>
        <w:rPr>
          <w:color w:val="231F20"/>
          <w:sz w:val="18"/>
        </w:rPr>
        <w:t>.</w:t>
      </w:r>
    </w:p>
    <w:p>
      <w:pPr>
        <w:pStyle w:val="ListParagraph"/>
        <w:numPr>
          <w:ilvl w:val="0"/>
          <w:numId w:val="131"/>
        </w:numPr>
        <w:tabs>
          <w:tab w:pos="708" w:val="left" w:leader="none"/>
        </w:tabs>
        <w:spacing w:line="242" w:lineRule="auto" w:before="1" w:after="0"/>
        <w:ind w:left="708" w:right="423" w:hanging="284"/>
        <w:jc w:val="left"/>
        <w:rPr>
          <w:sz w:val="18"/>
        </w:rPr>
      </w:pPr>
      <w:r>
        <w:rPr>
          <w:color w:val="231F20"/>
          <w:sz w:val="18"/>
        </w:rPr>
        <w:t>Holm</w:t>
      </w:r>
      <w:r>
        <w:rPr>
          <w:color w:val="231F20"/>
          <w:spacing w:val="-2"/>
          <w:sz w:val="18"/>
        </w:rPr>
        <w:t> </w:t>
      </w:r>
      <w:r>
        <w:rPr>
          <w:color w:val="231F20"/>
          <w:sz w:val="18"/>
        </w:rPr>
        <w:t>S.</w:t>
      </w:r>
      <w:r>
        <w:rPr>
          <w:color w:val="231F20"/>
          <w:spacing w:val="-4"/>
          <w:sz w:val="18"/>
        </w:rPr>
        <w:t> </w:t>
      </w:r>
      <w:r>
        <w:rPr>
          <w:color w:val="231F20"/>
          <w:sz w:val="18"/>
        </w:rPr>
        <w:t>Building</w:t>
      </w:r>
      <w:r>
        <w:rPr>
          <w:color w:val="231F20"/>
          <w:spacing w:val="-4"/>
          <w:sz w:val="18"/>
        </w:rPr>
        <w:t> </w:t>
      </w:r>
      <w:r>
        <w:rPr>
          <w:color w:val="231F20"/>
          <w:sz w:val="18"/>
        </w:rPr>
        <w:t>community</w:t>
      </w:r>
      <w:r>
        <w:rPr>
          <w:color w:val="231F20"/>
          <w:spacing w:val="-4"/>
          <w:sz w:val="18"/>
        </w:rPr>
        <w:t> </w:t>
      </w:r>
      <w:r>
        <w:rPr>
          <w:color w:val="231F20"/>
          <w:sz w:val="18"/>
        </w:rPr>
        <w:t>in</w:t>
      </w:r>
      <w:r>
        <w:rPr>
          <w:color w:val="231F20"/>
          <w:spacing w:val="-4"/>
          <w:sz w:val="18"/>
        </w:rPr>
        <w:t> </w:t>
      </w:r>
      <w:r>
        <w:rPr>
          <w:color w:val="231F20"/>
          <w:sz w:val="18"/>
        </w:rPr>
        <w:t>refugee</w:t>
      </w:r>
      <w:r>
        <w:rPr>
          <w:color w:val="231F20"/>
          <w:spacing w:val="-4"/>
          <w:sz w:val="18"/>
        </w:rPr>
        <w:t> </w:t>
      </w:r>
      <w:r>
        <w:rPr>
          <w:color w:val="231F20"/>
          <w:sz w:val="18"/>
        </w:rPr>
        <w:t>youth</w:t>
      </w:r>
      <w:r>
        <w:rPr>
          <w:color w:val="231F20"/>
          <w:spacing w:val="-4"/>
          <w:sz w:val="18"/>
        </w:rPr>
        <w:t> </w:t>
      </w:r>
      <w:r>
        <w:rPr>
          <w:color w:val="231F20"/>
          <w:sz w:val="18"/>
        </w:rPr>
        <w:t>mentoring</w:t>
      </w:r>
      <w:r>
        <w:rPr>
          <w:color w:val="231F20"/>
          <w:spacing w:val="-4"/>
          <w:sz w:val="18"/>
        </w:rPr>
        <w:t> </w:t>
      </w:r>
      <w:r>
        <w:rPr>
          <w:color w:val="231F20"/>
          <w:sz w:val="18"/>
        </w:rPr>
        <w:t>programs</w:t>
      </w:r>
      <w:r>
        <w:rPr>
          <w:color w:val="231F20"/>
          <w:spacing w:val="-4"/>
          <w:sz w:val="18"/>
        </w:rPr>
        <w:t> </w:t>
      </w:r>
      <w:r>
        <w:rPr>
          <w:color w:val="231F20"/>
          <w:sz w:val="18"/>
        </w:rPr>
        <w:t>at</w:t>
      </w:r>
      <w:r>
        <w:rPr>
          <w:color w:val="231F20"/>
          <w:spacing w:val="-4"/>
          <w:sz w:val="18"/>
        </w:rPr>
        <w:t> </w:t>
      </w:r>
      <w:r>
        <w:rPr>
          <w:color w:val="231F20"/>
          <w:sz w:val="18"/>
        </w:rPr>
        <w:t>partnership</w:t>
      </w:r>
      <w:r>
        <w:rPr>
          <w:color w:val="231F20"/>
          <w:spacing w:val="-4"/>
          <w:sz w:val="18"/>
        </w:rPr>
        <w:t> </w:t>
      </w:r>
      <w:r>
        <w:rPr>
          <w:color w:val="231F20"/>
          <w:sz w:val="18"/>
        </w:rPr>
        <w:t>for</w:t>
      </w:r>
      <w:r>
        <w:rPr>
          <w:color w:val="231F20"/>
          <w:spacing w:val="-4"/>
          <w:sz w:val="18"/>
        </w:rPr>
        <w:t> </w:t>
      </w:r>
      <w:r>
        <w:rPr>
          <w:color w:val="231F20"/>
          <w:sz w:val="18"/>
        </w:rPr>
        <w:t>the advancement and immersion of refugees. // Capstone Collection. – 2018. – 53 p.</w:t>
      </w:r>
    </w:p>
    <w:p>
      <w:pPr>
        <w:pStyle w:val="ListParagraph"/>
        <w:numPr>
          <w:ilvl w:val="0"/>
          <w:numId w:val="131"/>
        </w:numPr>
        <w:tabs>
          <w:tab w:pos="283" w:val="left" w:leader="none"/>
        </w:tabs>
        <w:spacing w:line="240" w:lineRule="auto" w:before="2" w:after="0"/>
        <w:ind w:left="283" w:right="423" w:hanging="283"/>
        <w:jc w:val="right"/>
        <w:rPr>
          <w:sz w:val="18"/>
        </w:rPr>
      </w:pPr>
      <w:r>
        <w:rPr>
          <w:color w:val="231F20"/>
          <w:sz w:val="18"/>
        </w:rPr>
        <w:t>Howard A.</w:t>
      </w:r>
      <w:r>
        <w:rPr>
          <w:color w:val="231F20"/>
          <w:spacing w:val="30"/>
          <w:sz w:val="18"/>
        </w:rPr>
        <w:t> </w:t>
      </w:r>
      <w:r>
        <w:rPr>
          <w:color w:val="231F20"/>
          <w:sz w:val="18"/>
        </w:rPr>
        <w:t>Therapeutic</w:t>
      </w:r>
      <w:r>
        <w:rPr>
          <w:color w:val="231F20"/>
          <w:spacing w:val="33"/>
          <w:sz w:val="18"/>
        </w:rPr>
        <w:t> </w:t>
      </w:r>
      <w:r>
        <w:rPr>
          <w:color w:val="231F20"/>
          <w:sz w:val="18"/>
        </w:rPr>
        <w:t>group</w:t>
      </w:r>
      <w:r>
        <w:rPr>
          <w:color w:val="231F20"/>
          <w:spacing w:val="33"/>
          <w:sz w:val="18"/>
        </w:rPr>
        <w:t> </w:t>
      </w:r>
      <w:r>
        <w:rPr>
          <w:color w:val="231F20"/>
          <w:sz w:val="18"/>
        </w:rPr>
        <w:t>mentoring</w:t>
      </w:r>
      <w:r>
        <w:rPr>
          <w:color w:val="231F20"/>
          <w:spacing w:val="33"/>
          <w:sz w:val="18"/>
        </w:rPr>
        <w:t> </w:t>
      </w:r>
      <w:r>
        <w:rPr>
          <w:color w:val="231F20"/>
          <w:sz w:val="18"/>
        </w:rPr>
        <w:t>with</w:t>
      </w:r>
      <w:r>
        <w:rPr>
          <w:color w:val="231F20"/>
          <w:spacing w:val="23"/>
          <w:sz w:val="18"/>
        </w:rPr>
        <w:t> </w:t>
      </w:r>
      <w:r>
        <w:rPr>
          <w:color w:val="231F20"/>
          <w:sz w:val="18"/>
        </w:rPr>
        <w:t>African</w:t>
      </w:r>
      <w:r>
        <w:rPr>
          <w:color w:val="231F20"/>
          <w:spacing w:val="23"/>
          <w:sz w:val="18"/>
        </w:rPr>
        <w:t> </w:t>
      </w:r>
      <w:r>
        <w:rPr>
          <w:color w:val="231F20"/>
          <w:sz w:val="18"/>
        </w:rPr>
        <w:t>American</w:t>
      </w:r>
      <w:r>
        <w:rPr>
          <w:color w:val="231F20"/>
          <w:spacing w:val="33"/>
          <w:sz w:val="18"/>
        </w:rPr>
        <w:t> </w:t>
      </w:r>
      <w:r>
        <w:rPr>
          <w:color w:val="231F20"/>
          <w:sz w:val="18"/>
        </w:rPr>
        <w:t>male</w:t>
      </w:r>
      <w:r>
        <w:rPr>
          <w:color w:val="231F20"/>
          <w:spacing w:val="33"/>
          <w:sz w:val="18"/>
        </w:rPr>
        <w:t> </w:t>
      </w:r>
      <w:r>
        <w:rPr>
          <w:color w:val="231F20"/>
          <w:sz w:val="18"/>
        </w:rPr>
        <w:t>adolescents.</w:t>
      </w:r>
      <w:r>
        <w:rPr>
          <w:color w:val="231F20"/>
          <w:spacing w:val="33"/>
          <w:sz w:val="18"/>
        </w:rPr>
        <w:t> </w:t>
      </w:r>
      <w:r>
        <w:rPr>
          <w:color w:val="231F20"/>
          <w:spacing w:val="-5"/>
          <w:sz w:val="18"/>
        </w:rPr>
        <w:t>//</w:t>
      </w:r>
    </w:p>
    <w:p>
      <w:pPr>
        <w:spacing w:before="3"/>
        <w:ind w:left="141" w:right="423" w:firstLine="0"/>
        <w:jc w:val="right"/>
        <w:rPr>
          <w:sz w:val="18"/>
        </w:rPr>
      </w:pPr>
      <w:r>
        <w:rPr>
          <w:color w:val="231F20"/>
          <w:sz w:val="18"/>
        </w:rPr>
        <w:t>S.O.</w:t>
      </w:r>
      <w:r>
        <w:rPr>
          <w:color w:val="231F20"/>
          <w:spacing w:val="-5"/>
          <w:sz w:val="18"/>
        </w:rPr>
        <w:t> </w:t>
      </w:r>
      <w:r>
        <w:rPr>
          <w:color w:val="231F20"/>
          <w:sz w:val="18"/>
        </w:rPr>
        <w:t>Utsey,</w:t>
      </w:r>
      <w:r>
        <w:rPr>
          <w:color w:val="231F20"/>
          <w:spacing w:val="-12"/>
          <w:sz w:val="18"/>
        </w:rPr>
        <w:t> </w:t>
      </w:r>
      <w:r>
        <w:rPr>
          <w:color w:val="231F20"/>
          <w:sz w:val="18"/>
        </w:rPr>
        <w:t>A.</w:t>
      </w:r>
      <w:r>
        <w:rPr>
          <w:color w:val="231F20"/>
          <w:spacing w:val="-1"/>
          <w:sz w:val="18"/>
        </w:rPr>
        <w:t> </w:t>
      </w:r>
      <w:r>
        <w:rPr>
          <w:color w:val="231F20"/>
          <w:sz w:val="18"/>
        </w:rPr>
        <w:t>Howard,</w:t>
      </w:r>
      <w:r>
        <w:rPr>
          <w:color w:val="231F20"/>
          <w:spacing w:val="-3"/>
          <w:sz w:val="18"/>
        </w:rPr>
        <w:t> </w:t>
      </w:r>
      <w:r>
        <w:rPr>
          <w:color w:val="231F20"/>
          <w:sz w:val="18"/>
        </w:rPr>
        <w:t>O.</w:t>
      </w:r>
      <w:r>
        <w:rPr>
          <w:color w:val="231F20"/>
          <w:spacing w:val="-2"/>
          <w:sz w:val="18"/>
        </w:rPr>
        <w:t> </w:t>
      </w:r>
      <w:r>
        <w:rPr>
          <w:color w:val="231F20"/>
          <w:sz w:val="18"/>
        </w:rPr>
        <w:t>Williams</w:t>
      </w:r>
      <w:r>
        <w:rPr>
          <w:color w:val="231F20"/>
          <w:spacing w:val="-3"/>
          <w:sz w:val="18"/>
        </w:rPr>
        <w:t> </w:t>
      </w:r>
      <w:r>
        <w:rPr>
          <w:color w:val="231F20"/>
          <w:sz w:val="18"/>
        </w:rPr>
        <w:t>III</w:t>
      </w:r>
      <w:r>
        <w:rPr>
          <w:color w:val="231F20"/>
          <w:spacing w:val="-2"/>
          <w:sz w:val="18"/>
        </w:rPr>
        <w:t> </w:t>
      </w:r>
      <w:r>
        <w:rPr>
          <w:color w:val="231F20"/>
          <w:sz w:val="18"/>
        </w:rPr>
        <w:t>/</w:t>
      </w:r>
      <w:r>
        <w:rPr>
          <w:color w:val="231F20"/>
          <w:spacing w:val="-3"/>
          <w:sz w:val="18"/>
        </w:rPr>
        <w:t> </w:t>
      </w:r>
      <w:r>
        <w:rPr>
          <w:color w:val="231F20"/>
          <w:sz w:val="18"/>
        </w:rPr>
        <w:t>Journal</w:t>
      </w:r>
      <w:r>
        <w:rPr>
          <w:color w:val="231F20"/>
          <w:spacing w:val="-3"/>
          <w:sz w:val="18"/>
        </w:rPr>
        <w:t> </w:t>
      </w:r>
      <w:r>
        <w:rPr>
          <w:color w:val="231F20"/>
          <w:sz w:val="18"/>
        </w:rPr>
        <w:t>of</w:t>
      </w:r>
      <w:r>
        <w:rPr>
          <w:color w:val="231F20"/>
          <w:spacing w:val="-3"/>
          <w:sz w:val="18"/>
        </w:rPr>
        <w:t> </w:t>
      </w:r>
      <w:r>
        <w:rPr>
          <w:color w:val="231F20"/>
          <w:sz w:val="18"/>
        </w:rPr>
        <w:t>Mental</w:t>
      </w:r>
      <w:r>
        <w:rPr>
          <w:color w:val="231F20"/>
          <w:spacing w:val="-2"/>
          <w:sz w:val="18"/>
        </w:rPr>
        <w:t> </w:t>
      </w:r>
      <w:r>
        <w:rPr>
          <w:color w:val="231F20"/>
          <w:sz w:val="18"/>
        </w:rPr>
        <w:t>Health</w:t>
      </w:r>
      <w:r>
        <w:rPr>
          <w:color w:val="231F20"/>
          <w:spacing w:val="-3"/>
          <w:sz w:val="18"/>
        </w:rPr>
        <w:t> </w:t>
      </w:r>
      <w:r>
        <w:rPr>
          <w:color w:val="231F20"/>
          <w:sz w:val="18"/>
        </w:rPr>
        <w:t>Counseling.</w:t>
      </w:r>
      <w:r>
        <w:rPr>
          <w:color w:val="231F20"/>
          <w:spacing w:val="-3"/>
          <w:sz w:val="18"/>
        </w:rPr>
        <w:t> </w:t>
      </w:r>
      <w:r>
        <w:rPr>
          <w:color w:val="231F20"/>
          <w:sz w:val="18"/>
        </w:rPr>
        <w:t>–</w:t>
      </w:r>
      <w:r>
        <w:rPr>
          <w:color w:val="231F20"/>
          <w:spacing w:val="-3"/>
          <w:sz w:val="18"/>
        </w:rPr>
        <w:t> </w:t>
      </w:r>
      <w:r>
        <w:rPr>
          <w:color w:val="231F20"/>
          <w:sz w:val="18"/>
        </w:rPr>
        <w:t>2003.</w:t>
      </w:r>
      <w:r>
        <w:rPr>
          <w:color w:val="231F20"/>
          <w:spacing w:val="-2"/>
          <w:sz w:val="18"/>
        </w:rPr>
        <w:t> </w:t>
      </w:r>
      <w:r>
        <w:rPr>
          <w:color w:val="231F20"/>
          <w:spacing w:val="-10"/>
          <w:sz w:val="18"/>
        </w:rPr>
        <w:t>–</w:t>
      </w:r>
    </w:p>
    <w:p>
      <w:pPr>
        <w:spacing w:before="3"/>
        <w:ind w:left="708" w:right="0" w:firstLine="0"/>
        <w:jc w:val="both"/>
        <w:rPr>
          <w:sz w:val="18"/>
        </w:rPr>
      </w:pPr>
      <w:r>
        <w:rPr>
          <w:color w:val="231F20"/>
          <w:sz w:val="18"/>
        </w:rPr>
        <w:t>25(2).</w:t>
      </w:r>
      <w:r>
        <w:rPr>
          <w:color w:val="231F20"/>
          <w:spacing w:val="2"/>
          <w:sz w:val="18"/>
        </w:rPr>
        <w:t> </w:t>
      </w:r>
      <w:r>
        <w:rPr>
          <w:color w:val="231F20"/>
          <w:sz w:val="18"/>
        </w:rPr>
        <w:t>–</w:t>
      </w:r>
      <w:r>
        <w:rPr>
          <w:color w:val="231F20"/>
          <w:spacing w:val="3"/>
          <w:sz w:val="18"/>
        </w:rPr>
        <w:t> </w:t>
      </w:r>
      <w:r>
        <w:rPr>
          <w:color w:val="231F20"/>
          <w:sz w:val="18"/>
        </w:rPr>
        <w:t>pp.</w:t>
      </w:r>
      <w:r>
        <w:rPr>
          <w:color w:val="231F20"/>
          <w:spacing w:val="3"/>
          <w:sz w:val="18"/>
        </w:rPr>
        <w:t> </w:t>
      </w:r>
      <w:r>
        <w:rPr>
          <w:color w:val="231F20"/>
          <w:sz w:val="18"/>
        </w:rPr>
        <w:t>126–139.</w:t>
      </w:r>
      <w:r>
        <w:rPr>
          <w:color w:val="231F20"/>
          <w:spacing w:val="7"/>
          <w:sz w:val="18"/>
        </w:rPr>
        <w:t> </w:t>
      </w:r>
      <w:r>
        <w:rPr>
          <w:color w:val="231F20"/>
          <w:sz w:val="18"/>
        </w:rPr>
        <w:t>DOI:</w:t>
      </w:r>
      <w:r>
        <w:rPr>
          <w:color w:val="231F20"/>
          <w:spacing w:val="3"/>
          <w:sz w:val="18"/>
        </w:rPr>
        <w:t> </w:t>
      </w:r>
      <w:r>
        <w:rPr>
          <w:color w:val="231F20"/>
          <w:spacing w:val="-2"/>
          <w:sz w:val="18"/>
        </w:rPr>
        <w:t>10.17744/mehc.25.2.q3wda06r0ul0x97c.</w:t>
      </w:r>
    </w:p>
    <w:p>
      <w:pPr>
        <w:pStyle w:val="ListParagraph"/>
        <w:numPr>
          <w:ilvl w:val="0"/>
          <w:numId w:val="131"/>
        </w:numPr>
        <w:tabs>
          <w:tab w:pos="706" w:val="left" w:leader="none"/>
          <w:tab w:pos="708" w:val="left" w:leader="none"/>
        </w:tabs>
        <w:spacing w:line="240" w:lineRule="auto" w:before="3" w:after="0"/>
        <w:ind w:left="708" w:right="423" w:hanging="284"/>
        <w:jc w:val="both"/>
        <w:rPr>
          <w:sz w:val="18"/>
        </w:rPr>
      </w:pPr>
      <w:r>
        <w:rPr>
          <w:color w:val="231F20"/>
          <w:spacing w:val="-6"/>
          <w:sz w:val="18"/>
        </w:rPr>
        <w:t>Kuperminc</w:t>
      </w:r>
      <w:r>
        <w:rPr>
          <w:color w:val="231F20"/>
          <w:spacing w:val="18"/>
          <w:sz w:val="18"/>
        </w:rPr>
        <w:t> </w:t>
      </w:r>
      <w:r>
        <w:rPr>
          <w:color w:val="231F20"/>
          <w:spacing w:val="-6"/>
          <w:sz w:val="18"/>
        </w:rPr>
        <w:t>G.P.</w:t>
      </w:r>
      <w:r>
        <w:rPr>
          <w:color w:val="231F20"/>
          <w:spacing w:val="-1"/>
          <w:sz w:val="18"/>
        </w:rPr>
        <w:t> </w:t>
      </w:r>
      <w:r>
        <w:rPr>
          <w:color w:val="231F20"/>
          <w:spacing w:val="-6"/>
          <w:sz w:val="18"/>
        </w:rPr>
        <w:t>Group</w:t>
      </w:r>
      <w:r>
        <w:rPr>
          <w:color w:val="231F20"/>
          <w:spacing w:val="-2"/>
          <w:sz w:val="18"/>
        </w:rPr>
        <w:t> </w:t>
      </w:r>
      <w:r>
        <w:rPr>
          <w:color w:val="231F20"/>
          <w:spacing w:val="-6"/>
          <w:sz w:val="18"/>
        </w:rPr>
        <w:t>mentoring.</w:t>
      </w:r>
      <w:r>
        <w:rPr>
          <w:color w:val="231F20"/>
          <w:spacing w:val="-2"/>
          <w:sz w:val="18"/>
        </w:rPr>
        <w:t> </w:t>
      </w:r>
      <w:r>
        <w:rPr>
          <w:color w:val="231F20"/>
          <w:spacing w:val="-6"/>
          <w:sz w:val="18"/>
        </w:rPr>
        <w:t>//</w:t>
      </w:r>
      <w:r>
        <w:rPr>
          <w:color w:val="231F20"/>
          <w:spacing w:val="-2"/>
          <w:sz w:val="18"/>
        </w:rPr>
        <w:t> </w:t>
      </w:r>
      <w:r>
        <w:rPr>
          <w:color w:val="231F20"/>
          <w:spacing w:val="-6"/>
          <w:sz w:val="18"/>
        </w:rPr>
        <w:t>G.P.</w:t>
      </w:r>
      <w:r>
        <w:rPr>
          <w:color w:val="231F20"/>
          <w:spacing w:val="-2"/>
          <w:sz w:val="18"/>
        </w:rPr>
        <w:t> </w:t>
      </w:r>
      <w:r>
        <w:rPr>
          <w:color w:val="231F20"/>
          <w:spacing w:val="-6"/>
          <w:sz w:val="18"/>
        </w:rPr>
        <w:t>Kuperminc,</w:t>
      </w:r>
      <w:r>
        <w:rPr>
          <w:color w:val="231F20"/>
          <w:spacing w:val="-2"/>
          <w:sz w:val="18"/>
        </w:rPr>
        <w:t> </w:t>
      </w:r>
      <w:r>
        <w:rPr>
          <w:color w:val="231F20"/>
          <w:spacing w:val="-6"/>
          <w:sz w:val="18"/>
        </w:rPr>
        <w:t>J.D. Thomason</w:t>
      </w:r>
      <w:r>
        <w:rPr>
          <w:color w:val="231F20"/>
          <w:spacing w:val="-2"/>
          <w:sz w:val="18"/>
        </w:rPr>
        <w:t> </w:t>
      </w:r>
      <w:r>
        <w:rPr>
          <w:color w:val="231F20"/>
          <w:spacing w:val="-6"/>
          <w:sz w:val="18"/>
        </w:rPr>
        <w:t>/</w:t>
      </w:r>
      <w:r>
        <w:rPr>
          <w:color w:val="231F20"/>
          <w:spacing w:val="-2"/>
          <w:sz w:val="18"/>
        </w:rPr>
        <w:t> </w:t>
      </w:r>
      <w:r>
        <w:rPr>
          <w:color w:val="231F20"/>
          <w:spacing w:val="-6"/>
          <w:sz w:val="18"/>
        </w:rPr>
        <w:t>In</w:t>
      </w:r>
      <w:r>
        <w:rPr>
          <w:color w:val="231F20"/>
          <w:spacing w:val="-2"/>
          <w:sz w:val="18"/>
        </w:rPr>
        <w:t> </w:t>
      </w:r>
      <w:r>
        <w:rPr>
          <w:color w:val="231F20"/>
          <w:spacing w:val="-6"/>
          <w:sz w:val="18"/>
        </w:rPr>
        <w:t>Handbook</w:t>
      </w:r>
      <w:r>
        <w:rPr>
          <w:color w:val="231F20"/>
          <w:spacing w:val="-2"/>
          <w:sz w:val="18"/>
        </w:rPr>
        <w:t> </w:t>
      </w:r>
      <w:r>
        <w:rPr>
          <w:color w:val="231F20"/>
          <w:spacing w:val="-6"/>
          <w:sz w:val="18"/>
        </w:rPr>
        <w:t>of Youth</w:t>
      </w:r>
      <w:r>
        <w:rPr>
          <w:color w:val="231F20"/>
          <w:spacing w:val="-2"/>
          <w:sz w:val="18"/>
        </w:rPr>
        <w:t> Mentoring.</w:t>
      </w:r>
      <w:r>
        <w:rPr>
          <w:color w:val="231F20"/>
          <w:spacing w:val="-6"/>
          <w:sz w:val="18"/>
        </w:rPr>
        <w:t> </w:t>
      </w:r>
      <w:r>
        <w:rPr>
          <w:color w:val="231F20"/>
          <w:spacing w:val="-2"/>
          <w:sz w:val="18"/>
        </w:rPr>
        <w:t>–</w:t>
      </w:r>
      <w:r>
        <w:rPr>
          <w:color w:val="231F20"/>
          <w:spacing w:val="-6"/>
          <w:sz w:val="18"/>
        </w:rPr>
        <w:t> </w:t>
      </w:r>
      <w:r>
        <w:rPr>
          <w:color w:val="231F20"/>
          <w:spacing w:val="-2"/>
          <w:sz w:val="18"/>
        </w:rPr>
        <w:t>2014.</w:t>
      </w:r>
      <w:r>
        <w:rPr>
          <w:color w:val="231F20"/>
          <w:spacing w:val="-6"/>
          <w:sz w:val="18"/>
        </w:rPr>
        <w:t> </w:t>
      </w:r>
      <w:r>
        <w:rPr>
          <w:color w:val="231F20"/>
          <w:spacing w:val="-2"/>
          <w:sz w:val="18"/>
        </w:rPr>
        <w:t>–</w:t>
      </w:r>
      <w:r>
        <w:rPr>
          <w:color w:val="231F20"/>
          <w:spacing w:val="-6"/>
          <w:sz w:val="18"/>
        </w:rPr>
        <w:t> </w:t>
      </w:r>
      <w:r>
        <w:rPr>
          <w:color w:val="231F20"/>
          <w:spacing w:val="-2"/>
          <w:sz w:val="18"/>
        </w:rPr>
        <w:t>pp.</w:t>
      </w:r>
      <w:r>
        <w:rPr>
          <w:color w:val="231F20"/>
          <w:spacing w:val="-6"/>
          <w:sz w:val="18"/>
        </w:rPr>
        <w:t> </w:t>
      </w:r>
      <w:r>
        <w:rPr>
          <w:color w:val="231F20"/>
          <w:spacing w:val="-2"/>
          <w:sz w:val="18"/>
        </w:rPr>
        <w:t>273–289.</w:t>
      </w:r>
      <w:r>
        <w:rPr>
          <w:color w:val="231F20"/>
          <w:spacing w:val="-6"/>
          <w:sz w:val="18"/>
        </w:rPr>
        <w:t> </w:t>
      </w:r>
      <w:r>
        <w:rPr>
          <w:color w:val="231F20"/>
          <w:spacing w:val="-2"/>
          <w:sz w:val="18"/>
        </w:rPr>
        <w:t>Los</w:t>
      </w:r>
      <w:r>
        <w:rPr>
          <w:color w:val="231F20"/>
          <w:spacing w:val="-16"/>
          <w:sz w:val="18"/>
        </w:rPr>
        <w:t> </w:t>
      </w:r>
      <w:r>
        <w:rPr>
          <w:color w:val="231F20"/>
          <w:spacing w:val="-2"/>
          <w:sz w:val="18"/>
        </w:rPr>
        <w:t>Angeles:</w:t>
      </w:r>
      <w:r>
        <w:rPr>
          <w:color w:val="231F20"/>
          <w:spacing w:val="-6"/>
          <w:sz w:val="18"/>
        </w:rPr>
        <w:t> </w:t>
      </w:r>
      <w:r>
        <w:rPr>
          <w:color w:val="231F20"/>
          <w:spacing w:val="-2"/>
          <w:sz w:val="18"/>
        </w:rPr>
        <w:t>Sage.</w:t>
      </w:r>
      <w:r>
        <w:rPr>
          <w:color w:val="231F20"/>
          <w:spacing w:val="-3"/>
          <w:sz w:val="18"/>
        </w:rPr>
        <w:t> </w:t>
      </w:r>
      <w:r>
        <w:rPr>
          <w:color w:val="231F20"/>
          <w:spacing w:val="-2"/>
          <w:sz w:val="18"/>
        </w:rPr>
        <w:t>DOI: 10.4135/9781412996907.n18.</w:t>
      </w:r>
    </w:p>
    <w:p>
      <w:pPr>
        <w:pStyle w:val="ListParagraph"/>
        <w:numPr>
          <w:ilvl w:val="0"/>
          <w:numId w:val="131"/>
        </w:numPr>
        <w:tabs>
          <w:tab w:pos="706" w:val="left" w:leader="none"/>
          <w:tab w:pos="708" w:val="left" w:leader="none"/>
        </w:tabs>
        <w:spacing w:line="240" w:lineRule="auto" w:before="2" w:after="0"/>
        <w:ind w:left="708" w:right="422" w:hanging="284"/>
        <w:jc w:val="both"/>
        <w:rPr>
          <w:sz w:val="18"/>
        </w:rPr>
      </w:pPr>
      <w:r>
        <w:rPr>
          <w:color w:val="231F20"/>
          <w:sz w:val="18"/>
        </w:rPr>
        <w:t>MENTOR. Mentoring Immigrant and Refugee</w:t>
      </w:r>
      <w:r>
        <w:rPr>
          <w:color w:val="231F20"/>
          <w:spacing w:val="-1"/>
          <w:sz w:val="18"/>
        </w:rPr>
        <w:t> </w:t>
      </w:r>
      <w:r>
        <w:rPr>
          <w:color w:val="231F20"/>
          <w:sz w:val="18"/>
        </w:rPr>
        <w:t>Youth:</w:t>
      </w:r>
      <w:r>
        <w:rPr>
          <w:color w:val="231F20"/>
          <w:spacing w:val="-3"/>
          <w:sz w:val="18"/>
        </w:rPr>
        <w:t> </w:t>
      </w:r>
      <w:r>
        <w:rPr>
          <w:color w:val="231F20"/>
          <w:sz w:val="18"/>
        </w:rPr>
        <w:t>A</w:t>
      </w:r>
      <w:r>
        <w:rPr>
          <w:color w:val="231F20"/>
          <w:spacing w:val="-6"/>
          <w:sz w:val="18"/>
        </w:rPr>
        <w:t> </w:t>
      </w:r>
      <w:r>
        <w:rPr>
          <w:color w:val="231F20"/>
          <w:sz w:val="18"/>
        </w:rPr>
        <w:t>Toolkit for Program Coordina- </w:t>
      </w:r>
      <w:r>
        <w:rPr>
          <w:color w:val="231F20"/>
          <w:spacing w:val="-2"/>
          <w:sz w:val="18"/>
        </w:rPr>
        <w:t>tors. // 2011. (Дата обращения: 18.06.22). </w:t>
      </w:r>
      <w:hyperlink r:id="rId121">
        <w:r>
          <w:rPr>
            <w:color w:val="2255A6"/>
            <w:spacing w:val="-2"/>
            <w:sz w:val="18"/>
            <w:u w:val="single" w:color="2255A6"/>
          </w:rPr>
          <w:t>https://files.eric.ed.gov/fulltext/ED522073.pdf</w:t>
        </w:r>
      </w:hyperlink>
      <w:r>
        <w:rPr>
          <w:color w:val="231F20"/>
          <w:spacing w:val="-2"/>
          <w:sz w:val="18"/>
        </w:rPr>
        <w:t>.</w:t>
      </w:r>
    </w:p>
    <w:p>
      <w:pPr>
        <w:pStyle w:val="ListParagraph"/>
        <w:numPr>
          <w:ilvl w:val="0"/>
          <w:numId w:val="131"/>
        </w:numPr>
        <w:tabs>
          <w:tab w:pos="708" w:val="left" w:leader="none"/>
        </w:tabs>
        <w:spacing w:line="240" w:lineRule="auto" w:before="2" w:after="0"/>
        <w:ind w:left="708" w:right="418" w:hanging="284"/>
        <w:jc w:val="both"/>
        <w:rPr>
          <w:sz w:val="18"/>
        </w:rPr>
      </w:pPr>
      <w:r>
        <w:rPr>
          <w:color w:val="231F20"/>
          <w:sz w:val="18"/>
        </w:rPr>
        <w:t>Mentoring for migrant youth in education: A handbook on how to make mentoring sensitive</w:t>
      </w:r>
      <w:r>
        <w:rPr>
          <w:color w:val="231F20"/>
          <w:spacing w:val="-2"/>
          <w:sz w:val="18"/>
        </w:rPr>
        <w:t> </w:t>
      </w:r>
      <w:r>
        <w:rPr>
          <w:color w:val="231F20"/>
          <w:sz w:val="18"/>
        </w:rPr>
        <w:t>to</w:t>
      </w:r>
      <w:r>
        <w:rPr>
          <w:color w:val="231F20"/>
          <w:spacing w:val="-2"/>
          <w:sz w:val="18"/>
        </w:rPr>
        <w:t> </w:t>
      </w:r>
      <w:r>
        <w:rPr>
          <w:color w:val="231F20"/>
          <w:sz w:val="18"/>
        </w:rPr>
        <w:t>a</w:t>
      </w:r>
      <w:r>
        <w:rPr>
          <w:color w:val="231F20"/>
          <w:spacing w:val="-2"/>
          <w:sz w:val="18"/>
        </w:rPr>
        <w:t> </w:t>
      </w:r>
      <w:r>
        <w:rPr>
          <w:color w:val="231F20"/>
          <w:sz w:val="18"/>
        </w:rPr>
        <w:t>diverse</w:t>
      </w:r>
      <w:r>
        <w:rPr>
          <w:color w:val="231F20"/>
          <w:spacing w:val="-2"/>
          <w:sz w:val="18"/>
        </w:rPr>
        <w:t> </w:t>
      </w:r>
      <w:r>
        <w:rPr>
          <w:color w:val="231F20"/>
          <w:sz w:val="18"/>
        </w:rPr>
        <w:t>student</w:t>
      </w:r>
      <w:r>
        <w:rPr>
          <w:color w:val="231F20"/>
          <w:spacing w:val="-2"/>
          <w:sz w:val="18"/>
        </w:rPr>
        <w:t> </w:t>
      </w:r>
      <w:r>
        <w:rPr>
          <w:color w:val="231F20"/>
          <w:sz w:val="18"/>
        </w:rPr>
        <w:t>population.</w:t>
      </w:r>
      <w:r>
        <w:rPr>
          <w:color w:val="231F20"/>
          <w:spacing w:val="-2"/>
          <w:sz w:val="18"/>
        </w:rPr>
        <w:t> </w:t>
      </w:r>
      <w:r>
        <w:rPr>
          <w:color w:val="231F20"/>
          <w:sz w:val="18"/>
        </w:rPr>
        <w:t>//</w:t>
      </w:r>
      <w:r>
        <w:rPr>
          <w:color w:val="231F20"/>
          <w:spacing w:val="-2"/>
          <w:sz w:val="18"/>
        </w:rPr>
        <w:t> </w:t>
      </w:r>
      <w:r>
        <w:rPr>
          <w:color w:val="231F20"/>
          <w:sz w:val="18"/>
        </w:rPr>
        <w:t>2018.</w:t>
      </w:r>
      <w:r>
        <w:rPr>
          <w:color w:val="231F20"/>
          <w:spacing w:val="-2"/>
          <w:sz w:val="18"/>
        </w:rPr>
        <w:t> </w:t>
      </w:r>
      <w:r>
        <w:rPr>
          <w:color w:val="231F20"/>
          <w:sz w:val="18"/>
        </w:rPr>
        <w:t>(дата</w:t>
      </w:r>
      <w:r>
        <w:rPr>
          <w:color w:val="231F20"/>
          <w:spacing w:val="-2"/>
          <w:sz w:val="18"/>
        </w:rPr>
        <w:t> </w:t>
      </w:r>
      <w:r>
        <w:rPr>
          <w:color w:val="231F20"/>
          <w:sz w:val="18"/>
        </w:rPr>
        <w:t>обращения:</w:t>
      </w:r>
      <w:r>
        <w:rPr>
          <w:color w:val="231F20"/>
          <w:spacing w:val="-2"/>
          <w:sz w:val="18"/>
        </w:rPr>
        <w:t> </w:t>
      </w:r>
      <w:r>
        <w:rPr>
          <w:color w:val="231F20"/>
          <w:sz w:val="18"/>
        </w:rPr>
        <w:t>27.06.2022).</w:t>
      </w:r>
      <w:r>
        <w:rPr>
          <w:color w:val="231F20"/>
          <w:spacing w:val="-3"/>
          <w:sz w:val="18"/>
        </w:rPr>
        <w:t> </w:t>
      </w:r>
      <w:hyperlink r:id="rId122">
        <w:r>
          <w:rPr>
            <w:color w:val="2255A6"/>
            <w:sz w:val="18"/>
            <w:u w:val="single" w:color="2255A6"/>
          </w:rPr>
          <w:t>https://</w:t>
        </w:r>
      </w:hyperlink>
      <w:r>
        <w:rPr>
          <w:color w:val="2255A6"/>
          <w:sz w:val="18"/>
        </w:rPr>
        <w:t> </w:t>
      </w:r>
      <w:hyperlink r:id="rId122">
        <w:r>
          <w:rPr>
            <w:color w:val="2255A6"/>
            <w:spacing w:val="-2"/>
            <w:sz w:val="18"/>
            <w:u w:val="single" w:color="2255A6"/>
          </w:rPr>
          <w:t>www.sirius-migrationeducation.org/wp-content/uploads/2018/10/2012-2-2-Handbook-</w:t>
        </w:r>
      </w:hyperlink>
      <w:r>
        <w:rPr>
          <w:color w:val="2255A6"/>
          <w:spacing w:val="-2"/>
          <w:sz w:val="18"/>
        </w:rPr>
        <w:t> </w:t>
      </w:r>
      <w:hyperlink r:id="rId122">
        <w:r>
          <w:rPr>
            <w:color w:val="2255A6"/>
            <w:spacing w:val="-2"/>
            <w:sz w:val="18"/>
            <w:u w:val="single" w:color="2255A6"/>
          </w:rPr>
          <w:t>Mentoring-for-Migrant-youth-in-education.pdf</w:t>
        </w:r>
      </w:hyperlink>
      <w:r>
        <w:rPr>
          <w:color w:val="231F20"/>
          <w:spacing w:val="-2"/>
          <w:sz w:val="18"/>
        </w:rPr>
        <w:t>.</w:t>
      </w:r>
    </w:p>
    <w:p>
      <w:pPr>
        <w:pStyle w:val="ListParagraph"/>
        <w:numPr>
          <w:ilvl w:val="0"/>
          <w:numId w:val="131"/>
        </w:numPr>
        <w:tabs>
          <w:tab w:pos="708" w:val="left" w:leader="none"/>
        </w:tabs>
        <w:spacing w:line="240" w:lineRule="auto" w:before="5" w:after="0"/>
        <w:ind w:left="708" w:right="0" w:hanging="283"/>
        <w:jc w:val="both"/>
        <w:rPr>
          <w:sz w:val="18"/>
        </w:rPr>
      </w:pPr>
      <w:r>
        <w:rPr>
          <w:color w:val="231F20"/>
          <w:sz w:val="18"/>
        </w:rPr>
        <w:t>Mentoring</w:t>
      </w:r>
      <w:r>
        <w:rPr>
          <w:color w:val="231F20"/>
          <w:spacing w:val="-1"/>
          <w:sz w:val="18"/>
        </w:rPr>
        <w:t> </w:t>
      </w:r>
      <w:r>
        <w:rPr>
          <w:color w:val="231F20"/>
          <w:sz w:val="18"/>
        </w:rPr>
        <w:t>Methodological</w:t>
      </w:r>
      <w:r>
        <w:rPr>
          <w:color w:val="231F20"/>
          <w:spacing w:val="-1"/>
          <w:sz w:val="18"/>
        </w:rPr>
        <w:t> </w:t>
      </w:r>
      <w:r>
        <w:rPr>
          <w:color w:val="231F20"/>
          <w:sz w:val="18"/>
        </w:rPr>
        <w:t>Framework</w:t>
      </w:r>
      <w:r>
        <w:rPr>
          <w:color w:val="231F20"/>
          <w:spacing w:val="-1"/>
          <w:sz w:val="18"/>
        </w:rPr>
        <w:t> </w:t>
      </w:r>
      <w:r>
        <w:rPr>
          <w:color w:val="231F20"/>
          <w:sz w:val="18"/>
        </w:rPr>
        <w:t>for MINT</w:t>
      </w:r>
      <w:r>
        <w:rPr>
          <w:color w:val="231F20"/>
          <w:spacing w:val="-5"/>
          <w:sz w:val="18"/>
        </w:rPr>
        <w:t> </w:t>
      </w:r>
      <w:r>
        <w:rPr>
          <w:color w:val="231F20"/>
          <w:sz w:val="18"/>
        </w:rPr>
        <w:t>Project</w:t>
      </w:r>
      <w:r>
        <w:rPr>
          <w:color w:val="231F20"/>
          <w:spacing w:val="-1"/>
          <w:sz w:val="18"/>
        </w:rPr>
        <w:t> </w:t>
      </w:r>
      <w:r>
        <w:rPr>
          <w:color w:val="231F20"/>
          <w:sz w:val="18"/>
        </w:rPr>
        <w:t>// EU</w:t>
      </w:r>
      <w:r>
        <w:rPr>
          <w:color w:val="231F20"/>
          <w:spacing w:val="-5"/>
          <w:sz w:val="18"/>
        </w:rPr>
        <w:t> </w:t>
      </w:r>
      <w:r>
        <w:rPr>
          <w:color w:val="231F20"/>
          <w:sz w:val="18"/>
        </w:rPr>
        <w:t>Wide.</w:t>
      </w:r>
      <w:r>
        <w:rPr>
          <w:color w:val="231F20"/>
          <w:spacing w:val="-1"/>
          <w:sz w:val="18"/>
        </w:rPr>
        <w:t> </w:t>
      </w:r>
      <w:r>
        <w:rPr>
          <w:color w:val="231F20"/>
          <w:sz w:val="18"/>
        </w:rPr>
        <w:t>– 2021.</w:t>
      </w:r>
      <w:r>
        <w:rPr>
          <w:color w:val="231F20"/>
          <w:spacing w:val="-1"/>
          <w:sz w:val="18"/>
        </w:rPr>
        <w:t> </w:t>
      </w:r>
      <w:r>
        <w:rPr>
          <w:color w:val="231F20"/>
          <w:sz w:val="18"/>
        </w:rPr>
        <w:t>–</w:t>
      </w:r>
      <w:r>
        <w:rPr>
          <w:color w:val="231F20"/>
          <w:spacing w:val="-1"/>
          <w:sz w:val="18"/>
        </w:rPr>
        <w:t> </w:t>
      </w:r>
      <w:r>
        <w:rPr>
          <w:color w:val="231F20"/>
          <w:sz w:val="18"/>
        </w:rPr>
        <w:t>71 </w:t>
      </w:r>
      <w:r>
        <w:rPr>
          <w:color w:val="231F20"/>
          <w:spacing w:val="-5"/>
          <w:sz w:val="18"/>
        </w:rPr>
        <w:t>p.</w:t>
      </w:r>
    </w:p>
    <w:p>
      <w:pPr>
        <w:pStyle w:val="ListParagraph"/>
        <w:numPr>
          <w:ilvl w:val="0"/>
          <w:numId w:val="131"/>
        </w:numPr>
        <w:tabs>
          <w:tab w:pos="708" w:val="left" w:leader="none"/>
        </w:tabs>
        <w:spacing w:line="242" w:lineRule="auto" w:before="1" w:after="0"/>
        <w:ind w:left="708" w:right="420" w:hanging="284"/>
        <w:jc w:val="both"/>
        <w:rPr>
          <w:sz w:val="18"/>
        </w:rPr>
      </w:pPr>
      <w:r>
        <w:rPr>
          <w:color w:val="231F20"/>
          <w:spacing w:val="-2"/>
          <w:sz w:val="18"/>
        </w:rPr>
        <w:t>Mentorship Best Practices Toolkit. // 2017. (Дата обращения: 14.06.22). </w:t>
      </w:r>
      <w:hyperlink r:id="rId123">
        <w:r>
          <w:rPr>
            <w:color w:val="2255A6"/>
            <w:spacing w:val="-2"/>
            <w:sz w:val="18"/>
            <w:u w:val="single" w:color="2255A6"/>
          </w:rPr>
          <w:t>https://ywcavan.</w:t>
        </w:r>
      </w:hyperlink>
      <w:r>
        <w:rPr>
          <w:color w:val="2255A6"/>
          <w:spacing w:val="-2"/>
          <w:sz w:val="18"/>
        </w:rPr>
        <w:t> </w:t>
      </w:r>
      <w:hyperlink r:id="rId123">
        <w:r>
          <w:rPr>
            <w:color w:val="2255A6"/>
            <w:spacing w:val="-2"/>
            <w:sz w:val="18"/>
            <w:u w:val="single" w:color="2255A6"/>
          </w:rPr>
          <w:t>org/sites/default/files/resources/downloads/Mentorship_Best_Practices_Toolkit_</w:t>
        </w:r>
      </w:hyperlink>
      <w:r>
        <w:rPr>
          <w:color w:val="2255A6"/>
          <w:spacing w:val="-2"/>
          <w:sz w:val="18"/>
        </w:rPr>
        <w:t> </w:t>
      </w:r>
      <w:hyperlink r:id="rId123">
        <w:r>
          <w:rPr>
            <w:color w:val="2255A6"/>
            <w:spacing w:val="-2"/>
            <w:sz w:val="18"/>
            <w:u w:val="single" w:color="2255A6"/>
          </w:rPr>
          <w:t>Oct2017_web_0.pdf</w:t>
        </w:r>
      </w:hyperlink>
      <w:r>
        <w:rPr>
          <w:color w:val="231F20"/>
          <w:spacing w:val="-2"/>
          <w:sz w:val="18"/>
        </w:rPr>
        <w:t>.</w:t>
      </w:r>
    </w:p>
    <w:p>
      <w:pPr>
        <w:pStyle w:val="ListParagraph"/>
        <w:spacing w:after="0" w:line="242" w:lineRule="auto"/>
        <w:jc w:val="both"/>
        <w:rPr>
          <w:sz w:val="18"/>
        </w:rPr>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ListParagraph"/>
        <w:numPr>
          <w:ilvl w:val="0"/>
          <w:numId w:val="131"/>
        </w:numPr>
        <w:tabs>
          <w:tab w:pos="708" w:val="left" w:leader="none"/>
        </w:tabs>
        <w:spacing w:line="240" w:lineRule="auto" w:before="117" w:after="0"/>
        <w:ind w:left="708" w:right="419" w:hanging="284"/>
        <w:jc w:val="both"/>
        <w:rPr>
          <w:sz w:val="18"/>
        </w:rPr>
      </w:pPr>
      <w:r>
        <w:rPr>
          <w:color w:val="231F20"/>
          <w:sz w:val="18"/>
        </w:rPr>
        <w:t>Oberoi</w:t>
      </w:r>
      <w:r>
        <w:rPr>
          <w:color w:val="231F20"/>
          <w:spacing w:val="-2"/>
          <w:sz w:val="18"/>
        </w:rPr>
        <w:t> </w:t>
      </w:r>
      <w:r>
        <w:rPr>
          <w:color w:val="231F20"/>
          <w:sz w:val="18"/>
        </w:rPr>
        <w:t>A. Mentoring for first-generation immigrant and refugee youth. National Mentoring</w:t>
      </w:r>
      <w:r>
        <w:rPr>
          <w:color w:val="231F20"/>
          <w:spacing w:val="-2"/>
          <w:sz w:val="18"/>
        </w:rPr>
        <w:t> </w:t>
      </w:r>
      <w:r>
        <w:rPr>
          <w:color w:val="231F20"/>
          <w:sz w:val="18"/>
        </w:rPr>
        <w:t>Resource</w:t>
      </w:r>
      <w:r>
        <w:rPr>
          <w:color w:val="231F20"/>
          <w:spacing w:val="-2"/>
          <w:sz w:val="18"/>
        </w:rPr>
        <w:t> </w:t>
      </w:r>
      <w:r>
        <w:rPr>
          <w:color w:val="231F20"/>
          <w:sz w:val="18"/>
        </w:rPr>
        <w:t>Center.</w:t>
      </w:r>
      <w:r>
        <w:rPr>
          <w:color w:val="231F20"/>
          <w:spacing w:val="-2"/>
          <w:sz w:val="18"/>
        </w:rPr>
        <w:t> </w:t>
      </w:r>
      <w:r>
        <w:rPr>
          <w:color w:val="231F20"/>
          <w:sz w:val="18"/>
        </w:rPr>
        <w:t>//</w:t>
      </w:r>
      <w:r>
        <w:rPr>
          <w:color w:val="231F20"/>
          <w:spacing w:val="-2"/>
          <w:sz w:val="18"/>
        </w:rPr>
        <w:t> </w:t>
      </w:r>
      <w:r>
        <w:rPr>
          <w:color w:val="231F20"/>
          <w:sz w:val="18"/>
        </w:rPr>
        <w:t>2016.</w:t>
      </w:r>
      <w:r>
        <w:rPr>
          <w:color w:val="231F20"/>
          <w:spacing w:val="-2"/>
          <w:sz w:val="18"/>
        </w:rPr>
        <w:t> </w:t>
      </w:r>
      <w:r>
        <w:rPr>
          <w:color w:val="231F20"/>
          <w:sz w:val="18"/>
        </w:rPr>
        <w:t>(Дата</w:t>
      </w:r>
      <w:r>
        <w:rPr>
          <w:color w:val="231F20"/>
          <w:spacing w:val="-2"/>
          <w:sz w:val="18"/>
        </w:rPr>
        <w:t> </w:t>
      </w:r>
      <w:r>
        <w:rPr>
          <w:color w:val="231F20"/>
          <w:sz w:val="18"/>
        </w:rPr>
        <w:t>обращения:</w:t>
      </w:r>
      <w:r>
        <w:rPr>
          <w:color w:val="231F20"/>
          <w:spacing w:val="-2"/>
          <w:sz w:val="18"/>
        </w:rPr>
        <w:t> </w:t>
      </w:r>
      <w:r>
        <w:rPr>
          <w:color w:val="231F20"/>
          <w:sz w:val="18"/>
        </w:rPr>
        <w:t>18.07.22)</w:t>
      </w:r>
      <w:r>
        <w:rPr>
          <w:color w:val="231F20"/>
          <w:spacing w:val="-2"/>
          <w:sz w:val="18"/>
        </w:rPr>
        <w:t> </w:t>
      </w:r>
      <w:r>
        <w:rPr>
          <w:color w:val="231F20"/>
          <w:sz w:val="18"/>
        </w:rPr>
        <w:t>Retrieved</w:t>
      </w:r>
      <w:r>
        <w:rPr>
          <w:color w:val="231F20"/>
          <w:spacing w:val="-2"/>
          <w:sz w:val="18"/>
        </w:rPr>
        <w:t> </w:t>
      </w:r>
      <w:r>
        <w:rPr>
          <w:color w:val="231F20"/>
          <w:sz w:val="18"/>
        </w:rPr>
        <w:t>from</w:t>
      </w:r>
      <w:r>
        <w:rPr>
          <w:color w:val="231F20"/>
          <w:spacing w:val="-2"/>
          <w:sz w:val="18"/>
        </w:rPr>
        <w:t> </w:t>
      </w:r>
      <w:hyperlink r:id="rId124">
        <w:r>
          <w:rPr>
            <w:color w:val="2255A6"/>
            <w:sz w:val="18"/>
            <w:u w:val="single" w:color="2255A6"/>
          </w:rPr>
          <w:t>http://</w:t>
        </w:r>
      </w:hyperlink>
      <w:r>
        <w:rPr>
          <w:color w:val="2255A6"/>
          <w:sz w:val="18"/>
        </w:rPr>
        <w:t> </w:t>
      </w:r>
      <w:hyperlink r:id="rId124">
        <w:r>
          <w:rPr>
            <w:color w:val="2255A6"/>
            <w:spacing w:val="-2"/>
            <w:sz w:val="18"/>
            <w:u w:val="single" w:color="2255A6"/>
          </w:rPr>
          <w:t>nationalmentoringresourcecenter.org/images/PDF/ImmigrantRefugeeYouth_Population_</w:t>
        </w:r>
      </w:hyperlink>
      <w:r>
        <w:rPr>
          <w:color w:val="2255A6"/>
          <w:spacing w:val="-2"/>
          <w:sz w:val="18"/>
        </w:rPr>
        <w:t> </w:t>
      </w:r>
      <w:hyperlink r:id="rId124">
        <w:r>
          <w:rPr>
            <w:color w:val="2255A6"/>
            <w:spacing w:val="-2"/>
            <w:sz w:val="18"/>
            <w:u w:val="single" w:color="2255A6"/>
          </w:rPr>
          <w:t>Review.pdf</w:t>
        </w:r>
      </w:hyperlink>
      <w:r>
        <w:rPr>
          <w:color w:val="231F20"/>
          <w:spacing w:val="-2"/>
          <w:sz w:val="18"/>
        </w:rPr>
        <w:t>.</w:t>
      </w:r>
    </w:p>
    <w:p>
      <w:pPr>
        <w:pStyle w:val="ListParagraph"/>
        <w:numPr>
          <w:ilvl w:val="0"/>
          <w:numId w:val="131"/>
        </w:numPr>
        <w:tabs>
          <w:tab w:pos="708" w:val="left" w:leader="none"/>
        </w:tabs>
        <w:spacing w:line="240" w:lineRule="auto" w:before="0" w:after="0"/>
        <w:ind w:left="708" w:right="424" w:hanging="284"/>
        <w:jc w:val="both"/>
        <w:rPr>
          <w:sz w:val="18"/>
        </w:rPr>
      </w:pPr>
      <w:r>
        <w:rPr>
          <w:color w:val="231F20"/>
          <w:spacing w:val="-2"/>
          <w:sz w:val="18"/>
        </w:rPr>
        <w:t>Patton</w:t>
      </w:r>
      <w:r>
        <w:rPr>
          <w:color w:val="231F20"/>
          <w:spacing w:val="16"/>
          <w:sz w:val="18"/>
        </w:rPr>
        <w:t> </w:t>
      </w:r>
      <w:r>
        <w:rPr>
          <w:color w:val="231F20"/>
          <w:spacing w:val="-2"/>
          <w:sz w:val="18"/>
        </w:rPr>
        <w:t>C.</w:t>
      </w:r>
      <w:r>
        <w:rPr>
          <w:color w:val="231F20"/>
          <w:spacing w:val="-9"/>
          <w:sz w:val="18"/>
        </w:rPr>
        <w:t> </w:t>
      </w:r>
      <w:r>
        <w:rPr>
          <w:color w:val="231F20"/>
          <w:spacing w:val="-2"/>
          <w:sz w:val="18"/>
        </w:rPr>
        <w:t>L.</w:t>
      </w:r>
      <w:r>
        <w:rPr>
          <w:color w:val="231F20"/>
          <w:spacing w:val="-9"/>
          <w:sz w:val="18"/>
        </w:rPr>
        <w:t> </w:t>
      </w:r>
      <w:r>
        <w:rPr>
          <w:color w:val="231F20"/>
          <w:spacing w:val="-2"/>
          <w:sz w:val="18"/>
        </w:rPr>
        <w:t>Coordination,</w:t>
      </w:r>
      <w:r>
        <w:rPr>
          <w:color w:val="231F20"/>
          <w:spacing w:val="-10"/>
          <w:sz w:val="18"/>
        </w:rPr>
        <w:t> </w:t>
      </w:r>
      <w:r>
        <w:rPr>
          <w:color w:val="231F20"/>
          <w:spacing w:val="-2"/>
          <w:sz w:val="18"/>
        </w:rPr>
        <w:t>competition,</w:t>
      </w:r>
      <w:r>
        <w:rPr>
          <w:color w:val="231F20"/>
          <w:spacing w:val="-9"/>
          <w:sz w:val="18"/>
        </w:rPr>
        <w:t> </w:t>
      </w:r>
      <w:r>
        <w:rPr>
          <w:color w:val="231F20"/>
          <w:spacing w:val="-2"/>
          <w:sz w:val="18"/>
        </w:rPr>
        <w:t>and</w:t>
      </w:r>
      <w:r>
        <w:rPr>
          <w:color w:val="231F20"/>
          <w:spacing w:val="-9"/>
          <w:sz w:val="18"/>
        </w:rPr>
        <w:t> </w:t>
      </w:r>
      <w:r>
        <w:rPr>
          <w:color w:val="231F20"/>
          <w:spacing w:val="-2"/>
          <w:sz w:val="18"/>
        </w:rPr>
        <w:t>neutrality</w:t>
      </w:r>
      <w:r>
        <w:rPr>
          <w:color w:val="231F20"/>
          <w:spacing w:val="-9"/>
          <w:sz w:val="18"/>
        </w:rPr>
        <w:t> </w:t>
      </w:r>
      <w:r>
        <w:rPr>
          <w:color w:val="231F20"/>
          <w:spacing w:val="-2"/>
          <w:sz w:val="18"/>
        </w:rPr>
        <w:t>autonomy</w:t>
      </w:r>
      <w:r>
        <w:rPr>
          <w:color w:val="231F20"/>
          <w:spacing w:val="-10"/>
          <w:sz w:val="18"/>
        </w:rPr>
        <w:t> </w:t>
      </w:r>
      <w:r>
        <w:rPr>
          <w:color w:val="231F20"/>
          <w:spacing w:val="-2"/>
          <w:sz w:val="18"/>
        </w:rPr>
        <w:t>and</w:t>
      </w:r>
      <w:r>
        <w:rPr>
          <w:color w:val="231F20"/>
          <w:spacing w:val="-9"/>
          <w:sz w:val="18"/>
        </w:rPr>
        <w:t> </w:t>
      </w:r>
      <w:r>
        <w:rPr>
          <w:color w:val="231F20"/>
          <w:spacing w:val="-2"/>
          <w:sz w:val="18"/>
        </w:rPr>
        <w:t>relatedness</w:t>
      </w:r>
      <w:r>
        <w:rPr>
          <w:color w:val="231F20"/>
          <w:spacing w:val="-9"/>
          <w:sz w:val="18"/>
        </w:rPr>
        <w:t> </w:t>
      </w:r>
      <w:r>
        <w:rPr>
          <w:color w:val="231F20"/>
          <w:spacing w:val="-2"/>
          <w:sz w:val="18"/>
        </w:rPr>
        <w:t>patterns</w:t>
      </w:r>
      <w:r>
        <w:rPr>
          <w:color w:val="231F20"/>
          <w:spacing w:val="-9"/>
          <w:sz w:val="18"/>
        </w:rPr>
        <w:t> </w:t>
      </w:r>
      <w:r>
        <w:rPr>
          <w:color w:val="231F20"/>
          <w:spacing w:val="-2"/>
          <w:sz w:val="18"/>
        </w:rPr>
        <w:t>in girls’</w:t>
      </w:r>
      <w:r>
        <w:rPr>
          <w:color w:val="231F20"/>
          <w:spacing w:val="-10"/>
          <w:sz w:val="18"/>
        </w:rPr>
        <w:t> </w:t>
      </w:r>
      <w:r>
        <w:rPr>
          <w:color w:val="231F20"/>
          <w:spacing w:val="-2"/>
          <w:sz w:val="18"/>
        </w:rPr>
        <w:t>interactions</w:t>
      </w:r>
      <w:r>
        <w:rPr>
          <w:color w:val="231F20"/>
          <w:spacing w:val="-9"/>
          <w:sz w:val="18"/>
        </w:rPr>
        <w:t> </w:t>
      </w:r>
      <w:r>
        <w:rPr>
          <w:color w:val="231F20"/>
          <w:spacing w:val="-2"/>
          <w:sz w:val="18"/>
        </w:rPr>
        <w:t>with</w:t>
      </w:r>
      <w:r>
        <w:rPr>
          <w:color w:val="231F20"/>
          <w:spacing w:val="-9"/>
          <w:sz w:val="18"/>
        </w:rPr>
        <w:t> </w:t>
      </w:r>
      <w:r>
        <w:rPr>
          <w:color w:val="231F20"/>
          <w:spacing w:val="-2"/>
          <w:sz w:val="18"/>
        </w:rPr>
        <w:t>mentors</w:t>
      </w:r>
      <w:r>
        <w:rPr>
          <w:color w:val="231F20"/>
          <w:spacing w:val="-9"/>
          <w:sz w:val="18"/>
        </w:rPr>
        <w:t> </w:t>
      </w:r>
      <w:r>
        <w:rPr>
          <w:color w:val="231F20"/>
          <w:spacing w:val="-2"/>
          <w:sz w:val="18"/>
        </w:rPr>
        <w:t>and</w:t>
      </w:r>
      <w:r>
        <w:rPr>
          <w:color w:val="231F20"/>
          <w:spacing w:val="-10"/>
          <w:sz w:val="18"/>
        </w:rPr>
        <w:t> </w:t>
      </w:r>
      <w:r>
        <w:rPr>
          <w:color w:val="231F20"/>
          <w:spacing w:val="-2"/>
          <w:sz w:val="18"/>
        </w:rPr>
        <w:t>peers.</w:t>
      </w:r>
      <w:r>
        <w:rPr>
          <w:color w:val="231F20"/>
          <w:spacing w:val="-9"/>
          <w:sz w:val="18"/>
        </w:rPr>
        <w:t> </w:t>
      </w:r>
      <w:r>
        <w:rPr>
          <w:color w:val="231F20"/>
          <w:spacing w:val="-2"/>
          <w:sz w:val="18"/>
        </w:rPr>
        <w:t>//</w:t>
      </w:r>
      <w:r>
        <w:rPr>
          <w:color w:val="231F20"/>
          <w:spacing w:val="-9"/>
          <w:sz w:val="18"/>
        </w:rPr>
        <w:t> </w:t>
      </w:r>
      <w:r>
        <w:rPr>
          <w:color w:val="231F20"/>
          <w:spacing w:val="-2"/>
          <w:sz w:val="18"/>
        </w:rPr>
        <w:t>C.L.</w:t>
      </w:r>
      <w:r>
        <w:rPr>
          <w:color w:val="231F20"/>
          <w:spacing w:val="-9"/>
          <w:sz w:val="18"/>
        </w:rPr>
        <w:t> </w:t>
      </w:r>
      <w:r>
        <w:rPr>
          <w:color w:val="231F20"/>
          <w:spacing w:val="-2"/>
          <w:sz w:val="18"/>
        </w:rPr>
        <w:t>Patton,</w:t>
      </w:r>
      <w:r>
        <w:rPr>
          <w:color w:val="231F20"/>
          <w:spacing w:val="-10"/>
          <w:sz w:val="18"/>
        </w:rPr>
        <w:t> </w:t>
      </w:r>
      <w:r>
        <w:rPr>
          <w:color w:val="231F20"/>
          <w:spacing w:val="-2"/>
          <w:sz w:val="18"/>
        </w:rPr>
        <w:t>N.L.</w:t>
      </w:r>
      <w:r>
        <w:rPr>
          <w:color w:val="231F20"/>
          <w:spacing w:val="-7"/>
          <w:sz w:val="18"/>
        </w:rPr>
        <w:t> </w:t>
      </w:r>
      <w:r>
        <w:rPr>
          <w:color w:val="231F20"/>
          <w:spacing w:val="-2"/>
          <w:sz w:val="18"/>
        </w:rPr>
        <w:t>Deutsch,</w:t>
      </w:r>
      <w:r>
        <w:rPr>
          <w:color w:val="231F20"/>
          <w:spacing w:val="-10"/>
          <w:sz w:val="18"/>
        </w:rPr>
        <w:t> </w:t>
      </w:r>
      <w:r>
        <w:rPr>
          <w:color w:val="231F20"/>
          <w:spacing w:val="-2"/>
          <w:sz w:val="18"/>
        </w:rPr>
        <w:t>A.</w:t>
      </w:r>
      <w:r>
        <w:rPr>
          <w:color w:val="231F20"/>
          <w:spacing w:val="-6"/>
          <w:sz w:val="18"/>
        </w:rPr>
        <w:t> </w:t>
      </w:r>
      <w:r>
        <w:rPr>
          <w:color w:val="231F20"/>
          <w:spacing w:val="-2"/>
          <w:sz w:val="18"/>
        </w:rPr>
        <w:t>Das</w:t>
      </w:r>
      <w:r>
        <w:rPr>
          <w:color w:val="231F20"/>
          <w:spacing w:val="-7"/>
          <w:sz w:val="18"/>
        </w:rPr>
        <w:t> </w:t>
      </w:r>
      <w:r>
        <w:rPr>
          <w:color w:val="231F20"/>
          <w:spacing w:val="-2"/>
          <w:sz w:val="18"/>
        </w:rPr>
        <w:t>/</w:t>
      </w:r>
      <w:r>
        <w:rPr>
          <w:color w:val="231F20"/>
          <w:spacing w:val="-10"/>
          <w:sz w:val="18"/>
        </w:rPr>
        <w:t> </w:t>
      </w:r>
      <w:r>
        <w:rPr>
          <w:color w:val="231F20"/>
          <w:spacing w:val="-2"/>
          <w:sz w:val="18"/>
        </w:rPr>
        <w:t>The</w:t>
      </w:r>
      <w:r>
        <w:rPr>
          <w:color w:val="231F20"/>
          <w:spacing w:val="-6"/>
          <w:sz w:val="18"/>
        </w:rPr>
        <w:t> </w:t>
      </w:r>
      <w:r>
        <w:rPr>
          <w:color w:val="231F20"/>
          <w:spacing w:val="-2"/>
          <w:sz w:val="18"/>
        </w:rPr>
        <w:t>journal </w:t>
      </w:r>
      <w:r>
        <w:rPr>
          <w:color w:val="231F20"/>
          <w:sz w:val="18"/>
        </w:rPr>
        <w:t>of Early</w:t>
      </w:r>
      <w:r>
        <w:rPr>
          <w:color w:val="231F20"/>
          <w:spacing w:val="-6"/>
          <w:sz w:val="18"/>
        </w:rPr>
        <w:t> </w:t>
      </w:r>
      <w:r>
        <w:rPr>
          <w:color w:val="231F20"/>
          <w:sz w:val="18"/>
        </w:rPr>
        <w:t>Adolescence. – 2016. – 36(1). – pp. 29–53. DOI: 10.1177/0272431614556349.</w:t>
      </w:r>
    </w:p>
    <w:p>
      <w:pPr>
        <w:pStyle w:val="ListParagraph"/>
        <w:numPr>
          <w:ilvl w:val="0"/>
          <w:numId w:val="131"/>
        </w:numPr>
        <w:tabs>
          <w:tab w:pos="708" w:val="left" w:leader="none"/>
        </w:tabs>
        <w:spacing w:line="240" w:lineRule="auto" w:before="0" w:after="0"/>
        <w:ind w:left="708" w:right="423" w:hanging="284"/>
        <w:jc w:val="both"/>
        <w:rPr>
          <w:sz w:val="18"/>
        </w:rPr>
      </w:pPr>
      <w:r>
        <w:rPr>
          <w:color w:val="231F20"/>
          <w:sz w:val="18"/>
        </w:rPr>
        <w:t>Preston</w:t>
      </w:r>
      <w:r>
        <w:rPr>
          <w:color w:val="231F20"/>
          <w:spacing w:val="-4"/>
          <w:sz w:val="18"/>
        </w:rPr>
        <w:t> </w:t>
      </w:r>
      <w:r>
        <w:rPr>
          <w:color w:val="231F20"/>
          <w:sz w:val="18"/>
        </w:rPr>
        <w:t>J.M. Mentoring in Context:</w:t>
      </w:r>
      <w:r>
        <w:rPr>
          <w:color w:val="231F20"/>
          <w:spacing w:val="-10"/>
          <w:sz w:val="18"/>
        </w:rPr>
        <w:t> </w:t>
      </w:r>
      <w:r>
        <w:rPr>
          <w:color w:val="231F20"/>
          <w:sz w:val="18"/>
        </w:rPr>
        <w:t>A</w:t>
      </w:r>
      <w:r>
        <w:rPr>
          <w:color w:val="231F20"/>
          <w:spacing w:val="-10"/>
          <w:sz w:val="18"/>
        </w:rPr>
        <w:t> </w:t>
      </w:r>
      <w:r>
        <w:rPr>
          <w:color w:val="231F20"/>
          <w:sz w:val="18"/>
        </w:rPr>
        <w:t>Comparative Study of</w:t>
      </w:r>
      <w:r>
        <w:rPr>
          <w:color w:val="231F20"/>
          <w:spacing w:val="-6"/>
          <w:sz w:val="18"/>
        </w:rPr>
        <w:t> </w:t>
      </w:r>
      <w:r>
        <w:rPr>
          <w:color w:val="231F20"/>
          <w:sz w:val="18"/>
        </w:rPr>
        <w:t>Youth Mentoring Programs in the United States and Continental Europe. // J.M. Preston, Ò. Prieto-Flores, J.E. Rho- des /</w:t>
      </w:r>
      <w:r>
        <w:rPr>
          <w:color w:val="231F20"/>
          <w:spacing w:val="-5"/>
          <w:sz w:val="18"/>
        </w:rPr>
        <w:t> </w:t>
      </w:r>
      <w:r>
        <w:rPr>
          <w:color w:val="231F20"/>
          <w:sz w:val="18"/>
        </w:rPr>
        <w:t>Youth &amp; Society. – 2019. –</w:t>
      </w:r>
      <w:r>
        <w:rPr>
          <w:color w:val="231F20"/>
          <w:spacing w:val="-2"/>
          <w:sz w:val="18"/>
        </w:rPr>
        <w:t> </w:t>
      </w:r>
      <w:r>
        <w:rPr>
          <w:color w:val="231F20"/>
          <w:sz w:val="18"/>
        </w:rPr>
        <w:t>V.51(7). – pp. 900–914. DOI:</w:t>
      </w:r>
      <w:r>
        <w:rPr>
          <w:color w:val="231F20"/>
          <w:spacing w:val="-5"/>
          <w:sz w:val="18"/>
        </w:rPr>
        <w:t> </w:t>
      </w:r>
      <w:r>
        <w:rPr>
          <w:color w:val="231F20"/>
          <w:sz w:val="18"/>
        </w:rPr>
        <w:t>10.1177%2F0044118X1 </w:t>
      </w:r>
      <w:r>
        <w:rPr>
          <w:color w:val="231F20"/>
          <w:spacing w:val="-2"/>
          <w:sz w:val="18"/>
        </w:rPr>
        <w:t>8813700.</w:t>
      </w:r>
    </w:p>
    <w:p>
      <w:pPr>
        <w:pStyle w:val="ListParagraph"/>
        <w:numPr>
          <w:ilvl w:val="0"/>
          <w:numId w:val="131"/>
        </w:numPr>
        <w:tabs>
          <w:tab w:pos="708" w:val="left" w:leader="none"/>
        </w:tabs>
        <w:spacing w:line="240" w:lineRule="auto" w:before="0" w:after="0"/>
        <w:ind w:left="708" w:right="412" w:hanging="284"/>
        <w:jc w:val="both"/>
        <w:rPr>
          <w:sz w:val="18"/>
        </w:rPr>
      </w:pPr>
      <w:r>
        <w:rPr>
          <w:color w:val="231F20"/>
          <w:sz w:val="18"/>
        </w:rPr>
        <w:t>Prieto-Flores</w:t>
      </w:r>
      <w:r>
        <w:rPr>
          <w:color w:val="231F20"/>
          <w:spacing w:val="-2"/>
          <w:sz w:val="18"/>
        </w:rPr>
        <w:t> </w:t>
      </w:r>
      <w:r>
        <w:rPr>
          <w:color w:val="231F20"/>
          <w:sz w:val="18"/>
        </w:rPr>
        <w:t>O.</w:t>
      </w:r>
      <w:r>
        <w:rPr>
          <w:color w:val="231F20"/>
          <w:spacing w:val="40"/>
          <w:sz w:val="18"/>
        </w:rPr>
        <w:t> </w:t>
      </w:r>
      <w:r>
        <w:rPr>
          <w:color w:val="231F20"/>
          <w:sz w:val="18"/>
        </w:rPr>
        <w:t>Mentoring</w:t>
      </w:r>
      <w:r>
        <w:rPr>
          <w:color w:val="231F20"/>
          <w:spacing w:val="40"/>
          <w:sz w:val="18"/>
        </w:rPr>
        <w:t> </w:t>
      </w:r>
      <w:r>
        <w:rPr>
          <w:color w:val="231F20"/>
          <w:sz w:val="18"/>
        </w:rPr>
        <w:t>migrant</w:t>
      </w:r>
      <w:r>
        <w:rPr>
          <w:color w:val="231F20"/>
          <w:spacing w:val="40"/>
          <w:sz w:val="18"/>
        </w:rPr>
        <w:t> </w:t>
      </w:r>
      <w:r>
        <w:rPr>
          <w:color w:val="231F20"/>
          <w:sz w:val="18"/>
        </w:rPr>
        <w:t>children</w:t>
      </w:r>
      <w:r>
        <w:rPr>
          <w:color w:val="231F20"/>
          <w:spacing w:val="40"/>
          <w:sz w:val="18"/>
        </w:rPr>
        <w:t> </w:t>
      </w:r>
      <w:r>
        <w:rPr>
          <w:color w:val="231F20"/>
          <w:sz w:val="18"/>
        </w:rPr>
        <w:t>and</w:t>
      </w:r>
      <w:r>
        <w:rPr>
          <w:color w:val="231F20"/>
          <w:spacing w:val="40"/>
          <w:sz w:val="18"/>
        </w:rPr>
        <w:t> </w:t>
      </w:r>
      <w:r>
        <w:rPr>
          <w:color w:val="231F20"/>
          <w:sz w:val="18"/>
        </w:rPr>
        <w:t>youth,</w:t>
      </w:r>
      <w:r>
        <w:rPr>
          <w:color w:val="231F20"/>
          <w:spacing w:val="40"/>
          <w:sz w:val="18"/>
        </w:rPr>
        <w:t> </w:t>
      </w:r>
      <w:r>
        <w:rPr>
          <w:color w:val="231F20"/>
          <w:sz w:val="18"/>
        </w:rPr>
        <w:t>regardless</w:t>
      </w:r>
      <w:r>
        <w:rPr>
          <w:color w:val="231F20"/>
          <w:spacing w:val="40"/>
          <w:sz w:val="18"/>
        </w:rPr>
        <w:t> </w:t>
      </w:r>
      <w:r>
        <w:rPr>
          <w:color w:val="231F20"/>
          <w:sz w:val="18"/>
        </w:rPr>
        <w:t>of</w:t>
      </w:r>
      <w:r>
        <w:rPr>
          <w:color w:val="231F20"/>
          <w:spacing w:val="40"/>
          <w:sz w:val="18"/>
        </w:rPr>
        <w:t> </w:t>
      </w:r>
      <w:r>
        <w:rPr>
          <w:color w:val="231F20"/>
          <w:sz w:val="18"/>
        </w:rPr>
        <w:t>residence</w:t>
      </w:r>
      <w:r>
        <w:rPr>
          <w:color w:val="231F20"/>
          <w:spacing w:val="40"/>
          <w:sz w:val="18"/>
        </w:rPr>
        <w:t> </w:t>
      </w:r>
      <w:r>
        <w:rPr>
          <w:color w:val="231F20"/>
          <w:sz w:val="18"/>
        </w:rPr>
        <w:t>sta- tus. // Ò.</w:t>
      </w:r>
      <w:r>
        <w:rPr>
          <w:color w:val="231F20"/>
          <w:spacing w:val="-2"/>
          <w:sz w:val="18"/>
        </w:rPr>
        <w:t> </w:t>
      </w:r>
      <w:r>
        <w:rPr>
          <w:color w:val="231F20"/>
          <w:sz w:val="18"/>
        </w:rPr>
        <w:t>Prieto-Flores, J.</w:t>
      </w:r>
      <w:r>
        <w:rPr>
          <w:color w:val="231F20"/>
          <w:spacing w:val="-2"/>
          <w:sz w:val="18"/>
        </w:rPr>
        <w:t> </w:t>
      </w:r>
      <w:r>
        <w:rPr>
          <w:color w:val="231F20"/>
          <w:sz w:val="18"/>
        </w:rPr>
        <w:t>Feu // 2021. (дата обращения: 05.06.2022). </w:t>
      </w:r>
      <w:hyperlink r:id="rId125">
        <w:r>
          <w:rPr>
            <w:color w:val="2255A6"/>
            <w:sz w:val="18"/>
            <w:u w:val="single" w:color="2255A6"/>
          </w:rPr>
          <w:t>https://www.</w:t>
        </w:r>
      </w:hyperlink>
      <w:r>
        <w:rPr>
          <w:color w:val="2255A6"/>
          <w:sz w:val="18"/>
        </w:rPr>
        <w:t> </w:t>
      </w:r>
      <w:hyperlink r:id="rId125">
        <w:r>
          <w:rPr>
            <w:color w:val="2255A6"/>
            <w:spacing w:val="-2"/>
            <w:sz w:val="18"/>
            <w:u w:val="single" w:color="2255A6"/>
          </w:rPr>
          <w:t>compas.ox.ac.uk/wp-content/uploads/Mentoring-migrant-children-and-youth-the-</w:t>
        </w:r>
      </w:hyperlink>
      <w:r>
        <w:rPr>
          <w:color w:val="2255A6"/>
          <w:spacing w:val="-2"/>
          <w:sz w:val="18"/>
        </w:rPr>
        <w:t> </w:t>
      </w:r>
      <w:hyperlink r:id="rId125">
        <w:r>
          <w:rPr>
            <w:color w:val="2255A6"/>
            <w:spacing w:val="-2"/>
            <w:sz w:val="18"/>
            <w:u w:val="single" w:color="2255A6"/>
          </w:rPr>
          <w:t>Nightingale-projects.pdf</w:t>
        </w:r>
      </w:hyperlink>
      <w:r>
        <w:rPr>
          <w:color w:val="231F20"/>
          <w:spacing w:val="-2"/>
          <w:sz w:val="18"/>
        </w:rPr>
        <w:t>.</w:t>
      </w:r>
    </w:p>
    <w:p>
      <w:pPr>
        <w:pStyle w:val="ListParagraph"/>
        <w:numPr>
          <w:ilvl w:val="0"/>
          <w:numId w:val="131"/>
        </w:numPr>
        <w:tabs>
          <w:tab w:pos="708" w:val="left" w:leader="none"/>
        </w:tabs>
        <w:spacing w:line="240" w:lineRule="auto" w:before="0" w:after="0"/>
        <w:ind w:left="708" w:right="422" w:hanging="284"/>
        <w:jc w:val="both"/>
        <w:rPr>
          <w:sz w:val="18"/>
        </w:rPr>
      </w:pPr>
      <w:r>
        <w:rPr>
          <w:color w:val="231F20"/>
          <w:sz w:val="18"/>
        </w:rPr>
        <w:t>Prieto-Flores</w:t>
      </w:r>
      <w:r>
        <w:rPr>
          <w:color w:val="231F20"/>
          <w:spacing w:val="-9"/>
          <w:sz w:val="18"/>
        </w:rPr>
        <w:t> </w:t>
      </w:r>
      <w:r>
        <w:rPr>
          <w:color w:val="231F20"/>
          <w:sz w:val="18"/>
        </w:rPr>
        <w:t>Ò.</w:t>
      </w:r>
      <w:r>
        <w:rPr>
          <w:color w:val="231F20"/>
          <w:spacing w:val="-11"/>
          <w:sz w:val="18"/>
        </w:rPr>
        <w:t> </w:t>
      </w:r>
      <w:r>
        <w:rPr>
          <w:color w:val="231F20"/>
          <w:sz w:val="18"/>
        </w:rPr>
        <w:t>Assessing</w:t>
      </w:r>
      <w:r>
        <w:rPr>
          <w:color w:val="231F20"/>
          <w:spacing w:val="-7"/>
          <w:sz w:val="18"/>
        </w:rPr>
        <w:t> </w:t>
      </w:r>
      <w:r>
        <w:rPr>
          <w:color w:val="231F20"/>
          <w:sz w:val="18"/>
        </w:rPr>
        <w:t>Intercultural</w:t>
      </w:r>
      <w:r>
        <w:rPr>
          <w:color w:val="231F20"/>
          <w:spacing w:val="-7"/>
          <w:sz w:val="18"/>
        </w:rPr>
        <w:t> </w:t>
      </w:r>
      <w:r>
        <w:rPr>
          <w:color w:val="231F20"/>
          <w:sz w:val="18"/>
        </w:rPr>
        <w:t>Competence</w:t>
      </w:r>
      <w:r>
        <w:rPr>
          <w:color w:val="231F20"/>
          <w:spacing w:val="-7"/>
          <w:sz w:val="18"/>
        </w:rPr>
        <w:t> </w:t>
      </w:r>
      <w:r>
        <w:rPr>
          <w:color w:val="231F20"/>
          <w:sz w:val="18"/>
        </w:rPr>
        <w:t>as</w:t>
      </w:r>
      <w:r>
        <w:rPr>
          <w:color w:val="231F20"/>
          <w:spacing w:val="-7"/>
          <w:sz w:val="18"/>
        </w:rPr>
        <w:t> </w:t>
      </w:r>
      <w:r>
        <w:rPr>
          <w:color w:val="231F20"/>
          <w:sz w:val="18"/>
        </w:rPr>
        <w:t>a</w:t>
      </w:r>
      <w:r>
        <w:rPr>
          <w:color w:val="231F20"/>
          <w:spacing w:val="-7"/>
          <w:sz w:val="18"/>
        </w:rPr>
        <w:t> </w:t>
      </w:r>
      <w:r>
        <w:rPr>
          <w:color w:val="231F20"/>
          <w:sz w:val="18"/>
        </w:rPr>
        <w:t>Result</w:t>
      </w:r>
      <w:r>
        <w:rPr>
          <w:color w:val="231F20"/>
          <w:spacing w:val="-7"/>
          <w:sz w:val="18"/>
        </w:rPr>
        <w:t> </w:t>
      </w:r>
      <w:r>
        <w:rPr>
          <w:color w:val="231F20"/>
          <w:sz w:val="18"/>
        </w:rPr>
        <w:t>of</w:t>
      </w:r>
      <w:r>
        <w:rPr>
          <w:color w:val="231F20"/>
          <w:spacing w:val="-7"/>
          <w:sz w:val="18"/>
        </w:rPr>
        <w:t> </w:t>
      </w:r>
      <w:r>
        <w:rPr>
          <w:color w:val="231F20"/>
          <w:sz w:val="18"/>
        </w:rPr>
        <w:t>Internationalization</w:t>
      </w:r>
      <w:r>
        <w:rPr>
          <w:color w:val="231F20"/>
          <w:spacing w:val="-7"/>
          <w:sz w:val="18"/>
        </w:rPr>
        <w:t> </w:t>
      </w:r>
      <w:r>
        <w:rPr>
          <w:color w:val="231F20"/>
          <w:sz w:val="18"/>
        </w:rPr>
        <w:t>at Home</w:t>
      </w:r>
      <w:r>
        <w:rPr>
          <w:color w:val="231F20"/>
          <w:spacing w:val="-12"/>
          <w:sz w:val="18"/>
        </w:rPr>
        <w:t> </w:t>
      </w:r>
      <w:r>
        <w:rPr>
          <w:color w:val="231F20"/>
          <w:sz w:val="18"/>
        </w:rPr>
        <w:t>Efforts:</w:t>
      </w:r>
      <w:r>
        <w:rPr>
          <w:color w:val="231F20"/>
          <w:spacing w:val="-18"/>
          <w:sz w:val="18"/>
        </w:rPr>
        <w:t> </w:t>
      </w:r>
      <w:r>
        <w:rPr>
          <w:color w:val="231F20"/>
          <w:sz w:val="18"/>
        </w:rPr>
        <w:t>A</w:t>
      </w:r>
      <w:r>
        <w:rPr>
          <w:color w:val="231F20"/>
          <w:spacing w:val="-18"/>
          <w:sz w:val="18"/>
        </w:rPr>
        <w:t> </w:t>
      </w:r>
      <w:r>
        <w:rPr>
          <w:color w:val="231F20"/>
          <w:sz w:val="18"/>
        </w:rPr>
        <w:t>Case</w:t>
      </w:r>
      <w:r>
        <w:rPr>
          <w:color w:val="231F20"/>
          <w:spacing w:val="-11"/>
          <w:sz w:val="18"/>
        </w:rPr>
        <w:t> </w:t>
      </w:r>
      <w:r>
        <w:rPr>
          <w:color w:val="231F20"/>
          <w:sz w:val="18"/>
        </w:rPr>
        <w:t>Study</w:t>
      </w:r>
      <w:r>
        <w:rPr>
          <w:color w:val="231F20"/>
          <w:spacing w:val="-11"/>
          <w:sz w:val="18"/>
        </w:rPr>
        <w:t> </w:t>
      </w:r>
      <w:r>
        <w:rPr>
          <w:color w:val="231F20"/>
          <w:sz w:val="18"/>
        </w:rPr>
        <w:t>from</w:t>
      </w:r>
      <w:r>
        <w:rPr>
          <w:color w:val="231F20"/>
          <w:spacing w:val="-11"/>
          <w:sz w:val="18"/>
        </w:rPr>
        <w:t> </w:t>
      </w:r>
      <w:r>
        <w:rPr>
          <w:color w:val="231F20"/>
          <w:sz w:val="18"/>
        </w:rPr>
        <w:t>the</w:t>
      </w:r>
      <w:r>
        <w:rPr>
          <w:color w:val="231F20"/>
          <w:spacing w:val="-12"/>
          <w:sz w:val="18"/>
        </w:rPr>
        <w:t> </w:t>
      </w:r>
      <w:r>
        <w:rPr>
          <w:color w:val="231F20"/>
          <w:sz w:val="18"/>
        </w:rPr>
        <w:t>Nightingale</w:t>
      </w:r>
      <w:r>
        <w:rPr>
          <w:color w:val="231F20"/>
          <w:spacing w:val="-11"/>
          <w:sz w:val="18"/>
        </w:rPr>
        <w:t> </w:t>
      </w:r>
      <w:r>
        <w:rPr>
          <w:color w:val="231F20"/>
          <w:sz w:val="18"/>
        </w:rPr>
        <w:t>Mentoring</w:t>
      </w:r>
      <w:r>
        <w:rPr>
          <w:color w:val="231F20"/>
          <w:spacing w:val="-11"/>
          <w:sz w:val="18"/>
        </w:rPr>
        <w:t> </w:t>
      </w:r>
      <w:r>
        <w:rPr>
          <w:color w:val="231F20"/>
          <w:sz w:val="18"/>
        </w:rPr>
        <w:t>Program.</w:t>
      </w:r>
      <w:r>
        <w:rPr>
          <w:color w:val="231F20"/>
          <w:spacing w:val="-11"/>
          <w:sz w:val="18"/>
        </w:rPr>
        <w:t> </w:t>
      </w:r>
      <w:r>
        <w:rPr>
          <w:color w:val="231F20"/>
          <w:sz w:val="18"/>
        </w:rPr>
        <w:t>//</w:t>
      </w:r>
      <w:r>
        <w:rPr>
          <w:color w:val="231F20"/>
          <w:spacing w:val="-12"/>
          <w:sz w:val="18"/>
        </w:rPr>
        <w:t> </w:t>
      </w:r>
      <w:r>
        <w:rPr>
          <w:color w:val="231F20"/>
          <w:sz w:val="18"/>
        </w:rPr>
        <w:t>Ò.</w:t>
      </w:r>
      <w:r>
        <w:rPr>
          <w:color w:val="231F20"/>
          <w:spacing w:val="-11"/>
          <w:sz w:val="18"/>
        </w:rPr>
        <w:t> </w:t>
      </w:r>
      <w:r>
        <w:rPr>
          <w:color w:val="231F20"/>
          <w:sz w:val="18"/>
        </w:rPr>
        <w:t>Prieto-Flores,</w:t>
      </w:r>
    </w:p>
    <w:p>
      <w:pPr>
        <w:spacing w:line="205" w:lineRule="exact" w:before="0"/>
        <w:ind w:left="708" w:right="0" w:firstLine="0"/>
        <w:jc w:val="both"/>
        <w:rPr>
          <w:sz w:val="18"/>
        </w:rPr>
      </w:pPr>
      <w:r>
        <w:rPr>
          <w:color w:val="231F20"/>
          <w:sz w:val="18"/>
        </w:rPr>
        <w:t>J.</w:t>
      </w:r>
      <w:r>
        <w:rPr>
          <w:color w:val="231F20"/>
          <w:spacing w:val="-1"/>
          <w:sz w:val="18"/>
        </w:rPr>
        <w:t> </w:t>
      </w:r>
      <w:r>
        <w:rPr>
          <w:color w:val="231F20"/>
          <w:sz w:val="18"/>
        </w:rPr>
        <w:t>Feu,</w:t>
      </w:r>
      <w:r>
        <w:rPr>
          <w:color w:val="231F20"/>
          <w:spacing w:val="2"/>
          <w:sz w:val="18"/>
        </w:rPr>
        <w:t> </w:t>
      </w:r>
      <w:r>
        <w:rPr>
          <w:color w:val="231F20"/>
          <w:sz w:val="18"/>
        </w:rPr>
        <w:t>X.</w:t>
      </w:r>
      <w:r>
        <w:rPr>
          <w:color w:val="231F20"/>
          <w:spacing w:val="1"/>
          <w:sz w:val="18"/>
        </w:rPr>
        <w:t> </w:t>
      </w:r>
      <w:r>
        <w:rPr>
          <w:color w:val="231F20"/>
          <w:sz w:val="18"/>
        </w:rPr>
        <w:t>Casademont</w:t>
      </w:r>
      <w:r>
        <w:rPr>
          <w:color w:val="231F20"/>
          <w:spacing w:val="2"/>
          <w:sz w:val="18"/>
        </w:rPr>
        <w:t> </w:t>
      </w:r>
      <w:r>
        <w:rPr>
          <w:color w:val="231F20"/>
          <w:sz w:val="18"/>
        </w:rPr>
        <w:t>/</w:t>
      </w:r>
      <w:r>
        <w:rPr>
          <w:color w:val="231F20"/>
          <w:spacing w:val="1"/>
          <w:sz w:val="18"/>
        </w:rPr>
        <w:t> </w:t>
      </w:r>
      <w:r>
        <w:rPr>
          <w:color w:val="231F20"/>
          <w:sz w:val="18"/>
        </w:rPr>
        <w:t>Journal</w:t>
      </w:r>
      <w:r>
        <w:rPr>
          <w:color w:val="231F20"/>
          <w:spacing w:val="2"/>
          <w:sz w:val="18"/>
        </w:rPr>
        <w:t> </w:t>
      </w:r>
      <w:r>
        <w:rPr>
          <w:color w:val="231F20"/>
          <w:sz w:val="18"/>
        </w:rPr>
        <w:t>of</w:t>
      </w:r>
      <w:r>
        <w:rPr>
          <w:color w:val="231F20"/>
          <w:spacing w:val="1"/>
          <w:sz w:val="18"/>
        </w:rPr>
        <w:t> </w:t>
      </w:r>
      <w:r>
        <w:rPr>
          <w:color w:val="231F20"/>
          <w:sz w:val="18"/>
        </w:rPr>
        <w:t>Studies</w:t>
      </w:r>
      <w:r>
        <w:rPr>
          <w:color w:val="231F20"/>
          <w:spacing w:val="2"/>
          <w:sz w:val="18"/>
        </w:rPr>
        <w:t> </w:t>
      </w:r>
      <w:r>
        <w:rPr>
          <w:color w:val="231F20"/>
          <w:sz w:val="18"/>
        </w:rPr>
        <w:t>in</w:t>
      </w:r>
      <w:r>
        <w:rPr>
          <w:color w:val="231F20"/>
          <w:spacing w:val="1"/>
          <w:sz w:val="18"/>
        </w:rPr>
        <w:t> </w:t>
      </w:r>
      <w:r>
        <w:rPr>
          <w:color w:val="231F20"/>
          <w:sz w:val="18"/>
        </w:rPr>
        <w:t>International</w:t>
      </w:r>
      <w:r>
        <w:rPr>
          <w:color w:val="231F20"/>
          <w:spacing w:val="1"/>
          <w:sz w:val="18"/>
        </w:rPr>
        <w:t> </w:t>
      </w:r>
      <w:r>
        <w:rPr>
          <w:color w:val="231F20"/>
          <w:sz w:val="18"/>
        </w:rPr>
        <w:t>Education.</w:t>
      </w:r>
      <w:r>
        <w:rPr>
          <w:color w:val="231F20"/>
          <w:spacing w:val="1"/>
          <w:sz w:val="18"/>
        </w:rPr>
        <w:t> </w:t>
      </w:r>
      <w:r>
        <w:rPr>
          <w:color w:val="231F20"/>
          <w:sz w:val="18"/>
        </w:rPr>
        <w:t>–</w:t>
      </w:r>
      <w:r>
        <w:rPr>
          <w:color w:val="231F20"/>
          <w:spacing w:val="2"/>
          <w:sz w:val="18"/>
        </w:rPr>
        <w:t> </w:t>
      </w:r>
      <w:r>
        <w:rPr>
          <w:color w:val="231F20"/>
          <w:sz w:val="18"/>
        </w:rPr>
        <w:t>2016.</w:t>
      </w:r>
      <w:r>
        <w:rPr>
          <w:color w:val="231F20"/>
          <w:spacing w:val="1"/>
          <w:sz w:val="18"/>
        </w:rPr>
        <w:t> </w:t>
      </w:r>
      <w:r>
        <w:rPr>
          <w:color w:val="231F20"/>
          <w:sz w:val="18"/>
        </w:rPr>
        <w:t>–</w:t>
      </w:r>
      <w:r>
        <w:rPr>
          <w:color w:val="231F20"/>
          <w:spacing w:val="2"/>
          <w:sz w:val="18"/>
        </w:rPr>
        <w:t> </w:t>
      </w:r>
      <w:r>
        <w:rPr>
          <w:color w:val="231F20"/>
          <w:sz w:val="18"/>
        </w:rPr>
        <w:t>20(5).</w:t>
      </w:r>
      <w:r>
        <w:rPr>
          <w:color w:val="231F20"/>
          <w:spacing w:val="2"/>
          <w:sz w:val="18"/>
        </w:rPr>
        <w:t> </w:t>
      </w:r>
      <w:r>
        <w:rPr>
          <w:color w:val="231F20"/>
          <w:spacing w:val="-10"/>
          <w:sz w:val="18"/>
        </w:rPr>
        <w:t>–</w:t>
      </w:r>
    </w:p>
    <w:p>
      <w:pPr>
        <w:spacing w:line="206" w:lineRule="exact" w:before="0"/>
        <w:ind w:left="708" w:right="0" w:firstLine="0"/>
        <w:jc w:val="both"/>
        <w:rPr>
          <w:sz w:val="18"/>
        </w:rPr>
      </w:pPr>
      <w:r>
        <w:rPr>
          <w:color w:val="231F20"/>
          <w:sz w:val="18"/>
        </w:rPr>
        <w:t>pp.</w:t>
      </w:r>
      <w:r>
        <w:rPr>
          <w:color w:val="231F20"/>
          <w:spacing w:val="4"/>
          <w:sz w:val="18"/>
        </w:rPr>
        <w:t> </w:t>
      </w:r>
      <w:r>
        <w:rPr>
          <w:color w:val="231F20"/>
          <w:sz w:val="18"/>
        </w:rPr>
        <w:t>437–453.</w:t>
      </w:r>
      <w:r>
        <w:rPr>
          <w:color w:val="231F20"/>
          <w:spacing w:val="9"/>
          <w:sz w:val="18"/>
        </w:rPr>
        <w:t> </w:t>
      </w:r>
      <w:r>
        <w:rPr>
          <w:color w:val="231F20"/>
          <w:sz w:val="18"/>
        </w:rPr>
        <w:t>DOI:</w:t>
      </w:r>
      <w:r>
        <w:rPr>
          <w:color w:val="231F20"/>
          <w:spacing w:val="5"/>
          <w:sz w:val="18"/>
        </w:rPr>
        <w:t> </w:t>
      </w:r>
      <w:r>
        <w:rPr>
          <w:color w:val="231F20"/>
          <w:spacing w:val="-2"/>
          <w:sz w:val="18"/>
        </w:rPr>
        <w:t>10.1177%2F1028315316662977.</w:t>
      </w:r>
    </w:p>
    <w:p>
      <w:pPr>
        <w:pStyle w:val="ListParagraph"/>
        <w:numPr>
          <w:ilvl w:val="0"/>
          <w:numId w:val="131"/>
        </w:numPr>
        <w:tabs>
          <w:tab w:pos="708" w:val="left" w:leader="none"/>
        </w:tabs>
        <w:spacing w:line="240" w:lineRule="auto" w:before="0" w:after="0"/>
        <w:ind w:left="708" w:right="424" w:hanging="284"/>
        <w:jc w:val="both"/>
        <w:rPr>
          <w:sz w:val="18"/>
        </w:rPr>
      </w:pPr>
      <w:r>
        <w:rPr>
          <w:color w:val="231F20"/>
          <w:sz w:val="18"/>
        </w:rPr>
        <w:t>Principales</w:t>
      </w:r>
      <w:r>
        <w:rPr>
          <w:color w:val="231F20"/>
          <w:spacing w:val="-5"/>
          <w:sz w:val="18"/>
        </w:rPr>
        <w:t> </w:t>
      </w:r>
      <w:r>
        <w:rPr>
          <w:color w:val="231F20"/>
          <w:sz w:val="18"/>
        </w:rPr>
        <w:t>resultados</w:t>
      </w:r>
      <w:r>
        <w:rPr>
          <w:color w:val="231F20"/>
          <w:spacing w:val="-4"/>
          <w:sz w:val="18"/>
        </w:rPr>
        <w:t> </w:t>
      </w:r>
      <w:r>
        <w:rPr>
          <w:color w:val="231F20"/>
          <w:sz w:val="18"/>
        </w:rPr>
        <w:t>de</w:t>
      </w:r>
      <w:r>
        <w:rPr>
          <w:color w:val="231F20"/>
          <w:spacing w:val="-4"/>
          <w:sz w:val="18"/>
        </w:rPr>
        <w:t> </w:t>
      </w:r>
      <w:r>
        <w:rPr>
          <w:color w:val="231F20"/>
          <w:sz w:val="18"/>
        </w:rPr>
        <w:t>la</w:t>
      </w:r>
      <w:r>
        <w:rPr>
          <w:color w:val="231F20"/>
          <w:spacing w:val="-4"/>
          <w:sz w:val="18"/>
        </w:rPr>
        <w:t> </w:t>
      </w:r>
      <w:r>
        <w:rPr>
          <w:color w:val="231F20"/>
          <w:sz w:val="18"/>
        </w:rPr>
        <w:t>investigación</w:t>
      </w:r>
      <w:r>
        <w:rPr>
          <w:color w:val="231F20"/>
          <w:spacing w:val="-4"/>
          <w:sz w:val="18"/>
        </w:rPr>
        <w:t> </w:t>
      </w:r>
      <w:r>
        <w:rPr>
          <w:color w:val="231F20"/>
          <w:sz w:val="18"/>
        </w:rPr>
        <w:t>Recercaixa</w:t>
      </w:r>
      <w:r>
        <w:rPr>
          <w:color w:val="231F20"/>
          <w:spacing w:val="-12"/>
          <w:sz w:val="18"/>
        </w:rPr>
        <w:t> </w:t>
      </w:r>
      <w:r>
        <w:rPr>
          <w:color w:val="231F20"/>
          <w:sz w:val="18"/>
        </w:rPr>
        <w:t>Applying</w:t>
      </w:r>
      <w:r>
        <w:rPr>
          <w:color w:val="231F20"/>
          <w:spacing w:val="-3"/>
          <w:sz w:val="18"/>
        </w:rPr>
        <w:t> </w:t>
      </w:r>
      <w:r>
        <w:rPr>
          <w:color w:val="231F20"/>
          <w:sz w:val="18"/>
        </w:rPr>
        <w:t>Mentoring.</w:t>
      </w:r>
      <w:r>
        <w:rPr>
          <w:color w:val="231F20"/>
          <w:spacing w:val="-4"/>
          <w:sz w:val="18"/>
        </w:rPr>
        <w:t> </w:t>
      </w:r>
      <w:r>
        <w:rPr>
          <w:color w:val="231F20"/>
          <w:sz w:val="18"/>
        </w:rPr>
        <w:t>//</w:t>
      </w:r>
      <w:r>
        <w:rPr>
          <w:color w:val="231F20"/>
          <w:spacing w:val="-4"/>
          <w:sz w:val="18"/>
        </w:rPr>
        <w:t> </w:t>
      </w:r>
      <w:r>
        <w:rPr>
          <w:color w:val="231F20"/>
          <w:sz w:val="18"/>
        </w:rPr>
        <w:t>2021.</w:t>
      </w:r>
      <w:r>
        <w:rPr>
          <w:color w:val="231F20"/>
          <w:spacing w:val="-4"/>
          <w:sz w:val="18"/>
        </w:rPr>
        <w:t> </w:t>
      </w:r>
      <w:r>
        <w:rPr>
          <w:color w:val="231F20"/>
          <w:sz w:val="18"/>
        </w:rPr>
        <w:t>(дата обращения: 19.05.2022) </w:t>
      </w:r>
      <w:hyperlink r:id="rId126">
        <w:r>
          <w:rPr>
            <w:color w:val="2255A6"/>
            <w:sz w:val="18"/>
            <w:u w:val="single" w:color="2255A6"/>
          </w:rPr>
          <w:t>http://mentoringapp.udg.edu/es/resultados</w:t>
        </w:r>
      </w:hyperlink>
      <w:r>
        <w:rPr>
          <w:color w:val="231F20"/>
          <w:sz w:val="18"/>
        </w:rPr>
        <w:t>.</w:t>
      </w:r>
    </w:p>
    <w:p>
      <w:pPr>
        <w:pStyle w:val="ListParagraph"/>
        <w:numPr>
          <w:ilvl w:val="0"/>
          <w:numId w:val="131"/>
        </w:numPr>
        <w:tabs>
          <w:tab w:pos="708" w:val="left" w:leader="none"/>
        </w:tabs>
        <w:spacing w:line="240" w:lineRule="auto" w:before="0" w:after="0"/>
        <w:ind w:left="708" w:right="422" w:hanging="284"/>
        <w:jc w:val="both"/>
        <w:rPr>
          <w:sz w:val="18"/>
        </w:rPr>
      </w:pPr>
      <w:r>
        <w:rPr>
          <w:color w:val="231F20"/>
          <w:sz w:val="18"/>
        </w:rPr>
        <w:t>Schmidt</w:t>
      </w:r>
      <w:r>
        <w:rPr>
          <w:color w:val="231F20"/>
          <w:spacing w:val="-4"/>
          <w:sz w:val="18"/>
        </w:rPr>
        <w:t> </w:t>
      </w:r>
      <w:r>
        <w:rPr>
          <w:color w:val="231F20"/>
          <w:sz w:val="18"/>
        </w:rPr>
        <w:t>S. Growing Up in a New Country: A Positive Youth Development Toolkit for Working with Refugees and Immigrants // S. Schmidt, L. Morland, J. Rose / BRYCS. – 2006. – 55 p.</w:t>
      </w:r>
    </w:p>
    <w:p>
      <w:pPr>
        <w:pStyle w:val="ListParagraph"/>
        <w:numPr>
          <w:ilvl w:val="0"/>
          <w:numId w:val="131"/>
        </w:numPr>
        <w:tabs>
          <w:tab w:pos="708" w:val="left" w:leader="none"/>
        </w:tabs>
        <w:spacing w:line="240" w:lineRule="auto" w:before="0" w:after="0"/>
        <w:ind w:left="708" w:right="423" w:hanging="284"/>
        <w:jc w:val="both"/>
        <w:rPr>
          <w:sz w:val="18"/>
        </w:rPr>
      </w:pPr>
      <w:r>
        <w:rPr>
          <w:color w:val="231F20"/>
          <w:sz w:val="18"/>
        </w:rPr>
        <w:t>Suárez-Orozco</w:t>
      </w:r>
      <w:r>
        <w:rPr>
          <w:color w:val="231F20"/>
          <w:spacing w:val="-2"/>
          <w:sz w:val="18"/>
        </w:rPr>
        <w:t> </w:t>
      </w:r>
      <w:r>
        <w:rPr>
          <w:color w:val="231F20"/>
          <w:sz w:val="18"/>
        </w:rPr>
        <w:t>C. Unraveling the Immigrant Paradox: Academic Engagement </w:t>
      </w:r>
      <w:r>
        <w:rPr>
          <w:color w:val="231F20"/>
          <w:sz w:val="18"/>
        </w:rPr>
        <w:t>and Disengagement</w:t>
      </w:r>
      <w:r>
        <w:rPr>
          <w:color w:val="231F20"/>
          <w:spacing w:val="75"/>
          <w:sz w:val="18"/>
        </w:rPr>
        <w:t> </w:t>
      </w:r>
      <w:r>
        <w:rPr>
          <w:color w:val="231F20"/>
          <w:sz w:val="18"/>
        </w:rPr>
        <w:t>Among</w:t>
      </w:r>
      <w:r>
        <w:rPr>
          <w:color w:val="231F20"/>
          <w:spacing w:val="80"/>
          <w:sz w:val="18"/>
        </w:rPr>
        <w:t> </w:t>
      </w:r>
      <w:r>
        <w:rPr>
          <w:color w:val="231F20"/>
          <w:sz w:val="18"/>
        </w:rPr>
        <w:t>Recently</w:t>
      </w:r>
      <w:r>
        <w:rPr>
          <w:color w:val="231F20"/>
          <w:spacing w:val="74"/>
          <w:sz w:val="18"/>
        </w:rPr>
        <w:t> </w:t>
      </w:r>
      <w:r>
        <w:rPr>
          <w:color w:val="231F20"/>
          <w:sz w:val="18"/>
        </w:rPr>
        <w:t>Arrived</w:t>
      </w:r>
      <w:r>
        <w:rPr>
          <w:color w:val="231F20"/>
          <w:spacing w:val="80"/>
          <w:sz w:val="18"/>
        </w:rPr>
        <w:t> </w:t>
      </w:r>
      <w:r>
        <w:rPr>
          <w:color w:val="231F20"/>
          <w:sz w:val="18"/>
        </w:rPr>
        <w:t>Immigrant</w:t>
      </w:r>
      <w:r>
        <w:rPr>
          <w:color w:val="231F20"/>
          <w:spacing w:val="78"/>
          <w:sz w:val="18"/>
        </w:rPr>
        <w:t> </w:t>
      </w:r>
      <w:r>
        <w:rPr>
          <w:color w:val="231F20"/>
          <w:sz w:val="18"/>
        </w:rPr>
        <w:t>Youth.</w:t>
      </w:r>
      <w:r>
        <w:rPr>
          <w:color w:val="231F20"/>
          <w:spacing w:val="80"/>
          <w:sz w:val="18"/>
        </w:rPr>
        <w:t> </w:t>
      </w:r>
      <w:r>
        <w:rPr>
          <w:color w:val="231F20"/>
          <w:sz w:val="18"/>
        </w:rPr>
        <w:t>/</w:t>
      </w:r>
      <w:r>
        <w:rPr>
          <w:color w:val="231F20"/>
          <w:spacing w:val="80"/>
          <w:sz w:val="18"/>
        </w:rPr>
        <w:t> </w:t>
      </w:r>
      <w:r>
        <w:rPr>
          <w:color w:val="231F20"/>
          <w:sz w:val="18"/>
        </w:rPr>
        <w:t>C.</w:t>
      </w:r>
      <w:r>
        <w:rPr>
          <w:color w:val="231F20"/>
          <w:spacing w:val="-3"/>
          <w:sz w:val="18"/>
        </w:rPr>
        <w:t> </w:t>
      </w:r>
      <w:r>
        <w:rPr>
          <w:color w:val="231F20"/>
          <w:sz w:val="18"/>
        </w:rPr>
        <w:t>Suárez-Orozco,</w:t>
      </w:r>
    </w:p>
    <w:p>
      <w:pPr>
        <w:spacing w:before="0"/>
        <w:ind w:left="708" w:right="423" w:firstLine="0"/>
        <w:jc w:val="both"/>
        <w:rPr>
          <w:sz w:val="18"/>
        </w:rPr>
      </w:pPr>
      <w:r>
        <w:rPr>
          <w:color w:val="231F20"/>
          <w:sz w:val="18"/>
        </w:rPr>
        <w:t>J.E.</w:t>
      </w:r>
      <w:r>
        <w:rPr>
          <w:color w:val="231F20"/>
          <w:spacing w:val="-4"/>
          <w:sz w:val="18"/>
        </w:rPr>
        <w:t> </w:t>
      </w:r>
      <w:r>
        <w:rPr>
          <w:color w:val="231F20"/>
          <w:sz w:val="18"/>
        </w:rPr>
        <w:t>Rhodes,</w:t>
      </w:r>
      <w:r>
        <w:rPr>
          <w:color w:val="231F20"/>
          <w:spacing w:val="-6"/>
          <w:sz w:val="18"/>
        </w:rPr>
        <w:t> </w:t>
      </w:r>
      <w:r>
        <w:rPr>
          <w:color w:val="231F20"/>
          <w:sz w:val="18"/>
        </w:rPr>
        <w:t>M.</w:t>
      </w:r>
      <w:r>
        <w:rPr>
          <w:color w:val="231F20"/>
          <w:spacing w:val="-6"/>
          <w:sz w:val="18"/>
        </w:rPr>
        <w:t> </w:t>
      </w:r>
      <w:r>
        <w:rPr>
          <w:color w:val="231F20"/>
          <w:sz w:val="18"/>
        </w:rPr>
        <w:t>Milburn</w:t>
      </w:r>
      <w:r>
        <w:rPr>
          <w:color w:val="231F20"/>
          <w:spacing w:val="-6"/>
          <w:sz w:val="18"/>
        </w:rPr>
        <w:t> </w:t>
      </w:r>
      <w:r>
        <w:rPr>
          <w:color w:val="231F20"/>
          <w:sz w:val="18"/>
        </w:rPr>
        <w:t>/</w:t>
      </w:r>
      <w:r>
        <w:rPr>
          <w:color w:val="231F20"/>
          <w:spacing w:val="-11"/>
          <w:sz w:val="18"/>
        </w:rPr>
        <w:t> </w:t>
      </w:r>
      <w:r>
        <w:rPr>
          <w:color w:val="231F20"/>
          <w:sz w:val="18"/>
        </w:rPr>
        <w:t>Youth</w:t>
      </w:r>
      <w:r>
        <w:rPr>
          <w:color w:val="231F20"/>
          <w:spacing w:val="-6"/>
          <w:sz w:val="18"/>
        </w:rPr>
        <w:t> </w:t>
      </w:r>
      <w:r>
        <w:rPr>
          <w:color w:val="231F20"/>
          <w:sz w:val="18"/>
        </w:rPr>
        <w:t>&amp;</w:t>
      </w:r>
      <w:r>
        <w:rPr>
          <w:color w:val="231F20"/>
          <w:spacing w:val="-6"/>
          <w:sz w:val="18"/>
        </w:rPr>
        <w:t> </w:t>
      </w:r>
      <w:r>
        <w:rPr>
          <w:color w:val="231F20"/>
          <w:sz w:val="18"/>
        </w:rPr>
        <w:t>Society.</w:t>
      </w:r>
      <w:r>
        <w:rPr>
          <w:color w:val="231F20"/>
          <w:spacing w:val="-6"/>
          <w:sz w:val="18"/>
        </w:rPr>
        <w:t> </w:t>
      </w:r>
      <w:r>
        <w:rPr>
          <w:color w:val="231F20"/>
          <w:sz w:val="18"/>
        </w:rPr>
        <w:t>–</w:t>
      </w:r>
      <w:r>
        <w:rPr>
          <w:color w:val="231F20"/>
          <w:spacing w:val="-6"/>
          <w:sz w:val="18"/>
        </w:rPr>
        <w:t> </w:t>
      </w:r>
      <w:r>
        <w:rPr>
          <w:color w:val="231F20"/>
          <w:sz w:val="18"/>
        </w:rPr>
        <w:t>2009.</w:t>
      </w:r>
      <w:r>
        <w:rPr>
          <w:color w:val="231F20"/>
          <w:spacing w:val="-6"/>
          <w:sz w:val="18"/>
        </w:rPr>
        <w:t> </w:t>
      </w:r>
      <w:r>
        <w:rPr>
          <w:color w:val="231F20"/>
          <w:sz w:val="18"/>
        </w:rPr>
        <w:t>–</w:t>
      </w:r>
      <w:r>
        <w:rPr>
          <w:color w:val="231F20"/>
          <w:spacing w:val="-9"/>
          <w:sz w:val="18"/>
        </w:rPr>
        <w:t> </w:t>
      </w:r>
      <w:r>
        <w:rPr>
          <w:color w:val="231F20"/>
          <w:sz w:val="18"/>
        </w:rPr>
        <w:t>V.41(2).</w:t>
      </w:r>
      <w:r>
        <w:rPr>
          <w:color w:val="231F20"/>
          <w:spacing w:val="-6"/>
          <w:sz w:val="18"/>
        </w:rPr>
        <w:t> </w:t>
      </w:r>
      <w:r>
        <w:rPr>
          <w:color w:val="231F20"/>
          <w:sz w:val="18"/>
        </w:rPr>
        <w:t>–</w:t>
      </w:r>
      <w:r>
        <w:rPr>
          <w:color w:val="231F20"/>
          <w:spacing w:val="-6"/>
          <w:sz w:val="18"/>
        </w:rPr>
        <w:t> </w:t>
      </w:r>
      <w:r>
        <w:rPr>
          <w:color w:val="231F20"/>
          <w:sz w:val="18"/>
        </w:rPr>
        <w:t>pp.</w:t>
      </w:r>
      <w:r>
        <w:rPr>
          <w:color w:val="231F20"/>
          <w:spacing w:val="-6"/>
          <w:sz w:val="18"/>
        </w:rPr>
        <w:t> </w:t>
      </w:r>
      <w:r>
        <w:rPr>
          <w:color w:val="231F20"/>
          <w:sz w:val="18"/>
        </w:rPr>
        <w:t>151–185.</w:t>
      </w:r>
      <w:r>
        <w:rPr>
          <w:color w:val="231F20"/>
          <w:spacing w:val="-2"/>
          <w:sz w:val="18"/>
        </w:rPr>
        <w:t> </w:t>
      </w:r>
      <w:r>
        <w:rPr>
          <w:color w:val="231F20"/>
          <w:sz w:val="18"/>
        </w:rPr>
        <w:t>DOI:</w:t>
      </w:r>
      <w:r>
        <w:rPr>
          <w:color w:val="231F20"/>
          <w:spacing w:val="-4"/>
          <w:sz w:val="18"/>
        </w:rPr>
        <w:t> </w:t>
      </w:r>
      <w:r>
        <w:rPr>
          <w:color w:val="231F20"/>
          <w:sz w:val="18"/>
        </w:rPr>
        <w:t>10.1 </w:t>
      </w:r>
      <w:r>
        <w:rPr>
          <w:color w:val="231F20"/>
          <w:spacing w:val="-2"/>
          <w:sz w:val="18"/>
        </w:rPr>
        <w:t>177%2F0044118X09333647.</w:t>
      </w:r>
    </w:p>
    <w:p>
      <w:pPr>
        <w:pStyle w:val="ListParagraph"/>
        <w:numPr>
          <w:ilvl w:val="0"/>
          <w:numId w:val="131"/>
        </w:numPr>
        <w:tabs>
          <w:tab w:pos="708" w:val="left" w:leader="none"/>
        </w:tabs>
        <w:spacing w:line="240" w:lineRule="auto" w:before="0" w:after="0"/>
        <w:ind w:left="708" w:right="423" w:hanging="284"/>
        <w:jc w:val="both"/>
        <w:rPr>
          <w:sz w:val="18"/>
        </w:rPr>
      </w:pPr>
      <w:r>
        <w:rPr>
          <w:color w:val="231F20"/>
          <w:sz w:val="18"/>
        </w:rPr>
        <w:t>Toolkit</w:t>
      </w:r>
      <w:r>
        <w:rPr>
          <w:color w:val="231F20"/>
          <w:spacing w:val="-12"/>
          <w:sz w:val="18"/>
        </w:rPr>
        <w:t> </w:t>
      </w:r>
      <w:r>
        <w:rPr>
          <w:color w:val="231F20"/>
          <w:sz w:val="18"/>
        </w:rPr>
        <w:t>on</w:t>
      </w:r>
      <w:r>
        <w:rPr>
          <w:color w:val="231F20"/>
          <w:spacing w:val="-11"/>
          <w:sz w:val="18"/>
        </w:rPr>
        <w:t> </w:t>
      </w:r>
      <w:r>
        <w:rPr>
          <w:color w:val="231F20"/>
          <w:sz w:val="18"/>
        </w:rPr>
        <w:t>effective</w:t>
      </w:r>
      <w:r>
        <w:rPr>
          <w:color w:val="231F20"/>
          <w:spacing w:val="-11"/>
          <w:sz w:val="18"/>
        </w:rPr>
        <w:t> </w:t>
      </w:r>
      <w:r>
        <w:rPr>
          <w:color w:val="231F20"/>
          <w:sz w:val="18"/>
        </w:rPr>
        <w:t>mentoring</w:t>
      </w:r>
      <w:r>
        <w:rPr>
          <w:color w:val="231F20"/>
          <w:spacing w:val="-11"/>
          <w:sz w:val="18"/>
        </w:rPr>
        <w:t> </w:t>
      </w:r>
      <w:r>
        <w:rPr>
          <w:color w:val="231F20"/>
          <w:sz w:val="18"/>
        </w:rPr>
        <w:t>for</w:t>
      </w:r>
      <w:r>
        <w:rPr>
          <w:color w:val="231F20"/>
          <w:spacing w:val="-12"/>
          <w:sz w:val="18"/>
        </w:rPr>
        <w:t> </w:t>
      </w:r>
      <w:r>
        <w:rPr>
          <w:color w:val="231F20"/>
          <w:sz w:val="18"/>
        </w:rPr>
        <w:t>youth</w:t>
      </w:r>
      <w:r>
        <w:rPr>
          <w:color w:val="231F20"/>
          <w:spacing w:val="-11"/>
          <w:sz w:val="18"/>
        </w:rPr>
        <w:t> </w:t>
      </w:r>
      <w:r>
        <w:rPr>
          <w:color w:val="231F20"/>
          <w:sz w:val="18"/>
        </w:rPr>
        <w:t>facing</w:t>
      </w:r>
      <w:r>
        <w:rPr>
          <w:color w:val="231F20"/>
          <w:spacing w:val="-11"/>
          <w:sz w:val="18"/>
        </w:rPr>
        <w:t> </w:t>
      </w:r>
      <w:r>
        <w:rPr>
          <w:color w:val="231F20"/>
          <w:sz w:val="18"/>
        </w:rPr>
        <w:t>barriers</w:t>
      </w:r>
      <w:r>
        <w:rPr>
          <w:color w:val="231F20"/>
          <w:spacing w:val="-11"/>
          <w:sz w:val="18"/>
        </w:rPr>
        <w:t> </w:t>
      </w:r>
      <w:r>
        <w:rPr>
          <w:color w:val="231F20"/>
          <w:sz w:val="18"/>
        </w:rPr>
        <w:t>to</w:t>
      </w:r>
      <w:r>
        <w:rPr>
          <w:color w:val="231F20"/>
          <w:spacing w:val="-12"/>
          <w:sz w:val="18"/>
        </w:rPr>
        <w:t> </w:t>
      </w:r>
      <w:r>
        <w:rPr>
          <w:color w:val="231F20"/>
          <w:sz w:val="18"/>
        </w:rPr>
        <w:t>success.</w:t>
      </w:r>
      <w:r>
        <w:rPr>
          <w:color w:val="231F20"/>
          <w:spacing w:val="-11"/>
          <w:sz w:val="18"/>
        </w:rPr>
        <w:t> </w:t>
      </w:r>
      <w:r>
        <w:rPr>
          <w:color w:val="231F20"/>
          <w:sz w:val="18"/>
        </w:rPr>
        <w:t>[Электронный</w:t>
      </w:r>
      <w:r>
        <w:rPr>
          <w:color w:val="231F20"/>
          <w:spacing w:val="-11"/>
          <w:sz w:val="18"/>
        </w:rPr>
        <w:t> </w:t>
      </w:r>
      <w:r>
        <w:rPr>
          <w:color w:val="231F20"/>
          <w:sz w:val="18"/>
        </w:rPr>
        <w:t>источ- ник] // 2016. </w:t>
      </w:r>
      <w:hyperlink r:id="rId127">
        <w:r>
          <w:rPr>
            <w:color w:val="2255A6"/>
            <w:sz w:val="18"/>
            <w:u w:val="single" w:color="2255A6"/>
          </w:rPr>
          <w:t>https://ontariomentoringcoalition.ca/wp-</w:t>
        </w:r>
        <w:r>
          <w:rPr>
            <w:color w:val="2255A6"/>
            <w:sz w:val="18"/>
            <w:u w:val="single" w:color="2255A6"/>
          </w:rPr>
          <w:t>content/uploads/2016/02/OMC-</w:t>
        </w:r>
      </w:hyperlink>
      <w:r>
        <w:rPr>
          <w:color w:val="2255A6"/>
          <w:sz w:val="18"/>
        </w:rPr>
        <w:t> </w:t>
      </w:r>
      <w:hyperlink r:id="rId127">
        <w:r>
          <w:rPr>
            <w:color w:val="2255A6"/>
            <w:sz w:val="18"/>
            <w:u w:val="single" w:color="2255A6"/>
          </w:rPr>
          <w:t>Toolkit.pdf</w:t>
        </w:r>
      </w:hyperlink>
      <w:r>
        <w:rPr>
          <w:color w:val="2255A6"/>
          <w:sz w:val="18"/>
        </w:rPr>
        <w:t> </w:t>
      </w:r>
      <w:r>
        <w:rPr>
          <w:color w:val="231F20"/>
          <w:sz w:val="18"/>
        </w:rPr>
        <w:t>(дата обращения: 28.06.2022).</w:t>
      </w:r>
    </w:p>
    <w:p>
      <w:pPr>
        <w:pStyle w:val="ListParagraph"/>
        <w:spacing w:after="0" w:line="240" w:lineRule="auto"/>
        <w:jc w:val="both"/>
        <w:rPr>
          <w:sz w:val="18"/>
        </w:rPr>
        <w:sectPr>
          <w:pgSz w:w="8400" w:h="11910"/>
          <w:pgMar w:header="0" w:footer="527" w:top="400" w:bottom="740" w:left="425" w:right="425"/>
        </w:sectPr>
      </w:pPr>
    </w:p>
    <w:p>
      <w:pPr>
        <w:pStyle w:val="BodyText"/>
        <w:ind w:left="0" w:right="0" w:firstLine="0"/>
        <w:jc w:val="left"/>
      </w:pPr>
    </w:p>
    <w:p>
      <w:pPr>
        <w:pStyle w:val="BodyText"/>
        <w:ind w:left="0" w:right="0" w:firstLine="0"/>
        <w:jc w:val="left"/>
      </w:pPr>
    </w:p>
    <w:p>
      <w:pPr>
        <w:pStyle w:val="BodyText"/>
        <w:spacing w:before="119"/>
        <w:ind w:left="0" w:right="0" w:firstLine="0"/>
        <w:jc w:val="left"/>
      </w:pPr>
    </w:p>
    <w:p>
      <w:pPr>
        <w:spacing w:before="0"/>
        <w:ind w:left="425" w:right="0" w:firstLine="0"/>
        <w:jc w:val="left"/>
        <w:rPr>
          <w:sz w:val="20"/>
        </w:rPr>
      </w:pPr>
      <w:bookmarkStart w:name="_bookmark65" w:id="67"/>
      <w:bookmarkEnd w:id="67"/>
      <w:r>
        <w:rPr/>
      </w:r>
      <w:r>
        <w:rPr>
          <w:i/>
          <w:spacing w:val="-2"/>
          <w:sz w:val="20"/>
        </w:rPr>
        <w:t>Канада</w:t>
      </w:r>
      <w:r>
        <w:rPr>
          <w:spacing w:val="-2"/>
          <w:sz w:val="20"/>
        </w:rPr>
        <w:t>:</w:t>
      </w:r>
    </w:p>
    <w:p>
      <w:pPr>
        <w:spacing w:line="240" w:lineRule="auto" w:before="0"/>
        <w:rPr>
          <w:sz w:val="20"/>
        </w:rPr>
      </w:pPr>
      <w:r>
        <w:rPr/>
        <w:br w:type="column"/>
      </w:r>
      <w:r>
        <w:rPr>
          <w:sz w:val="20"/>
        </w:rPr>
      </w:r>
    </w:p>
    <w:p>
      <w:pPr>
        <w:pStyle w:val="BodyText"/>
        <w:spacing w:before="9"/>
        <w:ind w:left="0" w:right="0" w:firstLine="0"/>
        <w:jc w:val="left"/>
      </w:pPr>
    </w:p>
    <w:p>
      <w:pPr>
        <w:spacing w:before="0"/>
        <w:ind w:left="425" w:right="0" w:firstLine="0"/>
        <w:jc w:val="left"/>
        <w:rPr>
          <w:b/>
          <w:sz w:val="20"/>
        </w:rPr>
      </w:pPr>
      <w:r>
        <w:rPr>
          <w:b/>
          <w:color w:val="231F20"/>
          <w:sz w:val="20"/>
        </w:rPr>
        <w:t>Зарубежные</w:t>
      </w:r>
      <w:r>
        <w:rPr>
          <w:b/>
          <w:color w:val="231F20"/>
          <w:spacing w:val="-10"/>
          <w:sz w:val="20"/>
        </w:rPr>
        <w:t> </w:t>
      </w:r>
      <w:r>
        <w:rPr>
          <w:b/>
          <w:color w:val="231F20"/>
          <w:sz w:val="20"/>
        </w:rPr>
        <w:t>практики</w:t>
      </w:r>
      <w:r>
        <w:rPr>
          <w:b/>
          <w:color w:val="231F20"/>
          <w:spacing w:val="-9"/>
          <w:sz w:val="20"/>
        </w:rPr>
        <w:t> </w:t>
      </w:r>
      <w:r>
        <w:rPr>
          <w:b/>
          <w:color w:val="231F20"/>
          <w:spacing w:val="-2"/>
          <w:sz w:val="20"/>
        </w:rPr>
        <w:t>наставничества</w:t>
      </w:r>
    </w:p>
    <w:p>
      <w:pPr>
        <w:spacing w:before="73"/>
        <w:ind w:left="425" w:right="0" w:firstLine="0"/>
        <w:jc w:val="left"/>
        <w:rPr>
          <w:b/>
          <w:i/>
          <w:sz w:val="20"/>
        </w:rPr>
      </w:pPr>
      <w:r>
        <w:rPr/>
        <w:br w:type="column"/>
      </w:r>
      <w:r>
        <w:rPr>
          <w:b/>
          <w:i/>
          <w:color w:val="231F20"/>
          <w:spacing w:val="-2"/>
          <w:sz w:val="20"/>
        </w:rPr>
        <w:t>Приложение</w:t>
      </w:r>
    </w:p>
    <w:p>
      <w:pPr>
        <w:spacing w:after="0"/>
        <w:jc w:val="left"/>
        <w:rPr>
          <w:b/>
          <w:i/>
          <w:sz w:val="20"/>
        </w:rPr>
        <w:sectPr>
          <w:pgSz w:w="8400" w:h="11910"/>
          <w:pgMar w:header="0" w:footer="527" w:top="720" w:bottom="740" w:left="425" w:right="425"/>
          <w:cols w:num="3" w:equalWidth="0">
            <w:col w:w="1155" w:space="425"/>
            <w:col w:w="3997" w:space="245"/>
            <w:col w:w="1728"/>
          </w:cols>
        </w:sectPr>
      </w:pPr>
    </w:p>
    <w:p>
      <w:pPr>
        <w:pStyle w:val="ListParagraph"/>
        <w:numPr>
          <w:ilvl w:val="0"/>
          <w:numId w:val="132"/>
        </w:numPr>
        <w:tabs>
          <w:tab w:pos="425" w:val="left" w:leader="none"/>
        </w:tabs>
        <w:spacing w:line="232" w:lineRule="auto" w:before="1" w:after="0"/>
        <w:ind w:left="425" w:right="139" w:hanging="284"/>
        <w:jc w:val="both"/>
        <w:rPr>
          <w:sz w:val="20"/>
        </w:rPr>
      </w:pPr>
      <w:r>
        <w:rPr>
          <w:color w:val="2255A6"/>
          <w:sz w:val="20"/>
          <w:u w:val="single" w:color="2255A6"/>
        </w:rPr>
        <w:t>набор лучших практик наставничества из Ванкувера</w:t>
      </w:r>
      <w:r>
        <w:rPr>
          <w:color w:val="2255A6"/>
          <w:sz w:val="20"/>
        </w:rPr>
        <w:t> </w:t>
      </w:r>
      <w:r>
        <w:rPr>
          <w:sz w:val="20"/>
        </w:rPr>
        <w:t>(Mentorship Best Practices Toolkit,</w:t>
      </w:r>
      <w:r>
        <w:rPr>
          <w:spacing w:val="-3"/>
          <w:sz w:val="20"/>
        </w:rPr>
        <w:t> </w:t>
      </w:r>
      <w:r>
        <w:rPr>
          <w:sz w:val="20"/>
        </w:rPr>
        <w:t>2017)</w:t>
      </w:r>
      <w:r>
        <w:rPr>
          <w:spacing w:val="-3"/>
          <w:sz w:val="20"/>
        </w:rPr>
        <w:t> </w:t>
      </w:r>
      <w:r>
        <w:rPr>
          <w:sz w:val="20"/>
        </w:rPr>
        <w:t>–</w:t>
      </w:r>
      <w:r>
        <w:rPr>
          <w:spacing w:val="-3"/>
          <w:sz w:val="20"/>
        </w:rPr>
        <w:t> </w:t>
      </w:r>
      <w:r>
        <w:rPr>
          <w:sz w:val="20"/>
        </w:rPr>
        <w:t>в</w:t>
      </w:r>
      <w:r>
        <w:rPr>
          <w:spacing w:val="-3"/>
          <w:sz w:val="20"/>
        </w:rPr>
        <w:t> </w:t>
      </w:r>
      <w:r>
        <w:rPr>
          <w:sz w:val="20"/>
        </w:rPr>
        <w:t>основном</w:t>
      </w:r>
      <w:r>
        <w:rPr>
          <w:spacing w:val="-3"/>
          <w:sz w:val="20"/>
        </w:rPr>
        <w:t> </w:t>
      </w:r>
      <w:r>
        <w:rPr>
          <w:sz w:val="20"/>
        </w:rPr>
        <w:t>они</w:t>
      </w:r>
      <w:r>
        <w:rPr>
          <w:spacing w:val="-3"/>
          <w:sz w:val="20"/>
        </w:rPr>
        <w:t> </w:t>
      </w:r>
      <w:r>
        <w:rPr>
          <w:sz w:val="20"/>
        </w:rPr>
        <w:t>сосредоточены</w:t>
      </w:r>
      <w:r>
        <w:rPr>
          <w:spacing w:val="-3"/>
          <w:sz w:val="20"/>
        </w:rPr>
        <w:t> </w:t>
      </w:r>
      <w:r>
        <w:rPr>
          <w:sz w:val="20"/>
        </w:rPr>
        <w:t>на</w:t>
      </w:r>
      <w:r>
        <w:rPr>
          <w:spacing w:val="-3"/>
          <w:sz w:val="20"/>
        </w:rPr>
        <w:t> </w:t>
      </w:r>
      <w:r>
        <w:rPr>
          <w:sz w:val="20"/>
        </w:rPr>
        <w:t>гендерном</w:t>
      </w:r>
      <w:r>
        <w:rPr>
          <w:spacing w:val="-3"/>
          <w:sz w:val="20"/>
        </w:rPr>
        <w:t> </w:t>
      </w:r>
      <w:r>
        <w:rPr>
          <w:sz w:val="20"/>
        </w:rPr>
        <w:t>равенстве</w:t>
      </w:r>
      <w:r>
        <w:rPr>
          <w:spacing w:val="-3"/>
          <w:sz w:val="20"/>
        </w:rPr>
        <w:t> </w:t>
      </w:r>
      <w:r>
        <w:rPr>
          <w:sz w:val="20"/>
        </w:rPr>
        <w:t>и</w:t>
      </w:r>
      <w:r>
        <w:rPr>
          <w:spacing w:val="-3"/>
          <w:sz w:val="20"/>
        </w:rPr>
        <w:t> </w:t>
      </w:r>
      <w:r>
        <w:rPr>
          <w:sz w:val="20"/>
        </w:rPr>
        <w:t>трудоу- стройстве,</w:t>
      </w:r>
      <w:r>
        <w:rPr>
          <w:spacing w:val="-4"/>
          <w:sz w:val="20"/>
        </w:rPr>
        <w:t> </w:t>
      </w:r>
      <w:r>
        <w:rPr>
          <w:sz w:val="20"/>
        </w:rPr>
        <w:t>но</w:t>
      </w:r>
      <w:r>
        <w:rPr>
          <w:spacing w:val="-4"/>
          <w:sz w:val="20"/>
        </w:rPr>
        <w:t> </w:t>
      </w:r>
      <w:r>
        <w:rPr>
          <w:sz w:val="20"/>
        </w:rPr>
        <w:t>для</w:t>
      </w:r>
      <w:r>
        <w:rPr>
          <w:spacing w:val="-4"/>
          <w:sz w:val="20"/>
        </w:rPr>
        <w:t> </w:t>
      </w:r>
      <w:r>
        <w:rPr>
          <w:sz w:val="20"/>
        </w:rPr>
        <w:t>школьного</w:t>
      </w:r>
      <w:r>
        <w:rPr>
          <w:spacing w:val="-4"/>
          <w:sz w:val="20"/>
        </w:rPr>
        <w:t> </w:t>
      </w:r>
      <w:r>
        <w:rPr>
          <w:sz w:val="20"/>
        </w:rPr>
        <w:t>применения</w:t>
      </w:r>
      <w:r>
        <w:rPr>
          <w:spacing w:val="-4"/>
          <w:sz w:val="20"/>
        </w:rPr>
        <w:t> </w:t>
      </w:r>
      <w:r>
        <w:rPr>
          <w:sz w:val="20"/>
        </w:rPr>
        <w:t>может</w:t>
      </w:r>
      <w:r>
        <w:rPr>
          <w:spacing w:val="-4"/>
          <w:sz w:val="20"/>
        </w:rPr>
        <w:t> </w:t>
      </w:r>
      <w:r>
        <w:rPr>
          <w:sz w:val="20"/>
        </w:rPr>
        <w:t>пригодиться</w:t>
      </w:r>
      <w:r>
        <w:rPr>
          <w:spacing w:val="-4"/>
          <w:sz w:val="20"/>
        </w:rPr>
        <w:t> </w:t>
      </w:r>
      <w:r>
        <w:rPr>
          <w:sz w:val="20"/>
        </w:rPr>
        <w:t>общая</w:t>
      </w:r>
      <w:r>
        <w:rPr>
          <w:spacing w:val="-4"/>
          <w:sz w:val="20"/>
        </w:rPr>
        <w:t> </w:t>
      </w:r>
      <w:r>
        <w:rPr>
          <w:sz w:val="20"/>
        </w:rPr>
        <w:t>тактика</w:t>
      </w:r>
      <w:r>
        <w:rPr>
          <w:spacing w:val="-4"/>
          <w:sz w:val="20"/>
        </w:rPr>
        <w:t> </w:t>
      </w:r>
      <w:r>
        <w:rPr>
          <w:sz w:val="20"/>
        </w:rPr>
        <w:t>под- бора наставников для наставляемых, а также логика наблюдения организатора за общим процессом);</w:t>
      </w:r>
    </w:p>
    <w:p>
      <w:pPr>
        <w:pStyle w:val="ListParagraph"/>
        <w:numPr>
          <w:ilvl w:val="0"/>
          <w:numId w:val="132"/>
        </w:numPr>
        <w:tabs>
          <w:tab w:pos="425" w:val="left" w:leader="none"/>
        </w:tabs>
        <w:spacing w:line="232" w:lineRule="auto" w:before="0" w:after="0"/>
        <w:ind w:left="425" w:right="139" w:hanging="284"/>
        <w:jc w:val="both"/>
        <w:rPr>
          <w:sz w:val="20"/>
        </w:rPr>
      </w:pPr>
      <w:r>
        <w:rPr>
          <w:color w:val="2255A6"/>
          <w:sz w:val="20"/>
          <w:u w:val="single" w:color="2255A6"/>
        </w:rPr>
        <w:t>набор</w:t>
      </w:r>
      <w:r>
        <w:rPr>
          <w:color w:val="2255A6"/>
          <w:spacing w:val="-4"/>
          <w:sz w:val="20"/>
          <w:u w:val="single" w:color="2255A6"/>
        </w:rPr>
        <w:t> </w:t>
      </w:r>
      <w:r>
        <w:rPr>
          <w:color w:val="2255A6"/>
          <w:sz w:val="20"/>
          <w:u w:val="single" w:color="2255A6"/>
        </w:rPr>
        <w:t>инструментов</w:t>
      </w:r>
      <w:r>
        <w:rPr>
          <w:color w:val="2255A6"/>
          <w:spacing w:val="-4"/>
          <w:sz w:val="20"/>
          <w:u w:val="single" w:color="2255A6"/>
        </w:rPr>
        <w:t> </w:t>
      </w:r>
      <w:r>
        <w:rPr>
          <w:color w:val="2255A6"/>
          <w:sz w:val="20"/>
          <w:u w:val="single" w:color="2255A6"/>
        </w:rPr>
        <w:t>по</w:t>
      </w:r>
      <w:r>
        <w:rPr>
          <w:color w:val="2255A6"/>
          <w:spacing w:val="-4"/>
          <w:sz w:val="20"/>
          <w:u w:val="single" w:color="2255A6"/>
        </w:rPr>
        <w:t> </w:t>
      </w:r>
      <w:r>
        <w:rPr>
          <w:color w:val="2255A6"/>
          <w:sz w:val="20"/>
          <w:u w:val="single" w:color="2255A6"/>
        </w:rPr>
        <w:t>наставничеству</w:t>
      </w:r>
      <w:r>
        <w:rPr>
          <w:color w:val="2255A6"/>
          <w:spacing w:val="-4"/>
          <w:sz w:val="20"/>
          <w:u w:val="single" w:color="2255A6"/>
        </w:rPr>
        <w:t> </w:t>
      </w:r>
      <w:r>
        <w:rPr>
          <w:color w:val="2255A6"/>
          <w:sz w:val="20"/>
          <w:u w:val="single" w:color="2255A6"/>
        </w:rPr>
        <w:t>из</w:t>
      </w:r>
      <w:r>
        <w:rPr>
          <w:color w:val="2255A6"/>
          <w:spacing w:val="-4"/>
          <w:sz w:val="20"/>
          <w:u w:val="single" w:color="2255A6"/>
        </w:rPr>
        <w:t> </w:t>
      </w:r>
      <w:r>
        <w:rPr>
          <w:color w:val="2255A6"/>
          <w:sz w:val="20"/>
          <w:u w:val="single" w:color="2255A6"/>
        </w:rPr>
        <w:t>Онтарио</w:t>
      </w:r>
      <w:r>
        <w:rPr>
          <w:color w:val="2255A6"/>
          <w:spacing w:val="-4"/>
          <w:sz w:val="20"/>
        </w:rPr>
        <w:t> </w:t>
      </w:r>
      <w:r>
        <w:rPr>
          <w:sz w:val="20"/>
        </w:rPr>
        <w:t>(Toolkit</w:t>
      </w:r>
      <w:r>
        <w:rPr>
          <w:spacing w:val="-4"/>
          <w:sz w:val="20"/>
        </w:rPr>
        <w:t> </w:t>
      </w:r>
      <w:r>
        <w:rPr>
          <w:sz w:val="20"/>
        </w:rPr>
        <w:t>on</w:t>
      </w:r>
      <w:r>
        <w:rPr>
          <w:spacing w:val="-4"/>
          <w:sz w:val="20"/>
        </w:rPr>
        <w:t> </w:t>
      </w:r>
      <w:r>
        <w:rPr>
          <w:color w:val="231F20"/>
          <w:sz w:val="20"/>
        </w:rPr>
        <w:t>effective</w:t>
      </w:r>
      <w:r>
        <w:rPr>
          <w:color w:val="231F20"/>
          <w:spacing w:val="-4"/>
          <w:sz w:val="20"/>
        </w:rPr>
        <w:t> </w:t>
      </w:r>
      <w:r>
        <w:rPr>
          <w:color w:val="231F20"/>
          <w:sz w:val="20"/>
        </w:rPr>
        <w:t>mentoring for youth facing barriers to success, 2016</w:t>
      </w:r>
      <w:r>
        <w:rPr>
          <w:sz w:val="20"/>
        </w:rPr>
        <w:t>), созданный для работы с молодежью, ко- торая сталкивается с препятствиями на пути к успеху из-за трудностей в жизни, высокого</w:t>
      </w:r>
      <w:r>
        <w:rPr>
          <w:spacing w:val="-3"/>
          <w:sz w:val="20"/>
        </w:rPr>
        <w:t> </w:t>
      </w:r>
      <w:r>
        <w:rPr>
          <w:sz w:val="20"/>
        </w:rPr>
        <w:t>уровня</w:t>
      </w:r>
      <w:r>
        <w:rPr>
          <w:spacing w:val="-3"/>
          <w:sz w:val="20"/>
        </w:rPr>
        <w:t> </w:t>
      </w:r>
      <w:r>
        <w:rPr>
          <w:sz w:val="20"/>
        </w:rPr>
        <w:t>уязвимости</w:t>
      </w:r>
      <w:r>
        <w:rPr>
          <w:spacing w:val="-3"/>
          <w:sz w:val="20"/>
        </w:rPr>
        <w:t> </w:t>
      </w:r>
      <w:r>
        <w:rPr>
          <w:sz w:val="20"/>
        </w:rPr>
        <w:t>и</w:t>
      </w:r>
      <w:r>
        <w:rPr>
          <w:spacing w:val="-3"/>
          <w:sz w:val="20"/>
        </w:rPr>
        <w:t> </w:t>
      </w:r>
      <w:r>
        <w:rPr>
          <w:sz w:val="20"/>
        </w:rPr>
        <w:t>маргинализации</w:t>
      </w:r>
      <w:r>
        <w:rPr>
          <w:spacing w:val="-3"/>
          <w:sz w:val="20"/>
        </w:rPr>
        <w:t> </w:t>
      </w:r>
      <w:r>
        <w:rPr>
          <w:sz w:val="20"/>
        </w:rPr>
        <w:t>–</w:t>
      </w:r>
      <w:r>
        <w:rPr>
          <w:spacing w:val="-3"/>
          <w:sz w:val="20"/>
        </w:rPr>
        <w:t> </w:t>
      </w:r>
      <w:r>
        <w:rPr>
          <w:sz w:val="20"/>
        </w:rPr>
        <w:t>к</w:t>
      </w:r>
      <w:r>
        <w:rPr>
          <w:spacing w:val="-3"/>
          <w:sz w:val="20"/>
        </w:rPr>
        <w:t> </w:t>
      </w:r>
      <w:r>
        <w:rPr>
          <w:sz w:val="20"/>
        </w:rPr>
        <w:t>такой</w:t>
      </w:r>
      <w:r>
        <w:rPr>
          <w:spacing w:val="-3"/>
          <w:sz w:val="20"/>
        </w:rPr>
        <w:t> </w:t>
      </w:r>
      <w:r>
        <w:rPr>
          <w:sz w:val="20"/>
        </w:rPr>
        <w:t>категории</w:t>
      </w:r>
      <w:r>
        <w:rPr>
          <w:spacing w:val="-3"/>
          <w:sz w:val="20"/>
        </w:rPr>
        <w:t> </w:t>
      </w:r>
      <w:r>
        <w:rPr>
          <w:sz w:val="20"/>
        </w:rPr>
        <w:t>как</w:t>
      </w:r>
      <w:r>
        <w:rPr>
          <w:spacing w:val="-3"/>
          <w:sz w:val="20"/>
        </w:rPr>
        <w:t> </w:t>
      </w:r>
      <w:r>
        <w:rPr>
          <w:sz w:val="20"/>
        </w:rPr>
        <w:t>раз</w:t>
      </w:r>
      <w:r>
        <w:rPr>
          <w:spacing w:val="-3"/>
          <w:sz w:val="20"/>
        </w:rPr>
        <w:t> </w:t>
      </w:r>
      <w:r>
        <w:rPr>
          <w:sz w:val="20"/>
        </w:rPr>
        <w:t>отно- сятся дети с опытом миграции;</w:t>
      </w:r>
    </w:p>
    <w:p>
      <w:pPr>
        <w:pStyle w:val="ListParagraph"/>
        <w:numPr>
          <w:ilvl w:val="0"/>
          <w:numId w:val="132"/>
        </w:numPr>
        <w:tabs>
          <w:tab w:pos="425" w:val="left" w:leader="none"/>
        </w:tabs>
        <w:spacing w:line="230" w:lineRule="auto" w:before="0" w:after="0"/>
        <w:ind w:left="425" w:right="139" w:hanging="284"/>
        <w:jc w:val="both"/>
        <w:rPr>
          <w:sz w:val="20"/>
        </w:rPr>
      </w:pPr>
      <w:r>
        <w:rPr>
          <w:color w:val="231F20"/>
          <w:sz w:val="20"/>
        </w:rPr>
        <w:t>инструменты из провинции Альберта </w:t>
      </w:r>
      <w:hyperlink r:id="rId128">
        <w:r>
          <w:rPr>
            <w:color w:val="2255A6"/>
            <w:sz w:val="20"/>
            <w:u w:val="single" w:color="2255A6"/>
          </w:rPr>
          <w:t>https://albertamentors.ca/mentoring-in-</w:t>
        </w:r>
      </w:hyperlink>
      <w:r>
        <w:rPr>
          <w:color w:val="2255A6"/>
          <w:sz w:val="20"/>
        </w:rPr>
        <w:t> </w:t>
      </w:r>
      <w:hyperlink r:id="rId128">
        <w:r>
          <w:rPr>
            <w:color w:val="2255A6"/>
            <w:sz w:val="20"/>
            <w:u w:val="single" w:color="2255A6"/>
          </w:rPr>
          <w:t>schools/</w:t>
        </w:r>
      </w:hyperlink>
      <w:r>
        <w:rPr>
          <w:color w:val="2255A6"/>
          <w:sz w:val="20"/>
        </w:rPr>
        <w:t> </w:t>
      </w:r>
      <w:r>
        <w:rPr>
          <w:sz w:val="20"/>
        </w:rPr>
        <w:t>– от общих гайдов по наставничеству для детей и подростков до кон- кретных</w:t>
      </w:r>
      <w:r>
        <w:rPr>
          <w:spacing w:val="-2"/>
          <w:sz w:val="20"/>
        </w:rPr>
        <w:t> </w:t>
      </w:r>
      <w:r>
        <w:rPr>
          <w:sz w:val="20"/>
        </w:rPr>
        <w:t>планов</w:t>
      </w:r>
      <w:r>
        <w:rPr>
          <w:spacing w:val="-2"/>
          <w:sz w:val="20"/>
        </w:rPr>
        <w:t> </w:t>
      </w:r>
      <w:r>
        <w:rPr>
          <w:sz w:val="20"/>
        </w:rPr>
        <w:t>занятий,</w:t>
      </w:r>
      <w:r>
        <w:rPr>
          <w:spacing w:val="-2"/>
          <w:sz w:val="20"/>
        </w:rPr>
        <w:t> </w:t>
      </w:r>
      <w:r>
        <w:rPr>
          <w:sz w:val="20"/>
        </w:rPr>
        <w:t>например</w:t>
      </w:r>
      <w:r>
        <w:rPr>
          <w:spacing w:val="-2"/>
          <w:sz w:val="20"/>
        </w:rPr>
        <w:t> </w:t>
      </w:r>
      <w:r>
        <w:rPr>
          <w:color w:val="2255A6"/>
          <w:sz w:val="20"/>
          <w:u w:val="single" w:color="2255A6"/>
        </w:rPr>
        <w:t>создания</w:t>
      </w:r>
      <w:r>
        <w:rPr>
          <w:color w:val="2255A6"/>
          <w:spacing w:val="-2"/>
          <w:sz w:val="20"/>
          <w:u w:val="single" w:color="2255A6"/>
        </w:rPr>
        <w:t> </w:t>
      </w:r>
      <w:r>
        <w:rPr>
          <w:color w:val="2255A6"/>
          <w:sz w:val="20"/>
          <w:u w:val="single" w:color="2255A6"/>
        </w:rPr>
        <w:t>языковых</w:t>
      </w:r>
      <w:r>
        <w:rPr>
          <w:color w:val="2255A6"/>
          <w:spacing w:val="-2"/>
          <w:sz w:val="20"/>
          <w:u w:val="single" w:color="2255A6"/>
        </w:rPr>
        <w:t> </w:t>
      </w:r>
      <w:r>
        <w:rPr>
          <w:color w:val="2255A6"/>
          <w:sz w:val="20"/>
          <w:u w:val="single" w:color="2255A6"/>
        </w:rPr>
        <w:t>клубов</w:t>
      </w:r>
      <w:r>
        <w:rPr>
          <w:color w:val="2255A6"/>
          <w:spacing w:val="-2"/>
          <w:sz w:val="20"/>
        </w:rPr>
        <w:t> </w:t>
      </w:r>
      <w:r>
        <w:rPr>
          <w:sz w:val="20"/>
        </w:rPr>
        <w:t>(</w:t>
      </w:r>
      <w:r>
        <w:rPr>
          <w:color w:val="231F20"/>
          <w:sz w:val="20"/>
        </w:rPr>
        <w:t>Alberta</w:t>
      </w:r>
      <w:r>
        <w:rPr>
          <w:color w:val="231F20"/>
          <w:spacing w:val="-2"/>
          <w:sz w:val="20"/>
        </w:rPr>
        <w:t> </w:t>
      </w:r>
      <w:r>
        <w:rPr>
          <w:color w:val="231F20"/>
          <w:sz w:val="20"/>
        </w:rPr>
        <w:t>Mentoring Partnership, 2017</w:t>
      </w:r>
      <w:r>
        <w:rPr>
          <w:sz w:val="20"/>
        </w:rPr>
        <w:t>).</w:t>
      </w:r>
    </w:p>
    <w:p>
      <w:pPr>
        <w:spacing w:line="228" w:lineRule="exact" w:before="108"/>
        <w:ind w:left="425" w:right="0" w:firstLine="0"/>
        <w:jc w:val="left"/>
        <w:rPr>
          <w:i/>
          <w:sz w:val="20"/>
        </w:rPr>
      </w:pPr>
      <w:r>
        <w:rPr>
          <w:i/>
          <w:spacing w:val="-4"/>
          <w:sz w:val="20"/>
        </w:rPr>
        <w:t>США:</w:t>
      </w:r>
    </w:p>
    <w:p>
      <w:pPr>
        <w:pStyle w:val="ListParagraph"/>
        <w:numPr>
          <w:ilvl w:val="0"/>
          <w:numId w:val="132"/>
        </w:numPr>
        <w:tabs>
          <w:tab w:pos="425" w:val="left" w:leader="none"/>
        </w:tabs>
        <w:spacing w:line="230" w:lineRule="auto" w:before="5" w:after="0"/>
        <w:ind w:left="425" w:right="139" w:hanging="284"/>
        <w:jc w:val="both"/>
        <w:rPr>
          <w:sz w:val="20"/>
        </w:rPr>
      </w:pPr>
      <w:r>
        <w:rPr>
          <w:color w:val="2255A6"/>
          <w:sz w:val="20"/>
          <w:u w:val="single" w:color="2255A6"/>
        </w:rPr>
        <w:t>набор</w:t>
      </w:r>
      <w:r>
        <w:rPr>
          <w:color w:val="2255A6"/>
          <w:spacing w:val="-13"/>
          <w:sz w:val="20"/>
          <w:u w:val="single" w:color="2255A6"/>
        </w:rPr>
        <w:t> </w:t>
      </w:r>
      <w:r>
        <w:rPr>
          <w:color w:val="2255A6"/>
          <w:sz w:val="20"/>
          <w:u w:val="single" w:color="2255A6"/>
        </w:rPr>
        <w:t>практик</w:t>
      </w:r>
      <w:r>
        <w:rPr>
          <w:color w:val="2255A6"/>
          <w:spacing w:val="-12"/>
          <w:sz w:val="20"/>
          <w:u w:val="single" w:color="2255A6"/>
        </w:rPr>
        <w:t> </w:t>
      </w:r>
      <w:r>
        <w:rPr>
          <w:color w:val="2255A6"/>
          <w:sz w:val="20"/>
          <w:u w:val="single" w:color="2255A6"/>
        </w:rPr>
        <w:t>по</w:t>
      </w:r>
      <w:r>
        <w:rPr>
          <w:color w:val="2255A6"/>
          <w:spacing w:val="-13"/>
          <w:sz w:val="20"/>
          <w:u w:val="single" w:color="2255A6"/>
        </w:rPr>
        <w:t> </w:t>
      </w:r>
      <w:r>
        <w:rPr>
          <w:color w:val="2255A6"/>
          <w:sz w:val="20"/>
          <w:u w:val="single" w:color="2255A6"/>
        </w:rPr>
        <w:t>работе</w:t>
      </w:r>
      <w:r>
        <w:rPr>
          <w:color w:val="2255A6"/>
          <w:spacing w:val="-12"/>
          <w:sz w:val="20"/>
          <w:u w:val="single" w:color="2255A6"/>
        </w:rPr>
        <w:t> </w:t>
      </w:r>
      <w:r>
        <w:rPr>
          <w:color w:val="2255A6"/>
          <w:sz w:val="20"/>
          <w:u w:val="single" w:color="2255A6"/>
        </w:rPr>
        <w:t>с</w:t>
      </w:r>
      <w:r>
        <w:rPr>
          <w:color w:val="2255A6"/>
          <w:spacing w:val="-13"/>
          <w:sz w:val="20"/>
          <w:u w:val="single" w:color="2255A6"/>
        </w:rPr>
        <w:t> </w:t>
      </w:r>
      <w:r>
        <w:rPr>
          <w:color w:val="2255A6"/>
          <w:sz w:val="20"/>
          <w:u w:val="single" w:color="2255A6"/>
        </w:rPr>
        <w:t>молодежью</w:t>
      </w:r>
      <w:r>
        <w:rPr>
          <w:color w:val="2255A6"/>
          <w:spacing w:val="-12"/>
          <w:sz w:val="20"/>
          <w:u w:val="single" w:color="2255A6"/>
        </w:rPr>
        <w:t> </w:t>
      </w:r>
      <w:r>
        <w:rPr>
          <w:color w:val="2255A6"/>
          <w:sz w:val="20"/>
          <w:u w:val="single" w:color="2255A6"/>
        </w:rPr>
        <w:t>с</w:t>
      </w:r>
      <w:r>
        <w:rPr>
          <w:color w:val="2255A6"/>
          <w:spacing w:val="-13"/>
          <w:sz w:val="20"/>
          <w:u w:val="single" w:color="2255A6"/>
        </w:rPr>
        <w:t> </w:t>
      </w:r>
      <w:r>
        <w:rPr>
          <w:color w:val="2255A6"/>
          <w:sz w:val="20"/>
          <w:u w:val="single" w:color="2255A6"/>
        </w:rPr>
        <w:t>миграционным</w:t>
      </w:r>
      <w:r>
        <w:rPr>
          <w:color w:val="2255A6"/>
          <w:spacing w:val="-12"/>
          <w:sz w:val="20"/>
          <w:u w:val="single" w:color="2255A6"/>
        </w:rPr>
        <w:t> </w:t>
      </w:r>
      <w:r>
        <w:rPr>
          <w:color w:val="2255A6"/>
          <w:sz w:val="20"/>
          <w:u w:val="single" w:color="2255A6"/>
        </w:rPr>
        <w:t>опытом</w:t>
      </w:r>
      <w:r>
        <w:rPr>
          <w:color w:val="2255A6"/>
          <w:spacing w:val="-13"/>
          <w:sz w:val="20"/>
          <w:u w:val="single" w:color="2255A6"/>
        </w:rPr>
        <w:t> </w:t>
      </w:r>
      <w:r>
        <w:rPr>
          <w:color w:val="2255A6"/>
          <w:sz w:val="20"/>
          <w:u w:val="single" w:color="2255A6"/>
        </w:rPr>
        <w:t>от</w:t>
      </w:r>
      <w:r>
        <w:rPr>
          <w:color w:val="2255A6"/>
          <w:spacing w:val="-12"/>
          <w:sz w:val="20"/>
          <w:u w:val="single" w:color="2255A6"/>
        </w:rPr>
        <w:t> </w:t>
      </w:r>
      <w:r>
        <w:rPr>
          <w:color w:val="2255A6"/>
          <w:sz w:val="20"/>
          <w:u w:val="single" w:color="2255A6"/>
        </w:rPr>
        <w:t>Национального</w:t>
      </w:r>
      <w:r>
        <w:rPr>
          <w:color w:val="2255A6"/>
          <w:sz w:val="20"/>
        </w:rPr>
        <w:t> </w:t>
      </w:r>
      <w:r>
        <w:rPr>
          <w:color w:val="2255A6"/>
          <w:sz w:val="20"/>
          <w:u w:val="single" w:color="2255A6"/>
        </w:rPr>
        <w:t>ресурсного</w:t>
      </w:r>
      <w:r>
        <w:rPr>
          <w:color w:val="2255A6"/>
          <w:spacing w:val="-8"/>
          <w:sz w:val="20"/>
          <w:u w:val="single" w:color="2255A6"/>
        </w:rPr>
        <w:t> </w:t>
      </w:r>
      <w:r>
        <w:rPr>
          <w:color w:val="2255A6"/>
          <w:sz w:val="20"/>
          <w:u w:val="single" w:color="2255A6"/>
        </w:rPr>
        <w:t>центра</w:t>
      </w:r>
      <w:r>
        <w:rPr>
          <w:color w:val="2255A6"/>
          <w:spacing w:val="-8"/>
          <w:sz w:val="20"/>
          <w:u w:val="single" w:color="2255A6"/>
        </w:rPr>
        <w:t> </w:t>
      </w:r>
      <w:r>
        <w:rPr>
          <w:color w:val="2255A6"/>
          <w:sz w:val="20"/>
          <w:u w:val="single" w:color="2255A6"/>
        </w:rPr>
        <w:t>по</w:t>
      </w:r>
      <w:r>
        <w:rPr>
          <w:color w:val="2255A6"/>
          <w:spacing w:val="-8"/>
          <w:sz w:val="20"/>
          <w:u w:val="single" w:color="2255A6"/>
        </w:rPr>
        <w:t> </w:t>
      </w:r>
      <w:r>
        <w:rPr>
          <w:color w:val="2255A6"/>
          <w:sz w:val="20"/>
          <w:u w:val="single" w:color="2255A6"/>
        </w:rPr>
        <w:t>наставничеству</w:t>
      </w:r>
      <w:r>
        <w:rPr>
          <w:color w:val="2255A6"/>
          <w:spacing w:val="-8"/>
          <w:sz w:val="20"/>
          <w:u w:val="single" w:color="2255A6"/>
        </w:rPr>
        <w:t> </w:t>
      </w:r>
      <w:r>
        <w:rPr>
          <w:color w:val="2255A6"/>
          <w:sz w:val="20"/>
          <w:u w:val="single" w:color="2255A6"/>
        </w:rPr>
        <w:t>из</w:t>
      </w:r>
      <w:r>
        <w:rPr>
          <w:color w:val="2255A6"/>
          <w:spacing w:val="-8"/>
          <w:sz w:val="20"/>
          <w:u w:val="single" w:color="2255A6"/>
        </w:rPr>
        <w:t> </w:t>
      </w:r>
      <w:r>
        <w:rPr>
          <w:color w:val="2255A6"/>
          <w:sz w:val="20"/>
          <w:u w:val="single" w:color="2255A6"/>
        </w:rPr>
        <w:t>Бостона</w:t>
      </w:r>
      <w:r>
        <w:rPr>
          <w:color w:val="2255A6"/>
          <w:spacing w:val="-8"/>
          <w:sz w:val="20"/>
        </w:rPr>
        <w:t> </w:t>
      </w:r>
      <w:r>
        <w:rPr>
          <w:sz w:val="20"/>
        </w:rPr>
        <w:t>(</w:t>
      </w:r>
      <w:r>
        <w:rPr>
          <w:color w:val="231F20"/>
          <w:sz w:val="20"/>
        </w:rPr>
        <w:t>MENTOR,</w:t>
      </w:r>
      <w:r>
        <w:rPr>
          <w:color w:val="231F20"/>
          <w:spacing w:val="-8"/>
          <w:sz w:val="20"/>
        </w:rPr>
        <w:t> </w:t>
      </w:r>
      <w:r>
        <w:rPr>
          <w:color w:val="231F20"/>
          <w:sz w:val="20"/>
        </w:rPr>
        <w:t>2011)</w:t>
      </w:r>
      <w:r>
        <w:rPr>
          <w:color w:val="231F20"/>
          <w:spacing w:val="-8"/>
          <w:sz w:val="20"/>
        </w:rPr>
        <w:t> </w:t>
      </w:r>
      <w:r>
        <w:rPr>
          <w:color w:val="231F20"/>
          <w:sz w:val="20"/>
        </w:rPr>
        <w:t>–</w:t>
      </w:r>
      <w:r>
        <w:rPr>
          <w:color w:val="231F20"/>
          <w:spacing w:val="-8"/>
          <w:sz w:val="20"/>
        </w:rPr>
        <w:t> </w:t>
      </w:r>
      <w:r>
        <w:rPr>
          <w:sz w:val="20"/>
        </w:rPr>
        <w:t>отсюда</w:t>
      </w:r>
      <w:r>
        <w:rPr>
          <w:spacing w:val="-8"/>
          <w:sz w:val="20"/>
        </w:rPr>
        <w:t> </w:t>
      </w:r>
      <w:r>
        <w:rPr>
          <w:sz w:val="20"/>
        </w:rPr>
        <w:t>мож- но</w:t>
      </w:r>
      <w:r>
        <w:rPr>
          <w:spacing w:val="-5"/>
          <w:sz w:val="20"/>
        </w:rPr>
        <w:t> </w:t>
      </w:r>
      <w:r>
        <w:rPr>
          <w:sz w:val="20"/>
        </w:rPr>
        <w:t>взять</w:t>
      </w:r>
      <w:r>
        <w:rPr>
          <w:spacing w:val="-5"/>
          <w:sz w:val="20"/>
        </w:rPr>
        <w:t> </w:t>
      </w:r>
      <w:r>
        <w:rPr>
          <w:sz w:val="20"/>
        </w:rPr>
        <w:t>конкретные</w:t>
      </w:r>
      <w:r>
        <w:rPr>
          <w:spacing w:val="-5"/>
          <w:sz w:val="20"/>
        </w:rPr>
        <w:t> </w:t>
      </w:r>
      <w:r>
        <w:rPr>
          <w:sz w:val="20"/>
        </w:rPr>
        <w:t>практики</w:t>
      </w:r>
      <w:r>
        <w:rPr>
          <w:spacing w:val="-5"/>
          <w:sz w:val="20"/>
        </w:rPr>
        <w:t> </w:t>
      </w:r>
      <w:r>
        <w:rPr>
          <w:sz w:val="20"/>
        </w:rPr>
        <w:t>работы</w:t>
      </w:r>
      <w:r>
        <w:rPr>
          <w:spacing w:val="-5"/>
          <w:sz w:val="20"/>
        </w:rPr>
        <w:t> </w:t>
      </w:r>
      <w:r>
        <w:rPr>
          <w:sz w:val="20"/>
        </w:rPr>
        <w:t>с</w:t>
      </w:r>
      <w:r>
        <w:rPr>
          <w:spacing w:val="-5"/>
          <w:sz w:val="20"/>
        </w:rPr>
        <w:t> </w:t>
      </w:r>
      <w:r>
        <w:rPr>
          <w:sz w:val="20"/>
        </w:rPr>
        <w:t>детьми</w:t>
      </w:r>
      <w:r>
        <w:rPr>
          <w:spacing w:val="-5"/>
          <w:sz w:val="20"/>
        </w:rPr>
        <w:t> </w:t>
      </w:r>
      <w:r>
        <w:rPr>
          <w:sz w:val="20"/>
        </w:rPr>
        <w:t>с</w:t>
      </w:r>
      <w:r>
        <w:rPr>
          <w:spacing w:val="-5"/>
          <w:sz w:val="20"/>
        </w:rPr>
        <w:t> </w:t>
      </w:r>
      <w:r>
        <w:rPr>
          <w:sz w:val="20"/>
        </w:rPr>
        <w:t>миграционным</w:t>
      </w:r>
      <w:r>
        <w:rPr>
          <w:spacing w:val="-5"/>
          <w:sz w:val="20"/>
        </w:rPr>
        <w:t> </w:t>
      </w:r>
      <w:r>
        <w:rPr>
          <w:sz w:val="20"/>
        </w:rPr>
        <w:t>опытом,</w:t>
      </w:r>
      <w:r>
        <w:rPr>
          <w:spacing w:val="-5"/>
          <w:sz w:val="20"/>
        </w:rPr>
        <w:t> </w:t>
      </w:r>
      <w:r>
        <w:rPr>
          <w:sz w:val="20"/>
        </w:rPr>
        <w:t>адапти- ровав их под запрос своей школы;</w:t>
      </w:r>
    </w:p>
    <w:p>
      <w:pPr>
        <w:pStyle w:val="ListParagraph"/>
        <w:numPr>
          <w:ilvl w:val="0"/>
          <w:numId w:val="132"/>
        </w:numPr>
        <w:tabs>
          <w:tab w:pos="425" w:val="left" w:leader="none"/>
        </w:tabs>
        <w:spacing w:line="232" w:lineRule="auto" w:before="2" w:after="0"/>
        <w:ind w:left="425" w:right="139" w:hanging="284"/>
        <w:jc w:val="both"/>
        <w:rPr>
          <w:sz w:val="20"/>
        </w:rPr>
      </w:pPr>
      <w:r>
        <w:rPr>
          <w:color w:val="231F20"/>
          <w:sz w:val="20"/>
        </w:rPr>
        <w:t>портал</w:t>
      </w:r>
      <w:r>
        <w:rPr>
          <w:color w:val="231F20"/>
          <w:spacing w:val="-13"/>
          <w:sz w:val="20"/>
        </w:rPr>
        <w:t> </w:t>
      </w:r>
      <w:r>
        <w:rPr>
          <w:color w:val="231F20"/>
          <w:sz w:val="20"/>
        </w:rPr>
        <w:t>BRYCS</w:t>
      </w:r>
      <w:r>
        <w:rPr>
          <w:color w:val="231F20"/>
          <w:spacing w:val="-12"/>
          <w:sz w:val="20"/>
        </w:rPr>
        <w:t> </w:t>
      </w:r>
      <w:r>
        <w:rPr>
          <w:color w:val="231F20"/>
          <w:sz w:val="20"/>
        </w:rPr>
        <w:t>о</w:t>
      </w:r>
      <w:r>
        <w:rPr>
          <w:color w:val="231F20"/>
          <w:spacing w:val="-13"/>
          <w:sz w:val="20"/>
        </w:rPr>
        <w:t> </w:t>
      </w:r>
      <w:r>
        <w:rPr>
          <w:color w:val="231F20"/>
          <w:sz w:val="20"/>
        </w:rPr>
        <w:t>сопровождении</w:t>
      </w:r>
      <w:r>
        <w:rPr>
          <w:color w:val="231F20"/>
          <w:spacing w:val="-12"/>
          <w:sz w:val="20"/>
        </w:rPr>
        <w:t> </w:t>
      </w:r>
      <w:r>
        <w:rPr>
          <w:color w:val="231F20"/>
          <w:sz w:val="20"/>
        </w:rPr>
        <w:t>детей,</w:t>
      </w:r>
      <w:r>
        <w:rPr>
          <w:color w:val="231F20"/>
          <w:spacing w:val="-13"/>
          <w:sz w:val="20"/>
        </w:rPr>
        <w:t> </w:t>
      </w:r>
      <w:r>
        <w:rPr>
          <w:color w:val="231F20"/>
          <w:sz w:val="20"/>
        </w:rPr>
        <w:t>подростков</w:t>
      </w:r>
      <w:r>
        <w:rPr>
          <w:color w:val="231F20"/>
          <w:spacing w:val="-12"/>
          <w:sz w:val="20"/>
        </w:rPr>
        <w:t> </w:t>
      </w:r>
      <w:r>
        <w:rPr>
          <w:color w:val="231F20"/>
          <w:sz w:val="20"/>
        </w:rPr>
        <w:t>и</w:t>
      </w:r>
      <w:r>
        <w:rPr>
          <w:color w:val="231F20"/>
          <w:spacing w:val="-13"/>
          <w:sz w:val="20"/>
        </w:rPr>
        <w:t> </w:t>
      </w:r>
      <w:r>
        <w:rPr>
          <w:color w:val="231F20"/>
          <w:sz w:val="20"/>
        </w:rPr>
        <w:t>их</w:t>
      </w:r>
      <w:r>
        <w:rPr>
          <w:color w:val="231F20"/>
          <w:spacing w:val="-12"/>
          <w:sz w:val="20"/>
        </w:rPr>
        <w:t> </w:t>
      </w:r>
      <w:r>
        <w:rPr>
          <w:color w:val="231F20"/>
          <w:sz w:val="20"/>
        </w:rPr>
        <w:t>семей</w:t>
      </w:r>
      <w:r>
        <w:rPr>
          <w:color w:val="231F20"/>
          <w:spacing w:val="-13"/>
          <w:sz w:val="20"/>
        </w:rPr>
        <w:t> </w:t>
      </w:r>
      <w:r>
        <w:rPr>
          <w:color w:val="231F20"/>
          <w:sz w:val="20"/>
        </w:rPr>
        <w:t>с</w:t>
      </w:r>
      <w:r>
        <w:rPr>
          <w:color w:val="231F20"/>
          <w:spacing w:val="-12"/>
          <w:sz w:val="20"/>
        </w:rPr>
        <w:t> </w:t>
      </w:r>
      <w:r>
        <w:rPr>
          <w:color w:val="231F20"/>
          <w:sz w:val="20"/>
        </w:rPr>
        <w:t>опытом</w:t>
      </w:r>
      <w:r>
        <w:rPr>
          <w:color w:val="231F20"/>
          <w:spacing w:val="-13"/>
          <w:sz w:val="20"/>
        </w:rPr>
        <w:t> </w:t>
      </w:r>
      <w:r>
        <w:rPr>
          <w:color w:val="231F20"/>
          <w:sz w:val="20"/>
        </w:rPr>
        <w:t>миграции или</w:t>
      </w:r>
      <w:r>
        <w:rPr>
          <w:color w:val="231F20"/>
          <w:spacing w:val="-10"/>
          <w:sz w:val="20"/>
        </w:rPr>
        <w:t> </w:t>
      </w:r>
      <w:r>
        <w:rPr>
          <w:color w:val="231F20"/>
          <w:sz w:val="20"/>
        </w:rPr>
        <w:t>беженства</w:t>
      </w:r>
      <w:r>
        <w:rPr>
          <w:color w:val="231F20"/>
          <w:spacing w:val="-10"/>
          <w:sz w:val="20"/>
        </w:rPr>
        <w:t> </w:t>
      </w:r>
      <w:hyperlink r:id="rId129">
        <w:r>
          <w:rPr>
            <w:color w:val="2255A6"/>
            <w:sz w:val="20"/>
            <w:u w:val="single" w:color="2255A6"/>
          </w:rPr>
          <w:t>https://brycs.org/youth-development/mentoring-refugee-youth/</w:t>
        </w:r>
      </w:hyperlink>
      <w:r>
        <w:rPr>
          <w:color w:val="2255A6"/>
          <w:spacing w:val="-10"/>
          <w:sz w:val="20"/>
        </w:rPr>
        <w:t> </w:t>
      </w:r>
      <w:r>
        <w:rPr>
          <w:sz w:val="20"/>
        </w:rPr>
        <w:t>–</w:t>
      </w:r>
      <w:r>
        <w:rPr>
          <w:spacing w:val="-10"/>
          <w:sz w:val="20"/>
        </w:rPr>
        <w:t> </w:t>
      </w:r>
      <w:r>
        <w:rPr>
          <w:sz w:val="20"/>
        </w:rPr>
        <w:t>здесь собраны полезные ссылки на основные материалы о том, зачем нужно настав- ничество, как подбирать наставников, какие тренинги для них проводить и как оценивать эффективность проведенной работы.</w:t>
      </w:r>
    </w:p>
    <w:p>
      <w:pPr>
        <w:spacing w:line="228" w:lineRule="exact" w:before="106"/>
        <w:ind w:left="425" w:right="0" w:firstLine="0"/>
        <w:jc w:val="left"/>
        <w:rPr>
          <w:sz w:val="20"/>
        </w:rPr>
      </w:pPr>
      <w:r>
        <w:rPr>
          <w:i/>
          <w:spacing w:val="-2"/>
          <w:sz w:val="20"/>
        </w:rPr>
        <w:t>Европа</w:t>
      </w:r>
      <w:r>
        <w:rPr>
          <w:spacing w:val="-2"/>
          <w:sz w:val="20"/>
        </w:rPr>
        <w:t>:</w:t>
      </w:r>
    </w:p>
    <w:p>
      <w:pPr>
        <w:pStyle w:val="ListParagraph"/>
        <w:numPr>
          <w:ilvl w:val="0"/>
          <w:numId w:val="132"/>
        </w:numPr>
        <w:tabs>
          <w:tab w:pos="425" w:val="left" w:leader="none"/>
        </w:tabs>
        <w:spacing w:line="228" w:lineRule="auto" w:before="7" w:after="0"/>
        <w:ind w:left="425" w:right="139" w:hanging="284"/>
        <w:jc w:val="both"/>
        <w:rPr>
          <w:sz w:val="20"/>
        </w:rPr>
      </w:pPr>
      <w:r>
        <w:rPr>
          <w:color w:val="2255A6"/>
          <w:sz w:val="20"/>
          <w:u w:val="single" w:color="2255A6"/>
        </w:rPr>
        <w:t>пособие</w:t>
      </w:r>
      <w:r>
        <w:rPr>
          <w:color w:val="2255A6"/>
          <w:spacing w:val="-13"/>
          <w:sz w:val="20"/>
          <w:u w:val="single" w:color="2255A6"/>
        </w:rPr>
        <w:t> </w:t>
      </w:r>
      <w:r>
        <w:rPr>
          <w:color w:val="2255A6"/>
          <w:sz w:val="20"/>
          <w:u w:val="single" w:color="2255A6"/>
        </w:rPr>
        <w:t>проекта</w:t>
      </w:r>
      <w:r>
        <w:rPr>
          <w:color w:val="2255A6"/>
          <w:spacing w:val="-12"/>
          <w:sz w:val="20"/>
          <w:u w:val="single" w:color="2255A6"/>
        </w:rPr>
        <w:t> </w:t>
      </w:r>
      <w:r>
        <w:rPr>
          <w:color w:val="2255A6"/>
          <w:sz w:val="20"/>
          <w:u w:val="single" w:color="2255A6"/>
        </w:rPr>
        <w:t>«Сириус»</w:t>
      </w:r>
      <w:r>
        <w:rPr>
          <w:color w:val="2255A6"/>
          <w:spacing w:val="-13"/>
          <w:sz w:val="20"/>
          <w:u w:val="single" w:color="2255A6"/>
        </w:rPr>
        <w:t> </w:t>
      </w:r>
      <w:r>
        <w:rPr>
          <w:color w:val="2255A6"/>
          <w:sz w:val="20"/>
          <w:u w:val="single" w:color="2255A6"/>
        </w:rPr>
        <w:t>по</w:t>
      </w:r>
      <w:r>
        <w:rPr>
          <w:color w:val="2255A6"/>
          <w:spacing w:val="-12"/>
          <w:sz w:val="20"/>
          <w:u w:val="single" w:color="2255A6"/>
        </w:rPr>
        <w:t> </w:t>
      </w:r>
      <w:r>
        <w:rPr>
          <w:color w:val="2255A6"/>
          <w:sz w:val="20"/>
          <w:u w:val="single" w:color="2255A6"/>
        </w:rPr>
        <w:t>сопровождению</w:t>
      </w:r>
      <w:r>
        <w:rPr>
          <w:color w:val="2255A6"/>
          <w:spacing w:val="-13"/>
          <w:sz w:val="20"/>
          <w:u w:val="single" w:color="2255A6"/>
        </w:rPr>
        <w:t> </w:t>
      </w:r>
      <w:r>
        <w:rPr>
          <w:color w:val="2255A6"/>
          <w:sz w:val="20"/>
          <w:u w:val="single" w:color="2255A6"/>
        </w:rPr>
        <w:t>детей</w:t>
      </w:r>
      <w:r>
        <w:rPr>
          <w:color w:val="2255A6"/>
          <w:spacing w:val="-12"/>
          <w:sz w:val="20"/>
          <w:u w:val="single" w:color="2255A6"/>
        </w:rPr>
        <w:t> </w:t>
      </w:r>
      <w:r>
        <w:rPr>
          <w:color w:val="2255A6"/>
          <w:sz w:val="20"/>
          <w:u w:val="single" w:color="2255A6"/>
        </w:rPr>
        <w:t>и</w:t>
      </w:r>
      <w:r>
        <w:rPr>
          <w:color w:val="2255A6"/>
          <w:spacing w:val="-13"/>
          <w:sz w:val="20"/>
          <w:u w:val="single" w:color="2255A6"/>
        </w:rPr>
        <w:t> </w:t>
      </w:r>
      <w:r>
        <w:rPr>
          <w:color w:val="2255A6"/>
          <w:sz w:val="20"/>
          <w:u w:val="single" w:color="2255A6"/>
        </w:rPr>
        <w:t>молодежи</w:t>
      </w:r>
      <w:r>
        <w:rPr>
          <w:color w:val="2255A6"/>
          <w:spacing w:val="-12"/>
          <w:sz w:val="20"/>
          <w:u w:val="single" w:color="2255A6"/>
        </w:rPr>
        <w:t> </w:t>
      </w:r>
      <w:r>
        <w:rPr>
          <w:color w:val="2255A6"/>
          <w:sz w:val="20"/>
          <w:u w:val="single" w:color="2255A6"/>
        </w:rPr>
        <w:t>с</w:t>
      </w:r>
      <w:r>
        <w:rPr>
          <w:color w:val="2255A6"/>
          <w:spacing w:val="-13"/>
          <w:sz w:val="20"/>
          <w:u w:val="single" w:color="2255A6"/>
        </w:rPr>
        <w:t> </w:t>
      </w:r>
      <w:r>
        <w:rPr>
          <w:color w:val="2255A6"/>
          <w:sz w:val="20"/>
          <w:u w:val="single" w:color="2255A6"/>
        </w:rPr>
        <w:t>миграционным</w:t>
      </w:r>
      <w:r>
        <w:rPr>
          <w:color w:val="2255A6"/>
          <w:sz w:val="20"/>
        </w:rPr>
        <w:t> </w:t>
      </w:r>
      <w:r>
        <w:rPr>
          <w:color w:val="2255A6"/>
          <w:sz w:val="20"/>
          <w:u w:val="single" w:color="2255A6"/>
        </w:rPr>
        <w:t>опытом</w:t>
      </w:r>
      <w:r>
        <w:rPr>
          <w:color w:val="2255A6"/>
          <w:spacing w:val="-8"/>
          <w:sz w:val="20"/>
        </w:rPr>
        <w:t> </w:t>
      </w:r>
      <w:r>
        <w:rPr>
          <w:sz w:val="20"/>
        </w:rPr>
        <w:t>(</w:t>
      </w:r>
      <w:r>
        <w:rPr>
          <w:color w:val="231F20"/>
          <w:sz w:val="20"/>
        </w:rPr>
        <w:t>Mentoring</w:t>
      </w:r>
      <w:r>
        <w:rPr>
          <w:color w:val="231F20"/>
          <w:spacing w:val="-8"/>
          <w:sz w:val="20"/>
        </w:rPr>
        <w:t> </w:t>
      </w:r>
      <w:r>
        <w:rPr>
          <w:color w:val="231F20"/>
          <w:sz w:val="20"/>
        </w:rPr>
        <w:t>for</w:t>
      </w:r>
      <w:r>
        <w:rPr>
          <w:color w:val="231F20"/>
          <w:spacing w:val="-8"/>
          <w:sz w:val="20"/>
        </w:rPr>
        <w:t> </w:t>
      </w:r>
      <w:r>
        <w:rPr>
          <w:color w:val="231F20"/>
          <w:sz w:val="20"/>
        </w:rPr>
        <w:t>migrant</w:t>
      </w:r>
      <w:r>
        <w:rPr>
          <w:color w:val="231F20"/>
          <w:spacing w:val="-8"/>
          <w:sz w:val="20"/>
        </w:rPr>
        <w:t> </w:t>
      </w:r>
      <w:r>
        <w:rPr>
          <w:color w:val="231F20"/>
          <w:sz w:val="20"/>
        </w:rPr>
        <w:t>youth</w:t>
      </w:r>
      <w:r>
        <w:rPr>
          <w:color w:val="231F20"/>
          <w:spacing w:val="-8"/>
          <w:sz w:val="20"/>
        </w:rPr>
        <w:t> </w:t>
      </w:r>
      <w:r>
        <w:rPr>
          <w:color w:val="231F20"/>
          <w:sz w:val="20"/>
        </w:rPr>
        <w:t>in</w:t>
      </w:r>
      <w:r>
        <w:rPr>
          <w:color w:val="231F20"/>
          <w:spacing w:val="-8"/>
          <w:sz w:val="20"/>
        </w:rPr>
        <w:t> </w:t>
      </w:r>
      <w:r>
        <w:rPr>
          <w:color w:val="231F20"/>
          <w:sz w:val="20"/>
        </w:rPr>
        <w:t>education</w:t>
      </w:r>
      <w:r>
        <w:rPr>
          <w:sz w:val="20"/>
        </w:rPr>
        <w:t>,</w:t>
      </w:r>
      <w:r>
        <w:rPr>
          <w:spacing w:val="-8"/>
          <w:sz w:val="20"/>
        </w:rPr>
        <w:t> </w:t>
      </w:r>
      <w:r>
        <w:rPr>
          <w:sz w:val="20"/>
        </w:rPr>
        <w:t>2018)</w:t>
      </w:r>
      <w:r>
        <w:rPr>
          <w:spacing w:val="-8"/>
          <w:sz w:val="20"/>
        </w:rPr>
        <w:t> </w:t>
      </w:r>
      <w:r>
        <w:rPr>
          <w:sz w:val="20"/>
        </w:rPr>
        <w:t>–</w:t>
      </w:r>
      <w:r>
        <w:rPr>
          <w:spacing w:val="-8"/>
          <w:sz w:val="20"/>
        </w:rPr>
        <w:t> </w:t>
      </w:r>
      <w:r>
        <w:rPr>
          <w:sz w:val="20"/>
        </w:rPr>
        <w:t>обзор</w:t>
      </w:r>
      <w:r>
        <w:rPr>
          <w:spacing w:val="-8"/>
          <w:sz w:val="20"/>
        </w:rPr>
        <w:t> </w:t>
      </w:r>
      <w:r>
        <w:rPr>
          <w:sz w:val="20"/>
        </w:rPr>
        <w:t>ключевых</w:t>
      </w:r>
      <w:r>
        <w:rPr>
          <w:spacing w:val="-8"/>
          <w:sz w:val="20"/>
        </w:rPr>
        <w:t> </w:t>
      </w:r>
      <w:r>
        <w:rPr>
          <w:sz w:val="20"/>
        </w:rPr>
        <w:t>принци- пов</w:t>
      </w:r>
      <w:r>
        <w:rPr>
          <w:spacing w:val="-13"/>
          <w:sz w:val="20"/>
        </w:rPr>
        <w:t> </w:t>
      </w:r>
      <w:r>
        <w:rPr>
          <w:sz w:val="20"/>
        </w:rPr>
        <w:t>работы,</w:t>
      </w:r>
      <w:r>
        <w:rPr>
          <w:spacing w:val="-12"/>
          <w:sz w:val="20"/>
        </w:rPr>
        <w:t> </w:t>
      </w:r>
      <w:r>
        <w:rPr>
          <w:sz w:val="20"/>
        </w:rPr>
        <w:t>основанных</w:t>
      </w:r>
      <w:r>
        <w:rPr>
          <w:spacing w:val="-13"/>
          <w:sz w:val="20"/>
        </w:rPr>
        <w:t> </w:t>
      </w:r>
      <w:r>
        <w:rPr>
          <w:sz w:val="20"/>
        </w:rPr>
        <w:t>на</w:t>
      </w:r>
      <w:r>
        <w:rPr>
          <w:spacing w:val="-12"/>
          <w:sz w:val="20"/>
        </w:rPr>
        <w:t> </w:t>
      </w:r>
      <w:r>
        <w:rPr>
          <w:sz w:val="20"/>
        </w:rPr>
        <w:t>практике</w:t>
      </w:r>
      <w:r>
        <w:rPr>
          <w:spacing w:val="-13"/>
          <w:sz w:val="20"/>
        </w:rPr>
        <w:t> </w:t>
      </w:r>
      <w:r>
        <w:rPr>
          <w:sz w:val="20"/>
        </w:rPr>
        <w:t>разных</w:t>
      </w:r>
      <w:r>
        <w:rPr>
          <w:spacing w:val="-12"/>
          <w:sz w:val="20"/>
        </w:rPr>
        <w:t> </w:t>
      </w:r>
      <w:r>
        <w:rPr>
          <w:sz w:val="20"/>
        </w:rPr>
        <w:t>наставнических</w:t>
      </w:r>
      <w:r>
        <w:rPr>
          <w:spacing w:val="-13"/>
          <w:sz w:val="20"/>
        </w:rPr>
        <w:t> </w:t>
      </w:r>
      <w:r>
        <w:rPr>
          <w:sz w:val="20"/>
        </w:rPr>
        <w:t>проектов</w:t>
      </w:r>
      <w:r>
        <w:rPr>
          <w:spacing w:val="-12"/>
          <w:sz w:val="20"/>
        </w:rPr>
        <w:t> </w:t>
      </w:r>
      <w:r>
        <w:rPr>
          <w:sz w:val="20"/>
        </w:rPr>
        <w:t>Евросоюза;</w:t>
      </w:r>
    </w:p>
    <w:p>
      <w:pPr>
        <w:pStyle w:val="ListParagraph"/>
        <w:numPr>
          <w:ilvl w:val="0"/>
          <w:numId w:val="132"/>
        </w:numPr>
        <w:tabs>
          <w:tab w:pos="425" w:val="left" w:leader="none"/>
        </w:tabs>
        <w:spacing w:line="228" w:lineRule="auto" w:before="5" w:after="0"/>
        <w:ind w:left="425" w:right="139" w:hanging="284"/>
        <w:jc w:val="both"/>
        <w:rPr>
          <w:sz w:val="20"/>
        </w:rPr>
      </w:pPr>
      <w:r>
        <w:rPr>
          <w:color w:val="2255A6"/>
          <w:sz w:val="20"/>
          <w:u w:val="single" w:color="2255A6"/>
        </w:rPr>
        <w:t>испанский проект, в котором наставниками детей и подростков с миграционным</w:t>
      </w:r>
      <w:r>
        <w:rPr>
          <w:color w:val="2255A6"/>
          <w:sz w:val="20"/>
        </w:rPr>
        <w:t> </w:t>
      </w:r>
      <w:r>
        <w:rPr>
          <w:color w:val="2255A6"/>
          <w:spacing w:val="-2"/>
          <w:sz w:val="20"/>
          <w:u w:val="single" w:color="2255A6"/>
        </w:rPr>
        <w:t>опытом</w:t>
      </w:r>
      <w:r>
        <w:rPr>
          <w:color w:val="2255A6"/>
          <w:spacing w:val="-4"/>
          <w:sz w:val="20"/>
          <w:u w:val="single" w:color="2255A6"/>
        </w:rPr>
        <w:t> </w:t>
      </w:r>
      <w:r>
        <w:rPr>
          <w:color w:val="2255A6"/>
          <w:spacing w:val="-2"/>
          <w:sz w:val="20"/>
          <w:u w:val="single" w:color="2255A6"/>
        </w:rPr>
        <w:t>становятся</w:t>
      </w:r>
      <w:r>
        <w:rPr>
          <w:color w:val="2255A6"/>
          <w:spacing w:val="-4"/>
          <w:sz w:val="20"/>
          <w:u w:val="single" w:color="2255A6"/>
        </w:rPr>
        <w:t> </w:t>
      </w:r>
      <w:r>
        <w:rPr>
          <w:color w:val="2255A6"/>
          <w:spacing w:val="-2"/>
          <w:sz w:val="20"/>
          <w:u w:val="single" w:color="2255A6"/>
        </w:rPr>
        <w:t>студенты</w:t>
      </w:r>
      <w:r>
        <w:rPr>
          <w:color w:val="2255A6"/>
          <w:spacing w:val="-4"/>
          <w:sz w:val="20"/>
          <w:u w:val="single" w:color="2255A6"/>
        </w:rPr>
        <w:t> </w:t>
      </w:r>
      <w:r>
        <w:rPr>
          <w:color w:val="2255A6"/>
          <w:spacing w:val="-2"/>
          <w:sz w:val="20"/>
          <w:u w:val="single" w:color="2255A6"/>
        </w:rPr>
        <w:t>из</w:t>
      </w:r>
      <w:r>
        <w:rPr>
          <w:color w:val="2255A6"/>
          <w:spacing w:val="-4"/>
          <w:sz w:val="20"/>
          <w:u w:val="single" w:color="2255A6"/>
        </w:rPr>
        <w:t> </w:t>
      </w:r>
      <w:r>
        <w:rPr>
          <w:color w:val="2255A6"/>
          <w:spacing w:val="-2"/>
          <w:sz w:val="20"/>
          <w:u w:val="single" w:color="2255A6"/>
        </w:rPr>
        <w:t>Жироны</w:t>
      </w:r>
      <w:r>
        <w:rPr>
          <w:color w:val="2255A6"/>
          <w:spacing w:val="-4"/>
          <w:sz w:val="20"/>
          <w:u w:val="single" w:color="2255A6"/>
        </w:rPr>
        <w:t> </w:t>
      </w:r>
      <w:r>
        <w:rPr>
          <w:color w:val="2255A6"/>
          <w:spacing w:val="-2"/>
          <w:sz w:val="20"/>
          <w:u w:val="single" w:color="2255A6"/>
        </w:rPr>
        <w:t>и</w:t>
      </w:r>
      <w:r>
        <w:rPr>
          <w:color w:val="2255A6"/>
          <w:spacing w:val="-4"/>
          <w:sz w:val="20"/>
          <w:u w:val="single" w:color="2255A6"/>
        </w:rPr>
        <w:t> </w:t>
      </w:r>
      <w:r>
        <w:rPr>
          <w:color w:val="2255A6"/>
          <w:spacing w:val="-2"/>
          <w:sz w:val="20"/>
          <w:u w:val="single" w:color="2255A6"/>
        </w:rPr>
        <w:t>Барселоны</w:t>
      </w:r>
      <w:r>
        <w:rPr>
          <w:color w:val="2255A6"/>
          <w:spacing w:val="-5"/>
          <w:sz w:val="20"/>
        </w:rPr>
        <w:t> </w:t>
      </w:r>
      <w:r>
        <w:rPr>
          <w:spacing w:val="-2"/>
          <w:sz w:val="20"/>
        </w:rPr>
        <w:t>(</w:t>
      </w:r>
      <w:r>
        <w:rPr>
          <w:color w:val="231F20"/>
          <w:spacing w:val="-2"/>
          <w:sz w:val="20"/>
        </w:rPr>
        <w:t>Prieto-Flores</w:t>
      </w:r>
      <w:r>
        <w:rPr>
          <w:spacing w:val="-2"/>
          <w:sz w:val="20"/>
        </w:rPr>
        <w:t>,</w:t>
      </w:r>
      <w:r>
        <w:rPr>
          <w:spacing w:val="-5"/>
          <w:sz w:val="20"/>
        </w:rPr>
        <w:t> </w:t>
      </w:r>
      <w:r>
        <w:rPr>
          <w:spacing w:val="-2"/>
          <w:sz w:val="20"/>
        </w:rPr>
        <w:t>2021)</w:t>
      </w:r>
      <w:r>
        <w:rPr>
          <w:spacing w:val="-5"/>
          <w:sz w:val="20"/>
        </w:rPr>
        <w:t> </w:t>
      </w:r>
      <w:r>
        <w:rPr>
          <w:spacing w:val="-2"/>
          <w:sz w:val="20"/>
        </w:rPr>
        <w:t>–</w:t>
      </w:r>
      <w:r>
        <w:rPr>
          <w:spacing w:val="-5"/>
          <w:sz w:val="20"/>
        </w:rPr>
        <w:t> </w:t>
      </w:r>
      <w:r>
        <w:rPr>
          <w:spacing w:val="-2"/>
          <w:sz w:val="20"/>
        </w:rPr>
        <w:t>можно узнать</w:t>
      </w:r>
      <w:r>
        <w:rPr>
          <w:spacing w:val="-10"/>
          <w:sz w:val="20"/>
        </w:rPr>
        <w:t> </w:t>
      </w:r>
      <w:r>
        <w:rPr>
          <w:spacing w:val="-2"/>
          <w:sz w:val="20"/>
        </w:rPr>
        <w:t>о</w:t>
      </w:r>
      <w:r>
        <w:rPr>
          <w:spacing w:val="-10"/>
          <w:sz w:val="20"/>
        </w:rPr>
        <w:t> </w:t>
      </w:r>
      <w:r>
        <w:rPr>
          <w:spacing w:val="-2"/>
          <w:sz w:val="20"/>
        </w:rPr>
        <w:t>наставничестве</w:t>
      </w:r>
      <w:r>
        <w:rPr>
          <w:spacing w:val="-10"/>
          <w:sz w:val="20"/>
        </w:rPr>
        <w:t> </w:t>
      </w:r>
      <w:r>
        <w:rPr>
          <w:spacing w:val="-2"/>
          <w:sz w:val="20"/>
        </w:rPr>
        <w:t>с</w:t>
      </w:r>
      <w:r>
        <w:rPr>
          <w:spacing w:val="-10"/>
          <w:sz w:val="20"/>
        </w:rPr>
        <w:t> </w:t>
      </w:r>
      <w:r>
        <w:rPr>
          <w:spacing w:val="-2"/>
          <w:sz w:val="20"/>
        </w:rPr>
        <w:t>привлечением</w:t>
      </w:r>
      <w:r>
        <w:rPr>
          <w:spacing w:val="-10"/>
          <w:sz w:val="20"/>
        </w:rPr>
        <w:t> </w:t>
      </w:r>
      <w:r>
        <w:rPr>
          <w:spacing w:val="-2"/>
          <w:sz w:val="20"/>
        </w:rPr>
        <w:t>молодежи,</w:t>
      </w:r>
      <w:r>
        <w:rPr>
          <w:spacing w:val="-10"/>
          <w:sz w:val="20"/>
        </w:rPr>
        <w:t> </w:t>
      </w:r>
      <w:r>
        <w:rPr>
          <w:spacing w:val="-2"/>
          <w:sz w:val="20"/>
        </w:rPr>
        <w:t>которая</w:t>
      </w:r>
      <w:r>
        <w:rPr>
          <w:spacing w:val="-10"/>
          <w:sz w:val="20"/>
        </w:rPr>
        <w:t> </w:t>
      </w:r>
      <w:r>
        <w:rPr>
          <w:spacing w:val="-2"/>
          <w:sz w:val="20"/>
        </w:rPr>
        <w:t>уже</w:t>
      </w:r>
      <w:r>
        <w:rPr>
          <w:spacing w:val="-10"/>
          <w:sz w:val="20"/>
        </w:rPr>
        <w:t> </w:t>
      </w:r>
      <w:r>
        <w:rPr>
          <w:spacing w:val="-2"/>
          <w:sz w:val="20"/>
        </w:rPr>
        <w:t>не</w:t>
      </w:r>
      <w:r>
        <w:rPr>
          <w:spacing w:val="-10"/>
          <w:sz w:val="20"/>
        </w:rPr>
        <w:t> </w:t>
      </w:r>
      <w:r>
        <w:rPr>
          <w:spacing w:val="-2"/>
          <w:sz w:val="20"/>
        </w:rPr>
        <w:t>учится</w:t>
      </w:r>
      <w:r>
        <w:rPr>
          <w:spacing w:val="-10"/>
          <w:sz w:val="20"/>
        </w:rPr>
        <w:t> </w:t>
      </w:r>
      <w:r>
        <w:rPr>
          <w:spacing w:val="-2"/>
          <w:sz w:val="20"/>
        </w:rPr>
        <w:t>в</w:t>
      </w:r>
      <w:r>
        <w:rPr>
          <w:spacing w:val="-10"/>
          <w:sz w:val="20"/>
        </w:rPr>
        <w:t> </w:t>
      </w:r>
      <w:r>
        <w:rPr>
          <w:spacing w:val="-2"/>
          <w:sz w:val="20"/>
        </w:rPr>
        <w:t>школе;</w:t>
      </w:r>
    </w:p>
    <w:p>
      <w:pPr>
        <w:pStyle w:val="ListParagraph"/>
        <w:numPr>
          <w:ilvl w:val="0"/>
          <w:numId w:val="132"/>
        </w:numPr>
        <w:tabs>
          <w:tab w:pos="425" w:val="left" w:leader="none"/>
        </w:tabs>
        <w:spacing w:line="230" w:lineRule="auto" w:before="5" w:after="0"/>
        <w:ind w:left="425" w:right="139" w:hanging="284"/>
        <w:jc w:val="both"/>
        <w:rPr>
          <w:sz w:val="20"/>
        </w:rPr>
      </w:pPr>
      <w:r>
        <w:rPr>
          <w:color w:val="2255A6"/>
          <w:sz w:val="20"/>
          <w:u w:val="single" w:color="2255A6"/>
        </w:rPr>
        <w:t>британское пособие по организации наставничества для детей с миграционным</w:t>
      </w:r>
      <w:r>
        <w:rPr>
          <w:color w:val="2255A6"/>
          <w:sz w:val="20"/>
        </w:rPr>
        <w:t> </w:t>
      </w:r>
      <w:r>
        <w:rPr>
          <w:color w:val="2255A6"/>
          <w:sz w:val="20"/>
          <w:u w:val="single" w:color="2255A6"/>
        </w:rPr>
        <w:t>опытом в школах</w:t>
      </w:r>
      <w:r>
        <w:rPr>
          <w:color w:val="2255A6"/>
          <w:sz w:val="20"/>
        </w:rPr>
        <w:t> </w:t>
      </w:r>
      <w:r>
        <w:rPr>
          <w:sz w:val="20"/>
        </w:rPr>
        <w:t>(</w:t>
      </w:r>
      <w:r>
        <w:rPr>
          <w:color w:val="231F20"/>
          <w:sz w:val="20"/>
        </w:rPr>
        <w:t>Mentoring Methodological Framework for MINT Project, 2021) </w:t>
      </w:r>
      <w:r>
        <w:rPr>
          <w:sz w:val="20"/>
        </w:rPr>
        <w:t>– </w:t>
      </w:r>
      <w:r>
        <w:rPr>
          <w:spacing w:val="-2"/>
          <w:sz w:val="20"/>
        </w:rPr>
        <w:t>короткие</w:t>
      </w:r>
      <w:r>
        <w:rPr>
          <w:spacing w:val="-4"/>
          <w:sz w:val="20"/>
        </w:rPr>
        <w:t> </w:t>
      </w:r>
      <w:r>
        <w:rPr>
          <w:spacing w:val="-2"/>
          <w:sz w:val="20"/>
        </w:rPr>
        <w:t>и</w:t>
      </w:r>
      <w:r>
        <w:rPr>
          <w:spacing w:val="-4"/>
          <w:sz w:val="20"/>
        </w:rPr>
        <w:t> </w:t>
      </w:r>
      <w:r>
        <w:rPr>
          <w:spacing w:val="-2"/>
          <w:sz w:val="20"/>
        </w:rPr>
        <w:t>ясные</w:t>
      </w:r>
      <w:r>
        <w:rPr>
          <w:spacing w:val="-4"/>
          <w:sz w:val="20"/>
        </w:rPr>
        <w:t> </w:t>
      </w:r>
      <w:r>
        <w:rPr>
          <w:spacing w:val="-2"/>
          <w:sz w:val="20"/>
        </w:rPr>
        <w:t>принципы,</w:t>
      </w:r>
      <w:r>
        <w:rPr>
          <w:spacing w:val="-4"/>
          <w:sz w:val="20"/>
        </w:rPr>
        <w:t> </w:t>
      </w:r>
      <w:r>
        <w:rPr>
          <w:spacing w:val="-2"/>
          <w:sz w:val="20"/>
        </w:rPr>
        <w:t>по</w:t>
      </w:r>
      <w:r>
        <w:rPr>
          <w:spacing w:val="-4"/>
          <w:sz w:val="20"/>
        </w:rPr>
        <w:t> </w:t>
      </w:r>
      <w:r>
        <w:rPr>
          <w:spacing w:val="-2"/>
          <w:sz w:val="20"/>
        </w:rPr>
        <w:t>которым</w:t>
      </w:r>
      <w:r>
        <w:rPr>
          <w:spacing w:val="-4"/>
          <w:sz w:val="20"/>
        </w:rPr>
        <w:t> </w:t>
      </w:r>
      <w:r>
        <w:rPr>
          <w:spacing w:val="-2"/>
          <w:sz w:val="20"/>
        </w:rPr>
        <w:t>можно</w:t>
      </w:r>
      <w:r>
        <w:rPr>
          <w:spacing w:val="-4"/>
          <w:sz w:val="20"/>
        </w:rPr>
        <w:t> </w:t>
      </w:r>
      <w:r>
        <w:rPr>
          <w:spacing w:val="-2"/>
          <w:sz w:val="20"/>
        </w:rPr>
        <w:t>отбирать</w:t>
      </w:r>
      <w:r>
        <w:rPr>
          <w:spacing w:val="-4"/>
          <w:sz w:val="20"/>
        </w:rPr>
        <w:t> </w:t>
      </w:r>
      <w:r>
        <w:rPr>
          <w:spacing w:val="-2"/>
          <w:sz w:val="20"/>
        </w:rPr>
        <w:t>наставников</w:t>
      </w:r>
      <w:r>
        <w:rPr>
          <w:spacing w:val="-4"/>
          <w:sz w:val="20"/>
        </w:rPr>
        <w:t> </w:t>
      </w:r>
      <w:r>
        <w:rPr>
          <w:spacing w:val="-2"/>
          <w:sz w:val="20"/>
        </w:rPr>
        <w:t>и</w:t>
      </w:r>
      <w:r>
        <w:rPr>
          <w:spacing w:val="-4"/>
          <w:sz w:val="20"/>
        </w:rPr>
        <w:t> </w:t>
      </w:r>
      <w:r>
        <w:rPr>
          <w:spacing w:val="-2"/>
          <w:sz w:val="20"/>
        </w:rPr>
        <w:t>формиро- </w:t>
      </w:r>
      <w:r>
        <w:rPr>
          <w:sz w:val="20"/>
        </w:rPr>
        <w:t>вать программу наставничества.</w:t>
      </w:r>
    </w:p>
    <w:p>
      <w:pPr>
        <w:pStyle w:val="ListParagraph"/>
        <w:spacing w:after="0" w:line="230" w:lineRule="auto"/>
        <w:jc w:val="both"/>
        <w:rPr>
          <w:sz w:val="20"/>
        </w:rPr>
        <w:sectPr>
          <w:type w:val="continuous"/>
          <w:pgSz w:w="8400" w:h="11910"/>
          <w:pgMar w:header="0" w:footer="527" w:top="1260" w:bottom="740" w:left="425" w:right="425"/>
        </w:sectPr>
      </w:pPr>
    </w:p>
    <w:p>
      <w:pPr>
        <w:pStyle w:val="BodyText"/>
        <w:spacing w:before="167"/>
        <w:ind w:left="0" w:right="0" w:firstLine="0"/>
        <w:jc w:val="left"/>
      </w:pPr>
    </w:p>
    <w:p>
      <w:pPr>
        <w:numPr>
          <w:ilvl w:val="2"/>
          <w:numId w:val="101"/>
        </w:numPr>
        <w:tabs>
          <w:tab w:pos="2012" w:val="left" w:leader="none"/>
          <w:tab w:pos="2434" w:val="left" w:leader="none"/>
        </w:tabs>
        <w:spacing w:line="235" w:lineRule="auto" w:before="0"/>
        <w:ind w:left="2012" w:right="0" w:hanging="78"/>
        <w:jc w:val="left"/>
        <w:rPr>
          <w:b/>
          <w:sz w:val="20"/>
        </w:rPr>
      </w:pPr>
      <w:r>
        <w:rPr>
          <w:b/>
          <w:color w:val="231F20"/>
          <w:sz w:val="20"/>
        </w:rPr>
        <w:t>Фестиваль</w:t>
      </w:r>
      <w:r>
        <w:rPr>
          <w:b/>
          <w:color w:val="231F20"/>
          <w:spacing w:val="-13"/>
          <w:sz w:val="20"/>
        </w:rPr>
        <w:t> </w:t>
      </w:r>
      <w:r>
        <w:rPr>
          <w:b/>
          <w:color w:val="231F20"/>
          <w:sz w:val="20"/>
        </w:rPr>
        <w:t>национальных</w:t>
      </w:r>
      <w:r>
        <w:rPr>
          <w:b/>
          <w:color w:val="231F20"/>
          <w:spacing w:val="-12"/>
          <w:sz w:val="20"/>
        </w:rPr>
        <w:t> </w:t>
      </w:r>
      <w:r>
        <w:rPr>
          <w:b/>
          <w:color w:val="231F20"/>
          <w:sz w:val="20"/>
        </w:rPr>
        <w:t>культур как технология культурной адаптации</w:t>
      </w:r>
    </w:p>
    <w:p>
      <w:pPr>
        <w:spacing w:before="80"/>
        <w:ind w:left="1011" w:right="0" w:firstLine="0"/>
        <w:jc w:val="left"/>
        <w:rPr>
          <w:rFonts w:ascii="Georgia" w:hAnsi="Georgia"/>
          <w:sz w:val="18"/>
        </w:rPr>
      </w:pPr>
      <w:r>
        <w:rPr/>
        <w:br w:type="column"/>
      </w:r>
      <w:r>
        <w:rPr>
          <w:rFonts w:ascii="Georgia" w:hAnsi="Georgia"/>
          <w:color w:val="231F20"/>
          <w:spacing w:val="-2"/>
          <w:sz w:val="18"/>
        </w:rPr>
        <w:t>Раздел</w:t>
      </w:r>
      <w:r>
        <w:rPr>
          <w:rFonts w:ascii="Georgia" w:hAnsi="Georgia"/>
          <w:color w:val="231F20"/>
          <w:spacing w:val="-5"/>
          <w:sz w:val="18"/>
        </w:rPr>
        <w:t> 4.</w:t>
      </w:r>
    </w:p>
    <w:p>
      <w:pPr>
        <w:pStyle w:val="BodyText"/>
        <w:ind w:left="0" w:right="0" w:firstLine="0"/>
        <w:jc w:val="left"/>
        <w:rPr>
          <w:rFonts w:ascii="Georgia"/>
          <w:sz w:val="18"/>
        </w:rPr>
      </w:pPr>
    </w:p>
    <w:p>
      <w:pPr>
        <w:pStyle w:val="BodyText"/>
        <w:ind w:left="0" w:right="0" w:firstLine="0"/>
        <w:jc w:val="left"/>
        <w:rPr>
          <w:rFonts w:ascii="Georgia"/>
          <w:sz w:val="18"/>
        </w:rPr>
      </w:pPr>
    </w:p>
    <w:p>
      <w:pPr>
        <w:pStyle w:val="BodyText"/>
        <w:spacing w:before="60"/>
        <w:ind w:left="0" w:right="0" w:firstLine="0"/>
        <w:jc w:val="left"/>
        <w:rPr>
          <w:rFonts w:ascii="Georgia"/>
          <w:sz w:val="18"/>
        </w:rPr>
      </w:pPr>
    </w:p>
    <w:p>
      <w:pPr>
        <w:spacing w:before="1"/>
        <w:ind w:left="501" w:right="0" w:firstLine="0"/>
        <w:jc w:val="left"/>
        <w:rPr>
          <w:i/>
          <w:sz w:val="20"/>
        </w:rPr>
      </w:pPr>
      <w:r>
        <w:rPr>
          <w:i/>
          <w:color w:val="231F20"/>
          <w:sz w:val="20"/>
        </w:rPr>
        <w:t>М.В. </w:t>
      </w:r>
      <w:r>
        <w:rPr>
          <w:i/>
          <w:color w:val="231F20"/>
          <w:spacing w:val="-2"/>
          <w:sz w:val="20"/>
        </w:rPr>
        <w:t>Моисеева</w:t>
      </w:r>
    </w:p>
    <w:p>
      <w:pPr>
        <w:spacing w:after="0"/>
        <w:jc w:val="left"/>
        <w:rPr>
          <w:i/>
          <w:sz w:val="20"/>
        </w:rPr>
        <w:sectPr>
          <w:pgSz w:w="8400" w:h="11910"/>
          <w:pgMar w:header="0" w:footer="527" w:top="400" w:bottom="740" w:left="425" w:right="425"/>
          <w:cols w:num="2" w:equalWidth="0">
            <w:col w:w="5606" w:space="40"/>
            <w:col w:w="1904"/>
          </w:cols>
        </w:sectPr>
      </w:pPr>
    </w:p>
    <w:p>
      <w:pPr>
        <w:pStyle w:val="BodyText"/>
        <w:spacing w:line="237" w:lineRule="auto" w:before="111"/>
        <w:jc w:val="right"/>
      </w:pPr>
      <w:r>
        <w:rPr>
          <w:color w:val="231F20"/>
        </w:rPr>
        <w:t>Фестивали</w:t>
      </w:r>
      <w:r>
        <w:rPr>
          <w:color w:val="231F20"/>
          <w:spacing w:val="-8"/>
        </w:rPr>
        <w:t> </w:t>
      </w:r>
      <w:r>
        <w:rPr>
          <w:color w:val="231F20"/>
        </w:rPr>
        <w:t>национальных</w:t>
      </w:r>
      <w:r>
        <w:rPr>
          <w:color w:val="231F20"/>
          <w:spacing w:val="-8"/>
        </w:rPr>
        <w:t> </w:t>
      </w:r>
      <w:r>
        <w:rPr>
          <w:color w:val="231F20"/>
        </w:rPr>
        <w:t>культур</w:t>
      </w:r>
      <w:r>
        <w:rPr>
          <w:color w:val="231F20"/>
          <w:spacing w:val="-8"/>
        </w:rPr>
        <w:t> </w:t>
      </w:r>
      <w:r>
        <w:rPr>
          <w:color w:val="231F20"/>
        </w:rPr>
        <w:t>за</w:t>
      </w:r>
      <w:r>
        <w:rPr>
          <w:color w:val="231F20"/>
          <w:spacing w:val="-8"/>
        </w:rPr>
        <w:t> </w:t>
      </w:r>
      <w:r>
        <w:rPr>
          <w:color w:val="231F20"/>
        </w:rPr>
        <w:t>последние</w:t>
      </w:r>
      <w:r>
        <w:rPr>
          <w:color w:val="231F20"/>
          <w:spacing w:val="-8"/>
        </w:rPr>
        <w:t> </w:t>
      </w:r>
      <w:r>
        <w:rPr>
          <w:color w:val="231F20"/>
        </w:rPr>
        <w:t>годы</w:t>
      </w:r>
      <w:r>
        <w:rPr>
          <w:color w:val="231F20"/>
          <w:spacing w:val="-8"/>
        </w:rPr>
        <w:t> </w:t>
      </w:r>
      <w:r>
        <w:rPr>
          <w:color w:val="231F20"/>
        </w:rPr>
        <w:t>стали</w:t>
      </w:r>
      <w:r>
        <w:rPr>
          <w:color w:val="231F20"/>
          <w:spacing w:val="-8"/>
        </w:rPr>
        <w:t> </w:t>
      </w:r>
      <w:r>
        <w:rPr>
          <w:color w:val="231F20"/>
        </w:rPr>
        <w:t>неотъемлемой</w:t>
      </w:r>
      <w:r>
        <w:rPr>
          <w:color w:val="231F20"/>
          <w:spacing w:val="-8"/>
        </w:rPr>
        <w:t> </w:t>
      </w:r>
      <w:r>
        <w:rPr>
          <w:color w:val="231F20"/>
        </w:rPr>
        <w:t>частью жизни</w:t>
      </w:r>
      <w:r>
        <w:rPr>
          <w:color w:val="231F20"/>
          <w:spacing w:val="21"/>
        </w:rPr>
        <w:t> </w:t>
      </w:r>
      <w:r>
        <w:rPr>
          <w:color w:val="231F20"/>
        </w:rPr>
        <w:t>многих</w:t>
      </w:r>
      <w:r>
        <w:rPr>
          <w:color w:val="231F20"/>
          <w:spacing w:val="21"/>
        </w:rPr>
        <w:t> </w:t>
      </w:r>
      <w:r>
        <w:rPr>
          <w:color w:val="231F20"/>
        </w:rPr>
        <w:t>школ</w:t>
      </w:r>
      <w:r>
        <w:rPr>
          <w:color w:val="231F20"/>
          <w:spacing w:val="21"/>
        </w:rPr>
        <w:t> </w:t>
      </w:r>
      <w:r>
        <w:rPr>
          <w:color w:val="231F20"/>
        </w:rPr>
        <w:t>России.</w:t>
      </w:r>
      <w:r>
        <w:rPr>
          <w:color w:val="231F20"/>
          <w:spacing w:val="21"/>
        </w:rPr>
        <w:t> </w:t>
      </w:r>
      <w:r>
        <w:rPr>
          <w:color w:val="231F20"/>
        </w:rPr>
        <w:t>Их</w:t>
      </w:r>
      <w:r>
        <w:rPr>
          <w:color w:val="231F20"/>
          <w:spacing w:val="21"/>
        </w:rPr>
        <w:t> </w:t>
      </w:r>
      <w:r>
        <w:rPr>
          <w:color w:val="231F20"/>
        </w:rPr>
        <w:t>проведение</w:t>
      </w:r>
      <w:r>
        <w:rPr>
          <w:color w:val="231F20"/>
          <w:spacing w:val="21"/>
        </w:rPr>
        <w:t> </w:t>
      </w:r>
      <w:r>
        <w:rPr>
          <w:color w:val="231F20"/>
        </w:rPr>
        <w:t>способствует</w:t>
      </w:r>
      <w:r>
        <w:rPr>
          <w:color w:val="231F20"/>
          <w:spacing w:val="21"/>
        </w:rPr>
        <w:t> </w:t>
      </w:r>
      <w:r>
        <w:rPr>
          <w:color w:val="231F20"/>
        </w:rPr>
        <w:t>сохранению</w:t>
      </w:r>
      <w:r>
        <w:rPr>
          <w:color w:val="231F20"/>
          <w:spacing w:val="21"/>
        </w:rPr>
        <w:t> </w:t>
      </w:r>
      <w:r>
        <w:rPr>
          <w:color w:val="231F20"/>
        </w:rPr>
        <w:t>и</w:t>
      </w:r>
      <w:r>
        <w:rPr>
          <w:color w:val="231F20"/>
          <w:spacing w:val="21"/>
        </w:rPr>
        <w:t> </w:t>
      </w:r>
      <w:r>
        <w:rPr>
          <w:color w:val="231F20"/>
        </w:rPr>
        <w:t>развитию национальных культур, воспитанию у учащихся толерантного отношения к культу- рам</w:t>
      </w:r>
      <w:r>
        <w:rPr>
          <w:color w:val="231F20"/>
          <w:spacing w:val="-13"/>
        </w:rPr>
        <w:t> </w:t>
      </w:r>
      <w:r>
        <w:rPr>
          <w:color w:val="231F20"/>
        </w:rPr>
        <w:t>разных</w:t>
      </w:r>
      <w:r>
        <w:rPr>
          <w:color w:val="231F20"/>
          <w:spacing w:val="-12"/>
        </w:rPr>
        <w:t> </w:t>
      </w:r>
      <w:r>
        <w:rPr>
          <w:color w:val="231F20"/>
        </w:rPr>
        <w:t>народов</w:t>
      </w:r>
      <w:r>
        <w:rPr>
          <w:color w:val="231F20"/>
          <w:spacing w:val="-13"/>
        </w:rPr>
        <w:t> </w:t>
      </w:r>
      <w:r>
        <w:rPr>
          <w:color w:val="231F20"/>
        </w:rPr>
        <w:t>и</w:t>
      </w:r>
      <w:r>
        <w:rPr>
          <w:color w:val="231F20"/>
          <w:spacing w:val="-12"/>
        </w:rPr>
        <w:t> </w:t>
      </w:r>
      <w:r>
        <w:rPr>
          <w:color w:val="231F20"/>
        </w:rPr>
        <w:t>популяризации</w:t>
      </w:r>
      <w:r>
        <w:rPr>
          <w:color w:val="231F20"/>
          <w:spacing w:val="-13"/>
        </w:rPr>
        <w:t> </w:t>
      </w:r>
      <w:r>
        <w:rPr>
          <w:color w:val="231F20"/>
        </w:rPr>
        <w:t>национального</w:t>
      </w:r>
      <w:r>
        <w:rPr>
          <w:color w:val="231F20"/>
          <w:spacing w:val="-12"/>
        </w:rPr>
        <w:t> </w:t>
      </w:r>
      <w:r>
        <w:rPr>
          <w:color w:val="231F20"/>
        </w:rPr>
        <w:t>творчества</w:t>
      </w:r>
      <w:r>
        <w:rPr>
          <w:color w:val="231F20"/>
          <w:spacing w:val="-13"/>
        </w:rPr>
        <w:t> </w:t>
      </w:r>
      <w:r>
        <w:rPr>
          <w:color w:val="231F20"/>
        </w:rPr>
        <w:t>и</w:t>
      </w:r>
      <w:r>
        <w:rPr>
          <w:color w:val="231F20"/>
          <w:spacing w:val="-12"/>
        </w:rPr>
        <w:t> </w:t>
      </w:r>
      <w:r>
        <w:rPr>
          <w:color w:val="231F20"/>
        </w:rPr>
        <w:t>традиций</w:t>
      </w:r>
      <w:r>
        <w:rPr>
          <w:color w:val="231F20"/>
          <w:spacing w:val="-13"/>
        </w:rPr>
        <w:t> </w:t>
      </w:r>
      <w:r>
        <w:rPr>
          <w:color w:val="231F20"/>
        </w:rPr>
        <w:t>народов. Чаще</w:t>
      </w:r>
      <w:r>
        <w:rPr>
          <w:color w:val="231F20"/>
          <w:spacing w:val="40"/>
        </w:rPr>
        <w:t> </w:t>
      </w:r>
      <w:r>
        <w:rPr>
          <w:color w:val="231F20"/>
        </w:rPr>
        <w:t>всего</w:t>
      </w:r>
      <w:r>
        <w:rPr>
          <w:color w:val="231F20"/>
          <w:spacing w:val="40"/>
        </w:rPr>
        <w:t> </w:t>
      </w:r>
      <w:r>
        <w:rPr>
          <w:color w:val="231F20"/>
        </w:rPr>
        <w:t>подобные</w:t>
      </w:r>
      <w:r>
        <w:rPr>
          <w:color w:val="231F20"/>
          <w:spacing w:val="40"/>
        </w:rPr>
        <w:t> </w:t>
      </w:r>
      <w:r>
        <w:rPr>
          <w:color w:val="231F20"/>
        </w:rPr>
        <w:t>мероприятия</w:t>
      </w:r>
      <w:r>
        <w:rPr>
          <w:color w:val="231F20"/>
          <w:spacing w:val="40"/>
        </w:rPr>
        <w:t> </w:t>
      </w:r>
      <w:r>
        <w:rPr>
          <w:color w:val="231F20"/>
        </w:rPr>
        <w:t>проводятся</w:t>
      </w:r>
      <w:r>
        <w:rPr>
          <w:color w:val="231F20"/>
          <w:spacing w:val="40"/>
        </w:rPr>
        <w:t> </w:t>
      </w:r>
      <w:r>
        <w:rPr>
          <w:color w:val="231F20"/>
        </w:rPr>
        <w:t>в</w:t>
      </w:r>
      <w:r>
        <w:rPr>
          <w:color w:val="231F20"/>
          <w:spacing w:val="40"/>
        </w:rPr>
        <w:t> </w:t>
      </w:r>
      <w:r>
        <w:rPr>
          <w:color w:val="231F20"/>
        </w:rPr>
        <w:t>многонациональных</w:t>
      </w:r>
      <w:r>
        <w:rPr>
          <w:color w:val="231F20"/>
          <w:spacing w:val="40"/>
        </w:rPr>
        <w:t> </w:t>
      </w:r>
      <w:r>
        <w:rPr>
          <w:color w:val="231F20"/>
        </w:rPr>
        <w:t>регионах России,</w:t>
      </w:r>
      <w:r>
        <w:rPr>
          <w:color w:val="231F20"/>
          <w:spacing w:val="-4"/>
        </w:rPr>
        <w:t> </w:t>
      </w:r>
      <w:r>
        <w:rPr>
          <w:color w:val="231F20"/>
        </w:rPr>
        <w:t>поэтому</w:t>
      </w:r>
      <w:r>
        <w:rPr>
          <w:color w:val="231F20"/>
          <w:spacing w:val="-4"/>
        </w:rPr>
        <w:t> </w:t>
      </w:r>
      <w:r>
        <w:rPr>
          <w:color w:val="231F20"/>
        </w:rPr>
        <w:t>в</w:t>
      </w:r>
      <w:r>
        <w:rPr>
          <w:color w:val="231F20"/>
          <w:spacing w:val="-4"/>
        </w:rPr>
        <w:t> </w:t>
      </w:r>
      <w:r>
        <w:rPr>
          <w:color w:val="231F20"/>
        </w:rPr>
        <w:t>них</w:t>
      </w:r>
      <w:r>
        <w:rPr>
          <w:color w:val="231F20"/>
          <w:spacing w:val="-4"/>
        </w:rPr>
        <w:t> </w:t>
      </w:r>
      <w:r>
        <w:rPr>
          <w:color w:val="231F20"/>
        </w:rPr>
        <w:t>присутствует</w:t>
      </w:r>
      <w:r>
        <w:rPr>
          <w:color w:val="231F20"/>
          <w:spacing w:val="-4"/>
        </w:rPr>
        <w:t> </w:t>
      </w:r>
      <w:r>
        <w:rPr>
          <w:color w:val="231F20"/>
        </w:rPr>
        <w:t>и</w:t>
      </w:r>
      <w:r>
        <w:rPr>
          <w:color w:val="231F20"/>
          <w:spacing w:val="-4"/>
        </w:rPr>
        <w:t> </w:t>
      </w:r>
      <w:r>
        <w:rPr>
          <w:color w:val="231F20"/>
        </w:rPr>
        <w:t>постоянный</w:t>
      </w:r>
      <w:r>
        <w:rPr>
          <w:color w:val="231F20"/>
          <w:spacing w:val="-4"/>
        </w:rPr>
        <w:t> </w:t>
      </w:r>
      <w:r>
        <w:rPr>
          <w:color w:val="231F20"/>
        </w:rPr>
        <w:t>этнокультурный</w:t>
      </w:r>
      <w:r>
        <w:rPr>
          <w:color w:val="231F20"/>
          <w:spacing w:val="-4"/>
        </w:rPr>
        <w:t> </w:t>
      </w:r>
      <w:r>
        <w:rPr>
          <w:color w:val="231F20"/>
        </w:rPr>
        <w:t>компонент</w:t>
      </w:r>
      <w:r>
        <w:rPr>
          <w:color w:val="231F20"/>
          <w:spacing w:val="-4"/>
        </w:rPr>
        <w:t> </w:t>
      </w:r>
      <w:r>
        <w:rPr>
          <w:color w:val="231F20"/>
        </w:rPr>
        <w:t>(ори- ентация на наиболее распространенные народы, проживающие на всей территории страны),</w:t>
      </w:r>
      <w:r>
        <w:rPr>
          <w:color w:val="231F20"/>
          <w:spacing w:val="22"/>
        </w:rPr>
        <w:t> </w:t>
      </w:r>
      <w:r>
        <w:rPr>
          <w:color w:val="231F20"/>
        </w:rPr>
        <w:t>и</w:t>
      </w:r>
      <w:r>
        <w:rPr>
          <w:color w:val="231F20"/>
          <w:spacing w:val="22"/>
        </w:rPr>
        <w:t> </w:t>
      </w:r>
      <w:r>
        <w:rPr>
          <w:color w:val="231F20"/>
        </w:rPr>
        <w:t>вариативный</w:t>
      </w:r>
      <w:r>
        <w:rPr>
          <w:color w:val="231F20"/>
          <w:spacing w:val="22"/>
        </w:rPr>
        <w:t> </w:t>
      </w:r>
      <w:r>
        <w:rPr>
          <w:color w:val="231F20"/>
        </w:rPr>
        <w:t>компонент</w:t>
      </w:r>
      <w:r>
        <w:rPr>
          <w:color w:val="231F20"/>
          <w:spacing w:val="22"/>
        </w:rPr>
        <w:t> </w:t>
      </w:r>
      <w:r>
        <w:rPr>
          <w:color w:val="231F20"/>
        </w:rPr>
        <w:t>(редкие</w:t>
      </w:r>
      <w:r>
        <w:rPr>
          <w:color w:val="231F20"/>
          <w:spacing w:val="22"/>
        </w:rPr>
        <w:t> </w:t>
      </w:r>
      <w:r>
        <w:rPr>
          <w:color w:val="231F20"/>
        </w:rPr>
        <w:t>народы,</w:t>
      </w:r>
      <w:r>
        <w:rPr>
          <w:color w:val="231F20"/>
          <w:spacing w:val="22"/>
        </w:rPr>
        <w:t> </w:t>
      </w:r>
      <w:r>
        <w:rPr>
          <w:color w:val="231F20"/>
        </w:rPr>
        <w:t>типичные</w:t>
      </w:r>
      <w:r>
        <w:rPr>
          <w:color w:val="231F20"/>
          <w:spacing w:val="22"/>
        </w:rPr>
        <w:t> </w:t>
      </w:r>
      <w:r>
        <w:rPr>
          <w:color w:val="231F20"/>
        </w:rPr>
        <w:t>именно</w:t>
      </w:r>
      <w:r>
        <w:rPr>
          <w:color w:val="231F20"/>
          <w:spacing w:val="22"/>
        </w:rPr>
        <w:t> </w:t>
      </w:r>
      <w:r>
        <w:rPr>
          <w:color w:val="231F20"/>
        </w:rPr>
        <w:t>для</w:t>
      </w:r>
      <w:r>
        <w:rPr>
          <w:color w:val="231F20"/>
          <w:spacing w:val="22"/>
        </w:rPr>
        <w:t> </w:t>
      </w:r>
      <w:r>
        <w:rPr>
          <w:color w:val="231F20"/>
        </w:rPr>
        <w:t>данной территории). Анализ сценариев школьных фестивалей национальных культур, кото- рые можно найти в русскоязычном интернете, показывает, что большинство подоб- ных фестивалей проводятся в формате концерта, сценического действия с участием представителей</w:t>
      </w:r>
      <w:r>
        <w:rPr>
          <w:color w:val="231F20"/>
          <w:spacing w:val="21"/>
        </w:rPr>
        <w:t> </w:t>
      </w:r>
      <w:r>
        <w:rPr>
          <w:color w:val="231F20"/>
        </w:rPr>
        <w:t>всех</w:t>
      </w:r>
      <w:r>
        <w:rPr>
          <w:color w:val="231F20"/>
          <w:spacing w:val="21"/>
        </w:rPr>
        <w:t> </w:t>
      </w:r>
      <w:r>
        <w:rPr>
          <w:color w:val="231F20"/>
        </w:rPr>
        <w:t>классов</w:t>
      </w:r>
      <w:r>
        <w:rPr>
          <w:color w:val="231F20"/>
          <w:spacing w:val="20"/>
        </w:rPr>
        <w:t> </w:t>
      </w:r>
      <w:r>
        <w:rPr>
          <w:color w:val="231F20"/>
        </w:rPr>
        <w:t>школы.</w:t>
      </w:r>
      <w:r>
        <w:rPr>
          <w:color w:val="231F20"/>
          <w:spacing w:val="21"/>
        </w:rPr>
        <w:t> </w:t>
      </w:r>
      <w:r>
        <w:rPr>
          <w:color w:val="231F20"/>
        </w:rPr>
        <w:t>Каждый</w:t>
      </w:r>
      <w:r>
        <w:rPr>
          <w:color w:val="231F20"/>
          <w:spacing w:val="21"/>
        </w:rPr>
        <w:t> </w:t>
      </w:r>
      <w:r>
        <w:rPr>
          <w:color w:val="231F20"/>
        </w:rPr>
        <w:t>класс</w:t>
      </w:r>
      <w:r>
        <w:rPr>
          <w:color w:val="231F20"/>
          <w:spacing w:val="21"/>
        </w:rPr>
        <w:t> </w:t>
      </w:r>
      <w:r>
        <w:rPr>
          <w:color w:val="231F20"/>
        </w:rPr>
        <w:t>получает</w:t>
      </w:r>
      <w:r>
        <w:rPr>
          <w:color w:val="231F20"/>
          <w:spacing w:val="21"/>
        </w:rPr>
        <w:t> </w:t>
      </w:r>
      <w:r>
        <w:rPr>
          <w:color w:val="231F20"/>
        </w:rPr>
        <w:t>задание</w:t>
      </w:r>
      <w:r>
        <w:rPr>
          <w:color w:val="231F20"/>
          <w:spacing w:val="21"/>
        </w:rPr>
        <w:t> </w:t>
      </w:r>
      <w:r>
        <w:rPr>
          <w:color w:val="231F20"/>
        </w:rPr>
        <w:t>подготовить музыкальный</w:t>
      </w:r>
      <w:r>
        <w:rPr>
          <w:color w:val="231F20"/>
          <w:spacing w:val="-2"/>
        </w:rPr>
        <w:t> </w:t>
      </w:r>
      <w:r>
        <w:rPr>
          <w:color w:val="231F20"/>
        </w:rPr>
        <w:t>или</w:t>
      </w:r>
      <w:r>
        <w:rPr>
          <w:color w:val="231F20"/>
          <w:spacing w:val="-2"/>
        </w:rPr>
        <w:t> </w:t>
      </w:r>
      <w:r>
        <w:rPr>
          <w:color w:val="231F20"/>
        </w:rPr>
        <w:t>театрализованный</w:t>
      </w:r>
      <w:r>
        <w:rPr>
          <w:color w:val="231F20"/>
          <w:spacing w:val="-2"/>
        </w:rPr>
        <w:t> </w:t>
      </w:r>
      <w:r>
        <w:rPr>
          <w:color w:val="231F20"/>
        </w:rPr>
        <w:t>номер,</w:t>
      </w:r>
      <w:r>
        <w:rPr>
          <w:color w:val="231F20"/>
          <w:spacing w:val="-2"/>
        </w:rPr>
        <w:t> </w:t>
      </w:r>
      <w:r>
        <w:rPr>
          <w:color w:val="231F20"/>
        </w:rPr>
        <w:t>который</w:t>
      </w:r>
      <w:r>
        <w:rPr>
          <w:color w:val="231F20"/>
          <w:spacing w:val="-2"/>
        </w:rPr>
        <w:t> </w:t>
      </w:r>
      <w:r>
        <w:rPr>
          <w:color w:val="231F20"/>
        </w:rPr>
        <w:t>включается</w:t>
      </w:r>
      <w:r>
        <w:rPr>
          <w:color w:val="231F20"/>
          <w:spacing w:val="-2"/>
        </w:rPr>
        <w:t> </w:t>
      </w:r>
      <w:r>
        <w:rPr>
          <w:color w:val="231F20"/>
        </w:rPr>
        <w:t>в</w:t>
      </w:r>
      <w:r>
        <w:rPr>
          <w:color w:val="231F20"/>
          <w:spacing w:val="-2"/>
        </w:rPr>
        <w:t> </w:t>
      </w:r>
      <w:r>
        <w:rPr>
          <w:color w:val="231F20"/>
        </w:rPr>
        <w:t>общий</w:t>
      </w:r>
      <w:r>
        <w:rPr>
          <w:color w:val="231F20"/>
          <w:spacing w:val="-2"/>
        </w:rPr>
        <w:t> </w:t>
      </w:r>
      <w:r>
        <w:rPr>
          <w:color w:val="231F20"/>
        </w:rPr>
        <w:t>сценарий. Реже встречаются упоминания о фестивалях национальных культур, когда каждый класс-участник готовит, кроме презентации традиций и обрядов выбранной ими для мероприятия</w:t>
      </w:r>
      <w:r>
        <w:rPr>
          <w:color w:val="231F20"/>
          <w:spacing w:val="27"/>
        </w:rPr>
        <w:t> </w:t>
      </w:r>
      <w:r>
        <w:rPr>
          <w:color w:val="231F20"/>
        </w:rPr>
        <w:t>национальности,</w:t>
      </w:r>
      <w:r>
        <w:rPr>
          <w:color w:val="231F20"/>
          <w:spacing w:val="28"/>
        </w:rPr>
        <w:t> </w:t>
      </w:r>
      <w:r>
        <w:rPr>
          <w:color w:val="231F20"/>
        </w:rPr>
        <w:t>также</w:t>
      </w:r>
      <w:r>
        <w:rPr>
          <w:color w:val="231F20"/>
          <w:spacing w:val="28"/>
        </w:rPr>
        <w:t> </w:t>
      </w:r>
      <w:r>
        <w:rPr>
          <w:color w:val="231F20"/>
        </w:rPr>
        <w:t>блюдо</w:t>
      </w:r>
      <w:r>
        <w:rPr>
          <w:color w:val="231F20"/>
          <w:spacing w:val="28"/>
        </w:rPr>
        <w:t> </w:t>
      </w:r>
      <w:r>
        <w:rPr>
          <w:color w:val="231F20"/>
        </w:rPr>
        <w:t>национальной</w:t>
      </w:r>
      <w:r>
        <w:rPr>
          <w:color w:val="231F20"/>
          <w:spacing w:val="28"/>
        </w:rPr>
        <w:t> </w:t>
      </w:r>
      <w:r>
        <w:rPr>
          <w:color w:val="231F20"/>
        </w:rPr>
        <w:t>кухни</w:t>
      </w:r>
      <w:r>
        <w:rPr>
          <w:color w:val="231F20"/>
          <w:spacing w:val="28"/>
        </w:rPr>
        <w:t> </w:t>
      </w:r>
      <w:r>
        <w:rPr>
          <w:color w:val="231F20"/>
        </w:rPr>
        <w:t>и</w:t>
      </w:r>
      <w:r>
        <w:rPr>
          <w:color w:val="231F20"/>
          <w:spacing w:val="28"/>
        </w:rPr>
        <w:t> </w:t>
      </w:r>
      <w:r>
        <w:rPr>
          <w:color w:val="231F20"/>
        </w:rPr>
        <w:t>номер</w:t>
      </w:r>
      <w:r>
        <w:rPr>
          <w:color w:val="231F20"/>
          <w:spacing w:val="28"/>
        </w:rPr>
        <w:t> </w:t>
      </w:r>
      <w:r>
        <w:rPr>
          <w:color w:val="231F20"/>
          <w:spacing w:val="-2"/>
        </w:rPr>
        <w:t>художе-</w:t>
      </w:r>
    </w:p>
    <w:p>
      <w:pPr>
        <w:pStyle w:val="BodyText"/>
        <w:spacing w:before="7"/>
        <w:ind w:right="0" w:firstLine="0"/>
      </w:pPr>
      <w:r>
        <w:rPr>
          <w:color w:val="231F20"/>
        </w:rPr>
        <w:t>ственной</w:t>
      </w:r>
      <w:r>
        <w:rPr>
          <w:color w:val="231F20"/>
          <w:spacing w:val="-9"/>
        </w:rPr>
        <w:t> </w:t>
      </w:r>
      <w:r>
        <w:rPr>
          <w:color w:val="231F20"/>
          <w:spacing w:val="-2"/>
        </w:rPr>
        <w:t>самодеятельности.</w:t>
      </w:r>
    </w:p>
    <w:p>
      <w:pPr>
        <w:pStyle w:val="BodyText"/>
      </w:pPr>
      <w:r>
        <w:rPr>
          <w:color w:val="231F20"/>
        </w:rPr>
        <w:t>Школьные</w:t>
      </w:r>
      <w:r>
        <w:rPr>
          <w:color w:val="231F20"/>
          <w:spacing w:val="-13"/>
        </w:rPr>
        <w:t> </w:t>
      </w:r>
      <w:r>
        <w:rPr>
          <w:color w:val="231F20"/>
        </w:rPr>
        <w:t>фестивали</w:t>
      </w:r>
      <w:r>
        <w:rPr>
          <w:color w:val="231F20"/>
          <w:spacing w:val="-12"/>
        </w:rPr>
        <w:t> </w:t>
      </w:r>
      <w:r>
        <w:rPr>
          <w:color w:val="231F20"/>
        </w:rPr>
        <w:t>национальных</w:t>
      </w:r>
      <w:r>
        <w:rPr>
          <w:color w:val="231F20"/>
          <w:spacing w:val="-13"/>
        </w:rPr>
        <w:t> </w:t>
      </w:r>
      <w:r>
        <w:rPr>
          <w:color w:val="231F20"/>
        </w:rPr>
        <w:t>культур</w:t>
      </w:r>
      <w:r>
        <w:rPr>
          <w:color w:val="231F20"/>
          <w:spacing w:val="-12"/>
        </w:rPr>
        <w:t> </w:t>
      </w:r>
      <w:r>
        <w:rPr>
          <w:color w:val="231F20"/>
        </w:rPr>
        <w:t>решают</w:t>
      </w:r>
      <w:r>
        <w:rPr>
          <w:color w:val="231F20"/>
          <w:spacing w:val="-13"/>
        </w:rPr>
        <w:t> </w:t>
      </w:r>
      <w:r>
        <w:rPr>
          <w:color w:val="231F20"/>
        </w:rPr>
        <w:t>следующие</w:t>
      </w:r>
      <w:r>
        <w:rPr>
          <w:color w:val="231F20"/>
          <w:spacing w:val="-12"/>
        </w:rPr>
        <w:t> </w:t>
      </w:r>
      <w:r>
        <w:rPr>
          <w:color w:val="231F20"/>
        </w:rPr>
        <w:t>воспитательные </w:t>
      </w:r>
      <w:r>
        <w:rPr>
          <w:color w:val="231F20"/>
          <w:spacing w:val="-2"/>
        </w:rPr>
        <w:t>задачи:</w:t>
      </w:r>
    </w:p>
    <w:p>
      <w:pPr>
        <w:pStyle w:val="ListParagraph"/>
        <w:numPr>
          <w:ilvl w:val="0"/>
          <w:numId w:val="133"/>
        </w:numPr>
        <w:tabs>
          <w:tab w:pos="424" w:val="left" w:leader="none"/>
        </w:tabs>
        <w:spacing w:line="240" w:lineRule="auto" w:before="0" w:after="0"/>
        <w:ind w:left="424" w:right="0" w:hanging="283"/>
        <w:jc w:val="both"/>
        <w:rPr>
          <w:sz w:val="20"/>
        </w:rPr>
      </w:pPr>
      <w:r>
        <w:rPr>
          <w:color w:val="231F20"/>
          <w:spacing w:val="-2"/>
          <w:sz w:val="20"/>
        </w:rPr>
        <w:t>знакомят</w:t>
      </w:r>
      <w:r>
        <w:rPr>
          <w:color w:val="231F20"/>
          <w:spacing w:val="-1"/>
          <w:sz w:val="20"/>
        </w:rPr>
        <w:t> </w:t>
      </w:r>
      <w:r>
        <w:rPr>
          <w:color w:val="231F20"/>
          <w:spacing w:val="-2"/>
          <w:sz w:val="20"/>
        </w:rPr>
        <w:t>с</w:t>
      </w:r>
      <w:r>
        <w:rPr>
          <w:color w:val="231F20"/>
          <w:spacing w:val="2"/>
          <w:sz w:val="20"/>
        </w:rPr>
        <w:t> </w:t>
      </w:r>
      <w:r>
        <w:rPr>
          <w:color w:val="231F20"/>
          <w:spacing w:val="-2"/>
          <w:sz w:val="20"/>
        </w:rPr>
        <w:t>культурами</w:t>
      </w:r>
      <w:r>
        <w:rPr>
          <w:color w:val="231F20"/>
          <w:spacing w:val="2"/>
          <w:sz w:val="20"/>
        </w:rPr>
        <w:t> </w:t>
      </w:r>
      <w:r>
        <w:rPr>
          <w:color w:val="231F20"/>
          <w:spacing w:val="-2"/>
          <w:sz w:val="20"/>
        </w:rPr>
        <w:t>народов,</w:t>
      </w:r>
      <w:r>
        <w:rPr>
          <w:color w:val="231F20"/>
          <w:spacing w:val="2"/>
          <w:sz w:val="20"/>
        </w:rPr>
        <w:t> </w:t>
      </w:r>
      <w:r>
        <w:rPr>
          <w:color w:val="231F20"/>
          <w:spacing w:val="-2"/>
          <w:sz w:val="20"/>
        </w:rPr>
        <w:t>населяющих</w:t>
      </w:r>
      <w:r>
        <w:rPr>
          <w:color w:val="231F20"/>
          <w:spacing w:val="2"/>
          <w:sz w:val="20"/>
        </w:rPr>
        <w:t> </w:t>
      </w:r>
      <w:r>
        <w:rPr>
          <w:color w:val="231F20"/>
          <w:spacing w:val="-2"/>
          <w:sz w:val="20"/>
        </w:rPr>
        <w:t>территорию</w:t>
      </w:r>
      <w:r>
        <w:rPr>
          <w:color w:val="231F20"/>
          <w:spacing w:val="2"/>
          <w:sz w:val="20"/>
        </w:rPr>
        <w:t> </w:t>
      </w:r>
      <w:r>
        <w:rPr>
          <w:color w:val="231F20"/>
          <w:spacing w:val="-2"/>
          <w:sz w:val="20"/>
        </w:rPr>
        <w:t>Российской</w:t>
      </w:r>
      <w:r>
        <w:rPr>
          <w:color w:val="231F20"/>
          <w:spacing w:val="2"/>
          <w:sz w:val="20"/>
        </w:rPr>
        <w:t> </w:t>
      </w:r>
      <w:r>
        <w:rPr>
          <w:color w:val="231F20"/>
          <w:spacing w:val="-2"/>
          <w:sz w:val="20"/>
        </w:rPr>
        <w:t>Федерации;</w:t>
      </w:r>
    </w:p>
    <w:p>
      <w:pPr>
        <w:pStyle w:val="ListParagraph"/>
        <w:numPr>
          <w:ilvl w:val="0"/>
          <w:numId w:val="133"/>
        </w:numPr>
        <w:tabs>
          <w:tab w:pos="425" w:val="left" w:leader="none"/>
        </w:tabs>
        <w:spacing w:line="240" w:lineRule="auto" w:before="0" w:after="0"/>
        <w:ind w:left="425" w:right="139" w:hanging="284"/>
        <w:jc w:val="both"/>
        <w:rPr>
          <w:sz w:val="20"/>
        </w:rPr>
      </w:pPr>
      <w:r>
        <w:rPr>
          <w:color w:val="231F20"/>
          <w:sz w:val="20"/>
        </w:rPr>
        <w:t>формируют активную гражданскую позицию, гражданскую ответственность, ос- нованную на традиционных культурных, духовных и нравственных ценностях российского общества;</w:t>
      </w:r>
    </w:p>
    <w:p>
      <w:pPr>
        <w:pStyle w:val="ListParagraph"/>
        <w:numPr>
          <w:ilvl w:val="0"/>
          <w:numId w:val="133"/>
        </w:numPr>
        <w:tabs>
          <w:tab w:pos="424" w:val="left" w:leader="none"/>
        </w:tabs>
        <w:spacing w:line="240" w:lineRule="auto" w:before="0" w:after="0"/>
        <w:ind w:left="424" w:right="0" w:hanging="283"/>
        <w:jc w:val="both"/>
        <w:rPr>
          <w:sz w:val="20"/>
        </w:rPr>
      </w:pPr>
      <w:r>
        <w:rPr>
          <w:color w:val="231F20"/>
          <w:spacing w:val="-2"/>
          <w:sz w:val="20"/>
        </w:rPr>
        <w:t>развивают</w:t>
      </w:r>
      <w:r>
        <w:rPr>
          <w:color w:val="231F20"/>
          <w:spacing w:val="6"/>
          <w:sz w:val="20"/>
        </w:rPr>
        <w:t> </w:t>
      </w:r>
      <w:r>
        <w:rPr>
          <w:color w:val="231F20"/>
          <w:spacing w:val="-2"/>
          <w:sz w:val="20"/>
        </w:rPr>
        <w:t>культуру</w:t>
      </w:r>
      <w:r>
        <w:rPr>
          <w:color w:val="231F20"/>
          <w:spacing w:val="6"/>
          <w:sz w:val="20"/>
        </w:rPr>
        <w:t> </w:t>
      </w:r>
      <w:r>
        <w:rPr>
          <w:color w:val="231F20"/>
          <w:spacing w:val="-2"/>
          <w:sz w:val="20"/>
        </w:rPr>
        <w:t>межнационального</w:t>
      </w:r>
      <w:r>
        <w:rPr>
          <w:color w:val="231F20"/>
          <w:spacing w:val="7"/>
          <w:sz w:val="20"/>
        </w:rPr>
        <w:t> </w:t>
      </w:r>
      <w:r>
        <w:rPr>
          <w:color w:val="231F20"/>
          <w:spacing w:val="-2"/>
          <w:sz w:val="20"/>
        </w:rPr>
        <w:t>общения;</w:t>
      </w:r>
    </w:p>
    <w:p>
      <w:pPr>
        <w:pStyle w:val="ListParagraph"/>
        <w:numPr>
          <w:ilvl w:val="0"/>
          <w:numId w:val="133"/>
        </w:numPr>
        <w:tabs>
          <w:tab w:pos="425" w:val="left" w:leader="none"/>
        </w:tabs>
        <w:spacing w:line="240" w:lineRule="auto" w:before="0" w:after="0"/>
        <w:ind w:left="425" w:right="139" w:hanging="284"/>
        <w:jc w:val="both"/>
        <w:rPr>
          <w:sz w:val="20"/>
        </w:rPr>
      </w:pPr>
      <w:r>
        <w:rPr>
          <w:color w:val="231F20"/>
          <w:sz w:val="20"/>
        </w:rPr>
        <w:t>формируют</w:t>
      </w:r>
      <w:r>
        <w:rPr>
          <w:color w:val="231F20"/>
          <w:spacing w:val="-13"/>
          <w:sz w:val="20"/>
        </w:rPr>
        <w:t> </w:t>
      </w:r>
      <w:r>
        <w:rPr>
          <w:color w:val="231F20"/>
          <w:sz w:val="20"/>
        </w:rPr>
        <w:t>приверженность</w:t>
      </w:r>
      <w:r>
        <w:rPr>
          <w:color w:val="231F20"/>
          <w:spacing w:val="-12"/>
          <w:sz w:val="20"/>
        </w:rPr>
        <w:t> </w:t>
      </w:r>
      <w:r>
        <w:rPr>
          <w:color w:val="231F20"/>
          <w:sz w:val="20"/>
        </w:rPr>
        <w:t>идеям</w:t>
      </w:r>
      <w:r>
        <w:rPr>
          <w:color w:val="231F20"/>
          <w:spacing w:val="-13"/>
          <w:sz w:val="20"/>
        </w:rPr>
        <w:t> </w:t>
      </w:r>
      <w:r>
        <w:rPr>
          <w:color w:val="231F20"/>
          <w:sz w:val="20"/>
        </w:rPr>
        <w:t>интернационализма,</w:t>
      </w:r>
      <w:r>
        <w:rPr>
          <w:color w:val="231F20"/>
          <w:spacing w:val="-12"/>
          <w:sz w:val="20"/>
        </w:rPr>
        <w:t> </w:t>
      </w:r>
      <w:r>
        <w:rPr>
          <w:color w:val="231F20"/>
          <w:sz w:val="20"/>
        </w:rPr>
        <w:t>дружбы,</w:t>
      </w:r>
      <w:r>
        <w:rPr>
          <w:color w:val="231F20"/>
          <w:spacing w:val="-13"/>
          <w:sz w:val="20"/>
        </w:rPr>
        <w:t> </w:t>
      </w:r>
      <w:r>
        <w:rPr>
          <w:color w:val="231F20"/>
          <w:sz w:val="20"/>
        </w:rPr>
        <w:t>равенства,</w:t>
      </w:r>
      <w:r>
        <w:rPr>
          <w:color w:val="231F20"/>
          <w:spacing w:val="-12"/>
          <w:sz w:val="20"/>
        </w:rPr>
        <w:t> </w:t>
      </w:r>
      <w:r>
        <w:rPr>
          <w:color w:val="231F20"/>
          <w:sz w:val="20"/>
        </w:rPr>
        <w:t>взаи- мопомощи народов;</w:t>
      </w:r>
    </w:p>
    <w:p>
      <w:pPr>
        <w:pStyle w:val="ListParagraph"/>
        <w:numPr>
          <w:ilvl w:val="0"/>
          <w:numId w:val="133"/>
        </w:numPr>
        <w:tabs>
          <w:tab w:pos="425" w:val="left" w:leader="none"/>
        </w:tabs>
        <w:spacing w:line="240" w:lineRule="auto" w:before="0" w:after="0"/>
        <w:ind w:left="425" w:right="139" w:hanging="284"/>
        <w:jc w:val="both"/>
        <w:rPr>
          <w:sz w:val="20"/>
        </w:rPr>
      </w:pPr>
      <w:r>
        <w:rPr>
          <w:color w:val="231F20"/>
          <w:sz w:val="20"/>
        </w:rPr>
        <w:t>воспитывают уважительное отношение к национальному достоинству людей, их чувствам, религиозным убеждениям.</w:t>
      </w:r>
    </w:p>
    <w:p>
      <w:pPr>
        <w:pStyle w:val="BodyText"/>
        <w:ind w:right="140"/>
      </w:pPr>
      <w:r>
        <w:rPr>
          <w:color w:val="231F20"/>
        </w:rPr>
        <w:t>В целом, подобные фестивали способствуют формированию у детей уважения к истории</w:t>
      </w:r>
      <w:r>
        <w:rPr>
          <w:color w:val="231F20"/>
          <w:spacing w:val="-10"/>
        </w:rPr>
        <w:t> </w:t>
      </w:r>
      <w:r>
        <w:rPr>
          <w:color w:val="231F20"/>
        </w:rPr>
        <w:t>и</w:t>
      </w:r>
      <w:r>
        <w:rPr>
          <w:color w:val="231F20"/>
          <w:spacing w:val="-10"/>
        </w:rPr>
        <w:t> </w:t>
      </w:r>
      <w:r>
        <w:rPr>
          <w:color w:val="231F20"/>
        </w:rPr>
        <w:t>культуре</w:t>
      </w:r>
      <w:r>
        <w:rPr>
          <w:color w:val="231F20"/>
          <w:spacing w:val="-10"/>
        </w:rPr>
        <w:t> </w:t>
      </w:r>
      <w:r>
        <w:rPr>
          <w:color w:val="231F20"/>
        </w:rPr>
        <w:t>народов</w:t>
      </w:r>
      <w:r>
        <w:rPr>
          <w:color w:val="231F20"/>
          <w:spacing w:val="-10"/>
        </w:rPr>
        <w:t> </w:t>
      </w:r>
      <w:r>
        <w:rPr>
          <w:color w:val="231F20"/>
        </w:rPr>
        <w:t>России</w:t>
      </w:r>
      <w:r>
        <w:rPr>
          <w:color w:val="231F20"/>
          <w:spacing w:val="-10"/>
        </w:rPr>
        <w:t> </w:t>
      </w:r>
      <w:r>
        <w:rPr>
          <w:color w:val="231F20"/>
        </w:rPr>
        <w:t>через</w:t>
      </w:r>
      <w:r>
        <w:rPr>
          <w:color w:val="231F20"/>
          <w:spacing w:val="-10"/>
        </w:rPr>
        <w:t> </w:t>
      </w:r>
      <w:r>
        <w:rPr>
          <w:color w:val="231F20"/>
        </w:rPr>
        <w:t>знакомство</w:t>
      </w:r>
      <w:r>
        <w:rPr>
          <w:color w:val="231F20"/>
          <w:spacing w:val="-10"/>
        </w:rPr>
        <w:t> </w:t>
      </w:r>
      <w:r>
        <w:rPr>
          <w:color w:val="231F20"/>
        </w:rPr>
        <w:t>с</w:t>
      </w:r>
      <w:r>
        <w:rPr>
          <w:color w:val="231F20"/>
          <w:spacing w:val="-10"/>
        </w:rPr>
        <w:t> </w:t>
      </w:r>
      <w:r>
        <w:rPr>
          <w:color w:val="231F20"/>
        </w:rPr>
        <w:t>народами,</w:t>
      </w:r>
      <w:r>
        <w:rPr>
          <w:color w:val="231F20"/>
          <w:spacing w:val="-10"/>
        </w:rPr>
        <w:t> </w:t>
      </w:r>
      <w:r>
        <w:rPr>
          <w:color w:val="231F20"/>
        </w:rPr>
        <w:t>проживающими</w:t>
      </w:r>
      <w:r>
        <w:rPr>
          <w:color w:val="231F20"/>
          <w:spacing w:val="-10"/>
        </w:rPr>
        <w:t> </w:t>
      </w:r>
      <w:r>
        <w:rPr>
          <w:color w:val="231F20"/>
        </w:rPr>
        <w:t>на конкретной территории Российской Федерации.</w:t>
      </w:r>
    </w:p>
    <w:p>
      <w:pPr>
        <w:pStyle w:val="BodyText"/>
        <w:spacing w:line="235" w:lineRule="auto"/>
      </w:pPr>
      <w:r>
        <w:rPr>
          <w:color w:val="231F20"/>
        </w:rPr>
        <w:t>В то же время разработанные и широко использующиеся в школьной практике фестивали</w:t>
      </w:r>
      <w:r>
        <w:rPr>
          <w:color w:val="231F20"/>
          <w:spacing w:val="-8"/>
        </w:rPr>
        <w:t> </w:t>
      </w:r>
      <w:r>
        <w:rPr>
          <w:color w:val="231F20"/>
        </w:rPr>
        <w:t>национальных</w:t>
      </w:r>
      <w:r>
        <w:rPr>
          <w:color w:val="231F20"/>
          <w:spacing w:val="-8"/>
        </w:rPr>
        <w:t> </w:t>
      </w:r>
      <w:r>
        <w:rPr>
          <w:color w:val="231F20"/>
        </w:rPr>
        <w:t>культур</w:t>
      </w:r>
      <w:r>
        <w:rPr>
          <w:color w:val="231F20"/>
          <w:spacing w:val="-8"/>
        </w:rPr>
        <w:t> </w:t>
      </w:r>
      <w:r>
        <w:rPr>
          <w:color w:val="231F20"/>
        </w:rPr>
        <w:t>не</w:t>
      </w:r>
      <w:r>
        <w:rPr>
          <w:color w:val="231F20"/>
          <w:spacing w:val="-8"/>
        </w:rPr>
        <w:t> </w:t>
      </w:r>
      <w:r>
        <w:rPr>
          <w:color w:val="231F20"/>
        </w:rPr>
        <w:t>учитывают</w:t>
      </w:r>
      <w:r>
        <w:rPr>
          <w:color w:val="231F20"/>
          <w:spacing w:val="-8"/>
        </w:rPr>
        <w:t> </w:t>
      </w:r>
      <w:r>
        <w:rPr>
          <w:color w:val="231F20"/>
        </w:rPr>
        <w:t>современные</w:t>
      </w:r>
      <w:r>
        <w:rPr>
          <w:color w:val="231F20"/>
          <w:spacing w:val="-8"/>
        </w:rPr>
        <w:t> </w:t>
      </w:r>
      <w:r>
        <w:rPr>
          <w:color w:val="231F20"/>
        </w:rPr>
        <w:t>миграционные</w:t>
      </w:r>
      <w:r>
        <w:rPr>
          <w:color w:val="231F20"/>
          <w:spacing w:val="-8"/>
        </w:rPr>
        <w:t> </w:t>
      </w:r>
      <w:r>
        <w:rPr>
          <w:color w:val="231F20"/>
        </w:rPr>
        <w:t>потоки и необходимость знакомства детей не только с традиционными для России нацио- нальностями</w:t>
      </w:r>
      <w:r>
        <w:rPr>
          <w:color w:val="231F20"/>
          <w:spacing w:val="-4"/>
        </w:rPr>
        <w:t> </w:t>
      </w:r>
      <w:r>
        <w:rPr>
          <w:color w:val="231F20"/>
        </w:rPr>
        <w:t>и</w:t>
      </w:r>
      <w:r>
        <w:rPr>
          <w:color w:val="231F20"/>
          <w:spacing w:val="-4"/>
        </w:rPr>
        <w:t> </w:t>
      </w:r>
      <w:r>
        <w:rPr>
          <w:color w:val="231F20"/>
        </w:rPr>
        <w:t>народами,</w:t>
      </w:r>
      <w:r>
        <w:rPr>
          <w:color w:val="231F20"/>
          <w:spacing w:val="-4"/>
        </w:rPr>
        <w:t> </w:t>
      </w:r>
      <w:r>
        <w:rPr>
          <w:color w:val="231F20"/>
        </w:rPr>
        <w:t>но</w:t>
      </w:r>
      <w:r>
        <w:rPr>
          <w:color w:val="231F20"/>
          <w:spacing w:val="-4"/>
        </w:rPr>
        <w:t> </w:t>
      </w:r>
      <w:r>
        <w:rPr>
          <w:color w:val="231F20"/>
        </w:rPr>
        <w:t>также</w:t>
      </w:r>
      <w:r>
        <w:rPr>
          <w:color w:val="231F20"/>
          <w:spacing w:val="-4"/>
        </w:rPr>
        <w:t> </w:t>
      </w:r>
      <w:r>
        <w:rPr>
          <w:color w:val="231F20"/>
        </w:rPr>
        <w:t>с</w:t>
      </w:r>
      <w:r>
        <w:rPr>
          <w:color w:val="231F20"/>
          <w:spacing w:val="-4"/>
        </w:rPr>
        <w:t> </w:t>
      </w:r>
      <w:r>
        <w:rPr>
          <w:color w:val="231F20"/>
        </w:rPr>
        <w:t>народами</w:t>
      </w:r>
      <w:r>
        <w:rPr>
          <w:color w:val="231F20"/>
          <w:spacing w:val="-4"/>
        </w:rPr>
        <w:t> </w:t>
      </w:r>
      <w:r>
        <w:rPr>
          <w:color w:val="231F20"/>
        </w:rPr>
        <w:t>ближнего</w:t>
      </w:r>
      <w:r>
        <w:rPr>
          <w:color w:val="231F20"/>
          <w:spacing w:val="-4"/>
        </w:rPr>
        <w:t> </w:t>
      </w:r>
      <w:r>
        <w:rPr>
          <w:color w:val="231F20"/>
        </w:rPr>
        <w:t>и</w:t>
      </w:r>
      <w:r>
        <w:rPr>
          <w:color w:val="231F20"/>
          <w:spacing w:val="-4"/>
        </w:rPr>
        <w:t> </w:t>
      </w:r>
      <w:r>
        <w:rPr>
          <w:color w:val="231F20"/>
        </w:rPr>
        <w:t>дальнего</w:t>
      </w:r>
      <w:r>
        <w:rPr>
          <w:color w:val="231F20"/>
          <w:spacing w:val="-4"/>
        </w:rPr>
        <w:t> </w:t>
      </w:r>
      <w:r>
        <w:rPr>
          <w:color w:val="231F20"/>
        </w:rPr>
        <w:t>зарубежья.</w:t>
      </w:r>
      <w:r>
        <w:rPr>
          <w:color w:val="231F20"/>
          <w:spacing w:val="-4"/>
        </w:rPr>
        <w:t> </w:t>
      </w:r>
      <w:r>
        <w:rPr>
          <w:color w:val="231F20"/>
        </w:rPr>
        <w:t>Этот новый вызов системе школьного образования усиливает ответственность школы за культурную адаптацию учащихся и членов их семей, которые недавно прибыли на территорию России и относятся не к коренным народам, а к представителям трудо- вых мигрантов. Новые задачи требуют пересмотра уже привычных методик органи- зации школьных фестивалей национальных культур и включения в их сценарий но- вых элементов.</w:t>
      </w:r>
    </w:p>
    <w:p>
      <w:pPr>
        <w:pStyle w:val="BodyText"/>
        <w:spacing w:after="0" w:line="235" w:lineRule="auto"/>
        <w:sectPr>
          <w:type w:val="continuous"/>
          <w:pgSz w:w="8400" w:h="11910"/>
          <w:pgMar w:header="0" w:footer="527" w:top="1260" w:bottom="740" w:left="425" w:right="425"/>
        </w:sectPr>
      </w:pPr>
    </w:p>
    <w:p>
      <w:pPr>
        <w:spacing w:before="80"/>
        <w:ind w:left="141" w:right="0" w:firstLine="0"/>
        <w:jc w:val="left"/>
        <w:rPr>
          <w:rFonts w:ascii="Georgia" w:hAnsi="Georgia"/>
          <w:sz w:val="18"/>
        </w:rPr>
      </w:pPr>
      <w:r>
        <w:rPr>
          <w:rFonts w:ascii="Georgia" w:hAnsi="Georgia"/>
          <w:color w:val="231F20"/>
          <w:spacing w:val="-2"/>
          <w:sz w:val="18"/>
        </w:rPr>
        <w:t>Приложение</w:t>
      </w:r>
    </w:p>
    <w:p>
      <w:pPr>
        <w:pStyle w:val="BodyText"/>
        <w:spacing w:line="235" w:lineRule="auto" w:before="116"/>
      </w:pPr>
      <w:r>
        <w:rPr>
          <w:color w:val="231F20"/>
        </w:rPr>
        <w:t>Общешкольный фестиваль национальных культур может помочь педагогам луч- ше понять учащихся и родителей, принадлежащих к народности с определенными социокультурными</w:t>
      </w:r>
      <w:r>
        <w:rPr>
          <w:color w:val="231F20"/>
          <w:spacing w:val="-2"/>
        </w:rPr>
        <w:t> </w:t>
      </w:r>
      <w:r>
        <w:rPr>
          <w:color w:val="231F20"/>
        </w:rPr>
        <w:t>особенностями,</w:t>
      </w:r>
      <w:r>
        <w:rPr>
          <w:color w:val="231F20"/>
          <w:spacing w:val="-2"/>
        </w:rPr>
        <w:t> </w:t>
      </w:r>
      <w:r>
        <w:rPr>
          <w:color w:val="231F20"/>
        </w:rPr>
        <w:t>которые</w:t>
      </w:r>
      <w:r>
        <w:rPr>
          <w:color w:val="231F20"/>
          <w:spacing w:val="-2"/>
        </w:rPr>
        <w:t> </w:t>
      </w:r>
      <w:r>
        <w:rPr>
          <w:color w:val="231F20"/>
        </w:rPr>
        <w:t>педагоги,</w:t>
      </w:r>
      <w:r>
        <w:rPr>
          <w:color w:val="231F20"/>
          <w:spacing w:val="-2"/>
        </w:rPr>
        <w:t> </w:t>
      </w:r>
      <w:r>
        <w:rPr>
          <w:color w:val="231F20"/>
        </w:rPr>
        <w:t>психологи</w:t>
      </w:r>
      <w:r>
        <w:rPr>
          <w:color w:val="231F20"/>
          <w:spacing w:val="-2"/>
        </w:rPr>
        <w:t> </w:t>
      </w:r>
      <w:r>
        <w:rPr>
          <w:color w:val="231F20"/>
        </w:rPr>
        <w:t>и</w:t>
      </w:r>
      <w:r>
        <w:rPr>
          <w:color w:val="231F20"/>
          <w:spacing w:val="-2"/>
        </w:rPr>
        <w:t> </w:t>
      </w:r>
      <w:r>
        <w:rPr>
          <w:color w:val="231F20"/>
        </w:rPr>
        <w:t>администраторы школы могут плохо знать. Без этого знания культуры сложно выстроить отношения доверия</w:t>
      </w:r>
      <w:r>
        <w:rPr>
          <w:color w:val="231F20"/>
          <w:spacing w:val="-12"/>
        </w:rPr>
        <w:t> </w:t>
      </w:r>
      <w:r>
        <w:rPr>
          <w:color w:val="231F20"/>
        </w:rPr>
        <w:t>и</w:t>
      </w:r>
      <w:r>
        <w:rPr>
          <w:color w:val="231F20"/>
          <w:spacing w:val="-12"/>
        </w:rPr>
        <w:t> </w:t>
      </w:r>
      <w:r>
        <w:rPr>
          <w:color w:val="231F20"/>
        </w:rPr>
        <w:t>понимания,</w:t>
      </w:r>
      <w:r>
        <w:rPr>
          <w:color w:val="231F20"/>
          <w:spacing w:val="-12"/>
        </w:rPr>
        <w:t> </w:t>
      </w:r>
      <w:r>
        <w:rPr>
          <w:color w:val="231F20"/>
        </w:rPr>
        <w:t>без</w:t>
      </w:r>
      <w:r>
        <w:rPr>
          <w:color w:val="231F20"/>
          <w:spacing w:val="-12"/>
        </w:rPr>
        <w:t> </w:t>
      </w:r>
      <w:r>
        <w:rPr>
          <w:color w:val="231F20"/>
        </w:rPr>
        <w:t>которых</w:t>
      </w:r>
      <w:r>
        <w:rPr>
          <w:color w:val="231F20"/>
          <w:spacing w:val="-12"/>
        </w:rPr>
        <w:t> </w:t>
      </w:r>
      <w:r>
        <w:rPr>
          <w:color w:val="231F20"/>
        </w:rPr>
        <w:t>не</w:t>
      </w:r>
      <w:r>
        <w:rPr>
          <w:color w:val="231F20"/>
          <w:spacing w:val="-12"/>
        </w:rPr>
        <w:t> </w:t>
      </w:r>
      <w:r>
        <w:rPr>
          <w:color w:val="231F20"/>
        </w:rPr>
        <w:t>будет</w:t>
      </w:r>
      <w:r>
        <w:rPr>
          <w:color w:val="231F20"/>
          <w:spacing w:val="-12"/>
        </w:rPr>
        <w:t> </w:t>
      </w:r>
      <w:r>
        <w:rPr>
          <w:color w:val="231F20"/>
        </w:rPr>
        <w:t>эффективного</w:t>
      </w:r>
      <w:r>
        <w:rPr>
          <w:color w:val="231F20"/>
          <w:spacing w:val="-12"/>
        </w:rPr>
        <w:t> </w:t>
      </w:r>
      <w:r>
        <w:rPr>
          <w:color w:val="231F20"/>
        </w:rPr>
        <w:t>учебного</w:t>
      </w:r>
      <w:r>
        <w:rPr>
          <w:color w:val="231F20"/>
          <w:spacing w:val="-12"/>
        </w:rPr>
        <w:t> </w:t>
      </w:r>
      <w:r>
        <w:rPr>
          <w:color w:val="231F20"/>
        </w:rPr>
        <w:t>процесса.</w:t>
      </w:r>
      <w:r>
        <w:rPr>
          <w:color w:val="231F20"/>
          <w:spacing w:val="-12"/>
        </w:rPr>
        <w:t> </w:t>
      </w:r>
      <w:r>
        <w:rPr>
          <w:color w:val="231F20"/>
        </w:rPr>
        <w:t>Следо- вательно,</w:t>
      </w:r>
      <w:r>
        <w:rPr>
          <w:color w:val="231F20"/>
          <w:spacing w:val="-10"/>
        </w:rPr>
        <w:t> </w:t>
      </w:r>
      <w:r>
        <w:rPr>
          <w:color w:val="231F20"/>
        </w:rPr>
        <w:t>мероприятия,</w:t>
      </w:r>
      <w:r>
        <w:rPr>
          <w:color w:val="231F20"/>
          <w:spacing w:val="-10"/>
        </w:rPr>
        <w:t> </w:t>
      </w:r>
      <w:r>
        <w:rPr>
          <w:color w:val="231F20"/>
        </w:rPr>
        <w:t>подобные</w:t>
      </w:r>
      <w:r>
        <w:rPr>
          <w:color w:val="231F20"/>
          <w:spacing w:val="-10"/>
        </w:rPr>
        <w:t> </w:t>
      </w:r>
      <w:r>
        <w:rPr>
          <w:color w:val="231F20"/>
        </w:rPr>
        <w:t>фестивалю</w:t>
      </w:r>
      <w:r>
        <w:rPr>
          <w:color w:val="231F20"/>
          <w:spacing w:val="-10"/>
        </w:rPr>
        <w:t> </w:t>
      </w:r>
      <w:r>
        <w:rPr>
          <w:color w:val="231F20"/>
        </w:rPr>
        <w:t>национальных</w:t>
      </w:r>
      <w:r>
        <w:rPr>
          <w:color w:val="231F20"/>
          <w:spacing w:val="-10"/>
        </w:rPr>
        <w:t> </w:t>
      </w:r>
      <w:r>
        <w:rPr>
          <w:color w:val="231F20"/>
        </w:rPr>
        <w:t>культур,</w:t>
      </w:r>
      <w:r>
        <w:rPr>
          <w:color w:val="231F20"/>
          <w:spacing w:val="-10"/>
        </w:rPr>
        <w:t> </w:t>
      </w:r>
      <w:r>
        <w:rPr>
          <w:color w:val="231F20"/>
        </w:rPr>
        <w:t>важны</w:t>
      </w:r>
      <w:r>
        <w:rPr>
          <w:color w:val="231F20"/>
          <w:spacing w:val="-10"/>
        </w:rPr>
        <w:t> </w:t>
      </w:r>
      <w:r>
        <w:rPr>
          <w:color w:val="231F20"/>
        </w:rPr>
        <w:t>не</w:t>
      </w:r>
      <w:r>
        <w:rPr>
          <w:color w:val="231F20"/>
          <w:spacing w:val="-10"/>
        </w:rPr>
        <w:t> </w:t>
      </w:r>
      <w:r>
        <w:rPr>
          <w:color w:val="231F20"/>
        </w:rPr>
        <w:t>толь- ко</w:t>
      </w:r>
      <w:r>
        <w:rPr>
          <w:color w:val="231F20"/>
          <w:spacing w:val="-11"/>
        </w:rPr>
        <w:t> </w:t>
      </w:r>
      <w:r>
        <w:rPr>
          <w:color w:val="231F20"/>
        </w:rPr>
        <w:t>для</w:t>
      </w:r>
      <w:r>
        <w:rPr>
          <w:color w:val="231F20"/>
          <w:spacing w:val="-9"/>
        </w:rPr>
        <w:t> </w:t>
      </w:r>
      <w:r>
        <w:rPr>
          <w:color w:val="231F20"/>
        </w:rPr>
        <w:t>развития</w:t>
      </w:r>
      <w:r>
        <w:rPr>
          <w:color w:val="231F20"/>
          <w:spacing w:val="-9"/>
        </w:rPr>
        <w:t> </w:t>
      </w:r>
      <w:r>
        <w:rPr>
          <w:color w:val="231F20"/>
        </w:rPr>
        <w:t>и</w:t>
      </w:r>
      <w:r>
        <w:rPr>
          <w:color w:val="231F20"/>
          <w:spacing w:val="-9"/>
        </w:rPr>
        <w:t> </w:t>
      </w:r>
      <w:r>
        <w:rPr>
          <w:color w:val="231F20"/>
        </w:rPr>
        <w:t>воспитания</w:t>
      </w:r>
      <w:r>
        <w:rPr>
          <w:color w:val="231F20"/>
          <w:spacing w:val="-9"/>
        </w:rPr>
        <w:t> </w:t>
      </w:r>
      <w:r>
        <w:rPr>
          <w:color w:val="231F20"/>
        </w:rPr>
        <w:t>учащихся,</w:t>
      </w:r>
      <w:r>
        <w:rPr>
          <w:color w:val="231F20"/>
          <w:spacing w:val="-9"/>
        </w:rPr>
        <w:t> </w:t>
      </w:r>
      <w:r>
        <w:rPr>
          <w:color w:val="231F20"/>
        </w:rPr>
        <w:t>но</w:t>
      </w:r>
      <w:r>
        <w:rPr>
          <w:color w:val="231F20"/>
          <w:spacing w:val="-9"/>
        </w:rPr>
        <w:t> </w:t>
      </w:r>
      <w:r>
        <w:rPr>
          <w:color w:val="231F20"/>
        </w:rPr>
        <w:t>и</w:t>
      </w:r>
      <w:r>
        <w:rPr>
          <w:color w:val="231F20"/>
          <w:spacing w:val="-9"/>
        </w:rPr>
        <w:t> </w:t>
      </w:r>
      <w:r>
        <w:rPr>
          <w:color w:val="231F20"/>
        </w:rPr>
        <w:t>для</w:t>
      </w:r>
      <w:r>
        <w:rPr>
          <w:color w:val="231F20"/>
          <w:spacing w:val="-9"/>
        </w:rPr>
        <w:t> </w:t>
      </w:r>
      <w:r>
        <w:rPr>
          <w:color w:val="231F20"/>
        </w:rPr>
        <w:t>повышения</w:t>
      </w:r>
      <w:r>
        <w:rPr>
          <w:color w:val="231F20"/>
          <w:spacing w:val="-9"/>
        </w:rPr>
        <w:t> </w:t>
      </w:r>
      <w:r>
        <w:rPr>
          <w:color w:val="231F20"/>
        </w:rPr>
        <w:t>эффективности</w:t>
      </w:r>
      <w:r>
        <w:rPr>
          <w:color w:val="231F20"/>
          <w:spacing w:val="-9"/>
        </w:rPr>
        <w:t> </w:t>
      </w:r>
      <w:r>
        <w:rPr>
          <w:color w:val="231F20"/>
        </w:rPr>
        <w:t>взаимо- действия семьи и школы, учащихся и их родителей со школой и педагогов с семьей.</w:t>
      </w:r>
    </w:p>
    <w:p>
      <w:pPr>
        <w:pStyle w:val="BodyText"/>
        <w:spacing w:line="232" w:lineRule="auto" w:before="7"/>
      </w:pPr>
      <w:r>
        <w:rPr>
          <w:color w:val="231F20"/>
        </w:rPr>
        <w:t>На что, по нашему мнению, для достижения целей культурной адаптации де-</w:t>
      </w:r>
      <w:r>
        <w:rPr>
          <w:color w:val="231F20"/>
          <w:spacing w:val="40"/>
        </w:rPr>
        <w:t> </w:t>
      </w:r>
      <w:r>
        <w:rPr>
          <w:color w:val="231F20"/>
        </w:rPr>
        <w:t>тей-мигрантов</w:t>
      </w:r>
      <w:r>
        <w:rPr>
          <w:color w:val="231F20"/>
          <w:spacing w:val="-7"/>
        </w:rPr>
        <w:t> </w:t>
      </w:r>
      <w:r>
        <w:rPr>
          <w:color w:val="231F20"/>
        </w:rPr>
        <w:t>нужно</w:t>
      </w:r>
      <w:r>
        <w:rPr>
          <w:color w:val="231F20"/>
          <w:spacing w:val="-6"/>
        </w:rPr>
        <w:t> </w:t>
      </w:r>
      <w:r>
        <w:rPr>
          <w:color w:val="231F20"/>
        </w:rPr>
        <w:t>обратить</w:t>
      </w:r>
      <w:r>
        <w:rPr>
          <w:color w:val="231F20"/>
          <w:spacing w:val="-7"/>
        </w:rPr>
        <w:t> </w:t>
      </w:r>
      <w:r>
        <w:rPr>
          <w:color w:val="231F20"/>
        </w:rPr>
        <w:t>внимание</w:t>
      </w:r>
      <w:r>
        <w:rPr>
          <w:color w:val="231F20"/>
          <w:spacing w:val="-7"/>
        </w:rPr>
        <w:t> </w:t>
      </w:r>
      <w:r>
        <w:rPr>
          <w:color w:val="231F20"/>
        </w:rPr>
        <w:t>при</w:t>
      </w:r>
      <w:r>
        <w:rPr>
          <w:color w:val="231F20"/>
          <w:spacing w:val="-7"/>
        </w:rPr>
        <w:t> </w:t>
      </w:r>
      <w:r>
        <w:rPr>
          <w:color w:val="231F20"/>
        </w:rPr>
        <w:t>планировании</w:t>
      </w:r>
      <w:r>
        <w:rPr>
          <w:color w:val="231F20"/>
          <w:spacing w:val="-7"/>
        </w:rPr>
        <w:t> </w:t>
      </w:r>
      <w:r>
        <w:rPr>
          <w:color w:val="231F20"/>
        </w:rPr>
        <w:t>обновленных</w:t>
      </w:r>
      <w:r>
        <w:rPr>
          <w:color w:val="231F20"/>
          <w:spacing w:val="-6"/>
        </w:rPr>
        <w:t> </w:t>
      </w:r>
      <w:r>
        <w:rPr>
          <w:color w:val="231F20"/>
        </w:rPr>
        <w:t>сценариев фестивалей национальных культур:</w:t>
      </w:r>
    </w:p>
    <w:p>
      <w:pPr>
        <w:pStyle w:val="ListParagraph"/>
        <w:numPr>
          <w:ilvl w:val="0"/>
          <w:numId w:val="133"/>
        </w:numPr>
        <w:tabs>
          <w:tab w:pos="425" w:val="left" w:leader="none"/>
        </w:tabs>
        <w:spacing w:line="232" w:lineRule="auto" w:before="0" w:after="0"/>
        <w:ind w:left="425" w:right="139" w:hanging="284"/>
        <w:jc w:val="both"/>
        <w:rPr>
          <w:sz w:val="20"/>
        </w:rPr>
      </w:pPr>
      <w:r>
        <w:rPr>
          <w:color w:val="231F20"/>
          <w:sz w:val="20"/>
        </w:rPr>
        <w:t>опираться на информацию о том, какие этнические группы представлены в кон- тингенте учащихся школы,</w:t>
      </w:r>
    </w:p>
    <w:p>
      <w:pPr>
        <w:pStyle w:val="ListParagraph"/>
        <w:numPr>
          <w:ilvl w:val="0"/>
          <w:numId w:val="133"/>
        </w:numPr>
        <w:tabs>
          <w:tab w:pos="425" w:val="left" w:leader="none"/>
        </w:tabs>
        <w:spacing w:line="232" w:lineRule="auto" w:before="0" w:after="0"/>
        <w:ind w:left="425" w:right="139" w:hanging="284"/>
        <w:jc w:val="both"/>
        <w:rPr>
          <w:sz w:val="20"/>
        </w:rPr>
      </w:pPr>
      <w:r>
        <w:rPr>
          <w:color w:val="231F20"/>
          <w:sz w:val="20"/>
        </w:rPr>
        <w:t>приглашать участвовать в фестивале родителей учащихся, представляющих раз- личные народы,</w:t>
      </w:r>
    </w:p>
    <w:p>
      <w:pPr>
        <w:pStyle w:val="ListParagraph"/>
        <w:numPr>
          <w:ilvl w:val="0"/>
          <w:numId w:val="133"/>
        </w:numPr>
        <w:tabs>
          <w:tab w:pos="425" w:val="left" w:leader="none"/>
        </w:tabs>
        <w:spacing w:line="232" w:lineRule="auto" w:before="0" w:after="0"/>
        <w:ind w:left="425" w:right="139" w:hanging="284"/>
        <w:jc w:val="both"/>
        <w:rPr>
          <w:sz w:val="20"/>
        </w:rPr>
      </w:pPr>
      <w:r>
        <w:rPr>
          <w:color w:val="231F20"/>
          <w:sz w:val="20"/>
        </w:rPr>
        <w:t>привлекать</w:t>
      </w:r>
      <w:r>
        <w:rPr>
          <w:color w:val="231F20"/>
          <w:spacing w:val="-9"/>
          <w:sz w:val="20"/>
        </w:rPr>
        <w:t> </w:t>
      </w:r>
      <w:r>
        <w:rPr>
          <w:color w:val="231F20"/>
          <w:sz w:val="20"/>
        </w:rPr>
        <w:t>к</w:t>
      </w:r>
      <w:r>
        <w:rPr>
          <w:color w:val="231F20"/>
          <w:spacing w:val="-9"/>
          <w:sz w:val="20"/>
        </w:rPr>
        <w:t> </w:t>
      </w:r>
      <w:r>
        <w:rPr>
          <w:color w:val="231F20"/>
          <w:sz w:val="20"/>
        </w:rPr>
        <w:t>проведению</w:t>
      </w:r>
      <w:r>
        <w:rPr>
          <w:color w:val="231F20"/>
          <w:spacing w:val="-9"/>
          <w:sz w:val="20"/>
        </w:rPr>
        <w:t> </w:t>
      </w:r>
      <w:r>
        <w:rPr>
          <w:color w:val="231F20"/>
          <w:sz w:val="20"/>
        </w:rPr>
        <w:t>фестиваля</w:t>
      </w:r>
      <w:r>
        <w:rPr>
          <w:color w:val="231F20"/>
          <w:spacing w:val="-9"/>
          <w:sz w:val="20"/>
        </w:rPr>
        <w:t> </w:t>
      </w:r>
      <w:r>
        <w:rPr>
          <w:color w:val="231F20"/>
          <w:sz w:val="20"/>
        </w:rPr>
        <w:t>официальных</w:t>
      </w:r>
      <w:r>
        <w:rPr>
          <w:color w:val="231F20"/>
          <w:spacing w:val="-9"/>
          <w:sz w:val="20"/>
        </w:rPr>
        <w:t> </w:t>
      </w:r>
      <w:r>
        <w:rPr>
          <w:color w:val="231F20"/>
          <w:sz w:val="20"/>
        </w:rPr>
        <w:t>представителей</w:t>
      </w:r>
      <w:r>
        <w:rPr>
          <w:color w:val="231F20"/>
          <w:spacing w:val="-9"/>
          <w:sz w:val="20"/>
        </w:rPr>
        <w:t> </w:t>
      </w:r>
      <w:r>
        <w:rPr>
          <w:color w:val="231F20"/>
          <w:sz w:val="20"/>
        </w:rPr>
        <w:t>различных</w:t>
      </w:r>
      <w:r>
        <w:rPr>
          <w:color w:val="231F20"/>
          <w:spacing w:val="-9"/>
          <w:sz w:val="20"/>
        </w:rPr>
        <w:t> </w:t>
      </w:r>
      <w:r>
        <w:rPr>
          <w:color w:val="231F20"/>
          <w:sz w:val="20"/>
        </w:rPr>
        <w:t>го- сударственных</w:t>
      </w:r>
      <w:r>
        <w:rPr>
          <w:color w:val="231F20"/>
          <w:spacing w:val="-13"/>
          <w:sz w:val="20"/>
        </w:rPr>
        <w:t> </w:t>
      </w:r>
      <w:r>
        <w:rPr>
          <w:color w:val="231F20"/>
          <w:sz w:val="20"/>
        </w:rPr>
        <w:t>и</w:t>
      </w:r>
      <w:r>
        <w:rPr>
          <w:color w:val="231F20"/>
          <w:spacing w:val="-12"/>
          <w:sz w:val="20"/>
        </w:rPr>
        <w:t> </w:t>
      </w:r>
      <w:r>
        <w:rPr>
          <w:color w:val="231F20"/>
          <w:sz w:val="20"/>
        </w:rPr>
        <w:t>общественных</w:t>
      </w:r>
      <w:r>
        <w:rPr>
          <w:color w:val="231F20"/>
          <w:spacing w:val="-13"/>
          <w:sz w:val="20"/>
        </w:rPr>
        <w:t> </w:t>
      </w:r>
      <w:r>
        <w:rPr>
          <w:color w:val="231F20"/>
          <w:sz w:val="20"/>
        </w:rPr>
        <w:t>организаций</w:t>
      </w:r>
      <w:r>
        <w:rPr>
          <w:color w:val="231F20"/>
          <w:spacing w:val="-12"/>
          <w:sz w:val="20"/>
        </w:rPr>
        <w:t> </w:t>
      </w:r>
      <w:r>
        <w:rPr>
          <w:color w:val="231F20"/>
          <w:sz w:val="20"/>
        </w:rPr>
        <w:t>региона</w:t>
      </w:r>
      <w:r>
        <w:rPr>
          <w:color w:val="231F20"/>
          <w:spacing w:val="-13"/>
          <w:sz w:val="20"/>
        </w:rPr>
        <w:t> </w:t>
      </w:r>
      <w:r>
        <w:rPr>
          <w:color w:val="231F20"/>
          <w:sz w:val="20"/>
        </w:rPr>
        <w:t>(города),</w:t>
      </w:r>
      <w:r>
        <w:rPr>
          <w:color w:val="231F20"/>
          <w:spacing w:val="-12"/>
          <w:sz w:val="20"/>
        </w:rPr>
        <w:t> </w:t>
      </w:r>
      <w:r>
        <w:rPr>
          <w:color w:val="231F20"/>
          <w:sz w:val="20"/>
        </w:rPr>
        <w:t>имеющих</w:t>
      </w:r>
      <w:r>
        <w:rPr>
          <w:color w:val="231F20"/>
          <w:spacing w:val="-13"/>
          <w:sz w:val="20"/>
        </w:rPr>
        <w:t> </w:t>
      </w:r>
      <w:r>
        <w:rPr>
          <w:color w:val="231F20"/>
          <w:sz w:val="20"/>
        </w:rPr>
        <w:t>отноше- ние</w:t>
      </w:r>
      <w:r>
        <w:rPr>
          <w:color w:val="231F20"/>
          <w:spacing w:val="-4"/>
          <w:sz w:val="20"/>
        </w:rPr>
        <w:t> </w:t>
      </w:r>
      <w:r>
        <w:rPr>
          <w:color w:val="231F20"/>
          <w:sz w:val="20"/>
        </w:rPr>
        <w:t>к</w:t>
      </w:r>
      <w:r>
        <w:rPr>
          <w:color w:val="231F20"/>
          <w:spacing w:val="-4"/>
          <w:sz w:val="20"/>
        </w:rPr>
        <w:t> </w:t>
      </w:r>
      <w:r>
        <w:rPr>
          <w:color w:val="231F20"/>
          <w:sz w:val="20"/>
        </w:rPr>
        <w:t>межкультурному</w:t>
      </w:r>
      <w:r>
        <w:rPr>
          <w:color w:val="231F20"/>
          <w:spacing w:val="-4"/>
          <w:sz w:val="20"/>
        </w:rPr>
        <w:t> </w:t>
      </w:r>
      <w:r>
        <w:rPr>
          <w:color w:val="231F20"/>
          <w:sz w:val="20"/>
        </w:rPr>
        <w:t>взаимодействию</w:t>
      </w:r>
      <w:r>
        <w:rPr>
          <w:color w:val="231F20"/>
          <w:spacing w:val="-4"/>
          <w:sz w:val="20"/>
        </w:rPr>
        <w:t> </w:t>
      </w:r>
      <w:r>
        <w:rPr>
          <w:color w:val="231F20"/>
          <w:sz w:val="20"/>
        </w:rPr>
        <w:t>(представителей</w:t>
      </w:r>
      <w:r>
        <w:rPr>
          <w:color w:val="231F20"/>
          <w:spacing w:val="-4"/>
          <w:sz w:val="20"/>
        </w:rPr>
        <w:t> </w:t>
      </w:r>
      <w:r>
        <w:rPr>
          <w:color w:val="231F20"/>
          <w:sz w:val="20"/>
        </w:rPr>
        <w:t>национальных</w:t>
      </w:r>
      <w:r>
        <w:rPr>
          <w:color w:val="231F20"/>
          <w:spacing w:val="-4"/>
          <w:sz w:val="20"/>
        </w:rPr>
        <w:t> </w:t>
      </w:r>
      <w:r>
        <w:rPr>
          <w:color w:val="231F20"/>
          <w:sz w:val="20"/>
        </w:rPr>
        <w:t>диаспор, домов дружбы, посольств и др.).</w:t>
      </w:r>
    </w:p>
    <w:p>
      <w:pPr>
        <w:pStyle w:val="BodyText"/>
        <w:spacing w:line="232" w:lineRule="auto"/>
      </w:pPr>
      <w:r>
        <w:rPr>
          <w:color w:val="231F20"/>
        </w:rPr>
        <w:t>Для подготовки фестиваля надо сформировать рабочую группу в составе не- скольких</w:t>
      </w:r>
      <w:r>
        <w:rPr>
          <w:color w:val="231F20"/>
          <w:spacing w:val="-13"/>
        </w:rPr>
        <w:t> </w:t>
      </w:r>
      <w:r>
        <w:rPr>
          <w:color w:val="231F20"/>
        </w:rPr>
        <w:t>(как</w:t>
      </w:r>
      <w:r>
        <w:rPr>
          <w:color w:val="231F20"/>
          <w:spacing w:val="-12"/>
        </w:rPr>
        <w:t> </w:t>
      </w:r>
      <w:r>
        <w:rPr>
          <w:color w:val="231F20"/>
        </w:rPr>
        <w:t>правило,</w:t>
      </w:r>
      <w:r>
        <w:rPr>
          <w:color w:val="231F20"/>
          <w:spacing w:val="-13"/>
        </w:rPr>
        <w:t> </w:t>
      </w:r>
      <w:r>
        <w:rPr>
          <w:color w:val="231F20"/>
        </w:rPr>
        <w:t>3–4)</w:t>
      </w:r>
      <w:r>
        <w:rPr>
          <w:color w:val="231F20"/>
          <w:spacing w:val="-12"/>
        </w:rPr>
        <w:t> </w:t>
      </w:r>
      <w:r>
        <w:rPr>
          <w:color w:val="231F20"/>
        </w:rPr>
        <w:t>человек</w:t>
      </w:r>
      <w:r>
        <w:rPr>
          <w:color w:val="231F20"/>
          <w:spacing w:val="-13"/>
        </w:rPr>
        <w:t> </w:t>
      </w:r>
      <w:r>
        <w:rPr>
          <w:color w:val="231F20"/>
        </w:rPr>
        <w:t>из</w:t>
      </w:r>
      <w:r>
        <w:rPr>
          <w:color w:val="231F20"/>
          <w:spacing w:val="-12"/>
        </w:rPr>
        <w:t> </w:t>
      </w:r>
      <w:r>
        <w:rPr>
          <w:color w:val="231F20"/>
        </w:rPr>
        <w:t>числа</w:t>
      </w:r>
      <w:r>
        <w:rPr>
          <w:color w:val="231F20"/>
          <w:spacing w:val="-13"/>
        </w:rPr>
        <w:t> </w:t>
      </w:r>
      <w:r>
        <w:rPr>
          <w:color w:val="231F20"/>
        </w:rPr>
        <w:t>сотрудников</w:t>
      </w:r>
      <w:r>
        <w:rPr>
          <w:color w:val="231F20"/>
          <w:spacing w:val="-12"/>
        </w:rPr>
        <w:t> </w:t>
      </w:r>
      <w:r>
        <w:rPr>
          <w:color w:val="231F20"/>
        </w:rPr>
        <w:t>школы,</w:t>
      </w:r>
      <w:r>
        <w:rPr>
          <w:color w:val="231F20"/>
          <w:spacing w:val="-13"/>
        </w:rPr>
        <w:t> </w:t>
      </w:r>
      <w:r>
        <w:rPr>
          <w:color w:val="231F20"/>
        </w:rPr>
        <w:t>которые</w:t>
      </w:r>
      <w:r>
        <w:rPr>
          <w:color w:val="231F20"/>
          <w:spacing w:val="-12"/>
        </w:rPr>
        <w:t> </w:t>
      </w:r>
      <w:r>
        <w:rPr>
          <w:color w:val="231F20"/>
        </w:rPr>
        <w:t>обеспечат координацию работ. Это могут быть представители школьной администрации, учи- теля-предметники, ответственные за воспитательную работу и проведение общеш- кольных мероприятий, а также представители родительского актива.</w:t>
      </w:r>
    </w:p>
    <w:p>
      <w:pPr>
        <w:pStyle w:val="BodyText"/>
        <w:spacing w:line="232" w:lineRule="auto"/>
      </w:pPr>
      <w:r>
        <w:rPr>
          <w:color w:val="231F20"/>
        </w:rPr>
        <w:t>Если</w:t>
      </w:r>
      <w:r>
        <w:rPr>
          <w:color w:val="231F20"/>
          <w:spacing w:val="-2"/>
        </w:rPr>
        <w:t> </w:t>
      </w:r>
      <w:r>
        <w:rPr>
          <w:color w:val="231F20"/>
        </w:rPr>
        <w:t>школа</w:t>
      </w:r>
      <w:r>
        <w:rPr>
          <w:color w:val="231F20"/>
          <w:spacing w:val="-1"/>
        </w:rPr>
        <w:t> </w:t>
      </w:r>
      <w:r>
        <w:rPr>
          <w:color w:val="231F20"/>
        </w:rPr>
        <w:t>имеет</w:t>
      </w:r>
      <w:r>
        <w:rPr>
          <w:color w:val="231F20"/>
          <w:spacing w:val="-2"/>
        </w:rPr>
        <w:t> </w:t>
      </w:r>
      <w:r>
        <w:rPr>
          <w:color w:val="231F20"/>
        </w:rPr>
        <w:t>возможность</w:t>
      </w:r>
      <w:r>
        <w:rPr>
          <w:color w:val="231F20"/>
          <w:spacing w:val="-1"/>
        </w:rPr>
        <w:t> </w:t>
      </w:r>
      <w:r>
        <w:rPr>
          <w:color w:val="231F20"/>
        </w:rPr>
        <w:t>договориться</w:t>
      </w:r>
      <w:r>
        <w:rPr>
          <w:color w:val="231F20"/>
          <w:spacing w:val="-1"/>
        </w:rPr>
        <w:t> </w:t>
      </w:r>
      <w:r>
        <w:rPr>
          <w:color w:val="231F20"/>
        </w:rPr>
        <w:t>с</w:t>
      </w:r>
      <w:r>
        <w:rPr>
          <w:color w:val="231F20"/>
          <w:spacing w:val="-1"/>
        </w:rPr>
        <w:t> </w:t>
      </w:r>
      <w:r>
        <w:rPr>
          <w:color w:val="231F20"/>
        </w:rPr>
        <w:t>внешними</w:t>
      </w:r>
      <w:r>
        <w:rPr>
          <w:color w:val="231F20"/>
          <w:spacing w:val="-1"/>
        </w:rPr>
        <w:t> </w:t>
      </w:r>
      <w:r>
        <w:rPr>
          <w:color w:val="231F20"/>
        </w:rPr>
        <w:t>партнерскими</w:t>
      </w:r>
      <w:r>
        <w:rPr>
          <w:color w:val="231F20"/>
          <w:spacing w:val="-2"/>
        </w:rPr>
        <w:t> </w:t>
      </w:r>
      <w:r>
        <w:rPr>
          <w:color w:val="231F20"/>
        </w:rPr>
        <w:t>органи- зациями</w:t>
      </w:r>
      <w:r>
        <w:rPr>
          <w:color w:val="231F20"/>
          <w:spacing w:val="-4"/>
        </w:rPr>
        <w:t> </w:t>
      </w:r>
      <w:r>
        <w:rPr>
          <w:color w:val="231F20"/>
        </w:rPr>
        <w:t>(см.</w:t>
      </w:r>
      <w:r>
        <w:rPr>
          <w:color w:val="231F20"/>
          <w:spacing w:val="-4"/>
        </w:rPr>
        <w:t> </w:t>
      </w:r>
      <w:r>
        <w:rPr>
          <w:color w:val="231F20"/>
        </w:rPr>
        <w:t>выше)</w:t>
      </w:r>
      <w:r>
        <w:rPr>
          <w:color w:val="231F20"/>
          <w:spacing w:val="-4"/>
        </w:rPr>
        <w:t> </w:t>
      </w:r>
      <w:r>
        <w:rPr>
          <w:color w:val="231F20"/>
        </w:rPr>
        <w:t>об</w:t>
      </w:r>
      <w:r>
        <w:rPr>
          <w:color w:val="231F20"/>
          <w:spacing w:val="-4"/>
        </w:rPr>
        <w:t> </w:t>
      </w:r>
      <w:r>
        <w:rPr>
          <w:color w:val="231F20"/>
        </w:rPr>
        <w:t>их</w:t>
      </w:r>
      <w:r>
        <w:rPr>
          <w:color w:val="231F20"/>
          <w:spacing w:val="-4"/>
        </w:rPr>
        <w:t> </w:t>
      </w:r>
      <w:r>
        <w:rPr>
          <w:color w:val="231F20"/>
        </w:rPr>
        <w:t>участии</w:t>
      </w:r>
      <w:r>
        <w:rPr>
          <w:color w:val="231F20"/>
          <w:spacing w:val="-4"/>
        </w:rPr>
        <w:t> </w:t>
      </w:r>
      <w:r>
        <w:rPr>
          <w:color w:val="231F20"/>
        </w:rPr>
        <w:t>в</w:t>
      </w:r>
      <w:r>
        <w:rPr>
          <w:color w:val="231F20"/>
          <w:spacing w:val="-4"/>
        </w:rPr>
        <w:t> </w:t>
      </w:r>
      <w:r>
        <w:rPr>
          <w:color w:val="231F20"/>
        </w:rPr>
        <w:t>фестивале,</w:t>
      </w:r>
      <w:r>
        <w:rPr>
          <w:color w:val="231F20"/>
          <w:spacing w:val="-4"/>
        </w:rPr>
        <w:t> </w:t>
      </w:r>
      <w:r>
        <w:rPr>
          <w:color w:val="231F20"/>
        </w:rPr>
        <w:t>то</w:t>
      </w:r>
      <w:r>
        <w:rPr>
          <w:color w:val="231F20"/>
          <w:spacing w:val="-4"/>
        </w:rPr>
        <w:t> </w:t>
      </w:r>
      <w:r>
        <w:rPr>
          <w:color w:val="231F20"/>
        </w:rPr>
        <w:t>программа</w:t>
      </w:r>
      <w:r>
        <w:rPr>
          <w:color w:val="231F20"/>
          <w:spacing w:val="-4"/>
        </w:rPr>
        <w:t> </w:t>
      </w:r>
      <w:r>
        <w:rPr>
          <w:color w:val="231F20"/>
        </w:rPr>
        <w:t>может</w:t>
      </w:r>
      <w:r>
        <w:rPr>
          <w:color w:val="231F20"/>
          <w:spacing w:val="-4"/>
        </w:rPr>
        <w:t> </w:t>
      </w:r>
      <w:r>
        <w:rPr>
          <w:color w:val="231F20"/>
        </w:rPr>
        <w:t>быть</w:t>
      </w:r>
      <w:r>
        <w:rPr>
          <w:color w:val="231F20"/>
          <w:spacing w:val="-4"/>
        </w:rPr>
        <w:t> </w:t>
      </w:r>
      <w:r>
        <w:rPr>
          <w:color w:val="231F20"/>
        </w:rPr>
        <w:t>расширена и сам фестиваль будет проходить в несколько этапов.</w:t>
      </w:r>
    </w:p>
    <w:p>
      <w:pPr>
        <w:pStyle w:val="BodyText"/>
        <w:spacing w:line="232" w:lineRule="auto"/>
      </w:pPr>
      <w:r>
        <w:rPr>
          <w:color w:val="231F20"/>
        </w:rPr>
        <w:t>Подготовительный</w:t>
      </w:r>
      <w:r>
        <w:rPr>
          <w:color w:val="231F20"/>
          <w:spacing w:val="-13"/>
        </w:rPr>
        <w:t> </w:t>
      </w:r>
      <w:r>
        <w:rPr>
          <w:color w:val="231F20"/>
        </w:rPr>
        <w:t>этап.</w:t>
      </w:r>
      <w:r>
        <w:rPr>
          <w:color w:val="231F20"/>
          <w:spacing w:val="-12"/>
        </w:rPr>
        <w:t> </w:t>
      </w:r>
      <w:r>
        <w:rPr>
          <w:color w:val="231F20"/>
        </w:rPr>
        <w:t>Составление</w:t>
      </w:r>
      <w:r>
        <w:rPr>
          <w:color w:val="231F20"/>
          <w:spacing w:val="-13"/>
        </w:rPr>
        <w:t> </w:t>
      </w:r>
      <w:r>
        <w:rPr>
          <w:color w:val="231F20"/>
        </w:rPr>
        <w:t>силами</w:t>
      </w:r>
      <w:r>
        <w:rPr>
          <w:color w:val="231F20"/>
          <w:spacing w:val="-12"/>
        </w:rPr>
        <w:t> </w:t>
      </w:r>
      <w:r>
        <w:rPr>
          <w:color w:val="231F20"/>
        </w:rPr>
        <w:t>рабочей</w:t>
      </w:r>
      <w:r>
        <w:rPr>
          <w:color w:val="231F20"/>
          <w:spacing w:val="-13"/>
        </w:rPr>
        <w:t> </w:t>
      </w:r>
      <w:r>
        <w:rPr>
          <w:color w:val="231F20"/>
        </w:rPr>
        <w:t>группы</w:t>
      </w:r>
      <w:r>
        <w:rPr>
          <w:color w:val="231F20"/>
          <w:spacing w:val="-12"/>
        </w:rPr>
        <w:t> </w:t>
      </w:r>
      <w:r>
        <w:rPr>
          <w:color w:val="231F20"/>
        </w:rPr>
        <w:t>списка</w:t>
      </w:r>
      <w:r>
        <w:rPr>
          <w:color w:val="231F20"/>
          <w:spacing w:val="-13"/>
        </w:rPr>
        <w:t> </w:t>
      </w:r>
      <w:r>
        <w:rPr>
          <w:color w:val="231F20"/>
        </w:rPr>
        <w:t>народов,</w:t>
      </w:r>
      <w:r>
        <w:rPr>
          <w:color w:val="231F20"/>
          <w:spacing w:val="-12"/>
        </w:rPr>
        <w:t> </w:t>
      </w:r>
      <w:r>
        <w:rPr>
          <w:color w:val="231F20"/>
        </w:rPr>
        <w:t>ко- торые</w:t>
      </w:r>
      <w:r>
        <w:rPr>
          <w:color w:val="231F20"/>
          <w:spacing w:val="-11"/>
        </w:rPr>
        <w:t> </w:t>
      </w:r>
      <w:r>
        <w:rPr>
          <w:color w:val="231F20"/>
        </w:rPr>
        <w:t>будут</w:t>
      </w:r>
      <w:r>
        <w:rPr>
          <w:color w:val="231F20"/>
          <w:spacing w:val="-11"/>
        </w:rPr>
        <w:t> </w:t>
      </w:r>
      <w:r>
        <w:rPr>
          <w:color w:val="231F20"/>
        </w:rPr>
        <w:t>представлены</w:t>
      </w:r>
      <w:r>
        <w:rPr>
          <w:color w:val="231F20"/>
          <w:spacing w:val="-12"/>
        </w:rPr>
        <w:t> </w:t>
      </w:r>
      <w:r>
        <w:rPr>
          <w:color w:val="231F20"/>
        </w:rPr>
        <w:t>на</w:t>
      </w:r>
      <w:r>
        <w:rPr>
          <w:color w:val="231F20"/>
          <w:spacing w:val="-11"/>
        </w:rPr>
        <w:t> </w:t>
      </w:r>
      <w:r>
        <w:rPr>
          <w:color w:val="231F20"/>
        </w:rPr>
        <w:t>фестивале.</w:t>
      </w:r>
      <w:r>
        <w:rPr>
          <w:color w:val="231F20"/>
          <w:spacing w:val="-11"/>
        </w:rPr>
        <w:t> </w:t>
      </w:r>
      <w:r>
        <w:rPr>
          <w:color w:val="231F20"/>
        </w:rPr>
        <w:t>Закрепление</w:t>
      </w:r>
      <w:r>
        <w:rPr>
          <w:color w:val="231F20"/>
          <w:spacing w:val="-12"/>
        </w:rPr>
        <w:t> </w:t>
      </w:r>
      <w:r>
        <w:rPr>
          <w:color w:val="231F20"/>
        </w:rPr>
        <w:t>народов</w:t>
      </w:r>
      <w:r>
        <w:rPr>
          <w:color w:val="231F20"/>
          <w:spacing w:val="-11"/>
        </w:rPr>
        <w:t> </w:t>
      </w:r>
      <w:r>
        <w:rPr>
          <w:color w:val="231F20"/>
        </w:rPr>
        <w:t>из</w:t>
      </w:r>
      <w:r>
        <w:rPr>
          <w:color w:val="231F20"/>
          <w:spacing w:val="-11"/>
        </w:rPr>
        <w:t> </w:t>
      </w:r>
      <w:r>
        <w:rPr>
          <w:color w:val="231F20"/>
        </w:rPr>
        <w:t>списка</w:t>
      </w:r>
      <w:r>
        <w:rPr>
          <w:color w:val="231F20"/>
          <w:spacing w:val="-12"/>
        </w:rPr>
        <w:t> </w:t>
      </w:r>
      <w:r>
        <w:rPr>
          <w:color w:val="231F20"/>
        </w:rPr>
        <w:t>за</w:t>
      </w:r>
      <w:r>
        <w:rPr>
          <w:color w:val="231F20"/>
          <w:spacing w:val="-11"/>
        </w:rPr>
        <w:t> </w:t>
      </w:r>
      <w:r>
        <w:rPr>
          <w:color w:val="231F20"/>
        </w:rPr>
        <w:t>классами. Знакомство</w:t>
      </w:r>
      <w:r>
        <w:rPr>
          <w:color w:val="231F20"/>
          <w:spacing w:val="-8"/>
        </w:rPr>
        <w:t> </w:t>
      </w:r>
      <w:r>
        <w:rPr>
          <w:color w:val="231F20"/>
        </w:rPr>
        <w:t>класса</w:t>
      </w:r>
      <w:r>
        <w:rPr>
          <w:color w:val="231F20"/>
          <w:spacing w:val="-8"/>
        </w:rPr>
        <w:t> </w:t>
      </w:r>
      <w:r>
        <w:rPr>
          <w:color w:val="231F20"/>
        </w:rPr>
        <w:t>с</w:t>
      </w:r>
      <w:r>
        <w:rPr>
          <w:color w:val="231F20"/>
          <w:spacing w:val="-8"/>
        </w:rPr>
        <w:t> </w:t>
      </w:r>
      <w:r>
        <w:rPr>
          <w:color w:val="231F20"/>
        </w:rPr>
        <w:t>выбранным</w:t>
      </w:r>
      <w:r>
        <w:rPr>
          <w:color w:val="231F20"/>
          <w:spacing w:val="-8"/>
        </w:rPr>
        <w:t> </w:t>
      </w:r>
      <w:r>
        <w:rPr>
          <w:color w:val="231F20"/>
        </w:rPr>
        <w:t>народом.</w:t>
      </w:r>
      <w:r>
        <w:rPr>
          <w:color w:val="231F20"/>
          <w:spacing w:val="-8"/>
        </w:rPr>
        <w:t> </w:t>
      </w:r>
      <w:r>
        <w:rPr>
          <w:color w:val="231F20"/>
        </w:rPr>
        <w:t>Экскурсии,</w:t>
      </w:r>
      <w:r>
        <w:rPr>
          <w:color w:val="231F20"/>
          <w:spacing w:val="-8"/>
        </w:rPr>
        <w:t> </w:t>
      </w:r>
      <w:r>
        <w:rPr>
          <w:color w:val="231F20"/>
        </w:rPr>
        <w:t>поездки</w:t>
      </w:r>
      <w:r>
        <w:rPr>
          <w:color w:val="231F20"/>
          <w:spacing w:val="-8"/>
        </w:rPr>
        <w:t> </w:t>
      </w:r>
      <w:r>
        <w:rPr>
          <w:color w:val="231F20"/>
        </w:rPr>
        <w:t>в</w:t>
      </w:r>
      <w:r>
        <w:rPr>
          <w:color w:val="231F20"/>
          <w:spacing w:val="-8"/>
        </w:rPr>
        <w:t> </w:t>
      </w:r>
      <w:r>
        <w:rPr>
          <w:color w:val="231F20"/>
        </w:rPr>
        <w:t>музеи,</w:t>
      </w:r>
      <w:r>
        <w:rPr>
          <w:color w:val="231F20"/>
          <w:spacing w:val="-8"/>
        </w:rPr>
        <w:t> </w:t>
      </w:r>
      <w:r>
        <w:rPr>
          <w:color w:val="231F20"/>
        </w:rPr>
        <w:t>поиск</w:t>
      </w:r>
      <w:r>
        <w:rPr>
          <w:color w:val="231F20"/>
          <w:spacing w:val="-8"/>
        </w:rPr>
        <w:t> </w:t>
      </w:r>
      <w:r>
        <w:rPr>
          <w:color w:val="231F20"/>
        </w:rPr>
        <w:t>инфор- мации</w:t>
      </w:r>
      <w:r>
        <w:rPr>
          <w:color w:val="231F20"/>
          <w:spacing w:val="-8"/>
        </w:rPr>
        <w:t> </w:t>
      </w:r>
      <w:r>
        <w:rPr>
          <w:color w:val="231F20"/>
        </w:rPr>
        <w:t>в</w:t>
      </w:r>
      <w:r>
        <w:rPr>
          <w:color w:val="231F20"/>
          <w:spacing w:val="-8"/>
        </w:rPr>
        <w:t> </w:t>
      </w:r>
      <w:r>
        <w:rPr>
          <w:color w:val="231F20"/>
        </w:rPr>
        <w:t>интернете,</w:t>
      </w:r>
      <w:r>
        <w:rPr>
          <w:color w:val="231F20"/>
          <w:spacing w:val="-8"/>
        </w:rPr>
        <w:t> </w:t>
      </w:r>
      <w:r>
        <w:rPr>
          <w:color w:val="231F20"/>
        </w:rPr>
        <w:t>встречи</w:t>
      </w:r>
      <w:r>
        <w:rPr>
          <w:color w:val="231F20"/>
          <w:spacing w:val="-8"/>
        </w:rPr>
        <w:t> </w:t>
      </w:r>
      <w:r>
        <w:rPr>
          <w:color w:val="231F20"/>
        </w:rPr>
        <w:t>с</w:t>
      </w:r>
      <w:r>
        <w:rPr>
          <w:color w:val="231F20"/>
          <w:spacing w:val="-8"/>
        </w:rPr>
        <w:t> </w:t>
      </w:r>
      <w:r>
        <w:rPr>
          <w:color w:val="231F20"/>
        </w:rPr>
        <w:t>представителями</w:t>
      </w:r>
      <w:r>
        <w:rPr>
          <w:color w:val="231F20"/>
          <w:spacing w:val="-8"/>
        </w:rPr>
        <w:t> </w:t>
      </w:r>
      <w:r>
        <w:rPr>
          <w:color w:val="231F20"/>
        </w:rPr>
        <w:t>национальных</w:t>
      </w:r>
      <w:r>
        <w:rPr>
          <w:color w:val="231F20"/>
          <w:spacing w:val="-8"/>
        </w:rPr>
        <w:t> </w:t>
      </w:r>
      <w:r>
        <w:rPr>
          <w:color w:val="231F20"/>
        </w:rPr>
        <w:t>диаспор,</w:t>
      </w:r>
      <w:r>
        <w:rPr>
          <w:color w:val="231F20"/>
          <w:spacing w:val="-8"/>
        </w:rPr>
        <w:t> </w:t>
      </w:r>
      <w:r>
        <w:rPr>
          <w:color w:val="231F20"/>
        </w:rPr>
        <w:t>музыкальные вечера, участие в кулинарных мастер-классах, мастер-классах по созданию предме- тов национальных ремесел и др. Этот этап может занять до двух месяцев.</w:t>
      </w:r>
    </w:p>
    <w:p>
      <w:pPr>
        <w:pStyle w:val="BodyText"/>
        <w:spacing w:line="232" w:lineRule="auto"/>
      </w:pPr>
      <w:r>
        <w:rPr>
          <w:color w:val="231F20"/>
        </w:rPr>
        <w:t>Основной</w:t>
      </w:r>
      <w:r>
        <w:rPr>
          <w:color w:val="231F20"/>
          <w:spacing w:val="-11"/>
        </w:rPr>
        <w:t> </w:t>
      </w:r>
      <w:r>
        <w:rPr>
          <w:color w:val="231F20"/>
        </w:rPr>
        <w:t>этап.</w:t>
      </w:r>
      <w:r>
        <w:rPr>
          <w:color w:val="231F20"/>
          <w:spacing w:val="-11"/>
        </w:rPr>
        <w:t> </w:t>
      </w:r>
      <w:r>
        <w:rPr>
          <w:color w:val="231F20"/>
        </w:rPr>
        <w:t>Проведение</w:t>
      </w:r>
      <w:r>
        <w:rPr>
          <w:color w:val="231F20"/>
          <w:spacing w:val="-11"/>
        </w:rPr>
        <w:t> </w:t>
      </w:r>
      <w:r>
        <w:rPr>
          <w:color w:val="231F20"/>
        </w:rPr>
        <w:t>общешкольного</w:t>
      </w:r>
      <w:r>
        <w:rPr>
          <w:color w:val="231F20"/>
          <w:spacing w:val="-11"/>
        </w:rPr>
        <w:t> </w:t>
      </w:r>
      <w:r>
        <w:rPr>
          <w:color w:val="231F20"/>
        </w:rPr>
        <w:t>фестиваля</w:t>
      </w:r>
      <w:r>
        <w:rPr>
          <w:color w:val="231F20"/>
          <w:spacing w:val="-11"/>
        </w:rPr>
        <w:t> </w:t>
      </w:r>
      <w:r>
        <w:rPr>
          <w:color w:val="231F20"/>
        </w:rPr>
        <w:t>по</w:t>
      </w:r>
      <w:r>
        <w:rPr>
          <w:color w:val="231F20"/>
          <w:spacing w:val="-11"/>
        </w:rPr>
        <w:t> </w:t>
      </w:r>
      <w:r>
        <w:rPr>
          <w:color w:val="231F20"/>
        </w:rPr>
        <w:t>разработанному</w:t>
      </w:r>
      <w:r>
        <w:rPr>
          <w:color w:val="231F20"/>
          <w:spacing w:val="-11"/>
        </w:rPr>
        <w:t> </w:t>
      </w:r>
      <w:r>
        <w:rPr>
          <w:color w:val="231F20"/>
        </w:rPr>
        <w:t>сцена- рию, включая:</w:t>
      </w:r>
    </w:p>
    <w:p>
      <w:pPr>
        <w:pStyle w:val="ListParagraph"/>
        <w:numPr>
          <w:ilvl w:val="0"/>
          <w:numId w:val="133"/>
        </w:numPr>
        <w:tabs>
          <w:tab w:pos="424" w:val="left" w:leader="none"/>
        </w:tabs>
        <w:spacing w:line="224" w:lineRule="exact" w:before="0" w:after="0"/>
        <w:ind w:left="424" w:right="0" w:hanging="283"/>
        <w:jc w:val="both"/>
        <w:rPr>
          <w:sz w:val="20"/>
        </w:rPr>
      </w:pPr>
      <w:r>
        <w:rPr>
          <w:color w:val="231F20"/>
          <w:sz w:val="20"/>
        </w:rPr>
        <w:t>торжественную</w:t>
      </w:r>
      <w:r>
        <w:rPr>
          <w:color w:val="231F20"/>
          <w:spacing w:val="-7"/>
          <w:sz w:val="20"/>
        </w:rPr>
        <w:t> </w:t>
      </w:r>
      <w:r>
        <w:rPr>
          <w:color w:val="231F20"/>
          <w:sz w:val="20"/>
        </w:rPr>
        <w:t>часть</w:t>
      </w:r>
      <w:r>
        <w:rPr>
          <w:color w:val="231F20"/>
          <w:spacing w:val="-4"/>
          <w:sz w:val="20"/>
        </w:rPr>
        <w:t> </w:t>
      </w:r>
      <w:r>
        <w:rPr>
          <w:color w:val="231F20"/>
          <w:sz w:val="20"/>
        </w:rPr>
        <w:t>с</w:t>
      </w:r>
      <w:r>
        <w:rPr>
          <w:color w:val="231F20"/>
          <w:spacing w:val="-4"/>
          <w:sz w:val="20"/>
        </w:rPr>
        <w:t> </w:t>
      </w:r>
      <w:r>
        <w:rPr>
          <w:color w:val="231F20"/>
          <w:sz w:val="20"/>
        </w:rPr>
        <w:t>открытием</w:t>
      </w:r>
      <w:r>
        <w:rPr>
          <w:color w:val="231F20"/>
          <w:spacing w:val="-3"/>
          <w:sz w:val="20"/>
        </w:rPr>
        <w:t> </w:t>
      </w:r>
      <w:r>
        <w:rPr>
          <w:color w:val="231F20"/>
          <w:sz w:val="20"/>
        </w:rPr>
        <w:t>фестиваля</w:t>
      </w:r>
      <w:r>
        <w:rPr>
          <w:color w:val="231F20"/>
          <w:spacing w:val="-3"/>
          <w:sz w:val="20"/>
        </w:rPr>
        <w:t> </w:t>
      </w:r>
      <w:r>
        <w:rPr>
          <w:color w:val="231F20"/>
          <w:sz w:val="20"/>
        </w:rPr>
        <w:t>и</w:t>
      </w:r>
      <w:r>
        <w:rPr>
          <w:color w:val="231F20"/>
          <w:spacing w:val="-5"/>
          <w:sz w:val="20"/>
        </w:rPr>
        <w:t> </w:t>
      </w:r>
      <w:r>
        <w:rPr>
          <w:color w:val="231F20"/>
          <w:sz w:val="20"/>
        </w:rPr>
        <w:t>выступлением</w:t>
      </w:r>
      <w:r>
        <w:rPr>
          <w:color w:val="231F20"/>
          <w:spacing w:val="-3"/>
          <w:sz w:val="20"/>
        </w:rPr>
        <w:t> </w:t>
      </w:r>
      <w:r>
        <w:rPr>
          <w:color w:val="231F20"/>
          <w:sz w:val="20"/>
        </w:rPr>
        <w:t>почетных</w:t>
      </w:r>
      <w:r>
        <w:rPr>
          <w:color w:val="231F20"/>
          <w:spacing w:val="-3"/>
          <w:sz w:val="20"/>
        </w:rPr>
        <w:t> </w:t>
      </w:r>
      <w:r>
        <w:rPr>
          <w:color w:val="231F20"/>
          <w:spacing w:val="-2"/>
          <w:sz w:val="20"/>
        </w:rPr>
        <w:t>гостей;</w:t>
      </w:r>
    </w:p>
    <w:p>
      <w:pPr>
        <w:pStyle w:val="ListParagraph"/>
        <w:numPr>
          <w:ilvl w:val="0"/>
          <w:numId w:val="133"/>
        </w:numPr>
        <w:tabs>
          <w:tab w:pos="425" w:val="left" w:leader="none"/>
        </w:tabs>
        <w:spacing w:line="235" w:lineRule="auto" w:before="0" w:after="0"/>
        <w:ind w:left="425" w:right="140" w:hanging="284"/>
        <w:jc w:val="both"/>
        <w:rPr>
          <w:sz w:val="20"/>
        </w:rPr>
      </w:pPr>
      <w:r>
        <w:rPr>
          <w:color w:val="231F20"/>
          <w:sz w:val="20"/>
        </w:rPr>
        <w:t>основную часть: выступления классов с представлением по сценарию той или иной народности (национальности, страны);</w:t>
      </w:r>
    </w:p>
    <w:p>
      <w:pPr>
        <w:pStyle w:val="ListParagraph"/>
        <w:numPr>
          <w:ilvl w:val="0"/>
          <w:numId w:val="133"/>
        </w:numPr>
        <w:tabs>
          <w:tab w:pos="425" w:val="left" w:leader="none"/>
        </w:tabs>
        <w:spacing w:line="235" w:lineRule="auto" w:before="0" w:after="0"/>
        <w:ind w:left="425" w:right="139" w:hanging="284"/>
        <w:jc w:val="both"/>
        <w:rPr>
          <w:sz w:val="20"/>
        </w:rPr>
      </w:pPr>
      <w:r>
        <w:rPr>
          <w:color w:val="231F20"/>
          <w:sz w:val="20"/>
        </w:rPr>
        <w:t>выставку-ярмарку</w:t>
      </w:r>
      <w:r>
        <w:rPr>
          <w:color w:val="231F20"/>
          <w:spacing w:val="-12"/>
          <w:sz w:val="20"/>
        </w:rPr>
        <w:t> </w:t>
      </w:r>
      <w:r>
        <w:rPr>
          <w:color w:val="231F20"/>
          <w:sz w:val="20"/>
        </w:rPr>
        <w:t>в</w:t>
      </w:r>
      <w:r>
        <w:rPr>
          <w:color w:val="231F20"/>
          <w:spacing w:val="-12"/>
          <w:sz w:val="20"/>
        </w:rPr>
        <w:t> </w:t>
      </w:r>
      <w:r>
        <w:rPr>
          <w:color w:val="231F20"/>
          <w:sz w:val="20"/>
        </w:rPr>
        <w:t>отдельном</w:t>
      </w:r>
      <w:r>
        <w:rPr>
          <w:color w:val="231F20"/>
          <w:spacing w:val="-12"/>
          <w:sz w:val="20"/>
        </w:rPr>
        <w:t> </w:t>
      </w:r>
      <w:r>
        <w:rPr>
          <w:color w:val="231F20"/>
          <w:sz w:val="20"/>
        </w:rPr>
        <w:t>помещении</w:t>
      </w:r>
      <w:r>
        <w:rPr>
          <w:color w:val="231F20"/>
          <w:spacing w:val="-12"/>
          <w:sz w:val="20"/>
        </w:rPr>
        <w:t> </w:t>
      </w:r>
      <w:r>
        <w:rPr>
          <w:color w:val="231F20"/>
          <w:sz w:val="20"/>
        </w:rPr>
        <w:t>(например,</w:t>
      </w:r>
      <w:r>
        <w:rPr>
          <w:color w:val="231F20"/>
          <w:spacing w:val="-12"/>
          <w:sz w:val="20"/>
        </w:rPr>
        <w:t> </w:t>
      </w:r>
      <w:r>
        <w:rPr>
          <w:color w:val="231F20"/>
          <w:sz w:val="20"/>
        </w:rPr>
        <w:t>в</w:t>
      </w:r>
      <w:r>
        <w:rPr>
          <w:color w:val="231F20"/>
          <w:spacing w:val="-12"/>
          <w:sz w:val="20"/>
        </w:rPr>
        <w:t> </w:t>
      </w:r>
      <w:r>
        <w:rPr>
          <w:color w:val="231F20"/>
          <w:sz w:val="20"/>
        </w:rPr>
        <w:t>коридоре</w:t>
      </w:r>
      <w:r>
        <w:rPr>
          <w:color w:val="231F20"/>
          <w:spacing w:val="-12"/>
          <w:sz w:val="20"/>
        </w:rPr>
        <w:t> </w:t>
      </w:r>
      <w:r>
        <w:rPr>
          <w:color w:val="231F20"/>
          <w:sz w:val="20"/>
        </w:rPr>
        <w:t>или</w:t>
      </w:r>
      <w:r>
        <w:rPr>
          <w:color w:val="231F20"/>
          <w:spacing w:val="-12"/>
          <w:sz w:val="20"/>
        </w:rPr>
        <w:t> </w:t>
      </w:r>
      <w:r>
        <w:rPr>
          <w:color w:val="231F20"/>
          <w:sz w:val="20"/>
        </w:rPr>
        <w:t>фойе</w:t>
      </w:r>
      <w:r>
        <w:rPr>
          <w:color w:val="231F20"/>
          <w:spacing w:val="-12"/>
          <w:sz w:val="20"/>
        </w:rPr>
        <w:t> </w:t>
      </w:r>
      <w:r>
        <w:rPr>
          <w:color w:val="231F20"/>
          <w:sz w:val="20"/>
        </w:rPr>
        <w:t>перед актовым залом), где можно познакомиться с национальными блюдами и предме- тами декоративно-прикладного творчества.</w:t>
      </w:r>
    </w:p>
    <w:p>
      <w:pPr>
        <w:pStyle w:val="BodyText"/>
        <w:spacing w:line="235" w:lineRule="auto"/>
      </w:pPr>
      <w:r>
        <w:rPr>
          <w:color w:val="231F20"/>
        </w:rPr>
        <w:t>Заключительный этап. Завершение фестиваля, подведение итогов и награждение </w:t>
      </w:r>
      <w:r>
        <w:rPr>
          <w:color w:val="231F20"/>
          <w:spacing w:val="-2"/>
        </w:rPr>
        <w:t>участников.</w:t>
      </w:r>
    </w:p>
    <w:p>
      <w:pPr>
        <w:pStyle w:val="BodyText"/>
        <w:spacing w:line="235" w:lineRule="auto"/>
      </w:pPr>
      <w:r>
        <w:rPr>
          <w:color w:val="231F20"/>
        </w:rPr>
        <w:t>Подготовка общешкольного фестиваля национальных культур может быть инте- грирована с серией учебных проектов, которые выполняют учащиеся, а результаты проектов</w:t>
      </w:r>
      <w:r>
        <w:rPr>
          <w:color w:val="231F20"/>
          <w:spacing w:val="-12"/>
        </w:rPr>
        <w:t> </w:t>
      </w:r>
      <w:r>
        <w:rPr>
          <w:color w:val="231F20"/>
        </w:rPr>
        <w:t>можно</w:t>
      </w:r>
      <w:r>
        <w:rPr>
          <w:color w:val="231F20"/>
          <w:spacing w:val="-12"/>
        </w:rPr>
        <w:t> </w:t>
      </w:r>
      <w:r>
        <w:rPr>
          <w:color w:val="231F20"/>
        </w:rPr>
        <w:t>использовать</w:t>
      </w:r>
      <w:r>
        <w:rPr>
          <w:color w:val="231F20"/>
          <w:spacing w:val="-11"/>
        </w:rPr>
        <w:t> </w:t>
      </w:r>
      <w:r>
        <w:rPr>
          <w:color w:val="231F20"/>
        </w:rPr>
        <w:t>в</w:t>
      </w:r>
      <w:r>
        <w:rPr>
          <w:color w:val="231F20"/>
          <w:spacing w:val="-12"/>
        </w:rPr>
        <w:t> </w:t>
      </w:r>
      <w:r>
        <w:rPr>
          <w:color w:val="231F20"/>
        </w:rPr>
        <w:t>учебной</w:t>
      </w:r>
      <w:r>
        <w:rPr>
          <w:color w:val="231F20"/>
          <w:spacing w:val="-11"/>
        </w:rPr>
        <w:t> </w:t>
      </w:r>
      <w:r>
        <w:rPr>
          <w:color w:val="231F20"/>
        </w:rPr>
        <w:t>и</w:t>
      </w:r>
      <w:r>
        <w:rPr>
          <w:color w:val="231F20"/>
          <w:spacing w:val="-12"/>
        </w:rPr>
        <w:t> </w:t>
      </w:r>
      <w:r>
        <w:rPr>
          <w:color w:val="231F20"/>
        </w:rPr>
        <w:t>внеурочной</w:t>
      </w:r>
      <w:r>
        <w:rPr>
          <w:color w:val="231F20"/>
          <w:spacing w:val="-11"/>
        </w:rPr>
        <w:t> </w:t>
      </w:r>
      <w:r>
        <w:rPr>
          <w:color w:val="231F20"/>
        </w:rPr>
        <w:t>работе.</w:t>
      </w:r>
      <w:r>
        <w:rPr>
          <w:color w:val="231F20"/>
          <w:spacing w:val="-12"/>
        </w:rPr>
        <w:t> </w:t>
      </w:r>
      <w:r>
        <w:rPr>
          <w:color w:val="231F20"/>
        </w:rPr>
        <w:t>Погружение</w:t>
      </w:r>
      <w:r>
        <w:rPr>
          <w:color w:val="231F20"/>
          <w:spacing w:val="-11"/>
        </w:rPr>
        <w:t> </w:t>
      </w:r>
      <w:r>
        <w:rPr>
          <w:color w:val="231F20"/>
          <w:spacing w:val="-2"/>
        </w:rPr>
        <w:t>учащихся</w:t>
      </w:r>
    </w:p>
    <w:p>
      <w:pPr>
        <w:pStyle w:val="BodyText"/>
        <w:spacing w:after="0" w:line="235" w:lineRule="auto"/>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2" w:lineRule="auto" w:before="118"/>
        <w:ind w:firstLine="0"/>
      </w:pPr>
      <w:r>
        <w:rPr>
          <w:color w:val="231F20"/>
        </w:rPr>
        <w:t>в ту или иную культуру требует междисциплинарного и конвергентного подхода к организации их познавательной деятельности. Сложно выделить какой-то конкрет- ный</w:t>
      </w:r>
      <w:r>
        <w:rPr>
          <w:color w:val="231F20"/>
          <w:spacing w:val="-8"/>
        </w:rPr>
        <w:t> </w:t>
      </w:r>
      <w:r>
        <w:rPr>
          <w:color w:val="231F20"/>
        </w:rPr>
        <w:t>учебный</w:t>
      </w:r>
      <w:r>
        <w:rPr>
          <w:color w:val="231F20"/>
          <w:spacing w:val="-8"/>
        </w:rPr>
        <w:t> </w:t>
      </w:r>
      <w:r>
        <w:rPr>
          <w:color w:val="231F20"/>
        </w:rPr>
        <w:t>предмет</w:t>
      </w:r>
      <w:r>
        <w:rPr>
          <w:color w:val="231F20"/>
          <w:spacing w:val="-8"/>
        </w:rPr>
        <w:t> </w:t>
      </w:r>
      <w:r>
        <w:rPr>
          <w:color w:val="231F20"/>
        </w:rPr>
        <w:t>традиционной</w:t>
      </w:r>
      <w:r>
        <w:rPr>
          <w:color w:val="231F20"/>
          <w:spacing w:val="-8"/>
        </w:rPr>
        <w:t> </w:t>
      </w:r>
      <w:r>
        <w:rPr>
          <w:color w:val="231F20"/>
        </w:rPr>
        <w:t>школьной</w:t>
      </w:r>
      <w:r>
        <w:rPr>
          <w:color w:val="231F20"/>
          <w:spacing w:val="-8"/>
        </w:rPr>
        <w:t> </w:t>
      </w:r>
      <w:r>
        <w:rPr>
          <w:color w:val="231F20"/>
        </w:rPr>
        <w:t>программы,</w:t>
      </w:r>
      <w:r>
        <w:rPr>
          <w:color w:val="231F20"/>
          <w:spacing w:val="-8"/>
        </w:rPr>
        <w:t> </w:t>
      </w:r>
      <w:r>
        <w:rPr>
          <w:color w:val="231F20"/>
        </w:rPr>
        <w:t>который</w:t>
      </w:r>
      <w:r>
        <w:rPr>
          <w:color w:val="231F20"/>
          <w:spacing w:val="-8"/>
        </w:rPr>
        <w:t> </w:t>
      </w:r>
      <w:r>
        <w:rPr>
          <w:color w:val="231F20"/>
        </w:rPr>
        <w:t>можно</w:t>
      </w:r>
      <w:r>
        <w:rPr>
          <w:color w:val="231F20"/>
          <w:spacing w:val="-8"/>
        </w:rPr>
        <w:t> </w:t>
      </w:r>
      <w:r>
        <w:rPr>
          <w:color w:val="231F20"/>
        </w:rPr>
        <w:t>было</w:t>
      </w:r>
      <w:r>
        <w:rPr>
          <w:color w:val="231F20"/>
          <w:spacing w:val="-8"/>
        </w:rPr>
        <w:t> </w:t>
      </w:r>
      <w:r>
        <w:rPr>
          <w:color w:val="231F20"/>
        </w:rPr>
        <w:t>бы назвать</w:t>
      </w:r>
      <w:r>
        <w:rPr>
          <w:color w:val="231F20"/>
          <w:spacing w:val="-7"/>
        </w:rPr>
        <w:t> </w:t>
      </w:r>
      <w:r>
        <w:rPr>
          <w:color w:val="231F20"/>
        </w:rPr>
        <w:t>основным</w:t>
      </w:r>
      <w:r>
        <w:rPr>
          <w:color w:val="231F20"/>
          <w:spacing w:val="-7"/>
        </w:rPr>
        <w:t> </w:t>
      </w:r>
      <w:r>
        <w:rPr>
          <w:color w:val="231F20"/>
        </w:rPr>
        <w:t>при</w:t>
      </w:r>
      <w:r>
        <w:rPr>
          <w:color w:val="231F20"/>
          <w:spacing w:val="-7"/>
        </w:rPr>
        <w:t> </w:t>
      </w:r>
      <w:r>
        <w:rPr>
          <w:color w:val="231F20"/>
        </w:rPr>
        <w:t>подготовке</w:t>
      </w:r>
      <w:r>
        <w:rPr>
          <w:color w:val="231F20"/>
          <w:spacing w:val="-7"/>
        </w:rPr>
        <w:t> </w:t>
      </w:r>
      <w:r>
        <w:rPr>
          <w:color w:val="231F20"/>
        </w:rPr>
        <w:t>фестиваля.</w:t>
      </w:r>
      <w:r>
        <w:rPr>
          <w:color w:val="231F20"/>
          <w:spacing w:val="-7"/>
        </w:rPr>
        <w:t> </w:t>
      </w:r>
      <w:r>
        <w:rPr>
          <w:color w:val="231F20"/>
        </w:rPr>
        <w:t>Еще</w:t>
      </w:r>
      <w:r>
        <w:rPr>
          <w:color w:val="231F20"/>
          <w:spacing w:val="-7"/>
        </w:rPr>
        <w:t> </w:t>
      </w:r>
      <w:r>
        <w:rPr>
          <w:color w:val="231F20"/>
        </w:rPr>
        <w:t>совсем</w:t>
      </w:r>
      <w:r>
        <w:rPr>
          <w:color w:val="231F20"/>
          <w:spacing w:val="-7"/>
        </w:rPr>
        <w:t> </w:t>
      </w:r>
      <w:r>
        <w:rPr>
          <w:color w:val="231F20"/>
        </w:rPr>
        <w:t>недавно</w:t>
      </w:r>
      <w:r>
        <w:rPr>
          <w:color w:val="231F20"/>
          <w:spacing w:val="-7"/>
        </w:rPr>
        <w:t> </w:t>
      </w:r>
      <w:r>
        <w:rPr>
          <w:color w:val="231F20"/>
        </w:rPr>
        <w:t>это</w:t>
      </w:r>
      <w:r>
        <w:rPr>
          <w:color w:val="231F20"/>
          <w:spacing w:val="-7"/>
        </w:rPr>
        <w:t> </w:t>
      </w:r>
      <w:r>
        <w:rPr>
          <w:color w:val="231F20"/>
        </w:rPr>
        <w:t>могла</w:t>
      </w:r>
      <w:r>
        <w:rPr>
          <w:color w:val="231F20"/>
          <w:spacing w:val="-7"/>
        </w:rPr>
        <w:t> </w:t>
      </w:r>
      <w:r>
        <w:rPr>
          <w:color w:val="231F20"/>
        </w:rPr>
        <w:t>бы</w:t>
      </w:r>
      <w:r>
        <w:rPr>
          <w:color w:val="231F20"/>
          <w:spacing w:val="-7"/>
        </w:rPr>
        <w:t> </w:t>
      </w:r>
      <w:r>
        <w:rPr>
          <w:color w:val="231F20"/>
        </w:rPr>
        <w:t>быть география,</w:t>
      </w:r>
      <w:r>
        <w:rPr>
          <w:color w:val="231F20"/>
          <w:spacing w:val="-4"/>
        </w:rPr>
        <w:t> </w:t>
      </w:r>
      <w:r>
        <w:rPr>
          <w:color w:val="231F20"/>
        </w:rPr>
        <w:t>но</w:t>
      </w:r>
      <w:r>
        <w:rPr>
          <w:color w:val="231F20"/>
          <w:spacing w:val="-4"/>
        </w:rPr>
        <w:t> </w:t>
      </w:r>
      <w:r>
        <w:rPr>
          <w:color w:val="231F20"/>
        </w:rPr>
        <w:t>в</w:t>
      </w:r>
      <w:r>
        <w:rPr>
          <w:color w:val="231F20"/>
          <w:spacing w:val="-4"/>
        </w:rPr>
        <w:t> </w:t>
      </w:r>
      <w:r>
        <w:rPr>
          <w:color w:val="231F20"/>
        </w:rPr>
        <w:t>настоящее</w:t>
      </w:r>
      <w:r>
        <w:rPr>
          <w:color w:val="231F20"/>
          <w:spacing w:val="-4"/>
        </w:rPr>
        <w:t> </w:t>
      </w:r>
      <w:r>
        <w:rPr>
          <w:color w:val="231F20"/>
        </w:rPr>
        <w:t>время</w:t>
      </w:r>
      <w:r>
        <w:rPr>
          <w:color w:val="231F20"/>
          <w:spacing w:val="-4"/>
        </w:rPr>
        <w:t> </w:t>
      </w:r>
      <w:r>
        <w:rPr>
          <w:color w:val="231F20"/>
        </w:rPr>
        <w:t>детям</w:t>
      </w:r>
      <w:r>
        <w:rPr>
          <w:color w:val="231F20"/>
          <w:spacing w:val="-4"/>
        </w:rPr>
        <w:t> </w:t>
      </w:r>
      <w:r>
        <w:rPr>
          <w:color w:val="231F20"/>
        </w:rPr>
        <w:t>в</w:t>
      </w:r>
      <w:r>
        <w:rPr>
          <w:color w:val="231F20"/>
          <w:spacing w:val="-4"/>
        </w:rPr>
        <w:t> </w:t>
      </w:r>
      <w:r>
        <w:rPr>
          <w:color w:val="231F20"/>
        </w:rPr>
        <w:t>интернете</w:t>
      </w:r>
      <w:r>
        <w:rPr>
          <w:color w:val="231F20"/>
          <w:spacing w:val="-4"/>
        </w:rPr>
        <w:t> </w:t>
      </w:r>
      <w:r>
        <w:rPr>
          <w:color w:val="231F20"/>
        </w:rPr>
        <w:t>доступна</w:t>
      </w:r>
      <w:r>
        <w:rPr>
          <w:color w:val="231F20"/>
          <w:spacing w:val="-4"/>
        </w:rPr>
        <w:t> </w:t>
      </w:r>
      <w:r>
        <w:rPr>
          <w:color w:val="231F20"/>
        </w:rPr>
        <w:t>обширная</w:t>
      </w:r>
      <w:r>
        <w:rPr>
          <w:color w:val="231F20"/>
          <w:spacing w:val="-4"/>
        </w:rPr>
        <w:t> </w:t>
      </w:r>
      <w:r>
        <w:rPr>
          <w:color w:val="231F20"/>
        </w:rPr>
        <w:t>информация </w:t>
      </w:r>
      <w:r>
        <w:rPr>
          <w:color w:val="231F20"/>
          <w:spacing w:val="-2"/>
        </w:rPr>
        <w:t>практически по любой стране мира, однако в большинстве познавательных программ, </w:t>
      </w:r>
      <w:r>
        <w:rPr>
          <w:color w:val="231F20"/>
        </w:rPr>
        <w:t>знакомящих молодежь с географией той или иной страны мира или региона России, практически</w:t>
      </w:r>
      <w:r>
        <w:rPr>
          <w:color w:val="231F20"/>
          <w:spacing w:val="-10"/>
        </w:rPr>
        <w:t> </w:t>
      </w:r>
      <w:r>
        <w:rPr>
          <w:color w:val="231F20"/>
        </w:rPr>
        <w:t>нет</w:t>
      </w:r>
      <w:r>
        <w:rPr>
          <w:color w:val="231F20"/>
          <w:spacing w:val="-10"/>
        </w:rPr>
        <w:t> </w:t>
      </w:r>
      <w:r>
        <w:rPr>
          <w:color w:val="231F20"/>
        </w:rPr>
        <w:t>информации</w:t>
      </w:r>
      <w:r>
        <w:rPr>
          <w:color w:val="231F20"/>
          <w:spacing w:val="-10"/>
        </w:rPr>
        <w:t> </w:t>
      </w:r>
      <w:r>
        <w:rPr>
          <w:color w:val="231F20"/>
        </w:rPr>
        <w:t>о</w:t>
      </w:r>
      <w:r>
        <w:rPr>
          <w:color w:val="231F20"/>
          <w:spacing w:val="-10"/>
        </w:rPr>
        <w:t> </w:t>
      </w:r>
      <w:r>
        <w:rPr>
          <w:color w:val="231F20"/>
        </w:rPr>
        <w:t>культурологических</w:t>
      </w:r>
      <w:r>
        <w:rPr>
          <w:color w:val="231F20"/>
          <w:spacing w:val="-10"/>
        </w:rPr>
        <w:t> </w:t>
      </w:r>
      <w:r>
        <w:rPr>
          <w:color w:val="231F20"/>
        </w:rPr>
        <w:t>и</w:t>
      </w:r>
      <w:r>
        <w:rPr>
          <w:color w:val="231F20"/>
          <w:spacing w:val="-10"/>
        </w:rPr>
        <w:t> </w:t>
      </w:r>
      <w:r>
        <w:rPr>
          <w:color w:val="231F20"/>
        </w:rPr>
        <w:t>этнокультурных</w:t>
      </w:r>
      <w:r>
        <w:rPr>
          <w:color w:val="231F20"/>
          <w:spacing w:val="-10"/>
        </w:rPr>
        <w:t> </w:t>
      </w:r>
      <w:r>
        <w:rPr>
          <w:color w:val="231F20"/>
        </w:rPr>
        <w:t>особенностях стран. Кроме того, представленная в интернете информация не помогает в решении повседневных проблем, связанных с коммуникацией представителей разных народ- ностей внутри одной организации, в нашем случае – в школе.</w:t>
      </w:r>
    </w:p>
    <w:p>
      <w:pPr>
        <w:pStyle w:val="BodyText"/>
        <w:spacing w:line="232" w:lineRule="auto"/>
      </w:pPr>
      <w:r>
        <w:rPr>
          <w:color w:val="231F20"/>
        </w:rPr>
        <w:t>Если программа фестиваля получается очень объемная, его можно провести в течение двух дней. Желательно проводить его во внеучебное время, например в ка- никулы, чтобы в нем смогли принять участие как можно больше детей и взрослых (учителей, родителей, приглашенных гостей и экспертов).</w:t>
      </w:r>
    </w:p>
    <w:p>
      <w:pPr>
        <w:pStyle w:val="BodyText"/>
        <w:spacing w:line="216" w:lineRule="exact"/>
        <w:ind w:left="425" w:right="0" w:firstLine="0"/>
      </w:pPr>
      <w:r>
        <w:rPr>
          <w:color w:val="231F20"/>
        </w:rPr>
        <w:t>Конкурсная</w:t>
      </w:r>
      <w:r>
        <w:rPr>
          <w:color w:val="231F20"/>
          <w:spacing w:val="-10"/>
        </w:rPr>
        <w:t> </w:t>
      </w:r>
      <w:r>
        <w:rPr>
          <w:color w:val="231F20"/>
        </w:rPr>
        <w:t>программа</w:t>
      </w:r>
      <w:r>
        <w:rPr>
          <w:color w:val="231F20"/>
          <w:spacing w:val="-8"/>
        </w:rPr>
        <w:t> </w:t>
      </w:r>
      <w:r>
        <w:rPr>
          <w:color w:val="231F20"/>
        </w:rPr>
        <w:t>фестиваля</w:t>
      </w:r>
      <w:r>
        <w:rPr>
          <w:color w:val="231F20"/>
          <w:spacing w:val="-8"/>
        </w:rPr>
        <w:t> </w:t>
      </w:r>
      <w:r>
        <w:rPr>
          <w:color w:val="231F20"/>
        </w:rPr>
        <w:t>может</w:t>
      </w:r>
      <w:r>
        <w:rPr>
          <w:color w:val="231F20"/>
          <w:spacing w:val="-7"/>
        </w:rPr>
        <w:t> </w:t>
      </w:r>
      <w:r>
        <w:rPr>
          <w:color w:val="231F20"/>
        </w:rPr>
        <w:t>включать</w:t>
      </w:r>
      <w:r>
        <w:rPr>
          <w:color w:val="231F20"/>
          <w:spacing w:val="-9"/>
        </w:rPr>
        <w:t> </w:t>
      </w:r>
      <w:r>
        <w:rPr>
          <w:color w:val="231F20"/>
        </w:rPr>
        <w:t>следующие</w:t>
      </w:r>
      <w:r>
        <w:rPr>
          <w:color w:val="231F20"/>
          <w:spacing w:val="-7"/>
        </w:rPr>
        <w:t> </w:t>
      </w:r>
      <w:r>
        <w:rPr>
          <w:color w:val="231F20"/>
          <w:spacing w:val="-2"/>
        </w:rPr>
        <w:t>номинации:</w:t>
      </w:r>
    </w:p>
    <w:p>
      <w:pPr>
        <w:pStyle w:val="BodyText"/>
        <w:spacing w:line="232" w:lineRule="auto"/>
      </w:pPr>
      <w:r>
        <w:rPr>
          <w:color w:val="231F20"/>
        </w:rPr>
        <w:t>«</w:t>
      </w:r>
      <w:r>
        <w:rPr>
          <w:i/>
          <w:color w:val="231F20"/>
        </w:rPr>
        <w:t>Народ в инфографике</w:t>
      </w:r>
      <w:r>
        <w:rPr>
          <w:color w:val="231F20"/>
        </w:rPr>
        <w:t>» – участники сообщают пять фактов о данном народе (стране), которых могут не знать другие. Вся информация – в цифровом виде, как плакат-презентация, с инфографикой.</w:t>
      </w:r>
    </w:p>
    <w:p>
      <w:pPr>
        <w:pStyle w:val="BodyText"/>
        <w:spacing w:line="232" w:lineRule="auto"/>
      </w:pPr>
      <w:r>
        <w:rPr>
          <w:color w:val="231F20"/>
        </w:rPr>
        <w:t>«</w:t>
      </w:r>
      <w:r>
        <w:rPr>
          <w:i/>
          <w:color w:val="231F20"/>
        </w:rPr>
        <w:t>Народ</w:t>
      </w:r>
      <w:r>
        <w:rPr>
          <w:i/>
          <w:color w:val="231F20"/>
          <w:spacing w:val="-13"/>
        </w:rPr>
        <w:t> </w:t>
      </w:r>
      <w:r>
        <w:rPr>
          <w:i/>
          <w:color w:val="231F20"/>
        </w:rPr>
        <w:t>на</w:t>
      </w:r>
      <w:r>
        <w:rPr>
          <w:i/>
          <w:color w:val="231F20"/>
          <w:spacing w:val="-12"/>
        </w:rPr>
        <w:t> </w:t>
      </w:r>
      <w:r>
        <w:rPr>
          <w:i/>
          <w:color w:val="231F20"/>
        </w:rPr>
        <w:t>географической</w:t>
      </w:r>
      <w:r>
        <w:rPr>
          <w:i/>
          <w:color w:val="231F20"/>
          <w:spacing w:val="-13"/>
        </w:rPr>
        <w:t> </w:t>
      </w:r>
      <w:r>
        <w:rPr>
          <w:i/>
          <w:color w:val="231F20"/>
        </w:rPr>
        <w:t>карте</w:t>
      </w:r>
      <w:r>
        <w:rPr>
          <w:color w:val="231F20"/>
        </w:rPr>
        <w:t>»</w:t>
      </w:r>
      <w:r>
        <w:rPr>
          <w:color w:val="231F20"/>
          <w:spacing w:val="-12"/>
        </w:rPr>
        <w:t> </w:t>
      </w:r>
      <w:r>
        <w:rPr>
          <w:color w:val="231F20"/>
        </w:rPr>
        <w:t>–</w:t>
      </w:r>
      <w:r>
        <w:rPr>
          <w:color w:val="231F20"/>
          <w:spacing w:val="-13"/>
        </w:rPr>
        <w:t> </w:t>
      </w:r>
      <w:r>
        <w:rPr>
          <w:color w:val="231F20"/>
        </w:rPr>
        <w:t>участники</w:t>
      </w:r>
      <w:r>
        <w:rPr>
          <w:color w:val="231F20"/>
          <w:spacing w:val="-12"/>
        </w:rPr>
        <w:t> </w:t>
      </w:r>
      <w:r>
        <w:rPr>
          <w:color w:val="231F20"/>
        </w:rPr>
        <w:t>представляют</w:t>
      </w:r>
      <w:r>
        <w:rPr>
          <w:color w:val="231F20"/>
          <w:spacing w:val="-13"/>
        </w:rPr>
        <w:t> </w:t>
      </w:r>
      <w:r>
        <w:rPr>
          <w:color w:val="231F20"/>
        </w:rPr>
        <w:t>информацию</w:t>
      </w:r>
      <w:r>
        <w:rPr>
          <w:color w:val="231F20"/>
          <w:spacing w:val="-12"/>
        </w:rPr>
        <w:t> </w:t>
      </w:r>
      <w:r>
        <w:rPr>
          <w:color w:val="231F20"/>
        </w:rPr>
        <w:t>в</w:t>
      </w:r>
      <w:r>
        <w:rPr>
          <w:color w:val="231F20"/>
          <w:spacing w:val="-13"/>
        </w:rPr>
        <w:t> </w:t>
      </w:r>
      <w:r>
        <w:rPr>
          <w:color w:val="231F20"/>
        </w:rPr>
        <w:t>циф- ровом</w:t>
      </w:r>
      <w:r>
        <w:rPr>
          <w:color w:val="231F20"/>
          <w:spacing w:val="-10"/>
        </w:rPr>
        <w:t> </w:t>
      </w:r>
      <w:r>
        <w:rPr>
          <w:color w:val="231F20"/>
        </w:rPr>
        <w:t>виде</w:t>
      </w:r>
      <w:r>
        <w:rPr>
          <w:color w:val="231F20"/>
          <w:spacing w:val="-10"/>
        </w:rPr>
        <w:t> </w:t>
      </w:r>
      <w:r>
        <w:rPr>
          <w:color w:val="231F20"/>
        </w:rPr>
        <w:t>о</w:t>
      </w:r>
      <w:r>
        <w:rPr>
          <w:color w:val="231F20"/>
          <w:spacing w:val="-10"/>
        </w:rPr>
        <w:t> </w:t>
      </w:r>
      <w:r>
        <w:rPr>
          <w:color w:val="231F20"/>
        </w:rPr>
        <w:t>том,</w:t>
      </w:r>
      <w:r>
        <w:rPr>
          <w:color w:val="231F20"/>
          <w:spacing w:val="-10"/>
        </w:rPr>
        <w:t> </w:t>
      </w:r>
      <w:r>
        <w:rPr>
          <w:color w:val="231F20"/>
        </w:rPr>
        <w:t>где</w:t>
      </w:r>
      <w:r>
        <w:rPr>
          <w:color w:val="231F20"/>
          <w:spacing w:val="-10"/>
        </w:rPr>
        <w:t> </w:t>
      </w:r>
      <w:r>
        <w:rPr>
          <w:color w:val="231F20"/>
        </w:rPr>
        <w:t>проживают</w:t>
      </w:r>
      <w:r>
        <w:rPr>
          <w:color w:val="231F20"/>
          <w:spacing w:val="-10"/>
        </w:rPr>
        <w:t> </w:t>
      </w:r>
      <w:r>
        <w:rPr>
          <w:color w:val="231F20"/>
        </w:rPr>
        <w:t>представители</w:t>
      </w:r>
      <w:r>
        <w:rPr>
          <w:color w:val="231F20"/>
          <w:spacing w:val="-10"/>
        </w:rPr>
        <w:t> </w:t>
      </w:r>
      <w:r>
        <w:rPr>
          <w:color w:val="231F20"/>
        </w:rPr>
        <w:t>данного</w:t>
      </w:r>
      <w:r>
        <w:rPr>
          <w:color w:val="231F20"/>
          <w:spacing w:val="-10"/>
        </w:rPr>
        <w:t> </w:t>
      </w:r>
      <w:r>
        <w:rPr>
          <w:color w:val="231F20"/>
        </w:rPr>
        <w:t>народа,</w:t>
      </w:r>
      <w:r>
        <w:rPr>
          <w:color w:val="231F20"/>
          <w:spacing w:val="-10"/>
        </w:rPr>
        <w:t> </w:t>
      </w:r>
      <w:r>
        <w:rPr>
          <w:color w:val="231F20"/>
        </w:rPr>
        <w:t>в</w:t>
      </w:r>
      <w:r>
        <w:rPr>
          <w:color w:val="231F20"/>
          <w:spacing w:val="-10"/>
        </w:rPr>
        <w:t> </w:t>
      </w:r>
      <w:r>
        <w:rPr>
          <w:color w:val="231F20"/>
        </w:rPr>
        <w:t>каких</w:t>
      </w:r>
      <w:r>
        <w:rPr>
          <w:color w:val="231F20"/>
          <w:spacing w:val="-10"/>
        </w:rPr>
        <w:t> </w:t>
      </w:r>
      <w:r>
        <w:rPr>
          <w:color w:val="231F20"/>
        </w:rPr>
        <w:t>странах,</w:t>
      </w:r>
      <w:r>
        <w:rPr>
          <w:color w:val="231F20"/>
          <w:spacing w:val="-10"/>
        </w:rPr>
        <w:t> </w:t>
      </w:r>
      <w:r>
        <w:rPr>
          <w:color w:val="231F20"/>
        </w:rPr>
        <w:t>ре- </w:t>
      </w:r>
      <w:r>
        <w:rPr>
          <w:color w:val="231F20"/>
          <w:spacing w:val="-2"/>
        </w:rPr>
        <w:t>гионах</w:t>
      </w:r>
      <w:r>
        <w:rPr>
          <w:color w:val="231F20"/>
          <w:spacing w:val="-5"/>
        </w:rPr>
        <w:t> </w:t>
      </w:r>
      <w:r>
        <w:rPr>
          <w:color w:val="231F20"/>
          <w:spacing w:val="-2"/>
        </w:rPr>
        <w:t>мира,</w:t>
      </w:r>
      <w:r>
        <w:rPr>
          <w:color w:val="231F20"/>
          <w:spacing w:val="-5"/>
        </w:rPr>
        <w:t> </w:t>
      </w:r>
      <w:r>
        <w:rPr>
          <w:color w:val="231F20"/>
          <w:spacing w:val="-2"/>
        </w:rPr>
        <w:t>в</w:t>
      </w:r>
      <w:r>
        <w:rPr>
          <w:color w:val="231F20"/>
          <w:spacing w:val="-5"/>
        </w:rPr>
        <w:t> </w:t>
      </w:r>
      <w:r>
        <w:rPr>
          <w:color w:val="231F20"/>
          <w:spacing w:val="-2"/>
        </w:rPr>
        <w:t>каких</w:t>
      </w:r>
      <w:r>
        <w:rPr>
          <w:color w:val="231F20"/>
          <w:spacing w:val="-5"/>
        </w:rPr>
        <w:t> </w:t>
      </w:r>
      <w:r>
        <w:rPr>
          <w:color w:val="231F20"/>
          <w:spacing w:val="-2"/>
        </w:rPr>
        <w:t>природных</w:t>
      </w:r>
      <w:r>
        <w:rPr>
          <w:color w:val="231F20"/>
          <w:spacing w:val="-5"/>
        </w:rPr>
        <w:t> </w:t>
      </w:r>
      <w:r>
        <w:rPr>
          <w:color w:val="231F20"/>
          <w:spacing w:val="-2"/>
        </w:rPr>
        <w:t>зонах.</w:t>
      </w:r>
      <w:r>
        <w:rPr>
          <w:color w:val="231F20"/>
          <w:spacing w:val="-5"/>
        </w:rPr>
        <w:t> </w:t>
      </w:r>
      <w:r>
        <w:rPr>
          <w:color w:val="231F20"/>
          <w:spacing w:val="-2"/>
        </w:rPr>
        <w:t>Можно</w:t>
      </w:r>
      <w:r>
        <w:rPr>
          <w:color w:val="231F20"/>
          <w:spacing w:val="-5"/>
        </w:rPr>
        <w:t> </w:t>
      </w:r>
      <w:r>
        <w:rPr>
          <w:color w:val="231F20"/>
          <w:spacing w:val="-2"/>
        </w:rPr>
        <w:t>добавить</w:t>
      </w:r>
      <w:r>
        <w:rPr>
          <w:color w:val="231F20"/>
          <w:spacing w:val="-5"/>
        </w:rPr>
        <w:t> </w:t>
      </w:r>
      <w:r>
        <w:rPr>
          <w:color w:val="231F20"/>
          <w:spacing w:val="-2"/>
        </w:rPr>
        <w:t>сведения</w:t>
      </w:r>
      <w:r>
        <w:rPr>
          <w:color w:val="231F20"/>
          <w:spacing w:val="-5"/>
        </w:rPr>
        <w:t> </w:t>
      </w:r>
      <w:r>
        <w:rPr>
          <w:color w:val="231F20"/>
          <w:spacing w:val="-2"/>
        </w:rPr>
        <w:t>по</w:t>
      </w:r>
      <w:r>
        <w:rPr>
          <w:color w:val="231F20"/>
          <w:spacing w:val="-5"/>
        </w:rPr>
        <w:t> </w:t>
      </w:r>
      <w:r>
        <w:rPr>
          <w:color w:val="231F20"/>
          <w:spacing w:val="-2"/>
        </w:rPr>
        <w:t>истории</w:t>
      </w:r>
      <w:r>
        <w:rPr>
          <w:color w:val="231F20"/>
          <w:spacing w:val="-5"/>
        </w:rPr>
        <w:t> </w:t>
      </w:r>
      <w:r>
        <w:rPr>
          <w:color w:val="231F20"/>
          <w:spacing w:val="-2"/>
        </w:rPr>
        <w:t>и</w:t>
      </w:r>
      <w:r>
        <w:rPr>
          <w:color w:val="231F20"/>
          <w:spacing w:val="-5"/>
        </w:rPr>
        <w:t> </w:t>
      </w:r>
      <w:r>
        <w:rPr>
          <w:color w:val="231F20"/>
          <w:spacing w:val="-2"/>
        </w:rPr>
        <w:t>сегод- </w:t>
      </w:r>
      <w:r>
        <w:rPr>
          <w:color w:val="231F20"/>
        </w:rPr>
        <w:t>няшнему дню страны, где большинство составляют представители данного народа.</w:t>
      </w:r>
    </w:p>
    <w:p>
      <w:pPr>
        <w:pStyle w:val="BodyText"/>
        <w:spacing w:line="235" w:lineRule="auto"/>
      </w:pPr>
      <w:r>
        <w:rPr>
          <w:color w:val="231F20"/>
        </w:rPr>
        <w:t>«</w:t>
      </w:r>
      <w:r>
        <w:rPr>
          <w:i/>
          <w:color w:val="231F20"/>
        </w:rPr>
        <w:t>Традиции и обряды</w:t>
      </w:r>
      <w:r>
        <w:rPr>
          <w:color w:val="231F20"/>
        </w:rPr>
        <w:t>» – участники конкурса рассказывают о национальных обря- дах или показывает, как они проводятся, рассказывают о традициях своего народа.</w:t>
      </w:r>
    </w:p>
    <w:p>
      <w:pPr>
        <w:pStyle w:val="BodyText"/>
        <w:spacing w:line="235" w:lineRule="auto"/>
      </w:pPr>
      <w:r>
        <w:rPr>
          <w:color w:val="231F20"/>
        </w:rPr>
        <w:t>«</w:t>
      </w:r>
      <w:r>
        <w:rPr>
          <w:i/>
          <w:color w:val="231F20"/>
        </w:rPr>
        <w:t>Национальный костюм</w:t>
      </w:r>
      <w:r>
        <w:rPr>
          <w:color w:val="231F20"/>
        </w:rPr>
        <w:t>» – участники демонстрируют национальные костюмы или их детали. Демонстрация сопровождается рассказом об истории, символике и способах изготовления костюма.</w:t>
      </w:r>
    </w:p>
    <w:p>
      <w:pPr>
        <w:pStyle w:val="BodyText"/>
        <w:spacing w:line="235" w:lineRule="auto"/>
      </w:pPr>
      <w:r>
        <w:rPr>
          <w:color w:val="231F20"/>
        </w:rPr>
        <w:t>«</w:t>
      </w:r>
      <w:r>
        <w:rPr>
          <w:i/>
          <w:color w:val="231F20"/>
        </w:rPr>
        <w:t>Национальные песни и танцы</w:t>
      </w:r>
      <w:r>
        <w:rPr>
          <w:color w:val="231F20"/>
        </w:rPr>
        <w:t>» – участники конкурса исполняют национальные песни,</w:t>
      </w:r>
      <w:r>
        <w:rPr>
          <w:color w:val="231F20"/>
          <w:spacing w:val="-4"/>
        </w:rPr>
        <w:t> </w:t>
      </w:r>
      <w:r>
        <w:rPr>
          <w:color w:val="231F20"/>
        </w:rPr>
        <w:t>произведения</w:t>
      </w:r>
      <w:r>
        <w:rPr>
          <w:color w:val="231F20"/>
          <w:spacing w:val="-4"/>
        </w:rPr>
        <w:t> </w:t>
      </w:r>
      <w:r>
        <w:rPr>
          <w:color w:val="231F20"/>
        </w:rPr>
        <w:t>фольклора</w:t>
      </w:r>
      <w:r>
        <w:rPr>
          <w:color w:val="231F20"/>
          <w:spacing w:val="-4"/>
        </w:rPr>
        <w:t> </w:t>
      </w:r>
      <w:r>
        <w:rPr>
          <w:color w:val="231F20"/>
        </w:rPr>
        <w:t>на</w:t>
      </w:r>
      <w:r>
        <w:rPr>
          <w:color w:val="231F20"/>
          <w:spacing w:val="-3"/>
        </w:rPr>
        <w:t> </w:t>
      </w:r>
      <w:r>
        <w:rPr>
          <w:color w:val="231F20"/>
        </w:rPr>
        <w:t>национальном</w:t>
      </w:r>
      <w:r>
        <w:rPr>
          <w:color w:val="231F20"/>
          <w:spacing w:val="-4"/>
        </w:rPr>
        <w:t> </w:t>
      </w:r>
      <w:r>
        <w:rPr>
          <w:color w:val="231F20"/>
        </w:rPr>
        <w:t>языке,</w:t>
      </w:r>
      <w:r>
        <w:rPr>
          <w:color w:val="231F20"/>
          <w:spacing w:val="-4"/>
        </w:rPr>
        <w:t> </w:t>
      </w:r>
      <w:r>
        <w:rPr>
          <w:color w:val="231F20"/>
        </w:rPr>
        <w:t>демонстрируют</w:t>
      </w:r>
      <w:r>
        <w:rPr>
          <w:color w:val="231F20"/>
          <w:spacing w:val="-4"/>
        </w:rPr>
        <w:t> </w:t>
      </w:r>
      <w:r>
        <w:rPr>
          <w:color w:val="231F20"/>
        </w:rPr>
        <w:t>националь- ные танцы.</w:t>
      </w:r>
    </w:p>
    <w:p>
      <w:pPr>
        <w:pStyle w:val="BodyText"/>
        <w:spacing w:line="235" w:lineRule="auto"/>
      </w:pPr>
      <w:r>
        <w:rPr>
          <w:color w:val="231F20"/>
        </w:rPr>
        <w:t>«</w:t>
      </w:r>
      <w:r>
        <w:rPr>
          <w:i/>
          <w:color w:val="231F20"/>
        </w:rPr>
        <w:t>Декоративно-прикладное творчество</w:t>
      </w:r>
      <w:r>
        <w:rPr>
          <w:color w:val="231F20"/>
        </w:rPr>
        <w:t>» – участники могут представить различ- ные артефакты, связанные с народностью, включая и семейные реликвии, которые передаются из поколения в поколение (народная игрушка, вышивка, ткачество, ло- скутное шитье, вязание, плетение, бисер, резьба по дереву, керамика и др.).</w:t>
      </w:r>
    </w:p>
    <w:p>
      <w:pPr>
        <w:pStyle w:val="BodyText"/>
        <w:spacing w:line="232" w:lineRule="auto"/>
      </w:pPr>
      <w:r>
        <w:rPr>
          <w:color w:val="231F20"/>
        </w:rPr>
        <w:t>«</w:t>
      </w:r>
      <w:r>
        <w:rPr>
          <w:i/>
          <w:color w:val="231F20"/>
        </w:rPr>
        <w:t>Блюдо национальной кухни</w:t>
      </w:r>
      <w:r>
        <w:rPr>
          <w:color w:val="231F20"/>
        </w:rPr>
        <w:t>» – участники фестиваля предлагают для дегустации (членам жюри конкурса и всем остальным участникам) блюда, рассказывают о на- циональных традициях, связанных с этими блюдами, красочно оформляют рецепты приготовления блюд.</w:t>
      </w:r>
    </w:p>
    <w:p>
      <w:pPr>
        <w:pStyle w:val="BodyText"/>
        <w:spacing w:line="232" w:lineRule="auto"/>
        <w:ind w:right="140"/>
      </w:pPr>
      <w:r>
        <w:rPr>
          <w:color w:val="231F20"/>
        </w:rPr>
        <w:t>«</w:t>
      </w:r>
      <w:r>
        <w:rPr>
          <w:i/>
          <w:color w:val="231F20"/>
        </w:rPr>
        <w:t>Национальные игры</w:t>
      </w:r>
      <w:r>
        <w:rPr>
          <w:color w:val="231F20"/>
        </w:rPr>
        <w:t>» – участники представляют народные игры, демонстрируя их и вовлекая других участников фестиваля.</w:t>
      </w:r>
    </w:p>
    <w:p>
      <w:pPr>
        <w:pStyle w:val="BodyText"/>
        <w:spacing w:line="232" w:lineRule="auto"/>
      </w:pPr>
      <w:r>
        <w:rPr>
          <w:color w:val="231F20"/>
        </w:rPr>
        <w:t>Номинации конкурсной программы могут быть выбраны с учетом возможностей школы</w:t>
      </w:r>
      <w:r>
        <w:rPr>
          <w:color w:val="231F20"/>
          <w:spacing w:val="-4"/>
        </w:rPr>
        <w:t> </w:t>
      </w:r>
      <w:r>
        <w:rPr>
          <w:color w:val="231F20"/>
        </w:rPr>
        <w:t>и</w:t>
      </w:r>
      <w:r>
        <w:rPr>
          <w:color w:val="231F20"/>
          <w:spacing w:val="-4"/>
        </w:rPr>
        <w:t> </w:t>
      </w:r>
      <w:r>
        <w:rPr>
          <w:color w:val="231F20"/>
        </w:rPr>
        <w:t>ее</w:t>
      </w:r>
      <w:r>
        <w:rPr>
          <w:color w:val="231F20"/>
          <w:spacing w:val="-4"/>
        </w:rPr>
        <w:t> </w:t>
      </w:r>
      <w:r>
        <w:rPr>
          <w:color w:val="231F20"/>
        </w:rPr>
        <w:t>технического</w:t>
      </w:r>
      <w:r>
        <w:rPr>
          <w:color w:val="231F20"/>
          <w:spacing w:val="-4"/>
        </w:rPr>
        <w:t> </w:t>
      </w:r>
      <w:r>
        <w:rPr>
          <w:color w:val="231F20"/>
        </w:rPr>
        <w:t>оснащения.</w:t>
      </w:r>
      <w:r>
        <w:rPr>
          <w:color w:val="231F20"/>
          <w:spacing w:val="-4"/>
        </w:rPr>
        <w:t> </w:t>
      </w:r>
      <w:r>
        <w:rPr>
          <w:color w:val="231F20"/>
        </w:rPr>
        <w:t>Если</w:t>
      </w:r>
      <w:r>
        <w:rPr>
          <w:color w:val="231F20"/>
          <w:spacing w:val="-4"/>
        </w:rPr>
        <w:t> </w:t>
      </w:r>
      <w:r>
        <w:rPr>
          <w:color w:val="231F20"/>
        </w:rPr>
        <w:t>в</w:t>
      </w:r>
      <w:r>
        <w:rPr>
          <w:color w:val="231F20"/>
          <w:spacing w:val="-4"/>
        </w:rPr>
        <w:t> </w:t>
      </w:r>
      <w:r>
        <w:rPr>
          <w:color w:val="231F20"/>
        </w:rPr>
        <w:t>школе</w:t>
      </w:r>
      <w:r>
        <w:rPr>
          <w:color w:val="231F20"/>
          <w:spacing w:val="-4"/>
        </w:rPr>
        <w:t> </w:t>
      </w:r>
      <w:r>
        <w:rPr>
          <w:color w:val="231F20"/>
        </w:rPr>
        <w:t>есть</w:t>
      </w:r>
      <w:r>
        <w:rPr>
          <w:color w:val="231F20"/>
          <w:spacing w:val="-4"/>
        </w:rPr>
        <w:t> </w:t>
      </w:r>
      <w:r>
        <w:rPr>
          <w:color w:val="231F20"/>
        </w:rPr>
        <w:t>своя</w:t>
      </w:r>
      <w:r>
        <w:rPr>
          <w:color w:val="231F20"/>
          <w:spacing w:val="-4"/>
        </w:rPr>
        <w:t> </w:t>
      </w:r>
      <w:r>
        <w:rPr>
          <w:color w:val="231F20"/>
        </w:rPr>
        <w:t>цифровая</w:t>
      </w:r>
      <w:r>
        <w:rPr>
          <w:color w:val="231F20"/>
          <w:spacing w:val="-4"/>
        </w:rPr>
        <w:t> </w:t>
      </w:r>
      <w:r>
        <w:rPr>
          <w:color w:val="231F20"/>
        </w:rPr>
        <w:t>видеостудия, то</w:t>
      </w:r>
      <w:r>
        <w:rPr>
          <w:color w:val="231F20"/>
          <w:spacing w:val="-9"/>
        </w:rPr>
        <w:t> </w:t>
      </w:r>
      <w:r>
        <w:rPr>
          <w:color w:val="231F20"/>
        </w:rPr>
        <w:t>можно</w:t>
      </w:r>
      <w:r>
        <w:rPr>
          <w:color w:val="231F20"/>
          <w:spacing w:val="-9"/>
        </w:rPr>
        <w:t> </w:t>
      </w:r>
      <w:r>
        <w:rPr>
          <w:color w:val="231F20"/>
        </w:rPr>
        <w:t>предложить</w:t>
      </w:r>
      <w:r>
        <w:rPr>
          <w:color w:val="231F20"/>
          <w:spacing w:val="-9"/>
        </w:rPr>
        <w:t> </w:t>
      </w:r>
      <w:r>
        <w:rPr>
          <w:color w:val="231F20"/>
        </w:rPr>
        <w:t>ребятам</w:t>
      </w:r>
      <w:r>
        <w:rPr>
          <w:color w:val="231F20"/>
          <w:spacing w:val="-9"/>
        </w:rPr>
        <w:t> </w:t>
      </w:r>
      <w:r>
        <w:rPr>
          <w:color w:val="231F20"/>
        </w:rPr>
        <w:t>снять</w:t>
      </w:r>
      <w:r>
        <w:rPr>
          <w:color w:val="231F20"/>
          <w:spacing w:val="-9"/>
        </w:rPr>
        <w:t> </w:t>
      </w:r>
      <w:r>
        <w:rPr>
          <w:color w:val="231F20"/>
        </w:rPr>
        <w:t>и</w:t>
      </w:r>
      <w:r>
        <w:rPr>
          <w:color w:val="231F20"/>
          <w:spacing w:val="-9"/>
        </w:rPr>
        <w:t> </w:t>
      </w:r>
      <w:r>
        <w:rPr>
          <w:color w:val="231F20"/>
        </w:rPr>
        <w:t>смонтировать</w:t>
      </w:r>
      <w:r>
        <w:rPr>
          <w:color w:val="231F20"/>
          <w:spacing w:val="-9"/>
        </w:rPr>
        <w:t> </w:t>
      </w:r>
      <w:r>
        <w:rPr>
          <w:color w:val="231F20"/>
        </w:rPr>
        <w:t>видеофильм</w:t>
      </w:r>
      <w:r>
        <w:rPr>
          <w:color w:val="231F20"/>
          <w:spacing w:val="-9"/>
        </w:rPr>
        <w:t> </w:t>
      </w:r>
      <w:r>
        <w:rPr>
          <w:color w:val="231F20"/>
        </w:rPr>
        <w:t>по</w:t>
      </w:r>
      <w:r>
        <w:rPr>
          <w:color w:val="231F20"/>
          <w:spacing w:val="-9"/>
        </w:rPr>
        <w:t> </w:t>
      </w:r>
      <w:r>
        <w:rPr>
          <w:color w:val="231F20"/>
        </w:rPr>
        <w:t>тематике</w:t>
      </w:r>
      <w:r>
        <w:rPr>
          <w:color w:val="231F20"/>
          <w:spacing w:val="-9"/>
        </w:rPr>
        <w:t> </w:t>
      </w:r>
      <w:r>
        <w:rPr>
          <w:color w:val="231F20"/>
        </w:rPr>
        <w:t>фести- валя,</w:t>
      </w:r>
      <w:r>
        <w:rPr>
          <w:color w:val="231F20"/>
          <w:spacing w:val="-2"/>
        </w:rPr>
        <w:t> </w:t>
      </w:r>
      <w:r>
        <w:rPr>
          <w:color w:val="231F20"/>
        </w:rPr>
        <w:t>сделать</w:t>
      </w:r>
      <w:r>
        <w:rPr>
          <w:color w:val="231F20"/>
          <w:spacing w:val="-2"/>
        </w:rPr>
        <w:t> </w:t>
      </w:r>
      <w:r>
        <w:rPr>
          <w:color w:val="231F20"/>
        </w:rPr>
        <w:t>нарезку</w:t>
      </w:r>
      <w:r>
        <w:rPr>
          <w:color w:val="231F20"/>
          <w:spacing w:val="-2"/>
        </w:rPr>
        <w:t> </w:t>
      </w:r>
      <w:r>
        <w:rPr>
          <w:color w:val="231F20"/>
        </w:rPr>
        <w:t>из</w:t>
      </w:r>
      <w:r>
        <w:rPr>
          <w:color w:val="231F20"/>
          <w:spacing w:val="-2"/>
        </w:rPr>
        <w:t> </w:t>
      </w:r>
      <w:r>
        <w:rPr>
          <w:color w:val="231F20"/>
        </w:rPr>
        <w:t>фрагментов</w:t>
      </w:r>
      <w:r>
        <w:rPr>
          <w:color w:val="231F20"/>
          <w:spacing w:val="-2"/>
        </w:rPr>
        <w:t> </w:t>
      </w:r>
      <w:r>
        <w:rPr>
          <w:color w:val="231F20"/>
        </w:rPr>
        <w:t>документальных</w:t>
      </w:r>
      <w:r>
        <w:rPr>
          <w:color w:val="231F20"/>
          <w:spacing w:val="-2"/>
        </w:rPr>
        <w:t> </w:t>
      </w:r>
      <w:r>
        <w:rPr>
          <w:color w:val="231F20"/>
        </w:rPr>
        <w:t>и</w:t>
      </w:r>
      <w:r>
        <w:rPr>
          <w:color w:val="231F20"/>
          <w:spacing w:val="-2"/>
        </w:rPr>
        <w:t> </w:t>
      </w:r>
      <w:r>
        <w:rPr>
          <w:color w:val="231F20"/>
        </w:rPr>
        <w:t>художественных</w:t>
      </w:r>
      <w:r>
        <w:rPr>
          <w:color w:val="231F20"/>
          <w:spacing w:val="-2"/>
        </w:rPr>
        <w:t> </w:t>
      </w:r>
      <w:r>
        <w:rPr>
          <w:color w:val="231F20"/>
        </w:rPr>
        <w:t>фильмов,</w:t>
      </w:r>
      <w:r>
        <w:rPr>
          <w:color w:val="231F20"/>
          <w:spacing w:val="-2"/>
        </w:rPr>
        <w:t> </w:t>
      </w:r>
      <w:r>
        <w:rPr>
          <w:color w:val="231F20"/>
        </w:rPr>
        <w:t>в которых представлен тот или иной народ.</w:t>
      </w:r>
    </w:p>
    <w:p>
      <w:pPr>
        <w:pStyle w:val="BodyText"/>
        <w:spacing w:after="0" w:line="232" w:lineRule="auto"/>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pacing w:val="-2"/>
          <w:sz w:val="18"/>
        </w:rPr>
        <w:t>Приложение</w:t>
      </w:r>
    </w:p>
    <w:p>
      <w:pPr>
        <w:pStyle w:val="BodyText"/>
        <w:spacing w:line="237" w:lineRule="auto" w:before="114"/>
      </w:pPr>
      <w:r>
        <w:rPr>
          <w:color w:val="231F20"/>
        </w:rPr>
        <w:t>Поскольку каждое выступление не может занимать более 10–15 минут, то часть фестивальных номинаций можно вынести за рамки концертно-отчетной части, про- ходящей</w:t>
      </w:r>
      <w:r>
        <w:rPr>
          <w:color w:val="231F20"/>
          <w:spacing w:val="-13"/>
        </w:rPr>
        <w:t> </w:t>
      </w:r>
      <w:r>
        <w:rPr>
          <w:color w:val="231F20"/>
        </w:rPr>
        <w:t>в</w:t>
      </w:r>
      <w:r>
        <w:rPr>
          <w:color w:val="231F20"/>
          <w:spacing w:val="-12"/>
        </w:rPr>
        <w:t> </w:t>
      </w:r>
      <w:r>
        <w:rPr>
          <w:color w:val="231F20"/>
        </w:rPr>
        <w:t>актовом</w:t>
      </w:r>
      <w:r>
        <w:rPr>
          <w:color w:val="231F20"/>
          <w:spacing w:val="-13"/>
        </w:rPr>
        <w:t> </w:t>
      </w:r>
      <w:r>
        <w:rPr>
          <w:color w:val="231F20"/>
        </w:rPr>
        <w:t>зале,</w:t>
      </w:r>
      <w:r>
        <w:rPr>
          <w:color w:val="231F20"/>
          <w:spacing w:val="-12"/>
        </w:rPr>
        <w:t> </w:t>
      </w:r>
      <w:r>
        <w:rPr>
          <w:color w:val="231F20"/>
        </w:rPr>
        <w:t>например</w:t>
      </w:r>
      <w:r>
        <w:rPr>
          <w:color w:val="231F20"/>
          <w:spacing w:val="-13"/>
        </w:rPr>
        <w:t> </w:t>
      </w:r>
      <w:r>
        <w:rPr>
          <w:color w:val="231F20"/>
        </w:rPr>
        <w:t>представление</w:t>
      </w:r>
      <w:r>
        <w:rPr>
          <w:color w:val="231F20"/>
          <w:spacing w:val="-12"/>
        </w:rPr>
        <w:t> </w:t>
      </w:r>
      <w:r>
        <w:rPr>
          <w:color w:val="231F20"/>
        </w:rPr>
        <w:t>предметов</w:t>
      </w:r>
      <w:r>
        <w:rPr>
          <w:color w:val="231F20"/>
          <w:spacing w:val="-13"/>
        </w:rPr>
        <w:t> </w:t>
      </w:r>
      <w:r>
        <w:rPr>
          <w:color w:val="231F20"/>
        </w:rPr>
        <w:t>народного</w:t>
      </w:r>
      <w:r>
        <w:rPr>
          <w:color w:val="231F20"/>
          <w:spacing w:val="-12"/>
        </w:rPr>
        <w:t> </w:t>
      </w:r>
      <w:r>
        <w:rPr>
          <w:color w:val="231F20"/>
        </w:rPr>
        <w:t>декоративно- прикладного творчества, блюд национальной кухни и национальные игры. Высту- пления классов в этих номинациях могут быть оценены экспертами, членами жюри за пределами актового зала, непосредственно там, где классы показывают, что они </w:t>
      </w:r>
      <w:r>
        <w:rPr>
          <w:color w:val="231F20"/>
          <w:spacing w:val="-2"/>
        </w:rPr>
        <w:t>подготовили.</w:t>
      </w:r>
    </w:p>
    <w:p>
      <w:pPr>
        <w:pStyle w:val="BodyText"/>
        <w:spacing w:line="237" w:lineRule="auto"/>
      </w:pPr>
      <w:r>
        <w:rPr>
          <w:color w:val="231F20"/>
        </w:rPr>
        <w:t>Учитывая</w:t>
      </w:r>
      <w:r>
        <w:rPr>
          <w:color w:val="231F20"/>
          <w:spacing w:val="-12"/>
        </w:rPr>
        <w:t> </w:t>
      </w:r>
      <w:r>
        <w:rPr>
          <w:color w:val="231F20"/>
        </w:rPr>
        <w:t>возрастные</w:t>
      </w:r>
      <w:r>
        <w:rPr>
          <w:color w:val="231F20"/>
          <w:spacing w:val="-12"/>
        </w:rPr>
        <w:t> </w:t>
      </w:r>
      <w:r>
        <w:rPr>
          <w:color w:val="231F20"/>
        </w:rPr>
        <w:t>особенности</w:t>
      </w:r>
      <w:r>
        <w:rPr>
          <w:color w:val="231F20"/>
          <w:spacing w:val="-12"/>
        </w:rPr>
        <w:t> </w:t>
      </w:r>
      <w:r>
        <w:rPr>
          <w:color w:val="231F20"/>
        </w:rPr>
        <w:t>детей,</w:t>
      </w:r>
      <w:r>
        <w:rPr>
          <w:color w:val="231F20"/>
          <w:spacing w:val="-12"/>
        </w:rPr>
        <w:t> </w:t>
      </w:r>
      <w:r>
        <w:rPr>
          <w:color w:val="231F20"/>
        </w:rPr>
        <w:t>имеет</w:t>
      </w:r>
      <w:r>
        <w:rPr>
          <w:color w:val="231F20"/>
          <w:spacing w:val="-12"/>
        </w:rPr>
        <w:t> </w:t>
      </w:r>
      <w:r>
        <w:rPr>
          <w:color w:val="231F20"/>
        </w:rPr>
        <w:t>смысл</w:t>
      </w:r>
      <w:r>
        <w:rPr>
          <w:color w:val="231F20"/>
          <w:spacing w:val="-12"/>
        </w:rPr>
        <w:t> </w:t>
      </w:r>
      <w:r>
        <w:rPr>
          <w:color w:val="231F20"/>
        </w:rPr>
        <w:t>проводить</w:t>
      </w:r>
      <w:r>
        <w:rPr>
          <w:color w:val="231F20"/>
          <w:spacing w:val="-12"/>
        </w:rPr>
        <w:t> </w:t>
      </w:r>
      <w:r>
        <w:rPr>
          <w:color w:val="231F20"/>
        </w:rPr>
        <w:t>общешкольный фестиваль для учащихся 5–11-х классов, а младших школьников пригласить с роди- телями в качестве зрителей, либо проводить для них отдельный конкурс с меньшим количеством</w:t>
      </w:r>
      <w:r>
        <w:rPr>
          <w:color w:val="231F20"/>
          <w:spacing w:val="-6"/>
        </w:rPr>
        <w:t> </w:t>
      </w:r>
      <w:r>
        <w:rPr>
          <w:color w:val="231F20"/>
        </w:rPr>
        <w:t>номинаций.</w:t>
      </w:r>
      <w:r>
        <w:rPr>
          <w:color w:val="231F20"/>
          <w:spacing w:val="-6"/>
        </w:rPr>
        <w:t> </w:t>
      </w:r>
      <w:r>
        <w:rPr>
          <w:color w:val="231F20"/>
        </w:rPr>
        <w:t>В</w:t>
      </w:r>
      <w:r>
        <w:rPr>
          <w:color w:val="231F20"/>
          <w:spacing w:val="-6"/>
        </w:rPr>
        <w:t> </w:t>
      </w:r>
      <w:r>
        <w:rPr>
          <w:color w:val="231F20"/>
        </w:rPr>
        <w:t>любом</w:t>
      </w:r>
      <w:r>
        <w:rPr>
          <w:color w:val="231F20"/>
          <w:spacing w:val="-6"/>
        </w:rPr>
        <w:t> </w:t>
      </w:r>
      <w:r>
        <w:rPr>
          <w:color w:val="231F20"/>
        </w:rPr>
        <w:t>случае,</w:t>
      </w:r>
      <w:r>
        <w:rPr>
          <w:color w:val="231F20"/>
          <w:spacing w:val="-6"/>
        </w:rPr>
        <w:t> </w:t>
      </w:r>
      <w:r>
        <w:rPr>
          <w:color w:val="231F20"/>
        </w:rPr>
        <w:t>учащиеся</w:t>
      </w:r>
      <w:r>
        <w:rPr>
          <w:color w:val="231F20"/>
          <w:spacing w:val="-6"/>
        </w:rPr>
        <w:t> </w:t>
      </w:r>
      <w:r>
        <w:rPr>
          <w:color w:val="231F20"/>
        </w:rPr>
        <w:t>младших</w:t>
      </w:r>
      <w:r>
        <w:rPr>
          <w:color w:val="231F20"/>
          <w:spacing w:val="-6"/>
        </w:rPr>
        <w:t> </w:t>
      </w:r>
      <w:r>
        <w:rPr>
          <w:color w:val="231F20"/>
        </w:rPr>
        <w:t>классов</w:t>
      </w:r>
      <w:r>
        <w:rPr>
          <w:color w:val="231F20"/>
          <w:spacing w:val="-7"/>
        </w:rPr>
        <w:t> </w:t>
      </w:r>
      <w:r>
        <w:rPr>
          <w:color w:val="231F20"/>
        </w:rPr>
        <w:t>и</w:t>
      </w:r>
      <w:r>
        <w:rPr>
          <w:color w:val="231F20"/>
          <w:spacing w:val="-6"/>
        </w:rPr>
        <w:t> </w:t>
      </w:r>
      <w:r>
        <w:rPr>
          <w:color w:val="231F20"/>
        </w:rPr>
        <w:t>их</w:t>
      </w:r>
      <w:r>
        <w:rPr>
          <w:color w:val="231F20"/>
          <w:spacing w:val="-6"/>
        </w:rPr>
        <w:t> </w:t>
      </w:r>
      <w:r>
        <w:rPr>
          <w:color w:val="231F20"/>
        </w:rPr>
        <w:t>родители должны обязательно присутствовать на фестивале хотя бы в качестве гостей.</w:t>
      </w:r>
    </w:p>
    <w:p>
      <w:pPr>
        <w:pStyle w:val="BodyText"/>
      </w:pPr>
      <w:r>
        <w:rPr>
          <w:color w:val="231F20"/>
        </w:rPr>
        <w:t>После</w:t>
      </w:r>
      <w:r>
        <w:rPr>
          <w:color w:val="231F20"/>
          <w:spacing w:val="-8"/>
        </w:rPr>
        <w:t> </w:t>
      </w:r>
      <w:r>
        <w:rPr>
          <w:color w:val="231F20"/>
        </w:rPr>
        <w:t>завершения</w:t>
      </w:r>
      <w:r>
        <w:rPr>
          <w:color w:val="231F20"/>
          <w:spacing w:val="-8"/>
        </w:rPr>
        <w:t> </w:t>
      </w:r>
      <w:r>
        <w:rPr>
          <w:color w:val="231F20"/>
        </w:rPr>
        <w:t>фестиваля</w:t>
      </w:r>
      <w:r>
        <w:rPr>
          <w:color w:val="231F20"/>
          <w:spacing w:val="-8"/>
        </w:rPr>
        <w:t> </w:t>
      </w:r>
      <w:r>
        <w:rPr>
          <w:color w:val="231F20"/>
        </w:rPr>
        <w:t>проходит</w:t>
      </w:r>
      <w:r>
        <w:rPr>
          <w:color w:val="231F20"/>
          <w:spacing w:val="-8"/>
        </w:rPr>
        <w:t> </w:t>
      </w:r>
      <w:r>
        <w:rPr>
          <w:color w:val="231F20"/>
        </w:rPr>
        <w:t>его</w:t>
      </w:r>
      <w:r>
        <w:rPr>
          <w:color w:val="231F20"/>
          <w:spacing w:val="-8"/>
        </w:rPr>
        <w:t> </w:t>
      </w:r>
      <w:r>
        <w:rPr>
          <w:color w:val="231F20"/>
        </w:rPr>
        <w:t>официальное</w:t>
      </w:r>
      <w:r>
        <w:rPr>
          <w:color w:val="231F20"/>
          <w:spacing w:val="-8"/>
        </w:rPr>
        <w:t> </w:t>
      </w:r>
      <w:r>
        <w:rPr>
          <w:color w:val="231F20"/>
        </w:rPr>
        <w:t>закрытие.</w:t>
      </w:r>
      <w:r>
        <w:rPr>
          <w:color w:val="231F20"/>
          <w:spacing w:val="-8"/>
        </w:rPr>
        <w:t> </w:t>
      </w:r>
      <w:r>
        <w:rPr>
          <w:color w:val="231F20"/>
        </w:rPr>
        <w:t>Организаторы дают возможность выступить гостям и экспертам, которые работали в жюри. Они подводят итоги и награждают победителей в разных номинациях.</w:t>
      </w:r>
    </w:p>
    <w:p>
      <w:pPr>
        <w:pStyle w:val="BodyText"/>
        <w:spacing w:line="223" w:lineRule="exact"/>
        <w:ind w:left="425" w:right="0" w:firstLine="0"/>
      </w:pPr>
      <w:r>
        <w:rPr>
          <w:color w:val="231F20"/>
        </w:rPr>
        <w:t>По</w:t>
      </w:r>
      <w:r>
        <w:rPr>
          <w:color w:val="231F20"/>
          <w:spacing w:val="-8"/>
        </w:rPr>
        <w:t> </w:t>
      </w:r>
      <w:r>
        <w:rPr>
          <w:color w:val="231F20"/>
        </w:rPr>
        <w:t>каким</w:t>
      </w:r>
      <w:r>
        <w:rPr>
          <w:color w:val="231F20"/>
          <w:spacing w:val="-5"/>
        </w:rPr>
        <w:t> </w:t>
      </w:r>
      <w:r>
        <w:rPr>
          <w:color w:val="231F20"/>
        </w:rPr>
        <w:t>критериям</w:t>
      </w:r>
      <w:r>
        <w:rPr>
          <w:color w:val="231F20"/>
          <w:spacing w:val="-5"/>
        </w:rPr>
        <w:t> </w:t>
      </w:r>
      <w:r>
        <w:rPr>
          <w:color w:val="231F20"/>
        </w:rPr>
        <w:t>можно</w:t>
      </w:r>
      <w:r>
        <w:rPr>
          <w:color w:val="231F20"/>
          <w:spacing w:val="-6"/>
        </w:rPr>
        <w:t> </w:t>
      </w:r>
      <w:r>
        <w:rPr>
          <w:color w:val="231F20"/>
        </w:rPr>
        <w:t>оценить</w:t>
      </w:r>
      <w:r>
        <w:rPr>
          <w:color w:val="231F20"/>
          <w:spacing w:val="-6"/>
        </w:rPr>
        <w:t> </w:t>
      </w:r>
      <w:r>
        <w:rPr>
          <w:color w:val="231F20"/>
        </w:rPr>
        <w:t>эффективность</w:t>
      </w:r>
      <w:r>
        <w:rPr>
          <w:color w:val="231F20"/>
          <w:spacing w:val="-6"/>
        </w:rPr>
        <w:t> </w:t>
      </w:r>
      <w:r>
        <w:rPr>
          <w:color w:val="231F20"/>
        </w:rPr>
        <w:t>проведенного</w:t>
      </w:r>
      <w:r>
        <w:rPr>
          <w:color w:val="231F20"/>
          <w:spacing w:val="-5"/>
        </w:rPr>
        <w:t> </w:t>
      </w:r>
      <w:r>
        <w:rPr>
          <w:color w:val="231F20"/>
          <w:spacing w:val="-2"/>
        </w:rPr>
        <w:t>фестиваля?</w:t>
      </w:r>
    </w:p>
    <w:p>
      <w:pPr>
        <w:pStyle w:val="ListParagraph"/>
        <w:numPr>
          <w:ilvl w:val="0"/>
          <w:numId w:val="133"/>
        </w:numPr>
        <w:tabs>
          <w:tab w:pos="425" w:val="left" w:leader="none"/>
        </w:tabs>
        <w:spacing w:line="240" w:lineRule="auto" w:before="0" w:after="0"/>
        <w:ind w:left="425" w:right="139" w:hanging="284"/>
        <w:jc w:val="both"/>
        <w:rPr>
          <w:sz w:val="20"/>
        </w:rPr>
      </w:pPr>
      <w:r>
        <w:rPr>
          <w:color w:val="231F20"/>
          <w:sz w:val="20"/>
        </w:rPr>
        <w:t>Учащиеся</w:t>
      </w:r>
      <w:r>
        <w:rPr>
          <w:color w:val="231F20"/>
          <w:spacing w:val="-4"/>
          <w:sz w:val="20"/>
        </w:rPr>
        <w:t> </w:t>
      </w:r>
      <w:r>
        <w:rPr>
          <w:color w:val="231F20"/>
          <w:sz w:val="20"/>
        </w:rPr>
        <w:t>школы</w:t>
      </w:r>
      <w:r>
        <w:rPr>
          <w:color w:val="231F20"/>
          <w:spacing w:val="-4"/>
          <w:sz w:val="20"/>
        </w:rPr>
        <w:t> </w:t>
      </w:r>
      <w:r>
        <w:rPr>
          <w:color w:val="231F20"/>
          <w:sz w:val="20"/>
        </w:rPr>
        <w:t>на</w:t>
      </w:r>
      <w:r>
        <w:rPr>
          <w:color w:val="231F20"/>
          <w:spacing w:val="-4"/>
          <w:sz w:val="20"/>
        </w:rPr>
        <w:t> </w:t>
      </w:r>
      <w:r>
        <w:rPr>
          <w:color w:val="231F20"/>
          <w:sz w:val="20"/>
        </w:rPr>
        <w:t>всех</w:t>
      </w:r>
      <w:r>
        <w:rPr>
          <w:color w:val="231F20"/>
          <w:spacing w:val="-4"/>
          <w:sz w:val="20"/>
        </w:rPr>
        <w:t> </w:t>
      </w:r>
      <w:r>
        <w:rPr>
          <w:color w:val="231F20"/>
          <w:sz w:val="20"/>
        </w:rPr>
        <w:t>ступенях</w:t>
      </w:r>
      <w:r>
        <w:rPr>
          <w:color w:val="231F20"/>
          <w:spacing w:val="-4"/>
          <w:sz w:val="20"/>
        </w:rPr>
        <w:t> </w:t>
      </w:r>
      <w:r>
        <w:rPr>
          <w:color w:val="231F20"/>
          <w:sz w:val="20"/>
        </w:rPr>
        <w:t>обучения</w:t>
      </w:r>
      <w:r>
        <w:rPr>
          <w:color w:val="231F20"/>
          <w:spacing w:val="-4"/>
          <w:sz w:val="20"/>
        </w:rPr>
        <w:t> </w:t>
      </w:r>
      <w:r>
        <w:rPr>
          <w:color w:val="231F20"/>
          <w:sz w:val="20"/>
        </w:rPr>
        <w:t>получают</w:t>
      </w:r>
      <w:r>
        <w:rPr>
          <w:color w:val="231F20"/>
          <w:spacing w:val="-4"/>
          <w:sz w:val="20"/>
        </w:rPr>
        <w:t> </w:t>
      </w:r>
      <w:r>
        <w:rPr>
          <w:color w:val="231F20"/>
          <w:sz w:val="20"/>
        </w:rPr>
        <w:t>информацию</w:t>
      </w:r>
      <w:r>
        <w:rPr>
          <w:color w:val="231F20"/>
          <w:spacing w:val="-4"/>
          <w:sz w:val="20"/>
        </w:rPr>
        <w:t> </w:t>
      </w:r>
      <w:r>
        <w:rPr>
          <w:color w:val="231F20"/>
          <w:sz w:val="20"/>
        </w:rPr>
        <w:t>о</w:t>
      </w:r>
      <w:r>
        <w:rPr>
          <w:color w:val="231F20"/>
          <w:spacing w:val="-4"/>
          <w:sz w:val="20"/>
        </w:rPr>
        <w:t> </w:t>
      </w:r>
      <w:r>
        <w:rPr>
          <w:color w:val="231F20"/>
          <w:sz w:val="20"/>
        </w:rPr>
        <w:t>том,</w:t>
      </w:r>
      <w:r>
        <w:rPr>
          <w:color w:val="231F20"/>
          <w:spacing w:val="-4"/>
          <w:sz w:val="20"/>
        </w:rPr>
        <w:t> </w:t>
      </w:r>
      <w:r>
        <w:rPr>
          <w:color w:val="231F20"/>
          <w:sz w:val="20"/>
        </w:rPr>
        <w:t>какие народности и культуры представлены в школьном коллективе.</w:t>
      </w:r>
    </w:p>
    <w:p>
      <w:pPr>
        <w:pStyle w:val="ListParagraph"/>
        <w:numPr>
          <w:ilvl w:val="0"/>
          <w:numId w:val="133"/>
        </w:numPr>
        <w:tabs>
          <w:tab w:pos="425" w:val="left" w:leader="none"/>
        </w:tabs>
        <w:spacing w:line="237" w:lineRule="auto" w:before="0" w:after="0"/>
        <w:ind w:left="425" w:right="139" w:hanging="284"/>
        <w:jc w:val="both"/>
        <w:rPr>
          <w:sz w:val="20"/>
        </w:rPr>
      </w:pPr>
      <w:r>
        <w:rPr>
          <w:color w:val="231F20"/>
          <w:sz w:val="20"/>
        </w:rPr>
        <w:t>В школе появляются какие-то новые традиции и инициативы, которые способст- вуют</w:t>
      </w:r>
      <w:r>
        <w:rPr>
          <w:color w:val="231F20"/>
          <w:spacing w:val="-4"/>
          <w:sz w:val="20"/>
        </w:rPr>
        <w:t> </w:t>
      </w:r>
      <w:r>
        <w:rPr>
          <w:color w:val="231F20"/>
          <w:sz w:val="20"/>
        </w:rPr>
        <w:t>более</w:t>
      </w:r>
      <w:r>
        <w:rPr>
          <w:color w:val="231F20"/>
          <w:spacing w:val="-4"/>
          <w:sz w:val="20"/>
        </w:rPr>
        <w:t> </w:t>
      </w:r>
      <w:r>
        <w:rPr>
          <w:color w:val="231F20"/>
          <w:sz w:val="20"/>
        </w:rPr>
        <w:t>быстрой</w:t>
      </w:r>
      <w:r>
        <w:rPr>
          <w:color w:val="231F20"/>
          <w:spacing w:val="-4"/>
          <w:sz w:val="20"/>
        </w:rPr>
        <w:t> </w:t>
      </w:r>
      <w:r>
        <w:rPr>
          <w:color w:val="231F20"/>
          <w:sz w:val="20"/>
        </w:rPr>
        <w:t>культурной</w:t>
      </w:r>
      <w:r>
        <w:rPr>
          <w:color w:val="231F20"/>
          <w:spacing w:val="-4"/>
          <w:sz w:val="20"/>
        </w:rPr>
        <w:t> </w:t>
      </w:r>
      <w:r>
        <w:rPr>
          <w:color w:val="231F20"/>
          <w:sz w:val="20"/>
        </w:rPr>
        <w:t>адаптации</w:t>
      </w:r>
      <w:r>
        <w:rPr>
          <w:color w:val="231F20"/>
          <w:spacing w:val="-4"/>
          <w:sz w:val="20"/>
        </w:rPr>
        <w:t> </w:t>
      </w:r>
      <w:r>
        <w:rPr>
          <w:color w:val="231F20"/>
          <w:sz w:val="20"/>
        </w:rPr>
        <w:t>детей-мигрантов</w:t>
      </w:r>
      <w:r>
        <w:rPr>
          <w:color w:val="231F20"/>
          <w:spacing w:val="-4"/>
          <w:sz w:val="20"/>
        </w:rPr>
        <w:t> </w:t>
      </w:r>
      <w:r>
        <w:rPr>
          <w:color w:val="231F20"/>
          <w:sz w:val="20"/>
        </w:rPr>
        <w:t>(волонтерские</w:t>
      </w:r>
      <w:r>
        <w:rPr>
          <w:color w:val="231F20"/>
          <w:spacing w:val="-4"/>
          <w:sz w:val="20"/>
        </w:rPr>
        <w:t> </w:t>
      </w:r>
      <w:r>
        <w:rPr>
          <w:color w:val="231F20"/>
          <w:sz w:val="20"/>
        </w:rPr>
        <w:t>груп- пы по адаптации, курсы русского языка и др.).</w:t>
      </w:r>
    </w:p>
    <w:p>
      <w:pPr>
        <w:pStyle w:val="ListParagraph"/>
        <w:numPr>
          <w:ilvl w:val="0"/>
          <w:numId w:val="133"/>
        </w:numPr>
        <w:tabs>
          <w:tab w:pos="425" w:val="left" w:leader="none"/>
        </w:tabs>
        <w:spacing w:line="240" w:lineRule="auto" w:before="0" w:after="0"/>
        <w:ind w:left="425" w:right="139" w:hanging="284"/>
        <w:jc w:val="both"/>
        <w:rPr>
          <w:sz w:val="20"/>
        </w:rPr>
      </w:pPr>
      <w:r>
        <w:rPr>
          <w:color w:val="231F20"/>
          <w:sz w:val="20"/>
        </w:rPr>
        <w:t>Учителя школы имеют представление об этнокультурных особенностях детей, обучающихся в школе, и используют это в своей повседневной деятельности на уроках, во внеурочной работе и при проведении воспитательных мероприятий.</w:t>
      </w:r>
    </w:p>
    <w:p>
      <w:pPr>
        <w:pStyle w:val="ListParagraph"/>
        <w:numPr>
          <w:ilvl w:val="0"/>
          <w:numId w:val="133"/>
        </w:numPr>
        <w:tabs>
          <w:tab w:pos="425" w:val="left" w:leader="none"/>
        </w:tabs>
        <w:spacing w:line="237" w:lineRule="auto" w:before="0" w:after="0"/>
        <w:ind w:left="425" w:right="139" w:hanging="284"/>
        <w:jc w:val="both"/>
        <w:rPr>
          <w:sz w:val="20"/>
        </w:rPr>
      </w:pPr>
      <w:r>
        <w:rPr>
          <w:color w:val="231F20"/>
          <w:spacing w:val="-2"/>
          <w:sz w:val="20"/>
        </w:rPr>
        <w:t>Психологи, социальные педагоги и классные руководители знают, на что обратить </w:t>
      </w:r>
      <w:r>
        <w:rPr>
          <w:color w:val="231F20"/>
          <w:sz w:val="20"/>
        </w:rPr>
        <w:t>внимание</w:t>
      </w:r>
      <w:r>
        <w:rPr>
          <w:color w:val="231F20"/>
          <w:spacing w:val="-4"/>
          <w:sz w:val="20"/>
        </w:rPr>
        <w:t> </w:t>
      </w:r>
      <w:r>
        <w:rPr>
          <w:color w:val="231F20"/>
          <w:sz w:val="20"/>
        </w:rPr>
        <w:t>при</w:t>
      </w:r>
      <w:r>
        <w:rPr>
          <w:color w:val="231F20"/>
          <w:spacing w:val="-4"/>
          <w:sz w:val="20"/>
        </w:rPr>
        <w:t> </w:t>
      </w:r>
      <w:r>
        <w:rPr>
          <w:color w:val="231F20"/>
          <w:sz w:val="20"/>
        </w:rPr>
        <w:t>формировании</w:t>
      </w:r>
      <w:r>
        <w:rPr>
          <w:color w:val="231F20"/>
          <w:spacing w:val="-4"/>
          <w:sz w:val="20"/>
        </w:rPr>
        <w:t> </w:t>
      </w:r>
      <w:r>
        <w:rPr>
          <w:color w:val="231F20"/>
          <w:sz w:val="20"/>
        </w:rPr>
        <w:t>благоприятной</w:t>
      </w:r>
      <w:r>
        <w:rPr>
          <w:color w:val="231F20"/>
          <w:spacing w:val="-4"/>
          <w:sz w:val="20"/>
        </w:rPr>
        <w:t> </w:t>
      </w:r>
      <w:r>
        <w:rPr>
          <w:color w:val="231F20"/>
          <w:sz w:val="20"/>
        </w:rPr>
        <w:t>психологической</w:t>
      </w:r>
      <w:r>
        <w:rPr>
          <w:color w:val="231F20"/>
          <w:spacing w:val="-4"/>
          <w:sz w:val="20"/>
        </w:rPr>
        <w:t> </w:t>
      </w:r>
      <w:r>
        <w:rPr>
          <w:color w:val="231F20"/>
          <w:sz w:val="20"/>
        </w:rPr>
        <w:t>атмосферы</w:t>
      </w:r>
      <w:r>
        <w:rPr>
          <w:color w:val="231F20"/>
          <w:spacing w:val="-4"/>
          <w:sz w:val="20"/>
        </w:rPr>
        <w:t> </w:t>
      </w:r>
      <w:r>
        <w:rPr>
          <w:color w:val="231F20"/>
          <w:sz w:val="20"/>
        </w:rPr>
        <w:t>в</w:t>
      </w:r>
      <w:r>
        <w:rPr>
          <w:color w:val="231F20"/>
          <w:spacing w:val="-4"/>
          <w:sz w:val="20"/>
        </w:rPr>
        <w:t> </w:t>
      </w:r>
      <w:r>
        <w:rPr>
          <w:color w:val="231F20"/>
          <w:sz w:val="20"/>
        </w:rPr>
        <w:t>шко- ле, способствующей социокультурной адаптации детей.</w:t>
      </w:r>
    </w:p>
    <w:p>
      <w:pPr>
        <w:pStyle w:val="ListParagraph"/>
        <w:numPr>
          <w:ilvl w:val="0"/>
          <w:numId w:val="133"/>
        </w:numPr>
        <w:tabs>
          <w:tab w:pos="425" w:val="left" w:leader="none"/>
        </w:tabs>
        <w:spacing w:line="240" w:lineRule="auto" w:before="0" w:after="0"/>
        <w:ind w:left="425" w:right="139" w:hanging="284"/>
        <w:jc w:val="both"/>
        <w:rPr>
          <w:sz w:val="20"/>
        </w:rPr>
      </w:pPr>
      <w:r>
        <w:rPr>
          <w:color w:val="231F20"/>
          <w:spacing w:val="-2"/>
          <w:sz w:val="20"/>
        </w:rPr>
        <w:t>Администраторы</w:t>
      </w:r>
      <w:r>
        <w:rPr>
          <w:color w:val="231F20"/>
          <w:spacing w:val="-7"/>
          <w:sz w:val="20"/>
        </w:rPr>
        <w:t> </w:t>
      </w:r>
      <w:r>
        <w:rPr>
          <w:color w:val="231F20"/>
          <w:spacing w:val="-2"/>
          <w:sz w:val="20"/>
        </w:rPr>
        <w:t>школы</w:t>
      </w:r>
      <w:r>
        <w:rPr>
          <w:color w:val="231F20"/>
          <w:spacing w:val="-7"/>
          <w:sz w:val="20"/>
        </w:rPr>
        <w:t> </w:t>
      </w:r>
      <w:r>
        <w:rPr>
          <w:color w:val="231F20"/>
          <w:spacing w:val="-2"/>
          <w:sz w:val="20"/>
        </w:rPr>
        <w:t>формируют</w:t>
      </w:r>
      <w:r>
        <w:rPr>
          <w:color w:val="231F20"/>
          <w:spacing w:val="-7"/>
          <w:sz w:val="20"/>
        </w:rPr>
        <w:t> </w:t>
      </w:r>
      <w:r>
        <w:rPr>
          <w:color w:val="231F20"/>
          <w:spacing w:val="-2"/>
          <w:sz w:val="20"/>
        </w:rPr>
        <w:t>партнерские</w:t>
      </w:r>
      <w:r>
        <w:rPr>
          <w:color w:val="231F20"/>
          <w:spacing w:val="-7"/>
          <w:sz w:val="20"/>
        </w:rPr>
        <w:t> </w:t>
      </w:r>
      <w:r>
        <w:rPr>
          <w:color w:val="231F20"/>
          <w:spacing w:val="-2"/>
          <w:sz w:val="20"/>
        </w:rPr>
        <w:t>связи</w:t>
      </w:r>
      <w:r>
        <w:rPr>
          <w:color w:val="231F20"/>
          <w:spacing w:val="-7"/>
          <w:sz w:val="20"/>
        </w:rPr>
        <w:t> </w:t>
      </w:r>
      <w:r>
        <w:rPr>
          <w:color w:val="231F20"/>
          <w:spacing w:val="-2"/>
          <w:sz w:val="20"/>
        </w:rPr>
        <w:t>с</w:t>
      </w:r>
      <w:r>
        <w:rPr>
          <w:color w:val="231F20"/>
          <w:spacing w:val="-7"/>
          <w:sz w:val="20"/>
        </w:rPr>
        <w:t> </w:t>
      </w:r>
      <w:r>
        <w:rPr>
          <w:color w:val="231F20"/>
          <w:spacing w:val="-2"/>
          <w:sz w:val="20"/>
        </w:rPr>
        <w:t>соответствующими</w:t>
      </w:r>
      <w:r>
        <w:rPr>
          <w:color w:val="231F20"/>
          <w:spacing w:val="-7"/>
          <w:sz w:val="20"/>
        </w:rPr>
        <w:t> </w:t>
      </w:r>
      <w:r>
        <w:rPr>
          <w:color w:val="231F20"/>
          <w:spacing w:val="-2"/>
          <w:sz w:val="20"/>
        </w:rPr>
        <w:t>орга- низациями</w:t>
      </w:r>
      <w:r>
        <w:rPr>
          <w:color w:val="231F20"/>
          <w:spacing w:val="-9"/>
          <w:sz w:val="20"/>
        </w:rPr>
        <w:t> </w:t>
      </w:r>
      <w:r>
        <w:rPr>
          <w:color w:val="231F20"/>
          <w:spacing w:val="-2"/>
          <w:sz w:val="20"/>
        </w:rPr>
        <w:t>города</w:t>
      </w:r>
      <w:r>
        <w:rPr>
          <w:color w:val="231F20"/>
          <w:spacing w:val="-9"/>
          <w:sz w:val="20"/>
        </w:rPr>
        <w:t> </w:t>
      </w:r>
      <w:r>
        <w:rPr>
          <w:color w:val="231F20"/>
          <w:spacing w:val="-2"/>
          <w:sz w:val="20"/>
        </w:rPr>
        <w:t>(региона),</w:t>
      </w:r>
      <w:r>
        <w:rPr>
          <w:color w:val="231F20"/>
          <w:spacing w:val="-9"/>
          <w:sz w:val="20"/>
        </w:rPr>
        <w:t> </w:t>
      </w:r>
      <w:r>
        <w:rPr>
          <w:color w:val="231F20"/>
          <w:spacing w:val="-2"/>
          <w:sz w:val="20"/>
        </w:rPr>
        <w:t>которые</w:t>
      </w:r>
      <w:r>
        <w:rPr>
          <w:color w:val="231F20"/>
          <w:spacing w:val="-9"/>
          <w:sz w:val="20"/>
        </w:rPr>
        <w:t> </w:t>
      </w:r>
      <w:r>
        <w:rPr>
          <w:color w:val="231F20"/>
          <w:spacing w:val="-2"/>
          <w:sz w:val="20"/>
        </w:rPr>
        <w:t>могут</w:t>
      </w:r>
      <w:r>
        <w:rPr>
          <w:color w:val="231F20"/>
          <w:spacing w:val="-9"/>
          <w:sz w:val="20"/>
        </w:rPr>
        <w:t> </w:t>
      </w:r>
      <w:r>
        <w:rPr>
          <w:color w:val="231F20"/>
          <w:spacing w:val="-2"/>
          <w:sz w:val="20"/>
        </w:rPr>
        <w:t>оказать</w:t>
      </w:r>
      <w:r>
        <w:rPr>
          <w:color w:val="231F20"/>
          <w:spacing w:val="-9"/>
          <w:sz w:val="20"/>
        </w:rPr>
        <w:t> </w:t>
      </w:r>
      <w:r>
        <w:rPr>
          <w:color w:val="231F20"/>
          <w:spacing w:val="-2"/>
          <w:sz w:val="20"/>
        </w:rPr>
        <w:t>школе</w:t>
      </w:r>
      <w:r>
        <w:rPr>
          <w:color w:val="231F20"/>
          <w:spacing w:val="-9"/>
          <w:sz w:val="20"/>
        </w:rPr>
        <w:t> </w:t>
      </w:r>
      <w:r>
        <w:rPr>
          <w:color w:val="231F20"/>
          <w:spacing w:val="-2"/>
          <w:sz w:val="20"/>
        </w:rPr>
        <w:t>поддержку</w:t>
      </w:r>
      <w:r>
        <w:rPr>
          <w:color w:val="231F20"/>
          <w:spacing w:val="-9"/>
          <w:sz w:val="20"/>
        </w:rPr>
        <w:t> </w:t>
      </w:r>
      <w:r>
        <w:rPr>
          <w:color w:val="231F20"/>
          <w:spacing w:val="-2"/>
          <w:sz w:val="20"/>
        </w:rPr>
        <w:t>в</w:t>
      </w:r>
      <w:r>
        <w:rPr>
          <w:color w:val="231F20"/>
          <w:spacing w:val="-9"/>
          <w:sz w:val="20"/>
        </w:rPr>
        <w:t> </w:t>
      </w:r>
      <w:r>
        <w:rPr>
          <w:color w:val="231F20"/>
          <w:spacing w:val="-2"/>
          <w:sz w:val="20"/>
        </w:rPr>
        <w:t>социокуль- </w:t>
      </w:r>
      <w:r>
        <w:rPr>
          <w:color w:val="231F20"/>
          <w:sz w:val="20"/>
        </w:rPr>
        <w:t>турной</w:t>
      </w:r>
      <w:r>
        <w:rPr>
          <w:color w:val="231F20"/>
          <w:spacing w:val="-11"/>
          <w:sz w:val="20"/>
        </w:rPr>
        <w:t> </w:t>
      </w:r>
      <w:r>
        <w:rPr>
          <w:color w:val="231F20"/>
          <w:sz w:val="20"/>
        </w:rPr>
        <w:t>адаптации</w:t>
      </w:r>
      <w:r>
        <w:rPr>
          <w:color w:val="231F20"/>
          <w:spacing w:val="-11"/>
          <w:sz w:val="20"/>
        </w:rPr>
        <w:t> </w:t>
      </w:r>
      <w:r>
        <w:rPr>
          <w:color w:val="231F20"/>
          <w:sz w:val="20"/>
        </w:rPr>
        <w:t>учащихся;</w:t>
      </w:r>
      <w:r>
        <w:rPr>
          <w:color w:val="231F20"/>
          <w:spacing w:val="-11"/>
          <w:sz w:val="20"/>
        </w:rPr>
        <w:t> </w:t>
      </w:r>
      <w:r>
        <w:rPr>
          <w:color w:val="231F20"/>
          <w:sz w:val="20"/>
        </w:rPr>
        <w:t>знакомятся</w:t>
      </w:r>
      <w:r>
        <w:rPr>
          <w:color w:val="231F20"/>
          <w:spacing w:val="-11"/>
          <w:sz w:val="20"/>
        </w:rPr>
        <w:t> </w:t>
      </w:r>
      <w:r>
        <w:rPr>
          <w:color w:val="231F20"/>
          <w:sz w:val="20"/>
        </w:rPr>
        <w:t>с</w:t>
      </w:r>
      <w:r>
        <w:rPr>
          <w:color w:val="231F20"/>
          <w:spacing w:val="-11"/>
          <w:sz w:val="20"/>
        </w:rPr>
        <w:t> </w:t>
      </w:r>
      <w:r>
        <w:rPr>
          <w:color w:val="231F20"/>
          <w:sz w:val="20"/>
        </w:rPr>
        <w:t>наиболее</w:t>
      </w:r>
      <w:r>
        <w:rPr>
          <w:color w:val="231F20"/>
          <w:spacing w:val="-11"/>
          <w:sz w:val="20"/>
        </w:rPr>
        <w:t> </w:t>
      </w:r>
      <w:r>
        <w:rPr>
          <w:color w:val="231F20"/>
          <w:sz w:val="20"/>
        </w:rPr>
        <w:t>активными</w:t>
      </w:r>
      <w:r>
        <w:rPr>
          <w:color w:val="231F20"/>
          <w:spacing w:val="-11"/>
          <w:sz w:val="20"/>
        </w:rPr>
        <w:t> </w:t>
      </w:r>
      <w:r>
        <w:rPr>
          <w:color w:val="231F20"/>
          <w:sz w:val="20"/>
        </w:rPr>
        <w:t>семьями,</w:t>
      </w:r>
      <w:r>
        <w:rPr>
          <w:color w:val="231F20"/>
          <w:spacing w:val="-11"/>
          <w:sz w:val="20"/>
        </w:rPr>
        <w:t> </w:t>
      </w:r>
      <w:r>
        <w:rPr>
          <w:color w:val="231F20"/>
          <w:sz w:val="20"/>
        </w:rPr>
        <w:t>которые в</w:t>
      </w:r>
      <w:r>
        <w:rPr>
          <w:color w:val="231F20"/>
          <w:spacing w:val="-9"/>
          <w:sz w:val="20"/>
        </w:rPr>
        <w:t> </w:t>
      </w:r>
      <w:r>
        <w:rPr>
          <w:color w:val="231F20"/>
          <w:sz w:val="20"/>
        </w:rPr>
        <w:t>дальнейшем</w:t>
      </w:r>
      <w:r>
        <w:rPr>
          <w:color w:val="231F20"/>
          <w:spacing w:val="-9"/>
          <w:sz w:val="20"/>
        </w:rPr>
        <w:t> </w:t>
      </w:r>
      <w:r>
        <w:rPr>
          <w:color w:val="231F20"/>
          <w:sz w:val="20"/>
        </w:rPr>
        <w:t>смогут</w:t>
      </w:r>
      <w:r>
        <w:rPr>
          <w:color w:val="231F20"/>
          <w:spacing w:val="-9"/>
          <w:sz w:val="20"/>
        </w:rPr>
        <w:t> </w:t>
      </w:r>
      <w:r>
        <w:rPr>
          <w:color w:val="231F20"/>
          <w:sz w:val="20"/>
        </w:rPr>
        <w:t>выполнять</w:t>
      </w:r>
      <w:r>
        <w:rPr>
          <w:color w:val="231F20"/>
          <w:spacing w:val="-9"/>
          <w:sz w:val="20"/>
        </w:rPr>
        <w:t> </w:t>
      </w:r>
      <w:r>
        <w:rPr>
          <w:color w:val="231F20"/>
          <w:sz w:val="20"/>
        </w:rPr>
        <w:t>роль</w:t>
      </w:r>
      <w:r>
        <w:rPr>
          <w:color w:val="231F20"/>
          <w:spacing w:val="-9"/>
          <w:sz w:val="20"/>
        </w:rPr>
        <w:t> </w:t>
      </w:r>
      <w:r>
        <w:rPr>
          <w:color w:val="231F20"/>
          <w:sz w:val="20"/>
        </w:rPr>
        <w:t>«культурных</w:t>
      </w:r>
      <w:r>
        <w:rPr>
          <w:color w:val="231F20"/>
          <w:spacing w:val="-9"/>
          <w:sz w:val="20"/>
        </w:rPr>
        <w:t> </w:t>
      </w:r>
      <w:r>
        <w:rPr>
          <w:color w:val="231F20"/>
          <w:sz w:val="20"/>
        </w:rPr>
        <w:t>посланников»</w:t>
      </w:r>
      <w:r>
        <w:rPr>
          <w:color w:val="231F20"/>
          <w:spacing w:val="-9"/>
          <w:sz w:val="20"/>
        </w:rPr>
        <w:t> </w:t>
      </w:r>
      <w:r>
        <w:rPr>
          <w:color w:val="231F20"/>
          <w:sz w:val="20"/>
        </w:rPr>
        <w:t>при</w:t>
      </w:r>
      <w:r>
        <w:rPr>
          <w:color w:val="231F20"/>
          <w:spacing w:val="-9"/>
          <w:sz w:val="20"/>
        </w:rPr>
        <w:t> </w:t>
      </w:r>
      <w:r>
        <w:rPr>
          <w:color w:val="231F20"/>
          <w:sz w:val="20"/>
        </w:rPr>
        <w:t>выстраива- нии доверительных отношений между школой и родительским сообществом.</w:t>
      </w:r>
    </w:p>
    <w:p>
      <w:pPr>
        <w:pStyle w:val="BodyText"/>
        <w:spacing w:line="237" w:lineRule="auto"/>
      </w:pPr>
      <w:r>
        <w:rPr>
          <w:color w:val="231F20"/>
        </w:rPr>
        <w:t>Проверка</w:t>
      </w:r>
      <w:r>
        <w:rPr>
          <w:color w:val="231F20"/>
          <w:spacing w:val="-8"/>
        </w:rPr>
        <w:t> </w:t>
      </w:r>
      <w:r>
        <w:rPr>
          <w:color w:val="231F20"/>
        </w:rPr>
        <w:t>эффективности</w:t>
      </w:r>
      <w:r>
        <w:rPr>
          <w:color w:val="231F20"/>
          <w:spacing w:val="-8"/>
        </w:rPr>
        <w:t> </w:t>
      </w:r>
      <w:r>
        <w:rPr>
          <w:color w:val="231F20"/>
        </w:rPr>
        <w:t>данной</w:t>
      </w:r>
      <w:r>
        <w:rPr>
          <w:color w:val="231F20"/>
          <w:spacing w:val="-8"/>
        </w:rPr>
        <w:t> </w:t>
      </w:r>
      <w:r>
        <w:rPr>
          <w:color w:val="231F20"/>
        </w:rPr>
        <w:t>практики</w:t>
      </w:r>
      <w:r>
        <w:rPr>
          <w:color w:val="231F20"/>
          <w:spacing w:val="-8"/>
        </w:rPr>
        <w:t> </w:t>
      </w:r>
      <w:r>
        <w:rPr>
          <w:color w:val="231F20"/>
        </w:rPr>
        <w:t>была</w:t>
      </w:r>
      <w:r>
        <w:rPr>
          <w:color w:val="231F20"/>
          <w:spacing w:val="-8"/>
        </w:rPr>
        <w:t> </w:t>
      </w:r>
      <w:r>
        <w:rPr>
          <w:color w:val="231F20"/>
        </w:rPr>
        <w:t>осуществлена</w:t>
      </w:r>
      <w:r>
        <w:rPr>
          <w:color w:val="231F20"/>
          <w:spacing w:val="-8"/>
        </w:rPr>
        <w:t> </w:t>
      </w:r>
      <w:r>
        <w:rPr>
          <w:color w:val="231F20"/>
        </w:rPr>
        <w:t>на</w:t>
      </w:r>
      <w:r>
        <w:rPr>
          <w:color w:val="231F20"/>
          <w:spacing w:val="-8"/>
        </w:rPr>
        <w:t> </w:t>
      </w:r>
      <w:r>
        <w:rPr>
          <w:color w:val="231F20"/>
        </w:rPr>
        <w:t>выборке</w:t>
      </w:r>
      <w:r>
        <w:rPr>
          <w:color w:val="231F20"/>
          <w:spacing w:val="-8"/>
        </w:rPr>
        <w:t> </w:t>
      </w:r>
      <w:r>
        <w:rPr>
          <w:color w:val="231F20"/>
        </w:rPr>
        <w:t>обуча- ющихся (Nобщ=358) в рамках реализации Государственного задания Министерства просвещения Российской Федерации № 073-00038-23-01 от 08.02.2023 г. «Оценка эффективности реализации программы психолого-педагогического сопровождения процессов</w:t>
      </w:r>
      <w:r>
        <w:rPr>
          <w:color w:val="231F20"/>
          <w:spacing w:val="-7"/>
        </w:rPr>
        <w:t> </w:t>
      </w:r>
      <w:r>
        <w:rPr>
          <w:color w:val="231F20"/>
        </w:rPr>
        <w:t>обучения,</w:t>
      </w:r>
      <w:r>
        <w:rPr>
          <w:color w:val="231F20"/>
          <w:spacing w:val="-7"/>
        </w:rPr>
        <w:t> </w:t>
      </w:r>
      <w:r>
        <w:rPr>
          <w:color w:val="231F20"/>
        </w:rPr>
        <w:t>социальной,</w:t>
      </w:r>
      <w:r>
        <w:rPr>
          <w:color w:val="231F20"/>
          <w:spacing w:val="-7"/>
        </w:rPr>
        <w:t> </w:t>
      </w:r>
      <w:r>
        <w:rPr>
          <w:color w:val="231F20"/>
        </w:rPr>
        <w:t>языковой</w:t>
      </w:r>
      <w:r>
        <w:rPr>
          <w:color w:val="231F20"/>
          <w:spacing w:val="-7"/>
        </w:rPr>
        <w:t> </w:t>
      </w:r>
      <w:r>
        <w:rPr>
          <w:color w:val="231F20"/>
        </w:rPr>
        <w:t>и</w:t>
      </w:r>
      <w:r>
        <w:rPr>
          <w:color w:val="231F20"/>
          <w:spacing w:val="-7"/>
        </w:rPr>
        <w:t> </w:t>
      </w:r>
      <w:r>
        <w:rPr>
          <w:color w:val="231F20"/>
        </w:rPr>
        <w:t>культурной</w:t>
      </w:r>
      <w:r>
        <w:rPr>
          <w:color w:val="231F20"/>
          <w:spacing w:val="-7"/>
        </w:rPr>
        <w:t> </w:t>
      </w:r>
      <w:r>
        <w:rPr>
          <w:color w:val="231F20"/>
        </w:rPr>
        <w:t>адаптации</w:t>
      </w:r>
      <w:r>
        <w:rPr>
          <w:color w:val="231F20"/>
          <w:spacing w:val="-7"/>
        </w:rPr>
        <w:t> </w:t>
      </w:r>
      <w:r>
        <w:rPr>
          <w:color w:val="231F20"/>
        </w:rPr>
        <w:t>детей</w:t>
      </w:r>
      <w:r>
        <w:rPr>
          <w:color w:val="231F20"/>
          <w:spacing w:val="-7"/>
        </w:rPr>
        <w:t> </w:t>
      </w:r>
      <w:r>
        <w:rPr>
          <w:color w:val="231F20"/>
        </w:rPr>
        <w:t>иностран- ных</w:t>
      </w:r>
      <w:r>
        <w:rPr>
          <w:color w:val="231F20"/>
          <w:spacing w:val="-10"/>
        </w:rPr>
        <w:t> </w:t>
      </w:r>
      <w:r>
        <w:rPr>
          <w:color w:val="231F20"/>
        </w:rPr>
        <w:t>граждан,</w:t>
      </w:r>
      <w:r>
        <w:rPr>
          <w:color w:val="231F20"/>
          <w:spacing w:val="-10"/>
        </w:rPr>
        <w:t> </w:t>
      </w:r>
      <w:r>
        <w:rPr>
          <w:color w:val="231F20"/>
        </w:rPr>
        <w:t>обучающихся</w:t>
      </w:r>
      <w:r>
        <w:rPr>
          <w:color w:val="231F20"/>
          <w:spacing w:val="-10"/>
        </w:rPr>
        <w:t> </w:t>
      </w:r>
      <w:r>
        <w:rPr>
          <w:color w:val="231F20"/>
        </w:rPr>
        <w:t>в</w:t>
      </w:r>
      <w:r>
        <w:rPr>
          <w:color w:val="231F20"/>
          <w:spacing w:val="-10"/>
        </w:rPr>
        <w:t> </w:t>
      </w:r>
      <w:r>
        <w:rPr>
          <w:color w:val="231F20"/>
        </w:rPr>
        <w:t>общеобразовательных</w:t>
      </w:r>
      <w:r>
        <w:rPr>
          <w:color w:val="231F20"/>
          <w:spacing w:val="-10"/>
        </w:rPr>
        <w:t> </w:t>
      </w:r>
      <w:r>
        <w:rPr>
          <w:color w:val="231F20"/>
        </w:rPr>
        <w:t>организациях</w:t>
      </w:r>
      <w:r>
        <w:rPr>
          <w:color w:val="231F20"/>
          <w:spacing w:val="-9"/>
        </w:rPr>
        <w:t> </w:t>
      </w:r>
      <w:r>
        <w:rPr>
          <w:color w:val="231F20"/>
        </w:rPr>
        <w:t>(на</w:t>
      </w:r>
      <w:r>
        <w:rPr>
          <w:color w:val="231F20"/>
          <w:spacing w:val="-10"/>
        </w:rPr>
        <w:t> </w:t>
      </w:r>
      <w:r>
        <w:rPr>
          <w:color w:val="231F20"/>
        </w:rPr>
        <w:t>основе</w:t>
      </w:r>
      <w:r>
        <w:rPr>
          <w:color w:val="231F20"/>
          <w:spacing w:val="-10"/>
        </w:rPr>
        <w:t> </w:t>
      </w:r>
      <w:r>
        <w:rPr>
          <w:color w:val="231F20"/>
        </w:rPr>
        <w:t>доказа- тельного</w:t>
      </w:r>
      <w:r>
        <w:rPr>
          <w:color w:val="231F20"/>
          <w:spacing w:val="-1"/>
        </w:rPr>
        <w:t> </w:t>
      </w:r>
      <w:r>
        <w:rPr>
          <w:color w:val="231F20"/>
        </w:rPr>
        <w:t>подхода</w:t>
      </w:r>
      <w:r>
        <w:rPr>
          <w:color w:val="231F20"/>
          <w:spacing w:val="-1"/>
        </w:rPr>
        <w:t> </w:t>
      </w:r>
      <w:r>
        <w:rPr>
          <w:color w:val="231F20"/>
        </w:rPr>
        <w:t>к</w:t>
      </w:r>
      <w:r>
        <w:rPr>
          <w:color w:val="231F20"/>
          <w:spacing w:val="-1"/>
        </w:rPr>
        <w:t> </w:t>
      </w:r>
      <w:r>
        <w:rPr>
          <w:color w:val="231F20"/>
        </w:rPr>
        <w:t>социальным</w:t>
      </w:r>
      <w:r>
        <w:rPr>
          <w:color w:val="231F20"/>
          <w:spacing w:val="-1"/>
        </w:rPr>
        <w:t> </w:t>
      </w:r>
      <w:r>
        <w:rPr>
          <w:color w:val="231F20"/>
        </w:rPr>
        <w:t>практикам</w:t>
      </w:r>
      <w:r>
        <w:rPr>
          <w:color w:val="231F20"/>
          <w:spacing w:val="-1"/>
        </w:rPr>
        <w:t> </w:t>
      </w:r>
      <w:r>
        <w:rPr>
          <w:color w:val="231F20"/>
        </w:rPr>
        <w:t>в</w:t>
      </w:r>
      <w:r>
        <w:rPr>
          <w:color w:val="231F20"/>
          <w:spacing w:val="-1"/>
        </w:rPr>
        <w:t> </w:t>
      </w:r>
      <w:r>
        <w:rPr>
          <w:color w:val="231F20"/>
        </w:rPr>
        <w:t>сфере</w:t>
      </w:r>
      <w:r>
        <w:rPr>
          <w:color w:val="231F20"/>
          <w:spacing w:val="-1"/>
        </w:rPr>
        <w:t> </w:t>
      </w:r>
      <w:r>
        <w:rPr>
          <w:color w:val="231F20"/>
        </w:rPr>
        <w:t>детства</w:t>
      </w:r>
      <w:r>
        <w:rPr>
          <w:color w:val="231F20"/>
          <w:spacing w:val="-1"/>
        </w:rPr>
        <w:t> </w:t>
      </w:r>
      <w:r>
        <w:rPr>
          <w:color w:val="231F20"/>
        </w:rPr>
        <w:t>и</w:t>
      </w:r>
      <w:r>
        <w:rPr>
          <w:color w:val="231F20"/>
          <w:spacing w:val="-1"/>
        </w:rPr>
        <w:t> </w:t>
      </w:r>
      <w:r>
        <w:rPr>
          <w:color w:val="231F20"/>
        </w:rPr>
        <w:t>дифференцированного подхода</w:t>
      </w:r>
      <w:r>
        <w:rPr>
          <w:color w:val="231F20"/>
          <w:spacing w:val="-9"/>
        </w:rPr>
        <w:t> </w:t>
      </w:r>
      <w:r>
        <w:rPr>
          <w:color w:val="231F20"/>
        </w:rPr>
        <w:t>к</w:t>
      </w:r>
      <w:r>
        <w:rPr>
          <w:color w:val="231F20"/>
          <w:spacing w:val="-9"/>
        </w:rPr>
        <w:t> </w:t>
      </w:r>
      <w:r>
        <w:rPr>
          <w:color w:val="231F20"/>
        </w:rPr>
        <w:t>обучению</w:t>
      </w:r>
      <w:r>
        <w:rPr>
          <w:color w:val="231F20"/>
          <w:spacing w:val="-9"/>
        </w:rPr>
        <w:t> </w:t>
      </w:r>
      <w:r>
        <w:rPr>
          <w:color w:val="231F20"/>
        </w:rPr>
        <w:t>детей</w:t>
      </w:r>
      <w:r>
        <w:rPr>
          <w:color w:val="231F20"/>
          <w:spacing w:val="-10"/>
        </w:rPr>
        <w:t> </w:t>
      </w:r>
      <w:r>
        <w:rPr>
          <w:color w:val="231F20"/>
        </w:rPr>
        <w:t>иностранных</w:t>
      </w:r>
      <w:r>
        <w:rPr>
          <w:color w:val="231F20"/>
          <w:spacing w:val="-9"/>
        </w:rPr>
        <w:t> </w:t>
      </w:r>
      <w:r>
        <w:rPr>
          <w:color w:val="231F20"/>
        </w:rPr>
        <w:t>граждан)</w:t>
      </w:r>
      <w:r>
        <w:rPr>
          <w:color w:val="231F20"/>
          <w:spacing w:val="-10"/>
        </w:rPr>
        <w:t> </w:t>
      </w:r>
      <w:r>
        <w:rPr>
          <w:color w:val="231F20"/>
        </w:rPr>
        <w:t>и</w:t>
      </w:r>
      <w:r>
        <w:rPr>
          <w:color w:val="231F20"/>
          <w:spacing w:val="-9"/>
        </w:rPr>
        <w:t> </w:t>
      </w:r>
      <w:r>
        <w:rPr>
          <w:color w:val="231F20"/>
        </w:rPr>
        <w:t>опиралась</w:t>
      </w:r>
      <w:r>
        <w:rPr>
          <w:color w:val="231F20"/>
          <w:spacing w:val="-10"/>
        </w:rPr>
        <w:t> </w:t>
      </w:r>
      <w:r>
        <w:rPr>
          <w:color w:val="231F20"/>
        </w:rPr>
        <w:t>на</w:t>
      </w:r>
      <w:r>
        <w:rPr>
          <w:color w:val="231F20"/>
          <w:spacing w:val="-9"/>
        </w:rPr>
        <w:t> </w:t>
      </w:r>
      <w:r>
        <w:rPr>
          <w:color w:val="231F20"/>
        </w:rPr>
        <w:t>схему</w:t>
      </w:r>
      <w:r>
        <w:rPr>
          <w:color w:val="231F20"/>
          <w:spacing w:val="-10"/>
        </w:rPr>
        <w:t> </w:t>
      </w:r>
      <w:r>
        <w:rPr>
          <w:color w:val="231F20"/>
        </w:rPr>
        <w:t>Киркпатрика (Kirkpatrick, 1959):</w:t>
      </w:r>
    </w:p>
    <w:p>
      <w:pPr>
        <w:pStyle w:val="ListParagraph"/>
        <w:numPr>
          <w:ilvl w:val="0"/>
          <w:numId w:val="134"/>
        </w:numPr>
        <w:tabs>
          <w:tab w:pos="425" w:val="left" w:leader="none"/>
        </w:tabs>
        <w:spacing w:line="235" w:lineRule="auto" w:before="0" w:after="0"/>
        <w:ind w:left="425" w:right="139" w:hanging="284"/>
        <w:jc w:val="both"/>
        <w:rPr>
          <w:sz w:val="20"/>
        </w:rPr>
      </w:pPr>
      <w:r>
        <w:rPr>
          <w:color w:val="231F20"/>
          <w:sz w:val="20"/>
        </w:rPr>
        <w:t>Уровень</w:t>
      </w:r>
      <w:r>
        <w:rPr>
          <w:color w:val="231F20"/>
          <w:spacing w:val="-3"/>
          <w:sz w:val="20"/>
        </w:rPr>
        <w:t> </w:t>
      </w:r>
      <w:r>
        <w:rPr>
          <w:color w:val="231F20"/>
          <w:sz w:val="20"/>
        </w:rPr>
        <w:t>реакции</w:t>
      </w:r>
      <w:r>
        <w:rPr>
          <w:color w:val="231F20"/>
          <w:spacing w:val="-3"/>
          <w:sz w:val="20"/>
        </w:rPr>
        <w:t> </w:t>
      </w:r>
      <w:r>
        <w:rPr>
          <w:color w:val="231F20"/>
          <w:sz w:val="20"/>
        </w:rPr>
        <w:t>участников:</w:t>
      </w:r>
      <w:r>
        <w:rPr>
          <w:color w:val="231F20"/>
          <w:spacing w:val="-3"/>
          <w:sz w:val="20"/>
        </w:rPr>
        <w:t> </w:t>
      </w:r>
      <w:r>
        <w:rPr>
          <w:color w:val="231F20"/>
          <w:sz w:val="20"/>
        </w:rPr>
        <w:t>был</w:t>
      </w:r>
      <w:r>
        <w:rPr>
          <w:color w:val="231F20"/>
          <w:spacing w:val="-3"/>
          <w:sz w:val="20"/>
        </w:rPr>
        <w:t> </w:t>
      </w:r>
      <w:r>
        <w:rPr>
          <w:color w:val="231F20"/>
          <w:sz w:val="20"/>
        </w:rPr>
        <w:t>выявлен</w:t>
      </w:r>
      <w:r>
        <w:rPr>
          <w:color w:val="231F20"/>
          <w:spacing w:val="-3"/>
          <w:sz w:val="20"/>
        </w:rPr>
        <w:t> </w:t>
      </w:r>
      <w:r>
        <w:rPr>
          <w:color w:val="231F20"/>
          <w:sz w:val="20"/>
        </w:rPr>
        <w:t>достоверно</w:t>
      </w:r>
      <w:r>
        <w:rPr>
          <w:color w:val="231F20"/>
          <w:spacing w:val="-3"/>
          <w:sz w:val="20"/>
        </w:rPr>
        <w:t> </w:t>
      </w:r>
      <w:r>
        <w:rPr>
          <w:color w:val="231F20"/>
          <w:sz w:val="20"/>
        </w:rPr>
        <w:t>высокий</w:t>
      </w:r>
      <w:r>
        <w:rPr>
          <w:color w:val="231F20"/>
          <w:spacing w:val="-3"/>
          <w:sz w:val="20"/>
        </w:rPr>
        <w:t> </w:t>
      </w:r>
      <w:r>
        <w:rPr>
          <w:color w:val="231F20"/>
          <w:sz w:val="20"/>
        </w:rPr>
        <w:t>уровень</w:t>
      </w:r>
      <w:r>
        <w:rPr>
          <w:color w:val="231F20"/>
          <w:spacing w:val="-3"/>
          <w:sz w:val="20"/>
        </w:rPr>
        <w:t> </w:t>
      </w:r>
      <w:r>
        <w:rPr>
          <w:color w:val="231F20"/>
          <w:sz w:val="20"/>
        </w:rPr>
        <w:t>реакции участников в ответ на пройденную практику (m=4,7; p&lt;0,05) (фестиваль назвали полезным, познавательным, увлекательным и интересным мероприятием. Кроме того, участие в фестивале заставило задуматься).</w:t>
      </w:r>
    </w:p>
    <w:p>
      <w:pPr>
        <w:pStyle w:val="ListParagraph"/>
        <w:spacing w:after="0" w:line="235" w:lineRule="auto"/>
        <w:jc w:val="both"/>
        <w:rPr>
          <w:sz w:val="20"/>
        </w:rPr>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ListParagraph"/>
        <w:numPr>
          <w:ilvl w:val="0"/>
          <w:numId w:val="134"/>
        </w:numPr>
        <w:tabs>
          <w:tab w:pos="425" w:val="left" w:leader="none"/>
        </w:tabs>
        <w:spacing w:line="235" w:lineRule="auto" w:before="116" w:after="0"/>
        <w:ind w:left="425" w:right="139" w:hanging="284"/>
        <w:jc w:val="both"/>
        <w:rPr>
          <w:sz w:val="20"/>
        </w:rPr>
      </w:pPr>
      <w:r>
        <w:rPr>
          <w:color w:val="231F20"/>
          <w:sz w:val="20"/>
        </w:rPr>
        <w:t>Уровень приобретения знаний и умений: в результате прохождения практики у несовершеннолетних</w:t>
      </w:r>
      <w:r>
        <w:rPr>
          <w:color w:val="231F20"/>
          <w:spacing w:val="-3"/>
          <w:sz w:val="20"/>
        </w:rPr>
        <w:t> </w:t>
      </w:r>
      <w:r>
        <w:rPr>
          <w:color w:val="231F20"/>
          <w:sz w:val="20"/>
        </w:rPr>
        <w:t>иностранных</w:t>
      </w:r>
      <w:r>
        <w:rPr>
          <w:color w:val="231F20"/>
          <w:spacing w:val="-4"/>
          <w:sz w:val="20"/>
        </w:rPr>
        <w:t> </w:t>
      </w:r>
      <w:r>
        <w:rPr>
          <w:color w:val="231F20"/>
          <w:sz w:val="20"/>
        </w:rPr>
        <w:t>граждан</w:t>
      </w:r>
      <w:r>
        <w:rPr>
          <w:color w:val="231F20"/>
          <w:spacing w:val="-4"/>
          <w:sz w:val="20"/>
        </w:rPr>
        <w:t> </w:t>
      </w:r>
      <w:r>
        <w:rPr>
          <w:color w:val="231F20"/>
          <w:sz w:val="20"/>
        </w:rPr>
        <w:t>было</w:t>
      </w:r>
      <w:r>
        <w:rPr>
          <w:color w:val="231F20"/>
          <w:spacing w:val="-4"/>
          <w:sz w:val="20"/>
        </w:rPr>
        <w:t> </w:t>
      </w:r>
      <w:r>
        <w:rPr>
          <w:color w:val="231F20"/>
          <w:sz w:val="20"/>
        </w:rPr>
        <w:t>отмечено</w:t>
      </w:r>
      <w:r>
        <w:rPr>
          <w:color w:val="231F20"/>
          <w:spacing w:val="-4"/>
          <w:sz w:val="20"/>
        </w:rPr>
        <w:t> </w:t>
      </w:r>
      <w:r>
        <w:rPr>
          <w:color w:val="231F20"/>
          <w:sz w:val="20"/>
        </w:rPr>
        <w:t>значимое</w:t>
      </w:r>
      <w:r>
        <w:rPr>
          <w:color w:val="231F20"/>
          <w:spacing w:val="-4"/>
          <w:sz w:val="20"/>
        </w:rPr>
        <w:t> </w:t>
      </w:r>
      <w:r>
        <w:rPr>
          <w:color w:val="231F20"/>
          <w:sz w:val="20"/>
        </w:rPr>
        <w:t>повышения уровня психологического благополучия (Рисуночная диагностика психологиче- ского благополучия: от 3,44 к 3,60 p&lt;0,01; Шкала психологического благополу- чия Уорик-Эдинург от 52,20 до 56,21 p&lt;0,05; Шкала удовлетворённости жизнью школьника от 117,08 до 125,05 p&lt;0,01) и культурной адаптации (Детский опрос- ник аккультурационного стресса от 21,00 к 15,26 p&lt;0,05).</w:t>
      </w:r>
    </w:p>
    <w:p>
      <w:pPr>
        <w:pStyle w:val="ListParagraph"/>
        <w:spacing w:after="0" w:line="235" w:lineRule="auto"/>
        <w:jc w:val="both"/>
        <w:rPr>
          <w:sz w:val="20"/>
        </w:rPr>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5"/>
          <w:sz w:val="18"/>
        </w:rPr>
        <w:t> </w:t>
      </w:r>
      <w:r>
        <w:rPr>
          <w:rFonts w:ascii="Georgia" w:hAnsi="Georgia"/>
          <w:color w:val="231F20"/>
          <w:sz w:val="18"/>
        </w:rPr>
        <w:t>Методы</w:t>
      </w:r>
      <w:r>
        <w:rPr>
          <w:rFonts w:ascii="Georgia" w:hAnsi="Georgia"/>
          <w:color w:val="231F20"/>
          <w:spacing w:val="-5"/>
          <w:sz w:val="18"/>
        </w:rPr>
        <w:t> </w:t>
      </w:r>
      <w:r>
        <w:rPr>
          <w:rFonts w:ascii="Georgia" w:hAnsi="Georgia"/>
          <w:color w:val="231F20"/>
          <w:sz w:val="18"/>
        </w:rPr>
        <w:t>воспитательной</w:t>
      </w:r>
      <w:r>
        <w:rPr>
          <w:rFonts w:ascii="Georgia" w:hAnsi="Georgia"/>
          <w:color w:val="231F20"/>
          <w:spacing w:val="-4"/>
          <w:sz w:val="18"/>
        </w:rPr>
        <w:t> </w:t>
      </w:r>
      <w:r>
        <w:rPr>
          <w:rFonts w:ascii="Georgia" w:hAnsi="Georgia"/>
          <w:color w:val="231F20"/>
          <w:sz w:val="18"/>
        </w:rPr>
        <w:t>раюоты</w:t>
      </w:r>
      <w:r>
        <w:rPr>
          <w:rFonts w:ascii="Georgia" w:hAnsi="Georgia"/>
          <w:color w:val="231F20"/>
          <w:spacing w:val="-5"/>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w:t>
      </w:r>
      <w:r>
        <w:rPr>
          <w:rFonts w:ascii="Georgia" w:hAnsi="Georgia"/>
          <w:color w:val="231F20"/>
          <w:spacing w:val="-4"/>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numPr>
          <w:ilvl w:val="2"/>
          <w:numId w:val="101"/>
        </w:numPr>
        <w:tabs>
          <w:tab w:pos="2082" w:val="left" w:leader="none"/>
          <w:tab w:pos="2165" w:val="left" w:leader="none"/>
        </w:tabs>
        <w:spacing w:line="235" w:lineRule="auto" w:before="113"/>
        <w:ind w:left="2165" w:right="1580" w:hanging="583"/>
        <w:jc w:val="both"/>
        <w:rPr>
          <w:b/>
          <w:sz w:val="20"/>
        </w:rPr>
      </w:pPr>
      <w:r>
        <w:rPr>
          <w:b/>
          <w:color w:val="231F20"/>
          <w:sz w:val="20"/>
        </w:rPr>
        <w:t>Театральная</w:t>
      </w:r>
      <w:r>
        <w:rPr>
          <w:b/>
          <w:color w:val="231F20"/>
          <w:spacing w:val="-13"/>
          <w:sz w:val="20"/>
        </w:rPr>
        <w:t> </w:t>
      </w:r>
      <w:r>
        <w:rPr>
          <w:b/>
          <w:color w:val="231F20"/>
          <w:sz w:val="20"/>
        </w:rPr>
        <w:t>деятельность</w:t>
      </w:r>
      <w:r>
        <w:rPr>
          <w:b/>
          <w:color w:val="231F20"/>
          <w:spacing w:val="-12"/>
          <w:sz w:val="20"/>
        </w:rPr>
        <w:t> </w:t>
      </w:r>
      <w:r>
        <w:rPr>
          <w:b/>
          <w:color w:val="231F20"/>
          <w:sz w:val="20"/>
        </w:rPr>
        <w:t>как</w:t>
      </w:r>
      <w:r>
        <w:rPr>
          <w:b/>
          <w:color w:val="231F20"/>
          <w:spacing w:val="-13"/>
          <w:sz w:val="20"/>
        </w:rPr>
        <w:t> </w:t>
      </w:r>
      <w:r>
        <w:rPr>
          <w:b/>
          <w:color w:val="231F20"/>
          <w:sz w:val="20"/>
        </w:rPr>
        <w:t>технология работы с подростками-мигрантами</w:t>
      </w:r>
    </w:p>
    <w:p>
      <w:pPr>
        <w:spacing w:before="110"/>
        <w:ind w:left="425" w:right="0" w:firstLine="4300"/>
        <w:jc w:val="both"/>
        <w:rPr>
          <w:i/>
          <w:sz w:val="20"/>
        </w:rPr>
      </w:pPr>
      <w:r>
        <w:rPr>
          <w:i/>
          <w:color w:val="231F20"/>
          <w:sz w:val="20"/>
        </w:rPr>
        <w:t>О.В.</w:t>
      </w:r>
      <w:r>
        <w:rPr>
          <w:i/>
          <w:color w:val="231F20"/>
          <w:spacing w:val="-7"/>
          <w:sz w:val="20"/>
        </w:rPr>
        <w:t> </w:t>
      </w:r>
      <w:r>
        <w:rPr>
          <w:i/>
          <w:color w:val="231F20"/>
          <w:sz w:val="20"/>
        </w:rPr>
        <w:t>Рубцова,</w:t>
      </w:r>
      <w:r>
        <w:rPr>
          <w:i/>
          <w:color w:val="231F20"/>
          <w:spacing w:val="-5"/>
          <w:sz w:val="20"/>
        </w:rPr>
        <w:t> </w:t>
      </w:r>
      <w:r>
        <w:rPr>
          <w:i/>
          <w:color w:val="231F20"/>
          <w:sz w:val="20"/>
        </w:rPr>
        <w:t>Т.А.</w:t>
      </w:r>
      <w:r>
        <w:rPr>
          <w:i/>
          <w:color w:val="231F20"/>
          <w:spacing w:val="-4"/>
          <w:sz w:val="20"/>
        </w:rPr>
        <w:t> </w:t>
      </w:r>
      <w:r>
        <w:rPr>
          <w:i/>
          <w:color w:val="231F20"/>
          <w:spacing w:val="-2"/>
          <w:sz w:val="20"/>
        </w:rPr>
        <w:t>Поскакалова</w:t>
      </w:r>
    </w:p>
    <w:p>
      <w:pPr>
        <w:spacing w:line="225" w:lineRule="auto" w:before="115"/>
        <w:ind w:left="141" w:right="138" w:firstLine="283"/>
        <w:jc w:val="both"/>
        <w:rPr>
          <w:sz w:val="20"/>
        </w:rPr>
      </w:pPr>
      <w:r>
        <w:rPr>
          <w:color w:val="231F20"/>
          <w:sz w:val="20"/>
        </w:rPr>
        <w:t>Сегодня для решения широкого круга задач, связанных с развитием, обучением, социализацией</w:t>
      </w:r>
      <w:r>
        <w:rPr>
          <w:color w:val="231F20"/>
          <w:spacing w:val="40"/>
          <w:sz w:val="20"/>
        </w:rPr>
        <w:t> </w:t>
      </w:r>
      <w:r>
        <w:rPr>
          <w:color w:val="231F20"/>
          <w:sz w:val="20"/>
        </w:rPr>
        <w:t>и</w:t>
      </w:r>
      <w:r>
        <w:rPr>
          <w:color w:val="231F20"/>
          <w:spacing w:val="40"/>
          <w:sz w:val="20"/>
        </w:rPr>
        <w:t> </w:t>
      </w:r>
      <w:r>
        <w:rPr>
          <w:color w:val="231F20"/>
          <w:sz w:val="20"/>
        </w:rPr>
        <w:t>реабилитацией</w:t>
      </w:r>
      <w:r>
        <w:rPr>
          <w:color w:val="231F20"/>
          <w:spacing w:val="40"/>
          <w:sz w:val="20"/>
        </w:rPr>
        <w:t> </w:t>
      </w:r>
      <w:r>
        <w:rPr>
          <w:color w:val="231F20"/>
          <w:sz w:val="20"/>
        </w:rPr>
        <w:t>различных</w:t>
      </w:r>
      <w:r>
        <w:rPr>
          <w:color w:val="231F20"/>
          <w:spacing w:val="40"/>
          <w:sz w:val="20"/>
        </w:rPr>
        <w:t> </w:t>
      </w:r>
      <w:r>
        <w:rPr>
          <w:color w:val="231F20"/>
          <w:sz w:val="20"/>
        </w:rPr>
        <w:t>категорий</w:t>
      </w:r>
      <w:r>
        <w:rPr>
          <w:color w:val="231F20"/>
          <w:spacing w:val="40"/>
          <w:sz w:val="20"/>
        </w:rPr>
        <w:t> </w:t>
      </w:r>
      <w:r>
        <w:rPr>
          <w:color w:val="231F20"/>
          <w:sz w:val="20"/>
        </w:rPr>
        <w:t>детей</w:t>
      </w:r>
      <w:r>
        <w:rPr>
          <w:color w:val="231F20"/>
          <w:spacing w:val="40"/>
          <w:sz w:val="20"/>
        </w:rPr>
        <w:t> </w:t>
      </w:r>
      <w:r>
        <w:rPr>
          <w:color w:val="231F20"/>
          <w:sz w:val="20"/>
        </w:rPr>
        <w:t>и</w:t>
      </w:r>
      <w:r>
        <w:rPr>
          <w:color w:val="231F20"/>
          <w:spacing w:val="40"/>
          <w:sz w:val="20"/>
        </w:rPr>
        <w:t> </w:t>
      </w:r>
      <w:r>
        <w:rPr>
          <w:color w:val="231F20"/>
          <w:sz w:val="20"/>
        </w:rPr>
        <w:t>подростков,</w:t>
      </w:r>
      <w:r>
        <w:rPr>
          <w:color w:val="231F20"/>
          <w:spacing w:val="40"/>
          <w:sz w:val="20"/>
        </w:rPr>
        <w:t> </w:t>
      </w:r>
      <w:r>
        <w:rPr>
          <w:color w:val="231F20"/>
          <w:sz w:val="20"/>
        </w:rPr>
        <w:t>во всем</w:t>
      </w:r>
      <w:r>
        <w:rPr>
          <w:color w:val="231F20"/>
          <w:spacing w:val="40"/>
          <w:sz w:val="20"/>
        </w:rPr>
        <w:t> </w:t>
      </w:r>
      <w:r>
        <w:rPr>
          <w:color w:val="231F20"/>
          <w:sz w:val="20"/>
        </w:rPr>
        <w:t>мире</w:t>
      </w:r>
      <w:r>
        <w:rPr>
          <w:color w:val="231F20"/>
          <w:spacing w:val="40"/>
          <w:sz w:val="20"/>
        </w:rPr>
        <w:t> </w:t>
      </w:r>
      <w:r>
        <w:rPr>
          <w:color w:val="231F20"/>
          <w:sz w:val="20"/>
        </w:rPr>
        <w:t>успешно</w:t>
      </w:r>
      <w:r>
        <w:rPr>
          <w:color w:val="231F20"/>
          <w:spacing w:val="40"/>
          <w:sz w:val="20"/>
        </w:rPr>
        <w:t> </w:t>
      </w:r>
      <w:r>
        <w:rPr>
          <w:color w:val="231F20"/>
          <w:sz w:val="20"/>
        </w:rPr>
        <w:t>применяется</w:t>
      </w:r>
      <w:r>
        <w:rPr>
          <w:color w:val="231F20"/>
          <w:spacing w:val="40"/>
          <w:sz w:val="20"/>
        </w:rPr>
        <w:t> </w:t>
      </w:r>
      <w:r>
        <w:rPr>
          <w:color w:val="231F20"/>
          <w:sz w:val="20"/>
        </w:rPr>
        <w:t>театральная</w:t>
      </w:r>
      <w:r>
        <w:rPr>
          <w:color w:val="231F20"/>
          <w:spacing w:val="40"/>
          <w:sz w:val="20"/>
        </w:rPr>
        <w:t> </w:t>
      </w:r>
      <w:r>
        <w:rPr>
          <w:color w:val="231F20"/>
          <w:sz w:val="20"/>
        </w:rPr>
        <w:t>деятельность.</w:t>
      </w:r>
      <w:r>
        <w:rPr>
          <w:color w:val="231F20"/>
          <w:spacing w:val="40"/>
          <w:sz w:val="20"/>
        </w:rPr>
        <w:t> </w:t>
      </w:r>
      <w:r>
        <w:rPr>
          <w:color w:val="231F20"/>
          <w:sz w:val="20"/>
        </w:rPr>
        <w:t>В</w:t>
      </w:r>
      <w:r>
        <w:rPr>
          <w:color w:val="231F20"/>
          <w:spacing w:val="40"/>
          <w:sz w:val="20"/>
        </w:rPr>
        <w:t> </w:t>
      </w:r>
      <w:r>
        <w:rPr>
          <w:color w:val="231F20"/>
          <w:sz w:val="20"/>
        </w:rPr>
        <w:t>широком</w:t>
      </w:r>
      <w:r>
        <w:rPr>
          <w:color w:val="231F20"/>
          <w:spacing w:val="40"/>
          <w:sz w:val="20"/>
        </w:rPr>
        <w:t> </w:t>
      </w:r>
      <w:r>
        <w:rPr>
          <w:color w:val="231F20"/>
          <w:sz w:val="20"/>
        </w:rPr>
        <w:t>смысле под театральной деятельностью в педагогике </w:t>
      </w:r>
      <w:r>
        <w:rPr>
          <w:color w:val="2B2E30"/>
          <w:sz w:val="20"/>
        </w:rPr>
        <w:t>понимается </w:t>
      </w:r>
      <w:r>
        <w:rPr>
          <w:color w:val="231F20"/>
          <w:sz w:val="20"/>
        </w:rPr>
        <w:t>нелинейное обучение, </w:t>
      </w:r>
      <w:r>
        <w:rPr>
          <w:i/>
          <w:color w:val="231F20"/>
          <w:sz w:val="20"/>
        </w:rPr>
        <w:t>которое за счет обращения к разнесенным во времени этапам работы и личного опыта,</w:t>
      </w:r>
      <w:r>
        <w:rPr>
          <w:i/>
          <w:color w:val="231F20"/>
          <w:spacing w:val="-13"/>
          <w:sz w:val="20"/>
        </w:rPr>
        <w:t> </w:t>
      </w:r>
      <w:r>
        <w:rPr>
          <w:i/>
          <w:color w:val="231F20"/>
          <w:sz w:val="20"/>
        </w:rPr>
        <w:t>учета</w:t>
      </w:r>
      <w:r>
        <w:rPr>
          <w:i/>
          <w:color w:val="231F20"/>
          <w:spacing w:val="-12"/>
          <w:sz w:val="20"/>
        </w:rPr>
        <w:t> </w:t>
      </w:r>
      <w:r>
        <w:rPr>
          <w:i/>
          <w:color w:val="231F20"/>
          <w:sz w:val="20"/>
        </w:rPr>
        <w:t>множества</w:t>
      </w:r>
      <w:r>
        <w:rPr>
          <w:i/>
          <w:color w:val="231F20"/>
          <w:spacing w:val="-13"/>
          <w:sz w:val="20"/>
        </w:rPr>
        <w:t> </w:t>
      </w:r>
      <w:r>
        <w:rPr>
          <w:i/>
          <w:color w:val="231F20"/>
          <w:sz w:val="20"/>
        </w:rPr>
        <w:t>точек</w:t>
      </w:r>
      <w:r>
        <w:rPr>
          <w:i/>
          <w:color w:val="231F20"/>
          <w:spacing w:val="-12"/>
          <w:sz w:val="20"/>
        </w:rPr>
        <w:t> </w:t>
      </w:r>
      <w:r>
        <w:rPr>
          <w:i/>
          <w:color w:val="231F20"/>
          <w:sz w:val="20"/>
        </w:rPr>
        <w:t>зрения,</w:t>
      </w:r>
      <w:r>
        <w:rPr>
          <w:i/>
          <w:color w:val="231F20"/>
          <w:spacing w:val="-13"/>
          <w:sz w:val="20"/>
        </w:rPr>
        <w:t> </w:t>
      </w:r>
      <w:r>
        <w:rPr>
          <w:i/>
          <w:color w:val="231F20"/>
          <w:sz w:val="20"/>
        </w:rPr>
        <w:t>а</w:t>
      </w:r>
      <w:r>
        <w:rPr>
          <w:i/>
          <w:color w:val="231F20"/>
          <w:spacing w:val="-12"/>
          <w:sz w:val="20"/>
        </w:rPr>
        <w:t> </w:t>
      </w:r>
      <w:r>
        <w:rPr>
          <w:i/>
          <w:color w:val="231F20"/>
          <w:sz w:val="20"/>
        </w:rPr>
        <w:t>также</w:t>
      </w:r>
      <w:r>
        <w:rPr>
          <w:i/>
          <w:color w:val="231F20"/>
          <w:spacing w:val="-13"/>
          <w:sz w:val="20"/>
        </w:rPr>
        <w:t> </w:t>
      </w:r>
      <w:r>
        <w:rPr>
          <w:i/>
          <w:color w:val="231F20"/>
          <w:sz w:val="20"/>
        </w:rPr>
        <w:t>мультимодальности</w:t>
      </w:r>
      <w:r>
        <w:rPr>
          <w:i/>
          <w:color w:val="231F20"/>
          <w:spacing w:val="-12"/>
          <w:sz w:val="20"/>
        </w:rPr>
        <w:t> </w:t>
      </w:r>
      <w:r>
        <w:rPr>
          <w:i/>
          <w:color w:val="231F20"/>
          <w:sz w:val="20"/>
        </w:rPr>
        <w:t>и</w:t>
      </w:r>
      <w:r>
        <w:rPr>
          <w:i/>
          <w:color w:val="231F20"/>
          <w:spacing w:val="-13"/>
          <w:sz w:val="20"/>
        </w:rPr>
        <w:t> </w:t>
      </w:r>
      <w:r>
        <w:rPr>
          <w:i/>
          <w:color w:val="231F20"/>
          <w:sz w:val="20"/>
        </w:rPr>
        <w:t>интеграции разнообразных видов деятельности, позволяет выстроить горизонтальные отношения с педагогом, одноклассниками и иными участниками образовательного процесса,</w:t>
      </w:r>
      <w:r>
        <w:rPr>
          <w:i/>
          <w:color w:val="231F20"/>
          <w:spacing w:val="-12"/>
          <w:sz w:val="20"/>
        </w:rPr>
        <w:t> </w:t>
      </w:r>
      <w:r>
        <w:rPr>
          <w:i/>
          <w:color w:val="231F20"/>
          <w:sz w:val="20"/>
        </w:rPr>
        <w:t>а</w:t>
      </w:r>
      <w:r>
        <w:rPr>
          <w:i/>
          <w:color w:val="231F20"/>
          <w:spacing w:val="-12"/>
          <w:sz w:val="20"/>
        </w:rPr>
        <w:t> </w:t>
      </w:r>
      <w:r>
        <w:rPr>
          <w:i/>
          <w:color w:val="231F20"/>
          <w:sz w:val="20"/>
        </w:rPr>
        <w:t>также</w:t>
      </w:r>
      <w:r>
        <w:rPr>
          <w:i/>
          <w:color w:val="231F20"/>
          <w:spacing w:val="-12"/>
          <w:sz w:val="20"/>
        </w:rPr>
        <w:t> </w:t>
      </w:r>
      <w:r>
        <w:rPr>
          <w:i/>
          <w:color w:val="231F20"/>
          <w:sz w:val="20"/>
        </w:rPr>
        <w:t>вникнуть</w:t>
      </w:r>
      <w:r>
        <w:rPr>
          <w:i/>
          <w:color w:val="231F20"/>
          <w:spacing w:val="-12"/>
          <w:sz w:val="20"/>
        </w:rPr>
        <w:t> </w:t>
      </w:r>
      <w:r>
        <w:rPr>
          <w:i/>
          <w:color w:val="231F20"/>
          <w:sz w:val="20"/>
        </w:rPr>
        <w:t>в</w:t>
      </w:r>
      <w:r>
        <w:rPr>
          <w:i/>
          <w:color w:val="231F20"/>
          <w:spacing w:val="-12"/>
          <w:sz w:val="20"/>
        </w:rPr>
        <w:t> </w:t>
      </w:r>
      <w:r>
        <w:rPr>
          <w:i/>
          <w:color w:val="231F20"/>
          <w:sz w:val="20"/>
        </w:rPr>
        <w:t>суть</w:t>
      </w:r>
      <w:r>
        <w:rPr>
          <w:i/>
          <w:color w:val="231F20"/>
          <w:spacing w:val="-12"/>
          <w:sz w:val="20"/>
        </w:rPr>
        <w:t> </w:t>
      </w:r>
      <w:r>
        <w:rPr>
          <w:i/>
          <w:color w:val="231F20"/>
          <w:sz w:val="20"/>
        </w:rPr>
        <w:t>изучаемой</w:t>
      </w:r>
      <w:r>
        <w:rPr>
          <w:i/>
          <w:color w:val="231F20"/>
          <w:spacing w:val="-12"/>
          <w:sz w:val="20"/>
        </w:rPr>
        <w:t> </w:t>
      </w:r>
      <w:r>
        <w:rPr>
          <w:i/>
          <w:color w:val="231F20"/>
          <w:sz w:val="20"/>
        </w:rPr>
        <w:t>проблемы,</w:t>
      </w:r>
      <w:r>
        <w:rPr>
          <w:i/>
          <w:color w:val="231F20"/>
          <w:spacing w:val="-12"/>
          <w:sz w:val="20"/>
        </w:rPr>
        <w:t> </w:t>
      </w:r>
      <w:r>
        <w:rPr>
          <w:i/>
          <w:color w:val="231F20"/>
          <w:sz w:val="20"/>
        </w:rPr>
        <w:t>приобрести</w:t>
      </w:r>
      <w:r>
        <w:rPr>
          <w:i/>
          <w:color w:val="231F20"/>
          <w:spacing w:val="-12"/>
          <w:sz w:val="20"/>
        </w:rPr>
        <w:t> </w:t>
      </w:r>
      <w:r>
        <w:rPr>
          <w:i/>
          <w:color w:val="231F20"/>
          <w:sz w:val="20"/>
        </w:rPr>
        <w:t>целую</w:t>
      </w:r>
      <w:r>
        <w:rPr>
          <w:i/>
          <w:color w:val="231F20"/>
          <w:spacing w:val="-12"/>
          <w:sz w:val="20"/>
        </w:rPr>
        <w:t> </w:t>
      </w:r>
      <w:r>
        <w:rPr>
          <w:i/>
          <w:color w:val="231F20"/>
          <w:sz w:val="20"/>
        </w:rPr>
        <w:t>палитру </w:t>
      </w:r>
      <w:r>
        <w:rPr>
          <w:i/>
          <w:color w:val="231F20"/>
          <w:spacing w:val="-2"/>
          <w:sz w:val="20"/>
        </w:rPr>
        <w:t>навыков и пр. В педагогической театральной технологии педагог создает прецедент, </w:t>
      </w:r>
      <w:r>
        <w:rPr>
          <w:i/>
          <w:color w:val="231F20"/>
          <w:sz w:val="20"/>
        </w:rPr>
        <w:t>отправную точку для создания коллективной истории (нарратива), творческого продукта или театральной постановки </w:t>
      </w:r>
      <w:r>
        <w:rPr>
          <w:color w:val="231F20"/>
          <w:sz w:val="20"/>
        </w:rPr>
        <w:t>(Hallgren E., Österlind E., 2019).</w:t>
      </w:r>
    </w:p>
    <w:p>
      <w:pPr>
        <w:pStyle w:val="BodyText"/>
        <w:spacing w:line="225" w:lineRule="auto" w:before="2"/>
      </w:pPr>
      <w:r>
        <w:rPr>
          <w:color w:val="231F20"/>
        </w:rPr>
        <w:t>Современные</w:t>
      </w:r>
      <w:r>
        <w:rPr>
          <w:color w:val="231F20"/>
          <w:spacing w:val="-13"/>
        </w:rPr>
        <w:t> </w:t>
      </w:r>
      <w:r>
        <w:rPr>
          <w:color w:val="231F20"/>
        </w:rPr>
        <w:t>направления</w:t>
      </w:r>
      <w:r>
        <w:rPr>
          <w:color w:val="231F20"/>
          <w:spacing w:val="-12"/>
        </w:rPr>
        <w:t> </w:t>
      </w:r>
      <w:r>
        <w:rPr>
          <w:color w:val="231F20"/>
        </w:rPr>
        <w:t>театральных</w:t>
      </w:r>
      <w:r>
        <w:rPr>
          <w:color w:val="231F20"/>
          <w:spacing w:val="-13"/>
        </w:rPr>
        <w:t> </w:t>
      </w:r>
      <w:r>
        <w:rPr>
          <w:color w:val="231F20"/>
        </w:rPr>
        <w:t>практик</w:t>
      </w:r>
      <w:r>
        <w:rPr>
          <w:color w:val="231F20"/>
          <w:spacing w:val="-12"/>
        </w:rPr>
        <w:t> </w:t>
      </w:r>
      <w:r>
        <w:rPr>
          <w:color w:val="231F20"/>
        </w:rPr>
        <w:t>в</w:t>
      </w:r>
      <w:r>
        <w:rPr>
          <w:color w:val="231F20"/>
          <w:spacing w:val="-13"/>
        </w:rPr>
        <w:t> </w:t>
      </w:r>
      <w:r>
        <w:rPr>
          <w:color w:val="231F20"/>
        </w:rPr>
        <w:t>зарубежном</w:t>
      </w:r>
      <w:r>
        <w:rPr>
          <w:color w:val="231F20"/>
          <w:spacing w:val="-12"/>
        </w:rPr>
        <w:t> </w:t>
      </w:r>
      <w:r>
        <w:rPr>
          <w:color w:val="231F20"/>
        </w:rPr>
        <w:t>образовании</w:t>
      </w:r>
      <w:r>
        <w:rPr>
          <w:color w:val="231F20"/>
          <w:spacing w:val="-13"/>
        </w:rPr>
        <w:t> </w:t>
      </w:r>
      <w:r>
        <w:rPr>
          <w:color w:val="231F20"/>
        </w:rPr>
        <w:t>очень разнообразны и охватывают многочисленные течения, включая такие направления как </w:t>
      </w:r>
      <w:r>
        <w:rPr>
          <w:i/>
          <w:color w:val="231F20"/>
        </w:rPr>
        <w:t>drama in education </w:t>
      </w:r>
      <w:r>
        <w:rPr>
          <w:color w:val="231F20"/>
        </w:rPr>
        <w:t>(драмапедагогика), </w:t>
      </w:r>
      <w:r>
        <w:rPr>
          <w:i/>
          <w:color w:val="231F20"/>
        </w:rPr>
        <w:t>developmental drama </w:t>
      </w:r>
      <w:r>
        <w:rPr>
          <w:color w:val="231F20"/>
        </w:rPr>
        <w:t>(развивающая</w:t>
      </w:r>
      <w:r>
        <w:rPr>
          <w:color w:val="231F20"/>
          <w:spacing w:val="40"/>
        </w:rPr>
        <w:t> </w:t>
      </w:r>
      <w:r>
        <w:rPr>
          <w:color w:val="231F20"/>
        </w:rPr>
        <w:t>драма), </w:t>
      </w:r>
      <w:r>
        <w:rPr>
          <w:i/>
          <w:color w:val="231F20"/>
        </w:rPr>
        <w:t>educational drama </w:t>
      </w:r>
      <w:r>
        <w:rPr>
          <w:color w:val="231F20"/>
        </w:rPr>
        <w:t>(образовательная драма), </w:t>
      </w:r>
      <w:r>
        <w:rPr>
          <w:i/>
          <w:color w:val="231F20"/>
        </w:rPr>
        <w:t>creative dramatics </w:t>
      </w:r>
      <w:r>
        <w:rPr>
          <w:color w:val="231F20"/>
        </w:rPr>
        <w:t>(креативная </w:t>
      </w:r>
      <w:r>
        <w:rPr>
          <w:color w:val="231F20"/>
          <w:spacing w:val="-2"/>
        </w:rPr>
        <w:t>драматизация),</w:t>
      </w:r>
      <w:r>
        <w:rPr>
          <w:color w:val="231F20"/>
          <w:spacing w:val="-9"/>
        </w:rPr>
        <w:t> </w:t>
      </w:r>
      <w:r>
        <w:rPr>
          <w:i/>
          <w:color w:val="231F20"/>
          <w:spacing w:val="-2"/>
        </w:rPr>
        <w:t>process</w:t>
      </w:r>
      <w:r>
        <w:rPr>
          <w:i/>
          <w:color w:val="231F20"/>
          <w:spacing w:val="-9"/>
        </w:rPr>
        <w:t> </w:t>
      </w:r>
      <w:r>
        <w:rPr>
          <w:i/>
          <w:color w:val="231F20"/>
          <w:spacing w:val="-2"/>
        </w:rPr>
        <w:t>drama</w:t>
      </w:r>
      <w:r>
        <w:rPr>
          <w:i/>
          <w:color w:val="231F20"/>
          <w:spacing w:val="-9"/>
        </w:rPr>
        <w:t> </w:t>
      </w:r>
      <w:r>
        <w:rPr>
          <w:color w:val="231F20"/>
          <w:spacing w:val="-2"/>
        </w:rPr>
        <w:t>(процессуальная</w:t>
      </w:r>
      <w:r>
        <w:rPr>
          <w:color w:val="231F20"/>
          <w:spacing w:val="-9"/>
        </w:rPr>
        <w:t> </w:t>
      </w:r>
      <w:r>
        <w:rPr>
          <w:color w:val="231F20"/>
          <w:spacing w:val="-2"/>
        </w:rPr>
        <w:t>драма),</w:t>
      </w:r>
      <w:r>
        <w:rPr>
          <w:color w:val="231F20"/>
          <w:spacing w:val="-9"/>
        </w:rPr>
        <w:t> </w:t>
      </w:r>
      <w:r>
        <w:rPr>
          <w:i/>
          <w:color w:val="231F20"/>
          <w:spacing w:val="-2"/>
        </w:rPr>
        <w:t>role</w:t>
      </w:r>
      <w:r>
        <w:rPr>
          <w:i/>
          <w:color w:val="231F20"/>
          <w:spacing w:val="-9"/>
        </w:rPr>
        <w:t> </w:t>
      </w:r>
      <w:r>
        <w:rPr>
          <w:i/>
          <w:color w:val="231F20"/>
          <w:spacing w:val="-2"/>
        </w:rPr>
        <w:t>drama</w:t>
      </w:r>
      <w:r>
        <w:rPr>
          <w:i/>
          <w:color w:val="231F20"/>
          <w:spacing w:val="-9"/>
        </w:rPr>
        <w:t> </w:t>
      </w:r>
      <w:r>
        <w:rPr>
          <w:color w:val="231F20"/>
          <w:spacing w:val="-2"/>
        </w:rPr>
        <w:t>(ролевая</w:t>
      </w:r>
      <w:r>
        <w:rPr>
          <w:color w:val="231F20"/>
          <w:spacing w:val="-9"/>
        </w:rPr>
        <w:t> </w:t>
      </w:r>
      <w:r>
        <w:rPr>
          <w:color w:val="231F20"/>
          <w:spacing w:val="-2"/>
        </w:rPr>
        <w:t>драма)</w:t>
      </w:r>
      <w:r>
        <w:rPr>
          <w:color w:val="231F20"/>
          <w:spacing w:val="-9"/>
        </w:rPr>
        <w:t> </w:t>
      </w:r>
      <w:r>
        <w:rPr>
          <w:color w:val="231F20"/>
          <w:spacing w:val="-2"/>
        </w:rPr>
        <w:t>и</w:t>
      </w:r>
      <w:r>
        <w:rPr>
          <w:color w:val="231F20"/>
          <w:spacing w:val="-9"/>
        </w:rPr>
        <w:t> </w:t>
      </w:r>
      <w:r>
        <w:rPr>
          <w:color w:val="231F20"/>
          <w:spacing w:val="-2"/>
        </w:rPr>
        <w:t>др. (Рубцова</w:t>
      </w:r>
      <w:r>
        <w:rPr>
          <w:color w:val="231F20"/>
          <w:spacing w:val="-11"/>
        </w:rPr>
        <w:t> </w:t>
      </w:r>
      <w:r>
        <w:rPr>
          <w:color w:val="231F20"/>
          <w:spacing w:val="-2"/>
        </w:rPr>
        <w:t>О.В.,</w:t>
      </w:r>
      <w:r>
        <w:rPr>
          <w:color w:val="231F20"/>
          <w:spacing w:val="-10"/>
        </w:rPr>
        <w:t> </w:t>
      </w:r>
      <w:r>
        <w:rPr>
          <w:color w:val="231F20"/>
          <w:spacing w:val="-2"/>
        </w:rPr>
        <w:t>Поскакалова</w:t>
      </w:r>
      <w:r>
        <w:rPr>
          <w:color w:val="231F20"/>
          <w:spacing w:val="-11"/>
        </w:rPr>
        <w:t> </w:t>
      </w:r>
      <w:r>
        <w:rPr>
          <w:color w:val="231F20"/>
          <w:spacing w:val="-2"/>
        </w:rPr>
        <w:t>Т.А.,</w:t>
      </w:r>
      <w:r>
        <w:rPr>
          <w:color w:val="231F20"/>
          <w:spacing w:val="-10"/>
        </w:rPr>
        <w:t> </w:t>
      </w:r>
      <w:r>
        <w:rPr>
          <w:color w:val="231F20"/>
          <w:spacing w:val="-2"/>
        </w:rPr>
        <w:t>2020).</w:t>
      </w:r>
      <w:r>
        <w:rPr>
          <w:color w:val="231F20"/>
          <w:spacing w:val="-11"/>
        </w:rPr>
        <w:t> </w:t>
      </w:r>
      <w:r>
        <w:rPr>
          <w:color w:val="231F20"/>
          <w:spacing w:val="-2"/>
        </w:rPr>
        <w:t>Каждое</w:t>
      </w:r>
      <w:r>
        <w:rPr>
          <w:color w:val="231F20"/>
          <w:spacing w:val="-10"/>
        </w:rPr>
        <w:t> </w:t>
      </w:r>
      <w:r>
        <w:rPr>
          <w:color w:val="231F20"/>
          <w:spacing w:val="-2"/>
        </w:rPr>
        <w:t>из</w:t>
      </w:r>
      <w:r>
        <w:rPr>
          <w:color w:val="231F20"/>
          <w:spacing w:val="-11"/>
        </w:rPr>
        <w:t> </w:t>
      </w:r>
      <w:r>
        <w:rPr>
          <w:color w:val="231F20"/>
          <w:spacing w:val="-2"/>
        </w:rPr>
        <w:t>этих</w:t>
      </w:r>
      <w:r>
        <w:rPr>
          <w:color w:val="231F20"/>
          <w:spacing w:val="-10"/>
        </w:rPr>
        <w:t> </w:t>
      </w:r>
      <w:r>
        <w:rPr>
          <w:color w:val="231F20"/>
          <w:spacing w:val="-2"/>
        </w:rPr>
        <w:t>направлений</w:t>
      </w:r>
      <w:r>
        <w:rPr>
          <w:color w:val="231F20"/>
          <w:spacing w:val="-11"/>
        </w:rPr>
        <w:t> </w:t>
      </w:r>
      <w:r>
        <w:rPr>
          <w:color w:val="231F20"/>
          <w:spacing w:val="-2"/>
        </w:rPr>
        <w:t>позволяет</w:t>
      </w:r>
      <w:r>
        <w:rPr>
          <w:color w:val="231F20"/>
          <w:spacing w:val="-10"/>
        </w:rPr>
        <w:t> </w:t>
      </w:r>
      <w:r>
        <w:rPr>
          <w:color w:val="231F20"/>
          <w:spacing w:val="-2"/>
        </w:rPr>
        <w:t>решать </w:t>
      </w:r>
      <w:r>
        <w:rPr>
          <w:color w:val="231F20"/>
        </w:rPr>
        <w:t>определенные педагогические и воспитательные задачи, формировать конкретные навыки</w:t>
      </w:r>
      <w:r>
        <w:rPr>
          <w:color w:val="231F20"/>
          <w:spacing w:val="-10"/>
        </w:rPr>
        <w:t> </w:t>
      </w:r>
      <w:r>
        <w:rPr>
          <w:color w:val="231F20"/>
        </w:rPr>
        <w:t>и</w:t>
      </w:r>
      <w:r>
        <w:rPr>
          <w:color w:val="231F20"/>
          <w:spacing w:val="-10"/>
        </w:rPr>
        <w:t> </w:t>
      </w:r>
      <w:r>
        <w:rPr>
          <w:color w:val="231F20"/>
        </w:rPr>
        <w:t>компетенции.</w:t>
      </w:r>
      <w:r>
        <w:rPr>
          <w:color w:val="231F20"/>
          <w:spacing w:val="-10"/>
        </w:rPr>
        <w:t> </w:t>
      </w:r>
      <w:r>
        <w:rPr>
          <w:color w:val="231F20"/>
        </w:rPr>
        <w:t>При</w:t>
      </w:r>
      <w:r>
        <w:rPr>
          <w:color w:val="231F20"/>
          <w:spacing w:val="-10"/>
        </w:rPr>
        <w:t> </w:t>
      </w:r>
      <w:r>
        <w:rPr>
          <w:color w:val="231F20"/>
        </w:rPr>
        <w:t>этом</w:t>
      </w:r>
      <w:r>
        <w:rPr>
          <w:color w:val="231F20"/>
          <w:spacing w:val="-10"/>
        </w:rPr>
        <w:t> </w:t>
      </w:r>
      <w:r>
        <w:rPr>
          <w:color w:val="231F20"/>
        </w:rPr>
        <w:t>все</w:t>
      </w:r>
      <w:r>
        <w:rPr>
          <w:color w:val="231F20"/>
          <w:spacing w:val="-10"/>
        </w:rPr>
        <w:t> </w:t>
      </w:r>
      <w:r>
        <w:rPr>
          <w:color w:val="231F20"/>
        </w:rPr>
        <w:t>перечисленные</w:t>
      </w:r>
      <w:r>
        <w:rPr>
          <w:color w:val="231F20"/>
          <w:spacing w:val="-10"/>
        </w:rPr>
        <w:t> </w:t>
      </w:r>
      <w:r>
        <w:rPr>
          <w:color w:val="231F20"/>
        </w:rPr>
        <w:t>направления</w:t>
      </w:r>
      <w:r>
        <w:rPr>
          <w:color w:val="231F20"/>
          <w:spacing w:val="-10"/>
        </w:rPr>
        <w:t> </w:t>
      </w:r>
      <w:r>
        <w:rPr>
          <w:color w:val="231F20"/>
        </w:rPr>
        <w:t>объединяет</w:t>
      </w:r>
      <w:r>
        <w:rPr>
          <w:color w:val="231F20"/>
          <w:spacing w:val="-10"/>
        </w:rPr>
        <w:t> </w:t>
      </w:r>
      <w:r>
        <w:rPr>
          <w:color w:val="231F20"/>
        </w:rPr>
        <w:t>то,</w:t>
      </w:r>
      <w:r>
        <w:rPr>
          <w:color w:val="231F20"/>
          <w:spacing w:val="-10"/>
        </w:rPr>
        <w:t> </w:t>
      </w:r>
      <w:r>
        <w:rPr>
          <w:color w:val="231F20"/>
        </w:rPr>
        <w:t>что они ориентированы на сам процесс драматизации и на изменения, происходящие с участниками во время осуществления театральной деятельности, в то время как продукт такой деятельности имеет второстепенное значение (Nelson B., 2010).</w:t>
      </w:r>
    </w:p>
    <w:p>
      <w:pPr>
        <w:pStyle w:val="BodyText"/>
        <w:spacing w:line="228" w:lineRule="auto" w:before="2"/>
      </w:pPr>
      <w:r>
        <w:rPr/>
        <w:t>В</w:t>
      </w:r>
      <w:r>
        <w:rPr>
          <w:spacing w:val="-13"/>
        </w:rPr>
        <w:t> </w:t>
      </w:r>
      <w:r>
        <w:rPr>
          <w:color w:val="231F20"/>
        </w:rPr>
        <w:t>последние</w:t>
      </w:r>
      <w:r>
        <w:rPr>
          <w:color w:val="231F20"/>
          <w:spacing w:val="-12"/>
        </w:rPr>
        <w:t> </w:t>
      </w:r>
      <w:r>
        <w:rPr>
          <w:color w:val="231F20"/>
        </w:rPr>
        <w:t>годы</w:t>
      </w:r>
      <w:r>
        <w:rPr>
          <w:color w:val="231F20"/>
          <w:spacing w:val="-13"/>
        </w:rPr>
        <w:t> </w:t>
      </w:r>
      <w:r>
        <w:rPr>
          <w:color w:val="231F20"/>
        </w:rPr>
        <w:t>использование</w:t>
      </w:r>
      <w:r>
        <w:rPr>
          <w:color w:val="231F20"/>
          <w:spacing w:val="-12"/>
        </w:rPr>
        <w:t> </w:t>
      </w:r>
      <w:r>
        <w:rPr>
          <w:color w:val="231F20"/>
        </w:rPr>
        <w:t>театральных</w:t>
      </w:r>
      <w:r>
        <w:rPr>
          <w:color w:val="231F20"/>
          <w:spacing w:val="-13"/>
        </w:rPr>
        <w:t> </w:t>
      </w:r>
      <w:r>
        <w:rPr>
          <w:color w:val="231F20"/>
        </w:rPr>
        <w:t>практик</w:t>
      </w:r>
      <w:r>
        <w:rPr>
          <w:color w:val="231F20"/>
          <w:spacing w:val="-12"/>
        </w:rPr>
        <w:t> </w:t>
      </w:r>
      <w:r>
        <w:rPr>
          <w:color w:val="231F20"/>
        </w:rPr>
        <w:t>в</w:t>
      </w:r>
      <w:r>
        <w:rPr>
          <w:color w:val="231F20"/>
          <w:spacing w:val="-13"/>
        </w:rPr>
        <w:t> </w:t>
      </w:r>
      <w:r>
        <w:rPr>
          <w:color w:val="231F20"/>
        </w:rPr>
        <w:t>зарубежном</w:t>
      </w:r>
      <w:r>
        <w:rPr>
          <w:color w:val="231F20"/>
          <w:spacing w:val="-12"/>
        </w:rPr>
        <w:t> </w:t>
      </w:r>
      <w:r>
        <w:rPr>
          <w:color w:val="231F20"/>
        </w:rPr>
        <w:t>образовании (прежде всего в Европе и США) связывается с идеей о т.н. </w:t>
      </w:r>
      <w:r>
        <w:rPr>
          <w:i/>
          <w:color w:val="231F20"/>
        </w:rPr>
        <w:t>sustainable development</w:t>
      </w:r>
      <w:r>
        <w:rPr>
          <w:color w:val="231F20"/>
        </w:rPr>
        <w:t>, т.е. о непрерывном всестороннем развитии </w:t>
      </w:r>
      <w:r>
        <w:rPr/>
        <w:t>(</w:t>
      </w:r>
      <w:r>
        <w:rPr>
          <w:color w:val="231F20"/>
        </w:rPr>
        <w:t>Galazka А., 2017)</w:t>
      </w:r>
      <w:r>
        <w:rPr/>
        <w:t>. </w:t>
      </w:r>
      <w:r>
        <w:rPr>
          <w:color w:val="231F20"/>
        </w:rPr>
        <w:t>Данная концепция </w:t>
      </w:r>
      <w:r>
        <w:rPr>
          <w:color w:val="231F20"/>
          <w:spacing w:val="-2"/>
        </w:rPr>
        <w:t>предполагает, что целью образовательного процесса является не только приобретение предметных</w:t>
      </w:r>
      <w:r>
        <w:rPr>
          <w:color w:val="231F20"/>
          <w:spacing w:val="-6"/>
        </w:rPr>
        <w:t> </w:t>
      </w:r>
      <w:r>
        <w:rPr>
          <w:color w:val="231F20"/>
          <w:spacing w:val="-2"/>
        </w:rPr>
        <w:t>знаний,</w:t>
      </w:r>
      <w:r>
        <w:rPr>
          <w:color w:val="231F20"/>
          <w:spacing w:val="-5"/>
        </w:rPr>
        <w:t> </w:t>
      </w:r>
      <w:r>
        <w:rPr>
          <w:color w:val="231F20"/>
          <w:spacing w:val="-2"/>
        </w:rPr>
        <w:t>но</w:t>
      </w:r>
      <w:r>
        <w:rPr>
          <w:color w:val="231F20"/>
          <w:spacing w:val="-5"/>
        </w:rPr>
        <w:t> </w:t>
      </w:r>
      <w:r>
        <w:rPr>
          <w:color w:val="231F20"/>
          <w:spacing w:val="-2"/>
        </w:rPr>
        <w:t>прежде</w:t>
      </w:r>
      <w:r>
        <w:rPr>
          <w:color w:val="231F20"/>
          <w:spacing w:val="-6"/>
        </w:rPr>
        <w:t> </w:t>
      </w:r>
      <w:r>
        <w:rPr>
          <w:color w:val="231F20"/>
          <w:spacing w:val="-2"/>
        </w:rPr>
        <w:t>всего</w:t>
      </w:r>
      <w:r>
        <w:rPr>
          <w:color w:val="231F20"/>
          <w:spacing w:val="-5"/>
        </w:rPr>
        <w:t> </w:t>
      </w:r>
      <w:r>
        <w:rPr>
          <w:color w:val="231F20"/>
          <w:spacing w:val="-2"/>
        </w:rPr>
        <w:t>развитие</w:t>
      </w:r>
      <w:r>
        <w:rPr>
          <w:color w:val="231F20"/>
          <w:spacing w:val="-5"/>
        </w:rPr>
        <w:t> </w:t>
      </w:r>
      <w:r>
        <w:rPr>
          <w:color w:val="231F20"/>
          <w:spacing w:val="-2"/>
        </w:rPr>
        <w:t>личности</w:t>
      </w:r>
      <w:r>
        <w:rPr>
          <w:color w:val="231F20"/>
          <w:spacing w:val="-5"/>
        </w:rPr>
        <w:t> </w:t>
      </w:r>
      <w:r>
        <w:rPr>
          <w:color w:val="231F20"/>
          <w:spacing w:val="-2"/>
        </w:rPr>
        <w:t>обучающихся,</w:t>
      </w:r>
      <w:r>
        <w:rPr>
          <w:color w:val="231F20"/>
          <w:spacing w:val="-5"/>
        </w:rPr>
        <w:t> </w:t>
      </w:r>
      <w:r>
        <w:rPr>
          <w:color w:val="231F20"/>
          <w:spacing w:val="-2"/>
        </w:rPr>
        <w:t>формирование </w:t>
      </w:r>
      <w:r>
        <w:rPr>
          <w:color w:val="231F20"/>
        </w:rPr>
        <w:t>целостного мировоззрения, повышение уровня психологического благополучия, приобретение «компетенций XXI века» (</w:t>
      </w:r>
      <w:r>
        <w:rPr>
          <w:i/>
          <w:color w:val="231F20"/>
        </w:rPr>
        <w:t>soft skills, literacy skills</w:t>
      </w:r>
      <w:r>
        <w:rPr>
          <w:color w:val="231F20"/>
        </w:rPr>
        <w:t>). Различные виды театральных</w:t>
      </w:r>
      <w:r>
        <w:rPr>
          <w:color w:val="231F20"/>
          <w:spacing w:val="-13"/>
        </w:rPr>
        <w:t> </w:t>
      </w:r>
      <w:r>
        <w:rPr>
          <w:color w:val="231F20"/>
        </w:rPr>
        <w:t>практик,</w:t>
      </w:r>
      <w:r>
        <w:rPr>
          <w:color w:val="231F20"/>
          <w:spacing w:val="-12"/>
        </w:rPr>
        <w:t> </w:t>
      </w:r>
      <w:r>
        <w:rPr>
          <w:color w:val="231F20"/>
        </w:rPr>
        <w:t>интегрированных</w:t>
      </w:r>
      <w:r>
        <w:rPr>
          <w:color w:val="231F20"/>
          <w:spacing w:val="-13"/>
        </w:rPr>
        <w:t> </w:t>
      </w:r>
      <w:r>
        <w:rPr>
          <w:color w:val="231F20"/>
        </w:rPr>
        <w:t>в</w:t>
      </w:r>
      <w:r>
        <w:rPr>
          <w:color w:val="231F20"/>
          <w:spacing w:val="-12"/>
        </w:rPr>
        <w:t> </w:t>
      </w:r>
      <w:r>
        <w:rPr>
          <w:color w:val="231F20"/>
        </w:rPr>
        <w:t>образовательный</w:t>
      </w:r>
      <w:r>
        <w:rPr>
          <w:color w:val="231F20"/>
          <w:spacing w:val="-13"/>
        </w:rPr>
        <w:t> </w:t>
      </w:r>
      <w:r>
        <w:rPr>
          <w:color w:val="231F20"/>
        </w:rPr>
        <w:t>процесс,</w:t>
      </w:r>
      <w:r>
        <w:rPr>
          <w:color w:val="231F20"/>
          <w:spacing w:val="-12"/>
        </w:rPr>
        <w:t> </w:t>
      </w:r>
      <w:r>
        <w:rPr>
          <w:color w:val="231F20"/>
        </w:rPr>
        <w:t>создают</w:t>
      </w:r>
      <w:r>
        <w:rPr>
          <w:color w:val="231F20"/>
          <w:spacing w:val="-13"/>
        </w:rPr>
        <w:t> </w:t>
      </w:r>
      <w:r>
        <w:rPr>
          <w:color w:val="231F20"/>
        </w:rPr>
        <w:t>условия для комплексного решения обозначенного круга задач (Поскакалова, 2021). К тому же, участие в театральной деятельности связывается с идеей о психологическом благополучии обучающихся, которое не только напрямую влияет на уровень </w:t>
      </w:r>
      <w:r>
        <w:rPr>
          <w:color w:val="231F20"/>
          <w:spacing w:val="-2"/>
        </w:rPr>
        <w:t>удовлетворенности жизнью, но и способствует развитию субъектности обучающихся, </w:t>
      </w:r>
      <w:r>
        <w:rPr>
          <w:color w:val="231F20"/>
        </w:rPr>
        <w:t>дает</w:t>
      </w:r>
      <w:r>
        <w:rPr>
          <w:color w:val="231F20"/>
          <w:spacing w:val="-1"/>
        </w:rPr>
        <w:t> </w:t>
      </w:r>
      <w:r>
        <w:rPr>
          <w:color w:val="231F20"/>
        </w:rPr>
        <w:t>им</w:t>
      </w:r>
      <w:r>
        <w:rPr>
          <w:color w:val="231F20"/>
          <w:spacing w:val="-1"/>
        </w:rPr>
        <w:t> </w:t>
      </w:r>
      <w:r>
        <w:rPr>
          <w:color w:val="231F20"/>
        </w:rPr>
        <w:t>возможность</w:t>
      </w:r>
      <w:r>
        <w:rPr>
          <w:color w:val="231F20"/>
          <w:spacing w:val="-1"/>
        </w:rPr>
        <w:t> </w:t>
      </w:r>
      <w:r>
        <w:rPr>
          <w:color w:val="231F20"/>
        </w:rPr>
        <w:t>стать</w:t>
      </w:r>
      <w:r>
        <w:rPr>
          <w:color w:val="231F20"/>
          <w:spacing w:val="-1"/>
        </w:rPr>
        <w:t> </w:t>
      </w:r>
      <w:r>
        <w:rPr>
          <w:color w:val="231F20"/>
        </w:rPr>
        <w:t>«агентами</w:t>
      </w:r>
      <w:r>
        <w:rPr>
          <w:color w:val="231F20"/>
          <w:spacing w:val="-1"/>
        </w:rPr>
        <w:t> </w:t>
      </w:r>
      <w:r>
        <w:rPr>
          <w:color w:val="231F20"/>
        </w:rPr>
        <w:t>изменений»</w:t>
      </w:r>
      <w:r>
        <w:rPr>
          <w:color w:val="231F20"/>
          <w:spacing w:val="-1"/>
        </w:rPr>
        <w:t> </w:t>
      </w:r>
      <w:r>
        <w:rPr>
          <w:color w:val="231F20"/>
        </w:rPr>
        <w:t>(Herodotou</w:t>
      </w:r>
      <w:r>
        <w:rPr>
          <w:color w:val="231F20"/>
          <w:spacing w:val="-1"/>
        </w:rPr>
        <w:t> </w:t>
      </w:r>
      <w:r>
        <w:rPr>
          <w:color w:val="231F20"/>
        </w:rPr>
        <w:t>C.</w:t>
      </w:r>
      <w:r>
        <w:rPr>
          <w:color w:val="231F20"/>
          <w:spacing w:val="-1"/>
        </w:rPr>
        <w:t> </w:t>
      </w:r>
      <w:r>
        <w:rPr>
          <w:color w:val="231F20"/>
        </w:rPr>
        <w:t>et</w:t>
      </w:r>
      <w:r>
        <w:rPr>
          <w:color w:val="231F20"/>
          <w:spacing w:val="-1"/>
        </w:rPr>
        <w:t> </w:t>
      </w:r>
      <w:r>
        <w:rPr>
          <w:color w:val="231F20"/>
        </w:rPr>
        <w:t>al.,</w:t>
      </w:r>
      <w:r>
        <w:rPr>
          <w:color w:val="231F20"/>
          <w:spacing w:val="-1"/>
        </w:rPr>
        <w:t> </w:t>
      </w:r>
      <w:r>
        <w:rPr>
          <w:color w:val="231F20"/>
        </w:rPr>
        <w:t>2019).</w:t>
      </w:r>
      <w:r>
        <w:rPr>
          <w:color w:val="231F20"/>
          <w:spacing w:val="-1"/>
        </w:rPr>
        <w:t> </w:t>
      </w:r>
      <w:r>
        <w:rPr>
          <w:color w:val="231F20"/>
        </w:rPr>
        <w:t>Данное направление приобрело особую актуальность в условиях интенсивной миграции и притока беженцев в Европу и США из стран, находящихся в ситуации затяжного военного конфликта и/или экономического кризиса.</w:t>
      </w:r>
    </w:p>
    <w:p>
      <w:pPr>
        <w:pStyle w:val="BodyText"/>
        <w:spacing w:line="230" w:lineRule="auto"/>
      </w:pPr>
      <w:r>
        <w:rPr>
          <w:color w:val="231F20"/>
        </w:rPr>
        <w:t>Дети-мигранты</w:t>
      </w:r>
      <w:r>
        <w:rPr>
          <w:color w:val="231F20"/>
          <w:spacing w:val="-12"/>
        </w:rPr>
        <w:t> </w:t>
      </w:r>
      <w:r>
        <w:rPr>
          <w:color w:val="231F20"/>
        </w:rPr>
        <w:t>–</w:t>
      </w:r>
      <w:r>
        <w:rPr>
          <w:color w:val="231F20"/>
          <w:spacing w:val="-11"/>
        </w:rPr>
        <w:t> </w:t>
      </w:r>
      <w:r>
        <w:rPr>
          <w:color w:val="231F20"/>
        </w:rPr>
        <w:t>особая</w:t>
      </w:r>
      <w:r>
        <w:rPr>
          <w:color w:val="231F20"/>
          <w:spacing w:val="-11"/>
        </w:rPr>
        <w:t> </w:t>
      </w:r>
      <w:r>
        <w:rPr>
          <w:color w:val="231F20"/>
        </w:rPr>
        <w:t>категория</w:t>
      </w:r>
      <w:r>
        <w:rPr>
          <w:color w:val="231F20"/>
          <w:spacing w:val="-11"/>
        </w:rPr>
        <w:t> </w:t>
      </w:r>
      <w:r>
        <w:rPr>
          <w:color w:val="231F20"/>
        </w:rPr>
        <w:t>обучающихся,</w:t>
      </w:r>
      <w:r>
        <w:rPr>
          <w:color w:val="231F20"/>
          <w:spacing w:val="-11"/>
        </w:rPr>
        <w:t> </w:t>
      </w:r>
      <w:r>
        <w:rPr>
          <w:color w:val="231F20"/>
        </w:rPr>
        <w:t>которые</w:t>
      </w:r>
      <w:r>
        <w:rPr>
          <w:color w:val="231F20"/>
          <w:spacing w:val="-11"/>
        </w:rPr>
        <w:t> </w:t>
      </w:r>
      <w:r>
        <w:rPr>
          <w:color w:val="231F20"/>
        </w:rPr>
        <w:t>обычно</w:t>
      </w:r>
      <w:r>
        <w:rPr>
          <w:color w:val="231F20"/>
          <w:spacing w:val="-11"/>
        </w:rPr>
        <w:t> </w:t>
      </w:r>
      <w:r>
        <w:rPr>
          <w:color w:val="231F20"/>
        </w:rPr>
        <w:t>плохо</w:t>
      </w:r>
      <w:r>
        <w:rPr>
          <w:color w:val="231F20"/>
          <w:spacing w:val="-11"/>
        </w:rPr>
        <w:t> </w:t>
      </w:r>
      <w:r>
        <w:rPr>
          <w:color w:val="231F20"/>
        </w:rPr>
        <w:t>владеют </w:t>
      </w:r>
      <w:r>
        <w:rPr>
          <w:color w:val="231F20"/>
          <w:spacing w:val="-4"/>
        </w:rPr>
        <w:t>языком страны, в которую переселились, и имеют принципиально иной опыт обучения. </w:t>
      </w:r>
      <w:r>
        <w:rPr>
          <w:color w:val="231F20"/>
        </w:rPr>
        <w:t>Кроме того, такие дети и подростки часто оказываются более конфликтными из-за культурных</w:t>
      </w:r>
      <w:r>
        <w:rPr>
          <w:color w:val="231F20"/>
          <w:spacing w:val="37"/>
        </w:rPr>
        <w:t> </w:t>
      </w:r>
      <w:r>
        <w:rPr>
          <w:color w:val="231F20"/>
        </w:rPr>
        <w:t>различий,</w:t>
      </w:r>
      <w:r>
        <w:rPr>
          <w:color w:val="231F20"/>
          <w:spacing w:val="37"/>
        </w:rPr>
        <w:t> </w:t>
      </w:r>
      <w:r>
        <w:rPr>
          <w:color w:val="231F20"/>
        </w:rPr>
        <w:t>они</w:t>
      </w:r>
      <w:r>
        <w:rPr>
          <w:color w:val="231F20"/>
          <w:spacing w:val="37"/>
        </w:rPr>
        <w:t> </w:t>
      </w:r>
      <w:r>
        <w:rPr>
          <w:color w:val="231F20"/>
        </w:rPr>
        <w:t>менее</w:t>
      </w:r>
      <w:r>
        <w:rPr>
          <w:color w:val="231F20"/>
          <w:spacing w:val="37"/>
        </w:rPr>
        <w:t> </w:t>
      </w:r>
      <w:r>
        <w:rPr>
          <w:color w:val="231F20"/>
        </w:rPr>
        <w:t>эмоционально</w:t>
      </w:r>
      <w:r>
        <w:rPr>
          <w:color w:val="231F20"/>
          <w:spacing w:val="37"/>
        </w:rPr>
        <w:t> </w:t>
      </w:r>
      <w:r>
        <w:rPr>
          <w:color w:val="231F20"/>
        </w:rPr>
        <w:t>устойчивы,</w:t>
      </w:r>
      <w:r>
        <w:rPr>
          <w:color w:val="231F20"/>
          <w:spacing w:val="37"/>
        </w:rPr>
        <w:t> </w:t>
      </w:r>
      <w:r>
        <w:rPr>
          <w:color w:val="231F20"/>
        </w:rPr>
        <w:t>чем</w:t>
      </w:r>
      <w:r>
        <w:rPr>
          <w:color w:val="231F20"/>
          <w:spacing w:val="37"/>
        </w:rPr>
        <w:t> </w:t>
      </w:r>
      <w:r>
        <w:rPr>
          <w:color w:val="231F20"/>
        </w:rPr>
        <w:t>их</w:t>
      </w:r>
      <w:r>
        <w:rPr>
          <w:color w:val="231F20"/>
          <w:spacing w:val="37"/>
        </w:rPr>
        <w:t> </w:t>
      </w:r>
      <w:r>
        <w:rPr>
          <w:color w:val="231F20"/>
        </w:rPr>
        <w:t>сверстники</w:t>
      </w:r>
      <w:r>
        <w:rPr>
          <w:color w:val="231F20"/>
          <w:spacing w:val="37"/>
        </w:rPr>
        <w:t> </w:t>
      </w:r>
      <w:r>
        <w:rPr>
          <w:color w:val="231F20"/>
        </w:rPr>
        <w:t>в</w:t>
      </w:r>
    </w:p>
    <w:p>
      <w:pPr>
        <w:pStyle w:val="BodyText"/>
        <w:spacing w:after="0" w:line="230" w:lineRule="auto"/>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0" w:lineRule="auto" w:before="119"/>
        <w:ind w:firstLine="0"/>
      </w:pPr>
      <w:r>
        <w:rPr>
          <w:color w:val="231F20"/>
        </w:rPr>
        <w:t>принимающей стране. Согласно анализу, представленному группой исследователей из Бременского университета, сам миграционный статус часто можно определить как фактор риска психического состояния детей, прежде всего миграции в первом поколении. На психическое здоровье детей-мигрантов влияют низкий социально- экономический статус семьи, неопределенная культурная идентичность родителей, жесткое воспитание со стороны матери или неадекватная родительская профессия, </w:t>
      </w:r>
      <w:r>
        <w:rPr>
          <w:color w:val="231F20"/>
          <w:spacing w:val="-4"/>
        </w:rPr>
        <w:t>принадлежность к меньшинству и др. (Belhadj Kouider E. et al., 2014). В этой связи дети- </w:t>
      </w:r>
      <w:r>
        <w:rPr>
          <w:color w:val="231F20"/>
        </w:rPr>
        <w:t>мигранты</w:t>
      </w:r>
      <w:r>
        <w:rPr>
          <w:color w:val="231F20"/>
          <w:spacing w:val="-13"/>
        </w:rPr>
        <w:t> </w:t>
      </w:r>
      <w:r>
        <w:rPr>
          <w:color w:val="231F20"/>
        </w:rPr>
        <w:t>являются</w:t>
      </w:r>
      <w:r>
        <w:rPr>
          <w:color w:val="231F20"/>
          <w:spacing w:val="-12"/>
        </w:rPr>
        <w:t> </w:t>
      </w:r>
      <w:r>
        <w:rPr>
          <w:color w:val="231F20"/>
        </w:rPr>
        <w:t>одной</w:t>
      </w:r>
      <w:r>
        <w:rPr>
          <w:color w:val="231F20"/>
          <w:spacing w:val="-13"/>
        </w:rPr>
        <w:t> </w:t>
      </w:r>
      <w:r>
        <w:rPr>
          <w:color w:val="231F20"/>
        </w:rPr>
        <w:t>из</w:t>
      </w:r>
      <w:r>
        <w:rPr>
          <w:color w:val="231F20"/>
          <w:spacing w:val="-12"/>
        </w:rPr>
        <w:t> </w:t>
      </w:r>
      <w:r>
        <w:rPr>
          <w:color w:val="231F20"/>
        </w:rPr>
        <w:t>наиболее</w:t>
      </w:r>
      <w:r>
        <w:rPr>
          <w:color w:val="231F20"/>
          <w:spacing w:val="-13"/>
        </w:rPr>
        <w:t> </w:t>
      </w:r>
      <w:r>
        <w:rPr>
          <w:color w:val="231F20"/>
        </w:rPr>
        <w:t>уязвимых</w:t>
      </w:r>
      <w:r>
        <w:rPr>
          <w:color w:val="231F20"/>
          <w:spacing w:val="-12"/>
        </w:rPr>
        <w:t> </w:t>
      </w:r>
      <w:r>
        <w:rPr>
          <w:color w:val="231F20"/>
        </w:rPr>
        <w:t>и</w:t>
      </w:r>
      <w:r>
        <w:rPr>
          <w:color w:val="231F20"/>
          <w:spacing w:val="-13"/>
        </w:rPr>
        <w:t> </w:t>
      </w:r>
      <w:r>
        <w:rPr>
          <w:color w:val="231F20"/>
        </w:rPr>
        <w:t>сложных</w:t>
      </w:r>
      <w:r>
        <w:rPr>
          <w:color w:val="231F20"/>
          <w:spacing w:val="-12"/>
        </w:rPr>
        <w:t> </w:t>
      </w:r>
      <w:r>
        <w:rPr>
          <w:color w:val="231F20"/>
        </w:rPr>
        <w:t>категорий</w:t>
      </w:r>
      <w:r>
        <w:rPr>
          <w:color w:val="231F20"/>
          <w:spacing w:val="-13"/>
        </w:rPr>
        <w:t> </w:t>
      </w:r>
      <w:r>
        <w:rPr>
          <w:color w:val="231F20"/>
        </w:rPr>
        <w:t>обучающихся, чей процесс обучения требует особой организации. Одной из перспективных технологий работы с детьми-мигрантами является театральная деятельность.</w:t>
      </w:r>
    </w:p>
    <w:p>
      <w:pPr>
        <w:pStyle w:val="BodyText"/>
        <w:spacing w:line="230" w:lineRule="auto"/>
      </w:pPr>
      <w:r>
        <w:rPr>
          <w:color w:val="231F20"/>
        </w:rPr>
        <w:t>Преимущества применения театральной практики в работе с детьми-мигрантами связаны с тем, что она обеспечивает возможность:</w:t>
      </w:r>
    </w:p>
    <w:p>
      <w:pPr>
        <w:pStyle w:val="ListParagraph"/>
        <w:numPr>
          <w:ilvl w:val="0"/>
          <w:numId w:val="135"/>
        </w:numPr>
        <w:tabs>
          <w:tab w:pos="425" w:val="left" w:leader="none"/>
        </w:tabs>
        <w:spacing w:line="230" w:lineRule="auto" w:before="0" w:after="0"/>
        <w:ind w:left="425" w:right="140" w:hanging="284"/>
        <w:jc w:val="left"/>
        <w:rPr>
          <w:sz w:val="20"/>
        </w:rPr>
      </w:pPr>
      <w:r>
        <w:rPr>
          <w:sz w:val="20"/>
        </w:rPr>
        <w:t>невербального</w:t>
      </w:r>
      <w:r>
        <w:rPr>
          <w:spacing w:val="25"/>
          <w:sz w:val="20"/>
        </w:rPr>
        <w:t> </w:t>
      </w:r>
      <w:r>
        <w:rPr>
          <w:sz w:val="20"/>
        </w:rPr>
        <w:t>общения</w:t>
      </w:r>
      <w:r>
        <w:rPr>
          <w:spacing w:val="25"/>
          <w:sz w:val="20"/>
        </w:rPr>
        <w:t> </w:t>
      </w:r>
      <w:r>
        <w:rPr>
          <w:sz w:val="20"/>
        </w:rPr>
        <w:t>и</w:t>
      </w:r>
      <w:r>
        <w:rPr>
          <w:spacing w:val="25"/>
          <w:sz w:val="20"/>
        </w:rPr>
        <w:t> </w:t>
      </w:r>
      <w:r>
        <w:rPr>
          <w:sz w:val="20"/>
        </w:rPr>
        <w:t>самовыражения</w:t>
      </w:r>
      <w:r>
        <w:rPr>
          <w:spacing w:val="25"/>
          <w:sz w:val="20"/>
        </w:rPr>
        <w:t> </w:t>
      </w:r>
      <w:r>
        <w:rPr>
          <w:sz w:val="20"/>
        </w:rPr>
        <w:t>для</w:t>
      </w:r>
      <w:r>
        <w:rPr>
          <w:spacing w:val="25"/>
          <w:sz w:val="20"/>
        </w:rPr>
        <w:t> </w:t>
      </w:r>
      <w:r>
        <w:rPr>
          <w:sz w:val="20"/>
        </w:rPr>
        <w:t>детей</w:t>
      </w:r>
      <w:r>
        <w:rPr>
          <w:spacing w:val="25"/>
          <w:sz w:val="20"/>
        </w:rPr>
        <w:t> </w:t>
      </w:r>
      <w:r>
        <w:rPr>
          <w:sz w:val="20"/>
        </w:rPr>
        <w:t>и</w:t>
      </w:r>
      <w:r>
        <w:rPr>
          <w:spacing w:val="25"/>
          <w:sz w:val="20"/>
        </w:rPr>
        <w:t> </w:t>
      </w:r>
      <w:r>
        <w:rPr>
          <w:sz w:val="20"/>
        </w:rPr>
        <w:t>подростков,</w:t>
      </w:r>
      <w:r>
        <w:rPr>
          <w:spacing w:val="25"/>
          <w:sz w:val="20"/>
        </w:rPr>
        <w:t> </w:t>
      </w:r>
      <w:r>
        <w:rPr>
          <w:sz w:val="20"/>
        </w:rPr>
        <w:t>неуверенно пользующихся языком принимающей страны (пантомима, танец и др.);</w:t>
      </w:r>
    </w:p>
    <w:p>
      <w:pPr>
        <w:pStyle w:val="ListParagraph"/>
        <w:numPr>
          <w:ilvl w:val="0"/>
          <w:numId w:val="135"/>
        </w:numPr>
        <w:tabs>
          <w:tab w:pos="425" w:val="left" w:leader="none"/>
        </w:tabs>
        <w:spacing w:line="230" w:lineRule="auto" w:before="0" w:after="0"/>
        <w:ind w:left="425" w:right="139" w:hanging="284"/>
        <w:jc w:val="left"/>
        <w:rPr>
          <w:sz w:val="20"/>
        </w:rPr>
      </w:pPr>
      <w:r>
        <w:rPr>
          <w:sz w:val="20"/>
        </w:rPr>
        <w:t>вступать в конструктивные конфликты и исследовать различные пути их разре- </w:t>
      </w:r>
      <w:r>
        <w:rPr>
          <w:spacing w:val="-2"/>
          <w:sz w:val="20"/>
        </w:rPr>
        <w:t>шения;</w:t>
      </w:r>
    </w:p>
    <w:p>
      <w:pPr>
        <w:pStyle w:val="ListParagraph"/>
        <w:numPr>
          <w:ilvl w:val="0"/>
          <w:numId w:val="135"/>
        </w:numPr>
        <w:tabs>
          <w:tab w:pos="425" w:val="left" w:leader="none"/>
        </w:tabs>
        <w:spacing w:line="230" w:lineRule="auto" w:before="0" w:after="0"/>
        <w:ind w:left="425" w:right="139" w:hanging="284"/>
        <w:jc w:val="left"/>
        <w:rPr>
          <w:sz w:val="20"/>
        </w:rPr>
      </w:pPr>
      <w:r>
        <w:rPr>
          <w:sz w:val="20"/>
        </w:rPr>
        <w:t>играть</w:t>
      </w:r>
      <w:r>
        <w:rPr>
          <w:spacing w:val="-12"/>
          <w:sz w:val="20"/>
        </w:rPr>
        <w:t> </w:t>
      </w:r>
      <w:r>
        <w:rPr>
          <w:sz w:val="20"/>
        </w:rPr>
        <w:t>с</w:t>
      </w:r>
      <w:r>
        <w:rPr>
          <w:spacing w:val="-12"/>
          <w:sz w:val="20"/>
        </w:rPr>
        <w:t> </w:t>
      </w:r>
      <w:r>
        <w:rPr>
          <w:sz w:val="20"/>
        </w:rPr>
        <w:t>метафорами</w:t>
      </w:r>
      <w:r>
        <w:rPr>
          <w:spacing w:val="-13"/>
          <w:sz w:val="20"/>
        </w:rPr>
        <w:t> </w:t>
      </w:r>
      <w:r>
        <w:rPr>
          <w:sz w:val="20"/>
        </w:rPr>
        <w:t>и</w:t>
      </w:r>
      <w:r>
        <w:rPr>
          <w:spacing w:val="-11"/>
          <w:sz w:val="20"/>
        </w:rPr>
        <w:t> </w:t>
      </w:r>
      <w:r>
        <w:rPr>
          <w:sz w:val="20"/>
        </w:rPr>
        <w:t>с</w:t>
      </w:r>
      <w:r>
        <w:rPr>
          <w:spacing w:val="-12"/>
          <w:sz w:val="20"/>
        </w:rPr>
        <w:t> </w:t>
      </w:r>
      <w:r>
        <w:rPr>
          <w:sz w:val="20"/>
        </w:rPr>
        <w:t>их</w:t>
      </w:r>
      <w:r>
        <w:rPr>
          <w:spacing w:val="-12"/>
          <w:sz w:val="20"/>
        </w:rPr>
        <w:t> </w:t>
      </w:r>
      <w:r>
        <w:rPr>
          <w:sz w:val="20"/>
        </w:rPr>
        <w:t>помощью</w:t>
      </w:r>
      <w:r>
        <w:rPr>
          <w:spacing w:val="-12"/>
          <w:sz w:val="20"/>
        </w:rPr>
        <w:t> </w:t>
      </w:r>
      <w:r>
        <w:rPr>
          <w:sz w:val="20"/>
        </w:rPr>
        <w:t>отходить</w:t>
      </w:r>
      <w:r>
        <w:rPr>
          <w:spacing w:val="-12"/>
          <w:sz w:val="20"/>
        </w:rPr>
        <w:t> </w:t>
      </w:r>
      <w:r>
        <w:rPr>
          <w:sz w:val="20"/>
        </w:rPr>
        <w:t>от</w:t>
      </w:r>
      <w:r>
        <w:rPr>
          <w:spacing w:val="-12"/>
          <w:sz w:val="20"/>
        </w:rPr>
        <w:t> </w:t>
      </w:r>
      <w:r>
        <w:rPr>
          <w:sz w:val="20"/>
        </w:rPr>
        <w:t>личного,</w:t>
      </w:r>
      <w:r>
        <w:rPr>
          <w:spacing w:val="-12"/>
          <w:sz w:val="20"/>
        </w:rPr>
        <w:t> </w:t>
      </w:r>
      <w:r>
        <w:rPr>
          <w:sz w:val="20"/>
        </w:rPr>
        <w:t>семейного</w:t>
      </w:r>
      <w:r>
        <w:rPr>
          <w:spacing w:val="-12"/>
          <w:sz w:val="20"/>
        </w:rPr>
        <w:t> </w:t>
      </w:r>
      <w:r>
        <w:rPr>
          <w:sz w:val="20"/>
        </w:rPr>
        <w:t>и</w:t>
      </w:r>
      <w:r>
        <w:rPr>
          <w:spacing w:val="-12"/>
          <w:sz w:val="20"/>
        </w:rPr>
        <w:t> </w:t>
      </w:r>
      <w:r>
        <w:rPr>
          <w:sz w:val="20"/>
        </w:rPr>
        <w:t>группово- го опыта, делая его своим собственным;</w:t>
      </w:r>
    </w:p>
    <w:p>
      <w:pPr>
        <w:pStyle w:val="ListParagraph"/>
        <w:numPr>
          <w:ilvl w:val="0"/>
          <w:numId w:val="135"/>
        </w:numPr>
        <w:tabs>
          <w:tab w:pos="425" w:val="left" w:leader="none"/>
        </w:tabs>
        <w:spacing w:line="230" w:lineRule="auto" w:before="0" w:after="0"/>
        <w:ind w:left="425" w:right="139" w:hanging="284"/>
        <w:jc w:val="left"/>
        <w:rPr>
          <w:sz w:val="20"/>
        </w:rPr>
      </w:pPr>
      <w:r>
        <w:rPr>
          <w:sz w:val="20"/>
        </w:rPr>
        <w:t>социального</w:t>
      </w:r>
      <w:r>
        <w:rPr>
          <w:spacing w:val="-7"/>
          <w:sz w:val="20"/>
        </w:rPr>
        <w:t> </w:t>
      </w:r>
      <w:r>
        <w:rPr>
          <w:sz w:val="20"/>
        </w:rPr>
        <w:t>роста</w:t>
      </w:r>
      <w:r>
        <w:rPr>
          <w:spacing w:val="-7"/>
          <w:sz w:val="20"/>
        </w:rPr>
        <w:t> </w:t>
      </w:r>
      <w:r>
        <w:rPr>
          <w:sz w:val="20"/>
        </w:rPr>
        <w:t>благодаря</w:t>
      </w:r>
      <w:r>
        <w:rPr>
          <w:spacing w:val="-7"/>
          <w:sz w:val="20"/>
        </w:rPr>
        <w:t> </w:t>
      </w:r>
      <w:r>
        <w:rPr>
          <w:sz w:val="20"/>
        </w:rPr>
        <w:t>неконкурентоспособным</w:t>
      </w:r>
      <w:r>
        <w:rPr>
          <w:spacing w:val="-7"/>
          <w:sz w:val="20"/>
        </w:rPr>
        <w:t> </w:t>
      </w:r>
      <w:r>
        <w:rPr>
          <w:sz w:val="20"/>
        </w:rPr>
        <w:t>видам</w:t>
      </w:r>
      <w:r>
        <w:rPr>
          <w:spacing w:val="-7"/>
          <w:sz w:val="20"/>
        </w:rPr>
        <w:t> </w:t>
      </w:r>
      <w:r>
        <w:rPr>
          <w:sz w:val="20"/>
        </w:rPr>
        <w:t>деятельности,</w:t>
      </w:r>
      <w:r>
        <w:rPr>
          <w:spacing w:val="-7"/>
          <w:sz w:val="20"/>
        </w:rPr>
        <w:t> </w:t>
      </w:r>
      <w:r>
        <w:rPr>
          <w:sz w:val="20"/>
        </w:rPr>
        <w:t>кото- рые подчеркивают общую ответственность и командную работу.</w:t>
      </w:r>
    </w:p>
    <w:p>
      <w:pPr>
        <w:pStyle w:val="BodyText"/>
        <w:spacing w:line="230" w:lineRule="auto"/>
      </w:pPr>
      <w:r>
        <w:rPr>
          <w:color w:val="231F20"/>
        </w:rPr>
        <w:t>Кроме того, как отмечает С. Rousseau, драма в стенах школы способна помочь мигрантам</w:t>
      </w:r>
      <w:r>
        <w:rPr>
          <w:color w:val="231F20"/>
          <w:spacing w:val="-5"/>
        </w:rPr>
        <w:t> </w:t>
      </w:r>
      <w:r>
        <w:rPr>
          <w:color w:val="231F20"/>
        </w:rPr>
        <w:t>и</w:t>
      </w:r>
      <w:r>
        <w:rPr>
          <w:color w:val="231F20"/>
          <w:spacing w:val="-5"/>
        </w:rPr>
        <w:t> </w:t>
      </w:r>
      <w:r>
        <w:rPr>
          <w:color w:val="231F20"/>
        </w:rPr>
        <w:t>беженцам</w:t>
      </w:r>
      <w:r>
        <w:rPr>
          <w:color w:val="231F20"/>
          <w:spacing w:val="-5"/>
        </w:rPr>
        <w:t> </w:t>
      </w:r>
      <w:r>
        <w:rPr>
          <w:color w:val="231F20"/>
        </w:rPr>
        <w:t>«соединить</w:t>
      </w:r>
      <w:r>
        <w:rPr>
          <w:color w:val="231F20"/>
          <w:spacing w:val="-5"/>
        </w:rPr>
        <w:t> </w:t>
      </w:r>
      <w:r>
        <w:rPr>
          <w:color w:val="231F20"/>
        </w:rPr>
        <w:t>в</w:t>
      </w:r>
      <w:r>
        <w:rPr>
          <w:color w:val="231F20"/>
          <w:spacing w:val="-5"/>
        </w:rPr>
        <w:t> </w:t>
      </w:r>
      <w:r>
        <w:rPr>
          <w:color w:val="231F20"/>
        </w:rPr>
        <w:t>сознании</w:t>
      </w:r>
      <w:r>
        <w:rPr>
          <w:color w:val="231F20"/>
          <w:spacing w:val="-5"/>
        </w:rPr>
        <w:t> </w:t>
      </w:r>
      <w:r>
        <w:rPr>
          <w:color w:val="231F20"/>
        </w:rPr>
        <w:t>прошлое</w:t>
      </w:r>
      <w:r>
        <w:rPr>
          <w:color w:val="231F20"/>
          <w:spacing w:val="-5"/>
        </w:rPr>
        <w:t> </w:t>
      </w:r>
      <w:r>
        <w:rPr>
          <w:color w:val="231F20"/>
        </w:rPr>
        <w:t>и</w:t>
      </w:r>
      <w:r>
        <w:rPr>
          <w:color w:val="231F20"/>
          <w:spacing w:val="-5"/>
        </w:rPr>
        <w:t> </w:t>
      </w:r>
      <w:r>
        <w:rPr>
          <w:color w:val="231F20"/>
        </w:rPr>
        <w:t>настоящее,</w:t>
      </w:r>
      <w:r>
        <w:rPr>
          <w:color w:val="231F20"/>
          <w:spacing w:val="-5"/>
        </w:rPr>
        <w:t> </w:t>
      </w:r>
      <w:r>
        <w:rPr>
          <w:color w:val="231F20"/>
        </w:rPr>
        <w:t>создать</w:t>
      </w:r>
      <w:r>
        <w:rPr>
          <w:color w:val="231F20"/>
          <w:spacing w:val="-5"/>
        </w:rPr>
        <w:t> </w:t>
      </w:r>
      <w:r>
        <w:rPr>
          <w:color w:val="231F20"/>
        </w:rPr>
        <w:t>мостик между</w:t>
      </w:r>
      <w:r>
        <w:rPr>
          <w:color w:val="231F20"/>
          <w:spacing w:val="-11"/>
        </w:rPr>
        <w:t> </w:t>
      </w:r>
      <w:r>
        <w:rPr>
          <w:color w:val="231F20"/>
        </w:rPr>
        <w:t>миром</w:t>
      </w:r>
      <w:r>
        <w:rPr>
          <w:color w:val="231F20"/>
          <w:spacing w:val="-11"/>
        </w:rPr>
        <w:t> </w:t>
      </w:r>
      <w:r>
        <w:rPr>
          <w:color w:val="231F20"/>
        </w:rPr>
        <w:t>дома</w:t>
      </w:r>
      <w:r>
        <w:rPr>
          <w:color w:val="231F20"/>
          <w:spacing w:val="-11"/>
        </w:rPr>
        <w:t> </w:t>
      </w:r>
      <w:r>
        <w:rPr>
          <w:color w:val="231F20"/>
        </w:rPr>
        <w:t>и</w:t>
      </w:r>
      <w:r>
        <w:rPr>
          <w:color w:val="231F20"/>
          <w:spacing w:val="-11"/>
        </w:rPr>
        <w:t> </w:t>
      </w:r>
      <w:r>
        <w:rPr>
          <w:color w:val="231F20"/>
        </w:rPr>
        <w:t>семьи</w:t>
      </w:r>
      <w:r>
        <w:rPr>
          <w:color w:val="231F20"/>
          <w:spacing w:val="-11"/>
        </w:rPr>
        <w:t> </w:t>
      </w:r>
      <w:r>
        <w:rPr>
          <w:color w:val="231F20"/>
        </w:rPr>
        <w:t>и</w:t>
      </w:r>
      <w:r>
        <w:rPr>
          <w:color w:val="231F20"/>
          <w:spacing w:val="-11"/>
        </w:rPr>
        <w:t> </w:t>
      </w:r>
      <w:r>
        <w:rPr>
          <w:color w:val="231F20"/>
        </w:rPr>
        <w:t>миром</w:t>
      </w:r>
      <w:r>
        <w:rPr>
          <w:color w:val="231F20"/>
          <w:spacing w:val="-11"/>
        </w:rPr>
        <w:t> </w:t>
      </w:r>
      <w:r>
        <w:rPr>
          <w:color w:val="231F20"/>
        </w:rPr>
        <w:t>школы,</w:t>
      </w:r>
      <w:r>
        <w:rPr>
          <w:color w:val="231F20"/>
          <w:spacing w:val="-11"/>
        </w:rPr>
        <w:t> </w:t>
      </w:r>
      <w:r>
        <w:rPr>
          <w:color w:val="231F20"/>
        </w:rPr>
        <w:t>а</w:t>
      </w:r>
      <w:r>
        <w:rPr>
          <w:color w:val="231F20"/>
          <w:spacing w:val="-11"/>
        </w:rPr>
        <w:t> </w:t>
      </w:r>
      <w:r>
        <w:rPr>
          <w:color w:val="231F20"/>
        </w:rPr>
        <w:t>также</w:t>
      </w:r>
      <w:r>
        <w:rPr>
          <w:color w:val="231F20"/>
          <w:spacing w:val="-11"/>
        </w:rPr>
        <w:t> </w:t>
      </w:r>
      <w:r>
        <w:rPr>
          <w:color w:val="231F20"/>
        </w:rPr>
        <w:t>преодолеть</w:t>
      </w:r>
      <w:r>
        <w:rPr>
          <w:color w:val="231F20"/>
          <w:spacing w:val="-11"/>
        </w:rPr>
        <w:t> </w:t>
      </w:r>
      <w:r>
        <w:rPr>
          <w:color w:val="231F20"/>
        </w:rPr>
        <w:t>опыт</w:t>
      </w:r>
      <w:r>
        <w:rPr>
          <w:color w:val="231F20"/>
          <w:spacing w:val="-11"/>
        </w:rPr>
        <w:t> </w:t>
      </w:r>
      <w:r>
        <w:rPr>
          <w:color w:val="231F20"/>
        </w:rPr>
        <w:t>потерь</w:t>
      </w:r>
      <w:r>
        <w:rPr>
          <w:color w:val="231F20"/>
          <w:spacing w:val="-11"/>
        </w:rPr>
        <w:t> </w:t>
      </w:r>
      <w:r>
        <w:rPr>
          <w:color w:val="231F20"/>
        </w:rPr>
        <w:t>и</w:t>
      </w:r>
      <w:r>
        <w:rPr>
          <w:color w:val="231F20"/>
          <w:spacing w:val="-11"/>
        </w:rPr>
        <w:t> </w:t>
      </w:r>
      <w:r>
        <w:rPr>
          <w:color w:val="231F20"/>
        </w:rPr>
        <w:t>психо- логической травмы» (Rousseau et al., 2007).</w:t>
      </w:r>
    </w:p>
    <w:p>
      <w:pPr>
        <w:pStyle w:val="BodyText"/>
        <w:spacing w:line="230" w:lineRule="auto"/>
      </w:pPr>
      <w:r>
        <w:rPr>
          <w:color w:val="231F20"/>
        </w:rPr>
        <w:t>По мнению группы исследователей из греческого университета Фессалии (University of Thessaly), драма помогает детям-мигрантам преодолевать реальные и воображаемые</w:t>
      </w:r>
      <w:r>
        <w:rPr>
          <w:color w:val="231F20"/>
          <w:spacing w:val="-5"/>
        </w:rPr>
        <w:t> </w:t>
      </w:r>
      <w:r>
        <w:rPr>
          <w:color w:val="231F20"/>
        </w:rPr>
        <w:t>трудности</w:t>
      </w:r>
      <w:r>
        <w:rPr>
          <w:color w:val="231F20"/>
          <w:spacing w:val="-5"/>
        </w:rPr>
        <w:t> </w:t>
      </w:r>
      <w:r>
        <w:rPr>
          <w:color w:val="231F20"/>
        </w:rPr>
        <w:t>посредством</w:t>
      </w:r>
      <w:r>
        <w:rPr>
          <w:color w:val="231F20"/>
          <w:spacing w:val="-5"/>
        </w:rPr>
        <w:t> </w:t>
      </w:r>
      <w:r>
        <w:rPr>
          <w:color w:val="231F20"/>
        </w:rPr>
        <w:t>участия</w:t>
      </w:r>
      <w:r>
        <w:rPr>
          <w:color w:val="231F20"/>
          <w:spacing w:val="-5"/>
        </w:rPr>
        <w:t> </w:t>
      </w:r>
      <w:r>
        <w:rPr>
          <w:color w:val="231F20"/>
        </w:rPr>
        <w:t>в</w:t>
      </w:r>
      <w:r>
        <w:rPr>
          <w:color w:val="231F20"/>
          <w:spacing w:val="-5"/>
        </w:rPr>
        <w:t> </w:t>
      </w:r>
      <w:r>
        <w:rPr>
          <w:color w:val="231F20"/>
        </w:rPr>
        <w:t>сложной</w:t>
      </w:r>
      <w:r>
        <w:rPr>
          <w:color w:val="231F20"/>
          <w:spacing w:val="-5"/>
        </w:rPr>
        <w:t> </w:t>
      </w:r>
      <w:r>
        <w:rPr>
          <w:color w:val="231F20"/>
        </w:rPr>
        <w:t>умственной</w:t>
      </w:r>
      <w:r>
        <w:rPr>
          <w:color w:val="231F20"/>
          <w:spacing w:val="-5"/>
        </w:rPr>
        <w:t> </w:t>
      </w:r>
      <w:r>
        <w:rPr>
          <w:color w:val="231F20"/>
        </w:rPr>
        <w:t>деятельности, используя игрушки, марионетки и другие предметы символическим образом, «что- бы регулировать свое поведение для разработки расширенных игровых сценариев». Участвуя</w:t>
      </w:r>
      <w:r>
        <w:rPr>
          <w:color w:val="231F20"/>
          <w:spacing w:val="-8"/>
        </w:rPr>
        <w:t> </w:t>
      </w:r>
      <w:r>
        <w:rPr>
          <w:color w:val="231F20"/>
        </w:rPr>
        <w:t>в</w:t>
      </w:r>
      <w:r>
        <w:rPr>
          <w:color w:val="231F20"/>
          <w:spacing w:val="-8"/>
        </w:rPr>
        <w:t> </w:t>
      </w:r>
      <w:r>
        <w:rPr>
          <w:color w:val="231F20"/>
        </w:rPr>
        <w:t>театральных</w:t>
      </w:r>
      <w:r>
        <w:rPr>
          <w:color w:val="231F20"/>
          <w:spacing w:val="-8"/>
        </w:rPr>
        <w:t> </w:t>
      </w:r>
      <w:r>
        <w:rPr>
          <w:color w:val="231F20"/>
        </w:rPr>
        <w:t>мероприятиях,</w:t>
      </w:r>
      <w:r>
        <w:rPr>
          <w:color w:val="231F20"/>
          <w:spacing w:val="-8"/>
        </w:rPr>
        <w:t> </w:t>
      </w:r>
      <w:r>
        <w:rPr>
          <w:color w:val="231F20"/>
        </w:rPr>
        <w:t>многоязычные</w:t>
      </w:r>
      <w:r>
        <w:rPr>
          <w:color w:val="231F20"/>
          <w:spacing w:val="-8"/>
        </w:rPr>
        <w:t> </w:t>
      </w:r>
      <w:r>
        <w:rPr>
          <w:color w:val="231F20"/>
        </w:rPr>
        <w:t>обучающиеся</w:t>
      </w:r>
      <w:r>
        <w:rPr>
          <w:color w:val="231F20"/>
          <w:spacing w:val="-8"/>
        </w:rPr>
        <w:t> </w:t>
      </w:r>
      <w:r>
        <w:rPr>
          <w:color w:val="231F20"/>
        </w:rPr>
        <w:t>используют</w:t>
      </w:r>
      <w:r>
        <w:rPr>
          <w:color w:val="231F20"/>
          <w:spacing w:val="-8"/>
        </w:rPr>
        <w:t> </w:t>
      </w:r>
      <w:r>
        <w:rPr>
          <w:color w:val="231F20"/>
        </w:rPr>
        <w:t>ме- такоммуникативные возможности и расширяют свой языковой кругозор (Vitsou M. et</w:t>
      </w:r>
      <w:r>
        <w:rPr>
          <w:color w:val="231F20"/>
          <w:spacing w:val="-1"/>
        </w:rPr>
        <w:t> </w:t>
      </w:r>
      <w:r>
        <w:rPr>
          <w:color w:val="231F20"/>
        </w:rPr>
        <w:t>al.,</w:t>
      </w:r>
      <w:r>
        <w:rPr>
          <w:color w:val="231F20"/>
          <w:spacing w:val="-1"/>
        </w:rPr>
        <w:t> </w:t>
      </w:r>
      <w:r>
        <w:rPr>
          <w:color w:val="231F20"/>
        </w:rPr>
        <w:t>2021).</w:t>
      </w:r>
      <w:r>
        <w:rPr>
          <w:color w:val="231F20"/>
          <w:spacing w:val="-1"/>
        </w:rPr>
        <w:t> </w:t>
      </w:r>
      <w:r>
        <w:rPr>
          <w:color w:val="231F20"/>
        </w:rPr>
        <w:t>В</w:t>
      </w:r>
      <w:r>
        <w:rPr>
          <w:color w:val="231F20"/>
          <w:spacing w:val="-1"/>
        </w:rPr>
        <w:t> </w:t>
      </w:r>
      <w:r>
        <w:rPr>
          <w:color w:val="231F20"/>
        </w:rPr>
        <w:t>результате</w:t>
      </w:r>
      <w:r>
        <w:rPr>
          <w:color w:val="231F20"/>
          <w:spacing w:val="-1"/>
        </w:rPr>
        <w:t> </w:t>
      </w:r>
      <w:r>
        <w:rPr>
          <w:color w:val="231F20"/>
        </w:rPr>
        <w:t>серии</w:t>
      </w:r>
      <w:r>
        <w:rPr>
          <w:color w:val="231F20"/>
          <w:spacing w:val="-1"/>
        </w:rPr>
        <w:t> </w:t>
      </w:r>
      <w:r>
        <w:rPr>
          <w:color w:val="231F20"/>
        </w:rPr>
        <w:t>исследований</w:t>
      </w:r>
      <w:r>
        <w:rPr>
          <w:color w:val="231F20"/>
          <w:spacing w:val="-1"/>
        </w:rPr>
        <w:t> </w:t>
      </w:r>
      <w:r>
        <w:rPr>
          <w:color w:val="231F20"/>
        </w:rPr>
        <w:t>учеными</w:t>
      </w:r>
      <w:r>
        <w:rPr>
          <w:color w:val="231F20"/>
          <w:spacing w:val="-1"/>
        </w:rPr>
        <w:t> </w:t>
      </w:r>
      <w:r>
        <w:rPr>
          <w:color w:val="231F20"/>
        </w:rPr>
        <w:t>было</w:t>
      </w:r>
      <w:r>
        <w:rPr>
          <w:color w:val="231F20"/>
          <w:spacing w:val="-1"/>
        </w:rPr>
        <w:t> </w:t>
      </w:r>
      <w:r>
        <w:rPr>
          <w:color w:val="231F20"/>
        </w:rPr>
        <w:t>показано,</w:t>
      </w:r>
      <w:r>
        <w:rPr>
          <w:color w:val="231F20"/>
          <w:spacing w:val="-1"/>
        </w:rPr>
        <w:t> </w:t>
      </w:r>
      <w:r>
        <w:rPr>
          <w:color w:val="231F20"/>
        </w:rPr>
        <w:t>что</w:t>
      </w:r>
      <w:r>
        <w:rPr>
          <w:color w:val="231F20"/>
          <w:spacing w:val="-1"/>
        </w:rPr>
        <w:t> </w:t>
      </w:r>
      <w:r>
        <w:rPr>
          <w:color w:val="231F20"/>
        </w:rPr>
        <w:t>создание теплой и гостеприимной обстановки (в т.ч. посредством театральной деятельности) имеет решающее значение в работе с детьми-мигрантами и их адаптации к новым социокультурным условиям.</w:t>
      </w:r>
    </w:p>
    <w:p>
      <w:pPr>
        <w:pStyle w:val="BodyText"/>
        <w:spacing w:line="235" w:lineRule="auto"/>
      </w:pPr>
      <w:r>
        <w:rPr>
          <w:color w:val="231F20"/>
        </w:rPr>
        <w:t>В последние годы в разных странах Европы было реализовано множество об- разовательных проектов, основанных на принципах театральной педагогики (REACT</w:t>
      </w:r>
      <w:r>
        <w:rPr>
          <w:color w:val="231F20"/>
          <w:vertAlign w:val="superscript"/>
        </w:rPr>
        <w:t>1</w:t>
      </w:r>
      <w:r>
        <w:rPr>
          <w:color w:val="231F20"/>
          <w:vertAlign w:val="baseline"/>
        </w:rPr>
        <w:t>,</w:t>
      </w:r>
      <w:r>
        <w:rPr>
          <w:color w:val="231F20"/>
          <w:spacing w:val="34"/>
          <w:vertAlign w:val="baseline"/>
        </w:rPr>
        <w:t> </w:t>
      </w:r>
      <w:r>
        <w:rPr>
          <w:color w:val="231F20"/>
          <w:vertAlign w:val="baseline"/>
        </w:rPr>
        <w:t>Cantieri</w:t>
      </w:r>
      <w:r>
        <w:rPr>
          <w:color w:val="231F20"/>
          <w:spacing w:val="35"/>
          <w:vertAlign w:val="baseline"/>
        </w:rPr>
        <w:t> </w:t>
      </w:r>
      <w:r>
        <w:rPr>
          <w:color w:val="231F20"/>
          <w:vertAlign w:val="baseline"/>
        </w:rPr>
        <w:t>Meticci</w:t>
      </w:r>
      <w:r>
        <w:rPr>
          <w:color w:val="231F20"/>
          <w:vertAlign w:val="superscript"/>
        </w:rPr>
        <w:t>2</w:t>
      </w:r>
      <w:r>
        <w:rPr>
          <w:color w:val="231F20"/>
          <w:vertAlign w:val="baseline"/>
        </w:rPr>
        <w:t>,</w:t>
      </w:r>
      <w:r>
        <w:rPr>
          <w:color w:val="231F20"/>
          <w:spacing w:val="35"/>
          <w:vertAlign w:val="baseline"/>
        </w:rPr>
        <w:t> </w:t>
      </w:r>
      <w:r>
        <w:rPr>
          <w:color w:val="231F20"/>
          <w:vertAlign w:val="baseline"/>
        </w:rPr>
        <w:t>the</w:t>
      </w:r>
      <w:r>
        <w:rPr>
          <w:color w:val="231F20"/>
          <w:spacing w:val="24"/>
          <w:vertAlign w:val="baseline"/>
        </w:rPr>
        <w:t> </w:t>
      </w:r>
      <w:r>
        <w:rPr>
          <w:color w:val="231F20"/>
          <w:vertAlign w:val="baseline"/>
        </w:rPr>
        <w:t>Acting</w:t>
      </w:r>
      <w:r>
        <w:rPr>
          <w:color w:val="231F20"/>
          <w:spacing w:val="34"/>
          <w:vertAlign w:val="baseline"/>
        </w:rPr>
        <w:t> </w:t>
      </w:r>
      <w:r>
        <w:rPr>
          <w:color w:val="231F20"/>
          <w:vertAlign w:val="baseline"/>
        </w:rPr>
        <w:t>project</w:t>
      </w:r>
      <w:r>
        <w:rPr>
          <w:color w:val="231F20"/>
          <w:vertAlign w:val="superscript"/>
        </w:rPr>
        <w:t>3</w:t>
      </w:r>
      <w:r>
        <w:rPr>
          <w:color w:val="231F20"/>
          <w:vertAlign w:val="baseline"/>
        </w:rPr>
        <w:t>,</w:t>
      </w:r>
      <w:r>
        <w:rPr>
          <w:color w:val="231F20"/>
          <w:spacing w:val="34"/>
          <w:vertAlign w:val="baseline"/>
        </w:rPr>
        <w:t> </w:t>
      </w:r>
      <w:r>
        <w:rPr>
          <w:color w:val="231F20"/>
          <w:vertAlign w:val="baseline"/>
        </w:rPr>
        <w:t>Literacy</w:t>
      </w:r>
      <w:r>
        <w:rPr>
          <w:color w:val="231F20"/>
          <w:spacing w:val="34"/>
          <w:vertAlign w:val="baseline"/>
        </w:rPr>
        <w:t> </w:t>
      </w:r>
      <w:r>
        <w:rPr>
          <w:color w:val="231F20"/>
          <w:vertAlign w:val="baseline"/>
        </w:rPr>
        <w:t>through</w:t>
      </w:r>
      <w:r>
        <w:rPr>
          <w:color w:val="231F20"/>
          <w:spacing w:val="35"/>
          <w:vertAlign w:val="baseline"/>
        </w:rPr>
        <w:t> </w:t>
      </w:r>
      <w:r>
        <w:rPr>
          <w:color w:val="231F20"/>
          <w:vertAlign w:val="baseline"/>
        </w:rPr>
        <w:t>Drama</w:t>
      </w:r>
      <w:r>
        <w:rPr>
          <w:color w:val="231F20"/>
          <w:vertAlign w:val="superscript"/>
        </w:rPr>
        <w:t>4</w:t>
      </w:r>
      <w:r>
        <w:rPr>
          <w:color w:val="231F20"/>
          <w:vertAlign w:val="baseline"/>
        </w:rPr>
        <w:t>).</w:t>
      </w:r>
      <w:r>
        <w:rPr>
          <w:color w:val="231F20"/>
          <w:spacing w:val="35"/>
          <w:vertAlign w:val="baseline"/>
        </w:rPr>
        <w:t> </w:t>
      </w:r>
      <w:r>
        <w:rPr>
          <w:color w:val="231F20"/>
          <w:vertAlign w:val="baseline"/>
        </w:rPr>
        <w:t>Одной</w:t>
      </w:r>
      <w:r>
        <w:rPr>
          <w:color w:val="231F20"/>
          <w:spacing w:val="35"/>
          <w:vertAlign w:val="baseline"/>
        </w:rPr>
        <w:t> </w:t>
      </w:r>
      <w:r>
        <w:rPr>
          <w:color w:val="231F20"/>
          <w:spacing w:val="-5"/>
          <w:vertAlign w:val="baseline"/>
        </w:rPr>
        <w:t>из</w:t>
      </w:r>
    </w:p>
    <w:p>
      <w:pPr>
        <w:pStyle w:val="BodyText"/>
        <w:spacing w:before="2"/>
        <w:ind w:left="0" w:right="0" w:firstLine="0"/>
        <w:jc w:val="left"/>
        <w:rPr>
          <w:sz w:val="4"/>
        </w:rPr>
      </w:pPr>
      <w:r>
        <w:rPr>
          <w:sz w:val="4"/>
        </w:rPr>
        <mc:AlternateContent>
          <mc:Choice Requires="wps">
            <w:drawing>
              <wp:anchor distT="0" distB="0" distL="0" distR="0" allowOverlap="1" layoutInCell="1" locked="0" behindDoc="1" simplePos="0" relativeHeight="487627776">
                <wp:simplePos x="0" y="0"/>
                <wp:positionH relativeFrom="page">
                  <wp:posOffset>359999</wp:posOffset>
                </wp:positionH>
                <wp:positionV relativeFrom="paragraph">
                  <wp:posOffset>46045</wp:posOffset>
                </wp:positionV>
                <wp:extent cx="1440180" cy="1270"/>
                <wp:effectExtent l="0" t="0" r="0" b="0"/>
                <wp:wrapTopAndBottom/>
                <wp:docPr id="125" name="Graphic 125"/>
                <wp:cNvGraphicFramePr>
                  <a:graphicFrameLocks/>
                </wp:cNvGraphicFramePr>
                <a:graphic>
                  <a:graphicData uri="http://schemas.microsoft.com/office/word/2010/wordprocessingShape">
                    <wps:wsp>
                      <wps:cNvPr id="125" name="Graphic 125"/>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399pt;margin-top:3.625609pt;width:113.4pt;height:.1pt;mso-position-horizontal-relative:page;mso-position-vertical-relative:paragraph;z-index:-15688704;mso-wrap-distance-left:0;mso-wrap-distance-right:0" id="docshape80" coordorigin="567,73" coordsize="2268,0" path="m567,73l2835,73e" filled="false" stroked="true" strokeweight=".5pt" strokecolor="#231f20">
                <v:path arrowok="t"/>
                <v:stroke dashstyle="solid"/>
                <w10:wrap type="topAndBottom"/>
              </v:shape>
            </w:pict>
          </mc:Fallback>
        </mc:AlternateContent>
      </w:r>
    </w:p>
    <w:p>
      <w:pPr>
        <w:tabs>
          <w:tab w:pos="425" w:val="left" w:leader="none"/>
        </w:tabs>
        <w:spacing w:line="232" w:lineRule="auto" w:before="32"/>
        <w:ind w:left="141" w:right="140" w:firstLine="0"/>
        <w:jc w:val="left"/>
        <w:rPr>
          <w:sz w:val="18"/>
        </w:rPr>
      </w:pPr>
      <w:r>
        <w:rPr>
          <w:color w:val="231F20"/>
          <w:spacing w:val="-10"/>
          <w:sz w:val="18"/>
          <w:vertAlign w:val="superscript"/>
        </w:rPr>
        <w:t>1</w:t>
      </w:r>
      <w:r>
        <w:rPr>
          <w:color w:val="231F20"/>
          <w:sz w:val="18"/>
          <w:vertAlign w:val="baseline"/>
        </w:rPr>
        <w:tab/>
        <w:t>URL:</w:t>
      </w:r>
      <w:r>
        <w:rPr>
          <w:color w:val="231F20"/>
          <w:spacing w:val="80"/>
          <w:sz w:val="18"/>
          <w:vertAlign w:val="baseline"/>
        </w:rPr>
        <w:t> </w:t>
      </w:r>
      <w:hyperlink r:id="rId130">
        <w:r>
          <w:rPr>
            <w:color w:val="2255A6"/>
            <w:sz w:val="18"/>
            <w:u w:val="single" w:color="2255A6"/>
            <w:vertAlign w:val="baseline"/>
          </w:rPr>
          <w:t>https://culture.ec.europa.eu/news/react-community-theatre-setting-the-stage-for-</w:t>
        </w:r>
        <w:r>
          <w:rPr>
            <w:color w:val="2255A6"/>
            <w:sz w:val="18"/>
            <w:u w:val="single" w:color="2255A6"/>
            <w:vertAlign w:val="baseline"/>
          </w:rPr>
          <w:t>refugee-</w:t>
        </w:r>
      </w:hyperlink>
      <w:r>
        <w:rPr>
          <w:color w:val="2255A6"/>
          <w:sz w:val="18"/>
          <w:vertAlign w:val="baseline"/>
        </w:rPr>
        <w:t> </w:t>
      </w:r>
      <w:hyperlink r:id="rId130">
        <w:r>
          <w:rPr>
            <w:color w:val="2255A6"/>
            <w:spacing w:val="-2"/>
            <w:sz w:val="18"/>
            <w:u w:val="single" w:color="2255A6"/>
            <w:vertAlign w:val="baseline"/>
          </w:rPr>
          <w:t>integration</w:t>
        </w:r>
      </w:hyperlink>
      <w:r>
        <w:rPr>
          <w:color w:val="231F20"/>
          <w:spacing w:val="-2"/>
          <w:sz w:val="18"/>
          <w:vertAlign w:val="baseline"/>
        </w:rPr>
        <w:t>.</w:t>
      </w:r>
    </w:p>
    <w:p>
      <w:pPr>
        <w:tabs>
          <w:tab w:pos="425" w:val="left" w:leader="none"/>
          <w:tab w:pos="1241" w:val="left" w:leader="none"/>
        </w:tabs>
        <w:spacing w:line="232" w:lineRule="auto" w:before="55"/>
        <w:ind w:left="141" w:right="139" w:firstLine="0"/>
        <w:jc w:val="left"/>
        <w:rPr>
          <w:sz w:val="18"/>
        </w:rPr>
      </w:pPr>
      <w:r>
        <w:rPr>
          <w:color w:val="231F20"/>
          <w:spacing w:val="-10"/>
          <w:sz w:val="18"/>
          <w:vertAlign w:val="superscript"/>
        </w:rPr>
        <w:t>2</w:t>
      </w:r>
      <w:r>
        <w:rPr>
          <w:color w:val="231F20"/>
          <w:sz w:val="18"/>
          <w:vertAlign w:val="baseline"/>
        </w:rPr>
        <w:tab/>
      </w:r>
      <w:r>
        <w:rPr>
          <w:color w:val="231F20"/>
          <w:spacing w:val="-4"/>
          <w:sz w:val="18"/>
          <w:vertAlign w:val="baseline"/>
        </w:rPr>
        <w:t>URL:</w:t>
      </w:r>
      <w:r>
        <w:rPr>
          <w:color w:val="231F20"/>
          <w:sz w:val="18"/>
          <w:vertAlign w:val="baseline"/>
        </w:rPr>
        <w:tab/>
      </w:r>
      <w:hyperlink r:id="rId131">
        <w:r>
          <w:rPr>
            <w:color w:val="2255A6"/>
            <w:spacing w:val="-2"/>
            <w:sz w:val="18"/>
            <w:u w:val="single" w:color="2255A6"/>
            <w:vertAlign w:val="baseline"/>
          </w:rPr>
          <w:t>https://ec.europa.eu/migrant-integration/integration-practice/cantieri-meticci-</w:t>
        </w:r>
        <w:r>
          <w:rPr>
            <w:color w:val="2255A6"/>
            <w:spacing w:val="-2"/>
            <w:sz w:val="18"/>
            <w:u w:val="single" w:color="2255A6"/>
            <w:vertAlign w:val="baseline"/>
          </w:rPr>
          <w:t>refugee-</w:t>
        </w:r>
      </w:hyperlink>
      <w:r>
        <w:rPr>
          <w:color w:val="2255A6"/>
          <w:spacing w:val="-2"/>
          <w:sz w:val="18"/>
          <w:vertAlign w:val="baseline"/>
        </w:rPr>
        <w:t> </w:t>
      </w:r>
      <w:hyperlink r:id="rId131">
        <w:r>
          <w:rPr>
            <w:color w:val="2255A6"/>
            <w:spacing w:val="-2"/>
            <w:sz w:val="18"/>
            <w:u w:val="single" w:color="2255A6"/>
            <w:vertAlign w:val="baseline"/>
          </w:rPr>
          <w:t>theatre-company_en</w:t>
        </w:r>
      </w:hyperlink>
      <w:r>
        <w:rPr>
          <w:color w:val="231F20"/>
          <w:spacing w:val="-2"/>
          <w:sz w:val="18"/>
          <w:vertAlign w:val="baseline"/>
        </w:rPr>
        <w:t>.</w:t>
      </w:r>
    </w:p>
    <w:p>
      <w:pPr>
        <w:tabs>
          <w:tab w:pos="425" w:val="left" w:leader="none"/>
        </w:tabs>
        <w:spacing w:line="232" w:lineRule="auto" w:before="55"/>
        <w:ind w:left="141" w:right="140" w:firstLine="0"/>
        <w:jc w:val="left"/>
        <w:rPr>
          <w:sz w:val="18"/>
        </w:rPr>
      </w:pPr>
      <w:r>
        <w:rPr>
          <w:color w:val="231F20"/>
          <w:spacing w:val="-10"/>
          <w:sz w:val="18"/>
          <w:vertAlign w:val="superscript"/>
        </w:rPr>
        <w:t>3</w:t>
      </w:r>
      <w:r>
        <w:rPr>
          <w:color w:val="231F20"/>
          <w:sz w:val="18"/>
          <w:vertAlign w:val="baseline"/>
        </w:rPr>
        <w:tab/>
        <w:t>URL:</w:t>
      </w:r>
      <w:r>
        <w:rPr>
          <w:color w:val="231F20"/>
          <w:spacing w:val="80"/>
          <w:w w:val="150"/>
          <w:sz w:val="18"/>
          <w:vertAlign w:val="baseline"/>
        </w:rPr>
        <w:t> </w:t>
      </w:r>
      <w:hyperlink r:id="rId132">
        <w:r>
          <w:rPr>
            <w:color w:val="2255A6"/>
            <w:sz w:val="18"/>
            <w:u w:val="single" w:color="2255A6"/>
            <w:vertAlign w:val="baseline"/>
          </w:rPr>
          <w:t>https://globalcompactrefugees.org/article/acting-project-theatre-and-refugee-</w:t>
        </w:r>
        <w:r>
          <w:rPr>
            <w:color w:val="2255A6"/>
            <w:sz w:val="18"/>
            <w:u w:val="single" w:color="2255A6"/>
            <w:vertAlign w:val="baseline"/>
          </w:rPr>
          <w:t>integration-</w:t>
        </w:r>
      </w:hyperlink>
      <w:r>
        <w:rPr>
          <w:color w:val="2255A6"/>
          <w:sz w:val="18"/>
          <w:vertAlign w:val="baseline"/>
        </w:rPr>
        <w:t> </w:t>
      </w:r>
      <w:hyperlink r:id="rId132">
        <w:r>
          <w:rPr>
            <w:color w:val="2255A6"/>
            <w:spacing w:val="-2"/>
            <w:sz w:val="18"/>
            <w:u w:val="single" w:color="2255A6"/>
            <w:vertAlign w:val="baseline"/>
          </w:rPr>
          <w:t>greece</w:t>
        </w:r>
      </w:hyperlink>
      <w:r>
        <w:rPr>
          <w:color w:val="231F20"/>
          <w:spacing w:val="-2"/>
          <w:sz w:val="18"/>
          <w:vertAlign w:val="baseline"/>
        </w:rPr>
        <w:t>.</w:t>
      </w:r>
    </w:p>
    <w:p>
      <w:pPr>
        <w:tabs>
          <w:tab w:pos="425" w:val="left" w:leader="none"/>
        </w:tabs>
        <w:spacing w:line="232" w:lineRule="auto" w:before="55"/>
        <w:ind w:left="141" w:right="140" w:firstLine="0"/>
        <w:jc w:val="left"/>
        <w:rPr>
          <w:sz w:val="18"/>
        </w:rPr>
      </w:pPr>
      <w:r>
        <w:rPr>
          <w:color w:val="231F20"/>
          <w:spacing w:val="-10"/>
          <w:sz w:val="18"/>
          <w:vertAlign w:val="superscript"/>
        </w:rPr>
        <w:t>4</w:t>
      </w:r>
      <w:r>
        <w:rPr>
          <w:color w:val="231F20"/>
          <w:sz w:val="18"/>
          <w:vertAlign w:val="baseline"/>
        </w:rPr>
        <w:tab/>
        <w:t>Vitsou M., et al. (2019). Drama pedagogy for refugee children: a means for empowerment and communication. Babylonia, 3, 44–49.</w:t>
      </w:r>
    </w:p>
    <w:p>
      <w:pPr>
        <w:spacing w:after="0" w:line="232" w:lineRule="auto"/>
        <w:jc w:val="left"/>
        <w:rPr>
          <w:sz w:val="18"/>
        </w:rPr>
        <w:sectPr>
          <w:pgSz w:w="8400" w:h="11910"/>
          <w:pgMar w:header="0" w:footer="527" w:top="400" w:bottom="72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5"/>
          <w:sz w:val="18"/>
        </w:rPr>
        <w:t> </w:t>
      </w:r>
      <w:r>
        <w:rPr>
          <w:rFonts w:ascii="Georgia" w:hAnsi="Georgia"/>
          <w:color w:val="231F20"/>
          <w:sz w:val="18"/>
        </w:rPr>
        <w:t>Методы</w:t>
      </w:r>
      <w:r>
        <w:rPr>
          <w:rFonts w:ascii="Georgia" w:hAnsi="Georgia"/>
          <w:color w:val="231F20"/>
          <w:spacing w:val="-5"/>
          <w:sz w:val="18"/>
        </w:rPr>
        <w:t> </w:t>
      </w:r>
      <w:r>
        <w:rPr>
          <w:rFonts w:ascii="Georgia" w:hAnsi="Georgia"/>
          <w:color w:val="231F20"/>
          <w:sz w:val="18"/>
        </w:rPr>
        <w:t>воспитательной</w:t>
      </w:r>
      <w:r>
        <w:rPr>
          <w:rFonts w:ascii="Georgia" w:hAnsi="Georgia"/>
          <w:color w:val="231F20"/>
          <w:spacing w:val="-4"/>
          <w:sz w:val="18"/>
        </w:rPr>
        <w:t> </w:t>
      </w:r>
      <w:r>
        <w:rPr>
          <w:rFonts w:ascii="Georgia" w:hAnsi="Georgia"/>
          <w:color w:val="231F20"/>
          <w:sz w:val="18"/>
        </w:rPr>
        <w:t>раюоты</w:t>
      </w:r>
      <w:r>
        <w:rPr>
          <w:rFonts w:ascii="Georgia" w:hAnsi="Georgia"/>
          <w:color w:val="231F20"/>
          <w:spacing w:val="-5"/>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w:t>
      </w:r>
      <w:r>
        <w:rPr>
          <w:rFonts w:ascii="Georgia" w:hAnsi="Georgia"/>
          <w:color w:val="231F20"/>
          <w:spacing w:val="-4"/>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BodyText"/>
        <w:spacing w:line="235" w:lineRule="auto" w:before="116"/>
        <w:ind w:firstLine="0"/>
      </w:pPr>
      <w:r>
        <w:rPr>
          <w:color w:val="231F20"/>
        </w:rPr>
        <w:t>таких масштабных международных инициатив стал проект </w:t>
      </w:r>
      <w:r>
        <w:rPr>
          <w:i/>
          <w:color w:val="231F20"/>
        </w:rPr>
        <w:t>Refugees Wellschool (Psychosocial</w:t>
      </w:r>
      <w:r>
        <w:rPr>
          <w:i/>
          <w:color w:val="231F20"/>
          <w:spacing w:val="-4"/>
        </w:rPr>
        <w:t> </w:t>
      </w:r>
      <w:r>
        <w:rPr>
          <w:i/>
          <w:color w:val="231F20"/>
        </w:rPr>
        <w:t>support</w:t>
      </w:r>
      <w:r>
        <w:rPr>
          <w:i/>
          <w:color w:val="231F20"/>
          <w:spacing w:val="-4"/>
        </w:rPr>
        <w:t> </w:t>
      </w:r>
      <w:r>
        <w:rPr>
          <w:i/>
          <w:color w:val="231F20"/>
        </w:rPr>
        <w:t>for adolescent</w:t>
      </w:r>
      <w:r>
        <w:rPr>
          <w:i/>
          <w:color w:val="231F20"/>
          <w:spacing w:val="-4"/>
        </w:rPr>
        <w:t> </w:t>
      </w:r>
      <w:r>
        <w:rPr>
          <w:i/>
          <w:color w:val="231F20"/>
        </w:rPr>
        <w:t>refugees</w:t>
      </w:r>
      <w:r>
        <w:rPr>
          <w:i/>
          <w:color w:val="231F20"/>
          <w:spacing w:val="-5"/>
        </w:rPr>
        <w:t> </w:t>
      </w:r>
      <w:r>
        <w:rPr>
          <w:i/>
          <w:color w:val="231F20"/>
        </w:rPr>
        <w:t>and</w:t>
      </w:r>
      <w:r>
        <w:rPr>
          <w:i/>
          <w:color w:val="231F20"/>
          <w:spacing w:val="-4"/>
        </w:rPr>
        <w:t> </w:t>
      </w:r>
      <w:r>
        <w:rPr>
          <w:i/>
          <w:color w:val="231F20"/>
        </w:rPr>
        <w:t>migrants in schools), </w:t>
      </w:r>
      <w:r>
        <w:rPr>
          <w:color w:val="231F20"/>
        </w:rPr>
        <w:t>объединивший педагогов из Дании, Великобритании, Бельгии, Швеции и Норвегии. Среди прочих технологий</w:t>
      </w:r>
      <w:r>
        <w:rPr>
          <w:color w:val="231F20"/>
          <w:spacing w:val="-7"/>
        </w:rPr>
        <w:t> </w:t>
      </w:r>
      <w:r>
        <w:rPr>
          <w:color w:val="231F20"/>
        </w:rPr>
        <w:t>программа</w:t>
      </w:r>
      <w:r>
        <w:rPr>
          <w:color w:val="231F20"/>
          <w:spacing w:val="-7"/>
        </w:rPr>
        <w:t> </w:t>
      </w:r>
      <w:r>
        <w:rPr>
          <w:color w:val="231F20"/>
        </w:rPr>
        <w:t>занятий</w:t>
      </w:r>
      <w:r>
        <w:rPr>
          <w:color w:val="231F20"/>
          <w:spacing w:val="-7"/>
        </w:rPr>
        <w:t> </w:t>
      </w:r>
      <w:r>
        <w:rPr>
          <w:color w:val="231F20"/>
        </w:rPr>
        <w:t>с</w:t>
      </w:r>
      <w:r>
        <w:rPr>
          <w:color w:val="231F20"/>
          <w:spacing w:val="-7"/>
        </w:rPr>
        <w:t> </w:t>
      </w:r>
      <w:r>
        <w:rPr>
          <w:color w:val="231F20"/>
        </w:rPr>
        <w:t>детьми</w:t>
      </w:r>
      <w:r>
        <w:rPr>
          <w:color w:val="231F20"/>
          <w:spacing w:val="-7"/>
        </w:rPr>
        <w:t> </w:t>
      </w:r>
      <w:r>
        <w:rPr>
          <w:color w:val="231F20"/>
        </w:rPr>
        <w:t>и</w:t>
      </w:r>
      <w:r>
        <w:rPr>
          <w:color w:val="231F20"/>
          <w:spacing w:val="-7"/>
        </w:rPr>
        <w:t> </w:t>
      </w:r>
      <w:r>
        <w:rPr>
          <w:color w:val="231F20"/>
        </w:rPr>
        <w:t>подростками-мигрантами</w:t>
      </w:r>
      <w:r>
        <w:rPr>
          <w:color w:val="231F20"/>
          <w:spacing w:val="-7"/>
        </w:rPr>
        <w:t> </w:t>
      </w:r>
      <w:r>
        <w:rPr>
          <w:color w:val="231F20"/>
        </w:rPr>
        <w:t>включала</w:t>
      </w:r>
      <w:r>
        <w:rPr>
          <w:color w:val="231F20"/>
          <w:spacing w:val="-7"/>
        </w:rPr>
        <w:t> </w:t>
      </w:r>
      <w:r>
        <w:rPr>
          <w:color w:val="231F20"/>
        </w:rPr>
        <w:t>в</w:t>
      </w:r>
      <w:r>
        <w:rPr>
          <w:color w:val="231F20"/>
          <w:spacing w:val="-7"/>
        </w:rPr>
        <w:t> </w:t>
      </w:r>
      <w:r>
        <w:rPr>
          <w:color w:val="231F20"/>
        </w:rPr>
        <w:t>себя Театр</w:t>
      </w:r>
      <w:r>
        <w:rPr>
          <w:color w:val="231F20"/>
          <w:spacing w:val="-12"/>
        </w:rPr>
        <w:t> </w:t>
      </w:r>
      <w:r>
        <w:rPr>
          <w:color w:val="231F20"/>
        </w:rPr>
        <w:t>плюрализма</w:t>
      </w:r>
      <w:r>
        <w:rPr>
          <w:color w:val="231F20"/>
          <w:spacing w:val="-12"/>
        </w:rPr>
        <w:t> </w:t>
      </w:r>
      <w:r>
        <w:rPr>
          <w:i/>
          <w:color w:val="231F20"/>
        </w:rPr>
        <w:t>(Plurality</w:t>
      </w:r>
      <w:r>
        <w:rPr>
          <w:i/>
          <w:color w:val="231F20"/>
          <w:spacing w:val="-12"/>
        </w:rPr>
        <w:t> </w:t>
      </w:r>
      <w:r>
        <w:rPr>
          <w:i/>
          <w:color w:val="231F20"/>
        </w:rPr>
        <w:t>theatre)</w:t>
      </w:r>
      <w:r>
        <w:rPr>
          <w:i/>
          <w:color w:val="231F20"/>
          <w:spacing w:val="-12"/>
        </w:rPr>
        <w:t> </w:t>
      </w:r>
      <w:r>
        <w:rPr>
          <w:color w:val="231F20"/>
        </w:rPr>
        <w:t>–</w:t>
      </w:r>
      <w:r>
        <w:rPr>
          <w:color w:val="231F20"/>
          <w:spacing w:val="-12"/>
        </w:rPr>
        <w:t> </w:t>
      </w:r>
      <w:r>
        <w:rPr>
          <w:color w:val="231F20"/>
        </w:rPr>
        <w:t>серию</w:t>
      </w:r>
      <w:r>
        <w:rPr>
          <w:color w:val="231F20"/>
          <w:spacing w:val="-12"/>
        </w:rPr>
        <w:t> </w:t>
      </w:r>
      <w:r>
        <w:rPr>
          <w:color w:val="231F20"/>
        </w:rPr>
        <w:t>семинаров</w:t>
      </w:r>
      <w:r>
        <w:rPr>
          <w:color w:val="231F20"/>
          <w:spacing w:val="-12"/>
        </w:rPr>
        <w:t> </w:t>
      </w:r>
      <w:r>
        <w:rPr>
          <w:color w:val="231F20"/>
        </w:rPr>
        <w:t>по</w:t>
      </w:r>
      <w:r>
        <w:rPr>
          <w:color w:val="231F20"/>
          <w:spacing w:val="-12"/>
        </w:rPr>
        <w:t> </w:t>
      </w:r>
      <w:r>
        <w:rPr>
          <w:color w:val="231F20"/>
        </w:rPr>
        <w:t>творческому</w:t>
      </w:r>
      <w:r>
        <w:rPr>
          <w:color w:val="231F20"/>
          <w:spacing w:val="-12"/>
        </w:rPr>
        <w:t> </w:t>
      </w:r>
      <w:r>
        <w:rPr>
          <w:color w:val="231F20"/>
        </w:rPr>
        <w:t>самовыраже- нию,</w:t>
      </w:r>
      <w:r>
        <w:rPr>
          <w:color w:val="231F20"/>
          <w:spacing w:val="-4"/>
        </w:rPr>
        <w:t> </w:t>
      </w:r>
      <w:r>
        <w:rPr>
          <w:color w:val="231F20"/>
        </w:rPr>
        <w:t>главной</w:t>
      </w:r>
      <w:r>
        <w:rPr>
          <w:color w:val="231F20"/>
          <w:spacing w:val="-4"/>
        </w:rPr>
        <w:t> </w:t>
      </w:r>
      <w:r>
        <w:rPr>
          <w:color w:val="231F20"/>
        </w:rPr>
        <w:t>задачей</w:t>
      </w:r>
      <w:r>
        <w:rPr>
          <w:color w:val="231F20"/>
          <w:spacing w:val="-4"/>
        </w:rPr>
        <w:t> </w:t>
      </w:r>
      <w:r>
        <w:rPr>
          <w:color w:val="231F20"/>
        </w:rPr>
        <w:t>которых</w:t>
      </w:r>
      <w:r>
        <w:rPr>
          <w:color w:val="231F20"/>
          <w:spacing w:val="-4"/>
        </w:rPr>
        <w:t> </w:t>
      </w:r>
      <w:r>
        <w:rPr>
          <w:color w:val="231F20"/>
        </w:rPr>
        <w:t>стала</w:t>
      </w:r>
      <w:r>
        <w:rPr>
          <w:color w:val="231F20"/>
          <w:spacing w:val="-4"/>
        </w:rPr>
        <w:t> </w:t>
      </w:r>
      <w:r>
        <w:rPr>
          <w:color w:val="231F20"/>
        </w:rPr>
        <w:t>адаптация</w:t>
      </w:r>
      <w:r>
        <w:rPr>
          <w:color w:val="231F20"/>
          <w:spacing w:val="-4"/>
        </w:rPr>
        <w:t> </w:t>
      </w:r>
      <w:r>
        <w:rPr>
          <w:color w:val="231F20"/>
        </w:rPr>
        <w:t>обучающихся</w:t>
      </w:r>
      <w:r>
        <w:rPr>
          <w:color w:val="231F20"/>
          <w:spacing w:val="-4"/>
        </w:rPr>
        <w:t> </w:t>
      </w:r>
      <w:r>
        <w:rPr>
          <w:color w:val="231F20"/>
        </w:rPr>
        <w:t>к</w:t>
      </w:r>
      <w:r>
        <w:rPr>
          <w:color w:val="231F20"/>
          <w:spacing w:val="-4"/>
        </w:rPr>
        <w:t> </w:t>
      </w:r>
      <w:r>
        <w:rPr>
          <w:color w:val="231F20"/>
        </w:rPr>
        <w:t>новой</w:t>
      </w:r>
      <w:r>
        <w:rPr>
          <w:color w:val="231F20"/>
          <w:spacing w:val="-4"/>
        </w:rPr>
        <w:t> </w:t>
      </w:r>
      <w:r>
        <w:rPr>
          <w:color w:val="231F20"/>
        </w:rPr>
        <w:t>среде.</w:t>
      </w:r>
      <w:r>
        <w:rPr>
          <w:color w:val="231F20"/>
          <w:spacing w:val="-4"/>
        </w:rPr>
        <w:t> </w:t>
      </w:r>
      <w:r>
        <w:rPr>
          <w:color w:val="231F20"/>
        </w:rPr>
        <w:t>Занятия были направлены на снижение стресса, вызванного потерями, связанными с мигра- цией,</w:t>
      </w:r>
      <w:r>
        <w:rPr>
          <w:color w:val="231F20"/>
          <w:spacing w:val="-8"/>
        </w:rPr>
        <w:t> </w:t>
      </w:r>
      <w:r>
        <w:rPr>
          <w:color w:val="231F20"/>
        </w:rPr>
        <w:t>смягчение</w:t>
      </w:r>
      <w:r>
        <w:rPr>
          <w:color w:val="231F20"/>
          <w:spacing w:val="-8"/>
        </w:rPr>
        <w:t> </w:t>
      </w:r>
      <w:r>
        <w:rPr>
          <w:color w:val="231F20"/>
        </w:rPr>
        <w:t>межличностных</w:t>
      </w:r>
      <w:r>
        <w:rPr>
          <w:color w:val="231F20"/>
          <w:spacing w:val="-8"/>
        </w:rPr>
        <w:t> </w:t>
      </w:r>
      <w:r>
        <w:rPr>
          <w:color w:val="231F20"/>
        </w:rPr>
        <w:t>и</w:t>
      </w:r>
      <w:r>
        <w:rPr>
          <w:color w:val="231F20"/>
          <w:spacing w:val="-8"/>
        </w:rPr>
        <w:t> </w:t>
      </w:r>
      <w:r>
        <w:rPr>
          <w:color w:val="231F20"/>
        </w:rPr>
        <w:t>межгрупповых</w:t>
      </w:r>
      <w:r>
        <w:rPr>
          <w:color w:val="231F20"/>
          <w:spacing w:val="-8"/>
        </w:rPr>
        <w:t> </w:t>
      </w:r>
      <w:r>
        <w:rPr>
          <w:color w:val="231F20"/>
        </w:rPr>
        <w:t>конфликтов,</w:t>
      </w:r>
      <w:r>
        <w:rPr>
          <w:color w:val="231F20"/>
          <w:spacing w:val="-8"/>
        </w:rPr>
        <w:t> </w:t>
      </w:r>
      <w:r>
        <w:rPr>
          <w:color w:val="231F20"/>
        </w:rPr>
        <w:t>повышение</w:t>
      </w:r>
      <w:r>
        <w:rPr>
          <w:color w:val="231F20"/>
          <w:spacing w:val="-8"/>
        </w:rPr>
        <w:t> </w:t>
      </w:r>
      <w:r>
        <w:rPr>
          <w:color w:val="231F20"/>
        </w:rPr>
        <w:t>личной</w:t>
      </w:r>
      <w:r>
        <w:rPr>
          <w:color w:val="231F20"/>
          <w:spacing w:val="-8"/>
        </w:rPr>
        <w:t> </w:t>
      </w:r>
      <w:r>
        <w:rPr>
          <w:color w:val="231F20"/>
        </w:rPr>
        <w:t>и коллективной самооценки обучающихся.</w:t>
      </w:r>
    </w:p>
    <w:p>
      <w:pPr>
        <w:pStyle w:val="BodyText"/>
        <w:spacing w:line="235" w:lineRule="auto" w:before="6"/>
      </w:pPr>
      <w:r>
        <w:rPr>
          <w:color w:val="231F20"/>
        </w:rPr>
        <w:t>В</w:t>
      </w:r>
      <w:r>
        <w:rPr>
          <w:color w:val="231F20"/>
          <w:spacing w:val="-12"/>
        </w:rPr>
        <w:t> </w:t>
      </w:r>
      <w:r>
        <w:rPr>
          <w:color w:val="231F20"/>
        </w:rPr>
        <w:t>2007</w:t>
      </w:r>
      <w:r>
        <w:rPr>
          <w:color w:val="231F20"/>
          <w:spacing w:val="-12"/>
        </w:rPr>
        <w:t> </w:t>
      </w:r>
      <w:r>
        <w:rPr>
          <w:color w:val="231F20"/>
        </w:rPr>
        <w:t>г.</w:t>
      </w:r>
      <w:r>
        <w:rPr>
          <w:color w:val="231F20"/>
          <w:spacing w:val="-12"/>
        </w:rPr>
        <w:t> </w:t>
      </w:r>
      <w:r>
        <w:rPr>
          <w:color w:val="231F20"/>
        </w:rPr>
        <w:t>в</w:t>
      </w:r>
      <w:r>
        <w:rPr>
          <w:color w:val="231F20"/>
          <w:spacing w:val="-12"/>
        </w:rPr>
        <w:t> </w:t>
      </w:r>
      <w:r>
        <w:rPr>
          <w:color w:val="231F20"/>
        </w:rPr>
        <w:t>Канаде</w:t>
      </w:r>
      <w:r>
        <w:rPr>
          <w:color w:val="231F20"/>
          <w:spacing w:val="-12"/>
        </w:rPr>
        <w:t> </w:t>
      </w:r>
      <w:r>
        <w:rPr>
          <w:color w:val="231F20"/>
        </w:rPr>
        <w:t>стартовала</w:t>
      </w:r>
      <w:r>
        <w:rPr>
          <w:color w:val="231F20"/>
          <w:spacing w:val="-12"/>
        </w:rPr>
        <w:t> </w:t>
      </w:r>
      <w:r>
        <w:rPr>
          <w:color w:val="231F20"/>
        </w:rPr>
        <w:t>9-недельная</w:t>
      </w:r>
      <w:r>
        <w:rPr>
          <w:color w:val="231F20"/>
          <w:spacing w:val="-12"/>
        </w:rPr>
        <w:t> </w:t>
      </w:r>
      <w:r>
        <w:rPr>
          <w:color w:val="231F20"/>
        </w:rPr>
        <w:t>школьная</w:t>
      </w:r>
      <w:r>
        <w:rPr>
          <w:color w:val="231F20"/>
          <w:spacing w:val="-12"/>
        </w:rPr>
        <w:t> </w:t>
      </w:r>
      <w:r>
        <w:rPr>
          <w:color w:val="231F20"/>
        </w:rPr>
        <w:t>программа</w:t>
      </w:r>
      <w:r>
        <w:rPr>
          <w:color w:val="231F20"/>
          <w:spacing w:val="-12"/>
        </w:rPr>
        <w:t> </w:t>
      </w:r>
      <w:r>
        <w:rPr>
          <w:color w:val="231F20"/>
        </w:rPr>
        <w:t>драматерапии</w:t>
      </w:r>
      <w:r>
        <w:rPr>
          <w:color w:val="231F20"/>
          <w:spacing w:val="-12"/>
        </w:rPr>
        <w:t> </w:t>
      </w:r>
      <w:r>
        <w:rPr>
          <w:color w:val="231F20"/>
        </w:rPr>
        <w:t>для </w:t>
      </w:r>
      <w:r>
        <w:rPr>
          <w:color w:val="231F20"/>
          <w:spacing w:val="-2"/>
        </w:rPr>
        <w:t>подростков-иммигрантов</w:t>
      </w:r>
      <w:r>
        <w:rPr>
          <w:color w:val="231F20"/>
          <w:spacing w:val="-11"/>
        </w:rPr>
        <w:t> </w:t>
      </w:r>
      <w:r>
        <w:rPr>
          <w:color w:val="231F20"/>
          <w:spacing w:val="-2"/>
        </w:rPr>
        <w:t>и</w:t>
      </w:r>
      <w:r>
        <w:rPr>
          <w:color w:val="231F20"/>
          <w:spacing w:val="-10"/>
        </w:rPr>
        <w:t> </w:t>
      </w:r>
      <w:r>
        <w:rPr>
          <w:color w:val="231F20"/>
          <w:spacing w:val="-2"/>
        </w:rPr>
        <w:t>беженцев</w:t>
      </w:r>
      <w:r>
        <w:rPr>
          <w:color w:val="231F20"/>
          <w:spacing w:val="-11"/>
        </w:rPr>
        <w:t> </w:t>
      </w:r>
      <w:r>
        <w:rPr>
          <w:color w:val="231F20"/>
          <w:spacing w:val="-2"/>
        </w:rPr>
        <w:t>(</w:t>
      </w:r>
      <w:r>
        <w:rPr>
          <w:i/>
          <w:color w:val="231F20"/>
          <w:spacing w:val="-2"/>
        </w:rPr>
        <w:t>Pilot</w:t>
      </w:r>
      <w:r>
        <w:rPr>
          <w:i/>
          <w:color w:val="231F20"/>
          <w:spacing w:val="-10"/>
        </w:rPr>
        <w:t> </w:t>
      </w:r>
      <w:r>
        <w:rPr>
          <w:i/>
          <w:color w:val="231F20"/>
          <w:spacing w:val="-2"/>
        </w:rPr>
        <w:t>Study</w:t>
      </w:r>
      <w:r>
        <w:rPr>
          <w:i/>
          <w:color w:val="231F20"/>
          <w:spacing w:val="-11"/>
        </w:rPr>
        <w:t> </w:t>
      </w:r>
      <w:r>
        <w:rPr>
          <w:i/>
          <w:color w:val="231F20"/>
          <w:spacing w:val="-2"/>
        </w:rPr>
        <w:t>Classroom</w:t>
      </w:r>
      <w:r>
        <w:rPr>
          <w:i/>
          <w:color w:val="231F20"/>
          <w:spacing w:val="-10"/>
        </w:rPr>
        <w:t> </w:t>
      </w:r>
      <w:r>
        <w:rPr>
          <w:i/>
          <w:color w:val="231F20"/>
          <w:spacing w:val="-2"/>
        </w:rPr>
        <w:t>Drama</w:t>
      </w:r>
      <w:r>
        <w:rPr>
          <w:i/>
          <w:color w:val="231F20"/>
          <w:spacing w:val="-11"/>
        </w:rPr>
        <w:t> </w:t>
      </w:r>
      <w:r>
        <w:rPr>
          <w:i/>
          <w:color w:val="231F20"/>
          <w:spacing w:val="-2"/>
        </w:rPr>
        <w:t>Therapy</w:t>
      </w:r>
      <w:r>
        <w:rPr>
          <w:i/>
          <w:color w:val="231F20"/>
          <w:spacing w:val="-10"/>
        </w:rPr>
        <w:t> </w:t>
      </w:r>
      <w:r>
        <w:rPr>
          <w:i/>
          <w:color w:val="231F20"/>
          <w:spacing w:val="-2"/>
        </w:rPr>
        <w:t>Program</w:t>
      </w:r>
      <w:r>
        <w:rPr>
          <w:i/>
          <w:color w:val="231F20"/>
          <w:spacing w:val="-11"/>
        </w:rPr>
        <w:t> </w:t>
      </w:r>
      <w:r>
        <w:rPr>
          <w:i/>
          <w:color w:val="231F20"/>
          <w:spacing w:val="-2"/>
        </w:rPr>
        <w:t>for </w:t>
      </w:r>
      <w:r>
        <w:rPr>
          <w:i/>
          <w:color w:val="231F20"/>
          <w:spacing w:val="-4"/>
        </w:rPr>
        <w:t>Immigrant and Refugee Adolescents, </w:t>
      </w:r>
      <w:r>
        <w:rPr>
          <w:color w:val="231F20"/>
          <w:spacing w:val="-4"/>
        </w:rPr>
        <w:t>2007). Основной целью программы стало предотвра- </w:t>
      </w:r>
      <w:r>
        <w:rPr>
          <w:color w:val="231F20"/>
          <w:spacing w:val="-2"/>
        </w:rPr>
        <w:t>щение эмоциональных и поведенческих проблем обучающихся и повышение их успе- ваемости</w:t>
      </w:r>
      <w:r>
        <w:rPr>
          <w:color w:val="231F20"/>
          <w:spacing w:val="-13"/>
        </w:rPr>
        <w:t> </w:t>
      </w:r>
      <w:r>
        <w:rPr>
          <w:color w:val="231F20"/>
          <w:spacing w:val="-2"/>
        </w:rPr>
        <w:t>в</w:t>
      </w:r>
      <w:r>
        <w:rPr>
          <w:color w:val="231F20"/>
          <w:spacing w:val="-10"/>
        </w:rPr>
        <w:t> </w:t>
      </w:r>
      <w:r>
        <w:rPr>
          <w:color w:val="231F20"/>
          <w:spacing w:val="-2"/>
        </w:rPr>
        <w:t>школе.</w:t>
      </w:r>
      <w:r>
        <w:rPr>
          <w:color w:val="231F20"/>
          <w:spacing w:val="-11"/>
        </w:rPr>
        <w:t> </w:t>
      </w:r>
      <w:r>
        <w:rPr>
          <w:color w:val="231F20"/>
          <w:spacing w:val="-2"/>
        </w:rPr>
        <w:t>В</w:t>
      </w:r>
      <w:r>
        <w:rPr>
          <w:color w:val="231F20"/>
          <w:spacing w:val="-10"/>
        </w:rPr>
        <w:t> </w:t>
      </w:r>
      <w:r>
        <w:rPr>
          <w:color w:val="231F20"/>
          <w:spacing w:val="-2"/>
        </w:rPr>
        <w:t>ходе</w:t>
      </w:r>
      <w:r>
        <w:rPr>
          <w:color w:val="231F20"/>
          <w:spacing w:val="-11"/>
        </w:rPr>
        <w:t> </w:t>
      </w:r>
      <w:r>
        <w:rPr>
          <w:color w:val="231F20"/>
          <w:spacing w:val="-2"/>
        </w:rPr>
        <w:t>исследования</w:t>
      </w:r>
      <w:r>
        <w:rPr>
          <w:color w:val="231F20"/>
          <w:spacing w:val="-10"/>
        </w:rPr>
        <w:t> </w:t>
      </w:r>
      <w:r>
        <w:rPr>
          <w:color w:val="231F20"/>
          <w:spacing w:val="-2"/>
        </w:rPr>
        <w:t>было</w:t>
      </w:r>
      <w:r>
        <w:rPr>
          <w:color w:val="231F20"/>
          <w:spacing w:val="-11"/>
        </w:rPr>
        <w:t> </w:t>
      </w:r>
      <w:r>
        <w:rPr>
          <w:color w:val="231F20"/>
          <w:spacing w:val="-2"/>
        </w:rPr>
        <w:t>показано,</w:t>
      </w:r>
      <w:r>
        <w:rPr>
          <w:color w:val="231F20"/>
          <w:spacing w:val="-10"/>
        </w:rPr>
        <w:t> </w:t>
      </w:r>
      <w:r>
        <w:rPr>
          <w:color w:val="231F20"/>
          <w:spacing w:val="-2"/>
        </w:rPr>
        <w:t>что</w:t>
      </w:r>
      <w:r>
        <w:rPr>
          <w:color w:val="231F20"/>
          <w:spacing w:val="-11"/>
        </w:rPr>
        <w:t> </w:t>
      </w:r>
      <w:r>
        <w:rPr>
          <w:color w:val="231F20"/>
          <w:spacing w:val="-2"/>
        </w:rPr>
        <w:t>театральные</w:t>
      </w:r>
      <w:r>
        <w:rPr>
          <w:color w:val="231F20"/>
          <w:spacing w:val="-10"/>
        </w:rPr>
        <w:t> </w:t>
      </w:r>
      <w:r>
        <w:rPr>
          <w:color w:val="231F20"/>
          <w:spacing w:val="-2"/>
        </w:rPr>
        <w:t>мастер-классы </w:t>
      </w:r>
      <w:r>
        <w:rPr>
          <w:color w:val="231F20"/>
          <w:spacing w:val="-4"/>
        </w:rPr>
        <w:t>значительно снижают общее восприятие подростками симптомов травмы и уменьшают </w:t>
      </w:r>
      <w:r>
        <w:rPr>
          <w:color w:val="231F20"/>
        </w:rPr>
        <w:t>их</w:t>
      </w:r>
      <w:r>
        <w:rPr>
          <w:color w:val="231F20"/>
          <w:spacing w:val="-13"/>
        </w:rPr>
        <w:t> </w:t>
      </w:r>
      <w:r>
        <w:rPr>
          <w:color w:val="231F20"/>
        </w:rPr>
        <w:t>негативное</w:t>
      </w:r>
      <w:r>
        <w:rPr>
          <w:color w:val="231F20"/>
          <w:spacing w:val="-12"/>
        </w:rPr>
        <w:t> </w:t>
      </w:r>
      <w:r>
        <w:rPr>
          <w:color w:val="231F20"/>
        </w:rPr>
        <w:t>влияние</w:t>
      </w:r>
      <w:r>
        <w:rPr>
          <w:color w:val="231F20"/>
          <w:spacing w:val="-13"/>
        </w:rPr>
        <w:t> </w:t>
      </w:r>
      <w:r>
        <w:rPr>
          <w:color w:val="231F20"/>
        </w:rPr>
        <w:t>на</w:t>
      </w:r>
      <w:r>
        <w:rPr>
          <w:color w:val="231F20"/>
          <w:spacing w:val="-12"/>
        </w:rPr>
        <w:t> </w:t>
      </w:r>
      <w:r>
        <w:rPr>
          <w:color w:val="231F20"/>
        </w:rPr>
        <w:t>дружеские</w:t>
      </w:r>
      <w:r>
        <w:rPr>
          <w:color w:val="231F20"/>
          <w:spacing w:val="-13"/>
        </w:rPr>
        <w:t> </w:t>
      </w:r>
      <w:r>
        <w:rPr>
          <w:color w:val="231F20"/>
        </w:rPr>
        <w:t>отношения,</w:t>
      </w:r>
      <w:r>
        <w:rPr>
          <w:color w:val="231F20"/>
          <w:spacing w:val="-12"/>
        </w:rPr>
        <w:t> </w:t>
      </w:r>
      <w:r>
        <w:rPr>
          <w:color w:val="231F20"/>
        </w:rPr>
        <w:t>домашнюю</w:t>
      </w:r>
      <w:r>
        <w:rPr>
          <w:color w:val="231F20"/>
          <w:spacing w:val="-13"/>
        </w:rPr>
        <w:t> </w:t>
      </w:r>
      <w:r>
        <w:rPr>
          <w:color w:val="231F20"/>
        </w:rPr>
        <w:t>жизнь</w:t>
      </w:r>
      <w:r>
        <w:rPr>
          <w:color w:val="231F20"/>
          <w:spacing w:val="-12"/>
        </w:rPr>
        <w:t> </w:t>
      </w:r>
      <w:r>
        <w:rPr>
          <w:color w:val="231F20"/>
        </w:rPr>
        <w:t>и</w:t>
      </w:r>
      <w:r>
        <w:rPr>
          <w:color w:val="231F20"/>
          <w:spacing w:val="-13"/>
        </w:rPr>
        <w:t> </w:t>
      </w:r>
      <w:r>
        <w:rPr>
          <w:color w:val="231F20"/>
        </w:rPr>
        <w:t>досуг.</w:t>
      </w:r>
      <w:r>
        <w:rPr>
          <w:color w:val="231F20"/>
          <w:spacing w:val="-12"/>
        </w:rPr>
        <w:t> </w:t>
      </w:r>
      <w:r>
        <w:rPr>
          <w:color w:val="231F20"/>
        </w:rPr>
        <w:t>При</w:t>
      </w:r>
      <w:r>
        <w:rPr>
          <w:color w:val="231F20"/>
          <w:spacing w:val="-13"/>
        </w:rPr>
        <w:t> </w:t>
      </w:r>
      <w:r>
        <w:rPr>
          <w:color w:val="231F20"/>
        </w:rPr>
        <w:t>этом </w:t>
      </w:r>
      <w:r>
        <w:rPr>
          <w:color w:val="231F20"/>
          <w:spacing w:val="-2"/>
        </w:rPr>
        <w:t>успеваемость подростков-иммигрантов и беженцев в ходе проекта существенно улуч- </w:t>
      </w:r>
      <w:r>
        <w:rPr>
          <w:color w:val="231F20"/>
        </w:rPr>
        <w:t>шилась по такому предмету, как математика (по сравнению с показателями их свер- стников</w:t>
      </w:r>
      <w:r>
        <w:rPr>
          <w:color w:val="231F20"/>
          <w:spacing w:val="-4"/>
        </w:rPr>
        <w:t> </w:t>
      </w:r>
      <w:r>
        <w:rPr>
          <w:color w:val="231F20"/>
        </w:rPr>
        <w:t>из</w:t>
      </w:r>
      <w:r>
        <w:rPr>
          <w:color w:val="231F20"/>
          <w:spacing w:val="-4"/>
        </w:rPr>
        <w:t> </w:t>
      </w:r>
      <w:r>
        <w:rPr>
          <w:color w:val="231F20"/>
        </w:rPr>
        <w:t>контрольных</w:t>
      </w:r>
      <w:r>
        <w:rPr>
          <w:color w:val="231F20"/>
          <w:spacing w:val="-4"/>
        </w:rPr>
        <w:t> </w:t>
      </w:r>
      <w:r>
        <w:rPr>
          <w:color w:val="231F20"/>
        </w:rPr>
        <w:t>групп).</w:t>
      </w:r>
      <w:r>
        <w:rPr>
          <w:color w:val="231F20"/>
          <w:spacing w:val="-4"/>
        </w:rPr>
        <w:t> </w:t>
      </w:r>
      <w:r>
        <w:rPr>
          <w:color w:val="231F20"/>
        </w:rPr>
        <w:t>Таким</w:t>
      </w:r>
      <w:r>
        <w:rPr>
          <w:color w:val="231F20"/>
          <w:spacing w:val="-4"/>
        </w:rPr>
        <w:t> </w:t>
      </w:r>
      <w:r>
        <w:rPr>
          <w:color w:val="231F20"/>
        </w:rPr>
        <w:t>образом,</w:t>
      </w:r>
      <w:r>
        <w:rPr>
          <w:color w:val="231F20"/>
          <w:spacing w:val="-4"/>
        </w:rPr>
        <w:t> </w:t>
      </w:r>
      <w:r>
        <w:rPr>
          <w:color w:val="231F20"/>
        </w:rPr>
        <w:t>программа</w:t>
      </w:r>
      <w:r>
        <w:rPr>
          <w:color w:val="231F20"/>
          <w:spacing w:val="-4"/>
        </w:rPr>
        <w:t> </w:t>
      </w:r>
      <w:r>
        <w:rPr>
          <w:color w:val="231F20"/>
        </w:rPr>
        <w:t>показала</w:t>
      </w:r>
      <w:r>
        <w:rPr>
          <w:color w:val="231F20"/>
          <w:spacing w:val="-4"/>
        </w:rPr>
        <w:t> </w:t>
      </w:r>
      <w:r>
        <w:rPr>
          <w:color w:val="231F20"/>
        </w:rPr>
        <w:t>эффективность применения</w:t>
      </w:r>
      <w:r>
        <w:rPr>
          <w:color w:val="231F20"/>
          <w:spacing w:val="-2"/>
        </w:rPr>
        <w:t> </w:t>
      </w:r>
      <w:r>
        <w:rPr>
          <w:color w:val="231F20"/>
        </w:rPr>
        <w:t>театральных</w:t>
      </w:r>
      <w:r>
        <w:rPr>
          <w:color w:val="231F20"/>
          <w:spacing w:val="-2"/>
        </w:rPr>
        <w:t> </w:t>
      </w:r>
      <w:r>
        <w:rPr>
          <w:color w:val="231F20"/>
        </w:rPr>
        <w:t>практик</w:t>
      </w:r>
      <w:r>
        <w:rPr>
          <w:color w:val="231F20"/>
          <w:spacing w:val="-2"/>
        </w:rPr>
        <w:t> </w:t>
      </w:r>
      <w:r>
        <w:rPr>
          <w:color w:val="231F20"/>
        </w:rPr>
        <w:t>в</w:t>
      </w:r>
      <w:r>
        <w:rPr>
          <w:color w:val="231F20"/>
          <w:spacing w:val="-2"/>
        </w:rPr>
        <w:t> </w:t>
      </w:r>
      <w:r>
        <w:rPr>
          <w:color w:val="231F20"/>
        </w:rPr>
        <w:t>работе</w:t>
      </w:r>
      <w:r>
        <w:rPr>
          <w:color w:val="231F20"/>
          <w:spacing w:val="-2"/>
        </w:rPr>
        <w:t> </w:t>
      </w:r>
      <w:r>
        <w:rPr>
          <w:color w:val="231F20"/>
        </w:rPr>
        <w:t>с</w:t>
      </w:r>
      <w:r>
        <w:rPr>
          <w:color w:val="231F20"/>
          <w:spacing w:val="-2"/>
        </w:rPr>
        <w:t> </w:t>
      </w:r>
      <w:r>
        <w:rPr>
          <w:color w:val="231F20"/>
        </w:rPr>
        <w:t>подростками,</w:t>
      </w:r>
      <w:r>
        <w:rPr>
          <w:color w:val="231F20"/>
          <w:spacing w:val="-2"/>
        </w:rPr>
        <w:t> </w:t>
      </w:r>
      <w:r>
        <w:rPr>
          <w:color w:val="231F20"/>
        </w:rPr>
        <w:t>которые</w:t>
      </w:r>
      <w:r>
        <w:rPr>
          <w:color w:val="231F20"/>
          <w:spacing w:val="-2"/>
        </w:rPr>
        <w:t> </w:t>
      </w:r>
      <w:r>
        <w:rPr>
          <w:color w:val="231F20"/>
        </w:rPr>
        <w:t>подверглись</w:t>
      </w:r>
      <w:r>
        <w:rPr>
          <w:color w:val="231F20"/>
          <w:spacing w:val="-2"/>
        </w:rPr>
        <w:t> </w:t>
      </w:r>
      <w:r>
        <w:rPr>
          <w:color w:val="231F20"/>
        </w:rPr>
        <w:t>раз- личным</w:t>
      </w:r>
      <w:r>
        <w:rPr>
          <w:color w:val="231F20"/>
          <w:spacing w:val="-2"/>
        </w:rPr>
        <w:t> </w:t>
      </w:r>
      <w:r>
        <w:rPr>
          <w:color w:val="231F20"/>
        </w:rPr>
        <w:t>формам</w:t>
      </w:r>
      <w:r>
        <w:rPr>
          <w:color w:val="231F20"/>
          <w:spacing w:val="-2"/>
        </w:rPr>
        <w:t> </w:t>
      </w:r>
      <w:r>
        <w:rPr>
          <w:color w:val="231F20"/>
        </w:rPr>
        <w:t>невзгод,</w:t>
      </w:r>
      <w:r>
        <w:rPr>
          <w:color w:val="231F20"/>
          <w:spacing w:val="-2"/>
        </w:rPr>
        <w:t> </w:t>
      </w:r>
      <w:r>
        <w:rPr>
          <w:color w:val="231F20"/>
        </w:rPr>
        <w:t>среди</w:t>
      </w:r>
      <w:r>
        <w:rPr>
          <w:color w:val="231F20"/>
          <w:spacing w:val="-3"/>
        </w:rPr>
        <w:t> </w:t>
      </w:r>
      <w:r>
        <w:rPr>
          <w:color w:val="231F20"/>
        </w:rPr>
        <w:t>которых</w:t>
      </w:r>
      <w:r>
        <w:rPr>
          <w:color w:val="231F20"/>
          <w:spacing w:val="-2"/>
        </w:rPr>
        <w:t> </w:t>
      </w:r>
      <w:r>
        <w:rPr>
          <w:color w:val="231F20"/>
        </w:rPr>
        <w:t>война</w:t>
      </w:r>
      <w:r>
        <w:rPr>
          <w:color w:val="231F20"/>
          <w:spacing w:val="-2"/>
        </w:rPr>
        <w:t> </w:t>
      </w:r>
      <w:r>
        <w:rPr>
          <w:color w:val="231F20"/>
        </w:rPr>
        <w:t>и</w:t>
      </w:r>
      <w:r>
        <w:rPr>
          <w:color w:val="231F20"/>
          <w:spacing w:val="-3"/>
        </w:rPr>
        <w:t> </w:t>
      </w:r>
      <w:r>
        <w:rPr>
          <w:color w:val="231F20"/>
        </w:rPr>
        <w:t>насилие</w:t>
      </w:r>
      <w:r>
        <w:rPr>
          <w:color w:val="231F20"/>
          <w:spacing w:val="-2"/>
        </w:rPr>
        <w:t> </w:t>
      </w:r>
      <w:r>
        <w:rPr>
          <w:color w:val="231F20"/>
        </w:rPr>
        <w:t>(Rousseau,</w:t>
      </w:r>
      <w:r>
        <w:rPr>
          <w:color w:val="231F20"/>
          <w:spacing w:val="-2"/>
        </w:rPr>
        <w:t> </w:t>
      </w:r>
      <w:r>
        <w:rPr>
          <w:color w:val="231F20"/>
        </w:rPr>
        <w:t>et</w:t>
      </w:r>
      <w:r>
        <w:rPr>
          <w:color w:val="231F20"/>
          <w:spacing w:val="-2"/>
        </w:rPr>
        <w:t> </w:t>
      </w:r>
      <w:r>
        <w:rPr>
          <w:color w:val="231F20"/>
        </w:rPr>
        <w:t>al.,</w:t>
      </w:r>
      <w:r>
        <w:rPr>
          <w:color w:val="231F20"/>
          <w:spacing w:val="-2"/>
        </w:rPr>
        <w:t> </w:t>
      </w:r>
      <w:r>
        <w:rPr>
          <w:color w:val="231F20"/>
        </w:rPr>
        <w:t>2007).</w:t>
      </w:r>
    </w:p>
    <w:p>
      <w:pPr>
        <w:pStyle w:val="BodyText"/>
        <w:spacing w:line="232" w:lineRule="auto"/>
      </w:pPr>
      <w:r>
        <w:rPr>
          <w:color w:val="231F20"/>
        </w:rPr>
        <w:t>Во время театральных занятий в рамках проекта </w:t>
      </w:r>
      <w:r>
        <w:rPr>
          <w:i/>
          <w:color w:val="231F20"/>
        </w:rPr>
        <w:t>Literacy through Drama </w:t>
      </w:r>
      <w:r>
        <w:rPr>
          <w:color w:val="231F20"/>
        </w:rPr>
        <w:t>(Vitsou</w:t>
      </w:r>
      <w:r>
        <w:rPr>
          <w:color w:val="231F20"/>
          <w:spacing w:val="40"/>
        </w:rPr>
        <w:t> </w:t>
      </w:r>
      <w:r>
        <w:rPr>
          <w:color w:val="231F20"/>
        </w:rPr>
        <w:t>et al., 2019) 20 детей из Сирии в возрасте от 6 до 12 лет получили опыт участия в театральной деятельности, направленной на улучшение коммуникации со сверстни- ками</w:t>
      </w:r>
      <w:r>
        <w:rPr>
          <w:color w:val="231F20"/>
          <w:spacing w:val="-12"/>
        </w:rPr>
        <w:t> </w:t>
      </w:r>
      <w:r>
        <w:rPr>
          <w:color w:val="231F20"/>
        </w:rPr>
        <w:t>и</w:t>
      </w:r>
      <w:r>
        <w:rPr>
          <w:color w:val="231F20"/>
          <w:spacing w:val="-12"/>
        </w:rPr>
        <w:t> </w:t>
      </w:r>
      <w:r>
        <w:rPr>
          <w:color w:val="231F20"/>
        </w:rPr>
        <w:t>преподавателями.</w:t>
      </w:r>
      <w:r>
        <w:rPr>
          <w:color w:val="231F20"/>
          <w:spacing w:val="-12"/>
        </w:rPr>
        <w:t> </w:t>
      </w:r>
      <w:r>
        <w:rPr>
          <w:color w:val="231F20"/>
        </w:rPr>
        <w:t>Участники</w:t>
      </w:r>
      <w:r>
        <w:rPr>
          <w:color w:val="231F20"/>
          <w:spacing w:val="-12"/>
        </w:rPr>
        <w:t> </w:t>
      </w:r>
      <w:r>
        <w:rPr>
          <w:color w:val="231F20"/>
        </w:rPr>
        <w:t>программы</w:t>
      </w:r>
      <w:r>
        <w:rPr>
          <w:color w:val="231F20"/>
          <w:spacing w:val="-12"/>
        </w:rPr>
        <w:t> </w:t>
      </w:r>
      <w:r>
        <w:rPr>
          <w:color w:val="231F20"/>
        </w:rPr>
        <w:t>улучшили</w:t>
      </w:r>
      <w:r>
        <w:rPr>
          <w:color w:val="231F20"/>
          <w:spacing w:val="-12"/>
        </w:rPr>
        <w:t> </w:t>
      </w:r>
      <w:r>
        <w:rPr>
          <w:color w:val="231F20"/>
        </w:rPr>
        <w:t>свои</w:t>
      </w:r>
      <w:r>
        <w:rPr>
          <w:color w:val="231F20"/>
          <w:spacing w:val="-12"/>
        </w:rPr>
        <w:t> </w:t>
      </w:r>
      <w:r>
        <w:rPr>
          <w:color w:val="231F20"/>
        </w:rPr>
        <w:t>навыки</w:t>
      </w:r>
      <w:r>
        <w:rPr>
          <w:color w:val="231F20"/>
          <w:spacing w:val="-12"/>
        </w:rPr>
        <w:t> </w:t>
      </w:r>
      <w:r>
        <w:rPr>
          <w:color w:val="231F20"/>
        </w:rPr>
        <w:t>аудирования (следование инструкциям, развитие фонематической осведомленности и понимание новых слов и фраз), разработали стратегии интерпретации новых слов (использова- ние невербального языка и перевод на другой язык), а также развили способности к рассказыванию историй с помощью драмы (Vitsou et al., 2021).</w:t>
      </w:r>
    </w:p>
    <w:p>
      <w:pPr>
        <w:pStyle w:val="BodyText"/>
        <w:spacing w:line="235" w:lineRule="auto" w:before="4"/>
      </w:pPr>
      <w:r>
        <w:rPr>
          <w:color w:val="231F20"/>
        </w:rPr>
        <w:t>Интересно, что, помимо технологии обучения, театральная деятельность может стать</w:t>
      </w:r>
      <w:r>
        <w:rPr>
          <w:color w:val="231F20"/>
          <w:spacing w:val="-3"/>
        </w:rPr>
        <w:t> </w:t>
      </w:r>
      <w:r>
        <w:rPr>
          <w:color w:val="231F20"/>
        </w:rPr>
        <w:t>также</w:t>
      </w:r>
      <w:r>
        <w:rPr>
          <w:color w:val="231F20"/>
          <w:spacing w:val="-3"/>
        </w:rPr>
        <w:t> </w:t>
      </w:r>
      <w:r>
        <w:rPr>
          <w:color w:val="231F20"/>
        </w:rPr>
        <w:t>методом</w:t>
      </w:r>
      <w:r>
        <w:rPr>
          <w:color w:val="231F20"/>
          <w:spacing w:val="-3"/>
        </w:rPr>
        <w:t> </w:t>
      </w:r>
      <w:r>
        <w:rPr>
          <w:color w:val="231F20"/>
        </w:rPr>
        <w:t>исследования</w:t>
      </w:r>
      <w:r>
        <w:rPr>
          <w:color w:val="231F20"/>
          <w:spacing w:val="-3"/>
        </w:rPr>
        <w:t> </w:t>
      </w:r>
      <w:r>
        <w:rPr>
          <w:color w:val="231F20"/>
        </w:rPr>
        <w:t>проблем</w:t>
      </w:r>
      <w:r>
        <w:rPr>
          <w:color w:val="231F20"/>
          <w:spacing w:val="-3"/>
        </w:rPr>
        <w:t> </w:t>
      </w:r>
      <w:r>
        <w:rPr>
          <w:color w:val="231F20"/>
        </w:rPr>
        <w:t>мигрантов,</w:t>
      </w:r>
      <w:r>
        <w:rPr>
          <w:color w:val="231F20"/>
          <w:spacing w:val="-3"/>
        </w:rPr>
        <w:t> </w:t>
      </w:r>
      <w:r>
        <w:rPr>
          <w:color w:val="231F20"/>
        </w:rPr>
        <w:t>средством</w:t>
      </w:r>
      <w:r>
        <w:rPr>
          <w:color w:val="231F20"/>
          <w:spacing w:val="-3"/>
        </w:rPr>
        <w:t> </w:t>
      </w:r>
      <w:r>
        <w:rPr>
          <w:color w:val="231F20"/>
        </w:rPr>
        <w:t>выявления</w:t>
      </w:r>
      <w:r>
        <w:rPr>
          <w:color w:val="231F20"/>
          <w:spacing w:val="-3"/>
        </w:rPr>
        <w:t> </w:t>
      </w:r>
      <w:r>
        <w:rPr>
          <w:color w:val="231F20"/>
        </w:rPr>
        <w:t>потен- циальных рисков в поликультурной среде. Так, например, в 2010–2012 гг. в Велико- британии</w:t>
      </w:r>
      <w:r>
        <w:rPr>
          <w:color w:val="231F20"/>
          <w:spacing w:val="-9"/>
        </w:rPr>
        <w:t> </w:t>
      </w:r>
      <w:r>
        <w:rPr>
          <w:color w:val="231F20"/>
        </w:rPr>
        <w:t>в</w:t>
      </w:r>
      <w:r>
        <w:rPr>
          <w:color w:val="231F20"/>
          <w:spacing w:val="-9"/>
        </w:rPr>
        <w:t> </w:t>
      </w:r>
      <w:r>
        <w:rPr>
          <w:color w:val="231F20"/>
        </w:rPr>
        <w:t>рамках</w:t>
      </w:r>
      <w:r>
        <w:rPr>
          <w:color w:val="231F20"/>
          <w:spacing w:val="-9"/>
        </w:rPr>
        <w:t> </w:t>
      </w:r>
      <w:r>
        <w:rPr>
          <w:color w:val="231F20"/>
        </w:rPr>
        <w:t>проекта</w:t>
      </w:r>
      <w:r>
        <w:rPr>
          <w:color w:val="231F20"/>
          <w:spacing w:val="-9"/>
        </w:rPr>
        <w:t> </w:t>
      </w:r>
      <w:r>
        <w:rPr>
          <w:color w:val="231F20"/>
        </w:rPr>
        <w:t>«Дети-мигранты</w:t>
      </w:r>
      <w:r>
        <w:rPr>
          <w:color w:val="231F20"/>
          <w:spacing w:val="-9"/>
        </w:rPr>
        <w:t> </w:t>
      </w:r>
      <w:r>
        <w:rPr>
          <w:color w:val="231F20"/>
        </w:rPr>
        <w:t>без</w:t>
      </w:r>
      <w:r>
        <w:rPr>
          <w:color w:val="231F20"/>
          <w:spacing w:val="-9"/>
        </w:rPr>
        <w:t> </w:t>
      </w:r>
      <w:r>
        <w:rPr>
          <w:color w:val="231F20"/>
        </w:rPr>
        <w:t>документов»</w:t>
      </w:r>
      <w:r>
        <w:rPr>
          <w:color w:val="231F20"/>
          <w:spacing w:val="-9"/>
        </w:rPr>
        <w:t> </w:t>
      </w:r>
      <w:r>
        <w:rPr>
          <w:color w:val="231F20"/>
        </w:rPr>
        <w:t>(Undocumented</w:t>
      </w:r>
      <w:r>
        <w:rPr>
          <w:color w:val="231F20"/>
          <w:spacing w:val="-9"/>
        </w:rPr>
        <w:t> </w:t>
      </w:r>
      <w:r>
        <w:rPr>
          <w:color w:val="231F20"/>
        </w:rPr>
        <w:t>Migrant Children in the UK), силами преподавателей из Оксфорда были разработаны образо- вательные</w:t>
      </w:r>
      <w:r>
        <w:rPr>
          <w:color w:val="231F20"/>
          <w:spacing w:val="-4"/>
        </w:rPr>
        <w:t> </w:t>
      </w:r>
      <w:r>
        <w:rPr>
          <w:color w:val="231F20"/>
        </w:rPr>
        <w:t>ресурсы</w:t>
      </w:r>
      <w:r>
        <w:rPr>
          <w:color w:val="231F20"/>
          <w:spacing w:val="-4"/>
        </w:rPr>
        <w:t> </w:t>
      </w:r>
      <w:r>
        <w:rPr>
          <w:color w:val="231F20"/>
        </w:rPr>
        <w:t>и</w:t>
      </w:r>
      <w:r>
        <w:rPr>
          <w:color w:val="231F20"/>
          <w:spacing w:val="-4"/>
        </w:rPr>
        <w:t> </w:t>
      </w:r>
      <w:r>
        <w:rPr>
          <w:color w:val="231F20"/>
        </w:rPr>
        <w:t>семинары,</w:t>
      </w:r>
      <w:r>
        <w:rPr>
          <w:color w:val="231F20"/>
          <w:spacing w:val="-4"/>
        </w:rPr>
        <w:t> </w:t>
      </w:r>
      <w:r>
        <w:rPr>
          <w:color w:val="231F20"/>
        </w:rPr>
        <w:t>в</w:t>
      </w:r>
      <w:r>
        <w:rPr>
          <w:color w:val="231F20"/>
          <w:spacing w:val="-4"/>
        </w:rPr>
        <w:t> </w:t>
      </w:r>
      <w:r>
        <w:rPr>
          <w:color w:val="231F20"/>
        </w:rPr>
        <w:t>которых</w:t>
      </w:r>
      <w:r>
        <w:rPr>
          <w:color w:val="231F20"/>
          <w:spacing w:val="-4"/>
        </w:rPr>
        <w:t> </w:t>
      </w:r>
      <w:r>
        <w:rPr>
          <w:color w:val="231F20"/>
        </w:rPr>
        <w:t>театральная</w:t>
      </w:r>
      <w:r>
        <w:rPr>
          <w:color w:val="231F20"/>
          <w:spacing w:val="-4"/>
        </w:rPr>
        <w:t> </w:t>
      </w:r>
      <w:r>
        <w:rPr>
          <w:color w:val="231F20"/>
        </w:rPr>
        <w:t>деятельность</w:t>
      </w:r>
      <w:r>
        <w:rPr>
          <w:color w:val="231F20"/>
          <w:spacing w:val="-4"/>
        </w:rPr>
        <w:t> </w:t>
      </w:r>
      <w:r>
        <w:rPr>
          <w:color w:val="231F20"/>
        </w:rPr>
        <w:t>использовалась как</w:t>
      </w:r>
      <w:r>
        <w:rPr>
          <w:color w:val="231F20"/>
          <w:spacing w:val="-13"/>
        </w:rPr>
        <w:t> </w:t>
      </w:r>
      <w:r>
        <w:rPr>
          <w:color w:val="231F20"/>
        </w:rPr>
        <w:t>основная</w:t>
      </w:r>
      <w:r>
        <w:rPr>
          <w:color w:val="231F20"/>
          <w:spacing w:val="-12"/>
        </w:rPr>
        <w:t> </w:t>
      </w:r>
      <w:r>
        <w:rPr>
          <w:color w:val="231F20"/>
        </w:rPr>
        <w:t>форма</w:t>
      </w:r>
      <w:r>
        <w:rPr>
          <w:color w:val="231F20"/>
          <w:spacing w:val="-13"/>
        </w:rPr>
        <w:t> </w:t>
      </w:r>
      <w:r>
        <w:rPr>
          <w:color w:val="231F20"/>
        </w:rPr>
        <w:t>общения</w:t>
      </w:r>
      <w:r>
        <w:rPr>
          <w:color w:val="231F20"/>
          <w:spacing w:val="-12"/>
        </w:rPr>
        <w:t> </w:t>
      </w:r>
      <w:r>
        <w:rPr>
          <w:color w:val="231F20"/>
        </w:rPr>
        <w:t>и</w:t>
      </w:r>
      <w:r>
        <w:rPr>
          <w:color w:val="231F20"/>
          <w:spacing w:val="-13"/>
        </w:rPr>
        <w:t> </w:t>
      </w:r>
      <w:r>
        <w:rPr>
          <w:color w:val="231F20"/>
        </w:rPr>
        <w:t>взаимодействия</w:t>
      </w:r>
      <w:r>
        <w:rPr>
          <w:color w:val="231F20"/>
          <w:spacing w:val="-12"/>
        </w:rPr>
        <w:t> </w:t>
      </w:r>
      <w:r>
        <w:rPr>
          <w:color w:val="231F20"/>
        </w:rPr>
        <w:t>со</w:t>
      </w:r>
      <w:r>
        <w:rPr>
          <w:color w:val="231F20"/>
          <w:spacing w:val="-13"/>
        </w:rPr>
        <w:t> </w:t>
      </w:r>
      <w:r>
        <w:rPr>
          <w:color w:val="231F20"/>
        </w:rPr>
        <w:t>школьниками</w:t>
      </w:r>
      <w:r>
        <w:rPr>
          <w:color w:val="231F20"/>
          <w:spacing w:val="-12"/>
        </w:rPr>
        <w:t> </w:t>
      </w:r>
      <w:r>
        <w:rPr>
          <w:color w:val="231F20"/>
        </w:rPr>
        <w:t>на</w:t>
      </w:r>
      <w:r>
        <w:rPr>
          <w:color w:val="231F20"/>
          <w:spacing w:val="-13"/>
        </w:rPr>
        <w:t> </w:t>
      </w:r>
      <w:r>
        <w:rPr>
          <w:color w:val="231F20"/>
        </w:rPr>
        <w:t>тему</w:t>
      </w:r>
      <w:r>
        <w:rPr>
          <w:color w:val="231F20"/>
          <w:spacing w:val="-12"/>
        </w:rPr>
        <w:t> </w:t>
      </w:r>
      <w:r>
        <w:rPr>
          <w:color w:val="231F20"/>
        </w:rPr>
        <w:t>нелегальной иммиграции. В фокусе исследования находилось влияние иммиграционного стату- са на повседневную жизнь детей-мигрантов. Так, на основе интервью с мигрантами компания</w:t>
      </w:r>
      <w:r>
        <w:rPr>
          <w:color w:val="231F20"/>
          <w:spacing w:val="-13"/>
        </w:rPr>
        <w:t> </w:t>
      </w:r>
      <w:r>
        <w:rPr>
          <w:i/>
          <w:color w:val="231F20"/>
        </w:rPr>
        <w:t>Ice</w:t>
      </w:r>
      <w:r>
        <w:rPr>
          <w:i/>
          <w:color w:val="231F20"/>
          <w:spacing w:val="-12"/>
        </w:rPr>
        <w:t> </w:t>
      </w:r>
      <w:r>
        <w:rPr>
          <w:i/>
          <w:color w:val="231F20"/>
        </w:rPr>
        <w:t>&amp;</w:t>
      </w:r>
      <w:r>
        <w:rPr>
          <w:i/>
          <w:color w:val="231F20"/>
          <w:spacing w:val="-13"/>
        </w:rPr>
        <w:t> </w:t>
      </w:r>
      <w:r>
        <w:rPr>
          <w:i/>
          <w:color w:val="231F20"/>
        </w:rPr>
        <w:t>Fire</w:t>
      </w:r>
      <w:r>
        <w:rPr>
          <w:i/>
          <w:color w:val="231F20"/>
          <w:spacing w:val="-12"/>
        </w:rPr>
        <w:t> </w:t>
      </w:r>
      <w:r>
        <w:rPr>
          <w:color w:val="231F20"/>
        </w:rPr>
        <w:t>поставила</w:t>
      </w:r>
      <w:r>
        <w:rPr>
          <w:color w:val="231F20"/>
          <w:spacing w:val="-13"/>
        </w:rPr>
        <w:t> </w:t>
      </w:r>
      <w:r>
        <w:rPr>
          <w:color w:val="231F20"/>
        </w:rPr>
        <w:t>в</w:t>
      </w:r>
      <w:r>
        <w:rPr>
          <w:color w:val="231F20"/>
          <w:spacing w:val="-12"/>
        </w:rPr>
        <w:t> </w:t>
      </w:r>
      <w:r>
        <w:rPr>
          <w:color w:val="231F20"/>
        </w:rPr>
        <w:t>трех</w:t>
      </w:r>
      <w:r>
        <w:rPr>
          <w:color w:val="231F20"/>
          <w:spacing w:val="-13"/>
        </w:rPr>
        <w:t> </w:t>
      </w:r>
      <w:r>
        <w:rPr>
          <w:color w:val="231F20"/>
        </w:rPr>
        <w:t>школах</w:t>
      </w:r>
      <w:r>
        <w:rPr>
          <w:color w:val="231F20"/>
          <w:spacing w:val="-12"/>
        </w:rPr>
        <w:t> </w:t>
      </w:r>
      <w:r>
        <w:rPr>
          <w:color w:val="231F20"/>
        </w:rPr>
        <w:t>оригинальные</w:t>
      </w:r>
      <w:r>
        <w:rPr>
          <w:color w:val="231F20"/>
          <w:spacing w:val="-13"/>
        </w:rPr>
        <w:t> </w:t>
      </w:r>
      <w:r>
        <w:rPr>
          <w:color w:val="231F20"/>
        </w:rPr>
        <w:t>представления,</w:t>
      </w:r>
      <w:r>
        <w:rPr>
          <w:color w:val="231F20"/>
          <w:spacing w:val="-12"/>
        </w:rPr>
        <w:t> </w:t>
      </w:r>
      <w:r>
        <w:rPr>
          <w:color w:val="231F20"/>
        </w:rPr>
        <w:t>сценарии которых были написаны при участии детей и подростков</w:t>
      </w:r>
      <w:r>
        <w:rPr>
          <w:color w:val="231F20"/>
          <w:vertAlign w:val="superscript"/>
        </w:rPr>
        <w:t>1</w:t>
      </w:r>
      <w:r>
        <w:rPr>
          <w:color w:val="231F20"/>
          <w:vertAlign w:val="baseline"/>
        </w:rPr>
        <w:t>.</w:t>
      </w:r>
    </w:p>
    <w:p>
      <w:pPr>
        <w:spacing w:line="235" w:lineRule="auto" w:before="1"/>
        <w:ind w:left="141" w:right="139" w:firstLine="283"/>
        <w:jc w:val="both"/>
        <w:rPr>
          <w:sz w:val="20"/>
        </w:rPr>
      </w:pPr>
      <w:r>
        <w:rPr>
          <w:color w:val="231F20"/>
          <w:sz w:val="20"/>
        </w:rPr>
        <w:t>Интересно, что все большей востребованностью пользуются </w:t>
      </w:r>
      <w:r>
        <w:rPr>
          <w:i/>
          <w:color w:val="231F20"/>
          <w:sz w:val="20"/>
        </w:rPr>
        <w:t>образовательные </w:t>
      </w:r>
      <w:r>
        <w:rPr>
          <w:color w:val="231F20"/>
          <w:sz w:val="20"/>
        </w:rPr>
        <w:t>программы для учителей, психологов и социальных работников, практикующих драмапедагогику. Так, например, программа </w:t>
      </w:r>
      <w:r>
        <w:rPr>
          <w:i/>
          <w:color w:val="231F20"/>
          <w:sz w:val="20"/>
        </w:rPr>
        <w:t>Erasmus Creative drama applications in integration of children and adolescent migrant» </w:t>
      </w:r>
      <w:r>
        <w:rPr>
          <w:color w:val="231F20"/>
          <w:sz w:val="20"/>
        </w:rPr>
        <w:t>фокусируется на:</w:t>
      </w:r>
    </w:p>
    <w:p>
      <w:pPr>
        <w:pStyle w:val="BodyText"/>
        <w:ind w:left="0" w:right="0" w:firstLine="0"/>
        <w:jc w:val="left"/>
        <w:rPr>
          <w:sz w:val="10"/>
        </w:rPr>
      </w:pPr>
      <w:r>
        <w:rPr>
          <w:sz w:val="10"/>
        </w:rPr>
        <mc:AlternateContent>
          <mc:Choice Requires="wps">
            <w:drawing>
              <wp:anchor distT="0" distB="0" distL="0" distR="0" allowOverlap="1" layoutInCell="1" locked="0" behindDoc="1" simplePos="0" relativeHeight="487628288">
                <wp:simplePos x="0" y="0"/>
                <wp:positionH relativeFrom="page">
                  <wp:posOffset>359999</wp:posOffset>
                </wp:positionH>
                <wp:positionV relativeFrom="paragraph">
                  <wp:posOffset>88725</wp:posOffset>
                </wp:positionV>
                <wp:extent cx="1440180" cy="1270"/>
                <wp:effectExtent l="0" t="0" r="0" b="0"/>
                <wp:wrapTopAndBottom/>
                <wp:docPr id="126" name="Graphic 126"/>
                <wp:cNvGraphicFramePr>
                  <a:graphicFrameLocks/>
                </wp:cNvGraphicFramePr>
                <a:graphic>
                  <a:graphicData uri="http://schemas.microsoft.com/office/word/2010/wordprocessingShape">
                    <wps:wsp>
                      <wps:cNvPr id="126" name="Graphic 126"/>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399pt;margin-top:6.986257pt;width:113.4pt;height:.1pt;mso-position-horizontal-relative:page;mso-position-vertical-relative:paragraph;z-index:-15688192;mso-wrap-distance-left:0;mso-wrap-distance-right:0" id="docshape81" coordorigin="567,140" coordsize="2268,0" path="m567,140l2835,140e" filled="false" stroked="true" strokeweight=".5pt" strokecolor="#231f20">
                <v:path arrowok="t"/>
                <v:stroke dashstyle="solid"/>
                <w10:wrap type="topAndBottom"/>
              </v:shape>
            </w:pict>
          </mc:Fallback>
        </mc:AlternateContent>
      </w:r>
    </w:p>
    <w:p>
      <w:pPr>
        <w:tabs>
          <w:tab w:pos="425" w:val="left" w:leader="none"/>
        </w:tabs>
        <w:spacing w:before="27"/>
        <w:ind w:left="141" w:right="0" w:firstLine="0"/>
        <w:jc w:val="left"/>
        <w:rPr>
          <w:sz w:val="18"/>
        </w:rPr>
      </w:pPr>
      <w:r>
        <w:rPr>
          <w:color w:val="231F20"/>
          <w:spacing w:val="-10"/>
          <w:sz w:val="18"/>
          <w:vertAlign w:val="superscript"/>
        </w:rPr>
        <w:t>1</w:t>
      </w:r>
      <w:r>
        <w:rPr>
          <w:color w:val="231F20"/>
          <w:sz w:val="18"/>
          <w:vertAlign w:val="baseline"/>
        </w:rPr>
        <w:tab/>
      </w:r>
      <w:r>
        <w:rPr>
          <w:color w:val="231F20"/>
          <w:spacing w:val="-2"/>
          <w:sz w:val="18"/>
          <w:vertAlign w:val="baseline"/>
        </w:rPr>
        <w:t>URL:</w:t>
      </w:r>
      <w:r>
        <w:rPr>
          <w:color w:val="231F20"/>
          <w:spacing w:val="33"/>
          <w:sz w:val="18"/>
          <w:vertAlign w:val="baseline"/>
        </w:rPr>
        <w:t>  </w:t>
      </w:r>
      <w:hyperlink r:id="rId133">
        <w:r>
          <w:rPr>
            <w:color w:val="2255A6"/>
            <w:spacing w:val="-2"/>
            <w:sz w:val="18"/>
            <w:u w:val="single" w:color="2255A6"/>
            <w:vertAlign w:val="baseline"/>
          </w:rPr>
          <w:t>https://www.socsci.ox.ac.uk/exploring-migration-research-and-drama-in-schools</w:t>
        </w:r>
      </w:hyperlink>
    </w:p>
    <w:p>
      <w:pPr>
        <w:spacing w:after="0"/>
        <w:jc w:val="left"/>
        <w:rPr>
          <w:sz w:val="18"/>
        </w:rPr>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ListParagraph"/>
        <w:numPr>
          <w:ilvl w:val="0"/>
          <w:numId w:val="136"/>
        </w:numPr>
        <w:tabs>
          <w:tab w:pos="425" w:val="left" w:leader="none"/>
        </w:tabs>
        <w:spacing w:line="235" w:lineRule="auto" w:before="116" w:after="0"/>
        <w:ind w:left="425" w:right="140" w:hanging="284"/>
        <w:jc w:val="left"/>
        <w:rPr>
          <w:color w:val="231F20"/>
          <w:sz w:val="20"/>
        </w:rPr>
      </w:pPr>
      <w:r>
        <w:rPr>
          <w:color w:val="231F20"/>
          <w:sz w:val="20"/>
        </w:rPr>
        <w:t>п</w:t>
      </w:r>
      <w:r>
        <w:rPr>
          <w:color w:val="141A20"/>
          <w:sz w:val="20"/>
        </w:rPr>
        <w:t>рименении</w:t>
      </w:r>
      <w:r>
        <w:rPr>
          <w:color w:val="141A20"/>
          <w:spacing w:val="-13"/>
          <w:sz w:val="20"/>
        </w:rPr>
        <w:t> </w:t>
      </w:r>
      <w:r>
        <w:rPr>
          <w:color w:val="141A20"/>
          <w:sz w:val="20"/>
        </w:rPr>
        <w:t>театральных</w:t>
      </w:r>
      <w:r>
        <w:rPr>
          <w:color w:val="141A20"/>
          <w:spacing w:val="-12"/>
          <w:sz w:val="20"/>
        </w:rPr>
        <w:t> </w:t>
      </w:r>
      <w:r>
        <w:rPr>
          <w:color w:val="141A20"/>
          <w:sz w:val="20"/>
        </w:rPr>
        <w:t>методов</w:t>
      </w:r>
      <w:r>
        <w:rPr>
          <w:color w:val="141A20"/>
          <w:spacing w:val="-13"/>
          <w:sz w:val="20"/>
        </w:rPr>
        <w:t> </w:t>
      </w:r>
      <w:r>
        <w:rPr>
          <w:color w:val="141A20"/>
          <w:sz w:val="20"/>
        </w:rPr>
        <w:t>для</w:t>
      </w:r>
      <w:r>
        <w:rPr>
          <w:color w:val="141A20"/>
          <w:spacing w:val="-12"/>
          <w:sz w:val="20"/>
        </w:rPr>
        <w:t> </w:t>
      </w:r>
      <w:r>
        <w:rPr>
          <w:color w:val="141A20"/>
          <w:sz w:val="20"/>
        </w:rPr>
        <w:t>интеграции</w:t>
      </w:r>
      <w:r>
        <w:rPr>
          <w:color w:val="141A20"/>
          <w:spacing w:val="-13"/>
          <w:sz w:val="20"/>
        </w:rPr>
        <w:t> </w:t>
      </w:r>
      <w:r>
        <w:rPr>
          <w:color w:val="141A20"/>
          <w:sz w:val="20"/>
        </w:rPr>
        <w:t>мигрантов</w:t>
      </w:r>
      <w:r>
        <w:rPr>
          <w:color w:val="141A20"/>
          <w:spacing w:val="-12"/>
          <w:sz w:val="20"/>
        </w:rPr>
        <w:t> </w:t>
      </w:r>
      <w:r>
        <w:rPr>
          <w:color w:val="141A20"/>
          <w:sz w:val="20"/>
        </w:rPr>
        <w:t>в</w:t>
      </w:r>
      <w:r>
        <w:rPr>
          <w:color w:val="141A20"/>
          <w:spacing w:val="-13"/>
          <w:sz w:val="20"/>
        </w:rPr>
        <w:t> </w:t>
      </w:r>
      <w:r>
        <w:rPr>
          <w:color w:val="141A20"/>
          <w:sz w:val="20"/>
        </w:rPr>
        <w:t>школе,</w:t>
      </w:r>
      <w:r>
        <w:rPr>
          <w:color w:val="141A20"/>
          <w:spacing w:val="-12"/>
          <w:sz w:val="20"/>
        </w:rPr>
        <w:t> </w:t>
      </w:r>
      <w:r>
        <w:rPr>
          <w:color w:val="141A20"/>
          <w:sz w:val="20"/>
        </w:rPr>
        <w:t>в</w:t>
      </w:r>
      <w:r>
        <w:rPr>
          <w:color w:val="141A20"/>
          <w:spacing w:val="-13"/>
          <w:sz w:val="20"/>
        </w:rPr>
        <w:t> </w:t>
      </w:r>
      <w:r>
        <w:rPr>
          <w:color w:val="141A20"/>
          <w:sz w:val="20"/>
        </w:rPr>
        <w:t>том</w:t>
      </w:r>
      <w:r>
        <w:rPr>
          <w:color w:val="141A20"/>
          <w:spacing w:val="-12"/>
          <w:sz w:val="20"/>
        </w:rPr>
        <w:t> </w:t>
      </w:r>
      <w:r>
        <w:rPr>
          <w:color w:val="141A20"/>
          <w:sz w:val="20"/>
        </w:rPr>
        <w:t>числе для повышения привязанности к школе;</w:t>
      </w:r>
    </w:p>
    <w:p>
      <w:pPr>
        <w:pStyle w:val="ListParagraph"/>
        <w:numPr>
          <w:ilvl w:val="0"/>
          <w:numId w:val="136"/>
        </w:numPr>
        <w:tabs>
          <w:tab w:pos="425" w:val="left" w:leader="none"/>
        </w:tabs>
        <w:spacing w:line="232" w:lineRule="auto" w:before="0" w:after="0"/>
        <w:ind w:left="425" w:right="139" w:hanging="284"/>
        <w:jc w:val="left"/>
        <w:rPr>
          <w:color w:val="141A20"/>
          <w:sz w:val="20"/>
        </w:rPr>
      </w:pPr>
      <w:r>
        <w:rPr>
          <w:color w:val="141A20"/>
          <w:sz w:val="20"/>
        </w:rPr>
        <w:t>действиях</w:t>
      </w:r>
      <w:r>
        <w:rPr>
          <w:color w:val="141A20"/>
          <w:spacing w:val="-10"/>
          <w:sz w:val="20"/>
        </w:rPr>
        <w:t> </w:t>
      </w:r>
      <w:r>
        <w:rPr>
          <w:color w:val="141A20"/>
          <w:sz w:val="20"/>
        </w:rPr>
        <w:t>и</w:t>
      </w:r>
      <w:r>
        <w:rPr>
          <w:color w:val="141A20"/>
          <w:spacing w:val="-10"/>
          <w:sz w:val="20"/>
        </w:rPr>
        <w:t> </w:t>
      </w:r>
      <w:r>
        <w:rPr>
          <w:color w:val="141A20"/>
          <w:sz w:val="20"/>
        </w:rPr>
        <w:t>практиках</w:t>
      </w:r>
      <w:r>
        <w:rPr>
          <w:color w:val="141A20"/>
          <w:spacing w:val="-10"/>
          <w:sz w:val="20"/>
        </w:rPr>
        <w:t> </w:t>
      </w:r>
      <w:r>
        <w:rPr>
          <w:color w:val="141A20"/>
          <w:sz w:val="20"/>
        </w:rPr>
        <w:t>при</w:t>
      </w:r>
      <w:r>
        <w:rPr>
          <w:color w:val="141A20"/>
          <w:spacing w:val="-10"/>
          <w:sz w:val="20"/>
        </w:rPr>
        <w:t> </w:t>
      </w:r>
      <w:r>
        <w:rPr>
          <w:color w:val="141A20"/>
          <w:sz w:val="20"/>
        </w:rPr>
        <w:t>работе</w:t>
      </w:r>
      <w:r>
        <w:rPr>
          <w:color w:val="141A20"/>
          <w:spacing w:val="-10"/>
          <w:sz w:val="20"/>
        </w:rPr>
        <w:t> </w:t>
      </w:r>
      <w:r>
        <w:rPr>
          <w:color w:val="141A20"/>
          <w:sz w:val="20"/>
        </w:rPr>
        <w:t>с</w:t>
      </w:r>
      <w:r>
        <w:rPr>
          <w:color w:val="141A20"/>
          <w:spacing w:val="-10"/>
          <w:sz w:val="20"/>
        </w:rPr>
        <w:t> </w:t>
      </w:r>
      <w:r>
        <w:rPr>
          <w:color w:val="141A20"/>
          <w:sz w:val="20"/>
        </w:rPr>
        <w:t>учащимся,</w:t>
      </w:r>
      <w:r>
        <w:rPr>
          <w:color w:val="141A20"/>
          <w:spacing w:val="-11"/>
          <w:sz w:val="20"/>
        </w:rPr>
        <w:t> </w:t>
      </w:r>
      <w:r>
        <w:rPr>
          <w:color w:val="141A20"/>
          <w:sz w:val="20"/>
        </w:rPr>
        <w:t>испытывающим</w:t>
      </w:r>
      <w:r>
        <w:rPr>
          <w:color w:val="141A20"/>
          <w:spacing w:val="-10"/>
          <w:sz w:val="20"/>
        </w:rPr>
        <w:t> </w:t>
      </w:r>
      <w:r>
        <w:rPr>
          <w:color w:val="141A20"/>
          <w:sz w:val="20"/>
        </w:rPr>
        <w:t>трудности</w:t>
      </w:r>
      <w:r>
        <w:rPr>
          <w:color w:val="141A20"/>
          <w:spacing w:val="-10"/>
          <w:sz w:val="20"/>
        </w:rPr>
        <w:t> </w:t>
      </w:r>
      <w:r>
        <w:rPr>
          <w:color w:val="141A20"/>
          <w:sz w:val="20"/>
        </w:rPr>
        <w:t>с</w:t>
      </w:r>
      <w:r>
        <w:rPr>
          <w:color w:val="141A20"/>
          <w:spacing w:val="-10"/>
          <w:sz w:val="20"/>
        </w:rPr>
        <w:t> </w:t>
      </w:r>
      <w:r>
        <w:rPr>
          <w:color w:val="141A20"/>
          <w:sz w:val="20"/>
        </w:rPr>
        <w:t>соци- альной адаптацией;</w:t>
      </w:r>
    </w:p>
    <w:p>
      <w:pPr>
        <w:pStyle w:val="ListParagraph"/>
        <w:numPr>
          <w:ilvl w:val="0"/>
          <w:numId w:val="136"/>
        </w:numPr>
        <w:tabs>
          <w:tab w:pos="424" w:val="left" w:leader="none"/>
        </w:tabs>
        <w:spacing w:line="218" w:lineRule="exact" w:before="0" w:after="0"/>
        <w:ind w:left="424" w:right="0" w:hanging="283"/>
        <w:jc w:val="left"/>
        <w:rPr>
          <w:color w:val="141A20"/>
          <w:sz w:val="20"/>
        </w:rPr>
      </w:pPr>
      <w:r>
        <w:rPr>
          <w:color w:val="141A20"/>
          <w:sz w:val="20"/>
        </w:rPr>
        <w:t>развитии</w:t>
      </w:r>
      <w:r>
        <w:rPr>
          <w:color w:val="141A20"/>
          <w:spacing w:val="-5"/>
          <w:sz w:val="20"/>
        </w:rPr>
        <w:t> </w:t>
      </w:r>
      <w:r>
        <w:rPr>
          <w:color w:val="141A20"/>
          <w:sz w:val="20"/>
        </w:rPr>
        <w:t>творческих</w:t>
      </w:r>
      <w:r>
        <w:rPr>
          <w:color w:val="141A20"/>
          <w:spacing w:val="-2"/>
          <w:sz w:val="20"/>
        </w:rPr>
        <w:t> </w:t>
      </w:r>
      <w:r>
        <w:rPr>
          <w:color w:val="141A20"/>
          <w:sz w:val="20"/>
        </w:rPr>
        <w:t>способностей</w:t>
      </w:r>
      <w:r>
        <w:rPr>
          <w:color w:val="141A20"/>
          <w:spacing w:val="-2"/>
          <w:sz w:val="20"/>
        </w:rPr>
        <w:t> </w:t>
      </w:r>
      <w:r>
        <w:rPr>
          <w:color w:val="141A20"/>
          <w:sz w:val="20"/>
        </w:rPr>
        <w:t>и</w:t>
      </w:r>
      <w:r>
        <w:rPr>
          <w:color w:val="141A20"/>
          <w:spacing w:val="-2"/>
          <w:sz w:val="20"/>
        </w:rPr>
        <w:t> воображения;</w:t>
      </w:r>
    </w:p>
    <w:p>
      <w:pPr>
        <w:pStyle w:val="ListParagraph"/>
        <w:numPr>
          <w:ilvl w:val="0"/>
          <w:numId w:val="136"/>
        </w:numPr>
        <w:tabs>
          <w:tab w:pos="424" w:val="left" w:leader="none"/>
        </w:tabs>
        <w:spacing w:line="222" w:lineRule="exact" w:before="0" w:after="0"/>
        <w:ind w:left="424" w:right="0" w:hanging="283"/>
        <w:jc w:val="left"/>
        <w:rPr>
          <w:color w:val="141A20"/>
          <w:sz w:val="20"/>
        </w:rPr>
      </w:pPr>
      <w:r>
        <w:rPr>
          <w:color w:val="141A20"/>
          <w:sz w:val="20"/>
        </w:rPr>
        <w:t>улучшении</w:t>
      </w:r>
      <w:r>
        <w:rPr>
          <w:color w:val="141A20"/>
          <w:spacing w:val="-8"/>
          <w:sz w:val="20"/>
        </w:rPr>
        <w:t> </w:t>
      </w:r>
      <w:r>
        <w:rPr>
          <w:color w:val="141A20"/>
          <w:sz w:val="20"/>
        </w:rPr>
        <w:t>навыков</w:t>
      </w:r>
      <w:r>
        <w:rPr>
          <w:color w:val="141A20"/>
          <w:spacing w:val="-8"/>
          <w:sz w:val="20"/>
        </w:rPr>
        <w:t> </w:t>
      </w:r>
      <w:r>
        <w:rPr>
          <w:color w:val="141A20"/>
          <w:sz w:val="20"/>
        </w:rPr>
        <w:t>независимого</w:t>
      </w:r>
      <w:r>
        <w:rPr>
          <w:color w:val="141A20"/>
          <w:spacing w:val="-6"/>
          <w:sz w:val="20"/>
        </w:rPr>
        <w:t> </w:t>
      </w:r>
      <w:r>
        <w:rPr>
          <w:color w:val="141A20"/>
          <w:sz w:val="20"/>
        </w:rPr>
        <w:t>мышления</w:t>
      </w:r>
      <w:r>
        <w:rPr>
          <w:color w:val="141A20"/>
          <w:spacing w:val="-7"/>
          <w:sz w:val="20"/>
        </w:rPr>
        <w:t> </w:t>
      </w:r>
      <w:r>
        <w:rPr>
          <w:color w:val="141A20"/>
          <w:sz w:val="20"/>
        </w:rPr>
        <w:t>и</w:t>
      </w:r>
      <w:r>
        <w:rPr>
          <w:color w:val="141A20"/>
          <w:spacing w:val="-8"/>
          <w:sz w:val="20"/>
        </w:rPr>
        <w:t> </w:t>
      </w:r>
      <w:r>
        <w:rPr>
          <w:color w:val="141A20"/>
          <w:sz w:val="20"/>
        </w:rPr>
        <w:t>принятия</w:t>
      </w:r>
      <w:r>
        <w:rPr>
          <w:color w:val="141A20"/>
          <w:spacing w:val="-6"/>
          <w:sz w:val="20"/>
        </w:rPr>
        <w:t> </w:t>
      </w:r>
      <w:r>
        <w:rPr>
          <w:color w:val="141A20"/>
          <w:spacing w:val="-2"/>
          <w:sz w:val="20"/>
        </w:rPr>
        <w:t>решений;</w:t>
      </w:r>
    </w:p>
    <w:p>
      <w:pPr>
        <w:pStyle w:val="ListParagraph"/>
        <w:numPr>
          <w:ilvl w:val="0"/>
          <w:numId w:val="136"/>
        </w:numPr>
        <w:tabs>
          <w:tab w:pos="424" w:val="left" w:leader="none"/>
        </w:tabs>
        <w:spacing w:line="222" w:lineRule="exact" w:before="0" w:after="0"/>
        <w:ind w:left="424" w:right="0" w:hanging="283"/>
        <w:jc w:val="left"/>
        <w:rPr>
          <w:color w:val="141A20"/>
          <w:sz w:val="20"/>
        </w:rPr>
      </w:pPr>
      <w:r>
        <w:rPr>
          <w:color w:val="141A20"/>
          <w:spacing w:val="-2"/>
          <w:sz w:val="20"/>
        </w:rPr>
        <w:t>улучшении</w:t>
      </w:r>
      <w:r>
        <w:rPr>
          <w:color w:val="141A20"/>
          <w:spacing w:val="1"/>
          <w:sz w:val="20"/>
        </w:rPr>
        <w:t> </w:t>
      </w:r>
      <w:r>
        <w:rPr>
          <w:color w:val="141A20"/>
          <w:spacing w:val="-2"/>
          <w:sz w:val="20"/>
        </w:rPr>
        <w:t>навыков</w:t>
      </w:r>
      <w:r>
        <w:rPr>
          <w:color w:val="141A20"/>
          <w:spacing w:val="1"/>
          <w:sz w:val="20"/>
        </w:rPr>
        <w:t> </w:t>
      </w:r>
      <w:r>
        <w:rPr>
          <w:color w:val="141A20"/>
          <w:spacing w:val="-2"/>
          <w:sz w:val="20"/>
        </w:rPr>
        <w:t>коммуникации;</w:t>
      </w:r>
    </w:p>
    <w:p>
      <w:pPr>
        <w:pStyle w:val="ListParagraph"/>
        <w:numPr>
          <w:ilvl w:val="0"/>
          <w:numId w:val="136"/>
        </w:numPr>
        <w:tabs>
          <w:tab w:pos="424" w:val="left" w:leader="none"/>
        </w:tabs>
        <w:spacing w:line="222" w:lineRule="exact" w:before="0" w:after="0"/>
        <w:ind w:left="424" w:right="0" w:hanging="283"/>
        <w:jc w:val="left"/>
        <w:rPr>
          <w:color w:val="141A20"/>
          <w:sz w:val="20"/>
        </w:rPr>
      </w:pPr>
      <w:r>
        <w:rPr>
          <w:color w:val="141A20"/>
          <w:sz w:val="20"/>
        </w:rPr>
        <w:t>распознавании</w:t>
      </w:r>
      <w:r>
        <w:rPr>
          <w:color w:val="141A20"/>
          <w:spacing w:val="-8"/>
          <w:sz w:val="20"/>
        </w:rPr>
        <w:t> </w:t>
      </w:r>
      <w:r>
        <w:rPr>
          <w:color w:val="141A20"/>
          <w:sz w:val="20"/>
        </w:rPr>
        <w:t>и</w:t>
      </w:r>
      <w:r>
        <w:rPr>
          <w:color w:val="141A20"/>
          <w:spacing w:val="-8"/>
          <w:sz w:val="20"/>
        </w:rPr>
        <w:t> </w:t>
      </w:r>
      <w:r>
        <w:rPr>
          <w:color w:val="141A20"/>
          <w:sz w:val="20"/>
        </w:rPr>
        <w:t>выражении</w:t>
      </w:r>
      <w:r>
        <w:rPr>
          <w:color w:val="141A20"/>
          <w:spacing w:val="-7"/>
          <w:sz w:val="20"/>
        </w:rPr>
        <w:t> </w:t>
      </w:r>
      <w:r>
        <w:rPr>
          <w:color w:val="141A20"/>
          <w:spacing w:val="-2"/>
          <w:sz w:val="20"/>
        </w:rPr>
        <w:t>эмоций;</w:t>
      </w:r>
    </w:p>
    <w:p>
      <w:pPr>
        <w:pStyle w:val="ListParagraph"/>
        <w:numPr>
          <w:ilvl w:val="0"/>
          <w:numId w:val="136"/>
        </w:numPr>
        <w:tabs>
          <w:tab w:pos="424" w:val="left" w:leader="none"/>
        </w:tabs>
        <w:spacing w:line="232" w:lineRule="auto" w:before="0" w:after="0"/>
        <w:ind w:left="141" w:right="139" w:firstLine="0"/>
        <w:jc w:val="right"/>
        <w:rPr>
          <w:color w:val="141A20"/>
          <w:sz w:val="20"/>
        </w:rPr>
      </w:pPr>
      <w:r>
        <w:rPr>
          <w:color w:val="141A20"/>
          <w:sz w:val="20"/>
        </w:rPr>
        <w:t>повышении</w:t>
      </w:r>
      <w:r>
        <w:rPr>
          <w:color w:val="141A20"/>
          <w:spacing w:val="-13"/>
          <w:sz w:val="20"/>
        </w:rPr>
        <w:t> </w:t>
      </w:r>
      <w:r>
        <w:rPr>
          <w:color w:val="141A20"/>
          <w:sz w:val="20"/>
        </w:rPr>
        <w:t>социальной</w:t>
      </w:r>
      <w:r>
        <w:rPr>
          <w:color w:val="141A20"/>
          <w:spacing w:val="-12"/>
          <w:sz w:val="20"/>
        </w:rPr>
        <w:t> </w:t>
      </w:r>
      <w:r>
        <w:rPr>
          <w:color w:val="141A20"/>
          <w:sz w:val="20"/>
        </w:rPr>
        <w:t>осведомленности</w:t>
      </w:r>
      <w:r>
        <w:rPr>
          <w:color w:val="141A20"/>
          <w:spacing w:val="-13"/>
          <w:sz w:val="20"/>
        </w:rPr>
        <w:t> </w:t>
      </w:r>
      <w:r>
        <w:rPr>
          <w:color w:val="141A20"/>
          <w:sz w:val="20"/>
        </w:rPr>
        <w:t>и</w:t>
      </w:r>
      <w:r>
        <w:rPr>
          <w:color w:val="141A20"/>
          <w:spacing w:val="-12"/>
          <w:sz w:val="20"/>
        </w:rPr>
        <w:t> </w:t>
      </w:r>
      <w:r>
        <w:rPr>
          <w:color w:val="141A20"/>
          <w:sz w:val="20"/>
        </w:rPr>
        <w:t>улучшении</w:t>
      </w:r>
      <w:r>
        <w:rPr>
          <w:color w:val="141A20"/>
          <w:spacing w:val="-13"/>
          <w:sz w:val="20"/>
        </w:rPr>
        <w:t> </w:t>
      </w:r>
      <w:r>
        <w:rPr>
          <w:color w:val="141A20"/>
          <w:sz w:val="20"/>
        </w:rPr>
        <w:t>навыки</w:t>
      </w:r>
      <w:r>
        <w:rPr>
          <w:color w:val="141A20"/>
          <w:spacing w:val="-12"/>
          <w:sz w:val="20"/>
        </w:rPr>
        <w:t> </w:t>
      </w:r>
      <w:r>
        <w:rPr>
          <w:color w:val="141A20"/>
          <w:sz w:val="20"/>
        </w:rPr>
        <w:t>решения</w:t>
      </w:r>
      <w:r>
        <w:rPr>
          <w:color w:val="141A20"/>
          <w:spacing w:val="-13"/>
          <w:sz w:val="20"/>
        </w:rPr>
        <w:t> </w:t>
      </w:r>
      <w:r>
        <w:rPr>
          <w:color w:val="141A20"/>
          <w:sz w:val="20"/>
        </w:rPr>
        <w:t>проблем. </w:t>
      </w:r>
      <w:r>
        <w:rPr>
          <w:color w:val="231F20"/>
          <w:sz w:val="20"/>
        </w:rPr>
        <w:t>В целом среди драматических практик в работе с обучающимися-мигрантами за </w:t>
      </w:r>
      <w:r>
        <w:rPr>
          <w:color w:val="231F20"/>
          <w:spacing w:val="-2"/>
          <w:sz w:val="20"/>
        </w:rPr>
        <w:t>рубежом</w:t>
      </w:r>
      <w:r>
        <w:rPr>
          <w:color w:val="231F20"/>
          <w:spacing w:val="-11"/>
          <w:sz w:val="20"/>
        </w:rPr>
        <w:t> </w:t>
      </w:r>
      <w:r>
        <w:rPr>
          <w:color w:val="231F20"/>
          <w:spacing w:val="-2"/>
          <w:sz w:val="20"/>
        </w:rPr>
        <w:t>лидирует</w:t>
      </w:r>
      <w:r>
        <w:rPr>
          <w:color w:val="231F20"/>
          <w:spacing w:val="-10"/>
          <w:sz w:val="20"/>
        </w:rPr>
        <w:t> </w:t>
      </w:r>
      <w:r>
        <w:rPr>
          <w:color w:val="231F20"/>
          <w:spacing w:val="-2"/>
          <w:sz w:val="20"/>
        </w:rPr>
        <w:t>такое</w:t>
      </w:r>
      <w:r>
        <w:rPr>
          <w:color w:val="231F20"/>
          <w:spacing w:val="-11"/>
          <w:sz w:val="20"/>
        </w:rPr>
        <w:t> </w:t>
      </w:r>
      <w:r>
        <w:rPr>
          <w:color w:val="231F20"/>
          <w:spacing w:val="-2"/>
          <w:sz w:val="20"/>
        </w:rPr>
        <w:t>направление,</w:t>
      </w:r>
      <w:r>
        <w:rPr>
          <w:color w:val="231F20"/>
          <w:spacing w:val="-10"/>
          <w:sz w:val="20"/>
        </w:rPr>
        <w:t> </w:t>
      </w:r>
      <w:r>
        <w:rPr>
          <w:color w:val="231F20"/>
          <w:spacing w:val="-2"/>
          <w:sz w:val="20"/>
        </w:rPr>
        <w:t>как</w:t>
      </w:r>
      <w:r>
        <w:rPr>
          <w:color w:val="231F20"/>
          <w:spacing w:val="-11"/>
          <w:sz w:val="20"/>
        </w:rPr>
        <w:t> </w:t>
      </w:r>
      <w:r>
        <w:rPr>
          <w:color w:val="231F20"/>
          <w:spacing w:val="-2"/>
          <w:sz w:val="20"/>
        </w:rPr>
        <w:t>прикладной</w:t>
      </w:r>
      <w:r>
        <w:rPr>
          <w:color w:val="231F20"/>
          <w:spacing w:val="-10"/>
          <w:sz w:val="20"/>
        </w:rPr>
        <w:t> </w:t>
      </w:r>
      <w:r>
        <w:rPr>
          <w:color w:val="231F20"/>
          <w:spacing w:val="-2"/>
          <w:sz w:val="20"/>
        </w:rPr>
        <w:t>театр</w:t>
      </w:r>
      <w:r>
        <w:rPr>
          <w:color w:val="231F20"/>
          <w:spacing w:val="-11"/>
          <w:sz w:val="20"/>
        </w:rPr>
        <w:t> </w:t>
      </w:r>
      <w:r>
        <w:rPr>
          <w:i/>
          <w:color w:val="231F20"/>
          <w:spacing w:val="-2"/>
          <w:sz w:val="20"/>
        </w:rPr>
        <w:t>(applied</w:t>
      </w:r>
      <w:r>
        <w:rPr>
          <w:i/>
          <w:color w:val="231F20"/>
          <w:spacing w:val="-10"/>
          <w:sz w:val="20"/>
        </w:rPr>
        <w:t> </w:t>
      </w:r>
      <w:r>
        <w:rPr>
          <w:i/>
          <w:color w:val="231F20"/>
          <w:spacing w:val="-2"/>
          <w:sz w:val="20"/>
        </w:rPr>
        <w:t>theater).</w:t>
      </w:r>
      <w:r>
        <w:rPr>
          <w:i/>
          <w:color w:val="231F20"/>
          <w:spacing w:val="-11"/>
          <w:sz w:val="20"/>
        </w:rPr>
        <w:t> </w:t>
      </w:r>
      <w:r>
        <w:rPr>
          <w:color w:val="231F20"/>
          <w:spacing w:val="-2"/>
          <w:sz w:val="20"/>
        </w:rPr>
        <w:t>Приклад- </w:t>
      </w:r>
      <w:r>
        <w:rPr>
          <w:color w:val="231F20"/>
          <w:sz w:val="20"/>
        </w:rPr>
        <w:t>ной театр – это педагогическая технология, основанная на театральных методиках и </w:t>
      </w:r>
      <w:r>
        <w:rPr>
          <w:color w:val="231F20"/>
          <w:spacing w:val="-2"/>
          <w:sz w:val="20"/>
        </w:rPr>
        <w:t>эстетических принципах, которая используется для выявления/изучения социальных, </w:t>
      </w:r>
      <w:r>
        <w:rPr>
          <w:color w:val="231F20"/>
          <w:sz w:val="20"/>
        </w:rPr>
        <w:t>экзистенциальных,</w:t>
      </w:r>
      <w:r>
        <w:rPr>
          <w:color w:val="231F20"/>
          <w:spacing w:val="22"/>
          <w:sz w:val="20"/>
        </w:rPr>
        <w:t> </w:t>
      </w:r>
      <w:r>
        <w:rPr>
          <w:color w:val="231F20"/>
          <w:sz w:val="20"/>
        </w:rPr>
        <w:t>психологических</w:t>
      </w:r>
      <w:r>
        <w:rPr>
          <w:color w:val="231F20"/>
          <w:spacing w:val="22"/>
          <w:sz w:val="20"/>
        </w:rPr>
        <w:t> </w:t>
      </w:r>
      <w:r>
        <w:rPr>
          <w:color w:val="231F20"/>
          <w:sz w:val="20"/>
        </w:rPr>
        <w:t>и</w:t>
      </w:r>
      <w:r>
        <w:rPr>
          <w:color w:val="231F20"/>
          <w:spacing w:val="22"/>
          <w:sz w:val="20"/>
        </w:rPr>
        <w:t> </w:t>
      </w:r>
      <w:r>
        <w:rPr>
          <w:color w:val="231F20"/>
          <w:sz w:val="20"/>
        </w:rPr>
        <w:t>культурных</w:t>
      </w:r>
      <w:r>
        <w:rPr>
          <w:color w:val="231F20"/>
          <w:spacing w:val="22"/>
          <w:sz w:val="20"/>
        </w:rPr>
        <w:t> </w:t>
      </w:r>
      <w:r>
        <w:rPr>
          <w:color w:val="231F20"/>
          <w:sz w:val="20"/>
        </w:rPr>
        <w:t>проблем</w:t>
      </w:r>
      <w:r>
        <w:rPr>
          <w:color w:val="231F20"/>
          <w:spacing w:val="22"/>
          <w:sz w:val="20"/>
        </w:rPr>
        <w:t> </w:t>
      </w:r>
      <w:r>
        <w:rPr>
          <w:color w:val="231F20"/>
          <w:sz w:val="20"/>
        </w:rPr>
        <w:t>маргинализированных групп</w:t>
      </w:r>
      <w:r>
        <w:rPr>
          <w:color w:val="231F20"/>
          <w:spacing w:val="4"/>
          <w:sz w:val="20"/>
        </w:rPr>
        <w:t> </w:t>
      </w:r>
      <w:r>
        <w:rPr>
          <w:color w:val="231F20"/>
          <w:sz w:val="20"/>
        </w:rPr>
        <w:t>(беженцы,</w:t>
      </w:r>
      <w:r>
        <w:rPr>
          <w:color w:val="231F20"/>
          <w:spacing w:val="4"/>
          <w:sz w:val="20"/>
        </w:rPr>
        <w:t> </w:t>
      </w:r>
      <w:r>
        <w:rPr>
          <w:color w:val="231F20"/>
          <w:sz w:val="20"/>
        </w:rPr>
        <w:t>мигранты,</w:t>
      </w:r>
      <w:r>
        <w:rPr>
          <w:color w:val="231F20"/>
          <w:spacing w:val="4"/>
          <w:sz w:val="20"/>
        </w:rPr>
        <w:t> </w:t>
      </w:r>
      <w:r>
        <w:rPr>
          <w:color w:val="231F20"/>
          <w:sz w:val="20"/>
        </w:rPr>
        <w:t>наркоманы</w:t>
      </w:r>
      <w:r>
        <w:rPr>
          <w:color w:val="231F20"/>
          <w:spacing w:val="4"/>
          <w:sz w:val="20"/>
        </w:rPr>
        <w:t> </w:t>
      </w:r>
      <w:r>
        <w:rPr>
          <w:color w:val="231F20"/>
          <w:sz w:val="20"/>
        </w:rPr>
        <w:t>и</w:t>
      </w:r>
      <w:r>
        <w:rPr>
          <w:color w:val="231F20"/>
          <w:spacing w:val="4"/>
          <w:sz w:val="20"/>
        </w:rPr>
        <w:t> </w:t>
      </w:r>
      <w:r>
        <w:rPr>
          <w:color w:val="231F20"/>
          <w:sz w:val="20"/>
        </w:rPr>
        <w:t>др.)</w:t>
      </w:r>
      <w:r>
        <w:rPr>
          <w:color w:val="231F20"/>
          <w:spacing w:val="4"/>
          <w:sz w:val="20"/>
        </w:rPr>
        <w:t> </w:t>
      </w:r>
      <w:r>
        <w:rPr>
          <w:color w:val="231F20"/>
          <w:sz w:val="20"/>
        </w:rPr>
        <w:t>в</w:t>
      </w:r>
      <w:r>
        <w:rPr>
          <w:color w:val="231F20"/>
          <w:spacing w:val="4"/>
          <w:sz w:val="20"/>
        </w:rPr>
        <w:t> </w:t>
      </w:r>
      <w:r>
        <w:rPr>
          <w:color w:val="231F20"/>
          <w:sz w:val="20"/>
        </w:rPr>
        <w:t>социально-политическом</w:t>
      </w:r>
      <w:r>
        <w:rPr>
          <w:color w:val="231F20"/>
          <w:spacing w:val="4"/>
          <w:sz w:val="20"/>
        </w:rPr>
        <w:t> </w:t>
      </w:r>
      <w:r>
        <w:rPr>
          <w:color w:val="231F20"/>
          <w:sz w:val="20"/>
        </w:rPr>
        <w:t>контексте. </w:t>
      </w:r>
      <w:r>
        <w:rPr>
          <w:color w:val="231F20"/>
          <w:spacing w:val="-2"/>
          <w:sz w:val="20"/>
        </w:rPr>
        <w:t>Целью прикладного театра является стремление вызвать перемены путем обсуждения </w:t>
      </w:r>
      <w:r>
        <w:rPr>
          <w:color w:val="231F20"/>
          <w:sz w:val="20"/>
        </w:rPr>
        <w:t>и открытой дискуссии на тему острых социальных и политических проблем. Таким образом, практики прикладного театра влияют как на участников, готовивших спек- </w:t>
      </w:r>
      <w:r>
        <w:rPr>
          <w:color w:val="231F20"/>
          <w:spacing w:val="-4"/>
          <w:sz w:val="20"/>
        </w:rPr>
        <w:t>такль, так и на зрителей, выполняя роль учебного пособия или руководства к действию. </w:t>
      </w:r>
      <w:r>
        <w:rPr>
          <w:color w:val="231F20"/>
          <w:sz w:val="20"/>
        </w:rPr>
        <w:t>Режиссеры,</w:t>
      </w:r>
      <w:r>
        <w:rPr>
          <w:color w:val="231F20"/>
          <w:spacing w:val="-8"/>
          <w:sz w:val="20"/>
        </w:rPr>
        <w:t> </w:t>
      </w:r>
      <w:r>
        <w:rPr>
          <w:color w:val="231F20"/>
          <w:sz w:val="20"/>
        </w:rPr>
        <w:t>педагоги,</w:t>
      </w:r>
      <w:r>
        <w:rPr>
          <w:color w:val="231F20"/>
          <w:spacing w:val="-8"/>
          <w:sz w:val="20"/>
        </w:rPr>
        <w:t> </w:t>
      </w:r>
      <w:r>
        <w:rPr>
          <w:color w:val="231F20"/>
          <w:sz w:val="20"/>
        </w:rPr>
        <w:t>социальные</w:t>
      </w:r>
      <w:r>
        <w:rPr>
          <w:color w:val="231F20"/>
          <w:spacing w:val="-8"/>
          <w:sz w:val="20"/>
        </w:rPr>
        <w:t> </w:t>
      </w:r>
      <w:r>
        <w:rPr>
          <w:color w:val="231F20"/>
          <w:sz w:val="20"/>
        </w:rPr>
        <w:t>работники,</w:t>
      </w:r>
      <w:r>
        <w:rPr>
          <w:color w:val="231F20"/>
          <w:spacing w:val="-7"/>
          <w:sz w:val="20"/>
        </w:rPr>
        <w:t> </w:t>
      </w:r>
      <w:r>
        <w:rPr>
          <w:color w:val="231F20"/>
          <w:sz w:val="20"/>
        </w:rPr>
        <w:t>которые</w:t>
      </w:r>
      <w:r>
        <w:rPr>
          <w:color w:val="231F20"/>
          <w:spacing w:val="-8"/>
          <w:sz w:val="20"/>
        </w:rPr>
        <w:t> </w:t>
      </w:r>
      <w:r>
        <w:rPr>
          <w:color w:val="231F20"/>
          <w:sz w:val="20"/>
        </w:rPr>
        <w:t>обращаются</w:t>
      </w:r>
      <w:r>
        <w:rPr>
          <w:color w:val="231F20"/>
          <w:spacing w:val="-8"/>
          <w:sz w:val="20"/>
        </w:rPr>
        <w:t> </w:t>
      </w:r>
      <w:r>
        <w:rPr>
          <w:color w:val="231F20"/>
          <w:sz w:val="20"/>
        </w:rPr>
        <w:t>к</w:t>
      </w:r>
      <w:r>
        <w:rPr>
          <w:color w:val="231F20"/>
          <w:spacing w:val="-8"/>
          <w:sz w:val="20"/>
        </w:rPr>
        <w:t> </w:t>
      </w:r>
      <w:r>
        <w:rPr>
          <w:color w:val="231F20"/>
          <w:sz w:val="20"/>
        </w:rPr>
        <w:t>практикам</w:t>
      </w:r>
      <w:r>
        <w:rPr>
          <w:color w:val="231F20"/>
          <w:spacing w:val="-7"/>
          <w:sz w:val="20"/>
        </w:rPr>
        <w:t> </w:t>
      </w:r>
      <w:r>
        <w:rPr>
          <w:color w:val="231F20"/>
          <w:sz w:val="20"/>
        </w:rPr>
        <w:t>при- </w:t>
      </w:r>
      <w:r>
        <w:rPr>
          <w:color w:val="231F20"/>
          <w:spacing w:val="-4"/>
          <w:sz w:val="20"/>
        </w:rPr>
        <w:t>кладного</w:t>
      </w:r>
      <w:r>
        <w:rPr>
          <w:color w:val="231F20"/>
          <w:spacing w:val="4"/>
          <w:sz w:val="20"/>
        </w:rPr>
        <w:t> </w:t>
      </w:r>
      <w:r>
        <w:rPr>
          <w:color w:val="231F20"/>
          <w:spacing w:val="-4"/>
          <w:sz w:val="20"/>
        </w:rPr>
        <w:t>театра,</w:t>
      </w:r>
      <w:r>
        <w:rPr>
          <w:color w:val="231F20"/>
          <w:spacing w:val="4"/>
          <w:sz w:val="20"/>
        </w:rPr>
        <w:t> </w:t>
      </w:r>
      <w:r>
        <w:rPr>
          <w:color w:val="231F20"/>
          <w:spacing w:val="-4"/>
          <w:sz w:val="20"/>
        </w:rPr>
        <w:t>часто</w:t>
      </w:r>
      <w:r>
        <w:rPr>
          <w:color w:val="231F20"/>
          <w:spacing w:val="4"/>
          <w:sz w:val="20"/>
        </w:rPr>
        <w:t> </w:t>
      </w:r>
      <w:r>
        <w:rPr>
          <w:color w:val="231F20"/>
          <w:spacing w:val="-4"/>
          <w:sz w:val="20"/>
        </w:rPr>
        <w:t>действуют</w:t>
      </w:r>
      <w:r>
        <w:rPr>
          <w:color w:val="231F20"/>
          <w:spacing w:val="4"/>
          <w:sz w:val="20"/>
        </w:rPr>
        <w:t> </w:t>
      </w:r>
      <w:r>
        <w:rPr>
          <w:color w:val="231F20"/>
          <w:spacing w:val="-4"/>
          <w:sz w:val="20"/>
        </w:rPr>
        <w:t>с</w:t>
      </w:r>
      <w:r>
        <w:rPr>
          <w:color w:val="231F20"/>
          <w:spacing w:val="4"/>
          <w:sz w:val="20"/>
        </w:rPr>
        <w:t> </w:t>
      </w:r>
      <w:r>
        <w:rPr>
          <w:color w:val="231F20"/>
          <w:spacing w:val="-4"/>
          <w:sz w:val="20"/>
        </w:rPr>
        <w:t>особым</w:t>
      </w:r>
      <w:r>
        <w:rPr>
          <w:color w:val="231F20"/>
          <w:spacing w:val="4"/>
          <w:sz w:val="20"/>
        </w:rPr>
        <w:t> </w:t>
      </w:r>
      <w:r>
        <w:rPr>
          <w:color w:val="231F20"/>
          <w:spacing w:val="-4"/>
          <w:sz w:val="20"/>
        </w:rPr>
        <w:t>намерением</w:t>
      </w:r>
      <w:r>
        <w:rPr>
          <w:color w:val="231F20"/>
          <w:spacing w:val="4"/>
          <w:sz w:val="20"/>
        </w:rPr>
        <w:t> </w:t>
      </w:r>
      <w:r>
        <w:rPr>
          <w:color w:val="231F20"/>
          <w:spacing w:val="-4"/>
          <w:sz w:val="20"/>
        </w:rPr>
        <w:t>разрушить</w:t>
      </w:r>
      <w:r>
        <w:rPr>
          <w:color w:val="231F20"/>
          <w:spacing w:val="4"/>
          <w:sz w:val="20"/>
        </w:rPr>
        <w:t> </w:t>
      </w:r>
      <w:r>
        <w:rPr>
          <w:color w:val="231F20"/>
          <w:spacing w:val="-4"/>
          <w:sz w:val="20"/>
        </w:rPr>
        <w:t>доминирующие</w:t>
      </w:r>
      <w:r>
        <w:rPr>
          <w:color w:val="231F20"/>
          <w:spacing w:val="4"/>
          <w:sz w:val="20"/>
        </w:rPr>
        <w:t> </w:t>
      </w:r>
      <w:r>
        <w:rPr>
          <w:color w:val="231F20"/>
          <w:spacing w:val="-5"/>
          <w:sz w:val="20"/>
        </w:rPr>
        <w:t>со-</w:t>
      </w:r>
    </w:p>
    <w:p>
      <w:pPr>
        <w:pStyle w:val="BodyText"/>
        <w:spacing w:line="232" w:lineRule="auto"/>
        <w:ind w:left="425" w:hanging="284"/>
      </w:pPr>
      <w:r>
        <w:rPr>
          <w:color w:val="231F20"/>
        </w:rPr>
        <w:t>циальные</w:t>
      </w:r>
      <w:r>
        <w:rPr>
          <w:color w:val="231F20"/>
          <w:spacing w:val="-13"/>
        </w:rPr>
        <w:t> </w:t>
      </w:r>
      <w:r>
        <w:rPr>
          <w:color w:val="231F20"/>
        </w:rPr>
        <w:t>нарративы,</w:t>
      </w:r>
      <w:r>
        <w:rPr>
          <w:color w:val="231F20"/>
          <w:spacing w:val="-12"/>
        </w:rPr>
        <w:t> </w:t>
      </w:r>
      <w:r>
        <w:rPr>
          <w:color w:val="231F20"/>
        </w:rPr>
        <w:t>где</w:t>
      </w:r>
      <w:r>
        <w:rPr>
          <w:color w:val="231F20"/>
          <w:spacing w:val="-13"/>
        </w:rPr>
        <w:t> </w:t>
      </w:r>
      <w:r>
        <w:rPr>
          <w:color w:val="231F20"/>
        </w:rPr>
        <w:t>драма</w:t>
      </w:r>
      <w:r>
        <w:rPr>
          <w:color w:val="231F20"/>
          <w:spacing w:val="-12"/>
        </w:rPr>
        <w:t> </w:t>
      </w:r>
      <w:r>
        <w:rPr>
          <w:color w:val="231F20"/>
        </w:rPr>
        <w:t>становится</w:t>
      </w:r>
      <w:r>
        <w:rPr>
          <w:color w:val="231F20"/>
          <w:spacing w:val="-13"/>
        </w:rPr>
        <w:t> </w:t>
      </w:r>
      <w:r>
        <w:rPr>
          <w:color w:val="231F20"/>
        </w:rPr>
        <w:t>местом</w:t>
      </w:r>
      <w:r>
        <w:rPr>
          <w:color w:val="231F20"/>
          <w:spacing w:val="-12"/>
        </w:rPr>
        <w:t> </w:t>
      </w:r>
      <w:r>
        <w:rPr>
          <w:color w:val="231F20"/>
        </w:rPr>
        <w:t>для</w:t>
      </w:r>
      <w:r>
        <w:rPr>
          <w:color w:val="231F20"/>
          <w:spacing w:val="-13"/>
        </w:rPr>
        <w:t> </w:t>
      </w:r>
      <w:r>
        <w:rPr>
          <w:color w:val="231F20"/>
        </w:rPr>
        <w:t>изучения</w:t>
      </w:r>
      <w:r>
        <w:rPr>
          <w:color w:val="231F20"/>
          <w:spacing w:val="-12"/>
        </w:rPr>
        <w:t> </w:t>
      </w:r>
      <w:r>
        <w:rPr>
          <w:color w:val="231F20"/>
        </w:rPr>
        <w:t>этических</w:t>
      </w:r>
      <w:r>
        <w:rPr>
          <w:color w:val="231F20"/>
          <w:spacing w:val="-13"/>
        </w:rPr>
        <w:t> </w:t>
      </w:r>
      <w:r>
        <w:rPr>
          <w:color w:val="231F20"/>
        </w:rPr>
        <w:t>пробелов. Прикладной</w:t>
      </w:r>
      <w:r>
        <w:rPr>
          <w:color w:val="231F20"/>
          <w:spacing w:val="2"/>
        </w:rPr>
        <w:t> </w:t>
      </w:r>
      <w:r>
        <w:rPr>
          <w:color w:val="231F20"/>
        </w:rPr>
        <w:t>театр</w:t>
      </w:r>
      <w:r>
        <w:rPr>
          <w:color w:val="231F20"/>
          <w:spacing w:val="3"/>
        </w:rPr>
        <w:t> </w:t>
      </w:r>
      <w:r>
        <w:rPr>
          <w:color w:val="231F20"/>
        </w:rPr>
        <w:t>является</w:t>
      </w:r>
      <w:r>
        <w:rPr>
          <w:color w:val="231F20"/>
          <w:spacing w:val="2"/>
        </w:rPr>
        <w:t> </w:t>
      </w:r>
      <w:r>
        <w:rPr>
          <w:color w:val="231F20"/>
        </w:rPr>
        <w:t>зонтичным</w:t>
      </w:r>
      <w:r>
        <w:rPr>
          <w:color w:val="231F20"/>
          <w:spacing w:val="3"/>
        </w:rPr>
        <w:t> </w:t>
      </w:r>
      <w:r>
        <w:rPr>
          <w:color w:val="231F20"/>
        </w:rPr>
        <w:t>термином,</w:t>
      </w:r>
      <w:r>
        <w:rPr>
          <w:color w:val="231F20"/>
          <w:spacing w:val="2"/>
        </w:rPr>
        <w:t> </w:t>
      </w:r>
      <w:r>
        <w:rPr>
          <w:color w:val="231F20"/>
        </w:rPr>
        <w:t>объединяющим</w:t>
      </w:r>
      <w:r>
        <w:rPr>
          <w:color w:val="231F20"/>
          <w:spacing w:val="3"/>
        </w:rPr>
        <w:t> </w:t>
      </w:r>
      <w:r>
        <w:rPr>
          <w:color w:val="231F20"/>
        </w:rPr>
        <w:t>различные</w:t>
      </w:r>
      <w:r>
        <w:rPr>
          <w:color w:val="231F20"/>
          <w:spacing w:val="3"/>
        </w:rPr>
        <w:t> </w:t>
      </w:r>
      <w:r>
        <w:rPr>
          <w:color w:val="231F20"/>
          <w:spacing w:val="-5"/>
        </w:rPr>
        <w:t>на-</w:t>
      </w:r>
    </w:p>
    <w:p>
      <w:pPr>
        <w:pStyle w:val="BodyText"/>
        <w:spacing w:line="232" w:lineRule="auto"/>
        <w:ind w:firstLine="0"/>
      </w:pPr>
      <w:r>
        <w:rPr>
          <w:color w:val="231F20"/>
        </w:rPr>
        <w:t>правления</w:t>
      </w:r>
      <w:r>
        <w:rPr>
          <w:color w:val="231F20"/>
          <w:spacing w:val="-13"/>
        </w:rPr>
        <w:t> </w:t>
      </w:r>
      <w:r>
        <w:rPr>
          <w:color w:val="231F20"/>
        </w:rPr>
        <w:t>театральных</w:t>
      </w:r>
      <w:r>
        <w:rPr>
          <w:color w:val="231F20"/>
          <w:spacing w:val="-12"/>
        </w:rPr>
        <w:t> </w:t>
      </w:r>
      <w:r>
        <w:rPr>
          <w:color w:val="231F20"/>
        </w:rPr>
        <w:t>практик.</w:t>
      </w:r>
      <w:r>
        <w:rPr>
          <w:color w:val="231F20"/>
          <w:spacing w:val="-13"/>
        </w:rPr>
        <w:t> </w:t>
      </w:r>
      <w:r>
        <w:rPr>
          <w:color w:val="231F20"/>
        </w:rPr>
        <w:t>В</w:t>
      </w:r>
      <w:r>
        <w:rPr>
          <w:color w:val="231F20"/>
          <w:spacing w:val="-12"/>
        </w:rPr>
        <w:t> </w:t>
      </w:r>
      <w:r>
        <w:rPr>
          <w:color w:val="231F20"/>
        </w:rPr>
        <w:t>работе</w:t>
      </w:r>
      <w:r>
        <w:rPr>
          <w:color w:val="231F20"/>
          <w:spacing w:val="-13"/>
        </w:rPr>
        <w:t> </w:t>
      </w:r>
      <w:r>
        <w:rPr>
          <w:color w:val="231F20"/>
        </w:rPr>
        <w:t>с</w:t>
      </w:r>
      <w:r>
        <w:rPr>
          <w:color w:val="231F20"/>
          <w:spacing w:val="-12"/>
        </w:rPr>
        <w:t> </w:t>
      </w:r>
      <w:r>
        <w:rPr>
          <w:color w:val="231F20"/>
        </w:rPr>
        <w:t>мигрантами</w:t>
      </w:r>
      <w:r>
        <w:rPr>
          <w:color w:val="231F20"/>
          <w:spacing w:val="-13"/>
        </w:rPr>
        <w:t> </w:t>
      </w:r>
      <w:r>
        <w:rPr>
          <w:color w:val="231F20"/>
        </w:rPr>
        <w:t>за</w:t>
      </w:r>
      <w:r>
        <w:rPr>
          <w:color w:val="231F20"/>
          <w:spacing w:val="-12"/>
        </w:rPr>
        <w:t> </w:t>
      </w:r>
      <w:r>
        <w:rPr>
          <w:color w:val="231F20"/>
        </w:rPr>
        <w:t>рубежом</w:t>
      </w:r>
      <w:r>
        <w:rPr>
          <w:color w:val="231F20"/>
          <w:spacing w:val="-13"/>
        </w:rPr>
        <w:t> </w:t>
      </w:r>
      <w:r>
        <w:rPr>
          <w:color w:val="231F20"/>
        </w:rPr>
        <w:t>зарекомендовали себя</w:t>
      </w:r>
      <w:r>
        <w:rPr>
          <w:color w:val="231F20"/>
          <w:spacing w:val="-10"/>
        </w:rPr>
        <w:t> </w:t>
      </w:r>
      <w:r>
        <w:rPr>
          <w:color w:val="231F20"/>
        </w:rPr>
        <w:t>такие</w:t>
      </w:r>
      <w:r>
        <w:rPr>
          <w:color w:val="231F20"/>
          <w:spacing w:val="-10"/>
        </w:rPr>
        <w:t> </w:t>
      </w:r>
      <w:r>
        <w:rPr>
          <w:color w:val="231F20"/>
        </w:rPr>
        <w:t>его</w:t>
      </w:r>
      <w:r>
        <w:rPr>
          <w:color w:val="231F20"/>
          <w:spacing w:val="-10"/>
        </w:rPr>
        <w:t> </w:t>
      </w:r>
      <w:r>
        <w:rPr>
          <w:color w:val="231F20"/>
        </w:rPr>
        <w:t>формы</w:t>
      </w:r>
      <w:r>
        <w:rPr>
          <w:color w:val="231F20"/>
          <w:spacing w:val="-10"/>
        </w:rPr>
        <w:t> </w:t>
      </w:r>
      <w:r>
        <w:rPr>
          <w:color w:val="231F20"/>
        </w:rPr>
        <w:t>как</w:t>
      </w:r>
      <w:r>
        <w:rPr>
          <w:color w:val="231F20"/>
          <w:spacing w:val="-10"/>
        </w:rPr>
        <w:t> </w:t>
      </w:r>
      <w:r>
        <w:rPr>
          <w:i/>
          <w:color w:val="231F20"/>
        </w:rPr>
        <w:t>Play-back</w:t>
      </w:r>
      <w:r>
        <w:rPr>
          <w:i/>
          <w:color w:val="231F20"/>
          <w:spacing w:val="-10"/>
        </w:rPr>
        <w:t> </w:t>
      </w:r>
      <w:r>
        <w:rPr>
          <w:i/>
          <w:color w:val="231F20"/>
        </w:rPr>
        <w:t>Theatre</w:t>
      </w:r>
      <w:r>
        <w:rPr>
          <w:i/>
          <w:color w:val="231F20"/>
          <w:spacing w:val="-10"/>
        </w:rPr>
        <w:t> </w:t>
      </w:r>
      <w:r>
        <w:rPr>
          <w:color w:val="231F20"/>
        </w:rPr>
        <w:t>(плейбек-театр)</w:t>
      </w:r>
      <w:r>
        <w:rPr>
          <w:color w:val="231F20"/>
          <w:spacing w:val="-10"/>
        </w:rPr>
        <w:t> </w:t>
      </w:r>
      <w:r>
        <w:rPr>
          <w:color w:val="231F20"/>
        </w:rPr>
        <w:t>и</w:t>
      </w:r>
      <w:r>
        <w:rPr>
          <w:color w:val="231F20"/>
          <w:spacing w:val="-10"/>
        </w:rPr>
        <w:t> </w:t>
      </w:r>
      <w:r>
        <w:rPr>
          <w:i/>
          <w:color w:val="231F20"/>
        </w:rPr>
        <w:t>Theatre</w:t>
      </w:r>
      <w:r>
        <w:rPr>
          <w:i/>
          <w:color w:val="231F20"/>
          <w:spacing w:val="-10"/>
        </w:rPr>
        <w:t> </w:t>
      </w:r>
      <w:r>
        <w:rPr>
          <w:i/>
          <w:color w:val="231F20"/>
        </w:rPr>
        <w:t>of</w:t>
      </w:r>
      <w:r>
        <w:rPr>
          <w:i/>
          <w:color w:val="231F20"/>
          <w:spacing w:val="-10"/>
        </w:rPr>
        <w:t> </w:t>
      </w:r>
      <w:r>
        <w:rPr>
          <w:i/>
          <w:color w:val="231F20"/>
        </w:rPr>
        <w:t>the</w:t>
      </w:r>
      <w:r>
        <w:rPr>
          <w:i/>
          <w:color w:val="231F20"/>
          <w:spacing w:val="-10"/>
        </w:rPr>
        <w:t> </w:t>
      </w:r>
      <w:r>
        <w:rPr>
          <w:i/>
          <w:color w:val="231F20"/>
        </w:rPr>
        <w:t>Oppressed </w:t>
      </w:r>
      <w:r>
        <w:rPr>
          <w:color w:val="231F20"/>
        </w:rPr>
        <w:t>(театр угнетенных), основанный на театральной концепции А. Боаля (прежде всего такая его разновидность, как </w:t>
      </w:r>
      <w:r>
        <w:rPr>
          <w:i/>
          <w:color w:val="231F20"/>
        </w:rPr>
        <w:t>Forum Theater </w:t>
      </w:r>
      <w:r>
        <w:rPr>
          <w:color w:val="231F20"/>
        </w:rPr>
        <w:t>– форумный театр).</w:t>
      </w:r>
    </w:p>
    <w:p>
      <w:pPr>
        <w:pStyle w:val="BodyText"/>
        <w:spacing w:line="232" w:lineRule="auto"/>
      </w:pPr>
      <w:r>
        <w:rPr>
          <w:color w:val="231F20"/>
        </w:rPr>
        <w:t>В российской практике работа с детьми-мигрантами средствами театральной де- ятельности остается практически неразработанной областью. Прежде всего необхо- димо</w:t>
      </w:r>
      <w:r>
        <w:rPr>
          <w:color w:val="231F20"/>
          <w:spacing w:val="-9"/>
        </w:rPr>
        <w:t> </w:t>
      </w:r>
      <w:r>
        <w:rPr>
          <w:color w:val="231F20"/>
        </w:rPr>
        <w:t>отметить,</w:t>
      </w:r>
      <w:r>
        <w:rPr>
          <w:color w:val="231F20"/>
          <w:spacing w:val="-9"/>
        </w:rPr>
        <w:t> </w:t>
      </w:r>
      <w:r>
        <w:rPr>
          <w:color w:val="231F20"/>
        </w:rPr>
        <w:t>что,</w:t>
      </w:r>
      <w:r>
        <w:rPr>
          <w:color w:val="231F20"/>
          <w:spacing w:val="-9"/>
        </w:rPr>
        <w:t> </w:t>
      </w:r>
      <w:r>
        <w:rPr>
          <w:color w:val="231F20"/>
        </w:rPr>
        <w:t>если</w:t>
      </w:r>
      <w:r>
        <w:rPr>
          <w:color w:val="231F20"/>
          <w:spacing w:val="-9"/>
        </w:rPr>
        <w:t> </w:t>
      </w:r>
      <w:r>
        <w:rPr>
          <w:color w:val="231F20"/>
        </w:rPr>
        <w:t>в</w:t>
      </w:r>
      <w:r>
        <w:rPr>
          <w:color w:val="231F20"/>
          <w:spacing w:val="-9"/>
        </w:rPr>
        <w:t> </w:t>
      </w:r>
      <w:r>
        <w:rPr>
          <w:color w:val="231F20"/>
        </w:rPr>
        <w:t>западноевропейских</w:t>
      </w:r>
      <w:r>
        <w:rPr>
          <w:color w:val="231F20"/>
          <w:spacing w:val="-9"/>
        </w:rPr>
        <w:t> </w:t>
      </w:r>
      <w:r>
        <w:rPr>
          <w:color w:val="231F20"/>
        </w:rPr>
        <w:t>странах</w:t>
      </w:r>
      <w:r>
        <w:rPr>
          <w:color w:val="231F20"/>
          <w:spacing w:val="-9"/>
        </w:rPr>
        <w:t> </w:t>
      </w:r>
      <w:r>
        <w:rPr>
          <w:color w:val="231F20"/>
        </w:rPr>
        <w:t>миграция</w:t>
      </w:r>
      <w:r>
        <w:rPr>
          <w:color w:val="231F20"/>
          <w:spacing w:val="-8"/>
        </w:rPr>
        <w:t> </w:t>
      </w:r>
      <w:r>
        <w:rPr>
          <w:color w:val="231F20"/>
        </w:rPr>
        <w:t>связана</w:t>
      </w:r>
      <w:r>
        <w:rPr>
          <w:color w:val="231F20"/>
          <w:spacing w:val="-9"/>
        </w:rPr>
        <w:t> </w:t>
      </w:r>
      <w:r>
        <w:rPr>
          <w:color w:val="231F20"/>
        </w:rPr>
        <w:t>с</w:t>
      </w:r>
      <w:r>
        <w:rPr>
          <w:color w:val="231F20"/>
          <w:spacing w:val="-8"/>
        </w:rPr>
        <w:t> </w:t>
      </w:r>
      <w:r>
        <w:rPr>
          <w:color w:val="231F20"/>
        </w:rPr>
        <w:t>войнами, вооруженными</w:t>
      </w:r>
      <w:r>
        <w:rPr>
          <w:color w:val="231F20"/>
          <w:spacing w:val="-13"/>
        </w:rPr>
        <w:t> </w:t>
      </w:r>
      <w:r>
        <w:rPr>
          <w:color w:val="231F20"/>
        </w:rPr>
        <w:t>конфликтами</w:t>
      </w:r>
      <w:r>
        <w:rPr>
          <w:color w:val="231F20"/>
          <w:spacing w:val="-12"/>
        </w:rPr>
        <w:t> </w:t>
      </w:r>
      <w:r>
        <w:rPr>
          <w:color w:val="231F20"/>
        </w:rPr>
        <w:t>и</w:t>
      </w:r>
      <w:r>
        <w:rPr>
          <w:color w:val="231F20"/>
          <w:spacing w:val="-13"/>
        </w:rPr>
        <w:t> </w:t>
      </w:r>
      <w:r>
        <w:rPr>
          <w:color w:val="231F20"/>
        </w:rPr>
        <w:t>экономическими</w:t>
      </w:r>
      <w:r>
        <w:rPr>
          <w:color w:val="231F20"/>
          <w:spacing w:val="-12"/>
        </w:rPr>
        <w:t> </w:t>
      </w:r>
      <w:r>
        <w:rPr>
          <w:color w:val="231F20"/>
        </w:rPr>
        <w:t>кризисами</w:t>
      </w:r>
      <w:r>
        <w:rPr>
          <w:color w:val="231F20"/>
          <w:spacing w:val="-13"/>
        </w:rPr>
        <w:t> </w:t>
      </w:r>
      <w:r>
        <w:rPr>
          <w:color w:val="231F20"/>
        </w:rPr>
        <w:t>в</w:t>
      </w:r>
      <w:r>
        <w:rPr>
          <w:color w:val="231F20"/>
          <w:spacing w:val="-12"/>
        </w:rPr>
        <w:t> </w:t>
      </w:r>
      <w:r>
        <w:rPr>
          <w:color w:val="231F20"/>
        </w:rPr>
        <w:t>странах</w:t>
      </w:r>
      <w:r>
        <w:rPr>
          <w:color w:val="231F20"/>
          <w:spacing w:val="-13"/>
        </w:rPr>
        <w:t> </w:t>
      </w:r>
      <w:r>
        <w:rPr>
          <w:color w:val="231F20"/>
        </w:rPr>
        <w:t>происхождения мигрантов, то в России иммиграция является, в первую очередь, трудовой. В связи</w:t>
      </w:r>
      <w:r>
        <w:rPr>
          <w:color w:val="231F20"/>
          <w:spacing w:val="80"/>
        </w:rPr>
        <w:t> </w:t>
      </w:r>
      <w:r>
        <w:rPr>
          <w:color w:val="231F20"/>
        </w:rPr>
        <w:t>с этим, по мнению М. Симона, «мигранты на</w:t>
      </w:r>
      <w:r>
        <w:rPr>
          <w:color w:val="231F20"/>
          <w:spacing w:val="-2"/>
        </w:rPr>
        <w:t> </w:t>
      </w:r>
      <w:r>
        <w:rPr>
          <w:color w:val="231F20"/>
        </w:rPr>
        <w:t>российской театральной сцене в</w:t>
      </w:r>
      <w:r>
        <w:rPr>
          <w:color w:val="231F20"/>
          <w:spacing w:val="-3"/>
        </w:rPr>
        <w:t> </w:t>
      </w:r>
      <w:r>
        <w:rPr>
          <w:color w:val="231F20"/>
        </w:rPr>
        <w:t>по- давляющем</w:t>
      </w:r>
      <w:r>
        <w:rPr>
          <w:color w:val="231F20"/>
          <w:spacing w:val="-7"/>
        </w:rPr>
        <w:t> </w:t>
      </w:r>
      <w:r>
        <w:rPr>
          <w:color w:val="231F20"/>
        </w:rPr>
        <w:t>большинстве</w:t>
      </w:r>
      <w:r>
        <w:rPr>
          <w:color w:val="231F20"/>
          <w:spacing w:val="-7"/>
        </w:rPr>
        <w:t> </w:t>
      </w:r>
      <w:r>
        <w:rPr>
          <w:color w:val="231F20"/>
        </w:rPr>
        <w:t>случаев</w:t>
      </w:r>
      <w:r>
        <w:rPr>
          <w:color w:val="231F20"/>
          <w:spacing w:val="-7"/>
        </w:rPr>
        <w:t> </w:t>
      </w:r>
      <w:r>
        <w:rPr>
          <w:color w:val="231F20"/>
        </w:rPr>
        <w:t>выступают</w:t>
      </w:r>
      <w:r>
        <w:rPr>
          <w:color w:val="231F20"/>
          <w:spacing w:val="-7"/>
        </w:rPr>
        <w:t> </w:t>
      </w:r>
      <w:r>
        <w:rPr>
          <w:color w:val="231F20"/>
        </w:rPr>
        <w:t>пассивными</w:t>
      </w:r>
      <w:r>
        <w:rPr>
          <w:color w:val="231F20"/>
          <w:spacing w:val="-7"/>
        </w:rPr>
        <w:t> </w:t>
      </w:r>
      <w:r>
        <w:rPr>
          <w:color w:val="231F20"/>
        </w:rPr>
        <w:t>объектами</w:t>
      </w:r>
      <w:r>
        <w:rPr>
          <w:color w:val="231F20"/>
          <w:spacing w:val="-7"/>
        </w:rPr>
        <w:t> </w:t>
      </w:r>
      <w:r>
        <w:rPr>
          <w:color w:val="231F20"/>
        </w:rPr>
        <w:t>репрезентации, а не субъектами художественного высказывания» (Симон, 2020).</w:t>
      </w:r>
    </w:p>
    <w:p>
      <w:pPr>
        <w:pStyle w:val="BodyText"/>
        <w:spacing w:line="232" w:lineRule="auto" w:before="3"/>
      </w:pPr>
      <w:r>
        <w:rPr>
          <w:color w:val="231F20"/>
        </w:rPr>
        <w:t>Попытка системно подойти к применению театральной деятельности как сред- ства формирования метапредметных компетенций и личностных образовательных результатов у обучающихся подросткового возраста была предпринята сотрудника- ми</w:t>
      </w:r>
      <w:r>
        <w:rPr>
          <w:color w:val="231F20"/>
          <w:spacing w:val="-9"/>
        </w:rPr>
        <w:t> </w:t>
      </w:r>
      <w:r>
        <w:rPr>
          <w:color w:val="231F20"/>
        </w:rPr>
        <w:t>Московского</w:t>
      </w:r>
      <w:r>
        <w:rPr>
          <w:color w:val="231F20"/>
          <w:spacing w:val="-9"/>
        </w:rPr>
        <w:t> </w:t>
      </w:r>
      <w:r>
        <w:rPr>
          <w:color w:val="231F20"/>
        </w:rPr>
        <w:t>государственного</w:t>
      </w:r>
      <w:r>
        <w:rPr>
          <w:color w:val="231F20"/>
          <w:spacing w:val="-9"/>
        </w:rPr>
        <w:t> </w:t>
      </w:r>
      <w:r>
        <w:rPr>
          <w:color w:val="231F20"/>
        </w:rPr>
        <w:t>психолого-педагогического</w:t>
      </w:r>
      <w:r>
        <w:rPr>
          <w:color w:val="231F20"/>
          <w:spacing w:val="-9"/>
        </w:rPr>
        <w:t> </w:t>
      </w:r>
      <w:r>
        <w:rPr>
          <w:color w:val="231F20"/>
        </w:rPr>
        <w:t>университета</w:t>
      </w:r>
      <w:r>
        <w:rPr>
          <w:color w:val="231F20"/>
          <w:spacing w:val="-9"/>
        </w:rPr>
        <w:t> </w:t>
      </w:r>
      <w:r>
        <w:rPr>
          <w:color w:val="231F20"/>
        </w:rPr>
        <w:t>в</w:t>
      </w:r>
      <w:r>
        <w:rPr>
          <w:color w:val="231F20"/>
          <w:spacing w:val="-9"/>
        </w:rPr>
        <w:t> </w:t>
      </w:r>
      <w:r>
        <w:rPr>
          <w:color w:val="231F20"/>
        </w:rPr>
        <w:t>2019– 2022</w:t>
      </w:r>
      <w:r>
        <w:rPr>
          <w:color w:val="231F20"/>
          <w:spacing w:val="-12"/>
        </w:rPr>
        <w:t> </w:t>
      </w:r>
      <w:r>
        <w:rPr>
          <w:color w:val="231F20"/>
        </w:rPr>
        <w:t>гг.</w:t>
      </w:r>
      <w:r>
        <w:rPr>
          <w:color w:val="231F20"/>
          <w:spacing w:val="-12"/>
        </w:rPr>
        <w:t> </w:t>
      </w:r>
      <w:r>
        <w:rPr>
          <w:color w:val="231F20"/>
        </w:rPr>
        <w:t>На</w:t>
      </w:r>
      <w:r>
        <w:rPr>
          <w:color w:val="231F20"/>
          <w:spacing w:val="-12"/>
        </w:rPr>
        <w:t> </w:t>
      </w:r>
      <w:r>
        <w:rPr>
          <w:color w:val="231F20"/>
        </w:rPr>
        <w:t>протяжении</w:t>
      </w:r>
      <w:r>
        <w:rPr>
          <w:color w:val="231F20"/>
          <w:spacing w:val="-12"/>
        </w:rPr>
        <w:t> </w:t>
      </w:r>
      <w:r>
        <w:rPr>
          <w:color w:val="231F20"/>
        </w:rPr>
        <w:t>четырех</w:t>
      </w:r>
      <w:r>
        <w:rPr>
          <w:color w:val="231F20"/>
          <w:spacing w:val="-12"/>
        </w:rPr>
        <w:t> </w:t>
      </w:r>
      <w:r>
        <w:rPr>
          <w:color w:val="231F20"/>
        </w:rPr>
        <w:t>лет</w:t>
      </w:r>
      <w:r>
        <w:rPr>
          <w:color w:val="231F20"/>
          <w:spacing w:val="-12"/>
        </w:rPr>
        <w:t> </w:t>
      </w:r>
      <w:r>
        <w:rPr>
          <w:color w:val="231F20"/>
        </w:rPr>
        <w:t>проектной</w:t>
      </w:r>
      <w:r>
        <w:rPr>
          <w:color w:val="231F20"/>
          <w:spacing w:val="-12"/>
        </w:rPr>
        <w:t> </w:t>
      </w:r>
      <w:r>
        <w:rPr>
          <w:color w:val="231F20"/>
        </w:rPr>
        <w:t>группой</w:t>
      </w:r>
      <w:r>
        <w:rPr>
          <w:color w:val="231F20"/>
          <w:spacing w:val="-12"/>
        </w:rPr>
        <w:t> </w:t>
      </w:r>
      <w:r>
        <w:rPr>
          <w:color w:val="231F20"/>
        </w:rPr>
        <w:t>Центра</w:t>
      </w:r>
      <w:r>
        <w:rPr>
          <w:color w:val="231F20"/>
          <w:spacing w:val="-12"/>
        </w:rPr>
        <w:t> </w:t>
      </w:r>
      <w:r>
        <w:rPr>
          <w:color w:val="231F20"/>
        </w:rPr>
        <w:t>междисциплинарных исследований современного детства под руководством О.В. Рубцовой проводилась серия исследований, в результате которых была разработана оригинальная модель организации театральной деятельности с участием подростков (Рубцова, 2020; Руб- цова,</w:t>
      </w:r>
      <w:r>
        <w:rPr>
          <w:color w:val="231F20"/>
          <w:spacing w:val="-4"/>
        </w:rPr>
        <w:t> </w:t>
      </w:r>
      <w:r>
        <w:rPr>
          <w:color w:val="231F20"/>
        </w:rPr>
        <w:t>2021;</w:t>
      </w:r>
      <w:r>
        <w:rPr>
          <w:color w:val="231F20"/>
          <w:spacing w:val="-4"/>
        </w:rPr>
        <w:t> </w:t>
      </w:r>
      <w:r>
        <w:rPr>
          <w:color w:val="231F20"/>
        </w:rPr>
        <w:t>Поскакалова,</w:t>
      </w:r>
      <w:r>
        <w:rPr>
          <w:color w:val="231F20"/>
          <w:spacing w:val="-4"/>
        </w:rPr>
        <w:t> </w:t>
      </w:r>
      <w:r>
        <w:rPr>
          <w:color w:val="231F20"/>
        </w:rPr>
        <w:t>Соловьева,</w:t>
      </w:r>
      <w:r>
        <w:rPr>
          <w:color w:val="231F20"/>
          <w:spacing w:val="-4"/>
        </w:rPr>
        <w:t> </w:t>
      </w:r>
      <w:r>
        <w:rPr>
          <w:color w:val="231F20"/>
        </w:rPr>
        <w:t>2021;</w:t>
      </w:r>
      <w:r>
        <w:rPr>
          <w:color w:val="231F20"/>
          <w:spacing w:val="-4"/>
        </w:rPr>
        <w:t> </w:t>
      </w:r>
      <w:r>
        <w:rPr>
          <w:color w:val="231F20"/>
        </w:rPr>
        <w:t>Соловьева,</w:t>
      </w:r>
      <w:r>
        <w:rPr>
          <w:color w:val="231F20"/>
          <w:spacing w:val="-4"/>
        </w:rPr>
        <w:t> </w:t>
      </w:r>
      <w:r>
        <w:rPr>
          <w:color w:val="231F20"/>
        </w:rPr>
        <w:t>Поскакалова,</w:t>
      </w:r>
      <w:r>
        <w:rPr>
          <w:color w:val="231F20"/>
          <w:spacing w:val="-4"/>
        </w:rPr>
        <w:t> </w:t>
      </w:r>
      <w:r>
        <w:rPr>
          <w:color w:val="231F20"/>
        </w:rPr>
        <w:t>2021;</w:t>
      </w:r>
      <w:r>
        <w:rPr>
          <w:color w:val="231F20"/>
          <w:spacing w:val="-4"/>
        </w:rPr>
        <w:t> </w:t>
      </w:r>
      <w:r>
        <w:rPr>
          <w:color w:val="231F20"/>
        </w:rPr>
        <w:t>Рубцова</w:t>
      </w:r>
      <w:r>
        <w:rPr>
          <w:color w:val="231F20"/>
          <w:spacing w:val="-4"/>
        </w:rPr>
        <w:t> </w:t>
      </w:r>
      <w:r>
        <w:rPr>
          <w:color w:val="231F20"/>
        </w:rPr>
        <w:t>et al., 2022). В рамках модели театр выступает как особая форма экспериментирования с</w:t>
      </w:r>
      <w:r>
        <w:rPr>
          <w:color w:val="231F20"/>
          <w:spacing w:val="1"/>
        </w:rPr>
        <w:t> </w:t>
      </w:r>
      <w:r>
        <w:rPr>
          <w:color w:val="231F20"/>
        </w:rPr>
        <w:t>социальными</w:t>
      </w:r>
      <w:r>
        <w:rPr>
          <w:color w:val="231F20"/>
          <w:spacing w:val="1"/>
        </w:rPr>
        <w:t> </w:t>
      </w:r>
      <w:r>
        <w:rPr>
          <w:color w:val="231F20"/>
        </w:rPr>
        <w:t>и</w:t>
      </w:r>
      <w:r>
        <w:rPr>
          <w:color w:val="231F20"/>
          <w:spacing w:val="2"/>
        </w:rPr>
        <w:t> </w:t>
      </w:r>
      <w:r>
        <w:rPr>
          <w:color w:val="231F20"/>
        </w:rPr>
        <w:t>психологическими</w:t>
      </w:r>
      <w:r>
        <w:rPr>
          <w:color w:val="231F20"/>
          <w:spacing w:val="1"/>
        </w:rPr>
        <w:t> </w:t>
      </w:r>
      <w:r>
        <w:rPr>
          <w:color w:val="231F20"/>
        </w:rPr>
        <w:t>объектами</w:t>
      </w:r>
      <w:r>
        <w:rPr>
          <w:color w:val="231F20"/>
          <w:spacing w:val="2"/>
        </w:rPr>
        <w:t> </w:t>
      </w:r>
      <w:r>
        <w:rPr>
          <w:color w:val="231F20"/>
        </w:rPr>
        <w:t>(ролями,</w:t>
      </w:r>
      <w:r>
        <w:rPr>
          <w:color w:val="231F20"/>
          <w:spacing w:val="1"/>
        </w:rPr>
        <w:t> </w:t>
      </w:r>
      <w:r>
        <w:rPr>
          <w:color w:val="231F20"/>
        </w:rPr>
        <w:t>позициями,</w:t>
      </w:r>
      <w:r>
        <w:rPr>
          <w:color w:val="231F20"/>
          <w:spacing w:val="2"/>
        </w:rPr>
        <w:t> </w:t>
      </w:r>
      <w:r>
        <w:rPr>
          <w:color w:val="231F20"/>
          <w:spacing w:val="-2"/>
        </w:rPr>
        <w:t>отношениями).</w:t>
      </w:r>
    </w:p>
    <w:p>
      <w:pPr>
        <w:pStyle w:val="BodyText"/>
        <w:spacing w:after="0" w:line="232" w:lineRule="auto"/>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5"/>
          <w:sz w:val="18"/>
        </w:rPr>
        <w:t> </w:t>
      </w:r>
      <w:r>
        <w:rPr>
          <w:rFonts w:ascii="Georgia" w:hAnsi="Georgia"/>
          <w:color w:val="231F20"/>
          <w:sz w:val="18"/>
        </w:rPr>
        <w:t>Методы</w:t>
      </w:r>
      <w:r>
        <w:rPr>
          <w:rFonts w:ascii="Georgia" w:hAnsi="Georgia"/>
          <w:color w:val="231F20"/>
          <w:spacing w:val="-5"/>
          <w:sz w:val="18"/>
        </w:rPr>
        <w:t> </w:t>
      </w:r>
      <w:r>
        <w:rPr>
          <w:rFonts w:ascii="Georgia" w:hAnsi="Georgia"/>
          <w:color w:val="231F20"/>
          <w:sz w:val="18"/>
        </w:rPr>
        <w:t>воспитательной</w:t>
      </w:r>
      <w:r>
        <w:rPr>
          <w:rFonts w:ascii="Georgia" w:hAnsi="Georgia"/>
          <w:color w:val="231F20"/>
          <w:spacing w:val="-4"/>
          <w:sz w:val="18"/>
        </w:rPr>
        <w:t> </w:t>
      </w:r>
      <w:r>
        <w:rPr>
          <w:rFonts w:ascii="Georgia" w:hAnsi="Georgia"/>
          <w:color w:val="231F20"/>
          <w:sz w:val="18"/>
        </w:rPr>
        <w:t>раюоты</w:t>
      </w:r>
      <w:r>
        <w:rPr>
          <w:rFonts w:ascii="Georgia" w:hAnsi="Georgia"/>
          <w:color w:val="231F20"/>
          <w:spacing w:val="-5"/>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w:t>
      </w:r>
      <w:r>
        <w:rPr>
          <w:rFonts w:ascii="Georgia" w:hAnsi="Georgia"/>
          <w:color w:val="231F20"/>
          <w:spacing w:val="-4"/>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BodyText"/>
        <w:spacing w:line="232" w:lineRule="auto" w:before="118"/>
        <w:ind w:firstLine="0"/>
      </w:pPr>
      <w:r>
        <w:rPr>
          <w:color w:val="231F20"/>
        </w:rPr>
        <w:t>Предполагается,</w:t>
      </w:r>
      <w:r>
        <w:rPr>
          <w:color w:val="231F20"/>
          <w:spacing w:val="-3"/>
        </w:rPr>
        <w:t> </w:t>
      </w:r>
      <w:r>
        <w:rPr>
          <w:color w:val="231F20"/>
        </w:rPr>
        <w:t>что</w:t>
      </w:r>
      <w:r>
        <w:rPr>
          <w:color w:val="231F20"/>
          <w:spacing w:val="-3"/>
        </w:rPr>
        <w:t> </w:t>
      </w:r>
      <w:r>
        <w:rPr>
          <w:color w:val="231F20"/>
        </w:rPr>
        <w:t>в</w:t>
      </w:r>
      <w:r>
        <w:rPr>
          <w:color w:val="231F20"/>
          <w:spacing w:val="-3"/>
        </w:rPr>
        <w:t> </w:t>
      </w:r>
      <w:r>
        <w:rPr>
          <w:color w:val="231F20"/>
        </w:rPr>
        <w:t>таком</w:t>
      </w:r>
      <w:r>
        <w:rPr>
          <w:color w:val="231F20"/>
          <w:spacing w:val="-3"/>
        </w:rPr>
        <w:t> </w:t>
      </w:r>
      <w:r>
        <w:rPr>
          <w:color w:val="231F20"/>
        </w:rPr>
        <w:t>театре</w:t>
      </w:r>
      <w:r>
        <w:rPr>
          <w:color w:val="231F20"/>
          <w:spacing w:val="-3"/>
        </w:rPr>
        <w:t> </w:t>
      </w:r>
      <w:r>
        <w:rPr>
          <w:color w:val="231F20"/>
        </w:rPr>
        <w:t>подростки</w:t>
      </w:r>
      <w:r>
        <w:rPr>
          <w:color w:val="231F20"/>
          <w:spacing w:val="-3"/>
        </w:rPr>
        <w:t> </w:t>
      </w:r>
      <w:r>
        <w:rPr>
          <w:color w:val="231F20"/>
        </w:rPr>
        <w:t>не</w:t>
      </w:r>
      <w:r>
        <w:rPr>
          <w:color w:val="231F20"/>
          <w:spacing w:val="-3"/>
        </w:rPr>
        <w:t> </w:t>
      </w:r>
      <w:r>
        <w:rPr>
          <w:color w:val="231F20"/>
        </w:rPr>
        <w:t>только</w:t>
      </w:r>
      <w:r>
        <w:rPr>
          <w:color w:val="231F20"/>
          <w:spacing w:val="-3"/>
        </w:rPr>
        <w:t> </w:t>
      </w:r>
      <w:r>
        <w:rPr>
          <w:color w:val="231F20"/>
        </w:rPr>
        <w:t>разыгрывают</w:t>
      </w:r>
      <w:r>
        <w:rPr>
          <w:color w:val="231F20"/>
          <w:spacing w:val="-3"/>
        </w:rPr>
        <w:t> </w:t>
      </w:r>
      <w:r>
        <w:rPr>
          <w:color w:val="231F20"/>
        </w:rPr>
        <w:t>роли</w:t>
      </w:r>
      <w:r>
        <w:rPr>
          <w:color w:val="231F20"/>
          <w:spacing w:val="-3"/>
        </w:rPr>
        <w:t> </w:t>
      </w:r>
      <w:r>
        <w:rPr>
          <w:color w:val="231F20"/>
        </w:rPr>
        <w:t>по</w:t>
      </w:r>
      <w:r>
        <w:rPr>
          <w:color w:val="231F20"/>
          <w:spacing w:val="-3"/>
        </w:rPr>
        <w:t> </w:t>
      </w:r>
      <w:r>
        <w:rPr>
          <w:color w:val="231F20"/>
        </w:rPr>
        <w:t>пред- ложенному</w:t>
      </w:r>
      <w:r>
        <w:rPr>
          <w:color w:val="231F20"/>
          <w:spacing w:val="-13"/>
        </w:rPr>
        <w:t> </w:t>
      </w:r>
      <w:r>
        <w:rPr>
          <w:color w:val="231F20"/>
        </w:rPr>
        <w:t>сценарию,</w:t>
      </w:r>
      <w:r>
        <w:rPr>
          <w:color w:val="231F20"/>
          <w:spacing w:val="-12"/>
        </w:rPr>
        <w:t> </w:t>
      </w:r>
      <w:r>
        <w:rPr>
          <w:color w:val="231F20"/>
        </w:rPr>
        <w:t>но</w:t>
      </w:r>
      <w:r>
        <w:rPr>
          <w:color w:val="231F20"/>
          <w:spacing w:val="-13"/>
        </w:rPr>
        <w:t> </w:t>
      </w:r>
      <w:r>
        <w:rPr>
          <w:color w:val="231F20"/>
        </w:rPr>
        <w:t>и</w:t>
      </w:r>
      <w:r>
        <w:rPr>
          <w:color w:val="231F20"/>
          <w:spacing w:val="-12"/>
        </w:rPr>
        <w:t> </w:t>
      </w:r>
      <w:r>
        <w:rPr>
          <w:color w:val="231F20"/>
        </w:rPr>
        <w:t>участвуют</w:t>
      </w:r>
      <w:r>
        <w:rPr>
          <w:color w:val="231F20"/>
          <w:spacing w:val="-13"/>
        </w:rPr>
        <w:t> </w:t>
      </w:r>
      <w:r>
        <w:rPr>
          <w:color w:val="231F20"/>
        </w:rPr>
        <w:t>в</w:t>
      </w:r>
      <w:r>
        <w:rPr>
          <w:color w:val="231F20"/>
          <w:spacing w:val="-12"/>
        </w:rPr>
        <w:t> </w:t>
      </w:r>
      <w:r>
        <w:rPr>
          <w:color w:val="231F20"/>
        </w:rPr>
        <w:t>комплексе</w:t>
      </w:r>
      <w:r>
        <w:rPr>
          <w:color w:val="231F20"/>
          <w:spacing w:val="-13"/>
        </w:rPr>
        <w:t> </w:t>
      </w:r>
      <w:r>
        <w:rPr>
          <w:color w:val="231F20"/>
        </w:rPr>
        <w:t>деятельностей,</w:t>
      </w:r>
      <w:r>
        <w:rPr>
          <w:color w:val="231F20"/>
          <w:spacing w:val="-12"/>
        </w:rPr>
        <w:t> </w:t>
      </w:r>
      <w:r>
        <w:rPr>
          <w:color w:val="231F20"/>
        </w:rPr>
        <w:t>связанных</w:t>
      </w:r>
      <w:r>
        <w:rPr>
          <w:color w:val="231F20"/>
          <w:spacing w:val="-13"/>
        </w:rPr>
        <w:t> </w:t>
      </w:r>
      <w:r>
        <w:rPr>
          <w:color w:val="231F20"/>
        </w:rPr>
        <w:t>с</w:t>
      </w:r>
      <w:r>
        <w:rPr>
          <w:color w:val="231F20"/>
          <w:spacing w:val="-12"/>
        </w:rPr>
        <w:t> </w:t>
      </w:r>
      <w:r>
        <w:rPr>
          <w:color w:val="231F20"/>
        </w:rPr>
        <w:t>подго- товкой и реализацией театральной постановки. Важной составляющей театральной деятельности</w:t>
      </w:r>
      <w:r>
        <w:rPr>
          <w:color w:val="231F20"/>
          <w:spacing w:val="-10"/>
        </w:rPr>
        <w:t> </w:t>
      </w:r>
      <w:r>
        <w:rPr>
          <w:color w:val="231F20"/>
        </w:rPr>
        <w:t>является</w:t>
      </w:r>
      <w:r>
        <w:rPr>
          <w:color w:val="231F20"/>
          <w:spacing w:val="-10"/>
        </w:rPr>
        <w:t> </w:t>
      </w:r>
      <w:r>
        <w:rPr>
          <w:color w:val="231F20"/>
        </w:rPr>
        <w:t>работа</w:t>
      </w:r>
      <w:r>
        <w:rPr>
          <w:color w:val="231F20"/>
          <w:spacing w:val="-10"/>
        </w:rPr>
        <w:t> </w:t>
      </w:r>
      <w:r>
        <w:rPr>
          <w:color w:val="231F20"/>
        </w:rPr>
        <w:t>с</w:t>
      </w:r>
      <w:r>
        <w:rPr>
          <w:color w:val="231F20"/>
          <w:spacing w:val="-10"/>
        </w:rPr>
        <w:t> </w:t>
      </w:r>
      <w:r>
        <w:rPr>
          <w:color w:val="231F20"/>
        </w:rPr>
        <w:t>цифровыми</w:t>
      </w:r>
      <w:r>
        <w:rPr>
          <w:color w:val="231F20"/>
          <w:spacing w:val="-10"/>
        </w:rPr>
        <w:t> </w:t>
      </w:r>
      <w:r>
        <w:rPr>
          <w:color w:val="231F20"/>
        </w:rPr>
        <w:t>технологиями,</w:t>
      </w:r>
      <w:r>
        <w:rPr>
          <w:color w:val="231F20"/>
          <w:spacing w:val="-10"/>
        </w:rPr>
        <w:t> </w:t>
      </w:r>
      <w:r>
        <w:rPr>
          <w:color w:val="231F20"/>
        </w:rPr>
        <w:t>включая</w:t>
      </w:r>
      <w:r>
        <w:rPr>
          <w:color w:val="231F20"/>
          <w:spacing w:val="-10"/>
        </w:rPr>
        <w:t> </w:t>
      </w:r>
      <w:r>
        <w:rPr>
          <w:color w:val="231F20"/>
        </w:rPr>
        <w:t>съемку</w:t>
      </w:r>
      <w:r>
        <w:rPr>
          <w:color w:val="231F20"/>
          <w:spacing w:val="-10"/>
        </w:rPr>
        <w:t> </w:t>
      </w:r>
      <w:r>
        <w:rPr>
          <w:color w:val="231F20"/>
        </w:rPr>
        <w:t>видеосю- жетов, которые затем используются в постановке. Предложенная модель театраль- ной деятельности позволяет строить «зону ближайшего развития» (Л.С. Выготский) подростков за счет ролевого экспериментирования и моделирования совместной (групповой)</w:t>
      </w:r>
      <w:r>
        <w:rPr>
          <w:color w:val="231F20"/>
          <w:spacing w:val="-5"/>
        </w:rPr>
        <w:t> </w:t>
      </w:r>
      <w:r>
        <w:rPr>
          <w:color w:val="231F20"/>
        </w:rPr>
        <w:t>работы,</w:t>
      </w:r>
      <w:r>
        <w:rPr>
          <w:color w:val="231F20"/>
          <w:spacing w:val="-5"/>
        </w:rPr>
        <w:t> </w:t>
      </w:r>
      <w:r>
        <w:rPr>
          <w:color w:val="231F20"/>
        </w:rPr>
        <w:t>в</w:t>
      </w:r>
      <w:r>
        <w:rPr>
          <w:color w:val="231F20"/>
          <w:spacing w:val="-5"/>
        </w:rPr>
        <w:t> </w:t>
      </w:r>
      <w:r>
        <w:rPr>
          <w:color w:val="231F20"/>
        </w:rPr>
        <w:t>условиях</w:t>
      </w:r>
      <w:r>
        <w:rPr>
          <w:color w:val="231F20"/>
          <w:spacing w:val="-5"/>
        </w:rPr>
        <w:t> </w:t>
      </w:r>
      <w:r>
        <w:rPr>
          <w:color w:val="231F20"/>
        </w:rPr>
        <w:t>которой</w:t>
      </w:r>
      <w:r>
        <w:rPr>
          <w:color w:val="231F20"/>
          <w:spacing w:val="-5"/>
        </w:rPr>
        <w:t> </w:t>
      </w:r>
      <w:r>
        <w:rPr>
          <w:color w:val="231F20"/>
        </w:rPr>
        <w:t>подростки</w:t>
      </w:r>
      <w:r>
        <w:rPr>
          <w:color w:val="231F20"/>
          <w:spacing w:val="-5"/>
        </w:rPr>
        <w:t> </w:t>
      </w:r>
      <w:r>
        <w:rPr>
          <w:color w:val="231F20"/>
        </w:rPr>
        <w:t>не</w:t>
      </w:r>
      <w:r>
        <w:rPr>
          <w:color w:val="231F20"/>
          <w:spacing w:val="-5"/>
        </w:rPr>
        <w:t> </w:t>
      </w:r>
      <w:r>
        <w:rPr>
          <w:color w:val="231F20"/>
        </w:rPr>
        <w:t>только</w:t>
      </w:r>
      <w:r>
        <w:rPr>
          <w:color w:val="231F20"/>
          <w:spacing w:val="-5"/>
        </w:rPr>
        <w:t> </w:t>
      </w:r>
      <w:r>
        <w:rPr>
          <w:color w:val="231F20"/>
        </w:rPr>
        <w:t>осваивают</w:t>
      </w:r>
      <w:r>
        <w:rPr>
          <w:color w:val="231F20"/>
          <w:spacing w:val="-5"/>
        </w:rPr>
        <w:t> </w:t>
      </w:r>
      <w:r>
        <w:rPr>
          <w:color w:val="231F20"/>
        </w:rPr>
        <w:t>предметное содержание, но также приобретают метапредметные компетенции и личностные об- разовательные результаты в соответствии с ФГОС.</w:t>
      </w:r>
    </w:p>
    <w:p>
      <w:pPr>
        <w:pStyle w:val="BodyText"/>
        <w:spacing w:line="232" w:lineRule="auto"/>
      </w:pPr>
      <w:r>
        <w:rPr>
          <w:color w:val="231F20"/>
        </w:rPr>
        <w:t>В</w:t>
      </w:r>
      <w:r>
        <w:rPr>
          <w:color w:val="231F20"/>
          <w:spacing w:val="-8"/>
        </w:rPr>
        <w:t> </w:t>
      </w:r>
      <w:r>
        <w:rPr>
          <w:color w:val="231F20"/>
        </w:rPr>
        <w:t>ходе</w:t>
      </w:r>
      <w:r>
        <w:rPr>
          <w:color w:val="231F20"/>
          <w:spacing w:val="-8"/>
        </w:rPr>
        <w:t> </w:t>
      </w:r>
      <w:r>
        <w:rPr>
          <w:color w:val="231F20"/>
        </w:rPr>
        <w:t>апробации</w:t>
      </w:r>
      <w:r>
        <w:rPr>
          <w:color w:val="231F20"/>
          <w:spacing w:val="-8"/>
        </w:rPr>
        <w:t> </w:t>
      </w:r>
      <w:r>
        <w:rPr>
          <w:color w:val="231F20"/>
        </w:rPr>
        <w:t>модели</w:t>
      </w:r>
      <w:r>
        <w:rPr>
          <w:color w:val="231F20"/>
          <w:spacing w:val="-9"/>
        </w:rPr>
        <w:t> </w:t>
      </w:r>
      <w:r>
        <w:rPr>
          <w:color w:val="231F20"/>
        </w:rPr>
        <w:t>проектной</w:t>
      </w:r>
      <w:r>
        <w:rPr>
          <w:color w:val="231F20"/>
          <w:spacing w:val="-8"/>
        </w:rPr>
        <w:t> </w:t>
      </w:r>
      <w:r>
        <w:rPr>
          <w:color w:val="231F20"/>
        </w:rPr>
        <w:t>группой</w:t>
      </w:r>
      <w:r>
        <w:rPr>
          <w:color w:val="231F20"/>
          <w:spacing w:val="-8"/>
        </w:rPr>
        <w:t> </w:t>
      </w:r>
      <w:r>
        <w:rPr>
          <w:color w:val="231F20"/>
        </w:rPr>
        <w:t>ЦМИСД</w:t>
      </w:r>
      <w:r>
        <w:rPr>
          <w:color w:val="231F20"/>
          <w:spacing w:val="-8"/>
        </w:rPr>
        <w:t> </w:t>
      </w:r>
      <w:r>
        <w:rPr>
          <w:color w:val="231F20"/>
        </w:rPr>
        <w:t>были</w:t>
      </w:r>
      <w:r>
        <w:rPr>
          <w:color w:val="231F20"/>
          <w:spacing w:val="-9"/>
        </w:rPr>
        <w:t> </w:t>
      </w:r>
      <w:r>
        <w:rPr>
          <w:color w:val="231F20"/>
        </w:rPr>
        <w:t>сформулированы</w:t>
      </w:r>
      <w:r>
        <w:rPr>
          <w:color w:val="231F20"/>
          <w:spacing w:val="-8"/>
        </w:rPr>
        <w:t> </w:t>
      </w:r>
      <w:r>
        <w:rPr>
          <w:color w:val="231F20"/>
        </w:rPr>
        <w:t>ос- новные</w:t>
      </w:r>
      <w:r>
        <w:rPr>
          <w:color w:val="231F20"/>
          <w:spacing w:val="-13"/>
        </w:rPr>
        <w:t> </w:t>
      </w:r>
      <w:r>
        <w:rPr>
          <w:color w:val="231F20"/>
        </w:rPr>
        <w:t>принципы</w:t>
      </w:r>
      <w:r>
        <w:rPr>
          <w:color w:val="231F20"/>
          <w:spacing w:val="-12"/>
        </w:rPr>
        <w:t> </w:t>
      </w:r>
      <w:r>
        <w:rPr>
          <w:color w:val="231F20"/>
        </w:rPr>
        <w:t>организации</w:t>
      </w:r>
      <w:r>
        <w:rPr>
          <w:color w:val="231F20"/>
          <w:spacing w:val="-13"/>
        </w:rPr>
        <w:t> </w:t>
      </w:r>
      <w:r>
        <w:rPr>
          <w:color w:val="231F20"/>
        </w:rPr>
        <w:t>школьного</w:t>
      </w:r>
      <w:r>
        <w:rPr>
          <w:color w:val="231F20"/>
          <w:spacing w:val="-12"/>
        </w:rPr>
        <w:t> </w:t>
      </w:r>
      <w:r>
        <w:rPr>
          <w:color w:val="231F20"/>
        </w:rPr>
        <w:t>театра</w:t>
      </w:r>
      <w:r>
        <w:rPr>
          <w:color w:val="231F20"/>
          <w:spacing w:val="-13"/>
        </w:rPr>
        <w:t> </w:t>
      </w:r>
      <w:r>
        <w:rPr>
          <w:color w:val="231F20"/>
        </w:rPr>
        <w:t>как</w:t>
      </w:r>
      <w:r>
        <w:rPr>
          <w:color w:val="231F20"/>
          <w:spacing w:val="-12"/>
        </w:rPr>
        <w:t> </w:t>
      </w:r>
      <w:r>
        <w:rPr>
          <w:color w:val="231F20"/>
        </w:rPr>
        <w:t>деятельностной</w:t>
      </w:r>
      <w:r>
        <w:rPr>
          <w:color w:val="231F20"/>
          <w:spacing w:val="-13"/>
        </w:rPr>
        <w:t> </w:t>
      </w:r>
      <w:r>
        <w:rPr>
          <w:color w:val="231F20"/>
        </w:rPr>
        <w:t>технологии</w:t>
      </w:r>
      <w:r>
        <w:rPr>
          <w:color w:val="231F20"/>
          <w:spacing w:val="-12"/>
        </w:rPr>
        <w:t> </w:t>
      </w:r>
      <w:r>
        <w:rPr>
          <w:color w:val="231F20"/>
        </w:rPr>
        <w:t>об- учения</w:t>
      </w:r>
      <w:r>
        <w:rPr>
          <w:color w:val="231F20"/>
          <w:spacing w:val="-12"/>
        </w:rPr>
        <w:t> </w:t>
      </w:r>
      <w:r>
        <w:rPr>
          <w:color w:val="231F20"/>
        </w:rPr>
        <w:t>и</w:t>
      </w:r>
      <w:r>
        <w:rPr>
          <w:color w:val="231F20"/>
          <w:spacing w:val="-12"/>
        </w:rPr>
        <w:t> </w:t>
      </w:r>
      <w:r>
        <w:rPr>
          <w:color w:val="231F20"/>
        </w:rPr>
        <w:t>воспитания</w:t>
      </w:r>
      <w:r>
        <w:rPr>
          <w:color w:val="231F20"/>
          <w:spacing w:val="-12"/>
        </w:rPr>
        <w:t> </w:t>
      </w:r>
      <w:r>
        <w:rPr>
          <w:color w:val="231F20"/>
        </w:rPr>
        <w:t>(Рубцова,</w:t>
      </w:r>
      <w:r>
        <w:rPr>
          <w:color w:val="231F20"/>
          <w:spacing w:val="-12"/>
        </w:rPr>
        <w:t> </w:t>
      </w:r>
      <w:r>
        <w:rPr>
          <w:color w:val="231F20"/>
        </w:rPr>
        <w:t>2020;</w:t>
      </w:r>
      <w:r>
        <w:rPr>
          <w:color w:val="231F20"/>
          <w:spacing w:val="-12"/>
        </w:rPr>
        <w:t> </w:t>
      </w:r>
      <w:r>
        <w:rPr>
          <w:color w:val="231F20"/>
        </w:rPr>
        <w:t>Рубцова,</w:t>
      </w:r>
      <w:r>
        <w:rPr>
          <w:color w:val="231F20"/>
          <w:spacing w:val="-12"/>
        </w:rPr>
        <w:t> </w:t>
      </w:r>
      <w:r>
        <w:rPr>
          <w:color w:val="231F20"/>
        </w:rPr>
        <w:t>2021).</w:t>
      </w:r>
      <w:r>
        <w:rPr>
          <w:color w:val="231F20"/>
          <w:spacing w:val="-12"/>
        </w:rPr>
        <w:t> </w:t>
      </w:r>
      <w:r>
        <w:rPr>
          <w:color w:val="231F20"/>
        </w:rPr>
        <w:t>В</w:t>
      </w:r>
      <w:r>
        <w:rPr>
          <w:color w:val="231F20"/>
          <w:spacing w:val="-12"/>
        </w:rPr>
        <w:t> </w:t>
      </w:r>
      <w:r>
        <w:rPr>
          <w:color w:val="231F20"/>
        </w:rPr>
        <w:t>частности,</w:t>
      </w:r>
      <w:r>
        <w:rPr>
          <w:color w:val="231F20"/>
          <w:spacing w:val="-12"/>
        </w:rPr>
        <w:t> </w:t>
      </w:r>
      <w:r>
        <w:rPr>
          <w:color w:val="231F20"/>
        </w:rPr>
        <w:t>было</w:t>
      </w:r>
      <w:r>
        <w:rPr>
          <w:color w:val="231F20"/>
          <w:spacing w:val="-12"/>
        </w:rPr>
        <w:t> </w:t>
      </w:r>
      <w:r>
        <w:rPr>
          <w:color w:val="231F20"/>
        </w:rPr>
        <w:t>показано,</w:t>
      </w:r>
      <w:r>
        <w:rPr>
          <w:color w:val="231F20"/>
          <w:spacing w:val="-12"/>
        </w:rPr>
        <w:t> </w:t>
      </w:r>
      <w:r>
        <w:rPr>
          <w:color w:val="231F20"/>
        </w:rPr>
        <w:t>что при организации театральной деятельности в работе с подростками важно, чтобы:</w:t>
      </w:r>
    </w:p>
    <w:p>
      <w:pPr>
        <w:pStyle w:val="ListParagraph"/>
        <w:numPr>
          <w:ilvl w:val="0"/>
          <w:numId w:val="137"/>
        </w:numPr>
        <w:tabs>
          <w:tab w:pos="425" w:val="left" w:leader="none"/>
        </w:tabs>
        <w:spacing w:line="232" w:lineRule="auto" w:before="0" w:after="0"/>
        <w:ind w:left="425" w:right="139" w:hanging="284"/>
        <w:jc w:val="both"/>
        <w:rPr>
          <w:sz w:val="20"/>
        </w:rPr>
      </w:pPr>
      <w:r>
        <w:rPr>
          <w:color w:val="231F20"/>
          <w:sz w:val="20"/>
        </w:rPr>
        <w:t>учитель</w:t>
      </w:r>
      <w:r>
        <w:rPr>
          <w:color w:val="231F20"/>
          <w:spacing w:val="-4"/>
          <w:sz w:val="20"/>
        </w:rPr>
        <w:t> </w:t>
      </w:r>
      <w:r>
        <w:rPr>
          <w:color w:val="231F20"/>
          <w:sz w:val="20"/>
        </w:rPr>
        <w:t>был</w:t>
      </w:r>
      <w:r>
        <w:rPr>
          <w:color w:val="231F20"/>
          <w:spacing w:val="-4"/>
          <w:sz w:val="20"/>
        </w:rPr>
        <w:t> </w:t>
      </w:r>
      <w:r>
        <w:rPr>
          <w:color w:val="231F20"/>
          <w:sz w:val="20"/>
        </w:rPr>
        <w:t>готов</w:t>
      </w:r>
      <w:r>
        <w:rPr>
          <w:color w:val="231F20"/>
          <w:spacing w:val="-4"/>
          <w:sz w:val="20"/>
        </w:rPr>
        <w:t> </w:t>
      </w:r>
      <w:r>
        <w:rPr>
          <w:color w:val="231F20"/>
          <w:sz w:val="20"/>
        </w:rPr>
        <w:t>выступать</w:t>
      </w:r>
      <w:r>
        <w:rPr>
          <w:color w:val="231F20"/>
          <w:spacing w:val="-4"/>
          <w:sz w:val="20"/>
        </w:rPr>
        <w:t> </w:t>
      </w:r>
      <w:r>
        <w:rPr>
          <w:color w:val="231F20"/>
          <w:sz w:val="20"/>
        </w:rPr>
        <w:t>в</w:t>
      </w:r>
      <w:r>
        <w:rPr>
          <w:color w:val="231F20"/>
          <w:spacing w:val="-4"/>
          <w:sz w:val="20"/>
        </w:rPr>
        <w:t> </w:t>
      </w:r>
      <w:r>
        <w:rPr>
          <w:color w:val="231F20"/>
          <w:sz w:val="20"/>
        </w:rPr>
        <w:t>качестве</w:t>
      </w:r>
      <w:r>
        <w:rPr>
          <w:color w:val="231F20"/>
          <w:spacing w:val="-4"/>
          <w:sz w:val="20"/>
        </w:rPr>
        <w:t> </w:t>
      </w:r>
      <w:r>
        <w:rPr>
          <w:color w:val="231F20"/>
          <w:sz w:val="20"/>
        </w:rPr>
        <w:t>«со-участника»</w:t>
      </w:r>
      <w:r>
        <w:rPr>
          <w:color w:val="231F20"/>
          <w:spacing w:val="-4"/>
          <w:sz w:val="20"/>
        </w:rPr>
        <w:t> </w:t>
      </w:r>
      <w:r>
        <w:rPr>
          <w:color w:val="231F20"/>
          <w:sz w:val="20"/>
        </w:rPr>
        <w:t>деятельности,</w:t>
      </w:r>
      <w:r>
        <w:rPr>
          <w:color w:val="231F20"/>
          <w:spacing w:val="-4"/>
          <w:sz w:val="20"/>
        </w:rPr>
        <w:t> </w:t>
      </w:r>
      <w:r>
        <w:rPr>
          <w:color w:val="231F20"/>
          <w:sz w:val="20"/>
        </w:rPr>
        <w:t>вовлекаю- щего подростков в новые для них формы взаимодействия;</w:t>
      </w:r>
    </w:p>
    <w:p>
      <w:pPr>
        <w:pStyle w:val="ListParagraph"/>
        <w:numPr>
          <w:ilvl w:val="0"/>
          <w:numId w:val="137"/>
        </w:numPr>
        <w:tabs>
          <w:tab w:pos="425" w:val="left" w:leader="none"/>
        </w:tabs>
        <w:spacing w:line="232" w:lineRule="auto" w:before="0" w:after="0"/>
        <w:ind w:left="425" w:right="139" w:hanging="284"/>
        <w:jc w:val="both"/>
        <w:rPr>
          <w:sz w:val="20"/>
        </w:rPr>
      </w:pPr>
      <w:r>
        <w:rPr>
          <w:color w:val="231F20"/>
          <w:sz w:val="20"/>
        </w:rPr>
        <w:t>акцент был сделан не столько на конечном продукте (постановке как таковой), сколько на процессе его создания;</w:t>
      </w:r>
    </w:p>
    <w:p>
      <w:pPr>
        <w:pStyle w:val="ListParagraph"/>
        <w:numPr>
          <w:ilvl w:val="0"/>
          <w:numId w:val="137"/>
        </w:numPr>
        <w:tabs>
          <w:tab w:pos="425" w:val="left" w:leader="none"/>
        </w:tabs>
        <w:spacing w:line="232" w:lineRule="auto" w:before="0" w:after="0"/>
        <w:ind w:left="425" w:right="139" w:hanging="284"/>
        <w:jc w:val="both"/>
        <w:rPr>
          <w:sz w:val="20"/>
        </w:rPr>
      </w:pPr>
      <w:r>
        <w:rPr>
          <w:color w:val="231F20"/>
          <w:sz w:val="20"/>
        </w:rPr>
        <w:t>в</w:t>
      </w:r>
      <w:r>
        <w:rPr>
          <w:color w:val="231F20"/>
          <w:spacing w:val="-7"/>
          <w:sz w:val="20"/>
        </w:rPr>
        <w:t> </w:t>
      </w:r>
      <w:r>
        <w:rPr>
          <w:color w:val="231F20"/>
          <w:sz w:val="20"/>
        </w:rPr>
        <w:t>ходе</w:t>
      </w:r>
      <w:r>
        <w:rPr>
          <w:color w:val="231F20"/>
          <w:spacing w:val="-7"/>
          <w:sz w:val="20"/>
        </w:rPr>
        <w:t> </w:t>
      </w:r>
      <w:r>
        <w:rPr>
          <w:color w:val="231F20"/>
          <w:sz w:val="20"/>
        </w:rPr>
        <w:t>работы</w:t>
      </w:r>
      <w:r>
        <w:rPr>
          <w:color w:val="231F20"/>
          <w:spacing w:val="-7"/>
          <w:sz w:val="20"/>
        </w:rPr>
        <w:t> </w:t>
      </w:r>
      <w:r>
        <w:rPr>
          <w:color w:val="231F20"/>
          <w:sz w:val="20"/>
        </w:rPr>
        <w:t>над</w:t>
      </w:r>
      <w:r>
        <w:rPr>
          <w:color w:val="231F20"/>
          <w:spacing w:val="-7"/>
          <w:sz w:val="20"/>
        </w:rPr>
        <w:t> </w:t>
      </w:r>
      <w:r>
        <w:rPr>
          <w:color w:val="231F20"/>
          <w:sz w:val="20"/>
        </w:rPr>
        <w:t>постановкой</w:t>
      </w:r>
      <w:r>
        <w:rPr>
          <w:color w:val="231F20"/>
          <w:spacing w:val="-7"/>
          <w:sz w:val="20"/>
        </w:rPr>
        <w:t> </w:t>
      </w:r>
      <w:r>
        <w:rPr>
          <w:color w:val="231F20"/>
          <w:sz w:val="20"/>
        </w:rPr>
        <w:t>подростки</w:t>
      </w:r>
      <w:r>
        <w:rPr>
          <w:color w:val="231F20"/>
          <w:spacing w:val="-7"/>
          <w:sz w:val="20"/>
        </w:rPr>
        <w:t> </w:t>
      </w:r>
      <w:r>
        <w:rPr>
          <w:color w:val="231F20"/>
          <w:sz w:val="20"/>
        </w:rPr>
        <w:t>имели</w:t>
      </w:r>
      <w:r>
        <w:rPr>
          <w:color w:val="231F20"/>
          <w:spacing w:val="-7"/>
          <w:sz w:val="20"/>
        </w:rPr>
        <w:t> </w:t>
      </w:r>
      <w:r>
        <w:rPr>
          <w:color w:val="231F20"/>
          <w:sz w:val="20"/>
        </w:rPr>
        <w:t>возможность</w:t>
      </w:r>
      <w:r>
        <w:rPr>
          <w:color w:val="231F20"/>
          <w:spacing w:val="-7"/>
          <w:sz w:val="20"/>
        </w:rPr>
        <w:t> </w:t>
      </w:r>
      <w:r>
        <w:rPr>
          <w:color w:val="231F20"/>
          <w:sz w:val="20"/>
        </w:rPr>
        <w:t>постоянно</w:t>
      </w:r>
      <w:r>
        <w:rPr>
          <w:color w:val="231F20"/>
          <w:spacing w:val="-7"/>
          <w:sz w:val="20"/>
        </w:rPr>
        <w:t> </w:t>
      </w:r>
      <w:r>
        <w:rPr>
          <w:color w:val="231F20"/>
          <w:sz w:val="20"/>
        </w:rPr>
        <w:t>менять- ся ролями и позициями, переключаться с одного вида деятельности на другой;</w:t>
      </w:r>
    </w:p>
    <w:p>
      <w:pPr>
        <w:pStyle w:val="ListParagraph"/>
        <w:numPr>
          <w:ilvl w:val="0"/>
          <w:numId w:val="137"/>
        </w:numPr>
        <w:tabs>
          <w:tab w:pos="425" w:val="left" w:leader="none"/>
        </w:tabs>
        <w:spacing w:line="232" w:lineRule="auto" w:before="0" w:after="0"/>
        <w:ind w:left="425" w:right="139" w:hanging="284"/>
        <w:jc w:val="both"/>
        <w:rPr>
          <w:sz w:val="20"/>
        </w:rPr>
      </w:pPr>
      <w:r>
        <w:rPr>
          <w:color w:val="231F20"/>
          <w:sz w:val="20"/>
        </w:rPr>
        <w:t>театральная</w:t>
      </w:r>
      <w:r>
        <w:rPr>
          <w:color w:val="231F20"/>
          <w:spacing w:val="-13"/>
          <w:sz w:val="20"/>
        </w:rPr>
        <w:t> </w:t>
      </w:r>
      <w:r>
        <w:rPr>
          <w:color w:val="231F20"/>
          <w:sz w:val="20"/>
        </w:rPr>
        <w:t>деятельность</w:t>
      </w:r>
      <w:r>
        <w:rPr>
          <w:color w:val="231F20"/>
          <w:spacing w:val="-12"/>
          <w:sz w:val="20"/>
        </w:rPr>
        <w:t> </w:t>
      </w:r>
      <w:r>
        <w:rPr>
          <w:color w:val="231F20"/>
          <w:sz w:val="20"/>
        </w:rPr>
        <w:t>воспринималась</w:t>
      </w:r>
      <w:r>
        <w:rPr>
          <w:color w:val="231F20"/>
          <w:spacing w:val="-13"/>
          <w:sz w:val="20"/>
        </w:rPr>
        <w:t> </w:t>
      </w:r>
      <w:r>
        <w:rPr>
          <w:color w:val="231F20"/>
          <w:sz w:val="20"/>
        </w:rPr>
        <w:t>подростками</w:t>
      </w:r>
      <w:r>
        <w:rPr>
          <w:color w:val="231F20"/>
          <w:spacing w:val="-12"/>
          <w:sz w:val="20"/>
        </w:rPr>
        <w:t> </w:t>
      </w:r>
      <w:r>
        <w:rPr>
          <w:color w:val="231F20"/>
          <w:sz w:val="20"/>
        </w:rPr>
        <w:t>как</w:t>
      </w:r>
      <w:r>
        <w:rPr>
          <w:color w:val="231F20"/>
          <w:spacing w:val="-13"/>
          <w:sz w:val="20"/>
        </w:rPr>
        <w:t> </w:t>
      </w:r>
      <w:r>
        <w:rPr>
          <w:color w:val="231F20"/>
          <w:sz w:val="20"/>
        </w:rPr>
        <w:t>безопасное</w:t>
      </w:r>
      <w:r>
        <w:rPr>
          <w:color w:val="231F20"/>
          <w:spacing w:val="-12"/>
          <w:sz w:val="20"/>
        </w:rPr>
        <w:t> </w:t>
      </w:r>
      <w:r>
        <w:rPr>
          <w:color w:val="231F20"/>
          <w:sz w:val="20"/>
        </w:rPr>
        <w:t>простран- ство, где они могут чувствовать себя свободно, экспериментировать и пробовать собственные силы;</w:t>
      </w:r>
    </w:p>
    <w:p>
      <w:pPr>
        <w:pStyle w:val="ListParagraph"/>
        <w:numPr>
          <w:ilvl w:val="0"/>
          <w:numId w:val="137"/>
        </w:numPr>
        <w:tabs>
          <w:tab w:pos="425" w:val="left" w:leader="none"/>
        </w:tabs>
        <w:spacing w:line="232" w:lineRule="auto" w:before="0" w:after="0"/>
        <w:ind w:left="425" w:right="139" w:hanging="284"/>
        <w:jc w:val="both"/>
        <w:rPr>
          <w:sz w:val="20"/>
        </w:rPr>
      </w:pPr>
      <w:r>
        <w:rPr>
          <w:color w:val="231F20"/>
          <w:sz w:val="20"/>
        </w:rPr>
        <w:t>в</w:t>
      </w:r>
      <w:r>
        <w:rPr>
          <w:color w:val="231F20"/>
          <w:spacing w:val="-13"/>
          <w:sz w:val="20"/>
        </w:rPr>
        <w:t> </w:t>
      </w:r>
      <w:r>
        <w:rPr>
          <w:color w:val="231F20"/>
          <w:sz w:val="20"/>
        </w:rPr>
        <w:t>рамках</w:t>
      </w:r>
      <w:r>
        <w:rPr>
          <w:color w:val="231F20"/>
          <w:spacing w:val="-12"/>
          <w:sz w:val="20"/>
        </w:rPr>
        <w:t> </w:t>
      </w:r>
      <w:r>
        <w:rPr>
          <w:color w:val="231F20"/>
          <w:sz w:val="20"/>
        </w:rPr>
        <w:t>театральной</w:t>
      </w:r>
      <w:r>
        <w:rPr>
          <w:color w:val="231F20"/>
          <w:spacing w:val="-13"/>
          <w:sz w:val="20"/>
        </w:rPr>
        <w:t> </w:t>
      </w:r>
      <w:r>
        <w:rPr>
          <w:color w:val="231F20"/>
          <w:sz w:val="20"/>
        </w:rPr>
        <w:t>деятельности</w:t>
      </w:r>
      <w:r>
        <w:rPr>
          <w:color w:val="231F20"/>
          <w:spacing w:val="-12"/>
          <w:sz w:val="20"/>
        </w:rPr>
        <w:t> </w:t>
      </w:r>
      <w:r>
        <w:rPr>
          <w:color w:val="231F20"/>
          <w:sz w:val="20"/>
        </w:rPr>
        <w:t>регулярно</w:t>
      </w:r>
      <w:r>
        <w:rPr>
          <w:color w:val="231F20"/>
          <w:spacing w:val="-13"/>
          <w:sz w:val="20"/>
        </w:rPr>
        <w:t> </w:t>
      </w:r>
      <w:r>
        <w:rPr>
          <w:color w:val="231F20"/>
          <w:sz w:val="20"/>
        </w:rPr>
        <w:t>проводились</w:t>
      </w:r>
      <w:r>
        <w:rPr>
          <w:color w:val="231F20"/>
          <w:spacing w:val="-12"/>
          <w:sz w:val="20"/>
        </w:rPr>
        <w:t> </w:t>
      </w:r>
      <w:r>
        <w:rPr>
          <w:color w:val="231F20"/>
          <w:sz w:val="20"/>
        </w:rPr>
        <w:t>рефлексивные</w:t>
      </w:r>
      <w:r>
        <w:rPr>
          <w:color w:val="231F20"/>
          <w:spacing w:val="-13"/>
          <w:sz w:val="20"/>
        </w:rPr>
        <w:t> </w:t>
      </w:r>
      <w:r>
        <w:rPr>
          <w:color w:val="231F20"/>
          <w:sz w:val="20"/>
        </w:rPr>
        <w:t>сессии, в ходе которых подростки имели возможность обсудить собственные эмоции и впечатления,</w:t>
      </w:r>
      <w:r>
        <w:rPr>
          <w:color w:val="231F20"/>
          <w:spacing w:val="-13"/>
          <w:sz w:val="20"/>
        </w:rPr>
        <w:t> </w:t>
      </w:r>
      <w:r>
        <w:rPr>
          <w:color w:val="231F20"/>
          <w:sz w:val="20"/>
        </w:rPr>
        <w:t>рассказать</w:t>
      </w:r>
      <w:r>
        <w:rPr>
          <w:color w:val="231F20"/>
          <w:spacing w:val="-12"/>
          <w:sz w:val="20"/>
        </w:rPr>
        <w:t> </w:t>
      </w:r>
      <w:r>
        <w:rPr>
          <w:color w:val="231F20"/>
          <w:sz w:val="20"/>
        </w:rPr>
        <w:t>о</w:t>
      </w:r>
      <w:r>
        <w:rPr>
          <w:color w:val="231F20"/>
          <w:spacing w:val="-13"/>
          <w:sz w:val="20"/>
        </w:rPr>
        <w:t> </w:t>
      </w:r>
      <w:r>
        <w:rPr>
          <w:color w:val="231F20"/>
          <w:sz w:val="20"/>
        </w:rPr>
        <w:t>возникающих</w:t>
      </w:r>
      <w:r>
        <w:rPr>
          <w:color w:val="231F20"/>
          <w:spacing w:val="-12"/>
          <w:sz w:val="20"/>
        </w:rPr>
        <w:t> </w:t>
      </w:r>
      <w:r>
        <w:rPr>
          <w:color w:val="231F20"/>
          <w:sz w:val="20"/>
        </w:rPr>
        <w:t>трудностях</w:t>
      </w:r>
      <w:r>
        <w:rPr>
          <w:color w:val="231F20"/>
          <w:spacing w:val="-13"/>
          <w:sz w:val="20"/>
        </w:rPr>
        <w:t> </w:t>
      </w:r>
      <w:r>
        <w:rPr>
          <w:color w:val="231F20"/>
          <w:sz w:val="20"/>
        </w:rPr>
        <w:t>и</w:t>
      </w:r>
      <w:r>
        <w:rPr>
          <w:color w:val="231F20"/>
          <w:spacing w:val="-12"/>
          <w:sz w:val="20"/>
        </w:rPr>
        <w:t> </w:t>
      </w:r>
      <w:r>
        <w:rPr>
          <w:color w:val="231F20"/>
          <w:sz w:val="20"/>
        </w:rPr>
        <w:t>оценить</w:t>
      </w:r>
      <w:r>
        <w:rPr>
          <w:color w:val="231F20"/>
          <w:spacing w:val="-13"/>
          <w:sz w:val="20"/>
        </w:rPr>
        <w:t> </w:t>
      </w:r>
      <w:r>
        <w:rPr>
          <w:color w:val="231F20"/>
          <w:sz w:val="20"/>
        </w:rPr>
        <w:t>качество</w:t>
      </w:r>
      <w:r>
        <w:rPr>
          <w:color w:val="231F20"/>
          <w:spacing w:val="-12"/>
          <w:sz w:val="20"/>
        </w:rPr>
        <w:t> </w:t>
      </w:r>
      <w:r>
        <w:rPr>
          <w:color w:val="231F20"/>
          <w:sz w:val="20"/>
        </w:rPr>
        <w:t>проделан- ной работы.</w:t>
      </w:r>
    </w:p>
    <w:p>
      <w:pPr>
        <w:pStyle w:val="BodyText"/>
        <w:spacing w:line="232" w:lineRule="auto"/>
        <w:ind w:right="0"/>
        <w:jc w:val="left"/>
      </w:pPr>
      <w:r>
        <w:rPr>
          <w:color w:val="231F20"/>
        </w:rPr>
        <w:t>Разработанная</w:t>
      </w:r>
      <w:r>
        <w:rPr>
          <w:color w:val="231F20"/>
          <w:spacing w:val="40"/>
        </w:rPr>
        <w:t> </w:t>
      </w:r>
      <w:r>
        <w:rPr>
          <w:color w:val="231F20"/>
        </w:rPr>
        <w:t>модель</w:t>
      </w:r>
      <w:r>
        <w:rPr>
          <w:color w:val="231F20"/>
          <w:spacing w:val="40"/>
        </w:rPr>
        <w:t> </w:t>
      </w:r>
      <w:r>
        <w:rPr>
          <w:color w:val="231F20"/>
        </w:rPr>
        <w:t>была</w:t>
      </w:r>
      <w:r>
        <w:rPr>
          <w:color w:val="231F20"/>
          <w:spacing w:val="40"/>
        </w:rPr>
        <w:t> </w:t>
      </w:r>
      <w:r>
        <w:rPr>
          <w:color w:val="231F20"/>
        </w:rPr>
        <w:t>реализована</w:t>
      </w:r>
      <w:r>
        <w:rPr>
          <w:color w:val="231F20"/>
          <w:spacing w:val="40"/>
        </w:rPr>
        <w:t> </w:t>
      </w:r>
      <w:r>
        <w:rPr>
          <w:color w:val="231F20"/>
        </w:rPr>
        <w:t>на</w:t>
      </w:r>
      <w:r>
        <w:rPr>
          <w:color w:val="231F20"/>
          <w:spacing w:val="40"/>
        </w:rPr>
        <w:t> </w:t>
      </w:r>
      <w:r>
        <w:rPr>
          <w:color w:val="231F20"/>
        </w:rPr>
        <w:t>базе</w:t>
      </w:r>
      <w:r>
        <w:rPr>
          <w:color w:val="231F20"/>
          <w:spacing w:val="40"/>
        </w:rPr>
        <w:t> </w:t>
      </w:r>
      <w:r>
        <w:rPr>
          <w:color w:val="231F20"/>
        </w:rPr>
        <w:t>нескольких</w:t>
      </w:r>
      <w:r>
        <w:rPr>
          <w:color w:val="231F20"/>
          <w:spacing w:val="40"/>
        </w:rPr>
        <w:t> </w:t>
      </w:r>
      <w:r>
        <w:rPr>
          <w:color w:val="231F20"/>
        </w:rPr>
        <w:t>школ</w:t>
      </w:r>
      <w:r>
        <w:rPr>
          <w:color w:val="231F20"/>
          <w:spacing w:val="40"/>
        </w:rPr>
        <w:t> </w:t>
      </w:r>
      <w:r>
        <w:rPr>
          <w:color w:val="231F20"/>
        </w:rPr>
        <w:t>Москвы</w:t>
      </w:r>
      <w:r>
        <w:rPr>
          <w:color w:val="231F20"/>
          <w:spacing w:val="40"/>
        </w:rPr>
        <w:t> </w:t>
      </w:r>
      <w:r>
        <w:rPr>
          <w:color w:val="231F20"/>
        </w:rPr>
        <w:t>и Московской</w:t>
      </w:r>
      <w:r>
        <w:rPr>
          <w:color w:val="231F20"/>
          <w:spacing w:val="8"/>
        </w:rPr>
        <w:t> </w:t>
      </w:r>
      <w:r>
        <w:rPr>
          <w:color w:val="231F20"/>
        </w:rPr>
        <w:t>области.</w:t>
      </w:r>
      <w:r>
        <w:rPr>
          <w:color w:val="231F20"/>
          <w:spacing w:val="8"/>
        </w:rPr>
        <w:t> </w:t>
      </w:r>
      <w:r>
        <w:rPr>
          <w:color w:val="231F20"/>
        </w:rPr>
        <w:t>Интересен</w:t>
      </w:r>
      <w:r>
        <w:rPr>
          <w:color w:val="231F20"/>
          <w:spacing w:val="9"/>
        </w:rPr>
        <w:t> </w:t>
      </w:r>
      <w:r>
        <w:rPr>
          <w:color w:val="231F20"/>
        </w:rPr>
        <w:t>опыт</w:t>
      </w:r>
      <w:r>
        <w:rPr>
          <w:color w:val="231F20"/>
          <w:spacing w:val="8"/>
        </w:rPr>
        <w:t> </w:t>
      </w:r>
      <w:r>
        <w:rPr>
          <w:color w:val="231F20"/>
        </w:rPr>
        <w:t>апробации</w:t>
      </w:r>
      <w:r>
        <w:rPr>
          <w:color w:val="231F20"/>
          <w:spacing w:val="9"/>
        </w:rPr>
        <w:t> </w:t>
      </w:r>
      <w:r>
        <w:rPr>
          <w:color w:val="231F20"/>
        </w:rPr>
        <w:t>модели</w:t>
      </w:r>
      <w:r>
        <w:rPr>
          <w:color w:val="231F20"/>
          <w:spacing w:val="8"/>
        </w:rPr>
        <w:t> </w:t>
      </w:r>
      <w:r>
        <w:rPr>
          <w:color w:val="231F20"/>
        </w:rPr>
        <w:t>на</w:t>
      </w:r>
      <w:r>
        <w:rPr>
          <w:color w:val="231F20"/>
          <w:spacing w:val="9"/>
        </w:rPr>
        <w:t> </w:t>
      </w:r>
      <w:r>
        <w:rPr>
          <w:color w:val="231F20"/>
        </w:rPr>
        <w:t>базе</w:t>
      </w:r>
      <w:r>
        <w:rPr>
          <w:color w:val="231F20"/>
          <w:spacing w:val="8"/>
        </w:rPr>
        <w:t> </w:t>
      </w:r>
      <w:r>
        <w:rPr>
          <w:color w:val="231F20"/>
        </w:rPr>
        <w:t>Гимназии</w:t>
      </w:r>
      <w:r>
        <w:rPr>
          <w:color w:val="231F20"/>
          <w:spacing w:val="9"/>
        </w:rPr>
        <w:t> </w:t>
      </w:r>
      <w:r>
        <w:rPr>
          <w:color w:val="231F20"/>
          <w:spacing w:val="-2"/>
        </w:rPr>
        <w:t>«Школа</w:t>
      </w:r>
    </w:p>
    <w:p>
      <w:pPr>
        <w:pStyle w:val="BodyText"/>
        <w:spacing w:line="218" w:lineRule="exact"/>
        <w:ind w:right="0" w:firstLine="0"/>
        <w:jc w:val="left"/>
      </w:pPr>
      <w:r>
        <w:rPr>
          <w:color w:val="231F20"/>
        </w:rPr>
        <w:t>№</w:t>
      </w:r>
      <w:r>
        <w:rPr>
          <w:color w:val="231F20"/>
          <w:spacing w:val="-11"/>
        </w:rPr>
        <w:t> </w:t>
      </w:r>
      <w:r>
        <w:rPr>
          <w:color w:val="231F20"/>
        </w:rPr>
        <w:t>1576»</w:t>
      </w:r>
      <w:r>
        <w:rPr>
          <w:color w:val="231F20"/>
          <w:spacing w:val="-7"/>
        </w:rPr>
        <w:t> </w:t>
      </w:r>
      <w:r>
        <w:rPr>
          <w:color w:val="231F20"/>
        </w:rPr>
        <w:t>г.</w:t>
      </w:r>
      <w:r>
        <w:rPr>
          <w:color w:val="231F20"/>
          <w:spacing w:val="-8"/>
        </w:rPr>
        <w:t> </w:t>
      </w:r>
      <w:r>
        <w:rPr>
          <w:color w:val="231F20"/>
        </w:rPr>
        <w:t>Москвы,</w:t>
      </w:r>
      <w:r>
        <w:rPr>
          <w:color w:val="231F20"/>
          <w:spacing w:val="-8"/>
        </w:rPr>
        <w:t> </w:t>
      </w:r>
      <w:r>
        <w:rPr>
          <w:color w:val="231F20"/>
        </w:rPr>
        <w:t>где</w:t>
      </w:r>
      <w:r>
        <w:rPr>
          <w:color w:val="231F20"/>
          <w:spacing w:val="-7"/>
        </w:rPr>
        <w:t> </w:t>
      </w:r>
      <w:r>
        <w:rPr>
          <w:color w:val="231F20"/>
        </w:rPr>
        <w:t>обучались</w:t>
      </w:r>
      <w:r>
        <w:rPr>
          <w:color w:val="231F20"/>
          <w:spacing w:val="-9"/>
        </w:rPr>
        <w:t> </w:t>
      </w:r>
      <w:r>
        <w:rPr>
          <w:color w:val="231F20"/>
        </w:rPr>
        <w:t>в</w:t>
      </w:r>
      <w:r>
        <w:rPr>
          <w:color w:val="231F20"/>
          <w:spacing w:val="-8"/>
        </w:rPr>
        <w:t> </w:t>
      </w:r>
      <w:r>
        <w:rPr>
          <w:color w:val="231F20"/>
        </w:rPr>
        <w:t>т.ч.</w:t>
      </w:r>
      <w:r>
        <w:rPr>
          <w:color w:val="231F20"/>
          <w:spacing w:val="-7"/>
        </w:rPr>
        <w:t> </w:t>
      </w:r>
      <w:r>
        <w:rPr>
          <w:color w:val="231F20"/>
        </w:rPr>
        <w:t>дети-</w:t>
      </w:r>
      <w:r>
        <w:rPr>
          <w:color w:val="231F20"/>
          <w:spacing w:val="-2"/>
        </w:rPr>
        <w:t>мигранты.</w:t>
      </w:r>
    </w:p>
    <w:p>
      <w:pPr>
        <w:pStyle w:val="BodyText"/>
        <w:spacing w:line="222" w:lineRule="exact"/>
        <w:ind w:left="425" w:right="0" w:firstLine="0"/>
        <w:jc w:val="left"/>
      </w:pPr>
      <w:r>
        <w:rPr>
          <w:i/>
          <w:color w:val="231F20"/>
        </w:rPr>
        <w:t>Запрос</w:t>
      </w:r>
      <w:r>
        <w:rPr>
          <w:i/>
          <w:color w:val="231F20"/>
          <w:spacing w:val="-7"/>
        </w:rPr>
        <w:t> </w:t>
      </w:r>
      <w:r>
        <w:rPr>
          <w:color w:val="231F20"/>
        </w:rPr>
        <w:t>со</w:t>
      </w:r>
      <w:r>
        <w:rPr>
          <w:color w:val="231F20"/>
          <w:spacing w:val="-5"/>
        </w:rPr>
        <w:t> </w:t>
      </w:r>
      <w:r>
        <w:rPr>
          <w:color w:val="231F20"/>
        </w:rPr>
        <w:t>стороны</w:t>
      </w:r>
      <w:r>
        <w:rPr>
          <w:color w:val="231F20"/>
          <w:spacing w:val="-6"/>
        </w:rPr>
        <w:t> </w:t>
      </w:r>
      <w:r>
        <w:rPr>
          <w:color w:val="231F20"/>
        </w:rPr>
        <w:t>школы</w:t>
      </w:r>
      <w:r>
        <w:rPr>
          <w:color w:val="231F20"/>
          <w:spacing w:val="-5"/>
        </w:rPr>
        <w:t> </w:t>
      </w:r>
      <w:r>
        <w:rPr>
          <w:color w:val="231F20"/>
        </w:rPr>
        <w:t>включал</w:t>
      </w:r>
      <w:r>
        <w:rPr>
          <w:color w:val="231F20"/>
          <w:spacing w:val="-5"/>
        </w:rPr>
        <w:t> </w:t>
      </w:r>
      <w:r>
        <w:rPr>
          <w:color w:val="231F20"/>
          <w:spacing w:val="-2"/>
        </w:rPr>
        <w:t>повышение:</w:t>
      </w:r>
    </w:p>
    <w:p>
      <w:pPr>
        <w:pStyle w:val="ListParagraph"/>
        <w:numPr>
          <w:ilvl w:val="0"/>
          <w:numId w:val="138"/>
        </w:numPr>
        <w:tabs>
          <w:tab w:pos="424" w:val="left" w:leader="none"/>
        </w:tabs>
        <w:spacing w:line="222" w:lineRule="exact" w:before="0" w:after="0"/>
        <w:ind w:left="424" w:right="0" w:hanging="283"/>
        <w:jc w:val="left"/>
        <w:rPr>
          <w:sz w:val="20"/>
        </w:rPr>
      </w:pPr>
      <w:r>
        <w:rPr>
          <w:color w:val="231F20"/>
          <w:sz w:val="20"/>
        </w:rPr>
        <w:t>уровня</w:t>
      </w:r>
      <w:r>
        <w:rPr>
          <w:color w:val="231F20"/>
          <w:spacing w:val="-5"/>
          <w:sz w:val="20"/>
        </w:rPr>
        <w:t> </w:t>
      </w:r>
      <w:r>
        <w:rPr>
          <w:color w:val="231F20"/>
          <w:sz w:val="20"/>
        </w:rPr>
        <w:t>учебной</w:t>
      </w:r>
      <w:r>
        <w:rPr>
          <w:color w:val="231F20"/>
          <w:spacing w:val="-6"/>
          <w:sz w:val="20"/>
        </w:rPr>
        <w:t> </w:t>
      </w:r>
      <w:r>
        <w:rPr>
          <w:color w:val="231F20"/>
          <w:sz w:val="20"/>
        </w:rPr>
        <w:t>мотивации</w:t>
      </w:r>
      <w:r>
        <w:rPr>
          <w:color w:val="231F20"/>
          <w:spacing w:val="-5"/>
          <w:sz w:val="20"/>
        </w:rPr>
        <w:t> </w:t>
      </w:r>
      <w:r>
        <w:rPr>
          <w:color w:val="231F20"/>
          <w:sz w:val="20"/>
        </w:rPr>
        <w:t>после</w:t>
      </w:r>
      <w:r>
        <w:rPr>
          <w:color w:val="231F20"/>
          <w:spacing w:val="-5"/>
          <w:sz w:val="20"/>
        </w:rPr>
        <w:t> </w:t>
      </w:r>
      <w:r>
        <w:rPr>
          <w:color w:val="231F20"/>
          <w:sz w:val="20"/>
        </w:rPr>
        <w:t>дистанционного</w:t>
      </w:r>
      <w:r>
        <w:rPr>
          <w:color w:val="231F20"/>
          <w:spacing w:val="-4"/>
          <w:sz w:val="20"/>
        </w:rPr>
        <w:t> </w:t>
      </w:r>
      <w:r>
        <w:rPr>
          <w:color w:val="231F20"/>
          <w:spacing w:val="-2"/>
          <w:sz w:val="20"/>
        </w:rPr>
        <w:t>обучения;</w:t>
      </w:r>
    </w:p>
    <w:p>
      <w:pPr>
        <w:pStyle w:val="ListParagraph"/>
        <w:numPr>
          <w:ilvl w:val="0"/>
          <w:numId w:val="138"/>
        </w:numPr>
        <w:tabs>
          <w:tab w:pos="424" w:val="left" w:leader="none"/>
        </w:tabs>
        <w:spacing w:line="222" w:lineRule="exact" w:before="0" w:after="0"/>
        <w:ind w:left="424" w:right="0" w:hanging="283"/>
        <w:jc w:val="left"/>
        <w:rPr>
          <w:sz w:val="20"/>
        </w:rPr>
      </w:pPr>
      <w:r>
        <w:rPr>
          <w:color w:val="231F20"/>
          <w:sz w:val="20"/>
        </w:rPr>
        <w:t>интереса</w:t>
      </w:r>
      <w:r>
        <w:rPr>
          <w:color w:val="231F20"/>
          <w:spacing w:val="-9"/>
          <w:sz w:val="20"/>
        </w:rPr>
        <w:t> </w:t>
      </w:r>
      <w:r>
        <w:rPr>
          <w:color w:val="231F20"/>
          <w:sz w:val="20"/>
        </w:rPr>
        <w:t>обучающихся</w:t>
      </w:r>
      <w:r>
        <w:rPr>
          <w:color w:val="231F20"/>
          <w:spacing w:val="-6"/>
          <w:sz w:val="20"/>
        </w:rPr>
        <w:t> </w:t>
      </w:r>
      <w:r>
        <w:rPr>
          <w:color w:val="231F20"/>
          <w:sz w:val="20"/>
        </w:rPr>
        <w:t>к</w:t>
      </w:r>
      <w:r>
        <w:rPr>
          <w:color w:val="231F20"/>
          <w:spacing w:val="-7"/>
          <w:sz w:val="20"/>
        </w:rPr>
        <w:t> </w:t>
      </w:r>
      <w:r>
        <w:rPr>
          <w:color w:val="231F20"/>
          <w:sz w:val="20"/>
        </w:rPr>
        <w:t>русской</w:t>
      </w:r>
      <w:r>
        <w:rPr>
          <w:color w:val="231F20"/>
          <w:spacing w:val="-7"/>
          <w:sz w:val="20"/>
        </w:rPr>
        <w:t> </w:t>
      </w:r>
      <w:r>
        <w:rPr>
          <w:color w:val="231F20"/>
          <w:sz w:val="20"/>
        </w:rPr>
        <w:t>литературе,</w:t>
      </w:r>
      <w:r>
        <w:rPr>
          <w:color w:val="231F20"/>
          <w:spacing w:val="-7"/>
          <w:sz w:val="20"/>
        </w:rPr>
        <w:t> </w:t>
      </w:r>
      <w:r>
        <w:rPr>
          <w:color w:val="231F20"/>
          <w:sz w:val="20"/>
        </w:rPr>
        <w:t>к</w:t>
      </w:r>
      <w:r>
        <w:rPr>
          <w:color w:val="231F20"/>
          <w:spacing w:val="-6"/>
          <w:sz w:val="20"/>
        </w:rPr>
        <w:t> </w:t>
      </w:r>
      <w:r>
        <w:rPr>
          <w:color w:val="231F20"/>
          <w:sz w:val="20"/>
        </w:rPr>
        <w:t>литературному</w:t>
      </w:r>
      <w:r>
        <w:rPr>
          <w:color w:val="231F20"/>
          <w:spacing w:val="-6"/>
          <w:sz w:val="20"/>
        </w:rPr>
        <w:t> </w:t>
      </w:r>
      <w:r>
        <w:rPr>
          <w:color w:val="231F20"/>
          <w:spacing w:val="-2"/>
          <w:sz w:val="20"/>
        </w:rPr>
        <w:t>творчеству;</w:t>
      </w:r>
    </w:p>
    <w:p>
      <w:pPr>
        <w:pStyle w:val="ListParagraph"/>
        <w:numPr>
          <w:ilvl w:val="0"/>
          <w:numId w:val="138"/>
        </w:numPr>
        <w:tabs>
          <w:tab w:pos="424" w:val="left" w:leader="none"/>
        </w:tabs>
        <w:spacing w:line="222" w:lineRule="exact" w:before="0" w:after="0"/>
        <w:ind w:left="424" w:right="0" w:hanging="283"/>
        <w:jc w:val="left"/>
        <w:rPr>
          <w:sz w:val="20"/>
        </w:rPr>
      </w:pPr>
      <w:r>
        <w:rPr>
          <w:color w:val="231F20"/>
          <w:sz w:val="20"/>
        </w:rPr>
        <w:t>сплоченности</w:t>
      </w:r>
      <w:r>
        <w:rPr>
          <w:color w:val="231F20"/>
          <w:spacing w:val="-5"/>
          <w:sz w:val="20"/>
        </w:rPr>
        <w:t> </w:t>
      </w:r>
      <w:r>
        <w:rPr>
          <w:color w:val="231F20"/>
          <w:spacing w:val="-2"/>
          <w:sz w:val="20"/>
        </w:rPr>
        <w:t>класса.</w:t>
      </w:r>
    </w:p>
    <w:p>
      <w:pPr>
        <w:spacing w:line="222" w:lineRule="exact" w:before="0"/>
        <w:ind w:left="303" w:right="3007" w:firstLine="0"/>
        <w:jc w:val="center"/>
        <w:rPr>
          <w:sz w:val="20"/>
        </w:rPr>
      </w:pPr>
      <w:r>
        <w:rPr>
          <w:i/>
          <w:color w:val="231F20"/>
          <w:sz w:val="20"/>
        </w:rPr>
        <w:t>Цели</w:t>
      </w:r>
      <w:r>
        <w:rPr>
          <w:i/>
          <w:color w:val="231F20"/>
          <w:spacing w:val="-4"/>
          <w:sz w:val="20"/>
        </w:rPr>
        <w:t> </w:t>
      </w:r>
      <w:r>
        <w:rPr>
          <w:i/>
          <w:color w:val="231F20"/>
          <w:sz w:val="20"/>
        </w:rPr>
        <w:t>реализации</w:t>
      </w:r>
      <w:r>
        <w:rPr>
          <w:i/>
          <w:color w:val="231F20"/>
          <w:spacing w:val="-3"/>
          <w:sz w:val="20"/>
        </w:rPr>
        <w:t> </w:t>
      </w:r>
      <w:r>
        <w:rPr>
          <w:color w:val="231F20"/>
          <w:sz w:val="20"/>
        </w:rPr>
        <w:t>проекта</w:t>
      </w:r>
      <w:r>
        <w:rPr>
          <w:color w:val="231F20"/>
          <w:spacing w:val="-3"/>
          <w:sz w:val="20"/>
        </w:rPr>
        <w:t> </w:t>
      </w:r>
      <w:r>
        <w:rPr>
          <w:color w:val="231F20"/>
          <w:sz w:val="20"/>
        </w:rPr>
        <w:t>на</w:t>
      </w:r>
      <w:r>
        <w:rPr>
          <w:color w:val="231F20"/>
          <w:spacing w:val="-2"/>
          <w:sz w:val="20"/>
        </w:rPr>
        <w:t> </w:t>
      </w:r>
      <w:r>
        <w:rPr>
          <w:color w:val="231F20"/>
          <w:sz w:val="20"/>
        </w:rPr>
        <w:t>данной</w:t>
      </w:r>
      <w:r>
        <w:rPr>
          <w:color w:val="231F20"/>
          <w:spacing w:val="-3"/>
          <w:sz w:val="20"/>
        </w:rPr>
        <w:t> </w:t>
      </w:r>
      <w:r>
        <w:rPr>
          <w:color w:val="231F20"/>
          <w:spacing w:val="-2"/>
          <w:sz w:val="20"/>
        </w:rPr>
        <w:t>площадке:</w:t>
      </w:r>
    </w:p>
    <w:p>
      <w:pPr>
        <w:pStyle w:val="ListParagraph"/>
        <w:numPr>
          <w:ilvl w:val="0"/>
          <w:numId w:val="138"/>
        </w:numPr>
        <w:tabs>
          <w:tab w:pos="283" w:val="left" w:leader="none"/>
        </w:tabs>
        <w:spacing w:line="222" w:lineRule="exact" w:before="0" w:after="0"/>
        <w:ind w:left="283" w:right="2717" w:hanging="283"/>
        <w:jc w:val="center"/>
        <w:rPr>
          <w:sz w:val="20"/>
        </w:rPr>
      </w:pPr>
      <w:r>
        <w:rPr>
          <w:color w:val="231F20"/>
          <w:sz w:val="20"/>
        </w:rPr>
        <w:t>мотивационная</w:t>
      </w:r>
      <w:r>
        <w:rPr>
          <w:color w:val="231F20"/>
          <w:spacing w:val="-5"/>
          <w:sz w:val="20"/>
        </w:rPr>
        <w:t> </w:t>
      </w:r>
      <w:r>
        <w:rPr>
          <w:color w:val="231F20"/>
          <w:sz w:val="20"/>
        </w:rPr>
        <w:t>(повышение</w:t>
      </w:r>
      <w:r>
        <w:rPr>
          <w:color w:val="231F20"/>
          <w:spacing w:val="-5"/>
          <w:sz w:val="20"/>
        </w:rPr>
        <w:t> </w:t>
      </w:r>
      <w:r>
        <w:rPr>
          <w:color w:val="231F20"/>
          <w:sz w:val="20"/>
        </w:rPr>
        <w:t>учебной</w:t>
      </w:r>
      <w:r>
        <w:rPr>
          <w:color w:val="231F20"/>
          <w:spacing w:val="-5"/>
          <w:sz w:val="20"/>
        </w:rPr>
        <w:t> </w:t>
      </w:r>
      <w:r>
        <w:rPr>
          <w:color w:val="231F20"/>
          <w:spacing w:val="-2"/>
          <w:sz w:val="20"/>
        </w:rPr>
        <w:t>мотивации);</w:t>
      </w:r>
    </w:p>
    <w:p>
      <w:pPr>
        <w:pStyle w:val="ListParagraph"/>
        <w:numPr>
          <w:ilvl w:val="0"/>
          <w:numId w:val="138"/>
        </w:numPr>
        <w:tabs>
          <w:tab w:pos="424" w:val="left" w:leader="none"/>
        </w:tabs>
        <w:spacing w:line="224" w:lineRule="exact" w:before="0" w:after="0"/>
        <w:ind w:left="424" w:right="0" w:hanging="283"/>
        <w:jc w:val="both"/>
        <w:rPr>
          <w:sz w:val="20"/>
        </w:rPr>
      </w:pPr>
      <w:r>
        <w:rPr>
          <w:color w:val="231F20"/>
          <w:spacing w:val="-4"/>
          <w:sz w:val="20"/>
        </w:rPr>
        <w:t>образовательная</w:t>
      </w:r>
      <w:r>
        <w:rPr>
          <w:color w:val="231F20"/>
          <w:sz w:val="20"/>
        </w:rPr>
        <w:t> </w:t>
      </w:r>
      <w:r>
        <w:rPr>
          <w:color w:val="231F20"/>
          <w:spacing w:val="-4"/>
          <w:sz w:val="20"/>
        </w:rPr>
        <w:t>(развитие</w:t>
      </w:r>
      <w:r>
        <w:rPr>
          <w:color w:val="231F20"/>
          <w:sz w:val="20"/>
        </w:rPr>
        <w:t> </w:t>
      </w:r>
      <w:r>
        <w:rPr>
          <w:color w:val="231F20"/>
          <w:spacing w:val="-4"/>
          <w:sz w:val="20"/>
        </w:rPr>
        <w:t>познавательных</w:t>
      </w:r>
      <w:r>
        <w:rPr>
          <w:color w:val="231F20"/>
          <w:spacing w:val="1"/>
          <w:sz w:val="20"/>
        </w:rPr>
        <w:t> </w:t>
      </w:r>
      <w:r>
        <w:rPr>
          <w:color w:val="231F20"/>
          <w:spacing w:val="-4"/>
          <w:sz w:val="20"/>
        </w:rPr>
        <w:t>УУД,</w:t>
      </w:r>
      <w:r>
        <w:rPr>
          <w:color w:val="231F20"/>
          <w:sz w:val="20"/>
        </w:rPr>
        <w:t> </w:t>
      </w:r>
      <w:r>
        <w:rPr>
          <w:color w:val="231F20"/>
          <w:spacing w:val="-4"/>
          <w:sz w:val="20"/>
        </w:rPr>
        <w:t>развитие</w:t>
      </w:r>
      <w:r>
        <w:rPr>
          <w:color w:val="231F20"/>
          <w:spacing w:val="1"/>
          <w:sz w:val="20"/>
        </w:rPr>
        <w:t> </w:t>
      </w:r>
      <w:r>
        <w:rPr>
          <w:color w:val="231F20"/>
          <w:spacing w:val="-4"/>
          <w:sz w:val="20"/>
        </w:rPr>
        <w:t>коммуникативных</w:t>
      </w:r>
      <w:r>
        <w:rPr>
          <w:color w:val="231F20"/>
          <w:sz w:val="20"/>
        </w:rPr>
        <w:t> </w:t>
      </w:r>
      <w:r>
        <w:rPr>
          <w:color w:val="231F20"/>
          <w:spacing w:val="-4"/>
          <w:sz w:val="20"/>
        </w:rPr>
        <w:t>УУД);</w:t>
      </w:r>
    </w:p>
    <w:p>
      <w:pPr>
        <w:pStyle w:val="ListParagraph"/>
        <w:numPr>
          <w:ilvl w:val="0"/>
          <w:numId w:val="138"/>
        </w:numPr>
        <w:tabs>
          <w:tab w:pos="425" w:val="left" w:leader="none"/>
        </w:tabs>
        <w:spacing w:line="235" w:lineRule="auto" w:before="0" w:after="0"/>
        <w:ind w:left="425" w:right="139" w:hanging="284"/>
        <w:jc w:val="both"/>
        <w:rPr>
          <w:sz w:val="20"/>
        </w:rPr>
      </w:pPr>
      <w:r>
        <w:rPr>
          <w:color w:val="231F20"/>
          <w:sz w:val="20"/>
        </w:rPr>
        <w:t>развивающая</w:t>
      </w:r>
      <w:r>
        <w:rPr>
          <w:color w:val="231F20"/>
          <w:spacing w:val="-4"/>
          <w:sz w:val="20"/>
        </w:rPr>
        <w:t> </w:t>
      </w:r>
      <w:r>
        <w:rPr>
          <w:color w:val="231F20"/>
          <w:sz w:val="20"/>
        </w:rPr>
        <w:t>и</w:t>
      </w:r>
      <w:r>
        <w:rPr>
          <w:color w:val="231F20"/>
          <w:spacing w:val="-4"/>
          <w:sz w:val="20"/>
        </w:rPr>
        <w:t> </w:t>
      </w:r>
      <w:r>
        <w:rPr>
          <w:color w:val="231F20"/>
          <w:sz w:val="20"/>
        </w:rPr>
        <w:t>воспитательная</w:t>
      </w:r>
      <w:r>
        <w:rPr>
          <w:color w:val="231F20"/>
          <w:spacing w:val="-4"/>
          <w:sz w:val="20"/>
        </w:rPr>
        <w:t> </w:t>
      </w:r>
      <w:r>
        <w:rPr>
          <w:color w:val="231F20"/>
          <w:sz w:val="20"/>
        </w:rPr>
        <w:t>(развитие</w:t>
      </w:r>
      <w:r>
        <w:rPr>
          <w:color w:val="231F20"/>
          <w:spacing w:val="-4"/>
          <w:sz w:val="20"/>
        </w:rPr>
        <w:t> </w:t>
      </w:r>
      <w:r>
        <w:rPr>
          <w:color w:val="231F20"/>
          <w:sz w:val="20"/>
        </w:rPr>
        <w:t>рефлексии,</w:t>
      </w:r>
      <w:r>
        <w:rPr>
          <w:color w:val="231F20"/>
          <w:spacing w:val="-4"/>
          <w:sz w:val="20"/>
        </w:rPr>
        <w:t> </w:t>
      </w:r>
      <w:r>
        <w:rPr>
          <w:color w:val="231F20"/>
          <w:sz w:val="20"/>
        </w:rPr>
        <w:t>эмпатии,</w:t>
      </w:r>
      <w:r>
        <w:rPr>
          <w:color w:val="231F20"/>
          <w:spacing w:val="-4"/>
          <w:sz w:val="20"/>
        </w:rPr>
        <w:t> </w:t>
      </w:r>
      <w:r>
        <w:rPr>
          <w:color w:val="231F20"/>
          <w:sz w:val="20"/>
        </w:rPr>
        <w:t>формирование</w:t>
      </w:r>
      <w:r>
        <w:rPr>
          <w:color w:val="231F20"/>
          <w:spacing w:val="-4"/>
          <w:sz w:val="20"/>
        </w:rPr>
        <w:t> </w:t>
      </w:r>
      <w:r>
        <w:rPr>
          <w:color w:val="231F20"/>
          <w:sz w:val="20"/>
        </w:rPr>
        <w:t>на- выков командной работы).</w:t>
      </w:r>
    </w:p>
    <w:p>
      <w:pPr>
        <w:pStyle w:val="BodyText"/>
        <w:spacing w:line="235" w:lineRule="auto"/>
      </w:pPr>
      <w:r>
        <w:rPr>
          <w:color w:val="231F20"/>
        </w:rPr>
        <w:t>Участниками проекта выступили ученики 7-го «М» класса (28 чел.); в контроль- ную группу вошли ученики 7-го «Л» класса (27 чел.). Работа в школе проводилась с февраля по май 2021 г. (общее количество занятий – 20 по 45 минут).</w:t>
      </w:r>
    </w:p>
    <w:p>
      <w:pPr>
        <w:pStyle w:val="BodyText"/>
        <w:spacing w:line="235" w:lineRule="auto"/>
      </w:pPr>
      <w:r>
        <w:rPr>
          <w:color w:val="231F20"/>
        </w:rPr>
        <w:t>Основные</w:t>
      </w:r>
      <w:r>
        <w:rPr>
          <w:color w:val="231F20"/>
          <w:spacing w:val="-7"/>
        </w:rPr>
        <w:t> </w:t>
      </w:r>
      <w:r>
        <w:rPr>
          <w:color w:val="231F20"/>
        </w:rPr>
        <w:t>виды</w:t>
      </w:r>
      <w:r>
        <w:rPr>
          <w:color w:val="231F20"/>
          <w:spacing w:val="-7"/>
        </w:rPr>
        <w:t> </w:t>
      </w:r>
      <w:r>
        <w:rPr>
          <w:color w:val="231F20"/>
        </w:rPr>
        <w:t>совместной</w:t>
      </w:r>
      <w:r>
        <w:rPr>
          <w:color w:val="231F20"/>
          <w:spacing w:val="-7"/>
        </w:rPr>
        <w:t> </w:t>
      </w:r>
      <w:r>
        <w:rPr>
          <w:color w:val="231F20"/>
        </w:rPr>
        <w:t>работы</w:t>
      </w:r>
      <w:r>
        <w:rPr>
          <w:color w:val="231F20"/>
          <w:spacing w:val="-7"/>
        </w:rPr>
        <w:t> </w:t>
      </w:r>
      <w:r>
        <w:rPr>
          <w:color w:val="231F20"/>
        </w:rPr>
        <w:t>на</w:t>
      </w:r>
      <w:r>
        <w:rPr>
          <w:color w:val="231F20"/>
          <w:spacing w:val="-7"/>
        </w:rPr>
        <w:t> </w:t>
      </w:r>
      <w:r>
        <w:rPr>
          <w:color w:val="231F20"/>
        </w:rPr>
        <w:t>занятиях</w:t>
      </w:r>
      <w:r>
        <w:rPr>
          <w:color w:val="231F20"/>
          <w:spacing w:val="-7"/>
        </w:rPr>
        <w:t> </w:t>
      </w:r>
      <w:r>
        <w:rPr>
          <w:color w:val="231F20"/>
        </w:rPr>
        <w:t>включали:</w:t>
      </w:r>
      <w:r>
        <w:rPr>
          <w:color w:val="231F20"/>
          <w:spacing w:val="-7"/>
        </w:rPr>
        <w:t> </w:t>
      </w:r>
      <w:r>
        <w:rPr>
          <w:color w:val="231F20"/>
        </w:rPr>
        <w:t>проигрывание</w:t>
      </w:r>
      <w:r>
        <w:rPr>
          <w:color w:val="231F20"/>
          <w:spacing w:val="-7"/>
        </w:rPr>
        <w:t> </w:t>
      </w:r>
      <w:r>
        <w:rPr>
          <w:color w:val="231F20"/>
        </w:rPr>
        <w:t>отдель- ных сценок из произведений, групповые дискуссии, совместную работу по рекон- струкции событий рассказов, просмотр экранизации прочитанного с дальнейшим анализом</w:t>
      </w:r>
      <w:r>
        <w:rPr>
          <w:color w:val="231F20"/>
          <w:spacing w:val="27"/>
        </w:rPr>
        <w:t> </w:t>
      </w:r>
      <w:r>
        <w:rPr>
          <w:color w:val="231F20"/>
        </w:rPr>
        <w:t>приемов</w:t>
      </w:r>
      <w:r>
        <w:rPr>
          <w:color w:val="231F20"/>
          <w:spacing w:val="29"/>
        </w:rPr>
        <w:t> </w:t>
      </w:r>
      <w:r>
        <w:rPr>
          <w:color w:val="231F20"/>
        </w:rPr>
        <w:t>представления</w:t>
      </w:r>
      <w:r>
        <w:rPr>
          <w:color w:val="231F20"/>
          <w:spacing w:val="30"/>
        </w:rPr>
        <w:t> </w:t>
      </w:r>
      <w:r>
        <w:rPr>
          <w:color w:val="231F20"/>
        </w:rPr>
        <w:t>образов</w:t>
      </w:r>
      <w:r>
        <w:rPr>
          <w:color w:val="231F20"/>
          <w:spacing w:val="29"/>
        </w:rPr>
        <w:t> </w:t>
      </w:r>
      <w:r>
        <w:rPr>
          <w:color w:val="231F20"/>
        </w:rPr>
        <w:t>персонажей,</w:t>
      </w:r>
      <w:r>
        <w:rPr>
          <w:color w:val="231F20"/>
          <w:spacing w:val="29"/>
        </w:rPr>
        <w:t> </w:t>
      </w:r>
      <w:r>
        <w:rPr>
          <w:color w:val="231F20"/>
        </w:rPr>
        <w:t>а</w:t>
      </w:r>
      <w:r>
        <w:rPr>
          <w:color w:val="231F20"/>
          <w:spacing w:val="30"/>
        </w:rPr>
        <w:t> </w:t>
      </w:r>
      <w:r>
        <w:rPr>
          <w:color w:val="231F20"/>
        </w:rPr>
        <w:t>также</w:t>
      </w:r>
      <w:r>
        <w:rPr>
          <w:color w:val="231F20"/>
          <w:spacing w:val="29"/>
        </w:rPr>
        <w:t> </w:t>
      </w:r>
      <w:r>
        <w:rPr>
          <w:color w:val="231F20"/>
        </w:rPr>
        <w:t>сочинение</w:t>
      </w:r>
      <w:r>
        <w:rPr>
          <w:color w:val="231F20"/>
          <w:spacing w:val="30"/>
        </w:rPr>
        <w:t> </w:t>
      </w:r>
      <w:r>
        <w:rPr>
          <w:color w:val="231F20"/>
          <w:spacing w:val="-2"/>
        </w:rPr>
        <w:t>альтер-</w:t>
      </w:r>
    </w:p>
    <w:p>
      <w:pPr>
        <w:pStyle w:val="BodyText"/>
        <w:spacing w:after="0" w:line="235" w:lineRule="auto"/>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firstLine="0"/>
      </w:pPr>
      <w:r>
        <w:rPr>
          <w:color w:val="231F20"/>
        </w:rPr>
        <w:t>нативных концовок для обсуждаемых литературных произведений. С участием под- ростков</w:t>
      </w:r>
      <w:r>
        <w:rPr>
          <w:color w:val="231F20"/>
          <w:spacing w:val="-12"/>
        </w:rPr>
        <w:t> </w:t>
      </w:r>
      <w:r>
        <w:rPr>
          <w:color w:val="231F20"/>
        </w:rPr>
        <w:t>был</w:t>
      </w:r>
      <w:r>
        <w:rPr>
          <w:color w:val="231F20"/>
          <w:spacing w:val="-12"/>
        </w:rPr>
        <w:t> </w:t>
      </w:r>
      <w:r>
        <w:rPr>
          <w:color w:val="231F20"/>
        </w:rPr>
        <w:t>поставлен</w:t>
      </w:r>
      <w:r>
        <w:rPr>
          <w:color w:val="231F20"/>
          <w:spacing w:val="-12"/>
        </w:rPr>
        <w:t> </w:t>
      </w:r>
      <w:r>
        <w:rPr>
          <w:color w:val="231F20"/>
        </w:rPr>
        <w:t>спектакль</w:t>
      </w:r>
      <w:r>
        <w:rPr>
          <w:color w:val="231F20"/>
          <w:spacing w:val="-12"/>
        </w:rPr>
        <w:t> </w:t>
      </w:r>
      <w:r>
        <w:rPr>
          <w:color w:val="231F20"/>
        </w:rPr>
        <w:t>«Величие</w:t>
      </w:r>
      <w:r>
        <w:rPr>
          <w:color w:val="231F20"/>
          <w:spacing w:val="-12"/>
        </w:rPr>
        <w:t> </w:t>
      </w:r>
      <w:r>
        <w:rPr>
          <w:color w:val="231F20"/>
        </w:rPr>
        <w:t>русского</w:t>
      </w:r>
      <w:r>
        <w:rPr>
          <w:color w:val="231F20"/>
          <w:spacing w:val="-12"/>
        </w:rPr>
        <w:t> </w:t>
      </w:r>
      <w:r>
        <w:rPr>
          <w:color w:val="231F20"/>
        </w:rPr>
        <w:t>слова»,</w:t>
      </w:r>
      <w:r>
        <w:rPr>
          <w:color w:val="231F20"/>
          <w:spacing w:val="-12"/>
        </w:rPr>
        <w:t> </w:t>
      </w:r>
      <w:r>
        <w:rPr>
          <w:color w:val="231F20"/>
        </w:rPr>
        <w:t>в</w:t>
      </w:r>
      <w:r>
        <w:rPr>
          <w:color w:val="231F20"/>
          <w:spacing w:val="-12"/>
        </w:rPr>
        <w:t> </w:t>
      </w:r>
      <w:r>
        <w:rPr>
          <w:color w:val="231F20"/>
        </w:rPr>
        <w:t>основу</w:t>
      </w:r>
      <w:r>
        <w:rPr>
          <w:color w:val="231F20"/>
          <w:spacing w:val="-12"/>
        </w:rPr>
        <w:t> </w:t>
      </w:r>
      <w:r>
        <w:rPr>
          <w:color w:val="231F20"/>
        </w:rPr>
        <w:t>которого</w:t>
      </w:r>
      <w:r>
        <w:rPr>
          <w:color w:val="231F20"/>
          <w:spacing w:val="-12"/>
        </w:rPr>
        <w:t> </w:t>
      </w:r>
      <w:r>
        <w:rPr>
          <w:color w:val="231F20"/>
        </w:rPr>
        <w:t>легли три рассказа из школьной программы 7-го класса по литературе: «Размазня» А.П. Чехова,</w:t>
      </w:r>
      <w:r>
        <w:rPr>
          <w:color w:val="231F20"/>
          <w:spacing w:val="-13"/>
        </w:rPr>
        <w:t> </w:t>
      </w:r>
      <w:r>
        <w:rPr>
          <w:color w:val="231F20"/>
        </w:rPr>
        <w:t>«Горе»</w:t>
      </w:r>
      <w:r>
        <w:rPr>
          <w:color w:val="231F20"/>
          <w:spacing w:val="-12"/>
        </w:rPr>
        <w:t> </w:t>
      </w:r>
      <w:r>
        <w:rPr>
          <w:color w:val="231F20"/>
        </w:rPr>
        <w:t>М.М.</w:t>
      </w:r>
      <w:r>
        <w:rPr>
          <w:color w:val="231F20"/>
          <w:spacing w:val="-13"/>
        </w:rPr>
        <w:t> </w:t>
      </w:r>
      <w:r>
        <w:rPr>
          <w:color w:val="231F20"/>
        </w:rPr>
        <w:t>Зощенко,</w:t>
      </w:r>
      <w:r>
        <w:rPr>
          <w:color w:val="231F20"/>
          <w:spacing w:val="-12"/>
        </w:rPr>
        <w:t> </w:t>
      </w:r>
      <w:r>
        <w:rPr>
          <w:color w:val="231F20"/>
        </w:rPr>
        <w:t>«Юшка».</w:t>
      </w:r>
      <w:r>
        <w:rPr>
          <w:color w:val="231F20"/>
          <w:spacing w:val="-13"/>
        </w:rPr>
        <w:t> </w:t>
      </w:r>
      <w:r>
        <w:rPr>
          <w:color w:val="231F20"/>
        </w:rPr>
        <w:t>А.П.</w:t>
      </w:r>
      <w:r>
        <w:rPr>
          <w:color w:val="231F20"/>
          <w:spacing w:val="-12"/>
        </w:rPr>
        <w:t> </w:t>
      </w:r>
      <w:r>
        <w:rPr>
          <w:color w:val="231F20"/>
        </w:rPr>
        <w:t>Платонова,</w:t>
      </w:r>
      <w:r>
        <w:rPr>
          <w:color w:val="231F20"/>
          <w:spacing w:val="-13"/>
        </w:rPr>
        <w:t> </w:t>
      </w:r>
      <w:r>
        <w:rPr>
          <w:color w:val="231F20"/>
        </w:rPr>
        <w:t>а</w:t>
      </w:r>
      <w:r>
        <w:rPr>
          <w:color w:val="231F20"/>
          <w:spacing w:val="-12"/>
        </w:rPr>
        <w:t> </w:t>
      </w:r>
      <w:r>
        <w:rPr>
          <w:color w:val="231F20"/>
        </w:rPr>
        <w:t>также</w:t>
      </w:r>
      <w:r>
        <w:rPr>
          <w:color w:val="231F20"/>
          <w:spacing w:val="-13"/>
        </w:rPr>
        <w:t> </w:t>
      </w:r>
      <w:r>
        <w:rPr>
          <w:color w:val="231F20"/>
        </w:rPr>
        <w:t>сочинения</w:t>
      </w:r>
      <w:r>
        <w:rPr>
          <w:color w:val="231F20"/>
          <w:spacing w:val="-12"/>
        </w:rPr>
        <w:t> </w:t>
      </w:r>
      <w:r>
        <w:rPr>
          <w:color w:val="231F20"/>
        </w:rPr>
        <w:t>Д.С.</w:t>
      </w:r>
      <w:r>
        <w:rPr>
          <w:color w:val="231F20"/>
          <w:spacing w:val="-13"/>
        </w:rPr>
        <w:t> </w:t>
      </w:r>
      <w:r>
        <w:rPr>
          <w:color w:val="231F20"/>
        </w:rPr>
        <w:t>Ли- хачева «Письма о добром и прекрасном».</w:t>
      </w:r>
    </w:p>
    <w:p>
      <w:pPr>
        <w:pStyle w:val="BodyText"/>
        <w:spacing w:line="227" w:lineRule="exact"/>
        <w:ind w:left="425" w:right="0" w:firstLine="0"/>
      </w:pPr>
      <w:r>
        <w:rPr>
          <w:color w:val="231F20"/>
        </w:rPr>
        <w:t>Основные</w:t>
      </w:r>
      <w:r>
        <w:rPr>
          <w:color w:val="231F20"/>
          <w:spacing w:val="-3"/>
        </w:rPr>
        <w:t> </w:t>
      </w:r>
      <w:r>
        <w:rPr>
          <w:color w:val="231F20"/>
        </w:rPr>
        <w:t>сложности</w:t>
      </w:r>
      <w:r>
        <w:rPr>
          <w:color w:val="231F20"/>
          <w:spacing w:val="-1"/>
        </w:rPr>
        <w:t> </w:t>
      </w:r>
      <w:r>
        <w:rPr>
          <w:color w:val="231F20"/>
        </w:rPr>
        <w:t>и</w:t>
      </w:r>
      <w:r>
        <w:rPr>
          <w:color w:val="231F20"/>
          <w:spacing w:val="-1"/>
        </w:rPr>
        <w:t> </w:t>
      </w:r>
      <w:r>
        <w:rPr>
          <w:color w:val="231F20"/>
        </w:rPr>
        <w:t>препятствия</w:t>
      </w:r>
      <w:r>
        <w:rPr>
          <w:color w:val="231F20"/>
          <w:spacing w:val="-1"/>
        </w:rPr>
        <w:t> </w:t>
      </w:r>
      <w:r>
        <w:rPr>
          <w:color w:val="231F20"/>
        </w:rPr>
        <w:t>в</w:t>
      </w:r>
      <w:r>
        <w:rPr>
          <w:color w:val="231F20"/>
          <w:spacing w:val="-1"/>
        </w:rPr>
        <w:t> </w:t>
      </w:r>
      <w:r>
        <w:rPr>
          <w:color w:val="231F20"/>
        </w:rPr>
        <w:t>реализации</w:t>
      </w:r>
      <w:r>
        <w:rPr>
          <w:color w:val="231F20"/>
          <w:spacing w:val="-1"/>
        </w:rPr>
        <w:t> </w:t>
      </w:r>
      <w:r>
        <w:rPr>
          <w:color w:val="231F20"/>
        </w:rPr>
        <w:t>проекта </w:t>
      </w:r>
      <w:r>
        <w:rPr>
          <w:color w:val="231F20"/>
          <w:spacing w:val="-2"/>
        </w:rPr>
        <w:t>включали:</w:t>
      </w:r>
    </w:p>
    <w:p>
      <w:pPr>
        <w:pStyle w:val="ListParagraph"/>
        <w:numPr>
          <w:ilvl w:val="0"/>
          <w:numId w:val="138"/>
        </w:numPr>
        <w:tabs>
          <w:tab w:pos="425" w:val="left" w:leader="none"/>
        </w:tabs>
        <w:spacing w:line="230" w:lineRule="auto" w:before="5" w:after="0"/>
        <w:ind w:left="425" w:right="140" w:hanging="284"/>
        <w:jc w:val="both"/>
        <w:rPr>
          <w:sz w:val="20"/>
        </w:rPr>
      </w:pPr>
      <w:r>
        <w:rPr>
          <w:color w:val="231F20"/>
          <w:sz w:val="20"/>
        </w:rPr>
        <w:t>недостаток предварительной информации о подростках и их индивидуальных </w:t>
      </w:r>
      <w:r>
        <w:rPr>
          <w:color w:val="231F20"/>
          <w:spacing w:val="-2"/>
          <w:sz w:val="20"/>
        </w:rPr>
        <w:t>особенностях;</w:t>
      </w:r>
    </w:p>
    <w:p>
      <w:pPr>
        <w:pStyle w:val="ListParagraph"/>
        <w:numPr>
          <w:ilvl w:val="0"/>
          <w:numId w:val="138"/>
        </w:numPr>
        <w:tabs>
          <w:tab w:pos="424" w:val="left" w:leader="none"/>
        </w:tabs>
        <w:spacing w:line="216" w:lineRule="exact" w:before="0" w:after="0"/>
        <w:ind w:left="424" w:right="0" w:hanging="283"/>
        <w:jc w:val="both"/>
        <w:rPr>
          <w:sz w:val="20"/>
        </w:rPr>
      </w:pPr>
      <w:r>
        <w:rPr>
          <w:color w:val="231F20"/>
          <w:sz w:val="20"/>
        </w:rPr>
        <w:t>отсутствие</w:t>
      </w:r>
      <w:r>
        <w:rPr>
          <w:color w:val="231F20"/>
          <w:spacing w:val="-6"/>
          <w:sz w:val="20"/>
        </w:rPr>
        <w:t> </w:t>
      </w:r>
      <w:r>
        <w:rPr>
          <w:color w:val="231F20"/>
          <w:sz w:val="20"/>
        </w:rPr>
        <w:t>обратной</w:t>
      </w:r>
      <w:r>
        <w:rPr>
          <w:color w:val="231F20"/>
          <w:spacing w:val="-5"/>
          <w:sz w:val="20"/>
        </w:rPr>
        <w:t> </w:t>
      </w:r>
      <w:r>
        <w:rPr>
          <w:color w:val="231F20"/>
          <w:sz w:val="20"/>
        </w:rPr>
        <w:t>связи</w:t>
      </w:r>
      <w:r>
        <w:rPr>
          <w:color w:val="231F20"/>
          <w:spacing w:val="-6"/>
          <w:sz w:val="20"/>
        </w:rPr>
        <w:t> </w:t>
      </w:r>
      <w:r>
        <w:rPr>
          <w:color w:val="231F20"/>
          <w:sz w:val="20"/>
        </w:rPr>
        <w:t>от</w:t>
      </w:r>
      <w:r>
        <w:rPr>
          <w:color w:val="231F20"/>
          <w:spacing w:val="-5"/>
          <w:sz w:val="20"/>
        </w:rPr>
        <w:t> </w:t>
      </w:r>
      <w:r>
        <w:rPr>
          <w:color w:val="231F20"/>
          <w:spacing w:val="-2"/>
          <w:sz w:val="20"/>
        </w:rPr>
        <w:t>учеников;</w:t>
      </w:r>
    </w:p>
    <w:p>
      <w:pPr>
        <w:pStyle w:val="ListParagraph"/>
        <w:numPr>
          <w:ilvl w:val="0"/>
          <w:numId w:val="138"/>
        </w:numPr>
        <w:tabs>
          <w:tab w:pos="425" w:val="left" w:leader="none"/>
        </w:tabs>
        <w:spacing w:line="230" w:lineRule="auto" w:before="3" w:after="0"/>
        <w:ind w:left="425" w:right="139" w:hanging="284"/>
        <w:jc w:val="both"/>
        <w:rPr>
          <w:sz w:val="20"/>
        </w:rPr>
      </w:pPr>
      <w:r>
        <w:rPr>
          <w:color w:val="231F20"/>
          <w:sz w:val="20"/>
        </w:rPr>
        <w:t>крайне слабая мотивация у обучающихся, связанная в т.ч. с травмированно-</w:t>
      </w:r>
      <w:r>
        <w:rPr>
          <w:color w:val="231F20"/>
          <w:spacing w:val="80"/>
          <w:sz w:val="20"/>
        </w:rPr>
        <w:t> </w:t>
      </w:r>
      <w:r>
        <w:rPr>
          <w:color w:val="231F20"/>
          <w:sz w:val="20"/>
        </w:rPr>
        <w:t>стью отдельных подростков длительным онлайн-обучением в период пандемии </w:t>
      </w:r>
      <w:r>
        <w:rPr>
          <w:color w:val="231F20"/>
          <w:spacing w:val="-2"/>
          <w:sz w:val="20"/>
        </w:rPr>
        <w:t>COVID-19;</w:t>
      </w:r>
    </w:p>
    <w:p>
      <w:pPr>
        <w:pStyle w:val="ListParagraph"/>
        <w:numPr>
          <w:ilvl w:val="0"/>
          <w:numId w:val="138"/>
        </w:numPr>
        <w:tabs>
          <w:tab w:pos="425" w:val="left" w:leader="none"/>
        </w:tabs>
        <w:spacing w:line="230" w:lineRule="auto" w:before="0" w:after="0"/>
        <w:ind w:left="425" w:right="139" w:hanging="284"/>
        <w:jc w:val="both"/>
        <w:rPr>
          <w:sz w:val="20"/>
        </w:rPr>
      </w:pPr>
      <w:r>
        <w:rPr>
          <w:color w:val="231F20"/>
          <w:sz w:val="20"/>
        </w:rPr>
        <w:t>настороженность</w:t>
      </w:r>
      <w:r>
        <w:rPr>
          <w:color w:val="231F20"/>
          <w:spacing w:val="-3"/>
          <w:sz w:val="20"/>
        </w:rPr>
        <w:t> </w:t>
      </w:r>
      <w:r>
        <w:rPr>
          <w:color w:val="231F20"/>
          <w:sz w:val="20"/>
        </w:rPr>
        <w:t>в</w:t>
      </w:r>
      <w:r>
        <w:rPr>
          <w:color w:val="231F20"/>
          <w:spacing w:val="-3"/>
          <w:sz w:val="20"/>
        </w:rPr>
        <w:t> </w:t>
      </w:r>
      <w:r>
        <w:rPr>
          <w:color w:val="231F20"/>
          <w:sz w:val="20"/>
        </w:rPr>
        <w:t>отношении</w:t>
      </w:r>
      <w:r>
        <w:rPr>
          <w:color w:val="231F20"/>
          <w:spacing w:val="-3"/>
          <w:sz w:val="20"/>
        </w:rPr>
        <w:t> </w:t>
      </w:r>
      <w:r>
        <w:rPr>
          <w:color w:val="231F20"/>
          <w:sz w:val="20"/>
        </w:rPr>
        <w:t>новых</w:t>
      </w:r>
      <w:r>
        <w:rPr>
          <w:color w:val="231F20"/>
          <w:spacing w:val="-3"/>
          <w:sz w:val="20"/>
        </w:rPr>
        <w:t> </w:t>
      </w:r>
      <w:r>
        <w:rPr>
          <w:color w:val="231F20"/>
          <w:sz w:val="20"/>
        </w:rPr>
        <w:t>взрослых,</w:t>
      </w:r>
      <w:r>
        <w:rPr>
          <w:color w:val="231F20"/>
          <w:spacing w:val="-3"/>
          <w:sz w:val="20"/>
        </w:rPr>
        <w:t> </w:t>
      </w:r>
      <w:r>
        <w:rPr>
          <w:color w:val="231F20"/>
          <w:sz w:val="20"/>
        </w:rPr>
        <w:t>участвующих</w:t>
      </w:r>
      <w:r>
        <w:rPr>
          <w:color w:val="231F20"/>
          <w:spacing w:val="-3"/>
          <w:sz w:val="20"/>
        </w:rPr>
        <w:t> </w:t>
      </w:r>
      <w:r>
        <w:rPr>
          <w:color w:val="231F20"/>
          <w:sz w:val="20"/>
        </w:rPr>
        <w:t>в</w:t>
      </w:r>
      <w:r>
        <w:rPr>
          <w:color w:val="231F20"/>
          <w:spacing w:val="-3"/>
          <w:sz w:val="20"/>
        </w:rPr>
        <w:t> </w:t>
      </w:r>
      <w:r>
        <w:rPr>
          <w:color w:val="231F20"/>
          <w:sz w:val="20"/>
        </w:rPr>
        <w:t>учебном</w:t>
      </w:r>
      <w:r>
        <w:rPr>
          <w:color w:val="231F20"/>
          <w:spacing w:val="-3"/>
          <w:sz w:val="20"/>
        </w:rPr>
        <w:t> </w:t>
      </w:r>
      <w:r>
        <w:rPr>
          <w:color w:val="231F20"/>
          <w:sz w:val="20"/>
        </w:rPr>
        <w:t>процес- се, неготовность идти на контакт;</w:t>
      </w:r>
    </w:p>
    <w:p>
      <w:pPr>
        <w:pStyle w:val="ListParagraph"/>
        <w:numPr>
          <w:ilvl w:val="0"/>
          <w:numId w:val="138"/>
        </w:numPr>
        <w:tabs>
          <w:tab w:pos="424" w:val="left" w:leader="none"/>
        </w:tabs>
        <w:spacing w:line="230" w:lineRule="auto" w:before="0" w:after="0"/>
        <w:ind w:left="141" w:right="139" w:firstLine="0"/>
        <w:jc w:val="right"/>
        <w:rPr>
          <w:sz w:val="20"/>
        </w:rPr>
      </w:pPr>
      <w:r>
        <w:rPr>
          <w:color w:val="231F20"/>
          <w:sz w:val="20"/>
        </w:rPr>
        <w:t>нежелание</w:t>
      </w:r>
      <w:r>
        <w:rPr>
          <w:color w:val="231F20"/>
          <w:spacing w:val="-8"/>
          <w:sz w:val="20"/>
        </w:rPr>
        <w:t> </w:t>
      </w:r>
      <w:r>
        <w:rPr>
          <w:color w:val="231F20"/>
          <w:sz w:val="20"/>
        </w:rPr>
        <w:t>выполнять</w:t>
      </w:r>
      <w:r>
        <w:rPr>
          <w:color w:val="231F20"/>
          <w:spacing w:val="-8"/>
          <w:sz w:val="20"/>
        </w:rPr>
        <w:t> </w:t>
      </w:r>
      <w:r>
        <w:rPr>
          <w:color w:val="231F20"/>
          <w:sz w:val="20"/>
        </w:rPr>
        <w:t>домашние</w:t>
      </w:r>
      <w:r>
        <w:rPr>
          <w:color w:val="231F20"/>
          <w:spacing w:val="-8"/>
          <w:sz w:val="20"/>
        </w:rPr>
        <w:t> </w:t>
      </w:r>
      <w:r>
        <w:rPr>
          <w:color w:val="231F20"/>
          <w:sz w:val="20"/>
        </w:rPr>
        <w:t>задания,</w:t>
      </w:r>
      <w:r>
        <w:rPr>
          <w:color w:val="231F20"/>
          <w:spacing w:val="-8"/>
          <w:sz w:val="20"/>
        </w:rPr>
        <w:t> </w:t>
      </w:r>
      <w:r>
        <w:rPr>
          <w:color w:val="231F20"/>
          <w:sz w:val="20"/>
        </w:rPr>
        <w:t>отрицание</w:t>
      </w:r>
      <w:r>
        <w:rPr>
          <w:color w:val="231F20"/>
          <w:spacing w:val="-8"/>
          <w:sz w:val="20"/>
        </w:rPr>
        <w:t> </w:t>
      </w:r>
      <w:r>
        <w:rPr>
          <w:color w:val="231F20"/>
          <w:sz w:val="20"/>
        </w:rPr>
        <w:t>непривычных</w:t>
      </w:r>
      <w:r>
        <w:rPr>
          <w:color w:val="231F20"/>
          <w:spacing w:val="-8"/>
          <w:sz w:val="20"/>
        </w:rPr>
        <w:t> </w:t>
      </w:r>
      <w:r>
        <w:rPr>
          <w:color w:val="231F20"/>
          <w:sz w:val="20"/>
        </w:rPr>
        <w:t>видов</w:t>
      </w:r>
      <w:r>
        <w:rPr>
          <w:color w:val="231F20"/>
          <w:spacing w:val="-8"/>
          <w:sz w:val="20"/>
        </w:rPr>
        <w:t> </w:t>
      </w:r>
      <w:r>
        <w:rPr>
          <w:color w:val="231F20"/>
          <w:sz w:val="20"/>
        </w:rPr>
        <w:t>работы. В</w:t>
      </w:r>
      <w:r>
        <w:rPr>
          <w:color w:val="231F20"/>
          <w:spacing w:val="40"/>
          <w:sz w:val="20"/>
        </w:rPr>
        <w:t> </w:t>
      </w:r>
      <w:r>
        <w:rPr>
          <w:color w:val="231F20"/>
          <w:sz w:val="20"/>
        </w:rPr>
        <w:t>целом</w:t>
      </w:r>
      <w:r>
        <w:rPr>
          <w:color w:val="231F20"/>
          <w:spacing w:val="40"/>
          <w:sz w:val="20"/>
        </w:rPr>
        <w:t> </w:t>
      </w:r>
      <w:r>
        <w:rPr>
          <w:color w:val="231F20"/>
          <w:sz w:val="20"/>
        </w:rPr>
        <w:t>учеников</w:t>
      </w:r>
      <w:r>
        <w:rPr>
          <w:color w:val="231F20"/>
          <w:spacing w:val="40"/>
          <w:sz w:val="20"/>
        </w:rPr>
        <w:t> </w:t>
      </w:r>
      <w:r>
        <w:rPr>
          <w:color w:val="231F20"/>
          <w:sz w:val="20"/>
        </w:rPr>
        <w:t>класса,</w:t>
      </w:r>
      <w:r>
        <w:rPr>
          <w:color w:val="231F20"/>
          <w:spacing w:val="40"/>
          <w:sz w:val="20"/>
        </w:rPr>
        <w:t> </w:t>
      </w:r>
      <w:r>
        <w:rPr>
          <w:color w:val="231F20"/>
          <w:sz w:val="20"/>
        </w:rPr>
        <w:t>участвовавших</w:t>
      </w:r>
      <w:r>
        <w:rPr>
          <w:color w:val="231F20"/>
          <w:spacing w:val="40"/>
          <w:sz w:val="20"/>
        </w:rPr>
        <w:t> </w:t>
      </w:r>
      <w:r>
        <w:rPr>
          <w:color w:val="231F20"/>
          <w:sz w:val="20"/>
        </w:rPr>
        <w:t>в</w:t>
      </w:r>
      <w:r>
        <w:rPr>
          <w:color w:val="231F20"/>
          <w:spacing w:val="40"/>
          <w:sz w:val="20"/>
        </w:rPr>
        <w:t> </w:t>
      </w:r>
      <w:r>
        <w:rPr>
          <w:color w:val="231F20"/>
          <w:sz w:val="20"/>
        </w:rPr>
        <w:t>проекте,</w:t>
      </w:r>
      <w:r>
        <w:rPr>
          <w:color w:val="231F20"/>
          <w:spacing w:val="40"/>
          <w:sz w:val="20"/>
        </w:rPr>
        <w:t> </w:t>
      </w:r>
      <w:r>
        <w:rPr>
          <w:color w:val="231F20"/>
          <w:sz w:val="20"/>
        </w:rPr>
        <w:t>отличала</w:t>
      </w:r>
      <w:r>
        <w:rPr>
          <w:color w:val="231F20"/>
          <w:spacing w:val="40"/>
          <w:sz w:val="20"/>
        </w:rPr>
        <w:t> </w:t>
      </w:r>
      <w:r>
        <w:rPr>
          <w:color w:val="231F20"/>
          <w:sz w:val="20"/>
        </w:rPr>
        <w:t>низкая</w:t>
      </w:r>
      <w:r>
        <w:rPr>
          <w:color w:val="231F20"/>
          <w:spacing w:val="40"/>
          <w:sz w:val="20"/>
        </w:rPr>
        <w:t> </w:t>
      </w:r>
      <w:r>
        <w:rPr>
          <w:color w:val="231F20"/>
          <w:sz w:val="20"/>
        </w:rPr>
        <w:t>успевае- мость, низкая познавательная активность, замкнутость, крайне низкая мотивация к учебной деятельности, неумение работать в команде, сложности как в межличнос- тном общении, так и в коммуникации со школьным психологом и педагогами. Пе- речисленные проблемы ухудшились в условиях дистанционного обучения в период пандемии</w:t>
      </w:r>
      <w:r>
        <w:rPr>
          <w:color w:val="231F20"/>
          <w:spacing w:val="25"/>
          <w:sz w:val="20"/>
        </w:rPr>
        <w:t> </w:t>
      </w:r>
      <w:r>
        <w:rPr>
          <w:color w:val="231F20"/>
          <w:sz w:val="20"/>
        </w:rPr>
        <w:t>COVID-19.</w:t>
      </w:r>
      <w:r>
        <w:rPr>
          <w:color w:val="231F20"/>
          <w:spacing w:val="25"/>
          <w:sz w:val="20"/>
        </w:rPr>
        <w:t> </w:t>
      </w:r>
      <w:r>
        <w:rPr>
          <w:color w:val="231F20"/>
          <w:sz w:val="20"/>
        </w:rPr>
        <w:t>Большинство</w:t>
      </w:r>
      <w:r>
        <w:rPr>
          <w:color w:val="231F20"/>
          <w:spacing w:val="25"/>
          <w:sz w:val="20"/>
        </w:rPr>
        <w:t> </w:t>
      </w:r>
      <w:r>
        <w:rPr>
          <w:color w:val="231F20"/>
          <w:sz w:val="20"/>
        </w:rPr>
        <w:t>подростков</w:t>
      </w:r>
      <w:r>
        <w:rPr>
          <w:color w:val="231F20"/>
          <w:spacing w:val="25"/>
          <w:sz w:val="20"/>
        </w:rPr>
        <w:t> </w:t>
      </w:r>
      <w:r>
        <w:rPr>
          <w:color w:val="231F20"/>
          <w:sz w:val="20"/>
        </w:rPr>
        <w:t>из</w:t>
      </w:r>
      <w:r>
        <w:rPr>
          <w:color w:val="231F20"/>
          <w:spacing w:val="25"/>
          <w:sz w:val="20"/>
        </w:rPr>
        <w:t> </w:t>
      </w:r>
      <w:r>
        <w:rPr>
          <w:color w:val="231F20"/>
          <w:sz w:val="20"/>
        </w:rPr>
        <w:t>класса</w:t>
      </w:r>
      <w:r>
        <w:rPr>
          <w:color w:val="231F20"/>
          <w:spacing w:val="25"/>
          <w:sz w:val="20"/>
        </w:rPr>
        <w:t> </w:t>
      </w:r>
      <w:r>
        <w:rPr>
          <w:color w:val="231F20"/>
          <w:sz w:val="20"/>
        </w:rPr>
        <w:t>не</w:t>
      </w:r>
      <w:r>
        <w:rPr>
          <w:color w:val="231F20"/>
          <w:spacing w:val="25"/>
          <w:sz w:val="20"/>
        </w:rPr>
        <w:t> </w:t>
      </w:r>
      <w:r>
        <w:rPr>
          <w:color w:val="231F20"/>
          <w:sz w:val="20"/>
        </w:rPr>
        <w:t>имели</w:t>
      </w:r>
      <w:r>
        <w:rPr>
          <w:color w:val="231F20"/>
          <w:spacing w:val="25"/>
          <w:sz w:val="20"/>
        </w:rPr>
        <w:t> </w:t>
      </w:r>
      <w:r>
        <w:rPr>
          <w:color w:val="231F20"/>
          <w:sz w:val="20"/>
        </w:rPr>
        <w:t>опыта</w:t>
      </w:r>
      <w:r>
        <w:rPr>
          <w:color w:val="231F20"/>
          <w:spacing w:val="25"/>
          <w:sz w:val="20"/>
        </w:rPr>
        <w:t> </w:t>
      </w:r>
      <w:r>
        <w:rPr>
          <w:color w:val="231F20"/>
          <w:sz w:val="20"/>
        </w:rPr>
        <w:t>участия в театральной деятельности, некоторые из них никогда не были в театре. Подавля- ющее большинство учеников не интересовались литературой, для них было крайне непривычно</w:t>
      </w:r>
      <w:r>
        <w:rPr>
          <w:color w:val="231F20"/>
          <w:spacing w:val="22"/>
          <w:sz w:val="20"/>
        </w:rPr>
        <w:t> </w:t>
      </w:r>
      <w:r>
        <w:rPr>
          <w:color w:val="231F20"/>
          <w:sz w:val="20"/>
        </w:rPr>
        <w:t>работать</w:t>
      </w:r>
      <w:r>
        <w:rPr>
          <w:color w:val="231F20"/>
          <w:spacing w:val="22"/>
          <w:sz w:val="20"/>
        </w:rPr>
        <w:t> </w:t>
      </w:r>
      <w:r>
        <w:rPr>
          <w:color w:val="231F20"/>
          <w:sz w:val="20"/>
        </w:rPr>
        <w:t>в</w:t>
      </w:r>
      <w:r>
        <w:rPr>
          <w:color w:val="231F20"/>
          <w:spacing w:val="22"/>
          <w:sz w:val="20"/>
        </w:rPr>
        <w:t> </w:t>
      </w:r>
      <w:r>
        <w:rPr>
          <w:color w:val="231F20"/>
          <w:sz w:val="20"/>
        </w:rPr>
        <w:t>группах,</w:t>
      </w:r>
      <w:r>
        <w:rPr>
          <w:color w:val="231F20"/>
          <w:spacing w:val="22"/>
          <w:sz w:val="20"/>
        </w:rPr>
        <w:t> </w:t>
      </w:r>
      <w:r>
        <w:rPr>
          <w:color w:val="231F20"/>
          <w:sz w:val="20"/>
        </w:rPr>
        <w:t>на</w:t>
      </w:r>
      <w:r>
        <w:rPr>
          <w:color w:val="231F20"/>
          <w:spacing w:val="22"/>
          <w:sz w:val="20"/>
        </w:rPr>
        <w:t> </w:t>
      </w:r>
      <w:r>
        <w:rPr>
          <w:color w:val="231F20"/>
          <w:sz w:val="20"/>
        </w:rPr>
        <w:t>первых</w:t>
      </w:r>
      <w:r>
        <w:rPr>
          <w:color w:val="231F20"/>
          <w:spacing w:val="22"/>
          <w:sz w:val="20"/>
        </w:rPr>
        <w:t> </w:t>
      </w:r>
      <w:r>
        <w:rPr>
          <w:color w:val="231F20"/>
          <w:sz w:val="20"/>
        </w:rPr>
        <w:t>занятиях</w:t>
      </w:r>
      <w:r>
        <w:rPr>
          <w:color w:val="231F20"/>
          <w:spacing w:val="22"/>
          <w:sz w:val="20"/>
        </w:rPr>
        <w:t> </w:t>
      </w:r>
      <w:r>
        <w:rPr>
          <w:color w:val="231F20"/>
          <w:sz w:val="20"/>
        </w:rPr>
        <w:t>они</w:t>
      </w:r>
      <w:r>
        <w:rPr>
          <w:color w:val="231F20"/>
          <w:spacing w:val="22"/>
          <w:sz w:val="20"/>
        </w:rPr>
        <w:t> </w:t>
      </w:r>
      <w:r>
        <w:rPr>
          <w:color w:val="231F20"/>
          <w:sz w:val="20"/>
        </w:rPr>
        <w:t>отказывались</w:t>
      </w:r>
      <w:r>
        <w:rPr>
          <w:color w:val="231F20"/>
          <w:spacing w:val="22"/>
          <w:sz w:val="20"/>
        </w:rPr>
        <w:t> </w:t>
      </w:r>
      <w:r>
        <w:rPr>
          <w:color w:val="231F20"/>
          <w:sz w:val="20"/>
        </w:rPr>
        <w:t>вступать</w:t>
      </w:r>
      <w:r>
        <w:rPr>
          <w:color w:val="231F20"/>
          <w:spacing w:val="22"/>
          <w:sz w:val="20"/>
        </w:rPr>
        <w:t> </w:t>
      </w:r>
      <w:r>
        <w:rPr>
          <w:color w:val="231F20"/>
          <w:sz w:val="20"/>
        </w:rPr>
        <w:t>в коммуникацию,</w:t>
      </w:r>
      <w:r>
        <w:rPr>
          <w:color w:val="231F20"/>
          <w:spacing w:val="-8"/>
          <w:sz w:val="20"/>
        </w:rPr>
        <w:t> </w:t>
      </w:r>
      <w:r>
        <w:rPr>
          <w:color w:val="231F20"/>
          <w:sz w:val="20"/>
        </w:rPr>
        <w:t>многие</w:t>
      </w:r>
      <w:r>
        <w:rPr>
          <w:color w:val="231F20"/>
          <w:spacing w:val="-8"/>
          <w:sz w:val="20"/>
        </w:rPr>
        <w:t> </w:t>
      </w:r>
      <w:r>
        <w:rPr>
          <w:color w:val="231F20"/>
          <w:sz w:val="20"/>
        </w:rPr>
        <w:t>демонстративно</w:t>
      </w:r>
      <w:r>
        <w:rPr>
          <w:color w:val="231F20"/>
          <w:spacing w:val="-8"/>
          <w:sz w:val="20"/>
        </w:rPr>
        <w:t> </w:t>
      </w:r>
      <w:r>
        <w:rPr>
          <w:color w:val="231F20"/>
          <w:sz w:val="20"/>
        </w:rPr>
        <w:t>отказывались</w:t>
      </w:r>
      <w:r>
        <w:rPr>
          <w:color w:val="231F20"/>
          <w:spacing w:val="-8"/>
          <w:sz w:val="20"/>
        </w:rPr>
        <w:t> </w:t>
      </w:r>
      <w:r>
        <w:rPr>
          <w:color w:val="231F20"/>
          <w:sz w:val="20"/>
        </w:rPr>
        <w:t>участвовать</w:t>
      </w:r>
      <w:r>
        <w:rPr>
          <w:color w:val="231F20"/>
          <w:spacing w:val="-8"/>
          <w:sz w:val="20"/>
        </w:rPr>
        <w:t> </w:t>
      </w:r>
      <w:r>
        <w:rPr>
          <w:color w:val="231F20"/>
          <w:sz w:val="20"/>
        </w:rPr>
        <w:t>в</w:t>
      </w:r>
      <w:r>
        <w:rPr>
          <w:color w:val="231F20"/>
          <w:spacing w:val="-8"/>
          <w:sz w:val="20"/>
        </w:rPr>
        <w:t> </w:t>
      </w:r>
      <w:r>
        <w:rPr>
          <w:color w:val="231F20"/>
          <w:sz w:val="20"/>
        </w:rPr>
        <w:t>проекте</w:t>
      </w:r>
      <w:r>
        <w:rPr>
          <w:color w:val="231F20"/>
          <w:spacing w:val="-8"/>
          <w:sz w:val="20"/>
        </w:rPr>
        <w:t> </w:t>
      </w:r>
      <w:r>
        <w:rPr>
          <w:color w:val="231F20"/>
          <w:sz w:val="20"/>
        </w:rPr>
        <w:t>или</w:t>
      </w:r>
      <w:r>
        <w:rPr>
          <w:color w:val="231F20"/>
          <w:spacing w:val="-8"/>
          <w:sz w:val="20"/>
        </w:rPr>
        <w:t> </w:t>
      </w:r>
      <w:r>
        <w:rPr>
          <w:color w:val="231F20"/>
          <w:sz w:val="20"/>
        </w:rPr>
        <w:t>по- стоянно отвлекались на гаджеты. Некоторые дети из класса состояли на внутреннем учете в школе из-за неадекватного или агрессивного поведения. В классе обучались дети</w:t>
      </w:r>
      <w:r>
        <w:rPr>
          <w:color w:val="231F20"/>
          <w:spacing w:val="12"/>
          <w:sz w:val="20"/>
        </w:rPr>
        <w:t> </w:t>
      </w:r>
      <w:r>
        <w:rPr>
          <w:color w:val="231F20"/>
          <w:sz w:val="20"/>
        </w:rPr>
        <w:t>разных</w:t>
      </w:r>
      <w:r>
        <w:rPr>
          <w:color w:val="231F20"/>
          <w:spacing w:val="16"/>
          <w:sz w:val="20"/>
        </w:rPr>
        <w:t> </w:t>
      </w:r>
      <w:r>
        <w:rPr>
          <w:color w:val="231F20"/>
          <w:sz w:val="20"/>
        </w:rPr>
        <w:t>культур,</w:t>
      </w:r>
      <w:r>
        <w:rPr>
          <w:color w:val="231F20"/>
          <w:spacing w:val="16"/>
          <w:sz w:val="20"/>
        </w:rPr>
        <w:t> </w:t>
      </w:r>
      <w:r>
        <w:rPr>
          <w:color w:val="231F20"/>
          <w:sz w:val="20"/>
        </w:rPr>
        <w:t>испытывавшие</w:t>
      </w:r>
      <w:r>
        <w:rPr>
          <w:color w:val="231F20"/>
          <w:spacing w:val="15"/>
          <w:sz w:val="20"/>
        </w:rPr>
        <w:t> </w:t>
      </w:r>
      <w:r>
        <w:rPr>
          <w:color w:val="231F20"/>
          <w:sz w:val="20"/>
        </w:rPr>
        <w:t>сложности,</w:t>
      </w:r>
      <w:r>
        <w:rPr>
          <w:color w:val="231F20"/>
          <w:spacing w:val="16"/>
          <w:sz w:val="20"/>
        </w:rPr>
        <w:t> </w:t>
      </w:r>
      <w:r>
        <w:rPr>
          <w:color w:val="231F20"/>
          <w:sz w:val="20"/>
        </w:rPr>
        <w:t>в</w:t>
      </w:r>
      <w:r>
        <w:rPr>
          <w:color w:val="231F20"/>
          <w:spacing w:val="15"/>
          <w:sz w:val="20"/>
        </w:rPr>
        <w:t> </w:t>
      </w:r>
      <w:r>
        <w:rPr>
          <w:color w:val="231F20"/>
          <w:sz w:val="20"/>
        </w:rPr>
        <w:t>частности,</w:t>
      </w:r>
      <w:r>
        <w:rPr>
          <w:color w:val="231F20"/>
          <w:spacing w:val="16"/>
          <w:sz w:val="20"/>
        </w:rPr>
        <w:t> </w:t>
      </w:r>
      <w:r>
        <w:rPr>
          <w:color w:val="231F20"/>
          <w:sz w:val="20"/>
        </w:rPr>
        <w:t>по</w:t>
      </w:r>
      <w:r>
        <w:rPr>
          <w:color w:val="231F20"/>
          <w:spacing w:val="16"/>
          <w:sz w:val="20"/>
        </w:rPr>
        <w:t> </w:t>
      </w:r>
      <w:r>
        <w:rPr>
          <w:color w:val="231F20"/>
          <w:sz w:val="20"/>
        </w:rPr>
        <w:t>таким</w:t>
      </w:r>
      <w:r>
        <w:rPr>
          <w:color w:val="231F20"/>
          <w:spacing w:val="15"/>
          <w:sz w:val="20"/>
        </w:rPr>
        <w:t> </w:t>
      </w:r>
      <w:r>
        <w:rPr>
          <w:color w:val="231F20"/>
          <w:spacing w:val="-2"/>
          <w:sz w:val="20"/>
        </w:rPr>
        <w:t>предметам,</w:t>
      </w:r>
    </w:p>
    <w:p>
      <w:pPr>
        <w:pStyle w:val="BodyText"/>
        <w:spacing w:line="216" w:lineRule="exact"/>
        <w:ind w:right="0" w:firstLine="0"/>
      </w:pPr>
      <w:r>
        <w:rPr>
          <w:color w:val="231F20"/>
        </w:rPr>
        <w:t>как</w:t>
      </w:r>
      <w:r>
        <w:rPr>
          <w:color w:val="231F20"/>
          <w:spacing w:val="-4"/>
        </w:rPr>
        <w:t> </w:t>
      </w:r>
      <w:r>
        <w:rPr>
          <w:color w:val="231F20"/>
        </w:rPr>
        <w:t>русский</w:t>
      </w:r>
      <w:r>
        <w:rPr>
          <w:color w:val="231F20"/>
          <w:spacing w:val="-3"/>
        </w:rPr>
        <w:t> </w:t>
      </w:r>
      <w:r>
        <w:rPr>
          <w:color w:val="231F20"/>
        </w:rPr>
        <w:t>язык</w:t>
      </w:r>
      <w:r>
        <w:rPr>
          <w:color w:val="231F20"/>
          <w:spacing w:val="-4"/>
        </w:rPr>
        <w:t> </w:t>
      </w:r>
      <w:r>
        <w:rPr>
          <w:color w:val="231F20"/>
        </w:rPr>
        <w:t>и</w:t>
      </w:r>
      <w:r>
        <w:rPr>
          <w:color w:val="231F20"/>
          <w:spacing w:val="-3"/>
        </w:rPr>
        <w:t> </w:t>
      </w:r>
      <w:r>
        <w:rPr>
          <w:color w:val="231F20"/>
          <w:spacing w:val="-2"/>
        </w:rPr>
        <w:t>литература.</w:t>
      </w:r>
    </w:p>
    <w:p>
      <w:pPr>
        <w:pStyle w:val="BodyText"/>
        <w:spacing w:line="235" w:lineRule="auto"/>
      </w:pPr>
      <w:r>
        <w:rPr>
          <w:color w:val="231F20"/>
        </w:rPr>
        <w:t>Особый интерес представляют кейсы подростков-мигрантов Ав. и Роз., испыты- вавших сложности в обучении.</w:t>
      </w:r>
    </w:p>
    <w:p>
      <w:pPr>
        <w:pStyle w:val="BodyText"/>
        <w:spacing w:line="235" w:lineRule="auto"/>
      </w:pPr>
      <w:r>
        <w:rPr>
          <w:color w:val="231F20"/>
        </w:rPr>
        <w:t>По</w:t>
      </w:r>
      <w:r>
        <w:rPr>
          <w:color w:val="231F20"/>
          <w:spacing w:val="-11"/>
        </w:rPr>
        <w:t> </w:t>
      </w:r>
      <w:r>
        <w:rPr>
          <w:color w:val="231F20"/>
        </w:rPr>
        <w:t>мнению</w:t>
      </w:r>
      <w:r>
        <w:rPr>
          <w:color w:val="231F20"/>
          <w:spacing w:val="-11"/>
        </w:rPr>
        <w:t> </w:t>
      </w:r>
      <w:r>
        <w:rPr>
          <w:color w:val="231F20"/>
        </w:rPr>
        <w:t>школьного</w:t>
      </w:r>
      <w:r>
        <w:rPr>
          <w:color w:val="231F20"/>
          <w:spacing w:val="-11"/>
        </w:rPr>
        <w:t> </w:t>
      </w:r>
      <w:r>
        <w:rPr>
          <w:color w:val="231F20"/>
        </w:rPr>
        <w:t>психолога</w:t>
      </w:r>
      <w:r>
        <w:rPr>
          <w:color w:val="231F20"/>
          <w:spacing w:val="-11"/>
        </w:rPr>
        <w:t> </w:t>
      </w:r>
      <w:r>
        <w:rPr>
          <w:color w:val="231F20"/>
        </w:rPr>
        <w:t>Н.Я.</w:t>
      </w:r>
      <w:r>
        <w:rPr>
          <w:color w:val="231F20"/>
          <w:spacing w:val="-11"/>
        </w:rPr>
        <w:t> </w:t>
      </w:r>
      <w:r>
        <w:rPr>
          <w:color w:val="231F20"/>
        </w:rPr>
        <w:t>Агеева,</w:t>
      </w:r>
      <w:r>
        <w:rPr>
          <w:color w:val="231F20"/>
          <w:spacing w:val="-11"/>
        </w:rPr>
        <w:t> </w:t>
      </w:r>
      <w:r>
        <w:rPr>
          <w:color w:val="231F20"/>
        </w:rPr>
        <w:t>сопровождавшего</w:t>
      </w:r>
      <w:r>
        <w:rPr>
          <w:color w:val="231F20"/>
          <w:spacing w:val="-11"/>
        </w:rPr>
        <w:t> </w:t>
      </w:r>
      <w:r>
        <w:rPr>
          <w:color w:val="231F20"/>
        </w:rPr>
        <w:t>участников</w:t>
      </w:r>
      <w:r>
        <w:rPr>
          <w:color w:val="231F20"/>
          <w:spacing w:val="-11"/>
        </w:rPr>
        <w:t> </w:t>
      </w:r>
      <w:r>
        <w:rPr>
          <w:color w:val="231F20"/>
        </w:rPr>
        <w:t>про- екта,</w:t>
      </w:r>
      <w:r>
        <w:rPr>
          <w:color w:val="231F20"/>
          <w:spacing w:val="-5"/>
        </w:rPr>
        <w:t> </w:t>
      </w:r>
      <w:r>
        <w:rPr>
          <w:color w:val="231F20"/>
        </w:rPr>
        <w:t>подростки</w:t>
      </w:r>
      <w:r>
        <w:rPr>
          <w:color w:val="231F20"/>
          <w:spacing w:val="-5"/>
        </w:rPr>
        <w:t> </w:t>
      </w:r>
      <w:r>
        <w:rPr>
          <w:color w:val="231F20"/>
        </w:rPr>
        <w:t>Аф.</w:t>
      </w:r>
      <w:r>
        <w:rPr>
          <w:color w:val="231F20"/>
          <w:spacing w:val="-5"/>
        </w:rPr>
        <w:t> </w:t>
      </w:r>
      <w:r>
        <w:rPr>
          <w:color w:val="231F20"/>
        </w:rPr>
        <w:t>и</w:t>
      </w:r>
      <w:r>
        <w:rPr>
          <w:color w:val="231F20"/>
          <w:spacing w:val="-5"/>
        </w:rPr>
        <w:t> </w:t>
      </w:r>
      <w:r>
        <w:rPr>
          <w:color w:val="231F20"/>
        </w:rPr>
        <w:t>Роз.</w:t>
      </w:r>
      <w:r>
        <w:rPr>
          <w:color w:val="231F20"/>
          <w:spacing w:val="-5"/>
        </w:rPr>
        <w:t> </w:t>
      </w:r>
      <w:r>
        <w:rPr>
          <w:color w:val="231F20"/>
        </w:rPr>
        <w:t>испытывали</w:t>
      </w:r>
      <w:r>
        <w:rPr>
          <w:color w:val="231F20"/>
          <w:spacing w:val="-5"/>
        </w:rPr>
        <w:t> </w:t>
      </w:r>
      <w:r>
        <w:rPr>
          <w:color w:val="231F20"/>
        </w:rPr>
        <w:t>схожие</w:t>
      </w:r>
      <w:r>
        <w:rPr>
          <w:color w:val="231F20"/>
          <w:spacing w:val="-5"/>
        </w:rPr>
        <w:t> </w:t>
      </w:r>
      <w:r>
        <w:rPr>
          <w:color w:val="231F20"/>
        </w:rPr>
        <w:t>проблемы,</w:t>
      </w:r>
      <w:r>
        <w:rPr>
          <w:color w:val="231F20"/>
          <w:spacing w:val="-5"/>
        </w:rPr>
        <w:t> </w:t>
      </w:r>
      <w:r>
        <w:rPr>
          <w:color w:val="231F20"/>
        </w:rPr>
        <w:t>хотя</w:t>
      </w:r>
      <w:r>
        <w:rPr>
          <w:color w:val="231F20"/>
          <w:spacing w:val="-5"/>
        </w:rPr>
        <w:t> </w:t>
      </w:r>
      <w:r>
        <w:rPr>
          <w:color w:val="231F20"/>
        </w:rPr>
        <w:t>их</w:t>
      </w:r>
      <w:r>
        <w:rPr>
          <w:color w:val="231F20"/>
          <w:spacing w:val="-5"/>
        </w:rPr>
        <w:t> </w:t>
      </w:r>
      <w:r>
        <w:rPr>
          <w:color w:val="231F20"/>
        </w:rPr>
        <w:t>внешние</w:t>
      </w:r>
      <w:r>
        <w:rPr>
          <w:color w:val="231F20"/>
          <w:spacing w:val="-5"/>
        </w:rPr>
        <w:t> </w:t>
      </w:r>
      <w:r>
        <w:rPr>
          <w:color w:val="231F20"/>
        </w:rPr>
        <w:t>проявле- ния существенно различались. Общая проблема подростков – сложности в социали- зации, проблемы с коммуникацией и «встраивании» в систему класса.</w:t>
      </w:r>
    </w:p>
    <w:p>
      <w:pPr>
        <w:pStyle w:val="BodyText"/>
        <w:spacing w:line="235" w:lineRule="auto" w:before="1"/>
      </w:pPr>
      <w:r>
        <w:rPr>
          <w:color w:val="231F20"/>
        </w:rPr>
        <w:t>Роз.</w:t>
      </w:r>
      <w:r>
        <w:rPr>
          <w:color w:val="231F20"/>
          <w:spacing w:val="-2"/>
        </w:rPr>
        <w:t> </w:t>
      </w:r>
      <w:r>
        <w:rPr>
          <w:color w:val="231F20"/>
        </w:rPr>
        <w:t>отличалась</w:t>
      </w:r>
      <w:r>
        <w:rPr>
          <w:color w:val="231F20"/>
          <w:spacing w:val="-2"/>
        </w:rPr>
        <w:t> </w:t>
      </w:r>
      <w:r>
        <w:rPr>
          <w:color w:val="231F20"/>
        </w:rPr>
        <w:t>скромным</w:t>
      </w:r>
      <w:r>
        <w:rPr>
          <w:color w:val="231F20"/>
          <w:spacing w:val="-2"/>
        </w:rPr>
        <w:t> </w:t>
      </w:r>
      <w:r>
        <w:rPr>
          <w:color w:val="231F20"/>
        </w:rPr>
        <w:t>и</w:t>
      </w:r>
      <w:r>
        <w:rPr>
          <w:color w:val="231F20"/>
          <w:spacing w:val="-2"/>
        </w:rPr>
        <w:t> </w:t>
      </w:r>
      <w:r>
        <w:rPr>
          <w:color w:val="231F20"/>
        </w:rPr>
        <w:t>тихим</w:t>
      </w:r>
      <w:r>
        <w:rPr>
          <w:color w:val="231F20"/>
          <w:spacing w:val="-2"/>
        </w:rPr>
        <w:t> </w:t>
      </w:r>
      <w:r>
        <w:rPr>
          <w:color w:val="231F20"/>
        </w:rPr>
        <w:t>поведением,</w:t>
      </w:r>
      <w:r>
        <w:rPr>
          <w:color w:val="231F20"/>
          <w:spacing w:val="-2"/>
        </w:rPr>
        <w:t> </w:t>
      </w:r>
      <w:r>
        <w:rPr>
          <w:color w:val="231F20"/>
        </w:rPr>
        <w:t>стремлением</w:t>
      </w:r>
      <w:r>
        <w:rPr>
          <w:color w:val="231F20"/>
          <w:spacing w:val="-2"/>
        </w:rPr>
        <w:t> </w:t>
      </w:r>
      <w:r>
        <w:rPr>
          <w:color w:val="231F20"/>
        </w:rPr>
        <w:t>не</w:t>
      </w:r>
      <w:r>
        <w:rPr>
          <w:color w:val="231F20"/>
          <w:spacing w:val="-2"/>
        </w:rPr>
        <w:t> </w:t>
      </w:r>
      <w:r>
        <w:rPr>
          <w:color w:val="231F20"/>
        </w:rPr>
        <w:t>привлекать</w:t>
      </w:r>
      <w:r>
        <w:rPr>
          <w:color w:val="231F20"/>
          <w:spacing w:val="-2"/>
        </w:rPr>
        <w:t> </w:t>
      </w:r>
      <w:r>
        <w:rPr>
          <w:color w:val="231F20"/>
        </w:rPr>
        <w:t>вни- мания педагогов и психологов. Девочка практически не взаимодействовала ни с кем из сверстников, при этом она не нарушала школьную дисциплину, была как бы не- видимкой</w:t>
      </w:r>
      <w:r>
        <w:rPr>
          <w:color w:val="231F20"/>
          <w:spacing w:val="-1"/>
        </w:rPr>
        <w:t> </w:t>
      </w:r>
      <w:r>
        <w:rPr>
          <w:color w:val="231F20"/>
        </w:rPr>
        <w:t>и</w:t>
      </w:r>
      <w:r>
        <w:rPr>
          <w:color w:val="231F20"/>
          <w:spacing w:val="-1"/>
        </w:rPr>
        <w:t> </w:t>
      </w:r>
      <w:r>
        <w:rPr>
          <w:color w:val="231F20"/>
        </w:rPr>
        <w:t>в</w:t>
      </w:r>
      <w:r>
        <w:rPr>
          <w:color w:val="231F20"/>
          <w:spacing w:val="-1"/>
        </w:rPr>
        <w:t> </w:t>
      </w:r>
      <w:r>
        <w:rPr>
          <w:color w:val="231F20"/>
        </w:rPr>
        <w:t>какой-то</w:t>
      </w:r>
      <w:r>
        <w:rPr>
          <w:color w:val="231F20"/>
          <w:spacing w:val="-1"/>
        </w:rPr>
        <w:t> </w:t>
      </w:r>
      <w:r>
        <w:rPr>
          <w:color w:val="231F20"/>
        </w:rPr>
        <w:t>степени</w:t>
      </w:r>
      <w:r>
        <w:rPr>
          <w:color w:val="231F20"/>
          <w:spacing w:val="-1"/>
        </w:rPr>
        <w:t> </w:t>
      </w:r>
      <w:r>
        <w:rPr>
          <w:color w:val="231F20"/>
        </w:rPr>
        <w:t>«удобной»</w:t>
      </w:r>
      <w:r>
        <w:rPr>
          <w:color w:val="231F20"/>
          <w:spacing w:val="-1"/>
        </w:rPr>
        <w:t> </w:t>
      </w:r>
      <w:r>
        <w:rPr>
          <w:color w:val="231F20"/>
        </w:rPr>
        <w:t>для</w:t>
      </w:r>
      <w:r>
        <w:rPr>
          <w:color w:val="231F20"/>
          <w:spacing w:val="-1"/>
        </w:rPr>
        <w:t> </w:t>
      </w:r>
      <w:r>
        <w:rPr>
          <w:color w:val="231F20"/>
        </w:rPr>
        <w:t>школы.</w:t>
      </w:r>
      <w:r>
        <w:rPr>
          <w:color w:val="231F20"/>
          <w:spacing w:val="-1"/>
        </w:rPr>
        <w:t> </w:t>
      </w:r>
      <w:r>
        <w:rPr>
          <w:color w:val="231F20"/>
        </w:rPr>
        <w:t>Роз.</w:t>
      </w:r>
      <w:r>
        <w:rPr>
          <w:color w:val="231F20"/>
          <w:spacing w:val="-1"/>
        </w:rPr>
        <w:t> </w:t>
      </w:r>
      <w:r>
        <w:rPr>
          <w:color w:val="231F20"/>
        </w:rPr>
        <w:t>общалась</w:t>
      </w:r>
      <w:r>
        <w:rPr>
          <w:color w:val="231F20"/>
          <w:spacing w:val="-1"/>
        </w:rPr>
        <w:t> </w:t>
      </w:r>
      <w:r>
        <w:rPr>
          <w:color w:val="231F20"/>
        </w:rPr>
        <w:t>только</w:t>
      </w:r>
      <w:r>
        <w:rPr>
          <w:color w:val="231F20"/>
          <w:spacing w:val="-1"/>
        </w:rPr>
        <w:t> </w:t>
      </w:r>
      <w:r>
        <w:rPr>
          <w:color w:val="231F20"/>
        </w:rPr>
        <w:t>с</w:t>
      </w:r>
      <w:r>
        <w:rPr>
          <w:color w:val="231F20"/>
          <w:spacing w:val="-1"/>
        </w:rPr>
        <w:t> </w:t>
      </w:r>
      <w:r>
        <w:rPr>
          <w:color w:val="231F20"/>
        </w:rPr>
        <w:t>одной девочкой</w:t>
      </w:r>
      <w:r>
        <w:rPr>
          <w:color w:val="231F20"/>
          <w:spacing w:val="-10"/>
        </w:rPr>
        <w:t> </w:t>
      </w:r>
      <w:r>
        <w:rPr>
          <w:color w:val="231F20"/>
        </w:rPr>
        <w:t>из</w:t>
      </w:r>
      <w:r>
        <w:rPr>
          <w:color w:val="231F20"/>
          <w:spacing w:val="-10"/>
        </w:rPr>
        <w:t> </w:t>
      </w:r>
      <w:r>
        <w:rPr>
          <w:color w:val="231F20"/>
        </w:rPr>
        <w:t>класса.</w:t>
      </w:r>
      <w:r>
        <w:rPr>
          <w:color w:val="231F20"/>
          <w:spacing w:val="-10"/>
        </w:rPr>
        <w:t> </w:t>
      </w:r>
      <w:r>
        <w:rPr>
          <w:color w:val="231F20"/>
        </w:rPr>
        <w:t>Подруги</w:t>
      </w:r>
      <w:r>
        <w:rPr>
          <w:color w:val="231F20"/>
          <w:spacing w:val="-10"/>
        </w:rPr>
        <w:t> </w:t>
      </w:r>
      <w:r>
        <w:rPr>
          <w:color w:val="231F20"/>
        </w:rPr>
        <w:t>держались</w:t>
      </w:r>
      <w:r>
        <w:rPr>
          <w:color w:val="231F20"/>
          <w:spacing w:val="-10"/>
        </w:rPr>
        <w:t> </w:t>
      </w:r>
      <w:r>
        <w:rPr>
          <w:color w:val="231F20"/>
        </w:rPr>
        <w:t>обособленно,</w:t>
      </w:r>
      <w:r>
        <w:rPr>
          <w:color w:val="231F20"/>
          <w:spacing w:val="-10"/>
        </w:rPr>
        <w:t> </w:t>
      </w:r>
      <w:r>
        <w:rPr>
          <w:color w:val="231F20"/>
        </w:rPr>
        <w:t>на</w:t>
      </w:r>
      <w:r>
        <w:rPr>
          <w:color w:val="231F20"/>
          <w:spacing w:val="-10"/>
        </w:rPr>
        <w:t> </w:t>
      </w:r>
      <w:r>
        <w:rPr>
          <w:color w:val="231F20"/>
        </w:rPr>
        <w:t>занятиях</w:t>
      </w:r>
      <w:r>
        <w:rPr>
          <w:color w:val="231F20"/>
          <w:spacing w:val="-10"/>
        </w:rPr>
        <w:t> </w:t>
      </w:r>
      <w:r>
        <w:rPr>
          <w:color w:val="231F20"/>
        </w:rPr>
        <w:t>по</w:t>
      </w:r>
      <w:r>
        <w:rPr>
          <w:color w:val="231F20"/>
          <w:spacing w:val="-10"/>
        </w:rPr>
        <w:t> </w:t>
      </w:r>
      <w:r>
        <w:rPr>
          <w:color w:val="231F20"/>
        </w:rPr>
        <w:t>театру</w:t>
      </w:r>
      <w:r>
        <w:rPr>
          <w:color w:val="231F20"/>
          <w:spacing w:val="-10"/>
        </w:rPr>
        <w:t> </w:t>
      </w:r>
      <w:r>
        <w:rPr>
          <w:color w:val="231F20"/>
        </w:rPr>
        <w:t>они</w:t>
      </w:r>
      <w:r>
        <w:rPr>
          <w:color w:val="231F20"/>
          <w:spacing w:val="-10"/>
        </w:rPr>
        <w:t> </w:t>
      </w:r>
      <w:r>
        <w:rPr>
          <w:color w:val="231F20"/>
        </w:rPr>
        <w:t>тихо перешептывались, на вопросы о том, хотели бы они что-то добавить, высказаться, взяться за роль или выступить перед классом, девочки всегда отвечали – ничего. На прямые вопросы Роз. обычно отвечала «не знаю» или «мне трудно ответить», по- жимала плечами или застенчиво улыбалась, всегда говорила тихо и спокойно. По </w:t>
      </w:r>
      <w:r>
        <w:rPr>
          <w:color w:val="231F20"/>
          <w:spacing w:val="-2"/>
        </w:rPr>
        <w:t>мнению</w:t>
      </w:r>
      <w:r>
        <w:rPr>
          <w:color w:val="231F20"/>
          <w:spacing w:val="-6"/>
        </w:rPr>
        <w:t> </w:t>
      </w:r>
      <w:r>
        <w:rPr>
          <w:color w:val="231F20"/>
          <w:spacing w:val="-2"/>
        </w:rPr>
        <w:t>художественного</w:t>
      </w:r>
      <w:r>
        <w:rPr>
          <w:color w:val="231F20"/>
          <w:spacing w:val="-3"/>
        </w:rPr>
        <w:t> </w:t>
      </w:r>
      <w:r>
        <w:rPr>
          <w:color w:val="231F20"/>
          <w:spacing w:val="-2"/>
        </w:rPr>
        <w:t>руководителя</w:t>
      </w:r>
      <w:r>
        <w:rPr>
          <w:color w:val="231F20"/>
          <w:spacing w:val="-3"/>
        </w:rPr>
        <w:t> </w:t>
      </w:r>
      <w:r>
        <w:rPr>
          <w:color w:val="231F20"/>
          <w:spacing w:val="-2"/>
        </w:rPr>
        <w:t>проектной</w:t>
      </w:r>
      <w:r>
        <w:rPr>
          <w:color w:val="231F20"/>
          <w:spacing w:val="-3"/>
        </w:rPr>
        <w:t> </w:t>
      </w:r>
      <w:r>
        <w:rPr>
          <w:color w:val="231F20"/>
          <w:spacing w:val="-2"/>
        </w:rPr>
        <w:t>группы</w:t>
      </w:r>
      <w:r>
        <w:rPr>
          <w:color w:val="231F20"/>
          <w:spacing w:val="-3"/>
        </w:rPr>
        <w:t> </w:t>
      </w:r>
      <w:r>
        <w:rPr>
          <w:color w:val="231F20"/>
          <w:spacing w:val="-2"/>
        </w:rPr>
        <w:t>ЦМИСД</w:t>
      </w:r>
      <w:r>
        <w:rPr>
          <w:color w:val="231F20"/>
          <w:spacing w:val="-3"/>
        </w:rPr>
        <w:t> </w:t>
      </w:r>
      <w:r>
        <w:rPr>
          <w:color w:val="231F20"/>
          <w:spacing w:val="-2"/>
        </w:rPr>
        <w:t>А.Г.</w:t>
      </w:r>
      <w:r>
        <w:rPr>
          <w:color w:val="231F20"/>
          <w:spacing w:val="-3"/>
        </w:rPr>
        <w:t> </w:t>
      </w:r>
      <w:r>
        <w:rPr>
          <w:color w:val="231F20"/>
          <w:spacing w:val="-2"/>
        </w:rPr>
        <w:t>Соловьевой,</w:t>
      </w:r>
    </w:p>
    <w:p>
      <w:pPr>
        <w:pStyle w:val="BodyText"/>
        <w:spacing w:before="3"/>
        <w:ind w:right="0" w:firstLine="0"/>
      </w:pPr>
      <w:r>
        <w:rPr>
          <w:color w:val="231F20"/>
        </w:rPr>
        <w:t>«Роз.</w:t>
      </w:r>
      <w:r>
        <w:rPr>
          <w:color w:val="231F20"/>
          <w:spacing w:val="17"/>
        </w:rPr>
        <w:t> </w:t>
      </w:r>
      <w:r>
        <w:rPr>
          <w:color w:val="231F20"/>
        </w:rPr>
        <w:t>хотела</w:t>
      </w:r>
      <w:r>
        <w:rPr>
          <w:color w:val="231F20"/>
          <w:spacing w:val="19"/>
        </w:rPr>
        <w:t> </w:t>
      </w:r>
      <w:r>
        <w:rPr>
          <w:color w:val="231F20"/>
        </w:rPr>
        <w:t>заявить</w:t>
      </w:r>
      <w:r>
        <w:rPr>
          <w:color w:val="231F20"/>
          <w:spacing w:val="19"/>
        </w:rPr>
        <w:t> </w:t>
      </w:r>
      <w:r>
        <w:rPr>
          <w:color w:val="231F20"/>
        </w:rPr>
        <w:t>о</w:t>
      </w:r>
      <w:r>
        <w:rPr>
          <w:color w:val="231F20"/>
          <w:spacing w:val="19"/>
        </w:rPr>
        <w:t> </w:t>
      </w:r>
      <w:r>
        <w:rPr>
          <w:color w:val="231F20"/>
        </w:rPr>
        <w:t>себе,</w:t>
      </w:r>
      <w:r>
        <w:rPr>
          <w:color w:val="231F20"/>
          <w:spacing w:val="19"/>
        </w:rPr>
        <w:t> </w:t>
      </w:r>
      <w:r>
        <w:rPr>
          <w:color w:val="231F20"/>
        </w:rPr>
        <w:t>она</w:t>
      </w:r>
      <w:r>
        <w:rPr>
          <w:color w:val="231F20"/>
          <w:spacing w:val="20"/>
        </w:rPr>
        <w:t> </w:t>
      </w:r>
      <w:r>
        <w:rPr>
          <w:color w:val="231F20"/>
        </w:rPr>
        <w:t>ждала</w:t>
      </w:r>
      <w:r>
        <w:rPr>
          <w:color w:val="231F20"/>
          <w:spacing w:val="19"/>
        </w:rPr>
        <w:t> </w:t>
      </w:r>
      <w:r>
        <w:rPr>
          <w:color w:val="231F20"/>
        </w:rPr>
        <w:t>личного</w:t>
      </w:r>
      <w:r>
        <w:rPr>
          <w:color w:val="231F20"/>
          <w:spacing w:val="19"/>
        </w:rPr>
        <w:t> </w:t>
      </w:r>
      <w:r>
        <w:rPr>
          <w:color w:val="231F20"/>
        </w:rPr>
        <w:t>приглашения</w:t>
      </w:r>
      <w:r>
        <w:rPr>
          <w:color w:val="231F20"/>
          <w:spacing w:val="19"/>
        </w:rPr>
        <w:t> </w:t>
      </w:r>
      <w:r>
        <w:rPr>
          <w:color w:val="231F20"/>
        </w:rPr>
        <w:t>и</w:t>
      </w:r>
      <w:r>
        <w:rPr>
          <w:color w:val="231F20"/>
          <w:spacing w:val="19"/>
        </w:rPr>
        <w:t> </w:t>
      </w:r>
      <w:r>
        <w:rPr>
          <w:color w:val="231F20"/>
        </w:rPr>
        <w:t>особого</w:t>
      </w:r>
      <w:r>
        <w:rPr>
          <w:color w:val="231F20"/>
          <w:spacing w:val="20"/>
        </w:rPr>
        <w:t> </w:t>
      </w:r>
      <w:r>
        <w:rPr>
          <w:color w:val="231F20"/>
          <w:spacing w:val="-2"/>
        </w:rPr>
        <w:t>внимания,</w:t>
      </w:r>
    </w:p>
    <w:p>
      <w:pPr>
        <w:pStyle w:val="BodyText"/>
        <w:spacing w:after="0"/>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5"/>
          <w:sz w:val="18"/>
        </w:rPr>
        <w:t> </w:t>
      </w:r>
      <w:r>
        <w:rPr>
          <w:rFonts w:ascii="Georgia" w:hAnsi="Georgia"/>
          <w:color w:val="231F20"/>
          <w:sz w:val="18"/>
        </w:rPr>
        <w:t>Методы</w:t>
      </w:r>
      <w:r>
        <w:rPr>
          <w:rFonts w:ascii="Georgia" w:hAnsi="Georgia"/>
          <w:color w:val="231F20"/>
          <w:spacing w:val="-5"/>
          <w:sz w:val="18"/>
        </w:rPr>
        <w:t> </w:t>
      </w:r>
      <w:r>
        <w:rPr>
          <w:rFonts w:ascii="Georgia" w:hAnsi="Georgia"/>
          <w:color w:val="231F20"/>
          <w:sz w:val="18"/>
        </w:rPr>
        <w:t>воспитательной</w:t>
      </w:r>
      <w:r>
        <w:rPr>
          <w:rFonts w:ascii="Georgia" w:hAnsi="Georgia"/>
          <w:color w:val="231F20"/>
          <w:spacing w:val="-4"/>
          <w:sz w:val="18"/>
        </w:rPr>
        <w:t> </w:t>
      </w:r>
      <w:r>
        <w:rPr>
          <w:rFonts w:ascii="Georgia" w:hAnsi="Georgia"/>
          <w:color w:val="231F20"/>
          <w:sz w:val="18"/>
        </w:rPr>
        <w:t>раюоты</w:t>
      </w:r>
      <w:r>
        <w:rPr>
          <w:rFonts w:ascii="Georgia" w:hAnsi="Georgia"/>
          <w:color w:val="231F20"/>
          <w:spacing w:val="-5"/>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w:t>
      </w:r>
      <w:r>
        <w:rPr>
          <w:rFonts w:ascii="Georgia" w:hAnsi="Georgia"/>
          <w:color w:val="231F20"/>
          <w:spacing w:val="-4"/>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BodyText"/>
        <w:spacing w:before="112"/>
        <w:ind w:firstLine="0"/>
      </w:pPr>
      <w:r>
        <w:rPr>
          <w:color w:val="231F20"/>
        </w:rPr>
        <w:t>хотела, чтобы ее просили, уговаривали принять участие в проекте. Такие дети хотят участвовать в театральной деятельности, но не могут сказать об этом напрямую».</w:t>
      </w:r>
      <w:r>
        <w:rPr>
          <w:color w:val="231F20"/>
          <w:spacing w:val="40"/>
        </w:rPr>
        <w:t> </w:t>
      </w:r>
      <w:r>
        <w:rPr>
          <w:color w:val="231F20"/>
        </w:rPr>
        <w:t>По мнению психолога Агеева, Роз. практически не участвовала в проекте, «так как ей</w:t>
      </w:r>
      <w:r>
        <w:rPr>
          <w:color w:val="231F20"/>
          <w:spacing w:val="-4"/>
        </w:rPr>
        <w:t> </w:t>
      </w:r>
      <w:r>
        <w:rPr>
          <w:color w:val="231F20"/>
        </w:rPr>
        <w:t>сложно</w:t>
      </w:r>
      <w:r>
        <w:rPr>
          <w:color w:val="231F20"/>
          <w:spacing w:val="-4"/>
        </w:rPr>
        <w:t> </w:t>
      </w:r>
      <w:r>
        <w:rPr>
          <w:color w:val="231F20"/>
        </w:rPr>
        <w:t>выйти</w:t>
      </w:r>
      <w:r>
        <w:rPr>
          <w:color w:val="231F20"/>
          <w:spacing w:val="-4"/>
        </w:rPr>
        <w:t> </w:t>
      </w:r>
      <w:r>
        <w:rPr>
          <w:color w:val="231F20"/>
        </w:rPr>
        <w:t>из</w:t>
      </w:r>
      <w:r>
        <w:rPr>
          <w:color w:val="231F20"/>
          <w:spacing w:val="-4"/>
        </w:rPr>
        <w:t> </w:t>
      </w:r>
      <w:r>
        <w:rPr>
          <w:color w:val="231F20"/>
        </w:rPr>
        <w:t>зоны</w:t>
      </w:r>
      <w:r>
        <w:rPr>
          <w:color w:val="231F20"/>
          <w:spacing w:val="-4"/>
        </w:rPr>
        <w:t> </w:t>
      </w:r>
      <w:r>
        <w:rPr>
          <w:color w:val="231F20"/>
        </w:rPr>
        <w:t>комфорта</w:t>
      </w:r>
      <w:r>
        <w:rPr>
          <w:color w:val="231F20"/>
          <w:spacing w:val="-4"/>
        </w:rPr>
        <w:t> </w:t>
      </w:r>
      <w:r>
        <w:rPr>
          <w:color w:val="231F20"/>
        </w:rPr>
        <w:t>с</w:t>
      </w:r>
      <w:r>
        <w:rPr>
          <w:color w:val="231F20"/>
          <w:spacing w:val="-4"/>
        </w:rPr>
        <w:t> </w:t>
      </w:r>
      <w:r>
        <w:rPr>
          <w:color w:val="231F20"/>
        </w:rPr>
        <w:t>подружкой,</w:t>
      </w:r>
      <w:r>
        <w:rPr>
          <w:color w:val="231F20"/>
          <w:spacing w:val="-4"/>
        </w:rPr>
        <w:t> </w:t>
      </w:r>
      <w:r>
        <w:rPr>
          <w:color w:val="231F20"/>
        </w:rPr>
        <w:t>она</w:t>
      </w:r>
      <w:r>
        <w:rPr>
          <w:color w:val="231F20"/>
          <w:spacing w:val="-4"/>
        </w:rPr>
        <w:t> </w:t>
      </w:r>
      <w:r>
        <w:rPr>
          <w:color w:val="231F20"/>
        </w:rPr>
        <w:t>участвовала</w:t>
      </w:r>
      <w:r>
        <w:rPr>
          <w:color w:val="231F20"/>
          <w:spacing w:val="-4"/>
        </w:rPr>
        <w:t> </w:t>
      </w:r>
      <w:r>
        <w:rPr>
          <w:color w:val="231F20"/>
        </w:rPr>
        <w:t>лишь</w:t>
      </w:r>
      <w:r>
        <w:rPr>
          <w:color w:val="231F20"/>
          <w:spacing w:val="-4"/>
        </w:rPr>
        <w:t> </w:t>
      </w:r>
      <w:r>
        <w:rPr>
          <w:color w:val="231F20"/>
        </w:rPr>
        <w:t>в</w:t>
      </w:r>
      <w:r>
        <w:rPr>
          <w:color w:val="231F20"/>
          <w:spacing w:val="-4"/>
        </w:rPr>
        <w:t> </w:t>
      </w:r>
      <w:r>
        <w:rPr>
          <w:color w:val="231F20"/>
        </w:rPr>
        <w:t>некоторых групповых обсуждениях, но дальше «не сдвинулась».</w:t>
      </w:r>
    </w:p>
    <w:p>
      <w:pPr>
        <w:pStyle w:val="BodyText"/>
      </w:pPr>
      <w:r>
        <w:rPr>
          <w:color w:val="231F20"/>
        </w:rPr>
        <w:t>Аф., напротив, привлекал к себе внимание, хулиганил, вступал с педагогами в споры, срывал уроки. Подросток стоял на внутреннем учете в школе, требовал уча- стия психолога в разрешении конфликтов. Изначально ему так же, как и Роз., не удалось влиться в коллектив класса, основной коллектив его не принял, а приняли только маргинальные ребята, с которыми они объединились и стали вместе «шко- дить и шалить на уроках».</w:t>
      </w:r>
    </w:p>
    <w:p>
      <w:pPr>
        <w:pStyle w:val="BodyText"/>
      </w:pPr>
      <w:r>
        <w:rPr>
          <w:color w:val="231F20"/>
        </w:rPr>
        <w:t>На занятиях по театру, по мнению Соловьевой, Аф. «хотел влиться в коллектив, доказав</w:t>
      </w:r>
      <w:r>
        <w:rPr>
          <w:color w:val="231F20"/>
          <w:spacing w:val="-4"/>
        </w:rPr>
        <w:t> </w:t>
      </w:r>
      <w:r>
        <w:rPr>
          <w:color w:val="231F20"/>
        </w:rPr>
        <w:t>свою</w:t>
      </w:r>
      <w:r>
        <w:rPr>
          <w:color w:val="231F20"/>
          <w:spacing w:val="-4"/>
        </w:rPr>
        <w:t> </w:t>
      </w:r>
      <w:r>
        <w:rPr>
          <w:color w:val="231F20"/>
        </w:rPr>
        <w:t>значимость.</w:t>
      </w:r>
      <w:r>
        <w:rPr>
          <w:color w:val="231F20"/>
          <w:spacing w:val="-4"/>
        </w:rPr>
        <w:t> </w:t>
      </w:r>
      <w:r>
        <w:rPr>
          <w:color w:val="231F20"/>
        </w:rPr>
        <w:t>Мальчик</w:t>
      </w:r>
      <w:r>
        <w:rPr>
          <w:color w:val="231F20"/>
          <w:spacing w:val="-4"/>
        </w:rPr>
        <w:t> </w:t>
      </w:r>
      <w:r>
        <w:rPr>
          <w:color w:val="231F20"/>
        </w:rPr>
        <w:t>старался</w:t>
      </w:r>
      <w:r>
        <w:rPr>
          <w:color w:val="231F20"/>
          <w:spacing w:val="-4"/>
        </w:rPr>
        <w:t> </w:t>
      </w:r>
      <w:r>
        <w:rPr>
          <w:color w:val="231F20"/>
        </w:rPr>
        <w:t>быть</w:t>
      </w:r>
      <w:r>
        <w:rPr>
          <w:color w:val="231F20"/>
          <w:spacing w:val="-4"/>
        </w:rPr>
        <w:t> </w:t>
      </w:r>
      <w:r>
        <w:rPr>
          <w:color w:val="231F20"/>
        </w:rPr>
        <w:t>в</w:t>
      </w:r>
      <w:r>
        <w:rPr>
          <w:color w:val="231F20"/>
          <w:spacing w:val="-4"/>
        </w:rPr>
        <w:t> </w:t>
      </w:r>
      <w:r>
        <w:rPr>
          <w:color w:val="231F20"/>
        </w:rPr>
        <w:t>центре</w:t>
      </w:r>
      <w:r>
        <w:rPr>
          <w:color w:val="231F20"/>
          <w:spacing w:val="-4"/>
        </w:rPr>
        <w:t> </w:t>
      </w:r>
      <w:r>
        <w:rPr>
          <w:color w:val="231F20"/>
        </w:rPr>
        <w:t>происходящего,</w:t>
      </w:r>
      <w:r>
        <w:rPr>
          <w:color w:val="231F20"/>
          <w:spacing w:val="-4"/>
        </w:rPr>
        <w:t> </w:t>
      </w:r>
      <w:r>
        <w:rPr>
          <w:color w:val="231F20"/>
        </w:rPr>
        <w:t>постоян- но</w:t>
      </w:r>
      <w:r>
        <w:rPr>
          <w:color w:val="231F20"/>
          <w:spacing w:val="-5"/>
        </w:rPr>
        <w:t> </w:t>
      </w:r>
      <w:r>
        <w:rPr>
          <w:color w:val="231F20"/>
        </w:rPr>
        <w:t>брал</w:t>
      </w:r>
      <w:r>
        <w:rPr>
          <w:color w:val="231F20"/>
          <w:spacing w:val="-5"/>
        </w:rPr>
        <w:t> </w:t>
      </w:r>
      <w:r>
        <w:rPr>
          <w:color w:val="231F20"/>
        </w:rPr>
        <w:t>на</w:t>
      </w:r>
      <w:r>
        <w:rPr>
          <w:color w:val="231F20"/>
          <w:spacing w:val="-5"/>
        </w:rPr>
        <w:t> </w:t>
      </w:r>
      <w:r>
        <w:rPr>
          <w:color w:val="231F20"/>
        </w:rPr>
        <w:t>себя</w:t>
      </w:r>
      <w:r>
        <w:rPr>
          <w:color w:val="231F20"/>
          <w:spacing w:val="-5"/>
        </w:rPr>
        <w:t> </w:t>
      </w:r>
      <w:r>
        <w:rPr>
          <w:color w:val="231F20"/>
        </w:rPr>
        <w:t>инициативу,</w:t>
      </w:r>
      <w:r>
        <w:rPr>
          <w:color w:val="231F20"/>
          <w:spacing w:val="-5"/>
        </w:rPr>
        <w:t> </w:t>
      </w:r>
      <w:r>
        <w:rPr>
          <w:color w:val="231F20"/>
        </w:rPr>
        <w:t>выкрикивал</w:t>
      </w:r>
      <w:r>
        <w:rPr>
          <w:color w:val="231F20"/>
          <w:spacing w:val="-5"/>
        </w:rPr>
        <w:t> </w:t>
      </w:r>
      <w:r>
        <w:rPr>
          <w:color w:val="231F20"/>
        </w:rPr>
        <w:t>ответы</w:t>
      </w:r>
      <w:r>
        <w:rPr>
          <w:color w:val="231F20"/>
          <w:spacing w:val="-5"/>
        </w:rPr>
        <w:t> </w:t>
      </w:r>
      <w:r>
        <w:rPr>
          <w:color w:val="231F20"/>
        </w:rPr>
        <w:t>(часто</w:t>
      </w:r>
      <w:r>
        <w:rPr>
          <w:color w:val="231F20"/>
          <w:spacing w:val="-5"/>
        </w:rPr>
        <w:t> </w:t>
      </w:r>
      <w:r>
        <w:rPr>
          <w:color w:val="231F20"/>
        </w:rPr>
        <w:t>невпопад),</w:t>
      </w:r>
      <w:r>
        <w:rPr>
          <w:color w:val="231F20"/>
          <w:spacing w:val="-5"/>
        </w:rPr>
        <w:t> </w:t>
      </w:r>
      <w:r>
        <w:rPr>
          <w:color w:val="231F20"/>
        </w:rPr>
        <w:t>его</w:t>
      </w:r>
      <w:r>
        <w:rPr>
          <w:color w:val="231F20"/>
          <w:spacing w:val="-5"/>
        </w:rPr>
        <w:t> </w:t>
      </w:r>
      <w:r>
        <w:rPr>
          <w:color w:val="231F20"/>
        </w:rPr>
        <w:t>поведение</w:t>
      </w:r>
      <w:r>
        <w:rPr>
          <w:color w:val="231F20"/>
          <w:spacing w:val="-5"/>
        </w:rPr>
        <w:t> </w:t>
      </w:r>
      <w:r>
        <w:rPr>
          <w:color w:val="231F20"/>
        </w:rPr>
        <w:t>вы- глядело</w:t>
      </w:r>
      <w:r>
        <w:rPr>
          <w:color w:val="231F20"/>
          <w:spacing w:val="-2"/>
        </w:rPr>
        <w:t> </w:t>
      </w:r>
      <w:r>
        <w:rPr>
          <w:color w:val="231F20"/>
        </w:rPr>
        <w:t>вызывающим,</w:t>
      </w:r>
      <w:r>
        <w:rPr>
          <w:color w:val="231F20"/>
          <w:spacing w:val="-2"/>
        </w:rPr>
        <w:t> </w:t>
      </w:r>
      <w:r>
        <w:rPr>
          <w:color w:val="231F20"/>
        </w:rPr>
        <w:t>а</w:t>
      </w:r>
      <w:r>
        <w:rPr>
          <w:color w:val="231F20"/>
          <w:spacing w:val="-2"/>
        </w:rPr>
        <w:t> </w:t>
      </w:r>
      <w:r>
        <w:rPr>
          <w:color w:val="231F20"/>
        </w:rPr>
        <w:t>действия</w:t>
      </w:r>
      <w:r>
        <w:rPr>
          <w:color w:val="231F20"/>
          <w:spacing w:val="-2"/>
        </w:rPr>
        <w:t> </w:t>
      </w:r>
      <w:r>
        <w:rPr>
          <w:color w:val="231F20"/>
        </w:rPr>
        <w:t>не</w:t>
      </w:r>
      <w:r>
        <w:rPr>
          <w:color w:val="231F20"/>
          <w:spacing w:val="-2"/>
        </w:rPr>
        <w:t> </w:t>
      </w:r>
      <w:r>
        <w:rPr>
          <w:color w:val="231F20"/>
        </w:rPr>
        <w:t>отвечали</w:t>
      </w:r>
      <w:r>
        <w:rPr>
          <w:color w:val="231F20"/>
          <w:spacing w:val="-2"/>
        </w:rPr>
        <w:t> </w:t>
      </w:r>
      <w:r>
        <w:rPr>
          <w:color w:val="231F20"/>
        </w:rPr>
        <w:t>требованиям</w:t>
      </w:r>
      <w:r>
        <w:rPr>
          <w:color w:val="231F20"/>
          <w:spacing w:val="-2"/>
        </w:rPr>
        <w:t> </w:t>
      </w:r>
      <w:r>
        <w:rPr>
          <w:color w:val="231F20"/>
        </w:rPr>
        <w:t>задания.</w:t>
      </w:r>
      <w:r>
        <w:rPr>
          <w:color w:val="231F20"/>
          <w:spacing w:val="-2"/>
        </w:rPr>
        <w:t> </w:t>
      </w:r>
      <w:r>
        <w:rPr>
          <w:color w:val="231F20"/>
        </w:rPr>
        <w:t>В</w:t>
      </w:r>
      <w:r>
        <w:rPr>
          <w:color w:val="231F20"/>
          <w:spacing w:val="-2"/>
        </w:rPr>
        <w:t> </w:t>
      </w:r>
      <w:r>
        <w:rPr>
          <w:color w:val="231F20"/>
        </w:rPr>
        <w:t>то</w:t>
      </w:r>
      <w:r>
        <w:rPr>
          <w:color w:val="231F20"/>
          <w:spacing w:val="-2"/>
        </w:rPr>
        <w:t> </w:t>
      </w:r>
      <w:r>
        <w:rPr>
          <w:color w:val="231F20"/>
        </w:rPr>
        <w:t>же</w:t>
      </w:r>
      <w:r>
        <w:rPr>
          <w:color w:val="231F20"/>
          <w:spacing w:val="-2"/>
        </w:rPr>
        <w:t> </w:t>
      </w:r>
      <w:r>
        <w:rPr>
          <w:color w:val="231F20"/>
        </w:rPr>
        <w:t>время</w:t>
      </w:r>
      <w:r>
        <w:rPr>
          <w:color w:val="231F20"/>
          <w:spacing w:val="-2"/>
        </w:rPr>
        <w:t> </w:t>
      </w:r>
      <w:r>
        <w:rPr>
          <w:color w:val="231F20"/>
        </w:rPr>
        <w:t>в рамках</w:t>
      </w:r>
      <w:r>
        <w:rPr>
          <w:color w:val="231F20"/>
          <w:spacing w:val="-8"/>
        </w:rPr>
        <w:t> </w:t>
      </w:r>
      <w:r>
        <w:rPr>
          <w:color w:val="231F20"/>
        </w:rPr>
        <w:t>проекта</w:t>
      </w:r>
      <w:r>
        <w:rPr>
          <w:color w:val="231F20"/>
          <w:spacing w:val="-8"/>
        </w:rPr>
        <w:t> </w:t>
      </w:r>
      <w:r>
        <w:rPr>
          <w:color w:val="231F20"/>
        </w:rPr>
        <w:t>за</w:t>
      </w:r>
      <w:r>
        <w:rPr>
          <w:color w:val="231F20"/>
          <w:spacing w:val="-8"/>
        </w:rPr>
        <w:t> </w:t>
      </w:r>
      <w:r>
        <w:rPr>
          <w:color w:val="231F20"/>
        </w:rPr>
        <w:t>активную</w:t>
      </w:r>
      <w:r>
        <w:rPr>
          <w:color w:val="231F20"/>
          <w:spacing w:val="-8"/>
        </w:rPr>
        <w:t> </w:t>
      </w:r>
      <w:r>
        <w:rPr>
          <w:color w:val="231F20"/>
        </w:rPr>
        <w:t>позицию</w:t>
      </w:r>
      <w:r>
        <w:rPr>
          <w:color w:val="231F20"/>
          <w:spacing w:val="-8"/>
        </w:rPr>
        <w:t> </w:t>
      </w:r>
      <w:r>
        <w:rPr>
          <w:color w:val="231F20"/>
        </w:rPr>
        <w:t>и</w:t>
      </w:r>
      <w:r>
        <w:rPr>
          <w:color w:val="231F20"/>
          <w:spacing w:val="-8"/>
        </w:rPr>
        <w:t> </w:t>
      </w:r>
      <w:r>
        <w:rPr>
          <w:color w:val="231F20"/>
        </w:rPr>
        <w:t>участие</w:t>
      </w:r>
      <w:r>
        <w:rPr>
          <w:color w:val="231F20"/>
          <w:spacing w:val="-8"/>
        </w:rPr>
        <w:t> </w:t>
      </w:r>
      <w:r>
        <w:rPr>
          <w:color w:val="231F20"/>
        </w:rPr>
        <w:t>он</w:t>
      </w:r>
      <w:r>
        <w:rPr>
          <w:color w:val="231F20"/>
          <w:spacing w:val="-8"/>
        </w:rPr>
        <w:t> </w:t>
      </w:r>
      <w:r>
        <w:rPr>
          <w:color w:val="231F20"/>
        </w:rPr>
        <w:t>получал</w:t>
      </w:r>
      <w:r>
        <w:rPr>
          <w:color w:val="231F20"/>
          <w:spacing w:val="-8"/>
        </w:rPr>
        <w:t> </w:t>
      </w:r>
      <w:r>
        <w:rPr>
          <w:color w:val="231F20"/>
        </w:rPr>
        <w:t>одобрение</w:t>
      </w:r>
      <w:r>
        <w:rPr>
          <w:color w:val="231F20"/>
          <w:spacing w:val="-8"/>
        </w:rPr>
        <w:t> </w:t>
      </w:r>
      <w:r>
        <w:rPr>
          <w:color w:val="231F20"/>
        </w:rPr>
        <w:t>педагогов,</w:t>
      </w:r>
      <w:r>
        <w:rPr>
          <w:color w:val="231F20"/>
          <w:spacing w:val="-8"/>
        </w:rPr>
        <w:t> </w:t>
      </w:r>
      <w:r>
        <w:rPr>
          <w:color w:val="231F20"/>
        </w:rPr>
        <w:t>по- ложительный</w:t>
      </w:r>
      <w:r>
        <w:rPr>
          <w:color w:val="231F20"/>
          <w:spacing w:val="-7"/>
        </w:rPr>
        <w:t> </w:t>
      </w:r>
      <w:r>
        <w:rPr>
          <w:color w:val="231F20"/>
        </w:rPr>
        <w:t>отклик</w:t>
      </w:r>
      <w:r>
        <w:rPr>
          <w:color w:val="231F20"/>
          <w:spacing w:val="-7"/>
        </w:rPr>
        <w:t> </w:t>
      </w:r>
      <w:r>
        <w:rPr>
          <w:color w:val="231F20"/>
        </w:rPr>
        <w:t>со</w:t>
      </w:r>
      <w:r>
        <w:rPr>
          <w:color w:val="231F20"/>
          <w:spacing w:val="-7"/>
        </w:rPr>
        <w:t> </w:t>
      </w:r>
      <w:r>
        <w:rPr>
          <w:color w:val="231F20"/>
        </w:rPr>
        <w:t>стороны</w:t>
      </w:r>
      <w:r>
        <w:rPr>
          <w:color w:val="231F20"/>
          <w:spacing w:val="-7"/>
        </w:rPr>
        <w:t> </w:t>
      </w:r>
      <w:r>
        <w:rPr>
          <w:color w:val="231F20"/>
        </w:rPr>
        <w:t>психолога</w:t>
      </w:r>
      <w:r>
        <w:rPr>
          <w:color w:val="231F20"/>
          <w:spacing w:val="-7"/>
        </w:rPr>
        <w:t> </w:t>
      </w:r>
      <w:r>
        <w:rPr>
          <w:color w:val="231F20"/>
        </w:rPr>
        <w:t>–</w:t>
      </w:r>
      <w:r>
        <w:rPr>
          <w:color w:val="231F20"/>
          <w:spacing w:val="-7"/>
        </w:rPr>
        <w:t> </w:t>
      </w:r>
      <w:r>
        <w:rPr>
          <w:color w:val="231F20"/>
        </w:rPr>
        <w:t>его</w:t>
      </w:r>
      <w:r>
        <w:rPr>
          <w:color w:val="231F20"/>
          <w:spacing w:val="-7"/>
        </w:rPr>
        <w:t> </w:t>
      </w:r>
      <w:r>
        <w:rPr>
          <w:color w:val="231F20"/>
        </w:rPr>
        <w:t>хвалили</w:t>
      </w:r>
      <w:r>
        <w:rPr>
          <w:color w:val="231F20"/>
          <w:spacing w:val="-7"/>
        </w:rPr>
        <w:t> </w:t>
      </w:r>
      <w:r>
        <w:rPr>
          <w:color w:val="231F20"/>
        </w:rPr>
        <w:t>и</w:t>
      </w:r>
      <w:r>
        <w:rPr>
          <w:color w:val="231F20"/>
          <w:spacing w:val="-7"/>
        </w:rPr>
        <w:t> </w:t>
      </w:r>
      <w:r>
        <w:rPr>
          <w:color w:val="231F20"/>
        </w:rPr>
        <w:t>принимали,</w:t>
      </w:r>
      <w:r>
        <w:rPr>
          <w:color w:val="231F20"/>
          <w:spacing w:val="-7"/>
        </w:rPr>
        <w:t> </w:t>
      </w:r>
      <w:r>
        <w:rPr>
          <w:color w:val="231F20"/>
        </w:rPr>
        <w:t>чего,</w:t>
      </w:r>
      <w:r>
        <w:rPr>
          <w:color w:val="231F20"/>
          <w:spacing w:val="-7"/>
        </w:rPr>
        <w:t> </w:t>
      </w:r>
      <w:r>
        <w:rPr>
          <w:color w:val="231F20"/>
        </w:rPr>
        <w:t>по</w:t>
      </w:r>
      <w:r>
        <w:rPr>
          <w:color w:val="231F20"/>
          <w:spacing w:val="-7"/>
        </w:rPr>
        <w:t> </w:t>
      </w:r>
      <w:r>
        <w:rPr>
          <w:color w:val="231F20"/>
        </w:rPr>
        <w:t>всей видимости, не происходило на обычных уроках. В ходе реализации проекта у маль- чика</w:t>
      </w:r>
      <w:r>
        <w:rPr>
          <w:color w:val="231F20"/>
          <w:spacing w:val="-12"/>
        </w:rPr>
        <w:t> </w:t>
      </w:r>
      <w:r>
        <w:rPr>
          <w:color w:val="231F20"/>
        </w:rPr>
        <w:t>сложились</w:t>
      </w:r>
      <w:r>
        <w:rPr>
          <w:color w:val="231F20"/>
          <w:spacing w:val="-12"/>
        </w:rPr>
        <w:t> </w:t>
      </w:r>
      <w:r>
        <w:rPr>
          <w:color w:val="231F20"/>
        </w:rPr>
        <w:t>доверительные</w:t>
      </w:r>
      <w:r>
        <w:rPr>
          <w:color w:val="231F20"/>
          <w:spacing w:val="-12"/>
        </w:rPr>
        <w:t> </w:t>
      </w:r>
      <w:r>
        <w:rPr>
          <w:color w:val="231F20"/>
        </w:rPr>
        <w:t>отношения</w:t>
      </w:r>
      <w:r>
        <w:rPr>
          <w:color w:val="231F20"/>
          <w:spacing w:val="-12"/>
        </w:rPr>
        <w:t> </w:t>
      </w:r>
      <w:r>
        <w:rPr>
          <w:color w:val="231F20"/>
        </w:rPr>
        <w:t>со</w:t>
      </w:r>
      <w:r>
        <w:rPr>
          <w:color w:val="231F20"/>
          <w:spacing w:val="-12"/>
        </w:rPr>
        <w:t> </w:t>
      </w:r>
      <w:r>
        <w:rPr>
          <w:color w:val="231F20"/>
        </w:rPr>
        <w:t>школьным</w:t>
      </w:r>
      <w:r>
        <w:rPr>
          <w:color w:val="231F20"/>
          <w:spacing w:val="-12"/>
        </w:rPr>
        <w:t> </w:t>
      </w:r>
      <w:r>
        <w:rPr>
          <w:color w:val="231F20"/>
        </w:rPr>
        <w:t>психологом,</w:t>
      </w:r>
      <w:r>
        <w:rPr>
          <w:color w:val="231F20"/>
          <w:spacing w:val="-12"/>
        </w:rPr>
        <w:t> </w:t>
      </w:r>
      <w:r>
        <w:rPr>
          <w:color w:val="231F20"/>
        </w:rPr>
        <w:t>он</w:t>
      </w:r>
      <w:r>
        <w:rPr>
          <w:color w:val="231F20"/>
          <w:spacing w:val="-12"/>
        </w:rPr>
        <w:t> </w:t>
      </w:r>
      <w:r>
        <w:rPr>
          <w:color w:val="231F20"/>
        </w:rPr>
        <w:t>стал</w:t>
      </w:r>
      <w:r>
        <w:rPr>
          <w:color w:val="231F20"/>
          <w:spacing w:val="-12"/>
        </w:rPr>
        <w:t> </w:t>
      </w:r>
      <w:r>
        <w:rPr>
          <w:color w:val="231F20"/>
        </w:rPr>
        <w:t>легче</w:t>
      </w:r>
      <w:r>
        <w:rPr>
          <w:color w:val="231F20"/>
          <w:spacing w:val="-12"/>
        </w:rPr>
        <w:t> </w:t>
      </w:r>
      <w:r>
        <w:rPr>
          <w:color w:val="231F20"/>
        </w:rPr>
        <w:t>и охотнее</w:t>
      </w:r>
      <w:r>
        <w:rPr>
          <w:color w:val="231F20"/>
          <w:spacing w:val="-10"/>
        </w:rPr>
        <w:t> </w:t>
      </w:r>
      <w:r>
        <w:rPr>
          <w:color w:val="231F20"/>
        </w:rPr>
        <w:t>обсуждать</w:t>
      </w:r>
      <w:r>
        <w:rPr>
          <w:color w:val="231F20"/>
          <w:spacing w:val="-10"/>
        </w:rPr>
        <w:t> </w:t>
      </w:r>
      <w:r>
        <w:rPr>
          <w:color w:val="231F20"/>
        </w:rPr>
        <w:t>свое</w:t>
      </w:r>
      <w:r>
        <w:rPr>
          <w:color w:val="231F20"/>
          <w:spacing w:val="-10"/>
        </w:rPr>
        <w:t> </w:t>
      </w:r>
      <w:r>
        <w:rPr>
          <w:color w:val="231F20"/>
        </w:rPr>
        <w:t>поведение.</w:t>
      </w:r>
      <w:r>
        <w:rPr>
          <w:color w:val="231F20"/>
          <w:spacing w:val="-10"/>
        </w:rPr>
        <w:t> </w:t>
      </w:r>
      <w:r>
        <w:rPr>
          <w:color w:val="231F20"/>
        </w:rPr>
        <w:t>У</w:t>
      </w:r>
      <w:r>
        <w:rPr>
          <w:color w:val="231F20"/>
          <w:spacing w:val="-10"/>
        </w:rPr>
        <w:t> </w:t>
      </w:r>
      <w:r>
        <w:rPr>
          <w:color w:val="231F20"/>
        </w:rPr>
        <w:t>него</w:t>
      </w:r>
      <w:r>
        <w:rPr>
          <w:color w:val="231F20"/>
          <w:spacing w:val="-10"/>
        </w:rPr>
        <w:t> </w:t>
      </w:r>
      <w:r>
        <w:rPr>
          <w:color w:val="231F20"/>
        </w:rPr>
        <w:t>появилось</w:t>
      </w:r>
      <w:r>
        <w:rPr>
          <w:color w:val="231F20"/>
          <w:spacing w:val="-10"/>
        </w:rPr>
        <w:t> </w:t>
      </w:r>
      <w:r>
        <w:rPr>
          <w:color w:val="231F20"/>
        </w:rPr>
        <w:t>осознание</w:t>
      </w:r>
      <w:r>
        <w:rPr>
          <w:color w:val="231F20"/>
          <w:spacing w:val="-10"/>
        </w:rPr>
        <w:t> </w:t>
      </w:r>
      <w:r>
        <w:rPr>
          <w:color w:val="231F20"/>
        </w:rPr>
        <w:t>проступков,</w:t>
      </w:r>
      <w:r>
        <w:rPr>
          <w:color w:val="231F20"/>
          <w:spacing w:val="-10"/>
        </w:rPr>
        <w:t> </w:t>
      </w:r>
      <w:r>
        <w:rPr>
          <w:color w:val="231F20"/>
        </w:rPr>
        <w:t>вызыва- ющего поведения, ему стало проще вместе с психологом обсуждать, что случилось, и</w:t>
      </w:r>
      <w:r>
        <w:rPr>
          <w:color w:val="231F20"/>
          <w:spacing w:val="-12"/>
        </w:rPr>
        <w:t> </w:t>
      </w:r>
      <w:r>
        <w:rPr>
          <w:color w:val="231F20"/>
        </w:rPr>
        <w:t>совместно</w:t>
      </w:r>
      <w:r>
        <w:rPr>
          <w:color w:val="231F20"/>
          <w:spacing w:val="-9"/>
        </w:rPr>
        <w:t> </w:t>
      </w:r>
      <w:r>
        <w:rPr>
          <w:color w:val="231F20"/>
        </w:rPr>
        <w:t>находить</w:t>
      </w:r>
      <w:r>
        <w:rPr>
          <w:color w:val="231F20"/>
          <w:spacing w:val="-10"/>
        </w:rPr>
        <w:t> </w:t>
      </w:r>
      <w:r>
        <w:rPr>
          <w:color w:val="231F20"/>
        </w:rPr>
        <w:t>выход</w:t>
      </w:r>
      <w:r>
        <w:rPr>
          <w:color w:val="231F20"/>
          <w:spacing w:val="-9"/>
        </w:rPr>
        <w:t> </w:t>
      </w:r>
      <w:r>
        <w:rPr>
          <w:color w:val="231F20"/>
        </w:rPr>
        <w:t>из</w:t>
      </w:r>
      <w:r>
        <w:rPr>
          <w:color w:val="231F20"/>
          <w:spacing w:val="-10"/>
        </w:rPr>
        <w:t> </w:t>
      </w:r>
      <w:r>
        <w:rPr>
          <w:color w:val="231F20"/>
        </w:rPr>
        <w:t>ситуации.</w:t>
      </w:r>
      <w:r>
        <w:rPr>
          <w:color w:val="231F20"/>
          <w:spacing w:val="-9"/>
        </w:rPr>
        <w:t> </w:t>
      </w:r>
      <w:r>
        <w:rPr>
          <w:color w:val="231F20"/>
        </w:rPr>
        <w:t>При</w:t>
      </w:r>
      <w:r>
        <w:rPr>
          <w:color w:val="231F20"/>
          <w:spacing w:val="-10"/>
        </w:rPr>
        <w:t> </w:t>
      </w:r>
      <w:r>
        <w:rPr>
          <w:color w:val="231F20"/>
        </w:rPr>
        <w:t>этом</w:t>
      </w:r>
      <w:r>
        <w:rPr>
          <w:color w:val="231F20"/>
          <w:spacing w:val="-9"/>
        </w:rPr>
        <w:t> </w:t>
      </w:r>
      <w:r>
        <w:rPr>
          <w:color w:val="231F20"/>
        </w:rPr>
        <w:t>школьный</w:t>
      </w:r>
      <w:r>
        <w:rPr>
          <w:color w:val="231F20"/>
          <w:spacing w:val="-10"/>
        </w:rPr>
        <w:t> </w:t>
      </w:r>
      <w:r>
        <w:rPr>
          <w:color w:val="231F20"/>
        </w:rPr>
        <w:t>психолог</w:t>
      </w:r>
      <w:r>
        <w:rPr>
          <w:color w:val="231F20"/>
          <w:spacing w:val="-9"/>
        </w:rPr>
        <w:t> </w:t>
      </w:r>
      <w:r>
        <w:rPr>
          <w:color w:val="231F20"/>
        </w:rPr>
        <w:t>отметил,</w:t>
      </w:r>
      <w:r>
        <w:rPr>
          <w:color w:val="231F20"/>
          <w:spacing w:val="-9"/>
        </w:rPr>
        <w:t> </w:t>
      </w:r>
      <w:r>
        <w:rPr>
          <w:color w:val="231F20"/>
          <w:spacing w:val="-5"/>
        </w:rPr>
        <w:t>что</w:t>
      </w:r>
    </w:p>
    <w:p>
      <w:pPr>
        <w:pStyle w:val="BodyText"/>
        <w:spacing w:line="237" w:lineRule="auto" w:before="2"/>
        <w:ind w:firstLine="0"/>
      </w:pPr>
      <w:r>
        <w:rPr>
          <w:color w:val="231F20"/>
        </w:rPr>
        <w:t>«у Аф. развились рефлексивные навыки»: он начал сам больше и четче объяснять, что</w:t>
      </w:r>
      <w:r>
        <w:rPr>
          <w:color w:val="231F20"/>
          <w:spacing w:val="-8"/>
        </w:rPr>
        <w:t> </w:t>
      </w:r>
      <w:r>
        <w:rPr>
          <w:color w:val="231F20"/>
        </w:rPr>
        <w:t>и</w:t>
      </w:r>
      <w:r>
        <w:rPr>
          <w:color w:val="231F20"/>
          <w:spacing w:val="-8"/>
        </w:rPr>
        <w:t> </w:t>
      </w:r>
      <w:r>
        <w:rPr>
          <w:color w:val="231F20"/>
        </w:rPr>
        <w:t>как</w:t>
      </w:r>
      <w:r>
        <w:rPr>
          <w:color w:val="231F20"/>
          <w:spacing w:val="-8"/>
        </w:rPr>
        <w:t> </w:t>
      </w:r>
      <w:r>
        <w:rPr>
          <w:color w:val="231F20"/>
        </w:rPr>
        <w:t>произошло,</w:t>
      </w:r>
      <w:r>
        <w:rPr>
          <w:color w:val="231F20"/>
          <w:spacing w:val="-8"/>
        </w:rPr>
        <w:t> </w:t>
      </w:r>
      <w:r>
        <w:rPr>
          <w:color w:val="231F20"/>
        </w:rPr>
        <w:t>почему</w:t>
      </w:r>
      <w:r>
        <w:rPr>
          <w:color w:val="231F20"/>
          <w:spacing w:val="-8"/>
        </w:rPr>
        <w:t> </w:t>
      </w:r>
      <w:r>
        <w:rPr>
          <w:color w:val="231F20"/>
        </w:rPr>
        <w:t>что-то</w:t>
      </w:r>
      <w:r>
        <w:rPr>
          <w:color w:val="231F20"/>
          <w:spacing w:val="-8"/>
        </w:rPr>
        <w:t> </w:t>
      </w:r>
      <w:r>
        <w:rPr>
          <w:color w:val="231F20"/>
        </w:rPr>
        <w:t>случилось</w:t>
      </w:r>
      <w:r>
        <w:rPr>
          <w:color w:val="231F20"/>
          <w:spacing w:val="-8"/>
        </w:rPr>
        <w:t> </w:t>
      </w:r>
      <w:r>
        <w:rPr>
          <w:color w:val="231F20"/>
        </w:rPr>
        <w:t>и</w:t>
      </w:r>
      <w:r>
        <w:rPr>
          <w:color w:val="231F20"/>
          <w:spacing w:val="-8"/>
        </w:rPr>
        <w:t> </w:t>
      </w:r>
      <w:r>
        <w:rPr>
          <w:color w:val="231F20"/>
        </w:rPr>
        <w:t>как</w:t>
      </w:r>
      <w:r>
        <w:rPr>
          <w:color w:val="231F20"/>
          <w:spacing w:val="-8"/>
        </w:rPr>
        <w:t> </w:t>
      </w:r>
      <w:r>
        <w:rPr>
          <w:color w:val="231F20"/>
        </w:rPr>
        <w:t>он</w:t>
      </w:r>
      <w:r>
        <w:rPr>
          <w:color w:val="231F20"/>
          <w:spacing w:val="-8"/>
        </w:rPr>
        <w:t> </w:t>
      </w:r>
      <w:r>
        <w:rPr>
          <w:color w:val="231F20"/>
        </w:rPr>
        <w:t>себя</w:t>
      </w:r>
      <w:r>
        <w:rPr>
          <w:color w:val="231F20"/>
          <w:spacing w:val="-8"/>
        </w:rPr>
        <w:t> </w:t>
      </w:r>
      <w:r>
        <w:rPr>
          <w:color w:val="231F20"/>
        </w:rPr>
        <w:t>при</w:t>
      </w:r>
      <w:r>
        <w:rPr>
          <w:color w:val="231F20"/>
          <w:spacing w:val="-8"/>
        </w:rPr>
        <w:t> </w:t>
      </w:r>
      <w:r>
        <w:rPr>
          <w:color w:val="231F20"/>
        </w:rPr>
        <w:t>этом</w:t>
      </w:r>
      <w:r>
        <w:rPr>
          <w:color w:val="231F20"/>
          <w:spacing w:val="-8"/>
        </w:rPr>
        <w:t> </w:t>
      </w:r>
      <w:r>
        <w:rPr>
          <w:color w:val="231F20"/>
        </w:rPr>
        <w:t>чувствовал.</w:t>
      </w:r>
      <w:r>
        <w:rPr>
          <w:color w:val="231F20"/>
          <w:spacing w:val="-8"/>
        </w:rPr>
        <w:t> </w:t>
      </w:r>
      <w:r>
        <w:rPr>
          <w:color w:val="231F20"/>
        </w:rPr>
        <w:t>По мнению Агеева, главным результатом участия в проекте стало то, что Аф. оказался перед</w:t>
      </w:r>
      <w:r>
        <w:rPr>
          <w:color w:val="231F20"/>
          <w:spacing w:val="-1"/>
        </w:rPr>
        <w:t> </w:t>
      </w:r>
      <w:r>
        <w:rPr>
          <w:color w:val="231F20"/>
        </w:rPr>
        <w:t>выбором</w:t>
      </w:r>
      <w:r>
        <w:rPr>
          <w:color w:val="231F20"/>
          <w:spacing w:val="-1"/>
        </w:rPr>
        <w:t> </w:t>
      </w:r>
      <w:r>
        <w:rPr>
          <w:color w:val="231F20"/>
        </w:rPr>
        <w:t>–</w:t>
      </w:r>
      <w:r>
        <w:rPr>
          <w:color w:val="231F20"/>
          <w:spacing w:val="-1"/>
        </w:rPr>
        <w:t> </w:t>
      </w:r>
      <w:r>
        <w:rPr>
          <w:color w:val="231F20"/>
        </w:rPr>
        <w:t>продолжать</w:t>
      </w:r>
      <w:r>
        <w:rPr>
          <w:color w:val="231F20"/>
          <w:spacing w:val="-1"/>
        </w:rPr>
        <w:t> </w:t>
      </w:r>
      <w:r>
        <w:rPr>
          <w:color w:val="231F20"/>
        </w:rPr>
        <w:t>некорректно</w:t>
      </w:r>
      <w:r>
        <w:rPr>
          <w:color w:val="231F20"/>
          <w:spacing w:val="-1"/>
        </w:rPr>
        <w:t> </w:t>
      </w:r>
      <w:r>
        <w:rPr>
          <w:color w:val="231F20"/>
        </w:rPr>
        <w:t>вести</w:t>
      </w:r>
      <w:r>
        <w:rPr>
          <w:color w:val="231F20"/>
          <w:spacing w:val="-1"/>
        </w:rPr>
        <w:t> </w:t>
      </w:r>
      <w:r>
        <w:rPr>
          <w:color w:val="231F20"/>
        </w:rPr>
        <w:t>себя</w:t>
      </w:r>
      <w:r>
        <w:rPr>
          <w:color w:val="231F20"/>
          <w:spacing w:val="-1"/>
        </w:rPr>
        <w:t> </w:t>
      </w:r>
      <w:r>
        <w:rPr>
          <w:color w:val="231F20"/>
        </w:rPr>
        <w:t>с</w:t>
      </w:r>
      <w:r>
        <w:rPr>
          <w:color w:val="231F20"/>
          <w:spacing w:val="-1"/>
        </w:rPr>
        <w:t> </w:t>
      </w:r>
      <w:r>
        <w:rPr>
          <w:color w:val="231F20"/>
        </w:rPr>
        <w:t>учителями,</w:t>
      </w:r>
      <w:r>
        <w:rPr>
          <w:color w:val="231F20"/>
          <w:spacing w:val="-1"/>
        </w:rPr>
        <w:t> </w:t>
      </w:r>
      <w:r>
        <w:rPr>
          <w:color w:val="231F20"/>
        </w:rPr>
        <w:t>будучи</w:t>
      </w:r>
      <w:r>
        <w:rPr>
          <w:color w:val="231F20"/>
          <w:spacing w:val="-1"/>
        </w:rPr>
        <w:t> </w:t>
      </w:r>
      <w:r>
        <w:rPr>
          <w:color w:val="231F20"/>
        </w:rPr>
        <w:t>поощряе- мым маргинальными ребятами из класса, или, наоборот, проявить себя положитель- но,</w:t>
      </w:r>
      <w:r>
        <w:rPr>
          <w:color w:val="231F20"/>
          <w:spacing w:val="-13"/>
        </w:rPr>
        <w:t> </w:t>
      </w:r>
      <w:r>
        <w:rPr>
          <w:color w:val="231F20"/>
        </w:rPr>
        <w:t>начать</w:t>
      </w:r>
      <w:r>
        <w:rPr>
          <w:color w:val="231F20"/>
          <w:spacing w:val="-12"/>
        </w:rPr>
        <w:t> </w:t>
      </w:r>
      <w:r>
        <w:rPr>
          <w:color w:val="231F20"/>
        </w:rPr>
        <w:t>прислушиваться</w:t>
      </w:r>
      <w:r>
        <w:rPr>
          <w:color w:val="231F20"/>
          <w:spacing w:val="-13"/>
        </w:rPr>
        <w:t> </w:t>
      </w:r>
      <w:r>
        <w:rPr>
          <w:color w:val="231F20"/>
        </w:rPr>
        <w:t>к</w:t>
      </w:r>
      <w:r>
        <w:rPr>
          <w:color w:val="231F20"/>
          <w:spacing w:val="-12"/>
        </w:rPr>
        <w:t> </w:t>
      </w:r>
      <w:r>
        <w:rPr>
          <w:color w:val="231F20"/>
        </w:rPr>
        <w:t>учителям,</w:t>
      </w:r>
      <w:r>
        <w:rPr>
          <w:color w:val="231F20"/>
          <w:spacing w:val="-13"/>
        </w:rPr>
        <w:t> </w:t>
      </w:r>
      <w:r>
        <w:rPr>
          <w:color w:val="231F20"/>
        </w:rPr>
        <w:t>все</w:t>
      </w:r>
      <w:r>
        <w:rPr>
          <w:color w:val="231F20"/>
          <w:spacing w:val="-12"/>
        </w:rPr>
        <w:t> </w:t>
      </w:r>
      <w:r>
        <w:rPr>
          <w:color w:val="231F20"/>
        </w:rPr>
        <w:t>более</w:t>
      </w:r>
      <w:r>
        <w:rPr>
          <w:color w:val="231F20"/>
          <w:spacing w:val="-13"/>
        </w:rPr>
        <w:t> </w:t>
      </w:r>
      <w:r>
        <w:rPr>
          <w:color w:val="231F20"/>
        </w:rPr>
        <w:t>уверенно</w:t>
      </w:r>
      <w:r>
        <w:rPr>
          <w:color w:val="231F20"/>
          <w:spacing w:val="-12"/>
        </w:rPr>
        <w:t> </w:t>
      </w:r>
      <w:r>
        <w:rPr>
          <w:color w:val="231F20"/>
        </w:rPr>
        <w:t>и</w:t>
      </w:r>
      <w:r>
        <w:rPr>
          <w:color w:val="231F20"/>
          <w:spacing w:val="-13"/>
        </w:rPr>
        <w:t> </w:t>
      </w:r>
      <w:r>
        <w:rPr>
          <w:color w:val="231F20"/>
        </w:rPr>
        <w:t>«без</w:t>
      </w:r>
      <w:r>
        <w:rPr>
          <w:color w:val="231F20"/>
          <w:spacing w:val="-12"/>
        </w:rPr>
        <w:t> </w:t>
      </w:r>
      <w:r>
        <w:rPr>
          <w:color w:val="231F20"/>
        </w:rPr>
        <w:t>оглядки»</w:t>
      </w:r>
      <w:r>
        <w:rPr>
          <w:color w:val="231F20"/>
          <w:spacing w:val="-13"/>
        </w:rPr>
        <w:t> </w:t>
      </w:r>
      <w:r>
        <w:rPr>
          <w:color w:val="231F20"/>
        </w:rPr>
        <w:t>проявлять свои таланты. Через год после завершения проекта школьный психолог прокоммен- тировал долгосрочные результаты участия Аф. в театральной деятельности. В част- ности,</w:t>
      </w:r>
      <w:r>
        <w:rPr>
          <w:color w:val="231F20"/>
          <w:spacing w:val="-4"/>
        </w:rPr>
        <w:t> </w:t>
      </w:r>
      <w:r>
        <w:rPr>
          <w:color w:val="231F20"/>
        </w:rPr>
        <w:t>он</w:t>
      </w:r>
      <w:r>
        <w:rPr>
          <w:color w:val="231F20"/>
          <w:spacing w:val="-4"/>
        </w:rPr>
        <w:t> </w:t>
      </w:r>
      <w:r>
        <w:rPr>
          <w:color w:val="231F20"/>
        </w:rPr>
        <w:t>высказал</w:t>
      </w:r>
      <w:r>
        <w:rPr>
          <w:color w:val="231F20"/>
          <w:spacing w:val="-4"/>
        </w:rPr>
        <w:t> </w:t>
      </w:r>
      <w:r>
        <w:rPr>
          <w:color w:val="231F20"/>
        </w:rPr>
        <w:t>мнение,</w:t>
      </w:r>
      <w:r>
        <w:rPr>
          <w:color w:val="231F20"/>
          <w:spacing w:val="-4"/>
        </w:rPr>
        <w:t> </w:t>
      </w:r>
      <w:r>
        <w:rPr>
          <w:color w:val="231F20"/>
        </w:rPr>
        <w:t>что</w:t>
      </w:r>
      <w:r>
        <w:rPr>
          <w:color w:val="231F20"/>
          <w:spacing w:val="-4"/>
        </w:rPr>
        <w:t> </w:t>
      </w:r>
      <w:r>
        <w:rPr>
          <w:color w:val="231F20"/>
        </w:rPr>
        <w:t>Аф.</w:t>
      </w:r>
      <w:r>
        <w:rPr>
          <w:color w:val="231F20"/>
          <w:spacing w:val="-4"/>
        </w:rPr>
        <w:t> </w:t>
      </w:r>
      <w:r>
        <w:rPr>
          <w:color w:val="231F20"/>
        </w:rPr>
        <w:t>сделал</w:t>
      </w:r>
      <w:r>
        <w:rPr>
          <w:color w:val="231F20"/>
          <w:spacing w:val="-4"/>
        </w:rPr>
        <w:t> </w:t>
      </w:r>
      <w:r>
        <w:rPr>
          <w:color w:val="231F20"/>
        </w:rPr>
        <w:t>выбор</w:t>
      </w:r>
      <w:r>
        <w:rPr>
          <w:color w:val="231F20"/>
          <w:spacing w:val="-4"/>
        </w:rPr>
        <w:t> </w:t>
      </w:r>
      <w:r>
        <w:rPr>
          <w:color w:val="231F20"/>
        </w:rPr>
        <w:t>в</w:t>
      </w:r>
      <w:r>
        <w:rPr>
          <w:color w:val="231F20"/>
          <w:spacing w:val="-4"/>
        </w:rPr>
        <w:t> </w:t>
      </w:r>
      <w:r>
        <w:rPr>
          <w:color w:val="231F20"/>
        </w:rPr>
        <w:t>пользу</w:t>
      </w:r>
      <w:r>
        <w:rPr>
          <w:color w:val="231F20"/>
          <w:spacing w:val="-4"/>
        </w:rPr>
        <w:t> </w:t>
      </w:r>
      <w:r>
        <w:rPr>
          <w:color w:val="231F20"/>
        </w:rPr>
        <w:t>второго</w:t>
      </w:r>
      <w:r>
        <w:rPr>
          <w:color w:val="231F20"/>
          <w:spacing w:val="-4"/>
        </w:rPr>
        <w:t> </w:t>
      </w:r>
      <w:r>
        <w:rPr>
          <w:color w:val="231F20"/>
        </w:rPr>
        <w:t>пути,</w:t>
      </w:r>
      <w:r>
        <w:rPr>
          <w:color w:val="231F20"/>
          <w:spacing w:val="-4"/>
        </w:rPr>
        <w:t> </w:t>
      </w:r>
      <w:r>
        <w:rPr>
          <w:color w:val="231F20"/>
        </w:rPr>
        <w:t>постепенно осознавая значимость адекватной коммуникации и ценность образования.</w:t>
      </w:r>
    </w:p>
    <w:p>
      <w:pPr>
        <w:pStyle w:val="BodyText"/>
        <w:spacing w:line="235" w:lineRule="auto"/>
      </w:pPr>
      <w:r>
        <w:rPr>
          <w:color w:val="231F20"/>
        </w:rPr>
        <w:t>Помимо анализа экспертного мнения педагогов и психолога, проектной группой ЦМИСД было проведено входное и выходное тестирование участников проекта и подростков из контрольных групп. В частности, была проведена диагностика в об- ласти метакогнитивной включенности в деятельность (Опросник MAI Г. Шроу, Р. Деннисон в адаптации Карпова А.В. и Скитяевой И.М. – Карпов, Скитяева, 2005). Полученные данные показывают развитие метакогнитивных умений </w:t>
      </w:r>
      <w:r>
        <w:rPr>
          <w:i/>
          <w:color w:val="231F20"/>
        </w:rPr>
        <w:t>(metacognitive skills)</w:t>
      </w:r>
      <w:r>
        <w:rPr>
          <w:color w:val="231F20"/>
        </w:rPr>
        <w:t>, что подтверждает улучшение метапредметных образовательных результатов, включая навыки анализа задания, планирования, контроля и мониторинга, проверки </w:t>
      </w:r>
      <w:r>
        <w:rPr>
          <w:color w:val="231F20"/>
          <w:spacing w:val="-2"/>
        </w:rPr>
        <w:t>правильности выполнения задания, оценки проделанной работы и подведение итогов. </w:t>
      </w:r>
      <w:r>
        <w:rPr>
          <w:color w:val="231F20"/>
        </w:rPr>
        <w:t>Все</w:t>
      </w:r>
      <w:r>
        <w:rPr>
          <w:color w:val="231F20"/>
          <w:spacing w:val="-8"/>
        </w:rPr>
        <w:t> </w:t>
      </w:r>
      <w:r>
        <w:rPr>
          <w:color w:val="231F20"/>
        </w:rPr>
        <w:t>перечисленные</w:t>
      </w:r>
      <w:r>
        <w:rPr>
          <w:color w:val="231F20"/>
          <w:spacing w:val="-8"/>
        </w:rPr>
        <w:t> </w:t>
      </w:r>
      <w:r>
        <w:rPr>
          <w:color w:val="231F20"/>
        </w:rPr>
        <w:t>компоненты</w:t>
      </w:r>
      <w:r>
        <w:rPr>
          <w:color w:val="231F20"/>
          <w:spacing w:val="-8"/>
        </w:rPr>
        <w:t> </w:t>
      </w:r>
      <w:r>
        <w:rPr>
          <w:color w:val="231F20"/>
        </w:rPr>
        <w:t>метапредметных</w:t>
      </w:r>
      <w:r>
        <w:rPr>
          <w:color w:val="231F20"/>
          <w:spacing w:val="-8"/>
        </w:rPr>
        <w:t> </w:t>
      </w:r>
      <w:r>
        <w:rPr>
          <w:color w:val="231F20"/>
        </w:rPr>
        <w:t>результатов</w:t>
      </w:r>
      <w:r>
        <w:rPr>
          <w:color w:val="231F20"/>
          <w:spacing w:val="-8"/>
        </w:rPr>
        <w:t> </w:t>
      </w:r>
      <w:r>
        <w:rPr>
          <w:color w:val="231F20"/>
        </w:rPr>
        <w:t>входят</w:t>
      </w:r>
      <w:r>
        <w:rPr>
          <w:color w:val="231F20"/>
          <w:spacing w:val="-8"/>
        </w:rPr>
        <w:t> </w:t>
      </w:r>
      <w:r>
        <w:rPr>
          <w:color w:val="231F20"/>
        </w:rPr>
        <w:t>в</w:t>
      </w:r>
      <w:r>
        <w:rPr>
          <w:color w:val="231F20"/>
          <w:spacing w:val="-8"/>
        </w:rPr>
        <w:t> </w:t>
      </w:r>
      <w:r>
        <w:rPr>
          <w:color w:val="231F20"/>
        </w:rPr>
        <w:t>состав</w:t>
      </w:r>
      <w:r>
        <w:rPr>
          <w:color w:val="231F20"/>
          <w:spacing w:val="-8"/>
        </w:rPr>
        <w:t> </w:t>
      </w:r>
      <w:r>
        <w:rPr>
          <w:color w:val="231F20"/>
        </w:rPr>
        <w:t>позна- вательных и регулятивных универсальных учебных действий согласно ФГОС ООО </w:t>
      </w:r>
      <w:r>
        <w:rPr>
          <w:color w:val="231F20"/>
          <w:spacing w:val="-2"/>
        </w:rPr>
        <w:t>(ФГОС</w:t>
      </w:r>
      <w:r>
        <w:rPr>
          <w:color w:val="231F20"/>
          <w:spacing w:val="-9"/>
        </w:rPr>
        <w:t> </w:t>
      </w:r>
      <w:r>
        <w:rPr>
          <w:color w:val="231F20"/>
          <w:spacing w:val="-2"/>
        </w:rPr>
        <w:t>ООО,</w:t>
      </w:r>
      <w:r>
        <w:rPr>
          <w:color w:val="231F20"/>
          <w:spacing w:val="-9"/>
        </w:rPr>
        <w:t> </w:t>
      </w:r>
      <w:r>
        <w:rPr>
          <w:color w:val="231F20"/>
          <w:spacing w:val="-2"/>
        </w:rPr>
        <w:t>Приказ</w:t>
      </w:r>
      <w:r>
        <w:rPr>
          <w:color w:val="231F20"/>
          <w:spacing w:val="-9"/>
        </w:rPr>
        <w:t> </w:t>
      </w:r>
      <w:r>
        <w:rPr>
          <w:color w:val="231F20"/>
          <w:spacing w:val="-2"/>
        </w:rPr>
        <w:t>Министерства</w:t>
      </w:r>
      <w:r>
        <w:rPr>
          <w:color w:val="231F20"/>
          <w:spacing w:val="-9"/>
        </w:rPr>
        <w:t> </w:t>
      </w:r>
      <w:r>
        <w:rPr>
          <w:color w:val="231F20"/>
          <w:spacing w:val="-2"/>
        </w:rPr>
        <w:t>просвещения</w:t>
      </w:r>
      <w:r>
        <w:rPr>
          <w:color w:val="231F20"/>
          <w:spacing w:val="-9"/>
        </w:rPr>
        <w:t> </w:t>
      </w:r>
      <w:r>
        <w:rPr>
          <w:color w:val="231F20"/>
          <w:spacing w:val="-2"/>
        </w:rPr>
        <w:t>РФ</w:t>
      </w:r>
      <w:r>
        <w:rPr>
          <w:color w:val="231F20"/>
          <w:spacing w:val="-9"/>
        </w:rPr>
        <w:t> </w:t>
      </w:r>
      <w:r>
        <w:rPr>
          <w:color w:val="231F20"/>
          <w:spacing w:val="-2"/>
        </w:rPr>
        <w:t>от</w:t>
      </w:r>
      <w:r>
        <w:rPr>
          <w:color w:val="231F20"/>
          <w:spacing w:val="-9"/>
        </w:rPr>
        <w:t> </w:t>
      </w:r>
      <w:r>
        <w:rPr>
          <w:color w:val="231F20"/>
          <w:spacing w:val="-2"/>
        </w:rPr>
        <w:t>31</w:t>
      </w:r>
      <w:r>
        <w:rPr>
          <w:color w:val="231F20"/>
          <w:spacing w:val="-9"/>
        </w:rPr>
        <w:t> </w:t>
      </w:r>
      <w:r>
        <w:rPr>
          <w:color w:val="231F20"/>
          <w:spacing w:val="-2"/>
        </w:rPr>
        <w:t>мая</w:t>
      </w:r>
      <w:r>
        <w:rPr>
          <w:color w:val="231F20"/>
          <w:spacing w:val="-9"/>
        </w:rPr>
        <w:t> </w:t>
      </w:r>
      <w:r>
        <w:rPr>
          <w:color w:val="231F20"/>
          <w:spacing w:val="-2"/>
        </w:rPr>
        <w:t>2021</w:t>
      </w:r>
      <w:r>
        <w:rPr>
          <w:color w:val="231F20"/>
          <w:spacing w:val="-9"/>
        </w:rPr>
        <w:t> </w:t>
      </w:r>
      <w:r>
        <w:rPr>
          <w:color w:val="231F20"/>
          <w:spacing w:val="-2"/>
        </w:rPr>
        <w:t>г.</w:t>
      </w:r>
      <w:r>
        <w:rPr>
          <w:color w:val="231F20"/>
          <w:spacing w:val="-9"/>
        </w:rPr>
        <w:t> </w:t>
      </w:r>
      <w:r>
        <w:rPr>
          <w:color w:val="231F20"/>
          <w:spacing w:val="-2"/>
        </w:rPr>
        <w:t>№</w:t>
      </w:r>
      <w:r>
        <w:rPr>
          <w:color w:val="231F20"/>
        </w:rPr>
        <w:t> </w:t>
      </w:r>
      <w:r>
        <w:rPr>
          <w:color w:val="231F20"/>
          <w:spacing w:val="-2"/>
        </w:rPr>
        <w:t>287).</w:t>
      </w:r>
      <w:r>
        <w:rPr>
          <w:color w:val="231F20"/>
          <w:spacing w:val="-9"/>
        </w:rPr>
        <w:t> </w:t>
      </w:r>
      <w:r>
        <w:rPr>
          <w:color w:val="231F20"/>
          <w:spacing w:val="-2"/>
        </w:rPr>
        <w:t>Резуль- таты</w:t>
      </w:r>
      <w:r>
        <w:rPr>
          <w:color w:val="231F20"/>
          <w:spacing w:val="-4"/>
        </w:rPr>
        <w:t> </w:t>
      </w:r>
      <w:r>
        <w:rPr>
          <w:color w:val="231F20"/>
          <w:spacing w:val="-2"/>
        </w:rPr>
        <w:t>тестирования</w:t>
      </w:r>
      <w:r>
        <w:rPr>
          <w:color w:val="231F20"/>
          <w:spacing w:val="-4"/>
        </w:rPr>
        <w:t> </w:t>
      </w:r>
      <w:r>
        <w:rPr>
          <w:color w:val="231F20"/>
          <w:spacing w:val="-2"/>
        </w:rPr>
        <w:t>Аф.</w:t>
      </w:r>
      <w:r>
        <w:rPr>
          <w:color w:val="231F20"/>
          <w:spacing w:val="-4"/>
        </w:rPr>
        <w:t> </w:t>
      </w:r>
      <w:r>
        <w:rPr>
          <w:color w:val="231F20"/>
          <w:spacing w:val="-2"/>
        </w:rPr>
        <w:t>демонстрируют</w:t>
      </w:r>
      <w:r>
        <w:rPr>
          <w:color w:val="231F20"/>
          <w:spacing w:val="-4"/>
        </w:rPr>
        <w:t> </w:t>
      </w:r>
      <w:r>
        <w:rPr>
          <w:color w:val="231F20"/>
          <w:spacing w:val="-2"/>
        </w:rPr>
        <w:t>улучшение</w:t>
      </w:r>
      <w:r>
        <w:rPr>
          <w:color w:val="231F20"/>
          <w:spacing w:val="-4"/>
        </w:rPr>
        <w:t> </w:t>
      </w:r>
      <w:r>
        <w:rPr>
          <w:color w:val="231F20"/>
          <w:spacing w:val="-2"/>
        </w:rPr>
        <w:t>практически</w:t>
      </w:r>
      <w:r>
        <w:rPr>
          <w:color w:val="231F20"/>
          <w:spacing w:val="-4"/>
        </w:rPr>
        <w:t> </w:t>
      </w:r>
      <w:r>
        <w:rPr>
          <w:color w:val="231F20"/>
          <w:spacing w:val="-2"/>
        </w:rPr>
        <w:t>всех</w:t>
      </w:r>
      <w:r>
        <w:rPr>
          <w:color w:val="231F20"/>
          <w:spacing w:val="-4"/>
        </w:rPr>
        <w:t> </w:t>
      </w:r>
      <w:r>
        <w:rPr>
          <w:color w:val="231F20"/>
          <w:spacing w:val="-2"/>
        </w:rPr>
        <w:t>компонентов</w:t>
      </w:r>
      <w:r>
        <w:rPr>
          <w:color w:val="231F20"/>
          <w:spacing w:val="-4"/>
        </w:rPr>
        <w:t> </w:t>
      </w:r>
      <w:r>
        <w:rPr>
          <w:color w:val="231F20"/>
          <w:spacing w:val="-2"/>
        </w:rPr>
        <w:t>ме-</w:t>
      </w:r>
    </w:p>
    <w:p>
      <w:pPr>
        <w:pStyle w:val="BodyText"/>
        <w:spacing w:after="0" w:line="235" w:lineRule="auto"/>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25" w:lineRule="auto" w:before="123"/>
        <w:ind w:right="140" w:firstLine="0"/>
      </w:pPr>
      <w:r>
        <w:rPr>
          <w:color w:val="231F20"/>
        </w:rPr>
        <w:t>такогнитивных</w:t>
      </w:r>
      <w:r>
        <w:rPr>
          <w:color w:val="231F20"/>
          <w:spacing w:val="-13"/>
        </w:rPr>
        <w:t> </w:t>
      </w:r>
      <w:r>
        <w:rPr>
          <w:color w:val="231F20"/>
        </w:rPr>
        <w:t>процессов,</w:t>
      </w:r>
      <w:r>
        <w:rPr>
          <w:color w:val="231F20"/>
          <w:spacing w:val="-12"/>
        </w:rPr>
        <w:t> </w:t>
      </w:r>
      <w:r>
        <w:rPr>
          <w:color w:val="231F20"/>
        </w:rPr>
        <w:t>что</w:t>
      </w:r>
      <w:r>
        <w:rPr>
          <w:color w:val="231F20"/>
          <w:spacing w:val="-13"/>
        </w:rPr>
        <w:t> </w:t>
      </w:r>
      <w:r>
        <w:rPr>
          <w:color w:val="231F20"/>
        </w:rPr>
        <w:t>лишний</w:t>
      </w:r>
      <w:r>
        <w:rPr>
          <w:color w:val="231F20"/>
          <w:spacing w:val="-12"/>
        </w:rPr>
        <w:t> </w:t>
      </w:r>
      <w:r>
        <w:rPr>
          <w:color w:val="231F20"/>
        </w:rPr>
        <w:t>раз</w:t>
      </w:r>
      <w:r>
        <w:rPr>
          <w:color w:val="231F20"/>
          <w:spacing w:val="-13"/>
        </w:rPr>
        <w:t> </w:t>
      </w:r>
      <w:r>
        <w:rPr>
          <w:color w:val="231F20"/>
        </w:rPr>
        <w:t>подтверждает</w:t>
      </w:r>
      <w:r>
        <w:rPr>
          <w:color w:val="231F20"/>
          <w:spacing w:val="-12"/>
        </w:rPr>
        <w:t> </w:t>
      </w:r>
      <w:r>
        <w:rPr>
          <w:color w:val="231F20"/>
        </w:rPr>
        <w:t>эффективность</w:t>
      </w:r>
      <w:r>
        <w:rPr>
          <w:color w:val="231F20"/>
          <w:spacing w:val="-13"/>
        </w:rPr>
        <w:t> </w:t>
      </w:r>
      <w:r>
        <w:rPr>
          <w:color w:val="231F20"/>
        </w:rPr>
        <w:t>театральной деятельности как педагогической технологии (Edossa et al., 2019; Soto et al., 2022).</w:t>
      </w:r>
    </w:p>
    <w:p>
      <w:pPr>
        <w:pStyle w:val="BodyText"/>
        <w:spacing w:line="225" w:lineRule="auto"/>
      </w:pPr>
      <w:r>
        <w:rPr>
          <w:color w:val="231F20"/>
        </w:rPr>
        <w:t>У</w:t>
      </w:r>
      <w:r>
        <w:rPr>
          <w:color w:val="231F20"/>
          <w:spacing w:val="-12"/>
        </w:rPr>
        <w:t> </w:t>
      </w:r>
      <w:r>
        <w:rPr>
          <w:color w:val="231F20"/>
        </w:rPr>
        <w:t>Роз.,</w:t>
      </w:r>
      <w:r>
        <w:rPr>
          <w:color w:val="231F20"/>
          <w:spacing w:val="-12"/>
        </w:rPr>
        <w:t> </w:t>
      </w:r>
      <w:r>
        <w:rPr>
          <w:color w:val="231F20"/>
        </w:rPr>
        <w:t>которая</w:t>
      </w:r>
      <w:r>
        <w:rPr>
          <w:color w:val="231F20"/>
          <w:spacing w:val="-12"/>
        </w:rPr>
        <w:t> </w:t>
      </w:r>
      <w:r>
        <w:rPr>
          <w:color w:val="231F20"/>
        </w:rPr>
        <w:t>в</w:t>
      </w:r>
      <w:r>
        <w:rPr>
          <w:color w:val="231F20"/>
          <w:spacing w:val="-12"/>
        </w:rPr>
        <w:t> </w:t>
      </w:r>
      <w:r>
        <w:rPr>
          <w:color w:val="231F20"/>
        </w:rPr>
        <w:t>отличие</w:t>
      </w:r>
      <w:r>
        <w:rPr>
          <w:color w:val="231F20"/>
          <w:spacing w:val="-11"/>
        </w:rPr>
        <w:t> </w:t>
      </w:r>
      <w:r>
        <w:rPr>
          <w:color w:val="231F20"/>
        </w:rPr>
        <w:t>от</w:t>
      </w:r>
      <w:r>
        <w:rPr>
          <w:color w:val="231F20"/>
          <w:spacing w:val="-12"/>
        </w:rPr>
        <w:t> </w:t>
      </w:r>
      <w:r>
        <w:rPr>
          <w:color w:val="231F20"/>
        </w:rPr>
        <w:t>Аф.</w:t>
      </w:r>
      <w:r>
        <w:rPr>
          <w:color w:val="231F20"/>
          <w:spacing w:val="-12"/>
        </w:rPr>
        <w:t> </w:t>
      </w:r>
      <w:r>
        <w:rPr>
          <w:color w:val="231F20"/>
        </w:rPr>
        <w:t>была</w:t>
      </w:r>
      <w:r>
        <w:rPr>
          <w:color w:val="231F20"/>
          <w:spacing w:val="-12"/>
        </w:rPr>
        <w:t> </w:t>
      </w:r>
      <w:r>
        <w:rPr>
          <w:color w:val="231F20"/>
        </w:rPr>
        <w:t>слабо</w:t>
      </w:r>
      <w:r>
        <w:rPr>
          <w:color w:val="231F20"/>
          <w:spacing w:val="-12"/>
        </w:rPr>
        <w:t> </w:t>
      </w:r>
      <w:r>
        <w:rPr>
          <w:color w:val="231F20"/>
        </w:rPr>
        <w:t>вовлечена</w:t>
      </w:r>
      <w:r>
        <w:rPr>
          <w:color w:val="231F20"/>
          <w:spacing w:val="-12"/>
        </w:rPr>
        <w:t> </w:t>
      </w:r>
      <w:r>
        <w:rPr>
          <w:color w:val="231F20"/>
        </w:rPr>
        <w:t>в</w:t>
      </w:r>
      <w:r>
        <w:rPr>
          <w:color w:val="231F20"/>
          <w:spacing w:val="-12"/>
        </w:rPr>
        <w:t> </w:t>
      </w:r>
      <w:r>
        <w:rPr>
          <w:color w:val="231F20"/>
        </w:rPr>
        <w:t>проект</w:t>
      </w:r>
      <w:r>
        <w:rPr>
          <w:color w:val="231F20"/>
          <w:spacing w:val="-12"/>
        </w:rPr>
        <w:t> </w:t>
      </w:r>
      <w:r>
        <w:rPr>
          <w:color w:val="231F20"/>
        </w:rPr>
        <w:t>и</w:t>
      </w:r>
      <w:r>
        <w:rPr>
          <w:color w:val="231F20"/>
          <w:spacing w:val="-12"/>
        </w:rPr>
        <w:t> </w:t>
      </w:r>
      <w:r>
        <w:rPr>
          <w:color w:val="231F20"/>
        </w:rPr>
        <w:t>не</w:t>
      </w:r>
      <w:r>
        <w:rPr>
          <w:color w:val="231F20"/>
          <w:spacing w:val="-12"/>
        </w:rPr>
        <w:t> </w:t>
      </w:r>
      <w:r>
        <w:rPr>
          <w:color w:val="231F20"/>
        </w:rPr>
        <w:t>участвовала</w:t>
      </w:r>
      <w:r>
        <w:rPr>
          <w:color w:val="231F20"/>
          <w:spacing w:val="-12"/>
        </w:rPr>
        <w:t> </w:t>
      </w:r>
      <w:r>
        <w:rPr>
          <w:color w:val="231F20"/>
        </w:rPr>
        <w:t>в финальной</w:t>
      </w:r>
      <w:r>
        <w:rPr>
          <w:color w:val="231F20"/>
          <w:spacing w:val="-6"/>
        </w:rPr>
        <w:t> </w:t>
      </w:r>
      <w:r>
        <w:rPr>
          <w:color w:val="231F20"/>
        </w:rPr>
        <w:t>постановке</w:t>
      </w:r>
      <w:r>
        <w:rPr>
          <w:color w:val="231F20"/>
          <w:spacing w:val="-6"/>
        </w:rPr>
        <w:t> </w:t>
      </w:r>
      <w:r>
        <w:rPr>
          <w:color w:val="231F20"/>
        </w:rPr>
        <w:t>спектакля,</w:t>
      </w:r>
      <w:r>
        <w:rPr>
          <w:color w:val="231F20"/>
          <w:spacing w:val="-6"/>
        </w:rPr>
        <w:t> </w:t>
      </w:r>
      <w:r>
        <w:rPr>
          <w:color w:val="231F20"/>
        </w:rPr>
        <w:t>подобного</w:t>
      </w:r>
      <w:r>
        <w:rPr>
          <w:color w:val="231F20"/>
          <w:spacing w:val="-6"/>
        </w:rPr>
        <w:t> </w:t>
      </w:r>
      <w:r>
        <w:rPr>
          <w:color w:val="231F20"/>
        </w:rPr>
        <w:t>развития</w:t>
      </w:r>
      <w:r>
        <w:rPr>
          <w:color w:val="231F20"/>
          <w:spacing w:val="-6"/>
        </w:rPr>
        <w:t> </w:t>
      </w:r>
      <w:r>
        <w:rPr>
          <w:color w:val="231F20"/>
        </w:rPr>
        <w:t>зафиксировано</w:t>
      </w:r>
      <w:r>
        <w:rPr>
          <w:color w:val="231F20"/>
          <w:spacing w:val="-6"/>
        </w:rPr>
        <w:t> </w:t>
      </w:r>
      <w:r>
        <w:rPr>
          <w:color w:val="231F20"/>
        </w:rPr>
        <w:t>не</w:t>
      </w:r>
      <w:r>
        <w:rPr>
          <w:color w:val="231F20"/>
          <w:spacing w:val="-6"/>
        </w:rPr>
        <w:t> </w:t>
      </w:r>
      <w:r>
        <w:rPr>
          <w:color w:val="231F20"/>
        </w:rPr>
        <w:t>было,</w:t>
      </w:r>
      <w:r>
        <w:rPr>
          <w:color w:val="231F20"/>
          <w:spacing w:val="-6"/>
        </w:rPr>
        <w:t> </w:t>
      </w:r>
      <w:r>
        <w:rPr>
          <w:color w:val="231F20"/>
        </w:rPr>
        <w:t>боль- шинство показателей остались без изменений.</w:t>
      </w:r>
    </w:p>
    <w:p>
      <w:pPr>
        <w:pStyle w:val="BodyText"/>
        <w:spacing w:line="225" w:lineRule="auto"/>
        <w:jc w:val="right"/>
      </w:pPr>
      <w:r>
        <w:rPr>
          <w:color w:val="231F20"/>
        </w:rPr>
        <w:t>В целом данные, полученные в рамках проекта, свидетельствуют о широких воз- </w:t>
      </w:r>
      <w:r>
        <w:rPr>
          <w:color w:val="231F20"/>
          <w:spacing w:val="-4"/>
        </w:rPr>
        <w:t>можностях применения театральной деятельности в работе с подростками-мигрантами. </w:t>
      </w:r>
      <w:r>
        <w:rPr>
          <w:color w:val="231F20"/>
        </w:rPr>
        <w:t>Ключевую роль в организации театральной деятельности в практике школы игра-</w:t>
      </w:r>
    </w:p>
    <w:p>
      <w:pPr>
        <w:pStyle w:val="BodyText"/>
        <w:spacing w:line="225" w:lineRule="auto"/>
        <w:ind w:firstLine="0"/>
      </w:pPr>
      <w:r>
        <w:rPr>
          <w:color w:val="231F20"/>
        </w:rPr>
        <w:t>ет</w:t>
      </w:r>
      <w:r>
        <w:rPr>
          <w:color w:val="231F20"/>
          <w:spacing w:val="-13"/>
        </w:rPr>
        <w:t> </w:t>
      </w:r>
      <w:r>
        <w:rPr>
          <w:color w:val="231F20"/>
        </w:rPr>
        <w:t>учитель.</w:t>
      </w:r>
      <w:r>
        <w:rPr>
          <w:color w:val="231F20"/>
          <w:spacing w:val="-12"/>
        </w:rPr>
        <w:t> </w:t>
      </w:r>
      <w:r>
        <w:rPr>
          <w:color w:val="231F20"/>
        </w:rPr>
        <w:t>В</w:t>
      </w:r>
      <w:r>
        <w:rPr>
          <w:color w:val="231F20"/>
          <w:spacing w:val="-13"/>
        </w:rPr>
        <w:t> </w:t>
      </w:r>
      <w:r>
        <w:rPr>
          <w:color w:val="231F20"/>
        </w:rPr>
        <w:t>этой</w:t>
      </w:r>
      <w:r>
        <w:rPr>
          <w:color w:val="231F20"/>
          <w:spacing w:val="-12"/>
        </w:rPr>
        <w:t> </w:t>
      </w:r>
      <w:r>
        <w:rPr>
          <w:color w:val="231F20"/>
        </w:rPr>
        <w:t>связи</w:t>
      </w:r>
      <w:r>
        <w:rPr>
          <w:color w:val="231F20"/>
          <w:spacing w:val="-13"/>
        </w:rPr>
        <w:t> </w:t>
      </w:r>
      <w:r>
        <w:rPr>
          <w:color w:val="231F20"/>
        </w:rPr>
        <w:t>учителям</w:t>
      </w:r>
      <w:r>
        <w:rPr>
          <w:color w:val="231F20"/>
          <w:spacing w:val="-12"/>
        </w:rPr>
        <w:t> </w:t>
      </w:r>
      <w:r>
        <w:rPr>
          <w:color w:val="231F20"/>
        </w:rPr>
        <w:t>необходимо</w:t>
      </w:r>
      <w:r>
        <w:rPr>
          <w:color w:val="231F20"/>
          <w:spacing w:val="-13"/>
        </w:rPr>
        <w:t> </w:t>
      </w:r>
      <w:r>
        <w:rPr>
          <w:color w:val="231F20"/>
        </w:rPr>
        <w:t>повышать</w:t>
      </w:r>
      <w:r>
        <w:rPr>
          <w:color w:val="231F20"/>
          <w:spacing w:val="-12"/>
        </w:rPr>
        <w:t> </w:t>
      </w:r>
      <w:r>
        <w:rPr>
          <w:color w:val="231F20"/>
        </w:rPr>
        <w:t>свою</w:t>
      </w:r>
      <w:r>
        <w:rPr>
          <w:color w:val="231F20"/>
          <w:spacing w:val="-13"/>
        </w:rPr>
        <w:t> </w:t>
      </w:r>
      <w:r>
        <w:rPr>
          <w:color w:val="231F20"/>
        </w:rPr>
        <w:t>квалификацию</w:t>
      </w:r>
      <w:r>
        <w:rPr>
          <w:i/>
          <w:color w:val="231F20"/>
        </w:rPr>
        <w:t>,</w:t>
      </w:r>
      <w:r>
        <w:rPr>
          <w:i/>
          <w:color w:val="231F20"/>
          <w:spacing w:val="-12"/>
        </w:rPr>
        <w:t> </w:t>
      </w:r>
      <w:r>
        <w:rPr>
          <w:color w:val="231F20"/>
        </w:rPr>
        <w:t>обуча- ясь</w:t>
      </w:r>
      <w:r>
        <w:rPr>
          <w:color w:val="231F20"/>
          <w:spacing w:val="-9"/>
        </w:rPr>
        <w:t> </w:t>
      </w:r>
      <w:r>
        <w:rPr>
          <w:color w:val="231F20"/>
        </w:rPr>
        <w:t>новым</w:t>
      </w:r>
      <w:r>
        <w:rPr>
          <w:color w:val="231F20"/>
          <w:spacing w:val="-9"/>
        </w:rPr>
        <w:t> </w:t>
      </w:r>
      <w:r>
        <w:rPr>
          <w:color w:val="231F20"/>
        </w:rPr>
        <w:t>методам</w:t>
      </w:r>
      <w:r>
        <w:rPr>
          <w:color w:val="231F20"/>
          <w:spacing w:val="-9"/>
        </w:rPr>
        <w:t> </w:t>
      </w:r>
      <w:r>
        <w:rPr>
          <w:color w:val="141A20"/>
        </w:rPr>
        <w:t>театрализации</w:t>
      </w:r>
      <w:r>
        <w:rPr>
          <w:color w:val="141A20"/>
          <w:spacing w:val="-9"/>
        </w:rPr>
        <w:t> </w:t>
      </w:r>
      <w:r>
        <w:rPr>
          <w:color w:val="141A20"/>
        </w:rPr>
        <w:t>/</w:t>
      </w:r>
      <w:r>
        <w:rPr>
          <w:color w:val="141A20"/>
          <w:spacing w:val="-9"/>
        </w:rPr>
        <w:t> </w:t>
      </w:r>
      <w:r>
        <w:rPr>
          <w:color w:val="141A20"/>
        </w:rPr>
        <w:t>драматизации</w:t>
      </w:r>
      <w:r>
        <w:rPr>
          <w:color w:val="141A20"/>
          <w:spacing w:val="-9"/>
        </w:rPr>
        <w:t> </w:t>
      </w:r>
      <w:r>
        <w:rPr>
          <w:color w:val="141A20"/>
        </w:rPr>
        <w:t>образовательного</w:t>
      </w:r>
      <w:r>
        <w:rPr>
          <w:color w:val="141A20"/>
          <w:spacing w:val="-9"/>
        </w:rPr>
        <w:t> </w:t>
      </w:r>
      <w:r>
        <w:rPr>
          <w:color w:val="141A20"/>
        </w:rPr>
        <w:t>процесса.</w:t>
      </w:r>
      <w:r>
        <w:rPr>
          <w:color w:val="141A20"/>
          <w:spacing w:val="-9"/>
        </w:rPr>
        <w:t> </w:t>
      </w:r>
      <w:r>
        <w:rPr>
          <w:color w:val="141A20"/>
        </w:rPr>
        <w:t>Очень важно, чтобы в условиях учебной деятельности учитель был готов:</w:t>
      </w:r>
    </w:p>
    <w:p>
      <w:pPr>
        <w:pStyle w:val="ListParagraph"/>
        <w:numPr>
          <w:ilvl w:val="0"/>
          <w:numId w:val="139"/>
        </w:numPr>
        <w:tabs>
          <w:tab w:pos="425" w:val="left" w:leader="none"/>
        </w:tabs>
        <w:spacing w:line="225" w:lineRule="auto" w:before="0" w:after="0"/>
        <w:ind w:left="425" w:right="139" w:hanging="284"/>
        <w:jc w:val="left"/>
        <w:rPr>
          <w:sz w:val="20"/>
        </w:rPr>
      </w:pPr>
      <w:r>
        <w:rPr>
          <w:sz w:val="20"/>
        </w:rPr>
        <w:t>регулярно</w:t>
      </w:r>
      <w:r>
        <w:rPr>
          <w:spacing w:val="18"/>
          <w:sz w:val="20"/>
        </w:rPr>
        <w:t> </w:t>
      </w:r>
      <w:r>
        <w:rPr>
          <w:sz w:val="20"/>
        </w:rPr>
        <w:t>пересматривать</w:t>
      </w:r>
      <w:r>
        <w:rPr>
          <w:spacing w:val="18"/>
          <w:sz w:val="20"/>
        </w:rPr>
        <w:t> </w:t>
      </w:r>
      <w:r>
        <w:rPr>
          <w:sz w:val="20"/>
        </w:rPr>
        <w:t>и</w:t>
      </w:r>
      <w:r>
        <w:rPr>
          <w:spacing w:val="18"/>
          <w:sz w:val="20"/>
        </w:rPr>
        <w:t> </w:t>
      </w:r>
      <w:r>
        <w:rPr>
          <w:sz w:val="20"/>
        </w:rPr>
        <w:t>перерабатывать</w:t>
      </w:r>
      <w:r>
        <w:rPr>
          <w:spacing w:val="18"/>
          <w:sz w:val="20"/>
        </w:rPr>
        <w:t> </w:t>
      </w:r>
      <w:r>
        <w:rPr>
          <w:sz w:val="20"/>
        </w:rPr>
        <w:t>учебный</w:t>
      </w:r>
      <w:r>
        <w:rPr>
          <w:spacing w:val="18"/>
          <w:sz w:val="20"/>
        </w:rPr>
        <w:t> </w:t>
      </w:r>
      <w:r>
        <w:rPr>
          <w:sz w:val="20"/>
        </w:rPr>
        <w:t>план,</w:t>
      </w:r>
      <w:r>
        <w:rPr>
          <w:spacing w:val="18"/>
          <w:sz w:val="20"/>
        </w:rPr>
        <w:t> </w:t>
      </w:r>
      <w:r>
        <w:rPr>
          <w:sz w:val="20"/>
        </w:rPr>
        <w:t>адаптировать</w:t>
      </w:r>
      <w:r>
        <w:rPr>
          <w:spacing w:val="18"/>
          <w:sz w:val="20"/>
        </w:rPr>
        <w:t> </w:t>
      </w:r>
      <w:r>
        <w:rPr>
          <w:sz w:val="20"/>
        </w:rPr>
        <w:t>пред- метное содержание под требования театральных практик;</w:t>
      </w:r>
    </w:p>
    <w:p>
      <w:pPr>
        <w:pStyle w:val="ListParagraph"/>
        <w:numPr>
          <w:ilvl w:val="0"/>
          <w:numId w:val="139"/>
        </w:numPr>
        <w:tabs>
          <w:tab w:pos="425" w:val="left" w:leader="none"/>
        </w:tabs>
        <w:spacing w:line="225" w:lineRule="auto" w:before="0" w:after="0"/>
        <w:ind w:left="425" w:right="139" w:hanging="284"/>
        <w:jc w:val="left"/>
        <w:rPr>
          <w:sz w:val="20"/>
        </w:rPr>
      </w:pPr>
      <w:r>
        <w:rPr>
          <w:spacing w:val="-2"/>
          <w:sz w:val="20"/>
        </w:rPr>
        <w:t>отбирать конкретные практики и приемы театрализации образовательного процес- </w:t>
      </w:r>
      <w:r>
        <w:rPr>
          <w:sz w:val="20"/>
        </w:rPr>
        <w:t>са с учетом различных образовательных, развивающих и воспитательных задач;</w:t>
      </w:r>
    </w:p>
    <w:p>
      <w:pPr>
        <w:pStyle w:val="ListParagraph"/>
        <w:numPr>
          <w:ilvl w:val="0"/>
          <w:numId w:val="139"/>
        </w:numPr>
        <w:tabs>
          <w:tab w:pos="425" w:val="left" w:leader="none"/>
        </w:tabs>
        <w:spacing w:line="225" w:lineRule="auto" w:before="0" w:after="0"/>
        <w:ind w:left="425" w:right="139" w:hanging="284"/>
        <w:jc w:val="left"/>
        <w:rPr>
          <w:sz w:val="20"/>
        </w:rPr>
      </w:pPr>
      <w:r>
        <w:rPr>
          <w:spacing w:val="-2"/>
          <w:sz w:val="20"/>
        </w:rPr>
        <w:t>создавать</w:t>
      </w:r>
      <w:r>
        <w:rPr>
          <w:sz w:val="20"/>
        </w:rPr>
        <w:t> </w:t>
      </w:r>
      <w:r>
        <w:rPr>
          <w:spacing w:val="-2"/>
          <w:sz w:val="20"/>
        </w:rPr>
        <w:t>благоприятную</w:t>
      </w:r>
      <w:r>
        <w:rPr>
          <w:sz w:val="20"/>
        </w:rPr>
        <w:t> </w:t>
      </w:r>
      <w:r>
        <w:rPr>
          <w:spacing w:val="-2"/>
          <w:sz w:val="20"/>
        </w:rPr>
        <w:t>творческую</w:t>
      </w:r>
      <w:r>
        <w:rPr>
          <w:sz w:val="20"/>
        </w:rPr>
        <w:t> </w:t>
      </w:r>
      <w:r>
        <w:rPr>
          <w:spacing w:val="-2"/>
          <w:sz w:val="20"/>
        </w:rPr>
        <w:t>атмосферу,</w:t>
      </w:r>
      <w:r>
        <w:rPr>
          <w:sz w:val="20"/>
        </w:rPr>
        <w:t> </w:t>
      </w:r>
      <w:r>
        <w:rPr>
          <w:spacing w:val="-2"/>
          <w:sz w:val="20"/>
        </w:rPr>
        <w:t>в</w:t>
      </w:r>
      <w:r>
        <w:rPr>
          <w:sz w:val="20"/>
        </w:rPr>
        <w:t> </w:t>
      </w:r>
      <w:r>
        <w:rPr>
          <w:spacing w:val="-2"/>
          <w:sz w:val="20"/>
        </w:rPr>
        <w:t>которой</w:t>
      </w:r>
      <w:r>
        <w:rPr>
          <w:sz w:val="20"/>
        </w:rPr>
        <w:t> </w:t>
      </w:r>
      <w:r>
        <w:rPr>
          <w:spacing w:val="-2"/>
          <w:sz w:val="20"/>
        </w:rPr>
        <w:t>обучающиеся</w:t>
      </w:r>
      <w:r>
        <w:rPr>
          <w:sz w:val="20"/>
        </w:rPr>
        <w:t> </w:t>
      </w:r>
      <w:r>
        <w:rPr>
          <w:spacing w:val="-2"/>
          <w:sz w:val="20"/>
        </w:rPr>
        <w:t>не</w:t>
      </w:r>
      <w:r>
        <w:rPr>
          <w:sz w:val="20"/>
        </w:rPr>
        <w:t> </w:t>
      </w:r>
      <w:r>
        <w:rPr>
          <w:spacing w:val="-2"/>
          <w:sz w:val="20"/>
        </w:rPr>
        <w:t>боя- </w:t>
      </w:r>
      <w:r>
        <w:rPr>
          <w:spacing w:val="-4"/>
          <w:sz w:val="20"/>
        </w:rPr>
        <w:t>лись</w:t>
      </w:r>
      <w:r>
        <w:rPr>
          <w:spacing w:val="-5"/>
          <w:sz w:val="20"/>
        </w:rPr>
        <w:t> </w:t>
      </w:r>
      <w:r>
        <w:rPr>
          <w:spacing w:val="-4"/>
          <w:sz w:val="20"/>
        </w:rPr>
        <w:t>бы</w:t>
      </w:r>
      <w:r>
        <w:rPr>
          <w:spacing w:val="-5"/>
          <w:sz w:val="20"/>
        </w:rPr>
        <w:t> </w:t>
      </w:r>
      <w:r>
        <w:rPr>
          <w:spacing w:val="-4"/>
          <w:sz w:val="20"/>
        </w:rPr>
        <w:t>проявлять</w:t>
      </w:r>
      <w:r>
        <w:rPr>
          <w:spacing w:val="-5"/>
          <w:sz w:val="20"/>
        </w:rPr>
        <w:t> </w:t>
      </w:r>
      <w:r>
        <w:rPr>
          <w:spacing w:val="-4"/>
          <w:sz w:val="20"/>
        </w:rPr>
        <w:t>инициативу,</w:t>
      </w:r>
      <w:r>
        <w:rPr>
          <w:spacing w:val="-5"/>
          <w:sz w:val="20"/>
        </w:rPr>
        <w:t> </w:t>
      </w:r>
      <w:r>
        <w:rPr>
          <w:spacing w:val="-4"/>
          <w:sz w:val="20"/>
        </w:rPr>
        <w:t>экспериментировать,</w:t>
      </w:r>
      <w:r>
        <w:rPr>
          <w:spacing w:val="-5"/>
          <w:sz w:val="20"/>
        </w:rPr>
        <w:t> </w:t>
      </w:r>
      <w:r>
        <w:rPr>
          <w:spacing w:val="-4"/>
          <w:sz w:val="20"/>
        </w:rPr>
        <w:t>выражать</w:t>
      </w:r>
      <w:r>
        <w:rPr>
          <w:spacing w:val="-5"/>
          <w:sz w:val="20"/>
        </w:rPr>
        <w:t> </w:t>
      </w:r>
      <w:r>
        <w:rPr>
          <w:spacing w:val="-4"/>
          <w:sz w:val="20"/>
        </w:rPr>
        <w:t>собственное</w:t>
      </w:r>
      <w:r>
        <w:rPr>
          <w:spacing w:val="-5"/>
          <w:sz w:val="20"/>
        </w:rPr>
        <w:t> </w:t>
      </w:r>
      <w:r>
        <w:rPr>
          <w:spacing w:val="-4"/>
          <w:sz w:val="20"/>
        </w:rPr>
        <w:t>мнение;</w:t>
      </w:r>
    </w:p>
    <w:p>
      <w:pPr>
        <w:pStyle w:val="ListParagraph"/>
        <w:numPr>
          <w:ilvl w:val="0"/>
          <w:numId w:val="139"/>
        </w:numPr>
        <w:tabs>
          <w:tab w:pos="424" w:val="left" w:leader="none"/>
        </w:tabs>
        <w:spacing w:line="214" w:lineRule="exact" w:before="0" w:after="0"/>
        <w:ind w:left="424" w:right="0" w:hanging="283"/>
        <w:jc w:val="left"/>
        <w:rPr>
          <w:sz w:val="20"/>
        </w:rPr>
      </w:pPr>
      <w:r>
        <w:rPr>
          <w:sz w:val="20"/>
        </w:rPr>
        <w:t>воздерживаться</w:t>
      </w:r>
      <w:r>
        <w:rPr>
          <w:spacing w:val="-7"/>
          <w:sz w:val="20"/>
        </w:rPr>
        <w:t> </w:t>
      </w:r>
      <w:r>
        <w:rPr>
          <w:sz w:val="20"/>
        </w:rPr>
        <w:t>от</w:t>
      </w:r>
      <w:r>
        <w:rPr>
          <w:spacing w:val="-7"/>
          <w:sz w:val="20"/>
        </w:rPr>
        <w:t> </w:t>
      </w:r>
      <w:r>
        <w:rPr>
          <w:sz w:val="20"/>
        </w:rPr>
        <w:t>жесткой</w:t>
      </w:r>
      <w:r>
        <w:rPr>
          <w:spacing w:val="-8"/>
          <w:sz w:val="20"/>
        </w:rPr>
        <w:t> </w:t>
      </w:r>
      <w:r>
        <w:rPr>
          <w:sz w:val="20"/>
        </w:rPr>
        <w:t>критики</w:t>
      </w:r>
      <w:r>
        <w:rPr>
          <w:spacing w:val="-7"/>
          <w:sz w:val="20"/>
        </w:rPr>
        <w:t> </w:t>
      </w:r>
      <w:r>
        <w:rPr>
          <w:sz w:val="20"/>
        </w:rPr>
        <w:t>и</w:t>
      </w:r>
      <w:r>
        <w:rPr>
          <w:spacing w:val="-8"/>
          <w:sz w:val="20"/>
        </w:rPr>
        <w:t> </w:t>
      </w:r>
      <w:r>
        <w:rPr>
          <w:sz w:val="20"/>
        </w:rPr>
        <w:t>оценки</w:t>
      </w:r>
      <w:r>
        <w:rPr>
          <w:spacing w:val="-7"/>
          <w:sz w:val="20"/>
        </w:rPr>
        <w:t> </w:t>
      </w:r>
      <w:r>
        <w:rPr>
          <w:spacing w:val="-2"/>
          <w:sz w:val="20"/>
        </w:rPr>
        <w:t>обучающихся;</w:t>
      </w:r>
    </w:p>
    <w:p>
      <w:pPr>
        <w:pStyle w:val="ListParagraph"/>
        <w:numPr>
          <w:ilvl w:val="0"/>
          <w:numId w:val="139"/>
        </w:numPr>
        <w:tabs>
          <w:tab w:pos="425" w:val="left" w:leader="none"/>
        </w:tabs>
        <w:spacing w:line="232" w:lineRule="auto" w:before="0" w:after="0"/>
        <w:ind w:left="425" w:right="139" w:hanging="284"/>
        <w:jc w:val="left"/>
        <w:rPr>
          <w:sz w:val="20"/>
        </w:rPr>
      </w:pPr>
      <w:r>
        <w:rPr>
          <w:sz w:val="20"/>
        </w:rPr>
        <w:t>выступать в качестве «со-участника» деятельности, включаясь в процесс работы над постановкой как бы на равных с обучающимися;</w:t>
      </w:r>
    </w:p>
    <w:p>
      <w:pPr>
        <w:pStyle w:val="ListParagraph"/>
        <w:numPr>
          <w:ilvl w:val="0"/>
          <w:numId w:val="139"/>
        </w:numPr>
        <w:tabs>
          <w:tab w:pos="425" w:val="left" w:leader="none"/>
        </w:tabs>
        <w:spacing w:line="232" w:lineRule="auto" w:before="0" w:after="0"/>
        <w:ind w:left="425" w:right="139" w:hanging="284"/>
        <w:jc w:val="left"/>
        <w:rPr>
          <w:color w:val="23282C"/>
          <w:sz w:val="20"/>
        </w:rPr>
      </w:pPr>
      <w:r>
        <w:rPr>
          <w:color w:val="23282C"/>
          <w:sz w:val="20"/>
        </w:rPr>
        <w:t>использовать</w:t>
      </w:r>
      <w:r>
        <w:rPr>
          <w:color w:val="23282C"/>
          <w:spacing w:val="-12"/>
          <w:sz w:val="20"/>
        </w:rPr>
        <w:t> </w:t>
      </w:r>
      <w:r>
        <w:rPr>
          <w:color w:val="23282C"/>
          <w:sz w:val="20"/>
        </w:rPr>
        <w:t>новые</w:t>
      </w:r>
      <w:r>
        <w:rPr>
          <w:color w:val="23282C"/>
          <w:spacing w:val="-12"/>
          <w:sz w:val="20"/>
        </w:rPr>
        <w:t> </w:t>
      </w:r>
      <w:r>
        <w:rPr>
          <w:color w:val="23282C"/>
          <w:sz w:val="20"/>
        </w:rPr>
        <w:t>методы</w:t>
      </w:r>
      <w:r>
        <w:rPr>
          <w:color w:val="23282C"/>
          <w:spacing w:val="-12"/>
          <w:sz w:val="20"/>
        </w:rPr>
        <w:t> </w:t>
      </w:r>
      <w:r>
        <w:rPr>
          <w:color w:val="23282C"/>
          <w:sz w:val="20"/>
        </w:rPr>
        <w:t>и</w:t>
      </w:r>
      <w:r>
        <w:rPr>
          <w:color w:val="23282C"/>
          <w:spacing w:val="-12"/>
          <w:sz w:val="20"/>
        </w:rPr>
        <w:t> </w:t>
      </w:r>
      <w:r>
        <w:rPr>
          <w:color w:val="23282C"/>
          <w:sz w:val="20"/>
        </w:rPr>
        <w:t>приемы</w:t>
      </w:r>
      <w:r>
        <w:rPr>
          <w:color w:val="23282C"/>
          <w:spacing w:val="-12"/>
          <w:sz w:val="20"/>
        </w:rPr>
        <w:t> </w:t>
      </w:r>
      <w:r>
        <w:rPr>
          <w:color w:val="23282C"/>
          <w:sz w:val="20"/>
        </w:rPr>
        <w:t>работы,</w:t>
      </w:r>
      <w:r>
        <w:rPr>
          <w:color w:val="23282C"/>
          <w:spacing w:val="-12"/>
          <w:sz w:val="20"/>
        </w:rPr>
        <w:t> </w:t>
      </w:r>
      <w:r>
        <w:rPr>
          <w:color w:val="23282C"/>
          <w:sz w:val="20"/>
        </w:rPr>
        <w:t>а</w:t>
      </w:r>
      <w:r>
        <w:rPr>
          <w:color w:val="23282C"/>
          <w:spacing w:val="-12"/>
          <w:sz w:val="20"/>
        </w:rPr>
        <w:t> </w:t>
      </w:r>
      <w:r>
        <w:rPr>
          <w:color w:val="23282C"/>
          <w:sz w:val="20"/>
        </w:rPr>
        <w:t>также</w:t>
      </w:r>
      <w:r>
        <w:rPr>
          <w:color w:val="23282C"/>
          <w:spacing w:val="-12"/>
          <w:sz w:val="20"/>
        </w:rPr>
        <w:t> </w:t>
      </w:r>
      <w:r>
        <w:rPr>
          <w:color w:val="23282C"/>
          <w:sz w:val="20"/>
        </w:rPr>
        <w:t>новые</w:t>
      </w:r>
      <w:r>
        <w:rPr>
          <w:color w:val="23282C"/>
          <w:spacing w:val="-12"/>
          <w:sz w:val="20"/>
        </w:rPr>
        <w:t> </w:t>
      </w:r>
      <w:r>
        <w:rPr>
          <w:color w:val="23282C"/>
          <w:sz w:val="20"/>
        </w:rPr>
        <w:t>способы</w:t>
      </w:r>
      <w:r>
        <w:rPr>
          <w:color w:val="23282C"/>
          <w:spacing w:val="-12"/>
          <w:sz w:val="20"/>
        </w:rPr>
        <w:t> </w:t>
      </w:r>
      <w:r>
        <w:rPr>
          <w:color w:val="23282C"/>
          <w:sz w:val="20"/>
        </w:rPr>
        <w:t>оценивания </w:t>
      </w:r>
      <w:r>
        <w:rPr>
          <w:color w:val="23282C"/>
          <w:spacing w:val="-2"/>
          <w:sz w:val="20"/>
        </w:rPr>
        <w:t>обучающихся.</w:t>
      </w:r>
    </w:p>
    <w:p>
      <w:pPr>
        <w:pStyle w:val="BodyText"/>
        <w:spacing w:line="230" w:lineRule="auto"/>
      </w:pPr>
      <w:r>
        <w:rPr>
          <w:color w:val="231F20"/>
        </w:rPr>
        <w:t>В</w:t>
      </w:r>
      <w:r>
        <w:rPr>
          <w:color w:val="231F20"/>
          <w:spacing w:val="-4"/>
        </w:rPr>
        <w:t> </w:t>
      </w:r>
      <w:r>
        <w:rPr>
          <w:color w:val="231F20"/>
        </w:rPr>
        <w:t>целом,</w:t>
      </w:r>
      <w:r>
        <w:rPr>
          <w:color w:val="231F20"/>
          <w:spacing w:val="-4"/>
        </w:rPr>
        <w:t> </w:t>
      </w:r>
      <w:r>
        <w:rPr>
          <w:color w:val="231F20"/>
        </w:rPr>
        <w:t>главная</w:t>
      </w:r>
      <w:r>
        <w:rPr>
          <w:color w:val="231F20"/>
          <w:spacing w:val="-4"/>
        </w:rPr>
        <w:t> </w:t>
      </w:r>
      <w:r>
        <w:rPr>
          <w:color w:val="231F20"/>
        </w:rPr>
        <w:t>задача</w:t>
      </w:r>
      <w:r>
        <w:rPr>
          <w:color w:val="231F20"/>
          <w:spacing w:val="-4"/>
        </w:rPr>
        <w:t> </w:t>
      </w:r>
      <w:r>
        <w:rPr>
          <w:color w:val="231F20"/>
        </w:rPr>
        <w:t>учителя</w:t>
      </w:r>
      <w:r>
        <w:rPr>
          <w:color w:val="231F20"/>
          <w:spacing w:val="-4"/>
        </w:rPr>
        <w:t> </w:t>
      </w:r>
      <w:r>
        <w:rPr>
          <w:color w:val="231F20"/>
        </w:rPr>
        <w:t>–</w:t>
      </w:r>
      <w:r>
        <w:rPr>
          <w:color w:val="231F20"/>
          <w:spacing w:val="-4"/>
        </w:rPr>
        <w:t> </w:t>
      </w:r>
      <w:r>
        <w:rPr>
          <w:color w:val="231F20"/>
        </w:rPr>
        <w:t>принять</w:t>
      </w:r>
      <w:r>
        <w:rPr>
          <w:color w:val="231F20"/>
          <w:spacing w:val="-4"/>
        </w:rPr>
        <w:t> </w:t>
      </w:r>
      <w:r>
        <w:rPr>
          <w:color w:val="231F20"/>
        </w:rPr>
        <w:t>на</w:t>
      </w:r>
      <w:r>
        <w:rPr>
          <w:color w:val="231F20"/>
          <w:spacing w:val="-4"/>
        </w:rPr>
        <w:t> </w:t>
      </w:r>
      <w:r>
        <w:rPr>
          <w:color w:val="231F20"/>
        </w:rPr>
        <w:t>себя</w:t>
      </w:r>
      <w:r>
        <w:rPr>
          <w:color w:val="231F20"/>
          <w:spacing w:val="-4"/>
        </w:rPr>
        <w:t> </w:t>
      </w:r>
      <w:r>
        <w:rPr>
          <w:color w:val="231F20"/>
        </w:rPr>
        <w:t>роль</w:t>
      </w:r>
      <w:r>
        <w:rPr>
          <w:color w:val="231F20"/>
          <w:spacing w:val="-4"/>
        </w:rPr>
        <w:t> </w:t>
      </w:r>
      <w:r>
        <w:rPr>
          <w:color w:val="231F20"/>
        </w:rPr>
        <w:t>фасилитатора,</w:t>
      </w:r>
      <w:r>
        <w:rPr>
          <w:color w:val="231F20"/>
          <w:spacing w:val="-4"/>
        </w:rPr>
        <w:t> </w:t>
      </w:r>
      <w:r>
        <w:rPr>
          <w:color w:val="231F20"/>
        </w:rPr>
        <w:t>вовлекаю- щего</w:t>
      </w:r>
      <w:r>
        <w:rPr>
          <w:color w:val="231F20"/>
          <w:spacing w:val="-13"/>
        </w:rPr>
        <w:t> </w:t>
      </w:r>
      <w:r>
        <w:rPr>
          <w:color w:val="231F20"/>
        </w:rPr>
        <w:t>учащихся</w:t>
      </w:r>
      <w:r>
        <w:rPr>
          <w:color w:val="231F20"/>
          <w:spacing w:val="-12"/>
        </w:rPr>
        <w:t> </w:t>
      </w:r>
      <w:r>
        <w:rPr>
          <w:color w:val="231F20"/>
        </w:rPr>
        <w:t>в</w:t>
      </w:r>
      <w:r>
        <w:rPr>
          <w:color w:val="231F20"/>
          <w:spacing w:val="-13"/>
        </w:rPr>
        <w:t> </w:t>
      </w:r>
      <w:r>
        <w:rPr>
          <w:color w:val="231F20"/>
        </w:rPr>
        <w:t>новые</w:t>
      </w:r>
      <w:r>
        <w:rPr>
          <w:color w:val="231F20"/>
          <w:spacing w:val="-12"/>
        </w:rPr>
        <w:t> </w:t>
      </w:r>
      <w:r>
        <w:rPr>
          <w:color w:val="231F20"/>
        </w:rPr>
        <w:t>виды</w:t>
      </w:r>
      <w:r>
        <w:rPr>
          <w:color w:val="231F20"/>
          <w:spacing w:val="-13"/>
        </w:rPr>
        <w:t> </w:t>
      </w:r>
      <w:r>
        <w:rPr>
          <w:color w:val="231F20"/>
        </w:rPr>
        <w:t>деятельности</w:t>
      </w:r>
      <w:r>
        <w:rPr>
          <w:color w:val="231F20"/>
          <w:spacing w:val="-12"/>
        </w:rPr>
        <w:t> </w:t>
      </w:r>
      <w:r>
        <w:rPr>
          <w:color w:val="231F20"/>
        </w:rPr>
        <w:t>и</w:t>
      </w:r>
      <w:r>
        <w:rPr>
          <w:color w:val="231F20"/>
          <w:spacing w:val="-13"/>
        </w:rPr>
        <w:t> </w:t>
      </w:r>
      <w:r>
        <w:rPr>
          <w:color w:val="231F20"/>
        </w:rPr>
        <w:t>помогающего</w:t>
      </w:r>
      <w:r>
        <w:rPr>
          <w:color w:val="231F20"/>
          <w:spacing w:val="-12"/>
        </w:rPr>
        <w:t> </w:t>
      </w:r>
      <w:r>
        <w:rPr>
          <w:color w:val="231F20"/>
        </w:rPr>
        <w:t>эффективно</w:t>
      </w:r>
      <w:r>
        <w:rPr>
          <w:color w:val="231F20"/>
          <w:spacing w:val="-13"/>
        </w:rPr>
        <w:t> </w:t>
      </w:r>
      <w:r>
        <w:rPr>
          <w:color w:val="231F20"/>
        </w:rPr>
        <w:t>организовать их</w:t>
      </w:r>
      <w:r>
        <w:rPr>
          <w:color w:val="231F20"/>
          <w:spacing w:val="-5"/>
        </w:rPr>
        <w:t> </w:t>
      </w:r>
      <w:r>
        <w:rPr>
          <w:color w:val="231F20"/>
        </w:rPr>
        <w:t>взаимодействие</w:t>
      </w:r>
      <w:r>
        <w:rPr>
          <w:color w:val="231F20"/>
          <w:spacing w:val="-5"/>
        </w:rPr>
        <w:t> </w:t>
      </w:r>
      <w:r>
        <w:rPr>
          <w:color w:val="231F20"/>
        </w:rPr>
        <w:t>в</w:t>
      </w:r>
      <w:r>
        <w:rPr>
          <w:color w:val="231F20"/>
          <w:spacing w:val="-5"/>
        </w:rPr>
        <w:t> </w:t>
      </w:r>
      <w:r>
        <w:rPr>
          <w:color w:val="231F20"/>
        </w:rPr>
        <w:t>рамках</w:t>
      </w:r>
      <w:r>
        <w:rPr>
          <w:color w:val="231F20"/>
          <w:spacing w:val="-5"/>
        </w:rPr>
        <w:t> </w:t>
      </w:r>
      <w:r>
        <w:rPr>
          <w:color w:val="231F20"/>
        </w:rPr>
        <w:t>этой</w:t>
      </w:r>
      <w:r>
        <w:rPr>
          <w:color w:val="231F20"/>
          <w:spacing w:val="-5"/>
        </w:rPr>
        <w:t> </w:t>
      </w:r>
      <w:r>
        <w:rPr>
          <w:color w:val="231F20"/>
        </w:rPr>
        <w:t>деятельности.</w:t>
      </w:r>
      <w:r>
        <w:rPr>
          <w:color w:val="231F20"/>
          <w:spacing w:val="-5"/>
        </w:rPr>
        <w:t> </w:t>
      </w:r>
      <w:r>
        <w:rPr>
          <w:color w:val="231F20"/>
        </w:rPr>
        <w:t>Кроме</w:t>
      </w:r>
      <w:r>
        <w:rPr>
          <w:color w:val="231F20"/>
          <w:spacing w:val="-5"/>
        </w:rPr>
        <w:t> </w:t>
      </w:r>
      <w:r>
        <w:rPr>
          <w:color w:val="231F20"/>
        </w:rPr>
        <w:t>того,</w:t>
      </w:r>
      <w:r>
        <w:rPr>
          <w:color w:val="231F20"/>
          <w:spacing w:val="-5"/>
        </w:rPr>
        <w:t> </w:t>
      </w:r>
      <w:r>
        <w:rPr>
          <w:color w:val="231F20"/>
        </w:rPr>
        <w:t>в</w:t>
      </w:r>
      <w:r>
        <w:rPr>
          <w:color w:val="231F20"/>
          <w:spacing w:val="-5"/>
        </w:rPr>
        <w:t> </w:t>
      </w:r>
      <w:r>
        <w:rPr>
          <w:color w:val="231F20"/>
        </w:rPr>
        <w:t>задачи</w:t>
      </w:r>
      <w:r>
        <w:rPr>
          <w:color w:val="231F20"/>
          <w:spacing w:val="-5"/>
        </w:rPr>
        <w:t> </w:t>
      </w:r>
      <w:r>
        <w:rPr>
          <w:color w:val="231F20"/>
        </w:rPr>
        <w:t>учителя</w:t>
      </w:r>
      <w:r>
        <w:rPr>
          <w:color w:val="231F20"/>
          <w:spacing w:val="-5"/>
        </w:rPr>
        <w:t> </w:t>
      </w:r>
      <w:r>
        <w:rPr>
          <w:color w:val="231F20"/>
        </w:rPr>
        <w:t>входит организация регулярных рефлексивных сессий, в ходе которых подростки могут об- судить собственные эмоции и впечатления, рассказать о возникающих трудностях и оценить качество проделанной работы.</w:t>
      </w:r>
    </w:p>
    <w:p>
      <w:pPr>
        <w:pStyle w:val="BodyText"/>
        <w:spacing w:line="230" w:lineRule="auto"/>
      </w:pPr>
      <w:r>
        <w:rPr>
          <w:color w:val="231F20"/>
        </w:rPr>
        <w:t>По</w:t>
      </w:r>
      <w:r>
        <w:rPr>
          <w:color w:val="231F20"/>
          <w:spacing w:val="-4"/>
        </w:rPr>
        <w:t> </w:t>
      </w:r>
      <w:r>
        <w:rPr>
          <w:color w:val="231F20"/>
        </w:rPr>
        <w:t>итогам</w:t>
      </w:r>
      <w:r>
        <w:rPr>
          <w:color w:val="231F20"/>
          <w:spacing w:val="-4"/>
        </w:rPr>
        <w:t> </w:t>
      </w:r>
      <w:r>
        <w:rPr>
          <w:color w:val="231F20"/>
        </w:rPr>
        <w:t>апробации</w:t>
      </w:r>
      <w:r>
        <w:rPr>
          <w:color w:val="231F20"/>
          <w:spacing w:val="-4"/>
        </w:rPr>
        <w:t> </w:t>
      </w:r>
      <w:r>
        <w:rPr>
          <w:color w:val="231F20"/>
        </w:rPr>
        <w:t>важно</w:t>
      </w:r>
      <w:r>
        <w:rPr>
          <w:color w:val="231F20"/>
          <w:spacing w:val="-4"/>
        </w:rPr>
        <w:t> </w:t>
      </w:r>
      <w:r>
        <w:rPr>
          <w:color w:val="231F20"/>
        </w:rPr>
        <w:t>дополнить</w:t>
      </w:r>
      <w:r>
        <w:rPr>
          <w:color w:val="231F20"/>
          <w:spacing w:val="-4"/>
        </w:rPr>
        <w:t> </w:t>
      </w:r>
      <w:r>
        <w:rPr>
          <w:color w:val="231F20"/>
        </w:rPr>
        <w:t>рекомендации.</w:t>
      </w:r>
      <w:r>
        <w:rPr>
          <w:color w:val="231F20"/>
          <w:spacing w:val="-4"/>
        </w:rPr>
        <w:t> </w:t>
      </w:r>
      <w:r>
        <w:rPr>
          <w:color w:val="231F20"/>
        </w:rPr>
        <w:t>Театральная</w:t>
      </w:r>
      <w:r>
        <w:rPr>
          <w:color w:val="231F20"/>
          <w:spacing w:val="-4"/>
        </w:rPr>
        <w:t> </w:t>
      </w:r>
      <w:r>
        <w:rPr>
          <w:color w:val="231F20"/>
        </w:rPr>
        <w:t>деятельность может</w:t>
      </w:r>
      <w:r>
        <w:rPr>
          <w:color w:val="231F20"/>
          <w:spacing w:val="-13"/>
        </w:rPr>
        <w:t> </w:t>
      </w:r>
      <w:r>
        <w:rPr>
          <w:color w:val="231F20"/>
        </w:rPr>
        <w:t>использоваться</w:t>
      </w:r>
      <w:r>
        <w:rPr>
          <w:color w:val="231F20"/>
          <w:spacing w:val="-12"/>
        </w:rPr>
        <w:t> </w:t>
      </w:r>
      <w:r>
        <w:rPr>
          <w:color w:val="231F20"/>
        </w:rPr>
        <w:t>на</w:t>
      </w:r>
      <w:r>
        <w:rPr>
          <w:color w:val="231F20"/>
          <w:spacing w:val="-13"/>
        </w:rPr>
        <w:t> </w:t>
      </w:r>
      <w:r>
        <w:rPr>
          <w:color w:val="231F20"/>
        </w:rPr>
        <w:t>всех</w:t>
      </w:r>
      <w:r>
        <w:rPr>
          <w:color w:val="231F20"/>
          <w:spacing w:val="-12"/>
        </w:rPr>
        <w:t> </w:t>
      </w:r>
      <w:r>
        <w:rPr>
          <w:color w:val="231F20"/>
        </w:rPr>
        <w:t>ступенях</w:t>
      </w:r>
      <w:r>
        <w:rPr>
          <w:color w:val="231F20"/>
          <w:spacing w:val="-13"/>
        </w:rPr>
        <w:t> </w:t>
      </w:r>
      <w:r>
        <w:rPr>
          <w:color w:val="231F20"/>
        </w:rPr>
        <w:t>образования,</w:t>
      </w:r>
      <w:r>
        <w:rPr>
          <w:color w:val="231F20"/>
          <w:spacing w:val="-12"/>
        </w:rPr>
        <w:t> </w:t>
      </w:r>
      <w:r>
        <w:rPr>
          <w:color w:val="231F20"/>
        </w:rPr>
        <w:t>причем</w:t>
      </w:r>
      <w:r>
        <w:rPr>
          <w:color w:val="231F20"/>
          <w:spacing w:val="-13"/>
        </w:rPr>
        <w:t> </w:t>
      </w:r>
      <w:r>
        <w:rPr>
          <w:color w:val="231F20"/>
        </w:rPr>
        <w:t>она</w:t>
      </w:r>
      <w:r>
        <w:rPr>
          <w:color w:val="231F20"/>
          <w:spacing w:val="-12"/>
        </w:rPr>
        <w:t> </w:t>
      </w:r>
      <w:r>
        <w:rPr>
          <w:color w:val="231F20"/>
        </w:rPr>
        <w:t>эффективна</w:t>
      </w:r>
      <w:r>
        <w:rPr>
          <w:color w:val="231F20"/>
          <w:spacing w:val="-13"/>
        </w:rPr>
        <w:t> </w:t>
      </w:r>
      <w:r>
        <w:rPr>
          <w:color w:val="231F20"/>
        </w:rPr>
        <w:t>также</w:t>
      </w:r>
      <w:r>
        <w:rPr>
          <w:color w:val="231F20"/>
          <w:spacing w:val="-12"/>
        </w:rPr>
        <w:t> </w:t>
      </w:r>
      <w:r>
        <w:rPr>
          <w:color w:val="231F20"/>
        </w:rPr>
        <w:t>и для обучающихся начальной школы.</w:t>
      </w:r>
    </w:p>
    <w:p>
      <w:pPr>
        <w:pStyle w:val="BodyText"/>
        <w:spacing w:line="230" w:lineRule="auto"/>
      </w:pPr>
      <w:r>
        <w:rPr>
          <w:color w:val="231F20"/>
        </w:rPr>
        <w:t>Для обучающихся начальной школы для театральной постановки можно исполь- зовать народные сказки, как русские, так и сказки различных народов, в том числе </w:t>
      </w:r>
      <w:r>
        <w:rPr>
          <w:color w:val="231F20"/>
          <w:spacing w:val="-2"/>
        </w:rPr>
        <w:t>народов</w:t>
      </w:r>
      <w:r>
        <w:rPr>
          <w:color w:val="231F20"/>
          <w:spacing w:val="2"/>
        </w:rPr>
        <w:t> </w:t>
      </w:r>
      <w:r>
        <w:rPr>
          <w:color w:val="231F20"/>
          <w:spacing w:val="-2"/>
        </w:rPr>
        <w:t>тех</w:t>
      </w:r>
      <w:r>
        <w:rPr>
          <w:color w:val="231F20"/>
          <w:spacing w:val="3"/>
        </w:rPr>
        <w:t> </w:t>
      </w:r>
      <w:r>
        <w:rPr>
          <w:color w:val="231F20"/>
          <w:spacing w:val="-2"/>
        </w:rPr>
        <w:t>стран,</w:t>
      </w:r>
      <w:r>
        <w:rPr>
          <w:color w:val="231F20"/>
          <w:spacing w:val="2"/>
        </w:rPr>
        <w:t> </w:t>
      </w:r>
      <w:r>
        <w:rPr>
          <w:color w:val="231F20"/>
          <w:spacing w:val="-2"/>
        </w:rPr>
        <w:t>где</w:t>
      </w:r>
      <w:r>
        <w:rPr>
          <w:color w:val="231F20"/>
          <w:spacing w:val="3"/>
        </w:rPr>
        <w:t> </w:t>
      </w:r>
      <w:r>
        <w:rPr>
          <w:color w:val="231F20"/>
          <w:spacing w:val="-2"/>
        </w:rPr>
        <w:t>ранее</w:t>
      </w:r>
      <w:r>
        <w:rPr>
          <w:color w:val="231F20"/>
          <w:spacing w:val="2"/>
        </w:rPr>
        <w:t> </w:t>
      </w:r>
      <w:r>
        <w:rPr>
          <w:color w:val="231F20"/>
          <w:spacing w:val="-2"/>
        </w:rPr>
        <w:t>проживали</w:t>
      </w:r>
      <w:r>
        <w:rPr>
          <w:color w:val="231F20"/>
          <w:spacing w:val="3"/>
        </w:rPr>
        <w:t> </w:t>
      </w:r>
      <w:r>
        <w:rPr>
          <w:color w:val="231F20"/>
          <w:spacing w:val="-2"/>
        </w:rPr>
        <w:t>несовершеннолетние</w:t>
      </w:r>
      <w:r>
        <w:rPr>
          <w:color w:val="231F20"/>
          <w:spacing w:val="2"/>
        </w:rPr>
        <w:t> </w:t>
      </w:r>
      <w:r>
        <w:rPr>
          <w:color w:val="231F20"/>
          <w:spacing w:val="-2"/>
        </w:rPr>
        <w:t>иностранные</w:t>
      </w:r>
      <w:r>
        <w:rPr>
          <w:color w:val="231F20"/>
          <w:spacing w:val="3"/>
        </w:rPr>
        <w:t> </w:t>
      </w:r>
      <w:r>
        <w:rPr>
          <w:color w:val="231F20"/>
          <w:spacing w:val="-2"/>
        </w:rPr>
        <w:t>граждане.</w:t>
      </w:r>
    </w:p>
    <w:p>
      <w:pPr>
        <w:pStyle w:val="BodyText"/>
        <w:spacing w:line="230" w:lineRule="auto" w:before="211"/>
      </w:pPr>
      <w:r>
        <w:rPr>
          <w:color w:val="231F20"/>
        </w:rPr>
        <w:t>Проверка</w:t>
      </w:r>
      <w:r>
        <w:rPr>
          <w:color w:val="231F20"/>
          <w:spacing w:val="-8"/>
        </w:rPr>
        <w:t> </w:t>
      </w:r>
      <w:r>
        <w:rPr>
          <w:color w:val="231F20"/>
        </w:rPr>
        <w:t>эффективности</w:t>
      </w:r>
      <w:r>
        <w:rPr>
          <w:color w:val="231F20"/>
          <w:spacing w:val="-8"/>
        </w:rPr>
        <w:t> </w:t>
      </w:r>
      <w:r>
        <w:rPr>
          <w:color w:val="231F20"/>
        </w:rPr>
        <w:t>данной</w:t>
      </w:r>
      <w:r>
        <w:rPr>
          <w:color w:val="231F20"/>
          <w:spacing w:val="-8"/>
        </w:rPr>
        <w:t> </w:t>
      </w:r>
      <w:r>
        <w:rPr>
          <w:color w:val="231F20"/>
        </w:rPr>
        <w:t>практики</w:t>
      </w:r>
      <w:r>
        <w:rPr>
          <w:color w:val="231F20"/>
          <w:spacing w:val="-8"/>
        </w:rPr>
        <w:t> </w:t>
      </w:r>
      <w:r>
        <w:rPr>
          <w:color w:val="231F20"/>
        </w:rPr>
        <w:t>была</w:t>
      </w:r>
      <w:r>
        <w:rPr>
          <w:color w:val="231F20"/>
          <w:spacing w:val="-8"/>
        </w:rPr>
        <w:t> </w:t>
      </w:r>
      <w:r>
        <w:rPr>
          <w:color w:val="231F20"/>
        </w:rPr>
        <w:t>осуществлена</w:t>
      </w:r>
      <w:r>
        <w:rPr>
          <w:color w:val="231F20"/>
          <w:spacing w:val="-8"/>
        </w:rPr>
        <w:t> </w:t>
      </w:r>
      <w:r>
        <w:rPr>
          <w:color w:val="231F20"/>
        </w:rPr>
        <w:t>на</w:t>
      </w:r>
      <w:r>
        <w:rPr>
          <w:color w:val="231F20"/>
          <w:spacing w:val="-8"/>
        </w:rPr>
        <w:t> </w:t>
      </w:r>
      <w:r>
        <w:rPr>
          <w:color w:val="231F20"/>
        </w:rPr>
        <w:t>выборке</w:t>
      </w:r>
      <w:r>
        <w:rPr>
          <w:color w:val="231F20"/>
          <w:spacing w:val="-8"/>
        </w:rPr>
        <w:t> </w:t>
      </w:r>
      <w:r>
        <w:rPr>
          <w:color w:val="231F20"/>
        </w:rPr>
        <w:t>обуча- ющихся (Nобщ=358) в рамках реализации Государственного задания Министерства просвещения Российской Федерации № 073-00038-23-01 от 08.02.2023 г. «Оценка эффективности реализации программы психолого-педагогического сопровождения процессов</w:t>
      </w:r>
      <w:r>
        <w:rPr>
          <w:color w:val="231F20"/>
          <w:spacing w:val="-7"/>
        </w:rPr>
        <w:t> </w:t>
      </w:r>
      <w:r>
        <w:rPr>
          <w:color w:val="231F20"/>
        </w:rPr>
        <w:t>обучения,</w:t>
      </w:r>
      <w:r>
        <w:rPr>
          <w:color w:val="231F20"/>
          <w:spacing w:val="-7"/>
        </w:rPr>
        <w:t> </w:t>
      </w:r>
      <w:r>
        <w:rPr>
          <w:color w:val="231F20"/>
        </w:rPr>
        <w:t>социальной,</w:t>
      </w:r>
      <w:r>
        <w:rPr>
          <w:color w:val="231F20"/>
          <w:spacing w:val="-7"/>
        </w:rPr>
        <w:t> </w:t>
      </w:r>
      <w:r>
        <w:rPr>
          <w:color w:val="231F20"/>
        </w:rPr>
        <w:t>языковой</w:t>
      </w:r>
      <w:r>
        <w:rPr>
          <w:color w:val="231F20"/>
          <w:spacing w:val="-7"/>
        </w:rPr>
        <w:t> </w:t>
      </w:r>
      <w:r>
        <w:rPr>
          <w:color w:val="231F20"/>
        </w:rPr>
        <w:t>и</w:t>
      </w:r>
      <w:r>
        <w:rPr>
          <w:color w:val="231F20"/>
          <w:spacing w:val="-7"/>
        </w:rPr>
        <w:t> </w:t>
      </w:r>
      <w:r>
        <w:rPr>
          <w:color w:val="231F20"/>
        </w:rPr>
        <w:t>культурной</w:t>
      </w:r>
      <w:r>
        <w:rPr>
          <w:color w:val="231F20"/>
          <w:spacing w:val="-7"/>
        </w:rPr>
        <w:t> </w:t>
      </w:r>
      <w:r>
        <w:rPr>
          <w:color w:val="231F20"/>
        </w:rPr>
        <w:t>адаптации</w:t>
      </w:r>
      <w:r>
        <w:rPr>
          <w:color w:val="231F20"/>
          <w:spacing w:val="-7"/>
        </w:rPr>
        <w:t> </w:t>
      </w:r>
      <w:r>
        <w:rPr>
          <w:color w:val="231F20"/>
        </w:rPr>
        <w:t>детей</w:t>
      </w:r>
      <w:r>
        <w:rPr>
          <w:color w:val="231F20"/>
          <w:spacing w:val="-7"/>
        </w:rPr>
        <w:t> </w:t>
      </w:r>
      <w:r>
        <w:rPr>
          <w:color w:val="231F20"/>
        </w:rPr>
        <w:t>иностран- ных</w:t>
      </w:r>
      <w:r>
        <w:rPr>
          <w:color w:val="231F20"/>
          <w:spacing w:val="-10"/>
        </w:rPr>
        <w:t> </w:t>
      </w:r>
      <w:r>
        <w:rPr>
          <w:color w:val="231F20"/>
        </w:rPr>
        <w:t>граждан,</w:t>
      </w:r>
      <w:r>
        <w:rPr>
          <w:color w:val="231F20"/>
          <w:spacing w:val="-10"/>
        </w:rPr>
        <w:t> </w:t>
      </w:r>
      <w:r>
        <w:rPr>
          <w:color w:val="231F20"/>
        </w:rPr>
        <w:t>обучающихся</w:t>
      </w:r>
      <w:r>
        <w:rPr>
          <w:color w:val="231F20"/>
          <w:spacing w:val="-10"/>
        </w:rPr>
        <w:t> </w:t>
      </w:r>
      <w:r>
        <w:rPr>
          <w:color w:val="231F20"/>
        </w:rPr>
        <w:t>в</w:t>
      </w:r>
      <w:r>
        <w:rPr>
          <w:color w:val="231F20"/>
          <w:spacing w:val="-10"/>
        </w:rPr>
        <w:t> </w:t>
      </w:r>
      <w:r>
        <w:rPr>
          <w:color w:val="231F20"/>
        </w:rPr>
        <w:t>общеобразовательных</w:t>
      </w:r>
      <w:r>
        <w:rPr>
          <w:color w:val="231F20"/>
          <w:spacing w:val="-10"/>
        </w:rPr>
        <w:t> </w:t>
      </w:r>
      <w:r>
        <w:rPr>
          <w:color w:val="231F20"/>
        </w:rPr>
        <w:t>организациях</w:t>
      </w:r>
      <w:r>
        <w:rPr>
          <w:color w:val="231F20"/>
          <w:spacing w:val="-9"/>
        </w:rPr>
        <w:t> </w:t>
      </w:r>
      <w:r>
        <w:rPr>
          <w:color w:val="231F20"/>
        </w:rPr>
        <w:t>(на</w:t>
      </w:r>
      <w:r>
        <w:rPr>
          <w:color w:val="231F20"/>
          <w:spacing w:val="-10"/>
        </w:rPr>
        <w:t> </w:t>
      </w:r>
      <w:r>
        <w:rPr>
          <w:color w:val="231F20"/>
        </w:rPr>
        <w:t>основе</w:t>
      </w:r>
      <w:r>
        <w:rPr>
          <w:color w:val="231F20"/>
          <w:spacing w:val="-10"/>
        </w:rPr>
        <w:t> </w:t>
      </w:r>
      <w:r>
        <w:rPr>
          <w:color w:val="231F20"/>
        </w:rPr>
        <w:t>доказа- тельного</w:t>
      </w:r>
      <w:r>
        <w:rPr>
          <w:color w:val="231F20"/>
          <w:spacing w:val="-1"/>
        </w:rPr>
        <w:t> </w:t>
      </w:r>
      <w:r>
        <w:rPr>
          <w:color w:val="231F20"/>
        </w:rPr>
        <w:t>подхода</w:t>
      </w:r>
      <w:r>
        <w:rPr>
          <w:color w:val="231F20"/>
          <w:spacing w:val="-1"/>
        </w:rPr>
        <w:t> </w:t>
      </w:r>
      <w:r>
        <w:rPr>
          <w:color w:val="231F20"/>
        </w:rPr>
        <w:t>к</w:t>
      </w:r>
      <w:r>
        <w:rPr>
          <w:color w:val="231F20"/>
          <w:spacing w:val="-1"/>
        </w:rPr>
        <w:t> </w:t>
      </w:r>
      <w:r>
        <w:rPr>
          <w:color w:val="231F20"/>
        </w:rPr>
        <w:t>социальным</w:t>
      </w:r>
      <w:r>
        <w:rPr>
          <w:color w:val="231F20"/>
          <w:spacing w:val="-1"/>
        </w:rPr>
        <w:t> </w:t>
      </w:r>
      <w:r>
        <w:rPr>
          <w:color w:val="231F20"/>
        </w:rPr>
        <w:t>практикам</w:t>
      </w:r>
      <w:r>
        <w:rPr>
          <w:color w:val="231F20"/>
          <w:spacing w:val="-1"/>
        </w:rPr>
        <w:t> </w:t>
      </w:r>
      <w:r>
        <w:rPr>
          <w:color w:val="231F20"/>
        </w:rPr>
        <w:t>в</w:t>
      </w:r>
      <w:r>
        <w:rPr>
          <w:color w:val="231F20"/>
          <w:spacing w:val="-1"/>
        </w:rPr>
        <w:t> </w:t>
      </w:r>
      <w:r>
        <w:rPr>
          <w:color w:val="231F20"/>
        </w:rPr>
        <w:t>сфере</w:t>
      </w:r>
      <w:r>
        <w:rPr>
          <w:color w:val="231F20"/>
          <w:spacing w:val="-1"/>
        </w:rPr>
        <w:t> </w:t>
      </w:r>
      <w:r>
        <w:rPr>
          <w:color w:val="231F20"/>
        </w:rPr>
        <w:t>детства</w:t>
      </w:r>
      <w:r>
        <w:rPr>
          <w:color w:val="231F20"/>
          <w:spacing w:val="-1"/>
        </w:rPr>
        <w:t> </w:t>
      </w:r>
      <w:r>
        <w:rPr>
          <w:color w:val="231F20"/>
        </w:rPr>
        <w:t>и</w:t>
      </w:r>
      <w:r>
        <w:rPr>
          <w:color w:val="231F20"/>
          <w:spacing w:val="-1"/>
        </w:rPr>
        <w:t> </w:t>
      </w:r>
      <w:r>
        <w:rPr>
          <w:color w:val="231F20"/>
        </w:rPr>
        <w:t>дифференцированного подхода</w:t>
      </w:r>
      <w:r>
        <w:rPr>
          <w:color w:val="231F20"/>
          <w:spacing w:val="-7"/>
        </w:rPr>
        <w:t> </w:t>
      </w:r>
      <w:r>
        <w:rPr>
          <w:color w:val="231F20"/>
        </w:rPr>
        <w:t>к</w:t>
      </w:r>
      <w:r>
        <w:rPr>
          <w:color w:val="231F20"/>
          <w:spacing w:val="-7"/>
        </w:rPr>
        <w:t> </w:t>
      </w:r>
      <w:r>
        <w:rPr>
          <w:color w:val="231F20"/>
        </w:rPr>
        <w:t>обучению</w:t>
      </w:r>
      <w:r>
        <w:rPr>
          <w:color w:val="231F20"/>
          <w:spacing w:val="-7"/>
        </w:rPr>
        <w:t> </w:t>
      </w:r>
      <w:r>
        <w:rPr>
          <w:color w:val="231F20"/>
        </w:rPr>
        <w:t>детей</w:t>
      </w:r>
      <w:r>
        <w:rPr>
          <w:color w:val="231F20"/>
          <w:spacing w:val="-7"/>
        </w:rPr>
        <w:t> </w:t>
      </w:r>
      <w:r>
        <w:rPr>
          <w:color w:val="231F20"/>
        </w:rPr>
        <w:t>иностранных</w:t>
      </w:r>
      <w:r>
        <w:rPr>
          <w:color w:val="231F20"/>
          <w:spacing w:val="-7"/>
        </w:rPr>
        <w:t> </w:t>
      </w:r>
      <w:r>
        <w:rPr>
          <w:color w:val="231F20"/>
        </w:rPr>
        <w:t>граждан)»</w:t>
      </w:r>
      <w:r>
        <w:rPr>
          <w:color w:val="231F20"/>
          <w:spacing w:val="-7"/>
        </w:rPr>
        <w:t> </w:t>
      </w:r>
      <w:r>
        <w:rPr>
          <w:color w:val="231F20"/>
        </w:rPr>
        <w:t>и</w:t>
      </w:r>
      <w:r>
        <w:rPr>
          <w:color w:val="231F20"/>
          <w:spacing w:val="-7"/>
        </w:rPr>
        <w:t> </w:t>
      </w:r>
      <w:r>
        <w:rPr>
          <w:color w:val="231F20"/>
        </w:rPr>
        <w:t>опиралась</w:t>
      </w:r>
      <w:r>
        <w:rPr>
          <w:color w:val="231F20"/>
          <w:spacing w:val="-7"/>
        </w:rPr>
        <w:t> </w:t>
      </w:r>
      <w:r>
        <w:rPr>
          <w:color w:val="231F20"/>
        </w:rPr>
        <w:t>на</w:t>
      </w:r>
      <w:r>
        <w:rPr>
          <w:color w:val="231F20"/>
          <w:spacing w:val="-7"/>
        </w:rPr>
        <w:t> </w:t>
      </w:r>
      <w:r>
        <w:rPr>
          <w:color w:val="231F20"/>
        </w:rPr>
        <w:t>схему</w:t>
      </w:r>
      <w:r>
        <w:rPr>
          <w:color w:val="231F20"/>
          <w:spacing w:val="-7"/>
        </w:rPr>
        <w:t> </w:t>
      </w:r>
      <w:r>
        <w:rPr>
          <w:color w:val="231F20"/>
        </w:rPr>
        <w:t>Киркпатри- ка (Kirkpatrick, 1959):</w:t>
      </w:r>
    </w:p>
    <w:p>
      <w:pPr>
        <w:pStyle w:val="ListParagraph"/>
        <w:numPr>
          <w:ilvl w:val="0"/>
          <w:numId w:val="140"/>
        </w:numPr>
        <w:tabs>
          <w:tab w:pos="425" w:val="left" w:leader="none"/>
        </w:tabs>
        <w:spacing w:line="230" w:lineRule="auto" w:before="0" w:after="0"/>
        <w:ind w:left="425" w:right="139" w:hanging="284"/>
        <w:jc w:val="both"/>
        <w:rPr>
          <w:sz w:val="20"/>
        </w:rPr>
      </w:pPr>
      <w:r>
        <w:rPr>
          <w:color w:val="231F20"/>
          <w:sz w:val="20"/>
        </w:rPr>
        <w:t>Уровень приобретения знаний и умений: в результате прохождения практики у несовершеннолетних</w:t>
      </w:r>
      <w:r>
        <w:rPr>
          <w:color w:val="231F20"/>
          <w:spacing w:val="-3"/>
          <w:sz w:val="20"/>
        </w:rPr>
        <w:t> </w:t>
      </w:r>
      <w:r>
        <w:rPr>
          <w:color w:val="231F20"/>
          <w:sz w:val="20"/>
        </w:rPr>
        <w:t>иностранных</w:t>
      </w:r>
      <w:r>
        <w:rPr>
          <w:color w:val="231F20"/>
          <w:spacing w:val="-4"/>
          <w:sz w:val="20"/>
        </w:rPr>
        <w:t> </w:t>
      </w:r>
      <w:r>
        <w:rPr>
          <w:color w:val="231F20"/>
          <w:sz w:val="20"/>
        </w:rPr>
        <w:t>граждан</w:t>
      </w:r>
      <w:r>
        <w:rPr>
          <w:color w:val="231F20"/>
          <w:spacing w:val="-4"/>
          <w:sz w:val="20"/>
        </w:rPr>
        <w:t> </w:t>
      </w:r>
      <w:r>
        <w:rPr>
          <w:color w:val="231F20"/>
          <w:sz w:val="20"/>
        </w:rPr>
        <w:t>было</w:t>
      </w:r>
      <w:r>
        <w:rPr>
          <w:color w:val="231F20"/>
          <w:spacing w:val="-4"/>
          <w:sz w:val="20"/>
        </w:rPr>
        <w:t> </w:t>
      </w:r>
      <w:r>
        <w:rPr>
          <w:color w:val="231F20"/>
          <w:sz w:val="20"/>
        </w:rPr>
        <w:t>отмечено</w:t>
      </w:r>
      <w:r>
        <w:rPr>
          <w:color w:val="231F20"/>
          <w:spacing w:val="-4"/>
          <w:sz w:val="20"/>
        </w:rPr>
        <w:t> </w:t>
      </w:r>
      <w:r>
        <w:rPr>
          <w:color w:val="231F20"/>
          <w:sz w:val="20"/>
        </w:rPr>
        <w:t>значимое</w:t>
      </w:r>
      <w:r>
        <w:rPr>
          <w:color w:val="231F20"/>
          <w:spacing w:val="-4"/>
          <w:sz w:val="20"/>
        </w:rPr>
        <w:t> </w:t>
      </w:r>
      <w:r>
        <w:rPr>
          <w:color w:val="231F20"/>
          <w:sz w:val="20"/>
        </w:rPr>
        <w:t>повышения уровня</w:t>
      </w:r>
      <w:r>
        <w:rPr>
          <w:color w:val="231F20"/>
          <w:spacing w:val="20"/>
          <w:sz w:val="20"/>
        </w:rPr>
        <w:t> </w:t>
      </w:r>
      <w:r>
        <w:rPr>
          <w:color w:val="231F20"/>
          <w:sz w:val="20"/>
        </w:rPr>
        <w:t>психологического</w:t>
      </w:r>
      <w:r>
        <w:rPr>
          <w:color w:val="231F20"/>
          <w:spacing w:val="20"/>
          <w:sz w:val="20"/>
        </w:rPr>
        <w:t> </w:t>
      </w:r>
      <w:r>
        <w:rPr>
          <w:color w:val="231F20"/>
          <w:sz w:val="20"/>
        </w:rPr>
        <w:t>благополучия</w:t>
      </w:r>
      <w:r>
        <w:rPr>
          <w:color w:val="231F20"/>
          <w:spacing w:val="20"/>
          <w:sz w:val="20"/>
        </w:rPr>
        <w:t> </w:t>
      </w:r>
      <w:r>
        <w:rPr>
          <w:color w:val="231F20"/>
          <w:sz w:val="20"/>
        </w:rPr>
        <w:t>(Рисуночная</w:t>
      </w:r>
      <w:r>
        <w:rPr>
          <w:color w:val="231F20"/>
          <w:spacing w:val="20"/>
          <w:sz w:val="20"/>
        </w:rPr>
        <w:t> </w:t>
      </w:r>
      <w:r>
        <w:rPr>
          <w:color w:val="231F20"/>
          <w:sz w:val="20"/>
        </w:rPr>
        <w:t>диагностика</w:t>
      </w:r>
      <w:r>
        <w:rPr>
          <w:color w:val="231F20"/>
          <w:spacing w:val="20"/>
          <w:sz w:val="20"/>
        </w:rPr>
        <w:t> </w:t>
      </w:r>
      <w:r>
        <w:rPr>
          <w:color w:val="231F20"/>
          <w:sz w:val="20"/>
        </w:rPr>
        <w:t>психологиче-</w:t>
      </w:r>
    </w:p>
    <w:p>
      <w:pPr>
        <w:pStyle w:val="ListParagraph"/>
        <w:spacing w:after="0" w:line="230" w:lineRule="auto"/>
        <w:jc w:val="both"/>
        <w:rPr>
          <w:sz w:val="20"/>
        </w:rPr>
        <w:sectPr>
          <w:pgSz w:w="8400" w:h="11910"/>
          <w:pgMar w:header="0" w:footer="527" w:top="400" w:bottom="720" w:left="425" w:right="425"/>
        </w:sectPr>
      </w:pPr>
    </w:p>
    <w:p>
      <w:pPr>
        <w:pStyle w:val="ListParagraph"/>
        <w:numPr>
          <w:ilvl w:val="1"/>
          <w:numId w:val="112"/>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Методы</w:t>
      </w:r>
      <w:r>
        <w:rPr>
          <w:rFonts w:ascii="Georgia" w:hAnsi="Georgia"/>
          <w:color w:val="231F20"/>
          <w:spacing w:val="-2"/>
          <w:sz w:val="18"/>
        </w:rPr>
        <w:t> </w:t>
      </w:r>
      <w:r>
        <w:rPr>
          <w:rFonts w:ascii="Georgia" w:hAnsi="Georgia"/>
          <w:color w:val="231F20"/>
          <w:sz w:val="18"/>
        </w:rPr>
        <w:t>воспитательной</w:t>
      </w:r>
      <w:r>
        <w:rPr>
          <w:rFonts w:ascii="Georgia" w:hAnsi="Georgia"/>
          <w:color w:val="231F20"/>
          <w:spacing w:val="-1"/>
          <w:sz w:val="18"/>
        </w:rPr>
        <w:t> </w:t>
      </w:r>
      <w:r>
        <w:rPr>
          <w:rFonts w:ascii="Georgia" w:hAnsi="Georgia"/>
          <w:color w:val="231F20"/>
          <w:sz w:val="18"/>
        </w:rPr>
        <w:t>раюоты</w:t>
      </w:r>
      <w:r>
        <w:rPr>
          <w:rFonts w:ascii="Georgia" w:hAnsi="Georgia"/>
          <w:color w:val="231F20"/>
          <w:spacing w:val="-1"/>
          <w:sz w:val="18"/>
        </w:rPr>
        <w:t> </w:t>
      </w:r>
      <w:r>
        <w:rPr>
          <w:rFonts w:ascii="Georgia" w:hAnsi="Georgia"/>
          <w:color w:val="231F20"/>
          <w:sz w:val="18"/>
        </w:rPr>
        <w:t>для</w:t>
      </w:r>
      <w:r>
        <w:rPr>
          <w:rFonts w:ascii="Georgia" w:hAnsi="Georgia"/>
          <w:color w:val="231F20"/>
          <w:spacing w:val="-1"/>
          <w:sz w:val="18"/>
        </w:rPr>
        <w:t> </w:t>
      </w:r>
      <w:r>
        <w:rPr>
          <w:rFonts w:ascii="Georgia" w:hAnsi="Georgia"/>
          <w:color w:val="231F20"/>
          <w:sz w:val="18"/>
        </w:rPr>
        <w:t>адаптации</w:t>
      </w:r>
      <w:r>
        <w:rPr>
          <w:rFonts w:ascii="Georgia" w:hAnsi="Georgia"/>
          <w:color w:val="231F20"/>
          <w:spacing w:val="-1"/>
          <w:sz w:val="18"/>
        </w:rPr>
        <w:t> </w:t>
      </w:r>
      <w:r>
        <w:rPr>
          <w:rFonts w:ascii="Georgia" w:hAnsi="Georgia"/>
          <w:color w:val="231F20"/>
          <w:sz w:val="18"/>
        </w:rPr>
        <w:t>...</w:t>
      </w:r>
      <w:r>
        <w:rPr>
          <w:rFonts w:ascii="Georgia" w:hAnsi="Georgia"/>
          <w:color w:val="231F20"/>
          <w:spacing w:val="-1"/>
          <w:sz w:val="18"/>
        </w:rPr>
        <w:t> </w:t>
      </w:r>
      <w:r>
        <w:rPr>
          <w:rFonts w:ascii="Georgia" w:hAnsi="Georgia"/>
          <w:color w:val="231F20"/>
          <w:sz w:val="18"/>
        </w:rPr>
        <w:t>во</w:t>
      </w:r>
      <w:r>
        <w:rPr>
          <w:rFonts w:ascii="Georgia" w:hAnsi="Georgia"/>
          <w:color w:val="231F20"/>
          <w:spacing w:val="-1"/>
          <w:sz w:val="18"/>
        </w:rPr>
        <w:t> </w:t>
      </w:r>
      <w:r>
        <w:rPr>
          <w:rFonts w:ascii="Georgia" w:hAnsi="Georgia"/>
          <w:color w:val="231F20"/>
          <w:spacing w:val="-2"/>
          <w:sz w:val="18"/>
        </w:rPr>
        <w:t>взаимодействии...</w:t>
      </w:r>
    </w:p>
    <w:p>
      <w:pPr>
        <w:pStyle w:val="BodyText"/>
        <w:spacing w:line="228" w:lineRule="auto" w:before="121"/>
        <w:ind w:left="425" w:firstLine="0"/>
      </w:pPr>
      <w:r>
        <w:rPr>
          <w:color w:val="231F20"/>
        </w:rPr>
        <w:t>ского благополучия: от 3,44 к 3,60 p&lt;0,01; Шкала психологического благополу- чия Уорик-Эдинург от 52,20 до 56,21 p&lt;0,05; Шкала удовлетворённости жизнью школьника от 117,08 до 125,05 p&lt;0,01) и культурной адаптации (Детский опро- сник аккультурационного стресса от 21,00 к 15,26 p&lt;0,05).</w:t>
      </w:r>
    </w:p>
    <w:p>
      <w:pPr>
        <w:spacing w:line="203" w:lineRule="exact" w:before="101"/>
        <w:ind w:left="425" w:right="0" w:firstLine="0"/>
        <w:jc w:val="left"/>
        <w:rPr>
          <w:b/>
          <w:sz w:val="18"/>
        </w:rPr>
      </w:pPr>
      <w:r>
        <w:rPr>
          <w:b/>
          <w:color w:val="231F20"/>
          <w:spacing w:val="-2"/>
          <w:sz w:val="18"/>
        </w:rPr>
        <w:t>Литература</w:t>
      </w:r>
    </w:p>
    <w:p>
      <w:pPr>
        <w:pStyle w:val="ListParagraph"/>
        <w:numPr>
          <w:ilvl w:val="2"/>
          <w:numId w:val="112"/>
        </w:numPr>
        <w:tabs>
          <w:tab w:pos="708" w:val="left" w:leader="none"/>
          <w:tab w:pos="1480" w:val="left" w:leader="none"/>
          <w:tab w:pos="2797" w:val="left" w:leader="none"/>
          <w:tab w:pos="4035" w:val="left" w:leader="none"/>
          <w:tab w:pos="4493" w:val="left" w:leader="none"/>
          <w:tab w:pos="4879" w:val="left" w:leader="none"/>
          <w:tab w:pos="5278" w:val="left" w:leader="none"/>
          <w:tab w:pos="5772" w:val="left" w:leader="none"/>
          <w:tab w:pos="6352" w:val="left" w:leader="none"/>
          <w:tab w:pos="6669" w:val="left" w:leader="none"/>
        </w:tabs>
        <w:spacing w:line="200" w:lineRule="exact" w:before="0" w:after="0"/>
        <w:ind w:left="708" w:right="0" w:hanging="283"/>
        <w:jc w:val="left"/>
        <w:rPr>
          <w:color w:val="231F20"/>
          <w:sz w:val="18"/>
        </w:rPr>
      </w:pPr>
      <w:r>
        <w:rPr>
          <w:color w:val="231F20"/>
          <w:spacing w:val="-2"/>
          <w:sz w:val="18"/>
        </w:rPr>
        <w:t>Приказ</w:t>
      </w:r>
      <w:r>
        <w:rPr>
          <w:color w:val="231F20"/>
          <w:sz w:val="18"/>
        </w:rPr>
        <w:tab/>
      </w:r>
      <w:r>
        <w:rPr>
          <w:color w:val="231F20"/>
          <w:spacing w:val="-2"/>
          <w:sz w:val="18"/>
        </w:rPr>
        <w:t>Министерства</w:t>
      </w:r>
      <w:r>
        <w:rPr>
          <w:color w:val="231F20"/>
          <w:sz w:val="18"/>
        </w:rPr>
        <w:tab/>
      </w:r>
      <w:r>
        <w:rPr>
          <w:color w:val="231F20"/>
          <w:spacing w:val="-2"/>
          <w:sz w:val="18"/>
        </w:rPr>
        <w:t>просвещения</w:t>
      </w:r>
      <w:r>
        <w:rPr>
          <w:color w:val="231F20"/>
          <w:sz w:val="18"/>
        </w:rPr>
        <w:tab/>
      </w:r>
      <w:r>
        <w:rPr>
          <w:color w:val="231F20"/>
          <w:spacing w:val="-5"/>
          <w:sz w:val="18"/>
        </w:rPr>
        <w:t>РФ</w:t>
      </w:r>
      <w:r>
        <w:rPr>
          <w:color w:val="231F20"/>
          <w:sz w:val="18"/>
        </w:rPr>
        <w:tab/>
      </w:r>
      <w:r>
        <w:rPr>
          <w:color w:val="231F20"/>
          <w:spacing w:val="-5"/>
          <w:sz w:val="18"/>
        </w:rPr>
        <w:t>от</w:t>
      </w:r>
      <w:r>
        <w:rPr>
          <w:color w:val="231F20"/>
          <w:sz w:val="18"/>
        </w:rPr>
        <w:tab/>
      </w:r>
      <w:r>
        <w:rPr>
          <w:color w:val="231F20"/>
          <w:spacing w:val="-5"/>
          <w:sz w:val="18"/>
        </w:rPr>
        <w:t>31</w:t>
      </w:r>
      <w:r>
        <w:rPr>
          <w:color w:val="231F20"/>
          <w:sz w:val="18"/>
        </w:rPr>
        <w:tab/>
      </w:r>
      <w:r>
        <w:rPr>
          <w:color w:val="231F20"/>
          <w:spacing w:val="-5"/>
          <w:sz w:val="18"/>
        </w:rPr>
        <w:t>мая</w:t>
      </w:r>
      <w:r>
        <w:rPr>
          <w:color w:val="231F20"/>
          <w:sz w:val="18"/>
        </w:rPr>
        <w:tab/>
      </w:r>
      <w:r>
        <w:rPr>
          <w:color w:val="231F20"/>
          <w:spacing w:val="-4"/>
          <w:sz w:val="18"/>
        </w:rPr>
        <w:t>2021</w:t>
      </w:r>
      <w:r>
        <w:rPr>
          <w:color w:val="231F20"/>
          <w:sz w:val="18"/>
        </w:rPr>
        <w:tab/>
      </w:r>
      <w:r>
        <w:rPr>
          <w:color w:val="231F20"/>
          <w:spacing w:val="-5"/>
          <w:sz w:val="18"/>
        </w:rPr>
        <w:t>г.</w:t>
      </w:r>
      <w:r>
        <w:rPr>
          <w:color w:val="231F20"/>
          <w:sz w:val="18"/>
        </w:rPr>
        <w:tab/>
        <w:t>N</w:t>
      </w:r>
      <w:r>
        <w:rPr>
          <w:color w:val="231F20"/>
          <w:spacing w:val="-3"/>
          <w:sz w:val="18"/>
        </w:rPr>
        <w:t> </w:t>
      </w:r>
      <w:r>
        <w:rPr>
          <w:color w:val="231F20"/>
          <w:spacing w:val="-5"/>
          <w:sz w:val="18"/>
        </w:rPr>
        <w:t>287</w:t>
      </w:r>
    </w:p>
    <w:p>
      <w:pPr>
        <w:spacing w:line="232" w:lineRule="auto" w:before="2"/>
        <w:ind w:left="708" w:right="423" w:firstLine="0"/>
        <w:jc w:val="both"/>
        <w:rPr>
          <w:sz w:val="18"/>
        </w:rPr>
      </w:pPr>
      <w:r>
        <w:rPr>
          <w:color w:val="231F20"/>
          <w:sz w:val="18"/>
        </w:rPr>
        <w:t>«Об утверждении федерального государственного образовательного стандарта ос- новного общего образования» URL: </w:t>
      </w:r>
      <w:hyperlink r:id="rId134">
        <w:r>
          <w:rPr>
            <w:color w:val="2255A6"/>
            <w:sz w:val="18"/>
            <w:u w:val="single" w:color="2255A6"/>
          </w:rPr>
          <w:t>http://publication.pravo.gov.ru/Document/View/</w:t>
        </w:r>
      </w:hyperlink>
      <w:r>
        <w:rPr>
          <w:color w:val="2255A6"/>
          <w:sz w:val="18"/>
        </w:rPr>
        <w:t> </w:t>
      </w:r>
      <w:hyperlink r:id="rId134">
        <w:r>
          <w:rPr>
            <w:color w:val="2255A6"/>
            <w:spacing w:val="-2"/>
            <w:sz w:val="18"/>
            <w:u w:val="single" w:color="2255A6"/>
          </w:rPr>
          <w:t>0001202107050027</w:t>
        </w:r>
      </w:hyperlink>
      <w:r>
        <w:rPr>
          <w:color w:val="231F20"/>
          <w:spacing w:val="-2"/>
          <w:sz w:val="18"/>
        </w:rPr>
        <w:t>.</w:t>
      </w:r>
    </w:p>
    <w:p>
      <w:pPr>
        <w:pStyle w:val="ListParagraph"/>
        <w:numPr>
          <w:ilvl w:val="2"/>
          <w:numId w:val="112"/>
        </w:numPr>
        <w:tabs>
          <w:tab w:pos="708" w:val="left" w:leader="none"/>
        </w:tabs>
        <w:spacing w:line="235" w:lineRule="auto" w:before="0" w:after="0"/>
        <w:ind w:left="708" w:right="423" w:hanging="284"/>
        <w:jc w:val="both"/>
        <w:rPr>
          <w:color w:val="231F20"/>
          <w:sz w:val="18"/>
        </w:rPr>
      </w:pPr>
      <w:r>
        <w:rPr>
          <w:color w:val="231F20"/>
          <w:sz w:val="18"/>
        </w:rPr>
        <w:t>Карпов А.В., Скитяева И.М. Психология метакогнитивных процессов. – М.: Ин-т психологии РАН, 2005. – 352 с.</w:t>
      </w:r>
    </w:p>
    <w:p>
      <w:pPr>
        <w:pStyle w:val="ListParagraph"/>
        <w:numPr>
          <w:ilvl w:val="2"/>
          <w:numId w:val="112"/>
        </w:numPr>
        <w:tabs>
          <w:tab w:pos="708" w:val="left" w:leader="none"/>
        </w:tabs>
        <w:spacing w:line="235" w:lineRule="auto" w:before="0" w:after="0"/>
        <w:ind w:left="708" w:right="423" w:hanging="284"/>
        <w:jc w:val="both"/>
        <w:rPr>
          <w:color w:val="231F20"/>
          <w:sz w:val="18"/>
        </w:rPr>
      </w:pPr>
      <w:r>
        <w:rPr>
          <w:color w:val="231F20"/>
          <w:sz w:val="18"/>
        </w:rPr>
        <w:t>Поскакалова Т.А. История развития театральных практик в образовании: зару- бежный и отечественный опыт. Современная зарубежная психология, 2021. 10(2). С. 96–104. DOI: 10.17759 / jmfp. 2021100210.</w:t>
      </w:r>
    </w:p>
    <w:p>
      <w:pPr>
        <w:pStyle w:val="ListParagraph"/>
        <w:numPr>
          <w:ilvl w:val="2"/>
          <w:numId w:val="112"/>
        </w:numPr>
        <w:tabs>
          <w:tab w:pos="708" w:val="left" w:leader="none"/>
        </w:tabs>
        <w:spacing w:line="247" w:lineRule="auto" w:before="0" w:after="0"/>
        <w:ind w:left="708" w:right="423" w:hanging="284"/>
        <w:jc w:val="both"/>
        <w:rPr>
          <w:color w:val="231F20"/>
          <w:sz w:val="17"/>
        </w:rPr>
      </w:pPr>
      <w:r>
        <w:rPr>
          <w:color w:val="231F20"/>
          <w:w w:val="105"/>
          <w:sz w:val="17"/>
        </w:rPr>
        <w:t>Поскакалова</w:t>
      </w:r>
      <w:r>
        <w:rPr>
          <w:color w:val="231F20"/>
          <w:w w:val="105"/>
          <w:sz w:val="17"/>
        </w:rPr>
        <w:t> Т.А.,</w:t>
      </w:r>
      <w:r>
        <w:rPr>
          <w:color w:val="231F20"/>
          <w:w w:val="105"/>
          <w:sz w:val="17"/>
        </w:rPr>
        <w:t> Соловьева</w:t>
      </w:r>
      <w:r>
        <w:rPr>
          <w:color w:val="231F20"/>
          <w:w w:val="105"/>
          <w:sz w:val="17"/>
        </w:rPr>
        <w:t> А.Г.</w:t>
      </w:r>
      <w:r>
        <w:rPr>
          <w:color w:val="231F20"/>
          <w:w w:val="105"/>
          <w:sz w:val="17"/>
        </w:rPr>
        <w:t> Театральная</w:t>
      </w:r>
      <w:r>
        <w:rPr>
          <w:color w:val="231F20"/>
          <w:w w:val="105"/>
          <w:sz w:val="17"/>
        </w:rPr>
        <w:t> деятельность</w:t>
      </w:r>
      <w:r>
        <w:rPr>
          <w:color w:val="231F20"/>
          <w:w w:val="105"/>
          <w:sz w:val="17"/>
        </w:rPr>
        <w:t> как</w:t>
      </w:r>
      <w:r>
        <w:rPr>
          <w:color w:val="231F20"/>
          <w:w w:val="105"/>
          <w:sz w:val="17"/>
        </w:rPr>
        <w:t> средство</w:t>
      </w:r>
      <w:r>
        <w:rPr>
          <w:color w:val="231F20"/>
          <w:w w:val="105"/>
          <w:sz w:val="17"/>
        </w:rPr>
        <w:t> развития рефлексии</w:t>
      </w:r>
      <w:r>
        <w:rPr>
          <w:color w:val="231F20"/>
          <w:spacing w:val="-11"/>
          <w:w w:val="105"/>
          <w:sz w:val="17"/>
        </w:rPr>
        <w:t> </w:t>
      </w:r>
      <w:r>
        <w:rPr>
          <w:color w:val="231F20"/>
          <w:w w:val="105"/>
          <w:sz w:val="17"/>
        </w:rPr>
        <w:t>у</w:t>
      </w:r>
      <w:r>
        <w:rPr>
          <w:color w:val="231F20"/>
          <w:spacing w:val="-11"/>
          <w:w w:val="105"/>
          <w:sz w:val="17"/>
        </w:rPr>
        <w:t> </w:t>
      </w:r>
      <w:r>
        <w:rPr>
          <w:color w:val="231F20"/>
          <w:w w:val="105"/>
          <w:sz w:val="17"/>
        </w:rPr>
        <w:t>учащихся</w:t>
      </w:r>
      <w:r>
        <w:rPr>
          <w:color w:val="231F20"/>
          <w:spacing w:val="-11"/>
          <w:w w:val="105"/>
          <w:sz w:val="17"/>
        </w:rPr>
        <w:t> </w:t>
      </w:r>
      <w:r>
        <w:rPr>
          <w:color w:val="231F20"/>
          <w:w w:val="105"/>
          <w:sz w:val="17"/>
        </w:rPr>
        <w:t>подросткового</w:t>
      </w:r>
      <w:r>
        <w:rPr>
          <w:color w:val="231F20"/>
          <w:spacing w:val="-11"/>
          <w:w w:val="105"/>
          <w:sz w:val="17"/>
        </w:rPr>
        <w:t> </w:t>
      </w:r>
      <w:r>
        <w:rPr>
          <w:color w:val="231F20"/>
          <w:w w:val="105"/>
          <w:sz w:val="17"/>
        </w:rPr>
        <w:t>возраста.</w:t>
      </w:r>
      <w:r>
        <w:rPr>
          <w:color w:val="231F20"/>
          <w:spacing w:val="-11"/>
          <w:w w:val="105"/>
          <w:sz w:val="17"/>
        </w:rPr>
        <w:t> </w:t>
      </w:r>
      <w:r>
        <w:rPr>
          <w:color w:val="231F20"/>
          <w:w w:val="105"/>
          <w:sz w:val="17"/>
        </w:rPr>
        <w:t>ХX</w:t>
      </w:r>
      <w:r>
        <w:rPr>
          <w:color w:val="231F20"/>
          <w:spacing w:val="-11"/>
          <w:w w:val="105"/>
          <w:sz w:val="17"/>
        </w:rPr>
        <w:t> </w:t>
      </w:r>
      <w:r>
        <w:rPr>
          <w:color w:val="231F20"/>
          <w:w w:val="105"/>
          <w:sz w:val="17"/>
        </w:rPr>
        <w:t>Международная</w:t>
      </w:r>
      <w:r>
        <w:rPr>
          <w:color w:val="231F20"/>
          <w:spacing w:val="-11"/>
          <w:w w:val="105"/>
          <w:sz w:val="17"/>
        </w:rPr>
        <w:t> </w:t>
      </w:r>
      <w:r>
        <w:rPr>
          <w:color w:val="231F20"/>
          <w:w w:val="105"/>
          <w:sz w:val="17"/>
        </w:rPr>
        <w:t>научно-практи- </w:t>
      </w:r>
      <w:r>
        <w:rPr>
          <w:color w:val="231F20"/>
          <w:spacing w:val="-2"/>
          <w:w w:val="105"/>
          <w:sz w:val="17"/>
        </w:rPr>
        <w:t>ческая конференция молодых исследователей образования. Исследования, улучшаю- щие</w:t>
      </w:r>
      <w:r>
        <w:rPr>
          <w:color w:val="231F20"/>
          <w:spacing w:val="-11"/>
          <w:w w:val="105"/>
          <w:sz w:val="17"/>
        </w:rPr>
        <w:t> </w:t>
      </w:r>
      <w:r>
        <w:rPr>
          <w:color w:val="231F20"/>
          <w:spacing w:val="-2"/>
          <w:w w:val="105"/>
          <w:sz w:val="17"/>
        </w:rPr>
        <w:t>образование.</w:t>
      </w:r>
      <w:r>
        <w:rPr>
          <w:color w:val="231F20"/>
          <w:spacing w:val="-10"/>
          <w:w w:val="105"/>
          <w:sz w:val="17"/>
        </w:rPr>
        <w:t> </w:t>
      </w:r>
      <w:r>
        <w:rPr>
          <w:color w:val="231F20"/>
          <w:spacing w:val="-2"/>
          <w:w w:val="105"/>
          <w:sz w:val="17"/>
        </w:rPr>
        <w:t>Тезисы</w:t>
      </w:r>
      <w:r>
        <w:rPr>
          <w:color w:val="231F20"/>
          <w:spacing w:val="-10"/>
          <w:w w:val="105"/>
          <w:sz w:val="17"/>
        </w:rPr>
        <w:t> </w:t>
      </w:r>
      <w:r>
        <w:rPr>
          <w:color w:val="231F20"/>
          <w:spacing w:val="-2"/>
          <w:w w:val="105"/>
          <w:sz w:val="17"/>
        </w:rPr>
        <w:t>конференции.</w:t>
      </w:r>
      <w:r>
        <w:rPr>
          <w:color w:val="231F20"/>
          <w:spacing w:val="-10"/>
          <w:w w:val="105"/>
          <w:sz w:val="17"/>
        </w:rPr>
        <w:t> </w:t>
      </w:r>
      <w:r>
        <w:rPr>
          <w:color w:val="231F20"/>
          <w:spacing w:val="-2"/>
          <w:w w:val="105"/>
          <w:sz w:val="17"/>
        </w:rPr>
        <w:t>–</w:t>
      </w:r>
      <w:r>
        <w:rPr>
          <w:color w:val="231F20"/>
          <w:spacing w:val="-10"/>
          <w:w w:val="105"/>
          <w:sz w:val="17"/>
        </w:rPr>
        <w:t> </w:t>
      </w:r>
      <w:r>
        <w:rPr>
          <w:color w:val="231F20"/>
          <w:spacing w:val="-2"/>
          <w:w w:val="105"/>
          <w:sz w:val="17"/>
        </w:rPr>
        <w:t>М.:</w:t>
      </w:r>
      <w:r>
        <w:rPr>
          <w:color w:val="231F20"/>
          <w:spacing w:val="-10"/>
          <w:w w:val="105"/>
          <w:sz w:val="17"/>
        </w:rPr>
        <w:t> </w:t>
      </w:r>
      <w:r>
        <w:rPr>
          <w:color w:val="231F20"/>
          <w:spacing w:val="-2"/>
          <w:w w:val="105"/>
          <w:sz w:val="17"/>
        </w:rPr>
        <w:t>ФГБОУ</w:t>
      </w:r>
      <w:r>
        <w:rPr>
          <w:color w:val="231F20"/>
          <w:spacing w:val="-10"/>
          <w:w w:val="105"/>
          <w:sz w:val="17"/>
        </w:rPr>
        <w:t> </w:t>
      </w:r>
      <w:r>
        <w:rPr>
          <w:color w:val="231F20"/>
          <w:spacing w:val="-2"/>
          <w:w w:val="105"/>
          <w:sz w:val="17"/>
        </w:rPr>
        <w:t>ВО</w:t>
      </w:r>
      <w:r>
        <w:rPr>
          <w:color w:val="231F20"/>
          <w:spacing w:val="-10"/>
          <w:w w:val="105"/>
          <w:sz w:val="17"/>
        </w:rPr>
        <w:t> </w:t>
      </w:r>
      <w:r>
        <w:rPr>
          <w:color w:val="231F20"/>
          <w:spacing w:val="-2"/>
          <w:w w:val="105"/>
          <w:sz w:val="17"/>
        </w:rPr>
        <w:t>МГППУ,</w:t>
      </w:r>
      <w:r>
        <w:rPr>
          <w:color w:val="231F20"/>
          <w:spacing w:val="-11"/>
          <w:w w:val="105"/>
          <w:sz w:val="17"/>
        </w:rPr>
        <w:t> </w:t>
      </w:r>
      <w:r>
        <w:rPr>
          <w:color w:val="231F20"/>
          <w:spacing w:val="-2"/>
          <w:w w:val="105"/>
          <w:sz w:val="17"/>
        </w:rPr>
        <w:t>2021.</w:t>
      </w:r>
      <w:r>
        <w:rPr>
          <w:color w:val="231F20"/>
          <w:spacing w:val="-10"/>
          <w:w w:val="105"/>
          <w:sz w:val="17"/>
        </w:rPr>
        <w:t> </w:t>
      </w:r>
      <w:r>
        <w:rPr>
          <w:color w:val="231F20"/>
          <w:spacing w:val="-2"/>
          <w:w w:val="105"/>
          <w:sz w:val="17"/>
        </w:rPr>
        <w:t>–</w:t>
      </w:r>
      <w:r>
        <w:rPr>
          <w:color w:val="231F20"/>
          <w:spacing w:val="-10"/>
          <w:w w:val="105"/>
          <w:sz w:val="17"/>
        </w:rPr>
        <w:t> </w:t>
      </w:r>
      <w:r>
        <w:rPr>
          <w:color w:val="231F20"/>
          <w:spacing w:val="-2"/>
          <w:w w:val="105"/>
          <w:sz w:val="17"/>
        </w:rPr>
        <w:t>С.</w:t>
      </w:r>
      <w:r>
        <w:rPr>
          <w:color w:val="231F20"/>
          <w:spacing w:val="-9"/>
          <w:w w:val="105"/>
          <w:sz w:val="17"/>
        </w:rPr>
        <w:t> </w:t>
      </w:r>
      <w:r>
        <w:rPr>
          <w:color w:val="231F20"/>
          <w:spacing w:val="-2"/>
          <w:w w:val="105"/>
          <w:sz w:val="17"/>
        </w:rPr>
        <w:t>603–608.</w:t>
      </w:r>
    </w:p>
    <w:p>
      <w:pPr>
        <w:pStyle w:val="ListParagraph"/>
        <w:numPr>
          <w:ilvl w:val="2"/>
          <w:numId w:val="112"/>
        </w:numPr>
        <w:tabs>
          <w:tab w:pos="708" w:val="left" w:leader="none"/>
        </w:tabs>
        <w:spacing w:line="230" w:lineRule="auto" w:before="0" w:after="0"/>
        <w:ind w:left="708" w:right="423" w:hanging="284"/>
        <w:jc w:val="both"/>
        <w:rPr>
          <w:color w:val="231F20"/>
          <w:sz w:val="18"/>
        </w:rPr>
      </w:pPr>
      <w:r>
        <w:rPr>
          <w:color w:val="231F20"/>
          <w:sz w:val="18"/>
        </w:rPr>
        <w:t>Рубцова О.В., Поскакалова Т.А., Соловьева Т.А. Театр как деятельностная тех- нология</w:t>
      </w:r>
      <w:r>
        <w:rPr>
          <w:color w:val="231F20"/>
          <w:spacing w:val="40"/>
          <w:sz w:val="18"/>
        </w:rPr>
        <w:t> </w:t>
      </w:r>
      <w:r>
        <w:rPr>
          <w:color w:val="231F20"/>
          <w:sz w:val="18"/>
        </w:rPr>
        <w:t>воспитания</w:t>
      </w:r>
      <w:r>
        <w:rPr>
          <w:color w:val="231F20"/>
          <w:spacing w:val="40"/>
          <w:sz w:val="18"/>
        </w:rPr>
        <w:t> </w:t>
      </w:r>
      <w:r>
        <w:rPr>
          <w:color w:val="231F20"/>
          <w:sz w:val="18"/>
        </w:rPr>
        <w:t>и</w:t>
      </w:r>
      <w:r>
        <w:rPr>
          <w:color w:val="231F20"/>
          <w:spacing w:val="40"/>
          <w:sz w:val="18"/>
        </w:rPr>
        <w:t> </w:t>
      </w:r>
      <w:r>
        <w:rPr>
          <w:color w:val="231F20"/>
          <w:sz w:val="18"/>
        </w:rPr>
        <w:t>формирования</w:t>
      </w:r>
      <w:r>
        <w:rPr>
          <w:color w:val="231F20"/>
          <w:spacing w:val="40"/>
          <w:sz w:val="18"/>
        </w:rPr>
        <w:t> </w:t>
      </w:r>
      <w:r>
        <w:rPr>
          <w:color w:val="231F20"/>
          <w:sz w:val="18"/>
        </w:rPr>
        <w:t>личностных</w:t>
      </w:r>
      <w:r>
        <w:rPr>
          <w:color w:val="231F20"/>
          <w:spacing w:val="40"/>
          <w:sz w:val="18"/>
        </w:rPr>
        <w:t> </w:t>
      </w:r>
      <w:r>
        <w:rPr>
          <w:color w:val="231F20"/>
          <w:sz w:val="18"/>
        </w:rPr>
        <w:t>образовательных</w:t>
      </w:r>
      <w:r>
        <w:rPr>
          <w:color w:val="231F20"/>
          <w:spacing w:val="40"/>
          <w:sz w:val="18"/>
        </w:rPr>
        <w:t> </w:t>
      </w:r>
      <w:r>
        <w:rPr>
          <w:color w:val="231F20"/>
          <w:sz w:val="18"/>
        </w:rPr>
        <w:t>результа- тов. Психологическая наука и образование, 2022. 27 (1). С. 52–64. DOI:</w:t>
      </w:r>
      <w:r>
        <w:rPr>
          <w:color w:val="231F20"/>
          <w:spacing w:val="-3"/>
          <w:sz w:val="18"/>
        </w:rPr>
        <w:t> </w:t>
      </w:r>
      <w:r>
        <w:rPr>
          <w:color w:val="231F20"/>
          <w:sz w:val="18"/>
        </w:rPr>
        <w:t>10.17759/ </w:t>
      </w:r>
      <w:r>
        <w:rPr>
          <w:color w:val="231F20"/>
          <w:spacing w:val="-2"/>
          <w:sz w:val="18"/>
        </w:rPr>
        <w:t>pse.2022270105.</w:t>
      </w:r>
    </w:p>
    <w:p>
      <w:pPr>
        <w:pStyle w:val="ListParagraph"/>
        <w:numPr>
          <w:ilvl w:val="2"/>
          <w:numId w:val="112"/>
        </w:numPr>
        <w:tabs>
          <w:tab w:pos="708" w:val="left" w:leader="none"/>
        </w:tabs>
        <w:spacing w:line="235" w:lineRule="auto" w:before="0" w:after="0"/>
        <w:ind w:left="708" w:right="423" w:hanging="284"/>
        <w:jc w:val="both"/>
        <w:rPr>
          <w:color w:val="231F20"/>
          <w:sz w:val="18"/>
        </w:rPr>
      </w:pPr>
      <w:r>
        <w:rPr>
          <w:color w:val="231F20"/>
          <w:sz w:val="18"/>
        </w:rPr>
        <w:t>Рубцова О.В., Поскакалова Т.А. Театральная деятельность как средство развития</w:t>
      </w:r>
      <w:r>
        <w:rPr>
          <w:color w:val="231F20"/>
          <w:spacing w:val="80"/>
          <w:sz w:val="18"/>
        </w:rPr>
        <w:t> </w:t>
      </w:r>
      <w:r>
        <w:rPr>
          <w:color w:val="231F20"/>
          <w:sz w:val="18"/>
        </w:rPr>
        <w:t>и обучения в подростковом возрасте: результаты эмпирического исследования. Психологическая наука и образование, 2020. 25 (6). С. 144–156. DOI:</w:t>
      </w:r>
      <w:r>
        <w:rPr>
          <w:color w:val="231F20"/>
          <w:spacing w:val="-3"/>
          <w:sz w:val="18"/>
        </w:rPr>
        <w:t> </w:t>
      </w:r>
      <w:r>
        <w:rPr>
          <w:color w:val="231F20"/>
          <w:sz w:val="18"/>
        </w:rPr>
        <w:t>10.17759/pse.</w:t>
      </w:r>
    </w:p>
    <w:p>
      <w:pPr>
        <w:spacing w:line="201" w:lineRule="exact" w:before="0"/>
        <w:ind w:left="708" w:right="0" w:firstLine="0"/>
        <w:jc w:val="left"/>
        <w:rPr>
          <w:sz w:val="18"/>
        </w:rPr>
      </w:pPr>
      <w:r>
        <w:rPr>
          <w:color w:val="231F20"/>
          <w:spacing w:val="-2"/>
          <w:sz w:val="18"/>
        </w:rPr>
        <w:t>2020250612.</w:t>
      </w:r>
    </w:p>
    <w:p>
      <w:pPr>
        <w:pStyle w:val="ListParagraph"/>
        <w:numPr>
          <w:ilvl w:val="2"/>
          <w:numId w:val="112"/>
        </w:numPr>
        <w:tabs>
          <w:tab w:pos="708" w:val="left" w:leader="none"/>
        </w:tabs>
        <w:spacing w:line="235" w:lineRule="auto" w:before="0" w:after="0"/>
        <w:ind w:left="708" w:right="423" w:hanging="284"/>
        <w:jc w:val="both"/>
        <w:rPr>
          <w:color w:val="231F20"/>
          <w:sz w:val="18"/>
        </w:rPr>
      </w:pPr>
      <w:r>
        <w:rPr>
          <w:color w:val="231F20"/>
          <w:sz w:val="18"/>
        </w:rPr>
        <w:t>Рубцова</w:t>
      </w:r>
      <w:r>
        <w:rPr>
          <w:color w:val="231F20"/>
          <w:spacing w:val="-2"/>
          <w:sz w:val="18"/>
        </w:rPr>
        <w:t> </w:t>
      </w:r>
      <w:r>
        <w:rPr>
          <w:color w:val="231F20"/>
          <w:sz w:val="18"/>
        </w:rPr>
        <w:t>О.В.</w:t>
      </w:r>
      <w:r>
        <w:rPr>
          <w:color w:val="231F20"/>
          <w:spacing w:val="-2"/>
          <w:sz w:val="18"/>
        </w:rPr>
        <w:t> </w:t>
      </w:r>
      <w:r>
        <w:rPr>
          <w:color w:val="231F20"/>
          <w:sz w:val="18"/>
        </w:rPr>
        <w:t>Ролевое</w:t>
      </w:r>
      <w:r>
        <w:rPr>
          <w:color w:val="231F20"/>
          <w:spacing w:val="-2"/>
          <w:sz w:val="18"/>
        </w:rPr>
        <w:t> </w:t>
      </w:r>
      <w:r>
        <w:rPr>
          <w:color w:val="231F20"/>
          <w:sz w:val="18"/>
        </w:rPr>
        <w:t>экспериментирование</w:t>
      </w:r>
      <w:r>
        <w:rPr>
          <w:color w:val="231F20"/>
          <w:spacing w:val="-2"/>
          <w:sz w:val="18"/>
        </w:rPr>
        <w:t> </w:t>
      </w:r>
      <w:r>
        <w:rPr>
          <w:color w:val="231F20"/>
          <w:sz w:val="18"/>
        </w:rPr>
        <w:t>в</w:t>
      </w:r>
      <w:r>
        <w:rPr>
          <w:color w:val="231F20"/>
          <w:spacing w:val="-2"/>
          <w:sz w:val="18"/>
        </w:rPr>
        <w:t> </w:t>
      </w:r>
      <w:r>
        <w:rPr>
          <w:color w:val="231F20"/>
          <w:sz w:val="18"/>
        </w:rPr>
        <w:t>подростковом</w:t>
      </w:r>
      <w:r>
        <w:rPr>
          <w:color w:val="231F20"/>
          <w:spacing w:val="-2"/>
          <w:sz w:val="18"/>
        </w:rPr>
        <w:t> </w:t>
      </w:r>
      <w:r>
        <w:rPr>
          <w:color w:val="231F20"/>
          <w:sz w:val="18"/>
        </w:rPr>
        <w:t>возрасте:</w:t>
      </w:r>
      <w:r>
        <w:rPr>
          <w:color w:val="231F20"/>
          <w:spacing w:val="-2"/>
          <w:sz w:val="18"/>
        </w:rPr>
        <w:t> </w:t>
      </w:r>
      <w:r>
        <w:rPr>
          <w:color w:val="231F20"/>
          <w:sz w:val="18"/>
        </w:rPr>
        <w:t>применение драмы для конструирования зоны ближайшего развития. Культурно-историческая психология, 2021. 17 (2). С. 105–113. DOI: 10.17759/chp.2021170210.</w:t>
      </w:r>
    </w:p>
    <w:p>
      <w:pPr>
        <w:pStyle w:val="ListParagraph"/>
        <w:numPr>
          <w:ilvl w:val="2"/>
          <w:numId w:val="112"/>
        </w:numPr>
        <w:tabs>
          <w:tab w:pos="708" w:val="left" w:leader="none"/>
        </w:tabs>
        <w:spacing w:line="235" w:lineRule="auto" w:before="0" w:after="0"/>
        <w:ind w:left="708" w:right="423" w:hanging="284"/>
        <w:jc w:val="both"/>
        <w:rPr>
          <w:color w:val="231F20"/>
          <w:sz w:val="18"/>
        </w:rPr>
      </w:pPr>
      <w:r>
        <w:rPr>
          <w:color w:val="231F20"/>
          <w:spacing w:val="-2"/>
          <w:sz w:val="18"/>
        </w:rPr>
        <w:t>Рубцова О.В. Современное подростничество в фокусе культурно-исторической пси- </w:t>
      </w:r>
      <w:r>
        <w:rPr>
          <w:color w:val="231F20"/>
          <w:sz w:val="18"/>
        </w:rPr>
        <w:t>хологии:</w:t>
      </w:r>
      <w:r>
        <w:rPr>
          <w:color w:val="231F20"/>
          <w:spacing w:val="-11"/>
          <w:sz w:val="18"/>
        </w:rPr>
        <w:t> </w:t>
      </w:r>
      <w:r>
        <w:rPr>
          <w:color w:val="231F20"/>
          <w:sz w:val="18"/>
        </w:rPr>
        <w:t>к</w:t>
      </w:r>
      <w:r>
        <w:rPr>
          <w:color w:val="231F20"/>
          <w:spacing w:val="-11"/>
          <w:sz w:val="18"/>
        </w:rPr>
        <w:t> </w:t>
      </w:r>
      <w:r>
        <w:rPr>
          <w:color w:val="231F20"/>
          <w:sz w:val="18"/>
        </w:rPr>
        <w:t>проблеме</w:t>
      </w:r>
      <w:r>
        <w:rPr>
          <w:color w:val="231F20"/>
          <w:spacing w:val="-11"/>
          <w:sz w:val="18"/>
        </w:rPr>
        <w:t> </w:t>
      </w:r>
      <w:r>
        <w:rPr>
          <w:color w:val="231F20"/>
          <w:sz w:val="18"/>
        </w:rPr>
        <w:t>ролевого</w:t>
      </w:r>
      <w:r>
        <w:rPr>
          <w:color w:val="231F20"/>
          <w:spacing w:val="-11"/>
          <w:sz w:val="18"/>
        </w:rPr>
        <w:t> </w:t>
      </w:r>
      <w:r>
        <w:rPr>
          <w:color w:val="231F20"/>
          <w:sz w:val="18"/>
        </w:rPr>
        <w:t>экспериментирования.</w:t>
      </w:r>
      <w:r>
        <w:rPr>
          <w:color w:val="231F20"/>
          <w:spacing w:val="-11"/>
          <w:sz w:val="18"/>
        </w:rPr>
        <w:t> </w:t>
      </w:r>
      <w:r>
        <w:rPr>
          <w:color w:val="231F20"/>
          <w:sz w:val="18"/>
        </w:rPr>
        <w:t>Культурно-историческая</w:t>
      </w:r>
      <w:r>
        <w:rPr>
          <w:color w:val="231F20"/>
          <w:spacing w:val="-11"/>
          <w:sz w:val="18"/>
        </w:rPr>
        <w:t> </w:t>
      </w:r>
      <w:r>
        <w:rPr>
          <w:color w:val="231F20"/>
          <w:sz w:val="18"/>
        </w:rPr>
        <w:t>пси- хология, 2020. 16 (2). С. 69–77. DOI: 10.17759/chp.2020160209.</w:t>
      </w:r>
    </w:p>
    <w:p>
      <w:pPr>
        <w:pStyle w:val="ListParagraph"/>
        <w:numPr>
          <w:ilvl w:val="2"/>
          <w:numId w:val="112"/>
        </w:numPr>
        <w:tabs>
          <w:tab w:pos="708" w:val="left" w:leader="none"/>
        </w:tabs>
        <w:spacing w:line="235" w:lineRule="auto" w:before="0" w:after="0"/>
        <w:ind w:left="708" w:right="422" w:hanging="284"/>
        <w:jc w:val="both"/>
        <w:rPr>
          <w:color w:val="231F20"/>
          <w:sz w:val="18"/>
        </w:rPr>
      </w:pPr>
      <w:r>
        <w:rPr>
          <w:color w:val="231F20"/>
          <w:sz w:val="18"/>
        </w:rPr>
        <w:t>Симон М. Инсценируя городское разнообразие: мигранты на театральных сценах Берлина и Москвы. Laboratorium: журнал социальных исследований, 2020. 12 (1). С. 15–47. DOI: 10.25285/2078-1938-2020-12-1-15-47.</w:t>
      </w:r>
    </w:p>
    <w:p>
      <w:pPr>
        <w:pStyle w:val="ListParagraph"/>
        <w:numPr>
          <w:ilvl w:val="2"/>
          <w:numId w:val="112"/>
        </w:numPr>
        <w:tabs>
          <w:tab w:pos="708" w:val="left" w:leader="none"/>
        </w:tabs>
        <w:spacing w:line="235" w:lineRule="auto" w:before="0" w:after="0"/>
        <w:ind w:left="708" w:right="422" w:hanging="284"/>
        <w:jc w:val="both"/>
        <w:rPr>
          <w:color w:val="231F20"/>
          <w:sz w:val="18"/>
        </w:rPr>
      </w:pPr>
      <w:r>
        <w:rPr>
          <w:color w:val="231F20"/>
          <w:sz w:val="18"/>
        </w:rPr>
        <w:t>Соловьева</w:t>
      </w:r>
      <w:r>
        <w:rPr>
          <w:color w:val="231F20"/>
          <w:spacing w:val="-6"/>
          <w:sz w:val="18"/>
        </w:rPr>
        <w:t> </w:t>
      </w:r>
      <w:r>
        <w:rPr>
          <w:color w:val="231F20"/>
          <w:sz w:val="18"/>
        </w:rPr>
        <w:t>А.Г.,</w:t>
      </w:r>
      <w:r>
        <w:rPr>
          <w:color w:val="231F20"/>
          <w:spacing w:val="-6"/>
          <w:sz w:val="18"/>
        </w:rPr>
        <w:t> </w:t>
      </w:r>
      <w:r>
        <w:rPr>
          <w:color w:val="231F20"/>
          <w:sz w:val="18"/>
        </w:rPr>
        <w:t>Поскакалова</w:t>
      </w:r>
      <w:r>
        <w:rPr>
          <w:color w:val="231F20"/>
          <w:spacing w:val="-6"/>
          <w:sz w:val="18"/>
        </w:rPr>
        <w:t> </w:t>
      </w:r>
      <w:r>
        <w:rPr>
          <w:color w:val="231F20"/>
          <w:sz w:val="18"/>
        </w:rPr>
        <w:t>Т.А.</w:t>
      </w:r>
      <w:r>
        <w:rPr>
          <w:color w:val="231F20"/>
          <w:spacing w:val="-6"/>
          <w:sz w:val="18"/>
        </w:rPr>
        <w:t> </w:t>
      </w:r>
      <w:r>
        <w:rPr>
          <w:color w:val="231F20"/>
          <w:sz w:val="18"/>
        </w:rPr>
        <w:t>Применение</w:t>
      </w:r>
      <w:r>
        <w:rPr>
          <w:color w:val="231F20"/>
          <w:spacing w:val="-6"/>
          <w:sz w:val="18"/>
        </w:rPr>
        <w:t> </w:t>
      </w:r>
      <w:r>
        <w:rPr>
          <w:color w:val="231F20"/>
          <w:sz w:val="18"/>
        </w:rPr>
        <w:t>театральной</w:t>
      </w:r>
      <w:r>
        <w:rPr>
          <w:color w:val="231F20"/>
          <w:spacing w:val="-6"/>
          <w:sz w:val="18"/>
        </w:rPr>
        <w:t> </w:t>
      </w:r>
      <w:r>
        <w:rPr>
          <w:color w:val="231F20"/>
          <w:sz w:val="18"/>
        </w:rPr>
        <w:t>деятельности</w:t>
      </w:r>
      <w:r>
        <w:rPr>
          <w:color w:val="231F20"/>
          <w:spacing w:val="-6"/>
          <w:sz w:val="18"/>
        </w:rPr>
        <w:t> </w:t>
      </w:r>
      <w:r>
        <w:rPr>
          <w:color w:val="231F20"/>
          <w:sz w:val="18"/>
        </w:rPr>
        <w:t>в</w:t>
      </w:r>
      <w:r>
        <w:rPr>
          <w:color w:val="231F20"/>
          <w:spacing w:val="-6"/>
          <w:sz w:val="18"/>
        </w:rPr>
        <w:t> </w:t>
      </w:r>
      <w:r>
        <w:rPr>
          <w:color w:val="231F20"/>
          <w:sz w:val="18"/>
        </w:rPr>
        <w:t>образо- вательных и воспитательных целях: опыт</w:t>
      </w:r>
      <w:r>
        <w:rPr>
          <w:color w:val="231F20"/>
          <w:spacing w:val="-5"/>
          <w:sz w:val="18"/>
        </w:rPr>
        <w:t> </w:t>
      </w:r>
      <w:r>
        <w:rPr>
          <w:color w:val="231F20"/>
          <w:sz w:val="18"/>
        </w:rPr>
        <w:t>эмпирического исследования с участием подростков.</w:t>
      </w:r>
      <w:r>
        <w:rPr>
          <w:color w:val="231F20"/>
          <w:spacing w:val="-7"/>
          <w:sz w:val="18"/>
        </w:rPr>
        <w:t> </w:t>
      </w:r>
      <w:r>
        <w:rPr>
          <w:color w:val="231F20"/>
          <w:sz w:val="18"/>
        </w:rPr>
        <w:t>ХX Международная научно-практическая конференция молодых ис- следователей образования. Исследования, улучшающие образование. Тезисы кон- ференции. – М.: ФГБОУ ВО МГППУ, 2021. – С. 648–653.</w:t>
      </w:r>
    </w:p>
    <w:p>
      <w:pPr>
        <w:pStyle w:val="ListParagraph"/>
        <w:numPr>
          <w:ilvl w:val="2"/>
          <w:numId w:val="112"/>
        </w:numPr>
        <w:tabs>
          <w:tab w:pos="708" w:val="left" w:leader="none"/>
        </w:tabs>
        <w:spacing w:line="235" w:lineRule="auto" w:before="0" w:after="0"/>
        <w:ind w:left="708" w:right="423" w:hanging="284"/>
        <w:jc w:val="both"/>
        <w:rPr>
          <w:color w:val="231F20"/>
          <w:sz w:val="18"/>
        </w:rPr>
      </w:pPr>
      <w:r>
        <w:rPr>
          <w:color w:val="231F20"/>
          <w:sz w:val="18"/>
        </w:rPr>
        <w:t>Anderson, N.J. (2002). The role of metacognition in second/foreign language </w:t>
      </w:r>
      <w:r>
        <w:rPr>
          <w:color w:val="231F20"/>
          <w:sz w:val="18"/>
        </w:rPr>
        <w:t>teaching and learning. ERIC Digest. Washington DC: ERIC Clearinghouse on Languages and </w:t>
      </w:r>
      <w:r>
        <w:rPr>
          <w:color w:val="231F20"/>
          <w:spacing w:val="-2"/>
          <w:sz w:val="18"/>
        </w:rPr>
        <w:t>Linguistics.</w:t>
      </w:r>
    </w:p>
    <w:p>
      <w:pPr>
        <w:pStyle w:val="ListParagraph"/>
        <w:numPr>
          <w:ilvl w:val="2"/>
          <w:numId w:val="112"/>
        </w:numPr>
        <w:tabs>
          <w:tab w:pos="708" w:val="left" w:leader="none"/>
        </w:tabs>
        <w:spacing w:line="235" w:lineRule="auto" w:before="0" w:after="0"/>
        <w:ind w:left="708" w:right="423" w:hanging="284"/>
        <w:jc w:val="both"/>
        <w:rPr>
          <w:color w:val="231F20"/>
          <w:sz w:val="18"/>
        </w:rPr>
      </w:pPr>
      <w:r>
        <w:rPr>
          <w:color w:val="231F20"/>
          <w:spacing w:val="-2"/>
          <w:sz w:val="18"/>
        </w:rPr>
        <w:t>Belhadj Kouider, E., Koglin, U., Petermann F. (2014). Emotional and behavioral problems </w:t>
      </w:r>
      <w:r>
        <w:rPr>
          <w:color w:val="231F20"/>
          <w:sz w:val="18"/>
        </w:rPr>
        <w:t>in migrant children and adolescents in Europe: A systematic review. European Child &amp; Adolescent Psychiatry, 23 (6): pp. 373–391. doi: 10.1007/s00787-013-0485-8.</w:t>
      </w:r>
    </w:p>
    <w:p>
      <w:pPr>
        <w:pStyle w:val="ListParagraph"/>
        <w:numPr>
          <w:ilvl w:val="2"/>
          <w:numId w:val="112"/>
        </w:numPr>
        <w:tabs>
          <w:tab w:pos="708" w:val="left" w:leader="none"/>
        </w:tabs>
        <w:spacing w:line="235" w:lineRule="auto" w:before="0" w:after="0"/>
        <w:ind w:left="708" w:right="423" w:hanging="284"/>
        <w:jc w:val="both"/>
        <w:rPr>
          <w:color w:val="231F20"/>
          <w:sz w:val="18"/>
        </w:rPr>
      </w:pPr>
      <w:r>
        <w:rPr>
          <w:color w:val="231F20"/>
          <w:spacing w:val="-2"/>
          <w:sz w:val="18"/>
        </w:rPr>
        <w:t>Edossa,</w:t>
      </w:r>
      <w:r>
        <w:rPr>
          <w:color w:val="231F20"/>
          <w:spacing w:val="-10"/>
          <w:sz w:val="18"/>
        </w:rPr>
        <w:t> </w:t>
      </w:r>
      <w:r>
        <w:rPr>
          <w:color w:val="231F20"/>
          <w:spacing w:val="-2"/>
          <w:sz w:val="18"/>
        </w:rPr>
        <w:t>A.K.,</w:t>
      </w:r>
      <w:r>
        <w:rPr>
          <w:color w:val="231F20"/>
          <w:spacing w:val="-9"/>
          <w:sz w:val="18"/>
        </w:rPr>
        <w:t> </w:t>
      </w:r>
      <w:r>
        <w:rPr>
          <w:color w:val="231F20"/>
          <w:spacing w:val="-2"/>
          <w:sz w:val="18"/>
        </w:rPr>
        <w:t>Neuenhaus,</w:t>
      </w:r>
      <w:r>
        <w:rPr>
          <w:color w:val="231F20"/>
          <w:spacing w:val="-9"/>
          <w:sz w:val="18"/>
        </w:rPr>
        <w:t> </w:t>
      </w:r>
      <w:r>
        <w:rPr>
          <w:color w:val="231F20"/>
          <w:spacing w:val="-2"/>
          <w:sz w:val="18"/>
        </w:rPr>
        <w:t>N.,</w:t>
      </w:r>
      <w:r>
        <w:rPr>
          <w:color w:val="231F20"/>
          <w:spacing w:val="-6"/>
          <w:sz w:val="18"/>
        </w:rPr>
        <w:t> </w:t>
      </w:r>
      <w:r>
        <w:rPr>
          <w:color w:val="231F20"/>
          <w:spacing w:val="-2"/>
          <w:sz w:val="18"/>
        </w:rPr>
        <w:t>Artelt,</w:t>
      </w:r>
      <w:r>
        <w:rPr>
          <w:color w:val="231F20"/>
          <w:spacing w:val="-9"/>
          <w:sz w:val="18"/>
        </w:rPr>
        <w:t> </w:t>
      </w:r>
      <w:r>
        <w:rPr>
          <w:color w:val="231F20"/>
          <w:spacing w:val="-2"/>
          <w:sz w:val="18"/>
        </w:rPr>
        <w:t>K.,</w:t>
      </w:r>
      <w:r>
        <w:rPr>
          <w:color w:val="231F20"/>
          <w:spacing w:val="13"/>
          <w:sz w:val="18"/>
        </w:rPr>
        <w:t> </w:t>
      </w:r>
      <w:r>
        <w:rPr>
          <w:color w:val="231F20"/>
          <w:spacing w:val="-2"/>
          <w:sz w:val="18"/>
        </w:rPr>
        <w:t>Lingel,</w:t>
      </w:r>
      <w:r>
        <w:rPr>
          <w:color w:val="231F20"/>
          <w:spacing w:val="-10"/>
          <w:sz w:val="18"/>
        </w:rPr>
        <w:t> </w:t>
      </w:r>
      <w:r>
        <w:rPr>
          <w:color w:val="231F20"/>
          <w:spacing w:val="-2"/>
          <w:sz w:val="18"/>
        </w:rPr>
        <w:t>K.,</w:t>
      </w:r>
      <w:r>
        <w:rPr>
          <w:color w:val="231F20"/>
          <w:spacing w:val="40"/>
          <w:sz w:val="18"/>
        </w:rPr>
        <w:t> </w:t>
      </w:r>
      <w:r>
        <w:rPr>
          <w:color w:val="231F20"/>
          <w:spacing w:val="-2"/>
          <w:sz w:val="18"/>
        </w:rPr>
        <w:t>Schneider,</w:t>
      </w:r>
      <w:r>
        <w:rPr>
          <w:color w:val="231F20"/>
          <w:spacing w:val="-10"/>
          <w:sz w:val="18"/>
        </w:rPr>
        <w:t> </w:t>
      </w:r>
      <w:r>
        <w:rPr>
          <w:color w:val="231F20"/>
          <w:spacing w:val="-2"/>
          <w:sz w:val="18"/>
        </w:rPr>
        <w:t>W.</w:t>
      </w:r>
      <w:r>
        <w:rPr>
          <w:color w:val="231F20"/>
          <w:spacing w:val="-9"/>
          <w:sz w:val="18"/>
        </w:rPr>
        <w:t> </w:t>
      </w:r>
      <w:r>
        <w:rPr>
          <w:color w:val="231F20"/>
          <w:spacing w:val="-2"/>
          <w:sz w:val="18"/>
        </w:rPr>
        <w:t>(2019).</w:t>
      </w:r>
      <w:r>
        <w:rPr>
          <w:color w:val="231F20"/>
          <w:spacing w:val="12"/>
          <w:sz w:val="18"/>
        </w:rPr>
        <w:t> </w:t>
      </w:r>
      <w:r>
        <w:rPr>
          <w:color w:val="231F20"/>
          <w:spacing w:val="-2"/>
          <w:sz w:val="18"/>
        </w:rPr>
        <w:t>Developmental </w:t>
      </w:r>
      <w:r>
        <w:rPr>
          <w:color w:val="231F20"/>
          <w:sz w:val="18"/>
        </w:rPr>
        <w:t>relationship between declarative metacognitive knowledge and reading </w:t>
      </w:r>
      <w:r>
        <w:rPr>
          <w:color w:val="231F20"/>
          <w:sz w:val="18"/>
        </w:rPr>
        <w:t>comprehension during</w:t>
      </w:r>
      <w:r>
        <w:rPr>
          <w:color w:val="231F20"/>
          <w:spacing w:val="-3"/>
          <w:sz w:val="18"/>
        </w:rPr>
        <w:t> </w:t>
      </w:r>
      <w:r>
        <w:rPr>
          <w:color w:val="231F20"/>
          <w:sz w:val="18"/>
        </w:rPr>
        <w:t>secondary</w:t>
      </w:r>
      <w:r>
        <w:rPr>
          <w:color w:val="231F20"/>
          <w:spacing w:val="-3"/>
          <w:sz w:val="18"/>
        </w:rPr>
        <w:t> </w:t>
      </w:r>
      <w:r>
        <w:rPr>
          <w:color w:val="231F20"/>
          <w:sz w:val="18"/>
        </w:rPr>
        <w:t>school.</w:t>
      </w:r>
      <w:r>
        <w:rPr>
          <w:color w:val="231F20"/>
          <w:spacing w:val="-2"/>
          <w:sz w:val="18"/>
        </w:rPr>
        <w:t> </w:t>
      </w:r>
      <w:r>
        <w:rPr>
          <w:color w:val="231F20"/>
          <w:sz w:val="18"/>
        </w:rPr>
        <w:t>European</w:t>
      </w:r>
      <w:r>
        <w:rPr>
          <w:color w:val="231F20"/>
          <w:spacing w:val="-3"/>
          <w:sz w:val="18"/>
        </w:rPr>
        <w:t> </w:t>
      </w:r>
      <w:r>
        <w:rPr>
          <w:color w:val="231F20"/>
          <w:sz w:val="18"/>
        </w:rPr>
        <w:t>Journal</w:t>
      </w:r>
      <w:r>
        <w:rPr>
          <w:color w:val="231F20"/>
          <w:spacing w:val="-3"/>
          <w:sz w:val="18"/>
        </w:rPr>
        <w:t> </w:t>
      </w:r>
      <w:r>
        <w:rPr>
          <w:color w:val="231F20"/>
          <w:sz w:val="18"/>
        </w:rPr>
        <w:t>of</w:t>
      </w:r>
      <w:r>
        <w:rPr>
          <w:color w:val="231F20"/>
          <w:spacing w:val="-3"/>
          <w:sz w:val="18"/>
        </w:rPr>
        <w:t> </w:t>
      </w:r>
      <w:r>
        <w:rPr>
          <w:color w:val="231F20"/>
          <w:sz w:val="18"/>
        </w:rPr>
        <w:t>Psychology</w:t>
      </w:r>
      <w:r>
        <w:rPr>
          <w:color w:val="231F20"/>
          <w:spacing w:val="-3"/>
          <w:sz w:val="18"/>
        </w:rPr>
        <w:t> </w:t>
      </w:r>
      <w:r>
        <w:rPr>
          <w:color w:val="231F20"/>
          <w:sz w:val="18"/>
        </w:rPr>
        <w:t>of</w:t>
      </w:r>
      <w:r>
        <w:rPr>
          <w:color w:val="231F20"/>
          <w:spacing w:val="-3"/>
          <w:sz w:val="18"/>
        </w:rPr>
        <w:t> </w:t>
      </w:r>
      <w:r>
        <w:rPr>
          <w:color w:val="231F20"/>
          <w:sz w:val="18"/>
        </w:rPr>
        <w:t>Education,</w:t>
      </w:r>
      <w:r>
        <w:rPr>
          <w:color w:val="231F20"/>
          <w:spacing w:val="-2"/>
          <w:sz w:val="18"/>
        </w:rPr>
        <w:t> </w:t>
      </w:r>
      <w:r>
        <w:rPr>
          <w:color w:val="231F20"/>
          <w:sz w:val="18"/>
        </w:rPr>
        <w:t>34</w:t>
      </w:r>
      <w:r>
        <w:rPr>
          <w:color w:val="231F20"/>
          <w:spacing w:val="-3"/>
          <w:sz w:val="18"/>
        </w:rPr>
        <w:t> </w:t>
      </w:r>
      <w:r>
        <w:rPr>
          <w:color w:val="231F20"/>
          <w:sz w:val="18"/>
        </w:rPr>
        <w:t>(2),</w:t>
      </w:r>
      <w:r>
        <w:rPr>
          <w:color w:val="231F20"/>
          <w:spacing w:val="-2"/>
          <w:sz w:val="18"/>
        </w:rPr>
        <w:t> </w:t>
      </w:r>
      <w:r>
        <w:rPr>
          <w:color w:val="231F20"/>
          <w:sz w:val="18"/>
        </w:rPr>
        <w:t>pp.</w:t>
      </w:r>
      <w:r>
        <w:rPr>
          <w:color w:val="231F20"/>
          <w:spacing w:val="-3"/>
          <w:sz w:val="18"/>
        </w:rPr>
        <w:t> </w:t>
      </w:r>
      <w:r>
        <w:rPr>
          <w:color w:val="231F20"/>
          <w:sz w:val="18"/>
        </w:rPr>
        <w:t>397–</w:t>
      </w:r>
    </w:p>
    <w:p>
      <w:pPr>
        <w:spacing w:line="201" w:lineRule="exact" w:before="0"/>
        <w:ind w:left="708" w:right="0" w:firstLine="0"/>
        <w:jc w:val="both"/>
        <w:rPr>
          <w:sz w:val="18"/>
        </w:rPr>
      </w:pPr>
      <w:r>
        <w:rPr>
          <w:color w:val="231F20"/>
          <w:sz w:val="18"/>
        </w:rPr>
        <w:t>416.</w:t>
      </w:r>
      <w:r>
        <w:rPr>
          <w:color w:val="231F20"/>
          <w:spacing w:val="10"/>
          <w:sz w:val="18"/>
        </w:rPr>
        <w:t> </w:t>
      </w:r>
      <w:r>
        <w:rPr>
          <w:color w:val="231F20"/>
          <w:sz w:val="18"/>
        </w:rPr>
        <w:t>DOI:</w:t>
      </w:r>
      <w:r>
        <w:rPr>
          <w:color w:val="231F20"/>
          <w:spacing w:val="8"/>
          <w:sz w:val="18"/>
        </w:rPr>
        <w:t> </w:t>
      </w:r>
      <w:r>
        <w:rPr>
          <w:color w:val="231F20"/>
          <w:sz w:val="18"/>
        </w:rPr>
        <w:t>10.1007/s10212-018-0393-</w:t>
      </w:r>
      <w:r>
        <w:rPr>
          <w:color w:val="231F20"/>
          <w:spacing w:val="-5"/>
          <w:sz w:val="18"/>
        </w:rPr>
        <w:t>x.</w:t>
      </w:r>
    </w:p>
    <w:p>
      <w:pPr>
        <w:spacing w:after="0" w:line="201" w:lineRule="exact"/>
        <w:jc w:val="both"/>
        <w:rPr>
          <w:sz w:val="18"/>
        </w:rPr>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ListParagraph"/>
        <w:numPr>
          <w:ilvl w:val="2"/>
          <w:numId w:val="112"/>
        </w:numPr>
        <w:tabs>
          <w:tab w:pos="708" w:val="left" w:leader="none"/>
        </w:tabs>
        <w:spacing w:line="237" w:lineRule="auto" w:before="118" w:after="0"/>
        <w:ind w:left="708" w:right="423" w:hanging="284"/>
        <w:jc w:val="both"/>
        <w:rPr>
          <w:color w:val="231F20"/>
          <w:sz w:val="18"/>
        </w:rPr>
      </w:pPr>
      <w:r>
        <w:rPr>
          <w:color w:val="231F20"/>
          <w:sz w:val="18"/>
        </w:rPr>
        <w:t>Galazka,</w:t>
      </w:r>
      <w:r>
        <w:rPr>
          <w:color w:val="231F20"/>
          <w:spacing w:val="-5"/>
          <w:sz w:val="18"/>
        </w:rPr>
        <w:t> </w:t>
      </w:r>
      <w:r>
        <w:rPr>
          <w:color w:val="231F20"/>
          <w:sz w:val="18"/>
        </w:rPr>
        <w:t>A. (2017). Drama in education for sustainable development. 11th International </w:t>
      </w:r>
      <w:r>
        <w:rPr>
          <w:color w:val="231F20"/>
          <w:spacing w:val="-2"/>
          <w:sz w:val="18"/>
        </w:rPr>
        <w:t>Technology, Education and Development Conference (Spain,</w:t>
      </w:r>
      <w:r>
        <w:rPr>
          <w:color w:val="231F20"/>
          <w:spacing w:val="-3"/>
          <w:sz w:val="18"/>
        </w:rPr>
        <w:t> </w:t>
      </w:r>
      <w:r>
        <w:rPr>
          <w:color w:val="231F20"/>
          <w:spacing w:val="-2"/>
          <w:sz w:val="18"/>
        </w:rPr>
        <w:t>Valencia, 6-8 March, 2017). </w:t>
      </w:r>
      <w:r>
        <w:rPr>
          <w:color w:val="231F20"/>
          <w:sz w:val="18"/>
        </w:rPr>
        <w:t>Spain, Valencia, pp. 7086–7093. DOI: 10.21125/inted.2017.1643.</w:t>
      </w:r>
    </w:p>
    <w:p>
      <w:pPr>
        <w:pStyle w:val="ListParagraph"/>
        <w:numPr>
          <w:ilvl w:val="2"/>
          <w:numId w:val="112"/>
        </w:numPr>
        <w:tabs>
          <w:tab w:pos="708" w:val="left" w:leader="none"/>
        </w:tabs>
        <w:spacing w:line="237" w:lineRule="auto" w:before="0" w:after="0"/>
        <w:ind w:left="708" w:right="423" w:hanging="284"/>
        <w:jc w:val="both"/>
        <w:rPr>
          <w:color w:val="231F20"/>
          <w:sz w:val="18"/>
        </w:rPr>
      </w:pPr>
      <w:r>
        <w:rPr>
          <w:color w:val="231F20"/>
          <w:sz w:val="18"/>
        </w:rPr>
        <w:t>Hallgren, E., Österlind, E. (2019). Process drama in civic education: balancing student input</w:t>
      </w:r>
      <w:r>
        <w:rPr>
          <w:color w:val="231F20"/>
          <w:spacing w:val="40"/>
          <w:sz w:val="18"/>
        </w:rPr>
        <w:t> </w:t>
      </w:r>
      <w:r>
        <w:rPr>
          <w:color w:val="231F20"/>
          <w:sz w:val="18"/>
        </w:rPr>
        <w:t>and</w:t>
      </w:r>
      <w:r>
        <w:rPr>
          <w:color w:val="231F20"/>
          <w:spacing w:val="40"/>
          <w:sz w:val="18"/>
        </w:rPr>
        <w:t> </w:t>
      </w:r>
      <w:r>
        <w:rPr>
          <w:color w:val="231F20"/>
          <w:sz w:val="18"/>
        </w:rPr>
        <w:t>learning</w:t>
      </w:r>
      <w:r>
        <w:rPr>
          <w:color w:val="231F20"/>
          <w:spacing w:val="40"/>
          <w:sz w:val="18"/>
        </w:rPr>
        <w:t> </w:t>
      </w:r>
      <w:r>
        <w:rPr>
          <w:color w:val="231F20"/>
          <w:sz w:val="18"/>
        </w:rPr>
        <w:t>outcomes</w:t>
      </w:r>
      <w:r>
        <w:rPr>
          <w:color w:val="231F20"/>
          <w:spacing w:val="40"/>
          <w:sz w:val="18"/>
        </w:rPr>
        <w:t> </w:t>
      </w:r>
      <w:r>
        <w:rPr>
          <w:color w:val="231F20"/>
          <w:sz w:val="18"/>
        </w:rPr>
        <w:t>in</w:t>
      </w:r>
      <w:r>
        <w:rPr>
          <w:color w:val="231F20"/>
          <w:spacing w:val="40"/>
          <w:sz w:val="18"/>
        </w:rPr>
        <w:t> </w:t>
      </w:r>
      <w:r>
        <w:rPr>
          <w:color w:val="231F20"/>
          <w:sz w:val="18"/>
        </w:rPr>
        <w:t>a</w:t>
      </w:r>
      <w:r>
        <w:rPr>
          <w:color w:val="231F20"/>
          <w:spacing w:val="40"/>
          <w:sz w:val="18"/>
        </w:rPr>
        <w:t> </w:t>
      </w:r>
      <w:r>
        <w:rPr>
          <w:color w:val="231F20"/>
          <w:sz w:val="18"/>
        </w:rPr>
        <w:t>playful</w:t>
      </w:r>
      <w:r>
        <w:rPr>
          <w:color w:val="231F20"/>
          <w:spacing w:val="40"/>
          <w:sz w:val="18"/>
        </w:rPr>
        <w:t> </w:t>
      </w:r>
      <w:r>
        <w:rPr>
          <w:color w:val="231F20"/>
          <w:sz w:val="18"/>
        </w:rPr>
        <w:t>format.</w:t>
      </w:r>
      <w:r>
        <w:rPr>
          <w:color w:val="231F20"/>
          <w:spacing w:val="40"/>
          <w:sz w:val="18"/>
        </w:rPr>
        <w:t> </w:t>
      </w:r>
      <w:r>
        <w:rPr>
          <w:i/>
          <w:color w:val="231F20"/>
          <w:sz w:val="18"/>
        </w:rPr>
        <w:t>Education</w:t>
      </w:r>
      <w:r>
        <w:rPr>
          <w:i/>
          <w:color w:val="231F20"/>
          <w:spacing w:val="40"/>
          <w:sz w:val="18"/>
        </w:rPr>
        <w:t> </w:t>
      </w:r>
      <w:r>
        <w:rPr>
          <w:i/>
          <w:color w:val="231F20"/>
          <w:sz w:val="18"/>
        </w:rPr>
        <w:t>Sciences</w:t>
      </w:r>
      <w:r>
        <w:rPr>
          <w:color w:val="231F20"/>
          <w:sz w:val="18"/>
        </w:rPr>
        <w:t>,</w:t>
      </w:r>
      <w:r>
        <w:rPr>
          <w:color w:val="231F20"/>
          <w:spacing w:val="40"/>
          <w:sz w:val="18"/>
        </w:rPr>
        <w:t> </w:t>
      </w:r>
      <w:r>
        <w:rPr>
          <w:color w:val="231F20"/>
          <w:sz w:val="18"/>
        </w:rPr>
        <w:t>9</w:t>
      </w:r>
      <w:r>
        <w:rPr>
          <w:color w:val="231F20"/>
          <w:spacing w:val="40"/>
          <w:sz w:val="18"/>
        </w:rPr>
        <w:t> </w:t>
      </w:r>
      <w:r>
        <w:rPr>
          <w:color w:val="231F20"/>
          <w:sz w:val="18"/>
        </w:rPr>
        <w:t>(3):</w:t>
      </w:r>
      <w:r>
        <w:rPr>
          <w:color w:val="231F20"/>
          <w:spacing w:val="40"/>
          <w:sz w:val="18"/>
        </w:rPr>
        <w:t> </w:t>
      </w:r>
      <w:r>
        <w:rPr>
          <w:color w:val="231F20"/>
          <w:sz w:val="18"/>
        </w:rPr>
        <w:t>231. DOI: 10.3390/educsci9030231.</w:t>
      </w:r>
    </w:p>
    <w:p>
      <w:pPr>
        <w:pStyle w:val="ListParagraph"/>
        <w:numPr>
          <w:ilvl w:val="2"/>
          <w:numId w:val="112"/>
        </w:numPr>
        <w:tabs>
          <w:tab w:pos="708" w:val="left" w:leader="none"/>
        </w:tabs>
        <w:spacing w:line="237" w:lineRule="auto" w:before="0" w:after="0"/>
        <w:ind w:left="708" w:right="423" w:hanging="284"/>
        <w:jc w:val="both"/>
        <w:rPr>
          <w:color w:val="231F20"/>
          <w:sz w:val="18"/>
        </w:rPr>
      </w:pPr>
      <w:r>
        <w:rPr>
          <w:color w:val="231F20"/>
          <w:sz w:val="18"/>
        </w:rPr>
        <w:t>Herodotou, C., Sharples, M.,</w:t>
      </w:r>
      <w:r>
        <w:rPr>
          <w:color w:val="231F20"/>
          <w:spacing w:val="-3"/>
          <w:sz w:val="18"/>
        </w:rPr>
        <w:t> </w:t>
      </w:r>
      <w:r>
        <w:rPr>
          <w:color w:val="231F20"/>
          <w:sz w:val="18"/>
        </w:rPr>
        <w:t>Gaved, M.,</w:t>
      </w:r>
      <w:r>
        <w:rPr>
          <w:color w:val="231F20"/>
          <w:spacing w:val="-3"/>
          <w:sz w:val="18"/>
        </w:rPr>
        <w:t> </w:t>
      </w:r>
      <w:r>
        <w:rPr>
          <w:color w:val="231F20"/>
          <w:sz w:val="18"/>
        </w:rPr>
        <w:t>Kukulska-Hulme,</w:t>
      </w:r>
      <w:r>
        <w:rPr>
          <w:color w:val="231F20"/>
          <w:spacing w:val="-6"/>
          <w:sz w:val="18"/>
        </w:rPr>
        <w:t> </w:t>
      </w:r>
      <w:r>
        <w:rPr>
          <w:color w:val="231F20"/>
          <w:sz w:val="18"/>
        </w:rPr>
        <w:t>A.,</w:t>
      </w:r>
      <w:r>
        <w:rPr>
          <w:color w:val="231F20"/>
          <w:spacing w:val="-3"/>
          <w:sz w:val="18"/>
        </w:rPr>
        <w:t> </w:t>
      </w:r>
      <w:r>
        <w:rPr>
          <w:color w:val="231F20"/>
          <w:sz w:val="18"/>
        </w:rPr>
        <w:t>Rienties, B.,</w:t>
      </w:r>
      <w:r>
        <w:rPr>
          <w:color w:val="231F20"/>
          <w:spacing w:val="-3"/>
          <w:sz w:val="18"/>
        </w:rPr>
        <w:t> </w:t>
      </w:r>
      <w:r>
        <w:rPr>
          <w:color w:val="231F20"/>
          <w:sz w:val="18"/>
        </w:rPr>
        <w:t>Scanlon, E., Whitelock, D. (2019). Innovative pedagogies of the future: an evidence-based selection. Frontiers in education, 4, </w:t>
      </w:r>
      <w:hyperlink r:id="rId135">
        <w:r>
          <w:rPr>
            <w:color w:val="231F20"/>
            <w:sz w:val="18"/>
          </w:rPr>
          <w:t>URL=https://www.frontiersin.org/articles/10.3389/feduc.</w:t>
        </w:r>
      </w:hyperlink>
      <w:r>
        <w:rPr>
          <w:color w:val="231F20"/>
          <w:sz w:val="18"/>
        </w:rPr>
        <w:t> 2019.00113. DOI: 10.3389 / feduc. 2019.00113.</w:t>
      </w:r>
    </w:p>
    <w:p>
      <w:pPr>
        <w:pStyle w:val="ListParagraph"/>
        <w:numPr>
          <w:ilvl w:val="2"/>
          <w:numId w:val="112"/>
        </w:numPr>
        <w:tabs>
          <w:tab w:pos="708" w:val="left" w:leader="none"/>
        </w:tabs>
        <w:spacing w:line="237" w:lineRule="auto" w:before="0" w:after="0"/>
        <w:ind w:left="708" w:right="423" w:hanging="284"/>
        <w:jc w:val="both"/>
        <w:rPr>
          <w:color w:val="231F20"/>
          <w:sz w:val="18"/>
        </w:rPr>
      </w:pPr>
      <w:r>
        <w:rPr>
          <w:color w:val="231F20"/>
          <w:sz w:val="18"/>
        </w:rPr>
        <w:t>Kirkpatrick</w:t>
      </w:r>
      <w:r>
        <w:rPr>
          <w:color w:val="231F20"/>
          <w:spacing w:val="-2"/>
          <w:sz w:val="18"/>
        </w:rPr>
        <w:t> </w:t>
      </w:r>
      <w:r>
        <w:rPr>
          <w:color w:val="231F20"/>
          <w:sz w:val="18"/>
        </w:rPr>
        <w:t>D.L.Techniques</w:t>
      </w:r>
      <w:r>
        <w:rPr>
          <w:color w:val="231F20"/>
          <w:spacing w:val="-2"/>
          <w:sz w:val="18"/>
        </w:rPr>
        <w:t> </w:t>
      </w:r>
      <w:r>
        <w:rPr>
          <w:color w:val="231F20"/>
          <w:sz w:val="18"/>
        </w:rPr>
        <w:t>for</w:t>
      </w:r>
      <w:r>
        <w:rPr>
          <w:color w:val="231F20"/>
          <w:spacing w:val="-2"/>
          <w:sz w:val="18"/>
        </w:rPr>
        <w:t> </w:t>
      </w:r>
      <w:r>
        <w:rPr>
          <w:color w:val="231F20"/>
          <w:sz w:val="18"/>
        </w:rPr>
        <w:t>Evolutions</w:t>
      </w:r>
      <w:r>
        <w:rPr>
          <w:color w:val="231F20"/>
          <w:spacing w:val="-5"/>
          <w:sz w:val="18"/>
        </w:rPr>
        <w:t> </w:t>
      </w:r>
      <w:r>
        <w:rPr>
          <w:color w:val="231F20"/>
          <w:sz w:val="18"/>
        </w:rPr>
        <w:t>Training</w:t>
      </w:r>
      <w:r>
        <w:rPr>
          <w:color w:val="231F20"/>
          <w:spacing w:val="-2"/>
          <w:sz w:val="18"/>
        </w:rPr>
        <w:t> </w:t>
      </w:r>
      <w:r>
        <w:rPr>
          <w:color w:val="231F20"/>
          <w:sz w:val="18"/>
        </w:rPr>
        <w:t>Programs//</w:t>
      </w:r>
      <w:r>
        <w:rPr>
          <w:color w:val="231F20"/>
          <w:spacing w:val="-2"/>
          <w:sz w:val="18"/>
        </w:rPr>
        <w:t> </w:t>
      </w:r>
      <w:r>
        <w:rPr>
          <w:color w:val="231F20"/>
          <w:sz w:val="18"/>
        </w:rPr>
        <w:t>Journal</w:t>
      </w:r>
      <w:r>
        <w:rPr>
          <w:color w:val="231F20"/>
          <w:spacing w:val="-2"/>
          <w:sz w:val="18"/>
        </w:rPr>
        <w:t> </w:t>
      </w:r>
      <w:r>
        <w:rPr>
          <w:color w:val="231F20"/>
          <w:sz w:val="18"/>
        </w:rPr>
        <w:t>of</w:t>
      </w:r>
      <w:r>
        <w:rPr>
          <w:color w:val="231F20"/>
          <w:spacing w:val="-2"/>
          <w:sz w:val="18"/>
        </w:rPr>
        <w:t> </w:t>
      </w:r>
      <w:r>
        <w:rPr>
          <w:color w:val="231F20"/>
          <w:sz w:val="18"/>
        </w:rPr>
        <w:t>the</w:t>
      </w:r>
      <w:r>
        <w:rPr>
          <w:color w:val="231F20"/>
          <w:spacing w:val="-11"/>
          <w:sz w:val="18"/>
        </w:rPr>
        <w:t> </w:t>
      </w:r>
      <w:r>
        <w:rPr>
          <w:color w:val="231F20"/>
          <w:sz w:val="18"/>
        </w:rPr>
        <w:t>American Society of trainings directors, 13, 21–26.1959.</w:t>
      </w:r>
    </w:p>
    <w:p>
      <w:pPr>
        <w:pStyle w:val="ListParagraph"/>
        <w:numPr>
          <w:ilvl w:val="2"/>
          <w:numId w:val="112"/>
        </w:numPr>
        <w:tabs>
          <w:tab w:pos="708" w:val="left" w:leader="none"/>
        </w:tabs>
        <w:spacing w:line="237" w:lineRule="auto" w:before="0" w:after="0"/>
        <w:ind w:left="708" w:right="423" w:hanging="284"/>
        <w:jc w:val="both"/>
        <w:rPr>
          <w:color w:val="231F20"/>
          <w:sz w:val="18"/>
        </w:rPr>
      </w:pPr>
      <w:r>
        <w:rPr>
          <w:color w:val="231F20"/>
          <w:sz w:val="18"/>
        </w:rPr>
        <w:t>Nelson,</w:t>
      </w:r>
      <w:r>
        <w:rPr>
          <w:color w:val="231F20"/>
          <w:spacing w:val="-5"/>
          <w:sz w:val="18"/>
        </w:rPr>
        <w:t> </w:t>
      </w:r>
      <w:r>
        <w:rPr>
          <w:color w:val="231F20"/>
          <w:sz w:val="18"/>
        </w:rPr>
        <w:t>B.</w:t>
      </w:r>
      <w:r>
        <w:rPr>
          <w:color w:val="231F20"/>
          <w:spacing w:val="-4"/>
          <w:sz w:val="18"/>
        </w:rPr>
        <w:t> </w:t>
      </w:r>
      <w:r>
        <w:rPr>
          <w:color w:val="231F20"/>
          <w:sz w:val="18"/>
        </w:rPr>
        <w:t>(2010).</w:t>
      </w:r>
      <w:r>
        <w:rPr>
          <w:color w:val="231F20"/>
          <w:spacing w:val="-12"/>
          <w:sz w:val="18"/>
        </w:rPr>
        <w:t> </w:t>
      </w:r>
      <w:r>
        <w:rPr>
          <w:color w:val="231F20"/>
          <w:sz w:val="18"/>
        </w:rPr>
        <w:t>Applied</w:t>
      </w:r>
      <w:r>
        <w:rPr>
          <w:color w:val="231F20"/>
          <w:spacing w:val="-3"/>
          <w:sz w:val="18"/>
        </w:rPr>
        <w:t> </w:t>
      </w:r>
      <w:r>
        <w:rPr>
          <w:color w:val="231F20"/>
          <w:sz w:val="18"/>
        </w:rPr>
        <w:t>theatre:</w:t>
      </w:r>
      <w:r>
        <w:rPr>
          <w:color w:val="231F20"/>
          <w:spacing w:val="-4"/>
          <w:sz w:val="18"/>
        </w:rPr>
        <w:t> </w:t>
      </w:r>
      <w:r>
        <w:rPr>
          <w:color w:val="231F20"/>
          <w:sz w:val="18"/>
        </w:rPr>
        <w:t>international</w:t>
      </w:r>
      <w:r>
        <w:rPr>
          <w:color w:val="231F20"/>
          <w:spacing w:val="-4"/>
          <w:sz w:val="18"/>
        </w:rPr>
        <w:t> </w:t>
      </w:r>
      <w:r>
        <w:rPr>
          <w:color w:val="231F20"/>
          <w:sz w:val="18"/>
        </w:rPr>
        <w:t>case</w:t>
      </w:r>
      <w:r>
        <w:rPr>
          <w:color w:val="231F20"/>
          <w:spacing w:val="-4"/>
          <w:sz w:val="18"/>
        </w:rPr>
        <w:t> </w:t>
      </w:r>
      <w:r>
        <w:rPr>
          <w:color w:val="231F20"/>
          <w:sz w:val="18"/>
        </w:rPr>
        <w:t>studies</w:t>
      </w:r>
      <w:r>
        <w:rPr>
          <w:color w:val="231F20"/>
          <w:spacing w:val="-4"/>
          <w:sz w:val="18"/>
        </w:rPr>
        <w:t> </w:t>
      </w:r>
      <w:r>
        <w:rPr>
          <w:color w:val="231F20"/>
          <w:sz w:val="18"/>
        </w:rPr>
        <w:t>and</w:t>
      </w:r>
      <w:r>
        <w:rPr>
          <w:color w:val="231F20"/>
          <w:spacing w:val="-4"/>
          <w:sz w:val="18"/>
        </w:rPr>
        <w:t> </w:t>
      </w:r>
      <w:r>
        <w:rPr>
          <w:color w:val="231F20"/>
          <w:sz w:val="18"/>
        </w:rPr>
        <w:t>challenges</w:t>
      </w:r>
      <w:r>
        <w:rPr>
          <w:color w:val="231F20"/>
          <w:spacing w:val="-4"/>
          <w:sz w:val="18"/>
        </w:rPr>
        <w:t> </w:t>
      </w:r>
      <w:r>
        <w:rPr>
          <w:color w:val="231F20"/>
          <w:sz w:val="18"/>
        </w:rPr>
        <w:t>for</w:t>
      </w:r>
      <w:r>
        <w:rPr>
          <w:color w:val="231F20"/>
          <w:spacing w:val="-4"/>
          <w:sz w:val="18"/>
        </w:rPr>
        <w:t> </w:t>
      </w:r>
      <w:r>
        <w:rPr>
          <w:color w:val="231F20"/>
          <w:sz w:val="18"/>
        </w:rPr>
        <w:t>practice. ed. by Prendergast, M., Saxto, J. Intellect Ltd, 2010. 224 p.</w:t>
      </w:r>
    </w:p>
    <w:p>
      <w:pPr>
        <w:pStyle w:val="ListParagraph"/>
        <w:numPr>
          <w:ilvl w:val="2"/>
          <w:numId w:val="112"/>
        </w:numPr>
        <w:tabs>
          <w:tab w:pos="708" w:val="left" w:leader="none"/>
        </w:tabs>
        <w:spacing w:line="237" w:lineRule="auto" w:before="0" w:after="0"/>
        <w:ind w:left="708" w:right="422" w:hanging="284"/>
        <w:jc w:val="both"/>
        <w:rPr>
          <w:color w:val="231F20"/>
          <w:sz w:val="18"/>
        </w:rPr>
      </w:pPr>
      <w:r>
        <w:rPr>
          <w:color w:val="231F20"/>
          <w:sz w:val="18"/>
        </w:rPr>
        <w:t>Rousseau,</w:t>
      </w:r>
      <w:r>
        <w:rPr>
          <w:color w:val="231F20"/>
          <w:spacing w:val="31"/>
          <w:sz w:val="18"/>
        </w:rPr>
        <w:t> </w:t>
      </w:r>
      <w:r>
        <w:rPr>
          <w:color w:val="231F20"/>
          <w:sz w:val="18"/>
        </w:rPr>
        <w:t>C.,</w:t>
      </w:r>
      <w:r>
        <w:rPr>
          <w:color w:val="231F20"/>
          <w:spacing w:val="31"/>
          <w:sz w:val="18"/>
        </w:rPr>
        <w:t> </w:t>
      </w:r>
      <w:r>
        <w:rPr>
          <w:color w:val="231F20"/>
          <w:sz w:val="18"/>
        </w:rPr>
        <w:t>Moran, A.,</w:t>
      </w:r>
      <w:r>
        <w:rPr>
          <w:color w:val="231F20"/>
          <w:spacing w:val="31"/>
          <w:sz w:val="18"/>
        </w:rPr>
        <w:t> </w:t>
      </w:r>
      <w:r>
        <w:rPr>
          <w:color w:val="231F20"/>
          <w:sz w:val="18"/>
        </w:rPr>
        <w:t>Bourassa,</w:t>
      </w:r>
      <w:r>
        <w:rPr>
          <w:color w:val="231F20"/>
          <w:spacing w:val="30"/>
          <w:sz w:val="18"/>
        </w:rPr>
        <w:t> </w:t>
      </w:r>
      <w:r>
        <w:rPr>
          <w:color w:val="231F20"/>
          <w:sz w:val="18"/>
        </w:rPr>
        <w:t>D.,</w:t>
      </w:r>
      <w:r>
        <w:rPr>
          <w:color w:val="231F20"/>
          <w:spacing w:val="31"/>
          <w:sz w:val="18"/>
        </w:rPr>
        <w:t> </w:t>
      </w:r>
      <w:r>
        <w:rPr>
          <w:color w:val="231F20"/>
          <w:sz w:val="18"/>
        </w:rPr>
        <w:t>Lacroix,</w:t>
      </w:r>
      <w:r>
        <w:rPr>
          <w:color w:val="231F20"/>
          <w:spacing w:val="30"/>
          <w:sz w:val="18"/>
        </w:rPr>
        <w:t> </w:t>
      </w:r>
      <w:r>
        <w:rPr>
          <w:color w:val="231F20"/>
          <w:sz w:val="18"/>
        </w:rPr>
        <w:t>L.,</w:t>
      </w:r>
      <w:r>
        <w:rPr>
          <w:color w:val="231F20"/>
          <w:spacing w:val="30"/>
          <w:sz w:val="18"/>
        </w:rPr>
        <w:t> </w:t>
      </w:r>
      <w:r>
        <w:rPr>
          <w:color w:val="231F20"/>
          <w:sz w:val="18"/>
        </w:rPr>
        <w:t>Rojas,</w:t>
      </w:r>
      <w:r>
        <w:rPr>
          <w:color w:val="231F20"/>
          <w:spacing w:val="30"/>
          <w:sz w:val="18"/>
        </w:rPr>
        <w:t> </w:t>
      </w:r>
      <w:r>
        <w:rPr>
          <w:color w:val="231F20"/>
          <w:sz w:val="18"/>
        </w:rPr>
        <w:t>M.V., Alain,</w:t>
      </w:r>
      <w:r>
        <w:rPr>
          <w:color w:val="231F20"/>
          <w:spacing w:val="30"/>
          <w:sz w:val="18"/>
        </w:rPr>
        <w:t> </w:t>
      </w:r>
      <w:r>
        <w:rPr>
          <w:color w:val="231F20"/>
          <w:sz w:val="18"/>
        </w:rPr>
        <w:t>N.,</w:t>
      </w:r>
      <w:r>
        <w:rPr>
          <w:color w:val="231F20"/>
          <w:spacing w:val="31"/>
          <w:sz w:val="18"/>
        </w:rPr>
        <w:t> </w:t>
      </w:r>
      <w:r>
        <w:rPr>
          <w:color w:val="231F20"/>
          <w:sz w:val="18"/>
        </w:rPr>
        <w:t>Benoit, M., Gauthier, M. (2007). Classroom drama therapy program for immigrant and </w:t>
      </w:r>
      <w:r>
        <w:rPr>
          <w:color w:val="231F20"/>
          <w:sz w:val="18"/>
        </w:rPr>
        <w:t>refugee adolescents.</w:t>
      </w:r>
      <w:r>
        <w:rPr>
          <w:color w:val="231F20"/>
          <w:spacing w:val="-2"/>
          <w:sz w:val="18"/>
        </w:rPr>
        <w:t> </w:t>
      </w:r>
      <w:r>
        <w:rPr>
          <w:color w:val="231F20"/>
          <w:sz w:val="18"/>
        </w:rPr>
        <w:t>Pilot</w:t>
      </w:r>
      <w:r>
        <w:rPr>
          <w:color w:val="231F20"/>
          <w:spacing w:val="-2"/>
          <w:sz w:val="18"/>
        </w:rPr>
        <w:t> </w:t>
      </w:r>
      <w:r>
        <w:rPr>
          <w:color w:val="231F20"/>
          <w:sz w:val="18"/>
        </w:rPr>
        <w:t>Study.</w:t>
      </w:r>
      <w:r>
        <w:rPr>
          <w:color w:val="231F20"/>
          <w:spacing w:val="-1"/>
          <w:sz w:val="18"/>
        </w:rPr>
        <w:t> </w:t>
      </w:r>
      <w:r>
        <w:rPr>
          <w:color w:val="231F20"/>
          <w:sz w:val="18"/>
        </w:rPr>
        <w:t>Clinical</w:t>
      </w:r>
      <w:r>
        <w:rPr>
          <w:color w:val="231F20"/>
          <w:spacing w:val="-2"/>
          <w:sz w:val="18"/>
        </w:rPr>
        <w:t> </w:t>
      </w:r>
      <w:r>
        <w:rPr>
          <w:color w:val="231F20"/>
          <w:sz w:val="18"/>
        </w:rPr>
        <w:t>Child</w:t>
      </w:r>
      <w:r>
        <w:rPr>
          <w:color w:val="231F20"/>
          <w:spacing w:val="-2"/>
          <w:sz w:val="18"/>
        </w:rPr>
        <w:t> </w:t>
      </w:r>
      <w:r>
        <w:rPr>
          <w:color w:val="231F20"/>
          <w:sz w:val="18"/>
        </w:rPr>
        <w:t>Psychology</w:t>
      </w:r>
      <w:r>
        <w:rPr>
          <w:color w:val="231F20"/>
          <w:spacing w:val="-1"/>
          <w:sz w:val="18"/>
        </w:rPr>
        <w:t> </w:t>
      </w:r>
      <w:r>
        <w:rPr>
          <w:color w:val="231F20"/>
          <w:sz w:val="18"/>
        </w:rPr>
        <w:t>and</w:t>
      </w:r>
      <w:r>
        <w:rPr>
          <w:color w:val="231F20"/>
          <w:spacing w:val="-2"/>
          <w:sz w:val="18"/>
        </w:rPr>
        <w:t> </w:t>
      </w:r>
      <w:r>
        <w:rPr>
          <w:color w:val="231F20"/>
          <w:sz w:val="18"/>
        </w:rPr>
        <w:t>Psychiatry,</w:t>
      </w:r>
      <w:r>
        <w:rPr>
          <w:color w:val="231F20"/>
          <w:spacing w:val="-4"/>
          <w:sz w:val="18"/>
        </w:rPr>
        <w:t> </w:t>
      </w:r>
      <w:r>
        <w:rPr>
          <w:color w:val="231F20"/>
          <w:sz w:val="18"/>
        </w:rPr>
        <w:t>12</w:t>
      </w:r>
      <w:r>
        <w:rPr>
          <w:color w:val="231F20"/>
          <w:spacing w:val="-1"/>
          <w:sz w:val="18"/>
        </w:rPr>
        <w:t> </w:t>
      </w:r>
      <w:r>
        <w:rPr>
          <w:color w:val="231F20"/>
          <w:sz w:val="18"/>
        </w:rPr>
        <w:t>(3):</w:t>
      </w:r>
      <w:r>
        <w:rPr>
          <w:color w:val="231F20"/>
          <w:spacing w:val="-1"/>
          <w:sz w:val="18"/>
        </w:rPr>
        <w:t> </w:t>
      </w:r>
      <w:r>
        <w:rPr>
          <w:color w:val="231F20"/>
          <w:sz w:val="18"/>
        </w:rPr>
        <w:t>pp.</w:t>
      </w:r>
      <w:r>
        <w:rPr>
          <w:color w:val="231F20"/>
          <w:spacing w:val="-1"/>
          <w:sz w:val="18"/>
        </w:rPr>
        <w:t> </w:t>
      </w:r>
      <w:r>
        <w:rPr>
          <w:color w:val="231F20"/>
          <w:sz w:val="18"/>
        </w:rPr>
        <w:t>451–465. DOI: 10.1177/1359104507078477.</w:t>
      </w:r>
    </w:p>
    <w:p>
      <w:pPr>
        <w:pStyle w:val="ListParagraph"/>
        <w:numPr>
          <w:ilvl w:val="2"/>
          <w:numId w:val="112"/>
        </w:numPr>
        <w:tabs>
          <w:tab w:pos="707" w:val="left" w:leader="none"/>
        </w:tabs>
        <w:spacing w:line="200" w:lineRule="exact" w:before="0" w:after="0"/>
        <w:ind w:left="707" w:right="0" w:hanging="282"/>
        <w:jc w:val="both"/>
        <w:rPr>
          <w:color w:val="231F20"/>
          <w:sz w:val="18"/>
        </w:rPr>
      </w:pPr>
      <w:r>
        <w:rPr>
          <w:color w:val="231F20"/>
          <w:sz w:val="18"/>
        </w:rPr>
        <w:t>Soto,</w:t>
      </w:r>
      <w:r>
        <w:rPr>
          <w:color w:val="231F20"/>
          <w:spacing w:val="17"/>
          <w:sz w:val="18"/>
        </w:rPr>
        <w:t> </w:t>
      </w:r>
      <w:r>
        <w:rPr>
          <w:color w:val="231F20"/>
          <w:sz w:val="18"/>
        </w:rPr>
        <w:t>C.,</w:t>
      </w:r>
      <w:r>
        <w:rPr>
          <w:color w:val="231F20"/>
          <w:spacing w:val="18"/>
          <w:sz w:val="18"/>
        </w:rPr>
        <w:t> </w:t>
      </w:r>
      <w:r>
        <w:rPr>
          <w:color w:val="231F20"/>
          <w:sz w:val="18"/>
        </w:rPr>
        <w:t>Gutierrez</w:t>
      </w:r>
      <w:r>
        <w:rPr>
          <w:color w:val="231F20"/>
          <w:spacing w:val="18"/>
          <w:sz w:val="18"/>
        </w:rPr>
        <w:t> </w:t>
      </w:r>
      <w:r>
        <w:rPr>
          <w:color w:val="231F20"/>
          <w:sz w:val="18"/>
        </w:rPr>
        <w:t>de</w:t>
      </w:r>
      <w:r>
        <w:rPr>
          <w:color w:val="231F20"/>
          <w:spacing w:val="18"/>
          <w:sz w:val="18"/>
        </w:rPr>
        <w:t> </w:t>
      </w:r>
      <w:r>
        <w:rPr>
          <w:color w:val="231F20"/>
          <w:sz w:val="18"/>
        </w:rPr>
        <w:t>Blume</w:t>
      </w:r>
      <w:r>
        <w:rPr>
          <w:color w:val="231F20"/>
          <w:spacing w:val="9"/>
          <w:sz w:val="18"/>
        </w:rPr>
        <w:t> </w:t>
      </w:r>
      <w:r>
        <w:rPr>
          <w:color w:val="231F20"/>
          <w:sz w:val="18"/>
        </w:rPr>
        <w:t>A.P.,</w:t>
      </w:r>
      <w:r>
        <w:rPr>
          <w:color w:val="231F20"/>
          <w:spacing w:val="18"/>
          <w:sz w:val="18"/>
        </w:rPr>
        <w:t> </w:t>
      </w:r>
      <w:r>
        <w:rPr>
          <w:color w:val="231F20"/>
          <w:sz w:val="18"/>
        </w:rPr>
        <w:t>Rebolledo,</w:t>
      </w:r>
      <w:r>
        <w:rPr>
          <w:color w:val="231F20"/>
          <w:spacing w:val="15"/>
          <w:sz w:val="18"/>
        </w:rPr>
        <w:t> </w:t>
      </w:r>
      <w:r>
        <w:rPr>
          <w:color w:val="231F20"/>
          <w:sz w:val="18"/>
        </w:rPr>
        <w:t>V.,</w:t>
      </w:r>
      <w:r>
        <w:rPr>
          <w:color w:val="231F20"/>
          <w:spacing w:val="18"/>
          <w:sz w:val="18"/>
        </w:rPr>
        <w:t> </w:t>
      </w:r>
      <w:r>
        <w:rPr>
          <w:color w:val="231F20"/>
          <w:sz w:val="18"/>
        </w:rPr>
        <w:t>Gutiérrez</w:t>
      </w:r>
      <w:r>
        <w:rPr>
          <w:color w:val="231F20"/>
          <w:spacing w:val="17"/>
          <w:sz w:val="18"/>
        </w:rPr>
        <w:t> </w:t>
      </w:r>
      <w:r>
        <w:rPr>
          <w:color w:val="231F20"/>
          <w:sz w:val="18"/>
        </w:rPr>
        <w:t>F.,</w:t>
      </w:r>
      <w:r>
        <w:rPr>
          <w:color w:val="231F20"/>
          <w:spacing w:val="18"/>
          <w:sz w:val="18"/>
        </w:rPr>
        <w:t> </w:t>
      </w:r>
      <w:r>
        <w:rPr>
          <w:color w:val="231F20"/>
          <w:sz w:val="18"/>
        </w:rPr>
        <w:t>Palma,</w:t>
      </w:r>
      <w:r>
        <w:rPr>
          <w:color w:val="231F20"/>
          <w:spacing w:val="18"/>
          <w:sz w:val="18"/>
        </w:rPr>
        <w:t> </w:t>
      </w:r>
      <w:r>
        <w:rPr>
          <w:color w:val="231F20"/>
          <w:sz w:val="18"/>
        </w:rPr>
        <w:t>D.,</w:t>
      </w:r>
      <w:r>
        <w:rPr>
          <w:color w:val="231F20"/>
          <w:spacing w:val="18"/>
          <w:sz w:val="18"/>
        </w:rPr>
        <w:t> </w:t>
      </w:r>
      <w:r>
        <w:rPr>
          <w:color w:val="231F20"/>
          <w:spacing w:val="-2"/>
          <w:sz w:val="18"/>
        </w:rPr>
        <w:t>Rodríguez,</w:t>
      </w:r>
    </w:p>
    <w:p>
      <w:pPr>
        <w:spacing w:line="237" w:lineRule="auto" w:before="0"/>
        <w:ind w:left="708" w:right="423" w:firstLine="0"/>
        <w:jc w:val="both"/>
        <w:rPr>
          <w:sz w:val="18"/>
        </w:rPr>
      </w:pPr>
      <w:r>
        <w:rPr>
          <w:color w:val="231F20"/>
          <w:sz w:val="18"/>
        </w:rPr>
        <w:t>F.</w:t>
      </w:r>
      <w:r>
        <w:rPr>
          <w:color w:val="231F20"/>
          <w:spacing w:val="-12"/>
          <w:sz w:val="18"/>
        </w:rPr>
        <w:t> </w:t>
      </w:r>
      <w:r>
        <w:rPr>
          <w:color w:val="231F20"/>
          <w:sz w:val="18"/>
        </w:rPr>
        <w:t>(2022).</w:t>
      </w:r>
      <w:r>
        <w:rPr>
          <w:color w:val="231F20"/>
          <w:spacing w:val="-11"/>
          <w:sz w:val="18"/>
        </w:rPr>
        <w:t> </w:t>
      </w:r>
      <w:r>
        <w:rPr>
          <w:color w:val="231F20"/>
          <w:sz w:val="18"/>
        </w:rPr>
        <w:t>Metacognitive</w:t>
      </w:r>
      <w:r>
        <w:rPr>
          <w:color w:val="231F20"/>
          <w:spacing w:val="-11"/>
          <w:sz w:val="18"/>
        </w:rPr>
        <w:t> </w:t>
      </w:r>
      <w:r>
        <w:rPr>
          <w:color w:val="231F20"/>
          <w:sz w:val="18"/>
        </w:rPr>
        <w:t>monitoring</w:t>
      </w:r>
      <w:r>
        <w:rPr>
          <w:color w:val="231F20"/>
          <w:spacing w:val="-11"/>
          <w:sz w:val="18"/>
        </w:rPr>
        <w:t> </w:t>
      </w:r>
      <w:r>
        <w:rPr>
          <w:color w:val="231F20"/>
          <w:sz w:val="18"/>
        </w:rPr>
        <w:t>skills</w:t>
      </w:r>
      <w:r>
        <w:rPr>
          <w:color w:val="231F20"/>
          <w:spacing w:val="-12"/>
          <w:sz w:val="18"/>
        </w:rPr>
        <w:t> </w:t>
      </w:r>
      <w:r>
        <w:rPr>
          <w:color w:val="231F20"/>
          <w:sz w:val="18"/>
        </w:rPr>
        <w:t>of</w:t>
      </w:r>
      <w:r>
        <w:rPr>
          <w:color w:val="231F20"/>
          <w:spacing w:val="-11"/>
          <w:sz w:val="18"/>
        </w:rPr>
        <w:t> </w:t>
      </w:r>
      <w:r>
        <w:rPr>
          <w:color w:val="231F20"/>
          <w:sz w:val="18"/>
        </w:rPr>
        <w:t>reading</w:t>
      </w:r>
      <w:r>
        <w:rPr>
          <w:color w:val="231F20"/>
          <w:spacing w:val="-11"/>
          <w:sz w:val="18"/>
        </w:rPr>
        <w:t> </w:t>
      </w:r>
      <w:r>
        <w:rPr>
          <w:color w:val="231F20"/>
          <w:sz w:val="18"/>
        </w:rPr>
        <w:t>comprehension</w:t>
      </w:r>
      <w:r>
        <w:rPr>
          <w:color w:val="231F20"/>
          <w:spacing w:val="-11"/>
          <w:sz w:val="18"/>
        </w:rPr>
        <w:t> </w:t>
      </w:r>
      <w:r>
        <w:rPr>
          <w:color w:val="231F20"/>
          <w:sz w:val="18"/>
        </w:rPr>
        <w:t>and</w:t>
      </w:r>
      <w:r>
        <w:rPr>
          <w:color w:val="231F20"/>
          <w:spacing w:val="-12"/>
          <w:sz w:val="18"/>
        </w:rPr>
        <w:t> </w:t>
      </w:r>
      <w:r>
        <w:rPr>
          <w:color w:val="231F20"/>
          <w:sz w:val="18"/>
        </w:rPr>
        <w:t>writing</w:t>
      </w:r>
      <w:r>
        <w:rPr>
          <w:color w:val="231F20"/>
          <w:spacing w:val="-11"/>
          <w:sz w:val="18"/>
        </w:rPr>
        <w:t> </w:t>
      </w:r>
      <w:r>
        <w:rPr>
          <w:color w:val="231F20"/>
          <w:sz w:val="18"/>
        </w:rPr>
        <w:t>between proficient</w:t>
      </w:r>
      <w:r>
        <w:rPr>
          <w:color w:val="231F20"/>
          <w:spacing w:val="-12"/>
          <w:sz w:val="18"/>
        </w:rPr>
        <w:t> </w:t>
      </w:r>
      <w:r>
        <w:rPr>
          <w:color w:val="231F20"/>
          <w:sz w:val="18"/>
        </w:rPr>
        <w:t>and</w:t>
      </w:r>
      <w:r>
        <w:rPr>
          <w:color w:val="231F20"/>
          <w:spacing w:val="-11"/>
          <w:sz w:val="18"/>
        </w:rPr>
        <w:t> </w:t>
      </w:r>
      <w:r>
        <w:rPr>
          <w:color w:val="231F20"/>
          <w:sz w:val="18"/>
        </w:rPr>
        <w:t>poor</w:t>
      </w:r>
      <w:r>
        <w:rPr>
          <w:color w:val="231F20"/>
          <w:spacing w:val="-11"/>
          <w:sz w:val="18"/>
        </w:rPr>
        <w:t> </w:t>
      </w:r>
      <w:r>
        <w:rPr>
          <w:color w:val="231F20"/>
          <w:sz w:val="18"/>
        </w:rPr>
        <w:t>readers.</w:t>
      </w:r>
      <w:r>
        <w:rPr>
          <w:color w:val="231F20"/>
          <w:spacing w:val="-11"/>
          <w:sz w:val="18"/>
        </w:rPr>
        <w:t> </w:t>
      </w:r>
      <w:r>
        <w:rPr>
          <w:color w:val="231F20"/>
          <w:sz w:val="18"/>
        </w:rPr>
        <w:t>Metacognition</w:t>
      </w:r>
      <w:r>
        <w:rPr>
          <w:color w:val="231F20"/>
          <w:spacing w:val="-12"/>
          <w:sz w:val="18"/>
        </w:rPr>
        <w:t> </w:t>
      </w:r>
      <w:r>
        <w:rPr>
          <w:color w:val="231F20"/>
          <w:sz w:val="18"/>
        </w:rPr>
        <w:t>Learning.</w:t>
      </w:r>
      <w:r>
        <w:rPr>
          <w:color w:val="231F20"/>
          <w:spacing w:val="-9"/>
          <w:sz w:val="18"/>
        </w:rPr>
        <w:t> </w:t>
      </w:r>
      <w:r>
        <w:rPr>
          <w:color w:val="231F20"/>
          <w:sz w:val="18"/>
        </w:rPr>
        <w:t>DOI:</w:t>
      </w:r>
      <w:r>
        <w:rPr>
          <w:color w:val="231F20"/>
          <w:spacing w:val="-12"/>
          <w:sz w:val="18"/>
        </w:rPr>
        <w:t> </w:t>
      </w:r>
      <w:r>
        <w:rPr>
          <w:color w:val="231F20"/>
          <w:sz w:val="18"/>
        </w:rPr>
        <w:t>10.1007/s11409-022-09317-</w:t>
      </w:r>
      <w:r>
        <w:rPr>
          <w:color w:val="231F20"/>
          <w:spacing w:val="-5"/>
          <w:sz w:val="18"/>
        </w:rPr>
        <w:t>8.</w:t>
      </w:r>
    </w:p>
    <w:p>
      <w:pPr>
        <w:pStyle w:val="ListParagraph"/>
        <w:numPr>
          <w:ilvl w:val="2"/>
          <w:numId w:val="112"/>
        </w:numPr>
        <w:tabs>
          <w:tab w:pos="708" w:val="left" w:leader="none"/>
        </w:tabs>
        <w:spacing w:line="237" w:lineRule="auto" w:before="0" w:after="0"/>
        <w:ind w:left="708" w:right="423" w:hanging="284"/>
        <w:jc w:val="left"/>
        <w:rPr>
          <w:color w:val="231F20"/>
          <w:sz w:val="18"/>
        </w:rPr>
      </w:pPr>
      <w:r>
        <w:rPr>
          <w:color w:val="231F20"/>
          <w:sz w:val="18"/>
        </w:rPr>
        <w:t>Vitsou,</w:t>
      </w:r>
      <w:r>
        <w:rPr>
          <w:color w:val="231F20"/>
          <w:spacing w:val="-6"/>
          <w:sz w:val="18"/>
        </w:rPr>
        <w:t> </w:t>
      </w:r>
      <w:r>
        <w:rPr>
          <w:color w:val="231F20"/>
          <w:sz w:val="18"/>
        </w:rPr>
        <w:t>M.,</w:t>
      </w:r>
      <w:r>
        <w:rPr>
          <w:color w:val="231F20"/>
          <w:spacing w:val="-6"/>
          <w:sz w:val="18"/>
        </w:rPr>
        <w:t> </w:t>
      </w:r>
      <w:r>
        <w:rPr>
          <w:color w:val="231F20"/>
          <w:sz w:val="18"/>
        </w:rPr>
        <w:t>Papadopoulou,</w:t>
      </w:r>
      <w:r>
        <w:rPr>
          <w:color w:val="231F20"/>
          <w:spacing w:val="-6"/>
          <w:sz w:val="18"/>
        </w:rPr>
        <w:t> </w:t>
      </w:r>
      <w:r>
        <w:rPr>
          <w:color w:val="231F20"/>
          <w:sz w:val="18"/>
        </w:rPr>
        <w:t>M.</w:t>
      </w:r>
      <w:r>
        <w:rPr>
          <w:color w:val="231F20"/>
          <w:spacing w:val="-6"/>
          <w:sz w:val="18"/>
        </w:rPr>
        <w:t> </w:t>
      </w:r>
      <w:r>
        <w:rPr>
          <w:color w:val="231F20"/>
          <w:sz w:val="18"/>
        </w:rPr>
        <w:t>(2019).</w:t>
      </w:r>
      <w:r>
        <w:rPr>
          <w:color w:val="231F20"/>
          <w:spacing w:val="-6"/>
          <w:sz w:val="18"/>
        </w:rPr>
        <w:t> </w:t>
      </w:r>
      <w:r>
        <w:rPr>
          <w:color w:val="231F20"/>
          <w:sz w:val="18"/>
        </w:rPr>
        <w:t>Drama</w:t>
      </w:r>
      <w:r>
        <w:rPr>
          <w:color w:val="231F20"/>
          <w:spacing w:val="-6"/>
          <w:sz w:val="18"/>
        </w:rPr>
        <w:t> </w:t>
      </w:r>
      <w:r>
        <w:rPr>
          <w:color w:val="231F20"/>
          <w:sz w:val="18"/>
        </w:rPr>
        <w:t>pedagogy</w:t>
      </w:r>
      <w:r>
        <w:rPr>
          <w:color w:val="231F20"/>
          <w:spacing w:val="-6"/>
          <w:sz w:val="18"/>
        </w:rPr>
        <w:t> </w:t>
      </w:r>
      <w:r>
        <w:rPr>
          <w:color w:val="231F20"/>
          <w:sz w:val="18"/>
        </w:rPr>
        <w:t>for</w:t>
      </w:r>
      <w:r>
        <w:rPr>
          <w:color w:val="231F20"/>
          <w:spacing w:val="-6"/>
          <w:sz w:val="18"/>
        </w:rPr>
        <w:t> </w:t>
      </w:r>
      <w:r>
        <w:rPr>
          <w:color w:val="231F20"/>
          <w:sz w:val="18"/>
        </w:rPr>
        <w:t>refugee</w:t>
      </w:r>
      <w:r>
        <w:rPr>
          <w:color w:val="231F20"/>
          <w:spacing w:val="-6"/>
          <w:sz w:val="18"/>
        </w:rPr>
        <w:t> </w:t>
      </w:r>
      <w:r>
        <w:rPr>
          <w:color w:val="231F20"/>
          <w:sz w:val="18"/>
        </w:rPr>
        <w:t>children:</w:t>
      </w:r>
      <w:r>
        <w:rPr>
          <w:color w:val="231F20"/>
          <w:spacing w:val="-6"/>
          <w:sz w:val="18"/>
        </w:rPr>
        <w:t> </w:t>
      </w:r>
      <w:r>
        <w:rPr>
          <w:color w:val="231F20"/>
          <w:sz w:val="18"/>
        </w:rPr>
        <w:t>a</w:t>
      </w:r>
      <w:r>
        <w:rPr>
          <w:color w:val="231F20"/>
          <w:spacing w:val="-6"/>
          <w:sz w:val="18"/>
        </w:rPr>
        <w:t> </w:t>
      </w:r>
      <w:r>
        <w:rPr>
          <w:color w:val="231F20"/>
          <w:sz w:val="18"/>
        </w:rPr>
        <w:t>means</w:t>
      </w:r>
      <w:r>
        <w:rPr>
          <w:color w:val="231F20"/>
          <w:spacing w:val="-6"/>
          <w:sz w:val="18"/>
        </w:rPr>
        <w:t> </w:t>
      </w:r>
      <w:r>
        <w:rPr>
          <w:color w:val="231F20"/>
          <w:sz w:val="18"/>
        </w:rPr>
        <w:t>for empowerment and communication. Babylonia, 3, pp. 44–49.</w:t>
      </w:r>
    </w:p>
    <w:p>
      <w:pPr>
        <w:pStyle w:val="ListParagraph"/>
        <w:numPr>
          <w:ilvl w:val="2"/>
          <w:numId w:val="112"/>
        </w:numPr>
        <w:tabs>
          <w:tab w:pos="708" w:val="left" w:leader="none"/>
        </w:tabs>
        <w:spacing w:line="237" w:lineRule="auto" w:before="0" w:after="0"/>
        <w:ind w:left="708" w:right="423" w:hanging="284"/>
        <w:jc w:val="left"/>
        <w:rPr>
          <w:color w:val="231F20"/>
          <w:sz w:val="18"/>
        </w:rPr>
      </w:pPr>
      <w:r>
        <w:rPr>
          <w:color w:val="231F20"/>
          <w:sz w:val="18"/>
        </w:rPr>
        <w:t>Vitsou, M., Vitsou, M., Papadopoulou, M. (2021). Getting them back to class: a </w:t>
      </w:r>
      <w:r>
        <w:rPr>
          <w:color w:val="231F20"/>
          <w:sz w:val="18"/>
        </w:rPr>
        <w:t>project to</w:t>
      </w:r>
      <w:r>
        <w:rPr>
          <w:color w:val="231F20"/>
          <w:spacing w:val="18"/>
          <w:sz w:val="18"/>
        </w:rPr>
        <w:t> </w:t>
      </w:r>
      <w:r>
        <w:rPr>
          <w:color w:val="231F20"/>
          <w:sz w:val="18"/>
        </w:rPr>
        <w:t>engage</w:t>
      </w:r>
      <w:r>
        <w:rPr>
          <w:color w:val="231F20"/>
          <w:spacing w:val="18"/>
          <w:sz w:val="18"/>
        </w:rPr>
        <w:t> </w:t>
      </w:r>
      <w:r>
        <w:rPr>
          <w:color w:val="231F20"/>
          <w:sz w:val="18"/>
        </w:rPr>
        <w:t>refugee</w:t>
      </w:r>
      <w:r>
        <w:rPr>
          <w:color w:val="231F20"/>
          <w:spacing w:val="18"/>
          <w:sz w:val="18"/>
        </w:rPr>
        <w:t> </w:t>
      </w:r>
      <w:r>
        <w:rPr>
          <w:color w:val="231F20"/>
          <w:sz w:val="18"/>
        </w:rPr>
        <w:t>children</w:t>
      </w:r>
      <w:r>
        <w:rPr>
          <w:color w:val="231F20"/>
          <w:spacing w:val="17"/>
          <w:sz w:val="18"/>
        </w:rPr>
        <w:t> </w:t>
      </w:r>
      <w:r>
        <w:rPr>
          <w:color w:val="231F20"/>
          <w:sz w:val="18"/>
        </w:rPr>
        <w:t>in</w:t>
      </w:r>
      <w:r>
        <w:rPr>
          <w:color w:val="231F20"/>
          <w:spacing w:val="18"/>
          <w:sz w:val="18"/>
        </w:rPr>
        <w:t> </w:t>
      </w:r>
      <w:r>
        <w:rPr>
          <w:color w:val="231F20"/>
          <w:sz w:val="18"/>
        </w:rPr>
        <w:t>school</w:t>
      </w:r>
      <w:r>
        <w:rPr>
          <w:color w:val="231F20"/>
          <w:spacing w:val="18"/>
          <w:sz w:val="18"/>
        </w:rPr>
        <w:t> </w:t>
      </w:r>
      <w:r>
        <w:rPr>
          <w:color w:val="231F20"/>
          <w:sz w:val="18"/>
        </w:rPr>
        <w:t>using</w:t>
      </w:r>
      <w:r>
        <w:rPr>
          <w:color w:val="231F20"/>
          <w:spacing w:val="18"/>
          <w:sz w:val="18"/>
        </w:rPr>
        <w:t> </w:t>
      </w:r>
      <w:r>
        <w:rPr>
          <w:color w:val="231F20"/>
          <w:sz w:val="18"/>
        </w:rPr>
        <w:t>drama</w:t>
      </w:r>
      <w:r>
        <w:rPr>
          <w:color w:val="231F20"/>
          <w:spacing w:val="18"/>
          <w:sz w:val="18"/>
        </w:rPr>
        <w:t> </w:t>
      </w:r>
      <w:r>
        <w:rPr>
          <w:color w:val="231F20"/>
          <w:sz w:val="18"/>
        </w:rPr>
        <w:t>pedagogy.</w:t>
      </w:r>
      <w:r>
        <w:rPr>
          <w:color w:val="231F20"/>
          <w:spacing w:val="18"/>
          <w:sz w:val="18"/>
        </w:rPr>
        <w:t> </w:t>
      </w:r>
      <w:r>
        <w:rPr>
          <w:color w:val="231F20"/>
          <w:sz w:val="18"/>
        </w:rPr>
        <w:t>Scenario</w:t>
      </w:r>
      <w:r>
        <w:rPr>
          <w:color w:val="231F20"/>
          <w:spacing w:val="18"/>
          <w:sz w:val="18"/>
        </w:rPr>
        <w:t> </w:t>
      </w:r>
      <w:r>
        <w:rPr>
          <w:color w:val="231F20"/>
          <w:sz w:val="18"/>
        </w:rPr>
        <w:t>Journal,</w:t>
      </w:r>
      <w:r>
        <w:rPr>
          <w:color w:val="231F20"/>
          <w:spacing w:val="18"/>
          <w:sz w:val="18"/>
        </w:rPr>
        <w:t> </w:t>
      </w:r>
      <w:r>
        <w:rPr>
          <w:color w:val="231F20"/>
          <w:sz w:val="18"/>
        </w:rPr>
        <w:t>14</w:t>
      </w:r>
      <w:r>
        <w:rPr>
          <w:color w:val="231F20"/>
          <w:spacing w:val="18"/>
          <w:sz w:val="18"/>
        </w:rPr>
        <w:t> </w:t>
      </w:r>
      <w:r>
        <w:rPr>
          <w:color w:val="231F20"/>
          <w:sz w:val="18"/>
        </w:rPr>
        <w:t>(2),</w:t>
      </w:r>
    </w:p>
    <w:p>
      <w:pPr>
        <w:spacing w:line="203" w:lineRule="exact" w:before="0"/>
        <w:ind w:left="708" w:right="0" w:firstLine="0"/>
        <w:jc w:val="left"/>
        <w:rPr>
          <w:sz w:val="18"/>
        </w:rPr>
      </w:pPr>
      <w:r>
        <w:rPr>
          <w:color w:val="231F20"/>
          <w:sz w:val="18"/>
        </w:rPr>
        <w:t>pp.</w:t>
      </w:r>
      <w:r>
        <w:rPr>
          <w:color w:val="231F20"/>
          <w:spacing w:val="4"/>
          <w:sz w:val="18"/>
        </w:rPr>
        <w:t> </w:t>
      </w:r>
      <w:r>
        <w:rPr>
          <w:color w:val="231F20"/>
          <w:sz w:val="18"/>
        </w:rPr>
        <w:t>42–59/</w:t>
      </w:r>
      <w:r>
        <w:rPr>
          <w:color w:val="231F20"/>
          <w:spacing w:val="9"/>
          <w:sz w:val="18"/>
        </w:rPr>
        <w:t> </w:t>
      </w:r>
      <w:r>
        <w:rPr>
          <w:color w:val="231F20"/>
          <w:sz w:val="18"/>
        </w:rPr>
        <w:t>DOI:</w:t>
      </w:r>
      <w:r>
        <w:rPr>
          <w:color w:val="231F20"/>
          <w:spacing w:val="5"/>
          <w:sz w:val="18"/>
        </w:rPr>
        <w:t> </w:t>
      </w:r>
      <w:r>
        <w:rPr>
          <w:color w:val="231F20"/>
          <w:spacing w:val="-2"/>
          <w:sz w:val="18"/>
        </w:rPr>
        <w:t>10.33178/scenario.14.2.</w:t>
      </w:r>
    </w:p>
    <w:p>
      <w:pPr>
        <w:spacing w:after="0" w:line="203" w:lineRule="exact"/>
        <w:jc w:val="left"/>
        <w:rPr>
          <w:sz w:val="18"/>
        </w:rPr>
        <w:sectPr>
          <w:pgSz w:w="8400" w:h="11910"/>
          <w:pgMar w:header="0" w:footer="527" w:top="400" w:bottom="740" w:left="425" w:right="425"/>
        </w:sectPr>
      </w:pPr>
    </w:p>
    <w:p>
      <w:pPr>
        <w:pStyle w:val="ListParagraph"/>
        <w:numPr>
          <w:ilvl w:val="1"/>
          <w:numId w:val="109"/>
        </w:numPr>
        <w:tabs>
          <w:tab w:pos="455" w:val="left" w:leader="none"/>
        </w:tabs>
        <w:spacing w:line="240" w:lineRule="auto" w:before="80" w:after="0"/>
        <w:ind w:left="455" w:right="0" w:hanging="314"/>
        <w:jc w:val="left"/>
        <w:rPr>
          <w:rFonts w:ascii="Georgia" w:hAnsi="Georgia"/>
          <w:sz w:val="18"/>
        </w:rPr>
      </w:pPr>
      <w:bookmarkStart w:name="_bookmark66" w:id="68"/>
      <w:bookmarkEnd w:id="68"/>
      <w:r>
        <w:rPr/>
      </w:r>
      <w:r>
        <w:rPr>
          <w:rFonts w:ascii="Georgia" w:hAnsi="Georgia"/>
          <w:color w:val="231F20"/>
          <w:sz w:val="18"/>
        </w:rPr>
        <w:t>Методы</w:t>
      </w:r>
      <w:r>
        <w:rPr>
          <w:rFonts w:ascii="Georgia" w:hAnsi="Georgia"/>
          <w:color w:val="231F20"/>
          <w:spacing w:val="-2"/>
          <w:sz w:val="18"/>
        </w:rPr>
        <w:t> </w:t>
      </w:r>
      <w:r>
        <w:rPr>
          <w:rFonts w:ascii="Georgia" w:hAnsi="Georgia"/>
          <w:color w:val="231F20"/>
          <w:sz w:val="18"/>
        </w:rPr>
        <w:t>воспитательной</w:t>
      </w:r>
      <w:r>
        <w:rPr>
          <w:rFonts w:ascii="Georgia" w:hAnsi="Georgia"/>
          <w:color w:val="231F20"/>
          <w:spacing w:val="-1"/>
          <w:sz w:val="18"/>
        </w:rPr>
        <w:t> </w:t>
      </w:r>
      <w:r>
        <w:rPr>
          <w:rFonts w:ascii="Georgia" w:hAnsi="Georgia"/>
          <w:color w:val="231F20"/>
          <w:sz w:val="18"/>
        </w:rPr>
        <w:t>раюоты</w:t>
      </w:r>
      <w:r>
        <w:rPr>
          <w:rFonts w:ascii="Georgia" w:hAnsi="Georgia"/>
          <w:color w:val="231F20"/>
          <w:spacing w:val="-1"/>
          <w:sz w:val="18"/>
        </w:rPr>
        <w:t> </w:t>
      </w:r>
      <w:r>
        <w:rPr>
          <w:rFonts w:ascii="Georgia" w:hAnsi="Georgia"/>
          <w:color w:val="231F20"/>
          <w:sz w:val="18"/>
        </w:rPr>
        <w:t>для</w:t>
      </w:r>
      <w:r>
        <w:rPr>
          <w:rFonts w:ascii="Georgia" w:hAnsi="Georgia"/>
          <w:color w:val="231F20"/>
          <w:spacing w:val="-1"/>
          <w:sz w:val="18"/>
        </w:rPr>
        <w:t> </w:t>
      </w:r>
      <w:r>
        <w:rPr>
          <w:rFonts w:ascii="Georgia" w:hAnsi="Georgia"/>
          <w:color w:val="231F20"/>
          <w:sz w:val="18"/>
        </w:rPr>
        <w:t>адаптации</w:t>
      </w:r>
      <w:r>
        <w:rPr>
          <w:rFonts w:ascii="Georgia" w:hAnsi="Georgia"/>
          <w:color w:val="231F20"/>
          <w:spacing w:val="-1"/>
          <w:sz w:val="18"/>
        </w:rPr>
        <w:t> </w:t>
      </w:r>
      <w:r>
        <w:rPr>
          <w:rFonts w:ascii="Georgia" w:hAnsi="Georgia"/>
          <w:color w:val="231F20"/>
          <w:sz w:val="18"/>
        </w:rPr>
        <w:t>...</w:t>
      </w:r>
      <w:r>
        <w:rPr>
          <w:rFonts w:ascii="Georgia" w:hAnsi="Georgia"/>
          <w:color w:val="231F20"/>
          <w:spacing w:val="-1"/>
          <w:sz w:val="18"/>
        </w:rPr>
        <w:t> </w:t>
      </w:r>
      <w:r>
        <w:rPr>
          <w:rFonts w:ascii="Georgia" w:hAnsi="Georgia"/>
          <w:color w:val="231F20"/>
          <w:sz w:val="18"/>
        </w:rPr>
        <w:t>во</w:t>
      </w:r>
      <w:r>
        <w:rPr>
          <w:rFonts w:ascii="Georgia" w:hAnsi="Georgia"/>
          <w:color w:val="231F20"/>
          <w:spacing w:val="-1"/>
          <w:sz w:val="18"/>
        </w:rPr>
        <w:t> </w:t>
      </w:r>
      <w:r>
        <w:rPr>
          <w:rFonts w:ascii="Georgia" w:hAnsi="Georgia"/>
          <w:color w:val="231F20"/>
          <w:spacing w:val="-2"/>
          <w:sz w:val="18"/>
        </w:rPr>
        <w:t>взаимодействии...</w:t>
      </w:r>
    </w:p>
    <w:p>
      <w:pPr>
        <w:spacing w:line="235" w:lineRule="auto" w:before="113"/>
        <w:ind w:left="2060" w:right="1567" w:hanging="491"/>
        <w:jc w:val="both"/>
        <w:rPr>
          <w:b/>
          <w:sz w:val="20"/>
        </w:rPr>
      </w:pPr>
      <w:r>
        <w:rPr>
          <w:b/>
          <w:color w:val="231F20"/>
          <w:sz w:val="20"/>
        </w:rPr>
        <w:t>4.3.4</w:t>
      </w:r>
      <w:r>
        <w:rPr>
          <w:b/>
          <w:color w:val="231F20"/>
          <w:spacing w:val="-13"/>
          <w:sz w:val="20"/>
        </w:rPr>
        <w:t> </w:t>
      </w:r>
      <w:r>
        <w:rPr>
          <w:b/>
          <w:color w:val="231F20"/>
          <w:sz w:val="20"/>
        </w:rPr>
        <w:t>Креативные</w:t>
      </w:r>
      <w:r>
        <w:rPr>
          <w:b/>
          <w:color w:val="231F20"/>
          <w:spacing w:val="-12"/>
          <w:sz w:val="20"/>
        </w:rPr>
        <w:t> </w:t>
      </w:r>
      <w:r>
        <w:rPr>
          <w:b/>
          <w:color w:val="231F20"/>
          <w:sz w:val="20"/>
        </w:rPr>
        <w:t>коммуникативные</w:t>
      </w:r>
      <w:r>
        <w:rPr>
          <w:b/>
          <w:color w:val="231F20"/>
          <w:spacing w:val="-13"/>
          <w:sz w:val="20"/>
        </w:rPr>
        <w:t> </w:t>
      </w:r>
      <w:r>
        <w:rPr>
          <w:b/>
          <w:color w:val="231F20"/>
          <w:sz w:val="20"/>
        </w:rPr>
        <w:t>технологии в развитии ценностей культуры мира</w:t>
      </w:r>
    </w:p>
    <w:p>
      <w:pPr>
        <w:spacing w:before="110"/>
        <w:ind w:left="425" w:right="0" w:firstLine="4511"/>
        <w:jc w:val="both"/>
        <w:rPr>
          <w:i/>
          <w:sz w:val="20"/>
        </w:rPr>
      </w:pPr>
      <w:r>
        <w:rPr>
          <w:i/>
          <w:color w:val="231F20"/>
          <w:sz w:val="20"/>
        </w:rPr>
        <w:t>А.В.</w:t>
      </w:r>
      <w:r>
        <w:rPr>
          <w:i/>
          <w:color w:val="231F20"/>
          <w:spacing w:val="-6"/>
          <w:sz w:val="20"/>
        </w:rPr>
        <w:t> </w:t>
      </w:r>
      <w:r>
        <w:rPr>
          <w:i/>
          <w:color w:val="231F20"/>
          <w:sz w:val="20"/>
        </w:rPr>
        <w:t>Воронкова,</w:t>
      </w:r>
      <w:r>
        <w:rPr>
          <w:i/>
          <w:color w:val="231F20"/>
          <w:spacing w:val="-4"/>
          <w:sz w:val="20"/>
        </w:rPr>
        <w:t> </w:t>
      </w:r>
      <w:r>
        <w:rPr>
          <w:i/>
          <w:color w:val="231F20"/>
          <w:sz w:val="20"/>
        </w:rPr>
        <w:t>О.Е.</w:t>
      </w:r>
      <w:r>
        <w:rPr>
          <w:i/>
          <w:color w:val="231F20"/>
          <w:spacing w:val="-3"/>
          <w:sz w:val="20"/>
        </w:rPr>
        <w:t> </w:t>
      </w:r>
      <w:r>
        <w:rPr>
          <w:i/>
          <w:color w:val="231F20"/>
          <w:spacing w:val="-2"/>
          <w:sz w:val="20"/>
        </w:rPr>
        <w:t>Хухлаев</w:t>
      </w:r>
    </w:p>
    <w:p>
      <w:pPr>
        <w:pStyle w:val="BodyText"/>
        <w:spacing w:line="235" w:lineRule="auto" w:before="114"/>
      </w:pPr>
      <w:r>
        <w:rPr>
          <w:color w:val="231F20"/>
        </w:rPr>
        <w:t>Развитие ценностей культуры мира и межкультурного взаимопонимания в под- ростковом</w:t>
      </w:r>
      <w:r>
        <w:rPr>
          <w:color w:val="231F20"/>
          <w:spacing w:val="-13"/>
        </w:rPr>
        <w:t> </w:t>
      </w:r>
      <w:r>
        <w:rPr>
          <w:color w:val="231F20"/>
        </w:rPr>
        <w:t>возрасте</w:t>
      </w:r>
      <w:r>
        <w:rPr>
          <w:color w:val="231F20"/>
          <w:spacing w:val="-12"/>
        </w:rPr>
        <w:t> </w:t>
      </w:r>
      <w:r>
        <w:rPr>
          <w:color w:val="231F20"/>
        </w:rPr>
        <w:t>сопряжено</w:t>
      </w:r>
      <w:r>
        <w:rPr>
          <w:color w:val="231F20"/>
          <w:spacing w:val="-13"/>
        </w:rPr>
        <w:t> </w:t>
      </w:r>
      <w:r>
        <w:rPr>
          <w:color w:val="231F20"/>
        </w:rPr>
        <w:t>со</w:t>
      </w:r>
      <w:r>
        <w:rPr>
          <w:color w:val="231F20"/>
          <w:spacing w:val="-12"/>
        </w:rPr>
        <w:t> </w:t>
      </w:r>
      <w:r>
        <w:rPr>
          <w:color w:val="231F20"/>
        </w:rPr>
        <w:t>значительными</w:t>
      </w:r>
      <w:r>
        <w:rPr>
          <w:color w:val="231F20"/>
          <w:spacing w:val="-13"/>
        </w:rPr>
        <w:t> </w:t>
      </w:r>
      <w:r>
        <w:rPr>
          <w:color w:val="231F20"/>
        </w:rPr>
        <w:t>трудностями.</w:t>
      </w:r>
      <w:r>
        <w:rPr>
          <w:color w:val="231F20"/>
          <w:spacing w:val="-12"/>
        </w:rPr>
        <w:t> </w:t>
      </w:r>
      <w:r>
        <w:rPr>
          <w:color w:val="231F20"/>
        </w:rPr>
        <w:t>Одна</w:t>
      </w:r>
      <w:r>
        <w:rPr>
          <w:color w:val="231F20"/>
          <w:spacing w:val="-13"/>
        </w:rPr>
        <w:t> </w:t>
      </w:r>
      <w:r>
        <w:rPr>
          <w:color w:val="231F20"/>
        </w:rPr>
        <w:t>из</w:t>
      </w:r>
      <w:r>
        <w:rPr>
          <w:color w:val="231F20"/>
          <w:spacing w:val="-12"/>
        </w:rPr>
        <w:t> </w:t>
      </w:r>
      <w:r>
        <w:rPr>
          <w:color w:val="231F20"/>
        </w:rPr>
        <w:t>них</w:t>
      </w:r>
      <w:r>
        <w:rPr>
          <w:color w:val="231F20"/>
          <w:spacing w:val="-13"/>
        </w:rPr>
        <w:t> </w:t>
      </w:r>
      <w:r>
        <w:rPr>
          <w:color w:val="231F20"/>
        </w:rPr>
        <w:t>заключа- ется</w:t>
      </w:r>
      <w:r>
        <w:rPr>
          <w:color w:val="231F20"/>
          <w:spacing w:val="-13"/>
        </w:rPr>
        <w:t> </w:t>
      </w:r>
      <w:r>
        <w:rPr>
          <w:color w:val="231F20"/>
        </w:rPr>
        <w:t>в</w:t>
      </w:r>
      <w:r>
        <w:rPr>
          <w:color w:val="231F20"/>
          <w:spacing w:val="-12"/>
        </w:rPr>
        <w:t> </w:t>
      </w:r>
      <w:r>
        <w:rPr>
          <w:color w:val="231F20"/>
        </w:rPr>
        <w:t>том,</w:t>
      </w:r>
      <w:r>
        <w:rPr>
          <w:color w:val="231F20"/>
          <w:spacing w:val="-13"/>
        </w:rPr>
        <w:t> </w:t>
      </w:r>
      <w:r>
        <w:rPr>
          <w:color w:val="231F20"/>
        </w:rPr>
        <w:t>что</w:t>
      </w:r>
      <w:r>
        <w:rPr>
          <w:color w:val="231F20"/>
          <w:spacing w:val="-12"/>
        </w:rPr>
        <w:t> </w:t>
      </w:r>
      <w:r>
        <w:rPr>
          <w:color w:val="231F20"/>
        </w:rPr>
        <w:t>дети</w:t>
      </w:r>
      <w:r>
        <w:rPr>
          <w:color w:val="231F20"/>
          <w:spacing w:val="-13"/>
        </w:rPr>
        <w:t> </w:t>
      </w:r>
      <w:r>
        <w:rPr>
          <w:color w:val="231F20"/>
        </w:rPr>
        <w:t>с</w:t>
      </w:r>
      <w:r>
        <w:rPr>
          <w:color w:val="231F20"/>
          <w:spacing w:val="-12"/>
        </w:rPr>
        <w:t> </w:t>
      </w:r>
      <w:r>
        <w:rPr>
          <w:color w:val="231F20"/>
        </w:rPr>
        <w:t>меньшей</w:t>
      </w:r>
      <w:r>
        <w:rPr>
          <w:color w:val="231F20"/>
          <w:spacing w:val="-13"/>
        </w:rPr>
        <w:t> </w:t>
      </w:r>
      <w:r>
        <w:rPr>
          <w:color w:val="231F20"/>
        </w:rPr>
        <w:t>выраженностью</w:t>
      </w:r>
      <w:r>
        <w:rPr>
          <w:color w:val="231F20"/>
          <w:spacing w:val="-12"/>
        </w:rPr>
        <w:t> </w:t>
      </w:r>
      <w:r>
        <w:rPr>
          <w:color w:val="231F20"/>
        </w:rPr>
        <w:t>неприязни</w:t>
      </w:r>
      <w:r>
        <w:rPr>
          <w:color w:val="231F20"/>
          <w:spacing w:val="-13"/>
        </w:rPr>
        <w:t> </w:t>
      </w:r>
      <w:r>
        <w:rPr>
          <w:color w:val="231F20"/>
        </w:rPr>
        <w:t>к</w:t>
      </w:r>
      <w:r>
        <w:rPr>
          <w:color w:val="231F20"/>
          <w:spacing w:val="-12"/>
        </w:rPr>
        <w:t> </w:t>
      </w:r>
      <w:r>
        <w:rPr>
          <w:color w:val="231F20"/>
        </w:rPr>
        <w:t>другим</w:t>
      </w:r>
      <w:r>
        <w:rPr>
          <w:color w:val="231F20"/>
          <w:spacing w:val="-13"/>
        </w:rPr>
        <w:t> </w:t>
      </w:r>
      <w:r>
        <w:rPr>
          <w:color w:val="231F20"/>
        </w:rPr>
        <w:t>культурам</w:t>
      </w:r>
      <w:r>
        <w:rPr>
          <w:color w:val="231F20"/>
          <w:spacing w:val="-12"/>
        </w:rPr>
        <w:t> </w:t>
      </w:r>
      <w:r>
        <w:rPr>
          <w:color w:val="231F20"/>
        </w:rPr>
        <w:t>наибо- лее восприимчивы к социальному влиянию в области снижения предубежденности. Напротив, предубежденные учащиеся с недоверием относятся к любым попыткам поколебать</w:t>
      </w:r>
      <w:r>
        <w:rPr>
          <w:color w:val="231F20"/>
          <w:spacing w:val="-6"/>
        </w:rPr>
        <w:t> </w:t>
      </w:r>
      <w:r>
        <w:rPr>
          <w:color w:val="231F20"/>
        </w:rPr>
        <w:t>их</w:t>
      </w:r>
      <w:r>
        <w:rPr>
          <w:color w:val="231F20"/>
          <w:spacing w:val="-6"/>
        </w:rPr>
        <w:t> </w:t>
      </w:r>
      <w:r>
        <w:rPr>
          <w:color w:val="231F20"/>
        </w:rPr>
        <w:t>уже</w:t>
      </w:r>
      <w:r>
        <w:rPr>
          <w:color w:val="231F20"/>
          <w:spacing w:val="-6"/>
        </w:rPr>
        <w:t> </w:t>
      </w:r>
      <w:r>
        <w:rPr>
          <w:color w:val="231F20"/>
        </w:rPr>
        <w:t>сложившиеся</w:t>
      </w:r>
      <w:r>
        <w:rPr>
          <w:color w:val="231F20"/>
          <w:spacing w:val="-6"/>
        </w:rPr>
        <w:t> </w:t>
      </w:r>
      <w:r>
        <w:rPr>
          <w:color w:val="231F20"/>
        </w:rPr>
        <w:t>стойкие</w:t>
      </w:r>
      <w:r>
        <w:rPr>
          <w:color w:val="231F20"/>
          <w:spacing w:val="-6"/>
        </w:rPr>
        <w:t> </w:t>
      </w:r>
      <w:r>
        <w:rPr>
          <w:color w:val="231F20"/>
        </w:rPr>
        <w:t>неприязненные</w:t>
      </w:r>
      <w:r>
        <w:rPr>
          <w:color w:val="231F20"/>
          <w:spacing w:val="-5"/>
        </w:rPr>
        <w:t> </w:t>
      </w:r>
      <w:r>
        <w:rPr>
          <w:color w:val="231F20"/>
        </w:rPr>
        <w:t>убеждения.</w:t>
      </w:r>
      <w:r>
        <w:rPr>
          <w:color w:val="231F20"/>
          <w:spacing w:val="-6"/>
        </w:rPr>
        <w:t> </w:t>
      </w:r>
      <w:r>
        <w:rPr>
          <w:color w:val="231F20"/>
        </w:rPr>
        <w:t>Педагогу</w:t>
      </w:r>
      <w:r>
        <w:rPr>
          <w:color w:val="231F20"/>
          <w:spacing w:val="-6"/>
        </w:rPr>
        <w:t> </w:t>
      </w:r>
      <w:r>
        <w:rPr>
          <w:color w:val="231F20"/>
        </w:rPr>
        <w:t>необ- </w:t>
      </w:r>
      <w:r>
        <w:rPr>
          <w:color w:val="231F20"/>
          <w:spacing w:val="-2"/>
        </w:rPr>
        <w:t>ходимо</w:t>
      </w:r>
      <w:r>
        <w:rPr>
          <w:color w:val="231F20"/>
          <w:spacing w:val="-3"/>
        </w:rPr>
        <w:t> </w:t>
      </w:r>
      <w:r>
        <w:rPr>
          <w:color w:val="231F20"/>
          <w:spacing w:val="-2"/>
        </w:rPr>
        <w:t>искать формы</w:t>
      </w:r>
      <w:r>
        <w:rPr>
          <w:color w:val="231F20"/>
          <w:spacing w:val="-3"/>
        </w:rPr>
        <w:t> </w:t>
      </w:r>
      <w:r>
        <w:rPr>
          <w:color w:val="231F20"/>
          <w:spacing w:val="-2"/>
        </w:rPr>
        <w:t>и методы обучения, способствующие вовлеченности учащихся, </w:t>
      </w:r>
      <w:r>
        <w:rPr>
          <w:color w:val="231F20"/>
        </w:rPr>
        <w:t>что</w:t>
      </w:r>
      <w:r>
        <w:rPr>
          <w:color w:val="231F20"/>
          <w:spacing w:val="-5"/>
        </w:rPr>
        <w:t> </w:t>
      </w:r>
      <w:r>
        <w:rPr>
          <w:color w:val="231F20"/>
        </w:rPr>
        <w:t>позволит</w:t>
      </w:r>
      <w:r>
        <w:rPr>
          <w:color w:val="231F20"/>
          <w:spacing w:val="-5"/>
        </w:rPr>
        <w:t> </w:t>
      </w:r>
      <w:r>
        <w:rPr>
          <w:color w:val="231F20"/>
        </w:rPr>
        <w:t>задействовать</w:t>
      </w:r>
      <w:r>
        <w:rPr>
          <w:color w:val="231F20"/>
          <w:spacing w:val="-5"/>
        </w:rPr>
        <w:t> </w:t>
      </w:r>
      <w:r>
        <w:rPr>
          <w:color w:val="231F20"/>
        </w:rPr>
        <w:t>и</w:t>
      </w:r>
      <w:r>
        <w:rPr>
          <w:color w:val="231F20"/>
          <w:spacing w:val="-5"/>
        </w:rPr>
        <w:t> </w:t>
      </w:r>
      <w:r>
        <w:rPr>
          <w:color w:val="231F20"/>
        </w:rPr>
        <w:t>тех</w:t>
      </w:r>
      <w:r>
        <w:rPr>
          <w:color w:val="231F20"/>
          <w:spacing w:val="-5"/>
        </w:rPr>
        <w:t> </w:t>
      </w:r>
      <w:r>
        <w:rPr>
          <w:color w:val="231F20"/>
        </w:rPr>
        <w:t>школьников,</w:t>
      </w:r>
      <w:r>
        <w:rPr>
          <w:color w:val="231F20"/>
          <w:spacing w:val="-5"/>
        </w:rPr>
        <w:t> </w:t>
      </w:r>
      <w:r>
        <w:rPr>
          <w:color w:val="231F20"/>
        </w:rPr>
        <w:t>для</w:t>
      </w:r>
      <w:r>
        <w:rPr>
          <w:color w:val="231F20"/>
          <w:spacing w:val="-5"/>
        </w:rPr>
        <w:t> </w:t>
      </w:r>
      <w:r>
        <w:rPr>
          <w:color w:val="231F20"/>
        </w:rPr>
        <w:t>кого</w:t>
      </w:r>
      <w:r>
        <w:rPr>
          <w:color w:val="231F20"/>
          <w:spacing w:val="-5"/>
        </w:rPr>
        <w:t> </w:t>
      </w:r>
      <w:r>
        <w:rPr>
          <w:color w:val="231F20"/>
        </w:rPr>
        <w:t>межкультурное</w:t>
      </w:r>
      <w:r>
        <w:rPr>
          <w:color w:val="231F20"/>
          <w:spacing w:val="-5"/>
        </w:rPr>
        <w:t> </w:t>
      </w:r>
      <w:r>
        <w:rPr>
          <w:color w:val="231F20"/>
        </w:rPr>
        <w:t>взаимопони- мание не является ценностью по умолчанию.</w:t>
      </w:r>
    </w:p>
    <w:p>
      <w:pPr>
        <w:pStyle w:val="BodyText"/>
        <w:spacing w:line="242" w:lineRule="auto" w:before="7"/>
      </w:pPr>
      <w:r>
        <w:rPr>
          <w:color w:val="231F20"/>
        </w:rPr>
        <w:t>В</w:t>
      </w:r>
      <w:r>
        <w:rPr>
          <w:color w:val="231F20"/>
          <w:spacing w:val="-1"/>
        </w:rPr>
        <w:t> </w:t>
      </w:r>
      <w:r>
        <w:rPr>
          <w:color w:val="231F20"/>
        </w:rPr>
        <w:t>этой</w:t>
      </w:r>
      <w:r>
        <w:rPr>
          <w:color w:val="231F20"/>
          <w:spacing w:val="-1"/>
        </w:rPr>
        <w:t> </w:t>
      </w:r>
      <w:r>
        <w:rPr>
          <w:color w:val="231F20"/>
        </w:rPr>
        <w:t>связи</w:t>
      </w:r>
      <w:r>
        <w:rPr>
          <w:color w:val="231F20"/>
          <w:spacing w:val="-1"/>
        </w:rPr>
        <w:t> </w:t>
      </w:r>
      <w:r>
        <w:rPr>
          <w:color w:val="231F20"/>
        </w:rPr>
        <w:t>представляется</w:t>
      </w:r>
      <w:r>
        <w:rPr>
          <w:color w:val="231F20"/>
          <w:spacing w:val="-1"/>
        </w:rPr>
        <w:t> </w:t>
      </w:r>
      <w:r>
        <w:rPr>
          <w:color w:val="231F20"/>
        </w:rPr>
        <w:t>важным</w:t>
      </w:r>
      <w:r>
        <w:rPr>
          <w:color w:val="231F20"/>
          <w:spacing w:val="-1"/>
        </w:rPr>
        <w:t> </w:t>
      </w:r>
      <w:r>
        <w:rPr>
          <w:color w:val="231F20"/>
        </w:rPr>
        <w:t>подход</w:t>
      </w:r>
      <w:r>
        <w:rPr>
          <w:color w:val="231F20"/>
          <w:spacing w:val="-1"/>
        </w:rPr>
        <w:t> </w:t>
      </w:r>
      <w:r>
        <w:rPr>
          <w:color w:val="231F20"/>
        </w:rPr>
        <w:t>к</w:t>
      </w:r>
      <w:r>
        <w:rPr>
          <w:color w:val="231F20"/>
          <w:spacing w:val="-1"/>
        </w:rPr>
        <w:t> </w:t>
      </w:r>
      <w:r>
        <w:rPr>
          <w:color w:val="231F20"/>
        </w:rPr>
        <w:t>обучению</w:t>
      </w:r>
      <w:r>
        <w:rPr>
          <w:color w:val="231F20"/>
          <w:spacing w:val="-1"/>
        </w:rPr>
        <w:t> </w:t>
      </w:r>
      <w:r>
        <w:rPr>
          <w:color w:val="231F20"/>
        </w:rPr>
        <w:t>с</w:t>
      </w:r>
      <w:r>
        <w:rPr>
          <w:color w:val="231F20"/>
          <w:spacing w:val="-1"/>
        </w:rPr>
        <w:t> </w:t>
      </w:r>
      <w:r>
        <w:rPr>
          <w:color w:val="231F20"/>
        </w:rPr>
        <w:t>позиций</w:t>
      </w:r>
      <w:r>
        <w:rPr>
          <w:color w:val="231F20"/>
          <w:spacing w:val="-1"/>
        </w:rPr>
        <w:t> </w:t>
      </w:r>
      <w:r>
        <w:rPr>
          <w:color w:val="231F20"/>
        </w:rPr>
        <w:t>т.н.</w:t>
      </w:r>
      <w:r>
        <w:rPr>
          <w:color w:val="231F20"/>
          <w:spacing w:val="-1"/>
        </w:rPr>
        <w:t> </w:t>
      </w:r>
      <w:r>
        <w:rPr>
          <w:color w:val="231F20"/>
        </w:rPr>
        <w:t>эдьютей- нмента, когда педагог использует контент, соединяющий образовательные и развле- кательные элементы и обеспечивающий при этом информирование аудитории при максимально облегченном анализе событий (Гнатюк, 2012). В рамках данного под- хода более эффективно происходит целенаправленное последовательное освоение учеником</w:t>
      </w:r>
      <w:r>
        <w:rPr>
          <w:color w:val="231F20"/>
          <w:spacing w:val="-13"/>
        </w:rPr>
        <w:t> </w:t>
      </w:r>
      <w:r>
        <w:rPr>
          <w:color w:val="231F20"/>
        </w:rPr>
        <w:t>передаваемых</w:t>
      </w:r>
      <w:r>
        <w:rPr>
          <w:color w:val="231F20"/>
          <w:spacing w:val="-12"/>
        </w:rPr>
        <w:t> </w:t>
      </w:r>
      <w:r>
        <w:rPr>
          <w:color w:val="231F20"/>
        </w:rPr>
        <w:t>ему</w:t>
      </w:r>
      <w:r>
        <w:rPr>
          <w:color w:val="231F20"/>
          <w:spacing w:val="-13"/>
        </w:rPr>
        <w:t> </w:t>
      </w:r>
      <w:r>
        <w:rPr>
          <w:color w:val="231F20"/>
        </w:rPr>
        <w:t>методологий</w:t>
      </w:r>
      <w:r>
        <w:rPr>
          <w:color w:val="231F20"/>
          <w:spacing w:val="-12"/>
        </w:rPr>
        <w:t> </w:t>
      </w:r>
      <w:r>
        <w:rPr>
          <w:color w:val="231F20"/>
        </w:rPr>
        <w:t>и</w:t>
      </w:r>
      <w:r>
        <w:rPr>
          <w:color w:val="231F20"/>
          <w:spacing w:val="-13"/>
        </w:rPr>
        <w:t> </w:t>
      </w:r>
      <w:r>
        <w:rPr>
          <w:color w:val="231F20"/>
        </w:rPr>
        <w:t>опыта</w:t>
      </w:r>
      <w:r>
        <w:rPr>
          <w:color w:val="231F20"/>
          <w:spacing w:val="-12"/>
        </w:rPr>
        <w:t> </w:t>
      </w:r>
      <w:r>
        <w:rPr>
          <w:color w:val="231F20"/>
        </w:rPr>
        <w:t>творческой</w:t>
      </w:r>
      <w:r>
        <w:rPr>
          <w:color w:val="231F20"/>
          <w:spacing w:val="-13"/>
        </w:rPr>
        <w:t> </w:t>
      </w:r>
      <w:r>
        <w:rPr>
          <w:color w:val="231F20"/>
        </w:rPr>
        <w:t>деятельности</w:t>
      </w:r>
      <w:r>
        <w:rPr>
          <w:color w:val="231F20"/>
          <w:spacing w:val="-12"/>
        </w:rPr>
        <w:t> </w:t>
      </w:r>
      <w:r>
        <w:rPr>
          <w:color w:val="231F20"/>
        </w:rPr>
        <w:t>и</w:t>
      </w:r>
      <w:r>
        <w:rPr>
          <w:color w:val="231F20"/>
          <w:spacing w:val="-13"/>
        </w:rPr>
        <w:t> </w:t>
      </w:r>
      <w:r>
        <w:rPr>
          <w:color w:val="231F20"/>
        </w:rPr>
        <w:t>форми- рование на этой основе собственного творческого опыта: знаний, умений и навыков (Иновкина, 2008). В целом эдьютейнмент – это технология обучения, рассматривае- мая</w:t>
      </w:r>
      <w:r>
        <w:rPr>
          <w:color w:val="231F20"/>
          <w:spacing w:val="-2"/>
        </w:rPr>
        <w:t> </w:t>
      </w:r>
      <w:r>
        <w:rPr>
          <w:color w:val="231F20"/>
        </w:rPr>
        <w:t>как</w:t>
      </w:r>
      <w:r>
        <w:rPr>
          <w:color w:val="231F20"/>
          <w:spacing w:val="-2"/>
        </w:rPr>
        <w:t> </w:t>
      </w:r>
      <w:r>
        <w:rPr>
          <w:color w:val="231F20"/>
        </w:rPr>
        <w:t>совокупность</w:t>
      </w:r>
      <w:r>
        <w:rPr>
          <w:color w:val="231F20"/>
          <w:spacing w:val="-2"/>
        </w:rPr>
        <w:t> </w:t>
      </w:r>
      <w:r>
        <w:rPr>
          <w:color w:val="231F20"/>
        </w:rPr>
        <w:t>современных</w:t>
      </w:r>
      <w:r>
        <w:rPr>
          <w:color w:val="231F20"/>
          <w:spacing w:val="-2"/>
        </w:rPr>
        <w:t> </w:t>
      </w:r>
      <w:r>
        <w:rPr>
          <w:color w:val="231F20"/>
        </w:rPr>
        <w:t>технических</w:t>
      </w:r>
      <w:r>
        <w:rPr>
          <w:color w:val="231F20"/>
          <w:spacing w:val="-2"/>
        </w:rPr>
        <w:t> </w:t>
      </w:r>
      <w:r>
        <w:rPr>
          <w:color w:val="231F20"/>
        </w:rPr>
        <w:t>и</w:t>
      </w:r>
      <w:r>
        <w:rPr>
          <w:color w:val="231F20"/>
          <w:spacing w:val="-2"/>
        </w:rPr>
        <w:t> </w:t>
      </w:r>
      <w:r>
        <w:rPr>
          <w:color w:val="231F20"/>
        </w:rPr>
        <w:t>дидактических</w:t>
      </w:r>
      <w:r>
        <w:rPr>
          <w:color w:val="231F20"/>
          <w:spacing w:val="-2"/>
        </w:rPr>
        <w:t> </w:t>
      </w:r>
      <w:r>
        <w:rPr>
          <w:color w:val="231F20"/>
        </w:rPr>
        <w:t>средств</w:t>
      </w:r>
      <w:r>
        <w:rPr>
          <w:color w:val="231F20"/>
          <w:spacing w:val="-2"/>
        </w:rPr>
        <w:t> </w:t>
      </w:r>
      <w:r>
        <w:rPr>
          <w:color w:val="231F20"/>
        </w:rPr>
        <w:t>обучения, которая</w:t>
      </w:r>
      <w:r>
        <w:rPr>
          <w:color w:val="231F20"/>
          <w:spacing w:val="-9"/>
        </w:rPr>
        <w:t> </w:t>
      </w:r>
      <w:r>
        <w:rPr>
          <w:color w:val="231F20"/>
        </w:rPr>
        <w:t>основана</w:t>
      </w:r>
      <w:r>
        <w:rPr>
          <w:color w:val="231F20"/>
          <w:spacing w:val="-9"/>
        </w:rPr>
        <w:t> </w:t>
      </w:r>
      <w:r>
        <w:rPr>
          <w:color w:val="231F20"/>
        </w:rPr>
        <w:t>на</w:t>
      </w:r>
      <w:r>
        <w:rPr>
          <w:color w:val="231F20"/>
          <w:spacing w:val="-9"/>
        </w:rPr>
        <w:t> </w:t>
      </w:r>
      <w:r>
        <w:rPr>
          <w:color w:val="231F20"/>
        </w:rPr>
        <w:t>концепции</w:t>
      </w:r>
      <w:r>
        <w:rPr>
          <w:color w:val="231F20"/>
          <w:spacing w:val="-9"/>
        </w:rPr>
        <w:t> </w:t>
      </w:r>
      <w:r>
        <w:rPr>
          <w:color w:val="231F20"/>
        </w:rPr>
        <w:t>обучения</w:t>
      </w:r>
      <w:r>
        <w:rPr>
          <w:color w:val="231F20"/>
          <w:spacing w:val="-9"/>
        </w:rPr>
        <w:t> </w:t>
      </w:r>
      <w:r>
        <w:rPr>
          <w:color w:val="231F20"/>
        </w:rPr>
        <w:t>через</w:t>
      </w:r>
      <w:r>
        <w:rPr>
          <w:color w:val="231F20"/>
          <w:spacing w:val="-9"/>
        </w:rPr>
        <w:t> </w:t>
      </w:r>
      <w:r>
        <w:rPr>
          <w:color w:val="231F20"/>
        </w:rPr>
        <w:t>развлечение.</w:t>
      </w:r>
      <w:r>
        <w:rPr>
          <w:color w:val="231F20"/>
          <w:spacing w:val="-9"/>
        </w:rPr>
        <w:t> </w:t>
      </w:r>
      <w:r>
        <w:rPr>
          <w:color w:val="231F20"/>
        </w:rPr>
        <w:t>Смысл</w:t>
      </w:r>
      <w:r>
        <w:rPr>
          <w:color w:val="231F20"/>
          <w:spacing w:val="-9"/>
        </w:rPr>
        <w:t> </w:t>
      </w:r>
      <w:r>
        <w:rPr>
          <w:color w:val="231F20"/>
        </w:rPr>
        <w:t>этой</w:t>
      </w:r>
      <w:r>
        <w:rPr>
          <w:color w:val="231F20"/>
          <w:spacing w:val="-9"/>
        </w:rPr>
        <w:t> </w:t>
      </w:r>
      <w:r>
        <w:rPr>
          <w:color w:val="231F20"/>
        </w:rPr>
        <w:t>технологии в</w:t>
      </w:r>
      <w:r>
        <w:rPr>
          <w:color w:val="231F20"/>
          <w:spacing w:val="20"/>
        </w:rPr>
        <w:t> </w:t>
      </w:r>
      <w:r>
        <w:rPr>
          <w:color w:val="231F20"/>
        </w:rPr>
        <w:t>том,</w:t>
      </w:r>
      <w:r>
        <w:rPr>
          <w:color w:val="231F20"/>
          <w:spacing w:val="20"/>
        </w:rPr>
        <w:t> </w:t>
      </w:r>
      <w:r>
        <w:rPr>
          <w:color w:val="231F20"/>
        </w:rPr>
        <w:t>что</w:t>
      </w:r>
      <w:r>
        <w:rPr>
          <w:color w:val="231F20"/>
          <w:spacing w:val="20"/>
        </w:rPr>
        <w:t> </w:t>
      </w:r>
      <w:r>
        <w:rPr>
          <w:color w:val="231F20"/>
        </w:rPr>
        <w:t>знания</w:t>
      </w:r>
      <w:r>
        <w:rPr>
          <w:color w:val="231F20"/>
          <w:spacing w:val="20"/>
        </w:rPr>
        <w:t> </w:t>
      </w:r>
      <w:r>
        <w:rPr>
          <w:color w:val="231F20"/>
        </w:rPr>
        <w:t>должны</w:t>
      </w:r>
      <w:r>
        <w:rPr>
          <w:color w:val="231F20"/>
          <w:spacing w:val="20"/>
        </w:rPr>
        <w:t> </w:t>
      </w:r>
      <w:r>
        <w:rPr>
          <w:color w:val="231F20"/>
        </w:rPr>
        <w:t>передаваться</w:t>
      </w:r>
      <w:r>
        <w:rPr>
          <w:color w:val="231F20"/>
          <w:spacing w:val="20"/>
        </w:rPr>
        <w:t> </w:t>
      </w:r>
      <w:r>
        <w:rPr>
          <w:color w:val="231F20"/>
        </w:rPr>
        <w:t>в</w:t>
      </w:r>
      <w:r>
        <w:rPr>
          <w:color w:val="231F20"/>
          <w:spacing w:val="20"/>
        </w:rPr>
        <w:t> </w:t>
      </w:r>
      <w:r>
        <w:rPr>
          <w:color w:val="231F20"/>
        </w:rPr>
        <w:t>понятной,</w:t>
      </w:r>
      <w:r>
        <w:rPr>
          <w:color w:val="231F20"/>
          <w:spacing w:val="20"/>
        </w:rPr>
        <w:t> </w:t>
      </w:r>
      <w:r>
        <w:rPr>
          <w:color w:val="231F20"/>
        </w:rPr>
        <w:t>простой</w:t>
      </w:r>
      <w:r>
        <w:rPr>
          <w:color w:val="231F20"/>
          <w:spacing w:val="20"/>
        </w:rPr>
        <w:t> </w:t>
      </w:r>
      <w:r>
        <w:rPr>
          <w:color w:val="231F20"/>
        </w:rPr>
        <w:t>и</w:t>
      </w:r>
      <w:r>
        <w:rPr>
          <w:color w:val="231F20"/>
          <w:spacing w:val="20"/>
        </w:rPr>
        <w:t> </w:t>
      </w:r>
      <w:r>
        <w:rPr>
          <w:color w:val="231F20"/>
        </w:rPr>
        <w:t>интересной</w:t>
      </w:r>
      <w:r>
        <w:rPr>
          <w:color w:val="231F20"/>
          <w:spacing w:val="20"/>
        </w:rPr>
        <w:t> </w:t>
      </w:r>
      <w:r>
        <w:rPr>
          <w:color w:val="231F20"/>
        </w:rPr>
        <w:t>форме, а также в комфортных условиях (Кобзева, 2012).</w:t>
      </w:r>
    </w:p>
    <w:p>
      <w:pPr>
        <w:pStyle w:val="BodyText"/>
        <w:spacing w:line="237" w:lineRule="auto"/>
      </w:pPr>
      <w:r>
        <w:rPr>
          <w:color w:val="231F20"/>
        </w:rPr>
        <w:t>Один</w:t>
      </w:r>
      <w:r>
        <w:rPr>
          <w:color w:val="231F20"/>
          <w:spacing w:val="-12"/>
        </w:rPr>
        <w:t> </w:t>
      </w:r>
      <w:r>
        <w:rPr>
          <w:color w:val="231F20"/>
        </w:rPr>
        <w:t>из</w:t>
      </w:r>
      <w:r>
        <w:rPr>
          <w:color w:val="231F20"/>
          <w:spacing w:val="-12"/>
        </w:rPr>
        <w:t> </w:t>
      </w:r>
      <w:r>
        <w:rPr>
          <w:color w:val="231F20"/>
        </w:rPr>
        <w:t>вариантов</w:t>
      </w:r>
      <w:r>
        <w:rPr>
          <w:color w:val="231F20"/>
          <w:spacing w:val="-12"/>
        </w:rPr>
        <w:t> </w:t>
      </w:r>
      <w:r>
        <w:rPr>
          <w:color w:val="231F20"/>
        </w:rPr>
        <w:t>такого</w:t>
      </w:r>
      <w:r>
        <w:rPr>
          <w:color w:val="231F20"/>
          <w:spacing w:val="-12"/>
        </w:rPr>
        <w:t> </w:t>
      </w:r>
      <w:r>
        <w:rPr>
          <w:color w:val="231F20"/>
        </w:rPr>
        <w:t>подхода</w:t>
      </w:r>
      <w:r>
        <w:rPr>
          <w:color w:val="231F20"/>
          <w:spacing w:val="-12"/>
        </w:rPr>
        <w:t> </w:t>
      </w:r>
      <w:r>
        <w:rPr>
          <w:color w:val="231F20"/>
        </w:rPr>
        <w:t>заключается</w:t>
      </w:r>
      <w:r>
        <w:rPr>
          <w:color w:val="231F20"/>
          <w:spacing w:val="-12"/>
        </w:rPr>
        <w:t> </w:t>
      </w:r>
      <w:r>
        <w:rPr>
          <w:color w:val="231F20"/>
        </w:rPr>
        <w:t>в</w:t>
      </w:r>
      <w:r>
        <w:rPr>
          <w:color w:val="231F20"/>
          <w:spacing w:val="-12"/>
        </w:rPr>
        <w:t> </w:t>
      </w:r>
      <w:r>
        <w:rPr>
          <w:color w:val="231F20"/>
        </w:rPr>
        <w:t>использовании</w:t>
      </w:r>
      <w:r>
        <w:rPr>
          <w:color w:val="231F20"/>
          <w:spacing w:val="-12"/>
        </w:rPr>
        <w:t> </w:t>
      </w:r>
      <w:r>
        <w:rPr>
          <w:color w:val="231F20"/>
        </w:rPr>
        <w:t>креативных</w:t>
      </w:r>
      <w:r>
        <w:rPr>
          <w:color w:val="231F20"/>
          <w:spacing w:val="-12"/>
        </w:rPr>
        <w:t> </w:t>
      </w:r>
      <w:r>
        <w:rPr>
          <w:color w:val="231F20"/>
        </w:rPr>
        <w:t>ком- муникационных</w:t>
      </w:r>
      <w:r>
        <w:rPr>
          <w:color w:val="231F20"/>
          <w:spacing w:val="-11"/>
        </w:rPr>
        <w:t> </w:t>
      </w:r>
      <w:r>
        <w:rPr>
          <w:color w:val="231F20"/>
        </w:rPr>
        <w:t>технологий,</w:t>
      </w:r>
      <w:r>
        <w:rPr>
          <w:color w:val="231F20"/>
          <w:spacing w:val="-11"/>
        </w:rPr>
        <w:t> </w:t>
      </w:r>
      <w:r>
        <w:rPr>
          <w:color w:val="231F20"/>
        </w:rPr>
        <w:t>в</w:t>
      </w:r>
      <w:r>
        <w:rPr>
          <w:color w:val="231F20"/>
          <w:spacing w:val="-11"/>
        </w:rPr>
        <w:t> </w:t>
      </w:r>
      <w:r>
        <w:rPr>
          <w:color w:val="231F20"/>
        </w:rPr>
        <w:t>основе</w:t>
      </w:r>
      <w:r>
        <w:rPr>
          <w:color w:val="231F20"/>
          <w:spacing w:val="-11"/>
        </w:rPr>
        <w:t> </w:t>
      </w:r>
      <w:r>
        <w:rPr>
          <w:color w:val="231F20"/>
        </w:rPr>
        <w:t>которых</w:t>
      </w:r>
      <w:r>
        <w:rPr>
          <w:color w:val="231F20"/>
          <w:spacing w:val="-11"/>
        </w:rPr>
        <w:t> </w:t>
      </w:r>
      <w:r>
        <w:rPr>
          <w:color w:val="231F20"/>
        </w:rPr>
        <w:t>лежит</w:t>
      </w:r>
      <w:r>
        <w:rPr>
          <w:color w:val="231F20"/>
          <w:spacing w:val="-11"/>
        </w:rPr>
        <w:t> </w:t>
      </w:r>
      <w:r>
        <w:rPr>
          <w:color w:val="231F20"/>
        </w:rPr>
        <w:t>работа</w:t>
      </w:r>
      <w:r>
        <w:rPr>
          <w:color w:val="231F20"/>
          <w:spacing w:val="-11"/>
        </w:rPr>
        <w:t> </w:t>
      </w:r>
      <w:r>
        <w:rPr>
          <w:color w:val="231F20"/>
        </w:rPr>
        <w:t>с</w:t>
      </w:r>
      <w:r>
        <w:rPr>
          <w:color w:val="231F20"/>
          <w:spacing w:val="-11"/>
        </w:rPr>
        <w:t> </w:t>
      </w:r>
      <w:r>
        <w:rPr>
          <w:color w:val="231F20"/>
        </w:rPr>
        <w:t>широко</w:t>
      </w:r>
      <w:r>
        <w:rPr>
          <w:color w:val="231F20"/>
          <w:spacing w:val="-11"/>
        </w:rPr>
        <w:t> </w:t>
      </w:r>
      <w:r>
        <w:rPr>
          <w:color w:val="231F20"/>
        </w:rPr>
        <w:t>известным</w:t>
      </w:r>
      <w:r>
        <w:rPr>
          <w:color w:val="231F20"/>
          <w:spacing w:val="-11"/>
        </w:rPr>
        <w:t> </w:t>
      </w:r>
      <w:r>
        <w:rPr>
          <w:color w:val="231F20"/>
        </w:rPr>
        <w:t>по- пулярным</w:t>
      </w:r>
      <w:r>
        <w:rPr>
          <w:color w:val="231F20"/>
          <w:spacing w:val="-4"/>
        </w:rPr>
        <w:t> </w:t>
      </w:r>
      <w:r>
        <w:rPr>
          <w:color w:val="231F20"/>
        </w:rPr>
        <w:t>жанром</w:t>
      </w:r>
      <w:r>
        <w:rPr>
          <w:color w:val="231F20"/>
          <w:spacing w:val="-4"/>
        </w:rPr>
        <w:t> </w:t>
      </w:r>
      <w:r>
        <w:rPr>
          <w:color w:val="231F20"/>
        </w:rPr>
        <w:t>визуального</w:t>
      </w:r>
      <w:r>
        <w:rPr>
          <w:color w:val="231F20"/>
          <w:spacing w:val="-4"/>
        </w:rPr>
        <w:t> </w:t>
      </w:r>
      <w:r>
        <w:rPr>
          <w:color w:val="231F20"/>
        </w:rPr>
        <w:t>искусства</w:t>
      </w:r>
      <w:r>
        <w:rPr>
          <w:color w:val="231F20"/>
          <w:spacing w:val="-4"/>
        </w:rPr>
        <w:t> </w:t>
      </w:r>
      <w:r>
        <w:rPr>
          <w:color w:val="231F20"/>
        </w:rPr>
        <w:t>–</w:t>
      </w:r>
      <w:r>
        <w:rPr>
          <w:color w:val="231F20"/>
          <w:spacing w:val="-4"/>
        </w:rPr>
        <w:t> </w:t>
      </w:r>
      <w:r>
        <w:rPr>
          <w:color w:val="231F20"/>
        </w:rPr>
        <w:t>комиксом.</w:t>
      </w:r>
      <w:r>
        <w:rPr>
          <w:color w:val="231F20"/>
          <w:spacing w:val="-4"/>
        </w:rPr>
        <w:t> </w:t>
      </w:r>
      <w:r>
        <w:rPr/>
        <w:t>Комиксы</w:t>
      </w:r>
      <w:r>
        <w:rPr>
          <w:spacing w:val="-4"/>
        </w:rPr>
        <w:t> </w:t>
      </w:r>
      <w:r>
        <w:rPr/>
        <w:t>обеспечивают</w:t>
      </w:r>
      <w:r>
        <w:rPr>
          <w:spacing w:val="-4"/>
        </w:rPr>
        <w:t> </w:t>
      </w:r>
      <w:r>
        <w:rPr/>
        <w:t>пове- </w:t>
      </w:r>
      <w:r>
        <w:rPr>
          <w:spacing w:val="-4"/>
        </w:rPr>
        <w:t>ствовательный опыт для студентов, они следят за началом и концом истории, сюжетом, </w:t>
      </w:r>
      <w:r>
        <w:rPr>
          <w:spacing w:val="-2"/>
        </w:rPr>
        <w:t>персонажами,</w:t>
      </w:r>
      <w:r>
        <w:rPr>
          <w:spacing w:val="-9"/>
        </w:rPr>
        <w:t> </w:t>
      </w:r>
      <w:r>
        <w:rPr>
          <w:spacing w:val="-2"/>
        </w:rPr>
        <w:t>временем</w:t>
      </w:r>
      <w:r>
        <w:rPr>
          <w:spacing w:val="-9"/>
        </w:rPr>
        <w:t> </w:t>
      </w:r>
      <w:r>
        <w:rPr>
          <w:spacing w:val="-2"/>
        </w:rPr>
        <w:t>и</w:t>
      </w:r>
      <w:r>
        <w:rPr>
          <w:spacing w:val="-9"/>
        </w:rPr>
        <w:t> </w:t>
      </w:r>
      <w:r>
        <w:rPr>
          <w:spacing w:val="-2"/>
        </w:rPr>
        <w:t>обстановкой,</w:t>
      </w:r>
      <w:r>
        <w:rPr>
          <w:spacing w:val="-9"/>
        </w:rPr>
        <w:t> </w:t>
      </w:r>
      <w:r>
        <w:rPr>
          <w:spacing w:val="-2"/>
        </w:rPr>
        <w:t>выстраивая</w:t>
      </w:r>
      <w:r>
        <w:rPr>
          <w:spacing w:val="-9"/>
        </w:rPr>
        <w:t> </w:t>
      </w:r>
      <w:r>
        <w:rPr>
          <w:spacing w:val="-2"/>
        </w:rPr>
        <w:t>последовательность.</w:t>
      </w:r>
      <w:r>
        <w:rPr>
          <w:spacing w:val="-9"/>
        </w:rPr>
        <w:t> </w:t>
      </w:r>
      <w:r>
        <w:rPr>
          <w:spacing w:val="-2"/>
        </w:rPr>
        <w:t>Изображения </w:t>
      </w:r>
      <w:r>
        <w:rPr/>
        <w:t>поддерживают текст и дают учащимся важные контекстуальные подсказки к значе- нию изучаемого материала. Комиксы выступают в качестве подспорья для понима- ния</w:t>
      </w:r>
      <w:r>
        <w:rPr>
          <w:spacing w:val="-13"/>
        </w:rPr>
        <w:t> </w:t>
      </w:r>
      <w:r>
        <w:rPr/>
        <w:t>студентов.</w:t>
      </w:r>
      <w:r>
        <w:rPr>
          <w:spacing w:val="-12"/>
        </w:rPr>
        <w:t> </w:t>
      </w:r>
      <w:r>
        <w:rPr/>
        <w:t>Stephen</w:t>
      </w:r>
      <w:r>
        <w:rPr>
          <w:spacing w:val="-12"/>
        </w:rPr>
        <w:t> </w:t>
      </w:r>
      <w:r>
        <w:rPr/>
        <w:t>Cary</w:t>
      </w:r>
      <w:r>
        <w:rPr>
          <w:spacing w:val="-12"/>
        </w:rPr>
        <w:t> </w:t>
      </w:r>
      <w:r>
        <w:rPr/>
        <w:t>в</w:t>
      </w:r>
      <w:r>
        <w:rPr>
          <w:spacing w:val="-12"/>
        </w:rPr>
        <w:t> </w:t>
      </w:r>
      <w:r>
        <w:rPr/>
        <w:t>книге</w:t>
      </w:r>
      <w:r>
        <w:rPr>
          <w:spacing w:val="-12"/>
        </w:rPr>
        <w:t> </w:t>
      </w:r>
      <w:r>
        <w:rPr/>
        <w:t>«Going</w:t>
      </w:r>
      <w:r>
        <w:rPr>
          <w:spacing w:val="-12"/>
        </w:rPr>
        <w:t> </w:t>
      </w:r>
      <w:r>
        <w:rPr/>
        <w:t>Graphic:</w:t>
      </w:r>
      <w:r>
        <w:rPr>
          <w:spacing w:val="-12"/>
        </w:rPr>
        <w:t> </w:t>
      </w:r>
      <w:r>
        <w:rPr/>
        <w:t>Comics</w:t>
      </w:r>
      <w:r>
        <w:rPr>
          <w:spacing w:val="-12"/>
        </w:rPr>
        <w:t> </w:t>
      </w:r>
      <w:r>
        <w:rPr/>
        <w:t>at</w:t>
      </w:r>
      <w:r>
        <w:rPr>
          <w:spacing w:val="-13"/>
        </w:rPr>
        <w:t> </w:t>
      </w:r>
      <w:r>
        <w:rPr/>
        <w:t>Work</w:t>
      </w:r>
      <w:r>
        <w:rPr>
          <w:spacing w:val="-12"/>
        </w:rPr>
        <w:t> </w:t>
      </w:r>
      <w:r>
        <w:rPr/>
        <w:t>in</w:t>
      </w:r>
      <w:r>
        <w:rPr>
          <w:spacing w:val="-12"/>
        </w:rPr>
        <w:t> </w:t>
      </w:r>
      <w:r>
        <w:rPr/>
        <w:t>the</w:t>
      </w:r>
      <w:r>
        <w:rPr>
          <w:spacing w:val="-12"/>
        </w:rPr>
        <w:t> </w:t>
      </w:r>
      <w:r>
        <w:rPr/>
        <w:t>Multilingual </w:t>
      </w:r>
      <w:r>
        <w:rPr>
          <w:spacing w:val="-2"/>
        </w:rPr>
        <w:t>Classroom»</w:t>
      </w:r>
      <w:r>
        <w:rPr>
          <w:spacing w:val="-13"/>
        </w:rPr>
        <w:t> </w:t>
      </w:r>
      <w:r>
        <w:rPr>
          <w:spacing w:val="-2"/>
        </w:rPr>
        <w:t>отмечает,</w:t>
      </w:r>
      <w:r>
        <w:rPr>
          <w:spacing w:val="-10"/>
        </w:rPr>
        <w:t> </w:t>
      </w:r>
      <w:r>
        <w:rPr>
          <w:spacing w:val="-2"/>
        </w:rPr>
        <w:t>что</w:t>
      </w:r>
      <w:r>
        <w:rPr>
          <w:spacing w:val="-11"/>
        </w:rPr>
        <w:t> </w:t>
      </w:r>
      <w:r>
        <w:rPr>
          <w:spacing w:val="-2"/>
        </w:rPr>
        <w:t>комиксы</w:t>
      </w:r>
      <w:r>
        <w:rPr>
          <w:spacing w:val="-10"/>
        </w:rPr>
        <w:t> </w:t>
      </w:r>
      <w:r>
        <w:rPr>
          <w:spacing w:val="-2"/>
        </w:rPr>
        <w:t>мотивируют</w:t>
      </w:r>
      <w:r>
        <w:rPr>
          <w:spacing w:val="-11"/>
        </w:rPr>
        <w:t> </w:t>
      </w:r>
      <w:r>
        <w:rPr>
          <w:spacing w:val="-2"/>
        </w:rPr>
        <w:t>неохотных</w:t>
      </w:r>
      <w:r>
        <w:rPr>
          <w:spacing w:val="-10"/>
        </w:rPr>
        <w:t> </w:t>
      </w:r>
      <w:r>
        <w:rPr>
          <w:spacing w:val="-2"/>
        </w:rPr>
        <w:t>читателей.</w:t>
      </w:r>
      <w:r>
        <w:rPr>
          <w:spacing w:val="-11"/>
        </w:rPr>
        <w:t> </w:t>
      </w:r>
      <w:r>
        <w:rPr>
          <w:spacing w:val="-2"/>
        </w:rPr>
        <w:t>«Они</w:t>
      </w:r>
      <w:r>
        <w:rPr>
          <w:spacing w:val="-10"/>
        </w:rPr>
        <w:t> </w:t>
      </w:r>
      <w:r>
        <w:rPr>
          <w:spacing w:val="-2"/>
        </w:rPr>
        <w:t>вовлекают </w:t>
      </w:r>
      <w:r>
        <w:rPr>
          <w:spacing w:val="-4"/>
        </w:rPr>
        <w:t>студентов</w:t>
      </w:r>
      <w:r>
        <w:rPr>
          <w:spacing w:val="-7"/>
        </w:rPr>
        <w:t> </w:t>
      </w:r>
      <w:r>
        <w:rPr>
          <w:spacing w:val="-4"/>
        </w:rPr>
        <w:t>в</w:t>
      </w:r>
      <w:r>
        <w:rPr>
          <w:spacing w:val="-7"/>
        </w:rPr>
        <w:t> </w:t>
      </w:r>
      <w:r>
        <w:rPr>
          <w:spacing w:val="-4"/>
        </w:rPr>
        <w:t>литературный</w:t>
      </w:r>
      <w:r>
        <w:rPr>
          <w:spacing w:val="-7"/>
        </w:rPr>
        <w:t> </w:t>
      </w:r>
      <w:r>
        <w:rPr>
          <w:spacing w:val="-4"/>
        </w:rPr>
        <w:t>формат,</w:t>
      </w:r>
      <w:r>
        <w:rPr>
          <w:spacing w:val="-7"/>
        </w:rPr>
        <w:t> </w:t>
      </w:r>
      <w:r>
        <w:rPr>
          <w:spacing w:val="-4"/>
        </w:rPr>
        <w:t>который</w:t>
      </w:r>
      <w:r>
        <w:rPr>
          <w:spacing w:val="-7"/>
        </w:rPr>
        <w:t> </w:t>
      </w:r>
      <w:r>
        <w:rPr>
          <w:spacing w:val="-4"/>
        </w:rPr>
        <w:t>является</w:t>
      </w:r>
      <w:r>
        <w:rPr>
          <w:spacing w:val="-7"/>
        </w:rPr>
        <w:t> </w:t>
      </w:r>
      <w:r>
        <w:rPr>
          <w:spacing w:val="-4"/>
        </w:rPr>
        <w:t>их</w:t>
      </w:r>
      <w:r>
        <w:rPr>
          <w:spacing w:val="-7"/>
        </w:rPr>
        <w:t> </w:t>
      </w:r>
      <w:r>
        <w:rPr>
          <w:spacing w:val="-4"/>
        </w:rPr>
        <w:t>собственным.</w:t>
      </w:r>
      <w:r>
        <w:rPr>
          <w:spacing w:val="-7"/>
        </w:rPr>
        <w:t> </w:t>
      </w:r>
      <w:r>
        <w:rPr>
          <w:spacing w:val="-4"/>
        </w:rPr>
        <w:t>Комиксы</w:t>
      </w:r>
      <w:r>
        <w:rPr>
          <w:spacing w:val="-7"/>
        </w:rPr>
        <w:t> </w:t>
      </w:r>
      <w:r>
        <w:rPr>
          <w:spacing w:val="-4"/>
        </w:rPr>
        <w:t>говорят </w:t>
      </w:r>
      <w:r>
        <w:rPr/>
        <w:t>со</w:t>
      </w:r>
      <w:r>
        <w:rPr>
          <w:spacing w:val="-13"/>
        </w:rPr>
        <w:t> </w:t>
      </w:r>
      <w:r>
        <w:rPr/>
        <w:t>студентами</w:t>
      </w:r>
      <w:r>
        <w:rPr>
          <w:spacing w:val="-12"/>
        </w:rPr>
        <w:t> </w:t>
      </w:r>
      <w:r>
        <w:rPr/>
        <w:t>так,</w:t>
      </w:r>
      <w:r>
        <w:rPr>
          <w:spacing w:val="-13"/>
        </w:rPr>
        <w:t> </w:t>
      </w:r>
      <w:r>
        <w:rPr/>
        <w:t>как</w:t>
      </w:r>
      <w:r>
        <w:rPr>
          <w:spacing w:val="-12"/>
        </w:rPr>
        <w:t> </w:t>
      </w:r>
      <w:r>
        <w:rPr/>
        <w:t>они</w:t>
      </w:r>
      <w:r>
        <w:rPr>
          <w:spacing w:val="-13"/>
        </w:rPr>
        <w:t> </w:t>
      </w:r>
      <w:r>
        <w:rPr/>
        <w:t>понимают,</w:t>
      </w:r>
      <w:r>
        <w:rPr>
          <w:spacing w:val="-12"/>
        </w:rPr>
        <w:t> </w:t>
      </w:r>
      <w:r>
        <w:rPr/>
        <w:t>и</w:t>
      </w:r>
      <w:r>
        <w:rPr>
          <w:spacing w:val="-13"/>
        </w:rPr>
        <w:t> </w:t>
      </w:r>
      <w:r>
        <w:rPr/>
        <w:t>идентифицируют</w:t>
      </w:r>
      <w:r>
        <w:rPr>
          <w:spacing w:val="-12"/>
        </w:rPr>
        <w:t> </w:t>
      </w:r>
      <w:r>
        <w:rPr/>
        <w:t>себя</w:t>
      </w:r>
      <w:r>
        <w:rPr>
          <w:spacing w:val="-13"/>
        </w:rPr>
        <w:t> </w:t>
      </w:r>
      <w:r>
        <w:rPr/>
        <w:t>с</w:t>
      </w:r>
      <w:r>
        <w:rPr>
          <w:spacing w:val="-12"/>
        </w:rPr>
        <w:t> </w:t>
      </w:r>
      <w:r>
        <w:rPr/>
        <w:t>ними.</w:t>
      </w:r>
      <w:r>
        <w:rPr>
          <w:spacing w:val="-13"/>
        </w:rPr>
        <w:t> </w:t>
      </w:r>
      <w:r>
        <w:rPr/>
        <w:t>Комиксы</w:t>
      </w:r>
      <w:r>
        <w:rPr>
          <w:spacing w:val="-12"/>
        </w:rPr>
        <w:t> </w:t>
      </w:r>
      <w:r>
        <w:rPr/>
        <w:t>дают </w:t>
      </w:r>
      <w:r>
        <w:rPr>
          <w:spacing w:val="-4"/>
        </w:rPr>
        <w:t>студентам возможность читать материал, который: сочетает изображения с текстом, ис- пользует</w:t>
      </w:r>
      <w:r>
        <w:rPr>
          <w:spacing w:val="-7"/>
        </w:rPr>
        <w:t> </w:t>
      </w:r>
      <w:r>
        <w:rPr>
          <w:spacing w:val="-4"/>
        </w:rPr>
        <w:t>сатиру,</w:t>
      </w:r>
      <w:r>
        <w:rPr>
          <w:spacing w:val="-7"/>
        </w:rPr>
        <w:t> </w:t>
      </w:r>
      <w:r>
        <w:rPr>
          <w:spacing w:val="-4"/>
        </w:rPr>
        <w:t>символизм,</w:t>
      </w:r>
      <w:r>
        <w:rPr>
          <w:spacing w:val="-7"/>
        </w:rPr>
        <w:t> </w:t>
      </w:r>
      <w:r>
        <w:rPr>
          <w:spacing w:val="-4"/>
        </w:rPr>
        <w:t>точку</w:t>
      </w:r>
      <w:r>
        <w:rPr>
          <w:spacing w:val="-7"/>
        </w:rPr>
        <w:t> </w:t>
      </w:r>
      <w:r>
        <w:rPr>
          <w:spacing w:val="-4"/>
        </w:rPr>
        <w:t>зрения,</w:t>
      </w:r>
      <w:r>
        <w:rPr>
          <w:spacing w:val="-7"/>
        </w:rPr>
        <w:t> </w:t>
      </w:r>
      <w:r>
        <w:rPr>
          <w:spacing w:val="-4"/>
        </w:rPr>
        <w:t>драму,</w:t>
      </w:r>
      <w:r>
        <w:rPr>
          <w:spacing w:val="-7"/>
        </w:rPr>
        <w:t> </w:t>
      </w:r>
      <w:r>
        <w:rPr>
          <w:spacing w:val="-4"/>
        </w:rPr>
        <w:t>каламбур</w:t>
      </w:r>
      <w:r>
        <w:rPr>
          <w:spacing w:val="-7"/>
        </w:rPr>
        <w:t> </w:t>
      </w:r>
      <w:r>
        <w:rPr>
          <w:spacing w:val="-4"/>
        </w:rPr>
        <w:t>и</w:t>
      </w:r>
      <w:r>
        <w:rPr>
          <w:spacing w:val="-7"/>
        </w:rPr>
        <w:t> </w:t>
      </w:r>
      <w:r>
        <w:rPr>
          <w:spacing w:val="-4"/>
        </w:rPr>
        <w:t>юмор</w:t>
      </w:r>
      <w:r>
        <w:rPr>
          <w:spacing w:val="-7"/>
        </w:rPr>
        <w:t> </w:t>
      </w:r>
      <w:r>
        <w:rPr>
          <w:spacing w:val="-4"/>
        </w:rPr>
        <w:t>способами,</w:t>
      </w:r>
      <w:r>
        <w:rPr>
          <w:spacing w:val="-7"/>
        </w:rPr>
        <w:t> </w:t>
      </w:r>
      <w:r>
        <w:rPr>
          <w:spacing w:val="-4"/>
        </w:rPr>
        <w:t>которые </w:t>
      </w:r>
      <w:r>
        <w:rPr/>
        <w:t>невозможно</w:t>
      </w:r>
      <w:r>
        <w:rPr>
          <w:spacing w:val="-8"/>
        </w:rPr>
        <w:t> </w:t>
      </w:r>
      <w:r>
        <w:rPr/>
        <w:t>описать</w:t>
      </w:r>
      <w:r>
        <w:rPr>
          <w:spacing w:val="-9"/>
        </w:rPr>
        <w:t> </w:t>
      </w:r>
      <w:r>
        <w:rPr/>
        <w:t>только</w:t>
      </w:r>
      <w:r>
        <w:rPr>
          <w:spacing w:val="-8"/>
        </w:rPr>
        <w:t> </w:t>
      </w:r>
      <w:r>
        <w:rPr/>
        <w:t>текстом»</w:t>
      </w:r>
      <w:r>
        <w:rPr>
          <w:spacing w:val="-8"/>
        </w:rPr>
        <w:t> </w:t>
      </w:r>
      <w:r>
        <w:rPr/>
        <w:t>(цит.</w:t>
      </w:r>
      <w:r>
        <w:rPr>
          <w:spacing w:val="-8"/>
        </w:rPr>
        <w:t> </w:t>
      </w:r>
      <w:r>
        <w:rPr/>
        <w:t>по:</w:t>
      </w:r>
      <w:r>
        <w:rPr>
          <w:spacing w:val="-9"/>
        </w:rPr>
        <w:t> </w:t>
      </w:r>
      <w:r>
        <w:rPr>
          <w:color w:val="231F20"/>
        </w:rPr>
        <w:t>Авдеева,</w:t>
      </w:r>
      <w:r>
        <w:rPr>
          <w:color w:val="231F20"/>
          <w:spacing w:val="-8"/>
        </w:rPr>
        <w:t> </w:t>
      </w:r>
      <w:r>
        <w:rPr>
          <w:color w:val="231F20"/>
        </w:rPr>
        <w:t>Высокос,</w:t>
      </w:r>
      <w:r>
        <w:rPr>
          <w:color w:val="231F20"/>
          <w:spacing w:val="-8"/>
        </w:rPr>
        <w:t> </w:t>
      </w:r>
      <w:r>
        <w:rPr>
          <w:color w:val="231F20"/>
        </w:rPr>
        <w:t>Зыкова,</w:t>
      </w:r>
      <w:r>
        <w:rPr>
          <w:color w:val="231F20"/>
          <w:spacing w:val="-8"/>
        </w:rPr>
        <w:t> </w:t>
      </w:r>
      <w:r>
        <w:rPr>
          <w:color w:val="231F20"/>
        </w:rPr>
        <w:t>2020).</w:t>
      </w:r>
    </w:p>
    <w:p>
      <w:pPr>
        <w:pStyle w:val="BodyText"/>
        <w:spacing w:line="235" w:lineRule="auto" w:before="13"/>
      </w:pPr>
      <w:r>
        <w:rPr>
          <w:color w:val="231F20"/>
        </w:rPr>
        <w:t>Современные исследования показывают, что комикс как наглядное средство об- учения</w:t>
      </w:r>
      <w:r>
        <w:rPr>
          <w:color w:val="231F20"/>
          <w:spacing w:val="26"/>
        </w:rPr>
        <w:t> </w:t>
      </w:r>
      <w:r>
        <w:rPr>
          <w:color w:val="231F20"/>
        </w:rPr>
        <w:t>является</w:t>
      </w:r>
      <w:r>
        <w:rPr>
          <w:color w:val="231F20"/>
          <w:spacing w:val="26"/>
        </w:rPr>
        <w:t> </w:t>
      </w:r>
      <w:r>
        <w:rPr>
          <w:color w:val="231F20"/>
        </w:rPr>
        <w:t>эффективным,</w:t>
      </w:r>
      <w:r>
        <w:rPr>
          <w:color w:val="231F20"/>
          <w:spacing w:val="26"/>
        </w:rPr>
        <w:t> </w:t>
      </w:r>
      <w:r>
        <w:rPr>
          <w:color w:val="231F20"/>
        </w:rPr>
        <w:t>помогая</w:t>
      </w:r>
      <w:r>
        <w:rPr>
          <w:color w:val="231F20"/>
          <w:spacing w:val="26"/>
        </w:rPr>
        <w:t> </w:t>
      </w:r>
      <w:r>
        <w:rPr>
          <w:color w:val="231F20"/>
        </w:rPr>
        <w:t>делать</w:t>
      </w:r>
      <w:r>
        <w:rPr>
          <w:color w:val="231F20"/>
          <w:spacing w:val="26"/>
        </w:rPr>
        <w:t> </w:t>
      </w:r>
      <w:r>
        <w:rPr>
          <w:color w:val="231F20"/>
        </w:rPr>
        <w:t>процесс</w:t>
      </w:r>
      <w:r>
        <w:rPr>
          <w:color w:val="231F20"/>
          <w:spacing w:val="26"/>
        </w:rPr>
        <w:t> </w:t>
      </w:r>
      <w:r>
        <w:rPr>
          <w:color w:val="231F20"/>
        </w:rPr>
        <w:t>обучения</w:t>
      </w:r>
      <w:r>
        <w:rPr>
          <w:color w:val="231F20"/>
          <w:spacing w:val="26"/>
        </w:rPr>
        <w:t> </w:t>
      </w:r>
      <w:r>
        <w:rPr>
          <w:color w:val="231F20"/>
        </w:rPr>
        <w:t>результативным и</w:t>
      </w:r>
      <w:r>
        <w:rPr>
          <w:color w:val="231F20"/>
          <w:spacing w:val="-8"/>
        </w:rPr>
        <w:t> </w:t>
      </w:r>
      <w:r>
        <w:rPr>
          <w:color w:val="231F20"/>
        </w:rPr>
        <w:t>осмысленным. Использование такой наглядности позволяет познакомить учащих- ся</w:t>
      </w:r>
      <w:r>
        <w:rPr>
          <w:color w:val="231F20"/>
          <w:spacing w:val="30"/>
        </w:rPr>
        <w:t> </w:t>
      </w:r>
      <w:r>
        <w:rPr>
          <w:color w:val="231F20"/>
        </w:rPr>
        <w:t>с</w:t>
      </w:r>
      <w:r>
        <w:rPr>
          <w:color w:val="231F20"/>
          <w:spacing w:val="-5"/>
        </w:rPr>
        <w:t> </w:t>
      </w:r>
      <w:r>
        <w:rPr>
          <w:color w:val="231F20"/>
        </w:rPr>
        <w:t>комиксами,</w:t>
      </w:r>
      <w:r>
        <w:rPr>
          <w:color w:val="231F20"/>
          <w:spacing w:val="30"/>
        </w:rPr>
        <w:t> </w:t>
      </w:r>
      <w:r>
        <w:rPr>
          <w:color w:val="231F20"/>
        </w:rPr>
        <w:t>научить</w:t>
      </w:r>
      <w:r>
        <w:rPr>
          <w:color w:val="231F20"/>
          <w:spacing w:val="30"/>
        </w:rPr>
        <w:t> </w:t>
      </w:r>
      <w:r>
        <w:rPr>
          <w:color w:val="231F20"/>
        </w:rPr>
        <w:t>их</w:t>
      </w:r>
      <w:r>
        <w:rPr>
          <w:color w:val="231F20"/>
          <w:spacing w:val="-5"/>
        </w:rPr>
        <w:t> </w:t>
      </w:r>
      <w:r>
        <w:rPr>
          <w:color w:val="231F20"/>
        </w:rPr>
        <w:t>читать</w:t>
      </w:r>
      <w:r>
        <w:rPr>
          <w:color w:val="231F20"/>
          <w:spacing w:val="30"/>
        </w:rPr>
        <w:t> </w:t>
      </w:r>
      <w:r>
        <w:rPr>
          <w:color w:val="231F20"/>
        </w:rPr>
        <w:t>и</w:t>
      </w:r>
      <w:r>
        <w:rPr>
          <w:color w:val="231F20"/>
          <w:spacing w:val="-6"/>
        </w:rPr>
        <w:t> </w:t>
      </w:r>
      <w:r>
        <w:rPr>
          <w:color w:val="231F20"/>
        </w:rPr>
        <w:t>видеть</w:t>
      </w:r>
      <w:r>
        <w:rPr>
          <w:color w:val="231F20"/>
          <w:spacing w:val="30"/>
        </w:rPr>
        <w:t> </w:t>
      </w:r>
      <w:r>
        <w:rPr>
          <w:color w:val="231F20"/>
        </w:rPr>
        <w:t>суть</w:t>
      </w:r>
      <w:r>
        <w:rPr>
          <w:color w:val="231F20"/>
          <w:spacing w:val="30"/>
        </w:rPr>
        <w:t> </w:t>
      </w:r>
      <w:r>
        <w:rPr>
          <w:color w:val="231F20"/>
        </w:rPr>
        <w:t>проблемы,</w:t>
      </w:r>
      <w:r>
        <w:rPr>
          <w:color w:val="231F20"/>
          <w:spacing w:val="30"/>
        </w:rPr>
        <w:t> </w:t>
      </w:r>
      <w:r>
        <w:rPr>
          <w:color w:val="231F20"/>
        </w:rPr>
        <w:t>развивать</w:t>
      </w:r>
      <w:r>
        <w:rPr>
          <w:color w:val="231F20"/>
          <w:spacing w:val="30"/>
        </w:rPr>
        <w:t> </w:t>
      </w:r>
      <w:r>
        <w:rPr>
          <w:color w:val="231F20"/>
        </w:rPr>
        <w:t>логическое и</w:t>
      </w:r>
      <w:r>
        <w:rPr>
          <w:color w:val="231F20"/>
          <w:spacing w:val="-3"/>
        </w:rPr>
        <w:t> </w:t>
      </w:r>
      <w:r>
        <w:rPr>
          <w:color w:val="231F20"/>
        </w:rPr>
        <w:t>образное мышление, самостоятельность и</w:t>
      </w:r>
      <w:r>
        <w:rPr>
          <w:color w:val="231F20"/>
          <w:spacing w:val="-3"/>
        </w:rPr>
        <w:t> </w:t>
      </w:r>
      <w:r>
        <w:rPr>
          <w:color w:val="231F20"/>
        </w:rPr>
        <w:t>мотивацию к</w:t>
      </w:r>
      <w:r>
        <w:rPr>
          <w:color w:val="231F20"/>
          <w:spacing w:val="-2"/>
        </w:rPr>
        <w:t> </w:t>
      </w:r>
      <w:r>
        <w:rPr>
          <w:color w:val="231F20"/>
        </w:rPr>
        <w:t>учению (Андреева, Спа- таев,</w:t>
      </w:r>
      <w:r>
        <w:rPr>
          <w:color w:val="231F20"/>
          <w:spacing w:val="8"/>
        </w:rPr>
        <w:t> </w:t>
      </w:r>
      <w:r>
        <w:rPr>
          <w:color w:val="231F20"/>
        </w:rPr>
        <w:t>2019).</w:t>
      </w:r>
      <w:r>
        <w:rPr>
          <w:color w:val="231F20"/>
          <w:spacing w:val="10"/>
        </w:rPr>
        <w:t> </w:t>
      </w:r>
      <w:r>
        <w:rPr>
          <w:color w:val="231F20"/>
        </w:rPr>
        <w:t>Работа</w:t>
      </w:r>
      <w:r>
        <w:rPr>
          <w:color w:val="231F20"/>
          <w:spacing w:val="10"/>
        </w:rPr>
        <w:t> </w:t>
      </w:r>
      <w:r>
        <w:rPr>
          <w:color w:val="231F20"/>
        </w:rPr>
        <w:t>с</w:t>
      </w:r>
      <w:r>
        <w:rPr>
          <w:color w:val="231F20"/>
          <w:spacing w:val="10"/>
        </w:rPr>
        <w:t> </w:t>
      </w:r>
      <w:r>
        <w:rPr>
          <w:color w:val="231F20"/>
        </w:rPr>
        <w:t>комиксами</w:t>
      </w:r>
      <w:r>
        <w:rPr>
          <w:color w:val="231F20"/>
          <w:spacing w:val="11"/>
        </w:rPr>
        <w:t> </w:t>
      </w:r>
      <w:r>
        <w:rPr>
          <w:color w:val="231F20"/>
        </w:rPr>
        <w:t>предоставляет</w:t>
      </w:r>
      <w:r>
        <w:rPr>
          <w:color w:val="231F20"/>
          <w:spacing w:val="10"/>
        </w:rPr>
        <w:t> </w:t>
      </w:r>
      <w:r>
        <w:rPr>
          <w:color w:val="231F20"/>
        </w:rPr>
        <w:t>учащимся</w:t>
      </w:r>
      <w:r>
        <w:rPr>
          <w:color w:val="231F20"/>
          <w:spacing w:val="10"/>
        </w:rPr>
        <w:t> </w:t>
      </w:r>
      <w:r>
        <w:rPr>
          <w:color w:val="231F20"/>
        </w:rPr>
        <w:t>новые</w:t>
      </w:r>
      <w:r>
        <w:rPr>
          <w:color w:val="231F20"/>
          <w:spacing w:val="10"/>
        </w:rPr>
        <w:t> </w:t>
      </w:r>
      <w:r>
        <w:rPr>
          <w:color w:val="231F20"/>
        </w:rPr>
        <w:t>возможности</w:t>
      </w:r>
      <w:r>
        <w:rPr>
          <w:color w:val="231F20"/>
          <w:spacing w:val="10"/>
        </w:rPr>
        <w:t> </w:t>
      </w:r>
      <w:r>
        <w:rPr>
          <w:color w:val="231F20"/>
        </w:rPr>
        <w:t>и</w:t>
      </w:r>
      <w:r>
        <w:rPr>
          <w:color w:val="231F20"/>
          <w:spacing w:val="11"/>
        </w:rPr>
        <w:t> </w:t>
      </w:r>
      <w:r>
        <w:rPr>
          <w:color w:val="231F20"/>
          <w:spacing w:val="-5"/>
        </w:rPr>
        <w:t>во-</w:t>
      </w:r>
    </w:p>
    <w:p>
      <w:pPr>
        <w:pStyle w:val="BodyText"/>
        <w:spacing w:after="0" w:line="235" w:lineRule="auto"/>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right="140" w:firstLine="0"/>
      </w:pPr>
      <w:r>
        <w:rPr>
          <w:color w:val="231F20"/>
        </w:rPr>
        <w:t>влекает их в изучение окружающей среды, в которой они находятся, и готовят их к будущему (Авдеева, Высокос, Зыкова, 2020).</w:t>
      </w:r>
    </w:p>
    <w:p>
      <w:pPr>
        <w:pStyle w:val="BodyText"/>
        <w:spacing w:line="235" w:lineRule="auto" w:before="1"/>
      </w:pPr>
      <w:r>
        <w:rPr>
          <w:color w:val="231F20"/>
        </w:rPr>
        <w:t>Отмечается</w:t>
      </w:r>
      <w:r>
        <w:rPr>
          <w:color w:val="231F20"/>
          <w:spacing w:val="-13"/>
        </w:rPr>
        <w:t> </w:t>
      </w:r>
      <w:r>
        <w:rPr>
          <w:color w:val="231F20"/>
        </w:rPr>
        <w:t>большой</w:t>
      </w:r>
      <w:r>
        <w:rPr>
          <w:color w:val="231F20"/>
          <w:spacing w:val="-12"/>
        </w:rPr>
        <w:t> </w:t>
      </w:r>
      <w:r>
        <w:rPr>
          <w:color w:val="231F20"/>
        </w:rPr>
        <w:t>потенциал</w:t>
      </w:r>
      <w:r>
        <w:rPr>
          <w:color w:val="231F20"/>
          <w:spacing w:val="-13"/>
        </w:rPr>
        <w:t> </w:t>
      </w:r>
      <w:r>
        <w:rPr>
          <w:color w:val="231F20"/>
        </w:rPr>
        <w:t>в</w:t>
      </w:r>
      <w:r>
        <w:rPr>
          <w:color w:val="231F20"/>
          <w:spacing w:val="-12"/>
        </w:rPr>
        <w:t> </w:t>
      </w:r>
      <w:r>
        <w:rPr>
          <w:color w:val="231F20"/>
        </w:rPr>
        <w:t>направленном</w:t>
      </w:r>
      <w:r>
        <w:rPr>
          <w:color w:val="231F20"/>
          <w:spacing w:val="-13"/>
        </w:rPr>
        <w:t> </w:t>
      </w:r>
      <w:r>
        <w:rPr>
          <w:color w:val="231F20"/>
        </w:rPr>
        <w:t>использовании</w:t>
      </w:r>
      <w:r>
        <w:rPr>
          <w:color w:val="231F20"/>
          <w:spacing w:val="-12"/>
        </w:rPr>
        <w:t> </w:t>
      </w:r>
      <w:r>
        <w:rPr>
          <w:color w:val="231F20"/>
        </w:rPr>
        <w:t>рисованных</w:t>
      </w:r>
      <w:r>
        <w:rPr>
          <w:color w:val="231F20"/>
          <w:spacing w:val="-13"/>
        </w:rPr>
        <w:t> </w:t>
      </w:r>
      <w:r>
        <w:rPr>
          <w:color w:val="231F20"/>
        </w:rPr>
        <w:t>исто- рий</w:t>
      </w:r>
      <w:r>
        <w:rPr>
          <w:color w:val="231F20"/>
          <w:spacing w:val="-13"/>
        </w:rPr>
        <w:t> </w:t>
      </w:r>
      <w:r>
        <w:rPr>
          <w:color w:val="231F20"/>
        </w:rPr>
        <w:t>(комиксов)</w:t>
      </w:r>
      <w:r>
        <w:rPr>
          <w:color w:val="231F20"/>
          <w:spacing w:val="-12"/>
        </w:rPr>
        <w:t> </w:t>
      </w:r>
      <w:r>
        <w:rPr>
          <w:color w:val="231F20"/>
        </w:rPr>
        <w:t>в</w:t>
      </w:r>
      <w:r>
        <w:rPr>
          <w:color w:val="231F20"/>
          <w:spacing w:val="-13"/>
        </w:rPr>
        <w:t> </w:t>
      </w:r>
      <w:r>
        <w:rPr>
          <w:color w:val="231F20"/>
        </w:rPr>
        <w:t>школе</w:t>
      </w:r>
      <w:r>
        <w:rPr>
          <w:color w:val="231F20"/>
          <w:spacing w:val="-12"/>
        </w:rPr>
        <w:t> </w:t>
      </w:r>
      <w:r>
        <w:rPr>
          <w:color w:val="231F20"/>
        </w:rPr>
        <w:t>на</w:t>
      </w:r>
      <w:r>
        <w:rPr>
          <w:color w:val="231F20"/>
          <w:spacing w:val="-13"/>
        </w:rPr>
        <w:t> </w:t>
      </w:r>
      <w:r>
        <w:rPr>
          <w:color w:val="231F20"/>
        </w:rPr>
        <w:t>занятиях,</w:t>
      </w:r>
      <w:r>
        <w:rPr>
          <w:color w:val="231F20"/>
          <w:spacing w:val="-12"/>
        </w:rPr>
        <w:t> </w:t>
      </w:r>
      <w:r>
        <w:rPr>
          <w:color w:val="231F20"/>
        </w:rPr>
        <w:t>требующих</w:t>
      </w:r>
      <w:r>
        <w:rPr>
          <w:color w:val="231F20"/>
          <w:spacing w:val="-13"/>
        </w:rPr>
        <w:t> </w:t>
      </w:r>
      <w:r>
        <w:rPr>
          <w:color w:val="231F20"/>
        </w:rPr>
        <w:t>включенности</w:t>
      </w:r>
      <w:r>
        <w:rPr>
          <w:color w:val="231F20"/>
          <w:spacing w:val="-12"/>
        </w:rPr>
        <w:t> </w:t>
      </w:r>
      <w:r>
        <w:rPr>
          <w:color w:val="231F20"/>
        </w:rPr>
        <w:t>в</w:t>
      </w:r>
      <w:r>
        <w:rPr>
          <w:color w:val="231F20"/>
          <w:spacing w:val="-13"/>
        </w:rPr>
        <w:t> </w:t>
      </w:r>
      <w:r>
        <w:rPr>
          <w:color w:val="231F20"/>
        </w:rPr>
        <w:t>процесс,</w:t>
      </w:r>
      <w:r>
        <w:rPr>
          <w:color w:val="231F20"/>
          <w:spacing w:val="-12"/>
        </w:rPr>
        <w:t> </w:t>
      </w:r>
      <w:r>
        <w:rPr>
          <w:color w:val="231F20"/>
        </w:rPr>
        <w:t>направлен- ных</w:t>
      </w:r>
      <w:r>
        <w:rPr>
          <w:color w:val="231F20"/>
          <w:spacing w:val="-9"/>
        </w:rPr>
        <w:t> </w:t>
      </w:r>
      <w:r>
        <w:rPr>
          <w:color w:val="231F20"/>
        </w:rPr>
        <w:t>на</w:t>
      </w:r>
      <w:r>
        <w:rPr>
          <w:color w:val="231F20"/>
          <w:spacing w:val="-9"/>
        </w:rPr>
        <w:t> </w:t>
      </w:r>
      <w:r>
        <w:rPr>
          <w:color w:val="231F20"/>
        </w:rPr>
        <w:t>развитие</w:t>
      </w:r>
      <w:r>
        <w:rPr>
          <w:color w:val="231F20"/>
          <w:spacing w:val="-9"/>
        </w:rPr>
        <w:t> </w:t>
      </w:r>
      <w:r>
        <w:rPr>
          <w:color w:val="231F20"/>
        </w:rPr>
        <w:t>эмпатии</w:t>
      </w:r>
      <w:r>
        <w:rPr>
          <w:color w:val="231F20"/>
          <w:spacing w:val="-9"/>
        </w:rPr>
        <w:t> </w:t>
      </w:r>
      <w:r>
        <w:rPr>
          <w:color w:val="231F20"/>
        </w:rPr>
        <w:t>и</w:t>
      </w:r>
      <w:r>
        <w:rPr>
          <w:color w:val="231F20"/>
          <w:spacing w:val="-9"/>
        </w:rPr>
        <w:t> </w:t>
      </w:r>
      <w:r>
        <w:rPr>
          <w:color w:val="231F20"/>
        </w:rPr>
        <w:t>рефлексии,</w:t>
      </w:r>
      <w:r>
        <w:rPr>
          <w:color w:val="231F20"/>
          <w:spacing w:val="-9"/>
        </w:rPr>
        <w:t> </w:t>
      </w:r>
      <w:r>
        <w:rPr>
          <w:color w:val="231F20"/>
        </w:rPr>
        <w:t>критического</w:t>
      </w:r>
      <w:r>
        <w:rPr>
          <w:color w:val="231F20"/>
          <w:spacing w:val="-9"/>
        </w:rPr>
        <w:t> </w:t>
      </w:r>
      <w:r>
        <w:rPr>
          <w:color w:val="231F20"/>
        </w:rPr>
        <w:t>мышления,</w:t>
      </w:r>
      <w:r>
        <w:rPr>
          <w:color w:val="231F20"/>
          <w:spacing w:val="-9"/>
        </w:rPr>
        <w:t> </w:t>
      </w:r>
      <w:r>
        <w:rPr>
          <w:color w:val="231F20"/>
        </w:rPr>
        <w:t>таких</w:t>
      </w:r>
      <w:r>
        <w:rPr>
          <w:color w:val="231F20"/>
          <w:spacing w:val="-9"/>
        </w:rPr>
        <w:t> </w:t>
      </w:r>
      <w:r>
        <w:rPr>
          <w:color w:val="231F20"/>
        </w:rPr>
        <w:t>как</w:t>
      </w:r>
      <w:r>
        <w:rPr>
          <w:color w:val="231F20"/>
          <w:spacing w:val="-9"/>
        </w:rPr>
        <w:t> </w:t>
      </w:r>
      <w:r>
        <w:rPr>
          <w:color w:val="231F20"/>
        </w:rPr>
        <w:t>естествоз- нание, история и др. (Воронкова, 2016).</w:t>
      </w:r>
    </w:p>
    <w:p>
      <w:pPr>
        <w:pStyle w:val="BodyText"/>
        <w:spacing w:line="235" w:lineRule="auto" w:before="2"/>
      </w:pPr>
      <w:r>
        <w:rPr>
          <w:color w:val="231F20"/>
        </w:rPr>
        <w:t>Работа с комиксами </w:t>
      </w:r>
      <w:r>
        <w:rPr>
          <w:b/>
          <w:color w:val="231F20"/>
        </w:rPr>
        <w:t>с</w:t>
      </w:r>
      <w:r>
        <w:rPr>
          <w:color w:val="231F20"/>
        </w:rPr>
        <w:t>пособствует активации творческого потенциала ребенка, экономична</w:t>
      </w:r>
      <w:r>
        <w:rPr>
          <w:color w:val="231F20"/>
          <w:spacing w:val="-13"/>
        </w:rPr>
        <w:t> </w:t>
      </w:r>
      <w:r>
        <w:rPr>
          <w:color w:val="231F20"/>
        </w:rPr>
        <w:t>в</w:t>
      </w:r>
      <w:r>
        <w:rPr>
          <w:color w:val="231F20"/>
          <w:spacing w:val="-12"/>
        </w:rPr>
        <w:t> </w:t>
      </w:r>
      <w:r>
        <w:rPr>
          <w:color w:val="231F20"/>
        </w:rPr>
        <w:t>реализации,</w:t>
      </w:r>
      <w:r>
        <w:rPr>
          <w:color w:val="231F20"/>
          <w:spacing w:val="-13"/>
        </w:rPr>
        <w:t> </w:t>
      </w:r>
      <w:r>
        <w:rPr>
          <w:color w:val="231F20"/>
        </w:rPr>
        <w:t>не</w:t>
      </w:r>
      <w:r>
        <w:rPr>
          <w:color w:val="231F20"/>
          <w:spacing w:val="-12"/>
        </w:rPr>
        <w:t> </w:t>
      </w:r>
      <w:r>
        <w:rPr>
          <w:color w:val="231F20"/>
        </w:rPr>
        <w:t>требует</w:t>
      </w:r>
      <w:r>
        <w:rPr>
          <w:color w:val="231F20"/>
          <w:spacing w:val="-13"/>
        </w:rPr>
        <w:t> </w:t>
      </w:r>
      <w:r>
        <w:rPr>
          <w:color w:val="231F20"/>
        </w:rPr>
        <w:t>знания</w:t>
      </w:r>
      <w:r>
        <w:rPr>
          <w:color w:val="231F20"/>
          <w:spacing w:val="-12"/>
        </w:rPr>
        <w:t> </w:t>
      </w:r>
      <w:r>
        <w:rPr>
          <w:color w:val="231F20"/>
        </w:rPr>
        <w:t>языка,</w:t>
      </w:r>
      <w:r>
        <w:rPr>
          <w:color w:val="231F20"/>
          <w:spacing w:val="-13"/>
        </w:rPr>
        <w:t> </w:t>
      </w:r>
      <w:r>
        <w:rPr>
          <w:color w:val="231F20"/>
        </w:rPr>
        <w:t>развивает</w:t>
      </w:r>
      <w:r>
        <w:rPr>
          <w:color w:val="231F20"/>
          <w:spacing w:val="-12"/>
        </w:rPr>
        <w:t> </w:t>
      </w:r>
      <w:r>
        <w:rPr>
          <w:color w:val="231F20"/>
        </w:rPr>
        <w:t>умение</w:t>
      </w:r>
      <w:r>
        <w:rPr>
          <w:color w:val="231F20"/>
          <w:spacing w:val="-13"/>
        </w:rPr>
        <w:t> </w:t>
      </w:r>
      <w:r>
        <w:rPr>
          <w:color w:val="231F20"/>
        </w:rPr>
        <w:t>писать</w:t>
      </w:r>
      <w:r>
        <w:rPr>
          <w:color w:val="231F20"/>
          <w:spacing w:val="-12"/>
        </w:rPr>
        <w:t> </w:t>
      </w:r>
      <w:r>
        <w:rPr>
          <w:color w:val="231F20"/>
        </w:rPr>
        <w:t>и</w:t>
      </w:r>
      <w:r>
        <w:rPr>
          <w:color w:val="231F20"/>
          <w:spacing w:val="-13"/>
        </w:rPr>
        <w:t> </w:t>
      </w:r>
      <w:r>
        <w:rPr>
          <w:color w:val="231F20"/>
        </w:rPr>
        <w:t>читать, </w:t>
      </w:r>
      <w:r>
        <w:rPr>
          <w:color w:val="231F20"/>
          <w:spacing w:val="-2"/>
        </w:rPr>
        <w:t>умение рассказывать по картинке, помогает услышать другого, несмотря на языковые </w:t>
      </w:r>
      <w:r>
        <w:rPr>
          <w:color w:val="231F20"/>
        </w:rPr>
        <w:t>и</w:t>
      </w:r>
      <w:r>
        <w:rPr>
          <w:color w:val="231F20"/>
          <w:spacing w:val="-6"/>
        </w:rPr>
        <w:t> </w:t>
      </w:r>
      <w:r>
        <w:rPr>
          <w:color w:val="231F20"/>
        </w:rPr>
        <w:t>культурные</w:t>
      </w:r>
      <w:r>
        <w:rPr>
          <w:color w:val="231F20"/>
          <w:spacing w:val="-6"/>
        </w:rPr>
        <w:t> </w:t>
      </w:r>
      <w:r>
        <w:rPr>
          <w:color w:val="231F20"/>
        </w:rPr>
        <w:t>барьеры.</w:t>
      </w:r>
      <w:r>
        <w:rPr>
          <w:color w:val="231F20"/>
          <w:spacing w:val="-6"/>
        </w:rPr>
        <w:t> </w:t>
      </w:r>
      <w:r>
        <w:rPr>
          <w:color w:val="231F20"/>
        </w:rPr>
        <w:t>В</w:t>
      </w:r>
      <w:r>
        <w:rPr>
          <w:color w:val="231F20"/>
          <w:spacing w:val="-6"/>
        </w:rPr>
        <w:t> </w:t>
      </w:r>
      <w:r>
        <w:rPr>
          <w:color w:val="231F20"/>
        </w:rPr>
        <w:t>частности,</w:t>
      </w:r>
      <w:r>
        <w:rPr>
          <w:color w:val="231F20"/>
          <w:spacing w:val="-6"/>
        </w:rPr>
        <w:t> </w:t>
      </w:r>
      <w:r>
        <w:rPr>
          <w:color w:val="231F20"/>
        </w:rPr>
        <w:t>такой</w:t>
      </w:r>
      <w:r>
        <w:rPr>
          <w:color w:val="231F20"/>
          <w:spacing w:val="-6"/>
        </w:rPr>
        <w:t> </w:t>
      </w:r>
      <w:r>
        <w:rPr>
          <w:color w:val="231F20"/>
        </w:rPr>
        <w:t>подход</w:t>
      </w:r>
      <w:r>
        <w:rPr>
          <w:color w:val="231F20"/>
          <w:spacing w:val="-6"/>
        </w:rPr>
        <w:t> </w:t>
      </w:r>
      <w:r>
        <w:rPr>
          <w:color w:val="231F20"/>
        </w:rPr>
        <w:t>помогает</w:t>
      </w:r>
      <w:r>
        <w:rPr>
          <w:color w:val="231F20"/>
          <w:spacing w:val="-6"/>
        </w:rPr>
        <w:t> </w:t>
      </w:r>
      <w:r>
        <w:rPr>
          <w:color w:val="231F20"/>
        </w:rPr>
        <w:t>детям</w:t>
      </w:r>
      <w:r>
        <w:rPr>
          <w:color w:val="231F20"/>
          <w:spacing w:val="-6"/>
        </w:rPr>
        <w:t> </w:t>
      </w:r>
      <w:r>
        <w:rPr>
          <w:color w:val="231F20"/>
        </w:rPr>
        <w:t>мигрантов</w:t>
      </w:r>
      <w:r>
        <w:rPr>
          <w:color w:val="231F20"/>
          <w:spacing w:val="-6"/>
        </w:rPr>
        <w:t> </w:t>
      </w:r>
      <w:r>
        <w:rPr>
          <w:color w:val="231F20"/>
        </w:rPr>
        <w:t>расска- зать</w:t>
      </w:r>
      <w:r>
        <w:rPr>
          <w:color w:val="231F20"/>
          <w:spacing w:val="-4"/>
        </w:rPr>
        <w:t> </w:t>
      </w:r>
      <w:r>
        <w:rPr>
          <w:color w:val="231F20"/>
        </w:rPr>
        <w:t>свою</w:t>
      </w:r>
      <w:r>
        <w:rPr>
          <w:color w:val="231F20"/>
          <w:spacing w:val="-4"/>
        </w:rPr>
        <w:t> </w:t>
      </w:r>
      <w:r>
        <w:rPr>
          <w:color w:val="231F20"/>
        </w:rPr>
        <w:t>историю</w:t>
      </w:r>
      <w:r>
        <w:rPr>
          <w:color w:val="231F20"/>
          <w:spacing w:val="-4"/>
        </w:rPr>
        <w:t> </w:t>
      </w:r>
      <w:r>
        <w:rPr>
          <w:color w:val="231F20"/>
        </w:rPr>
        <w:t>в</w:t>
      </w:r>
      <w:r>
        <w:rPr>
          <w:color w:val="231F20"/>
          <w:spacing w:val="-4"/>
        </w:rPr>
        <w:t> </w:t>
      </w:r>
      <w:r>
        <w:rPr>
          <w:color w:val="231F20"/>
        </w:rPr>
        <w:t>удобной</w:t>
      </w:r>
      <w:r>
        <w:rPr>
          <w:color w:val="231F20"/>
          <w:spacing w:val="-4"/>
        </w:rPr>
        <w:t> </w:t>
      </w:r>
      <w:r>
        <w:rPr>
          <w:color w:val="231F20"/>
        </w:rPr>
        <w:t>для</w:t>
      </w:r>
      <w:r>
        <w:rPr>
          <w:color w:val="231F20"/>
          <w:spacing w:val="-4"/>
        </w:rPr>
        <w:t> </w:t>
      </w:r>
      <w:r>
        <w:rPr>
          <w:color w:val="231F20"/>
        </w:rPr>
        <w:t>них</w:t>
      </w:r>
      <w:r>
        <w:rPr>
          <w:color w:val="231F20"/>
          <w:spacing w:val="-4"/>
        </w:rPr>
        <w:t> </w:t>
      </w:r>
      <w:r>
        <w:rPr>
          <w:color w:val="231F20"/>
        </w:rPr>
        <w:t>форме,</w:t>
      </w:r>
      <w:r>
        <w:rPr>
          <w:color w:val="231F20"/>
          <w:spacing w:val="-4"/>
        </w:rPr>
        <w:t> </w:t>
      </w:r>
      <w:r>
        <w:rPr>
          <w:color w:val="231F20"/>
        </w:rPr>
        <w:t>не</w:t>
      </w:r>
      <w:r>
        <w:rPr>
          <w:color w:val="231F20"/>
          <w:spacing w:val="-4"/>
        </w:rPr>
        <w:t> </w:t>
      </w:r>
      <w:r>
        <w:rPr>
          <w:color w:val="231F20"/>
        </w:rPr>
        <w:t>требующей</w:t>
      </w:r>
      <w:r>
        <w:rPr>
          <w:color w:val="231F20"/>
          <w:spacing w:val="-4"/>
        </w:rPr>
        <w:t> </w:t>
      </w:r>
      <w:r>
        <w:rPr>
          <w:color w:val="231F20"/>
        </w:rPr>
        <w:t>знания</w:t>
      </w:r>
      <w:r>
        <w:rPr>
          <w:color w:val="231F20"/>
          <w:spacing w:val="-4"/>
        </w:rPr>
        <w:t> </w:t>
      </w:r>
      <w:r>
        <w:rPr>
          <w:color w:val="231F20"/>
        </w:rPr>
        <w:t>языка</w:t>
      </w:r>
      <w:r>
        <w:rPr>
          <w:color w:val="231F20"/>
          <w:spacing w:val="-4"/>
        </w:rPr>
        <w:t> </w:t>
      </w:r>
      <w:r>
        <w:rPr>
          <w:color w:val="231F20"/>
        </w:rPr>
        <w:t>(в</w:t>
      </w:r>
      <w:r>
        <w:rPr>
          <w:color w:val="231F20"/>
          <w:spacing w:val="-4"/>
        </w:rPr>
        <w:t> </w:t>
      </w:r>
      <w:r>
        <w:rPr>
          <w:color w:val="231F20"/>
        </w:rPr>
        <w:t>отличие от сочинения), и быть услышанными Визуальные истории детей-мигрантов, в свою очередь, помогают принимающей стороне лучше понять новоприбывших.</w:t>
      </w:r>
    </w:p>
    <w:p>
      <w:pPr>
        <w:pStyle w:val="BodyText"/>
        <w:spacing w:line="235" w:lineRule="auto" w:before="5"/>
      </w:pPr>
      <w:r>
        <w:rPr>
          <w:color w:val="231F20"/>
        </w:rPr>
        <w:t>Представляем описание нескольких форма активностей, которые можно исполь- зовать в поликультурном классе, где учатся дети иностранных граждан.</w:t>
      </w:r>
    </w:p>
    <w:p>
      <w:pPr>
        <w:spacing w:before="111"/>
        <w:ind w:left="425" w:right="0" w:firstLine="0"/>
        <w:jc w:val="both"/>
        <w:rPr>
          <w:b/>
          <w:sz w:val="20"/>
        </w:rPr>
      </w:pPr>
      <w:r>
        <w:rPr>
          <w:b/>
          <w:color w:val="231F20"/>
          <w:sz w:val="20"/>
        </w:rPr>
        <w:t>Методы,</w:t>
      </w:r>
      <w:r>
        <w:rPr>
          <w:b/>
          <w:color w:val="231F20"/>
          <w:spacing w:val="-11"/>
          <w:sz w:val="20"/>
        </w:rPr>
        <w:t> </w:t>
      </w:r>
      <w:r>
        <w:rPr>
          <w:b/>
          <w:color w:val="231F20"/>
          <w:sz w:val="20"/>
        </w:rPr>
        <w:t>подходящие</w:t>
      </w:r>
      <w:r>
        <w:rPr>
          <w:b/>
          <w:color w:val="231F20"/>
          <w:spacing w:val="-11"/>
          <w:sz w:val="20"/>
        </w:rPr>
        <w:t> </w:t>
      </w:r>
      <w:r>
        <w:rPr>
          <w:b/>
          <w:color w:val="231F20"/>
          <w:sz w:val="20"/>
        </w:rPr>
        <w:t>для</w:t>
      </w:r>
      <w:r>
        <w:rPr>
          <w:b/>
          <w:color w:val="231F20"/>
          <w:spacing w:val="-10"/>
          <w:sz w:val="20"/>
        </w:rPr>
        <w:t> </w:t>
      </w:r>
      <w:r>
        <w:rPr>
          <w:b/>
          <w:color w:val="231F20"/>
          <w:sz w:val="20"/>
        </w:rPr>
        <w:t>работы</w:t>
      </w:r>
      <w:r>
        <w:rPr>
          <w:b/>
          <w:color w:val="231F20"/>
          <w:spacing w:val="-11"/>
          <w:sz w:val="20"/>
        </w:rPr>
        <w:t> </w:t>
      </w:r>
      <w:r>
        <w:rPr>
          <w:b/>
          <w:color w:val="231F20"/>
          <w:sz w:val="20"/>
        </w:rPr>
        <w:t>с</w:t>
      </w:r>
      <w:r>
        <w:rPr>
          <w:b/>
          <w:color w:val="231F20"/>
          <w:spacing w:val="-10"/>
          <w:sz w:val="20"/>
        </w:rPr>
        <w:t> </w:t>
      </w:r>
      <w:r>
        <w:rPr>
          <w:b/>
          <w:color w:val="231F20"/>
          <w:sz w:val="20"/>
        </w:rPr>
        <w:t>детьми</w:t>
      </w:r>
      <w:r>
        <w:rPr>
          <w:b/>
          <w:color w:val="231F20"/>
          <w:spacing w:val="-11"/>
          <w:sz w:val="20"/>
        </w:rPr>
        <w:t> </w:t>
      </w:r>
      <w:r>
        <w:rPr>
          <w:b/>
          <w:color w:val="231F20"/>
          <w:sz w:val="20"/>
        </w:rPr>
        <w:t>5–12</w:t>
      </w:r>
      <w:r>
        <w:rPr>
          <w:b/>
          <w:color w:val="231F20"/>
          <w:spacing w:val="-11"/>
          <w:sz w:val="20"/>
        </w:rPr>
        <w:t> </w:t>
      </w:r>
      <w:r>
        <w:rPr>
          <w:b/>
          <w:color w:val="231F20"/>
          <w:sz w:val="20"/>
        </w:rPr>
        <w:t>лет</w:t>
      </w:r>
      <w:r>
        <w:rPr>
          <w:b/>
          <w:color w:val="231F20"/>
          <w:spacing w:val="-10"/>
          <w:sz w:val="20"/>
        </w:rPr>
        <w:t> </w:t>
      </w:r>
      <w:r>
        <w:rPr>
          <w:b/>
          <w:color w:val="231F20"/>
          <w:sz w:val="20"/>
        </w:rPr>
        <w:t>с</w:t>
      </w:r>
      <w:r>
        <w:rPr>
          <w:b/>
          <w:color w:val="231F20"/>
          <w:spacing w:val="-11"/>
          <w:sz w:val="20"/>
        </w:rPr>
        <w:t> </w:t>
      </w:r>
      <w:r>
        <w:rPr>
          <w:b/>
          <w:color w:val="231F20"/>
          <w:sz w:val="20"/>
        </w:rPr>
        <w:t>миграционной</w:t>
      </w:r>
      <w:r>
        <w:rPr>
          <w:b/>
          <w:color w:val="231F20"/>
          <w:spacing w:val="-10"/>
          <w:sz w:val="20"/>
        </w:rPr>
        <w:t> </w:t>
      </w:r>
      <w:r>
        <w:rPr>
          <w:b/>
          <w:color w:val="231F20"/>
          <w:spacing w:val="-2"/>
          <w:sz w:val="20"/>
        </w:rPr>
        <w:t>историей</w:t>
      </w:r>
    </w:p>
    <w:p>
      <w:pPr>
        <w:spacing w:line="228" w:lineRule="exact" w:before="52"/>
        <w:ind w:left="141" w:right="0" w:firstLine="0"/>
        <w:jc w:val="both"/>
        <w:rPr>
          <w:i/>
          <w:sz w:val="20"/>
        </w:rPr>
      </w:pPr>
      <w:r>
        <w:rPr>
          <w:i/>
          <w:color w:val="231F20"/>
          <w:sz w:val="20"/>
        </w:rPr>
        <w:t>а)</w:t>
      </w:r>
      <w:r>
        <w:rPr>
          <w:i/>
          <w:color w:val="231F20"/>
          <w:spacing w:val="63"/>
          <w:sz w:val="20"/>
        </w:rPr>
        <w:t> </w:t>
      </w:r>
      <w:r>
        <w:rPr>
          <w:i/>
          <w:color w:val="231F20"/>
          <w:sz w:val="20"/>
        </w:rPr>
        <w:t>«</w:t>
      </w:r>
      <w:r>
        <w:rPr>
          <w:i/>
          <w:sz w:val="20"/>
        </w:rPr>
        <w:t>Два </w:t>
      </w:r>
      <w:r>
        <w:rPr>
          <w:i/>
          <w:spacing w:val="-2"/>
          <w:sz w:val="20"/>
        </w:rPr>
        <w:t>героя»</w:t>
      </w:r>
    </w:p>
    <w:p>
      <w:pPr>
        <w:pStyle w:val="BodyText"/>
        <w:spacing w:line="226" w:lineRule="exact"/>
        <w:ind w:left="425" w:right="0" w:firstLine="0"/>
      </w:pPr>
      <w:r>
        <w:rPr/>
        <w:t>Активность</w:t>
      </w:r>
      <w:r>
        <w:rPr>
          <w:spacing w:val="-4"/>
        </w:rPr>
        <w:t> </w:t>
      </w:r>
      <w:r>
        <w:rPr/>
        <w:t>проводится</w:t>
      </w:r>
      <w:r>
        <w:rPr>
          <w:spacing w:val="-2"/>
        </w:rPr>
        <w:t> </w:t>
      </w:r>
      <w:r>
        <w:rPr/>
        <w:t>в</w:t>
      </w:r>
      <w:r>
        <w:rPr>
          <w:spacing w:val="-3"/>
        </w:rPr>
        <w:t> </w:t>
      </w:r>
      <w:r>
        <w:rPr/>
        <w:t>паре</w:t>
      </w:r>
      <w:r>
        <w:rPr>
          <w:spacing w:val="-2"/>
        </w:rPr>
        <w:t> </w:t>
      </w:r>
      <w:r>
        <w:rPr/>
        <w:t>или</w:t>
      </w:r>
      <w:r>
        <w:rPr>
          <w:spacing w:val="-3"/>
        </w:rPr>
        <w:t> </w:t>
      </w:r>
      <w:r>
        <w:rPr>
          <w:spacing w:val="-2"/>
        </w:rPr>
        <w:t>индивидуально.</w:t>
      </w:r>
    </w:p>
    <w:p>
      <w:pPr>
        <w:pStyle w:val="BodyText"/>
        <w:spacing w:line="235" w:lineRule="auto" w:before="2"/>
      </w:pPr>
      <w:r>
        <w:rPr/>
        <w:t>Вначале лист бумаги А4 складываем пополам, рисуем двух абсолютно разных персонажей (например: круглый – квадратный, лохматый с бородой – лысый и др.). Даем имя, возраст, определяем: что он любит, какой он?</w:t>
      </w:r>
    </w:p>
    <w:p>
      <w:pPr>
        <w:pStyle w:val="BodyText"/>
        <w:spacing w:line="226" w:lineRule="exact"/>
        <w:ind w:left="425" w:right="0" w:firstLine="0"/>
      </w:pPr>
      <w:r>
        <w:rPr/>
        <w:t>Далее</w:t>
      </w:r>
      <w:r>
        <w:rPr>
          <w:spacing w:val="-4"/>
        </w:rPr>
        <w:t> </w:t>
      </w:r>
      <w:r>
        <w:rPr/>
        <w:t>представляем</w:t>
      </w:r>
      <w:r>
        <w:rPr>
          <w:spacing w:val="-4"/>
        </w:rPr>
        <w:t> </w:t>
      </w:r>
      <w:r>
        <w:rPr/>
        <w:t>свои</w:t>
      </w:r>
      <w:r>
        <w:rPr>
          <w:spacing w:val="-5"/>
        </w:rPr>
        <w:t> </w:t>
      </w:r>
      <w:r>
        <w:rPr/>
        <w:t>персонажи</w:t>
      </w:r>
      <w:r>
        <w:rPr>
          <w:spacing w:val="-5"/>
        </w:rPr>
        <w:t> </w:t>
      </w:r>
      <w:r>
        <w:rPr/>
        <w:t>другим</w:t>
      </w:r>
      <w:r>
        <w:rPr>
          <w:spacing w:val="-3"/>
        </w:rPr>
        <w:t> </w:t>
      </w:r>
      <w:r>
        <w:rPr>
          <w:spacing w:val="-2"/>
        </w:rPr>
        <w:t>участникам.</w:t>
      </w:r>
    </w:p>
    <w:p>
      <w:pPr>
        <w:pStyle w:val="BodyText"/>
        <w:spacing w:line="235" w:lineRule="auto" w:before="2"/>
      </w:pPr>
      <w:r>
        <w:rPr/>
        <w:t>Делим лист бумаги А4 на 6 клеточек и рисуем свою историю (ведущий может заранее</w:t>
      </w:r>
      <w:r>
        <w:rPr>
          <w:spacing w:val="-4"/>
        </w:rPr>
        <w:t> </w:t>
      </w:r>
      <w:r>
        <w:rPr/>
        <w:t>подготовить</w:t>
      </w:r>
      <w:r>
        <w:rPr>
          <w:spacing w:val="-3"/>
        </w:rPr>
        <w:t> </w:t>
      </w:r>
      <w:r>
        <w:rPr/>
        <w:t>такой</w:t>
      </w:r>
      <w:r>
        <w:rPr>
          <w:spacing w:val="-4"/>
        </w:rPr>
        <w:t> </w:t>
      </w:r>
      <w:r>
        <w:rPr/>
        <w:t>шаблон).</w:t>
      </w:r>
      <w:r>
        <w:rPr>
          <w:spacing w:val="-4"/>
        </w:rPr>
        <w:t> </w:t>
      </w:r>
      <w:r>
        <w:rPr/>
        <w:t>Один</w:t>
      </w:r>
      <w:r>
        <w:rPr>
          <w:spacing w:val="-4"/>
        </w:rPr>
        <w:t> </w:t>
      </w:r>
      <w:r>
        <w:rPr/>
        <w:t>из</w:t>
      </w:r>
      <w:r>
        <w:rPr>
          <w:spacing w:val="-4"/>
        </w:rPr>
        <w:t> </w:t>
      </w:r>
      <w:r>
        <w:rPr/>
        <w:t>детей</w:t>
      </w:r>
      <w:r>
        <w:rPr>
          <w:spacing w:val="-4"/>
        </w:rPr>
        <w:t> </w:t>
      </w:r>
      <w:r>
        <w:rPr/>
        <w:t>может</w:t>
      </w:r>
      <w:r>
        <w:rPr>
          <w:spacing w:val="-4"/>
        </w:rPr>
        <w:t> </w:t>
      </w:r>
      <w:r>
        <w:rPr/>
        <w:t>быть</w:t>
      </w:r>
      <w:r>
        <w:rPr>
          <w:spacing w:val="-4"/>
        </w:rPr>
        <w:t> </w:t>
      </w:r>
      <w:r>
        <w:rPr/>
        <w:t>сценаристом</w:t>
      </w:r>
      <w:r>
        <w:rPr>
          <w:spacing w:val="-4"/>
        </w:rPr>
        <w:t> </w:t>
      </w:r>
      <w:r>
        <w:rPr/>
        <w:t>(приду- мывать</w:t>
      </w:r>
      <w:r>
        <w:rPr>
          <w:spacing w:val="-13"/>
        </w:rPr>
        <w:t> </w:t>
      </w:r>
      <w:r>
        <w:rPr/>
        <w:t>историю),</w:t>
      </w:r>
      <w:r>
        <w:rPr>
          <w:spacing w:val="-12"/>
        </w:rPr>
        <w:t> </w:t>
      </w:r>
      <w:r>
        <w:rPr/>
        <w:t>а</w:t>
      </w:r>
      <w:r>
        <w:rPr>
          <w:spacing w:val="-13"/>
        </w:rPr>
        <w:t> </w:t>
      </w:r>
      <w:r>
        <w:rPr/>
        <w:t>второй</w:t>
      </w:r>
      <w:r>
        <w:rPr>
          <w:spacing w:val="-12"/>
        </w:rPr>
        <w:t> </w:t>
      </w:r>
      <w:r>
        <w:rPr/>
        <w:t>–</w:t>
      </w:r>
      <w:r>
        <w:rPr>
          <w:spacing w:val="-13"/>
        </w:rPr>
        <w:t> </w:t>
      </w:r>
      <w:r>
        <w:rPr/>
        <w:t>художником,</w:t>
      </w:r>
      <w:r>
        <w:rPr>
          <w:spacing w:val="-12"/>
        </w:rPr>
        <w:t> </w:t>
      </w:r>
      <w:r>
        <w:rPr/>
        <w:t>который</w:t>
      </w:r>
      <w:r>
        <w:rPr>
          <w:spacing w:val="-13"/>
        </w:rPr>
        <w:t> </w:t>
      </w:r>
      <w:r>
        <w:rPr/>
        <w:t>историю</w:t>
      </w:r>
      <w:r>
        <w:rPr>
          <w:spacing w:val="-12"/>
        </w:rPr>
        <w:t> </w:t>
      </w:r>
      <w:r>
        <w:rPr/>
        <w:t>иллюстрирует.</w:t>
      </w:r>
      <w:r>
        <w:rPr>
          <w:spacing w:val="-13"/>
        </w:rPr>
        <w:t> </w:t>
      </w:r>
      <w:r>
        <w:rPr/>
        <w:t>При</w:t>
      </w:r>
      <w:r>
        <w:rPr>
          <w:spacing w:val="-12"/>
        </w:rPr>
        <w:t> </w:t>
      </w:r>
      <w:r>
        <w:rPr/>
        <w:t>этом 3–4-й кадры комикса посвящены конфликту, 5–6-й – неожиданной концовке.</w:t>
      </w:r>
    </w:p>
    <w:p>
      <w:pPr>
        <w:pStyle w:val="BodyText"/>
        <w:spacing w:line="235" w:lineRule="auto" w:before="2"/>
      </w:pPr>
      <w:r>
        <w:rPr/>
        <w:t>Следует подчеркнуть, что ведущие не берут на себя анализ рисунков, они могут лишь деликатно выступить посредниками между детьми.</w:t>
      </w:r>
    </w:p>
    <w:p>
      <w:pPr>
        <w:pStyle w:val="BodyText"/>
        <w:spacing w:line="235" w:lineRule="auto" w:before="2"/>
      </w:pPr>
      <w:r>
        <w:rPr/>
        <w:t>Младшим школьникам, которые еще плохо пишут и читают, приятно будет уви- деть</w:t>
      </w:r>
      <w:r>
        <w:rPr>
          <w:spacing w:val="-13"/>
        </w:rPr>
        <w:t> </w:t>
      </w:r>
      <w:r>
        <w:rPr/>
        <w:t>свой</w:t>
      </w:r>
      <w:r>
        <w:rPr>
          <w:spacing w:val="-12"/>
        </w:rPr>
        <w:t> </w:t>
      </w:r>
      <w:r>
        <w:rPr/>
        <w:t>комикс</w:t>
      </w:r>
      <w:r>
        <w:rPr>
          <w:spacing w:val="-13"/>
        </w:rPr>
        <w:t> </w:t>
      </w:r>
      <w:r>
        <w:rPr/>
        <w:t>в</w:t>
      </w:r>
      <w:r>
        <w:rPr>
          <w:spacing w:val="-12"/>
        </w:rPr>
        <w:t> </w:t>
      </w:r>
      <w:r>
        <w:rPr/>
        <w:t>виде</w:t>
      </w:r>
      <w:r>
        <w:rPr>
          <w:spacing w:val="-13"/>
        </w:rPr>
        <w:t> </w:t>
      </w:r>
      <w:r>
        <w:rPr/>
        <w:t>книжки.</w:t>
      </w:r>
      <w:r>
        <w:rPr>
          <w:spacing w:val="-12"/>
        </w:rPr>
        <w:t> </w:t>
      </w:r>
      <w:r>
        <w:rPr/>
        <w:t>Полезно</w:t>
      </w:r>
      <w:r>
        <w:rPr>
          <w:spacing w:val="-13"/>
        </w:rPr>
        <w:t> </w:t>
      </w:r>
      <w:r>
        <w:rPr/>
        <w:t>разрезать</w:t>
      </w:r>
      <w:r>
        <w:rPr>
          <w:spacing w:val="-12"/>
        </w:rPr>
        <w:t> </w:t>
      </w:r>
      <w:r>
        <w:rPr/>
        <w:t>комикс</w:t>
      </w:r>
      <w:r>
        <w:rPr>
          <w:spacing w:val="-13"/>
        </w:rPr>
        <w:t> </w:t>
      </w:r>
      <w:r>
        <w:rPr/>
        <w:t>на</w:t>
      </w:r>
      <w:r>
        <w:rPr>
          <w:spacing w:val="-12"/>
        </w:rPr>
        <w:t> </w:t>
      </w:r>
      <w:r>
        <w:rPr/>
        <w:t>кадры</w:t>
      </w:r>
      <w:r>
        <w:rPr>
          <w:spacing w:val="-13"/>
        </w:rPr>
        <w:t> </w:t>
      </w:r>
      <w:r>
        <w:rPr/>
        <w:t>и</w:t>
      </w:r>
      <w:r>
        <w:rPr>
          <w:spacing w:val="-12"/>
        </w:rPr>
        <w:t> </w:t>
      </w:r>
      <w:r>
        <w:rPr/>
        <w:t>вместе</w:t>
      </w:r>
      <w:r>
        <w:rPr>
          <w:spacing w:val="-13"/>
        </w:rPr>
        <w:t> </w:t>
      </w:r>
      <w:r>
        <w:rPr/>
        <w:t>с</w:t>
      </w:r>
      <w:r>
        <w:rPr>
          <w:spacing w:val="-12"/>
        </w:rPr>
        <w:t> </w:t>
      </w:r>
      <w:r>
        <w:rPr/>
        <w:t>взрос- лым наклеить их в правильном порядке в самодельную книгу (лист бумаги А4 скла- дывается в книгу из 8 страниц</w:t>
      </w:r>
      <w:r>
        <w:rPr>
          <w:vertAlign w:val="superscript"/>
        </w:rPr>
        <w:t>1</w:t>
      </w:r>
      <w:r>
        <w:rPr>
          <w:vertAlign w:val="baseline"/>
        </w:rPr>
        <w:t>). К книге можно сделать обложку. Ведущий пишет название книги и имя ее автора (авторов), а ребенок переписывает своей рукой на обложку и украшает рисунками.</w:t>
      </w:r>
    </w:p>
    <w:p>
      <w:pPr>
        <w:pStyle w:val="BodyText"/>
        <w:spacing w:line="235" w:lineRule="auto" w:before="3"/>
      </w:pPr>
      <w:r>
        <w:rPr>
          <w:spacing w:val="-2"/>
        </w:rPr>
        <w:t>Рукотворная</w:t>
      </w:r>
      <w:r>
        <w:rPr>
          <w:spacing w:val="-11"/>
        </w:rPr>
        <w:t> </w:t>
      </w:r>
      <w:r>
        <w:rPr>
          <w:spacing w:val="-2"/>
        </w:rPr>
        <w:t>«книга»,</w:t>
      </w:r>
      <w:r>
        <w:rPr>
          <w:spacing w:val="-10"/>
        </w:rPr>
        <w:t> </w:t>
      </w:r>
      <w:r>
        <w:rPr>
          <w:spacing w:val="-2"/>
        </w:rPr>
        <w:t>которую</w:t>
      </w:r>
      <w:r>
        <w:rPr>
          <w:spacing w:val="-11"/>
        </w:rPr>
        <w:t> </w:t>
      </w:r>
      <w:r>
        <w:rPr>
          <w:spacing w:val="-2"/>
        </w:rPr>
        <w:t>ребенок</w:t>
      </w:r>
      <w:r>
        <w:rPr>
          <w:spacing w:val="-10"/>
        </w:rPr>
        <w:t> </w:t>
      </w:r>
      <w:r>
        <w:rPr>
          <w:spacing w:val="-2"/>
        </w:rPr>
        <w:t>сделал</w:t>
      </w:r>
      <w:r>
        <w:rPr>
          <w:spacing w:val="-11"/>
        </w:rPr>
        <w:t> </w:t>
      </w:r>
      <w:r>
        <w:rPr>
          <w:spacing w:val="-2"/>
        </w:rPr>
        <w:t>своими</w:t>
      </w:r>
      <w:r>
        <w:rPr>
          <w:spacing w:val="-10"/>
        </w:rPr>
        <w:t> </w:t>
      </w:r>
      <w:r>
        <w:rPr>
          <w:spacing w:val="-2"/>
        </w:rPr>
        <w:t>руками,</w:t>
      </w:r>
      <w:r>
        <w:rPr>
          <w:spacing w:val="-11"/>
        </w:rPr>
        <w:t> </w:t>
      </w:r>
      <w:r>
        <w:rPr>
          <w:spacing w:val="-2"/>
        </w:rPr>
        <w:t>помогает</w:t>
      </w:r>
      <w:r>
        <w:rPr>
          <w:spacing w:val="-10"/>
        </w:rPr>
        <w:t> </w:t>
      </w:r>
      <w:r>
        <w:rPr>
          <w:spacing w:val="-2"/>
        </w:rPr>
        <w:t>ему</w:t>
      </w:r>
      <w:r>
        <w:rPr>
          <w:spacing w:val="-11"/>
        </w:rPr>
        <w:t> </w:t>
      </w:r>
      <w:r>
        <w:rPr>
          <w:spacing w:val="-2"/>
        </w:rPr>
        <w:t>почув- </w:t>
      </w:r>
      <w:r>
        <w:rPr/>
        <w:t>ствовать</w:t>
      </w:r>
      <w:r>
        <w:rPr>
          <w:spacing w:val="-7"/>
        </w:rPr>
        <w:t> </w:t>
      </w:r>
      <w:r>
        <w:rPr/>
        <w:t>себя</w:t>
      </w:r>
      <w:r>
        <w:rPr>
          <w:spacing w:val="-7"/>
        </w:rPr>
        <w:t> </w:t>
      </w:r>
      <w:r>
        <w:rPr/>
        <w:t>сопричастным</w:t>
      </w:r>
      <w:r>
        <w:rPr>
          <w:spacing w:val="-7"/>
        </w:rPr>
        <w:t> </w:t>
      </w:r>
      <w:r>
        <w:rPr/>
        <w:t>к</w:t>
      </w:r>
      <w:r>
        <w:rPr>
          <w:spacing w:val="-7"/>
        </w:rPr>
        <w:t> </w:t>
      </w:r>
      <w:r>
        <w:rPr/>
        <w:t>книжной</w:t>
      </w:r>
      <w:r>
        <w:rPr>
          <w:spacing w:val="-7"/>
        </w:rPr>
        <w:t> </w:t>
      </w:r>
      <w:r>
        <w:rPr/>
        <w:t>культуре</w:t>
      </w:r>
      <w:r>
        <w:rPr>
          <w:spacing w:val="-7"/>
        </w:rPr>
        <w:t> </w:t>
      </w:r>
      <w:r>
        <w:rPr/>
        <w:t>и</w:t>
      </w:r>
      <w:r>
        <w:rPr>
          <w:spacing w:val="-7"/>
        </w:rPr>
        <w:t> </w:t>
      </w:r>
      <w:r>
        <w:rPr/>
        <w:t>мотивирует</w:t>
      </w:r>
      <w:r>
        <w:rPr>
          <w:spacing w:val="-7"/>
        </w:rPr>
        <w:t> </w:t>
      </w:r>
      <w:r>
        <w:rPr/>
        <w:t>на</w:t>
      </w:r>
      <w:r>
        <w:rPr>
          <w:spacing w:val="-7"/>
        </w:rPr>
        <w:t> </w:t>
      </w:r>
      <w:r>
        <w:rPr/>
        <w:t>чтение.</w:t>
      </w:r>
      <w:r>
        <w:rPr>
          <w:spacing w:val="-7"/>
        </w:rPr>
        <w:t> </w:t>
      </w:r>
      <w:r>
        <w:rPr/>
        <w:t>Самодель- ные</w:t>
      </w:r>
      <w:r>
        <w:rPr>
          <w:spacing w:val="-3"/>
        </w:rPr>
        <w:t> </w:t>
      </w:r>
      <w:r>
        <w:rPr/>
        <w:t>книги</w:t>
      </w:r>
      <w:r>
        <w:rPr>
          <w:spacing w:val="-4"/>
        </w:rPr>
        <w:t> </w:t>
      </w:r>
      <w:r>
        <w:rPr/>
        <w:t>можно</w:t>
      </w:r>
      <w:r>
        <w:rPr>
          <w:spacing w:val="-3"/>
        </w:rPr>
        <w:t> </w:t>
      </w:r>
      <w:r>
        <w:rPr/>
        <w:t>разложить</w:t>
      </w:r>
      <w:r>
        <w:rPr>
          <w:spacing w:val="-4"/>
        </w:rPr>
        <w:t> </w:t>
      </w:r>
      <w:r>
        <w:rPr/>
        <w:t>на</w:t>
      </w:r>
      <w:r>
        <w:rPr>
          <w:spacing w:val="-3"/>
        </w:rPr>
        <w:t> </w:t>
      </w:r>
      <w:r>
        <w:rPr/>
        <w:t>столе</w:t>
      </w:r>
      <w:r>
        <w:rPr>
          <w:spacing w:val="-3"/>
        </w:rPr>
        <w:t> </w:t>
      </w:r>
      <w:r>
        <w:rPr/>
        <w:t>и</w:t>
      </w:r>
      <w:r>
        <w:rPr>
          <w:spacing w:val="-4"/>
        </w:rPr>
        <w:t> </w:t>
      </w:r>
      <w:r>
        <w:rPr/>
        <w:t>организовать</w:t>
      </w:r>
      <w:r>
        <w:rPr>
          <w:spacing w:val="-4"/>
        </w:rPr>
        <w:t> </w:t>
      </w:r>
      <w:r>
        <w:rPr/>
        <w:t>книжный</w:t>
      </w:r>
      <w:r>
        <w:rPr>
          <w:spacing w:val="-4"/>
        </w:rPr>
        <w:t> </w:t>
      </w:r>
      <w:r>
        <w:rPr/>
        <w:t>клуб</w:t>
      </w:r>
      <w:r>
        <w:rPr>
          <w:spacing w:val="-3"/>
        </w:rPr>
        <w:t> </w:t>
      </w:r>
      <w:r>
        <w:rPr/>
        <w:t>для</w:t>
      </w:r>
      <w:r>
        <w:rPr>
          <w:spacing w:val="-3"/>
        </w:rPr>
        <w:t> </w:t>
      </w:r>
      <w:r>
        <w:rPr/>
        <w:t>взрослых.</w:t>
      </w:r>
    </w:p>
    <w:p>
      <w:pPr>
        <w:spacing w:line="228" w:lineRule="exact" w:before="55"/>
        <w:ind w:left="141" w:right="0" w:firstLine="0"/>
        <w:jc w:val="both"/>
        <w:rPr>
          <w:i/>
          <w:sz w:val="20"/>
        </w:rPr>
      </w:pPr>
      <w:r>
        <w:rPr>
          <w:i/>
          <w:color w:val="231F20"/>
          <w:sz w:val="20"/>
        </w:rPr>
        <w:t>б)</w:t>
      </w:r>
      <w:r>
        <w:rPr>
          <w:i/>
          <w:color w:val="231F20"/>
          <w:spacing w:val="39"/>
          <w:sz w:val="20"/>
        </w:rPr>
        <w:t> </w:t>
      </w:r>
      <w:r>
        <w:rPr>
          <w:i/>
          <w:color w:val="231F20"/>
          <w:sz w:val="20"/>
        </w:rPr>
        <w:t>«Комикс-</w:t>
      </w:r>
      <w:r>
        <w:rPr>
          <w:i/>
          <w:color w:val="231F20"/>
          <w:spacing w:val="-4"/>
          <w:sz w:val="20"/>
        </w:rPr>
        <w:t>пазл»</w:t>
      </w:r>
    </w:p>
    <w:p>
      <w:pPr>
        <w:pStyle w:val="BodyText"/>
        <w:spacing w:line="235" w:lineRule="auto" w:before="2"/>
      </w:pPr>
      <w:r>
        <w:rPr>
          <w:color w:val="231F20"/>
        </w:rPr>
        <w:t>Комиксы</w:t>
      </w:r>
      <w:r>
        <w:rPr>
          <w:color w:val="231F20"/>
          <w:spacing w:val="-3"/>
        </w:rPr>
        <w:t> </w:t>
      </w:r>
      <w:r>
        <w:rPr>
          <w:color w:val="231F20"/>
        </w:rPr>
        <w:t>из</w:t>
      </w:r>
      <w:r>
        <w:rPr>
          <w:color w:val="231F20"/>
          <w:spacing w:val="-3"/>
        </w:rPr>
        <w:t> </w:t>
      </w:r>
      <w:r>
        <w:rPr>
          <w:color w:val="231F20"/>
        </w:rPr>
        <w:t>4</w:t>
      </w:r>
      <w:r>
        <w:rPr>
          <w:color w:val="231F20"/>
          <w:spacing w:val="-3"/>
        </w:rPr>
        <w:t> </w:t>
      </w:r>
      <w:r>
        <w:rPr>
          <w:color w:val="231F20"/>
        </w:rPr>
        <w:t>и</w:t>
      </w:r>
      <w:r>
        <w:rPr>
          <w:color w:val="231F20"/>
          <w:spacing w:val="-3"/>
        </w:rPr>
        <w:t> </w:t>
      </w:r>
      <w:r>
        <w:rPr>
          <w:color w:val="231F20"/>
        </w:rPr>
        <w:t>6</w:t>
      </w:r>
      <w:r>
        <w:rPr>
          <w:color w:val="231F20"/>
          <w:spacing w:val="-3"/>
        </w:rPr>
        <w:t> </w:t>
      </w:r>
      <w:r>
        <w:rPr>
          <w:color w:val="231F20"/>
        </w:rPr>
        <w:t>картинок</w:t>
      </w:r>
      <w:r>
        <w:rPr>
          <w:color w:val="231F20"/>
          <w:spacing w:val="-3"/>
        </w:rPr>
        <w:t> </w:t>
      </w:r>
      <w:r>
        <w:rPr>
          <w:color w:val="231F20"/>
        </w:rPr>
        <w:t>(из</w:t>
      </w:r>
      <w:r>
        <w:rPr>
          <w:color w:val="231F20"/>
          <w:spacing w:val="-3"/>
        </w:rPr>
        <w:t> </w:t>
      </w:r>
      <w:r>
        <w:rPr>
          <w:color w:val="231F20"/>
        </w:rPr>
        <w:t>интернета</w:t>
      </w:r>
      <w:r>
        <w:rPr>
          <w:color w:val="231F20"/>
          <w:vertAlign w:val="superscript"/>
        </w:rPr>
        <w:t>2</w:t>
      </w:r>
      <w:r>
        <w:rPr>
          <w:color w:val="231F20"/>
          <w:vertAlign w:val="baseline"/>
        </w:rPr>
        <w:t>,</w:t>
      </w:r>
      <w:r>
        <w:rPr>
          <w:color w:val="231F20"/>
          <w:spacing w:val="-3"/>
          <w:vertAlign w:val="baseline"/>
        </w:rPr>
        <w:t> </w:t>
      </w:r>
      <w:r>
        <w:rPr>
          <w:color w:val="231F20"/>
          <w:vertAlign w:val="baseline"/>
        </w:rPr>
        <w:t>из</w:t>
      </w:r>
      <w:r>
        <w:rPr>
          <w:color w:val="231F20"/>
          <w:spacing w:val="-3"/>
          <w:vertAlign w:val="baseline"/>
        </w:rPr>
        <w:t> </w:t>
      </w:r>
      <w:r>
        <w:rPr>
          <w:color w:val="231F20"/>
          <w:vertAlign w:val="baseline"/>
        </w:rPr>
        <w:t>книг,</w:t>
      </w:r>
      <w:r>
        <w:rPr>
          <w:color w:val="231F20"/>
          <w:spacing w:val="-3"/>
          <w:vertAlign w:val="baseline"/>
        </w:rPr>
        <w:t> </w:t>
      </w:r>
      <w:r>
        <w:rPr>
          <w:color w:val="231F20"/>
          <w:vertAlign w:val="baseline"/>
        </w:rPr>
        <w:t>подходящих</w:t>
      </w:r>
      <w:r>
        <w:rPr>
          <w:color w:val="231F20"/>
          <w:spacing w:val="-3"/>
          <w:vertAlign w:val="baseline"/>
        </w:rPr>
        <w:t> </w:t>
      </w:r>
      <w:r>
        <w:rPr>
          <w:color w:val="231F20"/>
          <w:vertAlign w:val="baseline"/>
        </w:rPr>
        <w:t>по</w:t>
      </w:r>
      <w:r>
        <w:rPr>
          <w:color w:val="231F20"/>
          <w:spacing w:val="-3"/>
          <w:vertAlign w:val="baseline"/>
        </w:rPr>
        <w:t> </w:t>
      </w:r>
      <w:r>
        <w:rPr>
          <w:color w:val="231F20"/>
          <w:vertAlign w:val="baseline"/>
        </w:rPr>
        <w:t>возрасту)</w:t>
      </w:r>
      <w:r>
        <w:rPr>
          <w:color w:val="231F20"/>
          <w:spacing w:val="-3"/>
          <w:vertAlign w:val="baseline"/>
        </w:rPr>
        <w:t> </w:t>
      </w:r>
      <w:r>
        <w:rPr>
          <w:color w:val="231F20"/>
          <w:vertAlign w:val="baseline"/>
        </w:rPr>
        <w:t>раз- резаются на кадры. Каждая группа должна сложить кадры по порядку и рассказать </w:t>
      </w:r>
      <w:r>
        <w:rPr>
          <w:color w:val="231F20"/>
          <w:spacing w:val="-2"/>
          <w:vertAlign w:val="baseline"/>
        </w:rPr>
        <w:t>историю.</w:t>
      </w:r>
    </w:p>
    <w:p>
      <w:pPr>
        <w:pStyle w:val="BodyText"/>
        <w:spacing w:before="8"/>
        <w:ind w:left="0" w:right="0" w:firstLine="0"/>
        <w:jc w:val="left"/>
        <w:rPr>
          <w:sz w:val="6"/>
        </w:rPr>
      </w:pPr>
      <w:r>
        <w:rPr>
          <w:sz w:val="6"/>
        </w:rPr>
        <mc:AlternateContent>
          <mc:Choice Requires="wps">
            <w:drawing>
              <wp:anchor distT="0" distB="0" distL="0" distR="0" allowOverlap="1" layoutInCell="1" locked="0" behindDoc="1" simplePos="0" relativeHeight="487628800">
                <wp:simplePos x="0" y="0"/>
                <wp:positionH relativeFrom="page">
                  <wp:posOffset>359999</wp:posOffset>
                </wp:positionH>
                <wp:positionV relativeFrom="paragraph">
                  <wp:posOffset>64517</wp:posOffset>
                </wp:positionV>
                <wp:extent cx="1440180" cy="1270"/>
                <wp:effectExtent l="0" t="0" r="0" b="0"/>
                <wp:wrapTopAndBottom/>
                <wp:docPr id="127" name="Graphic 127"/>
                <wp:cNvGraphicFramePr>
                  <a:graphicFrameLocks/>
                </wp:cNvGraphicFramePr>
                <a:graphic>
                  <a:graphicData uri="http://schemas.microsoft.com/office/word/2010/wordprocessingShape">
                    <wps:wsp>
                      <wps:cNvPr id="127" name="Graphic 127"/>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399pt;margin-top:5.080155pt;width:113.4pt;height:.1pt;mso-position-horizontal-relative:page;mso-position-vertical-relative:paragraph;z-index:-15687680;mso-wrap-distance-left:0;mso-wrap-distance-right:0" id="docshape82" coordorigin="567,102" coordsize="2268,0" path="m567,102l2835,102e" filled="false" stroked="true" strokeweight=".5pt" strokecolor="#231f20">
                <v:path arrowok="t"/>
                <v:stroke dashstyle="solid"/>
                <w10:wrap type="topAndBottom"/>
              </v:shape>
            </w:pict>
          </mc:Fallback>
        </mc:AlternateContent>
      </w:r>
    </w:p>
    <w:p>
      <w:pPr>
        <w:tabs>
          <w:tab w:pos="425" w:val="left" w:leader="none"/>
        </w:tabs>
        <w:spacing w:line="232" w:lineRule="auto" w:before="32"/>
        <w:ind w:left="141" w:right="140" w:firstLine="0"/>
        <w:jc w:val="left"/>
        <w:rPr>
          <w:sz w:val="18"/>
        </w:rPr>
      </w:pPr>
      <w:r>
        <w:rPr>
          <w:color w:val="231F20"/>
          <w:spacing w:val="-10"/>
          <w:sz w:val="18"/>
          <w:vertAlign w:val="superscript"/>
        </w:rPr>
        <w:t>1</w:t>
      </w:r>
      <w:r>
        <w:rPr>
          <w:color w:val="231F20"/>
          <w:sz w:val="18"/>
          <w:vertAlign w:val="baseline"/>
        </w:rPr>
        <w:tab/>
        <w:t>Видеоинструкция</w:t>
      </w:r>
      <w:r>
        <w:rPr>
          <w:color w:val="231F20"/>
          <w:spacing w:val="25"/>
          <w:sz w:val="18"/>
          <w:vertAlign w:val="baseline"/>
        </w:rPr>
        <w:t> </w:t>
      </w:r>
      <w:r>
        <w:rPr>
          <w:color w:val="231F20"/>
          <w:sz w:val="18"/>
          <w:vertAlign w:val="baseline"/>
        </w:rPr>
        <w:t>по</w:t>
      </w:r>
      <w:r>
        <w:rPr>
          <w:color w:val="231F20"/>
          <w:spacing w:val="25"/>
          <w:sz w:val="18"/>
          <w:vertAlign w:val="baseline"/>
        </w:rPr>
        <w:t> </w:t>
      </w:r>
      <w:r>
        <w:rPr>
          <w:color w:val="231F20"/>
          <w:sz w:val="18"/>
          <w:vertAlign w:val="baseline"/>
        </w:rPr>
        <w:t>данной</w:t>
      </w:r>
      <w:r>
        <w:rPr>
          <w:color w:val="231F20"/>
          <w:spacing w:val="25"/>
          <w:sz w:val="18"/>
          <w:vertAlign w:val="baseline"/>
        </w:rPr>
        <w:t> </w:t>
      </w:r>
      <w:r>
        <w:rPr>
          <w:color w:val="231F20"/>
          <w:sz w:val="18"/>
          <w:vertAlign w:val="baseline"/>
        </w:rPr>
        <w:t>ссылке</w:t>
      </w:r>
      <w:r>
        <w:rPr>
          <w:color w:val="231F20"/>
          <w:spacing w:val="25"/>
          <w:sz w:val="18"/>
          <w:vertAlign w:val="baseline"/>
        </w:rPr>
        <w:t> </w:t>
      </w:r>
      <w:hyperlink r:id="rId136">
        <w:r>
          <w:rPr>
            <w:color w:val="2255A6"/>
            <w:sz w:val="18"/>
            <w:u w:val="single" w:color="2255A6"/>
            <w:vertAlign w:val="baseline"/>
          </w:rPr>
          <w:t>https://www.youtube.com/watch?v=sDdTdyzueDU</w:t>
        </w:r>
      </w:hyperlink>
      <w:r>
        <w:rPr>
          <w:color w:val="2255A6"/>
          <w:spacing w:val="26"/>
          <w:sz w:val="18"/>
          <w:vertAlign w:val="baseline"/>
        </w:rPr>
        <w:t> </w:t>
      </w:r>
      <w:r>
        <w:rPr>
          <w:color w:val="231F20"/>
          <w:sz w:val="18"/>
          <w:vertAlign w:val="baseline"/>
        </w:rPr>
        <w:t>(на англ. яз.).</w:t>
      </w:r>
    </w:p>
    <w:p>
      <w:pPr>
        <w:tabs>
          <w:tab w:pos="425" w:val="left" w:leader="none"/>
        </w:tabs>
        <w:spacing w:before="50"/>
        <w:ind w:left="141" w:right="0" w:firstLine="0"/>
        <w:jc w:val="left"/>
        <w:rPr>
          <w:sz w:val="18"/>
        </w:rPr>
      </w:pPr>
      <w:r>
        <w:rPr>
          <w:color w:val="231F20"/>
          <w:spacing w:val="-10"/>
          <w:sz w:val="18"/>
          <w:vertAlign w:val="superscript"/>
        </w:rPr>
        <w:t>2</w:t>
      </w:r>
      <w:r>
        <w:rPr>
          <w:color w:val="231F20"/>
          <w:sz w:val="18"/>
          <w:vertAlign w:val="baseline"/>
        </w:rPr>
        <w:tab/>
        <w:t>Например,</w:t>
      </w:r>
      <w:r>
        <w:rPr>
          <w:color w:val="231F20"/>
          <w:spacing w:val="-3"/>
          <w:sz w:val="18"/>
          <w:vertAlign w:val="baseline"/>
        </w:rPr>
        <w:t> </w:t>
      </w:r>
      <w:hyperlink r:id="rId137">
        <w:r>
          <w:rPr>
            <w:color w:val="2255A6"/>
            <w:spacing w:val="-2"/>
            <w:sz w:val="18"/>
            <w:u w:val="single" w:color="2255A6"/>
            <w:vertAlign w:val="baseline"/>
          </w:rPr>
          <w:t>www.finnougriccomics.com</w:t>
        </w:r>
      </w:hyperlink>
      <w:r>
        <w:rPr>
          <w:color w:val="231F20"/>
          <w:spacing w:val="-2"/>
          <w:sz w:val="18"/>
          <w:vertAlign w:val="baseline"/>
        </w:rPr>
        <w:t>.</w:t>
      </w:r>
    </w:p>
    <w:p>
      <w:pPr>
        <w:spacing w:after="0"/>
        <w:jc w:val="left"/>
        <w:rPr>
          <w:sz w:val="18"/>
        </w:rPr>
        <w:sectPr>
          <w:pgSz w:w="8400" w:h="11910"/>
          <w:pgMar w:header="0" w:footer="527" w:top="400" w:bottom="720" w:left="425" w:right="425"/>
        </w:sectPr>
      </w:pPr>
    </w:p>
    <w:p>
      <w:pPr>
        <w:pStyle w:val="ListParagraph"/>
        <w:numPr>
          <w:ilvl w:val="1"/>
          <w:numId w:val="107"/>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Методы</w:t>
      </w:r>
      <w:r>
        <w:rPr>
          <w:rFonts w:ascii="Georgia" w:hAnsi="Georgia"/>
          <w:color w:val="231F20"/>
          <w:spacing w:val="-2"/>
          <w:sz w:val="18"/>
        </w:rPr>
        <w:t> </w:t>
      </w:r>
      <w:r>
        <w:rPr>
          <w:rFonts w:ascii="Georgia" w:hAnsi="Georgia"/>
          <w:color w:val="231F20"/>
          <w:sz w:val="18"/>
        </w:rPr>
        <w:t>воспитательной</w:t>
      </w:r>
      <w:r>
        <w:rPr>
          <w:rFonts w:ascii="Georgia" w:hAnsi="Georgia"/>
          <w:color w:val="231F20"/>
          <w:spacing w:val="-1"/>
          <w:sz w:val="18"/>
        </w:rPr>
        <w:t> </w:t>
      </w:r>
      <w:r>
        <w:rPr>
          <w:rFonts w:ascii="Georgia" w:hAnsi="Georgia"/>
          <w:color w:val="231F20"/>
          <w:sz w:val="18"/>
        </w:rPr>
        <w:t>раюоты</w:t>
      </w:r>
      <w:r>
        <w:rPr>
          <w:rFonts w:ascii="Georgia" w:hAnsi="Georgia"/>
          <w:color w:val="231F20"/>
          <w:spacing w:val="-1"/>
          <w:sz w:val="18"/>
        </w:rPr>
        <w:t> </w:t>
      </w:r>
      <w:r>
        <w:rPr>
          <w:rFonts w:ascii="Georgia" w:hAnsi="Georgia"/>
          <w:color w:val="231F20"/>
          <w:sz w:val="18"/>
        </w:rPr>
        <w:t>для</w:t>
      </w:r>
      <w:r>
        <w:rPr>
          <w:rFonts w:ascii="Georgia" w:hAnsi="Georgia"/>
          <w:color w:val="231F20"/>
          <w:spacing w:val="-1"/>
          <w:sz w:val="18"/>
        </w:rPr>
        <w:t> </w:t>
      </w:r>
      <w:r>
        <w:rPr>
          <w:rFonts w:ascii="Georgia" w:hAnsi="Georgia"/>
          <w:color w:val="231F20"/>
          <w:sz w:val="18"/>
        </w:rPr>
        <w:t>адаптации</w:t>
      </w:r>
      <w:r>
        <w:rPr>
          <w:rFonts w:ascii="Georgia" w:hAnsi="Georgia"/>
          <w:color w:val="231F20"/>
          <w:spacing w:val="-1"/>
          <w:sz w:val="18"/>
        </w:rPr>
        <w:t> </w:t>
      </w:r>
      <w:r>
        <w:rPr>
          <w:rFonts w:ascii="Georgia" w:hAnsi="Georgia"/>
          <w:color w:val="231F20"/>
          <w:sz w:val="18"/>
        </w:rPr>
        <w:t>...</w:t>
      </w:r>
      <w:r>
        <w:rPr>
          <w:rFonts w:ascii="Georgia" w:hAnsi="Georgia"/>
          <w:color w:val="231F20"/>
          <w:spacing w:val="-1"/>
          <w:sz w:val="18"/>
        </w:rPr>
        <w:t> </w:t>
      </w:r>
      <w:r>
        <w:rPr>
          <w:rFonts w:ascii="Georgia" w:hAnsi="Georgia"/>
          <w:color w:val="231F20"/>
          <w:sz w:val="18"/>
        </w:rPr>
        <w:t>во</w:t>
      </w:r>
      <w:r>
        <w:rPr>
          <w:rFonts w:ascii="Georgia" w:hAnsi="Georgia"/>
          <w:color w:val="231F20"/>
          <w:spacing w:val="-1"/>
          <w:sz w:val="18"/>
        </w:rPr>
        <w:t> </w:t>
      </w:r>
      <w:r>
        <w:rPr>
          <w:rFonts w:ascii="Georgia" w:hAnsi="Georgia"/>
          <w:color w:val="231F20"/>
          <w:spacing w:val="-2"/>
          <w:sz w:val="18"/>
        </w:rPr>
        <w:t>взаимодействии...</w:t>
      </w:r>
    </w:p>
    <w:p>
      <w:pPr>
        <w:pStyle w:val="BodyText"/>
        <w:spacing w:line="235" w:lineRule="auto" w:before="116"/>
      </w:pPr>
      <w:r>
        <w:rPr>
          <w:color w:val="231F20"/>
        </w:rPr>
        <w:t>Упражнение помогает развивать логическое мышление, составлять рассказ по картинкам, рассказывать устно на родном или на русском языке историю. Ведущий только слушает и поощряет, может задавать наводящие вопросы.</w:t>
      </w:r>
    </w:p>
    <w:p>
      <w:pPr>
        <w:pStyle w:val="BodyText"/>
        <w:spacing w:line="235" w:lineRule="auto" w:before="2"/>
      </w:pPr>
      <w:r>
        <w:rPr>
          <w:color w:val="231F20"/>
        </w:rPr>
        <w:t>Комикс можно превратить в мультфильм, записав голос детей на телефон и на- ложив его на картинки в любом видеоредакторе. В качестве примера можно ознако- миться с видеокомиксом «Родная земля»</w:t>
      </w:r>
      <w:r>
        <w:rPr>
          <w:color w:val="231F20"/>
          <w:vertAlign w:val="superscript"/>
        </w:rPr>
        <w:t>1</w:t>
      </w:r>
      <w:r>
        <w:rPr>
          <w:color w:val="231F20"/>
          <w:vertAlign w:val="baseline"/>
        </w:rPr>
        <w:t>, подготовленному в рамках проекта «Жи- вой язык» в Карелии.</w:t>
      </w:r>
    </w:p>
    <w:p>
      <w:pPr>
        <w:spacing w:line="228" w:lineRule="exact" w:before="55"/>
        <w:ind w:left="141" w:right="0" w:firstLine="0"/>
        <w:jc w:val="both"/>
        <w:rPr>
          <w:i/>
          <w:sz w:val="20"/>
        </w:rPr>
      </w:pPr>
      <w:r>
        <w:rPr>
          <w:i/>
          <w:color w:val="231F20"/>
          <w:sz w:val="20"/>
        </w:rPr>
        <w:t>в)</w:t>
      </w:r>
      <w:r>
        <w:rPr>
          <w:i/>
          <w:color w:val="231F20"/>
          <w:spacing w:val="50"/>
          <w:sz w:val="20"/>
        </w:rPr>
        <w:t> </w:t>
      </w:r>
      <w:r>
        <w:rPr>
          <w:i/>
          <w:color w:val="231F20"/>
          <w:sz w:val="20"/>
        </w:rPr>
        <w:t>«Комикс-</w:t>
      </w:r>
      <w:r>
        <w:rPr>
          <w:i/>
          <w:color w:val="231F20"/>
          <w:spacing w:val="-2"/>
          <w:sz w:val="20"/>
        </w:rPr>
        <w:t>перевод»</w:t>
      </w:r>
    </w:p>
    <w:p>
      <w:pPr>
        <w:pStyle w:val="BodyText"/>
        <w:spacing w:line="235" w:lineRule="auto" w:before="2"/>
      </w:pPr>
      <w:r>
        <w:rPr>
          <w:color w:val="231F20"/>
        </w:rPr>
        <w:t>Подготовка: скачать комиксы из 4 кадров</w:t>
      </w:r>
      <w:r>
        <w:rPr>
          <w:color w:val="231F20"/>
          <w:vertAlign w:val="superscript"/>
        </w:rPr>
        <w:t>2</w:t>
      </w:r>
      <w:r>
        <w:rPr>
          <w:color w:val="231F20"/>
          <w:vertAlign w:val="baseline"/>
        </w:rPr>
        <w:t>, в программе фоторедактор удалить текст в babble. Далее распечатать в формате А4.</w:t>
      </w:r>
    </w:p>
    <w:p>
      <w:pPr>
        <w:pStyle w:val="BodyText"/>
        <w:spacing w:line="235" w:lineRule="auto" w:before="1"/>
      </w:pPr>
      <w:r>
        <w:rPr>
          <w:color w:val="231F20"/>
        </w:rPr>
        <w:t>Перед</w:t>
      </w:r>
      <w:r>
        <w:rPr>
          <w:color w:val="231F20"/>
          <w:spacing w:val="-5"/>
        </w:rPr>
        <w:t> </w:t>
      </w:r>
      <w:r>
        <w:rPr>
          <w:color w:val="231F20"/>
        </w:rPr>
        <w:t>началом</w:t>
      </w:r>
      <w:r>
        <w:rPr>
          <w:color w:val="231F20"/>
          <w:spacing w:val="-5"/>
        </w:rPr>
        <w:t> </w:t>
      </w:r>
      <w:r>
        <w:rPr>
          <w:color w:val="231F20"/>
        </w:rPr>
        <w:t>работы</w:t>
      </w:r>
      <w:r>
        <w:rPr>
          <w:color w:val="231F20"/>
          <w:spacing w:val="-5"/>
        </w:rPr>
        <w:t> </w:t>
      </w:r>
      <w:r>
        <w:rPr>
          <w:color w:val="231F20"/>
        </w:rPr>
        <w:t>показать</w:t>
      </w:r>
      <w:r>
        <w:rPr>
          <w:color w:val="231F20"/>
          <w:spacing w:val="-5"/>
        </w:rPr>
        <w:t> </w:t>
      </w:r>
      <w:r>
        <w:rPr>
          <w:color w:val="231F20"/>
        </w:rPr>
        <w:t>детям</w:t>
      </w:r>
      <w:r>
        <w:rPr>
          <w:color w:val="231F20"/>
          <w:spacing w:val="-5"/>
        </w:rPr>
        <w:t> </w:t>
      </w:r>
      <w:r>
        <w:rPr>
          <w:color w:val="231F20"/>
        </w:rPr>
        <w:t>разницу</w:t>
      </w:r>
      <w:r>
        <w:rPr>
          <w:color w:val="231F20"/>
          <w:spacing w:val="-5"/>
        </w:rPr>
        <w:t> </w:t>
      </w:r>
      <w:r>
        <w:rPr>
          <w:color w:val="231F20"/>
        </w:rPr>
        <w:t>между</w:t>
      </w:r>
      <w:r>
        <w:rPr>
          <w:color w:val="231F20"/>
          <w:spacing w:val="-5"/>
        </w:rPr>
        <w:t> </w:t>
      </w:r>
      <w:r>
        <w:rPr>
          <w:color w:val="231F20"/>
        </w:rPr>
        <w:t>баблами</w:t>
      </w:r>
      <w:r>
        <w:rPr>
          <w:color w:val="231F20"/>
          <w:spacing w:val="-5"/>
        </w:rPr>
        <w:t> </w:t>
      </w:r>
      <w:r>
        <w:rPr>
          <w:color w:val="231F20"/>
        </w:rPr>
        <w:t>речи</w:t>
      </w:r>
      <w:r>
        <w:rPr>
          <w:color w:val="231F20"/>
          <w:spacing w:val="-5"/>
        </w:rPr>
        <w:t> </w:t>
      </w:r>
      <w:r>
        <w:rPr>
          <w:color w:val="231F20"/>
        </w:rPr>
        <w:t>в</w:t>
      </w:r>
      <w:r>
        <w:rPr>
          <w:color w:val="231F20"/>
          <w:spacing w:val="-5"/>
        </w:rPr>
        <w:t> </w:t>
      </w:r>
      <w:r>
        <w:rPr>
          <w:color w:val="231F20"/>
        </w:rPr>
        <w:t>комиксах</w:t>
      </w:r>
      <w:r>
        <w:rPr>
          <w:color w:val="231F20"/>
          <w:spacing w:val="-5"/>
        </w:rPr>
        <w:t> </w:t>
      </w:r>
      <w:r>
        <w:rPr>
          <w:color w:val="231F20"/>
        </w:rPr>
        <w:t>и облачками</w:t>
      </w:r>
      <w:r>
        <w:rPr>
          <w:color w:val="231F20"/>
          <w:spacing w:val="-11"/>
        </w:rPr>
        <w:t> </w:t>
      </w:r>
      <w:r>
        <w:rPr>
          <w:color w:val="231F20"/>
        </w:rPr>
        <w:t>мысли</w:t>
      </w:r>
      <w:r>
        <w:rPr>
          <w:color w:val="231F20"/>
          <w:spacing w:val="-10"/>
        </w:rPr>
        <w:t> </w:t>
      </w:r>
      <w:r>
        <w:rPr>
          <w:color w:val="231F20"/>
        </w:rPr>
        <w:t>(если</w:t>
      </w:r>
      <w:r>
        <w:rPr>
          <w:color w:val="231F20"/>
          <w:spacing w:val="-11"/>
        </w:rPr>
        <w:t> </w:t>
      </w:r>
      <w:r>
        <w:rPr>
          <w:color w:val="231F20"/>
        </w:rPr>
        <w:t>в</w:t>
      </w:r>
      <w:r>
        <w:rPr>
          <w:color w:val="231F20"/>
          <w:spacing w:val="-11"/>
        </w:rPr>
        <w:t> </w:t>
      </w:r>
      <w:r>
        <w:rPr>
          <w:color w:val="231F20"/>
        </w:rPr>
        <w:t>комиксе</w:t>
      </w:r>
      <w:r>
        <w:rPr>
          <w:color w:val="231F20"/>
          <w:spacing w:val="-10"/>
        </w:rPr>
        <w:t> </w:t>
      </w:r>
      <w:r>
        <w:rPr>
          <w:color w:val="231F20"/>
        </w:rPr>
        <w:t>это</w:t>
      </w:r>
      <w:r>
        <w:rPr>
          <w:color w:val="231F20"/>
          <w:spacing w:val="-11"/>
        </w:rPr>
        <w:t> </w:t>
      </w:r>
      <w:r>
        <w:rPr>
          <w:color w:val="231F20"/>
        </w:rPr>
        <w:t>есть).</w:t>
      </w:r>
      <w:r>
        <w:rPr>
          <w:color w:val="231F20"/>
          <w:spacing w:val="-11"/>
        </w:rPr>
        <w:t> </w:t>
      </w:r>
      <w:r>
        <w:rPr>
          <w:color w:val="231F20"/>
        </w:rPr>
        <w:t>Нужно</w:t>
      </w:r>
      <w:r>
        <w:rPr>
          <w:color w:val="231F20"/>
          <w:spacing w:val="-10"/>
        </w:rPr>
        <w:t> </w:t>
      </w:r>
      <w:r>
        <w:rPr>
          <w:color w:val="231F20"/>
        </w:rPr>
        <w:t>попросить</w:t>
      </w:r>
      <w:r>
        <w:rPr>
          <w:color w:val="231F20"/>
          <w:spacing w:val="-11"/>
        </w:rPr>
        <w:t> </w:t>
      </w:r>
      <w:r>
        <w:rPr>
          <w:color w:val="231F20"/>
        </w:rPr>
        <w:t>детей</w:t>
      </w:r>
      <w:r>
        <w:rPr>
          <w:color w:val="231F20"/>
          <w:spacing w:val="-11"/>
        </w:rPr>
        <w:t> </w:t>
      </w:r>
      <w:r>
        <w:rPr>
          <w:color w:val="231F20"/>
        </w:rPr>
        <w:t>писать</w:t>
      </w:r>
      <w:r>
        <w:rPr>
          <w:color w:val="231F20"/>
          <w:spacing w:val="-11"/>
        </w:rPr>
        <w:t> </w:t>
      </w:r>
      <w:r>
        <w:rPr>
          <w:color w:val="231F20"/>
        </w:rPr>
        <w:t>понятны- ми</w:t>
      </w:r>
      <w:r>
        <w:rPr>
          <w:color w:val="231F20"/>
          <w:spacing w:val="-5"/>
        </w:rPr>
        <w:t> </w:t>
      </w:r>
      <w:r>
        <w:rPr>
          <w:color w:val="231F20"/>
        </w:rPr>
        <w:t>печатными</w:t>
      </w:r>
      <w:r>
        <w:rPr>
          <w:color w:val="231F20"/>
          <w:spacing w:val="-5"/>
        </w:rPr>
        <w:t> </w:t>
      </w:r>
      <w:r>
        <w:rPr>
          <w:color w:val="231F20"/>
        </w:rPr>
        <w:t>буквами,</w:t>
      </w:r>
      <w:r>
        <w:rPr>
          <w:color w:val="231F20"/>
          <w:spacing w:val="-5"/>
        </w:rPr>
        <w:t> </w:t>
      </w:r>
      <w:r>
        <w:rPr>
          <w:color w:val="231F20"/>
        </w:rPr>
        <w:t>чтобы</w:t>
      </w:r>
      <w:r>
        <w:rPr>
          <w:color w:val="231F20"/>
          <w:spacing w:val="-5"/>
        </w:rPr>
        <w:t> </w:t>
      </w:r>
      <w:r>
        <w:rPr>
          <w:color w:val="231F20"/>
        </w:rPr>
        <w:t>другие</w:t>
      </w:r>
      <w:r>
        <w:rPr>
          <w:color w:val="231F20"/>
          <w:spacing w:val="-4"/>
        </w:rPr>
        <w:t> </w:t>
      </w:r>
      <w:r>
        <w:rPr>
          <w:color w:val="231F20"/>
        </w:rPr>
        <w:t>дети</w:t>
      </w:r>
      <w:r>
        <w:rPr>
          <w:color w:val="231F20"/>
          <w:spacing w:val="-5"/>
        </w:rPr>
        <w:t> </w:t>
      </w:r>
      <w:r>
        <w:rPr>
          <w:color w:val="231F20"/>
        </w:rPr>
        <w:t>могли</w:t>
      </w:r>
      <w:r>
        <w:rPr>
          <w:color w:val="231F20"/>
          <w:spacing w:val="-5"/>
        </w:rPr>
        <w:t> </w:t>
      </w:r>
      <w:r>
        <w:rPr>
          <w:color w:val="231F20"/>
        </w:rPr>
        <w:t>это</w:t>
      </w:r>
      <w:r>
        <w:rPr>
          <w:color w:val="231F20"/>
          <w:spacing w:val="-5"/>
        </w:rPr>
        <w:t> </w:t>
      </w:r>
      <w:r>
        <w:rPr>
          <w:color w:val="231F20"/>
        </w:rPr>
        <w:t>прочитать.</w:t>
      </w:r>
      <w:r>
        <w:rPr>
          <w:color w:val="231F20"/>
          <w:spacing w:val="-5"/>
        </w:rPr>
        <w:t> </w:t>
      </w:r>
      <w:r>
        <w:rPr>
          <w:color w:val="231F20"/>
        </w:rPr>
        <w:t>Вместо</w:t>
      </w:r>
      <w:r>
        <w:rPr>
          <w:color w:val="231F20"/>
          <w:spacing w:val="-5"/>
        </w:rPr>
        <w:t> </w:t>
      </w:r>
      <w:r>
        <w:rPr>
          <w:color w:val="231F20"/>
        </w:rPr>
        <w:t>слов</w:t>
      </w:r>
      <w:r>
        <w:rPr>
          <w:color w:val="231F20"/>
          <w:spacing w:val="-5"/>
        </w:rPr>
        <w:t> </w:t>
      </w:r>
      <w:r>
        <w:rPr>
          <w:color w:val="231F20"/>
        </w:rPr>
        <w:t>можно использовать картинки и символы!</w:t>
      </w:r>
    </w:p>
    <w:p>
      <w:pPr>
        <w:pStyle w:val="BodyText"/>
        <w:spacing w:line="235" w:lineRule="auto" w:before="3"/>
        <w:ind w:right="140"/>
      </w:pPr>
      <w:r>
        <w:rPr>
          <w:color w:val="231F20"/>
        </w:rPr>
        <w:t>После</w:t>
      </w:r>
      <w:r>
        <w:rPr>
          <w:color w:val="231F20"/>
          <w:spacing w:val="-8"/>
        </w:rPr>
        <w:t> </w:t>
      </w:r>
      <w:r>
        <w:rPr>
          <w:color w:val="231F20"/>
        </w:rPr>
        <w:t>подготовки</w:t>
      </w:r>
      <w:r>
        <w:rPr>
          <w:color w:val="231F20"/>
          <w:spacing w:val="-8"/>
        </w:rPr>
        <w:t> </w:t>
      </w:r>
      <w:r>
        <w:rPr>
          <w:color w:val="231F20"/>
        </w:rPr>
        <w:t>дети</w:t>
      </w:r>
      <w:r>
        <w:rPr>
          <w:color w:val="231F20"/>
          <w:spacing w:val="-8"/>
        </w:rPr>
        <w:t> </w:t>
      </w:r>
      <w:r>
        <w:rPr>
          <w:color w:val="231F20"/>
        </w:rPr>
        <w:t>в</w:t>
      </w:r>
      <w:r>
        <w:rPr>
          <w:color w:val="231F20"/>
          <w:spacing w:val="-8"/>
        </w:rPr>
        <w:t> </w:t>
      </w:r>
      <w:r>
        <w:rPr>
          <w:color w:val="231F20"/>
        </w:rPr>
        <w:t>группе</w:t>
      </w:r>
      <w:r>
        <w:rPr>
          <w:color w:val="231F20"/>
          <w:spacing w:val="-8"/>
        </w:rPr>
        <w:t> </w:t>
      </w:r>
      <w:r>
        <w:rPr>
          <w:color w:val="231F20"/>
        </w:rPr>
        <w:t>из</w:t>
      </w:r>
      <w:r>
        <w:rPr>
          <w:color w:val="231F20"/>
          <w:spacing w:val="-8"/>
        </w:rPr>
        <w:t> </w:t>
      </w:r>
      <w:r>
        <w:rPr>
          <w:color w:val="231F20"/>
        </w:rPr>
        <w:t>двух</w:t>
      </w:r>
      <w:r>
        <w:rPr>
          <w:color w:val="231F20"/>
          <w:spacing w:val="-8"/>
        </w:rPr>
        <w:t> </w:t>
      </w:r>
      <w:r>
        <w:rPr>
          <w:color w:val="231F20"/>
        </w:rPr>
        <w:t>человек</w:t>
      </w:r>
      <w:r>
        <w:rPr>
          <w:color w:val="231F20"/>
          <w:spacing w:val="-8"/>
        </w:rPr>
        <w:t> </w:t>
      </w:r>
      <w:r>
        <w:rPr>
          <w:color w:val="231F20"/>
        </w:rPr>
        <w:t>сами</w:t>
      </w:r>
      <w:r>
        <w:rPr>
          <w:color w:val="231F20"/>
          <w:spacing w:val="-8"/>
        </w:rPr>
        <w:t> </w:t>
      </w:r>
      <w:r>
        <w:rPr>
          <w:color w:val="231F20"/>
        </w:rPr>
        <w:t>придумывают</w:t>
      </w:r>
      <w:r>
        <w:rPr>
          <w:color w:val="231F20"/>
          <w:spacing w:val="-8"/>
        </w:rPr>
        <w:t> </w:t>
      </w:r>
      <w:r>
        <w:rPr>
          <w:color w:val="231F20"/>
        </w:rPr>
        <w:t>и</w:t>
      </w:r>
      <w:r>
        <w:rPr>
          <w:color w:val="231F20"/>
          <w:spacing w:val="-8"/>
        </w:rPr>
        <w:t> </w:t>
      </w:r>
      <w:r>
        <w:rPr>
          <w:color w:val="231F20"/>
        </w:rPr>
        <w:t>вписывают реплики в баблы на родном или русском языке.</w:t>
      </w:r>
    </w:p>
    <w:p>
      <w:pPr>
        <w:spacing w:line="228" w:lineRule="exact" w:before="110"/>
        <w:ind w:left="425" w:right="0" w:firstLine="0"/>
        <w:jc w:val="both"/>
        <w:rPr>
          <w:b/>
          <w:sz w:val="20"/>
        </w:rPr>
      </w:pPr>
      <w:r>
        <w:rPr>
          <w:b/>
          <w:color w:val="231F20"/>
          <w:sz w:val="20"/>
        </w:rPr>
        <w:t>Методы,</w:t>
      </w:r>
      <w:r>
        <w:rPr>
          <w:b/>
          <w:color w:val="231F20"/>
          <w:spacing w:val="-11"/>
          <w:sz w:val="20"/>
        </w:rPr>
        <w:t> </w:t>
      </w:r>
      <w:r>
        <w:rPr>
          <w:b/>
          <w:color w:val="231F20"/>
          <w:sz w:val="20"/>
        </w:rPr>
        <w:t>подходящие</w:t>
      </w:r>
      <w:r>
        <w:rPr>
          <w:b/>
          <w:color w:val="231F20"/>
          <w:spacing w:val="-8"/>
          <w:sz w:val="20"/>
        </w:rPr>
        <w:t> </w:t>
      </w:r>
      <w:r>
        <w:rPr>
          <w:b/>
          <w:color w:val="231F20"/>
          <w:sz w:val="20"/>
        </w:rPr>
        <w:t>для</w:t>
      </w:r>
      <w:r>
        <w:rPr>
          <w:b/>
          <w:color w:val="231F20"/>
          <w:spacing w:val="-8"/>
          <w:sz w:val="20"/>
        </w:rPr>
        <w:t> </w:t>
      </w:r>
      <w:r>
        <w:rPr>
          <w:b/>
          <w:color w:val="231F20"/>
          <w:sz w:val="20"/>
        </w:rPr>
        <w:t>работы</w:t>
      </w:r>
      <w:r>
        <w:rPr>
          <w:b/>
          <w:color w:val="231F20"/>
          <w:spacing w:val="-9"/>
          <w:sz w:val="20"/>
        </w:rPr>
        <w:t> </w:t>
      </w:r>
      <w:r>
        <w:rPr>
          <w:b/>
          <w:color w:val="231F20"/>
          <w:sz w:val="20"/>
        </w:rPr>
        <w:t>с</w:t>
      </w:r>
      <w:r>
        <w:rPr>
          <w:b/>
          <w:color w:val="231F20"/>
          <w:spacing w:val="-9"/>
          <w:sz w:val="20"/>
        </w:rPr>
        <w:t> </w:t>
      </w:r>
      <w:r>
        <w:rPr>
          <w:b/>
          <w:sz w:val="20"/>
        </w:rPr>
        <w:t>подростк</w:t>
      </w:r>
      <w:r>
        <w:rPr>
          <w:b/>
          <w:color w:val="231F20"/>
          <w:sz w:val="20"/>
        </w:rPr>
        <w:t>ами</w:t>
      </w:r>
      <w:r>
        <w:rPr>
          <w:b/>
          <w:color w:val="231F20"/>
          <w:spacing w:val="-9"/>
          <w:sz w:val="20"/>
        </w:rPr>
        <w:t> </w:t>
      </w:r>
      <w:r>
        <w:rPr>
          <w:b/>
          <w:color w:val="231F20"/>
          <w:sz w:val="20"/>
        </w:rPr>
        <w:t>с</w:t>
      </w:r>
      <w:r>
        <w:rPr>
          <w:b/>
          <w:color w:val="231F20"/>
          <w:spacing w:val="-8"/>
          <w:sz w:val="20"/>
        </w:rPr>
        <w:t> </w:t>
      </w:r>
      <w:r>
        <w:rPr>
          <w:b/>
          <w:color w:val="231F20"/>
          <w:sz w:val="20"/>
        </w:rPr>
        <w:t>миграционной</w:t>
      </w:r>
      <w:r>
        <w:rPr>
          <w:b/>
          <w:color w:val="231F20"/>
          <w:spacing w:val="-9"/>
          <w:sz w:val="20"/>
        </w:rPr>
        <w:t> </w:t>
      </w:r>
      <w:r>
        <w:rPr>
          <w:b/>
          <w:color w:val="231F20"/>
          <w:spacing w:val="-2"/>
          <w:sz w:val="20"/>
        </w:rPr>
        <w:t>историей</w:t>
      </w:r>
    </w:p>
    <w:p>
      <w:pPr>
        <w:pStyle w:val="BodyText"/>
        <w:spacing w:line="235" w:lineRule="auto" w:before="2"/>
      </w:pPr>
      <w:r>
        <w:rPr>
          <w:color w:val="231F20"/>
        </w:rPr>
        <w:t>Рекомендуется</w:t>
      </w:r>
      <w:r>
        <w:rPr>
          <w:color w:val="231F20"/>
          <w:spacing w:val="-4"/>
        </w:rPr>
        <w:t> </w:t>
      </w:r>
      <w:r>
        <w:rPr>
          <w:color w:val="231F20"/>
        </w:rPr>
        <w:t>использовать</w:t>
      </w:r>
      <w:r>
        <w:rPr>
          <w:color w:val="231F20"/>
          <w:spacing w:val="-4"/>
        </w:rPr>
        <w:t> </w:t>
      </w:r>
      <w:r>
        <w:rPr>
          <w:color w:val="231F20"/>
        </w:rPr>
        <w:t>техники,</w:t>
      </w:r>
      <w:r>
        <w:rPr>
          <w:color w:val="231F20"/>
          <w:spacing w:val="-4"/>
        </w:rPr>
        <w:t> </w:t>
      </w:r>
      <w:r>
        <w:rPr>
          <w:color w:val="231F20"/>
        </w:rPr>
        <w:t>описанные</w:t>
      </w:r>
      <w:r>
        <w:rPr>
          <w:color w:val="231F20"/>
          <w:spacing w:val="-4"/>
        </w:rPr>
        <w:t> </w:t>
      </w:r>
      <w:r>
        <w:rPr>
          <w:color w:val="231F20"/>
        </w:rPr>
        <w:t>в</w:t>
      </w:r>
      <w:r>
        <w:rPr>
          <w:color w:val="231F20"/>
          <w:spacing w:val="-4"/>
        </w:rPr>
        <w:t> </w:t>
      </w:r>
      <w:r>
        <w:rPr>
          <w:color w:val="231F20"/>
        </w:rPr>
        <w:t>пособии</w:t>
      </w:r>
      <w:r>
        <w:rPr>
          <w:color w:val="231F20"/>
          <w:spacing w:val="-4"/>
        </w:rPr>
        <w:t> </w:t>
      </w:r>
      <w:r>
        <w:rPr>
          <w:color w:val="231F20"/>
        </w:rPr>
        <w:t>«Комиксы</w:t>
      </w:r>
      <w:r>
        <w:rPr>
          <w:color w:val="231F20"/>
          <w:spacing w:val="-4"/>
        </w:rPr>
        <w:t> </w:t>
      </w:r>
      <w:r>
        <w:rPr>
          <w:color w:val="231F20"/>
        </w:rPr>
        <w:t>из</w:t>
      </w:r>
      <w:r>
        <w:rPr>
          <w:color w:val="231F20"/>
          <w:spacing w:val="-4"/>
        </w:rPr>
        <w:t> </w:t>
      </w:r>
      <w:r>
        <w:rPr>
          <w:color w:val="231F20"/>
        </w:rPr>
        <w:t>разных стран за респект и уважуху. Как работать с комиксами проекта «Респект 2.0»</w:t>
      </w:r>
      <w:r>
        <w:rPr>
          <w:color w:val="231F20"/>
          <w:vertAlign w:val="superscript"/>
        </w:rPr>
        <w:t>3</w:t>
      </w:r>
      <w:r>
        <w:rPr>
          <w:color w:val="231F20"/>
          <w:vertAlign w:val="baseline"/>
        </w:rPr>
        <w:t>. Это такие техники, как </w:t>
      </w:r>
      <w:r>
        <w:rPr>
          <w:vertAlign w:val="baseline"/>
        </w:rPr>
        <w:t>«Моя жизнь» (стр. 35), «Я и Он» (стр. 36), «Ссора» (стр. 37).</w:t>
      </w:r>
    </w:p>
    <w:p>
      <w:pPr>
        <w:spacing w:line="227" w:lineRule="exact" w:before="51"/>
        <w:ind w:left="141" w:right="0" w:firstLine="0"/>
        <w:jc w:val="both"/>
        <w:rPr>
          <w:i/>
          <w:sz w:val="20"/>
        </w:rPr>
      </w:pPr>
      <w:r>
        <w:rPr>
          <w:i/>
          <w:sz w:val="20"/>
        </w:rPr>
        <w:t>а)</w:t>
      </w:r>
      <w:r>
        <w:rPr>
          <w:i/>
          <w:spacing w:val="54"/>
          <w:sz w:val="20"/>
        </w:rPr>
        <w:t> </w:t>
      </w:r>
      <w:r>
        <w:rPr>
          <w:i/>
          <w:sz w:val="20"/>
        </w:rPr>
        <w:t>Техника</w:t>
      </w:r>
      <w:r>
        <w:rPr>
          <w:i/>
          <w:spacing w:val="-5"/>
          <w:sz w:val="20"/>
        </w:rPr>
        <w:t> </w:t>
      </w:r>
      <w:r>
        <w:rPr>
          <w:i/>
          <w:sz w:val="20"/>
        </w:rPr>
        <w:t>«Жизнь</w:t>
      </w:r>
      <w:r>
        <w:rPr>
          <w:i/>
          <w:spacing w:val="-5"/>
          <w:sz w:val="20"/>
        </w:rPr>
        <w:t> </w:t>
      </w:r>
      <w:r>
        <w:rPr>
          <w:i/>
          <w:spacing w:val="-2"/>
          <w:sz w:val="20"/>
        </w:rPr>
        <w:t>другого»</w:t>
      </w:r>
    </w:p>
    <w:p>
      <w:pPr>
        <w:pStyle w:val="BodyText"/>
        <w:spacing w:line="224" w:lineRule="exact"/>
        <w:ind w:left="425" w:right="0" w:firstLine="0"/>
      </w:pPr>
      <w:r>
        <w:rPr/>
        <w:t>Для</w:t>
      </w:r>
      <w:r>
        <w:rPr>
          <w:spacing w:val="-4"/>
        </w:rPr>
        <w:t> </w:t>
      </w:r>
      <w:r>
        <w:rPr/>
        <w:t>нее</w:t>
      </w:r>
      <w:r>
        <w:rPr>
          <w:spacing w:val="-4"/>
        </w:rPr>
        <w:t> </w:t>
      </w:r>
      <w:r>
        <w:rPr/>
        <w:t>используются</w:t>
      </w:r>
      <w:r>
        <w:rPr>
          <w:spacing w:val="-4"/>
        </w:rPr>
        <w:t> </w:t>
      </w:r>
      <w:r>
        <w:rPr/>
        <w:t>2</w:t>
      </w:r>
      <w:r>
        <w:rPr>
          <w:spacing w:val="-4"/>
        </w:rPr>
        <w:t> </w:t>
      </w:r>
      <w:r>
        <w:rPr/>
        <w:t>листа</w:t>
      </w:r>
      <w:r>
        <w:rPr>
          <w:spacing w:val="-3"/>
        </w:rPr>
        <w:t> </w:t>
      </w:r>
      <w:r>
        <w:rPr/>
        <w:t>с</w:t>
      </w:r>
      <w:r>
        <w:rPr>
          <w:spacing w:val="-4"/>
        </w:rPr>
        <w:t> </w:t>
      </w:r>
      <w:r>
        <w:rPr/>
        <w:t>шаблоном</w:t>
      </w:r>
      <w:r>
        <w:rPr>
          <w:spacing w:val="-4"/>
        </w:rPr>
        <w:t> </w:t>
      </w:r>
      <w:r>
        <w:rPr/>
        <w:t>комикса</w:t>
      </w:r>
      <w:r>
        <w:rPr>
          <w:spacing w:val="-3"/>
        </w:rPr>
        <w:t> </w:t>
      </w:r>
      <w:r>
        <w:rPr/>
        <w:t>из</w:t>
      </w:r>
      <w:r>
        <w:rPr>
          <w:spacing w:val="-4"/>
        </w:rPr>
        <w:t> </w:t>
      </w:r>
      <w:r>
        <w:rPr/>
        <w:t>6</w:t>
      </w:r>
      <w:r>
        <w:rPr>
          <w:spacing w:val="-3"/>
        </w:rPr>
        <w:t> </w:t>
      </w:r>
      <w:r>
        <w:rPr>
          <w:spacing w:val="-2"/>
        </w:rPr>
        <w:t>кадров.</w:t>
      </w:r>
    </w:p>
    <w:p>
      <w:pPr>
        <w:pStyle w:val="BodyText"/>
        <w:spacing w:line="232" w:lineRule="auto" w:before="3"/>
      </w:pPr>
      <w:r>
        <w:rPr/>
        <w:t>Подросткам демонстрируется фотография человека – представителя социальной группы, по отношению к которой у учащихся класса присутствуют негативные сте- реотипы и предрассудки.</w:t>
      </w:r>
    </w:p>
    <w:p>
      <w:pPr>
        <w:pStyle w:val="BodyText"/>
        <w:spacing w:line="232" w:lineRule="auto" w:before="2"/>
      </w:pPr>
      <w:r>
        <w:rPr/>
        <w:t>Классу предлагается подумать: сколько человеку лет? Откуда он приехал? Чем занимается / зарабатывает на жизнь?</w:t>
      </w:r>
    </w:p>
    <w:p>
      <w:pPr>
        <w:pStyle w:val="BodyText"/>
        <w:spacing w:line="232" w:lineRule="auto" w:before="2"/>
      </w:pPr>
      <w:r>
        <w:rPr/>
        <w:t>Класс</w:t>
      </w:r>
      <w:r>
        <w:rPr>
          <w:spacing w:val="-7"/>
        </w:rPr>
        <w:t> </w:t>
      </w:r>
      <w:r>
        <w:rPr/>
        <w:t>делится</w:t>
      </w:r>
      <w:r>
        <w:rPr>
          <w:spacing w:val="-7"/>
        </w:rPr>
        <w:t> </w:t>
      </w:r>
      <w:r>
        <w:rPr/>
        <w:t>на</w:t>
      </w:r>
      <w:r>
        <w:rPr>
          <w:spacing w:val="-7"/>
        </w:rPr>
        <w:t> </w:t>
      </w:r>
      <w:r>
        <w:rPr/>
        <w:t>группы</w:t>
      </w:r>
      <w:r>
        <w:rPr>
          <w:spacing w:val="-7"/>
        </w:rPr>
        <w:t> </w:t>
      </w:r>
      <w:r>
        <w:rPr/>
        <w:t>по</w:t>
      </w:r>
      <w:r>
        <w:rPr>
          <w:spacing w:val="-7"/>
        </w:rPr>
        <w:t> </w:t>
      </w:r>
      <w:r>
        <w:rPr/>
        <w:t>два</w:t>
      </w:r>
      <w:r>
        <w:rPr>
          <w:spacing w:val="-7"/>
        </w:rPr>
        <w:t> </w:t>
      </w:r>
      <w:r>
        <w:rPr/>
        <w:t>человека</w:t>
      </w:r>
      <w:r>
        <w:rPr>
          <w:spacing w:val="-7"/>
        </w:rPr>
        <w:t> </w:t>
      </w:r>
      <w:r>
        <w:rPr/>
        <w:t>(одна</w:t>
      </w:r>
      <w:r>
        <w:rPr>
          <w:spacing w:val="-7"/>
        </w:rPr>
        <w:t> </w:t>
      </w:r>
      <w:r>
        <w:rPr/>
        <w:t>парта).</w:t>
      </w:r>
      <w:r>
        <w:rPr>
          <w:spacing w:val="-7"/>
        </w:rPr>
        <w:t> </w:t>
      </w:r>
      <w:r>
        <w:rPr/>
        <w:t>Каждая</w:t>
      </w:r>
      <w:r>
        <w:rPr>
          <w:spacing w:val="-7"/>
        </w:rPr>
        <w:t> </w:t>
      </w:r>
      <w:r>
        <w:rPr/>
        <w:t>получает</w:t>
      </w:r>
      <w:r>
        <w:rPr>
          <w:spacing w:val="-7"/>
        </w:rPr>
        <w:t> </w:t>
      </w:r>
      <w:r>
        <w:rPr/>
        <w:t>фотогра- фию и мини-сценарий комикса из 6 картинок:</w:t>
      </w:r>
    </w:p>
    <w:p>
      <w:pPr>
        <w:pStyle w:val="ListParagraph"/>
        <w:numPr>
          <w:ilvl w:val="0"/>
          <w:numId w:val="141"/>
        </w:numPr>
        <w:tabs>
          <w:tab w:pos="708" w:val="left" w:leader="none"/>
        </w:tabs>
        <w:spacing w:line="223" w:lineRule="exact" w:before="0" w:after="0"/>
        <w:ind w:left="708" w:right="0" w:hanging="283"/>
        <w:jc w:val="left"/>
        <w:rPr>
          <w:sz w:val="20"/>
        </w:rPr>
      </w:pPr>
      <w:r>
        <w:rPr>
          <w:sz w:val="20"/>
        </w:rPr>
        <w:t>Жил-был</w:t>
      </w:r>
      <w:r>
        <w:rPr>
          <w:spacing w:val="-3"/>
          <w:sz w:val="20"/>
        </w:rPr>
        <w:t> </w:t>
      </w:r>
      <w:r>
        <w:rPr>
          <w:sz w:val="20"/>
        </w:rPr>
        <w:t>...</w:t>
      </w:r>
      <w:r>
        <w:rPr>
          <w:spacing w:val="-2"/>
          <w:sz w:val="20"/>
        </w:rPr>
        <w:t> </w:t>
      </w:r>
      <w:r>
        <w:rPr>
          <w:sz w:val="20"/>
        </w:rPr>
        <w:t>(имя,</w:t>
      </w:r>
      <w:r>
        <w:rPr>
          <w:spacing w:val="-2"/>
          <w:sz w:val="20"/>
        </w:rPr>
        <w:t> </w:t>
      </w:r>
      <w:r>
        <w:rPr>
          <w:sz w:val="20"/>
        </w:rPr>
        <w:t>возраст,</w:t>
      </w:r>
      <w:r>
        <w:rPr>
          <w:spacing w:val="-2"/>
          <w:sz w:val="20"/>
        </w:rPr>
        <w:t> </w:t>
      </w:r>
      <w:r>
        <w:rPr>
          <w:sz w:val="20"/>
        </w:rPr>
        <w:t>страна</w:t>
      </w:r>
      <w:r>
        <w:rPr>
          <w:spacing w:val="-2"/>
          <w:sz w:val="20"/>
        </w:rPr>
        <w:t> </w:t>
      </w:r>
      <w:r>
        <w:rPr>
          <w:sz w:val="20"/>
        </w:rPr>
        <w:t>–</w:t>
      </w:r>
      <w:r>
        <w:rPr>
          <w:spacing w:val="-3"/>
          <w:sz w:val="20"/>
        </w:rPr>
        <w:t> </w:t>
      </w:r>
      <w:r>
        <w:rPr>
          <w:sz w:val="20"/>
        </w:rPr>
        <w:t>все,</w:t>
      </w:r>
      <w:r>
        <w:rPr>
          <w:spacing w:val="-2"/>
          <w:sz w:val="20"/>
        </w:rPr>
        <w:t> </w:t>
      </w:r>
      <w:r>
        <w:rPr>
          <w:sz w:val="20"/>
        </w:rPr>
        <w:t>что</w:t>
      </w:r>
      <w:r>
        <w:rPr>
          <w:spacing w:val="-2"/>
          <w:sz w:val="20"/>
        </w:rPr>
        <w:t> </w:t>
      </w:r>
      <w:r>
        <w:rPr>
          <w:sz w:val="20"/>
        </w:rPr>
        <w:t>учащиеся</w:t>
      </w:r>
      <w:r>
        <w:rPr>
          <w:spacing w:val="-2"/>
          <w:sz w:val="20"/>
        </w:rPr>
        <w:t> </w:t>
      </w:r>
      <w:r>
        <w:rPr>
          <w:sz w:val="20"/>
        </w:rPr>
        <w:t>считают</w:t>
      </w:r>
      <w:r>
        <w:rPr>
          <w:spacing w:val="-2"/>
          <w:sz w:val="20"/>
        </w:rPr>
        <w:t> важным).</w:t>
      </w:r>
    </w:p>
    <w:p>
      <w:pPr>
        <w:pStyle w:val="ListParagraph"/>
        <w:numPr>
          <w:ilvl w:val="0"/>
          <w:numId w:val="141"/>
        </w:numPr>
        <w:tabs>
          <w:tab w:pos="708" w:val="left" w:leader="none"/>
        </w:tabs>
        <w:spacing w:line="224" w:lineRule="exact" w:before="0" w:after="0"/>
        <w:ind w:left="708" w:right="0" w:hanging="283"/>
        <w:jc w:val="left"/>
        <w:rPr>
          <w:sz w:val="20"/>
        </w:rPr>
      </w:pPr>
      <w:r>
        <w:rPr>
          <w:sz w:val="20"/>
        </w:rPr>
        <w:t>Его</w:t>
      </w:r>
      <w:r>
        <w:rPr>
          <w:spacing w:val="-6"/>
          <w:sz w:val="20"/>
        </w:rPr>
        <w:t> </w:t>
      </w:r>
      <w:r>
        <w:rPr>
          <w:spacing w:val="-2"/>
          <w:sz w:val="20"/>
        </w:rPr>
        <w:t>родители.</w:t>
      </w:r>
    </w:p>
    <w:p>
      <w:pPr>
        <w:pStyle w:val="ListParagraph"/>
        <w:numPr>
          <w:ilvl w:val="0"/>
          <w:numId w:val="141"/>
        </w:numPr>
        <w:tabs>
          <w:tab w:pos="708" w:val="left" w:leader="none"/>
        </w:tabs>
        <w:spacing w:line="224" w:lineRule="exact" w:before="0" w:after="0"/>
        <w:ind w:left="708" w:right="0" w:hanging="283"/>
        <w:jc w:val="left"/>
        <w:rPr>
          <w:sz w:val="20"/>
        </w:rPr>
      </w:pPr>
      <w:r>
        <w:rPr>
          <w:sz w:val="20"/>
        </w:rPr>
        <w:t>Его</w:t>
      </w:r>
      <w:r>
        <w:rPr>
          <w:spacing w:val="-6"/>
          <w:sz w:val="20"/>
        </w:rPr>
        <w:t> </w:t>
      </w:r>
      <w:r>
        <w:rPr>
          <w:spacing w:val="-2"/>
          <w:sz w:val="20"/>
        </w:rPr>
        <w:t>друзья.</w:t>
      </w:r>
    </w:p>
    <w:p>
      <w:pPr>
        <w:pStyle w:val="ListParagraph"/>
        <w:numPr>
          <w:ilvl w:val="0"/>
          <w:numId w:val="141"/>
        </w:numPr>
        <w:tabs>
          <w:tab w:pos="708" w:val="left" w:leader="none"/>
        </w:tabs>
        <w:spacing w:line="224" w:lineRule="exact" w:before="0" w:after="0"/>
        <w:ind w:left="708" w:right="0" w:hanging="283"/>
        <w:jc w:val="left"/>
        <w:rPr>
          <w:sz w:val="20"/>
        </w:rPr>
      </w:pPr>
      <w:r>
        <w:rPr>
          <w:sz w:val="20"/>
        </w:rPr>
        <w:t>Его</w:t>
      </w:r>
      <w:r>
        <w:rPr>
          <w:spacing w:val="-8"/>
          <w:sz w:val="20"/>
        </w:rPr>
        <w:t> </w:t>
      </w:r>
      <w:r>
        <w:rPr>
          <w:spacing w:val="-2"/>
          <w:sz w:val="20"/>
        </w:rPr>
        <w:t>мечты.</w:t>
      </w:r>
    </w:p>
    <w:p>
      <w:pPr>
        <w:pStyle w:val="ListParagraph"/>
        <w:numPr>
          <w:ilvl w:val="0"/>
          <w:numId w:val="141"/>
        </w:numPr>
        <w:tabs>
          <w:tab w:pos="708" w:val="left" w:leader="none"/>
        </w:tabs>
        <w:spacing w:line="224" w:lineRule="exact" w:before="0" w:after="0"/>
        <w:ind w:left="708" w:right="0" w:hanging="283"/>
        <w:jc w:val="left"/>
        <w:rPr>
          <w:sz w:val="20"/>
        </w:rPr>
      </w:pPr>
      <w:r>
        <w:rPr>
          <w:sz w:val="20"/>
        </w:rPr>
        <w:t>Его</w:t>
      </w:r>
      <w:r>
        <w:rPr>
          <w:spacing w:val="-6"/>
          <w:sz w:val="20"/>
        </w:rPr>
        <w:t> </w:t>
      </w:r>
      <w:r>
        <w:rPr>
          <w:spacing w:val="-2"/>
          <w:sz w:val="20"/>
        </w:rPr>
        <w:t>страхи.</w:t>
      </w:r>
    </w:p>
    <w:p>
      <w:pPr>
        <w:pStyle w:val="ListParagraph"/>
        <w:numPr>
          <w:ilvl w:val="0"/>
          <w:numId w:val="141"/>
        </w:numPr>
        <w:tabs>
          <w:tab w:pos="708" w:val="left" w:leader="none"/>
        </w:tabs>
        <w:spacing w:line="224" w:lineRule="exact" w:before="0" w:after="0"/>
        <w:ind w:left="708" w:right="0" w:hanging="283"/>
        <w:jc w:val="left"/>
        <w:rPr>
          <w:sz w:val="20"/>
        </w:rPr>
      </w:pPr>
      <w:r>
        <w:rPr>
          <w:sz w:val="20"/>
        </w:rPr>
        <w:t>«И</w:t>
      </w:r>
      <w:r>
        <w:rPr>
          <w:spacing w:val="-4"/>
          <w:sz w:val="20"/>
        </w:rPr>
        <w:t> </w:t>
      </w:r>
      <w:r>
        <w:rPr>
          <w:sz w:val="20"/>
        </w:rPr>
        <w:t>вот</w:t>
      </w:r>
      <w:r>
        <w:rPr>
          <w:spacing w:val="-3"/>
          <w:sz w:val="20"/>
        </w:rPr>
        <w:t> </w:t>
      </w:r>
      <w:r>
        <w:rPr>
          <w:spacing w:val="-2"/>
          <w:sz w:val="20"/>
        </w:rPr>
        <w:t>однажды…»</w:t>
      </w:r>
    </w:p>
    <w:p>
      <w:pPr>
        <w:pStyle w:val="BodyText"/>
        <w:spacing w:line="232" w:lineRule="auto" w:before="3"/>
        <w:ind w:right="140"/>
      </w:pPr>
      <w:r>
        <w:rPr/>
        <w:t>После подготовки картинок с 1-й по 5-ю листок с комиксом передается другой группе, та в пустой клетке рисует, что происходит.</w:t>
      </w:r>
    </w:p>
    <w:p>
      <w:pPr>
        <w:pStyle w:val="BodyText"/>
        <w:spacing w:line="235" w:lineRule="auto"/>
      </w:pPr>
      <w:r>
        <w:rPr/>
        <w:t>Затем</w:t>
      </w:r>
      <w:r>
        <w:rPr>
          <w:spacing w:val="-3"/>
        </w:rPr>
        <w:t> </w:t>
      </w:r>
      <w:r>
        <w:rPr/>
        <w:t>листок</w:t>
      </w:r>
      <w:r>
        <w:rPr>
          <w:spacing w:val="-3"/>
        </w:rPr>
        <w:t> </w:t>
      </w:r>
      <w:r>
        <w:rPr/>
        <w:t>возвращается</w:t>
      </w:r>
      <w:r>
        <w:rPr>
          <w:spacing w:val="-3"/>
        </w:rPr>
        <w:t> </w:t>
      </w:r>
      <w:r>
        <w:rPr/>
        <w:t>авторам.</w:t>
      </w:r>
      <w:r>
        <w:rPr>
          <w:spacing w:val="-3"/>
        </w:rPr>
        <w:t> </w:t>
      </w:r>
      <w:r>
        <w:rPr/>
        <w:t>Мини-группа</w:t>
      </w:r>
      <w:r>
        <w:rPr>
          <w:spacing w:val="-3"/>
        </w:rPr>
        <w:t> </w:t>
      </w:r>
      <w:r>
        <w:rPr/>
        <w:t>готовит</w:t>
      </w:r>
      <w:r>
        <w:rPr>
          <w:spacing w:val="-3"/>
        </w:rPr>
        <w:t> </w:t>
      </w:r>
      <w:r>
        <w:rPr/>
        <w:t>продолжение</w:t>
      </w:r>
      <w:r>
        <w:rPr>
          <w:spacing w:val="-3"/>
        </w:rPr>
        <w:t> </w:t>
      </w:r>
      <w:r>
        <w:rPr/>
        <w:t>комикса еще на 3–6 кадров с целью показать, как их герой справляется с данной ситуацией, что и как может ему помочь.</w:t>
      </w:r>
    </w:p>
    <w:p>
      <w:pPr>
        <w:pStyle w:val="BodyText"/>
        <w:spacing w:before="4"/>
        <w:ind w:left="0" w:right="0" w:firstLine="0"/>
        <w:jc w:val="left"/>
        <w:rPr>
          <w:sz w:val="7"/>
        </w:rPr>
      </w:pPr>
      <w:r>
        <w:rPr>
          <w:sz w:val="7"/>
        </w:rPr>
        <mc:AlternateContent>
          <mc:Choice Requires="wps">
            <w:drawing>
              <wp:anchor distT="0" distB="0" distL="0" distR="0" allowOverlap="1" layoutInCell="1" locked="0" behindDoc="1" simplePos="0" relativeHeight="487629312">
                <wp:simplePos x="0" y="0"/>
                <wp:positionH relativeFrom="page">
                  <wp:posOffset>359999</wp:posOffset>
                </wp:positionH>
                <wp:positionV relativeFrom="paragraph">
                  <wp:posOffset>69068</wp:posOffset>
                </wp:positionV>
                <wp:extent cx="1440180" cy="1270"/>
                <wp:effectExtent l="0" t="0" r="0" b="0"/>
                <wp:wrapTopAndBottom/>
                <wp:docPr id="128" name="Graphic 128"/>
                <wp:cNvGraphicFramePr>
                  <a:graphicFrameLocks/>
                </wp:cNvGraphicFramePr>
                <a:graphic>
                  <a:graphicData uri="http://schemas.microsoft.com/office/word/2010/wordprocessingShape">
                    <wps:wsp>
                      <wps:cNvPr id="128" name="Graphic 128"/>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399pt;margin-top:5.438472pt;width:113.4pt;height:.1pt;mso-position-horizontal-relative:page;mso-position-vertical-relative:paragraph;z-index:-15687168;mso-wrap-distance-left:0;mso-wrap-distance-right:0" id="docshape83" coordorigin="567,109" coordsize="2268,0" path="m567,109l2835,109e" filled="false" stroked="true" strokeweight=".5pt" strokecolor="#231f20">
                <v:path arrowok="t"/>
                <v:stroke dashstyle="solid"/>
                <w10:wrap type="topAndBottom"/>
              </v:shape>
            </w:pict>
          </mc:Fallback>
        </mc:AlternateContent>
      </w:r>
    </w:p>
    <w:p>
      <w:pPr>
        <w:tabs>
          <w:tab w:pos="425" w:val="left" w:leader="none"/>
        </w:tabs>
        <w:spacing w:before="27"/>
        <w:ind w:left="141" w:right="0" w:firstLine="0"/>
        <w:jc w:val="left"/>
        <w:rPr>
          <w:sz w:val="18"/>
        </w:rPr>
      </w:pPr>
      <w:r>
        <w:rPr>
          <w:color w:val="231F20"/>
          <w:spacing w:val="-10"/>
          <w:sz w:val="18"/>
          <w:vertAlign w:val="superscript"/>
        </w:rPr>
        <w:t>1</w:t>
      </w:r>
      <w:r>
        <w:rPr>
          <w:color w:val="231F20"/>
          <w:sz w:val="18"/>
          <w:vertAlign w:val="baseline"/>
        </w:rPr>
        <w:tab/>
      </w:r>
      <w:hyperlink r:id="rId138">
        <w:r>
          <w:rPr>
            <w:color w:val="2255A6"/>
            <w:spacing w:val="-2"/>
            <w:sz w:val="18"/>
            <w:u w:val="single" w:color="2255A6"/>
            <w:vertAlign w:val="baseline"/>
          </w:rPr>
          <w:t>https://www.youtube.com/watch?v=twa96P6cnHA</w:t>
        </w:r>
      </w:hyperlink>
      <w:r>
        <w:rPr>
          <w:color w:val="231F20"/>
          <w:spacing w:val="-2"/>
          <w:sz w:val="18"/>
          <w:vertAlign w:val="baseline"/>
        </w:rPr>
        <w:t>.</w:t>
      </w:r>
    </w:p>
    <w:p>
      <w:pPr>
        <w:tabs>
          <w:tab w:pos="425" w:val="left" w:leader="none"/>
        </w:tabs>
        <w:spacing w:before="49"/>
        <w:ind w:left="141" w:right="0" w:firstLine="0"/>
        <w:jc w:val="left"/>
        <w:rPr>
          <w:sz w:val="18"/>
        </w:rPr>
      </w:pPr>
      <w:r>
        <w:rPr>
          <w:color w:val="231F20"/>
          <w:spacing w:val="-10"/>
          <w:sz w:val="18"/>
          <w:vertAlign w:val="superscript"/>
        </w:rPr>
        <w:t>2</w:t>
      </w:r>
      <w:r>
        <w:rPr>
          <w:color w:val="231F20"/>
          <w:sz w:val="18"/>
          <w:vertAlign w:val="baseline"/>
        </w:rPr>
        <w:tab/>
      </w:r>
      <w:hyperlink r:id="rId137">
        <w:r>
          <w:rPr>
            <w:color w:val="2255A6"/>
            <w:spacing w:val="-2"/>
            <w:sz w:val="18"/>
            <w:u w:val="single" w:color="2255A6"/>
            <w:vertAlign w:val="baseline"/>
          </w:rPr>
          <w:t>www.finnougriccomics.com</w:t>
        </w:r>
      </w:hyperlink>
      <w:r>
        <w:rPr>
          <w:color w:val="231F20"/>
          <w:spacing w:val="-2"/>
          <w:sz w:val="18"/>
          <w:vertAlign w:val="baseline"/>
        </w:rPr>
        <w:t>.</w:t>
      </w:r>
    </w:p>
    <w:p>
      <w:pPr>
        <w:tabs>
          <w:tab w:pos="425" w:val="left" w:leader="none"/>
          <w:tab w:pos="1290" w:val="left" w:leader="none"/>
          <w:tab w:pos="1737" w:val="left" w:leader="none"/>
          <w:tab w:pos="2531" w:val="left" w:leader="none"/>
        </w:tabs>
        <w:spacing w:line="232" w:lineRule="auto" w:before="55"/>
        <w:ind w:left="141" w:right="140" w:firstLine="0"/>
        <w:jc w:val="left"/>
        <w:rPr>
          <w:sz w:val="18"/>
        </w:rPr>
      </w:pPr>
      <w:r>
        <w:rPr>
          <w:color w:val="231F20"/>
          <w:spacing w:val="-10"/>
          <w:sz w:val="18"/>
          <w:vertAlign w:val="superscript"/>
        </w:rPr>
        <w:t>3</w:t>
      </w:r>
      <w:r>
        <w:rPr>
          <w:color w:val="231F20"/>
          <w:sz w:val="18"/>
          <w:vertAlign w:val="baseline"/>
        </w:rPr>
        <w:tab/>
      </w:r>
      <w:r>
        <w:rPr>
          <w:color w:val="231F20"/>
          <w:spacing w:val="-2"/>
          <w:sz w:val="18"/>
          <w:vertAlign w:val="baseline"/>
        </w:rPr>
        <w:t>Скачать</w:t>
      </w:r>
      <w:r>
        <w:rPr>
          <w:color w:val="231F20"/>
          <w:sz w:val="18"/>
          <w:vertAlign w:val="baseline"/>
        </w:rPr>
        <w:tab/>
      </w:r>
      <w:r>
        <w:rPr>
          <w:color w:val="231F20"/>
          <w:spacing w:val="-6"/>
          <w:sz w:val="18"/>
          <w:vertAlign w:val="baseline"/>
        </w:rPr>
        <w:t>по</w:t>
      </w:r>
      <w:r>
        <w:rPr>
          <w:color w:val="231F20"/>
          <w:sz w:val="18"/>
          <w:vertAlign w:val="baseline"/>
        </w:rPr>
        <w:tab/>
      </w:r>
      <w:r>
        <w:rPr>
          <w:color w:val="231F20"/>
          <w:spacing w:val="-2"/>
          <w:sz w:val="18"/>
          <w:vertAlign w:val="baseline"/>
        </w:rPr>
        <w:t>ссылке</w:t>
      </w:r>
      <w:r>
        <w:rPr>
          <w:color w:val="231F20"/>
          <w:sz w:val="18"/>
          <w:vertAlign w:val="baseline"/>
        </w:rPr>
        <w:tab/>
      </w:r>
      <w:hyperlink r:id="rId139">
        <w:r>
          <w:rPr>
            <w:color w:val="2255A6"/>
            <w:spacing w:val="-2"/>
            <w:sz w:val="18"/>
            <w:u w:val="single" w:color="2255A6"/>
            <w:vertAlign w:val="baseline"/>
          </w:rPr>
          <w:t>http://respect.com.mx/upload/iblock/6e0/6e0e8a4ff0fee0978de287c</w:t>
        </w:r>
      </w:hyperlink>
      <w:r>
        <w:rPr>
          <w:color w:val="2255A6"/>
          <w:spacing w:val="-2"/>
          <w:sz w:val="18"/>
          <w:vertAlign w:val="baseline"/>
        </w:rPr>
        <w:t> </w:t>
      </w:r>
      <w:hyperlink r:id="rId139">
        <w:r>
          <w:rPr>
            <w:color w:val="2255A6"/>
            <w:spacing w:val="-2"/>
            <w:sz w:val="18"/>
            <w:u w:val="single" w:color="2255A6"/>
            <w:vertAlign w:val="baseline"/>
          </w:rPr>
          <w:t>3e2439381.pdf</w:t>
        </w:r>
      </w:hyperlink>
      <w:r>
        <w:rPr>
          <w:color w:val="231F20"/>
          <w:spacing w:val="-2"/>
          <w:sz w:val="18"/>
          <w:vertAlign w:val="baseline"/>
        </w:rPr>
        <w:t>.</w:t>
      </w:r>
    </w:p>
    <w:p>
      <w:pPr>
        <w:spacing w:after="0" w:line="232" w:lineRule="auto"/>
        <w:jc w:val="left"/>
        <w:rPr>
          <w:sz w:val="18"/>
        </w:rPr>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pPr>
      <w:r>
        <w:rPr/>
        <w:t>В конце занятия группы представляют свои истории, ведущий отмечает интерес- ные</w:t>
      </w:r>
      <w:r>
        <w:rPr>
          <w:spacing w:val="-12"/>
        </w:rPr>
        <w:t> </w:t>
      </w:r>
      <w:r>
        <w:rPr/>
        <w:t>моменты</w:t>
      </w:r>
      <w:r>
        <w:rPr>
          <w:spacing w:val="-12"/>
        </w:rPr>
        <w:t> </w:t>
      </w:r>
      <w:r>
        <w:rPr/>
        <w:t>в</w:t>
      </w:r>
      <w:r>
        <w:rPr>
          <w:spacing w:val="-12"/>
        </w:rPr>
        <w:t> </w:t>
      </w:r>
      <w:r>
        <w:rPr/>
        <w:t>развитии</w:t>
      </w:r>
      <w:r>
        <w:rPr>
          <w:spacing w:val="-12"/>
        </w:rPr>
        <w:t> </w:t>
      </w:r>
      <w:r>
        <w:rPr/>
        <w:t>сюжета.</w:t>
      </w:r>
      <w:r>
        <w:rPr>
          <w:spacing w:val="-12"/>
        </w:rPr>
        <w:t> </w:t>
      </w:r>
      <w:r>
        <w:rPr/>
        <w:t>Можно</w:t>
      </w:r>
      <w:r>
        <w:rPr>
          <w:spacing w:val="-12"/>
        </w:rPr>
        <w:t> </w:t>
      </w:r>
      <w:r>
        <w:rPr/>
        <w:t>рассказать</w:t>
      </w:r>
      <w:r>
        <w:rPr>
          <w:spacing w:val="-12"/>
        </w:rPr>
        <w:t> </w:t>
      </w:r>
      <w:r>
        <w:rPr/>
        <w:t>и</w:t>
      </w:r>
      <w:r>
        <w:rPr>
          <w:spacing w:val="-12"/>
        </w:rPr>
        <w:t> </w:t>
      </w:r>
      <w:r>
        <w:rPr/>
        <w:t>реальную</w:t>
      </w:r>
      <w:r>
        <w:rPr>
          <w:spacing w:val="-12"/>
        </w:rPr>
        <w:t> </w:t>
      </w:r>
      <w:r>
        <w:rPr/>
        <w:t>историю</w:t>
      </w:r>
      <w:r>
        <w:rPr>
          <w:spacing w:val="-12"/>
        </w:rPr>
        <w:t> </w:t>
      </w:r>
      <w:r>
        <w:rPr/>
        <w:t>человека</w:t>
      </w:r>
      <w:r>
        <w:rPr>
          <w:spacing w:val="-12"/>
        </w:rPr>
        <w:t> </w:t>
      </w:r>
      <w:r>
        <w:rPr/>
        <w:t>на фотографии, если она известна.</w:t>
      </w:r>
    </w:p>
    <w:p>
      <w:pPr>
        <w:spacing w:line="228" w:lineRule="exact" w:before="111"/>
        <w:ind w:left="141" w:right="0" w:firstLine="0"/>
        <w:jc w:val="both"/>
        <w:rPr>
          <w:i/>
          <w:sz w:val="20"/>
        </w:rPr>
      </w:pPr>
      <w:r>
        <w:rPr>
          <w:i/>
          <w:sz w:val="20"/>
        </w:rPr>
        <w:t>б)</w:t>
      </w:r>
      <w:r>
        <w:rPr>
          <w:i/>
          <w:spacing w:val="53"/>
          <w:sz w:val="20"/>
        </w:rPr>
        <w:t> </w:t>
      </w:r>
      <w:r>
        <w:rPr>
          <w:i/>
          <w:sz w:val="20"/>
        </w:rPr>
        <w:t>К</w:t>
      </w:r>
      <w:r>
        <w:rPr>
          <w:i/>
          <w:color w:val="2B2E30"/>
          <w:sz w:val="20"/>
        </w:rPr>
        <w:t>оллаборативный</w:t>
      </w:r>
      <w:r>
        <w:rPr>
          <w:i/>
          <w:color w:val="2B2E30"/>
          <w:spacing w:val="-4"/>
          <w:sz w:val="20"/>
        </w:rPr>
        <w:t> </w:t>
      </w:r>
      <w:r>
        <w:rPr>
          <w:i/>
          <w:color w:val="2B2E30"/>
          <w:sz w:val="20"/>
        </w:rPr>
        <w:t>комикс-проект</w:t>
      </w:r>
      <w:r>
        <w:rPr>
          <w:i/>
          <w:color w:val="2B2E30"/>
          <w:spacing w:val="-6"/>
          <w:sz w:val="20"/>
        </w:rPr>
        <w:t> </w:t>
      </w:r>
      <w:r>
        <w:rPr>
          <w:i/>
          <w:color w:val="2B2E30"/>
          <w:sz w:val="20"/>
        </w:rPr>
        <w:t>«Что</w:t>
      </w:r>
      <w:r>
        <w:rPr>
          <w:i/>
          <w:color w:val="2B2E30"/>
          <w:spacing w:val="-4"/>
          <w:sz w:val="20"/>
        </w:rPr>
        <w:t> </w:t>
      </w:r>
      <w:r>
        <w:rPr>
          <w:i/>
          <w:color w:val="2B2E30"/>
          <w:sz w:val="20"/>
        </w:rPr>
        <w:t>они</w:t>
      </w:r>
      <w:r>
        <w:rPr>
          <w:i/>
          <w:color w:val="2B2E30"/>
          <w:spacing w:val="-5"/>
          <w:sz w:val="20"/>
        </w:rPr>
        <w:t> </w:t>
      </w:r>
      <w:r>
        <w:rPr>
          <w:i/>
          <w:color w:val="2B2E30"/>
          <w:sz w:val="20"/>
        </w:rPr>
        <w:t>должны</w:t>
      </w:r>
      <w:r>
        <w:rPr>
          <w:i/>
          <w:color w:val="2B2E30"/>
          <w:spacing w:val="-5"/>
          <w:sz w:val="20"/>
        </w:rPr>
        <w:t> </w:t>
      </w:r>
      <w:r>
        <w:rPr>
          <w:i/>
          <w:color w:val="2B2E30"/>
          <w:sz w:val="20"/>
        </w:rPr>
        <w:t>обо</w:t>
      </w:r>
      <w:r>
        <w:rPr>
          <w:i/>
          <w:color w:val="2B2E30"/>
          <w:spacing w:val="-5"/>
          <w:sz w:val="20"/>
        </w:rPr>
        <w:t> </w:t>
      </w:r>
      <w:r>
        <w:rPr>
          <w:i/>
          <w:color w:val="2B2E30"/>
          <w:sz w:val="20"/>
        </w:rPr>
        <w:t>мне</w:t>
      </w:r>
      <w:r>
        <w:rPr>
          <w:i/>
          <w:color w:val="2B2E30"/>
          <w:spacing w:val="-4"/>
          <w:sz w:val="20"/>
        </w:rPr>
        <w:t> </w:t>
      </w:r>
      <w:r>
        <w:rPr>
          <w:i/>
          <w:color w:val="2B2E30"/>
          <w:sz w:val="20"/>
        </w:rPr>
        <w:t>/</w:t>
      </w:r>
      <w:r>
        <w:rPr>
          <w:i/>
          <w:color w:val="2B2E30"/>
          <w:spacing w:val="-5"/>
          <w:sz w:val="20"/>
        </w:rPr>
        <w:t> </w:t>
      </w:r>
      <w:r>
        <w:rPr>
          <w:i/>
          <w:color w:val="2B2E30"/>
          <w:sz w:val="20"/>
        </w:rPr>
        <w:t>о</w:t>
      </w:r>
      <w:r>
        <w:rPr>
          <w:i/>
          <w:color w:val="2B2E30"/>
          <w:spacing w:val="-4"/>
          <w:sz w:val="20"/>
        </w:rPr>
        <w:t> </w:t>
      </w:r>
      <w:r>
        <w:rPr>
          <w:i/>
          <w:color w:val="2B2E30"/>
          <w:sz w:val="20"/>
        </w:rPr>
        <w:t>нас</w:t>
      </w:r>
      <w:r>
        <w:rPr>
          <w:i/>
          <w:color w:val="2B2E30"/>
          <w:spacing w:val="-4"/>
          <w:sz w:val="20"/>
        </w:rPr>
        <w:t> </w:t>
      </w:r>
      <w:r>
        <w:rPr>
          <w:i/>
          <w:color w:val="2B2E30"/>
          <w:spacing w:val="-2"/>
          <w:sz w:val="20"/>
        </w:rPr>
        <w:t>знать?»</w:t>
      </w:r>
    </w:p>
    <w:p>
      <w:pPr>
        <w:pStyle w:val="BodyText"/>
        <w:spacing w:line="235" w:lineRule="auto" w:before="2"/>
      </w:pPr>
      <w:r>
        <w:rPr>
          <w:color w:val="231F20"/>
        </w:rPr>
        <w:t>Одной из наиболее эффективных технологий, позволяющих включить ребенка в широкий</w:t>
      </w:r>
      <w:r>
        <w:rPr>
          <w:color w:val="231F20"/>
          <w:spacing w:val="-5"/>
        </w:rPr>
        <w:t> </w:t>
      </w:r>
      <w:r>
        <w:rPr>
          <w:color w:val="231F20"/>
        </w:rPr>
        <w:t>социум,</w:t>
      </w:r>
      <w:r>
        <w:rPr>
          <w:color w:val="231F20"/>
          <w:spacing w:val="-5"/>
        </w:rPr>
        <w:t> </w:t>
      </w:r>
      <w:r>
        <w:rPr>
          <w:color w:val="231F20"/>
        </w:rPr>
        <w:t>является</w:t>
      </w:r>
      <w:r>
        <w:rPr>
          <w:color w:val="231F20"/>
          <w:spacing w:val="-5"/>
        </w:rPr>
        <w:t> </w:t>
      </w:r>
      <w:r>
        <w:rPr>
          <w:color w:val="231F20"/>
        </w:rPr>
        <w:t>коллаборативное,</w:t>
      </w:r>
      <w:r>
        <w:rPr>
          <w:color w:val="231F20"/>
          <w:spacing w:val="-5"/>
        </w:rPr>
        <w:t> </w:t>
      </w:r>
      <w:r>
        <w:rPr>
          <w:color w:val="231F20"/>
        </w:rPr>
        <w:t>или</w:t>
      </w:r>
      <w:r>
        <w:rPr>
          <w:color w:val="231F20"/>
          <w:spacing w:val="-5"/>
        </w:rPr>
        <w:t> </w:t>
      </w:r>
      <w:r>
        <w:rPr>
          <w:color w:val="231F20"/>
        </w:rPr>
        <w:t>совместное,</w:t>
      </w:r>
      <w:r>
        <w:rPr>
          <w:color w:val="231F20"/>
          <w:spacing w:val="-5"/>
        </w:rPr>
        <w:t> </w:t>
      </w:r>
      <w:r>
        <w:rPr>
          <w:color w:val="231F20"/>
        </w:rPr>
        <w:t>обучение.</w:t>
      </w:r>
      <w:r>
        <w:rPr>
          <w:color w:val="231F20"/>
          <w:spacing w:val="-5"/>
        </w:rPr>
        <w:t> </w:t>
      </w:r>
      <w:r>
        <w:rPr>
          <w:color w:val="231F20"/>
        </w:rPr>
        <w:t>Это</w:t>
      </w:r>
      <w:r>
        <w:rPr>
          <w:color w:val="231F20"/>
          <w:spacing w:val="-5"/>
        </w:rPr>
        <w:t> </w:t>
      </w:r>
      <w:r>
        <w:rPr>
          <w:color w:val="231F20"/>
        </w:rPr>
        <w:t>термин, объединяющий</w:t>
      </w:r>
      <w:r>
        <w:rPr>
          <w:color w:val="231F20"/>
          <w:spacing w:val="-13"/>
        </w:rPr>
        <w:t> </w:t>
      </w:r>
      <w:r>
        <w:rPr>
          <w:color w:val="231F20"/>
        </w:rPr>
        <w:t>множество</w:t>
      </w:r>
      <w:r>
        <w:rPr>
          <w:color w:val="231F20"/>
          <w:spacing w:val="-12"/>
        </w:rPr>
        <w:t> </w:t>
      </w:r>
      <w:r>
        <w:rPr>
          <w:color w:val="231F20"/>
        </w:rPr>
        <w:t>образовательных</w:t>
      </w:r>
      <w:r>
        <w:rPr>
          <w:color w:val="231F20"/>
          <w:spacing w:val="-13"/>
        </w:rPr>
        <w:t> </w:t>
      </w:r>
      <w:r>
        <w:rPr>
          <w:color w:val="231F20"/>
        </w:rPr>
        <w:t>подходов,</w:t>
      </w:r>
      <w:r>
        <w:rPr>
          <w:color w:val="231F20"/>
          <w:spacing w:val="-12"/>
        </w:rPr>
        <w:t> </w:t>
      </w:r>
      <w:r>
        <w:rPr>
          <w:color w:val="231F20"/>
        </w:rPr>
        <w:t>предполагающих</w:t>
      </w:r>
      <w:r>
        <w:rPr>
          <w:color w:val="231F20"/>
          <w:spacing w:val="-13"/>
        </w:rPr>
        <w:t> </w:t>
      </w:r>
      <w:r>
        <w:rPr>
          <w:color w:val="231F20"/>
        </w:rPr>
        <w:t>совместные интеллектуальные</w:t>
      </w:r>
      <w:r>
        <w:rPr>
          <w:color w:val="231F20"/>
          <w:spacing w:val="-7"/>
        </w:rPr>
        <w:t> </w:t>
      </w:r>
      <w:r>
        <w:rPr>
          <w:color w:val="231F20"/>
        </w:rPr>
        <w:t>усилия</w:t>
      </w:r>
      <w:r>
        <w:rPr>
          <w:color w:val="231F20"/>
          <w:spacing w:val="-7"/>
        </w:rPr>
        <w:t> </w:t>
      </w:r>
      <w:r>
        <w:rPr>
          <w:color w:val="231F20"/>
        </w:rPr>
        <w:t>учащихся,</w:t>
      </w:r>
      <w:r>
        <w:rPr>
          <w:color w:val="231F20"/>
          <w:spacing w:val="-7"/>
        </w:rPr>
        <w:t> </w:t>
      </w:r>
      <w:r>
        <w:rPr>
          <w:color w:val="231F20"/>
        </w:rPr>
        <w:t>объединенных</w:t>
      </w:r>
      <w:r>
        <w:rPr>
          <w:color w:val="231F20"/>
          <w:spacing w:val="-7"/>
        </w:rPr>
        <w:t> </w:t>
      </w:r>
      <w:r>
        <w:rPr>
          <w:color w:val="231F20"/>
        </w:rPr>
        <w:t>в</w:t>
      </w:r>
      <w:r>
        <w:rPr>
          <w:color w:val="231F20"/>
          <w:spacing w:val="-7"/>
        </w:rPr>
        <w:t> </w:t>
      </w:r>
      <w:r>
        <w:rPr>
          <w:color w:val="231F20"/>
        </w:rPr>
        <w:t>группы</w:t>
      </w:r>
      <w:r>
        <w:rPr>
          <w:color w:val="231F20"/>
          <w:spacing w:val="-7"/>
        </w:rPr>
        <w:t> </w:t>
      </w:r>
      <w:r>
        <w:rPr>
          <w:color w:val="231F20"/>
        </w:rPr>
        <w:t>по</w:t>
      </w:r>
      <w:r>
        <w:rPr>
          <w:color w:val="231F20"/>
          <w:spacing w:val="-7"/>
        </w:rPr>
        <w:t> </w:t>
      </w:r>
      <w:r>
        <w:rPr>
          <w:color w:val="231F20"/>
        </w:rPr>
        <w:t>2</w:t>
      </w:r>
      <w:r>
        <w:rPr>
          <w:color w:val="231F20"/>
          <w:spacing w:val="-7"/>
        </w:rPr>
        <w:t> </w:t>
      </w:r>
      <w:r>
        <w:rPr>
          <w:color w:val="231F20"/>
        </w:rPr>
        <w:t>или</w:t>
      </w:r>
      <w:r>
        <w:rPr>
          <w:color w:val="231F20"/>
          <w:spacing w:val="-7"/>
        </w:rPr>
        <w:t> </w:t>
      </w:r>
      <w:r>
        <w:rPr>
          <w:color w:val="231F20"/>
        </w:rPr>
        <w:t>более</w:t>
      </w:r>
      <w:r>
        <w:rPr>
          <w:color w:val="231F20"/>
          <w:spacing w:val="-7"/>
        </w:rPr>
        <w:t> </w:t>
      </w:r>
      <w:r>
        <w:rPr>
          <w:color w:val="231F20"/>
        </w:rPr>
        <w:t>человек для поиска объяснения, решений и создания образовательного продукта (Barkley E., Major</w:t>
      </w:r>
      <w:r>
        <w:rPr>
          <w:color w:val="231F20"/>
          <w:spacing w:val="-8"/>
        </w:rPr>
        <w:t> </w:t>
      </w:r>
      <w:r>
        <w:rPr>
          <w:color w:val="231F20"/>
        </w:rPr>
        <w:t>C.,</w:t>
      </w:r>
      <w:r>
        <w:rPr>
          <w:color w:val="231F20"/>
          <w:spacing w:val="-8"/>
        </w:rPr>
        <w:t> </w:t>
      </w:r>
      <w:r>
        <w:rPr>
          <w:color w:val="231F20"/>
        </w:rPr>
        <w:t>Cross,</w:t>
      </w:r>
      <w:r>
        <w:rPr>
          <w:color w:val="231F20"/>
          <w:spacing w:val="-8"/>
        </w:rPr>
        <w:t> </w:t>
      </w:r>
      <w:r>
        <w:rPr>
          <w:color w:val="231F20"/>
        </w:rPr>
        <w:t>2014).</w:t>
      </w:r>
      <w:r>
        <w:rPr>
          <w:color w:val="231F20"/>
          <w:spacing w:val="-8"/>
        </w:rPr>
        <w:t> </w:t>
      </w:r>
      <w:r>
        <w:rPr>
          <w:color w:val="231F20"/>
        </w:rPr>
        <w:t>Однако</w:t>
      </w:r>
      <w:r>
        <w:rPr>
          <w:color w:val="231F20"/>
          <w:spacing w:val="-8"/>
        </w:rPr>
        <w:t> </w:t>
      </w:r>
      <w:r>
        <w:rPr>
          <w:color w:val="231F20"/>
        </w:rPr>
        <w:t>если</w:t>
      </w:r>
      <w:r>
        <w:rPr>
          <w:color w:val="231F20"/>
          <w:spacing w:val="-9"/>
        </w:rPr>
        <w:t> </w:t>
      </w:r>
      <w:r>
        <w:rPr>
          <w:color w:val="231F20"/>
        </w:rPr>
        <w:t>на</w:t>
      </w:r>
      <w:r>
        <w:rPr>
          <w:color w:val="231F20"/>
          <w:spacing w:val="-8"/>
        </w:rPr>
        <w:t> </w:t>
      </w:r>
      <w:r>
        <w:rPr>
          <w:color w:val="231F20"/>
        </w:rPr>
        <w:t>первый</w:t>
      </w:r>
      <w:r>
        <w:rPr>
          <w:color w:val="231F20"/>
          <w:spacing w:val="-8"/>
        </w:rPr>
        <w:t> </w:t>
      </w:r>
      <w:r>
        <w:rPr>
          <w:color w:val="231F20"/>
        </w:rPr>
        <w:t>план</w:t>
      </w:r>
      <w:r>
        <w:rPr>
          <w:color w:val="231F20"/>
          <w:spacing w:val="-8"/>
        </w:rPr>
        <w:t> </w:t>
      </w:r>
      <w:r>
        <w:rPr>
          <w:color w:val="231F20"/>
        </w:rPr>
        <w:t>выходит</w:t>
      </w:r>
      <w:r>
        <w:rPr>
          <w:color w:val="231F20"/>
          <w:spacing w:val="-8"/>
        </w:rPr>
        <w:t> </w:t>
      </w:r>
      <w:r>
        <w:rPr>
          <w:color w:val="231F20"/>
        </w:rPr>
        <w:t>именно</w:t>
      </w:r>
      <w:r>
        <w:rPr>
          <w:color w:val="231F20"/>
          <w:spacing w:val="-8"/>
        </w:rPr>
        <w:t> </w:t>
      </w:r>
      <w:r>
        <w:rPr>
          <w:color w:val="231F20"/>
        </w:rPr>
        <w:t>сотрудничество, в</w:t>
      </w:r>
      <w:r>
        <w:rPr>
          <w:color w:val="231F20"/>
          <w:spacing w:val="-6"/>
        </w:rPr>
        <w:t> </w:t>
      </w:r>
      <w:r>
        <w:rPr>
          <w:color w:val="231F20"/>
        </w:rPr>
        <w:t>этом</w:t>
      </w:r>
      <w:r>
        <w:rPr>
          <w:color w:val="231F20"/>
          <w:spacing w:val="-6"/>
        </w:rPr>
        <w:t> </w:t>
      </w:r>
      <w:r>
        <w:rPr>
          <w:color w:val="231F20"/>
        </w:rPr>
        <w:t>случае</w:t>
      </w:r>
      <w:r>
        <w:rPr>
          <w:color w:val="231F20"/>
          <w:spacing w:val="-6"/>
        </w:rPr>
        <w:t> </w:t>
      </w:r>
      <w:r>
        <w:rPr>
          <w:color w:val="231F20"/>
        </w:rPr>
        <w:t>учебная</w:t>
      </w:r>
      <w:r>
        <w:rPr>
          <w:color w:val="231F20"/>
          <w:spacing w:val="-6"/>
        </w:rPr>
        <w:t> </w:t>
      </w:r>
      <w:r>
        <w:rPr>
          <w:color w:val="231F20"/>
        </w:rPr>
        <w:t>задача</w:t>
      </w:r>
      <w:r>
        <w:rPr>
          <w:color w:val="231F20"/>
          <w:spacing w:val="-6"/>
        </w:rPr>
        <w:t> </w:t>
      </w:r>
      <w:r>
        <w:rPr>
          <w:color w:val="231F20"/>
        </w:rPr>
        <w:t>становится</w:t>
      </w:r>
      <w:r>
        <w:rPr>
          <w:color w:val="231F20"/>
          <w:spacing w:val="-6"/>
        </w:rPr>
        <w:t> </w:t>
      </w:r>
      <w:r>
        <w:rPr>
          <w:color w:val="231F20"/>
        </w:rPr>
        <w:t>второстепенной.</w:t>
      </w:r>
      <w:r>
        <w:rPr>
          <w:color w:val="231F20"/>
          <w:spacing w:val="-6"/>
        </w:rPr>
        <w:t> </w:t>
      </w:r>
      <w:r>
        <w:rPr>
          <w:color w:val="231F20"/>
        </w:rPr>
        <w:t>Основная</w:t>
      </w:r>
      <w:r>
        <w:rPr>
          <w:color w:val="231F20"/>
          <w:spacing w:val="-6"/>
        </w:rPr>
        <w:t> </w:t>
      </w:r>
      <w:r>
        <w:rPr>
          <w:color w:val="231F20"/>
        </w:rPr>
        <w:t>цель</w:t>
      </w:r>
      <w:r>
        <w:rPr>
          <w:color w:val="231F20"/>
          <w:spacing w:val="-6"/>
        </w:rPr>
        <w:t> </w:t>
      </w:r>
      <w:r>
        <w:rPr>
          <w:color w:val="231F20"/>
        </w:rPr>
        <w:t>такого</w:t>
      </w:r>
      <w:r>
        <w:rPr>
          <w:color w:val="231F20"/>
          <w:spacing w:val="-6"/>
        </w:rPr>
        <w:t> </w:t>
      </w:r>
      <w:r>
        <w:rPr>
          <w:color w:val="231F20"/>
        </w:rPr>
        <w:t>под- хода – создание пространства для коммуникации детей из разных культурных и со- циальных групп.</w:t>
      </w:r>
    </w:p>
    <w:p>
      <w:pPr>
        <w:pStyle w:val="BodyText"/>
        <w:spacing w:line="235" w:lineRule="auto" w:before="6"/>
      </w:pPr>
      <w:r>
        <w:rPr/>
        <w:t>Данная работа может быть как групповой (включая весь класс, в котором учится ребенок,</w:t>
      </w:r>
      <w:r>
        <w:rPr>
          <w:spacing w:val="-1"/>
        </w:rPr>
        <w:t> </w:t>
      </w:r>
      <w:r>
        <w:rPr/>
        <w:t>возвращенный</w:t>
      </w:r>
      <w:r>
        <w:rPr>
          <w:spacing w:val="-1"/>
        </w:rPr>
        <w:t> </w:t>
      </w:r>
      <w:r>
        <w:rPr/>
        <w:t>из</w:t>
      </w:r>
      <w:r>
        <w:rPr>
          <w:spacing w:val="-1"/>
        </w:rPr>
        <w:t> </w:t>
      </w:r>
      <w:r>
        <w:rPr/>
        <w:t>зоны</w:t>
      </w:r>
      <w:r>
        <w:rPr>
          <w:spacing w:val="-1"/>
        </w:rPr>
        <w:t> </w:t>
      </w:r>
      <w:r>
        <w:rPr/>
        <w:t>боевых</w:t>
      </w:r>
      <w:r>
        <w:rPr>
          <w:spacing w:val="-1"/>
        </w:rPr>
        <w:t> </w:t>
      </w:r>
      <w:r>
        <w:rPr/>
        <w:t>действий),</w:t>
      </w:r>
      <w:r>
        <w:rPr>
          <w:spacing w:val="-1"/>
        </w:rPr>
        <w:t> </w:t>
      </w:r>
      <w:r>
        <w:rPr/>
        <w:t>а</w:t>
      </w:r>
      <w:r>
        <w:rPr>
          <w:spacing w:val="-1"/>
        </w:rPr>
        <w:t> </w:t>
      </w:r>
      <w:r>
        <w:rPr/>
        <w:t>может</w:t>
      </w:r>
      <w:r>
        <w:rPr>
          <w:spacing w:val="-2"/>
        </w:rPr>
        <w:t> </w:t>
      </w:r>
      <w:r>
        <w:rPr/>
        <w:t>–</w:t>
      </w:r>
      <w:r>
        <w:rPr>
          <w:spacing w:val="-1"/>
        </w:rPr>
        <w:t> </w:t>
      </w:r>
      <w:r>
        <w:rPr/>
        <w:t>индивидуальной.</w:t>
      </w:r>
      <w:r>
        <w:rPr>
          <w:spacing w:val="-1"/>
        </w:rPr>
        <w:t> </w:t>
      </w:r>
      <w:r>
        <w:rPr/>
        <w:t>Опи- шем индивидуальный вариант.</w:t>
      </w:r>
    </w:p>
    <w:p>
      <w:pPr>
        <w:pStyle w:val="BodyText"/>
        <w:spacing w:line="235" w:lineRule="auto" w:before="1"/>
      </w:pPr>
      <w:r>
        <w:rPr/>
        <w:t>Педагог</w:t>
      </w:r>
      <w:r>
        <w:rPr>
          <w:spacing w:val="-12"/>
        </w:rPr>
        <w:t> </w:t>
      </w:r>
      <w:r>
        <w:rPr/>
        <w:t>(с</w:t>
      </w:r>
      <w:r>
        <w:rPr>
          <w:spacing w:val="-12"/>
        </w:rPr>
        <w:t> </w:t>
      </w:r>
      <w:r>
        <w:rPr/>
        <w:t>помощью</w:t>
      </w:r>
      <w:r>
        <w:rPr>
          <w:spacing w:val="-12"/>
        </w:rPr>
        <w:t> </w:t>
      </w:r>
      <w:r>
        <w:rPr/>
        <w:t>коллег</w:t>
      </w:r>
      <w:r>
        <w:rPr>
          <w:spacing w:val="-12"/>
        </w:rPr>
        <w:t> </w:t>
      </w:r>
      <w:r>
        <w:rPr/>
        <w:t>и</w:t>
      </w:r>
      <w:r>
        <w:rPr>
          <w:spacing w:val="-12"/>
        </w:rPr>
        <w:t> </w:t>
      </w:r>
      <w:r>
        <w:rPr/>
        <w:t>знакомых)</w:t>
      </w:r>
      <w:r>
        <w:rPr>
          <w:spacing w:val="-12"/>
        </w:rPr>
        <w:t> </w:t>
      </w:r>
      <w:r>
        <w:rPr/>
        <w:t>ищет</w:t>
      </w:r>
      <w:r>
        <w:rPr>
          <w:spacing w:val="-12"/>
        </w:rPr>
        <w:t> </w:t>
      </w:r>
      <w:r>
        <w:rPr/>
        <w:t>специалистов,</w:t>
      </w:r>
      <w:r>
        <w:rPr>
          <w:spacing w:val="-12"/>
        </w:rPr>
        <w:t> </w:t>
      </w:r>
      <w:r>
        <w:rPr/>
        <w:t>которые</w:t>
      </w:r>
      <w:r>
        <w:rPr>
          <w:spacing w:val="-12"/>
        </w:rPr>
        <w:t> </w:t>
      </w:r>
      <w:r>
        <w:rPr/>
        <w:t>помогли</w:t>
      </w:r>
      <w:r>
        <w:rPr>
          <w:spacing w:val="-12"/>
        </w:rPr>
        <w:t> </w:t>
      </w:r>
      <w:r>
        <w:rPr/>
        <w:t>бы ему выйти на нескольких детей, проживающих в других регионах России, нежели его</w:t>
      </w:r>
      <w:r>
        <w:rPr>
          <w:spacing w:val="-13"/>
        </w:rPr>
        <w:t> </w:t>
      </w:r>
      <w:r>
        <w:rPr/>
        <w:t>подопечный</w:t>
      </w:r>
      <w:r>
        <w:rPr>
          <w:spacing w:val="-12"/>
        </w:rPr>
        <w:t> </w:t>
      </w:r>
      <w:r>
        <w:rPr/>
        <w:t>ребенок,</w:t>
      </w:r>
      <w:r>
        <w:rPr>
          <w:spacing w:val="-13"/>
        </w:rPr>
        <w:t> </w:t>
      </w:r>
      <w:r>
        <w:rPr/>
        <w:t>желательно</w:t>
      </w:r>
      <w:r>
        <w:rPr>
          <w:spacing w:val="-12"/>
        </w:rPr>
        <w:t> </w:t>
      </w:r>
      <w:r>
        <w:rPr/>
        <w:t>примерно</w:t>
      </w:r>
      <w:r>
        <w:rPr>
          <w:spacing w:val="-13"/>
        </w:rPr>
        <w:t> </w:t>
      </w:r>
      <w:r>
        <w:rPr/>
        <w:t>того</w:t>
      </w:r>
      <w:r>
        <w:rPr>
          <w:spacing w:val="-12"/>
        </w:rPr>
        <w:t> </w:t>
      </w:r>
      <w:r>
        <w:rPr/>
        <w:t>же</w:t>
      </w:r>
      <w:r>
        <w:rPr>
          <w:spacing w:val="-13"/>
        </w:rPr>
        <w:t> </w:t>
      </w:r>
      <w:r>
        <w:rPr/>
        <w:t>возраста.</w:t>
      </w:r>
      <w:r>
        <w:rPr>
          <w:spacing w:val="-12"/>
        </w:rPr>
        <w:t> </w:t>
      </w:r>
      <w:r>
        <w:rPr/>
        <w:t>Этим</w:t>
      </w:r>
      <w:r>
        <w:rPr>
          <w:spacing w:val="-13"/>
        </w:rPr>
        <w:t> </w:t>
      </w:r>
      <w:r>
        <w:rPr/>
        <w:t>специалистам нужно получить согласие от участников проекта знакомства детей из разных регио- нов страны. Проекту можно дать красивое, интересное название.</w:t>
      </w:r>
    </w:p>
    <w:p>
      <w:pPr>
        <w:pStyle w:val="BodyText"/>
        <w:spacing w:line="235" w:lineRule="auto" w:before="4"/>
      </w:pPr>
      <w:r>
        <w:rPr/>
        <w:t>В самом начале можно найти одного ребенка и осуществлять парную коллабо- рацию. Затем к этому проекту могут присоединяться дети из других регионов. При групповых</w:t>
      </w:r>
      <w:r>
        <w:rPr>
          <w:spacing w:val="-10"/>
        </w:rPr>
        <w:t> </w:t>
      </w:r>
      <w:r>
        <w:rPr/>
        <w:t>проектах</w:t>
      </w:r>
      <w:r>
        <w:rPr>
          <w:spacing w:val="-10"/>
        </w:rPr>
        <w:t> </w:t>
      </w:r>
      <w:r>
        <w:rPr/>
        <w:t>рекомендуется</w:t>
      </w:r>
      <w:r>
        <w:rPr>
          <w:spacing w:val="-10"/>
        </w:rPr>
        <w:t> </w:t>
      </w:r>
      <w:r>
        <w:rPr/>
        <w:t>начинать</w:t>
      </w:r>
      <w:r>
        <w:rPr>
          <w:spacing w:val="-10"/>
        </w:rPr>
        <w:t> </w:t>
      </w:r>
      <w:r>
        <w:rPr/>
        <w:t>с</w:t>
      </w:r>
      <w:r>
        <w:rPr>
          <w:spacing w:val="-10"/>
        </w:rPr>
        <w:t> </w:t>
      </w:r>
      <w:r>
        <w:rPr/>
        <w:t>парной</w:t>
      </w:r>
      <w:r>
        <w:rPr>
          <w:spacing w:val="-10"/>
        </w:rPr>
        <w:t> </w:t>
      </w:r>
      <w:r>
        <w:rPr/>
        <w:t>коллаборации</w:t>
      </w:r>
      <w:r>
        <w:rPr>
          <w:spacing w:val="-10"/>
        </w:rPr>
        <w:t> </w:t>
      </w:r>
      <w:r>
        <w:rPr/>
        <w:t>(например,</w:t>
      </w:r>
      <w:r>
        <w:rPr>
          <w:spacing w:val="-10"/>
        </w:rPr>
        <w:t> </w:t>
      </w:r>
      <w:r>
        <w:rPr/>
        <w:t>Ма- хачкала – Москва).</w:t>
      </w:r>
    </w:p>
    <w:p>
      <w:pPr>
        <w:pStyle w:val="BodyText"/>
        <w:spacing w:line="235" w:lineRule="auto" w:before="2"/>
      </w:pPr>
      <w:r>
        <w:rPr/>
        <w:t>Затем</w:t>
      </w:r>
      <w:r>
        <w:rPr>
          <w:spacing w:val="-8"/>
        </w:rPr>
        <w:t> </w:t>
      </w:r>
      <w:r>
        <w:rPr/>
        <w:t>каждый</w:t>
      </w:r>
      <w:r>
        <w:rPr>
          <w:spacing w:val="-8"/>
        </w:rPr>
        <w:t> </w:t>
      </w:r>
      <w:r>
        <w:rPr/>
        <w:t>из</w:t>
      </w:r>
      <w:r>
        <w:rPr>
          <w:spacing w:val="-8"/>
        </w:rPr>
        <w:t> </w:t>
      </w:r>
      <w:r>
        <w:rPr/>
        <w:t>детей</w:t>
      </w:r>
      <w:r>
        <w:rPr>
          <w:spacing w:val="-8"/>
        </w:rPr>
        <w:t> </w:t>
      </w:r>
      <w:r>
        <w:rPr/>
        <w:t>под</w:t>
      </w:r>
      <w:r>
        <w:rPr>
          <w:spacing w:val="-8"/>
        </w:rPr>
        <w:t> </w:t>
      </w:r>
      <w:r>
        <w:rPr/>
        <w:t>руководством</w:t>
      </w:r>
      <w:r>
        <w:rPr>
          <w:spacing w:val="-8"/>
        </w:rPr>
        <w:t> </w:t>
      </w:r>
      <w:r>
        <w:rPr/>
        <w:t>курирующего</w:t>
      </w:r>
      <w:r>
        <w:rPr>
          <w:spacing w:val="-8"/>
        </w:rPr>
        <w:t> </w:t>
      </w:r>
      <w:r>
        <w:rPr/>
        <w:t>специалиста</w:t>
      </w:r>
      <w:r>
        <w:rPr>
          <w:spacing w:val="-8"/>
        </w:rPr>
        <w:t> </w:t>
      </w:r>
      <w:r>
        <w:rPr/>
        <w:t>рисует</w:t>
      </w:r>
      <w:r>
        <w:rPr>
          <w:spacing w:val="-8"/>
        </w:rPr>
        <w:t> </w:t>
      </w:r>
      <w:r>
        <w:rPr/>
        <w:t>клас- сический комикс из 6 последовательных картинок на тему: «Что школьники из дру- гих</w:t>
      </w:r>
      <w:r>
        <w:rPr>
          <w:spacing w:val="-3"/>
        </w:rPr>
        <w:t> </w:t>
      </w:r>
      <w:r>
        <w:rPr/>
        <w:t>регионов</w:t>
      </w:r>
      <w:r>
        <w:rPr>
          <w:spacing w:val="-3"/>
        </w:rPr>
        <w:t> </w:t>
      </w:r>
      <w:r>
        <w:rPr/>
        <w:t>страны</w:t>
      </w:r>
      <w:r>
        <w:rPr>
          <w:spacing w:val="-3"/>
        </w:rPr>
        <w:t> </w:t>
      </w:r>
      <w:r>
        <w:rPr/>
        <w:t>должны</w:t>
      </w:r>
      <w:r>
        <w:rPr>
          <w:spacing w:val="-3"/>
        </w:rPr>
        <w:t> </w:t>
      </w:r>
      <w:r>
        <w:rPr/>
        <w:t>бы</w:t>
      </w:r>
      <w:r>
        <w:rPr>
          <w:spacing w:val="-3"/>
        </w:rPr>
        <w:t> </w:t>
      </w:r>
      <w:r>
        <w:rPr/>
        <w:t>про</w:t>
      </w:r>
      <w:r>
        <w:rPr>
          <w:spacing w:val="-3"/>
        </w:rPr>
        <w:t> </w:t>
      </w:r>
      <w:r>
        <w:rPr/>
        <w:t>меня</w:t>
      </w:r>
      <w:r>
        <w:rPr>
          <w:spacing w:val="-3"/>
        </w:rPr>
        <w:t> </w:t>
      </w:r>
      <w:r>
        <w:rPr/>
        <w:t>знать?».</w:t>
      </w:r>
      <w:r>
        <w:rPr>
          <w:spacing w:val="-3"/>
        </w:rPr>
        <w:t> </w:t>
      </w:r>
      <w:r>
        <w:rPr/>
        <w:t>Технологию</w:t>
      </w:r>
      <w:r>
        <w:rPr>
          <w:spacing w:val="-3"/>
        </w:rPr>
        <w:t> </w:t>
      </w:r>
      <w:r>
        <w:rPr/>
        <w:t>работы</w:t>
      </w:r>
      <w:r>
        <w:rPr>
          <w:spacing w:val="-3"/>
        </w:rPr>
        <w:t> </w:t>
      </w:r>
      <w:r>
        <w:rPr/>
        <w:t>с</w:t>
      </w:r>
      <w:r>
        <w:rPr>
          <w:spacing w:val="-3"/>
        </w:rPr>
        <w:t> </w:t>
      </w:r>
      <w:r>
        <w:rPr/>
        <w:t>комиксами можно</w:t>
      </w:r>
      <w:r>
        <w:rPr>
          <w:spacing w:val="-13"/>
        </w:rPr>
        <w:t> </w:t>
      </w:r>
      <w:r>
        <w:rPr/>
        <w:t>изучить</w:t>
      </w:r>
      <w:r>
        <w:rPr>
          <w:spacing w:val="-12"/>
        </w:rPr>
        <w:t> </w:t>
      </w:r>
      <w:r>
        <w:rPr/>
        <w:t>по</w:t>
      </w:r>
      <w:r>
        <w:rPr>
          <w:spacing w:val="-13"/>
        </w:rPr>
        <w:t> </w:t>
      </w:r>
      <w:r>
        <w:rPr/>
        <w:t>соответствующему</w:t>
      </w:r>
      <w:r>
        <w:rPr>
          <w:spacing w:val="-12"/>
        </w:rPr>
        <w:t> </w:t>
      </w:r>
      <w:r>
        <w:rPr/>
        <w:t>пособию</w:t>
      </w:r>
      <w:r>
        <w:rPr>
          <w:spacing w:val="-13"/>
        </w:rPr>
        <w:t> </w:t>
      </w:r>
      <w:r>
        <w:rPr/>
        <w:t>(Комиксы…,</w:t>
      </w:r>
      <w:r>
        <w:rPr>
          <w:spacing w:val="-12"/>
        </w:rPr>
        <w:t> </w:t>
      </w:r>
      <w:r>
        <w:rPr/>
        <w:t>2015).</w:t>
      </w:r>
      <w:r>
        <w:rPr>
          <w:spacing w:val="-13"/>
        </w:rPr>
        <w:t> </w:t>
      </w:r>
      <w:r>
        <w:rPr>
          <w:color w:val="231F20"/>
        </w:rPr>
        <w:t>В</w:t>
      </w:r>
      <w:r>
        <w:rPr>
          <w:color w:val="231F20"/>
          <w:spacing w:val="-12"/>
        </w:rPr>
        <w:t> </w:t>
      </w:r>
      <w:r>
        <w:rPr>
          <w:color w:val="231F20"/>
        </w:rPr>
        <w:t>случае</w:t>
      </w:r>
      <w:r>
        <w:rPr>
          <w:color w:val="231F20"/>
          <w:spacing w:val="-13"/>
        </w:rPr>
        <w:t> </w:t>
      </w:r>
      <w:r>
        <w:rPr>
          <w:color w:val="231F20"/>
        </w:rPr>
        <w:t>работы</w:t>
      </w:r>
      <w:r>
        <w:rPr>
          <w:color w:val="231F20"/>
          <w:spacing w:val="-12"/>
        </w:rPr>
        <w:t> </w:t>
      </w:r>
      <w:r>
        <w:rPr>
          <w:color w:val="231F20"/>
        </w:rPr>
        <w:t>с целым классом комиксы можно рисовать в мини-группах по 2–4 ребенка.</w:t>
      </w:r>
    </w:p>
    <w:p>
      <w:pPr>
        <w:pStyle w:val="BodyText"/>
        <w:spacing w:line="235" w:lineRule="auto" w:before="3"/>
        <w:ind w:right="140"/>
      </w:pPr>
      <w:r>
        <w:rPr>
          <w:color w:val="231F20"/>
        </w:rPr>
        <w:t>После завершения подготовки к работе можно предложить ребенку подготовить видеопрезентацию своего комикса или рассказ о нем.</w:t>
      </w:r>
    </w:p>
    <w:p>
      <w:pPr>
        <w:pStyle w:val="BodyText"/>
        <w:spacing w:line="235" w:lineRule="auto" w:before="1"/>
      </w:pPr>
      <w:r>
        <w:rPr>
          <w:color w:val="231F20"/>
        </w:rPr>
        <w:t>После завершения работы комикс и сопутствующие видеоматериалы (если име- ются) в электронном виде передаются коллегам по проекту из других регионов. По- сле завершения обмена каждый специалист показывает своему подопечному комик- сы детей из других регионов (и их презентации, при наличии).</w:t>
      </w:r>
    </w:p>
    <w:p>
      <w:pPr>
        <w:spacing w:line="227" w:lineRule="exact" w:before="0"/>
        <w:ind w:left="425" w:right="0" w:firstLine="0"/>
        <w:jc w:val="both"/>
        <w:rPr>
          <w:i/>
          <w:sz w:val="20"/>
        </w:rPr>
      </w:pPr>
      <w:r>
        <w:rPr>
          <w:i/>
          <w:color w:val="231F20"/>
          <w:sz w:val="20"/>
        </w:rPr>
        <w:t>Основные</w:t>
      </w:r>
      <w:r>
        <w:rPr>
          <w:i/>
          <w:color w:val="231F20"/>
          <w:spacing w:val="-3"/>
          <w:sz w:val="20"/>
        </w:rPr>
        <w:t> </w:t>
      </w:r>
      <w:r>
        <w:rPr>
          <w:i/>
          <w:color w:val="231F20"/>
          <w:sz w:val="20"/>
        </w:rPr>
        <w:t>вопросы</w:t>
      </w:r>
      <w:r>
        <w:rPr>
          <w:i/>
          <w:color w:val="231F20"/>
          <w:spacing w:val="-4"/>
          <w:sz w:val="20"/>
        </w:rPr>
        <w:t> </w:t>
      </w:r>
      <w:r>
        <w:rPr>
          <w:i/>
          <w:color w:val="231F20"/>
          <w:sz w:val="20"/>
        </w:rPr>
        <w:t>для</w:t>
      </w:r>
      <w:r>
        <w:rPr>
          <w:i/>
          <w:color w:val="231F20"/>
          <w:spacing w:val="-2"/>
          <w:sz w:val="20"/>
        </w:rPr>
        <w:t> обсуждения:</w:t>
      </w:r>
    </w:p>
    <w:p>
      <w:pPr>
        <w:pStyle w:val="ListParagraph"/>
        <w:numPr>
          <w:ilvl w:val="0"/>
          <w:numId w:val="142"/>
        </w:numPr>
        <w:tabs>
          <w:tab w:pos="424" w:val="left" w:leader="none"/>
        </w:tabs>
        <w:spacing w:line="226" w:lineRule="exact" w:before="0" w:after="0"/>
        <w:ind w:left="424" w:right="0" w:hanging="283"/>
        <w:jc w:val="left"/>
        <w:rPr>
          <w:sz w:val="20"/>
        </w:rPr>
      </w:pPr>
      <w:r>
        <w:rPr>
          <w:color w:val="231F20"/>
          <w:sz w:val="20"/>
        </w:rPr>
        <w:t>Что</w:t>
      </w:r>
      <w:r>
        <w:rPr>
          <w:color w:val="231F20"/>
          <w:spacing w:val="-7"/>
          <w:sz w:val="20"/>
        </w:rPr>
        <w:t> </w:t>
      </w:r>
      <w:r>
        <w:rPr>
          <w:color w:val="231F20"/>
          <w:sz w:val="20"/>
        </w:rPr>
        <w:t>тебя</w:t>
      </w:r>
      <w:r>
        <w:rPr>
          <w:color w:val="231F20"/>
          <w:spacing w:val="-7"/>
          <w:sz w:val="20"/>
        </w:rPr>
        <w:t> </w:t>
      </w:r>
      <w:r>
        <w:rPr>
          <w:color w:val="231F20"/>
          <w:sz w:val="20"/>
        </w:rPr>
        <w:t>удивило,</w:t>
      </w:r>
      <w:r>
        <w:rPr>
          <w:color w:val="231F20"/>
          <w:spacing w:val="-7"/>
          <w:sz w:val="20"/>
        </w:rPr>
        <w:t> </w:t>
      </w:r>
      <w:r>
        <w:rPr>
          <w:color w:val="231F20"/>
          <w:spacing w:val="-2"/>
          <w:sz w:val="20"/>
        </w:rPr>
        <w:t>заинтересовало?</w:t>
      </w:r>
    </w:p>
    <w:p>
      <w:pPr>
        <w:pStyle w:val="ListParagraph"/>
        <w:numPr>
          <w:ilvl w:val="0"/>
          <w:numId w:val="142"/>
        </w:numPr>
        <w:tabs>
          <w:tab w:pos="424" w:val="left" w:leader="none"/>
        </w:tabs>
        <w:spacing w:line="226" w:lineRule="exact" w:before="0" w:after="0"/>
        <w:ind w:left="424" w:right="0" w:hanging="283"/>
        <w:jc w:val="left"/>
        <w:rPr>
          <w:sz w:val="20"/>
        </w:rPr>
      </w:pPr>
      <w:r>
        <w:rPr>
          <w:color w:val="231F20"/>
          <w:sz w:val="20"/>
        </w:rPr>
        <w:t>В</w:t>
      </w:r>
      <w:r>
        <w:rPr>
          <w:color w:val="231F20"/>
          <w:spacing w:val="-6"/>
          <w:sz w:val="20"/>
        </w:rPr>
        <w:t> </w:t>
      </w:r>
      <w:r>
        <w:rPr>
          <w:color w:val="231F20"/>
          <w:sz w:val="20"/>
        </w:rPr>
        <w:t>чем</w:t>
      </w:r>
      <w:r>
        <w:rPr>
          <w:color w:val="231F20"/>
          <w:spacing w:val="-6"/>
          <w:sz w:val="20"/>
        </w:rPr>
        <w:t> </w:t>
      </w:r>
      <w:r>
        <w:rPr>
          <w:color w:val="231F20"/>
          <w:sz w:val="20"/>
        </w:rPr>
        <w:t>ты</w:t>
      </w:r>
      <w:r>
        <w:rPr>
          <w:color w:val="231F20"/>
          <w:spacing w:val="-6"/>
          <w:sz w:val="20"/>
        </w:rPr>
        <w:t> </w:t>
      </w:r>
      <w:r>
        <w:rPr>
          <w:color w:val="231F20"/>
          <w:sz w:val="20"/>
        </w:rPr>
        <w:t>видишь</w:t>
      </w:r>
      <w:r>
        <w:rPr>
          <w:color w:val="231F20"/>
          <w:spacing w:val="-7"/>
          <w:sz w:val="20"/>
        </w:rPr>
        <w:t> </w:t>
      </w:r>
      <w:r>
        <w:rPr>
          <w:color w:val="231F20"/>
          <w:sz w:val="20"/>
        </w:rPr>
        <w:t>схожесть</w:t>
      </w:r>
      <w:r>
        <w:rPr>
          <w:color w:val="231F20"/>
          <w:spacing w:val="-7"/>
          <w:sz w:val="20"/>
        </w:rPr>
        <w:t> </w:t>
      </w:r>
      <w:r>
        <w:rPr>
          <w:color w:val="231F20"/>
          <w:sz w:val="20"/>
        </w:rPr>
        <w:t>между</w:t>
      </w:r>
      <w:r>
        <w:rPr>
          <w:color w:val="231F20"/>
          <w:spacing w:val="-6"/>
          <w:sz w:val="20"/>
        </w:rPr>
        <w:t> </w:t>
      </w:r>
      <w:r>
        <w:rPr>
          <w:color w:val="231F20"/>
          <w:sz w:val="20"/>
        </w:rPr>
        <w:t>автором</w:t>
      </w:r>
      <w:r>
        <w:rPr>
          <w:color w:val="231F20"/>
          <w:spacing w:val="-6"/>
          <w:sz w:val="20"/>
        </w:rPr>
        <w:t> </w:t>
      </w:r>
      <w:r>
        <w:rPr>
          <w:color w:val="231F20"/>
          <w:sz w:val="20"/>
        </w:rPr>
        <w:t>комикса</w:t>
      </w:r>
      <w:r>
        <w:rPr>
          <w:color w:val="231F20"/>
          <w:spacing w:val="-6"/>
          <w:sz w:val="20"/>
        </w:rPr>
        <w:t> </w:t>
      </w:r>
      <w:r>
        <w:rPr>
          <w:color w:val="231F20"/>
          <w:sz w:val="20"/>
        </w:rPr>
        <w:t>и</w:t>
      </w:r>
      <w:r>
        <w:rPr>
          <w:color w:val="231F20"/>
          <w:spacing w:val="-6"/>
          <w:sz w:val="20"/>
        </w:rPr>
        <w:t> </w:t>
      </w:r>
      <w:r>
        <w:rPr>
          <w:color w:val="231F20"/>
          <w:spacing w:val="-2"/>
          <w:sz w:val="20"/>
        </w:rPr>
        <w:t>тобой?</w:t>
      </w:r>
    </w:p>
    <w:p>
      <w:pPr>
        <w:pStyle w:val="ListParagraph"/>
        <w:numPr>
          <w:ilvl w:val="0"/>
          <w:numId w:val="142"/>
        </w:numPr>
        <w:tabs>
          <w:tab w:pos="424" w:val="left" w:leader="none"/>
        </w:tabs>
        <w:spacing w:line="226" w:lineRule="exact" w:before="0" w:after="0"/>
        <w:ind w:left="424" w:right="0" w:hanging="283"/>
        <w:jc w:val="left"/>
        <w:rPr>
          <w:sz w:val="20"/>
        </w:rPr>
      </w:pPr>
      <w:r>
        <w:rPr>
          <w:color w:val="231F20"/>
          <w:sz w:val="20"/>
        </w:rPr>
        <w:t>Что</w:t>
      </w:r>
      <w:r>
        <w:rPr>
          <w:color w:val="231F20"/>
          <w:spacing w:val="-7"/>
          <w:sz w:val="20"/>
        </w:rPr>
        <w:t> </w:t>
      </w:r>
      <w:r>
        <w:rPr>
          <w:color w:val="231F20"/>
          <w:sz w:val="20"/>
        </w:rPr>
        <w:t>тебе</w:t>
      </w:r>
      <w:r>
        <w:rPr>
          <w:color w:val="231F20"/>
          <w:spacing w:val="-6"/>
          <w:sz w:val="20"/>
        </w:rPr>
        <w:t> </w:t>
      </w:r>
      <w:r>
        <w:rPr>
          <w:color w:val="231F20"/>
          <w:sz w:val="20"/>
        </w:rPr>
        <w:t>хотелось</w:t>
      </w:r>
      <w:r>
        <w:rPr>
          <w:color w:val="231F20"/>
          <w:spacing w:val="-7"/>
          <w:sz w:val="20"/>
        </w:rPr>
        <w:t> </w:t>
      </w:r>
      <w:r>
        <w:rPr>
          <w:color w:val="231F20"/>
          <w:sz w:val="20"/>
        </w:rPr>
        <w:t>бы</w:t>
      </w:r>
      <w:r>
        <w:rPr>
          <w:color w:val="231F20"/>
          <w:spacing w:val="-6"/>
          <w:sz w:val="20"/>
        </w:rPr>
        <w:t> </w:t>
      </w:r>
      <w:r>
        <w:rPr>
          <w:color w:val="231F20"/>
          <w:sz w:val="20"/>
        </w:rPr>
        <w:t>сказать</w:t>
      </w:r>
      <w:r>
        <w:rPr>
          <w:color w:val="231F20"/>
          <w:spacing w:val="-7"/>
          <w:sz w:val="20"/>
        </w:rPr>
        <w:t> </w:t>
      </w:r>
      <w:r>
        <w:rPr>
          <w:color w:val="231F20"/>
          <w:sz w:val="20"/>
        </w:rPr>
        <w:t>автору</w:t>
      </w:r>
      <w:r>
        <w:rPr>
          <w:color w:val="231F20"/>
          <w:spacing w:val="-6"/>
          <w:sz w:val="20"/>
        </w:rPr>
        <w:t> </w:t>
      </w:r>
      <w:r>
        <w:rPr>
          <w:color w:val="231F20"/>
          <w:sz w:val="20"/>
        </w:rPr>
        <w:t>комикса?</w:t>
      </w:r>
      <w:r>
        <w:rPr>
          <w:color w:val="231F20"/>
          <w:spacing w:val="-6"/>
          <w:sz w:val="20"/>
        </w:rPr>
        <w:t> </w:t>
      </w:r>
      <w:r>
        <w:rPr>
          <w:color w:val="231F20"/>
          <w:sz w:val="20"/>
        </w:rPr>
        <w:t>О</w:t>
      </w:r>
      <w:r>
        <w:rPr>
          <w:color w:val="231F20"/>
          <w:spacing w:val="-7"/>
          <w:sz w:val="20"/>
        </w:rPr>
        <w:t> </w:t>
      </w:r>
      <w:r>
        <w:rPr>
          <w:color w:val="231F20"/>
          <w:sz w:val="20"/>
        </w:rPr>
        <w:t>чем</w:t>
      </w:r>
      <w:r>
        <w:rPr>
          <w:color w:val="231F20"/>
          <w:spacing w:val="-6"/>
          <w:sz w:val="20"/>
        </w:rPr>
        <w:t> </w:t>
      </w:r>
      <w:r>
        <w:rPr>
          <w:color w:val="231F20"/>
          <w:spacing w:val="-2"/>
          <w:sz w:val="20"/>
        </w:rPr>
        <w:t>спросить?</w:t>
      </w:r>
    </w:p>
    <w:p>
      <w:pPr>
        <w:pStyle w:val="BodyText"/>
        <w:spacing w:line="235" w:lineRule="auto" w:before="2"/>
      </w:pPr>
      <w:r>
        <w:rPr>
          <w:color w:val="231F20"/>
        </w:rPr>
        <w:t>После ознакомления с комиксами других детей ребенку предлагается написать ответ,</w:t>
      </w:r>
      <w:r>
        <w:rPr>
          <w:color w:val="231F20"/>
          <w:spacing w:val="-4"/>
        </w:rPr>
        <w:t> </w:t>
      </w:r>
      <w:r>
        <w:rPr>
          <w:color w:val="231F20"/>
        </w:rPr>
        <w:t>так</w:t>
      </w:r>
      <w:r>
        <w:rPr>
          <w:color w:val="231F20"/>
          <w:spacing w:val="-4"/>
        </w:rPr>
        <w:t> </w:t>
      </w:r>
      <w:r>
        <w:rPr>
          <w:color w:val="231F20"/>
        </w:rPr>
        <w:t>же</w:t>
      </w:r>
      <w:r>
        <w:rPr>
          <w:color w:val="231F20"/>
          <w:spacing w:val="-4"/>
        </w:rPr>
        <w:t> </w:t>
      </w:r>
      <w:r>
        <w:rPr>
          <w:color w:val="231F20"/>
        </w:rPr>
        <w:t>в</w:t>
      </w:r>
      <w:r>
        <w:rPr>
          <w:color w:val="231F20"/>
          <w:spacing w:val="-4"/>
        </w:rPr>
        <w:t> </w:t>
      </w:r>
      <w:r>
        <w:rPr>
          <w:color w:val="231F20"/>
        </w:rPr>
        <w:t>виде</w:t>
      </w:r>
      <w:r>
        <w:rPr>
          <w:color w:val="231F20"/>
          <w:spacing w:val="-4"/>
        </w:rPr>
        <w:t> </w:t>
      </w:r>
      <w:r>
        <w:rPr>
          <w:color w:val="231F20"/>
        </w:rPr>
        <w:t>комикса.</w:t>
      </w:r>
      <w:r>
        <w:rPr>
          <w:color w:val="231F20"/>
          <w:spacing w:val="-4"/>
        </w:rPr>
        <w:t> </w:t>
      </w:r>
      <w:r>
        <w:rPr>
          <w:color w:val="231F20"/>
        </w:rPr>
        <w:t>Далее</w:t>
      </w:r>
      <w:r>
        <w:rPr>
          <w:color w:val="231F20"/>
          <w:spacing w:val="-4"/>
        </w:rPr>
        <w:t> </w:t>
      </w:r>
      <w:r>
        <w:rPr>
          <w:color w:val="231F20"/>
        </w:rPr>
        <w:t>процедура</w:t>
      </w:r>
      <w:r>
        <w:rPr>
          <w:color w:val="231F20"/>
          <w:spacing w:val="-4"/>
        </w:rPr>
        <w:t> </w:t>
      </w:r>
      <w:r>
        <w:rPr>
          <w:color w:val="231F20"/>
        </w:rPr>
        <w:t>повторяется,</w:t>
      </w:r>
      <w:r>
        <w:rPr>
          <w:color w:val="231F20"/>
          <w:spacing w:val="-4"/>
        </w:rPr>
        <w:t> </w:t>
      </w:r>
      <w:r>
        <w:rPr>
          <w:color w:val="231F20"/>
        </w:rPr>
        <w:t>при</w:t>
      </w:r>
      <w:r>
        <w:rPr>
          <w:color w:val="231F20"/>
          <w:spacing w:val="-4"/>
        </w:rPr>
        <w:t> </w:t>
      </w:r>
      <w:r>
        <w:rPr>
          <w:color w:val="231F20"/>
        </w:rPr>
        <w:t>желании</w:t>
      </w:r>
      <w:r>
        <w:rPr>
          <w:color w:val="231F20"/>
          <w:spacing w:val="-4"/>
        </w:rPr>
        <w:t> </w:t>
      </w:r>
      <w:r>
        <w:rPr>
          <w:color w:val="231F20"/>
        </w:rPr>
        <w:t>детей</w:t>
      </w:r>
      <w:r>
        <w:rPr>
          <w:color w:val="231F20"/>
          <w:spacing w:val="-4"/>
        </w:rPr>
        <w:t> </w:t>
      </w:r>
      <w:r>
        <w:rPr>
          <w:color w:val="231F20"/>
        </w:rPr>
        <w:t>–</w:t>
      </w:r>
      <w:r>
        <w:rPr>
          <w:color w:val="231F20"/>
          <w:spacing w:val="-4"/>
        </w:rPr>
        <w:t> </w:t>
      </w:r>
      <w:r>
        <w:rPr>
          <w:color w:val="231F20"/>
        </w:rPr>
        <w:t>не- </w:t>
      </w:r>
      <w:r>
        <w:rPr>
          <w:color w:val="231F20"/>
          <w:spacing w:val="-2"/>
        </w:rPr>
        <w:t>однократно.</w:t>
      </w:r>
    </w:p>
    <w:p>
      <w:pPr>
        <w:pStyle w:val="BodyText"/>
        <w:spacing w:line="235" w:lineRule="auto" w:before="2"/>
      </w:pPr>
      <w:r>
        <w:rPr>
          <w:color w:val="231F20"/>
        </w:rPr>
        <w:t>Завершиться проект может онлайн-встречей, где будут показаны комиксы, нари- сованные за время реализации проекта, проведено личное знакомство детей в игро-</w:t>
      </w:r>
    </w:p>
    <w:p>
      <w:pPr>
        <w:pStyle w:val="BodyText"/>
        <w:spacing w:after="0" w:line="235" w:lineRule="auto"/>
        <w:sectPr>
          <w:pgSz w:w="8400" w:h="11910"/>
          <w:pgMar w:header="0" w:footer="527" w:top="400" w:bottom="720" w:left="425" w:right="425"/>
        </w:sectPr>
      </w:pPr>
    </w:p>
    <w:p>
      <w:pPr>
        <w:pStyle w:val="ListParagraph"/>
        <w:numPr>
          <w:ilvl w:val="1"/>
          <w:numId w:val="96"/>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Методы</w:t>
      </w:r>
      <w:r>
        <w:rPr>
          <w:rFonts w:ascii="Georgia" w:hAnsi="Georgia"/>
          <w:color w:val="231F20"/>
          <w:spacing w:val="-2"/>
          <w:sz w:val="18"/>
        </w:rPr>
        <w:t> </w:t>
      </w:r>
      <w:r>
        <w:rPr>
          <w:rFonts w:ascii="Georgia" w:hAnsi="Georgia"/>
          <w:color w:val="231F20"/>
          <w:sz w:val="18"/>
        </w:rPr>
        <w:t>воспитательной</w:t>
      </w:r>
      <w:r>
        <w:rPr>
          <w:rFonts w:ascii="Georgia" w:hAnsi="Georgia"/>
          <w:color w:val="231F20"/>
          <w:spacing w:val="-1"/>
          <w:sz w:val="18"/>
        </w:rPr>
        <w:t> </w:t>
      </w:r>
      <w:r>
        <w:rPr>
          <w:rFonts w:ascii="Georgia" w:hAnsi="Georgia"/>
          <w:color w:val="231F20"/>
          <w:sz w:val="18"/>
        </w:rPr>
        <w:t>раюоты</w:t>
      </w:r>
      <w:r>
        <w:rPr>
          <w:rFonts w:ascii="Georgia" w:hAnsi="Georgia"/>
          <w:color w:val="231F20"/>
          <w:spacing w:val="-1"/>
          <w:sz w:val="18"/>
        </w:rPr>
        <w:t> </w:t>
      </w:r>
      <w:r>
        <w:rPr>
          <w:rFonts w:ascii="Georgia" w:hAnsi="Georgia"/>
          <w:color w:val="231F20"/>
          <w:sz w:val="18"/>
        </w:rPr>
        <w:t>для</w:t>
      </w:r>
      <w:r>
        <w:rPr>
          <w:rFonts w:ascii="Georgia" w:hAnsi="Georgia"/>
          <w:color w:val="231F20"/>
          <w:spacing w:val="-1"/>
          <w:sz w:val="18"/>
        </w:rPr>
        <w:t> </w:t>
      </w:r>
      <w:r>
        <w:rPr>
          <w:rFonts w:ascii="Georgia" w:hAnsi="Georgia"/>
          <w:color w:val="231F20"/>
          <w:sz w:val="18"/>
        </w:rPr>
        <w:t>адаптации</w:t>
      </w:r>
      <w:r>
        <w:rPr>
          <w:rFonts w:ascii="Georgia" w:hAnsi="Georgia"/>
          <w:color w:val="231F20"/>
          <w:spacing w:val="-1"/>
          <w:sz w:val="18"/>
        </w:rPr>
        <w:t> </w:t>
      </w:r>
      <w:r>
        <w:rPr>
          <w:rFonts w:ascii="Georgia" w:hAnsi="Georgia"/>
          <w:color w:val="231F20"/>
          <w:sz w:val="18"/>
        </w:rPr>
        <w:t>...</w:t>
      </w:r>
      <w:r>
        <w:rPr>
          <w:rFonts w:ascii="Georgia" w:hAnsi="Georgia"/>
          <w:color w:val="231F20"/>
          <w:spacing w:val="-1"/>
          <w:sz w:val="18"/>
        </w:rPr>
        <w:t> </w:t>
      </w:r>
      <w:r>
        <w:rPr>
          <w:rFonts w:ascii="Georgia" w:hAnsi="Georgia"/>
          <w:color w:val="231F20"/>
          <w:sz w:val="18"/>
        </w:rPr>
        <w:t>во</w:t>
      </w:r>
      <w:r>
        <w:rPr>
          <w:rFonts w:ascii="Georgia" w:hAnsi="Georgia"/>
          <w:color w:val="231F20"/>
          <w:spacing w:val="-1"/>
          <w:sz w:val="18"/>
        </w:rPr>
        <w:t> </w:t>
      </w:r>
      <w:r>
        <w:rPr>
          <w:rFonts w:ascii="Georgia" w:hAnsi="Georgia"/>
          <w:color w:val="231F20"/>
          <w:spacing w:val="-2"/>
          <w:sz w:val="18"/>
        </w:rPr>
        <w:t>взаимодействии...</w:t>
      </w:r>
    </w:p>
    <w:p>
      <w:pPr>
        <w:pStyle w:val="BodyText"/>
        <w:spacing w:line="235" w:lineRule="auto" w:before="116"/>
        <w:ind w:firstLine="0"/>
      </w:pPr>
      <w:r>
        <w:rPr>
          <w:color w:val="231F20"/>
        </w:rPr>
        <w:t>вой</w:t>
      </w:r>
      <w:r>
        <w:rPr>
          <w:color w:val="231F20"/>
          <w:spacing w:val="-13"/>
        </w:rPr>
        <w:t> </w:t>
      </w:r>
      <w:r>
        <w:rPr>
          <w:color w:val="231F20"/>
        </w:rPr>
        <w:t>и</w:t>
      </w:r>
      <w:r>
        <w:rPr>
          <w:color w:val="231F20"/>
          <w:spacing w:val="-12"/>
        </w:rPr>
        <w:t> </w:t>
      </w:r>
      <w:r>
        <w:rPr>
          <w:color w:val="231F20"/>
        </w:rPr>
        <w:t>занимательной</w:t>
      </w:r>
      <w:r>
        <w:rPr>
          <w:color w:val="231F20"/>
          <w:spacing w:val="-13"/>
        </w:rPr>
        <w:t> </w:t>
      </w:r>
      <w:r>
        <w:rPr>
          <w:color w:val="231F20"/>
        </w:rPr>
        <w:t>форме.</w:t>
      </w:r>
      <w:r>
        <w:rPr>
          <w:color w:val="231F20"/>
          <w:spacing w:val="-12"/>
        </w:rPr>
        <w:t> </w:t>
      </w:r>
      <w:r>
        <w:rPr>
          <w:color w:val="231F20"/>
        </w:rPr>
        <w:t>Самое</w:t>
      </w:r>
      <w:r>
        <w:rPr>
          <w:color w:val="231F20"/>
          <w:spacing w:val="-13"/>
        </w:rPr>
        <w:t> </w:t>
      </w:r>
      <w:r>
        <w:rPr>
          <w:color w:val="231F20"/>
        </w:rPr>
        <w:t>важное</w:t>
      </w:r>
      <w:r>
        <w:rPr>
          <w:color w:val="231F20"/>
          <w:spacing w:val="-12"/>
        </w:rPr>
        <w:t> </w:t>
      </w:r>
      <w:r>
        <w:rPr>
          <w:color w:val="231F20"/>
        </w:rPr>
        <w:t>–</w:t>
      </w:r>
      <w:r>
        <w:rPr>
          <w:color w:val="231F20"/>
          <w:spacing w:val="-13"/>
        </w:rPr>
        <w:t> </w:t>
      </w:r>
      <w:r>
        <w:rPr>
          <w:color w:val="231F20"/>
        </w:rPr>
        <w:t>это</w:t>
      </w:r>
      <w:r>
        <w:rPr>
          <w:color w:val="231F20"/>
          <w:spacing w:val="-12"/>
        </w:rPr>
        <w:t> </w:t>
      </w:r>
      <w:r>
        <w:rPr>
          <w:color w:val="231F20"/>
        </w:rPr>
        <w:t>установление</w:t>
      </w:r>
      <w:r>
        <w:rPr>
          <w:color w:val="231F20"/>
          <w:spacing w:val="-13"/>
        </w:rPr>
        <w:t> </w:t>
      </w:r>
      <w:r>
        <w:rPr>
          <w:color w:val="231F20"/>
        </w:rPr>
        <w:t>личного</w:t>
      </w:r>
      <w:r>
        <w:rPr>
          <w:color w:val="231F20"/>
          <w:spacing w:val="-12"/>
        </w:rPr>
        <w:t> </w:t>
      </w:r>
      <w:r>
        <w:rPr>
          <w:color w:val="231F20"/>
        </w:rPr>
        <w:t>контакта.</w:t>
      </w:r>
      <w:r>
        <w:rPr>
          <w:color w:val="231F20"/>
          <w:spacing w:val="-13"/>
        </w:rPr>
        <w:t> </w:t>
      </w:r>
      <w:r>
        <w:rPr>
          <w:color w:val="231F20"/>
        </w:rPr>
        <w:t>При появлении</w:t>
      </w:r>
      <w:r>
        <w:rPr>
          <w:color w:val="231F20"/>
          <w:spacing w:val="-1"/>
        </w:rPr>
        <w:t> </w:t>
      </w:r>
      <w:r>
        <w:rPr>
          <w:color w:val="231F20"/>
        </w:rPr>
        <w:t>желания</w:t>
      </w:r>
      <w:r>
        <w:rPr>
          <w:color w:val="231F20"/>
          <w:spacing w:val="-1"/>
        </w:rPr>
        <w:t> </w:t>
      </w:r>
      <w:r>
        <w:rPr>
          <w:color w:val="231F20"/>
        </w:rPr>
        <w:t>к</w:t>
      </w:r>
      <w:r>
        <w:rPr>
          <w:color w:val="231F20"/>
          <w:spacing w:val="-1"/>
        </w:rPr>
        <w:t> </w:t>
      </w:r>
      <w:r>
        <w:rPr>
          <w:color w:val="231F20"/>
        </w:rPr>
        <w:t>личному</w:t>
      </w:r>
      <w:r>
        <w:rPr>
          <w:color w:val="231F20"/>
          <w:spacing w:val="-1"/>
        </w:rPr>
        <w:t> </w:t>
      </w:r>
      <w:r>
        <w:rPr>
          <w:color w:val="231F20"/>
        </w:rPr>
        <w:t>взаимодействию</w:t>
      </w:r>
      <w:r>
        <w:rPr>
          <w:color w:val="231F20"/>
          <w:spacing w:val="-1"/>
        </w:rPr>
        <w:t> </w:t>
      </w:r>
      <w:r>
        <w:rPr>
          <w:color w:val="231F20"/>
        </w:rPr>
        <w:t>с</w:t>
      </w:r>
      <w:r>
        <w:rPr>
          <w:color w:val="231F20"/>
          <w:spacing w:val="-1"/>
        </w:rPr>
        <w:t> </w:t>
      </w:r>
      <w:r>
        <w:rPr>
          <w:color w:val="231F20"/>
        </w:rPr>
        <w:t>ребенком</w:t>
      </w:r>
      <w:r>
        <w:rPr>
          <w:color w:val="231F20"/>
          <w:spacing w:val="-1"/>
        </w:rPr>
        <w:t> </w:t>
      </w:r>
      <w:r>
        <w:rPr>
          <w:color w:val="231F20"/>
        </w:rPr>
        <w:t>из</w:t>
      </w:r>
      <w:r>
        <w:rPr>
          <w:color w:val="231F20"/>
          <w:spacing w:val="-1"/>
        </w:rPr>
        <w:t> </w:t>
      </w:r>
      <w:r>
        <w:rPr>
          <w:color w:val="231F20"/>
        </w:rPr>
        <w:t>другого</w:t>
      </w:r>
      <w:r>
        <w:rPr>
          <w:color w:val="231F20"/>
          <w:spacing w:val="-1"/>
        </w:rPr>
        <w:t> </w:t>
      </w:r>
      <w:r>
        <w:rPr>
          <w:color w:val="231F20"/>
        </w:rPr>
        <w:t>региона</w:t>
      </w:r>
      <w:r>
        <w:rPr>
          <w:color w:val="231F20"/>
          <w:spacing w:val="-1"/>
        </w:rPr>
        <w:t> </w:t>
      </w:r>
      <w:r>
        <w:rPr>
          <w:color w:val="231F20"/>
        </w:rPr>
        <w:t>стра- ны следует максимально это поощрить.</w:t>
      </w:r>
    </w:p>
    <w:p>
      <w:pPr>
        <w:spacing w:line="228" w:lineRule="exact" w:before="111"/>
        <w:ind w:left="425" w:right="0" w:firstLine="0"/>
        <w:jc w:val="both"/>
        <w:rPr>
          <w:b/>
          <w:sz w:val="20"/>
        </w:rPr>
      </w:pPr>
      <w:r>
        <w:rPr>
          <w:b/>
          <w:color w:val="231F20"/>
          <w:sz w:val="20"/>
        </w:rPr>
        <w:t>Путешествия</w:t>
      </w:r>
      <w:r>
        <w:rPr>
          <w:b/>
          <w:color w:val="231F20"/>
          <w:spacing w:val="2"/>
          <w:sz w:val="20"/>
        </w:rPr>
        <w:t> </w:t>
      </w:r>
      <w:r>
        <w:rPr>
          <w:b/>
          <w:color w:val="231F20"/>
          <w:spacing w:val="-2"/>
          <w:sz w:val="20"/>
        </w:rPr>
        <w:t>комиксов</w:t>
      </w:r>
    </w:p>
    <w:p>
      <w:pPr>
        <w:pStyle w:val="BodyText"/>
        <w:spacing w:line="235" w:lineRule="auto" w:before="2"/>
      </w:pPr>
      <w:r>
        <w:rPr>
          <w:color w:val="231F20"/>
        </w:rPr>
        <w:t>Существуют</w:t>
      </w:r>
      <w:r>
        <w:rPr>
          <w:color w:val="231F20"/>
          <w:spacing w:val="-13"/>
        </w:rPr>
        <w:t> </w:t>
      </w:r>
      <w:r>
        <w:rPr>
          <w:color w:val="231F20"/>
        </w:rPr>
        <w:t>большие</w:t>
      </w:r>
      <w:r>
        <w:rPr>
          <w:color w:val="231F20"/>
          <w:spacing w:val="-12"/>
        </w:rPr>
        <w:t> </w:t>
      </w:r>
      <w:r>
        <w:rPr>
          <w:color w:val="231F20"/>
        </w:rPr>
        <w:t>ресурсы</w:t>
      </w:r>
      <w:r>
        <w:rPr>
          <w:color w:val="231F20"/>
          <w:spacing w:val="-13"/>
        </w:rPr>
        <w:t> </w:t>
      </w:r>
      <w:r>
        <w:rPr>
          <w:color w:val="231F20"/>
        </w:rPr>
        <w:t>использования</w:t>
      </w:r>
      <w:r>
        <w:rPr>
          <w:color w:val="231F20"/>
          <w:spacing w:val="-12"/>
        </w:rPr>
        <w:t> </w:t>
      </w:r>
      <w:r>
        <w:rPr>
          <w:color w:val="231F20"/>
        </w:rPr>
        <w:t>комикса</w:t>
      </w:r>
      <w:r>
        <w:rPr>
          <w:color w:val="231F20"/>
          <w:spacing w:val="-13"/>
        </w:rPr>
        <w:t> </w:t>
      </w:r>
      <w:r>
        <w:rPr>
          <w:color w:val="231F20"/>
        </w:rPr>
        <w:t>как</w:t>
      </w:r>
      <w:r>
        <w:rPr>
          <w:color w:val="231F20"/>
          <w:spacing w:val="-12"/>
        </w:rPr>
        <w:t> </w:t>
      </w:r>
      <w:r>
        <w:rPr>
          <w:color w:val="231F20"/>
        </w:rPr>
        <w:t>публичной</w:t>
      </w:r>
      <w:r>
        <w:rPr>
          <w:color w:val="231F20"/>
          <w:spacing w:val="-13"/>
        </w:rPr>
        <w:t> </w:t>
      </w:r>
      <w:r>
        <w:rPr>
          <w:color w:val="231F20"/>
        </w:rPr>
        <w:t>социальной практики.</w:t>
      </w:r>
      <w:r>
        <w:rPr>
          <w:color w:val="231F20"/>
          <w:spacing w:val="-13"/>
        </w:rPr>
        <w:t> </w:t>
      </w:r>
      <w:r>
        <w:rPr>
          <w:color w:val="231F20"/>
        </w:rPr>
        <w:t>Например,</w:t>
      </w:r>
      <w:r>
        <w:rPr>
          <w:color w:val="231F20"/>
          <w:spacing w:val="-12"/>
        </w:rPr>
        <w:t> </w:t>
      </w:r>
      <w:r>
        <w:rPr>
          <w:color w:val="231F20"/>
        </w:rPr>
        <w:t>выставка</w:t>
      </w:r>
      <w:r>
        <w:rPr>
          <w:color w:val="231F20"/>
          <w:spacing w:val="-13"/>
        </w:rPr>
        <w:t> </w:t>
      </w:r>
      <w:r>
        <w:rPr>
          <w:color w:val="231F20"/>
        </w:rPr>
        <w:t>комиксов,</w:t>
      </w:r>
      <w:r>
        <w:rPr>
          <w:color w:val="231F20"/>
          <w:spacing w:val="-12"/>
        </w:rPr>
        <w:t> </w:t>
      </w:r>
      <w:r>
        <w:rPr>
          <w:color w:val="231F20"/>
        </w:rPr>
        <w:t>нарисованных</w:t>
      </w:r>
      <w:r>
        <w:rPr>
          <w:color w:val="231F20"/>
          <w:spacing w:val="-13"/>
        </w:rPr>
        <w:t> </w:t>
      </w:r>
      <w:r>
        <w:rPr>
          <w:color w:val="231F20"/>
        </w:rPr>
        <w:t>в</w:t>
      </w:r>
      <w:r>
        <w:rPr>
          <w:color w:val="231F20"/>
          <w:spacing w:val="-12"/>
        </w:rPr>
        <w:t> </w:t>
      </w:r>
      <w:r>
        <w:rPr>
          <w:color w:val="231F20"/>
        </w:rPr>
        <w:t>разных</w:t>
      </w:r>
      <w:r>
        <w:rPr>
          <w:color w:val="231F20"/>
          <w:spacing w:val="-13"/>
        </w:rPr>
        <w:t> </w:t>
      </w:r>
      <w:r>
        <w:rPr>
          <w:color w:val="231F20"/>
        </w:rPr>
        <w:t>регионах</w:t>
      </w:r>
      <w:r>
        <w:rPr>
          <w:color w:val="231F20"/>
          <w:spacing w:val="-12"/>
        </w:rPr>
        <w:t> </w:t>
      </w:r>
      <w:r>
        <w:rPr>
          <w:color w:val="231F20"/>
        </w:rPr>
        <w:t>России</w:t>
      </w:r>
      <w:r>
        <w:rPr>
          <w:color w:val="231F20"/>
          <w:spacing w:val="-13"/>
        </w:rPr>
        <w:t> </w:t>
      </w:r>
      <w:r>
        <w:rPr>
          <w:color w:val="231F20"/>
        </w:rPr>
        <w:t>на национальных языках (проект «Живой язык»), курсировала по университетам Мо- сквы,</w:t>
      </w:r>
      <w:r>
        <w:rPr>
          <w:color w:val="231F20"/>
          <w:spacing w:val="-5"/>
        </w:rPr>
        <w:t> </w:t>
      </w:r>
      <w:r>
        <w:rPr>
          <w:color w:val="231F20"/>
        </w:rPr>
        <w:t>Санкт-Петербурга,</w:t>
      </w:r>
      <w:r>
        <w:rPr>
          <w:color w:val="231F20"/>
          <w:spacing w:val="-5"/>
        </w:rPr>
        <w:t> </w:t>
      </w:r>
      <w:r>
        <w:rPr>
          <w:color w:val="231F20"/>
        </w:rPr>
        <w:t>книжным</w:t>
      </w:r>
      <w:r>
        <w:rPr>
          <w:color w:val="231F20"/>
          <w:spacing w:val="-4"/>
        </w:rPr>
        <w:t> </w:t>
      </w:r>
      <w:r>
        <w:rPr>
          <w:color w:val="231F20"/>
        </w:rPr>
        <w:t>ярмаркам,</w:t>
      </w:r>
      <w:r>
        <w:rPr>
          <w:color w:val="231F20"/>
          <w:spacing w:val="-5"/>
        </w:rPr>
        <w:t> </w:t>
      </w:r>
      <w:r>
        <w:rPr>
          <w:color w:val="231F20"/>
        </w:rPr>
        <w:t>фестивалям</w:t>
      </w:r>
      <w:r>
        <w:rPr>
          <w:color w:val="231F20"/>
          <w:spacing w:val="-5"/>
        </w:rPr>
        <w:t> </w:t>
      </w:r>
      <w:r>
        <w:rPr>
          <w:color w:val="231F20"/>
        </w:rPr>
        <w:t>комиксов</w:t>
      </w:r>
      <w:r>
        <w:rPr>
          <w:color w:val="231F20"/>
          <w:spacing w:val="-5"/>
        </w:rPr>
        <w:t> </w:t>
      </w:r>
      <w:r>
        <w:rPr>
          <w:color w:val="231F20"/>
        </w:rPr>
        <w:t>в</w:t>
      </w:r>
      <w:r>
        <w:rPr>
          <w:color w:val="231F20"/>
          <w:spacing w:val="-5"/>
        </w:rPr>
        <w:t> </w:t>
      </w:r>
      <w:r>
        <w:rPr>
          <w:color w:val="231F20"/>
        </w:rPr>
        <w:t>России</w:t>
      </w:r>
      <w:r>
        <w:rPr>
          <w:color w:val="231F20"/>
          <w:spacing w:val="-5"/>
        </w:rPr>
        <w:t> </w:t>
      </w:r>
      <w:r>
        <w:rPr>
          <w:color w:val="231F20"/>
        </w:rPr>
        <w:t>и</w:t>
      </w:r>
      <w:r>
        <w:rPr>
          <w:color w:val="231F20"/>
          <w:spacing w:val="-5"/>
        </w:rPr>
        <w:t> </w:t>
      </w:r>
      <w:r>
        <w:rPr>
          <w:color w:val="231F20"/>
        </w:rPr>
        <w:t>Фин- ляндии. Таким образом читатели знакомились с географией</w:t>
      </w:r>
      <w:r>
        <w:rPr/>
        <w:t>, историей, мифологией, языками и алфавитами регионов.</w:t>
      </w:r>
    </w:p>
    <w:p>
      <w:pPr>
        <w:pStyle w:val="BodyText"/>
        <w:spacing w:line="235" w:lineRule="auto" w:before="4"/>
      </w:pPr>
      <w:r>
        <w:rPr/>
        <w:t>В Финляндии активисты, помогающие беженцам, в 2015–2019 гг. проводили серию комикс-мастер-классов для беженцев из стран Ближнего Востока (с перево- дом на арабский). Личные истории, полученные на мастер-классах, были показаны</w:t>
      </w:r>
      <w:r>
        <w:rPr>
          <w:spacing w:val="80"/>
        </w:rPr>
        <w:t> </w:t>
      </w:r>
      <w:r>
        <w:rPr/>
        <w:t>в форме живой выставки на площади перед центральным вокзалом Хельсинки и в художественных</w:t>
      </w:r>
      <w:r>
        <w:rPr>
          <w:spacing w:val="-2"/>
        </w:rPr>
        <w:t> </w:t>
      </w:r>
      <w:r>
        <w:rPr/>
        <w:t>галереях</w:t>
      </w:r>
      <w:r>
        <w:rPr>
          <w:spacing w:val="-2"/>
        </w:rPr>
        <w:t> </w:t>
      </w:r>
      <w:r>
        <w:rPr/>
        <w:t>страны.</w:t>
      </w:r>
      <w:r>
        <w:rPr>
          <w:spacing w:val="-2"/>
        </w:rPr>
        <w:t> </w:t>
      </w:r>
      <w:r>
        <w:rPr/>
        <w:t>Во</w:t>
      </w:r>
      <w:r>
        <w:rPr>
          <w:spacing w:val="-2"/>
        </w:rPr>
        <w:t> </w:t>
      </w:r>
      <w:r>
        <w:rPr/>
        <w:t>время</w:t>
      </w:r>
      <w:r>
        <w:rPr>
          <w:spacing w:val="-2"/>
        </w:rPr>
        <w:t> </w:t>
      </w:r>
      <w:r>
        <w:rPr/>
        <w:t>показа</w:t>
      </w:r>
      <w:r>
        <w:rPr>
          <w:spacing w:val="-2"/>
        </w:rPr>
        <w:t> </w:t>
      </w:r>
      <w:r>
        <w:rPr/>
        <w:t>живой</w:t>
      </w:r>
      <w:r>
        <w:rPr>
          <w:spacing w:val="-2"/>
        </w:rPr>
        <w:t> </w:t>
      </w:r>
      <w:r>
        <w:rPr/>
        <w:t>выставки</w:t>
      </w:r>
      <w:r>
        <w:rPr>
          <w:spacing w:val="-2"/>
        </w:rPr>
        <w:t> </w:t>
      </w:r>
      <w:r>
        <w:rPr/>
        <w:t>ведущие</w:t>
      </w:r>
      <w:r>
        <w:rPr>
          <w:spacing w:val="-2"/>
        </w:rPr>
        <w:t> </w:t>
      </w:r>
      <w:r>
        <w:rPr/>
        <w:t>и</w:t>
      </w:r>
      <w:r>
        <w:rPr>
          <w:spacing w:val="-2"/>
        </w:rPr>
        <w:t> </w:t>
      </w:r>
      <w:r>
        <w:rPr/>
        <w:t>авто- ры комиксов держали в руках работы на листах формата А3, и любой прохожий мог прочитать</w:t>
      </w:r>
      <w:r>
        <w:rPr>
          <w:spacing w:val="-4"/>
        </w:rPr>
        <w:t> </w:t>
      </w:r>
      <w:r>
        <w:rPr/>
        <w:t>историю.</w:t>
      </w:r>
      <w:r>
        <w:rPr>
          <w:spacing w:val="-4"/>
        </w:rPr>
        <w:t> </w:t>
      </w:r>
      <w:r>
        <w:rPr/>
        <w:t>Такие</w:t>
      </w:r>
      <w:r>
        <w:rPr>
          <w:spacing w:val="-4"/>
        </w:rPr>
        <w:t> </w:t>
      </w:r>
      <w:r>
        <w:rPr/>
        <w:t>выставки</w:t>
      </w:r>
      <w:r>
        <w:rPr>
          <w:spacing w:val="-4"/>
        </w:rPr>
        <w:t> </w:t>
      </w:r>
      <w:r>
        <w:rPr/>
        <w:t>делают</w:t>
      </w:r>
      <w:r>
        <w:rPr>
          <w:spacing w:val="-4"/>
        </w:rPr>
        <w:t> </w:t>
      </w:r>
      <w:r>
        <w:rPr/>
        <w:t>личную</w:t>
      </w:r>
      <w:r>
        <w:rPr>
          <w:spacing w:val="-4"/>
        </w:rPr>
        <w:t> </w:t>
      </w:r>
      <w:r>
        <w:rPr/>
        <w:t>историю</w:t>
      </w:r>
      <w:r>
        <w:rPr>
          <w:spacing w:val="-4"/>
        </w:rPr>
        <w:t> </w:t>
      </w:r>
      <w:r>
        <w:rPr/>
        <w:t>меньшинства</w:t>
      </w:r>
      <w:r>
        <w:rPr>
          <w:spacing w:val="-4"/>
        </w:rPr>
        <w:t> </w:t>
      </w:r>
      <w:r>
        <w:rPr/>
        <w:t>видимой большинству и помогают установить живой диалог между непересекающимися со- циальными</w:t>
      </w:r>
      <w:r>
        <w:rPr>
          <w:spacing w:val="-11"/>
        </w:rPr>
        <w:t> </w:t>
      </w:r>
      <w:r>
        <w:rPr/>
        <w:t>слоями</w:t>
      </w:r>
      <w:r>
        <w:rPr>
          <w:spacing w:val="-11"/>
        </w:rPr>
        <w:t> </w:t>
      </w:r>
      <w:r>
        <w:rPr/>
        <w:t>общества.</w:t>
      </w:r>
      <w:r>
        <w:rPr>
          <w:spacing w:val="-11"/>
        </w:rPr>
        <w:t> </w:t>
      </w:r>
      <w:r>
        <w:rPr/>
        <w:t>Визуальный</w:t>
      </w:r>
      <w:r>
        <w:rPr>
          <w:spacing w:val="-11"/>
        </w:rPr>
        <w:t> </w:t>
      </w:r>
      <w:r>
        <w:rPr/>
        <w:t>нарратив</w:t>
      </w:r>
      <w:r>
        <w:rPr>
          <w:spacing w:val="-11"/>
        </w:rPr>
        <w:t> </w:t>
      </w:r>
      <w:r>
        <w:rPr/>
        <w:t>также</w:t>
      </w:r>
      <w:r>
        <w:rPr>
          <w:spacing w:val="-11"/>
        </w:rPr>
        <w:t> </w:t>
      </w:r>
      <w:r>
        <w:rPr/>
        <w:t>более</w:t>
      </w:r>
      <w:r>
        <w:rPr>
          <w:spacing w:val="-11"/>
        </w:rPr>
        <w:t> </w:t>
      </w:r>
      <w:r>
        <w:rPr/>
        <w:t>понятен,</w:t>
      </w:r>
      <w:r>
        <w:rPr>
          <w:spacing w:val="-11"/>
        </w:rPr>
        <w:t> </w:t>
      </w:r>
      <w:r>
        <w:rPr/>
        <w:t>чем</w:t>
      </w:r>
      <w:r>
        <w:rPr>
          <w:spacing w:val="-11"/>
        </w:rPr>
        <w:t> </w:t>
      </w:r>
      <w:r>
        <w:rPr/>
        <w:t>просто текст; кроме того, он снижает значимость языковых барьеров.</w:t>
      </w:r>
    </w:p>
    <w:p>
      <w:pPr>
        <w:spacing w:line="228" w:lineRule="exact" w:before="116"/>
        <w:ind w:left="425" w:right="0" w:firstLine="0"/>
        <w:jc w:val="both"/>
        <w:rPr>
          <w:b/>
          <w:sz w:val="20"/>
        </w:rPr>
      </w:pPr>
      <w:r>
        <w:rPr>
          <w:b/>
          <w:sz w:val="20"/>
        </w:rPr>
        <w:t>Ресурсы</w:t>
      </w:r>
      <w:r>
        <w:rPr>
          <w:b/>
          <w:spacing w:val="-5"/>
          <w:sz w:val="20"/>
        </w:rPr>
        <w:t> </w:t>
      </w:r>
      <w:r>
        <w:rPr>
          <w:b/>
          <w:sz w:val="20"/>
        </w:rPr>
        <w:t>для</w:t>
      </w:r>
      <w:r>
        <w:rPr>
          <w:b/>
          <w:spacing w:val="-4"/>
          <w:sz w:val="20"/>
        </w:rPr>
        <w:t> </w:t>
      </w:r>
      <w:r>
        <w:rPr>
          <w:b/>
          <w:sz w:val="20"/>
        </w:rPr>
        <w:t>овладения</w:t>
      </w:r>
      <w:r>
        <w:rPr>
          <w:b/>
          <w:spacing w:val="-4"/>
          <w:sz w:val="20"/>
        </w:rPr>
        <w:t> </w:t>
      </w:r>
      <w:r>
        <w:rPr>
          <w:b/>
          <w:spacing w:val="-2"/>
          <w:sz w:val="20"/>
        </w:rPr>
        <w:t>технологией</w:t>
      </w:r>
    </w:p>
    <w:p>
      <w:pPr>
        <w:pStyle w:val="BodyText"/>
        <w:spacing w:line="235" w:lineRule="auto" w:before="1"/>
      </w:pPr>
      <w:r>
        <w:rPr/>
        <w:t>В интернете представлено множество ресурсов, которые могут помочь педагогу овладеть данной технологией. Представляем некоторые из них.</w:t>
      </w:r>
    </w:p>
    <w:p>
      <w:pPr>
        <w:pStyle w:val="BodyText"/>
        <w:spacing w:before="2"/>
        <w:ind w:left="0" w:right="0" w:firstLine="0"/>
        <w:jc w:val="left"/>
        <w:rPr>
          <w:sz w:val="13"/>
        </w:rPr>
      </w:pPr>
    </w:p>
    <w:tbl>
      <w:tblPr>
        <w:tblW w:w="0" w:type="auto"/>
        <w:jc w:val="left"/>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618"/>
        <w:gridCol w:w="3618"/>
      </w:tblGrid>
      <w:tr>
        <w:trPr>
          <w:trHeight w:val="225" w:hRule="atLeast"/>
        </w:trPr>
        <w:tc>
          <w:tcPr>
            <w:tcW w:w="3618" w:type="dxa"/>
          </w:tcPr>
          <w:p>
            <w:pPr>
              <w:pStyle w:val="TableParagraph"/>
              <w:spacing w:line="200" w:lineRule="exact" w:before="5"/>
              <w:ind w:left="10"/>
              <w:jc w:val="center"/>
              <w:rPr>
                <w:b/>
                <w:sz w:val="18"/>
              </w:rPr>
            </w:pPr>
            <w:r>
              <w:rPr>
                <w:b/>
                <w:spacing w:val="-2"/>
                <w:sz w:val="18"/>
              </w:rPr>
              <w:t>Название</w:t>
            </w:r>
          </w:p>
        </w:tc>
        <w:tc>
          <w:tcPr>
            <w:tcW w:w="3618" w:type="dxa"/>
          </w:tcPr>
          <w:p>
            <w:pPr>
              <w:pStyle w:val="TableParagraph"/>
              <w:spacing w:line="200" w:lineRule="exact" w:before="5"/>
              <w:ind w:left="10"/>
              <w:jc w:val="center"/>
              <w:rPr>
                <w:b/>
                <w:sz w:val="18"/>
              </w:rPr>
            </w:pPr>
            <w:r>
              <w:rPr>
                <w:b/>
                <w:spacing w:val="-2"/>
                <w:sz w:val="18"/>
              </w:rPr>
              <w:t>Ссылка</w:t>
            </w:r>
          </w:p>
        </w:tc>
      </w:tr>
      <w:tr>
        <w:trPr>
          <w:trHeight w:val="428" w:hRule="atLeast"/>
        </w:trPr>
        <w:tc>
          <w:tcPr>
            <w:tcW w:w="3618" w:type="dxa"/>
          </w:tcPr>
          <w:p>
            <w:pPr>
              <w:pStyle w:val="TableParagraph"/>
              <w:spacing w:before="8"/>
              <w:ind w:left="56"/>
              <w:rPr>
                <w:sz w:val="18"/>
              </w:rPr>
            </w:pPr>
            <w:r>
              <w:rPr>
                <w:sz w:val="18"/>
              </w:rPr>
              <w:t>Инструкции</w:t>
            </w:r>
            <w:r>
              <w:rPr>
                <w:spacing w:val="-6"/>
                <w:sz w:val="18"/>
              </w:rPr>
              <w:t> </w:t>
            </w:r>
            <w:r>
              <w:rPr>
                <w:sz w:val="18"/>
              </w:rPr>
              <w:t>по</w:t>
            </w:r>
            <w:r>
              <w:rPr>
                <w:spacing w:val="-6"/>
                <w:sz w:val="18"/>
              </w:rPr>
              <w:t> </w:t>
            </w:r>
            <w:r>
              <w:rPr>
                <w:sz w:val="18"/>
              </w:rPr>
              <w:t>рисованию</w:t>
            </w:r>
            <w:r>
              <w:rPr>
                <w:spacing w:val="-5"/>
                <w:sz w:val="18"/>
              </w:rPr>
              <w:t> </w:t>
            </w:r>
            <w:r>
              <w:rPr>
                <w:spacing w:val="-2"/>
                <w:sz w:val="18"/>
              </w:rPr>
              <w:t>комиксов</w:t>
            </w:r>
          </w:p>
        </w:tc>
        <w:tc>
          <w:tcPr>
            <w:tcW w:w="3618" w:type="dxa"/>
          </w:tcPr>
          <w:p>
            <w:pPr>
              <w:pStyle w:val="TableParagraph"/>
              <w:spacing w:line="200" w:lineRule="exact" w:before="8"/>
              <w:ind w:left="57"/>
              <w:rPr>
                <w:sz w:val="18"/>
              </w:rPr>
            </w:pPr>
            <w:hyperlink r:id="rId140">
              <w:r>
                <w:rPr>
                  <w:color w:val="2255A6"/>
                  <w:spacing w:val="-2"/>
                  <w:sz w:val="18"/>
                  <w:u w:val="single" w:color="2255A6"/>
                </w:rPr>
                <w:t>http://finnougriccomics.com/ru/materials/</w:t>
              </w:r>
            </w:hyperlink>
            <w:r>
              <w:rPr>
                <w:color w:val="2255A6"/>
                <w:spacing w:val="-2"/>
                <w:sz w:val="18"/>
              </w:rPr>
              <w:t> </w:t>
            </w:r>
            <w:hyperlink r:id="rId140">
              <w:r>
                <w:rPr>
                  <w:color w:val="2255A6"/>
                  <w:spacing w:val="-2"/>
                  <w:sz w:val="18"/>
                  <w:u w:val="single" w:color="2255A6"/>
                </w:rPr>
                <w:t>template.php</w:t>
              </w:r>
            </w:hyperlink>
          </w:p>
        </w:tc>
      </w:tr>
      <w:tr>
        <w:trPr>
          <w:trHeight w:val="428" w:hRule="atLeast"/>
        </w:trPr>
        <w:tc>
          <w:tcPr>
            <w:tcW w:w="3618" w:type="dxa"/>
          </w:tcPr>
          <w:p>
            <w:pPr>
              <w:pStyle w:val="TableParagraph"/>
              <w:spacing w:before="8"/>
              <w:ind w:left="56"/>
              <w:rPr>
                <w:sz w:val="18"/>
              </w:rPr>
            </w:pPr>
            <w:r>
              <w:rPr>
                <w:sz w:val="18"/>
              </w:rPr>
              <w:t>Видеоурок</w:t>
            </w:r>
            <w:r>
              <w:rPr>
                <w:spacing w:val="-1"/>
                <w:sz w:val="18"/>
              </w:rPr>
              <w:t> </w:t>
            </w:r>
            <w:r>
              <w:rPr>
                <w:sz w:val="18"/>
              </w:rPr>
              <w:t>«Все</w:t>
            </w:r>
            <w:r>
              <w:rPr>
                <w:spacing w:val="-1"/>
                <w:sz w:val="18"/>
              </w:rPr>
              <w:t> </w:t>
            </w:r>
            <w:r>
              <w:rPr>
                <w:sz w:val="18"/>
              </w:rPr>
              <w:t>секреты</w:t>
            </w:r>
            <w:r>
              <w:rPr>
                <w:spacing w:val="-1"/>
                <w:sz w:val="18"/>
              </w:rPr>
              <w:t> </w:t>
            </w:r>
            <w:r>
              <w:rPr>
                <w:spacing w:val="-2"/>
                <w:sz w:val="18"/>
              </w:rPr>
              <w:t>комиксостроения»</w:t>
            </w:r>
          </w:p>
        </w:tc>
        <w:tc>
          <w:tcPr>
            <w:tcW w:w="3618" w:type="dxa"/>
          </w:tcPr>
          <w:p>
            <w:pPr>
              <w:pStyle w:val="TableParagraph"/>
              <w:spacing w:line="200" w:lineRule="exact" w:before="8"/>
              <w:ind w:left="57"/>
              <w:rPr>
                <w:sz w:val="18"/>
              </w:rPr>
            </w:pPr>
            <w:hyperlink r:id="rId141">
              <w:r>
                <w:rPr>
                  <w:color w:val="2255A6"/>
                  <w:spacing w:val="-2"/>
                  <w:sz w:val="18"/>
                  <w:u w:val="single" w:color="2255A6"/>
                </w:rPr>
                <w:t>https://www.youtube.com/</w:t>
              </w:r>
            </w:hyperlink>
            <w:r>
              <w:rPr>
                <w:color w:val="2255A6"/>
                <w:spacing w:val="-2"/>
                <w:sz w:val="18"/>
              </w:rPr>
              <w:t> </w:t>
            </w:r>
            <w:hyperlink r:id="rId141">
              <w:r>
                <w:rPr>
                  <w:color w:val="2255A6"/>
                  <w:spacing w:val="-2"/>
                  <w:sz w:val="18"/>
                  <w:u w:val="single" w:color="2255A6"/>
                </w:rPr>
                <w:t>watch?v=MJgVLecbUGQ</w:t>
              </w:r>
            </w:hyperlink>
          </w:p>
        </w:tc>
      </w:tr>
      <w:tr>
        <w:trPr>
          <w:trHeight w:val="428" w:hRule="atLeast"/>
        </w:trPr>
        <w:tc>
          <w:tcPr>
            <w:tcW w:w="3618" w:type="dxa"/>
          </w:tcPr>
          <w:p>
            <w:pPr>
              <w:pStyle w:val="TableParagraph"/>
              <w:spacing w:line="200" w:lineRule="exact" w:before="8"/>
              <w:ind w:left="56"/>
              <w:rPr>
                <w:sz w:val="18"/>
              </w:rPr>
            </w:pPr>
            <w:r>
              <w:rPr>
                <w:color w:val="000103"/>
                <w:sz w:val="18"/>
              </w:rPr>
              <w:t>Мастер-класс</w:t>
            </w:r>
            <w:r>
              <w:rPr>
                <w:color w:val="000103"/>
                <w:spacing w:val="-12"/>
                <w:sz w:val="18"/>
              </w:rPr>
              <w:t> </w:t>
            </w:r>
            <w:r>
              <w:rPr>
                <w:color w:val="000103"/>
                <w:sz w:val="18"/>
              </w:rPr>
              <w:t>по</w:t>
            </w:r>
            <w:r>
              <w:rPr>
                <w:color w:val="000103"/>
                <w:spacing w:val="-11"/>
                <w:sz w:val="18"/>
              </w:rPr>
              <w:t> </w:t>
            </w:r>
            <w:r>
              <w:rPr>
                <w:color w:val="000103"/>
                <w:sz w:val="18"/>
              </w:rPr>
              <w:t>социальным</w:t>
            </w:r>
            <w:r>
              <w:rPr>
                <w:color w:val="000103"/>
                <w:spacing w:val="-11"/>
                <w:sz w:val="18"/>
              </w:rPr>
              <w:t> </w:t>
            </w:r>
            <w:r>
              <w:rPr>
                <w:color w:val="000103"/>
                <w:sz w:val="18"/>
              </w:rPr>
              <w:t>комиксам</w:t>
            </w:r>
            <w:r>
              <w:rPr>
                <w:color w:val="000103"/>
                <w:spacing w:val="-11"/>
                <w:sz w:val="18"/>
              </w:rPr>
              <w:t> </w:t>
            </w:r>
            <w:r>
              <w:rPr>
                <w:color w:val="000103"/>
                <w:sz w:val="18"/>
              </w:rPr>
              <w:t>для </w:t>
            </w:r>
            <w:r>
              <w:rPr>
                <w:color w:val="000103"/>
                <w:spacing w:val="-2"/>
                <w:sz w:val="18"/>
              </w:rPr>
              <w:t>подростков</w:t>
            </w:r>
          </w:p>
        </w:tc>
        <w:tc>
          <w:tcPr>
            <w:tcW w:w="3618" w:type="dxa"/>
          </w:tcPr>
          <w:p>
            <w:pPr>
              <w:pStyle w:val="TableParagraph"/>
              <w:spacing w:line="200" w:lineRule="exact" w:before="8"/>
              <w:ind w:left="57"/>
              <w:rPr>
                <w:sz w:val="18"/>
              </w:rPr>
            </w:pPr>
            <w:hyperlink r:id="rId142">
              <w:r>
                <w:rPr>
                  <w:color w:val="2255A6"/>
                  <w:spacing w:val="-2"/>
                  <w:sz w:val="18"/>
                  <w:u w:val="single" w:color="2255A6"/>
                </w:rPr>
                <w:t>https://www.youtube.com/</w:t>
              </w:r>
            </w:hyperlink>
            <w:r>
              <w:rPr>
                <w:color w:val="2255A6"/>
                <w:spacing w:val="-2"/>
                <w:sz w:val="18"/>
              </w:rPr>
              <w:t> </w:t>
            </w:r>
            <w:hyperlink r:id="rId142">
              <w:r>
                <w:rPr>
                  <w:color w:val="2255A6"/>
                  <w:spacing w:val="-2"/>
                  <w:sz w:val="18"/>
                  <w:u w:val="single" w:color="2255A6"/>
                </w:rPr>
                <w:t>watch?v=fouTWw687yk</w:t>
              </w:r>
            </w:hyperlink>
          </w:p>
        </w:tc>
      </w:tr>
      <w:tr>
        <w:trPr>
          <w:trHeight w:val="428" w:hRule="atLeast"/>
        </w:trPr>
        <w:tc>
          <w:tcPr>
            <w:tcW w:w="3618" w:type="dxa"/>
          </w:tcPr>
          <w:p>
            <w:pPr>
              <w:pStyle w:val="TableParagraph"/>
              <w:spacing w:line="200" w:lineRule="exact" w:before="8"/>
              <w:ind w:left="56"/>
              <w:rPr>
                <w:sz w:val="18"/>
              </w:rPr>
            </w:pPr>
            <w:r>
              <w:rPr>
                <w:sz w:val="18"/>
              </w:rPr>
              <w:t>Презентация</w:t>
            </w:r>
            <w:r>
              <w:rPr>
                <w:spacing w:val="-12"/>
                <w:sz w:val="18"/>
              </w:rPr>
              <w:t> </w:t>
            </w:r>
            <w:r>
              <w:rPr>
                <w:sz w:val="18"/>
              </w:rPr>
              <w:t>«</w:t>
            </w:r>
            <w:r>
              <w:rPr>
                <w:color w:val="000103"/>
                <w:sz w:val="18"/>
              </w:rPr>
              <w:t>Визуальная</w:t>
            </w:r>
            <w:r>
              <w:rPr>
                <w:color w:val="000103"/>
                <w:spacing w:val="-11"/>
                <w:sz w:val="18"/>
              </w:rPr>
              <w:t> </w:t>
            </w:r>
            <w:r>
              <w:rPr>
                <w:color w:val="000103"/>
                <w:sz w:val="18"/>
              </w:rPr>
              <w:t>коммуникация</w:t>
            </w:r>
            <w:r>
              <w:rPr>
                <w:color w:val="000103"/>
                <w:spacing w:val="-11"/>
                <w:sz w:val="18"/>
              </w:rPr>
              <w:t> </w:t>
            </w:r>
            <w:r>
              <w:rPr>
                <w:color w:val="000103"/>
                <w:sz w:val="18"/>
              </w:rPr>
              <w:t>и </w:t>
            </w:r>
            <w:r>
              <w:rPr>
                <w:color w:val="000103"/>
                <w:spacing w:val="-2"/>
                <w:sz w:val="18"/>
              </w:rPr>
              <w:t>комиксы»</w:t>
            </w:r>
          </w:p>
        </w:tc>
        <w:tc>
          <w:tcPr>
            <w:tcW w:w="3618" w:type="dxa"/>
          </w:tcPr>
          <w:p>
            <w:pPr>
              <w:pStyle w:val="TableParagraph"/>
              <w:spacing w:line="200" w:lineRule="exact" w:before="8"/>
              <w:ind w:left="57"/>
              <w:rPr>
                <w:sz w:val="18"/>
              </w:rPr>
            </w:pPr>
            <w:hyperlink r:id="rId143">
              <w:r>
                <w:rPr>
                  <w:color w:val="2255A6"/>
                  <w:spacing w:val="-2"/>
                  <w:sz w:val="18"/>
                  <w:u w:val="single" w:color="2255A6"/>
                </w:rPr>
                <w:t>https://www.youtube.com/</w:t>
              </w:r>
            </w:hyperlink>
            <w:r>
              <w:rPr>
                <w:color w:val="2255A6"/>
                <w:spacing w:val="-2"/>
                <w:sz w:val="18"/>
              </w:rPr>
              <w:t> </w:t>
            </w:r>
            <w:hyperlink r:id="rId143">
              <w:r>
                <w:rPr>
                  <w:color w:val="2255A6"/>
                  <w:spacing w:val="-2"/>
                  <w:sz w:val="18"/>
                  <w:u w:val="single" w:color="2255A6"/>
                </w:rPr>
                <w:t>watch?v=OCb1B8iAAA</w:t>
              </w:r>
            </w:hyperlink>
          </w:p>
        </w:tc>
      </w:tr>
      <w:tr>
        <w:trPr>
          <w:trHeight w:val="628" w:hRule="atLeast"/>
        </w:trPr>
        <w:tc>
          <w:tcPr>
            <w:tcW w:w="3618" w:type="dxa"/>
          </w:tcPr>
          <w:p>
            <w:pPr>
              <w:pStyle w:val="TableParagraph"/>
              <w:spacing w:line="200" w:lineRule="exact" w:before="8"/>
              <w:ind w:left="56" w:right="44"/>
              <w:jc w:val="both"/>
              <w:rPr>
                <w:sz w:val="18"/>
              </w:rPr>
            </w:pPr>
            <w:r>
              <w:rPr>
                <w:color w:val="231F20"/>
                <w:sz w:val="18"/>
              </w:rPr>
              <w:t>Комиксы из разных стран за респект и ува- жуху.</w:t>
            </w:r>
            <w:r>
              <w:rPr>
                <w:color w:val="231F20"/>
                <w:spacing w:val="-10"/>
                <w:sz w:val="18"/>
              </w:rPr>
              <w:t> </w:t>
            </w:r>
            <w:r>
              <w:rPr>
                <w:color w:val="231F20"/>
                <w:sz w:val="18"/>
              </w:rPr>
              <w:t>Как</w:t>
            </w:r>
            <w:r>
              <w:rPr>
                <w:color w:val="231F20"/>
                <w:spacing w:val="-10"/>
                <w:sz w:val="18"/>
              </w:rPr>
              <w:t> </w:t>
            </w:r>
            <w:r>
              <w:rPr>
                <w:color w:val="231F20"/>
                <w:sz w:val="18"/>
              </w:rPr>
              <w:t>работать</w:t>
            </w:r>
            <w:r>
              <w:rPr>
                <w:color w:val="231F20"/>
                <w:spacing w:val="-10"/>
                <w:sz w:val="18"/>
              </w:rPr>
              <w:t> </w:t>
            </w:r>
            <w:r>
              <w:rPr>
                <w:color w:val="231F20"/>
                <w:sz w:val="18"/>
              </w:rPr>
              <w:t>с</w:t>
            </w:r>
            <w:r>
              <w:rPr>
                <w:color w:val="231F20"/>
                <w:spacing w:val="-10"/>
                <w:sz w:val="18"/>
              </w:rPr>
              <w:t> </w:t>
            </w:r>
            <w:r>
              <w:rPr>
                <w:color w:val="231F20"/>
                <w:sz w:val="18"/>
              </w:rPr>
              <w:t>комиксами</w:t>
            </w:r>
            <w:r>
              <w:rPr>
                <w:color w:val="231F20"/>
                <w:spacing w:val="-10"/>
                <w:sz w:val="18"/>
              </w:rPr>
              <w:t> </w:t>
            </w:r>
            <w:r>
              <w:rPr>
                <w:color w:val="231F20"/>
                <w:sz w:val="18"/>
              </w:rPr>
              <w:t>проекта</w:t>
            </w:r>
            <w:r>
              <w:rPr>
                <w:color w:val="231F20"/>
                <w:spacing w:val="-10"/>
                <w:sz w:val="18"/>
              </w:rPr>
              <w:t> </w:t>
            </w:r>
            <w:r>
              <w:rPr>
                <w:color w:val="231F20"/>
                <w:sz w:val="18"/>
              </w:rPr>
              <w:t>«Ре- спект 2.0». Методическое пособие</w:t>
            </w:r>
          </w:p>
        </w:tc>
        <w:tc>
          <w:tcPr>
            <w:tcW w:w="3618" w:type="dxa"/>
          </w:tcPr>
          <w:p>
            <w:pPr>
              <w:pStyle w:val="TableParagraph"/>
              <w:spacing w:line="232" w:lineRule="auto" w:before="13"/>
              <w:ind w:left="57"/>
              <w:rPr>
                <w:sz w:val="18"/>
              </w:rPr>
            </w:pPr>
            <w:hyperlink r:id="rId139">
              <w:r>
                <w:rPr>
                  <w:color w:val="2255A6"/>
                  <w:spacing w:val="-2"/>
                  <w:sz w:val="18"/>
                  <w:u w:val="single" w:color="2255A6"/>
                </w:rPr>
                <w:t>http://respect.com.mx/upload/iblock/6e0/6e0e8a</w:t>
              </w:r>
            </w:hyperlink>
            <w:r>
              <w:rPr>
                <w:color w:val="2255A6"/>
                <w:spacing w:val="-2"/>
                <w:sz w:val="18"/>
              </w:rPr>
              <w:t> </w:t>
            </w:r>
            <w:hyperlink r:id="rId139">
              <w:r>
                <w:rPr>
                  <w:color w:val="2255A6"/>
                  <w:spacing w:val="-2"/>
                  <w:sz w:val="18"/>
                  <w:u w:val="single" w:color="2255A6"/>
                </w:rPr>
                <w:t>4ff0fee0978de287c3e2439381.pdf</w:t>
              </w:r>
            </w:hyperlink>
          </w:p>
        </w:tc>
      </w:tr>
      <w:tr>
        <w:trPr>
          <w:trHeight w:val="428" w:hRule="atLeast"/>
        </w:trPr>
        <w:tc>
          <w:tcPr>
            <w:tcW w:w="3618" w:type="dxa"/>
          </w:tcPr>
          <w:p>
            <w:pPr>
              <w:pStyle w:val="TableParagraph"/>
              <w:spacing w:line="200" w:lineRule="exact" w:before="8"/>
              <w:ind w:left="56"/>
              <w:rPr>
                <w:sz w:val="18"/>
              </w:rPr>
            </w:pPr>
            <w:r>
              <w:rPr>
                <w:color w:val="231F20"/>
                <w:sz w:val="18"/>
              </w:rPr>
              <w:t>Комиксы</w:t>
            </w:r>
            <w:r>
              <w:rPr>
                <w:color w:val="231F20"/>
                <w:spacing w:val="-10"/>
                <w:sz w:val="18"/>
              </w:rPr>
              <w:t> </w:t>
            </w:r>
            <w:r>
              <w:rPr>
                <w:color w:val="231F20"/>
                <w:sz w:val="18"/>
              </w:rPr>
              <w:t>на</w:t>
            </w:r>
            <w:r>
              <w:rPr>
                <w:color w:val="231F20"/>
                <w:spacing w:val="-10"/>
                <w:sz w:val="18"/>
              </w:rPr>
              <w:t> </w:t>
            </w:r>
            <w:r>
              <w:rPr>
                <w:color w:val="231F20"/>
                <w:sz w:val="18"/>
              </w:rPr>
              <w:t>миграционную</w:t>
            </w:r>
            <w:r>
              <w:rPr>
                <w:color w:val="231F20"/>
                <w:spacing w:val="-10"/>
                <w:sz w:val="18"/>
              </w:rPr>
              <w:t> </w:t>
            </w:r>
            <w:r>
              <w:rPr>
                <w:color w:val="231F20"/>
                <w:sz w:val="18"/>
              </w:rPr>
              <w:t>тематику</w:t>
            </w:r>
            <w:r>
              <w:rPr>
                <w:color w:val="231F20"/>
                <w:spacing w:val="-10"/>
                <w:sz w:val="18"/>
              </w:rPr>
              <w:t> </w:t>
            </w:r>
            <w:r>
              <w:rPr>
                <w:color w:val="231F20"/>
                <w:sz w:val="18"/>
              </w:rPr>
              <w:t>на</w:t>
            </w:r>
            <w:r>
              <w:rPr>
                <w:color w:val="231F20"/>
                <w:spacing w:val="-10"/>
                <w:sz w:val="18"/>
              </w:rPr>
              <w:t> </w:t>
            </w:r>
            <w:r>
              <w:rPr>
                <w:color w:val="231F20"/>
                <w:sz w:val="18"/>
              </w:rPr>
              <w:t>фин- ском языке</w:t>
            </w:r>
          </w:p>
        </w:tc>
        <w:tc>
          <w:tcPr>
            <w:tcW w:w="3618" w:type="dxa"/>
          </w:tcPr>
          <w:p>
            <w:pPr>
              <w:pStyle w:val="TableParagraph"/>
              <w:spacing w:line="200" w:lineRule="exact" w:before="8"/>
              <w:ind w:left="57"/>
              <w:rPr>
                <w:sz w:val="18"/>
              </w:rPr>
            </w:pPr>
            <w:hyperlink r:id="rId144">
              <w:r>
                <w:rPr>
                  <w:color w:val="2255A6"/>
                  <w:spacing w:val="-2"/>
                  <w:sz w:val="18"/>
                  <w:u w:val="single" w:color="2255A6"/>
                </w:rPr>
                <w:t>https://www.migrationcomics.fi/index.php/</w:t>
              </w:r>
            </w:hyperlink>
            <w:r>
              <w:rPr>
                <w:color w:val="2255A6"/>
                <w:spacing w:val="-2"/>
                <w:sz w:val="18"/>
              </w:rPr>
              <w:t> </w:t>
            </w:r>
            <w:hyperlink r:id="rId144">
              <w:r>
                <w:rPr>
                  <w:color w:val="2255A6"/>
                  <w:spacing w:val="-2"/>
                  <w:sz w:val="18"/>
                  <w:u w:val="single" w:color="2255A6"/>
                </w:rPr>
                <w:t>sarjakuvanovella</w:t>
              </w:r>
            </w:hyperlink>
          </w:p>
        </w:tc>
      </w:tr>
      <w:tr>
        <w:trPr>
          <w:trHeight w:val="228" w:hRule="atLeast"/>
        </w:trPr>
        <w:tc>
          <w:tcPr>
            <w:tcW w:w="3618" w:type="dxa"/>
          </w:tcPr>
          <w:p>
            <w:pPr>
              <w:pStyle w:val="TableParagraph"/>
              <w:spacing w:line="200" w:lineRule="exact" w:before="8"/>
              <w:ind w:left="56"/>
              <w:rPr>
                <w:sz w:val="18"/>
              </w:rPr>
            </w:pPr>
            <w:r>
              <w:rPr>
                <w:color w:val="231F20"/>
                <w:sz w:val="18"/>
              </w:rPr>
              <w:t>Проект</w:t>
            </w:r>
            <w:r>
              <w:rPr>
                <w:color w:val="231F20"/>
                <w:spacing w:val="-7"/>
                <w:sz w:val="18"/>
              </w:rPr>
              <w:t> </w:t>
            </w:r>
            <w:r>
              <w:rPr>
                <w:color w:val="231F20"/>
                <w:sz w:val="18"/>
              </w:rPr>
              <w:t>«Финно-угорские</w:t>
            </w:r>
            <w:r>
              <w:rPr>
                <w:color w:val="231F20"/>
                <w:spacing w:val="-7"/>
                <w:sz w:val="18"/>
              </w:rPr>
              <w:t> </w:t>
            </w:r>
            <w:r>
              <w:rPr>
                <w:color w:val="231F20"/>
                <w:spacing w:val="-2"/>
                <w:sz w:val="18"/>
              </w:rPr>
              <w:t>комиксы»</w:t>
            </w:r>
          </w:p>
        </w:tc>
        <w:tc>
          <w:tcPr>
            <w:tcW w:w="3618" w:type="dxa"/>
          </w:tcPr>
          <w:p>
            <w:pPr>
              <w:pStyle w:val="TableParagraph"/>
              <w:spacing w:line="200" w:lineRule="exact" w:before="8"/>
              <w:ind w:left="57"/>
              <w:rPr>
                <w:sz w:val="18"/>
              </w:rPr>
            </w:pPr>
            <w:hyperlink r:id="rId145">
              <w:r>
                <w:rPr>
                  <w:color w:val="2255A6"/>
                  <w:spacing w:val="-2"/>
                  <w:sz w:val="18"/>
                  <w:u w:val="single" w:color="2255A6"/>
                </w:rPr>
                <w:t>http://finnougriccomics.com/ru/</w:t>
              </w:r>
            </w:hyperlink>
          </w:p>
        </w:tc>
      </w:tr>
      <w:tr>
        <w:trPr>
          <w:trHeight w:val="428" w:hRule="atLeast"/>
        </w:trPr>
        <w:tc>
          <w:tcPr>
            <w:tcW w:w="3618" w:type="dxa"/>
          </w:tcPr>
          <w:p>
            <w:pPr>
              <w:pStyle w:val="TableParagraph"/>
              <w:spacing w:line="200" w:lineRule="exact" w:before="8"/>
              <w:ind w:left="56" w:right="40"/>
              <w:rPr>
                <w:sz w:val="18"/>
              </w:rPr>
            </w:pPr>
            <w:r>
              <w:rPr>
                <w:color w:val="231F20"/>
                <w:sz w:val="18"/>
              </w:rPr>
              <w:t>Семинар</w:t>
            </w:r>
            <w:r>
              <w:rPr>
                <w:color w:val="231F20"/>
                <w:spacing w:val="-12"/>
                <w:sz w:val="18"/>
              </w:rPr>
              <w:t> </w:t>
            </w:r>
            <w:r>
              <w:rPr>
                <w:color w:val="231F20"/>
                <w:sz w:val="18"/>
              </w:rPr>
              <w:t>для</w:t>
            </w:r>
            <w:r>
              <w:rPr>
                <w:color w:val="231F20"/>
                <w:spacing w:val="-11"/>
                <w:sz w:val="18"/>
              </w:rPr>
              <w:t> </w:t>
            </w:r>
            <w:r>
              <w:rPr>
                <w:color w:val="231F20"/>
                <w:sz w:val="18"/>
              </w:rPr>
              <w:t>беженцев</w:t>
            </w:r>
            <w:r>
              <w:rPr>
                <w:color w:val="231F20"/>
                <w:spacing w:val="-11"/>
                <w:sz w:val="18"/>
              </w:rPr>
              <w:t> </w:t>
            </w:r>
            <w:r>
              <w:rPr>
                <w:color w:val="231F20"/>
                <w:sz w:val="18"/>
              </w:rPr>
              <w:t>«Мой</w:t>
            </w:r>
            <w:r>
              <w:rPr>
                <w:color w:val="231F20"/>
                <w:spacing w:val="-11"/>
                <w:sz w:val="18"/>
              </w:rPr>
              <w:t> </w:t>
            </w:r>
            <w:r>
              <w:rPr>
                <w:color w:val="231F20"/>
                <w:sz w:val="18"/>
              </w:rPr>
              <w:t>первый</w:t>
            </w:r>
            <w:r>
              <w:rPr>
                <w:color w:val="231F20"/>
                <w:spacing w:val="-12"/>
                <w:sz w:val="18"/>
              </w:rPr>
              <w:t> </w:t>
            </w:r>
            <w:r>
              <w:rPr>
                <w:color w:val="231F20"/>
                <w:sz w:val="18"/>
              </w:rPr>
              <w:t>комикс» (на англ. яз.)</w:t>
            </w:r>
          </w:p>
        </w:tc>
        <w:tc>
          <w:tcPr>
            <w:tcW w:w="3618" w:type="dxa"/>
          </w:tcPr>
          <w:p>
            <w:pPr>
              <w:pStyle w:val="TableParagraph"/>
              <w:spacing w:before="8"/>
              <w:ind w:left="57"/>
              <w:rPr>
                <w:sz w:val="18"/>
              </w:rPr>
            </w:pPr>
            <w:hyperlink r:id="rId146">
              <w:r>
                <w:rPr>
                  <w:color w:val="2255A6"/>
                  <w:spacing w:val="-2"/>
                  <w:sz w:val="18"/>
                  <w:u w:val="single" w:color="2255A6"/>
                </w:rPr>
                <w:t>https://trilcegarcia.com/comicworkshop</w:t>
              </w:r>
            </w:hyperlink>
          </w:p>
        </w:tc>
      </w:tr>
    </w:tbl>
    <w:p>
      <w:pPr>
        <w:pStyle w:val="TableParagraph"/>
        <w:spacing w:after="0"/>
        <w:rPr>
          <w:sz w:val="18"/>
        </w:rPr>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before="114"/>
        <w:ind w:left="425" w:right="0" w:firstLine="0"/>
        <w:jc w:val="left"/>
        <w:rPr>
          <w:b/>
          <w:sz w:val="18"/>
        </w:rPr>
      </w:pPr>
      <w:r>
        <w:rPr>
          <w:b/>
          <w:color w:val="231F20"/>
          <w:spacing w:val="-2"/>
          <w:sz w:val="18"/>
        </w:rPr>
        <w:t>Литература</w:t>
      </w:r>
    </w:p>
    <w:p>
      <w:pPr>
        <w:pStyle w:val="ListParagraph"/>
        <w:numPr>
          <w:ilvl w:val="2"/>
          <w:numId w:val="96"/>
        </w:numPr>
        <w:tabs>
          <w:tab w:pos="708" w:val="left" w:leader="none"/>
        </w:tabs>
        <w:spacing w:line="240" w:lineRule="auto" w:before="0" w:after="0"/>
        <w:ind w:left="708" w:right="423" w:hanging="284"/>
        <w:jc w:val="both"/>
        <w:rPr>
          <w:color w:val="231F20"/>
          <w:sz w:val="18"/>
        </w:rPr>
      </w:pPr>
      <w:r>
        <w:rPr>
          <w:color w:val="231F20"/>
          <w:sz w:val="18"/>
        </w:rPr>
        <w:t>Авдеева</w:t>
      </w:r>
      <w:r>
        <w:rPr>
          <w:color w:val="231F20"/>
          <w:spacing w:val="-8"/>
          <w:sz w:val="18"/>
        </w:rPr>
        <w:t> </w:t>
      </w:r>
      <w:r>
        <w:rPr>
          <w:color w:val="231F20"/>
          <w:sz w:val="18"/>
        </w:rPr>
        <w:t>Т.И.,</w:t>
      </w:r>
      <w:r>
        <w:rPr>
          <w:color w:val="231F20"/>
          <w:spacing w:val="-8"/>
          <w:sz w:val="18"/>
        </w:rPr>
        <w:t> </w:t>
      </w:r>
      <w:r>
        <w:rPr>
          <w:color w:val="231F20"/>
          <w:sz w:val="18"/>
        </w:rPr>
        <w:t>Высокос</w:t>
      </w:r>
      <w:r>
        <w:rPr>
          <w:color w:val="231F20"/>
          <w:spacing w:val="-8"/>
          <w:sz w:val="18"/>
        </w:rPr>
        <w:t> </w:t>
      </w:r>
      <w:r>
        <w:rPr>
          <w:color w:val="231F20"/>
          <w:sz w:val="18"/>
        </w:rPr>
        <w:t>М.И.,</w:t>
      </w:r>
      <w:r>
        <w:rPr>
          <w:color w:val="231F20"/>
          <w:spacing w:val="-8"/>
          <w:sz w:val="18"/>
        </w:rPr>
        <w:t> </w:t>
      </w:r>
      <w:r>
        <w:rPr>
          <w:color w:val="231F20"/>
          <w:sz w:val="18"/>
        </w:rPr>
        <w:t>Зыкова</w:t>
      </w:r>
      <w:r>
        <w:rPr>
          <w:color w:val="231F20"/>
          <w:spacing w:val="-8"/>
          <w:sz w:val="18"/>
        </w:rPr>
        <w:t> </w:t>
      </w:r>
      <w:r>
        <w:rPr>
          <w:color w:val="231F20"/>
          <w:sz w:val="18"/>
        </w:rPr>
        <w:t>С.И.</w:t>
      </w:r>
      <w:r>
        <w:rPr>
          <w:color w:val="231F20"/>
          <w:spacing w:val="-8"/>
          <w:sz w:val="18"/>
        </w:rPr>
        <w:t> </w:t>
      </w:r>
      <w:r>
        <w:rPr>
          <w:color w:val="231F20"/>
          <w:sz w:val="18"/>
        </w:rPr>
        <w:t>Комикс</w:t>
      </w:r>
      <w:r>
        <w:rPr>
          <w:color w:val="231F20"/>
          <w:spacing w:val="-8"/>
          <w:sz w:val="18"/>
        </w:rPr>
        <w:t> </w:t>
      </w:r>
      <w:r>
        <w:rPr>
          <w:color w:val="231F20"/>
          <w:sz w:val="18"/>
        </w:rPr>
        <w:t>как</w:t>
      </w:r>
      <w:r>
        <w:rPr>
          <w:color w:val="231F20"/>
          <w:spacing w:val="-9"/>
          <w:sz w:val="18"/>
        </w:rPr>
        <w:t> </w:t>
      </w:r>
      <w:r>
        <w:rPr>
          <w:color w:val="231F20"/>
          <w:sz w:val="18"/>
        </w:rPr>
        <w:t>современная</w:t>
      </w:r>
      <w:r>
        <w:rPr>
          <w:color w:val="231F20"/>
          <w:spacing w:val="-8"/>
          <w:sz w:val="18"/>
        </w:rPr>
        <w:t> </w:t>
      </w:r>
      <w:r>
        <w:rPr>
          <w:color w:val="231F20"/>
          <w:sz w:val="18"/>
        </w:rPr>
        <w:t>технология</w:t>
      </w:r>
      <w:r>
        <w:rPr>
          <w:color w:val="231F20"/>
          <w:spacing w:val="-8"/>
          <w:sz w:val="18"/>
        </w:rPr>
        <w:t> </w:t>
      </w:r>
      <w:r>
        <w:rPr>
          <w:color w:val="231F20"/>
          <w:sz w:val="18"/>
        </w:rPr>
        <w:t>обу- чения // Современное педагогическое образование, 2020. – № 3. – С. 64–68.</w:t>
      </w:r>
    </w:p>
    <w:p>
      <w:pPr>
        <w:pStyle w:val="ListParagraph"/>
        <w:numPr>
          <w:ilvl w:val="2"/>
          <w:numId w:val="96"/>
        </w:numPr>
        <w:tabs>
          <w:tab w:pos="708" w:val="left" w:leader="none"/>
        </w:tabs>
        <w:spacing w:line="240" w:lineRule="auto" w:before="0" w:after="0"/>
        <w:ind w:left="708" w:right="422" w:hanging="284"/>
        <w:jc w:val="both"/>
        <w:rPr>
          <w:color w:val="231F20"/>
          <w:sz w:val="18"/>
        </w:rPr>
      </w:pPr>
      <w:r>
        <w:rPr>
          <w:color w:val="231F20"/>
          <w:sz w:val="18"/>
        </w:rPr>
        <w:t>Андреева Е.Е., Спатаев Д.С. Особенности комикса как наглядного средства обу- чения // Социально-экономические и демографические аспекты реализации на- циональных проектов в регионе: сборник статей X Уральского демографического форума:</w:t>
      </w:r>
      <w:r>
        <w:rPr>
          <w:color w:val="231F20"/>
          <w:spacing w:val="16"/>
          <w:sz w:val="18"/>
        </w:rPr>
        <w:t> </w:t>
      </w:r>
      <w:r>
        <w:rPr>
          <w:color w:val="231F20"/>
          <w:sz w:val="18"/>
        </w:rPr>
        <w:t>в</w:t>
      </w:r>
      <w:r>
        <w:rPr>
          <w:color w:val="231F20"/>
          <w:spacing w:val="16"/>
          <w:sz w:val="18"/>
        </w:rPr>
        <w:t> </w:t>
      </w:r>
      <w:r>
        <w:rPr>
          <w:color w:val="231F20"/>
          <w:sz w:val="18"/>
        </w:rPr>
        <w:t>2</w:t>
      </w:r>
      <w:r>
        <w:rPr>
          <w:color w:val="231F20"/>
          <w:spacing w:val="16"/>
          <w:sz w:val="18"/>
        </w:rPr>
        <w:t> </w:t>
      </w:r>
      <w:r>
        <w:rPr>
          <w:color w:val="231F20"/>
          <w:sz w:val="18"/>
        </w:rPr>
        <w:t>т.</w:t>
      </w:r>
      <w:r>
        <w:rPr>
          <w:color w:val="231F20"/>
          <w:spacing w:val="16"/>
          <w:sz w:val="18"/>
        </w:rPr>
        <w:t> </w:t>
      </w:r>
      <w:r>
        <w:rPr>
          <w:color w:val="231F20"/>
          <w:sz w:val="18"/>
        </w:rPr>
        <w:t>–</w:t>
      </w:r>
      <w:r>
        <w:rPr>
          <w:color w:val="231F20"/>
          <w:spacing w:val="16"/>
          <w:sz w:val="18"/>
        </w:rPr>
        <w:t> </w:t>
      </w:r>
      <w:r>
        <w:rPr>
          <w:color w:val="231F20"/>
          <w:sz w:val="18"/>
        </w:rPr>
        <w:t>Том</w:t>
      </w:r>
      <w:r>
        <w:rPr>
          <w:color w:val="231F20"/>
          <w:spacing w:val="16"/>
          <w:sz w:val="18"/>
        </w:rPr>
        <w:t> </w:t>
      </w:r>
      <w:r>
        <w:rPr>
          <w:color w:val="231F20"/>
          <w:sz w:val="18"/>
        </w:rPr>
        <w:t>II.</w:t>
      </w:r>
      <w:r>
        <w:rPr>
          <w:color w:val="231F20"/>
          <w:spacing w:val="16"/>
          <w:sz w:val="18"/>
        </w:rPr>
        <w:t> </w:t>
      </w:r>
      <w:r>
        <w:rPr>
          <w:color w:val="231F20"/>
          <w:sz w:val="18"/>
        </w:rPr>
        <w:t>–</w:t>
      </w:r>
      <w:r>
        <w:rPr>
          <w:color w:val="231F20"/>
          <w:spacing w:val="16"/>
          <w:sz w:val="18"/>
        </w:rPr>
        <w:t> </w:t>
      </w:r>
      <w:r>
        <w:rPr>
          <w:color w:val="231F20"/>
          <w:sz w:val="18"/>
        </w:rPr>
        <w:t>Екатеринбург:</w:t>
      </w:r>
      <w:r>
        <w:rPr>
          <w:color w:val="231F20"/>
          <w:spacing w:val="16"/>
          <w:sz w:val="18"/>
        </w:rPr>
        <w:t> </w:t>
      </w:r>
      <w:r>
        <w:rPr>
          <w:color w:val="231F20"/>
          <w:sz w:val="18"/>
        </w:rPr>
        <w:t>Институт</w:t>
      </w:r>
      <w:r>
        <w:rPr>
          <w:color w:val="231F20"/>
          <w:spacing w:val="16"/>
          <w:sz w:val="18"/>
        </w:rPr>
        <w:t> </w:t>
      </w:r>
      <w:r>
        <w:rPr>
          <w:color w:val="231F20"/>
          <w:sz w:val="18"/>
        </w:rPr>
        <w:t>экономики</w:t>
      </w:r>
      <w:r>
        <w:rPr>
          <w:color w:val="231F20"/>
          <w:spacing w:val="16"/>
          <w:sz w:val="18"/>
        </w:rPr>
        <w:t> </w:t>
      </w:r>
      <w:r>
        <w:rPr>
          <w:color w:val="231F20"/>
          <w:sz w:val="18"/>
        </w:rPr>
        <w:t>УрО</w:t>
      </w:r>
      <w:r>
        <w:rPr>
          <w:color w:val="231F20"/>
          <w:spacing w:val="16"/>
          <w:sz w:val="18"/>
        </w:rPr>
        <w:t> </w:t>
      </w:r>
      <w:r>
        <w:rPr>
          <w:color w:val="231F20"/>
          <w:sz w:val="18"/>
        </w:rPr>
        <w:t>РАН,</w:t>
      </w:r>
      <w:r>
        <w:rPr>
          <w:color w:val="231F20"/>
          <w:spacing w:val="16"/>
          <w:sz w:val="18"/>
        </w:rPr>
        <w:t> </w:t>
      </w:r>
      <w:r>
        <w:rPr>
          <w:color w:val="231F20"/>
          <w:sz w:val="18"/>
        </w:rPr>
        <w:t>2019.</w:t>
      </w:r>
      <w:r>
        <w:rPr>
          <w:color w:val="231F20"/>
          <w:spacing w:val="16"/>
          <w:sz w:val="18"/>
        </w:rPr>
        <w:t> </w:t>
      </w:r>
      <w:r>
        <w:rPr>
          <w:color w:val="231F20"/>
          <w:sz w:val="18"/>
        </w:rPr>
        <w:t>– С. 271–276.</w:t>
      </w:r>
    </w:p>
    <w:p>
      <w:pPr>
        <w:pStyle w:val="ListParagraph"/>
        <w:numPr>
          <w:ilvl w:val="2"/>
          <w:numId w:val="96"/>
        </w:numPr>
        <w:tabs>
          <w:tab w:pos="708" w:val="left" w:leader="none"/>
        </w:tabs>
        <w:spacing w:line="240" w:lineRule="auto" w:before="0" w:after="0"/>
        <w:ind w:left="708" w:right="423" w:hanging="284"/>
        <w:jc w:val="both"/>
        <w:rPr>
          <w:color w:val="231F20"/>
          <w:sz w:val="18"/>
        </w:rPr>
      </w:pPr>
      <w:r>
        <w:rPr>
          <w:color w:val="231F20"/>
          <w:sz w:val="18"/>
        </w:rPr>
        <w:t>Воронкова</w:t>
      </w:r>
      <w:r>
        <w:rPr>
          <w:color w:val="231F20"/>
          <w:spacing w:val="-5"/>
          <w:sz w:val="18"/>
        </w:rPr>
        <w:t> </w:t>
      </w:r>
      <w:r>
        <w:rPr>
          <w:color w:val="231F20"/>
          <w:sz w:val="18"/>
        </w:rPr>
        <w:t>А.А.</w:t>
      </w:r>
      <w:r>
        <w:rPr>
          <w:color w:val="231F20"/>
          <w:spacing w:val="-5"/>
          <w:sz w:val="18"/>
        </w:rPr>
        <w:t> </w:t>
      </w:r>
      <w:r>
        <w:rPr>
          <w:color w:val="231F20"/>
          <w:sz w:val="18"/>
        </w:rPr>
        <w:t>Изменение</w:t>
      </w:r>
      <w:r>
        <w:rPr>
          <w:color w:val="231F20"/>
          <w:spacing w:val="-5"/>
          <w:sz w:val="18"/>
        </w:rPr>
        <w:t> </w:t>
      </w:r>
      <w:r>
        <w:rPr>
          <w:color w:val="231F20"/>
          <w:sz w:val="18"/>
        </w:rPr>
        <w:t>представлений</w:t>
      </w:r>
      <w:r>
        <w:rPr>
          <w:color w:val="231F20"/>
          <w:spacing w:val="-5"/>
          <w:sz w:val="18"/>
        </w:rPr>
        <w:t> </w:t>
      </w:r>
      <w:r>
        <w:rPr>
          <w:color w:val="231F20"/>
          <w:sz w:val="18"/>
        </w:rPr>
        <w:t>«о</w:t>
      </w:r>
      <w:r>
        <w:rPr>
          <w:color w:val="231F20"/>
          <w:spacing w:val="-5"/>
          <w:sz w:val="18"/>
        </w:rPr>
        <w:t> </w:t>
      </w:r>
      <w:r>
        <w:rPr>
          <w:color w:val="231F20"/>
          <w:sz w:val="18"/>
        </w:rPr>
        <w:t>другом»</w:t>
      </w:r>
      <w:r>
        <w:rPr>
          <w:color w:val="231F20"/>
          <w:spacing w:val="-5"/>
          <w:sz w:val="18"/>
        </w:rPr>
        <w:t> </w:t>
      </w:r>
      <w:r>
        <w:rPr>
          <w:color w:val="231F20"/>
          <w:sz w:val="18"/>
        </w:rPr>
        <w:t>посредством</w:t>
      </w:r>
      <w:r>
        <w:rPr>
          <w:color w:val="231F20"/>
          <w:spacing w:val="-5"/>
          <w:sz w:val="18"/>
        </w:rPr>
        <w:t> </w:t>
      </w:r>
      <w:r>
        <w:rPr>
          <w:color w:val="231F20"/>
          <w:sz w:val="18"/>
        </w:rPr>
        <w:t>использования рисованных историй в профилактических проектах образовательных учреждений: Вып. квалификац. работа: Магист. дис.: Направление 44.04.02 «Психолого-педаго- гическое образование». / Моск. гос. психолого-пед. ун-т. – М., 2018. – 71 с. – URL: </w:t>
      </w:r>
      <w:hyperlink r:id="rId147">
        <w:r>
          <w:rPr>
            <w:color w:val="2255A6"/>
            <w:spacing w:val="-2"/>
            <w:sz w:val="18"/>
            <w:u w:val="single" w:color="2255A6"/>
          </w:rPr>
          <w:t>https://psychlib.ru/inc/absid.php?abs</w:t>
        </w:r>
      </w:hyperlink>
      <w:r>
        <w:rPr>
          <w:color w:val="231F20"/>
          <w:spacing w:val="-2"/>
          <w:sz w:val="18"/>
        </w:rPr>
        <w:t>.</w:t>
      </w:r>
    </w:p>
    <w:p>
      <w:pPr>
        <w:pStyle w:val="ListParagraph"/>
        <w:numPr>
          <w:ilvl w:val="2"/>
          <w:numId w:val="96"/>
        </w:numPr>
        <w:tabs>
          <w:tab w:pos="708" w:val="left" w:leader="none"/>
        </w:tabs>
        <w:spacing w:line="240" w:lineRule="auto" w:before="0" w:after="0"/>
        <w:ind w:left="708" w:right="422" w:hanging="284"/>
        <w:jc w:val="both"/>
        <w:rPr>
          <w:color w:val="231F20"/>
          <w:sz w:val="18"/>
        </w:rPr>
      </w:pPr>
      <w:r>
        <w:rPr>
          <w:color w:val="231F20"/>
          <w:spacing w:val="-2"/>
          <w:sz w:val="18"/>
        </w:rPr>
        <w:t>Воронкова</w:t>
      </w:r>
      <w:r>
        <w:rPr>
          <w:color w:val="231F20"/>
          <w:spacing w:val="-9"/>
          <w:sz w:val="18"/>
        </w:rPr>
        <w:t> </w:t>
      </w:r>
      <w:r>
        <w:rPr>
          <w:color w:val="231F20"/>
          <w:spacing w:val="-2"/>
          <w:sz w:val="18"/>
        </w:rPr>
        <w:t>А.А.</w:t>
      </w:r>
      <w:r>
        <w:rPr>
          <w:color w:val="231F20"/>
          <w:spacing w:val="-9"/>
          <w:sz w:val="18"/>
        </w:rPr>
        <w:t> </w:t>
      </w:r>
      <w:r>
        <w:rPr>
          <w:color w:val="231F20"/>
          <w:spacing w:val="-2"/>
          <w:sz w:val="18"/>
        </w:rPr>
        <w:t>Комиксы</w:t>
      </w:r>
      <w:r>
        <w:rPr>
          <w:color w:val="231F20"/>
          <w:spacing w:val="-9"/>
          <w:sz w:val="18"/>
        </w:rPr>
        <w:t> </w:t>
      </w:r>
      <w:r>
        <w:rPr>
          <w:color w:val="231F20"/>
          <w:spacing w:val="-2"/>
          <w:sz w:val="18"/>
        </w:rPr>
        <w:t>и</w:t>
      </w:r>
      <w:r>
        <w:rPr>
          <w:color w:val="231F20"/>
          <w:spacing w:val="-9"/>
          <w:sz w:val="18"/>
        </w:rPr>
        <w:t> </w:t>
      </w:r>
      <w:r>
        <w:rPr>
          <w:color w:val="231F20"/>
          <w:spacing w:val="-2"/>
          <w:sz w:val="18"/>
        </w:rPr>
        <w:t>социальная</w:t>
      </w:r>
      <w:r>
        <w:rPr>
          <w:color w:val="231F20"/>
          <w:spacing w:val="-9"/>
          <w:sz w:val="18"/>
        </w:rPr>
        <w:t> </w:t>
      </w:r>
      <w:r>
        <w:rPr>
          <w:color w:val="231F20"/>
          <w:spacing w:val="-2"/>
          <w:sz w:val="18"/>
        </w:rPr>
        <w:t>тематика:</w:t>
      </w:r>
      <w:r>
        <w:rPr>
          <w:color w:val="231F20"/>
          <w:spacing w:val="-9"/>
          <w:sz w:val="18"/>
        </w:rPr>
        <w:t> </w:t>
      </w:r>
      <w:r>
        <w:rPr>
          <w:color w:val="231F20"/>
          <w:spacing w:val="-2"/>
          <w:sz w:val="18"/>
        </w:rPr>
        <w:t>Опыт</w:t>
      </w:r>
      <w:r>
        <w:rPr>
          <w:color w:val="231F20"/>
          <w:spacing w:val="-9"/>
          <w:sz w:val="18"/>
        </w:rPr>
        <w:t> </w:t>
      </w:r>
      <w:r>
        <w:rPr>
          <w:color w:val="231F20"/>
          <w:spacing w:val="-2"/>
          <w:sz w:val="18"/>
        </w:rPr>
        <w:t>работы</w:t>
      </w:r>
      <w:r>
        <w:rPr>
          <w:color w:val="231F20"/>
          <w:spacing w:val="-9"/>
          <w:sz w:val="18"/>
        </w:rPr>
        <w:t> </w:t>
      </w:r>
      <w:r>
        <w:rPr>
          <w:color w:val="231F20"/>
          <w:spacing w:val="-2"/>
          <w:sz w:val="18"/>
        </w:rPr>
        <w:t>в</w:t>
      </w:r>
      <w:r>
        <w:rPr>
          <w:color w:val="231F20"/>
          <w:spacing w:val="-9"/>
          <w:sz w:val="18"/>
        </w:rPr>
        <w:t> </w:t>
      </w:r>
      <w:r>
        <w:rPr>
          <w:color w:val="231F20"/>
          <w:spacing w:val="-2"/>
          <w:sz w:val="18"/>
        </w:rPr>
        <w:t>школах,</w:t>
      </w:r>
      <w:r>
        <w:rPr>
          <w:color w:val="231F20"/>
          <w:spacing w:val="-9"/>
          <w:sz w:val="18"/>
        </w:rPr>
        <w:t> </w:t>
      </w:r>
      <w:r>
        <w:rPr>
          <w:color w:val="231F20"/>
          <w:spacing w:val="-2"/>
          <w:sz w:val="18"/>
        </w:rPr>
        <w:t>колледжах, </w:t>
      </w:r>
      <w:r>
        <w:rPr>
          <w:color w:val="231F20"/>
          <w:sz w:val="18"/>
        </w:rPr>
        <w:t>закрытых образовательных заведениях. Изотекст: Сборник материалов конферен- ции</w:t>
      </w:r>
      <w:r>
        <w:rPr>
          <w:color w:val="231F20"/>
          <w:spacing w:val="-8"/>
          <w:sz w:val="18"/>
        </w:rPr>
        <w:t> </w:t>
      </w:r>
      <w:r>
        <w:rPr>
          <w:color w:val="231F20"/>
          <w:sz w:val="18"/>
        </w:rPr>
        <w:t>исследователей</w:t>
      </w:r>
      <w:r>
        <w:rPr>
          <w:color w:val="231F20"/>
          <w:spacing w:val="-8"/>
          <w:sz w:val="18"/>
        </w:rPr>
        <w:t> </w:t>
      </w:r>
      <w:r>
        <w:rPr>
          <w:color w:val="231F20"/>
          <w:sz w:val="18"/>
        </w:rPr>
        <w:t>комиксов</w:t>
      </w:r>
      <w:r>
        <w:rPr>
          <w:color w:val="231F20"/>
          <w:spacing w:val="-8"/>
          <w:sz w:val="18"/>
        </w:rPr>
        <w:t> </w:t>
      </w:r>
      <w:r>
        <w:rPr>
          <w:color w:val="231F20"/>
          <w:sz w:val="18"/>
        </w:rPr>
        <w:t>19–20</w:t>
      </w:r>
      <w:r>
        <w:rPr>
          <w:color w:val="231F20"/>
          <w:spacing w:val="-8"/>
          <w:sz w:val="18"/>
        </w:rPr>
        <w:t> </w:t>
      </w:r>
      <w:r>
        <w:rPr>
          <w:color w:val="231F20"/>
          <w:sz w:val="18"/>
        </w:rPr>
        <w:t>мая</w:t>
      </w:r>
      <w:r>
        <w:rPr>
          <w:color w:val="231F20"/>
          <w:spacing w:val="-8"/>
          <w:sz w:val="18"/>
        </w:rPr>
        <w:t> </w:t>
      </w:r>
      <w:r>
        <w:rPr>
          <w:color w:val="231F20"/>
          <w:sz w:val="18"/>
        </w:rPr>
        <w:t>2016</w:t>
      </w:r>
      <w:r>
        <w:rPr>
          <w:color w:val="231F20"/>
          <w:spacing w:val="-8"/>
          <w:sz w:val="18"/>
        </w:rPr>
        <w:t> </w:t>
      </w:r>
      <w:r>
        <w:rPr>
          <w:color w:val="231F20"/>
          <w:sz w:val="18"/>
        </w:rPr>
        <w:t>г.</w:t>
      </w:r>
      <w:r>
        <w:rPr>
          <w:color w:val="231F20"/>
          <w:spacing w:val="-8"/>
          <w:sz w:val="18"/>
        </w:rPr>
        <w:t> </w:t>
      </w:r>
      <w:r>
        <w:rPr>
          <w:color w:val="231F20"/>
          <w:sz w:val="18"/>
        </w:rPr>
        <w:t>/</w:t>
      </w:r>
      <w:r>
        <w:rPr>
          <w:color w:val="231F20"/>
          <w:spacing w:val="-8"/>
          <w:sz w:val="18"/>
        </w:rPr>
        <w:t> </w:t>
      </w:r>
      <w:r>
        <w:rPr>
          <w:color w:val="231F20"/>
          <w:sz w:val="18"/>
        </w:rPr>
        <w:t>Рос.</w:t>
      </w:r>
      <w:r>
        <w:rPr>
          <w:color w:val="231F20"/>
          <w:spacing w:val="-8"/>
          <w:sz w:val="18"/>
        </w:rPr>
        <w:t> </w:t>
      </w:r>
      <w:r>
        <w:rPr>
          <w:color w:val="231F20"/>
          <w:sz w:val="18"/>
        </w:rPr>
        <w:t>гос.</w:t>
      </w:r>
      <w:r>
        <w:rPr>
          <w:color w:val="231F20"/>
          <w:spacing w:val="-8"/>
          <w:sz w:val="18"/>
        </w:rPr>
        <w:t> </w:t>
      </w:r>
      <w:r>
        <w:rPr>
          <w:color w:val="231F20"/>
          <w:sz w:val="18"/>
        </w:rPr>
        <w:t>б-ка</w:t>
      </w:r>
      <w:r>
        <w:rPr>
          <w:color w:val="231F20"/>
          <w:spacing w:val="-8"/>
          <w:sz w:val="18"/>
        </w:rPr>
        <w:t> </w:t>
      </w:r>
      <w:r>
        <w:rPr>
          <w:color w:val="231F20"/>
          <w:sz w:val="18"/>
        </w:rPr>
        <w:t>для</w:t>
      </w:r>
      <w:r>
        <w:rPr>
          <w:color w:val="231F20"/>
          <w:spacing w:val="-8"/>
          <w:sz w:val="18"/>
        </w:rPr>
        <w:t> </w:t>
      </w:r>
      <w:r>
        <w:rPr>
          <w:color w:val="231F20"/>
          <w:sz w:val="18"/>
        </w:rPr>
        <w:t>молодежи.</w:t>
      </w:r>
      <w:r>
        <w:rPr>
          <w:color w:val="231F20"/>
          <w:spacing w:val="-8"/>
          <w:sz w:val="18"/>
        </w:rPr>
        <w:t> </w:t>
      </w:r>
      <w:r>
        <w:rPr>
          <w:color w:val="231F20"/>
          <w:sz w:val="18"/>
        </w:rPr>
        <w:t>Сост. А.И.</w:t>
      </w:r>
      <w:r>
        <w:rPr>
          <w:color w:val="231F20"/>
          <w:spacing w:val="-5"/>
          <w:sz w:val="18"/>
        </w:rPr>
        <w:t> </w:t>
      </w:r>
      <w:r>
        <w:rPr>
          <w:color w:val="231F20"/>
          <w:sz w:val="18"/>
        </w:rPr>
        <w:t>Кунин,</w:t>
      </w:r>
      <w:r>
        <w:rPr>
          <w:color w:val="231F20"/>
          <w:spacing w:val="-5"/>
          <w:sz w:val="18"/>
        </w:rPr>
        <w:t> </w:t>
      </w:r>
      <w:r>
        <w:rPr>
          <w:color w:val="231F20"/>
          <w:sz w:val="18"/>
        </w:rPr>
        <w:t>Ю.А.</w:t>
      </w:r>
      <w:r>
        <w:rPr>
          <w:color w:val="231F20"/>
          <w:spacing w:val="-5"/>
          <w:sz w:val="18"/>
        </w:rPr>
        <w:t> </w:t>
      </w:r>
      <w:r>
        <w:rPr>
          <w:color w:val="231F20"/>
          <w:sz w:val="18"/>
        </w:rPr>
        <w:t>Магера.</w:t>
      </w:r>
      <w:r>
        <w:rPr>
          <w:color w:val="231F20"/>
          <w:spacing w:val="-5"/>
          <w:sz w:val="18"/>
        </w:rPr>
        <w:t> </w:t>
      </w:r>
      <w:r>
        <w:rPr>
          <w:color w:val="231F20"/>
          <w:sz w:val="18"/>
        </w:rPr>
        <w:t>—</w:t>
      </w:r>
      <w:r>
        <w:rPr>
          <w:color w:val="231F20"/>
          <w:spacing w:val="-5"/>
          <w:sz w:val="18"/>
        </w:rPr>
        <w:t> </w:t>
      </w:r>
      <w:r>
        <w:rPr>
          <w:color w:val="231F20"/>
          <w:sz w:val="18"/>
        </w:rPr>
        <w:t>М.:</w:t>
      </w:r>
      <w:r>
        <w:rPr>
          <w:color w:val="231F20"/>
          <w:spacing w:val="-5"/>
          <w:sz w:val="18"/>
        </w:rPr>
        <w:t> </w:t>
      </w:r>
      <w:r>
        <w:rPr>
          <w:color w:val="231F20"/>
          <w:sz w:val="18"/>
        </w:rPr>
        <w:t>Рос.</w:t>
      </w:r>
      <w:r>
        <w:rPr>
          <w:color w:val="231F20"/>
          <w:spacing w:val="-5"/>
          <w:sz w:val="18"/>
        </w:rPr>
        <w:t> </w:t>
      </w:r>
      <w:r>
        <w:rPr>
          <w:color w:val="231F20"/>
          <w:sz w:val="18"/>
        </w:rPr>
        <w:t>гос.</w:t>
      </w:r>
      <w:r>
        <w:rPr>
          <w:color w:val="231F20"/>
          <w:spacing w:val="-5"/>
          <w:sz w:val="18"/>
        </w:rPr>
        <w:t> </w:t>
      </w:r>
      <w:r>
        <w:rPr>
          <w:color w:val="231F20"/>
          <w:sz w:val="18"/>
        </w:rPr>
        <w:t>б-ка</w:t>
      </w:r>
      <w:r>
        <w:rPr>
          <w:color w:val="231F20"/>
          <w:spacing w:val="-5"/>
          <w:sz w:val="18"/>
        </w:rPr>
        <w:t> </w:t>
      </w:r>
      <w:r>
        <w:rPr>
          <w:color w:val="231F20"/>
          <w:sz w:val="18"/>
        </w:rPr>
        <w:t>для</w:t>
      </w:r>
      <w:r>
        <w:rPr>
          <w:color w:val="231F20"/>
          <w:spacing w:val="-5"/>
          <w:sz w:val="18"/>
        </w:rPr>
        <w:t> </w:t>
      </w:r>
      <w:r>
        <w:rPr>
          <w:color w:val="231F20"/>
          <w:sz w:val="18"/>
        </w:rPr>
        <w:t>молодежи,</w:t>
      </w:r>
      <w:r>
        <w:rPr>
          <w:color w:val="231F20"/>
          <w:spacing w:val="-5"/>
          <w:sz w:val="18"/>
        </w:rPr>
        <w:t> </w:t>
      </w:r>
      <w:r>
        <w:rPr>
          <w:color w:val="231F20"/>
          <w:sz w:val="18"/>
        </w:rPr>
        <w:t>2016.</w:t>
      </w:r>
      <w:r>
        <w:rPr>
          <w:color w:val="231F20"/>
          <w:spacing w:val="-5"/>
          <w:sz w:val="18"/>
        </w:rPr>
        <w:t> </w:t>
      </w:r>
      <w:r>
        <w:rPr>
          <w:color w:val="231F20"/>
          <w:sz w:val="18"/>
        </w:rPr>
        <w:t>–</w:t>
      </w:r>
      <w:r>
        <w:rPr>
          <w:color w:val="231F20"/>
          <w:spacing w:val="-5"/>
          <w:sz w:val="18"/>
        </w:rPr>
        <w:t> </w:t>
      </w:r>
      <w:r>
        <w:rPr>
          <w:color w:val="231F20"/>
          <w:sz w:val="18"/>
        </w:rPr>
        <w:t>118</w:t>
      </w:r>
      <w:r>
        <w:rPr>
          <w:color w:val="231F20"/>
          <w:spacing w:val="-5"/>
          <w:sz w:val="18"/>
        </w:rPr>
        <w:t> </w:t>
      </w:r>
      <w:r>
        <w:rPr>
          <w:color w:val="231F20"/>
          <w:sz w:val="18"/>
        </w:rPr>
        <w:t>с.</w:t>
      </w:r>
      <w:r>
        <w:rPr>
          <w:color w:val="231F20"/>
          <w:spacing w:val="-5"/>
          <w:sz w:val="18"/>
        </w:rPr>
        <w:t> </w:t>
      </w:r>
      <w:r>
        <w:rPr>
          <w:color w:val="231F20"/>
          <w:sz w:val="18"/>
        </w:rPr>
        <w:t>Источ- ник: </w:t>
      </w:r>
      <w:r>
        <w:rPr>
          <w:color w:val="2255A6"/>
          <w:sz w:val="18"/>
          <w:u w:val="single" w:color="2255A6"/>
        </w:rPr>
        <w:t>https://psychlib.ru/resource/pdf/studwork/VoronkovaAA_2018/VoronkovaAA_5.</w:t>
      </w:r>
      <w:r>
        <w:rPr>
          <w:color w:val="2255A6"/>
          <w:sz w:val="18"/>
        </w:rPr>
        <w:t> </w:t>
      </w:r>
      <w:r>
        <w:rPr>
          <w:color w:val="2255A6"/>
          <w:spacing w:val="-2"/>
          <w:sz w:val="18"/>
          <w:u w:val="single" w:color="2255A6"/>
        </w:rPr>
        <w:t>pdf#page=5</w:t>
      </w:r>
      <w:r>
        <w:rPr>
          <w:color w:val="231F20"/>
          <w:spacing w:val="-2"/>
          <w:sz w:val="18"/>
        </w:rPr>
        <w:t>.</w:t>
      </w:r>
    </w:p>
    <w:p>
      <w:pPr>
        <w:pStyle w:val="ListParagraph"/>
        <w:numPr>
          <w:ilvl w:val="2"/>
          <w:numId w:val="96"/>
        </w:numPr>
        <w:tabs>
          <w:tab w:pos="708" w:val="left" w:leader="none"/>
        </w:tabs>
        <w:spacing w:line="201" w:lineRule="exact" w:before="0" w:after="0"/>
        <w:ind w:left="708" w:right="0" w:hanging="283"/>
        <w:jc w:val="both"/>
        <w:rPr>
          <w:color w:val="231F20"/>
          <w:sz w:val="18"/>
        </w:rPr>
      </w:pPr>
      <w:r>
        <w:rPr>
          <w:color w:val="231F20"/>
          <w:sz w:val="18"/>
        </w:rPr>
        <w:t>Гнатюк</w:t>
      </w:r>
      <w:r>
        <w:rPr>
          <w:color w:val="231F20"/>
          <w:spacing w:val="-6"/>
          <w:sz w:val="18"/>
        </w:rPr>
        <w:t> </w:t>
      </w:r>
      <w:r>
        <w:rPr>
          <w:color w:val="231F20"/>
          <w:sz w:val="18"/>
        </w:rPr>
        <w:t>М.Л.</w:t>
      </w:r>
      <w:r>
        <w:rPr>
          <w:color w:val="231F20"/>
          <w:spacing w:val="-6"/>
          <w:sz w:val="18"/>
        </w:rPr>
        <w:t> </w:t>
      </w:r>
      <w:r>
        <w:rPr>
          <w:color w:val="231F20"/>
          <w:sz w:val="18"/>
        </w:rPr>
        <w:t>Основы</w:t>
      </w:r>
      <w:r>
        <w:rPr>
          <w:color w:val="231F20"/>
          <w:spacing w:val="-6"/>
          <w:sz w:val="18"/>
        </w:rPr>
        <w:t> </w:t>
      </w:r>
      <w:r>
        <w:rPr>
          <w:color w:val="231F20"/>
          <w:sz w:val="18"/>
        </w:rPr>
        <w:t>теории</w:t>
      </w:r>
      <w:r>
        <w:rPr>
          <w:color w:val="231F20"/>
          <w:spacing w:val="-6"/>
          <w:sz w:val="18"/>
        </w:rPr>
        <w:t> </w:t>
      </w:r>
      <w:r>
        <w:rPr>
          <w:color w:val="231F20"/>
          <w:sz w:val="18"/>
        </w:rPr>
        <w:t>коммуникации.</w:t>
      </w:r>
      <w:r>
        <w:rPr>
          <w:color w:val="231F20"/>
          <w:spacing w:val="-6"/>
          <w:sz w:val="18"/>
        </w:rPr>
        <w:t> </w:t>
      </w:r>
      <w:r>
        <w:rPr>
          <w:color w:val="231F20"/>
          <w:sz w:val="18"/>
        </w:rPr>
        <w:t>–</w:t>
      </w:r>
      <w:r>
        <w:rPr>
          <w:color w:val="231F20"/>
          <w:spacing w:val="-5"/>
          <w:sz w:val="18"/>
        </w:rPr>
        <w:t> </w:t>
      </w:r>
      <w:r>
        <w:rPr>
          <w:color w:val="231F20"/>
          <w:spacing w:val="-2"/>
          <w:sz w:val="18"/>
        </w:rPr>
        <w:t>М.,2012</w:t>
      </w:r>
    </w:p>
    <w:p>
      <w:pPr>
        <w:pStyle w:val="ListParagraph"/>
        <w:numPr>
          <w:ilvl w:val="2"/>
          <w:numId w:val="96"/>
        </w:numPr>
        <w:tabs>
          <w:tab w:pos="708" w:val="left" w:leader="none"/>
        </w:tabs>
        <w:spacing w:line="240" w:lineRule="auto" w:before="0" w:after="0"/>
        <w:ind w:left="708" w:right="422" w:hanging="284"/>
        <w:jc w:val="both"/>
        <w:rPr>
          <w:color w:val="231F20"/>
          <w:sz w:val="18"/>
        </w:rPr>
      </w:pPr>
      <w:r>
        <w:rPr>
          <w:color w:val="231F20"/>
          <w:sz w:val="18"/>
        </w:rPr>
        <w:t>Зиновкина М.М. Педагогическое творчество : модульно-кодовое учебное пособие для</w:t>
      </w:r>
      <w:r>
        <w:rPr>
          <w:color w:val="231F20"/>
          <w:spacing w:val="-11"/>
          <w:sz w:val="18"/>
        </w:rPr>
        <w:t> </w:t>
      </w:r>
      <w:r>
        <w:rPr>
          <w:color w:val="231F20"/>
          <w:sz w:val="18"/>
        </w:rPr>
        <w:t>слушателей</w:t>
      </w:r>
      <w:r>
        <w:rPr>
          <w:color w:val="231F20"/>
          <w:spacing w:val="-11"/>
          <w:sz w:val="18"/>
        </w:rPr>
        <w:t> </w:t>
      </w:r>
      <w:r>
        <w:rPr>
          <w:color w:val="231F20"/>
          <w:sz w:val="18"/>
        </w:rPr>
        <w:t>институтов</w:t>
      </w:r>
      <w:r>
        <w:rPr>
          <w:color w:val="231F20"/>
          <w:spacing w:val="-11"/>
          <w:sz w:val="18"/>
        </w:rPr>
        <w:t> </w:t>
      </w:r>
      <w:r>
        <w:rPr>
          <w:color w:val="231F20"/>
          <w:sz w:val="18"/>
        </w:rPr>
        <w:t>и</w:t>
      </w:r>
      <w:r>
        <w:rPr>
          <w:color w:val="231F20"/>
          <w:spacing w:val="-11"/>
          <w:sz w:val="18"/>
        </w:rPr>
        <w:t> </w:t>
      </w:r>
      <w:r>
        <w:rPr>
          <w:color w:val="231F20"/>
          <w:sz w:val="18"/>
        </w:rPr>
        <w:t>факультетов</w:t>
      </w:r>
      <w:r>
        <w:rPr>
          <w:color w:val="231F20"/>
          <w:spacing w:val="-11"/>
          <w:sz w:val="18"/>
        </w:rPr>
        <w:t> </w:t>
      </w:r>
      <w:r>
        <w:rPr>
          <w:color w:val="231F20"/>
          <w:sz w:val="18"/>
        </w:rPr>
        <w:t>повышения</w:t>
      </w:r>
      <w:r>
        <w:rPr>
          <w:color w:val="231F20"/>
          <w:spacing w:val="-11"/>
          <w:sz w:val="18"/>
        </w:rPr>
        <w:t> </w:t>
      </w:r>
      <w:r>
        <w:rPr>
          <w:color w:val="231F20"/>
          <w:sz w:val="18"/>
        </w:rPr>
        <w:t>квалификации,</w:t>
      </w:r>
      <w:r>
        <w:rPr>
          <w:color w:val="231F20"/>
          <w:spacing w:val="-11"/>
          <w:sz w:val="18"/>
        </w:rPr>
        <w:t> </w:t>
      </w:r>
      <w:r>
        <w:rPr>
          <w:color w:val="231F20"/>
          <w:sz w:val="18"/>
        </w:rPr>
        <w:t>преподавате- лей, аспирантов и других профессионально-педагогических работников / М.М.</w:t>
      </w:r>
      <w:r>
        <w:rPr>
          <w:color w:val="231F20"/>
          <w:spacing w:val="-5"/>
          <w:sz w:val="18"/>
        </w:rPr>
        <w:t> </w:t>
      </w:r>
      <w:r>
        <w:rPr>
          <w:color w:val="231F20"/>
          <w:sz w:val="18"/>
        </w:rPr>
        <w:t>Зи- новкина. – М.: Изд-во МГИУ, 2008. –- 257 с. : ил., табл.; 20 см. ISBN 978-5-2760- </w:t>
      </w:r>
      <w:r>
        <w:rPr>
          <w:color w:val="231F20"/>
          <w:spacing w:val="-2"/>
          <w:sz w:val="18"/>
        </w:rPr>
        <w:t>1295-7</w:t>
      </w:r>
    </w:p>
    <w:p>
      <w:pPr>
        <w:pStyle w:val="ListParagraph"/>
        <w:numPr>
          <w:ilvl w:val="2"/>
          <w:numId w:val="96"/>
        </w:numPr>
        <w:tabs>
          <w:tab w:pos="708" w:val="left" w:leader="none"/>
        </w:tabs>
        <w:spacing w:line="240" w:lineRule="auto" w:before="0" w:after="0"/>
        <w:ind w:left="708" w:right="423" w:hanging="284"/>
        <w:jc w:val="both"/>
        <w:rPr>
          <w:color w:val="231F20"/>
          <w:sz w:val="18"/>
        </w:rPr>
      </w:pPr>
      <w:r>
        <w:rPr>
          <w:color w:val="231F20"/>
          <w:sz w:val="18"/>
        </w:rPr>
        <w:t>Кобзева Н.А. Edutainment как современная технология обучения. Ярославский пе- дагогический вестник. 2012 – № 4 – Том II (Психолого-педагогические науки).</w:t>
      </w:r>
    </w:p>
    <w:p>
      <w:pPr>
        <w:pStyle w:val="ListParagraph"/>
        <w:numPr>
          <w:ilvl w:val="2"/>
          <w:numId w:val="96"/>
        </w:numPr>
        <w:tabs>
          <w:tab w:pos="708" w:val="left" w:leader="none"/>
        </w:tabs>
        <w:spacing w:line="205" w:lineRule="exact" w:before="0" w:after="0"/>
        <w:ind w:left="708" w:right="0" w:hanging="283"/>
        <w:jc w:val="both"/>
        <w:rPr>
          <w:color w:val="231F20"/>
          <w:sz w:val="18"/>
        </w:rPr>
      </w:pPr>
      <w:r>
        <w:rPr>
          <w:color w:val="231F20"/>
          <w:sz w:val="18"/>
        </w:rPr>
        <w:t>Комиксы</w:t>
      </w:r>
      <w:r>
        <w:rPr>
          <w:color w:val="231F20"/>
          <w:spacing w:val="-5"/>
          <w:sz w:val="18"/>
        </w:rPr>
        <w:t> </w:t>
      </w:r>
      <w:r>
        <w:rPr>
          <w:color w:val="231F20"/>
          <w:sz w:val="18"/>
        </w:rPr>
        <w:t>из</w:t>
      </w:r>
      <w:r>
        <w:rPr>
          <w:color w:val="231F20"/>
          <w:spacing w:val="-2"/>
          <w:sz w:val="18"/>
        </w:rPr>
        <w:t> </w:t>
      </w:r>
      <w:r>
        <w:rPr>
          <w:color w:val="231F20"/>
          <w:sz w:val="18"/>
        </w:rPr>
        <w:t>разных</w:t>
      </w:r>
      <w:r>
        <w:rPr>
          <w:color w:val="231F20"/>
          <w:spacing w:val="-2"/>
          <w:sz w:val="18"/>
        </w:rPr>
        <w:t> </w:t>
      </w:r>
      <w:r>
        <w:rPr>
          <w:color w:val="231F20"/>
          <w:sz w:val="18"/>
        </w:rPr>
        <w:t>стран</w:t>
      </w:r>
      <w:r>
        <w:rPr>
          <w:color w:val="231F20"/>
          <w:spacing w:val="-2"/>
          <w:sz w:val="18"/>
        </w:rPr>
        <w:t> </w:t>
      </w:r>
      <w:r>
        <w:rPr>
          <w:color w:val="231F20"/>
          <w:sz w:val="18"/>
        </w:rPr>
        <w:t>за</w:t>
      </w:r>
      <w:r>
        <w:rPr>
          <w:color w:val="231F20"/>
          <w:spacing w:val="-3"/>
          <w:sz w:val="18"/>
        </w:rPr>
        <w:t> </w:t>
      </w:r>
      <w:r>
        <w:rPr>
          <w:color w:val="231F20"/>
          <w:sz w:val="18"/>
        </w:rPr>
        <w:t>респект</w:t>
      </w:r>
      <w:r>
        <w:rPr>
          <w:color w:val="231F20"/>
          <w:spacing w:val="-2"/>
          <w:sz w:val="18"/>
        </w:rPr>
        <w:t> </w:t>
      </w:r>
      <w:r>
        <w:rPr>
          <w:color w:val="231F20"/>
          <w:sz w:val="18"/>
        </w:rPr>
        <w:t>и</w:t>
      </w:r>
      <w:r>
        <w:rPr>
          <w:color w:val="231F20"/>
          <w:spacing w:val="-2"/>
          <w:sz w:val="18"/>
        </w:rPr>
        <w:t> </w:t>
      </w:r>
      <w:r>
        <w:rPr>
          <w:color w:val="231F20"/>
          <w:sz w:val="18"/>
        </w:rPr>
        <w:t>уважуху.</w:t>
      </w:r>
      <w:r>
        <w:rPr>
          <w:color w:val="231F20"/>
          <w:spacing w:val="-2"/>
          <w:sz w:val="18"/>
        </w:rPr>
        <w:t> </w:t>
      </w:r>
      <w:r>
        <w:rPr>
          <w:color w:val="231F20"/>
          <w:sz w:val="18"/>
        </w:rPr>
        <w:t>Как</w:t>
      </w:r>
      <w:r>
        <w:rPr>
          <w:color w:val="231F20"/>
          <w:spacing w:val="-3"/>
          <w:sz w:val="18"/>
        </w:rPr>
        <w:t> </w:t>
      </w:r>
      <w:r>
        <w:rPr>
          <w:color w:val="231F20"/>
          <w:sz w:val="18"/>
        </w:rPr>
        <w:t>работать</w:t>
      </w:r>
      <w:r>
        <w:rPr>
          <w:color w:val="231F20"/>
          <w:spacing w:val="-2"/>
          <w:sz w:val="18"/>
        </w:rPr>
        <w:t> </w:t>
      </w:r>
      <w:r>
        <w:rPr>
          <w:color w:val="231F20"/>
          <w:sz w:val="18"/>
        </w:rPr>
        <w:t>с</w:t>
      </w:r>
      <w:r>
        <w:rPr>
          <w:color w:val="231F20"/>
          <w:spacing w:val="-2"/>
          <w:sz w:val="18"/>
        </w:rPr>
        <w:t> </w:t>
      </w:r>
      <w:r>
        <w:rPr>
          <w:color w:val="231F20"/>
          <w:sz w:val="18"/>
        </w:rPr>
        <w:t>комиксами</w:t>
      </w:r>
      <w:r>
        <w:rPr>
          <w:color w:val="231F20"/>
          <w:spacing w:val="-2"/>
          <w:sz w:val="18"/>
        </w:rPr>
        <w:t> проекта</w:t>
      </w:r>
    </w:p>
    <w:p>
      <w:pPr>
        <w:spacing w:before="0"/>
        <w:ind w:left="708" w:right="423" w:firstLine="0"/>
        <w:jc w:val="both"/>
        <w:rPr>
          <w:sz w:val="18"/>
        </w:rPr>
      </w:pPr>
      <w:r>
        <w:rPr>
          <w:color w:val="231F20"/>
          <w:sz w:val="18"/>
        </w:rPr>
        <w:t>«Респект</w:t>
      </w:r>
      <w:r>
        <w:rPr>
          <w:color w:val="231F20"/>
          <w:spacing w:val="-8"/>
          <w:sz w:val="18"/>
        </w:rPr>
        <w:t> </w:t>
      </w:r>
      <w:r>
        <w:rPr>
          <w:color w:val="231F20"/>
          <w:sz w:val="18"/>
        </w:rPr>
        <w:t>2.0».</w:t>
      </w:r>
      <w:r>
        <w:rPr>
          <w:color w:val="231F20"/>
          <w:spacing w:val="-8"/>
          <w:sz w:val="18"/>
        </w:rPr>
        <w:t> </w:t>
      </w:r>
      <w:r>
        <w:rPr>
          <w:color w:val="231F20"/>
          <w:sz w:val="18"/>
        </w:rPr>
        <w:t>Методическое</w:t>
      </w:r>
      <w:r>
        <w:rPr>
          <w:color w:val="231F20"/>
          <w:spacing w:val="-8"/>
          <w:sz w:val="18"/>
        </w:rPr>
        <w:t> </w:t>
      </w:r>
      <w:r>
        <w:rPr>
          <w:color w:val="231F20"/>
          <w:sz w:val="18"/>
        </w:rPr>
        <w:t>пособие</w:t>
      </w:r>
      <w:r>
        <w:rPr>
          <w:color w:val="231F20"/>
          <w:spacing w:val="-8"/>
          <w:sz w:val="18"/>
        </w:rPr>
        <w:t> </w:t>
      </w:r>
      <w:r>
        <w:rPr>
          <w:color w:val="231F20"/>
          <w:sz w:val="18"/>
        </w:rPr>
        <w:t>для</w:t>
      </w:r>
      <w:r>
        <w:rPr>
          <w:color w:val="231F20"/>
          <w:spacing w:val="-8"/>
          <w:sz w:val="18"/>
        </w:rPr>
        <w:t> </w:t>
      </w:r>
      <w:r>
        <w:rPr>
          <w:color w:val="231F20"/>
          <w:sz w:val="18"/>
        </w:rPr>
        <w:t>преподавателей</w:t>
      </w:r>
      <w:r>
        <w:rPr>
          <w:color w:val="231F20"/>
          <w:spacing w:val="-8"/>
          <w:sz w:val="18"/>
        </w:rPr>
        <w:t> </w:t>
      </w:r>
      <w:r>
        <w:rPr>
          <w:color w:val="231F20"/>
          <w:sz w:val="18"/>
        </w:rPr>
        <w:t>и</w:t>
      </w:r>
      <w:r>
        <w:rPr>
          <w:color w:val="231F20"/>
          <w:spacing w:val="-8"/>
          <w:sz w:val="18"/>
        </w:rPr>
        <w:t> </w:t>
      </w:r>
      <w:r>
        <w:rPr>
          <w:color w:val="231F20"/>
          <w:sz w:val="18"/>
        </w:rPr>
        <w:t>просветителей.</w:t>
      </w:r>
      <w:r>
        <w:rPr>
          <w:color w:val="231F20"/>
          <w:spacing w:val="-8"/>
          <w:sz w:val="18"/>
        </w:rPr>
        <w:t> </w:t>
      </w:r>
      <w:r>
        <w:rPr>
          <w:color w:val="231F20"/>
          <w:sz w:val="18"/>
        </w:rPr>
        <w:t>–</w:t>
      </w:r>
      <w:r>
        <w:rPr>
          <w:color w:val="231F20"/>
          <w:spacing w:val="-8"/>
          <w:sz w:val="18"/>
        </w:rPr>
        <w:t> </w:t>
      </w:r>
      <w:r>
        <w:rPr>
          <w:color w:val="231F20"/>
          <w:sz w:val="18"/>
        </w:rPr>
        <w:t>Изда- ние второе, исправленное и переработанное. – Воронеж, 2015 г. – 52 с. </w:t>
      </w:r>
      <w:hyperlink r:id="rId148">
        <w:r>
          <w:rPr>
            <w:color w:val="2255A6"/>
            <w:sz w:val="18"/>
            <w:u w:val="single" w:color="2255A6"/>
          </w:rPr>
          <w:t>http://www.</w:t>
        </w:r>
      </w:hyperlink>
      <w:r>
        <w:rPr>
          <w:color w:val="2255A6"/>
          <w:sz w:val="18"/>
        </w:rPr>
        <w:t> </w:t>
      </w:r>
      <w:hyperlink r:id="rId148">
        <w:r>
          <w:rPr>
            <w:color w:val="2255A6"/>
            <w:spacing w:val="-2"/>
            <w:sz w:val="18"/>
            <w:u w:val="single" w:color="2255A6"/>
          </w:rPr>
          <w:t>respect.com.mx/upload/iblock/6e0/6e0e8a4ff0fee0978de287c3e2439381.pdf</w:t>
        </w:r>
      </w:hyperlink>
      <w:r>
        <w:rPr>
          <w:color w:val="231F20"/>
          <w:spacing w:val="-2"/>
          <w:sz w:val="18"/>
        </w:rPr>
        <w:t>.</w:t>
      </w:r>
    </w:p>
    <w:p>
      <w:pPr>
        <w:pStyle w:val="ListParagraph"/>
        <w:numPr>
          <w:ilvl w:val="2"/>
          <w:numId w:val="96"/>
        </w:numPr>
        <w:tabs>
          <w:tab w:pos="708" w:val="left" w:leader="none"/>
        </w:tabs>
        <w:spacing w:line="249" w:lineRule="auto" w:before="0" w:after="0"/>
        <w:ind w:left="708" w:right="423" w:hanging="284"/>
        <w:jc w:val="both"/>
        <w:rPr>
          <w:color w:val="231F20"/>
          <w:sz w:val="18"/>
        </w:rPr>
      </w:pPr>
      <w:r>
        <w:rPr>
          <w:color w:val="231F20"/>
          <w:sz w:val="18"/>
        </w:rPr>
        <w:t>Barkley E., Major C., Cross K. P. Collaborative learning Techniques: A Resource for College Faculty / E. Barkley, C. Major, K. Cross. – 2nd Edition. San Francisco: Jossey- Bass, 2014. – 448 p.</w:t>
      </w:r>
    </w:p>
    <w:p>
      <w:pPr>
        <w:pStyle w:val="ListParagraph"/>
        <w:spacing w:after="0" w:line="249" w:lineRule="auto"/>
        <w:jc w:val="both"/>
        <w:rPr>
          <w:sz w:val="18"/>
        </w:rPr>
        <w:sectPr>
          <w:pgSz w:w="8400" w:h="11910"/>
          <w:pgMar w:header="0" w:footer="527" w:top="400" w:bottom="740" w:left="425" w:right="425"/>
        </w:sectPr>
      </w:pPr>
    </w:p>
    <w:p>
      <w:pPr>
        <w:pStyle w:val="ListParagraph"/>
        <w:numPr>
          <w:ilvl w:val="1"/>
          <w:numId w:val="143"/>
        </w:numPr>
        <w:tabs>
          <w:tab w:pos="455" w:val="left" w:leader="none"/>
        </w:tabs>
        <w:spacing w:line="240" w:lineRule="auto" w:before="80" w:after="0"/>
        <w:ind w:left="455" w:right="0" w:hanging="314"/>
        <w:jc w:val="left"/>
        <w:rPr>
          <w:rFonts w:ascii="Georgia" w:hAnsi="Georgia"/>
          <w:color w:val="231F20"/>
          <w:sz w:val="18"/>
        </w:rPr>
      </w:pPr>
      <w:bookmarkStart w:name="_bookmark67" w:id="69"/>
      <w:bookmarkEnd w:id="69"/>
      <w:r>
        <w:rPr/>
      </w:r>
      <w:r>
        <w:rPr>
          <w:rFonts w:ascii="Georgia" w:hAnsi="Georgia"/>
          <w:color w:val="231F20"/>
          <w:sz w:val="18"/>
        </w:rPr>
        <w:t>Методы</w:t>
      </w:r>
      <w:r>
        <w:rPr>
          <w:rFonts w:ascii="Georgia" w:hAnsi="Georgia"/>
          <w:color w:val="231F20"/>
          <w:spacing w:val="-2"/>
          <w:sz w:val="18"/>
        </w:rPr>
        <w:t> </w:t>
      </w:r>
      <w:r>
        <w:rPr>
          <w:rFonts w:ascii="Georgia" w:hAnsi="Georgia"/>
          <w:color w:val="231F20"/>
          <w:sz w:val="18"/>
        </w:rPr>
        <w:t>воспитательной</w:t>
      </w:r>
      <w:r>
        <w:rPr>
          <w:rFonts w:ascii="Georgia" w:hAnsi="Georgia"/>
          <w:color w:val="231F20"/>
          <w:spacing w:val="-1"/>
          <w:sz w:val="18"/>
        </w:rPr>
        <w:t> </w:t>
      </w:r>
      <w:r>
        <w:rPr>
          <w:rFonts w:ascii="Georgia" w:hAnsi="Georgia"/>
          <w:color w:val="231F20"/>
          <w:sz w:val="18"/>
        </w:rPr>
        <w:t>раюоты</w:t>
      </w:r>
      <w:r>
        <w:rPr>
          <w:rFonts w:ascii="Georgia" w:hAnsi="Georgia"/>
          <w:color w:val="231F20"/>
          <w:spacing w:val="-1"/>
          <w:sz w:val="18"/>
        </w:rPr>
        <w:t> </w:t>
      </w:r>
      <w:r>
        <w:rPr>
          <w:rFonts w:ascii="Georgia" w:hAnsi="Georgia"/>
          <w:color w:val="231F20"/>
          <w:sz w:val="18"/>
        </w:rPr>
        <w:t>для</w:t>
      </w:r>
      <w:r>
        <w:rPr>
          <w:rFonts w:ascii="Georgia" w:hAnsi="Georgia"/>
          <w:color w:val="231F20"/>
          <w:spacing w:val="-1"/>
          <w:sz w:val="18"/>
        </w:rPr>
        <w:t> </w:t>
      </w:r>
      <w:r>
        <w:rPr>
          <w:rFonts w:ascii="Georgia" w:hAnsi="Georgia"/>
          <w:color w:val="231F20"/>
          <w:sz w:val="18"/>
        </w:rPr>
        <w:t>адаптации</w:t>
      </w:r>
      <w:r>
        <w:rPr>
          <w:rFonts w:ascii="Georgia" w:hAnsi="Georgia"/>
          <w:color w:val="231F20"/>
          <w:spacing w:val="-1"/>
          <w:sz w:val="18"/>
        </w:rPr>
        <w:t> </w:t>
      </w:r>
      <w:r>
        <w:rPr>
          <w:rFonts w:ascii="Georgia" w:hAnsi="Georgia"/>
          <w:color w:val="231F20"/>
          <w:sz w:val="18"/>
        </w:rPr>
        <w:t>...</w:t>
      </w:r>
      <w:r>
        <w:rPr>
          <w:rFonts w:ascii="Georgia" w:hAnsi="Georgia"/>
          <w:color w:val="231F20"/>
          <w:spacing w:val="-1"/>
          <w:sz w:val="18"/>
        </w:rPr>
        <w:t> </w:t>
      </w:r>
      <w:r>
        <w:rPr>
          <w:rFonts w:ascii="Georgia" w:hAnsi="Georgia"/>
          <w:color w:val="231F20"/>
          <w:sz w:val="18"/>
        </w:rPr>
        <w:t>во</w:t>
      </w:r>
      <w:r>
        <w:rPr>
          <w:rFonts w:ascii="Georgia" w:hAnsi="Georgia"/>
          <w:color w:val="231F20"/>
          <w:spacing w:val="-1"/>
          <w:sz w:val="18"/>
        </w:rPr>
        <w:t> </w:t>
      </w:r>
      <w:r>
        <w:rPr>
          <w:rFonts w:ascii="Georgia" w:hAnsi="Georgia"/>
          <w:color w:val="231F20"/>
          <w:spacing w:val="-2"/>
          <w:sz w:val="18"/>
        </w:rPr>
        <w:t>взаимодействии...</w:t>
      </w:r>
    </w:p>
    <w:p>
      <w:pPr>
        <w:numPr>
          <w:ilvl w:val="2"/>
          <w:numId w:val="143"/>
        </w:numPr>
        <w:tabs>
          <w:tab w:pos="1993" w:val="left" w:leader="none"/>
        </w:tabs>
        <w:spacing w:line="235" w:lineRule="auto" w:before="113"/>
        <w:ind w:left="1021" w:right="1019" w:firstLine="472"/>
        <w:jc w:val="left"/>
        <w:rPr>
          <w:b/>
          <w:sz w:val="20"/>
        </w:rPr>
      </w:pPr>
      <w:r>
        <w:rPr>
          <w:b/>
          <w:color w:val="231F20"/>
          <w:sz w:val="20"/>
        </w:rPr>
        <w:t>Школьная служба примирения как средство предотвращения</w:t>
      </w:r>
      <w:r>
        <w:rPr>
          <w:b/>
          <w:color w:val="231F20"/>
          <w:spacing w:val="-13"/>
          <w:sz w:val="20"/>
        </w:rPr>
        <w:t> </w:t>
      </w:r>
      <w:r>
        <w:rPr>
          <w:b/>
          <w:color w:val="231F20"/>
          <w:sz w:val="20"/>
        </w:rPr>
        <w:t>и</w:t>
      </w:r>
      <w:r>
        <w:rPr>
          <w:b/>
          <w:color w:val="231F20"/>
          <w:spacing w:val="-12"/>
          <w:sz w:val="20"/>
        </w:rPr>
        <w:t> </w:t>
      </w:r>
      <w:r>
        <w:rPr>
          <w:b/>
          <w:color w:val="231F20"/>
          <w:sz w:val="20"/>
        </w:rPr>
        <w:t>разрешения</w:t>
      </w:r>
      <w:r>
        <w:rPr>
          <w:b/>
          <w:color w:val="231F20"/>
          <w:spacing w:val="-13"/>
          <w:sz w:val="20"/>
        </w:rPr>
        <w:t> </w:t>
      </w:r>
      <w:r>
        <w:rPr>
          <w:b/>
          <w:color w:val="231F20"/>
          <w:sz w:val="20"/>
        </w:rPr>
        <w:t>межкультурных</w:t>
      </w:r>
      <w:r>
        <w:rPr>
          <w:b/>
          <w:color w:val="231F20"/>
          <w:spacing w:val="-12"/>
          <w:sz w:val="20"/>
        </w:rPr>
        <w:t> </w:t>
      </w:r>
      <w:r>
        <w:rPr>
          <w:b/>
          <w:color w:val="231F20"/>
          <w:sz w:val="20"/>
        </w:rPr>
        <w:t>конфликтов</w:t>
      </w:r>
    </w:p>
    <w:p>
      <w:pPr>
        <w:spacing w:before="110"/>
        <w:ind w:left="6033" w:right="0" w:firstLine="0"/>
        <w:jc w:val="left"/>
        <w:rPr>
          <w:i/>
          <w:sz w:val="20"/>
        </w:rPr>
      </w:pPr>
      <w:r>
        <w:rPr>
          <w:i/>
          <w:color w:val="231F20"/>
          <w:sz w:val="20"/>
        </w:rPr>
        <w:t>А.Ю. </w:t>
      </w:r>
      <w:r>
        <w:rPr>
          <w:i/>
          <w:color w:val="231F20"/>
          <w:spacing w:val="-2"/>
          <w:sz w:val="20"/>
        </w:rPr>
        <w:t>Коновалов</w:t>
      </w:r>
    </w:p>
    <w:p>
      <w:pPr>
        <w:spacing w:line="228" w:lineRule="exact" w:before="110"/>
        <w:ind w:left="425" w:right="0" w:firstLine="0"/>
        <w:jc w:val="both"/>
        <w:rPr>
          <w:b/>
          <w:sz w:val="20"/>
        </w:rPr>
      </w:pPr>
      <w:r>
        <w:rPr>
          <w:b/>
          <w:color w:val="231F20"/>
          <w:sz w:val="20"/>
        </w:rPr>
        <w:t>Детско-взрослая</w:t>
      </w:r>
      <w:r>
        <w:rPr>
          <w:b/>
          <w:color w:val="231F20"/>
          <w:spacing w:val="-1"/>
          <w:sz w:val="20"/>
        </w:rPr>
        <w:t> </w:t>
      </w:r>
      <w:r>
        <w:rPr>
          <w:b/>
          <w:color w:val="231F20"/>
          <w:spacing w:val="-2"/>
          <w:sz w:val="20"/>
        </w:rPr>
        <w:t>команда</w:t>
      </w:r>
    </w:p>
    <w:p>
      <w:pPr>
        <w:pStyle w:val="BodyText"/>
        <w:spacing w:line="235" w:lineRule="auto" w:before="2"/>
      </w:pPr>
      <w:r>
        <w:rPr>
          <w:color w:val="231F20"/>
        </w:rPr>
        <w:t>Школьная служба примирения – оформленная детско-взрослая команда, которая реализует</w:t>
      </w:r>
      <w:r>
        <w:rPr>
          <w:color w:val="231F20"/>
          <w:spacing w:val="-5"/>
        </w:rPr>
        <w:t> </w:t>
      </w:r>
      <w:r>
        <w:rPr>
          <w:color w:val="231F20"/>
        </w:rPr>
        <w:t>в</w:t>
      </w:r>
      <w:r>
        <w:rPr>
          <w:color w:val="231F20"/>
          <w:spacing w:val="-5"/>
        </w:rPr>
        <w:t> </w:t>
      </w:r>
      <w:r>
        <w:rPr>
          <w:color w:val="231F20"/>
        </w:rPr>
        <w:t>образовательной</w:t>
      </w:r>
      <w:r>
        <w:rPr>
          <w:color w:val="231F20"/>
          <w:spacing w:val="-5"/>
        </w:rPr>
        <w:t> </w:t>
      </w:r>
      <w:r>
        <w:rPr>
          <w:color w:val="231F20"/>
        </w:rPr>
        <w:t>организации</w:t>
      </w:r>
      <w:r>
        <w:rPr>
          <w:color w:val="231F20"/>
          <w:spacing w:val="-4"/>
        </w:rPr>
        <w:t> </w:t>
      </w:r>
      <w:r>
        <w:rPr>
          <w:color w:val="231F20"/>
        </w:rPr>
        <w:t>восстановительный</w:t>
      </w:r>
      <w:r>
        <w:rPr>
          <w:color w:val="231F20"/>
          <w:spacing w:val="-5"/>
        </w:rPr>
        <w:t> </w:t>
      </w:r>
      <w:r>
        <w:rPr>
          <w:color w:val="231F20"/>
        </w:rPr>
        <w:t>подход</w:t>
      </w:r>
      <w:r>
        <w:rPr>
          <w:color w:val="231F20"/>
          <w:spacing w:val="-5"/>
        </w:rPr>
        <w:t> </w:t>
      </w:r>
      <w:r>
        <w:rPr>
          <w:color w:val="231F20"/>
        </w:rPr>
        <w:t>к</w:t>
      </w:r>
      <w:r>
        <w:rPr>
          <w:color w:val="231F20"/>
          <w:spacing w:val="-5"/>
        </w:rPr>
        <w:t> </w:t>
      </w:r>
      <w:r>
        <w:rPr>
          <w:color w:val="231F20"/>
        </w:rPr>
        <w:t>конфликтам, а</w:t>
      </w:r>
      <w:r>
        <w:rPr>
          <w:color w:val="231F20"/>
          <w:spacing w:val="-13"/>
        </w:rPr>
        <w:t> </w:t>
      </w:r>
      <w:r>
        <w:rPr>
          <w:color w:val="231F20"/>
        </w:rPr>
        <w:t>также</w:t>
      </w:r>
      <w:r>
        <w:rPr>
          <w:color w:val="231F20"/>
          <w:spacing w:val="-12"/>
        </w:rPr>
        <w:t> </w:t>
      </w:r>
      <w:r>
        <w:rPr>
          <w:color w:val="231F20"/>
        </w:rPr>
        <w:t>к</w:t>
      </w:r>
      <w:r>
        <w:rPr>
          <w:color w:val="231F20"/>
          <w:spacing w:val="-13"/>
        </w:rPr>
        <w:t> </w:t>
      </w:r>
      <w:r>
        <w:rPr>
          <w:color w:val="231F20"/>
        </w:rPr>
        <w:t>правонарушениям</w:t>
      </w:r>
      <w:r>
        <w:rPr>
          <w:color w:val="231F20"/>
          <w:spacing w:val="-12"/>
        </w:rPr>
        <w:t> </w:t>
      </w:r>
      <w:r>
        <w:rPr>
          <w:color w:val="231F20"/>
        </w:rPr>
        <w:t>несовершеннолетних.</w:t>
      </w:r>
      <w:r>
        <w:rPr>
          <w:color w:val="231F20"/>
          <w:spacing w:val="-13"/>
        </w:rPr>
        <w:t> </w:t>
      </w:r>
      <w:r>
        <w:rPr>
          <w:color w:val="231F20"/>
        </w:rPr>
        <w:t>В</w:t>
      </w:r>
      <w:r>
        <w:rPr>
          <w:color w:val="231F20"/>
          <w:spacing w:val="-12"/>
        </w:rPr>
        <w:t> </w:t>
      </w:r>
      <w:r>
        <w:rPr>
          <w:color w:val="231F20"/>
        </w:rPr>
        <w:t>службу</w:t>
      </w:r>
      <w:r>
        <w:rPr>
          <w:color w:val="231F20"/>
          <w:spacing w:val="-13"/>
        </w:rPr>
        <w:t> </w:t>
      </w:r>
      <w:r>
        <w:rPr>
          <w:color w:val="231F20"/>
        </w:rPr>
        <w:t>примирения</w:t>
      </w:r>
      <w:r>
        <w:rPr>
          <w:color w:val="231F20"/>
          <w:spacing w:val="-12"/>
        </w:rPr>
        <w:t> </w:t>
      </w:r>
      <w:r>
        <w:rPr>
          <w:color w:val="231F20"/>
        </w:rPr>
        <w:t>обязательно </w:t>
      </w:r>
      <w:r>
        <w:rPr>
          <w:color w:val="231F20"/>
          <w:spacing w:val="-2"/>
        </w:rPr>
        <w:t>входят взрослые обученные специалисты (кураторы / руководители службы примире- </w:t>
      </w:r>
      <w:r>
        <w:rPr>
          <w:color w:val="231F20"/>
        </w:rPr>
        <w:t>ния) и, как правило, школьники – юные волонтеры службы.</w:t>
      </w:r>
    </w:p>
    <w:p>
      <w:pPr>
        <w:pStyle w:val="BodyText"/>
        <w:spacing w:line="235" w:lineRule="auto" w:before="3"/>
      </w:pPr>
      <w:r>
        <w:rPr>
          <w:color w:val="231F20"/>
        </w:rPr>
        <w:t>Деятельность</w:t>
      </w:r>
      <w:r>
        <w:rPr>
          <w:color w:val="231F20"/>
          <w:spacing w:val="-13"/>
        </w:rPr>
        <w:t> </w:t>
      </w:r>
      <w:r>
        <w:rPr>
          <w:color w:val="231F20"/>
        </w:rPr>
        <w:t>службы</w:t>
      </w:r>
      <w:r>
        <w:rPr>
          <w:color w:val="231F20"/>
          <w:spacing w:val="-12"/>
        </w:rPr>
        <w:t> </w:t>
      </w:r>
      <w:r>
        <w:rPr>
          <w:color w:val="231F20"/>
        </w:rPr>
        <w:t>примирения</w:t>
      </w:r>
      <w:r>
        <w:rPr>
          <w:color w:val="231F20"/>
          <w:spacing w:val="-13"/>
        </w:rPr>
        <w:t> </w:t>
      </w:r>
      <w:r>
        <w:rPr>
          <w:color w:val="231F20"/>
        </w:rPr>
        <w:t>не</w:t>
      </w:r>
      <w:r>
        <w:rPr>
          <w:color w:val="231F20"/>
          <w:spacing w:val="-12"/>
        </w:rPr>
        <w:t> </w:t>
      </w:r>
      <w:r>
        <w:rPr>
          <w:color w:val="231F20"/>
        </w:rPr>
        <w:t>является</w:t>
      </w:r>
      <w:r>
        <w:rPr>
          <w:color w:val="231F20"/>
          <w:spacing w:val="-13"/>
        </w:rPr>
        <w:t> </w:t>
      </w:r>
      <w:r>
        <w:rPr>
          <w:color w:val="231F20"/>
        </w:rPr>
        <w:t>психологической,</w:t>
      </w:r>
      <w:r>
        <w:rPr>
          <w:color w:val="231F20"/>
          <w:spacing w:val="-12"/>
        </w:rPr>
        <w:t> </w:t>
      </w:r>
      <w:r>
        <w:rPr>
          <w:color w:val="231F20"/>
        </w:rPr>
        <w:t>социально-педа- гогической,</w:t>
      </w:r>
      <w:r>
        <w:rPr>
          <w:color w:val="231F20"/>
          <w:spacing w:val="-4"/>
        </w:rPr>
        <w:t> </w:t>
      </w:r>
      <w:r>
        <w:rPr>
          <w:color w:val="231F20"/>
        </w:rPr>
        <w:t>правозащитной,</w:t>
      </w:r>
      <w:r>
        <w:rPr>
          <w:color w:val="231F20"/>
          <w:spacing w:val="-4"/>
        </w:rPr>
        <w:t> </w:t>
      </w:r>
      <w:r>
        <w:rPr>
          <w:color w:val="231F20"/>
        </w:rPr>
        <w:t>административной</w:t>
      </w:r>
      <w:r>
        <w:rPr>
          <w:color w:val="231F20"/>
          <w:spacing w:val="-4"/>
        </w:rPr>
        <w:t> </w:t>
      </w:r>
      <w:r>
        <w:rPr>
          <w:color w:val="231F20"/>
        </w:rPr>
        <w:t>или</w:t>
      </w:r>
      <w:r>
        <w:rPr>
          <w:color w:val="231F20"/>
          <w:spacing w:val="-4"/>
        </w:rPr>
        <w:t> </w:t>
      </w:r>
      <w:r>
        <w:rPr>
          <w:color w:val="231F20"/>
        </w:rPr>
        <w:t>дисциплинирующей,</w:t>
      </w:r>
      <w:r>
        <w:rPr>
          <w:color w:val="231F20"/>
          <w:spacing w:val="-4"/>
        </w:rPr>
        <w:t> </w:t>
      </w:r>
      <w:r>
        <w:rPr>
          <w:color w:val="231F20"/>
        </w:rPr>
        <w:t>это</w:t>
      </w:r>
      <w:r>
        <w:rPr>
          <w:color w:val="231F20"/>
          <w:spacing w:val="-4"/>
        </w:rPr>
        <w:t> </w:t>
      </w:r>
      <w:r>
        <w:rPr>
          <w:color w:val="231F20"/>
        </w:rPr>
        <w:t>не</w:t>
      </w:r>
      <w:r>
        <w:rPr>
          <w:color w:val="231F20"/>
          <w:spacing w:val="-4"/>
        </w:rPr>
        <w:t> </w:t>
      </w:r>
      <w:r>
        <w:rPr>
          <w:color w:val="231F20"/>
        </w:rPr>
        <w:t>«со- вет</w:t>
      </w:r>
      <w:r>
        <w:rPr>
          <w:color w:val="231F20"/>
          <w:spacing w:val="-12"/>
        </w:rPr>
        <w:t> </w:t>
      </w:r>
      <w:r>
        <w:rPr>
          <w:color w:val="231F20"/>
        </w:rPr>
        <w:t>профилактики»</w:t>
      </w:r>
      <w:r>
        <w:rPr>
          <w:color w:val="231F20"/>
          <w:spacing w:val="-12"/>
        </w:rPr>
        <w:t> </w:t>
      </w:r>
      <w:r>
        <w:rPr>
          <w:color w:val="231F20"/>
        </w:rPr>
        <w:t>и</w:t>
      </w:r>
      <w:r>
        <w:rPr>
          <w:color w:val="231F20"/>
          <w:spacing w:val="-12"/>
        </w:rPr>
        <w:t> </w:t>
      </w:r>
      <w:r>
        <w:rPr>
          <w:color w:val="231F20"/>
        </w:rPr>
        <w:t>не</w:t>
      </w:r>
      <w:r>
        <w:rPr>
          <w:color w:val="231F20"/>
          <w:spacing w:val="-12"/>
        </w:rPr>
        <w:t> </w:t>
      </w:r>
      <w:r>
        <w:rPr>
          <w:color w:val="231F20"/>
        </w:rPr>
        <w:t>«комиссия</w:t>
      </w:r>
      <w:r>
        <w:rPr>
          <w:color w:val="231F20"/>
          <w:spacing w:val="-12"/>
        </w:rPr>
        <w:t> </w:t>
      </w:r>
      <w:r>
        <w:rPr>
          <w:color w:val="231F20"/>
        </w:rPr>
        <w:t>по</w:t>
      </w:r>
      <w:r>
        <w:rPr>
          <w:color w:val="231F20"/>
          <w:spacing w:val="-12"/>
        </w:rPr>
        <w:t> </w:t>
      </w:r>
      <w:r>
        <w:rPr>
          <w:color w:val="231F20"/>
        </w:rPr>
        <w:t>урегулированию</w:t>
      </w:r>
      <w:r>
        <w:rPr>
          <w:color w:val="231F20"/>
          <w:spacing w:val="-12"/>
        </w:rPr>
        <w:t> </w:t>
      </w:r>
      <w:r>
        <w:rPr>
          <w:color w:val="231F20"/>
        </w:rPr>
        <w:t>споров».</w:t>
      </w:r>
      <w:r>
        <w:rPr>
          <w:color w:val="231F20"/>
          <w:spacing w:val="-12"/>
        </w:rPr>
        <w:t> </w:t>
      </w:r>
      <w:r>
        <w:rPr>
          <w:color w:val="231F20"/>
        </w:rPr>
        <w:t>Служба</w:t>
      </w:r>
      <w:r>
        <w:rPr>
          <w:color w:val="231F20"/>
          <w:spacing w:val="-12"/>
        </w:rPr>
        <w:t> </w:t>
      </w:r>
      <w:r>
        <w:rPr>
          <w:color w:val="231F20"/>
        </w:rPr>
        <w:t>примирения имеет</w:t>
      </w:r>
      <w:r>
        <w:rPr>
          <w:color w:val="231F20"/>
          <w:spacing w:val="-13"/>
        </w:rPr>
        <w:t> </w:t>
      </w:r>
      <w:r>
        <w:rPr>
          <w:color w:val="231F20"/>
        </w:rPr>
        <w:t>собственные</w:t>
      </w:r>
      <w:r>
        <w:rPr>
          <w:color w:val="231F20"/>
          <w:spacing w:val="-12"/>
        </w:rPr>
        <w:t> </w:t>
      </w:r>
      <w:r>
        <w:rPr>
          <w:color w:val="231F20"/>
        </w:rPr>
        <w:t>принципы,</w:t>
      </w:r>
      <w:r>
        <w:rPr>
          <w:color w:val="231F20"/>
          <w:spacing w:val="-13"/>
        </w:rPr>
        <w:t> </w:t>
      </w:r>
      <w:r>
        <w:rPr>
          <w:color w:val="231F20"/>
        </w:rPr>
        <w:t>методы,</w:t>
      </w:r>
      <w:r>
        <w:rPr>
          <w:color w:val="231F20"/>
          <w:spacing w:val="-12"/>
        </w:rPr>
        <w:t> </w:t>
      </w:r>
      <w:r>
        <w:rPr>
          <w:color w:val="231F20"/>
        </w:rPr>
        <w:t>технологию</w:t>
      </w:r>
      <w:r>
        <w:rPr>
          <w:color w:val="231F20"/>
          <w:spacing w:val="-13"/>
        </w:rPr>
        <w:t> </w:t>
      </w:r>
      <w:r>
        <w:rPr>
          <w:color w:val="231F20"/>
        </w:rPr>
        <w:t>и</w:t>
      </w:r>
      <w:r>
        <w:rPr>
          <w:color w:val="231F20"/>
          <w:spacing w:val="-12"/>
        </w:rPr>
        <w:t> </w:t>
      </w:r>
      <w:r>
        <w:rPr>
          <w:color w:val="231F20"/>
        </w:rPr>
        <w:t>приемы,</w:t>
      </w:r>
      <w:r>
        <w:rPr>
          <w:color w:val="231F20"/>
          <w:spacing w:val="-13"/>
        </w:rPr>
        <w:t> </w:t>
      </w:r>
      <w:r>
        <w:rPr>
          <w:color w:val="231F20"/>
        </w:rPr>
        <w:t>хотя,</w:t>
      </w:r>
      <w:r>
        <w:rPr>
          <w:color w:val="231F20"/>
          <w:spacing w:val="-12"/>
        </w:rPr>
        <w:t> </w:t>
      </w:r>
      <w:r>
        <w:rPr>
          <w:color w:val="231F20"/>
        </w:rPr>
        <w:t>конечно,</w:t>
      </w:r>
      <w:r>
        <w:rPr>
          <w:color w:val="231F20"/>
          <w:spacing w:val="-13"/>
        </w:rPr>
        <w:t> </w:t>
      </w:r>
      <w:r>
        <w:rPr>
          <w:color w:val="231F20"/>
        </w:rPr>
        <w:t>ее</w:t>
      </w:r>
      <w:r>
        <w:rPr>
          <w:color w:val="231F20"/>
          <w:spacing w:val="-12"/>
        </w:rPr>
        <w:t> </w:t>
      </w:r>
      <w:r>
        <w:rPr>
          <w:color w:val="231F20"/>
        </w:rPr>
        <w:t>рабо- та</w:t>
      </w:r>
      <w:r>
        <w:rPr>
          <w:color w:val="231F20"/>
          <w:spacing w:val="-9"/>
        </w:rPr>
        <w:t> </w:t>
      </w:r>
      <w:r>
        <w:rPr>
          <w:color w:val="231F20"/>
        </w:rPr>
        <w:t>соприкасается</w:t>
      </w:r>
      <w:r>
        <w:rPr>
          <w:color w:val="231F20"/>
          <w:spacing w:val="-9"/>
        </w:rPr>
        <w:t> </w:t>
      </w:r>
      <w:r>
        <w:rPr>
          <w:color w:val="231F20"/>
        </w:rPr>
        <w:t>с</w:t>
      </w:r>
      <w:r>
        <w:rPr>
          <w:color w:val="231F20"/>
          <w:spacing w:val="-9"/>
        </w:rPr>
        <w:t> </w:t>
      </w:r>
      <w:r>
        <w:rPr>
          <w:color w:val="231F20"/>
        </w:rPr>
        <w:t>деятельностью</w:t>
      </w:r>
      <w:r>
        <w:rPr>
          <w:color w:val="231F20"/>
          <w:spacing w:val="-9"/>
        </w:rPr>
        <w:t> </w:t>
      </w:r>
      <w:r>
        <w:rPr>
          <w:color w:val="231F20"/>
        </w:rPr>
        <w:t>других</w:t>
      </w:r>
      <w:r>
        <w:rPr>
          <w:color w:val="231F20"/>
          <w:spacing w:val="-9"/>
        </w:rPr>
        <w:t> </w:t>
      </w:r>
      <w:r>
        <w:rPr>
          <w:color w:val="231F20"/>
        </w:rPr>
        <w:t>специалистов,</w:t>
      </w:r>
      <w:r>
        <w:rPr>
          <w:color w:val="231F20"/>
          <w:spacing w:val="-9"/>
        </w:rPr>
        <w:t> </w:t>
      </w:r>
      <w:r>
        <w:rPr>
          <w:color w:val="231F20"/>
        </w:rPr>
        <w:t>включаясь</w:t>
      </w:r>
      <w:r>
        <w:rPr>
          <w:color w:val="231F20"/>
          <w:spacing w:val="-9"/>
        </w:rPr>
        <w:t> </w:t>
      </w:r>
      <w:r>
        <w:rPr>
          <w:color w:val="231F20"/>
        </w:rPr>
        <w:t>в</w:t>
      </w:r>
      <w:r>
        <w:rPr>
          <w:color w:val="231F20"/>
          <w:spacing w:val="-9"/>
        </w:rPr>
        <w:t> </w:t>
      </w:r>
      <w:r>
        <w:rPr>
          <w:color w:val="231F20"/>
        </w:rPr>
        <w:t>общую</w:t>
      </w:r>
      <w:r>
        <w:rPr>
          <w:color w:val="231F20"/>
          <w:spacing w:val="-9"/>
        </w:rPr>
        <w:t> </w:t>
      </w:r>
      <w:r>
        <w:rPr>
          <w:color w:val="231F20"/>
        </w:rPr>
        <w:t>систему школы и образовательного процесса.</w:t>
      </w:r>
    </w:p>
    <w:p>
      <w:pPr>
        <w:spacing w:line="235" w:lineRule="auto" w:before="3"/>
        <w:ind w:left="141" w:right="139" w:firstLine="283"/>
        <w:jc w:val="both"/>
        <w:rPr>
          <w:b/>
          <w:sz w:val="20"/>
        </w:rPr>
      </w:pPr>
      <w:r>
        <w:rPr>
          <w:b/>
          <w:color w:val="231F20"/>
          <w:sz w:val="20"/>
        </w:rPr>
        <w:t>Деятельность служб примирения рассмотрена в следующих правовых доку- </w:t>
      </w:r>
      <w:r>
        <w:rPr>
          <w:b/>
          <w:color w:val="231F20"/>
          <w:spacing w:val="-2"/>
          <w:sz w:val="20"/>
        </w:rPr>
        <w:t>ментах:</w:t>
      </w:r>
    </w:p>
    <w:p>
      <w:pPr>
        <w:pStyle w:val="ListParagraph"/>
        <w:numPr>
          <w:ilvl w:val="0"/>
          <w:numId w:val="144"/>
        </w:numPr>
        <w:tabs>
          <w:tab w:pos="425" w:val="left" w:leader="none"/>
        </w:tabs>
        <w:spacing w:line="240" w:lineRule="auto" w:before="2" w:after="0"/>
        <w:ind w:left="425" w:right="139" w:hanging="284"/>
        <w:jc w:val="both"/>
        <w:rPr>
          <w:sz w:val="20"/>
        </w:rPr>
      </w:pPr>
      <w:r>
        <w:rPr>
          <w:color w:val="231F20"/>
          <w:sz w:val="20"/>
        </w:rPr>
        <w:t>«Методические рекомендации по внедрению восстановительных технологий (в том числе медиации) в воспитательную деятельность образовательных организа- ций», разосланные письмом Минобрнауки РФ № 07-7657 от 26.12.2017.</w:t>
      </w:r>
    </w:p>
    <w:p>
      <w:pPr>
        <w:pStyle w:val="ListParagraph"/>
        <w:numPr>
          <w:ilvl w:val="0"/>
          <w:numId w:val="144"/>
        </w:numPr>
        <w:tabs>
          <w:tab w:pos="425" w:val="left" w:leader="none"/>
        </w:tabs>
        <w:spacing w:line="240" w:lineRule="auto" w:before="0" w:after="0"/>
        <w:ind w:left="425" w:right="139" w:hanging="284"/>
        <w:jc w:val="both"/>
        <w:rPr>
          <w:sz w:val="20"/>
        </w:rPr>
      </w:pPr>
      <w:r>
        <w:rPr>
          <w:color w:val="231F20"/>
          <w:sz w:val="20"/>
        </w:rPr>
        <w:t>«О методических рекомендациях, содержащих порядок действий органов и уч- реждений системы профилактики безнадзорности и правонарушений несовер- шеннолетних с использованием восстановительного подхода в случаях отказа родителей от предлагаемых мероприятий в рамках проводимой индивидуальной профилактической работы», разосланные письмом Министерства просвещения РФ № 07-8344 от 29 ноября 2019 года.</w:t>
      </w:r>
    </w:p>
    <w:p>
      <w:pPr>
        <w:pStyle w:val="ListParagraph"/>
        <w:numPr>
          <w:ilvl w:val="0"/>
          <w:numId w:val="144"/>
        </w:numPr>
        <w:tabs>
          <w:tab w:pos="425" w:val="left" w:leader="none"/>
        </w:tabs>
        <w:spacing w:line="240" w:lineRule="auto" w:before="0" w:after="0"/>
        <w:ind w:left="425" w:right="139" w:hanging="284"/>
        <w:jc w:val="both"/>
        <w:rPr>
          <w:sz w:val="20"/>
        </w:rPr>
      </w:pPr>
      <w:r>
        <w:rPr>
          <w:color w:val="231F20"/>
          <w:sz w:val="20"/>
        </w:rPr>
        <w:t>«Методические</w:t>
      </w:r>
      <w:r>
        <w:rPr>
          <w:color w:val="231F20"/>
          <w:spacing w:val="-5"/>
          <w:sz w:val="20"/>
        </w:rPr>
        <w:t> </w:t>
      </w:r>
      <w:r>
        <w:rPr>
          <w:color w:val="231F20"/>
          <w:sz w:val="20"/>
        </w:rPr>
        <w:t>рекомендации</w:t>
      </w:r>
      <w:r>
        <w:rPr>
          <w:color w:val="231F20"/>
          <w:spacing w:val="-5"/>
          <w:sz w:val="20"/>
        </w:rPr>
        <w:t> </w:t>
      </w:r>
      <w:r>
        <w:rPr>
          <w:color w:val="231F20"/>
          <w:sz w:val="20"/>
        </w:rPr>
        <w:t>по</w:t>
      </w:r>
      <w:r>
        <w:rPr>
          <w:color w:val="231F20"/>
          <w:spacing w:val="-5"/>
          <w:sz w:val="20"/>
        </w:rPr>
        <w:t> </w:t>
      </w:r>
      <w:r>
        <w:rPr>
          <w:color w:val="231F20"/>
          <w:sz w:val="20"/>
        </w:rPr>
        <w:t>развитию</w:t>
      </w:r>
      <w:r>
        <w:rPr>
          <w:color w:val="231F20"/>
          <w:spacing w:val="-5"/>
          <w:sz w:val="20"/>
        </w:rPr>
        <w:t> </w:t>
      </w:r>
      <w:r>
        <w:rPr>
          <w:color w:val="231F20"/>
          <w:sz w:val="20"/>
        </w:rPr>
        <w:t>сети</w:t>
      </w:r>
      <w:r>
        <w:rPr>
          <w:color w:val="231F20"/>
          <w:spacing w:val="-5"/>
          <w:sz w:val="20"/>
        </w:rPr>
        <w:t> </w:t>
      </w:r>
      <w:r>
        <w:rPr>
          <w:color w:val="231F20"/>
          <w:sz w:val="20"/>
        </w:rPr>
        <w:t>служб</w:t>
      </w:r>
      <w:r>
        <w:rPr>
          <w:color w:val="231F20"/>
          <w:spacing w:val="-5"/>
          <w:sz w:val="20"/>
        </w:rPr>
        <w:t> </w:t>
      </w:r>
      <w:r>
        <w:rPr>
          <w:color w:val="231F20"/>
          <w:sz w:val="20"/>
        </w:rPr>
        <w:t>медиации</w:t>
      </w:r>
      <w:r>
        <w:rPr>
          <w:color w:val="231F20"/>
          <w:spacing w:val="-5"/>
          <w:sz w:val="20"/>
        </w:rPr>
        <w:t> </w:t>
      </w:r>
      <w:r>
        <w:rPr>
          <w:color w:val="231F20"/>
          <w:sz w:val="20"/>
        </w:rPr>
        <w:t>(примирения)</w:t>
      </w:r>
      <w:r>
        <w:rPr>
          <w:color w:val="231F20"/>
          <w:spacing w:val="-5"/>
          <w:sz w:val="20"/>
        </w:rPr>
        <w:t> </w:t>
      </w:r>
      <w:r>
        <w:rPr>
          <w:color w:val="231F20"/>
          <w:sz w:val="20"/>
        </w:rPr>
        <w:t>в образовательных организациях и в организациях для детей-сирот и детей, остав- шихся</w:t>
      </w:r>
      <w:r>
        <w:rPr>
          <w:color w:val="231F20"/>
          <w:spacing w:val="-13"/>
          <w:sz w:val="20"/>
        </w:rPr>
        <w:t> </w:t>
      </w:r>
      <w:r>
        <w:rPr>
          <w:color w:val="231F20"/>
          <w:sz w:val="20"/>
        </w:rPr>
        <w:t>без</w:t>
      </w:r>
      <w:r>
        <w:rPr>
          <w:color w:val="231F20"/>
          <w:spacing w:val="-12"/>
          <w:sz w:val="20"/>
        </w:rPr>
        <w:t> </w:t>
      </w:r>
      <w:r>
        <w:rPr>
          <w:color w:val="231F20"/>
          <w:sz w:val="20"/>
        </w:rPr>
        <w:t>попечения</w:t>
      </w:r>
      <w:r>
        <w:rPr>
          <w:color w:val="231F20"/>
          <w:spacing w:val="-13"/>
          <w:sz w:val="20"/>
        </w:rPr>
        <w:t> </w:t>
      </w:r>
      <w:r>
        <w:rPr>
          <w:color w:val="231F20"/>
          <w:sz w:val="20"/>
        </w:rPr>
        <w:t>родителей»,</w:t>
      </w:r>
      <w:r>
        <w:rPr>
          <w:color w:val="231F20"/>
          <w:spacing w:val="-12"/>
          <w:sz w:val="20"/>
        </w:rPr>
        <w:t> </w:t>
      </w:r>
      <w:r>
        <w:rPr>
          <w:color w:val="231F20"/>
          <w:sz w:val="20"/>
        </w:rPr>
        <w:t>разосланные</w:t>
      </w:r>
      <w:r>
        <w:rPr>
          <w:color w:val="231F20"/>
          <w:spacing w:val="-13"/>
          <w:sz w:val="20"/>
        </w:rPr>
        <w:t> </w:t>
      </w:r>
      <w:r>
        <w:rPr>
          <w:color w:val="231F20"/>
          <w:sz w:val="20"/>
        </w:rPr>
        <w:t>письмом</w:t>
      </w:r>
      <w:r>
        <w:rPr>
          <w:color w:val="231F20"/>
          <w:spacing w:val="-12"/>
          <w:sz w:val="20"/>
        </w:rPr>
        <w:t> </w:t>
      </w:r>
      <w:r>
        <w:rPr>
          <w:color w:val="231F20"/>
          <w:sz w:val="20"/>
        </w:rPr>
        <w:t>Министерства</w:t>
      </w:r>
      <w:r>
        <w:rPr>
          <w:color w:val="231F20"/>
          <w:spacing w:val="-13"/>
          <w:sz w:val="20"/>
        </w:rPr>
        <w:t> </w:t>
      </w:r>
      <w:r>
        <w:rPr>
          <w:color w:val="231F20"/>
          <w:sz w:val="20"/>
        </w:rPr>
        <w:t>просвеще- ния РФ № ДГ-375/07 от 28.04.2020, где указаны обе модели (школьные службы примирения и службы школьной медиации).</w:t>
      </w:r>
    </w:p>
    <w:p>
      <w:pPr>
        <w:pStyle w:val="ListParagraph"/>
        <w:numPr>
          <w:ilvl w:val="0"/>
          <w:numId w:val="144"/>
        </w:numPr>
        <w:tabs>
          <w:tab w:pos="425" w:val="left" w:leader="none"/>
        </w:tabs>
        <w:spacing w:line="240" w:lineRule="auto" w:before="0" w:after="0"/>
        <w:ind w:left="425" w:right="139" w:hanging="284"/>
        <w:jc w:val="both"/>
        <w:rPr>
          <w:sz w:val="20"/>
        </w:rPr>
      </w:pPr>
      <w:r>
        <w:rPr>
          <w:color w:val="231F20"/>
          <w:sz w:val="20"/>
        </w:rPr>
        <w:t>«Методические рекомендации по организации профилактической работы с несо- вершеннолетними, склонными к совершению противоправных деяний, в органи- зациях социального обслуживания», разосланные письмом Минтруда России от 12.04.2022 № 26-6/10/В-4751.</w:t>
      </w:r>
    </w:p>
    <w:p>
      <w:pPr>
        <w:spacing w:before="0"/>
        <w:ind w:left="141" w:right="140" w:firstLine="283"/>
        <w:jc w:val="both"/>
        <w:rPr>
          <w:b/>
          <w:sz w:val="20"/>
        </w:rPr>
      </w:pPr>
      <w:r>
        <w:rPr>
          <w:b/>
          <w:color w:val="231F20"/>
          <w:sz w:val="20"/>
        </w:rPr>
        <w:t>Специалист службы примирения (ведущий восстановительных программ) </w:t>
      </w:r>
      <w:r>
        <w:rPr>
          <w:b/>
          <w:color w:val="231F20"/>
          <w:spacing w:val="-2"/>
          <w:sz w:val="20"/>
        </w:rPr>
        <w:t>умеет:</w:t>
      </w:r>
    </w:p>
    <w:p>
      <w:pPr>
        <w:pStyle w:val="ListParagraph"/>
        <w:numPr>
          <w:ilvl w:val="1"/>
          <w:numId w:val="144"/>
        </w:numPr>
        <w:tabs>
          <w:tab w:pos="425" w:val="left" w:leader="none"/>
        </w:tabs>
        <w:spacing w:line="240" w:lineRule="auto" w:before="0" w:after="0"/>
        <w:ind w:left="425" w:right="139" w:hanging="284"/>
        <w:jc w:val="both"/>
        <w:rPr>
          <w:sz w:val="20"/>
        </w:rPr>
      </w:pPr>
      <w:r>
        <w:rPr>
          <w:color w:val="231F20"/>
          <w:sz w:val="20"/>
        </w:rPr>
        <w:t>выстроить</w:t>
      </w:r>
      <w:r>
        <w:rPr>
          <w:color w:val="231F20"/>
          <w:spacing w:val="-13"/>
          <w:sz w:val="20"/>
        </w:rPr>
        <w:t> </w:t>
      </w:r>
      <w:r>
        <w:rPr>
          <w:color w:val="231F20"/>
          <w:sz w:val="20"/>
        </w:rPr>
        <w:t>доверительный</w:t>
      </w:r>
      <w:r>
        <w:rPr>
          <w:color w:val="231F20"/>
          <w:spacing w:val="-12"/>
          <w:sz w:val="20"/>
        </w:rPr>
        <w:t> </w:t>
      </w:r>
      <w:r>
        <w:rPr>
          <w:color w:val="231F20"/>
          <w:sz w:val="20"/>
        </w:rPr>
        <w:t>контакт</w:t>
      </w:r>
      <w:r>
        <w:rPr>
          <w:color w:val="231F20"/>
          <w:spacing w:val="-13"/>
          <w:sz w:val="20"/>
        </w:rPr>
        <w:t> </w:t>
      </w:r>
      <w:r>
        <w:rPr>
          <w:color w:val="231F20"/>
          <w:sz w:val="20"/>
        </w:rPr>
        <w:t>с</w:t>
      </w:r>
      <w:r>
        <w:rPr>
          <w:color w:val="231F20"/>
          <w:spacing w:val="-12"/>
          <w:sz w:val="20"/>
        </w:rPr>
        <w:t> </w:t>
      </w:r>
      <w:r>
        <w:rPr>
          <w:color w:val="231F20"/>
          <w:sz w:val="20"/>
        </w:rPr>
        <w:t>любым,</w:t>
      </w:r>
      <w:r>
        <w:rPr>
          <w:color w:val="231F20"/>
          <w:spacing w:val="-13"/>
          <w:sz w:val="20"/>
        </w:rPr>
        <w:t> </w:t>
      </w:r>
      <w:r>
        <w:rPr>
          <w:color w:val="231F20"/>
          <w:sz w:val="20"/>
        </w:rPr>
        <w:t>в</w:t>
      </w:r>
      <w:r>
        <w:rPr>
          <w:color w:val="231F20"/>
          <w:spacing w:val="-12"/>
          <w:sz w:val="20"/>
        </w:rPr>
        <w:t> </w:t>
      </w:r>
      <w:r>
        <w:rPr>
          <w:color w:val="231F20"/>
          <w:sz w:val="20"/>
        </w:rPr>
        <w:t>том</w:t>
      </w:r>
      <w:r>
        <w:rPr>
          <w:color w:val="231F20"/>
          <w:spacing w:val="-13"/>
          <w:sz w:val="20"/>
        </w:rPr>
        <w:t> </w:t>
      </w:r>
      <w:r>
        <w:rPr>
          <w:color w:val="231F20"/>
          <w:sz w:val="20"/>
        </w:rPr>
        <w:t>числе</w:t>
      </w:r>
      <w:r>
        <w:rPr>
          <w:color w:val="231F20"/>
          <w:spacing w:val="-12"/>
          <w:sz w:val="20"/>
        </w:rPr>
        <w:t> </w:t>
      </w:r>
      <w:r>
        <w:rPr>
          <w:color w:val="231F20"/>
          <w:sz w:val="20"/>
        </w:rPr>
        <w:t>эмоционально</w:t>
      </w:r>
      <w:r>
        <w:rPr>
          <w:color w:val="231F20"/>
          <w:spacing w:val="-13"/>
          <w:sz w:val="20"/>
        </w:rPr>
        <w:t> </w:t>
      </w:r>
      <w:r>
        <w:rPr>
          <w:color w:val="231F20"/>
          <w:sz w:val="20"/>
        </w:rPr>
        <w:t>напряжен- ным человеком;</w:t>
      </w:r>
    </w:p>
    <w:p>
      <w:pPr>
        <w:pStyle w:val="ListParagraph"/>
        <w:numPr>
          <w:ilvl w:val="1"/>
          <w:numId w:val="144"/>
        </w:numPr>
        <w:tabs>
          <w:tab w:pos="424" w:val="left" w:leader="none"/>
        </w:tabs>
        <w:spacing w:line="228" w:lineRule="exact" w:before="0" w:after="0"/>
        <w:ind w:left="424" w:right="0" w:hanging="283"/>
        <w:jc w:val="both"/>
        <w:rPr>
          <w:sz w:val="20"/>
        </w:rPr>
      </w:pPr>
      <w:r>
        <w:rPr>
          <w:color w:val="231F20"/>
          <w:sz w:val="20"/>
        </w:rPr>
        <w:t>организовать</w:t>
      </w:r>
      <w:r>
        <w:rPr>
          <w:color w:val="231F20"/>
          <w:spacing w:val="-11"/>
          <w:sz w:val="20"/>
        </w:rPr>
        <w:t> </w:t>
      </w:r>
      <w:r>
        <w:rPr>
          <w:color w:val="231F20"/>
          <w:sz w:val="20"/>
        </w:rPr>
        <w:t>со</w:t>
      </w:r>
      <w:r>
        <w:rPr>
          <w:color w:val="231F20"/>
          <w:spacing w:val="-10"/>
          <w:sz w:val="20"/>
        </w:rPr>
        <w:t> </w:t>
      </w:r>
      <w:r>
        <w:rPr>
          <w:color w:val="231F20"/>
          <w:sz w:val="20"/>
        </w:rPr>
        <w:t>сторонами</w:t>
      </w:r>
      <w:r>
        <w:rPr>
          <w:color w:val="231F20"/>
          <w:spacing w:val="-11"/>
          <w:sz w:val="20"/>
        </w:rPr>
        <w:t> </w:t>
      </w:r>
      <w:r>
        <w:rPr>
          <w:color w:val="231F20"/>
          <w:sz w:val="20"/>
        </w:rPr>
        <w:t>конфликта</w:t>
      </w:r>
      <w:r>
        <w:rPr>
          <w:color w:val="231F20"/>
          <w:spacing w:val="-10"/>
          <w:sz w:val="20"/>
        </w:rPr>
        <w:t> </w:t>
      </w:r>
      <w:r>
        <w:rPr>
          <w:color w:val="231F20"/>
          <w:sz w:val="20"/>
        </w:rPr>
        <w:t>рефлексию</w:t>
      </w:r>
      <w:r>
        <w:rPr>
          <w:color w:val="231F20"/>
          <w:spacing w:val="-10"/>
          <w:sz w:val="20"/>
        </w:rPr>
        <w:t> </w:t>
      </w:r>
      <w:r>
        <w:rPr>
          <w:color w:val="231F20"/>
          <w:spacing w:val="-2"/>
          <w:sz w:val="20"/>
        </w:rPr>
        <w:t>ситуации;</w:t>
      </w:r>
    </w:p>
    <w:p>
      <w:pPr>
        <w:pStyle w:val="ListParagraph"/>
        <w:numPr>
          <w:ilvl w:val="1"/>
          <w:numId w:val="144"/>
        </w:numPr>
        <w:tabs>
          <w:tab w:pos="425" w:val="left" w:leader="none"/>
        </w:tabs>
        <w:spacing w:line="235" w:lineRule="auto" w:before="2" w:after="0"/>
        <w:ind w:left="425" w:right="139" w:hanging="284"/>
        <w:jc w:val="both"/>
        <w:rPr>
          <w:sz w:val="20"/>
        </w:rPr>
      </w:pPr>
      <w:r>
        <w:rPr>
          <w:color w:val="231F20"/>
          <w:sz w:val="20"/>
        </w:rPr>
        <w:t>помочь людям занять ответственную позицию, поддержать их вклад в решение </w:t>
      </w:r>
      <w:r>
        <w:rPr>
          <w:color w:val="231F20"/>
          <w:spacing w:val="-2"/>
          <w:sz w:val="20"/>
        </w:rPr>
        <w:t>проблемы;</w:t>
      </w:r>
    </w:p>
    <w:p>
      <w:pPr>
        <w:pStyle w:val="ListParagraph"/>
        <w:numPr>
          <w:ilvl w:val="1"/>
          <w:numId w:val="144"/>
        </w:numPr>
        <w:tabs>
          <w:tab w:pos="425" w:val="left" w:leader="none"/>
        </w:tabs>
        <w:spacing w:line="235" w:lineRule="auto" w:before="1" w:after="0"/>
        <w:ind w:left="425" w:right="139" w:hanging="284"/>
        <w:jc w:val="both"/>
        <w:rPr>
          <w:sz w:val="20"/>
        </w:rPr>
      </w:pPr>
      <w:r>
        <w:rPr>
          <w:color w:val="231F20"/>
          <w:sz w:val="20"/>
        </w:rPr>
        <w:t>организовать</w:t>
      </w:r>
      <w:r>
        <w:rPr>
          <w:color w:val="231F20"/>
          <w:spacing w:val="-13"/>
          <w:sz w:val="20"/>
        </w:rPr>
        <w:t> </w:t>
      </w:r>
      <w:r>
        <w:rPr>
          <w:color w:val="231F20"/>
          <w:sz w:val="20"/>
        </w:rPr>
        <w:t>коммуникацию</w:t>
      </w:r>
      <w:r>
        <w:rPr>
          <w:color w:val="231F20"/>
          <w:spacing w:val="-12"/>
          <w:sz w:val="20"/>
        </w:rPr>
        <w:t> </w:t>
      </w:r>
      <w:r>
        <w:rPr>
          <w:color w:val="231F20"/>
          <w:sz w:val="20"/>
        </w:rPr>
        <w:t>в</w:t>
      </w:r>
      <w:r>
        <w:rPr>
          <w:color w:val="231F20"/>
          <w:spacing w:val="-13"/>
          <w:sz w:val="20"/>
        </w:rPr>
        <w:t> </w:t>
      </w:r>
      <w:r>
        <w:rPr>
          <w:color w:val="231F20"/>
          <w:sz w:val="20"/>
        </w:rPr>
        <w:t>сложной,</w:t>
      </w:r>
      <w:r>
        <w:rPr>
          <w:color w:val="231F20"/>
          <w:spacing w:val="-12"/>
          <w:sz w:val="20"/>
        </w:rPr>
        <w:t> </w:t>
      </w:r>
      <w:r>
        <w:rPr>
          <w:color w:val="231F20"/>
          <w:sz w:val="20"/>
        </w:rPr>
        <w:t>напряженной</w:t>
      </w:r>
      <w:r>
        <w:rPr>
          <w:color w:val="231F20"/>
          <w:spacing w:val="-13"/>
          <w:sz w:val="20"/>
        </w:rPr>
        <w:t> </w:t>
      </w:r>
      <w:r>
        <w:rPr>
          <w:color w:val="231F20"/>
          <w:sz w:val="20"/>
        </w:rPr>
        <w:t>ситуации</w:t>
      </w:r>
      <w:r>
        <w:rPr>
          <w:color w:val="231F20"/>
          <w:spacing w:val="-12"/>
          <w:sz w:val="20"/>
        </w:rPr>
        <w:t> </w:t>
      </w:r>
      <w:r>
        <w:rPr>
          <w:color w:val="231F20"/>
          <w:sz w:val="20"/>
        </w:rPr>
        <w:t>(где</w:t>
      </w:r>
      <w:r>
        <w:rPr>
          <w:color w:val="231F20"/>
          <w:spacing w:val="-13"/>
          <w:sz w:val="20"/>
        </w:rPr>
        <w:t> </w:t>
      </w:r>
      <w:r>
        <w:rPr>
          <w:color w:val="231F20"/>
          <w:sz w:val="20"/>
        </w:rPr>
        <w:t>много</w:t>
      </w:r>
      <w:r>
        <w:rPr>
          <w:color w:val="231F20"/>
          <w:spacing w:val="-12"/>
          <w:sz w:val="20"/>
        </w:rPr>
        <w:t> </w:t>
      </w:r>
      <w:r>
        <w:rPr>
          <w:color w:val="231F20"/>
          <w:sz w:val="20"/>
        </w:rPr>
        <w:t>участ- </w:t>
      </w:r>
      <w:r>
        <w:rPr>
          <w:color w:val="231F20"/>
          <w:spacing w:val="-2"/>
          <w:sz w:val="20"/>
        </w:rPr>
        <w:t>ников);</w:t>
      </w:r>
    </w:p>
    <w:p>
      <w:pPr>
        <w:pStyle w:val="ListParagraph"/>
        <w:spacing w:after="0" w:line="235" w:lineRule="auto"/>
        <w:jc w:val="both"/>
        <w:rPr>
          <w:sz w:val="20"/>
        </w:rPr>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ListParagraph"/>
        <w:numPr>
          <w:ilvl w:val="1"/>
          <w:numId w:val="144"/>
        </w:numPr>
        <w:tabs>
          <w:tab w:pos="424" w:val="left" w:leader="none"/>
        </w:tabs>
        <w:spacing w:line="240" w:lineRule="auto" w:before="112" w:after="0"/>
        <w:ind w:left="424" w:right="0" w:hanging="283"/>
        <w:jc w:val="left"/>
        <w:rPr>
          <w:sz w:val="20"/>
        </w:rPr>
      </w:pPr>
      <w:r>
        <w:rPr>
          <w:color w:val="231F20"/>
          <w:sz w:val="20"/>
        </w:rPr>
        <w:t>обеспечить</w:t>
      </w:r>
      <w:r>
        <w:rPr>
          <w:color w:val="231F20"/>
          <w:spacing w:val="-10"/>
          <w:sz w:val="20"/>
        </w:rPr>
        <w:t> </w:t>
      </w:r>
      <w:r>
        <w:rPr>
          <w:color w:val="231F20"/>
          <w:sz w:val="20"/>
        </w:rPr>
        <w:t>ясность</w:t>
      </w:r>
      <w:r>
        <w:rPr>
          <w:color w:val="231F20"/>
          <w:spacing w:val="-8"/>
          <w:sz w:val="20"/>
        </w:rPr>
        <w:t> </w:t>
      </w:r>
      <w:r>
        <w:rPr>
          <w:color w:val="231F20"/>
          <w:sz w:val="20"/>
        </w:rPr>
        <w:t>и</w:t>
      </w:r>
      <w:r>
        <w:rPr>
          <w:color w:val="231F20"/>
          <w:spacing w:val="-8"/>
          <w:sz w:val="20"/>
        </w:rPr>
        <w:t> </w:t>
      </w:r>
      <w:r>
        <w:rPr>
          <w:color w:val="231F20"/>
          <w:sz w:val="20"/>
        </w:rPr>
        <w:t>конкретность</w:t>
      </w:r>
      <w:r>
        <w:rPr>
          <w:color w:val="231F20"/>
          <w:spacing w:val="-8"/>
          <w:sz w:val="20"/>
        </w:rPr>
        <w:t> </w:t>
      </w:r>
      <w:r>
        <w:rPr>
          <w:color w:val="231F20"/>
          <w:sz w:val="20"/>
        </w:rPr>
        <w:t>результатов</w:t>
      </w:r>
      <w:r>
        <w:rPr>
          <w:color w:val="231F20"/>
          <w:spacing w:val="-8"/>
          <w:sz w:val="20"/>
        </w:rPr>
        <w:t> </w:t>
      </w:r>
      <w:r>
        <w:rPr>
          <w:color w:val="231F20"/>
          <w:sz w:val="20"/>
        </w:rPr>
        <w:t>и</w:t>
      </w:r>
      <w:r>
        <w:rPr>
          <w:color w:val="231F20"/>
          <w:spacing w:val="-8"/>
          <w:sz w:val="20"/>
        </w:rPr>
        <w:t> </w:t>
      </w:r>
      <w:r>
        <w:rPr>
          <w:color w:val="231F20"/>
          <w:spacing w:val="-2"/>
          <w:sz w:val="20"/>
        </w:rPr>
        <w:t>договоренностей;</w:t>
      </w:r>
    </w:p>
    <w:p>
      <w:pPr>
        <w:pStyle w:val="ListParagraph"/>
        <w:numPr>
          <w:ilvl w:val="1"/>
          <w:numId w:val="144"/>
        </w:numPr>
        <w:tabs>
          <w:tab w:pos="424" w:val="left" w:leader="none"/>
        </w:tabs>
        <w:spacing w:line="224" w:lineRule="exact" w:before="0" w:after="0"/>
        <w:ind w:left="424" w:right="0" w:hanging="283"/>
        <w:jc w:val="both"/>
        <w:rPr>
          <w:sz w:val="20"/>
        </w:rPr>
      </w:pPr>
      <w:r>
        <w:rPr>
          <w:color w:val="231F20"/>
          <w:sz w:val="20"/>
        </w:rPr>
        <w:t>включить</w:t>
      </w:r>
      <w:r>
        <w:rPr>
          <w:color w:val="231F20"/>
          <w:spacing w:val="-11"/>
          <w:sz w:val="20"/>
        </w:rPr>
        <w:t> </w:t>
      </w:r>
      <w:r>
        <w:rPr>
          <w:color w:val="231F20"/>
          <w:sz w:val="20"/>
        </w:rPr>
        <w:t>ресурс</w:t>
      </w:r>
      <w:r>
        <w:rPr>
          <w:color w:val="231F20"/>
          <w:spacing w:val="-7"/>
          <w:sz w:val="20"/>
        </w:rPr>
        <w:t> </w:t>
      </w:r>
      <w:r>
        <w:rPr>
          <w:color w:val="231F20"/>
          <w:sz w:val="20"/>
        </w:rPr>
        <w:t>близких</w:t>
      </w:r>
      <w:r>
        <w:rPr>
          <w:color w:val="231F20"/>
          <w:spacing w:val="-7"/>
          <w:sz w:val="20"/>
        </w:rPr>
        <w:t> </w:t>
      </w:r>
      <w:r>
        <w:rPr>
          <w:color w:val="231F20"/>
          <w:sz w:val="20"/>
        </w:rPr>
        <w:t>и</w:t>
      </w:r>
      <w:r>
        <w:rPr>
          <w:color w:val="231F20"/>
          <w:spacing w:val="-8"/>
          <w:sz w:val="20"/>
        </w:rPr>
        <w:t> </w:t>
      </w:r>
      <w:r>
        <w:rPr>
          <w:color w:val="231F20"/>
          <w:sz w:val="20"/>
        </w:rPr>
        <w:t>уважаемых</w:t>
      </w:r>
      <w:r>
        <w:rPr>
          <w:color w:val="231F20"/>
          <w:spacing w:val="-7"/>
          <w:sz w:val="20"/>
        </w:rPr>
        <w:t> </w:t>
      </w:r>
      <w:r>
        <w:rPr>
          <w:color w:val="231F20"/>
          <w:sz w:val="20"/>
        </w:rPr>
        <w:t>людей,</w:t>
      </w:r>
      <w:r>
        <w:rPr>
          <w:color w:val="231F20"/>
          <w:spacing w:val="-7"/>
          <w:sz w:val="20"/>
        </w:rPr>
        <w:t> </w:t>
      </w:r>
      <w:r>
        <w:rPr>
          <w:color w:val="231F20"/>
          <w:sz w:val="20"/>
        </w:rPr>
        <w:t>сформировать</w:t>
      </w:r>
      <w:r>
        <w:rPr>
          <w:color w:val="231F20"/>
          <w:spacing w:val="-8"/>
          <w:sz w:val="20"/>
        </w:rPr>
        <w:t> </w:t>
      </w:r>
      <w:r>
        <w:rPr>
          <w:color w:val="231F20"/>
          <w:spacing w:val="-2"/>
          <w:sz w:val="20"/>
        </w:rPr>
        <w:t>сообщество.</w:t>
      </w:r>
    </w:p>
    <w:p>
      <w:pPr>
        <w:pStyle w:val="BodyText"/>
        <w:spacing w:line="235" w:lineRule="auto" w:before="1"/>
      </w:pPr>
      <w:r>
        <w:rPr>
          <w:color w:val="231F20"/>
        </w:rPr>
        <w:t>Ведущий восстановительных программ уверен, что любой человек способен ме- няться к лучшему, причем без психологического давления, угроз, отвержения, трав- ли, наказаний, манипуляций. Он верит, что, собравшись вместе, люди могут найти решение любой своей проблемы, и их собственное решение будет самым лучшим, поскольку реализуется по доброй воле.</w:t>
      </w:r>
    </w:p>
    <w:p>
      <w:pPr>
        <w:pStyle w:val="BodyText"/>
        <w:spacing w:line="235" w:lineRule="auto" w:before="4"/>
      </w:pPr>
      <w:r>
        <w:rPr>
          <w:color w:val="231F20"/>
        </w:rPr>
        <w:t>Специалист службы примирения (ведущий восстановительных программ) пред- варительно готовит стороны конфликта к встрече и затем организует между ними переговоры,</w:t>
      </w:r>
      <w:r>
        <w:rPr>
          <w:color w:val="231F20"/>
          <w:spacing w:val="-5"/>
        </w:rPr>
        <w:t> </w:t>
      </w:r>
      <w:r>
        <w:rPr>
          <w:color w:val="231F20"/>
        </w:rPr>
        <w:t>где</w:t>
      </w:r>
      <w:r>
        <w:rPr>
          <w:color w:val="231F20"/>
          <w:spacing w:val="-5"/>
        </w:rPr>
        <w:t> </w:t>
      </w:r>
      <w:r>
        <w:rPr>
          <w:color w:val="231F20"/>
        </w:rPr>
        <w:t>они</w:t>
      </w:r>
      <w:r>
        <w:rPr>
          <w:color w:val="231F20"/>
          <w:spacing w:val="-5"/>
        </w:rPr>
        <w:t> </w:t>
      </w:r>
      <w:r>
        <w:rPr>
          <w:color w:val="231F20"/>
        </w:rPr>
        <w:t>смогут</w:t>
      </w:r>
      <w:r>
        <w:rPr>
          <w:color w:val="231F20"/>
          <w:spacing w:val="-5"/>
        </w:rPr>
        <w:t> </w:t>
      </w:r>
      <w:r>
        <w:rPr>
          <w:color w:val="231F20"/>
        </w:rPr>
        <w:t>сами</w:t>
      </w:r>
      <w:r>
        <w:rPr>
          <w:color w:val="231F20"/>
          <w:spacing w:val="-5"/>
        </w:rPr>
        <w:t> </w:t>
      </w:r>
      <w:r>
        <w:rPr>
          <w:color w:val="231F20"/>
        </w:rPr>
        <w:t>прояснить</w:t>
      </w:r>
      <w:r>
        <w:rPr>
          <w:color w:val="231F20"/>
          <w:spacing w:val="-5"/>
        </w:rPr>
        <w:t> </w:t>
      </w:r>
      <w:r>
        <w:rPr>
          <w:color w:val="231F20"/>
        </w:rPr>
        <w:t>свою</w:t>
      </w:r>
      <w:r>
        <w:rPr>
          <w:color w:val="231F20"/>
          <w:spacing w:val="-5"/>
        </w:rPr>
        <w:t> </w:t>
      </w:r>
      <w:r>
        <w:rPr>
          <w:color w:val="231F20"/>
        </w:rPr>
        <w:t>ситуацию,</w:t>
      </w:r>
      <w:r>
        <w:rPr>
          <w:color w:val="231F20"/>
          <w:spacing w:val="-5"/>
        </w:rPr>
        <w:t> </w:t>
      </w:r>
      <w:r>
        <w:rPr>
          <w:color w:val="231F20"/>
        </w:rPr>
        <w:t>разрешить</w:t>
      </w:r>
      <w:r>
        <w:rPr>
          <w:color w:val="231F20"/>
          <w:spacing w:val="-5"/>
        </w:rPr>
        <w:t> </w:t>
      </w:r>
      <w:r>
        <w:rPr>
          <w:color w:val="231F20"/>
        </w:rPr>
        <w:t>ее,</w:t>
      </w:r>
      <w:r>
        <w:rPr>
          <w:color w:val="231F20"/>
          <w:spacing w:val="-5"/>
        </w:rPr>
        <w:t> </w:t>
      </w:r>
      <w:r>
        <w:rPr>
          <w:color w:val="231F20"/>
        </w:rPr>
        <w:t>загладить причиненный вред (если он был), восстановить отношения и предпринять шаги по предупреждению подобного в будущем.</w:t>
      </w:r>
    </w:p>
    <w:p>
      <w:pPr>
        <w:spacing w:line="235" w:lineRule="auto" w:before="3"/>
        <w:ind w:left="141" w:right="139" w:firstLine="283"/>
        <w:jc w:val="both"/>
        <w:rPr>
          <w:b/>
          <w:sz w:val="20"/>
        </w:rPr>
      </w:pPr>
      <w:r>
        <w:rPr>
          <w:b/>
          <w:color w:val="231F20"/>
          <w:sz w:val="20"/>
        </w:rPr>
        <w:t>Нормально работающая (активная) служба примирения использует широ- кий спектр восстановительных программ:</w:t>
      </w:r>
    </w:p>
    <w:p>
      <w:pPr>
        <w:pStyle w:val="ListParagraph"/>
        <w:numPr>
          <w:ilvl w:val="0"/>
          <w:numId w:val="145"/>
        </w:numPr>
        <w:tabs>
          <w:tab w:pos="423" w:val="left" w:leader="none"/>
          <w:tab w:pos="425" w:val="left" w:leader="none"/>
        </w:tabs>
        <w:spacing w:line="240" w:lineRule="auto" w:before="1" w:after="0"/>
        <w:ind w:left="425" w:right="139" w:hanging="284"/>
        <w:jc w:val="both"/>
        <w:rPr>
          <w:sz w:val="20"/>
        </w:rPr>
      </w:pPr>
      <w:r>
        <w:rPr>
          <w:color w:val="231F20"/>
          <w:sz w:val="20"/>
        </w:rPr>
        <w:t>«Круг</w:t>
      </w:r>
      <w:r>
        <w:rPr>
          <w:color w:val="231F20"/>
          <w:spacing w:val="-3"/>
          <w:sz w:val="20"/>
        </w:rPr>
        <w:t> </w:t>
      </w:r>
      <w:r>
        <w:rPr>
          <w:color w:val="231F20"/>
          <w:sz w:val="20"/>
        </w:rPr>
        <w:t>ответственности»</w:t>
      </w:r>
      <w:r>
        <w:rPr>
          <w:color w:val="231F20"/>
          <w:spacing w:val="-3"/>
          <w:sz w:val="20"/>
        </w:rPr>
        <w:t> </w:t>
      </w:r>
      <w:r>
        <w:rPr>
          <w:color w:val="231F20"/>
          <w:sz w:val="20"/>
        </w:rPr>
        <w:t>–</w:t>
      </w:r>
      <w:r>
        <w:rPr>
          <w:color w:val="231F20"/>
          <w:spacing w:val="-3"/>
          <w:sz w:val="20"/>
        </w:rPr>
        <w:t> </w:t>
      </w:r>
      <w:r>
        <w:rPr>
          <w:color w:val="231F20"/>
          <w:sz w:val="20"/>
        </w:rPr>
        <w:t>первичная</w:t>
      </w:r>
      <w:r>
        <w:rPr>
          <w:color w:val="231F20"/>
          <w:spacing w:val="-3"/>
          <w:sz w:val="20"/>
        </w:rPr>
        <w:t> </w:t>
      </w:r>
      <w:r>
        <w:rPr>
          <w:color w:val="231F20"/>
          <w:sz w:val="20"/>
        </w:rPr>
        <w:t>профилактика,</w:t>
      </w:r>
      <w:r>
        <w:rPr>
          <w:color w:val="231F20"/>
          <w:spacing w:val="-3"/>
          <w:sz w:val="20"/>
        </w:rPr>
        <w:t> </w:t>
      </w:r>
      <w:r>
        <w:rPr>
          <w:color w:val="231F20"/>
          <w:sz w:val="20"/>
        </w:rPr>
        <w:t>когда</w:t>
      </w:r>
      <w:r>
        <w:rPr>
          <w:color w:val="231F20"/>
          <w:spacing w:val="-3"/>
          <w:sz w:val="20"/>
        </w:rPr>
        <w:t> </w:t>
      </w:r>
      <w:r>
        <w:rPr>
          <w:color w:val="231F20"/>
          <w:sz w:val="20"/>
        </w:rPr>
        <w:t>явного</w:t>
      </w:r>
      <w:r>
        <w:rPr>
          <w:color w:val="231F20"/>
          <w:spacing w:val="-3"/>
          <w:sz w:val="20"/>
        </w:rPr>
        <w:t> </w:t>
      </w:r>
      <w:r>
        <w:rPr>
          <w:color w:val="231F20"/>
          <w:sz w:val="20"/>
        </w:rPr>
        <w:t>конфликта</w:t>
      </w:r>
      <w:r>
        <w:rPr>
          <w:color w:val="231F20"/>
          <w:spacing w:val="-3"/>
          <w:sz w:val="20"/>
        </w:rPr>
        <w:t> </w:t>
      </w:r>
      <w:r>
        <w:rPr>
          <w:color w:val="231F20"/>
          <w:sz w:val="20"/>
        </w:rPr>
        <w:t>нет, но есть риск его возникновения в дальнейшем, например: с родителями перво- классников,</w:t>
      </w:r>
      <w:r>
        <w:rPr>
          <w:color w:val="231F20"/>
          <w:spacing w:val="-1"/>
          <w:sz w:val="20"/>
        </w:rPr>
        <w:t> </w:t>
      </w:r>
      <w:r>
        <w:rPr>
          <w:color w:val="231F20"/>
          <w:sz w:val="20"/>
        </w:rPr>
        <w:t>или</w:t>
      </w:r>
      <w:r>
        <w:rPr>
          <w:color w:val="231F20"/>
          <w:spacing w:val="-1"/>
          <w:sz w:val="20"/>
        </w:rPr>
        <w:t> </w:t>
      </w:r>
      <w:r>
        <w:rPr>
          <w:color w:val="231F20"/>
          <w:sz w:val="20"/>
        </w:rPr>
        <w:t>при</w:t>
      </w:r>
      <w:r>
        <w:rPr>
          <w:color w:val="231F20"/>
          <w:spacing w:val="-1"/>
          <w:sz w:val="20"/>
        </w:rPr>
        <w:t> </w:t>
      </w:r>
      <w:r>
        <w:rPr>
          <w:color w:val="231F20"/>
          <w:sz w:val="20"/>
        </w:rPr>
        <w:t>слиянии</w:t>
      </w:r>
      <w:r>
        <w:rPr>
          <w:color w:val="231F20"/>
          <w:spacing w:val="-1"/>
          <w:sz w:val="20"/>
        </w:rPr>
        <w:t> </w:t>
      </w:r>
      <w:r>
        <w:rPr>
          <w:color w:val="231F20"/>
          <w:sz w:val="20"/>
        </w:rPr>
        <w:t>двух</w:t>
      </w:r>
      <w:r>
        <w:rPr>
          <w:color w:val="231F20"/>
          <w:spacing w:val="-1"/>
          <w:sz w:val="20"/>
        </w:rPr>
        <w:t> </w:t>
      </w:r>
      <w:r>
        <w:rPr>
          <w:color w:val="231F20"/>
          <w:sz w:val="20"/>
        </w:rPr>
        <w:t>классов</w:t>
      </w:r>
      <w:r>
        <w:rPr>
          <w:color w:val="231F20"/>
          <w:spacing w:val="-1"/>
          <w:sz w:val="20"/>
        </w:rPr>
        <w:t> </w:t>
      </w:r>
      <w:r>
        <w:rPr>
          <w:color w:val="231F20"/>
          <w:sz w:val="20"/>
        </w:rPr>
        <w:t>в</w:t>
      </w:r>
      <w:r>
        <w:rPr>
          <w:color w:val="231F20"/>
          <w:spacing w:val="-1"/>
          <w:sz w:val="20"/>
        </w:rPr>
        <w:t> </w:t>
      </w:r>
      <w:r>
        <w:rPr>
          <w:color w:val="231F20"/>
          <w:sz w:val="20"/>
        </w:rPr>
        <w:t>один,</w:t>
      </w:r>
      <w:r>
        <w:rPr>
          <w:color w:val="231F20"/>
          <w:spacing w:val="-1"/>
          <w:sz w:val="20"/>
        </w:rPr>
        <w:t> </w:t>
      </w:r>
      <w:r>
        <w:rPr>
          <w:color w:val="231F20"/>
          <w:sz w:val="20"/>
        </w:rPr>
        <w:t>или</w:t>
      </w:r>
      <w:r>
        <w:rPr>
          <w:color w:val="231F20"/>
          <w:spacing w:val="-1"/>
          <w:sz w:val="20"/>
        </w:rPr>
        <w:t> </w:t>
      </w:r>
      <w:r>
        <w:rPr>
          <w:color w:val="231F20"/>
          <w:sz w:val="20"/>
        </w:rPr>
        <w:t>с</w:t>
      </w:r>
      <w:r>
        <w:rPr>
          <w:color w:val="231F20"/>
          <w:spacing w:val="-1"/>
          <w:sz w:val="20"/>
        </w:rPr>
        <w:t> </w:t>
      </w:r>
      <w:r>
        <w:rPr>
          <w:color w:val="231F20"/>
          <w:sz w:val="20"/>
        </w:rPr>
        <w:t>детьми</w:t>
      </w:r>
      <w:r>
        <w:rPr>
          <w:color w:val="231F20"/>
          <w:spacing w:val="-1"/>
          <w:sz w:val="20"/>
        </w:rPr>
        <w:t> </w:t>
      </w:r>
      <w:r>
        <w:rPr>
          <w:color w:val="231F20"/>
          <w:sz w:val="20"/>
        </w:rPr>
        <w:t>и</w:t>
      </w:r>
      <w:r>
        <w:rPr>
          <w:color w:val="231F20"/>
          <w:spacing w:val="-1"/>
          <w:sz w:val="20"/>
        </w:rPr>
        <w:t> </w:t>
      </w:r>
      <w:r>
        <w:rPr>
          <w:color w:val="231F20"/>
          <w:sz w:val="20"/>
        </w:rPr>
        <w:t>их</w:t>
      </w:r>
      <w:r>
        <w:rPr>
          <w:color w:val="231F20"/>
          <w:spacing w:val="-1"/>
          <w:sz w:val="20"/>
        </w:rPr>
        <w:t> </w:t>
      </w:r>
      <w:r>
        <w:rPr>
          <w:color w:val="231F20"/>
          <w:sz w:val="20"/>
        </w:rPr>
        <w:t>родителями при</w:t>
      </w:r>
      <w:r>
        <w:rPr>
          <w:color w:val="231F20"/>
          <w:spacing w:val="-13"/>
          <w:sz w:val="20"/>
        </w:rPr>
        <w:t> </w:t>
      </w:r>
      <w:r>
        <w:rPr>
          <w:color w:val="231F20"/>
          <w:sz w:val="20"/>
        </w:rPr>
        <w:t>переходе</w:t>
      </w:r>
      <w:r>
        <w:rPr>
          <w:color w:val="231F20"/>
          <w:spacing w:val="-12"/>
          <w:sz w:val="20"/>
        </w:rPr>
        <w:t> </w:t>
      </w:r>
      <w:r>
        <w:rPr>
          <w:color w:val="231F20"/>
          <w:sz w:val="20"/>
        </w:rPr>
        <w:t>в</w:t>
      </w:r>
      <w:r>
        <w:rPr>
          <w:color w:val="231F20"/>
          <w:spacing w:val="-13"/>
          <w:sz w:val="20"/>
        </w:rPr>
        <w:t> </w:t>
      </w:r>
      <w:r>
        <w:rPr>
          <w:color w:val="231F20"/>
          <w:sz w:val="20"/>
        </w:rPr>
        <w:t>среднюю</w:t>
      </w:r>
      <w:r>
        <w:rPr>
          <w:color w:val="231F20"/>
          <w:spacing w:val="-12"/>
          <w:sz w:val="20"/>
        </w:rPr>
        <w:t> </w:t>
      </w:r>
      <w:r>
        <w:rPr>
          <w:color w:val="231F20"/>
          <w:sz w:val="20"/>
        </w:rPr>
        <w:t>школу</w:t>
      </w:r>
      <w:r>
        <w:rPr>
          <w:color w:val="231F20"/>
          <w:spacing w:val="-13"/>
          <w:sz w:val="20"/>
        </w:rPr>
        <w:t> </w:t>
      </w:r>
      <w:r>
        <w:rPr>
          <w:color w:val="231F20"/>
          <w:sz w:val="20"/>
        </w:rPr>
        <w:t>и</w:t>
      </w:r>
      <w:r>
        <w:rPr>
          <w:color w:val="231F20"/>
          <w:spacing w:val="-12"/>
          <w:sz w:val="20"/>
        </w:rPr>
        <w:t> </w:t>
      </w:r>
      <w:r>
        <w:rPr>
          <w:color w:val="231F20"/>
          <w:sz w:val="20"/>
        </w:rPr>
        <w:t>так</w:t>
      </w:r>
      <w:r>
        <w:rPr>
          <w:color w:val="231F20"/>
          <w:spacing w:val="-13"/>
          <w:sz w:val="20"/>
        </w:rPr>
        <w:t> </w:t>
      </w:r>
      <w:r>
        <w:rPr>
          <w:color w:val="231F20"/>
          <w:sz w:val="20"/>
        </w:rPr>
        <w:t>далее,</w:t>
      </w:r>
      <w:r>
        <w:rPr>
          <w:color w:val="231F20"/>
          <w:spacing w:val="-12"/>
          <w:sz w:val="20"/>
        </w:rPr>
        <w:t> </w:t>
      </w:r>
      <w:r>
        <w:rPr>
          <w:color w:val="231F20"/>
          <w:sz w:val="20"/>
        </w:rPr>
        <w:t>либо</w:t>
      </w:r>
      <w:r>
        <w:rPr>
          <w:color w:val="231F20"/>
          <w:spacing w:val="-13"/>
          <w:sz w:val="20"/>
        </w:rPr>
        <w:t> </w:t>
      </w:r>
      <w:r>
        <w:rPr>
          <w:color w:val="231F20"/>
          <w:sz w:val="20"/>
        </w:rPr>
        <w:t>когда</w:t>
      </w:r>
      <w:r>
        <w:rPr>
          <w:color w:val="231F20"/>
          <w:spacing w:val="-12"/>
          <w:sz w:val="20"/>
        </w:rPr>
        <w:t> </w:t>
      </w:r>
      <w:r>
        <w:rPr>
          <w:color w:val="231F20"/>
          <w:sz w:val="20"/>
        </w:rPr>
        <w:t>между</w:t>
      </w:r>
      <w:r>
        <w:rPr>
          <w:color w:val="231F20"/>
          <w:spacing w:val="-13"/>
          <w:sz w:val="20"/>
        </w:rPr>
        <w:t> </w:t>
      </w:r>
      <w:r>
        <w:rPr>
          <w:color w:val="231F20"/>
          <w:sz w:val="20"/>
        </w:rPr>
        <w:t>школьниками</w:t>
      </w:r>
      <w:r>
        <w:rPr>
          <w:color w:val="231F20"/>
          <w:spacing w:val="-12"/>
          <w:sz w:val="20"/>
        </w:rPr>
        <w:t> </w:t>
      </w:r>
      <w:r>
        <w:rPr>
          <w:color w:val="231F20"/>
          <w:sz w:val="20"/>
        </w:rPr>
        <w:t>и/или родителями класса существует напряженность.</w:t>
      </w:r>
    </w:p>
    <w:p>
      <w:pPr>
        <w:pStyle w:val="ListParagraph"/>
        <w:numPr>
          <w:ilvl w:val="0"/>
          <w:numId w:val="145"/>
        </w:numPr>
        <w:tabs>
          <w:tab w:pos="423" w:val="left" w:leader="none"/>
        </w:tabs>
        <w:spacing w:line="240" w:lineRule="auto" w:before="0" w:after="0"/>
        <w:ind w:left="423" w:right="0" w:hanging="282"/>
        <w:jc w:val="both"/>
        <w:rPr>
          <w:sz w:val="20"/>
        </w:rPr>
      </w:pPr>
      <w:r>
        <w:rPr>
          <w:color w:val="231F20"/>
          <w:sz w:val="20"/>
        </w:rPr>
        <w:t>«Программа</w:t>
      </w:r>
      <w:r>
        <w:rPr>
          <w:color w:val="231F20"/>
          <w:spacing w:val="-9"/>
          <w:sz w:val="20"/>
        </w:rPr>
        <w:t> </w:t>
      </w:r>
      <w:r>
        <w:rPr>
          <w:color w:val="231F20"/>
          <w:sz w:val="20"/>
        </w:rPr>
        <w:t>примирения»</w:t>
      </w:r>
      <w:r>
        <w:rPr>
          <w:color w:val="231F20"/>
          <w:spacing w:val="-7"/>
          <w:sz w:val="20"/>
        </w:rPr>
        <w:t> </w:t>
      </w:r>
      <w:r>
        <w:rPr>
          <w:color w:val="231F20"/>
          <w:sz w:val="20"/>
        </w:rPr>
        <w:t>–</w:t>
      </w:r>
      <w:r>
        <w:rPr>
          <w:color w:val="231F20"/>
          <w:spacing w:val="-7"/>
          <w:sz w:val="20"/>
        </w:rPr>
        <w:t> </w:t>
      </w:r>
      <w:r>
        <w:rPr>
          <w:color w:val="231F20"/>
          <w:sz w:val="20"/>
        </w:rPr>
        <w:t>урегулирование</w:t>
      </w:r>
      <w:r>
        <w:rPr>
          <w:color w:val="231F20"/>
          <w:spacing w:val="-7"/>
          <w:sz w:val="20"/>
        </w:rPr>
        <w:t> </w:t>
      </w:r>
      <w:r>
        <w:rPr>
          <w:color w:val="231F20"/>
          <w:sz w:val="20"/>
        </w:rPr>
        <w:t>конфликтов</w:t>
      </w:r>
      <w:r>
        <w:rPr>
          <w:color w:val="231F20"/>
          <w:spacing w:val="-8"/>
          <w:sz w:val="20"/>
        </w:rPr>
        <w:t> </w:t>
      </w:r>
      <w:r>
        <w:rPr>
          <w:color w:val="231F20"/>
          <w:sz w:val="20"/>
        </w:rPr>
        <w:t>между</w:t>
      </w:r>
      <w:r>
        <w:rPr>
          <w:color w:val="231F20"/>
          <w:spacing w:val="-6"/>
          <w:sz w:val="20"/>
        </w:rPr>
        <w:t> </w:t>
      </w:r>
      <w:r>
        <w:rPr>
          <w:color w:val="231F20"/>
          <w:spacing w:val="-2"/>
          <w:sz w:val="20"/>
        </w:rPr>
        <w:t>школьниками.</w:t>
      </w:r>
    </w:p>
    <w:p>
      <w:pPr>
        <w:pStyle w:val="ListParagraph"/>
        <w:numPr>
          <w:ilvl w:val="0"/>
          <w:numId w:val="145"/>
        </w:numPr>
        <w:tabs>
          <w:tab w:pos="423" w:val="left" w:leader="none"/>
          <w:tab w:pos="425" w:val="left" w:leader="none"/>
        </w:tabs>
        <w:spacing w:line="240" w:lineRule="auto" w:before="0" w:after="0"/>
        <w:ind w:left="425" w:right="140" w:hanging="284"/>
        <w:jc w:val="both"/>
        <w:rPr>
          <w:sz w:val="20"/>
        </w:rPr>
      </w:pPr>
      <w:r>
        <w:rPr>
          <w:color w:val="231F20"/>
          <w:sz w:val="20"/>
        </w:rPr>
        <w:t>«Восстановительная</w:t>
      </w:r>
      <w:r>
        <w:rPr>
          <w:color w:val="231F20"/>
          <w:spacing w:val="-6"/>
          <w:sz w:val="20"/>
        </w:rPr>
        <w:t> </w:t>
      </w:r>
      <w:r>
        <w:rPr>
          <w:color w:val="231F20"/>
          <w:sz w:val="20"/>
        </w:rPr>
        <w:t>медиация»</w:t>
      </w:r>
      <w:r>
        <w:rPr>
          <w:color w:val="231F20"/>
          <w:spacing w:val="-6"/>
          <w:sz w:val="20"/>
        </w:rPr>
        <w:t> </w:t>
      </w:r>
      <w:r>
        <w:rPr>
          <w:color w:val="231F20"/>
          <w:sz w:val="20"/>
        </w:rPr>
        <w:t>–</w:t>
      </w:r>
      <w:r>
        <w:rPr>
          <w:color w:val="231F20"/>
          <w:spacing w:val="-6"/>
          <w:sz w:val="20"/>
        </w:rPr>
        <w:t> </w:t>
      </w:r>
      <w:r>
        <w:rPr>
          <w:color w:val="231F20"/>
          <w:sz w:val="20"/>
        </w:rPr>
        <w:t>урегулирование</w:t>
      </w:r>
      <w:r>
        <w:rPr>
          <w:color w:val="231F20"/>
          <w:spacing w:val="-6"/>
          <w:sz w:val="20"/>
        </w:rPr>
        <w:t> </w:t>
      </w:r>
      <w:r>
        <w:rPr>
          <w:color w:val="231F20"/>
          <w:sz w:val="20"/>
        </w:rPr>
        <w:t>конфликтов</w:t>
      </w:r>
      <w:r>
        <w:rPr>
          <w:color w:val="231F20"/>
          <w:spacing w:val="-6"/>
          <w:sz w:val="20"/>
        </w:rPr>
        <w:t> </w:t>
      </w:r>
      <w:r>
        <w:rPr>
          <w:color w:val="231F20"/>
          <w:sz w:val="20"/>
        </w:rPr>
        <w:t>между</w:t>
      </w:r>
      <w:r>
        <w:rPr>
          <w:color w:val="231F20"/>
          <w:spacing w:val="-6"/>
          <w:sz w:val="20"/>
        </w:rPr>
        <w:t> </w:t>
      </w:r>
      <w:r>
        <w:rPr>
          <w:color w:val="231F20"/>
          <w:sz w:val="20"/>
        </w:rPr>
        <w:t>педагогами и родителями, а также между учащимися и педагогами.</w:t>
      </w:r>
    </w:p>
    <w:p>
      <w:pPr>
        <w:pStyle w:val="ListParagraph"/>
        <w:numPr>
          <w:ilvl w:val="0"/>
          <w:numId w:val="145"/>
        </w:numPr>
        <w:tabs>
          <w:tab w:pos="423" w:val="left" w:leader="none"/>
          <w:tab w:pos="425" w:val="left" w:leader="none"/>
        </w:tabs>
        <w:spacing w:line="240" w:lineRule="auto" w:before="0" w:after="0"/>
        <w:ind w:left="425" w:right="139" w:hanging="284"/>
        <w:jc w:val="both"/>
        <w:rPr>
          <w:sz w:val="20"/>
        </w:rPr>
      </w:pPr>
      <w:r>
        <w:rPr>
          <w:color w:val="231F20"/>
          <w:sz w:val="20"/>
        </w:rPr>
        <w:t>«Круг</w:t>
      </w:r>
      <w:r>
        <w:rPr>
          <w:color w:val="231F20"/>
          <w:spacing w:val="-9"/>
          <w:sz w:val="20"/>
        </w:rPr>
        <w:t> </w:t>
      </w:r>
      <w:r>
        <w:rPr>
          <w:color w:val="231F20"/>
          <w:sz w:val="20"/>
        </w:rPr>
        <w:t>сообщества»</w:t>
      </w:r>
      <w:r>
        <w:rPr>
          <w:color w:val="231F20"/>
          <w:spacing w:val="-9"/>
          <w:sz w:val="20"/>
        </w:rPr>
        <w:t> </w:t>
      </w:r>
      <w:r>
        <w:rPr>
          <w:color w:val="231F20"/>
          <w:sz w:val="20"/>
        </w:rPr>
        <w:t>–</w:t>
      </w:r>
      <w:r>
        <w:rPr>
          <w:color w:val="231F20"/>
          <w:spacing w:val="-9"/>
          <w:sz w:val="20"/>
        </w:rPr>
        <w:t> </w:t>
      </w:r>
      <w:r>
        <w:rPr>
          <w:color w:val="231F20"/>
          <w:sz w:val="20"/>
        </w:rPr>
        <w:t>урегулирование</w:t>
      </w:r>
      <w:r>
        <w:rPr>
          <w:color w:val="231F20"/>
          <w:spacing w:val="-9"/>
          <w:sz w:val="20"/>
        </w:rPr>
        <w:t> </w:t>
      </w:r>
      <w:r>
        <w:rPr>
          <w:color w:val="231F20"/>
          <w:sz w:val="20"/>
        </w:rPr>
        <w:t>групповых</w:t>
      </w:r>
      <w:r>
        <w:rPr>
          <w:color w:val="231F20"/>
          <w:spacing w:val="-9"/>
          <w:sz w:val="20"/>
        </w:rPr>
        <w:t> </w:t>
      </w:r>
      <w:r>
        <w:rPr>
          <w:color w:val="231F20"/>
          <w:sz w:val="20"/>
        </w:rPr>
        <w:t>конфликтов</w:t>
      </w:r>
      <w:r>
        <w:rPr>
          <w:color w:val="231F20"/>
          <w:spacing w:val="-9"/>
          <w:sz w:val="20"/>
        </w:rPr>
        <w:t> </w:t>
      </w:r>
      <w:r>
        <w:rPr>
          <w:color w:val="231F20"/>
          <w:sz w:val="20"/>
        </w:rPr>
        <w:t>в</w:t>
      </w:r>
      <w:r>
        <w:rPr>
          <w:color w:val="231F20"/>
          <w:spacing w:val="-9"/>
          <w:sz w:val="20"/>
        </w:rPr>
        <w:t> </w:t>
      </w:r>
      <w:r>
        <w:rPr>
          <w:color w:val="231F20"/>
          <w:sz w:val="20"/>
        </w:rPr>
        <w:t>классе</w:t>
      </w:r>
      <w:r>
        <w:rPr>
          <w:color w:val="231F20"/>
          <w:spacing w:val="-9"/>
          <w:sz w:val="20"/>
        </w:rPr>
        <w:t> </w:t>
      </w:r>
      <w:r>
        <w:rPr>
          <w:color w:val="231F20"/>
          <w:sz w:val="20"/>
        </w:rPr>
        <w:t>или</w:t>
      </w:r>
      <w:r>
        <w:rPr>
          <w:color w:val="231F20"/>
          <w:spacing w:val="-9"/>
          <w:sz w:val="20"/>
        </w:rPr>
        <w:t> </w:t>
      </w:r>
      <w:r>
        <w:rPr>
          <w:color w:val="231F20"/>
          <w:sz w:val="20"/>
        </w:rPr>
        <w:t>внутри группы родителей класса через обращение к нравственным ценностям, достиже- ние договоренности и понимания взаимной ответственности.</w:t>
      </w:r>
    </w:p>
    <w:p>
      <w:pPr>
        <w:pStyle w:val="ListParagraph"/>
        <w:numPr>
          <w:ilvl w:val="0"/>
          <w:numId w:val="145"/>
        </w:numPr>
        <w:tabs>
          <w:tab w:pos="423" w:val="left" w:leader="none"/>
          <w:tab w:pos="425" w:val="left" w:leader="none"/>
        </w:tabs>
        <w:spacing w:line="240" w:lineRule="auto" w:before="0" w:after="0"/>
        <w:ind w:left="425" w:right="139" w:hanging="284"/>
        <w:jc w:val="both"/>
        <w:rPr>
          <w:sz w:val="20"/>
        </w:rPr>
      </w:pPr>
      <w:r>
        <w:rPr>
          <w:color w:val="231F20"/>
          <w:sz w:val="20"/>
        </w:rPr>
        <w:t>«Семейный совет» – согласование позиций и интересов детей, родителей и педа- гогов по отношению к образовательному процессу, обеспечение большей вклю- ченности</w:t>
      </w:r>
      <w:r>
        <w:rPr>
          <w:color w:val="231F20"/>
          <w:spacing w:val="-11"/>
          <w:sz w:val="20"/>
        </w:rPr>
        <w:t> </w:t>
      </w:r>
      <w:r>
        <w:rPr>
          <w:color w:val="231F20"/>
          <w:sz w:val="20"/>
        </w:rPr>
        <w:t>родителей</w:t>
      </w:r>
      <w:r>
        <w:rPr>
          <w:color w:val="231F20"/>
          <w:spacing w:val="-12"/>
          <w:sz w:val="20"/>
        </w:rPr>
        <w:t> </w:t>
      </w:r>
      <w:r>
        <w:rPr>
          <w:color w:val="231F20"/>
          <w:sz w:val="20"/>
        </w:rPr>
        <w:t>и</w:t>
      </w:r>
      <w:r>
        <w:rPr>
          <w:color w:val="231F20"/>
          <w:spacing w:val="-11"/>
          <w:sz w:val="20"/>
        </w:rPr>
        <w:t> </w:t>
      </w:r>
      <w:r>
        <w:rPr>
          <w:color w:val="231F20"/>
          <w:sz w:val="20"/>
        </w:rPr>
        <w:t>ответственного</w:t>
      </w:r>
      <w:r>
        <w:rPr>
          <w:color w:val="231F20"/>
          <w:spacing w:val="-11"/>
          <w:sz w:val="20"/>
        </w:rPr>
        <w:t> </w:t>
      </w:r>
      <w:r>
        <w:rPr>
          <w:color w:val="231F20"/>
          <w:sz w:val="20"/>
        </w:rPr>
        <w:t>поведения</w:t>
      </w:r>
      <w:r>
        <w:rPr>
          <w:color w:val="231F20"/>
          <w:spacing w:val="-11"/>
          <w:sz w:val="20"/>
        </w:rPr>
        <w:t> </w:t>
      </w:r>
      <w:r>
        <w:rPr>
          <w:color w:val="231F20"/>
          <w:sz w:val="20"/>
        </w:rPr>
        <w:t>детей</w:t>
      </w:r>
      <w:r>
        <w:rPr>
          <w:color w:val="231F20"/>
          <w:spacing w:val="-12"/>
          <w:sz w:val="20"/>
        </w:rPr>
        <w:t> </w:t>
      </w:r>
      <w:r>
        <w:rPr>
          <w:color w:val="231F20"/>
          <w:sz w:val="20"/>
        </w:rPr>
        <w:t>—</w:t>
      </w:r>
      <w:r>
        <w:rPr>
          <w:color w:val="231F20"/>
          <w:spacing w:val="-11"/>
          <w:sz w:val="20"/>
        </w:rPr>
        <w:t> </w:t>
      </w:r>
      <w:r>
        <w:rPr>
          <w:color w:val="231F20"/>
          <w:sz w:val="20"/>
        </w:rPr>
        <w:t>обычно</w:t>
      </w:r>
      <w:r>
        <w:rPr>
          <w:color w:val="231F20"/>
          <w:spacing w:val="-11"/>
          <w:sz w:val="20"/>
        </w:rPr>
        <w:t> </w:t>
      </w:r>
      <w:r>
        <w:rPr>
          <w:color w:val="231F20"/>
          <w:sz w:val="20"/>
        </w:rPr>
        <w:t>с</w:t>
      </w:r>
      <w:r>
        <w:rPr>
          <w:color w:val="231F20"/>
          <w:spacing w:val="-11"/>
          <w:sz w:val="20"/>
        </w:rPr>
        <w:t> </w:t>
      </w:r>
      <w:r>
        <w:rPr>
          <w:color w:val="231F20"/>
          <w:sz w:val="20"/>
        </w:rPr>
        <w:t>привлечением специалистов территориальной службы примирения.</w:t>
      </w:r>
    </w:p>
    <w:p>
      <w:pPr>
        <w:pStyle w:val="ListParagraph"/>
        <w:numPr>
          <w:ilvl w:val="0"/>
          <w:numId w:val="145"/>
        </w:numPr>
        <w:tabs>
          <w:tab w:pos="423" w:val="left" w:leader="none"/>
          <w:tab w:pos="425" w:val="left" w:leader="none"/>
        </w:tabs>
        <w:spacing w:line="240" w:lineRule="auto" w:before="0" w:after="0"/>
        <w:ind w:left="425" w:right="139" w:hanging="284"/>
        <w:jc w:val="both"/>
        <w:rPr>
          <w:sz w:val="20"/>
        </w:rPr>
      </w:pPr>
      <w:r>
        <w:rPr>
          <w:color w:val="231F20"/>
          <w:sz w:val="20"/>
        </w:rPr>
        <w:t>«Программа</w:t>
      </w:r>
      <w:r>
        <w:rPr>
          <w:color w:val="231F20"/>
          <w:spacing w:val="-2"/>
          <w:sz w:val="20"/>
        </w:rPr>
        <w:t> </w:t>
      </w:r>
      <w:r>
        <w:rPr>
          <w:color w:val="231F20"/>
          <w:sz w:val="20"/>
        </w:rPr>
        <w:t>по</w:t>
      </w:r>
      <w:r>
        <w:rPr>
          <w:color w:val="231F20"/>
          <w:spacing w:val="-2"/>
          <w:sz w:val="20"/>
        </w:rPr>
        <w:t> </w:t>
      </w:r>
      <w:r>
        <w:rPr>
          <w:color w:val="231F20"/>
          <w:sz w:val="20"/>
        </w:rPr>
        <w:t>заглаживанию</w:t>
      </w:r>
      <w:r>
        <w:rPr>
          <w:color w:val="231F20"/>
          <w:spacing w:val="-2"/>
          <w:sz w:val="20"/>
        </w:rPr>
        <w:t> </w:t>
      </w:r>
      <w:r>
        <w:rPr>
          <w:color w:val="231F20"/>
          <w:sz w:val="20"/>
        </w:rPr>
        <w:t>вреда»</w:t>
      </w:r>
      <w:r>
        <w:rPr>
          <w:color w:val="231F20"/>
          <w:spacing w:val="-2"/>
          <w:sz w:val="20"/>
        </w:rPr>
        <w:t> </w:t>
      </w:r>
      <w:r>
        <w:rPr>
          <w:color w:val="231F20"/>
          <w:sz w:val="20"/>
        </w:rPr>
        <w:t>–</w:t>
      </w:r>
      <w:r>
        <w:rPr>
          <w:color w:val="231F20"/>
          <w:spacing w:val="-2"/>
          <w:sz w:val="20"/>
        </w:rPr>
        <w:t> </w:t>
      </w:r>
      <w:r>
        <w:rPr>
          <w:color w:val="231F20"/>
          <w:sz w:val="20"/>
        </w:rPr>
        <w:t>вторичная</w:t>
      </w:r>
      <w:r>
        <w:rPr>
          <w:color w:val="231F20"/>
          <w:spacing w:val="-2"/>
          <w:sz w:val="20"/>
        </w:rPr>
        <w:t> </w:t>
      </w:r>
      <w:r>
        <w:rPr>
          <w:color w:val="231F20"/>
          <w:sz w:val="20"/>
        </w:rPr>
        <w:t>профилактика</w:t>
      </w:r>
      <w:r>
        <w:rPr>
          <w:color w:val="231F20"/>
          <w:spacing w:val="-2"/>
          <w:sz w:val="20"/>
        </w:rPr>
        <w:t> </w:t>
      </w:r>
      <w:r>
        <w:rPr>
          <w:color w:val="231F20"/>
          <w:sz w:val="20"/>
        </w:rPr>
        <w:t>и</w:t>
      </w:r>
      <w:r>
        <w:rPr>
          <w:color w:val="231F20"/>
          <w:spacing w:val="-2"/>
          <w:sz w:val="20"/>
        </w:rPr>
        <w:t> </w:t>
      </w:r>
      <w:r>
        <w:rPr>
          <w:color w:val="231F20"/>
          <w:sz w:val="20"/>
        </w:rPr>
        <w:t>работа</w:t>
      </w:r>
      <w:r>
        <w:rPr>
          <w:color w:val="231F20"/>
          <w:spacing w:val="-2"/>
          <w:sz w:val="20"/>
        </w:rPr>
        <w:t> </w:t>
      </w:r>
      <w:r>
        <w:rPr>
          <w:color w:val="231F20"/>
          <w:sz w:val="20"/>
        </w:rPr>
        <w:t>с</w:t>
      </w:r>
      <w:r>
        <w:rPr>
          <w:color w:val="231F20"/>
          <w:spacing w:val="-2"/>
          <w:sz w:val="20"/>
        </w:rPr>
        <w:t> </w:t>
      </w:r>
      <w:r>
        <w:rPr>
          <w:color w:val="231F20"/>
          <w:sz w:val="20"/>
        </w:rPr>
        <w:t>ситу- ациями</w:t>
      </w:r>
      <w:r>
        <w:rPr>
          <w:color w:val="231F20"/>
          <w:spacing w:val="-3"/>
          <w:sz w:val="20"/>
        </w:rPr>
        <w:t> </w:t>
      </w:r>
      <w:r>
        <w:rPr>
          <w:color w:val="231F20"/>
          <w:sz w:val="20"/>
        </w:rPr>
        <w:t>драк,</w:t>
      </w:r>
      <w:r>
        <w:rPr>
          <w:color w:val="231F20"/>
          <w:spacing w:val="-3"/>
          <w:sz w:val="20"/>
        </w:rPr>
        <w:t> </w:t>
      </w:r>
      <w:r>
        <w:rPr>
          <w:color w:val="231F20"/>
          <w:sz w:val="20"/>
        </w:rPr>
        <w:t>кражи,</w:t>
      </w:r>
      <w:r>
        <w:rPr>
          <w:color w:val="231F20"/>
          <w:spacing w:val="-3"/>
          <w:sz w:val="20"/>
        </w:rPr>
        <w:t> </w:t>
      </w:r>
      <w:r>
        <w:rPr>
          <w:color w:val="231F20"/>
          <w:sz w:val="20"/>
        </w:rPr>
        <w:t>порчи</w:t>
      </w:r>
      <w:r>
        <w:rPr>
          <w:color w:val="231F20"/>
          <w:spacing w:val="-3"/>
          <w:sz w:val="20"/>
        </w:rPr>
        <w:t> </w:t>
      </w:r>
      <w:r>
        <w:rPr>
          <w:color w:val="231F20"/>
          <w:sz w:val="20"/>
        </w:rPr>
        <w:t>имущества</w:t>
      </w:r>
      <w:r>
        <w:rPr>
          <w:color w:val="231F20"/>
          <w:spacing w:val="-3"/>
          <w:sz w:val="20"/>
        </w:rPr>
        <w:t> </w:t>
      </w:r>
      <w:r>
        <w:rPr>
          <w:color w:val="231F20"/>
          <w:sz w:val="20"/>
        </w:rPr>
        <w:t>и</w:t>
      </w:r>
      <w:r>
        <w:rPr>
          <w:color w:val="231F20"/>
          <w:spacing w:val="-3"/>
          <w:sz w:val="20"/>
        </w:rPr>
        <w:t> </w:t>
      </w:r>
      <w:r>
        <w:rPr>
          <w:color w:val="231F20"/>
          <w:sz w:val="20"/>
        </w:rPr>
        <w:t>пр.</w:t>
      </w:r>
      <w:r>
        <w:rPr>
          <w:color w:val="231F20"/>
          <w:spacing w:val="-3"/>
          <w:sz w:val="20"/>
        </w:rPr>
        <w:t> </w:t>
      </w:r>
      <w:r>
        <w:rPr>
          <w:color w:val="231F20"/>
          <w:sz w:val="20"/>
        </w:rPr>
        <w:t>(в</w:t>
      </w:r>
      <w:r>
        <w:rPr>
          <w:color w:val="231F20"/>
          <w:spacing w:val="-3"/>
          <w:sz w:val="20"/>
        </w:rPr>
        <w:t> </w:t>
      </w:r>
      <w:r>
        <w:rPr>
          <w:color w:val="231F20"/>
          <w:sz w:val="20"/>
        </w:rPr>
        <w:t>том</w:t>
      </w:r>
      <w:r>
        <w:rPr>
          <w:color w:val="231F20"/>
          <w:spacing w:val="-3"/>
          <w:sz w:val="20"/>
        </w:rPr>
        <w:t> </w:t>
      </w:r>
      <w:r>
        <w:rPr>
          <w:color w:val="231F20"/>
          <w:sz w:val="20"/>
        </w:rPr>
        <w:t>числе</w:t>
      </w:r>
      <w:r>
        <w:rPr>
          <w:color w:val="231F20"/>
          <w:spacing w:val="-3"/>
          <w:sz w:val="20"/>
        </w:rPr>
        <w:t> </w:t>
      </w:r>
      <w:r>
        <w:rPr>
          <w:color w:val="231F20"/>
          <w:sz w:val="20"/>
        </w:rPr>
        <w:t>по</w:t>
      </w:r>
      <w:r>
        <w:rPr>
          <w:color w:val="231F20"/>
          <w:spacing w:val="-3"/>
          <w:sz w:val="20"/>
        </w:rPr>
        <w:t> </w:t>
      </w:r>
      <w:r>
        <w:rPr>
          <w:color w:val="231F20"/>
          <w:sz w:val="20"/>
        </w:rPr>
        <w:t>делам,</w:t>
      </w:r>
      <w:r>
        <w:rPr>
          <w:color w:val="231F20"/>
          <w:spacing w:val="-3"/>
          <w:sz w:val="20"/>
        </w:rPr>
        <w:t> </w:t>
      </w:r>
      <w:r>
        <w:rPr>
          <w:color w:val="231F20"/>
          <w:sz w:val="20"/>
        </w:rPr>
        <w:t>переданным</w:t>
      </w:r>
      <w:r>
        <w:rPr>
          <w:color w:val="231F20"/>
          <w:spacing w:val="-3"/>
          <w:sz w:val="20"/>
        </w:rPr>
        <w:t> </w:t>
      </w:r>
      <w:r>
        <w:rPr>
          <w:color w:val="231F20"/>
          <w:sz w:val="20"/>
        </w:rPr>
        <w:t>в КДНиЗП и суд).</w:t>
      </w:r>
    </w:p>
    <w:p>
      <w:pPr>
        <w:pStyle w:val="ListParagraph"/>
        <w:numPr>
          <w:ilvl w:val="0"/>
          <w:numId w:val="145"/>
        </w:numPr>
        <w:tabs>
          <w:tab w:pos="423" w:val="left" w:leader="none"/>
          <w:tab w:pos="425" w:val="left" w:leader="none"/>
        </w:tabs>
        <w:spacing w:line="240" w:lineRule="auto" w:before="0" w:after="0"/>
        <w:ind w:left="425" w:right="139" w:hanging="284"/>
        <w:jc w:val="both"/>
        <w:rPr>
          <w:sz w:val="20"/>
        </w:rPr>
      </w:pPr>
      <w:r>
        <w:rPr>
          <w:color w:val="231F20"/>
          <w:sz w:val="20"/>
        </w:rPr>
        <w:t>«Школьно-родительский совет» (в формате Круга) – работа со сложными много- сторонними конфликтами между всеми участниками образовательного процесса (когда</w:t>
      </w:r>
      <w:r>
        <w:rPr>
          <w:color w:val="231F20"/>
          <w:spacing w:val="-12"/>
          <w:sz w:val="20"/>
        </w:rPr>
        <w:t> </w:t>
      </w:r>
      <w:r>
        <w:rPr>
          <w:color w:val="231F20"/>
          <w:sz w:val="20"/>
        </w:rPr>
        <w:t>в</w:t>
      </w:r>
      <w:r>
        <w:rPr>
          <w:color w:val="231F20"/>
          <w:spacing w:val="-12"/>
          <w:sz w:val="20"/>
        </w:rPr>
        <w:t> </w:t>
      </w:r>
      <w:r>
        <w:rPr>
          <w:color w:val="231F20"/>
          <w:sz w:val="20"/>
        </w:rPr>
        <w:t>конфликт</w:t>
      </w:r>
      <w:r>
        <w:rPr>
          <w:color w:val="231F20"/>
          <w:spacing w:val="-12"/>
          <w:sz w:val="20"/>
        </w:rPr>
        <w:t> </w:t>
      </w:r>
      <w:r>
        <w:rPr>
          <w:color w:val="231F20"/>
          <w:sz w:val="20"/>
        </w:rPr>
        <w:t>так</w:t>
      </w:r>
      <w:r>
        <w:rPr>
          <w:color w:val="231F20"/>
          <w:spacing w:val="-12"/>
          <w:sz w:val="20"/>
        </w:rPr>
        <w:t> </w:t>
      </w:r>
      <w:r>
        <w:rPr>
          <w:color w:val="231F20"/>
          <w:sz w:val="20"/>
        </w:rPr>
        <w:t>или</w:t>
      </w:r>
      <w:r>
        <w:rPr>
          <w:color w:val="231F20"/>
          <w:spacing w:val="-12"/>
          <w:sz w:val="20"/>
        </w:rPr>
        <w:t> </w:t>
      </w:r>
      <w:r>
        <w:rPr>
          <w:color w:val="231F20"/>
          <w:sz w:val="20"/>
        </w:rPr>
        <w:t>иначе</w:t>
      </w:r>
      <w:r>
        <w:rPr>
          <w:color w:val="231F20"/>
          <w:spacing w:val="-12"/>
          <w:sz w:val="20"/>
        </w:rPr>
        <w:t> </w:t>
      </w:r>
      <w:r>
        <w:rPr>
          <w:color w:val="231F20"/>
          <w:sz w:val="20"/>
        </w:rPr>
        <w:t>включены</w:t>
      </w:r>
      <w:r>
        <w:rPr>
          <w:color w:val="231F20"/>
          <w:spacing w:val="-12"/>
          <w:sz w:val="20"/>
        </w:rPr>
        <w:t> </w:t>
      </w:r>
      <w:r>
        <w:rPr>
          <w:color w:val="231F20"/>
          <w:sz w:val="20"/>
        </w:rPr>
        <w:t>дети,</w:t>
      </w:r>
      <w:r>
        <w:rPr>
          <w:color w:val="231F20"/>
          <w:spacing w:val="-12"/>
          <w:sz w:val="20"/>
        </w:rPr>
        <w:t> </w:t>
      </w:r>
      <w:r>
        <w:rPr>
          <w:color w:val="231F20"/>
          <w:sz w:val="20"/>
        </w:rPr>
        <w:t>родители,</w:t>
      </w:r>
      <w:r>
        <w:rPr>
          <w:color w:val="231F20"/>
          <w:spacing w:val="-12"/>
          <w:sz w:val="20"/>
        </w:rPr>
        <w:t> </w:t>
      </w:r>
      <w:r>
        <w:rPr>
          <w:color w:val="231F20"/>
          <w:sz w:val="20"/>
        </w:rPr>
        <w:t>педагоги,</w:t>
      </w:r>
      <w:r>
        <w:rPr>
          <w:color w:val="231F20"/>
          <w:spacing w:val="-12"/>
          <w:sz w:val="20"/>
        </w:rPr>
        <w:t> </w:t>
      </w:r>
      <w:r>
        <w:rPr>
          <w:color w:val="231F20"/>
          <w:sz w:val="20"/>
        </w:rPr>
        <w:t>администра- ция, органы управления образованием, СМИ и др.).</w:t>
      </w:r>
    </w:p>
    <w:p>
      <w:pPr>
        <w:pStyle w:val="ListParagraph"/>
        <w:numPr>
          <w:ilvl w:val="0"/>
          <w:numId w:val="145"/>
        </w:numPr>
        <w:tabs>
          <w:tab w:pos="423" w:val="left" w:leader="none"/>
          <w:tab w:pos="425" w:val="left" w:leader="none"/>
        </w:tabs>
        <w:spacing w:line="240" w:lineRule="auto" w:before="1" w:after="0"/>
        <w:ind w:left="425" w:right="140" w:hanging="284"/>
        <w:jc w:val="both"/>
        <w:rPr>
          <w:sz w:val="20"/>
        </w:rPr>
      </w:pPr>
      <w:r>
        <w:rPr>
          <w:color w:val="231F20"/>
          <w:sz w:val="20"/>
        </w:rPr>
        <w:t>Восстановительный подход к управлению дисциплиной в классе – для педагогов и классных руководителей.</w:t>
      </w:r>
    </w:p>
    <w:p>
      <w:pPr>
        <w:pStyle w:val="ListParagraph"/>
        <w:numPr>
          <w:ilvl w:val="0"/>
          <w:numId w:val="145"/>
        </w:numPr>
        <w:tabs>
          <w:tab w:pos="423" w:val="left" w:leader="none"/>
          <w:tab w:pos="425" w:val="left" w:leader="none"/>
        </w:tabs>
        <w:spacing w:line="235" w:lineRule="auto" w:before="0" w:after="0"/>
        <w:ind w:left="425" w:right="139" w:hanging="284"/>
        <w:jc w:val="both"/>
        <w:rPr>
          <w:sz w:val="20"/>
        </w:rPr>
      </w:pPr>
      <w:r>
        <w:rPr>
          <w:color w:val="231F20"/>
          <w:sz w:val="20"/>
        </w:rPr>
        <w:t>Восстановительный</w:t>
      </w:r>
      <w:r>
        <w:rPr>
          <w:color w:val="231F20"/>
          <w:spacing w:val="-6"/>
          <w:sz w:val="20"/>
        </w:rPr>
        <w:t> </w:t>
      </w:r>
      <w:r>
        <w:rPr>
          <w:color w:val="231F20"/>
          <w:sz w:val="20"/>
        </w:rPr>
        <w:t>подход</w:t>
      </w:r>
      <w:r>
        <w:rPr>
          <w:color w:val="231F20"/>
          <w:spacing w:val="-6"/>
          <w:sz w:val="20"/>
        </w:rPr>
        <w:t> </w:t>
      </w:r>
      <w:r>
        <w:rPr>
          <w:color w:val="231F20"/>
          <w:sz w:val="20"/>
        </w:rPr>
        <w:t>к</w:t>
      </w:r>
      <w:r>
        <w:rPr>
          <w:color w:val="231F20"/>
          <w:spacing w:val="-6"/>
          <w:sz w:val="20"/>
        </w:rPr>
        <w:t> </w:t>
      </w:r>
      <w:r>
        <w:rPr>
          <w:color w:val="231F20"/>
          <w:sz w:val="20"/>
        </w:rPr>
        <w:t>управлению</w:t>
      </w:r>
      <w:r>
        <w:rPr>
          <w:color w:val="231F20"/>
          <w:spacing w:val="-6"/>
          <w:sz w:val="20"/>
        </w:rPr>
        <w:t> </w:t>
      </w:r>
      <w:r>
        <w:rPr>
          <w:color w:val="231F20"/>
          <w:sz w:val="20"/>
        </w:rPr>
        <w:t>и</w:t>
      </w:r>
      <w:r>
        <w:rPr>
          <w:color w:val="231F20"/>
          <w:spacing w:val="-6"/>
          <w:sz w:val="20"/>
        </w:rPr>
        <w:t> </w:t>
      </w:r>
      <w:r>
        <w:rPr>
          <w:color w:val="231F20"/>
          <w:sz w:val="20"/>
        </w:rPr>
        <w:t>развитию</w:t>
      </w:r>
      <w:r>
        <w:rPr>
          <w:color w:val="231F20"/>
          <w:spacing w:val="-6"/>
          <w:sz w:val="20"/>
        </w:rPr>
        <w:t> </w:t>
      </w:r>
      <w:r>
        <w:rPr>
          <w:color w:val="231F20"/>
          <w:sz w:val="20"/>
        </w:rPr>
        <w:t>образовательной</w:t>
      </w:r>
      <w:r>
        <w:rPr>
          <w:color w:val="231F20"/>
          <w:spacing w:val="-6"/>
          <w:sz w:val="20"/>
        </w:rPr>
        <w:t> </w:t>
      </w:r>
      <w:r>
        <w:rPr>
          <w:color w:val="231F20"/>
          <w:sz w:val="20"/>
        </w:rPr>
        <w:t>организа- ции</w:t>
      </w:r>
      <w:r>
        <w:rPr>
          <w:color w:val="231F20"/>
          <w:spacing w:val="-13"/>
          <w:sz w:val="20"/>
        </w:rPr>
        <w:t> </w:t>
      </w:r>
      <w:r>
        <w:rPr>
          <w:color w:val="231F20"/>
          <w:sz w:val="20"/>
        </w:rPr>
        <w:t>для</w:t>
      </w:r>
      <w:r>
        <w:rPr>
          <w:color w:val="231F20"/>
          <w:spacing w:val="-12"/>
          <w:sz w:val="20"/>
        </w:rPr>
        <w:t> </w:t>
      </w:r>
      <w:r>
        <w:rPr>
          <w:color w:val="231F20"/>
          <w:sz w:val="20"/>
        </w:rPr>
        <w:t>администрации</w:t>
      </w:r>
      <w:r>
        <w:rPr>
          <w:color w:val="231F20"/>
          <w:spacing w:val="-13"/>
          <w:sz w:val="20"/>
        </w:rPr>
        <w:t> </w:t>
      </w:r>
      <w:r>
        <w:rPr>
          <w:color w:val="231F20"/>
          <w:sz w:val="20"/>
        </w:rPr>
        <w:t>и</w:t>
      </w:r>
      <w:r>
        <w:rPr>
          <w:color w:val="231F20"/>
          <w:spacing w:val="-12"/>
          <w:sz w:val="20"/>
        </w:rPr>
        <w:t> </w:t>
      </w:r>
      <w:r>
        <w:rPr>
          <w:color w:val="231F20"/>
          <w:sz w:val="20"/>
        </w:rPr>
        <w:t>управленческо-педагогической</w:t>
      </w:r>
      <w:r>
        <w:rPr>
          <w:color w:val="231F20"/>
          <w:spacing w:val="-13"/>
          <w:sz w:val="20"/>
        </w:rPr>
        <w:t> </w:t>
      </w:r>
      <w:r>
        <w:rPr>
          <w:color w:val="231F20"/>
          <w:sz w:val="20"/>
        </w:rPr>
        <w:t>команды</w:t>
      </w:r>
      <w:r>
        <w:rPr>
          <w:color w:val="231F20"/>
          <w:spacing w:val="-12"/>
          <w:sz w:val="20"/>
        </w:rPr>
        <w:t> </w:t>
      </w:r>
      <w:r>
        <w:rPr>
          <w:color w:val="231F20"/>
          <w:sz w:val="20"/>
        </w:rPr>
        <w:t>ОО</w:t>
      </w:r>
      <w:r>
        <w:rPr>
          <w:color w:val="231F20"/>
          <w:spacing w:val="-13"/>
          <w:sz w:val="20"/>
        </w:rPr>
        <w:t> </w:t>
      </w:r>
      <w:r>
        <w:rPr>
          <w:color w:val="231F20"/>
          <w:sz w:val="20"/>
        </w:rPr>
        <w:t>–</w:t>
      </w:r>
      <w:r>
        <w:rPr>
          <w:color w:val="231F20"/>
          <w:spacing w:val="-12"/>
          <w:sz w:val="20"/>
        </w:rPr>
        <w:t> </w:t>
      </w:r>
      <w:r>
        <w:rPr>
          <w:color w:val="231F20"/>
          <w:sz w:val="20"/>
        </w:rPr>
        <w:t>с</w:t>
      </w:r>
      <w:r>
        <w:rPr>
          <w:color w:val="231F20"/>
          <w:spacing w:val="-13"/>
          <w:sz w:val="20"/>
        </w:rPr>
        <w:t> </w:t>
      </w:r>
      <w:r>
        <w:rPr>
          <w:color w:val="231F20"/>
          <w:sz w:val="20"/>
        </w:rPr>
        <w:t>привле- чением специалистов территориальной службы примирения.</w:t>
      </w:r>
    </w:p>
    <w:p>
      <w:pPr>
        <w:pStyle w:val="BodyText"/>
        <w:spacing w:line="235" w:lineRule="auto" w:before="1"/>
      </w:pPr>
      <w:r>
        <w:rPr>
          <w:color w:val="231F20"/>
        </w:rPr>
        <w:t>Также служба примирения проводит с учащимися тренинги и занятия по обуче- нию</w:t>
      </w:r>
      <w:r>
        <w:rPr>
          <w:color w:val="231F20"/>
          <w:spacing w:val="-7"/>
        </w:rPr>
        <w:t> </w:t>
      </w:r>
      <w:r>
        <w:rPr>
          <w:color w:val="231F20"/>
        </w:rPr>
        <w:t>конструктивным</w:t>
      </w:r>
      <w:r>
        <w:rPr>
          <w:color w:val="231F20"/>
          <w:spacing w:val="-7"/>
        </w:rPr>
        <w:t> </w:t>
      </w:r>
      <w:r>
        <w:rPr>
          <w:color w:val="231F20"/>
        </w:rPr>
        <w:t>способам</w:t>
      </w:r>
      <w:r>
        <w:rPr>
          <w:color w:val="231F20"/>
          <w:spacing w:val="-7"/>
        </w:rPr>
        <w:t> </w:t>
      </w:r>
      <w:r>
        <w:rPr>
          <w:color w:val="231F20"/>
        </w:rPr>
        <w:t>общения,</w:t>
      </w:r>
      <w:r>
        <w:rPr>
          <w:color w:val="231F20"/>
          <w:spacing w:val="-7"/>
        </w:rPr>
        <w:t> </w:t>
      </w:r>
      <w:r>
        <w:rPr>
          <w:color w:val="231F20"/>
        </w:rPr>
        <w:t>способности</w:t>
      </w:r>
      <w:r>
        <w:rPr>
          <w:color w:val="231F20"/>
          <w:spacing w:val="-7"/>
        </w:rPr>
        <w:t> </w:t>
      </w:r>
      <w:r>
        <w:rPr>
          <w:color w:val="231F20"/>
        </w:rPr>
        <w:t>принимать</w:t>
      </w:r>
      <w:r>
        <w:rPr>
          <w:color w:val="231F20"/>
          <w:spacing w:val="-7"/>
        </w:rPr>
        <w:t> </w:t>
      </w:r>
      <w:r>
        <w:rPr>
          <w:color w:val="231F20"/>
        </w:rPr>
        <w:t>согласованные</w:t>
      </w:r>
      <w:r>
        <w:rPr>
          <w:color w:val="231F20"/>
          <w:spacing w:val="-7"/>
        </w:rPr>
        <w:t> </w:t>
      </w:r>
      <w:r>
        <w:rPr>
          <w:color w:val="231F20"/>
        </w:rPr>
        <w:t>ре- шения и сотрудничать на основе принципов восстановительного подхода – прежде всего через опыт решения реальных конфликтных ситуаций.</w:t>
      </w:r>
    </w:p>
    <w:p>
      <w:pPr>
        <w:pStyle w:val="BodyText"/>
        <w:spacing w:after="0" w:line="235" w:lineRule="auto"/>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5"/>
          <w:sz w:val="18"/>
        </w:rPr>
        <w:t> </w:t>
      </w:r>
      <w:r>
        <w:rPr>
          <w:rFonts w:ascii="Georgia" w:hAnsi="Georgia"/>
          <w:color w:val="231F20"/>
          <w:sz w:val="18"/>
        </w:rPr>
        <w:t>Методы</w:t>
      </w:r>
      <w:r>
        <w:rPr>
          <w:rFonts w:ascii="Georgia" w:hAnsi="Georgia"/>
          <w:color w:val="231F20"/>
          <w:spacing w:val="-5"/>
          <w:sz w:val="18"/>
        </w:rPr>
        <w:t> </w:t>
      </w:r>
      <w:r>
        <w:rPr>
          <w:rFonts w:ascii="Georgia" w:hAnsi="Georgia"/>
          <w:color w:val="231F20"/>
          <w:sz w:val="18"/>
        </w:rPr>
        <w:t>воспитательной</w:t>
      </w:r>
      <w:r>
        <w:rPr>
          <w:rFonts w:ascii="Georgia" w:hAnsi="Georgia"/>
          <w:color w:val="231F20"/>
          <w:spacing w:val="-4"/>
          <w:sz w:val="18"/>
        </w:rPr>
        <w:t> </w:t>
      </w:r>
      <w:r>
        <w:rPr>
          <w:rFonts w:ascii="Georgia" w:hAnsi="Georgia"/>
          <w:color w:val="231F20"/>
          <w:sz w:val="18"/>
        </w:rPr>
        <w:t>раюоты</w:t>
      </w:r>
      <w:r>
        <w:rPr>
          <w:rFonts w:ascii="Georgia" w:hAnsi="Georgia"/>
          <w:color w:val="231F20"/>
          <w:spacing w:val="-5"/>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w:t>
      </w:r>
      <w:r>
        <w:rPr>
          <w:rFonts w:ascii="Georgia" w:hAnsi="Georgia"/>
          <w:color w:val="231F20"/>
          <w:spacing w:val="-4"/>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BodyText"/>
        <w:spacing w:line="235" w:lineRule="auto" w:before="116"/>
      </w:pPr>
      <w:r>
        <w:rPr>
          <w:color w:val="231F20"/>
        </w:rPr>
        <w:t>Подробнее</w:t>
      </w:r>
      <w:r>
        <w:rPr>
          <w:color w:val="231F20"/>
          <w:spacing w:val="-10"/>
        </w:rPr>
        <w:t> </w:t>
      </w:r>
      <w:r>
        <w:rPr>
          <w:color w:val="231F20"/>
        </w:rPr>
        <w:t>про</w:t>
      </w:r>
      <w:r>
        <w:rPr>
          <w:color w:val="231F20"/>
          <w:spacing w:val="-10"/>
        </w:rPr>
        <w:t> </w:t>
      </w:r>
      <w:r>
        <w:rPr>
          <w:color w:val="231F20"/>
        </w:rPr>
        <w:t>службы</w:t>
      </w:r>
      <w:r>
        <w:rPr>
          <w:color w:val="231F20"/>
          <w:spacing w:val="-10"/>
        </w:rPr>
        <w:t> </w:t>
      </w:r>
      <w:r>
        <w:rPr>
          <w:color w:val="231F20"/>
        </w:rPr>
        <w:t>примирения</w:t>
      </w:r>
      <w:r>
        <w:rPr>
          <w:color w:val="231F20"/>
          <w:spacing w:val="-10"/>
        </w:rPr>
        <w:t> </w:t>
      </w:r>
      <w:r>
        <w:rPr>
          <w:color w:val="231F20"/>
        </w:rPr>
        <w:t>и</w:t>
      </w:r>
      <w:r>
        <w:rPr>
          <w:color w:val="231F20"/>
          <w:spacing w:val="-10"/>
        </w:rPr>
        <w:t> </w:t>
      </w:r>
      <w:r>
        <w:rPr>
          <w:color w:val="231F20"/>
        </w:rPr>
        <w:t>восстановительные</w:t>
      </w:r>
      <w:r>
        <w:rPr>
          <w:color w:val="231F20"/>
          <w:spacing w:val="-10"/>
        </w:rPr>
        <w:t> </w:t>
      </w:r>
      <w:r>
        <w:rPr>
          <w:color w:val="231F20"/>
        </w:rPr>
        <w:t>практики</w:t>
      </w:r>
      <w:r>
        <w:rPr>
          <w:color w:val="231F20"/>
          <w:spacing w:val="-10"/>
        </w:rPr>
        <w:t> </w:t>
      </w:r>
      <w:r>
        <w:rPr>
          <w:color w:val="231F20"/>
        </w:rPr>
        <w:t>можно</w:t>
      </w:r>
      <w:r>
        <w:rPr>
          <w:color w:val="231F20"/>
          <w:spacing w:val="-10"/>
        </w:rPr>
        <w:t> </w:t>
      </w:r>
      <w:r>
        <w:rPr>
          <w:color w:val="231F20"/>
        </w:rPr>
        <w:t>узнать </w:t>
      </w:r>
      <w:r>
        <w:rPr>
          <w:color w:val="231F20"/>
          <w:spacing w:val="-4"/>
        </w:rPr>
        <w:t>на</w:t>
      </w:r>
      <w:r>
        <w:rPr>
          <w:color w:val="231F20"/>
          <w:spacing w:val="13"/>
        </w:rPr>
        <w:t> </w:t>
      </w:r>
      <w:r>
        <w:rPr>
          <w:color w:val="231F20"/>
          <w:spacing w:val="-4"/>
        </w:rPr>
        <w:t>сайтах:</w:t>
      </w:r>
      <w:r>
        <w:rPr>
          <w:color w:val="231F20"/>
          <w:spacing w:val="13"/>
        </w:rPr>
        <w:t> </w:t>
      </w:r>
      <w:hyperlink r:id="rId149">
        <w:r>
          <w:rPr>
            <w:color w:val="2255A6"/>
            <w:spacing w:val="-4"/>
            <w:u w:val="single" w:color="2255A6"/>
          </w:rPr>
          <w:t>www.школьные-службы-примирения.рф</w:t>
        </w:r>
      </w:hyperlink>
      <w:r>
        <w:rPr>
          <w:color w:val="231F20"/>
          <w:spacing w:val="-4"/>
        </w:rPr>
        <w:t>,</w:t>
      </w:r>
      <w:r>
        <w:rPr>
          <w:color w:val="231F20"/>
          <w:spacing w:val="13"/>
        </w:rPr>
        <w:t> </w:t>
      </w:r>
      <w:hyperlink r:id="rId150">
        <w:r>
          <w:rPr>
            <w:color w:val="2255A6"/>
            <w:spacing w:val="-4"/>
            <w:u w:val="single" w:color="2255A6"/>
          </w:rPr>
          <w:t>https://forum.gppc.ru</w:t>
        </w:r>
      </w:hyperlink>
      <w:r>
        <w:rPr>
          <w:color w:val="2255A6"/>
          <w:spacing w:val="13"/>
        </w:rPr>
        <w:t> </w:t>
      </w:r>
      <w:r>
        <w:rPr>
          <w:color w:val="231F20"/>
          <w:spacing w:val="-4"/>
        </w:rPr>
        <w:t>и</w:t>
      </w:r>
      <w:r>
        <w:rPr>
          <w:color w:val="231F20"/>
          <w:spacing w:val="14"/>
        </w:rPr>
        <w:t> </w:t>
      </w:r>
      <w:hyperlink r:id="rId151">
        <w:r>
          <w:rPr>
            <w:color w:val="2255A6"/>
            <w:spacing w:val="-4"/>
            <w:u w:val="single" w:color="2255A6"/>
          </w:rPr>
          <w:t>www.sprc.ru</w:t>
        </w:r>
      </w:hyperlink>
      <w:r>
        <w:rPr>
          <w:color w:val="231F20"/>
          <w:spacing w:val="-4"/>
        </w:rPr>
        <w:t>.</w:t>
      </w:r>
    </w:p>
    <w:p>
      <w:pPr>
        <w:spacing w:line="228" w:lineRule="exact" w:before="111"/>
        <w:ind w:left="425" w:right="0" w:firstLine="0"/>
        <w:jc w:val="both"/>
        <w:rPr>
          <w:b/>
          <w:sz w:val="20"/>
        </w:rPr>
      </w:pPr>
      <w:r>
        <w:rPr>
          <w:b/>
          <w:color w:val="231F20"/>
          <w:spacing w:val="-2"/>
          <w:sz w:val="20"/>
        </w:rPr>
        <w:t>Уровни</w:t>
      </w:r>
      <w:r>
        <w:rPr>
          <w:b/>
          <w:color w:val="231F20"/>
          <w:spacing w:val="5"/>
          <w:sz w:val="20"/>
        </w:rPr>
        <w:t> </w:t>
      </w:r>
      <w:r>
        <w:rPr>
          <w:b/>
          <w:color w:val="231F20"/>
          <w:spacing w:val="-2"/>
          <w:sz w:val="20"/>
        </w:rPr>
        <w:t>подростковых</w:t>
      </w:r>
      <w:r>
        <w:rPr>
          <w:b/>
          <w:color w:val="231F20"/>
          <w:spacing w:val="7"/>
          <w:sz w:val="20"/>
        </w:rPr>
        <w:t> </w:t>
      </w:r>
      <w:r>
        <w:rPr>
          <w:b/>
          <w:color w:val="231F20"/>
          <w:spacing w:val="-2"/>
          <w:sz w:val="20"/>
        </w:rPr>
        <w:t>межэтнических</w:t>
      </w:r>
      <w:r>
        <w:rPr>
          <w:b/>
          <w:color w:val="231F20"/>
          <w:spacing w:val="8"/>
          <w:sz w:val="20"/>
        </w:rPr>
        <w:t> </w:t>
      </w:r>
      <w:r>
        <w:rPr>
          <w:b/>
          <w:color w:val="231F20"/>
          <w:spacing w:val="-2"/>
          <w:sz w:val="20"/>
        </w:rPr>
        <w:t>конфликтов</w:t>
      </w:r>
    </w:p>
    <w:p>
      <w:pPr>
        <w:pStyle w:val="BodyText"/>
        <w:spacing w:line="235" w:lineRule="auto" w:before="1"/>
      </w:pPr>
      <w:r>
        <w:rPr>
          <w:color w:val="231F20"/>
        </w:rPr>
        <w:t>Если</w:t>
      </w:r>
      <w:r>
        <w:rPr>
          <w:color w:val="231F20"/>
          <w:spacing w:val="-13"/>
        </w:rPr>
        <w:t> </w:t>
      </w:r>
      <w:r>
        <w:rPr>
          <w:color w:val="231F20"/>
        </w:rPr>
        <w:t>в</w:t>
      </w:r>
      <w:r>
        <w:rPr>
          <w:color w:val="231F20"/>
          <w:spacing w:val="-12"/>
        </w:rPr>
        <w:t> </w:t>
      </w:r>
      <w:r>
        <w:rPr>
          <w:color w:val="231F20"/>
        </w:rPr>
        <w:t>конфликте</w:t>
      </w:r>
      <w:r>
        <w:rPr>
          <w:color w:val="231F20"/>
          <w:spacing w:val="-13"/>
        </w:rPr>
        <w:t> </w:t>
      </w:r>
      <w:r>
        <w:rPr>
          <w:color w:val="231F20"/>
        </w:rPr>
        <w:t>участвуют</w:t>
      </w:r>
      <w:r>
        <w:rPr>
          <w:color w:val="231F20"/>
          <w:spacing w:val="-12"/>
        </w:rPr>
        <w:t> </w:t>
      </w:r>
      <w:r>
        <w:rPr>
          <w:color w:val="231F20"/>
        </w:rPr>
        <w:t>люди</w:t>
      </w:r>
      <w:r>
        <w:rPr>
          <w:color w:val="231F20"/>
          <w:spacing w:val="-13"/>
        </w:rPr>
        <w:t> </w:t>
      </w:r>
      <w:r>
        <w:rPr>
          <w:color w:val="231F20"/>
        </w:rPr>
        <w:t>разных</w:t>
      </w:r>
      <w:r>
        <w:rPr>
          <w:color w:val="231F20"/>
          <w:spacing w:val="-12"/>
        </w:rPr>
        <w:t> </w:t>
      </w:r>
      <w:r>
        <w:rPr>
          <w:color w:val="231F20"/>
        </w:rPr>
        <w:t>национальностей,</w:t>
      </w:r>
      <w:r>
        <w:rPr>
          <w:color w:val="231F20"/>
          <w:spacing w:val="-13"/>
        </w:rPr>
        <w:t> </w:t>
      </w:r>
      <w:r>
        <w:rPr>
          <w:color w:val="231F20"/>
        </w:rPr>
        <w:t>это</w:t>
      </w:r>
      <w:r>
        <w:rPr>
          <w:color w:val="231F20"/>
          <w:spacing w:val="-12"/>
        </w:rPr>
        <w:t> </w:t>
      </w:r>
      <w:r>
        <w:rPr>
          <w:color w:val="231F20"/>
        </w:rPr>
        <w:t>еще</w:t>
      </w:r>
      <w:r>
        <w:rPr>
          <w:color w:val="231F20"/>
          <w:spacing w:val="-13"/>
        </w:rPr>
        <w:t> </w:t>
      </w:r>
      <w:r>
        <w:rPr>
          <w:color w:val="231F20"/>
        </w:rPr>
        <w:t>не</w:t>
      </w:r>
      <w:r>
        <w:rPr>
          <w:color w:val="231F20"/>
          <w:spacing w:val="-12"/>
        </w:rPr>
        <w:t> </w:t>
      </w:r>
      <w:r>
        <w:rPr>
          <w:color w:val="231F20"/>
        </w:rPr>
        <w:t>делает</w:t>
      </w:r>
      <w:r>
        <w:rPr>
          <w:color w:val="231F20"/>
          <w:spacing w:val="-13"/>
        </w:rPr>
        <w:t> </w:t>
      </w:r>
      <w:r>
        <w:rPr>
          <w:color w:val="231F20"/>
        </w:rPr>
        <w:t>его межнациональным.</w:t>
      </w:r>
      <w:r>
        <w:rPr>
          <w:color w:val="231F20"/>
          <w:spacing w:val="-13"/>
        </w:rPr>
        <w:t> </w:t>
      </w:r>
      <w:r>
        <w:rPr>
          <w:color w:val="231F20"/>
        </w:rPr>
        <w:t>Поругаться,</w:t>
      </w:r>
      <w:r>
        <w:rPr>
          <w:color w:val="231F20"/>
          <w:spacing w:val="-12"/>
        </w:rPr>
        <w:t> </w:t>
      </w:r>
      <w:r>
        <w:rPr>
          <w:color w:val="231F20"/>
        </w:rPr>
        <w:t>подраться,</w:t>
      </w:r>
      <w:r>
        <w:rPr>
          <w:color w:val="231F20"/>
          <w:spacing w:val="-13"/>
        </w:rPr>
        <w:t> </w:t>
      </w:r>
      <w:r>
        <w:rPr>
          <w:color w:val="231F20"/>
        </w:rPr>
        <w:t>совершить</w:t>
      </w:r>
      <w:r>
        <w:rPr>
          <w:color w:val="231F20"/>
          <w:spacing w:val="-12"/>
        </w:rPr>
        <w:t> </w:t>
      </w:r>
      <w:r>
        <w:rPr>
          <w:color w:val="231F20"/>
        </w:rPr>
        <w:t>правонарушение</w:t>
      </w:r>
      <w:r>
        <w:rPr>
          <w:color w:val="231F20"/>
          <w:spacing w:val="-13"/>
        </w:rPr>
        <w:t> </w:t>
      </w:r>
      <w:r>
        <w:rPr>
          <w:color w:val="231F20"/>
        </w:rPr>
        <w:t>или</w:t>
      </w:r>
      <w:r>
        <w:rPr>
          <w:color w:val="231F20"/>
          <w:spacing w:val="-12"/>
        </w:rPr>
        <w:t> </w:t>
      </w:r>
      <w:r>
        <w:rPr>
          <w:color w:val="231F20"/>
        </w:rPr>
        <w:t>стать</w:t>
      </w:r>
      <w:r>
        <w:rPr>
          <w:color w:val="231F20"/>
          <w:spacing w:val="-13"/>
        </w:rPr>
        <w:t> </w:t>
      </w:r>
      <w:r>
        <w:rPr>
          <w:color w:val="231F20"/>
        </w:rPr>
        <w:t>его жертвой могут подростки независимо от своей национальной или этнической при- надлежности.</w:t>
      </w:r>
      <w:r>
        <w:rPr>
          <w:color w:val="231F20"/>
          <w:spacing w:val="-13"/>
        </w:rPr>
        <w:t> </w:t>
      </w:r>
      <w:r>
        <w:rPr>
          <w:color w:val="231F20"/>
        </w:rPr>
        <w:t>Достаточно</w:t>
      </w:r>
      <w:r>
        <w:rPr>
          <w:color w:val="231F20"/>
          <w:spacing w:val="-12"/>
        </w:rPr>
        <w:t> </w:t>
      </w:r>
      <w:r>
        <w:rPr>
          <w:color w:val="231F20"/>
        </w:rPr>
        <w:t>часто</w:t>
      </w:r>
      <w:r>
        <w:rPr>
          <w:color w:val="231F20"/>
          <w:spacing w:val="-13"/>
        </w:rPr>
        <w:t> </w:t>
      </w:r>
      <w:r>
        <w:rPr>
          <w:color w:val="231F20"/>
        </w:rPr>
        <w:t>«обычный»</w:t>
      </w:r>
      <w:r>
        <w:rPr>
          <w:color w:val="231F20"/>
          <w:spacing w:val="-12"/>
        </w:rPr>
        <w:t> </w:t>
      </w:r>
      <w:r>
        <w:rPr>
          <w:color w:val="231F20"/>
        </w:rPr>
        <w:t>конфликт</w:t>
      </w:r>
      <w:r>
        <w:rPr>
          <w:color w:val="231F20"/>
          <w:spacing w:val="-13"/>
        </w:rPr>
        <w:t> </w:t>
      </w:r>
      <w:r>
        <w:rPr>
          <w:color w:val="231F20"/>
        </w:rPr>
        <w:t>между</w:t>
      </w:r>
      <w:r>
        <w:rPr>
          <w:color w:val="231F20"/>
          <w:spacing w:val="-12"/>
        </w:rPr>
        <w:t> </w:t>
      </w:r>
      <w:r>
        <w:rPr>
          <w:color w:val="231F20"/>
        </w:rPr>
        <w:t>подростками</w:t>
      </w:r>
      <w:r>
        <w:rPr>
          <w:color w:val="231F20"/>
          <w:spacing w:val="-13"/>
        </w:rPr>
        <w:t> </w:t>
      </w:r>
      <w:r>
        <w:rPr>
          <w:color w:val="231F20"/>
        </w:rPr>
        <w:t>разной</w:t>
      </w:r>
      <w:r>
        <w:rPr>
          <w:color w:val="231F20"/>
          <w:spacing w:val="-12"/>
        </w:rPr>
        <w:t> </w:t>
      </w:r>
      <w:r>
        <w:rPr>
          <w:color w:val="231F20"/>
        </w:rPr>
        <w:t>на- циональности</w:t>
      </w:r>
      <w:r>
        <w:rPr>
          <w:color w:val="231F20"/>
          <w:spacing w:val="-2"/>
        </w:rPr>
        <w:t> </w:t>
      </w:r>
      <w:r>
        <w:rPr>
          <w:color w:val="231F20"/>
        </w:rPr>
        <w:t>превращают</w:t>
      </w:r>
      <w:r>
        <w:rPr>
          <w:color w:val="231F20"/>
          <w:spacing w:val="-2"/>
        </w:rPr>
        <w:t> </w:t>
      </w:r>
      <w:r>
        <w:rPr>
          <w:color w:val="231F20"/>
        </w:rPr>
        <w:t>в</w:t>
      </w:r>
      <w:r>
        <w:rPr>
          <w:color w:val="231F20"/>
          <w:spacing w:val="-2"/>
        </w:rPr>
        <w:t> </w:t>
      </w:r>
      <w:r>
        <w:rPr>
          <w:color w:val="231F20"/>
        </w:rPr>
        <w:t>межэтнический</w:t>
      </w:r>
      <w:r>
        <w:rPr>
          <w:color w:val="231F20"/>
          <w:spacing w:val="-2"/>
        </w:rPr>
        <w:t> </w:t>
      </w:r>
      <w:r>
        <w:rPr>
          <w:color w:val="231F20"/>
        </w:rPr>
        <w:t>сами</w:t>
      </w:r>
      <w:r>
        <w:rPr>
          <w:color w:val="231F20"/>
          <w:spacing w:val="-2"/>
        </w:rPr>
        <w:t> </w:t>
      </w:r>
      <w:r>
        <w:rPr>
          <w:color w:val="231F20"/>
        </w:rPr>
        <w:t>участники,</w:t>
      </w:r>
      <w:r>
        <w:rPr>
          <w:color w:val="231F20"/>
          <w:spacing w:val="-2"/>
        </w:rPr>
        <w:t> </w:t>
      </w:r>
      <w:r>
        <w:rPr>
          <w:color w:val="231F20"/>
        </w:rPr>
        <w:t>их</w:t>
      </w:r>
      <w:r>
        <w:rPr>
          <w:color w:val="231F20"/>
          <w:spacing w:val="-2"/>
        </w:rPr>
        <w:t> </w:t>
      </w:r>
      <w:r>
        <w:rPr>
          <w:color w:val="231F20"/>
        </w:rPr>
        <w:t>окружение,</w:t>
      </w:r>
      <w:r>
        <w:rPr>
          <w:color w:val="231F20"/>
          <w:spacing w:val="-2"/>
        </w:rPr>
        <w:t> </w:t>
      </w:r>
      <w:r>
        <w:rPr>
          <w:color w:val="231F20"/>
        </w:rPr>
        <w:t>а</w:t>
      </w:r>
      <w:r>
        <w:rPr>
          <w:color w:val="231F20"/>
          <w:spacing w:val="-2"/>
        </w:rPr>
        <w:t> </w:t>
      </w:r>
      <w:r>
        <w:rPr>
          <w:color w:val="231F20"/>
        </w:rPr>
        <w:t>также СМИ. Этому может способствовать предыдущий негативный опыт участников кон- фликта,</w:t>
      </w:r>
      <w:r>
        <w:rPr>
          <w:color w:val="231F20"/>
          <w:spacing w:val="-9"/>
        </w:rPr>
        <w:t> </w:t>
      </w:r>
      <w:r>
        <w:rPr>
          <w:color w:val="231F20"/>
        </w:rPr>
        <w:t>а</w:t>
      </w:r>
      <w:r>
        <w:rPr>
          <w:color w:val="231F20"/>
          <w:spacing w:val="-8"/>
        </w:rPr>
        <w:t> </w:t>
      </w:r>
      <w:r>
        <w:rPr>
          <w:color w:val="231F20"/>
        </w:rPr>
        <w:t>также</w:t>
      </w:r>
      <w:r>
        <w:rPr>
          <w:color w:val="231F20"/>
          <w:spacing w:val="-8"/>
        </w:rPr>
        <w:t> </w:t>
      </w:r>
      <w:r>
        <w:rPr>
          <w:color w:val="231F20"/>
        </w:rPr>
        <w:t>негативные</w:t>
      </w:r>
      <w:r>
        <w:rPr>
          <w:color w:val="231F20"/>
          <w:spacing w:val="-8"/>
        </w:rPr>
        <w:t> </w:t>
      </w:r>
      <w:r>
        <w:rPr>
          <w:color w:val="231F20"/>
        </w:rPr>
        <w:t>образы,</w:t>
      </w:r>
      <w:r>
        <w:rPr>
          <w:color w:val="231F20"/>
          <w:spacing w:val="-9"/>
        </w:rPr>
        <w:t> </w:t>
      </w:r>
      <w:r>
        <w:rPr>
          <w:color w:val="231F20"/>
        </w:rPr>
        <w:t>транслируемые</w:t>
      </w:r>
      <w:r>
        <w:rPr>
          <w:color w:val="231F20"/>
          <w:spacing w:val="-9"/>
        </w:rPr>
        <w:t> </w:t>
      </w:r>
      <w:r>
        <w:rPr>
          <w:color w:val="231F20"/>
        </w:rPr>
        <w:t>СМИ,</w:t>
      </w:r>
      <w:r>
        <w:rPr>
          <w:color w:val="231F20"/>
          <w:spacing w:val="-8"/>
        </w:rPr>
        <w:t> </w:t>
      </w:r>
      <w:r>
        <w:rPr>
          <w:color w:val="231F20"/>
        </w:rPr>
        <w:t>родителями,</w:t>
      </w:r>
      <w:r>
        <w:rPr>
          <w:color w:val="231F20"/>
          <w:spacing w:val="-9"/>
        </w:rPr>
        <w:t> </w:t>
      </w:r>
      <w:r>
        <w:rPr>
          <w:color w:val="231F20"/>
        </w:rPr>
        <w:t>педагогами</w:t>
      </w:r>
      <w:r>
        <w:rPr>
          <w:color w:val="231F20"/>
          <w:spacing w:val="-9"/>
        </w:rPr>
        <w:t> </w:t>
      </w:r>
      <w:r>
        <w:rPr>
          <w:color w:val="231F20"/>
        </w:rPr>
        <w:t>и пр. Таким образом, конфликт обретает межэтнический контекст, который влияет на участников</w:t>
      </w:r>
      <w:r>
        <w:rPr>
          <w:color w:val="231F20"/>
          <w:spacing w:val="-13"/>
        </w:rPr>
        <w:t> </w:t>
      </w:r>
      <w:r>
        <w:rPr>
          <w:color w:val="231F20"/>
        </w:rPr>
        <w:t>в</w:t>
      </w:r>
      <w:r>
        <w:rPr>
          <w:color w:val="231F20"/>
          <w:spacing w:val="-12"/>
        </w:rPr>
        <w:t> </w:t>
      </w:r>
      <w:r>
        <w:rPr>
          <w:color w:val="231F20"/>
        </w:rPr>
        <w:t>той</w:t>
      </w:r>
      <w:r>
        <w:rPr>
          <w:color w:val="231F20"/>
          <w:spacing w:val="-13"/>
        </w:rPr>
        <w:t> </w:t>
      </w:r>
      <w:r>
        <w:rPr>
          <w:color w:val="231F20"/>
        </w:rPr>
        <w:t>или</w:t>
      </w:r>
      <w:r>
        <w:rPr>
          <w:color w:val="231F20"/>
          <w:spacing w:val="-12"/>
        </w:rPr>
        <w:t> </w:t>
      </w:r>
      <w:r>
        <w:rPr>
          <w:color w:val="231F20"/>
        </w:rPr>
        <w:t>иной</w:t>
      </w:r>
      <w:r>
        <w:rPr>
          <w:color w:val="231F20"/>
          <w:spacing w:val="-13"/>
        </w:rPr>
        <w:t> </w:t>
      </w:r>
      <w:r>
        <w:rPr>
          <w:color w:val="231F20"/>
        </w:rPr>
        <w:t>степени.</w:t>
      </w:r>
      <w:r>
        <w:rPr>
          <w:color w:val="231F20"/>
          <w:spacing w:val="-12"/>
        </w:rPr>
        <w:t> </w:t>
      </w:r>
      <w:r>
        <w:rPr>
          <w:color w:val="231F20"/>
        </w:rPr>
        <w:t>Если</w:t>
      </w:r>
      <w:r>
        <w:rPr>
          <w:color w:val="231F20"/>
          <w:spacing w:val="-13"/>
        </w:rPr>
        <w:t> </w:t>
      </w:r>
      <w:r>
        <w:rPr>
          <w:color w:val="231F20"/>
        </w:rPr>
        <w:t>говорить</w:t>
      </w:r>
      <w:r>
        <w:rPr>
          <w:color w:val="231F20"/>
          <w:spacing w:val="-12"/>
        </w:rPr>
        <w:t> </w:t>
      </w:r>
      <w:r>
        <w:rPr>
          <w:color w:val="231F20"/>
        </w:rPr>
        <w:t>о</w:t>
      </w:r>
      <w:r>
        <w:rPr>
          <w:color w:val="231F20"/>
          <w:spacing w:val="-13"/>
        </w:rPr>
        <w:t> </w:t>
      </w:r>
      <w:r>
        <w:rPr>
          <w:color w:val="231F20"/>
        </w:rPr>
        <w:t>школьных</w:t>
      </w:r>
      <w:r>
        <w:rPr>
          <w:color w:val="231F20"/>
          <w:spacing w:val="-12"/>
        </w:rPr>
        <w:t> </w:t>
      </w:r>
      <w:r>
        <w:rPr>
          <w:color w:val="231F20"/>
        </w:rPr>
        <w:t>ситуациях,</w:t>
      </w:r>
      <w:r>
        <w:rPr>
          <w:color w:val="231F20"/>
          <w:spacing w:val="-13"/>
        </w:rPr>
        <w:t> </w:t>
      </w:r>
      <w:r>
        <w:rPr>
          <w:color w:val="231F20"/>
        </w:rPr>
        <w:t>предлагаю рассмотреть три уровня «отягощенности» конфликта межэтническим контекстом.</w:t>
      </w:r>
    </w:p>
    <w:p>
      <w:pPr>
        <w:pStyle w:val="BodyText"/>
        <w:spacing w:line="235" w:lineRule="auto" w:before="7"/>
      </w:pPr>
      <w:r>
        <w:rPr>
          <w:b/>
          <w:i/>
          <w:color w:val="231F20"/>
          <w:spacing w:val="-2"/>
        </w:rPr>
        <w:t>Первый</w:t>
      </w:r>
      <w:r>
        <w:rPr>
          <w:b/>
          <w:i/>
          <w:color w:val="231F20"/>
          <w:spacing w:val="-4"/>
        </w:rPr>
        <w:t> </w:t>
      </w:r>
      <w:r>
        <w:rPr>
          <w:b/>
          <w:i/>
          <w:color w:val="231F20"/>
          <w:spacing w:val="-2"/>
        </w:rPr>
        <w:t>уровень.</w:t>
      </w:r>
      <w:r>
        <w:rPr>
          <w:b/>
          <w:i/>
          <w:color w:val="231F20"/>
          <w:spacing w:val="-4"/>
        </w:rPr>
        <w:t> </w:t>
      </w:r>
      <w:r>
        <w:rPr>
          <w:color w:val="231F20"/>
          <w:spacing w:val="-2"/>
        </w:rPr>
        <w:t>В</w:t>
      </w:r>
      <w:r>
        <w:rPr>
          <w:color w:val="231F20"/>
          <w:spacing w:val="-4"/>
        </w:rPr>
        <w:t> </w:t>
      </w:r>
      <w:r>
        <w:rPr>
          <w:color w:val="231F20"/>
          <w:spacing w:val="-2"/>
        </w:rPr>
        <w:t>обычном</w:t>
      </w:r>
      <w:r>
        <w:rPr>
          <w:color w:val="231F20"/>
          <w:spacing w:val="-4"/>
        </w:rPr>
        <w:t> </w:t>
      </w:r>
      <w:r>
        <w:rPr>
          <w:color w:val="231F20"/>
          <w:spacing w:val="-2"/>
        </w:rPr>
        <w:t>(бытовом)</w:t>
      </w:r>
      <w:r>
        <w:rPr>
          <w:color w:val="231F20"/>
          <w:spacing w:val="-4"/>
        </w:rPr>
        <w:t> </w:t>
      </w:r>
      <w:r>
        <w:rPr>
          <w:color w:val="231F20"/>
          <w:spacing w:val="-2"/>
        </w:rPr>
        <w:t>конфликте</w:t>
      </w:r>
      <w:r>
        <w:rPr>
          <w:color w:val="231F20"/>
          <w:spacing w:val="-4"/>
        </w:rPr>
        <w:t> </w:t>
      </w:r>
      <w:r>
        <w:rPr>
          <w:color w:val="231F20"/>
          <w:spacing w:val="-2"/>
        </w:rPr>
        <w:t>стороны</w:t>
      </w:r>
      <w:r>
        <w:rPr>
          <w:color w:val="231F20"/>
          <w:spacing w:val="-4"/>
        </w:rPr>
        <w:t> </w:t>
      </w:r>
      <w:r>
        <w:rPr>
          <w:color w:val="231F20"/>
          <w:spacing w:val="-2"/>
        </w:rPr>
        <w:t>оскорбляли</w:t>
      </w:r>
      <w:r>
        <w:rPr>
          <w:color w:val="231F20"/>
          <w:spacing w:val="-4"/>
        </w:rPr>
        <w:t> </w:t>
      </w:r>
      <w:r>
        <w:rPr>
          <w:color w:val="231F20"/>
          <w:spacing w:val="-2"/>
        </w:rPr>
        <w:t>друг</w:t>
      </w:r>
      <w:r>
        <w:rPr>
          <w:color w:val="231F20"/>
          <w:spacing w:val="-4"/>
        </w:rPr>
        <w:t> </w:t>
      </w:r>
      <w:r>
        <w:rPr>
          <w:color w:val="231F20"/>
          <w:spacing w:val="-2"/>
        </w:rPr>
        <w:t>друга </w:t>
      </w:r>
      <w:r>
        <w:rPr>
          <w:color w:val="231F20"/>
        </w:rPr>
        <w:t>и стали для оскорбления использовать признаки национальности (а могли бы цвет волос или любой другой признак). То есть участники не имеют ничего против кон- кретной национальности, а привлекли ее, чтобы сильнее уколоть друг друга.</w:t>
      </w:r>
    </w:p>
    <w:p>
      <w:pPr>
        <w:pStyle w:val="BodyText"/>
        <w:spacing w:line="235" w:lineRule="auto" w:before="2"/>
      </w:pPr>
      <w:r>
        <w:rPr>
          <w:color w:val="231F20"/>
        </w:rPr>
        <w:t>В целом работа ведущего восстановительных программ или медиатора с таким конфликтом не сильно отличается от обычной работы. Медиатор на примиритель- </w:t>
      </w:r>
      <w:r>
        <w:rPr>
          <w:color w:val="231F20"/>
          <w:spacing w:val="-2"/>
        </w:rPr>
        <w:t>ной встрече способствует тому, чтобы была признана несправедливость оскорблений, </w:t>
      </w:r>
      <w:r>
        <w:rPr>
          <w:color w:val="231F20"/>
        </w:rPr>
        <w:t>принесены</w:t>
      </w:r>
      <w:r>
        <w:rPr>
          <w:color w:val="231F20"/>
          <w:spacing w:val="-2"/>
        </w:rPr>
        <w:t> </w:t>
      </w:r>
      <w:r>
        <w:rPr>
          <w:color w:val="231F20"/>
        </w:rPr>
        <w:t>извинения</w:t>
      </w:r>
      <w:r>
        <w:rPr>
          <w:color w:val="231F20"/>
          <w:spacing w:val="-2"/>
        </w:rPr>
        <w:t> </w:t>
      </w:r>
      <w:r>
        <w:rPr>
          <w:color w:val="231F20"/>
        </w:rPr>
        <w:t>(может</w:t>
      </w:r>
      <w:r>
        <w:rPr>
          <w:color w:val="231F20"/>
          <w:spacing w:val="-2"/>
        </w:rPr>
        <w:t> </w:t>
      </w:r>
      <w:r>
        <w:rPr>
          <w:color w:val="231F20"/>
        </w:rPr>
        <w:t>быть,</w:t>
      </w:r>
      <w:r>
        <w:rPr>
          <w:color w:val="231F20"/>
          <w:spacing w:val="-2"/>
        </w:rPr>
        <w:t> </w:t>
      </w:r>
      <w:r>
        <w:rPr>
          <w:color w:val="231F20"/>
        </w:rPr>
        <w:t>и</w:t>
      </w:r>
      <w:r>
        <w:rPr>
          <w:color w:val="231F20"/>
          <w:spacing w:val="-2"/>
        </w:rPr>
        <w:t> </w:t>
      </w:r>
      <w:r>
        <w:rPr>
          <w:color w:val="231F20"/>
        </w:rPr>
        <w:t>взаимные)</w:t>
      </w:r>
      <w:r>
        <w:rPr>
          <w:color w:val="231F20"/>
          <w:spacing w:val="-2"/>
        </w:rPr>
        <w:t> </w:t>
      </w:r>
      <w:r>
        <w:rPr>
          <w:color w:val="231F20"/>
        </w:rPr>
        <w:t>и</w:t>
      </w:r>
      <w:r>
        <w:rPr>
          <w:color w:val="231F20"/>
          <w:spacing w:val="-2"/>
        </w:rPr>
        <w:t> </w:t>
      </w:r>
      <w:r>
        <w:rPr>
          <w:color w:val="231F20"/>
        </w:rPr>
        <w:t>стороны</w:t>
      </w:r>
      <w:r>
        <w:rPr>
          <w:color w:val="231F20"/>
          <w:spacing w:val="-2"/>
        </w:rPr>
        <w:t> </w:t>
      </w:r>
      <w:r>
        <w:rPr>
          <w:color w:val="231F20"/>
        </w:rPr>
        <w:t>признали</w:t>
      </w:r>
      <w:r>
        <w:rPr>
          <w:color w:val="231F20"/>
          <w:spacing w:val="-2"/>
        </w:rPr>
        <w:t> </w:t>
      </w:r>
      <w:r>
        <w:rPr>
          <w:color w:val="231F20"/>
        </w:rPr>
        <w:t>на</w:t>
      </w:r>
      <w:r>
        <w:rPr>
          <w:color w:val="231F20"/>
          <w:spacing w:val="-2"/>
        </w:rPr>
        <w:t> </w:t>
      </w:r>
      <w:r>
        <w:rPr>
          <w:color w:val="231F20"/>
        </w:rPr>
        <w:t>встрече,</w:t>
      </w:r>
      <w:r>
        <w:rPr>
          <w:color w:val="231F20"/>
          <w:spacing w:val="-2"/>
        </w:rPr>
        <w:t> </w:t>
      </w:r>
      <w:r>
        <w:rPr>
          <w:color w:val="231F20"/>
        </w:rPr>
        <w:t>что не имеют ничего против национальности другого.</w:t>
      </w:r>
    </w:p>
    <w:p>
      <w:pPr>
        <w:pStyle w:val="BodyText"/>
        <w:spacing w:line="235" w:lineRule="auto" w:before="3"/>
      </w:pPr>
      <w:r>
        <w:rPr>
          <w:b/>
          <w:i/>
          <w:color w:val="231F20"/>
        </w:rPr>
        <w:t>Второй уровень. </w:t>
      </w:r>
      <w:r>
        <w:rPr>
          <w:color w:val="231F20"/>
        </w:rPr>
        <w:t>Участник конфликта чувствует себя пострадавшим от преды- дущих столкновений (реальных или мнимых) с другой национальной группой и по- тому считает себя вправе «дать отпор» не только за конкретный конфликт, но и за предыдущие страдания. В этом случае он чувствует себя выразителем мнения своей этнической</w:t>
      </w:r>
      <w:r>
        <w:rPr>
          <w:color w:val="231F20"/>
          <w:spacing w:val="-12"/>
        </w:rPr>
        <w:t> </w:t>
      </w:r>
      <w:r>
        <w:rPr>
          <w:color w:val="231F20"/>
        </w:rPr>
        <w:t>группы,</w:t>
      </w:r>
      <w:r>
        <w:rPr>
          <w:color w:val="231F20"/>
          <w:spacing w:val="-12"/>
        </w:rPr>
        <w:t> </w:t>
      </w:r>
      <w:r>
        <w:rPr>
          <w:color w:val="231F20"/>
        </w:rPr>
        <w:t>ее</w:t>
      </w:r>
      <w:r>
        <w:rPr>
          <w:color w:val="231F20"/>
          <w:spacing w:val="-12"/>
        </w:rPr>
        <w:t> </w:t>
      </w:r>
      <w:r>
        <w:rPr>
          <w:color w:val="231F20"/>
        </w:rPr>
        <w:t>представителем</w:t>
      </w:r>
      <w:r>
        <w:rPr>
          <w:color w:val="231F20"/>
          <w:spacing w:val="-12"/>
        </w:rPr>
        <w:t> </w:t>
      </w:r>
      <w:r>
        <w:rPr>
          <w:color w:val="231F20"/>
        </w:rPr>
        <w:t>и</w:t>
      </w:r>
      <w:r>
        <w:rPr>
          <w:color w:val="231F20"/>
          <w:spacing w:val="-12"/>
        </w:rPr>
        <w:t> </w:t>
      </w:r>
      <w:r>
        <w:rPr>
          <w:color w:val="231F20"/>
        </w:rPr>
        <w:t>выступает</w:t>
      </w:r>
      <w:r>
        <w:rPr>
          <w:color w:val="231F20"/>
          <w:spacing w:val="-12"/>
        </w:rPr>
        <w:t> </w:t>
      </w:r>
      <w:r>
        <w:rPr>
          <w:color w:val="231F20"/>
        </w:rPr>
        <w:t>от</w:t>
      </w:r>
      <w:r>
        <w:rPr>
          <w:color w:val="231F20"/>
          <w:spacing w:val="-12"/>
        </w:rPr>
        <w:t> </w:t>
      </w:r>
      <w:r>
        <w:rPr>
          <w:color w:val="231F20"/>
        </w:rPr>
        <w:t>ее</w:t>
      </w:r>
      <w:r>
        <w:rPr>
          <w:color w:val="231F20"/>
          <w:spacing w:val="-12"/>
        </w:rPr>
        <w:t> </w:t>
      </w:r>
      <w:r>
        <w:rPr>
          <w:color w:val="231F20"/>
        </w:rPr>
        <w:t>лица</w:t>
      </w:r>
      <w:r>
        <w:rPr>
          <w:color w:val="231F20"/>
          <w:spacing w:val="-12"/>
        </w:rPr>
        <w:t> </w:t>
      </w:r>
      <w:r>
        <w:rPr>
          <w:color w:val="231F20"/>
        </w:rPr>
        <w:t>против</w:t>
      </w:r>
      <w:r>
        <w:rPr>
          <w:color w:val="231F20"/>
          <w:spacing w:val="-12"/>
        </w:rPr>
        <w:t> </w:t>
      </w:r>
      <w:r>
        <w:rPr>
          <w:color w:val="231F20"/>
        </w:rPr>
        <w:t>другой</w:t>
      </w:r>
      <w:r>
        <w:rPr>
          <w:color w:val="231F20"/>
          <w:spacing w:val="-12"/>
        </w:rPr>
        <w:t> </w:t>
      </w:r>
      <w:r>
        <w:rPr>
          <w:color w:val="231F20"/>
        </w:rPr>
        <w:t>группы, чьего представителя он видит в своем противнике.</w:t>
      </w:r>
    </w:p>
    <w:p>
      <w:pPr>
        <w:pStyle w:val="BodyText"/>
        <w:spacing w:line="235" w:lineRule="auto" w:before="4"/>
        <w:ind w:left="425" w:hanging="284"/>
      </w:pPr>
      <w:r>
        <w:rPr>
          <w:b/>
          <w:color w:val="231F20"/>
        </w:rPr>
        <w:t>А) </w:t>
      </w:r>
      <w:r>
        <w:rPr>
          <w:color w:val="231F20"/>
        </w:rPr>
        <w:t>Усилия</w:t>
      </w:r>
      <w:r>
        <w:rPr>
          <w:color w:val="231F20"/>
          <w:spacing w:val="-5"/>
        </w:rPr>
        <w:t> </w:t>
      </w:r>
      <w:r>
        <w:rPr>
          <w:color w:val="231F20"/>
        </w:rPr>
        <w:t>медиатора</w:t>
      </w:r>
      <w:r>
        <w:rPr>
          <w:color w:val="231F20"/>
          <w:spacing w:val="-5"/>
        </w:rPr>
        <w:t> </w:t>
      </w:r>
      <w:r>
        <w:rPr>
          <w:color w:val="231F20"/>
        </w:rPr>
        <w:t>могут</w:t>
      </w:r>
      <w:r>
        <w:rPr>
          <w:color w:val="231F20"/>
          <w:spacing w:val="-5"/>
        </w:rPr>
        <w:t> </w:t>
      </w:r>
      <w:r>
        <w:rPr>
          <w:color w:val="231F20"/>
        </w:rPr>
        <w:t>быть</w:t>
      </w:r>
      <w:r>
        <w:rPr>
          <w:color w:val="231F20"/>
          <w:spacing w:val="-5"/>
        </w:rPr>
        <w:t> </w:t>
      </w:r>
      <w:r>
        <w:rPr>
          <w:color w:val="231F20"/>
        </w:rPr>
        <w:t>направлены</w:t>
      </w:r>
      <w:r>
        <w:rPr>
          <w:color w:val="231F20"/>
          <w:spacing w:val="-5"/>
        </w:rPr>
        <w:t> </w:t>
      </w:r>
      <w:r>
        <w:rPr>
          <w:color w:val="231F20"/>
        </w:rPr>
        <w:t>на</w:t>
      </w:r>
      <w:r>
        <w:rPr>
          <w:color w:val="231F20"/>
          <w:spacing w:val="-5"/>
        </w:rPr>
        <w:t> </w:t>
      </w:r>
      <w:r>
        <w:rPr>
          <w:color w:val="231F20"/>
        </w:rPr>
        <w:t>«отслаивание»</w:t>
      </w:r>
      <w:r>
        <w:rPr>
          <w:color w:val="231F20"/>
          <w:spacing w:val="-5"/>
        </w:rPr>
        <w:t> </w:t>
      </w:r>
      <w:r>
        <w:rPr>
          <w:color w:val="231F20"/>
        </w:rPr>
        <w:t>позиции</w:t>
      </w:r>
      <w:r>
        <w:rPr>
          <w:color w:val="231F20"/>
          <w:spacing w:val="-5"/>
        </w:rPr>
        <w:t> </w:t>
      </w:r>
      <w:r>
        <w:rPr>
          <w:color w:val="231F20"/>
        </w:rPr>
        <w:t>участников от</w:t>
      </w:r>
      <w:r>
        <w:rPr>
          <w:color w:val="231F20"/>
          <w:spacing w:val="-3"/>
        </w:rPr>
        <w:t> </w:t>
      </w:r>
      <w:r>
        <w:rPr>
          <w:color w:val="231F20"/>
        </w:rPr>
        <w:t>мнения</w:t>
      </w:r>
      <w:r>
        <w:rPr>
          <w:color w:val="231F20"/>
          <w:spacing w:val="-3"/>
        </w:rPr>
        <w:t> </w:t>
      </w:r>
      <w:r>
        <w:rPr>
          <w:color w:val="231F20"/>
        </w:rPr>
        <w:t>их</w:t>
      </w:r>
      <w:r>
        <w:rPr>
          <w:color w:val="231F20"/>
          <w:spacing w:val="-3"/>
        </w:rPr>
        <w:t> </w:t>
      </w:r>
      <w:r>
        <w:rPr>
          <w:color w:val="231F20"/>
        </w:rPr>
        <w:t>референтной</w:t>
      </w:r>
      <w:r>
        <w:rPr>
          <w:color w:val="231F20"/>
          <w:spacing w:val="-3"/>
        </w:rPr>
        <w:t> </w:t>
      </w:r>
      <w:r>
        <w:rPr>
          <w:color w:val="231F20"/>
        </w:rPr>
        <w:t>группы,</w:t>
      </w:r>
      <w:r>
        <w:rPr>
          <w:color w:val="231F20"/>
          <w:spacing w:val="-3"/>
        </w:rPr>
        <w:t> </w:t>
      </w:r>
      <w:r>
        <w:rPr>
          <w:color w:val="231F20"/>
        </w:rPr>
        <w:t>с</w:t>
      </w:r>
      <w:r>
        <w:rPr>
          <w:color w:val="231F20"/>
          <w:spacing w:val="-3"/>
        </w:rPr>
        <w:t> </w:t>
      </w:r>
      <w:r>
        <w:rPr>
          <w:color w:val="231F20"/>
        </w:rPr>
        <w:t>тем</w:t>
      </w:r>
      <w:r>
        <w:rPr>
          <w:color w:val="231F20"/>
          <w:spacing w:val="-3"/>
        </w:rPr>
        <w:t> </w:t>
      </w:r>
      <w:r>
        <w:rPr>
          <w:color w:val="231F20"/>
        </w:rPr>
        <w:t>чтобы</w:t>
      </w:r>
      <w:r>
        <w:rPr>
          <w:color w:val="231F20"/>
          <w:spacing w:val="-4"/>
        </w:rPr>
        <w:t> </w:t>
      </w:r>
      <w:r>
        <w:rPr>
          <w:color w:val="231F20"/>
        </w:rPr>
        <w:t>ограничиться</w:t>
      </w:r>
      <w:r>
        <w:rPr>
          <w:color w:val="231F20"/>
          <w:spacing w:val="-3"/>
        </w:rPr>
        <w:t> </w:t>
      </w:r>
      <w:r>
        <w:rPr>
          <w:color w:val="231F20"/>
        </w:rPr>
        <w:t>обсуждением</w:t>
      </w:r>
      <w:r>
        <w:rPr>
          <w:color w:val="231F20"/>
          <w:spacing w:val="-4"/>
        </w:rPr>
        <w:t> </w:t>
      </w:r>
      <w:r>
        <w:rPr>
          <w:color w:val="231F20"/>
        </w:rPr>
        <w:t>толь- ко их конфликта.</w:t>
      </w:r>
    </w:p>
    <w:p>
      <w:pPr>
        <w:pStyle w:val="BodyText"/>
        <w:spacing w:line="235" w:lineRule="auto" w:before="2"/>
        <w:ind w:left="425" w:hanging="284"/>
      </w:pPr>
      <w:r>
        <w:rPr>
          <w:b/>
          <w:color w:val="231F20"/>
        </w:rPr>
        <w:t>Б)</w:t>
      </w:r>
      <w:r>
        <w:rPr>
          <w:b/>
          <w:color w:val="231F20"/>
          <w:spacing w:val="29"/>
        </w:rPr>
        <w:t> </w:t>
      </w:r>
      <w:r>
        <w:rPr>
          <w:color w:val="231F20"/>
        </w:rPr>
        <w:t>Если</w:t>
      </w:r>
      <w:r>
        <w:rPr>
          <w:color w:val="231F20"/>
          <w:spacing w:val="-1"/>
        </w:rPr>
        <w:t> </w:t>
      </w:r>
      <w:r>
        <w:rPr>
          <w:color w:val="231F20"/>
        </w:rPr>
        <w:t>же</w:t>
      </w:r>
      <w:r>
        <w:rPr>
          <w:color w:val="231F20"/>
          <w:spacing w:val="-1"/>
        </w:rPr>
        <w:t> </w:t>
      </w:r>
      <w:r>
        <w:rPr>
          <w:color w:val="231F20"/>
        </w:rPr>
        <w:t>этническая</w:t>
      </w:r>
      <w:r>
        <w:rPr>
          <w:color w:val="231F20"/>
          <w:spacing w:val="-1"/>
        </w:rPr>
        <w:t> </w:t>
      </w:r>
      <w:r>
        <w:rPr>
          <w:color w:val="231F20"/>
        </w:rPr>
        <w:t>идентичность</w:t>
      </w:r>
      <w:r>
        <w:rPr>
          <w:color w:val="231F20"/>
          <w:spacing w:val="-1"/>
        </w:rPr>
        <w:t> </w:t>
      </w:r>
      <w:r>
        <w:rPr>
          <w:color w:val="231F20"/>
        </w:rPr>
        <w:t>сильно</w:t>
      </w:r>
      <w:r>
        <w:rPr>
          <w:color w:val="231F20"/>
          <w:spacing w:val="-1"/>
        </w:rPr>
        <w:t> </w:t>
      </w:r>
      <w:r>
        <w:rPr>
          <w:color w:val="231F20"/>
        </w:rPr>
        <w:t>влияет</w:t>
      </w:r>
      <w:r>
        <w:rPr>
          <w:color w:val="231F20"/>
          <w:spacing w:val="-1"/>
        </w:rPr>
        <w:t> </w:t>
      </w:r>
      <w:r>
        <w:rPr>
          <w:color w:val="231F20"/>
        </w:rPr>
        <w:t>на</w:t>
      </w:r>
      <w:r>
        <w:rPr>
          <w:color w:val="231F20"/>
          <w:spacing w:val="-1"/>
        </w:rPr>
        <w:t> </w:t>
      </w:r>
      <w:r>
        <w:rPr>
          <w:color w:val="231F20"/>
        </w:rPr>
        <w:t>конфликт</w:t>
      </w:r>
      <w:r>
        <w:rPr>
          <w:color w:val="231F20"/>
          <w:spacing w:val="-1"/>
        </w:rPr>
        <w:t> </w:t>
      </w:r>
      <w:r>
        <w:rPr>
          <w:color w:val="231F20"/>
        </w:rPr>
        <w:t>и</w:t>
      </w:r>
      <w:r>
        <w:rPr>
          <w:color w:val="231F20"/>
          <w:spacing w:val="-1"/>
        </w:rPr>
        <w:t> </w:t>
      </w:r>
      <w:r>
        <w:rPr>
          <w:color w:val="231F20"/>
        </w:rPr>
        <w:t>принятые</w:t>
      </w:r>
      <w:r>
        <w:rPr>
          <w:color w:val="231F20"/>
          <w:spacing w:val="-1"/>
        </w:rPr>
        <w:t> </w:t>
      </w:r>
      <w:r>
        <w:rPr>
          <w:color w:val="231F20"/>
        </w:rPr>
        <w:t>нацио- нальные</w:t>
      </w:r>
      <w:r>
        <w:rPr>
          <w:color w:val="231F20"/>
          <w:spacing w:val="-9"/>
        </w:rPr>
        <w:t> </w:t>
      </w:r>
      <w:r>
        <w:rPr>
          <w:color w:val="231F20"/>
        </w:rPr>
        <w:t>традиции</w:t>
      </w:r>
      <w:r>
        <w:rPr>
          <w:color w:val="231F20"/>
          <w:spacing w:val="-9"/>
        </w:rPr>
        <w:t> </w:t>
      </w:r>
      <w:r>
        <w:rPr>
          <w:color w:val="231F20"/>
        </w:rPr>
        <w:t>начинают</w:t>
      </w:r>
      <w:r>
        <w:rPr>
          <w:color w:val="231F20"/>
          <w:spacing w:val="-9"/>
        </w:rPr>
        <w:t> </w:t>
      </w:r>
      <w:r>
        <w:rPr>
          <w:color w:val="231F20"/>
        </w:rPr>
        <w:t>определять</w:t>
      </w:r>
      <w:r>
        <w:rPr>
          <w:color w:val="231F20"/>
          <w:spacing w:val="-9"/>
        </w:rPr>
        <w:t> </w:t>
      </w:r>
      <w:r>
        <w:rPr>
          <w:color w:val="231F20"/>
        </w:rPr>
        <w:t>способы</w:t>
      </w:r>
      <w:r>
        <w:rPr>
          <w:color w:val="231F20"/>
          <w:spacing w:val="-9"/>
        </w:rPr>
        <w:t> </w:t>
      </w:r>
      <w:r>
        <w:rPr>
          <w:color w:val="231F20"/>
        </w:rPr>
        <w:t>реагирования,</w:t>
      </w:r>
      <w:r>
        <w:rPr>
          <w:color w:val="231F20"/>
          <w:spacing w:val="-9"/>
        </w:rPr>
        <w:t> </w:t>
      </w:r>
      <w:r>
        <w:rPr>
          <w:color w:val="231F20"/>
        </w:rPr>
        <w:t>то</w:t>
      </w:r>
      <w:r>
        <w:rPr>
          <w:color w:val="231F20"/>
          <w:spacing w:val="-9"/>
        </w:rPr>
        <w:t> </w:t>
      </w:r>
      <w:r>
        <w:rPr>
          <w:color w:val="231F20"/>
        </w:rPr>
        <w:t>с</w:t>
      </w:r>
      <w:r>
        <w:rPr>
          <w:color w:val="231F20"/>
          <w:spacing w:val="-9"/>
        </w:rPr>
        <w:t> </w:t>
      </w:r>
      <w:r>
        <w:rPr>
          <w:color w:val="231F20"/>
        </w:rPr>
        <w:t>участниками (по</w:t>
      </w:r>
      <w:r>
        <w:rPr>
          <w:color w:val="231F20"/>
          <w:spacing w:val="-7"/>
        </w:rPr>
        <w:t> </w:t>
      </w:r>
      <w:r>
        <w:rPr>
          <w:color w:val="231F20"/>
        </w:rPr>
        <w:t>отдельности)</w:t>
      </w:r>
      <w:r>
        <w:rPr>
          <w:color w:val="231F20"/>
          <w:spacing w:val="-7"/>
        </w:rPr>
        <w:t> </w:t>
      </w:r>
      <w:r>
        <w:rPr>
          <w:color w:val="231F20"/>
        </w:rPr>
        <w:t>можно</w:t>
      </w:r>
      <w:r>
        <w:rPr>
          <w:color w:val="231F20"/>
          <w:spacing w:val="-7"/>
        </w:rPr>
        <w:t> </w:t>
      </w:r>
      <w:r>
        <w:rPr>
          <w:color w:val="231F20"/>
        </w:rPr>
        <w:t>обсудить,</w:t>
      </w:r>
      <w:r>
        <w:rPr>
          <w:color w:val="231F20"/>
          <w:spacing w:val="-7"/>
        </w:rPr>
        <w:t> </w:t>
      </w:r>
      <w:r>
        <w:rPr>
          <w:color w:val="231F20"/>
        </w:rPr>
        <w:t>какие</w:t>
      </w:r>
      <w:r>
        <w:rPr>
          <w:color w:val="231F20"/>
          <w:spacing w:val="-7"/>
        </w:rPr>
        <w:t> </w:t>
      </w:r>
      <w:r>
        <w:rPr>
          <w:color w:val="231F20"/>
        </w:rPr>
        <w:t>традиции</w:t>
      </w:r>
      <w:r>
        <w:rPr>
          <w:color w:val="231F20"/>
          <w:spacing w:val="-7"/>
        </w:rPr>
        <w:t> </w:t>
      </w:r>
      <w:r>
        <w:rPr>
          <w:color w:val="231F20"/>
        </w:rPr>
        <w:t>их</w:t>
      </w:r>
      <w:r>
        <w:rPr>
          <w:color w:val="231F20"/>
          <w:spacing w:val="-7"/>
        </w:rPr>
        <w:t> </w:t>
      </w:r>
      <w:r>
        <w:rPr>
          <w:color w:val="231F20"/>
        </w:rPr>
        <w:t>народов</w:t>
      </w:r>
      <w:r>
        <w:rPr>
          <w:color w:val="231F20"/>
          <w:spacing w:val="-7"/>
        </w:rPr>
        <w:t> </w:t>
      </w:r>
      <w:r>
        <w:rPr>
          <w:color w:val="231F20"/>
        </w:rPr>
        <w:t>способствуют</w:t>
      </w:r>
      <w:r>
        <w:rPr>
          <w:color w:val="231F20"/>
          <w:spacing w:val="-7"/>
        </w:rPr>
        <w:t> </w:t>
      </w:r>
      <w:r>
        <w:rPr>
          <w:color w:val="231F20"/>
        </w:rPr>
        <w:t>при- мирению.</w:t>
      </w:r>
      <w:r>
        <w:rPr>
          <w:color w:val="231F20"/>
          <w:spacing w:val="-13"/>
        </w:rPr>
        <w:t> </w:t>
      </w:r>
      <w:r>
        <w:rPr>
          <w:color w:val="231F20"/>
        </w:rPr>
        <w:t>Например,</w:t>
      </w:r>
      <w:r>
        <w:rPr>
          <w:color w:val="231F20"/>
          <w:spacing w:val="-12"/>
        </w:rPr>
        <w:t> </w:t>
      </w:r>
      <w:r>
        <w:rPr>
          <w:color w:val="231F20"/>
        </w:rPr>
        <w:t>у</w:t>
      </w:r>
      <w:r>
        <w:rPr>
          <w:color w:val="231F20"/>
          <w:spacing w:val="-13"/>
        </w:rPr>
        <w:t> </w:t>
      </w:r>
      <w:r>
        <w:rPr>
          <w:color w:val="231F20"/>
        </w:rPr>
        <w:t>нардов</w:t>
      </w:r>
      <w:r>
        <w:rPr>
          <w:color w:val="231F20"/>
          <w:spacing w:val="-12"/>
        </w:rPr>
        <w:t> </w:t>
      </w:r>
      <w:r>
        <w:rPr>
          <w:color w:val="231F20"/>
        </w:rPr>
        <w:t>Кавказа</w:t>
      </w:r>
      <w:r>
        <w:rPr>
          <w:color w:val="231F20"/>
          <w:spacing w:val="-13"/>
        </w:rPr>
        <w:t> </w:t>
      </w:r>
      <w:r>
        <w:rPr>
          <w:color w:val="231F20"/>
        </w:rPr>
        <w:t>до</w:t>
      </w:r>
      <w:r>
        <w:rPr>
          <w:color w:val="231F20"/>
          <w:spacing w:val="-12"/>
        </w:rPr>
        <w:t> </w:t>
      </w:r>
      <w:r>
        <w:rPr>
          <w:color w:val="231F20"/>
        </w:rPr>
        <w:t>сих</w:t>
      </w:r>
      <w:r>
        <w:rPr>
          <w:color w:val="231F20"/>
          <w:spacing w:val="-13"/>
        </w:rPr>
        <w:t> </w:t>
      </w:r>
      <w:r>
        <w:rPr>
          <w:color w:val="231F20"/>
        </w:rPr>
        <w:t>пор</w:t>
      </w:r>
      <w:r>
        <w:rPr>
          <w:color w:val="231F20"/>
          <w:spacing w:val="-12"/>
        </w:rPr>
        <w:t> </w:t>
      </w:r>
      <w:r>
        <w:rPr>
          <w:color w:val="231F20"/>
        </w:rPr>
        <w:t>развита</w:t>
      </w:r>
      <w:r>
        <w:rPr>
          <w:color w:val="231F20"/>
          <w:spacing w:val="-13"/>
        </w:rPr>
        <w:t> </w:t>
      </w:r>
      <w:r>
        <w:rPr>
          <w:color w:val="231F20"/>
        </w:rPr>
        <w:t>традиция</w:t>
      </w:r>
      <w:r>
        <w:rPr>
          <w:color w:val="231F20"/>
          <w:spacing w:val="-12"/>
        </w:rPr>
        <w:t> </w:t>
      </w:r>
      <w:r>
        <w:rPr>
          <w:color w:val="231F20"/>
        </w:rPr>
        <w:t>маслаата</w:t>
      </w:r>
      <w:r>
        <w:rPr>
          <w:color w:val="231F20"/>
          <w:spacing w:val="-13"/>
        </w:rPr>
        <w:t> </w:t>
      </w:r>
      <w:r>
        <w:rPr>
          <w:color w:val="231F20"/>
        </w:rPr>
        <w:t>(мас- лихата), то есть примирение с помощью старейшин. Обычно опытный ведущий восстановительных</w:t>
      </w:r>
      <w:r>
        <w:rPr>
          <w:color w:val="231F20"/>
          <w:spacing w:val="-1"/>
        </w:rPr>
        <w:t> </w:t>
      </w:r>
      <w:r>
        <w:rPr>
          <w:color w:val="231F20"/>
        </w:rPr>
        <w:t>программ</w:t>
      </w:r>
      <w:r>
        <w:rPr>
          <w:color w:val="231F20"/>
          <w:spacing w:val="-1"/>
        </w:rPr>
        <w:t> </w:t>
      </w:r>
      <w:r>
        <w:rPr>
          <w:color w:val="231F20"/>
        </w:rPr>
        <w:t>знает</w:t>
      </w:r>
      <w:r>
        <w:rPr>
          <w:color w:val="231F20"/>
          <w:spacing w:val="-1"/>
        </w:rPr>
        <w:t> </w:t>
      </w:r>
      <w:r>
        <w:rPr>
          <w:color w:val="231F20"/>
        </w:rPr>
        <w:t>традиции</w:t>
      </w:r>
      <w:r>
        <w:rPr>
          <w:color w:val="231F20"/>
          <w:spacing w:val="-1"/>
        </w:rPr>
        <w:t> </w:t>
      </w:r>
      <w:r>
        <w:rPr>
          <w:color w:val="231F20"/>
        </w:rPr>
        <w:t>и</w:t>
      </w:r>
      <w:r>
        <w:rPr>
          <w:color w:val="231F20"/>
          <w:spacing w:val="-1"/>
        </w:rPr>
        <w:t> </w:t>
      </w:r>
      <w:r>
        <w:rPr>
          <w:color w:val="231F20"/>
        </w:rPr>
        <w:t>может</w:t>
      </w:r>
      <w:r>
        <w:rPr>
          <w:color w:val="231F20"/>
          <w:spacing w:val="-1"/>
        </w:rPr>
        <w:t> </w:t>
      </w:r>
      <w:r>
        <w:rPr>
          <w:color w:val="231F20"/>
        </w:rPr>
        <w:t>на</w:t>
      </w:r>
      <w:r>
        <w:rPr>
          <w:color w:val="231F20"/>
          <w:spacing w:val="-1"/>
        </w:rPr>
        <w:t> </w:t>
      </w:r>
      <w:r>
        <w:rPr>
          <w:color w:val="231F20"/>
        </w:rPr>
        <w:t>них</w:t>
      </w:r>
      <w:r>
        <w:rPr>
          <w:color w:val="231F20"/>
          <w:spacing w:val="-1"/>
        </w:rPr>
        <w:t> </w:t>
      </w:r>
      <w:r>
        <w:rPr>
          <w:color w:val="231F20"/>
        </w:rPr>
        <w:t>сослаться.</w:t>
      </w:r>
      <w:r>
        <w:rPr>
          <w:color w:val="231F20"/>
          <w:spacing w:val="-1"/>
        </w:rPr>
        <w:t> </w:t>
      </w:r>
      <w:r>
        <w:rPr>
          <w:color w:val="231F20"/>
        </w:rPr>
        <w:t>Подроб- нее</w:t>
      </w:r>
      <w:r>
        <w:rPr>
          <w:color w:val="231F20"/>
          <w:spacing w:val="-13"/>
        </w:rPr>
        <w:t> </w:t>
      </w:r>
      <w:r>
        <w:rPr>
          <w:color w:val="231F20"/>
        </w:rPr>
        <w:t>о</w:t>
      </w:r>
      <w:r>
        <w:rPr>
          <w:color w:val="231F20"/>
          <w:spacing w:val="-12"/>
        </w:rPr>
        <w:t> </w:t>
      </w:r>
      <w:r>
        <w:rPr>
          <w:color w:val="231F20"/>
        </w:rPr>
        <w:t>традициях</w:t>
      </w:r>
      <w:r>
        <w:rPr>
          <w:color w:val="231F20"/>
          <w:spacing w:val="-13"/>
        </w:rPr>
        <w:t> </w:t>
      </w:r>
      <w:r>
        <w:rPr>
          <w:color w:val="231F20"/>
        </w:rPr>
        <w:t>примирения</w:t>
      </w:r>
      <w:r>
        <w:rPr>
          <w:color w:val="231F20"/>
          <w:spacing w:val="-12"/>
        </w:rPr>
        <w:t> </w:t>
      </w:r>
      <w:r>
        <w:rPr>
          <w:color w:val="231F20"/>
        </w:rPr>
        <w:t>можно</w:t>
      </w:r>
      <w:r>
        <w:rPr>
          <w:color w:val="231F20"/>
          <w:spacing w:val="-13"/>
        </w:rPr>
        <w:t> </w:t>
      </w:r>
      <w:r>
        <w:rPr>
          <w:color w:val="231F20"/>
        </w:rPr>
        <w:t>посмотреть</w:t>
      </w:r>
      <w:r>
        <w:rPr>
          <w:color w:val="231F20"/>
          <w:spacing w:val="-12"/>
        </w:rPr>
        <w:t> </w:t>
      </w:r>
      <w:r>
        <w:rPr>
          <w:color w:val="231F20"/>
        </w:rPr>
        <w:t>на</w:t>
      </w:r>
      <w:r>
        <w:rPr>
          <w:color w:val="231F20"/>
          <w:spacing w:val="-13"/>
        </w:rPr>
        <w:t> </w:t>
      </w:r>
      <w:r>
        <w:rPr>
          <w:color w:val="231F20"/>
        </w:rPr>
        <w:t>сайте</w:t>
      </w:r>
      <w:r>
        <w:rPr>
          <w:color w:val="231F20"/>
          <w:spacing w:val="-12"/>
        </w:rPr>
        <w:t> </w:t>
      </w:r>
      <w:r>
        <w:rPr>
          <w:color w:val="231F20"/>
        </w:rPr>
        <w:t>служб</w:t>
      </w:r>
      <w:r>
        <w:rPr>
          <w:color w:val="231F20"/>
          <w:spacing w:val="-13"/>
        </w:rPr>
        <w:t> </w:t>
      </w:r>
      <w:r>
        <w:rPr>
          <w:color w:val="231F20"/>
        </w:rPr>
        <w:t>примирения</w:t>
      </w:r>
      <w:r>
        <w:rPr>
          <w:color w:val="231F20"/>
          <w:spacing w:val="-12"/>
        </w:rPr>
        <w:t> </w:t>
      </w:r>
      <w:r>
        <w:rPr>
          <w:color w:val="231F20"/>
        </w:rPr>
        <w:t>здесь: </w:t>
      </w:r>
      <w:hyperlink r:id="rId152">
        <w:r>
          <w:rPr>
            <w:color w:val="2255A6"/>
            <w:spacing w:val="-2"/>
            <w:u w:val="single" w:color="2255A6"/>
          </w:rPr>
          <w:t>http://www.8-926-145-87-01.ru/метод/традиции-примирения</w:t>
        </w:r>
      </w:hyperlink>
      <w:r>
        <w:rPr>
          <w:color w:val="231F20"/>
          <w:spacing w:val="-2"/>
        </w:rPr>
        <w:t>.</w:t>
      </w:r>
    </w:p>
    <w:p>
      <w:pPr>
        <w:pStyle w:val="BodyText"/>
        <w:spacing w:line="235" w:lineRule="auto" w:before="5"/>
      </w:pPr>
      <w:r>
        <w:rPr>
          <w:b/>
          <w:i/>
          <w:color w:val="231F20"/>
        </w:rPr>
        <w:t>Третий уровень. </w:t>
      </w:r>
      <w:r>
        <w:rPr>
          <w:color w:val="231F20"/>
        </w:rPr>
        <w:t>Участники конфликта (один или несколько) являются членами </w:t>
      </w:r>
      <w:r>
        <w:rPr>
          <w:color w:val="231F20"/>
          <w:spacing w:val="-2"/>
        </w:rPr>
        <w:t>групп,</w:t>
      </w:r>
      <w:r>
        <w:rPr>
          <w:color w:val="231F20"/>
          <w:spacing w:val="-8"/>
        </w:rPr>
        <w:t> </w:t>
      </w:r>
      <w:r>
        <w:rPr>
          <w:color w:val="231F20"/>
          <w:spacing w:val="-2"/>
        </w:rPr>
        <w:t>в</w:t>
      </w:r>
      <w:r>
        <w:rPr>
          <w:color w:val="231F20"/>
          <w:spacing w:val="-8"/>
        </w:rPr>
        <w:t> </w:t>
      </w:r>
      <w:r>
        <w:rPr>
          <w:color w:val="231F20"/>
          <w:spacing w:val="-2"/>
        </w:rPr>
        <w:t>которых</w:t>
      </w:r>
      <w:r>
        <w:rPr>
          <w:color w:val="231F20"/>
          <w:spacing w:val="-8"/>
        </w:rPr>
        <w:t> </w:t>
      </w:r>
      <w:r>
        <w:rPr>
          <w:color w:val="231F20"/>
          <w:spacing w:val="-2"/>
        </w:rPr>
        <w:t>уже</w:t>
      </w:r>
      <w:r>
        <w:rPr>
          <w:color w:val="231F20"/>
          <w:spacing w:val="-8"/>
        </w:rPr>
        <w:t> </w:t>
      </w:r>
      <w:r>
        <w:rPr>
          <w:color w:val="231F20"/>
          <w:spacing w:val="-2"/>
        </w:rPr>
        <w:t>сформировались</w:t>
      </w:r>
      <w:r>
        <w:rPr>
          <w:color w:val="231F20"/>
          <w:spacing w:val="-8"/>
        </w:rPr>
        <w:t> </w:t>
      </w:r>
      <w:r>
        <w:rPr>
          <w:color w:val="231F20"/>
          <w:spacing w:val="-2"/>
        </w:rPr>
        <w:t>определенные</w:t>
      </w:r>
      <w:r>
        <w:rPr>
          <w:color w:val="231F20"/>
          <w:spacing w:val="-8"/>
        </w:rPr>
        <w:t> </w:t>
      </w:r>
      <w:r>
        <w:rPr>
          <w:color w:val="231F20"/>
          <w:spacing w:val="-2"/>
        </w:rPr>
        <w:t>способы</w:t>
      </w:r>
      <w:r>
        <w:rPr>
          <w:color w:val="231F20"/>
          <w:spacing w:val="-8"/>
        </w:rPr>
        <w:t> </w:t>
      </w:r>
      <w:r>
        <w:rPr>
          <w:color w:val="231F20"/>
          <w:spacing w:val="-2"/>
        </w:rPr>
        <w:t>реагирования</w:t>
      </w:r>
      <w:r>
        <w:rPr>
          <w:color w:val="231F20"/>
          <w:spacing w:val="-8"/>
        </w:rPr>
        <w:t> </w:t>
      </w:r>
      <w:r>
        <w:rPr>
          <w:color w:val="231F20"/>
          <w:spacing w:val="-2"/>
        </w:rPr>
        <w:t>на</w:t>
      </w:r>
      <w:r>
        <w:rPr>
          <w:color w:val="231F20"/>
          <w:spacing w:val="-8"/>
        </w:rPr>
        <w:t> </w:t>
      </w:r>
      <w:r>
        <w:rPr>
          <w:color w:val="231F20"/>
          <w:spacing w:val="-2"/>
        </w:rPr>
        <w:t>межэт- </w:t>
      </w:r>
      <w:r>
        <w:rPr>
          <w:color w:val="231F20"/>
        </w:rPr>
        <w:t>нические конфликты (месть, «стрелки», насилие и пр.). В этом случае участник кон- фликта</w:t>
      </w:r>
      <w:r>
        <w:rPr>
          <w:color w:val="231F20"/>
          <w:spacing w:val="-11"/>
        </w:rPr>
        <w:t> </w:t>
      </w:r>
      <w:r>
        <w:rPr>
          <w:color w:val="231F20"/>
        </w:rPr>
        <w:t>не</w:t>
      </w:r>
      <w:r>
        <w:rPr>
          <w:color w:val="231F20"/>
          <w:spacing w:val="-11"/>
        </w:rPr>
        <w:t> </w:t>
      </w:r>
      <w:r>
        <w:rPr>
          <w:color w:val="231F20"/>
        </w:rPr>
        <w:t>может</w:t>
      </w:r>
      <w:r>
        <w:rPr>
          <w:color w:val="231F20"/>
          <w:spacing w:val="-11"/>
        </w:rPr>
        <w:t> </w:t>
      </w:r>
      <w:r>
        <w:rPr>
          <w:color w:val="231F20"/>
        </w:rPr>
        <w:t>принять</w:t>
      </w:r>
      <w:r>
        <w:rPr>
          <w:color w:val="231F20"/>
          <w:spacing w:val="-11"/>
        </w:rPr>
        <w:t> </w:t>
      </w:r>
      <w:r>
        <w:rPr>
          <w:color w:val="231F20"/>
        </w:rPr>
        <w:t>на</w:t>
      </w:r>
      <w:r>
        <w:rPr>
          <w:color w:val="231F20"/>
          <w:spacing w:val="-11"/>
        </w:rPr>
        <w:t> </w:t>
      </w:r>
      <w:r>
        <w:rPr>
          <w:color w:val="231F20"/>
        </w:rPr>
        <w:t>себя</w:t>
      </w:r>
      <w:r>
        <w:rPr>
          <w:color w:val="231F20"/>
          <w:spacing w:val="-11"/>
        </w:rPr>
        <w:t> </w:t>
      </w:r>
      <w:r>
        <w:rPr>
          <w:color w:val="231F20"/>
        </w:rPr>
        <w:t>ответственность,</w:t>
      </w:r>
      <w:r>
        <w:rPr>
          <w:color w:val="231F20"/>
          <w:spacing w:val="-11"/>
        </w:rPr>
        <w:t> </w:t>
      </w:r>
      <w:r>
        <w:rPr>
          <w:color w:val="231F20"/>
        </w:rPr>
        <w:t>поскольку</w:t>
      </w:r>
      <w:r>
        <w:rPr>
          <w:color w:val="231F20"/>
          <w:spacing w:val="-11"/>
        </w:rPr>
        <w:t> </w:t>
      </w:r>
      <w:r>
        <w:rPr>
          <w:color w:val="231F20"/>
        </w:rPr>
        <w:t>жестко</w:t>
      </w:r>
      <w:r>
        <w:rPr>
          <w:color w:val="231F20"/>
          <w:spacing w:val="-11"/>
        </w:rPr>
        <w:t> </w:t>
      </w:r>
      <w:r>
        <w:rPr>
          <w:color w:val="231F20"/>
        </w:rPr>
        <w:t>связан</w:t>
      </w:r>
      <w:r>
        <w:rPr>
          <w:color w:val="231F20"/>
          <w:spacing w:val="-11"/>
        </w:rPr>
        <w:t> </w:t>
      </w:r>
      <w:r>
        <w:rPr>
          <w:color w:val="231F20"/>
        </w:rPr>
        <w:t>мнением группы, предписывающей его поведение и реакцию на конфликт с представителем </w:t>
      </w:r>
      <w:r>
        <w:rPr>
          <w:color w:val="231F20"/>
          <w:spacing w:val="-2"/>
        </w:rPr>
        <w:t>другой</w:t>
      </w:r>
      <w:r>
        <w:rPr>
          <w:color w:val="231F20"/>
          <w:spacing w:val="-6"/>
        </w:rPr>
        <w:t> </w:t>
      </w:r>
      <w:r>
        <w:rPr>
          <w:color w:val="231F20"/>
          <w:spacing w:val="-2"/>
        </w:rPr>
        <w:t>национальности.</w:t>
      </w:r>
      <w:r>
        <w:rPr>
          <w:color w:val="231F20"/>
          <w:spacing w:val="-6"/>
        </w:rPr>
        <w:t> </w:t>
      </w:r>
      <w:r>
        <w:rPr>
          <w:color w:val="231F20"/>
          <w:spacing w:val="-2"/>
        </w:rPr>
        <w:t>Подросток</w:t>
      </w:r>
      <w:r>
        <w:rPr>
          <w:color w:val="231F20"/>
          <w:spacing w:val="-5"/>
        </w:rPr>
        <w:t> </w:t>
      </w:r>
      <w:r>
        <w:rPr>
          <w:color w:val="231F20"/>
          <w:spacing w:val="-2"/>
        </w:rPr>
        <w:t>не</w:t>
      </w:r>
      <w:r>
        <w:rPr>
          <w:color w:val="231F20"/>
          <w:spacing w:val="-6"/>
        </w:rPr>
        <w:t> </w:t>
      </w:r>
      <w:r>
        <w:rPr>
          <w:color w:val="231F20"/>
          <w:spacing w:val="-2"/>
        </w:rPr>
        <w:t>может</w:t>
      </w:r>
      <w:r>
        <w:rPr>
          <w:color w:val="231F20"/>
          <w:spacing w:val="-5"/>
        </w:rPr>
        <w:t> </w:t>
      </w:r>
      <w:r>
        <w:rPr>
          <w:color w:val="231F20"/>
          <w:spacing w:val="-2"/>
        </w:rPr>
        <w:t>пойти</w:t>
      </w:r>
      <w:r>
        <w:rPr>
          <w:color w:val="231F20"/>
          <w:spacing w:val="-6"/>
        </w:rPr>
        <w:t> </w:t>
      </w:r>
      <w:r>
        <w:rPr>
          <w:color w:val="231F20"/>
          <w:spacing w:val="-2"/>
        </w:rPr>
        <w:t>против</w:t>
      </w:r>
      <w:r>
        <w:rPr>
          <w:color w:val="231F20"/>
          <w:spacing w:val="-5"/>
        </w:rPr>
        <w:t> </w:t>
      </w:r>
      <w:r>
        <w:rPr>
          <w:color w:val="231F20"/>
          <w:spacing w:val="-2"/>
        </w:rPr>
        <w:t>мнения</w:t>
      </w:r>
      <w:r>
        <w:rPr>
          <w:color w:val="231F20"/>
          <w:spacing w:val="-6"/>
        </w:rPr>
        <w:t> </w:t>
      </w:r>
      <w:r>
        <w:rPr>
          <w:color w:val="231F20"/>
          <w:spacing w:val="-2"/>
        </w:rPr>
        <w:t>группы,</w:t>
      </w:r>
      <w:r>
        <w:rPr>
          <w:color w:val="231F20"/>
          <w:spacing w:val="-5"/>
        </w:rPr>
        <w:t> </w:t>
      </w:r>
      <w:r>
        <w:rPr>
          <w:color w:val="231F20"/>
          <w:spacing w:val="-2"/>
        </w:rPr>
        <w:t>поскольку</w:t>
      </w:r>
    </w:p>
    <w:p>
      <w:pPr>
        <w:pStyle w:val="BodyText"/>
        <w:spacing w:after="0" w:line="235" w:lineRule="auto"/>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firstLine="0"/>
      </w:pPr>
      <w:r>
        <w:rPr>
          <w:color w:val="231F20"/>
          <w:spacing w:val="-2"/>
        </w:rPr>
        <w:t>это</w:t>
      </w:r>
      <w:r>
        <w:rPr>
          <w:color w:val="231F20"/>
          <w:spacing w:val="-6"/>
        </w:rPr>
        <w:t> </w:t>
      </w:r>
      <w:r>
        <w:rPr>
          <w:color w:val="231F20"/>
          <w:spacing w:val="-2"/>
        </w:rPr>
        <w:t>сопряжено</w:t>
      </w:r>
      <w:r>
        <w:rPr>
          <w:color w:val="231F20"/>
          <w:spacing w:val="-6"/>
        </w:rPr>
        <w:t> </w:t>
      </w:r>
      <w:r>
        <w:rPr>
          <w:color w:val="231F20"/>
          <w:spacing w:val="-2"/>
        </w:rPr>
        <w:t>для</w:t>
      </w:r>
      <w:r>
        <w:rPr>
          <w:color w:val="231F20"/>
          <w:spacing w:val="-6"/>
        </w:rPr>
        <w:t> </w:t>
      </w:r>
      <w:r>
        <w:rPr>
          <w:color w:val="231F20"/>
          <w:spacing w:val="-2"/>
        </w:rPr>
        <w:t>него</w:t>
      </w:r>
      <w:r>
        <w:rPr>
          <w:color w:val="231F20"/>
          <w:spacing w:val="-6"/>
        </w:rPr>
        <w:t> </w:t>
      </w:r>
      <w:r>
        <w:rPr>
          <w:color w:val="231F20"/>
          <w:spacing w:val="-2"/>
        </w:rPr>
        <w:t>с</w:t>
      </w:r>
      <w:r>
        <w:rPr>
          <w:color w:val="231F20"/>
          <w:spacing w:val="-6"/>
        </w:rPr>
        <w:t> </w:t>
      </w:r>
      <w:r>
        <w:rPr>
          <w:color w:val="231F20"/>
          <w:spacing w:val="-2"/>
        </w:rPr>
        <w:t>риском</w:t>
      </w:r>
      <w:r>
        <w:rPr>
          <w:color w:val="231F20"/>
          <w:spacing w:val="-6"/>
        </w:rPr>
        <w:t> </w:t>
      </w:r>
      <w:r>
        <w:rPr>
          <w:color w:val="231F20"/>
          <w:spacing w:val="-2"/>
        </w:rPr>
        <w:t>мести</w:t>
      </w:r>
      <w:r>
        <w:rPr>
          <w:color w:val="231F20"/>
          <w:spacing w:val="-6"/>
        </w:rPr>
        <w:t> </w:t>
      </w:r>
      <w:r>
        <w:rPr>
          <w:color w:val="231F20"/>
          <w:spacing w:val="-2"/>
        </w:rPr>
        <w:t>со</w:t>
      </w:r>
      <w:r>
        <w:rPr>
          <w:color w:val="231F20"/>
          <w:spacing w:val="-6"/>
        </w:rPr>
        <w:t> </w:t>
      </w:r>
      <w:r>
        <w:rPr>
          <w:color w:val="231F20"/>
          <w:spacing w:val="-2"/>
        </w:rPr>
        <w:t>стороны</w:t>
      </w:r>
      <w:r>
        <w:rPr>
          <w:color w:val="231F20"/>
          <w:spacing w:val="-6"/>
        </w:rPr>
        <w:t> </w:t>
      </w:r>
      <w:r>
        <w:rPr>
          <w:color w:val="231F20"/>
          <w:spacing w:val="-2"/>
        </w:rPr>
        <w:t>других</w:t>
      </w:r>
      <w:r>
        <w:rPr>
          <w:color w:val="231F20"/>
          <w:spacing w:val="-6"/>
        </w:rPr>
        <w:t> </w:t>
      </w:r>
      <w:r>
        <w:rPr>
          <w:color w:val="231F20"/>
          <w:spacing w:val="-2"/>
        </w:rPr>
        <w:t>членов</w:t>
      </w:r>
      <w:r>
        <w:rPr>
          <w:color w:val="231F20"/>
          <w:spacing w:val="-6"/>
        </w:rPr>
        <w:t> </w:t>
      </w:r>
      <w:r>
        <w:rPr>
          <w:color w:val="231F20"/>
          <w:spacing w:val="-2"/>
        </w:rPr>
        <w:t>группы</w:t>
      </w:r>
      <w:r>
        <w:rPr>
          <w:color w:val="231F20"/>
          <w:spacing w:val="-6"/>
        </w:rPr>
        <w:t> </w:t>
      </w:r>
      <w:r>
        <w:rPr>
          <w:color w:val="231F20"/>
          <w:spacing w:val="-2"/>
        </w:rPr>
        <w:t>(национали- стические,</w:t>
      </w:r>
      <w:r>
        <w:rPr>
          <w:color w:val="231F20"/>
          <w:spacing w:val="-4"/>
        </w:rPr>
        <w:t> </w:t>
      </w:r>
      <w:r>
        <w:rPr>
          <w:color w:val="231F20"/>
          <w:spacing w:val="-2"/>
        </w:rPr>
        <w:t>некоторые</w:t>
      </w:r>
      <w:r>
        <w:rPr>
          <w:color w:val="231F20"/>
          <w:spacing w:val="-4"/>
        </w:rPr>
        <w:t> </w:t>
      </w:r>
      <w:r>
        <w:rPr>
          <w:color w:val="231F20"/>
          <w:spacing w:val="-2"/>
        </w:rPr>
        <w:t>религиозные</w:t>
      </w:r>
      <w:r>
        <w:rPr>
          <w:color w:val="231F20"/>
          <w:spacing w:val="-4"/>
        </w:rPr>
        <w:t> </w:t>
      </w:r>
      <w:r>
        <w:rPr>
          <w:color w:val="231F20"/>
          <w:spacing w:val="-2"/>
        </w:rPr>
        <w:t>группы</w:t>
      </w:r>
      <w:r>
        <w:rPr>
          <w:color w:val="231F20"/>
          <w:spacing w:val="-4"/>
        </w:rPr>
        <w:t> </w:t>
      </w:r>
      <w:r>
        <w:rPr>
          <w:color w:val="231F20"/>
          <w:spacing w:val="-2"/>
        </w:rPr>
        <w:t>и</w:t>
      </w:r>
      <w:r>
        <w:rPr>
          <w:color w:val="231F20"/>
          <w:spacing w:val="-4"/>
        </w:rPr>
        <w:t> </w:t>
      </w:r>
      <w:r>
        <w:rPr>
          <w:color w:val="231F20"/>
          <w:spacing w:val="-2"/>
        </w:rPr>
        <w:t>др.).</w:t>
      </w:r>
      <w:r>
        <w:rPr>
          <w:color w:val="231F20"/>
          <w:spacing w:val="-4"/>
        </w:rPr>
        <w:t> </w:t>
      </w:r>
      <w:r>
        <w:rPr>
          <w:color w:val="231F20"/>
          <w:spacing w:val="-2"/>
        </w:rPr>
        <w:t>Кроме</w:t>
      </w:r>
      <w:r>
        <w:rPr>
          <w:color w:val="231F20"/>
          <w:spacing w:val="-4"/>
        </w:rPr>
        <w:t> </w:t>
      </w:r>
      <w:r>
        <w:rPr>
          <w:color w:val="231F20"/>
          <w:spacing w:val="-2"/>
        </w:rPr>
        <w:t>того,</w:t>
      </w:r>
      <w:r>
        <w:rPr>
          <w:color w:val="231F20"/>
          <w:spacing w:val="-4"/>
        </w:rPr>
        <w:t> </w:t>
      </w:r>
      <w:r>
        <w:rPr>
          <w:color w:val="231F20"/>
          <w:spacing w:val="-2"/>
        </w:rPr>
        <w:t>в</w:t>
      </w:r>
      <w:r>
        <w:rPr>
          <w:color w:val="231F20"/>
          <w:spacing w:val="-4"/>
        </w:rPr>
        <w:t> </w:t>
      </w:r>
      <w:r>
        <w:rPr>
          <w:color w:val="231F20"/>
          <w:spacing w:val="-2"/>
        </w:rPr>
        <w:t>таких</w:t>
      </w:r>
      <w:r>
        <w:rPr>
          <w:color w:val="231F20"/>
          <w:spacing w:val="-4"/>
        </w:rPr>
        <w:t> </w:t>
      </w:r>
      <w:r>
        <w:rPr>
          <w:color w:val="231F20"/>
          <w:spacing w:val="-2"/>
        </w:rPr>
        <w:t>группах</w:t>
      </w:r>
      <w:r>
        <w:rPr>
          <w:color w:val="231F20"/>
          <w:spacing w:val="-4"/>
        </w:rPr>
        <w:t> </w:t>
      </w:r>
      <w:r>
        <w:rPr>
          <w:color w:val="231F20"/>
          <w:spacing w:val="-2"/>
        </w:rPr>
        <w:t>форми- </w:t>
      </w:r>
      <w:r>
        <w:rPr>
          <w:color w:val="231F20"/>
        </w:rPr>
        <w:t>руются искаженная картина мира и человеконенавистнические «ценности».</w:t>
      </w:r>
    </w:p>
    <w:p>
      <w:pPr>
        <w:pStyle w:val="BodyText"/>
        <w:spacing w:line="235" w:lineRule="auto" w:before="2"/>
      </w:pPr>
      <w:r>
        <w:rPr>
          <w:color w:val="231F20"/>
        </w:rPr>
        <w:t>Могут быть использованы практики нарративной медиации (см. ниже), которые направлены</w:t>
      </w:r>
      <w:r>
        <w:rPr>
          <w:color w:val="231F20"/>
          <w:spacing w:val="-12"/>
        </w:rPr>
        <w:t> </w:t>
      </w:r>
      <w:r>
        <w:rPr>
          <w:color w:val="231F20"/>
        </w:rPr>
        <w:t>на</w:t>
      </w:r>
      <w:r>
        <w:rPr>
          <w:color w:val="231F20"/>
          <w:spacing w:val="-12"/>
        </w:rPr>
        <w:t> </w:t>
      </w:r>
      <w:r>
        <w:rPr>
          <w:color w:val="231F20"/>
        </w:rPr>
        <w:t>деконструкцию</w:t>
      </w:r>
      <w:r>
        <w:rPr>
          <w:color w:val="231F20"/>
          <w:spacing w:val="-12"/>
        </w:rPr>
        <w:t> </w:t>
      </w:r>
      <w:r>
        <w:rPr>
          <w:color w:val="231F20"/>
        </w:rPr>
        <w:t>тех</w:t>
      </w:r>
      <w:r>
        <w:rPr>
          <w:color w:val="231F20"/>
          <w:spacing w:val="-12"/>
        </w:rPr>
        <w:t> </w:t>
      </w:r>
      <w:r>
        <w:rPr>
          <w:color w:val="231F20"/>
        </w:rPr>
        <w:t>или</w:t>
      </w:r>
      <w:r>
        <w:rPr>
          <w:color w:val="231F20"/>
          <w:spacing w:val="-12"/>
        </w:rPr>
        <w:t> </w:t>
      </w:r>
      <w:r>
        <w:rPr>
          <w:color w:val="231F20"/>
        </w:rPr>
        <w:t>иных</w:t>
      </w:r>
      <w:r>
        <w:rPr>
          <w:color w:val="231F20"/>
          <w:spacing w:val="-12"/>
        </w:rPr>
        <w:t> </w:t>
      </w:r>
      <w:r>
        <w:rPr>
          <w:color w:val="231F20"/>
        </w:rPr>
        <w:t>культурных</w:t>
      </w:r>
      <w:r>
        <w:rPr>
          <w:color w:val="231F20"/>
          <w:spacing w:val="-12"/>
        </w:rPr>
        <w:t> </w:t>
      </w:r>
      <w:r>
        <w:rPr>
          <w:color w:val="231F20"/>
        </w:rPr>
        <w:t>стереотипов.</w:t>
      </w:r>
      <w:r>
        <w:rPr>
          <w:color w:val="231F20"/>
          <w:spacing w:val="-12"/>
        </w:rPr>
        <w:t> </w:t>
      </w:r>
      <w:r>
        <w:rPr>
          <w:color w:val="231F20"/>
        </w:rPr>
        <w:t>Также</w:t>
      </w:r>
      <w:r>
        <w:rPr>
          <w:color w:val="231F20"/>
          <w:spacing w:val="-12"/>
        </w:rPr>
        <w:t> </w:t>
      </w:r>
      <w:r>
        <w:rPr>
          <w:color w:val="231F20"/>
        </w:rPr>
        <w:t>они</w:t>
      </w:r>
      <w:r>
        <w:rPr>
          <w:color w:val="231F20"/>
          <w:spacing w:val="-12"/>
        </w:rPr>
        <w:t> </w:t>
      </w:r>
      <w:r>
        <w:rPr>
          <w:color w:val="231F20"/>
        </w:rPr>
        <w:t>мо- гут</w:t>
      </w:r>
      <w:r>
        <w:rPr>
          <w:color w:val="231F20"/>
          <w:spacing w:val="-4"/>
        </w:rPr>
        <w:t> </w:t>
      </w:r>
      <w:r>
        <w:rPr>
          <w:color w:val="231F20"/>
        </w:rPr>
        <w:t>помочь</w:t>
      </w:r>
      <w:r>
        <w:rPr>
          <w:color w:val="231F20"/>
          <w:spacing w:val="-4"/>
        </w:rPr>
        <w:t> </w:t>
      </w:r>
      <w:r>
        <w:rPr>
          <w:color w:val="231F20"/>
        </w:rPr>
        <w:t>состояться</w:t>
      </w:r>
      <w:r>
        <w:rPr>
          <w:color w:val="231F20"/>
          <w:spacing w:val="-4"/>
        </w:rPr>
        <w:t> </w:t>
      </w:r>
      <w:r>
        <w:rPr>
          <w:color w:val="231F20"/>
        </w:rPr>
        <w:t>новой</w:t>
      </w:r>
      <w:r>
        <w:rPr>
          <w:color w:val="231F20"/>
          <w:spacing w:val="-4"/>
        </w:rPr>
        <w:t> </w:t>
      </w:r>
      <w:r>
        <w:rPr>
          <w:color w:val="231F20"/>
        </w:rPr>
        <w:t>идентичности</w:t>
      </w:r>
      <w:r>
        <w:rPr>
          <w:color w:val="231F20"/>
          <w:spacing w:val="-4"/>
        </w:rPr>
        <w:t> </w:t>
      </w:r>
      <w:r>
        <w:rPr>
          <w:color w:val="231F20"/>
        </w:rPr>
        <w:t>подростка</w:t>
      </w:r>
      <w:r>
        <w:rPr>
          <w:color w:val="231F20"/>
          <w:spacing w:val="-4"/>
        </w:rPr>
        <w:t> </w:t>
      </w:r>
      <w:r>
        <w:rPr>
          <w:color w:val="231F20"/>
        </w:rPr>
        <w:t>(с</w:t>
      </w:r>
      <w:r>
        <w:rPr>
          <w:color w:val="231F20"/>
          <w:spacing w:val="-4"/>
        </w:rPr>
        <w:t> </w:t>
      </w:r>
      <w:r>
        <w:rPr>
          <w:color w:val="231F20"/>
        </w:rPr>
        <w:t>каким</w:t>
      </w:r>
      <w:r>
        <w:rPr>
          <w:color w:val="231F20"/>
          <w:spacing w:val="-4"/>
        </w:rPr>
        <w:t> </w:t>
      </w:r>
      <w:r>
        <w:rPr>
          <w:color w:val="231F20"/>
        </w:rPr>
        <w:t>сообществом</w:t>
      </w:r>
      <w:r>
        <w:rPr>
          <w:color w:val="231F20"/>
          <w:spacing w:val="-4"/>
        </w:rPr>
        <w:t> </w:t>
      </w:r>
      <w:r>
        <w:rPr>
          <w:color w:val="231F20"/>
        </w:rPr>
        <w:t>он</w:t>
      </w:r>
      <w:r>
        <w:rPr>
          <w:color w:val="231F20"/>
          <w:spacing w:val="-4"/>
        </w:rPr>
        <w:t> </w:t>
      </w:r>
      <w:r>
        <w:rPr>
          <w:color w:val="231F20"/>
        </w:rPr>
        <w:t>себя ассоциирует, кто для него является значимой группой).</w:t>
      </w:r>
    </w:p>
    <w:p>
      <w:pPr>
        <w:pStyle w:val="BodyText"/>
        <w:spacing w:line="235" w:lineRule="auto" w:before="2"/>
      </w:pPr>
      <w:r>
        <w:rPr>
          <w:color w:val="231F20"/>
        </w:rPr>
        <w:t>Возможно, понадобится найти и привлечь значимых для подростка людей, кото- рым он доверяет, которых уважает и которые смогут с ним грамотно обсудить цен- ностные ориентиры. Часто служба примирения ищет и находит таких значимых лю- дей, которых готовы услышать такие подростки. Подчеркну, что речь идет о работе с разными устойчивыми картинами мира, и простое обесценивание картины мира подростка</w:t>
      </w:r>
      <w:r>
        <w:rPr>
          <w:color w:val="231F20"/>
          <w:spacing w:val="-8"/>
        </w:rPr>
        <w:t> </w:t>
      </w:r>
      <w:r>
        <w:rPr>
          <w:color w:val="231F20"/>
        </w:rPr>
        <w:t>или</w:t>
      </w:r>
      <w:r>
        <w:rPr>
          <w:color w:val="231F20"/>
          <w:spacing w:val="-8"/>
        </w:rPr>
        <w:t> </w:t>
      </w:r>
      <w:r>
        <w:rPr>
          <w:color w:val="231F20"/>
        </w:rPr>
        <w:t>попытка</w:t>
      </w:r>
      <w:r>
        <w:rPr>
          <w:color w:val="231F20"/>
          <w:spacing w:val="-8"/>
        </w:rPr>
        <w:t> </w:t>
      </w:r>
      <w:r>
        <w:rPr>
          <w:color w:val="231F20"/>
        </w:rPr>
        <w:t>впрямую</w:t>
      </w:r>
      <w:r>
        <w:rPr>
          <w:color w:val="231F20"/>
          <w:spacing w:val="-8"/>
        </w:rPr>
        <w:t> </w:t>
      </w:r>
      <w:r>
        <w:rPr>
          <w:color w:val="231F20"/>
        </w:rPr>
        <w:t>воздействовать</w:t>
      </w:r>
      <w:r>
        <w:rPr>
          <w:color w:val="231F20"/>
          <w:spacing w:val="-8"/>
        </w:rPr>
        <w:t> </w:t>
      </w:r>
      <w:r>
        <w:rPr>
          <w:color w:val="231F20"/>
        </w:rPr>
        <w:t>на</w:t>
      </w:r>
      <w:r>
        <w:rPr>
          <w:color w:val="231F20"/>
          <w:spacing w:val="-8"/>
        </w:rPr>
        <w:t> </w:t>
      </w:r>
      <w:r>
        <w:rPr>
          <w:color w:val="231F20"/>
        </w:rPr>
        <w:t>него</w:t>
      </w:r>
      <w:r>
        <w:rPr>
          <w:color w:val="231F20"/>
          <w:spacing w:val="-8"/>
        </w:rPr>
        <w:t> </w:t>
      </w:r>
      <w:r>
        <w:rPr>
          <w:color w:val="231F20"/>
        </w:rPr>
        <w:t>педагогическим</w:t>
      </w:r>
      <w:r>
        <w:rPr>
          <w:color w:val="231F20"/>
          <w:spacing w:val="-8"/>
        </w:rPr>
        <w:t> </w:t>
      </w:r>
      <w:r>
        <w:rPr>
          <w:color w:val="231F20"/>
        </w:rPr>
        <w:t>внушением типа</w:t>
      </w:r>
      <w:r>
        <w:rPr>
          <w:color w:val="231F20"/>
          <w:spacing w:val="-6"/>
        </w:rPr>
        <w:t> </w:t>
      </w:r>
      <w:r>
        <w:rPr>
          <w:color w:val="231F20"/>
        </w:rPr>
        <w:t>«запомни</w:t>
      </w:r>
      <w:r>
        <w:rPr>
          <w:color w:val="231F20"/>
          <w:spacing w:val="-6"/>
        </w:rPr>
        <w:t> </w:t>
      </w:r>
      <w:r>
        <w:rPr>
          <w:color w:val="231F20"/>
        </w:rPr>
        <w:t>правильные</w:t>
      </w:r>
      <w:r>
        <w:rPr>
          <w:color w:val="231F20"/>
          <w:spacing w:val="-6"/>
        </w:rPr>
        <w:t> </w:t>
      </w:r>
      <w:r>
        <w:rPr>
          <w:color w:val="231F20"/>
        </w:rPr>
        <w:t>установки»</w:t>
      </w:r>
      <w:r>
        <w:rPr>
          <w:color w:val="231F20"/>
          <w:spacing w:val="-6"/>
        </w:rPr>
        <w:t> </w:t>
      </w:r>
      <w:r>
        <w:rPr>
          <w:color w:val="231F20"/>
        </w:rPr>
        <w:t>не</w:t>
      </w:r>
      <w:r>
        <w:rPr>
          <w:color w:val="231F20"/>
          <w:spacing w:val="-6"/>
        </w:rPr>
        <w:t> </w:t>
      </w:r>
      <w:r>
        <w:rPr>
          <w:color w:val="231F20"/>
        </w:rPr>
        <w:t>приведет</w:t>
      </w:r>
      <w:r>
        <w:rPr>
          <w:color w:val="231F20"/>
          <w:spacing w:val="-6"/>
        </w:rPr>
        <w:t> </w:t>
      </w:r>
      <w:r>
        <w:rPr>
          <w:color w:val="231F20"/>
        </w:rPr>
        <w:t>к</w:t>
      </w:r>
      <w:r>
        <w:rPr>
          <w:color w:val="231F20"/>
          <w:spacing w:val="-6"/>
        </w:rPr>
        <w:t> </w:t>
      </w:r>
      <w:r>
        <w:rPr>
          <w:color w:val="231F20"/>
        </w:rPr>
        <w:t>изменению</w:t>
      </w:r>
      <w:r>
        <w:rPr>
          <w:color w:val="231F20"/>
          <w:spacing w:val="-6"/>
        </w:rPr>
        <w:t> </w:t>
      </w:r>
      <w:r>
        <w:rPr>
          <w:color w:val="231F20"/>
        </w:rPr>
        <w:t>установок,</w:t>
      </w:r>
      <w:r>
        <w:rPr>
          <w:color w:val="231F20"/>
          <w:spacing w:val="-6"/>
        </w:rPr>
        <w:t> </w:t>
      </w:r>
      <w:r>
        <w:rPr>
          <w:color w:val="231F20"/>
        </w:rPr>
        <w:t>а</w:t>
      </w:r>
      <w:r>
        <w:rPr>
          <w:color w:val="231F20"/>
          <w:spacing w:val="-6"/>
        </w:rPr>
        <w:t> </w:t>
      </w:r>
      <w:r>
        <w:rPr>
          <w:color w:val="231F20"/>
        </w:rPr>
        <w:t>скорее всего нарушит доверие и не даст результата.</w:t>
      </w:r>
    </w:p>
    <w:p>
      <w:pPr>
        <w:pStyle w:val="BodyText"/>
        <w:spacing w:line="235" w:lineRule="auto" w:before="5"/>
      </w:pPr>
      <w:r>
        <w:rPr>
          <w:color w:val="231F20"/>
        </w:rPr>
        <w:t>Конечно, должна быть обеспечена безопасность подростка (чтобы не допустить мести со стороны других членов группы за его «отступничество») и установления с ним в достаточной степени доверительных отношений.</w:t>
      </w:r>
    </w:p>
    <w:p>
      <w:pPr>
        <w:spacing w:line="228" w:lineRule="exact" w:before="112"/>
        <w:ind w:left="425" w:right="0" w:firstLine="0"/>
        <w:jc w:val="both"/>
        <w:rPr>
          <w:b/>
          <w:sz w:val="20"/>
        </w:rPr>
      </w:pPr>
      <w:r>
        <w:rPr>
          <w:b/>
          <w:color w:val="231F20"/>
          <w:sz w:val="20"/>
        </w:rPr>
        <w:t>Использование</w:t>
      </w:r>
      <w:r>
        <w:rPr>
          <w:b/>
          <w:color w:val="231F20"/>
          <w:spacing w:val="-11"/>
          <w:sz w:val="20"/>
        </w:rPr>
        <w:t> </w:t>
      </w:r>
      <w:r>
        <w:rPr>
          <w:b/>
          <w:color w:val="231F20"/>
          <w:sz w:val="20"/>
        </w:rPr>
        <w:t>элементов</w:t>
      </w:r>
      <w:r>
        <w:rPr>
          <w:b/>
          <w:color w:val="231F20"/>
          <w:spacing w:val="-11"/>
          <w:sz w:val="20"/>
        </w:rPr>
        <w:t> </w:t>
      </w:r>
      <w:r>
        <w:rPr>
          <w:b/>
          <w:color w:val="231F20"/>
          <w:sz w:val="20"/>
        </w:rPr>
        <w:t>нарративных</w:t>
      </w:r>
      <w:r>
        <w:rPr>
          <w:b/>
          <w:color w:val="231F20"/>
          <w:spacing w:val="-11"/>
          <w:sz w:val="20"/>
        </w:rPr>
        <w:t> </w:t>
      </w:r>
      <w:r>
        <w:rPr>
          <w:b/>
          <w:color w:val="231F20"/>
          <w:spacing w:val="-2"/>
          <w:sz w:val="20"/>
        </w:rPr>
        <w:t>практик</w:t>
      </w:r>
    </w:p>
    <w:p>
      <w:pPr>
        <w:pStyle w:val="BodyText"/>
        <w:spacing w:line="235" w:lineRule="auto" w:before="1"/>
      </w:pPr>
      <w:r>
        <w:rPr>
          <w:color w:val="231F20"/>
        </w:rPr>
        <w:t>Некоторые</w:t>
      </w:r>
      <w:r>
        <w:rPr>
          <w:color w:val="231F20"/>
          <w:spacing w:val="-8"/>
        </w:rPr>
        <w:t> </w:t>
      </w:r>
      <w:r>
        <w:rPr>
          <w:color w:val="231F20"/>
        </w:rPr>
        <w:t>ориентиры</w:t>
      </w:r>
      <w:r>
        <w:rPr>
          <w:color w:val="231F20"/>
          <w:spacing w:val="-8"/>
        </w:rPr>
        <w:t> </w:t>
      </w:r>
      <w:r>
        <w:rPr>
          <w:color w:val="231F20"/>
        </w:rPr>
        <w:t>в</w:t>
      </w:r>
      <w:r>
        <w:rPr>
          <w:color w:val="231F20"/>
          <w:spacing w:val="-8"/>
        </w:rPr>
        <w:t> </w:t>
      </w:r>
      <w:r>
        <w:rPr>
          <w:color w:val="231F20"/>
        </w:rPr>
        <w:t>работе</w:t>
      </w:r>
      <w:r>
        <w:rPr>
          <w:color w:val="231F20"/>
          <w:spacing w:val="-8"/>
        </w:rPr>
        <w:t> </w:t>
      </w:r>
      <w:r>
        <w:rPr>
          <w:color w:val="231F20"/>
        </w:rPr>
        <w:t>с</w:t>
      </w:r>
      <w:r>
        <w:rPr>
          <w:color w:val="231F20"/>
          <w:spacing w:val="-8"/>
        </w:rPr>
        <w:t> </w:t>
      </w:r>
      <w:r>
        <w:rPr>
          <w:color w:val="231F20"/>
        </w:rPr>
        <w:t>межэтническим</w:t>
      </w:r>
      <w:r>
        <w:rPr>
          <w:color w:val="231F20"/>
          <w:spacing w:val="-8"/>
        </w:rPr>
        <w:t> </w:t>
      </w:r>
      <w:r>
        <w:rPr>
          <w:color w:val="231F20"/>
        </w:rPr>
        <w:t>конфликтом</w:t>
      </w:r>
      <w:r>
        <w:rPr>
          <w:color w:val="231F20"/>
          <w:spacing w:val="-8"/>
        </w:rPr>
        <w:t> </w:t>
      </w:r>
      <w:r>
        <w:rPr>
          <w:color w:val="231F20"/>
        </w:rPr>
        <w:t>задают</w:t>
      </w:r>
      <w:r>
        <w:rPr>
          <w:color w:val="231F20"/>
          <w:spacing w:val="-8"/>
        </w:rPr>
        <w:t> </w:t>
      </w:r>
      <w:r>
        <w:rPr>
          <w:color w:val="231F20"/>
        </w:rPr>
        <w:t>и</w:t>
      </w:r>
      <w:r>
        <w:rPr>
          <w:color w:val="231F20"/>
          <w:spacing w:val="-8"/>
        </w:rPr>
        <w:t> </w:t>
      </w:r>
      <w:r>
        <w:rPr>
          <w:color w:val="231F20"/>
        </w:rPr>
        <w:t>нарратив- ные</w:t>
      </w:r>
      <w:r>
        <w:rPr>
          <w:color w:val="231F20"/>
          <w:spacing w:val="-11"/>
        </w:rPr>
        <w:t> </w:t>
      </w:r>
      <w:r>
        <w:rPr>
          <w:color w:val="231F20"/>
        </w:rPr>
        <w:t>практики.</w:t>
      </w:r>
      <w:r>
        <w:rPr>
          <w:color w:val="231F20"/>
          <w:spacing w:val="-11"/>
        </w:rPr>
        <w:t> </w:t>
      </w:r>
      <w:r>
        <w:rPr>
          <w:color w:val="231F20"/>
        </w:rPr>
        <w:t>Одна</w:t>
      </w:r>
      <w:r>
        <w:rPr>
          <w:color w:val="231F20"/>
          <w:spacing w:val="-11"/>
        </w:rPr>
        <w:t> </w:t>
      </w:r>
      <w:r>
        <w:rPr>
          <w:color w:val="231F20"/>
        </w:rPr>
        <w:t>из</w:t>
      </w:r>
      <w:r>
        <w:rPr>
          <w:color w:val="231F20"/>
          <w:spacing w:val="-11"/>
        </w:rPr>
        <w:t> </w:t>
      </w:r>
      <w:r>
        <w:rPr>
          <w:color w:val="231F20"/>
        </w:rPr>
        <w:t>идей</w:t>
      </w:r>
      <w:r>
        <w:rPr>
          <w:color w:val="231F20"/>
          <w:spacing w:val="-11"/>
        </w:rPr>
        <w:t> </w:t>
      </w:r>
      <w:r>
        <w:rPr>
          <w:color w:val="231F20"/>
        </w:rPr>
        <w:t>состоит</w:t>
      </w:r>
      <w:r>
        <w:rPr>
          <w:color w:val="231F20"/>
          <w:spacing w:val="-11"/>
        </w:rPr>
        <w:t> </w:t>
      </w:r>
      <w:r>
        <w:rPr>
          <w:color w:val="231F20"/>
        </w:rPr>
        <w:t>в</w:t>
      </w:r>
      <w:r>
        <w:rPr>
          <w:color w:val="231F20"/>
          <w:spacing w:val="-11"/>
        </w:rPr>
        <w:t> </w:t>
      </w:r>
      <w:r>
        <w:rPr>
          <w:color w:val="231F20"/>
        </w:rPr>
        <w:t>том,</w:t>
      </w:r>
      <w:r>
        <w:rPr>
          <w:color w:val="231F20"/>
          <w:spacing w:val="-11"/>
        </w:rPr>
        <w:t> </w:t>
      </w:r>
      <w:r>
        <w:rPr>
          <w:color w:val="231F20"/>
        </w:rPr>
        <w:t>что</w:t>
      </w:r>
      <w:r>
        <w:rPr>
          <w:color w:val="231F20"/>
          <w:spacing w:val="-11"/>
        </w:rPr>
        <w:t> </w:t>
      </w:r>
      <w:r>
        <w:rPr>
          <w:color w:val="231F20"/>
        </w:rPr>
        <w:t>в</w:t>
      </w:r>
      <w:r>
        <w:rPr>
          <w:color w:val="231F20"/>
          <w:spacing w:val="-11"/>
        </w:rPr>
        <w:t> </w:t>
      </w:r>
      <w:r>
        <w:rPr>
          <w:color w:val="231F20"/>
        </w:rPr>
        <w:t>общественном</w:t>
      </w:r>
      <w:r>
        <w:rPr>
          <w:color w:val="231F20"/>
          <w:spacing w:val="-11"/>
        </w:rPr>
        <w:t> </w:t>
      </w:r>
      <w:r>
        <w:rPr>
          <w:color w:val="231F20"/>
        </w:rPr>
        <w:t>сознании</w:t>
      </w:r>
      <w:r>
        <w:rPr>
          <w:color w:val="231F20"/>
          <w:spacing w:val="-11"/>
        </w:rPr>
        <w:t> </w:t>
      </w:r>
      <w:r>
        <w:rPr>
          <w:color w:val="231F20"/>
        </w:rPr>
        <w:t>присутству- ют</w:t>
      </w:r>
      <w:r>
        <w:rPr>
          <w:color w:val="231F20"/>
          <w:spacing w:val="-7"/>
        </w:rPr>
        <w:t> </w:t>
      </w:r>
      <w:r>
        <w:rPr>
          <w:color w:val="231F20"/>
        </w:rPr>
        <w:t>дискурсы,</w:t>
      </w:r>
      <w:r>
        <w:rPr>
          <w:color w:val="231F20"/>
          <w:spacing w:val="-7"/>
        </w:rPr>
        <w:t> </w:t>
      </w:r>
      <w:r>
        <w:rPr>
          <w:color w:val="231F20"/>
        </w:rPr>
        <w:t>то</w:t>
      </w:r>
      <w:r>
        <w:rPr>
          <w:color w:val="231F20"/>
          <w:spacing w:val="-7"/>
        </w:rPr>
        <w:t> </w:t>
      </w:r>
      <w:r>
        <w:rPr>
          <w:color w:val="231F20"/>
        </w:rPr>
        <w:t>есть</w:t>
      </w:r>
      <w:r>
        <w:rPr>
          <w:color w:val="231F20"/>
          <w:spacing w:val="-7"/>
        </w:rPr>
        <w:t> </w:t>
      </w:r>
      <w:r>
        <w:rPr>
          <w:color w:val="231F20"/>
        </w:rPr>
        <w:t>стойкие</w:t>
      </w:r>
      <w:r>
        <w:rPr>
          <w:color w:val="231F20"/>
          <w:spacing w:val="-7"/>
        </w:rPr>
        <w:t> </w:t>
      </w:r>
      <w:r>
        <w:rPr>
          <w:color w:val="231F20"/>
        </w:rPr>
        <w:t>представления</w:t>
      </w:r>
      <w:r>
        <w:rPr>
          <w:color w:val="231F20"/>
          <w:spacing w:val="-7"/>
        </w:rPr>
        <w:t> </w:t>
      </w:r>
      <w:r>
        <w:rPr>
          <w:color w:val="231F20"/>
        </w:rPr>
        <w:t>о</w:t>
      </w:r>
      <w:r>
        <w:rPr>
          <w:color w:val="231F20"/>
          <w:spacing w:val="-7"/>
        </w:rPr>
        <w:t> </w:t>
      </w:r>
      <w:r>
        <w:rPr>
          <w:color w:val="231F20"/>
        </w:rPr>
        <w:t>том,</w:t>
      </w:r>
      <w:r>
        <w:rPr>
          <w:color w:val="231F20"/>
          <w:spacing w:val="-7"/>
        </w:rPr>
        <w:t> </w:t>
      </w:r>
      <w:r>
        <w:rPr>
          <w:color w:val="231F20"/>
        </w:rPr>
        <w:t>что</w:t>
      </w:r>
      <w:r>
        <w:rPr>
          <w:color w:val="231F20"/>
          <w:spacing w:val="-7"/>
        </w:rPr>
        <w:t> </w:t>
      </w:r>
      <w:r>
        <w:rPr>
          <w:color w:val="231F20"/>
        </w:rPr>
        <w:t>правильно</w:t>
      </w:r>
      <w:r>
        <w:rPr>
          <w:color w:val="231F20"/>
          <w:spacing w:val="-7"/>
        </w:rPr>
        <w:t> </w:t>
      </w:r>
      <w:r>
        <w:rPr>
          <w:color w:val="231F20"/>
        </w:rPr>
        <w:t>и</w:t>
      </w:r>
      <w:r>
        <w:rPr>
          <w:color w:val="231F20"/>
          <w:spacing w:val="-7"/>
        </w:rPr>
        <w:t> </w:t>
      </w:r>
      <w:r>
        <w:rPr>
          <w:color w:val="231F20"/>
        </w:rPr>
        <w:t>что</w:t>
      </w:r>
      <w:r>
        <w:rPr>
          <w:color w:val="231F20"/>
          <w:spacing w:val="-7"/>
        </w:rPr>
        <w:t> </w:t>
      </w:r>
      <w:r>
        <w:rPr>
          <w:color w:val="231F20"/>
        </w:rPr>
        <w:t>неправильно и как человек должен себя вести в той или иной ситуации. Например, типичными дискурсами являются представления о роли женщины и роли мужчины (мужа и жены, родителей и детей и др.). Большую роль в формировании дискурсов, играют СМИ и родители.</w:t>
      </w:r>
    </w:p>
    <w:p>
      <w:pPr>
        <w:pStyle w:val="BodyText"/>
        <w:spacing w:line="235" w:lineRule="auto" w:before="5"/>
      </w:pPr>
      <w:r>
        <w:rPr>
          <w:color w:val="231F20"/>
        </w:rPr>
        <w:t>Дискурсы формируют наше представление о том, как принято разрешать те или иные</w:t>
      </w:r>
      <w:r>
        <w:rPr>
          <w:color w:val="231F20"/>
          <w:spacing w:val="-1"/>
        </w:rPr>
        <w:t> </w:t>
      </w:r>
      <w:r>
        <w:rPr>
          <w:color w:val="231F20"/>
        </w:rPr>
        <w:t>конфликты,</w:t>
      </w:r>
      <w:r>
        <w:rPr>
          <w:color w:val="231F20"/>
          <w:spacing w:val="-1"/>
        </w:rPr>
        <w:t> </w:t>
      </w:r>
      <w:r>
        <w:rPr>
          <w:color w:val="231F20"/>
        </w:rPr>
        <w:t>и</w:t>
      </w:r>
      <w:r>
        <w:rPr>
          <w:color w:val="231F20"/>
          <w:spacing w:val="-1"/>
        </w:rPr>
        <w:t> </w:t>
      </w:r>
      <w:r>
        <w:rPr>
          <w:color w:val="231F20"/>
        </w:rPr>
        <w:t>в</w:t>
      </w:r>
      <w:r>
        <w:rPr>
          <w:color w:val="231F20"/>
          <w:spacing w:val="-1"/>
        </w:rPr>
        <w:t> </w:t>
      </w:r>
      <w:r>
        <w:rPr>
          <w:color w:val="231F20"/>
        </w:rPr>
        <w:t>каком-то</w:t>
      </w:r>
      <w:r>
        <w:rPr>
          <w:color w:val="231F20"/>
          <w:spacing w:val="-1"/>
        </w:rPr>
        <w:t> </w:t>
      </w:r>
      <w:r>
        <w:rPr>
          <w:color w:val="231F20"/>
        </w:rPr>
        <w:t>смысле</w:t>
      </w:r>
      <w:r>
        <w:rPr>
          <w:color w:val="231F20"/>
          <w:spacing w:val="-1"/>
        </w:rPr>
        <w:t> </w:t>
      </w:r>
      <w:r>
        <w:rPr>
          <w:color w:val="231F20"/>
        </w:rPr>
        <w:t>управляют</w:t>
      </w:r>
      <w:r>
        <w:rPr>
          <w:color w:val="231F20"/>
          <w:spacing w:val="-1"/>
        </w:rPr>
        <w:t> </w:t>
      </w:r>
      <w:r>
        <w:rPr>
          <w:color w:val="231F20"/>
        </w:rPr>
        <w:t>нашим</w:t>
      </w:r>
      <w:r>
        <w:rPr>
          <w:color w:val="231F20"/>
          <w:spacing w:val="-1"/>
        </w:rPr>
        <w:t> </w:t>
      </w:r>
      <w:r>
        <w:rPr>
          <w:color w:val="231F20"/>
        </w:rPr>
        <w:t>поведением</w:t>
      </w:r>
      <w:r>
        <w:rPr>
          <w:color w:val="231F20"/>
          <w:spacing w:val="-1"/>
        </w:rPr>
        <w:t> </w:t>
      </w:r>
      <w:r>
        <w:rPr>
          <w:color w:val="231F20"/>
        </w:rPr>
        <w:t>и</w:t>
      </w:r>
      <w:r>
        <w:rPr>
          <w:color w:val="231F20"/>
          <w:spacing w:val="-1"/>
        </w:rPr>
        <w:t> </w:t>
      </w:r>
      <w:r>
        <w:rPr>
          <w:color w:val="231F20"/>
        </w:rPr>
        <w:t>эмоциональ- ными реакциями в конфликте.</w:t>
      </w:r>
    </w:p>
    <w:p>
      <w:pPr>
        <w:pStyle w:val="BodyText"/>
        <w:spacing w:line="235" w:lineRule="auto" w:before="1"/>
      </w:pPr>
      <w:r>
        <w:rPr>
          <w:color w:val="231F20"/>
        </w:rPr>
        <w:t>Дискурсы, как правило, не осознаются и принимаются как само собой разумею- щееся, в то время как у других людей могут быть другие дискурсы, и для них «само собой разумеющимся» будет совсем другое.</w:t>
      </w:r>
    </w:p>
    <w:p>
      <w:pPr>
        <w:pStyle w:val="BodyText"/>
        <w:spacing w:line="235" w:lineRule="auto" w:before="2"/>
      </w:pPr>
      <w:r>
        <w:rPr>
          <w:color w:val="231F20"/>
        </w:rPr>
        <w:t>Часто</w:t>
      </w:r>
      <w:r>
        <w:rPr>
          <w:color w:val="231F20"/>
          <w:spacing w:val="-10"/>
        </w:rPr>
        <w:t> </w:t>
      </w:r>
      <w:r>
        <w:rPr>
          <w:color w:val="231F20"/>
        </w:rPr>
        <w:t>в</w:t>
      </w:r>
      <w:r>
        <w:rPr>
          <w:color w:val="231F20"/>
          <w:spacing w:val="-10"/>
        </w:rPr>
        <w:t> </w:t>
      </w:r>
      <w:r>
        <w:rPr>
          <w:color w:val="231F20"/>
        </w:rPr>
        <w:t>основе</w:t>
      </w:r>
      <w:r>
        <w:rPr>
          <w:color w:val="231F20"/>
          <w:spacing w:val="-10"/>
        </w:rPr>
        <w:t> </w:t>
      </w:r>
      <w:r>
        <w:rPr>
          <w:color w:val="231F20"/>
        </w:rPr>
        <w:t>конфликта</w:t>
      </w:r>
      <w:r>
        <w:rPr>
          <w:color w:val="231F20"/>
          <w:spacing w:val="-10"/>
        </w:rPr>
        <w:t> </w:t>
      </w:r>
      <w:r>
        <w:rPr>
          <w:color w:val="231F20"/>
        </w:rPr>
        <w:t>лежит</w:t>
      </w:r>
      <w:r>
        <w:rPr>
          <w:color w:val="231F20"/>
          <w:spacing w:val="-10"/>
        </w:rPr>
        <w:t> </w:t>
      </w:r>
      <w:r>
        <w:rPr>
          <w:color w:val="231F20"/>
        </w:rPr>
        <w:t>именно</w:t>
      </w:r>
      <w:r>
        <w:rPr>
          <w:color w:val="231F20"/>
          <w:spacing w:val="-10"/>
        </w:rPr>
        <w:t> </w:t>
      </w:r>
      <w:r>
        <w:rPr>
          <w:color w:val="231F20"/>
        </w:rPr>
        <w:t>непроясненность</w:t>
      </w:r>
      <w:r>
        <w:rPr>
          <w:color w:val="231F20"/>
          <w:spacing w:val="-10"/>
        </w:rPr>
        <w:t> </w:t>
      </w:r>
      <w:r>
        <w:rPr>
          <w:color w:val="231F20"/>
        </w:rPr>
        <w:t>дискурсов</w:t>
      </w:r>
      <w:r>
        <w:rPr>
          <w:color w:val="231F20"/>
          <w:spacing w:val="-10"/>
        </w:rPr>
        <w:t> </w:t>
      </w:r>
      <w:r>
        <w:rPr>
          <w:color w:val="231F20"/>
        </w:rPr>
        <w:t>или</w:t>
      </w:r>
      <w:r>
        <w:rPr>
          <w:color w:val="231F20"/>
          <w:spacing w:val="-10"/>
        </w:rPr>
        <w:t> </w:t>
      </w:r>
      <w:r>
        <w:rPr>
          <w:color w:val="231F20"/>
        </w:rPr>
        <w:t>их</w:t>
      </w:r>
      <w:r>
        <w:rPr>
          <w:color w:val="231F20"/>
          <w:spacing w:val="-10"/>
        </w:rPr>
        <w:t> </w:t>
      </w:r>
      <w:r>
        <w:rPr>
          <w:color w:val="231F20"/>
        </w:rPr>
        <w:t>стол- кновение. Поэтому медиатор может обсудить с участниками:</w:t>
      </w:r>
    </w:p>
    <w:p>
      <w:pPr>
        <w:pStyle w:val="ListParagraph"/>
        <w:numPr>
          <w:ilvl w:val="0"/>
          <w:numId w:val="146"/>
        </w:numPr>
        <w:tabs>
          <w:tab w:pos="424" w:val="left" w:leader="none"/>
        </w:tabs>
        <w:spacing w:line="225" w:lineRule="exact" w:before="0" w:after="0"/>
        <w:ind w:left="424" w:right="0" w:hanging="283"/>
        <w:jc w:val="both"/>
        <w:rPr>
          <w:sz w:val="20"/>
        </w:rPr>
      </w:pPr>
      <w:r>
        <w:rPr>
          <w:color w:val="231F20"/>
          <w:sz w:val="20"/>
        </w:rPr>
        <w:t>какие</w:t>
      </w:r>
      <w:r>
        <w:rPr>
          <w:color w:val="231F20"/>
          <w:spacing w:val="-6"/>
          <w:sz w:val="20"/>
        </w:rPr>
        <w:t> </w:t>
      </w:r>
      <w:r>
        <w:rPr>
          <w:color w:val="231F20"/>
          <w:sz w:val="20"/>
        </w:rPr>
        <w:t>представления</w:t>
      </w:r>
      <w:r>
        <w:rPr>
          <w:color w:val="231F20"/>
          <w:spacing w:val="-3"/>
          <w:sz w:val="20"/>
        </w:rPr>
        <w:t> </w:t>
      </w:r>
      <w:r>
        <w:rPr>
          <w:color w:val="231F20"/>
          <w:sz w:val="20"/>
        </w:rPr>
        <w:t>(дискурсы)</w:t>
      </w:r>
      <w:r>
        <w:rPr>
          <w:color w:val="231F20"/>
          <w:spacing w:val="-3"/>
          <w:sz w:val="20"/>
        </w:rPr>
        <w:t> </w:t>
      </w:r>
      <w:r>
        <w:rPr>
          <w:color w:val="231F20"/>
          <w:sz w:val="20"/>
        </w:rPr>
        <w:t>стоят</w:t>
      </w:r>
      <w:r>
        <w:rPr>
          <w:color w:val="231F20"/>
          <w:spacing w:val="-3"/>
          <w:sz w:val="20"/>
        </w:rPr>
        <w:t> </w:t>
      </w:r>
      <w:r>
        <w:rPr>
          <w:color w:val="231F20"/>
          <w:sz w:val="20"/>
        </w:rPr>
        <w:t>за</w:t>
      </w:r>
      <w:r>
        <w:rPr>
          <w:color w:val="231F20"/>
          <w:spacing w:val="-3"/>
          <w:sz w:val="20"/>
        </w:rPr>
        <w:t> </w:t>
      </w:r>
      <w:r>
        <w:rPr>
          <w:color w:val="231F20"/>
          <w:sz w:val="20"/>
        </w:rPr>
        <w:t>теми</w:t>
      </w:r>
      <w:r>
        <w:rPr>
          <w:color w:val="231F20"/>
          <w:spacing w:val="-4"/>
          <w:sz w:val="20"/>
        </w:rPr>
        <w:t> </w:t>
      </w:r>
      <w:r>
        <w:rPr>
          <w:color w:val="231F20"/>
          <w:sz w:val="20"/>
        </w:rPr>
        <w:t>или</w:t>
      </w:r>
      <w:r>
        <w:rPr>
          <w:color w:val="231F20"/>
          <w:spacing w:val="-4"/>
          <w:sz w:val="20"/>
        </w:rPr>
        <w:t> </w:t>
      </w:r>
      <w:r>
        <w:rPr>
          <w:color w:val="231F20"/>
          <w:sz w:val="20"/>
        </w:rPr>
        <w:t>иными</w:t>
      </w:r>
      <w:r>
        <w:rPr>
          <w:color w:val="231F20"/>
          <w:spacing w:val="-4"/>
          <w:sz w:val="20"/>
        </w:rPr>
        <w:t> </w:t>
      </w:r>
      <w:r>
        <w:rPr>
          <w:color w:val="231F20"/>
          <w:sz w:val="20"/>
        </w:rPr>
        <w:t>их</w:t>
      </w:r>
      <w:r>
        <w:rPr>
          <w:color w:val="231F20"/>
          <w:spacing w:val="-3"/>
          <w:sz w:val="20"/>
        </w:rPr>
        <w:t> </w:t>
      </w:r>
      <w:r>
        <w:rPr>
          <w:color w:val="231F20"/>
          <w:spacing w:val="-2"/>
          <w:sz w:val="20"/>
        </w:rPr>
        <w:t>высказываниями;</w:t>
      </w:r>
    </w:p>
    <w:p>
      <w:pPr>
        <w:pStyle w:val="ListParagraph"/>
        <w:numPr>
          <w:ilvl w:val="0"/>
          <w:numId w:val="146"/>
        </w:numPr>
        <w:tabs>
          <w:tab w:pos="424" w:val="left" w:leader="none"/>
        </w:tabs>
        <w:spacing w:line="226" w:lineRule="exact" w:before="0" w:after="0"/>
        <w:ind w:left="424" w:right="0" w:hanging="283"/>
        <w:jc w:val="both"/>
        <w:rPr>
          <w:sz w:val="20"/>
        </w:rPr>
      </w:pPr>
      <w:r>
        <w:rPr>
          <w:color w:val="231F20"/>
          <w:sz w:val="20"/>
        </w:rPr>
        <w:t>кто</w:t>
      </w:r>
      <w:r>
        <w:rPr>
          <w:color w:val="231F20"/>
          <w:spacing w:val="-4"/>
          <w:sz w:val="20"/>
        </w:rPr>
        <w:t> </w:t>
      </w:r>
      <w:r>
        <w:rPr>
          <w:color w:val="231F20"/>
          <w:sz w:val="20"/>
        </w:rPr>
        <w:t>повлиял</w:t>
      </w:r>
      <w:r>
        <w:rPr>
          <w:color w:val="231F20"/>
          <w:spacing w:val="-3"/>
          <w:sz w:val="20"/>
        </w:rPr>
        <w:t> </w:t>
      </w:r>
      <w:r>
        <w:rPr>
          <w:color w:val="231F20"/>
          <w:sz w:val="20"/>
        </w:rPr>
        <w:t>на</w:t>
      </w:r>
      <w:r>
        <w:rPr>
          <w:color w:val="231F20"/>
          <w:spacing w:val="-3"/>
          <w:sz w:val="20"/>
        </w:rPr>
        <w:t> </w:t>
      </w:r>
      <w:r>
        <w:rPr>
          <w:color w:val="231F20"/>
          <w:sz w:val="20"/>
        </w:rPr>
        <w:t>формирование</w:t>
      </w:r>
      <w:r>
        <w:rPr>
          <w:color w:val="231F20"/>
          <w:spacing w:val="-4"/>
          <w:sz w:val="20"/>
        </w:rPr>
        <w:t> </w:t>
      </w:r>
      <w:r>
        <w:rPr>
          <w:color w:val="231F20"/>
          <w:sz w:val="20"/>
        </w:rPr>
        <w:t>именно</w:t>
      </w:r>
      <w:r>
        <w:rPr>
          <w:color w:val="231F20"/>
          <w:spacing w:val="-3"/>
          <w:sz w:val="20"/>
        </w:rPr>
        <w:t> </w:t>
      </w:r>
      <w:r>
        <w:rPr>
          <w:color w:val="231F20"/>
          <w:sz w:val="20"/>
        </w:rPr>
        <w:t>таких</w:t>
      </w:r>
      <w:r>
        <w:rPr>
          <w:color w:val="231F20"/>
          <w:spacing w:val="-3"/>
          <w:sz w:val="20"/>
        </w:rPr>
        <w:t> </w:t>
      </w:r>
      <w:r>
        <w:rPr>
          <w:color w:val="231F20"/>
          <w:spacing w:val="-2"/>
          <w:sz w:val="20"/>
        </w:rPr>
        <w:t>представлений;</w:t>
      </w:r>
    </w:p>
    <w:p>
      <w:pPr>
        <w:pStyle w:val="ListParagraph"/>
        <w:numPr>
          <w:ilvl w:val="0"/>
          <w:numId w:val="146"/>
        </w:numPr>
        <w:tabs>
          <w:tab w:pos="425" w:val="left" w:leader="none"/>
        </w:tabs>
        <w:spacing w:line="235" w:lineRule="auto" w:before="2" w:after="0"/>
        <w:ind w:left="425" w:right="139" w:hanging="284"/>
        <w:jc w:val="both"/>
        <w:rPr>
          <w:sz w:val="20"/>
        </w:rPr>
      </w:pPr>
      <w:r>
        <w:rPr>
          <w:color w:val="231F20"/>
          <w:sz w:val="20"/>
        </w:rPr>
        <w:t>насколько эти дискурсы им понятны и близки, насколько конструктивны и как помогают разрешать сложные ситуации (где их границы и мешают ли они кон- структивному решению)?</w:t>
      </w:r>
    </w:p>
    <w:p>
      <w:pPr>
        <w:pStyle w:val="BodyText"/>
        <w:spacing w:line="235" w:lineRule="auto" w:before="2"/>
        <w:jc w:val="right"/>
      </w:pPr>
      <w:r>
        <w:rPr>
          <w:color w:val="231F20"/>
        </w:rPr>
        <w:t>Для</w:t>
      </w:r>
      <w:r>
        <w:rPr>
          <w:color w:val="231F20"/>
          <w:spacing w:val="-12"/>
        </w:rPr>
        <w:t> </w:t>
      </w:r>
      <w:r>
        <w:rPr>
          <w:color w:val="231F20"/>
        </w:rPr>
        <w:t>более</w:t>
      </w:r>
      <w:r>
        <w:rPr>
          <w:color w:val="231F20"/>
          <w:spacing w:val="-12"/>
        </w:rPr>
        <w:t> </w:t>
      </w:r>
      <w:r>
        <w:rPr>
          <w:color w:val="231F20"/>
        </w:rPr>
        <w:t>подробного</w:t>
      </w:r>
      <w:r>
        <w:rPr>
          <w:color w:val="231F20"/>
          <w:spacing w:val="-12"/>
        </w:rPr>
        <w:t> </w:t>
      </w:r>
      <w:r>
        <w:rPr>
          <w:color w:val="231F20"/>
        </w:rPr>
        <w:t>освоения</w:t>
      </w:r>
      <w:r>
        <w:rPr>
          <w:color w:val="231F20"/>
          <w:spacing w:val="-12"/>
        </w:rPr>
        <w:t> </w:t>
      </w:r>
      <w:r>
        <w:rPr>
          <w:color w:val="231F20"/>
        </w:rPr>
        <w:t>работы</w:t>
      </w:r>
      <w:r>
        <w:rPr>
          <w:color w:val="231F20"/>
          <w:spacing w:val="-12"/>
        </w:rPr>
        <w:t> </w:t>
      </w:r>
      <w:r>
        <w:rPr>
          <w:color w:val="231F20"/>
        </w:rPr>
        <w:t>с</w:t>
      </w:r>
      <w:r>
        <w:rPr>
          <w:color w:val="231F20"/>
          <w:spacing w:val="-12"/>
        </w:rPr>
        <w:t> </w:t>
      </w:r>
      <w:r>
        <w:rPr>
          <w:color w:val="231F20"/>
        </w:rPr>
        <w:t>дискурсами</w:t>
      </w:r>
      <w:r>
        <w:rPr>
          <w:color w:val="231F20"/>
          <w:spacing w:val="-12"/>
        </w:rPr>
        <w:t> </w:t>
      </w:r>
      <w:r>
        <w:rPr>
          <w:color w:val="231F20"/>
        </w:rPr>
        <w:t>в</w:t>
      </w:r>
      <w:r>
        <w:rPr>
          <w:color w:val="231F20"/>
          <w:spacing w:val="-12"/>
        </w:rPr>
        <w:t> </w:t>
      </w:r>
      <w:r>
        <w:rPr>
          <w:color w:val="231F20"/>
        </w:rPr>
        <w:t>рамках</w:t>
      </w:r>
      <w:r>
        <w:rPr>
          <w:color w:val="231F20"/>
          <w:spacing w:val="-12"/>
        </w:rPr>
        <w:t> </w:t>
      </w:r>
      <w:r>
        <w:rPr>
          <w:color w:val="231F20"/>
        </w:rPr>
        <w:t>нарративных</w:t>
      </w:r>
      <w:r>
        <w:rPr>
          <w:color w:val="231F20"/>
          <w:spacing w:val="-12"/>
        </w:rPr>
        <w:t> </w:t>
      </w:r>
      <w:r>
        <w:rPr>
          <w:color w:val="231F20"/>
        </w:rPr>
        <w:t>прак- тик</w:t>
      </w:r>
      <w:r>
        <w:rPr>
          <w:color w:val="231F20"/>
          <w:spacing w:val="-8"/>
        </w:rPr>
        <w:t> </w:t>
      </w:r>
      <w:r>
        <w:rPr>
          <w:color w:val="231F20"/>
        </w:rPr>
        <w:t>можно</w:t>
      </w:r>
      <w:r>
        <w:rPr>
          <w:color w:val="231F20"/>
          <w:spacing w:val="-8"/>
        </w:rPr>
        <w:t> </w:t>
      </w:r>
      <w:r>
        <w:rPr>
          <w:color w:val="231F20"/>
        </w:rPr>
        <w:t>обратиться</w:t>
      </w:r>
      <w:r>
        <w:rPr>
          <w:color w:val="231F20"/>
          <w:spacing w:val="-8"/>
        </w:rPr>
        <w:t> </w:t>
      </w:r>
      <w:r>
        <w:rPr>
          <w:color w:val="231F20"/>
        </w:rPr>
        <w:t>к</w:t>
      </w:r>
      <w:r>
        <w:rPr>
          <w:color w:val="231F20"/>
          <w:spacing w:val="-8"/>
        </w:rPr>
        <w:t> </w:t>
      </w:r>
      <w:r>
        <w:rPr>
          <w:color w:val="231F20"/>
        </w:rPr>
        <w:t>книге</w:t>
      </w:r>
      <w:r>
        <w:rPr>
          <w:color w:val="231F20"/>
          <w:spacing w:val="-8"/>
        </w:rPr>
        <w:t> </w:t>
      </w:r>
      <w:r>
        <w:rPr>
          <w:color w:val="231F20"/>
        </w:rPr>
        <w:t>Дж.</w:t>
      </w:r>
      <w:r>
        <w:rPr>
          <w:color w:val="231F20"/>
          <w:spacing w:val="-8"/>
        </w:rPr>
        <w:t> </w:t>
      </w:r>
      <w:r>
        <w:rPr>
          <w:color w:val="231F20"/>
        </w:rPr>
        <w:t>Монк,</w:t>
      </w:r>
      <w:r>
        <w:rPr>
          <w:color w:val="231F20"/>
          <w:spacing w:val="-8"/>
        </w:rPr>
        <w:t> </w:t>
      </w:r>
      <w:r>
        <w:rPr>
          <w:color w:val="231F20"/>
        </w:rPr>
        <w:t>Д.</w:t>
      </w:r>
      <w:r>
        <w:rPr>
          <w:color w:val="231F20"/>
          <w:spacing w:val="-8"/>
        </w:rPr>
        <w:t> </w:t>
      </w:r>
      <w:r>
        <w:rPr>
          <w:color w:val="231F20"/>
        </w:rPr>
        <w:t>Уинслед</w:t>
      </w:r>
      <w:r>
        <w:rPr>
          <w:color w:val="231F20"/>
          <w:spacing w:val="-8"/>
        </w:rPr>
        <w:t> </w:t>
      </w:r>
      <w:r>
        <w:rPr>
          <w:color w:val="231F20"/>
        </w:rPr>
        <w:t>«Нарративная</w:t>
      </w:r>
      <w:r>
        <w:rPr>
          <w:color w:val="231F20"/>
          <w:spacing w:val="-8"/>
        </w:rPr>
        <w:t> </w:t>
      </w:r>
      <w:r>
        <w:rPr>
          <w:color w:val="231F20"/>
        </w:rPr>
        <w:t>медиация»</w:t>
      </w:r>
      <w:r>
        <w:rPr>
          <w:color w:val="231F20"/>
          <w:spacing w:val="-9"/>
        </w:rPr>
        <w:t> </w:t>
      </w:r>
      <w:hyperlink r:id="rId153">
        <w:r>
          <w:rPr>
            <w:color w:val="2255A6"/>
            <w:u w:val="single" w:color="2255A6"/>
          </w:rPr>
          <w:t>http://</w:t>
        </w:r>
      </w:hyperlink>
      <w:r>
        <w:rPr>
          <w:color w:val="2255A6"/>
        </w:rPr>
        <w:t> </w:t>
      </w:r>
      <w:hyperlink r:id="rId153">
        <w:r>
          <w:rPr>
            <w:color w:val="2255A6"/>
            <w:spacing w:val="-2"/>
            <w:u w:val="single" w:color="2255A6"/>
          </w:rPr>
          <w:t>sprc.ru/wp-content/uploads/2012/08/Нарративная-медиация.-Дж.Монк-Д.Уинслед1.pdf</w:t>
        </w:r>
      </w:hyperlink>
      <w:r>
        <w:rPr>
          <w:i/>
          <w:color w:val="231F20"/>
          <w:spacing w:val="-2"/>
        </w:rPr>
        <w:t>. </w:t>
      </w:r>
      <w:r>
        <w:rPr>
          <w:color w:val="231F20"/>
        </w:rPr>
        <w:t>Одно</w:t>
      </w:r>
      <w:r>
        <w:rPr>
          <w:color w:val="231F20"/>
          <w:spacing w:val="40"/>
        </w:rPr>
        <w:t> </w:t>
      </w:r>
      <w:r>
        <w:rPr>
          <w:color w:val="231F20"/>
        </w:rPr>
        <w:t>из</w:t>
      </w:r>
      <w:r>
        <w:rPr>
          <w:color w:val="231F20"/>
          <w:spacing w:val="40"/>
        </w:rPr>
        <w:t> </w:t>
      </w:r>
      <w:r>
        <w:rPr>
          <w:color w:val="231F20"/>
        </w:rPr>
        <w:t>важнейших</w:t>
      </w:r>
      <w:r>
        <w:rPr>
          <w:color w:val="231F20"/>
          <w:spacing w:val="40"/>
        </w:rPr>
        <w:t> </w:t>
      </w:r>
      <w:r>
        <w:rPr>
          <w:color w:val="231F20"/>
        </w:rPr>
        <w:t>качеств</w:t>
      </w:r>
      <w:r>
        <w:rPr>
          <w:color w:val="231F20"/>
          <w:spacing w:val="40"/>
        </w:rPr>
        <w:t> </w:t>
      </w:r>
      <w:r>
        <w:rPr>
          <w:color w:val="231F20"/>
        </w:rPr>
        <w:t>медиатора,</w:t>
      </w:r>
      <w:r>
        <w:rPr>
          <w:color w:val="231F20"/>
          <w:spacing w:val="40"/>
        </w:rPr>
        <w:t> </w:t>
      </w:r>
      <w:r>
        <w:rPr>
          <w:color w:val="231F20"/>
        </w:rPr>
        <w:t>работающего</w:t>
      </w:r>
      <w:r>
        <w:rPr>
          <w:color w:val="231F20"/>
          <w:spacing w:val="40"/>
        </w:rPr>
        <w:t> </w:t>
      </w:r>
      <w:r>
        <w:rPr>
          <w:color w:val="231F20"/>
        </w:rPr>
        <w:t>с</w:t>
      </w:r>
      <w:r>
        <w:rPr>
          <w:color w:val="231F20"/>
          <w:spacing w:val="40"/>
        </w:rPr>
        <w:t> </w:t>
      </w:r>
      <w:r>
        <w:rPr>
          <w:color w:val="231F20"/>
        </w:rPr>
        <w:t>межэтническими</w:t>
      </w:r>
      <w:r>
        <w:rPr>
          <w:color w:val="231F20"/>
          <w:spacing w:val="40"/>
        </w:rPr>
        <w:t> </w:t>
      </w:r>
      <w:r>
        <w:rPr>
          <w:color w:val="231F20"/>
        </w:rPr>
        <w:t>кон- фликтами,</w:t>
      </w:r>
      <w:r>
        <w:rPr>
          <w:color w:val="231F20"/>
          <w:spacing w:val="-13"/>
        </w:rPr>
        <w:t> </w:t>
      </w:r>
      <w:r>
        <w:rPr>
          <w:color w:val="231F20"/>
        </w:rPr>
        <w:t>это</w:t>
      </w:r>
      <w:r>
        <w:rPr>
          <w:color w:val="231F20"/>
          <w:spacing w:val="-12"/>
        </w:rPr>
        <w:t> </w:t>
      </w:r>
      <w:r>
        <w:rPr>
          <w:color w:val="231F20"/>
        </w:rPr>
        <w:t>способность</w:t>
      </w:r>
      <w:r>
        <w:rPr>
          <w:color w:val="231F20"/>
          <w:spacing w:val="-13"/>
        </w:rPr>
        <w:t> </w:t>
      </w:r>
      <w:r>
        <w:rPr>
          <w:color w:val="231F20"/>
        </w:rPr>
        <w:t>отделять</w:t>
      </w:r>
      <w:r>
        <w:rPr>
          <w:color w:val="231F20"/>
          <w:spacing w:val="-12"/>
        </w:rPr>
        <w:t> </w:t>
      </w:r>
      <w:r>
        <w:rPr>
          <w:color w:val="231F20"/>
        </w:rPr>
        <w:t>человека</w:t>
      </w:r>
      <w:r>
        <w:rPr>
          <w:color w:val="231F20"/>
          <w:spacing w:val="-13"/>
        </w:rPr>
        <w:t> </w:t>
      </w:r>
      <w:r>
        <w:rPr>
          <w:color w:val="231F20"/>
        </w:rPr>
        <w:t>от</w:t>
      </w:r>
      <w:r>
        <w:rPr>
          <w:color w:val="231F20"/>
          <w:spacing w:val="-12"/>
        </w:rPr>
        <w:t> </w:t>
      </w:r>
      <w:r>
        <w:rPr>
          <w:color w:val="231F20"/>
        </w:rPr>
        <w:t>его</w:t>
      </w:r>
      <w:r>
        <w:rPr>
          <w:color w:val="231F20"/>
          <w:spacing w:val="-13"/>
        </w:rPr>
        <w:t> </w:t>
      </w:r>
      <w:r>
        <w:rPr>
          <w:color w:val="231F20"/>
        </w:rPr>
        <w:t>высказываний:</w:t>
      </w:r>
      <w:r>
        <w:rPr>
          <w:color w:val="231F20"/>
          <w:spacing w:val="-12"/>
        </w:rPr>
        <w:t> </w:t>
      </w:r>
      <w:r>
        <w:rPr>
          <w:color w:val="231F20"/>
        </w:rPr>
        <w:t>«человек</w:t>
      </w:r>
      <w:r>
        <w:rPr>
          <w:color w:val="231F20"/>
          <w:spacing w:val="-13"/>
        </w:rPr>
        <w:t> </w:t>
      </w:r>
      <w:r>
        <w:rPr>
          <w:color w:val="231F20"/>
        </w:rPr>
        <w:t>не</w:t>
      </w:r>
      <w:r>
        <w:rPr>
          <w:color w:val="231F20"/>
          <w:spacing w:val="-12"/>
        </w:rPr>
        <w:t> </w:t>
      </w:r>
      <w:r>
        <w:rPr>
          <w:color w:val="231F20"/>
        </w:rPr>
        <w:t>явля- ется</w:t>
      </w:r>
      <w:r>
        <w:rPr>
          <w:color w:val="231F20"/>
          <w:spacing w:val="-6"/>
        </w:rPr>
        <w:t> </w:t>
      </w:r>
      <w:r>
        <w:rPr>
          <w:color w:val="231F20"/>
        </w:rPr>
        <w:t>проблемой».</w:t>
      </w:r>
      <w:r>
        <w:rPr>
          <w:color w:val="231F20"/>
          <w:spacing w:val="-3"/>
        </w:rPr>
        <w:t> </w:t>
      </w:r>
      <w:r>
        <w:rPr>
          <w:color w:val="231F20"/>
        </w:rPr>
        <w:t>Участники</w:t>
      </w:r>
      <w:r>
        <w:rPr>
          <w:color w:val="231F20"/>
          <w:spacing w:val="-4"/>
        </w:rPr>
        <w:t> </w:t>
      </w:r>
      <w:r>
        <w:rPr>
          <w:color w:val="231F20"/>
        </w:rPr>
        <w:t>конфликта</w:t>
      </w:r>
      <w:r>
        <w:rPr>
          <w:color w:val="231F20"/>
          <w:spacing w:val="-3"/>
        </w:rPr>
        <w:t> </w:t>
      </w:r>
      <w:r>
        <w:rPr>
          <w:color w:val="231F20"/>
        </w:rPr>
        <w:t>могут</w:t>
      </w:r>
      <w:r>
        <w:rPr>
          <w:color w:val="231F20"/>
          <w:spacing w:val="-3"/>
        </w:rPr>
        <w:t> </w:t>
      </w:r>
      <w:r>
        <w:rPr>
          <w:color w:val="231F20"/>
        </w:rPr>
        <w:t>высказывать</w:t>
      </w:r>
      <w:r>
        <w:rPr>
          <w:color w:val="231F20"/>
          <w:spacing w:val="-4"/>
        </w:rPr>
        <w:t> </w:t>
      </w:r>
      <w:r>
        <w:rPr>
          <w:color w:val="231F20"/>
        </w:rPr>
        <w:t>резкие</w:t>
      </w:r>
      <w:r>
        <w:rPr>
          <w:color w:val="231F20"/>
          <w:spacing w:val="-3"/>
        </w:rPr>
        <w:t> </w:t>
      </w:r>
      <w:r>
        <w:rPr>
          <w:color w:val="231F20"/>
        </w:rPr>
        <w:t>и</w:t>
      </w:r>
      <w:r>
        <w:rPr>
          <w:color w:val="231F20"/>
          <w:spacing w:val="-3"/>
        </w:rPr>
        <w:t> </w:t>
      </w:r>
      <w:r>
        <w:rPr>
          <w:color w:val="231F20"/>
          <w:spacing w:val="-2"/>
        </w:rPr>
        <w:t>эмоциональные</w:t>
      </w:r>
    </w:p>
    <w:p>
      <w:pPr>
        <w:pStyle w:val="BodyText"/>
        <w:spacing w:after="0" w:line="235" w:lineRule="auto"/>
        <w:jc w:val="right"/>
        <w:sectPr>
          <w:pgSz w:w="8400" w:h="11910"/>
          <w:pgMar w:header="0" w:footer="527" w:top="400" w:bottom="72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5"/>
          <w:sz w:val="18"/>
        </w:rPr>
        <w:t> </w:t>
      </w:r>
      <w:r>
        <w:rPr>
          <w:rFonts w:ascii="Georgia" w:hAnsi="Georgia"/>
          <w:color w:val="231F20"/>
          <w:sz w:val="18"/>
        </w:rPr>
        <w:t>Методы</w:t>
      </w:r>
      <w:r>
        <w:rPr>
          <w:rFonts w:ascii="Georgia" w:hAnsi="Georgia"/>
          <w:color w:val="231F20"/>
          <w:spacing w:val="-5"/>
          <w:sz w:val="18"/>
        </w:rPr>
        <w:t> </w:t>
      </w:r>
      <w:r>
        <w:rPr>
          <w:rFonts w:ascii="Georgia" w:hAnsi="Georgia"/>
          <w:color w:val="231F20"/>
          <w:sz w:val="18"/>
        </w:rPr>
        <w:t>воспитательной</w:t>
      </w:r>
      <w:r>
        <w:rPr>
          <w:rFonts w:ascii="Georgia" w:hAnsi="Georgia"/>
          <w:color w:val="231F20"/>
          <w:spacing w:val="-4"/>
          <w:sz w:val="18"/>
        </w:rPr>
        <w:t> </w:t>
      </w:r>
      <w:r>
        <w:rPr>
          <w:rFonts w:ascii="Georgia" w:hAnsi="Georgia"/>
          <w:color w:val="231F20"/>
          <w:sz w:val="18"/>
        </w:rPr>
        <w:t>раюоты</w:t>
      </w:r>
      <w:r>
        <w:rPr>
          <w:rFonts w:ascii="Georgia" w:hAnsi="Georgia"/>
          <w:color w:val="231F20"/>
          <w:spacing w:val="-5"/>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w:t>
      </w:r>
      <w:r>
        <w:rPr>
          <w:rFonts w:ascii="Georgia" w:hAnsi="Georgia"/>
          <w:color w:val="231F20"/>
          <w:spacing w:val="-4"/>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BodyText"/>
        <w:spacing w:line="230" w:lineRule="auto" w:before="119"/>
        <w:ind w:firstLine="0"/>
      </w:pPr>
      <w:r>
        <w:rPr>
          <w:color w:val="231F20"/>
        </w:rPr>
        <w:t>суждения,</w:t>
      </w:r>
      <w:r>
        <w:rPr>
          <w:color w:val="231F20"/>
          <w:spacing w:val="-2"/>
        </w:rPr>
        <w:t> </w:t>
      </w:r>
      <w:r>
        <w:rPr>
          <w:color w:val="231F20"/>
        </w:rPr>
        <w:t>которые</w:t>
      </w:r>
      <w:r>
        <w:rPr>
          <w:color w:val="231F20"/>
          <w:spacing w:val="-2"/>
        </w:rPr>
        <w:t> </w:t>
      </w:r>
      <w:r>
        <w:rPr>
          <w:color w:val="231F20"/>
        </w:rPr>
        <w:t>могут</w:t>
      </w:r>
      <w:r>
        <w:rPr>
          <w:color w:val="231F20"/>
          <w:spacing w:val="-2"/>
        </w:rPr>
        <w:t> </w:t>
      </w:r>
      <w:r>
        <w:rPr>
          <w:color w:val="231F20"/>
        </w:rPr>
        <w:t>противоречить</w:t>
      </w:r>
      <w:r>
        <w:rPr>
          <w:color w:val="231F20"/>
          <w:spacing w:val="-2"/>
        </w:rPr>
        <w:t> </w:t>
      </w:r>
      <w:r>
        <w:rPr>
          <w:color w:val="231F20"/>
        </w:rPr>
        <w:t>ценностям</w:t>
      </w:r>
      <w:r>
        <w:rPr>
          <w:color w:val="231F20"/>
          <w:spacing w:val="-2"/>
        </w:rPr>
        <w:t> </w:t>
      </w:r>
      <w:r>
        <w:rPr>
          <w:color w:val="231F20"/>
        </w:rPr>
        <w:t>самого</w:t>
      </w:r>
      <w:r>
        <w:rPr>
          <w:color w:val="231F20"/>
          <w:spacing w:val="-2"/>
        </w:rPr>
        <w:t> </w:t>
      </w:r>
      <w:r>
        <w:rPr>
          <w:color w:val="231F20"/>
        </w:rPr>
        <w:t>медиатора,</w:t>
      </w:r>
      <w:r>
        <w:rPr>
          <w:color w:val="231F20"/>
          <w:spacing w:val="-2"/>
        </w:rPr>
        <w:t> </w:t>
      </w:r>
      <w:r>
        <w:rPr>
          <w:color w:val="231F20"/>
        </w:rPr>
        <w:t>что</w:t>
      </w:r>
      <w:r>
        <w:rPr>
          <w:color w:val="231F20"/>
          <w:spacing w:val="-2"/>
        </w:rPr>
        <w:t> </w:t>
      </w:r>
      <w:r>
        <w:rPr>
          <w:color w:val="231F20"/>
        </w:rPr>
        <w:t>начинает угрожать</w:t>
      </w:r>
      <w:r>
        <w:rPr>
          <w:color w:val="231F20"/>
          <w:spacing w:val="-8"/>
        </w:rPr>
        <w:t> </w:t>
      </w:r>
      <w:r>
        <w:rPr>
          <w:color w:val="231F20"/>
        </w:rPr>
        <w:t>потере</w:t>
      </w:r>
      <w:r>
        <w:rPr>
          <w:color w:val="231F20"/>
          <w:spacing w:val="-8"/>
        </w:rPr>
        <w:t> </w:t>
      </w:r>
      <w:r>
        <w:rPr>
          <w:color w:val="231F20"/>
        </w:rPr>
        <w:t>медиатором</w:t>
      </w:r>
      <w:r>
        <w:rPr>
          <w:color w:val="231F20"/>
          <w:spacing w:val="-8"/>
        </w:rPr>
        <w:t> </w:t>
      </w:r>
      <w:r>
        <w:rPr>
          <w:color w:val="231F20"/>
        </w:rPr>
        <w:t>своей</w:t>
      </w:r>
      <w:r>
        <w:rPr>
          <w:color w:val="231F20"/>
          <w:spacing w:val="-8"/>
        </w:rPr>
        <w:t> </w:t>
      </w:r>
      <w:r>
        <w:rPr>
          <w:color w:val="231F20"/>
        </w:rPr>
        <w:t>позиции.</w:t>
      </w:r>
      <w:r>
        <w:rPr>
          <w:color w:val="231F20"/>
          <w:spacing w:val="-8"/>
        </w:rPr>
        <w:t> </w:t>
      </w:r>
      <w:r>
        <w:rPr>
          <w:color w:val="231F20"/>
        </w:rPr>
        <w:t>Внимательное</w:t>
      </w:r>
      <w:r>
        <w:rPr>
          <w:color w:val="231F20"/>
          <w:spacing w:val="-8"/>
        </w:rPr>
        <w:t> </w:t>
      </w:r>
      <w:r>
        <w:rPr>
          <w:color w:val="231F20"/>
        </w:rPr>
        <w:t>и</w:t>
      </w:r>
      <w:r>
        <w:rPr>
          <w:color w:val="231F20"/>
          <w:spacing w:val="-8"/>
        </w:rPr>
        <w:t> </w:t>
      </w:r>
      <w:r>
        <w:rPr>
          <w:color w:val="231F20"/>
        </w:rPr>
        <w:t>спокойное</w:t>
      </w:r>
      <w:r>
        <w:rPr>
          <w:color w:val="231F20"/>
          <w:spacing w:val="-8"/>
        </w:rPr>
        <w:t> </w:t>
      </w:r>
      <w:r>
        <w:rPr>
          <w:color w:val="231F20"/>
        </w:rPr>
        <w:t>выслушива- ние медиатором позиции помогает людям услышать себя и других в безопасной об- становке</w:t>
      </w:r>
      <w:r>
        <w:rPr>
          <w:color w:val="231F20"/>
          <w:spacing w:val="-2"/>
        </w:rPr>
        <w:t> </w:t>
      </w:r>
      <w:r>
        <w:rPr>
          <w:color w:val="231F20"/>
        </w:rPr>
        <w:t>и</w:t>
      </w:r>
      <w:r>
        <w:rPr>
          <w:color w:val="231F20"/>
          <w:spacing w:val="-2"/>
        </w:rPr>
        <w:t> </w:t>
      </w:r>
      <w:r>
        <w:rPr>
          <w:color w:val="231F20"/>
        </w:rPr>
        <w:t>начать</w:t>
      </w:r>
      <w:r>
        <w:rPr>
          <w:color w:val="231F20"/>
          <w:spacing w:val="-2"/>
        </w:rPr>
        <w:t> </w:t>
      </w:r>
      <w:r>
        <w:rPr>
          <w:color w:val="231F20"/>
        </w:rPr>
        <w:t>размышлять</w:t>
      </w:r>
      <w:r>
        <w:rPr>
          <w:color w:val="231F20"/>
          <w:spacing w:val="-2"/>
        </w:rPr>
        <w:t> </w:t>
      </w:r>
      <w:r>
        <w:rPr>
          <w:color w:val="231F20"/>
        </w:rPr>
        <w:t>и</w:t>
      </w:r>
      <w:r>
        <w:rPr>
          <w:color w:val="231F20"/>
          <w:spacing w:val="-2"/>
        </w:rPr>
        <w:t> </w:t>
      </w:r>
      <w:r>
        <w:rPr>
          <w:color w:val="231F20"/>
        </w:rPr>
        <w:t>переосмысливать</w:t>
      </w:r>
      <w:r>
        <w:rPr>
          <w:color w:val="231F20"/>
          <w:spacing w:val="-2"/>
        </w:rPr>
        <w:t> </w:t>
      </w:r>
      <w:r>
        <w:rPr>
          <w:color w:val="231F20"/>
        </w:rPr>
        <w:t>свою</w:t>
      </w:r>
      <w:r>
        <w:rPr>
          <w:color w:val="231F20"/>
          <w:spacing w:val="-2"/>
        </w:rPr>
        <w:t> </w:t>
      </w:r>
      <w:r>
        <w:rPr>
          <w:color w:val="231F20"/>
        </w:rPr>
        <w:t>ситуацию.</w:t>
      </w:r>
      <w:r>
        <w:rPr>
          <w:color w:val="231F20"/>
          <w:spacing w:val="-2"/>
        </w:rPr>
        <w:t> </w:t>
      </w:r>
      <w:r>
        <w:rPr>
          <w:color w:val="231F20"/>
        </w:rPr>
        <w:t>Именно</w:t>
      </w:r>
      <w:r>
        <w:rPr>
          <w:color w:val="231F20"/>
          <w:spacing w:val="-2"/>
        </w:rPr>
        <w:t> </w:t>
      </w:r>
      <w:r>
        <w:rPr>
          <w:color w:val="231F20"/>
        </w:rPr>
        <w:t>в</w:t>
      </w:r>
      <w:r>
        <w:rPr>
          <w:color w:val="231F20"/>
          <w:spacing w:val="-2"/>
        </w:rPr>
        <w:t> </w:t>
      </w:r>
      <w:r>
        <w:rPr>
          <w:color w:val="231F20"/>
        </w:rPr>
        <w:t>откры- той коммуникации происходит трансформация смыслов, идей, мнений, как говорят медиаторы: «Мне надо об кого-то думать».</w:t>
      </w:r>
    </w:p>
    <w:p>
      <w:pPr>
        <w:pStyle w:val="BodyText"/>
        <w:spacing w:line="230" w:lineRule="auto"/>
      </w:pPr>
      <w:r>
        <w:rPr>
          <w:color w:val="231F20"/>
          <w:spacing w:val="-2"/>
        </w:rPr>
        <w:t>Кстати,</w:t>
      </w:r>
      <w:r>
        <w:rPr>
          <w:color w:val="231F20"/>
          <w:spacing w:val="-6"/>
        </w:rPr>
        <w:t> </w:t>
      </w:r>
      <w:r>
        <w:rPr>
          <w:color w:val="231F20"/>
          <w:spacing w:val="-2"/>
        </w:rPr>
        <w:t>услышать</w:t>
      </w:r>
      <w:r>
        <w:rPr>
          <w:color w:val="231F20"/>
          <w:spacing w:val="-6"/>
        </w:rPr>
        <w:t> </w:t>
      </w:r>
      <w:r>
        <w:rPr>
          <w:color w:val="231F20"/>
          <w:spacing w:val="-2"/>
        </w:rPr>
        <w:t>мнение</w:t>
      </w:r>
      <w:r>
        <w:rPr>
          <w:color w:val="231F20"/>
          <w:spacing w:val="-6"/>
        </w:rPr>
        <w:t> </w:t>
      </w:r>
      <w:r>
        <w:rPr>
          <w:color w:val="231F20"/>
          <w:spacing w:val="-2"/>
        </w:rPr>
        <w:t>и</w:t>
      </w:r>
      <w:r>
        <w:rPr>
          <w:color w:val="231F20"/>
          <w:spacing w:val="-6"/>
        </w:rPr>
        <w:t> </w:t>
      </w:r>
      <w:r>
        <w:rPr>
          <w:color w:val="231F20"/>
          <w:spacing w:val="-2"/>
        </w:rPr>
        <w:t>позицию</w:t>
      </w:r>
      <w:r>
        <w:rPr>
          <w:color w:val="231F20"/>
          <w:spacing w:val="-6"/>
        </w:rPr>
        <w:t> </w:t>
      </w:r>
      <w:r>
        <w:rPr>
          <w:color w:val="231F20"/>
          <w:spacing w:val="-2"/>
        </w:rPr>
        <w:t>–</w:t>
      </w:r>
      <w:r>
        <w:rPr>
          <w:color w:val="231F20"/>
          <w:spacing w:val="-6"/>
        </w:rPr>
        <w:t> </w:t>
      </w:r>
      <w:r>
        <w:rPr>
          <w:color w:val="231F20"/>
          <w:spacing w:val="-2"/>
        </w:rPr>
        <w:t>не</w:t>
      </w:r>
      <w:r>
        <w:rPr>
          <w:color w:val="231F20"/>
          <w:spacing w:val="-6"/>
        </w:rPr>
        <w:t> </w:t>
      </w:r>
      <w:r>
        <w:rPr>
          <w:color w:val="231F20"/>
          <w:spacing w:val="-2"/>
        </w:rPr>
        <w:t>значит</w:t>
      </w:r>
      <w:r>
        <w:rPr>
          <w:color w:val="231F20"/>
          <w:spacing w:val="-6"/>
        </w:rPr>
        <w:t> </w:t>
      </w:r>
      <w:r>
        <w:rPr>
          <w:color w:val="231F20"/>
          <w:spacing w:val="-2"/>
        </w:rPr>
        <w:t>с</w:t>
      </w:r>
      <w:r>
        <w:rPr>
          <w:color w:val="231F20"/>
          <w:spacing w:val="-6"/>
        </w:rPr>
        <w:t> </w:t>
      </w:r>
      <w:r>
        <w:rPr>
          <w:color w:val="231F20"/>
          <w:spacing w:val="-2"/>
        </w:rPr>
        <w:t>ней</w:t>
      </w:r>
      <w:r>
        <w:rPr>
          <w:color w:val="231F20"/>
          <w:spacing w:val="-6"/>
        </w:rPr>
        <w:t> </w:t>
      </w:r>
      <w:r>
        <w:rPr>
          <w:color w:val="231F20"/>
          <w:spacing w:val="-2"/>
        </w:rPr>
        <w:t>согласиться,</w:t>
      </w:r>
      <w:r>
        <w:rPr>
          <w:color w:val="231F20"/>
          <w:spacing w:val="-6"/>
        </w:rPr>
        <w:t> </w:t>
      </w:r>
      <w:r>
        <w:rPr>
          <w:color w:val="231F20"/>
          <w:spacing w:val="-2"/>
        </w:rPr>
        <w:t>слушание</w:t>
      </w:r>
      <w:r>
        <w:rPr>
          <w:color w:val="231F20"/>
          <w:spacing w:val="-6"/>
        </w:rPr>
        <w:t> </w:t>
      </w:r>
      <w:r>
        <w:rPr>
          <w:color w:val="231F20"/>
          <w:spacing w:val="-2"/>
        </w:rPr>
        <w:t>–</w:t>
      </w:r>
      <w:r>
        <w:rPr>
          <w:color w:val="231F20"/>
          <w:spacing w:val="-6"/>
        </w:rPr>
        <w:t> </w:t>
      </w:r>
      <w:r>
        <w:rPr>
          <w:color w:val="231F20"/>
          <w:spacing w:val="-2"/>
        </w:rPr>
        <w:t>это </w:t>
      </w:r>
      <w:r>
        <w:rPr>
          <w:color w:val="231F20"/>
        </w:rPr>
        <w:t>уважительное</w:t>
      </w:r>
      <w:r>
        <w:rPr>
          <w:color w:val="231F20"/>
          <w:spacing w:val="-11"/>
        </w:rPr>
        <w:t> </w:t>
      </w:r>
      <w:r>
        <w:rPr>
          <w:color w:val="231F20"/>
        </w:rPr>
        <w:t>отношение</w:t>
      </w:r>
      <w:r>
        <w:rPr>
          <w:color w:val="231F20"/>
          <w:spacing w:val="-11"/>
        </w:rPr>
        <w:t> </w:t>
      </w:r>
      <w:r>
        <w:rPr>
          <w:color w:val="231F20"/>
        </w:rPr>
        <w:t>к</w:t>
      </w:r>
      <w:r>
        <w:rPr>
          <w:color w:val="231F20"/>
          <w:spacing w:val="-11"/>
        </w:rPr>
        <w:t> </w:t>
      </w:r>
      <w:r>
        <w:rPr>
          <w:color w:val="231F20"/>
        </w:rPr>
        <w:t>ценностям</w:t>
      </w:r>
      <w:r>
        <w:rPr>
          <w:color w:val="231F20"/>
          <w:spacing w:val="-11"/>
        </w:rPr>
        <w:t> </w:t>
      </w:r>
      <w:r>
        <w:rPr>
          <w:color w:val="231F20"/>
        </w:rPr>
        <w:t>человека,</w:t>
      </w:r>
      <w:r>
        <w:rPr>
          <w:color w:val="231F20"/>
          <w:spacing w:val="-11"/>
        </w:rPr>
        <w:t> </w:t>
      </w:r>
      <w:r>
        <w:rPr>
          <w:color w:val="231F20"/>
        </w:rPr>
        <w:t>различение</w:t>
      </w:r>
      <w:r>
        <w:rPr>
          <w:color w:val="231F20"/>
          <w:spacing w:val="-11"/>
        </w:rPr>
        <w:t> </w:t>
      </w:r>
      <w:r>
        <w:rPr>
          <w:color w:val="231F20"/>
        </w:rPr>
        <w:t>человека</w:t>
      </w:r>
      <w:r>
        <w:rPr>
          <w:color w:val="231F20"/>
          <w:spacing w:val="-11"/>
        </w:rPr>
        <w:t> </w:t>
      </w:r>
      <w:r>
        <w:rPr>
          <w:color w:val="231F20"/>
        </w:rPr>
        <w:t>и</w:t>
      </w:r>
      <w:r>
        <w:rPr>
          <w:color w:val="231F20"/>
          <w:spacing w:val="-11"/>
        </w:rPr>
        <w:t> </w:t>
      </w:r>
      <w:r>
        <w:rPr>
          <w:color w:val="231F20"/>
        </w:rPr>
        <w:t>проблемы,</w:t>
      </w:r>
      <w:r>
        <w:rPr>
          <w:color w:val="231F20"/>
          <w:spacing w:val="-11"/>
        </w:rPr>
        <w:t> </w:t>
      </w:r>
      <w:r>
        <w:rPr>
          <w:color w:val="231F20"/>
        </w:rPr>
        <w:t>не навешивание ярлыков, не обесценивание его мнения, а готовность искать вместе с ним за его словами и действиями ценности и смыслы, пусть порой и выраженные</w:t>
      </w:r>
      <w:r>
        <w:rPr>
          <w:color w:val="231F20"/>
          <w:spacing w:val="40"/>
        </w:rPr>
        <w:t> </w:t>
      </w:r>
      <w:r>
        <w:rPr>
          <w:color w:val="231F20"/>
        </w:rPr>
        <w:t>им</w:t>
      </w:r>
      <w:r>
        <w:rPr>
          <w:color w:val="231F20"/>
          <w:spacing w:val="-3"/>
        </w:rPr>
        <w:t> </w:t>
      </w:r>
      <w:r>
        <w:rPr>
          <w:color w:val="231F20"/>
        </w:rPr>
        <w:t>в</w:t>
      </w:r>
      <w:r>
        <w:rPr>
          <w:color w:val="231F20"/>
          <w:spacing w:val="-3"/>
        </w:rPr>
        <w:t> </w:t>
      </w:r>
      <w:r>
        <w:rPr>
          <w:color w:val="231F20"/>
        </w:rPr>
        <w:t>форме</w:t>
      </w:r>
      <w:r>
        <w:rPr>
          <w:color w:val="231F20"/>
          <w:spacing w:val="-3"/>
        </w:rPr>
        <w:t> </w:t>
      </w:r>
      <w:r>
        <w:rPr>
          <w:color w:val="231F20"/>
        </w:rPr>
        <w:t>насилия</w:t>
      </w:r>
      <w:r>
        <w:rPr>
          <w:color w:val="231F20"/>
          <w:spacing w:val="-3"/>
        </w:rPr>
        <w:t> </w:t>
      </w:r>
      <w:r>
        <w:rPr>
          <w:color w:val="231F20"/>
        </w:rPr>
        <w:t>и</w:t>
      </w:r>
      <w:r>
        <w:rPr>
          <w:color w:val="231F20"/>
          <w:spacing w:val="-3"/>
        </w:rPr>
        <w:t> </w:t>
      </w:r>
      <w:r>
        <w:rPr>
          <w:color w:val="231F20"/>
        </w:rPr>
        <w:t>агрессии.</w:t>
      </w:r>
      <w:r>
        <w:rPr>
          <w:color w:val="231F20"/>
          <w:spacing w:val="-3"/>
        </w:rPr>
        <w:t> </w:t>
      </w:r>
      <w:r>
        <w:rPr>
          <w:color w:val="231F20"/>
        </w:rPr>
        <w:t>Не</w:t>
      </w:r>
      <w:r>
        <w:rPr>
          <w:color w:val="231F20"/>
          <w:spacing w:val="-3"/>
        </w:rPr>
        <w:t> </w:t>
      </w:r>
      <w:r>
        <w:rPr>
          <w:color w:val="231F20"/>
        </w:rPr>
        <w:t>принимая</w:t>
      </w:r>
      <w:r>
        <w:rPr>
          <w:color w:val="231F20"/>
          <w:spacing w:val="-3"/>
        </w:rPr>
        <w:t> </w:t>
      </w:r>
      <w:r>
        <w:rPr>
          <w:color w:val="231F20"/>
        </w:rPr>
        <w:t>агрессии</w:t>
      </w:r>
      <w:r>
        <w:rPr>
          <w:color w:val="231F20"/>
          <w:spacing w:val="-3"/>
        </w:rPr>
        <w:t> </w:t>
      </w:r>
      <w:r>
        <w:rPr>
          <w:color w:val="231F20"/>
        </w:rPr>
        <w:t>и</w:t>
      </w:r>
      <w:r>
        <w:rPr>
          <w:color w:val="231F20"/>
          <w:spacing w:val="-3"/>
        </w:rPr>
        <w:t> </w:t>
      </w:r>
      <w:r>
        <w:rPr>
          <w:color w:val="231F20"/>
        </w:rPr>
        <w:t>насилия,</w:t>
      </w:r>
      <w:r>
        <w:rPr>
          <w:color w:val="231F20"/>
          <w:spacing w:val="-3"/>
        </w:rPr>
        <w:t> </w:t>
      </w:r>
      <w:r>
        <w:rPr>
          <w:color w:val="231F20"/>
        </w:rPr>
        <w:t>можно</w:t>
      </w:r>
      <w:r>
        <w:rPr>
          <w:color w:val="231F20"/>
          <w:spacing w:val="-3"/>
        </w:rPr>
        <w:t> </w:t>
      </w:r>
      <w:r>
        <w:rPr>
          <w:color w:val="231F20"/>
        </w:rPr>
        <w:t>обсуждать, какие ценности пытался донести или реализовать человек.</w:t>
      </w:r>
    </w:p>
    <w:p>
      <w:pPr>
        <w:pStyle w:val="BodyText"/>
        <w:spacing w:line="230" w:lineRule="auto"/>
      </w:pPr>
      <w:r>
        <w:rPr>
          <w:color w:val="231F20"/>
          <w:spacing w:val="-2"/>
        </w:rPr>
        <w:t>Специалисты</w:t>
      </w:r>
      <w:r>
        <w:rPr>
          <w:color w:val="231F20"/>
          <w:spacing w:val="-5"/>
        </w:rPr>
        <w:t> </w:t>
      </w:r>
      <w:r>
        <w:rPr>
          <w:color w:val="231F20"/>
          <w:spacing w:val="-2"/>
        </w:rPr>
        <w:t>в</w:t>
      </w:r>
      <w:r>
        <w:rPr>
          <w:color w:val="231F20"/>
          <w:spacing w:val="-5"/>
        </w:rPr>
        <w:t> </w:t>
      </w:r>
      <w:r>
        <w:rPr>
          <w:color w:val="231F20"/>
          <w:spacing w:val="-2"/>
        </w:rPr>
        <w:t>нарративном</w:t>
      </w:r>
      <w:r>
        <w:rPr>
          <w:color w:val="231F20"/>
          <w:spacing w:val="-5"/>
        </w:rPr>
        <w:t> </w:t>
      </w:r>
      <w:r>
        <w:rPr>
          <w:color w:val="231F20"/>
          <w:spacing w:val="-2"/>
        </w:rPr>
        <w:t>подходе</w:t>
      </w:r>
      <w:r>
        <w:rPr>
          <w:color w:val="231F20"/>
          <w:spacing w:val="-5"/>
        </w:rPr>
        <w:t> </w:t>
      </w:r>
      <w:r>
        <w:rPr>
          <w:color w:val="231F20"/>
          <w:spacing w:val="-2"/>
        </w:rPr>
        <w:t>считают,</w:t>
      </w:r>
      <w:r>
        <w:rPr>
          <w:color w:val="231F20"/>
          <w:spacing w:val="-5"/>
        </w:rPr>
        <w:t> </w:t>
      </w:r>
      <w:r>
        <w:rPr>
          <w:color w:val="231F20"/>
          <w:spacing w:val="-2"/>
        </w:rPr>
        <w:t>что</w:t>
      </w:r>
      <w:r>
        <w:rPr>
          <w:color w:val="231F20"/>
          <w:spacing w:val="-5"/>
        </w:rPr>
        <w:t> </w:t>
      </w:r>
      <w:r>
        <w:rPr>
          <w:color w:val="231F20"/>
          <w:spacing w:val="-2"/>
        </w:rPr>
        <w:t>никакой</w:t>
      </w:r>
      <w:r>
        <w:rPr>
          <w:color w:val="231F20"/>
          <w:spacing w:val="-5"/>
        </w:rPr>
        <w:t> </w:t>
      </w:r>
      <w:r>
        <w:rPr>
          <w:color w:val="231F20"/>
          <w:spacing w:val="-2"/>
        </w:rPr>
        <w:t>человек</w:t>
      </w:r>
      <w:r>
        <w:rPr>
          <w:color w:val="231F20"/>
          <w:spacing w:val="-5"/>
        </w:rPr>
        <w:t> </w:t>
      </w:r>
      <w:r>
        <w:rPr>
          <w:color w:val="231F20"/>
          <w:spacing w:val="-2"/>
        </w:rPr>
        <w:t>не</w:t>
      </w:r>
      <w:r>
        <w:rPr>
          <w:color w:val="231F20"/>
          <w:spacing w:val="-5"/>
        </w:rPr>
        <w:t> </w:t>
      </w:r>
      <w:r>
        <w:rPr>
          <w:color w:val="231F20"/>
          <w:spacing w:val="-2"/>
        </w:rPr>
        <w:t>может</w:t>
      </w:r>
      <w:r>
        <w:rPr>
          <w:color w:val="231F20"/>
          <w:spacing w:val="-5"/>
        </w:rPr>
        <w:t> </w:t>
      </w:r>
      <w:r>
        <w:rPr>
          <w:color w:val="231F20"/>
          <w:spacing w:val="-2"/>
        </w:rPr>
        <w:t>быть </w:t>
      </w:r>
      <w:r>
        <w:rPr>
          <w:color w:val="231F20"/>
        </w:rPr>
        <w:t>полностью</w:t>
      </w:r>
      <w:r>
        <w:rPr>
          <w:color w:val="231F20"/>
          <w:spacing w:val="-4"/>
        </w:rPr>
        <w:t> </w:t>
      </w:r>
      <w:r>
        <w:rPr>
          <w:color w:val="231F20"/>
        </w:rPr>
        <w:t>нейтральным.</w:t>
      </w:r>
      <w:r>
        <w:rPr>
          <w:color w:val="231F20"/>
          <w:spacing w:val="-4"/>
        </w:rPr>
        <w:t> </w:t>
      </w:r>
      <w:r>
        <w:rPr>
          <w:color w:val="231F20"/>
        </w:rPr>
        <w:t>И</w:t>
      </w:r>
      <w:r>
        <w:rPr>
          <w:color w:val="231F20"/>
          <w:spacing w:val="-4"/>
        </w:rPr>
        <w:t> </w:t>
      </w:r>
      <w:r>
        <w:rPr>
          <w:color w:val="231F20"/>
        </w:rPr>
        <w:t>у</w:t>
      </w:r>
      <w:r>
        <w:rPr>
          <w:color w:val="231F20"/>
          <w:spacing w:val="-4"/>
        </w:rPr>
        <w:t> </w:t>
      </w:r>
      <w:r>
        <w:rPr>
          <w:color w:val="231F20"/>
        </w:rPr>
        <w:t>медиатора,</w:t>
      </w:r>
      <w:r>
        <w:rPr>
          <w:color w:val="231F20"/>
          <w:spacing w:val="-4"/>
        </w:rPr>
        <w:t> </w:t>
      </w:r>
      <w:r>
        <w:rPr>
          <w:color w:val="231F20"/>
        </w:rPr>
        <w:t>как</w:t>
      </w:r>
      <w:r>
        <w:rPr>
          <w:color w:val="231F20"/>
          <w:spacing w:val="-4"/>
        </w:rPr>
        <w:t> </w:t>
      </w:r>
      <w:r>
        <w:rPr>
          <w:color w:val="231F20"/>
        </w:rPr>
        <w:t>и</w:t>
      </w:r>
      <w:r>
        <w:rPr>
          <w:color w:val="231F20"/>
          <w:spacing w:val="-4"/>
        </w:rPr>
        <w:t> </w:t>
      </w:r>
      <w:r>
        <w:rPr>
          <w:color w:val="231F20"/>
        </w:rPr>
        <w:t>у</w:t>
      </w:r>
      <w:r>
        <w:rPr>
          <w:color w:val="231F20"/>
          <w:spacing w:val="-4"/>
        </w:rPr>
        <w:t> </w:t>
      </w:r>
      <w:r>
        <w:rPr>
          <w:color w:val="231F20"/>
        </w:rPr>
        <w:t>любого</w:t>
      </w:r>
      <w:r>
        <w:rPr>
          <w:color w:val="231F20"/>
          <w:spacing w:val="-4"/>
        </w:rPr>
        <w:t> </w:t>
      </w:r>
      <w:r>
        <w:rPr>
          <w:color w:val="231F20"/>
        </w:rPr>
        <w:t>члена</w:t>
      </w:r>
      <w:r>
        <w:rPr>
          <w:color w:val="231F20"/>
          <w:spacing w:val="-4"/>
        </w:rPr>
        <w:t> </w:t>
      </w:r>
      <w:r>
        <w:rPr>
          <w:color w:val="231F20"/>
        </w:rPr>
        <w:t>общества,</w:t>
      </w:r>
      <w:r>
        <w:rPr>
          <w:color w:val="231F20"/>
          <w:spacing w:val="-4"/>
        </w:rPr>
        <w:t> </w:t>
      </w:r>
      <w:r>
        <w:rPr>
          <w:color w:val="231F20"/>
        </w:rPr>
        <w:t>могут</w:t>
      </w:r>
      <w:r>
        <w:rPr>
          <w:color w:val="231F20"/>
          <w:spacing w:val="-4"/>
        </w:rPr>
        <w:t> </w:t>
      </w:r>
      <w:r>
        <w:rPr>
          <w:color w:val="231F20"/>
        </w:rPr>
        <w:t>быть неосознаваемые (или скрываемые) предубеждения и предрассудки. Поэтому, мне кажется, работа с подобными случаями (особенно на первых порах) должна сопро- вождаться супервизией в сообществе медиаторов (то есть не только по завершении работы со случаем, а и по мере проведения предварительных встреч).</w:t>
      </w:r>
    </w:p>
    <w:p>
      <w:pPr>
        <w:pStyle w:val="BodyText"/>
        <w:spacing w:line="230" w:lineRule="auto"/>
      </w:pPr>
      <w:r>
        <w:rPr>
          <w:color w:val="231F20"/>
          <w:spacing w:val="-2"/>
        </w:rPr>
        <w:t>Еще</w:t>
      </w:r>
      <w:r>
        <w:rPr>
          <w:color w:val="231F20"/>
          <w:spacing w:val="-5"/>
        </w:rPr>
        <w:t> </w:t>
      </w:r>
      <w:r>
        <w:rPr>
          <w:color w:val="231F20"/>
          <w:spacing w:val="-2"/>
        </w:rPr>
        <w:t>один</w:t>
      </w:r>
      <w:r>
        <w:rPr>
          <w:color w:val="231F20"/>
          <w:spacing w:val="-5"/>
        </w:rPr>
        <w:t> </w:t>
      </w:r>
      <w:r>
        <w:rPr>
          <w:color w:val="231F20"/>
          <w:spacing w:val="-2"/>
        </w:rPr>
        <w:t>вопрос,</w:t>
      </w:r>
      <w:r>
        <w:rPr>
          <w:color w:val="231F20"/>
          <w:spacing w:val="-5"/>
        </w:rPr>
        <w:t> </w:t>
      </w:r>
      <w:r>
        <w:rPr>
          <w:color w:val="231F20"/>
          <w:spacing w:val="-2"/>
        </w:rPr>
        <w:t>который</w:t>
      </w:r>
      <w:r>
        <w:rPr>
          <w:color w:val="231F20"/>
          <w:spacing w:val="-5"/>
        </w:rPr>
        <w:t> </w:t>
      </w:r>
      <w:r>
        <w:rPr>
          <w:color w:val="231F20"/>
          <w:spacing w:val="-2"/>
        </w:rPr>
        <w:t>должен</w:t>
      </w:r>
      <w:r>
        <w:rPr>
          <w:color w:val="231F20"/>
          <w:spacing w:val="-5"/>
        </w:rPr>
        <w:t> </w:t>
      </w:r>
      <w:r>
        <w:rPr>
          <w:color w:val="231F20"/>
          <w:spacing w:val="-2"/>
        </w:rPr>
        <w:t>удерживать</w:t>
      </w:r>
      <w:r>
        <w:rPr>
          <w:color w:val="231F20"/>
          <w:spacing w:val="-5"/>
        </w:rPr>
        <w:t> </w:t>
      </w:r>
      <w:r>
        <w:rPr>
          <w:color w:val="231F20"/>
          <w:spacing w:val="-2"/>
        </w:rPr>
        <w:t>медиатор,</w:t>
      </w:r>
      <w:r>
        <w:rPr>
          <w:color w:val="231F20"/>
          <w:spacing w:val="-5"/>
        </w:rPr>
        <w:t> </w:t>
      </w:r>
      <w:r>
        <w:rPr>
          <w:color w:val="231F20"/>
          <w:spacing w:val="-2"/>
        </w:rPr>
        <w:t>проводящий</w:t>
      </w:r>
      <w:r>
        <w:rPr>
          <w:color w:val="231F20"/>
          <w:spacing w:val="-5"/>
        </w:rPr>
        <w:t> </w:t>
      </w:r>
      <w:r>
        <w:rPr>
          <w:color w:val="231F20"/>
          <w:spacing w:val="-2"/>
        </w:rPr>
        <w:t>медиацию</w:t>
      </w:r>
      <w:r>
        <w:rPr>
          <w:color w:val="231F20"/>
          <w:spacing w:val="-5"/>
        </w:rPr>
        <w:t> </w:t>
      </w:r>
      <w:r>
        <w:rPr>
          <w:color w:val="231F20"/>
          <w:spacing w:val="-2"/>
        </w:rPr>
        <w:t>в </w:t>
      </w:r>
      <w:r>
        <w:rPr>
          <w:color w:val="231F20"/>
        </w:rPr>
        <w:t>межэтническом</w:t>
      </w:r>
      <w:r>
        <w:rPr>
          <w:color w:val="231F20"/>
          <w:spacing w:val="-8"/>
        </w:rPr>
        <w:t> </w:t>
      </w:r>
      <w:r>
        <w:rPr>
          <w:color w:val="231F20"/>
        </w:rPr>
        <w:t>конфликте:</w:t>
      </w:r>
      <w:r>
        <w:rPr>
          <w:color w:val="231F20"/>
          <w:spacing w:val="-8"/>
        </w:rPr>
        <w:t> </w:t>
      </w:r>
      <w:r>
        <w:rPr>
          <w:color w:val="231F20"/>
        </w:rPr>
        <w:t>не</w:t>
      </w:r>
      <w:r>
        <w:rPr>
          <w:color w:val="231F20"/>
          <w:spacing w:val="-8"/>
        </w:rPr>
        <w:t> </w:t>
      </w:r>
      <w:r>
        <w:rPr>
          <w:color w:val="231F20"/>
        </w:rPr>
        <w:t>нарушает</w:t>
      </w:r>
      <w:r>
        <w:rPr>
          <w:color w:val="231F20"/>
          <w:spacing w:val="-8"/>
        </w:rPr>
        <w:t> </w:t>
      </w:r>
      <w:r>
        <w:rPr>
          <w:color w:val="231F20"/>
        </w:rPr>
        <w:t>ли</w:t>
      </w:r>
      <w:r>
        <w:rPr>
          <w:color w:val="231F20"/>
          <w:spacing w:val="-8"/>
        </w:rPr>
        <w:t> </w:t>
      </w:r>
      <w:r>
        <w:rPr>
          <w:color w:val="231F20"/>
        </w:rPr>
        <w:t>он</w:t>
      </w:r>
      <w:r>
        <w:rPr>
          <w:color w:val="231F20"/>
          <w:spacing w:val="-8"/>
        </w:rPr>
        <w:t> </w:t>
      </w:r>
      <w:r>
        <w:rPr>
          <w:color w:val="231F20"/>
        </w:rPr>
        <w:t>(может</w:t>
      </w:r>
      <w:r>
        <w:rPr>
          <w:color w:val="231F20"/>
          <w:spacing w:val="-8"/>
        </w:rPr>
        <w:t> </w:t>
      </w:r>
      <w:r>
        <w:rPr>
          <w:color w:val="231F20"/>
        </w:rPr>
        <w:t>быть</w:t>
      </w:r>
      <w:r>
        <w:rPr>
          <w:color w:val="231F20"/>
          <w:spacing w:val="-8"/>
        </w:rPr>
        <w:t> </w:t>
      </w:r>
      <w:r>
        <w:rPr>
          <w:color w:val="231F20"/>
        </w:rPr>
        <w:t>невольно</w:t>
      </w:r>
      <w:r>
        <w:rPr>
          <w:color w:val="231F20"/>
          <w:spacing w:val="-8"/>
        </w:rPr>
        <w:t> </w:t>
      </w:r>
      <w:r>
        <w:rPr>
          <w:color w:val="231F20"/>
        </w:rPr>
        <w:t>и</w:t>
      </w:r>
      <w:r>
        <w:rPr>
          <w:color w:val="231F20"/>
          <w:spacing w:val="-8"/>
        </w:rPr>
        <w:t> </w:t>
      </w:r>
      <w:r>
        <w:rPr>
          <w:color w:val="231F20"/>
        </w:rPr>
        <w:t>по</w:t>
      </w:r>
      <w:r>
        <w:rPr>
          <w:color w:val="231F20"/>
          <w:spacing w:val="-8"/>
        </w:rPr>
        <w:t> </w:t>
      </w:r>
      <w:r>
        <w:rPr>
          <w:color w:val="231F20"/>
        </w:rPr>
        <w:t>незнанию) тех культурных норм, которых придерживаются участники конфликта в разговоре с ним?</w:t>
      </w:r>
      <w:r>
        <w:rPr>
          <w:color w:val="231F20"/>
          <w:spacing w:val="-13"/>
        </w:rPr>
        <w:t> </w:t>
      </w:r>
      <w:r>
        <w:rPr>
          <w:color w:val="231F20"/>
        </w:rPr>
        <w:t>Но</w:t>
      </w:r>
      <w:r>
        <w:rPr>
          <w:color w:val="231F20"/>
          <w:spacing w:val="-12"/>
        </w:rPr>
        <w:t> </w:t>
      </w:r>
      <w:r>
        <w:rPr>
          <w:color w:val="231F20"/>
        </w:rPr>
        <w:t>поскольку</w:t>
      </w:r>
      <w:r>
        <w:rPr>
          <w:color w:val="231F20"/>
          <w:spacing w:val="-13"/>
        </w:rPr>
        <w:t> </w:t>
      </w:r>
      <w:r>
        <w:rPr>
          <w:color w:val="231F20"/>
        </w:rPr>
        <w:t>всех</w:t>
      </w:r>
      <w:r>
        <w:rPr>
          <w:color w:val="231F20"/>
          <w:spacing w:val="-12"/>
        </w:rPr>
        <w:t> </w:t>
      </w:r>
      <w:r>
        <w:rPr>
          <w:color w:val="231F20"/>
        </w:rPr>
        <w:t>норм</w:t>
      </w:r>
      <w:r>
        <w:rPr>
          <w:color w:val="231F20"/>
          <w:spacing w:val="-13"/>
        </w:rPr>
        <w:t> </w:t>
      </w:r>
      <w:r>
        <w:rPr>
          <w:color w:val="231F20"/>
        </w:rPr>
        <w:t>разных</w:t>
      </w:r>
      <w:r>
        <w:rPr>
          <w:color w:val="231F20"/>
          <w:spacing w:val="-12"/>
        </w:rPr>
        <w:t> </w:t>
      </w:r>
      <w:r>
        <w:rPr>
          <w:color w:val="231F20"/>
        </w:rPr>
        <w:t>культур</w:t>
      </w:r>
      <w:r>
        <w:rPr>
          <w:color w:val="231F20"/>
          <w:spacing w:val="-13"/>
        </w:rPr>
        <w:t> </w:t>
      </w:r>
      <w:r>
        <w:rPr>
          <w:color w:val="231F20"/>
        </w:rPr>
        <w:t>медиатору</w:t>
      </w:r>
      <w:r>
        <w:rPr>
          <w:color w:val="231F20"/>
          <w:spacing w:val="-12"/>
        </w:rPr>
        <w:t> </w:t>
      </w:r>
      <w:r>
        <w:rPr>
          <w:color w:val="231F20"/>
        </w:rPr>
        <w:t>знать</w:t>
      </w:r>
      <w:r>
        <w:rPr>
          <w:color w:val="231F20"/>
          <w:spacing w:val="-13"/>
        </w:rPr>
        <w:t> </w:t>
      </w:r>
      <w:r>
        <w:rPr>
          <w:color w:val="231F20"/>
        </w:rPr>
        <w:t>невозможно,</w:t>
      </w:r>
      <w:r>
        <w:rPr>
          <w:color w:val="231F20"/>
          <w:spacing w:val="-12"/>
        </w:rPr>
        <w:t> </w:t>
      </w:r>
      <w:r>
        <w:rPr>
          <w:color w:val="231F20"/>
        </w:rPr>
        <w:t>он</w:t>
      </w:r>
      <w:r>
        <w:rPr>
          <w:color w:val="231F20"/>
          <w:spacing w:val="-13"/>
        </w:rPr>
        <w:t> </w:t>
      </w:r>
      <w:r>
        <w:rPr>
          <w:color w:val="231F20"/>
        </w:rPr>
        <w:t>может попросить участника сказать, если вдруг тому покажется, что медиатор как-то задел либо нарушил эти нормы.</w:t>
      </w:r>
    </w:p>
    <w:p>
      <w:pPr>
        <w:pStyle w:val="BodyText"/>
        <w:spacing w:line="230" w:lineRule="auto"/>
      </w:pPr>
      <w:r>
        <w:rPr>
          <w:color w:val="231F20"/>
        </w:rPr>
        <w:t>При этом надо учитывать, что у носителей разных культур могут оказаться раз- ные</w:t>
      </w:r>
      <w:r>
        <w:rPr>
          <w:color w:val="231F20"/>
          <w:spacing w:val="-1"/>
        </w:rPr>
        <w:t> </w:t>
      </w:r>
      <w:r>
        <w:rPr>
          <w:color w:val="231F20"/>
        </w:rPr>
        <w:t>представления</w:t>
      </w:r>
      <w:r>
        <w:rPr>
          <w:color w:val="231F20"/>
          <w:spacing w:val="-1"/>
        </w:rPr>
        <w:t> </w:t>
      </w:r>
      <w:r>
        <w:rPr>
          <w:color w:val="231F20"/>
        </w:rPr>
        <w:t>о</w:t>
      </w:r>
      <w:r>
        <w:rPr>
          <w:color w:val="231F20"/>
          <w:spacing w:val="-1"/>
        </w:rPr>
        <w:t> </w:t>
      </w:r>
      <w:r>
        <w:rPr>
          <w:color w:val="231F20"/>
        </w:rPr>
        <w:t>том,</w:t>
      </w:r>
      <w:r>
        <w:rPr>
          <w:color w:val="231F20"/>
          <w:spacing w:val="-1"/>
        </w:rPr>
        <w:t> </w:t>
      </w:r>
      <w:r>
        <w:rPr>
          <w:color w:val="231F20"/>
        </w:rPr>
        <w:t>что</w:t>
      </w:r>
      <w:r>
        <w:rPr>
          <w:color w:val="231F20"/>
          <w:spacing w:val="-1"/>
        </w:rPr>
        <w:t> </w:t>
      </w:r>
      <w:r>
        <w:rPr>
          <w:color w:val="231F20"/>
        </w:rPr>
        <w:t>является</w:t>
      </w:r>
      <w:r>
        <w:rPr>
          <w:color w:val="231F20"/>
          <w:spacing w:val="-1"/>
        </w:rPr>
        <w:t> </w:t>
      </w:r>
      <w:r>
        <w:rPr>
          <w:color w:val="231F20"/>
        </w:rPr>
        <w:t>приемлемым</w:t>
      </w:r>
      <w:r>
        <w:rPr>
          <w:color w:val="231F20"/>
          <w:spacing w:val="-1"/>
        </w:rPr>
        <w:t> </w:t>
      </w:r>
      <w:r>
        <w:rPr>
          <w:color w:val="231F20"/>
        </w:rPr>
        <w:t>с</w:t>
      </w:r>
      <w:r>
        <w:rPr>
          <w:color w:val="231F20"/>
          <w:spacing w:val="-1"/>
        </w:rPr>
        <w:t> </w:t>
      </w:r>
      <w:r>
        <w:rPr>
          <w:color w:val="231F20"/>
        </w:rPr>
        <w:t>точки</w:t>
      </w:r>
      <w:r>
        <w:rPr>
          <w:color w:val="231F20"/>
          <w:spacing w:val="-1"/>
        </w:rPr>
        <w:t> </w:t>
      </w:r>
      <w:r>
        <w:rPr>
          <w:color w:val="231F20"/>
        </w:rPr>
        <w:t>зрения</w:t>
      </w:r>
      <w:r>
        <w:rPr>
          <w:color w:val="231F20"/>
          <w:spacing w:val="-1"/>
        </w:rPr>
        <w:t> </w:t>
      </w:r>
      <w:r>
        <w:rPr>
          <w:color w:val="231F20"/>
        </w:rPr>
        <w:t>реагирования</w:t>
      </w:r>
      <w:r>
        <w:rPr>
          <w:color w:val="231F20"/>
          <w:spacing w:val="-1"/>
        </w:rPr>
        <w:t> </w:t>
      </w:r>
      <w:r>
        <w:rPr>
          <w:color w:val="231F20"/>
        </w:rPr>
        <w:t>на конфликт, а что выходит за рамки и выглядит как агрессия и эскалация конфликта. То есть в ходе конфликта участники стоят перед выбором: считать ли противопо- ложную</w:t>
      </w:r>
      <w:r>
        <w:rPr>
          <w:color w:val="231F20"/>
          <w:spacing w:val="-10"/>
        </w:rPr>
        <w:t> </w:t>
      </w:r>
      <w:r>
        <w:rPr>
          <w:color w:val="231F20"/>
        </w:rPr>
        <w:t>сторону</w:t>
      </w:r>
      <w:r>
        <w:rPr>
          <w:color w:val="231F20"/>
          <w:spacing w:val="-10"/>
        </w:rPr>
        <w:t> </w:t>
      </w:r>
      <w:r>
        <w:rPr>
          <w:color w:val="231F20"/>
        </w:rPr>
        <w:t>врагом,</w:t>
      </w:r>
      <w:r>
        <w:rPr>
          <w:color w:val="231F20"/>
          <w:spacing w:val="-10"/>
        </w:rPr>
        <w:t> </w:t>
      </w:r>
      <w:r>
        <w:rPr>
          <w:color w:val="231F20"/>
        </w:rPr>
        <w:t>которого</w:t>
      </w:r>
      <w:r>
        <w:rPr>
          <w:color w:val="231F20"/>
          <w:spacing w:val="-10"/>
        </w:rPr>
        <w:t> </w:t>
      </w:r>
      <w:r>
        <w:rPr>
          <w:color w:val="231F20"/>
        </w:rPr>
        <w:t>можно</w:t>
      </w:r>
      <w:r>
        <w:rPr>
          <w:color w:val="231F20"/>
          <w:spacing w:val="-10"/>
        </w:rPr>
        <w:t> </w:t>
      </w:r>
      <w:r>
        <w:rPr>
          <w:color w:val="231F20"/>
        </w:rPr>
        <w:t>только</w:t>
      </w:r>
      <w:r>
        <w:rPr>
          <w:color w:val="231F20"/>
          <w:spacing w:val="-10"/>
        </w:rPr>
        <w:t> </w:t>
      </w:r>
      <w:r>
        <w:rPr>
          <w:color w:val="231F20"/>
        </w:rPr>
        <w:t>принудить</w:t>
      </w:r>
      <w:r>
        <w:rPr>
          <w:color w:val="231F20"/>
          <w:spacing w:val="-10"/>
        </w:rPr>
        <w:t> </w:t>
      </w:r>
      <w:r>
        <w:rPr>
          <w:color w:val="231F20"/>
        </w:rPr>
        <w:t>к</w:t>
      </w:r>
      <w:r>
        <w:rPr>
          <w:color w:val="231F20"/>
          <w:spacing w:val="-10"/>
        </w:rPr>
        <w:t> </w:t>
      </w:r>
      <w:r>
        <w:rPr>
          <w:color w:val="231F20"/>
        </w:rPr>
        <w:t>желаемому</w:t>
      </w:r>
      <w:r>
        <w:rPr>
          <w:color w:val="231F20"/>
          <w:spacing w:val="-10"/>
        </w:rPr>
        <w:t> </w:t>
      </w:r>
      <w:r>
        <w:rPr>
          <w:color w:val="231F20"/>
        </w:rPr>
        <w:t>результату, или можно рискнуть, довериться и попробовать уладить ситуацию мирно и путем переговоров. И это шаткое равновесие может быть изменено в сторону ответных агрессивных</w:t>
      </w:r>
      <w:r>
        <w:rPr>
          <w:color w:val="231F20"/>
          <w:spacing w:val="-1"/>
        </w:rPr>
        <w:t> </w:t>
      </w:r>
      <w:r>
        <w:rPr>
          <w:color w:val="231F20"/>
        </w:rPr>
        <w:t>действий</w:t>
      </w:r>
      <w:r>
        <w:rPr>
          <w:color w:val="231F20"/>
          <w:spacing w:val="-1"/>
        </w:rPr>
        <w:t> </w:t>
      </w:r>
      <w:r>
        <w:rPr>
          <w:color w:val="231F20"/>
        </w:rPr>
        <w:t>из-за</w:t>
      </w:r>
      <w:r>
        <w:rPr>
          <w:color w:val="231F20"/>
          <w:spacing w:val="-1"/>
        </w:rPr>
        <w:t> </w:t>
      </w:r>
      <w:r>
        <w:rPr>
          <w:color w:val="231F20"/>
        </w:rPr>
        <w:t>неверного</w:t>
      </w:r>
      <w:r>
        <w:rPr>
          <w:color w:val="231F20"/>
          <w:spacing w:val="-1"/>
        </w:rPr>
        <w:t> </w:t>
      </w:r>
      <w:r>
        <w:rPr>
          <w:color w:val="231F20"/>
        </w:rPr>
        <w:t>истолкования</w:t>
      </w:r>
      <w:r>
        <w:rPr>
          <w:color w:val="231F20"/>
          <w:spacing w:val="-1"/>
        </w:rPr>
        <w:t> </w:t>
      </w:r>
      <w:r>
        <w:rPr>
          <w:color w:val="231F20"/>
        </w:rPr>
        <w:t>поведения</w:t>
      </w:r>
      <w:r>
        <w:rPr>
          <w:color w:val="231F20"/>
          <w:spacing w:val="-1"/>
        </w:rPr>
        <w:t> </w:t>
      </w:r>
      <w:r>
        <w:rPr>
          <w:color w:val="231F20"/>
        </w:rPr>
        <w:t>другой</w:t>
      </w:r>
      <w:r>
        <w:rPr>
          <w:color w:val="231F20"/>
          <w:spacing w:val="-1"/>
        </w:rPr>
        <w:t> </w:t>
      </w:r>
      <w:r>
        <w:rPr>
          <w:color w:val="231F20"/>
        </w:rPr>
        <w:t>стороны.</w:t>
      </w:r>
      <w:r>
        <w:rPr>
          <w:color w:val="231F20"/>
          <w:spacing w:val="-1"/>
        </w:rPr>
        <w:t> </w:t>
      </w:r>
      <w:r>
        <w:rPr>
          <w:color w:val="231F20"/>
        </w:rPr>
        <w:t>То, что в одной культуре является приемлемым (например, эмоциональные вспышки и громкое</w:t>
      </w:r>
      <w:r>
        <w:rPr>
          <w:color w:val="231F20"/>
          <w:spacing w:val="-4"/>
        </w:rPr>
        <w:t> </w:t>
      </w:r>
      <w:r>
        <w:rPr>
          <w:color w:val="231F20"/>
        </w:rPr>
        <w:t>убеждение,</w:t>
      </w:r>
      <w:r>
        <w:rPr>
          <w:color w:val="231F20"/>
          <w:spacing w:val="-4"/>
        </w:rPr>
        <w:t> </w:t>
      </w:r>
      <w:r>
        <w:rPr>
          <w:color w:val="231F20"/>
        </w:rPr>
        <w:t>либо</w:t>
      </w:r>
      <w:r>
        <w:rPr>
          <w:color w:val="231F20"/>
          <w:spacing w:val="-4"/>
        </w:rPr>
        <w:t> </w:t>
      </w:r>
      <w:r>
        <w:rPr>
          <w:color w:val="231F20"/>
        </w:rPr>
        <w:t>быстрый</w:t>
      </w:r>
      <w:r>
        <w:rPr>
          <w:color w:val="231F20"/>
          <w:spacing w:val="-4"/>
        </w:rPr>
        <w:t> </w:t>
      </w:r>
      <w:r>
        <w:rPr>
          <w:color w:val="231F20"/>
        </w:rPr>
        <w:t>переход</w:t>
      </w:r>
      <w:r>
        <w:rPr>
          <w:color w:val="231F20"/>
          <w:spacing w:val="-4"/>
        </w:rPr>
        <w:t> </w:t>
      </w:r>
      <w:r>
        <w:rPr>
          <w:color w:val="231F20"/>
        </w:rPr>
        <w:t>к</w:t>
      </w:r>
      <w:r>
        <w:rPr>
          <w:color w:val="231F20"/>
          <w:spacing w:val="-4"/>
        </w:rPr>
        <w:t> </w:t>
      </w:r>
      <w:r>
        <w:rPr>
          <w:color w:val="231F20"/>
        </w:rPr>
        <w:t>переговорам),</w:t>
      </w:r>
      <w:r>
        <w:rPr>
          <w:color w:val="231F20"/>
          <w:spacing w:val="-4"/>
        </w:rPr>
        <w:t> </w:t>
      </w:r>
      <w:r>
        <w:rPr>
          <w:color w:val="231F20"/>
        </w:rPr>
        <w:t>в</w:t>
      </w:r>
      <w:r>
        <w:rPr>
          <w:color w:val="231F20"/>
          <w:spacing w:val="-4"/>
        </w:rPr>
        <w:t> </w:t>
      </w:r>
      <w:r>
        <w:rPr>
          <w:color w:val="231F20"/>
        </w:rPr>
        <w:t>другой</w:t>
      </w:r>
      <w:r>
        <w:rPr>
          <w:color w:val="231F20"/>
          <w:spacing w:val="-4"/>
        </w:rPr>
        <w:t> </w:t>
      </w:r>
      <w:r>
        <w:rPr>
          <w:color w:val="231F20"/>
        </w:rPr>
        <w:t>может</w:t>
      </w:r>
      <w:r>
        <w:rPr>
          <w:color w:val="231F20"/>
          <w:spacing w:val="-4"/>
        </w:rPr>
        <w:t> </w:t>
      </w:r>
      <w:r>
        <w:rPr>
          <w:color w:val="231F20"/>
        </w:rPr>
        <w:t>являться признаком неуважения или слабости.</w:t>
      </w:r>
    </w:p>
    <w:p>
      <w:pPr>
        <w:spacing w:line="225" w:lineRule="exact" w:before="79"/>
        <w:ind w:left="425" w:right="0" w:firstLine="0"/>
        <w:jc w:val="both"/>
        <w:rPr>
          <w:b/>
          <w:sz w:val="20"/>
        </w:rPr>
      </w:pPr>
      <w:r>
        <w:rPr>
          <w:b/>
          <w:color w:val="231F20"/>
          <w:sz w:val="20"/>
        </w:rPr>
        <w:t>Учет</w:t>
      </w:r>
      <w:r>
        <w:rPr>
          <w:b/>
          <w:color w:val="231F20"/>
          <w:spacing w:val="-9"/>
          <w:sz w:val="20"/>
        </w:rPr>
        <w:t> </w:t>
      </w:r>
      <w:r>
        <w:rPr>
          <w:b/>
          <w:color w:val="231F20"/>
          <w:sz w:val="20"/>
        </w:rPr>
        <w:t>культурных</w:t>
      </w:r>
      <w:r>
        <w:rPr>
          <w:b/>
          <w:color w:val="231F20"/>
          <w:spacing w:val="-8"/>
          <w:sz w:val="20"/>
        </w:rPr>
        <w:t> </w:t>
      </w:r>
      <w:r>
        <w:rPr>
          <w:b/>
          <w:color w:val="231F20"/>
          <w:sz w:val="20"/>
        </w:rPr>
        <w:t>различий</w:t>
      </w:r>
      <w:r>
        <w:rPr>
          <w:b/>
          <w:color w:val="231F20"/>
          <w:spacing w:val="-8"/>
          <w:sz w:val="20"/>
        </w:rPr>
        <w:t> </w:t>
      </w:r>
      <w:r>
        <w:rPr>
          <w:b/>
          <w:color w:val="231F20"/>
          <w:sz w:val="20"/>
        </w:rPr>
        <w:t>в</w:t>
      </w:r>
      <w:r>
        <w:rPr>
          <w:b/>
          <w:color w:val="231F20"/>
          <w:spacing w:val="-8"/>
          <w:sz w:val="20"/>
        </w:rPr>
        <w:t> </w:t>
      </w:r>
      <w:r>
        <w:rPr>
          <w:b/>
          <w:color w:val="231F20"/>
          <w:sz w:val="20"/>
        </w:rPr>
        <w:t>разрешении</w:t>
      </w:r>
      <w:r>
        <w:rPr>
          <w:b/>
          <w:color w:val="231F20"/>
          <w:spacing w:val="-8"/>
          <w:sz w:val="20"/>
        </w:rPr>
        <w:t> </w:t>
      </w:r>
      <w:r>
        <w:rPr>
          <w:b/>
          <w:color w:val="231F20"/>
          <w:spacing w:val="-2"/>
          <w:sz w:val="20"/>
        </w:rPr>
        <w:t>конфликтов</w:t>
      </w:r>
    </w:p>
    <w:p>
      <w:pPr>
        <w:pStyle w:val="BodyText"/>
        <w:spacing w:line="232" w:lineRule="auto" w:before="1"/>
      </w:pPr>
      <w:r>
        <w:rPr>
          <w:color w:val="231F20"/>
        </w:rPr>
        <w:t>Н.И.</w:t>
      </w:r>
      <w:r>
        <w:rPr>
          <w:color w:val="231F20"/>
          <w:spacing w:val="-7"/>
        </w:rPr>
        <w:t> </w:t>
      </w:r>
      <w:r>
        <w:rPr>
          <w:color w:val="231F20"/>
        </w:rPr>
        <w:t>Григорьев</w:t>
      </w:r>
      <w:r>
        <w:rPr>
          <w:color w:val="231F20"/>
          <w:spacing w:val="-7"/>
        </w:rPr>
        <w:t> </w:t>
      </w:r>
      <w:r>
        <w:rPr>
          <w:color w:val="231F20"/>
        </w:rPr>
        <w:t>в</w:t>
      </w:r>
      <w:r>
        <w:rPr>
          <w:color w:val="231F20"/>
          <w:spacing w:val="-7"/>
        </w:rPr>
        <w:t> </w:t>
      </w:r>
      <w:r>
        <w:rPr>
          <w:color w:val="231F20"/>
        </w:rPr>
        <w:t>своей</w:t>
      </w:r>
      <w:r>
        <w:rPr>
          <w:color w:val="231F20"/>
          <w:spacing w:val="-7"/>
        </w:rPr>
        <w:t> </w:t>
      </w:r>
      <w:r>
        <w:rPr>
          <w:color w:val="231F20"/>
        </w:rPr>
        <w:t>книге</w:t>
      </w:r>
      <w:r>
        <w:rPr>
          <w:color w:val="231F20"/>
          <w:spacing w:val="-7"/>
        </w:rPr>
        <w:t> </w:t>
      </w:r>
      <w:r>
        <w:rPr>
          <w:color w:val="231F20"/>
        </w:rPr>
        <w:t>«Методические</w:t>
      </w:r>
      <w:r>
        <w:rPr>
          <w:color w:val="231F20"/>
          <w:spacing w:val="-7"/>
        </w:rPr>
        <w:t> </w:t>
      </w:r>
      <w:r>
        <w:rPr>
          <w:color w:val="231F20"/>
        </w:rPr>
        <w:t>материалы</w:t>
      </w:r>
      <w:r>
        <w:rPr>
          <w:color w:val="231F20"/>
          <w:spacing w:val="-7"/>
        </w:rPr>
        <w:t> </w:t>
      </w:r>
      <w:r>
        <w:rPr>
          <w:color w:val="231F20"/>
        </w:rPr>
        <w:t>тренера-медиатора</w:t>
      </w:r>
      <w:r>
        <w:rPr>
          <w:color w:val="231F20"/>
          <w:spacing w:val="-7"/>
        </w:rPr>
        <w:t> </w:t>
      </w:r>
      <w:r>
        <w:rPr>
          <w:color w:val="231F20"/>
        </w:rPr>
        <w:t>в</w:t>
      </w:r>
      <w:r>
        <w:rPr>
          <w:color w:val="231F20"/>
          <w:spacing w:val="-7"/>
        </w:rPr>
        <w:t> </w:t>
      </w:r>
      <w:r>
        <w:rPr>
          <w:color w:val="231F20"/>
        </w:rPr>
        <w:t>об- ласти межэтнических и межконфессиональных конфликтов» (Григорьев, 2016) рас- сматривает различия культур в контексте разрешения конфликтов. Он показывает, что то, что в одной культуре является естественным, в другой может выглядеть как нонсенс или даже оскорбление. Причем обычно внутри культуры эти особенности настолько</w:t>
      </w:r>
      <w:r>
        <w:rPr>
          <w:color w:val="231F20"/>
          <w:spacing w:val="-5"/>
        </w:rPr>
        <w:t> </w:t>
      </w:r>
      <w:r>
        <w:rPr>
          <w:color w:val="231F20"/>
        </w:rPr>
        <w:t>привычны,</w:t>
      </w:r>
      <w:r>
        <w:rPr>
          <w:color w:val="231F20"/>
          <w:spacing w:val="-5"/>
        </w:rPr>
        <w:t> </w:t>
      </w:r>
      <w:r>
        <w:rPr>
          <w:color w:val="231F20"/>
        </w:rPr>
        <w:t>что</w:t>
      </w:r>
      <w:r>
        <w:rPr>
          <w:color w:val="231F20"/>
          <w:spacing w:val="-5"/>
        </w:rPr>
        <w:t> </w:t>
      </w:r>
      <w:r>
        <w:rPr>
          <w:color w:val="231F20"/>
        </w:rPr>
        <w:t>не</w:t>
      </w:r>
      <w:r>
        <w:rPr>
          <w:color w:val="231F20"/>
          <w:spacing w:val="-5"/>
        </w:rPr>
        <w:t> </w:t>
      </w:r>
      <w:r>
        <w:rPr>
          <w:color w:val="231F20"/>
        </w:rPr>
        <w:t>рефлексируются</w:t>
      </w:r>
      <w:r>
        <w:rPr>
          <w:color w:val="231F20"/>
          <w:spacing w:val="-5"/>
        </w:rPr>
        <w:t> </w:t>
      </w:r>
      <w:r>
        <w:rPr>
          <w:color w:val="231F20"/>
        </w:rPr>
        <w:t>ее</w:t>
      </w:r>
      <w:r>
        <w:rPr>
          <w:color w:val="231F20"/>
          <w:spacing w:val="-5"/>
        </w:rPr>
        <w:t> </w:t>
      </w:r>
      <w:r>
        <w:rPr>
          <w:color w:val="231F20"/>
        </w:rPr>
        <w:t>членами,</w:t>
      </w:r>
      <w:r>
        <w:rPr>
          <w:color w:val="231F20"/>
          <w:spacing w:val="-5"/>
        </w:rPr>
        <w:t> </w:t>
      </w:r>
      <w:r>
        <w:rPr>
          <w:color w:val="231F20"/>
        </w:rPr>
        <w:t>поскольку</w:t>
      </w:r>
      <w:r>
        <w:rPr>
          <w:color w:val="231F20"/>
          <w:spacing w:val="-5"/>
        </w:rPr>
        <w:t> </w:t>
      </w:r>
      <w:r>
        <w:rPr>
          <w:color w:val="231F20"/>
        </w:rPr>
        <w:t>им</w:t>
      </w:r>
      <w:r>
        <w:rPr>
          <w:color w:val="231F20"/>
          <w:spacing w:val="-5"/>
        </w:rPr>
        <w:t> </w:t>
      </w:r>
      <w:r>
        <w:rPr>
          <w:color w:val="231F20"/>
        </w:rPr>
        <w:t>кажется,</w:t>
      </w:r>
      <w:r>
        <w:rPr>
          <w:color w:val="231F20"/>
          <w:spacing w:val="-5"/>
        </w:rPr>
        <w:t> </w:t>
      </w:r>
      <w:r>
        <w:rPr>
          <w:color w:val="231F20"/>
        </w:rPr>
        <w:t>что иначе просто быть не может.</w:t>
      </w:r>
    </w:p>
    <w:p>
      <w:pPr>
        <w:pStyle w:val="BodyText"/>
        <w:spacing w:line="219" w:lineRule="exact"/>
        <w:ind w:left="425" w:right="0" w:firstLine="0"/>
      </w:pPr>
      <w:r>
        <w:rPr>
          <w:color w:val="231F20"/>
        </w:rPr>
        <w:t>Вот</w:t>
      </w:r>
      <w:r>
        <w:rPr>
          <w:color w:val="231F20"/>
          <w:spacing w:val="-7"/>
        </w:rPr>
        <w:t> </w:t>
      </w:r>
      <w:r>
        <w:rPr>
          <w:color w:val="231F20"/>
        </w:rPr>
        <w:t>некоторые</w:t>
      </w:r>
      <w:r>
        <w:rPr>
          <w:color w:val="231F20"/>
          <w:spacing w:val="-5"/>
        </w:rPr>
        <w:t> </w:t>
      </w:r>
      <w:r>
        <w:rPr>
          <w:color w:val="231F20"/>
        </w:rPr>
        <w:t>из</w:t>
      </w:r>
      <w:r>
        <w:rPr>
          <w:color w:val="231F20"/>
          <w:spacing w:val="-4"/>
        </w:rPr>
        <w:t> </w:t>
      </w:r>
      <w:r>
        <w:rPr>
          <w:color w:val="231F20"/>
        </w:rPr>
        <w:t>этих</w:t>
      </w:r>
      <w:r>
        <w:rPr>
          <w:color w:val="231F20"/>
          <w:spacing w:val="-5"/>
        </w:rPr>
        <w:t> </w:t>
      </w:r>
      <w:r>
        <w:rPr>
          <w:color w:val="231F20"/>
        </w:rPr>
        <w:t>различий,</w:t>
      </w:r>
      <w:r>
        <w:rPr>
          <w:color w:val="231F20"/>
          <w:spacing w:val="-5"/>
        </w:rPr>
        <w:t> </w:t>
      </w:r>
      <w:r>
        <w:rPr>
          <w:color w:val="231F20"/>
        </w:rPr>
        <w:t>описываемые</w:t>
      </w:r>
      <w:r>
        <w:rPr>
          <w:color w:val="231F20"/>
          <w:spacing w:val="-4"/>
        </w:rPr>
        <w:t> </w:t>
      </w:r>
      <w:r>
        <w:rPr>
          <w:color w:val="231F20"/>
          <w:spacing w:val="-2"/>
        </w:rPr>
        <w:t>Григорьевым.</w:t>
      </w:r>
    </w:p>
    <w:p>
      <w:pPr>
        <w:pStyle w:val="ListParagraph"/>
        <w:numPr>
          <w:ilvl w:val="0"/>
          <w:numId w:val="147"/>
        </w:numPr>
        <w:tabs>
          <w:tab w:pos="425" w:val="left" w:leader="none"/>
        </w:tabs>
        <w:spacing w:line="235" w:lineRule="auto" w:before="1" w:after="0"/>
        <w:ind w:left="425" w:right="139" w:hanging="284"/>
        <w:jc w:val="both"/>
        <w:rPr>
          <w:sz w:val="20"/>
        </w:rPr>
      </w:pPr>
      <w:r>
        <w:rPr>
          <w:i/>
          <w:color w:val="231F20"/>
          <w:sz w:val="20"/>
        </w:rPr>
        <w:t>Время </w:t>
      </w:r>
      <w:r>
        <w:rPr>
          <w:color w:val="231F20"/>
          <w:sz w:val="20"/>
        </w:rPr>
        <w:t>в монохронных культурах является важным ресурсом, оно «стоит денег», включается в планы и графики и пр. Пример: «Встреча начнется такого-то числа</w:t>
      </w:r>
    </w:p>
    <w:p>
      <w:pPr>
        <w:pStyle w:val="ListParagraph"/>
        <w:spacing w:after="0" w:line="235" w:lineRule="auto"/>
        <w:jc w:val="both"/>
        <w:rPr>
          <w:sz w:val="20"/>
        </w:rPr>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left="425" w:firstLine="0"/>
      </w:pPr>
      <w:r>
        <w:rPr>
          <w:color w:val="231F20"/>
        </w:rPr>
        <w:t>ровно</w:t>
      </w:r>
      <w:r>
        <w:rPr>
          <w:color w:val="231F20"/>
          <w:spacing w:val="-8"/>
        </w:rPr>
        <w:t> </w:t>
      </w:r>
      <w:r>
        <w:rPr>
          <w:color w:val="231F20"/>
        </w:rPr>
        <w:t>во</w:t>
      </w:r>
      <w:r>
        <w:rPr>
          <w:color w:val="231F20"/>
          <w:spacing w:val="-8"/>
        </w:rPr>
        <w:t> </w:t>
      </w:r>
      <w:r>
        <w:rPr>
          <w:color w:val="231F20"/>
        </w:rPr>
        <w:t>столько-то».</w:t>
      </w:r>
      <w:r>
        <w:rPr>
          <w:color w:val="231F20"/>
          <w:spacing w:val="-8"/>
        </w:rPr>
        <w:t> </w:t>
      </w:r>
      <w:r>
        <w:rPr>
          <w:color w:val="231F20"/>
        </w:rPr>
        <w:t>В</w:t>
      </w:r>
      <w:r>
        <w:rPr>
          <w:color w:val="231F20"/>
          <w:spacing w:val="-8"/>
        </w:rPr>
        <w:t> </w:t>
      </w:r>
      <w:r>
        <w:rPr>
          <w:color w:val="231F20"/>
        </w:rPr>
        <w:t>полихронных</w:t>
      </w:r>
      <w:r>
        <w:rPr>
          <w:color w:val="231F20"/>
          <w:spacing w:val="-8"/>
        </w:rPr>
        <w:t> </w:t>
      </w:r>
      <w:r>
        <w:rPr>
          <w:color w:val="231F20"/>
        </w:rPr>
        <w:t>культурах</w:t>
      </w:r>
      <w:r>
        <w:rPr>
          <w:color w:val="231F20"/>
          <w:spacing w:val="-8"/>
        </w:rPr>
        <w:t> </w:t>
      </w:r>
      <w:r>
        <w:rPr>
          <w:color w:val="231F20"/>
        </w:rPr>
        <w:t>важнее</w:t>
      </w:r>
      <w:r>
        <w:rPr>
          <w:color w:val="231F20"/>
          <w:spacing w:val="-8"/>
        </w:rPr>
        <w:t> </w:t>
      </w:r>
      <w:r>
        <w:rPr>
          <w:color w:val="231F20"/>
        </w:rPr>
        <w:t>традиции</w:t>
      </w:r>
      <w:r>
        <w:rPr>
          <w:color w:val="231F20"/>
          <w:spacing w:val="-8"/>
        </w:rPr>
        <w:t> </w:t>
      </w:r>
      <w:r>
        <w:rPr>
          <w:color w:val="231F20"/>
        </w:rPr>
        <w:t>и</w:t>
      </w:r>
      <w:r>
        <w:rPr>
          <w:color w:val="231F20"/>
          <w:spacing w:val="-8"/>
        </w:rPr>
        <w:t> </w:t>
      </w:r>
      <w:r>
        <w:rPr>
          <w:color w:val="231F20"/>
        </w:rPr>
        <w:t>отношения,</w:t>
      </w:r>
      <w:r>
        <w:rPr>
          <w:color w:val="231F20"/>
          <w:spacing w:val="-8"/>
        </w:rPr>
        <w:t> </w:t>
      </w:r>
      <w:r>
        <w:rPr>
          <w:color w:val="231F20"/>
        </w:rPr>
        <w:t>а время лишь ресурс для них. Пример: «Встреча начнется, когда все соберутся».</w:t>
      </w:r>
    </w:p>
    <w:p>
      <w:pPr>
        <w:pStyle w:val="ListParagraph"/>
        <w:numPr>
          <w:ilvl w:val="0"/>
          <w:numId w:val="147"/>
        </w:numPr>
        <w:tabs>
          <w:tab w:pos="425" w:val="left" w:leader="none"/>
        </w:tabs>
        <w:spacing w:line="235" w:lineRule="auto" w:before="1" w:after="0"/>
        <w:ind w:left="425" w:right="139" w:hanging="284"/>
        <w:jc w:val="both"/>
        <w:rPr>
          <w:sz w:val="20"/>
        </w:rPr>
      </w:pPr>
      <w:r>
        <w:rPr>
          <w:i/>
          <w:color w:val="231F20"/>
          <w:sz w:val="20"/>
        </w:rPr>
        <w:t>Дистанция</w:t>
      </w:r>
      <w:r>
        <w:rPr>
          <w:i/>
          <w:color w:val="231F20"/>
          <w:spacing w:val="-12"/>
          <w:sz w:val="20"/>
        </w:rPr>
        <w:t> </w:t>
      </w:r>
      <w:r>
        <w:rPr>
          <w:i/>
          <w:color w:val="231F20"/>
          <w:sz w:val="20"/>
        </w:rPr>
        <w:t>власти</w:t>
      </w:r>
      <w:r>
        <w:rPr>
          <w:color w:val="231F20"/>
          <w:sz w:val="20"/>
        </w:rPr>
        <w:t>.</w:t>
      </w:r>
      <w:r>
        <w:rPr>
          <w:color w:val="231F20"/>
          <w:spacing w:val="-12"/>
          <w:sz w:val="20"/>
        </w:rPr>
        <w:t> </w:t>
      </w:r>
      <w:r>
        <w:rPr>
          <w:color w:val="231F20"/>
          <w:sz w:val="20"/>
        </w:rPr>
        <w:t>В</w:t>
      </w:r>
      <w:r>
        <w:rPr>
          <w:color w:val="231F20"/>
          <w:spacing w:val="-12"/>
          <w:sz w:val="20"/>
        </w:rPr>
        <w:t> </w:t>
      </w:r>
      <w:r>
        <w:rPr>
          <w:color w:val="231F20"/>
          <w:sz w:val="20"/>
        </w:rPr>
        <w:t>культурах</w:t>
      </w:r>
      <w:r>
        <w:rPr>
          <w:color w:val="231F20"/>
          <w:spacing w:val="-12"/>
          <w:sz w:val="20"/>
        </w:rPr>
        <w:t> </w:t>
      </w:r>
      <w:r>
        <w:rPr>
          <w:color w:val="231F20"/>
          <w:sz w:val="20"/>
        </w:rPr>
        <w:t>с</w:t>
      </w:r>
      <w:r>
        <w:rPr>
          <w:color w:val="231F20"/>
          <w:spacing w:val="-12"/>
          <w:sz w:val="20"/>
        </w:rPr>
        <w:t> </w:t>
      </w:r>
      <w:r>
        <w:rPr>
          <w:color w:val="231F20"/>
          <w:sz w:val="20"/>
        </w:rPr>
        <w:t>высокой</w:t>
      </w:r>
      <w:r>
        <w:rPr>
          <w:color w:val="231F20"/>
          <w:spacing w:val="-12"/>
          <w:sz w:val="20"/>
        </w:rPr>
        <w:t> </w:t>
      </w:r>
      <w:r>
        <w:rPr>
          <w:color w:val="231F20"/>
          <w:sz w:val="20"/>
        </w:rPr>
        <w:t>дистанцией</w:t>
      </w:r>
      <w:r>
        <w:rPr>
          <w:color w:val="231F20"/>
          <w:spacing w:val="-12"/>
          <w:sz w:val="20"/>
        </w:rPr>
        <w:t> </w:t>
      </w:r>
      <w:r>
        <w:rPr>
          <w:color w:val="231F20"/>
          <w:sz w:val="20"/>
        </w:rPr>
        <w:t>власти</w:t>
      </w:r>
      <w:r>
        <w:rPr>
          <w:color w:val="231F20"/>
          <w:spacing w:val="-12"/>
          <w:sz w:val="20"/>
        </w:rPr>
        <w:t> </w:t>
      </w:r>
      <w:r>
        <w:rPr>
          <w:color w:val="231F20"/>
          <w:sz w:val="20"/>
        </w:rPr>
        <w:t>имеют</w:t>
      </w:r>
      <w:r>
        <w:rPr>
          <w:color w:val="231F20"/>
          <w:spacing w:val="-12"/>
          <w:sz w:val="20"/>
        </w:rPr>
        <w:t> </w:t>
      </w:r>
      <w:r>
        <w:rPr>
          <w:color w:val="231F20"/>
          <w:sz w:val="20"/>
        </w:rPr>
        <w:t>значение</w:t>
      </w:r>
      <w:r>
        <w:rPr>
          <w:color w:val="231F20"/>
          <w:spacing w:val="-12"/>
          <w:sz w:val="20"/>
        </w:rPr>
        <w:t> </w:t>
      </w:r>
      <w:r>
        <w:rPr>
          <w:color w:val="231F20"/>
          <w:sz w:val="20"/>
        </w:rPr>
        <w:t>ти- тулы,</w:t>
      </w:r>
      <w:r>
        <w:rPr>
          <w:color w:val="231F20"/>
          <w:spacing w:val="-2"/>
          <w:sz w:val="20"/>
        </w:rPr>
        <w:t> </w:t>
      </w:r>
      <w:r>
        <w:rPr>
          <w:color w:val="231F20"/>
          <w:sz w:val="20"/>
        </w:rPr>
        <w:t>звания,</w:t>
      </w:r>
      <w:r>
        <w:rPr>
          <w:color w:val="231F20"/>
          <w:spacing w:val="-2"/>
          <w:sz w:val="20"/>
        </w:rPr>
        <w:t> </w:t>
      </w:r>
      <w:r>
        <w:rPr>
          <w:color w:val="231F20"/>
          <w:sz w:val="20"/>
        </w:rPr>
        <w:t>ритуалы.</w:t>
      </w:r>
      <w:r>
        <w:rPr>
          <w:color w:val="231F20"/>
          <w:spacing w:val="-2"/>
          <w:sz w:val="20"/>
        </w:rPr>
        <w:t> </w:t>
      </w:r>
      <w:r>
        <w:rPr>
          <w:color w:val="231F20"/>
          <w:sz w:val="20"/>
        </w:rPr>
        <w:t>«Кому</w:t>
      </w:r>
      <w:r>
        <w:rPr>
          <w:color w:val="231F20"/>
          <w:spacing w:val="-2"/>
          <w:sz w:val="20"/>
        </w:rPr>
        <w:t> </w:t>
      </w:r>
      <w:r>
        <w:rPr>
          <w:color w:val="231F20"/>
          <w:sz w:val="20"/>
        </w:rPr>
        <w:t>с</w:t>
      </w:r>
      <w:r>
        <w:rPr>
          <w:color w:val="231F20"/>
          <w:spacing w:val="-2"/>
          <w:sz w:val="20"/>
        </w:rPr>
        <w:t> </w:t>
      </w:r>
      <w:r>
        <w:rPr>
          <w:color w:val="231F20"/>
          <w:sz w:val="20"/>
        </w:rPr>
        <w:t>кем</w:t>
      </w:r>
      <w:r>
        <w:rPr>
          <w:color w:val="231F20"/>
          <w:spacing w:val="-2"/>
          <w:sz w:val="20"/>
        </w:rPr>
        <w:t> </w:t>
      </w:r>
      <w:r>
        <w:rPr>
          <w:color w:val="231F20"/>
          <w:sz w:val="20"/>
        </w:rPr>
        <w:t>положено</w:t>
      </w:r>
      <w:r>
        <w:rPr>
          <w:color w:val="231F20"/>
          <w:spacing w:val="-2"/>
          <w:sz w:val="20"/>
        </w:rPr>
        <w:t> </w:t>
      </w:r>
      <w:r>
        <w:rPr>
          <w:color w:val="231F20"/>
          <w:sz w:val="20"/>
        </w:rPr>
        <w:t>говорить</w:t>
      </w:r>
      <w:r>
        <w:rPr>
          <w:color w:val="231F20"/>
          <w:spacing w:val="-2"/>
          <w:sz w:val="20"/>
        </w:rPr>
        <w:t> </w:t>
      </w:r>
      <w:r>
        <w:rPr>
          <w:color w:val="231F20"/>
          <w:sz w:val="20"/>
        </w:rPr>
        <w:t>по</w:t>
      </w:r>
      <w:r>
        <w:rPr>
          <w:color w:val="231F20"/>
          <w:spacing w:val="-2"/>
          <w:sz w:val="20"/>
        </w:rPr>
        <w:t> </w:t>
      </w:r>
      <w:r>
        <w:rPr>
          <w:color w:val="231F20"/>
          <w:sz w:val="20"/>
        </w:rPr>
        <w:t>статусу».</w:t>
      </w:r>
      <w:r>
        <w:rPr>
          <w:color w:val="231F20"/>
          <w:spacing w:val="-2"/>
          <w:sz w:val="20"/>
        </w:rPr>
        <w:t> </w:t>
      </w:r>
      <w:r>
        <w:rPr>
          <w:color w:val="231F20"/>
          <w:sz w:val="20"/>
        </w:rPr>
        <w:t>В</w:t>
      </w:r>
      <w:r>
        <w:rPr>
          <w:color w:val="231F20"/>
          <w:spacing w:val="-2"/>
          <w:sz w:val="20"/>
        </w:rPr>
        <w:t> </w:t>
      </w:r>
      <w:r>
        <w:rPr>
          <w:color w:val="231F20"/>
          <w:sz w:val="20"/>
        </w:rPr>
        <w:t>культурах с</w:t>
      </w:r>
      <w:r>
        <w:rPr>
          <w:color w:val="231F20"/>
          <w:spacing w:val="-2"/>
          <w:sz w:val="20"/>
        </w:rPr>
        <w:t> </w:t>
      </w:r>
      <w:r>
        <w:rPr>
          <w:color w:val="231F20"/>
          <w:sz w:val="20"/>
        </w:rPr>
        <w:t>низкой</w:t>
      </w:r>
      <w:r>
        <w:rPr>
          <w:color w:val="231F20"/>
          <w:spacing w:val="-2"/>
          <w:sz w:val="20"/>
        </w:rPr>
        <w:t> </w:t>
      </w:r>
      <w:r>
        <w:rPr>
          <w:color w:val="231F20"/>
          <w:sz w:val="20"/>
        </w:rPr>
        <w:t>дистанцией</w:t>
      </w:r>
      <w:r>
        <w:rPr>
          <w:color w:val="231F20"/>
          <w:spacing w:val="-2"/>
          <w:sz w:val="20"/>
        </w:rPr>
        <w:t> </w:t>
      </w:r>
      <w:r>
        <w:rPr>
          <w:color w:val="231F20"/>
          <w:sz w:val="20"/>
        </w:rPr>
        <w:t>власти</w:t>
      </w:r>
      <w:r>
        <w:rPr>
          <w:color w:val="231F20"/>
          <w:spacing w:val="-2"/>
          <w:sz w:val="20"/>
        </w:rPr>
        <w:t> </w:t>
      </w:r>
      <w:r>
        <w:rPr>
          <w:color w:val="231F20"/>
          <w:sz w:val="20"/>
        </w:rPr>
        <w:t>важнее</w:t>
      </w:r>
      <w:r>
        <w:rPr>
          <w:color w:val="231F20"/>
          <w:spacing w:val="-2"/>
          <w:sz w:val="20"/>
        </w:rPr>
        <w:t> </w:t>
      </w:r>
      <w:r>
        <w:rPr>
          <w:color w:val="231F20"/>
          <w:sz w:val="20"/>
        </w:rPr>
        <w:t>будет</w:t>
      </w:r>
      <w:r>
        <w:rPr>
          <w:color w:val="231F20"/>
          <w:spacing w:val="-2"/>
          <w:sz w:val="20"/>
        </w:rPr>
        <w:t> </w:t>
      </w:r>
      <w:r>
        <w:rPr>
          <w:color w:val="231F20"/>
          <w:sz w:val="20"/>
        </w:rPr>
        <w:t>опыт</w:t>
      </w:r>
      <w:r>
        <w:rPr>
          <w:color w:val="231F20"/>
          <w:spacing w:val="-2"/>
          <w:sz w:val="20"/>
        </w:rPr>
        <w:t> </w:t>
      </w:r>
      <w:r>
        <w:rPr>
          <w:color w:val="231F20"/>
          <w:sz w:val="20"/>
        </w:rPr>
        <w:t>и</w:t>
      </w:r>
      <w:r>
        <w:rPr>
          <w:color w:val="231F20"/>
          <w:spacing w:val="-2"/>
          <w:sz w:val="20"/>
        </w:rPr>
        <w:t> </w:t>
      </w:r>
      <w:r>
        <w:rPr>
          <w:color w:val="231F20"/>
          <w:sz w:val="20"/>
        </w:rPr>
        <w:t>экспертность</w:t>
      </w:r>
      <w:r>
        <w:rPr>
          <w:color w:val="231F20"/>
          <w:spacing w:val="-2"/>
          <w:sz w:val="20"/>
        </w:rPr>
        <w:t> </w:t>
      </w:r>
      <w:r>
        <w:rPr>
          <w:color w:val="231F20"/>
          <w:sz w:val="20"/>
        </w:rPr>
        <w:t>по</w:t>
      </w:r>
      <w:r>
        <w:rPr>
          <w:color w:val="231F20"/>
          <w:spacing w:val="-2"/>
          <w:sz w:val="20"/>
        </w:rPr>
        <w:t> </w:t>
      </w:r>
      <w:r>
        <w:rPr>
          <w:color w:val="231F20"/>
          <w:sz w:val="20"/>
        </w:rPr>
        <w:t>обсуждаемому вопросу, все общаются примерно на равных.</w:t>
      </w:r>
    </w:p>
    <w:p>
      <w:pPr>
        <w:pStyle w:val="ListParagraph"/>
        <w:numPr>
          <w:ilvl w:val="0"/>
          <w:numId w:val="147"/>
        </w:numPr>
        <w:tabs>
          <w:tab w:pos="425" w:val="left" w:leader="none"/>
        </w:tabs>
        <w:spacing w:line="235" w:lineRule="auto" w:before="2" w:after="0"/>
        <w:ind w:left="425" w:right="139" w:hanging="284"/>
        <w:jc w:val="both"/>
        <w:rPr>
          <w:sz w:val="20"/>
        </w:rPr>
      </w:pPr>
      <w:r>
        <w:rPr>
          <w:i/>
          <w:color w:val="231F20"/>
          <w:sz w:val="20"/>
        </w:rPr>
        <w:t>Индивидуализм/коллективизм.</w:t>
      </w:r>
      <w:r>
        <w:rPr>
          <w:i/>
          <w:color w:val="231F20"/>
          <w:spacing w:val="-10"/>
          <w:sz w:val="20"/>
        </w:rPr>
        <w:t> </w:t>
      </w:r>
      <w:r>
        <w:rPr>
          <w:color w:val="231F20"/>
          <w:sz w:val="20"/>
        </w:rPr>
        <w:t>При</w:t>
      </w:r>
      <w:r>
        <w:rPr>
          <w:color w:val="231F20"/>
          <w:spacing w:val="-10"/>
          <w:sz w:val="20"/>
        </w:rPr>
        <w:t> </w:t>
      </w:r>
      <w:r>
        <w:rPr>
          <w:color w:val="231F20"/>
          <w:sz w:val="20"/>
        </w:rPr>
        <w:t>индивидуалистических</w:t>
      </w:r>
      <w:r>
        <w:rPr>
          <w:color w:val="231F20"/>
          <w:spacing w:val="-10"/>
          <w:sz w:val="20"/>
        </w:rPr>
        <w:t> </w:t>
      </w:r>
      <w:r>
        <w:rPr>
          <w:color w:val="231F20"/>
          <w:sz w:val="20"/>
        </w:rPr>
        <w:t>предпочтениях</w:t>
      </w:r>
      <w:r>
        <w:rPr>
          <w:color w:val="231F20"/>
          <w:spacing w:val="-10"/>
          <w:sz w:val="20"/>
        </w:rPr>
        <w:t> </w:t>
      </w:r>
      <w:r>
        <w:rPr>
          <w:color w:val="231F20"/>
          <w:sz w:val="20"/>
        </w:rPr>
        <w:t>ценят- ся</w:t>
      </w:r>
      <w:r>
        <w:rPr>
          <w:color w:val="231F20"/>
          <w:spacing w:val="-4"/>
          <w:sz w:val="20"/>
        </w:rPr>
        <w:t> </w:t>
      </w:r>
      <w:r>
        <w:rPr>
          <w:color w:val="231F20"/>
          <w:sz w:val="20"/>
        </w:rPr>
        <w:t>личная</w:t>
      </w:r>
      <w:r>
        <w:rPr>
          <w:color w:val="231F20"/>
          <w:spacing w:val="-4"/>
          <w:sz w:val="20"/>
        </w:rPr>
        <w:t> </w:t>
      </w:r>
      <w:r>
        <w:rPr>
          <w:color w:val="231F20"/>
          <w:sz w:val="20"/>
        </w:rPr>
        <w:t>победа</w:t>
      </w:r>
      <w:r>
        <w:rPr>
          <w:color w:val="231F20"/>
          <w:spacing w:val="-4"/>
          <w:sz w:val="20"/>
        </w:rPr>
        <w:t> </w:t>
      </w:r>
      <w:r>
        <w:rPr>
          <w:color w:val="231F20"/>
          <w:sz w:val="20"/>
        </w:rPr>
        <w:t>и</w:t>
      </w:r>
      <w:r>
        <w:rPr>
          <w:color w:val="231F20"/>
          <w:spacing w:val="-4"/>
          <w:sz w:val="20"/>
        </w:rPr>
        <w:t> </w:t>
      </w:r>
      <w:r>
        <w:rPr>
          <w:color w:val="231F20"/>
          <w:sz w:val="20"/>
        </w:rPr>
        <w:t>успех,</w:t>
      </w:r>
      <w:r>
        <w:rPr>
          <w:color w:val="231F20"/>
          <w:spacing w:val="-4"/>
          <w:sz w:val="20"/>
        </w:rPr>
        <w:t> </w:t>
      </w:r>
      <w:r>
        <w:rPr>
          <w:color w:val="231F20"/>
          <w:sz w:val="20"/>
        </w:rPr>
        <w:t>защита</w:t>
      </w:r>
      <w:r>
        <w:rPr>
          <w:color w:val="231F20"/>
          <w:spacing w:val="-4"/>
          <w:sz w:val="20"/>
        </w:rPr>
        <w:t> </w:t>
      </w:r>
      <w:r>
        <w:rPr>
          <w:color w:val="231F20"/>
          <w:sz w:val="20"/>
        </w:rPr>
        <w:t>своих</w:t>
      </w:r>
      <w:r>
        <w:rPr>
          <w:color w:val="231F20"/>
          <w:spacing w:val="-4"/>
          <w:sz w:val="20"/>
        </w:rPr>
        <w:t> </w:t>
      </w:r>
      <w:r>
        <w:rPr>
          <w:color w:val="231F20"/>
          <w:sz w:val="20"/>
        </w:rPr>
        <w:t>интересов.</w:t>
      </w:r>
      <w:r>
        <w:rPr>
          <w:color w:val="231F20"/>
          <w:spacing w:val="-4"/>
          <w:sz w:val="20"/>
        </w:rPr>
        <w:t> </w:t>
      </w:r>
      <w:r>
        <w:rPr>
          <w:color w:val="231F20"/>
          <w:sz w:val="20"/>
        </w:rPr>
        <w:t>При</w:t>
      </w:r>
      <w:r>
        <w:rPr>
          <w:color w:val="231F20"/>
          <w:spacing w:val="-4"/>
          <w:sz w:val="20"/>
        </w:rPr>
        <w:t> </w:t>
      </w:r>
      <w:r>
        <w:rPr>
          <w:color w:val="231F20"/>
          <w:sz w:val="20"/>
        </w:rPr>
        <w:t>коллективистских</w:t>
      </w:r>
      <w:r>
        <w:rPr>
          <w:color w:val="231F20"/>
          <w:spacing w:val="-4"/>
          <w:sz w:val="20"/>
        </w:rPr>
        <w:t> </w:t>
      </w:r>
      <w:r>
        <w:rPr>
          <w:color w:val="231F20"/>
          <w:sz w:val="20"/>
        </w:rPr>
        <w:t>ценит- ся общий результат, его согласование консенсусом. В коллективе возможность всем</w:t>
      </w:r>
      <w:r>
        <w:rPr>
          <w:color w:val="231F20"/>
          <w:spacing w:val="-10"/>
          <w:sz w:val="20"/>
        </w:rPr>
        <w:t> </w:t>
      </w:r>
      <w:r>
        <w:rPr>
          <w:color w:val="231F20"/>
          <w:sz w:val="20"/>
        </w:rPr>
        <w:t>«сохранить</w:t>
      </w:r>
      <w:r>
        <w:rPr>
          <w:color w:val="231F20"/>
          <w:spacing w:val="-9"/>
          <w:sz w:val="20"/>
        </w:rPr>
        <w:t> </w:t>
      </w:r>
      <w:r>
        <w:rPr>
          <w:color w:val="231F20"/>
          <w:sz w:val="20"/>
        </w:rPr>
        <w:t>лицо»</w:t>
      </w:r>
      <w:r>
        <w:rPr>
          <w:color w:val="231F20"/>
          <w:spacing w:val="-9"/>
          <w:sz w:val="20"/>
        </w:rPr>
        <w:t> </w:t>
      </w:r>
      <w:r>
        <w:rPr>
          <w:color w:val="231F20"/>
          <w:sz w:val="20"/>
        </w:rPr>
        <w:t>и</w:t>
      </w:r>
      <w:r>
        <w:rPr>
          <w:color w:val="231F20"/>
          <w:spacing w:val="-10"/>
          <w:sz w:val="20"/>
        </w:rPr>
        <w:t> </w:t>
      </w:r>
      <w:r>
        <w:rPr>
          <w:color w:val="231F20"/>
          <w:sz w:val="20"/>
        </w:rPr>
        <w:t>сохранить</w:t>
      </w:r>
      <w:r>
        <w:rPr>
          <w:color w:val="231F20"/>
          <w:spacing w:val="-9"/>
          <w:sz w:val="20"/>
        </w:rPr>
        <w:t> </w:t>
      </w:r>
      <w:r>
        <w:rPr>
          <w:color w:val="231F20"/>
          <w:sz w:val="20"/>
        </w:rPr>
        <w:t>гармонию</w:t>
      </w:r>
      <w:r>
        <w:rPr>
          <w:color w:val="231F20"/>
          <w:spacing w:val="-9"/>
          <w:sz w:val="20"/>
        </w:rPr>
        <w:t> </w:t>
      </w:r>
      <w:r>
        <w:rPr>
          <w:color w:val="231F20"/>
          <w:sz w:val="20"/>
        </w:rPr>
        <w:t>в</w:t>
      </w:r>
      <w:r>
        <w:rPr>
          <w:color w:val="231F20"/>
          <w:spacing w:val="-10"/>
          <w:sz w:val="20"/>
        </w:rPr>
        <w:t> </w:t>
      </w:r>
      <w:r>
        <w:rPr>
          <w:color w:val="231F20"/>
          <w:sz w:val="20"/>
        </w:rPr>
        <w:t>группе</w:t>
      </w:r>
      <w:r>
        <w:rPr>
          <w:color w:val="231F20"/>
          <w:spacing w:val="-9"/>
          <w:sz w:val="20"/>
        </w:rPr>
        <w:t> </w:t>
      </w:r>
      <w:r>
        <w:rPr>
          <w:color w:val="231F20"/>
          <w:sz w:val="20"/>
        </w:rPr>
        <w:t>порой</w:t>
      </w:r>
      <w:r>
        <w:rPr>
          <w:color w:val="231F20"/>
          <w:spacing w:val="-10"/>
          <w:sz w:val="20"/>
        </w:rPr>
        <w:t> </w:t>
      </w:r>
      <w:r>
        <w:rPr>
          <w:color w:val="231F20"/>
          <w:sz w:val="20"/>
        </w:rPr>
        <w:t>важнее</w:t>
      </w:r>
      <w:r>
        <w:rPr>
          <w:color w:val="231F20"/>
          <w:spacing w:val="-10"/>
          <w:sz w:val="20"/>
        </w:rPr>
        <w:t> </w:t>
      </w:r>
      <w:r>
        <w:rPr>
          <w:color w:val="231F20"/>
          <w:sz w:val="20"/>
        </w:rPr>
        <w:t>достижения конкретного результата.</w:t>
      </w:r>
    </w:p>
    <w:p>
      <w:pPr>
        <w:pStyle w:val="ListParagraph"/>
        <w:numPr>
          <w:ilvl w:val="0"/>
          <w:numId w:val="147"/>
        </w:numPr>
        <w:tabs>
          <w:tab w:pos="425" w:val="left" w:leader="none"/>
        </w:tabs>
        <w:spacing w:line="235" w:lineRule="auto" w:before="4" w:after="0"/>
        <w:ind w:left="425" w:right="139" w:hanging="284"/>
        <w:jc w:val="both"/>
        <w:rPr>
          <w:sz w:val="20"/>
        </w:rPr>
      </w:pPr>
      <w:r>
        <w:rPr>
          <w:i/>
          <w:color w:val="231F20"/>
          <w:sz w:val="20"/>
        </w:rPr>
        <w:t>Долгосрочная</w:t>
      </w:r>
      <w:r>
        <w:rPr>
          <w:i/>
          <w:color w:val="231F20"/>
          <w:spacing w:val="-3"/>
          <w:sz w:val="20"/>
        </w:rPr>
        <w:t> </w:t>
      </w:r>
      <w:r>
        <w:rPr>
          <w:i/>
          <w:color w:val="231F20"/>
          <w:sz w:val="20"/>
        </w:rPr>
        <w:t>или</w:t>
      </w:r>
      <w:r>
        <w:rPr>
          <w:i/>
          <w:color w:val="231F20"/>
          <w:spacing w:val="-3"/>
          <w:sz w:val="20"/>
        </w:rPr>
        <w:t> </w:t>
      </w:r>
      <w:r>
        <w:rPr>
          <w:i/>
          <w:color w:val="231F20"/>
          <w:sz w:val="20"/>
        </w:rPr>
        <w:t>краткосрочная</w:t>
      </w:r>
      <w:r>
        <w:rPr>
          <w:i/>
          <w:color w:val="231F20"/>
          <w:spacing w:val="-3"/>
          <w:sz w:val="20"/>
        </w:rPr>
        <w:t> </w:t>
      </w:r>
      <w:r>
        <w:rPr>
          <w:i/>
          <w:color w:val="231F20"/>
          <w:sz w:val="20"/>
        </w:rPr>
        <w:t>ориентация.</w:t>
      </w:r>
      <w:r>
        <w:rPr>
          <w:i/>
          <w:color w:val="231F20"/>
          <w:spacing w:val="-4"/>
          <w:sz w:val="20"/>
        </w:rPr>
        <w:t> </w:t>
      </w:r>
      <w:r>
        <w:rPr>
          <w:color w:val="231F20"/>
          <w:sz w:val="20"/>
        </w:rPr>
        <w:t>В</w:t>
      </w:r>
      <w:r>
        <w:rPr>
          <w:color w:val="231F20"/>
          <w:spacing w:val="-3"/>
          <w:sz w:val="20"/>
        </w:rPr>
        <w:t> </w:t>
      </w:r>
      <w:r>
        <w:rPr>
          <w:color w:val="231F20"/>
          <w:sz w:val="20"/>
        </w:rPr>
        <w:t>первой</w:t>
      </w:r>
      <w:r>
        <w:rPr>
          <w:color w:val="231F20"/>
          <w:spacing w:val="-3"/>
          <w:sz w:val="20"/>
        </w:rPr>
        <w:t> </w:t>
      </w:r>
      <w:r>
        <w:rPr>
          <w:color w:val="231F20"/>
          <w:sz w:val="20"/>
        </w:rPr>
        <w:t>ценится</w:t>
      </w:r>
      <w:r>
        <w:rPr>
          <w:color w:val="231F20"/>
          <w:spacing w:val="-3"/>
          <w:sz w:val="20"/>
        </w:rPr>
        <w:t> </w:t>
      </w:r>
      <w:r>
        <w:rPr>
          <w:color w:val="231F20"/>
          <w:sz w:val="20"/>
        </w:rPr>
        <w:t>стратегия,</w:t>
      </w:r>
      <w:r>
        <w:rPr>
          <w:color w:val="231F20"/>
          <w:spacing w:val="-3"/>
          <w:sz w:val="20"/>
        </w:rPr>
        <w:t> </w:t>
      </w:r>
      <w:r>
        <w:rPr>
          <w:color w:val="231F20"/>
          <w:sz w:val="20"/>
        </w:rPr>
        <w:t>даль- нее</w:t>
      </w:r>
      <w:r>
        <w:rPr>
          <w:color w:val="231F20"/>
          <w:spacing w:val="-12"/>
          <w:sz w:val="20"/>
        </w:rPr>
        <w:t> </w:t>
      </w:r>
      <w:r>
        <w:rPr>
          <w:color w:val="231F20"/>
          <w:sz w:val="20"/>
        </w:rPr>
        <w:t>планирование</w:t>
      </w:r>
      <w:r>
        <w:rPr>
          <w:color w:val="231F20"/>
          <w:spacing w:val="-12"/>
          <w:sz w:val="20"/>
        </w:rPr>
        <w:t> </w:t>
      </w:r>
      <w:r>
        <w:rPr>
          <w:color w:val="231F20"/>
          <w:sz w:val="20"/>
        </w:rPr>
        <w:t>и</w:t>
      </w:r>
      <w:r>
        <w:rPr>
          <w:color w:val="231F20"/>
          <w:spacing w:val="-12"/>
          <w:sz w:val="20"/>
        </w:rPr>
        <w:t> </w:t>
      </w:r>
      <w:r>
        <w:rPr>
          <w:color w:val="231F20"/>
          <w:sz w:val="20"/>
        </w:rPr>
        <w:t>др.</w:t>
      </w:r>
      <w:r>
        <w:rPr>
          <w:color w:val="231F20"/>
          <w:spacing w:val="-12"/>
          <w:sz w:val="20"/>
        </w:rPr>
        <w:t> </w:t>
      </w:r>
      <w:r>
        <w:rPr>
          <w:color w:val="231F20"/>
          <w:sz w:val="20"/>
        </w:rPr>
        <w:t>Во</w:t>
      </w:r>
      <w:r>
        <w:rPr>
          <w:color w:val="231F20"/>
          <w:spacing w:val="-12"/>
          <w:sz w:val="20"/>
        </w:rPr>
        <w:t> </w:t>
      </w:r>
      <w:r>
        <w:rPr>
          <w:color w:val="231F20"/>
          <w:sz w:val="20"/>
        </w:rPr>
        <w:t>второй</w:t>
      </w:r>
      <w:r>
        <w:rPr>
          <w:color w:val="231F20"/>
          <w:spacing w:val="-12"/>
          <w:sz w:val="20"/>
        </w:rPr>
        <w:t> </w:t>
      </w:r>
      <w:r>
        <w:rPr>
          <w:color w:val="231F20"/>
          <w:sz w:val="20"/>
        </w:rPr>
        <w:t>–</w:t>
      </w:r>
      <w:r>
        <w:rPr>
          <w:color w:val="231F20"/>
          <w:spacing w:val="-12"/>
          <w:sz w:val="20"/>
        </w:rPr>
        <w:t> </w:t>
      </w:r>
      <w:r>
        <w:rPr>
          <w:color w:val="231F20"/>
          <w:sz w:val="20"/>
        </w:rPr>
        <w:t>люди</w:t>
      </w:r>
      <w:r>
        <w:rPr>
          <w:color w:val="231F20"/>
          <w:spacing w:val="-12"/>
          <w:sz w:val="20"/>
        </w:rPr>
        <w:t> </w:t>
      </w:r>
      <w:r>
        <w:rPr>
          <w:color w:val="231F20"/>
          <w:sz w:val="20"/>
        </w:rPr>
        <w:t>ориентированы</w:t>
      </w:r>
      <w:r>
        <w:rPr>
          <w:color w:val="231F20"/>
          <w:spacing w:val="-12"/>
          <w:sz w:val="20"/>
        </w:rPr>
        <w:t> </w:t>
      </w:r>
      <w:r>
        <w:rPr>
          <w:color w:val="231F20"/>
          <w:sz w:val="20"/>
        </w:rPr>
        <w:t>на</w:t>
      </w:r>
      <w:r>
        <w:rPr>
          <w:color w:val="231F20"/>
          <w:spacing w:val="-12"/>
          <w:sz w:val="20"/>
        </w:rPr>
        <w:t> </w:t>
      </w:r>
      <w:r>
        <w:rPr>
          <w:color w:val="231F20"/>
          <w:sz w:val="20"/>
        </w:rPr>
        <w:t>ближайшую</w:t>
      </w:r>
      <w:r>
        <w:rPr>
          <w:color w:val="231F20"/>
          <w:spacing w:val="-12"/>
          <w:sz w:val="20"/>
        </w:rPr>
        <w:t> </w:t>
      </w:r>
      <w:r>
        <w:rPr>
          <w:color w:val="231F20"/>
          <w:sz w:val="20"/>
        </w:rPr>
        <w:t>перспек- тиву (иногда в течение нескольких ближайших дней).</w:t>
      </w:r>
    </w:p>
    <w:p>
      <w:pPr>
        <w:pStyle w:val="ListParagraph"/>
        <w:numPr>
          <w:ilvl w:val="0"/>
          <w:numId w:val="147"/>
        </w:numPr>
        <w:tabs>
          <w:tab w:pos="425" w:val="left" w:leader="none"/>
        </w:tabs>
        <w:spacing w:line="235" w:lineRule="auto" w:before="1" w:after="0"/>
        <w:ind w:left="425" w:right="139" w:hanging="284"/>
        <w:jc w:val="both"/>
        <w:rPr>
          <w:sz w:val="20"/>
        </w:rPr>
      </w:pPr>
      <w:r>
        <w:rPr>
          <w:i/>
          <w:color w:val="231F20"/>
          <w:sz w:val="20"/>
        </w:rPr>
        <w:t>Что важнее? </w:t>
      </w:r>
      <w:r>
        <w:rPr>
          <w:color w:val="231F20"/>
          <w:sz w:val="20"/>
        </w:rPr>
        <w:t>В некоторых культурах ценится соперничество, уважение к побе- дителям, презрение к неудачникам (в том числе открытое), демонстрация успе- ха, грандиозные дела, «сильные» ученики. В других – важным считаются забота, чувства других людей, внимание к средним ученикам, симпатии к угнетенным и </w:t>
      </w:r>
      <w:r>
        <w:rPr>
          <w:color w:val="231F20"/>
          <w:spacing w:val="-2"/>
          <w:sz w:val="20"/>
        </w:rPr>
        <w:t>слабым.</w:t>
      </w:r>
    </w:p>
    <w:p>
      <w:pPr>
        <w:pStyle w:val="ListParagraph"/>
        <w:numPr>
          <w:ilvl w:val="0"/>
          <w:numId w:val="147"/>
        </w:numPr>
        <w:tabs>
          <w:tab w:pos="425" w:val="left" w:leader="none"/>
        </w:tabs>
        <w:spacing w:line="235" w:lineRule="auto" w:before="4" w:after="0"/>
        <w:ind w:left="425" w:right="139" w:hanging="284"/>
        <w:jc w:val="both"/>
        <w:rPr>
          <w:sz w:val="20"/>
        </w:rPr>
      </w:pPr>
      <w:r>
        <w:rPr>
          <w:i/>
          <w:color w:val="231F20"/>
          <w:sz w:val="20"/>
        </w:rPr>
        <w:t>Правила</w:t>
      </w:r>
      <w:r>
        <w:rPr>
          <w:i/>
          <w:color w:val="231F20"/>
          <w:spacing w:val="-12"/>
          <w:sz w:val="20"/>
        </w:rPr>
        <w:t> </w:t>
      </w:r>
      <w:r>
        <w:rPr>
          <w:i/>
          <w:color w:val="231F20"/>
          <w:sz w:val="20"/>
        </w:rPr>
        <w:t>или</w:t>
      </w:r>
      <w:r>
        <w:rPr>
          <w:i/>
          <w:color w:val="231F20"/>
          <w:spacing w:val="-12"/>
          <w:sz w:val="20"/>
        </w:rPr>
        <w:t> </w:t>
      </w:r>
      <w:r>
        <w:rPr>
          <w:i/>
          <w:color w:val="231F20"/>
          <w:sz w:val="20"/>
        </w:rPr>
        <w:t>неопределенность.</w:t>
      </w:r>
      <w:r>
        <w:rPr>
          <w:i/>
          <w:color w:val="231F20"/>
          <w:spacing w:val="-12"/>
          <w:sz w:val="20"/>
        </w:rPr>
        <w:t> </w:t>
      </w:r>
      <w:r>
        <w:rPr>
          <w:color w:val="231F20"/>
          <w:sz w:val="20"/>
        </w:rPr>
        <w:t>В</w:t>
      </w:r>
      <w:r>
        <w:rPr>
          <w:color w:val="231F20"/>
          <w:spacing w:val="-12"/>
          <w:sz w:val="20"/>
        </w:rPr>
        <w:t> </w:t>
      </w:r>
      <w:r>
        <w:rPr>
          <w:color w:val="231F20"/>
          <w:sz w:val="20"/>
        </w:rPr>
        <w:t>одних</w:t>
      </w:r>
      <w:r>
        <w:rPr>
          <w:color w:val="231F20"/>
          <w:spacing w:val="-12"/>
          <w:sz w:val="20"/>
        </w:rPr>
        <w:t> </w:t>
      </w:r>
      <w:r>
        <w:rPr>
          <w:color w:val="231F20"/>
          <w:sz w:val="20"/>
        </w:rPr>
        <w:t>культурах</w:t>
      </w:r>
      <w:r>
        <w:rPr>
          <w:color w:val="231F20"/>
          <w:spacing w:val="-12"/>
          <w:sz w:val="20"/>
        </w:rPr>
        <w:t> </w:t>
      </w:r>
      <w:r>
        <w:rPr>
          <w:color w:val="231F20"/>
          <w:sz w:val="20"/>
        </w:rPr>
        <w:t>важно</w:t>
      </w:r>
      <w:r>
        <w:rPr>
          <w:color w:val="231F20"/>
          <w:spacing w:val="-12"/>
          <w:sz w:val="20"/>
        </w:rPr>
        <w:t> </w:t>
      </w:r>
      <w:r>
        <w:rPr>
          <w:color w:val="231F20"/>
          <w:sz w:val="20"/>
        </w:rPr>
        <w:t>следование</w:t>
      </w:r>
      <w:r>
        <w:rPr>
          <w:color w:val="231F20"/>
          <w:spacing w:val="-12"/>
          <w:sz w:val="20"/>
        </w:rPr>
        <w:t> </w:t>
      </w:r>
      <w:r>
        <w:rPr>
          <w:color w:val="231F20"/>
          <w:sz w:val="20"/>
        </w:rPr>
        <w:t>четким</w:t>
      </w:r>
      <w:r>
        <w:rPr>
          <w:color w:val="231F20"/>
          <w:spacing w:val="-12"/>
          <w:sz w:val="20"/>
        </w:rPr>
        <w:t> </w:t>
      </w:r>
      <w:r>
        <w:rPr>
          <w:color w:val="231F20"/>
          <w:sz w:val="20"/>
        </w:rPr>
        <w:t>пра- вилам и традициям, недопущение неясностей. В других – предпочитают риск, гибкость, толерантность.</w:t>
      </w:r>
    </w:p>
    <w:p>
      <w:pPr>
        <w:pStyle w:val="ListParagraph"/>
        <w:numPr>
          <w:ilvl w:val="0"/>
          <w:numId w:val="147"/>
        </w:numPr>
        <w:tabs>
          <w:tab w:pos="425" w:val="left" w:leader="none"/>
        </w:tabs>
        <w:spacing w:line="235" w:lineRule="auto" w:before="1" w:after="0"/>
        <w:ind w:left="425" w:right="139" w:hanging="284"/>
        <w:jc w:val="both"/>
        <w:rPr>
          <w:sz w:val="20"/>
        </w:rPr>
      </w:pPr>
      <w:r>
        <w:rPr>
          <w:i/>
          <w:color w:val="231F20"/>
          <w:sz w:val="20"/>
        </w:rPr>
        <w:t>Выражение чувств </w:t>
      </w:r>
      <w:r>
        <w:rPr>
          <w:color w:val="231F20"/>
          <w:sz w:val="20"/>
        </w:rPr>
        <w:t>и открытость жизни или сдержанность. В одних обществах свобода самовыражения и выражения своих чувств является ценностью и при- вычна, в других – избегают показывать окружающим свои чувства, слабости и </w:t>
      </w:r>
      <w:r>
        <w:rPr>
          <w:color w:val="231F20"/>
          <w:spacing w:val="-2"/>
          <w:sz w:val="20"/>
        </w:rPr>
        <w:t>проблемы.</w:t>
      </w:r>
    </w:p>
    <w:p>
      <w:pPr>
        <w:pStyle w:val="BodyText"/>
        <w:spacing w:line="235" w:lineRule="auto" w:before="3"/>
      </w:pPr>
      <w:r>
        <w:rPr>
          <w:color w:val="231F20"/>
        </w:rPr>
        <w:t>Обратите</w:t>
      </w:r>
      <w:r>
        <w:rPr>
          <w:color w:val="231F20"/>
          <w:spacing w:val="-6"/>
        </w:rPr>
        <w:t> </w:t>
      </w:r>
      <w:r>
        <w:rPr>
          <w:color w:val="231F20"/>
        </w:rPr>
        <w:t>внимание,</w:t>
      </w:r>
      <w:r>
        <w:rPr>
          <w:color w:val="231F20"/>
          <w:spacing w:val="-6"/>
        </w:rPr>
        <w:t> </w:t>
      </w:r>
      <w:r>
        <w:rPr>
          <w:color w:val="231F20"/>
        </w:rPr>
        <w:t>что</w:t>
      </w:r>
      <w:r>
        <w:rPr>
          <w:color w:val="231F20"/>
          <w:spacing w:val="-6"/>
        </w:rPr>
        <w:t> </w:t>
      </w:r>
      <w:r>
        <w:rPr>
          <w:color w:val="231F20"/>
        </w:rPr>
        <w:t>здесь</w:t>
      </w:r>
      <w:r>
        <w:rPr>
          <w:color w:val="231F20"/>
          <w:spacing w:val="-6"/>
        </w:rPr>
        <w:t> </w:t>
      </w:r>
      <w:r>
        <w:rPr>
          <w:color w:val="231F20"/>
        </w:rPr>
        <w:t>нет</w:t>
      </w:r>
      <w:r>
        <w:rPr>
          <w:color w:val="231F20"/>
          <w:spacing w:val="-6"/>
        </w:rPr>
        <w:t> </w:t>
      </w:r>
      <w:r>
        <w:rPr>
          <w:color w:val="231F20"/>
        </w:rPr>
        <w:t>«правильных»</w:t>
      </w:r>
      <w:r>
        <w:rPr>
          <w:color w:val="231F20"/>
          <w:spacing w:val="-6"/>
        </w:rPr>
        <w:t> </w:t>
      </w:r>
      <w:r>
        <w:rPr>
          <w:color w:val="231F20"/>
        </w:rPr>
        <w:t>или</w:t>
      </w:r>
      <w:r>
        <w:rPr>
          <w:color w:val="231F20"/>
          <w:spacing w:val="-6"/>
        </w:rPr>
        <w:t> </w:t>
      </w:r>
      <w:r>
        <w:rPr>
          <w:color w:val="231F20"/>
        </w:rPr>
        <w:t>«неправильных»</w:t>
      </w:r>
      <w:r>
        <w:rPr>
          <w:color w:val="231F20"/>
          <w:spacing w:val="-6"/>
        </w:rPr>
        <w:t> </w:t>
      </w:r>
      <w:r>
        <w:rPr>
          <w:color w:val="231F20"/>
        </w:rPr>
        <w:t>вариантов. В</w:t>
      </w:r>
      <w:r>
        <w:rPr>
          <w:color w:val="231F20"/>
          <w:spacing w:val="-9"/>
        </w:rPr>
        <w:t> </w:t>
      </w:r>
      <w:r>
        <w:rPr>
          <w:color w:val="231F20"/>
        </w:rPr>
        <w:t>разных</w:t>
      </w:r>
      <w:r>
        <w:rPr>
          <w:color w:val="231F20"/>
          <w:spacing w:val="-9"/>
        </w:rPr>
        <w:t> </w:t>
      </w:r>
      <w:r>
        <w:rPr>
          <w:color w:val="231F20"/>
        </w:rPr>
        <w:t>странах</w:t>
      </w:r>
      <w:r>
        <w:rPr>
          <w:color w:val="231F20"/>
          <w:spacing w:val="-9"/>
        </w:rPr>
        <w:t> </w:t>
      </w:r>
      <w:r>
        <w:rPr>
          <w:color w:val="231F20"/>
        </w:rPr>
        <w:t>сложились</w:t>
      </w:r>
      <w:r>
        <w:rPr>
          <w:color w:val="231F20"/>
          <w:spacing w:val="-9"/>
        </w:rPr>
        <w:t> </w:t>
      </w:r>
      <w:r>
        <w:rPr>
          <w:color w:val="231F20"/>
        </w:rPr>
        <w:t>различные</w:t>
      </w:r>
      <w:r>
        <w:rPr>
          <w:color w:val="231F20"/>
          <w:spacing w:val="-9"/>
        </w:rPr>
        <w:t> </w:t>
      </w:r>
      <w:r>
        <w:rPr>
          <w:color w:val="231F20"/>
        </w:rPr>
        <w:t>культурные</w:t>
      </w:r>
      <w:r>
        <w:rPr>
          <w:color w:val="231F20"/>
          <w:spacing w:val="-9"/>
        </w:rPr>
        <w:t> </w:t>
      </w:r>
      <w:r>
        <w:rPr>
          <w:color w:val="231F20"/>
        </w:rPr>
        <w:t>традиции.</w:t>
      </w:r>
      <w:r>
        <w:rPr>
          <w:color w:val="231F20"/>
          <w:spacing w:val="-9"/>
        </w:rPr>
        <w:t> </w:t>
      </w:r>
      <w:r>
        <w:rPr>
          <w:color w:val="231F20"/>
        </w:rPr>
        <w:t>Что-то</w:t>
      </w:r>
      <w:r>
        <w:rPr>
          <w:color w:val="231F20"/>
          <w:spacing w:val="-9"/>
        </w:rPr>
        <w:t> </w:t>
      </w:r>
      <w:r>
        <w:rPr>
          <w:color w:val="231F20"/>
        </w:rPr>
        <w:t>вам</w:t>
      </w:r>
      <w:r>
        <w:rPr>
          <w:color w:val="231F20"/>
          <w:spacing w:val="-9"/>
        </w:rPr>
        <w:t> </w:t>
      </w:r>
      <w:r>
        <w:rPr>
          <w:color w:val="231F20"/>
        </w:rPr>
        <w:t>покажется привычным</w:t>
      </w:r>
      <w:r>
        <w:rPr>
          <w:color w:val="231F20"/>
          <w:spacing w:val="-12"/>
        </w:rPr>
        <w:t> </w:t>
      </w:r>
      <w:r>
        <w:rPr>
          <w:color w:val="231F20"/>
        </w:rPr>
        <w:t>и</w:t>
      </w:r>
      <w:r>
        <w:rPr>
          <w:color w:val="231F20"/>
          <w:spacing w:val="-12"/>
        </w:rPr>
        <w:t> </w:t>
      </w:r>
      <w:r>
        <w:rPr>
          <w:color w:val="231F20"/>
        </w:rPr>
        <w:t>естественным,</w:t>
      </w:r>
      <w:r>
        <w:rPr>
          <w:color w:val="231F20"/>
          <w:spacing w:val="-12"/>
        </w:rPr>
        <w:t> </w:t>
      </w:r>
      <w:r>
        <w:rPr>
          <w:color w:val="231F20"/>
        </w:rPr>
        <w:t>но</w:t>
      </w:r>
      <w:r>
        <w:rPr>
          <w:color w:val="231F20"/>
          <w:spacing w:val="-12"/>
        </w:rPr>
        <w:t> </w:t>
      </w:r>
      <w:r>
        <w:rPr>
          <w:color w:val="231F20"/>
        </w:rPr>
        <w:t>это</w:t>
      </w:r>
      <w:r>
        <w:rPr>
          <w:color w:val="231F20"/>
          <w:spacing w:val="-12"/>
        </w:rPr>
        <w:t> </w:t>
      </w:r>
      <w:r>
        <w:rPr>
          <w:color w:val="231F20"/>
        </w:rPr>
        <w:t>не</w:t>
      </w:r>
      <w:r>
        <w:rPr>
          <w:color w:val="231F20"/>
          <w:spacing w:val="-12"/>
        </w:rPr>
        <w:t> </w:t>
      </w:r>
      <w:r>
        <w:rPr>
          <w:color w:val="231F20"/>
        </w:rPr>
        <w:t>значит,</w:t>
      </w:r>
      <w:r>
        <w:rPr>
          <w:color w:val="231F20"/>
          <w:spacing w:val="-12"/>
        </w:rPr>
        <w:t> </w:t>
      </w:r>
      <w:r>
        <w:rPr>
          <w:color w:val="231F20"/>
        </w:rPr>
        <w:t>что</w:t>
      </w:r>
      <w:r>
        <w:rPr>
          <w:color w:val="231F20"/>
          <w:spacing w:val="-12"/>
        </w:rPr>
        <w:t> </w:t>
      </w:r>
      <w:r>
        <w:rPr>
          <w:color w:val="231F20"/>
        </w:rPr>
        <w:t>то</w:t>
      </w:r>
      <w:r>
        <w:rPr>
          <w:color w:val="231F20"/>
          <w:spacing w:val="-12"/>
        </w:rPr>
        <w:t> </w:t>
      </w:r>
      <w:r>
        <w:rPr>
          <w:color w:val="231F20"/>
        </w:rPr>
        <w:t>же</w:t>
      </w:r>
      <w:r>
        <w:rPr>
          <w:color w:val="231F20"/>
          <w:spacing w:val="-12"/>
        </w:rPr>
        <w:t> </w:t>
      </w:r>
      <w:r>
        <w:rPr>
          <w:color w:val="231F20"/>
        </w:rPr>
        <w:t>самое</w:t>
      </w:r>
      <w:r>
        <w:rPr>
          <w:color w:val="231F20"/>
          <w:spacing w:val="-12"/>
        </w:rPr>
        <w:t> </w:t>
      </w:r>
      <w:r>
        <w:rPr>
          <w:color w:val="231F20"/>
        </w:rPr>
        <w:t>столь</w:t>
      </w:r>
      <w:r>
        <w:rPr>
          <w:color w:val="231F20"/>
          <w:spacing w:val="-12"/>
        </w:rPr>
        <w:t> </w:t>
      </w:r>
      <w:r>
        <w:rPr>
          <w:color w:val="231F20"/>
        </w:rPr>
        <w:t>же</w:t>
      </w:r>
      <w:r>
        <w:rPr>
          <w:color w:val="231F20"/>
          <w:spacing w:val="-12"/>
        </w:rPr>
        <w:t> </w:t>
      </w:r>
      <w:r>
        <w:rPr>
          <w:color w:val="231F20"/>
        </w:rPr>
        <w:t>привычно</w:t>
      </w:r>
      <w:r>
        <w:rPr>
          <w:color w:val="231F20"/>
          <w:spacing w:val="-12"/>
        </w:rPr>
        <w:t> </w:t>
      </w:r>
      <w:r>
        <w:rPr>
          <w:color w:val="231F20"/>
        </w:rPr>
        <w:t>для всех.</w:t>
      </w:r>
      <w:r>
        <w:rPr>
          <w:color w:val="231F20"/>
          <w:spacing w:val="-5"/>
        </w:rPr>
        <w:t> </w:t>
      </w:r>
      <w:r>
        <w:rPr>
          <w:color w:val="231F20"/>
        </w:rPr>
        <w:t>В</w:t>
      </w:r>
      <w:r>
        <w:rPr>
          <w:color w:val="231F20"/>
          <w:spacing w:val="-5"/>
        </w:rPr>
        <w:t> </w:t>
      </w:r>
      <w:r>
        <w:rPr>
          <w:color w:val="231F20"/>
        </w:rPr>
        <w:t>обычной</w:t>
      </w:r>
      <w:r>
        <w:rPr>
          <w:color w:val="231F20"/>
          <w:spacing w:val="-5"/>
        </w:rPr>
        <w:t> </w:t>
      </w:r>
      <w:r>
        <w:rPr>
          <w:color w:val="231F20"/>
        </w:rPr>
        <w:t>жизни</w:t>
      </w:r>
      <w:r>
        <w:rPr>
          <w:color w:val="231F20"/>
          <w:spacing w:val="-5"/>
        </w:rPr>
        <w:t> </w:t>
      </w:r>
      <w:r>
        <w:rPr>
          <w:color w:val="231F20"/>
        </w:rPr>
        <w:t>это</w:t>
      </w:r>
      <w:r>
        <w:rPr>
          <w:color w:val="231F20"/>
          <w:spacing w:val="-5"/>
        </w:rPr>
        <w:t> </w:t>
      </w:r>
      <w:r>
        <w:rPr>
          <w:color w:val="231F20"/>
        </w:rPr>
        <w:t>может</w:t>
      </w:r>
      <w:r>
        <w:rPr>
          <w:color w:val="231F20"/>
          <w:spacing w:val="-5"/>
        </w:rPr>
        <w:t> </w:t>
      </w:r>
      <w:r>
        <w:rPr>
          <w:color w:val="231F20"/>
        </w:rPr>
        <w:t>быть</w:t>
      </w:r>
      <w:r>
        <w:rPr>
          <w:color w:val="231F20"/>
          <w:spacing w:val="-5"/>
        </w:rPr>
        <w:t> </w:t>
      </w:r>
      <w:r>
        <w:rPr>
          <w:color w:val="231F20"/>
        </w:rPr>
        <w:t>незаметно,</w:t>
      </w:r>
      <w:r>
        <w:rPr>
          <w:color w:val="231F20"/>
          <w:spacing w:val="-5"/>
        </w:rPr>
        <w:t> </w:t>
      </w:r>
      <w:r>
        <w:rPr>
          <w:color w:val="231F20"/>
        </w:rPr>
        <w:t>но,</w:t>
      </w:r>
      <w:r>
        <w:rPr>
          <w:color w:val="231F20"/>
          <w:spacing w:val="-5"/>
        </w:rPr>
        <w:t> </w:t>
      </w:r>
      <w:r>
        <w:rPr>
          <w:color w:val="231F20"/>
        </w:rPr>
        <w:t>если</w:t>
      </w:r>
      <w:r>
        <w:rPr>
          <w:color w:val="231F20"/>
          <w:spacing w:val="-5"/>
        </w:rPr>
        <w:t> </w:t>
      </w:r>
      <w:r>
        <w:rPr>
          <w:color w:val="231F20"/>
        </w:rPr>
        <w:t>в</w:t>
      </w:r>
      <w:r>
        <w:rPr>
          <w:color w:val="231F20"/>
          <w:spacing w:val="-5"/>
        </w:rPr>
        <w:t> </w:t>
      </w:r>
      <w:r>
        <w:rPr>
          <w:color w:val="231F20"/>
        </w:rPr>
        <w:t>ситуации</w:t>
      </w:r>
      <w:r>
        <w:rPr>
          <w:color w:val="231F20"/>
          <w:spacing w:val="-5"/>
        </w:rPr>
        <w:t> </w:t>
      </w:r>
      <w:r>
        <w:rPr>
          <w:color w:val="231F20"/>
        </w:rPr>
        <w:t>конфликта</w:t>
      </w:r>
      <w:r>
        <w:rPr>
          <w:color w:val="231F20"/>
          <w:spacing w:val="-5"/>
        </w:rPr>
        <w:t> </w:t>
      </w:r>
      <w:r>
        <w:rPr>
          <w:color w:val="231F20"/>
        </w:rPr>
        <w:t>не учитывать эти различия, может произойти неконтролируемая эскалация конфликта.</w:t>
      </w:r>
    </w:p>
    <w:p>
      <w:pPr>
        <w:spacing w:line="228" w:lineRule="exact" w:before="113"/>
        <w:ind w:left="425" w:right="0" w:firstLine="0"/>
        <w:jc w:val="left"/>
        <w:rPr>
          <w:b/>
          <w:sz w:val="20"/>
        </w:rPr>
      </w:pPr>
      <w:r>
        <w:rPr>
          <w:b/>
          <w:color w:val="231F20"/>
          <w:spacing w:val="-2"/>
          <w:sz w:val="20"/>
        </w:rPr>
        <w:t>Выводы</w:t>
      </w:r>
    </w:p>
    <w:p>
      <w:pPr>
        <w:pStyle w:val="BodyText"/>
        <w:spacing w:line="235" w:lineRule="auto" w:before="1"/>
      </w:pPr>
      <w:r>
        <w:rPr>
          <w:color w:val="231F20"/>
        </w:rPr>
        <w:t>Сначала конфликт может возникнуть на бытовой почве, но затем принятые в той или иной культуре образцы поведения в конфликте начинают определять поступки участников.</w:t>
      </w:r>
      <w:r>
        <w:rPr>
          <w:color w:val="231F20"/>
          <w:spacing w:val="-5"/>
        </w:rPr>
        <w:t> </w:t>
      </w:r>
      <w:r>
        <w:rPr>
          <w:color w:val="231F20"/>
        </w:rPr>
        <w:t>Враждебность</w:t>
      </w:r>
      <w:r>
        <w:rPr>
          <w:color w:val="231F20"/>
          <w:spacing w:val="-5"/>
        </w:rPr>
        <w:t> </w:t>
      </w:r>
      <w:r>
        <w:rPr>
          <w:color w:val="231F20"/>
        </w:rPr>
        <w:t>к</w:t>
      </w:r>
      <w:r>
        <w:rPr>
          <w:color w:val="231F20"/>
          <w:spacing w:val="-5"/>
        </w:rPr>
        <w:t> </w:t>
      </w:r>
      <w:r>
        <w:rPr>
          <w:color w:val="231F20"/>
        </w:rPr>
        <w:t>человеку</w:t>
      </w:r>
      <w:r>
        <w:rPr>
          <w:color w:val="231F20"/>
          <w:spacing w:val="-5"/>
        </w:rPr>
        <w:t> </w:t>
      </w:r>
      <w:r>
        <w:rPr>
          <w:color w:val="231F20"/>
        </w:rPr>
        <w:t>усиливается,</w:t>
      </w:r>
      <w:r>
        <w:rPr>
          <w:color w:val="231F20"/>
          <w:spacing w:val="-5"/>
        </w:rPr>
        <w:t> </w:t>
      </w:r>
      <w:r>
        <w:rPr>
          <w:color w:val="231F20"/>
        </w:rPr>
        <w:t>поскольку</w:t>
      </w:r>
      <w:r>
        <w:rPr>
          <w:color w:val="231F20"/>
          <w:spacing w:val="-5"/>
        </w:rPr>
        <w:t> </w:t>
      </w:r>
      <w:r>
        <w:rPr>
          <w:color w:val="231F20"/>
        </w:rPr>
        <w:t>в</w:t>
      </w:r>
      <w:r>
        <w:rPr>
          <w:color w:val="231F20"/>
          <w:spacing w:val="-5"/>
        </w:rPr>
        <w:t> </w:t>
      </w:r>
      <w:r>
        <w:rPr>
          <w:color w:val="231F20"/>
        </w:rPr>
        <w:t>нем</w:t>
      </w:r>
      <w:r>
        <w:rPr>
          <w:color w:val="231F20"/>
          <w:spacing w:val="-5"/>
        </w:rPr>
        <w:t> </w:t>
      </w:r>
      <w:r>
        <w:rPr>
          <w:color w:val="231F20"/>
        </w:rPr>
        <w:t>видят</w:t>
      </w:r>
      <w:r>
        <w:rPr>
          <w:color w:val="231F20"/>
          <w:spacing w:val="-5"/>
        </w:rPr>
        <w:t> </w:t>
      </w:r>
      <w:r>
        <w:rPr>
          <w:color w:val="231F20"/>
        </w:rPr>
        <w:t>изначаль- но</w:t>
      </w:r>
      <w:r>
        <w:rPr>
          <w:color w:val="231F20"/>
          <w:spacing w:val="-12"/>
        </w:rPr>
        <w:t> </w:t>
      </w:r>
      <w:r>
        <w:rPr>
          <w:color w:val="231F20"/>
        </w:rPr>
        <w:t>представителя</w:t>
      </w:r>
      <w:r>
        <w:rPr>
          <w:color w:val="231F20"/>
          <w:spacing w:val="-12"/>
        </w:rPr>
        <w:t> </w:t>
      </w:r>
      <w:r>
        <w:rPr>
          <w:color w:val="231F20"/>
        </w:rPr>
        <w:t>другой</w:t>
      </w:r>
      <w:r>
        <w:rPr>
          <w:color w:val="231F20"/>
          <w:spacing w:val="-12"/>
        </w:rPr>
        <w:t> </w:t>
      </w:r>
      <w:r>
        <w:rPr>
          <w:color w:val="231F20"/>
        </w:rPr>
        <w:t>группы</w:t>
      </w:r>
      <w:r>
        <w:rPr>
          <w:color w:val="231F20"/>
          <w:spacing w:val="-12"/>
        </w:rPr>
        <w:t> </w:t>
      </w:r>
      <w:r>
        <w:rPr>
          <w:color w:val="231F20"/>
        </w:rPr>
        <w:t>и</w:t>
      </w:r>
      <w:r>
        <w:rPr>
          <w:color w:val="231F20"/>
          <w:spacing w:val="-12"/>
        </w:rPr>
        <w:t> </w:t>
      </w:r>
      <w:r>
        <w:rPr>
          <w:color w:val="231F20"/>
        </w:rPr>
        <w:t>переносят</w:t>
      </w:r>
      <w:r>
        <w:rPr>
          <w:color w:val="231F20"/>
          <w:spacing w:val="-12"/>
        </w:rPr>
        <w:t> </w:t>
      </w:r>
      <w:r>
        <w:rPr>
          <w:color w:val="231F20"/>
        </w:rPr>
        <w:t>свое</w:t>
      </w:r>
      <w:r>
        <w:rPr>
          <w:color w:val="231F20"/>
          <w:spacing w:val="-12"/>
        </w:rPr>
        <w:t> </w:t>
      </w:r>
      <w:r>
        <w:rPr>
          <w:color w:val="231F20"/>
        </w:rPr>
        <w:t>предвзятое</w:t>
      </w:r>
      <w:r>
        <w:rPr>
          <w:color w:val="231F20"/>
          <w:spacing w:val="-12"/>
        </w:rPr>
        <w:t> </w:t>
      </w:r>
      <w:r>
        <w:rPr>
          <w:color w:val="231F20"/>
        </w:rPr>
        <w:t>отношение</w:t>
      </w:r>
      <w:r>
        <w:rPr>
          <w:color w:val="231F20"/>
          <w:spacing w:val="-12"/>
        </w:rPr>
        <w:t> </w:t>
      </w:r>
      <w:r>
        <w:rPr>
          <w:color w:val="231F20"/>
        </w:rPr>
        <w:t>к</w:t>
      </w:r>
      <w:r>
        <w:rPr>
          <w:color w:val="231F20"/>
          <w:spacing w:val="-12"/>
        </w:rPr>
        <w:t> </w:t>
      </w:r>
      <w:r>
        <w:rPr>
          <w:color w:val="231F20"/>
        </w:rPr>
        <w:t>этой</w:t>
      </w:r>
      <w:r>
        <w:rPr>
          <w:color w:val="231F20"/>
          <w:spacing w:val="-12"/>
        </w:rPr>
        <w:t> </w:t>
      </w:r>
      <w:r>
        <w:rPr>
          <w:color w:val="231F20"/>
        </w:rPr>
        <w:t>груп- пе</w:t>
      </w:r>
      <w:r>
        <w:rPr>
          <w:color w:val="231F20"/>
          <w:spacing w:val="-6"/>
        </w:rPr>
        <w:t> </w:t>
      </w:r>
      <w:r>
        <w:rPr>
          <w:color w:val="231F20"/>
        </w:rPr>
        <w:t>на</w:t>
      </w:r>
      <w:r>
        <w:rPr>
          <w:color w:val="231F20"/>
          <w:spacing w:val="-6"/>
        </w:rPr>
        <w:t> </w:t>
      </w:r>
      <w:r>
        <w:rPr>
          <w:color w:val="231F20"/>
        </w:rPr>
        <w:t>него.</w:t>
      </w:r>
      <w:r>
        <w:rPr>
          <w:color w:val="231F20"/>
          <w:spacing w:val="-6"/>
        </w:rPr>
        <w:t> </w:t>
      </w:r>
      <w:r>
        <w:rPr>
          <w:color w:val="231F20"/>
        </w:rPr>
        <w:t>Стороны</w:t>
      </w:r>
      <w:r>
        <w:rPr>
          <w:color w:val="231F20"/>
          <w:spacing w:val="-6"/>
        </w:rPr>
        <w:t> </w:t>
      </w:r>
      <w:r>
        <w:rPr>
          <w:color w:val="231F20"/>
        </w:rPr>
        <w:t>конфликта</w:t>
      </w:r>
      <w:r>
        <w:rPr>
          <w:color w:val="231F20"/>
          <w:spacing w:val="-6"/>
        </w:rPr>
        <w:t> </w:t>
      </w:r>
      <w:r>
        <w:rPr>
          <w:color w:val="231F20"/>
        </w:rPr>
        <w:t>начинают</w:t>
      </w:r>
      <w:r>
        <w:rPr>
          <w:color w:val="231F20"/>
          <w:spacing w:val="-6"/>
        </w:rPr>
        <w:t> </w:t>
      </w:r>
      <w:r>
        <w:rPr>
          <w:color w:val="231F20"/>
        </w:rPr>
        <w:t>реагировать</w:t>
      </w:r>
      <w:r>
        <w:rPr>
          <w:color w:val="231F20"/>
          <w:spacing w:val="-6"/>
        </w:rPr>
        <w:t> </w:t>
      </w:r>
      <w:r>
        <w:rPr>
          <w:color w:val="231F20"/>
        </w:rPr>
        <w:t>друг</w:t>
      </w:r>
      <w:r>
        <w:rPr>
          <w:color w:val="231F20"/>
          <w:spacing w:val="-6"/>
        </w:rPr>
        <w:t> </w:t>
      </w:r>
      <w:r>
        <w:rPr>
          <w:color w:val="231F20"/>
        </w:rPr>
        <w:t>на</w:t>
      </w:r>
      <w:r>
        <w:rPr>
          <w:color w:val="231F20"/>
          <w:spacing w:val="-6"/>
        </w:rPr>
        <w:t> </w:t>
      </w:r>
      <w:r>
        <w:rPr>
          <w:color w:val="231F20"/>
        </w:rPr>
        <w:t>друга,</w:t>
      </w:r>
      <w:r>
        <w:rPr>
          <w:color w:val="231F20"/>
          <w:spacing w:val="-6"/>
        </w:rPr>
        <w:t> </w:t>
      </w:r>
      <w:r>
        <w:rPr>
          <w:color w:val="231F20"/>
        </w:rPr>
        <w:t>основываясь</w:t>
      </w:r>
      <w:r>
        <w:rPr>
          <w:color w:val="231F20"/>
          <w:spacing w:val="-6"/>
        </w:rPr>
        <w:t> </w:t>
      </w:r>
      <w:r>
        <w:rPr>
          <w:color w:val="231F20"/>
        </w:rPr>
        <w:t>на домыслах</w:t>
      </w:r>
      <w:r>
        <w:rPr>
          <w:color w:val="231F20"/>
          <w:spacing w:val="-12"/>
        </w:rPr>
        <w:t> </w:t>
      </w:r>
      <w:r>
        <w:rPr>
          <w:color w:val="231F20"/>
        </w:rPr>
        <w:t>и</w:t>
      </w:r>
      <w:r>
        <w:rPr>
          <w:color w:val="231F20"/>
          <w:spacing w:val="-12"/>
        </w:rPr>
        <w:t> </w:t>
      </w:r>
      <w:r>
        <w:rPr>
          <w:color w:val="231F20"/>
        </w:rPr>
        <w:t>предрассудках.</w:t>
      </w:r>
      <w:r>
        <w:rPr>
          <w:color w:val="231F20"/>
          <w:spacing w:val="-12"/>
        </w:rPr>
        <w:t> </w:t>
      </w:r>
      <w:r>
        <w:rPr>
          <w:color w:val="231F20"/>
        </w:rPr>
        <w:t>Неприязнь</w:t>
      </w:r>
      <w:r>
        <w:rPr>
          <w:color w:val="231F20"/>
          <w:spacing w:val="-12"/>
        </w:rPr>
        <w:t> </w:t>
      </w:r>
      <w:r>
        <w:rPr>
          <w:color w:val="231F20"/>
        </w:rPr>
        <w:t>и</w:t>
      </w:r>
      <w:r>
        <w:rPr>
          <w:color w:val="231F20"/>
          <w:spacing w:val="-12"/>
        </w:rPr>
        <w:t> </w:t>
      </w:r>
      <w:r>
        <w:rPr>
          <w:color w:val="231F20"/>
        </w:rPr>
        <w:t>ненависть</w:t>
      </w:r>
      <w:r>
        <w:rPr>
          <w:color w:val="231F20"/>
          <w:spacing w:val="-12"/>
        </w:rPr>
        <w:t> </w:t>
      </w:r>
      <w:r>
        <w:rPr>
          <w:color w:val="231F20"/>
        </w:rPr>
        <w:t>могут</w:t>
      </w:r>
      <w:r>
        <w:rPr>
          <w:color w:val="231F20"/>
          <w:spacing w:val="-12"/>
        </w:rPr>
        <w:t> </w:t>
      </w:r>
      <w:r>
        <w:rPr>
          <w:color w:val="231F20"/>
        </w:rPr>
        <w:t>усиливаться</w:t>
      </w:r>
      <w:r>
        <w:rPr>
          <w:color w:val="231F20"/>
          <w:spacing w:val="-12"/>
        </w:rPr>
        <w:t> </w:t>
      </w:r>
      <w:r>
        <w:rPr>
          <w:color w:val="231F20"/>
        </w:rPr>
        <w:t>еще</w:t>
      </w:r>
      <w:r>
        <w:rPr>
          <w:color w:val="231F20"/>
          <w:spacing w:val="-12"/>
        </w:rPr>
        <w:t> </w:t>
      </w:r>
      <w:r>
        <w:rPr>
          <w:color w:val="231F20"/>
        </w:rPr>
        <w:t>и</w:t>
      </w:r>
      <w:r>
        <w:rPr>
          <w:color w:val="231F20"/>
          <w:spacing w:val="-12"/>
        </w:rPr>
        <w:t> </w:t>
      </w:r>
      <w:r>
        <w:rPr>
          <w:color w:val="231F20"/>
        </w:rPr>
        <w:t>давними конфликтами между совсем другими людьми, но участники данного конфликта те- перь все припоминают друг другу.</w:t>
      </w:r>
    </w:p>
    <w:p>
      <w:pPr>
        <w:pStyle w:val="BodyText"/>
        <w:spacing w:line="228" w:lineRule="exact" w:before="2"/>
        <w:ind w:left="425" w:right="0" w:firstLine="0"/>
      </w:pPr>
      <w:r>
        <w:rPr>
          <w:color w:val="231F20"/>
        </w:rPr>
        <w:t>В</w:t>
      </w:r>
      <w:r>
        <w:rPr>
          <w:color w:val="231F20"/>
          <w:spacing w:val="-7"/>
        </w:rPr>
        <w:t> </w:t>
      </w:r>
      <w:r>
        <w:rPr>
          <w:color w:val="231F20"/>
        </w:rPr>
        <w:t>этом</w:t>
      </w:r>
      <w:r>
        <w:rPr>
          <w:color w:val="231F20"/>
          <w:spacing w:val="-4"/>
        </w:rPr>
        <w:t> </w:t>
      </w:r>
      <w:r>
        <w:rPr>
          <w:color w:val="231F20"/>
        </w:rPr>
        <w:t>случае</w:t>
      </w:r>
      <w:r>
        <w:rPr>
          <w:color w:val="231F20"/>
          <w:spacing w:val="-4"/>
        </w:rPr>
        <w:t> </w:t>
      </w:r>
      <w:r>
        <w:rPr>
          <w:color w:val="231F20"/>
        </w:rPr>
        <w:t>медиация</w:t>
      </w:r>
      <w:r>
        <w:rPr>
          <w:color w:val="231F20"/>
          <w:spacing w:val="-4"/>
        </w:rPr>
        <w:t> </w:t>
      </w:r>
      <w:r>
        <w:rPr>
          <w:color w:val="231F20"/>
        </w:rPr>
        <w:t>может</w:t>
      </w:r>
      <w:r>
        <w:rPr>
          <w:color w:val="231F20"/>
          <w:spacing w:val="-4"/>
        </w:rPr>
        <w:t> </w:t>
      </w:r>
      <w:r>
        <w:rPr>
          <w:color w:val="231F20"/>
        </w:rPr>
        <w:t>работать</w:t>
      </w:r>
      <w:r>
        <w:rPr>
          <w:color w:val="231F20"/>
          <w:spacing w:val="-5"/>
        </w:rPr>
        <w:t> </w:t>
      </w:r>
      <w:r>
        <w:rPr>
          <w:color w:val="231F20"/>
        </w:rPr>
        <w:t>на</w:t>
      </w:r>
      <w:r>
        <w:rPr>
          <w:color w:val="231F20"/>
          <w:spacing w:val="-4"/>
        </w:rPr>
        <w:t> </w:t>
      </w:r>
      <w:r>
        <w:rPr>
          <w:color w:val="231F20"/>
        </w:rPr>
        <w:t>то,</w:t>
      </w:r>
      <w:r>
        <w:rPr>
          <w:color w:val="231F20"/>
          <w:spacing w:val="-4"/>
        </w:rPr>
        <w:t> </w:t>
      </w:r>
      <w:r>
        <w:rPr>
          <w:color w:val="231F20"/>
        </w:rPr>
        <w:t>чтобы</w:t>
      </w:r>
      <w:r>
        <w:rPr>
          <w:color w:val="231F20"/>
          <w:spacing w:val="-4"/>
        </w:rPr>
        <w:t> </w:t>
      </w:r>
      <w:r>
        <w:rPr>
          <w:color w:val="231F20"/>
        </w:rPr>
        <w:t>участники</w:t>
      </w:r>
      <w:r>
        <w:rPr>
          <w:color w:val="231F20"/>
          <w:spacing w:val="-5"/>
        </w:rPr>
        <w:t> </w:t>
      </w:r>
      <w:r>
        <w:rPr>
          <w:color w:val="231F20"/>
          <w:spacing w:val="-2"/>
        </w:rPr>
        <w:t>конфликта:</w:t>
      </w:r>
    </w:p>
    <w:p>
      <w:pPr>
        <w:pStyle w:val="ListParagraph"/>
        <w:numPr>
          <w:ilvl w:val="0"/>
          <w:numId w:val="148"/>
        </w:numPr>
        <w:tabs>
          <w:tab w:pos="423" w:val="left" w:leader="none"/>
        </w:tabs>
        <w:spacing w:line="226" w:lineRule="exact" w:before="0" w:after="0"/>
        <w:ind w:left="423" w:right="0" w:hanging="282"/>
        <w:jc w:val="left"/>
        <w:rPr>
          <w:sz w:val="20"/>
        </w:rPr>
      </w:pPr>
      <w:r>
        <w:rPr>
          <w:color w:val="231F20"/>
          <w:sz w:val="20"/>
        </w:rPr>
        <w:t>ограничили</w:t>
      </w:r>
      <w:r>
        <w:rPr>
          <w:color w:val="231F20"/>
          <w:spacing w:val="-14"/>
          <w:sz w:val="20"/>
        </w:rPr>
        <w:t> </w:t>
      </w:r>
      <w:r>
        <w:rPr>
          <w:color w:val="231F20"/>
          <w:sz w:val="20"/>
        </w:rPr>
        <w:t>конфликт</w:t>
      </w:r>
      <w:r>
        <w:rPr>
          <w:color w:val="231F20"/>
          <w:spacing w:val="-12"/>
          <w:sz w:val="20"/>
        </w:rPr>
        <w:t> </w:t>
      </w:r>
      <w:r>
        <w:rPr>
          <w:color w:val="231F20"/>
          <w:sz w:val="20"/>
        </w:rPr>
        <w:t>только</w:t>
      </w:r>
      <w:r>
        <w:rPr>
          <w:color w:val="231F20"/>
          <w:spacing w:val="-11"/>
          <w:sz w:val="20"/>
        </w:rPr>
        <w:t> </w:t>
      </w:r>
      <w:r>
        <w:rPr>
          <w:color w:val="231F20"/>
          <w:sz w:val="20"/>
        </w:rPr>
        <w:t>конкретно</w:t>
      </w:r>
      <w:r>
        <w:rPr>
          <w:color w:val="231F20"/>
          <w:spacing w:val="-12"/>
          <w:sz w:val="20"/>
        </w:rPr>
        <w:t> </w:t>
      </w:r>
      <w:r>
        <w:rPr>
          <w:color w:val="231F20"/>
          <w:sz w:val="20"/>
        </w:rPr>
        <w:t>своей</w:t>
      </w:r>
      <w:r>
        <w:rPr>
          <w:color w:val="231F20"/>
          <w:spacing w:val="-12"/>
          <w:sz w:val="20"/>
        </w:rPr>
        <w:t> </w:t>
      </w:r>
      <w:r>
        <w:rPr>
          <w:color w:val="231F20"/>
          <w:spacing w:val="-2"/>
          <w:sz w:val="20"/>
        </w:rPr>
        <w:t>ситуацией;</w:t>
      </w:r>
    </w:p>
    <w:p>
      <w:pPr>
        <w:pStyle w:val="ListParagraph"/>
        <w:numPr>
          <w:ilvl w:val="0"/>
          <w:numId w:val="148"/>
        </w:numPr>
        <w:tabs>
          <w:tab w:pos="423" w:val="left" w:leader="none"/>
          <w:tab w:pos="425" w:val="left" w:leader="none"/>
        </w:tabs>
        <w:spacing w:line="235" w:lineRule="auto" w:before="1" w:after="0"/>
        <w:ind w:left="425" w:right="139" w:hanging="284"/>
        <w:jc w:val="left"/>
        <w:rPr>
          <w:sz w:val="20"/>
        </w:rPr>
      </w:pPr>
      <w:r>
        <w:rPr>
          <w:color w:val="231F20"/>
          <w:sz w:val="20"/>
        </w:rPr>
        <w:t>осознали,</w:t>
      </w:r>
      <w:r>
        <w:rPr>
          <w:color w:val="231F20"/>
          <w:spacing w:val="-5"/>
          <w:sz w:val="20"/>
        </w:rPr>
        <w:t> </w:t>
      </w:r>
      <w:r>
        <w:rPr>
          <w:color w:val="231F20"/>
          <w:sz w:val="20"/>
        </w:rPr>
        <w:t>на</w:t>
      </w:r>
      <w:r>
        <w:rPr>
          <w:color w:val="231F20"/>
          <w:spacing w:val="-5"/>
          <w:sz w:val="20"/>
        </w:rPr>
        <w:t> </w:t>
      </w:r>
      <w:r>
        <w:rPr>
          <w:color w:val="231F20"/>
          <w:sz w:val="20"/>
        </w:rPr>
        <w:t>какие</w:t>
      </w:r>
      <w:r>
        <w:rPr>
          <w:color w:val="231F20"/>
          <w:spacing w:val="-5"/>
          <w:sz w:val="20"/>
        </w:rPr>
        <w:t> </w:t>
      </w:r>
      <w:r>
        <w:rPr>
          <w:color w:val="231F20"/>
          <w:sz w:val="20"/>
        </w:rPr>
        <w:t>ценности</w:t>
      </w:r>
      <w:r>
        <w:rPr>
          <w:color w:val="231F20"/>
          <w:spacing w:val="-6"/>
          <w:sz w:val="20"/>
        </w:rPr>
        <w:t> </w:t>
      </w:r>
      <w:r>
        <w:rPr>
          <w:color w:val="231F20"/>
          <w:sz w:val="20"/>
        </w:rPr>
        <w:t>и</w:t>
      </w:r>
      <w:r>
        <w:rPr>
          <w:color w:val="231F20"/>
          <w:spacing w:val="-5"/>
          <w:sz w:val="20"/>
        </w:rPr>
        <w:t> </w:t>
      </w:r>
      <w:r>
        <w:rPr>
          <w:color w:val="231F20"/>
          <w:sz w:val="20"/>
        </w:rPr>
        <w:t>нормы</w:t>
      </w:r>
      <w:r>
        <w:rPr>
          <w:color w:val="231F20"/>
          <w:spacing w:val="-5"/>
          <w:sz w:val="20"/>
        </w:rPr>
        <w:t> </w:t>
      </w:r>
      <w:r>
        <w:rPr>
          <w:color w:val="231F20"/>
          <w:sz w:val="20"/>
        </w:rPr>
        <w:t>поведения</w:t>
      </w:r>
      <w:r>
        <w:rPr>
          <w:color w:val="231F20"/>
          <w:spacing w:val="-5"/>
          <w:sz w:val="20"/>
        </w:rPr>
        <w:t> </w:t>
      </w:r>
      <w:r>
        <w:rPr>
          <w:color w:val="231F20"/>
          <w:sz w:val="20"/>
        </w:rPr>
        <w:t>в</w:t>
      </w:r>
      <w:r>
        <w:rPr>
          <w:color w:val="231F20"/>
          <w:spacing w:val="-6"/>
          <w:sz w:val="20"/>
        </w:rPr>
        <w:t> </w:t>
      </w:r>
      <w:r>
        <w:rPr>
          <w:color w:val="231F20"/>
          <w:sz w:val="20"/>
        </w:rPr>
        <w:t>своей</w:t>
      </w:r>
      <w:r>
        <w:rPr>
          <w:color w:val="231F20"/>
          <w:spacing w:val="-5"/>
          <w:sz w:val="20"/>
        </w:rPr>
        <w:t> </w:t>
      </w:r>
      <w:r>
        <w:rPr>
          <w:color w:val="231F20"/>
          <w:sz w:val="20"/>
        </w:rPr>
        <w:t>культуре</w:t>
      </w:r>
      <w:r>
        <w:rPr>
          <w:color w:val="231F20"/>
          <w:spacing w:val="-5"/>
          <w:sz w:val="20"/>
        </w:rPr>
        <w:t> </w:t>
      </w:r>
      <w:r>
        <w:rPr>
          <w:color w:val="231F20"/>
          <w:sz w:val="20"/>
        </w:rPr>
        <w:t>(своем</w:t>
      </w:r>
      <w:r>
        <w:rPr>
          <w:color w:val="231F20"/>
          <w:spacing w:val="-5"/>
          <w:sz w:val="20"/>
        </w:rPr>
        <w:t> </w:t>
      </w:r>
      <w:r>
        <w:rPr>
          <w:color w:val="231F20"/>
          <w:sz w:val="20"/>
        </w:rPr>
        <w:t>сообще- стве) они ориентируются в этом конфликте, что стоит за этими ценностями;</w:t>
      </w:r>
    </w:p>
    <w:p>
      <w:pPr>
        <w:pStyle w:val="ListParagraph"/>
        <w:numPr>
          <w:ilvl w:val="0"/>
          <w:numId w:val="148"/>
        </w:numPr>
        <w:tabs>
          <w:tab w:pos="423" w:val="left" w:leader="none"/>
        </w:tabs>
        <w:spacing w:line="227" w:lineRule="exact" w:before="0" w:after="0"/>
        <w:ind w:left="423" w:right="0" w:hanging="282"/>
        <w:jc w:val="left"/>
        <w:rPr>
          <w:sz w:val="20"/>
        </w:rPr>
      </w:pPr>
      <w:r>
        <w:rPr>
          <w:color w:val="231F20"/>
          <w:sz w:val="20"/>
        </w:rPr>
        <w:t>поняли,</w:t>
      </w:r>
      <w:r>
        <w:rPr>
          <w:color w:val="231F20"/>
          <w:spacing w:val="-4"/>
          <w:sz w:val="20"/>
        </w:rPr>
        <w:t> </w:t>
      </w:r>
      <w:r>
        <w:rPr>
          <w:color w:val="231F20"/>
          <w:sz w:val="20"/>
        </w:rPr>
        <w:t>к</w:t>
      </w:r>
      <w:r>
        <w:rPr>
          <w:color w:val="231F20"/>
          <w:spacing w:val="-2"/>
          <w:sz w:val="20"/>
        </w:rPr>
        <w:t> </w:t>
      </w:r>
      <w:r>
        <w:rPr>
          <w:color w:val="231F20"/>
          <w:sz w:val="20"/>
        </w:rPr>
        <w:t>каким</w:t>
      </w:r>
      <w:r>
        <w:rPr>
          <w:color w:val="231F20"/>
          <w:spacing w:val="-1"/>
          <w:sz w:val="20"/>
        </w:rPr>
        <w:t> </w:t>
      </w:r>
      <w:r>
        <w:rPr>
          <w:color w:val="231F20"/>
          <w:sz w:val="20"/>
        </w:rPr>
        <w:t>последствиям</w:t>
      </w:r>
      <w:r>
        <w:rPr>
          <w:color w:val="231F20"/>
          <w:spacing w:val="-2"/>
          <w:sz w:val="20"/>
        </w:rPr>
        <w:t> </w:t>
      </w:r>
      <w:r>
        <w:rPr>
          <w:color w:val="231F20"/>
          <w:sz w:val="20"/>
        </w:rPr>
        <w:t>приводит</w:t>
      </w:r>
      <w:r>
        <w:rPr>
          <w:color w:val="231F20"/>
          <w:spacing w:val="-1"/>
          <w:sz w:val="20"/>
        </w:rPr>
        <w:t> </w:t>
      </w:r>
      <w:r>
        <w:rPr>
          <w:color w:val="231F20"/>
          <w:sz w:val="20"/>
        </w:rPr>
        <w:t>их</w:t>
      </w:r>
      <w:r>
        <w:rPr>
          <w:color w:val="231F20"/>
          <w:spacing w:val="-2"/>
          <w:sz w:val="20"/>
        </w:rPr>
        <w:t> </w:t>
      </w:r>
      <w:r>
        <w:rPr>
          <w:color w:val="231F20"/>
          <w:sz w:val="20"/>
        </w:rPr>
        <w:t>деструктивное</w:t>
      </w:r>
      <w:r>
        <w:rPr>
          <w:color w:val="231F20"/>
          <w:spacing w:val="-1"/>
          <w:sz w:val="20"/>
        </w:rPr>
        <w:t> </w:t>
      </w:r>
      <w:r>
        <w:rPr>
          <w:color w:val="231F20"/>
          <w:spacing w:val="-2"/>
          <w:sz w:val="20"/>
        </w:rPr>
        <w:t>реагирование;</w:t>
      </w:r>
    </w:p>
    <w:p>
      <w:pPr>
        <w:pStyle w:val="ListParagraph"/>
        <w:spacing w:after="0" w:line="227" w:lineRule="exact"/>
        <w:jc w:val="left"/>
        <w:rPr>
          <w:sz w:val="20"/>
        </w:rPr>
        <w:sectPr>
          <w:pgSz w:w="8400" w:h="11910"/>
          <w:pgMar w:header="0" w:footer="527" w:top="400" w:bottom="72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5"/>
          <w:sz w:val="18"/>
        </w:rPr>
        <w:t> </w:t>
      </w:r>
      <w:r>
        <w:rPr>
          <w:rFonts w:ascii="Georgia" w:hAnsi="Georgia"/>
          <w:color w:val="231F20"/>
          <w:sz w:val="18"/>
        </w:rPr>
        <w:t>Методы</w:t>
      </w:r>
      <w:r>
        <w:rPr>
          <w:rFonts w:ascii="Georgia" w:hAnsi="Georgia"/>
          <w:color w:val="231F20"/>
          <w:spacing w:val="-5"/>
          <w:sz w:val="18"/>
        </w:rPr>
        <w:t> </w:t>
      </w:r>
      <w:r>
        <w:rPr>
          <w:rFonts w:ascii="Georgia" w:hAnsi="Georgia"/>
          <w:color w:val="231F20"/>
          <w:sz w:val="18"/>
        </w:rPr>
        <w:t>воспитательной</w:t>
      </w:r>
      <w:r>
        <w:rPr>
          <w:rFonts w:ascii="Georgia" w:hAnsi="Georgia"/>
          <w:color w:val="231F20"/>
          <w:spacing w:val="-4"/>
          <w:sz w:val="18"/>
        </w:rPr>
        <w:t> </w:t>
      </w:r>
      <w:r>
        <w:rPr>
          <w:rFonts w:ascii="Georgia" w:hAnsi="Georgia"/>
          <w:color w:val="231F20"/>
          <w:sz w:val="18"/>
        </w:rPr>
        <w:t>раюоты</w:t>
      </w:r>
      <w:r>
        <w:rPr>
          <w:rFonts w:ascii="Georgia" w:hAnsi="Georgia"/>
          <w:color w:val="231F20"/>
          <w:spacing w:val="-5"/>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w:t>
      </w:r>
      <w:r>
        <w:rPr>
          <w:rFonts w:ascii="Georgia" w:hAnsi="Georgia"/>
          <w:color w:val="231F20"/>
          <w:spacing w:val="-4"/>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ListParagraph"/>
        <w:numPr>
          <w:ilvl w:val="0"/>
          <w:numId w:val="148"/>
        </w:numPr>
        <w:tabs>
          <w:tab w:pos="423" w:val="left" w:leader="none"/>
          <w:tab w:pos="425" w:val="left" w:leader="none"/>
        </w:tabs>
        <w:spacing w:line="235" w:lineRule="auto" w:before="116" w:after="0"/>
        <w:ind w:left="425" w:right="139" w:hanging="284"/>
        <w:jc w:val="both"/>
        <w:rPr>
          <w:sz w:val="20"/>
        </w:rPr>
      </w:pPr>
      <w:r>
        <w:rPr>
          <w:color w:val="231F20"/>
          <w:sz w:val="20"/>
        </w:rPr>
        <w:t>увидели</w:t>
      </w:r>
      <w:r>
        <w:rPr>
          <w:color w:val="231F20"/>
          <w:spacing w:val="-6"/>
          <w:sz w:val="20"/>
        </w:rPr>
        <w:t> </w:t>
      </w:r>
      <w:r>
        <w:rPr>
          <w:color w:val="231F20"/>
          <w:sz w:val="20"/>
        </w:rPr>
        <w:t>друг</w:t>
      </w:r>
      <w:r>
        <w:rPr>
          <w:color w:val="231F20"/>
          <w:spacing w:val="-6"/>
          <w:sz w:val="20"/>
        </w:rPr>
        <w:t> </w:t>
      </w:r>
      <w:r>
        <w:rPr>
          <w:color w:val="231F20"/>
          <w:sz w:val="20"/>
        </w:rPr>
        <w:t>в</w:t>
      </w:r>
      <w:r>
        <w:rPr>
          <w:color w:val="231F20"/>
          <w:spacing w:val="-6"/>
          <w:sz w:val="20"/>
        </w:rPr>
        <w:t> </w:t>
      </w:r>
      <w:r>
        <w:rPr>
          <w:color w:val="231F20"/>
          <w:sz w:val="20"/>
        </w:rPr>
        <w:t>друге</w:t>
      </w:r>
      <w:r>
        <w:rPr>
          <w:color w:val="231F20"/>
          <w:spacing w:val="-6"/>
          <w:sz w:val="20"/>
        </w:rPr>
        <w:t> </w:t>
      </w:r>
      <w:r>
        <w:rPr>
          <w:color w:val="231F20"/>
          <w:sz w:val="20"/>
        </w:rPr>
        <w:t>не</w:t>
      </w:r>
      <w:r>
        <w:rPr>
          <w:color w:val="231F20"/>
          <w:spacing w:val="-6"/>
          <w:sz w:val="20"/>
        </w:rPr>
        <w:t> </w:t>
      </w:r>
      <w:r>
        <w:rPr>
          <w:color w:val="231F20"/>
          <w:sz w:val="20"/>
        </w:rPr>
        <w:t>столько</w:t>
      </w:r>
      <w:r>
        <w:rPr>
          <w:color w:val="231F20"/>
          <w:spacing w:val="-6"/>
          <w:sz w:val="20"/>
        </w:rPr>
        <w:t> </w:t>
      </w:r>
      <w:r>
        <w:rPr>
          <w:color w:val="231F20"/>
          <w:sz w:val="20"/>
        </w:rPr>
        <w:t>представителей</w:t>
      </w:r>
      <w:r>
        <w:rPr>
          <w:color w:val="231F20"/>
          <w:spacing w:val="-6"/>
          <w:sz w:val="20"/>
        </w:rPr>
        <w:t> </w:t>
      </w:r>
      <w:r>
        <w:rPr>
          <w:color w:val="231F20"/>
          <w:sz w:val="20"/>
        </w:rPr>
        <w:t>другой</w:t>
      </w:r>
      <w:r>
        <w:rPr>
          <w:color w:val="231F20"/>
          <w:spacing w:val="-6"/>
          <w:sz w:val="20"/>
        </w:rPr>
        <w:t> </w:t>
      </w:r>
      <w:r>
        <w:rPr>
          <w:color w:val="231F20"/>
          <w:sz w:val="20"/>
        </w:rPr>
        <w:t>национальности,</w:t>
      </w:r>
      <w:r>
        <w:rPr>
          <w:color w:val="231F20"/>
          <w:spacing w:val="-6"/>
          <w:sz w:val="20"/>
        </w:rPr>
        <w:t> </w:t>
      </w:r>
      <w:r>
        <w:rPr>
          <w:color w:val="231F20"/>
          <w:sz w:val="20"/>
        </w:rPr>
        <w:t>сколько людей</w:t>
      </w:r>
      <w:r>
        <w:rPr>
          <w:color w:val="231F20"/>
          <w:spacing w:val="-6"/>
          <w:sz w:val="20"/>
        </w:rPr>
        <w:t> </w:t>
      </w:r>
      <w:r>
        <w:rPr>
          <w:color w:val="231F20"/>
          <w:sz w:val="20"/>
        </w:rPr>
        <w:t>со</w:t>
      </w:r>
      <w:r>
        <w:rPr>
          <w:color w:val="231F20"/>
          <w:spacing w:val="-6"/>
          <w:sz w:val="20"/>
        </w:rPr>
        <w:t> </w:t>
      </w:r>
      <w:r>
        <w:rPr>
          <w:color w:val="231F20"/>
          <w:sz w:val="20"/>
        </w:rPr>
        <w:t>своими</w:t>
      </w:r>
      <w:r>
        <w:rPr>
          <w:color w:val="231F20"/>
          <w:spacing w:val="-6"/>
          <w:sz w:val="20"/>
        </w:rPr>
        <w:t> </w:t>
      </w:r>
      <w:r>
        <w:rPr>
          <w:color w:val="231F20"/>
          <w:sz w:val="20"/>
        </w:rPr>
        <w:t>взглядами,</w:t>
      </w:r>
      <w:r>
        <w:rPr>
          <w:color w:val="231F20"/>
          <w:spacing w:val="-6"/>
          <w:sz w:val="20"/>
        </w:rPr>
        <w:t> </w:t>
      </w:r>
      <w:r>
        <w:rPr>
          <w:color w:val="231F20"/>
          <w:sz w:val="20"/>
        </w:rPr>
        <w:t>проблемами</w:t>
      </w:r>
      <w:r>
        <w:rPr>
          <w:color w:val="231F20"/>
          <w:spacing w:val="-6"/>
          <w:sz w:val="20"/>
        </w:rPr>
        <w:t> </w:t>
      </w:r>
      <w:r>
        <w:rPr>
          <w:color w:val="231F20"/>
          <w:sz w:val="20"/>
        </w:rPr>
        <w:t>(причем</w:t>
      </w:r>
      <w:r>
        <w:rPr>
          <w:color w:val="231F20"/>
          <w:spacing w:val="-6"/>
          <w:sz w:val="20"/>
        </w:rPr>
        <w:t> </w:t>
      </w:r>
      <w:r>
        <w:rPr>
          <w:color w:val="231F20"/>
          <w:sz w:val="20"/>
        </w:rPr>
        <w:t>как</w:t>
      </w:r>
      <w:r>
        <w:rPr>
          <w:color w:val="231F20"/>
          <w:spacing w:val="-6"/>
          <w:sz w:val="20"/>
        </w:rPr>
        <w:t> </w:t>
      </w:r>
      <w:r>
        <w:rPr>
          <w:color w:val="231F20"/>
          <w:sz w:val="20"/>
        </w:rPr>
        <w:t>с</w:t>
      </w:r>
      <w:r>
        <w:rPr>
          <w:color w:val="231F20"/>
          <w:spacing w:val="-6"/>
          <w:sz w:val="20"/>
        </w:rPr>
        <w:t> </w:t>
      </w:r>
      <w:r>
        <w:rPr>
          <w:color w:val="231F20"/>
          <w:sz w:val="20"/>
        </w:rPr>
        <w:t>одной,</w:t>
      </w:r>
      <w:r>
        <w:rPr>
          <w:color w:val="231F20"/>
          <w:spacing w:val="-6"/>
          <w:sz w:val="20"/>
        </w:rPr>
        <w:t> </w:t>
      </w:r>
      <w:r>
        <w:rPr>
          <w:color w:val="231F20"/>
          <w:sz w:val="20"/>
        </w:rPr>
        <w:t>так</w:t>
      </w:r>
      <w:r>
        <w:rPr>
          <w:color w:val="231F20"/>
          <w:spacing w:val="-6"/>
          <w:sz w:val="20"/>
        </w:rPr>
        <w:t> </w:t>
      </w:r>
      <w:r>
        <w:rPr>
          <w:color w:val="231F20"/>
          <w:sz w:val="20"/>
        </w:rPr>
        <w:t>и</w:t>
      </w:r>
      <w:r>
        <w:rPr>
          <w:color w:val="231F20"/>
          <w:spacing w:val="-6"/>
          <w:sz w:val="20"/>
        </w:rPr>
        <w:t> </w:t>
      </w:r>
      <w:r>
        <w:rPr>
          <w:color w:val="231F20"/>
          <w:sz w:val="20"/>
        </w:rPr>
        <w:t>с</w:t>
      </w:r>
      <w:r>
        <w:rPr>
          <w:color w:val="231F20"/>
          <w:spacing w:val="-6"/>
          <w:sz w:val="20"/>
        </w:rPr>
        <w:t> </w:t>
      </w:r>
      <w:r>
        <w:rPr>
          <w:color w:val="231F20"/>
          <w:sz w:val="20"/>
        </w:rPr>
        <w:t>другой</w:t>
      </w:r>
      <w:r>
        <w:rPr>
          <w:color w:val="231F20"/>
          <w:spacing w:val="-6"/>
          <w:sz w:val="20"/>
        </w:rPr>
        <w:t> </w:t>
      </w:r>
      <w:r>
        <w:rPr>
          <w:color w:val="231F20"/>
          <w:sz w:val="20"/>
        </w:rPr>
        <w:t>сто- роны) и постарались понять друг друга;</w:t>
      </w:r>
    </w:p>
    <w:p>
      <w:pPr>
        <w:pStyle w:val="ListParagraph"/>
        <w:numPr>
          <w:ilvl w:val="0"/>
          <w:numId w:val="148"/>
        </w:numPr>
        <w:tabs>
          <w:tab w:pos="423" w:val="left" w:leader="none"/>
          <w:tab w:pos="425" w:val="left" w:leader="none"/>
        </w:tabs>
        <w:spacing w:line="235" w:lineRule="auto" w:before="2" w:after="0"/>
        <w:ind w:left="425" w:right="141" w:hanging="284"/>
        <w:jc w:val="both"/>
        <w:rPr>
          <w:sz w:val="20"/>
        </w:rPr>
      </w:pPr>
      <w:r>
        <w:rPr>
          <w:color w:val="231F20"/>
          <w:sz w:val="20"/>
        </w:rPr>
        <w:t>обсудили, какие нормы и традиции их культур помогают разрешить конфликт и найти возможности примирения;</w:t>
      </w:r>
    </w:p>
    <w:p>
      <w:pPr>
        <w:pStyle w:val="ListParagraph"/>
        <w:numPr>
          <w:ilvl w:val="0"/>
          <w:numId w:val="148"/>
        </w:numPr>
        <w:tabs>
          <w:tab w:pos="423" w:val="left" w:leader="none"/>
          <w:tab w:pos="425" w:val="left" w:leader="none"/>
        </w:tabs>
        <w:spacing w:line="235" w:lineRule="auto" w:before="1" w:after="0"/>
        <w:ind w:left="425" w:right="139" w:hanging="284"/>
        <w:jc w:val="both"/>
        <w:rPr>
          <w:sz w:val="20"/>
        </w:rPr>
      </w:pPr>
      <w:r>
        <w:rPr>
          <w:color w:val="231F20"/>
          <w:sz w:val="20"/>
        </w:rPr>
        <w:t>договорились,</w:t>
      </w:r>
      <w:r>
        <w:rPr>
          <w:color w:val="231F20"/>
          <w:spacing w:val="-4"/>
          <w:sz w:val="20"/>
        </w:rPr>
        <w:t> </w:t>
      </w:r>
      <w:r>
        <w:rPr>
          <w:color w:val="231F20"/>
          <w:sz w:val="20"/>
        </w:rPr>
        <w:t>как</w:t>
      </w:r>
      <w:r>
        <w:rPr>
          <w:color w:val="231F20"/>
          <w:spacing w:val="-4"/>
          <w:sz w:val="20"/>
        </w:rPr>
        <w:t> </w:t>
      </w:r>
      <w:r>
        <w:rPr>
          <w:color w:val="231F20"/>
          <w:sz w:val="20"/>
        </w:rPr>
        <w:t>можно,</w:t>
      </w:r>
      <w:r>
        <w:rPr>
          <w:color w:val="231F20"/>
          <w:spacing w:val="-4"/>
          <w:sz w:val="20"/>
        </w:rPr>
        <w:t> </w:t>
      </w:r>
      <w:r>
        <w:rPr>
          <w:color w:val="231F20"/>
          <w:sz w:val="20"/>
        </w:rPr>
        <w:t>принимая</w:t>
      </w:r>
      <w:r>
        <w:rPr>
          <w:color w:val="231F20"/>
          <w:spacing w:val="-4"/>
          <w:sz w:val="20"/>
        </w:rPr>
        <w:t> </w:t>
      </w:r>
      <w:r>
        <w:rPr>
          <w:color w:val="231F20"/>
          <w:sz w:val="20"/>
        </w:rPr>
        <w:t>важность</w:t>
      </w:r>
      <w:r>
        <w:rPr>
          <w:color w:val="231F20"/>
          <w:spacing w:val="-4"/>
          <w:sz w:val="20"/>
        </w:rPr>
        <w:t> </w:t>
      </w:r>
      <w:r>
        <w:rPr>
          <w:color w:val="231F20"/>
          <w:sz w:val="20"/>
        </w:rPr>
        <w:t>обеих</w:t>
      </w:r>
      <w:r>
        <w:rPr>
          <w:color w:val="231F20"/>
          <w:spacing w:val="-4"/>
          <w:sz w:val="20"/>
        </w:rPr>
        <w:t> </w:t>
      </w:r>
      <w:r>
        <w:rPr>
          <w:color w:val="231F20"/>
          <w:sz w:val="20"/>
        </w:rPr>
        <w:t>культур,</w:t>
      </w:r>
      <w:r>
        <w:rPr>
          <w:color w:val="231F20"/>
          <w:spacing w:val="-4"/>
          <w:sz w:val="20"/>
        </w:rPr>
        <w:t> </w:t>
      </w:r>
      <w:r>
        <w:rPr>
          <w:color w:val="231F20"/>
          <w:sz w:val="20"/>
        </w:rPr>
        <w:t>разрешить</w:t>
      </w:r>
      <w:r>
        <w:rPr>
          <w:color w:val="231F20"/>
          <w:spacing w:val="-4"/>
          <w:sz w:val="20"/>
        </w:rPr>
        <w:t> </w:t>
      </w:r>
      <w:r>
        <w:rPr>
          <w:color w:val="231F20"/>
          <w:sz w:val="20"/>
        </w:rPr>
        <w:t>сложив- шийся конфликт.</w:t>
      </w:r>
    </w:p>
    <w:p>
      <w:pPr>
        <w:pStyle w:val="BodyText"/>
        <w:spacing w:line="235" w:lineRule="auto" w:before="1"/>
      </w:pPr>
      <w:r>
        <w:rPr>
          <w:color w:val="231F20"/>
          <w:spacing w:val="-2"/>
        </w:rPr>
        <w:t>Необходимо</w:t>
      </w:r>
      <w:r>
        <w:rPr>
          <w:color w:val="231F20"/>
          <w:spacing w:val="-4"/>
        </w:rPr>
        <w:t> </w:t>
      </w:r>
      <w:r>
        <w:rPr>
          <w:color w:val="231F20"/>
          <w:spacing w:val="-2"/>
        </w:rPr>
        <w:t>серьезно</w:t>
      </w:r>
      <w:r>
        <w:rPr>
          <w:color w:val="231F20"/>
          <w:spacing w:val="-4"/>
        </w:rPr>
        <w:t> </w:t>
      </w:r>
      <w:r>
        <w:rPr>
          <w:color w:val="231F20"/>
          <w:spacing w:val="-2"/>
        </w:rPr>
        <w:t>подойти</w:t>
      </w:r>
      <w:r>
        <w:rPr>
          <w:color w:val="231F20"/>
          <w:spacing w:val="-4"/>
        </w:rPr>
        <w:t> </w:t>
      </w:r>
      <w:r>
        <w:rPr>
          <w:color w:val="231F20"/>
          <w:spacing w:val="-2"/>
        </w:rPr>
        <w:t>к</w:t>
      </w:r>
      <w:r>
        <w:rPr>
          <w:color w:val="231F20"/>
          <w:spacing w:val="-4"/>
        </w:rPr>
        <w:t> </w:t>
      </w:r>
      <w:r>
        <w:rPr>
          <w:color w:val="231F20"/>
          <w:spacing w:val="-2"/>
        </w:rPr>
        <w:t>вопросу,</w:t>
      </w:r>
      <w:r>
        <w:rPr>
          <w:color w:val="231F20"/>
          <w:spacing w:val="-4"/>
        </w:rPr>
        <w:t> </w:t>
      </w:r>
      <w:r>
        <w:rPr>
          <w:color w:val="231F20"/>
          <w:spacing w:val="-2"/>
        </w:rPr>
        <w:t>кто</w:t>
      </w:r>
      <w:r>
        <w:rPr>
          <w:color w:val="231F20"/>
          <w:spacing w:val="-4"/>
        </w:rPr>
        <w:t> </w:t>
      </w:r>
      <w:r>
        <w:rPr>
          <w:color w:val="231F20"/>
          <w:spacing w:val="-2"/>
        </w:rPr>
        <w:t>может</w:t>
      </w:r>
      <w:r>
        <w:rPr>
          <w:color w:val="231F20"/>
          <w:spacing w:val="-4"/>
        </w:rPr>
        <w:t> </w:t>
      </w:r>
      <w:r>
        <w:rPr>
          <w:color w:val="231F20"/>
          <w:spacing w:val="-2"/>
        </w:rPr>
        <w:t>организовать</w:t>
      </w:r>
      <w:r>
        <w:rPr>
          <w:color w:val="231F20"/>
          <w:spacing w:val="-4"/>
        </w:rPr>
        <w:t> </w:t>
      </w:r>
      <w:r>
        <w:rPr>
          <w:color w:val="231F20"/>
          <w:spacing w:val="-2"/>
        </w:rPr>
        <w:t>такую</w:t>
      </w:r>
      <w:r>
        <w:rPr>
          <w:color w:val="231F20"/>
          <w:spacing w:val="-4"/>
        </w:rPr>
        <w:t> </w:t>
      </w:r>
      <w:r>
        <w:rPr>
          <w:color w:val="231F20"/>
          <w:spacing w:val="-2"/>
        </w:rPr>
        <w:t>коммуни- </w:t>
      </w:r>
      <w:r>
        <w:rPr>
          <w:color w:val="231F20"/>
        </w:rPr>
        <w:t>кацию, и должность или профессия (директор, психолог, инспектор ПДН) далеко не всегда являются определяющими. Скорее, необходим человек, во-первых, которого уважают</w:t>
      </w:r>
      <w:r>
        <w:rPr>
          <w:color w:val="231F20"/>
          <w:spacing w:val="-6"/>
        </w:rPr>
        <w:t> </w:t>
      </w:r>
      <w:r>
        <w:rPr>
          <w:color w:val="231F20"/>
        </w:rPr>
        <w:t>все</w:t>
      </w:r>
      <w:r>
        <w:rPr>
          <w:color w:val="231F20"/>
          <w:spacing w:val="-6"/>
        </w:rPr>
        <w:t> </w:t>
      </w:r>
      <w:r>
        <w:rPr>
          <w:color w:val="231F20"/>
        </w:rPr>
        <w:t>участники</w:t>
      </w:r>
      <w:r>
        <w:rPr>
          <w:color w:val="231F20"/>
          <w:spacing w:val="-6"/>
        </w:rPr>
        <w:t> </w:t>
      </w:r>
      <w:r>
        <w:rPr>
          <w:color w:val="231F20"/>
        </w:rPr>
        <w:t>конфликта,</w:t>
      </w:r>
      <w:r>
        <w:rPr>
          <w:color w:val="231F20"/>
          <w:spacing w:val="-6"/>
        </w:rPr>
        <w:t> </w:t>
      </w:r>
      <w:r>
        <w:rPr>
          <w:color w:val="231F20"/>
        </w:rPr>
        <w:t>во-вторых,</w:t>
      </w:r>
      <w:r>
        <w:rPr>
          <w:color w:val="231F20"/>
          <w:spacing w:val="-6"/>
        </w:rPr>
        <w:t> </w:t>
      </w:r>
      <w:r>
        <w:rPr>
          <w:color w:val="231F20"/>
        </w:rPr>
        <w:t>который</w:t>
      </w:r>
      <w:r>
        <w:rPr>
          <w:color w:val="231F20"/>
          <w:spacing w:val="-6"/>
        </w:rPr>
        <w:t> </w:t>
      </w:r>
      <w:r>
        <w:rPr>
          <w:color w:val="231F20"/>
        </w:rPr>
        <w:t>способен</w:t>
      </w:r>
      <w:r>
        <w:rPr>
          <w:color w:val="231F20"/>
          <w:spacing w:val="-6"/>
        </w:rPr>
        <w:t> </w:t>
      </w:r>
      <w:r>
        <w:rPr>
          <w:color w:val="231F20"/>
        </w:rPr>
        <w:t>удерживать</w:t>
      </w:r>
      <w:r>
        <w:rPr>
          <w:color w:val="231F20"/>
          <w:spacing w:val="-6"/>
        </w:rPr>
        <w:t> </w:t>
      </w:r>
      <w:r>
        <w:rPr>
          <w:color w:val="231F20"/>
        </w:rPr>
        <w:t>баланс между сторонами, и, в-третьих, который не допускает влияния на конфликт пред- рассудков (своих и сторон конфликта) или может с ними работать как с материалом конфликта. Эти компетенции важно взращивать у работающих с межкультурными конфликтами специалистов в образовании (в том числе в службах примирения) и в социальной сфере.</w:t>
      </w:r>
    </w:p>
    <w:p>
      <w:pPr>
        <w:spacing w:line="206" w:lineRule="exact" w:before="114"/>
        <w:ind w:left="425" w:right="0" w:firstLine="0"/>
        <w:jc w:val="left"/>
        <w:rPr>
          <w:b/>
          <w:sz w:val="18"/>
        </w:rPr>
      </w:pPr>
      <w:r>
        <w:rPr>
          <w:b/>
          <w:color w:val="231F20"/>
          <w:spacing w:val="-2"/>
          <w:sz w:val="18"/>
        </w:rPr>
        <w:t>Литература</w:t>
      </w:r>
    </w:p>
    <w:p>
      <w:pPr>
        <w:pStyle w:val="ListParagraph"/>
        <w:numPr>
          <w:ilvl w:val="1"/>
          <w:numId w:val="148"/>
        </w:numPr>
        <w:tabs>
          <w:tab w:pos="708" w:val="left" w:leader="none"/>
        </w:tabs>
        <w:spacing w:line="240" w:lineRule="auto" w:before="0" w:after="0"/>
        <w:ind w:left="708" w:right="423" w:hanging="284"/>
        <w:jc w:val="both"/>
        <w:rPr>
          <w:sz w:val="18"/>
        </w:rPr>
      </w:pPr>
      <w:r>
        <w:rPr>
          <w:color w:val="231F20"/>
          <w:sz w:val="18"/>
        </w:rPr>
        <w:t>Григорьев Н.И. Методические материалы тренера-медиатора в области межэтни- ческих и межконфессиональных конфликтов. Краткий курс. – М.: ИД «ООО Буки Веди», 2016. – 160с.</w:t>
      </w:r>
    </w:p>
    <w:p>
      <w:pPr>
        <w:pStyle w:val="ListParagraph"/>
        <w:numPr>
          <w:ilvl w:val="1"/>
          <w:numId w:val="148"/>
        </w:numPr>
        <w:tabs>
          <w:tab w:pos="708" w:val="left" w:leader="none"/>
        </w:tabs>
        <w:spacing w:line="240" w:lineRule="auto" w:before="0" w:after="0"/>
        <w:ind w:left="708" w:right="423" w:hanging="284"/>
        <w:jc w:val="both"/>
        <w:rPr>
          <w:sz w:val="18"/>
        </w:rPr>
      </w:pPr>
      <w:r>
        <w:rPr>
          <w:color w:val="231F20"/>
          <w:sz w:val="18"/>
        </w:rPr>
        <w:t>Коновалов</w:t>
      </w:r>
      <w:r>
        <w:rPr>
          <w:color w:val="231F20"/>
          <w:spacing w:val="-9"/>
          <w:sz w:val="18"/>
        </w:rPr>
        <w:t> </w:t>
      </w:r>
      <w:r>
        <w:rPr>
          <w:color w:val="231F20"/>
          <w:sz w:val="18"/>
        </w:rPr>
        <w:t>А.Ю.</w:t>
      </w:r>
      <w:r>
        <w:rPr>
          <w:color w:val="231F20"/>
          <w:spacing w:val="-9"/>
          <w:sz w:val="18"/>
        </w:rPr>
        <w:t> </w:t>
      </w:r>
      <w:r>
        <w:rPr>
          <w:color w:val="231F20"/>
          <w:sz w:val="18"/>
        </w:rPr>
        <w:t>Школьная</w:t>
      </w:r>
      <w:r>
        <w:rPr>
          <w:color w:val="231F20"/>
          <w:spacing w:val="-9"/>
          <w:sz w:val="18"/>
        </w:rPr>
        <w:t> </w:t>
      </w:r>
      <w:r>
        <w:rPr>
          <w:color w:val="231F20"/>
          <w:sz w:val="18"/>
        </w:rPr>
        <w:t>служба</w:t>
      </w:r>
      <w:r>
        <w:rPr>
          <w:color w:val="231F20"/>
          <w:spacing w:val="-9"/>
          <w:sz w:val="18"/>
        </w:rPr>
        <w:t> </w:t>
      </w:r>
      <w:r>
        <w:rPr>
          <w:color w:val="231F20"/>
          <w:sz w:val="18"/>
        </w:rPr>
        <w:t>примирения</w:t>
      </w:r>
      <w:r>
        <w:rPr>
          <w:color w:val="231F20"/>
          <w:spacing w:val="-8"/>
          <w:sz w:val="18"/>
        </w:rPr>
        <w:t> </w:t>
      </w:r>
      <w:r>
        <w:rPr>
          <w:color w:val="231F20"/>
          <w:sz w:val="18"/>
        </w:rPr>
        <w:t>в</w:t>
      </w:r>
      <w:r>
        <w:rPr>
          <w:color w:val="231F20"/>
          <w:spacing w:val="-9"/>
          <w:sz w:val="18"/>
        </w:rPr>
        <w:t> </w:t>
      </w:r>
      <w:r>
        <w:rPr>
          <w:color w:val="231F20"/>
          <w:sz w:val="18"/>
        </w:rPr>
        <w:t>разрешении</w:t>
      </w:r>
      <w:r>
        <w:rPr>
          <w:color w:val="231F20"/>
          <w:spacing w:val="-9"/>
          <w:sz w:val="18"/>
        </w:rPr>
        <w:t> </w:t>
      </w:r>
      <w:r>
        <w:rPr>
          <w:color w:val="231F20"/>
          <w:sz w:val="18"/>
        </w:rPr>
        <w:t>межкультурных</w:t>
      </w:r>
      <w:r>
        <w:rPr>
          <w:color w:val="231F20"/>
          <w:spacing w:val="-9"/>
          <w:sz w:val="18"/>
        </w:rPr>
        <w:t> </w:t>
      </w:r>
      <w:r>
        <w:rPr>
          <w:color w:val="231F20"/>
          <w:sz w:val="18"/>
        </w:rPr>
        <w:t>кон- фликтов // Технологии психологического сопровождения интеграции мигрантов в образовательной</w:t>
      </w:r>
      <w:r>
        <w:rPr>
          <w:color w:val="231F20"/>
          <w:spacing w:val="-10"/>
          <w:sz w:val="18"/>
        </w:rPr>
        <w:t> </w:t>
      </w:r>
      <w:r>
        <w:rPr>
          <w:color w:val="231F20"/>
          <w:sz w:val="18"/>
        </w:rPr>
        <w:t>среде.</w:t>
      </w:r>
      <w:r>
        <w:rPr>
          <w:color w:val="231F20"/>
          <w:spacing w:val="-10"/>
          <w:sz w:val="18"/>
        </w:rPr>
        <w:t> </w:t>
      </w:r>
      <w:r>
        <w:rPr>
          <w:color w:val="231F20"/>
          <w:sz w:val="18"/>
        </w:rPr>
        <w:t>Учебно-методическое</w:t>
      </w:r>
      <w:r>
        <w:rPr>
          <w:color w:val="231F20"/>
          <w:spacing w:val="-10"/>
          <w:sz w:val="18"/>
        </w:rPr>
        <w:t> </w:t>
      </w:r>
      <w:r>
        <w:rPr>
          <w:color w:val="231F20"/>
          <w:sz w:val="18"/>
        </w:rPr>
        <w:t>пособие.</w:t>
      </w:r>
      <w:r>
        <w:rPr>
          <w:color w:val="231F20"/>
          <w:spacing w:val="-10"/>
          <w:sz w:val="18"/>
        </w:rPr>
        <w:t> </w:t>
      </w:r>
      <w:r>
        <w:rPr>
          <w:color w:val="231F20"/>
          <w:sz w:val="18"/>
        </w:rPr>
        <w:t>-</w:t>
      </w:r>
      <w:r>
        <w:rPr>
          <w:color w:val="231F20"/>
          <w:spacing w:val="-10"/>
          <w:sz w:val="18"/>
        </w:rPr>
        <w:t> </w:t>
      </w:r>
      <w:r>
        <w:rPr>
          <w:color w:val="231F20"/>
          <w:sz w:val="18"/>
        </w:rPr>
        <w:t>М.,2013</w:t>
      </w:r>
      <w:r>
        <w:rPr>
          <w:color w:val="231F20"/>
          <w:spacing w:val="-9"/>
          <w:sz w:val="18"/>
        </w:rPr>
        <w:t> </w:t>
      </w:r>
      <w:hyperlink r:id="rId154">
        <w:r>
          <w:rPr>
            <w:color w:val="2255A6"/>
            <w:sz w:val="18"/>
            <w:u w:val="single" w:color="2255A6"/>
          </w:rPr>
          <w:t>https://psyjournals.</w:t>
        </w:r>
      </w:hyperlink>
      <w:r>
        <w:rPr>
          <w:color w:val="2255A6"/>
          <w:sz w:val="18"/>
        </w:rPr>
        <w:t> </w:t>
      </w:r>
      <w:hyperlink r:id="rId154">
        <w:r>
          <w:rPr>
            <w:color w:val="2255A6"/>
            <w:spacing w:val="-2"/>
            <w:sz w:val="18"/>
            <w:u w:val="single" w:color="2255A6"/>
          </w:rPr>
          <w:t>ru/soprovozhdenie_migrantov/issue/index.shtml</w:t>
        </w:r>
      </w:hyperlink>
      <w:r>
        <w:rPr>
          <w:color w:val="231F20"/>
          <w:spacing w:val="-2"/>
          <w:sz w:val="18"/>
        </w:rPr>
        <w:t>.</w:t>
      </w:r>
    </w:p>
    <w:p>
      <w:pPr>
        <w:pStyle w:val="ListParagraph"/>
        <w:numPr>
          <w:ilvl w:val="1"/>
          <w:numId w:val="148"/>
        </w:numPr>
        <w:tabs>
          <w:tab w:pos="708" w:val="left" w:leader="none"/>
        </w:tabs>
        <w:spacing w:line="240" w:lineRule="auto" w:before="0" w:after="0"/>
        <w:ind w:left="708" w:right="423" w:hanging="284"/>
        <w:jc w:val="both"/>
        <w:rPr>
          <w:sz w:val="18"/>
        </w:rPr>
      </w:pPr>
      <w:r>
        <w:rPr>
          <w:color w:val="231F20"/>
          <w:spacing w:val="-2"/>
          <w:sz w:val="18"/>
        </w:rPr>
        <w:t>Коэн Ричард. Практическое руководство для школьного медиатора // Медиация кон- </w:t>
      </w:r>
      <w:r>
        <w:rPr>
          <w:color w:val="231F20"/>
          <w:sz w:val="18"/>
        </w:rPr>
        <w:t>фликтов, связанных с предрассудками. </w:t>
      </w:r>
      <w:hyperlink r:id="rId155">
        <w:r>
          <w:rPr>
            <w:color w:val="2255A6"/>
            <w:sz w:val="18"/>
            <w:u w:val="single" w:color="2255A6"/>
          </w:rPr>
          <w:t>http://www.8-926-145-87-01.ru/wp-content/</w:t>
        </w:r>
      </w:hyperlink>
      <w:r>
        <w:rPr>
          <w:color w:val="2255A6"/>
          <w:sz w:val="18"/>
        </w:rPr>
        <w:t> </w:t>
      </w:r>
      <w:hyperlink r:id="rId155">
        <w:r>
          <w:rPr>
            <w:color w:val="2255A6"/>
            <w:spacing w:val="-2"/>
            <w:sz w:val="18"/>
            <w:u w:val="single" w:color="2255A6"/>
          </w:rPr>
          <w:t>uploads/2014/09/Медиация_конфликтов_связанных_с_предрассудками.pdf</w:t>
        </w:r>
      </w:hyperlink>
      <w:r>
        <w:rPr>
          <w:color w:val="231F20"/>
          <w:spacing w:val="-2"/>
          <w:sz w:val="18"/>
        </w:rPr>
        <w:t>.</w:t>
      </w:r>
    </w:p>
    <w:p>
      <w:pPr>
        <w:pStyle w:val="ListParagraph"/>
        <w:numPr>
          <w:ilvl w:val="1"/>
          <w:numId w:val="148"/>
        </w:numPr>
        <w:tabs>
          <w:tab w:pos="708" w:val="left" w:leader="none"/>
        </w:tabs>
        <w:spacing w:line="240" w:lineRule="auto" w:before="0" w:after="0"/>
        <w:ind w:left="708" w:right="423" w:hanging="284"/>
        <w:jc w:val="both"/>
        <w:rPr>
          <w:sz w:val="18"/>
        </w:rPr>
      </w:pPr>
      <w:r>
        <w:rPr>
          <w:color w:val="231F20"/>
          <w:sz w:val="18"/>
        </w:rPr>
        <w:t>Уинслэйд Д., Монк Д. Нарративная медиация: новый подход к разрешению кон- фликтов</w:t>
      </w:r>
      <w:r>
        <w:rPr>
          <w:color w:val="231F20"/>
          <w:spacing w:val="-1"/>
          <w:sz w:val="18"/>
        </w:rPr>
        <w:t> </w:t>
      </w:r>
      <w:r>
        <w:rPr>
          <w:color w:val="231F20"/>
          <w:sz w:val="18"/>
        </w:rPr>
        <w:t>/</w:t>
      </w:r>
      <w:r>
        <w:rPr>
          <w:color w:val="231F20"/>
          <w:spacing w:val="-1"/>
          <w:sz w:val="18"/>
        </w:rPr>
        <w:t> </w:t>
      </w:r>
      <w:r>
        <w:rPr>
          <w:color w:val="231F20"/>
          <w:sz w:val="18"/>
        </w:rPr>
        <w:t>пер.</w:t>
      </w:r>
      <w:r>
        <w:rPr>
          <w:color w:val="231F20"/>
          <w:spacing w:val="-1"/>
          <w:sz w:val="18"/>
        </w:rPr>
        <w:t> </w:t>
      </w:r>
      <w:r>
        <w:rPr>
          <w:color w:val="231F20"/>
          <w:sz w:val="18"/>
        </w:rPr>
        <w:t>с</w:t>
      </w:r>
      <w:r>
        <w:rPr>
          <w:color w:val="231F20"/>
          <w:spacing w:val="-1"/>
          <w:sz w:val="18"/>
        </w:rPr>
        <w:t> </w:t>
      </w:r>
      <w:r>
        <w:rPr>
          <w:color w:val="231F20"/>
          <w:sz w:val="18"/>
        </w:rPr>
        <w:t>англ.</w:t>
      </w:r>
      <w:r>
        <w:rPr>
          <w:color w:val="231F20"/>
          <w:spacing w:val="-1"/>
          <w:sz w:val="18"/>
        </w:rPr>
        <w:t> </w:t>
      </w:r>
      <w:r>
        <w:rPr>
          <w:color w:val="231F20"/>
          <w:sz w:val="18"/>
        </w:rPr>
        <w:t>Д.А.</w:t>
      </w:r>
      <w:r>
        <w:rPr>
          <w:color w:val="231F20"/>
          <w:spacing w:val="-1"/>
          <w:sz w:val="18"/>
        </w:rPr>
        <w:t> </w:t>
      </w:r>
      <w:r>
        <w:rPr>
          <w:color w:val="231F20"/>
          <w:sz w:val="18"/>
        </w:rPr>
        <w:t>Кутузовой</w:t>
      </w:r>
      <w:r>
        <w:rPr>
          <w:color w:val="231F20"/>
          <w:spacing w:val="-1"/>
          <w:sz w:val="18"/>
        </w:rPr>
        <w:t> </w:t>
      </w:r>
      <w:r>
        <w:rPr>
          <w:color w:val="231F20"/>
          <w:sz w:val="18"/>
        </w:rPr>
        <w:t>/</w:t>
      </w:r>
      <w:r>
        <w:rPr>
          <w:color w:val="231F20"/>
          <w:spacing w:val="-1"/>
          <w:sz w:val="18"/>
        </w:rPr>
        <w:t> </w:t>
      </w:r>
      <w:r>
        <w:rPr>
          <w:color w:val="231F20"/>
          <w:sz w:val="18"/>
        </w:rPr>
        <w:t>под</w:t>
      </w:r>
      <w:r>
        <w:rPr>
          <w:color w:val="231F20"/>
          <w:spacing w:val="-1"/>
          <w:sz w:val="18"/>
        </w:rPr>
        <w:t> </w:t>
      </w:r>
      <w:r>
        <w:rPr>
          <w:color w:val="231F20"/>
          <w:sz w:val="18"/>
        </w:rPr>
        <w:t>общ.</w:t>
      </w:r>
      <w:r>
        <w:rPr>
          <w:color w:val="231F20"/>
          <w:spacing w:val="-1"/>
          <w:sz w:val="18"/>
        </w:rPr>
        <w:t> </w:t>
      </w:r>
      <w:r>
        <w:rPr>
          <w:color w:val="231F20"/>
          <w:sz w:val="18"/>
        </w:rPr>
        <w:t>ред.</w:t>
      </w:r>
      <w:r>
        <w:rPr>
          <w:color w:val="231F20"/>
          <w:spacing w:val="-1"/>
          <w:sz w:val="18"/>
        </w:rPr>
        <w:t> </w:t>
      </w:r>
      <w:r>
        <w:rPr>
          <w:color w:val="231F20"/>
          <w:sz w:val="18"/>
        </w:rPr>
        <w:t>Л.М.</w:t>
      </w:r>
      <w:r>
        <w:rPr>
          <w:color w:val="231F20"/>
          <w:spacing w:val="-1"/>
          <w:sz w:val="18"/>
        </w:rPr>
        <w:t> </w:t>
      </w:r>
      <w:r>
        <w:rPr>
          <w:color w:val="231F20"/>
          <w:sz w:val="18"/>
        </w:rPr>
        <w:t>Карнозовой.</w:t>
      </w:r>
      <w:r>
        <w:rPr>
          <w:color w:val="231F20"/>
          <w:spacing w:val="-1"/>
          <w:sz w:val="18"/>
        </w:rPr>
        <w:t> </w:t>
      </w:r>
      <w:r>
        <w:rPr>
          <w:color w:val="231F20"/>
          <w:sz w:val="18"/>
        </w:rPr>
        <w:t>–</w:t>
      </w:r>
      <w:r>
        <w:rPr>
          <w:color w:val="231F20"/>
          <w:spacing w:val="-1"/>
          <w:sz w:val="18"/>
        </w:rPr>
        <w:t> </w:t>
      </w:r>
      <w:r>
        <w:rPr>
          <w:color w:val="231F20"/>
          <w:sz w:val="18"/>
        </w:rPr>
        <w:t>М.:</w:t>
      </w:r>
      <w:r>
        <w:rPr>
          <w:color w:val="231F20"/>
          <w:spacing w:val="-1"/>
          <w:sz w:val="18"/>
        </w:rPr>
        <w:t> </w:t>
      </w:r>
      <w:r>
        <w:rPr>
          <w:color w:val="231F20"/>
          <w:sz w:val="18"/>
        </w:rPr>
        <w:t>МОО Центр «Судебно-правовая реформа», 2009.</w:t>
      </w:r>
    </w:p>
    <w:p>
      <w:pPr>
        <w:pStyle w:val="ListParagraph"/>
        <w:spacing w:after="0" w:line="240" w:lineRule="auto"/>
        <w:jc w:val="both"/>
        <w:rPr>
          <w:sz w:val="18"/>
        </w:rPr>
        <w:sectPr>
          <w:pgSz w:w="8400" w:h="11910"/>
          <w:pgMar w:header="0" w:footer="527" w:top="400" w:bottom="740" w:left="425" w:right="425"/>
        </w:sectPr>
      </w:pPr>
    </w:p>
    <w:p>
      <w:pPr>
        <w:spacing w:before="80"/>
        <w:ind w:left="141" w:right="139" w:firstLine="0"/>
        <w:jc w:val="right"/>
        <w:rPr>
          <w:rFonts w:ascii="Georgia" w:hAnsi="Georgia"/>
          <w:sz w:val="18"/>
        </w:rPr>
      </w:pPr>
      <w:bookmarkStart w:name="_bookmark68" w:id="70"/>
      <w:bookmarkEnd w:id="70"/>
      <w:r>
        <w:rPr/>
      </w:r>
      <w:r>
        <w:rPr>
          <w:rFonts w:ascii="Georgia" w:hAnsi="Georgia"/>
          <w:color w:val="231F20"/>
          <w:spacing w:val="-2"/>
          <w:sz w:val="18"/>
        </w:rPr>
        <w:t>Раздел</w:t>
      </w:r>
      <w:r>
        <w:rPr>
          <w:rFonts w:ascii="Georgia" w:hAnsi="Georgia"/>
          <w:color w:val="231F20"/>
          <w:spacing w:val="-5"/>
          <w:sz w:val="18"/>
        </w:rPr>
        <w:t> 4.</w:t>
      </w:r>
    </w:p>
    <w:p>
      <w:pPr>
        <w:numPr>
          <w:ilvl w:val="2"/>
          <w:numId w:val="143"/>
        </w:numPr>
        <w:tabs>
          <w:tab w:pos="1932" w:val="left" w:leader="none"/>
          <w:tab w:pos="2163" w:val="left" w:leader="none"/>
        </w:tabs>
        <w:spacing w:line="235" w:lineRule="auto" w:before="113"/>
        <w:ind w:left="1932" w:right="1661" w:hanging="269"/>
        <w:jc w:val="left"/>
        <w:rPr>
          <w:b/>
          <w:sz w:val="20"/>
        </w:rPr>
      </w:pPr>
      <w:r>
        <w:rPr>
          <w:b/>
          <w:color w:val="231F20"/>
          <w:sz w:val="20"/>
        </w:rPr>
        <w:t>«Живая</w:t>
      </w:r>
      <w:r>
        <w:rPr>
          <w:b/>
          <w:color w:val="231F20"/>
          <w:spacing w:val="-13"/>
          <w:sz w:val="20"/>
        </w:rPr>
        <w:t> </w:t>
      </w:r>
      <w:r>
        <w:rPr>
          <w:b/>
          <w:color w:val="231F20"/>
          <w:sz w:val="20"/>
        </w:rPr>
        <w:t>библиотека»</w:t>
      </w:r>
      <w:r>
        <w:rPr>
          <w:b/>
          <w:color w:val="231F20"/>
          <w:spacing w:val="-12"/>
          <w:sz w:val="20"/>
        </w:rPr>
        <w:t> </w:t>
      </w:r>
      <w:r>
        <w:rPr>
          <w:b/>
          <w:color w:val="231F20"/>
          <w:sz w:val="20"/>
        </w:rPr>
        <w:t>как</w:t>
      </w:r>
      <w:r>
        <w:rPr>
          <w:b/>
          <w:color w:val="231F20"/>
          <w:spacing w:val="-13"/>
          <w:sz w:val="20"/>
        </w:rPr>
        <w:t> </w:t>
      </w:r>
      <w:r>
        <w:rPr>
          <w:b/>
          <w:color w:val="231F20"/>
          <w:sz w:val="20"/>
        </w:rPr>
        <w:t>универсальная технология снижения предубежденности</w:t>
      </w:r>
    </w:p>
    <w:p>
      <w:pPr>
        <w:spacing w:before="110"/>
        <w:ind w:left="141" w:right="139" w:firstLine="0"/>
        <w:jc w:val="right"/>
        <w:rPr>
          <w:i/>
          <w:sz w:val="20"/>
        </w:rPr>
      </w:pPr>
      <w:r>
        <w:rPr>
          <w:i/>
          <w:color w:val="231F20"/>
          <w:sz w:val="20"/>
        </w:rPr>
        <w:t>М.И.</w:t>
      </w:r>
      <w:r>
        <w:rPr>
          <w:i/>
          <w:color w:val="231F20"/>
          <w:spacing w:val="-1"/>
          <w:sz w:val="20"/>
        </w:rPr>
        <w:t> </w:t>
      </w:r>
      <w:r>
        <w:rPr>
          <w:i/>
          <w:color w:val="231F20"/>
          <w:sz w:val="20"/>
        </w:rPr>
        <w:t>Чернецова, Е.А.</w:t>
      </w:r>
      <w:r>
        <w:rPr>
          <w:i/>
          <w:color w:val="231F20"/>
          <w:spacing w:val="-1"/>
          <w:sz w:val="20"/>
        </w:rPr>
        <w:t> </w:t>
      </w:r>
      <w:r>
        <w:rPr>
          <w:i/>
          <w:color w:val="231F20"/>
          <w:sz w:val="20"/>
        </w:rPr>
        <w:t>Рубцова, С.П.С. </w:t>
      </w:r>
      <w:r>
        <w:rPr>
          <w:i/>
          <w:color w:val="231F20"/>
          <w:spacing w:val="-2"/>
          <w:sz w:val="20"/>
        </w:rPr>
        <w:t>Саламанка</w:t>
      </w:r>
    </w:p>
    <w:p>
      <w:pPr>
        <w:pStyle w:val="BodyText"/>
        <w:spacing w:line="228" w:lineRule="exact" w:before="110"/>
        <w:ind w:right="140" w:firstLine="0"/>
        <w:jc w:val="right"/>
      </w:pPr>
      <w:r>
        <w:rPr/>
        <w:t>«Живая</w:t>
      </w:r>
      <w:r>
        <w:rPr>
          <w:spacing w:val="20"/>
        </w:rPr>
        <w:t> </w:t>
      </w:r>
      <w:r>
        <w:rPr/>
        <w:t>библиотека»</w:t>
      </w:r>
      <w:r>
        <w:rPr>
          <w:spacing w:val="21"/>
        </w:rPr>
        <w:t> </w:t>
      </w:r>
      <w:r>
        <w:rPr/>
        <w:t>(«Human</w:t>
      </w:r>
      <w:r>
        <w:rPr>
          <w:spacing w:val="20"/>
        </w:rPr>
        <w:t> </w:t>
      </w:r>
      <w:r>
        <w:rPr/>
        <w:t>library»</w:t>
      </w:r>
      <w:r>
        <w:rPr>
          <w:vertAlign w:val="superscript"/>
        </w:rPr>
        <w:t>1</w:t>
      </w:r>
      <w:r>
        <w:rPr>
          <w:vertAlign w:val="baseline"/>
        </w:rPr>
        <w:t>)</w:t>
      </w:r>
      <w:r>
        <w:rPr>
          <w:spacing w:val="21"/>
          <w:vertAlign w:val="baseline"/>
        </w:rPr>
        <w:t> </w:t>
      </w:r>
      <w:r>
        <w:rPr>
          <w:vertAlign w:val="baseline"/>
        </w:rPr>
        <w:t>разработана</w:t>
      </w:r>
      <w:r>
        <w:rPr>
          <w:spacing w:val="20"/>
          <w:vertAlign w:val="baseline"/>
        </w:rPr>
        <w:t> </w:t>
      </w:r>
      <w:r>
        <w:rPr>
          <w:vertAlign w:val="baseline"/>
        </w:rPr>
        <w:t>датской</w:t>
      </w:r>
      <w:r>
        <w:rPr>
          <w:spacing w:val="21"/>
          <w:vertAlign w:val="baseline"/>
        </w:rPr>
        <w:t> </w:t>
      </w:r>
      <w:r>
        <w:rPr>
          <w:vertAlign w:val="baseline"/>
        </w:rPr>
        <w:t>молодежной</w:t>
      </w:r>
      <w:r>
        <w:rPr>
          <w:spacing w:val="20"/>
          <w:vertAlign w:val="baseline"/>
        </w:rPr>
        <w:t> </w:t>
      </w:r>
      <w:r>
        <w:rPr>
          <w:spacing w:val="-5"/>
          <w:vertAlign w:val="baseline"/>
        </w:rPr>
        <w:t>НПО</w:t>
      </w:r>
    </w:p>
    <w:p>
      <w:pPr>
        <w:pStyle w:val="BodyText"/>
        <w:spacing w:line="235" w:lineRule="auto" w:before="2"/>
        <w:ind w:firstLine="0"/>
      </w:pPr>
      <w:r>
        <w:rPr/>
        <w:t>«Остановить</w:t>
      </w:r>
      <w:r>
        <w:rPr>
          <w:spacing w:val="-6"/>
        </w:rPr>
        <w:t> </w:t>
      </w:r>
      <w:r>
        <w:rPr/>
        <w:t>насилие»</w:t>
      </w:r>
      <w:r>
        <w:rPr>
          <w:spacing w:val="-6"/>
        </w:rPr>
        <w:t> </w:t>
      </w:r>
      <w:r>
        <w:rPr/>
        <w:t>в</w:t>
      </w:r>
      <w:r>
        <w:rPr>
          <w:spacing w:val="-6"/>
        </w:rPr>
        <w:t> </w:t>
      </w:r>
      <w:r>
        <w:rPr/>
        <w:t>2000-м</w:t>
      </w:r>
      <w:r>
        <w:rPr>
          <w:spacing w:val="-6"/>
        </w:rPr>
        <w:t> </w:t>
      </w:r>
      <w:r>
        <w:rPr/>
        <w:t>году</w:t>
      </w:r>
      <w:r>
        <w:rPr>
          <w:spacing w:val="-6"/>
        </w:rPr>
        <w:t> </w:t>
      </w:r>
      <w:r>
        <w:rPr/>
        <w:t>и</w:t>
      </w:r>
      <w:r>
        <w:rPr>
          <w:spacing w:val="-6"/>
        </w:rPr>
        <w:t> </w:t>
      </w:r>
      <w:r>
        <w:rPr/>
        <w:t>была</w:t>
      </w:r>
      <w:r>
        <w:rPr>
          <w:spacing w:val="-6"/>
        </w:rPr>
        <w:t> </w:t>
      </w:r>
      <w:r>
        <w:rPr/>
        <w:t>представлена</w:t>
      </w:r>
      <w:r>
        <w:rPr>
          <w:spacing w:val="-6"/>
        </w:rPr>
        <w:t> </w:t>
      </w:r>
      <w:r>
        <w:rPr/>
        <w:t>в</w:t>
      </w:r>
      <w:r>
        <w:rPr>
          <w:spacing w:val="-6"/>
        </w:rPr>
        <w:t> </w:t>
      </w:r>
      <w:r>
        <w:rPr/>
        <w:t>первый</w:t>
      </w:r>
      <w:r>
        <w:rPr>
          <w:spacing w:val="-6"/>
        </w:rPr>
        <w:t> </w:t>
      </w:r>
      <w:r>
        <w:rPr/>
        <w:t>раз</w:t>
      </w:r>
      <w:r>
        <w:rPr>
          <w:spacing w:val="-6"/>
        </w:rPr>
        <w:t> </w:t>
      </w:r>
      <w:r>
        <w:rPr/>
        <w:t>на</w:t>
      </w:r>
      <w:r>
        <w:rPr>
          <w:spacing w:val="-6"/>
        </w:rPr>
        <w:t> </w:t>
      </w:r>
      <w:r>
        <w:rPr/>
        <w:t>фестивале в Роскильде – крупнейшем ежегодном музыкальном событии Дании. Цель – профи- лактика насилия, расизма и дискуссии об их причинах, о конфликтах между куль- турными, этническими, религиозными и трудовыми группами. Организаторы дали участникам</w:t>
      </w:r>
      <w:r>
        <w:rPr>
          <w:spacing w:val="-13"/>
        </w:rPr>
        <w:t> </w:t>
      </w:r>
      <w:r>
        <w:rPr/>
        <w:t>возможность</w:t>
      </w:r>
      <w:r>
        <w:rPr>
          <w:spacing w:val="-12"/>
        </w:rPr>
        <w:t> </w:t>
      </w:r>
      <w:r>
        <w:rPr/>
        <w:t>поразмышлять</w:t>
      </w:r>
      <w:r>
        <w:rPr>
          <w:spacing w:val="-13"/>
        </w:rPr>
        <w:t> </w:t>
      </w:r>
      <w:r>
        <w:rPr/>
        <w:t>о</w:t>
      </w:r>
      <w:r>
        <w:rPr>
          <w:spacing w:val="-12"/>
        </w:rPr>
        <w:t> </w:t>
      </w:r>
      <w:r>
        <w:rPr/>
        <w:t>собственных</w:t>
      </w:r>
      <w:r>
        <w:rPr>
          <w:spacing w:val="-13"/>
        </w:rPr>
        <w:t> </w:t>
      </w:r>
      <w:r>
        <w:rPr/>
        <w:t>предрассудках</w:t>
      </w:r>
      <w:r>
        <w:rPr>
          <w:spacing w:val="-12"/>
        </w:rPr>
        <w:t> </w:t>
      </w:r>
      <w:r>
        <w:rPr/>
        <w:t>и</w:t>
      </w:r>
      <w:r>
        <w:rPr>
          <w:spacing w:val="-13"/>
        </w:rPr>
        <w:t> </w:t>
      </w:r>
      <w:r>
        <w:rPr/>
        <w:t>стереотипах в атмосфере мира, спокойствия, уважения друг к другу и веселья, где «книги» – это люди, рассказывающие свои истории.</w:t>
      </w:r>
    </w:p>
    <w:p>
      <w:pPr>
        <w:pStyle w:val="BodyText"/>
        <w:spacing w:line="237" w:lineRule="auto" w:before="2"/>
      </w:pPr>
      <w:r>
        <w:rPr/>
        <w:t>«Живая</w:t>
      </w:r>
      <w:r>
        <w:rPr>
          <w:spacing w:val="-7"/>
        </w:rPr>
        <w:t> </w:t>
      </w:r>
      <w:r>
        <w:rPr/>
        <w:t>библиотека»</w:t>
      </w:r>
      <w:r>
        <w:rPr>
          <w:spacing w:val="-7"/>
        </w:rPr>
        <w:t> </w:t>
      </w:r>
      <w:r>
        <w:rPr/>
        <w:t>–</w:t>
      </w:r>
      <w:r>
        <w:rPr>
          <w:spacing w:val="-7"/>
        </w:rPr>
        <w:t> </w:t>
      </w:r>
      <w:r>
        <w:rPr/>
        <w:t>практика,</w:t>
      </w:r>
      <w:r>
        <w:rPr>
          <w:spacing w:val="-7"/>
        </w:rPr>
        <w:t> </w:t>
      </w:r>
      <w:r>
        <w:rPr/>
        <w:t>которая</w:t>
      </w:r>
      <w:r>
        <w:rPr>
          <w:spacing w:val="-7"/>
        </w:rPr>
        <w:t> </w:t>
      </w:r>
      <w:r>
        <w:rPr/>
        <w:t>создает</w:t>
      </w:r>
      <w:r>
        <w:rPr>
          <w:spacing w:val="-8"/>
        </w:rPr>
        <w:t> </w:t>
      </w:r>
      <w:r>
        <w:rPr/>
        <w:t>пространство</w:t>
      </w:r>
      <w:r>
        <w:rPr>
          <w:spacing w:val="-7"/>
        </w:rPr>
        <w:t> </w:t>
      </w:r>
      <w:r>
        <w:rPr/>
        <w:t>для</w:t>
      </w:r>
      <w:r>
        <w:rPr>
          <w:spacing w:val="-7"/>
        </w:rPr>
        <w:t> </w:t>
      </w:r>
      <w:r>
        <w:rPr/>
        <w:t>размышлений и</w:t>
      </w:r>
      <w:r>
        <w:rPr>
          <w:spacing w:val="-13"/>
        </w:rPr>
        <w:t> </w:t>
      </w:r>
      <w:r>
        <w:rPr/>
        <w:t>позволяет</w:t>
      </w:r>
      <w:r>
        <w:rPr>
          <w:spacing w:val="-12"/>
        </w:rPr>
        <w:t> </w:t>
      </w:r>
      <w:r>
        <w:rPr/>
        <w:t>прорабатывать</w:t>
      </w:r>
      <w:r>
        <w:rPr>
          <w:spacing w:val="-13"/>
        </w:rPr>
        <w:t> </w:t>
      </w:r>
      <w:r>
        <w:rPr/>
        <w:t>различные</w:t>
      </w:r>
      <w:r>
        <w:rPr>
          <w:spacing w:val="-12"/>
        </w:rPr>
        <w:t> </w:t>
      </w:r>
      <w:r>
        <w:rPr/>
        <w:t>темы.</w:t>
      </w:r>
      <w:r>
        <w:rPr>
          <w:spacing w:val="-13"/>
        </w:rPr>
        <w:t> </w:t>
      </w:r>
      <w:r>
        <w:rPr/>
        <w:t>Однако</w:t>
      </w:r>
      <w:r>
        <w:rPr>
          <w:spacing w:val="-12"/>
        </w:rPr>
        <w:t> </w:t>
      </w:r>
      <w:r>
        <w:rPr/>
        <w:t>изначально</w:t>
      </w:r>
      <w:r>
        <w:rPr>
          <w:spacing w:val="-13"/>
        </w:rPr>
        <w:t> </w:t>
      </w:r>
      <w:r>
        <w:rPr/>
        <w:t>инициатива</w:t>
      </w:r>
      <w:r>
        <w:rPr>
          <w:spacing w:val="-12"/>
        </w:rPr>
        <w:t> </w:t>
      </w:r>
      <w:r>
        <w:rPr/>
        <w:t>создате- лей была в основном обращена на защиту прав человека, поэтому рекомендовалось брать такие темы, как диалог о предрассудках и стереотипах, дискриминация, рост преступности, насилия или межкультурные вопросы. Впоследствии проект был реа- лизован на различных фестивалях в разных уголках мира. Он оказался очень полез- ным для привлечения внимания молодежи к важным темам и ценным тем, что его можно адаптировать для разных культур или обществ.</w:t>
      </w:r>
    </w:p>
    <w:p>
      <w:pPr>
        <w:pStyle w:val="BodyText"/>
        <w:jc w:val="right"/>
      </w:pPr>
      <w:r>
        <w:rPr/>
        <w:t>Обычно</w:t>
      </w:r>
      <w:r>
        <w:rPr>
          <w:spacing w:val="-8"/>
        </w:rPr>
        <w:t> </w:t>
      </w:r>
      <w:r>
        <w:rPr/>
        <w:t>организатор</w:t>
      </w:r>
      <w:r>
        <w:rPr>
          <w:spacing w:val="-8"/>
        </w:rPr>
        <w:t> </w:t>
      </w:r>
      <w:r>
        <w:rPr/>
        <w:t>«Живой</w:t>
      </w:r>
      <w:r>
        <w:rPr>
          <w:spacing w:val="-8"/>
        </w:rPr>
        <w:t> </w:t>
      </w:r>
      <w:r>
        <w:rPr/>
        <w:t>библиотеки»</w:t>
      </w:r>
      <w:r>
        <w:rPr>
          <w:spacing w:val="-8"/>
        </w:rPr>
        <w:t> </w:t>
      </w:r>
      <w:r>
        <w:rPr/>
        <w:t>должен</w:t>
      </w:r>
      <w:r>
        <w:rPr>
          <w:spacing w:val="-8"/>
        </w:rPr>
        <w:t> </w:t>
      </w:r>
      <w:r>
        <w:rPr/>
        <w:t>подготовить</w:t>
      </w:r>
      <w:r>
        <w:rPr>
          <w:spacing w:val="-8"/>
        </w:rPr>
        <w:t> </w:t>
      </w:r>
      <w:r>
        <w:rPr/>
        <w:t>предложение</w:t>
      </w:r>
      <w:r>
        <w:rPr>
          <w:spacing w:val="-8"/>
        </w:rPr>
        <w:t> </w:t>
      </w:r>
      <w:r>
        <w:rPr/>
        <w:t>или основную тему проекта, а также найти организации или мероприятия с широкой ау- диторией,</w:t>
      </w:r>
      <w:r>
        <w:rPr>
          <w:spacing w:val="-13"/>
        </w:rPr>
        <w:t> </w:t>
      </w:r>
      <w:r>
        <w:rPr/>
        <w:t>чтобы</w:t>
      </w:r>
      <w:r>
        <w:rPr>
          <w:spacing w:val="-12"/>
        </w:rPr>
        <w:t> </w:t>
      </w:r>
      <w:r>
        <w:rPr/>
        <w:t>охватить</w:t>
      </w:r>
      <w:r>
        <w:rPr>
          <w:spacing w:val="-13"/>
        </w:rPr>
        <w:t> </w:t>
      </w:r>
      <w:r>
        <w:rPr/>
        <w:t>большое</w:t>
      </w:r>
      <w:r>
        <w:rPr>
          <w:spacing w:val="-12"/>
        </w:rPr>
        <w:t> </w:t>
      </w:r>
      <w:r>
        <w:rPr/>
        <w:t>количество</w:t>
      </w:r>
      <w:r>
        <w:rPr>
          <w:spacing w:val="-13"/>
        </w:rPr>
        <w:t> </w:t>
      </w:r>
      <w:r>
        <w:rPr/>
        <w:t>«читателей».</w:t>
      </w:r>
      <w:r>
        <w:rPr>
          <w:spacing w:val="-12"/>
        </w:rPr>
        <w:t> </w:t>
      </w:r>
      <w:r>
        <w:rPr/>
        <w:t>Благодаря</w:t>
      </w:r>
      <w:r>
        <w:rPr>
          <w:spacing w:val="-13"/>
        </w:rPr>
        <w:t> </w:t>
      </w:r>
      <w:r>
        <w:rPr/>
        <w:t>толерантному </w:t>
      </w:r>
      <w:r>
        <w:rPr>
          <w:spacing w:val="-2"/>
        </w:rPr>
        <w:t>пространству в аудитории каждый участник может задать интересующие его вопросы </w:t>
      </w:r>
      <w:r>
        <w:rPr/>
        <w:t>к</w:t>
      </w:r>
      <w:r>
        <w:rPr>
          <w:spacing w:val="-9"/>
        </w:rPr>
        <w:t> </w:t>
      </w:r>
      <w:r>
        <w:rPr/>
        <w:t>«книге»,</w:t>
      </w:r>
      <w:r>
        <w:rPr>
          <w:spacing w:val="-9"/>
        </w:rPr>
        <w:t> </w:t>
      </w:r>
      <w:r>
        <w:rPr/>
        <w:t>не</w:t>
      </w:r>
      <w:r>
        <w:rPr>
          <w:spacing w:val="-9"/>
        </w:rPr>
        <w:t> </w:t>
      </w:r>
      <w:r>
        <w:rPr/>
        <w:t>боясь</w:t>
      </w:r>
      <w:r>
        <w:rPr>
          <w:spacing w:val="-9"/>
        </w:rPr>
        <w:t> </w:t>
      </w:r>
      <w:r>
        <w:rPr/>
        <w:t>осуждения</w:t>
      </w:r>
      <w:r>
        <w:rPr>
          <w:spacing w:val="-9"/>
        </w:rPr>
        <w:t> </w:t>
      </w:r>
      <w:r>
        <w:rPr/>
        <w:t>за</w:t>
      </w:r>
      <w:r>
        <w:rPr>
          <w:spacing w:val="-9"/>
        </w:rPr>
        <w:t> </w:t>
      </w:r>
      <w:r>
        <w:rPr/>
        <w:t>наличие</w:t>
      </w:r>
      <w:r>
        <w:rPr>
          <w:spacing w:val="-9"/>
        </w:rPr>
        <w:t> </w:t>
      </w:r>
      <w:r>
        <w:rPr/>
        <w:t>определенных</w:t>
      </w:r>
      <w:r>
        <w:rPr>
          <w:spacing w:val="-9"/>
        </w:rPr>
        <w:t> </w:t>
      </w:r>
      <w:r>
        <w:rPr/>
        <w:t>стереотипов</w:t>
      </w:r>
      <w:r>
        <w:rPr>
          <w:spacing w:val="-9"/>
        </w:rPr>
        <w:t> </w:t>
      </w:r>
      <w:r>
        <w:rPr/>
        <w:t>или</w:t>
      </w:r>
      <w:r>
        <w:rPr>
          <w:spacing w:val="-9"/>
        </w:rPr>
        <w:t> </w:t>
      </w:r>
      <w:r>
        <w:rPr/>
        <w:t>верований. В</w:t>
      </w:r>
      <w:r>
        <w:rPr>
          <w:spacing w:val="-13"/>
        </w:rPr>
        <w:t> </w:t>
      </w:r>
      <w:r>
        <w:rPr/>
        <w:t>России</w:t>
      </w:r>
      <w:r>
        <w:rPr>
          <w:spacing w:val="-12"/>
        </w:rPr>
        <w:t> </w:t>
      </w:r>
      <w:r>
        <w:rPr/>
        <w:t>с</w:t>
      </w:r>
      <w:r>
        <w:rPr>
          <w:spacing w:val="-13"/>
        </w:rPr>
        <w:t> </w:t>
      </w:r>
      <w:r>
        <w:rPr/>
        <w:t>2011</w:t>
      </w:r>
      <w:r>
        <w:rPr>
          <w:spacing w:val="-12"/>
        </w:rPr>
        <w:t> </w:t>
      </w:r>
      <w:r>
        <w:rPr/>
        <w:t>г.</w:t>
      </w:r>
      <w:r>
        <w:rPr>
          <w:spacing w:val="-13"/>
        </w:rPr>
        <w:t> </w:t>
      </w:r>
      <w:r>
        <w:rPr/>
        <w:t>«Живая</w:t>
      </w:r>
      <w:r>
        <w:rPr>
          <w:spacing w:val="-12"/>
        </w:rPr>
        <w:t> </w:t>
      </w:r>
      <w:r>
        <w:rPr/>
        <w:t>библиотека»</w:t>
      </w:r>
      <w:r>
        <w:rPr>
          <w:spacing w:val="-13"/>
        </w:rPr>
        <w:t> </w:t>
      </w:r>
      <w:r>
        <w:rPr/>
        <w:t>регулярно</w:t>
      </w:r>
      <w:r>
        <w:rPr>
          <w:spacing w:val="-12"/>
        </w:rPr>
        <w:t> </w:t>
      </w:r>
      <w:r>
        <w:rPr/>
        <w:t>проводится</w:t>
      </w:r>
      <w:r>
        <w:rPr>
          <w:spacing w:val="-13"/>
        </w:rPr>
        <w:t> </w:t>
      </w:r>
      <w:r>
        <w:rPr/>
        <w:t>более</w:t>
      </w:r>
      <w:r>
        <w:rPr>
          <w:spacing w:val="-12"/>
        </w:rPr>
        <w:t> </w:t>
      </w:r>
      <w:r>
        <w:rPr/>
        <w:t>чем</w:t>
      </w:r>
      <w:r>
        <w:rPr>
          <w:spacing w:val="-13"/>
        </w:rPr>
        <w:t> </w:t>
      </w:r>
      <w:r>
        <w:rPr/>
        <w:t>в</w:t>
      </w:r>
      <w:r>
        <w:rPr>
          <w:spacing w:val="-12"/>
        </w:rPr>
        <w:t> </w:t>
      </w:r>
      <w:r>
        <w:rPr/>
        <w:t>20</w:t>
      </w:r>
      <w:r>
        <w:rPr>
          <w:spacing w:val="-13"/>
        </w:rPr>
        <w:t> </w:t>
      </w:r>
      <w:r>
        <w:rPr/>
        <w:t>городах. </w:t>
      </w:r>
      <w:r>
        <w:rPr>
          <w:color w:val="231F20"/>
        </w:rPr>
        <w:t>В</w:t>
      </w:r>
      <w:r>
        <w:rPr>
          <w:color w:val="231F20"/>
          <w:spacing w:val="40"/>
        </w:rPr>
        <w:t> </w:t>
      </w:r>
      <w:r>
        <w:rPr>
          <w:color w:val="231F20"/>
        </w:rPr>
        <w:t>настоящее</w:t>
      </w:r>
      <w:r>
        <w:rPr>
          <w:color w:val="231F20"/>
          <w:spacing w:val="40"/>
        </w:rPr>
        <w:t> </w:t>
      </w:r>
      <w:r>
        <w:rPr>
          <w:color w:val="231F20"/>
        </w:rPr>
        <w:t>время</w:t>
      </w:r>
      <w:r>
        <w:rPr>
          <w:color w:val="231F20"/>
          <w:spacing w:val="40"/>
        </w:rPr>
        <w:t> </w:t>
      </w:r>
      <w:r>
        <w:rPr>
          <w:color w:val="231F20"/>
        </w:rPr>
        <w:t>«Живая</w:t>
      </w:r>
      <w:r>
        <w:rPr>
          <w:color w:val="231F20"/>
          <w:spacing w:val="40"/>
        </w:rPr>
        <w:t> </w:t>
      </w:r>
      <w:r>
        <w:rPr>
          <w:color w:val="231F20"/>
        </w:rPr>
        <w:t>библиотека»</w:t>
      </w:r>
      <w:r>
        <w:rPr>
          <w:color w:val="231F20"/>
          <w:spacing w:val="40"/>
        </w:rPr>
        <w:t> </w:t>
      </w:r>
      <w:r>
        <w:rPr>
          <w:color w:val="231F20"/>
        </w:rPr>
        <w:t>–</w:t>
      </w:r>
      <w:r>
        <w:rPr>
          <w:color w:val="231F20"/>
          <w:spacing w:val="40"/>
        </w:rPr>
        <w:t> </w:t>
      </w:r>
      <w:r>
        <w:rPr>
          <w:color w:val="231F20"/>
        </w:rPr>
        <w:t>это</w:t>
      </w:r>
      <w:r>
        <w:rPr>
          <w:color w:val="231F20"/>
          <w:spacing w:val="40"/>
        </w:rPr>
        <w:t> </w:t>
      </w:r>
      <w:r>
        <w:rPr>
          <w:color w:val="231F20"/>
        </w:rPr>
        <w:t>действующий</w:t>
      </w:r>
      <w:r>
        <w:rPr>
          <w:color w:val="231F20"/>
          <w:spacing w:val="40"/>
        </w:rPr>
        <w:t> </w:t>
      </w:r>
      <w:r>
        <w:rPr>
          <w:color w:val="231F20"/>
        </w:rPr>
        <w:t>международный проект по борьбе с дискриминацией и ксенофобией, который проводится регулярно как в очном, так и в дистанционном форматах и имеет обширную географию (более 80</w:t>
      </w:r>
      <w:r>
        <w:rPr>
          <w:color w:val="231F20"/>
          <w:spacing w:val="-6"/>
        </w:rPr>
        <w:t> </w:t>
      </w:r>
      <w:r>
        <w:rPr>
          <w:color w:val="231F20"/>
        </w:rPr>
        <w:t>стран).</w:t>
      </w:r>
      <w:r>
        <w:rPr>
          <w:color w:val="231F20"/>
          <w:spacing w:val="-6"/>
        </w:rPr>
        <w:t> </w:t>
      </w:r>
      <w:r>
        <w:rPr>
          <w:color w:val="231F20"/>
        </w:rPr>
        <w:t>«Живая</w:t>
      </w:r>
      <w:r>
        <w:rPr>
          <w:color w:val="231F20"/>
          <w:spacing w:val="-6"/>
        </w:rPr>
        <w:t> </w:t>
      </w:r>
      <w:r>
        <w:rPr>
          <w:color w:val="231F20"/>
        </w:rPr>
        <w:t>библиотека»,</w:t>
      </w:r>
      <w:r>
        <w:rPr>
          <w:color w:val="231F20"/>
          <w:spacing w:val="-6"/>
        </w:rPr>
        <w:t> </w:t>
      </w:r>
      <w:r>
        <w:rPr>
          <w:color w:val="231F20"/>
        </w:rPr>
        <w:t>как</w:t>
      </w:r>
      <w:r>
        <w:rPr>
          <w:color w:val="231F20"/>
          <w:spacing w:val="-6"/>
        </w:rPr>
        <w:t> </w:t>
      </w:r>
      <w:r>
        <w:rPr>
          <w:color w:val="231F20"/>
        </w:rPr>
        <w:t>и</w:t>
      </w:r>
      <w:r>
        <w:rPr>
          <w:color w:val="231F20"/>
          <w:spacing w:val="-6"/>
        </w:rPr>
        <w:t> </w:t>
      </w:r>
      <w:r>
        <w:rPr>
          <w:color w:val="231F20"/>
        </w:rPr>
        <w:t>прежде,</w:t>
      </w:r>
      <w:r>
        <w:rPr>
          <w:color w:val="231F20"/>
          <w:spacing w:val="-6"/>
        </w:rPr>
        <w:t> </w:t>
      </w:r>
      <w:r>
        <w:rPr>
          <w:color w:val="231F20"/>
        </w:rPr>
        <w:t>ставит</w:t>
      </w:r>
      <w:r>
        <w:rPr>
          <w:color w:val="231F20"/>
          <w:spacing w:val="-6"/>
        </w:rPr>
        <w:t> </w:t>
      </w:r>
      <w:r>
        <w:rPr>
          <w:color w:val="231F20"/>
        </w:rPr>
        <w:t>целью</w:t>
      </w:r>
      <w:r>
        <w:rPr>
          <w:color w:val="231F20"/>
          <w:spacing w:val="-6"/>
        </w:rPr>
        <w:t> </w:t>
      </w:r>
      <w:r>
        <w:rPr>
          <w:color w:val="231F20"/>
        </w:rPr>
        <w:t>интеграцию</w:t>
      </w:r>
      <w:r>
        <w:rPr>
          <w:color w:val="231F20"/>
          <w:spacing w:val="-6"/>
        </w:rPr>
        <w:t> </w:t>
      </w:r>
      <w:r>
        <w:rPr>
          <w:color w:val="231F20"/>
        </w:rPr>
        <w:t>социальных групп, подверженных негативным стереотипам, и предоставляет пространство для общения.</w:t>
      </w:r>
      <w:r>
        <w:rPr>
          <w:color w:val="231F20"/>
          <w:spacing w:val="-1"/>
        </w:rPr>
        <w:t> </w:t>
      </w:r>
      <w:r>
        <w:rPr>
          <w:color w:val="231F20"/>
        </w:rPr>
        <w:t>«Живую библиотеку» можно использовать для работы в</w:t>
      </w:r>
      <w:r>
        <w:rPr>
          <w:color w:val="231F20"/>
          <w:spacing w:val="-1"/>
        </w:rPr>
        <w:t> </w:t>
      </w:r>
      <w:r>
        <w:rPr>
          <w:color w:val="231F20"/>
        </w:rPr>
        <w:t>школах с </w:t>
      </w:r>
      <w:r>
        <w:rPr>
          <w:color w:val="231F20"/>
          <w:spacing w:val="-2"/>
        </w:rPr>
        <w:t>детьми-</w:t>
      </w:r>
    </w:p>
    <w:p>
      <w:pPr>
        <w:pStyle w:val="BodyText"/>
        <w:spacing w:line="204" w:lineRule="exact"/>
        <w:ind w:right="0" w:firstLine="0"/>
        <w:jc w:val="left"/>
      </w:pPr>
      <w:r>
        <w:rPr>
          <w:color w:val="231F20"/>
          <w:spacing w:val="-2"/>
        </w:rPr>
        <w:t>мигрантами.</w:t>
      </w:r>
    </w:p>
    <w:p>
      <w:pPr>
        <w:spacing w:line="228" w:lineRule="exact" w:before="108"/>
        <w:ind w:left="425" w:right="0" w:firstLine="0"/>
        <w:jc w:val="left"/>
        <w:rPr>
          <w:b/>
          <w:i/>
          <w:sz w:val="20"/>
        </w:rPr>
      </w:pPr>
      <w:r>
        <w:rPr>
          <w:b/>
          <w:i/>
          <w:color w:val="231F20"/>
          <w:sz w:val="20"/>
        </w:rPr>
        <w:t>Как</w:t>
      </w:r>
      <w:r>
        <w:rPr>
          <w:b/>
          <w:i/>
          <w:color w:val="231F20"/>
          <w:spacing w:val="-6"/>
          <w:sz w:val="20"/>
        </w:rPr>
        <w:t> </w:t>
      </w:r>
      <w:r>
        <w:rPr>
          <w:b/>
          <w:i/>
          <w:color w:val="231F20"/>
          <w:sz w:val="20"/>
        </w:rPr>
        <w:t>проходят</w:t>
      </w:r>
      <w:r>
        <w:rPr>
          <w:b/>
          <w:i/>
          <w:color w:val="231F20"/>
          <w:spacing w:val="-6"/>
          <w:sz w:val="20"/>
        </w:rPr>
        <w:t> </w:t>
      </w:r>
      <w:r>
        <w:rPr>
          <w:b/>
          <w:i/>
          <w:color w:val="231F20"/>
          <w:spacing w:val="-2"/>
          <w:sz w:val="20"/>
        </w:rPr>
        <w:t>встречи?</w:t>
      </w:r>
    </w:p>
    <w:p>
      <w:pPr>
        <w:pStyle w:val="BodyText"/>
        <w:spacing w:line="226" w:lineRule="exact"/>
        <w:ind w:left="425" w:right="0" w:firstLine="0"/>
        <w:jc w:val="left"/>
      </w:pPr>
      <w:r>
        <w:rPr/>
        <w:t>В</w:t>
      </w:r>
      <w:r>
        <w:rPr>
          <w:spacing w:val="-7"/>
        </w:rPr>
        <w:t> </w:t>
      </w:r>
      <w:r>
        <w:rPr/>
        <w:t>«Живой</w:t>
      </w:r>
      <w:r>
        <w:rPr>
          <w:spacing w:val="-7"/>
        </w:rPr>
        <w:t> </w:t>
      </w:r>
      <w:r>
        <w:rPr/>
        <w:t>библиотеке»</w:t>
      </w:r>
      <w:r>
        <w:rPr>
          <w:spacing w:val="-6"/>
        </w:rPr>
        <w:t> </w:t>
      </w:r>
      <w:r>
        <w:rPr>
          <w:spacing w:val="-2"/>
        </w:rPr>
        <w:t>участвуют:</w:t>
      </w:r>
    </w:p>
    <w:p>
      <w:pPr>
        <w:pStyle w:val="ListParagraph"/>
        <w:numPr>
          <w:ilvl w:val="0"/>
          <w:numId w:val="149"/>
        </w:numPr>
        <w:tabs>
          <w:tab w:pos="423" w:val="left" w:leader="none"/>
          <w:tab w:pos="425" w:val="left" w:leader="none"/>
        </w:tabs>
        <w:spacing w:line="235" w:lineRule="auto" w:before="2" w:after="0"/>
        <w:ind w:left="425" w:right="139" w:hanging="284"/>
        <w:jc w:val="both"/>
        <w:rPr>
          <w:sz w:val="20"/>
        </w:rPr>
      </w:pPr>
      <w:r>
        <w:rPr>
          <w:sz w:val="20"/>
        </w:rPr>
        <w:t>«книги» – участники, рассказывающие свою историю; если ставится цель инте- грации групп, это могут быть представители группы, о которой есть негативные стереотипы в обществе;</w:t>
      </w:r>
    </w:p>
    <w:p>
      <w:pPr>
        <w:pStyle w:val="ListParagraph"/>
        <w:numPr>
          <w:ilvl w:val="0"/>
          <w:numId w:val="149"/>
        </w:numPr>
        <w:tabs>
          <w:tab w:pos="423" w:val="left" w:leader="none"/>
          <w:tab w:pos="425" w:val="left" w:leader="none"/>
        </w:tabs>
        <w:spacing w:line="235" w:lineRule="auto" w:before="2" w:after="0"/>
        <w:ind w:left="425" w:right="139" w:hanging="284"/>
        <w:jc w:val="both"/>
        <w:rPr>
          <w:sz w:val="20"/>
        </w:rPr>
      </w:pPr>
      <w:r>
        <w:rPr>
          <w:sz w:val="20"/>
        </w:rPr>
        <w:t>«читатели» – все гости мероприятия, они могут услышать рассказы «книг» и от- крыто задать свои вопросы;</w:t>
      </w:r>
    </w:p>
    <w:p>
      <w:pPr>
        <w:pStyle w:val="ListParagraph"/>
        <w:numPr>
          <w:ilvl w:val="0"/>
          <w:numId w:val="149"/>
        </w:numPr>
        <w:tabs>
          <w:tab w:pos="423" w:val="left" w:leader="none"/>
        </w:tabs>
        <w:spacing w:line="225" w:lineRule="exact" w:before="0" w:after="0"/>
        <w:ind w:left="423" w:right="0" w:hanging="282"/>
        <w:jc w:val="both"/>
        <w:rPr>
          <w:sz w:val="20"/>
        </w:rPr>
      </w:pPr>
      <w:r>
        <w:rPr>
          <w:sz w:val="20"/>
        </w:rPr>
        <w:t>«библиотекари»</w:t>
      </w:r>
      <w:r>
        <w:rPr>
          <w:spacing w:val="-7"/>
          <w:sz w:val="20"/>
        </w:rPr>
        <w:t> </w:t>
      </w:r>
      <w:r>
        <w:rPr>
          <w:sz w:val="20"/>
        </w:rPr>
        <w:t>–</w:t>
      </w:r>
      <w:r>
        <w:rPr>
          <w:spacing w:val="-7"/>
          <w:sz w:val="20"/>
        </w:rPr>
        <w:t> </w:t>
      </w:r>
      <w:r>
        <w:rPr>
          <w:sz w:val="20"/>
        </w:rPr>
        <w:t>организаторы</w:t>
      </w:r>
      <w:r>
        <w:rPr>
          <w:spacing w:val="-7"/>
          <w:sz w:val="20"/>
        </w:rPr>
        <w:t> </w:t>
      </w:r>
      <w:r>
        <w:rPr>
          <w:spacing w:val="-2"/>
          <w:sz w:val="20"/>
        </w:rPr>
        <w:t>процесса.</w:t>
      </w:r>
    </w:p>
    <w:p>
      <w:pPr>
        <w:pStyle w:val="BodyText"/>
        <w:spacing w:line="235" w:lineRule="auto" w:before="1"/>
      </w:pPr>
      <w:r>
        <w:rPr/>
        <w:t>В</w:t>
      </w:r>
      <w:r>
        <w:rPr>
          <w:spacing w:val="-7"/>
        </w:rPr>
        <w:t> </w:t>
      </w:r>
      <w:r>
        <w:rPr/>
        <w:t>начале</w:t>
      </w:r>
      <w:r>
        <w:rPr>
          <w:spacing w:val="-7"/>
        </w:rPr>
        <w:t> </w:t>
      </w:r>
      <w:r>
        <w:rPr/>
        <w:t>мероприятия</w:t>
      </w:r>
      <w:r>
        <w:rPr>
          <w:spacing w:val="-7"/>
        </w:rPr>
        <w:t> </w:t>
      </w:r>
      <w:r>
        <w:rPr/>
        <w:t>«библиотекари»</w:t>
      </w:r>
      <w:r>
        <w:rPr>
          <w:spacing w:val="-7"/>
        </w:rPr>
        <w:t> </w:t>
      </w:r>
      <w:r>
        <w:rPr/>
        <w:t>знакомят</w:t>
      </w:r>
      <w:r>
        <w:rPr>
          <w:spacing w:val="-8"/>
        </w:rPr>
        <w:t> </w:t>
      </w:r>
      <w:r>
        <w:rPr/>
        <w:t>«читателей»</w:t>
      </w:r>
      <w:r>
        <w:rPr>
          <w:spacing w:val="-7"/>
        </w:rPr>
        <w:t> </w:t>
      </w:r>
      <w:r>
        <w:rPr/>
        <w:t>с</w:t>
      </w:r>
      <w:r>
        <w:rPr>
          <w:spacing w:val="-7"/>
        </w:rPr>
        <w:t> </w:t>
      </w:r>
      <w:r>
        <w:rPr/>
        <w:t>правилами</w:t>
      </w:r>
      <w:r>
        <w:rPr>
          <w:spacing w:val="-8"/>
        </w:rPr>
        <w:t> </w:t>
      </w:r>
      <w:r>
        <w:rPr/>
        <w:t>прове- дения</w:t>
      </w:r>
      <w:r>
        <w:rPr>
          <w:spacing w:val="9"/>
        </w:rPr>
        <w:t> </w:t>
      </w:r>
      <w:r>
        <w:rPr/>
        <w:t>«Живой</w:t>
      </w:r>
      <w:r>
        <w:rPr>
          <w:spacing w:val="12"/>
        </w:rPr>
        <w:t> </w:t>
      </w:r>
      <w:r>
        <w:rPr/>
        <w:t>библиотеки».</w:t>
      </w:r>
      <w:r>
        <w:rPr>
          <w:spacing w:val="11"/>
        </w:rPr>
        <w:t> </w:t>
      </w:r>
      <w:r>
        <w:rPr/>
        <w:t>Правила</w:t>
      </w:r>
      <w:r>
        <w:rPr>
          <w:spacing w:val="12"/>
        </w:rPr>
        <w:t> </w:t>
      </w:r>
      <w:r>
        <w:rPr/>
        <w:t>необходимо</w:t>
      </w:r>
      <w:r>
        <w:rPr>
          <w:spacing w:val="11"/>
        </w:rPr>
        <w:t> </w:t>
      </w:r>
      <w:r>
        <w:rPr/>
        <w:t>озвучить</w:t>
      </w:r>
      <w:r>
        <w:rPr>
          <w:spacing w:val="12"/>
        </w:rPr>
        <w:t> </w:t>
      </w:r>
      <w:r>
        <w:rPr/>
        <w:t>и</w:t>
      </w:r>
      <w:r>
        <w:rPr>
          <w:spacing w:val="11"/>
        </w:rPr>
        <w:t> </w:t>
      </w:r>
      <w:r>
        <w:rPr/>
        <w:t>заручиться</w:t>
      </w:r>
      <w:r>
        <w:rPr>
          <w:spacing w:val="12"/>
        </w:rPr>
        <w:t> </w:t>
      </w:r>
      <w:r>
        <w:rPr>
          <w:spacing w:val="-2"/>
        </w:rPr>
        <w:t>согласием</w:t>
      </w:r>
    </w:p>
    <w:p>
      <w:pPr>
        <w:pStyle w:val="BodyText"/>
        <w:spacing w:before="1"/>
        <w:ind w:left="0" w:right="0" w:firstLine="0"/>
        <w:jc w:val="left"/>
        <w:rPr>
          <w:sz w:val="14"/>
        </w:rPr>
      </w:pPr>
      <w:r>
        <w:rPr>
          <w:sz w:val="14"/>
        </w:rPr>
        <mc:AlternateContent>
          <mc:Choice Requires="wps">
            <w:drawing>
              <wp:anchor distT="0" distB="0" distL="0" distR="0" allowOverlap="1" layoutInCell="1" locked="0" behindDoc="1" simplePos="0" relativeHeight="487629824">
                <wp:simplePos x="0" y="0"/>
                <wp:positionH relativeFrom="page">
                  <wp:posOffset>360000</wp:posOffset>
                </wp:positionH>
                <wp:positionV relativeFrom="paragraph">
                  <wp:posOffset>118179</wp:posOffset>
                </wp:positionV>
                <wp:extent cx="1440180" cy="1270"/>
                <wp:effectExtent l="0" t="0" r="0" b="0"/>
                <wp:wrapTopAndBottom/>
                <wp:docPr id="129" name="Graphic 129"/>
                <wp:cNvGraphicFramePr>
                  <a:graphicFrameLocks/>
                </wp:cNvGraphicFramePr>
                <a:graphic>
                  <a:graphicData uri="http://schemas.microsoft.com/office/word/2010/wordprocessingShape">
                    <wps:wsp>
                      <wps:cNvPr id="129" name="Graphic 129"/>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5pt;margin-top:9.30547pt;width:113.4pt;height:.1pt;mso-position-horizontal-relative:page;mso-position-vertical-relative:paragraph;z-index:-15686656;mso-wrap-distance-left:0;mso-wrap-distance-right:0" id="docshape84" coordorigin="567,186" coordsize="2268,0" path="m567,186l2835,186e" filled="false" stroked="true" strokeweight=".5pt" strokecolor="#231f20">
                <v:path arrowok="t"/>
                <v:stroke dashstyle="solid"/>
                <w10:wrap type="topAndBottom"/>
              </v:shape>
            </w:pict>
          </mc:Fallback>
        </mc:AlternateContent>
      </w:r>
    </w:p>
    <w:p>
      <w:pPr>
        <w:tabs>
          <w:tab w:pos="425" w:val="left" w:leader="none"/>
        </w:tabs>
        <w:spacing w:before="27"/>
        <w:ind w:left="141" w:right="0" w:firstLine="0"/>
        <w:jc w:val="left"/>
        <w:rPr>
          <w:sz w:val="18"/>
        </w:rPr>
      </w:pPr>
      <w:r>
        <w:rPr>
          <w:color w:val="231F20"/>
          <w:spacing w:val="-10"/>
          <w:sz w:val="18"/>
          <w:vertAlign w:val="superscript"/>
        </w:rPr>
        <w:t>1</w:t>
      </w:r>
      <w:r>
        <w:rPr>
          <w:color w:val="231F20"/>
          <w:sz w:val="18"/>
          <w:vertAlign w:val="baseline"/>
        </w:rPr>
        <w:tab/>
      </w:r>
      <w:hyperlink r:id="rId156">
        <w:r>
          <w:rPr>
            <w:color w:val="2255A6"/>
            <w:spacing w:val="-2"/>
            <w:sz w:val="18"/>
            <w:u w:val="single" w:color="2255A6"/>
            <w:vertAlign w:val="baseline"/>
          </w:rPr>
          <w:t>humanlibrary.rus@gmail.com</w:t>
        </w:r>
      </w:hyperlink>
      <w:r>
        <w:rPr>
          <w:color w:val="231F20"/>
          <w:spacing w:val="-2"/>
          <w:sz w:val="18"/>
          <w:vertAlign w:val="baseline"/>
        </w:rPr>
        <w:t>.</w:t>
      </w:r>
    </w:p>
    <w:p>
      <w:pPr>
        <w:spacing w:after="0"/>
        <w:jc w:val="left"/>
        <w:rPr>
          <w:sz w:val="18"/>
        </w:rPr>
        <w:sectPr>
          <w:pgSz w:w="8400" w:h="11910"/>
          <w:pgMar w:header="0" w:footer="527" w:top="400" w:bottom="72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5"/>
          <w:sz w:val="18"/>
        </w:rPr>
        <w:t> </w:t>
      </w:r>
      <w:r>
        <w:rPr>
          <w:rFonts w:ascii="Georgia" w:hAnsi="Georgia"/>
          <w:color w:val="231F20"/>
          <w:sz w:val="18"/>
        </w:rPr>
        <w:t>Методы</w:t>
      </w:r>
      <w:r>
        <w:rPr>
          <w:rFonts w:ascii="Georgia" w:hAnsi="Georgia"/>
          <w:color w:val="231F20"/>
          <w:spacing w:val="-5"/>
          <w:sz w:val="18"/>
        </w:rPr>
        <w:t> </w:t>
      </w:r>
      <w:r>
        <w:rPr>
          <w:rFonts w:ascii="Georgia" w:hAnsi="Georgia"/>
          <w:color w:val="231F20"/>
          <w:sz w:val="18"/>
        </w:rPr>
        <w:t>воспитательной</w:t>
      </w:r>
      <w:r>
        <w:rPr>
          <w:rFonts w:ascii="Georgia" w:hAnsi="Georgia"/>
          <w:color w:val="231F20"/>
          <w:spacing w:val="-4"/>
          <w:sz w:val="18"/>
        </w:rPr>
        <w:t> </w:t>
      </w:r>
      <w:r>
        <w:rPr>
          <w:rFonts w:ascii="Georgia" w:hAnsi="Georgia"/>
          <w:color w:val="231F20"/>
          <w:sz w:val="18"/>
        </w:rPr>
        <w:t>раюоты</w:t>
      </w:r>
      <w:r>
        <w:rPr>
          <w:rFonts w:ascii="Georgia" w:hAnsi="Georgia"/>
          <w:color w:val="231F20"/>
          <w:spacing w:val="-5"/>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w:t>
      </w:r>
      <w:r>
        <w:rPr>
          <w:rFonts w:ascii="Georgia" w:hAnsi="Georgia"/>
          <w:color w:val="231F20"/>
          <w:spacing w:val="-4"/>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BodyText"/>
        <w:spacing w:line="235" w:lineRule="auto" w:before="116"/>
        <w:ind w:firstLine="0"/>
      </w:pPr>
      <w:r>
        <w:rPr/>
        <w:t>участников их соблюдать, чтобы создать психологически комфортную обстановку для обсуждения действительно волнующих присутствующих вопросов.</w:t>
      </w:r>
    </w:p>
    <w:p>
      <w:pPr>
        <w:pStyle w:val="BodyText"/>
        <w:spacing w:line="232" w:lineRule="auto"/>
      </w:pPr>
      <w:r>
        <w:rPr/>
        <w:t>Встреча</w:t>
      </w:r>
      <w:r>
        <w:rPr>
          <w:spacing w:val="-9"/>
        </w:rPr>
        <w:t> </w:t>
      </w:r>
      <w:r>
        <w:rPr/>
        <w:t>организована</w:t>
      </w:r>
      <w:r>
        <w:rPr>
          <w:spacing w:val="-9"/>
        </w:rPr>
        <w:t> </w:t>
      </w:r>
      <w:r>
        <w:rPr/>
        <w:t>так,</w:t>
      </w:r>
      <w:r>
        <w:rPr>
          <w:spacing w:val="-9"/>
        </w:rPr>
        <w:t> </w:t>
      </w:r>
      <w:r>
        <w:rPr/>
        <w:t>что</w:t>
      </w:r>
      <w:r>
        <w:rPr>
          <w:spacing w:val="-9"/>
        </w:rPr>
        <w:t> </w:t>
      </w:r>
      <w:r>
        <w:rPr/>
        <w:t>после</w:t>
      </w:r>
      <w:r>
        <w:rPr>
          <w:spacing w:val="-9"/>
        </w:rPr>
        <w:t> </w:t>
      </w:r>
      <w:r>
        <w:rPr/>
        <w:t>приветственных</w:t>
      </w:r>
      <w:r>
        <w:rPr>
          <w:spacing w:val="-9"/>
        </w:rPr>
        <w:t> </w:t>
      </w:r>
      <w:r>
        <w:rPr/>
        <w:t>слов</w:t>
      </w:r>
      <w:r>
        <w:rPr>
          <w:spacing w:val="-9"/>
        </w:rPr>
        <w:t> </w:t>
      </w:r>
      <w:r>
        <w:rPr/>
        <w:t>и</w:t>
      </w:r>
      <w:r>
        <w:rPr>
          <w:spacing w:val="-9"/>
        </w:rPr>
        <w:t> </w:t>
      </w:r>
      <w:r>
        <w:rPr/>
        <w:t>разговора</w:t>
      </w:r>
      <w:r>
        <w:rPr>
          <w:spacing w:val="-9"/>
        </w:rPr>
        <w:t> </w:t>
      </w:r>
      <w:r>
        <w:rPr/>
        <w:t>о</w:t>
      </w:r>
      <w:r>
        <w:rPr>
          <w:spacing w:val="-9"/>
        </w:rPr>
        <w:t> </w:t>
      </w:r>
      <w:r>
        <w:rPr/>
        <w:t>правилах начинаются</w:t>
      </w:r>
      <w:r>
        <w:rPr>
          <w:spacing w:val="-5"/>
        </w:rPr>
        <w:t> </w:t>
      </w:r>
      <w:r>
        <w:rPr/>
        <w:t>встречи</w:t>
      </w:r>
      <w:r>
        <w:rPr>
          <w:spacing w:val="-5"/>
        </w:rPr>
        <w:t> </w:t>
      </w:r>
      <w:r>
        <w:rPr/>
        <w:t>с</w:t>
      </w:r>
      <w:r>
        <w:rPr>
          <w:spacing w:val="-5"/>
        </w:rPr>
        <w:t> </w:t>
      </w:r>
      <w:r>
        <w:rPr/>
        <w:t>«книгами».</w:t>
      </w:r>
      <w:r>
        <w:rPr>
          <w:spacing w:val="-4"/>
        </w:rPr>
        <w:t> </w:t>
      </w:r>
      <w:r>
        <w:rPr/>
        <w:t>Они</w:t>
      </w:r>
      <w:r>
        <w:rPr>
          <w:spacing w:val="-5"/>
        </w:rPr>
        <w:t> </w:t>
      </w:r>
      <w:r>
        <w:rPr/>
        <w:t>обычно</w:t>
      </w:r>
      <w:r>
        <w:rPr>
          <w:spacing w:val="-5"/>
        </w:rPr>
        <w:t> </w:t>
      </w:r>
      <w:r>
        <w:rPr/>
        <w:t>длятся</w:t>
      </w:r>
      <w:r>
        <w:rPr>
          <w:spacing w:val="-5"/>
        </w:rPr>
        <w:t> </w:t>
      </w:r>
      <w:r>
        <w:rPr/>
        <w:t>по</w:t>
      </w:r>
      <w:r>
        <w:rPr>
          <w:spacing w:val="-4"/>
        </w:rPr>
        <w:t> </w:t>
      </w:r>
      <w:r>
        <w:rPr/>
        <w:t>20</w:t>
      </w:r>
      <w:r>
        <w:rPr>
          <w:spacing w:val="-4"/>
        </w:rPr>
        <w:t> </w:t>
      </w:r>
      <w:r>
        <w:rPr/>
        <w:t>минут</w:t>
      </w:r>
      <w:r>
        <w:rPr>
          <w:spacing w:val="-4"/>
        </w:rPr>
        <w:t> </w:t>
      </w:r>
      <w:r>
        <w:rPr/>
        <w:t>и</w:t>
      </w:r>
      <w:r>
        <w:rPr>
          <w:spacing w:val="-5"/>
        </w:rPr>
        <w:t> </w:t>
      </w:r>
      <w:r>
        <w:rPr/>
        <w:t>проходят</w:t>
      </w:r>
      <w:r>
        <w:rPr>
          <w:spacing w:val="-5"/>
        </w:rPr>
        <w:t> </w:t>
      </w:r>
      <w:r>
        <w:rPr/>
        <w:t>парал- лельно в разных группах, поэтому важно обеспечить достаточно места между раз- ными читательскими группами, чтобы они друг другу не мешали. </w:t>
      </w:r>
      <w:r>
        <w:rPr>
          <w:color w:val="231F20"/>
        </w:rPr>
        <w:t>Каждую «книгу» можно почитать всего один раз. Обычно те, кто опаздывает на встречу с «книгой», могут присоединиться только в следующем раунде через 30 минут (после встречи и перерыва), чтобы не отвлекать «книгу» и не разрушать атмосферу в группе читаю- щих.</w:t>
      </w:r>
      <w:r>
        <w:rPr>
          <w:color w:val="231F20"/>
          <w:spacing w:val="-10"/>
        </w:rPr>
        <w:t> </w:t>
      </w:r>
      <w:r>
        <w:rPr>
          <w:color w:val="231F20"/>
        </w:rPr>
        <w:t>«Книги»</w:t>
      </w:r>
      <w:r>
        <w:rPr>
          <w:color w:val="231F20"/>
          <w:spacing w:val="-10"/>
        </w:rPr>
        <w:t> </w:t>
      </w:r>
      <w:r>
        <w:rPr>
          <w:color w:val="231F20"/>
        </w:rPr>
        <w:t>имеют</w:t>
      </w:r>
      <w:r>
        <w:rPr>
          <w:color w:val="231F20"/>
          <w:spacing w:val="-10"/>
        </w:rPr>
        <w:t> </w:t>
      </w:r>
      <w:r>
        <w:rPr>
          <w:color w:val="231F20"/>
        </w:rPr>
        <w:t>право</w:t>
      </w:r>
      <w:r>
        <w:rPr>
          <w:color w:val="231F20"/>
          <w:spacing w:val="-10"/>
        </w:rPr>
        <w:t> </w:t>
      </w:r>
      <w:r>
        <w:rPr>
          <w:color w:val="231F20"/>
        </w:rPr>
        <w:t>не</w:t>
      </w:r>
      <w:r>
        <w:rPr>
          <w:color w:val="231F20"/>
          <w:spacing w:val="-10"/>
        </w:rPr>
        <w:t> </w:t>
      </w:r>
      <w:r>
        <w:rPr>
          <w:color w:val="231F20"/>
        </w:rPr>
        <w:t>отвечать</w:t>
      </w:r>
      <w:r>
        <w:rPr>
          <w:color w:val="231F20"/>
          <w:spacing w:val="-10"/>
        </w:rPr>
        <w:t> </w:t>
      </w:r>
      <w:r>
        <w:rPr>
          <w:color w:val="231F20"/>
        </w:rPr>
        <w:t>на</w:t>
      </w:r>
      <w:r>
        <w:rPr>
          <w:color w:val="231F20"/>
          <w:spacing w:val="-10"/>
        </w:rPr>
        <w:t> </w:t>
      </w:r>
      <w:r>
        <w:rPr>
          <w:color w:val="231F20"/>
        </w:rPr>
        <w:t>вопросы,</w:t>
      </w:r>
      <w:r>
        <w:rPr>
          <w:color w:val="231F20"/>
          <w:spacing w:val="-10"/>
        </w:rPr>
        <w:t> </w:t>
      </w:r>
      <w:r>
        <w:rPr>
          <w:color w:val="231F20"/>
        </w:rPr>
        <w:t>которые</w:t>
      </w:r>
      <w:r>
        <w:rPr>
          <w:color w:val="231F20"/>
          <w:spacing w:val="-10"/>
        </w:rPr>
        <w:t> </w:t>
      </w:r>
      <w:r>
        <w:rPr>
          <w:color w:val="231F20"/>
        </w:rPr>
        <w:t>им</w:t>
      </w:r>
      <w:r>
        <w:rPr>
          <w:color w:val="231F20"/>
          <w:spacing w:val="-10"/>
        </w:rPr>
        <w:t> </w:t>
      </w:r>
      <w:r>
        <w:rPr>
          <w:color w:val="231F20"/>
        </w:rPr>
        <w:t>некомфортно</w:t>
      </w:r>
      <w:r>
        <w:rPr>
          <w:color w:val="231F20"/>
          <w:spacing w:val="-10"/>
        </w:rPr>
        <w:t> </w:t>
      </w:r>
      <w:r>
        <w:rPr>
          <w:color w:val="231F20"/>
        </w:rPr>
        <w:t>обсуж- </w:t>
      </w:r>
      <w:r>
        <w:rPr>
          <w:color w:val="231F20"/>
          <w:spacing w:val="-2"/>
        </w:rPr>
        <w:t>дать,</w:t>
      </w:r>
      <w:r>
        <w:rPr>
          <w:color w:val="231F20"/>
          <w:spacing w:val="-3"/>
        </w:rPr>
        <w:t> </w:t>
      </w:r>
      <w:r>
        <w:rPr>
          <w:color w:val="231F20"/>
          <w:spacing w:val="-2"/>
        </w:rPr>
        <w:t>это</w:t>
      </w:r>
      <w:r>
        <w:rPr>
          <w:color w:val="231F20"/>
          <w:spacing w:val="-3"/>
        </w:rPr>
        <w:t> </w:t>
      </w:r>
      <w:r>
        <w:rPr>
          <w:color w:val="231F20"/>
          <w:spacing w:val="-2"/>
        </w:rPr>
        <w:t>правило</w:t>
      </w:r>
      <w:r>
        <w:rPr>
          <w:color w:val="231F20"/>
          <w:spacing w:val="-3"/>
        </w:rPr>
        <w:t> </w:t>
      </w:r>
      <w:r>
        <w:rPr>
          <w:color w:val="231F20"/>
          <w:spacing w:val="-2"/>
        </w:rPr>
        <w:t>также</w:t>
      </w:r>
      <w:r>
        <w:rPr>
          <w:color w:val="231F20"/>
          <w:spacing w:val="-3"/>
        </w:rPr>
        <w:t> </w:t>
      </w:r>
      <w:r>
        <w:rPr>
          <w:color w:val="231F20"/>
          <w:spacing w:val="-2"/>
        </w:rPr>
        <w:t>оговаривается</w:t>
      </w:r>
      <w:r>
        <w:rPr>
          <w:color w:val="231F20"/>
          <w:spacing w:val="-3"/>
        </w:rPr>
        <w:t> </w:t>
      </w:r>
      <w:r>
        <w:rPr>
          <w:color w:val="231F20"/>
          <w:spacing w:val="-2"/>
        </w:rPr>
        <w:t>в</w:t>
      </w:r>
      <w:r>
        <w:rPr>
          <w:color w:val="231F20"/>
          <w:spacing w:val="-3"/>
        </w:rPr>
        <w:t> </w:t>
      </w:r>
      <w:r>
        <w:rPr>
          <w:color w:val="231F20"/>
          <w:spacing w:val="-2"/>
        </w:rPr>
        <w:t>начале.</w:t>
      </w:r>
      <w:r>
        <w:rPr>
          <w:color w:val="231F20"/>
          <w:spacing w:val="-3"/>
        </w:rPr>
        <w:t> </w:t>
      </w:r>
      <w:r>
        <w:rPr>
          <w:color w:val="231F20"/>
          <w:spacing w:val="-2"/>
        </w:rPr>
        <w:t>Все</w:t>
      </w:r>
      <w:r>
        <w:rPr>
          <w:color w:val="231F20"/>
          <w:spacing w:val="-3"/>
        </w:rPr>
        <w:t> </w:t>
      </w:r>
      <w:r>
        <w:rPr>
          <w:color w:val="231F20"/>
          <w:spacing w:val="-2"/>
        </w:rPr>
        <w:t>«читатели»</w:t>
      </w:r>
      <w:r>
        <w:rPr>
          <w:color w:val="231F20"/>
          <w:spacing w:val="-3"/>
        </w:rPr>
        <w:t> </w:t>
      </w:r>
      <w:r>
        <w:rPr>
          <w:color w:val="231F20"/>
          <w:spacing w:val="-2"/>
        </w:rPr>
        <w:t>обязуются</w:t>
      </w:r>
      <w:r>
        <w:rPr>
          <w:color w:val="231F20"/>
          <w:spacing w:val="-3"/>
        </w:rPr>
        <w:t> </w:t>
      </w:r>
      <w:r>
        <w:rPr>
          <w:color w:val="231F20"/>
          <w:spacing w:val="-2"/>
        </w:rPr>
        <w:t>соблюдать </w:t>
      </w:r>
      <w:r>
        <w:rPr>
          <w:color w:val="231F20"/>
        </w:rPr>
        <w:t>конфиденциальность</w:t>
      </w:r>
      <w:r>
        <w:rPr>
          <w:color w:val="231F20"/>
          <w:spacing w:val="-2"/>
        </w:rPr>
        <w:t> </w:t>
      </w:r>
      <w:r>
        <w:rPr>
          <w:color w:val="231F20"/>
        </w:rPr>
        <w:t>по</w:t>
      </w:r>
      <w:r>
        <w:rPr>
          <w:color w:val="231F20"/>
          <w:spacing w:val="-2"/>
        </w:rPr>
        <w:t> </w:t>
      </w:r>
      <w:r>
        <w:rPr>
          <w:color w:val="231F20"/>
        </w:rPr>
        <w:t>отношению</w:t>
      </w:r>
      <w:r>
        <w:rPr>
          <w:color w:val="231F20"/>
          <w:spacing w:val="-2"/>
        </w:rPr>
        <w:t> </w:t>
      </w:r>
      <w:r>
        <w:rPr>
          <w:color w:val="231F20"/>
        </w:rPr>
        <w:t>ко</w:t>
      </w:r>
      <w:r>
        <w:rPr>
          <w:color w:val="231F20"/>
          <w:spacing w:val="-2"/>
        </w:rPr>
        <w:t> </w:t>
      </w:r>
      <w:r>
        <w:rPr>
          <w:color w:val="231F20"/>
        </w:rPr>
        <w:t>всему,</w:t>
      </w:r>
      <w:r>
        <w:rPr>
          <w:color w:val="231F20"/>
          <w:spacing w:val="-2"/>
        </w:rPr>
        <w:t> </w:t>
      </w:r>
      <w:r>
        <w:rPr>
          <w:color w:val="231F20"/>
        </w:rPr>
        <w:t>что</w:t>
      </w:r>
      <w:r>
        <w:rPr>
          <w:color w:val="231F20"/>
          <w:spacing w:val="-2"/>
        </w:rPr>
        <w:t> </w:t>
      </w:r>
      <w:r>
        <w:rPr>
          <w:color w:val="231F20"/>
        </w:rPr>
        <w:t>обсуждалось</w:t>
      </w:r>
      <w:r>
        <w:rPr>
          <w:color w:val="231F20"/>
          <w:spacing w:val="-2"/>
        </w:rPr>
        <w:t> </w:t>
      </w:r>
      <w:r>
        <w:rPr>
          <w:color w:val="231F20"/>
        </w:rPr>
        <w:t>в</w:t>
      </w:r>
      <w:r>
        <w:rPr>
          <w:color w:val="231F20"/>
          <w:spacing w:val="-2"/>
        </w:rPr>
        <w:t> </w:t>
      </w:r>
      <w:r>
        <w:rPr>
          <w:color w:val="231F20"/>
        </w:rPr>
        <w:t>группе,</w:t>
      </w:r>
      <w:r>
        <w:rPr>
          <w:color w:val="231F20"/>
          <w:spacing w:val="-2"/>
        </w:rPr>
        <w:t> </w:t>
      </w:r>
      <w:r>
        <w:rPr>
          <w:color w:val="231F20"/>
        </w:rPr>
        <w:t>и</w:t>
      </w:r>
      <w:r>
        <w:rPr>
          <w:color w:val="231F20"/>
          <w:spacing w:val="-2"/>
        </w:rPr>
        <w:t> </w:t>
      </w:r>
      <w:r>
        <w:rPr>
          <w:color w:val="231F20"/>
        </w:rPr>
        <w:t>делиться пространством для диалога с другими «читателями».</w:t>
      </w:r>
    </w:p>
    <w:p>
      <w:pPr>
        <w:pStyle w:val="BodyText"/>
        <w:spacing w:line="232" w:lineRule="auto"/>
      </w:pPr>
      <w:r>
        <w:rPr/>
        <w:t>Правила могут дополняться в зависимости от целевой аудитории и формата про- ведения</w:t>
      </w:r>
      <w:r>
        <w:rPr>
          <w:spacing w:val="-5"/>
        </w:rPr>
        <w:t> </w:t>
      </w:r>
      <w:r>
        <w:rPr/>
        <w:t>«Живой</w:t>
      </w:r>
      <w:r>
        <w:rPr>
          <w:spacing w:val="-5"/>
        </w:rPr>
        <w:t> </w:t>
      </w:r>
      <w:r>
        <w:rPr/>
        <w:t>библиотеки».</w:t>
      </w:r>
      <w:r>
        <w:rPr>
          <w:spacing w:val="-5"/>
        </w:rPr>
        <w:t> </w:t>
      </w:r>
      <w:r>
        <w:rPr/>
        <w:t>Если</w:t>
      </w:r>
      <w:r>
        <w:rPr>
          <w:spacing w:val="-5"/>
        </w:rPr>
        <w:t> </w:t>
      </w:r>
      <w:r>
        <w:rPr/>
        <w:t>«Живая</w:t>
      </w:r>
      <w:r>
        <w:rPr>
          <w:spacing w:val="-5"/>
        </w:rPr>
        <w:t> </w:t>
      </w:r>
      <w:r>
        <w:rPr/>
        <w:t>библиотека»</w:t>
      </w:r>
      <w:r>
        <w:rPr>
          <w:spacing w:val="-5"/>
        </w:rPr>
        <w:t> </w:t>
      </w:r>
      <w:r>
        <w:rPr/>
        <w:t>проводится</w:t>
      </w:r>
      <w:r>
        <w:rPr>
          <w:spacing w:val="-5"/>
        </w:rPr>
        <w:t> </w:t>
      </w:r>
      <w:r>
        <w:rPr/>
        <w:t>дистанционно, рекомендуется</w:t>
      </w:r>
      <w:r>
        <w:rPr>
          <w:spacing w:val="-12"/>
        </w:rPr>
        <w:t> </w:t>
      </w:r>
      <w:r>
        <w:rPr/>
        <w:t>договориться</w:t>
      </w:r>
      <w:r>
        <w:rPr>
          <w:spacing w:val="-12"/>
        </w:rPr>
        <w:t> </w:t>
      </w:r>
      <w:r>
        <w:rPr/>
        <w:t>со</w:t>
      </w:r>
      <w:r>
        <w:rPr>
          <w:spacing w:val="-12"/>
        </w:rPr>
        <w:t> </w:t>
      </w:r>
      <w:r>
        <w:rPr/>
        <w:t>всеми</w:t>
      </w:r>
      <w:r>
        <w:rPr>
          <w:spacing w:val="-12"/>
        </w:rPr>
        <w:t> </w:t>
      </w:r>
      <w:r>
        <w:rPr/>
        <w:t>участниками</w:t>
      </w:r>
      <w:r>
        <w:rPr>
          <w:spacing w:val="-12"/>
        </w:rPr>
        <w:t> </w:t>
      </w:r>
      <w:r>
        <w:rPr>
          <w:color w:val="231F20"/>
        </w:rPr>
        <w:t>включить</w:t>
      </w:r>
      <w:r>
        <w:rPr>
          <w:color w:val="231F20"/>
          <w:spacing w:val="-12"/>
        </w:rPr>
        <w:t> </w:t>
      </w:r>
      <w:r>
        <w:rPr>
          <w:color w:val="231F20"/>
        </w:rPr>
        <w:t>камеру,</w:t>
      </w:r>
      <w:r>
        <w:rPr>
          <w:color w:val="231F20"/>
          <w:spacing w:val="-12"/>
        </w:rPr>
        <w:t> </w:t>
      </w:r>
      <w:r>
        <w:rPr>
          <w:color w:val="231F20"/>
        </w:rPr>
        <w:t>находясь</w:t>
      </w:r>
      <w:r>
        <w:rPr>
          <w:color w:val="231F20"/>
          <w:spacing w:val="-12"/>
        </w:rPr>
        <w:t> </w:t>
      </w:r>
      <w:r>
        <w:rPr>
          <w:color w:val="231F20"/>
        </w:rPr>
        <w:t>в</w:t>
      </w:r>
      <w:r>
        <w:rPr>
          <w:color w:val="231F20"/>
          <w:spacing w:val="-12"/>
        </w:rPr>
        <w:t> </w:t>
      </w:r>
      <w:r>
        <w:rPr>
          <w:color w:val="231F20"/>
        </w:rPr>
        <w:t>сес- сионных залах, и не выключать ее до конца мероприятия; </w:t>
      </w:r>
      <w:r>
        <w:rPr/>
        <w:t>подписать аккаунт участ- ника реальным именем и стараться </w:t>
      </w:r>
      <w:r>
        <w:rPr>
          <w:color w:val="231F20"/>
        </w:rPr>
        <w:t>не покидать мероприятие до его официального завершения. Эти правила оговариваются заранее для создания более доверительной атмосферы, располагающей к общению.</w:t>
      </w:r>
    </w:p>
    <w:p>
      <w:pPr>
        <w:pStyle w:val="BodyText"/>
        <w:spacing w:line="213" w:lineRule="exact"/>
        <w:ind w:left="425" w:right="0" w:firstLine="0"/>
      </w:pPr>
      <w:r>
        <w:rPr/>
        <w:t>В</w:t>
      </w:r>
      <w:r>
        <w:rPr>
          <w:spacing w:val="51"/>
        </w:rPr>
        <w:t> </w:t>
      </w:r>
      <w:r>
        <w:rPr/>
        <w:t>процессе</w:t>
      </w:r>
      <w:r>
        <w:rPr>
          <w:spacing w:val="51"/>
        </w:rPr>
        <w:t> </w:t>
      </w:r>
      <w:r>
        <w:rPr/>
        <w:t>общения</w:t>
      </w:r>
      <w:r>
        <w:rPr>
          <w:spacing w:val="51"/>
        </w:rPr>
        <w:t> </w:t>
      </w:r>
      <w:r>
        <w:rPr/>
        <w:t>«читатели»</w:t>
      </w:r>
      <w:r>
        <w:rPr>
          <w:spacing w:val="51"/>
        </w:rPr>
        <w:t> </w:t>
      </w:r>
      <w:r>
        <w:rPr/>
        <w:t>задают</w:t>
      </w:r>
      <w:r>
        <w:rPr>
          <w:spacing w:val="51"/>
        </w:rPr>
        <w:t> </w:t>
      </w:r>
      <w:r>
        <w:rPr/>
        <w:t>интересующие</w:t>
      </w:r>
      <w:r>
        <w:rPr>
          <w:spacing w:val="51"/>
        </w:rPr>
        <w:t> </w:t>
      </w:r>
      <w:r>
        <w:rPr/>
        <w:t>их</w:t>
      </w:r>
      <w:r>
        <w:rPr>
          <w:spacing w:val="51"/>
        </w:rPr>
        <w:t> </w:t>
      </w:r>
      <w:r>
        <w:rPr/>
        <w:t>вопросы</w:t>
      </w:r>
      <w:r>
        <w:rPr>
          <w:spacing w:val="51"/>
        </w:rPr>
        <w:t> </w:t>
      </w:r>
      <w:r>
        <w:rPr/>
        <w:t>о</w:t>
      </w:r>
      <w:r>
        <w:rPr>
          <w:spacing w:val="51"/>
        </w:rPr>
        <w:t> </w:t>
      </w:r>
      <w:r>
        <w:rPr>
          <w:spacing w:val="-2"/>
        </w:rPr>
        <w:t>жизни</w:t>
      </w:r>
    </w:p>
    <w:p>
      <w:pPr>
        <w:pStyle w:val="BodyText"/>
        <w:spacing w:line="232" w:lineRule="auto"/>
        <w:ind w:firstLine="0"/>
      </w:pPr>
      <w:r>
        <w:rPr/>
        <w:t>«книг», благодаря чему повышается осведомленность о социальных группах, сни- жается</w:t>
      </w:r>
      <w:r>
        <w:rPr>
          <w:spacing w:val="-1"/>
        </w:rPr>
        <w:t> </w:t>
      </w:r>
      <w:r>
        <w:rPr/>
        <w:t>социальная</w:t>
      </w:r>
      <w:r>
        <w:rPr>
          <w:spacing w:val="-1"/>
        </w:rPr>
        <w:t> </w:t>
      </w:r>
      <w:r>
        <w:rPr/>
        <w:t>напряженность</w:t>
      </w:r>
      <w:r>
        <w:rPr>
          <w:spacing w:val="-1"/>
        </w:rPr>
        <w:t> </w:t>
      </w:r>
      <w:r>
        <w:rPr/>
        <w:t>и</w:t>
      </w:r>
      <w:r>
        <w:rPr>
          <w:spacing w:val="-1"/>
        </w:rPr>
        <w:t> </w:t>
      </w:r>
      <w:r>
        <w:rPr/>
        <w:t>ослабевает</w:t>
      </w:r>
      <w:r>
        <w:rPr>
          <w:spacing w:val="-1"/>
        </w:rPr>
        <w:t> </w:t>
      </w:r>
      <w:r>
        <w:rPr/>
        <w:t>воздействие</w:t>
      </w:r>
      <w:r>
        <w:rPr>
          <w:spacing w:val="-1"/>
        </w:rPr>
        <w:t> </w:t>
      </w:r>
      <w:r>
        <w:rPr/>
        <w:t>ранее</w:t>
      </w:r>
      <w:r>
        <w:rPr>
          <w:spacing w:val="-1"/>
        </w:rPr>
        <w:t> </w:t>
      </w:r>
      <w:r>
        <w:rPr/>
        <w:t>сформированных негативных стереотипов.</w:t>
      </w:r>
    </w:p>
    <w:p>
      <w:pPr>
        <w:spacing w:line="226" w:lineRule="exact" w:before="93"/>
        <w:ind w:left="425" w:right="0" w:firstLine="0"/>
        <w:jc w:val="both"/>
        <w:rPr>
          <w:b/>
          <w:i/>
          <w:sz w:val="20"/>
        </w:rPr>
      </w:pPr>
      <w:r>
        <w:rPr>
          <w:b/>
          <w:i/>
          <w:sz w:val="20"/>
        </w:rPr>
        <w:t>Особенности</w:t>
      </w:r>
      <w:r>
        <w:rPr>
          <w:b/>
          <w:i/>
          <w:spacing w:val="-8"/>
          <w:sz w:val="20"/>
        </w:rPr>
        <w:t> </w:t>
      </w:r>
      <w:r>
        <w:rPr>
          <w:b/>
          <w:i/>
          <w:sz w:val="20"/>
        </w:rPr>
        <w:t>работы</w:t>
      </w:r>
      <w:r>
        <w:rPr>
          <w:b/>
          <w:i/>
          <w:spacing w:val="-7"/>
          <w:sz w:val="20"/>
        </w:rPr>
        <w:t> </w:t>
      </w:r>
      <w:r>
        <w:rPr>
          <w:b/>
          <w:i/>
          <w:sz w:val="20"/>
        </w:rPr>
        <w:t>с</w:t>
      </w:r>
      <w:r>
        <w:rPr>
          <w:b/>
          <w:i/>
          <w:spacing w:val="-6"/>
          <w:sz w:val="20"/>
        </w:rPr>
        <w:t> </w:t>
      </w:r>
      <w:r>
        <w:rPr>
          <w:b/>
          <w:i/>
          <w:sz w:val="20"/>
        </w:rPr>
        <w:t>детьми</w:t>
      </w:r>
      <w:r>
        <w:rPr>
          <w:b/>
          <w:sz w:val="20"/>
        </w:rPr>
        <w:t>-иностранными</w:t>
      </w:r>
      <w:r>
        <w:rPr>
          <w:b/>
          <w:spacing w:val="-8"/>
          <w:sz w:val="20"/>
        </w:rPr>
        <w:t> </w:t>
      </w:r>
      <w:r>
        <w:rPr>
          <w:b/>
          <w:sz w:val="20"/>
        </w:rPr>
        <w:t>гражданами</w:t>
      </w:r>
      <w:r>
        <w:rPr>
          <w:b/>
          <w:spacing w:val="-7"/>
          <w:sz w:val="20"/>
        </w:rPr>
        <w:t> </w:t>
      </w:r>
      <w:r>
        <w:rPr>
          <w:b/>
          <w:i/>
          <w:sz w:val="20"/>
        </w:rPr>
        <w:t>в</w:t>
      </w:r>
      <w:r>
        <w:rPr>
          <w:b/>
          <w:i/>
          <w:spacing w:val="-6"/>
          <w:sz w:val="20"/>
        </w:rPr>
        <w:t> </w:t>
      </w:r>
      <w:r>
        <w:rPr>
          <w:b/>
          <w:i/>
          <w:spacing w:val="-2"/>
          <w:sz w:val="20"/>
        </w:rPr>
        <w:t>школе</w:t>
      </w:r>
    </w:p>
    <w:p>
      <w:pPr>
        <w:pStyle w:val="BodyText"/>
        <w:spacing w:line="232" w:lineRule="auto" w:before="2"/>
      </w:pPr>
      <w:r>
        <w:rPr/>
        <w:t>Поскольку</w:t>
      </w:r>
      <w:r>
        <w:rPr>
          <w:spacing w:val="-7"/>
        </w:rPr>
        <w:t> </w:t>
      </w:r>
      <w:r>
        <w:rPr/>
        <w:t>«Живая</w:t>
      </w:r>
      <w:r>
        <w:rPr>
          <w:spacing w:val="-7"/>
        </w:rPr>
        <w:t> </w:t>
      </w:r>
      <w:r>
        <w:rPr/>
        <w:t>библиотека»</w:t>
      </w:r>
      <w:r>
        <w:rPr>
          <w:spacing w:val="-7"/>
        </w:rPr>
        <w:t> </w:t>
      </w:r>
      <w:r>
        <w:rPr/>
        <w:t>как</w:t>
      </w:r>
      <w:r>
        <w:rPr>
          <w:spacing w:val="-7"/>
        </w:rPr>
        <w:t> </w:t>
      </w:r>
      <w:r>
        <w:rPr/>
        <w:t>социальная</w:t>
      </w:r>
      <w:r>
        <w:rPr>
          <w:spacing w:val="-7"/>
        </w:rPr>
        <w:t> </w:t>
      </w:r>
      <w:r>
        <w:rPr/>
        <w:t>практика</w:t>
      </w:r>
      <w:r>
        <w:rPr>
          <w:spacing w:val="-7"/>
        </w:rPr>
        <w:t> </w:t>
      </w:r>
      <w:r>
        <w:rPr/>
        <w:t>позволяет</w:t>
      </w:r>
      <w:r>
        <w:rPr>
          <w:spacing w:val="-7"/>
        </w:rPr>
        <w:t> </w:t>
      </w:r>
      <w:r>
        <w:rPr/>
        <w:t>повысить</w:t>
      </w:r>
      <w:r>
        <w:rPr>
          <w:spacing w:val="-7"/>
        </w:rPr>
        <w:t> </w:t>
      </w:r>
      <w:r>
        <w:rPr/>
        <w:t>ос- ведомленность</w:t>
      </w:r>
      <w:r>
        <w:rPr>
          <w:spacing w:val="-13"/>
        </w:rPr>
        <w:t> </w:t>
      </w:r>
      <w:r>
        <w:rPr/>
        <w:t>о</w:t>
      </w:r>
      <w:r>
        <w:rPr>
          <w:spacing w:val="-12"/>
        </w:rPr>
        <w:t> </w:t>
      </w:r>
      <w:r>
        <w:rPr/>
        <w:t>различных</w:t>
      </w:r>
      <w:r>
        <w:rPr>
          <w:spacing w:val="-13"/>
        </w:rPr>
        <w:t> </w:t>
      </w:r>
      <w:r>
        <w:rPr/>
        <w:t>социальных</w:t>
      </w:r>
      <w:r>
        <w:rPr>
          <w:spacing w:val="-12"/>
        </w:rPr>
        <w:t> </w:t>
      </w:r>
      <w:r>
        <w:rPr/>
        <w:t>группах</w:t>
      </w:r>
      <w:r>
        <w:rPr>
          <w:spacing w:val="-13"/>
        </w:rPr>
        <w:t> </w:t>
      </w:r>
      <w:r>
        <w:rPr/>
        <w:t>благодаря</w:t>
      </w:r>
      <w:r>
        <w:rPr>
          <w:spacing w:val="-12"/>
        </w:rPr>
        <w:t> </w:t>
      </w:r>
      <w:r>
        <w:rPr/>
        <w:t>инклюзивной</w:t>
      </w:r>
      <w:r>
        <w:rPr>
          <w:spacing w:val="-13"/>
        </w:rPr>
        <w:t> </w:t>
      </w:r>
      <w:r>
        <w:rPr/>
        <w:t>направлен- ности</w:t>
      </w:r>
      <w:r>
        <w:rPr>
          <w:spacing w:val="-13"/>
        </w:rPr>
        <w:t> </w:t>
      </w:r>
      <w:r>
        <w:rPr/>
        <w:t>и</w:t>
      </w:r>
      <w:r>
        <w:rPr>
          <w:spacing w:val="-12"/>
        </w:rPr>
        <w:t> </w:t>
      </w:r>
      <w:r>
        <w:rPr/>
        <w:t>прямому,</w:t>
      </w:r>
      <w:r>
        <w:rPr>
          <w:spacing w:val="-13"/>
        </w:rPr>
        <w:t> </w:t>
      </w:r>
      <w:r>
        <w:rPr/>
        <w:t>открытому</w:t>
      </w:r>
      <w:r>
        <w:rPr>
          <w:spacing w:val="-12"/>
        </w:rPr>
        <w:t> </w:t>
      </w:r>
      <w:r>
        <w:rPr/>
        <w:t>диалогу</w:t>
      </w:r>
      <w:r>
        <w:rPr>
          <w:spacing w:val="-13"/>
        </w:rPr>
        <w:t> </w:t>
      </w:r>
      <w:r>
        <w:rPr/>
        <w:t>между</w:t>
      </w:r>
      <w:r>
        <w:rPr>
          <w:spacing w:val="-12"/>
        </w:rPr>
        <w:t> </w:t>
      </w:r>
      <w:r>
        <w:rPr/>
        <w:t>всеми</w:t>
      </w:r>
      <w:r>
        <w:rPr>
          <w:spacing w:val="-13"/>
        </w:rPr>
        <w:t> </w:t>
      </w:r>
      <w:r>
        <w:rPr/>
        <w:t>участниками,</w:t>
      </w:r>
      <w:r>
        <w:rPr>
          <w:spacing w:val="-12"/>
        </w:rPr>
        <w:t> </w:t>
      </w:r>
      <w:r>
        <w:rPr/>
        <w:t>она</w:t>
      </w:r>
      <w:r>
        <w:rPr>
          <w:spacing w:val="-13"/>
        </w:rPr>
        <w:t> </w:t>
      </w:r>
      <w:r>
        <w:rPr/>
        <w:t>имеет</w:t>
      </w:r>
      <w:r>
        <w:rPr>
          <w:spacing w:val="-12"/>
        </w:rPr>
        <w:t> </w:t>
      </w:r>
      <w:r>
        <w:rPr/>
        <w:t>огромный потенциал. Ее можно проводить и в рамках школьного сообщества, включающего детей-мигрантов. Для усиления эффекта от создания в школе инклюзивного сооб- щества важна слаженная работа психолого-педагогического и административного состава школы.</w:t>
      </w:r>
    </w:p>
    <w:p>
      <w:pPr>
        <w:pStyle w:val="BodyText"/>
        <w:spacing w:line="232" w:lineRule="auto"/>
        <w:jc w:val="right"/>
      </w:pPr>
      <w:r>
        <w:rPr/>
        <w:t>Этническая</w:t>
      </w:r>
      <w:r>
        <w:rPr>
          <w:spacing w:val="-10"/>
        </w:rPr>
        <w:t> </w:t>
      </w:r>
      <w:r>
        <w:rPr/>
        <w:t>картина</w:t>
      </w:r>
      <w:r>
        <w:rPr>
          <w:spacing w:val="-10"/>
        </w:rPr>
        <w:t> </w:t>
      </w:r>
      <w:r>
        <w:rPr/>
        <w:t>мира</w:t>
      </w:r>
      <w:r>
        <w:rPr>
          <w:spacing w:val="-10"/>
        </w:rPr>
        <w:t> </w:t>
      </w:r>
      <w:r>
        <w:rPr/>
        <w:t>на</w:t>
      </w:r>
      <w:r>
        <w:rPr>
          <w:spacing w:val="-9"/>
        </w:rPr>
        <w:t> </w:t>
      </w:r>
      <w:r>
        <w:rPr/>
        <w:t>когнитивном</w:t>
      </w:r>
      <w:r>
        <w:rPr>
          <w:spacing w:val="-10"/>
        </w:rPr>
        <w:t> </w:t>
      </w:r>
      <w:r>
        <w:rPr/>
        <w:t>уровне</w:t>
      </w:r>
      <w:r>
        <w:rPr>
          <w:spacing w:val="-10"/>
        </w:rPr>
        <w:t> </w:t>
      </w:r>
      <w:r>
        <w:rPr/>
        <w:t>в</w:t>
      </w:r>
      <w:r>
        <w:rPr>
          <w:spacing w:val="-9"/>
        </w:rPr>
        <w:t> </w:t>
      </w:r>
      <w:r>
        <w:rPr/>
        <w:t>значительной</w:t>
      </w:r>
      <w:r>
        <w:rPr>
          <w:spacing w:val="-10"/>
        </w:rPr>
        <w:t> </w:t>
      </w:r>
      <w:r>
        <w:rPr/>
        <w:t>степени</w:t>
      </w:r>
      <w:r>
        <w:rPr>
          <w:spacing w:val="-10"/>
        </w:rPr>
        <w:t> </w:t>
      </w:r>
      <w:r>
        <w:rPr/>
        <w:t>склады- вается в детском возрасте и затем меняется с трудом. Одним из ключевых факторов </w:t>
      </w:r>
      <w:r>
        <w:rPr>
          <w:spacing w:val="-2"/>
        </w:rPr>
        <w:t>этнической границы между «своими» и «чужими» в обществе является приписывание </w:t>
      </w:r>
      <w:r>
        <w:rPr>
          <w:spacing w:val="-4"/>
        </w:rPr>
        <w:t>негативных</w:t>
      </w:r>
      <w:r>
        <w:rPr>
          <w:spacing w:val="-6"/>
        </w:rPr>
        <w:t> </w:t>
      </w:r>
      <w:r>
        <w:rPr>
          <w:spacing w:val="-4"/>
        </w:rPr>
        <w:t>черт</w:t>
      </w:r>
      <w:r>
        <w:rPr>
          <w:spacing w:val="-7"/>
        </w:rPr>
        <w:t> </w:t>
      </w:r>
      <w:r>
        <w:rPr>
          <w:spacing w:val="-4"/>
        </w:rPr>
        <w:t>тем,</w:t>
      </w:r>
      <w:r>
        <w:rPr>
          <w:spacing w:val="-6"/>
        </w:rPr>
        <w:t> </w:t>
      </w:r>
      <w:r>
        <w:rPr>
          <w:spacing w:val="-4"/>
        </w:rPr>
        <w:t>кто</w:t>
      </w:r>
      <w:r>
        <w:rPr>
          <w:spacing w:val="-7"/>
        </w:rPr>
        <w:t> </w:t>
      </w:r>
      <w:r>
        <w:rPr>
          <w:spacing w:val="-4"/>
        </w:rPr>
        <w:t>находится</w:t>
      </w:r>
      <w:r>
        <w:rPr>
          <w:spacing w:val="-6"/>
        </w:rPr>
        <w:t> </w:t>
      </w:r>
      <w:r>
        <w:rPr>
          <w:spacing w:val="-4"/>
        </w:rPr>
        <w:t>«по</w:t>
      </w:r>
      <w:r>
        <w:rPr>
          <w:spacing w:val="-7"/>
        </w:rPr>
        <w:t> </w:t>
      </w:r>
      <w:r>
        <w:rPr>
          <w:spacing w:val="-4"/>
        </w:rPr>
        <w:t>ту</w:t>
      </w:r>
      <w:r>
        <w:rPr>
          <w:spacing w:val="-6"/>
        </w:rPr>
        <w:t> </w:t>
      </w:r>
      <w:r>
        <w:rPr>
          <w:spacing w:val="-4"/>
        </w:rPr>
        <w:t>сторону»</w:t>
      </w:r>
      <w:r>
        <w:rPr>
          <w:spacing w:val="-7"/>
        </w:rPr>
        <w:t> </w:t>
      </w:r>
      <w:r>
        <w:rPr>
          <w:spacing w:val="-4"/>
        </w:rPr>
        <w:t>социальной</w:t>
      </w:r>
      <w:r>
        <w:rPr>
          <w:spacing w:val="-6"/>
        </w:rPr>
        <w:t> </w:t>
      </w:r>
      <w:r>
        <w:rPr>
          <w:spacing w:val="-4"/>
        </w:rPr>
        <w:t>границы.</w:t>
      </w:r>
      <w:r>
        <w:rPr>
          <w:spacing w:val="-7"/>
        </w:rPr>
        <w:t> </w:t>
      </w:r>
      <w:r>
        <w:rPr>
          <w:spacing w:val="-4"/>
        </w:rPr>
        <w:t>Поэтому</w:t>
      </w:r>
      <w:r>
        <w:rPr>
          <w:spacing w:val="-6"/>
        </w:rPr>
        <w:t> </w:t>
      </w:r>
      <w:r>
        <w:rPr>
          <w:spacing w:val="-4"/>
        </w:rPr>
        <w:t>осо- </w:t>
      </w:r>
      <w:r>
        <w:rPr>
          <w:spacing w:val="-2"/>
        </w:rPr>
        <w:t>бенную</w:t>
      </w:r>
      <w:r>
        <w:rPr>
          <w:spacing w:val="-10"/>
        </w:rPr>
        <w:t> </w:t>
      </w:r>
      <w:r>
        <w:rPr>
          <w:spacing w:val="-2"/>
        </w:rPr>
        <w:t>важность</w:t>
      </w:r>
      <w:r>
        <w:rPr>
          <w:spacing w:val="-10"/>
        </w:rPr>
        <w:t> </w:t>
      </w:r>
      <w:r>
        <w:rPr>
          <w:spacing w:val="-2"/>
        </w:rPr>
        <w:t>приобретает</w:t>
      </w:r>
      <w:r>
        <w:rPr>
          <w:spacing w:val="-10"/>
        </w:rPr>
        <w:t> </w:t>
      </w:r>
      <w:r>
        <w:rPr>
          <w:spacing w:val="-2"/>
        </w:rPr>
        <w:t>ослабление</w:t>
      </w:r>
      <w:r>
        <w:rPr>
          <w:spacing w:val="-10"/>
        </w:rPr>
        <w:t> </w:t>
      </w:r>
      <w:r>
        <w:rPr>
          <w:spacing w:val="-2"/>
        </w:rPr>
        <w:t>и</w:t>
      </w:r>
      <w:r>
        <w:rPr>
          <w:spacing w:val="-10"/>
        </w:rPr>
        <w:t> </w:t>
      </w:r>
      <w:r>
        <w:rPr>
          <w:spacing w:val="-2"/>
        </w:rPr>
        <w:t>изменение</w:t>
      </w:r>
      <w:r>
        <w:rPr>
          <w:spacing w:val="-10"/>
        </w:rPr>
        <w:t> </w:t>
      </w:r>
      <w:r>
        <w:rPr>
          <w:spacing w:val="-2"/>
        </w:rPr>
        <w:t>стереотипов</w:t>
      </w:r>
      <w:r>
        <w:rPr>
          <w:spacing w:val="-10"/>
        </w:rPr>
        <w:t> </w:t>
      </w:r>
      <w:r>
        <w:rPr>
          <w:spacing w:val="-2"/>
        </w:rPr>
        <w:t>среди</w:t>
      </w:r>
      <w:r>
        <w:rPr>
          <w:spacing w:val="-10"/>
        </w:rPr>
        <w:t> </w:t>
      </w:r>
      <w:r>
        <w:rPr>
          <w:spacing w:val="-2"/>
        </w:rPr>
        <w:t>подростков. </w:t>
      </w:r>
      <w:r>
        <w:rPr/>
        <w:t>Для психолого-педагогического состава школы может быть полезно принять не- посредственное</w:t>
      </w:r>
      <w:r>
        <w:rPr>
          <w:spacing w:val="4"/>
        </w:rPr>
        <w:t> </w:t>
      </w:r>
      <w:r>
        <w:rPr/>
        <w:t>участие</w:t>
      </w:r>
      <w:r>
        <w:rPr>
          <w:spacing w:val="6"/>
        </w:rPr>
        <w:t> </w:t>
      </w:r>
      <w:r>
        <w:rPr/>
        <w:t>в</w:t>
      </w:r>
      <w:r>
        <w:rPr>
          <w:spacing w:val="7"/>
        </w:rPr>
        <w:t> </w:t>
      </w:r>
      <w:r>
        <w:rPr/>
        <w:t>«Живой</w:t>
      </w:r>
      <w:r>
        <w:rPr>
          <w:spacing w:val="6"/>
        </w:rPr>
        <w:t> </w:t>
      </w:r>
      <w:r>
        <w:rPr/>
        <w:t>библиотеке»,</w:t>
      </w:r>
      <w:r>
        <w:rPr>
          <w:spacing w:val="6"/>
        </w:rPr>
        <w:t> </w:t>
      </w:r>
      <w:r>
        <w:rPr/>
        <w:t>подчеркивая</w:t>
      </w:r>
      <w:r>
        <w:rPr>
          <w:spacing w:val="7"/>
        </w:rPr>
        <w:t> </w:t>
      </w:r>
      <w:r>
        <w:rPr/>
        <w:t>этим</w:t>
      </w:r>
      <w:r>
        <w:rPr>
          <w:spacing w:val="6"/>
        </w:rPr>
        <w:t> </w:t>
      </w:r>
      <w:r>
        <w:rPr/>
        <w:t>единство</w:t>
      </w:r>
      <w:r>
        <w:rPr>
          <w:spacing w:val="7"/>
        </w:rPr>
        <w:t> </w:t>
      </w:r>
      <w:r>
        <w:rPr>
          <w:spacing w:val="-2"/>
        </w:rPr>
        <w:t>школь-</w:t>
      </w:r>
    </w:p>
    <w:p>
      <w:pPr>
        <w:pStyle w:val="BodyText"/>
        <w:spacing w:line="213" w:lineRule="exact"/>
        <w:ind w:right="0" w:firstLine="0"/>
      </w:pPr>
      <w:r>
        <w:rPr/>
        <w:t>ного</w:t>
      </w:r>
      <w:r>
        <w:rPr>
          <w:spacing w:val="-8"/>
        </w:rPr>
        <w:t> </w:t>
      </w:r>
      <w:r>
        <w:rPr/>
        <w:t>коллектива</w:t>
      </w:r>
      <w:r>
        <w:rPr>
          <w:spacing w:val="-7"/>
        </w:rPr>
        <w:t> </w:t>
      </w:r>
      <w:r>
        <w:rPr/>
        <w:t>в</w:t>
      </w:r>
      <w:r>
        <w:rPr>
          <w:spacing w:val="-9"/>
        </w:rPr>
        <w:t> </w:t>
      </w:r>
      <w:r>
        <w:rPr/>
        <w:t>создании</w:t>
      </w:r>
      <w:r>
        <w:rPr>
          <w:spacing w:val="-8"/>
        </w:rPr>
        <w:t> </w:t>
      </w:r>
      <w:r>
        <w:rPr/>
        <w:t>атмосферы</w:t>
      </w:r>
      <w:r>
        <w:rPr>
          <w:spacing w:val="-7"/>
        </w:rPr>
        <w:t> </w:t>
      </w:r>
      <w:r>
        <w:rPr>
          <w:spacing w:val="-2"/>
        </w:rPr>
        <w:t>диалога.</w:t>
      </w:r>
    </w:p>
    <w:p>
      <w:pPr>
        <w:pStyle w:val="BodyText"/>
        <w:spacing w:line="232" w:lineRule="auto"/>
      </w:pPr>
      <w:r>
        <w:rPr>
          <w:color w:val="231F20"/>
        </w:rPr>
        <w:t>Для</w:t>
      </w:r>
      <w:r>
        <w:rPr>
          <w:color w:val="231F20"/>
          <w:spacing w:val="-8"/>
        </w:rPr>
        <w:t> </w:t>
      </w:r>
      <w:r>
        <w:rPr>
          <w:color w:val="231F20"/>
        </w:rPr>
        <w:t>благоприятного</w:t>
      </w:r>
      <w:r>
        <w:rPr>
          <w:color w:val="231F20"/>
          <w:spacing w:val="-8"/>
        </w:rPr>
        <w:t> </w:t>
      </w:r>
      <w:r>
        <w:rPr>
          <w:color w:val="231F20"/>
        </w:rPr>
        <w:t>воздействия</w:t>
      </w:r>
      <w:r>
        <w:rPr>
          <w:color w:val="231F20"/>
          <w:spacing w:val="-8"/>
        </w:rPr>
        <w:t> </w:t>
      </w:r>
      <w:r>
        <w:rPr>
          <w:color w:val="231F20"/>
        </w:rPr>
        <w:t>и</w:t>
      </w:r>
      <w:r>
        <w:rPr>
          <w:color w:val="231F20"/>
          <w:spacing w:val="-8"/>
        </w:rPr>
        <w:t> </w:t>
      </w:r>
      <w:r>
        <w:rPr>
          <w:color w:val="231F20"/>
        </w:rPr>
        <w:t>достижения</w:t>
      </w:r>
      <w:r>
        <w:rPr>
          <w:color w:val="231F20"/>
          <w:spacing w:val="-8"/>
        </w:rPr>
        <w:t> </w:t>
      </w:r>
      <w:r>
        <w:rPr>
          <w:color w:val="231F20"/>
        </w:rPr>
        <w:t>результатов</w:t>
      </w:r>
      <w:r>
        <w:rPr>
          <w:color w:val="231F20"/>
          <w:spacing w:val="-8"/>
        </w:rPr>
        <w:t> </w:t>
      </w:r>
      <w:r>
        <w:rPr>
          <w:color w:val="231F20"/>
        </w:rPr>
        <w:t>«Живой</w:t>
      </w:r>
      <w:r>
        <w:rPr>
          <w:color w:val="231F20"/>
          <w:spacing w:val="-8"/>
        </w:rPr>
        <w:t> </w:t>
      </w:r>
      <w:r>
        <w:rPr>
          <w:color w:val="231F20"/>
        </w:rPr>
        <w:t>библиотеки» разработана</w:t>
      </w:r>
      <w:r>
        <w:rPr>
          <w:color w:val="231F20"/>
          <w:spacing w:val="-7"/>
        </w:rPr>
        <w:t> </w:t>
      </w:r>
      <w:r>
        <w:rPr>
          <w:color w:val="231F20"/>
        </w:rPr>
        <w:t>унифицированная</w:t>
      </w:r>
      <w:r>
        <w:rPr>
          <w:color w:val="231F20"/>
          <w:spacing w:val="-7"/>
        </w:rPr>
        <w:t> </w:t>
      </w:r>
      <w:r>
        <w:rPr>
          <w:color w:val="231F20"/>
        </w:rPr>
        <w:t>методология</w:t>
      </w:r>
      <w:r>
        <w:rPr>
          <w:color w:val="231F20"/>
          <w:spacing w:val="-7"/>
        </w:rPr>
        <w:t> </w:t>
      </w:r>
      <w:r>
        <w:rPr>
          <w:color w:val="231F20"/>
        </w:rPr>
        <w:t>ее</w:t>
      </w:r>
      <w:r>
        <w:rPr>
          <w:color w:val="231F20"/>
          <w:spacing w:val="-7"/>
        </w:rPr>
        <w:t> </w:t>
      </w:r>
      <w:r>
        <w:rPr>
          <w:color w:val="231F20"/>
        </w:rPr>
        <w:t>проведения,</w:t>
      </w:r>
      <w:r>
        <w:rPr>
          <w:color w:val="231F20"/>
          <w:spacing w:val="-7"/>
        </w:rPr>
        <w:t> </w:t>
      </w:r>
      <w:r>
        <w:rPr>
          <w:color w:val="231F20"/>
        </w:rPr>
        <w:t>о</w:t>
      </w:r>
      <w:r>
        <w:rPr>
          <w:color w:val="231F20"/>
          <w:spacing w:val="-7"/>
        </w:rPr>
        <w:t> </w:t>
      </w:r>
      <w:r>
        <w:rPr>
          <w:color w:val="231F20"/>
        </w:rPr>
        <w:t>чем</w:t>
      </w:r>
      <w:r>
        <w:rPr>
          <w:color w:val="231F20"/>
          <w:spacing w:val="-7"/>
        </w:rPr>
        <w:t> </w:t>
      </w:r>
      <w:r>
        <w:rPr>
          <w:color w:val="231F20"/>
        </w:rPr>
        <w:t>более</w:t>
      </w:r>
      <w:r>
        <w:rPr>
          <w:color w:val="231F20"/>
          <w:spacing w:val="-7"/>
        </w:rPr>
        <w:t> </w:t>
      </w:r>
      <w:r>
        <w:rPr>
          <w:color w:val="231F20"/>
        </w:rPr>
        <w:t>подробно</w:t>
      </w:r>
      <w:r>
        <w:rPr>
          <w:color w:val="231F20"/>
          <w:spacing w:val="-7"/>
        </w:rPr>
        <w:t> </w:t>
      </w:r>
      <w:r>
        <w:rPr>
          <w:color w:val="231F20"/>
        </w:rPr>
        <w:t>го- ворится в Инструментарии</w:t>
      </w:r>
      <w:r>
        <w:rPr>
          <w:color w:val="231F20"/>
          <w:vertAlign w:val="superscript"/>
        </w:rPr>
        <w:t>1</w:t>
      </w:r>
      <w:r>
        <w:rPr>
          <w:color w:val="231F20"/>
          <w:vertAlign w:val="baseline"/>
        </w:rPr>
        <w:t>.</w:t>
      </w:r>
    </w:p>
    <w:p>
      <w:pPr>
        <w:pStyle w:val="BodyText"/>
        <w:spacing w:before="1"/>
        <w:ind w:left="0" w:right="0" w:firstLine="0"/>
        <w:jc w:val="left"/>
        <w:rPr>
          <w:sz w:val="13"/>
        </w:rPr>
      </w:pPr>
      <w:r>
        <w:rPr>
          <w:sz w:val="13"/>
        </w:rPr>
        <mc:AlternateContent>
          <mc:Choice Requires="wps">
            <w:drawing>
              <wp:anchor distT="0" distB="0" distL="0" distR="0" allowOverlap="1" layoutInCell="1" locked="0" behindDoc="1" simplePos="0" relativeHeight="487630336">
                <wp:simplePos x="0" y="0"/>
                <wp:positionH relativeFrom="page">
                  <wp:posOffset>360000</wp:posOffset>
                </wp:positionH>
                <wp:positionV relativeFrom="paragraph">
                  <wp:posOffset>110877</wp:posOffset>
                </wp:positionV>
                <wp:extent cx="1440180" cy="1270"/>
                <wp:effectExtent l="0" t="0" r="0" b="0"/>
                <wp:wrapTopAndBottom/>
                <wp:docPr id="130" name="Graphic 130"/>
                <wp:cNvGraphicFramePr>
                  <a:graphicFrameLocks/>
                </wp:cNvGraphicFramePr>
                <a:graphic>
                  <a:graphicData uri="http://schemas.microsoft.com/office/word/2010/wordprocessingShape">
                    <wps:wsp>
                      <wps:cNvPr id="130" name="Graphic 130"/>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5pt;margin-top:8.730504pt;width:113.4pt;height:.1pt;mso-position-horizontal-relative:page;mso-position-vertical-relative:paragraph;z-index:-15686144;mso-wrap-distance-left:0;mso-wrap-distance-right:0" id="docshape85" coordorigin="567,175" coordsize="2268,0" path="m567,175l2835,175e" filled="false" stroked="true" strokeweight=".5pt" strokecolor="#231f20">
                <v:path arrowok="t"/>
                <v:stroke dashstyle="solid"/>
                <w10:wrap type="topAndBottom"/>
              </v:shape>
            </w:pict>
          </mc:Fallback>
        </mc:AlternateContent>
      </w:r>
    </w:p>
    <w:p>
      <w:pPr>
        <w:tabs>
          <w:tab w:pos="425" w:val="left" w:leader="none"/>
        </w:tabs>
        <w:spacing w:line="232" w:lineRule="auto" w:before="32"/>
        <w:ind w:left="141" w:right="139" w:firstLine="0"/>
        <w:jc w:val="left"/>
        <w:rPr>
          <w:sz w:val="18"/>
        </w:rPr>
      </w:pPr>
      <w:r>
        <w:rPr>
          <w:color w:val="231F20"/>
          <w:spacing w:val="-10"/>
          <w:sz w:val="18"/>
          <w:vertAlign w:val="superscript"/>
        </w:rPr>
        <w:t>1</w:t>
      </w:r>
      <w:r>
        <w:rPr>
          <w:color w:val="231F20"/>
          <w:sz w:val="18"/>
          <w:vertAlign w:val="baseline"/>
        </w:rPr>
        <w:tab/>
        <w:t>См.</w:t>
      </w:r>
      <w:r>
        <w:rPr>
          <w:color w:val="231F20"/>
          <w:spacing w:val="-12"/>
          <w:sz w:val="18"/>
          <w:vertAlign w:val="baseline"/>
        </w:rPr>
        <w:t> </w:t>
      </w:r>
      <w:r>
        <w:rPr>
          <w:color w:val="231F20"/>
          <w:sz w:val="18"/>
          <w:vertAlign w:val="baseline"/>
        </w:rPr>
        <w:t>Пакет</w:t>
      </w:r>
      <w:r>
        <w:rPr>
          <w:color w:val="231F20"/>
          <w:spacing w:val="-11"/>
          <w:sz w:val="18"/>
          <w:vertAlign w:val="baseline"/>
        </w:rPr>
        <w:t> </w:t>
      </w:r>
      <w:r>
        <w:rPr>
          <w:color w:val="231F20"/>
          <w:sz w:val="18"/>
          <w:vertAlign w:val="baseline"/>
        </w:rPr>
        <w:t>инструментария</w:t>
      </w:r>
      <w:r>
        <w:rPr>
          <w:color w:val="231F20"/>
          <w:spacing w:val="-11"/>
          <w:sz w:val="18"/>
          <w:vertAlign w:val="baseline"/>
        </w:rPr>
        <w:t> </w:t>
      </w:r>
      <w:r>
        <w:rPr>
          <w:color w:val="231F20"/>
          <w:sz w:val="18"/>
          <w:vertAlign w:val="baseline"/>
        </w:rPr>
        <w:t>программы</w:t>
      </w:r>
      <w:r>
        <w:rPr>
          <w:color w:val="231F20"/>
          <w:spacing w:val="-11"/>
          <w:sz w:val="18"/>
          <w:vertAlign w:val="baseline"/>
        </w:rPr>
        <w:t> </w:t>
      </w:r>
      <w:r>
        <w:rPr>
          <w:color w:val="231F20"/>
          <w:sz w:val="18"/>
          <w:vertAlign w:val="baseline"/>
        </w:rPr>
        <w:t>психолого-педагогического</w:t>
      </w:r>
      <w:r>
        <w:rPr>
          <w:color w:val="231F20"/>
          <w:spacing w:val="-12"/>
          <w:sz w:val="18"/>
          <w:vertAlign w:val="baseline"/>
        </w:rPr>
        <w:t> </w:t>
      </w:r>
      <w:r>
        <w:rPr>
          <w:color w:val="231F20"/>
          <w:sz w:val="18"/>
          <w:vertAlign w:val="baseline"/>
        </w:rPr>
        <w:t>сопровождения</w:t>
      </w:r>
      <w:r>
        <w:rPr>
          <w:color w:val="231F20"/>
          <w:spacing w:val="-11"/>
          <w:sz w:val="18"/>
          <w:vertAlign w:val="baseline"/>
        </w:rPr>
        <w:t> </w:t>
      </w:r>
      <w:r>
        <w:rPr>
          <w:color w:val="231F20"/>
          <w:sz w:val="18"/>
          <w:vertAlign w:val="baseline"/>
        </w:rPr>
        <w:t>процес- сов обучения, социальной, языковой и культурной адаптации детей иностранных граждан.</w:t>
      </w:r>
    </w:p>
    <w:p>
      <w:pPr>
        <w:spacing w:after="0" w:line="232" w:lineRule="auto"/>
        <w:jc w:val="left"/>
        <w:rPr>
          <w:sz w:val="18"/>
        </w:rPr>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0" w:lineRule="auto" w:before="119"/>
      </w:pPr>
      <w:r>
        <w:rPr>
          <w:color w:val="231F20"/>
        </w:rPr>
        <w:t>Организация «Живой библиотеки» как социальной практики в школах является энергоемкой процедурой с большим количеством нюансов. Далее представлены ме- тодические рекомендации по проведению практики в школе.</w:t>
      </w:r>
    </w:p>
    <w:p>
      <w:pPr>
        <w:spacing w:line="225" w:lineRule="exact" w:before="104"/>
        <w:ind w:left="141" w:right="0" w:firstLine="0"/>
        <w:jc w:val="both"/>
        <w:rPr>
          <w:b/>
          <w:i/>
          <w:sz w:val="20"/>
        </w:rPr>
      </w:pPr>
      <w:r>
        <w:rPr>
          <w:b/>
          <w:i/>
          <w:sz w:val="20"/>
        </w:rPr>
        <w:t>А.</w:t>
      </w:r>
      <w:r>
        <w:rPr>
          <w:b/>
          <w:i/>
          <w:spacing w:val="41"/>
          <w:sz w:val="20"/>
        </w:rPr>
        <w:t> </w:t>
      </w:r>
      <w:r>
        <w:rPr>
          <w:b/>
          <w:i/>
          <w:sz w:val="20"/>
        </w:rPr>
        <w:t>Школа</w:t>
      </w:r>
      <w:r>
        <w:rPr>
          <w:b/>
          <w:i/>
          <w:spacing w:val="-5"/>
          <w:sz w:val="20"/>
        </w:rPr>
        <w:t> </w:t>
      </w:r>
      <w:r>
        <w:rPr>
          <w:b/>
          <w:i/>
          <w:sz w:val="20"/>
        </w:rPr>
        <w:t>как</w:t>
      </w:r>
      <w:r>
        <w:rPr>
          <w:b/>
          <w:i/>
          <w:spacing w:val="-4"/>
          <w:sz w:val="20"/>
        </w:rPr>
        <w:t> </w:t>
      </w:r>
      <w:r>
        <w:rPr>
          <w:b/>
          <w:i/>
          <w:spacing w:val="-2"/>
          <w:sz w:val="20"/>
        </w:rPr>
        <w:t>площадка</w:t>
      </w:r>
    </w:p>
    <w:p>
      <w:pPr>
        <w:pStyle w:val="BodyText"/>
        <w:spacing w:line="220" w:lineRule="exact"/>
        <w:ind w:left="425" w:right="0" w:firstLine="0"/>
        <w:jc w:val="left"/>
      </w:pPr>
      <w:r>
        <w:rPr>
          <w:spacing w:val="-2"/>
        </w:rPr>
        <w:t>Необходимо:</w:t>
      </w:r>
    </w:p>
    <w:p>
      <w:pPr>
        <w:pStyle w:val="ListParagraph"/>
        <w:numPr>
          <w:ilvl w:val="0"/>
          <w:numId w:val="150"/>
        </w:numPr>
        <w:tabs>
          <w:tab w:pos="706" w:val="left" w:leader="none"/>
          <w:tab w:pos="708" w:val="left" w:leader="none"/>
        </w:tabs>
        <w:spacing w:line="230" w:lineRule="auto" w:before="3" w:after="0"/>
        <w:ind w:left="708" w:right="140" w:hanging="284"/>
        <w:jc w:val="both"/>
        <w:rPr>
          <w:sz w:val="20"/>
        </w:rPr>
      </w:pPr>
      <w:r>
        <w:rPr>
          <w:sz w:val="20"/>
        </w:rPr>
        <w:t>согласовать</w:t>
      </w:r>
      <w:r>
        <w:rPr>
          <w:spacing w:val="-6"/>
          <w:sz w:val="20"/>
        </w:rPr>
        <w:t> </w:t>
      </w:r>
      <w:r>
        <w:rPr>
          <w:sz w:val="20"/>
        </w:rPr>
        <w:t>проведение</w:t>
      </w:r>
      <w:r>
        <w:rPr>
          <w:spacing w:val="-6"/>
          <w:sz w:val="20"/>
        </w:rPr>
        <w:t> </w:t>
      </w:r>
      <w:r>
        <w:rPr>
          <w:sz w:val="20"/>
        </w:rPr>
        <w:t>социальной</w:t>
      </w:r>
      <w:r>
        <w:rPr>
          <w:spacing w:val="-6"/>
          <w:sz w:val="20"/>
        </w:rPr>
        <w:t> </w:t>
      </w:r>
      <w:r>
        <w:rPr>
          <w:sz w:val="20"/>
        </w:rPr>
        <w:t>практики</w:t>
      </w:r>
      <w:r>
        <w:rPr>
          <w:spacing w:val="-6"/>
          <w:sz w:val="20"/>
        </w:rPr>
        <w:t> </w:t>
      </w:r>
      <w:r>
        <w:rPr>
          <w:sz w:val="20"/>
        </w:rPr>
        <w:t>с</w:t>
      </w:r>
      <w:r>
        <w:rPr>
          <w:spacing w:val="-6"/>
          <w:sz w:val="20"/>
        </w:rPr>
        <w:t> </w:t>
      </w:r>
      <w:r>
        <w:rPr>
          <w:sz w:val="20"/>
        </w:rPr>
        <w:t>руководством</w:t>
      </w:r>
      <w:r>
        <w:rPr>
          <w:spacing w:val="-6"/>
          <w:sz w:val="20"/>
        </w:rPr>
        <w:t> </w:t>
      </w:r>
      <w:r>
        <w:rPr>
          <w:sz w:val="20"/>
        </w:rPr>
        <w:t>школы</w:t>
      </w:r>
      <w:r>
        <w:rPr>
          <w:spacing w:val="-6"/>
          <w:sz w:val="20"/>
        </w:rPr>
        <w:t> </w:t>
      </w:r>
      <w:r>
        <w:rPr>
          <w:sz w:val="20"/>
        </w:rPr>
        <w:t>и</w:t>
      </w:r>
      <w:r>
        <w:rPr>
          <w:spacing w:val="-6"/>
          <w:sz w:val="20"/>
        </w:rPr>
        <w:t> </w:t>
      </w:r>
      <w:r>
        <w:rPr>
          <w:sz w:val="20"/>
        </w:rPr>
        <w:t>форму письма,</w:t>
      </w:r>
      <w:r>
        <w:rPr>
          <w:spacing w:val="-13"/>
          <w:sz w:val="20"/>
        </w:rPr>
        <w:t> </w:t>
      </w:r>
      <w:r>
        <w:rPr>
          <w:sz w:val="20"/>
        </w:rPr>
        <w:t>которое</w:t>
      </w:r>
      <w:r>
        <w:rPr>
          <w:spacing w:val="-12"/>
          <w:sz w:val="20"/>
        </w:rPr>
        <w:t> </w:t>
      </w:r>
      <w:r>
        <w:rPr>
          <w:sz w:val="20"/>
        </w:rPr>
        <w:t>понадобится</w:t>
      </w:r>
      <w:r>
        <w:rPr>
          <w:spacing w:val="-13"/>
          <w:sz w:val="20"/>
        </w:rPr>
        <w:t> </w:t>
      </w:r>
      <w:r>
        <w:rPr>
          <w:sz w:val="20"/>
        </w:rPr>
        <w:t>в</w:t>
      </w:r>
      <w:r>
        <w:rPr>
          <w:spacing w:val="-12"/>
          <w:sz w:val="20"/>
        </w:rPr>
        <w:t> </w:t>
      </w:r>
      <w:r>
        <w:rPr>
          <w:sz w:val="20"/>
        </w:rPr>
        <w:t>случае</w:t>
      </w:r>
      <w:r>
        <w:rPr>
          <w:spacing w:val="-13"/>
          <w:sz w:val="20"/>
        </w:rPr>
        <w:t> </w:t>
      </w:r>
      <w:r>
        <w:rPr>
          <w:sz w:val="20"/>
        </w:rPr>
        <w:t>возникновения</w:t>
      </w:r>
      <w:r>
        <w:rPr>
          <w:spacing w:val="-12"/>
          <w:sz w:val="20"/>
        </w:rPr>
        <w:t> </w:t>
      </w:r>
      <w:r>
        <w:rPr>
          <w:sz w:val="20"/>
        </w:rPr>
        <w:t>конфликтов</w:t>
      </w:r>
      <w:r>
        <w:rPr>
          <w:spacing w:val="-13"/>
          <w:sz w:val="20"/>
        </w:rPr>
        <w:t> </w:t>
      </w:r>
      <w:r>
        <w:rPr>
          <w:sz w:val="20"/>
        </w:rPr>
        <w:t>с</w:t>
      </w:r>
      <w:r>
        <w:rPr>
          <w:spacing w:val="-12"/>
          <w:sz w:val="20"/>
        </w:rPr>
        <w:t> </w:t>
      </w:r>
      <w:r>
        <w:rPr>
          <w:sz w:val="20"/>
        </w:rPr>
        <w:t>учителями и родителями;</w:t>
      </w:r>
    </w:p>
    <w:p>
      <w:pPr>
        <w:pStyle w:val="ListParagraph"/>
        <w:numPr>
          <w:ilvl w:val="0"/>
          <w:numId w:val="150"/>
        </w:numPr>
        <w:tabs>
          <w:tab w:pos="706" w:val="left" w:leader="none"/>
          <w:tab w:pos="708" w:val="left" w:leader="none"/>
        </w:tabs>
        <w:spacing w:line="230" w:lineRule="auto" w:before="0" w:after="0"/>
        <w:ind w:left="708" w:right="139" w:hanging="284"/>
        <w:jc w:val="both"/>
        <w:rPr>
          <w:sz w:val="20"/>
        </w:rPr>
      </w:pPr>
      <w:r>
        <w:rPr>
          <w:sz w:val="20"/>
        </w:rPr>
        <w:t>поставить</w:t>
      </w:r>
      <w:r>
        <w:rPr>
          <w:spacing w:val="-1"/>
          <w:sz w:val="20"/>
        </w:rPr>
        <w:t> </w:t>
      </w:r>
      <w:r>
        <w:rPr>
          <w:sz w:val="20"/>
        </w:rPr>
        <w:t>в</w:t>
      </w:r>
      <w:r>
        <w:rPr>
          <w:spacing w:val="-1"/>
          <w:sz w:val="20"/>
        </w:rPr>
        <w:t> </w:t>
      </w:r>
      <w:r>
        <w:rPr>
          <w:sz w:val="20"/>
        </w:rPr>
        <w:t>известность</w:t>
      </w:r>
      <w:r>
        <w:rPr>
          <w:spacing w:val="-1"/>
          <w:sz w:val="20"/>
        </w:rPr>
        <w:t> </w:t>
      </w:r>
      <w:r>
        <w:rPr>
          <w:sz w:val="20"/>
        </w:rPr>
        <w:t>родителей</w:t>
      </w:r>
      <w:r>
        <w:rPr>
          <w:spacing w:val="-1"/>
          <w:sz w:val="20"/>
        </w:rPr>
        <w:t> </w:t>
      </w:r>
      <w:r>
        <w:rPr>
          <w:sz w:val="20"/>
        </w:rPr>
        <w:t>и</w:t>
      </w:r>
      <w:r>
        <w:rPr>
          <w:spacing w:val="-1"/>
          <w:sz w:val="20"/>
        </w:rPr>
        <w:t> </w:t>
      </w:r>
      <w:r>
        <w:rPr>
          <w:sz w:val="20"/>
        </w:rPr>
        <w:t>взять</w:t>
      </w:r>
      <w:r>
        <w:rPr>
          <w:spacing w:val="-1"/>
          <w:sz w:val="20"/>
        </w:rPr>
        <w:t> </w:t>
      </w:r>
      <w:r>
        <w:rPr>
          <w:sz w:val="20"/>
        </w:rPr>
        <w:t>у</w:t>
      </w:r>
      <w:r>
        <w:rPr>
          <w:spacing w:val="-1"/>
          <w:sz w:val="20"/>
        </w:rPr>
        <w:t> </w:t>
      </w:r>
      <w:r>
        <w:rPr>
          <w:sz w:val="20"/>
        </w:rPr>
        <w:t>них</w:t>
      </w:r>
      <w:r>
        <w:rPr>
          <w:spacing w:val="-1"/>
          <w:sz w:val="20"/>
        </w:rPr>
        <w:t> </w:t>
      </w:r>
      <w:r>
        <w:rPr>
          <w:sz w:val="20"/>
        </w:rPr>
        <w:t>письменное</w:t>
      </w:r>
      <w:r>
        <w:rPr>
          <w:spacing w:val="-1"/>
          <w:sz w:val="20"/>
        </w:rPr>
        <w:t> </w:t>
      </w:r>
      <w:r>
        <w:rPr>
          <w:sz w:val="20"/>
        </w:rPr>
        <w:t>согласие</w:t>
      </w:r>
      <w:r>
        <w:rPr>
          <w:spacing w:val="-1"/>
          <w:sz w:val="20"/>
        </w:rPr>
        <w:t> </w:t>
      </w:r>
      <w:r>
        <w:rPr>
          <w:sz w:val="20"/>
        </w:rPr>
        <w:t>на</w:t>
      </w:r>
      <w:r>
        <w:rPr>
          <w:spacing w:val="-1"/>
          <w:sz w:val="20"/>
        </w:rPr>
        <w:t> </w:t>
      </w:r>
      <w:r>
        <w:rPr>
          <w:sz w:val="20"/>
        </w:rPr>
        <w:t>уча- стие обучающихся в социальной практике;</w:t>
      </w:r>
    </w:p>
    <w:p>
      <w:pPr>
        <w:pStyle w:val="ListParagraph"/>
        <w:numPr>
          <w:ilvl w:val="0"/>
          <w:numId w:val="150"/>
        </w:numPr>
        <w:tabs>
          <w:tab w:pos="706" w:val="left" w:leader="none"/>
          <w:tab w:pos="708" w:val="left" w:leader="none"/>
        </w:tabs>
        <w:spacing w:line="230" w:lineRule="auto" w:before="0" w:after="0"/>
        <w:ind w:left="708" w:right="139" w:hanging="284"/>
        <w:jc w:val="both"/>
        <w:rPr>
          <w:sz w:val="20"/>
        </w:rPr>
      </w:pPr>
      <w:r>
        <w:rPr>
          <w:sz w:val="20"/>
        </w:rPr>
        <w:t>организовывать «Живую библиотеку» в рамках комплексных тематических </w:t>
      </w:r>
      <w:r>
        <w:rPr>
          <w:spacing w:val="-2"/>
          <w:sz w:val="20"/>
        </w:rPr>
        <w:t>мероприятий.</w:t>
      </w:r>
    </w:p>
    <w:p>
      <w:pPr>
        <w:spacing w:line="225" w:lineRule="exact" w:before="100"/>
        <w:ind w:left="141" w:right="0" w:firstLine="0"/>
        <w:jc w:val="both"/>
        <w:rPr>
          <w:b/>
          <w:i/>
          <w:sz w:val="20"/>
        </w:rPr>
      </w:pPr>
      <w:r>
        <w:rPr>
          <w:b/>
          <w:i/>
          <w:sz w:val="20"/>
        </w:rPr>
        <w:t>Б.</w:t>
      </w:r>
      <w:r>
        <w:rPr>
          <w:b/>
          <w:i/>
          <w:spacing w:val="56"/>
          <w:sz w:val="20"/>
        </w:rPr>
        <w:t> </w:t>
      </w:r>
      <w:r>
        <w:rPr>
          <w:b/>
          <w:i/>
          <w:spacing w:val="-2"/>
          <w:sz w:val="20"/>
        </w:rPr>
        <w:t>«Книги»</w:t>
      </w:r>
    </w:p>
    <w:p>
      <w:pPr>
        <w:pStyle w:val="BodyText"/>
        <w:spacing w:line="220" w:lineRule="exact"/>
        <w:ind w:left="425" w:right="0" w:firstLine="0"/>
        <w:jc w:val="left"/>
      </w:pPr>
      <w:r>
        <w:rPr>
          <w:spacing w:val="-2"/>
        </w:rPr>
        <w:t>Необходимо:</w:t>
      </w:r>
    </w:p>
    <w:p>
      <w:pPr>
        <w:pStyle w:val="ListParagraph"/>
        <w:numPr>
          <w:ilvl w:val="0"/>
          <w:numId w:val="150"/>
        </w:numPr>
        <w:tabs>
          <w:tab w:pos="706" w:val="left" w:leader="none"/>
          <w:tab w:pos="708" w:val="left" w:leader="none"/>
        </w:tabs>
        <w:spacing w:line="230" w:lineRule="auto" w:before="2" w:after="0"/>
        <w:ind w:left="708" w:right="139" w:hanging="284"/>
        <w:jc w:val="both"/>
        <w:rPr>
          <w:sz w:val="20"/>
        </w:rPr>
      </w:pPr>
      <w:r>
        <w:rPr>
          <w:spacing w:val="-2"/>
          <w:sz w:val="20"/>
        </w:rPr>
        <w:t>предварительно переговорить с «книгами»: рассказать о проекте, его целях, по- </w:t>
      </w:r>
      <w:r>
        <w:rPr>
          <w:sz w:val="20"/>
        </w:rPr>
        <w:t>ставить</w:t>
      </w:r>
      <w:r>
        <w:rPr>
          <w:spacing w:val="-9"/>
          <w:sz w:val="20"/>
        </w:rPr>
        <w:t> </w:t>
      </w:r>
      <w:r>
        <w:rPr>
          <w:sz w:val="20"/>
        </w:rPr>
        <w:t>задачу</w:t>
      </w:r>
      <w:r>
        <w:rPr>
          <w:spacing w:val="-8"/>
          <w:sz w:val="20"/>
        </w:rPr>
        <w:t> </w:t>
      </w:r>
      <w:r>
        <w:rPr>
          <w:sz w:val="20"/>
        </w:rPr>
        <w:t>рассказать</w:t>
      </w:r>
      <w:r>
        <w:rPr>
          <w:spacing w:val="-9"/>
          <w:sz w:val="20"/>
        </w:rPr>
        <w:t> </w:t>
      </w:r>
      <w:r>
        <w:rPr>
          <w:sz w:val="20"/>
        </w:rPr>
        <w:t>свою</w:t>
      </w:r>
      <w:r>
        <w:rPr>
          <w:spacing w:val="-9"/>
          <w:sz w:val="20"/>
        </w:rPr>
        <w:t> </w:t>
      </w:r>
      <w:r>
        <w:rPr>
          <w:sz w:val="20"/>
        </w:rPr>
        <w:t>историю</w:t>
      </w:r>
      <w:r>
        <w:rPr>
          <w:spacing w:val="-9"/>
          <w:sz w:val="20"/>
        </w:rPr>
        <w:t> </w:t>
      </w:r>
      <w:r>
        <w:rPr>
          <w:sz w:val="20"/>
        </w:rPr>
        <w:t>за</w:t>
      </w:r>
      <w:r>
        <w:rPr>
          <w:spacing w:val="-8"/>
          <w:sz w:val="20"/>
        </w:rPr>
        <w:t> </w:t>
      </w:r>
      <w:r>
        <w:rPr>
          <w:sz w:val="20"/>
        </w:rPr>
        <w:t>5–10</w:t>
      </w:r>
      <w:r>
        <w:rPr>
          <w:spacing w:val="-8"/>
          <w:sz w:val="20"/>
        </w:rPr>
        <w:t> </w:t>
      </w:r>
      <w:r>
        <w:rPr>
          <w:sz w:val="20"/>
        </w:rPr>
        <w:t>минут</w:t>
      </w:r>
      <w:r>
        <w:rPr>
          <w:spacing w:val="-8"/>
          <w:sz w:val="20"/>
        </w:rPr>
        <w:t> </w:t>
      </w:r>
      <w:r>
        <w:rPr>
          <w:sz w:val="20"/>
        </w:rPr>
        <w:t>и</w:t>
      </w:r>
      <w:r>
        <w:rPr>
          <w:spacing w:val="-9"/>
          <w:sz w:val="20"/>
        </w:rPr>
        <w:t> </w:t>
      </w:r>
      <w:r>
        <w:rPr>
          <w:sz w:val="20"/>
        </w:rPr>
        <w:t>ответить</w:t>
      </w:r>
      <w:r>
        <w:rPr>
          <w:spacing w:val="-9"/>
          <w:sz w:val="20"/>
        </w:rPr>
        <w:t> </w:t>
      </w:r>
      <w:r>
        <w:rPr>
          <w:sz w:val="20"/>
        </w:rPr>
        <w:t>на</w:t>
      </w:r>
      <w:r>
        <w:rPr>
          <w:spacing w:val="-8"/>
          <w:sz w:val="20"/>
        </w:rPr>
        <w:t> </w:t>
      </w:r>
      <w:r>
        <w:rPr>
          <w:sz w:val="20"/>
        </w:rPr>
        <w:t>вопросы;</w:t>
      </w:r>
    </w:p>
    <w:p>
      <w:pPr>
        <w:pStyle w:val="ListParagraph"/>
        <w:numPr>
          <w:ilvl w:val="0"/>
          <w:numId w:val="150"/>
        </w:numPr>
        <w:tabs>
          <w:tab w:pos="706" w:val="left" w:leader="none"/>
          <w:tab w:pos="708" w:val="left" w:leader="none"/>
        </w:tabs>
        <w:spacing w:line="230" w:lineRule="auto" w:before="0" w:after="0"/>
        <w:ind w:left="708" w:right="139" w:hanging="284"/>
        <w:jc w:val="both"/>
        <w:rPr>
          <w:sz w:val="20"/>
        </w:rPr>
      </w:pPr>
      <w:r>
        <w:rPr>
          <w:sz w:val="20"/>
        </w:rPr>
        <w:t>выслушать истории «книг» и подчеркнуть, что для формата «Живой библио- теки» больше всего подходит рассказ о личной истории и опыте, интересных </w:t>
      </w:r>
      <w:r>
        <w:rPr>
          <w:spacing w:val="-2"/>
          <w:sz w:val="20"/>
        </w:rPr>
        <w:t>фактах;</w:t>
      </w:r>
    </w:p>
    <w:p>
      <w:pPr>
        <w:pStyle w:val="ListParagraph"/>
        <w:numPr>
          <w:ilvl w:val="0"/>
          <w:numId w:val="150"/>
        </w:numPr>
        <w:tabs>
          <w:tab w:pos="706" w:val="left" w:leader="none"/>
          <w:tab w:pos="708" w:val="left" w:leader="none"/>
        </w:tabs>
        <w:spacing w:line="230" w:lineRule="auto" w:before="0" w:after="0"/>
        <w:ind w:left="708" w:right="139" w:hanging="284"/>
        <w:jc w:val="both"/>
        <w:rPr>
          <w:sz w:val="20"/>
        </w:rPr>
      </w:pPr>
      <w:r>
        <w:rPr>
          <w:spacing w:val="-2"/>
          <w:sz w:val="20"/>
        </w:rPr>
        <w:t>рассказать «книгам» о необходимости соблюдать тайминг, сообщить о правиле </w:t>
      </w:r>
      <w:r>
        <w:rPr>
          <w:sz w:val="20"/>
        </w:rPr>
        <w:t>заботы</w:t>
      </w:r>
      <w:r>
        <w:rPr>
          <w:spacing w:val="-13"/>
          <w:sz w:val="20"/>
        </w:rPr>
        <w:t> </w:t>
      </w:r>
      <w:r>
        <w:rPr>
          <w:sz w:val="20"/>
        </w:rPr>
        <w:t>о</w:t>
      </w:r>
      <w:r>
        <w:rPr>
          <w:spacing w:val="-12"/>
          <w:sz w:val="20"/>
        </w:rPr>
        <w:t> </w:t>
      </w:r>
      <w:r>
        <w:rPr>
          <w:sz w:val="20"/>
        </w:rPr>
        <w:t>себе:</w:t>
      </w:r>
      <w:r>
        <w:rPr>
          <w:spacing w:val="-13"/>
          <w:sz w:val="20"/>
        </w:rPr>
        <w:t> </w:t>
      </w:r>
      <w:r>
        <w:rPr>
          <w:sz w:val="20"/>
        </w:rPr>
        <w:t>как</w:t>
      </w:r>
      <w:r>
        <w:rPr>
          <w:spacing w:val="-12"/>
          <w:sz w:val="20"/>
        </w:rPr>
        <w:t> </w:t>
      </w:r>
      <w:r>
        <w:rPr>
          <w:sz w:val="20"/>
        </w:rPr>
        <w:t>реагировать</w:t>
      </w:r>
      <w:r>
        <w:rPr>
          <w:spacing w:val="-13"/>
          <w:sz w:val="20"/>
        </w:rPr>
        <w:t> </w:t>
      </w:r>
      <w:r>
        <w:rPr>
          <w:sz w:val="20"/>
        </w:rPr>
        <w:t>на</w:t>
      </w:r>
      <w:r>
        <w:rPr>
          <w:spacing w:val="-12"/>
          <w:sz w:val="20"/>
        </w:rPr>
        <w:t> </w:t>
      </w:r>
      <w:r>
        <w:rPr>
          <w:sz w:val="20"/>
        </w:rPr>
        <w:t>неудобные</w:t>
      </w:r>
      <w:r>
        <w:rPr>
          <w:spacing w:val="-13"/>
          <w:sz w:val="20"/>
        </w:rPr>
        <w:t> </w:t>
      </w:r>
      <w:r>
        <w:rPr>
          <w:sz w:val="20"/>
        </w:rPr>
        <w:t>вопросы,</w:t>
      </w:r>
      <w:r>
        <w:rPr>
          <w:spacing w:val="-12"/>
          <w:sz w:val="20"/>
        </w:rPr>
        <w:t> </w:t>
      </w:r>
      <w:r>
        <w:rPr>
          <w:sz w:val="20"/>
        </w:rPr>
        <w:t>отвечать</w:t>
      </w:r>
      <w:r>
        <w:rPr>
          <w:spacing w:val="-13"/>
          <w:sz w:val="20"/>
        </w:rPr>
        <w:t> </w:t>
      </w:r>
      <w:r>
        <w:rPr>
          <w:sz w:val="20"/>
        </w:rPr>
        <w:t>на</w:t>
      </w:r>
      <w:r>
        <w:rPr>
          <w:spacing w:val="-12"/>
          <w:sz w:val="20"/>
        </w:rPr>
        <w:t> </w:t>
      </w:r>
      <w:r>
        <w:rPr>
          <w:sz w:val="20"/>
        </w:rPr>
        <w:t>одни</w:t>
      </w:r>
      <w:r>
        <w:rPr>
          <w:spacing w:val="-13"/>
          <w:sz w:val="20"/>
        </w:rPr>
        <w:t> </w:t>
      </w:r>
      <w:r>
        <w:rPr>
          <w:sz w:val="20"/>
        </w:rPr>
        <w:t>и</w:t>
      </w:r>
      <w:r>
        <w:rPr>
          <w:spacing w:val="-12"/>
          <w:sz w:val="20"/>
        </w:rPr>
        <w:t> </w:t>
      </w:r>
      <w:r>
        <w:rPr>
          <w:sz w:val="20"/>
        </w:rPr>
        <w:t>те</w:t>
      </w:r>
      <w:r>
        <w:rPr>
          <w:spacing w:val="-13"/>
          <w:sz w:val="20"/>
        </w:rPr>
        <w:t> </w:t>
      </w:r>
      <w:r>
        <w:rPr>
          <w:sz w:val="20"/>
        </w:rPr>
        <w:t>же вопросы по многу раз; кроме того, есть возможность сказать «стоп!» и завер- шить беседу, если что-то пойдет не так;</w:t>
      </w:r>
    </w:p>
    <w:p>
      <w:pPr>
        <w:pStyle w:val="ListParagraph"/>
        <w:numPr>
          <w:ilvl w:val="0"/>
          <w:numId w:val="150"/>
        </w:numPr>
        <w:tabs>
          <w:tab w:pos="706" w:val="left" w:leader="none"/>
          <w:tab w:pos="708" w:val="left" w:leader="none"/>
        </w:tabs>
        <w:spacing w:line="230" w:lineRule="auto" w:before="0" w:after="0"/>
        <w:ind w:left="708" w:right="140" w:hanging="284"/>
        <w:jc w:val="both"/>
        <w:rPr>
          <w:sz w:val="20"/>
        </w:rPr>
      </w:pPr>
      <w:r>
        <w:rPr>
          <w:sz w:val="20"/>
        </w:rPr>
        <w:t>сформировать</w:t>
      </w:r>
      <w:r>
        <w:rPr>
          <w:spacing w:val="-13"/>
          <w:sz w:val="20"/>
        </w:rPr>
        <w:t> </w:t>
      </w:r>
      <w:r>
        <w:rPr>
          <w:sz w:val="20"/>
        </w:rPr>
        <w:t>группы</w:t>
      </w:r>
      <w:r>
        <w:rPr>
          <w:spacing w:val="-12"/>
          <w:sz w:val="20"/>
        </w:rPr>
        <w:t> </w:t>
      </w:r>
      <w:r>
        <w:rPr>
          <w:sz w:val="20"/>
        </w:rPr>
        <w:t>«читател</w:t>
      </w:r>
      <w:r>
        <w:rPr>
          <w:color w:val="231F20"/>
          <w:sz w:val="20"/>
        </w:rPr>
        <w:t>ей</w:t>
      </w:r>
      <w:r>
        <w:rPr>
          <w:sz w:val="20"/>
        </w:rPr>
        <w:t>»,</w:t>
      </w:r>
      <w:r>
        <w:rPr>
          <w:spacing w:val="-13"/>
          <w:sz w:val="20"/>
        </w:rPr>
        <w:t> </w:t>
      </w:r>
      <w:r>
        <w:rPr>
          <w:sz w:val="20"/>
        </w:rPr>
        <w:t>жела</w:t>
      </w:r>
      <w:r>
        <w:rPr>
          <w:color w:val="231F20"/>
          <w:sz w:val="20"/>
        </w:rPr>
        <w:t>тельно</w:t>
      </w:r>
      <w:r>
        <w:rPr>
          <w:color w:val="231F20"/>
          <w:spacing w:val="-12"/>
          <w:sz w:val="20"/>
        </w:rPr>
        <w:t> </w:t>
      </w:r>
      <w:r>
        <w:rPr>
          <w:color w:val="231F20"/>
          <w:sz w:val="20"/>
        </w:rPr>
        <w:t>от</w:t>
      </w:r>
      <w:r>
        <w:rPr>
          <w:color w:val="231F20"/>
          <w:spacing w:val="-13"/>
          <w:sz w:val="20"/>
        </w:rPr>
        <w:t> </w:t>
      </w:r>
      <w:r>
        <w:rPr>
          <w:color w:val="231F20"/>
          <w:sz w:val="20"/>
        </w:rPr>
        <w:t>3</w:t>
      </w:r>
      <w:r>
        <w:rPr>
          <w:color w:val="231F20"/>
          <w:spacing w:val="-12"/>
          <w:sz w:val="20"/>
        </w:rPr>
        <w:t> </w:t>
      </w:r>
      <w:r>
        <w:rPr>
          <w:color w:val="231F20"/>
          <w:sz w:val="20"/>
        </w:rPr>
        <w:t>до</w:t>
      </w:r>
      <w:r>
        <w:rPr>
          <w:color w:val="231F20"/>
          <w:spacing w:val="-13"/>
          <w:sz w:val="20"/>
        </w:rPr>
        <w:t> </w:t>
      </w:r>
      <w:r>
        <w:rPr>
          <w:color w:val="231F20"/>
          <w:sz w:val="20"/>
        </w:rPr>
        <w:t>5</w:t>
      </w:r>
      <w:r>
        <w:rPr>
          <w:color w:val="231F20"/>
          <w:spacing w:val="-12"/>
          <w:sz w:val="20"/>
        </w:rPr>
        <w:t> </w:t>
      </w:r>
      <w:r>
        <w:rPr>
          <w:color w:val="231F20"/>
          <w:sz w:val="20"/>
        </w:rPr>
        <w:t>человек,</w:t>
      </w:r>
      <w:r>
        <w:rPr>
          <w:color w:val="231F20"/>
          <w:spacing w:val="-13"/>
          <w:sz w:val="20"/>
        </w:rPr>
        <w:t> </w:t>
      </w:r>
      <w:r>
        <w:rPr>
          <w:sz w:val="20"/>
        </w:rPr>
        <w:t>и</w:t>
      </w:r>
      <w:r>
        <w:rPr>
          <w:spacing w:val="-12"/>
          <w:sz w:val="20"/>
        </w:rPr>
        <w:t> </w:t>
      </w:r>
      <w:r>
        <w:rPr>
          <w:sz w:val="20"/>
        </w:rPr>
        <w:t>пригласить одну «книгу» на группу.</w:t>
      </w:r>
    </w:p>
    <w:p>
      <w:pPr>
        <w:pStyle w:val="BodyText"/>
        <w:spacing w:line="230" w:lineRule="auto"/>
      </w:pPr>
      <w:r>
        <w:rPr>
          <w:i/>
        </w:rPr>
        <w:t>Какой должна быть «книга»? </w:t>
      </w:r>
      <w:r>
        <w:rPr/>
        <w:t>С одной стороны, она должна быть типичной, т.е. в ней должны присутствовать основные характеристики представляемой ею группы или категории (например, хорошо, если мусульманка носит хиджаб, а дворник – в рабочей одежде), с другой – она должна уметь себя выразить, иначе разговора не </w:t>
      </w:r>
      <w:r>
        <w:rPr>
          <w:spacing w:val="-2"/>
        </w:rPr>
        <w:t>получится.</w:t>
      </w:r>
    </w:p>
    <w:p>
      <w:pPr>
        <w:pStyle w:val="BodyText"/>
        <w:spacing w:line="230" w:lineRule="auto"/>
      </w:pPr>
      <w:r>
        <w:rPr>
          <w:color w:val="231F20"/>
        </w:rPr>
        <w:t>Если</w:t>
      </w:r>
      <w:r>
        <w:rPr>
          <w:color w:val="231F20"/>
          <w:spacing w:val="-7"/>
        </w:rPr>
        <w:t> </w:t>
      </w:r>
      <w:r>
        <w:rPr/>
        <w:t>набирать</w:t>
      </w:r>
      <w:r>
        <w:rPr>
          <w:spacing w:val="-8"/>
        </w:rPr>
        <w:t> </w:t>
      </w:r>
      <w:r>
        <w:rPr/>
        <w:t>людей</w:t>
      </w:r>
      <w:r>
        <w:rPr>
          <w:spacing w:val="-8"/>
        </w:rPr>
        <w:t> </w:t>
      </w:r>
      <w:r>
        <w:rPr/>
        <w:t>из</w:t>
      </w:r>
      <w:r>
        <w:rPr>
          <w:spacing w:val="-8"/>
        </w:rPr>
        <w:t> </w:t>
      </w:r>
      <w:r>
        <w:rPr/>
        <w:t>числа</w:t>
      </w:r>
      <w:r>
        <w:rPr>
          <w:spacing w:val="-8"/>
        </w:rPr>
        <w:t> </w:t>
      </w:r>
      <w:r>
        <w:rPr/>
        <w:t>жителей</w:t>
      </w:r>
      <w:r>
        <w:rPr>
          <w:spacing w:val="-8"/>
        </w:rPr>
        <w:t> </w:t>
      </w:r>
      <w:r>
        <w:rPr/>
        <w:t>близлежащих</w:t>
      </w:r>
      <w:r>
        <w:rPr>
          <w:spacing w:val="-8"/>
        </w:rPr>
        <w:t> </w:t>
      </w:r>
      <w:r>
        <w:rPr/>
        <w:t>к</w:t>
      </w:r>
      <w:r>
        <w:rPr>
          <w:spacing w:val="-8"/>
        </w:rPr>
        <w:t> </w:t>
      </w:r>
      <w:r>
        <w:rPr/>
        <w:t>месту</w:t>
      </w:r>
      <w:r>
        <w:rPr>
          <w:spacing w:val="-8"/>
        </w:rPr>
        <w:t> </w:t>
      </w:r>
      <w:r>
        <w:rPr/>
        <w:t>проведения</w:t>
      </w:r>
      <w:r>
        <w:rPr>
          <w:spacing w:val="-8"/>
        </w:rPr>
        <w:t> </w:t>
      </w:r>
      <w:r>
        <w:rPr/>
        <w:t>практи- ки</w:t>
      </w:r>
      <w:r>
        <w:rPr>
          <w:spacing w:val="-10"/>
        </w:rPr>
        <w:t> </w:t>
      </w:r>
      <w:r>
        <w:rPr/>
        <w:t>домов</w:t>
      </w:r>
      <w:r>
        <w:rPr>
          <w:spacing w:val="-10"/>
        </w:rPr>
        <w:t> </w:t>
      </w:r>
      <w:r>
        <w:rPr/>
        <w:t>или</w:t>
      </w:r>
      <w:r>
        <w:rPr>
          <w:spacing w:val="-10"/>
        </w:rPr>
        <w:t> </w:t>
      </w:r>
      <w:r>
        <w:rPr/>
        <w:t>сотрудников</w:t>
      </w:r>
      <w:r>
        <w:rPr>
          <w:spacing w:val="-10"/>
        </w:rPr>
        <w:t> </w:t>
      </w:r>
      <w:r>
        <w:rPr/>
        <w:t>организаций,</w:t>
      </w:r>
      <w:r>
        <w:rPr>
          <w:spacing w:val="-10"/>
        </w:rPr>
        <w:t> </w:t>
      </w:r>
      <w:r>
        <w:rPr/>
        <w:t>расположенных</w:t>
      </w:r>
      <w:r>
        <w:rPr>
          <w:spacing w:val="-10"/>
        </w:rPr>
        <w:t> </w:t>
      </w:r>
      <w:r>
        <w:rPr/>
        <w:t>рядом,</w:t>
      </w:r>
      <w:r>
        <w:rPr>
          <w:spacing w:val="-10"/>
        </w:rPr>
        <w:t> </w:t>
      </w:r>
      <w:r>
        <w:rPr/>
        <w:t>то</w:t>
      </w:r>
      <w:r>
        <w:rPr>
          <w:spacing w:val="-10"/>
        </w:rPr>
        <w:t> </w:t>
      </w:r>
      <w:r>
        <w:rPr/>
        <w:t>«к</w:t>
      </w:r>
      <w:r>
        <w:rPr>
          <w:color w:val="231F20"/>
        </w:rPr>
        <w:t>нигам»</w:t>
      </w:r>
      <w:r>
        <w:rPr>
          <w:color w:val="231F20"/>
          <w:spacing w:val="-10"/>
        </w:rPr>
        <w:t> </w:t>
      </w:r>
      <w:r>
        <w:rPr>
          <w:color w:val="231F20"/>
        </w:rPr>
        <w:t>удобнее будет добираться</w:t>
      </w:r>
      <w:r>
        <w:rPr/>
        <w:t>. Также можно обратиться в этнические организации и, объяснив задачу,</w:t>
      </w:r>
      <w:r>
        <w:rPr>
          <w:spacing w:val="-7"/>
        </w:rPr>
        <w:t> </w:t>
      </w:r>
      <w:r>
        <w:rPr/>
        <w:t>попросить</w:t>
      </w:r>
      <w:r>
        <w:rPr>
          <w:spacing w:val="-7"/>
        </w:rPr>
        <w:t> </w:t>
      </w:r>
      <w:r>
        <w:rPr/>
        <w:t>о</w:t>
      </w:r>
      <w:r>
        <w:rPr>
          <w:spacing w:val="-7"/>
        </w:rPr>
        <w:t> </w:t>
      </w:r>
      <w:r>
        <w:rPr/>
        <w:t>помощи.</w:t>
      </w:r>
      <w:r>
        <w:rPr>
          <w:spacing w:val="-7"/>
        </w:rPr>
        <w:t> </w:t>
      </w:r>
      <w:r>
        <w:rPr/>
        <w:t>Такой</w:t>
      </w:r>
      <w:r>
        <w:rPr>
          <w:spacing w:val="-7"/>
        </w:rPr>
        <w:t> </w:t>
      </w:r>
      <w:r>
        <w:rPr/>
        <w:t>вариант</w:t>
      </w:r>
      <w:r>
        <w:rPr>
          <w:spacing w:val="-7"/>
        </w:rPr>
        <w:t> </w:t>
      </w:r>
      <w:r>
        <w:rPr/>
        <w:t>опасен</w:t>
      </w:r>
      <w:r>
        <w:rPr>
          <w:spacing w:val="-7"/>
        </w:rPr>
        <w:t> </w:t>
      </w:r>
      <w:r>
        <w:rPr/>
        <w:t>тем,</w:t>
      </w:r>
      <w:r>
        <w:rPr>
          <w:spacing w:val="-7"/>
        </w:rPr>
        <w:t> </w:t>
      </w:r>
      <w:r>
        <w:rPr/>
        <w:t>что</w:t>
      </w:r>
      <w:r>
        <w:rPr>
          <w:spacing w:val="-7"/>
        </w:rPr>
        <w:t> </w:t>
      </w:r>
      <w:r>
        <w:rPr/>
        <w:t>«книгой»</w:t>
      </w:r>
      <w:r>
        <w:rPr>
          <w:spacing w:val="-7"/>
        </w:rPr>
        <w:t> </w:t>
      </w:r>
      <w:r>
        <w:rPr/>
        <w:t>в</w:t>
      </w:r>
      <w:r>
        <w:rPr>
          <w:spacing w:val="-7"/>
        </w:rPr>
        <w:t> </w:t>
      </w:r>
      <w:r>
        <w:rPr/>
        <w:t>таком</w:t>
      </w:r>
      <w:r>
        <w:rPr>
          <w:spacing w:val="-7"/>
        </w:rPr>
        <w:t> </w:t>
      </w:r>
      <w:r>
        <w:rPr/>
        <w:t>случае может</w:t>
      </w:r>
      <w:r>
        <w:rPr>
          <w:spacing w:val="-4"/>
        </w:rPr>
        <w:t> </w:t>
      </w:r>
      <w:r>
        <w:rPr/>
        <w:t>стать</w:t>
      </w:r>
      <w:r>
        <w:rPr>
          <w:spacing w:val="-4"/>
        </w:rPr>
        <w:t> </w:t>
      </w:r>
      <w:r>
        <w:rPr/>
        <w:t>«профессиональный</w:t>
      </w:r>
      <w:r>
        <w:rPr>
          <w:spacing w:val="-4"/>
        </w:rPr>
        <w:t> </w:t>
      </w:r>
      <w:r>
        <w:rPr/>
        <w:t>мигрант»</w:t>
      </w:r>
      <w:r>
        <w:rPr>
          <w:spacing w:val="-4"/>
        </w:rPr>
        <w:t> </w:t>
      </w:r>
      <w:r>
        <w:rPr/>
        <w:t>–</w:t>
      </w:r>
      <w:r>
        <w:rPr>
          <w:spacing w:val="-4"/>
        </w:rPr>
        <w:t> </w:t>
      </w:r>
      <w:r>
        <w:rPr/>
        <w:t>человек,</w:t>
      </w:r>
      <w:r>
        <w:rPr>
          <w:spacing w:val="-4"/>
        </w:rPr>
        <w:t> </w:t>
      </w:r>
      <w:r>
        <w:rPr/>
        <w:t>для</w:t>
      </w:r>
      <w:r>
        <w:rPr>
          <w:spacing w:val="-4"/>
        </w:rPr>
        <w:t> </w:t>
      </w:r>
      <w:r>
        <w:rPr/>
        <w:t>которого</w:t>
      </w:r>
      <w:r>
        <w:rPr>
          <w:spacing w:val="-4"/>
        </w:rPr>
        <w:t> </w:t>
      </w:r>
      <w:r>
        <w:rPr/>
        <w:t>говорить</w:t>
      </w:r>
      <w:r>
        <w:rPr>
          <w:spacing w:val="-4"/>
        </w:rPr>
        <w:t> </w:t>
      </w:r>
      <w:r>
        <w:rPr/>
        <w:t>от</w:t>
      </w:r>
      <w:r>
        <w:rPr>
          <w:spacing w:val="-4"/>
        </w:rPr>
        <w:t> </w:t>
      </w:r>
      <w:r>
        <w:rPr/>
        <w:t>лица группы</w:t>
      </w:r>
      <w:r>
        <w:rPr>
          <w:spacing w:val="-2"/>
        </w:rPr>
        <w:t> </w:t>
      </w:r>
      <w:r>
        <w:rPr/>
        <w:t>является</w:t>
      </w:r>
      <w:r>
        <w:rPr>
          <w:spacing w:val="-2"/>
        </w:rPr>
        <w:t> </w:t>
      </w:r>
      <w:r>
        <w:rPr/>
        <w:t>работой,</w:t>
      </w:r>
      <w:r>
        <w:rPr>
          <w:spacing w:val="-2"/>
        </w:rPr>
        <w:t> </w:t>
      </w:r>
      <w:r>
        <w:rPr/>
        <w:t>в</w:t>
      </w:r>
      <w:r>
        <w:rPr>
          <w:spacing w:val="-2"/>
        </w:rPr>
        <w:t> </w:t>
      </w:r>
      <w:r>
        <w:rPr/>
        <w:t>результате</w:t>
      </w:r>
      <w:r>
        <w:rPr>
          <w:spacing w:val="-2"/>
        </w:rPr>
        <w:t> </w:t>
      </w:r>
      <w:r>
        <w:rPr/>
        <w:t>чего</w:t>
      </w:r>
      <w:r>
        <w:rPr>
          <w:spacing w:val="-2"/>
        </w:rPr>
        <w:t> </w:t>
      </w:r>
      <w:r>
        <w:rPr/>
        <w:t>личную</w:t>
      </w:r>
      <w:r>
        <w:rPr>
          <w:spacing w:val="-2"/>
        </w:rPr>
        <w:t> </w:t>
      </w:r>
      <w:r>
        <w:rPr/>
        <w:t>историю</w:t>
      </w:r>
      <w:r>
        <w:rPr>
          <w:spacing w:val="-2"/>
        </w:rPr>
        <w:t> </w:t>
      </w:r>
      <w:r>
        <w:rPr/>
        <w:t>участники</w:t>
      </w:r>
      <w:r>
        <w:rPr>
          <w:spacing w:val="-2"/>
        </w:rPr>
        <w:t> </w:t>
      </w:r>
      <w:r>
        <w:rPr/>
        <w:t>практики</w:t>
      </w:r>
      <w:r>
        <w:rPr>
          <w:spacing w:val="-2"/>
        </w:rPr>
        <w:t> </w:t>
      </w:r>
      <w:r>
        <w:rPr/>
        <w:t>от него вряд ли услышат.</w:t>
      </w:r>
    </w:p>
    <w:p>
      <w:pPr>
        <w:spacing w:line="225" w:lineRule="exact" w:before="88"/>
        <w:ind w:left="141" w:right="0" w:firstLine="0"/>
        <w:jc w:val="both"/>
        <w:rPr>
          <w:b/>
          <w:i/>
          <w:sz w:val="20"/>
        </w:rPr>
      </w:pPr>
      <w:r>
        <w:rPr>
          <w:b/>
          <w:i/>
          <w:sz w:val="20"/>
        </w:rPr>
        <w:t>В.</w:t>
      </w:r>
      <w:r>
        <w:rPr>
          <w:b/>
          <w:i/>
          <w:spacing w:val="50"/>
          <w:sz w:val="20"/>
        </w:rPr>
        <w:t> </w:t>
      </w:r>
      <w:r>
        <w:rPr>
          <w:b/>
          <w:i/>
          <w:spacing w:val="-2"/>
          <w:sz w:val="20"/>
        </w:rPr>
        <w:t>«Библиотекари»</w:t>
      </w:r>
    </w:p>
    <w:p>
      <w:pPr>
        <w:pStyle w:val="BodyText"/>
        <w:spacing w:line="230" w:lineRule="auto" w:before="3"/>
      </w:pPr>
      <w:r>
        <w:rPr/>
        <w:t>Команда, которая занимается организацией «Живой библиотеки», должна состо- ять по меньшей мере из двух человек. Н</w:t>
      </w:r>
      <w:r>
        <w:rPr>
          <w:color w:val="231F20"/>
        </w:rPr>
        <w:t>а стадии подготовки можно ограничиться одним человеком, однако ход «Живой библиотеки» предполагает несколько парал- лельных процессов: встречать и инструктировать школьников, следить за временем общения</w:t>
      </w:r>
      <w:r>
        <w:rPr>
          <w:color w:val="231F20"/>
          <w:spacing w:val="-8"/>
        </w:rPr>
        <w:t> </w:t>
      </w:r>
      <w:r>
        <w:rPr>
          <w:color w:val="231F20"/>
        </w:rPr>
        <w:t>и</w:t>
      </w:r>
      <w:r>
        <w:rPr>
          <w:color w:val="231F20"/>
          <w:spacing w:val="-8"/>
        </w:rPr>
        <w:t> </w:t>
      </w:r>
      <w:r>
        <w:rPr>
          <w:color w:val="231F20"/>
        </w:rPr>
        <w:t>сообщать</w:t>
      </w:r>
      <w:r>
        <w:rPr>
          <w:color w:val="231F20"/>
          <w:spacing w:val="-8"/>
        </w:rPr>
        <w:t> </w:t>
      </w:r>
      <w:r>
        <w:rPr>
          <w:color w:val="231F20"/>
        </w:rPr>
        <w:t>участникам</w:t>
      </w:r>
      <w:r>
        <w:rPr>
          <w:color w:val="231F20"/>
          <w:spacing w:val="-8"/>
        </w:rPr>
        <w:t> </w:t>
      </w:r>
      <w:r>
        <w:rPr>
          <w:color w:val="231F20"/>
        </w:rPr>
        <w:t>за</w:t>
      </w:r>
      <w:r>
        <w:rPr>
          <w:color w:val="231F20"/>
          <w:spacing w:val="-8"/>
        </w:rPr>
        <w:t> </w:t>
      </w:r>
      <w:r>
        <w:rPr>
          <w:color w:val="231F20"/>
        </w:rPr>
        <w:t>5</w:t>
      </w:r>
      <w:r>
        <w:rPr>
          <w:color w:val="231F20"/>
          <w:spacing w:val="-8"/>
        </w:rPr>
        <w:t> </w:t>
      </w:r>
      <w:r>
        <w:rPr>
          <w:color w:val="231F20"/>
        </w:rPr>
        <w:t>минут</w:t>
      </w:r>
      <w:r>
        <w:rPr>
          <w:color w:val="231F20"/>
          <w:spacing w:val="-8"/>
        </w:rPr>
        <w:t> </w:t>
      </w:r>
      <w:r>
        <w:rPr>
          <w:color w:val="231F20"/>
        </w:rPr>
        <w:t>до</w:t>
      </w:r>
      <w:r>
        <w:rPr>
          <w:color w:val="231F20"/>
          <w:spacing w:val="-8"/>
        </w:rPr>
        <w:t> </w:t>
      </w:r>
      <w:r>
        <w:rPr>
          <w:color w:val="231F20"/>
        </w:rPr>
        <w:t>его</w:t>
      </w:r>
      <w:r>
        <w:rPr>
          <w:color w:val="231F20"/>
          <w:spacing w:val="-8"/>
        </w:rPr>
        <w:t> </w:t>
      </w:r>
      <w:r>
        <w:rPr>
          <w:color w:val="231F20"/>
        </w:rPr>
        <w:t>окончания;</w:t>
      </w:r>
      <w:r>
        <w:rPr>
          <w:color w:val="231F20"/>
          <w:spacing w:val="-8"/>
        </w:rPr>
        <w:t> </w:t>
      </w:r>
      <w:r>
        <w:rPr>
          <w:color w:val="231F20"/>
        </w:rPr>
        <w:t>регулировать</w:t>
      </w:r>
      <w:r>
        <w:rPr>
          <w:color w:val="231F20"/>
          <w:spacing w:val="-8"/>
        </w:rPr>
        <w:t> </w:t>
      </w:r>
      <w:r>
        <w:rPr>
          <w:color w:val="231F20"/>
        </w:rPr>
        <w:t>возника- ющие конфликты или паузы в общении (если разговор не складывается, можно по- дойти и задать свой вопрос), помочь «книгам» создать пространство в группе.</w:t>
      </w:r>
    </w:p>
    <w:p>
      <w:pPr>
        <w:pStyle w:val="BodyText"/>
        <w:spacing w:after="0" w:line="230" w:lineRule="auto"/>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5"/>
          <w:sz w:val="18"/>
        </w:rPr>
        <w:t> </w:t>
      </w:r>
      <w:r>
        <w:rPr>
          <w:rFonts w:ascii="Georgia" w:hAnsi="Georgia"/>
          <w:color w:val="231F20"/>
          <w:sz w:val="18"/>
        </w:rPr>
        <w:t>Методы</w:t>
      </w:r>
      <w:r>
        <w:rPr>
          <w:rFonts w:ascii="Georgia" w:hAnsi="Georgia"/>
          <w:color w:val="231F20"/>
          <w:spacing w:val="-5"/>
          <w:sz w:val="18"/>
        </w:rPr>
        <w:t> </w:t>
      </w:r>
      <w:r>
        <w:rPr>
          <w:rFonts w:ascii="Georgia" w:hAnsi="Georgia"/>
          <w:color w:val="231F20"/>
          <w:sz w:val="18"/>
        </w:rPr>
        <w:t>воспитательной</w:t>
      </w:r>
      <w:r>
        <w:rPr>
          <w:rFonts w:ascii="Georgia" w:hAnsi="Georgia"/>
          <w:color w:val="231F20"/>
          <w:spacing w:val="-4"/>
          <w:sz w:val="18"/>
        </w:rPr>
        <w:t> </w:t>
      </w:r>
      <w:r>
        <w:rPr>
          <w:rFonts w:ascii="Georgia" w:hAnsi="Georgia"/>
          <w:color w:val="231F20"/>
          <w:sz w:val="18"/>
        </w:rPr>
        <w:t>раюоты</w:t>
      </w:r>
      <w:r>
        <w:rPr>
          <w:rFonts w:ascii="Georgia" w:hAnsi="Georgia"/>
          <w:color w:val="231F20"/>
          <w:spacing w:val="-5"/>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w:t>
      </w:r>
      <w:r>
        <w:rPr>
          <w:rFonts w:ascii="Georgia" w:hAnsi="Georgia"/>
          <w:color w:val="231F20"/>
          <w:spacing w:val="-4"/>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BodyText"/>
        <w:spacing w:line="235" w:lineRule="auto" w:before="116"/>
      </w:pPr>
      <w:r>
        <w:rPr/>
        <w:t>В обязанности «библиотекарей» также входит оборудовать пространство. Хоро- шо, если в зале будут вода, чай и печенье, для того чтобы отдохнуть в перерыве.</w:t>
      </w:r>
    </w:p>
    <w:p>
      <w:pPr>
        <w:spacing w:line="228" w:lineRule="exact" w:before="111"/>
        <w:ind w:left="141" w:right="0" w:firstLine="0"/>
        <w:jc w:val="both"/>
        <w:rPr>
          <w:b/>
          <w:i/>
          <w:sz w:val="20"/>
        </w:rPr>
      </w:pPr>
      <w:r>
        <w:rPr>
          <w:b/>
          <w:i/>
          <w:sz w:val="20"/>
        </w:rPr>
        <w:t>Г.</w:t>
      </w:r>
      <w:r>
        <w:rPr>
          <w:b/>
          <w:i/>
          <w:spacing w:val="62"/>
          <w:sz w:val="20"/>
        </w:rPr>
        <w:t> </w:t>
      </w:r>
      <w:r>
        <w:rPr>
          <w:b/>
          <w:i/>
          <w:sz w:val="20"/>
        </w:rPr>
        <w:t>Особенности</w:t>
      </w:r>
      <w:r>
        <w:rPr>
          <w:b/>
          <w:i/>
          <w:spacing w:val="-5"/>
          <w:sz w:val="20"/>
        </w:rPr>
        <w:t> </w:t>
      </w:r>
      <w:r>
        <w:rPr>
          <w:i/>
          <w:sz w:val="20"/>
        </w:rPr>
        <w:t>–</w:t>
      </w:r>
      <w:r>
        <w:rPr>
          <w:i/>
          <w:spacing w:val="-5"/>
          <w:sz w:val="20"/>
        </w:rPr>
        <w:t> </w:t>
      </w:r>
      <w:r>
        <w:rPr>
          <w:b/>
          <w:i/>
          <w:sz w:val="20"/>
        </w:rPr>
        <w:t>сильные</w:t>
      </w:r>
      <w:r>
        <w:rPr>
          <w:b/>
          <w:i/>
          <w:spacing w:val="-5"/>
          <w:sz w:val="20"/>
        </w:rPr>
        <w:t> </w:t>
      </w:r>
      <w:r>
        <w:rPr>
          <w:b/>
          <w:i/>
          <w:sz w:val="20"/>
        </w:rPr>
        <w:t>стороны</w:t>
      </w:r>
      <w:r>
        <w:rPr>
          <w:b/>
          <w:i/>
          <w:spacing w:val="-5"/>
          <w:sz w:val="20"/>
        </w:rPr>
        <w:t> </w:t>
      </w:r>
      <w:r>
        <w:rPr>
          <w:b/>
          <w:i/>
          <w:sz w:val="20"/>
        </w:rPr>
        <w:t>практики</w:t>
      </w:r>
      <w:r>
        <w:rPr>
          <w:b/>
          <w:i/>
          <w:spacing w:val="-6"/>
          <w:sz w:val="20"/>
        </w:rPr>
        <w:t> </w:t>
      </w:r>
      <w:r>
        <w:rPr>
          <w:b/>
          <w:i/>
          <w:sz w:val="20"/>
        </w:rPr>
        <w:t>«Живой</w:t>
      </w:r>
      <w:r>
        <w:rPr>
          <w:b/>
          <w:i/>
          <w:spacing w:val="-5"/>
          <w:sz w:val="20"/>
        </w:rPr>
        <w:t> </w:t>
      </w:r>
      <w:r>
        <w:rPr>
          <w:b/>
          <w:i/>
          <w:spacing w:val="-2"/>
          <w:sz w:val="20"/>
        </w:rPr>
        <w:t>библиотеки</w:t>
      </w:r>
    </w:p>
    <w:p>
      <w:pPr>
        <w:spacing w:line="226" w:lineRule="exact" w:before="0"/>
        <w:ind w:left="475" w:right="0" w:firstLine="0"/>
        <w:jc w:val="both"/>
        <w:rPr>
          <w:b/>
          <w:sz w:val="20"/>
        </w:rPr>
      </w:pPr>
      <w:r>
        <w:rPr>
          <w:b/>
          <w:sz w:val="20"/>
        </w:rPr>
        <w:t>Она </w:t>
      </w:r>
      <w:r>
        <w:rPr>
          <w:b/>
          <w:spacing w:val="-2"/>
          <w:sz w:val="20"/>
        </w:rPr>
        <w:t>позволяет:</w:t>
      </w:r>
    </w:p>
    <w:p>
      <w:pPr>
        <w:pStyle w:val="ListParagraph"/>
        <w:numPr>
          <w:ilvl w:val="0"/>
          <w:numId w:val="151"/>
        </w:numPr>
        <w:tabs>
          <w:tab w:pos="706" w:val="left" w:leader="none"/>
          <w:tab w:pos="708" w:val="left" w:leader="none"/>
        </w:tabs>
        <w:spacing w:line="235" w:lineRule="auto" w:before="1" w:after="0"/>
        <w:ind w:left="708" w:right="139" w:hanging="284"/>
        <w:jc w:val="both"/>
        <w:rPr>
          <w:sz w:val="20"/>
        </w:rPr>
      </w:pPr>
      <w:r>
        <w:rPr>
          <w:sz w:val="20"/>
        </w:rPr>
        <w:t>создать</w:t>
      </w:r>
      <w:r>
        <w:rPr>
          <w:spacing w:val="-13"/>
          <w:sz w:val="20"/>
        </w:rPr>
        <w:t> </w:t>
      </w:r>
      <w:r>
        <w:rPr>
          <w:sz w:val="20"/>
        </w:rPr>
        <w:t>через</w:t>
      </w:r>
      <w:r>
        <w:rPr>
          <w:spacing w:val="-12"/>
          <w:sz w:val="20"/>
        </w:rPr>
        <w:t> </w:t>
      </w:r>
      <w:r>
        <w:rPr>
          <w:sz w:val="20"/>
        </w:rPr>
        <w:t>жизненные</w:t>
      </w:r>
      <w:r>
        <w:rPr>
          <w:spacing w:val="-13"/>
          <w:sz w:val="20"/>
        </w:rPr>
        <w:t> </w:t>
      </w:r>
      <w:r>
        <w:rPr>
          <w:sz w:val="20"/>
        </w:rPr>
        <w:t>истории</w:t>
      </w:r>
      <w:r>
        <w:rPr>
          <w:spacing w:val="-12"/>
          <w:sz w:val="20"/>
        </w:rPr>
        <w:t> </w:t>
      </w:r>
      <w:r>
        <w:rPr>
          <w:sz w:val="20"/>
        </w:rPr>
        <w:t>пространство</w:t>
      </w:r>
      <w:r>
        <w:rPr>
          <w:spacing w:val="-13"/>
          <w:sz w:val="20"/>
        </w:rPr>
        <w:t> </w:t>
      </w:r>
      <w:r>
        <w:rPr>
          <w:sz w:val="20"/>
        </w:rPr>
        <w:t>для</w:t>
      </w:r>
      <w:r>
        <w:rPr>
          <w:spacing w:val="-12"/>
          <w:sz w:val="20"/>
        </w:rPr>
        <w:t> </w:t>
      </w:r>
      <w:r>
        <w:rPr>
          <w:sz w:val="20"/>
        </w:rPr>
        <w:t>размышлений</w:t>
      </w:r>
      <w:r>
        <w:rPr>
          <w:spacing w:val="-13"/>
          <w:sz w:val="20"/>
        </w:rPr>
        <w:t> </w:t>
      </w:r>
      <w:r>
        <w:rPr>
          <w:sz w:val="20"/>
        </w:rPr>
        <w:t>и</w:t>
      </w:r>
      <w:r>
        <w:rPr>
          <w:spacing w:val="-12"/>
          <w:sz w:val="20"/>
        </w:rPr>
        <w:t> </w:t>
      </w:r>
      <w:r>
        <w:rPr>
          <w:sz w:val="20"/>
        </w:rPr>
        <w:t>напрямую взаимодействовать с персонажем, что приводит к большему пониманию и со- </w:t>
      </w:r>
      <w:r>
        <w:rPr>
          <w:spacing w:val="-2"/>
          <w:sz w:val="20"/>
        </w:rPr>
        <w:t>переживанию;</w:t>
      </w:r>
    </w:p>
    <w:p>
      <w:pPr>
        <w:pStyle w:val="ListParagraph"/>
        <w:numPr>
          <w:ilvl w:val="0"/>
          <w:numId w:val="151"/>
        </w:numPr>
        <w:tabs>
          <w:tab w:pos="706" w:val="left" w:leader="none"/>
          <w:tab w:pos="708" w:val="left" w:leader="none"/>
        </w:tabs>
        <w:spacing w:line="235" w:lineRule="auto" w:before="2" w:after="0"/>
        <w:ind w:left="708" w:right="139" w:hanging="284"/>
        <w:jc w:val="both"/>
        <w:rPr>
          <w:sz w:val="20"/>
        </w:rPr>
      </w:pPr>
      <w:r>
        <w:rPr>
          <w:sz w:val="20"/>
        </w:rPr>
        <w:t>работать над самооценкой и социальной сплоченностью, делиться личным </w:t>
      </w:r>
      <w:r>
        <w:rPr>
          <w:spacing w:val="-2"/>
          <w:sz w:val="20"/>
        </w:rPr>
        <w:t>опытом;</w:t>
      </w:r>
    </w:p>
    <w:p>
      <w:pPr>
        <w:pStyle w:val="ListParagraph"/>
        <w:numPr>
          <w:ilvl w:val="0"/>
          <w:numId w:val="151"/>
        </w:numPr>
        <w:tabs>
          <w:tab w:pos="706" w:val="left" w:leader="none"/>
          <w:tab w:pos="708" w:val="left" w:leader="none"/>
        </w:tabs>
        <w:spacing w:line="235" w:lineRule="auto" w:before="1" w:after="0"/>
        <w:ind w:left="708" w:right="140" w:hanging="284"/>
        <w:jc w:val="both"/>
        <w:rPr>
          <w:sz w:val="20"/>
        </w:rPr>
      </w:pPr>
      <w:r>
        <w:rPr>
          <w:sz w:val="20"/>
        </w:rPr>
        <w:t>развивать навыки общения и межкультурного диалога, осознавая различия в обществе, различия мнений и учась у других.</w:t>
      </w:r>
    </w:p>
    <w:p>
      <w:pPr>
        <w:spacing w:line="228" w:lineRule="exact" w:before="111"/>
        <w:ind w:left="425" w:right="0" w:firstLine="0"/>
        <w:jc w:val="both"/>
        <w:rPr>
          <w:b/>
          <w:sz w:val="20"/>
        </w:rPr>
      </w:pPr>
      <w:r>
        <w:rPr>
          <w:b/>
          <w:sz w:val="20"/>
        </w:rPr>
        <w:t>Требования</w:t>
      </w:r>
      <w:r>
        <w:rPr>
          <w:b/>
          <w:spacing w:val="-9"/>
          <w:sz w:val="20"/>
        </w:rPr>
        <w:t> </w:t>
      </w:r>
      <w:r>
        <w:rPr>
          <w:b/>
          <w:sz w:val="20"/>
        </w:rPr>
        <w:t>к</w:t>
      </w:r>
      <w:r>
        <w:rPr>
          <w:b/>
          <w:spacing w:val="-8"/>
          <w:sz w:val="20"/>
        </w:rPr>
        <w:t> </w:t>
      </w:r>
      <w:r>
        <w:rPr>
          <w:b/>
          <w:spacing w:val="-2"/>
          <w:sz w:val="20"/>
        </w:rPr>
        <w:t>проведению</w:t>
      </w:r>
    </w:p>
    <w:p>
      <w:pPr>
        <w:pStyle w:val="BodyText"/>
        <w:spacing w:line="226" w:lineRule="exact"/>
        <w:ind w:left="425" w:right="0" w:firstLine="0"/>
      </w:pPr>
      <w:r>
        <w:rPr/>
        <w:t>Организатор</w:t>
      </w:r>
      <w:r>
        <w:rPr>
          <w:spacing w:val="-8"/>
        </w:rPr>
        <w:t> </w:t>
      </w:r>
      <w:r>
        <w:rPr/>
        <w:t>«Живой</w:t>
      </w:r>
      <w:r>
        <w:rPr>
          <w:spacing w:val="-9"/>
        </w:rPr>
        <w:t> </w:t>
      </w:r>
      <w:r>
        <w:rPr/>
        <w:t>библиотеки»</w:t>
      </w:r>
      <w:r>
        <w:rPr>
          <w:spacing w:val="-7"/>
        </w:rPr>
        <w:t> </w:t>
      </w:r>
      <w:r>
        <w:rPr>
          <w:spacing w:val="-2"/>
        </w:rPr>
        <w:t>должен:</w:t>
      </w:r>
    </w:p>
    <w:p>
      <w:pPr>
        <w:pStyle w:val="ListParagraph"/>
        <w:numPr>
          <w:ilvl w:val="0"/>
          <w:numId w:val="151"/>
        </w:numPr>
        <w:tabs>
          <w:tab w:pos="706" w:val="left" w:leader="none"/>
          <w:tab w:pos="708" w:val="left" w:leader="none"/>
        </w:tabs>
        <w:spacing w:line="235" w:lineRule="auto" w:before="2" w:after="0"/>
        <w:ind w:left="708" w:right="139" w:hanging="284"/>
        <w:jc w:val="both"/>
        <w:rPr>
          <w:sz w:val="20"/>
        </w:rPr>
      </w:pPr>
      <w:r>
        <w:rPr>
          <w:sz w:val="20"/>
        </w:rPr>
        <w:t>понимать выявленные проблемы в контексте вопроса развития и места, где мероприятие происходит;</w:t>
      </w:r>
    </w:p>
    <w:p>
      <w:pPr>
        <w:pStyle w:val="ListParagraph"/>
        <w:numPr>
          <w:ilvl w:val="0"/>
          <w:numId w:val="151"/>
        </w:numPr>
        <w:tabs>
          <w:tab w:pos="706" w:val="left" w:leader="none"/>
          <w:tab w:pos="708" w:val="left" w:leader="none"/>
        </w:tabs>
        <w:spacing w:line="235" w:lineRule="auto" w:before="1" w:after="0"/>
        <w:ind w:left="708" w:right="139" w:hanging="284"/>
        <w:jc w:val="both"/>
        <w:rPr>
          <w:sz w:val="20"/>
        </w:rPr>
      </w:pPr>
      <w:r>
        <w:rPr>
          <w:sz w:val="20"/>
        </w:rPr>
        <w:t>обладать</w:t>
      </w:r>
      <w:r>
        <w:rPr>
          <w:spacing w:val="-11"/>
          <w:sz w:val="20"/>
        </w:rPr>
        <w:t> </w:t>
      </w:r>
      <w:r>
        <w:rPr>
          <w:sz w:val="20"/>
        </w:rPr>
        <w:t>способностью</w:t>
      </w:r>
      <w:r>
        <w:rPr>
          <w:spacing w:val="-11"/>
          <w:sz w:val="20"/>
        </w:rPr>
        <w:t> </w:t>
      </w:r>
      <w:r>
        <w:rPr>
          <w:sz w:val="20"/>
        </w:rPr>
        <w:t>распознавать</w:t>
      </w:r>
      <w:r>
        <w:rPr>
          <w:spacing w:val="-11"/>
          <w:sz w:val="20"/>
        </w:rPr>
        <w:t> </w:t>
      </w:r>
      <w:r>
        <w:rPr>
          <w:sz w:val="20"/>
        </w:rPr>
        <w:t>предрассудки,</w:t>
      </w:r>
      <w:r>
        <w:rPr>
          <w:spacing w:val="-11"/>
          <w:sz w:val="20"/>
        </w:rPr>
        <w:t> </w:t>
      </w:r>
      <w:r>
        <w:rPr>
          <w:sz w:val="20"/>
        </w:rPr>
        <w:t>которые</w:t>
      </w:r>
      <w:r>
        <w:rPr>
          <w:spacing w:val="-11"/>
          <w:sz w:val="20"/>
        </w:rPr>
        <w:t> </w:t>
      </w:r>
      <w:r>
        <w:rPr>
          <w:sz w:val="20"/>
        </w:rPr>
        <w:t>могут</w:t>
      </w:r>
      <w:r>
        <w:rPr>
          <w:spacing w:val="-11"/>
          <w:sz w:val="20"/>
        </w:rPr>
        <w:t> </w:t>
      </w:r>
      <w:r>
        <w:rPr>
          <w:sz w:val="20"/>
        </w:rPr>
        <w:t>иметь</w:t>
      </w:r>
      <w:r>
        <w:rPr>
          <w:spacing w:val="-11"/>
          <w:sz w:val="20"/>
        </w:rPr>
        <w:t> </w:t>
      </w:r>
      <w:r>
        <w:rPr>
          <w:sz w:val="20"/>
        </w:rPr>
        <w:t>«чи- татели»</w:t>
      </w:r>
      <w:r>
        <w:rPr>
          <w:spacing w:val="-1"/>
          <w:sz w:val="20"/>
        </w:rPr>
        <w:t> </w:t>
      </w:r>
      <w:r>
        <w:rPr>
          <w:sz w:val="20"/>
        </w:rPr>
        <w:t>или,</w:t>
      </w:r>
      <w:r>
        <w:rPr>
          <w:spacing w:val="-1"/>
          <w:sz w:val="20"/>
        </w:rPr>
        <w:t> </w:t>
      </w:r>
      <w:r>
        <w:rPr>
          <w:sz w:val="20"/>
        </w:rPr>
        <w:t>возможно,</w:t>
      </w:r>
      <w:r>
        <w:rPr>
          <w:spacing w:val="-1"/>
          <w:sz w:val="20"/>
        </w:rPr>
        <w:t> </w:t>
      </w:r>
      <w:r>
        <w:rPr>
          <w:sz w:val="20"/>
        </w:rPr>
        <w:t>«книги»,</w:t>
      </w:r>
      <w:r>
        <w:rPr>
          <w:spacing w:val="-1"/>
          <w:sz w:val="20"/>
        </w:rPr>
        <w:t> </w:t>
      </w:r>
      <w:r>
        <w:rPr>
          <w:sz w:val="20"/>
        </w:rPr>
        <w:t>это</w:t>
      </w:r>
      <w:r>
        <w:rPr>
          <w:spacing w:val="-1"/>
          <w:sz w:val="20"/>
        </w:rPr>
        <w:t> </w:t>
      </w:r>
      <w:r>
        <w:rPr>
          <w:sz w:val="20"/>
        </w:rPr>
        <w:t>способствует</w:t>
      </w:r>
      <w:r>
        <w:rPr>
          <w:spacing w:val="-1"/>
          <w:sz w:val="20"/>
        </w:rPr>
        <w:t> </w:t>
      </w:r>
      <w:r>
        <w:rPr>
          <w:sz w:val="20"/>
        </w:rPr>
        <w:t>ретроспективным</w:t>
      </w:r>
      <w:r>
        <w:rPr>
          <w:spacing w:val="-1"/>
          <w:sz w:val="20"/>
        </w:rPr>
        <w:t> </w:t>
      </w:r>
      <w:r>
        <w:rPr>
          <w:sz w:val="20"/>
        </w:rPr>
        <w:t>и</w:t>
      </w:r>
      <w:r>
        <w:rPr>
          <w:spacing w:val="-1"/>
          <w:sz w:val="20"/>
        </w:rPr>
        <w:t> </w:t>
      </w:r>
      <w:r>
        <w:rPr>
          <w:sz w:val="20"/>
        </w:rPr>
        <w:t>интро- спективным размышлениям;</w:t>
      </w:r>
    </w:p>
    <w:p>
      <w:pPr>
        <w:pStyle w:val="ListParagraph"/>
        <w:numPr>
          <w:ilvl w:val="0"/>
          <w:numId w:val="151"/>
        </w:numPr>
        <w:tabs>
          <w:tab w:pos="706" w:val="left" w:leader="none"/>
          <w:tab w:pos="708" w:val="left" w:leader="none"/>
        </w:tabs>
        <w:spacing w:line="235" w:lineRule="auto" w:before="2" w:after="0"/>
        <w:ind w:left="708" w:right="139" w:hanging="284"/>
        <w:jc w:val="both"/>
        <w:rPr>
          <w:sz w:val="20"/>
        </w:rPr>
      </w:pPr>
      <w:r>
        <w:rPr>
          <w:sz w:val="20"/>
        </w:rPr>
        <w:t>иметь навыки межкультурной коммуникации, создавая пространство толе- рантности и уважения к «другому»;</w:t>
      </w:r>
    </w:p>
    <w:p>
      <w:pPr>
        <w:pStyle w:val="ListParagraph"/>
        <w:numPr>
          <w:ilvl w:val="0"/>
          <w:numId w:val="151"/>
        </w:numPr>
        <w:tabs>
          <w:tab w:pos="707" w:val="left" w:leader="none"/>
        </w:tabs>
        <w:spacing w:line="227" w:lineRule="exact" w:before="0" w:after="0"/>
        <w:ind w:left="707" w:right="0" w:hanging="282"/>
        <w:jc w:val="both"/>
        <w:rPr>
          <w:sz w:val="20"/>
        </w:rPr>
      </w:pPr>
      <w:r>
        <w:rPr>
          <w:sz w:val="20"/>
        </w:rPr>
        <w:t>иметь</w:t>
      </w:r>
      <w:r>
        <w:rPr>
          <w:spacing w:val="-5"/>
          <w:sz w:val="20"/>
        </w:rPr>
        <w:t> </w:t>
      </w:r>
      <w:r>
        <w:rPr>
          <w:sz w:val="20"/>
        </w:rPr>
        <w:t>навыки</w:t>
      </w:r>
      <w:r>
        <w:rPr>
          <w:spacing w:val="-4"/>
          <w:sz w:val="20"/>
        </w:rPr>
        <w:t> </w:t>
      </w:r>
      <w:r>
        <w:rPr>
          <w:sz w:val="20"/>
        </w:rPr>
        <w:t>эмпатии</w:t>
      </w:r>
      <w:r>
        <w:rPr>
          <w:spacing w:val="-4"/>
          <w:sz w:val="20"/>
        </w:rPr>
        <w:t> </w:t>
      </w:r>
      <w:r>
        <w:rPr>
          <w:sz w:val="20"/>
        </w:rPr>
        <w:t>и</w:t>
      </w:r>
      <w:r>
        <w:rPr>
          <w:spacing w:val="-4"/>
          <w:sz w:val="20"/>
        </w:rPr>
        <w:t> </w:t>
      </w:r>
      <w:r>
        <w:rPr>
          <w:color w:val="231F20"/>
          <w:sz w:val="20"/>
        </w:rPr>
        <w:t>чувствительности</w:t>
      </w:r>
      <w:r>
        <w:rPr>
          <w:color w:val="231F20"/>
          <w:spacing w:val="-3"/>
          <w:sz w:val="20"/>
        </w:rPr>
        <w:t> </w:t>
      </w:r>
      <w:r>
        <w:rPr>
          <w:sz w:val="20"/>
        </w:rPr>
        <w:t>в</w:t>
      </w:r>
      <w:r>
        <w:rPr>
          <w:spacing w:val="-4"/>
          <w:sz w:val="20"/>
        </w:rPr>
        <w:t> </w:t>
      </w:r>
      <w:r>
        <w:rPr>
          <w:spacing w:val="-2"/>
          <w:sz w:val="20"/>
        </w:rPr>
        <w:t>общении.</w:t>
      </w:r>
    </w:p>
    <w:p>
      <w:pPr>
        <w:spacing w:line="228" w:lineRule="exact" w:before="110"/>
        <w:ind w:left="425" w:right="0" w:firstLine="0"/>
        <w:jc w:val="both"/>
        <w:rPr>
          <w:b/>
          <w:sz w:val="20"/>
        </w:rPr>
      </w:pPr>
      <w:r>
        <w:rPr>
          <w:b/>
          <w:sz w:val="20"/>
        </w:rPr>
        <w:t>Доказательность</w:t>
      </w:r>
      <w:r>
        <w:rPr>
          <w:b/>
          <w:spacing w:val="-12"/>
          <w:sz w:val="20"/>
        </w:rPr>
        <w:t> </w:t>
      </w:r>
      <w:r>
        <w:rPr>
          <w:b/>
          <w:spacing w:val="-2"/>
          <w:sz w:val="20"/>
        </w:rPr>
        <w:t>практики</w:t>
      </w:r>
    </w:p>
    <w:p>
      <w:pPr>
        <w:pStyle w:val="BodyText"/>
        <w:spacing w:line="235" w:lineRule="auto" w:before="1"/>
      </w:pPr>
      <w:r>
        <w:rPr/>
        <w:t>Теоретическим основанием «Живой библиотеки» является теория контакта. </w:t>
      </w:r>
      <w:r>
        <w:rPr>
          <w:color w:val="231F20"/>
        </w:rPr>
        <w:t>Со- гласно</w:t>
      </w:r>
      <w:r>
        <w:rPr>
          <w:color w:val="231F20"/>
          <w:spacing w:val="-5"/>
        </w:rPr>
        <w:t> </w:t>
      </w:r>
      <w:r>
        <w:rPr>
          <w:color w:val="231F20"/>
        </w:rPr>
        <w:t>основному</w:t>
      </w:r>
      <w:r>
        <w:rPr>
          <w:color w:val="231F20"/>
          <w:spacing w:val="-5"/>
        </w:rPr>
        <w:t> </w:t>
      </w:r>
      <w:r>
        <w:rPr>
          <w:color w:val="231F20"/>
        </w:rPr>
        <w:t>положению</w:t>
      </w:r>
      <w:r>
        <w:rPr>
          <w:color w:val="231F20"/>
          <w:spacing w:val="-5"/>
        </w:rPr>
        <w:t> </w:t>
      </w:r>
      <w:r>
        <w:rPr>
          <w:color w:val="231F20"/>
        </w:rPr>
        <w:t>этой</w:t>
      </w:r>
      <w:r>
        <w:rPr>
          <w:color w:val="231F20"/>
          <w:spacing w:val="-5"/>
        </w:rPr>
        <w:t> </w:t>
      </w:r>
      <w:r>
        <w:rPr>
          <w:color w:val="231F20"/>
        </w:rPr>
        <w:t>теории</w:t>
      </w:r>
      <w:r>
        <w:rPr>
          <w:color w:val="231F20"/>
          <w:spacing w:val="-5"/>
        </w:rPr>
        <w:t> </w:t>
      </w:r>
      <w:r>
        <w:rPr>
          <w:color w:val="231F20"/>
        </w:rPr>
        <w:t>межкультурный</w:t>
      </w:r>
      <w:r>
        <w:rPr>
          <w:color w:val="231F20"/>
          <w:spacing w:val="-5"/>
        </w:rPr>
        <w:t> </w:t>
      </w:r>
      <w:r>
        <w:rPr>
          <w:color w:val="231F20"/>
        </w:rPr>
        <w:t>контакт,</w:t>
      </w:r>
      <w:r>
        <w:rPr>
          <w:color w:val="231F20"/>
          <w:spacing w:val="-5"/>
        </w:rPr>
        <w:t> </w:t>
      </w:r>
      <w:r>
        <w:rPr>
          <w:color w:val="231F20"/>
        </w:rPr>
        <w:t>лучшей</w:t>
      </w:r>
      <w:r>
        <w:rPr>
          <w:color w:val="231F20"/>
          <w:spacing w:val="-5"/>
        </w:rPr>
        <w:t> </w:t>
      </w:r>
      <w:r>
        <w:rPr>
          <w:color w:val="231F20"/>
        </w:rPr>
        <w:t>формой которого является равноправное общение во время решения совместных задач, сни- жает предрассудки и ослабляет стереотипы (Варшавер, 2015).</w:t>
      </w:r>
    </w:p>
    <w:p>
      <w:pPr>
        <w:pStyle w:val="BodyText"/>
        <w:spacing w:line="235" w:lineRule="auto" w:before="3"/>
      </w:pPr>
      <w:r>
        <w:rPr>
          <w:color w:val="231F20"/>
        </w:rPr>
        <w:t>Одно из первых исследований эффективности социальной практики «Живая би- блиотека»</w:t>
      </w:r>
      <w:r>
        <w:rPr>
          <w:color w:val="231F20"/>
          <w:spacing w:val="-5"/>
        </w:rPr>
        <w:t> </w:t>
      </w:r>
      <w:r>
        <w:rPr>
          <w:color w:val="231F20"/>
        </w:rPr>
        <w:t>было</w:t>
      </w:r>
      <w:r>
        <w:rPr>
          <w:color w:val="231F20"/>
          <w:spacing w:val="-5"/>
        </w:rPr>
        <w:t> </w:t>
      </w:r>
      <w:r>
        <w:rPr>
          <w:color w:val="231F20"/>
        </w:rPr>
        <w:t>проведено</w:t>
      </w:r>
      <w:r>
        <w:rPr>
          <w:color w:val="231F20"/>
          <w:spacing w:val="-5"/>
        </w:rPr>
        <w:t> </w:t>
      </w:r>
      <w:r>
        <w:rPr>
          <w:color w:val="231F20"/>
        </w:rPr>
        <w:t>К.</w:t>
      </w:r>
      <w:r>
        <w:rPr>
          <w:color w:val="231F20"/>
          <w:spacing w:val="-5"/>
        </w:rPr>
        <w:t> </w:t>
      </w:r>
      <w:r>
        <w:rPr>
          <w:color w:val="231F20"/>
        </w:rPr>
        <w:t>Ямбор</w:t>
      </w:r>
      <w:r>
        <w:rPr>
          <w:color w:val="231F20"/>
          <w:spacing w:val="-5"/>
        </w:rPr>
        <w:t> </w:t>
      </w:r>
      <w:r>
        <w:rPr>
          <w:color w:val="231F20"/>
        </w:rPr>
        <w:t>(Jambor,</w:t>
      </w:r>
      <w:r>
        <w:rPr>
          <w:color w:val="231F20"/>
          <w:spacing w:val="-5"/>
        </w:rPr>
        <w:t> </w:t>
      </w:r>
      <w:r>
        <w:rPr>
          <w:color w:val="231F20"/>
        </w:rPr>
        <w:t>2015).</w:t>
      </w:r>
      <w:r>
        <w:rPr>
          <w:color w:val="231F20"/>
          <w:spacing w:val="-5"/>
        </w:rPr>
        <w:t> </w:t>
      </w:r>
      <w:r>
        <w:rPr>
          <w:color w:val="231F20"/>
        </w:rPr>
        <w:t>А.</w:t>
      </w:r>
      <w:r>
        <w:rPr>
          <w:color w:val="231F20"/>
          <w:spacing w:val="-5"/>
        </w:rPr>
        <w:t> </w:t>
      </w:r>
      <w:r>
        <w:rPr>
          <w:color w:val="231F20"/>
        </w:rPr>
        <w:t>Хандке</w:t>
      </w:r>
      <w:r>
        <w:rPr>
          <w:color w:val="231F20"/>
          <w:spacing w:val="-5"/>
        </w:rPr>
        <w:t> </w:t>
      </w:r>
      <w:r>
        <w:rPr>
          <w:color w:val="231F20"/>
        </w:rPr>
        <w:t>(Handke,</w:t>
      </w:r>
      <w:r>
        <w:rPr>
          <w:color w:val="231F20"/>
          <w:spacing w:val="-5"/>
        </w:rPr>
        <w:t> </w:t>
      </w:r>
      <w:r>
        <w:rPr>
          <w:color w:val="231F20"/>
        </w:rPr>
        <w:t>2017)</w:t>
      </w:r>
      <w:r>
        <w:rPr>
          <w:color w:val="231F20"/>
          <w:spacing w:val="-5"/>
        </w:rPr>
        <w:t> </w:t>
      </w:r>
      <w:r>
        <w:rPr>
          <w:color w:val="231F20"/>
        </w:rPr>
        <w:t>иссле- довала изменение отношения к меньшинствам у участников «Живой библиотеки». Группа состояла из 87 участников, которых оценивали трижды: до события, сразу после</w:t>
      </w:r>
      <w:r>
        <w:rPr>
          <w:color w:val="231F20"/>
          <w:spacing w:val="-9"/>
        </w:rPr>
        <w:t> </w:t>
      </w:r>
      <w:r>
        <w:rPr>
          <w:color w:val="231F20"/>
        </w:rPr>
        <w:t>события</w:t>
      </w:r>
      <w:r>
        <w:rPr>
          <w:color w:val="231F20"/>
          <w:spacing w:val="-9"/>
        </w:rPr>
        <w:t> </w:t>
      </w:r>
      <w:r>
        <w:rPr>
          <w:color w:val="231F20"/>
        </w:rPr>
        <w:t>и</w:t>
      </w:r>
      <w:r>
        <w:rPr>
          <w:color w:val="231F20"/>
          <w:spacing w:val="-9"/>
        </w:rPr>
        <w:t> </w:t>
      </w:r>
      <w:r>
        <w:rPr>
          <w:color w:val="231F20"/>
        </w:rPr>
        <w:t>через</w:t>
      </w:r>
      <w:r>
        <w:rPr>
          <w:color w:val="231F20"/>
          <w:spacing w:val="-9"/>
        </w:rPr>
        <w:t> </w:t>
      </w:r>
      <w:r>
        <w:rPr>
          <w:color w:val="231F20"/>
        </w:rPr>
        <w:t>месяц</w:t>
      </w:r>
      <w:r>
        <w:rPr>
          <w:color w:val="231F20"/>
          <w:spacing w:val="-9"/>
        </w:rPr>
        <w:t> </w:t>
      </w:r>
      <w:r>
        <w:rPr>
          <w:color w:val="231F20"/>
        </w:rPr>
        <w:t>после</w:t>
      </w:r>
      <w:r>
        <w:rPr>
          <w:color w:val="231F20"/>
          <w:spacing w:val="-9"/>
        </w:rPr>
        <w:t> </w:t>
      </w:r>
      <w:r>
        <w:rPr>
          <w:color w:val="231F20"/>
        </w:rPr>
        <w:t>события.</w:t>
      </w:r>
      <w:r>
        <w:rPr>
          <w:color w:val="231F20"/>
          <w:spacing w:val="33"/>
        </w:rPr>
        <w:t> </w:t>
      </w:r>
      <w:r>
        <w:rPr>
          <w:color w:val="231F20"/>
        </w:rPr>
        <w:t>Были</w:t>
      </w:r>
      <w:r>
        <w:rPr>
          <w:color w:val="231F20"/>
          <w:spacing w:val="-9"/>
        </w:rPr>
        <w:t> </w:t>
      </w:r>
      <w:r>
        <w:rPr>
          <w:color w:val="231F20"/>
        </w:rPr>
        <w:t>получены</w:t>
      </w:r>
      <w:r>
        <w:rPr>
          <w:color w:val="231F20"/>
          <w:spacing w:val="-9"/>
        </w:rPr>
        <w:t> </w:t>
      </w:r>
      <w:r>
        <w:rPr>
          <w:color w:val="231F20"/>
        </w:rPr>
        <w:t>положительные</w:t>
      </w:r>
      <w:r>
        <w:rPr>
          <w:color w:val="231F20"/>
          <w:spacing w:val="-9"/>
        </w:rPr>
        <w:t> </w:t>
      </w:r>
      <w:r>
        <w:rPr>
          <w:color w:val="231F20"/>
        </w:rPr>
        <w:t>резуль- таты</w:t>
      </w:r>
      <w:r>
        <w:rPr>
          <w:color w:val="231F20"/>
          <w:spacing w:val="-2"/>
        </w:rPr>
        <w:t> </w:t>
      </w:r>
      <w:r>
        <w:rPr>
          <w:color w:val="231F20"/>
        </w:rPr>
        <w:t>в</w:t>
      </w:r>
      <w:r>
        <w:rPr>
          <w:color w:val="231F20"/>
          <w:spacing w:val="-2"/>
        </w:rPr>
        <w:t> </w:t>
      </w:r>
      <w:r>
        <w:rPr>
          <w:color w:val="231F20"/>
        </w:rPr>
        <w:t>поддержку</w:t>
      </w:r>
      <w:r>
        <w:rPr>
          <w:color w:val="231F20"/>
          <w:spacing w:val="-2"/>
        </w:rPr>
        <w:t> </w:t>
      </w:r>
      <w:r>
        <w:rPr>
          <w:color w:val="231F20"/>
        </w:rPr>
        <w:t>конечной</w:t>
      </w:r>
      <w:r>
        <w:rPr>
          <w:color w:val="231F20"/>
          <w:spacing w:val="-2"/>
        </w:rPr>
        <w:t> </w:t>
      </w:r>
      <w:r>
        <w:rPr>
          <w:color w:val="231F20"/>
        </w:rPr>
        <w:t>цели</w:t>
      </w:r>
      <w:r>
        <w:rPr>
          <w:color w:val="231F20"/>
          <w:spacing w:val="-2"/>
        </w:rPr>
        <w:t> </w:t>
      </w:r>
      <w:r>
        <w:rPr>
          <w:color w:val="231F20"/>
        </w:rPr>
        <w:t>социальной</w:t>
      </w:r>
      <w:r>
        <w:rPr>
          <w:color w:val="231F20"/>
          <w:spacing w:val="-1"/>
        </w:rPr>
        <w:t> </w:t>
      </w:r>
      <w:r>
        <w:rPr>
          <w:color w:val="231F20"/>
        </w:rPr>
        <w:t>практики</w:t>
      </w:r>
      <w:r>
        <w:rPr>
          <w:color w:val="231F20"/>
          <w:spacing w:val="-2"/>
        </w:rPr>
        <w:t> </w:t>
      </w:r>
      <w:r>
        <w:rPr>
          <w:color w:val="231F20"/>
        </w:rPr>
        <w:t>«Живая</w:t>
      </w:r>
      <w:r>
        <w:rPr>
          <w:color w:val="231F20"/>
          <w:spacing w:val="-2"/>
        </w:rPr>
        <w:t> </w:t>
      </w:r>
      <w:r>
        <w:rPr>
          <w:color w:val="231F20"/>
        </w:rPr>
        <w:t>библиотека».</w:t>
      </w:r>
      <w:r>
        <w:rPr>
          <w:color w:val="231F20"/>
          <w:spacing w:val="-2"/>
        </w:rPr>
        <w:t> </w:t>
      </w:r>
      <w:r>
        <w:rPr>
          <w:color w:val="231F20"/>
        </w:rPr>
        <w:t>Иссле- дование</w:t>
      </w:r>
      <w:r>
        <w:rPr>
          <w:color w:val="231F20"/>
          <w:spacing w:val="-2"/>
        </w:rPr>
        <w:t> </w:t>
      </w:r>
      <w:r>
        <w:rPr>
          <w:color w:val="231F20"/>
        </w:rPr>
        <w:t>показало,</w:t>
      </w:r>
      <w:r>
        <w:rPr>
          <w:color w:val="231F20"/>
          <w:spacing w:val="-2"/>
        </w:rPr>
        <w:t> </w:t>
      </w:r>
      <w:r>
        <w:rPr>
          <w:color w:val="231F20"/>
        </w:rPr>
        <w:t>что</w:t>
      </w:r>
      <w:r>
        <w:rPr>
          <w:color w:val="231F20"/>
          <w:spacing w:val="-2"/>
        </w:rPr>
        <w:t> </w:t>
      </w:r>
      <w:r>
        <w:rPr>
          <w:color w:val="231F20"/>
        </w:rPr>
        <w:t>даже</w:t>
      </w:r>
      <w:r>
        <w:rPr>
          <w:color w:val="231F20"/>
          <w:spacing w:val="-2"/>
        </w:rPr>
        <w:t> </w:t>
      </w:r>
      <w:r>
        <w:rPr>
          <w:color w:val="231F20"/>
        </w:rPr>
        <w:t>короткой</w:t>
      </w:r>
      <w:r>
        <w:rPr>
          <w:color w:val="231F20"/>
          <w:spacing w:val="-2"/>
        </w:rPr>
        <w:t> </w:t>
      </w:r>
      <w:r>
        <w:rPr>
          <w:color w:val="231F20"/>
        </w:rPr>
        <w:t>беседы,</w:t>
      </w:r>
      <w:r>
        <w:rPr>
          <w:color w:val="231F20"/>
          <w:spacing w:val="-2"/>
        </w:rPr>
        <w:t> </w:t>
      </w:r>
      <w:r>
        <w:rPr>
          <w:color w:val="231F20"/>
        </w:rPr>
        <w:t>в</w:t>
      </w:r>
      <w:r>
        <w:rPr>
          <w:color w:val="231F20"/>
          <w:spacing w:val="-2"/>
        </w:rPr>
        <w:t> </w:t>
      </w:r>
      <w:r>
        <w:rPr>
          <w:color w:val="231F20"/>
        </w:rPr>
        <w:t>которой</w:t>
      </w:r>
      <w:r>
        <w:rPr>
          <w:color w:val="231F20"/>
          <w:spacing w:val="-2"/>
        </w:rPr>
        <w:t> </w:t>
      </w:r>
      <w:r>
        <w:rPr>
          <w:color w:val="231F20"/>
        </w:rPr>
        <w:t>люди</w:t>
      </w:r>
      <w:r>
        <w:rPr>
          <w:color w:val="231F20"/>
          <w:spacing w:val="-2"/>
        </w:rPr>
        <w:t> </w:t>
      </w:r>
      <w:r>
        <w:rPr>
          <w:color w:val="231F20"/>
        </w:rPr>
        <w:t>участвуют</w:t>
      </w:r>
      <w:r>
        <w:rPr>
          <w:color w:val="231F20"/>
          <w:spacing w:val="-2"/>
        </w:rPr>
        <w:t> </w:t>
      </w:r>
      <w:r>
        <w:rPr>
          <w:color w:val="231F20"/>
        </w:rPr>
        <w:t>доброволь- но,</w:t>
      </w:r>
      <w:r>
        <w:rPr>
          <w:color w:val="231F20"/>
          <w:spacing w:val="-13"/>
        </w:rPr>
        <w:t> </w:t>
      </w:r>
      <w:r>
        <w:rPr>
          <w:color w:val="231F20"/>
        </w:rPr>
        <w:t>может</w:t>
      </w:r>
      <w:r>
        <w:rPr>
          <w:color w:val="231F20"/>
          <w:spacing w:val="-12"/>
        </w:rPr>
        <w:t> </w:t>
      </w:r>
      <w:r>
        <w:rPr>
          <w:color w:val="231F20"/>
        </w:rPr>
        <w:t>быть</w:t>
      </w:r>
      <w:r>
        <w:rPr>
          <w:color w:val="231F20"/>
          <w:spacing w:val="-13"/>
        </w:rPr>
        <w:t> </w:t>
      </w:r>
      <w:r>
        <w:rPr>
          <w:color w:val="231F20"/>
        </w:rPr>
        <w:t>достаточно,</w:t>
      </w:r>
      <w:r>
        <w:rPr>
          <w:color w:val="231F20"/>
          <w:spacing w:val="-12"/>
        </w:rPr>
        <w:t> </w:t>
      </w:r>
      <w:r>
        <w:rPr>
          <w:color w:val="231F20"/>
        </w:rPr>
        <w:t>чтобы</w:t>
      </w:r>
      <w:r>
        <w:rPr>
          <w:color w:val="231F20"/>
          <w:spacing w:val="-13"/>
        </w:rPr>
        <w:t> </w:t>
      </w:r>
      <w:r>
        <w:rPr>
          <w:color w:val="231F20"/>
        </w:rPr>
        <w:t>заложить</w:t>
      </w:r>
      <w:r>
        <w:rPr>
          <w:color w:val="231F20"/>
          <w:spacing w:val="-12"/>
        </w:rPr>
        <w:t> </w:t>
      </w:r>
      <w:r>
        <w:rPr>
          <w:color w:val="231F20"/>
        </w:rPr>
        <w:t>основы</w:t>
      </w:r>
      <w:r>
        <w:rPr>
          <w:color w:val="231F20"/>
          <w:spacing w:val="-13"/>
        </w:rPr>
        <w:t> </w:t>
      </w:r>
      <w:r>
        <w:rPr>
          <w:color w:val="231F20"/>
        </w:rPr>
        <w:t>позитивного</w:t>
      </w:r>
      <w:r>
        <w:rPr>
          <w:color w:val="231F20"/>
          <w:spacing w:val="-12"/>
        </w:rPr>
        <w:t> </w:t>
      </w:r>
      <w:r>
        <w:rPr>
          <w:color w:val="231F20"/>
        </w:rPr>
        <w:t>отношения</w:t>
      </w:r>
      <w:r>
        <w:rPr>
          <w:color w:val="231F20"/>
          <w:spacing w:val="-13"/>
        </w:rPr>
        <w:t> </w:t>
      </w:r>
      <w:r>
        <w:rPr>
          <w:color w:val="231F20"/>
        </w:rPr>
        <w:t>к</w:t>
      </w:r>
      <w:r>
        <w:rPr>
          <w:color w:val="231F20"/>
          <w:spacing w:val="-12"/>
        </w:rPr>
        <w:t> </w:t>
      </w:r>
      <w:r>
        <w:rPr>
          <w:color w:val="231F20"/>
        </w:rPr>
        <w:t>группе меньшинств.</w:t>
      </w:r>
      <w:r>
        <w:rPr>
          <w:color w:val="231F20"/>
          <w:spacing w:val="-13"/>
        </w:rPr>
        <w:t> </w:t>
      </w:r>
      <w:r>
        <w:rPr>
          <w:color w:val="231F20"/>
        </w:rPr>
        <w:t>О</w:t>
      </w:r>
      <w:r>
        <w:rPr>
          <w:color w:val="231F20"/>
          <w:spacing w:val="-12"/>
        </w:rPr>
        <w:t> </w:t>
      </w:r>
      <w:r>
        <w:rPr>
          <w:color w:val="231F20"/>
        </w:rPr>
        <w:t>мероприятии</w:t>
      </w:r>
      <w:r>
        <w:rPr>
          <w:color w:val="231F20"/>
          <w:spacing w:val="-13"/>
        </w:rPr>
        <w:t> </w:t>
      </w:r>
      <w:r>
        <w:rPr>
          <w:color w:val="231F20"/>
        </w:rPr>
        <w:t>участники</w:t>
      </w:r>
      <w:r>
        <w:rPr>
          <w:color w:val="231F20"/>
          <w:spacing w:val="-12"/>
        </w:rPr>
        <w:t> </w:t>
      </w:r>
      <w:r>
        <w:rPr>
          <w:color w:val="231F20"/>
        </w:rPr>
        <w:t>отзывались</w:t>
      </w:r>
      <w:r>
        <w:rPr>
          <w:color w:val="231F20"/>
          <w:spacing w:val="-13"/>
        </w:rPr>
        <w:t> </w:t>
      </w:r>
      <w:r>
        <w:rPr>
          <w:color w:val="231F20"/>
        </w:rPr>
        <w:t>положительно,</w:t>
      </w:r>
      <w:r>
        <w:rPr>
          <w:color w:val="231F20"/>
          <w:spacing w:val="-12"/>
        </w:rPr>
        <w:t> </w:t>
      </w:r>
      <w:r>
        <w:rPr>
          <w:color w:val="231F20"/>
        </w:rPr>
        <w:t>указывая,</w:t>
      </w:r>
      <w:r>
        <w:rPr>
          <w:color w:val="231F20"/>
          <w:spacing w:val="-13"/>
        </w:rPr>
        <w:t> </w:t>
      </w:r>
      <w:r>
        <w:rPr>
          <w:color w:val="231F20"/>
        </w:rPr>
        <w:t>что</w:t>
      </w:r>
      <w:r>
        <w:rPr>
          <w:color w:val="231F20"/>
          <w:spacing w:val="-12"/>
        </w:rPr>
        <w:t> </w:t>
      </w:r>
      <w:r>
        <w:rPr>
          <w:color w:val="231F20"/>
        </w:rPr>
        <w:t>они больше узнали о стереотипной группе, а страх общения с ними уменьшился.</w:t>
      </w:r>
    </w:p>
    <w:p>
      <w:pPr>
        <w:pStyle w:val="BodyText"/>
        <w:spacing w:line="235" w:lineRule="auto" w:before="6"/>
      </w:pPr>
      <w:r>
        <w:rPr>
          <w:color w:val="231F20"/>
        </w:rPr>
        <w:t>В экспериментальном исследовании с использованием мультигруппового пре- тест-посттест</w:t>
      </w:r>
      <w:r>
        <w:rPr>
          <w:color w:val="231F20"/>
          <w:spacing w:val="6"/>
        </w:rPr>
        <w:t> </w:t>
      </w:r>
      <w:r>
        <w:rPr>
          <w:color w:val="231F20"/>
        </w:rPr>
        <w:t>дизайна</w:t>
      </w:r>
      <w:r>
        <w:rPr>
          <w:color w:val="231F20"/>
          <w:spacing w:val="7"/>
        </w:rPr>
        <w:t> </w:t>
      </w:r>
      <w:r>
        <w:rPr>
          <w:color w:val="231F20"/>
        </w:rPr>
        <w:t>(Chung</w:t>
      </w:r>
      <w:r>
        <w:rPr>
          <w:color w:val="231F20"/>
          <w:spacing w:val="-2"/>
        </w:rPr>
        <w:t> </w:t>
      </w:r>
      <w:r>
        <w:rPr>
          <w:color w:val="231F20"/>
        </w:rPr>
        <w:t>and</w:t>
      </w:r>
      <w:r>
        <w:rPr>
          <w:color w:val="231F20"/>
          <w:spacing w:val="3"/>
        </w:rPr>
        <w:t> </w:t>
      </w:r>
      <w:r>
        <w:rPr>
          <w:color w:val="231F20"/>
        </w:rPr>
        <w:t>Tse,</w:t>
      </w:r>
      <w:r>
        <w:rPr>
          <w:color w:val="231F20"/>
          <w:spacing w:val="7"/>
        </w:rPr>
        <w:t> </w:t>
      </w:r>
      <w:r>
        <w:rPr>
          <w:color w:val="231F20"/>
        </w:rPr>
        <w:t>2022)</w:t>
      </w:r>
      <w:r>
        <w:rPr>
          <w:color w:val="231F20"/>
          <w:spacing w:val="7"/>
        </w:rPr>
        <w:t> </w:t>
      </w:r>
      <w:r>
        <w:rPr>
          <w:color w:val="231F20"/>
        </w:rPr>
        <w:t>обнаружен</w:t>
      </w:r>
      <w:r>
        <w:rPr>
          <w:color w:val="231F20"/>
          <w:spacing w:val="7"/>
        </w:rPr>
        <w:t> </w:t>
      </w:r>
      <w:r>
        <w:rPr>
          <w:color w:val="231F20"/>
        </w:rPr>
        <w:t>значимый</w:t>
      </w:r>
      <w:r>
        <w:rPr>
          <w:color w:val="231F20"/>
          <w:spacing w:val="7"/>
        </w:rPr>
        <w:t> </w:t>
      </w:r>
      <w:r>
        <w:rPr>
          <w:color w:val="231F20"/>
        </w:rPr>
        <w:t>эффект</w:t>
      </w:r>
      <w:r>
        <w:rPr>
          <w:color w:val="231F20"/>
          <w:spacing w:val="7"/>
        </w:rPr>
        <w:t> </w:t>
      </w:r>
      <w:r>
        <w:rPr>
          <w:color w:val="231F20"/>
        </w:rPr>
        <w:t>участия</w:t>
      </w:r>
      <w:r>
        <w:rPr>
          <w:color w:val="231F20"/>
          <w:spacing w:val="7"/>
        </w:rPr>
        <w:t> </w:t>
      </w:r>
      <w:r>
        <w:rPr>
          <w:color w:val="231F20"/>
          <w:spacing w:val="-10"/>
        </w:rPr>
        <w:t>в</w:t>
      </w:r>
    </w:p>
    <w:p>
      <w:pPr>
        <w:pStyle w:val="BodyText"/>
        <w:spacing w:line="235" w:lineRule="auto" w:before="1"/>
        <w:ind w:firstLine="0"/>
      </w:pPr>
      <w:r>
        <w:rPr>
          <w:color w:val="231F20"/>
        </w:rPr>
        <w:t>«Живой</w:t>
      </w:r>
      <w:r>
        <w:rPr>
          <w:color w:val="231F20"/>
          <w:spacing w:val="-5"/>
        </w:rPr>
        <w:t> </w:t>
      </w:r>
      <w:r>
        <w:rPr>
          <w:color w:val="231F20"/>
        </w:rPr>
        <w:t>библиотеке»,</w:t>
      </w:r>
      <w:r>
        <w:rPr>
          <w:color w:val="231F20"/>
          <w:spacing w:val="-5"/>
        </w:rPr>
        <w:t> </w:t>
      </w:r>
      <w:r>
        <w:rPr>
          <w:color w:val="231F20"/>
        </w:rPr>
        <w:t>что</w:t>
      </w:r>
      <w:r>
        <w:rPr>
          <w:color w:val="231F20"/>
          <w:spacing w:val="-5"/>
        </w:rPr>
        <w:t> </w:t>
      </w:r>
      <w:r>
        <w:rPr>
          <w:color w:val="231F20"/>
        </w:rPr>
        <w:t>способствует</w:t>
      </w:r>
      <w:r>
        <w:rPr>
          <w:color w:val="231F20"/>
          <w:spacing w:val="-5"/>
        </w:rPr>
        <w:t> </w:t>
      </w:r>
      <w:r>
        <w:rPr>
          <w:color w:val="231F20"/>
        </w:rPr>
        <w:t>снижению</w:t>
      </w:r>
      <w:r>
        <w:rPr>
          <w:color w:val="231F20"/>
          <w:spacing w:val="-5"/>
        </w:rPr>
        <w:t> </w:t>
      </w:r>
      <w:r>
        <w:rPr>
          <w:color w:val="231F20"/>
        </w:rPr>
        <w:t>стигматизации</w:t>
      </w:r>
      <w:r>
        <w:rPr>
          <w:color w:val="231F20"/>
          <w:spacing w:val="-5"/>
        </w:rPr>
        <w:t> </w:t>
      </w:r>
      <w:r>
        <w:rPr>
          <w:color w:val="231F20"/>
        </w:rPr>
        <w:t>и</w:t>
      </w:r>
      <w:r>
        <w:rPr>
          <w:color w:val="231F20"/>
          <w:spacing w:val="-5"/>
        </w:rPr>
        <w:t> </w:t>
      </w:r>
      <w:r>
        <w:rPr>
          <w:color w:val="231F20"/>
        </w:rPr>
        <w:t>социальной</w:t>
      </w:r>
      <w:r>
        <w:rPr>
          <w:color w:val="231F20"/>
          <w:spacing w:val="-5"/>
        </w:rPr>
        <w:t> </w:t>
      </w:r>
      <w:r>
        <w:rPr>
          <w:color w:val="231F20"/>
        </w:rPr>
        <w:t>дис- танции по отношению к людям с ментальными расстройствами.</w:t>
      </w:r>
    </w:p>
    <w:p>
      <w:pPr>
        <w:pStyle w:val="BodyText"/>
        <w:spacing w:line="235" w:lineRule="auto" w:before="2"/>
      </w:pPr>
      <w:r>
        <w:rPr>
          <w:color w:val="231F20"/>
        </w:rPr>
        <w:t>В исследовании эффективности использования «Живой библиотеки» в россий- ской</w:t>
      </w:r>
      <w:r>
        <w:rPr>
          <w:color w:val="231F20"/>
          <w:spacing w:val="-6"/>
        </w:rPr>
        <w:t> </w:t>
      </w:r>
      <w:r>
        <w:rPr>
          <w:color w:val="231F20"/>
        </w:rPr>
        <w:t>школе</w:t>
      </w:r>
      <w:r>
        <w:rPr>
          <w:color w:val="231F20"/>
          <w:spacing w:val="-6"/>
        </w:rPr>
        <w:t> </w:t>
      </w:r>
      <w:r>
        <w:rPr>
          <w:color w:val="231F20"/>
        </w:rPr>
        <w:t>(Варшавер,</w:t>
      </w:r>
      <w:r>
        <w:rPr>
          <w:color w:val="231F20"/>
          <w:spacing w:val="-6"/>
        </w:rPr>
        <w:t> </w:t>
      </w:r>
      <w:r>
        <w:rPr>
          <w:color w:val="231F20"/>
        </w:rPr>
        <w:t>Рочева,</w:t>
      </w:r>
      <w:r>
        <w:rPr>
          <w:color w:val="231F20"/>
          <w:spacing w:val="-6"/>
        </w:rPr>
        <w:t> </w:t>
      </w:r>
      <w:r>
        <w:rPr>
          <w:color w:val="231F20"/>
        </w:rPr>
        <w:t>Иванова,</w:t>
      </w:r>
      <w:r>
        <w:rPr>
          <w:color w:val="231F20"/>
          <w:spacing w:val="-6"/>
        </w:rPr>
        <w:t> </w:t>
      </w:r>
      <w:r>
        <w:rPr>
          <w:color w:val="231F20"/>
        </w:rPr>
        <w:t>2015)</w:t>
      </w:r>
      <w:r>
        <w:rPr>
          <w:color w:val="231F20"/>
          <w:spacing w:val="-6"/>
        </w:rPr>
        <w:t> </w:t>
      </w:r>
      <w:r>
        <w:rPr>
          <w:color w:val="231F20"/>
        </w:rPr>
        <w:t>были</w:t>
      </w:r>
      <w:r>
        <w:rPr>
          <w:color w:val="231F20"/>
          <w:spacing w:val="-6"/>
        </w:rPr>
        <w:t> </w:t>
      </w:r>
      <w:r>
        <w:rPr>
          <w:color w:val="231F20"/>
        </w:rPr>
        <w:t>получены</w:t>
      </w:r>
      <w:r>
        <w:rPr>
          <w:color w:val="231F20"/>
          <w:spacing w:val="-6"/>
        </w:rPr>
        <w:t> </w:t>
      </w:r>
      <w:r>
        <w:rPr>
          <w:color w:val="231F20"/>
        </w:rPr>
        <w:t>следующие</w:t>
      </w:r>
      <w:r>
        <w:rPr>
          <w:color w:val="231F20"/>
          <w:spacing w:val="-6"/>
        </w:rPr>
        <w:t> </w:t>
      </w:r>
      <w:r>
        <w:rPr>
          <w:color w:val="231F20"/>
        </w:rPr>
        <w:t>результа- ты. Обнаружены позитивные изменения показателей тревожности в связи с мигран- тами</w:t>
      </w:r>
      <w:r>
        <w:rPr>
          <w:color w:val="231F20"/>
          <w:spacing w:val="6"/>
        </w:rPr>
        <w:t> </w:t>
      </w:r>
      <w:r>
        <w:rPr>
          <w:color w:val="231F20"/>
        </w:rPr>
        <w:t>–</w:t>
      </w:r>
      <w:r>
        <w:rPr>
          <w:color w:val="231F20"/>
          <w:spacing w:val="7"/>
        </w:rPr>
        <w:t> </w:t>
      </w:r>
      <w:r>
        <w:rPr>
          <w:color w:val="231F20"/>
        </w:rPr>
        <w:t>стереотипы</w:t>
      </w:r>
      <w:r>
        <w:rPr>
          <w:color w:val="231F20"/>
          <w:spacing w:val="7"/>
        </w:rPr>
        <w:t> </w:t>
      </w:r>
      <w:r>
        <w:rPr>
          <w:color w:val="231F20"/>
        </w:rPr>
        <w:t>представителей</w:t>
      </w:r>
      <w:r>
        <w:rPr>
          <w:color w:val="231F20"/>
          <w:spacing w:val="7"/>
        </w:rPr>
        <w:t> </w:t>
      </w:r>
      <w:r>
        <w:rPr>
          <w:color w:val="231F20"/>
        </w:rPr>
        <w:t>принимающего</w:t>
      </w:r>
      <w:r>
        <w:rPr>
          <w:color w:val="231F20"/>
          <w:spacing w:val="7"/>
        </w:rPr>
        <w:t> </w:t>
      </w:r>
      <w:r>
        <w:rPr>
          <w:color w:val="231F20"/>
        </w:rPr>
        <w:t>общества</w:t>
      </w:r>
      <w:r>
        <w:rPr>
          <w:color w:val="231F20"/>
          <w:spacing w:val="7"/>
        </w:rPr>
        <w:t> </w:t>
      </w:r>
      <w:r>
        <w:rPr>
          <w:color w:val="231F20"/>
        </w:rPr>
        <w:t>ослабевают.</w:t>
      </w:r>
      <w:r>
        <w:rPr>
          <w:color w:val="231F20"/>
          <w:spacing w:val="8"/>
        </w:rPr>
        <w:t> </w:t>
      </w:r>
      <w:r>
        <w:rPr>
          <w:color w:val="231F20"/>
          <w:spacing w:val="-2"/>
        </w:rPr>
        <w:t>Показаны</w:t>
      </w:r>
    </w:p>
    <w:p>
      <w:pPr>
        <w:pStyle w:val="BodyText"/>
        <w:spacing w:after="0" w:line="235" w:lineRule="auto"/>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firstLine="0"/>
      </w:pPr>
      <w:r>
        <w:rPr>
          <w:color w:val="231F20"/>
        </w:rPr>
        <w:t>позитивные изменения показателей отношения к стереотипизированным группам – граница между «своими» и «чужими» размывается.</w:t>
      </w:r>
    </w:p>
    <w:p>
      <w:pPr>
        <w:pStyle w:val="BodyText"/>
        <w:spacing w:line="235" w:lineRule="auto" w:before="1"/>
      </w:pPr>
      <w:r>
        <w:rPr>
          <w:color w:val="231F20"/>
        </w:rPr>
        <w:t>Результаты</w:t>
      </w:r>
      <w:r>
        <w:rPr>
          <w:color w:val="231F20"/>
          <w:spacing w:val="-4"/>
        </w:rPr>
        <w:t> </w:t>
      </w:r>
      <w:r>
        <w:rPr>
          <w:color w:val="231F20"/>
        </w:rPr>
        <w:t>позволяют</w:t>
      </w:r>
      <w:r>
        <w:rPr>
          <w:color w:val="231F20"/>
          <w:spacing w:val="-4"/>
        </w:rPr>
        <w:t> </w:t>
      </w:r>
      <w:r>
        <w:rPr>
          <w:color w:val="231F20"/>
        </w:rPr>
        <w:t>с</w:t>
      </w:r>
      <w:r>
        <w:rPr>
          <w:color w:val="231F20"/>
          <w:spacing w:val="-4"/>
        </w:rPr>
        <w:t> </w:t>
      </w:r>
      <w:r>
        <w:rPr>
          <w:color w:val="231F20"/>
        </w:rPr>
        <w:t>уверенностью</w:t>
      </w:r>
      <w:r>
        <w:rPr>
          <w:color w:val="231F20"/>
          <w:spacing w:val="-4"/>
        </w:rPr>
        <w:t> </w:t>
      </w:r>
      <w:r>
        <w:rPr>
          <w:color w:val="231F20"/>
        </w:rPr>
        <w:t>говорить,</w:t>
      </w:r>
      <w:r>
        <w:rPr>
          <w:color w:val="231F20"/>
          <w:spacing w:val="-4"/>
        </w:rPr>
        <w:t> </w:t>
      </w:r>
      <w:r>
        <w:rPr>
          <w:color w:val="231F20"/>
        </w:rPr>
        <w:t>что</w:t>
      </w:r>
      <w:r>
        <w:rPr>
          <w:color w:val="231F20"/>
          <w:spacing w:val="-4"/>
        </w:rPr>
        <w:t> </w:t>
      </w:r>
      <w:r>
        <w:rPr>
          <w:color w:val="231F20"/>
        </w:rPr>
        <w:t>«Живая</w:t>
      </w:r>
      <w:r>
        <w:rPr>
          <w:color w:val="231F20"/>
          <w:spacing w:val="-4"/>
        </w:rPr>
        <w:t> </w:t>
      </w:r>
      <w:r>
        <w:rPr>
          <w:color w:val="231F20"/>
        </w:rPr>
        <w:t>библиотека»</w:t>
      </w:r>
      <w:r>
        <w:rPr>
          <w:color w:val="231F20"/>
          <w:spacing w:val="-4"/>
        </w:rPr>
        <w:t> </w:t>
      </w:r>
      <w:r>
        <w:rPr>
          <w:color w:val="231F20"/>
        </w:rPr>
        <w:t>оказы- вает</w:t>
      </w:r>
      <w:r>
        <w:rPr>
          <w:color w:val="231F20"/>
          <w:spacing w:val="-3"/>
        </w:rPr>
        <w:t> </w:t>
      </w:r>
      <w:r>
        <w:rPr>
          <w:color w:val="231F20"/>
        </w:rPr>
        <w:t>положительное</w:t>
      </w:r>
      <w:r>
        <w:rPr>
          <w:color w:val="231F20"/>
          <w:spacing w:val="-3"/>
        </w:rPr>
        <w:t> </w:t>
      </w:r>
      <w:r>
        <w:rPr>
          <w:color w:val="231F20"/>
        </w:rPr>
        <w:t>воздействие</w:t>
      </w:r>
      <w:r>
        <w:rPr>
          <w:color w:val="231F20"/>
          <w:spacing w:val="-3"/>
        </w:rPr>
        <w:t> </w:t>
      </w:r>
      <w:r>
        <w:rPr>
          <w:color w:val="231F20"/>
        </w:rPr>
        <w:t>на</w:t>
      </w:r>
      <w:r>
        <w:rPr>
          <w:color w:val="231F20"/>
          <w:spacing w:val="-3"/>
        </w:rPr>
        <w:t> </w:t>
      </w:r>
      <w:r>
        <w:rPr>
          <w:color w:val="231F20"/>
        </w:rPr>
        <w:t>характеристики</w:t>
      </w:r>
      <w:r>
        <w:rPr>
          <w:color w:val="231F20"/>
          <w:spacing w:val="-3"/>
        </w:rPr>
        <w:t> </w:t>
      </w:r>
      <w:r>
        <w:rPr>
          <w:color w:val="231F20"/>
        </w:rPr>
        <w:t>стереотипов</w:t>
      </w:r>
      <w:r>
        <w:rPr>
          <w:color w:val="231F20"/>
          <w:spacing w:val="-3"/>
        </w:rPr>
        <w:t> </w:t>
      </w:r>
      <w:r>
        <w:rPr>
          <w:color w:val="231F20"/>
        </w:rPr>
        <w:t>в</w:t>
      </w:r>
      <w:r>
        <w:rPr>
          <w:color w:val="231F20"/>
          <w:spacing w:val="-3"/>
        </w:rPr>
        <w:t> </w:t>
      </w:r>
      <w:r>
        <w:rPr>
          <w:color w:val="231F20"/>
        </w:rPr>
        <w:t>отношении</w:t>
      </w:r>
      <w:r>
        <w:rPr>
          <w:color w:val="231F20"/>
          <w:spacing w:val="-3"/>
        </w:rPr>
        <w:t> </w:t>
      </w:r>
      <w:r>
        <w:rPr>
          <w:color w:val="231F20"/>
        </w:rPr>
        <w:t>групп и категорий, рассматриваемых как «другие».</w:t>
      </w:r>
    </w:p>
    <w:p>
      <w:pPr>
        <w:pStyle w:val="BodyText"/>
        <w:spacing w:line="235" w:lineRule="auto" w:before="2"/>
      </w:pPr>
      <w:r>
        <w:rPr>
          <w:color w:val="231F20"/>
        </w:rPr>
        <w:t>Проверка</w:t>
      </w:r>
      <w:r>
        <w:rPr>
          <w:color w:val="231F20"/>
          <w:spacing w:val="-8"/>
        </w:rPr>
        <w:t> </w:t>
      </w:r>
      <w:r>
        <w:rPr>
          <w:color w:val="231F20"/>
        </w:rPr>
        <w:t>эффективности</w:t>
      </w:r>
      <w:r>
        <w:rPr>
          <w:color w:val="231F20"/>
          <w:spacing w:val="-8"/>
        </w:rPr>
        <w:t> </w:t>
      </w:r>
      <w:r>
        <w:rPr>
          <w:color w:val="231F20"/>
        </w:rPr>
        <w:t>данной</w:t>
      </w:r>
      <w:r>
        <w:rPr>
          <w:color w:val="231F20"/>
          <w:spacing w:val="-8"/>
        </w:rPr>
        <w:t> </w:t>
      </w:r>
      <w:r>
        <w:rPr>
          <w:color w:val="231F20"/>
        </w:rPr>
        <w:t>практики</w:t>
      </w:r>
      <w:r>
        <w:rPr>
          <w:color w:val="231F20"/>
          <w:spacing w:val="-8"/>
        </w:rPr>
        <w:t> </w:t>
      </w:r>
      <w:r>
        <w:rPr>
          <w:color w:val="231F20"/>
        </w:rPr>
        <w:t>была</w:t>
      </w:r>
      <w:r>
        <w:rPr>
          <w:color w:val="231F20"/>
          <w:spacing w:val="-8"/>
        </w:rPr>
        <w:t> </w:t>
      </w:r>
      <w:r>
        <w:rPr>
          <w:color w:val="231F20"/>
        </w:rPr>
        <w:t>осуществлена</w:t>
      </w:r>
      <w:r>
        <w:rPr>
          <w:color w:val="231F20"/>
          <w:spacing w:val="-8"/>
        </w:rPr>
        <w:t> </w:t>
      </w:r>
      <w:r>
        <w:rPr>
          <w:color w:val="231F20"/>
        </w:rPr>
        <w:t>на</w:t>
      </w:r>
      <w:r>
        <w:rPr>
          <w:color w:val="231F20"/>
          <w:spacing w:val="-8"/>
        </w:rPr>
        <w:t> </w:t>
      </w:r>
      <w:r>
        <w:rPr>
          <w:color w:val="231F20"/>
        </w:rPr>
        <w:t>выборке</w:t>
      </w:r>
      <w:r>
        <w:rPr>
          <w:color w:val="231F20"/>
          <w:spacing w:val="-8"/>
        </w:rPr>
        <w:t> </w:t>
      </w:r>
      <w:r>
        <w:rPr>
          <w:color w:val="231F20"/>
        </w:rPr>
        <w:t>обуча- ющихся (Nобщ=358) в рамках реализации Государственного задания Министерства просвещения Российской Федерации № 073-00038-23-01 от 08.02.2023 г. «Оценка эффективности реализации программы психолого-педагогического сопровождения процессов</w:t>
      </w:r>
      <w:r>
        <w:rPr>
          <w:color w:val="231F20"/>
          <w:spacing w:val="-7"/>
        </w:rPr>
        <w:t> </w:t>
      </w:r>
      <w:r>
        <w:rPr>
          <w:color w:val="231F20"/>
        </w:rPr>
        <w:t>обучения,</w:t>
      </w:r>
      <w:r>
        <w:rPr>
          <w:color w:val="231F20"/>
          <w:spacing w:val="-7"/>
        </w:rPr>
        <w:t> </w:t>
      </w:r>
      <w:r>
        <w:rPr>
          <w:color w:val="231F20"/>
        </w:rPr>
        <w:t>социальной,</w:t>
      </w:r>
      <w:r>
        <w:rPr>
          <w:color w:val="231F20"/>
          <w:spacing w:val="-7"/>
        </w:rPr>
        <w:t> </w:t>
      </w:r>
      <w:r>
        <w:rPr>
          <w:color w:val="231F20"/>
        </w:rPr>
        <w:t>языковой</w:t>
      </w:r>
      <w:r>
        <w:rPr>
          <w:color w:val="231F20"/>
          <w:spacing w:val="-7"/>
        </w:rPr>
        <w:t> </w:t>
      </w:r>
      <w:r>
        <w:rPr>
          <w:color w:val="231F20"/>
        </w:rPr>
        <w:t>и</w:t>
      </w:r>
      <w:r>
        <w:rPr>
          <w:color w:val="231F20"/>
          <w:spacing w:val="-7"/>
        </w:rPr>
        <w:t> </w:t>
      </w:r>
      <w:r>
        <w:rPr>
          <w:color w:val="231F20"/>
        </w:rPr>
        <w:t>культурной</w:t>
      </w:r>
      <w:r>
        <w:rPr>
          <w:color w:val="231F20"/>
          <w:spacing w:val="-7"/>
        </w:rPr>
        <w:t> </w:t>
      </w:r>
      <w:r>
        <w:rPr>
          <w:color w:val="231F20"/>
        </w:rPr>
        <w:t>адаптации</w:t>
      </w:r>
      <w:r>
        <w:rPr>
          <w:color w:val="231F20"/>
          <w:spacing w:val="-7"/>
        </w:rPr>
        <w:t> </w:t>
      </w:r>
      <w:r>
        <w:rPr>
          <w:color w:val="231F20"/>
        </w:rPr>
        <w:t>детей</w:t>
      </w:r>
      <w:r>
        <w:rPr>
          <w:color w:val="231F20"/>
          <w:spacing w:val="-7"/>
        </w:rPr>
        <w:t> </w:t>
      </w:r>
      <w:r>
        <w:rPr>
          <w:color w:val="231F20"/>
        </w:rPr>
        <w:t>иностран- ных</w:t>
      </w:r>
      <w:r>
        <w:rPr>
          <w:color w:val="231F20"/>
          <w:spacing w:val="-10"/>
        </w:rPr>
        <w:t> </w:t>
      </w:r>
      <w:r>
        <w:rPr>
          <w:color w:val="231F20"/>
        </w:rPr>
        <w:t>граждан,</w:t>
      </w:r>
      <w:r>
        <w:rPr>
          <w:color w:val="231F20"/>
          <w:spacing w:val="-10"/>
        </w:rPr>
        <w:t> </w:t>
      </w:r>
      <w:r>
        <w:rPr>
          <w:color w:val="231F20"/>
        </w:rPr>
        <w:t>обучающихся</w:t>
      </w:r>
      <w:r>
        <w:rPr>
          <w:color w:val="231F20"/>
          <w:spacing w:val="-10"/>
        </w:rPr>
        <w:t> </w:t>
      </w:r>
      <w:r>
        <w:rPr>
          <w:color w:val="231F20"/>
        </w:rPr>
        <w:t>в</w:t>
      </w:r>
      <w:r>
        <w:rPr>
          <w:color w:val="231F20"/>
          <w:spacing w:val="-10"/>
        </w:rPr>
        <w:t> </w:t>
      </w:r>
      <w:r>
        <w:rPr>
          <w:color w:val="231F20"/>
        </w:rPr>
        <w:t>общеобразовательных</w:t>
      </w:r>
      <w:r>
        <w:rPr>
          <w:color w:val="231F20"/>
          <w:spacing w:val="-10"/>
        </w:rPr>
        <w:t> </w:t>
      </w:r>
      <w:r>
        <w:rPr>
          <w:color w:val="231F20"/>
        </w:rPr>
        <w:t>организациях</w:t>
      </w:r>
      <w:r>
        <w:rPr>
          <w:color w:val="231F20"/>
          <w:spacing w:val="-9"/>
        </w:rPr>
        <w:t> </w:t>
      </w:r>
      <w:r>
        <w:rPr>
          <w:color w:val="231F20"/>
        </w:rPr>
        <w:t>(на</w:t>
      </w:r>
      <w:r>
        <w:rPr>
          <w:color w:val="231F20"/>
          <w:spacing w:val="-10"/>
        </w:rPr>
        <w:t> </w:t>
      </w:r>
      <w:r>
        <w:rPr>
          <w:color w:val="231F20"/>
        </w:rPr>
        <w:t>основе</w:t>
      </w:r>
      <w:r>
        <w:rPr>
          <w:color w:val="231F20"/>
          <w:spacing w:val="-10"/>
        </w:rPr>
        <w:t> </w:t>
      </w:r>
      <w:r>
        <w:rPr>
          <w:color w:val="231F20"/>
        </w:rPr>
        <w:t>доказа- тельного</w:t>
      </w:r>
      <w:r>
        <w:rPr>
          <w:color w:val="231F20"/>
          <w:spacing w:val="-1"/>
        </w:rPr>
        <w:t> </w:t>
      </w:r>
      <w:r>
        <w:rPr>
          <w:color w:val="231F20"/>
        </w:rPr>
        <w:t>подхода</w:t>
      </w:r>
      <w:r>
        <w:rPr>
          <w:color w:val="231F20"/>
          <w:spacing w:val="-1"/>
        </w:rPr>
        <w:t> </w:t>
      </w:r>
      <w:r>
        <w:rPr>
          <w:color w:val="231F20"/>
        </w:rPr>
        <w:t>к</w:t>
      </w:r>
      <w:r>
        <w:rPr>
          <w:color w:val="231F20"/>
          <w:spacing w:val="-1"/>
        </w:rPr>
        <w:t> </w:t>
      </w:r>
      <w:r>
        <w:rPr>
          <w:color w:val="231F20"/>
        </w:rPr>
        <w:t>социальным</w:t>
      </w:r>
      <w:r>
        <w:rPr>
          <w:color w:val="231F20"/>
          <w:spacing w:val="-1"/>
        </w:rPr>
        <w:t> </w:t>
      </w:r>
      <w:r>
        <w:rPr>
          <w:color w:val="231F20"/>
        </w:rPr>
        <w:t>практикам</w:t>
      </w:r>
      <w:r>
        <w:rPr>
          <w:color w:val="231F20"/>
          <w:spacing w:val="-1"/>
        </w:rPr>
        <w:t> </w:t>
      </w:r>
      <w:r>
        <w:rPr>
          <w:color w:val="231F20"/>
        </w:rPr>
        <w:t>в</w:t>
      </w:r>
      <w:r>
        <w:rPr>
          <w:color w:val="231F20"/>
          <w:spacing w:val="-1"/>
        </w:rPr>
        <w:t> </w:t>
      </w:r>
      <w:r>
        <w:rPr>
          <w:color w:val="231F20"/>
        </w:rPr>
        <w:t>сфере</w:t>
      </w:r>
      <w:r>
        <w:rPr>
          <w:color w:val="231F20"/>
          <w:spacing w:val="-1"/>
        </w:rPr>
        <w:t> </w:t>
      </w:r>
      <w:r>
        <w:rPr>
          <w:color w:val="231F20"/>
        </w:rPr>
        <w:t>детства</w:t>
      </w:r>
      <w:r>
        <w:rPr>
          <w:color w:val="231F20"/>
          <w:spacing w:val="-1"/>
        </w:rPr>
        <w:t> </w:t>
      </w:r>
      <w:r>
        <w:rPr>
          <w:color w:val="231F20"/>
        </w:rPr>
        <w:t>и</w:t>
      </w:r>
      <w:r>
        <w:rPr>
          <w:color w:val="231F20"/>
          <w:spacing w:val="-1"/>
        </w:rPr>
        <w:t> </w:t>
      </w:r>
      <w:r>
        <w:rPr>
          <w:color w:val="231F20"/>
        </w:rPr>
        <w:t>дифференцированного подхода</w:t>
      </w:r>
      <w:r>
        <w:rPr>
          <w:color w:val="231F20"/>
          <w:spacing w:val="-7"/>
        </w:rPr>
        <w:t> </w:t>
      </w:r>
      <w:r>
        <w:rPr>
          <w:color w:val="231F20"/>
        </w:rPr>
        <w:t>к</w:t>
      </w:r>
      <w:r>
        <w:rPr>
          <w:color w:val="231F20"/>
          <w:spacing w:val="-7"/>
        </w:rPr>
        <w:t> </w:t>
      </w:r>
      <w:r>
        <w:rPr>
          <w:color w:val="231F20"/>
        </w:rPr>
        <w:t>обучению</w:t>
      </w:r>
      <w:r>
        <w:rPr>
          <w:color w:val="231F20"/>
          <w:spacing w:val="-7"/>
        </w:rPr>
        <w:t> </w:t>
      </w:r>
      <w:r>
        <w:rPr>
          <w:color w:val="231F20"/>
        </w:rPr>
        <w:t>детей</w:t>
      </w:r>
      <w:r>
        <w:rPr>
          <w:color w:val="231F20"/>
          <w:spacing w:val="-7"/>
        </w:rPr>
        <w:t> </w:t>
      </w:r>
      <w:r>
        <w:rPr>
          <w:color w:val="231F20"/>
        </w:rPr>
        <w:t>иностранных</w:t>
      </w:r>
      <w:r>
        <w:rPr>
          <w:color w:val="231F20"/>
          <w:spacing w:val="-7"/>
        </w:rPr>
        <w:t> </w:t>
      </w:r>
      <w:r>
        <w:rPr>
          <w:color w:val="231F20"/>
        </w:rPr>
        <w:t>граждан)»</w:t>
      </w:r>
      <w:r>
        <w:rPr>
          <w:color w:val="231F20"/>
          <w:spacing w:val="-7"/>
        </w:rPr>
        <w:t> </w:t>
      </w:r>
      <w:r>
        <w:rPr>
          <w:color w:val="231F20"/>
        </w:rPr>
        <w:t>и</w:t>
      </w:r>
      <w:r>
        <w:rPr>
          <w:color w:val="231F20"/>
          <w:spacing w:val="-7"/>
        </w:rPr>
        <w:t> </w:t>
      </w:r>
      <w:r>
        <w:rPr>
          <w:color w:val="231F20"/>
        </w:rPr>
        <w:t>опиралась</w:t>
      </w:r>
      <w:r>
        <w:rPr>
          <w:color w:val="231F20"/>
          <w:spacing w:val="-7"/>
        </w:rPr>
        <w:t> </w:t>
      </w:r>
      <w:r>
        <w:rPr>
          <w:color w:val="231F20"/>
        </w:rPr>
        <w:t>на</w:t>
      </w:r>
      <w:r>
        <w:rPr>
          <w:color w:val="231F20"/>
          <w:spacing w:val="-7"/>
        </w:rPr>
        <w:t> </w:t>
      </w:r>
      <w:r>
        <w:rPr>
          <w:color w:val="231F20"/>
        </w:rPr>
        <w:t>схему</w:t>
      </w:r>
      <w:r>
        <w:rPr>
          <w:color w:val="231F20"/>
          <w:spacing w:val="-7"/>
        </w:rPr>
        <w:t> </w:t>
      </w:r>
      <w:r>
        <w:rPr>
          <w:color w:val="231F20"/>
        </w:rPr>
        <w:t>Киркпатри- ка (Kirkpatrick, 1959):</w:t>
      </w:r>
    </w:p>
    <w:p>
      <w:pPr>
        <w:pStyle w:val="ListParagraph"/>
        <w:numPr>
          <w:ilvl w:val="0"/>
          <w:numId w:val="152"/>
        </w:numPr>
        <w:tabs>
          <w:tab w:pos="860" w:val="left" w:leader="none"/>
        </w:tabs>
        <w:spacing w:line="235" w:lineRule="auto" w:before="5" w:after="0"/>
        <w:ind w:left="141" w:right="139" w:firstLine="283"/>
        <w:jc w:val="both"/>
        <w:rPr>
          <w:sz w:val="20"/>
        </w:rPr>
      </w:pPr>
      <w:r>
        <w:rPr>
          <w:color w:val="231F20"/>
          <w:spacing w:val="-2"/>
          <w:sz w:val="20"/>
        </w:rPr>
        <w:t>Уровень приобретения знаний и умений: в результате прохождения практики </w:t>
      </w:r>
      <w:r>
        <w:rPr>
          <w:color w:val="231F20"/>
          <w:sz w:val="20"/>
        </w:rPr>
        <w:t>было отмечено значимое повышения</w:t>
      </w:r>
      <w:r>
        <w:rPr>
          <w:color w:val="231F20"/>
          <w:spacing w:val="40"/>
          <w:sz w:val="20"/>
        </w:rPr>
        <w:t> </w:t>
      </w:r>
      <w:r>
        <w:rPr>
          <w:color w:val="231F20"/>
          <w:sz w:val="20"/>
        </w:rPr>
        <w:t>уровня психологического благополучия (Ри- суночная диагностика психологического благополучия: от 3,44 к 3,60 p&lt;0,01; Шка- ла психологического благополучия Уорик-Эдинург от 52,20 до 56,21 p&lt;0,05; Шка-</w:t>
      </w:r>
      <w:r>
        <w:rPr>
          <w:color w:val="231F20"/>
          <w:spacing w:val="40"/>
          <w:sz w:val="20"/>
        </w:rPr>
        <w:t> </w:t>
      </w:r>
      <w:r>
        <w:rPr>
          <w:color w:val="231F20"/>
          <w:sz w:val="20"/>
        </w:rPr>
        <w:t>ла удовлетворённости жизнью школьника от 117,08 до 125,05 p&lt;0,01) и культурной адаптации (Детский опросник аккультурационного стресса от 21,00 к 15,26 p&lt;0,05).</w:t>
      </w:r>
    </w:p>
    <w:p>
      <w:pPr>
        <w:pStyle w:val="BodyText"/>
        <w:spacing w:before="108"/>
        <w:ind w:left="0" w:right="0" w:firstLine="0"/>
        <w:jc w:val="left"/>
      </w:pPr>
    </w:p>
    <w:p>
      <w:pPr>
        <w:spacing w:line="206" w:lineRule="exact" w:before="0"/>
        <w:ind w:left="425" w:right="0" w:firstLine="0"/>
        <w:jc w:val="left"/>
        <w:rPr>
          <w:b/>
          <w:sz w:val="18"/>
        </w:rPr>
      </w:pPr>
      <w:r>
        <w:rPr>
          <w:b/>
          <w:color w:val="231F20"/>
          <w:spacing w:val="-2"/>
          <w:sz w:val="18"/>
        </w:rPr>
        <w:t>Литература</w:t>
      </w:r>
    </w:p>
    <w:p>
      <w:pPr>
        <w:pStyle w:val="ListParagraph"/>
        <w:numPr>
          <w:ilvl w:val="0"/>
          <w:numId w:val="153"/>
        </w:numPr>
        <w:tabs>
          <w:tab w:pos="708" w:val="left" w:leader="none"/>
        </w:tabs>
        <w:spacing w:line="240" w:lineRule="auto" w:before="0" w:after="0"/>
        <w:ind w:left="708" w:right="423" w:hanging="284"/>
        <w:jc w:val="both"/>
        <w:rPr>
          <w:sz w:val="18"/>
        </w:rPr>
      </w:pPr>
      <w:r>
        <w:rPr>
          <w:color w:val="231F20"/>
          <w:sz w:val="18"/>
        </w:rPr>
        <w:t>Варшавер Е.А. Теория контакта: обзор // Мониторинг. – 2015. – № 5 (129). URL: </w:t>
      </w:r>
      <w:hyperlink r:id="rId157">
        <w:r>
          <w:rPr>
            <w:color w:val="2255A6"/>
            <w:sz w:val="18"/>
            <w:u w:val="single" w:color="2255A6"/>
          </w:rPr>
          <w:t>https://cyberleninka.ru/article/n/teoriya-kontakta-obzor</w:t>
        </w:r>
      </w:hyperlink>
      <w:r>
        <w:rPr>
          <w:color w:val="2255A6"/>
          <w:sz w:val="18"/>
        </w:rPr>
        <w:t> </w:t>
      </w:r>
      <w:r>
        <w:rPr>
          <w:color w:val="231F20"/>
          <w:sz w:val="18"/>
        </w:rPr>
        <w:t>(дата обращения: 09.08.2022).</w:t>
      </w:r>
    </w:p>
    <w:p>
      <w:pPr>
        <w:pStyle w:val="ListParagraph"/>
        <w:numPr>
          <w:ilvl w:val="0"/>
          <w:numId w:val="153"/>
        </w:numPr>
        <w:tabs>
          <w:tab w:pos="708" w:val="left" w:leader="none"/>
        </w:tabs>
        <w:spacing w:line="240" w:lineRule="auto" w:before="0" w:after="0"/>
        <w:ind w:left="708" w:right="423" w:hanging="284"/>
        <w:jc w:val="both"/>
        <w:rPr>
          <w:sz w:val="18"/>
        </w:rPr>
      </w:pPr>
      <w:r>
        <w:rPr>
          <w:color w:val="231F20"/>
          <w:sz w:val="18"/>
        </w:rPr>
        <w:t>Варшавер Е.А., Рочева А.Л., Иванова Н.С. Пути повышения эффективности су- ществующих моделей и практик интеграции мигрантов // ResearchGate : сайт.</w:t>
      </w:r>
      <w:r>
        <w:rPr>
          <w:color w:val="231F20"/>
          <w:spacing w:val="40"/>
          <w:sz w:val="18"/>
        </w:rPr>
        <w:t> </w:t>
      </w:r>
      <w:r>
        <w:rPr>
          <w:color w:val="231F20"/>
          <w:sz w:val="18"/>
        </w:rPr>
        <w:t>2015. URL: </w:t>
      </w:r>
      <w:hyperlink r:id="rId158">
        <w:r>
          <w:rPr>
            <w:color w:val="2255A6"/>
            <w:sz w:val="18"/>
            <w:u w:val="single" w:color="2255A6"/>
          </w:rPr>
          <w:t>https://www.researchgate.net/publication/323800126_Puti_povysenia_</w:t>
        </w:r>
      </w:hyperlink>
      <w:r>
        <w:rPr>
          <w:color w:val="2255A6"/>
          <w:sz w:val="18"/>
        </w:rPr>
        <w:t> </w:t>
      </w:r>
      <w:hyperlink r:id="rId158">
        <w:r>
          <w:rPr>
            <w:color w:val="2255A6"/>
            <w:sz w:val="18"/>
            <w:u w:val="single" w:color="2255A6"/>
          </w:rPr>
          <w:t>effektivnost</w:t>
        </w:r>
        <w:r>
          <w:rPr>
            <w:color w:val="2255A6"/>
            <w:sz w:val="18"/>
          </w:rPr>
          <w:t>i_</w:t>
        </w:r>
        <w:r>
          <w:rPr>
            <w:color w:val="2255A6"/>
            <w:sz w:val="18"/>
            <w:u w:val="single" w:color="2255A6"/>
          </w:rPr>
          <w:t>susestvuusih_modelej_i_praktik_integracii_migrantov</w:t>
        </w:r>
      </w:hyperlink>
      <w:r>
        <w:rPr>
          <w:color w:val="2255A6"/>
          <w:sz w:val="18"/>
        </w:rPr>
        <w:t> </w:t>
      </w:r>
      <w:r>
        <w:rPr>
          <w:color w:val="231F20"/>
          <w:sz w:val="18"/>
        </w:rPr>
        <w:t>(дата </w:t>
      </w:r>
      <w:r>
        <w:rPr>
          <w:color w:val="231F20"/>
          <w:sz w:val="18"/>
        </w:rPr>
        <w:t>обращения: </w:t>
      </w:r>
      <w:r>
        <w:rPr>
          <w:color w:val="231F20"/>
          <w:spacing w:val="-2"/>
          <w:sz w:val="18"/>
        </w:rPr>
        <w:t>09.08.2022).</w:t>
      </w:r>
    </w:p>
    <w:p>
      <w:pPr>
        <w:pStyle w:val="ListParagraph"/>
        <w:numPr>
          <w:ilvl w:val="0"/>
          <w:numId w:val="153"/>
        </w:numPr>
        <w:tabs>
          <w:tab w:pos="708" w:val="left" w:leader="none"/>
        </w:tabs>
        <w:spacing w:line="240" w:lineRule="auto" w:before="0" w:after="0"/>
        <w:ind w:left="708" w:right="423" w:hanging="284"/>
        <w:jc w:val="both"/>
        <w:rPr>
          <w:sz w:val="18"/>
        </w:rPr>
      </w:pPr>
      <w:r>
        <w:rPr>
          <w:color w:val="231F20"/>
          <w:sz w:val="18"/>
        </w:rPr>
        <w:t>Живая библиотека. Руководство по организации проекта / Научно-методический отдел ГБУК «Пермская краевая детская библиотека им. Л.И. Кузьмина». – Пермь, 2014. – 22 с.</w:t>
      </w:r>
    </w:p>
    <w:p>
      <w:pPr>
        <w:pStyle w:val="ListParagraph"/>
        <w:numPr>
          <w:ilvl w:val="0"/>
          <w:numId w:val="153"/>
        </w:numPr>
        <w:tabs>
          <w:tab w:pos="708" w:val="left" w:leader="none"/>
        </w:tabs>
        <w:spacing w:line="240" w:lineRule="auto" w:before="0" w:after="0"/>
        <w:ind w:left="708" w:right="423" w:hanging="284"/>
        <w:jc w:val="both"/>
        <w:rPr>
          <w:sz w:val="18"/>
        </w:rPr>
      </w:pPr>
      <w:r>
        <w:rPr>
          <w:color w:val="231F20"/>
          <w:sz w:val="18"/>
        </w:rPr>
        <w:t>Chung</w:t>
      </w:r>
      <w:r>
        <w:rPr>
          <w:color w:val="231F20"/>
          <w:spacing w:val="-6"/>
          <w:sz w:val="18"/>
        </w:rPr>
        <w:t> </w:t>
      </w:r>
      <w:r>
        <w:rPr>
          <w:color w:val="231F20"/>
          <w:sz w:val="18"/>
        </w:rPr>
        <w:t>E.Yh.,</w:t>
      </w:r>
      <w:r>
        <w:rPr>
          <w:color w:val="231F20"/>
          <w:spacing w:val="-4"/>
          <w:sz w:val="18"/>
        </w:rPr>
        <w:t> </w:t>
      </w:r>
      <w:r>
        <w:rPr>
          <w:color w:val="231F20"/>
          <w:sz w:val="18"/>
        </w:rPr>
        <w:t>Tse</w:t>
      </w:r>
      <w:r>
        <w:rPr>
          <w:color w:val="231F20"/>
          <w:spacing w:val="-6"/>
          <w:sz w:val="18"/>
        </w:rPr>
        <w:t> </w:t>
      </w:r>
      <w:r>
        <w:rPr>
          <w:color w:val="231F20"/>
          <w:sz w:val="18"/>
        </w:rPr>
        <w:t>T.To.</w:t>
      </w:r>
      <w:r>
        <w:rPr>
          <w:color w:val="231F20"/>
          <w:spacing w:val="-1"/>
          <w:sz w:val="18"/>
        </w:rPr>
        <w:t> </w:t>
      </w:r>
      <w:r>
        <w:rPr>
          <w:color w:val="231F20"/>
          <w:sz w:val="18"/>
        </w:rPr>
        <w:t>Effect</w:t>
      </w:r>
      <w:r>
        <w:rPr>
          <w:color w:val="231F20"/>
          <w:spacing w:val="-1"/>
          <w:sz w:val="18"/>
        </w:rPr>
        <w:t> </w:t>
      </w:r>
      <w:r>
        <w:rPr>
          <w:color w:val="231F20"/>
          <w:sz w:val="18"/>
        </w:rPr>
        <w:t>of</w:t>
      </w:r>
      <w:r>
        <w:rPr>
          <w:color w:val="231F20"/>
          <w:spacing w:val="-1"/>
          <w:sz w:val="18"/>
        </w:rPr>
        <w:t> </w:t>
      </w:r>
      <w:r>
        <w:rPr>
          <w:color w:val="231F20"/>
          <w:sz w:val="18"/>
        </w:rPr>
        <w:t>human</w:t>
      </w:r>
      <w:r>
        <w:rPr>
          <w:color w:val="231F20"/>
          <w:spacing w:val="-1"/>
          <w:sz w:val="18"/>
        </w:rPr>
        <w:t> </w:t>
      </w:r>
      <w:r>
        <w:rPr>
          <w:color w:val="231F20"/>
          <w:sz w:val="18"/>
        </w:rPr>
        <w:t>library</w:t>
      </w:r>
      <w:r>
        <w:rPr>
          <w:color w:val="231F20"/>
          <w:spacing w:val="-1"/>
          <w:sz w:val="18"/>
        </w:rPr>
        <w:t> </w:t>
      </w:r>
      <w:r>
        <w:rPr>
          <w:color w:val="231F20"/>
          <w:sz w:val="18"/>
        </w:rPr>
        <w:t>intervention</w:t>
      </w:r>
      <w:r>
        <w:rPr>
          <w:color w:val="231F20"/>
          <w:spacing w:val="-1"/>
          <w:sz w:val="18"/>
        </w:rPr>
        <w:t> </w:t>
      </w:r>
      <w:r>
        <w:rPr>
          <w:color w:val="231F20"/>
          <w:sz w:val="18"/>
        </w:rPr>
        <w:t>on</w:t>
      </w:r>
      <w:r>
        <w:rPr>
          <w:color w:val="231F20"/>
          <w:spacing w:val="-1"/>
          <w:sz w:val="18"/>
        </w:rPr>
        <w:t> </w:t>
      </w:r>
      <w:r>
        <w:rPr>
          <w:color w:val="231F20"/>
          <w:sz w:val="18"/>
        </w:rPr>
        <w:t>mental</w:t>
      </w:r>
      <w:r>
        <w:rPr>
          <w:color w:val="231F20"/>
          <w:spacing w:val="-1"/>
          <w:sz w:val="18"/>
        </w:rPr>
        <w:t> </w:t>
      </w:r>
      <w:r>
        <w:rPr>
          <w:color w:val="231F20"/>
          <w:sz w:val="18"/>
        </w:rPr>
        <w:t>health</w:t>
      </w:r>
      <w:r>
        <w:rPr>
          <w:color w:val="231F20"/>
          <w:spacing w:val="-1"/>
          <w:sz w:val="18"/>
        </w:rPr>
        <w:t> </w:t>
      </w:r>
      <w:r>
        <w:rPr>
          <w:color w:val="231F20"/>
          <w:sz w:val="18"/>
        </w:rPr>
        <w:t>literacy:</w:t>
      </w:r>
      <w:r>
        <w:rPr>
          <w:color w:val="231F20"/>
          <w:spacing w:val="-1"/>
          <w:sz w:val="18"/>
        </w:rPr>
        <w:t> </w:t>
      </w:r>
      <w:r>
        <w:rPr>
          <w:color w:val="231F20"/>
          <w:sz w:val="18"/>
        </w:rPr>
        <w:t>a multigroup</w:t>
      </w:r>
      <w:r>
        <w:rPr>
          <w:color w:val="231F20"/>
          <w:spacing w:val="-12"/>
          <w:sz w:val="18"/>
        </w:rPr>
        <w:t> </w:t>
      </w:r>
      <w:r>
        <w:rPr>
          <w:color w:val="231F20"/>
          <w:sz w:val="18"/>
        </w:rPr>
        <w:t>pretest–posttest</w:t>
      </w:r>
      <w:r>
        <w:rPr>
          <w:color w:val="231F20"/>
          <w:spacing w:val="-11"/>
          <w:sz w:val="18"/>
        </w:rPr>
        <w:t> </w:t>
      </w:r>
      <w:r>
        <w:rPr>
          <w:color w:val="231F20"/>
          <w:sz w:val="18"/>
        </w:rPr>
        <w:t>study</w:t>
      </w:r>
      <w:r>
        <w:rPr>
          <w:color w:val="231F20"/>
          <w:spacing w:val="-11"/>
          <w:sz w:val="18"/>
        </w:rPr>
        <w:t> </w:t>
      </w:r>
      <w:r>
        <w:rPr>
          <w:color w:val="231F20"/>
          <w:sz w:val="18"/>
        </w:rPr>
        <w:t>//</w:t>
      </w:r>
      <w:r>
        <w:rPr>
          <w:color w:val="231F20"/>
          <w:spacing w:val="-11"/>
          <w:sz w:val="18"/>
        </w:rPr>
        <w:t> </w:t>
      </w:r>
      <w:r>
        <w:rPr>
          <w:color w:val="231F20"/>
          <w:sz w:val="18"/>
        </w:rPr>
        <w:t>BMC</w:t>
      </w:r>
      <w:r>
        <w:rPr>
          <w:color w:val="231F20"/>
          <w:spacing w:val="-12"/>
          <w:sz w:val="18"/>
        </w:rPr>
        <w:t> </w:t>
      </w:r>
      <w:r>
        <w:rPr>
          <w:color w:val="231F20"/>
          <w:sz w:val="18"/>
        </w:rPr>
        <w:t>Psychiatry.</w:t>
      </w:r>
      <w:r>
        <w:rPr>
          <w:color w:val="231F20"/>
          <w:spacing w:val="-11"/>
          <w:sz w:val="18"/>
        </w:rPr>
        <w:t> </w:t>
      </w:r>
      <w:r>
        <w:rPr>
          <w:color w:val="231F20"/>
          <w:sz w:val="18"/>
        </w:rPr>
        <w:t>–</w:t>
      </w:r>
      <w:r>
        <w:rPr>
          <w:color w:val="231F20"/>
          <w:spacing w:val="-11"/>
          <w:sz w:val="18"/>
        </w:rPr>
        <w:t> </w:t>
      </w:r>
      <w:r>
        <w:rPr>
          <w:color w:val="231F20"/>
          <w:sz w:val="18"/>
        </w:rPr>
        <w:t>2022.</w:t>
      </w:r>
      <w:r>
        <w:rPr>
          <w:color w:val="231F20"/>
          <w:spacing w:val="-11"/>
          <w:sz w:val="18"/>
        </w:rPr>
        <w:t> </w:t>
      </w:r>
      <w:r>
        <w:rPr>
          <w:color w:val="231F20"/>
          <w:sz w:val="18"/>
        </w:rPr>
        <w:t>–</w:t>
      </w:r>
      <w:r>
        <w:rPr>
          <w:color w:val="231F20"/>
          <w:spacing w:val="-12"/>
          <w:sz w:val="18"/>
        </w:rPr>
        <w:t> </w:t>
      </w:r>
      <w:r>
        <w:rPr>
          <w:color w:val="231F20"/>
          <w:sz w:val="18"/>
        </w:rPr>
        <w:t>73.</w:t>
      </w:r>
      <w:r>
        <w:rPr>
          <w:color w:val="231F20"/>
          <w:spacing w:val="-11"/>
          <w:sz w:val="18"/>
        </w:rPr>
        <w:t> </w:t>
      </w:r>
      <w:r>
        <w:rPr>
          <w:color w:val="231F20"/>
          <w:sz w:val="18"/>
        </w:rPr>
        <w:t>DOI:</w:t>
      </w:r>
      <w:r>
        <w:rPr>
          <w:color w:val="231F20"/>
          <w:spacing w:val="-11"/>
          <w:sz w:val="18"/>
        </w:rPr>
        <w:t> </w:t>
      </w:r>
      <w:r>
        <w:rPr>
          <w:color w:val="231F20"/>
          <w:sz w:val="18"/>
        </w:rPr>
        <w:t>10.1186/s12888- </w:t>
      </w:r>
      <w:r>
        <w:rPr>
          <w:color w:val="231F20"/>
          <w:spacing w:val="-2"/>
          <w:sz w:val="18"/>
        </w:rPr>
        <w:t>022-03725-5.</w:t>
      </w:r>
    </w:p>
    <w:p>
      <w:pPr>
        <w:pStyle w:val="ListParagraph"/>
        <w:numPr>
          <w:ilvl w:val="0"/>
          <w:numId w:val="153"/>
        </w:numPr>
        <w:tabs>
          <w:tab w:pos="708" w:val="left" w:leader="none"/>
        </w:tabs>
        <w:spacing w:line="240" w:lineRule="auto" w:before="0" w:after="0"/>
        <w:ind w:left="708" w:right="423" w:hanging="284"/>
        <w:jc w:val="both"/>
        <w:rPr>
          <w:sz w:val="18"/>
        </w:rPr>
      </w:pPr>
      <w:r>
        <w:rPr>
          <w:color w:val="231F20"/>
          <w:sz w:val="18"/>
        </w:rPr>
        <w:t>Dool</w:t>
      </w:r>
      <w:r>
        <w:rPr>
          <w:color w:val="231F20"/>
          <w:spacing w:val="-1"/>
          <w:sz w:val="18"/>
        </w:rPr>
        <w:t> </w:t>
      </w:r>
      <w:r>
        <w:rPr>
          <w:color w:val="231F20"/>
          <w:sz w:val="18"/>
        </w:rPr>
        <w:t>Anne van den. La Biblioteca Humana als Països Baixos : un exitós intercanvi d’històries</w:t>
      </w:r>
      <w:r>
        <w:rPr>
          <w:color w:val="231F20"/>
          <w:spacing w:val="-3"/>
          <w:sz w:val="18"/>
        </w:rPr>
        <w:t> </w:t>
      </w:r>
      <w:r>
        <w:rPr>
          <w:color w:val="231F20"/>
          <w:sz w:val="18"/>
        </w:rPr>
        <w:t>/</w:t>
      </w:r>
      <w:r>
        <w:rPr>
          <w:color w:val="231F20"/>
          <w:spacing w:val="-3"/>
          <w:sz w:val="18"/>
        </w:rPr>
        <w:t> </w:t>
      </w:r>
      <w:r>
        <w:rPr>
          <w:color w:val="231F20"/>
          <w:sz w:val="18"/>
        </w:rPr>
        <w:t>BiD:</w:t>
      </w:r>
      <w:r>
        <w:rPr>
          <w:color w:val="231F20"/>
          <w:spacing w:val="-3"/>
          <w:sz w:val="18"/>
        </w:rPr>
        <w:t> </w:t>
      </w:r>
      <w:r>
        <w:rPr>
          <w:color w:val="231F20"/>
          <w:sz w:val="18"/>
        </w:rPr>
        <w:t>textos</w:t>
      </w:r>
      <w:r>
        <w:rPr>
          <w:color w:val="231F20"/>
          <w:spacing w:val="-3"/>
          <w:sz w:val="18"/>
        </w:rPr>
        <w:t> </w:t>
      </w:r>
      <w:r>
        <w:rPr>
          <w:color w:val="231F20"/>
          <w:sz w:val="18"/>
        </w:rPr>
        <w:t>universitaris</w:t>
      </w:r>
      <w:r>
        <w:rPr>
          <w:color w:val="231F20"/>
          <w:spacing w:val="-3"/>
          <w:sz w:val="18"/>
        </w:rPr>
        <w:t> </w:t>
      </w:r>
      <w:r>
        <w:rPr>
          <w:color w:val="231F20"/>
          <w:sz w:val="18"/>
        </w:rPr>
        <w:t>de</w:t>
      </w:r>
      <w:r>
        <w:rPr>
          <w:color w:val="231F20"/>
          <w:spacing w:val="-3"/>
          <w:sz w:val="18"/>
        </w:rPr>
        <w:t> </w:t>
      </w:r>
      <w:r>
        <w:rPr>
          <w:color w:val="231F20"/>
          <w:sz w:val="18"/>
        </w:rPr>
        <w:t>biblioteconomia</w:t>
      </w:r>
      <w:r>
        <w:rPr>
          <w:color w:val="231F20"/>
          <w:spacing w:val="-3"/>
          <w:sz w:val="18"/>
        </w:rPr>
        <w:t> </w:t>
      </w:r>
      <w:r>
        <w:rPr>
          <w:color w:val="231F20"/>
          <w:sz w:val="18"/>
        </w:rPr>
        <w:t>i</w:t>
      </w:r>
      <w:r>
        <w:rPr>
          <w:color w:val="231F20"/>
          <w:spacing w:val="-3"/>
          <w:sz w:val="18"/>
        </w:rPr>
        <w:t> </w:t>
      </w:r>
      <w:r>
        <w:rPr>
          <w:color w:val="231F20"/>
          <w:sz w:val="18"/>
        </w:rPr>
        <w:t>documentació.</w:t>
      </w:r>
      <w:r>
        <w:rPr>
          <w:color w:val="231F20"/>
          <w:spacing w:val="-3"/>
          <w:sz w:val="18"/>
        </w:rPr>
        <w:t> </w:t>
      </w:r>
      <w:r>
        <w:rPr>
          <w:color w:val="231F20"/>
          <w:sz w:val="18"/>
        </w:rPr>
        <w:t>–</w:t>
      </w:r>
      <w:r>
        <w:rPr>
          <w:color w:val="231F20"/>
          <w:spacing w:val="-3"/>
          <w:sz w:val="18"/>
        </w:rPr>
        <w:t> </w:t>
      </w:r>
      <w:r>
        <w:rPr>
          <w:color w:val="231F20"/>
          <w:sz w:val="18"/>
        </w:rPr>
        <w:t>2022.</w:t>
      </w:r>
      <w:r>
        <w:rPr>
          <w:color w:val="231F20"/>
          <w:spacing w:val="-3"/>
          <w:sz w:val="18"/>
        </w:rPr>
        <w:t> </w:t>
      </w:r>
      <w:r>
        <w:rPr>
          <w:color w:val="231F20"/>
          <w:sz w:val="18"/>
        </w:rPr>
        <w:t>–</w:t>
      </w:r>
      <w:r>
        <w:rPr>
          <w:color w:val="231F20"/>
          <w:spacing w:val="-3"/>
          <w:sz w:val="18"/>
        </w:rPr>
        <w:t> </w:t>
      </w:r>
      <w:r>
        <w:rPr>
          <w:color w:val="231F20"/>
          <w:sz w:val="18"/>
        </w:rPr>
        <w:t>48</w:t>
      </w:r>
      <w:r>
        <w:rPr>
          <w:color w:val="231F20"/>
          <w:spacing w:val="-3"/>
          <w:sz w:val="18"/>
        </w:rPr>
        <w:t> </w:t>
      </w:r>
      <w:r>
        <w:rPr>
          <w:color w:val="231F20"/>
          <w:sz w:val="18"/>
        </w:rPr>
        <w:t>p. DOI: 10.1344/BiD2022.48.03.</w:t>
      </w:r>
    </w:p>
    <w:p>
      <w:pPr>
        <w:pStyle w:val="ListParagraph"/>
        <w:numPr>
          <w:ilvl w:val="0"/>
          <w:numId w:val="153"/>
        </w:numPr>
        <w:tabs>
          <w:tab w:pos="708" w:val="left" w:leader="none"/>
        </w:tabs>
        <w:spacing w:line="240" w:lineRule="auto" w:before="0" w:after="0"/>
        <w:ind w:left="708" w:right="423" w:hanging="284"/>
        <w:jc w:val="both"/>
        <w:rPr>
          <w:sz w:val="18"/>
        </w:rPr>
      </w:pPr>
      <w:r>
        <w:rPr>
          <w:color w:val="231F20"/>
          <w:sz w:val="18"/>
        </w:rPr>
        <w:t>Handke, A.</w:t>
      </w:r>
      <w:r>
        <w:rPr>
          <w:color w:val="231F20"/>
          <w:spacing w:val="40"/>
          <w:sz w:val="18"/>
        </w:rPr>
        <w:t> </w:t>
      </w:r>
      <w:r>
        <w:rPr>
          <w:color w:val="231F20"/>
          <w:sz w:val="18"/>
        </w:rPr>
        <w:t>L.</w:t>
      </w:r>
      <w:r>
        <w:rPr>
          <w:color w:val="231F20"/>
          <w:spacing w:val="40"/>
          <w:sz w:val="18"/>
        </w:rPr>
        <w:t> </w:t>
      </w:r>
      <w:r>
        <w:rPr>
          <w:color w:val="231F20"/>
          <w:sz w:val="18"/>
        </w:rPr>
        <w:t>Don’t</w:t>
      </w:r>
      <w:r>
        <w:rPr>
          <w:color w:val="231F20"/>
          <w:spacing w:val="40"/>
          <w:sz w:val="18"/>
        </w:rPr>
        <w:t> </w:t>
      </w:r>
      <w:r>
        <w:rPr>
          <w:color w:val="231F20"/>
          <w:sz w:val="18"/>
        </w:rPr>
        <w:t>Judge</w:t>
      </w:r>
      <w:r>
        <w:rPr>
          <w:color w:val="231F20"/>
          <w:spacing w:val="40"/>
          <w:sz w:val="18"/>
        </w:rPr>
        <w:t> </w:t>
      </w:r>
      <w:r>
        <w:rPr>
          <w:color w:val="231F20"/>
          <w:sz w:val="18"/>
        </w:rPr>
        <w:t>a</w:t>
      </w:r>
      <w:r>
        <w:rPr>
          <w:color w:val="231F20"/>
          <w:spacing w:val="40"/>
          <w:sz w:val="18"/>
        </w:rPr>
        <w:t> </w:t>
      </w:r>
      <w:r>
        <w:rPr>
          <w:color w:val="231F20"/>
          <w:sz w:val="18"/>
        </w:rPr>
        <w:t>Book</w:t>
      </w:r>
      <w:r>
        <w:rPr>
          <w:color w:val="231F20"/>
          <w:spacing w:val="40"/>
          <w:sz w:val="18"/>
        </w:rPr>
        <w:t> </w:t>
      </w:r>
      <w:r>
        <w:rPr>
          <w:color w:val="231F20"/>
          <w:sz w:val="18"/>
        </w:rPr>
        <w:t>by</w:t>
      </w:r>
      <w:r>
        <w:rPr>
          <w:color w:val="231F20"/>
          <w:spacing w:val="40"/>
          <w:sz w:val="18"/>
        </w:rPr>
        <w:t> </w:t>
      </w:r>
      <w:r>
        <w:rPr>
          <w:color w:val="231F20"/>
          <w:sz w:val="18"/>
        </w:rPr>
        <w:t>Its</w:t>
      </w:r>
      <w:r>
        <w:rPr>
          <w:color w:val="231F20"/>
          <w:spacing w:val="40"/>
          <w:sz w:val="18"/>
        </w:rPr>
        <w:t> </w:t>
      </w:r>
      <w:r>
        <w:rPr>
          <w:color w:val="231F20"/>
          <w:sz w:val="18"/>
        </w:rPr>
        <w:t>Cover.</w:t>
      </w:r>
      <w:r>
        <w:rPr>
          <w:color w:val="231F20"/>
          <w:spacing w:val="40"/>
          <w:sz w:val="18"/>
        </w:rPr>
        <w:t> </w:t>
      </w:r>
      <w:r>
        <w:rPr>
          <w:color w:val="231F20"/>
          <w:sz w:val="18"/>
        </w:rPr>
        <w:t>Impact</w:t>
      </w:r>
      <w:r>
        <w:rPr>
          <w:color w:val="231F20"/>
          <w:spacing w:val="40"/>
          <w:sz w:val="18"/>
        </w:rPr>
        <w:t> </w:t>
      </w:r>
      <w:r>
        <w:rPr>
          <w:color w:val="231F20"/>
          <w:sz w:val="18"/>
        </w:rPr>
        <w:t>Evaluation</w:t>
      </w:r>
      <w:r>
        <w:rPr>
          <w:color w:val="231F20"/>
          <w:spacing w:val="40"/>
          <w:sz w:val="18"/>
        </w:rPr>
        <w:t> </w:t>
      </w:r>
      <w:r>
        <w:rPr>
          <w:color w:val="231F20"/>
          <w:sz w:val="18"/>
        </w:rPr>
        <w:t>of</w:t>
      </w:r>
      <w:r>
        <w:rPr>
          <w:color w:val="231F20"/>
          <w:spacing w:val="40"/>
          <w:sz w:val="18"/>
        </w:rPr>
        <w:t> </w:t>
      </w:r>
      <w:r>
        <w:rPr>
          <w:color w:val="231F20"/>
          <w:sz w:val="18"/>
        </w:rPr>
        <w:t>a</w:t>
      </w:r>
      <w:r>
        <w:rPr>
          <w:color w:val="231F20"/>
          <w:spacing w:val="40"/>
          <w:sz w:val="18"/>
        </w:rPr>
        <w:t> </w:t>
      </w:r>
      <w:r>
        <w:rPr>
          <w:color w:val="231F20"/>
          <w:sz w:val="18"/>
        </w:rPr>
        <w:t>Human Library / Текст : электронный // Rijksuniversiteit Groningen. 2017. URL: </w:t>
      </w:r>
      <w:hyperlink r:id="rId159">
        <w:r>
          <w:rPr>
            <w:color w:val="2255A6"/>
            <w:sz w:val="18"/>
            <w:u w:val="single" w:color="2255A6"/>
          </w:rPr>
          <w:t>https://</w:t>
        </w:r>
      </w:hyperlink>
      <w:r>
        <w:rPr>
          <w:color w:val="2255A6"/>
          <w:sz w:val="18"/>
        </w:rPr>
        <w:t> </w:t>
      </w:r>
      <w:hyperlink r:id="rId159">
        <w:r>
          <w:rPr>
            <w:color w:val="2255A6"/>
            <w:spacing w:val="-2"/>
            <w:sz w:val="18"/>
            <w:u w:val="single" w:color="2255A6"/>
          </w:rPr>
          <w:t>static1.squarespace.com/static/5a2f3fe5bff2003632bd79e0/t/5a53c72a9140b7212c37</w:t>
        </w:r>
      </w:hyperlink>
      <w:r>
        <w:rPr>
          <w:color w:val="2255A6"/>
          <w:spacing w:val="-2"/>
          <w:sz w:val="18"/>
        </w:rPr>
        <w:t> </w:t>
      </w:r>
      <w:hyperlink r:id="rId159">
        <w:r>
          <w:rPr>
            <w:color w:val="2255A6"/>
            <w:sz w:val="18"/>
            <w:u w:val="single" w:color="2255A6"/>
          </w:rPr>
          <w:t>535b/1515439920823/MAThesis_2015-2017_HandkeAL2+2.0.pdf</w:t>
        </w:r>
      </w:hyperlink>
      <w:r>
        <w:rPr>
          <w:color w:val="2255A6"/>
          <w:sz w:val="18"/>
        </w:rPr>
        <w:t> </w:t>
      </w:r>
      <w:r>
        <w:rPr>
          <w:color w:val="231F20"/>
          <w:sz w:val="18"/>
        </w:rPr>
        <w:t>(дата обращения: </w:t>
      </w:r>
      <w:r>
        <w:rPr>
          <w:color w:val="231F20"/>
          <w:spacing w:val="-2"/>
          <w:sz w:val="18"/>
        </w:rPr>
        <w:t>13.08.2022).</w:t>
      </w:r>
    </w:p>
    <w:p>
      <w:pPr>
        <w:pStyle w:val="ListParagraph"/>
        <w:numPr>
          <w:ilvl w:val="0"/>
          <w:numId w:val="153"/>
        </w:numPr>
        <w:tabs>
          <w:tab w:pos="708" w:val="left" w:leader="none"/>
        </w:tabs>
        <w:spacing w:line="240" w:lineRule="auto" w:before="0" w:after="0"/>
        <w:ind w:left="708" w:right="422" w:hanging="284"/>
        <w:jc w:val="both"/>
        <w:rPr>
          <w:sz w:val="18"/>
        </w:rPr>
      </w:pPr>
      <w:r>
        <w:rPr>
          <w:color w:val="231F20"/>
          <w:sz w:val="18"/>
        </w:rPr>
        <w:t>Human Libraries: the Power of Using Stories in Education / Boboňová I., Kurtek I.L., Škodová A., Galuščáková Ľ., Rybanský Ľ. // ResearchGate : сайт. 2020. URL: </w:t>
      </w:r>
      <w:hyperlink r:id="rId160">
        <w:r>
          <w:rPr>
            <w:color w:val="2255A6"/>
            <w:sz w:val="18"/>
            <w:u w:val="single" w:color="2255A6"/>
          </w:rPr>
          <w:t>https://</w:t>
        </w:r>
      </w:hyperlink>
      <w:r>
        <w:rPr>
          <w:color w:val="2255A6"/>
          <w:sz w:val="18"/>
        </w:rPr>
        <w:t> </w:t>
      </w:r>
      <w:hyperlink r:id="rId160">
        <w:r>
          <w:rPr>
            <w:color w:val="2255A6"/>
            <w:spacing w:val="-2"/>
            <w:sz w:val="18"/>
            <w:u w:val="single" w:color="2255A6"/>
          </w:rPr>
          <w:t>www.researchgate.net/publication/343424875_HUMAN_LIBRARIES_THE_POWER_</w:t>
        </w:r>
      </w:hyperlink>
      <w:r>
        <w:rPr>
          <w:color w:val="2255A6"/>
          <w:spacing w:val="-2"/>
          <w:sz w:val="18"/>
        </w:rPr>
        <w:t> </w:t>
      </w:r>
      <w:hyperlink r:id="rId160">
        <w:r>
          <w:rPr>
            <w:color w:val="2255A6"/>
            <w:sz w:val="18"/>
            <w:u w:val="single" w:color="2255A6"/>
          </w:rPr>
          <w:t>OF_USING_STORIES_IN_EDUCATION</w:t>
        </w:r>
      </w:hyperlink>
      <w:r>
        <w:rPr>
          <w:color w:val="2255A6"/>
          <w:sz w:val="18"/>
        </w:rPr>
        <w:t> </w:t>
      </w:r>
      <w:r>
        <w:rPr>
          <w:color w:val="231F20"/>
          <w:sz w:val="18"/>
        </w:rPr>
        <w:t>(дата обращения: 09.08.2022).</w:t>
      </w:r>
    </w:p>
    <w:p>
      <w:pPr>
        <w:pStyle w:val="ListParagraph"/>
        <w:spacing w:after="0" w:line="240" w:lineRule="auto"/>
        <w:jc w:val="both"/>
        <w:rPr>
          <w:sz w:val="18"/>
        </w:rPr>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5"/>
          <w:sz w:val="18"/>
        </w:rPr>
        <w:t> </w:t>
      </w:r>
      <w:r>
        <w:rPr>
          <w:rFonts w:ascii="Georgia" w:hAnsi="Georgia"/>
          <w:color w:val="231F20"/>
          <w:sz w:val="18"/>
        </w:rPr>
        <w:t>Методы</w:t>
      </w:r>
      <w:r>
        <w:rPr>
          <w:rFonts w:ascii="Georgia" w:hAnsi="Georgia"/>
          <w:color w:val="231F20"/>
          <w:spacing w:val="-5"/>
          <w:sz w:val="18"/>
        </w:rPr>
        <w:t> </w:t>
      </w:r>
      <w:r>
        <w:rPr>
          <w:rFonts w:ascii="Georgia" w:hAnsi="Georgia"/>
          <w:color w:val="231F20"/>
          <w:sz w:val="18"/>
        </w:rPr>
        <w:t>воспитательной</w:t>
      </w:r>
      <w:r>
        <w:rPr>
          <w:rFonts w:ascii="Georgia" w:hAnsi="Georgia"/>
          <w:color w:val="231F20"/>
          <w:spacing w:val="-4"/>
          <w:sz w:val="18"/>
        </w:rPr>
        <w:t> </w:t>
      </w:r>
      <w:r>
        <w:rPr>
          <w:rFonts w:ascii="Georgia" w:hAnsi="Georgia"/>
          <w:color w:val="231F20"/>
          <w:sz w:val="18"/>
        </w:rPr>
        <w:t>раюоты</w:t>
      </w:r>
      <w:r>
        <w:rPr>
          <w:rFonts w:ascii="Georgia" w:hAnsi="Georgia"/>
          <w:color w:val="231F20"/>
          <w:spacing w:val="-5"/>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w:t>
      </w:r>
      <w:r>
        <w:rPr>
          <w:rFonts w:ascii="Georgia" w:hAnsi="Georgia"/>
          <w:color w:val="231F20"/>
          <w:spacing w:val="-4"/>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ListParagraph"/>
        <w:numPr>
          <w:ilvl w:val="0"/>
          <w:numId w:val="153"/>
        </w:numPr>
        <w:tabs>
          <w:tab w:pos="708" w:val="left" w:leader="none"/>
        </w:tabs>
        <w:spacing w:line="240" w:lineRule="auto" w:before="117" w:after="0"/>
        <w:ind w:left="708" w:right="422" w:hanging="284"/>
        <w:jc w:val="both"/>
        <w:rPr>
          <w:sz w:val="18"/>
        </w:rPr>
      </w:pPr>
      <w:r>
        <w:rPr>
          <w:color w:val="231F20"/>
          <w:sz w:val="18"/>
        </w:rPr>
        <w:t>Jambor</w:t>
      </w:r>
      <w:r>
        <w:rPr>
          <w:color w:val="231F20"/>
          <w:spacing w:val="-2"/>
          <w:sz w:val="18"/>
        </w:rPr>
        <w:t> </w:t>
      </w:r>
      <w:r>
        <w:rPr>
          <w:color w:val="231F20"/>
          <w:sz w:val="18"/>
        </w:rPr>
        <w:t>K.</w:t>
      </w:r>
      <w:r>
        <w:rPr>
          <w:color w:val="231F20"/>
          <w:spacing w:val="-2"/>
          <w:sz w:val="18"/>
        </w:rPr>
        <w:t> </w:t>
      </w:r>
      <w:r>
        <w:rPr>
          <w:color w:val="231F20"/>
          <w:sz w:val="18"/>
        </w:rPr>
        <w:t>Human</w:t>
      </w:r>
      <w:r>
        <w:rPr>
          <w:color w:val="231F20"/>
          <w:spacing w:val="-2"/>
          <w:sz w:val="18"/>
        </w:rPr>
        <w:t> </w:t>
      </w:r>
      <w:r>
        <w:rPr>
          <w:color w:val="231F20"/>
          <w:sz w:val="18"/>
        </w:rPr>
        <w:t>Library</w:t>
      </w:r>
      <w:r>
        <w:rPr>
          <w:color w:val="231F20"/>
          <w:spacing w:val="-2"/>
          <w:sz w:val="18"/>
        </w:rPr>
        <w:t> </w:t>
      </w:r>
      <w:r>
        <w:rPr>
          <w:color w:val="231F20"/>
          <w:sz w:val="18"/>
        </w:rPr>
        <w:t>Evaluation</w:t>
      </w:r>
      <w:r>
        <w:rPr>
          <w:color w:val="231F20"/>
          <w:spacing w:val="-2"/>
          <w:sz w:val="18"/>
        </w:rPr>
        <w:t> </w:t>
      </w:r>
      <w:r>
        <w:rPr>
          <w:color w:val="231F20"/>
          <w:sz w:val="18"/>
        </w:rPr>
        <w:t>Study.</w:t>
      </w:r>
      <w:r>
        <w:rPr>
          <w:color w:val="231F20"/>
          <w:spacing w:val="-12"/>
          <w:sz w:val="18"/>
        </w:rPr>
        <w:t> </w:t>
      </w:r>
      <w:r>
        <w:rPr>
          <w:color w:val="231F20"/>
          <w:sz w:val="18"/>
        </w:rPr>
        <w:t>An</w:t>
      </w:r>
      <w:r>
        <w:rPr>
          <w:color w:val="231F20"/>
          <w:spacing w:val="-1"/>
          <w:sz w:val="18"/>
        </w:rPr>
        <w:t> </w:t>
      </w:r>
      <w:r>
        <w:rPr>
          <w:color w:val="231F20"/>
          <w:sz w:val="18"/>
        </w:rPr>
        <w:t>Evaluation</w:t>
      </w:r>
      <w:r>
        <w:rPr>
          <w:color w:val="231F20"/>
          <w:spacing w:val="-2"/>
          <w:sz w:val="18"/>
        </w:rPr>
        <w:t> </w:t>
      </w:r>
      <w:r>
        <w:rPr>
          <w:color w:val="231F20"/>
          <w:sz w:val="18"/>
        </w:rPr>
        <w:t>Study</w:t>
      </w:r>
      <w:r>
        <w:rPr>
          <w:color w:val="231F20"/>
          <w:spacing w:val="-2"/>
          <w:sz w:val="18"/>
        </w:rPr>
        <w:t> </w:t>
      </w:r>
      <w:r>
        <w:rPr>
          <w:color w:val="231F20"/>
          <w:sz w:val="18"/>
        </w:rPr>
        <w:t>on</w:t>
      </w:r>
      <w:r>
        <w:rPr>
          <w:color w:val="231F20"/>
          <w:spacing w:val="-2"/>
          <w:sz w:val="18"/>
        </w:rPr>
        <w:t> </w:t>
      </w:r>
      <w:r>
        <w:rPr>
          <w:color w:val="231F20"/>
          <w:sz w:val="18"/>
        </w:rPr>
        <w:t>the</w:t>
      </w:r>
      <w:r>
        <w:rPr>
          <w:color w:val="231F20"/>
          <w:spacing w:val="-2"/>
          <w:sz w:val="18"/>
        </w:rPr>
        <w:t> </w:t>
      </w:r>
      <w:r>
        <w:rPr>
          <w:color w:val="231F20"/>
          <w:sz w:val="18"/>
        </w:rPr>
        <w:t>Objectives</w:t>
      </w:r>
      <w:r>
        <w:rPr>
          <w:color w:val="231F20"/>
          <w:spacing w:val="-2"/>
          <w:sz w:val="18"/>
        </w:rPr>
        <w:t> </w:t>
      </w:r>
      <w:r>
        <w:rPr>
          <w:color w:val="231F20"/>
          <w:sz w:val="18"/>
        </w:rPr>
        <w:t>and </w:t>
      </w:r>
      <w:r>
        <w:rPr>
          <w:color w:val="231F20"/>
          <w:spacing w:val="-2"/>
          <w:sz w:val="18"/>
        </w:rPr>
        <w:t>Effectiveness</w:t>
      </w:r>
      <w:r>
        <w:rPr>
          <w:color w:val="231F20"/>
          <w:spacing w:val="-10"/>
          <w:sz w:val="18"/>
        </w:rPr>
        <w:t> </w:t>
      </w:r>
      <w:r>
        <w:rPr>
          <w:color w:val="231F20"/>
          <w:spacing w:val="-2"/>
          <w:sz w:val="18"/>
        </w:rPr>
        <w:t>of</w:t>
      </w:r>
      <w:r>
        <w:rPr>
          <w:color w:val="231F20"/>
          <w:spacing w:val="-9"/>
          <w:sz w:val="18"/>
        </w:rPr>
        <w:t> </w:t>
      </w:r>
      <w:r>
        <w:rPr>
          <w:color w:val="231F20"/>
          <w:spacing w:val="-2"/>
          <w:sz w:val="18"/>
        </w:rPr>
        <w:t>the</w:t>
      </w:r>
      <w:r>
        <w:rPr>
          <w:color w:val="231F20"/>
          <w:spacing w:val="-9"/>
          <w:sz w:val="18"/>
        </w:rPr>
        <w:t> </w:t>
      </w:r>
      <w:r>
        <w:rPr>
          <w:color w:val="231F20"/>
          <w:spacing w:val="-2"/>
          <w:sz w:val="18"/>
        </w:rPr>
        <w:t>Human</w:t>
      </w:r>
      <w:r>
        <w:rPr>
          <w:color w:val="231F20"/>
          <w:spacing w:val="-9"/>
          <w:sz w:val="18"/>
        </w:rPr>
        <w:t> </w:t>
      </w:r>
      <w:r>
        <w:rPr>
          <w:color w:val="231F20"/>
          <w:spacing w:val="-2"/>
          <w:sz w:val="18"/>
        </w:rPr>
        <w:t>Library</w:t>
      </w:r>
      <w:r>
        <w:rPr>
          <w:color w:val="231F20"/>
          <w:spacing w:val="-10"/>
          <w:sz w:val="18"/>
        </w:rPr>
        <w:t> </w:t>
      </w:r>
      <w:r>
        <w:rPr>
          <w:color w:val="231F20"/>
          <w:spacing w:val="-2"/>
          <w:sz w:val="18"/>
        </w:rPr>
        <w:t>/</w:t>
      </w:r>
      <w:r>
        <w:rPr>
          <w:color w:val="231F20"/>
          <w:spacing w:val="-9"/>
          <w:sz w:val="18"/>
        </w:rPr>
        <w:t> </w:t>
      </w:r>
      <w:r>
        <w:rPr>
          <w:color w:val="231F20"/>
          <w:spacing w:val="-2"/>
          <w:sz w:val="18"/>
        </w:rPr>
        <w:t>Текст</w:t>
      </w:r>
      <w:r>
        <w:rPr>
          <w:color w:val="231F20"/>
          <w:spacing w:val="-9"/>
          <w:sz w:val="18"/>
        </w:rPr>
        <w:t> </w:t>
      </w:r>
      <w:r>
        <w:rPr>
          <w:color w:val="231F20"/>
          <w:spacing w:val="-2"/>
          <w:sz w:val="18"/>
        </w:rPr>
        <w:t>:</w:t>
      </w:r>
      <w:r>
        <w:rPr>
          <w:color w:val="231F20"/>
          <w:spacing w:val="-9"/>
          <w:sz w:val="18"/>
        </w:rPr>
        <w:t> </w:t>
      </w:r>
      <w:r>
        <w:rPr>
          <w:color w:val="231F20"/>
          <w:spacing w:val="-2"/>
          <w:sz w:val="18"/>
        </w:rPr>
        <w:t>электронный</w:t>
      </w:r>
      <w:r>
        <w:rPr>
          <w:color w:val="231F20"/>
          <w:spacing w:val="-10"/>
          <w:sz w:val="18"/>
        </w:rPr>
        <w:t> </w:t>
      </w:r>
      <w:r>
        <w:rPr>
          <w:color w:val="231F20"/>
          <w:spacing w:val="-2"/>
          <w:sz w:val="18"/>
        </w:rPr>
        <w:t>//</w:t>
      </w:r>
      <w:r>
        <w:rPr>
          <w:color w:val="231F20"/>
          <w:spacing w:val="-9"/>
          <w:sz w:val="18"/>
        </w:rPr>
        <w:t> </w:t>
      </w:r>
      <w:r>
        <w:rPr>
          <w:color w:val="231F20"/>
          <w:spacing w:val="-2"/>
          <w:sz w:val="18"/>
        </w:rPr>
        <w:t>Hanzehogeschool</w:t>
      </w:r>
      <w:r>
        <w:rPr>
          <w:color w:val="231F20"/>
          <w:spacing w:val="-9"/>
          <w:sz w:val="18"/>
        </w:rPr>
        <w:t> </w:t>
      </w:r>
      <w:r>
        <w:rPr>
          <w:color w:val="231F20"/>
          <w:spacing w:val="-2"/>
          <w:sz w:val="18"/>
        </w:rPr>
        <w:t>Groningen. </w:t>
      </w:r>
      <w:r>
        <w:rPr>
          <w:color w:val="231F20"/>
          <w:sz w:val="18"/>
        </w:rPr>
        <w:t>2015.</w:t>
      </w:r>
      <w:r>
        <w:rPr>
          <w:color w:val="231F20"/>
          <w:spacing w:val="-7"/>
          <w:sz w:val="18"/>
        </w:rPr>
        <w:t> </w:t>
      </w:r>
      <w:r>
        <w:rPr>
          <w:color w:val="231F20"/>
          <w:sz w:val="18"/>
        </w:rPr>
        <w:t>URL:</w:t>
      </w:r>
      <w:r>
        <w:rPr>
          <w:color w:val="231F20"/>
          <w:spacing w:val="-7"/>
          <w:sz w:val="18"/>
        </w:rPr>
        <w:t> </w:t>
      </w:r>
      <w:hyperlink r:id="rId161">
        <w:r>
          <w:rPr>
            <w:color w:val="2255A6"/>
            <w:sz w:val="18"/>
            <w:u w:val="single" w:color="2255A6"/>
          </w:rPr>
          <w:t>https://static1.squarespace.com/static/5a2f3fe5bff2003632bd79e0/t/5a52da0</w:t>
        </w:r>
      </w:hyperlink>
      <w:r>
        <w:rPr>
          <w:color w:val="2255A6"/>
          <w:sz w:val="18"/>
        </w:rPr>
        <w:t> </w:t>
      </w:r>
      <w:hyperlink r:id="rId161">
        <w:r>
          <w:rPr>
            <w:color w:val="2255A6"/>
            <w:spacing w:val="-2"/>
            <w:sz w:val="18"/>
            <w:u w:val="single" w:color="2255A6"/>
          </w:rPr>
          <w:t>224a694bca85d4f1e/1515379207060/Human+Library+Groningen+2015+Evaluation+St</w:t>
        </w:r>
      </w:hyperlink>
      <w:r>
        <w:rPr>
          <w:color w:val="2255A6"/>
          <w:spacing w:val="-2"/>
          <w:sz w:val="18"/>
        </w:rPr>
        <w:t> </w:t>
      </w:r>
      <w:hyperlink r:id="rId161">
        <w:r>
          <w:rPr>
            <w:color w:val="2255A6"/>
            <w:sz w:val="18"/>
            <w:u w:val="single" w:color="2255A6"/>
          </w:rPr>
          <w:t>udy.pdf</w:t>
        </w:r>
      </w:hyperlink>
      <w:r>
        <w:rPr>
          <w:color w:val="2255A6"/>
          <w:sz w:val="18"/>
        </w:rPr>
        <w:t> </w:t>
      </w:r>
      <w:r>
        <w:rPr>
          <w:color w:val="231F20"/>
          <w:sz w:val="18"/>
        </w:rPr>
        <w:t>(дата обращения: 13.08.2022).</w:t>
      </w:r>
    </w:p>
    <w:p>
      <w:pPr>
        <w:pStyle w:val="ListParagraph"/>
        <w:numPr>
          <w:ilvl w:val="0"/>
          <w:numId w:val="153"/>
        </w:numPr>
        <w:tabs>
          <w:tab w:pos="708" w:val="left" w:leader="none"/>
        </w:tabs>
        <w:spacing w:line="240" w:lineRule="auto" w:before="0" w:after="0"/>
        <w:ind w:left="708" w:right="423" w:hanging="284"/>
        <w:jc w:val="both"/>
        <w:rPr>
          <w:sz w:val="18"/>
        </w:rPr>
      </w:pPr>
      <w:r>
        <w:rPr>
          <w:color w:val="231F20"/>
          <w:sz w:val="18"/>
        </w:rPr>
        <w:t>Kirkpatrick</w:t>
      </w:r>
      <w:r>
        <w:rPr>
          <w:color w:val="231F20"/>
          <w:spacing w:val="-2"/>
          <w:sz w:val="18"/>
        </w:rPr>
        <w:t> </w:t>
      </w:r>
      <w:r>
        <w:rPr>
          <w:color w:val="231F20"/>
          <w:sz w:val="18"/>
        </w:rPr>
        <w:t>D.L.Techniques</w:t>
      </w:r>
      <w:r>
        <w:rPr>
          <w:color w:val="231F20"/>
          <w:spacing w:val="-2"/>
          <w:sz w:val="18"/>
        </w:rPr>
        <w:t> </w:t>
      </w:r>
      <w:r>
        <w:rPr>
          <w:color w:val="231F20"/>
          <w:sz w:val="18"/>
        </w:rPr>
        <w:t>for</w:t>
      </w:r>
      <w:r>
        <w:rPr>
          <w:color w:val="231F20"/>
          <w:spacing w:val="-2"/>
          <w:sz w:val="18"/>
        </w:rPr>
        <w:t> </w:t>
      </w:r>
      <w:r>
        <w:rPr>
          <w:color w:val="231F20"/>
          <w:sz w:val="18"/>
        </w:rPr>
        <w:t>Evolutions</w:t>
      </w:r>
      <w:r>
        <w:rPr>
          <w:color w:val="231F20"/>
          <w:spacing w:val="-5"/>
          <w:sz w:val="18"/>
        </w:rPr>
        <w:t> </w:t>
      </w:r>
      <w:r>
        <w:rPr>
          <w:color w:val="231F20"/>
          <w:sz w:val="18"/>
        </w:rPr>
        <w:t>Training</w:t>
      </w:r>
      <w:r>
        <w:rPr>
          <w:color w:val="231F20"/>
          <w:spacing w:val="-2"/>
          <w:sz w:val="18"/>
        </w:rPr>
        <w:t> </w:t>
      </w:r>
      <w:r>
        <w:rPr>
          <w:color w:val="231F20"/>
          <w:sz w:val="18"/>
        </w:rPr>
        <w:t>Programs//</w:t>
      </w:r>
      <w:r>
        <w:rPr>
          <w:color w:val="231F20"/>
          <w:spacing w:val="-2"/>
          <w:sz w:val="18"/>
        </w:rPr>
        <w:t> </w:t>
      </w:r>
      <w:r>
        <w:rPr>
          <w:color w:val="231F20"/>
          <w:sz w:val="18"/>
        </w:rPr>
        <w:t>Journal</w:t>
      </w:r>
      <w:r>
        <w:rPr>
          <w:color w:val="231F20"/>
          <w:spacing w:val="-2"/>
          <w:sz w:val="18"/>
        </w:rPr>
        <w:t> </w:t>
      </w:r>
      <w:r>
        <w:rPr>
          <w:color w:val="231F20"/>
          <w:sz w:val="18"/>
        </w:rPr>
        <w:t>of</w:t>
      </w:r>
      <w:r>
        <w:rPr>
          <w:color w:val="231F20"/>
          <w:spacing w:val="-2"/>
          <w:sz w:val="18"/>
        </w:rPr>
        <w:t> </w:t>
      </w:r>
      <w:r>
        <w:rPr>
          <w:color w:val="231F20"/>
          <w:sz w:val="18"/>
        </w:rPr>
        <w:t>the</w:t>
      </w:r>
      <w:r>
        <w:rPr>
          <w:color w:val="231F20"/>
          <w:spacing w:val="-11"/>
          <w:sz w:val="18"/>
        </w:rPr>
        <w:t> </w:t>
      </w:r>
      <w:r>
        <w:rPr>
          <w:color w:val="231F20"/>
          <w:sz w:val="18"/>
        </w:rPr>
        <w:t>American Society of trainings directors, 13, 21-26.1959</w:t>
      </w:r>
    </w:p>
    <w:p>
      <w:pPr>
        <w:pStyle w:val="ListParagraph"/>
        <w:numPr>
          <w:ilvl w:val="0"/>
          <w:numId w:val="153"/>
        </w:numPr>
        <w:tabs>
          <w:tab w:pos="708" w:val="left" w:leader="none"/>
        </w:tabs>
        <w:spacing w:line="240" w:lineRule="auto" w:before="0" w:after="0"/>
        <w:ind w:left="708" w:right="424" w:hanging="284"/>
        <w:jc w:val="both"/>
        <w:rPr>
          <w:sz w:val="18"/>
        </w:rPr>
      </w:pPr>
      <w:r>
        <w:rPr>
          <w:color w:val="231F20"/>
          <w:sz w:val="18"/>
        </w:rPr>
        <w:t>Kwan C.K. A Qualitative Injury into the Human Library Approach: Facilitating </w:t>
      </w:r>
      <w:r>
        <w:rPr>
          <w:color w:val="231F20"/>
          <w:sz w:val="18"/>
        </w:rPr>
        <w:t>Social Inclusion and Promoting Recovery // International Journal of Environmental Research and Public Health. – 2020. – v. 17(9). URL: </w:t>
      </w:r>
      <w:hyperlink r:id="rId162">
        <w:r>
          <w:rPr>
            <w:color w:val="2255A6"/>
            <w:sz w:val="18"/>
            <w:u w:val="single" w:color="2255A6"/>
          </w:rPr>
          <w:t>https://www.ncbi.nlm.nih.gov/pmc/articles/</w:t>
        </w:r>
      </w:hyperlink>
      <w:r>
        <w:rPr>
          <w:color w:val="2255A6"/>
          <w:sz w:val="18"/>
        </w:rPr>
        <w:t> </w:t>
      </w:r>
      <w:hyperlink r:id="rId162">
        <w:r>
          <w:rPr>
            <w:color w:val="2255A6"/>
            <w:sz w:val="18"/>
            <w:u w:val="single" w:color="2255A6"/>
          </w:rPr>
          <w:t>PMC7246815/</w:t>
        </w:r>
      </w:hyperlink>
      <w:r>
        <w:rPr>
          <w:color w:val="2255A6"/>
          <w:sz w:val="18"/>
        </w:rPr>
        <w:t> </w:t>
      </w:r>
      <w:r>
        <w:rPr>
          <w:color w:val="231F20"/>
          <w:sz w:val="18"/>
        </w:rPr>
        <w:t>(дата обращения: 09.08.2022).</w:t>
      </w:r>
    </w:p>
    <w:p>
      <w:pPr>
        <w:pStyle w:val="ListParagraph"/>
        <w:numPr>
          <w:ilvl w:val="0"/>
          <w:numId w:val="153"/>
        </w:numPr>
        <w:tabs>
          <w:tab w:pos="708" w:val="left" w:leader="none"/>
        </w:tabs>
        <w:spacing w:line="240" w:lineRule="auto" w:before="0" w:after="0"/>
        <w:ind w:left="708" w:right="423" w:hanging="284"/>
        <w:jc w:val="both"/>
        <w:rPr>
          <w:sz w:val="18"/>
        </w:rPr>
      </w:pPr>
      <w:r>
        <w:rPr>
          <w:color w:val="231F20"/>
          <w:sz w:val="18"/>
        </w:rPr>
        <w:t>Pettigrew</w:t>
      </w:r>
      <w:r>
        <w:rPr>
          <w:color w:val="231F20"/>
          <w:spacing w:val="-12"/>
          <w:sz w:val="18"/>
        </w:rPr>
        <w:t> </w:t>
      </w:r>
      <w:r>
        <w:rPr>
          <w:color w:val="231F20"/>
          <w:sz w:val="18"/>
        </w:rPr>
        <w:t>T.F.</w:t>
      </w:r>
      <w:r>
        <w:rPr>
          <w:color w:val="231F20"/>
          <w:spacing w:val="-11"/>
          <w:sz w:val="18"/>
        </w:rPr>
        <w:t> </w:t>
      </w:r>
      <w:r>
        <w:rPr>
          <w:color w:val="231F20"/>
          <w:sz w:val="18"/>
        </w:rPr>
        <w:t>Intergroup</w:t>
      </w:r>
      <w:r>
        <w:rPr>
          <w:color w:val="231F20"/>
          <w:spacing w:val="-11"/>
          <w:sz w:val="18"/>
        </w:rPr>
        <w:t> </w:t>
      </w:r>
      <w:r>
        <w:rPr>
          <w:color w:val="231F20"/>
          <w:sz w:val="18"/>
        </w:rPr>
        <w:t>contact</w:t>
      </w:r>
      <w:r>
        <w:rPr>
          <w:color w:val="231F20"/>
          <w:spacing w:val="-11"/>
          <w:sz w:val="18"/>
        </w:rPr>
        <w:t> </w:t>
      </w:r>
      <w:r>
        <w:rPr>
          <w:color w:val="231F20"/>
          <w:sz w:val="18"/>
        </w:rPr>
        <w:t>theory</w:t>
      </w:r>
      <w:r>
        <w:rPr>
          <w:color w:val="231F20"/>
          <w:spacing w:val="-12"/>
          <w:sz w:val="18"/>
        </w:rPr>
        <w:t> </w:t>
      </w:r>
      <w:r>
        <w:rPr>
          <w:color w:val="231F20"/>
          <w:sz w:val="18"/>
        </w:rPr>
        <w:t>//</w:t>
      </w:r>
      <w:r>
        <w:rPr>
          <w:color w:val="231F20"/>
          <w:spacing w:val="-11"/>
          <w:sz w:val="18"/>
        </w:rPr>
        <w:t> </w:t>
      </w:r>
      <w:r>
        <w:rPr>
          <w:color w:val="231F20"/>
          <w:sz w:val="18"/>
        </w:rPr>
        <w:t>ResearchGate</w:t>
      </w:r>
      <w:r>
        <w:rPr>
          <w:color w:val="231F20"/>
          <w:spacing w:val="-11"/>
          <w:sz w:val="18"/>
        </w:rPr>
        <w:t> </w:t>
      </w:r>
      <w:r>
        <w:rPr>
          <w:color w:val="231F20"/>
          <w:sz w:val="18"/>
        </w:rPr>
        <w:t>:</w:t>
      </w:r>
      <w:r>
        <w:rPr>
          <w:color w:val="231F20"/>
          <w:spacing w:val="-11"/>
          <w:sz w:val="18"/>
        </w:rPr>
        <w:t> </w:t>
      </w:r>
      <w:r>
        <w:rPr>
          <w:color w:val="231F20"/>
          <w:sz w:val="18"/>
        </w:rPr>
        <w:t>сайт.</w:t>
      </w:r>
      <w:r>
        <w:rPr>
          <w:color w:val="231F20"/>
          <w:spacing w:val="-12"/>
          <w:sz w:val="18"/>
        </w:rPr>
        <w:t> </w:t>
      </w:r>
      <w:r>
        <w:rPr>
          <w:color w:val="231F20"/>
          <w:sz w:val="18"/>
        </w:rPr>
        <w:t>1998.</w:t>
      </w:r>
      <w:r>
        <w:rPr>
          <w:color w:val="231F20"/>
          <w:spacing w:val="-11"/>
          <w:sz w:val="18"/>
        </w:rPr>
        <w:t> </w:t>
      </w:r>
      <w:r>
        <w:rPr>
          <w:color w:val="231F20"/>
          <w:sz w:val="18"/>
        </w:rPr>
        <w:t>URL:</w:t>
      </w:r>
      <w:r>
        <w:rPr>
          <w:color w:val="231F20"/>
          <w:spacing w:val="-11"/>
          <w:sz w:val="18"/>
        </w:rPr>
        <w:t> </w:t>
      </w:r>
      <w:hyperlink r:id="rId163">
        <w:r>
          <w:rPr>
            <w:color w:val="2255A6"/>
            <w:sz w:val="18"/>
            <w:u w:val="single" w:color="2255A6"/>
          </w:rPr>
          <w:t>https://www.</w:t>
        </w:r>
      </w:hyperlink>
      <w:r>
        <w:rPr>
          <w:color w:val="2255A6"/>
          <w:sz w:val="18"/>
        </w:rPr>
        <w:t> </w:t>
      </w:r>
      <w:hyperlink r:id="rId163">
        <w:r>
          <w:rPr>
            <w:color w:val="2255A6"/>
            <w:sz w:val="18"/>
            <w:u w:val="single" w:color="2255A6"/>
          </w:rPr>
          <w:t>researchgate.net/publication/5282610_Intergroup_Contact_Theory</w:t>
        </w:r>
      </w:hyperlink>
      <w:r>
        <w:rPr>
          <w:color w:val="2255A6"/>
          <w:sz w:val="18"/>
        </w:rPr>
        <w:t> </w:t>
      </w:r>
      <w:r>
        <w:rPr>
          <w:color w:val="231F20"/>
          <w:sz w:val="18"/>
        </w:rPr>
        <w:t>(дата </w:t>
      </w:r>
      <w:r>
        <w:rPr>
          <w:color w:val="231F20"/>
          <w:sz w:val="18"/>
        </w:rPr>
        <w:t>обращения: </w:t>
      </w:r>
      <w:r>
        <w:rPr>
          <w:color w:val="231F20"/>
          <w:spacing w:val="-2"/>
          <w:sz w:val="18"/>
        </w:rPr>
        <w:t>09.08.2022).</w:t>
      </w:r>
    </w:p>
    <w:p>
      <w:pPr>
        <w:pStyle w:val="ListParagraph"/>
        <w:spacing w:after="0" w:line="240" w:lineRule="auto"/>
        <w:jc w:val="both"/>
        <w:rPr>
          <w:sz w:val="18"/>
        </w:rPr>
        <w:sectPr>
          <w:pgSz w:w="8400" w:h="11910"/>
          <w:pgMar w:header="0" w:footer="527" w:top="400" w:bottom="740" w:left="425" w:right="425"/>
        </w:sectPr>
      </w:pPr>
    </w:p>
    <w:p>
      <w:pPr>
        <w:spacing w:before="80"/>
        <w:ind w:left="141" w:right="139" w:firstLine="0"/>
        <w:jc w:val="right"/>
        <w:rPr>
          <w:rFonts w:ascii="Georgia" w:hAnsi="Georgia"/>
          <w:sz w:val="18"/>
        </w:rPr>
      </w:pPr>
      <w:bookmarkStart w:name="_bookmark69" w:id="71"/>
      <w:bookmarkEnd w:id="71"/>
      <w:r>
        <w:rPr/>
      </w:r>
      <w:r>
        <w:rPr>
          <w:rFonts w:ascii="Georgia" w:hAnsi="Georgia"/>
          <w:color w:val="231F20"/>
          <w:spacing w:val="-2"/>
          <w:sz w:val="18"/>
        </w:rPr>
        <w:t>Раздел</w:t>
      </w:r>
      <w:r>
        <w:rPr>
          <w:rFonts w:ascii="Georgia" w:hAnsi="Georgia"/>
          <w:color w:val="231F20"/>
          <w:spacing w:val="-5"/>
          <w:sz w:val="18"/>
        </w:rPr>
        <w:t> 4.</w:t>
      </w:r>
    </w:p>
    <w:p>
      <w:pPr>
        <w:numPr>
          <w:ilvl w:val="2"/>
          <w:numId w:val="143"/>
        </w:numPr>
        <w:tabs>
          <w:tab w:pos="773" w:val="left" w:leader="none"/>
        </w:tabs>
        <w:spacing w:before="109"/>
        <w:ind w:left="773" w:right="0" w:hanging="500"/>
        <w:jc w:val="left"/>
        <w:rPr>
          <w:b/>
          <w:sz w:val="20"/>
        </w:rPr>
      </w:pPr>
      <w:r>
        <w:rPr>
          <w:b/>
          <w:color w:val="231F20"/>
          <w:sz w:val="20"/>
        </w:rPr>
        <w:t>Интеграционное</w:t>
      </w:r>
      <w:r>
        <w:rPr>
          <w:b/>
          <w:color w:val="231F20"/>
          <w:spacing w:val="-11"/>
          <w:sz w:val="20"/>
        </w:rPr>
        <w:t> </w:t>
      </w:r>
      <w:r>
        <w:rPr>
          <w:b/>
          <w:color w:val="231F20"/>
          <w:sz w:val="20"/>
        </w:rPr>
        <w:t>межкультурное</w:t>
      </w:r>
      <w:r>
        <w:rPr>
          <w:b/>
          <w:color w:val="231F20"/>
          <w:spacing w:val="-11"/>
          <w:sz w:val="20"/>
        </w:rPr>
        <w:t> </w:t>
      </w:r>
      <w:r>
        <w:rPr>
          <w:b/>
          <w:color w:val="231F20"/>
          <w:sz w:val="20"/>
        </w:rPr>
        <w:t>краеведение</w:t>
      </w:r>
      <w:r>
        <w:rPr>
          <w:b/>
          <w:color w:val="231F20"/>
          <w:spacing w:val="-10"/>
          <w:sz w:val="20"/>
        </w:rPr>
        <w:t> </w:t>
      </w:r>
      <w:r>
        <w:rPr>
          <w:b/>
          <w:color w:val="231F20"/>
          <w:sz w:val="20"/>
        </w:rPr>
        <w:t>в</w:t>
      </w:r>
      <w:r>
        <w:rPr>
          <w:b/>
          <w:color w:val="231F20"/>
          <w:spacing w:val="-11"/>
          <w:sz w:val="20"/>
        </w:rPr>
        <w:t> </w:t>
      </w:r>
      <w:r>
        <w:rPr>
          <w:b/>
          <w:color w:val="231F20"/>
          <w:sz w:val="20"/>
        </w:rPr>
        <w:t>поликультурном</w:t>
      </w:r>
      <w:r>
        <w:rPr>
          <w:b/>
          <w:color w:val="231F20"/>
          <w:spacing w:val="-11"/>
          <w:sz w:val="20"/>
        </w:rPr>
        <w:t> </w:t>
      </w:r>
      <w:r>
        <w:rPr>
          <w:b/>
          <w:color w:val="231F20"/>
          <w:spacing w:val="-2"/>
          <w:sz w:val="20"/>
        </w:rPr>
        <w:t>классе</w:t>
      </w:r>
    </w:p>
    <w:p>
      <w:pPr>
        <w:spacing w:before="109"/>
        <w:ind w:left="425" w:right="0" w:firstLine="5968"/>
        <w:jc w:val="left"/>
        <w:rPr>
          <w:i/>
          <w:sz w:val="20"/>
        </w:rPr>
      </w:pPr>
      <w:r>
        <w:rPr>
          <w:i/>
          <w:color w:val="231F20"/>
          <w:sz w:val="20"/>
        </w:rPr>
        <w:t>А.С.</w:t>
      </w:r>
      <w:r>
        <w:rPr>
          <w:i/>
          <w:color w:val="231F20"/>
          <w:spacing w:val="-2"/>
          <w:sz w:val="20"/>
        </w:rPr>
        <w:t> Обухов</w:t>
      </w:r>
    </w:p>
    <w:p>
      <w:pPr>
        <w:pStyle w:val="BodyText"/>
        <w:spacing w:line="232" w:lineRule="auto" w:before="115"/>
        <w:jc w:val="right"/>
      </w:pPr>
      <w:r>
        <w:rPr>
          <w:color w:val="231F20"/>
        </w:rPr>
        <w:t>Краеведческое</w:t>
      </w:r>
      <w:r>
        <w:rPr>
          <w:color w:val="231F20"/>
          <w:spacing w:val="32"/>
        </w:rPr>
        <w:t> </w:t>
      </w:r>
      <w:r>
        <w:rPr>
          <w:color w:val="231F20"/>
        </w:rPr>
        <w:t>движение</w:t>
      </w:r>
      <w:r>
        <w:rPr>
          <w:color w:val="231F20"/>
          <w:spacing w:val="32"/>
        </w:rPr>
        <w:t> </w:t>
      </w:r>
      <w:r>
        <w:rPr>
          <w:color w:val="231F20"/>
        </w:rPr>
        <w:t>–</w:t>
      </w:r>
      <w:r>
        <w:rPr>
          <w:color w:val="231F20"/>
          <w:spacing w:val="32"/>
        </w:rPr>
        <w:t> </w:t>
      </w:r>
      <w:r>
        <w:rPr>
          <w:color w:val="231F20"/>
        </w:rPr>
        <w:t>одна</w:t>
      </w:r>
      <w:r>
        <w:rPr>
          <w:color w:val="231F20"/>
          <w:spacing w:val="32"/>
        </w:rPr>
        <w:t> </w:t>
      </w:r>
      <w:r>
        <w:rPr>
          <w:color w:val="231F20"/>
        </w:rPr>
        <w:t>из</w:t>
      </w:r>
      <w:r>
        <w:rPr>
          <w:color w:val="231F20"/>
          <w:spacing w:val="32"/>
        </w:rPr>
        <w:t> </w:t>
      </w:r>
      <w:r>
        <w:rPr>
          <w:color w:val="231F20"/>
        </w:rPr>
        <w:t>наиболее</w:t>
      </w:r>
      <w:r>
        <w:rPr>
          <w:color w:val="231F20"/>
          <w:spacing w:val="32"/>
        </w:rPr>
        <w:t> </w:t>
      </w:r>
      <w:r>
        <w:rPr>
          <w:color w:val="231F20"/>
        </w:rPr>
        <w:t>давних</w:t>
      </w:r>
      <w:r>
        <w:rPr>
          <w:color w:val="231F20"/>
          <w:spacing w:val="32"/>
        </w:rPr>
        <w:t> </w:t>
      </w:r>
      <w:r>
        <w:rPr>
          <w:color w:val="231F20"/>
        </w:rPr>
        <w:t>массовых</w:t>
      </w:r>
      <w:r>
        <w:rPr>
          <w:color w:val="231F20"/>
          <w:spacing w:val="32"/>
        </w:rPr>
        <w:t> </w:t>
      </w:r>
      <w:r>
        <w:rPr>
          <w:color w:val="231F20"/>
        </w:rPr>
        <w:t>практик</w:t>
      </w:r>
      <w:r>
        <w:rPr>
          <w:color w:val="231F20"/>
          <w:spacing w:val="32"/>
        </w:rPr>
        <w:t> </w:t>
      </w:r>
      <w:r>
        <w:rPr>
          <w:color w:val="231F20"/>
        </w:rPr>
        <w:t>изуче- ния</w:t>
      </w:r>
      <w:r>
        <w:rPr>
          <w:color w:val="231F20"/>
          <w:spacing w:val="-3"/>
        </w:rPr>
        <w:t> </w:t>
      </w:r>
      <w:r>
        <w:rPr>
          <w:color w:val="231F20"/>
        </w:rPr>
        <w:t>родного</w:t>
      </w:r>
      <w:r>
        <w:rPr>
          <w:color w:val="231F20"/>
          <w:spacing w:val="-3"/>
        </w:rPr>
        <w:t> </w:t>
      </w:r>
      <w:r>
        <w:rPr>
          <w:color w:val="231F20"/>
        </w:rPr>
        <w:t>края,</w:t>
      </w:r>
      <w:r>
        <w:rPr>
          <w:color w:val="231F20"/>
          <w:spacing w:val="-3"/>
        </w:rPr>
        <w:t> </w:t>
      </w:r>
      <w:r>
        <w:rPr>
          <w:color w:val="231F20"/>
        </w:rPr>
        <w:t>сохранения</w:t>
      </w:r>
      <w:r>
        <w:rPr>
          <w:color w:val="231F20"/>
          <w:spacing w:val="-3"/>
        </w:rPr>
        <w:t> </w:t>
      </w:r>
      <w:r>
        <w:rPr>
          <w:color w:val="231F20"/>
        </w:rPr>
        <w:t>его</w:t>
      </w:r>
      <w:r>
        <w:rPr>
          <w:color w:val="231F20"/>
          <w:spacing w:val="-3"/>
        </w:rPr>
        <w:t> </w:t>
      </w:r>
      <w:r>
        <w:rPr>
          <w:color w:val="231F20"/>
        </w:rPr>
        <w:t>самобытности,</w:t>
      </w:r>
      <w:r>
        <w:rPr>
          <w:color w:val="231F20"/>
          <w:spacing w:val="-3"/>
        </w:rPr>
        <w:t> </w:t>
      </w:r>
      <w:r>
        <w:rPr>
          <w:color w:val="231F20"/>
        </w:rPr>
        <w:t>его</w:t>
      </w:r>
      <w:r>
        <w:rPr>
          <w:color w:val="231F20"/>
          <w:spacing w:val="-3"/>
        </w:rPr>
        <w:t> </w:t>
      </w:r>
      <w:r>
        <w:rPr>
          <w:color w:val="231F20"/>
        </w:rPr>
        <w:t>истории,</w:t>
      </w:r>
      <w:r>
        <w:rPr>
          <w:color w:val="231F20"/>
          <w:spacing w:val="-3"/>
        </w:rPr>
        <w:t> </w:t>
      </w:r>
      <w:r>
        <w:rPr>
          <w:color w:val="231F20"/>
        </w:rPr>
        <w:t>культуры,</w:t>
      </w:r>
      <w:r>
        <w:rPr>
          <w:color w:val="231F20"/>
          <w:spacing w:val="-3"/>
        </w:rPr>
        <w:t> </w:t>
      </w:r>
      <w:r>
        <w:rPr>
          <w:color w:val="231F20"/>
        </w:rPr>
        <w:t>природы.</w:t>
      </w:r>
      <w:r>
        <w:rPr>
          <w:color w:val="231F20"/>
          <w:spacing w:val="-3"/>
        </w:rPr>
        <w:t> </w:t>
      </w:r>
      <w:r>
        <w:rPr>
          <w:color w:val="231F20"/>
        </w:rPr>
        <w:t>С 1920-х</w:t>
      </w:r>
      <w:r>
        <w:rPr>
          <w:color w:val="231F20"/>
          <w:spacing w:val="-4"/>
        </w:rPr>
        <w:t> </w:t>
      </w:r>
      <w:r>
        <w:rPr>
          <w:color w:val="231F20"/>
        </w:rPr>
        <w:t>гг.</w:t>
      </w:r>
      <w:r>
        <w:rPr>
          <w:color w:val="231F20"/>
          <w:spacing w:val="-4"/>
        </w:rPr>
        <w:t> </w:t>
      </w:r>
      <w:r>
        <w:rPr>
          <w:color w:val="231F20"/>
        </w:rPr>
        <w:t>в</w:t>
      </w:r>
      <w:r>
        <w:rPr>
          <w:color w:val="231F20"/>
          <w:spacing w:val="-4"/>
        </w:rPr>
        <w:t> </w:t>
      </w:r>
      <w:r>
        <w:rPr>
          <w:color w:val="231F20"/>
        </w:rPr>
        <w:t>нашей</w:t>
      </w:r>
      <w:r>
        <w:rPr>
          <w:color w:val="231F20"/>
          <w:spacing w:val="-4"/>
        </w:rPr>
        <w:t> </w:t>
      </w:r>
      <w:r>
        <w:rPr>
          <w:color w:val="231F20"/>
        </w:rPr>
        <w:t>стране</w:t>
      </w:r>
      <w:r>
        <w:rPr>
          <w:color w:val="231F20"/>
          <w:spacing w:val="-4"/>
        </w:rPr>
        <w:t> </w:t>
      </w:r>
      <w:r>
        <w:rPr>
          <w:color w:val="231F20"/>
        </w:rPr>
        <w:t>активно</w:t>
      </w:r>
      <w:r>
        <w:rPr>
          <w:color w:val="231F20"/>
          <w:spacing w:val="-4"/>
        </w:rPr>
        <w:t> </w:t>
      </w:r>
      <w:r>
        <w:rPr>
          <w:color w:val="231F20"/>
        </w:rPr>
        <w:t>развивалось</w:t>
      </w:r>
      <w:r>
        <w:rPr>
          <w:color w:val="231F20"/>
          <w:spacing w:val="-4"/>
        </w:rPr>
        <w:t> </w:t>
      </w:r>
      <w:r>
        <w:rPr>
          <w:color w:val="231F20"/>
        </w:rPr>
        <w:t>школьное</w:t>
      </w:r>
      <w:r>
        <w:rPr>
          <w:color w:val="231F20"/>
          <w:spacing w:val="-4"/>
        </w:rPr>
        <w:t> </w:t>
      </w:r>
      <w:r>
        <w:rPr>
          <w:color w:val="231F20"/>
        </w:rPr>
        <w:t>краеведение</w:t>
      </w:r>
      <w:r>
        <w:rPr>
          <w:color w:val="231F20"/>
          <w:spacing w:val="-4"/>
        </w:rPr>
        <w:t> </w:t>
      </w:r>
      <w:r>
        <w:rPr>
          <w:color w:val="231F20"/>
        </w:rPr>
        <w:t>–</w:t>
      </w:r>
      <w:r>
        <w:rPr>
          <w:color w:val="231F20"/>
          <w:spacing w:val="-4"/>
        </w:rPr>
        <w:t> </w:t>
      </w:r>
      <w:r>
        <w:rPr>
          <w:color w:val="231F20"/>
        </w:rPr>
        <w:t>направление деятельности детей и подростков, познающих окружающих мир через историю сво- его</w:t>
      </w:r>
      <w:r>
        <w:rPr>
          <w:color w:val="231F20"/>
          <w:spacing w:val="-7"/>
        </w:rPr>
        <w:t> </w:t>
      </w:r>
      <w:r>
        <w:rPr>
          <w:color w:val="231F20"/>
        </w:rPr>
        <w:t>региона.</w:t>
      </w:r>
      <w:r>
        <w:rPr>
          <w:color w:val="231F20"/>
          <w:spacing w:val="-7"/>
        </w:rPr>
        <w:t> </w:t>
      </w:r>
      <w:r>
        <w:rPr>
          <w:color w:val="231F20"/>
        </w:rPr>
        <w:t>Школьное</w:t>
      </w:r>
      <w:r>
        <w:rPr>
          <w:color w:val="231F20"/>
          <w:spacing w:val="-7"/>
        </w:rPr>
        <w:t> </w:t>
      </w:r>
      <w:r>
        <w:rPr>
          <w:color w:val="231F20"/>
        </w:rPr>
        <w:t>краеведческое</w:t>
      </w:r>
      <w:r>
        <w:rPr>
          <w:color w:val="231F20"/>
          <w:spacing w:val="-7"/>
        </w:rPr>
        <w:t> </w:t>
      </w:r>
      <w:r>
        <w:rPr>
          <w:color w:val="231F20"/>
        </w:rPr>
        <w:t>движение</w:t>
      </w:r>
      <w:r>
        <w:rPr>
          <w:color w:val="231F20"/>
          <w:spacing w:val="-7"/>
        </w:rPr>
        <w:t> </w:t>
      </w:r>
      <w:r>
        <w:rPr>
          <w:color w:val="231F20"/>
        </w:rPr>
        <w:t>–</w:t>
      </w:r>
      <w:r>
        <w:rPr>
          <w:color w:val="231F20"/>
          <w:spacing w:val="-7"/>
        </w:rPr>
        <w:t> </w:t>
      </w:r>
      <w:r>
        <w:rPr>
          <w:color w:val="231F20"/>
        </w:rPr>
        <w:t>мощный</w:t>
      </w:r>
      <w:r>
        <w:rPr>
          <w:color w:val="231F20"/>
          <w:spacing w:val="-7"/>
        </w:rPr>
        <w:t> </w:t>
      </w:r>
      <w:r>
        <w:rPr>
          <w:color w:val="231F20"/>
        </w:rPr>
        <w:t>ресурс</w:t>
      </w:r>
      <w:r>
        <w:rPr>
          <w:color w:val="231F20"/>
          <w:spacing w:val="-7"/>
        </w:rPr>
        <w:t> </w:t>
      </w:r>
      <w:r>
        <w:rPr>
          <w:color w:val="231F20"/>
        </w:rPr>
        <w:t>для</w:t>
      </w:r>
      <w:r>
        <w:rPr>
          <w:color w:val="231F20"/>
          <w:spacing w:val="-7"/>
        </w:rPr>
        <w:t> </w:t>
      </w:r>
      <w:r>
        <w:rPr>
          <w:color w:val="231F20"/>
        </w:rPr>
        <w:t>образования</w:t>
      </w:r>
      <w:r>
        <w:rPr>
          <w:color w:val="231F20"/>
          <w:spacing w:val="-7"/>
        </w:rPr>
        <w:t> </w:t>
      </w:r>
      <w:r>
        <w:rPr>
          <w:color w:val="231F20"/>
        </w:rPr>
        <w:t>и воспитания</w:t>
      </w:r>
      <w:r>
        <w:rPr>
          <w:color w:val="231F20"/>
          <w:spacing w:val="-13"/>
        </w:rPr>
        <w:t> </w:t>
      </w:r>
      <w:r>
        <w:rPr>
          <w:color w:val="231F20"/>
        </w:rPr>
        <w:t>новых</w:t>
      </w:r>
      <w:r>
        <w:rPr>
          <w:color w:val="231F20"/>
          <w:spacing w:val="-12"/>
        </w:rPr>
        <w:t> </w:t>
      </w:r>
      <w:r>
        <w:rPr>
          <w:color w:val="231F20"/>
        </w:rPr>
        <w:t>поколений,</w:t>
      </w:r>
      <w:r>
        <w:rPr>
          <w:color w:val="231F20"/>
          <w:spacing w:val="-13"/>
        </w:rPr>
        <w:t> </w:t>
      </w:r>
      <w:r>
        <w:rPr>
          <w:color w:val="231F20"/>
        </w:rPr>
        <w:t>построения</w:t>
      </w:r>
      <w:r>
        <w:rPr>
          <w:color w:val="231F20"/>
          <w:spacing w:val="-12"/>
        </w:rPr>
        <w:t> </w:t>
      </w:r>
      <w:r>
        <w:rPr>
          <w:color w:val="231F20"/>
        </w:rPr>
        <w:t>продуктивного</w:t>
      </w:r>
      <w:r>
        <w:rPr>
          <w:color w:val="231F20"/>
          <w:spacing w:val="-13"/>
        </w:rPr>
        <w:t> </w:t>
      </w:r>
      <w:r>
        <w:rPr>
          <w:color w:val="231F20"/>
        </w:rPr>
        <w:t>межпоколенческого</w:t>
      </w:r>
      <w:r>
        <w:rPr>
          <w:color w:val="231F20"/>
          <w:spacing w:val="-12"/>
        </w:rPr>
        <w:t> </w:t>
      </w:r>
      <w:r>
        <w:rPr>
          <w:color w:val="231F20"/>
        </w:rPr>
        <w:t>и</w:t>
      </w:r>
      <w:r>
        <w:rPr>
          <w:color w:val="231F20"/>
          <w:spacing w:val="-13"/>
        </w:rPr>
        <w:t> </w:t>
      </w:r>
      <w:r>
        <w:rPr>
          <w:color w:val="231F20"/>
        </w:rPr>
        <w:t>меж- культурного</w:t>
      </w:r>
      <w:r>
        <w:rPr>
          <w:color w:val="231F20"/>
          <w:spacing w:val="13"/>
        </w:rPr>
        <w:t> </w:t>
      </w:r>
      <w:r>
        <w:rPr>
          <w:color w:val="231F20"/>
        </w:rPr>
        <w:t>диалога.</w:t>
      </w:r>
      <w:r>
        <w:rPr>
          <w:color w:val="231F20"/>
          <w:spacing w:val="13"/>
        </w:rPr>
        <w:t> </w:t>
      </w:r>
      <w:r>
        <w:rPr>
          <w:color w:val="231F20"/>
        </w:rPr>
        <w:t>Изучая</w:t>
      </w:r>
      <w:r>
        <w:rPr>
          <w:color w:val="231F20"/>
          <w:spacing w:val="13"/>
        </w:rPr>
        <w:t> </w:t>
      </w:r>
      <w:r>
        <w:rPr>
          <w:color w:val="231F20"/>
        </w:rPr>
        <w:t>окружающий</w:t>
      </w:r>
      <w:r>
        <w:rPr>
          <w:color w:val="231F20"/>
          <w:spacing w:val="13"/>
        </w:rPr>
        <w:t> </w:t>
      </w:r>
      <w:r>
        <w:rPr>
          <w:color w:val="231F20"/>
        </w:rPr>
        <w:t>мир,</w:t>
      </w:r>
      <w:r>
        <w:rPr>
          <w:color w:val="231F20"/>
          <w:spacing w:val="13"/>
        </w:rPr>
        <w:t> </w:t>
      </w:r>
      <w:r>
        <w:rPr>
          <w:color w:val="231F20"/>
        </w:rPr>
        <w:t>его</w:t>
      </w:r>
      <w:r>
        <w:rPr>
          <w:color w:val="231F20"/>
          <w:spacing w:val="13"/>
        </w:rPr>
        <w:t> </w:t>
      </w:r>
      <w:r>
        <w:rPr>
          <w:color w:val="231F20"/>
        </w:rPr>
        <w:t>природу,</w:t>
      </w:r>
      <w:r>
        <w:rPr>
          <w:color w:val="231F20"/>
          <w:spacing w:val="13"/>
        </w:rPr>
        <w:t> </w:t>
      </w:r>
      <w:r>
        <w:rPr>
          <w:color w:val="231F20"/>
        </w:rPr>
        <w:t>культуру,</w:t>
      </w:r>
      <w:r>
        <w:rPr>
          <w:color w:val="231F20"/>
          <w:spacing w:val="13"/>
        </w:rPr>
        <w:t> </w:t>
      </w:r>
      <w:r>
        <w:rPr>
          <w:color w:val="231F20"/>
        </w:rPr>
        <w:t>социум</w:t>
      </w:r>
      <w:r>
        <w:rPr>
          <w:color w:val="231F20"/>
          <w:spacing w:val="13"/>
        </w:rPr>
        <w:t> </w:t>
      </w:r>
      <w:r>
        <w:rPr>
          <w:color w:val="231F20"/>
        </w:rPr>
        <w:t>–</w:t>
      </w:r>
      <w:r>
        <w:rPr>
          <w:color w:val="231F20"/>
          <w:spacing w:val="13"/>
        </w:rPr>
        <w:t> </w:t>
      </w:r>
      <w:r>
        <w:rPr>
          <w:color w:val="231F20"/>
        </w:rPr>
        <w:t>в прошлом</w:t>
      </w:r>
      <w:r>
        <w:rPr>
          <w:color w:val="231F20"/>
          <w:spacing w:val="-4"/>
        </w:rPr>
        <w:t> </w:t>
      </w:r>
      <w:r>
        <w:rPr>
          <w:color w:val="231F20"/>
        </w:rPr>
        <w:t>и</w:t>
      </w:r>
      <w:r>
        <w:rPr>
          <w:color w:val="231F20"/>
          <w:spacing w:val="-4"/>
        </w:rPr>
        <w:t> </w:t>
      </w:r>
      <w:r>
        <w:rPr>
          <w:color w:val="231F20"/>
        </w:rPr>
        <w:t>настоящем,</w:t>
      </w:r>
      <w:r>
        <w:rPr>
          <w:color w:val="231F20"/>
          <w:spacing w:val="-4"/>
        </w:rPr>
        <w:t> </w:t>
      </w:r>
      <w:r>
        <w:rPr>
          <w:color w:val="231F20"/>
        </w:rPr>
        <w:t>можно</w:t>
      </w:r>
      <w:r>
        <w:rPr>
          <w:color w:val="231F20"/>
          <w:spacing w:val="-4"/>
        </w:rPr>
        <w:t> </w:t>
      </w:r>
      <w:r>
        <w:rPr>
          <w:color w:val="231F20"/>
        </w:rPr>
        <w:t>выстраивать</w:t>
      </w:r>
      <w:r>
        <w:rPr>
          <w:color w:val="231F20"/>
          <w:spacing w:val="-4"/>
        </w:rPr>
        <w:t> </w:t>
      </w:r>
      <w:r>
        <w:rPr>
          <w:color w:val="231F20"/>
        </w:rPr>
        <w:t>перспективные</w:t>
      </w:r>
      <w:r>
        <w:rPr>
          <w:color w:val="231F20"/>
          <w:spacing w:val="-4"/>
        </w:rPr>
        <w:t> </w:t>
      </w:r>
      <w:r>
        <w:rPr>
          <w:color w:val="231F20"/>
        </w:rPr>
        <w:t>проекты</w:t>
      </w:r>
      <w:r>
        <w:rPr>
          <w:color w:val="231F20"/>
          <w:spacing w:val="-4"/>
        </w:rPr>
        <w:t> </w:t>
      </w:r>
      <w:r>
        <w:rPr>
          <w:color w:val="231F20"/>
        </w:rPr>
        <w:t>для</w:t>
      </w:r>
      <w:r>
        <w:rPr>
          <w:color w:val="231F20"/>
          <w:spacing w:val="-4"/>
        </w:rPr>
        <w:t> </w:t>
      </w:r>
      <w:r>
        <w:rPr>
          <w:color w:val="231F20"/>
        </w:rPr>
        <w:t>своего</w:t>
      </w:r>
      <w:r>
        <w:rPr>
          <w:color w:val="231F20"/>
          <w:spacing w:val="-4"/>
        </w:rPr>
        <w:t> </w:t>
      </w:r>
      <w:r>
        <w:rPr>
          <w:color w:val="231F20"/>
        </w:rPr>
        <w:t>реги- </w:t>
      </w:r>
      <w:r>
        <w:rPr>
          <w:color w:val="231F20"/>
          <w:spacing w:val="-2"/>
        </w:rPr>
        <w:t>она, в том числе в контексте его поликультурности (исторической или становящейся). </w:t>
      </w:r>
      <w:r>
        <w:rPr>
          <w:color w:val="231F20"/>
        </w:rPr>
        <w:t>Значимыми</w:t>
      </w:r>
      <w:r>
        <w:rPr>
          <w:color w:val="231F20"/>
          <w:spacing w:val="35"/>
        </w:rPr>
        <w:t> </w:t>
      </w:r>
      <w:r>
        <w:rPr>
          <w:color w:val="231F20"/>
        </w:rPr>
        <w:t>этапами</w:t>
      </w:r>
      <w:r>
        <w:rPr>
          <w:color w:val="231F20"/>
          <w:spacing w:val="35"/>
        </w:rPr>
        <w:t> </w:t>
      </w:r>
      <w:r>
        <w:rPr>
          <w:color w:val="231F20"/>
        </w:rPr>
        <w:t>в</w:t>
      </w:r>
      <w:r>
        <w:rPr>
          <w:color w:val="231F20"/>
          <w:spacing w:val="35"/>
        </w:rPr>
        <w:t> </w:t>
      </w:r>
      <w:r>
        <w:rPr>
          <w:color w:val="231F20"/>
        </w:rPr>
        <w:t>становлении</w:t>
      </w:r>
      <w:r>
        <w:rPr>
          <w:color w:val="231F20"/>
          <w:spacing w:val="35"/>
        </w:rPr>
        <w:t> </w:t>
      </w:r>
      <w:r>
        <w:rPr>
          <w:color w:val="231F20"/>
        </w:rPr>
        <w:t>краеведения</w:t>
      </w:r>
      <w:r>
        <w:rPr>
          <w:color w:val="231F20"/>
          <w:spacing w:val="35"/>
        </w:rPr>
        <w:t> </w:t>
      </w:r>
      <w:r>
        <w:rPr>
          <w:color w:val="231F20"/>
        </w:rPr>
        <w:t>в</w:t>
      </w:r>
      <w:r>
        <w:rPr>
          <w:color w:val="231F20"/>
          <w:spacing w:val="35"/>
        </w:rPr>
        <w:t> </w:t>
      </w:r>
      <w:r>
        <w:rPr>
          <w:color w:val="231F20"/>
        </w:rPr>
        <w:t>сфере</w:t>
      </w:r>
      <w:r>
        <w:rPr>
          <w:color w:val="231F20"/>
          <w:spacing w:val="35"/>
        </w:rPr>
        <w:t> </w:t>
      </w:r>
      <w:r>
        <w:rPr>
          <w:color w:val="231F20"/>
        </w:rPr>
        <w:t>образования</w:t>
      </w:r>
      <w:r>
        <w:rPr>
          <w:color w:val="231F20"/>
          <w:spacing w:val="35"/>
        </w:rPr>
        <w:t> </w:t>
      </w:r>
      <w:r>
        <w:rPr>
          <w:color w:val="231F20"/>
        </w:rPr>
        <w:t>были,</w:t>
      </w:r>
      <w:r>
        <w:rPr>
          <w:color w:val="231F20"/>
          <w:spacing w:val="35"/>
        </w:rPr>
        <w:t> </w:t>
      </w:r>
      <w:r>
        <w:rPr>
          <w:color w:val="231F20"/>
        </w:rPr>
        <w:t>как уже упоминалось, 1920-е (Кабанов, 1999), затем 1960-е, а также 1980–1990-е годы</w:t>
      </w:r>
      <w:r>
        <w:rPr>
          <w:color w:val="231F20"/>
          <w:spacing w:val="40"/>
        </w:rPr>
        <w:t> </w:t>
      </w:r>
      <w:r>
        <w:rPr>
          <w:color w:val="231F20"/>
        </w:rPr>
        <w:t>(Шалимова,</w:t>
      </w:r>
      <w:r>
        <w:rPr>
          <w:color w:val="231F20"/>
          <w:spacing w:val="-10"/>
        </w:rPr>
        <w:t> </w:t>
      </w:r>
      <w:r>
        <w:rPr>
          <w:color w:val="231F20"/>
        </w:rPr>
        <w:t>2013).</w:t>
      </w:r>
      <w:r>
        <w:rPr>
          <w:color w:val="231F20"/>
          <w:spacing w:val="-10"/>
        </w:rPr>
        <w:t> </w:t>
      </w:r>
      <w:r>
        <w:rPr>
          <w:color w:val="231F20"/>
        </w:rPr>
        <w:t>В</w:t>
      </w:r>
      <w:r>
        <w:rPr>
          <w:color w:val="231F20"/>
          <w:spacing w:val="-10"/>
        </w:rPr>
        <w:t> </w:t>
      </w:r>
      <w:r>
        <w:rPr>
          <w:color w:val="231F20"/>
        </w:rPr>
        <w:t>последнее</w:t>
      </w:r>
      <w:r>
        <w:rPr>
          <w:color w:val="231F20"/>
          <w:spacing w:val="-10"/>
        </w:rPr>
        <w:t> </w:t>
      </w:r>
      <w:r>
        <w:rPr>
          <w:color w:val="231F20"/>
        </w:rPr>
        <w:t>время</w:t>
      </w:r>
      <w:r>
        <w:rPr>
          <w:color w:val="231F20"/>
          <w:spacing w:val="-10"/>
        </w:rPr>
        <w:t> </w:t>
      </w:r>
      <w:r>
        <w:rPr>
          <w:color w:val="231F20"/>
        </w:rPr>
        <w:t>новый</w:t>
      </w:r>
      <w:r>
        <w:rPr>
          <w:color w:val="231F20"/>
          <w:spacing w:val="-10"/>
        </w:rPr>
        <w:t> </w:t>
      </w:r>
      <w:r>
        <w:rPr>
          <w:color w:val="231F20"/>
        </w:rPr>
        <w:t>импульс</w:t>
      </w:r>
      <w:r>
        <w:rPr>
          <w:color w:val="231F20"/>
          <w:spacing w:val="-10"/>
        </w:rPr>
        <w:t> </w:t>
      </w:r>
      <w:r>
        <w:rPr>
          <w:color w:val="231F20"/>
        </w:rPr>
        <w:t>развитию</w:t>
      </w:r>
      <w:r>
        <w:rPr>
          <w:color w:val="231F20"/>
          <w:spacing w:val="-10"/>
        </w:rPr>
        <w:t> </w:t>
      </w:r>
      <w:r>
        <w:rPr>
          <w:color w:val="231F20"/>
        </w:rPr>
        <w:t>школьного</w:t>
      </w:r>
      <w:r>
        <w:rPr>
          <w:color w:val="231F20"/>
          <w:spacing w:val="-10"/>
        </w:rPr>
        <w:t> </w:t>
      </w:r>
      <w:r>
        <w:rPr>
          <w:color w:val="231F20"/>
        </w:rPr>
        <w:t>краеведе- </w:t>
      </w:r>
      <w:r>
        <w:rPr>
          <w:color w:val="231F20"/>
          <w:spacing w:val="-2"/>
        </w:rPr>
        <w:t>ния</w:t>
      </w:r>
      <w:r>
        <w:rPr>
          <w:color w:val="231F20"/>
          <w:spacing w:val="-6"/>
        </w:rPr>
        <w:t> </w:t>
      </w:r>
      <w:r>
        <w:rPr>
          <w:color w:val="231F20"/>
          <w:spacing w:val="-2"/>
        </w:rPr>
        <w:t>придал</w:t>
      </w:r>
      <w:r>
        <w:rPr>
          <w:color w:val="231F20"/>
          <w:spacing w:val="-6"/>
        </w:rPr>
        <w:t> </w:t>
      </w:r>
      <w:r>
        <w:rPr>
          <w:color w:val="231F20"/>
          <w:spacing w:val="-2"/>
        </w:rPr>
        <w:t>федеральный</w:t>
      </w:r>
      <w:r>
        <w:rPr>
          <w:color w:val="231F20"/>
          <w:spacing w:val="-6"/>
        </w:rPr>
        <w:t> </w:t>
      </w:r>
      <w:r>
        <w:rPr>
          <w:color w:val="231F20"/>
          <w:spacing w:val="-2"/>
        </w:rPr>
        <w:t>проект</w:t>
      </w:r>
      <w:r>
        <w:rPr>
          <w:color w:val="231F20"/>
          <w:spacing w:val="-6"/>
        </w:rPr>
        <w:t> </w:t>
      </w:r>
      <w:r>
        <w:rPr>
          <w:color w:val="231F20"/>
          <w:spacing w:val="-2"/>
        </w:rPr>
        <w:t>«Топос.</w:t>
      </w:r>
      <w:r>
        <w:rPr>
          <w:color w:val="231F20"/>
          <w:spacing w:val="-6"/>
        </w:rPr>
        <w:t> </w:t>
      </w:r>
      <w:r>
        <w:rPr>
          <w:color w:val="231F20"/>
          <w:spacing w:val="-2"/>
        </w:rPr>
        <w:t>Краеведение»</w:t>
      </w:r>
      <w:r>
        <w:rPr>
          <w:color w:val="231F20"/>
          <w:spacing w:val="-6"/>
        </w:rPr>
        <w:t> </w:t>
      </w:r>
      <w:r>
        <w:rPr>
          <w:color w:val="231F20"/>
          <w:spacing w:val="-2"/>
        </w:rPr>
        <w:t>(Глазунова</w:t>
      </w:r>
      <w:r>
        <w:rPr>
          <w:color w:val="231F20"/>
          <w:spacing w:val="-6"/>
        </w:rPr>
        <w:t> </w:t>
      </w:r>
      <w:r>
        <w:rPr>
          <w:color w:val="231F20"/>
          <w:spacing w:val="-2"/>
        </w:rPr>
        <w:t>и</w:t>
      </w:r>
      <w:r>
        <w:rPr>
          <w:color w:val="231F20"/>
          <w:spacing w:val="-6"/>
        </w:rPr>
        <w:t> </w:t>
      </w:r>
      <w:r>
        <w:rPr>
          <w:color w:val="231F20"/>
          <w:spacing w:val="-2"/>
        </w:rPr>
        <w:t>др.,</w:t>
      </w:r>
      <w:r>
        <w:rPr>
          <w:color w:val="231F20"/>
          <w:spacing w:val="-6"/>
        </w:rPr>
        <w:t> </w:t>
      </w:r>
      <w:r>
        <w:rPr>
          <w:color w:val="231F20"/>
          <w:spacing w:val="-2"/>
        </w:rPr>
        <w:t>2020;</w:t>
      </w:r>
      <w:r>
        <w:rPr>
          <w:color w:val="231F20"/>
          <w:spacing w:val="-6"/>
        </w:rPr>
        <w:t> </w:t>
      </w:r>
      <w:r>
        <w:rPr>
          <w:color w:val="231F20"/>
          <w:spacing w:val="-2"/>
        </w:rPr>
        <w:t>Обухов </w:t>
      </w:r>
      <w:r>
        <w:rPr>
          <w:color w:val="231F20"/>
        </w:rPr>
        <w:t>и др.,2020). Всплеск интереса к природе, истории, культуре родного края зачастую происходил в ситуациях социально-исторического перелома в жизни нашей страны. В другие периоды интерес к родному краю, познанию мира вокруг себя либо реали- зовывалось</w:t>
      </w:r>
      <w:r>
        <w:rPr>
          <w:color w:val="231F20"/>
          <w:spacing w:val="-3"/>
        </w:rPr>
        <w:t> </w:t>
      </w:r>
      <w:r>
        <w:rPr>
          <w:color w:val="231F20"/>
        </w:rPr>
        <w:t>в</w:t>
      </w:r>
      <w:r>
        <w:rPr>
          <w:color w:val="231F20"/>
          <w:spacing w:val="-3"/>
        </w:rPr>
        <w:t> </w:t>
      </w:r>
      <w:r>
        <w:rPr>
          <w:color w:val="231F20"/>
        </w:rPr>
        <w:t>сложившихся</w:t>
      </w:r>
      <w:r>
        <w:rPr>
          <w:color w:val="231F20"/>
          <w:spacing w:val="-3"/>
        </w:rPr>
        <w:t> </w:t>
      </w:r>
      <w:r>
        <w:rPr>
          <w:color w:val="231F20"/>
        </w:rPr>
        <w:t>формах,</w:t>
      </w:r>
      <w:r>
        <w:rPr>
          <w:color w:val="231F20"/>
          <w:spacing w:val="-3"/>
        </w:rPr>
        <w:t> </w:t>
      </w:r>
      <w:r>
        <w:rPr>
          <w:color w:val="231F20"/>
        </w:rPr>
        <w:t>либо</w:t>
      </w:r>
      <w:r>
        <w:rPr>
          <w:color w:val="231F20"/>
          <w:spacing w:val="-3"/>
        </w:rPr>
        <w:t> </w:t>
      </w:r>
      <w:r>
        <w:rPr>
          <w:color w:val="231F20"/>
        </w:rPr>
        <w:t>подавлялось.</w:t>
      </w:r>
      <w:r>
        <w:rPr>
          <w:color w:val="231F20"/>
          <w:spacing w:val="-3"/>
        </w:rPr>
        <w:t> </w:t>
      </w:r>
      <w:r>
        <w:rPr>
          <w:color w:val="231F20"/>
        </w:rPr>
        <w:t>При</w:t>
      </w:r>
      <w:r>
        <w:rPr>
          <w:color w:val="231F20"/>
          <w:spacing w:val="-3"/>
        </w:rPr>
        <w:t> </w:t>
      </w:r>
      <w:r>
        <w:rPr>
          <w:color w:val="231F20"/>
        </w:rPr>
        <w:t>этом</w:t>
      </w:r>
      <w:r>
        <w:rPr>
          <w:color w:val="231F20"/>
          <w:spacing w:val="-3"/>
        </w:rPr>
        <w:t> </w:t>
      </w:r>
      <w:r>
        <w:rPr>
          <w:color w:val="231F20"/>
        </w:rPr>
        <w:t>краеведение</w:t>
      </w:r>
      <w:r>
        <w:rPr>
          <w:color w:val="231F20"/>
          <w:spacing w:val="-3"/>
        </w:rPr>
        <w:t> </w:t>
      </w:r>
      <w:r>
        <w:rPr>
          <w:color w:val="231F20"/>
        </w:rPr>
        <w:t>всегда было важным педагогическим способом формирования инициативности и активно- сти</w:t>
      </w:r>
      <w:r>
        <w:rPr>
          <w:color w:val="231F20"/>
          <w:spacing w:val="-13"/>
        </w:rPr>
        <w:t> </w:t>
      </w:r>
      <w:r>
        <w:rPr>
          <w:color w:val="231F20"/>
        </w:rPr>
        <w:t>местных</w:t>
      </w:r>
      <w:r>
        <w:rPr>
          <w:color w:val="231F20"/>
          <w:spacing w:val="-12"/>
        </w:rPr>
        <w:t> </w:t>
      </w:r>
      <w:r>
        <w:rPr>
          <w:color w:val="231F20"/>
        </w:rPr>
        <w:t>сообществ,</w:t>
      </w:r>
      <w:r>
        <w:rPr>
          <w:color w:val="231F20"/>
          <w:spacing w:val="-13"/>
        </w:rPr>
        <w:t> </w:t>
      </w:r>
      <w:r>
        <w:rPr>
          <w:color w:val="231F20"/>
        </w:rPr>
        <w:t>самостоятельности</w:t>
      </w:r>
      <w:r>
        <w:rPr>
          <w:color w:val="231F20"/>
          <w:spacing w:val="-12"/>
        </w:rPr>
        <w:t> </w:t>
      </w:r>
      <w:r>
        <w:rPr>
          <w:color w:val="231F20"/>
        </w:rPr>
        <w:t>школьников</w:t>
      </w:r>
      <w:r>
        <w:rPr>
          <w:color w:val="231F20"/>
          <w:spacing w:val="-13"/>
        </w:rPr>
        <w:t> </w:t>
      </w:r>
      <w:r>
        <w:rPr>
          <w:color w:val="231F20"/>
        </w:rPr>
        <w:t>(Солонович,</w:t>
      </w:r>
      <w:r>
        <w:rPr>
          <w:color w:val="231F20"/>
          <w:spacing w:val="-12"/>
        </w:rPr>
        <w:t> </w:t>
      </w:r>
      <w:r>
        <w:rPr>
          <w:color w:val="231F20"/>
        </w:rPr>
        <w:t>2009),</w:t>
      </w:r>
      <w:r>
        <w:rPr>
          <w:color w:val="231F20"/>
          <w:spacing w:val="-13"/>
        </w:rPr>
        <w:t> </w:t>
      </w:r>
      <w:r>
        <w:rPr>
          <w:color w:val="231F20"/>
        </w:rPr>
        <w:t>создания ими</w:t>
      </w:r>
      <w:r>
        <w:rPr>
          <w:color w:val="231F20"/>
          <w:spacing w:val="-10"/>
        </w:rPr>
        <w:t> </w:t>
      </w:r>
      <w:r>
        <w:rPr>
          <w:color w:val="231F20"/>
        </w:rPr>
        <w:t>проектов,</w:t>
      </w:r>
      <w:r>
        <w:rPr>
          <w:color w:val="231F20"/>
          <w:spacing w:val="-10"/>
        </w:rPr>
        <w:t> </w:t>
      </w:r>
      <w:r>
        <w:rPr>
          <w:color w:val="231F20"/>
        </w:rPr>
        <w:t>ценных</w:t>
      </w:r>
      <w:r>
        <w:rPr>
          <w:color w:val="231F20"/>
          <w:spacing w:val="-10"/>
        </w:rPr>
        <w:t> </w:t>
      </w:r>
      <w:r>
        <w:rPr>
          <w:color w:val="231F20"/>
        </w:rPr>
        <w:t>для</w:t>
      </w:r>
      <w:r>
        <w:rPr>
          <w:color w:val="231F20"/>
          <w:spacing w:val="-10"/>
        </w:rPr>
        <w:t> </w:t>
      </w:r>
      <w:r>
        <w:rPr>
          <w:color w:val="231F20"/>
        </w:rPr>
        <w:t>локального</w:t>
      </w:r>
      <w:r>
        <w:rPr>
          <w:color w:val="231F20"/>
          <w:spacing w:val="-10"/>
        </w:rPr>
        <w:t> </w:t>
      </w:r>
      <w:r>
        <w:rPr>
          <w:color w:val="231F20"/>
        </w:rPr>
        <w:t>сообщества.</w:t>
      </w:r>
      <w:r>
        <w:rPr>
          <w:color w:val="231F20"/>
          <w:spacing w:val="-10"/>
        </w:rPr>
        <w:t> </w:t>
      </w:r>
      <w:r>
        <w:rPr>
          <w:color w:val="231F20"/>
        </w:rPr>
        <w:t>Редукция</w:t>
      </w:r>
      <w:r>
        <w:rPr>
          <w:color w:val="231F20"/>
          <w:spacing w:val="-10"/>
        </w:rPr>
        <w:t> </w:t>
      </w:r>
      <w:r>
        <w:rPr>
          <w:color w:val="231F20"/>
        </w:rPr>
        <w:t>школьного</w:t>
      </w:r>
      <w:r>
        <w:rPr>
          <w:color w:val="231F20"/>
          <w:spacing w:val="-10"/>
        </w:rPr>
        <w:t> </w:t>
      </w:r>
      <w:r>
        <w:rPr>
          <w:color w:val="231F20"/>
        </w:rPr>
        <w:t>краеведения во многом была связана с усилением централизации власти, урбанизацией, а также желанием ослабить эмоциональные связи человека с родной природой, родом и ма- лой</w:t>
      </w:r>
      <w:r>
        <w:rPr>
          <w:color w:val="231F20"/>
          <w:spacing w:val="-12"/>
        </w:rPr>
        <w:t> </w:t>
      </w:r>
      <w:r>
        <w:rPr>
          <w:color w:val="231F20"/>
        </w:rPr>
        <w:t>родиной,</w:t>
      </w:r>
      <w:r>
        <w:rPr>
          <w:color w:val="231F20"/>
          <w:spacing w:val="-12"/>
        </w:rPr>
        <w:t> </w:t>
      </w:r>
      <w:r>
        <w:rPr>
          <w:color w:val="231F20"/>
        </w:rPr>
        <w:t>заместив</w:t>
      </w:r>
      <w:r>
        <w:rPr>
          <w:color w:val="231F20"/>
          <w:spacing w:val="-12"/>
        </w:rPr>
        <w:t> </w:t>
      </w:r>
      <w:r>
        <w:rPr>
          <w:color w:val="231F20"/>
        </w:rPr>
        <w:t>это</w:t>
      </w:r>
      <w:r>
        <w:rPr>
          <w:color w:val="231F20"/>
          <w:spacing w:val="-12"/>
        </w:rPr>
        <w:t> </w:t>
      </w:r>
      <w:r>
        <w:rPr>
          <w:color w:val="231F20"/>
        </w:rPr>
        <w:t>абстрактными</w:t>
      </w:r>
      <w:r>
        <w:rPr>
          <w:color w:val="231F20"/>
          <w:spacing w:val="-12"/>
        </w:rPr>
        <w:t> </w:t>
      </w:r>
      <w:r>
        <w:rPr>
          <w:color w:val="231F20"/>
        </w:rPr>
        <w:t>идеалами.</w:t>
      </w:r>
      <w:r>
        <w:rPr>
          <w:color w:val="231F20"/>
          <w:spacing w:val="-12"/>
        </w:rPr>
        <w:t> </w:t>
      </w:r>
      <w:r>
        <w:rPr>
          <w:color w:val="231F20"/>
        </w:rPr>
        <w:t>С</w:t>
      </w:r>
      <w:r>
        <w:rPr>
          <w:color w:val="231F20"/>
          <w:spacing w:val="-12"/>
        </w:rPr>
        <w:t> </w:t>
      </w:r>
      <w:r>
        <w:rPr>
          <w:color w:val="231F20"/>
        </w:rPr>
        <w:t>развитием</w:t>
      </w:r>
      <w:r>
        <w:rPr>
          <w:color w:val="231F20"/>
          <w:spacing w:val="-12"/>
        </w:rPr>
        <w:t> </w:t>
      </w:r>
      <w:r>
        <w:rPr>
          <w:color w:val="231F20"/>
        </w:rPr>
        <w:t>гражданского</w:t>
      </w:r>
      <w:r>
        <w:rPr>
          <w:color w:val="231F20"/>
          <w:spacing w:val="-12"/>
        </w:rPr>
        <w:t> </w:t>
      </w:r>
      <w:r>
        <w:rPr>
          <w:color w:val="231F20"/>
        </w:rPr>
        <w:t>обще- ства</w:t>
      </w:r>
      <w:r>
        <w:rPr>
          <w:color w:val="231F20"/>
          <w:spacing w:val="-11"/>
        </w:rPr>
        <w:t> </w:t>
      </w:r>
      <w:r>
        <w:rPr>
          <w:color w:val="231F20"/>
        </w:rPr>
        <w:t>школьное</w:t>
      </w:r>
      <w:r>
        <w:rPr>
          <w:color w:val="231F20"/>
          <w:spacing w:val="-11"/>
        </w:rPr>
        <w:t> </w:t>
      </w:r>
      <w:r>
        <w:rPr>
          <w:color w:val="231F20"/>
        </w:rPr>
        <w:t>краеведение</w:t>
      </w:r>
      <w:r>
        <w:rPr>
          <w:color w:val="231F20"/>
          <w:spacing w:val="-11"/>
        </w:rPr>
        <w:t> </w:t>
      </w:r>
      <w:r>
        <w:rPr>
          <w:color w:val="231F20"/>
        </w:rPr>
        <w:t>по</w:t>
      </w:r>
      <w:r>
        <w:rPr>
          <w:color w:val="231F20"/>
          <w:spacing w:val="-11"/>
        </w:rPr>
        <w:t> </w:t>
      </w:r>
      <w:r>
        <w:rPr>
          <w:color w:val="231F20"/>
        </w:rPr>
        <w:t>инициативе</w:t>
      </w:r>
      <w:r>
        <w:rPr>
          <w:color w:val="231F20"/>
          <w:spacing w:val="-11"/>
        </w:rPr>
        <w:t> </w:t>
      </w:r>
      <w:r>
        <w:rPr>
          <w:color w:val="231F20"/>
        </w:rPr>
        <w:t>«снизу»</w:t>
      </w:r>
      <w:r>
        <w:rPr>
          <w:color w:val="231F20"/>
          <w:spacing w:val="-11"/>
        </w:rPr>
        <w:t> </w:t>
      </w:r>
      <w:r>
        <w:rPr>
          <w:color w:val="231F20"/>
        </w:rPr>
        <w:t>может</w:t>
      </w:r>
      <w:r>
        <w:rPr>
          <w:color w:val="231F20"/>
          <w:spacing w:val="-11"/>
        </w:rPr>
        <w:t> </w:t>
      </w:r>
      <w:r>
        <w:rPr>
          <w:color w:val="231F20"/>
        </w:rPr>
        <w:t>стать</w:t>
      </w:r>
      <w:r>
        <w:rPr>
          <w:color w:val="231F20"/>
          <w:spacing w:val="-11"/>
        </w:rPr>
        <w:t> </w:t>
      </w:r>
      <w:r>
        <w:rPr>
          <w:color w:val="231F20"/>
        </w:rPr>
        <w:t>одним</w:t>
      </w:r>
      <w:r>
        <w:rPr>
          <w:color w:val="231F20"/>
          <w:spacing w:val="-11"/>
        </w:rPr>
        <w:t> </w:t>
      </w:r>
      <w:r>
        <w:rPr>
          <w:color w:val="231F20"/>
        </w:rPr>
        <w:t>из</w:t>
      </w:r>
      <w:r>
        <w:rPr>
          <w:color w:val="231F20"/>
          <w:spacing w:val="-11"/>
        </w:rPr>
        <w:t> </w:t>
      </w:r>
      <w:r>
        <w:rPr>
          <w:color w:val="231F20"/>
        </w:rPr>
        <w:t>важнейших источников</w:t>
      </w:r>
      <w:r>
        <w:rPr>
          <w:color w:val="231F20"/>
          <w:spacing w:val="-4"/>
        </w:rPr>
        <w:t> </w:t>
      </w:r>
      <w:r>
        <w:rPr>
          <w:color w:val="231F20"/>
        </w:rPr>
        <w:t>развития</w:t>
      </w:r>
      <w:r>
        <w:rPr>
          <w:color w:val="231F20"/>
          <w:spacing w:val="-2"/>
        </w:rPr>
        <w:t> </w:t>
      </w:r>
      <w:r>
        <w:rPr>
          <w:color w:val="231F20"/>
        </w:rPr>
        <w:t>нашей</w:t>
      </w:r>
      <w:r>
        <w:rPr>
          <w:color w:val="231F20"/>
          <w:spacing w:val="-2"/>
        </w:rPr>
        <w:t> </w:t>
      </w:r>
      <w:r>
        <w:rPr>
          <w:color w:val="231F20"/>
        </w:rPr>
        <w:t>страны,</w:t>
      </w:r>
      <w:r>
        <w:rPr>
          <w:color w:val="231F20"/>
          <w:spacing w:val="-2"/>
        </w:rPr>
        <w:t> </w:t>
      </w:r>
      <w:r>
        <w:rPr>
          <w:color w:val="231F20"/>
        </w:rPr>
        <w:t>в</w:t>
      </w:r>
      <w:r>
        <w:rPr>
          <w:color w:val="231F20"/>
          <w:spacing w:val="-2"/>
        </w:rPr>
        <w:t> </w:t>
      </w:r>
      <w:r>
        <w:rPr>
          <w:color w:val="231F20"/>
        </w:rPr>
        <w:t>том</w:t>
      </w:r>
      <w:r>
        <w:rPr>
          <w:color w:val="231F20"/>
          <w:spacing w:val="-2"/>
        </w:rPr>
        <w:t> </w:t>
      </w:r>
      <w:r>
        <w:rPr>
          <w:color w:val="231F20"/>
        </w:rPr>
        <w:t>числе</w:t>
      </w:r>
      <w:r>
        <w:rPr>
          <w:color w:val="231F20"/>
          <w:spacing w:val="-2"/>
        </w:rPr>
        <w:t> </w:t>
      </w:r>
      <w:r>
        <w:rPr>
          <w:color w:val="231F20"/>
        </w:rPr>
        <w:t>в</w:t>
      </w:r>
      <w:r>
        <w:rPr>
          <w:color w:val="231F20"/>
          <w:spacing w:val="-2"/>
        </w:rPr>
        <w:t> </w:t>
      </w:r>
      <w:r>
        <w:rPr>
          <w:color w:val="231F20"/>
        </w:rPr>
        <w:t>контексте</w:t>
      </w:r>
      <w:r>
        <w:rPr>
          <w:color w:val="231F20"/>
          <w:spacing w:val="-2"/>
        </w:rPr>
        <w:t> </w:t>
      </w:r>
      <w:r>
        <w:rPr>
          <w:color w:val="231F20"/>
        </w:rPr>
        <w:t>увеличения</w:t>
      </w:r>
      <w:r>
        <w:rPr>
          <w:color w:val="231F20"/>
          <w:spacing w:val="-1"/>
        </w:rPr>
        <w:t> </w:t>
      </w:r>
      <w:r>
        <w:rPr>
          <w:color w:val="231F20"/>
          <w:spacing w:val="-2"/>
        </w:rPr>
        <w:t>социальной</w:t>
      </w:r>
    </w:p>
    <w:p>
      <w:pPr>
        <w:pStyle w:val="BodyText"/>
        <w:spacing w:line="225" w:lineRule="exact" w:before="14"/>
        <w:ind w:right="0" w:firstLine="0"/>
      </w:pPr>
      <w:r>
        <w:rPr>
          <w:color w:val="231F20"/>
        </w:rPr>
        <w:t>мобильности</w:t>
      </w:r>
      <w:r>
        <w:rPr>
          <w:color w:val="231F20"/>
          <w:spacing w:val="-4"/>
        </w:rPr>
        <w:t> </w:t>
      </w:r>
      <w:r>
        <w:rPr>
          <w:color w:val="231F20"/>
        </w:rPr>
        <w:t>и</w:t>
      </w:r>
      <w:r>
        <w:rPr>
          <w:color w:val="231F20"/>
          <w:spacing w:val="-2"/>
        </w:rPr>
        <w:t> </w:t>
      </w:r>
      <w:r>
        <w:rPr>
          <w:color w:val="231F20"/>
        </w:rPr>
        <w:t>интенсификации</w:t>
      </w:r>
      <w:r>
        <w:rPr>
          <w:color w:val="231F20"/>
          <w:spacing w:val="-2"/>
        </w:rPr>
        <w:t> </w:t>
      </w:r>
      <w:r>
        <w:rPr>
          <w:color w:val="231F20"/>
        </w:rPr>
        <w:t>миграционных</w:t>
      </w:r>
      <w:r>
        <w:rPr>
          <w:color w:val="231F20"/>
          <w:spacing w:val="-1"/>
        </w:rPr>
        <w:t> </w:t>
      </w:r>
      <w:r>
        <w:rPr>
          <w:color w:val="231F20"/>
          <w:spacing w:val="-2"/>
        </w:rPr>
        <w:t>процессов.</w:t>
      </w:r>
    </w:p>
    <w:p>
      <w:pPr>
        <w:pStyle w:val="BodyText"/>
        <w:spacing w:line="230" w:lineRule="auto" w:before="2"/>
        <w:ind w:right="138"/>
      </w:pPr>
      <w:r>
        <w:rPr>
          <w:color w:val="231F20"/>
        </w:rPr>
        <w:t>Одной</w:t>
      </w:r>
      <w:r>
        <w:rPr>
          <w:color w:val="231F20"/>
          <w:spacing w:val="-12"/>
        </w:rPr>
        <w:t> </w:t>
      </w:r>
      <w:r>
        <w:rPr>
          <w:color w:val="231F20"/>
        </w:rPr>
        <w:t>из</w:t>
      </w:r>
      <w:r>
        <w:rPr>
          <w:color w:val="231F20"/>
          <w:spacing w:val="-12"/>
        </w:rPr>
        <w:t> </w:t>
      </w:r>
      <w:r>
        <w:rPr>
          <w:color w:val="231F20"/>
        </w:rPr>
        <w:t>ключевых</w:t>
      </w:r>
      <w:r>
        <w:rPr>
          <w:color w:val="231F20"/>
          <w:spacing w:val="-12"/>
        </w:rPr>
        <w:t> </w:t>
      </w:r>
      <w:r>
        <w:rPr>
          <w:color w:val="231F20"/>
        </w:rPr>
        <w:t>фигур</w:t>
      </w:r>
      <w:r>
        <w:rPr>
          <w:color w:val="231F20"/>
          <w:spacing w:val="-12"/>
        </w:rPr>
        <w:t> </w:t>
      </w:r>
      <w:r>
        <w:rPr>
          <w:color w:val="231F20"/>
        </w:rPr>
        <w:t>краеведческого</w:t>
      </w:r>
      <w:r>
        <w:rPr>
          <w:color w:val="231F20"/>
          <w:spacing w:val="-12"/>
        </w:rPr>
        <w:t> </w:t>
      </w:r>
      <w:r>
        <w:rPr>
          <w:color w:val="231F20"/>
        </w:rPr>
        <w:t>движения</w:t>
      </w:r>
      <w:r>
        <w:rPr>
          <w:color w:val="231F20"/>
          <w:spacing w:val="-12"/>
        </w:rPr>
        <w:t> </w:t>
      </w:r>
      <w:r>
        <w:rPr>
          <w:color w:val="231F20"/>
        </w:rPr>
        <w:t>в</w:t>
      </w:r>
      <w:r>
        <w:rPr>
          <w:color w:val="231F20"/>
          <w:spacing w:val="-12"/>
        </w:rPr>
        <w:t> </w:t>
      </w:r>
      <w:r>
        <w:rPr>
          <w:color w:val="231F20"/>
        </w:rPr>
        <w:t>конце</w:t>
      </w:r>
      <w:r>
        <w:rPr>
          <w:color w:val="231F20"/>
          <w:spacing w:val="-12"/>
        </w:rPr>
        <w:t> </w:t>
      </w:r>
      <w:r>
        <w:rPr>
          <w:color w:val="231F20"/>
        </w:rPr>
        <w:t>ХХ</w:t>
      </w:r>
      <w:r>
        <w:rPr>
          <w:color w:val="231F20"/>
          <w:spacing w:val="-12"/>
        </w:rPr>
        <w:t> </w:t>
      </w:r>
      <w:r>
        <w:rPr>
          <w:color w:val="231F20"/>
        </w:rPr>
        <w:t>века</w:t>
      </w:r>
      <w:r>
        <w:rPr>
          <w:color w:val="231F20"/>
          <w:spacing w:val="-12"/>
        </w:rPr>
        <w:t> </w:t>
      </w:r>
      <w:r>
        <w:rPr>
          <w:color w:val="231F20"/>
        </w:rPr>
        <w:t>стал</w:t>
      </w:r>
      <w:r>
        <w:rPr>
          <w:color w:val="231F20"/>
          <w:spacing w:val="-12"/>
        </w:rPr>
        <w:t> </w:t>
      </w:r>
      <w:r>
        <w:rPr>
          <w:color w:val="231F20"/>
        </w:rPr>
        <w:t>Сигурд Оттович</w:t>
      </w:r>
      <w:r>
        <w:rPr>
          <w:color w:val="231F20"/>
          <w:spacing w:val="-6"/>
        </w:rPr>
        <w:t> </w:t>
      </w:r>
      <w:r>
        <w:rPr>
          <w:color w:val="231F20"/>
        </w:rPr>
        <w:t>Шмидт</w:t>
      </w:r>
      <w:r>
        <w:rPr>
          <w:color w:val="231F20"/>
          <w:spacing w:val="-6"/>
        </w:rPr>
        <w:t> </w:t>
      </w:r>
      <w:r>
        <w:rPr>
          <w:color w:val="231F20"/>
        </w:rPr>
        <w:t>(Обухов,</w:t>
      </w:r>
      <w:r>
        <w:rPr>
          <w:color w:val="231F20"/>
          <w:spacing w:val="-6"/>
        </w:rPr>
        <w:t> </w:t>
      </w:r>
      <w:r>
        <w:rPr>
          <w:color w:val="231F20"/>
        </w:rPr>
        <w:t>2013).</w:t>
      </w:r>
      <w:r>
        <w:rPr>
          <w:color w:val="231F20"/>
          <w:spacing w:val="-6"/>
        </w:rPr>
        <w:t> </w:t>
      </w:r>
      <w:r>
        <w:rPr>
          <w:color w:val="231F20"/>
        </w:rPr>
        <w:t>Он</w:t>
      </w:r>
      <w:r>
        <w:rPr>
          <w:color w:val="231F20"/>
          <w:spacing w:val="-6"/>
        </w:rPr>
        <w:t> </w:t>
      </w:r>
      <w:r>
        <w:rPr>
          <w:color w:val="231F20"/>
        </w:rPr>
        <w:t>дал</w:t>
      </w:r>
      <w:r>
        <w:rPr>
          <w:color w:val="231F20"/>
          <w:spacing w:val="-6"/>
        </w:rPr>
        <w:t> </w:t>
      </w:r>
      <w:r>
        <w:rPr>
          <w:color w:val="231F20"/>
        </w:rPr>
        <w:t>следующее</w:t>
      </w:r>
      <w:r>
        <w:rPr>
          <w:color w:val="231F20"/>
          <w:spacing w:val="-6"/>
        </w:rPr>
        <w:t> </w:t>
      </w:r>
      <w:r>
        <w:rPr>
          <w:color w:val="231F20"/>
        </w:rPr>
        <w:t>энциклопедическое</w:t>
      </w:r>
      <w:r>
        <w:rPr>
          <w:color w:val="231F20"/>
          <w:spacing w:val="-6"/>
        </w:rPr>
        <w:t> </w:t>
      </w:r>
      <w:r>
        <w:rPr>
          <w:color w:val="231F20"/>
        </w:rPr>
        <w:t>определение понятию</w:t>
      </w:r>
      <w:r>
        <w:rPr>
          <w:color w:val="231F20"/>
          <w:spacing w:val="-6"/>
        </w:rPr>
        <w:t> </w:t>
      </w:r>
      <w:r>
        <w:rPr>
          <w:color w:val="231F20"/>
        </w:rPr>
        <w:t>«краеведение»</w:t>
      </w:r>
      <w:r>
        <w:rPr>
          <w:color w:val="231F20"/>
          <w:spacing w:val="-6"/>
        </w:rPr>
        <w:t> </w:t>
      </w:r>
      <w:r>
        <w:rPr>
          <w:color w:val="231F20"/>
        </w:rPr>
        <w:t>(выделено</w:t>
      </w:r>
      <w:r>
        <w:rPr>
          <w:color w:val="231F20"/>
          <w:spacing w:val="-6"/>
        </w:rPr>
        <w:t> </w:t>
      </w:r>
      <w:r>
        <w:rPr>
          <w:color w:val="231F20"/>
        </w:rPr>
        <w:t>А.С.</w:t>
      </w:r>
      <w:r>
        <w:rPr>
          <w:color w:val="231F20"/>
          <w:spacing w:val="-6"/>
        </w:rPr>
        <w:t> </w:t>
      </w:r>
      <w:r>
        <w:rPr>
          <w:color w:val="231F20"/>
        </w:rPr>
        <w:t>Обуховым):</w:t>
      </w:r>
      <w:r>
        <w:rPr>
          <w:color w:val="231F20"/>
          <w:spacing w:val="-6"/>
        </w:rPr>
        <w:t> </w:t>
      </w:r>
      <w:r>
        <w:rPr>
          <w:b/>
          <w:color w:val="231F20"/>
        </w:rPr>
        <w:t>«…изучение</w:t>
      </w:r>
      <w:r>
        <w:rPr>
          <w:b/>
          <w:color w:val="231F20"/>
          <w:spacing w:val="-6"/>
        </w:rPr>
        <w:t> </w:t>
      </w:r>
      <w:r>
        <w:rPr>
          <w:b/>
          <w:color w:val="231F20"/>
        </w:rPr>
        <w:t>природы,</w:t>
      </w:r>
      <w:r>
        <w:rPr>
          <w:b/>
          <w:color w:val="231F20"/>
          <w:spacing w:val="-6"/>
        </w:rPr>
        <w:t> </w:t>
      </w:r>
      <w:r>
        <w:rPr>
          <w:b/>
          <w:color w:val="231F20"/>
        </w:rPr>
        <w:t>населе- ния, хозяйства, истории и культуры какой-либо территории </w:t>
      </w:r>
      <w:r>
        <w:rPr>
          <w:color w:val="231F20"/>
        </w:rPr>
        <w:t>(“края”) или объек- та – от крупного региона до отдельного города, села, предприятия, усадьбы, улицы, дома гл. обр. </w:t>
      </w:r>
      <w:r>
        <w:rPr>
          <w:b/>
          <w:color w:val="231F20"/>
        </w:rPr>
        <w:t>силами местного населения</w:t>
      </w:r>
      <w:r>
        <w:rPr>
          <w:color w:val="231F20"/>
        </w:rPr>
        <w:t>. К. опирается на междисциплинарные связи</w:t>
      </w:r>
      <w:r>
        <w:rPr>
          <w:color w:val="231F20"/>
          <w:spacing w:val="-12"/>
        </w:rPr>
        <w:t> </w:t>
      </w:r>
      <w:r>
        <w:rPr>
          <w:color w:val="231F20"/>
        </w:rPr>
        <w:t>и</w:t>
      </w:r>
      <w:r>
        <w:rPr>
          <w:color w:val="231F20"/>
          <w:spacing w:val="-12"/>
        </w:rPr>
        <w:t> </w:t>
      </w:r>
      <w:r>
        <w:rPr>
          <w:color w:val="231F20"/>
        </w:rPr>
        <w:t>учитывает</w:t>
      </w:r>
      <w:r>
        <w:rPr>
          <w:color w:val="231F20"/>
          <w:spacing w:val="-12"/>
        </w:rPr>
        <w:t> </w:t>
      </w:r>
      <w:r>
        <w:rPr>
          <w:color w:val="231F20"/>
        </w:rPr>
        <w:t>не</w:t>
      </w:r>
      <w:r>
        <w:rPr>
          <w:color w:val="231F20"/>
          <w:spacing w:val="-12"/>
        </w:rPr>
        <w:t> </w:t>
      </w:r>
      <w:r>
        <w:rPr>
          <w:color w:val="231F20"/>
        </w:rPr>
        <w:t>только</w:t>
      </w:r>
      <w:r>
        <w:rPr>
          <w:color w:val="231F20"/>
          <w:spacing w:val="-12"/>
        </w:rPr>
        <w:t> </w:t>
      </w:r>
      <w:r>
        <w:rPr>
          <w:color w:val="231F20"/>
        </w:rPr>
        <w:t>теоретич.</w:t>
      </w:r>
      <w:r>
        <w:rPr>
          <w:color w:val="231F20"/>
          <w:spacing w:val="-12"/>
        </w:rPr>
        <w:t> </w:t>
      </w:r>
      <w:r>
        <w:rPr>
          <w:color w:val="231F20"/>
        </w:rPr>
        <w:t>науч.</w:t>
      </w:r>
      <w:r>
        <w:rPr>
          <w:color w:val="231F20"/>
          <w:spacing w:val="-12"/>
        </w:rPr>
        <w:t> </w:t>
      </w:r>
      <w:r>
        <w:rPr>
          <w:color w:val="231F20"/>
        </w:rPr>
        <w:t>положения,</w:t>
      </w:r>
      <w:r>
        <w:rPr>
          <w:color w:val="231F20"/>
          <w:spacing w:val="-12"/>
        </w:rPr>
        <w:t> </w:t>
      </w:r>
      <w:r>
        <w:rPr>
          <w:color w:val="231F20"/>
        </w:rPr>
        <w:t>но</w:t>
      </w:r>
      <w:r>
        <w:rPr>
          <w:color w:val="231F20"/>
          <w:spacing w:val="-12"/>
        </w:rPr>
        <w:t> </w:t>
      </w:r>
      <w:r>
        <w:rPr>
          <w:color w:val="231F20"/>
        </w:rPr>
        <w:t>и</w:t>
      </w:r>
      <w:r>
        <w:rPr>
          <w:color w:val="231F20"/>
          <w:spacing w:val="-12"/>
        </w:rPr>
        <w:t> </w:t>
      </w:r>
      <w:r>
        <w:rPr>
          <w:color w:val="231F20"/>
        </w:rPr>
        <w:t>первичные</w:t>
      </w:r>
      <w:r>
        <w:rPr>
          <w:color w:val="231F20"/>
          <w:spacing w:val="-12"/>
        </w:rPr>
        <w:t> </w:t>
      </w:r>
      <w:r>
        <w:rPr>
          <w:color w:val="231F20"/>
        </w:rPr>
        <w:t>наблюдения, житейскую практику; предполагает освоение местного </w:t>
      </w:r>
      <w:r>
        <w:rPr>
          <w:b/>
          <w:color w:val="231F20"/>
        </w:rPr>
        <w:t>историч. опыта </w:t>
      </w:r>
      <w:r>
        <w:rPr>
          <w:color w:val="231F20"/>
        </w:rPr>
        <w:t>и определе- ние</w:t>
      </w:r>
      <w:r>
        <w:rPr>
          <w:color w:val="231F20"/>
          <w:spacing w:val="-3"/>
        </w:rPr>
        <w:t> </w:t>
      </w:r>
      <w:r>
        <w:rPr>
          <w:b/>
          <w:color w:val="231F20"/>
        </w:rPr>
        <w:t>новых</w:t>
      </w:r>
      <w:r>
        <w:rPr>
          <w:b/>
          <w:color w:val="231F20"/>
          <w:spacing w:val="-3"/>
        </w:rPr>
        <w:t> </w:t>
      </w:r>
      <w:r>
        <w:rPr>
          <w:b/>
          <w:color w:val="231F20"/>
        </w:rPr>
        <w:t>тенденций</w:t>
      </w:r>
      <w:r>
        <w:rPr>
          <w:b/>
          <w:color w:val="231F20"/>
          <w:spacing w:val="-3"/>
        </w:rPr>
        <w:t> </w:t>
      </w:r>
      <w:r>
        <w:rPr>
          <w:b/>
          <w:color w:val="231F20"/>
        </w:rPr>
        <w:t>развития</w:t>
      </w:r>
      <w:r>
        <w:rPr>
          <w:b/>
          <w:color w:val="231F20"/>
          <w:spacing w:val="-3"/>
        </w:rPr>
        <w:t> </w:t>
      </w:r>
      <w:r>
        <w:rPr>
          <w:color w:val="231F20"/>
        </w:rPr>
        <w:t>исходя</w:t>
      </w:r>
      <w:r>
        <w:rPr>
          <w:color w:val="231F20"/>
          <w:spacing w:val="-3"/>
        </w:rPr>
        <w:t> </w:t>
      </w:r>
      <w:r>
        <w:rPr>
          <w:color w:val="231F20"/>
        </w:rPr>
        <w:t>из</w:t>
      </w:r>
      <w:r>
        <w:rPr>
          <w:color w:val="231F20"/>
          <w:spacing w:val="-3"/>
        </w:rPr>
        <w:t> </w:t>
      </w:r>
      <w:r>
        <w:rPr>
          <w:color w:val="231F20"/>
        </w:rPr>
        <w:t>местных</w:t>
      </w:r>
      <w:r>
        <w:rPr>
          <w:color w:val="231F20"/>
          <w:spacing w:val="-3"/>
        </w:rPr>
        <w:t> </w:t>
      </w:r>
      <w:r>
        <w:rPr>
          <w:color w:val="231F20"/>
        </w:rPr>
        <w:t>условий</w:t>
      </w:r>
      <w:r>
        <w:rPr>
          <w:color w:val="231F20"/>
          <w:spacing w:val="-3"/>
        </w:rPr>
        <w:t> </w:t>
      </w:r>
      <w:r>
        <w:rPr>
          <w:color w:val="231F20"/>
        </w:rPr>
        <w:t>и</w:t>
      </w:r>
      <w:r>
        <w:rPr>
          <w:color w:val="231F20"/>
          <w:spacing w:val="-3"/>
        </w:rPr>
        <w:t> </w:t>
      </w:r>
      <w:r>
        <w:rPr>
          <w:color w:val="231F20"/>
        </w:rPr>
        <w:t>традиций.</w:t>
      </w:r>
      <w:r>
        <w:rPr>
          <w:color w:val="231F20"/>
          <w:spacing w:val="-3"/>
        </w:rPr>
        <w:t> </w:t>
      </w:r>
      <w:r>
        <w:rPr>
          <w:color w:val="231F20"/>
        </w:rPr>
        <w:t>К.</w:t>
      </w:r>
      <w:r>
        <w:rPr>
          <w:color w:val="231F20"/>
          <w:spacing w:val="-3"/>
        </w:rPr>
        <w:t> </w:t>
      </w:r>
      <w:r>
        <w:rPr>
          <w:color w:val="231F20"/>
        </w:rPr>
        <w:t>–</w:t>
      </w:r>
      <w:r>
        <w:rPr>
          <w:color w:val="231F20"/>
          <w:spacing w:val="-3"/>
        </w:rPr>
        <w:t> </w:t>
      </w:r>
      <w:r>
        <w:rPr>
          <w:b/>
          <w:color w:val="231F20"/>
        </w:rPr>
        <w:t>комп- лексное знание</w:t>
      </w:r>
      <w:r>
        <w:rPr>
          <w:color w:val="231F20"/>
        </w:rPr>
        <w:t>, объединяющее элементы ряда науч. дисциплин, согласно которым выделяются разделы (отрасли) К. – историческое, литературное, географическое К.</w:t>
      </w:r>
      <w:r>
        <w:rPr>
          <w:color w:val="231F20"/>
          <w:spacing w:val="40"/>
        </w:rPr>
        <w:t> </w:t>
      </w:r>
      <w:r>
        <w:rPr>
          <w:color w:val="231F20"/>
        </w:rPr>
        <w:t>и др. Как учебная дисциплина К. включается в школьные программы, преподается в вузах» (Шмидт, 2019).</w:t>
      </w:r>
    </w:p>
    <w:p>
      <w:pPr>
        <w:pStyle w:val="BodyText"/>
        <w:spacing w:line="216" w:lineRule="exact"/>
        <w:ind w:left="425" w:right="0" w:firstLine="0"/>
      </w:pPr>
      <w:r>
        <w:rPr>
          <w:color w:val="231F20"/>
        </w:rPr>
        <w:t>В</w:t>
      </w:r>
      <w:r>
        <w:rPr>
          <w:color w:val="231F20"/>
          <w:spacing w:val="-8"/>
        </w:rPr>
        <w:t> </w:t>
      </w:r>
      <w:r>
        <w:rPr>
          <w:color w:val="231F20"/>
        </w:rPr>
        <w:t>этом</w:t>
      </w:r>
      <w:r>
        <w:rPr>
          <w:color w:val="231F20"/>
          <w:spacing w:val="-5"/>
        </w:rPr>
        <w:t> </w:t>
      </w:r>
      <w:r>
        <w:rPr>
          <w:color w:val="231F20"/>
        </w:rPr>
        <w:t>определении</w:t>
      </w:r>
      <w:r>
        <w:rPr>
          <w:color w:val="231F20"/>
          <w:spacing w:val="-6"/>
        </w:rPr>
        <w:t> </w:t>
      </w:r>
      <w:r>
        <w:rPr>
          <w:color w:val="231F20"/>
        </w:rPr>
        <w:t>можно</w:t>
      </w:r>
      <w:r>
        <w:rPr>
          <w:color w:val="231F20"/>
          <w:spacing w:val="-5"/>
        </w:rPr>
        <w:t> </w:t>
      </w:r>
      <w:r>
        <w:rPr>
          <w:color w:val="231F20"/>
        </w:rPr>
        <w:t>выделить</w:t>
      </w:r>
      <w:r>
        <w:rPr>
          <w:color w:val="231F20"/>
          <w:spacing w:val="-5"/>
        </w:rPr>
        <w:t> </w:t>
      </w:r>
      <w:r>
        <w:rPr>
          <w:color w:val="231F20"/>
        </w:rPr>
        <w:t>три</w:t>
      </w:r>
      <w:r>
        <w:rPr>
          <w:color w:val="231F20"/>
          <w:spacing w:val="-6"/>
        </w:rPr>
        <w:t> </w:t>
      </w:r>
      <w:r>
        <w:rPr>
          <w:color w:val="231F20"/>
        </w:rPr>
        <w:t>наиболее</w:t>
      </w:r>
      <w:r>
        <w:rPr>
          <w:color w:val="231F20"/>
          <w:spacing w:val="-5"/>
        </w:rPr>
        <w:t> </w:t>
      </w:r>
      <w:r>
        <w:rPr>
          <w:color w:val="231F20"/>
        </w:rPr>
        <w:t>значимых</w:t>
      </w:r>
      <w:r>
        <w:rPr>
          <w:color w:val="231F20"/>
          <w:spacing w:val="-5"/>
        </w:rPr>
        <w:t> </w:t>
      </w:r>
      <w:r>
        <w:rPr>
          <w:color w:val="231F20"/>
          <w:spacing w:val="-2"/>
        </w:rPr>
        <w:t>аспекта:</w:t>
      </w:r>
    </w:p>
    <w:p>
      <w:pPr>
        <w:pStyle w:val="BodyText"/>
        <w:spacing w:line="235" w:lineRule="auto" w:before="2"/>
        <w:ind w:left="425" w:hanging="284"/>
      </w:pPr>
      <w:r>
        <w:rPr>
          <w:color w:val="231F20"/>
        </w:rPr>
        <w:t>1 – исследования конкретной местности, территории – </w:t>
      </w:r>
      <w:r>
        <w:rPr>
          <w:i/>
          <w:color w:val="231F20"/>
        </w:rPr>
        <w:t>топоса</w:t>
      </w:r>
      <w:r>
        <w:rPr>
          <w:color w:val="231F20"/>
        </w:rPr>
        <w:t>; изучение этого ме- ста</w:t>
      </w:r>
      <w:r>
        <w:rPr>
          <w:color w:val="231F20"/>
          <w:spacing w:val="-2"/>
        </w:rPr>
        <w:t> </w:t>
      </w:r>
      <w:r>
        <w:rPr>
          <w:color w:val="231F20"/>
        </w:rPr>
        <w:t>в</w:t>
      </w:r>
      <w:r>
        <w:rPr>
          <w:color w:val="231F20"/>
          <w:spacing w:val="-2"/>
        </w:rPr>
        <w:t> </w:t>
      </w:r>
      <w:r>
        <w:rPr>
          <w:color w:val="231F20"/>
        </w:rPr>
        <w:t>соединении</w:t>
      </w:r>
      <w:r>
        <w:rPr>
          <w:color w:val="231F20"/>
          <w:spacing w:val="-2"/>
        </w:rPr>
        <w:t> </w:t>
      </w:r>
      <w:r>
        <w:rPr>
          <w:color w:val="231F20"/>
        </w:rPr>
        <w:t>с</w:t>
      </w:r>
      <w:r>
        <w:rPr>
          <w:color w:val="231F20"/>
          <w:spacing w:val="-2"/>
        </w:rPr>
        <w:t> </w:t>
      </w:r>
      <w:r>
        <w:rPr>
          <w:color w:val="231F20"/>
        </w:rPr>
        <w:t>историческим</w:t>
      </w:r>
      <w:r>
        <w:rPr>
          <w:color w:val="231F20"/>
          <w:spacing w:val="-2"/>
        </w:rPr>
        <w:t> </w:t>
      </w:r>
      <w:r>
        <w:rPr>
          <w:color w:val="231F20"/>
        </w:rPr>
        <w:t>опытом</w:t>
      </w:r>
      <w:r>
        <w:rPr>
          <w:color w:val="231F20"/>
          <w:spacing w:val="-2"/>
        </w:rPr>
        <w:t> </w:t>
      </w:r>
      <w:r>
        <w:rPr>
          <w:color w:val="231F20"/>
        </w:rPr>
        <w:t>и</w:t>
      </w:r>
      <w:r>
        <w:rPr>
          <w:color w:val="231F20"/>
          <w:spacing w:val="-2"/>
        </w:rPr>
        <w:t> </w:t>
      </w:r>
      <w:r>
        <w:rPr>
          <w:color w:val="231F20"/>
        </w:rPr>
        <w:t>новыми</w:t>
      </w:r>
      <w:r>
        <w:rPr>
          <w:color w:val="231F20"/>
          <w:spacing w:val="-2"/>
        </w:rPr>
        <w:t> </w:t>
      </w:r>
      <w:r>
        <w:rPr>
          <w:color w:val="231F20"/>
        </w:rPr>
        <w:t>тенденциями</w:t>
      </w:r>
      <w:r>
        <w:rPr>
          <w:color w:val="231F20"/>
          <w:spacing w:val="-2"/>
        </w:rPr>
        <w:t> </w:t>
      </w:r>
      <w:r>
        <w:rPr>
          <w:color w:val="231F20"/>
        </w:rPr>
        <w:t>развития</w:t>
      </w:r>
      <w:r>
        <w:rPr>
          <w:color w:val="231F20"/>
          <w:spacing w:val="-2"/>
        </w:rPr>
        <w:t> </w:t>
      </w:r>
      <w:r>
        <w:rPr>
          <w:b/>
          <w:color w:val="231F20"/>
        </w:rPr>
        <w:t>–</w:t>
      </w:r>
      <w:r>
        <w:rPr>
          <w:b/>
          <w:color w:val="231F20"/>
          <w:spacing w:val="-2"/>
        </w:rPr>
        <w:t> </w:t>
      </w:r>
      <w:r>
        <w:rPr>
          <w:i/>
          <w:color w:val="231F20"/>
        </w:rPr>
        <w:t>хро- </w:t>
      </w:r>
      <w:r>
        <w:rPr>
          <w:i/>
          <w:color w:val="231F20"/>
          <w:spacing w:val="-2"/>
        </w:rPr>
        <w:t>нотопа</w:t>
      </w:r>
      <w:r>
        <w:rPr>
          <w:color w:val="231F20"/>
          <w:spacing w:val="-2"/>
        </w:rPr>
        <w:t>;</w:t>
      </w:r>
    </w:p>
    <w:p>
      <w:pPr>
        <w:pStyle w:val="BodyText"/>
        <w:spacing w:after="0" w:line="235" w:lineRule="auto"/>
        <w:sectPr>
          <w:pgSz w:w="8400" w:h="11910"/>
          <w:pgMar w:header="0" w:footer="527" w:top="400" w:bottom="740" w:left="425" w:right="425"/>
        </w:sectPr>
      </w:pPr>
    </w:p>
    <w:p>
      <w:pPr>
        <w:pStyle w:val="ListParagraph"/>
        <w:numPr>
          <w:ilvl w:val="1"/>
          <w:numId w:val="154"/>
        </w:numPr>
        <w:tabs>
          <w:tab w:pos="455" w:val="left" w:leader="none"/>
        </w:tabs>
        <w:spacing w:line="240" w:lineRule="auto" w:before="80" w:after="0"/>
        <w:ind w:left="455" w:right="0" w:hanging="314"/>
        <w:jc w:val="both"/>
        <w:rPr>
          <w:rFonts w:ascii="Georgia" w:hAnsi="Georgia"/>
          <w:sz w:val="18"/>
        </w:rPr>
      </w:pPr>
      <w:r>
        <w:rPr>
          <w:rFonts w:ascii="Georgia" w:hAnsi="Georgia"/>
          <w:color w:val="231F20"/>
          <w:sz w:val="18"/>
        </w:rPr>
        <w:t>Методы</w:t>
      </w:r>
      <w:r>
        <w:rPr>
          <w:rFonts w:ascii="Georgia" w:hAnsi="Georgia"/>
          <w:color w:val="231F20"/>
          <w:spacing w:val="-2"/>
          <w:sz w:val="18"/>
        </w:rPr>
        <w:t> </w:t>
      </w:r>
      <w:r>
        <w:rPr>
          <w:rFonts w:ascii="Georgia" w:hAnsi="Georgia"/>
          <w:color w:val="231F20"/>
          <w:sz w:val="18"/>
        </w:rPr>
        <w:t>воспитательной</w:t>
      </w:r>
      <w:r>
        <w:rPr>
          <w:rFonts w:ascii="Georgia" w:hAnsi="Georgia"/>
          <w:color w:val="231F20"/>
          <w:spacing w:val="-1"/>
          <w:sz w:val="18"/>
        </w:rPr>
        <w:t> </w:t>
      </w:r>
      <w:r>
        <w:rPr>
          <w:rFonts w:ascii="Georgia" w:hAnsi="Georgia"/>
          <w:color w:val="231F20"/>
          <w:sz w:val="18"/>
        </w:rPr>
        <w:t>раюоты</w:t>
      </w:r>
      <w:r>
        <w:rPr>
          <w:rFonts w:ascii="Georgia" w:hAnsi="Georgia"/>
          <w:color w:val="231F20"/>
          <w:spacing w:val="-1"/>
          <w:sz w:val="18"/>
        </w:rPr>
        <w:t> </w:t>
      </w:r>
      <w:r>
        <w:rPr>
          <w:rFonts w:ascii="Georgia" w:hAnsi="Georgia"/>
          <w:color w:val="231F20"/>
          <w:sz w:val="18"/>
        </w:rPr>
        <w:t>для</w:t>
      </w:r>
      <w:r>
        <w:rPr>
          <w:rFonts w:ascii="Georgia" w:hAnsi="Georgia"/>
          <w:color w:val="231F20"/>
          <w:spacing w:val="-1"/>
          <w:sz w:val="18"/>
        </w:rPr>
        <w:t> </w:t>
      </w:r>
      <w:r>
        <w:rPr>
          <w:rFonts w:ascii="Georgia" w:hAnsi="Georgia"/>
          <w:color w:val="231F20"/>
          <w:sz w:val="18"/>
        </w:rPr>
        <w:t>адаптации</w:t>
      </w:r>
      <w:r>
        <w:rPr>
          <w:rFonts w:ascii="Georgia" w:hAnsi="Georgia"/>
          <w:color w:val="231F20"/>
          <w:spacing w:val="-1"/>
          <w:sz w:val="18"/>
        </w:rPr>
        <w:t> </w:t>
      </w:r>
      <w:r>
        <w:rPr>
          <w:rFonts w:ascii="Georgia" w:hAnsi="Georgia"/>
          <w:color w:val="231F20"/>
          <w:sz w:val="18"/>
        </w:rPr>
        <w:t>...</w:t>
      </w:r>
      <w:r>
        <w:rPr>
          <w:rFonts w:ascii="Georgia" w:hAnsi="Georgia"/>
          <w:color w:val="231F20"/>
          <w:spacing w:val="-1"/>
          <w:sz w:val="18"/>
        </w:rPr>
        <w:t> </w:t>
      </w:r>
      <w:r>
        <w:rPr>
          <w:rFonts w:ascii="Georgia" w:hAnsi="Georgia"/>
          <w:color w:val="231F20"/>
          <w:sz w:val="18"/>
        </w:rPr>
        <w:t>во</w:t>
      </w:r>
      <w:r>
        <w:rPr>
          <w:rFonts w:ascii="Georgia" w:hAnsi="Georgia"/>
          <w:color w:val="231F20"/>
          <w:spacing w:val="-1"/>
          <w:sz w:val="18"/>
        </w:rPr>
        <w:t> </w:t>
      </w:r>
      <w:r>
        <w:rPr>
          <w:rFonts w:ascii="Georgia" w:hAnsi="Georgia"/>
          <w:color w:val="231F20"/>
          <w:spacing w:val="-2"/>
          <w:sz w:val="18"/>
        </w:rPr>
        <w:t>взаимодействии...</w:t>
      </w:r>
    </w:p>
    <w:p>
      <w:pPr>
        <w:pStyle w:val="BodyText"/>
        <w:spacing w:line="235" w:lineRule="auto" w:before="116"/>
        <w:ind w:left="425" w:hanging="284"/>
      </w:pPr>
      <w:r>
        <w:rPr>
          <w:color w:val="231F20"/>
          <w:spacing w:val="-2"/>
        </w:rPr>
        <w:t>2 – комплексность исследований: изучение естественно-научных, социокультурных и </w:t>
      </w:r>
      <w:r>
        <w:rPr>
          <w:color w:val="231F20"/>
        </w:rPr>
        <w:t>гуманитарных объектов;</w:t>
      </w:r>
    </w:p>
    <w:p>
      <w:pPr>
        <w:pStyle w:val="BodyText"/>
        <w:spacing w:line="235" w:lineRule="auto" w:before="1"/>
        <w:ind w:left="425" w:hanging="284"/>
      </w:pPr>
      <w:r>
        <w:rPr>
          <w:color w:val="231F20"/>
        </w:rPr>
        <w:t>3 – исследование топоса и хронотопа своего края именно силами местного сообще- </w:t>
      </w:r>
      <w:r>
        <w:rPr>
          <w:color w:val="231F20"/>
          <w:spacing w:val="-2"/>
        </w:rPr>
        <w:t>ства.</w:t>
      </w:r>
    </w:p>
    <w:p>
      <w:pPr>
        <w:pStyle w:val="BodyText"/>
        <w:spacing w:line="235" w:lineRule="auto" w:before="1"/>
      </w:pPr>
      <w:r>
        <w:rPr>
          <w:color w:val="231F20"/>
        </w:rPr>
        <w:t>В ситуации, когда местное сообщество обогащается и расширяется в аспекте по- ликультурности</w:t>
      </w:r>
      <w:r>
        <w:rPr>
          <w:color w:val="231F20"/>
          <w:spacing w:val="-8"/>
        </w:rPr>
        <w:t> </w:t>
      </w:r>
      <w:r>
        <w:rPr>
          <w:color w:val="231F20"/>
        </w:rPr>
        <w:t>(в</w:t>
      </w:r>
      <w:r>
        <w:rPr>
          <w:color w:val="231F20"/>
          <w:spacing w:val="-8"/>
        </w:rPr>
        <w:t> </w:t>
      </w:r>
      <w:r>
        <w:rPr>
          <w:color w:val="231F20"/>
        </w:rPr>
        <w:t>том</w:t>
      </w:r>
      <w:r>
        <w:rPr>
          <w:color w:val="231F20"/>
          <w:spacing w:val="-8"/>
        </w:rPr>
        <w:t> </w:t>
      </w:r>
      <w:r>
        <w:rPr>
          <w:color w:val="231F20"/>
        </w:rPr>
        <w:t>числе</w:t>
      </w:r>
      <w:r>
        <w:rPr>
          <w:color w:val="231F20"/>
          <w:spacing w:val="-8"/>
        </w:rPr>
        <w:t> </w:t>
      </w:r>
      <w:r>
        <w:rPr>
          <w:color w:val="231F20"/>
        </w:rPr>
        <w:t>за</w:t>
      </w:r>
      <w:r>
        <w:rPr>
          <w:color w:val="231F20"/>
          <w:spacing w:val="-8"/>
        </w:rPr>
        <w:t> </w:t>
      </w:r>
      <w:r>
        <w:rPr>
          <w:color w:val="231F20"/>
        </w:rPr>
        <w:t>счет</w:t>
      </w:r>
      <w:r>
        <w:rPr>
          <w:color w:val="231F20"/>
          <w:spacing w:val="-8"/>
        </w:rPr>
        <w:t> </w:t>
      </w:r>
      <w:r>
        <w:rPr>
          <w:color w:val="231F20"/>
        </w:rPr>
        <w:t>миграционных</w:t>
      </w:r>
      <w:r>
        <w:rPr>
          <w:color w:val="231F20"/>
          <w:spacing w:val="-8"/>
        </w:rPr>
        <w:t> </w:t>
      </w:r>
      <w:r>
        <w:rPr>
          <w:color w:val="231F20"/>
        </w:rPr>
        <w:t>процессов),</w:t>
      </w:r>
      <w:r>
        <w:rPr>
          <w:color w:val="231F20"/>
          <w:spacing w:val="-8"/>
        </w:rPr>
        <w:t> </w:t>
      </w:r>
      <w:r>
        <w:rPr>
          <w:color w:val="231F20"/>
        </w:rPr>
        <w:t>важно</w:t>
      </w:r>
      <w:r>
        <w:rPr>
          <w:color w:val="231F20"/>
          <w:spacing w:val="-8"/>
        </w:rPr>
        <w:t> </w:t>
      </w:r>
      <w:r>
        <w:rPr>
          <w:color w:val="231F20"/>
        </w:rPr>
        <w:t>выстроить</w:t>
      </w:r>
      <w:r>
        <w:rPr>
          <w:color w:val="231F20"/>
          <w:spacing w:val="-8"/>
        </w:rPr>
        <w:t> </w:t>
      </w:r>
      <w:r>
        <w:rPr>
          <w:color w:val="231F20"/>
        </w:rPr>
        <w:t>де- ятельность школьного краеведения с учетом этой социальной ситуации, используя разнообразие культур как ресурс. Поликультурный школьный класс – особая реаль- ность современности, которая может рассматриваться как пространство для актуа- лизации исследований и проектов в области социальной антропологии, городской антропологии, визуальной антропологии, локальной этнографии и фольклористики</w:t>
      </w:r>
      <w:r>
        <w:rPr>
          <w:color w:val="231F20"/>
          <w:spacing w:val="40"/>
        </w:rPr>
        <w:t> </w:t>
      </w:r>
      <w:r>
        <w:rPr>
          <w:color w:val="231F20"/>
        </w:rPr>
        <w:t>и</w:t>
      </w:r>
      <w:r>
        <w:rPr>
          <w:color w:val="231F20"/>
          <w:spacing w:val="-5"/>
        </w:rPr>
        <w:t> </w:t>
      </w:r>
      <w:r>
        <w:rPr>
          <w:color w:val="231F20"/>
        </w:rPr>
        <w:t>др.</w:t>
      </w:r>
      <w:r>
        <w:rPr>
          <w:color w:val="231F20"/>
          <w:spacing w:val="-5"/>
        </w:rPr>
        <w:t> </w:t>
      </w:r>
      <w:r>
        <w:rPr>
          <w:color w:val="231F20"/>
        </w:rPr>
        <w:t>Когда</w:t>
      </w:r>
      <w:r>
        <w:rPr>
          <w:color w:val="231F20"/>
          <w:spacing w:val="-5"/>
        </w:rPr>
        <w:t> </w:t>
      </w:r>
      <w:r>
        <w:rPr>
          <w:color w:val="231F20"/>
        </w:rPr>
        <w:t>семейная</w:t>
      </w:r>
      <w:r>
        <w:rPr>
          <w:color w:val="231F20"/>
          <w:spacing w:val="-5"/>
        </w:rPr>
        <w:t> </w:t>
      </w:r>
      <w:r>
        <w:rPr>
          <w:color w:val="231F20"/>
        </w:rPr>
        <w:t>и</w:t>
      </w:r>
      <w:r>
        <w:rPr>
          <w:color w:val="231F20"/>
          <w:spacing w:val="-5"/>
        </w:rPr>
        <w:t> </w:t>
      </w:r>
      <w:r>
        <w:rPr>
          <w:color w:val="231F20"/>
        </w:rPr>
        <w:t>родовая</w:t>
      </w:r>
      <w:r>
        <w:rPr>
          <w:color w:val="231F20"/>
          <w:spacing w:val="-5"/>
        </w:rPr>
        <w:t> </w:t>
      </w:r>
      <w:r>
        <w:rPr>
          <w:color w:val="231F20"/>
        </w:rPr>
        <w:t>история,</w:t>
      </w:r>
      <w:r>
        <w:rPr>
          <w:color w:val="231F20"/>
          <w:spacing w:val="-5"/>
        </w:rPr>
        <w:t> </w:t>
      </w:r>
      <w:r>
        <w:rPr>
          <w:color w:val="231F20"/>
        </w:rPr>
        <w:t>этнические</w:t>
      </w:r>
      <w:r>
        <w:rPr>
          <w:color w:val="231F20"/>
          <w:spacing w:val="-5"/>
        </w:rPr>
        <w:t> </w:t>
      </w:r>
      <w:r>
        <w:rPr>
          <w:color w:val="231F20"/>
        </w:rPr>
        <w:t>традиции,</w:t>
      </w:r>
      <w:r>
        <w:rPr>
          <w:color w:val="231F20"/>
          <w:spacing w:val="-5"/>
        </w:rPr>
        <w:t> </w:t>
      </w:r>
      <w:r>
        <w:rPr>
          <w:color w:val="231F20"/>
        </w:rPr>
        <w:t>процессы</w:t>
      </w:r>
      <w:r>
        <w:rPr>
          <w:color w:val="231F20"/>
          <w:spacing w:val="-5"/>
        </w:rPr>
        <w:t> </w:t>
      </w:r>
      <w:r>
        <w:rPr>
          <w:color w:val="231F20"/>
        </w:rPr>
        <w:t>миграции</w:t>
      </w:r>
      <w:r>
        <w:rPr>
          <w:color w:val="231F20"/>
          <w:spacing w:val="-5"/>
        </w:rPr>
        <w:t> </w:t>
      </w:r>
      <w:r>
        <w:rPr>
          <w:color w:val="231F20"/>
        </w:rPr>
        <w:t>и аккультурации могут стать предметом собственных исследований школьников в со- отнесении с историей города, региона, страны, народа.</w:t>
      </w:r>
    </w:p>
    <w:p>
      <w:pPr>
        <w:pStyle w:val="BodyText"/>
        <w:spacing w:line="235" w:lineRule="auto" w:before="6"/>
      </w:pPr>
      <w:r>
        <w:rPr>
          <w:b/>
          <w:i/>
          <w:color w:val="231F20"/>
        </w:rPr>
        <w:t>Исследовательское краеведение </w:t>
      </w:r>
      <w:r>
        <w:rPr>
          <w:color w:val="231F20"/>
        </w:rPr>
        <w:t>– построение целостной картины конкретного места (топоса) в контексте и во взаимосвязи со временем (хронотопа</w:t>
      </w:r>
      <w:r>
        <w:rPr>
          <w:color w:val="231F20"/>
          <w:vertAlign w:val="superscript"/>
        </w:rPr>
        <w:t>1</w:t>
      </w:r>
      <w:r>
        <w:rPr>
          <w:color w:val="231F20"/>
          <w:vertAlign w:val="baseline"/>
        </w:rPr>
        <w:t>). То есть из- учение целостности развития места в его прошлом и настоящем для продуманного улучшения в будущем.</w:t>
      </w:r>
    </w:p>
    <w:p>
      <w:pPr>
        <w:pStyle w:val="BodyText"/>
        <w:spacing w:line="235" w:lineRule="auto" w:before="3"/>
      </w:pPr>
      <w:r>
        <w:rPr>
          <w:color w:val="231F20"/>
        </w:rPr>
        <w:t>Концепт</w:t>
      </w:r>
      <w:r>
        <w:rPr>
          <w:color w:val="231F20"/>
          <w:spacing w:val="-5"/>
        </w:rPr>
        <w:t> </w:t>
      </w:r>
      <w:r>
        <w:rPr>
          <w:b/>
          <w:i/>
          <w:color w:val="231F20"/>
        </w:rPr>
        <w:t>топоса</w:t>
      </w:r>
      <w:r>
        <w:rPr>
          <w:b/>
          <w:i/>
          <w:color w:val="231F20"/>
          <w:spacing w:val="-5"/>
        </w:rPr>
        <w:t> </w:t>
      </w:r>
      <w:r>
        <w:rPr>
          <w:color w:val="231F20"/>
        </w:rPr>
        <w:t>подразумевает</w:t>
      </w:r>
      <w:r>
        <w:rPr>
          <w:color w:val="231F20"/>
          <w:spacing w:val="-5"/>
        </w:rPr>
        <w:t> </w:t>
      </w:r>
      <w:r>
        <w:rPr>
          <w:color w:val="231F20"/>
        </w:rPr>
        <w:t>рассмотрение</w:t>
      </w:r>
      <w:r>
        <w:rPr>
          <w:color w:val="231F20"/>
          <w:spacing w:val="-5"/>
        </w:rPr>
        <w:t> </w:t>
      </w:r>
      <w:r>
        <w:rPr>
          <w:color w:val="231F20"/>
        </w:rPr>
        <w:t>конкретных</w:t>
      </w:r>
      <w:r>
        <w:rPr>
          <w:color w:val="231F20"/>
          <w:spacing w:val="-5"/>
        </w:rPr>
        <w:t> </w:t>
      </w:r>
      <w:r>
        <w:rPr>
          <w:color w:val="231F20"/>
        </w:rPr>
        <w:t>объектов</w:t>
      </w:r>
      <w:r>
        <w:rPr>
          <w:color w:val="231F20"/>
          <w:spacing w:val="-5"/>
        </w:rPr>
        <w:t> </w:t>
      </w:r>
      <w:r>
        <w:rPr>
          <w:color w:val="231F20"/>
        </w:rPr>
        <w:t>(природных, социальных, культурных, антропологических) во взаимосвязи с фактором места, от- ветов на вопросы: что, как, с кем или с чем связано и почему именно в этом месте. Даже простое выяснение – представители каких культур проживают на территории, присутствуют в классе, откуда какая семья приехала, – уже интересный вопрос для создания, например, «поликультурный карты» локального социума.</w:t>
      </w:r>
    </w:p>
    <w:p>
      <w:pPr>
        <w:pStyle w:val="BodyText"/>
        <w:spacing w:line="235" w:lineRule="auto" w:before="4"/>
      </w:pPr>
      <w:r>
        <w:rPr>
          <w:color w:val="231F20"/>
        </w:rPr>
        <w:t>Концепт </w:t>
      </w:r>
      <w:r>
        <w:rPr>
          <w:b/>
          <w:i/>
          <w:color w:val="231F20"/>
        </w:rPr>
        <w:t>хронотопа</w:t>
      </w:r>
      <w:r>
        <w:rPr>
          <w:b/>
          <w:i/>
          <w:color w:val="231F20"/>
          <w:spacing w:val="-1"/>
        </w:rPr>
        <w:t> </w:t>
      </w:r>
      <w:r>
        <w:rPr>
          <w:color w:val="231F20"/>
        </w:rPr>
        <w:t>дает</w:t>
      </w:r>
      <w:r>
        <w:rPr>
          <w:color w:val="231F20"/>
          <w:spacing w:val="-1"/>
        </w:rPr>
        <w:t> </w:t>
      </w:r>
      <w:r>
        <w:rPr>
          <w:color w:val="231F20"/>
        </w:rPr>
        <w:t>представление о тех или</w:t>
      </w:r>
      <w:r>
        <w:rPr>
          <w:color w:val="231F20"/>
          <w:spacing w:val="-1"/>
        </w:rPr>
        <w:t> </w:t>
      </w:r>
      <w:r>
        <w:rPr>
          <w:color w:val="231F20"/>
        </w:rPr>
        <w:t>иных процессах</w:t>
      </w:r>
      <w:r>
        <w:rPr>
          <w:color w:val="231F20"/>
          <w:spacing w:val="-1"/>
        </w:rPr>
        <w:t> </w:t>
      </w:r>
      <w:r>
        <w:rPr>
          <w:color w:val="231F20"/>
        </w:rPr>
        <w:t>в континууме времени («прошлое – настоящее – будущее») с учетом фактора места и глобальных</w:t>
      </w:r>
      <w:r>
        <w:rPr>
          <w:color w:val="231F20"/>
          <w:spacing w:val="40"/>
        </w:rPr>
        <w:t> </w:t>
      </w:r>
      <w:r>
        <w:rPr>
          <w:color w:val="231F20"/>
        </w:rPr>
        <w:t>и локальных природных, исторических, социальных процессов. Например, история семей, география представителей различных культур, выяснение семейного древа – интересная задача для поликультурного класса.</w:t>
      </w:r>
    </w:p>
    <w:p>
      <w:pPr>
        <w:pStyle w:val="BodyText"/>
        <w:spacing w:line="235" w:lineRule="auto" w:before="3"/>
      </w:pPr>
      <w:r>
        <w:rPr>
          <w:color w:val="231F20"/>
        </w:rPr>
        <w:t>Осознание</w:t>
      </w:r>
      <w:r>
        <w:rPr>
          <w:color w:val="231F20"/>
          <w:spacing w:val="-4"/>
        </w:rPr>
        <w:t> </w:t>
      </w:r>
      <w:r>
        <w:rPr>
          <w:color w:val="231F20"/>
        </w:rPr>
        <w:t>пространственно-временных</w:t>
      </w:r>
      <w:r>
        <w:rPr>
          <w:color w:val="231F20"/>
          <w:spacing w:val="-4"/>
        </w:rPr>
        <w:t> </w:t>
      </w:r>
      <w:r>
        <w:rPr>
          <w:color w:val="231F20"/>
        </w:rPr>
        <w:t>связей</w:t>
      </w:r>
      <w:r>
        <w:rPr>
          <w:color w:val="231F20"/>
          <w:spacing w:val="-4"/>
        </w:rPr>
        <w:t> </w:t>
      </w:r>
      <w:r>
        <w:rPr>
          <w:color w:val="231F20"/>
        </w:rPr>
        <w:t>различных</w:t>
      </w:r>
      <w:r>
        <w:rPr>
          <w:color w:val="231F20"/>
          <w:spacing w:val="-4"/>
        </w:rPr>
        <w:t> </w:t>
      </w:r>
      <w:r>
        <w:rPr>
          <w:color w:val="231F20"/>
        </w:rPr>
        <w:t>элементов</w:t>
      </w:r>
      <w:r>
        <w:rPr>
          <w:color w:val="231F20"/>
          <w:spacing w:val="-4"/>
        </w:rPr>
        <w:t> </w:t>
      </w:r>
      <w:r>
        <w:rPr>
          <w:color w:val="231F20"/>
        </w:rPr>
        <w:t>топоса</w:t>
      </w:r>
      <w:r>
        <w:rPr>
          <w:color w:val="231F20"/>
          <w:spacing w:val="-4"/>
        </w:rPr>
        <w:t> </w:t>
      </w:r>
      <w:r>
        <w:rPr>
          <w:color w:val="231F20"/>
        </w:rPr>
        <w:t>про- исходит в случае, когда у школьников есть смысловые задачи, которые побуждают самостоятельно разбираться в этих связях, пытаясь их наглядно представить в раз- личных</w:t>
      </w:r>
      <w:r>
        <w:rPr>
          <w:color w:val="231F20"/>
          <w:spacing w:val="-12"/>
        </w:rPr>
        <w:t> </w:t>
      </w:r>
      <w:r>
        <w:rPr>
          <w:color w:val="231F20"/>
        </w:rPr>
        <w:t>форматах.</w:t>
      </w:r>
      <w:r>
        <w:rPr>
          <w:color w:val="231F20"/>
          <w:spacing w:val="-12"/>
        </w:rPr>
        <w:t> </w:t>
      </w:r>
      <w:r>
        <w:rPr>
          <w:color w:val="231F20"/>
        </w:rPr>
        <w:t>На</w:t>
      </w:r>
      <w:r>
        <w:rPr>
          <w:color w:val="231F20"/>
          <w:spacing w:val="-12"/>
        </w:rPr>
        <w:t> </w:t>
      </w:r>
      <w:r>
        <w:rPr>
          <w:color w:val="231F20"/>
        </w:rPr>
        <w:t>примере</w:t>
      </w:r>
      <w:r>
        <w:rPr>
          <w:color w:val="231F20"/>
          <w:spacing w:val="-12"/>
        </w:rPr>
        <w:t> </w:t>
      </w:r>
      <w:r>
        <w:rPr>
          <w:color w:val="231F20"/>
        </w:rPr>
        <w:t>очень</w:t>
      </w:r>
      <w:r>
        <w:rPr>
          <w:color w:val="231F20"/>
          <w:spacing w:val="-12"/>
        </w:rPr>
        <w:t> </w:t>
      </w:r>
      <w:r>
        <w:rPr>
          <w:color w:val="231F20"/>
        </w:rPr>
        <w:t>конкретных</w:t>
      </w:r>
      <w:r>
        <w:rPr>
          <w:color w:val="231F20"/>
          <w:spacing w:val="-12"/>
        </w:rPr>
        <w:t> </w:t>
      </w:r>
      <w:r>
        <w:rPr>
          <w:color w:val="231F20"/>
        </w:rPr>
        <w:t>проявлений</w:t>
      </w:r>
      <w:r>
        <w:rPr>
          <w:color w:val="231F20"/>
          <w:spacing w:val="-12"/>
        </w:rPr>
        <w:t> </w:t>
      </w:r>
      <w:r>
        <w:rPr>
          <w:color w:val="231F20"/>
        </w:rPr>
        <w:t>можно</w:t>
      </w:r>
      <w:r>
        <w:rPr>
          <w:color w:val="231F20"/>
          <w:spacing w:val="-12"/>
        </w:rPr>
        <w:t> </w:t>
      </w:r>
      <w:r>
        <w:rPr>
          <w:color w:val="231F20"/>
        </w:rPr>
        <w:t>обсудить</w:t>
      </w:r>
      <w:r>
        <w:rPr>
          <w:color w:val="231F20"/>
          <w:spacing w:val="-12"/>
        </w:rPr>
        <w:t> </w:t>
      </w:r>
      <w:r>
        <w:rPr>
          <w:color w:val="231F20"/>
        </w:rPr>
        <w:t>общие вопросы</w:t>
      </w:r>
      <w:r>
        <w:rPr>
          <w:color w:val="231F20"/>
          <w:spacing w:val="-13"/>
        </w:rPr>
        <w:t> </w:t>
      </w:r>
      <w:r>
        <w:rPr>
          <w:color w:val="231F20"/>
        </w:rPr>
        <w:t>истории,</w:t>
      </w:r>
      <w:r>
        <w:rPr>
          <w:color w:val="231F20"/>
          <w:spacing w:val="-12"/>
        </w:rPr>
        <w:t> </w:t>
      </w:r>
      <w:r>
        <w:rPr>
          <w:color w:val="231F20"/>
        </w:rPr>
        <w:t>культуры,</w:t>
      </w:r>
      <w:r>
        <w:rPr>
          <w:color w:val="231F20"/>
          <w:spacing w:val="-13"/>
        </w:rPr>
        <w:t> </w:t>
      </w:r>
      <w:r>
        <w:rPr>
          <w:color w:val="231F20"/>
        </w:rPr>
        <w:t>природы,</w:t>
      </w:r>
      <w:r>
        <w:rPr>
          <w:color w:val="231F20"/>
          <w:spacing w:val="-12"/>
        </w:rPr>
        <w:t> </w:t>
      </w:r>
      <w:r>
        <w:rPr>
          <w:color w:val="231F20"/>
        </w:rPr>
        <w:t>в</w:t>
      </w:r>
      <w:r>
        <w:rPr>
          <w:color w:val="231F20"/>
          <w:spacing w:val="-13"/>
        </w:rPr>
        <w:t> </w:t>
      </w:r>
      <w:r>
        <w:rPr>
          <w:color w:val="231F20"/>
        </w:rPr>
        <w:t>том</w:t>
      </w:r>
      <w:r>
        <w:rPr>
          <w:color w:val="231F20"/>
          <w:spacing w:val="-12"/>
        </w:rPr>
        <w:t> </w:t>
      </w:r>
      <w:r>
        <w:rPr>
          <w:color w:val="231F20"/>
        </w:rPr>
        <w:t>числе</w:t>
      </w:r>
      <w:r>
        <w:rPr>
          <w:color w:val="231F20"/>
          <w:spacing w:val="-13"/>
        </w:rPr>
        <w:t> </w:t>
      </w:r>
      <w:r>
        <w:rPr>
          <w:color w:val="231F20"/>
        </w:rPr>
        <w:t>развитие</w:t>
      </w:r>
      <w:r>
        <w:rPr>
          <w:color w:val="231F20"/>
          <w:spacing w:val="-12"/>
        </w:rPr>
        <w:t> </w:t>
      </w:r>
      <w:r>
        <w:rPr>
          <w:color w:val="231F20"/>
        </w:rPr>
        <w:t>миграционных</w:t>
      </w:r>
      <w:r>
        <w:rPr>
          <w:color w:val="231F20"/>
          <w:spacing w:val="-13"/>
        </w:rPr>
        <w:t> </w:t>
      </w:r>
      <w:r>
        <w:rPr>
          <w:color w:val="231F20"/>
        </w:rPr>
        <w:t>процессов (как социальных, культурных, так и природных – например, в аспекте эндемиков и интродуцентов среди растений на пришкольном участке или в соседнем парке).</w:t>
      </w:r>
    </w:p>
    <w:p>
      <w:pPr>
        <w:pStyle w:val="BodyText"/>
        <w:spacing w:line="235" w:lineRule="auto" w:before="4"/>
      </w:pPr>
      <w:r>
        <w:rPr>
          <w:b/>
          <w:i/>
        </w:rPr>
        <w:t>Интеграционное</w:t>
      </w:r>
      <w:r>
        <w:rPr>
          <w:b/>
          <w:i/>
          <w:spacing w:val="-8"/>
        </w:rPr>
        <w:t> </w:t>
      </w:r>
      <w:r>
        <w:rPr>
          <w:b/>
          <w:i/>
        </w:rPr>
        <w:t>межкультурное</w:t>
      </w:r>
      <w:r>
        <w:rPr>
          <w:b/>
          <w:i/>
          <w:spacing w:val="-8"/>
        </w:rPr>
        <w:t> </w:t>
      </w:r>
      <w:r>
        <w:rPr>
          <w:b/>
          <w:i/>
        </w:rPr>
        <w:t>краеведение</w:t>
      </w:r>
      <w:r>
        <w:rPr>
          <w:b/>
          <w:i/>
          <w:spacing w:val="-9"/>
        </w:rPr>
        <w:t> </w:t>
      </w:r>
      <w:r>
        <w:rPr/>
        <w:t>–</w:t>
      </w:r>
      <w:r>
        <w:rPr>
          <w:spacing w:val="-8"/>
        </w:rPr>
        <w:t> </w:t>
      </w:r>
      <w:r>
        <w:rPr/>
        <w:t>понятие,</w:t>
      </w:r>
      <w:r>
        <w:rPr>
          <w:spacing w:val="-8"/>
        </w:rPr>
        <w:t> </w:t>
      </w:r>
      <w:r>
        <w:rPr/>
        <w:t>которое</w:t>
      </w:r>
      <w:r>
        <w:rPr>
          <w:spacing w:val="-8"/>
        </w:rPr>
        <w:t> </w:t>
      </w:r>
      <w:r>
        <w:rPr/>
        <w:t>еще</w:t>
      </w:r>
      <w:r>
        <w:rPr>
          <w:spacing w:val="-8"/>
        </w:rPr>
        <w:t> </w:t>
      </w:r>
      <w:r>
        <w:rPr/>
        <w:t>не</w:t>
      </w:r>
      <w:r>
        <w:rPr>
          <w:spacing w:val="-8"/>
        </w:rPr>
        <w:t> </w:t>
      </w:r>
      <w:r>
        <w:rPr/>
        <w:t>устоя- лось,</w:t>
      </w:r>
      <w:r>
        <w:rPr>
          <w:spacing w:val="-5"/>
        </w:rPr>
        <w:t> </w:t>
      </w:r>
      <w:r>
        <w:rPr/>
        <w:t>но</w:t>
      </w:r>
      <w:r>
        <w:rPr>
          <w:spacing w:val="-5"/>
        </w:rPr>
        <w:t> </w:t>
      </w:r>
      <w:r>
        <w:rPr/>
        <w:t>имеет</w:t>
      </w:r>
      <w:r>
        <w:rPr>
          <w:spacing w:val="-5"/>
        </w:rPr>
        <w:t> </w:t>
      </w:r>
      <w:r>
        <w:rPr/>
        <w:t>право</w:t>
      </w:r>
      <w:r>
        <w:rPr>
          <w:spacing w:val="-5"/>
        </w:rPr>
        <w:t> </w:t>
      </w:r>
      <w:r>
        <w:rPr/>
        <w:t>на</w:t>
      </w:r>
      <w:r>
        <w:rPr>
          <w:spacing w:val="-5"/>
        </w:rPr>
        <w:t> </w:t>
      </w:r>
      <w:r>
        <w:rPr/>
        <w:t>существование</w:t>
      </w:r>
      <w:r>
        <w:rPr>
          <w:spacing w:val="-5"/>
        </w:rPr>
        <w:t> </w:t>
      </w:r>
      <w:r>
        <w:rPr/>
        <w:t>в</w:t>
      </w:r>
      <w:r>
        <w:rPr>
          <w:spacing w:val="-5"/>
        </w:rPr>
        <w:t> </w:t>
      </w:r>
      <w:r>
        <w:rPr/>
        <w:t>ситуации,</w:t>
      </w:r>
      <w:r>
        <w:rPr>
          <w:spacing w:val="-5"/>
        </w:rPr>
        <w:t> </w:t>
      </w:r>
      <w:r>
        <w:rPr/>
        <w:t>когда</w:t>
      </w:r>
      <w:r>
        <w:rPr>
          <w:spacing w:val="-5"/>
        </w:rPr>
        <w:t> </w:t>
      </w:r>
      <w:r>
        <w:rPr/>
        <w:t>мы</w:t>
      </w:r>
      <w:r>
        <w:rPr>
          <w:spacing w:val="-5"/>
        </w:rPr>
        <w:t> </w:t>
      </w:r>
      <w:r>
        <w:rPr/>
        <w:t>уже</w:t>
      </w:r>
      <w:r>
        <w:rPr>
          <w:spacing w:val="-5"/>
        </w:rPr>
        <w:t> </w:t>
      </w:r>
      <w:r>
        <w:rPr/>
        <w:t>не</w:t>
      </w:r>
      <w:r>
        <w:rPr>
          <w:spacing w:val="-5"/>
        </w:rPr>
        <w:t> </w:t>
      </w:r>
      <w:r>
        <w:rPr/>
        <w:t>можем</w:t>
      </w:r>
      <w:r>
        <w:rPr>
          <w:spacing w:val="-5"/>
        </w:rPr>
        <w:t> </w:t>
      </w:r>
      <w:r>
        <w:rPr/>
        <w:t>говорить о локальной истории и конкретном социуме только как монокультурных, когда по тем или иным причинам повышается социальная мобильность, увеличивается число людей,</w:t>
      </w:r>
      <w:r>
        <w:rPr>
          <w:spacing w:val="-2"/>
        </w:rPr>
        <w:t> </w:t>
      </w:r>
      <w:r>
        <w:rPr/>
        <w:t>находящихся</w:t>
      </w:r>
      <w:r>
        <w:rPr>
          <w:spacing w:val="-2"/>
        </w:rPr>
        <w:t> </w:t>
      </w:r>
      <w:r>
        <w:rPr/>
        <w:t>во</w:t>
      </w:r>
      <w:r>
        <w:rPr>
          <w:spacing w:val="-2"/>
        </w:rPr>
        <w:t> </w:t>
      </w:r>
      <w:r>
        <w:rPr/>
        <w:t>внутренней</w:t>
      </w:r>
      <w:r>
        <w:rPr>
          <w:spacing w:val="-2"/>
        </w:rPr>
        <w:t> </w:t>
      </w:r>
      <w:r>
        <w:rPr/>
        <w:t>или</w:t>
      </w:r>
      <w:r>
        <w:rPr>
          <w:spacing w:val="-2"/>
        </w:rPr>
        <w:t> </w:t>
      </w:r>
      <w:r>
        <w:rPr/>
        <w:t>трансграничной</w:t>
      </w:r>
      <w:r>
        <w:rPr>
          <w:spacing w:val="-2"/>
        </w:rPr>
        <w:t> </w:t>
      </w:r>
      <w:r>
        <w:rPr/>
        <w:t>миграции.</w:t>
      </w:r>
      <w:r>
        <w:rPr>
          <w:spacing w:val="-2"/>
        </w:rPr>
        <w:t> </w:t>
      </w:r>
      <w:r>
        <w:rPr/>
        <w:t>Реальность</w:t>
      </w:r>
      <w:r>
        <w:rPr>
          <w:spacing w:val="-2"/>
        </w:rPr>
        <w:t> </w:t>
      </w:r>
      <w:r>
        <w:rPr/>
        <w:t>меж- культурной</w:t>
      </w:r>
      <w:r>
        <w:rPr>
          <w:spacing w:val="7"/>
        </w:rPr>
        <w:t> </w:t>
      </w:r>
      <w:r>
        <w:rPr/>
        <w:t>коммуникации</w:t>
      </w:r>
      <w:r>
        <w:rPr>
          <w:spacing w:val="8"/>
        </w:rPr>
        <w:t> </w:t>
      </w:r>
      <w:r>
        <w:rPr/>
        <w:t>требует</w:t>
      </w:r>
      <w:r>
        <w:rPr>
          <w:spacing w:val="8"/>
        </w:rPr>
        <w:t> </w:t>
      </w:r>
      <w:r>
        <w:rPr/>
        <w:t>построения</w:t>
      </w:r>
      <w:r>
        <w:rPr>
          <w:spacing w:val="8"/>
        </w:rPr>
        <w:t> </w:t>
      </w:r>
      <w:r>
        <w:rPr/>
        <w:t>таких</w:t>
      </w:r>
      <w:r>
        <w:rPr>
          <w:spacing w:val="8"/>
        </w:rPr>
        <w:t> </w:t>
      </w:r>
      <w:r>
        <w:rPr/>
        <w:t>интегративных</w:t>
      </w:r>
      <w:r>
        <w:rPr>
          <w:spacing w:val="8"/>
        </w:rPr>
        <w:t> </w:t>
      </w:r>
      <w:r>
        <w:rPr/>
        <w:t>практик,</w:t>
      </w:r>
      <w:r>
        <w:rPr>
          <w:spacing w:val="8"/>
        </w:rPr>
        <w:t> </w:t>
      </w:r>
      <w:r>
        <w:rPr>
          <w:spacing w:val="-2"/>
        </w:rPr>
        <w:t>кото-</w:t>
      </w:r>
    </w:p>
    <w:p>
      <w:pPr>
        <w:pStyle w:val="BodyText"/>
        <w:spacing w:before="10"/>
        <w:ind w:left="0" w:right="0" w:firstLine="0"/>
        <w:jc w:val="left"/>
        <w:rPr>
          <w:sz w:val="11"/>
        </w:rPr>
      </w:pPr>
      <w:r>
        <w:rPr>
          <w:sz w:val="11"/>
        </w:rPr>
        <mc:AlternateContent>
          <mc:Choice Requires="wps">
            <w:drawing>
              <wp:anchor distT="0" distB="0" distL="0" distR="0" allowOverlap="1" layoutInCell="1" locked="0" behindDoc="1" simplePos="0" relativeHeight="487630848">
                <wp:simplePos x="0" y="0"/>
                <wp:positionH relativeFrom="page">
                  <wp:posOffset>359999</wp:posOffset>
                </wp:positionH>
                <wp:positionV relativeFrom="paragraph">
                  <wp:posOffset>102291</wp:posOffset>
                </wp:positionV>
                <wp:extent cx="1440180" cy="1270"/>
                <wp:effectExtent l="0" t="0" r="0" b="0"/>
                <wp:wrapTopAndBottom/>
                <wp:docPr id="131" name="Graphic 131"/>
                <wp:cNvGraphicFramePr>
                  <a:graphicFrameLocks/>
                </wp:cNvGraphicFramePr>
                <a:graphic>
                  <a:graphicData uri="http://schemas.microsoft.com/office/word/2010/wordprocessingShape">
                    <wps:wsp>
                      <wps:cNvPr id="131" name="Graphic 131"/>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399pt;margin-top:8.054421pt;width:113.4pt;height:.1pt;mso-position-horizontal-relative:page;mso-position-vertical-relative:paragraph;z-index:-15685632;mso-wrap-distance-left:0;mso-wrap-distance-right:0" id="docshape86" coordorigin="567,161" coordsize="2268,0" path="m567,161l2835,161e" filled="false" stroked="true" strokeweight=".5pt" strokecolor="#231f20">
                <v:path arrowok="t"/>
                <v:stroke dashstyle="solid"/>
                <w10:wrap type="topAndBottom"/>
              </v:shape>
            </w:pict>
          </mc:Fallback>
        </mc:AlternateContent>
      </w:r>
    </w:p>
    <w:p>
      <w:pPr>
        <w:spacing w:line="232" w:lineRule="auto" w:before="32"/>
        <w:ind w:left="141" w:right="139" w:firstLine="0"/>
        <w:jc w:val="both"/>
        <w:rPr>
          <w:sz w:val="18"/>
        </w:rPr>
      </w:pPr>
      <w:r>
        <w:rPr>
          <w:color w:val="231F20"/>
          <w:sz w:val="18"/>
          <w:vertAlign w:val="superscript"/>
        </w:rPr>
        <w:t>1</w:t>
      </w:r>
      <w:r>
        <w:rPr>
          <w:color w:val="231F20"/>
          <w:spacing w:val="40"/>
          <w:sz w:val="18"/>
          <w:vertAlign w:val="baseline"/>
        </w:rPr>
        <w:t> </w:t>
      </w:r>
      <w:r>
        <w:rPr>
          <w:color w:val="231F20"/>
          <w:sz w:val="18"/>
          <w:vertAlign w:val="baseline"/>
        </w:rPr>
        <w:t>Концепт</w:t>
      </w:r>
      <w:r>
        <w:rPr>
          <w:color w:val="231F20"/>
          <w:spacing w:val="-11"/>
          <w:sz w:val="18"/>
          <w:vertAlign w:val="baseline"/>
        </w:rPr>
        <w:t> </w:t>
      </w:r>
      <w:r>
        <w:rPr>
          <w:color w:val="231F20"/>
          <w:sz w:val="18"/>
          <w:vertAlign w:val="baseline"/>
        </w:rPr>
        <w:t>хронотопа</w:t>
      </w:r>
      <w:r>
        <w:rPr>
          <w:color w:val="231F20"/>
          <w:spacing w:val="-12"/>
          <w:sz w:val="18"/>
          <w:vertAlign w:val="baseline"/>
        </w:rPr>
        <w:t> </w:t>
      </w:r>
      <w:r>
        <w:rPr>
          <w:color w:val="231F20"/>
          <w:sz w:val="18"/>
          <w:vertAlign w:val="baseline"/>
        </w:rPr>
        <w:t>(идея</w:t>
      </w:r>
      <w:r>
        <w:rPr>
          <w:color w:val="231F20"/>
          <w:spacing w:val="-11"/>
          <w:sz w:val="18"/>
          <w:vertAlign w:val="baseline"/>
        </w:rPr>
        <w:t> </w:t>
      </w:r>
      <w:r>
        <w:rPr>
          <w:color w:val="231F20"/>
          <w:sz w:val="18"/>
          <w:vertAlign w:val="baseline"/>
        </w:rPr>
        <w:t>закономерной</w:t>
      </w:r>
      <w:r>
        <w:rPr>
          <w:color w:val="231F20"/>
          <w:spacing w:val="-11"/>
          <w:sz w:val="18"/>
          <w:vertAlign w:val="baseline"/>
        </w:rPr>
        <w:t> </w:t>
      </w:r>
      <w:r>
        <w:rPr>
          <w:color w:val="231F20"/>
          <w:sz w:val="18"/>
          <w:vertAlign w:val="baseline"/>
        </w:rPr>
        <w:t>связи</w:t>
      </w:r>
      <w:r>
        <w:rPr>
          <w:color w:val="231F20"/>
          <w:spacing w:val="-11"/>
          <w:sz w:val="18"/>
          <w:vertAlign w:val="baseline"/>
        </w:rPr>
        <w:t> </w:t>
      </w:r>
      <w:r>
        <w:rPr>
          <w:color w:val="231F20"/>
          <w:sz w:val="18"/>
          <w:vertAlign w:val="baseline"/>
        </w:rPr>
        <w:t>пространственно-временных</w:t>
      </w:r>
      <w:r>
        <w:rPr>
          <w:color w:val="231F20"/>
          <w:spacing w:val="-12"/>
          <w:sz w:val="18"/>
          <w:vertAlign w:val="baseline"/>
        </w:rPr>
        <w:t> </w:t>
      </w:r>
      <w:r>
        <w:rPr>
          <w:color w:val="231F20"/>
          <w:sz w:val="18"/>
          <w:vertAlign w:val="baseline"/>
        </w:rPr>
        <w:t>координат,</w:t>
      </w:r>
      <w:r>
        <w:rPr>
          <w:color w:val="231F20"/>
          <w:spacing w:val="-11"/>
          <w:sz w:val="18"/>
          <w:vertAlign w:val="baseline"/>
        </w:rPr>
        <w:t> </w:t>
      </w:r>
      <w:r>
        <w:rPr>
          <w:color w:val="231F20"/>
          <w:sz w:val="18"/>
          <w:vertAlign w:val="baseline"/>
        </w:rPr>
        <w:t>пред- </w:t>
      </w:r>
      <w:r>
        <w:rPr>
          <w:color w:val="231F20"/>
          <w:spacing w:val="-2"/>
          <w:sz w:val="18"/>
          <w:vertAlign w:val="baseline"/>
        </w:rPr>
        <w:t>ложенная</w:t>
      </w:r>
      <w:r>
        <w:rPr>
          <w:color w:val="231F20"/>
          <w:spacing w:val="-10"/>
          <w:sz w:val="18"/>
          <w:vertAlign w:val="baseline"/>
        </w:rPr>
        <w:t> </w:t>
      </w:r>
      <w:r>
        <w:rPr>
          <w:color w:val="231F20"/>
          <w:spacing w:val="-2"/>
          <w:sz w:val="18"/>
          <w:vertAlign w:val="baseline"/>
        </w:rPr>
        <w:t>А.А.</w:t>
      </w:r>
      <w:r>
        <w:rPr>
          <w:color w:val="231F20"/>
          <w:spacing w:val="-9"/>
          <w:sz w:val="18"/>
          <w:vertAlign w:val="baseline"/>
        </w:rPr>
        <w:t> </w:t>
      </w:r>
      <w:r>
        <w:rPr>
          <w:color w:val="231F20"/>
          <w:spacing w:val="-2"/>
          <w:sz w:val="18"/>
          <w:vertAlign w:val="baseline"/>
        </w:rPr>
        <w:t>Ухтомским</w:t>
      </w:r>
      <w:r>
        <w:rPr>
          <w:color w:val="231F20"/>
          <w:spacing w:val="-9"/>
          <w:sz w:val="18"/>
          <w:vertAlign w:val="baseline"/>
        </w:rPr>
        <w:t> </w:t>
      </w:r>
      <w:r>
        <w:rPr>
          <w:color w:val="231F20"/>
          <w:spacing w:val="-2"/>
          <w:sz w:val="18"/>
          <w:vertAlign w:val="baseline"/>
        </w:rPr>
        <w:t>и</w:t>
      </w:r>
      <w:r>
        <w:rPr>
          <w:color w:val="231F20"/>
          <w:spacing w:val="-9"/>
          <w:sz w:val="18"/>
          <w:vertAlign w:val="baseline"/>
        </w:rPr>
        <w:t> </w:t>
      </w:r>
      <w:r>
        <w:rPr>
          <w:color w:val="231F20"/>
          <w:spacing w:val="-2"/>
          <w:sz w:val="18"/>
          <w:vertAlign w:val="baseline"/>
        </w:rPr>
        <w:t>развитая</w:t>
      </w:r>
      <w:r>
        <w:rPr>
          <w:color w:val="231F20"/>
          <w:spacing w:val="-10"/>
          <w:sz w:val="18"/>
          <w:vertAlign w:val="baseline"/>
        </w:rPr>
        <w:t> </w:t>
      </w:r>
      <w:r>
        <w:rPr>
          <w:color w:val="231F20"/>
          <w:spacing w:val="-2"/>
          <w:sz w:val="18"/>
          <w:vertAlign w:val="baseline"/>
        </w:rPr>
        <w:t>М.М.</w:t>
      </w:r>
      <w:r>
        <w:rPr>
          <w:color w:val="231F20"/>
          <w:spacing w:val="-9"/>
          <w:sz w:val="18"/>
          <w:vertAlign w:val="baseline"/>
        </w:rPr>
        <w:t> </w:t>
      </w:r>
      <w:r>
        <w:rPr>
          <w:color w:val="231F20"/>
          <w:spacing w:val="-2"/>
          <w:sz w:val="18"/>
          <w:vertAlign w:val="baseline"/>
        </w:rPr>
        <w:t>Бахтиным)</w:t>
      </w:r>
      <w:r>
        <w:rPr>
          <w:color w:val="231F20"/>
          <w:spacing w:val="-9"/>
          <w:sz w:val="18"/>
          <w:vertAlign w:val="baseline"/>
        </w:rPr>
        <w:t> </w:t>
      </w:r>
      <w:r>
        <w:rPr>
          <w:color w:val="231F20"/>
          <w:spacing w:val="-2"/>
          <w:sz w:val="18"/>
          <w:vertAlign w:val="baseline"/>
        </w:rPr>
        <w:t>во</w:t>
      </w:r>
      <w:r>
        <w:rPr>
          <w:color w:val="231F20"/>
          <w:spacing w:val="-9"/>
          <w:sz w:val="18"/>
          <w:vertAlign w:val="baseline"/>
        </w:rPr>
        <w:t> </w:t>
      </w:r>
      <w:r>
        <w:rPr>
          <w:color w:val="231F20"/>
          <w:spacing w:val="-2"/>
          <w:sz w:val="18"/>
          <w:vertAlign w:val="baseline"/>
        </w:rPr>
        <w:t>многом</w:t>
      </w:r>
      <w:r>
        <w:rPr>
          <w:color w:val="231F20"/>
          <w:spacing w:val="-10"/>
          <w:sz w:val="18"/>
          <w:vertAlign w:val="baseline"/>
        </w:rPr>
        <w:t> </w:t>
      </w:r>
      <w:r>
        <w:rPr>
          <w:color w:val="231F20"/>
          <w:spacing w:val="-2"/>
          <w:sz w:val="18"/>
          <w:vertAlign w:val="baseline"/>
        </w:rPr>
        <w:t>определяет</w:t>
      </w:r>
      <w:r>
        <w:rPr>
          <w:color w:val="231F20"/>
          <w:spacing w:val="-9"/>
          <w:sz w:val="18"/>
          <w:vertAlign w:val="baseline"/>
        </w:rPr>
        <w:t> </w:t>
      </w:r>
      <w:r>
        <w:rPr>
          <w:color w:val="231F20"/>
          <w:spacing w:val="-2"/>
          <w:sz w:val="18"/>
          <w:vertAlign w:val="baseline"/>
        </w:rPr>
        <w:t>логику</w:t>
      </w:r>
      <w:r>
        <w:rPr>
          <w:color w:val="231F20"/>
          <w:spacing w:val="-9"/>
          <w:sz w:val="18"/>
          <w:vertAlign w:val="baseline"/>
        </w:rPr>
        <w:t> </w:t>
      </w:r>
      <w:r>
        <w:rPr>
          <w:color w:val="231F20"/>
          <w:spacing w:val="-2"/>
          <w:sz w:val="18"/>
          <w:vertAlign w:val="baseline"/>
        </w:rPr>
        <w:t>построения </w:t>
      </w:r>
      <w:r>
        <w:rPr>
          <w:color w:val="231F20"/>
          <w:sz w:val="18"/>
          <w:vertAlign w:val="baseline"/>
        </w:rPr>
        <w:t>общей</w:t>
      </w:r>
      <w:r>
        <w:rPr>
          <w:color w:val="231F20"/>
          <w:spacing w:val="-6"/>
          <w:sz w:val="18"/>
          <w:vertAlign w:val="baseline"/>
        </w:rPr>
        <w:t> </w:t>
      </w:r>
      <w:r>
        <w:rPr>
          <w:color w:val="231F20"/>
          <w:sz w:val="18"/>
          <w:vertAlign w:val="baseline"/>
        </w:rPr>
        <w:t>программы</w:t>
      </w:r>
      <w:r>
        <w:rPr>
          <w:color w:val="231F20"/>
          <w:spacing w:val="-6"/>
          <w:sz w:val="18"/>
          <w:vertAlign w:val="baseline"/>
        </w:rPr>
        <w:t> </w:t>
      </w:r>
      <w:r>
        <w:rPr>
          <w:color w:val="231F20"/>
          <w:sz w:val="18"/>
          <w:vertAlign w:val="baseline"/>
        </w:rPr>
        <w:t>исследовательского</w:t>
      </w:r>
      <w:r>
        <w:rPr>
          <w:color w:val="231F20"/>
          <w:spacing w:val="-6"/>
          <w:sz w:val="18"/>
          <w:vertAlign w:val="baseline"/>
        </w:rPr>
        <w:t> </w:t>
      </w:r>
      <w:r>
        <w:rPr>
          <w:color w:val="231F20"/>
          <w:sz w:val="18"/>
          <w:vertAlign w:val="baseline"/>
        </w:rPr>
        <w:t>краеведения</w:t>
      </w:r>
      <w:r>
        <w:rPr>
          <w:color w:val="231F20"/>
          <w:spacing w:val="-6"/>
          <w:sz w:val="18"/>
          <w:vertAlign w:val="baseline"/>
        </w:rPr>
        <w:t> </w:t>
      </w:r>
      <w:r>
        <w:rPr>
          <w:color w:val="231F20"/>
          <w:sz w:val="18"/>
          <w:vertAlign w:val="baseline"/>
        </w:rPr>
        <w:t>и</w:t>
      </w:r>
      <w:r>
        <w:rPr>
          <w:color w:val="231F20"/>
          <w:spacing w:val="-6"/>
          <w:sz w:val="18"/>
          <w:vertAlign w:val="baseline"/>
        </w:rPr>
        <w:t> </w:t>
      </w:r>
      <w:r>
        <w:rPr>
          <w:color w:val="231F20"/>
          <w:sz w:val="18"/>
          <w:vertAlign w:val="baseline"/>
        </w:rPr>
        <w:t>всей</w:t>
      </w:r>
      <w:r>
        <w:rPr>
          <w:color w:val="231F20"/>
          <w:spacing w:val="-6"/>
          <w:sz w:val="18"/>
          <w:vertAlign w:val="baseline"/>
        </w:rPr>
        <w:t> </w:t>
      </w:r>
      <w:r>
        <w:rPr>
          <w:color w:val="231F20"/>
          <w:sz w:val="18"/>
          <w:vertAlign w:val="baseline"/>
        </w:rPr>
        <w:t>программы</w:t>
      </w:r>
      <w:r>
        <w:rPr>
          <w:color w:val="231F20"/>
          <w:spacing w:val="-6"/>
          <w:sz w:val="18"/>
          <w:vertAlign w:val="baseline"/>
        </w:rPr>
        <w:t> </w:t>
      </w:r>
      <w:r>
        <w:rPr>
          <w:color w:val="231F20"/>
          <w:sz w:val="18"/>
          <w:vertAlign w:val="baseline"/>
        </w:rPr>
        <w:t>«Топос.</w:t>
      </w:r>
      <w:r>
        <w:rPr>
          <w:color w:val="231F20"/>
          <w:spacing w:val="-6"/>
          <w:sz w:val="18"/>
          <w:vertAlign w:val="baseline"/>
        </w:rPr>
        <w:t> </w:t>
      </w:r>
      <w:r>
        <w:rPr>
          <w:color w:val="231F20"/>
          <w:sz w:val="18"/>
          <w:vertAlign w:val="baseline"/>
        </w:rPr>
        <w:t>Краеведение».</w:t>
      </w:r>
    </w:p>
    <w:p>
      <w:pPr>
        <w:spacing w:after="0" w:line="232" w:lineRule="auto"/>
        <w:jc w:val="both"/>
        <w:rPr>
          <w:sz w:val="18"/>
        </w:rPr>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firstLine="0"/>
      </w:pPr>
      <w:r>
        <w:rPr/>
        <w:t>рые, с одной стороны, сохраняют и усиливают ценность каждой культуры, находят возможности не разрушать, а учитывать культурные границы. А с другой стороны, соотнося</w:t>
      </w:r>
      <w:r>
        <w:rPr>
          <w:spacing w:val="-8"/>
        </w:rPr>
        <w:t> </w:t>
      </w:r>
      <w:r>
        <w:rPr/>
        <w:t>друг</w:t>
      </w:r>
      <w:r>
        <w:rPr>
          <w:spacing w:val="-8"/>
        </w:rPr>
        <w:t> </w:t>
      </w:r>
      <w:r>
        <w:rPr/>
        <w:t>с</w:t>
      </w:r>
      <w:r>
        <w:rPr>
          <w:spacing w:val="-8"/>
        </w:rPr>
        <w:t> </w:t>
      </w:r>
      <w:r>
        <w:rPr/>
        <w:t>другом</w:t>
      </w:r>
      <w:r>
        <w:rPr>
          <w:spacing w:val="-8"/>
        </w:rPr>
        <w:t> </w:t>
      </w:r>
      <w:r>
        <w:rPr/>
        <w:t>факты</w:t>
      </w:r>
      <w:r>
        <w:rPr>
          <w:spacing w:val="-8"/>
        </w:rPr>
        <w:t> </w:t>
      </w:r>
      <w:r>
        <w:rPr/>
        <w:t>и</w:t>
      </w:r>
      <w:r>
        <w:rPr>
          <w:spacing w:val="-8"/>
        </w:rPr>
        <w:t> </w:t>
      </w:r>
      <w:r>
        <w:rPr/>
        <w:t>наблюдаемые</w:t>
      </w:r>
      <w:r>
        <w:rPr>
          <w:spacing w:val="-8"/>
        </w:rPr>
        <w:t> </w:t>
      </w:r>
      <w:r>
        <w:rPr/>
        <w:t>проявления,</w:t>
      </w:r>
      <w:r>
        <w:rPr>
          <w:spacing w:val="-8"/>
        </w:rPr>
        <w:t> </w:t>
      </w:r>
      <w:r>
        <w:rPr/>
        <w:t>выстраивать</w:t>
      </w:r>
      <w:r>
        <w:rPr>
          <w:spacing w:val="-8"/>
        </w:rPr>
        <w:t> </w:t>
      </w:r>
      <w:r>
        <w:rPr/>
        <w:t>диалог</w:t>
      </w:r>
      <w:r>
        <w:rPr>
          <w:spacing w:val="-8"/>
        </w:rPr>
        <w:t> </w:t>
      </w:r>
      <w:r>
        <w:rPr/>
        <w:t>куль- тур, взаимно обогащая друг друга.</w:t>
      </w:r>
    </w:p>
    <w:p>
      <w:pPr>
        <w:pStyle w:val="BodyText"/>
        <w:spacing w:line="235" w:lineRule="auto" w:before="2"/>
      </w:pPr>
      <w:r>
        <w:rPr/>
        <w:t>В</w:t>
      </w:r>
      <w:r>
        <w:rPr>
          <w:spacing w:val="-2"/>
        </w:rPr>
        <w:t> </w:t>
      </w:r>
      <w:r>
        <w:rPr/>
        <w:t>этом</w:t>
      </w:r>
      <w:r>
        <w:rPr>
          <w:spacing w:val="-2"/>
        </w:rPr>
        <w:t> </w:t>
      </w:r>
      <w:r>
        <w:rPr/>
        <w:t>контексте</w:t>
      </w:r>
      <w:r>
        <w:rPr>
          <w:spacing w:val="-2"/>
        </w:rPr>
        <w:t> </w:t>
      </w:r>
      <w:r>
        <w:rPr/>
        <w:t>любые</w:t>
      </w:r>
      <w:r>
        <w:rPr>
          <w:spacing w:val="-2"/>
        </w:rPr>
        <w:t> </w:t>
      </w:r>
      <w:r>
        <w:rPr/>
        <w:t>практики</w:t>
      </w:r>
      <w:r>
        <w:rPr>
          <w:spacing w:val="-2"/>
        </w:rPr>
        <w:t> </w:t>
      </w:r>
      <w:r>
        <w:rPr/>
        <w:t>и</w:t>
      </w:r>
      <w:r>
        <w:rPr>
          <w:spacing w:val="-2"/>
        </w:rPr>
        <w:t> </w:t>
      </w:r>
      <w:r>
        <w:rPr/>
        <w:t>конкретный</w:t>
      </w:r>
      <w:r>
        <w:rPr>
          <w:spacing w:val="-2"/>
        </w:rPr>
        <w:t> </w:t>
      </w:r>
      <w:r>
        <w:rPr/>
        <w:t>контент</w:t>
      </w:r>
      <w:r>
        <w:rPr>
          <w:spacing w:val="-2"/>
        </w:rPr>
        <w:t> </w:t>
      </w:r>
      <w:r>
        <w:rPr/>
        <w:t>краеведческой</w:t>
      </w:r>
      <w:r>
        <w:rPr>
          <w:spacing w:val="-2"/>
        </w:rPr>
        <w:t> </w:t>
      </w:r>
      <w:r>
        <w:rPr/>
        <w:t>деятель- ности может строиться по нескольким взаимосвязанным векторам.</w:t>
      </w:r>
    </w:p>
    <w:p>
      <w:pPr>
        <w:pStyle w:val="ListParagraph"/>
        <w:numPr>
          <w:ilvl w:val="0"/>
          <w:numId w:val="155"/>
        </w:numPr>
        <w:tabs>
          <w:tab w:pos="425" w:val="left" w:leader="none"/>
        </w:tabs>
        <w:spacing w:line="235" w:lineRule="auto" w:before="1" w:after="0"/>
        <w:ind w:left="425" w:right="139" w:hanging="284"/>
        <w:jc w:val="both"/>
        <w:rPr>
          <w:sz w:val="20"/>
        </w:rPr>
      </w:pPr>
      <w:r>
        <w:rPr>
          <w:sz w:val="20"/>
        </w:rPr>
        <w:t>Исследовательское и поисковое знакомство с новым местом проживания: дети- мигранты узнают больше о хронотопе, в который они попали (как называются</w:t>
      </w:r>
      <w:r>
        <w:rPr>
          <w:spacing w:val="80"/>
          <w:sz w:val="20"/>
        </w:rPr>
        <w:t> </w:t>
      </w:r>
      <w:r>
        <w:rPr>
          <w:sz w:val="20"/>
        </w:rPr>
        <w:t>те или иные места, улицы, районы, где они теперь проживают; какова история появления, развития культурного ландшафта нового места проживания, история людей</w:t>
      </w:r>
      <w:r>
        <w:rPr>
          <w:spacing w:val="-5"/>
          <w:sz w:val="20"/>
        </w:rPr>
        <w:t> </w:t>
      </w:r>
      <w:r>
        <w:rPr>
          <w:sz w:val="20"/>
        </w:rPr>
        <w:t>и</w:t>
      </w:r>
      <w:r>
        <w:rPr>
          <w:spacing w:val="-5"/>
          <w:sz w:val="20"/>
        </w:rPr>
        <w:t> </w:t>
      </w:r>
      <w:r>
        <w:rPr>
          <w:sz w:val="20"/>
        </w:rPr>
        <w:t>события,</w:t>
      </w:r>
      <w:r>
        <w:rPr>
          <w:spacing w:val="-5"/>
          <w:sz w:val="20"/>
        </w:rPr>
        <w:t> </w:t>
      </w:r>
      <w:r>
        <w:rPr>
          <w:sz w:val="20"/>
        </w:rPr>
        <w:t>связанные</w:t>
      </w:r>
      <w:r>
        <w:rPr>
          <w:spacing w:val="-5"/>
          <w:sz w:val="20"/>
        </w:rPr>
        <w:t> </w:t>
      </w:r>
      <w:r>
        <w:rPr>
          <w:sz w:val="20"/>
        </w:rPr>
        <w:t>с</w:t>
      </w:r>
      <w:r>
        <w:rPr>
          <w:spacing w:val="-5"/>
          <w:sz w:val="20"/>
        </w:rPr>
        <w:t> </w:t>
      </w:r>
      <w:r>
        <w:rPr>
          <w:sz w:val="20"/>
        </w:rPr>
        <w:t>этим</w:t>
      </w:r>
      <w:r>
        <w:rPr>
          <w:spacing w:val="-5"/>
          <w:sz w:val="20"/>
        </w:rPr>
        <w:t> </w:t>
      </w:r>
      <w:r>
        <w:rPr>
          <w:sz w:val="20"/>
        </w:rPr>
        <w:t>местом;</w:t>
      </w:r>
      <w:r>
        <w:rPr>
          <w:spacing w:val="-5"/>
          <w:sz w:val="20"/>
        </w:rPr>
        <w:t> </w:t>
      </w:r>
      <w:r>
        <w:rPr>
          <w:sz w:val="20"/>
        </w:rPr>
        <w:t>наблюдают</w:t>
      </w:r>
      <w:r>
        <w:rPr>
          <w:spacing w:val="-5"/>
          <w:sz w:val="20"/>
        </w:rPr>
        <w:t> </w:t>
      </w:r>
      <w:r>
        <w:rPr>
          <w:sz w:val="20"/>
        </w:rPr>
        <w:t>и</w:t>
      </w:r>
      <w:r>
        <w:rPr>
          <w:spacing w:val="-5"/>
          <w:sz w:val="20"/>
        </w:rPr>
        <w:t> </w:t>
      </w:r>
      <w:r>
        <w:rPr>
          <w:sz w:val="20"/>
        </w:rPr>
        <w:t>исследуют</w:t>
      </w:r>
      <w:r>
        <w:rPr>
          <w:spacing w:val="-5"/>
          <w:sz w:val="20"/>
        </w:rPr>
        <w:t> </w:t>
      </w:r>
      <w:r>
        <w:rPr>
          <w:sz w:val="20"/>
        </w:rPr>
        <w:t>своеобразие природного ландшафта, климатические особенности нового места и др.).</w:t>
      </w:r>
    </w:p>
    <w:p>
      <w:pPr>
        <w:pStyle w:val="ListParagraph"/>
        <w:numPr>
          <w:ilvl w:val="0"/>
          <w:numId w:val="155"/>
        </w:numPr>
        <w:tabs>
          <w:tab w:pos="425" w:val="left" w:leader="none"/>
        </w:tabs>
        <w:spacing w:line="235" w:lineRule="auto" w:before="4" w:after="0"/>
        <w:ind w:left="425" w:right="139" w:hanging="284"/>
        <w:jc w:val="both"/>
        <w:rPr>
          <w:sz w:val="20"/>
        </w:rPr>
      </w:pPr>
      <w:r>
        <w:rPr>
          <w:sz w:val="20"/>
        </w:rPr>
        <w:t>При знакомстве с новым для себя местом дети-мигранты сопоставляют узнавае- мые</w:t>
      </w:r>
      <w:r>
        <w:rPr>
          <w:spacing w:val="-8"/>
          <w:sz w:val="20"/>
        </w:rPr>
        <w:t> </w:t>
      </w:r>
      <w:r>
        <w:rPr>
          <w:sz w:val="20"/>
        </w:rPr>
        <w:t>факты</w:t>
      </w:r>
      <w:r>
        <w:rPr>
          <w:spacing w:val="-8"/>
          <w:sz w:val="20"/>
        </w:rPr>
        <w:t> </w:t>
      </w:r>
      <w:r>
        <w:rPr>
          <w:sz w:val="20"/>
        </w:rPr>
        <w:t>с</w:t>
      </w:r>
      <w:r>
        <w:rPr>
          <w:spacing w:val="-8"/>
          <w:sz w:val="20"/>
        </w:rPr>
        <w:t> </w:t>
      </w:r>
      <w:r>
        <w:rPr>
          <w:sz w:val="20"/>
        </w:rPr>
        <w:t>теми,</w:t>
      </w:r>
      <w:r>
        <w:rPr>
          <w:spacing w:val="-8"/>
          <w:sz w:val="20"/>
        </w:rPr>
        <w:t> </w:t>
      </w:r>
      <w:r>
        <w:rPr>
          <w:sz w:val="20"/>
        </w:rPr>
        <w:t>что</w:t>
      </w:r>
      <w:r>
        <w:rPr>
          <w:spacing w:val="-8"/>
          <w:sz w:val="20"/>
        </w:rPr>
        <w:t> </w:t>
      </w:r>
      <w:r>
        <w:rPr>
          <w:sz w:val="20"/>
        </w:rPr>
        <w:t>связаны</w:t>
      </w:r>
      <w:r>
        <w:rPr>
          <w:spacing w:val="-8"/>
          <w:sz w:val="20"/>
        </w:rPr>
        <w:t> </w:t>
      </w:r>
      <w:r>
        <w:rPr>
          <w:sz w:val="20"/>
        </w:rPr>
        <w:t>с</w:t>
      </w:r>
      <w:r>
        <w:rPr>
          <w:spacing w:val="-8"/>
          <w:sz w:val="20"/>
        </w:rPr>
        <w:t> </w:t>
      </w:r>
      <w:r>
        <w:rPr>
          <w:sz w:val="20"/>
        </w:rPr>
        <w:t>исторической</w:t>
      </w:r>
      <w:r>
        <w:rPr>
          <w:spacing w:val="-8"/>
          <w:sz w:val="20"/>
        </w:rPr>
        <w:t> </w:t>
      </w:r>
      <w:r>
        <w:rPr>
          <w:sz w:val="20"/>
        </w:rPr>
        <w:t>родиной</w:t>
      </w:r>
      <w:r>
        <w:rPr>
          <w:spacing w:val="-8"/>
          <w:sz w:val="20"/>
        </w:rPr>
        <w:t> </w:t>
      </w:r>
      <w:r>
        <w:rPr>
          <w:sz w:val="20"/>
        </w:rPr>
        <w:t>или</w:t>
      </w:r>
      <w:r>
        <w:rPr>
          <w:spacing w:val="-8"/>
          <w:sz w:val="20"/>
        </w:rPr>
        <w:t> </w:t>
      </w:r>
      <w:r>
        <w:rPr>
          <w:sz w:val="20"/>
        </w:rPr>
        <w:t>местом</w:t>
      </w:r>
      <w:r>
        <w:rPr>
          <w:spacing w:val="-8"/>
          <w:sz w:val="20"/>
        </w:rPr>
        <w:t> </w:t>
      </w:r>
      <w:r>
        <w:rPr>
          <w:sz w:val="20"/>
        </w:rPr>
        <w:t>предыдущего проживания; рассказывают об этом другим детям, предоставляя им информацию по истории, культуре, природе.</w:t>
      </w:r>
    </w:p>
    <w:p>
      <w:pPr>
        <w:pStyle w:val="ListParagraph"/>
        <w:numPr>
          <w:ilvl w:val="0"/>
          <w:numId w:val="155"/>
        </w:numPr>
        <w:tabs>
          <w:tab w:pos="425" w:val="left" w:leader="none"/>
        </w:tabs>
        <w:spacing w:line="235" w:lineRule="auto" w:before="3" w:after="0"/>
        <w:ind w:left="425" w:right="139" w:hanging="284"/>
        <w:jc w:val="both"/>
        <w:rPr>
          <w:sz w:val="20"/>
        </w:rPr>
      </w:pPr>
      <w:r>
        <w:rPr>
          <w:sz w:val="20"/>
        </w:rPr>
        <w:t>Деятельность</w:t>
      </w:r>
      <w:r>
        <w:rPr>
          <w:spacing w:val="-13"/>
          <w:sz w:val="20"/>
        </w:rPr>
        <w:t> </w:t>
      </w:r>
      <w:r>
        <w:rPr>
          <w:sz w:val="20"/>
        </w:rPr>
        <w:t>в</w:t>
      </w:r>
      <w:r>
        <w:rPr>
          <w:spacing w:val="-12"/>
          <w:sz w:val="20"/>
        </w:rPr>
        <w:t> </w:t>
      </w:r>
      <w:r>
        <w:rPr>
          <w:sz w:val="20"/>
        </w:rPr>
        <w:t>поликультурных</w:t>
      </w:r>
      <w:r>
        <w:rPr>
          <w:spacing w:val="-13"/>
          <w:sz w:val="20"/>
        </w:rPr>
        <w:t> </w:t>
      </w:r>
      <w:r>
        <w:rPr>
          <w:sz w:val="20"/>
        </w:rPr>
        <w:t>микрогруппах</w:t>
      </w:r>
      <w:r>
        <w:rPr>
          <w:spacing w:val="-12"/>
          <w:sz w:val="20"/>
        </w:rPr>
        <w:t> </w:t>
      </w:r>
      <w:r>
        <w:rPr>
          <w:sz w:val="20"/>
        </w:rPr>
        <w:t>выстраивается</w:t>
      </w:r>
      <w:r>
        <w:rPr>
          <w:spacing w:val="-13"/>
          <w:sz w:val="20"/>
        </w:rPr>
        <w:t> </w:t>
      </w:r>
      <w:r>
        <w:rPr>
          <w:sz w:val="20"/>
        </w:rPr>
        <w:t>вокруг</w:t>
      </w:r>
      <w:r>
        <w:rPr>
          <w:spacing w:val="-12"/>
          <w:sz w:val="20"/>
        </w:rPr>
        <w:t> </w:t>
      </w:r>
      <w:r>
        <w:rPr>
          <w:sz w:val="20"/>
        </w:rPr>
        <w:t>конкретных тем</w:t>
      </w:r>
      <w:r>
        <w:rPr>
          <w:spacing w:val="-8"/>
          <w:sz w:val="20"/>
        </w:rPr>
        <w:t> </w:t>
      </w:r>
      <w:r>
        <w:rPr>
          <w:sz w:val="20"/>
        </w:rPr>
        <w:t>или</w:t>
      </w:r>
      <w:r>
        <w:rPr>
          <w:spacing w:val="-8"/>
          <w:sz w:val="20"/>
        </w:rPr>
        <w:t> </w:t>
      </w:r>
      <w:r>
        <w:rPr>
          <w:sz w:val="20"/>
        </w:rPr>
        <w:t>проблем,</w:t>
      </w:r>
      <w:r>
        <w:rPr>
          <w:spacing w:val="-8"/>
          <w:sz w:val="20"/>
        </w:rPr>
        <w:t> </w:t>
      </w:r>
      <w:r>
        <w:rPr>
          <w:sz w:val="20"/>
        </w:rPr>
        <w:t>когда</w:t>
      </w:r>
      <w:r>
        <w:rPr>
          <w:spacing w:val="-8"/>
          <w:sz w:val="20"/>
        </w:rPr>
        <w:t> </w:t>
      </w:r>
      <w:r>
        <w:rPr>
          <w:sz w:val="20"/>
        </w:rPr>
        <w:t>интересно</w:t>
      </w:r>
      <w:r>
        <w:rPr>
          <w:spacing w:val="-8"/>
          <w:sz w:val="20"/>
        </w:rPr>
        <w:t> </w:t>
      </w:r>
      <w:r>
        <w:rPr>
          <w:sz w:val="20"/>
        </w:rPr>
        <w:t>межкультурное</w:t>
      </w:r>
      <w:r>
        <w:rPr>
          <w:spacing w:val="-8"/>
          <w:sz w:val="20"/>
        </w:rPr>
        <w:t> </w:t>
      </w:r>
      <w:r>
        <w:rPr>
          <w:sz w:val="20"/>
        </w:rPr>
        <w:t>соотнесение,</w:t>
      </w:r>
      <w:r>
        <w:rPr>
          <w:spacing w:val="-8"/>
          <w:sz w:val="20"/>
        </w:rPr>
        <w:t> </w:t>
      </w:r>
      <w:r>
        <w:rPr>
          <w:sz w:val="20"/>
        </w:rPr>
        <w:t>например,</w:t>
      </w:r>
      <w:r>
        <w:rPr>
          <w:spacing w:val="-8"/>
          <w:sz w:val="20"/>
        </w:rPr>
        <w:t> </w:t>
      </w:r>
      <w:r>
        <w:rPr>
          <w:sz w:val="20"/>
        </w:rPr>
        <w:t>семей- ных</w:t>
      </w:r>
      <w:r>
        <w:rPr>
          <w:spacing w:val="-11"/>
          <w:sz w:val="20"/>
        </w:rPr>
        <w:t> </w:t>
      </w:r>
      <w:r>
        <w:rPr>
          <w:sz w:val="20"/>
        </w:rPr>
        <w:t>историй</w:t>
      </w:r>
      <w:r>
        <w:rPr>
          <w:spacing w:val="-11"/>
          <w:sz w:val="20"/>
        </w:rPr>
        <w:t> </w:t>
      </w:r>
      <w:r>
        <w:rPr>
          <w:sz w:val="20"/>
        </w:rPr>
        <w:t>и</w:t>
      </w:r>
      <w:r>
        <w:rPr>
          <w:spacing w:val="-11"/>
          <w:sz w:val="20"/>
        </w:rPr>
        <w:t> </w:t>
      </w:r>
      <w:r>
        <w:rPr>
          <w:sz w:val="20"/>
        </w:rPr>
        <w:t>традиций,</w:t>
      </w:r>
      <w:r>
        <w:rPr>
          <w:spacing w:val="-11"/>
          <w:sz w:val="20"/>
        </w:rPr>
        <w:t> </w:t>
      </w:r>
      <w:r>
        <w:rPr>
          <w:sz w:val="20"/>
        </w:rPr>
        <w:t>интересных</w:t>
      </w:r>
      <w:r>
        <w:rPr>
          <w:spacing w:val="-11"/>
          <w:sz w:val="20"/>
        </w:rPr>
        <w:t> </w:t>
      </w:r>
      <w:r>
        <w:rPr>
          <w:sz w:val="20"/>
        </w:rPr>
        <w:t>этнографических</w:t>
      </w:r>
      <w:r>
        <w:rPr>
          <w:spacing w:val="-11"/>
          <w:sz w:val="20"/>
        </w:rPr>
        <w:t> </w:t>
      </w:r>
      <w:r>
        <w:rPr>
          <w:sz w:val="20"/>
        </w:rPr>
        <w:t>артефактов,</w:t>
      </w:r>
      <w:r>
        <w:rPr>
          <w:spacing w:val="-11"/>
          <w:sz w:val="20"/>
        </w:rPr>
        <w:t> </w:t>
      </w:r>
      <w:r>
        <w:rPr>
          <w:sz w:val="20"/>
        </w:rPr>
        <w:t>обычаев,</w:t>
      </w:r>
      <w:r>
        <w:rPr>
          <w:spacing w:val="-12"/>
          <w:sz w:val="20"/>
        </w:rPr>
        <w:t> </w:t>
      </w:r>
      <w:r>
        <w:rPr>
          <w:sz w:val="20"/>
        </w:rPr>
        <w:t>при- мет, особенностей восприятия тех или иных явлений и др. Интересно показать культурную вариативность праздничной и обыденной жизни разных этнических и социальных групп.</w:t>
      </w:r>
    </w:p>
    <w:p>
      <w:pPr>
        <w:pStyle w:val="BodyText"/>
        <w:spacing w:line="235" w:lineRule="auto" w:before="3"/>
      </w:pPr>
      <w:r>
        <w:rPr/>
        <w:t>При этом важно использовать современные инструменты и методы, в том числе цифровые,</w:t>
      </w:r>
      <w:r>
        <w:rPr>
          <w:spacing w:val="-7"/>
        </w:rPr>
        <w:t> </w:t>
      </w:r>
      <w:r>
        <w:rPr/>
        <w:t>работа</w:t>
      </w:r>
      <w:r>
        <w:rPr>
          <w:spacing w:val="-7"/>
        </w:rPr>
        <w:t> </w:t>
      </w:r>
      <w:r>
        <w:rPr/>
        <w:t>с</w:t>
      </w:r>
      <w:r>
        <w:rPr>
          <w:spacing w:val="-7"/>
        </w:rPr>
        <w:t> </w:t>
      </w:r>
      <w:r>
        <w:rPr/>
        <w:t>которыми</w:t>
      </w:r>
      <w:r>
        <w:rPr>
          <w:spacing w:val="-8"/>
        </w:rPr>
        <w:t> </w:t>
      </w:r>
      <w:r>
        <w:rPr/>
        <w:t>была</w:t>
      </w:r>
      <w:r>
        <w:rPr>
          <w:spacing w:val="-7"/>
        </w:rPr>
        <w:t> </w:t>
      </w:r>
      <w:r>
        <w:rPr/>
        <w:t>бы</w:t>
      </w:r>
      <w:r>
        <w:rPr>
          <w:spacing w:val="-7"/>
        </w:rPr>
        <w:t> </w:t>
      </w:r>
      <w:r>
        <w:rPr/>
        <w:t>одинаково</w:t>
      </w:r>
      <w:r>
        <w:rPr>
          <w:spacing w:val="-7"/>
        </w:rPr>
        <w:t> </w:t>
      </w:r>
      <w:r>
        <w:rPr/>
        <w:t>увлекательна</w:t>
      </w:r>
      <w:r>
        <w:rPr>
          <w:spacing w:val="-7"/>
        </w:rPr>
        <w:t> </w:t>
      </w:r>
      <w:r>
        <w:rPr/>
        <w:t>для</w:t>
      </w:r>
      <w:r>
        <w:rPr>
          <w:spacing w:val="-7"/>
        </w:rPr>
        <w:t> </w:t>
      </w:r>
      <w:r>
        <w:rPr/>
        <w:t>всех</w:t>
      </w:r>
      <w:r>
        <w:rPr>
          <w:spacing w:val="-7"/>
        </w:rPr>
        <w:t> </w:t>
      </w:r>
      <w:r>
        <w:rPr/>
        <w:t>участников.</w:t>
      </w:r>
    </w:p>
    <w:p>
      <w:pPr>
        <w:spacing w:line="228" w:lineRule="exact" w:before="111"/>
        <w:ind w:left="425" w:right="0" w:firstLine="0"/>
        <w:jc w:val="both"/>
        <w:rPr>
          <w:b/>
          <w:i/>
          <w:sz w:val="20"/>
        </w:rPr>
      </w:pPr>
      <w:r>
        <w:rPr>
          <w:b/>
          <w:i/>
          <w:color w:val="231F20"/>
          <w:sz w:val="20"/>
        </w:rPr>
        <w:t>Современный</w:t>
      </w:r>
      <w:r>
        <w:rPr>
          <w:b/>
          <w:i/>
          <w:color w:val="231F20"/>
          <w:spacing w:val="-15"/>
          <w:sz w:val="20"/>
        </w:rPr>
        <w:t> </w:t>
      </w:r>
      <w:r>
        <w:rPr>
          <w:b/>
          <w:i/>
          <w:color w:val="231F20"/>
          <w:sz w:val="20"/>
        </w:rPr>
        <w:t>инструментарий</w:t>
      </w:r>
      <w:r>
        <w:rPr>
          <w:b/>
          <w:i/>
          <w:color w:val="231F20"/>
          <w:spacing w:val="-12"/>
          <w:sz w:val="20"/>
        </w:rPr>
        <w:t> </w:t>
      </w:r>
      <w:r>
        <w:rPr>
          <w:b/>
          <w:i/>
          <w:color w:val="231F20"/>
          <w:sz w:val="20"/>
        </w:rPr>
        <w:t>в</w:t>
      </w:r>
      <w:r>
        <w:rPr>
          <w:b/>
          <w:i/>
          <w:color w:val="231F20"/>
          <w:spacing w:val="-11"/>
          <w:sz w:val="20"/>
        </w:rPr>
        <w:t> </w:t>
      </w:r>
      <w:r>
        <w:rPr>
          <w:b/>
          <w:i/>
          <w:color w:val="231F20"/>
          <w:sz w:val="20"/>
        </w:rPr>
        <w:t>школьном</w:t>
      </w:r>
      <w:r>
        <w:rPr>
          <w:b/>
          <w:i/>
          <w:color w:val="231F20"/>
          <w:spacing w:val="-12"/>
          <w:sz w:val="20"/>
        </w:rPr>
        <w:t> </w:t>
      </w:r>
      <w:r>
        <w:rPr>
          <w:b/>
          <w:i/>
          <w:color w:val="231F20"/>
          <w:spacing w:val="-2"/>
          <w:sz w:val="20"/>
        </w:rPr>
        <w:t>краеведении</w:t>
      </w:r>
    </w:p>
    <w:p>
      <w:pPr>
        <w:pStyle w:val="BodyText"/>
        <w:spacing w:line="235" w:lineRule="auto" w:before="2"/>
      </w:pPr>
      <w:r>
        <w:rPr>
          <w:color w:val="231F20"/>
        </w:rPr>
        <w:t>В повседневную жизнь почти каждого школьника вошли новые цифровые ин- струменты,</w:t>
      </w:r>
      <w:r>
        <w:rPr>
          <w:color w:val="231F20"/>
          <w:spacing w:val="-7"/>
        </w:rPr>
        <w:t> </w:t>
      </w:r>
      <w:r>
        <w:rPr>
          <w:color w:val="231F20"/>
        </w:rPr>
        <w:t>гаджеты,</w:t>
      </w:r>
      <w:r>
        <w:rPr>
          <w:color w:val="231F20"/>
          <w:spacing w:val="-7"/>
        </w:rPr>
        <w:t> </w:t>
      </w:r>
      <w:r>
        <w:rPr>
          <w:color w:val="231F20"/>
        </w:rPr>
        <w:t>которые</w:t>
      </w:r>
      <w:r>
        <w:rPr>
          <w:color w:val="231F20"/>
          <w:spacing w:val="-7"/>
        </w:rPr>
        <w:t> </w:t>
      </w:r>
      <w:r>
        <w:rPr>
          <w:color w:val="231F20"/>
        </w:rPr>
        <w:t>сделали</w:t>
      </w:r>
      <w:r>
        <w:rPr>
          <w:color w:val="231F20"/>
          <w:spacing w:val="-7"/>
        </w:rPr>
        <w:t> </w:t>
      </w:r>
      <w:r>
        <w:rPr>
          <w:color w:val="231F20"/>
        </w:rPr>
        <w:t>доступной</w:t>
      </w:r>
      <w:r>
        <w:rPr>
          <w:color w:val="231F20"/>
          <w:spacing w:val="-7"/>
        </w:rPr>
        <w:t> </w:t>
      </w:r>
      <w:r>
        <w:rPr>
          <w:color w:val="231F20"/>
        </w:rPr>
        <w:t>возможность</w:t>
      </w:r>
      <w:r>
        <w:rPr>
          <w:color w:val="231F20"/>
          <w:spacing w:val="-7"/>
        </w:rPr>
        <w:t> </w:t>
      </w:r>
      <w:r>
        <w:rPr>
          <w:color w:val="231F20"/>
        </w:rPr>
        <w:t>разнообразной</w:t>
      </w:r>
      <w:r>
        <w:rPr>
          <w:color w:val="231F20"/>
          <w:spacing w:val="-7"/>
        </w:rPr>
        <w:t> </w:t>
      </w:r>
      <w:r>
        <w:rPr>
          <w:color w:val="231F20"/>
        </w:rPr>
        <w:t>фото-, видео-,</w:t>
      </w:r>
      <w:r>
        <w:rPr>
          <w:color w:val="231F20"/>
          <w:spacing w:val="-2"/>
        </w:rPr>
        <w:t> </w:t>
      </w:r>
      <w:r>
        <w:rPr>
          <w:color w:val="231F20"/>
        </w:rPr>
        <w:t>аудио-</w:t>
      </w:r>
      <w:r>
        <w:rPr>
          <w:color w:val="231F20"/>
          <w:spacing w:val="-2"/>
        </w:rPr>
        <w:t> </w:t>
      </w:r>
      <w:r>
        <w:rPr>
          <w:color w:val="231F20"/>
        </w:rPr>
        <w:t>и</w:t>
      </w:r>
      <w:r>
        <w:rPr>
          <w:color w:val="231F20"/>
          <w:spacing w:val="-2"/>
        </w:rPr>
        <w:t> </w:t>
      </w:r>
      <w:r>
        <w:rPr>
          <w:color w:val="231F20"/>
        </w:rPr>
        <w:t>текстовой</w:t>
      </w:r>
      <w:r>
        <w:rPr>
          <w:color w:val="231F20"/>
          <w:spacing w:val="-2"/>
        </w:rPr>
        <w:t> </w:t>
      </w:r>
      <w:r>
        <w:rPr>
          <w:color w:val="231F20"/>
        </w:rPr>
        <w:t>фиксации</w:t>
      </w:r>
      <w:r>
        <w:rPr>
          <w:color w:val="231F20"/>
          <w:spacing w:val="-2"/>
        </w:rPr>
        <w:t> </w:t>
      </w:r>
      <w:r>
        <w:rPr>
          <w:color w:val="231F20"/>
        </w:rPr>
        <w:t>данных,</w:t>
      </w:r>
      <w:r>
        <w:rPr>
          <w:color w:val="231F20"/>
          <w:spacing w:val="-2"/>
        </w:rPr>
        <w:t> </w:t>
      </w:r>
      <w:r>
        <w:rPr>
          <w:color w:val="231F20"/>
        </w:rPr>
        <w:t>систематизации</w:t>
      </w:r>
      <w:r>
        <w:rPr>
          <w:color w:val="231F20"/>
          <w:spacing w:val="-2"/>
        </w:rPr>
        <w:t> </w:t>
      </w:r>
      <w:r>
        <w:rPr>
          <w:color w:val="231F20"/>
        </w:rPr>
        <w:t>и</w:t>
      </w:r>
      <w:r>
        <w:rPr>
          <w:color w:val="231F20"/>
          <w:spacing w:val="-2"/>
        </w:rPr>
        <w:t> </w:t>
      </w:r>
      <w:r>
        <w:rPr>
          <w:color w:val="231F20"/>
        </w:rPr>
        <w:t>обработки</w:t>
      </w:r>
      <w:r>
        <w:rPr>
          <w:color w:val="231F20"/>
          <w:spacing w:val="-2"/>
        </w:rPr>
        <w:t> </w:t>
      </w:r>
      <w:r>
        <w:rPr>
          <w:color w:val="231F20"/>
        </w:rPr>
        <w:t>этих</w:t>
      </w:r>
      <w:r>
        <w:rPr>
          <w:color w:val="231F20"/>
          <w:spacing w:val="-2"/>
        </w:rPr>
        <w:t> </w:t>
      </w:r>
      <w:r>
        <w:rPr>
          <w:color w:val="231F20"/>
        </w:rPr>
        <w:t>дан- ных. Существуют разнообразные форматы сбора фактов, их представления, а также обсуждения</w:t>
      </w:r>
      <w:r>
        <w:rPr>
          <w:color w:val="231F20"/>
          <w:spacing w:val="-2"/>
        </w:rPr>
        <w:t> </w:t>
      </w:r>
      <w:r>
        <w:rPr>
          <w:color w:val="231F20"/>
        </w:rPr>
        <w:t>результатов</w:t>
      </w:r>
      <w:r>
        <w:rPr>
          <w:color w:val="231F20"/>
          <w:spacing w:val="-2"/>
        </w:rPr>
        <w:t> </w:t>
      </w:r>
      <w:r>
        <w:rPr>
          <w:color w:val="231F20"/>
        </w:rPr>
        <w:t>собственных</w:t>
      </w:r>
      <w:r>
        <w:rPr>
          <w:color w:val="231F20"/>
          <w:spacing w:val="-2"/>
        </w:rPr>
        <w:t> </w:t>
      </w:r>
      <w:r>
        <w:rPr>
          <w:color w:val="231F20"/>
        </w:rPr>
        <w:t>исследований</w:t>
      </w:r>
      <w:r>
        <w:rPr>
          <w:color w:val="231F20"/>
          <w:spacing w:val="-2"/>
        </w:rPr>
        <w:t> </w:t>
      </w:r>
      <w:r>
        <w:rPr>
          <w:color w:val="231F20"/>
        </w:rPr>
        <w:t>или</w:t>
      </w:r>
      <w:r>
        <w:rPr>
          <w:color w:val="231F20"/>
          <w:spacing w:val="-2"/>
        </w:rPr>
        <w:t> </w:t>
      </w:r>
      <w:r>
        <w:rPr>
          <w:color w:val="231F20"/>
        </w:rPr>
        <w:t>проектов.</w:t>
      </w:r>
      <w:r>
        <w:rPr>
          <w:color w:val="231F20"/>
          <w:spacing w:val="-2"/>
        </w:rPr>
        <w:t> </w:t>
      </w:r>
      <w:r>
        <w:rPr>
          <w:color w:val="231F20"/>
        </w:rPr>
        <w:t>Расширяется</w:t>
      </w:r>
      <w:r>
        <w:rPr>
          <w:color w:val="231F20"/>
          <w:spacing w:val="-2"/>
        </w:rPr>
        <w:t> </w:t>
      </w:r>
      <w:r>
        <w:rPr>
          <w:color w:val="231F20"/>
        </w:rPr>
        <w:t>раз- нообразие</w:t>
      </w:r>
      <w:r>
        <w:rPr>
          <w:color w:val="231F20"/>
          <w:spacing w:val="-7"/>
        </w:rPr>
        <w:t> </w:t>
      </w:r>
      <w:r>
        <w:rPr>
          <w:color w:val="231F20"/>
        </w:rPr>
        <w:t>форм</w:t>
      </w:r>
      <w:r>
        <w:rPr>
          <w:color w:val="231F20"/>
          <w:spacing w:val="-7"/>
        </w:rPr>
        <w:t> </w:t>
      </w:r>
      <w:r>
        <w:rPr>
          <w:color w:val="231F20"/>
        </w:rPr>
        <w:t>дистанционной</w:t>
      </w:r>
      <w:r>
        <w:rPr>
          <w:color w:val="231F20"/>
          <w:spacing w:val="-7"/>
        </w:rPr>
        <w:t> </w:t>
      </w:r>
      <w:r>
        <w:rPr>
          <w:color w:val="231F20"/>
        </w:rPr>
        <w:t>коммуникации</w:t>
      </w:r>
      <w:r>
        <w:rPr>
          <w:color w:val="231F20"/>
          <w:spacing w:val="-7"/>
        </w:rPr>
        <w:t> </w:t>
      </w:r>
      <w:r>
        <w:rPr>
          <w:color w:val="231F20"/>
        </w:rPr>
        <w:t>и</w:t>
      </w:r>
      <w:r>
        <w:rPr>
          <w:color w:val="231F20"/>
          <w:spacing w:val="-7"/>
        </w:rPr>
        <w:t> </w:t>
      </w:r>
      <w:r>
        <w:rPr>
          <w:color w:val="231F20"/>
        </w:rPr>
        <w:t>доступность</w:t>
      </w:r>
      <w:r>
        <w:rPr>
          <w:color w:val="231F20"/>
          <w:spacing w:val="-7"/>
        </w:rPr>
        <w:t> </w:t>
      </w:r>
      <w:r>
        <w:rPr>
          <w:color w:val="231F20"/>
        </w:rPr>
        <w:t>участия</w:t>
      </w:r>
      <w:r>
        <w:rPr>
          <w:color w:val="231F20"/>
          <w:spacing w:val="-7"/>
        </w:rPr>
        <w:t> </w:t>
      </w:r>
      <w:r>
        <w:rPr>
          <w:color w:val="231F20"/>
        </w:rPr>
        <w:t>в</w:t>
      </w:r>
      <w:r>
        <w:rPr>
          <w:color w:val="231F20"/>
          <w:spacing w:val="-7"/>
        </w:rPr>
        <w:t> </w:t>
      </w:r>
      <w:r>
        <w:rPr>
          <w:color w:val="231F20"/>
        </w:rPr>
        <w:t>обсуждении широкого</w:t>
      </w:r>
      <w:r>
        <w:rPr>
          <w:color w:val="231F20"/>
          <w:spacing w:val="-11"/>
        </w:rPr>
        <w:t> </w:t>
      </w:r>
      <w:r>
        <w:rPr>
          <w:color w:val="231F20"/>
        </w:rPr>
        <w:t>круга</w:t>
      </w:r>
      <w:r>
        <w:rPr>
          <w:color w:val="231F20"/>
          <w:spacing w:val="-11"/>
        </w:rPr>
        <w:t> </w:t>
      </w:r>
      <w:r>
        <w:rPr>
          <w:color w:val="231F20"/>
        </w:rPr>
        <w:t>лиц</w:t>
      </w:r>
      <w:r>
        <w:rPr>
          <w:color w:val="231F20"/>
          <w:spacing w:val="-11"/>
        </w:rPr>
        <w:t> </w:t>
      </w:r>
      <w:r>
        <w:rPr>
          <w:color w:val="231F20"/>
        </w:rPr>
        <w:t>–</w:t>
      </w:r>
      <w:r>
        <w:rPr>
          <w:color w:val="231F20"/>
          <w:spacing w:val="-11"/>
        </w:rPr>
        <w:t> </w:t>
      </w:r>
      <w:r>
        <w:rPr>
          <w:color w:val="231F20"/>
        </w:rPr>
        <w:t>как</w:t>
      </w:r>
      <w:r>
        <w:rPr>
          <w:color w:val="231F20"/>
          <w:spacing w:val="-11"/>
        </w:rPr>
        <w:t> </w:t>
      </w:r>
      <w:r>
        <w:rPr>
          <w:color w:val="231F20"/>
        </w:rPr>
        <w:t>сверстников</w:t>
      </w:r>
      <w:r>
        <w:rPr>
          <w:color w:val="231F20"/>
          <w:spacing w:val="-11"/>
        </w:rPr>
        <w:t> </w:t>
      </w:r>
      <w:r>
        <w:rPr>
          <w:color w:val="231F20"/>
        </w:rPr>
        <w:t>(не</w:t>
      </w:r>
      <w:r>
        <w:rPr>
          <w:color w:val="231F20"/>
          <w:spacing w:val="-11"/>
        </w:rPr>
        <w:t> </w:t>
      </w:r>
      <w:r>
        <w:rPr>
          <w:color w:val="231F20"/>
        </w:rPr>
        <w:t>только</w:t>
      </w:r>
      <w:r>
        <w:rPr>
          <w:color w:val="231F20"/>
          <w:spacing w:val="-11"/>
        </w:rPr>
        <w:t> </w:t>
      </w:r>
      <w:r>
        <w:rPr>
          <w:color w:val="231F20"/>
        </w:rPr>
        <w:t>ближнего</w:t>
      </w:r>
      <w:r>
        <w:rPr>
          <w:color w:val="231F20"/>
          <w:spacing w:val="-11"/>
        </w:rPr>
        <w:t> </w:t>
      </w:r>
      <w:r>
        <w:rPr>
          <w:color w:val="231F20"/>
        </w:rPr>
        <w:t>круга,</w:t>
      </w:r>
      <w:r>
        <w:rPr>
          <w:color w:val="231F20"/>
          <w:spacing w:val="-11"/>
        </w:rPr>
        <w:t> </w:t>
      </w:r>
      <w:r>
        <w:rPr>
          <w:color w:val="231F20"/>
        </w:rPr>
        <w:t>но</w:t>
      </w:r>
      <w:r>
        <w:rPr>
          <w:color w:val="231F20"/>
          <w:spacing w:val="-11"/>
        </w:rPr>
        <w:t> </w:t>
      </w:r>
      <w:r>
        <w:rPr>
          <w:color w:val="231F20"/>
        </w:rPr>
        <w:t>из</w:t>
      </w:r>
      <w:r>
        <w:rPr>
          <w:color w:val="231F20"/>
          <w:spacing w:val="-11"/>
        </w:rPr>
        <w:t> </w:t>
      </w:r>
      <w:r>
        <w:rPr>
          <w:color w:val="231F20"/>
        </w:rPr>
        <w:t>любого</w:t>
      </w:r>
      <w:r>
        <w:rPr>
          <w:color w:val="231F20"/>
          <w:spacing w:val="-11"/>
        </w:rPr>
        <w:t> </w:t>
      </w:r>
      <w:r>
        <w:rPr>
          <w:color w:val="231F20"/>
        </w:rPr>
        <w:t>реги- она),</w:t>
      </w:r>
      <w:r>
        <w:rPr>
          <w:color w:val="231F20"/>
          <w:spacing w:val="-4"/>
        </w:rPr>
        <w:t> </w:t>
      </w:r>
      <w:r>
        <w:rPr>
          <w:color w:val="231F20"/>
        </w:rPr>
        <w:t>так</w:t>
      </w:r>
      <w:r>
        <w:rPr>
          <w:color w:val="231F20"/>
          <w:spacing w:val="-4"/>
        </w:rPr>
        <w:t> </w:t>
      </w:r>
      <w:r>
        <w:rPr>
          <w:color w:val="231F20"/>
        </w:rPr>
        <w:t>и</w:t>
      </w:r>
      <w:r>
        <w:rPr>
          <w:color w:val="231F20"/>
          <w:spacing w:val="-4"/>
        </w:rPr>
        <w:t> </w:t>
      </w:r>
      <w:r>
        <w:rPr>
          <w:color w:val="231F20"/>
        </w:rPr>
        <w:t>необходимых</w:t>
      </w:r>
      <w:r>
        <w:rPr>
          <w:color w:val="231F20"/>
          <w:spacing w:val="-4"/>
        </w:rPr>
        <w:t> </w:t>
      </w:r>
      <w:r>
        <w:rPr>
          <w:color w:val="231F20"/>
        </w:rPr>
        <w:t>специалистов.</w:t>
      </w:r>
      <w:r>
        <w:rPr>
          <w:color w:val="231F20"/>
          <w:spacing w:val="-4"/>
        </w:rPr>
        <w:t> </w:t>
      </w:r>
      <w:r>
        <w:rPr>
          <w:color w:val="231F20"/>
        </w:rPr>
        <w:t>Школьники</w:t>
      </w:r>
      <w:r>
        <w:rPr>
          <w:color w:val="231F20"/>
          <w:spacing w:val="-4"/>
        </w:rPr>
        <w:t> </w:t>
      </w:r>
      <w:r>
        <w:rPr>
          <w:color w:val="231F20"/>
        </w:rPr>
        <w:t>теперь</w:t>
      </w:r>
      <w:r>
        <w:rPr>
          <w:color w:val="231F20"/>
          <w:spacing w:val="-4"/>
        </w:rPr>
        <w:t> </w:t>
      </w:r>
      <w:r>
        <w:rPr>
          <w:color w:val="231F20"/>
        </w:rPr>
        <w:t>могут</w:t>
      </w:r>
      <w:r>
        <w:rPr>
          <w:color w:val="231F20"/>
          <w:spacing w:val="-4"/>
        </w:rPr>
        <w:t> </w:t>
      </w:r>
      <w:r>
        <w:rPr>
          <w:color w:val="231F20"/>
        </w:rPr>
        <w:t>выполнять</w:t>
      </w:r>
      <w:r>
        <w:rPr>
          <w:color w:val="231F20"/>
          <w:spacing w:val="-4"/>
        </w:rPr>
        <w:t> </w:t>
      </w:r>
      <w:r>
        <w:rPr>
          <w:color w:val="231F20"/>
        </w:rPr>
        <w:t>доволь- но</w:t>
      </w:r>
      <w:r>
        <w:rPr>
          <w:color w:val="231F20"/>
          <w:spacing w:val="-1"/>
        </w:rPr>
        <w:t> </w:t>
      </w:r>
      <w:r>
        <w:rPr>
          <w:color w:val="231F20"/>
        </w:rPr>
        <w:t>сложные</w:t>
      </w:r>
      <w:r>
        <w:rPr>
          <w:color w:val="231F20"/>
          <w:spacing w:val="-1"/>
        </w:rPr>
        <w:t> </w:t>
      </w:r>
      <w:r>
        <w:rPr>
          <w:color w:val="231F20"/>
        </w:rPr>
        <w:t>исследования,</w:t>
      </w:r>
      <w:r>
        <w:rPr>
          <w:color w:val="231F20"/>
          <w:spacing w:val="-1"/>
        </w:rPr>
        <w:t> </w:t>
      </w:r>
      <w:r>
        <w:rPr>
          <w:color w:val="231F20"/>
        </w:rPr>
        <w:t>реализовывать</w:t>
      </w:r>
      <w:r>
        <w:rPr>
          <w:color w:val="231F20"/>
          <w:spacing w:val="-1"/>
        </w:rPr>
        <w:t> </w:t>
      </w:r>
      <w:r>
        <w:rPr>
          <w:color w:val="231F20"/>
        </w:rPr>
        <w:t>различные</w:t>
      </w:r>
      <w:r>
        <w:rPr>
          <w:color w:val="231F20"/>
          <w:spacing w:val="-1"/>
        </w:rPr>
        <w:t> </w:t>
      </w:r>
      <w:r>
        <w:rPr>
          <w:color w:val="231F20"/>
        </w:rPr>
        <w:t>творческие</w:t>
      </w:r>
      <w:r>
        <w:rPr>
          <w:color w:val="231F20"/>
          <w:spacing w:val="-1"/>
        </w:rPr>
        <w:t> </w:t>
      </w:r>
      <w:r>
        <w:rPr>
          <w:color w:val="231F20"/>
        </w:rPr>
        <w:t>проекты</w:t>
      </w:r>
      <w:r>
        <w:rPr>
          <w:color w:val="231F20"/>
          <w:spacing w:val="-1"/>
        </w:rPr>
        <w:t> </w:t>
      </w:r>
      <w:r>
        <w:rPr>
          <w:color w:val="231F20"/>
        </w:rPr>
        <w:t>с</w:t>
      </w:r>
      <w:r>
        <w:rPr>
          <w:color w:val="231F20"/>
          <w:spacing w:val="-1"/>
        </w:rPr>
        <w:t> </w:t>
      </w:r>
      <w:r>
        <w:rPr>
          <w:color w:val="231F20"/>
        </w:rPr>
        <w:t>целевым применением новых технологий и цифровых инструментов. Появились цифровые определители видов по ботанике, орнитологии, зоологии и др.; стали доступными датчики и сенсоры для сбора и фиксации геофизических и химических показателей, материалы и методы исследований в области молекулярной и микробиологии; визу- альные методы фиксации в области социальных и культурных исследований стали технически</w:t>
      </w:r>
      <w:r>
        <w:rPr>
          <w:color w:val="231F20"/>
          <w:spacing w:val="-13"/>
        </w:rPr>
        <w:t> </w:t>
      </w:r>
      <w:r>
        <w:rPr>
          <w:color w:val="231F20"/>
        </w:rPr>
        <w:t>доступны</w:t>
      </w:r>
      <w:r>
        <w:rPr>
          <w:color w:val="231F20"/>
          <w:spacing w:val="-12"/>
        </w:rPr>
        <w:t> </w:t>
      </w:r>
      <w:r>
        <w:rPr>
          <w:color w:val="231F20"/>
        </w:rPr>
        <w:t>почти</w:t>
      </w:r>
      <w:r>
        <w:rPr>
          <w:color w:val="231F20"/>
          <w:spacing w:val="-13"/>
        </w:rPr>
        <w:t> </w:t>
      </w:r>
      <w:r>
        <w:rPr>
          <w:color w:val="231F20"/>
        </w:rPr>
        <w:t>каждому</w:t>
      </w:r>
      <w:r>
        <w:rPr>
          <w:color w:val="231F20"/>
          <w:spacing w:val="-12"/>
        </w:rPr>
        <w:t> </w:t>
      </w:r>
      <w:r>
        <w:rPr>
          <w:color w:val="231F20"/>
        </w:rPr>
        <w:t>школьнику;</w:t>
      </w:r>
      <w:r>
        <w:rPr>
          <w:color w:val="231F20"/>
          <w:spacing w:val="-13"/>
        </w:rPr>
        <w:t> </w:t>
      </w:r>
      <w:r>
        <w:rPr>
          <w:color w:val="231F20"/>
        </w:rPr>
        <w:t>легко</w:t>
      </w:r>
      <w:r>
        <w:rPr>
          <w:color w:val="231F20"/>
          <w:spacing w:val="-12"/>
        </w:rPr>
        <w:t> </w:t>
      </w:r>
      <w:r>
        <w:rPr>
          <w:color w:val="231F20"/>
        </w:rPr>
        <w:t>реализуются</w:t>
      </w:r>
      <w:r>
        <w:rPr>
          <w:color w:val="231F20"/>
          <w:spacing w:val="-13"/>
        </w:rPr>
        <w:t> </w:t>
      </w:r>
      <w:r>
        <w:rPr>
          <w:color w:val="231F20"/>
        </w:rPr>
        <w:t>учащимися</w:t>
      </w:r>
      <w:r>
        <w:rPr>
          <w:color w:val="231F20"/>
          <w:spacing w:val="-12"/>
        </w:rPr>
        <w:t> </w:t>
      </w:r>
      <w:r>
        <w:rPr>
          <w:color w:val="231F20"/>
        </w:rPr>
        <w:t>дис- танционные формы социологических исследований и пр.</w:t>
      </w:r>
    </w:p>
    <w:p>
      <w:pPr>
        <w:pStyle w:val="BodyText"/>
        <w:spacing w:line="228" w:lineRule="exact" w:before="6"/>
        <w:ind w:left="425" w:right="0" w:firstLine="0"/>
      </w:pPr>
      <w:r>
        <w:rPr>
          <w:color w:val="231F20"/>
        </w:rPr>
        <w:t>Важно,</w:t>
      </w:r>
      <w:r>
        <w:rPr>
          <w:color w:val="231F20"/>
          <w:spacing w:val="-8"/>
        </w:rPr>
        <w:t> </w:t>
      </w:r>
      <w:r>
        <w:rPr>
          <w:color w:val="231F20"/>
        </w:rPr>
        <w:t>чтобы</w:t>
      </w:r>
      <w:r>
        <w:rPr>
          <w:color w:val="231F20"/>
          <w:spacing w:val="-5"/>
        </w:rPr>
        <w:t> </w:t>
      </w:r>
      <w:r>
        <w:rPr>
          <w:color w:val="231F20"/>
        </w:rPr>
        <w:t>школьное</w:t>
      </w:r>
      <w:r>
        <w:rPr>
          <w:color w:val="231F20"/>
          <w:spacing w:val="-5"/>
        </w:rPr>
        <w:t> </w:t>
      </w:r>
      <w:r>
        <w:rPr>
          <w:color w:val="231F20"/>
        </w:rPr>
        <w:t>краеведение</w:t>
      </w:r>
      <w:r>
        <w:rPr>
          <w:color w:val="231F20"/>
          <w:spacing w:val="-5"/>
        </w:rPr>
        <w:t> </w:t>
      </w:r>
      <w:r>
        <w:rPr>
          <w:color w:val="231F20"/>
        </w:rPr>
        <w:t>включало</w:t>
      </w:r>
      <w:r>
        <w:rPr>
          <w:color w:val="231F20"/>
          <w:spacing w:val="-5"/>
        </w:rPr>
        <w:t> </w:t>
      </w:r>
      <w:r>
        <w:rPr>
          <w:color w:val="231F20"/>
        </w:rPr>
        <w:t>в</w:t>
      </w:r>
      <w:r>
        <w:rPr>
          <w:color w:val="231F20"/>
          <w:spacing w:val="-5"/>
        </w:rPr>
        <w:t> </w:t>
      </w:r>
      <w:r>
        <w:rPr>
          <w:color w:val="231F20"/>
        </w:rPr>
        <w:t>себя</w:t>
      </w:r>
      <w:r>
        <w:rPr>
          <w:color w:val="231F20"/>
          <w:spacing w:val="-5"/>
        </w:rPr>
        <w:t> </w:t>
      </w:r>
      <w:r>
        <w:rPr>
          <w:color w:val="231F20"/>
        </w:rPr>
        <w:t>следующие</w:t>
      </w:r>
      <w:r>
        <w:rPr>
          <w:color w:val="231F20"/>
          <w:spacing w:val="-5"/>
        </w:rPr>
        <w:t> </w:t>
      </w:r>
      <w:r>
        <w:rPr>
          <w:color w:val="231F20"/>
          <w:spacing w:val="-2"/>
        </w:rPr>
        <w:t>этапы.</w:t>
      </w:r>
    </w:p>
    <w:p>
      <w:pPr>
        <w:pStyle w:val="ListParagraph"/>
        <w:numPr>
          <w:ilvl w:val="1"/>
          <w:numId w:val="155"/>
        </w:numPr>
        <w:tabs>
          <w:tab w:pos="423" w:val="left" w:leader="none"/>
          <w:tab w:pos="425" w:val="left" w:leader="none"/>
        </w:tabs>
        <w:spacing w:line="235" w:lineRule="auto" w:before="2" w:after="0"/>
        <w:ind w:left="425" w:right="139" w:hanging="284"/>
        <w:jc w:val="both"/>
        <w:rPr>
          <w:sz w:val="20"/>
        </w:rPr>
      </w:pPr>
      <w:r>
        <w:rPr>
          <w:color w:val="231F20"/>
          <w:sz w:val="20"/>
        </w:rPr>
        <w:t>Исследовательская деятельность детей и подростков, направленная как </w:t>
      </w:r>
      <w:r>
        <w:rPr>
          <w:i/>
          <w:color w:val="231F20"/>
          <w:sz w:val="20"/>
        </w:rPr>
        <w:t>на про- шлое</w:t>
      </w:r>
      <w:r>
        <w:rPr>
          <w:color w:val="231F20"/>
          <w:sz w:val="20"/>
        </w:rPr>
        <w:t>, так и </w:t>
      </w:r>
      <w:r>
        <w:rPr>
          <w:i/>
          <w:color w:val="231F20"/>
          <w:sz w:val="20"/>
        </w:rPr>
        <w:t>на настоящее</w:t>
      </w:r>
      <w:r>
        <w:rPr>
          <w:color w:val="231F20"/>
          <w:sz w:val="20"/>
        </w:rPr>
        <w:t>. Мы бережно относимся к своему прошлому, изучаем традиции,</w:t>
      </w:r>
      <w:r>
        <w:rPr>
          <w:color w:val="231F20"/>
          <w:spacing w:val="16"/>
          <w:sz w:val="20"/>
        </w:rPr>
        <w:t> </w:t>
      </w:r>
      <w:r>
        <w:rPr>
          <w:color w:val="231F20"/>
          <w:sz w:val="20"/>
        </w:rPr>
        <w:t>историю.</w:t>
      </w:r>
      <w:r>
        <w:rPr>
          <w:color w:val="231F20"/>
          <w:spacing w:val="16"/>
          <w:sz w:val="20"/>
        </w:rPr>
        <w:t> </w:t>
      </w:r>
      <w:r>
        <w:rPr>
          <w:color w:val="231F20"/>
          <w:sz w:val="20"/>
        </w:rPr>
        <w:t>Это</w:t>
      </w:r>
      <w:r>
        <w:rPr>
          <w:color w:val="231F20"/>
          <w:spacing w:val="16"/>
          <w:sz w:val="20"/>
        </w:rPr>
        <w:t> </w:t>
      </w:r>
      <w:r>
        <w:rPr>
          <w:color w:val="231F20"/>
          <w:sz w:val="20"/>
        </w:rPr>
        <w:t>наша</w:t>
      </w:r>
      <w:r>
        <w:rPr>
          <w:color w:val="231F20"/>
          <w:spacing w:val="16"/>
          <w:sz w:val="20"/>
        </w:rPr>
        <w:t> </w:t>
      </w:r>
      <w:r>
        <w:rPr>
          <w:color w:val="231F20"/>
          <w:sz w:val="20"/>
        </w:rPr>
        <w:t>память</w:t>
      </w:r>
      <w:r>
        <w:rPr>
          <w:color w:val="231F20"/>
          <w:spacing w:val="16"/>
          <w:sz w:val="20"/>
        </w:rPr>
        <w:t> </w:t>
      </w:r>
      <w:r>
        <w:rPr>
          <w:color w:val="231F20"/>
          <w:sz w:val="20"/>
        </w:rPr>
        <w:t>и</w:t>
      </w:r>
      <w:r>
        <w:rPr>
          <w:color w:val="231F20"/>
          <w:spacing w:val="16"/>
          <w:sz w:val="20"/>
        </w:rPr>
        <w:t> </w:t>
      </w:r>
      <w:r>
        <w:rPr>
          <w:color w:val="231F20"/>
          <w:sz w:val="20"/>
        </w:rPr>
        <w:t>наши</w:t>
      </w:r>
      <w:r>
        <w:rPr>
          <w:color w:val="231F20"/>
          <w:spacing w:val="16"/>
          <w:sz w:val="20"/>
        </w:rPr>
        <w:t> </w:t>
      </w:r>
      <w:r>
        <w:rPr>
          <w:color w:val="231F20"/>
          <w:sz w:val="20"/>
        </w:rPr>
        <w:t>корни.</w:t>
      </w:r>
      <w:r>
        <w:rPr>
          <w:color w:val="231F20"/>
          <w:spacing w:val="16"/>
          <w:sz w:val="20"/>
        </w:rPr>
        <w:t> </w:t>
      </w:r>
      <w:r>
        <w:rPr>
          <w:color w:val="231F20"/>
          <w:sz w:val="20"/>
        </w:rPr>
        <w:t>Это</w:t>
      </w:r>
      <w:r>
        <w:rPr>
          <w:color w:val="231F20"/>
          <w:spacing w:val="16"/>
          <w:sz w:val="20"/>
        </w:rPr>
        <w:t> </w:t>
      </w:r>
      <w:r>
        <w:rPr>
          <w:color w:val="231F20"/>
          <w:sz w:val="20"/>
        </w:rPr>
        <w:t>ценно</w:t>
      </w:r>
      <w:r>
        <w:rPr>
          <w:color w:val="231F20"/>
          <w:spacing w:val="16"/>
          <w:sz w:val="20"/>
        </w:rPr>
        <w:t> </w:t>
      </w:r>
      <w:r>
        <w:rPr>
          <w:color w:val="231F20"/>
          <w:sz w:val="20"/>
        </w:rPr>
        <w:t>и</w:t>
      </w:r>
      <w:r>
        <w:rPr>
          <w:color w:val="231F20"/>
          <w:spacing w:val="16"/>
          <w:sz w:val="20"/>
        </w:rPr>
        <w:t> </w:t>
      </w:r>
      <w:r>
        <w:rPr>
          <w:color w:val="231F20"/>
          <w:sz w:val="20"/>
        </w:rPr>
        <w:t>важно.</w:t>
      </w:r>
      <w:r>
        <w:rPr>
          <w:color w:val="231F20"/>
          <w:spacing w:val="16"/>
          <w:sz w:val="20"/>
        </w:rPr>
        <w:t> </w:t>
      </w:r>
      <w:r>
        <w:rPr>
          <w:color w:val="231F20"/>
          <w:sz w:val="20"/>
        </w:rPr>
        <w:t>Но</w:t>
      </w:r>
      <w:r>
        <w:rPr>
          <w:color w:val="231F20"/>
          <w:spacing w:val="16"/>
          <w:sz w:val="20"/>
        </w:rPr>
        <w:t> </w:t>
      </w:r>
      <w:r>
        <w:rPr>
          <w:color w:val="231F20"/>
          <w:sz w:val="20"/>
        </w:rPr>
        <w:t>не</w:t>
      </w:r>
    </w:p>
    <w:p>
      <w:pPr>
        <w:pStyle w:val="ListParagraph"/>
        <w:spacing w:after="0" w:line="235" w:lineRule="auto"/>
        <w:jc w:val="both"/>
        <w:rPr>
          <w:sz w:val="20"/>
        </w:rPr>
        <w:sectPr>
          <w:pgSz w:w="8400" w:h="11910"/>
          <w:pgMar w:header="0" w:footer="527" w:top="400" w:bottom="720" w:left="425" w:right="425"/>
        </w:sectPr>
      </w:pPr>
    </w:p>
    <w:p>
      <w:pPr>
        <w:spacing w:before="80"/>
        <w:ind w:left="141" w:right="0" w:firstLine="0"/>
        <w:jc w:val="both"/>
        <w:rPr>
          <w:rFonts w:ascii="Georgia" w:hAnsi="Georgia"/>
          <w:sz w:val="18"/>
        </w:rPr>
      </w:pPr>
      <w:r>
        <w:rPr>
          <w:rFonts w:ascii="Georgia" w:hAnsi="Georgia"/>
          <w:color w:val="231F20"/>
          <w:sz w:val="18"/>
        </w:rPr>
        <w:t>4.3.</w:t>
      </w:r>
      <w:r>
        <w:rPr>
          <w:rFonts w:ascii="Georgia" w:hAnsi="Georgia"/>
          <w:color w:val="231F20"/>
          <w:spacing w:val="-5"/>
          <w:sz w:val="18"/>
        </w:rPr>
        <w:t> </w:t>
      </w:r>
      <w:r>
        <w:rPr>
          <w:rFonts w:ascii="Georgia" w:hAnsi="Georgia"/>
          <w:color w:val="231F20"/>
          <w:sz w:val="18"/>
        </w:rPr>
        <w:t>Методы</w:t>
      </w:r>
      <w:r>
        <w:rPr>
          <w:rFonts w:ascii="Georgia" w:hAnsi="Georgia"/>
          <w:color w:val="231F20"/>
          <w:spacing w:val="-5"/>
          <w:sz w:val="18"/>
        </w:rPr>
        <w:t> </w:t>
      </w:r>
      <w:r>
        <w:rPr>
          <w:rFonts w:ascii="Georgia" w:hAnsi="Georgia"/>
          <w:color w:val="231F20"/>
          <w:sz w:val="18"/>
        </w:rPr>
        <w:t>воспитательной</w:t>
      </w:r>
      <w:r>
        <w:rPr>
          <w:rFonts w:ascii="Georgia" w:hAnsi="Georgia"/>
          <w:color w:val="231F20"/>
          <w:spacing w:val="-4"/>
          <w:sz w:val="18"/>
        </w:rPr>
        <w:t> </w:t>
      </w:r>
      <w:r>
        <w:rPr>
          <w:rFonts w:ascii="Georgia" w:hAnsi="Georgia"/>
          <w:color w:val="231F20"/>
          <w:sz w:val="18"/>
        </w:rPr>
        <w:t>раюоты</w:t>
      </w:r>
      <w:r>
        <w:rPr>
          <w:rFonts w:ascii="Georgia" w:hAnsi="Georgia"/>
          <w:color w:val="231F20"/>
          <w:spacing w:val="-5"/>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w:t>
      </w:r>
      <w:r>
        <w:rPr>
          <w:rFonts w:ascii="Georgia" w:hAnsi="Georgia"/>
          <w:color w:val="231F20"/>
          <w:spacing w:val="-4"/>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BodyText"/>
        <w:spacing w:line="235" w:lineRule="auto" w:before="116"/>
        <w:ind w:left="425" w:firstLine="0"/>
      </w:pPr>
      <w:r>
        <w:rPr>
          <w:color w:val="231F20"/>
        </w:rPr>
        <w:t>менее</w:t>
      </w:r>
      <w:r>
        <w:rPr>
          <w:color w:val="231F20"/>
          <w:spacing w:val="-12"/>
        </w:rPr>
        <w:t> </w:t>
      </w:r>
      <w:r>
        <w:rPr>
          <w:color w:val="231F20"/>
        </w:rPr>
        <w:t>важно</w:t>
      </w:r>
      <w:r>
        <w:rPr>
          <w:color w:val="231F20"/>
          <w:spacing w:val="-12"/>
        </w:rPr>
        <w:t> </w:t>
      </w:r>
      <w:r>
        <w:rPr>
          <w:color w:val="231F20"/>
        </w:rPr>
        <w:t>уметь</w:t>
      </w:r>
      <w:r>
        <w:rPr>
          <w:color w:val="231F20"/>
          <w:spacing w:val="-12"/>
        </w:rPr>
        <w:t> </w:t>
      </w:r>
      <w:r>
        <w:rPr>
          <w:color w:val="231F20"/>
        </w:rPr>
        <w:t>увидеть</w:t>
      </w:r>
      <w:r>
        <w:rPr>
          <w:color w:val="231F20"/>
          <w:spacing w:val="-12"/>
        </w:rPr>
        <w:t> </w:t>
      </w:r>
      <w:r>
        <w:rPr>
          <w:color w:val="231F20"/>
        </w:rPr>
        <w:t>сегодняшний</w:t>
      </w:r>
      <w:r>
        <w:rPr>
          <w:color w:val="231F20"/>
          <w:spacing w:val="-12"/>
        </w:rPr>
        <w:t> </w:t>
      </w:r>
      <w:r>
        <w:rPr>
          <w:color w:val="231F20"/>
        </w:rPr>
        <w:t>день</w:t>
      </w:r>
      <w:r>
        <w:rPr>
          <w:color w:val="231F20"/>
          <w:spacing w:val="-12"/>
        </w:rPr>
        <w:t> </w:t>
      </w:r>
      <w:r>
        <w:rPr>
          <w:color w:val="231F20"/>
        </w:rPr>
        <w:t>–</w:t>
      </w:r>
      <w:r>
        <w:rPr>
          <w:color w:val="231F20"/>
          <w:spacing w:val="-12"/>
        </w:rPr>
        <w:t> </w:t>
      </w:r>
      <w:r>
        <w:rPr>
          <w:color w:val="231F20"/>
        </w:rPr>
        <w:t>проблемы,</w:t>
      </w:r>
      <w:r>
        <w:rPr>
          <w:color w:val="231F20"/>
          <w:spacing w:val="-12"/>
        </w:rPr>
        <w:t> </w:t>
      </w:r>
      <w:r>
        <w:rPr>
          <w:color w:val="231F20"/>
        </w:rPr>
        <w:t>современные</w:t>
      </w:r>
      <w:r>
        <w:rPr>
          <w:color w:val="231F20"/>
          <w:spacing w:val="-12"/>
        </w:rPr>
        <w:t> </w:t>
      </w:r>
      <w:r>
        <w:rPr>
          <w:color w:val="231F20"/>
        </w:rPr>
        <w:t>запросы, мечты</w:t>
      </w:r>
      <w:r>
        <w:rPr>
          <w:color w:val="231F20"/>
          <w:spacing w:val="-7"/>
        </w:rPr>
        <w:t> </w:t>
      </w:r>
      <w:r>
        <w:rPr>
          <w:color w:val="231F20"/>
        </w:rPr>
        <w:t>тех,</w:t>
      </w:r>
      <w:r>
        <w:rPr>
          <w:color w:val="231F20"/>
          <w:spacing w:val="-7"/>
        </w:rPr>
        <w:t> </w:t>
      </w:r>
      <w:r>
        <w:rPr>
          <w:color w:val="231F20"/>
        </w:rPr>
        <w:t>кто</w:t>
      </w:r>
      <w:r>
        <w:rPr>
          <w:color w:val="231F20"/>
          <w:spacing w:val="-7"/>
        </w:rPr>
        <w:t> </w:t>
      </w:r>
      <w:r>
        <w:rPr>
          <w:color w:val="231F20"/>
        </w:rPr>
        <w:t>живет</w:t>
      </w:r>
      <w:r>
        <w:rPr>
          <w:color w:val="231F20"/>
          <w:spacing w:val="-7"/>
        </w:rPr>
        <w:t> </w:t>
      </w:r>
      <w:r>
        <w:rPr>
          <w:color w:val="231F20"/>
        </w:rPr>
        <w:t>рядом,</w:t>
      </w:r>
      <w:r>
        <w:rPr>
          <w:color w:val="231F20"/>
          <w:spacing w:val="-7"/>
        </w:rPr>
        <w:t> </w:t>
      </w:r>
      <w:r>
        <w:rPr>
          <w:color w:val="231F20"/>
        </w:rPr>
        <w:t>уметь</w:t>
      </w:r>
      <w:r>
        <w:rPr>
          <w:color w:val="231F20"/>
          <w:spacing w:val="-7"/>
        </w:rPr>
        <w:t> </w:t>
      </w:r>
      <w:r>
        <w:rPr>
          <w:color w:val="231F20"/>
        </w:rPr>
        <w:t>найти</w:t>
      </w:r>
      <w:r>
        <w:rPr>
          <w:color w:val="231F20"/>
          <w:spacing w:val="-7"/>
        </w:rPr>
        <w:t> </w:t>
      </w:r>
      <w:r>
        <w:rPr>
          <w:color w:val="231F20"/>
        </w:rPr>
        <w:t>единомышленников,</w:t>
      </w:r>
      <w:r>
        <w:rPr>
          <w:color w:val="231F20"/>
          <w:spacing w:val="-7"/>
        </w:rPr>
        <w:t> </w:t>
      </w:r>
      <w:r>
        <w:rPr>
          <w:color w:val="231F20"/>
        </w:rPr>
        <w:t>обозначить</w:t>
      </w:r>
      <w:r>
        <w:rPr>
          <w:color w:val="231F20"/>
          <w:spacing w:val="-7"/>
        </w:rPr>
        <w:t> </w:t>
      </w:r>
      <w:r>
        <w:rPr>
          <w:color w:val="231F20"/>
        </w:rPr>
        <w:t>разные взгляды</w:t>
      </w:r>
      <w:r>
        <w:rPr>
          <w:color w:val="231F20"/>
          <w:spacing w:val="-8"/>
        </w:rPr>
        <w:t> </w:t>
      </w:r>
      <w:r>
        <w:rPr>
          <w:color w:val="231F20"/>
        </w:rPr>
        <w:t>и</w:t>
      </w:r>
      <w:r>
        <w:rPr>
          <w:color w:val="231F20"/>
          <w:spacing w:val="-8"/>
        </w:rPr>
        <w:t> </w:t>
      </w:r>
      <w:r>
        <w:rPr>
          <w:color w:val="231F20"/>
        </w:rPr>
        <w:t>понимание</w:t>
      </w:r>
      <w:r>
        <w:rPr>
          <w:color w:val="231F20"/>
          <w:spacing w:val="-8"/>
        </w:rPr>
        <w:t> </w:t>
      </w:r>
      <w:r>
        <w:rPr>
          <w:color w:val="231F20"/>
        </w:rPr>
        <w:t>мира</w:t>
      </w:r>
      <w:r>
        <w:rPr>
          <w:color w:val="231F20"/>
          <w:spacing w:val="-8"/>
        </w:rPr>
        <w:t> </w:t>
      </w:r>
      <w:r>
        <w:rPr>
          <w:color w:val="231F20"/>
        </w:rPr>
        <w:t>вокруг</w:t>
      </w:r>
      <w:r>
        <w:rPr>
          <w:color w:val="231F20"/>
          <w:spacing w:val="-8"/>
        </w:rPr>
        <w:t> </w:t>
      </w:r>
      <w:r>
        <w:rPr>
          <w:color w:val="231F20"/>
        </w:rPr>
        <w:t>нас</w:t>
      </w:r>
      <w:r>
        <w:rPr>
          <w:color w:val="231F20"/>
          <w:spacing w:val="-8"/>
        </w:rPr>
        <w:t> </w:t>
      </w:r>
      <w:r>
        <w:rPr>
          <w:color w:val="231F20"/>
        </w:rPr>
        <w:t>для</w:t>
      </w:r>
      <w:r>
        <w:rPr>
          <w:color w:val="231F20"/>
          <w:spacing w:val="-8"/>
        </w:rPr>
        <w:t> </w:t>
      </w:r>
      <w:r>
        <w:rPr>
          <w:color w:val="231F20"/>
        </w:rPr>
        <w:t>расширения</w:t>
      </w:r>
      <w:r>
        <w:rPr>
          <w:color w:val="231F20"/>
          <w:spacing w:val="-8"/>
        </w:rPr>
        <w:t> </w:t>
      </w:r>
      <w:r>
        <w:rPr>
          <w:color w:val="231F20"/>
        </w:rPr>
        <w:t>своей</w:t>
      </w:r>
      <w:r>
        <w:rPr>
          <w:color w:val="231F20"/>
          <w:spacing w:val="-8"/>
        </w:rPr>
        <w:t> </w:t>
      </w:r>
      <w:r>
        <w:rPr>
          <w:color w:val="231F20"/>
        </w:rPr>
        <w:t>картины</w:t>
      </w:r>
      <w:r>
        <w:rPr>
          <w:color w:val="231F20"/>
          <w:spacing w:val="-8"/>
        </w:rPr>
        <w:t> </w:t>
      </w:r>
      <w:r>
        <w:rPr>
          <w:color w:val="231F20"/>
        </w:rPr>
        <w:t>мира,</w:t>
      </w:r>
      <w:r>
        <w:rPr>
          <w:color w:val="231F20"/>
          <w:spacing w:val="-8"/>
        </w:rPr>
        <w:t> </w:t>
      </w:r>
      <w:r>
        <w:rPr>
          <w:color w:val="231F20"/>
        </w:rPr>
        <w:t>поис- ка средств построения межкультурного диалога.</w:t>
      </w:r>
    </w:p>
    <w:p>
      <w:pPr>
        <w:pStyle w:val="ListParagraph"/>
        <w:numPr>
          <w:ilvl w:val="0"/>
          <w:numId w:val="156"/>
        </w:numPr>
        <w:tabs>
          <w:tab w:pos="423" w:val="left" w:leader="none"/>
          <w:tab w:pos="425" w:val="left" w:leader="none"/>
        </w:tabs>
        <w:spacing w:line="235" w:lineRule="auto" w:before="2" w:after="0"/>
        <w:ind w:left="425" w:right="139" w:hanging="284"/>
        <w:jc w:val="both"/>
        <w:rPr>
          <w:sz w:val="20"/>
        </w:rPr>
      </w:pPr>
      <w:r>
        <w:rPr>
          <w:color w:val="231F20"/>
          <w:spacing w:val="-2"/>
          <w:sz w:val="20"/>
        </w:rPr>
        <w:t>На</w:t>
      </w:r>
      <w:r>
        <w:rPr>
          <w:color w:val="231F20"/>
          <w:spacing w:val="-3"/>
          <w:sz w:val="20"/>
        </w:rPr>
        <w:t> </w:t>
      </w:r>
      <w:r>
        <w:rPr>
          <w:color w:val="231F20"/>
          <w:spacing w:val="-2"/>
          <w:sz w:val="20"/>
        </w:rPr>
        <w:t>основе</w:t>
      </w:r>
      <w:r>
        <w:rPr>
          <w:color w:val="231F20"/>
          <w:spacing w:val="-3"/>
          <w:sz w:val="20"/>
        </w:rPr>
        <w:t> </w:t>
      </w:r>
      <w:r>
        <w:rPr>
          <w:color w:val="231F20"/>
          <w:spacing w:val="-2"/>
          <w:sz w:val="20"/>
        </w:rPr>
        <w:t>исследований</w:t>
      </w:r>
      <w:r>
        <w:rPr>
          <w:color w:val="231F20"/>
          <w:spacing w:val="-3"/>
          <w:sz w:val="20"/>
        </w:rPr>
        <w:t> </w:t>
      </w:r>
      <w:r>
        <w:rPr>
          <w:color w:val="231F20"/>
          <w:spacing w:val="-2"/>
          <w:sz w:val="20"/>
        </w:rPr>
        <w:t>о</w:t>
      </w:r>
      <w:r>
        <w:rPr>
          <w:color w:val="231F20"/>
          <w:spacing w:val="-3"/>
          <w:sz w:val="20"/>
        </w:rPr>
        <w:t> </w:t>
      </w:r>
      <w:r>
        <w:rPr>
          <w:color w:val="231F20"/>
          <w:spacing w:val="-2"/>
          <w:sz w:val="20"/>
        </w:rPr>
        <w:t>прошлом</w:t>
      </w:r>
      <w:r>
        <w:rPr>
          <w:color w:val="231F20"/>
          <w:spacing w:val="-3"/>
          <w:sz w:val="20"/>
        </w:rPr>
        <w:t> </w:t>
      </w:r>
      <w:r>
        <w:rPr>
          <w:color w:val="231F20"/>
          <w:spacing w:val="-2"/>
          <w:sz w:val="20"/>
        </w:rPr>
        <w:t>и</w:t>
      </w:r>
      <w:r>
        <w:rPr>
          <w:color w:val="231F20"/>
          <w:spacing w:val="-3"/>
          <w:sz w:val="20"/>
        </w:rPr>
        <w:t> </w:t>
      </w:r>
      <w:r>
        <w:rPr>
          <w:color w:val="231F20"/>
          <w:spacing w:val="-2"/>
          <w:sz w:val="20"/>
        </w:rPr>
        <w:t>настоящем</w:t>
      </w:r>
      <w:r>
        <w:rPr>
          <w:color w:val="231F20"/>
          <w:spacing w:val="-3"/>
          <w:sz w:val="20"/>
        </w:rPr>
        <w:t> </w:t>
      </w:r>
      <w:r>
        <w:rPr>
          <w:color w:val="231F20"/>
          <w:spacing w:val="-2"/>
          <w:sz w:val="20"/>
        </w:rPr>
        <w:t>выстраивать</w:t>
      </w:r>
      <w:r>
        <w:rPr>
          <w:color w:val="231F20"/>
          <w:spacing w:val="-3"/>
          <w:sz w:val="20"/>
        </w:rPr>
        <w:t> </w:t>
      </w:r>
      <w:r>
        <w:rPr>
          <w:color w:val="231F20"/>
          <w:spacing w:val="-2"/>
          <w:sz w:val="20"/>
        </w:rPr>
        <w:t>обоснованные</w:t>
      </w:r>
      <w:r>
        <w:rPr>
          <w:color w:val="231F20"/>
          <w:spacing w:val="-3"/>
          <w:sz w:val="20"/>
        </w:rPr>
        <w:t> </w:t>
      </w:r>
      <w:r>
        <w:rPr>
          <w:i/>
          <w:color w:val="231F20"/>
          <w:spacing w:val="-2"/>
          <w:sz w:val="20"/>
        </w:rPr>
        <w:t>пред- </w:t>
      </w:r>
      <w:r>
        <w:rPr>
          <w:i/>
          <w:color w:val="231F20"/>
          <w:sz w:val="20"/>
        </w:rPr>
        <w:t>ставления</w:t>
      </w:r>
      <w:r>
        <w:rPr>
          <w:i/>
          <w:color w:val="231F20"/>
          <w:spacing w:val="-7"/>
          <w:sz w:val="20"/>
        </w:rPr>
        <w:t> </w:t>
      </w:r>
      <w:r>
        <w:rPr>
          <w:i/>
          <w:color w:val="231F20"/>
          <w:sz w:val="20"/>
        </w:rPr>
        <w:t>о</w:t>
      </w:r>
      <w:r>
        <w:rPr>
          <w:i/>
          <w:color w:val="231F20"/>
          <w:spacing w:val="-7"/>
          <w:sz w:val="20"/>
        </w:rPr>
        <w:t> </w:t>
      </w:r>
      <w:r>
        <w:rPr>
          <w:i/>
          <w:color w:val="231F20"/>
          <w:sz w:val="20"/>
        </w:rPr>
        <w:t>будущем</w:t>
      </w:r>
      <w:r>
        <w:rPr>
          <w:color w:val="231F20"/>
          <w:sz w:val="20"/>
        </w:rPr>
        <w:t>.</w:t>
      </w:r>
      <w:r>
        <w:rPr>
          <w:color w:val="231F20"/>
          <w:spacing w:val="-7"/>
          <w:sz w:val="20"/>
        </w:rPr>
        <w:t> </w:t>
      </w:r>
      <w:r>
        <w:rPr>
          <w:color w:val="231F20"/>
          <w:sz w:val="20"/>
        </w:rPr>
        <w:t>Важно</w:t>
      </w:r>
      <w:r>
        <w:rPr>
          <w:color w:val="231F20"/>
          <w:spacing w:val="-7"/>
          <w:sz w:val="20"/>
        </w:rPr>
        <w:t> </w:t>
      </w:r>
      <w:r>
        <w:rPr>
          <w:color w:val="231F20"/>
          <w:sz w:val="20"/>
        </w:rPr>
        <w:t>увидеть,</w:t>
      </w:r>
      <w:r>
        <w:rPr>
          <w:color w:val="231F20"/>
          <w:spacing w:val="-7"/>
          <w:sz w:val="20"/>
        </w:rPr>
        <w:t> </w:t>
      </w:r>
      <w:r>
        <w:rPr>
          <w:color w:val="231F20"/>
          <w:sz w:val="20"/>
        </w:rPr>
        <w:t>как</w:t>
      </w:r>
      <w:r>
        <w:rPr>
          <w:color w:val="231F20"/>
          <w:spacing w:val="-7"/>
          <w:sz w:val="20"/>
        </w:rPr>
        <w:t> </w:t>
      </w:r>
      <w:r>
        <w:rPr>
          <w:color w:val="231F20"/>
          <w:sz w:val="20"/>
        </w:rPr>
        <w:t>то,</w:t>
      </w:r>
      <w:r>
        <w:rPr>
          <w:color w:val="231F20"/>
          <w:spacing w:val="-7"/>
          <w:sz w:val="20"/>
        </w:rPr>
        <w:t> </w:t>
      </w:r>
      <w:r>
        <w:rPr>
          <w:color w:val="231F20"/>
          <w:sz w:val="20"/>
        </w:rPr>
        <w:t>что</w:t>
      </w:r>
      <w:r>
        <w:rPr>
          <w:color w:val="231F20"/>
          <w:spacing w:val="-7"/>
          <w:sz w:val="20"/>
        </w:rPr>
        <w:t> </w:t>
      </w:r>
      <w:r>
        <w:rPr>
          <w:color w:val="231F20"/>
          <w:sz w:val="20"/>
        </w:rPr>
        <w:t>ты</w:t>
      </w:r>
      <w:r>
        <w:rPr>
          <w:color w:val="231F20"/>
          <w:spacing w:val="-7"/>
          <w:sz w:val="20"/>
        </w:rPr>
        <w:t> </w:t>
      </w:r>
      <w:r>
        <w:rPr>
          <w:color w:val="231F20"/>
          <w:sz w:val="20"/>
        </w:rPr>
        <w:t>делаешь,</w:t>
      </w:r>
      <w:r>
        <w:rPr>
          <w:color w:val="231F20"/>
          <w:spacing w:val="-7"/>
          <w:sz w:val="20"/>
        </w:rPr>
        <w:t> </w:t>
      </w:r>
      <w:r>
        <w:rPr>
          <w:color w:val="231F20"/>
          <w:sz w:val="20"/>
        </w:rPr>
        <w:t>меняет</w:t>
      </w:r>
      <w:r>
        <w:rPr>
          <w:color w:val="231F20"/>
          <w:spacing w:val="-7"/>
          <w:sz w:val="20"/>
        </w:rPr>
        <w:t> </w:t>
      </w:r>
      <w:r>
        <w:rPr>
          <w:color w:val="231F20"/>
          <w:sz w:val="20"/>
        </w:rPr>
        <w:t>завтрашний день.</w:t>
      </w:r>
      <w:r>
        <w:rPr>
          <w:color w:val="231F20"/>
          <w:spacing w:val="-13"/>
          <w:sz w:val="20"/>
        </w:rPr>
        <w:t> </w:t>
      </w:r>
      <w:r>
        <w:rPr>
          <w:color w:val="231F20"/>
          <w:sz w:val="20"/>
        </w:rPr>
        <w:t>Будут</w:t>
      </w:r>
      <w:r>
        <w:rPr>
          <w:color w:val="231F20"/>
          <w:spacing w:val="-12"/>
          <w:sz w:val="20"/>
        </w:rPr>
        <w:t> </w:t>
      </w:r>
      <w:r>
        <w:rPr>
          <w:color w:val="231F20"/>
          <w:sz w:val="20"/>
        </w:rPr>
        <w:t>ли</w:t>
      </w:r>
      <w:r>
        <w:rPr>
          <w:color w:val="231F20"/>
          <w:spacing w:val="-13"/>
          <w:sz w:val="20"/>
        </w:rPr>
        <w:t> </w:t>
      </w:r>
      <w:r>
        <w:rPr>
          <w:color w:val="231F20"/>
          <w:sz w:val="20"/>
        </w:rPr>
        <w:t>от</w:t>
      </w:r>
      <w:r>
        <w:rPr>
          <w:color w:val="231F20"/>
          <w:spacing w:val="-12"/>
          <w:sz w:val="20"/>
        </w:rPr>
        <w:t> </w:t>
      </w:r>
      <w:r>
        <w:rPr>
          <w:color w:val="231F20"/>
          <w:sz w:val="20"/>
        </w:rPr>
        <w:t>твоих</w:t>
      </w:r>
      <w:r>
        <w:rPr>
          <w:color w:val="231F20"/>
          <w:spacing w:val="-13"/>
          <w:sz w:val="20"/>
        </w:rPr>
        <w:t> </w:t>
      </w:r>
      <w:r>
        <w:rPr>
          <w:color w:val="231F20"/>
          <w:sz w:val="20"/>
        </w:rPr>
        <w:t>действий</w:t>
      </w:r>
      <w:r>
        <w:rPr>
          <w:color w:val="231F20"/>
          <w:spacing w:val="-12"/>
          <w:sz w:val="20"/>
        </w:rPr>
        <w:t> </w:t>
      </w:r>
      <w:r>
        <w:rPr>
          <w:color w:val="231F20"/>
          <w:sz w:val="20"/>
        </w:rPr>
        <w:t>реальные</w:t>
      </w:r>
      <w:r>
        <w:rPr>
          <w:color w:val="231F20"/>
          <w:spacing w:val="-13"/>
          <w:sz w:val="20"/>
        </w:rPr>
        <w:t> </w:t>
      </w:r>
      <w:r>
        <w:rPr>
          <w:color w:val="231F20"/>
          <w:sz w:val="20"/>
        </w:rPr>
        <w:t>и</w:t>
      </w:r>
      <w:r>
        <w:rPr>
          <w:color w:val="231F20"/>
          <w:spacing w:val="-12"/>
          <w:sz w:val="20"/>
        </w:rPr>
        <w:t> </w:t>
      </w:r>
      <w:r>
        <w:rPr>
          <w:color w:val="231F20"/>
          <w:sz w:val="20"/>
        </w:rPr>
        <w:t>значимые</w:t>
      </w:r>
      <w:r>
        <w:rPr>
          <w:color w:val="231F20"/>
          <w:spacing w:val="-13"/>
          <w:sz w:val="20"/>
        </w:rPr>
        <w:t> </w:t>
      </w:r>
      <w:r>
        <w:rPr>
          <w:color w:val="231F20"/>
          <w:sz w:val="20"/>
        </w:rPr>
        <w:t>изменения?</w:t>
      </w:r>
      <w:r>
        <w:rPr>
          <w:color w:val="231F20"/>
          <w:spacing w:val="-12"/>
          <w:sz w:val="20"/>
        </w:rPr>
        <w:t> </w:t>
      </w:r>
      <w:r>
        <w:rPr>
          <w:color w:val="231F20"/>
          <w:sz w:val="20"/>
        </w:rPr>
        <w:t>Для</w:t>
      </w:r>
      <w:r>
        <w:rPr>
          <w:color w:val="231F20"/>
          <w:spacing w:val="-13"/>
          <w:sz w:val="20"/>
        </w:rPr>
        <w:t> </w:t>
      </w:r>
      <w:r>
        <w:rPr>
          <w:color w:val="231F20"/>
          <w:sz w:val="20"/>
        </w:rPr>
        <w:t>этого</w:t>
      </w:r>
      <w:r>
        <w:rPr>
          <w:color w:val="231F20"/>
          <w:spacing w:val="-12"/>
          <w:sz w:val="20"/>
        </w:rPr>
        <w:t> </w:t>
      </w:r>
      <w:r>
        <w:rPr>
          <w:color w:val="231F20"/>
          <w:sz w:val="20"/>
        </w:rPr>
        <w:t>надо понимать, какими ты хочешь видеть свой дом, друзей, свой класс, свою школу, свой</w:t>
      </w:r>
      <w:r>
        <w:rPr>
          <w:color w:val="231F20"/>
          <w:spacing w:val="-5"/>
          <w:sz w:val="20"/>
        </w:rPr>
        <w:t> </w:t>
      </w:r>
      <w:r>
        <w:rPr>
          <w:color w:val="231F20"/>
          <w:sz w:val="20"/>
        </w:rPr>
        <w:t>город,</w:t>
      </w:r>
      <w:r>
        <w:rPr>
          <w:color w:val="231F20"/>
          <w:spacing w:val="-5"/>
          <w:sz w:val="20"/>
        </w:rPr>
        <w:t> </w:t>
      </w:r>
      <w:r>
        <w:rPr>
          <w:color w:val="231F20"/>
          <w:sz w:val="20"/>
        </w:rPr>
        <w:t>край,</w:t>
      </w:r>
      <w:r>
        <w:rPr>
          <w:color w:val="231F20"/>
          <w:spacing w:val="-5"/>
          <w:sz w:val="20"/>
        </w:rPr>
        <w:t> </w:t>
      </w:r>
      <w:r>
        <w:rPr>
          <w:color w:val="231F20"/>
          <w:sz w:val="20"/>
        </w:rPr>
        <w:t>страну?</w:t>
      </w:r>
      <w:r>
        <w:rPr>
          <w:color w:val="231F20"/>
          <w:spacing w:val="-5"/>
          <w:sz w:val="20"/>
        </w:rPr>
        <w:t> </w:t>
      </w:r>
      <w:r>
        <w:rPr>
          <w:color w:val="231F20"/>
          <w:sz w:val="20"/>
        </w:rPr>
        <w:t>Важно,</w:t>
      </w:r>
      <w:r>
        <w:rPr>
          <w:color w:val="231F20"/>
          <w:spacing w:val="-5"/>
          <w:sz w:val="20"/>
        </w:rPr>
        <w:t> </w:t>
      </w:r>
      <w:r>
        <w:rPr>
          <w:color w:val="231F20"/>
          <w:sz w:val="20"/>
        </w:rPr>
        <w:t>чтобы</w:t>
      </w:r>
      <w:r>
        <w:rPr>
          <w:color w:val="231F20"/>
          <w:spacing w:val="-5"/>
          <w:sz w:val="20"/>
        </w:rPr>
        <w:t> </w:t>
      </w:r>
      <w:r>
        <w:rPr>
          <w:color w:val="231F20"/>
          <w:sz w:val="20"/>
        </w:rPr>
        <w:t>эти</w:t>
      </w:r>
      <w:r>
        <w:rPr>
          <w:color w:val="231F20"/>
          <w:spacing w:val="-5"/>
          <w:sz w:val="20"/>
        </w:rPr>
        <w:t> </w:t>
      </w:r>
      <w:r>
        <w:rPr>
          <w:color w:val="231F20"/>
          <w:sz w:val="20"/>
        </w:rPr>
        <w:t>представления</w:t>
      </w:r>
      <w:r>
        <w:rPr>
          <w:color w:val="231F20"/>
          <w:spacing w:val="-5"/>
          <w:sz w:val="20"/>
        </w:rPr>
        <w:t> </w:t>
      </w:r>
      <w:r>
        <w:rPr>
          <w:color w:val="231F20"/>
          <w:sz w:val="20"/>
        </w:rPr>
        <w:t>не</w:t>
      </w:r>
      <w:r>
        <w:rPr>
          <w:color w:val="231F20"/>
          <w:spacing w:val="-5"/>
          <w:sz w:val="20"/>
        </w:rPr>
        <w:t> </w:t>
      </w:r>
      <w:r>
        <w:rPr>
          <w:color w:val="231F20"/>
          <w:sz w:val="20"/>
        </w:rPr>
        <w:t>были</w:t>
      </w:r>
      <w:r>
        <w:rPr>
          <w:color w:val="231F20"/>
          <w:spacing w:val="-5"/>
          <w:sz w:val="20"/>
        </w:rPr>
        <w:t> </w:t>
      </w:r>
      <w:r>
        <w:rPr>
          <w:color w:val="231F20"/>
          <w:sz w:val="20"/>
        </w:rPr>
        <w:t>навязаны</w:t>
      </w:r>
      <w:r>
        <w:rPr>
          <w:color w:val="231F20"/>
          <w:spacing w:val="-5"/>
          <w:sz w:val="20"/>
        </w:rPr>
        <w:t> </w:t>
      </w:r>
      <w:r>
        <w:rPr>
          <w:color w:val="231F20"/>
          <w:sz w:val="20"/>
        </w:rPr>
        <w:t>или</w:t>
      </w:r>
    </w:p>
    <w:p>
      <w:pPr>
        <w:pStyle w:val="BodyText"/>
        <w:spacing w:line="235" w:lineRule="auto" w:before="3"/>
        <w:ind w:left="425" w:firstLine="0"/>
      </w:pPr>
      <w:r>
        <w:rPr>
          <w:color w:val="231F20"/>
        </w:rPr>
        <w:t>«спущены сверху», важно прожить, осмыслить и присвоить этот опыт через дис- куссии и размышления.</w:t>
      </w:r>
    </w:p>
    <w:p>
      <w:pPr>
        <w:pStyle w:val="ListParagraph"/>
        <w:numPr>
          <w:ilvl w:val="0"/>
          <w:numId w:val="156"/>
        </w:numPr>
        <w:tabs>
          <w:tab w:pos="423" w:val="left" w:leader="none"/>
          <w:tab w:pos="425" w:val="left" w:leader="none"/>
        </w:tabs>
        <w:spacing w:line="235" w:lineRule="auto" w:before="2" w:after="0"/>
        <w:ind w:left="425" w:right="139" w:hanging="284"/>
        <w:jc w:val="both"/>
        <w:rPr>
          <w:sz w:val="20"/>
        </w:rPr>
      </w:pPr>
      <w:r>
        <w:rPr>
          <w:color w:val="231F20"/>
          <w:sz w:val="20"/>
        </w:rPr>
        <w:t>Нацеленность на построение форматов </w:t>
      </w:r>
      <w:r>
        <w:rPr>
          <w:i/>
          <w:color w:val="231F20"/>
          <w:sz w:val="20"/>
        </w:rPr>
        <w:t>конвертации прошлого и настоящего в будущее.</w:t>
      </w:r>
      <w:r>
        <w:rPr>
          <w:i/>
          <w:color w:val="231F20"/>
          <w:spacing w:val="-6"/>
          <w:sz w:val="20"/>
        </w:rPr>
        <w:t> </w:t>
      </w:r>
      <w:r>
        <w:rPr>
          <w:color w:val="231F20"/>
          <w:sz w:val="20"/>
        </w:rPr>
        <w:t>Краеведение</w:t>
      </w:r>
      <w:r>
        <w:rPr>
          <w:color w:val="231F20"/>
          <w:spacing w:val="-6"/>
          <w:sz w:val="20"/>
        </w:rPr>
        <w:t> </w:t>
      </w:r>
      <w:r>
        <w:rPr>
          <w:color w:val="231F20"/>
          <w:sz w:val="20"/>
        </w:rPr>
        <w:t>может</w:t>
      </w:r>
      <w:r>
        <w:rPr>
          <w:color w:val="231F20"/>
          <w:spacing w:val="-6"/>
          <w:sz w:val="20"/>
        </w:rPr>
        <w:t> </w:t>
      </w:r>
      <w:r>
        <w:rPr>
          <w:color w:val="231F20"/>
          <w:sz w:val="20"/>
        </w:rPr>
        <w:t>стать</w:t>
      </w:r>
      <w:r>
        <w:rPr>
          <w:color w:val="231F20"/>
          <w:spacing w:val="-6"/>
          <w:sz w:val="20"/>
        </w:rPr>
        <w:t> </w:t>
      </w:r>
      <w:r>
        <w:rPr>
          <w:color w:val="231F20"/>
          <w:sz w:val="20"/>
        </w:rPr>
        <w:t>мостиком,</w:t>
      </w:r>
      <w:r>
        <w:rPr>
          <w:color w:val="231F20"/>
          <w:spacing w:val="-6"/>
          <w:sz w:val="20"/>
        </w:rPr>
        <w:t> </w:t>
      </w:r>
      <w:r>
        <w:rPr>
          <w:color w:val="231F20"/>
          <w:sz w:val="20"/>
        </w:rPr>
        <w:t>соединяющим</w:t>
      </w:r>
      <w:r>
        <w:rPr>
          <w:color w:val="231F20"/>
          <w:spacing w:val="-5"/>
          <w:sz w:val="20"/>
        </w:rPr>
        <w:t> </w:t>
      </w:r>
      <w:r>
        <w:rPr>
          <w:color w:val="231F20"/>
          <w:sz w:val="20"/>
        </w:rPr>
        <w:t>прошлое,</w:t>
      </w:r>
      <w:r>
        <w:rPr>
          <w:color w:val="231F20"/>
          <w:spacing w:val="-6"/>
          <w:sz w:val="20"/>
        </w:rPr>
        <w:t> </w:t>
      </w:r>
      <w:r>
        <w:rPr>
          <w:color w:val="231F20"/>
          <w:sz w:val="20"/>
        </w:rPr>
        <w:t>настоящее и</w:t>
      </w:r>
      <w:r>
        <w:rPr>
          <w:color w:val="231F20"/>
          <w:spacing w:val="-6"/>
          <w:sz w:val="20"/>
        </w:rPr>
        <w:t> </w:t>
      </w:r>
      <w:r>
        <w:rPr>
          <w:color w:val="231F20"/>
          <w:sz w:val="20"/>
        </w:rPr>
        <w:t>будущее</w:t>
      </w:r>
      <w:r>
        <w:rPr>
          <w:color w:val="231F20"/>
          <w:spacing w:val="-6"/>
          <w:sz w:val="20"/>
        </w:rPr>
        <w:t> </w:t>
      </w:r>
      <w:r>
        <w:rPr>
          <w:color w:val="231F20"/>
          <w:sz w:val="20"/>
        </w:rPr>
        <w:t>в</w:t>
      </w:r>
      <w:r>
        <w:rPr>
          <w:color w:val="231F20"/>
          <w:spacing w:val="-6"/>
          <w:sz w:val="20"/>
        </w:rPr>
        <w:t> </w:t>
      </w:r>
      <w:r>
        <w:rPr>
          <w:color w:val="231F20"/>
          <w:sz w:val="20"/>
        </w:rPr>
        <w:t>локальных</w:t>
      </w:r>
      <w:r>
        <w:rPr>
          <w:color w:val="231F20"/>
          <w:spacing w:val="-6"/>
          <w:sz w:val="20"/>
        </w:rPr>
        <w:t> </w:t>
      </w:r>
      <w:r>
        <w:rPr>
          <w:color w:val="231F20"/>
          <w:sz w:val="20"/>
        </w:rPr>
        <w:t>практиках</w:t>
      </w:r>
      <w:r>
        <w:rPr>
          <w:color w:val="231F20"/>
          <w:spacing w:val="-6"/>
          <w:sz w:val="20"/>
        </w:rPr>
        <w:t> </w:t>
      </w:r>
      <w:r>
        <w:rPr>
          <w:color w:val="231F20"/>
          <w:sz w:val="20"/>
        </w:rPr>
        <w:t>местных</w:t>
      </w:r>
      <w:r>
        <w:rPr>
          <w:color w:val="231F20"/>
          <w:spacing w:val="-6"/>
          <w:sz w:val="20"/>
        </w:rPr>
        <w:t> </w:t>
      </w:r>
      <w:r>
        <w:rPr>
          <w:color w:val="231F20"/>
          <w:sz w:val="20"/>
        </w:rPr>
        <w:t>сообществ.</w:t>
      </w:r>
      <w:r>
        <w:rPr>
          <w:color w:val="231F20"/>
          <w:spacing w:val="-6"/>
          <w:sz w:val="20"/>
        </w:rPr>
        <w:t> </w:t>
      </w:r>
      <w:r>
        <w:rPr>
          <w:color w:val="231F20"/>
          <w:sz w:val="20"/>
        </w:rPr>
        <w:t>Сверхзадача</w:t>
      </w:r>
      <w:r>
        <w:rPr>
          <w:color w:val="231F20"/>
          <w:spacing w:val="-6"/>
          <w:sz w:val="20"/>
        </w:rPr>
        <w:t> </w:t>
      </w:r>
      <w:r>
        <w:rPr>
          <w:color w:val="231F20"/>
          <w:sz w:val="20"/>
        </w:rPr>
        <w:t>программы</w:t>
      </w:r>
      <w:r>
        <w:rPr>
          <w:color w:val="231F20"/>
          <w:spacing w:val="-6"/>
          <w:sz w:val="20"/>
        </w:rPr>
        <w:t> </w:t>
      </w:r>
      <w:r>
        <w:rPr>
          <w:color w:val="231F20"/>
          <w:sz w:val="20"/>
        </w:rPr>
        <w:t>– увидеть, осмыслить и выстроить эту связь. Именно поэтому в фокусе внимания такие аспекты, как исследовательское краеведение, взгляд в</w:t>
      </w:r>
      <w:r>
        <w:rPr>
          <w:color w:val="231F20"/>
          <w:spacing w:val="-1"/>
          <w:sz w:val="20"/>
        </w:rPr>
        <w:t> </w:t>
      </w:r>
      <w:r>
        <w:rPr>
          <w:color w:val="231F20"/>
          <w:sz w:val="20"/>
        </w:rPr>
        <w:t>будущее, созидание.</w:t>
      </w:r>
    </w:p>
    <w:p>
      <w:pPr>
        <w:pStyle w:val="BodyText"/>
        <w:spacing w:line="235" w:lineRule="auto" w:before="3"/>
      </w:pPr>
      <w:r>
        <w:rPr>
          <w:color w:val="231F20"/>
        </w:rPr>
        <w:t>Неслучайно</w:t>
      </w:r>
      <w:r>
        <w:rPr>
          <w:color w:val="231F20"/>
          <w:spacing w:val="-13"/>
        </w:rPr>
        <w:t> </w:t>
      </w:r>
      <w:r>
        <w:rPr>
          <w:color w:val="231F20"/>
        </w:rPr>
        <w:t>слово</w:t>
      </w:r>
      <w:r>
        <w:rPr>
          <w:color w:val="231F20"/>
          <w:spacing w:val="-12"/>
        </w:rPr>
        <w:t> </w:t>
      </w:r>
      <w:r>
        <w:rPr>
          <w:color w:val="231F20"/>
        </w:rPr>
        <w:t>«краеведение»</w:t>
      </w:r>
      <w:r>
        <w:rPr>
          <w:color w:val="231F20"/>
          <w:spacing w:val="-13"/>
        </w:rPr>
        <w:t> </w:t>
      </w:r>
      <w:r>
        <w:rPr>
          <w:color w:val="231F20"/>
        </w:rPr>
        <w:t>имеет</w:t>
      </w:r>
      <w:r>
        <w:rPr>
          <w:color w:val="231F20"/>
          <w:spacing w:val="-12"/>
        </w:rPr>
        <w:t> </w:t>
      </w:r>
      <w:r>
        <w:rPr>
          <w:color w:val="231F20"/>
        </w:rPr>
        <w:t>два</w:t>
      </w:r>
      <w:r>
        <w:rPr>
          <w:color w:val="231F20"/>
          <w:spacing w:val="-13"/>
        </w:rPr>
        <w:t> </w:t>
      </w:r>
      <w:r>
        <w:rPr>
          <w:color w:val="231F20"/>
        </w:rPr>
        <w:t>корня:</w:t>
      </w:r>
      <w:r>
        <w:rPr>
          <w:color w:val="231F20"/>
          <w:spacing w:val="-12"/>
        </w:rPr>
        <w:t> </w:t>
      </w:r>
      <w:r>
        <w:rPr>
          <w:color w:val="231F20"/>
        </w:rPr>
        <w:t>«край»</w:t>
      </w:r>
      <w:r>
        <w:rPr>
          <w:color w:val="231F20"/>
          <w:spacing w:val="-13"/>
        </w:rPr>
        <w:t> </w:t>
      </w:r>
      <w:r>
        <w:rPr>
          <w:color w:val="231F20"/>
        </w:rPr>
        <w:t>и</w:t>
      </w:r>
      <w:r>
        <w:rPr>
          <w:color w:val="231F20"/>
          <w:spacing w:val="-12"/>
        </w:rPr>
        <w:t> </w:t>
      </w:r>
      <w:r>
        <w:rPr>
          <w:color w:val="231F20"/>
        </w:rPr>
        <w:t>«ведать».</w:t>
      </w:r>
      <w:r>
        <w:rPr>
          <w:color w:val="231F20"/>
          <w:spacing w:val="-13"/>
        </w:rPr>
        <w:t> </w:t>
      </w:r>
      <w:r>
        <w:rPr>
          <w:color w:val="231F20"/>
        </w:rPr>
        <w:t>Край</w:t>
      </w:r>
      <w:r>
        <w:rPr>
          <w:color w:val="231F20"/>
          <w:spacing w:val="-12"/>
        </w:rPr>
        <w:t> </w:t>
      </w:r>
      <w:r>
        <w:rPr>
          <w:color w:val="231F20"/>
        </w:rPr>
        <w:t>нужно знать,</w:t>
      </w:r>
      <w:r>
        <w:rPr>
          <w:color w:val="231F20"/>
          <w:spacing w:val="-13"/>
        </w:rPr>
        <w:t> </w:t>
      </w:r>
      <w:r>
        <w:rPr>
          <w:color w:val="231F20"/>
        </w:rPr>
        <w:t>исследовать</w:t>
      </w:r>
      <w:r>
        <w:rPr>
          <w:color w:val="231F20"/>
          <w:spacing w:val="-12"/>
        </w:rPr>
        <w:t> </w:t>
      </w:r>
      <w:r>
        <w:rPr>
          <w:color w:val="231F20"/>
        </w:rPr>
        <w:t>и</w:t>
      </w:r>
      <w:r>
        <w:rPr>
          <w:color w:val="231F20"/>
          <w:spacing w:val="-13"/>
        </w:rPr>
        <w:t> </w:t>
      </w:r>
      <w:r>
        <w:rPr>
          <w:color w:val="231F20"/>
        </w:rPr>
        <w:t>изучать.</w:t>
      </w:r>
      <w:r>
        <w:rPr>
          <w:color w:val="231F20"/>
          <w:spacing w:val="-12"/>
        </w:rPr>
        <w:t> </w:t>
      </w:r>
      <w:r>
        <w:rPr>
          <w:color w:val="231F20"/>
        </w:rPr>
        <w:t>Чтобы</w:t>
      </w:r>
      <w:r>
        <w:rPr>
          <w:color w:val="231F20"/>
          <w:spacing w:val="-13"/>
        </w:rPr>
        <w:t> </w:t>
      </w:r>
      <w:r>
        <w:rPr>
          <w:color w:val="231F20"/>
        </w:rPr>
        <w:t>те</w:t>
      </w:r>
      <w:r>
        <w:rPr>
          <w:color w:val="231F20"/>
          <w:spacing w:val="-12"/>
        </w:rPr>
        <w:t> </w:t>
      </w:r>
      <w:r>
        <w:rPr>
          <w:color w:val="231F20"/>
        </w:rPr>
        <w:t>проекты,</w:t>
      </w:r>
      <w:r>
        <w:rPr>
          <w:color w:val="231F20"/>
          <w:spacing w:val="-13"/>
        </w:rPr>
        <w:t> </w:t>
      </w:r>
      <w:r>
        <w:rPr>
          <w:color w:val="231F20"/>
        </w:rPr>
        <w:t>программы,</w:t>
      </w:r>
      <w:r>
        <w:rPr>
          <w:color w:val="231F20"/>
          <w:spacing w:val="-12"/>
        </w:rPr>
        <w:t> </w:t>
      </w:r>
      <w:r>
        <w:rPr>
          <w:color w:val="231F20"/>
        </w:rPr>
        <w:t>которые</w:t>
      </w:r>
      <w:r>
        <w:rPr>
          <w:color w:val="231F20"/>
          <w:spacing w:val="-13"/>
        </w:rPr>
        <w:t> </w:t>
      </w:r>
      <w:r>
        <w:rPr>
          <w:color w:val="231F20"/>
        </w:rPr>
        <w:t>разворачивают- ся на основе проведенных исследований, постепенно выходили на уровень важных, полезных и эффективных программ развития региона.</w:t>
      </w:r>
    </w:p>
    <w:p>
      <w:pPr>
        <w:pStyle w:val="BodyText"/>
        <w:spacing w:line="235" w:lineRule="auto" w:before="2"/>
      </w:pPr>
      <w:r>
        <w:rPr>
          <w:color w:val="231F20"/>
        </w:rPr>
        <w:t>Исследовательское краеведение подразумевает постановку и реализацию раз- личных исследовательских задач на конкретной местности, топосе, которые могут осуществляться по отдельности, но могут и сложиться в «мозаику» различных ис- следовательских вопросов на одной территории, а также развиваться до системной целостной картины места во времени.</w:t>
      </w:r>
    </w:p>
    <w:p>
      <w:pPr>
        <w:spacing w:line="228" w:lineRule="exact" w:before="113"/>
        <w:ind w:left="425" w:right="0" w:firstLine="0"/>
        <w:jc w:val="both"/>
        <w:rPr>
          <w:b/>
          <w:sz w:val="20"/>
        </w:rPr>
      </w:pPr>
      <w:r>
        <w:rPr>
          <w:b/>
          <w:spacing w:val="-2"/>
          <w:sz w:val="20"/>
        </w:rPr>
        <w:t>Принципы</w:t>
      </w:r>
      <w:r>
        <w:rPr>
          <w:b/>
          <w:spacing w:val="9"/>
          <w:sz w:val="20"/>
        </w:rPr>
        <w:t> </w:t>
      </w:r>
      <w:r>
        <w:rPr>
          <w:b/>
          <w:spacing w:val="-2"/>
          <w:sz w:val="20"/>
        </w:rPr>
        <w:t>исследовательского</w:t>
      </w:r>
      <w:r>
        <w:rPr>
          <w:b/>
          <w:spacing w:val="12"/>
          <w:sz w:val="20"/>
        </w:rPr>
        <w:t> </w:t>
      </w:r>
      <w:r>
        <w:rPr>
          <w:b/>
          <w:spacing w:val="-2"/>
          <w:sz w:val="20"/>
        </w:rPr>
        <w:t>краеведения</w:t>
      </w:r>
    </w:p>
    <w:p>
      <w:pPr>
        <w:pStyle w:val="ListParagraph"/>
        <w:numPr>
          <w:ilvl w:val="0"/>
          <w:numId w:val="157"/>
        </w:numPr>
        <w:tabs>
          <w:tab w:pos="425" w:val="left" w:leader="none"/>
        </w:tabs>
        <w:spacing w:line="216" w:lineRule="auto" w:before="15" w:after="0"/>
        <w:ind w:left="425" w:right="139" w:hanging="284"/>
        <w:jc w:val="both"/>
        <w:rPr>
          <w:sz w:val="20"/>
        </w:rPr>
      </w:pPr>
      <w:r>
        <w:rPr>
          <w:sz w:val="20"/>
        </w:rPr>
        <w:t>Поддержка</w:t>
      </w:r>
      <w:r>
        <w:rPr>
          <w:spacing w:val="-13"/>
          <w:sz w:val="20"/>
        </w:rPr>
        <w:t> </w:t>
      </w:r>
      <w:r>
        <w:rPr>
          <w:sz w:val="20"/>
        </w:rPr>
        <w:t>самостоятельности</w:t>
      </w:r>
      <w:r>
        <w:rPr>
          <w:spacing w:val="-12"/>
          <w:sz w:val="20"/>
        </w:rPr>
        <w:t> </w:t>
      </w:r>
      <w:r>
        <w:rPr>
          <w:sz w:val="20"/>
        </w:rPr>
        <w:t>и</w:t>
      </w:r>
      <w:r>
        <w:rPr>
          <w:spacing w:val="-13"/>
          <w:sz w:val="20"/>
        </w:rPr>
        <w:t> </w:t>
      </w:r>
      <w:r>
        <w:rPr>
          <w:sz w:val="20"/>
        </w:rPr>
        <w:t>исследовательской</w:t>
      </w:r>
      <w:r>
        <w:rPr>
          <w:spacing w:val="-12"/>
          <w:sz w:val="20"/>
        </w:rPr>
        <w:t> </w:t>
      </w:r>
      <w:r>
        <w:rPr>
          <w:sz w:val="20"/>
        </w:rPr>
        <w:t>позиции</w:t>
      </w:r>
      <w:r>
        <w:rPr>
          <w:spacing w:val="-13"/>
          <w:sz w:val="20"/>
        </w:rPr>
        <w:t> </w:t>
      </w:r>
      <w:r>
        <w:rPr>
          <w:sz w:val="20"/>
        </w:rPr>
        <w:t>участников</w:t>
      </w:r>
      <w:r>
        <w:rPr>
          <w:spacing w:val="-12"/>
          <w:sz w:val="20"/>
        </w:rPr>
        <w:t> </w:t>
      </w:r>
      <w:r>
        <w:rPr>
          <w:sz w:val="20"/>
        </w:rPr>
        <w:t>с</w:t>
      </w:r>
      <w:r>
        <w:rPr>
          <w:spacing w:val="-13"/>
          <w:sz w:val="20"/>
        </w:rPr>
        <w:t> </w:t>
      </w:r>
      <w:r>
        <w:rPr>
          <w:sz w:val="20"/>
        </w:rPr>
        <w:t>учетом их возрастных и индивидуальных интересов, зоны ближайшего развития;</w:t>
      </w:r>
    </w:p>
    <w:p>
      <w:pPr>
        <w:pStyle w:val="ListParagraph"/>
        <w:numPr>
          <w:ilvl w:val="0"/>
          <w:numId w:val="157"/>
        </w:numPr>
        <w:tabs>
          <w:tab w:pos="425" w:val="left" w:leader="none"/>
        </w:tabs>
        <w:spacing w:line="216" w:lineRule="auto" w:before="17" w:after="0"/>
        <w:ind w:left="425" w:right="139" w:hanging="284"/>
        <w:jc w:val="both"/>
        <w:rPr>
          <w:sz w:val="20"/>
        </w:rPr>
      </w:pPr>
      <w:r>
        <w:rPr>
          <w:sz w:val="20"/>
        </w:rPr>
        <w:t>содействие обретению учащимися новых инструментов для обогащения опыта при изучении конкретных объектов на местности;</w:t>
      </w:r>
    </w:p>
    <w:p>
      <w:pPr>
        <w:pStyle w:val="ListParagraph"/>
        <w:numPr>
          <w:ilvl w:val="0"/>
          <w:numId w:val="157"/>
        </w:numPr>
        <w:tabs>
          <w:tab w:pos="425" w:val="left" w:leader="none"/>
        </w:tabs>
        <w:spacing w:line="216" w:lineRule="auto" w:before="17" w:after="0"/>
        <w:ind w:left="425" w:right="139" w:hanging="284"/>
        <w:jc w:val="both"/>
        <w:rPr>
          <w:sz w:val="20"/>
        </w:rPr>
      </w:pPr>
      <w:r>
        <w:rPr>
          <w:sz w:val="20"/>
        </w:rPr>
        <w:t>фокусировка на изучении мира вокруг себя, исследование конкретного топоса и </w:t>
      </w:r>
      <w:r>
        <w:rPr>
          <w:spacing w:val="-2"/>
          <w:sz w:val="20"/>
        </w:rPr>
        <w:t>хронотопа;</w:t>
      </w:r>
    </w:p>
    <w:p>
      <w:pPr>
        <w:pStyle w:val="ListParagraph"/>
        <w:numPr>
          <w:ilvl w:val="0"/>
          <w:numId w:val="157"/>
        </w:numPr>
        <w:tabs>
          <w:tab w:pos="425" w:val="left" w:leader="none"/>
        </w:tabs>
        <w:spacing w:line="216" w:lineRule="auto" w:before="17" w:after="0"/>
        <w:ind w:left="425" w:right="140" w:hanging="284"/>
        <w:jc w:val="both"/>
        <w:rPr>
          <w:sz w:val="20"/>
        </w:rPr>
      </w:pPr>
      <w:r>
        <w:rPr>
          <w:sz w:val="20"/>
        </w:rPr>
        <w:t>осмысление исследуемой территории как живой и меняющейся во времени </w:t>
      </w:r>
      <w:r>
        <w:rPr>
          <w:spacing w:val="-2"/>
          <w:sz w:val="20"/>
        </w:rPr>
        <w:t>системы;</w:t>
      </w:r>
    </w:p>
    <w:p>
      <w:pPr>
        <w:pStyle w:val="ListParagraph"/>
        <w:numPr>
          <w:ilvl w:val="0"/>
          <w:numId w:val="157"/>
        </w:numPr>
        <w:tabs>
          <w:tab w:pos="425" w:val="left" w:leader="none"/>
        </w:tabs>
        <w:spacing w:line="228" w:lineRule="auto" w:before="9" w:after="0"/>
        <w:ind w:left="425" w:right="139" w:hanging="284"/>
        <w:jc w:val="both"/>
        <w:rPr>
          <w:sz w:val="20"/>
        </w:rPr>
      </w:pPr>
      <w:r>
        <w:rPr>
          <w:sz w:val="20"/>
        </w:rPr>
        <w:t>актуализация и обогащение личного опыта на основе выбора и самоопределения участников, инициирование рождения замысла исследования на местности, пре- доставление</w:t>
      </w:r>
      <w:r>
        <w:rPr>
          <w:spacing w:val="-13"/>
          <w:sz w:val="20"/>
        </w:rPr>
        <w:t> </w:t>
      </w:r>
      <w:r>
        <w:rPr>
          <w:sz w:val="20"/>
        </w:rPr>
        <w:t>возможности</w:t>
      </w:r>
      <w:r>
        <w:rPr>
          <w:spacing w:val="-12"/>
          <w:sz w:val="20"/>
        </w:rPr>
        <w:t> </w:t>
      </w:r>
      <w:r>
        <w:rPr>
          <w:sz w:val="20"/>
        </w:rPr>
        <w:t>осуществить</w:t>
      </w:r>
      <w:r>
        <w:rPr>
          <w:spacing w:val="-13"/>
          <w:sz w:val="20"/>
        </w:rPr>
        <w:t> </w:t>
      </w:r>
      <w:r>
        <w:rPr>
          <w:sz w:val="20"/>
        </w:rPr>
        <w:t>пробное</w:t>
      </w:r>
      <w:r>
        <w:rPr>
          <w:spacing w:val="-12"/>
          <w:sz w:val="20"/>
        </w:rPr>
        <w:t> </w:t>
      </w:r>
      <w:r>
        <w:rPr>
          <w:sz w:val="20"/>
        </w:rPr>
        <w:t>действие</w:t>
      </w:r>
      <w:r>
        <w:rPr>
          <w:spacing w:val="-13"/>
          <w:sz w:val="20"/>
        </w:rPr>
        <w:t> </w:t>
      </w:r>
      <w:r>
        <w:rPr>
          <w:sz w:val="20"/>
        </w:rPr>
        <w:t>с</w:t>
      </w:r>
      <w:r>
        <w:rPr>
          <w:spacing w:val="-12"/>
          <w:sz w:val="20"/>
        </w:rPr>
        <w:t> </w:t>
      </w:r>
      <w:r>
        <w:rPr>
          <w:sz w:val="20"/>
        </w:rPr>
        <w:t>дальнейшим</w:t>
      </w:r>
      <w:r>
        <w:rPr>
          <w:spacing w:val="-13"/>
          <w:sz w:val="20"/>
        </w:rPr>
        <w:t> </w:t>
      </w:r>
      <w:r>
        <w:rPr>
          <w:sz w:val="20"/>
        </w:rPr>
        <w:t>погруже- нием в полный цикл исследовательской деятельности;</w:t>
      </w:r>
    </w:p>
    <w:p>
      <w:pPr>
        <w:pStyle w:val="ListParagraph"/>
        <w:numPr>
          <w:ilvl w:val="0"/>
          <w:numId w:val="157"/>
        </w:numPr>
        <w:tabs>
          <w:tab w:pos="425" w:val="left" w:leader="none"/>
        </w:tabs>
        <w:spacing w:line="228" w:lineRule="auto" w:before="9" w:after="0"/>
        <w:ind w:left="425" w:right="139" w:hanging="284"/>
        <w:jc w:val="both"/>
        <w:rPr>
          <w:sz w:val="20"/>
        </w:rPr>
      </w:pPr>
      <w:r>
        <w:rPr>
          <w:sz w:val="20"/>
        </w:rPr>
        <w:t>организация исследовательской деятельности как продуктивной в логике «замы- сел</w:t>
      </w:r>
      <w:r>
        <w:rPr>
          <w:spacing w:val="-5"/>
          <w:sz w:val="20"/>
        </w:rPr>
        <w:t> </w:t>
      </w:r>
      <w:r>
        <w:rPr>
          <w:sz w:val="20"/>
        </w:rPr>
        <w:t>–</w:t>
      </w:r>
      <w:r>
        <w:rPr>
          <w:spacing w:val="-5"/>
          <w:sz w:val="20"/>
        </w:rPr>
        <w:t> </w:t>
      </w:r>
      <w:r>
        <w:rPr>
          <w:sz w:val="20"/>
        </w:rPr>
        <w:t>реализация</w:t>
      </w:r>
      <w:r>
        <w:rPr>
          <w:spacing w:val="-5"/>
          <w:sz w:val="20"/>
        </w:rPr>
        <w:t> </w:t>
      </w:r>
      <w:r>
        <w:rPr>
          <w:sz w:val="20"/>
        </w:rPr>
        <w:t>–</w:t>
      </w:r>
      <w:r>
        <w:rPr>
          <w:spacing w:val="-5"/>
          <w:sz w:val="20"/>
        </w:rPr>
        <w:t> </w:t>
      </w:r>
      <w:r>
        <w:rPr>
          <w:sz w:val="20"/>
        </w:rPr>
        <w:t>представление</w:t>
      </w:r>
      <w:r>
        <w:rPr>
          <w:spacing w:val="-5"/>
          <w:sz w:val="20"/>
        </w:rPr>
        <w:t> </w:t>
      </w:r>
      <w:r>
        <w:rPr>
          <w:sz w:val="20"/>
        </w:rPr>
        <w:t>результатов/рефлексия»</w:t>
      </w:r>
      <w:r>
        <w:rPr>
          <w:spacing w:val="-5"/>
          <w:sz w:val="20"/>
        </w:rPr>
        <w:t> </w:t>
      </w:r>
      <w:r>
        <w:rPr>
          <w:sz w:val="20"/>
        </w:rPr>
        <w:t>с</w:t>
      </w:r>
      <w:r>
        <w:rPr>
          <w:spacing w:val="-5"/>
          <w:sz w:val="20"/>
        </w:rPr>
        <w:t> </w:t>
      </w:r>
      <w:r>
        <w:rPr>
          <w:sz w:val="20"/>
        </w:rPr>
        <w:t>возможностью</w:t>
      </w:r>
      <w:r>
        <w:rPr>
          <w:spacing w:val="-5"/>
          <w:sz w:val="20"/>
        </w:rPr>
        <w:t> </w:t>
      </w:r>
      <w:r>
        <w:rPr>
          <w:sz w:val="20"/>
        </w:rPr>
        <w:t>после завершения первого цикла переходить на новый уровень, в том числе от регио- нальных – к межрегиональным сопоставительным исследованиям;</w:t>
      </w:r>
    </w:p>
    <w:p>
      <w:pPr>
        <w:pStyle w:val="ListParagraph"/>
        <w:numPr>
          <w:ilvl w:val="0"/>
          <w:numId w:val="157"/>
        </w:numPr>
        <w:tabs>
          <w:tab w:pos="424" w:val="left" w:leader="none"/>
        </w:tabs>
        <w:spacing w:line="239" w:lineRule="exact" w:before="0" w:after="0"/>
        <w:ind w:left="424" w:right="0" w:hanging="283"/>
        <w:jc w:val="both"/>
        <w:rPr>
          <w:sz w:val="20"/>
        </w:rPr>
      </w:pPr>
      <w:r>
        <w:rPr>
          <w:sz w:val="20"/>
        </w:rPr>
        <w:t>фиксация</w:t>
      </w:r>
      <w:r>
        <w:rPr>
          <w:spacing w:val="-8"/>
          <w:sz w:val="20"/>
        </w:rPr>
        <w:t> </w:t>
      </w:r>
      <w:r>
        <w:rPr>
          <w:sz w:val="20"/>
        </w:rPr>
        <w:t>и</w:t>
      </w:r>
      <w:r>
        <w:rPr>
          <w:spacing w:val="-6"/>
          <w:sz w:val="20"/>
        </w:rPr>
        <w:t> </w:t>
      </w:r>
      <w:r>
        <w:rPr>
          <w:sz w:val="20"/>
        </w:rPr>
        <w:t>доступность</w:t>
      </w:r>
      <w:r>
        <w:rPr>
          <w:spacing w:val="-7"/>
          <w:sz w:val="20"/>
        </w:rPr>
        <w:t> </w:t>
      </w:r>
      <w:r>
        <w:rPr>
          <w:sz w:val="20"/>
        </w:rPr>
        <w:t>результатов</w:t>
      </w:r>
      <w:r>
        <w:rPr>
          <w:spacing w:val="-6"/>
          <w:sz w:val="20"/>
        </w:rPr>
        <w:t> </w:t>
      </w:r>
      <w:r>
        <w:rPr>
          <w:sz w:val="20"/>
        </w:rPr>
        <w:t>исследований</w:t>
      </w:r>
      <w:r>
        <w:rPr>
          <w:spacing w:val="-7"/>
          <w:sz w:val="20"/>
        </w:rPr>
        <w:t> </w:t>
      </w:r>
      <w:r>
        <w:rPr>
          <w:sz w:val="20"/>
        </w:rPr>
        <w:t>для</w:t>
      </w:r>
      <w:r>
        <w:rPr>
          <w:spacing w:val="-5"/>
          <w:sz w:val="20"/>
        </w:rPr>
        <w:t> </w:t>
      </w:r>
      <w:r>
        <w:rPr>
          <w:sz w:val="20"/>
        </w:rPr>
        <w:t>внешних</w:t>
      </w:r>
      <w:r>
        <w:rPr>
          <w:spacing w:val="-5"/>
          <w:sz w:val="20"/>
        </w:rPr>
        <w:t> </w:t>
      </w:r>
      <w:r>
        <w:rPr>
          <w:spacing w:val="-2"/>
          <w:sz w:val="20"/>
        </w:rPr>
        <w:t>интересантов;</w:t>
      </w:r>
    </w:p>
    <w:p>
      <w:pPr>
        <w:pStyle w:val="ListParagraph"/>
        <w:numPr>
          <w:ilvl w:val="0"/>
          <w:numId w:val="157"/>
        </w:numPr>
        <w:tabs>
          <w:tab w:pos="425" w:val="left" w:leader="none"/>
        </w:tabs>
        <w:spacing w:line="216" w:lineRule="auto" w:before="4" w:after="0"/>
        <w:ind w:left="425" w:right="141" w:hanging="284"/>
        <w:jc w:val="both"/>
        <w:rPr>
          <w:sz w:val="20"/>
        </w:rPr>
      </w:pPr>
      <w:r>
        <w:rPr>
          <w:sz w:val="20"/>
        </w:rPr>
        <w:t>обязательность конструктивной обратной связи от профильных специалистов по результатам исследований;</w:t>
      </w:r>
    </w:p>
    <w:p>
      <w:pPr>
        <w:pStyle w:val="ListParagraph"/>
        <w:spacing w:after="0" w:line="216" w:lineRule="auto"/>
        <w:jc w:val="both"/>
        <w:rPr>
          <w:sz w:val="20"/>
        </w:rPr>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ListParagraph"/>
        <w:numPr>
          <w:ilvl w:val="0"/>
          <w:numId w:val="157"/>
        </w:numPr>
        <w:tabs>
          <w:tab w:pos="425" w:val="left" w:leader="none"/>
        </w:tabs>
        <w:spacing w:line="211" w:lineRule="auto" w:before="132" w:after="0"/>
        <w:ind w:left="425" w:right="140" w:hanging="284"/>
        <w:jc w:val="left"/>
        <w:rPr>
          <w:sz w:val="20"/>
        </w:rPr>
      </w:pPr>
      <w:r>
        <w:rPr>
          <w:sz w:val="20"/>
        </w:rPr>
        <w:t>многообразие</w:t>
      </w:r>
      <w:r>
        <w:rPr>
          <w:spacing w:val="40"/>
          <w:sz w:val="20"/>
        </w:rPr>
        <w:t> </w:t>
      </w:r>
      <w:r>
        <w:rPr>
          <w:sz w:val="20"/>
        </w:rPr>
        <w:t>форм</w:t>
      </w:r>
      <w:r>
        <w:rPr>
          <w:spacing w:val="40"/>
          <w:sz w:val="20"/>
        </w:rPr>
        <w:t> </w:t>
      </w:r>
      <w:r>
        <w:rPr>
          <w:sz w:val="20"/>
        </w:rPr>
        <w:t>реализации</w:t>
      </w:r>
      <w:r>
        <w:rPr>
          <w:spacing w:val="40"/>
          <w:sz w:val="20"/>
        </w:rPr>
        <w:t> </w:t>
      </w:r>
      <w:r>
        <w:rPr>
          <w:sz w:val="20"/>
        </w:rPr>
        <w:t>исследовательской</w:t>
      </w:r>
      <w:r>
        <w:rPr>
          <w:spacing w:val="40"/>
          <w:sz w:val="20"/>
        </w:rPr>
        <w:t> </w:t>
      </w:r>
      <w:r>
        <w:rPr>
          <w:sz w:val="20"/>
        </w:rPr>
        <w:t>деятельности</w:t>
      </w:r>
      <w:r>
        <w:rPr>
          <w:spacing w:val="40"/>
          <w:sz w:val="20"/>
        </w:rPr>
        <w:t> </w:t>
      </w:r>
      <w:r>
        <w:rPr>
          <w:sz w:val="20"/>
        </w:rPr>
        <w:t>учащихся</w:t>
      </w:r>
      <w:r>
        <w:rPr>
          <w:spacing w:val="40"/>
          <w:sz w:val="20"/>
        </w:rPr>
        <w:t> </w:t>
      </w:r>
      <w:r>
        <w:rPr>
          <w:sz w:val="20"/>
        </w:rPr>
        <w:t>на </w:t>
      </w:r>
      <w:r>
        <w:rPr>
          <w:spacing w:val="-2"/>
          <w:sz w:val="20"/>
        </w:rPr>
        <w:t>местности;</w:t>
      </w:r>
    </w:p>
    <w:p>
      <w:pPr>
        <w:pStyle w:val="ListParagraph"/>
        <w:numPr>
          <w:ilvl w:val="0"/>
          <w:numId w:val="157"/>
        </w:numPr>
        <w:tabs>
          <w:tab w:pos="425" w:val="left" w:leader="none"/>
        </w:tabs>
        <w:spacing w:line="230" w:lineRule="exact" w:before="0" w:after="0"/>
        <w:ind w:left="425" w:right="0" w:hanging="284"/>
        <w:jc w:val="left"/>
        <w:rPr>
          <w:sz w:val="20"/>
        </w:rPr>
      </w:pPr>
      <w:r>
        <w:rPr>
          <w:sz w:val="20"/>
        </w:rPr>
        <w:t>приоритет</w:t>
      </w:r>
      <w:r>
        <w:rPr>
          <w:spacing w:val="-8"/>
          <w:sz w:val="20"/>
        </w:rPr>
        <w:t> </w:t>
      </w:r>
      <w:r>
        <w:rPr>
          <w:sz w:val="20"/>
        </w:rPr>
        <w:t>командных</w:t>
      </w:r>
      <w:r>
        <w:rPr>
          <w:spacing w:val="-6"/>
          <w:sz w:val="20"/>
        </w:rPr>
        <w:t> </w:t>
      </w:r>
      <w:r>
        <w:rPr>
          <w:sz w:val="20"/>
        </w:rPr>
        <w:t>форм</w:t>
      </w:r>
      <w:r>
        <w:rPr>
          <w:spacing w:val="-5"/>
          <w:sz w:val="20"/>
        </w:rPr>
        <w:t> </w:t>
      </w:r>
      <w:r>
        <w:rPr>
          <w:sz w:val="20"/>
        </w:rPr>
        <w:t>работы</w:t>
      </w:r>
      <w:r>
        <w:rPr>
          <w:spacing w:val="-6"/>
          <w:sz w:val="20"/>
        </w:rPr>
        <w:t> </w:t>
      </w:r>
      <w:r>
        <w:rPr>
          <w:sz w:val="20"/>
        </w:rPr>
        <w:t>на</w:t>
      </w:r>
      <w:r>
        <w:rPr>
          <w:spacing w:val="-5"/>
          <w:sz w:val="20"/>
        </w:rPr>
        <w:t> </w:t>
      </w:r>
      <w:r>
        <w:rPr>
          <w:sz w:val="20"/>
        </w:rPr>
        <w:t>основе</w:t>
      </w:r>
      <w:r>
        <w:rPr>
          <w:spacing w:val="-6"/>
          <w:sz w:val="20"/>
        </w:rPr>
        <w:t> </w:t>
      </w:r>
      <w:r>
        <w:rPr>
          <w:sz w:val="20"/>
        </w:rPr>
        <w:t>кооперации</w:t>
      </w:r>
      <w:r>
        <w:rPr>
          <w:spacing w:val="-6"/>
          <w:sz w:val="20"/>
        </w:rPr>
        <w:t> </w:t>
      </w:r>
      <w:r>
        <w:rPr>
          <w:sz w:val="20"/>
        </w:rPr>
        <w:t>и</w:t>
      </w:r>
      <w:r>
        <w:rPr>
          <w:spacing w:val="-6"/>
          <w:sz w:val="20"/>
        </w:rPr>
        <w:t> </w:t>
      </w:r>
      <w:r>
        <w:rPr>
          <w:spacing w:val="-2"/>
          <w:sz w:val="20"/>
        </w:rPr>
        <w:t>сотрудничества;</w:t>
      </w:r>
    </w:p>
    <w:p>
      <w:pPr>
        <w:pStyle w:val="ListParagraph"/>
        <w:numPr>
          <w:ilvl w:val="0"/>
          <w:numId w:val="157"/>
        </w:numPr>
        <w:tabs>
          <w:tab w:pos="425" w:val="left" w:leader="none"/>
        </w:tabs>
        <w:spacing w:line="220" w:lineRule="exact" w:before="0" w:after="0"/>
        <w:ind w:left="425" w:right="0" w:hanging="284"/>
        <w:jc w:val="left"/>
        <w:rPr>
          <w:sz w:val="20"/>
        </w:rPr>
      </w:pPr>
      <w:r>
        <w:rPr>
          <w:sz w:val="20"/>
        </w:rPr>
        <w:t>выявление</w:t>
      </w:r>
      <w:r>
        <w:rPr>
          <w:spacing w:val="-5"/>
          <w:sz w:val="20"/>
        </w:rPr>
        <w:t> </w:t>
      </w:r>
      <w:r>
        <w:rPr>
          <w:sz w:val="20"/>
        </w:rPr>
        <w:t>и</w:t>
      </w:r>
      <w:r>
        <w:rPr>
          <w:spacing w:val="-3"/>
          <w:sz w:val="20"/>
        </w:rPr>
        <w:t> </w:t>
      </w:r>
      <w:r>
        <w:rPr>
          <w:sz w:val="20"/>
        </w:rPr>
        <w:t>осмысление</w:t>
      </w:r>
      <w:r>
        <w:rPr>
          <w:spacing w:val="-3"/>
          <w:sz w:val="20"/>
        </w:rPr>
        <w:t> </w:t>
      </w:r>
      <w:r>
        <w:rPr>
          <w:sz w:val="20"/>
        </w:rPr>
        <w:t>многообразия</w:t>
      </w:r>
      <w:r>
        <w:rPr>
          <w:spacing w:val="-2"/>
          <w:sz w:val="20"/>
        </w:rPr>
        <w:t> мира;</w:t>
      </w:r>
    </w:p>
    <w:p>
      <w:pPr>
        <w:pStyle w:val="ListParagraph"/>
        <w:numPr>
          <w:ilvl w:val="0"/>
          <w:numId w:val="157"/>
        </w:numPr>
        <w:tabs>
          <w:tab w:pos="425" w:val="left" w:leader="none"/>
        </w:tabs>
        <w:spacing w:line="220" w:lineRule="exact" w:before="0" w:after="0"/>
        <w:ind w:left="425" w:right="0" w:hanging="284"/>
        <w:jc w:val="left"/>
        <w:rPr>
          <w:sz w:val="20"/>
        </w:rPr>
      </w:pPr>
      <w:r>
        <w:rPr>
          <w:sz w:val="20"/>
        </w:rPr>
        <w:t>взаимообогащение</w:t>
      </w:r>
      <w:r>
        <w:rPr>
          <w:spacing w:val="1"/>
          <w:sz w:val="20"/>
        </w:rPr>
        <w:t> </w:t>
      </w:r>
      <w:r>
        <w:rPr>
          <w:sz w:val="20"/>
        </w:rPr>
        <w:t>опыта</w:t>
      </w:r>
      <w:r>
        <w:rPr>
          <w:spacing w:val="1"/>
          <w:sz w:val="20"/>
        </w:rPr>
        <w:t> </w:t>
      </w:r>
      <w:r>
        <w:rPr>
          <w:spacing w:val="-2"/>
          <w:sz w:val="20"/>
        </w:rPr>
        <w:t>участников;</w:t>
      </w:r>
    </w:p>
    <w:p>
      <w:pPr>
        <w:pStyle w:val="ListParagraph"/>
        <w:numPr>
          <w:ilvl w:val="0"/>
          <w:numId w:val="157"/>
        </w:numPr>
        <w:tabs>
          <w:tab w:pos="425" w:val="left" w:leader="none"/>
        </w:tabs>
        <w:spacing w:line="211" w:lineRule="auto" w:before="5" w:after="0"/>
        <w:ind w:left="425" w:right="139" w:hanging="284"/>
        <w:jc w:val="left"/>
        <w:rPr>
          <w:i/>
          <w:sz w:val="20"/>
        </w:rPr>
      </w:pPr>
      <w:r>
        <w:rPr>
          <w:sz w:val="20"/>
        </w:rPr>
        <w:t>превалирование диалогических форм коммуникации на всех этапах реализации иссле</w:t>
      </w:r>
      <w:r>
        <w:rPr>
          <w:i/>
          <w:sz w:val="20"/>
        </w:rPr>
        <w:t>довательской деятельности.</w:t>
      </w:r>
    </w:p>
    <w:p>
      <w:pPr>
        <w:spacing w:line="225" w:lineRule="exact" w:before="107"/>
        <w:ind w:left="425" w:right="0" w:firstLine="0"/>
        <w:jc w:val="both"/>
        <w:rPr>
          <w:b/>
          <w:sz w:val="20"/>
        </w:rPr>
      </w:pPr>
      <w:r>
        <w:rPr>
          <w:b/>
          <w:color w:val="231F20"/>
          <w:sz w:val="20"/>
        </w:rPr>
        <w:t>Примеры</w:t>
      </w:r>
      <w:r>
        <w:rPr>
          <w:b/>
          <w:color w:val="231F20"/>
          <w:spacing w:val="-1"/>
          <w:sz w:val="20"/>
        </w:rPr>
        <w:t> </w:t>
      </w:r>
      <w:r>
        <w:rPr>
          <w:b/>
          <w:color w:val="231F20"/>
          <w:sz w:val="20"/>
        </w:rPr>
        <w:t>краеведческих </w:t>
      </w:r>
      <w:r>
        <w:rPr>
          <w:b/>
          <w:color w:val="231F20"/>
          <w:spacing w:val="-2"/>
          <w:sz w:val="20"/>
        </w:rPr>
        <w:t>практик</w:t>
      </w:r>
    </w:p>
    <w:p>
      <w:pPr>
        <w:pStyle w:val="BodyText"/>
        <w:spacing w:line="230" w:lineRule="auto" w:before="3"/>
      </w:pPr>
      <w:r>
        <w:rPr>
          <w:color w:val="231F20"/>
        </w:rPr>
        <w:t>Приведем</w:t>
      </w:r>
      <w:r>
        <w:rPr>
          <w:color w:val="231F20"/>
          <w:spacing w:val="-1"/>
        </w:rPr>
        <w:t> </w:t>
      </w:r>
      <w:r>
        <w:rPr>
          <w:color w:val="231F20"/>
        </w:rPr>
        <w:t>примеры практик исследовательского краеведения, которые помогают </w:t>
      </w:r>
      <w:r>
        <w:rPr>
          <w:color w:val="231F20"/>
          <w:spacing w:val="-2"/>
        </w:rPr>
        <w:t>эффективно реализовывать задачи </w:t>
      </w:r>
      <w:r>
        <w:rPr>
          <w:spacing w:val="-2"/>
        </w:rPr>
        <w:t>интеграции и построения межкультурного диалога </w:t>
      </w:r>
      <w:r>
        <w:rPr/>
        <w:t>в поликультурном классе. Оптимальны такие практики, которые могут проводиться в</w:t>
      </w:r>
      <w:r>
        <w:rPr>
          <w:spacing w:val="-6"/>
        </w:rPr>
        <w:t> </w:t>
      </w:r>
      <w:r>
        <w:rPr/>
        <w:t>поликультурных</w:t>
      </w:r>
      <w:r>
        <w:rPr>
          <w:spacing w:val="-3"/>
        </w:rPr>
        <w:t> </w:t>
      </w:r>
      <w:r>
        <w:rPr/>
        <w:t>командах</w:t>
      </w:r>
      <w:r>
        <w:rPr>
          <w:spacing w:val="-3"/>
        </w:rPr>
        <w:t> </w:t>
      </w:r>
      <w:r>
        <w:rPr/>
        <w:t>или</w:t>
      </w:r>
      <w:r>
        <w:rPr>
          <w:spacing w:val="-3"/>
        </w:rPr>
        <w:t> </w:t>
      </w:r>
      <w:r>
        <w:rPr/>
        <w:t>на</w:t>
      </w:r>
      <w:r>
        <w:rPr>
          <w:spacing w:val="-3"/>
        </w:rPr>
        <w:t> </w:t>
      </w:r>
      <w:r>
        <w:rPr/>
        <w:t>первом</w:t>
      </w:r>
      <w:r>
        <w:rPr>
          <w:spacing w:val="-4"/>
        </w:rPr>
        <w:t> </w:t>
      </w:r>
      <w:r>
        <w:rPr/>
        <w:t>этапе</w:t>
      </w:r>
      <w:r>
        <w:rPr>
          <w:spacing w:val="-3"/>
        </w:rPr>
        <w:t> </w:t>
      </w:r>
      <w:r>
        <w:rPr/>
        <w:t>индивидуально,</w:t>
      </w:r>
      <w:r>
        <w:rPr>
          <w:spacing w:val="-3"/>
        </w:rPr>
        <w:t> </w:t>
      </w:r>
      <w:r>
        <w:rPr/>
        <w:t>а</w:t>
      </w:r>
      <w:r>
        <w:rPr>
          <w:spacing w:val="-3"/>
        </w:rPr>
        <w:t> </w:t>
      </w:r>
      <w:r>
        <w:rPr/>
        <w:t>потом,</w:t>
      </w:r>
      <w:r>
        <w:rPr>
          <w:spacing w:val="-3"/>
        </w:rPr>
        <w:t> </w:t>
      </w:r>
      <w:r>
        <w:rPr/>
        <w:t>имея</w:t>
      </w:r>
      <w:r>
        <w:rPr>
          <w:spacing w:val="-3"/>
        </w:rPr>
        <w:t> </w:t>
      </w:r>
      <w:r>
        <w:rPr>
          <w:spacing w:val="-4"/>
        </w:rPr>
        <w:t>этап</w:t>
      </w:r>
    </w:p>
    <w:p>
      <w:pPr>
        <w:pStyle w:val="BodyText"/>
        <w:spacing w:line="230" w:lineRule="auto"/>
        <w:ind w:right="140" w:firstLine="0"/>
      </w:pPr>
      <w:r>
        <w:rPr/>
        <w:t>«сборки», собранные по единой схеме, с помощью освоенного всеми школьниками метода, частные факты и данные преобразуются в общую картину места.</w:t>
      </w:r>
    </w:p>
    <w:p>
      <w:pPr>
        <w:pStyle w:val="ListParagraph"/>
        <w:numPr>
          <w:ilvl w:val="0"/>
          <w:numId w:val="158"/>
        </w:numPr>
        <w:tabs>
          <w:tab w:pos="425" w:val="left" w:leader="none"/>
        </w:tabs>
        <w:spacing w:line="220" w:lineRule="exact" w:before="0" w:after="0"/>
        <w:ind w:left="425" w:right="139" w:hanging="284"/>
        <w:jc w:val="both"/>
        <w:rPr>
          <w:sz w:val="20"/>
        </w:rPr>
      </w:pPr>
      <w:r>
        <w:rPr>
          <w:color w:val="231F20"/>
          <w:sz w:val="20"/>
        </w:rPr>
        <w:t>Народная история локальной территории – многоаспектный сбор и системати- зация данных о конкретном месте из различных источников (пример – «Народ- ная история парка «Усадьба Трубецких в Хамовниках»: </w:t>
      </w:r>
      <w:r>
        <w:rPr>
          <w:color w:val="2255A6"/>
          <w:sz w:val="20"/>
          <w:u w:val="single" w:color="2255A6"/>
        </w:rPr>
        <w:t>http://точка-варения.рф/</w:t>
      </w:r>
      <w:r>
        <w:rPr>
          <w:color w:val="2255A6"/>
          <w:sz w:val="20"/>
        </w:rPr>
        <w:t> </w:t>
      </w:r>
      <w:r>
        <w:rPr>
          <w:color w:val="2255A6"/>
          <w:sz w:val="20"/>
          <w:u w:val="single" w:color="2255A6"/>
        </w:rPr>
        <w:t>page16480275.html)</w:t>
      </w:r>
      <w:r>
        <w:rPr>
          <w:color w:val="231F20"/>
          <w:sz w:val="20"/>
        </w:rPr>
        <w:t>. Такая практика может быть реализована совместно детьми из семей коренных жителей и детей-мигрантов, когда они узнают и раскрывают историю места, где теперь совместно проживают.</w:t>
      </w:r>
    </w:p>
    <w:p>
      <w:pPr>
        <w:pStyle w:val="ListParagraph"/>
        <w:numPr>
          <w:ilvl w:val="0"/>
          <w:numId w:val="158"/>
        </w:numPr>
        <w:tabs>
          <w:tab w:pos="425" w:val="left" w:leader="none"/>
        </w:tabs>
        <w:spacing w:line="220" w:lineRule="exact" w:before="0" w:after="0"/>
        <w:ind w:left="425" w:right="139" w:hanging="284"/>
        <w:jc w:val="both"/>
        <w:rPr>
          <w:sz w:val="20"/>
        </w:rPr>
      </w:pPr>
      <w:r>
        <w:rPr>
          <w:color w:val="231F20"/>
          <w:sz w:val="20"/>
        </w:rPr>
        <w:t>Устная</w:t>
      </w:r>
      <w:r>
        <w:rPr>
          <w:color w:val="231F20"/>
          <w:spacing w:val="-5"/>
          <w:sz w:val="20"/>
        </w:rPr>
        <w:t> </w:t>
      </w:r>
      <w:r>
        <w:rPr>
          <w:color w:val="231F20"/>
          <w:sz w:val="20"/>
        </w:rPr>
        <w:t>история</w:t>
      </w:r>
      <w:r>
        <w:rPr>
          <w:color w:val="231F20"/>
          <w:spacing w:val="-5"/>
          <w:sz w:val="20"/>
        </w:rPr>
        <w:t> </w:t>
      </w:r>
      <w:r>
        <w:rPr>
          <w:color w:val="231F20"/>
          <w:sz w:val="20"/>
        </w:rPr>
        <w:t>локальных</w:t>
      </w:r>
      <w:r>
        <w:rPr>
          <w:color w:val="231F20"/>
          <w:spacing w:val="-5"/>
          <w:sz w:val="20"/>
        </w:rPr>
        <w:t> </w:t>
      </w:r>
      <w:r>
        <w:rPr>
          <w:color w:val="231F20"/>
          <w:sz w:val="20"/>
        </w:rPr>
        <w:t>территорий</w:t>
      </w:r>
      <w:r>
        <w:rPr>
          <w:color w:val="231F20"/>
          <w:spacing w:val="-5"/>
          <w:sz w:val="20"/>
        </w:rPr>
        <w:t> </w:t>
      </w:r>
      <w:r>
        <w:rPr>
          <w:color w:val="231F20"/>
          <w:sz w:val="20"/>
        </w:rPr>
        <w:t>и</w:t>
      </w:r>
      <w:r>
        <w:rPr>
          <w:color w:val="231F20"/>
          <w:spacing w:val="-5"/>
          <w:sz w:val="20"/>
        </w:rPr>
        <w:t> </w:t>
      </w:r>
      <w:r>
        <w:rPr>
          <w:color w:val="231F20"/>
          <w:sz w:val="20"/>
        </w:rPr>
        <w:t>конкретных</w:t>
      </w:r>
      <w:r>
        <w:rPr>
          <w:color w:val="231F20"/>
          <w:spacing w:val="-5"/>
          <w:sz w:val="20"/>
        </w:rPr>
        <w:t> </w:t>
      </w:r>
      <w:r>
        <w:rPr>
          <w:color w:val="231F20"/>
          <w:sz w:val="20"/>
        </w:rPr>
        <w:t>поселений</w:t>
      </w:r>
      <w:r>
        <w:rPr>
          <w:color w:val="231F20"/>
          <w:spacing w:val="-5"/>
          <w:sz w:val="20"/>
        </w:rPr>
        <w:t> </w:t>
      </w:r>
      <w:r>
        <w:rPr>
          <w:color w:val="231F20"/>
          <w:sz w:val="20"/>
        </w:rPr>
        <w:t>–интервью</w:t>
      </w:r>
      <w:r>
        <w:rPr>
          <w:color w:val="231F20"/>
          <w:spacing w:val="-5"/>
          <w:sz w:val="20"/>
        </w:rPr>
        <w:t> </w:t>
      </w:r>
      <w:r>
        <w:rPr>
          <w:color w:val="231F20"/>
          <w:sz w:val="20"/>
        </w:rPr>
        <w:t>с</w:t>
      </w:r>
      <w:r>
        <w:rPr>
          <w:color w:val="231F20"/>
          <w:spacing w:val="-5"/>
          <w:sz w:val="20"/>
        </w:rPr>
        <w:t> </w:t>
      </w:r>
      <w:r>
        <w:rPr>
          <w:color w:val="231F20"/>
          <w:sz w:val="20"/>
        </w:rPr>
        <w:t>жи- телями о месте проживания, в том числе в контексте адаптации к новой террито- рии (пример – «Народная история России: устные рассказы о городах России»: </w:t>
      </w:r>
      <w:hyperlink r:id="rId164">
        <w:r>
          <w:rPr>
            <w:color w:val="2255A6"/>
            <w:sz w:val="20"/>
            <w:u w:val="single" w:color="2255A6"/>
          </w:rPr>
          <w:t>https://pastandnow.ru/</w:t>
        </w:r>
      </w:hyperlink>
      <w:r>
        <w:rPr>
          <w:color w:val="231F20"/>
          <w:sz w:val="20"/>
        </w:rPr>
        <w:t>). В выборке присутствуют как коренные жители, так и не- давно</w:t>
      </w:r>
      <w:r>
        <w:rPr>
          <w:color w:val="231F20"/>
          <w:spacing w:val="-1"/>
          <w:sz w:val="20"/>
        </w:rPr>
        <w:t> </w:t>
      </w:r>
      <w:r>
        <w:rPr>
          <w:color w:val="231F20"/>
          <w:sz w:val="20"/>
        </w:rPr>
        <w:t>приехавшие,</w:t>
      </w:r>
      <w:r>
        <w:rPr>
          <w:color w:val="231F20"/>
          <w:spacing w:val="-1"/>
          <w:sz w:val="20"/>
        </w:rPr>
        <w:t> </w:t>
      </w:r>
      <w:r>
        <w:rPr>
          <w:color w:val="231F20"/>
          <w:sz w:val="20"/>
        </w:rPr>
        <w:t>их</w:t>
      </w:r>
      <w:r>
        <w:rPr>
          <w:color w:val="231F20"/>
          <w:spacing w:val="-1"/>
          <w:sz w:val="20"/>
        </w:rPr>
        <w:t> </w:t>
      </w:r>
      <w:r>
        <w:rPr>
          <w:color w:val="231F20"/>
          <w:sz w:val="20"/>
        </w:rPr>
        <w:t>жизненные</w:t>
      </w:r>
      <w:r>
        <w:rPr>
          <w:color w:val="231F20"/>
          <w:spacing w:val="-1"/>
          <w:sz w:val="20"/>
        </w:rPr>
        <w:t> </w:t>
      </w:r>
      <w:r>
        <w:rPr>
          <w:color w:val="231F20"/>
          <w:sz w:val="20"/>
        </w:rPr>
        <w:t>истории,</w:t>
      </w:r>
      <w:r>
        <w:rPr>
          <w:color w:val="231F20"/>
          <w:spacing w:val="-1"/>
          <w:sz w:val="20"/>
        </w:rPr>
        <w:t> </w:t>
      </w:r>
      <w:r>
        <w:rPr>
          <w:color w:val="231F20"/>
          <w:sz w:val="20"/>
        </w:rPr>
        <w:t>их</w:t>
      </w:r>
      <w:r>
        <w:rPr>
          <w:color w:val="231F20"/>
          <w:spacing w:val="-1"/>
          <w:sz w:val="20"/>
        </w:rPr>
        <w:t> </w:t>
      </w:r>
      <w:r>
        <w:rPr>
          <w:color w:val="231F20"/>
          <w:sz w:val="20"/>
        </w:rPr>
        <w:t>восприятие</w:t>
      </w:r>
      <w:r>
        <w:rPr>
          <w:color w:val="231F20"/>
          <w:spacing w:val="-1"/>
          <w:sz w:val="20"/>
        </w:rPr>
        <w:t> </w:t>
      </w:r>
      <w:r>
        <w:rPr>
          <w:color w:val="231F20"/>
          <w:sz w:val="20"/>
        </w:rPr>
        <w:t>и</w:t>
      </w:r>
      <w:r>
        <w:rPr>
          <w:color w:val="231F20"/>
          <w:spacing w:val="-1"/>
          <w:sz w:val="20"/>
        </w:rPr>
        <w:t> </w:t>
      </w:r>
      <w:r>
        <w:rPr>
          <w:color w:val="231F20"/>
          <w:sz w:val="20"/>
        </w:rPr>
        <w:t>видение</w:t>
      </w:r>
      <w:r>
        <w:rPr>
          <w:color w:val="231F20"/>
          <w:spacing w:val="-1"/>
          <w:sz w:val="20"/>
        </w:rPr>
        <w:t> </w:t>
      </w:r>
      <w:r>
        <w:rPr>
          <w:color w:val="231F20"/>
          <w:sz w:val="20"/>
        </w:rPr>
        <w:t>истории</w:t>
      </w:r>
      <w:r>
        <w:rPr>
          <w:color w:val="231F20"/>
          <w:spacing w:val="-1"/>
          <w:sz w:val="20"/>
        </w:rPr>
        <w:t> </w:t>
      </w:r>
      <w:r>
        <w:rPr>
          <w:color w:val="231F20"/>
          <w:sz w:val="20"/>
        </w:rPr>
        <w:t>ме- ста в сравнении с историей своей семьи.</w:t>
      </w:r>
    </w:p>
    <w:p>
      <w:pPr>
        <w:pStyle w:val="ListParagraph"/>
        <w:numPr>
          <w:ilvl w:val="0"/>
          <w:numId w:val="158"/>
        </w:numPr>
        <w:tabs>
          <w:tab w:pos="425" w:val="left" w:leader="none"/>
        </w:tabs>
        <w:spacing w:line="220" w:lineRule="exact" w:before="0" w:after="0"/>
        <w:ind w:left="425" w:right="139" w:hanging="284"/>
        <w:jc w:val="both"/>
        <w:rPr>
          <w:sz w:val="20"/>
        </w:rPr>
      </w:pPr>
      <w:r>
        <w:rPr>
          <w:color w:val="231F20"/>
          <w:sz w:val="20"/>
        </w:rPr>
        <w:t>Ментальная картография, семейные традиции, биографические интервью – вы- полнение простых исследовательских заданий, результаты которых интересно сопоставлять друг с другом (примеры – видеозадания «Человечного вторника» в рамках</w:t>
      </w:r>
      <w:r>
        <w:rPr>
          <w:color w:val="231F20"/>
          <w:spacing w:val="-13"/>
          <w:sz w:val="20"/>
        </w:rPr>
        <w:t> </w:t>
      </w:r>
      <w:r>
        <w:rPr>
          <w:color w:val="231F20"/>
          <w:sz w:val="20"/>
        </w:rPr>
        <w:t>проекта</w:t>
      </w:r>
      <w:r>
        <w:rPr>
          <w:color w:val="231F20"/>
          <w:spacing w:val="-12"/>
          <w:sz w:val="20"/>
        </w:rPr>
        <w:t> </w:t>
      </w:r>
      <w:r>
        <w:rPr>
          <w:color w:val="231F20"/>
          <w:sz w:val="20"/>
        </w:rPr>
        <w:t>«Парк</w:t>
      </w:r>
      <w:r>
        <w:rPr>
          <w:color w:val="231F20"/>
          <w:spacing w:val="-13"/>
          <w:sz w:val="20"/>
        </w:rPr>
        <w:t> </w:t>
      </w:r>
      <w:r>
        <w:rPr>
          <w:color w:val="231F20"/>
          <w:sz w:val="20"/>
        </w:rPr>
        <w:t>онлайн»:</w:t>
      </w:r>
      <w:r>
        <w:rPr>
          <w:color w:val="231F20"/>
          <w:spacing w:val="-12"/>
          <w:sz w:val="20"/>
        </w:rPr>
        <w:t> </w:t>
      </w:r>
      <w:r>
        <w:rPr>
          <w:color w:val="2255A6"/>
          <w:sz w:val="20"/>
          <w:u w:val="single" w:color="2255A6"/>
        </w:rPr>
        <w:t>http://точка-варения.рф/page10303098.html</w:t>
      </w:r>
      <w:r>
        <w:rPr>
          <w:color w:val="231F20"/>
          <w:sz w:val="20"/>
        </w:rPr>
        <w:t>).</w:t>
      </w:r>
      <w:r>
        <w:rPr>
          <w:color w:val="231F20"/>
          <w:spacing w:val="-13"/>
          <w:sz w:val="20"/>
        </w:rPr>
        <w:t> </w:t>
      </w:r>
      <w:r>
        <w:rPr>
          <w:color w:val="231F20"/>
          <w:sz w:val="20"/>
        </w:rPr>
        <w:t>Здесь особенно интересно собрать ментальные карты конкретного места у детей с раз-</w:t>
      </w:r>
    </w:p>
    <w:p>
      <w:pPr>
        <w:pStyle w:val="BodyText"/>
        <w:spacing w:line="232" w:lineRule="auto"/>
        <w:ind w:left="425" w:firstLine="0"/>
      </w:pPr>
      <w:r>
        <w:rPr>
          <w:color w:val="231F20"/>
        </w:rPr>
        <w:t>ным</w:t>
      </w:r>
      <w:r>
        <w:rPr>
          <w:color w:val="231F20"/>
          <w:spacing w:val="-10"/>
        </w:rPr>
        <w:t> </w:t>
      </w:r>
      <w:r>
        <w:rPr>
          <w:color w:val="231F20"/>
        </w:rPr>
        <w:t>временем</w:t>
      </w:r>
      <w:r>
        <w:rPr>
          <w:color w:val="231F20"/>
          <w:spacing w:val="-10"/>
        </w:rPr>
        <w:t> </w:t>
      </w:r>
      <w:r>
        <w:rPr>
          <w:color w:val="231F20"/>
        </w:rPr>
        <w:t>проживания</w:t>
      </w:r>
      <w:r>
        <w:rPr>
          <w:color w:val="231F20"/>
          <w:spacing w:val="-10"/>
        </w:rPr>
        <w:t> </w:t>
      </w:r>
      <w:r>
        <w:rPr>
          <w:color w:val="231F20"/>
        </w:rPr>
        <w:t>на</w:t>
      </w:r>
      <w:r>
        <w:rPr>
          <w:color w:val="231F20"/>
          <w:spacing w:val="-10"/>
        </w:rPr>
        <w:t> </w:t>
      </w:r>
      <w:r>
        <w:rPr>
          <w:color w:val="231F20"/>
        </w:rPr>
        <w:t>данной</w:t>
      </w:r>
      <w:r>
        <w:rPr>
          <w:color w:val="231F20"/>
          <w:spacing w:val="-10"/>
        </w:rPr>
        <w:t> </w:t>
      </w:r>
      <w:r>
        <w:rPr>
          <w:color w:val="231F20"/>
        </w:rPr>
        <w:t>территории,</w:t>
      </w:r>
      <w:r>
        <w:rPr>
          <w:color w:val="231F20"/>
          <w:spacing w:val="-10"/>
        </w:rPr>
        <w:t> </w:t>
      </w:r>
      <w:r>
        <w:rPr>
          <w:color w:val="231F20"/>
        </w:rPr>
        <w:t>а</w:t>
      </w:r>
      <w:r>
        <w:rPr>
          <w:color w:val="231F20"/>
          <w:spacing w:val="-10"/>
        </w:rPr>
        <w:t> </w:t>
      </w:r>
      <w:r>
        <w:rPr>
          <w:color w:val="231F20"/>
        </w:rPr>
        <w:t>после</w:t>
      </w:r>
      <w:r>
        <w:rPr>
          <w:color w:val="231F20"/>
          <w:spacing w:val="-10"/>
        </w:rPr>
        <w:t> </w:t>
      </w:r>
      <w:r>
        <w:rPr>
          <w:color w:val="231F20"/>
        </w:rPr>
        <w:t>соотнести</w:t>
      </w:r>
      <w:r>
        <w:rPr>
          <w:color w:val="231F20"/>
          <w:spacing w:val="-10"/>
        </w:rPr>
        <w:t> </w:t>
      </w:r>
      <w:r>
        <w:rPr>
          <w:color w:val="231F20"/>
        </w:rPr>
        <w:t>эти</w:t>
      </w:r>
      <w:r>
        <w:rPr>
          <w:color w:val="231F20"/>
          <w:spacing w:val="-10"/>
        </w:rPr>
        <w:t> </w:t>
      </w:r>
      <w:r>
        <w:rPr>
          <w:color w:val="231F20"/>
        </w:rPr>
        <w:t>менталь- ные карты, обнаружив в них что-то общее и что-то отличное.</w:t>
      </w:r>
    </w:p>
    <w:p>
      <w:pPr>
        <w:pStyle w:val="ListParagraph"/>
        <w:numPr>
          <w:ilvl w:val="0"/>
          <w:numId w:val="158"/>
        </w:numPr>
        <w:tabs>
          <w:tab w:pos="425" w:val="left" w:leader="none"/>
        </w:tabs>
        <w:spacing w:line="222" w:lineRule="exact" w:before="0" w:after="0"/>
        <w:ind w:left="425" w:right="139" w:hanging="284"/>
        <w:jc w:val="both"/>
        <w:rPr>
          <w:sz w:val="20"/>
        </w:rPr>
      </w:pPr>
      <w:r>
        <w:rPr>
          <w:color w:val="231F20"/>
          <w:sz w:val="20"/>
        </w:rPr>
        <w:t>Визуальная антропология – фиксация повседневных обычаев или местных об- рядов,</w:t>
      </w:r>
      <w:r>
        <w:rPr>
          <w:color w:val="231F20"/>
          <w:spacing w:val="40"/>
          <w:sz w:val="20"/>
        </w:rPr>
        <w:t> </w:t>
      </w:r>
      <w:r>
        <w:rPr>
          <w:color w:val="231F20"/>
          <w:sz w:val="20"/>
        </w:rPr>
        <w:t>создание</w:t>
      </w:r>
      <w:r>
        <w:rPr>
          <w:color w:val="231F20"/>
          <w:spacing w:val="40"/>
          <w:sz w:val="20"/>
        </w:rPr>
        <w:t> </w:t>
      </w:r>
      <w:r>
        <w:rPr>
          <w:color w:val="231F20"/>
          <w:sz w:val="20"/>
        </w:rPr>
        <w:t>фильмов</w:t>
      </w:r>
      <w:r>
        <w:rPr>
          <w:color w:val="231F20"/>
          <w:spacing w:val="40"/>
          <w:sz w:val="20"/>
        </w:rPr>
        <w:t> </w:t>
      </w:r>
      <w:r>
        <w:rPr>
          <w:color w:val="231F20"/>
          <w:sz w:val="20"/>
        </w:rPr>
        <w:t>в</w:t>
      </w:r>
      <w:r>
        <w:rPr>
          <w:color w:val="231F20"/>
          <w:spacing w:val="40"/>
          <w:sz w:val="20"/>
        </w:rPr>
        <w:t> </w:t>
      </w:r>
      <w:r>
        <w:rPr>
          <w:color w:val="231F20"/>
          <w:sz w:val="20"/>
        </w:rPr>
        <w:t>жанре</w:t>
      </w:r>
      <w:r>
        <w:rPr>
          <w:color w:val="231F20"/>
          <w:spacing w:val="40"/>
          <w:sz w:val="20"/>
        </w:rPr>
        <w:t> </w:t>
      </w:r>
      <w:r>
        <w:rPr>
          <w:color w:val="231F20"/>
          <w:sz w:val="20"/>
        </w:rPr>
        <w:t>этнографического</w:t>
      </w:r>
      <w:r>
        <w:rPr>
          <w:color w:val="231F20"/>
          <w:spacing w:val="40"/>
          <w:sz w:val="20"/>
        </w:rPr>
        <w:t> </w:t>
      </w:r>
      <w:r>
        <w:rPr>
          <w:color w:val="231F20"/>
          <w:sz w:val="20"/>
        </w:rPr>
        <w:t>кино</w:t>
      </w:r>
      <w:r>
        <w:rPr>
          <w:color w:val="231F20"/>
          <w:spacing w:val="40"/>
          <w:sz w:val="20"/>
        </w:rPr>
        <w:t> </w:t>
      </w:r>
      <w:r>
        <w:rPr>
          <w:color w:val="231F20"/>
          <w:sz w:val="20"/>
        </w:rPr>
        <w:t>(пример</w:t>
      </w:r>
      <w:r>
        <w:rPr>
          <w:color w:val="231F20"/>
          <w:spacing w:val="40"/>
          <w:sz w:val="20"/>
        </w:rPr>
        <w:t> </w:t>
      </w:r>
      <w:r>
        <w:rPr>
          <w:color w:val="231F20"/>
          <w:sz w:val="20"/>
        </w:rPr>
        <w:t>–</w:t>
      </w:r>
      <w:r>
        <w:rPr>
          <w:color w:val="231F20"/>
          <w:spacing w:val="40"/>
          <w:sz w:val="20"/>
        </w:rPr>
        <w:t> </w:t>
      </w:r>
      <w:r>
        <w:rPr>
          <w:color w:val="231F20"/>
          <w:sz w:val="20"/>
        </w:rPr>
        <w:t>задание по видеофиксации в рамках проекта «Парк онлайн»: </w:t>
      </w:r>
      <w:r>
        <w:rPr>
          <w:color w:val="2255A6"/>
          <w:sz w:val="20"/>
          <w:u w:val="single" w:color="2255A6"/>
        </w:rPr>
        <w:t>http://точка-варения.рф/</w:t>
      </w:r>
      <w:r>
        <w:rPr>
          <w:color w:val="2255A6"/>
          <w:sz w:val="20"/>
        </w:rPr>
        <w:t> </w:t>
      </w:r>
      <w:r>
        <w:rPr>
          <w:color w:val="2255A6"/>
          <w:sz w:val="20"/>
          <w:u w:val="single" w:color="2255A6"/>
        </w:rPr>
        <w:t>page12202348.html</w:t>
      </w:r>
      <w:r>
        <w:rPr>
          <w:color w:val="231F20"/>
          <w:sz w:val="20"/>
        </w:rPr>
        <w:t>); создание визуальной истории места (пример – трек «Визу- альная история» на «КраеФесте»: </w:t>
      </w:r>
      <w:hyperlink r:id="rId165">
        <w:r>
          <w:rPr>
            <w:color w:val="2255A6"/>
            <w:sz w:val="20"/>
            <w:u w:val="single" w:color="2255A6"/>
          </w:rPr>
          <w:t>https://kraefest.ru/tpost/mplcsp2zn1-</w:t>
        </w:r>
        <w:r>
          <w:rPr>
            <w:color w:val="2255A6"/>
            <w:sz w:val="20"/>
            <w:u w:val="single" w:color="2255A6"/>
          </w:rPr>
          <w:t>vizualnie-</w:t>
        </w:r>
      </w:hyperlink>
      <w:r>
        <w:rPr>
          <w:color w:val="2255A6"/>
          <w:sz w:val="20"/>
        </w:rPr>
        <w:t> </w:t>
      </w:r>
      <w:hyperlink r:id="rId165">
        <w:r>
          <w:rPr>
            <w:color w:val="2255A6"/>
            <w:sz w:val="20"/>
            <w:u w:val="single" w:color="2255A6"/>
          </w:rPr>
          <w:t>istorii</w:t>
        </w:r>
      </w:hyperlink>
      <w:r>
        <w:rPr>
          <w:color w:val="231F20"/>
          <w:sz w:val="20"/>
        </w:rPr>
        <w:t>); создание документальных фильмов на заданную тему, в том числе про традиции</w:t>
      </w:r>
      <w:r>
        <w:rPr>
          <w:color w:val="231F20"/>
          <w:spacing w:val="-6"/>
          <w:sz w:val="20"/>
        </w:rPr>
        <w:t> </w:t>
      </w:r>
      <w:r>
        <w:rPr>
          <w:color w:val="231F20"/>
          <w:sz w:val="20"/>
        </w:rPr>
        <w:t>народа</w:t>
      </w:r>
      <w:r>
        <w:rPr>
          <w:color w:val="231F20"/>
          <w:spacing w:val="-6"/>
          <w:sz w:val="20"/>
        </w:rPr>
        <w:t> </w:t>
      </w:r>
      <w:r>
        <w:rPr>
          <w:color w:val="231F20"/>
          <w:sz w:val="20"/>
        </w:rPr>
        <w:t>и</w:t>
      </w:r>
      <w:r>
        <w:rPr>
          <w:color w:val="231F20"/>
          <w:spacing w:val="-6"/>
          <w:sz w:val="20"/>
        </w:rPr>
        <w:t> </w:t>
      </w:r>
      <w:r>
        <w:rPr>
          <w:color w:val="231F20"/>
          <w:sz w:val="20"/>
        </w:rPr>
        <w:t>др.</w:t>
      </w:r>
      <w:r>
        <w:rPr>
          <w:color w:val="231F20"/>
          <w:spacing w:val="-6"/>
          <w:sz w:val="20"/>
        </w:rPr>
        <w:t> </w:t>
      </w:r>
      <w:r>
        <w:rPr>
          <w:color w:val="231F20"/>
          <w:sz w:val="20"/>
        </w:rPr>
        <w:t>(пример</w:t>
      </w:r>
      <w:r>
        <w:rPr>
          <w:color w:val="231F20"/>
          <w:spacing w:val="-6"/>
          <w:sz w:val="20"/>
        </w:rPr>
        <w:t> </w:t>
      </w:r>
      <w:r>
        <w:rPr>
          <w:color w:val="231F20"/>
          <w:sz w:val="20"/>
        </w:rPr>
        <w:t>–</w:t>
      </w:r>
      <w:r>
        <w:rPr>
          <w:color w:val="231F20"/>
          <w:spacing w:val="-6"/>
          <w:sz w:val="20"/>
        </w:rPr>
        <w:t> </w:t>
      </w:r>
      <w:r>
        <w:rPr>
          <w:color w:val="231F20"/>
          <w:sz w:val="20"/>
        </w:rPr>
        <w:t>трек</w:t>
      </w:r>
      <w:r>
        <w:rPr>
          <w:color w:val="231F20"/>
          <w:spacing w:val="-6"/>
          <w:sz w:val="20"/>
        </w:rPr>
        <w:t> </w:t>
      </w:r>
      <w:r>
        <w:rPr>
          <w:color w:val="231F20"/>
          <w:sz w:val="20"/>
        </w:rPr>
        <w:t>«Снимаем</w:t>
      </w:r>
      <w:r>
        <w:rPr>
          <w:color w:val="231F20"/>
          <w:spacing w:val="-6"/>
          <w:sz w:val="20"/>
        </w:rPr>
        <w:t> </w:t>
      </w:r>
      <w:r>
        <w:rPr>
          <w:color w:val="231F20"/>
          <w:sz w:val="20"/>
        </w:rPr>
        <w:t>как</w:t>
      </w:r>
      <w:r>
        <w:rPr>
          <w:color w:val="231F20"/>
          <w:spacing w:val="-6"/>
          <w:sz w:val="20"/>
        </w:rPr>
        <w:t> </w:t>
      </w:r>
      <w:r>
        <w:rPr>
          <w:color w:val="231F20"/>
          <w:sz w:val="20"/>
        </w:rPr>
        <w:t>профи»</w:t>
      </w:r>
      <w:r>
        <w:rPr>
          <w:color w:val="231F20"/>
          <w:spacing w:val="-6"/>
          <w:sz w:val="20"/>
        </w:rPr>
        <w:t> </w:t>
      </w:r>
      <w:r>
        <w:rPr>
          <w:color w:val="231F20"/>
          <w:sz w:val="20"/>
        </w:rPr>
        <w:t>«КраеФеста»:</w:t>
      </w:r>
      <w:r>
        <w:rPr>
          <w:color w:val="231F20"/>
          <w:spacing w:val="-6"/>
          <w:sz w:val="20"/>
        </w:rPr>
        <w:t> </w:t>
      </w:r>
      <w:hyperlink r:id="rId166">
        <w:r>
          <w:rPr>
            <w:color w:val="2255A6"/>
            <w:sz w:val="20"/>
            <w:u w:val="single" w:color="2255A6"/>
          </w:rPr>
          <w:t>https://</w:t>
        </w:r>
      </w:hyperlink>
    </w:p>
    <w:p>
      <w:pPr>
        <w:pStyle w:val="BodyText"/>
        <w:spacing w:line="232" w:lineRule="auto"/>
        <w:ind w:left="425" w:firstLine="0"/>
      </w:pPr>
      <w:hyperlink r:id="rId166">
        <w:r>
          <w:rPr>
            <w:color w:val="2255A6"/>
            <w:u w:val="single" w:color="2255A6"/>
          </w:rPr>
          <w:t>kraefest.ru/tpost/6hbc85pe61-snimaem-kak-profi</w:t>
        </w:r>
      </w:hyperlink>
      <w:r>
        <w:rPr>
          <w:color w:val="231F20"/>
        </w:rPr>
        <w:t>). Здесь можно создавать целые се- рии визуальных историй, визуальных текстов о месте, о восприятии места, о лю- дях, проживающих в этом месте, об отношениях между людьми, об интересных встречах</w:t>
      </w:r>
      <w:r>
        <w:rPr>
          <w:color w:val="231F20"/>
          <w:spacing w:val="-11"/>
        </w:rPr>
        <w:t> </w:t>
      </w:r>
      <w:r>
        <w:rPr>
          <w:color w:val="231F20"/>
        </w:rPr>
        <w:t>человека</w:t>
      </w:r>
      <w:r>
        <w:rPr>
          <w:color w:val="231F20"/>
          <w:spacing w:val="-11"/>
        </w:rPr>
        <w:t> </w:t>
      </w:r>
      <w:r>
        <w:rPr>
          <w:color w:val="231F20"/>
        </w:rPr>
        <w:t>и</w:t>
      </w:r>
      <w:r>
        <w:rPr>
          <w:color w:val="231F20"/>
          <w:spacing w:val="-11"/>
        </w:rPr>
        <w:t> </w:t>
      </w:r>
      <w:r>
        <w:rPr>
          <w:color w:val="231F20"/>
        </w:rPr>
        <w:t>места,</w:t>
      </w:r>
      <w:r>
        <w:rPr>
          <w:color w:val="231F20"/>
          <w:spacing w:val="-11"/>
        </w:rPr>
        <w:t> </w:t>
      </w:r>
      <w:r>
        <w:rPr>
          <w:color w:val="231F20"/>
        </w:rPr>
        <w:t>встречах</w:t>
      </w:r>
      <w:r>
        <w:rPr>
          <w:color w:val="231F20"/>
          <w:spacing w:val="-11"/>
        </w:rPr>
        <w:t> </w:t>
      </w:r>
      <w:r>
        <w:rPr>
          <w:color w:val="231F20"/>
        </w:rPr>
        <w:t>людей</w:t>
      </w:r>
      <w:r>
        <w:rPr>
          <w:color w:val="231F20"/>
          <w:spacing w:val="-11"/>
        </w:rPr>
        <w:t> </w:t>
      </w:r>
      <w:r>
        <w:rPr>
          <w:color w:val="231F20"/>
        </w:rPr>
        <w:t>друг</w:t>
      </w:r>
      <w:r>
        <w:rPr>
          <w:color w:val="231F20"/>
          <w:spacing w:val="-11"/>
        </w:rPr>
        <w:t> </w:t>
      </w:r>
      <w:r>
        <w:rPr>
          <w:color w:val="231F20"/>
        </w:rPr>
        <w:t>с</w:t>
      </w:r>
      <w:r>
        <w:rPr>
          <w:color w:val="231F20"/>
          <w:spacing w:val="-11"/>
        </w:rPr>
        <w:t> </w:t>
      </w:r>
      <w:r>
        <w:rPr>
          <w:color w:val="231F20"/>
        </w:rPr>
        <w:t>другом.</w:t>
      </w:r>
      <w:r>
        <w:rPr>
          <w:color w:val="231F20"/>
          <w:spacing w:val="-11"/>
        </w:rPr>
        <w:t> </w:t>
      </w:r>
      <w:r>
        <w:rPr>
          <w:color w:val="231F20"/>
        </w:rPr>
        <w:t>Устраивать</w:t>
      </w:r>
      <w:r>
        <w:rPr>
          <w:color w:val="231F20"/>
          <w:spacing w:val="-11"/>
        </w:rPr>
        <w:t> </w:t>
      </w:r>
      <w:r>
        <w:rPr>
          <w:color w:val="231F20"/>
        </w:rPr>
        <w:t>совместные просмотры</w:t>
      </w:r>
      <w:r>
        <w:rPr>
          <w:color w:val="231F20"/>
          <w:spacing w:val="-11"/>
        </w:rPr>
        <w:t> </w:t>
      </w:r>
      <w:r>
        <w:rPr>
          <w:color w:val="231F20"/>
        </w:rPr>
        <w:t>и</w:t>
      </w:r>
      <w:r>
        <w:rPr>
          <w:color w:val="231F20"/>
          <w:spacing w:val="-11"/>
        </w:rPr>
        <w:t> </w:t>
      </w:r>
      <w:r>
        <w:rPr>
          <w:color w:val="231F20"/>
        </w:rPr>
        <w:t>обсуждение</w:t>
      </w:r>
      <w:r>
        <w:rPr>
          <w:color w:val="231F20"/>
          <w:spacing w:val="-11"/>
        </w:rPr>
        <w:t> </w:t>
      </w:r>
      <w:r>
        <w:rPr>
          <w:color w:val="231F20"/>
        </w:rPr>
        <w:t>разных</w:t>
      </w:r>
      <w:r>
        <w:rPr>
          <w:color w:val="231F20"/>
          <w:spacing w:val="-11"/>
        </w:rPr>
        <w:t> </w:t>
      </w:r>
      <w:r>
        <w:rPr>
          <w:color w:val="231F20"/>
        </w:rPr>
        <w:t>взглядов</w:t>
      </w:r>
      <w:r>
        <w:rPr>
          <w:color w:val="231F20"/>
          <w:spacing w:val="-11"/>
        </w:rPr>
        <w:t> </w:t>
      </w:r>
      <w:r>
        <w:rPr>
          <w:color w:val="231F20"/>
        </w:rPr>
        <w:t>и</w:t>
      </w:r>
      <w:r>
        <w:rPr>
          <w:color w:val="231F20"/>
          <w:spacing w:val="-11"/>
        </w:rPr>
        <w:t> </w:t>
      </w:r>
      <w:r>
        <w:rPr>
          <w:color w:val="231F20"/>
        </w:rPr>
        <w:t>визуальных</w:t>
      </w:r>
      <w:r>
        <w:rPr>
          <w:color w:val="231F20"/>
          <w:spacing w:val="-11"/>
        </w:rPr>
        <w:t> </w:t>
      </w:r>
      <w:r>
        <w:rPr>
          <w:color w:val="231F20"/>
        </w:rPr>
        <w:t>повествований</w:t>
      </w:r>
      <w:r>
        <w:rPr>
          <w:color w:val="231F20"/>
          <w:spacing w:val="-11"/>
        </w:rPr>
        <w:t> </w:t>
      </w:r>
      <w:r>
        <w:rPr>
          <w:color w:val="231F20"/>
        </w:rPr>
        <w:t>о</w:t>
      </w:r>
      <w:r>
        <w:rPr>
          <w:color w:val="231F20"/>
          <w:spacing w:val="-11"/>
        </w:rPr>
        <w:t> </w:t>
      </w:r>
      <w:r>
        <w:rPr>
          <w:color w:val="231F20"/>
        </w:rPr>
        <w:t>людях</w:t>
      </w:r>
      <w:r>
        <w:rPr>
          <w:color w:val="231F20"/>
          <w:spacing w:val="-11"/>
        </w:rPr>
        <w:t> </w:t>
      </w:r>
      <w:r>
        <w:rPr>
          <w:color w:val="231F20"/>
        </w:rPr>
        <w:t>и месте, где теперь проживают и коренные жители, и мигранты.</w:t>
      </w:r>
    </w:p>
    <w:p>
      <w:pPr>
        <w:pStyle w:val="BodyText"/>
        <w:spacing w:after="0" w:line="232" w:lineRule="auto"/>
        <w:sectPr>
          <w:pgSz w:w="8400" w:h="11910"/>
          <w:pgMar w:header="0" w:footer="527" w:top="400" w:bottom="740" w:left="425" w:right="425"/>
        </w:sectPr>
      </w:pPr>
    </w:p>
    <w:p>
      <w:pPr>
        <w:spacing w:before="80"/>
        <w:ind w:left="141" w:right="0" w:firstLine="0"/>
        <w:jc w:val="both"/>
        <w:rPr>
          <w:rFonts w:ascii="Georgia" w:hAnsi="Georgia"/>
          <w:sz w:val="18"/>
        </w:rPr>
      </w:pPr>
      <w:r>
        <w:rPr>
          <w:rFonts w:ascii="Georgia" w:hAnsi="Georgia"/>
          <w:color w:val="231F20"/>
          <w:sz w:val="18"/>
        </w:rPr>
        <w:t>4.3.</w:t>
      </w:r>
      <w:r>
        <w:rPr>
          <w:rFonts w:ascii="Georgia" w:hAnsi="Georgia"/>
          <w:color w:val="231F20"/>
          <w:spacing w:val="-5"/>
          <w:sz w:val="18"/>
        </w:rPr>
        <w:t> </w:t>
      </w:r>
      <w:r>
        <w:rPr>
          <w:rFonts w:ascii="Georgia" w:hAnsi="Georgia"/>
          <w:color w:val="231F20"/>
          <w:sz w:val="18"/>
        </w:rPr>
        <w:t>Методы</w:t>
      </w:r>
      <w:r>
        <w:rPr>
          <w:rFonts w:ascii="Georgia" w:hAnsi="Georgia"/>
          <w:color w:val="231F20"/>
          <w:spacing w:val="-5"/>
          <w:sz w:val="18"/>
        </w:rPr>
        <w:t> </w:t>
      </w:r>
      <w:r>
        <w:rPr>
          <w:rFonts w:ascii="Georgia" w:hAnsi="Georgia"/>
          <w:color w:val="231F20"/>
          <w:sz w:val="18"/>
        </w:rPr>
        <w:t>воспитательной</w:t>
      </w:r>
      <w:r>
        <w:rPr>
          <w:rFonts w:ascii="Georgia" w:hAnsi="Georgia"/>
          <w:color w:val="231F20"/>
          <w:spacing w:val="-4"/>
          <w:sz w:val="18"/>
        </w:rPr>
        <w:t> </w:t>
      </w:r>
      <w:r>
        <w:rPr>
          <w:rFonts w:ascii="Georgia" w:hAnsi="Georgia"/>
          <w:color w:val="231F20"/>
          <w:sz w:val="18"/>
        </w:rPr>
        <w:t>раюоты</w:t>
      </w:r>
      <w:r>
        <w:rPr>
          <w:rFonts w:ascii="Georgia" w:hAnsi="Georgia"/>
          <w:color w:val="231F20"/>
          <w:spacing w:val="-5"/>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w:t>
      </w:r>
      <w:r>
        <w:rPr>
          <w:rFonts w:ascii="Georgia" w:hAnsi="Georgia"/>
          <w:color w:val="231F20"/>
          <w:spacing w:val="-4"/>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ListParagraph"/>
        <w:numPr>
          <w:ilvl w:val="0"/>
          <w:numId w:val="159"/>
        </w:numPr>
        <w:tabs>
          <w:tab w:pos="425" w:val="left" w:leader="none"/>
        </w:tabs>
        <w:spacing w:line="237" w:lineRule="auto" w:before="100" w:after="0"/>
        <w:ind w:left="425" w:right="139" w:hanging="284"/>
        <w:jc w:val="both"/>
        <w:rPr>
          <w:sz w:val="20"/>
        </w:rPr>
      </w:pPr>
      <w:r>
        <w:rPr>
          <w:color w:val="231F20"/>
          <w:sz w:val="20"/>
        </w:rPr>
        <w:t>Музеефикация</w:t>
      </w:r>
      <w:r>
        <w:rPr>
          <w:color w:val="231F20"/>
          <w:spacing w:val="-11"/>
          <w:sz w:val="20"/>
        </w:rPr>
        <w:t> </w:t>
      </w:r>
      <w:r>
        <w:rPr>
          <w:color w:val="231F20"/>
          <w:sz w:val="20"/>
        </w:rPr>
        <w:t>интересных</w:t>
      </w:r>
      <w:r>
        <w:rPr>
          <w:color w:val="231F20"/>
          <w:spacing w:val="-11"/>
          <w:sz w:val="20"/>
        </w:rPr>
        <w:t> </w:t>
      </w:r>
      <w:r>
        <w:rPr>
          <w:color w:val="231F20"/>
          <w:sz w:val="20"/>
        </w:rPr>
        <w:t>обиходных</w:t>
      </w:r>
      <w:r>
        <w:rPr>
          <w:color w:val="231F20"/>
          <w:spacing w:val="-11"/>
          <w:sz w:val="20"/>
        </w:rPr>
        <w:t> </w:t>
      </w:r>
      <w:r>
        <w:rPr>
          <w:color w:val="231F20"/>
          <w:sz w:val="20"/>
        </w:rPr>
        <w:t>объектов</w:t>
      </w:r>
      <w:r>
        <w:rPr>
          <w:color w:val="231F20"/>
          <w:spacing w:val="-11"/>
          <w:sz w:val="20"/>
        </w:rPr>
        <w:t> </w:t>
      </w:r>
      <w:r>
        <w:rPr>
          <w:color w:val="231F20"/>
          <w:sz w:val="20"/>
        </w:rPr>
        <w:t>(пример</w:t>
      </w:r>
      <w:r>
        <w:rPr>
          <w:color w:val="231F20"/>
          <w:spacing w:val="-11"/>
          <w:sz w:val="20"/>
        </w:rPr>
        <w:t> </w:t>
      </w:r>
      <w:r>
        <w:rPr>
          <w:color w:val="231F20"/>
          <w:sz w:val="20"/>
        </w:rPr>
        <w:t>–</w:t>
      </w:r>
      <w:r>
        <w:rPr>
          <w:color w:val="231F20"/>
          <w:spacing w:val="-11"/>
          <w:sz w:val="20"/>
        </w:rPr>
        <w:t> </w:t>
      </w:r>
      <w:r>
        <w:rPr>
          <w:color w:val="231F20"/>
          <w:sz w:val="20"/>
        </w:rPr>
        <w:t>трек</w:t>
      </w:r>
      <w:r>
        <w:rPr>
          <w:color w:val="231F20"/>
          <w:spacing w:val="-11"/>
          <w:sz w:val="20"/>
        </w:rPr>
        <w:t> </w:t>
      </w:r>
      <w:r>
        <w:rPr>
          <w:color w:val="231F20"/>
          <w:sz w:val="20"/>
        </w:rPr>
        <w:t>«Музей</w:t>
      </w:r>
      <w:r>
        <w:rPr>
          <w:color w:val="231F20"/>
          <w:spacing w:val="-11"/>
          <w:sz w:val="20"/>
        </w:rPr>
        <w:t> </w:t>
      </w:r>
      <w:r>
        <w:rPr>
          <w:color w:val="231F20"/>
          <w:sz w:val="20"/>
        </w:rPr>
        <w:t>в</w:t>
      </w:r>
      <w:r>
        <w:rPr>
          <w:color w:val="231F20"/>
          <w:spacing w:val="-11"/>
          <w:sz w:val="20"/>
        </w:rPr>
        <w:t> </w:t>
      </w:r>
      <w:r>
        <w:rPr>
          <w:color w:val="231F20"/>
          <w:sz w:val="20"/>
        </w:rPr>
        <w:t>чемода- не» «КраеФеста»: </w:t>
      </w:r>
      <w:hyperlink r:id="rId167">
        <w:r>
          <w:rPr>
            <w:color w:val="2255A6"/>
            <w:sz w:val="20"/>
            <w:u w:val="single" w:color="2255A6"/>
          </w:rPr>
          <w:t>https://kraefest</w:t>
        </w:r>
        <w:r>
          <w:rPr>
            <w:color w:val="2255A6"/>
            <w:sz w:val="20"/>
          </w:rPr>
          <w:t>.</w:t>
        </w:r>
        <w:r>
          <w:rPr>
            <w:color w:val="2255A6"/>
            <w:sz w:val="20"/>
            <w:u w:val="single" w:color="2255A6"/>
          </w:rPr>
          <w:t>ru/tpost/a8jn7meuo1-muzei-v-chemodane</w:t>
        </w:r>
      </w:hyperlink>
      <w:r>
        <w:rPr>
          <w:color w:val="231F20"/>
          <w:sz w:val="20"/>
        </w:rPr>
        <w:t>). </w:t>
      </w:r>
      <w:r>
        <w:rPr>
          <w:color w:val="231F20"/>
          <w:sz w:val="20"/>
        </w:rPr>
        <w:t>После </w:t>
      </w:r>
      <w:r>
        <w:rPr>
          <w:color w:val="231F20"/>
          <w:spacing w:val="-2"/>
          <w:sz w:val="20"/>
        </w:rPr>
        <w:t>того</w:t>
      </w:r>
      <w:r>
        <w:rPr>
          <w:color w:val="231F20"/>
          <w:spacing w:val="-11"/>
          <w:sz w:val="20"/>
        </w:rPr>
        <w:t> </w:t>
      </w:r>
      <w:r>
        <w:rPr>
          <w:color w:val="231F20"/>
          <w:spacing w:val="-2"/>
          <w:sz w:val="20"/>
        </w:rPr>
        <w:t>как</w:t>
      </w:r>
      <w:r>
        <w:rPr>
          <w:color w:val="231F20"/>
          <w:spacing w:val="-10"/>
          <w:sz w:val="20"/>
        </w:rPr>
        <w:t> </w:t>
      </w:r>
      <w:r>
        <w:rPr>
          <w:color w:val="231F20"/>
          <w:spacing w:val="-2"/>
          <w:sz w:val="20"/>
        </w:rPr>
        <w:t>каждый</w:t>
      </w:r>
      <w:r>
        <w:rPr>
          <w:color w:val="231F20"/>
          <w:spacing w:val="-11"/>
          <w:sz w:val="20"/>
        </w:rPr>
        <w:t> </w:t>
      </w:r>
      <w:r>
        <w:rPr>
          <w:color w:val="231F20"/>
          <w:spacing w:val="-2"/>
          <w:sz w:val="20"/>
        </w:rPr>
        <w:t>ученик</w:t>
      </w:r>
      <w:r>
        <w:rPr>
          <w:color w:val="231F20"/>
          <w:spacing w:val="-10"/>
          <w:sz w:val="20"/>
        </w:rPr>
        <w:t> </w:t>
      </w:r>
      <w:r>
        <w:rPr>
          <w:color w:val="231F20"/>
          <w:spacing w:val="-2"/>
          <w:sz w:val="20"/>
        </w:rPr>
        <w:t>(как</w:t>
      </w:r>
      <w:r>
        <w:rPr>
          <w:color w:val="231F20"/>
          <w:spacing w:val="-11"/>
          <w:sz w:val="20"/>
        </w:rPr>
        <w:t> </w:t>
      </w:r>
      <w:r>
        <w:rPr>
          <w:color w:val="231F20"/>
          <w:spacing w:val="-2"/>
          <w:sz w:val="20"/>
        </w:rPr>
        <w:t>из</w:t>
      </w:r>
      <w:r>
        <w:rPr>
          <w:color w:val="231F20"/>
          <w:spacing w:val="-10"/>
          <w:sz w:val="20"/>
        </w:rPr>
        <w:t> </w:t>
      </w:r>
      <w:r>
        <w:rPr>
          <w:color w:val="231F20"/>
          <w:spacing w:val="-2"/>
          <w:sz w:val="20"/>
        </w:rPr>
        <w:t>семьи</w:t>
      </w:r>
      <w:r>
        <w:rPr>
          <w:color w:val="231F20"/>
          <w:spacing w:val="-11"/>
          <w:sz w:val="20"/>
        </w:rPr>
        <w:t> </w:t>
      </w:r>
      <w:r>
        <w:rPr>
          <w:color w:val="231F20"/>
          <w:spacing w:val="-2"/>
          <w:sz w:val="20"/>
        </w:rPr>
        <w:t>коренных</w:t>
      </w:r>
      <w:r>
        <w:rPr>
          <w:color w:val="231F20"/>
          <w:spacing w:val="-10"/>
          <w:sz w:val="20"/>
        </w:rPr>
        <w:t> </w:t>
      </w:r>
      <w:r>
        <w:rPr>
          <w:color w:val="231F20"/>
          <w:spacing w:val="-2"/>
          <w:sz w:val="20"/>
        </w:rPr>
        <w:t>жителей,</w:t>
      </w:r>
      <w:r>
        <w:rPr>
          <w:color w:val="231F20"/>
          <w:spacing w:val="-11"/>
          <w:sz w:val="20"/>
        </w:rPr>
        <w:t> </w:t>
      </w:r>
      <w:r>
        <w:rPr>
          <w:color w:val="231F20"/>
          <w:spacing w:val="-2"/>
          <w:sz w:val="20"/>
        </w:rPr>
        <w:t>так</w:t>
      </w:r>
      <w:r>
        <w:rPr>
          <w:color w:val="231F20"/>
          <w:spacing w:val="-10"/>
          <w:sz w:val="20"/>
        </w:rPr>
        <w:t> </w:t>
      </w:r>
      <w:r>
        <w:rPr>
          <w:color w:val="231F20"/>
          <w:spacing w:val="-2"/>
          <w:sz w:val="20"/>
        </w:rPr>
        <w:t>и</w:t>
      </w:r>
      <w:r>
        <w:rPr>
          <w:color w:val="231F20"/>
          <w:spacing w:val="-11"/>
          <w:sz w:val="20"/>
        </w:rPr>
        <w:t> </w:t>
      </w:r>
      <w:r>
        <w:rPr>
          <w:color w:val="231F20"/>
          <w:spacing w:val="-2"/>
          <w:sz w:val="20"/>
        </w:rPr>
        <w:t>из</w:t>
      </w:r>
      <w:r>
        <w:rPr>
          <w:color w:val="231F20"/>
          <w:spacing w:val="-10"/>
          <w:sz w:val="20"/>
        </w:rPr>
        <w:t> </w:t>
      </w:r>
      <w:r>
        <w:rPr>
          <w:color w:val="231F20"/>
          <w:spacing w:val="-2"/>
          <w:sz w:val="20"/>
        </w:rPr>
        <w:t>семьи</w:t>
      </w:r>
      <w:r>
        <w:rPr>
          <w:color w:val="231F20"/>
          <w:spacing w:val="-11"/>
          <w:sz w:val="20"/>
        </w:rPr>
        <w:t> </w:t>
      </w:r>
      <w:r>
        <w:rPr>
          <w:color w:val="231F20"/>
          <w:spacing w:val="-2"/>
          <w:sz w:val="20"/>
        </w:rPr>
        <w:t>мигрантов) </w:t>
      </w:r>
      <w:r>
        <w:rPr>
          <w:color w:val="231F20"/>
          <w:sz w:val="20"/>
        </w:rPr>
        <w:t>создаст</w:t>
      </w:r>
      <w:r>
        <w:rPr>
          <w:color w:val="231F20"/>
          <w:spacing w:val="-13"/>
          <w:sz w:val="20"/>
        </w:rPr>
        <w:t> </w:t>
      </w:r>
      <w:r>
        <w:rPr>
          <w:color w:val="231F20"/>
          <w:sz w:val="20"/>
        </w:rPr>
        <w:t>свой</w:t>
      </w:r>
      <w:r>
        <w:rPr>
          <w:color w:val="231F20"/>
          <w:spacing w:val="-12"/>
          <w:sz w:val="20"/>
        </w:rPr>
        <w:t> </w:t>
      </w:r>
      <w:r>
        <w:rPr>
          <w:color w:val="231F20"/>
          <w:sz w:val="20"/>
        </w:rPr>
        <w:t>«Музей</w:t>
      </w:r>
      <w:r>
        <w:rPr>
          <w:color w:val="231F20"/>
          <w:spacing w:val="-13"/>
          <w:sz w:val="20"/>
        </w:rPr>
        <w:t> </w:t>
      </w:r>
      <w:r>
        <w:rPr>
          <w:color w:val="231F20"/>
          <w:sz w:val="20"/>
        </w:rPr>
        <w:t>в</w:t>
      </w:r>
      <w:r>
        <w:rPr>
          <w:color w:val="231F20"/>
          <w:spacing w:val="-12"/>
          <w:sz w:val="20"/>
        </w:rPr>
        <w:t> </w:t>
      </w:r>
      <w:r>
        <w:rPr>
          <w:color w:val="231F20"/>
          <w:sz w:val="20"/>
        </w:rPr>
        <w:t>чемодане»,</w:t>
      </w:r>
      <w:r>
        <w:rPr>
          <w:color w:val="231F20"/>
          <w:spacing w:val="-13"/>
          <w:sz w:val="20"/>
        </w:rPr>
        <w:t> </w:t>
      </w:r>
      <w:r>
        <w:rPr>
          <w:color w:val="231F20"/>
          <w:sz w:val="20"/>
        </w:rPr>
        <w:t>изучив</w:t>
      </w:r>
      <w:r>
        <w:rPr>
          <w:color w:val="231F20"/>
          <w:spacing w:val="-12"/>
          <w:sz w:val="20"/>
        </w:rPr>
        <w:t> </w:t>
      </w:r>
      <w:r>
        <w:rPr>
          <w:color w:val="231F20"/>
          <w:sz w:val="20"/>
        </w:rPr>
        <w:t>истории</w:t>
      </w:r>
      <w:r>
        <w:rPr>
          <w:color w:val="231F20"/>
          <w:spacing w:val="-13"/>
          <w:sz w:val="20"/>
        </w:rPr>
        <w:t> </w:t>
      </w:r>
      <w:r>
        <w:rPr>
          <w:color w:val="231F20"/>
          <w:sz w:val="20"/>
        </w:rPr>
        <w:t>конкретных</w:t>
      </w:r>
      <w:r>
        <w:rPr>
          <w:color w:val="231F20"/>
          <w:spacing w:val="-12"/>
          <w:sz w:val="20"/>
        </w:rPr>
        <w:t> </w:t>
      </w:r>
      <w:r>
        <w:rPr>
          <w:color w:val="231F20"/>
          <w:sz w:val="20"/>
        </w:rPr>
        <w:t>артефактов,</w:t>
      </w:r>
      <w:r>
        <w:rPr>
          <w:color w:val="231F20"/>
          <w:spacing w:val="-13"/>
          <w:sz w:val="20"/>
        </w:rPr>
        <w:t> </w:t>
      </w:r>
      <w:r>
        <w:rPr>
          <w:color w:val="231F20"/>
          <w:sz w:val="20"/>
        </w:rPr>
        <w:t>чем-то </w:t>
      </w:r>
      <w:r>
        <w:rPr>
          <w:color w:val="231F20"/>
          <w:spacing w:val="-4"/>
          <w:sz w:val="20"/>
        </w:rPr>
        <w:t>интересных и памятных для истории семьи, можно провести «Музейный праздник», </w:t>
      </w:r>
      <w:r>
        <w:rPr>
          <w:color w:val="231F20"/>
          <w:spacing w:val="-2"/>
          <w:sz w:val="20"/>
        </w:rPr>
        <w:t>познакомив</w:t>
      </w:r>
      <w:r>
        <w:rPr>
          <w:color w:val="231F20"/>
          <w:spacing w:val="-3"/>
          <w:sz w:val="20"/>
        </w:rPr>
        <w:t> </w:t>
      </w:r>
      <w:r>
        <w:rPr>
          <w:color w:val="231F20"/>
          <w:spacing w:val="-2"/>
          <w:sz w:val="20"/>
        </w:rPr>
        <w:t>друг</w:t>
      </w:r>
      <w:r>
        <w:rPr>
          <w:color w:val="231F20"/>
          <w:spacing w:val="-3"/>
          <w:sz w:val="20"/>
        </w:rPr>
        <w:t> </w:t>
      </w:r>
      <w:r>
        <w:rPr>
          <w:color w:val="231F20"/>
          <w:spacing w:val="-2"/>
          <w:sz w:val="20"/>
        </w:rPr>
        <w:t>друга</w:t>
      </w:r>
      <w:r>
        <w:rPr>
          <w:color w:val="231F20"/>
          <w:spacing w:val="-3"/>
          <w:sz w:val="20"/>
        </w:rPr>
        <w:t> </w:t>
      </w:r>
      <w:r>
        <w:rPr>
          <w:color w:val="231F20"/>
          <w:spacing w:val="-2"/>
          <w:sz w:val="20"/>
        </w:rPr>
        <w:t>со</w:t>
      </w:r>
      <w:r>
        <w:rPr>
          <w:color w:val="231F20"/>
          <w:spacing w:val="-3"/>
          <w:sz w:val="20"/>
        </w:rPr>
        <w:t> </w:t>
      </w:r>
      <w:r>
        <w:rPr>
          <w:color w:val="231F20"/>
          <w:spacing w:val="-2"/>
          <w:sz w:val="20"/>
        </w:rPr>
        <w:t>своими</w:t>
      </w:r>
      <w:r>
        <w:rPr>
          <w:color w:val="231F20"/>
          <w:spacing w:val="-3"/>
          <w:sz w:val="20"/>
        </w:rPr>
        <w:t> </w:t>
      </w:r>
      <w:r>
        <w:rPr>
          <w:color w:val="231F20"/>
          <w:spacing w:val="-2"/>
          <w:sz w:val="20"/>
        </w:rPr>
        <w:t>музеями,</w:t>
      </w:r>
      <w:r>
        <w:rPr>
          <w:color w:val="231F20"/>
          <w:spacing w:val="-3"/>
          <w:sz w:val="20"/>
        </w:rPr>
        <w:t> </w:t>
      </w:r>
      <w:r>
        <w:rPr>
          <w:color w:val="231F20"/>
          <w:spacing w:val="-2"/>
          <w:sz w:val="20"/>
        </w:rPr>
        <w:t>последовательно</w:t>
      </w:r>
      <w:r>
        <w:rPr>
          <w:color w:val="231F20"/>
          <w:spacing w:val="-3"/>
          <w:sz w:val="20"/>
        </w:rPr>
        <w:t> </w:t>
      </w:r>
      <w:r>
        <w:rPr>
          <w:color w:val="231F20"/>
          <w:spacing w:val="-2"/>
          <w:sz w:val="20"/>
        </w:rPr>
        <w:t>проведя</w:t>
      </w:r>
      <w:r>
        <w:rPr>
          <w:color w:val="231F20"/>
          <w:spacing w:val="-3"/>
          <w:sz w:val="20"/>
        </w:rPr>
        <w:t> </w:t>
      </w:r>
      <w:r>
        <w:rPr>
          <w:color w:val="231F20"/>
          <w:spacing w:val="-2"/>
          <w:sz w:val="20"/>
        </w:rPr>
        <w:t>экскурсии</w:t>
      </w:r>
      <w:r>
        <w:rPr>
          <w:color w:val="231F20"/>
          <w:spacing w:val="-3"/>
          <w:sz w:val="20"/>
        </w:rPr>
        <w:t> </w:t>
      </w:r>
      <w:r>
        <w:rPr>
          <w:color w:val="231F20"/>
          <w:spacing w:val="-2"/>
          <w:sz w:val="20"/>
        </w:rPr>
        <w:t>по </w:t>
      </w:r>
      <w:r>
        <w:rPr>
          <w:color w:val="231F20"/>
          <w:sz w:val="20"/>
        </w:rPr>
        <w:t>своим</w:t>
      </w:r>
      <w:r>
        <w:rPr>
          <w:color w:val="231F20"/>
          <w:spacing w:val="-5"/>
          <w:sz w:val="20"/>
        </w:rPr>
        <w:t> </w:t>
      </w:r>
      <w:r>
        <w:rPr>
          <w:color w:val="231F20"/>
          <w:sz w:val="20"/>
        </w:rPr>
        <w:t>артефактам.</w:t>
      </w:r>
      <w:r>
        <w:rPr>
          <w:color w:val="231F20"/>
          <w:spacing w:val="-5"/>
          <w:sz w:val="20"/>
        </w:rPr>
        <w:t> </w:t>
      </w:r>
      <w:r>
        <w:rPr>
          <w:color w:val="231F20"/>
          <w:sz w:val="20"/>
        </w:rPr>
        <w:t>А</w:t>
      </w:r>
      <w:r>
        <w:rPr>
          <w:color w:val="231F20"/>
          <w:spacing w:val="-6"/>
          <w:sz w:val="20"/>
        </w:rPr>
        <w:t> </w:t>
      </w:r>
      <w:r>
        <w:rPr>
          <w:color w:val="231F20"/>
          <w:sz w:val="20"/>
        </w:rPr>
        <w:t>по</w:t>
      </w:r>
      <w:r>
        <w:rPr>
          <w:color w:val="231F20"/>
          <w:spacing w:val="-5"/>
          <w:sz w:val="20"/>
        </w:rPr>
        <w:t> </w:t>
      </w:r>
      <w:r>
        <w:rPr>
          <w:color w:val="231F20"/>
          <w:sz w:val="20"/>
        </w:rPr>
        <w:t>итогам</w:t>
      </w:r>
      <w:r>
        <w:rPr>
          <w:color w:val="231F20"/>
          <w:spacing w:val="-5"/>
          <w:sz w:val="20"/>
        </w:rPr>
        <w:t> </w:t>
      </w:r>
      <w:r>
        <w:rPr>
          <w:color w:val="231F20"/>
          <w:sz w:val="20"/>
        </w:rPr>
        <w:t>сделав</w:t>
      </w:r>
      <w:r>
        <w:rPr>
          <w:color w:val="231F20"/>
          <w:spacing w:val="-6"/>
          <w:sz w:val="20"/>
        </w:rPr>
        <w:t> </w:t>
      </w:r>
      <w:r>
        <w:rPr>
          <w:color w:val="231F20"/>
          <w:sz w:val="20"/>
        </w:rPr>
        <w:t>общий</w:t>
      </w:r>
      <w:r>
        <w:rPr>
          <w:color w:val="231F20"/>
          <w:spacing w:val="-6"/>
          <w:sz w:val="20"/>
        </w:rPr>
        <w:t> </w:t>
      </w:r>
      <w:r>
        <w:rPr>
          <w:color w:val="231F20"/>
          <w:sz w:val="20"/>
        </w:rPr>
        <w:t>«Музейный</w:t>
      </w:r>
      <w:r>
        <w:rPr>
          <w:color w:val="231F20"/>
          <w:spacing w:val="-6"/>
          <w:sz w:val="20"/>
        </w:rPr>
        <w:t> </w:t>
      </w:r>
      <w:r>
        <w:rPr>
          <w:color w:val="231F20"/>
          <w:sz w:val="20"/>
        </w:rPr>
        <w:t>сайт»</w:t>
      </w:r>
      <w:r>
        <w:rPr>
          <w:color w:val="231F20"/>
          <w:spacing w:val="-5"/>
          <w:sz w:val="20"/>
        </w:rPr>
        <w:t> </w:t>
      </w:r>
      <w:r>
        <w:rPr>
          <w:color w:val="231F20"/>
          <w:sz w:val="20"/>
        </w:rPr>
        <w:t>всех</w:t>
      </w:r>
      <w:r>
        <w:rPr>
          <w:color w:val="231F20"/>
          <w:spacing w:val="-5"/>
          <w:sz w:val="20"/>
        </w:rPr>
        <w:t> </w:t>
      </w:r>
      <w:r>
        <w:rPr>
          <w:color w:val="231F20"/>
          <w:sz w:val="20"/>
        </w:rPr>
        <w:t>участников.</w:t>
      </w:r>
    </w:p>
    <w:p>
      <w:pPr>
        <w:pStyle w:val="ListParagraph"/>
        <w:numPr>
          <w:ilvl w:val="0"/>
          <w:numId w:val="159"/>
        </w:numPr>
        <w:tabs>
          <w:tab w:pos="424" w:val="left" w:leader="none"/>
        </w:tabs>
        <w:spacing w:line="224" w:lineRule="exact" w:before="0" w:after="0"/>
        <w:ind w:left="424" w:right="0" w:hanging="283"/>
        <w:jc w:val="both"/>
        <w:rPr>
          <w:sz w:val="20"/>
        </w:rPr>
      </w:pPr>
      <w:r>
        <w:rPr>
          <w:color w:val="231F20"/>
          <w:spacing w:val="-4"/>
          <w:sz w:val="20"/>
        </w:rPr>
        <w:t>«Семантика</w:t>
      </w:r>
      <w:r>
        <w:rPr>
          <w:color w:val="231F20"/>
          <w:spacing w:val="-9"/>
          <w:sz w:val="20"/>
        </w:rPr>
        <w:t> </w:t>
      </w:r>
      <w:r>
        <w:rPr>
          <w:color w:val="231F20"/>
          <w:spacing w:val="-4"/>
          <w:sz w:val="20"/>
        </w:rPr>
        <w:t>городов»</w:t>
      </w:r>
      <w:r>
        <w:rPr>
          <w:color w:val="231F20"/>
          <w:spacing w:val="-9"/>
          <w:sz w:val="20"/>
        </w:rPr>
        <w:t> </w:t>
      </w:r>
      <w:r>
        <w:rPr>
          <w:color w:val="231F20"/>
          <w:spacing w:val="-4"/>
          <w:sz w:val="20"/>
        </w:rPr>
        <w:t>–</w:t>
      </w:r>
      <w:r>
        <w:rPr>
          <w:color w:val="231F20"/>
          <w:spacing w:val="-10"/>
          <w:sz w:val="20"/>
        </w:rPr>
        <w:t> </w:t>
      </w:r>
      <w:r>
        <w:rPr>
          <w:color w:val="231F20"/>
          <w:spacing w:val="-4"/>
          <w:sz w:val="20"/>
        </w:rPr>
        <w:t>создание</w:t>
      </w:r>
      <w:r>
        <w:rPr>
          <w:color w:val="231F20"/>
          <w:spacing w:val="-8"/>
          <w:sz w:val="20"/>
        </w:rPr>
        <w:t> </w:t>
      </w:r>
      <w:r>
        <w:rPr>
          <w:color w:val="231F20"/>
          <w:spacing w:val="-4"/>
          <w:sz w:val="20"/>
        </w:rPr>
        <w:t>комментированных</w:t>
      </w:r>
      <w:r>
        <w:rPr>
          <w:color w:val="231F20"/>
          <w:spacing w:val="-9"/>
          <w:sz w:val="20"/>
        </w:rPr>
        <w:t> </w:t>
      </w:r>
      <w:r>
        <w:rPr>
          <w:color w:val="231F20"/>
          <w:spacing w:val="-4"/>
          <w:sz w:val="20"/>
        </w:rPr>
        <w:t>карт</w:t>
      </w:r>
      <w:r>
        <w:rPr>
          <w:color w:val="231F20"/>
          <w:spacing w:val="-10"/>
          <w:sz w:val="20"/>
        </w:rPr>
        <w:t> </w:t>
      </w:r>
      <w:r>
        <w:rPr>
          <w:color w:val="231F20"/>
          <w:spacing w:val="-4"/>
          <w:sz w:val="20"/>
        </w:rPr>
        <w:t>по</w:t>
      </w:r>
      <w:r>
        <w:rPr>
          <w:color w:val="231F20"/>
          <w:spacing w:val="-9"/>
          <w:sz w:val="20"/>
        </w:rPr>
        <w:t> </w:t>
      </w:r>
      <w:r>
        <w:rPr>
          <w:color w:val="231F20"/>
          <w:spacing w:val="-4"/>
          <w:sz w:val="20"/>
        </w:rPr>
        <w:t>локальной</w:t>
      </w:r>
      <w:r>
        <w:rPr>
          <w:color w:val="231F20"/>
          <w:spacing w:val="-10"/>
          <w:sz w:val="20"/>
        </w:rPr>
        <w:t> </w:t>
      </w:r>
      <w:r>
        <w:rPr>
          <w:color w:val="231F20"/>
          <w:spacing w:val="-4"/>
          <w:sz w:val="20"/>
        </w:rPr>
        <w:t>топонимике,</w:t>
      </w:r>
    </w:p>
    <w:p>
      <w:pPr>
        <w:pStyle w:val="BodyText"/>
        <w:ind w:left="425" w:firstLine="0"/>
      </w:pPr>
      <w:r>
        <w:rPr>
          <w:color w:val="231F20"/>
          <w:spacing w:val="-2"/>
        </w:rPr>
        <w:t>истории</w:t>
      </w:r>
      <w:r>
        <w:rPr>
          <w:color w:val="231F20"/>
          <w:spacing w:val="-11"/>
        </w:rPr>
        <w:t> </w:t>
      </w:r>
      <w:r>
        <w:rPr>
          <w:color w:val="231F20"/>
          <w:spacing w:val="-2"/>
        </w:rPr>
        <w:t>наименования</w:t>
      </w:r>
      <w:r>
        <w:rPr>
          <w:color w:val="231F20"/>
          <w:spacing w:val="-10"/>
        </w:rPr>
        <w:t> </w:t>
      </w:r>
      <w:r>
        <w:rPr>
          <w:color w:val="231F20"/>
          <w:spacing w:val="-2"/>
        </w:rPr>
        <w:t>и</w:t>
      </w:r>
      <w:r>
        <w:rPr>
          <w:color w:val="231F20"/>
          <w:spacing w:val="-11"/>
        </w:rPr>
        <w:t> </w:t>
      </w:r>
      <w:r>
        <w:rPr>
          <w:color w:val="231F20"/>
          <w:spacing w:val="-2"/>
        </w:rPr>
        <w:t>переименования</w:t>
      </w:r>
      <w:r>
        <w:rPr>
          <w:color w:val="231F20"/>
          <w:spacing w:val="-10"/>
        </w:rPr>
        <w:t> </w:t>
      </w:r>
      <w:r>
        <w:rPr>
          <w:color w:val="231F20"/>
          <w:spacing w:val="-2"/>
        </w:rPr>
        <w:t>улиц,</w:t>
      </w:r>
      <w:r>
        <w:rPr>
          <w:color w:val="231F20"/>
          <w:spacing w:val="-11"/>
        </w:rPr>
        <w:t> </w:t>
      </w:r>
      <w:r>
        <w:rPr>
          <w:color w:val="231F20"/>
          <w:spacing w:val="-2"/>
        </w:rPr>
        <w:t>площадей</w:t>
      </w:r>
      <w:r>
        <w:rPr>
          <w:color w:val="231F20"/>
          <w:spacing w:val="-10"/>
        </w:rPr>
        <w:t> </w:t>
      </w:r>
      <w:r>
        <w:rPr>
          <w:color w:val="231F20"/>
          <w:spacing w:val="-2"/>
        </w:rPr>
        <w:t>и</w:t>
      </w:r>
      <w:r>
        <w:rPr>
          <w:color w:val="231F20"/>
          <w:spacing w:val="-11"/>
        </w:rPr>
        <w:t> </w:t>
      </w:r>
      <w:r>
        <w:rPr>
          <w:color w:val="231F20"/>
          <w:spacing w:val="-2"/>
        </w:rPr>
        <w:t>пр.</w:t>
      </w:r>
      <w:r>
        <w:rPr>
          <w:color w:val="231F20"/>
          <w:spacing w:val="-10"/>
        </w:rPr>
        <w:t> </w:t>
      </w:r>
      <w:r>
        <w:rPr>
          <w:color w:val="231F20"/>
          <w:spacing w:val="-2"/>
        </w:rPr>
        <w:t>(пример</w:t>
      </w:r>
      <w:r>
        <w:rPr>
          <w:color w:val="231F20"/>
          <w:spacing w:val="-11"/>
        </w:rPr>
        <w:t> </w:t>
      </w:r>
      <w:r>
        <w:rPr>
          <w:color w:val="231F20"/>
          <w:spacing w:val="-2"/>
        </w:rPr>
        <w:t>–</w:t>
      </w:r>
      <w:r>
        <w:rPr>
          <w:color w:val="231F20"/>
          <w:spacing w:val="-10"/>
        </w:rPr>
        <w:t> </w:t>
      </w:r>
      <w:r>
        <w:rPr>
          <w:color w:val="231F20"/>
          <w:spacing w:val="-2"/>
        </w:rPr>
        <w:t>трек</w:t>
      </w:r>
      <w:r>
        <w:rPr>
          <w:color w:val="231F20"/>
          <w:spacing w:val="-11"/>
        </w:rPr>
        <w:t> </w:t>
      </w:r>
      <w:r>
        <w:rPr>
          <w:color w:val="231F20"/>
          <w:spacing w:val="-2"/>
        </w:rPr>
        <w:t>«Се- мантика</w:t>
      </w:r>
      <w:r>
        <w:rPr>
          <w:color w:val="231F20"/>
          <w:spacing w:val="-13"/>
        </w:rPr>
        <w:t> </w:t>
      </w:r>
      <w:r>
        <w:rPr>
          <w:color w:val="231F20"/>
          <w:spacing w:val="-2"/>
        </w:rPr>
        <w:t>городов»</w:t>
      </w:r>
      <w:r>
        <w:rPr>
          <w:color w:val="231F20"/>
          <w:spacing w:val="-10"/>
        </w:rPr>
        <w:t> </w:t>
      </w:r>
      <w:r>
        <w:rPr>
          <w:color w:val="231F20"/>
          <w:spacing w:val="-2"/>
        </w:rPr>
        <w:t>в</w:t>
      </w:r>
      <w:r>
        <w:rPr>
          <w:color w:val="231F20"/>
          <w:spacing w:val="-11"/>
        </w:rPr>
        <w:t> </w:t>
      </w:r>
      <w:r>
        <w:rPr>
          <w:color w:val="231F20"/>
          <w:spacing w:val="-2"/>
        </w:rPr>
        <w:t>КраеФесте:</w:t>
      </w:r>
      <w:r>
        <w:rPr>
          <w:color w:val="231F20"/>
          <w:spacing w:val="-10"/>
        </w:rPr>
        <w:t> </w:t>
      </w:r>
      <w:hyperlink r:id="rId168">
        <w:r>
          <w:rPr>
            <w:color w:val="2255A6"/>
            <w:spacing w:val="-2"/>
            <w:u w:val="single" w:color="2255A6"/>
          </w:rPr>
          <w:t>https://kraefest.ru/tpost/tsi1tis741-semantika-</w:t>
        </w:r>
        <w:r>
          <w:rPr>
            <w:color w:val="2255A6"/>
            <w:spacing w:val="-2"/>
            <w:u w:val="single" w:color="2255A6"/>
          </w:rPr>
          <w:t>gorodov</w:t>
        </w:r>
      </w:hyperlink>
      <w:r>
        <w:rPr>
          <w:color w:val="231F20"/>
          <w:spacing w:val="-2"/>
        </w:rPr>
        <w:t>). </w:t>
      </w:r>
      <w:r>
        <w:rPr>
          <w:color w:val="231F20"/>
        </w:rPr>
        <w:t>Здесь</w:t>
      </w:r>
      <w:r>
        <w:rPr>
          <w:color w:val="231F20"/>
          <w:spacing w:val="-3"/>
        </w:rPr>
        <w:t> </w:t>
      </w:r>
      <w:r>
        <w:rPr>
          <w:color w:val="231F20"/>
        </w:rPr>
        <w:t>можно</w:t>
      </w:r>
      <w:r>
        <w:rPr>
          <w:color w:val="231F20"/>
          <w:spacing w:val="-3"/>
        </w:rPr>
        <w:t> </w:t>
      </w:r>
      <w:r>
        <w:rPr>
          <w:color w:val="231F20"/>
        </w:rPr>
        <w:t>сравнить</w:t>
      </w:r>
      <w:r>
        <w:rPr>
          <w:color w:val="231F20"/>
          <w:spacing w:val="-3"/>
        </w:rPr>
        <w:t> </w:t>
      </w:r>
      <w:r>
        <w:rPr>
          <w:color w:val="231F20"/>
        </w:rPr>
        <w:t>названия</w:t>
      </w:r>
      <w:r>
        <w:rPr>
          <w:color w:val="231F20"/>
          <w:spacing w:val="-3"/>
        </w:rPr>
        <w:t> </w:t>
      </w:r>
      <w:r>
        <w:rPr>
          <w:color w:val="231F20"/>
        </w:rPr>
        <w:t>улиц,</w:t>
      </w:r>
      <w:r>
        <w:rPr>
          <w:color w:val="231F20"/>
          <w:spacing w:val="-3"/>
        </w:rPr>
        <w:t> </w:t>
      </w:r>
      <w:r>
        <w:rPr>
          <w:color w:val="231F20"/>
        </w:rPr>
        <w:t>площадей,</w:t>
      </w:r>
      <w:r>
        <w:rPr>
          <w:color w:val="231F20"/>
          <w:spacing w:val="-3"/>
        </w:rPr>
        <w:t> </w:t>
      </w:r>
      <w:r>
        <w:rPr>
          <w:color w:val="231F20"/>
        </w:rPr>
        <w:t>районов,</w:t>
      </w:r>
      <w:r>
        <w:rPr>
          <w:color w:val="231F20"/>
          <w:spacing w:val="-3"/>
        </w:rPr>
        <w:t> </w:t>
      </w:r>
      <w:r>
        <w:rPr>
          <w:color w:val="231F20"/>
        </w:rPr>
        <w:t>поселений</w:t>
      </w:r>
      <w:r>
        <w:rPr>
          <w:color w:val="231F20"/>
          <w:spacing w:val="-3"/>
        </w:rPr>
        <w:t> </w:t>
      </w:r>
      <w:r>
        <w:rPr>
          <w:color w:val="231F20"/>
        </w:rPr>
        <w:t>с</w:t>
      </w:r>
      <w:r>
        <w:rPr>
          <w:color w:val="231F20"/>
          <w:spacing w:val="-3"/>
        </w:rPr>
        <w:t> </w:t>
      </w:r>
      <w:r>
        <w:rPr>
          <w:color w:val="231F20"/>
        </w:rPr>
        <w:t>учетом</w:t>
      </w:r>
      <w:r>
        <w:rPr>
          <w:color w:val="231F20"/>
          <w:spacing w:val="-3"/>
        </w:rPr>
        <w:t> </w:t>
      </w:r>
      <w:r>
        <w:rPr>
          <w:color w:val="231F20"/>
        </w:rPr>
        <w:t>их </w:t>
      </w:r>
      <w:r>
        <w:rPr>
          <w:color w:val="231F20"/>
          <w:spacing w:val="-2"/>
        </w:rPr>
        <w:t>истории</w:t>
      </w:r>
      <w:r>
        <w:rPr>
          <w:color w:val="231F20"/>
          <w:spacing w:val="-4"/>
        </w:rPr>
        <w:t> </w:t>
      </w:r>
      <w:r>
        <w:rPr>
          <w:color w:val="231F20"/>
          <w:spacing w:val="-2"/>
        </w:rPr>
        <w:t>наименования</w:t>
      </w:r>
      <w:r>
        <w:rPr>
          <w:color w:val="231F20"/>
          <w:spacing w:val="-4"/>
        </w:rPr>
        <w:t> </w:t>
      </w:r>
      <w:r>
        <w:rPr>
          <w:color w:val="231F20"/>
          <w:spacing w:val="-2"/>
        </w:rPr>
        <w:t>и</w:t>
      </w:r>
      <w:r>
        <w:rPr>
          <w:color w:val="231F20"/>
          <w:spacing w:val="-4"/>
        </w:rPr>
        <w:t> </w:t>
      </w:r>
      <w:r>
        <w:rPr>
          <w:color w:val="231F20"/>
          <w:spacing w:val="-2"/>
        </w:rPr>
        <w:t>переименований</w:t>
      </w:r>
      <w:r>
        <w:rPr>
          <w:color w:val="231F20"/>
          <w:spacing w:val="-4"/>
        </w:rPr>
        <w:t> </w:t>
      </w:r>
      <w:r>
        <w:rPr>
          <w:color w:val="231F20"/>
          <w:spacing w:val="-2"/>
        </w:rPr>
        <w:t>–</w:t>
      </w:r>
      <w:r>
        <w:rPr>
          <w:color w:val="231F20"/>
          <w:spacing w:val="-4"/>
        </w:rPr>
        <w:t> </w:t>
      </w:r>
      <w:r>
        <w:rPr>
          <w:color w:val="231F20"/>
          <w:spacing w:val="-2"/>
        </w:rPr>
        <w:t>как</w:t>
      </w:r>
      <w:r>
        <w:rPr>
          <w:color w:val="231F20"/>
          <w:spacing w:val="-4"/>
        </w:rPr>
        <w:t> </w:t>
      </w:r>
      <w:r>
        <w:rPr>
          <w:color w:val="231F20"/>
          <w:spacing w:val="-2"/>
        </w:rPr>
        <w:t>на</w:t>
      </w:r>
      <w:r>
        <w:rPr>
          <w:color w:val="231F20"/>
          <w:spacing w:val="-4"/>
        </w:rPr>
        <w:t> </w:t>
      </w:r>
      <w:r>
        <w:rPr>
          <w:color w:val="231F20"/>
          <w:spacing w:val="-2"/>
        </w:rPr>
        <w:t>территории</w:t>
      </w:r>
      <w:r>
        <w:rPr>
          <w:color w:val="231F20"/>
          <w:spacing w:val="-4"/>
        </w:rPr>
        <w:t> </w:t>
      </w:r>
      <w:r>
        <w:rPr>
          <w:color w:val="231F20"/>
          <w:spacing w:val="-2"/>
        </w:rPr>
        <w:t>актуального</w:t>
      </w:r>
      <w:r>
        <w:rPr>
          <w:color w:val="231F20"/>
          <w:spacing w:val="-4"/>
        </w:rPr>
        <w:t> </w:t>
      </w:r>
      <w:r>
        <w:rPr>
          <w:color w:val="231F20"/>
          <w:spacing w:val="-2"/>
        </w:rPr>
        <w:t>прожи- вания,</w:t>
      </w:r>
      <w:r>
        <w:rPr>
          <w:color w:val="231F20"/>
          <w:spacing w:val="-10"/>
        </w:rPr>
        <w:t> </w:t>
      </w:r>
      <w:r>
        <w:rPr>
          <w:color w:val="231F20"/>
          <w:spacing w:val="-2"/>
        </w:rPr>
        <w:t>так</w:t>
      </w:r>
      <w:r>
        <w:rPr>
          <w:color w:val="231F20"/>
          <w:spacing w:val="-10"/>
        </w:rPr>
        <w:t> </w:t>
      </w:r>
      <w:r>
        <w:rPr>
          <w:color w:val="231F20"/>
          <w:spacing w:val="-2"/>
        </w:rPr>
        <w:t>и</w:t>
      </w:r>
      <w:r>
        <w:rPr>
          <w:color w:val="231F20"/>
          <w:spacing w:val="-10"/>
        </w:rPr>
        <w:t> </w:t>
      </w:r>
      <w:r>
        <w:rPr>
          <w:color w:val="231F20"/>
          <w:spacing w:val="-2"/>
        </w:rPr>
        <w:t>на</w:t>
      </w:r>
      <w:r>
        <w:rPr>
          <w:color w:val="231F20"/>
          <w:spacing w:val="-10"/>
        </w:rPr>
        <w:t> </w:t>
      </w:r>
      <w:r>
        <w:rPr>
          <w:color w:val="231F20"/>
          <w:spacing w:val="-2"/>
        </w:rPr>
        <w:t>территории,</w:t>
      </w:r>
      <w:r>
        <w:rPr>
          <w:color w:val="231F20"/>
          <w:spacing w:val="-10"/>
        </w:rPr>
        <w:t> </w:t>
      </w:r>
      <w:r>
        <w:rPr>
          <w:color w:val="231F20"/>
          <w:spacing w:val="-2"/>
        </w:rPr>
        <w:t>откуда</w:t>
      </w:r>
      <w:r>
        <w:rPr>
          <w:color w:val="231F20"/>
          <w:spacing w:val="-10"/>
        </w:rPr>
        <w:t> </w:t>
      </w:r>
      <w:r>
        <w:rPr>
          <w:color w:val="231F20"/>
          <w:spacing w:val="-2"/>
        </w:rPr>
        <w:t>дети-мигранты</w:t>
      </w:r>
      <w:r>
        <w:rPr>
          <w:color w:val="231F20"/>
          <w:spacing w:val="-10"/>
        </w:rPr>
        <w:t> </w:t>
      </w:r>
      <w:r>
        <w:rPr>
          <w:color w:val="231F20"/>
          <w:spacing w:val="-2"/>
        </w:rPr>
        <w:t>приехали.</w:t>
      </w:r>
      <w:r>
        <w:rPr>
          <w:color w:val="231F20"/>
          <w:spacing w:val="-10"/>
        </w:rPr>
        <w:t> </w:t>
      </w:r>
      <w:r>
        <w:rPr>
          <w:color w:val="231F20"/>
          <w:spacing w:val="-2"/>
        </w:rPr>
        <w:t>Найти</w:t>
      </w:r>
      <w:r>
        <w:rPr>
          <w:color w:val="231F20"/>
          <w:spacing w:val="-10"/>
        </w:rPr>
        <w:t> </w:t>
      </w:r>
      <w:r>
        <w:rPr>
          <w:color w:val="231F20"/>
          <w:spacing w:val="-2"/>
        </w:rPr>
        <w:t>какие-то</w:t>
      </w:r>
      <w:r>
        <w:rPr>
          <w:color w:val="231F20"/>
          <w:spacing w:val="-10"/>
        </w:rPr>
        <w:t> </w:t>
      </w:r>
      <w:r>
        <w:rPr>
          <w:color w:val="231F20"/>
          <w:spacing w:val="-2"/>
        </w:rPr>
        <w:t>общие </w:t>
      </w:r>
      <w:r>
        <w:rPr>
          <w:color w:val="231F20"/>
        </w:rPr>
        <w:t>типы</w:t>
      </w:r>
      <w:r>
        <w:rPr>
          <w:color w:val="231F20"/>
          <w:spacing w:val="-4"/>
        </w:rPr>
        <w:t> </w:t>
      </w:r>
      <w:r>
        <w:rPr>
          <w:color w:val="231F20"/>
        </w:rPr>
        <w:t>называния</w:t>
      </w:r>
      <w:r>
        <w:rPr>
          <w:color w:val="231F20"/>
          <w:spacing w:val="-4"/>
        </w:rPr>
        <w:t> </w:t>
      </w:r>
      <w:r>
        <w:rPr>
          <w:color w:val="231F20"/>
        </w:rPr>
        <w:t>(например,</w:t>
      </w:r>
      <w:r>
        <w:rPr>
          <w:color w:val="231F20"/>
          <w:spacing w:val="-4"/>
        </w:rPr>
        <w:t> </w:t>
      </w:r>
      <w:r>
        <w:rPr>
          <w:color w:val="231F20"/>
        </w:rPr>
        <w:t>связанные</w:t>
      </w:r>
      <w:r>
        <w:rPr>
          <w:color w:val="231F20"/>
          <w:spacing w:val="-4"/>
        </w:rPr>
        <w:t> </w:t>
      </w:r>
      <w:r>
        <w:rPr>
          <w:color w:val="231F20"/>
        </w:rPr>
        <w:t>со</w:t>
      </w:r>
      <w:r>
        <w:rPr>
          <w:color w:val="231F20"/>
          <w:spacing w:val="-4"/>
        </w:rPr>
        <w:t> </w:t>
      </w:r>
      <w:r>
        <w:rPr>
          <w:color w:val="231F20"/>
        </w:rPr>
        <w:t>значимыми</w:t>
      </w:r>
      <w:r>
        <w:rPr>
          <w:color w:val="231F20"/>
          <w:spacing w:val="-4"/>
        </w:rPr>
        <w:t> </w:t>
      </w:r>
      <w:r>
        <w:rPr>
          <w:color w:val="231F20"/>
        </w:rPr>
        <w:t>событиями,</w:t>
      </w:r>
      <w:r>
        <w:rPr>
          <w:color w:val="231F20"/>
          <w:spacing w:val="-4"/>
        </w:rPr>
        <w:t> </w:t>
      </w:r>
      <w:r>
        <w:rPr>
          <w:color w:val="231F20"/>
        </w:rPr>
        <w:t>историческими </w:t>
      </w:r>
      <w:r>
        <w:rPr>
          <w:color w:val="231F20"/>
          <w:spacing w:val="-2"/>
        </w:rPr>
        <w:t>личностями,</w:t>
      </w:r>
      <w:r>
        <w:rPr>
          <w:color w:val="231F20"/>
          <w:spacing w:val="-6"/>
        </w:rPr>
        <w:t> </w:t>
      </w:r>
      <w:r>
        <w:rPr>
          <w:color w:val="231F20"/>
          <w:spacing w:val="-2"/>
        </w:rPr>
        <w:t>ландшафтными</w:t>
      </w:r>
      <w:r>
        <w:rPr>
          <w:color w:val="231F20"/>
          <w:spacing w:val="-6"/>
        </w:rPr>
        <w:t> </w:t>
      </w:r>
      <w:r>
        <w:rPr>
          <w:color w:val="231F20"/>
          <w:spacing w:val="-2"/>
        </w:rPr>
        <w:t>особенностями</w:t>
      </w:r>
      <w:r>
        <w:rPr>
          <w:color w:val="231F20"/>
          <w:spacing w:val="-6"/>
        </w:rPr>
        <w:t> </w:t>
      </w:r>
      <w:r>
        <w:rPr>
          <w:color w:val="231F20"/>
          <w:spacing w:val="-2"/>
        </w:rPr>
        <w:t>или</w:t>
      </w:r>
      <w:r>
        <w:rPr>
          <w:color w:val="231F20"/>
          <w:spacing w:val="-6"/>
        </w:rPr>
        <w:t> </w:t>
      </w:r>
      <w:r>
        <w:rPr>
          <w:color w:val="231F20"/>
          <w:spacing w:val="-2"/>
        </w:rPr>
        <w:t>культовыми</w:t>
      </w:r>
      <w:r>
        <w:rPr>
          <w:color w:val="231F20"/>
          <w:spacing w:val="-6"/>
        </w:rPr>
        <w:t> </w:t>
      </w:r>
      <w:r>
        <w:rPr>
          <w:color w:val="231F20"/>
          <w:spacing w:val="-2"/>
        </w:rPr>
        <w:t>сооружениями)</w:t>
      </w:r>
      <w:r>
        <w:rPr>
          <w:color w:val="231F20"/>
          <w:spacing w:val="-6"/>
        </w:rPr>
        <w:t> </w:t>
      </w:r>
      <w:r>
        <w:rPr>
          <w:color w:val="231F20"/>
          <w:spacing w:val="-2"/>
        </w:rPr>
        <w:t>и</w:t>
      </w:r>
      <w:r>
        <w:rPr>
          <w:color w:val="231F20"/>
          <w:spacing w:val="-6"/>
        </w:rPr>
        <w:t> </w:t>
      </w:r>
      <w:r>
        <w:rPr>
          <w:color w:val="231F20"/>
          <w:spacing w:val="-2"/>
        </w:rPr>
        <w:t>вы- делить местные особенности (связанные, например, с различными приоритетами в </w:t>
      </w:r>
      <w:r>
        <w:rPr>
          <w:color w:val="231F20"/>
        </w:rPr>
        <w:t>выборе людей или событий, своеобразием привязки к месту и пр.).</w:t>
      </w:r>
    </w:p>
    <w:p>
      <w:pPr>
        <w:pStyle w:val="ListParagraph"/>
        <w:numPr>
          <w:ilvl w:val="0"/>
          <w:numId w:val="159"/>
        </w:numPr>
        <w:tabs>
          <w:tab w:pos="425" w:val="left" w:leader="none"/>
        </w:tabs>
        <w:spacing w:line="230" w:lineRule="exact" w:before="2" w:after="0"/>
        <w:ind w:left="425" w:right="139" w:hanging="284"/>
        <w:jc w:val="both"/>
        <w:rPr>
          <w:sz w:val="20"/>
        </w:rPr>
      </w:pPr>
      <w:r>
        <w:rPr>
          <w:color w:val="231F20"/>
          <w:sz w:val="20"/>
        </w:rPr>
        <w:t>Поиск и описание интересных объектов на местности (пример – трек «Ин- вентаризация наследия» на «КраеФесте»: </w:t>
      </w:r>
      <w:hyperlink r:id="rId169">
        <w:r>
          <w:rPr>
            <w:color w:val="2255A6"/>
            <w:sz w:val="20"/>
            <w:u w:val="single" w:color="2255A6"/>
          </w:rPr>
          <w:t>https://kraefest.ru/tpost/ai72otcrv1-</w:t>
        </w:r>
      </w:hyperlink>
      <w:r>
        <w:rPr>
          <w:color w:val="2255A6"/>
          <w:sz w:val="20"/>
        </w:rPr>
        <w:t> </w:t>
      </w:r>
      <w:hyperlink r:id="rId169">
        <w:r>
          <w:rPr>
            <w:color w:val="2255A6"/>
            <w:sz w:val="20"/>
            <w:u w:val="single" w:color="2255A6"/>
          </w:rPr>
          <w:t>inventarizatsiya-naslediya</w:t>
        </w:r>
      </w:hyperlink>
      <w:r>
        <w:rPr>
          <w:color w:val="231F20"/>
          <w:sz w:val="20"/>
        </w:rPr>
        <w:t>). Это можно сделать сначала сообща, на территории со- вместного проживания коренных жителей и мигрантов, а потом дети-мигранты представляют</w:t>
      </w:r>
      <w:r>
        <w:rPr>
          <w:color w:val="231F20"/>
          <w:spacing w:val="-12"/>
          <w:sz w:val="20"/>
        </w:rPr>
        <w:t> </w:t>
      </w:r>
      <w:r>
        <w:rPr>
          <w:color w:val="231F20"/>
          <w:sz w:val="20"/>
        </w:rPr>
        <w:t>детям</w:t>
      </w:r>
      <w:r>
        <w:rPr>
          <w:color w:val="231F20"/>
          <w:spacing w:val="-12"/>
          <w:sz w:val="20"/>
        </w:rPr>
        <w:t> </w:t>
      </w:r>
      <w:r>
        <w:rPr>
          <w:color w:val="231F20"/>
          <w:sz w:val="20"/>
        </w:rPr>
        <w:t>из</w:t>
      </w:r>
      <w:r>
        <w:rPr>
          <w:color w:val="231F20"/>
          <w:spacing w:val="-12"/>
          <w:sz w:val="20"/>
        </w:rPr>
        <w:t> </w:t>
      </w:r>
      <w:r>
        <w:rPr>
          <w:color w:val="231F20"/>
          <w:sz w:val="20"/>
        </w:rPr>
        <w:t>принимающей</w:t>
      </w:r>
      <w:r>
        <w:rPr>
          <w:color w:val="231F20"/>
          <w:spacing w:val="-12"/>
          <w:sz w:val="20"/>
        </w:rPr>
        <w:t> </w:t>
      </w:r>
      <w:r>
        <w:rPr>
          <w:color w:val="231F20"/>
          <w:sz w:val="20"/>
        </w:rPr>
        <w:t>культуры</w:t>
      </w:r>
      <w:r>
        <w:rPr>
          <w:color w:val="231F20"/>
          <w:spacing w:val="-12"/>
          <w:sz w:val="20"/>
        </w:rPr>
        <w:t> </w:t>
      </w:r>
      <w:r>
        <w:rPr>
          <w:color w:val="231F20"/>
          <w:sz w:val="20"/>
        </w:rPr>
        <w:t>интересную</w:t>
      </w:r>
      <w:r>
        <w:rPr>
          <w:color w:val="231F20"/>
          <w:spacing w:val="-12"/>
          <w:sz w:val="20"/>
        </w:rPr>
        <w:t> </w:t>
      </w:r>
      <w:r>
        <w:rPr>
          <w:color w:val="231F20"/>
          <w:sz w:val="20"/>
        </w:rPr>
        <w:t>информацию</w:t>
      </w:r>
      <w:r>
        <w:rPr>
          <w:color w:val="231F20"/>
          <w:spacing w:val="-12"/>
          <w:sz w:val="20"/>
        </w:rPr>
        <w:t> </w:t>
      </w:r>
      <w:r>
        <w:rPr>
          <w:color w:val="231F20"/>
          <w:sz w:val="20"/>
        </w:rPr>
        <w:t>и</w:t>
      </w:r>
      <w:r>
        <w:rPr>
          <w:color w:val="231F20"/>
          <w:spacing w:val="-12"/>
          <w:sz w:val="20"/>
        </w:rPr>
        <w:t> </w:t>
      </w:r>
      <w:r>
        <w:rPr>
          <w:color w:val="231F20"/>
          <w:sz w:val="20"/>
        </w:rPr>
        <w:t>сопо- ставимые объекты со своей исторической родины.</w:t>
      </w:r>
    </w:p>
    <w:p>
      <w:pPr>
        <w:pStyle w:val="ListParagraph"/>
        <w:numPr>
          <w:ilvl w:val="0"/>
          <w:numId w:val="159"/>
        </w:numPr>
        <w:tabs>
          <w:tab w:pos="425" w:val="left" w:leader="none"/>
        </w:tabs>
        <w:spacing w:line="230" w:lineRule="exact" w:before="0" w:after="0"/>
        <w:ind w:left="425" w:right="139" w:hanging="284"/>
        <w:jc w:val="both"/>
        <w:rPr>
          <w:sz w:val="20"/>
        </w:rPr>
      </w:pPr>
      <w:r>
        <w:rPr>
          <w:color w:val="231F20"/>
          <w:sz w:val="20"/>
        </w:rPr>
        <w:t>Создание собственных экскурсионных маршрутов, в том числе по этнокультур- ным маршрутам (пример – трек «ЭкскурсПРО» на «КраеФесте»: </w:t>
      </w:r>
      <w:hyperlink r:id="rId170">
        <w:r>
          <w:rPr>
            <w:color w:val="2255A6"/>
            <w:sz w:val="20"/>
            <w:u w:val="single" w:color="2255A6"/>
          </w:rPr>
          <w:t>https://kraefest.</w:t>
        </w:r>
      </w:hyperlink>
      <w:r>
        <w:rPr>
          <w:color w:val="2255A6"/>
          <w:sz w:val="20"/>
        </w:rPr>
        <w:t> </w:t>
      </w:r>
      <w:hyperlink r:id="rId170">
        <w:r>
          <w:rPr>
            <w:color w:val="2255A6"/>
            <w:sz w:val="20"/>
            <w:u w:val="single" w:color="2255A6"/>
          </w:rPr>
          <w:t>ru/tpost/p8ytbgf4z1-ekskurspro</w:t>
        </w:r>
      </w:hyperlink>
      <w:r>
        <w:rPr>
          <w:color w:val="231F20"/>
          <w:sz w:val="20"/>
        </w:rPr>
        <w:t>).</w:t>
      </w:r>
      <w:r>
        <w:rPr>
          <w:color w:val="231F20"/>
          <w:spacing w:val="25"/>
          <w:sz w:val="20"/>
        </w:rPr>
        <w:t> </w:t>
      </w:r>
      <w:r>
        <w:rPr>
          <w:color w:val="231F20"/>
          <w:sz w:val="20"/>
        </w:rPr>
        <w:t>Здесь</w:t>
      </w:r>
      <w:r>
        <w:rPr>
          <w:color w:val="231F20"/>
          <w:spacing w:val="25"/>
          <w:sz w:val="20"/>
        </w:rPr>
        <w:t> </w:t>
      </w:r>
      <w:r>
        <w:rPr>
          <w:color w:val="231F20"/>
          <w:sz w:val="20"/>
        </w:rPr>
        <w:t>наиболее</w:t>
      </w:r>
      <w:r>
        <w:rPr>
          <w:color w:val="231F20"/>
          <w:spacing w:val="25"/>
          <w:sz w:val="20"/>
        </w:rPr>
        <w:t> </w:t>
      </w:r>
      <w:r>
        <w:rPr>
          <w:color w:val="231F20"/>
          <w:sz w:val="20"/>
        </w:rPr>
        <w:t>продуктивным</w:t>
      </w:r>
      <w:r>
        <w:rPr>
          <w:color w:val="231F20"/>
          <w:spacing w:val="25"/>
          <w:sz w:val="20"/>
        </w:rPr>
        <w:t> </w:t>
      </w:r>
      <w:r>
        <w:rPr>
          <w:color w:val="231F20"/>
          <w:sz w:val="20"/>
        </w:rPr>
        <w:t>видится</w:t>
      </w:r>
      <w:r>
        <w:rPr>
          <w:color w:val="231F20"/>
          <w:spacing w:val="25"/>
          <w:sz w:val="20"/>
        </w:rPr>
        <w:t> </w:t>
      </w:r>
      <w:r>
        <w:rPr>
          <w:color w:val="231F20"/>
          <w:sz w:val="20"/>
        </w:rPr>
        <w:t>работа</w:t>
      </w:r>
      <w:r>
        <w:rPr>
          <w:color w:val="231F20"/>
          <w:spacing w:val="25"/>
          <w:sz w:val="20"/>
        </w:rPr>
        <w:t> </w:t>
      </w:r>
      <w:r>
        <w:rPr>
          <w:color w:val="231F20"/>
          <w:sz w:val="20"/>
        </w:rPr>
        <w:t>в</w:t>
      </w:r>
    </w:p>
    <w:p>
      <w:pPr>
        <w:pStyle w:val="BodyText"/>
        <w:spacing w:line="235" w:lineRule="auto" w:before="1"/>
        <w:ind w:left="425" w:firstLine="0"/>
      </w:pPr>
      <w:r>
        <w:rPr>
          <w:color w:val="231F20"/>
        </w:rPr>
        <w:t>мини-командах, объединяющих детей – коренных жителей и детей-мигрантов, чтобы они вместе придумали, выстроили и проработали содержание экскурсий по интересующим их аспектам (историческим, архитектурным, природным, до- суговым и др.) в городе или сельской местности, а затем эти экскурсии команды провели</w:t>
      </w:r>
      <w:r>
        <w:rPr>
          <w:color w:val="231F20"/>
          <w:spacing w:val="-13"/>
        </w:rPr>
        <w:t> </w:t>
      </w:r>
      <w:r>
        <w:rPr>
          <w:color w:val="231F20"/>
        </w:rPr>
        <w:t>бы</w:t>
      </w:r>
      <w:r>
        <w:rPr>
          <w:color w:val="231F20"/>
          <w:spacing w:val="-12"/>
        </w:rPr>
        <w:t> </w:t>
      </w:r>
      <w:r>
        <w:rPr>
          <w:color w:val="231F20"/>
        </w:rPr>
        <w:t>друг</w:t>
      </w:r>
      <w:r>
        <w:rPr>
          <w:color w:val="231F20"/>
          <w:spacing w:val="-13"/>
        </w:rPr>
        <w:t> </w:t>
      </w:r>
      <w:r>
        <w:rPr>
          <w:color w:val="231F20"/>
        </w:rPr>
        <w:t>для</w:t>
      </w:r>
      <w:r>
        <w:rPr>
          <w:color w:val="231F20"/>
          <w:spacing w:val="-12"/>
        </w:rPr>
        <w:t> </w:t>
      </w:r>
      <w:r>
        <w:rPr>
          <w:color w:val="231F20"/>
        </w:rPr>
        <w:t>друга.</w:t>
      </w:r>
      <w:r>
        <w:rPr>
          <w:color w:val="231F20"/>
          <w:spacing w:val="-13"/>
        </w:rPr>
        <w:t> </w:t>
      </w:r>
      <w:r>
        <w:rPr>
          <w:color w:val="231F20"/>
        </w:rPr>
        <w:t>По</w:t>
      </w:r>
      <w:r>
        <w:rPr>
          <w:color w:val="231F20"/>
          <w:spacing w:val="-12"/>
        </w:rPr>
        <w:t> </w:t>
      </w:r>
      <w:r>
        <w:rPr>
          <w:color w:val="231F20"/>
        </w:rPr>
        <w:t>итогам</w:t>
      </w:r>
      <w:r>
        <w:rPr>
          <w:color w:val="231F20"/>
          <w:spacing w:val="-13"/>
        </w:rPr>
        <w:t> </w:t>
      </w:r>
      <w:r>
        <w:rPr>
          <w:color w:val="231F20"/>
        </w:rPr>
        <w:t>можно</w:t>
      </w:r>
      <w:r>
        <w:rPr>
          <w:color w:val="231F20"/>
          <w:spacing w:val="-12"/>
        </w:rPr>
        <w:t> </w:t>
      </w:r>
      <w:r>
        <w:rPr>
          <w:color w:val="231F20"/>
        </w:rPr>
        <w:t>доработать</w:t>
      </w:r>
      <w:r>
        <w:rPr>
          <w:color w:val="231F20"/>
          <w:spacing w:val="-13"/>
        </w:rPr>
        <w:t> </w:t>
      </w:r>
      <w:r>
        <w:rPr>
          <w:color w:val="231F20"/>
        </w:rPr>
        <w:t>описание</w:t>
      </w:r>
      <w:r>
        <w:rPr>
          <w:color w:val="231F20"/>
          <w:spacing w:val="-12"/>
        </w:rPr>
        <w:t> </w:t>
      </w:r>
      <w:r>
        <w:rPr>
          <w:color w:val="231F20"/>
        </w:rPr>
        <w:t>экскурсионных маршрутов и сделать общий сайт-каталог экскурсионных маршрутов с их описа- нием (используя фото и видео с проведенных экскурсий).</w:t>
      </w:r>
    </w:p>
    <w:p>
      <w:pPr>
        <w:pStyle w:val="ListParagraph"/>
        <w:numPr>
          <w:ilvl w:val="0"/>
          <w:numId w:val="159"/>
        </w:numPr>
        <w:tabs>
          <w:tab w:pos="425" w:val="left" w:leader="none"/>
        </w:tabs>
        <w:spacing w:line="235" w:lineRule="auto" w:before="0" w:after="0"/>
        <w:ind w:left="425" w:right="139" w:hanging="284"/>
        <w:jc w:val="both"/>
        <w:rPr>
          <w:sz w:val="20"/>
        </w:rPr>
      </w:pPr>
      <w:r>
        <w:rPr>
          <w:color w:val="231F20"/>
          <w:sz w:val="20"/>
        </w:rPr>
        <w:t>Изучение</w:t>
      </w:r>
      <w:r>
        <w:rPr>
          <w:color w:val="231F20"/>
          <w:spacing w:val="-13"/>
          <w:sz w:val="20"/>
        </w:rPr>
        <w:t> </w:t>
      </w:r>
      <w:r>
        <w:rPr>
          <w:color w:val="231F20"/>
          <w:sz w:val="20"/>
        </w:rPr>
        <w:t>и</w:t>
      </w:r>
      <w:r>
        <w:rPr>
          <w:color w:val="231F20"/>
          <w:spacing w:val="-12"/>
          <w:sz w:val="20"/>
        </w:rPr>
        <w:t> </w:t>
      </w:r>
      <w:r>
        <w:rPr>
          <w:color w:val="231F20"/>
          <w:sz w:val="20"/>
        </w:rPr>
        <w:t>фиксация</w:t>
      </w:r>
      <w:r>
        <w:rPr>
          <w:color w:val="231F20"/>
          <w:spacing w:val="-13"/>
          <w:sz w:val="20"/>
        </w:rPr>
        <w:t> </w:t>
      </w:r>
      <w:r>
        <w:rPr>
          <w:color w:val="231F20"/>
          <w:sz w:val="20"/>
        </w:rPr>
        <w:t>этнокультурных</w:t>
      </w:r>
      <w:r>
        <w:rPr>
          <w:color w:val="231F20"/>
          <w:spacing w:val="-12"/>
          <w:sz w:val="20"/>
        </w:rPr>
        <w:t> </w:t>
      </w:r>
      <w:r>
        <w:rPr>
          <w:color w:val="231F20"/>
          <w:sz w:val="20"/>
        </w:rPr>
        <w:t>и</w:t>
      </w:r>
      <w:r>
        <w:rPr>
          <w:color w:val="231F20"/>
          <w:spacing w:val="-13"/>
          <w:sz w:val="20"/>
        </w:rPr>
        <w:t> </w:t>
      </w:r>
      <w:r>
        <w:rPr>
          <w:color w:val="231F20"/>
          <w:sz w:val="20"/>
        </w:rPr>
        <w:t>семейных</w:t>
      </w:r>
      <w:r>
        <w:rPr>
          <w:color w:val="231F20"/>
          <w:spacing w:val="-12"/>
          <w:sz w:val="20"/>
        </w:rPr>
        <w:t> </w:t>
      </w:r>
      <w:r>
        <w:rPr>
          <w:color w:val="231F20"/>
          <w:sz w:val="20"/>
        </w:rPr>
        <w:t>местных</w:t>
      </w:r>
      <w:r>
        <w:rPr>
          <w:color w:val="231F20"/>
          <w:spacing w:val="-13"/>
          <w:sz w:val="20"/>
        </w:rPr>
        <w:t> </w:t>
      </w:r>
      <w:r>
        <w:rPr>
          <w:color w:val="231F20"/>
          <w:sz w:val="20"/>
        </w:rPr>
        <w:t>традиций</w:t>
      </w:r>
      <w:r>
        <w:rPr>
          <w:color w:val="231F20"/>
          <w:spacing w:val="-12"/>
          <w:sz w:val="20"/>
        </w:rPr>
        <w:t> </w:t>
      </w:r>
      <w:r>
        <w:rPr>
          <w:color w:val="231F20"/>
          <w:sz w:val="20"/>
        </w:rPr>
        <w:t>приготовле- ния</w:t>
      </w:r>
      <w:r>
        <w:rPr>
          <w:color w:val="231F20"/>
          <w:spacing w:val="-3"/>
          <w:sz w:val="20"/>
        </w:rPr>
        <w:t> </w:t>
      </w:r>
      <w:r>
        <w:rPr>
          <w:color w:val="231F20"/>
          <w:sz w:val="20"/>
        </w:rPr>
        <w:t>еды</w:t>
      </w:r>
      <w:r>
        <w:rPr>
          <w:color w:val="231F20"/>
          <w:spacing w:val="-3"/>
          <w:sz w:val="20"/>
        </w:rPr>
        <w:t> </w:t>
      </w:r>
      <w:r>
        <w:rPr>
          <w:color w:val="231F20"/>
          <w:sz w:val="20"/>
        </w:rPr>
        <w:t>и</w:t>
      </w:r>
      <w:r>
        <w:rPr>
          <w:color w:val="231F20"/>
          <w:spacing w:val="-3"/>
          <w:sz w:val="20"/>
        </w:rPr>
        <w:t> </w:t>
      </w:r>
      <w:r>
        <w:rPr>
          <w:color w:val="231F20"/>
          <w:sz w:val="20"/>
        </w:rPr>
        <w:t>застолья</w:t>
      </w:r>
      <w:r>
        <w:rPr>
          <w:color w:val="231F20"/>
          <w:spacing w:val="-3"/>
          <w:sz w:val="20"/>
        </w:rPr>
        <w:t> </w:t>
      </w:r>
      <w:r>
        <w:rPr>
          <w:color w:val="231F20"/>
          <w:sz w:val="20"/>
        </w:rPr>
        <w:t>(пример</w:t>
      </w:r>
      <w:r>
        <w:rPr>
          <w:color w:val="231F20"/>
          <w:spacing w:val="-3"/>
          <w:sz w:val="20"/>
        </w:rPr>
        <w:t> </w:t>
      </w:r>
      <w:r>
        <w:rPr>
          <w:color w:val="231F20"/>
          <w:sz w:val="20"/>
        </w:rPr>
        <w:t>–</w:t>
      </w:r>
      <w:r>
        <w:rPr>
          <w:color w:val="231F20"/>
          <w:spacing w:val="-3"/>
          <w:sz w:val="20"/>
        </w:rPr>
        <w:t> </w:t>
      </w:r>
      <w:r>
        <w:rPr>
          <w:color w:val="231F20"/>
          <w:sz w:val="20"/>
        </w:rPr>
        <w:t>трек</w:t>
      </w:r>
      <w:r>
        <w:rPr>
          <w:color w:val="231F20"/>
          <w:spacing w:val="-3"/>
          <w:sz w:val="20"/>
        </w:rPr>
        <w:t> </w:t>
      </w:r>
      <w:r>
        <w:rPr>
          <w:color w:val="231F20"/>
          <w:sz w:val="20"/>
        </w:rPr>
        <w:t>«Сказание</w:t>
      </w:r>
      <w:r>
        <w:rPr>
          <w:color w:val="231F20"/>
          <w:spacing w:val="-3"/>
          <w:sz w:val="20"/>
        </w:rPr>
        <w:t> </w:t>
      </w:r>
      <w:r>
        <w:rPr>
          <w:color w:val="231F20"/>
          <w:sz w:val="20"/>
        </w:rPr>
        <w:t>о</w:t>
      </w:r>
      <w:r>
        <w:rPr>
          <w:color w:val="231F20"/>
          <w:spacing w:val="-3"/>
          <w:sz w:val="20"/>
        </w:rPr>
        <w:t> </w:t>
      </w:r>
      <w:r>
        <w:rPr>
          <w:color w:val="231F20"/>
          <w:sz w:val="20"/>
        </w:rPr>
        <w:t>еде»</w:t>
      </w:r>
      <w:r>
        <w:rPr>
          <w:color w:val="231F20"/>
          <w:spacing w:val="-3"/>
          <w:sz w:val="20"/>
        </w:rPr>
        <w:t> </w:t>
      </w:r>
      <w:r>
        <w:rPr>
          <w:color w:val="231F20"/>
          <w:sz w:val="20"/>
        </w:rPr>
        <w:t>«КраеФеста»:</w:t>
      </w:r>
      <w:r>
        <w:rPr>
          <w:color w:val="231F20"/>
          <w:spacing w:val="-3"/>
          <w:sz w:val="20"/>
        </w:rPr>
        <w:t> </w:t>
      </w:r>
      <w:hyperlink r:id="rId171">
        <w:r>
          <w:rPr>
            <w:color w:val="2255A6"/>
            <w:sz w:val="20"/>
            <w:u w:val="single" w:color="2255A6"/>
          </w:rPr>
          <w:t>https://kraefest.</w:t>
        </w:r>
      </w:hyperlink>
      <w:r>
        <w:rPr>
          <w:color w:val="2255A6"/>
          <w:sz w:val="20"/>
        </w:rPr>
        <w:t> </w:t>
      </w:r>
      <w:hyperlink r:id="rId171">
        <w:r>
          <w:rPr>
            <w:color w:val="2255A6"/>
            <w:sz w:val="20"/>
            <w:u w:val="single" w:color="2255A6"/>
          </w:rPr>
          <w:t>ru/tpost/tesh03i9r1-skazaniya-o-ede</w:t>
        </w:r>
      </w:hyperlink>
      <w:r>
        <w:rPr>
          <w:color w:val="231F20"/>
          <w:sz w:val="20"/>
        </w:rPr>
        <w:t>).</w:t>
      </w:r>
      <w:r>
        <w:rPr>
          <w:color w:val="231F20"/>
          <w:spacing w:val="-1"/>
          <w:sz w:val="20"/>
        </w:rPr>
        <w:t> </w:t>
      </w:r>
      <w:r>
        <w:rPr>
          <w:color w:val="231F20"/>
          <w:sz w:val="20"/>
        </w:rPr>
        <w:t>Здесь</w:t>
      </w:r>
      <w:r>
        <w:rPr>
          <w:color w:val="231F20"/>
          <w:spacing w:val="-1"/>
          <w:sz w:val="20"/>
        </w:rPr>
        <w:t> </w:t>
      </w:r>
      <w:r>
        <w:rPr>
          <w:color w:val="231F20"/>
          <w:sz w:val="20"/>
        </w:rPr>
        <w:t>важно</w:t>
      </w:r>
      <w:r>
        <w:rPr>
          <w:color w:val="231F20"/>
          <w:spacing w:val="-1"/>
          <w:sz w:val="20"/>
        </w:rPr>
        <w:t> </w:t>
      </w:r>
      <w:r>
        <w:rPr>
          <w:color w:val="231F20"/>
          <w:sz w:val="20"/>
        </w:rPr>
        <w:t>участие</w:t>
      </w:r>
      <w:r>
        <w:rPr>
          <w:color w:val="231F20"/>
          <w:spacing w:val="-1"/>
          <w:sz w:val="20"/>
        </w:rPr>
        <w:t> </w:t>
      </w:r>
      <w:r>
        <w:rPr>
          <w:color w:val="231F20"/>
          <w:sz w:val="20"/>
        </w:rPr>
        <w:t>всех</w:t>
      </w:r>
      <w:r>
        <w:rPr>
          <w:color w:val="231F20"/>
          <w:spacing w:val="-1"/>
          <w:sz w:val="20"/>
        </w:rPr>
        <w:t> </w:t>
      </w:r>
      <w:r>
        <w:rPr>
          <w:color w:val="231F20"/>
          <w:sz w:val="20"/>
        </w:rPr>
        <w:t>детей,</w:t>
      </w:r>
      <w:r>
        <w:rPr>
          <w:color w:val="231F20"/>
          <w:spacing w:val="-1"/>
          <w:sz w:val="20"/>
        </w:rPr>
        <w:t> </w:t>
      </w:r>
      <w:r>
        <w:rPr>
          <w:color w:val="231F20"/>
          <w:sz w:val="20"/>
        </w:rPr>
        <w:t>собирающих </w:t>
      </w:r>
      <w:r>
        <w:rPr>
          <w:color w:val="231F20"/>
          <w:spacing w:val="-2"/>
          <w:sz w:val="20"/>
        </w:rPr>
        <w:t>эти «сказы», скорее, как семейные кулинарные традиции с учетом этнокультурной </w:t>
      </w:r>
      <w:r>
        <w:rPr>
          <w:color w:val="231F20"/>
          <w:sz w:val="20"/>
        </w:rPr>
        <w:t>принадлежности семей. По итогам можно было бы сделать общую «кулинарную книгу»</w:t>
      </w:r>
      <w:r>
        <w:rPr>
          <w:color w:val="231F20"/>
          <w:spacing w:val="-6"/>
          <w:sz w:val="20"/>
        </w:rPr>
        <w:t> </w:t>
      </w:r>
      <w:r>
        <w:rPr>
          <w:color w:val="231F20"/>
          <w:sz w:val="20"/>
        </w:rPr>
        <w:t>(в</w:t>
      </w:r>
      <w:r>
        <w:rPr>
          <w:color w:val="231F20"/>
          <w:spacing w:val="-6"/>
          <w:sz w:val="20"/>
        </w:rPr>
        <w:t> </w:t>
      </w:r>
      <w:r>
        <w:rPr>
          <w:color w:val="231F20"/>
          <w:sz w:val="20"/>
        </w:rPr>
        <w:t>том</w:t>
      </w:r>
      <w:r>
        <w:rPr>
          <w:color w:val="231F20"/>
          <w:spacing w:val="-6"/>
          <w:sz w:val="20"/>
        </w:rPr>
        <w:t> </w:t>
      </w:r>
      <w:r>
        <w:rPr>
          <w:color w:val="231F20"/>
          <w:sz w:val="20"/>
        </w:rPr>
        <w:t>числе</w:t>
      </w:r>
      <w:r>
        <w:rPr>
          <w:color w:val="231F20"/>
          <w:spacing w:val="-6"/>
          <w:sz w:val="20"/>
        </w:rPr>
        <w:t> </w:t>
      </w:r>
      <w:r>
        <w:rPr>
          <w:color w:val="231F20"/>
          <w:sz w:val="20"/>
        </w:rPr>
        <w:t>в</w:t>
      </w:r>
      <w:r>
        <w:rPr>
          <w:color w:val="231F20"/>
          <w:spacing w:val="-6"/>
          <w:sz w:val="20"/>
        </w:rPr>
        <w:t> </w:t>
      </w:r>
      <w:r>
        <w:rPr>
          <w:color w:val="231F20"/>
          <w:sz w:val="20"/>
        </w:rPr>
        <w:t>формате</w:t>
      </w:r>
      <w:r>
        <w:rPr>
          <w:color w:val="231F20"/>
          <w:spacing w:val="-6"/>
          <w:sz w:val="20"/>
        </w:rPr>
        <w:t> </w:t>
      </w:r>
      <w:r>
        <w:rPr>
          <w:color w:val="231F20"/>
          <w:sz w:val="20"/>
        </w:rPr>
        <w:t>сайта),</w:t>
      </w:r>
      <w:r>
        <w:rPr>
          <w:color w:val="231F20"/>
          <w:spacing w:val="-6"/>
          <w:sz w:val="20"/>
        </w:rPr>
        <w:t> </w:t>
      </w:r>
      <w:r>
        <w:rPr>
          <w:color w:val="231F20"/>
          <w:sz w:val="20"/>
        </w:rPr>
        <w:t>объединяющую</w:t>
      </w:r>
      <w:r>
        <w:rPr>
          <w:color w:val="231F20"/>
          <w:spacing w:val="-6"/>
          <w:sz w:val="20"/>
        </w:rPr>
        <w:t> </w:t>
      </w:r>
      <w:r>
        <w:rPr>
          <w:color w:val="231F20"/>
          <w:sz w:val="20"/>
        </w:rPr>
        <w:t>собранные</w:t>
      </w:r>
      <w:r>
        <w:rPr>
          <w:color w:val="231F20"/>
          <w:spacing w:val="-6"/>
          <w:sz w:val="20"/>
        </w:rPr>
        <w:t> </w:t>
      </w:r>
      <w:r>
        <w:rPr>
          <w:color w:val="231F20"/>
          <w:sz w:val="20"/>
        </w:rPr>
        <w:t>кулинарные</w:t>
      </w:r>
      <w:r>
        <w:rPr>
          <w:color w:val="231F20"/>
          <w:spacing w:val="-6"/>
          <w:sz w:val="20"/>
        </w:rPr>
        <w:t> </w:t>
      </w:r>
      <w:r>
        <w:rPr>
          <w:color w:val="231F20"/>
          <w:sz w:val="20"/>
        </w:rPr>
        <w:t>ре- цепты и «сказы о еде».</w:t>
      </w:r>
    </w:p>
    <w:p>
      <w:pPr>
        <w:pStyle w:val="ListParagraph"/>
        <w:numPr>
          <w:ilvl w:val="0"/>
          <w:numId w:val="159"/>
        </w:numPr>
        <w:tabs>
          <w:tab w:pos="425" w:val="left" w:leader="none"/>
        </w:tabs>
        <w:spacing w:line="235" w:lineRule="auto" w:before="0" w:after="0"/>
        <w:ind w:left="425" w:right="139" w:hanging="284"/>
        <w:jc w:val="both"/>
        <w:rPr>
          <w:sz w:val="20"/>
        </w:rPr>
      </w:pPr>
      <w:r>
        <w:rPr>
          <w:color w:val="231F20"/>
          <w:sz w:val="20"/>
        </w:rPr>
        <w:t>Создание игр по локальным территориям, в том числе с этнокультурным ком- понентом (пример – трек «Игровест» «КраеФеста»: </w:t>
      </w:r>
      <w:hyperlink r:id="rId172">
        <w:r>
          <w:rPr>
            <w:color w:val="2255A6"/>
            <w:sz w:val="20"/>
            <w:u w:val="single" w:color="2255A6"/>
          </w:rPr>
          <w:t>https://kraefest.ru/tpost/</w:t>
        </w:r>
      </w:hyperlink>
      <w:r>
        <w:rPr>
          <w:color w:val="2255A6"/>
          <w:sz w:val="20"/>
        </w:rPr>
        <w:t> </w:t>
      </w:r>
      <w:hyperlink r:id="rId172">
        <w:r>
          <w:rPr>
            <w:color w:val="2255A6"/>
            <w:sz w:val="20"/>
            <w:u w:val="single" w:color="2255A6"/>
          </w:rPr>
          <w:t>zrheva1jc1-igrovest</w:t>
        </w:r>
      </w:hyperlink>
      <w:r>
        <w:rPr>
          <w:color w:val="231F20"/>
          <w:sz w:val="20"/>
        </w:rPr>
        <w:t>).</w:t>
      </w:r>
      <w:r>
        <w:rPr>
          <w:color w:val="231F20"/>
          <w:spacing w:val="-8"/>
          <w:sz w:val="20"/>
        </w:rPr>
        <w:t> </w:t>
      </w:r>
      <w:r>
        <w:rPr>
          <w:color w:val="231F20"/>
          <w:sz w:val="20"/>
        </w:rPr>
        <w:t>Здесь</w:t>
      </w:r>
      <w:r>
        <w:rPr>
          <w:color w:val="231F20"/>
          <w:spacing w:val="-8"/>
          <w:sz w:val="20"/>
        </w:rPr>
        <w:t> </w:t>
      </w:r>
      <w:r>
        <w:rPr>
          <w:color w:val="231F20"/>
          <w:sz w:val="20"/>
        </w:rPr>
        <w:t>на</w:t>
      </w:r>
      <w:r>
        <w:rPr>
          <w:color w:val="231F20"/>
          <w:spacing w:val="-8"/>
          <w:sz w:val="20"/>
        </w:rPr>
        <w:t> </w:t>
      </w:r>
      <w:r>
        <w:rPr>
          <w:color w:val="231F20"/>
          <w:sz w:val="20"/>
        </w:rPr>
        <w:t>первом</w:t>
      </w:r>
      <w:r>
        <w:rPr>
          <w:color w:val="231F20"/>
          <w:spacing w:val="-8"/>
          <w:sz w:val="20"/>
        </w:rPr>
        <w:t> </w:t>
      </w:r>
      <w:r>
        <w:rPr>
          <w:color w:val="231F20"/>
          <w:sz w:val="20"/>
        </w:rPr>
        <w:t>этапе</w:t>
      </w:r>
      <w:r>
        <w:rPr>
          <w:color w:val="231F20"/>
          <w:spacing w:val="-8"/>
          <w:sz w:val="20"/>
        </w:rPr>
        <w:t> </w:t>
      </w:r>
      <w:r>
        <w:rPr>
          <w:color w:val="231F20"/>
          <w:sz w:val="20"/>
        </w:rPr>
        <w:t>могут</w:t>
      </w:r>
      <w:r>
        <w:rPr>
          <w:color w:val="231F20"/>
          <w:spacing w:val="-8"/>
          <w:sz w:val="20"/>
        </w:rPr>
        <w:t> </w:t>
      </w:r>
      <w:r>
        <w:rPr>
          <w:color w:val="231F20"/>
          <w:sz w:val="20"/>
        </w:rPr>
        <w:t>быть</w:t>
      </w:r>
      <w:r>
        <w:rPr>
          <w:color w:val="231F20"/>
          <w:spacing w:val="-8"/>
          <w:sz w:val="20"/>
        </w:rPr>
        <w:t> </w:t>
      </w:r>
      <w:r>
        <w:rPr>
          <w:color w:val="231F20"/>
          <w:sz w:val="20"/>
        </w:rPr>
        <w:t>придуманы</w:t>
      </w:r>
      <w:r>
        <w:rPr>
          <w:color w:val="231F20"/>
          <w:spacing w:val="-8"/>
          <w:sz w:val="20"/>
        </w:rPr>
        <w:t> </w:t>
      </w:r>
      <w:r>
        <w:rPr>
          <w:color w:val="231F20"/>
          <w:sz w:val="20"/>
        </w:rPr>
        <w:t>общие</w:t>
      </w:r>
      <w:r>
        <w:rPr>
          <w:color w:val="231F20"/>
          <w:spacing w:val="-8"/>
          <w:sz w:val="20"/>
        </w:rPr>
        <w:t> </w:t>
      </w:r>
      <w:r>
        <w:rPr>
          <w:color w:val="231F20"/>
          <w:sz w:val="20"/>
        </w:rPr>
        <w:t>правила игры, содержание которых участники смогут наполнять контентом, связанным с интересными особенностями «своей» территории. И после, уже через саму игру,</w:t>
      </w:r>
    </w:p>
    <w:p>
      <w:pPr>
        <w:pStyle w:val="ListParagraph"/>
        <w:spacing w:after="0" w:line="235" w:lineRule="auto"/>
        <w:jc w:val="both"/>
        <w:rPr>
          <w:sz w:val="20"/>
        </w:rPr>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left="425" w:firstLine="0"/>
      </w:pPr>
      <w:r>
        <w:rPr>
          <w:color w:val="231F20"/>
        </w:rPr>
        <w:t>знакомить друг друга с интересными особенностями «своего места», его истори- ей, природой, культурой, традициями.</w:t>
      </w:r>
    </w:p>
    <w:p>
      <w:pPr>
        <w:pStyle w:val="BodyText"/>
        <w:spacing w:line="235" w:lineRule="auto" w:before="1"/>
      </w:pPr>
      <w:r>
        <w:rPr>
          <w:color w:val="231F20"/>
        </w:rPr>
        <w:t>Большой</w:t>
      </w:r>
      <w:r>
        <w:rPr>
          <w:color w:val="231F20"/>
          <w:spacing w:val="-6"/>
        </w:rPr>
        <w:t> </w:t>
      </w:r>
      <w:r>
        <w:rPr>
          <w:color w:val="231F20"/>
        </w:rPr>
        <w:t>ресурс</w:t>
      </w:r>
      <w:r>
        <w:rPr>
          <w:color w:val="231F20"/>
          <w:spacing w:val="-6"/>
        </w:rPr>
        <w:t> </w:t>
      </w:r>
      <w:r>
        <w:rPr>
          <w:color w:val="231F20"/>
        </w:rPr>
        <w:t>для</w:t>
      </w:r>
      <w:r>
        <w:rPr>
          <w:color w:val="231F20"/>
          <w:spacing w:val="-6"/>
        </w:rPr>
        <w:t> </w:t>
      </w:r>
      <w:r>
        <w:rPr>
          <w:color w:val="231F20"/>
        </w:rPr>
        <w:t>реализации</w:t>
      </w:r>
      <w:r>
        <w:rPr>
          <w:color w:val="231F20"/>
          <w:spacing w:val="-6"/>
        </w:rPr>
        <w:t> </w:t>
      </w:r>
      <w:r>
        <w:rPr>
          <w:color w:val="231F20"/>
        </w:rPr>
        <w:t>интеграционного</w:t>
      </w:r>
      <w:r>
        <w:rPr>
          <w:color w:val="231F20"/>
          <w:spacing w:val="-6"/>
        </w:rPr>
        <w:t> </w:t>
      </w:r>
      <w:r>
        <w:rPr>
          <w:color w:val="231F20"/>
        </w:rPr>
        <w:t>межкультурного</w:t>
      </w:r>
      <w:r>
        <w:rPr>
          <w:color w:val="231F20"/>
          <w:spacing w:val="-6"/>
        </w:rPr>
        <w:t> </w:t>
      </w:r>
      <w:r>
        <w:rPr>
          <w:color w:val="231F20"/>
        </w:rPr>
        <w:t>краеведения</w:t>
      </w:r>
      <w:r>
        <w:rPr>
          <w:color w:val="231F20"/>
          <w:spacing w:val="-6"/>
        </w:rPr>
        <w:t> </w:t>
      </w:r>
      <w:r>
        <w:rPr>
          <w:color w:val="231F20"/>
        </w:rPr>
        <w:t>в поликультурном</w:t>
      </w:r>
      <w:r>
        <w:rPr>
          <w:color w:val="231F20"/>
          <w:spacing w:val="-1"/>
        </w:rPr>
        <w:t> </w:t>
      </w:r>
      <w:r>
        <w:rPr>
          <w:color w:val="231F20"/>
        </w:rPr>
        <w:t>классе</w:t>
      </w:r>
      <w:r>
        <w:rPr>
          <w:color w:val="231F20"/>
          <w:spacing w:val="-1"/>
        </w:rPr>
        <w:t> </w:t>
      </w:r>
      <w:r>
        <w:rPr>
          <w:color w:val="231F20"/>
        </w:rPr>
        <w:t>в</w:t>
      </w:r>
      <w:r>
        <w:rPr>
          <w:color w:val="231F20"/>
          <w:spacing w:val="-1"/>
        </w:rPr>
        <w:t> </w:t>
      </w:r>
      <w:r>
        <w:rPr>
          <w:color w:val="231F20"/>
        </w:rPr>
        <w:t>начальной</w:t>
      </w:r>
      <w:r>
        <w:rPr>
          <w:color w:val="231F20"/>
          <w:spacing w:val="-1"/>
        </w:rPr>
        <w:t> </w:t>
      </w:r>
      <w:r>
        <w:rPr>
          <w:color w:val="231F20"/>
        </w:rPr>
        <w:t>школе</w:t>
      </w:r>
      <w:r>
        <w:rPr>
          <w:color w:val="231F20"/>
          <w:spacing w:val="-1"/>
        </w:rPr>
        <w:t> </w:t>
      </w:r>
      <w:r>
        <w:rPr>
          <w:color w:val="231F20"/>
        </w:rPr>
        <w:t>заключен</w:t>
      </w:r>
      <w:r>
        <w:rPr>
          <w:color w:val="231F20"/>
          <w:spacing w:val="-2"/>
        </w:rPr>
        <w:t> </w:t>
      </w:r>
      <w:r>
        <w:rPr>
          <w:color w:val="231F20"/>
        </w:rPr>
        <w:t>в</w:t>
      </w:r>
      <w:r>
        <w:rPr>
          <w:color w:val="231F20"/>
          <w:spacing w:val="-1"/>
        </w:rPr>
        <w:t> </w:t>
      </w:r>
      <w:r>
        <w:rPr>
          <w:color w:val="231F20"/>
        </w:rPr>
        <w:t>программе</w:t>
      </w:r>
      <w:r>
        <w:rPr>
          <w:color w:val="231F20"/>
          <w:spacing w:val="-1"/>
        </w:rPr>
        <w:t> </w:t>
      </w:r>
      <w:r>
        <w:rPr>
          <w:color w:val="231F20"/>
        </w:rPr>
        <w:t>курса</w:t>
      </w:r>
      <w:r>
        <w:rPr>
          <w:color w:val="231F20"/>
          <w:spacing w:val="-1"/>
        </w:rPr>
        <w:t> </w:t>
      </w:r>
      <w:r>
        <w:rPr>
          <w:color w:val="231F20"/>
        </w:rPr>
        <w:t>«Окружаю- щий мир», когда темы, заложенные в курсе, реализуются через изучение локальной территории,</w:t>
      </w:r>
      <w:r>
        <w:rPr>
          <w:color w:val="231F20"/>
          <w:spacing w:val="-13"/>
        </w:rPr>
        <w:t> </w:t>
      </w:r>
      <w:r>
        <w:rPr>
          <w:color w:val="231F20"/>
        </w:rPr>
        <w:t>собственного</w:t>
      </w:r>
      <w:r>
        <w:rPr>
          <w:color w:val="231F20"/>
          <w:spacing w:val="-12"/>
        </w:rPr>
        <w:t> </w:t>
      </w:r>
      <w:r>
        <w:rPr>
          <w:color w:val="231F20"/>
        </w:rPr>
        <w:t>сообщества,</w:t>
      </w:r>
      <w:r>
        <w:rPr>
          <w:color w:val="231F20"/>
          <w:spacing w:val="-13"/>
        </w:rPr>
        <w:t> </w:t>
      </w:r>
      <w:r>
        <w:rPr>
          <w:color w:val="231F20"/>
        </w:rPr>
        <w:t>истории</w:t>
      </w:r>
      <w:r>
        <w:rPr>
          <w:color w:val="231F20"/>
          <w:spacing w:val="-12"/>
        </w:rPr>
        <w:t> </w:t>
      </w:r>
      <w:r>
        <w:rPr>
          <w:color w:val="231F20"/>
        </w:rPr>
        <w:t>семей</w:t>
      </w:r>
      <w:r>
        <w:rPr>
          <w:color w:val="231F20"/>
          <w:spacing w:val="-13"/>
        </w:rPr>
        <w:t> </w:t>
      </w:r>
      <w:r>
        <w:rPr>
          <w:color w:val="231F20"/>
        </w:rPr>
        <w:t>в</w:t>
      </w:r>
      <w:r>
        <w:rPr>
          <w:color w:val="231F20"/>
          <w:spacing w:val="-12"/>
        </w:rPr>
        <w:t> </w:t>
      </w:r>
      <w:r>
        <w:rPr>
          <w:color w:val="231F20"/>
        </w:rPr>
        <w:t>контексте</w:t>
      </w:r>
      <w:r>
        <w:rPr>
          <w:color w:val="231F20"/>
          <w:spacing w:val="-13"/>
        </w:rPr>
        <w:t> </w:t>
      </w:r>
      <w:r>
        <w:rPr>
          <w:color w:val="231F20"/>
        </w:rPr>
        <w:t>культурных</w:t>
      </w:r>
      <w:r>
        <w:rPr>
          <w:color w:val="231F20"/>
          <w:spacing w:val="-12"/>
        </w:rPr>
        <w:t> </w:t>
      </w:r>
      <w:r>
        <w:rPr>
          <w:color w:val="231F20"/>
        </w:rPr>
        <w:t>тради- ций и др (Подобедова, Авдеенко, 2022; Анненкова, 2022; Обухов и др.,2022).</w:t>
      </w:r>
    </w:p>
    <w:p>
      <w:pPr>
        <w:pStyle w:val="BodyText"/>
        <w:spacing w:line="237" w:lineRule="auto" w:before="1"/>
        <w:ind w:right="138"/>
      </w:pPr>
      <w:r>
        <w:rPr>
          <w:color w:val="231F20"/>
        </w:rPr>
        <w:t>В средней и старшей школе ресурсом для краеведения при решении задач ин- теграции и развития межкультурного диалога в поликультурном классе выступает исследовательская и проектная деятельность, включенная во ФГОС ООО и ФГОС СОО, особенно когда содержательная часть этой деятельности реализуется в поли- </w:t>
      </w:r>
      <w:r>
        <w:rPr>
          <w:color w:val="231F20"/>
          <w:spacing w:val="-2"/>
        </w:rPr>
        <w:t>культурных командах, а исследовательские или проектные задачи выстраиваются, от- </w:t>
      </w:r>
      <w:r>
        <w:rPr>
          <w:color w:val="231F20"/>
        </w:rPr>
        <w:t>талкиваясь от ресурса поликультурности в классе (особенно для кросс-культурных, лингвистических, культурологических, этнографических, этнопсихологических </w:t>
      </w:r>
      <w:r>
        <w:rPr>
          <w:color w:val="231F20"/>
        </w:rPr>
        <w:t>и смежных тем).</w:t>
      </w:r>
    </w:p>
    <w:p>
      <w:pPr>
        <w:pStyle w:val="BodyText"/>
        <w:spacing w:before="5"/>
      </w:pPr>
      <w:r>
        <w:rPr>
          <w:color w:val="231F20"/>
        </w:rPr>
        <w:t>Такие исследования много лет проходят в Международной исследовательской школе</w:t>
      </w:r>
      <w:r>
        <w:rPr>
          <w:color w:val="231F20"/>
          <w:spacing w:val="-10"/>
        </w:rPr>
        <w:t> </w:t>
      </w:r>
      <w:r>
        <w:rPr>
          <w:color w:val="231F20"/>
        </w:rPr>
        <w:t>(</w:t>
      </w:r>
      <w:hyperlink r:id="rId173">
        <w:r>
          <w:rPr>
            <w:color w:val="2255A6"/>
            <w:u w:val="single" w:color="2255A6"/>
          </w:rPr>
          <w:t>http://irschool.org/</w:t>
        </w:r>
      </w:hyperlink>
      <w:r>
        <w:rPr>
          <w:color w:val="231F20"/>
        </w:rPr>
        <w:t>).</w:t>
      </w:r>
      <w:r>
        <w:rPr>
          <w:color w:val="231F20"/>
          <w:spacing w:val="-10"/>
        </w:rPr>
        <w:t> </w:t>
      </w:r>
      <w:r>
        <w:rPr>
          <w:color w:val="231F20"/>
        </w:rPr>
        <w:t>В</w:t>
      </w:r>
      <w:r>
        <w:rPr>
          <w:color w:val="231F20"/>
          <w:spacing w:val="-10"/>
        </w:rPr>
        <w:t> </w:t>
      </w:r>
      <w:r>
        <w:rPr>
          <w:color w:val="231F20"/>
        </w:rPr>
        <w:t>данной</w:t>
      </w:r>
      <w:r>
        <w:rPr>
          <w:color w:val="231F20"/>
          <w:spacing w:val="-10"/>
        </w:rPr>
        <w:t> </w:t>
      </w:r>
      <w:r>
        <w:rPr>
          <w:color w:val="231F20"/>
        </w:rPr>
        <w:t>модели</w:t>
      </w:r>
      <w:r>
        <w:rPr>
          <w:color w:val="231F20"/>
          <w:spacing w:val="-10"/>
        </w:rPr>
        <w:t> </w:t>
      </w:r>
      <w:r>
        <w:rPr>
          <w:color w:val="231F20"/>
        </w:rPr>
        <w:t>–</w:t>
      </w:r>
      <w:r>
        <w:rPr>
          <w:color w:val="231F20"/>
          <w:spacing w:val="-10"/>
        </w:rPr>
        <w:t> </w:t>
      </w:r>
      <w:r>
        <w:rPr>
          <w:color w:val="231F20"/>
        </w:rPr>
        <w:t>тематика</w:t>
      </w:r>
      <w:r>
        <w:rPr>
          <w:color w:val="231F20"/>
          <w:spacing w:val="-10"/>
        </w:rPr>
        <w:t> </w:t>
      </w:r>
      <w:r>
        <w:rPr>
          <w:color w:val="231F20"/>
        </w:rPr>
        <w:t>исследования</w:t>
      </w:r>
      <w:r>
        <w:rPr>
          <w:color w:val="231F20"/>
          <w:spacing w:val="-10"/>
        </w:rPr>
        <w:t> </w:t>
      </w:r>
      <w:r>
        <w:rPr>
          <w:color w:val="231F20"/>
        </w:rPr>
        <w:t>задается</w:t>
      </w:r>
      <w:r>
        <w:rPr>
          <w:color w:val="231F20"/>
          <w:spacing w:val="-10"/>
        </w:rPr>
        <w:t> </w:t>
      </w:r>
      <w:r>
        <w:rPr>
          <w:color w:val="231F20"/>
        </w:rPr>
        <w:t>взрос- </w:t>
      </w:r>
      <w:r>
        <w:rPr>
          <w:color w:val="231F20"/>
          <w:spacing w:val="-2"/>
        </w:rPr>
        <w:t>лым как рамочная, конкретизация которой происходит при реализации в межкультур- </w:t>
      </w:r>
      <w:r>
        <w:rPr>
          <w:color w:val="231F20"/>
        </w:rPr>
        <w:t>ной команде (</w:t>
      </w:r>
      <w:r>
        <w:rPr/>
        <w:t>Обухов, Сальникова, Фишер,2020)</w:t>
      </w:r>
    </w:p>
    <w:p>
      <w:pPr>
        <w:pStyle w:val="BodyText"/>
        <w:jc w:val="right"/>
      </w:pPr>
      <w:r>
        <w:rPr>
          <w:color w:val="231F20"/>
          <w:spacing w:val="-2"/>
        </w:rPr>
        <w:t>Зачинные</w:t>
      </w:r>
      <w:r>
        <w:rPr>
          <w:color w:val="231F20"/>
          <w:spacing w:val="-6"/>
        </w:rPr>
        <w:t> </w:t>
      </w:r>
      <w:r>
        <w:rPr>
          <w:color w:val="231F20"/>
          <w:spacing w:val="-2"/>
        </w:rPr>
        <w:t>темы,</w:t>
      </w:r>
      <w:r>
        <w:rPr>
          <w:color w:val="231F20"/>
          <w:spacing w:val="-6"/>
        </w:rPr>
        <w:t> </w:t>
      </w:r>
      <w:r>
        <w:rPr>
          <w:color w:val="231F20"/>
          <w:spacing w:val="-2"/>
        </w:rPr>
        <w:t>продуктивные</w:t>
      </w:r>
      <w:r>
        <w:rPr>
          <w:color w:val="231F20"/>
          <w:spacing w:val="-6"/>
        </w:rPr>
        <w:t> </w:t>
      </w:r>
      <w:r>
        <w:rPr>
          <w:color w:val="231F20"/>
          <w:spacing w:val="-2"/>
        </w:rPr>
        <w:t>для</w:t>
      </w:r>
      <w:r>
        <w:rPr>
          <w:color w:val="231F20"/>
          <w:spacing w:val="-6"/>
        </w:rPr>
        <w:t> </w:t>
      </w:r>
      <w:r>
        <w:rPr>
          <w:color w:val="231F20"/>
          <w:spacing w:val="-2"/>
        </w:rPr>
        <w:t>работы</w:t>
      </w:r>
      <w:r>
        <w:rPr>
          <w:color w:val="231F20"/>
          <w:spacing w:val="-6"/>
        </w:rPr>
        <w:t> </w:t>
      </w:r>
      <w:r>
        <w:rPr>
          <w:color w:val="231F20"/>
          <w:spacing w:val="-2"/>
        </w:rPr>
        <w:t>в</w:t>
      </w:r>
      <w:r>
        <w:rPr>
          <w:color w:val="231F20"/>
          <w:spacing w:val="-6"/>
        </w:rPr>
        <w:t> </w:t>
      </w:r>
      <w:r>
        <w:rPr>
          <w:color w:val="231F20"/>
          <w:spacing w:val="-2"/>
        </w:rPr>
        <w:t>поликультурном</w:t>
      </w:r>
      <w:r>
        <w:rPr>
          <w:color w:val="231F20"/>
          <w:spacing w:val="-6"/>
        </w:rPr>
        <w:t> </w:t>
      </w:r>
      <w:r>
        <w:rPr>
          <w:color w:val="231F20"/>
          <w:spacing w:val="-2"/>
        </w:rPr>
        <w:t>классе</w:t>
      </w:r>
      <w:r>
        <w:rPr>
          <w:color w:val="231F20"/>
          <w:spacing w:val="-6"/>
        </w:rPr>
        <w:t> </w:t>
      </w:r>
      <w:r>
        <w:rPr>
          <w:color w:val="231F20"/>
          <w:spacing w:val="-2"/>
        </w:rPr>
        <w:t>с</w:t>
      </w:r>
      <w:r>
        <w:rPr>
          <w:color w:val="231F20"/>
          <w:spacing w:val="-6"/>
        </w:rPr>
        <w:t> </w:t>
      </w:r>
      <w:r>
        <w:rPr>
          <w:color w:val="231F20"/>
          <w:spacing w:val="-2"/>
        </w:rPr>
        <w:t>дальнейшим </w:t>
      </w:r>
      <w:r>
        <w:rPr>
          <w:color w:val="231F20"/>
        </w:rPr>
        <w:t>сопоставлением результатов учащихся друг с другом или для дальнейшей «сборки» в</w:t>
      </w:r>
      <w:r>
        <w:rPr>
          <w:color w:val="231F20"/>
          <w:spacing w:val="-4"/>
        </w:rPr>
        <w:t> </w:t>
      </w:r>
      <w:r>
        <w:rPr>
          <w:color w:val="231F20"/>
        </w:rPr>
        <w:t>общие</w:t>
      </w:r>
      <w:r>
        <w:rPr>
          <w:color w:val="231F20"/>
          <w:spacing w:val="-4"/>
        </w:rPr>
        <w:t> </w:t>
      </w:r>
      <w:r>
        <w:rPr>
          <w:color w:val="231F20"/>
        </w:rPr>
        <w:t>мозаичные</w:t>
      </w:r>
      <w:r>
        <w:rPr>
          <w:color w:val="231F20"/>
          <w:spacing w:val="-4"/>
        </w:rPr>
        <w:t> </w:t>
      </w:r>
      <w:r>
        <w:rPr>
          <w:color w:val="231F20"/>
        </w:rPr>
        <w:t>картины</w:t>
      </w:r>
      <w:r>
        <w:rPr>
          <w:color w:val="231F20"/>
          <w:spacing w:val="-4"/>
        </w:rPr>
        <w:t> </w:t>
      </w:r>
      <w:r>
        <w:rPr>
          <w:color w:val="231F20"/>
        </w:rPr>
        <w:t>в</w:t>
      </w:r>
      <w:r>
        <w:rPr>
          <w:color w:val="231F20"/>
          <w:spacing w:val="-4"/>
        </w:rPr>
        <w:t> </w:t>
      </w:r>
      <w:r>
        <w:rPr>
          <w:color w:val="231F20"/>
        </w:rPr>
        <w:t>формате</w:t>
      </w:r>
      <w:r>
        <w:rPr>
          <w:color w:val="231F20"/>
          <w:spacing w:val="-4"/>
        </w:rPr>
        <w:t> </w:t>
      </w:r>
      <w:r>
        <w:rPr>
          <w:color w:val="231F20"/>
        </w:rPr>
        <w:t>сайта,</w:t>
      </w:r>
      <w:r>
        <w:rPr>
          <w:color w:val="231F20"/>
          <w:spacing w:val="-4"/>
        </w:rPr>
        <w:t> </w:t>
      </w:r>
      <w:r>
        <w:rPr>
          <w:color w:val="231F20"/>
        </w:rPr>
        <w:t>карты,</w:t>
      </w:r>
      <w:r>
        <w:rPr>
          <w:color w:val="231F20"/>
          <w:spacing w:val="-4"/>
        </w:rPr>
        <w:t> </w:t>
      </w:r>
      <w:r>
        <w:rPr>
          <w:color w:val="231F20"/>
        </w:rPr>
        <w:t>выставки</w:t>
      </w:r>
      <w:r>
        <w:rPr>
          <w:color w:val="231F20"/>
          <w:spacing w:val="-4"/>
        </w:rPr>
        <w:t> </w:t>
      </w:r>
      <w:r>
        <w:rPr>
          <w:color w:val="231F20"/>
        </w:rPr>
        <w:t>и</w:t>
      </w:r>
      <w:r>
        <w:rPr>
          <w:color w:val="231F20"/>
          <w:spacing w:val="-4"/>
        </w:rPr>
        <w:t> </w:t>
      </w:r>
      <w:r>
        <w:rPr>
          <w:color w:val="231F20"/>
        </w:rPr>
        <w:t>др.,</w:t>
      </w:r>
      <w:r>
        <w:rPr>
          <w:color w:val="231F20"/>
          <w:spacing w:val="-4"/>
        </w:rPr>
        <w:t> </w:t>
      </w:r>
      <w:r>
        <w:rPr>
          <w:color w:val="231F20"/>
        </w:rPr>
        <w:t>представлены</w:t>
      </w:r>
      <w:r>
        <w:rPr>
          <w:color w:val="231F20"/>
          <w:spacing w:val="-4"/>
        </w:rPr>
        <w:t> </w:t>
      </w:r>
      <w:r>
        <w:rPr>
          <w:color w:val="231F20"/>
        </w:rPr>
        <w:t>в каталоге</w:t>
      </w:r>
      <w:r>
        <w:rPr>
          <w:color w:val="231F20"/>
          <w:spacing w:val="-5"/>
        </w:rPr>
        <w:t> </w:t>
      </w:r>
      <w:r>
        <w:rPr>
          <w:color w:val="231F20"/>
        </w:rPr>
        <w:t>задач</w:t>
      </w:r>
      <w:r>
        <w:rPr>
          <w:color w:val="231F20"/>
          <w:spacing w:val="-5"/>
        </w:rPr>
        <w:t> </w:t>
      </w:r>
      <w:r>
        <w:rPr>
          <w:color w:val="231F20"/>
        </w:rPr>
        <w:t>открытого</w:t>
      </w:r>
      <w:r>
        <w:rPr>
          <w:color w:val="231F20"/>
          <w:spacing w:val="-5"/>
        </w:rPr>
        <w:t> </w:t>
      </w:r>
      <w:r>
        <w:rPr>
          <w:color w:val="231F20"/>
        </w:rPr>
        <w:t>типа</w:t>
      </w:r>
      <w:r>
        <w:rPr>
          <w:color w:val="231F20"/>
          <w:spacing w:val="-5"/>
        </w:rPr>
        <w:t> </w:t>
      </w:r>
      <w:r>
        <w:rPr>
          <w:color w:val="231F20"/>
        </w:rPr>
        <w:t>«Исследование</w:t>
      </w:r>
      <w:r>
        <w:rPr>
          <w:color w:val="231F20"/>
          <w:spacing w:val="-5"/>
        </w:rPr>
        <w:t> </w:t>
      </w:r>
      <w:r>
        <w:rPr>
          <w:color w:val="231F20"/>
        </w:rPr>
        <w:t>онлайн»:</w:t>
      </w:r>
      <w:r>
        <w:rPr>
          <w:color w:val="231F20"/>
          <w:spacing w:val="-5"/>
        </w:rPr>
        <w:t> </w:t>
      </w:r>
      <w:hyperlink r:id="rId174">
        <w:r>
          <w:rPr>
            <w:color w:val="2255A6"/>
            <w:u w:val="single" w:color="2255A6"/>
          </w:rPr>
          <w:t>http://katalogzadaniy.tilda.ws/</w:t>
        </w:r>
      </w:hyperlink>
      <w:r>
        <w:rPr>
          <w:color w:val="2255A6"/>
        </w:rPr>
        <w:t> </w:t>
      </w:r>
      <w:hyperlink r:id="rId174">
        <w:r>
          <w:rPr>
            <w:color w:val="2255A6"/>
            <w:u w:val="single" w:color="2255A6"/>
          </w:rPr>
          <w:t>park-online</w:t>
        </w:r>
      </w:hyperlink>
      <w:r>
        <w:rPr>
          <w:color w:val="231F20"/>
        </w:rPr>
        <w:t>.</w:t>
      </w:r>
      <w:r>
        <w:rPr>
          <w:color w:val="231F20"/>
          <w:spacing w:val="-1"/>
        </w:rPr>
        <w:t> </w:t>
      </w:r>
      <w:r>
        <w:rPr>
          <w:color w:val="231F20"/>
        </w:rPr>
        <w:t>В</w:t>
      </w:r>
      <w:r>
        <w:rPr>
          <w:color w:val="231F20"/>
          <w:spacing w:val="-1"/>
        </w:rPr>
        <w:t> </w:t>
      </w:r>
      <w:r>
        <w:rPr>
          <w:color w:val="231F20"/>
        </w:rPr>
        <w:t>видеозаданиях</w:t>
      </w:r>
      <w:r>
        <w:rPr>
          <w:color w:val="231F20"/>
          <w:spacing w:val="-1"/>
        </w:rPr>
        <w:t> </w:t>
      </w:r>
      <w:r>
        <w:rPr>
          <w:color w:val="231F20"/>
        </w:rPr>
        <w:t>представлены</w:t>
      </w:r>
      <w:r>
        <w:rPr>
          <w:color w:val="231F20"/>
          <w:spacing w:val="-1"/>
        </w:rPr>
        <w:t> </w:t>
      </w:r>
      <w:r>
        <w:rPr>
          <w:color w:val="231F20"/>
        </w:rPr>
        <w:t>не</w:t>
      </w:r>
      <w:r>
        <w:rPr>
          <w:color w:val="231F20"/>
          <w:spacing w:val="-1"/>
        </w:rPr>
        <w:t> </w:t>
      </w:r>
      <w:r>
        <w:rPr>
          <w:color w:val="231F20"/>
        </w:rPr>
        <w:t>только</w:t>
      </w:r>
      <w:r>
        <w:rPr>
          <w:color w:val="231F20"/>
          <w:spacing w:val="-1"/>
        </w:rPr>
        <w:t> </w:t>
      </w:r>
      <w:r>
        <w:rPr>
          <w:color w:val="231F20"/>
        </w:rPr>
        <w:t>темы,</w:t>
      </w:r>
      <w:r>
        <w:rPr>
          <w:color w:val="231F20"/>
          <w:spacing w:val="-1"/>
        </w:rPr>
        <w:t> </w:t>
      </w:r>
      <w:r>
        <w:rPr>
          <w:color w:val="231F20"/>
        </w:rPr>
        <w:t>но</w:t>
      </w:r>
      <w:r>
        <w:rPr>
          <w:color w:val="231F20"/>
          <w:spacing w:val="-1"/>
        </w:rPr>
        <w:t> </w:t>
      </w:r>
      <w:r>
        <w:rPr>
          <w:color w:val="231F20"/>
        </w:rPr>
        <w:t>и</w:t>
      </w:r>
      <w:r>
        <w:rPr>
          <w:color w:val="231F20"/>
          <w:spacing w:val="-1"/>
        </w:rPr>
        <w:t> </w:t>
      </w:r>
      <w:r>
        <w:rPr>
          <w:color w:val="231F20"/>
        </w:rPr>
        <w:t>методы</w:t>
      </w:r>
      <w:r>
        <w:rPr>
          <w:color w:val="231F20"/>
          <w:spacing w:val="-1"/>
        </w:rPr>
        <w:t> </w:t>
      </w:r>
      <w:r>
        <w:rPr>
          <w:color w:val="231F20"/>
        </w:rPr>
        <w:t>возможных исследований, в том числе на местности. Пользуясь навигационными настройками каталога, можно выбрать наиболее продуктивные и увлекательные задания, доступ- ные</w:t>
      </w:r>
      <w:r>
        <w:rPr>
          <w:color w:val="231F20"/>
          <w:spacing w:val="36"/>
        </w:rPr>
        <w:t> </w:t>
      </w:r>
      <w:r>
        <w:rPr>
          <w:color w:val="231F20"/>
        </w:rPr>
        <w:t>для</w:t>
      </w:r>
      <w:r>
        <w:rPr>
          <w:color w:val="231F20"/>
          <w:spacing w:val="36"/>
        </w:rPr>
        <w:t> </w:t>
      </w:r>
      <w:r>
        <w:rPr>
          <w:color w:val="231F20"/>
        </w:rPr>
        <w:t>самостоятельной</w:t>
      </w:r>
      <w:r>
        <w:rPr>
          <w:color w:val="231F20"/>
          <w:spacing w:val="36"/>
        </w:rPr>
        <w:t> </w:t>
      </w:r>
      <w:r>
        <w:rPr>
          <w:color w:val="231F20"/>
        </w:rPr>
        <w:t>реализации</w:t>
      </w:r>
      <w:r>
        <w:rPr>
          <w:color w:val="231F20"/>
          <w:spacing w:val="36"/>
        </w:rPr>
        <w:t> </w:t>
      </w:r>
      <w:r>
        <w:rPr>
          <w:color w:val="231F20"/>
        </w:rPr>
        <w:t>учащимися</w:t>
      </w:r>
      <w:r>
        <w:rPr>
          <w:color w:val="231F20"/>
          <w:spacing w:val="36"/>
        </w:rPr>
        <w:t> </w:t>
      </w:r>
      <w:r>
        <w:rPr>
          <w:color w:val="231F20"/>
        </w:rPr>
        <w:t>определенного</w:t>
      </w:r>
      <w:r>
        <w:rPr>
          <w:color w:val="231F20"/>
          <w:spacing w:val="36"/>
        </w:rPr>
        <w:t> </w:t>
      </w:r>
      <w:r>
        <w:rPr>
          <w:color w:val="231F20"/>
        </w:rPr>
        <w:t>возраста.</w:t>
      </w:r>
      <w:r>
        <w:rPr>
          <w:color w:val="231F20"/>
          <w:spacing w:val="36"/>
        </w:rPr>
        <w:t> </w:t>
      </w:r>
      <w:r>
        <w:rPr>
          <w:color w:val="231F20"/>
        </w:rPr>
        <w:t>Задать дедлайн – к какому моменту ребята должны выполнить задание, каждый на своем материале,</w:t>
      </w:r>
      <w:r>
        <w:rPr>
          <w:color w:val="231F20"/>
          <w:spacing w:val="-13"/>
        </w:rPr>
        <w:t> </w:t>
      </w:r>
      <w:r>
        <w:rPr>
          <w:color w:val="231F20"/>
        </w:rPr>
        <w:t>и</w:t>
      </w:r>
      <w:r>
        <w:rPr>
          <w:color w:val="231F20"/>
          <w:spacing w:val="-12"/>
        </w:rPr>
        <w:t> </w:t>
      </w:r>
      <w:r>
        <w:rPr>
          <w:color w:val="231F20"/>
        </w:rPr>
        <w:t>определить</w:t>
      </w:r>
      <w:r>
        <w:rPr>
          <w:color w:val="231F20"/>
          <w:spacing w:val="-13"/>
        </w:rPr>
        <w:t> </w:t>
      </w:r>
      <w:r>
        <w:rPr>
          <w:color w:val="231F20"/>
        </w:rPr>
        <w:t>формат</w:t>
      </w:r>
      <w:r>
        <w:rPr>
          <w:color w:val="231F20"/>
          <w:spacing w:val="-12"/>
        </w:rPr>
        <w:t> </w:t>
      </w:r>
      <w:r>
        <w:rPr>
          <w:color w:val="231F20"/>
        </w:rPr>
        <w:t>«сборки».</w:t>
      </w:r>
      <w:r>
        <w:rPr>
          <w:color w:val="231F20"/>
          <w:spacing w:val="-13"/>
        </w:rPr>
        <w:t> </w:t>
      </w:r>
      <w:r>
        <w:rPr>
          <w:color w:val="231F20"/>
        </w:rPr>
        <w:t>Это</w:t>
      </w:r>
      <w:r>
        <w:rPr>
          <w:color w:val="231F20"/>
          <w:spacing w:val="-12"/>
        </w:rPr>
        <w:t> </w:t>
      </w:r>
      <w:r>
        <w:rPr>
          <w:color w:val="231F20"/>
        </w:rPr>
        <w:t>можно</w:t>
      </w:r>
      <w:r>
        <w:rPr>
          <w:color w:val="231F20"/>
          <w:spacing w:val="-13"/>
        </w:rPr>
        <w:t> </w:t>
      </w:r>
      <w:r>
        <w:rPr>
          <w:color w:val="231F20"/>
        </w:rPr>
        <w:t>сделать</w:t>
      </w:r>
      <w:r>
        <w:rPr>
          <w:color w:val="231F20"/>
          <w:spacing w:val="-12"/>
        </w:rPr>
        <w:t> </w:t>
      </w:r>
      <w:r>
        <w:rPr>
          <w:color w:val="231F20"/>
        </w:rPr>
        <w:t>в</w:t>
      </w:r>
      <w:r>
        <w:rPr>
          <w:color w:val="231F20"/>
          <w:spacing w:val="-13"/>
        </w:rPr>
        <w:t> </w:t>
      </w:r>
      <w:r>
        <w:rPr>
          <w:color w:val="231F20"/>
        </w:rPr>
        <w:t>несколько</w:t>
      </w:r>
      <w:r>
        <w:rPr>
          <w:color w:val="231F20"/>
          <w:spacing w:val="-12"/>
        </w:rPr>
        <w:t> </w:t>
      </w:r>
      <w:r>
        <w:rPr>
          <w:color w:val="231F20"/>
        </w:rPr>
        <w:t>этапов:</w:t>
      </w:r>
      <w:r>
        <w:rPr>
          <w:color w:val="231F20"/>
          <w:spacing w:val="-13"/>
        </w:rPr>
        <w:t> </w:t>
      </w:r>
      <w:r>
        <w:rPr>
          <w:color w:val="231F20"/>
        </w:rPr>
        <w:t>1</w:t>
      </w:r>
      <w:r>
        <w:rPr>
          <w:color w:val="231F20"/>
          <w:spacing w:val="-12"/>
        </w:rPr>
        <w:t> </w:t>
      </w:r>
      <w:r>
        <w:rPr>
          <w:color w:val="231F20"/>
        </w:rPr>
        <w:t>– взаимное</w:t>
      </w:r>
      <w:r>
        <w:rPr>
          <w:color w:val="231F20"/>
          <w:spacing w:val="-8"/>
        </w:rPr>
        <w:t> </w:t>
      </w:r>
      <w:r>
        <w:rPr>
          <w:color w:val="231F20"/>
        </w:rPr>
        <w:t>представление;</w:t>
      </w:r>
      <w:r>
        <w:rPr>
          <w:color w:val="231F20"/>
          <w:spacing w:val="-8"/>
        </w:rPr>
        <w:t> </w:t>
      </w:r>
      <w:r>
        <w:rPr>
          <w:color w:val="231F20"/>
        </w:rPr>
        <w:t>2</w:t>
      </w:r>
      <w:r>
        <w:rPr>
          <w:color w:val="231F20"/>
          <w:spacing w:val="-8"/>
        </w:rPr>
        <w:t> </w:t>
      </w:r>
      <w:r>
        <w:rPr>
          <w:color w:val="231F20"/>
        </w:rPr>
        <w:t>–</w:t>
      </w:r>
      <w:r>
        <w:rPr>
          <w:color w:val="231F20"/>
          <w:spacing w:val="-8"/>
        </w:rPr>
        <w:t> </w:t>
      </w:r>
      <w:r>
        <w:rPr>
          <w:color w:val="231F20"/>
        </w:rPr>
        <w:t>выработка</w:t>
      </w:r>
      <w:r>
        <w:rPr>
          <w:color w:val="231F20"/>
          <w:spacing w:val="-8"/>
        </w:rPr>
        <w:t> </w:t>
      </w:r>
      <w:r>
        <w:rPr>
          <w:color w:val="231F20"/>
        </w:rPr>
        <w:t>формата</w:t>
      </w:r>
      <w:r>
        <w:rPr>
          <w:color w:val="231F20"/>
          <w:spacing w:val="-8"/>
        </w:rPr>
        <w:t> </w:t>
      </w:r>
      <w:r>
        <w:rPr>
          <w:color w:val="231F20"/>
        </w:rPr>
        <w:t>общей</w:t>
      </w:r>
      <w:r>
        <w:rPr>
          <w:color w:val="231F20"/>
          <w:spacing w:val="-8"/>
        </w:rPr>
        <w:t> </w:t>
      </w:r>
      <w:r>
        <w:rPr>
          <w:color w:val="231F20"/>
        </w:rPr>
        <w:t>«сборки»;</w:t>
      </w:r>
      <w:r>
        <w:rPr>
          <w:color w:val="231F20"/>
          <w:spacing w:val="-8"/>
        </w:rPr>
        <w:t> </w:t>
      </w:r>
      <w:r>
        <w:rPr>
          <w:color w:val="231F20"/>
        </w:rPr>
        <w:t>3</w:t>
      </w:r>
      <w:r>
        <w:rPr>
          <w:color w:val="231F20"/>
          <w:spacing w:val="-8"/>
        </w:rPr>
        <w:t> </w:t>
      </w:r>
      <w:r>
        <w:rPr>
          <w:color w:val="231F20"/>
        </w:rPr>
        <w:t>–</w:t>
      </w:r>
      <w:r>
        <w:rPr>
          <w:color w:val="231F20"/>
          <w:spacing w:val="-8"/>
        </w:rPr>
        <w:t> </w:t>
      </w:r>
      <w:r>
        <w:rPr>
          <w:color w:val="231F20"/>
        </w:rPr>
        <w:t>командная</w:t>
      </w:r>
      <w:r>
        <w:rPr>
          <w:color w:val="231F20"/>
          <w:spacing w:val="-8"/>
        </w:rPr>
        <w:t> </w:t>
      </w:r>
      <w:r>
        <w:rPr>
          <w:color w:val="231F20"/>
        </w:rPr>
        <w:t>реа- лизация</w:t>
      </w:r>
      <w:r>
        <w:rPr>
          <w:color w:val="231F20"/>
          <w:spacing w:val="-13"/>
        </w:rPr>
        <w:t> </w:t>
      </w:r>
      <w:r>
        <w:rPr>
          <w:color w:val="231F20"/>
        </w:rPr>
        <w:t>«сборки»;</w:t>
      </w:r>
      <w:r>
        <w:rPr>
          <w:color w:val="231F20"/>
          <w:spacing w:val="-12"/>
        </w:rPr>
        <w:t> </w:t>
      </w:r>
      <w:r>
        <w:rPr>
          <w:color w:val="231F20"/>
        </w:rPr>
        <w:t>4</w:t>
      </w:r>
      <w:r>
        <w:rPr>
          <w:color w:val="231F20"/>
          <w:spacing w:val="-13"/>
        </w:rPr>
        <w:t> </w:t>
      </w:r>
      <w:r>
        <w:rPr>
          <w:color w:val="231F20"/>
        </w:rPr>
        <w:t>–</w:t>
      </w:r>
      <w:r>
        <w:rPr>
          <w:color w:val="231F20"/>
          <w:spacing w:val="-12"/>
        </w:rPr>
        <w:t> </w:t>
      </w:r>
      <w:r>
        <w:rPr>
          <w:color w:val="231F20"/>
        </w:rPr>
        <w:t>представление</w:t>
      </w:r>
      <w:r>
        <w:rPr>
          <w:color w:val="231F20"/>
          <w:spacing w:val="-13"/>
        </w:rPr>
        <w:t> </w:t>
      </w:r>
      <w:r>
        <w:rPr>
          <w:color w:val="231F20"/>
        </w:rPr>
        <w:t>результатов</w:t>
      </w:r>
      <w:r>
        <w:rPr>
          <w:color w:val="231F20"/>
          <w:spacing w:val="-12"/>
        </w:rPr>
        <w:t> </w:t>
      </w:r>
      <w:r>
        <w:rPr>
          <w:color w:val="231F20"/>
        </w:rPr>
        <w:t>командной</w:t>
      </w:r>
      <w:r>
        <w:rPr>
          <w:color w:val="231F20"/>
          <w:spacing w:val="-13"/>
        </w:rPr>
        <w:t> </w:t>
      </w:r>
      <w:r>
        <w:rPr>
          <w:color w:val="231F20"/>
        </w:rPr>
        <w:t>работы</w:t>
      </w:r>
      <w:r>
        <w:rPr>
          <w:color w:val="231F20"/>
          <w:spacing w:val="-12"/>
        </w:rPr>
        <w:t> </w:t>
      </w:r>
      <w:r>
        <w:rPr>
          <w:color w:val="231F20"/>
        </w:rPr>
        <w:t>другим</w:t>
      </w:r>
      <w:r>
        <w:rPr>
          <w:color w:val="231F20"/>
          <w:spacing w:val="-13"/>
        </w:rPr>
        <w:t> </w:t>
      </w:r>
      <w:r>
        <w:rPr>
          <w:color w:val="231F20"/>
        </w:rPr>
        <w:t>классам. В краеведении важная часть – предъявление результатов своего видения края и возможность</w:t>
      </w:r>
      <w:r>
        <w:rPr>
          <w:color w:val="231F20"/>
          <w:spacing w:val="-1"/>
        </w:rPr>
        <w:t> </w:t>
      </w:r>
      <w:r>
        <w:rPr>
          <w:color w:val="231F20"/>
        </w:rPr>
        <w:t>дальнейшего</w:t>
      </w:r>
      <w:r>
        <w:rPr>
          <w:color w:val="231F20"/>
          <w:spacing w:val="-1"/>
        </w:rPr>
        <w:t> </w:t>
      </w:r>
      <w:r>
        <w:rPr>
          <w:color w:val="231F20"/>
        </w:rPr>
        <w:t>использования</w:t>
      </w:r>
      <w:r>
        <w:rPr>
          <w:color w:val="231F20"/>
          <w:spacing w:val="-1"/>
        </w:rPr>
        <w:t> </w:t>
      </w:r>
      <w:r>
        <w:rPr>
          <w:color w:val="231F20"/>
        </w:rPr>
        <w:t>этих</w:t>
      </w:r>
      <w:r>
        <w:rPr>
          <w:color w:val="231F20"/>
          <w:spacing w:val="-1"/>
        </w:rPr>
        <w:t> </w:t>
      </w:r>
      <w:r>
        <w:rPr>
          <w:color w:val="231F20"/>
        </w:rPr>
        <w:t>результатов</w:t>
      </w:r>
      <w:r>
        <w:rPr>
          <w:color w:val="231F20"/>
          <w:spacing w:val="-1"/>
        </w:rPr>
        <w:t> </w:t>
      </w:r>
      <w:r>
        <w:rPr>
          <w:color w:val="231F20"/>
        </w:rPr>
        <w:t>различными</w:t>
      </w:r>
      <w:r>
        <w:rPr>
          <w:color w:val="231F20"/>
          <w:spacing w:val="-1"/>
        </w:rPr>
        <w:t> </w:t>
      </w:r>
      <w:r>
        <w:rPr>
          <w:color w:val="231F20"/>
        </w:rPr>
        <w:t>пользовате- лями. Поэтому важно продумать формат внутришкольной или внутриклассной кон- ференции/фестиваля</w:t>
      </w:r>
      <w:r>
        <w:rPr>
          <w:color w:val="231F20"/>
          <w:spacing w:val="-13"/>
        </w:rPr>
        <w:t> </w:t>
      </w:r>
      <w:r>
        <w:rPr>
          <w:color w:val="231F20"/>
        </w:rPr>
        <w:t>по</w:t>
      </w:r>
      <w:r>
        <w:rPr>
          <w:color w:val="231F20"/>
          <w:spacing w:val="-12"/>
        </w:rPr>
        <w:t> </w:t>
      </w:r>
      <w:r>
        <w:rPr>
          <w:color w:val="231F20"/>
        </w:rPr>
        <w:t>результатам</w:t>
      </w:r>
      <w:r>
        <w:rPr>
          <w:color w:val="231F20"/>
          <w:spacing w:val="-13"/>
        </w:rPr>
        <w:t> </w:t>
      </w:r>
      <w:r>
        <w:rPr>
          <w:color w:val="231F20"/>
        </w:rPr>
        <w:t>краеведческих</w:t>
      </w:r>
      <w:r>
        <w:rPr>
          <w:color w:val="231F20"/>
          <w:spacing w:val="-12"/>
        </w:rPr>
        <w:t> </w:t>
      </w:r>
      <w:r>
        <w:rPr>
          <w:color w:val="231F20"/>
        </w:rPr>
        <w:t>исследований</w:t>
      </w:r>
      <w:r>
        <w:rPr>
          <w:color w:val="231F20"/>
          <w:spacing w:val="-13"/>
        </w:rPr>
        <w:t> </w:t>
      </w:r>
      <w:r>
        <w:rPr>
          <w:color w:val="231F20"/>
        </w:rPr>
        <w:t>или</w:t>
      </w:r>
      <w:r>
        <w:rPr>
          <w:color w:val="231F20"/>
          <w:spacing w:val="-12"/>
        </w:rPr>
        <w:t> </w:t>
      </w:r>
      <w:r>
        <w:rPr>
          <w:color w:val="231F20"/>
        </w:rPr>
        <w:t>проектов.</w:t>
      </w:r>
      <w:r>
        <w:rPr>
          <w:color w:val="231F20"/>
          <w:spacing w:val="-13"/>
        </w:rPr>
        <w:t> </w:t>
      </w:r>
      <w:r>
        <w:rPr>
          <w:color w:val="231F20"/>
        </w:rPr>
        <w:t>При- думать</w:t>
      </w:r>
      <w:r>
        <w:rPr>
          <w:color w:val="231F20"/>
          <w:spacing w:val="3"/>
        </w:rPr>
        <w:t> </w:t>
      </w:r>
      <w:r>
        <w:rPr>
          <w:color w:val="231F20"/>
        </w:rPr>
        <w:t>место</w:t>
      </w:r>
      <w:r>
        <w:rPr>
          <w:color w:val="231F20"/>
          <w:spacing w:val="3"/>
        </w:rPr>
        <w:t> </w:t>
      </w:r>
      <w:r>
        <w:rPr>
          <w:color w:val="231F20"/>
        </w:rPr>
        <w:t>сборки</w:t>
      </w:r>
      <w:r>
        <w:rPr>
          <w:color w:val="231F20"/>
          <w:spacing w:val="2"/>
        </w:rPr>
        <w:t> </w:t>
      </w:r>
      <w:r>
        <w:rPr>
          <w:color w:val="231F20"/>
        </w:rPr>
        <w:t>данных</w:t>
      </w:r>
      <w:r>
        <w:rPr>
          <w:color w:val="231F20"/>
          <w:spacing w:val="4"/>
        </w:rPr>
        <w:t> </w:t>
      </w:r>
      <w:r>
        <w:rPr>
          <w:color w:val="231F20"/>
        </w:rPr>
        <w:t>и</w:t>
      </w:r>
      <w:r>
        <w:rPr>
          <w:color w:val="231F20"/>
          <w:spacing w:val="3"/>
        </w:rPr>
        <w:t> </w:t>
      </w:r>
      <w:r>
        <w:rPr>
          <w:color w:val="231F20"/>
        </w:rPr>
        <w:t>материалов</w:t>
      </w:r>
      <w:r>
        <w:rPr>
          <w:color w:val="231F20"/>
          <w:spacing w:val="3"/>
        </w:rPr>
        <w:t> </w:t>
      </w:r>
      <w:r>
        <w:rPr>
          <w:color w:val="231F20"/>
        </w:rPr>
        <w:t>(на</w:t>
      </w:r>
      <w:r>
        <w:rPr>
          <w:color w:val="231F20"/>
          <w:spacing w:val="3"/>
        </w:rPr>
        <w:t> </w:t>
      </w:r>
      <w:r>
        <w:rPr>
          <w:color w:val="231F20"/>
        </w:rPr>
        <w:t>сайте,</w:t>
      </w:r>
      <w:r>
        <w:rPr>
          <w:color w:val="231F20"/>
          <w:spacing w:val="4"/>
        </w:rPr>
        <w:t> </w:t>
      </w:r>
      <w:r>
        <w:rPr>
          <w:color w:val="231F20"/>
        </w:rPr>
        <w:t>в</w:t>
      </w:r>
      <w:r>
        <w:rPr>
          <w:color w:val="231F20"/>
          <w:spacing w:val="3"/>
        </w:rPr>
        <w:t> </w:t>
      </w:r>
      <w:r>
        <w:rPr>
          <w:color w:val="231F20"/>
        </w:rPr>
        <w:t>какой-то</w:t>
      </w:r>
      <w:r>
        <w:rPr>
          <w:color w:val="231F20"/>
          <w:spacing w:val="3"/>
        </w:rPr>
        <w:t> </w:t>
      </w:r>
      <w:r>
        <w:rPr>
          <w:color w:val="231F20"/>
        </w:rPr>
        <w:t>социальной</w:t>
      </w:r>
      <w:r>
        <w:rPr>
          <w:color w:val="231F20"/>
          <w:spacing w:val="4"/>
        </w:rPr>
        <w:t> </w:t>
      </w:r>
      <w:r>
        <w:rPr>
          <w:color w:val="231F20"/>
          <w:spacing w:val="-2"/>
        </w:rPr>
        <w:t>группе,</w:t>
      </w:r>
    </w:p>
    <w:p>
      <w:pPr>
        <w:pStyle w:val="BodyText"/>
        <w:ind w:right="0" w:firstLine="0"/>
      </w:pPr>
      <w:r>
        <w:rPr>
          <w:color w:val="231F20"/>
        </w:rPr>
        <w:t>на</w:t>
      </w:r>
      <w:r>
        <w:rPr>
          <w:color w:val="231F20"/>
          <w:spacing w:val="-1"/>
        </w:rPr>
        <w:t> </w:t>
      </w:r>
      <w:r>
        <w:rPr>
          <w:color w:val="231F20"/>
        </w:rPr>
        <w:t>канале</w:t>
      </w:r>
      <w:r>
        <w:rPr>
          <w:color w:val="231F20"/>
          <w:spacing w:val="-2"/>
        </w:rPr>
        <w:t> </w:t>
      </w:r>
      <w:r>
        <w:rPr>
          <w:color w:val="231F20"/>
        </w:rPr>
        <w:t>и</w:t>
      </w:r>
      <w:r>
        <w:rPr>
          <w:color w:val="231F20"/>
          <w:spacing w:val="-1"/>
        </w:rPr>
        <w:t> </w:t>
      </w:r>
      <w:r>
        <w:rPr>
          <w:color w:val="231F20"/>
          <w:spacing w:val="-2"/>
        </w:rPr>
        <w:t>др.).</w:t>
      </w:r>
    </w:p>
    <w:p>
      <w:pPr>
        <w:pStyle w:val="BodyText"/>
        <w:spacing w:line="235" w:lineRule="auto" w:before="4"/>
      </w:pPr>
      <w:r>
        <w:rPr>
          <w:color w:val="231F20"/>
        </w:rPr>
        <w:t>Базовый</w:t>
      </w:r>
      <w:r>
        <w:rPr>
          <w:color w:val="231F20"/>
          <w:spacing w:val="-2"/>
        </w:rPr>
        <w:t> </w:t>
      </w:r>
      <w:r>
        <w:rPr>
          <w:color w:val="231F20"/>
        </w:rPr>
        <w:t>принцип</w:t>
      </w:r>
      <w:r>
        <w:rPr>
          <w:color w:val="231F20"/>
          <w:spacing w:val="-2"/>
        </w:rPr>
        <w:t> </w:t>
      </w:r>
      <w:r>
        <w:rPr>
          <w:color w:val="231F20"/>
        </w:rPr>
        <w:t>интеграционного</w:t>
      </w:r>
      <w:r>
        <w:rPr>
          <w:color w:val="231F20"/>
          <w:spacing w:val="-2"/>
        </w:rPr>
        <w:t> </w:t>
      </w:r>
      <w:r>
        <w:rPr>
          <w:color w:val="231F20"/>
        </w:rPr>
        <w:t>межкультурного</w:t>
      </w:r>
      <w:r>
        <w:rPr>
          <w:color w:val="231F20"/>
          <w:spacing w:val="-2"/>
        </w:rPr>
        <w:t> </w:t>
      </w:r>
      <w:r>
        <w:rPr>
          <w:color w:val="231F20"/>
        </w:rPr>
        <w:t>краеведения</w:t>
      </w:r>
      <w:r>
        <w:rPr>
          <w:color w:val="231F20"/>
          <w:spacing w:val="-2"/>
        </w:rPr>
        <w:t> </w:t>
      </w:r>
      <w:r>
        <w:rPr>
          <w:color w:val="231F20"/>
        </w:rPr>
        <w:t>в</w:t>
      </w:r>
      <w:r>
        <w:rPr>
          <w:color w:val="231F20"/>
          <w:spacing w:val="-2"/>
        </w:rPr>
        <w:t> </w:t>
      </w:r>
      <w:r>
        <w:rPr>
          <w:color w:val="231F20"/>
        </w:rPr>
        <w:t>поликультур- ном</w:t>
      </w:r>
      <w:r>
        <w:rPr>
          <w:color w:val="231F20"/>
          <w:spacing w:val="-3"/>
        </w:rPr>
        <w:t> </w:t>
      </w:r>
      <w:r>
        <w:rPr>
          <w:color w:val="231F20"/>
        </w:rPr>
        <w:t>классе</w:t>
      </w:r>
      <w:r>
        <w:rPr>
          <w:color w:val="231F20"/>
          <w:spacing w:val="-3"/>
        </w:rPr>
        <w:t> </w:t>
      </w:r>
      <w:r>
        <w:rPr>
          <w:color w:val="231F20"/>
        </w:rPr>
        <w:t>заключается</w:t>
      </w:r>
      <w:r>
        <w:rPr>
          <w:color w:val="231F20"/>
          <w:spacing w:val="-3"/>
        </w:rPr>
        <w:t> </w:t>
      </w:r>
      <w:r>
        <w:rPr>
          <w:color w:val="231F20"/>
        </w:rPr>
        <w:t>в</w:t>
      </w:r>
      <w:r>
        <w:rPr>
          <w:color w:val="231F20"/>
          <w:spacing w:val="-3"/>
        </w:rPr>
        <w:t> </w:t>
      </w:r>
      <w:r>
        <w:rPr>
          <w:color w:val="231F20"/>
        </w:rPr>
        <w:t>шутливой</w:t>
      </w:r>
      <w:r>
        <w:rPr>
          <w:color w:val="231F20"/>
          <w:spacing w:val="-3"/>
        </w:rPr>
        <w:t> </w:t>
      </w:r>
      <w:r>
        <w:rPr>
          <w:color w:val="231F20"/>
        </w:rPr>
        <w:t>фразе,</w:t>
      </w:r>
      <w:r>
        <w:rPr>
          <w:color w:val="231F20"/>
          <w:spacing w:val="-3"/>
        </w:rPr>
        <w:t> </w:t>
      </w:r>
      <w:r>
        <w:rPr>
          <w:color w:val="231F20"/>
        </w:rPr>
        <w:t>сказанной</w:t>
      </w:r>
      <w:r>
        <w:rPr>
          <w:color w:val="231F20"/>
          <w:spacing w:val="-3"/>
        </w:rPr>
        <w:t> </w:t>
      </w:r>
      <w:r>
        <w:rPr>
          <w:color w:val="231F20"/>
        </w:rPr>
        <w:t>Котом</w:t>
      </w:r>
      <w:r>
        <w:rPr>
          <w:color w:val="231F20"/>
          <w:spacing w:val="-3"/>
        </w:rPr>
        <w:t> </w:t>
      </w:r>
      <w:r>
        <w:rPr>
          <w:color w:val="231F20"/>
        </w:rPr>
        <w:t>Матроскиным</w:t>
      </w:r>
      <w:r>
        <w:rPr>
          <w:color w:val="231F20"/>
          <w:spacing w:val="-3"/>
        </w:rPr>
        <w:t> </w:t>
      </w:r>
      <w:r>
        <w:rPr>
          <w:color w:val="231F20"/>
        </w:rPr>
        <w:t>в</w:t>
      </w:r>
      <w:r>
        <w:rPr>
          <w:color w:val="231F20"/>
          <w:spacing w:val="-3"/>
        </w:rPr>
        <w:t> </w:t>
      </w:r>
      <w:r>
        <w:rPr>
          <w:color w:val="231F20"/>
        </w:rPr>
        <w:t>извест- ном</w:t>
      </w:r>
      <w:r>
        <w:rPr>
          <w:color w:val="231F20"/>
          <w:spacing w:val="-7"/>
        </w:rPr>
        <w:t> </w:t>
      </w:r>
      <w:r>
        <w:rPr>
          <w:color w:val="231F20"/>
        </w:rPr>
        <w:t>мультфильме:</w:t>
      </w:r>
      <w:r>
        <w:rPr>
          <w:color w:val="231F20"/>
          <w:spacing w:val="-7"/>
        </w:rPr>
        <w:t> </w:t>
      </w:r>
      <w:r>
        <w:rPr>
          <w:color w:val="231F20"/>
        </w:rPr>
        <w:t>«Совместный</w:t>
      </w:r>
      <w:r>
        <w:rPr>
          <w:color w:val="231F20"/>
          <w:spacing w:val="-7"/>
        </w:rPr>
        <w:t> </w:t>
      </w:r>
      <w:r>
        <w:rPr>
          <w:color w:val="231F20"/>
        </w:rPr>
        <w:t>труд</w:t>
      </w:r>
      <w:r>
        <w:rPr>
          <w:color w:val="231F20"/>
          <w:spacing w:val="-7"/>
        </w:rPr>
        <w:t> </w:t>
      </w:r>
      <w:r>
        <w:rPr>
          <w:color w:val="231F20"/>
        </w:rPr>
        <w:t>на</w:t>
      </w:r>
      <w:r>
        <w:rPr>
          <w:color w:val="231F20"/>
          <w:spacing w:val="-7"/>
        </w:rPr>
        <w:t> </w:t>
      </w:r>
      <w:r>
        <w:rPr>
          <w:color w:val="231F20"/>
        </w:rPr>
        <w:t>мою</w:t>
      </w:r>
      <w:r>
        <w:rPr>
          <w:color w:val="231F20"/>
          <w:spacing w:val="-8"/>
        </w:rPr>
        <w:t> </w:t>
      </w:r>
      <w:r>
        <w:rPr>
          <w:color w:val="231F20"/>
        </w:rPr>
        <w:t>пользу</w:t>
      </w:r>
      <w:r>
        <w:rPr>
          <w:color w:val="231F20"/>
          <w:spacing w:val="-7"/>
        </w:rPr>
        <w:t> </w:t>
      </w:r>
      <w:r>
        <w:rPr>
          <w:color w:val="231F20"/>
        </w:rPr>
        <w:t>–</w:t>
      </w:r>
      <w:r>
        <w:rPr>
          <w:color w:val="231F20"/>
          <w:spacing w:val="-7"/>
        </w:rPr>
        <w:t> </w:t>
      </w:r>
      <w:r>
        <w:rPr>
          <w:color w:val="231F20"/>
        </w:rPr>
        <w:t>он</w:t>
      </w:r>
      <w:r>
        <w:rPr>
          <w:color w:val="231F20"/>
          <w:spacing w:val="-7"/>
        </w:rPr>
        <w:t> </w:t>
      </w:r>
      <w:r>
        <w:rPr>
          <w:color w:val="231F20"/>
        </w:rPr>
        <w:t>объединяет!».</w:t>
      </w:r>
      <w:r>
        <w:rPr>
          <w:color w:val="231F20"/>
          <w:spacing w:val="-7"/>
        </w:rPr>
        <w:t> </w:t>
      </w:r>
      <w:r>
        <w:rPr>
          <w:color w:val="231F20"/>
        </w:rPr>
        <w:t>Важно</w:t>
      </w:r>
      <w:r>
        <w:rPr>
          <w:color w:val="231F20"/>
          <w:spacing w:val="-7"/>
        </w:rPr>
        <w:t> </w:t>
      </w:r>
      <w:r>
        <w:rPr>
          <w:color w:val="231F20"/>
        </w:rPr>
        <w:t>толь- ко</w:t>
      </w:r>
      <w:r>
        <w:rPr>
          <w:color w:val="231F20"/>
          <w:spacing w:val="-13"/>
        </w:rPr>
        <w:t> </w:t>
      </w:r>
      <w:r>
        <w:rPr>
          <w:color w:val="231F20"/>
        </w:rPr>
        <w:t>понимать</w:t>
      </w:r>
      <w:r>
        <w:rPr>
          <w:color w:val="231F20"/>
          <w:spacing w:val="-12"/>
        </w:rPr>
        <w:t> </w:t>
      </w:r>
      <w:r>
        <w:rPr>
          <w:color w:val="231F20"/>
        </w:rPr>
        <w:t>эту</w:t>
      </w:r>
      <w:r>
        <w:rPr>
          <w:color w:val="231F20"/>
          <w:spacing w:val="-13"/>
        </w:rPr>
        <w:t> </w:t>
      </w:r>
      <w:r>
        <w:rPr>
          <w:color w:val="231F20"/>
        </w:rPr>
        <w:t>фразу</w:t>
      </w:r>
      <w:r>
        <w:rPr>
          <w:color w:val="231F20"/>
          <w:spacing w:val="-12"/>
        </w:rPr>
        <w:t> </w:t>
      </w:r>
      <w:r>
        <w:rPr>
          <w:color w:val="231F20"/>
        </w:rPr>
        <w:t>так,</w:t>
      </w:r>
      <w:r>
        <w:rPr>
          <w:color w:val="231F20"/>
          <w:spacing w:val="-13"/>
        </w:rPr>
        <w:t> </w:t>
      </w:r>
      <w:r>
        <w:rPr>
          <w:color w:val="231F20"/>
        </w:rPr>
        <w:t>что</w:t>
      </w:r>
      <w:r>
        <w:rPr>
          <w:color w:val="231F20"/>
          <w:spacing w:val="-12"/>
        </w:rPr>
        <w:t> </w:t>
      </w:r>
      <w:r>
        <w:rPr>
          <w:color w:val="231F20"/>
        </w:rPr>
        <w:t>каждому</w:t>
      </w:r>
      <w:r>
        <w:rPr>
          <w:color w:val="231F20"/>
          <w:spacing w:val="-13"/>
        </w:rPr>
        <w:t> </w:t>
      </w:r>
      <w:r>
        <w:rPr>
          <w:color w:val="231F20"/>
        </w:rPr>
        <w:t>участнику</w:t>
      </w:r>
      <w:r>
        <w:rPr>
          <w:color w:val="231F20"/>
          <w:spacing w:val="-12"/>
        </w:rPr>
        <w:t> </w:t>
      </w:r>
      <w:r>
        <w:rPr>
          <w:color w:val="231F20"/>
        </w:rPr>
        <w:t>совместного</w:t>
      </w:r>
      <w:r>
        <w:rPr>
          <w:color w:val="231F20"/>
          <w:spacing w:val="-13"/>
        </w:rPr>
        <w:t> </w:t>
      </w:r>
      <w:r>
        <w:rPr>
          <w:color w:val="231F20"/>
        </w:rPr>
        <w:t>действия</w:t>
      </w:r>
      <w:r>
        <w:rPr>
          <w:color w:val="231F20"/>
          <w:spacing w:val="-12"/>
        </w:rPr>
        <w:t> </w:t>
      </w:r>
      <w:r>
        <w:rPr>
          <w:color w:val="231F20"/>
        </w:rPr>
        <w:t>надо</w:t>
      </w:r>
      <w:r>
        <w:rPr>
          <w:color w:val="231F20"/>
          <w:spacing w:val="-13"/>
        </w:rPr>
        <w:t> </w:t>
      </w:r>
      <w:r>
        <w:rPr>
          <w:color w:val="231F20"/>
        </w:rPr>
        <w:t>видеть пользу именно для себя. Это может быть разное видение, а общность – в наличии такого видения у каждого, а не в совпадении содержания.</w:t>
      </w:r>
    </w:p>
    <w:p>
      <w:pPr>
        <w:pStyle w:val="BodyText"/>
        <w:spacing w:line="235" w:lineRule="auto" w:before="4"/>
      </w:pPr>
      <w:r>
        <w:rPr>
          <w:color w:val="231F20"/>
        </w:rPr>
        <w:t>Кроме</w:t>
      </w:r>
      <w:r>
        <w:rPr>
          <w:color w:val="231F20"/>
          <w:spacing w:val="-13"/>
        </w:rPr>
        <w:t> </w:t>
      </w:r>
      <w:r>
        <w:rPr>
          <w:color w:val="231F20"/>
        </w:rPr>
        <w:t>того,</w:t>
      </w:r>
      <w:r>
        <w:rPr>
          <w:color w:val="231F20"/>
          <w:spacing w:val="-12"/>
        </w:rPr>
        <w:t> </w:t>
      </w:r>
      <w:r>
        <w:rPr>
          <w:color w:val="231F20"/>
        </w:rPr>
        <w:t>практику</w:t>
      </w:r>
      <w:r>
        <w:rPr>
          <w:color w:val="231F20"/>
          <w:spacing w:val="-13"/>
        </w:rPr>
        <w:t> </w:t>
      </w:r>
      <w:r>
        <w:rPr>
          <w:color w:val="231F20"/>
        </w:rPr>
        <w:t>краеведения</w:t>
      </w:r>
      <w:r>
        <w:rPr>
          <w:color w:val="231F20"/>
          <w:spacing w:val="-12"/>
        </w:rPr>
        <w:t> </w:t>
      </w:r>
      <w:r>
        <w:rPr>
          <w:color w:val="231F20"/>
        </w:rPr>
        <w:t>следует</w:t>
      </w:r>
      <w:r>
        <w:rPr>
          <w:color w:val="231F20"/>
          <w:spacing w:val="-13"/>
        </w:rPr>
        <w:t> </w:t>
      </w:r>
      <w:r>
        <w:rPr>
          <w:color w:val="231F20"/>
        </w:rPr>
        <w:t>разворачивать</w:t>
      </w:r>
      <w:r>
        <w:rPr>
          <w:color w:val="231F20"/>
          <w:spacing w:val="-12"/>
        </w:rPr>
        <w:t> </w:t>
      </w:r>
      <w:r>
        <w:rPr>
          <w:color w:val="231F20"/>
        </w:rPr>
        <w:t>от</w:t>
      </w:r>
      <w:r>
        <w:rPr>
          <w:color w:val="231F20"/>
          <w:spacing w:val="-13"/>
        </w:rPr>
        <w:t> </w:t>
      </w:r>
      <w:r>
        <w:rPr>
          <w:color w:val="231F20"/>
        </w:rPr>
        <w:t>очень</w:t>
      </w:r>
      <w:r>
        <w:rPr>
          <w:color w:val="231F20"/>
          <w:spacing w:val="-12"/>
        </w:rPr>
        <w:t> </w:t>
      </w:r>
      <w:r>
        <w:rPr>
          <w:color w:val="231F20"/>
        </w:rPr>
        <w:t>конкретных</w:t>
      </w:r>
      <w:r>
        <w:rPr>
          <w:color w:val="231F20"/>
          <w:spacing w:val="-13"/>
        </w:rPr>
        <w:t> </w:t>
      </w:r>
      <w:r>
        <w:rPr>
          <w:color w:val="231F20"/>
        </w:rPr>
        <w:t>во- </w:t>
      </w:r>
      <w:r>
        <w:rPr>
          <w:color w:val="231F20"/>
          <w:spacing w:val="-2"/>
        </w:rPr>
        <w:t>просов,</w:t>
      </w:r>
      <w:r>
        <w:rPr>
          <w:color w:val="231F20"/>
          <w:spacing w:val="-1"/>
        </w:rPr>
        <w:t> </w:t>
      </w:r>
      <w:r>
        <w:rPr>
          <w:color w:val="231F20"/>
          <w:spacing w:val="-2"/>
        </w:rPr>
        <w:t>артефактов,</w:t>
      </w:r>
      <w:r>
        <w:rPr>
          <w:color w:val="231F20"/>
          <w:spacing w:val="1"/>
        </w:rPr>
        <w:t> </w:t>
      </w:r>
      <w:r>
        <w:rPr>
          <w:color w:val="231F20"/>
          <w:spacing w:val="-2"/>
        </w:rPr>
        <w:t>материалов,</w:t>
      </w:r>
      <w:r>
        <w:rPr>
          <w:color w:val="231F20"/>
          <w:spacing w:val="1"/>
        </w:rPr>
        <w:t> </w:t>
      </w:r>
      <w:r>
        <w:rPr>
          <w:color w:val="231F20"/>
          <w:spacing w:val="-2"/>
        </w:rPr>
        <w:t>но</w:t>
      </w:r>
      <w:r>
        <w:rPr>
          <w:color w:val="231F20"/>
          <w:spacing w:val="1"/>
        </w:rPr>
        <w:t> </w:t>
      </w:r>
      <w:r>
        <w:rPr>
          <w:color w:val="231F20"/>
          <w:spacing w:val="-2"/>
        </w:rPr>
        <w:t>в</w:t>
      </w:r>
      <w:r>
        <w:rPr>
          <w:color w:val="231F20"/>
          <w:spacing w:val="2"/>
        </w:rPr>
        <w:t> </w:t>
      </w:r>
      <w:r>
        <w:rPr>
          <w:color w:val="231F20"/>
          <w:spacing w:val="-2"/>
        </w:rPr>
        <w:t>логике:</w:t>
      </w:r>
      <w:r>
        <w:rPr>
          <w:color w:val="231F20"/>
          <w:spacing w:val="1"/>
        </w:rPr>
        <w:t> </w:t>
      </w:r>
      <w:r>
        <w:rPr>
          <w:color w:val="231F20"/>
          <w:spacing w:val="-2"/>
        </w:rPr>
        <w:t>«Думай</w:t>
      </w:r>
      <w:r>
        <w:rPr>
          <w:color w:val="231F20"/>
          <w:spacing w:val="1"/>
        </w:rPr>
        <w:t> </w:t>
      </w:r>
      <w:r>
        <w:rPr>
          <w:color w:val="231F20"/>
          <w:spacing w:val="-2"/>
        </w:rPr>
        <w:t>глобально,</w:t>
      </w:r>
      <w:r>
        <w:rPr>
          <w:color w:val="231F20"/>
          <w:spacing w:val="1"/>
        </w:rPr>
        <w:t> </w:t>
      </w:r>
      <w:r>
        <w:rPr>
          <w:color w:val="231F20"/>
          <w:spacing w:val="-2"/>
        </w:rPr>
        <w:t>действуй</w:t>
      </w:r>
      <w:r>
        <w:rPr>
          <w:color w:val="231F20"/>
          <w:spacing w:val="2"/>
        </w:rPr>
        <w:t> </w:t>
      </w:r>
      <w:r>
        <w:rPr>
          <w:color w:val="231F20"/>
          <w:spacing w:val="-2"/>
        </w:rPr>
        <w:t>локально».</w:t>
      </w:r>
    </w:p>
    <w:p>
      <w:pPr>
        <w:pStyle w:val="BodyText"/>
        <w:spacing w:after="0" w:line="235" w:lineRule="auto"/>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5"/>
          <w:sz w:val="18"/>
        </w:rPr>
        <w:t> </w:t>
      </w:r>
      <w:r>
        <w:rPr>
          <w:rFonts w:ascii="Georgia" w:hAnsi="Georgia"/>
          <w:color w:val="231F20"/>
          <w:sz w:val="18"/>
        </w:rPr>
        <w:t>Методы</w:t>
      </w:r>
      <w:r>
        <w:rPr>
          <w:rFonts w:ascii="Georgia" w:hAnsi="Georgia"/>
          <w:color w:val="231F20"/>
          <w:spacing w:val="-5"/>
          <w:sz w:val="18"/>
        </w:rPr>
        <w:t> </w:t>
      </w:r>
      <w:r>
        <w:rPr>
          <w:rFonts w:ascii="Georgia" w:hAnsi="Georgia"/>
          <w:color w:val="231F20"/>
          <w:sz w:val="18"/>
        </w:rPr>
        <w:t>воспитательной</w:t>
      </w:r>
      <w:r>
        <w:rPr>
          <w:rFonts w:ascii="Georgia" w:hAnsi="Georgia"/>
          <w:color w:val="231F20"/>
          <w:spacing w:val="-4"/>
          <w:sz w:val="18"/>
        </w:rPr>
        <w:t> </w:t>
      </w:r>
      <w:r>
        <w:rPr>
          <w:rFonts w:ascii="Georgia" w:hAnsi="Georgia"/>
          <w:color w:val="231F20"/>
          <w:sz w:val="18"/>
        </w:rPr>
        <w:t>раюоты</w:t>
      </w:r>
      <w:r>
        <w:rPr>
          <w:rFonts w:ascii="Georgia" w:hAnsi="Georgia"/>
          <w:color w:val="231F20"/>
          <w:spacing w:val="-5"/>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w:t>
      </w:r>
      <w:r>
        <w:rPr>
          <w:rFonts w:ascii="Georgia" w:hAnsi="Georgia"/>
          <w:color w:val="231F20"/>
          <w:spacing w:val="-4"/>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BodyText"/>
        <w:spacing w:line="235" w:lineRule="auto" w:before="116"/>
        <w:ind w:firstLine="0"/>
      </w:pPr>
      <w:r>
        <w:rPr>
          <w:color w:val="231F20"/>
        </w:rPr>
        <w:t>Это происходит, когда самостоятельно собранные данные и материалы (на конкрет- ной</w:t>
      </w:r>
      <w:r>
        <w:rPr>
          <w:color w:val="231F20"/>
          <w:spacing w:val="-4"/>
        </w:rPr>
        <w:t> </w:t>
      </w:r>
      <w:r>
        <w:rPr>
          <w:color w:val="231F20"/>
        </w:rPr>
        <w:t>местности,</w:t>
      </w:r>
      <w:r>
        <w:rPr>
          <w:color w:val="231F20"/>
          <w:spacing w:val="-4"/>
        </w:rPr>
        <w:t> </w:t>
      </w:r>
      <w:r>
        <w:rPr>
          <w:color w:val="231F20"/>
        </w:rPr>
        <w:t>в</w:t>
      </w:r>
      <w:r>
        <w:rPr>
          <w:color w:val="231F20"/>
          <w:spacing w:val="-5"/>
        </w:rPr>
        <w:t> </w:t>
      </w:r>
      <w:r>
        <w:rPr>
          <w:color w:val="231F20"/>
        </w:rPr>
        <w:t>локальном</w:t>
      </w:r>
      <w:r>
        <w:rPr>
          <w:color w:val="231F20"/>
          <w:spacing w:val="-5"/>
        </w:rPr>
        <w:t> </w:t>
      </w:r>
      <w:r>
        <w:rPr>
          <w:color w:val="231F20"/>
        </w:rPr>
        <w:t>сообществе),</w:t>
      </w:r>
      <w:r>
        <w:rPr>
          <w:color w:val="231F20"/>
          <w:spacing w:val="-5"/>
        </w:rPr>
        <w:t> </w:t>
      </w:r>
      <w:r>
        <w:rPr>
          <w:color w:val="231F20"/>
        </w:rPr>
        <w:t>на</w:t>
      </w:r>
      <w:r>
        <w:rPr>
          <w:color w:val="231F20"/>
          <w:spacing w:val="-4"/>
        </w:rPr>
        <w:t> </w:t>
      </w:r>
      <w:r>
        <w:rPr>
          <w:color w:val="231F20"/>
        </w:rPr>
        <w:t>следующем</w:t>
      </w:r>
      <w:r>
        <w:rPr>
          <w:color w:val="231F20"/>
          <w:spacing w:val="-5"/>
        </w:rPr>
        <w:t> </w:t>
      </w:r>
      <w:r>
        <w:rPr>
          <w:color w:val="231F20"/>
        </w:rPr>
        <w:t>этапе</w:t>
      </w:r>
      <w:r>
        <w:rPr>
          <w:color w:val="231F20"/>
          <w:spacing w:val="-4"/>
        </w:rPr>
        <w:t> </w:t>
      </w:r>
      <w:r>
        <w:rPr>
          <w:color w:val="231F20"/>
        </w:rPr>
        <w:t>обсуждаются</w:t>
      </w:r>
      <w:r>
        <w:rPr>
          <w:color w:val="231F20"/>
          <w:spacing w:val="-5"/>
        </w:rPr>
        <w:t> </w:t>
      </w:r>
      <w:r>
        <w:rPr>
          <w:color w:val="231F20"/>
        </w:rPr>
        <w:t>и</w:t>
      </w:r>
      <w:r>
        <w:rPr>
          <w:color w:val="231F20"/>
          <w:spacing w:val="-5"/>
        </w:rPr>
        <w:t> </w:t>
      </w:r>
      <w:r>
        <w:rPr>
          <w:color w:val="231F20"/>
        </w:rPr>
        <w:t>осмы- сляются</w:t>
      </w:r>
      <w:r>
        <w:rPr>
          <w:color w:val="231F20"/>
          <w:spacing w:val="-7"/>
        </w:rPr>
        <w:t> </w:t>
      </w:r>
      <w:r>
        <w:rPr>
          <w:color w:val="231F20"/>
        </w:rPr>
        <w:t>в</w:t>
      </w:r>
      <w:r>
        <w:rPr>
          <w:color w:val="231F20"/>
          <w:spacing w:val="-7"/>
        </w:rPr>
        <w:t> </w:t>
      </w:r>
      <w:r>
        <w:rPr>
          <w:color w:val="231F20"/>
        </w:rPr>
        <w:t>более</w:t>
      </w:r>
      <w:r>
        <w:rPr>
          <w:color w:val="231F20"/>
          <w:spacing w:val="-7"/>
        </w:rPr>
        <w:t> </w:t>
      </w:r>
      <w:r>
        <w:rPr>
          <w:color w:val="231F20"/>
        </w:rPr>
        <w:t>широком</w:t>
      </w:r>
      <w:r>
        <w:rPr>
          <w:color w:val="231F20"/>
          <w:spacing w:val="-7"/>
        </w:rPr>
        <w:t> </w:t>
      </w:r>
      <w:r>
        <w:rPr>
          <w:color w:val="231F20"/>
        </w:rPr>
        <w:t>контексте</w:t>
      </w:r>
      <w:r>
        <w:rPr>
          <w:color w:val="231F20"/>
          <w:spacing w:val="-7"/>
        </w:rPr>
        <w:t> </w:t>
      </w:r>
      <w:r>
        <w:rPr>
          <w:color w:val="231F20"/>
        </w:rPr>
        <w:t>истории</w:t>
      </w:r>
      <w:r>
        <w:rPr>
          <w:color w:val="231F20"/>
          <w:spacing w:val="-7"/>
        </w:rPr>
        <w:t> </w:t>
      </w:r>
      <w:r>
        <w:rPr>
          <w:color w:val="231F20"/>
        </w:rPr>
        <w:t>и</w:t>
      </w:r>
      <w:r>
        <w:rPr>
          <w:color w:val="231F20"/>
          <w:spacing w:val="-7"/>
        </w:rPr>
        <w:t> </w:t>
      </w:r>
      <w:r>
        <w:rPr>
          <w:color w:val="231F20"/>
        </w:rPr>
        <w:t>географии,</w:t>
      </w:r>
      <w:r>
        <w:rPr>
          <w:color w:val="231F20"/>
          <w:spacing w:val="-7"/>
        </w:rPr>
        <w:t> </w:t>
      </w:r>
      <w:r>
        <w:rPr>
          <w:color w:val="231F20"/>
        </w:rPr>
        <w:t>социологии</w:t>
      </w:r>
      <w:r>
        <w:rPr>
          <w:color w:val="231F20"/>
          <w:spacing w:val="-7"/>
        </w:rPr>
        <w:t> </w:t>
      </w:r>
      <w:r>
        <w:rPr>
          <w:color w:val="231F20"/>
        </w:rPr>
        <w:t>и</w:t>
      </w:r>
      <w:r>
        <w:rPr>
          <w:color w:val="231F20"/>
          <w:spacing w:val="-7"/>
        </w:rPr>
        <w:t> </w:t>
      </w:r>
      <w:r>
        <w:rPr>
          <w:color w:val="231F20"/>
        </w:rPr>
        <w:t>психологии, социальной антропологии и культурологии.</w:t>
      </w:r>
    </w:p>
    <w:p>
      <w:pPr>
        <w:pStyle w:val="BodyText"/>
        <w:spacing w:line="235" w:lineRule="auto" w:before="2"/>
      </w:pPr>
      <w:r>
        <w:rPr>
          <w:color w:val="231F20"/>
        </w:rPr>
        <w:t>По</w:t>
      </w:r>
      <w:r>
        <w:rPr>
          <w:color w:val="231F20"/>
          <w:spacing w:val="-10"/>
        </w:rPr>
        <w:t> </w:t>
      </w:r>
      <w:r>
        <w:rPr>
          <w:color w:val="231F20"/>
        </w:rPr>
        <w:t>итогам</w:t>
      </w:r>
      <w:r>
        <w:rPr>
          <w:color w:val="231F20"/>
          <w:spacing w:val="-11"/>
        </w:rPr>
        <w:t> </w:t>
      </w:r>
      <w:r>
        <w:rPr>
          <w:color w:val="231F20"/>
        </w:rPr>
        <w:t>апробации</w:t>
      </w:r>
      <w:r>
        <w:rPr>
          <w:color w:val="231F20"/>
          <w:spacing w:val="-11"/>
        </w:rPr>
        <w:t> </w:t>
      </w:r>
      <w:r>
        <w:rPr>
          <w:color w:val="231F20"/>
        </w:rPr>
        <w:t>программы</w:t>
      </w:r>
      <w:r>
        <w:rPr>
          <w:color w:val="231F20"/>
          <w:spacing w:val="-11"/>
        </w:rPr>
        <w:t> </w:t>
      </w:r>
      <w:r>
        <w:rPr>
          <w:color w:val="231F20"/>
        </w:rPr>
        <w:t>можно</w:t>
      </w:r>
      <w:r>
        <w:rPr>
          <w:color w:val="231F20"/>
          <w:spacing w:val="-11"/>
        </w:rPr>
        <w:t> </w:t>
      </w:r>
      <w:r>
        <w:rPr>
          <w:color w:val="231F20"/>
        </w:rPr>
        <w:t>добавить</w:t>
      </w:r>
      <w:r>
        <w:rPr>
          <w:color w:val="231F20"/>
          <w:spacing w:val="-11"/>
        </w:rPr>
        <w:t> </w:t>
      </w:r>
      <w:r>
        <w:rPr>
          <w:color w:val="231F20"/>
        </w:rPr>
        <w:t>следующие</w:t>
      </w:r>
      <w:r>
        <w:rPr>
          <w:color w:val="231F20"/>
          <w:spacing w:val="-11"/>
        </w:rPr>
        <w:t> </w:t>
      </w:r>
      <w:r>
        <w:rPr>
          <w:color w:val="231F20"/>
        </w:rPr>
        <w:t>Возможные</w:t>
      </w:r>
      <w:r>
        <w:rPr>
          <w:color w:val="231F20"/>
          <w:spacing w:val="-11"/>
        </w:rPr>
        <w:t> </w:t>
      </w:r>
      <w:r>
        <w:rPr>
          <w:color w:val="231F20"/>
        </w:rPr>
        <w:t>формы реализации интеграционного межкультурного краеведения:</w:t>
      </w:r>
    </w:p>
    <w:p>
      <w:pPr>
        <w:pStyle w:val="BodyText"/>
        <w:spacing w:line="235" w:lineRule="auto" w:before="1"/>
      </w:pPr>
      <w:r>
        <w:rPr>
          <w:color w:val="231F20"/>
        </w:rPr>
        <w:t>«Дистанционная</w:t>
      </w:r>
      <w:r>
        <w:rPr>
          <w:color w:val="231F20"/>
          <w:spacing w:val="-13"/>
        </w:rPr>
        <w:t> </w:t>
      </w:r>
      <w:r>
        <w:rPr>
          <w:color w:val="231F20"/>
        </w:rPr>
        <w:t>экскурсия»</w:t>
      </w:r>
      <w:r>
        <w:rPr>
          <w:color w:val="231F20"/>
          <w:spacing w:val="-12"/>
        </w:rPr>
        <w:t> </w:t>
      </w:r>
      <w:r>
        <w:rPr>
          <w:color w:val="231F20"/>
        </w:rPr>
        <w:t>(Т.И.</w:t>
      </w:r>
      <w:r>
        <w:rPr>
          <w:color w:val="231F20"/>
          <w:spacing w:val="-13"/>
        </w:rPr>
        <w:t> </w:t>
      </w:r>
      <w:r>
        <w:rPr>
          <w:color w:val="231F20"/>
        </w:rPr>
        <w:t>Исаенко)</w:t>
      </w:r>
      <w:r>
        <w:rPr>
          <w:color w:val="231F20"/>
          <w:spacing w:val="-12"/>
        </w:rPr>
        <w:t> </w:t>
      </w:r>
      <w:r>
        <w:rPr>
          <w:color w:val="231F20"/>
        </w:rPr>
        <w:t>–</w:t>
      </w:r>
      <w:r>
        <w:rPr>
          <w:color w:val="231F20"/>
          <w:spacing w:val="-13"/>
        </w:rPr>
        <w:t> </w:t>
      </w:r>
      <w:r>
        <w:rPr>
          <w:color w:val="231F20"/>
        </w:rPr>
        <w:t>подготовка</w:t>
      </w:r>
      <w:r>
        <w:rPr>
          <w:color w:val="231F20"/>
          <w:spacing w:val="-12"/>
        </w:rPr>
        <w:t> </w:t>
      </w:r>
      <w:r>
        <w:rPr>
          <w:color w:val="231F20"/>
        </w:rPr>
        <w:t>рассказа</w:t>
      </w:r>
      <w:r>
        <w:rPr>
          <w:color w:val="231F20"/>
          <w:spacing w:val="-13"/>
        </w:rPr>
        <w:t> </w:t>
      </w:r>
      <w:r>
        <w:rPr>
          <w:color w:val="231F20"/>
        </w:rPr>
        <w:t>о</w:t>
      </w:r>
      <w:r>
        <w:rPr>
          <w:color w:val="231F20"/>
          <w:spacing w:val="-12"/>
        </w:rPr>
        <w:t> </w:t>
      </w:r>
      <w:r>
        <w:rPr>
          <w:color w:val="231F20"/>
        </w:rPr>
        <w:t>стране</w:t>
      </w:r>
      <w:r>
        <w:rPr>
          <w:color w:val="231F20"/>
          <w:spacing w:val="-13"/>
        </w:rPr>
        <w:t> </w:t>
      </w:r>
      <w:r>
        <w:rPr>
          <w:color w:val="231F20"/>
        </w:rPr>
        <w:t>исхода несовершеннолетних иностранных граждан, с сопровождением в виде презентации, видео и аудио сопровождения. Проект может предполагать участие родителей</w:t>
      </w:r>
    </w:p>
    <w:p>
      <w:pPr>
        <w:pStyle w:val="BodyText"/>
        <w:spacing w:line="235" w:lineRule="auto" w:before="2"/>
      </w:pPr>
      <w:r>
        <w:rPr>
          <w:color w:val="231F20"/>
        </w:rPr>
        <w:t>«Виртуальная</w:t>
      </w:r>
      <w:r>
        <w:rPr>
          <w:color w:val="231F20"/>
          <w:spacing w:val="-10"/>
        </w:rPr>
        <w:t> </w:t>
      </w:r>
      <w:r>
        <w:rPr>
          <w:color w:val="231F20"/>
        </w:rPr>
        <w:t>экскурсия</w:t>
      </w:r>
      <w:r>
        <w:rPr>
          <w:color w:val="231F20"/>
          <w:spacing w:val="-10"/>
        </w:rPr>
        <w:t> </w:t>
      </w:r>
      <w:r>
        <w:rPr>
          <w:color w:val="231F20"/>
        </w:rPr>
        <w:t>по</w:t>
      </w:r>
      <w:r>
        <w:rPr>
          <w:color w:val="231F20"/>
          <w:spacing w:val="-10"/>
        </w:rPr>
        <w:t> </w:t>
      </w:r>
      <w:r>
        <w:rPr>
          <w:color w:val="231F20"/>
        </w:rPr>
        <w:t>городу</w:t>
      </w:r>
      <w:r>
        <w:rPr>
          <w:color w:val="231F20"/>
          <w:spacing w:val="-10"/>
        </w:rPr>
        <w:t> </w:t>
      </w:r>
      <w:r>
        <w:rPr>
          <w:color w:val="231F20"/>
        </w:rPr>
        <w:t>проживания»</w:t>
      </w:r>
      <w:r>
        <w:rPr>
          <w:color w:val="231F20"/>
          <w:spacing w:val="-10"/>
        </w:rPr>
        <w:t> </w:t>
      </w:r>
      <w:r>
        <w:rPr>
          <w:color w:val="231F20"/>
        </w:rPr>
        <w:t>(А.Н.</w:t>
      </w:r>
      <w:r>
        <w:rPr>
          <w:color w:val="231F20"/>
          <w:spacing w:val="-10"/>
        </w:rPr>
        <w:t> </w:t>
      </w:r>
      <w:r>
        <w:rPr>
          <w:color w:val="231F20"/>
        </w:rPr>
        <w:t>Ковалькова).</w:t>
      </w:r>
      <w:r>
        <w:rPr>
          <w:color w:val="231F20"/>
          <w:spacing w:val="-10"/>
        </w:rPr>
        <w:t> </w:t>
      </w:r>
      <w:r>
        <w:rPr>
          <w:color w:val="231F20"/>
        </w:rPr>
        <w:t>Несовершен- нолетние иностранные граждане получают задание посетить достопримечательно- сти, сфотографировать их и подготовить презентацию. В качестве проблемного во- проса предлагается следующий: «Какие бы достопримечательности нашего города показали</w:t>
      </w:r>
      <w:r>
        <w:rPr>
          <w:color w:val="231F20"/>
          <w:spacing w:val="-3"/>
        </w:rPr>
        <w:t> </w:t>
      </w:r>
      <w:r>
        <w:rPr>
          <w:color w:val="231F20"/>
        </w:rPr>
        <w:t>бы</w:t>
      </w:r>
      <w:r>
        <w:rPr>
          <w:color w:val="231F20"/>
          <w:spacing w:val="-3"/>
        </w:rPr>
        <w:t> </w:t>
      </w:r>
      <w:r>
        <w:rPr>
          <w:color w:val="231F20"/>
        </w:rPr>
        <w:t>своим</w:t>
      </w:r>
      <w:r>
        <w:rPr>
          <w:color w:val="231F20"/>
          <w:spacing w:val="-3"/>
        </w:rPr>
        <w:t> </w:t>
      </w:r>
      <w:r>
        <w:rPr>
          <w:color w:val="231F20"/>
        </w:rPr>
        <w:t>родственникам,</w:t>
      </w:r>
      <w:r>
        <w:rPr>
          <w:color w:val="231F20"/>
          <w:spacing w:val="-3"/>
        </w:rPr>
        <w:t> </w:t>
      </w:r>
      <w:r>
        <w:rPr>
          <w:color w:val="231F20"/>
        </w:rPr>
        <w:t>приехавшим</w:t>
      </w:r>
      <w:r>
        <w:rPr>
          <w:color w:val="231F20"/>
          <w:spacing w:val="-3"/>
        </w:rPr>
        <w:t> </w:t>
      </w:r>
      <w:r>
        <w:rPr>
          <w:color w:val="231F20"/>
        </w:rPr>
        <w:t>к</w:t>
      </w:r>
      <w:r>
        <w:rPr>
          <w:color w:val="231F20"/>
          <w:spacing w:val="-3"/>
        </w:rPr>
        <w:t> </w:t>
      </w:r>
      <w:r>
        <w:rPr>
          <w:color w:val="231F20"/>
        </w:rPr>
        <w:t>вам</w:t>
      </w:r>
      <w:r>
        <w:rPr>
          <w:color w:val="231F20"/>
          <w:spacing w:val="-3"/>
        </w:rPr>
        <w:t> </w:t>
      </w:r>
      <w:r>
        <w:rPr>
          <w:color w:val="231F20"/>
        </w:rPr>
        <w:t>в</w:t>
      </w:r>
      <w:r>
        <w:rPr>
          <w:color w:val="231F20"/>
          <w:spacing w:val="-3"/>
        </w:rPr>
        <w:t> </w:t>
      </w:r>
      <w:r>
        <w:rPr>
          <w:color w:val="231F20"/>
        </w:rPr>
        <w:t>гости?</w:t>
      </w:r>
      <w:r>
        <w:rPr>
          <w:color w:val="231F20"/>
          <w:spacing w:val="-3"/>
        </w:rPr>
        <w:t> </w:t>
      </w:r>
      <w:r>
        <w:rPr>
          <w:color w:val="231F20"/>
        </w:rPr>
        <w:t>Чтобы</w:t>
      </w:r>
      <w:r>
        <w:rPr>
          <w:color w:val="231F20"/>
          <w:spacing w:val="-3"/>
        </w:rPr>
        <w:t> </w:t>
      </w:r>
      <w:r>
        <w:rPr>
          <w:color w:val="231F20"/>
        </w:rPr>
        <w:t>вы</w:t>
      </w:r>
      <w:r>
        <w:rPr>
          <w:color w:val="231F20"/>
          <w:spacing w:val="-3"/>
        </w:rPr>
        <w:t> </w:t>
      </w:r>
      <w:r>
        <w:rPr>
          <w:color w:val="231F20"/>
        </w:rPr>
        <w:t>рассказали о городе?»</w:t>
      </w:r>
    </w:p>
    <w:p>
      <w:pPr>
        <w:spacing w:line="206" w:lineRule="exact" w:before="226"/>
        <w:ind w:left="425" w:right="0" w:firstLine="0"/>
        <w:jc w:val="left"/>
        <w:rPr>
          <w:b/>
          <w:sz w:val="18"/>
        </w:rPr>
      </w:pPr>
      <w:r>
        <w:rPr>
          <w:b/>
          <w:color w:val="231F20"/>
          <w:spacing w:val="-2"/>
          <w:sz w:val="18"/>
        </w:rPr>
        <w:t>Литература</w:t>
      </w:r>
    </w:p>
    <w:p>
      <w:pPr>
        <w:pStyle w:val="ListParagraph"/>
        <w:numPr>
          <w:ilvl w:val="0"/>
          <w:numId w:val="160"/>
        </w:numPr>
        <w:tabs>
          <w:tab w:pos="708" w:val="left" w:leader="none"/>
        </w:tabs>
        <w:spacing w:line="240" w:lineRule="auto" w:before="0" w:after="0"/>
        <w:ind w:left="708" w:right="422" w:hanging="284"/>
        <w:jc w:val="both"/>
        <w:rPr>
          <w:sz w:val="18"/>
        </w:rPr>
      </w:pPr>
      <w:r>
        <w:rPr>
          <w:color w:val="231F20"/>
          <w:sz w:val="18"/>
        </w:rPr>
        <w:t>БесКРАЙний ФЕСТиваль. – М.: Библиотека журнала «Исследователь/Researcher». 2022. – 67 с.</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z w:val="18"/>
        </w:rPr>
        <w:t>Глазунова</w:t>
      </w:r>
      <w:r>
        <w:rPr>
          <w:color w:val="231F20"/>
          <w:spacing w:val="-11"/>
          <w:sz w:val="18"/>
        </w:rPr>
        <w:t> </w:t>
      </w:r>
      <w:r>
        <w:rPr>
          <w:color w:val="231F20"/>
          <w:sz w:val="18"/>
        </w:rPr>
        <w:t>О.В.,</w:t>
      </w:r>
      <w:r>
        <w:rPr>
          <w:color w:val="231F20"/>
          <w:spacing w:val="-11"/>
          <w:sz w:val="18"/>
        </w:rPr>
        <w:t> </w:t>
      </w:r>
      <w:r>
        <w:rPr>
          <w:color w:val="231F20"/>
          <w:sz w:val="18"/>
        </w:rPr>
        <w:t>Обухов</w:t>
      </w:r>
      <w:r>
        <w:rPr>
          <w:color w:val="231F20"/>
          <w:spacing w:val="-11"/>
          <w:sz w:val="18"/>
        </w:rPr>
        <w:t> </w:t>
      </w:r>
      <w:r>
        <w:rPr>
          <w:color w:val="231F20"/>
          <w:sz w:val="18"/>
        </w:rPr>
        <w:t>А.С.,</w:t>
      </w:r>
      <w:r>
        <w:rPr>
          <w:color w:val="231F20"/>
          <w:spacing w:val="-11"/>
          <w:sz w:val="18"/>
        </w:rPr>
        <w:t> </w:t>
      </w:r>
      <w:r>
        <w:rPr>
          <w:color w:val="231F20"/>
          <w:sz w:val="18"/>
        </w:rPr>
        <w:t>Проценко</w:t>
      </w:r>
      <w:r>
        <w:rPr>
          <w:color w:val="231F20"/>
          <w:spacing w:val="-11"/>
          <w:sz w:val="18"/>
        </w:rPr>
        <w:t> </w:t>
      </w:r>
      <w:r>
        <w:rPr>
          <w:color w:val="231F20"/>
          <w:sz w:val="18"/>
        </w:rPr>
        <w:t>Л.М.,</w:t>
      </w:r>
      <w:r>
        <w:rPr>
          <w:color w:val="231F20"/>
          <w:spacing w:val="-11"/>
          <w:sz w:val="18"/>
        </w:rPr>
        <w:t> </w:t>
      </w:r>
      <w:r>
        <w:rPr>
          <w:color w:val="231F20"/>
          <w:sz w:val="18"/>
        </w:rPr>
        <w:t>Кожаринов</w:t>
      </w:r>
      <w:r>
        <w:rPr>
          <w:color w:val="231F20"/>
          <w:spacing w:val="-11"/>
          <w:sz w:val="18"/>
        </w:rPr>
        <w:t> </w:t>
      </w:r>
      <w:r>
        <w:rPr>
          <w:color w:val="231F20"/>
          <w:sz w:val="18"/>
        </w:rPr>
        <w:t>М.Ю.</w:t>
      </w:r>
      <w:r>
        <w:rPr>
          <w:color w:val="231F20"/>
          <w:spacing w:val="-11"/>
          <w:sz w:val="18"/>
        </w:rPr>
        <w:t> </w:t>
      </w:r>
      <w:r>
        <w:rPr>
          <w:color w:val="231F20"/>
          <w:sz w:val="18"/>
        </w:rPr>
        <w:t>Концепция</w:t>
      </w:r>
      <w:r>
        <w:rPr>
          <w:color w:val="231F20"/>
          <w:spacing w:val="-11"/>
          <w:sz w:val="18"/>
        </w:rPr>
        <w:t> </w:t>
      </w:r>
      <w:r>
        <w:rPr>
          <w:color w:val="231F20"/>
          <w:sz w:val="18"/>
        </w:rPr>
        <w:t>«Топос. Новое краеведение» // Исследователь/Researcher. 2020. №1. С. 46–87;</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z w:val="18"/>
        </w:rPr>
        <w:t>Кабанов</w:t>
      </w:r>
      <w:r>
        <w:rPr>
          <w:color w:val="231F20"/>
          <w:spacing w:val="-4"/>
          <w:sz w:val="18"/>
        </w:rPr>
        <w:t> </w:t>
      </w:r>
      <w:r>
        <w:rPr>
          <w:color w:val="231F20"/>
          <w:sz w:val="18"/>
        </w:rPr>
        <w:t>К.А.</w:t>
      </w:r>
      <w:r>
        <w:rPr>
          <w:color w:val="231F20"/>
          <w:spacing w:val="-4"/>
          <w:sz w:val="18"/>
        </w:rPr>
        <w:t> </w:t>
      </w:r>
      <w:r>
        <w:rPr>
          <w:color w:val="231F20"/>
          <w:sz w:val="18"/>
        </w:rPr>
        <w:t>Краеведческое</w:t>
      </w:r>
      <w:r>
        <w:rPr>
          <w:color w:val="231F20"/>
          <w:spacing w:val="-4"/>
          <w:sz w:val="18"/>
        </w:rPr>
        <w:t> </w:t>
      </w:r>
      <w:r>
        <w:rPr>
          <w:color w:val="231F20"/>
          <w:sz w:val="18"/>
        </w:rPr>
        <w:t>движение</w:t>
      </w:r>
      <w:r>
        <w:rPr>
          <w:color w:val="231F20"/>
          <w:spacing w:val="-4"/>
          <w:sz w:val="18"/>
        </w:rPr>
        <w:t> </w:t>
      </w:r>
      <w:r>
        <w:rPr>
          <w:color w:val="231F20"/>
          <w:sz w:val="18"/>
        </w:rPr>
        <w:t>в</w:t>
      </w:r>
      <w:r>
        <w:rPr>
          <w:color w:val="231F20"/>
          <w:spacing w:val="-4"/>
          <w:sz w:val="18"/>
        </w:rPr>
        <w:t> </w:t>
      </w:r>
      <w:r>
        <w:rPr>
          <w:color w:val="231F20"/>
          <w:sz w:val="18"/>
        </w:rPr>
        <w:t>Западной</w:t>
      </w:r>
      <w:r>
        <w:rPr>
          <w:color w:val="231F20"/>
          <w:spacing w:val="-4"/>
          <w:sz w:val="18"/>
        </w:rPr>
        <w:t> </w:t>
      </w:r>
      <w:r>
        <w:rPr>
          <w:color w:val="231F20"/>
          <w:sz w:val="18"/>
        </w:rPr>
        <w:t>Сибири,</w:t>
      </w:r>
      <w:r>
        <w:rPr>
          <w:color w:val="231F20"/>
          <w:spacing w:val="-4"/>
          <w:sz w:val="18"/>
        </w:rPr>
        <w:t> </w:t>
      </w:r>
      <w:r>
        <w:rPr>
          <w:color w:val="231F20"/>
          <w:sz w:val="18"/>
        </w:rPr>
        <w:t>1917–1930</w:t>
      </w:r>
      <w:r>
        <w:rPr>
          <w:color w:val="231F20"/>
          <w:spacing w:val="-4"/>
          <w:sz w:val="18"/>
        </w:rPr>
        <w:t> </w:t>
      </w:r>
      <w:r>
        <w:rPr>
          <w:color w:val="231F20"/>
          <w:sz w:val="18"/>
        </w:rPr>
        <w:t>гг.:</w:t>
      </w:r>
      <w:r>
        <w:rPr>
          <w:color w:val="231F20"/>
          <w:spacing w:val="-4"/>
          <w:sz w:val="18"/>
        </w:rPr>
        <w:t> </w:t>
      </w:r>
      <w:r>
        <w:rPr>
          <w:color w:val="231F20"/>
          <w:sz w:val="18"/>
        </w:rPr>
        <w:t>Дисс.</w:t>
      </w:r>
      <w:r>
        <w:rPr>
          <w:color w:val="231F20"/>
          <w:spacing w:val="-4"/>
          <w:sz w:val="18"/>
        </w:rPr>
        <w:t> </w:t>
      </w:r>
      <w:r>
        <w:rPr>
          <w:color w:val="231F20"/>
          <w:sz w:val="18"/>
        </w:rPr>
        <w:t>на соиск. … к.и.н. Кемерово, 1999. 198 с.</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z w:val="18"/>
        </w:rPr>
        <w:t>Обухов</w:t>
      </w:r>
      <w:r>
        <w:rPr>
          <w:color w:val="231F20"/>
          <w:spacing w:val="-8"/>
          <w:sz w:val="18"/>
        </w:rPr>
        <w:t> </w:t>
      </w:r>
      <w:r>
        <w:rPr>
          <w:color w:val="231F20"/>
          <w:sz w:val="18"/>
        </w:rPr>
        <w:t>А.С.</w:t>
      </w:r>
      <w:r>
        <w:rPr>
          <w:color w:val="231F20"/>
          <w:spacing w:val="-8"/>
          <w:sz w:val="18"/>
        </w:rPr>
        <w:t> </w:t>
      </w:r>
      <w:r>
        <w:rPr>
          <w:color w:val="231F20"/>
          <w:sz w:val="18"/>
        </w:rPr>
        <w:t>«С</w:t>
      </w:r>
      <w:r>
        <w:rPr>
          <w:color w:val="231F20"/>
          <w:spacing w:val="-8"/>
          <w:sz w:val="18"/>
        </w:rPr>
        <w:t> </w:t>
      </w:r>
      <w:r>
        <w:rPr>
          <w:color w:val="231F20"/>
          <w:sz w:val="18"/>
        </w:rPr>
        <w:t>чего</w:t>
      </w:r>
      <w:r>
        <w:rPr>
          <w:color w:val="231F20"/>
          <w:spacing w:val="-8"/>
          <w:sz w:val="18"/>
        </w:rPr>
        <w:t> </w:t>
      </w:r>
      <w:r>
        <w:rPr>
          <w:color w:val="231F20"/>
          <w:sz w:val="18"/>
        </w:rPr>
        <w:t>начинается</w:t>
      </w:r>
      <w:r>
        <w:rPr>
          <w:color w:val="231F20"/>
          <w:spacing w:val="-8"/>
          <w:sz w:val="18"/>
        </w:rPr>
        <w:t> </w:t>
      </w:r>
      <w:r>
        <w:rPr>
          <w:color w:val="231F20"/>
          <w:sz w:val="18"/>
        </w:rPr>
        <w:t>родина?»:</w:t>
      </w:r>
      <w:r>
        <w:rPr>
          <w:color w:val="231F20"/>
          <w:spacing w:val="-8"/>
          <w:sz w:val="18"/>
        </w:rPr>
        <w:t> </w:t>
      </w:r>
      <w:r>
        <w:rPr>
          <w:color w:val="231F20"/>
          <w:sz w:val="18"/>
        </w:rPr>
        <w:t>краеведение</w:t>
      </w:r>
      <w:r>
        <w:rPr>
          <w:color w:val="231F20"/>
          <w:spacing w:val="-8"/>
          <w:sz w:val="18"/>
        </w:rPr>
        <w:t> </w:t>
      </w:r>
      <w:r>
        <w:rPr>
          <w:color w:val="231F20"/>
          <w:sz w:val="18"/>
        </w:rPr>
        <w:t>как</w:t>
      </w:r>
      <w:r>
        <w:rPr>
          <w:color w:val="231F20"/>
          <w:spacing w:val="-8"/>
          <w:sz w:val="18"/>
        </w:rPr>
        <w:t> </w:t>
      </w:r>
      <w:r>
        <w:rPr>
          <w:color w:val="231F20"/>
          <w:sz w:val="18"/>
        </w:rPr>
        <w:t>путь</w:t>
      </w:r>
      <w:r>
        <w:rPr>
          <w:color w:val="231F20"/>
          <w:spacing w:val="-8"/>
          <w:sz w:val="18"/>
        </w:rPr>
        <w:t> </w:t>
      </w:r>
      <w:r>
        <w:rPr>
          <w:color w:val="231F20"/>
          <w:sz w:val="18"/>
        </w:rPr>
        <w:t>развития</w:t>
      </w:r>
      <w:r>
        <w:rPr>
          <w:color w:val="231F20"/>
          <w:spacing w:val="-8"/>
          <w:sz w:val="18"/>
        </w:rPr>
        <w:t> </w:t>
      </w:r>
      <w:r>
        <w:rPr>
          <w:color w:val="231F20"/>
          <w:sz w:val="18"/>
        </w:rPr>
        <w:t>истинно- го патриотизма // Исследователь/Researcher. 2022. – № 1–2. – С. 9–12.</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z w:val="18"/>
        </w:rPr>
        <w:t>Обухов А.С. Выездная исследовательская школа «Топос Шахматово»: модель ис- следования мира вокруг // Исследователь/Researcher. 2019. – № 4. – С. 103–129.</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z w:val="18"/>
        </w:rPr>
        <w:t>Обухов</w:t>
      </w:r>
      <w:r>
        <w:rPr>
          <w:color w:val="231F20"/>
          <w:spacing w:val="-12"/>
          <w:sz w:val="18"/>
        </w:rPr>
        <w:t> </w:t>
      </w:r>
      <w:r>
        <w:rPr>
          <w:color w:val="231F20"/>
          <w:sz w:val="18"/>
        </w:rPr>
        <w:t>А.С.</w:t>
      </w:r>
      <w:r>
        <w:rPr>
          <w:color w:val="231F20"/>
          <w:spacing w:val="-11"/>
          <w:sz w:val="18"/>
        </w:rPr>
        <w:t> </w:t>
      </w:r>
      <w:r>
        <w:rPr>
          <w:color w:val="231F20"/>
          <w:sz w:val="18"/>
        </w:rPr>
        <w:t>Исследование</w:t>
      </w:r>
      <w:r>
        <w:rPr>
          <w:color w:val="231F20"/>
          <w:spacing w:val="-11"/>
          <w:sz w:val="18"/>
        </w:rPr>
        <w:t> </w:t>
      </w:r>
      <w:r>
        <w:rPr>
          <w:color w:val="231F20"/>
          <w:sz w:val="18"/>
        </w:rPr>
        <w:t>как</w:t>
      </w:r>
      <w:r>
        <w:rPr>
          <w:color w:val="231F20"/>
          <w:spacing w:val="-11"/>
          <w:sz w:val="18"/>
        </w:rPr>
        <w:t> </w:t>
      </w:r>
      <w:r>
        <w:rPr>
          <w:color w:val="231F20"/>
          <w:sz w:val="18"/>
        </w:rPr>
        <w:t>универсальная</w:t>
      </w:r>
      <w:r>
        <w:rPr>
          <w:color w:val="231F20"/>
          <w:spacing w:val="-12"/>
          <w:sz w:val="18"/>
        </w:rPr>
        <w:t> </w:t>
      </w:r>
      <w:r>
        <w:rPr>
          <w:color w:val="231F20"/>
          <w:sz w:val="18"/>
        </w:rPr>
        <w:t>грамотность</w:t>
      </w:r>
      <w:r>
        <w:rPr>
          <w:color w:val="231F20"/>
          <w:spacing w:val="-11"/>
          <w:sz w:val="18"/>
        </w:rPr>
        <w:t> </w:t>
      </w:r>
      <w:r>
        <w:rPr>
          <w:color w:val="231F20"/>
          <w:sz w:val="18"/>
        </w:rPr>
        <w:t>человека</w:t>
      </w:r>
      <w:r>
        <w:rPr>
          <w:color w:val="231F20"/>
          <w:spacing w:val="-11"/>
          <w:sz w:val="18"/>
        </w:rPr>
        <w:t> </w:t>
      </w:r>
      <w:r>
        <w:rPr>
          <w:color w:val="231F20"/>
          <w:sz w:val="18"/>
        </w:rPr>
        <w:t>в</w:t>
      </w:r>
      <w:r>
        <w:rPr>
          <w:color w:val="231F20"/>
          <w:spacing w:val="-11"/>
          <w:sz w:val="18"/>
        </w:rPr>
        <w:t> </w:t>
      </w:r>
      <w:r>
        <w:rPr>
          <w:color w:val="231F20"/>
          <w:sz w:val="18"/>
        </w:rPr>
        <w:t>современном мире // Исследователь/Researcher. 2022. – № 1–2. – С. 18–24.</w:t>
      </w:r>
    </w:p>
    <w:p>
      <w:pPr>
        <w:pStyle w:val="ListParagraph"/>
        <w:numPr>
          <w:ilvl w:val="0"/>
          <w:numId w:val="160"/>
        </w:numPr>
        <w:tabs>
          <w:tab w:pos="708" w:val="left" w:leader="none"/>
        </w:tabs>
        <w:spacing w:line="240" w:lineRule="auto" w:before="0" w:after="0"/>
        <w:ind w:left="708" w:right="422" w:hanging="284"/>
        <w:jc w:val="both"/>
        <w:rPr>
          <w:sz w:val="18"/>
        </w:rPr>
      </w:pPr>
      <w:r>
        <w:rPr>
          <w:color w:val="231F20"/>
          <w:sz w:val="18"/>
        </w:rPr>
        <w:t>Обухов А.С. Исследовательское краеведение: изучение топоса и хронотопа мира вокруг себя // Исследователь/Researcher. 2019. – № 4. – С. 6–11.</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z w:val="18"/>
        </w:rPr>
        <w:t>Обухов А.С. Общение с С.О. Шмидтом как встреча с историей // Исследователь/ Researcher. 2013. № 1-2. С. 34 – 39.</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z w:val="18"/>
        </w:rPr>
        <w:t>Обухов</w:t>
      </w:r>
      <w:r>
        <w:rPr>
          <w:color w:val="231F20"/>
          <w:spacing w:val="-12"/>
          <w:sz w:val="18"/>
        </w:rPr>
        <w:t> </w:t>
      </w:r>
      <w:r>
        <w:rPr>
          <w:color w:val="231F20"/>
          <w:sz w:val="18"/>
        </w:rPr>
        <w:t>А.С.</w:t>
      </w:r>
      <w:r>
        <w:rPr>
          <w:color w:val="231F20"/>
          <w:spacing w:val="-11"/>
          <w:sz w:val="18"/>
        </w:rPr>
        <w:t> </w:t>
      </w:r>
      <w:r>
        <w:rPr>
          <w:color w:val="231F20"/>
          <w:sz w:val="18"/>
        </w:rPr>
        <w:t>Открытое</w:t>
      </w:r>
      <w:r>
        <w:rPr>
          <w:color w:val="231F20"/>
          <w:spacing w:val="-11"/>
          <w:sz w:val="18"/>
        </w:rPr>
        <w:t> </w:t>
      </w:r>
      <w:r>
        <w:rPr>
          <w:color w:val="231F20"/>
          <w:sz w:val="18"/>
        </w:rPr>
        <w:t>образовательное</w:t>
      </w:r>
      <w:r>
        <w:rPr>
          <w:color w:val="231F20"/>
          <w:spacing w:val="-11"/>
          <w:sz w:val="18"/>
        </w:rPr>
        <w:t> </w:t>
      </w:r>
      <w:r>
        <w:rPr>
          <w:color w:val="231F20"/>
          <w:sz w:val="18"/>
        </w:rPr>
        <w:t>пространство</w:t>
      </w:r>
      <w:r>
        <w:rPr>
          <w:color w:val="231F20"/>
          <w:spacing w:val="-12"/>
          <w:sz w:val="18"/>
        </w:rPr>
        <w:t> </w:t>
      </w:r>
      <w:r>
        <w:rPr>
          <w:color w:val="231F20"/>
          <w:sz w:val="18"/>
        </w:rPr>
        <w:t>«Точка</w:t>
      </w:r>
      <w:r>
        <w:rPr>
          <w:color w:val="231F20"/>
          <w:spacing w:val="-11"/>
          <w:sz w:val="18"/>
        </w:rPr>
        <w:t> </w:t>
      </w:r>
      <w:r>
        <w:rPr>
          <w:color w:val="231F20"/>
          <w:sz w:val="18"/>
        </w:rPr>
        <w:t>варения»:</w:t>
      </w:r>
      <w:r>
        <w:rPr>
          <w:color w:val="231F20"/>
          <w:spacing w:val="-11"/>
          <w:sz w:val="18"/>
        </w:rPr>
        <w:t> </w:t>
      </w:r>
      <w:r>
        <w:rPr>
          <w:color w:val="231F20"/>
          <w:sz w:val="18"/>
        </w:rPr>
        <w:t>от</w:t>
      </w:r>
      <w:r>
        <w:rPr>
          <w:color w:val="231F20"/>
          <w:spacing w:val="-11"/>
          <w:sz w:val="18"/>
        </w:rPr>
        <w:t> </w:t>
      </w:r>
      <w:r>
        <w:rPr>
          <w:color w:val="231F20"/>
          <w:sz w:val="18"/>
        </w:rPr>
        <w:t>пробных действий</w:t>
      </w:r>
      <w:r>
        <w:rPr>
          <w:color w:val="231F20"/>
          <w:spacing w:val="-3"/>
          <w:sz w:val="18"/>
        </w:rPr>
        <w:t> </w:t>
      </w:r>
      <w:r>
        <w:rPr>
          <w:color w:val="231F20"/>
          <w:sz w:val="18"/>
        </w:rPr>
        <w:t>к</w:t>
      </w:r>
      <w:r>
        <w:rPr>
          <w:color w:val="231F20"/>
          <w:spacing w:val="-3"/>
          <w:sz w:val="18"/>
        </w:rPr>
        <w:t> </w:t>
      </w:r>
      <w:r>
        <w:rPr>
          <w:color w:val="231F20"/>
          <w:sz w:val="18"/>
        </w:rPr>
        <w:t>системной</w:t>
      </w:r>
      <w:r>
        <w:rPr>
          <w:color w:val="231F20"/>
          <w:spacing w:val="-3"/>
          <w:sz w:val="18"/>
        </w:rPr>
        <w:t> </w:t>
      </w:r>
      <w:r>
        <w:rPr>
          <w:color w:val="231F20"/>
          <w:sz w:val="18"/>
        </w:rPr>
        <w:t>деятельности</w:t>
      </w:r>
      <w:r>
        <w:rPr>
          <w:color w:val="231F20"/>
          <w:spacing w:val="-2"/>
          <w:sz w:val="18"/>
        </w:rPr>
        <w:t> </w:t>
      </w:r>
      <w:r>
        <w:rPr>
          <w:color w:val="231F20"/>
          <w:sz w:val="18"/>
        </w:rPr>
        <w:t>//</w:t>
      </w:r>
      <w:r>
        <w:rPr>
          <w:color w:val="231F20"/>
          <w:spacing w:val="-3"/>
          <w:sz w:val="18"/>
        </w:rPr>
        <w:t> </w:t>
      </w:r>
      <w:r>
        <w:rPr>
          <w:color w:val="231F20"/>
          <w:sz w:val="18"/>
        </w:rPr>
        <w:t>Вестник</w:t>
      </w:r>
      <w:r>
        <w:rPr>
          <w:color w:val="231F20"/>
          <w:spacing w:val="-3"/>
          <w:sz w:val="18"/>
        </w:rPr>
        <w:t> </w:t>
      </w:r>
      <w:r>
        <w:rPr>
          <w:color w:val="231F20"/>
          <w:sz w:val="18"/>
        </w:rPr>
        <w:t>образования.</w:t>
      </w:r>
      <w:r>
        <w:rPr>
          <w:color w:val="231F20"/>
          <w:spacing w:val="-3"/>
          <w:sz w:val="18"/>
        </w:rPr>
        <w:t> </w:t>
      </w:r>
      <w:r>
        <w:rPr>
          <w:color w:val="231F20"/>
          <w:sz w:val="18"/>
        </w:rPr>
        <w:t>2020.</w:t>
      </w:r>
      <w:r>
        <w:rPr>
          <w:color w:val="231F20"/>
          <w:spacing w:val="-3"/>
          <w:sz w:val="18"/>
        </w:rPr>
        <w:t> </w:t>
      </w:r>
      <w:r>
        <w:rPr>
          <w:color w:val="231F20"/>
          <w:sz w:val="18"/>
        </w:rPr>
        <w:t>–</w:t>
      </w:r>
      <w:r>
        <w:rPr>
          <w:color w:val="231F20"/>
          <w:spacing w:val="-3"/>
          <w:sz w:val="18"/>
        </w:rPr>
        <w:t> </w:t>
      </w:r>
      <w:r>
        <w:rPr>
          <w:color w:val="231F20"/>
          <w:sz w:val="18"/>
        </w:rPr>
        <w:t>№</w:t>
      </w:r>
      <w:r>
        <w:rPr>
          <w:color w:val="231F20"/>
          <w:spacing w:val="-2"/>
          <w:sz w:val="18"/>
        </w:rPr>
        <w:t> </w:t>
      </w:r>
      <w:r>
        <w:rPr>
          <w:color w:val="231F20"/>
          <w:sz w:val="18"/>
        </w:rPr>
        <w:t>10.</w:t>
      </w:r>
      <w:r>
        <w:rPr>
          <w:color w:val="231F20"/>
          <w:spacing w:val="-3"/>
          <w:sz w:val="18"/>
        </w:rPr>
        <w:t> </w:t>
      </w:r>
      <w:r>
        <w:rPr>
          <w:color w:val="231F20"/>
          <w:sz w:val="18"/>
        </w:rPr>
        <w:t>–</w:t>
      </w:r>
      <w:r>
        <w:rPr>
          <w:color w:val="231F20"/>
          <w:spacing w:val="-3"/>
          <w:sz w:val="18"/>
        </w:rPr>
        <w:t> </w:t>
      </w:r>
      <w:r>
        <w:rPr>
          <w:color w:val="231F20"/>
          <w:sz w:val="18"/>
        </w:rPr>
        <w:t>С.</w:t>
      </w:r>
      <w:r>
        <w:rPr>
          <w:color w:val="231F20"/>
          <w:spacing w:val="-1"/>
          <w:sz w:val="18"/>
        </w:rPr>
        <w:t> </w:t>
      </w:r>
      <w:r>
        <w:rPr>
          <w:color w:val="231F20"/>
          <w:sz w:val="18"/>
        </w:rPr>
        <w:t>1–7.</w:t>
      </w:r>
    </w:p>
    <w:p>
      <w:pPr>
        <w:pStyle w:val="ListParagraph"/>
        <w:numPr>
          <w:ilvl w:val="0"/>
          <w:numId w:val="160"/>
        </w:numPr>
        <w:tabs>
          <w:tab w:pos="708" w:val="left" w:leader="none"/>
        </w:tabs>
        <w:spacing w:line="240" w:lineRule="auto" w:before="0" w:after="0"/>
        <w:ind w:left="708" w:right="422" w:hanging="284"/>
        <w:jc w:val="both"/>
        <w:rPr>
          <w:sz w:val="18"/>
        </w:rPr>
      </w:pPr>
      <w:r>
        <w:rPr>
          <w:color w:val="231F20"/>
          <w:sz w:val="18"/>
        </w:rPr>
        <w:t>Обухов</w:t>
      </w:r>
      <w:r>
        <w:rPr>
          <w:color w:val="231F20"/>
          <w:spacing w:val="-11"/>
          <w:sz w:val="18"/>
        </w:rPr>
        <w:t> </w:t>
      </w:r>
      <w:r>
        <w:rPr>
          <w:color w:val="231F20"/>
          <w:sz w:val="18"/>
        </w:rPr>
        <w:t>А.С.</w:t>
      </w:r>
      <w:r>
        <w:rPr>
          <w:color w:val="231F20"/>
          <w:spacing w:val="-11"/>
          <w:sz w:val="18"/>
        </w:rPr>
        <w:t> </w:t>
      </w:r>
      <w:r>
        <w:rPr>
          <w:color w:val="231F20"/>
          <w:sz w:val="18"/>
        </w:rPr>
        <w:t>Экспедиция</w:t>
      </w:r>
      <w:r>
        <w:rPr>
          <w:color w:val="231F20"/>
          <w:spacing w:val="-11"/>
          <w:sz w:val="18"/>
        </w:rPr>
        <w:t> </w:t>
      </w:r>
      <w:r>
        <w:rPr>
          <w:color w:val="231F20"/>
          <w:sz w:val="18"/>
        </w:rPr>
        <w:t>как</w:t>
      </w:r>
      <w:r>
        <w:rPr>
          <w:color w:val="231F20"/>
          <w:spacing w:val="-11"/>
          <w:sz w:val="18"/>
        </w:rPr>
        <w:t> </w:t>
      </w:r>
      <w:r>
        <w:rPr>
          <w:color w:val="231F20"/>
          <w:sz w:val="18"/>
        </w:rPr>
        <w:t>деятельностный</w:t>
      </w:r>
      <w:r>
        <w:rPr>
          <w:color w:val="231F20"/>
          <w:spacing w:val="-11"/>
          <w:sz w:val="18"/>
        </w:rPr>
        <w:t> </w:t>
      </w:r>
      <w:r>
        <w:rPr>
          <w:color w:val="231F20"/>
          <w:sz w:val="18"/>
        </w:rPr>
        <w:t>путь</w:t>
      </w:r>
      <w:r>
        <w:rPr>
          <w:color w:val="231F20"/>
          <w:spacing w:val="-11"/>
          <w:sz w:val="18"/>
        </w:rPr>
        <w:t> </w:t>
      </w:r>
      <w:r>
        <w:rPr>
          <w:color w:val="231F20"/>
          <w:sz w:val="18"/>
        </w:rPr>
        <w:t>познания</w:t>
      </w:r>
      <w:r>
        <w:rPr>
          <w:color w:val="231F20"/>
          <w:spacing w:val="-11"/>
          <w:sz w:val="18"/>
        </w:rPr>
        <w:t> </w:t>
      </w:r>
      <w:r>
        <w:rPr>
          <w:color w:val="231F20"/>
          <w:sz w:val="18"/>
        </w:rPr>
        <w:t>мира</w:t>
      </w:r>
      <w:r>
        <w:rPr>
          <w:color w:val="231F20"/>
          <w:spacing w:val="-6"/>
          <w:sz w:val="18"/>
        </w:rPr>
        <w:t> </w:t>
      </w:r>
      <w:r>
        <w:rPr>
          <w:color w:val="231F20"/>
          <w:sz w:val="18"/>
        </w:rPr>
        <w:t>//</w:t>
      </w:r>
      <w:r>
        <w:rPr>
          <w:color w:val="231F20"/>
          <w:spacing w:val="-11"/>
          <w:sz w:val="18"/>
        </w:rPr>
        <w:t> </w:t>
      </w:r>
      <w:r>
        <w:rPr>
          <w:color w:val="231F20"/>
          <w:sz w:val="18"/>
        </w:rPr>
        <w:t>Исследователь/ Researcher. 2022. – № 1–2. – С. 202–218.</w:t>
      </w:r>
    </w:p>
    <w:p>
      <w:pPr>
        <w:pStyle w:val="ListParagraph"/>
        <w:numPr>
          <w:ilvl w:val="0"/>
          <w:numId w:val="160"/>
        </w:numPr>
        <w:tabs>
          <w:tab w:pos="708" w:val="left" w:leader="none"/>
        </w:tabs>
        <w:spacing w:line="240" w:lineRule="auto" w:before="0" w:after="0"/>
        <w:ind w:left="708" w:right="422" w:hanging="284"/>
        <w:jc w:val="both"/>
        <w:rPr>
          <w:sz w:val="18"/>
        </w:rPr>
      </w:pPr>
      <w:r>
        <w:rPr>
          <w:color w:val="231F20"/>
          <w:sz w:val="18"/>
        </w:rPr>
        <w:t>Обухов</w:t>
      </w:r>
      <w:r>
        <w:rPr>
          <w:color w:val="231F20"/>
          <w:spacing w:val="-2"/>
          <w:sz w:val="18"/>
        </w:rPr>
        <w:t> </w:t>
      </w:r>
      <w:r>
        <w:rPr>
          <w:color w:val="231F20"/>
          <w:sz w:val="18"/>
        </w:rPr>
        <w:t>А.С.,</w:t>
      </w:r>
      <w:r>
        <w:rPr>
          <w:color w:val="231F20"/>
          <w:spacing w:val="-2"/>
          <w:sz w:val="18"/>
        </w:rPr>
        <w:t> </w:t>
      </w:r>
      <w:r>
        <w:rPr>
          <w:color w:val="231F20"/>
          <w:sz w:val="18"/>
        </w:rPr>
        <w:t>Артюх</w:t>
      </w:r>
      <w:r>
        <w:rPr>
          <w:color w:val="231F20"/>
          <w:spacing w:val="-2"/>
          <w:sz w:val="18"/>
        </w:rPr>
        <w:t> </w:t>
      </w:r>
      <w:r>
        <w:rPr>
          <w:color w:val="231F20"/>
          <w:sz w:val="18"/>
        </w:rPr>
        <w:t>А.А.,</w:t>
      </w:r>
      <w:r>
        <w:rPr>
          <w:color w:val="231F20"/>
          <w:spacing w:val="-2"/>
          <w:sz w:val="18"/>
        </w:rPr>
        <w:t> </w:t>
      </w:r>
      <w:r>
        <w:rPr>
          <w:color w:val="231F20"/>
          <w:sz w:val="18"/>
        </w:rPr>
        <w:t>Кузнецова</w:t>
      </w:r>
      <w:r>
        <w:rPr>
          <w:color w:val="231F20"/>
          <w:spacing w:val="-2"/>
          <w:sz w:val="18"/>
        </w:rPr>
        <w:t> </w:t>
      </w:r>
      <w:r>
        <w:rPr>
          <w:color w:val="231F20"/>
          <w:sz w:val="18"/>
        </w:rPr>
        <w:t>М.И.,</w:t>
      </w:r>
      <w:r>
        <w:rPr>
          <w:color w:val="231F20"/>
          <w:spacing w:val="-2"/>
          <w:sz w:val="18"/>
        </w:rPr>
        <w:t> </w:t>
      </w:r>
      <w:r>
        <w:rPr>
          <w:color w:val="231F20"/>
          <w:sz w:val="18"/>
        </w:rPr>
        <w:t>Пестрикова</w:t>
      </w:r>
      <w:r>
        <w:rPr>
          <w:color w:val="231F20"/>
          <w:spacing w:val="-2"/>
          <w:sz w:val="18"/>
        </w:rPr>
        <w:t> </w:t>
      </w:r>
      <w:r>
        <w:rPr>
          <w:color w:val="231F20"/>
          <w:sz w:val="18"/>
        </w:rPr>
        <w:t>М.Д.</w:t>
      </w:r>
      <w:r>
        <w:rPr>
          <w:color w:val="231F20"/>
          <w:spacing w:val="-2"/>
          <w:sz w:val="18"/>
        </w:rPr>
        <w:t> </w:t>
      </w:r>
      <w:r>
        <w:rPr>
          <w:color w:val="231F20"/>
          <w:sz w:val="18"/>
        </w:rPr>
        <w:t>Анализ</w:t>
      </w:r>
      <w:r>
        <w:rPr>
          <w:color w:val="231F20"/>
          <w:spacing w:val="-2"/>
          <w:sz w:val="18"/>
        </w:rPr>
        <w:t> </w:t>
      </w:r>
      <w:r>
        <w:rPr>
          <w:color w:val="231F20"/>
          <w:sz w:val="18"/>
        </w:rPr>
        <w:t>учебников</w:t>
      </w:r>
      <w:r>
        <w:rPr>
          <w:color w:val="231F20"/>
          <w:spacing w:val="-2"/>
          <w:sz w:val="18"/>
        </w:rPr>
        <w:t> </w:t>
      </w:r>
      <w:r>
        <w:rPr>
          <w:color w:val="231F20"/>
          <w:sz w:val="18"/>
        </w:rPr>
        <w:t>по курсу «Окружающий мир»: выделение тем для освоения в мире вокруг школы // Исследователь/Researcher. 2022. №3-4.</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z w:val="18"/>
        </w:rPr>
        <w:t>Обухов</w:t>
      </w:r>
      <w:r>
        <w:rPr>
          <w:color w:val="231F20"/>
          <w:spacing w:val="-12"/>
          <w:sz w:val="18"/>
        </w:rPr>
        <w:t> </w:t>
      </w:r>
      <w:r>
        <w:rPr>
          <w:color w:val="231F20"/>
          <w:sz w:val="18"/>
        </w:rPr>
        <w:t>А.С.,</w:t>
      </w:r>
      <w:r>
        <w:rPr>
          <w:color w:val="231F20"/>
          <w:spacing w:val="-11"/>
          <w:sz w:val="18"/>
        </w:rPr>
        <w:t> </w:t>
      </w:r>
      <w:r>
        <w:rPr>
          <w:color w:val="231F20"/>
          <w:sz w:val="18"/>
        </w:rPr>
        <w:t>Борисова</w:t>
      </w:r>
      <w:r>
        <w:rPr>
          <w:color w:val="231F20"/>
          <w:spacing w:val="-11"/>
          <w:sz w:val="18"/>
        </w:rPr>
        <w:t> </w:t>
      </w:r>
      <w:r>
        <w:rPr>
          <w:color w:val="231F20"/>
          <w:sz w:val="18"/>
        </w:rPr>
        <w:t>Л.А.</w:t>
      </w:r>
      <w:r>
        <w:rPr>
          <w:color w:val="231F20"/>
          <w:spacing w:val="-11"/>
          <w:sz w:val="18"/>
        </w:rPr>
        <w:t> </w:t>
      </w:r>
      <w:r>
        <w:rPr>
          <w:color w:val="231F20"/>
          <w:sz w:val="18"/>
        </w:rPr>
        <w:t>«Универсальный</w:t>
      </w:r>
      <w:r>
        <w:rPr>
          <w:color w:val="231F20"/>
          <w:spacing w:val="-12"/>
          <w:sz w:val="18"/>
        </w:rPr>
        <w:t> </w:t>
      </w:r>
      <w:r>
        <w:rPr>
          <w:color w:val="231F20"/>
          <w:sz w:val="18"/>
        </w:rPr>
        <w:t>конструктор»</w:t>
      </w:r>
      <w:r>
        <w:rPr>
          <w:color w:val="231F20"/>
          <w:spacing w:val="-11"/>
          <w:sz w:val="18"/>
        </w:rPr>
        <w:t> </w:t>
      </w:r>
      <w:r>
        <w:rPr>
          <w:color w:val="231F20"/>
          <w:sz w:val="18"/>
        </w:rPr>
        <w:t>для</w:t>
      </w:r>
      <w:r>
        <w:rPr>
          <w:color w:val="231F20"/>
          <w:spacing w:val="-11"/>
          <w:sz w:val="18"/>
        </w:rPr>
        <w:t> </w:t>
      </w:r>
      <w:r>
        <w:rPr>
          <w:color w:val="231F20"/>
          <w:sz w:val="18"/>
        </w:rPr>
        <w:t>проектирования</w:t>
      </w:r>
      <w:r>
        <w:rPr>
          <w:color w:val="231F20"/>
          <w:spacing w:val="-11"/>
          <w:sz w:val="18"/>
        </w:rPr>
        <w:t> </w:t>
      </w:r>
      <w:r>
        <w:rPr>
          <w:color w:val="231F20"/>
          <w:sz w:val="18"/>
        </w:rPr>
        <w:t>ор- ганизации</w:t>
      </w:r>
      <w:r>
        <w:rPr>
          <w:color w:val="231F20"/>
          <w:spacing w:val="-3"/>
          <w:sz w:val="18"/>
        </w:rPr>
        <w:t> </w:t>
      </w:r>
      <w:r>
        <w:rPr>
          <w:color w:val="231F20"/>
          <w:sz w:val="18"/>
        </w:rPr>
        <w:t>предмета</w:t>
      </w:r>
      <w:r>
        <w:rPr>
          <w:color w:val="231F20"/>
          <w:spacing w:val="-3"/>
          <w:sz w:val="18"/>
        </w:rPr>
        <w:t> </w:t>
      </w:r>
      <w:r>
        <w:rPr>
          <w:color w:val="231F20"/>
          <w:sz w:val="18"/>
        </w:rPr>
        <w:t>«Индивидуальный</w:t>
      </w:r>
      <w:r>
        <w:rPr>
          <w:color w:val="231F20"/>
          <w:spacing w:val="-3"/>
          <w:sz w:val="18"/>
        </w:rPr>
        <w:t> </w:t>
      </w:r>
      <w:r>
        <w:rPr>
          <w:color w:val="231F20"/>
          <w:sz w:val="18"/>
        </w:rPr>
        <w:t>проект»</w:t>
      </w:r>
      <w:r>
        <w:rPr>
          <w:color w:val="231F20"/>
          <w:spacing w:val="-3"/>
          <w:sz w:val="18"/>
        </w:rPr>
        <w:t> </w:t>
      </w:r>
      <w:r>
        <w:rPr>
          <w:color w:val="231F20"/>
          <w:sz w:val="18"/>
        </w:rPr>
        <w:t>в</w:t>
      </w:r>
      <w:r>
        <w:rPr>
          <w:color w:val="231F20"/>
          <w:spacing w:val="-3"/>
          <w:sz w:val="18"/>
        </w:rPr>
        <w:t> </w:t>
      </w:r>
      <w:r>
        <w:rPr>
          <w:color w:val="231F20"/>
          <w:sz w:val="18"/>
        </w:rPr>
        <w:t>старшей</w:t>
      </w:r>
      <w:r>
        <w:rPr>
          <w:color w:val="231F20"/>
          <w:spacing w:val="-3"/>
          <w:sz w:val="18"/>
        </w:rPr>
        <w:t> </w:t>
      </w:r>
      <w:r>
        <w:rPr>
          <w:color w:val="231F20"/>
          <w:sz w:val="18"/>
        </w:rPr>
        <w:t>школе</w:t>
      </w:r>
      <w:r>
        <w:rPr>
          <w:color w:val="231F20"/>
          <w:spacing w:val="-6"/>
          <w:sz w:val="18"/>
        </w:rPr>
        <w:t> </w:t>
      </w:r>
      <w:r>
        <w:rPr>
          <w:color w:val="231F20"/>
          <w:sz w:val="18"/>
        </w:rPr>
        <w:t>//</w:t>
      </w:r>
      <w:r>
        <w:rPr>
          <w:color w:val="231F20"/>
          <w:spacing w:val="-3"/>
          <w:sz w:val="18"/>
        </w:rPr>
        <w:t> </w:t>
      </w:r>
      <w:r>
        <w:rPr>
          <w:color w:val="231F20"/>
          <w:sz w:val="18"/>
        </w:rPr>
        <w:t>Исследователь/ Researcher. 2019.– № 3. – С. 56–64.</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z w:val="18"/>
        </w:rPr>
        <w:t>Обухов</w:t>
      </w:r>
      <w:r>
        <w:rPr>
          <w:color w:val="231F20"/>
          <w:spacing w:val="-7"/>
          <w:sz w:val="18"/>
        </w:rPr>
        <w:t> </w:t>
      </w:r>
      <w:r>
        <w:rPr>
          <w:color w:val="231F20"/>
          <w:sz w:val="18"/>
        </w:rPr>
        <w:t>А.С.,</w:t>
      </w:r>
      <w:r>
        <w:rPr>
          <w:color w:val="231F20"/>
          <w:spacing w:val="-7"/>
          <w:sz w:val="18"/>
        </w:rPr>
        <w:t> </w:t>
      </w:r>
      <w:r>
        <w:rPr>
          <w:color w:val="231F20"/>
          <w:sz w:val="18"/>
        </w:rPr>
        <w:t>Глазунова</w:t>
      </w:r>
      <w:r>
        <w:rPr>
          <w:color w:val="231F20"/>
          <w:spacing w:val="-7"/>
          <w:sz w:val="18"/>
        </w:rPr>
        <w:t> </w:t>
      </w:r>
      <w:r>
        <w:rPr>
          <w:color w:val="231F20"/>
          <w:sz w:val="18"/>
        </w:rPr>
        <w:t>О.В.</w:t>
      </w:r>
      <w:r>
        <w:rPr>
          <w:color w:val="231F20"/>
          <w:spacing w:val="-7"/>
          <w:sz w:val="18"/>
        </w:rPr>
        <w:t> </w:t>
      </w:r>
      <w:r>
        <w:rPr>
          <w:color w:val="231F20"/>
          <w:sz w:val="18"/>
        </w:rPr>
        <w:t>Навигатор</w:t>
      </w:r>
      <w:r>
        <w:rPr>
          <w:color w:val="231F20"/>
          <w:spacing w:val="-7"/>
          <w:sz w:val="18"/>
        </w:rPr>
        <w:t> </w:t>
      </w:r>
      <w:r>
        <w:rPr>
          <w:color w:val="231F20"/>
          <w:sz w:val="18"/>
        </w:rPr>
        <w:t>САМОдеятельности</w:t>
      </w:r>
      <w:r>
        <w:rPr>
          <w:color w:val="231F20"/>
          <w:spacing w:val="-7"/>
          <w:sz w:val="18"/>
        </w:rPr>
        <w:t> </w:t>
      </w:r>
      <w:r>
        <w:rPr>
          <w:color w:val="231F20"/>
          <w:sz w:val="18"/>
        </w:rPr>
        <w:t>в</w:t>
      </w:r>
      <w:r>
        <w:rPr>
          <w:color w:val="231F20"/>
          <w:spacing w:val="-7"/>
          <w:sz w:val="18"/>
        </w:rPr>
        <w:t> </w:t>
      </w:r>
      <w:r>
        <w:rPr>
          <w:color w:val="231F20"/>
          <w:sz w:val="18"/>
        </w:rPr>
        <w:t>Гимназии</w:t>
      </w:r>
      <w:r>
        <w:rPr>
          <w:color w:val="231F20"/>
          <w:spacing w:val="-7"/>
          <w:sz w:val="18"/>
        </w:rPr>
        <w:t> </w:t>
      </w:r>
      <w:r>
        <w:rPr>
          <w:color w:val="231F20"/>
          <w:sz w:val="18"/>
        </w:rPr>
        <w:t>Хорошко- лы // Исследователь/Researcher. 2018. – № 3–4. – С. 225–237.</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pacing w:val="-4"/>
          <w:sz w:val="18"/>
        </w:rPr>
        <w:t>Обухов</w:t>
      </w:r>
      <w:r>
        <w:rPr>
          <w:color w:val="231F20"/>
          <w:spacing w:val="-8"/>
          <w:sz w:val="18"/>
        </w:rPr>
        <w:t> </w:t>
      </w:r>
      <w:r>
        <w:rPr>
          <w:color w:val="231F20"/>
          <w:spacing w:val="-4"/>
          <w:sz w:val="18"/>
        </w:rPr>
        <w:t>А.С.,</w:t>
      </w:r>
      <w:r>
        <w:rPr>
          <w:color w:val="231F20"/>
          <w:spacing w:val="-7"/>
          <w:sz w:val="18"/>
        </w:rPr>
        <w:t> </w:t>
      </w:r>
      <w:r>
        <w:rPr>
          <w:color w:val="231F20"/>
          <w:spacing w:val="-4"/>
          <w:sz w:val="18"/>
        </w:rPr>
        <w:t>Глазунова</w:t>
      </w:r>
      <w:r>
        <w:rPr>
          <w:color w:val="231F20"/>
          <w:spacing w:val="-7"/>
          <w:sz w:val="18"/>
        </w:rPr>
        <w:t> </w:t>
      </w:r>
      <w:r>
        <w:rPr>
          <w:color w:val="231F20"/>
          <w:spacing w:val="-4"/>
          <w:sz w:val="18"/>
        </w:rPr>
        <w:t>О.В.,</w:t>
      </w:r>
      <w:r>
        <w:rPr>
          <w:color w:val="231F20"/>
          <w:spacing w:val="-7"/>
          <w:sz w:val="18"/>
        </w:rPr>
        <w:t> </w:t>
      </w:r>
      <w:r>
        <w:rPr>
          <w:color w:val="231F20"/>
          <w:spacing w:val="-4"/>
          <w:sz w:val="18"/>
        </w:rPr>
        <w:t>Павлов</w:t>
      </w:r>
      <w:r>
        <w:rPr>
          <w:color w:val="231F20"/>
          <w:spacing w:val="-8"/>
          <w:sz w:val="18"/>
        </w:rPr>
        <w:t> </w:t>
      </w:r>
      <w:r>
        <w:rPr>
          <w:color w:val="231F20"/>
          <w:spacing w:val="-4"/>
          <w:sz w:val="18"/>
        </w:rPr>
        <w:t>А.В.</w:t>
      </w:r>
      <w:r>
        <w:rPr>
          <w:color w:val="231F20"/>
          <w:spacing w:val="-7"/>
          <w:sz w:val="18"/>
        </w:rPr>
        <w:t> </w:t>
      </w:r>
      <w:r>
        <w:rPr>
          <w:color w:val="231F20"/>
          <w:spacing w:val="-4"/>
          <w:sz w:val="18"/>
        </w:rPr>
        <w:t>Точка</w:t>
      </w:r>
      <w:r>
        <w:rPr>
          <w:color w:val="231F20"/>
          <w:spacing w:val="-7"/>
          <w:sz w:val="18"/>
        </w:rPr>
        <w:t> </w:t>
      </w:r>
      <w:r>
        <w:rPr>
          <w:color w:val="231F20"/>
          <w:spacing w:val="-4"/>
          <w:sz w:val="18"/>
        </w:rPr>
        <w:t>«Топос»:</w:t>
      </w:r>
      <w:r>
        <w:rPr>
          <w:color w:val="231F20"/>
          <w:spacing w:val="-7"/>
          <w:sz w:val="18"/>
        </w:rPr>
        <w:t> </w:t>
      </w:r>
      <w:r>
        <w:rPr>
          <w:color w:val="231F20"/>
          <w:spacing w:val="-4"/>
          <w:sz w:val="18"/>
        </w:rPr>
        <w:t>типовая</w:t>
      </w:r>
      <w:r>
        <w:rPr>
          <w:color w:val="231F20"/>
          <w:spacing w:val="-8"/>
          <w:sz w:val="18"/>
        </w:rPr>
        <w:t> </w:t>
      </w:r>
      <w:r>
        <w:rPr>
          <w:color w:val="231F20"/>
          <w:spacing w:val="-4"/>
          <w:sz w:val="18"/>
        </w:rPr>
        <w:t>модель</w:t>
      </w:r>
      <w:r>
        <w:rPr>
          <w:color w:val="231F20"/>
          <w:spacing w:val="-7"/>
          <w:sz w:val="18"/>
        </w:rPr>
        <w:t> </w:t>
      </w:r>
      <w:r>
        <w:rPr>
          <w:color w:val="231F20"/>
          <w:spacing w:val="-4"/>
          <w:sz w:val="18"/>
        </w:rPr>
        <w:t>создания</w:t>
      </w:r>
      <w:r>
        <w:rPr>
          <w:color w:val="231F20"/>
          <w:spacing w:val="-7"/>
          <w:sz w:val="18"/>
        </w:rPr>
        <w:t> </w:t>
      </w:r>
      <w:r>
        <w:rPr>
          <w:color w:val="231F20"/>
          <w:spacing w:val="-4"/>
          <w:sz w:val="18"/>
        </w:rPr>
        <w:t>но- вых мест для региональных систем дополнительного образования детей по туристско- </w:t>
      </w:r>
      <w:r>
        <w:rPr>
          <w:color w:val="231F20"/>
          <w:sz w:val="18"/>
        </w:rPr>
        <w:t>краеведческой</w:t>
      </w:r>
      <w:r>
        <w:rPr>
          <w:color w:val="231F20"/>
          <w:spacing w:val="80"/>
          <w:sz w:val="18"/>
        </w:rPr>
        <w:t> </w:t>
      </w:r>
      <w:r>
        <w:rPr>
          <w:color w:val="231F20"/>
          <w:sz w:val="18"/>
        </w:rPr>
        <w:t>направленности</w:t>
      </w:r>
      <w:r>
        <w:rPr>
          <w:color w:val="231F20"/>
          <w:spacing w:val="80"/>
          <w:sz w:val="18"/>
        </w:rPr>
        <w:t> </w:t>
      </w:r>
      <w:r>
        <w:rPr>
          <w:color w:val="231F20"/>
          <w:sz w:val="18"/>
        </w:rPr>
        <w:t>//</w:t>
      </w:r>
      <w:r>
        <w:rPr>
          <w:color w:val="231F20"/>
          <w:spacing w:val="80"/>
          <w:sz w:val="18"/>
        </w:rPr>
        <w:t> </w:t>
      </w:r>
      <w:r>
        <w:rPr>
          <w:color w:val="231F20"/>
          <w:sz w:val="18"/>
        </w:rPr>
        <w:t>Исследователь/Researcher.</w:t>
      </w:r>
      <w:r>
        <w:rPr>
          <w:color w:val="231F20"/>
          <w:spacing w:val="80"/>
          <w:sz w:val="18"/>
        </w:rPr>
        <w:t> </w:t>
      </w:r>
      <w:r>
        <w:rPr>
          <w:color w:val="231F20"/>
          <w:sz w:val="18"/>
        </w:rPr>
        <w:t>2020.</w:t>
      </w:r>
      <w:r>
        <w:rPr>
          <w:color w:val="231F20"/>
          <w:spacing w:val="80"/>
          <w:sz w:val="18"/>
        </w:rPr>
        <w:t> </w:t>
      </w:r>
      <w:r>
        <w:rPr>
          <w:color w:val="231F20"/>
          <w:sz w:val="18"/>
        </w:rPr>
        <w:t>–</w:t>
      </w:r>
      <w:r>
        <w:rPr>
          <w:color w:val="231F20"/>
          <w:spacing w:val="80"/>
          <w:sz w:val="18"/>
        </w:rPr>
        <w:t> </w:t>
      </w:r>
      <w:r>
        <w:rPr>
          <w:color w:val="231F20"/>
          <w:sz w:val="18"/>
        </w:rPr>
        <w:t>Т.</w:t>
      </w:r>
      <w:r>
        <w:rPr>
          <w:color w:val="231F20"/>
          <w:spacing w:val="-3"/>
          <w:sz w:val="18"/>
        </w:rPr>
        <w:t> </w:t>
      </w:r>
      <w:r>
        <w:rPr>
          <w:color w:val="231F20"/>
          <w:sz w:val="18"/>
        </w:rPr>
        <w:t>31.</w:t>
      </w:r>
      <w:r>
        <w:rPr>
          <w:color w:val="231F20"/>
          <w:spacing w:val="80"/>
          <w:sz w:val="18"/>
        </w:rPr>
        <w:t> </w:t>
      </w:r>
      <w:r>
        <w:rPr>
          <w:color w:val="231F20"/>
          <w:sz w:val="18"/>
        </w:rPr>
        <w:t>–</w:t>
      </w:r>
    </w:p>
    <w:p>
      <w:pPr>
        <w:pStyle w:val="ListParagraph"/>
        <w:spacing w:after="0" w:line="240" w:lineRule="auto"/>
        <w:jc w:val="both"/>
        <w:rPr>
          <w:sz w:val="18"/>
        </w:rPr>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before="117"/>
        <w:ind w:left="708" w:right="0" w:firstLine="0"/>
        <w:jc w:val="left"/>
        <w:rPr>
          <w:sz w:val="18"/>
        </w:rPr>
      </w:pPr>
      <w:r>
        <w:rPr>
          <w:color w:val="231F20"/>
          <w:sz w:val="18"/>
        </w:rPr>
        <w:t>№</w:t>
      </w:r>
      <w:r>
        <w:rPr>
          <w:color w:val="231F20"/>
          <w:spacing w:val="-1"/>
          <w:sz w:val="18"/>
        </w:rPr>
        <w:t> </w:t>
      </w:r>
      <w:r>
        <w:rPr>
          <w:color w:val="231F20"/>
          <w:sz w:val="18"/>
        </w:rPr>
        <w:t>3. – С. </w:t>
      </w:r>
      <w:r>
        <w:rPr>
          <w:color w:val="231F20"/>
          <w:spacing w:val="-2"/>
          <w:sz w:val="18"/>
        </w:rPr>
        <w:t>84–121.</w:t>
      </w:r>
    </w:p>
    <w:p>
      <w:pPr>
        <w:pStyle w:val="ListParagraph"/>
        <w:numPr>
          <w:ilvl w:val="0"/>
          <w:numId w:val="160"/>
        </w:numPr>
        <w:tabs>
          <w:tab w:pos="708" w:val="left" w:leader="none"/>
        </w:tabs>
        <w:spacing w:line="240" w:lineRule="auto" w:before="0" w:after="0"/>
        <w:ind w:left="708" w:right="422" w:hanging="284"/>
        <w:jc w:val="both"/>
        <w:rPr>
          <w:sz w:val="18"/>
        </w:rPr>
      </w:pPr>
      <w:r>
        <w:rPr>
          <w:color w:val="231F20"/>
          <w:sz w:val="18"/>
        </w:rPr>
        <w:t>Обухов А.С., Глазунова О.В., Проценко Л.М. Топос. Краеведение // Атлас практик неформального образования. – М.: Образование, 2021. – С. 52–54.</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z w:val="18"/>
        </w:rPr>
        <w:t>Обухов А.С., Комарова В.А. Дополнительная общеразвивающая программа «Изу- чая</w:t>
      </w:r>
      <w:r>
        <w:rPr>
          <w:color w:val="231F20"/>
          <w:spacing w:val="-3"/>
          <w:sz w:val="18"/>
        </w:rPr>
        <w:t> </w:t>
      </w:r>
      <w:r>
        <w:rPr>
          <w:color w:val="231F20"/>
          <w:sz w:val="18"/>
        </w:rPr>
        <w:t>мир</w:t>
      </w:r>
      <w:r>
        <w:rPr>
          <w:color w:val="231F20"/>
          <w:spacing w:val="-3"/>
          <w:sz w:val="18"/>
        </w:rPr>
        <w:t> </w:t>
      </w:r>
      <w:r>
        <w:rPr>
          <w:color w:val="231F20"/>
          <w:sz w:val="18"/>
        </w:rPr>
        <w:t>вокруг</w:t>
      </w:r>
      <w:r>
        <w:rPr>
          <w:color w:val="231F20"/>
          <w:spacing w:val="-3"/>
          <w:sz w:val="18"/>
        </w:rPr>
        <w:t> </w:t>
      </w:r>
      <w:r>
        <w:rPr>
          <w:color w:val="231F20"/>
          <w:sz w:val="18"/>
        </w:rPr>
        <w:t>себя:</w:t>
      </w:r>
      <w:r>
        <w:rPr>
          <w:color w:val="231F20"/>
          <w:spacing w:val="-3"/>
          <w:sz w:val="18"/>
        </w:rPr>
        <w:t> </w:t>
      </w:r>
      <w:r>
        <w:rPr>
          <w:color w:val="231F20"/>
          <w:sz w:val="18"/>
        </w:rPr>
        <w:t>введение</w:t>
      </w:r>
      <w:r>
        <w:rPr>
          <w:color w:val="231F20"/>
          <w:spacing w:val="-3"/>
          <w:sz w:val="18"/>
        </w:rPr>
        <w:t> </w:t>
      </w:r>
      <w:r>
        <w:rPr>
          <w:color w:val="231F20"/>
          <w:sz w:val="18"/>
        </w:rPr>
        <w:t>в</w:t>
      </w:r>
      <w:r>
        <w:rPr>
          <w:color w:val="231F20"/>
          <w:spacing w:val="-3"/>
          <w:sz w:val="18"/>
        </w:rPr>
        <w:t> </w:t>
      </w:r>
      <w:r>
        <w:rPr>
          <w:color w:val="231F20"/>
          <w:sz w:val="18"/>
        </w:rPr>
        <w:t>исследовательское</w:t>
      </w:r>
      <w:r>
        <w:rPr>
          <w:color w:val="231F20"/>
          <w:spacing w:val="-3"/>
          <w:sz w:val="18"/>
        </w:rPr>
        <w:t> </w:t>
      </w:r>
      <w:r>
        <w:rPr>
          <w:color w:val="231F20"/>
          <w:sz w:val="18"/>
        </w:rPr>
        <w:t>краеведение»</w:t>
      </w:r>
      <w:r>
        <w:rPr>
          <w:color w:val="231F20"/>
          <w:spacing w:val="-3"/>
          <w:sz w:val="18"/>
        </w:rPr>
        <w:t> </w:t>
      </w:r>
      <w:r>
        <w:rPr>
          <w:color w:val="231F20"/>
          <w:sz w:val="18"/>
        </w:rPr>
        <w:t>//</w:t>
      </w:r>
      <w:r>
        <w:rPr>
          <w:color w:val="231F20"/>
          <w:spacing w:val="-3"/>
          <w:sz w:val="18"/>
        </w:rPr>
        <w:t> </w:t>
      </w:r>
      <w:r>
        <w:rPr>
          <w:color w:val="231F20"/>
          <w:sz w:val="18"/>
        </w:rPr>
        <w:t>Исследователь/ Researcher. 2020. – Т. 31. – № 3. – С. 122–130.</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z w:val="18"/>
        </w:rPr>
        <w:t>Обухов А.С., Косарецкий С.Г., Можаева М.В., Смирнов И.А.</w:t>
      </w:r>
      <w:r>
        <w:rPr>
          <w:color w:val="231F20"/>
          <w:spacing w:val="-7"/>
          <w:sz w:val="18"/>
        </w:rPr>
        <w:t> </w:t>
      </w:r>
      <w:r>
        <w:rPr>
          <w:color w:val="231F20"/>
          <w:sz w:val="18"/>
        </w:rPr>
        <w:t>Развитие экологиче- ской</w:t>
      </w:r>
      <w:r>
        <w:rPr>
          <w:color w:val="231F20"/>
          <w:spacing w:val="-3"/>
          <w:sz w:val="18"/>
        </w:rPr>
        <w:t> </w:t>
      </w:r>
      <w:r>
        <w:rPr>
          <w:color w:val="231F20"/>
          <w:sz w:val="18"/>
        </w:rPr>
        <w:t>грамотности</w:t>
      </w:r>
      <w:r>
        <w:rPr>
          <w:color w:val="231F20"/>
          <w:spacing w:val="-3"/>
          <w:sz w:val="18"/>
        </w:rPr>
        <w:t> </w:t>
      </w:r>
      <w:r>
        <w:rPr>
          <w:color w:val="231F20"/>
          <w:sz w:val="18"/>
        </w:rPr>
        <w:t>и</w:t>
      </w:r>
      <w:r>
        <w:rPr>
          <w:color w:val="231F20"/>
          <w:spacing w:val="-3"/>
          <w:sz w:val="18"/>
        </w:rPr>
        <w:t> </w:t>
      </w:r>
      <w:r>
        <w:rPr>
          <w:color w:val="231F20"/>
          <w:sz w:val="18"/>
        </w:rPr>
        <w:t>экологически</w:t>
      </w:r>
      <w:r>
        <w:rPr>
          <w:color w:val="231F20"/>
          <w:spacing w:val="-3"/>
          <w:sz w:val="18"/>
        </w:rPr>
        <w:t> </w:t>
      </w:r>
      <w:r>
        <w:rPr>
          <w:color w:val="231F20"/>
          <w:sz w:val="18"/>
        </w:rPr>
        <w:t>ответственного</w:t>
      </w:r>
      <w:r>
        <w:rPr>
          <w:color w:val="231F20"/>
          <w:spacing w:val="-3"/>
          <w:sz w:val="18"/>
        </w:rPr>
        <w:t> </w:t>
      </w:r>
      <w:r>
        <w:rPr>
          <w:color w:val="231F20"/>
          <w:sz w:val="18"/>
        </w:rPr>
        <w:t>поведения</w:t>
      </w:r>
      <w:r>
        <w:rPr>
          <w:color w:val="231F20"/>
          <w:spacing w:val="-3"/>
          <w:sz w:val="18"/>
        </w:rPr>
        <w:t> </w:t>
      </w:r>
      <w:r>
        <w:rPr>
          <w:color w:val="231F20"/>
          <w:sz w:val="18"/>
        </w:rPr>
        <w:t>через</w:t>
      </w:r>
      <w:r>
        <w:rPr>
          <w:color w:val="231F20"/>
          <w:spacing w:val="-3"/>
          <w:sz w:val="18"/>
        </w:rPr>
        <w:t> </w:t>
      </w:r>
      <w:r>
        <w:rPr>
          <w:color w:val="231F20"/>
          <w:sz w:val="18"/>
        </w:rPr>
        <w:t>вовлечение</w:t>
      </w:r>
      <w:r>
        <w:rPr>
          <w:color w:val="231F20"/>
          <w:spacing w:val="-3"/>
          <w:sz w:val="18"/>
        </w:rPr>
        <w:t> </w:t>
      </w:r>
      <w:r>
        <w:rPr>
          <w:color w:val="231F20"/>
          <w:sz w:val="18"/>
        </w:rPr>
        <w:t>уча- щихся в исследование, проектирование и медиасреду</w:t>
      </w:r>
      <w:r>
        <w:rPr>
          <w:color w:val="231F20"/>
          <w:spacing w:val="-7"/>
          <w:sz w:val="18"/>
        </w:rPr>
        <w:t> </w:t>
      </w:r>
      <w:r>
        <w:rPr>
          <w:color w:val="231F20"/>
          <w:sz w:val="18"/>
        </w:rPr>
        <w:t>// Исследователь/Researcher. 2021. – № 1–2. – С. 32–51.</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z w:val="18"/>
        </w:rPr>
        <w:t>Обухов</w:t>
      </w:r>
      <w:r>
        <w:rPr>
          <w:color w:val="231F20"/>
          <w:spacing w:val="-3"/>
          <w:sz w:val="18"/>
        </w:rPr>
        <w:t> </w:t>
      </w:r>
      <w:r>
        <w:rPr>
          <w:color w:val="231F20"/>
          <w:sz w:val="18"/>
        </w:rPr>
        <w:t>А.С.,</w:t>
      </w:r>
      <w:r>
        <w:rPr>
          <w:color w:val="231F20"/>
          <w:spacing w:val="-3"/>
          <w:sz w:val="18"/>
        </w:rPr>
        <w:t> </w:t>
      </w:r>
      <w:r>
        <w:rPr>
          <w:color w:val="231F20"/>
          <w:sz w:val="18"/>
        </w:rPr>
        <w:t>Павлов</w:t>
      </w:r>
      <w:r>
        <w:rPr>
          <w:color w:val="231F20"/>
          <w:spacing w:val="-3"/>
          <w:sz w:val="18"/>
        </w:rPr>
        <w:t> </w:t>
      </w:r>
      <w:r>
        <w:rPr>
          <w:color w:val="231F20"/>
          <w:sz w:val="18"/>
        </w:rPr>
        <w:t>А.</w:t>
      </w:r>
      <w:r>
        <w:rPr>
          <w:color w:val="231F20"/>
          <w:spacing w:val="-3"/>
          <w:sz w:val="18"/>
        </w:rPr>
        <w:t> </w:t>
      </w:r>
      <w:r>
        <w:rPr>
          <w:color w:val="231F20"/>
          <w:sz w:val="18"/>
        </w:rPr>
        <w:t>В.,</w:t>
      </w:r>
      <w:r>
        <w:rPr>
          <w:color w:val="231F20"/>
          <w:spacing w:val="-3"/>
          <w:sz w:val="18"/>
        </w:rPr>
        <w:t> </w:t>
      </w:r>
      <w:r>
        <w:rPr>
          <w:color w:val="231F20"/>
          <w:sz w:val="18"/>
        </w:rPr>
        <w:t>Глазунова</w:t>
      </w:r>
      <w:r>
        <w:rPr>
          <w:color w:val="231F20"/>
          <w:spacing w:val="-3"/>
          <w:sz w:val="18"/>
        </w:rPr>
        <w:t> </w:t>
      </w:r>
      <w:r>
        <w:rPr>
          <w:color w:val="231F20"/>
          <w:sz w:val="18"/>
        </w:rPr>
        <w:t>О.В.,</w:t>
      </w:r>
      <w:r>
        <w:rPr>
          <w:color w:val="231F20"/>
          <w:spacing w:val="-3"/>
          <w:sz w:val="18"/>
        </w:rPr>
        <w:t> </w:t>
      </w:r>
      <w:r>
        <w:rPr>
          <w:color w:val="231F20"/>
          <w:sz w:val="18"/>
        </w:rPr>
        <w:t>Проценко</w:t>
      </w:r>
      <w:r>
        <w:rPr>
          <w:color w:val="231F20"/>
          <w:spacing w:val="-3"/>
          <w:sz w:val="18"/>
        </w:rPr>
        <w:t> </w:t>
      </w:r>
      <w:r>
        <w:rPr>
          <w:color w:val="231F20"/>
          <w:sz w:val="18"/>
        </w:rPr>
        <w:t>Л.М.</w:t>
      </w:r>
      <w:r>
        <w:rPr>
          <w:color w:val="231F20"/>
          <w:spacing w:val="-3"/>
          <w:sz w:val="18"/>
        </w:rPr>
        <w:t> </w:t>
      </w:r>
      <w:r>
        <w:rPr>
          <w:color w:val="231F20"/>
          <w:sz w:val="18"/>
        </w:rPr>
        <w:t>Топос.</w:t>
      </w:r>
      <w:r>
        <w:rPr>
          <w:color w:val="231F20"/>
          <w:spacing w:val="-3"/>
          <w:sz w:val="18"/>
        </w:rPr>
        <w:t> </w:t>
      </w:r>
      <w:r>
        <w:rPr>
          <w:color w:val="231F20"/>
          <w:sz w:val="18"/>
        </w:rPr>
        <w:t>Типовая</w:t>
      </w:r>
      <w:r>
        <w:rPr>
          <w:color w:val="231F20"/>
          <w:spacing w:val="-3"/>
          <w:sz w:val="18"/>
        </w:rPr>
        <w:t> </w:t>
      </w:r>
      <w:r>
        <w:rPr>
          <w:color w:val="231F20"/>
          <w:sz w:val="18"/>
        </w:rPr>
        <w:t>модель создания новых мест для детского дополнительного образования туристско-крае- ведческой направленности. – М.: ФГБОУ ДО ФЦДЮКиТ, 2020.</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z w:val="18"/>
        </w:rPr>
        <w:t>Обухов А.С., Проценко Л.М., Глазунова О.В., Кожаринов М.Ю. Концепция про- граммы «Топос. Исследовательское краеведение»</w:t>
      </w:r>
      <w:r>
        <w:rPr>
          <w:color w:val="231F20"/>
          <w:spacing w:val="-6"/>
          <w:sz w:val="18"/>
        </w:rPr>
        <w:t> </w:t>
      </w:r>
      <w:r>
        <w:rPr>
          <w:color w:val="231F20"/>
          <w:sz w:val="18"/>
        </w:rPr>
        <w:t>// Исследователь/Researcher. 2020. – № 1. – С. 46–87.</w:t>
      </w:r>
    </w:p>
    <w:p>
      <w:pPr>
        <w:pStyle w:val="ListParagraph"/>
        <w:numPr>
          <w:ilvl w:val="0"/>
          <w:numId w:val="160"/>
        </w:numPr>
        <w:tabs>
          <w:tab w:pos="708" w:val="left" w:leader="none"/>
        </w:tabs>
        <w:spacing w:line="240" w:lineRule="auto" w:before="0" w:after="0"/>
        <w:ind w:left="708" w:right="424" w:hanging="284"/>
        <w:jc w:val="both"/>
        <w:rPr>
          <w:sz w:val="18"/>
        </w:rPr>
      </w:pPr>
      <w:r>
        <w:rPr>
          <w:color w:val="231F20"/>
          <w:sz w:val="18"/>
        </w:rPr>
        <w:t>Обухов</w:t>
      </w:r>
      <w:r>
        <w:rPr>
          <w:color w:val="231F20"/>
          <w:spacing w:val="-12"/>
          <w:sz w:val="18"/>
        </w:rPr>
        <w:t> </w:t>
      </w:r>
      <w:r>
        <w:rPr>
          <w:color w:val="231F20"/>
          <w:sz w:val="18"/>
        </w:rPr>
        <w:t>А.С.,</w:t>
      </w:r>
      <w:r>
        <w:rPr>
          <w:color w:val="231F20"/>
          <w:spacing w:val="-11"/>
          <w:sz w:val="18"/>
        </w:rPr>
        <w:t> </w:t>
      </w:r>
      <w:r>
        <w:rPr>
          <w:color w:val="231F20"/>
          <w:sz w:val="18"/>
        </w:rPr>
        <w:t>Рытикова</w:t>
      </w:r>
      <w:r>
        <w:rPr>
          <w:color w:val="231F20"/>
          <w:spacing w:val="-11"/>
          <w:sz w:val="18"/>
        </w:rPr>
        <w:t> </w:t>
      </w:r>
      <w:r>
        <w:rPr>
          <w:color w:val="231F20"/>
          <w:sz w:val="18"/>
        </w:rPr>
        <w:t>Н.А.</w:t>
      </w:r>
      <w:r>
        <w:rPr>
          <w:color w:val="231F20"/>
          <w:spacing w:val="-11"/>
          <w:sz w:val="18"/>
        </w:rPr>
        <w:t> </w:t>
      </w:r>
      <w:r>
        <w:rPr>
          <w:color w:val="231F20"/>
          <w:sz w:val="18"/>
        </w:rPr>
        <w:t>Методические</w:t>
      </w:r>
      <w:r>
        <w:rPr>
          <w:color w:val="231F20"/>
          <w:spacing w:val="-12"/>
          <w:sz w:val="18"/>
        </w:rPr>
        <w:t> </w:t>
      </w:r>
      <w:r>
        <w:rPr>
          <w:color w:val="231F20"/>
          <w:sz w:val="18"/>
        </w:rPr>
        <w:t>рекомендации</w:t>
      </w:r>
      <w:r>
        <w:rPr>
          <w:color w:val="231F20"/>
          <w:spacing w:val="-11"/>
          <w:sz w:val="18"/>
        </w:rPr>
        <w:t> </w:t>
      </w:r>
      <w:r>
        <w:rPr>
          <w:color w:val="231F20"/>
          <w:sz w:val="18"/>
        </w:rPr>
        <w:t>для</w:t>
      </w:r>
      <w:r>
        <w:rPr>
          <w:color w:val="231F20"/>
          <w:spacing w:val="-11"/>
          <w:sz w:val="18"/>
        </w:rPr>
        <w:t> </w:t>
      </w:r>
      <w:r>
        <w:rPr>
          <w:color w:val="231F20"/>
          <w:sz w:val="18"/>
        </w:rPr>
        <w:t>участников</w:t>
      </w:r>
      <w:r>
        <w:rPr>
          <w:color w:val="231F20"/>
          <w:spacing w:val="-11"/>
          <w:sz w:val="18"/>
        </w:rPr>
        <w:t> </w:t>
      </w:r>
      <w:r>
        <w:rPr>
          <w:color w:val="231F20"/>
          <w:sz w:val="18"/>
        </w:rPr>
        <w:t>Конкурса исследовательских</w:t>
      </w:r>
      <w:r>
        <w:rPr>
          <w:color w:val="231F20"/>
          <w:spacing w:val="-8"/>
          <w:sz w:val="18"/>
        </w:rPr>
        <w:t> </w:t>
      </w:r>
      <w:r>
        <w:rPr>
          <w:color w:val="231F20"/>
          <w:sz w:val="18"/>
        </w:rPr>
        <w:t>работ</w:t>
      </w:r>
      <w:r>
        <w:rPr>
          <w:color w:val="231F20"/>
          <w:spacing w:val="-8"/>
          <w:sz w:val="18"/>
        </w:rPr>
        <w:t> </w:t>
      </w:r>
      <w:r>
        <w:rPr>
          <w:color w:val="231F20"/>
          <w:sz w:val="18"/>
        </w:rPr>
        <w:t>Колледжа</w:t>
      </w:r>
      <w:r>
        <w:rPr>
          <w:color w:val="231F20"/>
          <w:spacing w:val="-8"/>
          <w:sz w:val="18"/>
        </w:rPr>
        <w:t> </w:t>
      </w:r>
      <w:r>
        <w:rPr>
          <w:color w:val="231F20"/>
          <w:sz w:val="18"/>
        </w:rPr>
        <w:t>«26</w:t>
      </w:r>
      <w:r>
        <w:rPr>
          <w:color w:val="231F20"/>
          <w:spacing w:val="-8"/>
          <w:sz w:val="18"/>
        </w:rPr>
        <w:t> </w:t>
      </w:r>
      <w:r>
        <w:rPr>
          <w:color w:val="231F20"/>
          <w:sz w:val="18"/>
        </w:rPr>
        <w:t>КАДР»</w:t>
      </w:r>
      <w:r>
        <w:rPr>
          <w:color w:val="231F20"/>
          <w:spacing w:val="-8"/>
          <w:sz w:val="18"/>
        </w:rPr>
        <w:t> </w:t>
      </w:r>
      <w:r>
        <w:rPr>
          <w:color w:val="231F20"/>
          <w:sz w:val="18"/>
        </w:rPr>
        <w:t>«В</w:t>
      </w:r>
      <w:r>
        <w:rPr>
          <w:color w:val="231F20"/>
          <w:spacing w:val="-8"/>
          <w:sz w:val="18"/>
        </w:rPr>
        <w:t> </w:t>
      </w:r>
      <w:r>
        <w:rPr>
          <w:color w:val="231F20"/>
          <w:sz w:val="18"/>
        </w:rPr>
        <w:t>фокусе</w:t>
      </w:r>
      <w:r>
        <w:rPr>
          <w:color w:val="231F20"/>
          <w:spacing w:val="-8"/>
          <w:sz w:val="18"/>
        </w:rPr>
        <w:t> </w:t>
      </w:r>
      <w:r>
        <w:rPr>
          <w:color w:val="231F20"/>
          <w:sz w:val="18"/>
        </w:rPr>
        <w:t>внимания»</w:t>
      </w:r>
      <w:r>
        <w:rPr>
          <w:color w:val="231F20"/>
          <w:spacing w:val="-7"/>
          <w:sz w:val="18"/>
        </w:rPr>
        <w:t> </w:t>
      </w:r>
      <w:r>
        <w:rPr>
          <w:color w:val="231F20"/>
          <w:sz w:val="18"/>
        </w:rPr>
        <w:t>//</w:t>
      </w:r>
      <w:r>
        <w:rPr>
          <w:color w:val="231F20"/>
          <w:spacing w:val="-8"/>
          <w:sz w:val="18"/>
        </w:rPr>
        <w:t> </w:t>
      </w:r>
      <w:r>
        <w:rPr>
          <w:color w:val="231F20"/>
          <w:sz w:val="18"/>
        </w:rPr>
        <w:t>Исследова- тель/Researcher. 2021. – № 3–4. – С. 197–217.</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pacing w:val="-2"/>
          <w:sz w:val="18"/>
        </w:rPr>
        <w:t>Обухов А.С., Рытикова Н.А., Васькова Е.Д., Волкова Е.В., Комарова В.А., Коршуно- </w:t>
      </w:r>
      <w:r>
        <w:rPr>
          <w:color w:val="231F20"/>
          <w:sz w:val="18"/>
        </w:rPr>
        <w:t>ва</w:t>
      </w:r>
      <w:r>
        <w:rPr>
          <w:color w:val="231F20"/>
          <w:spacing w:val="-3"/>
          <w:sz w:val="18"/>
        </w:rPr>
        <w:t> </w:t>
      </w:r>
      <w:r>
        <w:rPr>
          <w:color w:val="231F20"/>
          <w:sz w:val="18"/>
        </w:rPr>
        <w:t>А.А.,</w:t>
      </w:r>
      <w:r>
        <w:rPr>
          <w:color w:val="231F20"/>
          <w:spacing w:val="-2"/>
          <w:sz w:val="18"/>
        </w:rPr>
        <w:t> </w:t>
      </w:r>
      <w:r>
        <w:rPr>
          <w:color w:val="231F20"/>
          <w:sz w:val="18"/>
        </w:rPr>
        <w:t>Крупина</w:t>
      </w:r>
      <w:r>
        <w:rPr>
          <w:color w:val="231F20"/>
          <w:spacing w:val="-2"/>
          <w:sz w:val="18"/>
        </w:rPr>
        <w:t> </w:t>
      </w:r>
      <w:r>
        <w:rPr>
          <w:color w:val="231F20"/>
          <w:sz w:val="18"/>
        </w:rPr>
        <w:t>Е.В.,</w:t>
      </w:r>
      <w:r>
        <w:rPr>
          <w:color w:val="231F20"/>
          <w:spacing w:val="-3"/>
          <w:sz w:val="18"/>
        </w:rPr>
        <w:t> </w:t>
      </w:r>
      <w:r>
        <w:rPr>
          <w:color w:val="231F20"/>
          <w:sz w:val="18"/>
        </w:rPr>
        <w:t>Умярова</w:t>
      </w:r>
      <w:r>
        <w:rPr>
          <w:color w:val="231F20"/>
          <w:spacing w:val="-3"/>
          <w:sz w:val="18"/>
        </w:rPr>
        <w:t> </w:t>
      </w:r>
      <w:r>
        <w:rPr>
          <w:color w:val="231F20"/>
          <w:sz w:val="18"/>
        </w:rPr>
        <w:t>Д.К.</w:t>
      </w:r>
      <w:r>
        <w:rPr>
          <w:color w:val="231F20"/>
          <w:spacing w:val="-3"/>
          <w:sz w:val="18"/>
        </w:rPr>
        <w:t> </w:t>
      </w:r>
      <w:r>
        <w:rPr>
          <w:color w:val="231F20"/>
          <w:sz w:val="18"/>
        </w:rPr>
        <w:t>«Парк</w:t>
      </w:r>
      <w:r>
        <w:rPr>
          <w:color w:val="231F20"/>
          <w:spacing w:val="-3"/>
          <w:sz w:val="18"/>
        </w:rPr>
        <w:t> </w:t>
      </w:r>
      <w:r>
        <w:rPr>
          <w:color w:val="231F20"/>
          <w:sz w:val="18"/>
        </w:rPr>
        <w:t>онлайн»:</w:t>
      </w:r>
      <w:r>
        <w:rPr>
          <w:color w:val="231F20"/>
          <w:spacing w:val="-2"/>
          <w:sz w:val="18"/>
        </w:rPr>
        <w:t> </w:t>
      </w:r>
      <w:r>
        <w:rPr>
          <w:color w:val="231F20"/>
          <w:sz w:val="18"/>
        </w:rPr>
        <w:t>вовлечение</w:t>
      </w:r>
      <w:r>
        <w:rPr>
          <w:color w:val="231F20"/>
          <w:spacing w:val="-3"/>
          <w:sz w:val="18"/>
        </w:rPr>
        <w:t> </w:t>
      </w:r>
      <w:r>
        <w:rPr>
          <w:color w:val="231F20"/>
          <w:sz w:val="18"/>
        </w:rPr>
        <w:t>школьников</w:t>
      </w:r>
      <w:r>
        <w:rPr>
          <w:color w:val="231F20"/>
          <w:spacing w:val="-3"/>
          <w:sz w:val="18"/>
        </w:rPr>
        <w:t> </w:t>
      </w:r>
      <w:r>
        <w:rPr>
          <w:color w:val="231F20"/>
          <w:sz w:val="18"/>
        </w:rPr>
        <w:t>в</w:t>
      </w:r>
      <w:r>
        <w:rPr>
          <w:color w:val="231F20"/>
          <w:spacing w:val="-3"/>
          <w:sz w:val="18"/>
        </w:rPr>
        <w:t> </w:t>
      </w:r>
      <w:r>
        <w:rPr>
          <w:color w:val="231F20"/>
          <w:sz w:val="18"/>
        </w:rPr>
        <w:t>по- исковую</w:t>
      </w:r>
      <w:r>
        <w:rPr>
          <w:color w:val="231F20"/>
          <w:spacing w:val="-12"/>
          <w:sz w:val="18"/>
        </w:rPr>
        <w:t> </w:t>
      </w:r>
      <w:r>
        <w:rPr>
          <w:color w:val="231F20"/>
          <w:sz w:val="18"/>
        </w:rPr>
        <w:t>активность</w:t>
      </w:r>
      <w:r>
        <w:rPr>
          <w:color w:val="231F20"/>
          <w:spacing w:val="-11"/>
          <w:sz w:val="18"/>
        </w:rPr>
        <w:t> </w:t>
      </w:r>
      <w:r>
        <w:rPr>
          <w:color w:val="231F20"/>
          <w:sz w:val="18"/>
        </w:rPr>
        <w:t>и</w:t>
      </w:r>
      <w:r>
        <w:rPr>
          <w:color w:val="231F20"/>
          <w:spacing w:val="-11"/>
          <w:sz w:val="18"/>
        </w:rPr>
        <w:t> </w:t>
      </w:r>
      <w:r>
        <w:rPr>
          <w:color w:val="231F20"/>
          <w:sz w:val="18"/>
        </w:rPr>
        <w:t>исследовательскую</w:t>
      </w:r>
      <w:r>
        <w:rPr>
          <w:color w:val="231F20"/>
          <w:spacing w:val="-11"/>
          <w:sz w:val="18"/>
        </w:rPr>
        <w:t> </w:t>
      </w:r>
      <w:r>
        <w:rPr>
          <w:color w:val="231F20"/>
          <w:sz w:val="18"/>
        </w:rPr>
        <w:t>деятельность</w:t>
      </w:r>
      <w:r>
        <w:rPr>
          <w:color w:val="231F20"/>
          <w:spacing w:val="-12"/>
          <w:sz w:val="18"/>
        </w:rPr>
        <w:t> </w:t>
      </w:r>
      <w:r>
        <w:rPr>
          <w:color w:val="231F20"/>
          <w:sz w:val="18"/>
        </w:rPr>
        <w:t>в</w:t>
      </w:r>
      <w:r>
        <w:rPr>
          <w:color w:val="231F20"/>
          <w:spacing w:val="-11"/>
          <w:sz w:val="18"/>
        </w:rPr>
        <w:t> </w:t>
      </w:r>
      <w:r>
        <w:rPr>
          <w:color w:val="231F20"/>
          <w:sz w:val="18"/>
        </w:rPr>
        <w:t>ситуации</w:t>
      </w:r>
      <w:r>
        <w:rPr>
          <w:color w:val="231F20"/>
          <w:spacing w:val="-11"/>
          <w:sz w:val="18"/>
        </w:rPr>
        <w:t> </w:t>
      </w:r>
      <w:r>
        <w:rPr>
          <w:color w:val="231F20"/>
          <w:sz w:val="18"/>
        </w:rPr>
        <w:t>дистанционного обучения // Исследователь/Researcher. 2020. – Т. 31. – № 3. – С. 176–249.</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z w:val="18"/>
        </w:rPr>
        <w:t>Обухов А.С., Савельева Д.И. Город открытий. Методология образовательного ту- ризма в мегаполисе // Исследователь/Researcher. 2019. – № 4. – С. 12–47.</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z w:val="18"/>
        </w:rPr>
        <w:t>Обухов А.С., Сальникова К.С.,</w:t>
      </w:r>
      <w:r>
        <w:rPr>
          <w:color w:val="231F20"/>
          <w:spacing w:val="-6"/>
          <w:sz w:val="18"/>
        </w:rPr>
        <w:t> </w:t>
      </w:r>
      <w:r>
        <w:rPr>
          <w:color w:val="231F20"/>
          <w:sz w:val="18"/>
        </w:rPr>
        <w:t>Фишер Я.И. 12-я Международная исследователь- ская</w:t>
      </w:r>
      <w:r>
        <w:rPr>
          <w:color w:val="231F20"/>
          <w:spacing w:val="-8"/>
          <w:sz w:val="18"/>
        </w:rPr>
        <w:t> </w:t>
      </w:r>
      <w:r>
        <w:rPr>
          <w:color w:val="231F20"/>
          <w:sz w:val="18"/>
        </w:rPr>
        <w:t>школа</w:t>
      </w:r>
      <w:r>
        <w:rPr>
          <w:color w:val="231F20"/>
          <w:spacing w:val="-8"/>
          <w:sz w:val="18"/>
        </w:rPr>
        <w:t> </w:t>
      </w:r>
      <w:r>
        <w:rPr>
          <w:color w:val="231F20"/>
          <w:sz w:val="18"/>
        </w:rPr>
        <w:t>в</w:t>
      </w:r>
      <w:r>
        <w:rPr>
          <w:color w:val="231F20"/>
          <w:spacing w:val="-8"/>
          <w:sz w:val="18"/>
        </w:rPr>
        <w:t> </w:t>
      </w:r>
      <w:r>
        <w:rPr>
          <w:color w:val="231F20"/>
          <w:sz w:val="18"/>
        </w:rPr>
        <w:t>Калужской</w:t>
      </w:r>
      <w:r>
        <w:rPr>
          <w:color w:val="231F20"/>
          <w:spacing w:val="-8"/>
          <w:sz w:val="18"/>
        </w:rPr>
        <w:t> </w:t>
      </w:r>
      <w:r>
        <w:rPr>
          <w:color w:val="231F20"/>
          <w:sz w:val="18"/>
        </w:rPr>
        <w:t>области</w:t>
      </w:r>
      <w:r>
        <w:rPr>
          <w:color w:val="231F20"/>
          <w:spacing w:val="-8"/>
          <w:sz w:val="18"/>
        </w:rPr>
        <w:t> </w:t>
      </w:r>
      <w:r>
        <w:rPr>
          <w:color w:val="231F20"/>
          <w:sz w:val="18"/>
        </w:rPr>
        <w:t>//</w:t>
      </w:r>
      <w:r>
        <w:rPr>
          <w:color w:val="231F20"/>
          <w:spacing w:val="-8"/>
          <w:sz w:val="18"/>
        </w:rPr>
        <w:t> </w:t>
      </w:r>
      <w:r>
        <w:rPr>
          <w:color w:val="231F20"/>
          <w:sz w:val="18"/>
        </w:rPr>
        <w:t>Исследователь/Researcher.</w:t>
      </w:r>
      <w:r>
        <w:rPr>
          <w:color w:val="231F20"/>
          <w:spacing w:val="-8"/>
          <w:sz w:val="18"/>
        </w:rPr>
        <w:t> </w:t>
      </w:r>
      <w:r>
        <w:rPr>
          <w:color w:val="231F20"/>
          <w:sz w:val="18"/>
        </w:rPr>
        <w:t>2020.</w:t>
      </w:r>
      <w:r>
        <w:rPr>
          <w:color w:val="231F20"/>
          <w:spacing w:val="-8"/>
          <w:sz w:val="18"/>
        </w:rPr>
        <w:t> </w:t>
      </w:r>
      <w:r>
        <w:rPr>
          <w:color w:val="231F20"/>
          <w:sz w:val="18"/>
        </w:rPr>
        <w:t>–</w:t>
      </w:r>
      <w:r>
        <w:rPr>
          <w:color w:val="231F20"/>
          <w:spacing w:val="-8"/>
          <w:sz w:val="18"/>
        </w:rPr>
        <w:t> </w:t>
      </w:r>
      <w:r>
        <w:rPr>
          <w:color w:val="231F20"/>
          <w:sz w:val="18"/>
        </w:rPr>
        <w:t>Т.</w:t>
      </w:r>
      <w:r>
        <w:rPr>
          <w:color w:val="231F20"/>
          <w:spacing w:val="-7"/>
          <w:sz w:val="18"/>
        </w:rPr>
        <w:t> </w:t>
      </w:r>
      <w:r>
        <w:rPr>
          <w:color w:val="231F20"/>
          <w:sz w:val="18"/>
        </w:rPr>
        <w:t>32.</w:t>
      </w:r>
      <w:r>
        <w:rPr>
          <w:color w:val="231F20"/>
          <w:spacing w:val="-8"/>
          <w:sz w:val="18"/>
        </w:rPr>
        <w:t> </w:t>
      </w:r>
      <w:r>
        <w:rPr>
          <w:color w:val="231F20"/>
          <w:sz w:val="18"/>
        </w:rPr>
        <w:t>–</w:t>
      </w:r>
      <w:r>
        <w:rPr>
          <w:color w:val="231F20"/>
          <w:spacing w:val="-8"/>
          <w:sz w:val="18"/>
        </w:rPr>
        <w:t> </w:t>
      </w:r>
      <w:r>
        <w:rPr>
          <w:color w:val="231F20"/>
          <w:sz w:val="18"/>
        </w:rPr>
        <w:t>№</w:t>
      </w:r>
      <w:r>
        <w:rPr>
          <w:color w:val="231F20"/>
          <w:spacing w:val="-8"/>
          <w:sz w:val="18"/>
        </w:rPr>
        <w:t> </w:t>
      </w:r>
      <w:r>
        <w:rPr>
          <w:color w:val="231F20"/>
          <w:sz w:val="18"/>
        </w:rPr>
        <w:t>4.</w:t>
      </w:r>
      <w:r>
        <w:rPr>
          <w:color w:val="231F20"/>
          <w:spacing w:val="-8"/>
          <w:sz w:val="18"/>
        </w:rPr>
        <w:t> </w:t>
      </w:r>
      <w:r>
        <w:rPr>
          <w:color w:val="231F20"/>
          <w:sz w:val="18"/>
        </w:rPr>
        <w:t>– С. 295–335.</w:t>
      </w:r>
    </w:p>
    <w:p>
      <w:pPr>
        <w:pStyle w:val="ListParagraph"/>
        <w:numPr>
          <w:ilvl w:val="0"/>
          <w:numId w:val="160"/>
        </w:numPr>
        <w:tabs>
          <w:tab w:pos="706" w:val="left" w:leader="none"/>
          <w:tab w:pos="708" w:val="left" w:leader="none"/>
        </w:tabs>
        <w:spacing w:line="240" w:lineRule="auto" w:before="0" w:after="0"/>
        <w:ind w:left="708" w:right="423" w:hanging="284"/>
        <w:jc w:val="both"/>
        <w:rPr>
          <w:sz w:val="18"/>
        </w:rPr>
      </w:pPr>
      <w:r>
        <w:rPr>
          <w:color w:val="231F20"/>
          <w:sz w:val="18"/>
        </w:rPr>
        <w:t>Обухов</w:t>
      </w:r>
      <w:r>
        <w:rPr>
          <w:color w:val="231F20"/>
          <w:spacing w:val="-9"/>
          <w:sz w:val="18"/>
        </w:rPr>
        <w:t> </w:t>
      </w:r>
      <w:r>
        <w:rPr>
          <w:color w:val="231F20"/>
          <w:sz w:val="18"/>
        </w:rPr>
        <w:t>А.С.,</w:t>
      </w:r>
      <w:r>
        <w:rPr>
          <w:color w:val="231F20"/>
          <w:spacing w:val="-9"/>
          <w:sz w:val="18"/>
        </w:rPr>
        <w:t> </w:t>
      </w:r>
      <w:r>
        <w:rPr>
          <w:color w:val="231F20"/>
          <w:sz w:val="18"/>
        </w:rPr>
        <w:t>Струкова</w:t>
      </w:r>
      <w:r>
        <w:rPr>
          <w:color w:val="231F20"/>
          <w:spacing w:val="-9"/>
          <w:sz w:val="18"/>
        </w:rPr>
        <w:t> </w:t>
      </w:r>
      <w:r>
        <w:rPr>
          <w:color w:val="231F20"/>
          <w:sz w:val="18"/>
        </w:rPr>
        <w:t>Е.В.</w:t>
      </w:r>
      <w:r>
        <w:rPr>
          <w:color w:val="231F20"/>
          <w:spacing w:val="-9"/>
          <w:sz w:val="18"/>
        </w:rPr>
        <w:t> </w:t>
      </w:r>
      <w:r>
        <w:rPr>
          <w:color w:val="231F20"/>
          <w:sz w:val="18"/>
        </w:rPr>
        <w:t>«Универсальный</w:t>
      </w:r>
      <w:r>
        <w:rPr>
          <w:color w:val="231F20"/>
          <w:spacing w:val="-9"/>
          <w:sz w:val="18"/>
        </w:rPr>
        <w:t> </w:t>
      </w:r>
      <w:r>
        <w:rPr>
          <w:color w:val="231F20"/>
          <w:sz w:val="18"/>
        </w:rPr>
        <w:t>конструктор»</w:t>
      </w:r>
      <w:r>
        <w:rPr>
          <w:color w:val="231F20"/>
          <w:spacing w:val="-9"/>
          <w:sz w:val="18"/>
        </w:rPr>
        <w:t> </w:t>
      </w:r>
      <w:r>
        <w:rPr>
          <w:color w:val="231F20"/>
          <w:sz w:val="18"/>
        </w:rPr>
        <w:t>организации</w:t>
      </w:r>
      <w:r>
        <w:rPr>
          <w:color w:val="231F20"/>
          <w:spacing w:val="-9"/>
          <w:sz w:val="18"/>
        </w:rPr>
        <w:t> </w:t>
      </w:r>
      <w:r>
        <w:rPr>
          <w:color w:val="231F20"/>
          <w:sz w:val="18"/>
        </w:rPr>
        <w:t>конферен- </w:t>
      </w:r>
      <w:r>
        <w:rPr>
          <w:color w:val="231F20"/>
          <w:spacing w:val="-2"/>
          <w:sz w:val="18"/>
        </w:rPr>
        <w:t>ций</w:t>
      </w:r>
      <w:r>
        <w:rPr>
          <w:color w:val="231F20"/>
          <w:spacing w:val="-8"/>
          <w:sz w:val="18"/>
        </w:rPr>
        <w:t> </w:t>
      </w:r>
      <w:r>
        <w:rPr>
          <w:color w:val="231F20"/>
          <w:spacing w:val="-2"/>
          <w:sz w:val="18"/>
        </w:rPr>
        <w:t>и</w:t>
      </w:r>
      <w:r>
        <w:rPr>
          <w:color w:val="231F20"/>
          <w:spacing w:val="-8"/>
          <w:sz w:val="18"/>
        </w:rPr>
        <w:t> </w:t>
      </w:r>
      <w:r>
        <w:rPr>
          <w:color w:val="231F20"/>
          <w:spacing w:val="-2"/>
          <w:sz w:val="18"/>
        </w:rPr>
        <w:t>процедуры</w:t>
      </w:r>
      <w:r>
        <w:rPr>
          <w:color w:val="231F20"/>
          <w:spacing w:val="-8"/>
          <w:sz w:val="18"/>
        </w:rPr>
        <w:t> </w:t>
      </w:r>
      <w:r>
        <w:rPr>
          <w:color w:val="231F20"/>
          <w:spacing w:val="-2"/>
          <w:sz w:val="18"/>
        </w:rPr>
        <w:t>экспертизы</w:t>
      </w:r>
      <w:r>
        <w:rPr>
          <w:color w:val="231F20"/>
          <w:spacing w:val="-8"/>
          <w:sz w:val="18"/>
        </w:rPr>
        <w:t> </w:t>
      </w:r>
      <w:r>
        <w:rPr>
          <w:color w:val="231F20"/>
          <w:spacing w:val="-2"/>
          <w:sz w:val="18"/>
        </w:rPr>
        <w:t>исследовательских</w:t>
      </w:r>
      <w:r>
        <w:rPr>
          <w:color w:val="231F20"/>
          <w:spacing w:val="-8"/>
          <w:sz w:val="18"/>
        </w:rPr>
        <w:t> </w:t>
      </w:r>
      <w:r>
        <w:rPr>
          <w:color w:val="231F20"/>
          <w:spacing w:val="-2"/>
          <w:sz w:val="18"/>
        </w:rPr>
        <w:t>и</w:t>
      </w:r>
      <w:r>
        <w:rPr>
          <w:color w:val="231F20"/>
          <w:spacing w:val="-8"/>
          <w:sz w:val="18"/>
        </w:rPr>
        <w:t> </w:t>
      </w:r>
      <w:r>
        <w:rPr>
          <w:color w:val="231F20"/>
          <w:spacing w:val="-2"/>
          <w:sz w:val="18"/>
        </w:rPr>
        <w:t>проектных</w:t>
      </w:r>
      <w:r>
        <w:rPr>
          <w:color w:val="231F20"/>
          <w:spacing w:val="-8"/>
          <w:sz w:val="18"/>
        </w:rPr>
        <w:t> </w:t>
      </w:r>
      <w:r>
        <w:rPr>
          <w:color w:val="231F20"/>
          <w:spacing w:val="-2"/>
          <w:sz w:val="18"/>
        </w:rPr>
        <w:t>работ</w:t>
      </w:r>
      <w:r>
        <w:rPr>
          <w:color w:val="231F20"/>
          <w:spacing w:val="-8"/>
          <w:sz w:val="18"/>
        </w:rPr>
        <w:t> </w:t>
      </w:r>
      <w:r>
        <w:rPr>
          <w:color w:val="231F20"/>
          <w:spacing w:val="-2"/>
          <w:sz w:val="18"/>
        </w:rPr>
        <w:t>(на</w:t>
      </w:r>
      <w:r>
        <w:rPr>
          <w:color w:val="231F20"/>
          <w:spacing w:val="-8"/>
          <w:sz w:val="18"/>
        </w:rPr>
        <w:t> </w:t>
      </w:r>
      <w:r>
        <w:rPr>
          <w:color w:val="231F20"/>
          <w:spacing w:val="-2"/>
          <w:sz w:val="18"/>
        </w:rPr>
        <w:t>примере</w:t>
      </w:r>
      <w:r>
        <w:rPr>
          <w:color w:val="231F20"/>
          <w:spacing w:val="-8"/>
          <w:sz w:val="18"/>
        </w:rPr>
        <w:t> </w:t>
      </w:r>
      <w:r>
        <w:rPr>
          <w:color w:val="231F20"/>
          <w:spacing w:val="-2"/>
          <w:sz w:val="18"/>
        </w:rPr>
        <w:t>кон- </w:t>
      </w:r>
      <w:r>
        <w:rPr>
          <w:color w:val="231F20"/>
          <w:sz w:val="18"/>
        </w:rPr>
        <w:t>курса</w:t>
      </w:r>
      <w:r>
        <w:rPr>
          <w:color w:val="231F20"/>
          <w:spacing w:val="-12"/>
          <w:sz w:val="18"/>
        </w:rPr>
        <w:t> </w:t>
      </w:r>
      <w:r>
        <w:rPr>
          <w:color w:val="231F20"/>
          <w:sz w:val="18"/>
        </w:rPr>
        <w:t>«Высший</w:t>
      </w:r>
      <w:r>
        <w:rPr>
          <w:color w:val="231F20"/>
          <w:spacing w:val="-11"/>
          <w:sz w:val="18"/>
        </w:rPr>
        <w:t> </w:t>
      </w:r>
      <w:r>
        <w:rPr>
          <w:color w:val="231F20"/>
          <w:sz w:val="18"/>
        </w:rPr>
        <w:t>пилотаж»)</w:t>
      </w:r>
      <w:r>
        <w:rPr>
          <w:color w:val="231F20"/>
          <w:spacing w:val="-11"/>
          <w:sz w:val="18"/>
        </w:rPr>
        <w:t> </w:t>
      </w:r>
      <w:r>
        <w:rPr>
          <w:color w:val="231F20"/>
          <w:sz w:val="18"/>
        </w:rPr>
        <w:t>//</w:t>
      </w:r>
      <w:r>
        <w:rPr>
          <w:color w:val="231F20"/>
          <w:spacing w:val="-11"/>
          <w:sz w:val="18"/>
        </w:rPr>
        <w:t> </w:t>
      </w:r>
      <w:r>
        <w:rPr>
          <w:color w:val="231F20"/>
          <w:sz w:val="18"/>
        </w:rPr>
        <w:t>Исследователь/Researcher.</w:t>
      </w:r>
      <w:r>
        <w:rPr>
          <w:color w:val="231F20"/>
          <w:spacing w:val="-12"/>
          <w:sz w:val="18"/>
        </w:rPr>
        <w:t> </w:t>
      </w:r>
      <w:r>
        <w:rPr>
          <w:color w:val="231F20"/>
          <w:sz w:val="18"/>
        </w:rPr>
        <w:t>2021.</w:t>
      </w:r>
      <w:r>
        <w:rPr>
          <w:color w:val="231F20"/>
          <w:spacing w:val="-11"/>
          <w:sz w:val="18"/>
        </w:rPr>
        <w:t> </w:t>
      </w:r>
      <w:r>
        <w:rPr>
          <w:color w:val="231F20"/>
          <w:sz w:val="18"/>
        </w:rPr>
        <w:t>–</w:t>
      </w:r>
      <w:r>
        <w:rPr>
          <w:color w:val="231F20"/>
          <w:spacing w:val="-11"/>
          <w:sz w:val="18"/>
        </w:rPr>
        <w:t> </w:t>
      </w:r>
      <w:r>
        <w:rPr>
          <w:color w:val="231F20"/>
          <w:sz w:val="18"/>
        </w:rPr>
        <w:t>№</w:t>
      </w:r>
      <w:r>
        <w:rPr>
          <w:color w:val="231F20"/>
          <w:spacing w:val="-11"/>
          <w:sz w:val="18"/>
        </w:rPr>
        <w:t> </w:t>
      </w:r>
      <w:r>
        <w:rPr>
          <w:color w:val="231F20"/>
          <w:sz w:val="18"/>
        </w:rPr>
        <w:t>3–4.</w:t>
      </w:r>
      <w:r>
        <w:rPr>
          <w:color w:val="231F20"/>
          <w:spacing w:val="-12"/>
          <w:sz w:val="18"/>
        </w:rPr>
        <w:t> </w:t>
      </w:r>
      <w:r>
        <w:rPr>
          <w:color w:val="231F20"/>
          <w:sz w:val="18"/>
        </w:rPr>
        <w:t>–</w:t>
      </w:r>
      <w:r>
        <w:rPr>
          <w:color w:val="231F20"/>
          <w:spacing w:val="-11"/>
          <w:sz w:val="18"/>
        </w:rPr>
        <w:t> </w:t>
      </w:r>
      <w:r>
        <w:rPr>
          <w:color w:val="231F20"/>
          <w:sz w:val="18"/>
        </w:rPr>
        <w:t>С.</w:t>
      </w:r>
      <w:r>
        <w:rPr>
          <w:color w:val="231F20"/>
          <w:spacing w:val="-11"/>
          <w:sz w:val="18"/>
        </w:rPr>
        <w:t> </w:t>
      </w:r>
      <w:r>
        <w:rPr>
          <w:color w:val="231F20"/>
          <w:sz w:val="18"/>
        </w:rPr>
        <w:t>218–240.</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z w:val="18"/>
        </w:rPr>
        <w:t>Обухов</w:t>
      </w:r>
      <w:r>
        <w:rPr>
          <w:color w:val="231F20"/>
          <w:spacing w:val="-8"/>
          <w:sz w:val="18"/>
        </w:rPr>
        <w:t> </w:t>
      </w:r>
      <w:r>
        <w:rPr>
          <w:color w:val="231F20"/>
          <w:sz w:val="18"/>
        </w:rPr>
        <w:t>А.С.,</w:t>
      </w:r>
      <w:r>
        <w:rPr>
          <w:color w:val="231F20"/>
          <w:spacing w:val="-8"/>
          <w:sz w:val="18"/>
        </w:rPr>
        <w:t> </w:t>
      </w:r>
      <w:r>
        <w:rPr>
          <w:color w:val="231F20"/>
          <w:sz w:val="18"/>
        </w:rPr>
        <w:t>Ткаченко</w:t>
      </w:r>
      <w:r>
        <w:rPr>
          <w:color w:val="231F20"/>
          <w:spacing w:val="-8"/>
          <w:sz w:val="18"/>
        </w:rPr>
        <w:t> </w:t>
      </w:r>
      <w:r>
        <w:rPr>
          <w:color w:val="231F20"/>
          <w:sz w:val="18"/>
        </w:rPr>
        <w:t>Н.В.</w:t>
      </w:r>
      <w:r>
        <w:rPr>
          <w:color w:val="231F20"/>
          <w:spacing w:val="-8"/>
          <w:sz w:val="18"/>
        </w:rPr>
        <w:t> </w:t>
      </w:r>
      <w:r>
        <w:rPr>
          <w:color w:val="231F20"/>
          <w:sz w:val="18"/>
        </w:rPr>
        <w:t>Конкурс</w:t>
      </w:r>
      <w:r>
        <w:rPr>
          <w:color w:val="231F20"/>
          <w:spacing w:val="-8"/>
          <w:sz w:val="18"/>
        </w:rPr>
        <w:t> </w:t>
      </w:r>
      <w:r>
        <w:rPr>
          <w:color w:val="231F20"/>
          <w:sz w:val="18"/>
        </w:rPr>
        <w:t>идей</w:t>
      </w:r>
      <w:r>
        <w:rPr>
          <w:color w:val="231F20"/>
          <w:spacing w:val="-8"/>
          <w:sz w:val="18"/>
        </w:rPr>
        <w:t> </w:t>
      </w:r>
      <w:r>
        <w:rPr>
          <w:color w:val="231F20"/>
          <w:sz w:val="18"/>
        </w:rPr>
        <w:t>по</w:t>
      </w:r>
      <w:r>
        <w:rPr>
          <w:color w:val="231F20"/>
          <w:spacing w:val="-8"/>
          <w:sz w:val="18"/>
        </w:rPr>
        <w:t> </w:t>
      </w:r>
      <w:r>
        <w:rPr>
          <w:color w:val="231F20"/>
          <w:sz w:val="18"/>
        </w:rPr>
        <w:t>проведению</w:t>
      </w:r>
      <w:r>
        <w:rPr>
          <w:color w:val="231F20"/>
          <w:spacing w:val="-8"/>
          <w:sz w:val="18"/>
        </w:rPr>
        <w:t> </w:t>
      </w:r>
      <w:r>
        <w:rPr>
          <w:color w:val="231F20"/>
          <w:sz w:val="18"/>
        </w:rPr>
        <w:t>междисциплинарных</w:t>
      </w:r>
      <w:r>
        <w:rPr>
          <w:color w:val="231F20"/>
          <w:spacing w:val="-8"/>
          <w:sz w:val="18"/>
        </w:rPr>
        <w:t> </w:t>
      </w:r>
      <w:r>
        <w:rPr>
          <w:color w:val="231F20"/>
          <w:sz w:val="18"/>
        </w:rPr>
        <w:t>ис- следований // Исследователь/Researcher. 2018. – № 3–4. – С. 166–176.</w:t>
      </w:r>
    </w:p>
    <w:p>
      <w:pPr>
        <w:pStyle w:val="ListParagraph"/>
        <w:numPr>
          <w:ilvl w:val="0"/>
          <w:numId w:val="160"/>
        </w:numPr>
        <w:tabs>
          <w:tab w:pos="708" w:val="left" w:leader="none"/>
        </w:tabs>
        <w:spacing w:line="240" w:lineRule="auto" w:before="0" w:after="0"/>
        <w:ind w:left="708" w:right="422" w:hanging="284"/>
        <w:jc w:val="both"/>
        <w:rPr>
          <w:sz w:val="18"/>
        </w:rPr>
      </w:pPr>
      <w:r>
        <w:rPr>
          <w:color w:val="231F20"/>
          <w:sz w:val="18"/>
        </w:rPr>
        <w:t>Подобедова</w:t>
      </w:r>
      <w:r>
        <w:rPr>
          <w:color w:val="231F20"/>
          <w:spacing w:val="39"/>
          <w:sz w:val="18"/>
        </w:rPr>
        <w:t> </w:t>
      </w:r>
      <w:r>
        <w:rPr>
          <w:color w:val="231F20"/>
          <w:sz w:val="18"/>
        </w:rPr>
        <w:t>А.Д.,</w:t>
      </w:r>
      <w:r>
        <w:rPr>
          <w:color w:val="231F20"/>
          <w:spacing w:val="39"/>
          <w:sz w:val="18"/>
        </w:rPr>
        <w:t> </w:t>
      </w:r>
      <w:r>
        <w:rPr>
          <w:color w:val="231F20"/>
          <w:sz w:val="18"/>
        </w:rPr>
        <w:t>Авдеенко</w:t>
      </w:r>
      <w:r>
        <w:rPr>
          <w:color w:val="231F20"/>
          <w:spacing w:val="39"/>
          <w:sz w:val="18"/>
        </w:rPr>
        <w:t> </w:t>
      </w:r>
      <w:r>
        <w:rPr>
          <w:color w:val="231F20"/>
          <w:sz w:val="18"/>
        </w:rPr>
        <w:t>Н.А.</w:t>
      </w:r>
      <w:r>
        <w:rPr>
          <w:color w:val="231F20"/>
          <w:spacing w:val="39"/>
          <w:sz w:val="18"/>
        </w:rPr>
        <w:t> </w:t>
      </w:r>
      <w:r>
        <w:rPr>
          <w:color w:val="231F20"/>
          <w:sz w:val="18"/>
        </w:rPr>
        <w:t>Российские</w:t>
      </w:r>
      <w:r>
        <w:rPr>
          <w:color w:val="231F20"/>
          <w:spacing w:val="39"/>
          <w:sz w:val="18"/>
        </w:rPr>
        <w:t> </w:t>
      </w:r>
      <w:r>
        <w:rPr>
          <w:color w:val="231F20"/>
          <w:sz w:val="18"/>
        </w:rPr>
        <w:t>учебники</w:t>
      </w:r>
      <w:r>
        <w:rPr>
          <w:color w:val="231F20"/>
          <w:spacing w:val="39"/>
          <w:sz w:val="18"/>
        </w:rPr>
        <w:t> </w:t>
      </w:r>
      <w:r>
        <w:rPr>
          <w:color w:val="231F20"/>
          <w:sz w:val="18"/>
        </w:rPr>
        <w:t>по</w:t>
      </w:r>
      <w:r>
        <w:rPr>
          <w:color w:val="231F20"/>
          <w:spacing w:val="39"/>
          <w:sz w:val="18"/>
        </w:rPr>
        <w:t> </w:t>
      </w:r>
      <w:r>
        <w:rPr>
          <w:color w:val="231F20"/>
          <w:sz w:val="18"/>
        </w:rPr>
        <w:t>окружающему</w:t>
      </w:r>
      <w:r>
        <w:rPr>
          <w:color w:val="231F20"/>
          <w:spacing w:val="39"/>
          <w:sz w:val="18"/>
        </w:rPr>
        <w:t> </w:t>
      </w:r>
      <w:r>
        <w:rPr>
          <w:color w:val="231F20"/>
          <w:sz w:val="18"/>
        </w:rPr>
        <w:t>миру в контексте формирования естественнонаучной грамотности // Исследователь/ Researcher.</w:t>
      </w:r>
      <w:r>
        <w:rPr>
          <w:color w:val="231F20"/>
          <w:spacing w:val="-11"/>
          <w:sz w:val="18"/>
        </w:rPr>
        <w:t> </w:t>
      </w:r>
      <w:r>
        <w:rPr>
          <w:color w:val="231F20"/>
          <w:sz w:val="18"/>
        </w:rPr>
        <w:t>2022.</w:t>
      </w:r>
      <w:r>
        <w:rPr>
          <w:color w:val="231F20"/>
          <w:spacing w:val="-11"/>
          <w:sz w:val="18"/>
        </w:rPr>
        <w:t> </w:t>
      </w:r>
      <w:r>
        <w:rPr>
          <w:color w:val="231F20"/>
          <w:sz w:val="18"/>
        </w:rPr>
        <w:t>№3-4;</w:t>
      </w:r>
      <w:r>
        <w:rPr>
          <w:color w:val="231F20"/>
          <w:spacing w:val="-11"/>
          <w:sz w:val="18"/>
        </w:rPr>
        <w:t> </w:t>
      </w:r>
      <w:r>
        <w:rPr>
          <w:color w:val="231F20"/>
          <w:sz w:val="18"/>
        </w:rPr>
        <w:t>Анненкова</w:t>
      </w:r>
      <w:r>
        <w:rPr>
          <w:color w:val="231F20"/>
          <w:spacing w:val="-11"/>
          <w:sz w:val="18"/>
        </w:rPr>
        <w:t> </w:t>
      </w:r>
      <w:r>
        <w:rPr>
          <w:color w:val="231F20"/>
          <w:sz w:val="18"/>
        </w:rPr>
        <w:t>А.М.</w:t>
      </w:r>
      <w:r>
        <w:rPr>
          <w:color w:val="231F20"/>
          <w:spacing w:val="-10"/>
          <w:sz w:val="18"/>
        </w:rPr>
        <w:t> </w:t>
      </w:r>
      <w:r>
        <w:rPr>
          <w:color w:val="231F20"/>
          <w:sz w:val="18"/>
        </w:rPr>
        <w:t>Анализ</w:t>
      </w:r>
      <w:r>
        <w:rPr>
          <w:color w:val="231F20"/>
          <w:spacing w:val="-11"/>
          <w:sz w:val="18"/>
        </w:rPr>
        <w:t> </w:t>
      </w:r>
      <w:r>
        <w:rPr>
          <w:color w:val="231F20"/>
          <w:sz w:val="18"/>
        </w:rPr>
        <w:t>учебников</w:t>
      </w:r>
      <w:r>
        <w:rPr>
          <w:color w:val="231F20"/>
          <w:spacing w:val="-11"/>
          <w:sz w:val="18"/>
        </w:rPr>
        <w:t> </w:t>
      </w:r>
      <w:r>
        <w:rPr>
          <w:color w:val="231F20"/>
          <w:sz w:val="18"/>
        </w:rPr>
        <w:t>начальной</w:t>
      </w:r>
      <w:r>
        <w:rPr>
          <w:color w:val="231F20"/>
          <w:spacing w:val="-11"/>
          <w:sz w:val="18"/>
        </w:rPr>
        <w:t> </w:t>
      </w:r>
      <w:r>
        <w:rPr>
          <w:color w:val="231F20"/>
          <w:sz w:val="18"/>
        </w:rPr>
        <w:t>школы</w:t>
      </w:r>
      <w:r>
        <w:rPr>
          <w:color w:val="231F20"/>
          <w:spacing w:val="-11"/>
          <w:sz w:val="18"/>
        </w:rPr>
        <w:t> </w:t>
      </w:r>
      <w:r>
        <w:rPr>
          <w:color w:val="231F20"/>
          <w:sz w:val="18"/>
        </w:rPr>
        <w:t>с</w:t>
      </w:r>
      <w:r>
        <w:rPr>
          <w:color w:val="231F20"/>
          <w:spacing w:val="-11"/>
          <w:sz w:val="18"/>
        </w:rPr>
        <w:t> </w:t>
      </w:r>
      <w:r>
        <w:rPr>
          <w:color w:val="231F20"/>
          <w:sz w:val="18"/>
        </w:rPr>
        <w:t>точ- ки зрения потенциала для развития экологической грамотности // Исследователь/ Researcher. 2022. №3-4</w:t>
      </w:r>
    </w:p>
    <w:p>
      <w:pPr>
        <w:pStyle w:val="ListParagraph"/>
        <w:numPr>
          <w:ilvl w:val="0"/>
          <w:numId w:val="160"/>
        </w:numPr>
        <w:tabs>
          <w:tab w:pos="706" w:val="left" w:leader="none"/>
          <w:tab w:pos="708" w:val="left" w:leader="none"/>
        </w:tabs>
        <w:spacing w:line="242" w:lineRule="auto" w:before="0" w:after="0"/>
        <w:ind w:left="708" w:right="423" w:hanging="284"/>
        <w:jc w:val="both"/>
        <w:rPr>
          <w:sz w:val="18"/>
        </w:rPr>
      </w:pPr>
      <w:r>
        <w:rPr>
          <w:color w:val="231F20"/>
          <w:sz w:val="18"/>
        </w:rPr>
        <w:t>Солонович</w:t>
      </w:r>
      <w:r>
        <w:rPr>
          <w:color w:val="231F20"/>
          <w:spacing w:val="-2"/>
          <w:sz w:val="18"/>
        </w:rPr>
        <w:t> </w:t>
      </w:r>
      <w:r>
        <w:rPr>
          <w:color w:val="231F20"/>
          <w:sz w:val="18"/>
        </w:rPr>
        <w:t>М.А.</w:t>
      </w:r>
      <w:r>
        <w:rPr>
          <w:color w:val="231F20"/>
          <w:spacing w:val="-2"/>
          <w:sz w:val="18"/>
        </w:rPr>
        <w:t> </w:t>
      </w:r>
      <w:r>
        <w:rPr>
          <w:color w:val="231F20"/>
          <w:sz w:val="18"/>
        </w:rPr>
        <w:t>Школьное</w:t>
      </w:r>
      <w:r>
        <w:rPr>
          <w:color w:val="231F20"/>
          <w:spacing w:val="-2"/>
          <w:sz w:val="18"/>
        </w:rPr>
        <w:t> </w:t>
      </w:r>
      <w:r>
        <w:rPr>
          <w:color w:val="231F20"/>
          <w:sz w:val="18"/>
        </w:rPr>
        <w:t>краеведение</w:t>
      </w:r>
      <w:r>
        <w:rPr>
          <w:color w:val="231F20"/>
          <w:spacing w:val="-2"/>
          <w:sz w:val="18"/>
        </w:rPr>
        <w:t> </w:t>
      </w:r>
      <w:r>
        <w:rPr>
          <w:color w:val="231F20"/>
          <w:sz w:val="18"/>
        </w:rPr>
        <w:t>в</w:t>
      </w:r>
      <w:r>
        <w:rPr>
          <w:color w:val="231F20"/>
          <w:spacing w:val="-2"/>
          <w:sz w:val="18"/>
        </w:rPr>
        <w:t> </w:t>
      </w:r>
      <w:r>
        <w:rPr>
          <w:color w:val="231F20"/>
          <w:sz w:val="18"/>
        </w:rPr>
        <w:t>отечественной</w:t>
      </w:r>
      <w:r>
        <w:rPr>
          <w:color w:val="231F20"/>
          <w:spacing w:val="-2"/>
          <w:sz w:val="18"/>
        </w:rPr>
        <w:t> </w:t>
      </w:r>
      <w:r>
        <w:rPr>
          <w:color w:val="231F20"/>
          <w:sz w:val="18"/>
        </w:rPr>
        <w:t>педагогике</w:t>
      </w:r>
      <w:r>
        <w:rPr>
          <w:color w:val="231F20"/>
          <w:spacing w:val="-2"/>
          <w:sz w:val="18"/>
        </w:rPr>
        <w:t> </w:t>
      </w:r>
      <w:r>
        <w:rPr>
          <w:color w:val="231F20"/>
          <w:sz w:val="18"/>
        </w:rPr>
        <w:t>1917–1991</w:t>
      </w:r>
      <w:r>
        <w:rPr>
          <w:color w:val="231F20"/>
          <w:spacing w:val="-2"/>
          <w:sz w:val="18"/>
        </w:rPr>
        <w:t> </w:t>
      </w:r>
      <w:r>
        <w:rPr>
          <w:color w:val="231F20"/>
          <w:sz w:val="18"/>
        </w:rPr>
        <w:t>гг. </w:t>
      </w:r>
      <w:r>
        <w:rPr>
          <w:color w:val="231F20"/>
          <w:spacing w:val="-2"/>
          <w:sz w:val="18"/>
        </w:rPr>
        <w:t>как средство формирования у учащихся самостоятельности: Дисс. на соиск. … к.п.н. </w:t>
      </w:r>
      <w:r>
        <w:rPr>
          <w:color w:val="231F20"/>
          <w:sz w:val="18"/>
        </w:rPr>
        <w:t>Пятигорск, 2009. 159 с.</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z w:val="18"/>
        </w:rPr>
        <w:t>Шалимова Ж.Н. Краеведение: история и современность // Вестн. Моск. междунар. акад. – 2013. – № 6 (6). – С. 112–118.</w:t>
      </w:r>
    </w:p>
    <w:p>
      <w:pPr>
        <w:pStyle w:val="ListParagraph"/>
        <w:numPr>
          <w:ilvl w:val="0"/>
          <w:numId w:val="160"/>
        </w:numPr>
        <w:tabs>
          <w:tab w:pos="708" w:val="left" w:leader="none"/>
        </w:tabs>
        <w:spacing w:line="240" w:lineRule="auto" w:before="0" w:after="0"/>
        <w:ind w:left="708" w:right="423" w:hanging="284"/>
        <w:jc w:val="both"/>
        <w:rPr>
          <w:sz w:val="18"/>
        </w:rPr>
      </w:pPr>
      <w:r>
        <w:rPr>
          <w:color w:val="231F20"/>
          <w:sz w:val="18"/>
        </w:rPr>
        <w:t>Шмидт С.О. Краеведение // Большая российская энциклопедия // Электронный ре- сурс: </w:t>
      </w:r>
      <w:hyperlink r:id="rId175">
        <w:r>
          <w:rPr>
            <w:color w:val="2255A6"/>
            <w:sz w:val="18"/>
            <w:u w:val="single" w:color="2255A6"/>
          </w:rPr>
          <w:t>https://bigenc.ru/domestic_history/text/2105499</w:t>
        </w:r>
      </w:hyperlink>
      <w:r>
        <w:rPr>
          <w:color w:val="2255A6"/>
          <w:sz w:val="18"/>
        </w:rPr>
        <w:t> </w:t>
      </w:r>
      <w:r>
        <w:rPr>
          <w:color w:val="231F20"/>
          <w:sz w:val="18"/>
        </w:rPr>
        <w:t>(Дата обращения 25.12.2019)</w:t>
      </w:r>
    </w:p>
    <w:p>
      <w:pPr>
        <w:spacing w:before="87"/>
        <w:ind w:left="425" w:right="0" w:firstLine="0"/>
        <w:jc w:val="left"/>
        <w:rPr>
          <w:b/>
          <w:sz w:val="18"/>
        </w:rPr>
      </w:pPr>
      <w:r>
        <w:rPr>
          <w:b/>
          <w:color w:val="231F20"/>
          <w:spacing w:val="-4"/>
          <w:sz w:val="18"/>
        </w:rPr>
        <w:t>Дополнительная</w:t>
      </w:r>
      <w:r>
        <w:rPr>
          <w:b/>
          <w:color w:val="231F20"/>
          <w:spacing w:val="-5"/>
          <w:sz w:val="18"/>
        </w:rPr>
        <w:t> </w:t>
      </w:r>
      <w:r>
        <w:rPr>
          <w:b/>
          <w:color w:val="231F20"/>
          <w:spacing w:val="-4"/>
          <w:sz w:val="18"/>
        </w:rPr>
        <w:t>литература</w:t>
      </w:r>
      <w:r>
        <w:rPr>
          <w:b/>
          <w:color w:val="231F20"/>
          <w:spacing w:val="-5"/>
          <w:sz w:val="18"/>
        </w:rPr>
        <w:t> </w:t>
      </w:r>
      <w:r>
        <w:rPr>
          <w:b/>
          <w:color w:val="231F20"/>
          <w:spacing w:val="-4"/>
          <w:sz w:val="18"/>
        </w:rPr>
        <w:t>и</w:t>
      </w:r>
      <w:r>
        <w:rPr>
          <w:b/>
          <w:color w:val="231F20"/>
          <w:spacing w:val="-5"/>
          <w:sz w:val="18"/>
        </w:rPr>
        <w:t> </w:t>
      </w:r>
      <w:r>
        <w:rPr>
          <w:b/>
          <w:color w:val="231F20"/>
          <w:spacing w:val="-4"/>
          <w:sz w:val="18"/>
        </w:rPr>
        <w:t>источники</w:t>
      </w:r>
      <w:r>
        <w:rPr>
          <w:b/>
          <w:color w:val="231F20"/>
          <w:spacing w:val="-5"/>
          <w:sz w:val="18"/>
        </w:rPr>
        <w:t> </w:t>
      </w:r>
      <w:r>
        <w:rPr>
          <w:b/>
          <w:color w:val="231F20"/>
          <w:spacing w:val="-4"/>
          <w:sz w:val="18"/>
        </w:rPr>
        <w:t>по современному</w:t>
      </w:r>
      <w:r>
        <w:rPr>
          <w:b/>
          <w:color w:val="231F20"/>
          <w:spacing w:val="-5"/>
          <w:sz w:val="18"/>
        </w:rPr>
        <w:t> </w:t>
      </w:r>
      <w:r>
        <w:rPr>
          <w:b/>
          <w:color w:val="231F20"/>
          <w:spacing w:val="-4"/>
          <w:sz w:val="18"/>
        </w:rPr>
        <w:t>школьному</w:t>
      </w:r>
      <w:r>
        <w:rPr>
          <w:b/>
          <w:color w:val="231F20"/>
          <w:spacing w:val="-5"/>
          <w:sz w:val="18"/>
        </w:rPr>
        <w:t> </w:t>
      </w:r>
      <w:r>
        <w:rPr>
          <w:b/>
          <w:color w:val="231F20"/>
          <w:spacing w:val="-4"/>
          <w:sz w:val="18"/>
        </w:rPr>
        <w:t>краеведению</w:t>
      </w:r>
    </w:p>
    <w:p>
      <w:pPr>
        <w:pStyle w:val="ListParagraph"/>
        <w:numPr>
          <w:ilvl w:val="0"/>
          <w:numId w:val="161"/>
        </w:numPr>
        <w:tabs>
          <w:tab w:pos="708" w:val="left" w:leader="none"/>
        </w:tabs>
        <w:spacing w:line="240" w:lineRule="auto" w:before="1" w:after="0"/>
        <w:ind w:left="708" w:right="0" w:hanging="283"/>
        <w:jc w:val="left"/>
        <w:rPr>
          <w:sz w:val="18"/>
        </w:rPr>
      </w:pPr>
      <w:r>
        <w:rPr>
          <w:color w:val="231F20"/>
          <w:sz w:val="18"/>
        </w:rPr>
        <w:t>Материалы</w:t>
      </w:r>
      <w:r>
        <w:rPr>
          <w:color w:val="231F20"/>
          <w:spacing w:val="-6"/>
          <w:sz w:val="18"/>
        </w:rPr>
        <w:t> </w:t>
      </w:r>
      <w:r>
        <w:rPr>
          <w:color w:val="231F20"/>
          <w:sz w:val="18"/>
        </w:rPr>
        <w:t>журнала</w:t>
      </w:r>
      <w:r>
        <w:rPr>
          <w:color w:val="231F20"/>
          <w:spacing w:val="-5"/>
          <w:sz w:val="18"/>
        </w:rPr>
        <w:t> </w:t>
      </w:r>
      <w:r>
        <w:rPr>
          <w:color w:val="231F20"/>
          <w:sz w:val="18"/>
        </w:rPr>
        <w:t>«Исследователь/Researcher»:</w:t>
      </w:r>
      <w:r>
        <w:rPr>
          <w:color w:val="231F20"/>
          <w:spacing w:val="-6"/>
          <w:sz w:val="18"/>
        </w:rPr>
        <w:t> </w:t>
      </w:r>
      <w:hyperlink r:id="rId176">
        <w:r>
          <w:rPr>
            <w:color w:val="2255A6"/>
            <w:sz w:val="18"/>
            <w:u w:val="single" w:color="2255A6"/>
          </w:rPr>
          <w:t>http://issledovatel-</w:t>
        </w:r>
        <w:r>
          <w:rPr>
            <w:color w:val="2255A6"/>
            <w:spacing w:val="-2"/>
            <w:sz w:val="18"/>
            <w:u w:val="single" w:color="2255A6"/>
          </w:rPr>
          <w:t>researcher.ru/</w:t>
        </w:r>
      </w:hyperlink>
      <w:r>
        <w:rPr>
          <w:color w:val="231F20"/>
          <w:spacing w:val="-2"/>
          <w:sz w:val="18"/>
        </w:rPr>
        <w:t>.</w:t>
      </w:r>
    </w:p>
    <w:p>
      <w:pPr>
        <w:pStyle w:val="ListParagraph"/>
        <w:numPr>
          <w:ilvl w:val="0"/>
          <w:numId w:val="161"/>
        </w:numPr>
        <w:tabs>
          <w:tab w:pos="708" w:val="left" w:leader="none"/>
        </w:tabs>
        <w:spacing w:line="240" w:lineRule="auto" w:before="1" w:after="0"/>
        <w:ind w:left="708" w:right="423" w:hanging="284"/>
        <w:jc w:val="left"/>
        <w:rPr>
          <w:sz w:val="18"/>
        </w:rPr>
      </w:pPr>
      <w:r>
        <w:rPr>
          <w:color w:val="231F20"/>
          <w:sz w:val="18"/>
        </w:rPr>
        <w:t>Библиотека</w:t>
      </w:r>
      <w:r>
        <w:rPr>
          <w:color w:val="231F20"/>
          <w:spacing w:val="38"/>
          <w:sz w:val="18"/>
        </w:rPr>
        <w:t> </w:t>
      </w:r>
      <w:r>
        <w:rPr>
          <w:color w:val="231F20"/>
          <w:sz w:val="18"/>
        </w:rPr>
        <w:t>задач</w:t>
      </w:r>
      <w:r>
        <w:rPr>
          <w:color w:val="231F20"/>
          <w:spacing w:val="38"/>
          <w:sz w:val="18"/>
        </w:rPr>
        <w:t> </w:t>
      </w:r>
      <w:r>
        <w:rPr>
          <w:color w:val="231F20"/>
          <w:sz w:val="18"/>
        </w:rPr>
        <w:t>открытого</w:t>
      </w:r>
      <w:r>
        <w:rPr>
          <w:color w:val="231F20"/>
          <w:spacing w:val="37"/>
          <w:sz w:val="18"/>
        </w:rPr>
        <w:t> </w:t>
      </w:r>
      <w:r>
        <w:rPr>
          <w:color w:val="231F20"/>
          <w:sz w:val="18"/>
        </w:rPr>
        <w:t>типа</w:t>
      </w:r>
      <w:r>
        <w:rPr>
          <w:color w:val="231F20"/>
          <w:spacing w:val="38"/>
          <w:sz w:val="18"/>
        </w:rPr>
        <w:t> </w:t>
      </w:r>
      <w:r>
        <w:rPr>
          <w:color w:val="231F20"/>
          <w:sz w:val="18"/>
        </w:rPr>
        <w:t>«Исследование</w:t>
      </w:r>
      <w:r>
        <w:rPr>
          <w:color w:val="231F20"/>
          <w:spacing w:val="38"/>
          <w:sz w:val="18"/>
        </w:rPr>
        <w:t> </w:t>
      </w:r>
      <w:r>
        <w:rPr>
          <w:color w:val="231F20"/>
          <w:sz w:val="18"/>
        </w:rPr>
        <w:t>онлайн»:</w:t>
      </w:r>
      <w:r>
        <w:rPr>
          <w:color w:val="231F20"/>
          <w:spacing w:val="37"/>
          <w:sz w:val="18"/>
        </w:rPr>
        <w:t> </w:t>
      </w:r>
      <w:hyperlink r:id="rId174">
        <w:r>
          <w:rPr>
            <w:color w:val="2255A6"/>
            <w:sz w:val="18"/>
            <w:u w:val="single" w:color="2255A6"/>
          </w:rPr>
          <w:t>http://katalogzadaniy.</w:t>
        </w:r>
      </w:hyperlink>
      <w:r>
        <w:rPr>
          <w:color w:val="2255A6"/>
          <w:sz w:val="18"/>
        </w:rPr>
        <w:t> </w:t>
      </w:r>
      <w:hyperlink r:id="rId174">
        <w:r>
          <w:rPr>
            <w:color w:val="2255A6"/>
            <w:spacing w:val="-2"/>
            <w:sz w:val="18"/>
            <w:u w:val="single" w:color="2255A6"/>
          </w:rPr>
          <w:t>tilda.ws/park-online</w:t>
        </w:r>
      </w:hyperlink>
      <w:r>
        <w:rPr>
          <w:color w:val="231F20"/>
          <w:spacing w:val="-2"/>
          <w:sz w:val="18"/>
        </w:rPr>
        <w:t>.</w:t>
      </w:r>
    </w:p>
    <w:p>
      <w:pPr>
        <w:pStyle w:val="ListParagraph"/>
        <w:spacing w:after="0" w:line="240" w:lineRule="auto"/>
        <w:jc w:val="left"/>
        <w:rPr>
          <w:sz w:val="18"/>
        </w:rPr>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5"/>
          <w:sz w:val="18"/>
        </w:rPr>
        <w:t> </w:t>
      </w:r>
      <w:r>
        <w:rPr>
          <w:rFonts w:ascii="Georgia" w:hAnsi="Georgia"/>
          <w:color w:val="231F20"/>
          <w:sz w:val="18"/>
        </w:rPr>
        <w:t>Методы</w:t>
      </w:r>
      <w:r>
        <w:rPr>
          <w:rFonts w:ascii="Georgia" w:hAnsi="Georgia"/>
          <w:color w:val="231F20"/>
          <w:spacing w:val="-5"/>
          <w:sz w:val="18"/>
        </w:rPr>
        <w:t> </w:t>
      </w:r>
      <w:r>
        <w:rPr>
          <w:rFonts w:ascii="Georgia" w:hAnsi="Georgia"/>
          <w:color w:val="231F20"/>
          <w:sz w:val="18"/>
        </w:rPr>
        <w:t>воспитательной</w:t>
      </w:r>
      <w:r>
        <w:rPr>
          <w:rFonts w:ascii="Georgia" w:hAnsi="Georgia"/>
          <w:color w:val="231F20"/>
          <w:spacing w:val="-4"/>
          <w:sz w:val="18"/>
        </w:rPr>
        <w:t> </w:t>
      </w:r>
      <w:r>
        <w:rPr>
          <w:rFonts w:ascii="Georgia" w:hAnsi="Georgia"/>
          <w:color w:val="231F20"/>
          <w:sz w:val="18"/>
        </w:rPr>
        <w:t>раюоты</w:t>
      </w:r>
      <w:r>
        <w:rPr>
          <w:rFonts w:ascii="Georgia" w:hAnsi="Georgia"/>
          <w:color w:val="231F20"/>
          <w:spacing w:val="-5"/>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w:t>
      </w:r>
      <w:r>
        <w:rPr>
          <w:rFonts w:ascii="Georgia" w:hAnsi="Georgia"/>
          <w:color w:val="231F20"/>
          <w:spacing w:val="-4"/>
          <w:sz w:val="18"/>
        </w:rPr>
        <w:t> </w:t>
      </w:r>
      <w:r>
        <w:rPr>
          <w:rFonts w:ascii="Georgia" w:hAnsi="Georgia"/>
          <w:color w:val="231F20"/>
          <w:sz w:val="18"/>
        </w:rPr>
        <w:t>во</w:t>
      </w:r>
      <w:r>
        <w:rPr>
          <w:rFonts w:ascii="Georgia" w:hAnsi="Georgia"/>
          <w:color w:val="231F20"/>
          <w:spacing w:val="-5"/>
          <w:sz w:val="18"/>
        </w:rPr>
        <w:t> </w:t>
      </w:r>
      <w:r>
        <w:rPr>
          <w:rFonts w:ascii="Georgia" w:hAnsi="Georgia"/>
          <w:color w:val="231F20"/>
          <w:spacing w:val="-2"/>
          <w:sz w:val="18"/>
        </w:rPr>
        <w:t>взаимодействии...</w:t>
      </w:r>
    </w:p>
    <w:p>
      <w:pPr>
        <w:pStyle w:val="ListParagraph"/>
        <w:numPr>
          <w:ilvl w:val="0"/>
          <w:numId w:val="161"/>
        </w:numPr>
        <w:tabs>
          <w:tab w:pos="708" w:val="left" w:leader="none"/>
        </w:tabs>
        <w:spacing w:line="240" w:lineRule="auto" w:before="117" w:after="0"/>
        <w:ind w:left="708" w:right="0" w:hanging="283"/>
        <w:jc w:val="left"/>
        <w:rPr>
          <w:sz w:val="18"/>
        </w:rPr>
      </w:pPr>
      <w:r>
        <w:rPr>
          <w:color w:val="231F20"/>
          <w:sz w:val="18"/>
        </w:rPr>
        <w:t>Видеожурнал</w:t>
      </w:r>
      <w:r>
        <w:rPr>
          <w:color w:val="231F20"/>
          <w:spacing w:val="-10"/>
          <w:sz w:val="18"/>
        </w:rPr>
        <w:t> </w:t>
      </w:r>
      <w:r>
        <w:rPr>
          <w:color w:val="231F20"/>
          <w:sz w:val="18"/>
        </w:rPr>
        <w:t>«Говорю</w:t>
      </w:r>
      <w:r>
        <w:rPr>
          <w:color w:val="231F20"/>
          <w:spacing w:val="-10"/>
          <w:sz w:val="18"/>
        </w:rPr>
        <w:t> </w:t>
      </w:r>
      <w:r>
        <w:rPr>
          <w:color w:val="231F20"/>
          <w:sz w:val="18"/>
        </w:rPr>
        <w:t>как</w:t>
      </w:r>
      <w:r>
        <w:rPr>
          <w:color w:val="231F20"/>
          <w:spacing w:val="-10"/>
          <w:sz w:val="18"/>
        </w:rPr>
        <w:t> </w:t>
      </w:r>
      <w:r>
        <w:rPr>
          <w:color w:val="231F20"/>
          <w:sz w:val="18"/>
        </w:rPr>
        <w:t>краевед»:</w:t>
      </w:r>
      <w:r>
        <w:rPr>
          <w:color w:val="231F20"/>
          <w:spacing w:val="-9"/>
          <w:sz w:val="18"/>
        </w:rPr>
        <w:t> </w:t>
      </w:r>
      <w:hyperlink r:id="rId177">
        <w:r>
          <w:rPr>
            <w:color w:val="2255A6"/>
            <w:spacing w:val="-2"/>
            <w:sz w:val="18"/>
            <w:u w:val="single" w:color="2255A6"/>
          </w:rPr>
          <w:t>http://kraeved.press/archive</w:t>
        </w:r>
      </w:hyperlink>
      <w:r>
        <w:rPr>
          <w:color w:val="231F20"/>
          <w:spacing w:val="-2"/>
          <w:sz w:val="18"/>
        </w:rPr>
        <w:t>.</w:t>
      </w:r>
    </w:p>
    <w:p>
      <w:pPr>
        <w:pStyle w:val="ListParagraph"/>
        <w:numPr>
          <w:ilvl w:val="0"/>
          <w:numId w:val="161"/>
        </w:numPr>
        <w:tabs>
          <w:tab w:pos="708" w:val="left" w:leader="none"/>
        </w:tabs>
        <w:spacing w:line="240" w:lineRule="auto" w:before="1" w:after="0"/>
        <w:ind w:left="708" w:right="0" w:hanging="283"/>
        <w:jc w:val="left"/>
        <w:rPr>
          <w:sz w:val="18"/>
        </w:rPr>
      </w:pPr>
      <w:r>
        <w:rPr>
          <w:color w:val="231F20"/>
          <w:sz w:val="18"/>
        </w:rPr>
        <w:t>Фестиваль</w:t>
      </w:r>
      <w:r>
        <w:rPr>
          <w:color w:val="231F20"/>
          <w:spacing w:val="-6"/>
          <w:sz w:val="18"/>
        </w:rPr>
        <w:t> </w:t>
      </w:r>
      <w:r>
        <w:rPr>
          <w:color w:val="231F20"/>
          <w:sz w:val="18"/>
        </w:rPr>
        <w:t>краеведческих</w:t>
      </w:r>
      <w:r>
        <w:rPr>
          <w:color w:val="231F20"/>
          <w:spacing w:val="-4"/>
          <w:sz w:val="18"/>
        </w:rPr>
        <w:t> </w:t>
      </w:r>
      <w:r>
        <w:rPr>
          <w:color w:val="231F20"/>
          <w:sz w:val="18"/>
        </w:rPr>
        <w:t>объединений</w:t>
      </w:r>
      <w:r>
        <w:rPr>
          <w:color w:val="231F20"/>
          <w:spacing w:val="-4"/>
          <w:sz w:val="18"/>
        </w:rPr>
        <w:t> </w:t>
      </w:r>
      <w:r>
        <w:rPr>
          <w:color w:val="231F20"/>
          <w:sz w:val="18"/>
        </w:rPr>
        <w:t>«Краефест»:</w:t>
      </w:r>
      <w:r>
        <w:rPr>
          <w:color w:val="231F20"/>
          <w:spacing w:val="-3"/>
          <w:sz w:val="18"/>
        </w:rPr>
        <w:t> </w:t>
      </w:r>
      <w:hyperlink r:id="rId178">
        <w:r>
          <w:rPr>
            <w:color w:val="2255A6"/>
            <w:spacing w:val="-2"/>
            <w:sz w:val="18"/>
            <w:u w:val="single" w:color="2255A6"/>
          </w:rPr>
          <w:t>https://kraefest.ru/</w:t>
        </w:r>
      </w:hyperlink>
      <w:r>
        <w:rPr>
          <w:color w:val="231F20"/>
          <w:spacing w:val="-2"/>
          <w:sz w:val="18"/>
        </w:rPr>
        <w:t>.</w:t>
      </w:r>
    </w:p>
    <w:p>
      <w:pPr>
        <w:pStyle w:val="ListParagraph"/>
        <w:numPr>
          <w:ilvl w:val="0"/>
          <w:numId w:val="161"/>
        </w:numPr>
        <w:tabs>
          <w:tab w:pos="708" w:val="left" w:leader="none"/>
        </w:tabs>
        <w:spacing w:line="240" w:lineRule="auto" w:before="1" w:after="0"/>
        <w:ind w:left="708" w:right="0" w:hanging="283"/>
        <w:jc w:val="left"/>
        <w:rPr>
          <w:sz w:val="18"/>
        </w:rPr>
      </w:pPr>
      <w:r>
        <w:rPr>
          <w:color w:val="231F20"/>
          <w:sz w:val="18"/>
        </w:rPr>
        <w:t>Лаборатория</w:t>
      </w:r>
      <w:r>
        <w:rPr>
          <w:color w:val="231F20"/>
          <w:spacing w:val="-10"/>
          <w:sz w:val="18"/>
        </w:rPr>
        <w:t> </w:t>
      </w:r>
      <w:r>
        <w:rPr>
          <w:color w:val="231F20"/>
          <w:sz w:val="18"/>
        </w:rPr>
        <w:t>«Топос.</w:t>
      </w:r>
      <w:r>
        <w:rPr>
          <w:color w:val="231F20"/>
          <w:spacing w:val="-9"/>
          <w:sz w:val="18"/>
        </w:rPr>
        <w:t> </w:t>
      </w:r>
      <w:r>
        <w:rPr>
          <w:color w:val="231F20"/>
          <w:sz w:val="18"/>
        </w:rPr>
        <w:t>Краеведение»:</w:t>
      </w:r>
      <w:r>
        <w:rPr>
          <w:color w:val="231F20"/>
          <w:spacing w:val="-9"/>
          <w:sz w:val="18"/>
        </w:rPr>
        <w:t> </w:t>
      </w:r>
      <w:hyperlink r:id="rId179">
        <w:r>
          <w:rPr>
            <w:color w:val="2255A6"/>
            <w:spacing w:val="-2"/>
            <w:sz w:val="18"/>
            <w:u w:val="single" w:color="2255A6"/>
          </w:rPr>
          <w:t>http://mytopos.ru/</w:t>
        </w:r>
      </w:hyperlink>
      <w:r>
        <w:rPr>
          <w:color w:val="231F20"/>
          <w:spacing w:val="-2"/>
          <w:sz w:val="18"/>
        </w:rPr>
        <w:t>.</w:t>
      </w:r>
    </w:p>
    <w:p>
      <w:pPr>
        <w:pStyle w:val="ListParagraph"/>
        <w:numPr>
          <w:ilvl w:val="0"/>
          <w:numId w:val="161"/>
        </w:numPr>
        <w:tabs>
          <w:tab w:pos="708" w:val="left" w:leader="none"/>
        </w:tabs>
        <w:spacing w:line="240" w:lineRule="auto" w:before="1" w:after="0"/>
        <w:ind w:left="708" w:right="423" w:hanging="284"/>
        <w:jc w:val="left"/>
        <w:rPr>
          <w:sz w:val="18"/>
        </w:rPr>
      </w:pPr>
      <w:r>
        <w:rPr>
          <w:color w:val="231F20"/>
          <w:sz w:val="18"/>
        </w:rPr>
        <w:t>Электронная</w:t>
      </w:r>
      <w:r>
        <w:rPr>
          <w:color w:val="231F20"/>
          <w:spacing w:val="28"/>
          <w:sz w:val="18"/>
        </w:rPr>
        <w:t> </w:t>
      </w:r>
      <w:r>
        <w:rPr>
          <w:color w:val="231F20"/>
          <w:sz w:val="18"/>
        </w:rPr>
        <w:t>энциклопедия</w:t>
      </w:r>
      <w:r>
        <w:rPr>
          <w:color w:val="231F20"/>
          <w:spacing w:val="28"/>
          <w:sz w:val="18"/>
        </w:rPr>
        <w:t> </w:t>
      </w:r>
      <w:r>
        <w:rPr>
          <w:color w:val="231F20"/>
          <w:sz w:val="18"/>
        </w:rPr>
        <w:t>истории</w:t>
      </w:r>
      <w:r>
        <w:rPr>
          <w:color w:val="231F20"/>
          <w:spacing w:val="28"/>
          <w:sz w:val="18"/>
        </w:rPr>
        <w:t> </w:t>
      </w:r>
      <w:r>
        <w:rPr>
          <w:color w:val="231F20"/>
          <w:sz w:val="18"/>
        </w:rPr>
        <w:t>и</w:t>
      </w:r>
      <w:r>
        <w:rPr>
          <w:color w:val="231F20"/>
          <w:spacing w:val="28"/>
          <w:sz w:val="18"/>
        </w:rPr>
        <w:t> </w:t>
      </w:r>
      <w:r>
        <w:rPr>
          <w:color w:val="231F20"/>
          <w:sz w:val="18"/>
        </w:rPr>
        <w:t>культуры</w:t>
      </w:r>
      <w:r>
        <w:rPr>
          <w:color w:val="231F20"/>
          <w:spacing w:val="28"/>
          <w:sz w:val="18"/>
        </w:rPr>
        <w:t> </w:t>
      </w:r>
      <w:r>
        <w:rPr>
          <w:color w:val="231F20"/>
          <w:sz w:val="18"/>
        </w:rPr>
        <w:t>русских</w:t>
      </w:r>
      <w:r>
        <w:rPr>
          <w:color w:val="231F20"/>
          <w:spacing w:val="28"/>
          <w:sz w:val="18"/>
        </w:rPr>
        <w:t> </w:t>
      </w:r>
      <w:r>
        <w:rPr>
          <w:color w:val="231F20"/>
          <w:sz w:val="18"/>
        </w:rPr>
        <w:t>сел</w:t>
      </w:r>
      <w:r>
        <w:rPr>
          <w:color w:val="231F20"/>
          <w:spacing w:val="28"/>
          <w:sz w:val="18"/>
        </w:rPr>
        <w:t> </w:t>
      </w:r>
      <w:r>
        <w:rPr>
          <w:color w:val="231F20"/>
          <w:sz w:val="18"/>
        </w:rPr>
        <w:t>и</w:t>
      </w:r>
      <w:r>
        <w:rPr>
          <w:color w:val="231F20"/>
          <w:spacing w:val="28"/>
          <w:sz w:val="18"/>
        </w:rPr>
        <w:t> </w:t>
      </w:r>
      <w:r>
        <w:rPr>
          <w:color w:val="231F20"/>
          <w:sz w:val="18"/>
        </w:rPr>
        <w:t>деревень:</w:t>
      </w:r>
      <w:r>
        <w:rPr>
          <w:color w:val="231F20"/>
          <w:spacing w:val="28"/>
          <w:sz w:val="18"/>
        </w:rPr>
        <w:t> </w:t>
      </w:r>
      <w:hyperlink r:id="rId180">
        <w:r>
          <w:rPr>
            <w:color w:val="2255A6"/>
            <w:sz w:val="18"/>
            <w:u w:val="single" w:color="2255A6"/>
          </w:rPr>
          <w:t>https://</w:t>
        </w:r>
      </w:hyperlink>
      <w:r>
        <w:rPr>
          <w:color w:val="2255A6"/>
          <w:sz w:val="18"/>
        </w:rPr>
        <w:t> </w:t>
      </w:r>
      <w:hyperlink r:id="rId180">
        <w:r>
          <w:rPr>
            <w:color w:val="2255A6"/>
            <w:spacing w:val="-2"/>
            <w:sz w:val="18"/>
            <w:u w:val="single" w:color="2255A6"/>
          </w:rPr>
          <w:t>derevni-sela.ru/</w:t>
        </w:r>
      </w:hyperlink>
      <w:r>
        <w:rPr>
          <w:color w:val="231F20"/>
          <w:spacing w:val="-2"/>
          <w:sz w:val="18"/>
        </w:rPr>
        <w:t>.</w:t>
      </w:r>
    </w:p>
    <w:p>
      <w:pPr>
        <w:pStyle w:val="ListParagraph"/>
        <w:numPr>
          <w:ilvl w:val="0"/>
          <w:numId w:val="161"/>
        </w:numPr>
        <w:tabs>
          <w:tab w:pos="708" w:val="left" w:leader="none"/>
        </w:tabs>
        <w:spacing w:line="240" w:lineRule="auto" w:before="2" w:after="0"/>
        <w:ind w:left="708" w:right="0" w:hanging="283"/>
        <w:jc w:val="left"/>
        <w:rPr>
          <w:sz w:val="18"/>
        </w:rPr>
      </w:pPr>
      <w:r>
        <w:rPr>
          <w:color w:val="231F20"/>
          <w:spacing w:val="-2"/>
          <w:sz w:val="18"/>
        </w:rPr>
        <w:t>Международная</w:t>
      </w:r>
      <w:r>
        <w:rPr>
          <w:color w:val="231F20"/>
          <w:spacing w:val="9"/>
          <w:sz w:val="18"/>
        </w:rPr>
        <w:t> </w:t>
      </w:r>
      <w:r>
        <w:rPr>
          <w:color w:val="231F20"/>
          <w:spacing w:val="-2"/>
          <w:sz w:val="18"/>
        </w:rPr>
        <w:t>исследовательская</w:t>
      </w:r>
      <w:r>
        <w:rPr>
          <w:color w:val="231F20"/>
          <w:spacing w:val="11"/>
          <w:sz w:val="18"/>
        </w:rPr>
        <w:t> </w:t>
      </w:r>
      <w:r>
        <w:rPr>
          <w:color w:val="231F20"/>
          <w:spacing w:val="-2"/>
          <w:sz w:val="18"/>
        </w:rPr>
        <w:t>школа:</w:t>
      </w:r>
      <w:r>
        <w:rPr>
          <w:color w:val="231F20"/>
          <w:spacing w:val="11"/>
          <w:sz w:val="18"/>
        </w:rPr>
        <w:t> </w:t>
      </w:r>
      <w:hyperlink r:id="rId181">
        <w:r>
          <w:rPr>
            <w:color w:val="2255A6"/>
            <w:spacing w:val="-2"/>
            <w:sz w:val="18"/>
            <w:u w:val="single" w:color="2255A6"/>
          </w:rPr>
          <w:t>https://irschool.org/</w:t>
        </w:r>
      </w:hyperlink>
      <w:r>
        <w:rPr>
          <w:color w:val="231F20"/>
          <w:spacing w:val="-2"/>
          <w:sz w:val="18"/>
        </w:rPr>
        <w:t>.</w:t>
      </w:r>
    </w:p>
    <w:p>
      <w:pPr>
        <w:pStyle w:val="ListParagraph"/>
        <w:numPr>
          <w:ilvl w:val="0"/>
          <w:numId w:val="161"/>
        </w:numPr>
        <w:tabs>
          <w:tab w:pos="708" w:val="left" w:leader="none"/>
        </w:tabs>
        <w:spacing w:line="240" w:lineRule="auto" w:before="1" w:after="0"/>
        <w:ind w:left="708" w:right="423" w:hanging="284"/>
        <w:jc w:val="left"/>
        <w:rPr>
          <w:sz w:val="18"/>
        </w:rPr>
      </w:pPr>
      <w:r>
        <w:rPr>
          <w:color w:val="231F20"/>
          <w:sz w:val="18"/>
        </w:rPr>
        <w:t>Проект</w:t>
      </w:r>
      <w:r>
        <w:rPr>
          <w:color w:val="231F20"/>
          <w:spacing w:val="80"/>
          <w:sz w:val="18"/>
        </w:rPr>
        <w:t> </w:t>
      </w:r>
      <w:r>
        <w:rPr>
          <w:color w:val="231F20"/>
          <w:sz w:val="18"/>
        </w:rPr>
        <w:t>образовательного</w:t>
      </w:r>
      <w:r>
        <w:rPr>
          <w:color w:val="231F20"/>
          <w:spacing w:val="80"/>
          <w:sz w:val="18"/>
        </w:rPr>
        <w:t> </w:t>
      </w:r>
      <w:r>
        <w:rPr>
          <w:color w:val="231F20"/>
          <w:sz w:val="18"/>
        </w:rPr>
        <w:t>туризма</w:t>
      </w:r>
      <w:r>
        <w:rPr>
          <w:color w:val="231F20"/>
          <w:spacing w:val="80"/>
          <w:sz w:val="18"/>
        </w:rPr>
        <w:t> </w:t>
      </w:r>
      <w:r>
        <w:rPr>
          <w:color w:val="231F20"/>
          <w:sz w:val="18"/>
        </w:rPr>
        <w:t>«Город</w:t>
      </w:r>
      <w:r>
        <w:rPr>
          <w:color w:val="231F20"/>
          <w:spacing w:val="80"/>
          <w:sz w:val="18"/>
        </w:rPr>
        <w:t> </w:t>
      </w:r>
      <w:r>
        <w:rPr>
          <w:color w:val="231F20"/>
          <w:sz w:val="18"/>
        </w:rPr>
        <w:t>открытий»:</w:t>
      </w:r>
      <w:r>
        <w:rPr>
          <w:color w:val="231F20"/>
          <w:spacing w:val="80"/>
          <w:sz w:val="18"/>
        </w:rPr>
        <w:t> </w:t>
      </w:r>
      <w:hyperlink r:id="rId182">
        <w:r>
          <w:rPr>
            <w:color w:val="2255A6"/>
            <w:sz w:val="18"/>
            <w:u w:val="single" w:color="2255A6"/>
          </w:rPr>
          <w:t>https://cityofdiscoveries.</w:t>
        </w:r>
      </w:hyperlink>
      <w:r>
        <w:rPr>
          <w:color w:val="2255A6"/>
          <w:sz w:val="18"/>
        </w:rPr>
        <w:t> </w:t>
      </w:r>
      <w:hyperlink r:id="rId182">
        <w:r>
          <w:rPr>
            <w:color w:val="2255A6"/>
            <w:spacing w:val="-2"/>
            <w:sz w:val="18"/>
            <w:u w:val="single" w:color="2255A6"/>
          </w:rPr>
          <w:t>moscow/</w:t>
        </w:r>
      </w:hyperlink>
      <w:r>
        <w:rPr>
          <w:color w:val="231F20"/>
          <w:spacing w:val="-2"/>
          <w:sz w:val="18"/>
        </w:rPr>
        <w:t>.</w:t>
      </w:r>
    </w:p>
    <w:p>
      <w:pPr>
        <w:pStyle w:val="ListParagraph"/>
        <w:numPr>
          <w:ilvl w:val="0"/>
          <w:numId w:val="161"/>
        </w:numPr>
        <w:tabs>
          <w:tab w:pos="708" w:val="left" w:leader="none"/>
        </w:tabs>
        <w:spacing w:line="240" w:lineRule="auto" w:before="2" w:after="0"/>
        <w:ind w:left="708" w:right="0" w:hanging="283"/>
        <w:jc w:val="left"/>
        <w:rPr>
          <w:sz w:val="18"/>
        </w:rPr>
      </w:pPr>
      <w:r>
        <w:rPr>
          <w:color w:val="231F20"/>
          <w:sz w:val="18"/>
        </w:rPr>
        <w:t>Программа</w:t>
      </w:r>
      <w:r>
        <w:rPr>
          <w:color w:val="231F20"/>
          <w:spacing w:val="-2"/>
          <w:sz w:val="18"/>
        </w:rPr>
        <w:t> </w:t>
      </w:r>
      <w:r>
        <w:rPr>
          <w:color w:val="231F20"/>
          <w:sz w:val="18"/>
        </w:rPr>
        <w:t>«Дежурный</w:t>
      </w:r>
      <w:r>
        <w:rPr>
          <w:color w:val="231F20"/>
          <w:spacing w:val="-3"/>
          <w:sz w:val="18"/>
        </w:rPr>
        <w:t> </w:t>
      </w:r>
      <w:r>
        <w:rPr>
          <w:color w:val="231F20"/>
          <w:sz w:val="18"/>
        </w:rPr>
        <w:t>по</w:t>
      </w:r>
      <w:r>
        <w:rPr>
          <w:color w:val="231F20"/>
          <w:spacing w:val="-2"/>
          <w:sz w:val="18"/>
        </w:rPr>
        <w:t> </w:t>
      </w:r>
      <w:r>
        <w:rPr>
          <w:color w:val="231F20"/>
          <w:sz w:val="18"/>
        </w:rPr>
        <w:t>планете»:</w:t>
      </w:r>
      <w:r>
        <w:rPr>
          <w:color w:val="231F20"/>
          <w:spacing w:val="-2"/>
          <w:sz w:val="18"/>
        </w:rPr>
        <w:t> </w:t>
      </w:r>
      <w:hyperlink r:id="rId183">
        <w:r>
          <w:rPr>
            <w:color w:val="2255A6"/>
            <w:spacing w:val="-2"/>
            <w:sz w:val="18"/>
            <w:u w:val="single" w:color="2255A6"/>
          </w:rPr>
          <w:t>https://www.spacecontest.ru/</w:t>
        </w:r>
      </w:hyperlink>
      <w:r>
        <w:rPr>
          <w:color w:val="231F20"/>
          <w:spacing w:val="-2"/>
          <w:sz w:val="18"/>
        </w:rPr>
        <w:t>.</w:t>
      </w:r>
    </w:p>
    <w:p>
      <w:pPr>
        <w:pStyle w:val="ListParagraph"/>
        <w:numPr>
          <w:ilvl w:val="0"/>
          <w:numId w:val="161"/>
        </w:numPr>
        <w:tabs>
          <w:tab w:pos="708" w:val="left" w:leader="none"/>
        </w:tabs>
        <w:spacing w:line="240" w:lineRule="auto" w:before="1" w:after="0"/>
        <w:ind w:left="708" w:right="0" w:hanging="283"/>
        <w:jc w:val="left"/>
        <w:rPr>
          <w:sz w:val="18"/>
        </w:rPr>
      </w:pPr>
      <w:r>
        <w:rPr>
          <w:color w:val="231F20"/>
          <w:spacing w:val="-2"/>
          <w:sz w:val="18"/>
        </w:rPr>
        <w:t>Программа</w:t>
      </w:r>
      <w:r>
        <w:rPr>
          <w:color w:val="231F20"/>
          <w:spacing w:val="9"/>
          <w:sz w:val="18"/>
        </w:rPr>
        <w:t> </w:t>
      </w:r>
      <w:r>
        <w:rPr>
          <w:color w:val="231F20"/>
          <w:spacing w:val="-2"/>
          <w:sz w:val="18"/>
        </w:rPr>
        <w:t>«Экопатруль»:</w:t>
      </w:r>
      <w:r>
        <w:rPr>
          <w:color w:val="231F20"/>
          <w:spacing w:val="8"/>
          <w:sz w:val="18"/>
        </w:rPr>
        <w:t> </w:t>
      </w:r>
      <w:r>
        <w:rPr>
          <w:color w:val="2255A6"/>
          <w:spacing w:val="-2"/>
          <w:sz w:val="18"/>
          <w:u w:val="single" w:color="2255A6"/>
        </w:rPr>
        <w:t>https://экологическийпатруль.рф</w:t>
      </w:r>
      <w:r>
        <w:rPr>
          <w:color w:val="231F20"/>
          <w:spacing w:val="-2"/>
          <w:sz w:val="18"/>
        </w:rPr>
        <w:t>.</w:t>
      </w:r>
    </w:p>
    <w:p>
      <w:pPr>
        <w:pStyle w:val="ListParagraph"/>
        <w:numPr>
          <w:ilvl w:val="0"/>
          <w:numId w:val="161"/>
        </w:numPr>
        <w:tabs>
          <w:tab w:pos="708" w:val="left" w:leader="none"/>
        </w:tabs>
        <w:spacing w:line="206" w:lineRule="exact" w:before="1" w:after="0"/>
        <w:ind w:left="708" w:right="0" w:hanging="283"/>
        <w:jc w:val="left"/>
        <w:rPr>
          <w:sz w:val="18"/>
        </w:rPr>
      </w:pPr>
      <w:r>
        <w:rPr>
          <w:color w:val="231F20"/>
          <w:sz w:val="18"/>
        </w:rPr>
        <w:t>Конференция</w:t>
      </w:r>
      <w:r>
        <w:rPr>
          <w:color w:val="231F20"/>
          <w:spacing w:val="-12"/>
          <w:sz w:val="18"/>
        </w:rPr>
        <w:t> </w:t>
      </w:r>
      <w:r>
        <w:rPr>
          <w:color w:val="231F20"/>
          <w:sz w:val="18"/>
        </w:rPr>
        <w:t>про</w:t>
      </w:r>
      <w:r>
        <w:rPr>
          <w:color w:val="231F20"/>
          <w:spacing w:val="-9"/>
          <w:sz w:val="18"/>
        </w:rPr>
        <w:t> </w:t>
      </w:r>
      <w:r>
        <w:rPr>
          <w:color w:val="231F20"/>
          <w:sz w:val="18"/>
        </w:rPr>
        <w:t>исследовательское</w:t>
      </w:r>
      <w:r>
        <w:rPr>
          <w:color w:val="231F20"/>
          <w:spacing w:val="-9"/>
          <w:sz w:val="18"/>
        </w:rPr>
        <w:t> </w:t>
      </w:r>
      <w:r>
        <w:rPr>
          <w:color w:val="231F20"/>
          <w:sz w:val="18"/>
        </w:rPr>
        <w:t>обучение:</w:t>
      </w:r>
      <w:r>
        <w:rPr>
          <w:color w:val="231F20"/>
          <w:spacing w:val="-10"/>
          <w:sz w:val="18"/>
        </w:rPr>
        <w:t> </w:t>
      </w:r>
      <w:hyperlink r:id="rId184">
        <w:r>
          <w:rPr>
            <w:color w:val="2255A6"/>
            <w:sz w:val="18"/>
            <w:u w:val="single" w:color="2255A6"/>
          </w:rPr>
          <w:t>http://issl-</w:t>
        </w:r>
        <w:r>
          <w:rPr>
            <w:color w:val="2255A6"/>
            <w:spacing w:val="-2"/>
            <w:sz w:val="18"/>
            <w:u w:val="single" w:color="2255A6"/>
          </w:rPr>
          <w:t>konf.ru/</w:t>
        </w:r>
      </w:hyperlink>
      <w:r>
        <w:rPr>
          <w:color w:val="231F20"/>
          <w:spacing w:val="-2"/>
          <w:sz w:val="18"/>
        </w:rPr>
        <w:t>.</w:t>
      </w:r>
    </w:p>
    <w:p>
      <w:pPr>
        <w:pStyle w:val="ListParagraph"/>
        <w:numPr>
          <w:ilvl w:val="0"/>
          <w:numId w:val="161"/>
        </w:numPr>
        <w:tabs>
          <w:tab w:pos="708" w:val="left" w:leader="none"/>
        </w:tabs>
        <w:spacing w:line="206" w:lineRule="exact" w:before="0" w:after="0"/>
        <w:ind w:left="708" w:right="0" w:hanging="283"/>
        <w:jc w:val="left"/>
        <w:rPr>
          <w:sz w:val="18"/>
        </w:rPr>
      </w:pPr>
      <w:r>
        <w:rPr>
          <w:color w:val="231F20"/>
          <w:sz w:val="18"/>
        </w:rPr>
        <w:t>Сборники</w:t>
      </w:r>
      <w:r>
        <w:rPr>
          <w:color w:val="231F20"/>
          <w:spacing w:val="-6"/>
          <w:sz w:val="18"/>
        </w:rPr>
        <w:t> </w:t>
      </w:r>
      <w:r>
        <w:rPr>
          <w:color w:val="231F20"/>
          <w:sz w:val="18"/>
        </w:rPr>
        <w:t>по</w:t>
      </w:r>
      <w:r>
        <w:rPr>
          <w:color w:val="231F20"/>
          <w:spacing w:val="-4"/>
          <w:sz w:val="18"/>
        </w:rPr>
        <w:t> </w:t>
      </w:r>
      <w:r>
        <w:rPr>
          <w:color w:val="231F20"/>
          <w:sz w:val="18"/>
        </w:rPr>
        <w:t>итогам</w:t>
      </w:r>
      <w:r>
        <w:rPr>
          <w:color w:val="231F20"/>
          <w:spacing w:val="-4"/>
          <w:sz w:val="18"/>
        </w:rPr>
        <w:t> </w:t>
      </w:r>
      <w:r>
        <w:rPr>
          <w:color w:val="231F20"/>
          <w:sz w:val="18"/>
        </w:rPr>
        <w:t>конференции:</w:t>
      </w:r>
      <w:r>
        <w:rPr>
          <w:color w:val="231F20"/>
          <w:spacing w:val="-5"/>
          <w:sz w:val="18"/>
        </w:rPr>
        <w:t> </w:t>
      </w:r>
      <w:hyperlink r:id="rId185">
        <w:r>
          <w:rPr>
            <w:color w:val="2255A6"/>
            <w:sz w:val="18"/>
            <w:u w:val="single" w:color="2255A6"/>
          </w:rPr>
          <w:t>http://issl-</w:t>
        </w:r>
        <w:r>
          <w:rPr>
            <w:color w:val="2255A6"/>
            <w:spacing w:val="-2"/>
            <w:sz w:val="18"/>
            <w:u w:val="single" w:color="2255A6"/>
          </w:rPr>
          <w:t>konf.ru/sborniki</w:t>
        </w:r>
      </w:hyperlink>
      <w:r>
        <w:rPr>
          <w:color w:val="231F20"/>
          <w:spacing w:val="-2"/>
          <w:sz w:val="18"/>
        </w:rPr>
        <w:t>.</w:t>
      </w:r>
    </w:p>
    <w:p>
      <w:pPr>
        <w:pStyle w:val="ListParagraph"/>
        <w:numPr>
          <w:ilvl w:val="0"/>
          <w:numId w:val="161"/>
        </w:numPr>
        <w:tabs>
          <w:tab w:pos="708" w:val="left" w:leader="none"/>
        </w:tabs>
        <w:spacing w:line="206" w:lineRule="exact" w:before="0" w:after="0"/>
        <w:ind w:left="708" w:right="0" w:hanging="283"/>
        <w:jc w:val="left"/>
        <w:rPr>
          <w:sz w:val="18"/>
        </w:rPr>
      </w:pPr>
      <w:r>
        <w:rPr>
          <w:color w:val="231F20"/>
          <w:sz w:val="18"/>
        </w:rPr>
        <w:t>Движение</w:t>
      </w:r>
      <w:r>
        <w:rPr>
          <w:color w:val="231F20"/>
          <w:spacing w:val="-12"/>
          <w:sz w:val="18"/>
        </w:rPr>
        <w:t> </w:t>
      </w:r>
      <w:r>
        <w:rPr>
          <w:color w:val="231F20"/>
          <w:sz w:val="18"/>
        </w:rPr>
        <w:t>творческих</w:t>
      </w:r>
      <w:r>
        <w:rPr>
          <w:color w:val="231F20"/>
          <w:spacing w:val="-9"/>
          <w:sz w:val="18"/>
        </w:rPr>
        <w:t> </w:t>
      </w:r>
      <w:r>
        <w:rPr>
          <w:color w:val="231F20"/>
          <w:sz w:val="18"/>
        </w:rPr>
        <w:t>педагогов</w:t>
      </w:r>
      <w:r>
        <w:rPr>
          <w:color w:val="231F20"/>
          <w:spacing w:val="-10"/>
          <w:sz w:val="18"/>
        </w:rPr>
        <w:t> </w:t>
      </w:r>
      <w:r>
        <w:rPr>
          <w:color w:val="231F20"/>
          <w:sz w:val="18"/>
        </w:rPr>
        <w:t>«Исследователь»:</w:t>
      </w:r>
      <w:r>
        <w:rPr>
          <w:color w:val="231F20"/>
          <w:spacing w:val="-10"/>
          <w:sz w:val="18"/>
        </w:rPr>
        <w:t> </w:t>
      </w:r>
      <w:hyperlink r:id="rId186">
        <w:r>
          <w:rPr>
            <w:color w:val="2255A6"/>
            <w:spacing w:val="-2"/>
            <w:sz w:val="18"/>
            <w:u w:val="single" w:color="2255A6"/>
          </w:rPr>
          <w:t>https://issledovatel.pro/</w:t>
        </w:r>
      </w:hyperlink>
      <w:r>
        <w:rPr>
          <w:color w:val="231F20"/>
          <w:spacing w:val="-2"/>
          <w:sz w:val="18"/>
        </w:rPr>
        <w:t>.</w:t>
      </w:r>
    </w:p>
    <w:p>
      <w:pPr>
        <w:pStyle w:val="ListParagraph"/>
        <w:numPr>
          <w:ilvl w:val="0"/>
          <w:numId w:val="161"/>
        </w:numPr>
        <w:tabs>
          <w:tab w:pos="708" w:val="left" w:leader="none"/>
        </w:tabs>
        <w:spacing w:line="240" w:lineRule="auto" w:before="0" w:after="0"/>
        <w:ind w:left="708" w:right="423" w:hanging="284"/>
        <w:jc w:val="both"/>
        <w:rPr>
          <w:sz w:val="18"/>
        </w:rPr>
      </w:pPr>
      <w:r>
        <w:rPr>
          <w:color w:val="231F20"/>
          <w:sz w:val="18"/>
        </w:rPr>
        <w:t>Всероссийский конкурс исследовательских юношеских работ имени В.И. Вернад- ского (для 8-11 классов) и Всероссийской конкурс исследовательских работ «Тро- пой В.И. Вернадского»: </w:t>
      </w:r>
      <w:hyperlink r:id="rId187">
        <w:r>
          <w:rPr>
            <w:color w:val="2255A6"/>
            <w:sz w:val="18"/>
            <w:u w:val="single" w:color="2255A6"/>
          </w:rPr>
          <w:t>https://vernadsky.info/</w:t>
        </w:r>
      </w:hyperlink>
      <w:r>
        <w:rPr>
          <w:color w:val="231F20"/>
          <w:sz w:val="18"/>
        </w:rPr>
        <w:t>.</w:t>
      </w:r>
    </w:p>
    <w:p>
      <w:pPr>
        <w:pStyle w:val="ListParagraph"/>
        <w:numPr>
          <w:ilvl w:val="0"/>
          <w:numId w:val="161"/>
        </w:numPr>
        <w:tabs>
          <w:tab w:pos="708" w:val="left" w:leader="none"/>
        </w:tabs>
        <w:spacing w:line="240" w:lineRule="auto" w:before="0" w:after="0"/>
        <w:ind w:left="708" w:right="423" w:hanging="284"/>
        <w:jc w:val="both"/>
        <w:rPr>
          <w:sz w:val="18"/>
        </w:rPr>
      </w:pPr>
      <w:r>
        <w:rPr>
          <w:color w:val="231F20"/>
          <w:sz w:val="18"/>
        </w:rPr>
        <w:t>Конкурс исследовательских и проектных работ «Высший пилотаж» для старше- классников: </w:t>
      </w:r>
      <w:hyperlink r:id="rId188">
        <w:r>
          <w:rPr>
            <w:color w:val="2255A6"/>
            <w:sz w:val="18"/>
            <w:u w:val="single" w:color="2255A6"/>
          </w:rPr>
          <w:t>https://olymp.hse.ru/projects/</w:t>
        </w:r>
      </w:hyperlink>
      <w:r>
        <w:rPr>
          <w:color w:val="231F20"/>
          <w:sz w:val="18"/>
        </w:rPr>
        <w:t>.</w:t>
      </w:r>
    </w:p>
    <w:p>
      <w:pPr>
        <w:pStyle w:val="ListParagraph"/>
        <w:numPr>
          <w:ilvl w:val="0"/>
          <w:numId w:val="161"/>
        </w:numPr>
        <w:tabs>
          <w:tab w:pos="708" w:val="left" w:leader="none"/>
        </w:tabs>
        <w:spacing w:line="205" w:lineRule="exact" w:before="0" w:after="0"/>
        <w:ind w:left="708" w:right="0" w:hanging="283"/>
        <w:jc w:val="both"/>
        <w:rPr>
          <w:sz w:val="18"/>
        </w:rPr>
      </w:pPr>
      <w:r>
        <w:rPr>
          <w:color w:val="231F20"/>
          <w:sz w:val="18"/>
        </w:rPr>
        <w:t>Менторская</w:t>
      </w:r>
      <w:r>
        <w:rPr>
          <w:color w:val="231F20"/>
          <w:spacing w:val="-11"/>
          <w:sz w:val="18"/>
        </w:rPr>
        <w:t> </w:t>
      </w:r>
      <w:r>
        <w:rPr>
          <w:color w:val="231F20"/>
          <w:sz w:val="18"/>
        </w:rPr>
        <w:t>поддержка</w:t>
      </w:r>
      <w:r>
        <w:rPr>
          <w:color w:val="231F20"/>
          <w:spacing w:val="-8"/>
          <w:sz w:val="18"/>
        </w:rPr>
        <w:t> </w:t>
      </w:r>
      <w:r>
        <w:rPr>
          <w:color w:val="231F20"/>
          <w:sz w:val="18"/>
        </w:rPr>
        <w:t>для</w:t>
      </w:r>
      <w:r>
        <w:rPr>
          <w:color w:val="231F20"/>
          <w:spacing w:val="-9"/>
          <w:sz w:val="18"/>
        </w:rPr>
        <w:t> </w:t>
      </w:r>
      <w:r>
        <w:rPr>
          <w:color w:val="231F20"/>
          <w:sz w:val="18"/>
        </w:rPr>
        <w:t>школьников</w:t>
      </w:r>
      <w:r>
        <w:rPr>
          <w:color w:val="231F20"/>
          <w:spacing w:val="-9"/>
          <w:sz w:val="18"/>
        </w:rPr>
        <w:t> </w:t>
      </w:r>
      <w:r>
        <w:rPr>
          <w:color w:val="231F20"/>
          <w:sz w:val="18"/>
        </w:rPr>
        <w:t>онлайн:</w:t>
      </w:r>
      <w:r>
        <w:rPr>
          <w:color w:val="231F20"/>
          <w:spacing w:val="-9"/>
          <w:sz w:val="18"/>
        </w:rPr>
        <w:t> </w:t>
      </w:r>
      <w:hyperlink r:id="rId189">
        <w:r>
          <w:rPr>
            <w:color w:val="2255A6"/>
            <w:spacing w:val="-2"/>
            <w:sz w:val="18"/>
            <w:u w:val="single" w:color="2255A6"/>
          </w:rPr>
          <w:t>https://olymp.hse.ru/projects/mentor</w:t>
        </w:r>
      </w:hyperlink>
      <w:r>
        <w:rPr>
          <w:color w:val="231F20"/>
          <w:spacing w:val="-2"/>
          <w:sz w:val="18"/>
        </w:rPr>
        <w:t>.</w:t>
      </w:r>
    </w:p>
    <w:p>
      <w:pPr>
        <w:pStyle w:val="ListParagraph"/>
        <w:numPr>
          <w:ilvl w:val="0"/>
          <w:numId w:val="161"/>
        </w:numPr>
        <w:tabs>
          <w:tab w:pos="708" w:val="left" w:leader="none"/>
        </w:tabs>
        <w:spacing w:line="206" w:lineRule="exact" w:before="0" w:after="0"/>
        <w:ind w:left="708" w:right="0" w:hanging="283"/>
        <w:jc w:val="both"/>
        <w:rPr>
          <w:sz w:val="18"/>
        </w:rPr>
      </w:pPr>
      <w:r>
        <w:rPr>
          <w:color w:val="231F20"/>
          <w:sz w:val="18"/>
        </w:rPr>
        <w:t>Вебинары</w:t>
      </w:r>
      <w:r>
        <w:rPr>
          <w:color w:val="231F20"/>
          <w:spacing w:val="-4"/>
          <w:sz w:val="18"/>
        </w:rPr>
        <w:t> </w:t>
      </w:r>
      <w:r>
        <w:rPr>
          <w:color w:val="231F20"/>
          <w:sz w:val="18"/>
        </w:rPr>
        <w:t>по</w:t>
      </w:r>
      <w:r>
        <w:rPr>
          <w:color w:val="231F20"/>
          <w:spacing w:val="-3"/>
          <w:sz w:val="18"/>
        </w:rPr>
        <w:t> </w:t>
      </w:r>
      <w:r>
        <w:rPr>
          <w:color w:val="231F20"/>
          <w:sz w:val="18"/>
        </w:rPr>
        <w:t>направлениям:</w:t>
      </w:r>
      <w:r>
        <w:rPr>
          <w:color w:val="231F20"/>
          <w:spacing w:val="-3"/>
          <w:sz w:val="18"/>
        </w:rPr>
        <w:t> </w:t>
      </w:r>
      <w:hyperlink r:id="rId190">
        <w:r>
          <w:rPr>
            <w:color w:val="2255A6"/>
            <w:spacing w:val="-2"/>
            <w:sz w:val="18"/>
            <w:u w:val="single" w:color="2255A6"/>
          </w:rPr>
          <w:t>https://olymp.hse.ru/projects/webinars</w:t>
        </w:r>
      </w:hyperlink>
      <w:r>
        <w:rPr>
          <w:color w:val="231F20"/>
          <w:spacing w:val="-2"/>
          <w:sz w:val="18"/>
        </w:rPr>
        <w:t>.</w:t>
      </w:r>
    </w:p>
    <w:p>
      <w:pPr>
        <w:pStyle w:val="ListParagraph"/>
        <w:numPr>
          <w:ilvl w:val="0"/>
          <w:numId w:val="161"/>
        </w:numPr>
        <w:tabs>
          <w:tab w:pos="708" w:val="left" w:leader="none"/>
        </w:tabs>
        <w:spacing w:line="240" w:lineRule="auto" w:before="0" w:after="0"/>
        <w:ind w:left="708" w:right="423" w:hanging="284"/>
        <w:jc w:val="both"/>
        <w:rPr>
          <w:sz w:val="18"/>
        </w:rPr>
      </w:pPr>
      <w:r>
        <w:rPr>
          <w:color w:val="231F20"/>
          <w:sz w:val="18"/>
        </w:rPr>
        <w:t>Методические материалы лицея ВШЭ по исследовательской и проектной деятель- ности: </w:t>
      </w:r>
      <w:hyperlink r:id="rId191">
        <w:r>
          <w:rPr>
            <w:color w:val="2255A6"/>
            <w:sz w:val="18"/>
            <w:u w:val="single" w:color="2255A6"/>
          </w:rPr>
          <w:t>https://school.hse.ru/nis/</w:t>
        </w:r>
      </w:hyperlink>
      <w:r>
        <w:rPr>
          <w:color w:val="231F20"/>
          <w:sz w:val="18"/>
        </w:rPr>
        <w:t>.</w:t>
      </w:r>
    </w:p>
    <w:p>
      <w:pPr>
        <w:pStyle w:val="ListParagraph"/>
        <w:numPr>
          <w:ilvl w:val="0"/>
          <w:numId w:val="161"/>
        </w:numPr>
        <w:tabs>
          <w:tab w:pos="708" w:val="left" w:leader="none"/>
        </w:tabs>
        <w:spacing w:line="205" w:lineRule="exact" w:before="0" w:after="0"/>
        <w:ind w:left="708" w:right="0" w:hanging="283"/>
        <w:jc w:val="both"/>
        <w:rPr>
          <w:sz w:val="18"/>
        </w:rPr>
      </w:pPr>
      <w:r>
        <w:rPr>
          <w:color w:val="231F20"/>
          <w:spacing w:val="-2"/>
          <w:sz w:val="18"/>
        </w:rPr>
        <w:t>Исследовательский</w:t>
      </w:r>
      <w:r>
        <w:rPr>
          <w:color w:val="231F20"/>
          <w:spacing w:val="7"/>
          <w:sz w:val="18"/>
        </w:rPr>
        <w:t> </w:t>
      </w:r>
      <w:r>
        <w:rPr>
          <w:color w:val="231F20"/>
          <w:spacing w:val="-2"/>
          <w:sz w:val="18"/>
        </w:rPr>
        <w:t>центр</w:t>
      </w:r>
      <w:r>
        <w:rPr>
          <w:color w:val="231F20"/>
          <w:spacing w:val="12"/>
          <w:sz w:val="18"/>
        </w:rPr>
        <w:t> </w:t>
      </w:r>
      <w:r>
        <w:rPr>
          <w:color w:val="231F20"/>
          <w:spacing w:val="-2"/>
          <w:sz w:val="18"/>
        </w:rPr>
        <w:t>«Точка</w:t>
      </w:r>
      <w:r>
        <w:rPr>
          <w:color w:val="231F20"/>
          <w:spacing w:val="11"/>
          <w:sz w:val="18"/>
        </w:rPr>
        <w:t> </w:t>
      </w:r>
      <w:r>
        <w:rPr>
          <w:color w:val="231F20"/>
          <w:spacing w:val="-2"/>
          <w:sz w:val="18"/>
        </w:rPr>
        <w:t>варения»:</w:t>
      </w:r>
      <w:r>
        <w:rPr>
          <w:color w:val="231F20"/>
          <w:spacing w:val="10"/>
          <w:sz w:val="18"/>
        </w:rPr>
        <w:t> </w:t>
      </w:r>
      <w:r>
        <w:rPr>
          <w:color w:val="2255A6"/>
          <w:spacing w:val="-2"/>
          <w:sz w:val="18"/>
          <w:u w:val="single" w:color="2255A6"/>
        </w:rPr>
        <w:t>http://точка-варения.рф</w:t>
      </w:r>
      <w:r>
        <w:rPr>
          <w:color w:val="231F20"/>
          <w:spacing w:val="-2"/>
          <w:sz w:val="18"/>
        </w:rPr>
        <w:t>.</w:t>
      </w:r>
    </w:p>
    <w:p>
      <w:pPr>
        <w:pStyle w:val="ListParagraph"/>
        <w:numPr>
          <w:ilvl w:val="0"/>
          <w:numId w:val="161"/>
        </w:numPr>
        <w:tabs>
          <w:tab w:pos="708" w:val="left" w:leader="none"/>
        </w:tabs>
        <w:spacing w:line="240" w:lineRule="auto" w:before="0" w:after="0"/>
        <w:ind w:left="708" w:right="423" w:hanging="284"/>
        <w:jc w:val="both"/>
        <w:rPr>
          <w:sz w:val="18"/>
        </w:rPr>
      </w:pPr>
      <w:r>
        <w:rPr>
          <w:color w:val="231F20"/>
          <w:sz w:val="18"/>
        </w:rPr>
        <w:t>Платформа «Реактор» – марафон «Открываем мир» (мероприятие завершено, но видеозадания и материалы к ним доступны): </w:t>
      </w:r>
      <w:hyperlink r:id="rId192">
        <w:r>
          <w:rPr>
            <w:color w:val="2255A6"/>
            <w:sz w:val="18"/>
            <w:u w:val="single" w:color="2255A6"/>
          </w:rPr>
          <w:t>https://reactor.su/ru/event/176</w:t>
        </w:r>
      </w:hyperlink>
      <w:r>
        <w:rPr>
          <w:color w:val="231F20"/>
          <w:sz w:val="18"/>
        </w:rPr>
        <w:t>.</w:t>
      </w:r>
    </w:p>
    <w:p>
      <w:pPr>
        <w:pStyle w:val="ListParagraph"/>
        <w:numPr>
          <w:ilvl w:val="0"/>
          <w:numId w:val="161"/>
        </w:numPr>
        <w:tabs>
          <w:tab w:pos="708" w:val="left" w:leader="none"/>
        </w:tabs>
        <w:spacing w:line="240" w:lineRule="auto" w:before="0" w:after="0"/>
        <w:ind w:left="708" w:right="423" w:hanging="284"/>
        <w:jc w:val="both"/>
        <w:rPr>
          <w:sz w:val="18"/>
        </w:rPr>
      </w:pPr>
      <w:r>
        <w:rPr>
          <w:color w:val="231F20"/>
          <w:sz w:val="18"/>
        </w:rPr>
        <w:t>Зачем исследовательская деятельность современным детям: </w:t>
      </w:r>
      <w:hyperlink r:id="rId193">
        <w:r>
          <w:rPr>
            <w:color w:val="2255A6"/>
            <w:sz w:val="18"/>
            <w:u w:val="single" w:color="2255A6"/>
          </w:rPr>
          <w:t>https://youtu.be/-</w:t>
        </w:r>
      </w:hyperlink>
      <w:r>
        <w:rPr>
          <w:color w:val="2255A6"/>
          <w:sz w:val="18"/>
        </w:rPr>
        <w:t> </w:t>
      </w:r>
      <w:hyperlink r:id="rId193">
        <w:r>
          <w:rPr>
            <w:color w:val="2255A6"/>
            <w:spacing w:val="-2"/>
            <w:sz w:val="18"/>
            <w:u w:val="single" w:color="2255A6"/>
          </w:rPr>
          <w:t>6nuAW8ZJLk</w:t>
        </w:r>
      </w:hyperlink>
      <w:r>
        <w:rPr>
          <w:color w:val="231F20"/>
          <w:spacing w:val="-2"/>
          <w:sz w:val="18"/>
        </w:rPr>
        <w:t>.</w:t>
      </w:r>
    </w:p>
    <w:p>
      <w:pPr>
        <w:pStyle w:val="ListParagraph"/>
        <w:numPr>
          <w:ilvl w:val="0"/>
          <w:numId w:val="161"/>
        </w:numPr>
        <w:tabs>
          <w:tab w:pos="708" w:val="left" w:leader="none"/>
        </w:tabs>
        <w:spacing w:line="240" w:lineRule="auto" w:before="0" w:after="0"/>
        <w:ind w:left="708" w:right="423" w:hanging="284"/>
        <w:jc w:val="left"/>
        <w:rPr>
          <w:sz w:val="18"/>
        </w:rPr>
      </w:pPr>
      <w:r>
        <w:rPr>
          <w:color w:val="231F20"/>
          <w:sz w:val="18"/>
        </w:rPr>
        <w:t>Фильмы про исследовательские экспедиции со школьниками: </w:t>
      </w:r>
      <w:hyperlink r:id="rId194">
        <w:r>
          <w:rPr>
            <w:color w:val="2255A6"/>
            <w:sz w:val="18"/>
            <w:u w:val="single" w:color="2255A6"/>
          </w:rPr>
          <w:t>https://www.youtube.</w:t>
        </w:r>
      </w:hyperlink>
      <w:r>
        <w:rPr>
          <w:color w:val="2255A6"/>
          <w:sz w:val="18"/>
        </w:rPr>
        <w:t> </w:t>
      </w:r>
      <w:hyperlink r:id="rId194">
        <w:r>
          <w:rPr>
            <w:color w:val="2255A6"/>
            <w:spacing w:val="-2"/>
            <w:sz w:val="18"/>
            <w:u w:val="single" w:color="2255A6"/>
          </w:rPr>
          <w:t>com/playlist?list=PL2UJc3GeAZ8CaFO125nk8jozvgfiNPy2l</w:t>
        </w:r>
      </w:hyperlink>
      <w:r>
        <w:rPr>
          <w:color w:val="231F20"/>
          <w:spacing w:val="-2"/>
          <w:sz w:val="18"/>
        </w:rPr>
        <w:t>.</w:t>
      </w:r>
    </w:p>
    <w:p>
      <w:pPr>
        <w:pStyle w:val="ListParagraph"/>
        <w:numPr>
          <w:ilvl w:val="0"/>
          <w:numId w:val="161"/>
        </w:numPr>
        <w:tabs>
          <w:tab w:pos="708" w:val="left" w:leader="none"/>
        </w:tabs>
        <w:spacing w:line="240" w:lineRule="auto" w:before="0" w:after="0"/>
        <w:ind w:left="708" w:right="423" w:hanging="284"/>
        <w:jc w:val="left"/>
        <w:rPr>
          <w:sz w:val="18"/>
        </w:rPr>
      </w:pPr>
      <w:r>
        <w:rPr>
          <w:color w:val="231F20"/>
          <w:sz w:val="18"/>
        </w:rPr>
        <w:t>Глобальная</w:t>
      </w:r>
      <w:r>
        <w:rPr>
          <w:color w:val="231F20"/>
          <w:spacing w:val="68"/>
          <w:sz w:val="18"/>
        </w:rPr>
        <w:t> </w:t>
      </w:r>
      <w:r>
        <w:rPr>
          <w:color w:val="231F20"/>
          <w:sz w:val="18"/>
        </w:rPr>
        <w:t>школьная</w:t>
      </w:r>
      <w:r>
        <w:rPr>
          <w:color w:val="231F20"/>
          <w:spacing w:val="68"/>
          <w:sz w:val="18"/>
        </w:rPr>
        <w:t> </w:t>
      </w:r>
      <w:r>
        <w:rPr>
          <w:color w:val="231F20"/>
          <w:sz w:val="18"/>
        </w:rPr>
        <w:t>мастерская</w:t>
      </w:r>
      <w:r>
        <w:rPr>
          <w:color w:val="231F20"/>
          <w:spacing w:val="68"/>
          <w:sz w:val="18"/>
        </w:rPr>
        <w:t> </w:t>
      </w:r>
      <w:r>
        <w:rPr>
          <w:color w:val="231F20"/>
          <w:sz w:val="18"/>
        </w:rPr>
        <w:t>«ГлобалЛаб»</w:t>
      </w:r>
      <w:r>
        <w:rPr>
          <w:color w:val="231F20"/>
          <w:spacing w:val="68"/>
          <w:sz w:val="18"/>
        </w:rPr>
        <w:t> </w:t>
      </w:r>
      <w:r>
        <w:rPr>
          <w:color w:val="2255A6"/>
          <w:sz w:val="18"/>
          <w:u w:val="single" w:color="2255A6"/>
        </w:rPr>
        <w:t>https://globallab.org/ru/#.YzKHi-</w:t>
      </w:r>
      <w:r>
        <w:rPr>
          <w:color w:val="2255A6"/>
          <w:sz w:val="18"/>
        </w:rPr>
        <w:t> </w:t>
      </w:r>
      <w:r>
        <w:rPr>
          <w:color w:val="2255A6"/>
          <w:sz w:val="18"/>
          <w:u w:val="single" w:color="2255A6"/>
        </w:rPr>
        <w:t>xByEs</w:t>
      </w:r>
      <w:r>
        <w:rPr>
          <w:color w:val="231F20"/>
          <w:sz w:val="18"/>
        </w:rPr>
        <w:t>. (онлайн-курсы и сопровождение исследовательских и проектных работ).</w:t>
      </w:r>
    </w:p>
    <w:p>
      <w:pPr>
        <w:pStyle w:val="ListParagraph"/>
        <w:spacing w:after="0" w:line="240" w:lineRule="auto"/>
        <w:jc w:val="left"/>
        <w:rPr>
          <w:sz w:val="18"/>
        </w:rPr>
        <w:sectPr>
          <w:pgSz w:w="8400" w:h="11910"/>
          <w:pgMar w:header="0" w:footer="527" w:top="400" w:bottom="740" w:left="425" w:right="425"/>
        </w:sectPr>
      </w:pPr>
    </w:p>
    <w:p>
      <w:pPr>
        <w:spacing w:before="80"/>
        <w:ind w:left="141" w:right="139" w:firstLine="0"/>
        <w:jc w:val="right"/>
        <w:rPr>
          <w:rFonts w:ascii="Georgia" w:hAnsi="Georgia"/>
          <w:sz w:val="18"/>
        </w:rPr>
      </w:pPr>
      <w:bookmarkStart w:name="_bookmark70" w:id="72"/>
      <w:bookmarkEnd w:id="72"/>
      <w:r>
        <w:rPr/>
      </w:r>
      <w:r>
        <w:rPr>
          <w:rFonts w:ascii="Georgia" w:hAnsi="Georgia"/>
          <w:color w:val="231F20"/>
          <w:spacing w:val="-2"/>
          <w:sz w:val="18"/>
        </w:rPr>
        <w:t>Раздел</w:t>
      </w:r>
      <w:r>
        <w:rPr>
          <w:rFonts w:ascii="Georgia" w:hAnsi="Georgia"/>
          <w:color w:val="231F20"/>
          <w:spacing w:val="-5"/>
          <w:sz w:val="18"/>
        </w:rPr>
        <w:t> 4.</w:t>
      </w:r>
    </w:p>
    <w:p>
      <w:pPr>
        <w:numPr>
          <w:ilvl w:val="1"/>
          <w:numId w:val="143"/>
        </w:numPr>
        <w:tabs>
          <w:tab w:pos="1242" w:val="left" w:leader="none"/>
        </w:tabs>
        <w:spacing w:before="109"/>
        <w:ind w:left="1242" w:right="0" w:hanging="350"/>
        <w:jc w:val="left"/>
        <w:rPr>
          <w:b/>
          <w:color w:val="231F20"/>
          <w:sz w:val="20"/>
        </w:rPr>
      </w:pPr>
      <w:r>
        <w:rPr>
          <w:b/>
          <w:color w:val="231F20"/>
          <w:sz w:val="20"/>
        </w:rPr>
        <w:t>Методы</w:t>
      </w:r>
      <w:r>
        <w:rPr>
          <w:b/>
          <w:color w:val="231F20"/>
          <w:spacing w:val="-8"/>
          <w:sz w:val="20"/>
        </w:rPr>
        <w:t> </w:t>
      </w:r>
      <w:r>
        <w:rPr>
          <w:b/>
          <w:color w:val="231F20"/>
          <w:sz w:val="20"/>
        </w:rPr>
        <w:t>учебной</w:t>
      </w:r>
      <w:r>
        <w:rPr>
          <w:b/>
          <w:color w:val="231F20"/>
          <w:spacing w:val="-7"/>
          <w:sz w:val="20"/>
        </w:rPr>
        <w:t> </w:t>
      </w:r>
      <w:r>
        <w:rPr>
          <w:b/>
          <w:color w:val="231F20"/>
          <w:sz w:val="20"/>
        </w:rPr>
        <w:t>работы</w:t>
      </w:r>
      <w:r>
        <w:rPr>
          <w:b/>
          <w:color w:val="231F20"/>
          <w:spacing w:val="-6"/>
          <w:sz w:val="20"/>
        </w:rPr>
        <w:t> </w:t>
      </w:r>
      <w:r>
        <w:rPr>
          <w:b/>
          <w:color w:val="231F20"/>
          <w:sz w:val="20"/>
        </w:rPr>
        <w:t>для</w:t>
      </w:r>
      <w:r>
        <w:rPr>
          <w:b/>
          <w:color w:val="231F20"/>
          <w:spacing w:val="-5"/>
          <w:sz w:val="20"/>
        </w:rPr>
        <w:t> </w:t>
      </w:r>
      <w:r>
        <w:rPr>
          <w:b/>
          <w:color w:val="231F20"/>
          <w:sz w:val="20"/>
        </w:rPr>
        <w:t>адаптации</w:t>
      </w:r>
      <w:r>
        <w:rPr>
          <w:b/>
          <w:color w:val="231F20"/>
          <w:spacing w:val="-7"/>
          <w:sz w:val="20"/>
        </w:rPr>
        <w:t> </w:t>
      </w:r>
      <w:r>
        <w:rPr>
          <w:b/>
          <w:color w:val="231F20"/>
          <w:sz w:val="20"/>
        </w:rPr>
        <w:t>детей</w:t>
      </w:r>
      <w:r>
        <w:rPr>
          <w:b/>
          <w:color w:val="231F20"/>
          <w:spacing w:val="-6"/>
          <w:sz w:val="20"/>
        </w:rPr>
        <w:t> </w:t>
      </w:r>
      <w:r>
        <w:rPr>
          <w:b/>
          <w:color w:val="231F20"/>
          <w:spacing w:val="-2"/>
          <w:sz w:val="20"/>
        </w:rPr>
        <w:t>иностранных</w:t>
      </w:r>
    </w:p>
    <w:p>
      <w:pPr>
        <w:spacing w:line="226" w:lineRule="exact" w:before="0"/>
        <w:ind w:left="786" w:right="0" w:firstLine="0"/>
        <w:jc w:val="left"/>
        <w:rPr>
          <w:b/>
          <w:sz w:val="20"/>
        </w:rPr>
      </w:pPr>
      <w:r>
        <w:rPr>
          <w:b/>
          <w:color w:val="231F20"/>
          <w:sz w:val="20"/>
        </w:rPr>
        <w:t>граждан</w:t>
      </w:r>
      <w:r>
        <w:rPr>
          <w:b/>
          <w:color w:val="231F20"/>
          <w:spacing w:val="-10"/>
          <w:sz w:val="20"/>
        </w:rPr>
        <w:t> </w:t>
      </w:r>
      <w:r>
        <w:rPr>
          <w:b/>
          <w:color w:val="231F20"/>
          <w:sz w:val="20"/>
        </w:rPr>
        <w:t>во</w:t>
      </w:r>
      <w:r>
        <w:rPr>
          <w:b/>
          <w:color w:val="231F20"/>
          <w:spacing w:val="-7"/>
          <w:sz w:val="20"/>
        </w:rPr>
        <w:t> </w:t>
      </w:r>
      <w:r>
        <w:rPr>
          <w:b/>
          <w:color w:val="231F20"/>
          <w:sz w:val="20"/>
        </w:rPr>
        <w:t>взаимодействии</w:t>
      </w:r>
      <w:r>
        <w:rPr>
          <w:b/>
          <w:color w:val="231F20"/>
          <w:spacing w:val="-7"/>
          <w:sz w:val="20"/>
        </w:rPr>
        <w:t> </w:t>
      </w:r>
      <w:r>
        <w:rPr>
          <w:b/>
          <w:color w:val="231F20"/>
          <w:sz w:val="20"/>
        </w:rPr>
        <w:t>педагога</w:t>
      </w:r>
      <w:r>
        <w:rPr>
          <w:b/>
          <w:color w:val="231F20"/>
          <w:spacing w:val="-7"/>
          <w:sz w:val="20"/>
        </w:rPr>
        <w:t> </w:t>
      </w:r>
      <w:r>
        <w:rPr>
          <w:b/>
          <w:color w:val="231F20"/>
          <w:sz w:val="20"/>
        </w:rPr>
        <w:t>с</w:t>
      </w:r>
      <w:r>
        <w:rPr>
          <w:b/>
          <w:color w:val="231F20"/>
          <w:spacing w:val="-7"/>
          <w:sz w:val="20"/>
        </w:rPr>
        <w:t> </w:t>
      </w:r>
      <w:r>
        <w:rPr>
          <w:b/>
          <w:color w:val="231F20"/>
          <w:sz w:val="20"/>
        </w:rPr>
        <w:t>ученическим</w:t>
      </w:r>
      <w:r>
        <w:rPr>
          <w:b/>
          <w:color w:val="231F20"/>
          <w:spacing w:val="-7"/>
          <w:sz w:val="20"/>
        </w:rPr>
        <w:t> </w:t>
      </w:r>
      <w:r>
        <w:rPr>
          <w:b/>
          <w:color w:val="231F20"/>
          <w:spacing w:val="-2"/>
          <w:sz w:val="20"/>
        </w:rPr>
        <w:t>сообществом</w:t>
      </w:r>
    </w:p>
    <w:p>
      <w:pPr>
        <w:numPr>
          <w:ilvl w:val="2"/>
          <w:numId w:val="162"/>
        </w:numPr>
        <w:tabs>
          <w:tab w:pos="2064" w:val="left" w:leader="none"/>
          <w:tab w:pos="2380" w:val="left" w:leader="none"/>
        </w:tabs>
        <w:spacing w:line="235" w:lineRule="auto" w:before="170"/>
        <w:ind w:left="2064" w:right="1879" w:hanging="184"/>
        <w:jc w:val="left"/>
        <w:rPr>
          <w:b/>
          <w:sz w:val="20"/>
        </w:rPr>
      </w:pPr>
      <w:r>
        <w:rPr>
          <w:b/>
          <w:color w:val="231F20"/>
          <w:sz w:val="20"/>
        </w:rPr>
        <w:t>Школьный</w:t>
      </w:r>
      <w:r>
        <w:rPr>
          <w:b/>
          <w:color w:val="231F20"/>
          <w:spacing w:val="-13"/>
          <w:sz w:val="20"/>
        </w:rPr>
        <w:t> </w:t>
      </w:r>
      <w:r>
        <w:rPr>
          <w:b/>
          <w:color w:val="231F20"/>
          <w:sz w:val="20"/>
        </w:rPr>
        <w:t>проект</w:t>
      </w:r>
      <w:r>
        <w:rPr>
          <w:b/>
          <w:color w:val="231F20"/>
          <w:spacing w:val="-12"/>
          <w:sz w:val="20"/>
        </w:rPr>
        <w:t> </w:t>
      </w:r>
      <w:r>
        <w:rPr>
          <w:b/>
          <w:color w:val="231F20"/>
          <w:sz w:val="20"/>
        </w:rPr>
        <w:t>в</w:t>
      </w:r>
      <w:r>
        <w:rPr>
          <w:b/>
          <w:color w:val="231F20"/>
          <w:spacing w:val="-13"/>
          <w:sz w:val="20"/>
        </w:rPr>
        <w:t> </w:t>
      </w:r>
      <w:r>
        <w:rPr>
          <w:b/>
          <w:color w:val="231F20"/>
          <w:sz w:val="20"/>
        </w:rPr>
        <w:t>формировании инклюзивной образовательной среды</w:t>
      </w:r>
    </w:p>
    <w:p>
      <w:pPr>
        <w:spacing w:before="110"/>
        <w:ind w:left="425" w:right="0" w:firstLine="5721"/>
        <w:jc w:val="both"/>
        <w:rPr>
          <w:i/>
          <w:sz w:val="20"/>
        </w:rPr>
      </w:pPr>
      <w:r>
        <w:rPr>
          <w:i/>
          <w:color w:val="231F20"/>
          <w:sz w:val="20"/>
        </w:rPr>
        <w:t>М.В.</w:t>
      </w:r>
      <w:r>
        <w:rPr>
          <w:i/>
          <w:color w:val="231F20"/>
          <w:spacing w:val="-2"/>
          <w:sz w:val="20"/>
        </w:rPr>
        <w:t> Моисеева</w:t>
      </w:r>
    </w:p>
    <w:p>
      <w:pPr>
        <w:pStyle w:val="BodyText"/>
        <w:spacing w:line="235" w:lineRule="auto" w:before="114"/>
      </w:pPr>
      <w:r>
        <w:rPr>
          <w:color w:val="231F20"/>
        </w:rPr>
        <w:t>Школьные проекты уже давно заняли достойное место среди находящихся в ар- сенале педагогов методов</w:t>
      </w:r>
      <w:r>
        <w:rPr>
          <w:color w:val="231F20"/>
          <w:spacing w:val="-1"/>
        </w:rPr>
        <w:t> </w:t>
      </w:r>
      <w:r>
        <w:rPr>
          <w:color w:val="231F20"/>
        </w:rPr>
        <w:t>обучения. Напомним, что метод проектов – это комплекс- ный метод обучения, позволяющий строить учебный процесс исходя из интересов учащихся и дающий им большую свободу действий. При этом учащиеся проявляют самостоятельность в планировании, организации и контроле своей учебно-познава- тельной</w:t>
      </w:r>
      <w:r>
        <w:rPr>
          <w:color w:val="231F20"/>
          <w:spacing w:val="-9"/>
        </w:rPr>
        <w:t> </w:t>
      </w:r>
      <w:r>
        <w:rPr>
          <w:color w:val="231F20"/>
        </w:rPr>
        <w:t>деятельности.</w:t>
      </w:r>
      <w:r>
        <w:rPr>
          <w:color w:val="231F20"/>
          <w:spacing w:val="-9"/>
        </w:rPr>
        <w:t> </w:t>
      </w:r>
      <w:r>
        <w:rPr>
          <w:color w:val="231F20"/>
        </w:rPr>
        <w:t>Главным</w:t>
      </w:r>
      <w:r>
        <w:rPr>
          <w:color w:val="231F20"/>
          <w:spacing w:val="-9"/>
        </w:rPr>
        <w:t> </w:t>
      </w:r>
      <w:r>
        <w:rPr>
          <w:color w:val="231F20"/>
        </w:rPr>
        <w:t>же</w:t>
      </w:r>
      <w:r>
        <w:rPr>
          <w:color w:val="231F20"/>
          <w:spacing w:val="-9"/>
        </w:rPr>
        <w:t> </w:t>
      </w:r>
      <w:r>
        <w:rPr>
          <w:color w:val="231F20"/>
        </w:rPr>
        <w:t>отличием</w:t>
      </w:r>
      <w:r>
        <w:rPr>
          <w:color w:val="231F20"/>
          <w:spacing w:val="-9"/>
        </w:rPr>
        <w:t> </w:t>
      </w:r>
      <w:r>
        <w:rPr>
          <w:color w:val="231F20"/>
        </w:rPr>
        <w:t>метода</w:t>
      </w:r>
      <w:r>
        <w:rPr>
          <w:color w:val="231F20"/>
          <w:spacing w:val="-9"/>
        </w:rPr>
        <w:t> </w:t>
      </w:r>
      <w:r>
        <w:rPr>
          <w:color w:val="231F20"/>
        </w:rPr>
        <w:t>проектов</w:t>
      </w:r>
      <w:r>
        <w:rPr>
          <w:color w:val="231F20"/>
          <w:spacing w:val="-9"/>
        </w:rPr>
        <w:t> </w:t>
      </w:r>
      <w:r>
        <w:rPr>
          <w:color w:val="231F20"/>
        </w:rPr>
        <w:t>от</w:t>
      </w:r>
      <w:r>
        <w:rPr>
          <w:color w:val="231F20"/>
          <w:spacing w:val="-9"/>
        </w:rPr>
        <w:t> </w:t>
      </w:r>
      <w:r>
        <w:rPr>
          <w:color w:val="231F20"/>
        </w:rPr>
        <w:t>прочих</w:t>
      </w:r>
      <w:r>
        <w:rPr>
          <w:color w:val="231F20"/>
          <w:spacing w:val="-9"/>
        </w:rPr>
        <w:t> </w:t>
      </w:r>
      <w:r>
        <w:rPr>
          <w:color w:val="231F20"/>
        </w:rPr>
        <w:t>методов</w:t>
      </w:r>
      <w:r>
        <w:rPr>
          <w:color w:val="231F20"/>
          <w:spacing w:val="-9"/>
        </w:rPr>
        <w:t> </w:t>
      </w:r>
      <w:r>
        <w:rPr>
          <w:color w:val="231F20"/>
        </w:rPr>
        <w:t>об- учения является то, что в результате совместной групповой деятельности учащиеся не просто получают новые знания, а создают учебный продукт, материальный итог совместного</w:t>
      </w:r>
      <w:r>
        <w:rPr>
          <w:color w:val="231F20"/>
          <w:spacing w:val="-2"/>
        </w:rPr>
        <w:t> </w:t>
      </w:r>
      <w:r>
        <w:rPr>
          <w:color w:val="231F20"/>
        </w:rPr>
        <w:t>труда.</w:t>
      </w:r>
      <w:r>
        <w:rPr>
          <w:color w:val="231F20"/>
          <w:spacing w:val="-2"/>
        </w:rPr>
        <w:t> </w:t>
      </w:r>
      <w:r>
        <w:rPr>
          <w:color w:val="231F20"/>
        </w:rPr>
        <w:t>Результаты</w:t>
      </w:r>
      <w:r>
        <w:rPr>
          <w:color w:val="231F20"/>
          <w:spacing w:val="-2"/>
        </w:rPr>
        <w:t> </w:t>
      </w:r>
      <w:r>
        <w:rPr>
          <w:color w:val="231F20"/>
        </w:rPr>
        <w:t>проектов</w:t>
      </w:r>
      <w:r>
        <w:rPr>
          <w:color w:val="231F20"/>
          <w:spacing w:val="-2"/>
        </w:rPr>
        <w:t> </w:t>
      </w:r>
      <w:r>
        <w:rPr>
          <w:color w:val="231F20"/>
        </w:rPr>
        <w:t>должны</w:t>
      </w:r>
      <w:r>
        <w:rPr>
          <w:color w:val="231F20"/>
          <w:spacing w:val="-2"/>
        </w:rPr>
        <w:t> </w:t>
      </w:r>
      <w:r>
        <w:rPr>
          <w:color w:val="231F20"/>
        </w:rPr>
        <w:t>быть</w:t>
      </w:r>
      <w:r>
        <w:rPr>
          <w:color w:val="231F20"/>
          <w:spacing w:val="-2"/>
        </w:rPr>
        <w:t> </w:t>
      </w:r>
      <w:r>
        <w:rPr>
          <w:color w:val="231F20"/>
        </w:rPr>
        <w:t>осязаемыми,</w:t>
      </w:r>
      <w:r>
        <w:rPr>
          <w:color w:val="231F20"/>
          <w:spacing w:val="-2"/>
        </w:rPr>
        <w:t> </w:t>
      </w:r>
      <w:r>
        <w:rPr>
          <w:color w:val="231F20"/>
        </w:rPr>
        <w:t>то</w:t>
      </w:r>
      <w:r>
        <w:rPr>
          <w:color w:val="231F20"/>
          <w:spacing w:val="-2"/>
        </w:rPr>
        <w:t> </w:t>
      </w:r>
      <w:r>
        <w:rPr>
          <w:color w:val="231F20"/>
        </w:rPr>
        <w:t>есть,</w:t>
      </w:r>
      <w:r>
        <w:rPr>
          <w:color w:val="231F20"/>
          <w:spacing w:val="-2"/>
        </w:rPr>
        <w:t> </w:t>
      </w:r>
      <w:r>
        <w:rPr>
          <w:color w:val="231F20"/>
        </w:rPr>
        <w:t>если</w:t>
      </w:r>
      <w:r>
        <w:rPr>
          <w:color w:val="231F20"/>
          <w:spacing w:val="-2"/>
        </w:rPr>
        <w:t> </w:t>
      </w:r>
      <w:r>
        <w:rPr>
          <w:color w:val="231F20"/>
        </w:rPr>
        <w:t>ре- шалась теоретическая проблема, должно последовать ее конкретное решение, если ставилась практическая задача – конкретный результат, готовый к внедрению.</w:t>
      </w:r>
    </w:p>
    <w:p>
      <w:pPr>
        <w:pStyle w:val="BodyText"/>
        <w:spacing w:line="235" w:lineRule="auto" w:before="6"/>
      </w:pPr>
      <w:r>
        <w:rPr>
          <w:color w:val="231F20"/>
        </w:rPr>
        <w:t>Метод</w:t>
      </w:r>
      <w:r>
        <w:rPr>
          <w:color w:val="231F20"/>
          <w:spacing w:val="-13"/>
        </w:rPr>
        <w:t> </w:t>
      </w:r>
      <w:r>
        <w:rPr>
          <w:color w:val="231F20"/>
        </w:rPr>
        <w:t>проектов</w:t>
      </w:r>
      <w:r>
        <w:rPr>
          <w:color w:val="231F20"/>
          <w:spacing w:val="-12"/>
        </w:rPr>
        <w:t> </w:t>
      </w:r>
      <w:r>
        <w:rPr>
          <w:color w:val="231F20"/>
        </w:rPr>
        <w:t>не</w:t>
      </w:r>
      <w:r>
        <w:rPr>
          <w:color w:val="231F20"/>
          <w:spacing w:val="-13"/>
        </w:rPr>
        <w:t> </w:t>
      </w:r>
      <w:r>
        <w:rPr>
          <w:color w:val="231F20"/>
        </w:rPr>
        <w:t>является</w:t>
      </w:r>
      <w:r>
        <w:rPr>
          <w:color w:val="231F20"/>
          <w:spacing w:val="-12"/>
        </w:rPr>
        <w:t> </w:t>
      </w:r>
      <w:r>
        <w:rPr>
          <w:color w:val="231F20"/>
        </w:rPr>
        <w:t>принципиально</w:t>
      </w:r>
      <w:r>
        <w:rPr>
          <w:color w:val="231F20"/>
          <w:spacing w:val="-13"/>
        </w:rPr>
        <w:t> </w:t>
      </w:r>
      <w:r>
        <w:rPr>
          <w:color w:val="231F20"/>
        </w:rPr>
        <w:t>новым</w:t>
      </w:r>
      <w:r>
        <w:rPr>
          <w:color w:val="231F20"/>
          <w:spacing w:val="-12"/>
        </w:rPr>
        <w:t> </w:t>
      </w:r>
      <w:r>
        <w:rPr>
          <w:color w:val="231F20"/>
        </w:rPr>
        <w:t>в</w:t>
      </w:r>
      <w:r>
        <w:rPr>
          <w:color w:val="231F20"/>
          <w:spacing w:val="-13"/>
        </w:rPr>
        <w:t> </w:t>
      </w:r>
      <w:r>
        <w:rPr>
          <w:color w:val="231F20"/>
        </w:rPr>
        <w:t>мировой</w:t>
      </w:r>
      <w:r>
        <w:rPr>
          <w:color w:val="231F20"/>
          <w:spacing w:val="-12"/>
        </w:rPr>
        <w:t> </w:t>
      </w:r>
      <w:r>
        <w:rPr>
          <w:color w:val="231F20"/>
        </w:rPr>
        <w:t>педагогике.</w:t>
      </w:r>
      <w:r>
        <w:rPr>
          <w:color w:val="231F20"/>
          <w:spacing w:val="-13"/>
        </w:rPr>
        <w:t> </w:t>
      </w:r>
      <w:r>
        <w:rPr>
          <w:color w:val="231F20"/>
        </w:rPr>
        <w:t>Он</w:t>
      </w:r>
      <w:r>
        <w:rPr>
          <w:color w:val="231F20"/>
          <w:spacing w:val="-12"/>
        </w:rPr>
        <w:t> </w:t>
      </w:r>
      <w:r>
        <w:rPr>
          <w:color w:val="231F20"/>
        </w:rPr>
        <w:t>воз- ник</w:t>
      </w:r>
      <w:r>
        <w:rPr>
          <w:color w:val="231F20"/>
          <w:spacing w:val="-11"/>
        </w:rPr>
        <w:t> </w:t>
      </w:r>
      <w:r>
        <w:rPr>
          <w:color w:val="231F20"/>
        </w:rPr>
        <w:t>еще</w:t>
      </w:r>
      <w:r>
        <w:rPr>
          <w:color w:val="231F20"/>
          <w:spacing w:val="-11"/>
        </w:rPr>
        <w:t> </w:t>
      </w:r>
      <w:r>
        <w:rPr>
          <w:color w:val="231F20"/>
        </w:rPr>
        <w:t>в</w:t>
      </w:r>
      <w:r>
        <w:rPr>
          <w:color w:val="231F20"/>
          <w:spacing w:val="-11"/>
        </w:rPr>
        <w:t> </w:t>
      </w:r>
      <w:r>
        <w:rPr>
          <w:color w:val="231F20"/>
        </w:rPr>
        <w:t>начале</w:t>
      </w:r>
      <w:r>
        <w:rPr>
          <w:color w:val="231F20"/>
          <w:spacing w:val="-11"/>
        </w:rPr>
        <w:t> </w:t>
      </w:r>
      <w:r>
        <w:rPr>
          <w:color w:val="231F20"/>
        </w:rPr>
        <w:t>XX</w:t>
      </w:r>
      <w:r>
        <w:rPr>
          <w:color w:val="231F20"/>
          <w:spacing w:val="-11"/>
        </w:rPr>
        <w:t> </w:t>
      </w:r>
      <w:r>
        <w:rPr>
          <w:color w:val="231F20"/>
        </w:rPr>
        <w:t>века</w:t>
      </w:r>
      <w:r>
        <w:rPr>
          <w:color w:val="231F20"/>
          <w:spacing w:val="-11"/>
        </w:rPr>
        <w:t> </w:t>
      </w:r>
      <w:r>
        <w:rPr>
          <w:color w:val="231F20"/>
        </w:rPr>
        <w:t>(С.Т.</w:t>
      </w:r>
      <w:r>
        <w:rPr>
          <w:color w:val="231F20"/>
          <w:spacing w:val="-11"/>
        </w:rPr>
        <w:t> </w:t>
      </w:r>
      <w:r>
        <w:rPr>
          <w:color w:val="231F20"/>
        </w:rPr>
        <w:t>Шацкий,</w:t>
      </w:r>
      <w:r>
        <w:rPr>
          <w:color w:val="231F20"/>
          <w:spacing w:val="-11"/>
        </w:rPr>
        <w:t> </w:t>
      </w:r>
      <w:r>
        <w:rPr>
          <w:color w:val="231F20"/>
        </w:rPr>
        <w:t>П.П.</w:t>
      </w:r>
      <w:r>
        <w:rPr>
          <w:color w:val="231F20"/>
          <w:spacing w:val="-11"/>
        </w:rPr>
        <w:t> </w:t>
      </w:r>
      <w:r>
        <w:rPr>
          <w:color w:val="231F20"/>
        </w:rPr>
        <w:t>Блонский,</w:t>
      </w:r>
      <w:r>
        <w:rPr>
          <w:color w:val="231F20"/>
          <w:spacing w:val="-11"/>
        </w:rPr>
        <w:t> </w:t>
      </w:r>
      <w:r>
        <w:rPr>
          <w:color w:val="231F20"/>
        </w:rPr>
        <w:t>Дж.</w:t>
      </w:r>
      <w:r>
        <w:rPr>
          <w:color w:val="231F20"/>
          <w:spacing w:val="-11"/>
        </w:rPr>
        <w:t> </w:t>
      </w:r>
      <w:r>
        <w:rPr>
          <w:color w:val="231F20"/>
        </w:rPr>
        <w:t>Дьюи,</w:t>
      </w:r>
      <w:r>
        <w:rPr>
          <w:color w:val="231F20"/>
          <w:spacing w:val="-11"/>
        </w:rPr>
        <w:t> </w:t>
      </w:r>
      <w:r>
        <w:rPr>
          <w:color w:val="231F20"/>
        </w:rPr>
        <w:t>В.Х.</w:t>
      </w:r>
      <w:r>
        <w:rPr>
          <w:color w:val="231F20"/>
          <w:spacing w:val="-11"/>
        </w:rPr>
        <w:t> </w:t>
      </w:r>
      <w:r>
        <w:rPr>
          <w:color w:val="231F20"/>
        </w:rPr>
        <w:t>Килпатрик</w:t>
      </w:r>
      <w:r>
        <w:rPr>
          <w:color w:val="231F20"/>
          <w:spacing w:val="-11"/>
        </w:rPr>
        <w:t> </w:t>
      </w:r>
      <w:r>
        <w:rPr>
          <w:color w:val="231F20"/>
        </w:rPr>
        <w:t>и др.)</w:t>
      </w:r>
      <w:r>
        <w:rPr>
          <w:color w:val="231F20"/>
          <w:spacing w:val="-13"/>
        </w:rPr>
        <w:t> </w:t>
      </w:r>
      <w:r>
        <w:rPr>
          <w:color w:val="231F20"/>
        </w:rPr>
        <w:t>и</w:t>
      </w:r>
      <w:r>
        <w:rPr>
          <w:color w:val="231F20"/>
          <w:spacing w:val="-12"/>
        </w:rPr>
        <w:t> </w:t>
      </w:r>
      <w:r>
        <w:rPr>
          <w:color w:val="231F20"/>
        </w:rPr>
        <w:t>относится</w:t>
      </w:r>
      <w:r>
        <w:rPr>
          <w:color w:val="231F20"/>
          <w:spacing w:val="-13"/>
        </w:rPr>
        <w:t> </w:t>
      </w:r>
      <w:r>
        <w:rPr>
          <w:color w:val="231F20"/>
        </w:rPr>
        <w:t>к</w:t>
      </w:r>
      <w:r>
        <w:rPr>
          <w:color w:val="231F20"/>
          <w:spacing w:val="-12"/>
        </w:rPr>
        <w:t> </w:t>
      </w:r>
      <w:r>
        <w:rPr>
          <w:color w:val="231F20"/>
        </w:rPr>
        <w:t>личностно-ориентированным</w:t>
      </w:r>
      <w:r>
        <w:rPr>
          <w:color w:val="231F20"/>
          <w:spacing w:val="-13"/>
        </w:rPr>
        <w:t> </w:t>
      </w:r>
      <w:r>
        <w:rPr>
          <w:color w:val="231F20"/>
        </w:rPr>
        <w:t>методам</w:t>
      </w:r>
      <w:r>
        <w:rPr>
          <w:color w:val="231F20"/>
          <w:spacing w:val="-12"/>
        </w:rPr>
        <w:t> </w:t>
      </w:r>
      <w:r>
        <w:rPr>
          <w:color w:val="231F20"/>
        </w:rPr>
        <w:t>обучения,</w:t>
      </w:r>
      <w:r>
        <w:rPr>
          <w:color w:val="231F20"/>
          <w:spacing w:val="-13"/>
        </w:rPr>
        <w:t> </w:t>
      </w:r>
      <w:r>
        <w:rPr>
          <w:color w:val="231F20"/>
        </w:rPr>
        <w:t>предполагающим построение учебного процесса на активной основе, через организацию целесообраз- ной деятельности ученика в соответствии с его личными интересами. Отсюда чрез- вычайно</w:t>
      </w:r>
      <w:r>
        <w:rPr>
          <w:color w:val="231F20"/>
          <w:spacing w:val="-12"/>
        </w:rPr>
        <w:t> </w:t>
      </w:r>
      <w:r>
        <w:rPr>
          <w:color w:val="231F20"/>
        </w:rPr>
        <w:t>важно</w:t>
      </w:r>
      <w:r>
        <w:rPr>
          <w:color w:val="231F20"/>
          <w:spacing w:val="-12"/>
        </w:rPr>
        <w:t> </w:t>
      </w:r>
      <w:r>
        <w:rPr>
          <w:color w:val="231F20"/>
        </w:rPr>
        <w:t>для</w:t>
      </w:r>
      <w:r>
        <w:rPr>
          <w:color w:val="231F20"/>
          <w:spacing w:val="-12"/>
        </w:rPr>
        <w:t> </w:t>
      </w:r>
      <w:r>
        <w:rPr>
          <w:color w:val="231F20"/>
        </w:rPr>
        <w:t>достижения</w:t>
      </w:r>
      <w:r>
        <w:rPr>
          <w:color w:val="231F20"/>
          <w:spacing w:val="-12"/>
        </w:rPr>
        <w:t> </w:t>
      </w:r>
      <w:r>
        <w:rPr>
          <w:color w:val="231F20"/>
        </w:rPr>
        <w:t>поставленных</w:t>
      </w:r>
      <w:r>
        <w:rPr>
          <w:color w:val="231F20"/>
          <w:spacing w:val="-12"/>
        </w:rPr>
        <w:t> </w:t>
      </w:r>
      <w:r>
        <w:rPr>
          <w:color w:val="231F20"/>
        </w:rPr>
        <w:t>перед</w:t>
      </w:r>
      <w:r>
        <w:rPr>
          <w:color w:val="231F20"/>
          <w:spacing w:val="-12"/>
        </w:rPr>
        <w:t> </w:t>
      </w:r>
      <w:r>
        <w:rPr>
          <w:color w:val="231F20"/>
        </w:rPr>
        <w:t>проектом</w:t>
      </w:r>
      <w:r>
        <w:rPr>
          <w:color w:val="231F20"/>
          <w:spacing w:val="-12"/>
        </w:rPr>
        <w:t> </w:t>
      </w:r>
      <w:r>
        <w:rPr>
          <w:color w:val="231F20"/>
        </w:rPr>
        <w:t>целей</w:t>
      </w:r>
      <w:r>
        <w:rPr>
          <w:color w:val="231F20"/>
          <w:spacing w:val="-12"/>
        </w:rPr>
        <w:t> </w:t>
      </w:r>
      <w:r>
        <w:rPr>
          <w:color w:val="231F20"/>
        </w:rPr>
        <w:t>наличие</w:t>
      </w:r>
      <w:r>
        <w:rPr>
          <w:color w:val="231F20"/>
          <w:spacing w:val="-12"/>
        </w:rPr>
        <w:t> </w:t>
      </w:r>
      <w:r>
        <w:rPr>
          <w:color w:val="231F20"/>
        </w:rPr>
        <w:t>личной заинтересованности учащихся в приобретаемых знаниях. Залогом успешности при выборе</w:t>
      </w:r>
      <w:r>
        <w:rPr>
          <w:color w:val="231F20"/>
          <w:spacing w:val="-7"/>
        </w:rPr>
        <w:t> </w:t>
      </w:r>
      <w:r>
        <w:rPr>
          <w:color w:val="231F20"/>
        </w:rPr>
        <w:t>темы</w:t>
      </w:r>
      <w:r>
        <w:rPr>
          <w:color w:val="231F20"/>
          <w:spacing w:val="-7"/>
        </w:rPr>
        <w:t> </w:t>
      </w:r>
      <w:r>
        <w:rPr>
          <w:color w:val="231F20"/>
        </w:rPr>
        <w:t>проекта</w:t>
      </w:r>
      <w:r>
        <w:rPr>
          <w:color w:val="231F20"/>
          <w:spacing w:val="-7"/>
        </w:rPr>
        <w:t> </w:t>
      </w:r>
      <w:r>
        <w:rPr>
          <w:color w:val="231F20"/>
        </w:rPr>
        <w:t>будет</w:t>
      </w:r>
      <w:r>
        <w:rPr>
          <w:color w:val="231F20"/>
          <w:spacing w:val="-7"/>
        </w:rPr>
        <w:t> </w:t>
      </w:r>
      <w:r>
        <w:rPr>
          <w:color w:val="231F20"/>
        </w:rPr>
        <w:t>тема,</w:t>
      </w:r>
      <w:r>
        <w:rPr>
          <w:color w:val="231F20"/>
          <w:spacing w:val="-7"/>
        </w:rPr>
        <w:t> </w:t>
      </w:r>
      <w:r>
        <w:rPr>
          <w:color w:val="231F20"/>
        </w:rPr>
        <w:t>взятая</w:t>
      </w:r>
      <w:r>
        <w:rPr>
          <w:color w:val="231F20"/>
          <w:spacing w:val="-7"/>
        </w:rPr>
        <w:t> </w:t>
      </w:r>
      <w:r>
        <w:rPr>
          <w:color w:val="231F20"/>
        </w:rPr>
        <w:t>из</w:t>
      </w:r>
      <w:r>
        <w:rPr>
          <w:color w:val="231F20"/>
          <w:spacing w:val="-7"/>
        </w:rPr>
        <w:t> </w:t>
      </w:r>
      <w:r>
        <w:rPr>
          <w:color w:val="231F20"/>
        </w:rPr>
        <w:t>реальной</w:t>
      </w:r>
      <w:r>
        <w:rPr>
          <w:color w:val="231F20"/>
          <w:spacing w:val="-7"/>
        </w:rPr>
        <w:t> </w:t>
      </w:r>
      <w:r>
        <w:rPr>
          <w:color w:val="231F20"/>
        </w:rPr>
        <w:t>жизни,</w:t>
      </w:r>
      <w:r>
        <w:rPr>
          <w:color w:val="231F20"/>
          <w:spacing w:val="-6"/>
        </w:rPr>
        <w:t> </w:t>
      </w:r>
      <w:r>
        <w:rPr>
          <w:color w:val="231F20"/>
        </w:rPr>
        <w:t>знакомая</w:t>
      </w:r>
      <w:r>
        <w:rPr>
          <w:color w:val="231F20"/>
          <w:spacing w:val="-7"/>
        </w:rPr>
        <w:t> </w:t>
      </w:r>
      <w:r>
        <w:rPr>
          <w:color w:val="231F20"/>
        </w:rPr>
        <w:t>и</w:t>
      </w:r>
      <w:r>
        <w:rPr>
          <w:color w:val="231F20"/>
          <w:spacing w:val="-7"/>
        </w:rPr>
        <w:t> </w:t>
      </w:r>
      <w:r>
        <w:rPr>
          <w:color w:val="231F20"/>
        </w:rPr>
        <w:t>значимая</w:t>
      </w:r>
      <w:r>
        <w:rPr>
          <w:color w:val="231F20"/>
          <w:spacing w:val="-7"/>
        </w:rPr>
        <w:t> </w:t>
      </w:r>
      <w:r>
        <w:rPr>
          <w:color w:val="231F20"/>
        </w:rPr>
        <w:t>для </w:t>
      </w:r>
      <w:r>
        <w:rPr>
          <w:color w:val="231F20"/>
          <w:spacing w:val="-2"/>
        </w:rPr>
        <w:t>учащегося, для исследования которой необходимо приложить уже имеющиеся знания </w:t>
      </w:r>
      <w:r>
        <w:rPr>
          <w:color w:val="231F20"/>
        </w:rPr>
        <w:t>и новые знания, которые еще предстоит приобрести.</w:t>
      </w:r>
    </w:p>
    <w:p>
      <w:pPr>
        <w:pStyle w:val="BodyText"/>
        <w:spacing w:line="235" w:lineRule="auto" w:before="7"/>
      </w:pPr>
      <w:r>
        <w:rPr>
          <w:color w:val="231F20"/>
        </w:rPr>
        <w:t>В основе метода проектов лежит развитие познавательных интересов учащихся, критического</w:t>
      </w:r>
      <w:r>
        <w:rPr>
          <w:color w:val="231F20"/>
          <w:spacing w:val="-13"/>
        </w:rPr>
        <w:t> </w:t>
      </w:r>
      <w:r>
        <w:rPr>
          <w:color w:val="231F20"/>
        </w:rPr>
        <w:t>и</w:t>
      </w:r>
      <w:r>
        <w:rPr>
          <w:color w:val="231F20"/>
          <w:spacing w:val="-12"/>
        </w:rPr>
        <w:t> </w:t>
      </w:r>
      <w:r>
        <w:rPr>
          <w:color w:val="231F20"/>
        </w:rPr>
        <w:t>творческого</w:t>
      </w:r>
      <w:r>
        <w:rPr>
          <w:color w:val="231F20"/>
          <w:spacing w:val="-13"/>
        </w:rPr>
        <w:t> </w:t>
      </w:r>
      <w:r>
        <w:rPr>
          <w:color w:val="231F20"/>
        </w:rPr>
        <w:t>мышления,</w:t>
      </w:r>
      <w:r>
        <w:rPr>
          <w:color w:val="231F20"/>
          <w:spacing w:val="-12"/>
        </w:rPr>
        <w:t> </w:t>
      </w:r>
      <w:r>
        <w:rPr>
          <w:color w:val="231F20"/>
        </w:rPr>
        <w:t>умения</w:t>
      </w:r>
      <w:r>
        <w:rPr>
          <w:color w:val="231F20"/>
          <w:spacing w:val="-13"/>
        </w:rPr>
        <w:t> </w:t>
      </w:r>
      <w:r>
        <w:rPr>
          <w:color w:val="231F20"/>
        </w:rPr>
        <w:t>самостоятельно</w:t>
      </w:r>
      <w:r>
        <w:rPr>
          <w:color w:val="231F20"/>
          <w:spacing w:val="-12"/>
        </w:rPr>
        <w:t> </w:t>
      </w:r>
      <w:r>
        <w:rPr>
          <w:color w:val="231F20"/>
        </w:rPr>
        <w:t>конструировать</w:t>
      </w:r>
      <w:r>
        <w:rPr>
          <w:color w:val="231F20"/>
          <w:spacing w:val="-13"/>
        </w:rPr>
        <w:t> </w:t>
      </w:r>
      <w:r>
        <w:rPr>
          <w:color w:val="231F20"/>
        </w:rPr>
        <w:t>свои знания, ориентироваться в информационном пространстве.</w:t>
      </w:r>
    </w:p>
    <w:p>
      <w:pPr>
        <w:pStyle w:val="BodyText"/>
        <w:spacing w:line="235" w:lineRule="auto" w:before="1"/>
      </w:pPr>
      <w:r>
        <w:rPr>
          <w:color w:val="231F20"/>
        </w:rPr>
        <w:t>Работа над проектом тщательно планируется преподавателем и обсуждается с учащимися. При этом проводится подробное структурирование содержательной части проекта с указанием поэтапных результатов и сроков представления их «об- щественности», то есть другим учащимся группы, внешним экспертам по данному вопросу и так далее.</w:t>
      </w:r>
    </w:p>
    <w:p>
      <w:pPr>
        <w:spacing w:line="228" w:lineRule="exact" w:before="113"/>
        <w:ind w:left="425" w:right="0" w:firstLine="0"/>
        <w:jc w:val="both"/>
        <w:rPr>
          <w:b/>
          <w:sz w:val="20"/>
        </w:rPr>
      </w:pPr>
      <w:r>
        <w:rPr>
          <w:b/>
          <w:color w:val="231F20"/>
          <w:sz w:val="20"/>
        </w:rPr>
        <w:t>Этапы</w:t>
      </w:r>
      <w:r>
        <w:rPr>
          <w:b/>
          <w:color w:val="231F20"/>
          <w:spacing w:val="-4"/>
          <w:sz w:val="20"/>
        </w:rPr>
        <w:t> </w:t>
      </w:r>
      <w:r>
        <w:rPr>
          <w:b/>
          <w:color w:val="231F20"/>
          <w:sz w:val="20"/>
        </w:rPr>
        <w:t>и</w:t>
      </w:r>
      <w:r>
        <w:rPr>
          <w:b/>
          <w:color w:val="231F20"/>
          <w:spacing w:val="-5"/>
          <w:sz w:val="20"/>
        </w:rPr>
        <w:t> </w:t>
      </w:r>
      <w:r>
        <w:rPr>
          <w:b/>
          <w:color w:val="231F20"/>
          <w:sz w:val="20"/>
        </w:rPr>
        <w:t>сложности</w:t>
      </w:r>
      <w:r>
        <w:rPr>
          <w:b/>
          <w:color w:val="231F20"/>
          <w:spacing w:val="-4"/>
          <w:sz w:val="20"/>
        </w:rPr>
        <w:t> </w:t>
      </w:r>
      <w:r>
        <w:rPr>
          <w:b/>
          <w:color w:val="231F20"/>
          <w:sz w:val="20"/>
        </w:rPr>
        <w:t>работы</w:t>
      </w:r>
      <w:r>
        <w:rPr>
          <w:b/>
          <w:color w:val="231F20"/>
          <w:spacing w:val="-4"/>
          <w:sz w:val="20"/>
        </w:rPr>
        <w:t> </w:t>
      </w:r>
      <w:r>
        <w:rPr>
          <w:b/>
          <w:color w:val="231F20"/>
          <w:sz w:val="20"/>
        </w:rPr>
        <w:t>над</w:t>
      </w:r>
      <w:r>
        <w:rPr>
          <w:b/>
          <w:color w:val="231F20"/>
          <w:spacing w:val="-3"/>
          <w:sz w:val="20"/>
        </w:rPr>
        <w:t> </w:t>
      </w:r>
      <w:r>
        <w:rPr>
          <w:b/>
          <w:color w:val="231F20"/>
          <w:spacing w:val="-2"/>
          <w:sz w:val="20"/>
        </w:rPr>
        <w:t>проектом</w:t>
      </w:r>
    </w:p>
    <w:p>
      <w:pPr>
        <w:pStyle w:val="BodyText"/>
        <w:spacing w:line="235" w:lineRule="auto" w:before="2"/>
      </w:pPr>
      <w:r>
        <w:rPr>
          <w:color w:val="231F20"/>
        </w:rPr>
        <w:t>В</w:t>
      </w:r>
      <w:r>
        <w:rPr>
          <w:color w:val="231F20"/>
          <w:spacing w:val="-1"/>
        </w:rPr>
        <w:t> </w:t>
      </w:r>
      <w:r>
        <w:rPr>
          <w:color w:val="231F20"/>
        </w:rPr>
        <w:t>методике</w:t>
      </w:r>
      <w:r>
        <w:rPr>
          <w:color w:val="231F20"/>
          <w:spacing w:val="-1"/>
        </w:rPr>
        <w:t> </w:t>
      </w:r>
      <w:r>
        <w:rPr>
          <w:color w:val="231F20"/>
        </w:rPr>
        <w:t>проектной</w:t>
      </w:r>
      <w:r>
        <w:rPr>
          <w:color w:val="231F20"/>
          <w:spacing w:val="-1"/>
        </w:rPr>
        <w:t> </w:t>
      </w:r>
      <w:r>
        <w:rPr>
          <w:color w:val="231F20"/>
        </w:rPr>
        <w:t>деятельности</w:t>
      </w:r>
      <w:r>
        <w:rPr>
          <w:color w:val="231F20"/>
          <w:spacing w:val="-1"/>
        </w:rPr>
        <w:t> </w:t>
      </w:r>
      <w:r>
        <w:rPr>
          <w:color w:val="231F20"/>
        </w:rPr>
        <w:t>принято</w:t>
      </w:r>
      <w:r>
        <w:rPr>
          <w:color w:val="231F20"/>
          <w:spacing w:val="-1"/>
        </w:rPr>
        <w:t> </w:t>
      </w:r>
      <w:r>
        <w:rPr>
          <w:color w:val="231F20"/>
        </w:rPr>
        <w:t>выделять</w:t>
      </w:r>
      <w:r>
        <w:rPr>
          <w:color w:val="231F20"/>
          <w:spacing w:val="-1"/>
        </w:rPr>
        <w:t> </w:t>
      </w:r>
      <w:r>
        <w:rPr>
          <w:color w:val="231F20"/>
        </w:rPr>
        <w:t>семь</w:t>
      </w:r>
      <w:r>
        <w:rPr>
          <w:color w:val="231F20"/>
          <w:spacing w:val="-1"/>
        </w:rPr>
        <w:t> </w:t>
      </w:r>
      <w:r>
        <w:rPr>
          <w:color w:val="231F20"/>
        </w:rPr>
        <w:t>основных</w:t>
      </w:r>
      <w:r>
        <w:rPr>
          <w:color w:val="231F20"/>
          <w:spacing w:val="-1"/>
        </w:rPr>
        <w:t> </w:t>
      </w:r>
      <w:r>
        <w:rPr>
          <w:color w:val="231F20"/>
        </w:rPr>
        <w:t>этапов</w:t>
      </w:r>
      <w:r>
        <w:rPr>
          <w:color w:val="231F20"/>
          <w:spacing w:val="-1"/>
        </w:rPr>
        <w:t> </w:t>
      </w:r>
      <w:r>
        <w:rPr>
          <w:color w:val="231F20"/>
        </w:rPr>
        <w:t>ра- боты над проектом:</w:t>
      </w:r>
    </w:p>
    <w:p>
      <w:pPr>
        <w:pStyle w:val="ListParagraph"/>
        <w:numPr>
          <w:ilvl w:val="0"/>
          <w:numId w:val="163"/>
        </w:numPr>
        <w:tabs>
          <w:tab w:pos="425" w:val="left" w:leader="none"/>
        </w:tabs>
        <w:spacing w:line="225" w:lineRule="exact" w:before="0" w:after="0"/>
        <w:ind w:left="425" w:right="0" w:hanging="284"/>
        <w:jc w:val="left"/>
        <w:rPr>
          <w:sz w:val="20"/>
        </w:rPr>
      </w:pPr>
      <w:r>
        <w:rPr>
          <w:sz w:val="20"/>
        </w:rPr>
        <w:t>организационно-</w:t>
      </w:r>
      <w:r>
        <w:rPr>
          <w:spacing w:val="-2"/>
          <w:sz w:val="20"/>
        </w:rPr>
        <w:t>установочный;</w:t>
      </w:r>
    </w:p>
    <w:p>
      <w:pPr>
        <w:pStyle w:val="ListParagraph"/>
        <w:numPr>
          <w:ilvl w:val="0"/>
          <w:numId w:val="163"/>
        </w:numPr>
        <w:tabs>
          <w:tab w:pos="425" w:val="left" w:leader="none"/>
        </w:tabs>
        <w:spacing w:line="226" w:lineRule="exact" w:before="0" w:after="0"/>
        <w:ind w:left="425" w:right="0" w:hanging="284"/>
        <w:jc w:val="left"/>
        <w:rPr>
          <w:sz w:val="20"/>
        </w:rPr>
      </w:pPr>
      <w:r>
        <w:rPr>
          <w:sz w:val="20"/>
        </w:rPr>
        <w:t>выбор</w:t>
      </w:r>
      <w:r>
        <w:rPr>
          <w:spacing w:val="-10"/>
          <w:sz w:val="20"/>
        </w:rPr>
        <w:t> </w:t>
      </w:r>
      <w:r>
        <w:rPr>
          <w:sz w:val="20"/>
        </w:rPr>
        <w:t>и</w:t>
      </w:r>
      <w:r>
        <w:rPr>
          <w:spacing w:val="-8"/>
          <w:sz w:val="20"/>
        </w:rPr>
        <w:t> </w:t>
      </w:r>
      <w:r>
        <w:rPr>
          <w:sz w:val="20"/>
        </w:rPr>
        <w:t>обсуждение</w:t>
      </w:r>
      <w:r>
        <w:rPr>
          <w:spacing w:val="-7"/>
          <w:sz w:val="20"/>
        </w:rPr>
        <w:t> </w:t>
      </w:r>
      <w:r>
        <w:rPr>
          <w:sz w:val="20"/>
        </w:rPr>
        <w:t>главной</w:t>
      </w:r>
      <w:r>
        <w:rPr>
          <w:spacing w:val="-8"/>
          <w:sz w:val="20"/>
        </w:rPr>
        <w:t> </w:t>
      </w:r>
      <w:r>
        <w:rPr>
          <w:sz w:val="20"/>
        </w:rPr>
        <w:t>идеи,</w:t>
      </w:r>
      <w:r>
        <w:rPr>
          <w:spacing w:val="-7"/>
          <w:sz w:val="20"/>
        </w:rPr>
        <w:t> </w:t>
      </w:r>
      <w:r>
        <w:rPr>
          <w:sz w:val="20"/>
        </w:rPr>
        <w:t>целей</w:t>
      </w:r>
      <w:r>
        <w:rPr>
          <w:spacing w:val="-8"/>
          <w:sz w:val="20"/>
        </w:rPr>
        <w:t> </w:t>
      </w:r>
      <w:r>
        <w:rPr>
          <w:sz w:val="20"/>
        </w:rPr>
        <w:t>и</w:t>
      </w:r>
      <w:r>
        <w:rPr>
          <w:spacing w:val="-8"/>
          <w:sz w:val="20"/>
        </w:rPr>
        <w:t> </w:t>
      </w:r>
      <w:r>
        <w:rPr>
          <w:sz w:val="20"/>
        </w:rPr>
        <w:t>задач</w:t>
      </w:r>
      <w:r>
        <w:rPr>
          <w:spacing w:val="-7"/>
          <w:sz w:val="20"/>
        </w:rPr>
        <w:t> </w:t>
      </w:r>
      <w:r>
        <w:rPr>
          <w:sz w:val="20"/>
        </w:rPr>
        <w:t>будущего</w:t>
      </w:r>
      <w:r>
        <w:rPr>
          <w:spacing w:val="-7"/>
          <w:sz w:val="20"/>
        </w:rPr>
        <w:t> </w:t>
      </w:r>
      <w:r>
        <w:rPr>
          <w:spacing w:val="-2"/>
          <w:sz w:val="20"/>
        </w:rPr>
        <w:t>проекта;</w:t>
      </w:r>
    </w:p>
    <w:p>
      <w:pPr>
        <w:pStyle w:val="ListParagraph"/>
        <w:numPr>
          <w:ilvl w:val="0"/>
          <w:numId w:val="163"/>
        </w:numPr>
        <w:tabs>
          <w:tab w:pos="425" w:val="left" w:leader="none"/>
        </w:tabs>
        <w:spacing w:line="226" w:lineRule="exact" w:before="0" w:after="0"/>
        <w:ind w:left="425" w:right="0" w:hanging="284"/>
        <w:jc w:val="left"/>
        <w:rPr>
          <w:sz w:val="20"/>
        </w:rPr>
      </w:pPr>
      <w:r>
        <w:rPr>
          <w:sz w:val="20"/>
        </w:rPr>
        <w:t>обсуждение</w:t>
      </w:r>
      <w:r>
        <w:rPr>
          <w:spacing w:val="-6"/>
          <w:sz w:val="20"/>
        </w:rPr>
        <w:t> </w:t>
      </w:r>
      <w:r>
        <w:rPr>
          <w:sz w:val="20"/>
        </w:rPr>
        <w:t>методических</w:t>
      </w:r>
      <w:r>
        <w:rPr>
          <w:spacing w:val="-4"/>
          <w:sz w:val="20"/>
        </w:rPr>
        <w:t> </w:t>
      </w:r>
      <w:r>
        <w:rPr>
          <w:sz w:val="20"/>
        </w:rPr>
        <w:t>аспектов</w:t>
      </w:r>
      <w:r>
        <w:rPr>
          <w:spacing w:val="-4"/>
          <w:sz w:val="20"/>
        </w:rPr>
        <w:t> </w:t>
      </w:r>
      <w:r>
        <w:rPr>
          <w:sz w:val="20"/>
        </w:rPr>
        <w:t>и</w:t>
      </w:r>
      <w:r>
        <w:rPr>
          <w:spacing w:val="-4"/>
          <w:sz w:val="20"/>
        </w:rPr>
        <w:t> </w:t>
      </w:r>
      <w:r>
        <w:rPr>
          <w:sz w:val="20"/>
        </w:rPr>
        <w:t>организация</w:t>
      </w:r>
      <w:r>
        <w:rPr>
          <w:spacing w:val="-4"/>
          <w:sz w:val="20"/>
        </w:rPr>
        <w:t> </w:t>
      </w:r>
      <w:r>
        <w:rPr>
          <w:sz w:val="20"/>
        </w:rPr>
        <w:t>работы</w:t>
      </w:r>
      <w:r>
        <w:rPr>
          <w:spacing w:val="-3"/>
          <w:sz w:val="20"/>
        </w:rPr>
        <w:t> </w:t>
      </w:r>
      <w:r>
        <w:rPr>
          <w:spacing w:val="-2"/>
          <w:sz w:val="20"/>
        </w:rPr>
        <w:t>учащихся;</w:t>
      </w:r>
    </w:p>
    <w:p>
      <w:pPr>
        <w:pStyle w:val="ListParagraph"/>
        <w:numPr>
          <w:ilvl w:val="0"/>
          <w:numId w:val="163"/>
        </w:numPr>
        <w:tabs>
          <w:tab w:pos="425" w:val="left" w:leader="none"/>
        </w:tabs>
        <w:spacing w:line="235" w:lineRule="auto" w:before="2" w:after="0"/>
        <w:ind w:left="425" w:right="139" w:hanging="284"/>
        <w:jc w:val="left"/>
        <w:rPr>
          <w:sz w:val="20"/>
        </w:rPr>
      </w:pPr>
      <w:r>
        <w:rPr>
          <w:sz w:val="20"/>
        </w:rPr>
        <w:t>структурирование проекта с выделением подзадач для определенных групп уча- щихся, подбор необходимых материалов;</w:t>
      </w:r>
    </w:p>
    <w:p>
      <w:pPr>
        <w:pStyle w:val="ListParagraph"/>
        <w:numPr>
          <w:ilvl w:val="0"/>
          <w:numId w:val="163"/>
        </w:numPr>
        <w:tabs>
          <w:tab w:pos="425" w:val="left" w:leader="none"/>
        </w:tabs>
        <w:spacing w:line="227" w:lineRule="exact" w:before="0" w:after="0"/>
        <w:ind w:left="425" w:right="0" w:hanging="284"/>
        <w:jc w:val="left"/>
        <w:rPr>
          <w:sz w:val="20"/>
        </w:rPr>
      </w:pPr>
      <w:r>
        <w:rPr>
          <w:sz w:val="20"/>
        </w:rPr>
        <w:t>работа</w:t>
      </w:r>
      <w:r>
        <w:rPr>
          <w:spacing w:val="-3"/>
          <w:sz w:val="20"/>
        </w:rPr>
        <w:t> </w:t>
      </w:r>
      <w:r>
        <w:rPr>
          <w:sz w:val="20"/>
        </w:rPr>
        <w:t>над </w:t>
      </w:r>
      <w:r>
        <w:rPr>
          <w:spacing w:val="-2"/>
          <w:sz w:val="20"/>
        </w:rPr>
        <w:t>проектом;</w:t>
      </w:r>
    </w:p>
    <w:p>
      <w:pPr>
        <w:pStyle w:val="ListParagraph"/>
        <w:spacing w:after="0" w:line="227" w:lineRule="exact"/>
        <w:jc w:val="left"/>
        <w:rPr>
          <w:sz w:val="20"/>
        </w:rPr>
        <w:sectPr>
          <w:pgSz w:w="8400" w:h="11910"/>
          <w:pgMar w:header="0" w:footer="527" w:top="400" w:bottom="740" w:left="425" w:right="425"/>
        </w:sectPr>
      </w:pPr>
    </w:p>
    <w:p>
      <w:pPr>
        <w:spacing w:before="80"/>
        <w:ind w:left="141" w:right="0" w:firstLine="0"/>
        <w:jc w:val="both"/>
        <w:rPr>
          <w:rFonts w:ascii="Georgia" w:hAnsi="Georgia"/>
          <w:sz w:val="18"/>
        </w:rPr>
      </w:pPr>
      <w:r>
        <w:rPr>
          <w:rFonts w:ascii="Georgia" w:hAnsi="Georgia"/>
          <w:color w:val="231F20"/>
          <w:sz w:val="18"/>
        </w:rPr>
        <w:t>4.4.</w:t>
      </w:r>
      <w:r>
        <w:rPr>
          <w:rFonts w:ascii="Georgia" w:hAnsi="Georgia"/>
          <w:color w:val="231F20"/>
          <w:spacing w:val="-1"/>
          <w:sz w:val="18"/>
        </w:rPr>
        <w:t> </w:t>
      </w:r>
      <w:r>
        <w:rPr>
          <w:rFonts w:ascii="Georgia" w:hAnsi="Georgia"/>
          <w:color w:val="231F20"/>
          <w:sz w:val="18"/>
        </w:rPr>
        <w:t>Методы</w:t>
      </w:r>
      <w:r>
        <w:rPr>
          <w:rFonts w:ascii="Georgia" w:hAnsi="Georgia"/>
          <w:color w:val="231F20"/>
          <w:spacing w:val="-1"/>
          <w:sz w:val="18"/>
        </w:rPr>
        <w:t> </w:t>
      </w:r>
      <w:r>
        <w:rPr>
          <w:rFonts w:ascii="Georgia" w:hAnsi="Georgia"/>
          <w:color w:val="231F20"/>
          <w:sz w:val="18"/>
        </w:rPr>
        <w:t>учебной</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1"/>
          <w:sz w:val="18"/>
        </w:rPr>
        <w:t> </w:t>
      </w:r>
      <w:r>
        <w:rPr>
          <w:rFonts w:ascii="Georgia" w:hAnsi="Georgia"/>
          <w:color w:val="231F20"/>
          <w:sz w:val="18"/>
        </w:rPr>
        <w:t>для адаптации</w:t>
      </w:r>
      <w:r>
        <w:rPr>
          <w:rFonts w:ascii="Georgia" w:hAnsi="Georgia"/>
          <w:color w:val="231F20"/>
          <w:spacing w:val="-1"/>
          <w:sz w:val="18"/>
        </w:rPr>
        <w:t> </w:t>
      </w:r>
      <w:r>
        <w:rPr>
          <w:rFonts w:ascii="Georgia" w:hAnsi="Georgia"/>
          <w:color w:val="231F20"/>
          <w:sz w:val="18"/>
        </w:rPr>
        <w:t>детей</w:t>
      </w:r>
      <w:r>
        <w:rPr>
          <w:rFonts w:ascii="Georgia" w:hAnsi="Georgia"/>
          <w:color w:val="231F20"/>
          <w:spacing w:val="-1"/>
          <w:sz w:val="18"/>
        </w:rPr>
        <w:t> </w:t>
      </w:r>
      <w:r>
        <w:rPr>
          <w:rFonts w:ascii="Georgia" w:hAnsi="Georgia"/>
          <w:color w:val="231F20"/>
          <w:sz w:val="18"/>
        </w:rPr>
        <w:t>...</w:t>
      </w:r>
      <w:r>
        <w:rPr>
          <w:rFonts w:ascii="Georgia" w:hAnsi="Georgia"/>
          <w:color w:val="231F20"/>
          <w:spacing w:val="-1"/>
          <w:sz w:val="18"/>
        </w:rPr>
        <w:t> </w:t>
      </w:r>
      <w:r>
        <w:rPr>
          <w:rFonts w:ascii="Georgia" w:hAnsi="Georgia"/>
          <w:color w:val="231F20"/>
          <w:sz w:val="18"/>
        </w:rPr>
        <w:t>во </w:t>
      </w:r>
      <w:r>
        <w:rPr>
          <w:rFonts w:ascii="Georgia" w:hAnsi="Georgia"/>
          <w:color w:val="231F20"/>
          <w:spacing w:val="-2"/>
          <w:sz w:val="18"/>
        </w:rPr>
        <w:t>взаимодействии...</w:t>
      </w:r>
    </w:p>
    <w:p>
      <w:pPr>
        <w:pStyle w:val="ListParagraph"/>
        <w:numPr>
          <w:ilvl w:val="0"/>
          <w:numId w:val="164"/>
        </w:numPr>
        <w:tabs>
          <w:tab w:pos="423" w:val="left" w:leader="none"/>
        </w:tabs>
        <w:spacing w:line="228" w:lineRule="exact" w:before="112" w:after="0"/>
        <w:ind w:left="423" w:right="0" w:hanging="282"/>
        <w:jc w:val="both"/>
        <w:rPr>
          <w:sz w:val="20"/>
        </w:rPr>
      </w:pPr>
      <w:r>
        <w:rPr>
          <w:sz w:val="20"/>
        </w:rPr>
        <w:t>подведение</w:t>
      </w:r>
      <w:r>
        <w:rPr>
          <w:spacing w:val="-9"/>
          <w:sz w:val="20"/>
        </w:rPr>
        <w:t> </w:t>
      </w:r>
      <w:r>
        <w:rPr>
          <w:sz w:val="20"/>
        </w:rPr>
        <w:t>итогов,</w:t>
      </w:r>
      <w:r>
        <w:rPr>
          <w:spacing w:val="-8"/>
          <w:sz w:val="20"/>
        </w:rPr>
        <w:t> </w:t>
      </w:r>
      <w:r>
        <w:rPr>
          <w:sz w:val="20"/>
        </w:rPr>
        <w:t>оформление</w:t>
      </w:r>
      <w:r>
        <w:rPr>
          <w:spacing w:val="-8"/>
          <w:sz w:val="20"/>
        </w:rPr>
        <w:t> </w:t>
      </w:r>
      <w:r>
        <w:rPr>
          <w:spacing w:val="-2"/>
          <w:sz w:val="20"/>
        </w:rPr>
        <w:t>результатов;</w:t>
      </w:r>
    </w:p>
    <w:p>
      <w:pPr>
        <w:pStyle w:val="ListParagraph"/>
        <w:numPr>
          <w:ilvl w:val="0"/>
          <w:numId w:val="164"/>
        </w:numPr>
        <w:tabs>
          <w:tab w:pos="423" w:val="left" w:leader="none"/>
        </w:tabs>
        <w:spacing w:line="226" w:lineRule="exact" w:before="0" w:after="0"/>
        <w:ind w:left="423" w:right="0" w:hanging="282"/>
        <w:jc w:val="both"/>
        <w:rPr>
          <w:sz w:val="20"/>
        </w:rPr>
      </w:pPr>
      <w:r>
        <w:rPr>
          <w:sz w:val="20"/>
        </w:rPr>
        <w:t>презентация</w:t>
      </w:r>
      <w:r>
        <w:rPr>
          <w:spacing w:val="4"/>
          <w:sz w:val="20"/>
        </w:rPr>
        <w:t> </w:t>
      </w:r>
      <w:r>
        <w:rPr>
          <w:spacing w:val="-2"/>
          <w:sz w:val="20"/>
        </w:rPr>
        <w:t>проекта.</w:t>
      </w:r>
    </w:p>
    <w:p>
      <w:pPr>
        <w:pStyle w:val="BodyText"/>
        <w:spacing w:line="235" w:lineRule="auto" w:before="2"/>
      </w:pPr>
      <w:r>
        <w:rPr>
          <w:color w:val="231F20"/>
        </w:rPr>
        <w:t>Проекты</w:t>
      </w:r>
      <w:r>
        <w:rPr>
          <w:color w:val="231F20"/>
          <w:spacing w:val="-13"/>
        </w:rPr>
        <w:t> </w:t>
      </w:r>
      <w:r>
        <w:rPr>
          <w:color w:val="231F20"/>
        </w:rPr>
        <w:t>могут</w:t>
      </w:r>
      <w:r>
        <w:rPr>
          <w:color w:val="231F20"/>
          <w:spacing w:val="-12"/>
        </w:rPr>
        <w:t> </w:t>
      </w:r>
      <w:r>
        <w:rPr>
          <w:color w:val="231F20"/>
        </w:rPr>
        <w:t>быть</w:t>
      </w:r>
      <w:r>
        <w:rPr>
          <w:color w:val="231F20"/>
          <w:spacing w:val="-13"/>
        </w:rPr>
        <w:t> </w:t>
      </w:r>
      <w:r>
        <w:rPr>
          <w:color w:val="231F20"/>
        </w:rPr>
        <w:t>разной</w:t>
      </w:r>
      <w:r>
        <w:rPr>
          <w:color w:val="231F20"/>
          <w:spacing w:val="-12"/>
        </w:rPr>
        <w:t> </w:t>
      </w:r>
      <w:r>
        <w:rPr>
          <w:color w:val="231F20"/>
        </w:rPr>
        <w:t>степени</w:t>
      </w:r>
      <w:r>
        <w:rPr>
          <w:color w:val="231F20"/>
          <w:spacing w:val="-13"/>
        </w:rPr>
        <w:t> </w:t>
      </w:r>
      <w:r>
        <w:rPr>
          <w:color w:val="231F20"/>
        </w:rPr>
        <w:t>сложности.</w:t>
      </w:r>
      <w:r>
        <w:rPr>
          <w:color w:val="231F20"/>
          <w:spacing w:val="-12"/>
        </w:rPr>
        <w:t> </w:t>
      </w:r>
      <w:r>
        <w:rPr>
          <w:color w:val="231F20"/>
        </w:rPr>
        <w:t>Тематика</w:t>
      </w:r>
      <w:r>
        <w:rPr>
          <w:color w:val="231F20"/>
          <w:spacing w:val="-13"/>
        </w:rPr>
        <w:t> </w:t>
      </w:r>
      <w:r>
        <w:rPr>
          <w:color w:val="231F20"/>
        </w:rPr>
        <w:t>проектов</w:t>
      </w:r>
      <w:r>
        <w:rPr>
          <w:color w:val="231F20"/>
          <w:spacing w:val="-12"/>
        </w:rPr>
        <w:t> </w:t>
      </w:r>
      <w:r>
        <w:rPr>
          <w:color w:val="231F20"/>
        </w:rPr>
        <w:t>может</w:t>
      </w:r>
      <w:r>
        <w:rPr>
          <w:color w:val="231F20"/>
          <w:spacing w:val="-13"/>
        </w:rPr>
        <w:t> </w:t>
      </w:r>
      <w:r>
        <w:rPr>
          <w:color w:val="231F20"/>
        </w:rPr>
        <w:t>касать- ся какого-то теоретического вопроса учебной программы с целью углубить знания </w:t>
      </w:r>
      <w:r>
        <w:rPr>
          <w:color w:val="231F20"/>
          <w:spacing w:val="-2"/>
        </w:rPr>
        <w:t>учащихся</w:t>
      </w:r>
      <w:r>
        <w:rPr>
          <w:color w:val="231F20"/>
          <w:spacing w:val="-3"/>
        </w:rPr>
        <w:t> </w:t>
      </w:r>
      <w:r>
        <w:rPr>
          <w:color w:val="231F20"/>
          <w:spacing w:val="-2"/>
        </w:rPr>
        <w:t>по</w:t>
      </w:r>
      <w:r>
        <w:rPr>
          <w:color w:val="231F20"/>
          <w:spacing w:val="-3"/>
        </w:rPr>
        <w:t> </w:t>
      </w:r>
      <w:r>
        <w:rPr>
          <w:color w:val="231F20"/>
          <w:spacing w:val="-2"/>
        </w:rPr>
        <w:t>этому</w:t>
      </w:r>
      <w:r>
        <w:rPr>
          <w:color w:val="231F20"/>
          <w:spacing w:val="-3"/>
        </w:rPr>
        <w:t> </w:t>
      </w:r>
      <w:r>
        <w:rPr>
          <w:color w:val="231F20"/>
          <w:spacing w:val="-2"/>
        </w:rPr>
        <w:t>вопросу,</w:t>
      </w:r>
      <w:r>
        <w:rPr>
          <w:color w:val="231F20"/>
          <w:spacing w:val="-3"/>
        </w:rPr>
        <w:t> </w:t>
      </w:r>
      <w:r>
        <w:rPr>
          <w:color w:val="231F20"/>
          <w:spacing w:val="-2"/>
        </w:rPr>
        <w:t>дифференцировать</w:t>
      </w:r>
      <w:r>
        <w:rPr>
          <w:color w:val="231F20"/>
          <w:spacing w:val="-3"/>
        </w:rPr>
        <w:t> </w:t>
      </w:r>
      <w:r>
        <w:rPr>
          <w:color w:val="231F20"/>
          <w:spacing w:val="-2"/>
        </w:rPr>
        <w:t>процесс</w:t>
      </w:r>
      <w:r>
        <w:rPr>
          <w:color w:val="231F20"/>
          <w:spacing w:val="-3"/>
        </w:rPr>
        <w:t> </w:t>
      </w:r>
      <w:r>
        <w:rPr>
          <w:color w:val="231F20"/>
          <w:spacing w:val="-2"/>
        </w:rPr>
        <w:t>обучения.</w:t>
      </w:r>
      <w:r>
        <w:rPr>
          <w:color w:val="231F20"/>
          <w:spacing w:val="-3"/>
        </w:rPr>
        <w:t> </w:t>
      </w:r>
      <w:r>
        <w:rPr>
          <w:color w:val="231F20"/>
          <w:spacing w:val="-2"/>
        </w:rPr>
        <w:t>Однако</w:t>
      </w:r>
      <w:r>
        <w:rPr>
          <w:color w:val="231F20"/>
          <w:spacing w:val="-3"/>
        </w:rPr>
        <w:t> </w:t>
      </w:r>
      <w:r>
        <w:rPr>
          <w:color w:val="231F20"/>
          <w:spacing w:val="-2"/>
        </w:rPr>
        <w:t>чаще</w:t>
      </w:r>
      <w:r>
        <w:rPr>
          <w:color w:val="231F20"/>
          <w:spacing w:val="-3"/>
        </w:rPr>
        <w:t> </w:t>
      </w:r>
      <w:r>
        <w:rPr>
          <w:color w:val="231F20"/>
          <w:spacing w:val="-2"/>
        </w:rPr>
        <w:t>темы </w:t>
      </w:r>
      <w:r>
        <w:rPr>
          <w:color w:val="231F20"/>
        </w:rPr>
        <w:t>проектов</w:t>
      </w:r>
      <w:r>
        <w:rPr>
          <w:color w:val="231F20"/>
          <w:spacing w:val="-13"/>
        </w:rPr>
        <w:t> </w:t>
      </w:r>
      <w:r>
        <w:rPr>
          <w:color w:val="231F20"/>
        </w:rPr>
        <w:t>относятся</w:t>
      </w:r>
      <w:r>
        <w:rPr>
          <w:color w:val="231F20"/>
          <w:spacing w:val="-12"/>
        </w:rPr>
        <w:t> </w:t>
      </w:r>
      <w:r>
        <w:rPr>
          <w:color w:val="231F20"/>
        </w:rPr>
        <w:t>к</w:t>
      </w:r>
      <w:r>
        <w:rPr>
          <w:color w:val="231F20"/>
          <w:spacing w:val="-13"/>
        </w:rPr>
        <w:t> </w:t>
      </w:r>
      <w:r>
        <w:rPr>
          <w:color w:val="231F20"/>
        </w:rPr>
        <w:t>какому-то</w:t>
      </w:r>
      <w:r>
        <w:rPr>
          <w:color w:val="231F20"/>
          <w:spacing w:val="-12"/>
        </w:rPr>
        <w:t> </w:t>
      </w:r>
      <w:r>
        <w:rPr>
          <w:color w:val="231F20"/>
        </w:rPr>
        <w:t>вопросу,</w:t>
      </w:r>
      <w:r>
        <w:rPr>
          <w:color w:val="231F20"/>
          <w:spacing w:val="-13"/>
        </w:rPr>
        <w:t> </w:t>
      </w:r>
      <w:r>
        <w:rPr>
          <w:color w:val="231F20"/>
        </w:rPr>
        <w:t>актуальному</w:t>
      </w:r>
      <w:r>
        <w:rPr>
          <w:color w:val="231F20"/>
          <w:spacing w:val="-12"/>
        </w:rPr>
        <w:t> </w:t>
      </w:r>
      <w:r>
        <w:rPr>
          <w:color w:val="231F20"/>
        </w:rPr>
        <w:t>для</w:t>
      </w:r>
      <w:r>
        <w:rPr>
          <w:color w:val="231F20"/>
          <w:spacing w:val="-13"/>
        </w:rPr>
        <w:t> </w:t>
      </w:r>
      <w:r>
        <w:rPr>
          <w:color w:val="231F20"/>
        </w:rPr>
        <w:t>практической</w:t>
      </w:r>
      <w:r>
        <w:rPr>
          <w:color w:val="231F20"/>
          <w:spacing w:val="-12"/>
        </w:rPr>
        <w:t> </w:t>
      </w:r>
      <w:r>
        <w:rPr>
          <w:color w:val="231F20"/>
        </w:rPr>
        <w:t>жизни</w:t>
      </w:r>
      <w:r>
        <w:rPr>
          <w:color w:val="231F20"/>
          <w:spacing w:val="-13"/>
        </w:rPr>
        <w:t> </w:t>
      </w:r>
      <w:r>
        <w:rPr>
          <w:color w:val="231F20"/>
        </w:rPr>
        <w:t>и</w:t>
      </w:r>
      <w:r>
        <w:rPr>
          <w:color w:val="231F20"/>
          <w:spacing w:val="-12"/>
        </w:rPr>
        <w:t> </w:t>
      </w:r>
      <w:r>
        <w:rPr>
          <w:color w:val="231F20"/>
        </w:rPr>
        <w:t>тре- бующему привлечения знаний учащихся не по одному предмету, а из разных обла- стей, а также творческого мышления и исследовательских навыков.</w:t>
      </w:r>
    </w:p>
    <w:p>
      <w:pPr>
        <w:pStyle w:val="BodyText"/>
        <w:spacing w:line="235" w:lineRule="auto" w:before="3"/>
      </w:pPr>
      <w:r>
        <w:rPr>
          <w:color w:val="231F20"/>
        </w:rPr>
        <w:t>Проект может быть индивидуальным (выполнен одним учащимся) либо груп- повым (выполнен группой учащихся). С точки зрения организации и методической проработки, групповой проект более сложный, чем индивидуальный, зато он позво- ляет развить многие важные для учащихся компетенции XXI века: сотрудничества, коммуникации</w:t>
      </w:r>
      <w:r>
        <w:rPr>
          <w:color w:val="231F20"/>
          <w:spacing w:val="-12"/>
        </w:rPr>
        <w:t> </w:t>
      </w:r>
      <w:r>
        <w:rPr>
          <w:color w:val="231F20"/>
        </w:rPr>
        <w:t>и</w:t>
      </w:r>
      <w:r>
        <w:rPr>
          <w:color w:val="231F20"/>
          <w:spacing w:val="-12"/>
        </w:rPr>
        <w:t> </w:t>
      </w:r>
      <w:r>
        <w:rPr>
          <w:color w:val="231F20"/>
        </w:rPr>
        <w:t>пр.</w:t>
      </w:r>
      <w:r>
        <w:rPr>
          <w:color w:val="231F20"/>
          <w:spacing w:val="-12"/>
        </w:rPr>
        <w:t> </w:t>
      </w:r>
      <w:r>
        <w:rPr>
          <w:color w:val="231F20"/>
        </w:rPr>
        <w:t>Групповой</w:t>
      </w:r>
      <w:r>
        <w:rPr>
          <w:color w:val="231F20"/>
          <w:spacing w:val="-12"/>
        </w:rPr>
        <w:t> </w:t>
      </w:r>
      <w:r>
        <w:rPr>
          <w:color w:val="231F20"/>
        </w:rPr>
        <w:t>проект</w:t>
      </w:r>
      <w:r>
        <w:rPr>
          <w:color w:val="231F20"/>
          <w:spacing w:val="-12"/>
        </w:rPr>
        <w:t> </w:t>
      </w:r>
      <w:r>
        <w:rPr>
          <w:color w:val="231F20"/>
        </w:rPr>
        <w:t>могут</w:t>
      </w:r>
      <w:r>
        <w:rPr>
          <w:color w:val="231F20"/>
          <w:spacing w:val="-12"/>
        </w:rPr>
        <w:t> </w:t>
      </w:r>
      <w:r>
        <w:rPr>
          <w:color w:val="231F20"/>
        </w:rPr>
        <w:t>выполнять</w:t>
      </w:r>
      <w:r>
        <w:rPr>
          <w:color w:val="231F20"/>
          <w:spacing w:val="-12"/>
        </w:rPr>
        <w:t> </w:t>
      </w:r>
      <w:r>
        <w:rPr>
          <w:color w:val="231F20"/>
        </w:rPr>
        <w:t>все</w:t>
      </w:r>
      <w:r>
        <w:rPr>
          <w:color w:val="231F20"/>
          <w:spacing w:val="-12"/>
        </w:rPr>
        <w:t> </w:t>
      </w:r>
      <w:r>
        <w:rPr>
          <w:color w:val="231F20"/>
        </w:rPr>
        <w:t>учащиеся</w:t>
      </w:r>
      <w:r>
        <w:rPr>
          <w:color w:val="231F20"/>
          <w:spacing w:val="-12"/>
        </w:rPr>
        <w:t> </w:t>
      </w:r>
      <w:r>
        <w:rPr>
          <w:color w:val="231F20"/>
        </w:rPr>
        <w:t>одного</w:t>
      </w:r>
      <w:r>
        <w:rPr>
          <w:color w:val="231F20"/>
          <w:spacing w:val="-12"/>
        </w:rPr>
        <w:t> </w:t>
      </w:r>
      <w:r>
        <w:rPr>
          <w:color w:val="231F20"/>
        </w:rPr>
        <w:t>класса, или в составе небольших групп (как правило, 3–5 человек), или учащиеся из разных классов, работающие над решением одной проблемы. Наиболее масштабный по ко- личеству</w:t>
      </w:r>
      <w:r>
        <w:rPr>
          <w:color w:val="231F20"/>
          <w:spacing w:val="-7"/>
        </w:rPr>
        <w:t> </w:t>
      </w:r>
      <w:r>
        <w:rPr>
          <w:color w:val="231F20"/>
        </w:rPr>
        <w:t>учащихся</w:t>
      </w:r>
      <w:r>
        <w:rPr>
          <w:color w:val="231F20"/>
          <w:spacing w:val="-7"/>
        </w:rPr>
        <w:t> </w:t>
      </w:r>
      <w:r>
        <w:rPr>
          <w:color w:val="231F20"/>
        </w:rPr>
        <w:t>проект</w:t>
      </w:r>
      <w:r>
        <w:rPr>
          <w:color w:val="231F20"/>
          <w:spacing w:val="-7"/>
        </w:rPr>
        <w:t> </w:t>
      </w:r>
      <w:r>
        <w:rPr>
          <w:color w:val="231F20"/>
        </w:rPr>
        <w:t>проводится</w:t>
      </w:r>
      <w:r>
        <w:rPr>
          <w:color w:val="231F20"/>
          <w:spacing w:val="-7"/>
        </w:rPr>
        <w:t> </w:t>
      </w:r>
      <w:r>
        <w:rPr>
          <w:color w:val="231F20"/>
        </w:rPr>
        <w:t>на</w:t>
      </w:r>
      <w:r>
        <w:rPr>
          <w:color w:val="231F20"/>
          <w:spacing w:val="-7"/>
        </w:rPr>
        <w:t> </w:t>
      </w:r>
      <w:r>
        <w:rPr>
          <w:color w:val="231F20"/>
        </w:rPr>
        <w:t>общешкольном</w:t>
      </w:r>
      <w:r>
        <w:rPr>
          <w:color w:val="231F20"/>
          <w:spacing w:val="-7"/>
        </w:rPr>
        <w:t> </w:t>
      </w:r>
      <w:r>
        <w:rPr>
          <w:color w:val="231F20"/>
        </w:rPr>
        <w:t>уровне,</w:t>
      </w:r>
      <w:r>
        <w:rPr>
          <w:color w:val="231F20"/>
          <w:spacing w:val="-7"/>
        </w:rPr>
        <w:t> </w:t>
      </w:r>
      <w:r>
        <w:rPr>
          <w:color w:val="231F20"/>
        </w:rPr>
        <w:t>с</w:t>
      </w:r>
      <w:r>
        <w:rPr>
          <w:color w:val="231F20"/>
          <w:spacing w:val="-7"/>
        </w:rPr>
        <w:t> </w:t>
      </w:r>
      <w:r>
        <w:rPr>
          <w:color w:val="231F20"/>
        </w:rPr>
        <w:t>вовлечением</w:t>
      </w:r>
      <w:r>
        <w:rPr>
          <w:color w:val="231F20"/>
          <w:spacing w:val="-7"/>
        </w:rPr>
        <w:t> </w:t>
      </w:r>
      <w:r>
        <w:rPr>
          <w:color w:val="231F20"/>
        </w:rPr>
        <w:t>зна- чительного числа участников образовательного процесса.</w:t>
      </w:r>
    </w:p>
    <w:p>
      <w:pPr>
        <w:pStyle w:val="BodyText"/>
        <w:spacing w:line="235" w:lineRule="auto" w:before="6"/>
      </w:pPr>
      <w:r>
        <w:rPr>
          <w:color w:val="231F20"/>
        </w:rPr>
        <w:t>Умение организовать и провести с учащимися учебный проект является сегодня важной</w:t>
      </w:r>
      <w:r>
        <w:rPr>
          <w:color w:val="231F20"/>
          <w:spacing w:val="-1"/>
        </w:rPr>
        <w:t> </w:t>
      </w:r>
      <w:r>
        <w:rPr>
          <w:color w:val="231F20"/>
        </w:rPr>
        <w:t>составной</w:t>
      </w:r>
      <w:r>
        <w:rPr>
          <w:color w:val="231F20"/>
          <w:spacing w:val="-1"/>
        </w:rPr>
        <w:t> </w:t>
      </w:r>
      <w:r>
        <w:rPr>
          <w:color w:val="231F20"/>
        </w:rPr>
        <w:t>частью</w:t>
      </w:r>
      <w:r>
        <w:rPr>
          <w:color w:val="231F20"/>
          <w:spacing w:val="-1"/>
        </w:rPr>
        <w:t> </w:t>
      </w:r>
      <w:r>
        <w:rPr>
          <w:color w:val="231F20"/>
        </w:rPr>
        <w:t>профессиональной</w:t>
      </w:r>
      <w:r>
        <w:rPr>
          <w:color w:val="231F20"/>
          <w:spacing w:val="-1"/>
        </w:rPr>
        <w:t> </w:t>
      </w:r>
      <w:r>
        <w:rPr>
          <w:color w:val="231F20"/>
        </w:rPr>
        <w:t>компетентности</w:t>
      </w:r>
      <w:r>
        <w:rPr>
          <w:color w:val="231F20"/>
          <w:spacing w:val="-1"/>
        </w:rPr>
        <w:t> </w:t>
      </w:r>
      <w:r>
        <w:rPr>
          <w:color w:val="231F20"/>
        </w:rPr>
        <w:t>педагога.</w:t>
      </w:r>
      <w:r>
        <w:rPr>
          <w:color w:val="231F20"/>
          <w:spacing w:val="-1"/>
        </w:rPr>
        <w:t> </w:t>
      </w:r>
      <w:r>
        <w:rPr>
          <w:color w:val="231F20"/>
        </w:rPr>
        <w:t>В</w:t>
      </w:r>
      <w:r>
        <w:rPr>
          <w:color w:val="231F20"/>
          <w:spacing w:val="-1"/>
        </w:rPr>
        <w:t> </w:t>
      </w:r>
      <w:r>
        <w:rPr>
          <w:color w:val="231F20"/>
        </w:rPr>
        <w:t>то</w:t>
      </w:r>
      <w:r>
        <w:rPr>
          <w:color w:val="231F20"/>
          <w:spacing w:val="-1"/>
        </w:rPr>
        <w:t> </w:t>
      </w:r>
      <w:r>
        <w:rPr>
          <w:color w:val="231F20"/>
        </w:rPr>
        <w:t>же</w:t>
      </w:r>
      <w:r>
        <w:rPr>
          <w:color w:val="231F20"/>
          <w:spacing w:val="-1"/>
        </w:rPr>
        <w:t> </w:t>
      </w:r>
      <w:r>
        <w:rPr>
          <w:color w:val="231F20"/>
        </w:rPr>
        <w:t>вре- мя при проведении общешкольных проектов важно, чтобы данная работа координи- ровалась на уровне методических объединений, либо временной рабочей (в данном случае</w:t>
      </w:r>
      <w:r>
        <w:rPr>
          <w:color w:val="231F20"/>
          <w:spacing w:val="-4"/>
        </w:rPr>
        <w:t> </w:t>
      </w:r>
      <w:r>
        <w:rPr>
          <w:color w:val="231F20"/>
        </w:rPr>
        <w:t>–</w:t>
      </w:r>
      <w:r>
        <w:rPr>
          <w:color w:val="231F20"/>
          <w:spacing w:val="-4"/>
        </w:rPr>
        <w:t> </w:t>
      </w:r>
      <w:r>
        <w:rPr>
          <w:color w:val="231F20"/>
        </w:rPr>
        <w:t>проектной)</w:t>
      </w:r>
      <w:r>
        <w:rPr>
          <w:color w:val="231F20"/>
          <w:spacing w:val="-4"/>
        </w:rPr>
        <w:t> </w:t>
      </w:r>
      <w:r>
        <w:rPr>
          <w:color w:val="231F20"/>
        </w:rPr>
        <w:t>группой</w:t>
      </w:r>
      <w:r>
        <w:rPr>
          <w:color w:val="231F20"/>
          <w:spacing w:val="-4"/>
        </w:rPr>
        <w:t> </w:t>
      </w:r>
      <w:r>
        <w:rPr>
          <w:color w:val="231F20"/>
        </w:rPr>
        <w:t>специалистов</w:t>
      </w:r>
      <w:r>
        <w:rPr>
          <w:color w:val="231F20"/>
          <w:spacing w:val="-4"/>
        </w:rPr>
        <w:t> </w:t>
      </w:r>
      <w:r>
        <w:rPr>
          <w:color w:val="231F20"/>
        </w:rPr>
        <w:t>школы,</w:t>
      </w:r>
      <w:r>
        <w:rPr>
          <w:color w:val="231F20"/>
          <w:spacing w:val="-4"/>
        </w:rPr>
        <w:t> </w:t>
      </w:r>
      <w:r>
        <w:rPr>
          <w:color w:val="231F20"/>
        </w:rPr>
        <w:t>которые</w:t>
      </w:r>
      <w:r>
        <w:rPr>
          <w:color w:val="231F20"/>
          <w:spacing w:val="-4"/>
        </w:rPr>
        <w:t> </w:t>
      </w:r>
      <w:r>
        <w:rPr>
          <w:color w:val="231F20"/>
        </w:rPr>
        <w:t>будут</w:t>
      </w:r>
      <w:r>
        <w:rPr>
          <w:color w:val="231F20"/>
          <w:spacing w:val="-4"/>
        </w:rPr>
        <w:t> </w:t>
      </w:r>
      <w:r>
        <w:rPr>
          <w:color w:val="231F20"/>
        </w:rPr>
        <w:t>планировать</w:t>
      </w:r>
      <w:r>
        <w:rPr>
          <w:color w:val="231F20"/>
          <w:spacing w:val="-4"/>
        </w:rPr>
        <w:t> </w:t>
      </w:r>
      <w:r>
        <w:rPr>
          <w:color w:val="231F20"/>
        </w:rPr>
        <w:t>и</w:t>
      </w:r>
      <w:r>
        <w:rPr>
          <w:color w:val="231F20"/>
          <w:spacing w:val="-4"/>
        </w:rPr>
        <w:t> </w:t>
      </w:r>
      <w:r>
        <w:rPr>
          <w:color w:val="231F20"/>
        </w:rPr>
        <w:t>со- гласовывать работу всех участников образовательного процесса.</w:t>
      </w:r>
    </w:p>
    <w:p>
      <w:pPr>
        <w:pStyle w:val="BodyText"/>
        <w:spacing w:line="235" w:lineRule="auto" w:before="4"/>
      </w:pPr>
      <w:r>
        <w:rPr>
          <w:color w:val="231F20"/>
        </w:rPr>
        <w:t>В школах, где создана инклюзивная образовательная среда, методика проектной деятельности</w:t>
      </w:r>
      <w:r>
        <w:rPr>
          <w:color w:val="231F20"/>
          <w:spacing w:val="-7"/>
        </w:rPr>
        <w:t> </w:t>
      </w:r>
      <w:r>
        <w:rPr>
          <w:color w:val="231F20"/>
        </w:rPr>
        <w:t>и</w:t>
      </w:r>
      <w:r>
        <w:rPr>
          <w:color w:val="231F20"/>
          <w:spacing w:val="-7"/>
        </w:rPr>
        <w:t> </w:t>
      </w:r>
      <w:r>
        <w:rPr>
          <w:color w:val="231F20"/>
        </w:rPr>
        <w:t>проведение</w:t>
      </w:r>
      <w:r>
        <w:rPr>
          <w:color w:val="231F20"/>
          <w:spacing w:val="-7"/>
        </w:rPr>
        <w:t> </w:t>
      </w:r>
      <w:r>
        <w:rPr>
          <w:color w:val="231F20"/>
        </w:rPr>
        <w:t>разных</w:t>
      </w:r>
      <w:r>
        <w:rPr>
          <w:color w:val="231F20"/>
          <w:spacing w:val="-7"/>
        </w:rPr>
        <w:t> </w:t>
      </w:r>
      <w:r>
        <w:rPr>
          <w:color w:val="231F20"/>
        </w:rPr>
        <w:t>по</w:t>
      </w:r>
      <w:r>
        <w:rPr>
          <w:color w:val="231F20"/>
          <w:spacing w:val="-7"/>
        </w:rPr>
        <w:t> </w:t>
      </w:r>
      <w:r>
        <w:rPr>
          <w:color w:val="231F20"/>
        </w:rPr>
        <w:t>уровню</w:t>
      </w:r>
      <w:r>
        <w:rPr>
          <w:color w:val="231F20"/>
          <w:spacing w:val="-7"/>
        </w:rPr>
        <w:t> </w:t>
      </w:r>
      <w:r>
        <w:rPr>
          <w:color w:val="231F20"/>
        </w:rPr>
        <w:t>и</w:t>
      </w:r>
      <w:r>
        <w:rPr>
          <w:color w:val="231F20"/>
          <w:spacing w:val="-7"/>
        </w:rPr>
        <w:t> </w:t>
      </w:r>
      <w:r>
        <w:rPr>
          <w:color w:val="231F20"/>
        </w:rPr>
        <w:t>направленности</w:t>
      </w:r>
      <w:r>
        <w:rPr>
          <w:color w:val="231F20"/>
          <w:spacing w:val="-7"/>
        </w:rPr>
        <w:t> </w:t>
      </w:r>
      <w:r>
        <w:rPr>
          <w:color w:val="231F20"/>
        </w:rPr>
        <w:t>групповых</w:t>
      </w:r>
      <w:r>
        <w:rPr>
          <w:color w:val="231F20"/>
          <w:spacing w:val="-7"/>
        </w:rPr>
        <w:t> </w:t>
      </w:r>
      <w:r>
        <w:rPr>
          <w:color w:val="231F20"/>
        </w:rPr>
        <w:t>учебных проектов</w:t>
      </w:r>
      <w:r>
        <w:rPr>
          <w:color w:val="231F20"/>
          <w:spacing w:val="-7"/>
        </w:rPr>
        <w:t> </w:t>
      </w:r>
      <w:r>
        <w:rPr>
          <w:color w:val="231F20"/>
        </w:rPr>
        <w:t>способствуют</w:t>
      </w:r>
      <w:r>
        <w:rPr>
          <w:color w:val="231F20"/>
          <w:spacing w:val="-7"/>
        </w:rPr>
        <w:t> </w:t>
      </w:r>
      <w:r>
        <w:rPr>
          <w:color w:val="231F20"/>
        </w:rPr>
        <w:t>вовлечению</w:t>
      </w:r>
      <w:r>
        <w:rPr>
          <w:color w:val="231F20"/>
          <w:spacing w:val="-7"/>
        </w:rPr>
        <w:t> </w:t>
      </w:r>
      <w:r>
        <w:rPr>
          <w:color w:val="231F20"/>
        </w:rPr>
        <w:t>в</w:t>
      </w:r>
      <w:r>
        <w:rPr>
          <w:color w:val="231F20"/>
          <w:spacing w:val="-7"/>
        </w:rPr>
        <w:t> </w:t>
      </w:r>
      <w:r>
        <w:rPr>
          <w:color w:val="231F20"/>
        </w:rPr>
        <w:t>образовательный</w:t>
      </w:r>
      <w:r>
        <w:rPr>
          <w:color w:val="231F20"/>
          <w:spacing w:val="-7"/>
        </w:rPr>
        <w:t> </w:t>
      </w:r>
      <w:r>
        <w:rPr>
          <w:color w:val="231F20"/>
        </w:rPr>
        <w:t>процесс</w:t>
      </w:r>
      <w:r>
        <w:rPr>
          <w:color w:val="231F20"/>
          <w:spacing w:val="-7"/>
        </w:rPr>
        <w:t> </w:t>
      </w:r>
      <w:r>
        <w:rPr>
          <w:color w:val="231F20"/>
        </w:rPr>
        <w:t>учеников</w:t>
      </w:r>
      <w:r>
        <w:rPr>
          <w:color w:val="231F20"/>
          <w:spacing w:val="-7"/>
        </w:rPr>
        <w:t> </w:t>
      </w:r>
      <w:r>
        <w:rPr>
          <w:color w:val="231F20"/>
        </w:rPr>
        <w:t>с</w:t>
      </w:r>
      <w:r>
        <w:rPr>
          <w:color w:val="231F20"/>
          <w:spacing w:val="-7"/>
        </w:rPr>
        <w:t> </w:t>
      </w:r>
      <w:r>
        <w:rPr>
          <w:color w:val="231F20"/>
        </w:rPr>
        <w:t>особыми </w:t>
      </w:r>
      <w:r>
        <w:rPr>
          <w:color w:val="231F20"/>
          <w:spacing w:val="-2"/>
        </w:rPr>
        <w:t>образовательными</w:t>
      </w:r>
      <w:r>
        <w:rPr>
          <w:color w:val="231F20"/>
          <w:spacing w:val="-10"/>
        </w:rPr>
        <w:t> </w:t>
      </w:r>
      <w:r>
        <w:rPr>
          <w:color w:val="231F20"/>
          <w:spacing w:val="-2"/>
        </w:rPr>
        <w:t>потребностями,</w:t>
      </w:r>
      <w:r>
        <w:rPr>
          <w:color w:val="231F20"/>
          <w:spacing w:val="-10"/>
        </w:rPr>
        <w:t> </w:t>
      </w:r>
      <w:r>
        <w:rPr>
          <w:color w:val="231F20"/>
          <w:spacing w:val="-2"/>
        </w:rPr>
        <w:t>формируют</w:t>
      </w:r>
      <w:r>
        <w:rPr>
          <w:color w:val="231F20"/>
          <w:spacing w:val="-10"/>
        </w:rPr>
        <w:t> </w:t>
      </w:r>
      <w:r>
        <w:rPr>
          <w:color w:val="231F20"/>
          <w:spacing w:val="-2"/>
        </w:rPr>
        <w:t>предпосылки</w:t>
      </w:r>
      <w:r>
        <w:rPr>
          <w:color w:val="231F20"/>
          <w:spacing w:val="-10"/>
        </w:rPr>
        <w:t> </w:t>
      </w:r>
      <w:r>
        <w:rPr>
          <w:color w:val="231F20"/>
          <w:spacing w:val="-2"/>
        </w:rPr>
        <w:t>для</w:t>
      </w:r>
      <w:r>
        <w:rPr>
          <w:color w:val="231F20"/>
          <w:spacing w:val="-10"/>
        </w:rPr>
        <w:t> </w:t>
      </w:r>
      <w:r>
        <w:rPr>
          <w:color w:val="231F20"/>
          <w:spacing w:val="-2"/>
        </w:rPr>
        <w:t>повышения</w:t>
      </w:r>
      <w:r>
        <w:rPr>
          <w:color w:val="231F20"/>
          <w:spacing w:val="-10"/>
        </w:rPr>
        <w:t> </w:t>
      </w:r>
      <w:r>
        <w:rPr>
          <w:color w:val="231F20"/>
          <w:spacing w:val="-2"/>
        </w:rPr>
        <w:t>их</w:t>
      </w:r>
      <w:r>
        <w:rPr>
          <w:color w:val="231F20"/>
          <w:spacing w:val="-10"/>
        </w:rPr>
        <w:t> </w:t>
      </w:r>
      <w:r>
        <w:rPr>
          <w:color w:val="231F20"/>
          <w:spacing w:val="-2"/>
        </w:rPr>
        <w:t>акаде- </w:t>
      </w:r>
      <w:r>
        <w:rPr>
          <w:color w:val="231F20"/>
        </w:rPr>
        <w:t>мической</w:t>
      </w:r>
      <w:r>
        <w:rPr>
          <w:color w:val="231F20"/>
          <w:spacing w:val="-12"/>
        </w:rPr>
        <w:t> </w:t>
      </w:r>
      <w:r>
        <w:rPr>
          <w:color w:val="231F20"/>
        </w:rPr>
        <w:t>и</w:t>
      </w:r>
      <w:r>
        <w:rPr>
          <w:color w:val="231F20"/>
          <w:spacing w:val="-12"/>
        </w:rPr>
        <w:t> </w:t>
      </w:r>
      <w:r>
        <w:rPr>
          <w:color w:val="231F20"/>
        </w:rPr>
        <w:t>личностной</w:t>
      </w:r>
      <w:r>
        <w:rPr>
          <w:color w:val="231F20"/>
          <w:spacing w:val="-12"/>
        </w:rPr>
        <w:t> </w:t>
      </w:r>
      <w:r>
        <w:rPr>
          <w:color w:val="231F20"/>
        </w:rPr>
        <w:t>успешности</w:t>
      </w:r>
      <w:r>
        <w:rPr>
          <w:color w:val="231F20"/>
          <w:spacing w:val="-12"/>
        </w:rPr>
        <w:t> </w:t>
      </w:r>
      <w:r>
        <w:rPr>
          <w:color w:val="231F20"/>
        </w:rPr>
        <w:t>в</w:t>
      </w:r>
      <w:r>
        <w:rPr>
          <w:color w:val="231F20"/>
          <w:spacing w:val="-12"/>
        </w:rPr>
        <w:t> </w:t>
      </w:r>
      <w:r>
        <w:rPr>
          <w:color w:val="231F20"/>
        </w:rPr>
        <w:t>различных</w:t>
      </w:r>
      <w:r>
        <w:rPr>
          <w:color w:val="231F20"/>
          <w:spacing w:val="-12"/>
        </w:rPr>
        <w:t> </w:t>
      </w:r>
      <w:r>
        <w:rPr>
          <w:color w:val="231F20"/>
        </w:rPr>
        <w:t>направлениях</w:t>
      </w:r>
      <w:r>
        <w:rPr>
          <w:color w:val="231F20"/>
          <w:spacing w:val="-12"/>
        </w:rPr>
        <w:t> </w:t>
      </w:r>
      <w:r>
        <w:rPr>
          <w:color w:val="231F20"/>
        </w:rPr>
        <w:t>деятельности</w:t>
      </w:r>
      <w:r>
        <w:rPr>
          <w:color w:val="231F20"/>
          <w:spacing w:val="-12"/>
        </w:rPr>
        <w:t> </w:t>
      </w:r>
      <w:r>
        <w:rPr>
          <w:color w:val="231F20"/>
        </w:rPr>
        <w:t>школы.</w:t>
      </w:r>
    </w:p>
    <w:p>
      <w:pPr>
        <w:pStyle w:val="BodyText"/>
        <w:spacing w:line="235" w:lineRule="auto" w:before="3"/>
      </w:pPr>
      <w:r>
        <w:rPr>
          <w:color w:val="231F20"/>
        </w:rPr>
        <w:t>Инклюзивная школьная среда отличается от обычной по целому ряду признаков, среди которых особое место занимает активное участие родителей в подготовке и проведении</w:t>
      </w:r>
      <w:r>
        <w:rPr>
          <w:color w:val="231F20"/>
          <w:spacing w:val="-1"/>
        </w:rPr>
        <w:t> </w:t>
      </w:r>
      <w:r>
        <w:rPr>
          <w:color w:val="231F20"/>
        </w:rPr>
        <w:t>школьных</w:t>
      </w:r>
      <w:r>
        <w:rPr>
          <w:color w:val="231F20"/>
          <w:spacing w:val="-1"/>
        </w:rPr>
        <w:t> </w:t>
      </w:r>
      <w:r>
        <w:rPr>
          <w:color w:val="231F20"/>
        </w:rPr>
        <w:t>мероприятий.</w:t>
      </w:r>
      <w:r>
        <w:rPr>
          <w:color w:val="231F20"/>
          <w:spacing w:val="-1"/>
        </w:rPr>
        <w:t> </w:t>
      </w:r>
      <w:r>
        <w:rPr>
          <w:color w:val="231F20"/>
        </w:rPr>
        <w:t>Как</w:t>
      </w:r>
      <w:r>
        <w:rPr>
          <w:color w:val="231F20"/>
          <w:spacing w:val="-1"/>
        </w:rPr>
        <w:t> </w:t>
      </w:r>
      <w:r>
        <w:rPr>
          <w:color w:val="231F20"/>
        </w:rPr>
        <w:t>правило,</w:t>
      </w:r>
      <w:r>
        <w:rPr>
          <w:color w:val="231F20"/>
          <w:spacing w:val="-1"/>
        </w:rPr>
        <w:t> </w:t>
      </w:r>
      <w:r>
        <w:rPr>
          <w:color w:val="231F20"/>
        </w:rPr>
        <w:t>родители</w:t>
      </w:r>
      <w:r>
        <w:rPr>
          <w:color w:val="231F20"/>
          <w:spacing w:val="-1"/>
        </w:rPr>
        <w:t> </w:t>
      </w:r>
      <w:r>
        <w:rPr>
          <w:color w:val="231F20"/>
        </w:rPr>
        <w:t>в</w:t>
      </w:r>
      <w:r>
        <w:rPr>
          <w:color w:val="231F20"/>
          <w:spacing w:val="-1"/>
        </w:rPr>
        <w:t> </w:t>
      </w:r>
      <w:r>
        <w:rPr>
          <w:color w:val="231F20"/>
        </w:rPr>
        <w:t>инклюзивных</w:t>
      </w:r>
      <w:r>
        <w:rPr>
          <w:color w:val="231F20"/>
          <w:spacing w:val="-1"/>
        </w:rPr>
        <w:t> </w:t>
      </w:r>
      <w:r>
        <w:rPr>
          <w:color w:val="231F20"/>
        </w:rPr>
        <w:t>школах больше времени проводят в школе, входят в состав различных комиссий, участвуют в работе органов общественно-государственного самоуправления. При организации общешкольных проектов по значимой для учащихся теме активные родители также могут</w:t>
      </w:r>
      <w:r>
        <w:rPr>
          <w:color w:val="231F20"/>
          <w:spacing w:val="-13"/>
        </w:rPr>
        <w:t> </w:t>
      </w:r>
      <w:r>
        <w:rPr>
          <w:color w:val="231F20"/>
        </w:rPr>
        <w:t>быть</w:t>
      </w:r>
      <w:r>
        <w:rPr>
          <w:color w:val="231F20"/>
          <w:spacing w:val="-12"/>
        </w:rPr>
        <w:t> </w:t>
      </w:r>
      <w:r>
        <w:rPr>
          <w:color w:val="231F20"/>
        </w:rPr>
        <w:t>привлечены</w:t>
      </w:r>
      <w:r>
        <w:rPr>
          <w:color w:val="231F20"/>
          <w:spacing w:val="-13"/>
        </w:rPr>
        <w:t> </w:t>
      </w:r>
      <w:r>
        <w:rPr>
          <w:color w:val="231F20"/>
        </w:rPr>
        <w:t>к</w:t>
      </w:r>
      <w:r>
        <w:rPr>
          <w:color w:val="231F20"/>
          <w:spacing w:val="-12"/>
        </w:rPr>
        <w:t> </w:t>
      </w:r>
      <w:r>
        <w:rPr>
          <w:color w:val="231F20"/>
        </w:rPr>
        <w:t>работе:</w:t>
      </w:r>
      <w:r>
        <w:rPr>
          <w:color w:val="231F20"/>
          <w:spacing w:val="-13"/>
        </w:rPr>
        <w:t> </w:t>
      </w:r>
      <w:r>
        <w:rPr>
          <w:color w:val="231F20"/>
        </w:rPr>
        <w:t>будут</w:t>
      </w:r>
      <w:r>
        <w:rPr>
          <w:color w:val="231F20"/>
          <w:spacing w:val="-12"/>
        </w:rPr>
        <w:t> </w:t>
      </w:r>
      <w:r>
        <w:rPr>
          <w:color w:val="231F20"/>
        </w:rPr>
        <w:t>помогать</w:t>
      </w:r>
      <w:r>
        <w:rPr>
          <w:color w:val="231F20"/>
          <w:spacing w:val="-13"/>
        </w:rPr>
        <w:t> </w:t>
      </w:r>
      <w:r>
        <w:rPr>
          <w:color w:val="231F20"/>
        </w:rPr>
        <w:t>учащимся</w:t>
      </w:r>
      <w:r>
        <w:rPr>
          <w:color w:val="231F20"/>
          <w:spacing w:val="-12"/>
        </w:rPr>
        <w:t> </w:t>
      </w:r>
      <w:r>
        <w:rPr>
          <w:color w:val="231F20"/>
        </w:rPr>
        <w:t>проводить</w:t>
      </w:r>
      <w:r>
        <w:rPr>
          <w:color w:val="231F20"/>
          <w:spacing w:val="-13"/>
        </w:rPr>
        <w:t> </w:t>
      </w:r>
      <w:r>
        <w:rPr>
          <w:color w:val="231F20"/>
        </w:rPr>
        <w:t>исследования, готовить</w:t>
      </w:r>
      <w:r>
        <w:rPr>
          <w:color w:val="231F20"/>
          <w:spacing w:val="-6"/>
        </w:rPr>
        <w:t> </w:t>
      </w:r>
      <w:r>
        <w:rPr>
          <w:color w:val="231F20"/>
        </w:rPr>
        <w:t>вместе</w:t>
      </w:r>
      <w:r>
        <w:rPr>
          <w:color w:val="231F20"/>
          <w:spacing w:val="-6"/>
        </w:rPr>
        <w:t> </w:t>
      </w:r>
      <w:r>
        <w:rPr>
          <w:color w:val="231F20"/>
        </w:rPr>
        <w:t>с</w:t>
      </w:r>
      <w:r>
        <w:rPr>
          <w:color w:val="231F20"/>
          <w:spacing w:val="-6"/>
        </w:rPr>
        <w:t> </w:t>
      </w:r>
      <w:r>
        <w:rPr>
          <w:color w:val="231F20"/>
        </w:rPr>
        <w:t>ними</w:t>
      </w:r>
      <w:r>
        <w:rPr>
          <w:color w:val="231F20"/>
          <w:spacing w:val="-6"/>
        </w:rPr>
        <w:t> </w:t>
      </w:r>
      <w:r>
        <w:rPr>
          <w:color w:val="231F20"/>
        </w:rPr>
        <w:t>материалы</w:t>
      </w:r>
      <w:r>
        <w:rPr>
          <w:color w:val="231F20"/>
          <w:spacing w:val="-6"/>
        </w:rPr>
        <w:t> </w:t>
      </w:r>
      <w:r>
        <w:rPr>
          <w:color w:val="231F20"/>
        </w:rPr>
        <w:t>для</w:t>
      </w:r>
      <w:r>
        <w:rPr>
          <w:color w:val="231F20"/>
          <w:spacing w:val="-6"/>
        </w:rPr>
        <w:t> </w:t>
      </w:r>
      <w:r>
        <w:rPr>
          <w:color w:val="231F20"/>
        </w:rPr>
        <w:t>презентаций,</w:t>
      </w:r>
      <w:r>
        <w:rPr>
          <w:color w:val="231F20"/>
          <w:spacing w:val="-5"/>
        </w:rPr>
        <w:t> </w:t>
      </w:r>
      <w:r>
        <w:rPr>
          <w:color w:val="231F20"/>
        </w:rPr>
        <w:t>выступать</w:t>
      </w:r>
      <w:r>
        <w:rPr>
          <w:color w:val="231F20"/>
          <w:spacing w:val="-6"/>
        </w:rPr>
        <w:t> </w:t>
      </w:r>
      <w:r>
        <w:rPr>
          <w:color w:val="231F20"/>
        </w:rPr>
        <w:t>в</w:t>
      </w:r>
      <w:r>
        <w:rPr>
          <w:color w:val="231F20"/>
          <w:spacing w:val="-6"/>
        </w:rPr>
        <w:t> </w:t>
      </w:r>
      <w:r>
        <w:rPr>
          <w:color w:val="231F20"/>
        </w:rPr>
        <w:t>роли</w:t>
      </w:r>
      <w:r>
        <w:rPr>
          <w:color w:val="231F20"/>
          <w:spacing w:val="-6"/>
        </w:rPr>
        <w:t> </w:t>
      </w:r>
      <w:r>
        <w:rPr>
          <w:color w:val="231F20"/>
        </w:rPr>
        <w:t>экспертов</w:t>
      </w:r>
      <w:r>
        <w:rPr>
          <w:color w:val="231F20"/>
          <w:spacing w:val="-6"/>
        </w:rPr>
        <w:t> </w:t>
      </w:r>
      <w:r>
        <w:rPr>
          <w:color w:val="231F20"/>
        </w:rPr>
        <w:t>при подведении итогов проекта и так далее.</w:t>
      </w:r>
    </w:p>
    <w:p>
      <w:pPr>
        <w:spacing w:line="228" w:lineRule="exact" w:before="115"/>
        <w:ind w:left="425" w:right="0" w:firstLine="0"/>
        <w:jc w:val="both"/>
        <w:rPr>
          <w:b/>
          <w:sz w:val="20"/>
        </w:rPr>
      </w:pPr>
      <w:r>
        <w:rPr>
          <w:b/>
          <w:color w:val="231F20"/>
          <w:sz w:val="20"/>
        </w:rPr>
        <w:t>Сроки</w:t>
      </w:r>
      <w:r>
        <w:rPr>
          <w:b/>
          <w:color w:val="231F20"/>
          <w:spacing w:val="-5"/>
          <w:sz w:val="20"/>
        </w:rPr>
        <w:t> </w:t>
      </w:r>
      <w:r>
        <w:rPr>
          <w:b/>
          <w:color w:val="231F20"/>
          <w:sz w:val="20"/>
        </w:rPr>
        <w:t>выполнения</w:t>
      </w:r>
      <w:r>
        <w:rPr>
          <w:b/>
          <w:color w:val="231F20"/>
          <w:spacing w:val="-3"/>
          <w:sz w:val="20"/>
        </w:rPr>
        <w:t> </w:t>
      </w:r>
      <w:r>
        <w:rPr>
          <w:b/>
          <w:color w:val="231F20"/>
          <w:sz w:val="20"/>
        </w:rPr>
        <w:t>и</w:t>
      </w:r>
      <w:r>
        <w:rPr>
          <w:b/>
          <w:color w:val="231F20"/>
          <w:spacing w:val="-4"/>
          <w:sz w:val="20"/>
        </w:rPr>
        <w:t> </w:t>
      </w:r>
      <w:r>
        <w:rPr>
          <w:b/>
          <w:color w:val="231F20"/>
          <w:sz w:val="20"/>
        </w:rPr>
        <w:t>содержание</w:t>
      </w:r>
      <w:r>
        <w:rPr>
          <w:b/>
          <w:color w:val="231F20"/>
          <w:spacing w:val="-3"/>
          <w:sz w:val="20"/>
        </w:rPr>
        <w:t> </w:t>
      </w:r>
      <w:r>
        <w:rPr>
          <w:b/>
          <w:color w:val="231F20"/>
          <w:spacing w:val="-2"/>
          <w:sz w:val="20"/>
        </w:rPr>
        <w:t>проектов</w:t>
      </w:r>
    </w:p>
    <w:p>
      <w:pPr>
        <w:pStyle w:val="BodyText"/>
        <w:spacing w:line="235" w:lineRule="auto" w:before="2"/>
      </w:pPr>
      <w:r>
        <w:rPr>
          <w:color w:val="231F20"/>
        </w:rPr>
        <w:t>По срокам проведения проекты бывают краткосрочные (от нескольких дней до нескольких</w:t>
      </w:r>
      <w:r>
        <w:rPr>
          <w:color w:val="231F20"/>
          <w:spacing w:val="-11"/>
        </w:rPr>
        <w:t> </w:t>
      </w:r>
      <w:r>
        <w:rPr>
          <w:color w:val="231F20"/>
        </w:rPr>
        <w:t>недель),</w:t>
      </w:r>
      <w:r>
        <w:rPr>
          <w:color w:val="231F20"/>
          <w:spacing w:val="-11"/>
        </w:rPr>
        <w:t> </w:t>
      </w:r>
      <w:r>
        <w:rPr>
          <w:color w:val="231F20"/>
        </w:rPr>
        <w:t>среднесрочные</w:t>
      </w:r>
      <w:r>
        <w:rPr>
          <w:color w:val="231F20"/>
          <w:spacing w:val="-11"/>
        </w:rPr>
        <w:t> </w:t>
      </w:r>
      <w:r>
        <w:rPr>
          <w:color w:val="231F20"/>
        </w:rPr>
        <w:t>(1–2</w:t>
      </w:r>
      <w:r>
        <w:rPr>
          <w:color w:val="231F20"/>
          <w:spacing w:val="-11"/>
        </w:rPr>
        <w:t> </w:t>
      </w:r>
      <w:r>
        <w:rPr>
          <w:color w:val="231F20"/>
        </w:rPr>
        <w:t>месяца)</w:t>
      </w:r>
      <w:r>
        <w:rPr>
          <w:color w:val="231F20"/>
          <w:spacing w:val="-11"/>
        </w:rPr>
        <w:t> </w:t>
      </w:r>
      <w:r>
        <w:rPr>
          <w:color w:val="231F20"/>
        </w:rPr>
        <w:t>и</w:t>
      </w:r>
      <w:r>
        <w:rPr>
          <w:color w:val="231F20"/>
          <w:spacing w:val="-11"/>
        </w:rPr>
        <w:t> </w:t>
      </w:r>
      <w:r>
        <w:rPr>
          <w:color w:val="231F20"/>
        </w:rPr>
        <w:t>долгосрочные</w:t>
      </w:r>
      <w:r>
        <w:rPr>
          <w:color w:val="231F20"/>
          <w:spacing w:val="-11"/>
        </w:rPr>
        <w:t> </w:t>
      </w:r>
      <w:r>
        <w:rPr>
          <w:color w:val="231F20"/>
        </w:rPr>
        <w:t>(до</w:t>
      </w:r>
      <w:r>
        <w:rPr>
          <w:color w:val="231F20"/>
          <w:spacing w:val="-11"/>
        </w:rPr>
        <w:t> </w:t>
      </w:r>
      <w:r>
        <w:rPr>
          <w:color w:val="231F20"/>
        </w:rPr>
        <w:t>года).</w:t>
      </w:r>
      <w:r>
        <w:rPr>
          <w:color w:val="231F20"/>
          <w:spacing w:val="-11"/>
        </w:rPr>
        <w:t> </w:t>
      </w:r>
      <w:r>
        <w:rPr>
          <w:color w:val="231F20"/>
        </w:rPr>
        <w:t>Наиболее эффективными с точки зрения поддержания мотивации учащихся и достижения ре- зультатов оказываются краткосрочные и среднесрочные проекты.</w:t>
      </w:r>
    </w:p>
    <w:p>
      <w:pPr>
        <w:pStyle w:val="BodyText"/>
        <w:spacing w:line="235" w:lineRule="auto" w:before="2"/>
      </w:pPr>
      <w:r>
        <w:rPr>
          <w:color w:val="231F20"/>
        </w:rPr>
        <w:t>По предметно-содержательной области школьные проекты могут проводиться в </w:t>
      </w:r>
      <w:r>
        <w:rPr>
          <w:color w:val="231F20"/>
          <w:spacing w:val="-2"/>
        </w:rPr>
        <w:t>рамках</w:t>
      </w:r>
      <w:r>
        <w:rPr>
          <w:color w:val="231F20"/>
          <w:spacing w:val="-9"/>
        </w:rPr>
        <w:t> </w:t>
      </w:r>
      <w:r>
        <w:rPr>
          <w:color w:val="231F20"/>
          <w:spacing w:val="-2"/>
        </w:rPr>
        <w:t>одного</w:t>
      </w:r>
      <w:r>
        <w:rPr>
          <w:color w:val="231F20"/>
          <w:spacing w:val="-9"/>
        </w:rPr>
        <w:t> </w:t>
      </w:r>
      <w:r>
        <w:rPr>
          <w:color w:val="231F20"/>
          <w:spacing w:val="-2"/>
        </w:rPr>
        <w:t>учебного</w:t>
      </w:r>
      <w:r>
        <w:rPr>
          <w:color w:val="231F20"/>
          <w:spacing w:val="-9"/>
        </w:rPr>
        <w:t> </w:t>
      </w:r>
      <w:r>
        <w:rPr>
          <w:color w:val="231F20"/>
          <w:spacing w:val="-2"/>
        </w:rPr>
        <w:t>предмета,</w:t>
      </w:r>
      <w:r>
        <w:rPr>
          <w:color w:val="231F20"/>
          <w:spacing w:val="-9"/>
        </w:rPr>
        <w:t> </w:t>
      </w:r>
      <w:r>
        <w:rPr>
          <w:color w:val="231F20"/>
          <w:spacing w:val="-2"/>
        </w:rPr>
        <w:t>быть</w:t>
      </w:r>
      <w:r>
        <w:rPr>
          <w:color w:val="231F20"/>
          <w:spacing w:val="-9"/>
        </w:rPr>
        <w:t> </w:t>
      </w:r>
      <w:r>
        <w:rPr>
          <w:color w:val="231F20"/>
          <w:spacing w:val="-2"/>
        </w:rPr>
        <w:t>межпредметными</w:t>
      </w:r>
      <w:r>
        <w:rPr>
          <w:color w:val="231F20"/>
          <w:spacing w:val="-9"/>
        </w:rPr>
        <w:t> </w:t>
      </w:r>
      <w:r>
        <w:rPr>
          <w:color w:val="231F20"/>
          <w:spacing w:val="-2"/>
        </w:rPr>
        <w:t>(когда</w:t>
      </w:r>
      <w:r>
        <w:rPr>
          <w:color w:val="231F20"/>
          <w:spacing w:val="-9"/>
        </w:rPr>
        <w:t> </w:t>
      </w:r>
      <w:r>
        <w:rPr>
          <w:color w:val="231F20"/>
          <w:spacing w:val="-2"/>
        </w:rPr>
        <w:t>для</w:t>
      </w:r>
      <w:r>
        <w:rPr>
          <w:color w:val="231F20"/>
          <w:spacing w:val="-9"/>
        </w:rPr>
        <w:t> </w:t>
      </w:r>
      <w:r>
        <w:rPr>
          <w:color w:val="231F20"/>
          <w:spacing w:val="-2"/>
        </w:rPr>
        <w:t>выполнения</w:t>
      </w:r>
      <w:r>
        <w:rPr>
          <w:color w:val="231F20"/>
          <w:spacing w:val="-9"/>
        </w:rPr>
        <w:t> </w:t>
      </w:r>
      <w:r>
        <w:rPr>
          <w:color w:val="231F20"/>
          <w:spacing w:val="-2"/>
        </w:rPr>
        <w:t>про- </w:t>
      </w:r>
      <w:r>
        <w:rPr>
          <w:color w:val="231F20"/>
        </w:rPr>
        <w:t>екта</w:t>
      </w:r>
      <w:r>
        <w:rPr>
          <w:color w:val="231F20"/>
          <w:spacing w:val="4"/>
        </w:rPr>
        <w:t> </w:t>
      </w:r>
      <w:r>
        <w:rPr>
          <w:color w:val="231F20"/>
        </w:rPr>
        <w:t>учащимся</w:t>
      </w:r>
      <w:r>
        <w:rPr>
          <w:color w:val="231F20"/>
          <w:spacing w:val="5"/>
        </w:rPr>
        <w:t> </w:t>
      </w:r>
      <w:r>
        <w:rPr>
          <w:color w:val="231F20"/>
        </w:rPr>
        <w:t>требуются</w:t>
      </w:r>
      <w:r>
        <w:rPr>
          <w:color w:val="231F20"/>
          <w:spacing w:val="5"/>
        </w:rPr>
        <w:t> </w:t>
      </w:r>
      <w:r>
        <w:rPr>
          <w:color w:val="231F20"/>
        </w:rPr>
        <w:t>знания</w:t>
      </w:r>
      <w:r>
        <w:rPr>
          <w:color w:val="231F20"/>
          <w:spacing w:val="5"/>
        </w:rPr>
        <w:t> </w:t>
      </w:r>
      <w:r>
        <w:rPr>
          <w:color w:val="231F20"/>
        </w:rPr>
        <w:t>из</w:t>
      </w:r>
      <w:r>
        <w:rPr>
          <w:color w:val="231F20"/>
          <w:spacing w:val="5"/>
        </w:rPr>
        <w:t> </w:t>
      </w:r>
      <w:r>
        <w:rPr>
          <w:color w:val="231F20"/>
        </w:rPr>
        <w:t>нескольких</w:t>
      </w:r>
      <w:r>
        <w:rPr>
          <w:color w:val="231F20"/>
          <w:spacing w:val="5"/>
        </w:rPr>
        <w:t> </w:t>
      </w:r>
      <w:r>
        <w:rPr>
          <w:color w:val="231F20"/>
        </w:rPr>
        <w:t>предметных</w:t>
      </w:r>
      <w:r>
        <w:rPr>
          <w:color w:val="231F20"/>
          <w:spacing w:val="5"/>
        </w:rPr>
        <w:t> </w:t>
      </w:r>
      <w:r>
        <w:rPr>
          <w:color w:val="231F20"/>
        </w:rPr>
        <w:t>дисциплин)</w:t>
      </w:r>
      <w:r>
        <w:rPr>
          <w:color w:val="231F20"/>
          <w:spacing w:val="5"/>
        </w:rPr>
        <w:t> </w:t>
      </w:r>
      <w:r>
        <w:rPr>
          <w:color w:val="231F20"/>
        </w:rPr>
        <w:t>и</w:t>
      </w:r>
      <w:r>
        <w:rPr>
          <w:color w:val="231F20"/>
          <w:spacing w:val="4"/>
        </w:rPr>
        <w:t> </w:t>
      </w:r>
      <w:r>
        <w:rPr>
          <w:color w:val="231F20"/>
          <w:spacing w:val="-2"/>
        </w:rPr>
        <w:t>внепред-</w:t>
      </w:r>
    </w:p>
    <w:p>
      <w:pPr>
        <w:pStyle w:val="BodyText"/>
        <w:spacing w:after="0" w:line="235" w:lineRule="auto"/>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0" w:lineRule="auto" w:before="119"/>
        <w:ind w:firstLine="0"/>
      </w:pPr>
      <w:r>
        <w:rPr>
          <w:color w:val="231F20"/>
        </w:rPr>
        <w:t>метными</w:t>
      </w:r>
      <w:r>
        <w:rPr>
          <w:color w:val="231F20"/>
          <w:spacing w:val="-8"/>
        </w:rPr>
        <w:t> </w:t>
      </w:r>
      <w:r>
        <w:rPr>
          <w:color w:val="231F20"/>
        </w:rPr>
        <w:t>(когда</w:t>
      </w:r>
      <w:r>
        <w:rPr>
          <w:color w:val="231F20"/>
          <w:spacing w:val="-8"/>
        </w:rPr>
        <w:t> </w:t>
      </w:r>
      <w:r>
        <w:rPr>
          <w:color w:val="231F20"/>
        </w:rPr>
        <w:t>проблема,</w:t>
      </w:r>
      <w:r>
        <w:rPr>
          <w:color w:val="231F20"/>
          <w:spacing w:val="-8"/>
        </w:rPr>
        <w:t> </w:t>
      </w:r>
      <w:r>
        <w:rPr>
          <w:color w:val="231F20"/>
        </w:rPr>
        <w:t>над</w:t>
      </w:r>
      <w:r>
        <w:rPr>
          <w:color w:val="231F20"/>
          <w:spacing w:val="-8"/>
        </w:rPr>
        <w:t> </w:t>
      </w:r>
      <w:r>
        <w:rPr>
          <w:color w:val="231F20"/>
        </w:rPr>
        <w:t>которой</w:t>
      </w:r>
      <w:r>
        <w:rPr>
          <w:color w:val="231F20"/>
          <w:spacing w:val="-8"/>
        </w:rPr>
        <w:t> </w:t>
      </w:r>
      <w:r>
        <w:rPr>
          <w:color w:val="231F20"/>
        </w:rPr>
        <w:t>работают</w:t>
      </w:r>
      <w:r>
        <w:rPr>
          <w:color w:val="231F20"/>
          <w:spacing w:val="-8"/>
        </w:rPr>
        <w:t> </w:t>
      </w:r>
      <w:r>
        <w:rPr>
          <w:color w:val="231F20"/>
        </w:rPr>
        <w:t>учащиеся,</w:t>
      </w:r>
      <w:r>
        <w:rPr>
          <w:color w:val="231F20"/>
          <w:spacing w:val="-8"/>
        </w:rPr>
        <w:t> </w:t>
      </w:r>
      <w:r>
        <w:rPr>
          <w:color w:val="231F20"/>
        </w:rPr>
        <w:t>выходит</w:t>
      </w:r>
      <w:r>
        <w:rPr>
          <w:color w:val="231F20"/>
          <w:spacing w:val="-8"/>
        </w:rPr>
        <w:t> </w:t>
      </w:r>
      <w:r>
        <w:rPr>
          <w:color w:val="231F20"/>
        </w:rPr>
        <w:t>за</w:t>
      </w:r>
      <w:r>
        <w:rPr>
          <w:color w:val="231F20"/>
          <w:spacing w:val="-8"/>
        </w:rPr>
        <w:t> </w:t>
      </w:r>
      <w:r>
        <w:rPr>
          <w:color w:val="231F20"/>
        </w:rPr>
        <w:t>рамки</w:t>
      </w:r>
      <w:r>
        <w:rPr>
          <w:color w:val="231F20"/>
          <w:spacing w:val="-8"/>
        </w:rPr>
        <w:t> </w:t>
      </w:r>
      <w:r>
        <w:rPr>
          <w:color w:val="231F20"/>
        </w:rPr>
        <w:t>тради- ционных предметов и требует интегративного подхода и оригинальных решений).</w:t>
      </w:r>
    </w:p>
    <w:p>
      <w:pPr>
        <w:pStyle w:val="BodyText"/>
        <w:spacing w:line="230" w:lineRule="auto"/>
        <w:ind w:right="140"/>
      </w:pPr>
      <w:r>
        <w:rPr>
          <w:color w:val="231F20"/>
        </w:rPr>
        <w:t>Выбор тем для проектной деятельности чрезвычайно широк, поэтому назовем лишь самые популярные группы проектов.</w:t>
      </w:r>
    </w:p>
    <w:p>
      <w:pPr>
        <w:pStyle w:val="BodyText"/>
        <w:spacing w:line="230" w:lineRule="auto"/>
      </w:pPr>
      <w:r>
        <w:rPr>
          <w:i/>
          <w:color w:val="231F20"/>
        </w:rPr>
        <w:t>Практико-ориентированные проекты </w:t>
      </w:r>
      <w:r>
        <w:rPr>
          <w:color w:val="231F20"/>
        </w:rPr>
        <w:t>нацелены на решение социальных про- блем, которые знакомы учащимся: например, организация безбарьерной среды в школе, помощь конкретному человеку с инвалидностью, организация помощи ино- язычным детям и взрослым, нуждающимся в совершенствовании русского языка, и др. Подобные проекты можно осуществлять в партнерстве с местными некоммерче- скими организациями социальной направленности и благотворительными фондами.</w:t>
      </w:r>
    </w:p>
    <w:p>
      <w:pPr>
        <w:pStyle w:val="BodyText"/>
        <w:spacing w:line="230" w:lineRule="auto"/>
      </w:pPr>
      <w:r>
        <w:rPr>
          <w:i/>
          <w:color w:val="231F20"/>
        </w:rPr>
        <w:t>Исследовательские</w:t>
      </w:r>
      <w:r>
        <w:rPr>
          <w:i/>
          <w:color w:val="231F20"/>
          <w:spacing w:val="-7"/>
        </w:rPr>
        <w:t> </w:t>
      </w:r>
      <w:r>
        <w:rPr>
          <w:i/>
          <w:color w:val="231F20"/>
        </w:rPr>
        <w:t>проекты</w:t>
      </w:r>
      <w:r>
        <w:rPr>
          <w:i/>
          <w:color w:val="231F20"/>
          <w:spacing w:val="-7"/>
        </w:rPr>
        <w:t> </w:t>
      </w:r>
      <w:r>
        <w:rPr>
          <w:color w:val="231F20"/>
        </w:rPr>
        <w:t>предполагают</w:t>
      </w:r>
      <w:r>
        <w:rPr>
          <w:color w:val="231F20"/>
          <w:spacing w:val="-7"/>
        </w:rPr>
        <w:t> </w:t>
      </w:r>
      <w:r>
        <w:rPr>
          <w:color w:val="231F20"/>
        </w:rPr>
        <w:t>глубокую</w:t>
      </w:r>
      <w:r>
        <w:rPr>
          <w:color w:val="231F20"/>
          <w:spacing w:val="-7"/>
        </w:rPr>
        <w:t> </w:t>
      </w:r>
      <w:r>
        <w:rPr>
          <w:color w:val="231F20"/>
        </w:rPr>
        <w:t>научную</w:t>
      </w:r>
      <w:r>
        <w:rPr>
          <w:color w:val="231F20"/>
          <w:spacing w:val="-7"/>
        </w:rPr>
        <w:t> </w:t>
      </w:r>
      <w:r>
        <w:rPr>
          <w:color w:val="231F20"/>
        </w:rPr>
        <w:t>проработку</w:t>
      </w:r>
      <w:r>
        <w:rPr>
          <w:color w:val="231F20"/>
          <w:spacing w:val="-7"/>
        </w:rPr>
        <w:t> </w:t>
      </w:r>
      <w:r>
        <w:rPr>
          <w:color w:val="231F20"/>
        </w:rPr>
        <w:t>темы, что явно выходит за рамки изучаемой в школе предметной дисциплины. Часто по- добные проекты бывают межпредметными или внепредметными, и они требуют на- учного руководства со стороны опытного преподавателя-предметника или научного </w:t>
      </w:r>
      <w:r>
        <w:rPr>
          <w:color w:val="231F20"/>
          <w:spacing w:val="-2"/>
        </w:rPr>
        <w:t>сотрудника из партнерской организации школы, например вуза, с которым школа вза- </w:t>
      </w:r>
      <w:r>
        <w:rPr>
          <w:color w:val="231F20"/>
        </w:rPr>
        <w:t>имодействует по старшим профильным классам.</w:t>
      </w:r>
    </w:p>
    <w:p>
      <w:pPr>
        <w:pStyle w:val="BodyText"/>
        <w:spacing w:line="230" w:lineRule="auto"/>
      </w:pPr>
      <w:r>
        <w:rPr>
          <w:i/>
          <w:color w:val="231F20"/>
        </w:rPr>
        <w:t>Информационные проекты </w:t>
      </w:r>
      <w:r>
        <w:rPr>
          <w:color w:val="231F20"/>
        </w:rPr>
        <w:t>направлены на сбор информации о каком-то объекте или явлении с целью их анализа, обобщение результатов и представление их на ши- рокую аудиторию.</w:t>
      </w:r>
    </w:p>
    <w:p>
      <w:pPr>
        <w:pStyle w:val="BodyText"/>
        <w:spacing w:line="230" w:lineRule="auto"/>
      </w:pPr>
      <w:r>
        <w:rPr>
          <w:i/>
          <w:color w:val="231F20"/>
        </w:rPr>
        <w:t>Творческие проекты </w:t>
      </w:r>
      <w:r>
        <w:rPr>
          <w:color w:val="231F20"/>
        </w:rPr>
        <w:t>– это разнообразные проекты, как правило, общешкольного уровня: тематические представления, театральные постановки, музыкальные фести- вали</w:t>
      </w:r>
      <w:r>
        <w:rPr>
          <w:color w:val="231F20"/>
          <w:spacing w:val="-12"/>
        </w:rPr>
        <w:t> </w:t>
      </w:r>
      <w:r>
        <w:rPr>
          <w:color w:val="231F20"/>
        </w:rPr>
        <w:t>и</w:t>
      </w:r>
      <w:r>
        <w:rPr>
          <w:color w:val="231F20"/>
          <w:spacing w:val="-12"/>
        </w:rPr>
        <w:t> </w:t>
      </w:r>
      <w:r>
        <w:rPr>
          <w:color w:val="231F20"/>
        </w:rPr>
        <w:t>пр.</w:t>
      </w:r>
      <w:r>
        <w:rPr>
          <w:color w:val="231F20"/>
          <w:spacing w:val="-12"/>
        </w:rPr>
        <w:t> </w:t>
      </w:r>
      <w:r>
        <w:rPr>
          <w:color w:val="231F20"/>
        </w:rPr>
        <w:t>Подобные</w:t>
      </w:r>
      <w:r>
        <w:rPr>
          <w:color w:val="231F20"/>
          <w:spacing w:val="-12"/>
        </w:rPr>
        <w:t> </w:t>
      </w:r>
      <w:r>
        <w:rPr>
          <w:color w:val="231F20"/>
        </w:rPr>
        <w:t>проекты</w:t>
      </w:r>
      <w:r>
        <w:rPr>
          <w:color w:val="231F20"/>
          <w:spacing w:val="-12"/>
        </w:rPr>
        <w:t> </w:t>
      </w:r>
      <w:r>
        <w:rPr>
          <w:color w:val="231F20"/>
        </w:rPr>
        <w:t>предполагают</w:t>
      </w:r>
      <w:r>
        <w:rPr>
          <w:color w:val="231F20"/>
          <w:spacing w:val="-12"/>
        </w:rPr>
        <w:t> </w:t>
      </w:r>
      <w:r>
        <w:rPr>
          <w:color w:val="231F20"/>
        </w:rPr>
        <w:t>максимально</w:t>
      </w:r>
      <w:r>
        <w:rPr>
          <w:color w:val="231F20"/>
          <w:spacing w:val="-12"/>
        </w:rPr>
        <w:t> </w:t>
      </w:r>
      <w:r>
        <w:rPr>
          <w:color w:val="231F20"/>
        </w:rPr>
        <w:t>свободный</w:t>
      </w:r>
      <w:r>
        <w:rPr>
          <w:color w:val="231F20"/>
          <w:spacing w:val="-12"/>
        </w:rPr>
        <w:t> </w:t>
      </w:r>
      <w:r>
        <w:rPr>
          <w:color w:val="231F20"/>
        </w:rPr>
        <w:t>и</w:t>
      </w:r>
      <w:r>
        <w:rPr>
          <w:color w:val="231F20"/>
          <w:spacing w:val="-12"/>
        </w:rPr>
        <w:t> </w:t>
      </w:r>
      <w:r>
        <w:rPr>
          <w:color w:val="231F20"/>
        </w:rPr>
        <w:t>нетрадицион- ный подход к оформлению результатов.</w:t>
      </w:r>
    </w:p>
    <w:p>
      <w:pPr>
        <w:pStyle w:val="BodyText"/>
        <w:spacing w:line="230" w:lineRule="auto"/>
      </w:pPr>
      <w:r>
        <w:rPr>
          <w:color w:val="231F20"/>
        </w:rPr>
        <w:t>В настоящее время проектная деятельность как ведущая учебная деятельность, формирующая надпредметные компетенции учащихся, включена в федеральные го- сударственные образовательные стандарты нового поколения. Умение сформулиро- вать проблему и выполнить проект, получив тот или иной результат учебной дея- тельности, является одной из важнейших компетенций, которую за годы обучения в школе</w:t>
      </w:r>
      <w:r>
        <w:rPr>
          <w:color w:val="231F20"/>
          <w:spacing w:val="-3"/>
        </w:rPr>
        <w:t> </w:t>
      </w:r>
      <w:r>
        <w:rPr>
          <w:color w:val="231F20"/>
        </w:rPr>
        <w:t>должен</w:t>
      </w:r>
      <w:r>
        <w:rPr>
          <w:color w:val="231F20"/>
          <w:spacing w:val="-3"/>
        </w:rPr>
        <w:t> </w:t>
      </w:r>
      <w:r>
        <w:rPr>
          <w:color w:val="231F20"/>
        </w:rPr>
        <w:t>освоить</w:t>
      </w:r>
      <w:r>
        <w:rPr>
          <w:color w:val="231F20"/>
          <w:spacing w:val="-3"/>
        </w:rPr>
        <w:t> </w:t>
      </w:r>
      <w:r>
        <w:rPr>
          <w:color w:val="231F20"/>
        </w:rPr>
        <w:t>каждый</w:t>
      </w:r>
      <w:r>
        <w:rPr>
          <w:color w:val="231F20"/>
          <w:spacing w:val="-3"/>
        </w:rPr>
        <w:t> </w:t>
      </w:r>
      <w:r>
        <w:rPr>
          <w:color w:val="231F20"/>
        </w:rPr>
        <w:t>школьник.</w:t>
      </w:r>
      <w:r>
        <w:rPr>
          <w:color w:val="231F20"/>
          <w:spacing w:val="-3"/>
        </w:rPr>
        <w:t> </w:t>
      </w:r>
      <w:r>
        <w:rPr>
          <w:color w:val="231F20"/>
        </w:rPr>
        <w:t>Поэтому</w:t>
      </w:r>
      <w:r>
        <w:rPr>
          <w:color w:val="231F20"/>
          <w:spacing w:val="-3"/>
        </w:rPr>
        <w:t> </w:t>
      </w:r>
      <w:r>
        <w:rPr>
          <w:color w:val="231F20"/>
        </w:rPr>
        <w:t>и</w:t>
      </w:r>
      <w:r>
        <w:rPr>
          <w:color w:val="231F20"/>
          <w:spacing w:val="-3"/>
        </w:rPr>
        <w:t> </w:t>
      </w:r>
      <w:r>
        <w:rPr>
          <w:color w:val="231F20"/>
        </w:rPr>
        <w:t>в</w:t>
      </w:r>
      <w:r>
        <w:rPr>
          <w:color w:val="231F20"/>
          <w:spacing w:val="-3"/>
        </w:rPr>
        <w:t> </w:t>
      </w:r>
      <w:r>
        <w:rPr>
          <w:color w:val="231F20"/>
        </w:rPr>
        <w:t>условиях</w:t>
      </w:r>
      <w:r>
        <w:rPr>
          <w:color w:val="231F20"/>
          <w:spacing w:val="-3"/>
        </w:rPr>
        <w:t> </w:t>
      </w:r>
      <w:r>
        <w:rPr>
          <w:color w:val="231F20"/>
        </w:rPr>
        <w:t>инклюзивной</w:t>
      </w:r>
      <w:r>
        <w:rPr>
          <w:color w:val="231F20"/>
          <w:spacing w:val="-3"/>
        </w:rPr>
        <w:t> </w:t>
      </w:r>
      <w:r>
        <w:rPr>
          <w:color w:val="231F20"/>
        </w:rPr>
        <w:t>обра- зовательной среды проектной деятельности должно уделяться особое место.</w:t>
      </w:r>
    </w:p>
    <w:p>
      <w:pPr>
        <w:spacing w:line="225" w:lineRule="exact" w:before="83"/>
        <w:ind w:left="425" w:right="0" w:firstLine="0"/>
        <w:jc w:val="both"/>
        <w:rPr>
          <w:b/>
          <w:sz w:val="20"/>
        </w:rPr>
      </w:pPr>
      <w:r>
        <w:rPr>
          <w:b/>
          <w:color w:val="231F20"/>
          <w:sz w:val="20"/>
        </w:rPr>
        <w:t>Инклюзивный</w:t>
      </w:r>
      <w:r>
        <w:rPr>
          <w:b/>
          <w:color w:val="231F20"/>
          <w:spacing w:val="-11"/>
          <w:sz w:val="20"/>
        </w:rPr>
        <w:t> </w:t>
      </w:r>
      <w:r>
        <w:rPr>
          <w:b/>
          <w:color w:val="231F20"/>
          <w:spacing w:val="-2"/>
          <w:sz w:val="20"/>
        </w:rPr>
        <w:t>подход</w:t>
      </w:r>
    </w:p>
    <w:p>
      <w:pPr>
        <w:pStyle w:val="BodyText"/>
        <w:spacing w:line="230" w:lineRule="auto" w:before="2"/>
      </w:pPr>
      <w:r>
        <w:rPr>
          <w:color w:val="231F20"/>
        </w:rPr>
        <w:t>В</w:t>
      </w:r>
      <w:r>
        <w:rPr>
          <w:color w:val="231F20"/>
          <w:spacing w:val="-13"/>
        </w:rPr>
        <w:t> </w:t>
      </w:r>
      <w:r>
        <w:rPr>
          <w:color w:val="231F20"/>
        </w:rPr>
        <w:t>чем</w:t>
      </w:r>
      <w:r>
        <w:rPr>
          <w:color w:val="231F20"/>
          <w:spacing w:val="-12"/>
        </w:rPr>
        <w:t> </w:t>
      </w:r>
      <w:r>
        <w:rPr>
          <w:color w:val="231F20"/>
        </w:rPr>
        <w:t>может</w:t>
      </w:r>
      <w:r>
        <w:rPr>
          <w:color w:val="231F20"/>
          <w:spacing w:val="-13"/>
        </w:rPr>
        <w:t> </w:t>
      </w:r>
      <w:r>
        <w:rPr>
          <w:color w:val="231F20"/>
        </w:rPr>
        <w:t>проявляться</w:t>
      </w:r>
      <w:r>
        <w:rPr>
          <w:color w:val="231F20"/>
          <w:spacing w:val="-12"/>
        </w:rPr>
        <w:t> </w:t>
      </w:r>
      <w:r>
        <w:rPr>
          <w:color w:val="231F20"/>
        </w:rPr>
        <w:t>инклюзивный</w:t>
      </w:r>
      <w:r>
        <w:rPr>
          <w:color w:val="231F20"/>
          <w:spacing w:val="-13"/>
        </w:rPr>
        <w:t> </w:t>
      </w:r>
      <w:r>
        <w:rPr>
          <w:color w:val="231F20"/>
        </w:rPr>
        <w:t>подход</w:t>
      </w:r>
      <w:r>
        <w:rPr>
          <w:color w:val="231F20"/>
          <w:spacing w:val="-12"/>
        </w:rPr>
        <w:t> </w:t>
      </w:r>
      <w:r>
        <w:rPr>
          <w:color w:val="231F20"/>
        </w:rPr>
        <w:t>к</w:t>
      </w:r>
      <w:r>
        <w:rPr>
          <w:color w:val="231F20"/>
          <w:spacing w:val="-13"/>
        </w:rPr>
        <w:t> </w:t>
      </w:r>
      <w:r>
        <w:rPr>
          <w:color w:val="231F20"/>
        </w:rPr>
        <w:t>организации</w:t>
      </w:r>
      <w:r>
        <w:rPr>
          <w:color w:val="231F20"/>
          <w:spacing w:val="-12"/>
        </w:rPr>
        <w:t> </w:t>
      </w:r>
      <w:r>
        <w:rPr>
          <w:color w:val="231F20"/>
        </w:rPr>
        <w:t>проектной</w:t>
      </w:r>
      <w:r>
        <w:rPr>
          <w:color w:val="231F20"/>
          <w:spacing w:val="-13"/>
        </w:rPr>
        <w:t> </w:t>
      </w:r>
      <w:r>
        <w:rPr>
          <w:color w:val="231F20"/>
        </w:rPr>
        <w:t>деятель- </w:t>
      </w:r>
      <w:r>
        <w:rPr>
          <w:color w:val="231F20"/>
          <w:spacing w:val="-2"/>
        </w:rPr>
        <w:t>ности?</w:t>
      </w:r>
    </w:p>
    <w:p>
      <w:pPr>
        <w:pStyle w:val="ListParagraph"/>
        <w:numPr>
          <w:ilvl w:val="0"/>
          <w:numId w:val="164"/>
        </w:numPr>
        <w:tabs>
          <w:tab w:pos="423" w:val="left" w:leader="none"/>
        </w:tabs>
        <w:spacing w:line="216" w:lineRule="exact" w:before="0" w:after="0"/>
        <w:ind w:left="423" w:right="0" w:hanging="282"/>
        <w:jc w:val="both"/>
        <w:rPr>
          <w:i/>
          <w:sz w:val="20"/>
        </w:rPr>
      </w:pPr>
      <w:r>
        <w:rPr>
          <w:i/>
          <w:color w:val="231F20"/>
          <w:sz w:val="20"/>
        </w:rPr>
        <w:t>В</w:t>
      </w:r>
      <w:r>
        <w:rPr>
          <w:i/>
          <w:color w:val="231F20"/>
          <w:spacing w:val="-3"/>
          <w:sz w:val="20"/>
        </w:rPr>
        <w:t> </w:t>
      </w:r>
      <w:r>
        <w:rPr>
          <w:i/>
          <w:color w:val="231F20"/>
          <w:sz w:val="20"/>
        </w:rPr>
        <w:t>инклюзивности</w:t>
      </w:r>
      <w:r>
        <w:rPr>
          <w:i/>
          <w:color w:val="231F20"/>
          <w:spacing w:val="-2"/>
          <w:sz w:val="20"/>
        </w:rPr>
        <w:t> </w:t>
      </w:r>
      <w:r>
        <w:rPr>
          <w:i/>
          <w:color w:val="231F20"/>
          <w:sz w:val="20"/>
        </w:rPr>
        <w:t>выбранных</w:t>
      </w:r>
      <w:r>
        <w:rPr>
          <w:i/>
          <w:color w:val="231F20"/>
          <w:spacing w:val="-2"/>
          <w:sz w:val="20"/>
        </w:rPr>
        <w:t> </w:t>
      </w:r>
      <w:r>
        <w:rPr>
          <w:i/>
          <w:color w:val="231F20"/>
          <w:sz w:val="20"/>
        </w:rPr>
        <w:t>тем</w:t>
      </w:r>
      <w:r>
        <w:rPr>
          <w:i/>
          <w:color w:val="231F20"/>
          <w:spacing w:val="-2"/>
          <w:sz w:val="20"/>
        </w:rPr>
        <w:t> проекта.</w:t>
      </w:r>
    </w:p>
    <w:p>
      <w:pPr>
        <w:pStyle w:val="BodyText"/>
        <w:spacing w:line="230" w:lineRule="auto" w:before="3"/>
        <w:ind w:left="425" w:firstLine="0"/>
      </w:pPr>
      <w:r>
        <w:rPr>
          <w:color w:val="231F20"/>
        </w:rPr>
        <w:t>Например,</w:t>
      </w:r>
      <w:r>
        <w:rPr>
          <w:color w:val="231F20"/>
          <w:spacing w:val="-9"/>
        </w:rPr>
        <w:t> </w:t>
      </w:r>
      <w:r>
        <w:rPr>
          <w:color w:val="231F20"/>
        </w:rPr>
        <w:t>если</w:t>
      </w:r>
      <w:r>
        <w:rPr>
          <w:color w:val="231F20"/>
          <w:spacing w:val="-9"/>
        </w:rPr>
        <w:t> </w:t>
      </w:r>
      <w:r>
        <w:rPr>
          <w:color w:val="231F20"/>
        </w:rPr>
        <w:t>в</w:t>
      </w:r>
      <w:r>
        <w:rPr>
          <w:color w:val="231F20"/>
          <w:spacing w:val="-9"/>
        </w:rPr>
        <w:t> </w:t>
      </w:r>
      <w:r>
        <w:rPr>
          <w:color w:val="231F20"/>
        </w:rPr>
        <w:t>школе</w:t>
      </w:r>
      <w:r>
        <w:rPr>
          <w:color w:val="231F20"/>
          <w:spacing w:val="-9"/>
        </w:rPr>
        <w:t> </w:t>
      </w:r>
      <w:r>
        <w:rPr>
          <w:color w:val="231F20"/>
        </w:rPr>
        <w:t>есть</w:t>
      </w:r>
      <w:r>
        <w:rPr>
          <w:color w:val="231F20"/>
          <w:spacing w:val="-9"/>
        </w:rPr>
        <w:t> </w:t>
      </w:r>
      <w:r>
        <w:rPr>
          <w:color w:val="231F20"/>
        </w:rPr>
        <w:t>дети</w:t>
      </w:r>
      <w:r>
        <w:rPr>
          <w:color w:val="231F20"/>
          <w:spacing w:val="-9"/>
        </w:rPr>
        <w:t> </w:t>
      </w:r>
      <w:r>
        <w:rPr>
          <w:color w:val="231F20"/>
        </w:rPr>
        <w:t>с</w:t>
      </w:r>
      <w:r>
        <w:rPr>
          <w:color w:val="231F20"/>
          <w:spacing w:val="-9"/>
        </w:rPr>
        <w:t> </w:t>
      </w:r>
      <w:r>
        <w:rPr>
          <w:color w:val="231F20"/>
        </w:rPr>
        <w:t>двигательными</w:t>
      </w:r>
      <w:r>
        <w:rPr>
          <w:color w:val="231F20"/>
          <w:spacing w:val="-9"/>
        </w:rPr>
        <w:t> </w:t>
      </w:r>
      <w:r>
        <w:rPr>
          <w:color w:val="231F20"/>
        </w:rPr>
        <w:t>нарушениями,</w:t>
      </w:r>
      <w:r>
        <w:rPr>
          <w:color w:val="231F20"/>
          <w:spacing w:val="-9"/>
        </w:rPr>
        <w:t> </w:t>
      </w:r>
      <w:r>
        <w:rPr>
          <w:color w:val="231F20"/>
        </w:rPr>
        <w:t>это</w:t>
      </w:r>
      <w:r>
        <w:rPr>
          <w:color w:val="231F20"/>
          <w:spacing w:val="-9"/>
        </w:rPr>
        <w:t> </w:t>
      </w:r>
      <w:r>
        <w:rPr>
          <w:color w:val="231F20"/>
        </w:rPr>
        <w:t>могут</w:t>
      </w:r>
      <w:r>
        <w:rPr>
          <w:color w:val="231F20"/>
          <w:spacing w:val="-9"/>
        </w:rPr>
        <w:t> </w:t>
      </w:r>
      <w:r>
        <w:rPr>
          <w:color w:val="231F20"/>
        </w:rPr>
        <w:t>быть междисциплинарные проекты по разработке индивидуальных средств адаптации (протезов,</w:t>
      </w:r>
      <w:r>
        <w:rPr>
          <w:color w:val="231F20"/>
          <w:spacing w:val="-2"/>
        </w:rPr>
        <w:t> </w:t>
      </w:r>
      <w:r>
        <w:rPr>
          <w:color w:val="231F20"/>
        </w:rPr>
        <w:t>ортезов</w:t>
      </w:r>
      <w:r>
        <w:rPr>
          <w:color w:val="231F20"/>
          <w:spacing w:val="-2"/>
        </w:rPr>
        <w:t> </w:t>
      </w:r>
      <w:r>
        <w:rPr>
          <w:color w:val="231F20"/>
        </w:rPr>
        <w:t>и</w:t>
      </w:r>
      <w:r>
        <w:rPr>
          <w:color w:val="231F20"/>
          <w:spacing w:val="-2"/>
        </w:rPr>
        <w:t> </w:t>
      </w:r>
      <w:r>
        <w:rPr>
          <w:color w:val="231F20"/>
        </w:rPr>
        <w:t>др.),</w:t>
      </w:r>
      <w:r>
        <w:rPr>
          <w:color w:val="231F20"/>
          <w:spacing w:val="-2"/>
        </w:rPr>
        <w:t> </w:t>
      </w:r>
      <w:r>
        <w:rPr>
          <w:color w:val="231F20"/>
        </w:rPr>
        <w:t>разработке</w:t>
      </w:r>
      <w:r>
        <w:rPr>
          <w:color w:val="231F20"/>
          <w:spacing w:val="-2"/>
        </w:rPr>
        <w:t> </w:t>
      </w:r>
      <w:r>
        <w:rPr>
          <w:color w:val="231F20"/>
        </w:rPr>
        <w:t>безбарьерной</w:t>
      </w:r>
      <w:r>
        <w:rPr>
          <w:color w:val="231F20"/>
          <w:spacing w:val="-2"/>
        </w:rPr>
        <w:t> </w:t>
      </w:r>
      <w:r>
        <w:rPr>
          <w:color w:val="231F20"/>
        </w:rPr>
        <w:t>среды</w:t>
      </w:r>
      <w:r>
        <w:rPr>
          <w:color w:val="231F20"/>
          <w:spacing w:val="-2"/>
        </w:rPr>
        <w:t> </w:t>
      </w:r>
      <w:r>
        <w:rPr>
          <w:color w:val="231F20"/>
        </w:rPr>
        <w:t>в</w:t>
      </w:r>
      <w:r>
        <w:rPr>
          <w:color w:val="231F20"/>
          <w:spacing w:val="-2"/>
        </w:rPr>
        <w:t> </w:t>
      </w:r>
      <w:r>
        <w:rPr>
          <w:color w:val="231F20"/>
        </w:rPr>
        <w:t>школе</w:t>
      </w:r>
      <w:r>
        <w:rPr>
          <w:color w:val="231F20"/>
          <w:spacing w:val="-2"/>
        </w:rPr>
        <w:t> </w:t>
      </w:r>
      <w:r>
        <w:rPr>
          <w:color w:val="231F20"/>
        </w:rPr>
        <w:t>и</w:t>
      </w:r>
      <w:r>
        <w:rPr>
          <w:color w:val="231F20"/>
          <w:spacing w:val="-2"/>
        </w:rPr>
        <w:t> </w:t>
      </w:r>
      <w:r>
        <w:rPr>
          <w:color w:val="231F20"/>
        </w:rPr>
        <w:t>в</w:t>
      </w:r>
      <w:r>
        <w:rPr>
          <w:color w:val="231F20"/>
          <w:spacing w:val="-2"/>
        </w:rPr>
        <w:t> </w:t>
      </w:r>
      <w:r>
        <w:rPr>
          <w:color w:val="231F20"/>
        </w:rPr>
        <w:t>обществен- ных</w:t>
      </w:r>
      <w:r>
        <w:rPr>
          <w:color w:val="231F20"/>
          <w:spacing w:val="-4"/>
        </w:rPr>
        <w:t> </w:t>
      </w:r>
      <w:r>
        <w:rPr>
          <w:color w:val="231F20"/>
        </w:rPr>
        <w:t>пространствах</w:t>
      </w:r>
      <w:r>
        <w:rPr>
          <w:color w:val="231F20"/>
          <w:spacing w:val="-4"/>
        </w:rPr>
        <w:t> </w:t>
      </w:r>
      <w:r>
        <w:rPr>
          <w:color w:val="231F20"/>
        </w:rPr>
        <w:t>города.</w:t>
      </w:r>
      <w:r>
        <w:rPr>
          <w:color w:val="231F20"/>
          <w:spacing w:val="-4"/>
        </w:rPr>
        <w:t> </w:t>
      </w:r>
      <w:r>
        <w:rPr>
          <w:color w:val="231F20"/>
        </w:rPr>
        <w:t>Подобные</w:t>
      </w:r>
      <w:r>
        <w:rPr>
          <w:color w:val="231F20"/>
          <w:spacing w:val="-4"/>
        </w:rPr>
        <w:t> </w:t>
      </w:r>
      <w:r>
        <w:rPr>
          <w:color w:val="231F20"/>
        </w:rPr>
        <w:t>проекты</w:t>
      </w:r>
      <w:r>
        <w:rPr>
          <w:color w:val="231F20"/>
          <w:spacing w:val="-4"/>
        </w:rPr>
        <w:t> </w:t>
      </w:r>
      <w:r>
        <w:rPr>
          <w:color w:val="231F20"/>
        </w:rPr>
        <w:t>–</w:t>
      </w:r>
      <w:r>
        <w:rPr>
          <w:color w:val="231F20"/>
          <w:spacing w:val="-4"/>
        </w:rPr>
        <w:t> </w:t>
      </w:r>
      <w:r>
        <w:rPr>
          <w:color w:val="231F20"/>
        </w:rPr>
        <w:t>междисциплинарные,</w:t>
      </w:r>
      <w:r>
        <w:rPr>
          <w:color w:val="231F20"/>
          <w:spacing w:val="-4"/>
        </w:rPr>
        <w:t> </w:t>
      </w:r>
      <w:r>
        <w:rPr>
          <w:color w:val="231F20"/>
        </w:rPr>
        <w:t>объединя- ющие</w:t>
      </w:r>
      <w:r>
        <w:rPr>
          <w:color w:val="231F20"/>
          <w:spacing w:val="-7"/>
        </w:rPr>
        <w:t> </w:t>
      </w:r>
      <w:r>
        <w:rPr>
          <w:color w:val="231F20"/>
        </w:rPr>
        <w:t>такие</w:t>
      </w:r>
      <w:r>
        <w:rPr>
          <w:color w:val="231F20"/>
          <w:spacing w:val="-7"/>
        </w:rPr>
        <w:t> </w:t>
      </w:r>
      <w:r>
        <w:rPr>
          <w:color w:val="231F20"/>
        </w:rPr>
        <w:t>предметные</w:t>
      </w:r>
      <w:r>
        <w:rPr>
          <w:color w:val="231F20"/>
          <w:spacing w:val="-7"/>
        </w:rPr>
        <w:t> </w:t>
      </w:r>
      <w:r>
        <w:rPr>
          <w:color w:val="231F20"/>
        </w:rPr>
        <w:t>дисциплины,</w:t>
      </w:r>
      <w:r>
        <w:rPr>
          <w:color w:val="231F20"/>
          <w:spacing w:val="-7"/>
        </w:rPr>
        <w:t> </w:t>
      </w:r>
      <w:r>
        <w:rPr>
          <w:color w:val="231F20"/>
        </w:rPr>
        <w:t>как</w:t>
      </w:r>
      <w:r>
        <w:rPr>
          <w:color w:val="231F20"/>
          <w:spacing w:val="-7"/>
        </w:rPr>
        <w:t> </w:t>
      </w:r>
      <w:r>
        <w:rPr>
          <w:color w:val="231F20"/>
        </w:rPr>
        <w:t>биология,</w:t>
      </w:r>
      <w:r>
        <w:rPr>
          <w:color w:val="231F20"/>
          <w:spacing w:val="-7"/>
        </w:rPr>
        <w:t> </w:t>
      </w:r>
      <w:r>
        <w:rPr>
          <w:color w:val="231F20"/>
        </w:rPr>
        <w:t>химия,</w:t>
      </w:r>
      <w:r>
        <w:rPr>
          <w:color w:val="231F20"/>
          <w:spacing w:val="-7"/>
        </w:rPr>
        <w:t> </w:t>
      </w:r>
      <w:r>
        <w:rPr>
          <w:color w:val="231F20"/>
        </w:rPr>
        <w:t>физика,</w:t>
      </w:r>
      <w:r>
        <w:rPr>
          <w:color w:val="231F20"/>
          <w:spacing w:val="-7"/>
        </w:rPr>
        <w:t> </w:t>
      </w:r>
      <w:r>
        <w:rPr>
          <w:color w:val="231F20"/>
        </w:rPr>
        <w:t>технология</w:t>
      </w:r>
      <w:r>
        <w:rPr>
          <w:color w:val="231F20"/>
          <w:spacing w:val="-7"/>
        </w:rPr>
        <w:t> </w:t>
      </w:r>
      <w:r>
        <w:rPr>
          <w:color w:val="231F20"/>
        </w:rPr>
        <w:t>и информатика. Также инклюзивным по характеру и тематике может быть проект </w:t>
      </w:r>
      <w:r>
        <w:rPr>
          <w:color w:val="231F20"/>
          <w:spacing w:val="-2"/>
        </w:rPr>
        <w:t>творческой</w:t>
      </w:r>
      <w:r>
        <w:rPr>
          <w:color w:val="231F20"/>
          <w:spacing w:val="-5"/>
        </w:rPr>
        <w:t> </w:t>
      </w:r>
      <w:r>
        <w:rPr>
          <w:color w:val="231F20"/>
          <w:spacing w:val="-2"/>
        </w:rPr>
        <w:t>направленности,</w:t>
      </w:r>
      <w:r>
        <w:rPr>
          <w:color w:val="231F20"/>
          <w:spacing w:val="-5"/>
        </w:rPr>
        <w:t> </w:t>
      </w:r>
      <w:r>
        <w:rPr>
          <w:color w:val="231F20"/>
          <w:spacing w:val="-2"/>
        </w:rPr>
        <w:t>например</w:t>
      </w:r>
      <w:r>
        <w:rPr>
          <w:color w:val="231F20"/>
          <w:spacing w:val="-5"/>
        </w:rPr>
        <w:t> </w:t>
      </w:r>
      <w:r>
        <w:rPr>
          <w:color w:val="231F20"/>
          <w:spacing w:val="-2"/>
        </w:rPr>
        <w:t>театральная</w:t>
      </w:r>
      <w:r>
        <w:rPr>
          <w:color w:val="231F20"/>
          <w:spacing w:val="-5"/>
        </w:rPr>
        <w:t> </w:t>
      </w:r>
      <w:r>
        <w:rPr>
          <w:color w:val="231F20"/>
          <w:spacing w:val="-2"/>
        </w:rPr>
        <w:t>постановка,</w:t>
      </w:r>
      <w:r>
        <w:rPr>
          <w:color w:val="231F20"/>
          <w:spacing w:val="-5"/>
        </w:rPr>
        <w:t> </w:t>
      </w:r>
      <w:r>
        <w:rPr>
          <w:color w:val="231F20"/>
          <w:spacing w:val="-2"/>
        </w:rPr>
        <w:t>тема</w:t>
      </w:r>
      <w:r>
        <w:rPr>
          <w:color w:val="231F20"/>
          <w:spacing w:val="-5"/>
        </w:rPr>
        <w:t> </w:t>
      </w:r>
      <w:r>
        <w:rPr>
          <w:color w:val="231F20"/>
          <w:spacing w:val="-2"/>
        </w:rPr>
        <w:t>которой</w:t>
      </w:r>
      <w:r>
        <w:rPr>
          <w:color w:val="231F20"/>
          <w:spacing w:val="-5"/>
        </w:rPr>
        <w:t> </w:t>
      </w:r>
      <w:r>
        <w:rPr>
          <w:color w:val="231F20"/>
          <w:spacing w:val="-2"/>
        </w:rPr>
        <w:t>явля- </w:t>
      </w:r>
      <w:r>
        <w:rPr>
          <w:color w:val="231F20"/>
        </w:rPr>
        <w:t>ется</w:t>
      </w:r>
      <w:r>
        <w:rPr>
          <w:color w:val="231F20"/>
          <w:spacing w:val="-13"/>
        </w:rPr>
        <w:t> </w:t>
      </w:r>
      <w:r>
        <w:rPr>
          <w:color w:val="231F20"/>
        </w:rPr>
        <w:t>инклюзивной</w:t>
      </w:r>
      <w:r>
        <w:rPr>
          <w:color w:val="231F20"/>
          <w:spacing w:val="-12"/>
        </w:rPr>
        <w:t> </w:t>
      </w:r>
      <w:r>
        <w:rPr>
          <w:color w:val="231F20"/>
        </w:rPr>
        <w:t>и</w:t>
      </w:r>
      <w:r>
        <w:rPr>
          <w:color w:val="231F20"/>
          <w:spacing w:val="-13"/>
        </w:rPr>
        <w:t> </w:t>
      </w:r>
      <w:r>
        <w:rPr>
          <w:color w:val="231F20"/>
        </w:rPr>
        <w:t>затрагивает</w:t>
      </w:r>
      <w:r>
        <w:rPr>
          <w:color w:val="231F20"/>
          <w:spacing w:val="-12"/>
        </w:rPr>
        <w:t> </w:t>
      </w:r>
      <w:r>
        <w:rPr>
          <w:color w:val="231F20"/>
        </w:rPr>
        <w:t>реальные</w:t>
      </w:r>
      <w:r>
        <w:rPr>
          <w:color w:val="231F20"/>
          <w:spacing w:val="-13"/>
        </w:rPr>
        <w:t> </w:t>
      </w:r>
      <w:r>
        <w:rPr>
          <w:color w:val="231F20"/>
        </w:rPr>
        <w:t>жизненные</w:t>
      </w:r>
      <w:r>
        <w:rPr>
          <w:color w:val="231F20"/>
          <w:spacing w:val="-12"/>
        </w:rPr>
        <w:t> </w:t>
      </w:r>
      <w:r>
        <w:rPr>
          <w:color w:val="231F20"/>
        </w:rPr>
        <w:t>проблемы</w:t>
      </w:r>
      <w:r>
        <w:rPr>
          <w:color w:val="231F20"/>
          <w:spacing w:val="-13"/>
        </w:rPr>
        <w:t> </w:t>
      </w:r>
      <w:r>
        <w:rPr>
          <w:color w:val="231F20"/>
        </w:rPr>
        <w:t>людей</w:t>
      </w:r>
      <w:r>
        <w:rPr>
          <w:color w:val="231F20"/>
          <w:spacing w:val="-12"/>
        </w:rPr>
        <w:t> </w:t>
      </w:r>
      <w:r>
        <w:rPr>
          <w:color w:val="231F20"/>
        </w:rPr>
        <w:t>с</w:t>
      </w:r>
      <w:r>
        <w:rPr>
          <w:color w:val="231F20"/>
          <w:spacing w:val="-13"/>
        </w:rPr>
        <w:t> </w:t>
      </w:r>
      <w:r>
        <w:rPr>
          <w:color w:val="231F20"/>
        </w:rPr>
        <w:t>инвалид- ностью или мигрантов.</w:t>
      </w:r>
    </w:p>
    <w:p>
      <w:pPr>
        <w:pStyle w:val="ListParagraph"/>
        <w:numPr>
          <w:ilvl w:val="0"/>
          <w:numId w:val="164"/>
        </w:numPr>
        <w:tabs>
          <w:tab w:pos="423" w:val="left" w:leader="none"/>
        </w:tabs>
        <w:spacing w:line="213" w:lineRule="exact" w:before="0" w:after="0"/>
        <w:ind w:left="423" w:right="0" w:hanging="282"/>
        <w:jc w:val="both"/>
        <w:rPr>
          <w:i/>
          <w:sz w:val="20"/>
        </w:rPr>
      </w:pPr>
      <w:r>
        <w:rPr>
          <w:i/>
          <w:color w:val="231F20"/>
          <w:sz w:val="20"/>
        </w:rPr>
        <w:t>В</w:t>
      </w:r>
      <w:r>
        <w:rPr>
          <w:i/>
          <w:color w:val="231F20"/>
          <w:spacing w:val="-2"/>
          <w:sz w:val="20"/>
        </w:rPr>
        <w:t> </w:t>
      </w:r>
      <w:r>
        <w:rPr>
          <w:i/>
          <w:color w:val="231F20"/>
          <w:sz w:val="20"/>
        </w:rPr>
        <w:t>инклюзивности организации проектной</w:t>
      </w:r>
      <w:r>
        <w:rPr>
          <w:i/>
          <w:color w:val="231F20"/>
          <w:spacing w:val="1"/>
          <w:sz w:val="20"/>
        </w:rPr>
        <w:t> </w:t>
      </w:r>
      <w:r>
        <w:rPr>
          <w:i/>
          <w:color w:val="231F20"/>
          <w:spacing w:val="-2"/>
          <w:sz w:val="20"/>
        </w:rPr>
        <w:t>работы.</w:t>
      </w:r>
    </w:p>
    <w:p>
      <w:pPr>
        <w:pStyle w:val="BodyText"/>
        <w:spacing w:line="235" w:lineRule="auto" w:before="2"/>
        <w:ind w:left="425" w:firstLine="0"/>
      </w:pPr>
      <w:r>
        <w:rPr>
          <w:color w:val="231F20"/>
        </w:rPr>
        <w:t>Инклюзивный подход к организации проектной деятельности подразумевает обязательное</w:t>
      </w:r>
      <w:r>
        <w:rPr>
          <w:color w:val="231F20"/>
          <w:spacing w:val="18"/>
        </w:rPr>
        <w:t> </w:t>
      </w:r>
      <w:r>
        <w:rPr>
          <w:color w:val="231F20"/>
        </w:rPr>
        <w:t>включение</w:t>
      </w:r>
      <w:r>
        <w:rPr>
          <w:color w:val="231F20"/>
          <w:spacing w:val="18"/>
        </w:rPr>
        <w:t> </w:t>
      </w:r>
      <w:r>
        <w:rPr>
          <w:color w:val="231F20"/>
        </w:rPr>
        <w:t>особых</w:t>
      </w:r>
      <w:r>
        <w:rPr>
          <w:color w:val="231F20"/>
          <w:spacing w:val="18"/>
        </w:rPr>
        <w:t> </w:t>
      </w:r>
      <w:r>
        <w:rPr>
          <w:color w:val="231F20"/>
        </w:rPr>
        <w:t>(инклюзивных)</w:t>
      </w:r>
      <w:r>
        <w:rPr>
          <w:color w:val="231F20"/>
          <w:spacing w:val="19"/>
        </w:rPr>
        <w:t> </w:t>
      </w:r>
      <w:r>
        <w:rPr>
          <w:color w:val="231F20"/>
        </w:rPr>
        <w:t>учащихся</w:t>
      </w:r>
      <w:r>
        <w:rPr>
          <w:color w:val="231F20"/>
          <w:spacing w:val="18"/>
        </w:rPr>
        <w:t> </w:t>
      </w:r>
      <w:r>
        <w:rPr>
          <w:color w:val="231F20"/>
        </w:rPr>
        <w:t>в</w:t>
      </w:r>
      <w:r>
        <w:rPr>
          <w:color w:val="231F20"/>
          <w:spacing w:val="18"/>
        </w:rPr>
        <w:t> </w:t>
      </w:r>
      <w:r>
        <w:rPr>
          <w:color w:val="231F20"/>
        </w:rPr>
        <w:t>проектную</w:t>
      </w:r>
      <w:r>
        <w:rPr>
          <w:color w:val="231F20"/>
          <w:spacing w:val="19"/>
        </w:rPr>
        <w:t> </w:t>
      </w:r>
      <w:r>
        <w:rPr>
          <w:color w:val="231F20"/>
          <w:spacing w:val="-2"/>
        </w:rPr>
        <w:t>группу.</w:t>
      </w:r>
    </w:p>
    <w:p>
      <w:pPr>
        <w:pStyle w:val="BodyText"/>
        <w:spacing w:after="0" w:line="235" w:lineRule="auto"/>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z w:val="18"/>
        </w:rPr>
        <w:t>4.4.</w:t>
      </w:r>
      <w:r>
        <w:rPr>
          <w:rFonts w:ascii="Georgia" w:hAnsi="Georgia"/>
          <w:color w:val="231F20"/>
          <w:spacing w:val="-1"/>
          <w:sz w:val="18"/>
        </w:rPr>
        <w:t> </w:t>
      </w:r>
      <w:r>
        <w:rPr>
          <w:rFonts w:ascii="Georgia" w:hAnsi="Georgia"/>
          <w:color w:val="231F20"/>
          <w:sz w:val="18"/>
        </w:rPr>
        <w:t>Методы</w:t>
      </w:r>
      <w:r>
        <w:rPr>
          <w:rFonts w:ascii="Georgia" w:hAnsi="Georgia"/>
          <w:color w:val="231F20"/>
          <w:spacing w:val="-1"/>
          <w:sz w:val="18"/>
        </w:rPr>
        <w:t> </w:t>
      </w:r>
      <w:r>
        <w:rPr>
          <w:rFonts w:ascii="Georgia" w:hAnsi="Georgia"/>
          <w:color w:val="231F20"/>
          <w:sz w:val="18"/>
        </w:rPr>
        <w:t>учебной</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1"/>
          <w:sz w:val="18"/>
        </w:rPr>
        <w:t> </w:t>
      </w:r>
      <w:r>
        <w:rPr>
          <w:rFonts w:ascii="Georgia" w:hAnsi="Georgia"/>
          <w:color w:val="231F20"/>
          <w:sz w:val="18"/>
        </w:rPr>
        <w:t>для адаптации</w:t>
      </w:r>
      <w:r>
        <w:rPr>
          <w:rFonts w:ascii="Georgia" w:hAnsi="Georgia"/>
          <w:color w:val="231F20"/>
          <w:spacing w:val="-1"/>
          <w:sz w:val="18"/>
        </w:rPr>
        <w:t> </w:t>
      </w:r>
      <w:r>
        <w:rPr>
          <w:rFonts w:ascii="Georgia" w:hAnsi="Georgia"/>
          <w:color w:val="231F20"/>
          <w:sz w:val="18"/>
        </w:rPr>
        <w:t>детей</w:t>
      </w:r>
      <w:r>
        <w:rPr>
          <w:rFonts w:ascii="Georgia" w:hAnsi="Georgia"/>
          <w:color w:val="231F20"/>
          <w:spacing w:val="-1"/>
          <w:sz w:val="18"/>
        </w:rPr>
        <w:t> </w:t>
      </w:r>
      <w:r>
        <w:rPr>
          <w:rFonts w:ascii="Georgia" w:hAnsi="Georgia"/>
          <w:color w:val="231F20"/>
          <w:sz w:val="18"/>
        </w:rPr>
        <w:t>...</w:t>
      </w:r>
      <w:r>
        <w:rPr>
          <w:rFonts w:ascii="Georgia" w:hAnsi="Georgia"/>
          <w:color w:val="231F20"/>
          <w:spacing w:val="-1"/>
          <w:sz w:val="18"/>
        </w:rPr>
        <w:t> </w:t>
      </w:r>
      <w:r>
        <w:rPr>
          <w:rFonts w:ascii="Georgia" w:hAnsi="Georgia"/>
          <w:color w:val="231F20"/>
          <w:sz w:val="18"/>
        </w:rPr>
        <w:t>во </w:t>
      </w:r>
      <w:r>
        <w:rPr>
          <w:rFonts w:ascii="Georgia" w:hAnsi="Georgia"/>
          <w:color w:val="231F20"/>
          <w:spacing w:val="-2"/>
          <w:sz w:val="18"/>
        </w:rPr>
        <w:t>взаимодействии...</w:t>
      </w:r>
    </w:p>
    <w:p>
      <w:pPr>
        <w:pStyle w:val="BodyText"/>
        <w:spacing w:line="235" w:lineRule="auto" w:before="116"/>
        <w:ind w:left="425" w:firstLine="0"/>
      </w:pPr>
      <w:r>
        <w:rPr>
          <w:color w:val="231F20"/>
        </w:rPr>
        <w:t>Например, в последние годы в московской системе образования проводились творческие фестивали «1+1», условием которых был обязательный совместный номер</w:t>
      </w:r>
      <w:r>
        <w:rPr>
          <w:color w:val="231F20"/>
          <w:spacing w:val="-6"/>
        </w:rPr>
        <w:t> </w:t>
      </w:r>
      <w:r>
        <w:rPr>
          <w:color w:val="231F20"/>
        </w:rPr>
        <w:t>«особого»</w:t>
      </w:r>
      <w:r>
        <w:rPr>
          <w:color w:val="231F20"/>
          <w:spacing w:val="-6"/>
        </w:rPr>
        <w:t> </w:t>
      </w:r>
      <w:r>
        <w:rPr>
          <w:color w:val="231F20"/>
        </w:rPr>
        <w:t>учащегося</w:t>
      </w:r>
      <w:r>
        <w:rPr>
          <w:color w:val="231F20"/>
          <w:spacing w:val="-6"/>
        </w:rPr>
        <w:t> </w:t>
      </w:r>
      <w:r>
        <w:rPr>
          <w:color w:val="231F20"/>
        </w:rPr>
        <w:t>с</w:t>
      </w:r>
      <w:r>
        <w:rPr>
          <w:color w:val="231F20"/>
          <w:spacing w:val="-6"/>
        </w:rPr>
        <w:t> </w:t>
      </w:r>
      <w:r>
        <w:rPr>
          <w:color w:val="231F20"/>
        </w:rPr>
        <w:t>«обычным»</w:t>
      </w:r>
      <w:r>
        <w:rPr>
          <w:color w:val="231F20"/>
          <w:spacing w:val="-6"/>
        </w:rPr>
        <w:t> </w:t>
      </w:r>
      <w:r>
        <w:rPr>
          <w:color w:val="231F20"/>
        </w:rPr>
        <w:t>учащимся.</w:t>
      </w:r>
      <w:r>
        <w:rPr>
          <w:color w:val="231F20"/>
          <w:spacing w:val="-6"/>
        </w:rPr>
        <w:t> </w:t>
      </w:r>
      <w:r>
        <w:rPr>
          <w:color w:val="231F20"/>
        </w:rPr>
        <w:t>Обязательным</w:t>
      </w:r>
      <w:r>
        <w:rPr>
          <w:color w:val="231F20"/>
          <w:spacing w:val="-6"/>
        </w:rPr>
        <w:t> </w:t>
      </w:r>
      <w:r>
        <w:rPr>
          <w:color w:val="231F20"/>
        </w:rPr>
        <w:t>условием</w:t>
      </w:r>
      <w:r>
        <w:rPr>
          <w:color w:val="231F20"/>
          <w:spacing w:val="-6"/>
        </w:rPr>
        <w:t> </w:t>
      </w:r>
      <w:r>
        <w:rPr>
          <w:color w:val="231F20"/>
        </w:rPr>
        <w:t>го- родского</w:t>
      </w:r>
      <w:r>
        <w:rPr>
          <w:color w:val="231F20"/>
          <w:spacing w:val="-11"/>
        </w:rPr>
        <w:t> </w:t>
      </w:r>
      <w:r>
        <w:rPr>
          <w:color w:val="231F20"/>
        </w:rPr>
        <w:t>конкурса</w:t>
      </w:r>
      <w:r>
        <w:rPr>
          <w:color w:val="231F20"/>
          <w:spacing w:val="-11"/>
        </w:rPr>
        <w:t> </w:t>
      </w:r>
      <w:r>
        <w:rPr>
          <w:color w:val="231F20"/>
        </w:rPr>
        <w:t>инженерных</w:t>
      </w:r>
      <w:r>
        <w:rPr>
          <w:color w:val="231F20"/>
          <w:spacing w:val="-11"/>
        </w:rPr>
        <w:t> </w:t>
      </w:r>
      <w:r>
        <w:rPr>
          <w:color w:val="231F20"/>
        </w:rPr>
        <w:t>проектов</w:t>
      </w:r>
      <w:r>
        <w:rPr>
          <w:color w:val="231F20"/>
          <w:spacing w:val="-11"/>
        </w:rPr>
        <w:t> </w:t>
      </w:r>
      <w:r>
        <w:rPr>
          <w:color w:val="231F20"/>
        </w:rPr>
        <w:t>было</w:t>
      </w:r>
      <w:r>
        <w:rPr>
          <w:color w:val="231F20"/>
          <w:spacing w:val="-11"/>
        </w:rPr>
        <w:t> </w:t>
      </w:r>
      <w:r>
        <w:rPr>
          <w:color w:val="231F20"/>
        </w:rPr>
        <w:t>включение</w:t>
      </w:r>
      <w:r>
        <w:rPr>
          <w:color w:val="231F20"/>
          <w:spacing w:val="-11"/>
        </w:rPr>
        <w:t> </w:t>
      </w:r>
      <w:r>
        <w:rPr>
          <w:color w:val="231F20"/>
        </w:rPr>
        <w:t>«особого»</w:t>
      </w:r>
      <w:r>
        <w:rPr>
          <w:color w:val="231F20"/>
          <w:spacing w:val="-11"/>
        </w:rPr>
        <w:t> </w:t>
      </w:r>
      <w:r>
        <w:rPr>
          <w:color w:val="231F20"/>
        </w:rPr>
        <w:t>учащегося</w:t>
      </w:r>
      <w:r>
        <w:rPr>
          <w:color w:val="231F20"/>
          <w:spacing w:val="-11"/>
        </w:rPr>
        <w:t> </w:t>
      </w:r>
      <w:r>
        <w:rPr>
          <w:color w:val="231F20"/>
        </w:rPr>
        <w:t>в проектную команду.</w:t>
      </w:r>
    </w:p>
    <w:p>
      <w:pPr>
        <w:spacing w:line="228" w:lineRule="exact" w:before="112"/>
        <w:ind w:left="425" w:right="0" w:firstLine="0"/>
        <w:jc w:val="both"/>
        <w:rPr>
          <w:b/>
          <w:sz w:val="20"/>
        </w:rPr>
      </w:pPr>
      <w:r>
        <w:rPr>
          <w:b/>
          <w:color w:val="231F20"/>
          <w:sz w:val="20"/>
        </w:rPr>
        <w:t>Проблема</w:t>
      </w:r>
      <w:r>
        <w:rPr>
          <w:b/>
          <w:color w:val="231F20"/>
          <w:spacing w:val="-3"/>
          <w:sz w:val="20"/>
        </w:rPr>
        <w:t> </w:t>
      </w:r>
      <w:r>
        <w:rPr>
          <w:b/>
          <w:color w:val="231F20"/>
          <w:sz w:val="20"/>
        </w:rPr>
        <w:t>–</w:t>
      </w:r>
      <w:r>
        <w:rPr>
          <w:b/>
          <w:color w:val="231F20"/>
          <w:spacing w:val="-2"/>
          <w:sz w:val="20"/>
        </w:rPr>
        <w:t> </w:t>
      </w:r>
      <w:r>
        <w:rPr>
          <w:b/>
          <w:color w:val="231F20"/>
          <w:sz w:val="20"/>
        </w:rPr>
        <w:t>причина</w:t>
      </w:r>
      <w:r>
        <w:rPr>
          <w:b/>
          <w:color w:val="231F20"/>
          <w:spacing w:val="-2"/>
          <w:sz w:val="20"/>
        </w:rPr>
        <w:t> </w:t>
      </w:r>
      <w:r>
        <w:rPr>
          <w:b/>
          <w:color w:val="231F20"/>
          <w:sz w:val="20"/>
        </w:rPr>
        <w:t>–</w:t>
      </w:r>
      <w:r>
        <w:rPr>
          <w:b/>
          <w:color w:val="231F20"/>
          <w:spacing w:val="-2"/>
          <w:sz w:val="20"/>
        </w:rPr>
        <w:t> решение</w:t>
      </w:r>
    </w:p>
    <w:p>
      <w:pPr>
        <w:pStyle w:val="BodyText"/>
        <w:spacing w:line="235" w:lineRule="auto" w:before="2"/>
      </w:pPr>
      <w:r>
        <w:rPr>
          <w:color w:val="231F20"/>
        </w:rPr>
        <w:t>При</w:t>
      </w:r>
      <w:r>
        <w:rPr>
          <w:color w:val="231F20"/>
          <w:spacing w:val="-6"/>
        </w:rPr>
        <w:t> </w:t>
      </w:r>
      <w:r>
        <w:rPr>
          <w:color w:val="231F20"/>
        </w:rPr>
        <w:t>проведении</w:t>
      </w:r>
      <w:r>
        <w:rPr>
          <w:color w:val="231F20"/>
          <w:spacing w:val="-6"/>
        </w:rPr>
        <w:t> </w:t>
      </w:r>
      <w:r>
        <w:rPr>
          <w:color w:val="231F20"/>
        </w:rPr>
        <w:t>практически</w:t>
      </w:r>
      <w:r>
        <w:rPr>
          <w:color w:val="231F20"/>
          <w:spacing w:val="-6"/>
        </w:rPr>
        <w:t> </w:t>
      </w:r>
      <w:r>
        <w:rPr>
          <w:color w:val="231F20"/>
        </w:rPr>
        <w:t>любого</w:t>
      </w:r>
      <w:r>
        <w:rPr>
          <w:color w:val="231F20"/>
          <w:spacing w:val="-6"/>
        </w:rPr>
        <w:t> </w:t>
      </w:r>
      <w:r>
        <w:rPr>
          <w:color w:val="231F20"/>
        </w:rPr>
        <w:t>учебного</w:t>
      </w:r>
      <w:r>
        <w:rPr>
          <w:color w:val="231F20"/>
          <w:spacing w:val="-6"/>
        </w:rPr>
        <w:t> </w:t>
      </w:r>
      <w:r>
        <w:rPr>
          <w:color w:val="231F20"/>
        </w:rPr>
        <w:t>проекта</w:t>
      </w:r>
      <w:r>
        <w:rPr>
          <w:color w:val="231F20"/>
          <w:spacing w:val="-6"/>
        </w:rPr>
        <w:t> </w:t>
      </w:r>
      <w:r>
        <w:rPr>
          <w:color w:val="231F20"/>
        </w:rPr>
        <w:t>в</w:t>
      </w:r>
      <w:r>
        <w:rPr>
          <w:color w:val="231F20"/>
          <w:spacing w:val="-6"/>
        </w:rPr>
        <w:t> </w:t>
      </w:r>
      <w:r>
        <w:rPr>
          <w:color w:val="231F20"/>
        </w:rPr>
        <w:t>школе</w:t>
      </w:r>
      <w:r>
        <w:rPr>
          <w:color w:val="231F20"/>
          <w:spacing w:val="-6"/>
        </w:rPr>
        <w:t> </w:t>
      </w:r>
      <w:r>
        <w:rPr>
          <w:color w:val="231F20"/>
        </w:rPr>
        <w:t>учителя</w:t>
      </w:r>
      <w:r>
        <w:rPr>
          <w:color w:val="231F20"/>
          <w:spacing w:val="-6"/>
        </w:rPr>
        <w:t> </w:t>
      </w:r>
      <w:r>
        <w:rPr>
          <w:color w:val="231F20"/>
        </w:rPr>
        <w:t>и</w:t>
      </w:r>
      <w:r>
        <w:rPr>
          <w:color w:val="231F20"/>
          <w:spacing w:val="-6"/>
        </w:rPr>
        <w:t> </w:t>
      </w:r>
      <w:r>
        <w:rPr>
          <w:color w:val="231F20"/>
        </w:rPr>
        <w:t>другие координаторы проекта могут столкнуться со стандартными ситуациями, когда «что- то пошло не так» и выполнение проекта становится проблематичным. В таблице</w:t>
      </w:r>
      <w:r>
        <w:rPr>
          <w:color w:val="231F20"/>
          <w:spacing w:val="40"/>
        </w:rPr>
        <w:t> </w:t>
      </w:r>
      <w:r>
        <w:rPr>
          <w:color w:val="231F20"/>
        </w:rPr>
        <w:t>(см. ниже) мы объединили типичные ситуации, касающиеся проведения проектов в инклюзивной среде, и даем рекомендации по возможным их разрешениям.</w:t>
      </w:r>
    </w:p>
    <w:p>
      <w:pPr>
        <w:spacing w:before="113"/>
        <w:ind w:left="141" w:right="139" w:firstLine="0"/>
        <w:jc w:val="right"/>
        <w:rPr>
          <w:b/>
          <w:i/>
          <w:sz w:val="20"/>
        </w:rPr>
      </w:pPr>
      <w:r>
        <w:rPr>
          <w:b/>
          <w:i/>
          <w:color w:val="231F20"/>
          <w:spacing w:val="-2"/>
          <w:sz w:val="20"/>
        </w:rPr>
        <w:t>Таблица</w:t>
      </w:r>
    </w:p>
    <w:p>
      <w:pPr>
        <w:pStyle w:val="BodyText"/>
        <w:spacing w:before="1"/>
        <w:ind w:left="0" w:right="0" w:firstLine="0"/>
        <w:jc w:val="left"/>
        <w:rPr>
          <w:b/>
          <w:i/>
          <w:sz w:val="8"/>
        </w:rPr>
      </w:pPr>
    </w:p>
    <w:tbl>
      <w:tblPr>
        <w:tblW w:w="0" w:type="auto"/>
        <w:jc w:val="left"/>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112"/>
        <w:gridCol w:w="2418"/>
        <w:gridCol w:w="2718"/>
      </w:tblGrid>
      <w:tr>
        <w:trPr>
          <w:trHeight w:val="441" w:hRule="atLeast"/>
        </w:trPr>
        <w:tc>
          <w:tcPr>
            <w:tcW w:w="2112" w:type="dxa"/>
          </w:tcPr>
          <w:p>
            <w:pPr>
              <w:pStyle w:val="TableParagraph"/>
              <w:spacing w:before="29"/>
              <w:ind w:left="651"/>
              <w:rPr>
                <w:b/>
                <w:sz w:val="18"/>
              </w:rPr>
            </w:pPr>
            <w:r>
              <w:rPr>
                <w:b/>
                <w:color w:val="231F20"/>
                <w:spacing w:val="-2"/>
                <w:sz w:val="18"/>
              </w:rPr>
              <w:t>Проблема</w:t>
            </w:r>
          </w:p>
        </w:tc>
        <w:tc>
          <w:tcPr>
            <w:tcW w:w="2418" w:type="dxa"/>
          </w:tcPr>
          <w:p>
            <w:pPr>
              <w:pStyle w:val="TableParagraph"/>
              <w:spacing w:before="29"/>
              <w:ind w:left="379"/>
              <w:rPr>
                <w:b/>
                <w:sz w:val="18"/>
              </w:rPr>
            </w:pPr>
            <w:r>
              <w:rPr>
                <w:b/>
                <w:color w:val="231F20"/>
                <w:sz w:val="18"/>
              </w:rPr>
              <w:t>Возможная</w:t>
            </w:r>
            <w:r>
              <w:rPr>
                <w:b/>
                <w:color w:val="231F20"/>
                <w:spacing w:val="-11"/>
                <w:sz w:val="18"/>
              </w:rPr>
              <w:t> </w:t>
            </w:r>
            <w:r>
              <w:rPr>
                <w:b/>
                <w:color w:val="231F20"/>
                <w:spacing w:val="-2"/>
                <w:sz w:val="18"/>
              </w:rPr>
              <w:t>причина</w:t>
            </w:r>
          </w:p>
        </w:tc>
        <w:tc>
          <w:tcPr>
            <w:tcW w:w="2718" w:type="dxa"/>
          </w:tcPr>
          <w:p>
            <w:pPr>
              <w:pStyle w:val="TableParagraph"/>
              <w:spacing w:before="29"/>
              <w:ind w:left="8"/>
              <w:jc w:val="center"/>
              <w:rPr>
                <w:b/>
                <w:sz w:val="18"/>
              </w:rPr>
            </w:pPr>
            <w:r>
              <w:rPr>
                <w:b/>
                <w:color w:val="231F20"/>
                <w:spacing w:val="-2"/>
                <w:sz w:val="18"/>
              </w:rPr>
              <w:t>Решение</w:t>
            </w:r>
          </w:p>
        </w:tc>
      </w:tr>
      <w:tr>
        <w:trPr>
          <w:trHeight w:val="2044" w:hRule="atLeast"/>
        </w:trPr>
        <w:tc>
          <w:tcPr>
            <w:tcW w:w="2112" w:type="dxa"/>
          </w:tcPr>
          <w:p>
            <w:pPr>
              <w:pStyle w:val="TableParagraph"/>
              <w:spacing w:line="232" w:lineRule="auto" w:before="36"/>
              <w:ind w:left="80" w:right="262"/>
              <w:rPr>
                <w:sz w:val="18"/>
              </w:rPr>
            </w:pPr>
            <w:r>
              <w:rPr>
                <w:color w:val="231F20"/>
                <w:sz w:val="18"/>
              </w:rPr>
              <w:t>Учителю не удается собрать участников проекта, с каждой неделей</w:t>
            </w:r>
            <w:r>
              <w:rPr>
                <w:color w:val="231F20"/>
                <w:spacing w:val="-12"/>
                <w:sz w:val="18"/>
              </w:rPr>
              <w:t> </w:t>
            </w:r>
            <w:r>
              <w:rPr>
                <w:color w:val="231F20"/>
                <w:sz w:val="18"/>
              </w:rPr>
              <w:t>на</w:t>
            </w:r>
            <w:r>
              <w:rPr>
                <w:color w:val="231F20"/>
                <w:spacing w:val="-11"/>
                <w:sz w:val="18"/>
              </w:rPr>
              <w:t> </w:t>
            </w:r>
            <w:r>
              <w:rPr>
                <w:color w:val="231F20"/>
                <w:sz w:val="18"/>
              </w:rPr>
              <w:t>встречу</w:t>
            </w:r>
            <w:r>
              <w:rPr>
                <w:color w:val="231F20"/>
                <w:spacing w:val="-11"/>
                <w:sz w:val="18"/>
              </w:rPr>
              <w:t> </w:t>
            </w:r>
            <w:r>
              <w:rPr>
                <w:color w:val="231F20"/>
                <w:sz w:val="18"/>
              </w:rPr>
              <w:t>по проекту</w:t>
            </w:r>
            <w:r>
              <w:rPr>
                <w:color w:val="231F20"/>
                <w:spacing w:val="-8"/>
                <w:sz w:val="18"/>
              </w:rPr>
              <w:t> </w:t>
            </w:r>
            <w:r>
              <w:rPr>
                <w:color w:val="231F20"/>
                <w:sz w:val="18"/>
              </w:rPr>
              <w:t>приходит</w:t>
            </w:r>
            <w:r>
              <w:rPr>
                <w:color w:val="231F20"/>
                <w:spacing w:val="-8"/>
                <w:sz w:val="18"/>
              </w:rPr>
              <w:t> </w:t>
            </w:r>
            <w:r>
              <w:rPr>
                <w:color w:val="231F20"/>
                <w:sz w:val="18"/>
              </w:rPr>
              <w:t>все меньше детей</w:t>
            </w:r>
          </w:p>
        </w:tc>
        <w:tc>
          <w:tcPr>
            <w:tcW w:w="2418" w:type="dxa"/>
          </w:tcPr>
          <w:p>
            <w:pPr>
              <w:pStyle w:val="TableParagraph"/>
              <w:spacing w:line="232" w:lineRule="auto" w:before="36"/>
              <w:ind w:left="79" w:right="242"/>
              <w:rPr>
                <w:sz w:val="18"/>
              </w:rPr>
            </w:pPr>
            <w:r>
              <w:rPr>
                <w:color w:val="231F20"/>
                <w:sz w:val="18"/>
              </w:rPr>
              <w:t>Не оговорены четкие</w:t>
            </w:r>
            <w:r>
              <w:rPr>
                <w:color w:val="231F20"/>
                <w:spacing w:val="40"/>
                <w:sz w:val="18"/>
              </w:rPr>
              <w:t> </w:t>
            </w:r>
            <w:r>
              <w:rPr>
                <w:color w:val="231F20"/>
                <w:sz w:val="18"/>
              </w:rPr>
              <w:t>сроки</w:t>
            </w:r>
            <w:r>
              <w:rPr>
                <w:color w:val="231F20"/>
                <w:spacing w:val="-12"/>
                <w:sz w:val="18"/>
              </w:rPr>
              <w:t> </w:t>
            </w:r>
            <w:r>
              <w:rPr>
                <w:color w:val="231F20"/>
                <w:sz w:val="18"/>
              </w:rPr>
              <w:t>начала</w:t>
            </w:r>
            <w:r>
              <w:rPr>
                <w:color w:val="231F20"/>
                <w:spacing w:val="-11"/>
                <w:sz w:val="18"/>
              </w:rPr>
              <w:t> </w:t>
            </w:r>
            <w:r>
              <w:rPr>
                <w:color w:val="231F20"/>
                <w:sz w:val="18"/>
              </w:rPr>
              <w:t>и</w:t>
            </w:r>
            <w:r>
              <w:rPr>
                <w:color w:val="231F20"/>
                <w:spacing w:val="-11"/>
                <w:sz w:val="18"/>
              </w:rPr>
              <w:t> </w:t>
            </w:r>
            <w:r>
              <w:rPr>
                <w:color w:val="231F20"/>
                <w:sz w:val="18"/>
              </w:rPr>
              <w:t>завершения проекта, даты рабочих встреч по этапам проекта.</w:t>
            </w:r>
          </w:p>
          <w:p>
            <w:pPr>
              <w:pStyle w:val="TableParagraph"/>
              <w:spacing w:line="232" w:lineRule="auto"/>
              <w:ind w:left="79" w:right="183"/>
              <w:rPr>
                <w:sz w:val="18"/>
              </w:rPr>
            </w:pPr>
            <w:r>
              <w:rPr>
                <w:color w:val="231F20"/>
                <w:sz w:val="18"/>
              </w:rPr>
              <w:t>Учащиеся не имеют достаточной</w:t>
            </w:r>
            <w:r>
              <w:rPr>
                <w:color w:val="231F20"/>
                <w:spacing w:val="-12"/>
                <w:sz w:val="18"/>
              </w:rPr>
              <w:t> </w:t>
            </w:r>
            <w:r>
              <w:rPr>
                <w:color w:val="231F20"/>
                <w:sz w:val="18"/>
              </w:rPr>
              <w:t>мотивации</w:t>
            </w:r>
            <w:r>
              <w:rPr>
                <w:color w:val="231F20"/>
                <w:spacing w:val="-11"/>
                <w:sz w:val="18"/>
              </w:rPr>
              <w:t> </w:t>
            </w:r>
            <w:r>
              <w:rPr>
                <w:color w:val="231F20"/>
                <w:sz w:val="18"/>
              </w:rPr>
              <w:t>для участия в проекте</w:t>
            </w:r>
          </w:p>
        </w:tc>
        <w:tc>
          <w:tcPr>
            <w:tcW w:w="2718" w:type="dxa"/>
          </w:tcPr>
          <w:p>
            <w:pPr>
              <w:pStyle w:val="TableParagraph"/>
              <w:spacing w:line="232" w:lineRule="auto" w:before="36"/>
              <w:ind w:left="79" w:right="140"/>
              <w:rPr>
                <w:sz w:val="18"/>
              </w:rPr>
            </w:pPr>
            <w:r>
              <w:rPr>
                <w:color w:val="231F20"/>
                <w:sz w:val="18"/>
              </w:rPr>
              <w:t>Вовлечение учащихся в формулирование темы и планирование проекта. Формирование режима взаимной ответственности, </w:t>
            </w:r>
            <w:r>
              <w:rPr>
                <w:color w:val="231F20"/>
                <w:spacing w:val="-2"/>
                <w:sz w:val="18"/>
              </w:rPr>
              <w:t>навыков</w:t>
            </w:r>
            <w:r>
              <w:rPr>
                <w:color w:val="231F20"/>
                <w:spacing w:val="-4"/>
                <w:sz w:val="18"/>
              </w:rPr>
              <w:t> </w:t>
            </w:r>
            <w:r>
              <w:rPr>
                <w:color w:val="231F20"/>
                <w:spacing w:val="-2"/>
                <w:sz w:val="18"/>
              </w:rPr>
              <w:t>сотрудничества</w:t>
            </w:r>
            <w:r>
              <w:rPr>
                <w:color w:val="231F20"/>
                <w:spacing w:val="-3"/>
                <w:sz w:val="18"/>
              </w:rPr>
              <w:t> </w:t>
            </w:r>
            <w:r>
              <w:rPr>
                <w:color w:val="231F20"/>
                <w:spacing w:val="-2"/>
                <w:sz w:val="18"/>
              </w:rPr>
              <w:t>между </w:t>
            </w:r>
            <w:r>
              <w:rPr>
                <w:color w:val="231F20"/>
                <w:sz w:val="18"/>
              </w:rPr>
              <w:t>участниками рабочей группы проекта.</w:t>
            </w:r>
            <w:r>
              <w:rPr>
                <w:color w:val="231F20"/>
                <w:spacing w:val="-9"/>
                <w:sz w:val="18"/>
              </w:rPr>
              <w:t> </w:t>
            </w:r>
            <w:r>
              <w:rPr>
                <w:color w:val="231F20"/>
                <w:sz w:val="18"/>
              </w:rPr>
              <w:t>Четкое</w:t>
            </w:r>
            <w:r>
              <w:rPr>
                <w:color w:val="231F20"/>
                <w:spacing w:val="-9"/>
                <w:sz w:val="18"/>
              </w:rPr>
              <w:t> </w:t>
            </w:r>
            <w:r>
              <w:rPr>
                <w:color w:val="231F20"/>
                <w:sz w:val="18"/>
              </w:rPr>
              <w:t>распределение обязанностей внутри группы</w:t>
            </w:r>
          </w:p>
        </w:tc>
      </w:tr>
      <w:tr>
        <w:trPr>
          <w:trHeight w:val="2439" w:hRule="atLeast"/>
        </w:trPr>
        <w:tc>
          <w:tcPr>
            <w:tcW w:w="2112" w:type="dxa"/>
          </w:tcPr>
          <w:p>
            <w:pPr>
              <w:pStyle w:val="TableParagraph"/>
              <w:spacing w:line="232" w:lineRule="auto" w:before="36"/>
              <w:ind w:left="80" w:right="262"/>
              <w:rPr>
                <w:sz w:val="18"/>
              </w:rPr>
            </w:pPr>
            <w:r>
              <w:rPr>
                <w:color w:val="231F20"/>
                <w:sz w:val="18"/>
              </w:rPr>
              <w:t>Учитель постарался включить</w:t>
            </w:r>
            <w:r>
              <w:rPr>
                <w:color w:val="231F20"/>
                <w:spacing w:val="-12"/>
                <w:sz w:val="18"/>
              </w:rPr>
              <w:t> </w:t>
            </w:r>
            <w:r>
              <w:rPr>
                <w:color w:val="231F20"/>
                <w:sz w:val="18"/>
              </w:rPr>
              <w:t>в</w:t>
            </w:r>
            <w:r>
              <w:rPr>
                <w:color w:val="231F20"/>
                <w:spacing w:val="-11"/>
                <w:sz w:val="18"/>
              </w:rPr>
              <w:t> </w:t>
            </w:r>
            <w:r>
              <w:rPr>
                <w:color w:val="231F20"/>
                <w:sz w:val="18"/>
              </w:rPr>
              <w:t>проектную группу обычных и</w:t>
            </w:r>
          </w:p>
          <w:p>
            <w:pPr>
              <w:pStyle w:val="TableParagraph"/>
              <w:spacing w:line="232" w:lineRule="auto"/>
              <w:ind w:left="80" w:right="338"/>
              <w:rPr>
                <w:sz w:val="18"/>
              </w:rPr>
            </w:pPr>
            <w:r>
              <w:rPr>
                <w:color w:val="231F20"/>
                <w:sz w:val="18"/>
              </w:rPr>
              <w:t>«особых» детей, но через какое-то время в</w:t>
            </w:r>
            <w:r>
              <w:rPr>
                <w:color w:val="231F20"/>
                <w:spacing w:val="-12"/>
                <w:sz w:val="18"/>
              </w:rPr>
              <w:t> </w:t>
            </w:r>
            <w:r>
              <w:rPr>
                <w:color w:val="231F20"/>
                <w:sz w:val="18"/>
              </w:rPr>
              <w:t>ней</w:t>
            </w:r>
            <w:r>
              <w:rPr>
                <w:color w:val="231F20"/>
                <w:spacing w:val="-11"/>
                <w:sz w:val="18"/>
              </w:rPr>
              <w:t> </w:t>
            </w:r>
            <w:r>
              <w:rPr>
                <w:color w:val="231F20"/>
                <w:sz w:val="18"/>
              </w:rPr>
              <w:t>остались</w:t>
            </w:r>
            <w:r>
              <w:rPr>
                <w:color w:val="231F20"/>
                <w:spacing w:val="-11"/>
                <w:sz w:val="18"/>
              </w:rPr>
              <w:t> </w:t>
            </w:r>
            <w:r>
              <w:rPr>
                <w:color w:val="231F20"/>
                <w:sz w:val="18"/>
              </w:rPr>
              <w:t>только наиболее активные обычные дети</w:t>
            </w:r>
          </w:p>
        </w:tc>
        <w:tc>
          <w:tcPr>
            <w:tcW w:w="2418" w:type="dxa"/>
          </w:tcPr>
          <w:p>
            <w:pPr>
              <w:pStyle w:val="TableParagraph"/>
              <w:spacing w:line="232" w:lineRule="auto" w:before="36"/>
              <w:ind w:left="79" w:right="349"/>
              <w:rPr>
                <w:sz w:val="18"/>
              </w:rPr>
            </w:pPr>
            <w:r>
              <w:rPr>
                <w:color w:val="231F20"/>
                <w:sz w:val="18"/>
              </w:rPr>
              <w:t>Никто из участников не имел</w:t>
            </w:r>
            <w:r>
              <w:rPr>
                <w:color w:val="231F20"/>
                <w:spacing w:val="-8"/>
                <w:sz w:val="18"/>
              </w:rPr>
              <w:t> </w:t>
            </w:r>
            <w:r>
              <w:rPr>
                <w:color w:val="231F20"/>
                <w:sz w:val="18"/>
              </w:rPr>
              <w:t>ранее</w:t>
            </w:r>
            <w:r>
              <w:rPr>
                <w:color w:val="231F20"/>
                <w:spacing w:val="-8"/>
                <w:sz w:val="18"/>
              </w:rPr>
              <w:t> </w:t>
            </w:r>
            <w:r>
              <w:rPr>
                <w:color w:val="231F20"/>
                <w:sz w:val="18"/>
              </w:rPr>
              <w:t>опыта</w:t>
            </w:r>
            <w:r>
              <w:rPr>
                <w:color w:val="231F20"/>
                <w:spacing w:val="-8"/>
                <w:sz w:val="18"/>
              </w:rPr>
              <w:t> </w:t>
            </w:r>
            <w:r>
              <w:rPr>
                <w:color w:val="231F20"/>
                <w:sz w:val="18"/>
              </w:rPr>
              <w:t>работы друг с другом. Обычные дети</w:t>
            </w:r>
            <w:r>
              <w:rPr>
                <w:color w:val="231F20"/>
                <w:spacing w:val="-12"/>
                <w:sz w:val="18"/>
              </w:rPr>
              <w:t> </w:t>
            </w:r>
            <w:r>
              <w:rPr>
                <w:color w:val="231F20"/>
                <w:sz w:val="18"/>
              </w:rPr>
              <w:t>проявляют</w:t>
            </w:r>
            <w:r>
              <w:rPr>
                <w:color w:val="231F20"/>
                <w:spacing w:val="-11"/>
                <w:sz w:val="18"/>
              </w:rPr>
              <w:t> </w:t>
            </w:r>
            <w:r>
              <w:rPr>
                <w:color w:val="231F20"/>
                <w:sz w:val="18"/>
              </w:rPr>
              <w:t>большую активность, а особые не чувствуют</w:t>
            </w:r>
            <w:r>
              <w:rPr>
                <w:color w:val="231F20"/>
                <w:spacing w:val="-12"/>
                <w:sz w:val="18"/>
              </w:rPr>
              <w:t> </w:t>
            </w:r>
            <w:r>
              <w:rPr>
                <w:color w:val="231F20"/>
                <w:sz w:val="18"/>
              </w:rPr>
              <w:t>себя</w:t>
            </w:r>
            <w:r>
              <w:rPr>
                <w:color w:val="231F20"/>
                <w:spacing w:val="-11"/>
                <w:sz w:val="18"/>
              </w:rPr>
              <w:t> </w:t>
            </w:r>
            <w:r>
              <w:rPr>
                <w:color w:val="231F20"/>
                <w:sz w:val="18"/>
              </w:rPr>
              <w:t>нужными</w:t>
            </w:r>
          </w:p>
        </w:tc>
        <w:tc>
          <w:tcPr>
            <w:tcW w:w="2718" w:type="dxa"/>
          </w:tcPr>
          <w:p>
            <w:pPr>
              <w:pStyle w:val="TableParagraph"/>
              <w:spacing w:line="232" w:lineRule="auto" w:before="36"/>
              <w:ind w:left="79" w:right="88"/>
              <w:rPr>
                <w:sz w:val="18"/>
              </w:rPr>
            </w:pPr>
            <w:r>
              <w:rPr>
                <w:color w:val="231F20"/>
                <w:sz w:val="18"/>
              </w:rPr>
              <w:t>В инклюзивных по составу учащихся рабочих группах проекта</w:t>
            </w:r>
            <w:r>
              <w:rPr>
                <w:color w:val="231F20"/>
                <w:spacing w:val="-12"/>
                <w:sz w:val="18"/>
              </w:rPr>
              <w:t> </w:t>
            </w:r>
            <w:r>
              <w:rPr>
                <w:color w:val="231F20"/>
                <w:sz w:val="18"/>
              </w:rPr>
              <w:t>никто</w:t>
            </w:r>
            <w:r>
              <w:rPr>
                <w:color w:val="231F20"/>
                <w:spacing w:val="-11"/>
                <w:sz w:val="18"/>
              </w:rPr>
              <w:t> </w:t>
            </w:r>
            <w:r>
              <w:rPr>
                <w:color w:val="231F20"/>
                <w:sz w:val="18"/>
              </w:rPr>
              <w:t>не</w:t>
            </w:r>
            <w:r>
              <w:rPr>
                <w:color w:val="231F20"/>
                <w:spacing w:val="-11"/>
                <w:sz w:val="18"/>
              </w:rPr>
              <w:t> </w:t>
            </w:r>
            <w:r>
              <w:rPr>
                <w:color w:val="231F20"/>
                <w:sz w:val="18"/>
              </w:rPr>
              <w:t>умеет</w:t>
            </w:r>
            <w:r>
              <w:rPr>
                <w:color w:val="231F20"/>
                <w:spacing w:val="-11"/>
                <w:sz w:val="18"/>
              </w:rPr>
              <w:t> </w:t>
            </w:r>
            <w:r>
              <w:rPr>
                <w:color w:val="231F20"/>
                <w:sz w:val="18"/>
              </w:rPr>
              <w:t>работать в сотрудничестве, детей нужно этому научить. Если провести подготовку группы к работе в сотрудничестве и объяснить значимость каждого участника для получения результата проекта, то «особые» дети выпадать из группы не будут.</w:t>
            </w:r>
          </w:p>
        </w:tc>
      </w:tr>
      <w:tr>
        <w:trPr>
          <w:trHeight w:val="2239" w:hRule="atLeast"/>
        </w:trPr>
        <w:tc>
          <w:tcPr>
            <w:tcW w:w="2112" w:type="dxa"/>
          </w:tcPr>
          <w:p>
            <w:pPr>
              <w:pStyle w:val="TableParagraph"/>
              <w:spacing w:line="232" w:lineRule="auto" w:before="36"/>
              <w:ind w:left="80"/>
              <w:rPr>
                <w:sz w:val="18"/>
              </w:rPr>
            </w:pPr>
            <w:r>
              <w:rPr>
                <w:color w:val="231F20"/>
                <w:sz w:val="18"/>
              </w:rPr>
              <w:t>Инклюзивная тема проекта</w:t>
            </w:r>
            <w:r>
              <w:rPr>
                <w:color w:val="231F20"/>
                <w:spacing w:val="-4"/>
                <w:sz w:val="18"/>
              </w:rPr>
              <w:t> </w:t>
            </w:r>
            <w:r>
              <w:rPr>
                <w:color w:val="231F20"/>
                <w:sz w:val="18"/>
              </w:rPr>
              <w:t>явно</w:t>
            </w:r>
            <w:r>
              <w:rPr>
                <w:color w:val="231F20"/>
                <w:spacing w:val="-4"/>
                <w:sz w:val="18"/>
              </w:rPr>
              <w:t> </w:t>
            </w:r>
            <w:r>
              <w:rPr>
                <w:color w:val="231F20"/>
                <w:sz w:val="18"/>
              </w:rPr>
              <w:t>вызывает вопросы у некоторых учителей и родителей, которые открыто высказывают свое </w:t>
            </w:r>
            <w:r>
              <w:rPr>
                <w:color w:val="231F20"/>
                <w:spacing w:val="-2"/>
                <w:sz w:val="18"/>
              </w:rPr>
              <w:t>удивление</w:t>
            </w:r>
            <w:r>
              <w:rPr>
                <w:color w:val="231F20"/>
                <w:spacing w:val="-8"/>
                <w:sz w:val="18"/>
              </w:rPr>
              <w:t> </w:t>
            </w:r>
            <w:r>
              <w:rPr>
                <w:color w:val="231F20"/>
                <w:spacing w:val="-2"/>
                <w:sz w:val="18"/>
              </w:rPr>
              <w:t>и</w:t>
            </w:r>
            <w:r>
              <w:rPr>
                <w:color w:val="231F20"/>
                <w:spacing w:val="-9"/>
                <w:sz w:val="18"/>
              </w:rPr>
              <w:t> </w:t>
            </w:r>
            <w:r>
              <w:rPr>
                <w:color w:val="231F20"/>
                <w:spacing w:val="-2"/>
                <w:sz w:val="18"/>
              </w:rPr>
              <w:t>нежелание </w:t>
            </w:r>
            <w:r>
              <w:rPr>
                <w:color w:val="231F20"/>
                <w:sz w:val="18"/>
              </w:rPr>
              <w:t>участвовать в проекте</w:t>
            </w:r>
          </w:p>
        </w:tc>
        <w:tc>
          <w:tcPr>
            <w:tcW w:w="2418" w:type="dxa"/>
          </w:tcPr>
          <w:p>
            <w:pPr>
              <w:pStyle w:val="TableParagraph"/>
              <w:spacing w:line="232" w:lineRule="auto" w:before="36"/>
              <w:ind w:left="79" w:right="73"/>
              <w:rPr>
                <w:sz w:val="18"/>
              </w:rPr>
            </w:pPr>
            <w:r>
              <w:rPr>
                <w:color w:val="231F20"/>
                <w:sz w:val="18"/>
              </w:rPr>
              <w:t>Инклюзивная среда</w:t>
            </w:r>
            <w:r>
              <w:rPr>
                <w:color w:val="231F20"/>
                <w:spacing w:val="40"/>
                <w:sz w:val="18"/>
              </w:rPr>
              <w:t> </w:t>
            </w:r>
            <w:r>
              <w:rPr>
                <w:color w:val="231F20"/>
                <w:sz w:val="18"/>
              </w:rPr>
              <w:t>создается и поддерживается всеми участниками </w:t>
            </w:r>
            <w:r>
              <w:rPr>
                <w:color w:val="231F20"/>
                <w:spacing w:val="-2"/>
                <w:sz w:val="18"/>
              </w:rPr>
              <w:t>образовательных </w:t>
            </w:r>
            <w:r>
              <w:rPr>
                <w:color w:val="231F20"/>
                <w:spacing w:val="-2"/>
                <w:sz w:val="18"/>
              </w:rPr>
              <w:t>отношений, </w:t>
            </w:r>
            <w:r>
              <w:rPr>
                <w:color w:val="231F20"/>
                <w:sz w:val="18"/>
              </w:rPr>
              <w:t>включая учителей школы и родителей учащихся. Если</w:t>
            </w:r>
          </w:p>
          <w:p>
            <w:pPr>
              <w:pStyle w:val="TableParagraph"/>
              <w:spacing w:line="232" w:lineRule="auto"/>
              <w:ind w:left="79" w:right="482"/>
              <w:rPr>
                <w:sz w:val="18"/>
              </w:rPr>
            </w:pPr>
            <w:r>
              <w:rPr>
                <w:color w:val="231F20"/>
                <w:sz w:val="18"/>
              </w:rPr>
              <w:t>у них нет достоверной</w:t>
            </w:r>
            <w:r>
              <w:rPr>
                <w:color w:val="231F20"/>
                <w:spacing w:val="40"/>
                <w:sz w:val="18"/>
              </w:rPr>
              <w:t> </w:t>
            </w:r>
            <w:r>
              <w:rPr>
                <w:color w:val="231F20"/>
                <w:sz w:val="18"/>
              </w:rPr>
              <w:t>и</w:t>
            </w:r>
            <w:r>
              <w:rPr>
                <w:color w:val="231F20"/>
                <w:spacing w:val="-12"/>
                <w:sz w:val="18"/>
              </w:rPr>
              <w:t> </w:t>
            </w:r>
            <w:r>
              <w:rPr>
                <w:color w:val="231F20"/>
                <w:sz w:val="18"/>
              </w:rPr>
              <w:t>полной</w:t>
            </w:r>
            <w:r>
              <w:rPr>
                <w:color w:val="231F20"/>
                <w:spacing w:val="-11"/>
                <w:sz w:val="18"/>
              </w:rPr>
              <w:t> </w:t>
            </w:r>
            <w:r>
              <w:rPr>
                <w:color w:val="231F20"/>
                <w:sz w:val="18"/>
              </w:rPr>
              <w:t>информации</w:t>
            </w:r>
            <w:r>
              <w:rPr>
                <w:color w:val="231F20"/>
                <w:spacing w:val="-11"/>
                <w:sz w:val="18"/>
              </w:rPr>
              <w:t> </w:t>
            </w:r>
            <w:r>
              <w:rPr>
                <w:color w:val="231F20"/>
                <w:sz w:val="18"/>
              </w:rPr>
              <w:t>о</w:t>
            </w:r>
          </w:p>
          <w:p>
            <w:pPr>
              <w:pStyle w:val="TableParagraph"/>
              <w:spacing w:line="232" w:lineRule="auto"/>
              <w:ind w:left="79"/>
              <w:rPr>
                <w:sz w:val="18"/>
              </w:rPr>
            </w:pPr>
            <w:r>
              <w:rPr>
                <w:color w:val="231F20"/>
                <w:sz w:val="18"/>
              </w:rPr>
              <w:t>проекте,</w:t>
            </w:r>
            <w:r>
              <w:rPr>
                <w:color w:val="231F20"/>
                <w:spacing w:val="-12"/>
                <w:sz w:val="18"/>
              </w:rPr>
              <w:t> </w:t>
            </w:r>
            <w:r>
              <w:rPr>
                <w:color w:val="231F20"/>
                <w:sz w:val="18"/>
              </w:rPr>
              <w:t>то</w:t>
            </w:r>
            <w:r>
              <w:rPr>
                <w:color w:val="231F20"/>
                <w:spacing w:val="-11"/>
                <w:sz w:val="18"/>
              </w:rPr>
              <w:t> </w:t>
            </w:r>
            <w:r>
              <w:rPr>
                <w:color w:val="231F20"/>
                <w:sz w:val="18"/>
              </w:rPr>
              <w:t>возможно</w:t>
            </w:r>
            <w:r>
              <w:rPr>
                <w:color w:val="231F20"/>
                <w:spacing w:val="-11"/>
                <w:sz w:val="18"/>
              </w:rPr>
              <w:t> </w:t>
            </w:r>
            <w:r>
              <w:rPr>
                <w:color w:val="231F20"/>
                <w:sz w:val="18"/>
              </w:rPr>
              <w:t>его неприятие и слухи</w:t>
            </w:r>
          </w:p>
        </w:tc>
        <w:tc>
          <w:tcPr>
            <w:tcW w:w="2718" w:type="dxa"/>
          </w:tcPr>
          <w:p>
            <w:pPr>
              <w:pStyle w:val="TableParagraph"/>
              <w:spacing w:line="232" w:lineRule="auto" w:before="36"/>
              <w:ind w:left="79" w:right="317"/>
              <w:rPr>
                <w:sz w:val="18"/>
              </w:rPr>
            </w:pPr>
            <w:r>
              <w:rPr>
                <w:color w:val="231F20"/>
                <w:sz w:val="18"/>
              </w:rPr>
              <w:t>Необходимо уделять </w:t>
            </w:r>
            <w:r>
              <w:rPr>
                <w:color w:val="231F20"/>
                <w:spacing w:val="-2"/>
                <w:sz w:val="18"/>
              </w:rPr>
              <w:t>внимание информированию</w:t>
            </w:r>
          </w:p>
          <w:p>
            <w:pPr>
              <w:pStyle w:val="TableParagraph"/>
              <w:spacing w:line="232" w:lineRule="auto"/>
              <w:ind w:left="79" w:right="88"/>
              <w:rPr>
                <w:sz w:val="18"/>
              </w:rPr>
            </w:pPr>
            <w:r>
              <w:rPr>
                <w:color w:val="231F20"/>
                <w:sz w:val="18"/>
              </w:rPr>
              <w:t>общественности о ходе работы над проектом, продумать публикации на сайте школы и в школьных СМИ. Представить презентацию</w:t>
            </w:r>
            <w:r>
              <w:rPr>
                <w:color w:val="231F20"/>
                <w:spacing w:val="-12"/>
                <w:sz w:val="18"/>
              </w:rPr>
              <w:t> </w:t>
            </w:r>
            <w:r>
              <w:rPr>
                <w:color w:val="231F20"/>
                <w:sz w:val="18"/>
              </w:rPr>
              <w:t>проекта</w:t>
            </w:r>
            <w:r>
              <w:rPr>
                <w:color w:val="231F20"/>
                <w:spacing w:val="-11"/>
                <w:sz w:val="18"/>
              </w:rPr>
              <w:t> </w:t>
            </w:r>
            <w:r>
              <w:rPr>
                <w:color w:val="231F20"/>
                <w:sz w:val="18"/>
              </w:rPr>
              <w:t>на</w:t>
            </w:r>
            <w:r>
              <w:rPr>
                <w:color w:val="231F20"/>
                <w:spacing w:val="-11"/>
                <w:sz w:val="18"/>
              </w:rPr>
              <w:t> </w:t>
            </w:r>
            <w:r>
              <w:rPr>
                <w:color w:val="231F20"/>
                <w:sz w:val="18"/>
              </w:rPr>
              <w:t>методи- ческом</w:t>
            </w:r>
            <w:r>
              <w:rPr>
                <w:color w:val="231F20"/>
                <w:spacing w:val="-12"/>
                <w:sz w:val="18"/>
              </w:rPr>
              <w:t> </w:t>
            </w:r>
            <w:r>
              <w:rPr>
                <w:color w:val="231F20"/>
                <w:sz w:val="18"/>
              </w:rPr>
              <w:t>совете</w:t>
            </w:r>
            <w:r>
              <w:rPr>
                <w:color w:val="231F20"/>
                <w:spacing w:val="-11"/>
                <w:sz w:val="18"/>
              </w:rPr>
              <w:t> </w:t>
            </w:r>
            <w:r>
              <w:rPr>
                <w:color w:val="231F20"/>
                <w:sz w:val="18"/>
              </w:rPr>
              <w:t>школы</w:t>
            </w:r>
            <w:r>
              <w:rPr>
                <w:color w:val="231F20"/>
                <w:spacing w:val="-11"/>
                <w:sz w:val="18"/>
              </w:rPr>
              <w:t> </w:t>
            </w:r>
            <w:r>
              <w:rPr>
                <w:color w:val="231F20"/>
                <w:sz w:val="18"/>
              </w:rPr>
              <w:t>и</w:t>
            </w:r>
            <w:r>
              <w:rPr>
                <w:color w:val="231F20"/>
                <w:spacing w:val="-11"/>
                <w:sz w:val="18"/>
              </w:rPr>
              <w:t> </w:t>
            </w:r>
            <w:r>
              <w:rPr>
                <w:color w:val="231F20"/>
                <w:sz w:val="18"/>
              </w:rPr>
              <w:t>обсудить на заседаниях профильных </w:t>
            </w:r>
            <w:r>
              <w:rPr>
                <w:color w:val="231F20"/>
                <w:spacing w:val="-2"/>
                <w:sz w:val="18"/>
              </w:rPr>
              <w:t>методобъединений</w:t>
            </w:r>
          </w:p>
        </w:tc>
      </w:tr>
    </w:tbl>
    <w:p>
      <w:pPr>
        <w:pStyle w:val="TableParagraph"/>
        <w:spacing w:after="0" w:line="232" w:lineRule="auto"/>
        <w:rPr>
          <w:sz w:val="18"/>
        </w:rPr>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before="1"/>
        <w:ind w:left="0" w:right="0" w:firstLine="0"/>
        <w:jc w:val="left"/>
        <w:rPr>
          <w:rFonts w:ascii="Georgia"/>
          <w:sz w:val="14"/>
        </w:rPr>
      </w:pPr>
    </w:p>
    <w:tbl>
      <w:tblPr>
        <w:tblW w:w="0" w:type="auto"/>
        <w:jc w:val="left"/>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112"/>
        <w:gridCol w:w="2418"/>
        <w:gridCol w:w="2718"/>
      </w:tblGrid>
      <w:tr>
        <w:trPr>
          <w:trHeight w:val="2074" w:hRule="atLeast"/>
        </w:trPr>
        <w:tc>
          <w:tcPr>
            <w:tcW w:w="2112" w:type="dxa"/>
          </w:tcPr>
          <w:p>
            <w:pPr>
              <w:pStyle w:val="TableParagraph"/>
              <w:spacing w:line="232" w:lineRule="auto" w:before="37"/>
              <w:ind w:left="79" w:right="166"/>
              <w:rPr>
                <w:sz w:val="18"/>
              </w:rPr>
            </w:pPr>
            <w:r>
              <w:rPr>
                <w:color w:val="231F20"/>
                <w:sz w:val="18"/>
              </w:rPr>
              <w:t>Учитель и рабочая группа по проекту </w:t>
            </w:r>
            <w:r>
              <w:rPr>
                <w:color w:val="231F20"/>
                <w:spacing w:val="-2"/>
                <w:sz w:val="18"/>
              </w:rPr>
              <w:t>испытывают</w:t>
            </w:r>
            <w:r>
              <w:rPr>
                <w:color w:val="231F20"/>
                <w:spacing w:val="-9"/>
                <w:sz w:val="18"/>
              </w:rPr>
              <w:t> </w:t>
            </w:r>
            <w:r>
              <w:rPr>
                <w:color w:val="231F20"/>
                <w:spacing w:val="-2"/>
                <w:sz w:val="18"/>
              </w:rPr>
              <w:t>очевидный </w:t>
            </w:r>
            <w:r>
              <w:rPr>
                <w:color w:val="231F20"/>
                <w:sz w:val="18"/>
              </w:rPr>
              <w:t>дефицит информации по выбранной (инклюзивной) теме </w:t>
            </w:r>
            <w:r>
              <w:rPr>
                <w:color w:val="231F20"/>
                <w:spacing w:val="-2"/>
                <w:sz w:val="18"/>
              </w:rPr>
              <w:t>проекта</w:t>
            </w:r>
          </w:p>
        </w:tc>
        <w:tc>
          <w:tcPr>
            <w:tcW w:w="2418" w:type="dxa"/>
          </w:tcPr>
          <w:p>
            <w:pPr>
              <w:pStyle w:val="TableParagraph"/>
              <w:spacing w:line="232" w:lineRule="auto" w:before="37"/>
              <w:ind w:left="79"/>
              <w:rPr>
                <w:sz w:val="18"/>
              </w:rPr>
            </w:pPr>
            <w:r>
              <w:rPr>
                <w:color w:val="231F20"/>
                <w:sz w:val="18"/>
              </w:rPr>
              <w:t>Рабочая</w:t>
            </w:r>
            <w:r>
              <w:rPr>
                <w:color w:val="231F20"/>
                <w:spacing w:val="-12"/>
                <w:sz w:val="18"/>
              </w:rPr>
              <w:t> </w:t>
            </w:r>
            <w:r>
              <w:rPr>
                <w:color w:val="231F20"/>
                <w:sz w:val="18"/>
              </w:rPr>
              <w:t>группа</w:t>
            </w:r>
            <w:r>
              <w:rPr>
                <w:color w:val="231F20"/>
                <w:spacing w:val="-11"/>
                <w:sz w:val="18"/>
              </w:rPr>
              <w:t> </w:t>
            </w:r>
            <w:r>
              <w:rPr>
                <w:color w:val="231F20"/>
                <w:sz w:val="18"/>
              </w:rPr>
              <w:t>по</w:t>
            </w:r>
            <w:r>
              <w:rPr>
                <w:color w:val="231F20"/>
                <w:spacing w:val="-11"/>
                <w:sz w:val="18"/>
              </w:rPr>
              <w:t> </w:t>
            </w:r>
            <w:r>
              <w:rPr>
                <w:color w:val="231F20"/>
                <w:sz w:val="18"/>
              </w:rPr>
              <w:t>проекту использует только ту </w:t>
            </w:r>
            <w:r>
              <w:rPr>
                <w:color w:val="231F20"/>
                <w:spacing w:val="-2"/>
                <w:sz w:val="18"/>
              </w:rPr>
              <w:t>информацию,</w:t>
            </w:r>
            <w:r>
              <w:rPr>
                <w:color w:val="231F20"/>
                <w:spacing w:val="-8"/>
                <w:sz w:val="18"/>
              </w:rPr>
              <w:t> </w:t>
            </w:r>
            <w:r>
              <w:rPr>
                <w:color w:val="231F20"/>
                <w:spacing w:val="-2"/>
                <w:sz w:val="18"/>
              </w:rPr>
              <w:t>которую</w:t>
            </w:r>
            <w:r>
              <w:rPr>
                <w:color w:val="231F20"/>
                <w:spacing w:val="-9"/>
                <w:sz w:val="18"/>
              </w:rPr>
              <w:t> </w:t>
            </w:r>
            <w:r>
              <w:rPr>
                <w:color w:val="231F20"/>
                <w:spacing w:val="-2"/>
                <w:sz w:val="18"/>
              </w:rPr>
              <w:t>они </w:t>
            </w:r>
            <w:r>
              <w:rPr>
                <w:color w:val="231F20"/>
                <w:sz w:val="18"/>
              </w:rPr>
              <w:t>могут найти в интернете</w:t>
            </w:r>
          </w:p>
        </w:tc>
        <w:tc>
          <w:tcPr>
            <w:tcW w:w="2718" w:type="dxa"/>
          </w:tcPr>
          <w:p>
            <w:pPr>
              <w:pStyle w:val="TableParagraph"/>
              <w:spacing w:line="232" w:lineRule="auto" w:before="37"/>
              <w:ind w:left="79" w:right="88"/>
              <w:rPr>
                <w:sz w:val="18"/>
              </w:rPr>
            </w:pPr>
            <w:r>
              <w:rPr>
                <w:color w:val="231F20"/>
                <w:sz w:val="18"/>
              </w:rPr>
              <w:t>Организация партнерского взаимодействия с </w:t>
            </w:r>
            <w:r>
              <w:rPr>
                <w:color w:val="231F20"/>
                <w:spacing w:val="-2"/>
                <w:sz w:val="18"/>
              </w:rPr>
              <w:t>профессиональными </w:t>
            </w:r>
            <w:r>
              <w:rPr>
                <w:color w:val="231F20"/>
                <w:sz w:val="18"/>
              </w:rPr>
              <w:t>организациями,</w:t>
            </w:r>
            <w:r>
              <w:rPr>
                <w:color w:val="231F20"/>
                <w:spacing w:val="-12"/>
                <w:sz w:val="18"/>
              </w:rPr>
              <w:t> </w:t>
            </w:r>
            <w:r>
              <w:rPr>
                <w:color w:val="231F20"/>
                <w:sz w:val="18"/>
              </w:rPr>
              <w:t>занимающимися данной темой в регионе, получение от них конкретной информации по теме проекта, собранной в регионе, получение консультационной помощи от профессионального сообщества</w:t>
            </w:r>
          </w:p>
        </w:tc>
      </w:tr>
      <w:tr>
        <w:trPr>
          <w:trHeight w:val="3674" w:hRule="atLeast"/>
        </w:trPr>
        <w:tc>
          <w:tcPr>
            <w:tcW w:w="2112" w:type="dxa"/>
          </w:tcPr>
          <w:p>
            <w:pPr>
              <w:pStyle w:val="TableParagraph"/>
              <w:spacing w:line="232" w:lineRule="auto" w:before="36"/>
              <w:ind w:left="79" w:right="166"/>
              <w:rPr>
                <w:sz w:val="18"/>
              </w:rPr>
            </w:pPr>
            <w:r>
              <w:rPr>
                <w:color w:val="231F20"/>
                <w:spacing w:val="-2"/>
                <w:sz w:val="18"/>
              </w:rPr>
              <w:t>Администрация</w:t>
            </w:r>
            <w:r>
              <w:rPr>
                <w:color w:val="231F20"/>
                <w:spacing w:val="-10"/>
                <w:sz w:val="18"/>
              </w:rPr>
              <w:t> </w:t>
            </w:r>
            <w:r>
              <w:rPr>
                <w:color w:val="231F20"/>
                <w:spacing w:val="-2"/>
                <w:sz w:val="18"/>
              </w:rPr>
              <w:t>школы </w:t>
            </w:r>
            <w:r>
              <w:rPr>
                <w:color w:val="231F20"/>
                <w:sz w:val="18"/>
              </w:rPr>
              <w:t>не готова поддержать идею проведения инклюзивного</w:t>
            </w:r>
            <w:r>
              <w:rPr>
                <w:color w:val="231F20"/>
                <w:spacing w:val="-1"/>
                <w:sz w:val="18"/>
              </w:rPr>
              <w:t> </w:t>
            </w:r>
            <w:r>
              <w:rPr>
                <w:color w:val="231F20"/>
                <w:sz w:val="18"/>
              </w:rPr>
              <w:t>проекта</w:t>
            </w:r>
          </w:p>
        </w:tc>
        <w:tc>
          <w:tcPr>
            <w:tcW w:w="2418" w:type="dxa"/>
          </w:tcPr>
          <w:p>
            <w:pPr>
              <w:pStyle w:val="TableParagraph"/>
              <w:spacing w:line="232" w:lineRule="auto" w:before="36"/>
              <w:ind w:left="79"/>
              <w:rPr>
                <w:sz w:val="18"/>
              </w:rPr>
            </w:pPr>
            <w:r>
              <w:rPr>
                <w:color w:val="231F20"/>
                <w:sz w:val="18"/>
              </w:rPr>
              <w:t>Мероприятия по теме инклюзии</w:t>
            </w:r>
            <w:r>
              <w:rPr>
                <w:color w:val="231F20"/>
                <w:spacing w:val="-11"/>
                <w:sz w:val="18"/>
              </w:rPr>
              <w:t> </w:t>
            </w:r>
            <w:r>
              <w:rPr>
                <w:color w:val="231F20"/>
                <w:sz w:val="18"/>
              </w:rPr>
              <w:t>и</w:t>
            </w:r>
            <w:r>
              <w:rPr>
                <w:color w:val="231F20"/>
                <w:spacing w:val="-11"/>
                <w:sz w:val="18"/>
              </w:rPr>
              <w:t> </w:t>
            </w:r>
            <w:r>
              <w:rPr>
                <w:color w:val="231F20"/>
                <w:sz w:val="18"/>
              </w:rPr>
              <w:t>работы</w:t>
            </w:r>
            <w:r>
              <w:rPr>
                <w:color w:val="231F20"/>
                <w:spacing w:val="-10"/>
                <w:sz w:val="18"/>
              </w:rPr>
              <w:t> </w:t>
            </w:r>
            <w:r>
              <w:rPr>
                <w:color w:val="231F20"/>
                <w:sz w:val="18"/>
              </w:rPr>
              <w:t>с</w:t>
            </w:r>
            <w:r>
              <w:rPr>
                <w:color w:val="231F20"/>
                <w:spacing w:val="-10"/>
                <w:sz w:val="18"/>
              </w:rPr>
              <w:t> </w:t>
            </w:r>
            <w:r>
              <w:rPr>
                <w:color w:val="231F20"/>
                <w:sz w:val="18"/>
              </w:rPr>
              <w:t>детьми мигрантов не влияют на результаты работы школы</w:t>
            </w:r>
          </w:p>
          <w:p>
            <w:pPr>
              <w:pStyle w:val="TableParagraph"/>
              <w:spacing w:line="232" w:lineRule="auto"/>
              <w:ind w:left="79"/>
              <w:rPr>
                <w:sz w:val="18"/>
              </w:rPr>
            </w:pPr>
            <w:r>
              <w:rPr>
                <w:color w:val="231F20"/>
                <w:sz w:val="18"/>
              </w:rPr>
              <w:t>и</w:t>
            </w:r>
            <w:r>
              <w:rPr>
                <w:color w:val="231F20"/>
                <w:spacing w:val="-11"/>
                <w:sz w:val="18"/>
              </w:rPr>
              <w:t> </w:t>
            </w:r>
            <w:r>
              <w:rPr>
                <w:color w:val="231F20"/>
                <w:sz w:val="18"/>
              </w:rPr>
              <w:t>ее</w:t>
            </w:r>
            <w:r>
              <w:rPr>
                <w:color w:val="231F20"/>
                <w:spacing w:val="-10"/>
                <w:sz w:val="18"/>
              </w:rPr>
              <w:t> </w:t>
            </w:r>
            <w:r>
              <w:rPr>
                <w:color w:val="231F20"/>
                <w:sz w:val="18"/>
              </w:rPr>
              <w:t>место</w:t>
            </w:r>
            <w:r>
              <w:rPr>
                <w:color w:val="231F20"/>
                <w:spacing w:val="-10"/>
                <w:sz w:val="18"/>
              </w:rPr>
              <w:t> </w:t>
            </w:r>
            <w:r>
              <w:rPr>
                <w:color w:val="231F20"/>
                <w:sz w:val="18"/>
              </w:rPr>
              <w:t>в</w:t>
            </w:r>
            <w:r>
              <w:rPr>
                <w:color w:val="231F20"/>
                <w:spacing w:val="-11"/>
                <w:sz w:val="18"/>
              </w:rPr>
              <w:t> </w:t>
            </w:r>
            <w:r>
              <w:rPr>
                <w:color w:val="231F20"/>
                <w:sz w:val="18"/>
              </w:rPr>
              <w:t>рейтинге</w:t>
            </w:r>
            <w:r>
              <w:rPr>
                <w:color w:val="231F20"/>
                <w:spacing w:val="-10"/>
                <w:sz w:val="18"/>
              </w:rPr>
              <w:t> </w:t>
            </w:r>
            <w:r>
              <w:rPr>
                <w:color w:val="231F20"/>
                <w:sz w:val="18"/>
              </w:rPr>
              <w:t>школ </w:t>
            </w:r>
            <w:r>
              <w:rPr>
                <w:color w:val="231F20"/>
                <w:spacing w:val="-2"/>
                <w:sz w:val="18"/>
              </w:rPr>
              <w:t>региона</w:t>
            </w:r>
          </w:p>
        </w:tc>
        <w:tc>
          <w:tcPr>
            <w:tcW w:w="2718" w:type="dxa"/>
          </w:tcPr>
          <w:p>
            <w:pPr>
              <w:pStyle w:val="TableParagraph"/>
              <w:spacing w:line="232" w:lineRule="auto" w:before="36"/>
              <w:ind w:left="79" w:right="260"/>
              <w:rPr>
                <w:sz w:val="18"/>
              </w:rPr>
            </w:pPr>
            <w:r>
              <w:rPr>
                <w:color w:val="231F20"/>
                <w:sz w:val="18"/>
              </w:rPr>
              <w:t>Необходимо обсудить с администрацией значимость данного проекта в создании </w:t>
            </w:r>
            <w:r>
              <w:rPr>
                <w:color w:val="231F20"/>
                <w:spacing w:val="-2"/>
                <w:sz w:val="18"/>
              </w:rPr>
              <w:t>инклюзивной образовательной </w:t>
            </w:r>
            <w:r>
              <w:rPr>
                <w:color w:val="231F20"/>
                <w:sz w:val="18"/>
              </w:rPr>
              <w:t>среды,</w:t>
            </w:r>
            <w:r>
              <w:rPr>
                <w:color w:val="231F20"/>
                <w:spacing w:val="-12"/>
                <w:sz w:val="18"/>
              </w:rPr>
              <w:t> </w:t>
            </w:r>
            <w:r>
              <w:rPr>
                <w:color w:val="231F20"/>
                <w:sz w:val="18"/>
              </w:rPr>
              <w:t>вовлечь</w:t>
            </w:r>
            <w:r>
              <w:rPr>
                <w:color w:val="231F20"/>
                <w:spacing w:val="-11"/>
                <w:sz w:val="18"/>
              </w:rPr>
              <w:t> </w:t>
            </w:r>
            <w:r>
              <w:rPr>
                <w:color w:val="231F20"/>
                <w:sz w:val="18"/>
              </w:rPr>
              <w:t>в</w:t>
            </w:r>
            <w:r>
              <w:rPr>
                <w:color w:val="231F20"/>
                <w:spacing w:val="-11"/>
                <w:sz w:val="18"/>
              </w:rPr>
              <w:t> </w:t>
            </w:r>
            <w:r>
              <w:rPr>
                <w:color w:val="231F20"/>
                <w:sz w:val="18"/>
              </w:rPr>
              <w:t>координацию проекта заместителя</w:t>
            </w:r>
            <w:r>
              <w:rPr>
                <w:color w:val="231F20"/>
                <w:spacing w:val="40"/>
                <w:sz w:val="18"/>
              </w:rPr>
              <w:t> </w:t>
            </w:r>
            <w:r>
              <w:rPr>
                <w:color w:val="231F20"/>
                <w:sz w:val="18"/>
              </w:rPr>
              <w:t>директора по воспитательной работе. Проинформировать</w:t>
            </w:r>
          </w:p>
          <w:p>
            <w:pPr>
              <w:pStyle w:val="TableParagraph"/>
              <w:spacing w:line="232" w:lineRule="auto"/>
              <w:ind w:left="79" w:right="255"/>
              <w:rPr>
                <w:sz w:val="18"/>
              </w:rPr>
            </w:pPr>
            <w:r>
              <w:rPr>
                <w:color w:val="231F20"/>
                <w:sz w:val="18"/>
              </w:rPr>
              <w:t>о проекте специалистов из местных органов управления системой</w:t>
            </w:r>
            <w:r>
              <w:rPr>
                <w:color w:val="231F20"/>
                <w:spacing w:val="-12"/>
                <w:sz w:val="18"/>
              </w:rPr>
              <w:t> </w:t>
            </w:r>
            <w:r>
              <w:rPr>
                <w:color w:val="231F20"/>
                <w:sz w:val="18"/>
              </w:rPr>
              <w:t>образования,</w:t>
            </w:r>
            <w:r>
              <w:rPr>
                <w:color w:val="231F20"/>
                <w:spacing w:val="-11"/>
                <w:sz w:val="18"/>
              </w:rPr>
              <w:t> </w:t>
            </w:r>
            <w:r>
              <w:rPr>
                <w:color w:val="231F20"/>
                <w:sz w:val="18"/>
              </w:rPr>
              <w:t>создать прецедент и описать его</w:t>
            </w:r>
          </w:p>
          <w:p>
            <w:pPr>
              <w:pStyle w:val="TableParagraph"/>
              <w:spacing w:line="232" w:lineRule="auto"/>
              <w:ind w:left="79" w:right="234"/>
              <w:rPr>
                <w:sz w:val="18"/>
              </w:rPr>
            </w:pPr>
            <w:r>
              <w:rPr>
                <w:color w:val="231F20"/>
                <w:sz w:val="18"/>
              </w:rPr>
              <w:t>как педагогический опыт, подлежащий</w:t>
            </w:r>
            <w:r>
              <w:rPr>
                <w:color w:val="231F20"/>
                <w:spacing w:val="-12"/>
                <w:sz w:val="18"/>
              </w:rPr>
              <w:t> </w:t>
            </w:r>
            <w:r>
              <w:rPr>
                <w:color w:val="231F20"/>
                <w:sz w:val="18"/>
              </w:rPr>
              <w:t>распространению на</w:t>
            </w:r>
            <w:r>
              <w:rPr>
                <w:color w:val="231F20"/>
                <w:spacing w:val="-7"/>
                <w:sz w:val="18"/>
              </w:rPr>
              <w:t> </w:t>
            </w:r>
            <w:r>
              <w:rPr>
                <w:color w:val="231F20"/>
                <w:sz w:val="18"/>
              </w:rPr>
              <w:t>другие</w:t>
            </w:r>
            <w:r>
              <w:rPr>
                <w:color w:val="231F20"/>
                <w:spacing w:val="-7"/>
                <w:sz w:val="18"/>
              </w:rPr>
              <w:t> </w:t>
            </w:r>
            <w:r>
              <w:rPr>
                <w:color w:val="231F20"/>
                <w:sz w:val="18"/>
              </w:rPr>
              <w:t>школы.</w:t>
            </w:r>
            <w:r>
              <w:rPr>
                <w:color w:val="231F20"/>
                <w:spacing w:val="-7"/>
                <w:sz w:val="18"/>
              </w:rPr>
              <w:t> </w:t>
            </w:r>
            <w:r>
              <w:rPr>
                <w:color w:val="231F20"/>
                <w:sz w:val="18"/>
              </w:rPr>
              <w:t>Возможно,</w:t>
            </w:r>
            <w:r>
              <w:rPr>
                <w:color w:val="231F20"/>
                <w:spacing w:val="-7"/>
                <w:sz w:val="18"/>
              </w:rPr>
              <w:t> </w:t>
            </w:r>
            <w:r>
              <w:rPr>
                <w:color w:val="231F20"/>
                <w:sz w:val="18"/>
              </w:rPr>
              <w:t>в дальнейшем стать ресурсным центром по данной теме для других школ региона</w:t>
            </w:r>
          </w:p>
        </w:tc>
      </w:tr>
    </w:tbl>
    <w:p>
      <w:pPr>
        <w:spacing w:line="228" w:lineRule="exact" w:before="74"/>
        <w:ind w:left="425" w:right="0" w:firstLine="0"/>
        <w:jc w:val="both"/>
        <w:rPr>
          <w:b/>
          <w:sz w:val="20"/>
        </w:rPr>
      </w:pPr>
      <w:r>
        <w:rPr>
          <w:b/>
          <w:color w:val="231F20"/>
          <w:sz w:val="20"/>
        </w:rPr>
        <w:t>Проблемная</w:t>
      </w:r>
      <w:r>
        <w:rPr>
          <w:b/>
          <w:color w:val="231F20"/>
          <w:spacing w:val="-9"/>
          <w:sz w:val="20"/>
        </w:rPr>
        <w:t> </w:t>
      </w:r>
      <w:r>
        <w:rPr>
          <w:b/>
          <w:color w:val="231F20"/>
          <w:sz w:val="20"/>
        </w:rPr>
        <w:t>ситуация</w:t>
      </w:r>
      <w:r>
        <w:rPr>
          <w:b/>
          <w:color w:val="231F20"/>
          <w:spacing w:val="-8"/>
          <w:sz w:val="20"/>
        </w:rPr>
        <w:t> </w:t>
      </w:r>
      <w:r>
        <w:rPr>
          <w:b/>
          <w:color w:val="231F20"/>
          <w:sz w:val="20"/>
        </w:rPr>
        <w:t>как</w:t>
      </w:r>
      <w:r>
        <w:rPr>
          <w:b/>
          <w:color w:val="231F20"/>
          <w:spacing w:val="-9"/>
          <w:sz w:val="20"/>
        </w:rPr>
        <w:t> </w:t>
      </w:r>
      <w:r>
        <w:rPr>
          <w:b/>
          <w:color w:val="231F20"/>
          <w:sz w:val="20"/>
        </w:rPr>
        <w:t>повод</w:t>
      </w:r>
      <w:r>
        <w:rPr>
          <w:b/>
          <w:color w:val="231F20"/>
          <w:spacing w:val="-9"/>
          <w:sz w:val="20"/>
        </w:rPr>
        <w:t> </w:t>
      </w:r>
      <w:r>
        <w:rPr>
          <w:b/>
          <w:color w:val="231F20"/>
          <w:sz w:val="20"/>
        </w:rPr>
        <w:t>для</w:t>
      </w:r>
      <w:r>
        <w:rPr>
          <w:b/>
          <w:color w:val="231F20"/>
          <w:spacing w:val="-8"/>
          <w:sz w:val="20"/>
        </w:rPr>
        <w:t> </w:t>
      </w:r>
      <w:r>
        <w:rPr>
          <w:b/>
          <w:color w:val="231F20"/>
          <w:sz w:val="20"/>
        </w:rPr>
        <w:t>общешкольного</w:t>
      </w:r>
      <w:r>
        <w:rPr>
          <w:b/>
          <w:color w:val="231F20"/>
          <w:spacing w:val="-8"/>
          <w:sz w:val="20"/>
        </w:rPr>
        <w:t> </w:t>
      </w:r>
      <w:r>
        <w:rPr>
          <w:b/>
          <w:color w:val="231F20"/>
          <w:spacing w:val="-2"/>
          <w:sz w:val="20"/>
        </w:rPr>
        <w:t>проекта</w:t>
      </w:r>
    </w:p>
    <w:p>
      <w:pPr>
        <w:pStyle w:val="BodyText"/>
      </w:pPr>
      <w:r>
        <w:rPr>
          <w:color w:val="231F20"/>
        </w:rPr>
        <w:t>Приведем пример общешкольного проекта в условиях инклюзивной образова- тельной среды, который был успешно проведен в московской ГБОУ Школа № 1540. Школа находится в центре Москвы и имеет ряд особенностей: школа инклюзивная (в обычных классах учится много детей с особенностями здоровья), школа с этно- культурной</w:t>
      </w:r>
      <w:r>
        <w:rPr>
          <w:color w:val="231F20"/>
          <w:spacing w:val="-8"/>
        </w:rPr>
        <w:t> </w:t>
      </w:r>
      <w:r>
        <w:rPr>
          <w:color w:val="231F20"/>
        </w:rPr>
        <w:t>средой</w:t>
      </w:r>
      <w:r>
        <w:rPr>
          <w:color w:val="231F20"/>
          <w:spacing w:val="-8"/>
        </w:rPr>
        <w:t> </w:t>
      </w:r>
      <w:r>
        <w:rPr>
          <w:color w:val="231F20"/>
        </w:rPr>
        <w:t>(этнокультурная</w:t>
      </w:r>
      <w:r>
        <w:rPr>
          <w:color w:val="231F20"/>
          <w:spacing w:val="-8"/>
        </w:rPr>
        <w:t> </w:t>
      </w:r>
      <w:r>
        <w:rPr>
          <w:color w:val="231F20"/>
        </w:rPr>
        <w:t>школа</w:t>
      </w:r>
      <w:r>
        <w:rPr>
          <w:color w:val="231F20"/>
          <w:spacing w:val="-8"/>
        </w:rPr>
        <w:t> </w:t>
      </w:r>
      <w:r>
        <w:rPr>
          <w:color w:val="231F20"/>
        </w:rPr>
        <w:t>с</w:t>
      </w:r>
      <w:r>
        <w:rPr>
          <w:color w:val="231F20"/>
          <w:spacing w:val="-8"/>
        </w:rPr>
        <w:t> </w:t>
      </w:r>
      <w:r>
        <w:rPr>
          <w:color w:val="231F20"/>
        </w:rPr>
        <w:t>еврейским</w:t>
      </w:r>
      <w:r>
        <w:rPr>
          <w:color w:val="231F20"/>
          <w:spacing w:val="-8"/>
        </w:rPr>
        <w:t> </w:t>
      </w:r>
      <w:r>
        <w:rPr>
          <w:color w:val="231F20"/>
        </w:rPr>
        <w:t>компонентом</w:t>
      </w:r>
      <w:r>
        <w:rPr>
          <w:color w:val="231F20"/>
          <w:spacing w:val="-8"/>
        </w:rPr>
        <w:t> </w:t>
      </w:r>
      <w:r>
        <w:rPr>
          <w:color w:val="231F20"/>
        </w:rPr>
        <w:t>образования)</w:t>
      </w:r>
      <w:r>
        <w:rPr>
          <w:color w:val="231F20"/>
          <w:spacing w:val="-8"/>
        </w:rPr>
        <w:t> </w:t>
      </w:r>
      <w:r>
        <w:rPr>
          <w:color w:val="231F20"/>
        </w:rPr>
        <w:t>и значительным</w:t>
      </w:r>
      <w:r>
        <w:rPr>
          <w:color w:val="231F20"/>
          <w:spacing w:val="-6"/>
        </w:rPr>
        <w:t> </w:t>
      </w:r>
      <w:r>
        <w:rPr>
          <w:color w:val="231F20"/>
        </w:rPr>
        <w:t>процентом</w:t>
      </w:r>
      <w:r>
        <w:rPr>
          <w:color w:val="231F20"/>
          <w:spacing w:val="-6"/>
        </w:rPr>
        <w:t> </w:t>
      </w:r>
      <w:r>
        <w:rPr>
          <w:color w:val="231F20"/>
        </w:rPr>
        <w:t>детей</w:t>
      </w:r>
      <w:r>
        <w:rPr>
          <w:color w:val="231F20"/>
          <w:spacing w:val="-6"/>
        </w:rPr>
        <w:t> </w:t>
      </w:r>
      <w:r>
        <w:rPr>
          <w:color w:val="231F20"/>
        </w:rPr>
        <w:t>мигрантов,</w:t>
      </w:r>
      <w:r>
        <w:rPr>
          <w:color w:val="231F20"/>
          <w:spacing w:val="-6"/>
        </w:rPr>
        <w:t> </w:t>
      </w:r>
      <w:r>
        <w:rPr>
          <w:color w:val="231F20"/>
        </w:rPr>
        <w:t>а</w:t>
      </w:r>
      <w:r>
        <w:rPr>
          <w:color w:val="231F20"/>
          <w:spacing w:val="-6"/>
        </w:rPr>
        <w:t> </w:t>
      </w:r>
      <w:r>
        <w:rPr>
          <w:color w:val="231F20"/>
        </w:rPr>
        <w:t>также</w:t>
      </w:r>
      <w:r>
        <w:rPr>
          <w:color w:val="231F20"/>
          <w:spacing w:val="-6"/>
        </w:rPr>
        <w:t> </w:t>
      </w:r>
      <w:r>
        <w:rPr>
          <w:color w:val="231F20"/>
        </w:rPr>
        <w:t>школа</w:t>
      </w:r>
      <w:r>
        <w:rPr>
          <w:color w:val="231F20"/>
          <w:spacing w:val="-6"/>
        </w:rPr>
        <w:t> </w:t>
      </w:r>
      <w:r>
        <w:rPr>
          <w:color w:val="231F20"/>
        </w:rPr>
        <w:t>с</w:t>
      </w:r>
      <w:r>
        <w:rPr>
          <w:color w:val="231F20"/>
          <w:spacing w:val="-6"/>
        </w:rPr>
        <w:t> </w:t>
      </w:r>
      <w:r>
        <w:rPr>
          <w:color w:val="231F20"/>
        </w:rPr>
        <w:t>углубленным</w:t>
      </w:r>
      <w:r>
        <w:rPr>
          <w:color w:val="231F20"/>
          <w:spacing w:val="-6"/>
        </w:rPr>
        <w:t> </w:t>
      </w:r>
      <w:r>
        <w:rPr>
          <w:color w:val="231F20"/>
        </w:rPr>
        <w:t>изучением информатики и технологии и хорошими традициями проектной деятельности.</w:t>
      </w:r>
    </w:p>
    <w:p>
      <w:pPr>
        <w:pStyle w:val="BodyText"/>
      </w:pPr>
      <w:r>
        <w:rPr>
          <w:color w:val="231F20"/>
        </w:rPr>
        <w:t>Москва</w:t>
      </w:r>
      <w:r>
        <w:rPr>
          <w:color w:val="231F20"/>
          <w:spacing w:val="-7"/>
        </w:rPr>
        <w:t> </w:t>
      </w:r>
      <w:r>
        <w:rPr>
          <w:color w:val="231F20"/>
        </w:rPr>
        <w:t>является</w:t>
      </w:r>
      <w:r>
        <w:rPr>
          <w:color w:val="231F20"/>
          <w:spacing w:val="-7"/>
        </w:rPr>
        <w:t> </w:t>
      </w:r>
      <w:r>
        <w:rPr>
          <w:color w:val="231F20"/>
        </w:rPr>
        <w:t>самым</w:t>
      </w:r>
      <w:r>
        <w:rPr>
          <w:color w:val="231F20"/>
          <w:spacing w:val="-7"/>
        </w:rPr>
        <w:t> </w:t>
      </w:r>
      <w:r>
        <w:rPr>
          <w:color w:val="231F20"/>
        </w:rPr>
        <w:t>большим</w:t>
      </w:r>
      <w:r>
        <w:rPr>
          <w:color w:val="231F20"/>
          <w:spacing w:val="-6"/>
        </w:rPr>
        <w:t> </w:t>
      </w:r>
      <w:r>
        <w:rPr>
          <w:color w:val="231F20"/>
        </w:rPr>
        <w:t>в</w:t>
      </w:r>
      <w:r>
        <w:rPr>
          <w:color w:val="231F20"/>
          <w:spacing w:val="-7"/>
        </w:rPr>
        <w:t> </w:t>
      </w:r>
      <w:r>
        <w:rPr>
          <w:color w:val="231F20"/>
        </w:rPr>
        <w:t>России</w:t>
      </w:r>
      <w:r>
        <w:rPr>
          <w:color w:val="231F20"/>
          <w:spacing w:val="-7"/>
        </w:rPr>
        <w:t> </w:t>
      </w:r>
      <w:r>
        <w:rPr>
          <w:color w:val="231F20"/>
        </w:rPr>
        <w:t>поликультурным</w:t>
      </w:r>
      <w:r>
        <w:rPr>
          <w:color w:val="231F20"/>
          <w:spacing w:val="-7"/>
        </w:rPr>
        <w:t> </w:t>
      </w:r>
      <w:r>
        <w:rPr>
          <w:color w:val="231F20"/>
        </w:rPr>
        <w:t>мегаполисом,</w:t>
      </w:r>
      <w:r>
        <w:rPr>
          <w:color w:val="231F20"/>
          <w:spacing w:val="-7"/>
        </w:rPr>
        <w:t> </w:t>
      </w:r>
      <w:r>
        <w:rPr>
          <w:color w:val="231F20"/>
        </w:rPr>
        <w:t>поэто- му в московских школах учатся дети разных национальностей, переехавшие с роди- телями в этот город в разное время и по разным причинам.</w:t>
      </w:r>
    </w:p>
    <w:p>
      <w:pPr>
        <w:pStyle w:val="BodyText"/>
      </w:pPr>
      <w:r>
        <w:rPr>
          <w:color w:val="231F20"/>
          <w:spacing w:val="-2"/>
        </w:rPr>
        <w:t>В</w:t>
      </w:r>
      <w:r>
        <w:rPr>
          <w:color w:val="231F20"/>
          <w:spacing w:val="-6"/>
        </w:rPr>
        <w:t> </w:t>
      </w:r>
      <w:r>
        <w:rPr>
          <w:color w:val="231F20"/>
          <w:spacing w:val="-2"/>
        </w:rPr>
        <w:t>начале</w:t>
      </w:r>
      <w:r>
        <w:rPr>
          <w:color w:val="231F20"/>
          <w:spacing w:val="-6"/>
        </w:rPr>
        <w:t> </w:t>
      </w:r>
      <w:r>
        <w:rPr>
          <w:color w:val="231F20"/>
          <w:spacing w:val="-2"/>
        </w:rPr>
        <w:t>очередного</w:t>
      </w:r>
      <w:r>
        <w:rPr>
          <w:color w:val="231F20"/>
          <w:spacing w:val="-6"/>
        </w:rPr>
        <w:t> </w:t>
      </w:r>
      <w:r>
        <w:rPr>
          <w:color w:val="231F20"/>
          <w:spacing w:val="-2"/>
        </w:rPr>
        <w:t>учебного</w:t>
      </w:r>
      <w:r>
        <w:rPr>
          <w:color w:val="231F20"/>
          <w:spacing w:val="-6"/>
        </w:rPr>
        <w:t> </w:t>
      </w:r>
      <w:r>
        <w:rPr>
          <w:color w:val="231F20"/>
          <w:spacing w:val="-2"/>
        </w:rPr>
        <w:t>года</w:t>
      </w:r>
      <w:r>
        <w:rPr>
          <w:color w:val="231F20"/>
          <w:spacing w:val="-6"/>
        </w:rPr>
        <w:t> </w:t>
      </w:r>
      <w:r>
        <w:rPr>
          <w:color w:val="231F20"/>
          <w:spacing w:val="-2"/>
        </w:rPr>
        <w:t>классные</w:t>
      </w:r>
      <w:r>
        <w:rPr>
          <w:color w:val="231F20"/>
          <w:spacing w:val="-6"/>
        </w:rPr>
        <w:t> </w:t>
      </w:r>
      <w:r>
        <w:rPr>
          <w:color w:val="231F20"/>
          <w:spacing w:val="-2"/>
        </w:rPr>
        <w:t>руководители</w:t>
      </w:r>
      <w:r>
        <w:rPr>
          <w:color w:val="231F20"/>
          <w:spacing w:val="-6"/>
        </w:rPr>
        <w:t> </w:t>
      </w:r>
      <w:r>
        <w:rPr>
          <w:color w:val="231F20"/>
          <w:spacing w:val="-2"/>
        </w:rPr>
        <w:t>и</w:t>
      </w:r>
      <w:r>
        <w:rPr>
          <w:color w:val="231F20"/>
          <w:spacing w:val="-6"/>
        </w:rPr>
        <w:t> </w:t>
      </w:r>
      <w:r>
        <w:rPr>
          <w:color w:val="231F20"/>
          <w:spacing w:val="-2"/>
        </w:rPr>
        <w:t>школьные</w:t>
      </w:r>
      <w:r>
        <w:rPr>
          <w:color w:val="231F20"/>
          <w:spacing w:val="-6"/>
        </w:rPr>
        <w:t> </w:t>
      </w:r>
      <w:r>
        <w:rPr>
          <w:color w:val="231F20"/>
          <w:spacing w:val="-2"/>
        </w:rPr>
        <w:t>психологи </w:t>
      </w:r>
      <w:r>
        <w:rPr>
          <w:color w:val="231F20"/>
        </w:rPr>
        <w:t>обратили</w:t>
      </w:r>
      <w:r>
        <w:rPr>
          <w:color w:val="231F20"/>
          <w:spacing w:val="-3"/>
        </w:rPr>
        <w:t> </w:t>
      </w:r>
      <w:r>
        <w:rPr>
          <w:color w:val="231F20"/>
        </w:rPr>
        <w:t>внимание,</w:t>
      </w:r>
      <w:r>
        <w:rPr>
          <w:color w:val="231F20"/>
          <w:spacing w:val="-3"/>
        </w:rPr>
        <w:t> </w:t>
      </w:r>
      <w:r>
        <w:rPr>
          <w:color w:val="231F20"/>
        </w:rPr>
        <w:t>что</w:t>
      </w:r>
      <w:r>
        <w:rPr>
          <w:color w:val="231F20"/>
          <w:spacing w:val="-4"/>
        </w:rPr>
        <w:t> </w:t>
      </w:r>
      <w:r>
        <w:rPr>
          <w:color w:val="231F20"/>
        </w:rPr>
        <w:t>среди</w:t>
      </w:r>
      <w:r>
        <w:rPr>
          <w:color w:val="231F20"/>
          <w:spacing w:val="-4"/>
        </w:rPr>
        <w:t> </w:t>
      </w:r>
      <w:r>
        <w:rPr>
          <w:color w:val="231F20"/>
        </w:rPr>
        <w:t>детей</w:t>
      </w:r>
      <w:r>
        <w:rPr>
          <w:color w:val="231F20"/>
          <w:spacing w:val="-4"/>
        </w:rPr>
        <w:t> </w:t>
      </w:r>
      <w:r>
        <w:rPr>
          <w:color w:val="231F20"/>
        </w:rPr>
        <w:t>(особенно</w:t>
      </w:r>
      <w:r>
        <w:rPr>
          <w:color w:val="231F20"/>
          <w:spacing w:val="-3"/>
        </w:rPr>
        <w:t> </w:t>
      </w:r>
      <w:r>
        <w:rPr>
          <w:color w:val="231F20"/>
        </w:rPr>
        <w:t>на</w:t>
      </w:r>
      <w:r>
        <w:rPr>
          <w:color w:val="231F20"/>
          <w:spacing w:val="-3"/>
        </w:rPr>
        <w:t> </w:t>
      </w:r>
      <w:r>
        <w:rPr>
          <w:color w:val="231F20"/>
        </w:rPr>
        <w:t>уровне</w:t>
      </w:r>
      <w:r>
        <w:rPr>
          <w:color w:val="231F20"/>
          <w:spacing w:val="-3"/>
        </w:rPr>
        <w:t> </w:t>
      </w:r>
      <w:r>
        <w:rPr>
          <w:color w:val="231F20"/>
        </w:rPr>
        <w:t>средней</w:t>
      </w:r>
      <w:r>
        <w:rPr>
          <w:color w:val="231F20"/>
          <w:spacing w:val="-4"/>
        </w:rPr>
        <w:t> </w:t>
      </w:r>
      <w:r>
        <w:rPr>
          <w:color w:val="231F20"/>
        </w:rPr>
        <w:t>и</w:t>
      </w:r>
      <w:r>
        <w:rPr>
          <w:color w:val="231F20"/>
          <w:spacing w:val="-4"/>
        </w:rPr>
        <w:t> </w:t>
      </w:r>
      <w:r>
        <w:rPr>
          <w:color w:val="231F20"/>
        </w:rPr>
        <w:t>старшей</w:t>
      </w:r>
      <w:r>
        <w:rPr>
          <w:color w:val="231F20"/>
          <w:spacing w:val="-4"/>
        </w:rPr>
        <w:t> </w:t>
      </w:r>
      <w:r>
        <w:rPr>
          <w:color w:val="231F20"/>
        </w:rPr>
        <w:t>школы) началось выяснение отношений, в основе которых присутствовал конфликт между правами тех, кто уже давно живет в Москве, и теми, кто только-только стал москви- чом. На начальном этапе отношения между детьми выяснялись в рамках обычного общения, но прогноз развития этой темы был негативный.</w:t>
      </w:r>
    </w:p>
    <w:p>
      <w:pPr>
        <w:pStyle w:val="BodyText"/>
      </w:pPr>
      <w:r>
        <w:rPr>
          <w:color w:val="231F20"/>
        </w:rPr>
        <w:t>Администрации школы было понятно, что, если не перенаправить интерес детей к</w:t>
      </w:r>
      <w:r>
        <w:rPr>
          <w:color w:val="231F20"/>
          <w:spacing w:val="12"/>
        </w:rPr>
        <w:t> </w:t>
      </w:r>
      <w:r>
        <w:rPr>
          <w:color w:val="231F20"/>
        </w:rPr>
        <w:t>данной</w:t>
      </w:r>
      <w:r>
        <w:rPr>
          <w:color w:val="231F20"/>
          <w:spacing w:val="15"/>
        </w:rPr>
        <w:t> </w:t>
      </w:r>
      <w:r>
        <w:rPr>
          <w:color w:val="231F20"/>
        </w:rPr>
        <w:t>теме</w:t>
      </w:r>
      <w:r>
        <w:rPr>
          <w:color w:val="231F20"/>
          <w:spacing w:val="15"/>
        </w:rPr>
        <w:t> </w:t>
      </w:r>
      <w:r>
        <w:rPr>
          <w:color w:val="231F20"/>
        </w:rPr>
        <w:t>из</w:t>
      </w:r>
      <w:r>
        <w:rPr>
          <w:color w:val="231F20"/>
          <w:spacing w:val="15"/>
        </w:rPr>
        <w:t> </w:t>
      </w:r>
      <w:r>
        <w:rPr>
          <w:color w:val="231F20"/>
        </w:rPr>
        <w:t>бытовой</w:t>
      </w:r>
      <w:r>
        <w:rPr>
          <w:color w:val="231F20"/>
          <w:spacing w:val="14"/>
        </w:rPr>
        <w:t> </w:t>
      </w:r>
      <w:r>
        <w:rPr>
          <w:color w:val="231F20"/>
        </w:rPr>
        <w:t>плоскости</w:t>
      </w:r>
      <w:r>
        <w:rPr>
          <w:color w:val="231F20"/>
          <w:spacing w:val="15"/>
        </w:rPr>
        <w:t> </w:t>
      </w:r>
      <w:r>
        <w:rPr>
          <w:color w:val="231F20"/>
        </w:rPr>
        <w:t>в</w:t>
      </w:r>
      <w:r>
        <w:rPr>
          <w:color w:val="231F20"/>
          <w:spacing w:val="15"/>
        </w:rPr>
        <w:t> </w:t>
      </w:r>
      <w:r>
        <w:rPr>
          <w:color w:val="231F20"/>
        </w:rPr>
        <w:t>проектную</w:t>
      </w:r>
      <w:r>
        <w:rPr>
          <w:color w:val="231F20"/>
          <w:spacing w:val="15"/>
        </w:rPr>
        <w:t> </w:t>
      </w:r>
      <w:r>
        <w:rPr>
          <w:color w:val="231F20"/>
        </w:rPr>
        <w:t>и</w:t>
      </w:r>
      <w:r>
        <w:rPr>
          <w:color w:val="231F20"/>
          <w:spacing w:val="14"/>
        </w:rPr>
        <w:t> </w:t>
      </w:r>
      <w:r>
        <w:rPr>
          <w:color w:val="231F20"/>
        </w:rPr>
        <w:t>не</w:t>
      </w:r>
      <w:r>
        <w:rPr>
          <w:color w:val="231F20"/>
          <w:spacing w:val="15"/>
        </w:rPr>
        <w:t> </w:t>
      </w:r>
      <w:r>
        <w:rPr>
          <w:color w:val="231F20"/>
        </w:rPr>
        <w:t>поднять</w:t>
      </w:r>
      <w:r>
        <w:rPr>
          <w:color w:val="231F20"/>
          <w:spacing w:val="15"/>
        </w:rPr>
        <w:t> </w:t>
      </w:r>
      <w:r>
        <w:rPr>
          <w:color w:val="231F20"/>
        </w:rPr>
        <w:t>тему,</w:t>
      </w:r>
      <w:r>
        <w:rPr>
          <w:color w:val="231F20"/>
          <w:spacing w:val="15"/>
        </w:rPr>
        <w:t> </w:t>
      </w:r>
      <w:r>
        <w:rPr>
          <w:color w:val="231F20"/>
          <w:spacing w:val="-2"/>
        </w:rPr>
        <w:t>касающуюся</w:t>
      </w:r>
    </w:p>
    <w:p>
      <w:pPr>
        <w:pStyle w:val="BodyText"/>
        <w:spacing w:after="0"/>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z w:val="18"/>
        </w:rPr>
        <w:t>4.4.</w:t>
      </w:r>
      <w:r>
        <w:rPr>
          <w:rFonts w:ascii="Georgia" w:hAnsi="Georgia"/>
          <w:color w:val="231F20"/>
          <w:spacing w:val="-1"/>
          <w:sz w:val="18"/>
        </w:rPr>
        <w:t> </w:t>
      </w:r>
      <w:r>
        <w:rPr>
          <w:rFonts w:ascii="Georgia" w:hAnsi="Georgia"/>
          <w:color w:val="231F20"/>
          <w:sz w:val="18"/>
        </w:rPr>
        <w:t>Методы</w:t>
      </w:r>
      <w:r>
        <w:rPr>
          <w:rFonts w:ascii="Georgia" w:hAnsi="Georgia"/>
          <w:color w:val="231F20"/>
          <w:spacing w:val="-1"/>
          <w:sz w:val="18"/>
        </w:rPr>
        <w:t> </w:t>
      </w:r>
      <w:r>
        <w:rPr>
          <w:rFonts w:ascii="Georgia" w:hAnsi="Georgia"/>
          <w:color w:val="231F20"/>
          <w:sz w:val="18"/>
        </w:rPr>
        <w:t>учебной</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1"/>
          <w:sz w:val="18"/>
        </w:rPr>
        <w:t> </w:t>
      </w:r>
      <w:r>
        <w:rPr>
          <w:rFonts w:ascii="Georgia" w:hAnsi="Georgia"/>
          <w:color w:val="231F20"/>
          <w:sz w:val="18"/>
        </w:rPr>
        <w:t>для адаптации</w:t>
      </w:r>
      <w:r>
        <w:rPr>
          <w:rFonts w:ascii="Georgia" w:hAnsi="Georgia"/>
          <w:color w:val="231F20"/>
          <w:spacing w:val="-1"/>
          <w:sz w:val="18"/>
        </w:rPr>
        <w:t> </w:t>
      </w:r>
      <w:r>
        <w:rPr>
          <w:rFonts w:ascii="Georgia" w:hAnsi="Georgia"/>
          <w:color w:val="231F20"/>
          <w:sz w:val="18"/>
        </w:rPr>
        <w:t>детей</w:t>
      </w:r>
      <w:r>
        <w:rPr>
          <w:rFonts w:ascii="Georgia" w:hAnsi="Georgia"/>
          <w:color w:val="231F20"/>
          <w:spacing w:val="-1"/>
          <w:sz w:val="18"/>
        </w:rPr>
        <w:t> </w:t>
      </w:r>
      <w:r>
        <w:rPr>
          <w:rFonts w:ascii="Georgia" w:hAnsi="Georgia"/>
          <w:color w:val="231F20"/>
          <w:sz w:val="18"/>
        </w:rPr>
        <w:t>...</w:t>
      </w:r>
      <w:r>
        <w:rPr>
          <w:rFonts w:ascii="Georgia" w:hAnsi="Georgia"/>
          <w:color w:val="231F20"/>
          <w:spacing w:val="-1"/>
          <w:sz w:val="18"/>
        </w:rPr>
        <w:t> </w:t>
      </w:r>
      <w:r>
        <w:rPr>
          <w:rFonts w:ascii="Georgia" w:hAnsi="Georgia"/>
          <w:color w:val="231F20"/>
          <w:sz w:val="18"/>
        </w:rPr>
        <w:t>во </w:t>
      </w:r>
      <w:r>
        <w:rPr>
          <w:rFonts w:ascii="Georgia" w:hAnsi="Georgia"/>
          <w:color w:val="231F20"/>
          <w:spacing w:val="-2"/>
          <w:sz w:val="18"/>
        </w:rPr>
        <w:t>взаимодействии...</w:t>
      </w:r>
    </w:p>
    <w:p>
      <w:pPr>
        <w:pStyle w:val="BodyText"/>
        <w:spacing w:line="230" w:lineRule="auto" w:before="119"/>
        <w:ind w:firstLine="0"/>
      </w:pPr>
      <w:r>
        <w:rPr>
          <w:color w:val="231F20"/>
          <w:spacing w:val="-2"/>
        </w:rPr>
        <w:t>уточнения</w:t>
      </w:r>
      <w:r>
        <w:rPr>
          <w:color w:val="231F20"/>
          <w:spacing w:val="-4"/>
        </w:rPr>
        <w:t> </w:t>
      </w:r>
      <w:r>
        <w:rPr>
          <w:color w:val="231F20"/>
          <w:spacing w:val="-2"/>
        </w:rPr>
        <w:t>понятия</w:t>
      </w:r>
      <w:r>
        <w:rPr>
          <w:color w:val="231F20"/>
          <w:spacing w:val="-4"/>
        </w:rPr>
        <w:t> </w:t>
      </w:r>
      <w:r>
        <w:rPr>
          <w:color w:val="231F20"/>
          <w:spacing w:val="-2"/>
        </w:rPr>
        <w:t>«москвич»,</w:t>
      </w:r>
      <w:r>
        <w:rPr>
          <w:color w:val="231F20"/>
          <w:spacing w:val="-4"/>
        </w:rPr>
        <w:t> </w:t>
      </w:r>
      <w:r>
        <w:rPr>
          <w:color w:val="231F20"/>
          <w:spacing w:val="-2"/>
        </w:rPr>
        <w:t>в</w:t>
      </w:r>
      <w:r>
        <w:rPr>
          <w:color w:val="231F20"/>
          <w:spacing w:val="-4"/>
        </w:rPr>
        <w:t> </w:t>
      </w:r>
      <w:r>
        <w:rPr>
          <w:color w:val="231F20"/>
          <w:spacing w:val="-2"/>
        </w:rPr>
        <w:t>школе</w:t>
      </w:r>
      <w:r>
        <w:rPr>
          <w:color w:val="231F20"/>
          <w:spacing w:val="-4"/>
        </w:rPr>
        <w:t> </w:t>
      </w:r>
      <w:r>
        <w:rPr>
          <w:color w:val="231F20"/>
          <w:spacing w:val="-2"/>
        </w:rPr>
        <w:t>могут</w:t>
      </w:r>
      <w:r>
        <w:rPr>
          <w:color w:val="231F20"/>
          <w:spacing w:val="-4"/>
        </w:rPr>
        <w:t> </w:t>
      </w:r>
      <w:r>
        <w:rPr>
          <w:color w:val="231F20"/>
          <w:spacing w:val="-2"/>
        </w:rPr>
        <w:t>начаться</w:t>
      </w:r>
      <w:r>
        <w:rPr>
          <w:color w:val="231F20"/>
          <w:spacing w:val="-4"/>
        </w:rPr>
        <w:t> </w:t>
      </w:r>
      <w:r>
        <w:rPr>
          <w:color w:val="231F20"/>
          <w:spacing w:val="-2"/>
        </w:rPr>
        <w:t>проблемы.</w:t>
      </w:r>
      <w:r>
        <w:rPr>
          <w:color w:val="231F20"/>
          <w:spacing w:val="-5"/>
        </w:rPr>
        <w:t> </w:t>
      </w:r>
      <w:r>
        <w:rPr>
          <w:color w:val="231F20"/>
          <w:spacing w:val="-2"/>
        </w:rPr>
        <w:t>Дело</w:t>
      </w:r>
      <w:r>
        <w:rPr>
          <w:color w:val="231F20"/>
          <w:spacing w:val="-4"/>
        </w:rPr>
        <w:t> </w:t>
      </w:r>
      <w:r>
        <w:rPr>
          <w:color w:val="231F20"/>
          <w:spacing w:val="-2"/>
        </w:rPr>
        <w:t>в</w:t>
      </w:r>
      <w:r>
        <w:rPr>
          <w:color w:val="231F20"/>
          <w:spacing w:val="-4"/>
        </w:rPr>
        <w:t> </w:t>
      </w:r>
      <w:r>
        <w:rPr>
          <w:color w:val="231F20"/>
          <w:spacing w:val="-2"/>
        </w:rPr>
        <w:t>том,</w:t>
      </w:r>
      <w:r>
        <w:rPr>
          <w:color w:val="231F20"/>
          <w:spacing w:val="-4"/>
        </w:rPr>
        <w:t> </w:t>
      </w:r>
      <w:r>
        <w:rPr>
          <w:color w:val="231F20"/>
          <w:spacing w:val="-2"/>
        </w:rPr>
        <w:t>что</w:t>
      </w:r>
      <w:r>
        <w:rPr>
          <w:color w:val="231F20"/>
          <w:spacing w:val="-4"/>
        </w:rPr>
        <w:t> </w:t>
      </w:r>
      <w:r>
        <w:rPr>
          <w:color w:val="231F20"/>
          <w:spacing w:val="-2"/>
        </w:rPr>
        <w:t>под </w:t>
      </w:r>
      <w:r>
        <w:rPr>
          <w:color w:val="231F20"/>
        </w:rPr>
        <w:t>крышей школы собрались совершенно разные дети – из разных регионов бывшего СССР</w:t>
      </w:r>
      <w:r>
        <w:rPr>
          <w:color w:val="231F20"/>
          <w:spacing w:val="-11"/>
        </w:rPr>
        <w:t> </w:t>
      </w:r>
      <w:r>
        <w:rPr>
          <w:color w:val="231F20"/>
        </w:rPr>
        <w:t>и</w:t>
      </w:r>
      <w:r>
        <w:rPr>
          <w:color w:val="231F20"/>
          <w:spacing w:val="-11"/>
        </w:rPr>
        <w:t> </w:t>
      </w:r>
      <w:r>
        <w:rPr>
          <w:color w:val="231F20"/>
        </w:rPr>
        <w:t>дальнего</w:t>
      </w:r>
      <w:r>
        <w:rPr>
          <w:color w:val="231F20"/>
          <w:spacing w:val="-11"/>
        </w:rPr>
        <w:t> </w:t>
      </w:r>
      <w:r>
        <w:rPr>
          <w:color w:val="231F20"/>
        </w:rPr>
        <w:t>зарубежья.</w:t>
      </w:r>
      <w:r>
        <w:rPr>
          <w:color w:val="231F20"/>
          <w:spacing w:val="-11"/>
        </w:rPr>
        <w:t> </w:t>
      </w:r>
      <w:r>
        <w:rPr>
          <w:color w:val="231F20"/>
        </w:rPr>
        <w:t>Возможно,</w:t>
      </w:r>
      <w:r>
        <w:rPr>
          <w:color w:val="231F20"/>
          <w:spacing w:val="-11"/>
        </w:rPr>
        <w:t> </w:t>
      </w:r>
      <w:r>
        <w:rPr>
          <w:color w:val="231F20"/>
        </w:rPr>
        <w:t>это</w:t>
      </w:r>
      <w:r>
        <w:rPr>
          <w:color w:val="231F20"/>
          <w:spacing w:val="-11"/>
        </w:rPr>
        <w:t> </w:t>
      </w:r>
      <w:r>
        <w:rPr>
          <w:color w:val="231F20"/>
        </w:rPr>
        <w:t>и</w:t>
      </w:r>
      <w:r>
        <w:rPr>
          <w:color w:val="231F20"/>
          <w:spacing w:val="-11"/>
        </w:rPr>
        <w:t> </w:t>
      </w:r>
      <w:r>
        <w:rPr>
          <w:color w:val="231F20"/>
        </w:rPr>
        <w:t>спровоцировало</w:t>
      </w:r>
      <w:r>
        <w:rPr>
          <w:color w:val="231F20"/>
          <w:spacing w:val="-11"/>
        </w:rPr>
        <w:t> </w:t>
      </w:r>
      <w:r>
        <w:rPr>
          <w:color w:val="231F20"/>
        </w:rPr>
        <w:t>начало</w:t>
      </w:r>
      <w:r>
        <w:rPr>
          <w:color w:val="231F20"/>
          <w:spacing w:val="-11"/>
        </w:rPr>
        <w:t> </w:t>
      </w:r>
      <w:r>
        <w:rPr>
          <w:color w:val="231F20"/>
        </w:rPr>
        <w:t>бурных</w:t>
      </w:r>
      <w:r>
        <w:rPr>
          <w:color w:val="231F20"/>
          <w:spacing w:val="-11"/>
        </w:rPr>
        <w:t> </w:t>
      </w:r>
      <w:r>
        <w:rPr>
          <w:color w:val="231F20"/>
        </w:rPr>
        <w:t>обсуж- дений,</w:t>
      </w:r>
      <w:r>
        <w:rPr>
          <w:color w:val="231F20"/>
          <w:spacing w:val="-12"/>
        </w:rPr>
        <w:t> </w:t>
      </w:r>
      <w:r>
        <w:rPr>
          <w:color w:val="231F20"/>
        </w:rPr>
        <w:t>кто</w:t>
      </w:r>
      <w:r>
        <w:rPr>
          <w:color w:val="231F20"/>
          <w:spacing w:val="-12"/>
        </w:rPr>
        <w:t> </w:t>
      </w:r>
      <w:r>
        <w:rPr>
          <w:color w:val="231F20"/>
        </w:rPr>
        <w:t>настоящий</w:t>
      </w:r>
      <w:r>
        <w:rPr>
          <w:color w:val="231F20"/>
          <w:spacing w:val="-12"/>
        </w:rPr>
        <w:t> </w:t>
      </w:r>
      <w:r>
        <w:rPr>
          <w:color w:val="231F20"/>
        </w:rPr>
        <w:t>москвич,</w:t>
      </w:r>
      <w:r>
        <w:rPr>
          <w:color w:val="231F20"/>
          <w:spacing w:val="-12"/>
        </w:rPr>
        <w:t> </w:t>
      </w:r>
      <w:r>
        <w:rPr>
          <w:color w:val="231F20"/>
        </w:rPr>
        <w:t>а</w:t>
      </w:r>
      <w:r>
        <w:rPr>
          <w:color w:val="231F20"/>
          <w:spacing w:val="-12"/>
        </w:rPr>
        <w:t> </w:t>
      </w:r>
      <w:r>
        <w:rPr>
          <w:color w:val="231F20"/>
        </w:rPr>
        <w:t>кто</w:t>
      </w:r>
      <w:r>
        <w:rPr>
          <w:color w:val="231F20"/>
          <w:spacing w:val="-12"/>
        </w:rPr>
        <w:t> </w:t>
      </w:r>
      <w:r>
        <w:rPr>
          <w:color w:val="231F20"/>
        </w:rPr>
        <w:t>«понаехал».</w:t>
      </w:r>
      <w:r>
        <w:rPr>
          <w:color w:val="231F20"/>
          <w:spacing w:val="-12"/>
        </w:rPr>
        <w:t> </w:t>
      </w:r>
      <w:r>
        <w:rPr>
          <w:color w:val="231F20"/>
        </w:rPr>
        <w:t>Такие</w:t>
      </w:r>
      <w:r>
        <w:rPr>
          <w:color w:val="231F20"/>
          <w:spacing w:val="-12"/>
        </w:rPr>
        <w:t> </w:t>
      </w:r>
      <w:r>
        <w:rPr>
          <w:color w:val="231F20"/>
        </w:rPr>
        <w:t>темы</w:t>
      </w:r>
      <w:r>
        <w:rPr>
          <w:color w:val="231F20"/>
          <w:spacing w:val="-12"/>
        </w:rPr>
        <w:t> </w:t>
      </w:r>
      <w:r>
        <w:rPr>
          <w:color w:val="231F20"/>
        </w:rPr>
        <w:t>дети,</w:t>
      </w:r>
      <w:r>
        <w:rPr>
          <w:color w:val="231F20"/>
          <w:spacing w:val="-12"/>
        </w:rPr>
        <w:t> </w:t>
      </w:r>
      <w:r>
        <w:rPr>
          <w:color w:val="231F20"/>
        </w:rPr>
        <w:t>как</w:t>
      </w:r>
      <w:r>
        <w:rPr>
          <w:color w:val="231F20"/>
          <w:spacing w:val="-12"/>
        </w:rPr>
        <w:t> </w:t>
      </w:r>
      <w:r>
        <w:rPr>
          <w:color w:val="231F20"/>
        </w:rPr>
        <w:t>правило,</w:t>
      </w:r>
      <w:r>
        <w:rPr>
          <w:color w:val="231F20"/>
          <w:spacing w:val="-12"/>
        </w:rPr>
        <w:t> </w:t>
      </w:r>
      <w:r>
        <w:rPr>
          <w:color w:val="231F20"/>
        </w:rPr>
        <w:t>сами не</w:t>
      </w:r>
      <w:r>
        <w:rPr>
          <w:color w:val="231F20"/>
          <w:spacing w:val="-9"/>
        </w:rPr>
        <w:t> </w:t>
      </w:r>
      <w:r>
        <w:rPr>
          <w:color w:val="231F20"/>
        </w:rPr>
        <w:t>поднимают.</w:t>
      </w:r>
      <w:r>
        <w:rPr>
          <w:color w:val="231F20"/>
          <w:spacing w:val="-10"/>
        </w:rPr>
        <w:t> </w:t>
      </w:r>
      <w:r>
        <w:rPr>
          <w:color w:val="231F20"/>
        </w:rPr>
        <w:t>Возможно,</w:t>
      </w:r>
      <w:r>
        <w:rPr>
          <w:color w:val="231F20"/>
          <w:spacing w:val="-10"/>
        </w:rPr>
        <w:t> </w:t>
      </w:r>
      <w:r>
        <w:rPr>
          <w:color w:val="231F20"/>
        </w:rPr>
        <w:t>этот</w:t>
      </w:r>
      <w:r>
        <w:rPr>
          <w:color w:val="231F20"/>
          <w:spacing w:val="-10"/>
        </w:rPr>
        <w:t> </w:t>
      </w:r>
      <w:r>
        <w:rPr>
          <w:color w:val="231F20"/>
        </w:rPr>
        <w:t>вопрос</w:t>
      </w:r>
      <w:r>
        <w:rPr>
          <w:color w:val="231F20"/>
          <w:spacing w:val="-10"/>
        </w:rPr>
        <w:t> </w:t>
      </w:r>
      <w:r>
        <w:rPr>
          <w:color w:val="231F20"/>
        </w:rPr>
        <w:t>обсуждали</w:t>
      </w:r>
      <w:r>
        <w:rPr>
          <w:color w:val="231F20"/>
          <w:spacing w:val="-10"/>
        </w:rPr>
        <w:t> </w:t>
      </w:r>
      <w:r>
        <w:rPr>
          <w:color w:val="231F20"/>
        </w:rPr>
        <w:t>родители</w:t>
      </w:r>
      <w:r>
        <w:rPr>
          <w:color w:val="231F20"/>
          <w:spacing w:val="-10"/>
        </w:rPr>
        <w:t> </w:t>
      </w:r>
      <w:r>
        <w:rPr>
          <w:color w:val="231F20"/>
        </w:rPr>
        <w:t>детей</w:t>
      </w:r>
      <w:r>
        <w:rPr>
          <w:color w:val="231F20"/>
          <w:spacing w:val="-10"/>
        </w:rPr>
        <w:t> </w:t>
      </w:r>
      <w:r>
        <w:rPr>
          <w:color w:val="231F20"/>
        </w:rPr>
        <w:t>или</w:t>
      </w:r>
      <w:r>
        <w:rPr>
          <w:color w:val="231F20"/>
          <w:spacing w:val="-10"/>
        </w:rPr>
        <w:t> </w:t>
      </w:r>
      <w:r>
        <w:rPr>
          <w:color w:val="231F20"/>
        </w:rPr>
        <w:t>тему</w:t>
      </w:r>
      <w:r>
        <w:rPr>
          <w:color w:val="231F20"/>
          <w:spacing w:val="-10"/>
        </w:rPr>
        <w:t> </w:t>
      </w:r>
      <w:r>
        <w:rPr>
          <w:color w:val="231F20"/>
        </w:rPr>
        <w:t>для</w:t>
      </w:r>
      <w:r>
        <w:rPr>
          <w:color w:val="231F20"/>
          <w:spacing w:val="-10"/>
        </w:rPr>
        <w:t> </w:t>
      </w:r>
      <w:r>
        <w:rPr>
          <w:color w:val="231F20"/>
        </w:rPr>
        <w:t>выяс- нений, кто москвич, а кто нет, дети подхватили из других источников, но у них поя- вился</w:t>
      </w:r>
      <w:r>
        <w:rPr>
          <w:color w:val="231F20"/>
          <w:spacing w:val="-5"/>
        </w:rPr>
        <w:t> </w:t>
      </w:r>
      <w:r>
        <w:rPr>
          <w:color w:val="231F20"/>
        </w:rPr>
        <w:t>повод</w:t>
      </w:r>
      <w:r>
        <w:rPr>
          <w:color w:val="231F20"/>
          <w:spacing w:val="-5"/>
        </w:rPr>
        <w:t> </w:t>
      </w:r>
      <w:r>
        <w:rPr>
          <w:color w:val="231F20"/>
        </w:rPr>
        <w:t>для</w:t>
      </w:r>
      <w:r>
        <w:rPr>
          <w:color w:val="231F20"/>
          <w:spacing w:val="-5"/>
        </w:rPr>
        <w:t> </w:t>
      </w:r>
      <w:r>
        <w:rPr>
          <w:color w:val="231F20"/>
        </w:rPr>
        <w:t>буллинга</w:t>
      </w:r>
      <w:r>
        <w:rPr>
          <w:color w:val="231F20"/>
          <w:spacing w:val="-5"/>
        </w:rPr>
        <w:t> </w:t>
      </w:r>
      <w:r>
        <w:rPr>
          <w:color w:val="231F20"/>
        </w:rPr>
        <w:t>ребят,</w:t>
      </w:r>
      <w:r>
        <w:rPr>
          <w:color w:val="231F20"/>
          <w:spacing w:val="-5"/>
        </w:rPr>
        <w:t> </w:t>
      </w:r>
      <w:r>
        <w:rPr>
          <w:color w:val="231F20"/>
        </w:rPr>
        <w:t>кто</w:t>
      </w:r>
      <w:r>
        <w:rPr>
          <w:color w:val="231F20"/>
          <w:spacing w:val="-5"/>
        </w:rPr>
        <w:t> </w:t>
      </w:r>
      <w:r>
        <w:rPr>
          <w:color w:val="231F20"/>
        </w:rPr>
        <w:t>был</w:t>
      </w:r>
      <w:r>
        <w:rPr>
          <w:color w:val="231F20"/>
          <w:spacing w:val="-5"/>
        </w:rPr>
        <w:t> </w:t>
      </w:r>
      <w:r>
        <w:rPr>
          <w:color w:val="231F20"/>
        </w:rPr>
        <w:t>чем-то</w:t>
      </w:r>
      <w:r>
        <w:rPr>
          <w:color w:val="231F20"/>
          <w:spacing w:val="-5"/>
        </w:rPr>
        <w:t> </w:t>
      </w:r>
      <w:r>
        <w:rPr>
          <w:color w:val="231F20"/>
        </w:rPr>
        <w:t>не</w:t>
      </w:r>
      <w:r>
        <w:rPr>
          <w:color w:val="231F20"/>
          <w:spacing w:val="-5"/>
        </w:rPr>
        <w:t> </w:t>
      </w:r>
      <w:r>
        <w:rPr>
          <w:color w:val="231F20"/>
        </w:rPr>
        <w:t>похож</w:t>
      </w:r>
      <w:r>
        <w:rPr>
          <w:color w:val="231F20"/>
          <w:spacing w:val="-5"/>
        </w:rPr>
        <w:t> </w:t>
      </w:r>
      <w:r>
        <w:rPr>
          <w:color w:val="231F20"/>
        </w:rPr>
        <w:t>на</w:t>
      </w:r>
      <w:r>
        <w:rPr>
          <w:color w:val="231F20"/>
          <w:spacing w:val="-5"/>
        </w:rPr>
        <w:t> </w:t>
      </w:r>
      <w:r>
        <w:rPr>
          <w:color w:val="231F20"/>
        </w:rPr>
        <w:t>большинство</w:t>
      </w:r>
      <w:r>
        <w:rPr>
          <w:color w:val="231F20"/>
          <w:spacing w:val="-5"/>
        </w:rPr>
        <w:t> </w:t>
      </w:r>
      <w:r>
        <w:rPr>
          <w:color w:val="231F20"/>
        </w:rPr>
        <w:t>учеников, плохо</w:t>
      </w:r>
      <w:r>
        <w:rPr>
          <w:color w:val="231F20"/>
          <w:spacing w:val="-5"/>
        </w:rPr>
        <w:t> </w:t>
      </w:r>
      <w:r>
        <w:rPr>
          <w:color w:val="231F20"/>
        </w:rPr>
        <w:t>владел</w:t>
      </w:r>
      <w:r>
        <w:rPr>
          <w:color w:val="231F20"/>
          <w:spacing w:val="-5"/>
        </w:rPr>
        <w:t> </w:t>
      </w:r>
      <w:r>
        <w:rPr>
          <w:color w:val="231F20"/>
        </w:rPr>
        <w:t>русским</w:t>
      </w:r>
      <w:r>
        <w:rPr>
          <w:color w:val="231F20"/>
          <w:spacing w:val="-5"/>
        </w:rPr>
        <w:t> </w:t>
      </w:r>
      <w:r>
        <w:rPr>
          <w:color w:val="231F20"/>
        </w:rPr>
        <w:t>языком</w:t>
      </w:r>
      <w:r>
        <w:rPr>
          <w:color w:val="231F20"/>
          <w:spacing w:val="-5"/>
        </w:rPr>
        <w:t> </w:t>
      </w:r>
      <w:r>
        <w:rPr>
          <w:color w:val="231F20"/>
        </w:rPr>
        <w:t>и</w:t>
      </w:r>
      <w:r>
        <w:rPr>
          <w:color w:val="231F20"/>
          <w:spacing w:val="-5"/>
        </w:rPr>
        <w:t> </w:t>
      </w:r>
      <w:r>
        <w:rPr>
          <w:color w:val="231F20"/>
        </w:rPr>
        <w:t>кому</w:t>
      </w:r>
      <w:r>
        <w:rPr>
          <w:color w:val="231F20"/>
          <w:spacing w:val="-5"/>
        </w:rPr>
        <w:t> </w:t>
      </w:r>
      <w:r>
        <w:rPr>
          <w:color w:val="231F20"/>
        </w:rPr>
        <w:t>явно</w:t>
      </w:r>
      <w:r>
        <w:rPr>
          <w:color w:val="231F20"/>
          <w:spacing w:val="-5"/>
        </w:rPr>
        <w:t> </w:t>
      </w:r>
      <w:r>
        <w:rPr>
          <w:color w:val="231F20"/>
        </w:rPr>
        <w:t>было</w:t>
      </w:r>
      <w:r>
        <w:rPr>
          <w:color w:val="231F20"/>
          <w:spacing w:val="-5"/>
        </w:rPr>
        <w:t> </w:t>
      </w:r>
      <w:r>
        <w:rPr>
          <w:color w:val="231F20"/>
        </w:rPr>
        <w:t>сложнее</w:t>
      </w:r>
      <w:r>
        <w:rPr>
          <w:color w:val="231F20"/>
          <w:spacing w:val="-5"/>
        </w:rPr>
        <w:t> </w:t>
      </w:r>
      <w:r>
        <w:rPr>
          <w:color w:val="231F20"/>
        </w:rPr>
        <w:t>переживать</w:t>
      </w:r>
      <w:r>
        <w:rPr>
          <w:color w:val="231F20"/>
          <w:spacing w:val="-5"/>
        </w:rPr>
        <w:t> </w:t>
      </w:r>
      <w:r>
        <w:rPr>
          <w:color w:val="231F20"/>
        </w:rPr>
        <w:t>период</w:t>
      </w:r>
      <w:r>
        <w:rPr>
          <w:color w:val="231F20"/>
          <w:spacing w:val="-5"/>
        </w:rPr>
        <w:t> </w:t>
      </w:r>
      <w:r>
        <w:rPr>
          <w:color w:val="231F20"/>
        </w:rPr>
        <w:t>вынуж- денной</w:t>
      </w:r>
      <w:r>
        <w:rPr>
          <w:color w:val="231F20"/>
          <w:spacing w:val="-13"/>
        </w:rPr>
        <w:t> </w:t>
      </w:r>
      <w:r>
        <w:rPr>
          <w:color w:val="231F20"/>
        </w:rPr>
        <w:t>социокультурной</w:t>
      </w:r>
      <w:r>
        <w:rPr>
          <w:color w:val="231F20"/>
          <w:spacing w:val="-12"/>
        </w:rPr>
        <w:t> </w:t>
      </w:r>
      <w:r>
        <w:rPr>
          <w:color w:val="231F20"/>
        </w:rPr>
        <w:t>адаптации</w:t>
      </w:r>
      <w:r>
        <w:rPr>
          <w:color w:val="231F20"/>
          <w:spacing w:val="-13"/>
        </w:rPr>
        <w:t> </w:t>
      </w:r>
      <w:r>
        <w:rPr>
          <w:color w:val="231F20"/>
        </w:rPr>
        <w:t>после</w:t>
      </w:r>
      <w:r>
        <w:rPr>
          <w:color w:val="231F20"/>
          <w:spacing w:val="-12"/>
        </w:rPr>
        <w:t> </w:t>
      </w:r>
      <w:r>
        <w:rPr>
          <w:color w:val="231F20"/>
        </w:rPr>
        <w:t>переезда</w:t>
      </w:r>
      <w:r>
        <w:rPr>
          <w:color w:val="231F20"/>
          <w:spacing w:val="-13"/>
        </w:rPr>
        <w:t> </w:t>
      </w:r>
      <w:r>
        <w:rPr>
          <w:color w:val="231F20"/>
        </w:rPr>
        <w:t>в</w:t>
      </w:r>
      <w:r>
        <w:rPr>
          <w:color w:val="231F20"/>
          <w:spacing w:val="-12"/>
        </w:rPr>
        <w:t> </w:t>
      </w:r>
      <w:r>
        <w:rPr>
          <w:color w:val="231F20"/>
        </w:rPr>
        <w:t>Москву</w:t>
      </w:r>
      <w:r>
        <w:rPr>
          <w:color w:val="231F20"/>
          <w:spacing w:val="-13"/>
        </w:rPr>
        <w:t> </w:t>
      </w:r>
      <w:r>
        <w:rPr>
          <w:color w:val="231F20"/>
        </w:rPr>
        <w:t>и</w:t>
      </w:r>
      <w:r>
        <w:rPr>
          <w:color w:val="231F20"/>
          <w:spacing w:val="-12"/>
        </w:rPr>
        <w:t> </w:t>
      </w:r>
      <w:r>
        <w:rPr>
          <w:color w:val="231F20"/>
        </w:rPr>
        <w:t>поступления</w:t>
      </w:r>
      <w:r>
        <w:rPr>
          <w:color w:val="231F20"/>
          <w:spacing w:val="-13"/>
        </w:rPr>
        <w:t> </w:t>
      </w:r>
      <w:r>
        <w:rPr>
          <w:color w:val="231F20"/>
        </w:rPr>
        <w:t>в</w:t>
      </w:r>
      <w:r>
        <w:rPr>
          <w:color w:val="231F20"/>
          <w:spacing w:val="-12"/>
        </w:rPr>
        <w:t> </w:t>
      </w:r>
      <w:r>
        <w:rPr>
          <w:color w:val="231F20"/>
        </w:rPr>
        <w:t>школу.</w:t>
      </w:r>
    </w:p>
    <w:p>
      <w:pPr>
        <w:spacing w:line="225" w:lineRule="exact" w:before="105"/>
        <w:ind w:left="425" w:right="0" w:firstLine="0"/>
        <w:jc w:val="both"/>
        <w:rPr>
          <w:b/>
          <w:sz w:val="20"/>
        </w:rPr>
      </w:pPr>
      <w:r>
        <w:rPr>
          <w:b/>
          <w:color w:val="231F20"/>
          <w:sz w:val="20"/>
        </w:rPr>
        <w:t>Проект</w:t>
      </w:r>
      <w:r>
        <w:rPr>
          <w:b/>
          <w:color w:val="231F20"/>
          <w:spacing w:val="-2"/>
          <w:sz w:val="20"/>
        </w:rPr>
        <w:t> </w:t>
      </w:r>
      <w:r>
        <w:rPr>
          <w:b/>
          <w:color w:val="231F20"/>
          <w:sz w:val="20"/>
        </w:rPr>
        <w:t>«Все</w:t>
      </w:r>
      <w:r>
        <w:rPr>
          <w:b/>
          <w:color w:val="231F20"/>
          <w:spacing w:val="-1"/>
          <w:sz w:val="20"/>
        </w:rPr>
        <w:t> </w:t>
      </w:r>
      <w:r>
        <w:rPr>
          <w:b/>
          <w:color w:val="231F20"/>
          <w:sz w:val="20"/>
        </w:rPr>
        <w:t>мы</w:t>
      </w:r>
      <w:r>
        <w:rPr>
          <w:b/>
          <w:color w:val="231F20"/>
          <w:spacing w:val="-1"/>
          <w:sz w:val="20"/>
        </w:rPr>
        <w:t> </w:t>
      </w:r>
      <w:r>
        <w:rPr>
          <w:b/>
          <w:color w:val="231F20"/>
          <w:spacing w:val="-2"/>
          <w:sz w:val="20"/>
        </w:rPr>
        <w:t>понаехали!»</w:t>
      </w:r>
    </w:p>
    <w:p>
      <w:pPr>
        <w:pStyle w:val="BodyText"/>
        <w:spacing w:line="230" w:lineRule="auto" w:before="3"/>
      </w:pPr>
      <w:r>
        <w:rPr>
          <w:color w:val="231F20"/>
        </w:rPr>
        <w:t>Администрация школы организовала собрание педагогического коллектива учи- телей, работающих в среднем и старшем звене школы. Была представлена проблема и</w:t>
      </w:r>
      <w:r>
        <w:rPr>
          <w:color w:val="231F20"/>
          <w:spacing w:val="-1"/>
        </w:rPr>
        <w:t> </w:t>
      </w:r>
      <w:r>
        <w:rPr>
          <w:color w:val="231F20"/>
        </w:rPr>
        <w:t>предложено</w:t>
      </w:r>
      <w:r>
        <w:rPr>
          <w:color w:val="231F20"/>
          <w:spacing w:val="-1"/>
        </w:rPr>
        <w:t> </w:t>
      </w:r>
      <w:r>
        <w:rPr>
          <w:color w:val="231F20"/>
        </w:rPr>
        <w:t>провести</w:t>
      </w:r>
      <w:r>
        <w:rPr>
          <w:color w:val="231F20"/>
          <w:spacing w:val="-1"/>
        </w:rPr>
        <w:t> </w:t>
      </w:r>
      <w:r>
        <w:rPr>
          <w:color w:val="231F20"/>
        </w:rPr>
        <w:t>общешкольный</w:t>
      </w:r>
      <w:r>
        <w:rPr>
          <w:color w:val="231F20"/>
          <w:spacing w:val="-1"/>
        </w:rPr>
        <w:t> </w:t>
      </w:r>
      <w:r>
        <w:rPr>
          <w:color w:val="231F20"/>
        </w:rPr>
        <w:t>проект</w:t>
      </w:r>
      <w:r>
        <w:rPr>
          <w:color w:val="231F20"/>
          <w:spacing w:val="-1"/>
        </w:rPr>
        <w:t> </w:t>
      </w:r>
      <w:r>
        <w:rPr>
          <w:color w:val="231F20"/>
        </w:rPr>
        <w:t>по</w:t>
      </w:r>
      <w:r>
        <w:rPr>
          <w:color w:val="231F20"/>
          <w:spacing w:val="-1"/>
        </w:rPr>
        <w:t> </w:t>
      </w:r>
      <w:r>
        <w:rPr>
          <w:color w:val="231F20"/>
        </w:rPr>
        <w:t>теме</w:t>
      </w:r>
      <w:r>
        <w:rPr>
          <w:color w:val="231F20"/>
          <w:spacing w:val="-1"/>
        </w:rPr>
        <w:t> </w:t>
      </w:r>
      <w:r>
        <w:rPr>
          <w:color w:val="231F20"/>
        </w:rPr>
        <w:t>«Все</w:t>
      </w:r>
      <w:r>
        <w:rPr>
          <w:color w:val="231F20"/>
          <w:spacing w:val="-1"/>
        </w:rPr>
        <w:t> </w:t>
      </w:r>
      <w:r>
        <w:rPr>
          <w:color w:val="231F20"/>
        </w:rPr>
        <w:t>мы</w:t>
      </w:r>
      <w:r>
        <w:rPr>
          <w:color w:val="231F20"/>
          <w:spacing w:val="-1"/>
        </w:rPr>
        <w:t> </w:t>
      </w:r>
      <w:r>
        <w:rPr>
          <w:color w:val="231F20"/>
        </w:rPr>
        <w:t>понаехали!»,</w:t>
      </w:r>
      <w:r>
        <w:rPr>
          <w:color w:val="231F20"/>
          <w:spacing w:val="-1"/>
        </w:rPr>
        <w:t> </w:t>
      </w:r>
      <w:r>
        <w:rPr>
          <w:color w:val="231F20"/>
        </w:rPr>
        <w:t>целью которого было изучить социальный и этнокультурный состав участников образова- тельного процесса, имеющих отношение к данной школе, то есть не только учащих- ся,</w:t>
      </w:r>
      <w:r>
        <w:rPr>
          <w:color w:val="231F20"/>
          <w:spacing w:val="-2"/>
        </w:rPr>
        <w:t> </w:t>
      </w:r>
      <w:r>
        <w:rPr>
          <w:color w:val="231F20"/>
        </w:rPr>
        <w:t>но</w:t>
      </w:r>
      <w:r>
        <w:rPr>
          <w:color w:val="231F20"/>
          <w:spacing w:val="-3"/>
        </w:rPr>
        <w:t> </w:t>
      </w:r>
      <w:r>
        <w:rPr>
          <w:color w:val="231F20"/>
        </w:rPr>
        <w:t>и</w:t>
      </w:r>
      <w:r>
        <w:rPr>
          <w:color w:val="231F20"/>
          <w:spacing w:val="-2"/>
        </w:rPr>
        <w:t> </w:t>
      </w:r>
      <w:r>
        <w:rPr>
          <w:color w:val="231F20"/>
        </w:rPr>
        <w:t>коллектива</w:t>
      </w:r>
      <w:r>
        <w:rPr>
          <w:color w:val="231F20"/>
          <w:spacing w:val="-3"/>
        </w:rPr>
        <w:t> </w:t>
      </w:r>
      <w:r>
        <w:rPr>
          <w:color w:val="231F20"/>
        </w:rPr>
        <w:t>сотрудников</w:t>
      </w:r>
      <w:r>
        <w:rPr>
          <w:color w:val="231F20"/>
          <w:spacing w:val="-2"/>
        </w:rPr>
        <w:t> </w:t>
      </w:r>
      <w:r>
        <w:rPr>
          <w:color w:val="231F20"/>
        </w:rPr>
        <w:t>школы</w:t>
      </w:r>
      <w:r>
        <w:rPr>
          <w:color w:val="231F20"/>
          <w:spacing w:val="-3"/>
        </w:rPr>
        <w:t> </w:t>
      </w:r>
      <w:r>
        <w:rPr>
          <w:color w:val="231F20"/>
        </w:rPr>
        <w:t>и</w:t>
      </w:r>
      <w:r>
        <w:rPr>
          <w:color w:val="231F20"/>
          <w:spacing w:val="-2"/>
        </w:rPr>
        <w:t> </w:t>
      </w:r>
      <w:r>
        <w:rPr>
          <w:color w:val="231F20"/>
        </w:rPr>
        <w:t>родителей</w:t>
      </w:r>
      <w:r>
        <w:rPr>
          <w:color w:val="231F20"/>
          <w:spacing w:val="-3"/>
        </w:rPr>
        <w:t> </w:t>
      </w:r>
      <w:r>
        <w:rPr>
          <w:color w:val="231F20"/>
        </w:rPr>
        <w:t>учащихся.</w:t>
      </w:r>
      <w:r>
        <w:rPr>
          <w:color w:val="231F20"/>
          <w:spacing w:val="-2"/>
        </w:rPr>
        <w:t> </w:t>
      </w:r>
      <w:r>
        <w:rPr>
          <w:color w:val="231F20"/>
        </w:rPr>
        <w:t>Среди</w:t>
      </w:r>
      <w:r>
        <w:rPr>
          <w:color w:val="231F20"/>
          <w:spacing w:val="-3"/>
        </w:rPr>
        <w:t> </w:t>
      </w:r>
      <w:r>
        <w:rPr>
          <w:color w:val="231F20"/>
        </w:rPr>
        <w:t>задач</w:t>
      </w:r>
      <w:r>
        <w:rPr>
          <w:color w:val="231F20"/>
          <w:spacing w:val="-2"/>
        </w:rPr>
        <w:t> </w:t>
      </w:r>
      <w:r>
        <w:rPr>
          <w:color w:val="231F20"/>
        </w:rPr>
        <w:t>проекта было</w:t>
      </w:r>
      <w:r>
        <w:rPr>
          <w:color w:val="231F20"/>
          <w:spacing w:val="16"/>
        </w:rPr>
        <w:t> </w:t>
      </w:r>
      <w:r>
        <w:rPr>
          <w:color w:val="231F20"/>
        </w:rPr>
        <w:t>проведение</w:t>
      </w:r>
      <w:r>
        <w:rPr>
          <w:color w:val="231F20"/>
          <w:spacing w:val="16"/>
        </w:rPr>
        <w:t> </w:t>
      </w:r>
      <w:r>
        <w:rPr>
          <w:color w:val="231F20"/>
        </w:rPr>
        <w:t>мини-исследования</w:t>
      </w:r>
      <w:r>
        <w:rPr>
          <w:color w:val="231F20"/>
          <w:spacing w:val="16"/>
        </w:rPr>
        <w:t> </w:t>
      </w:r>
      <w:r>
        <w:rPr>
          <w:color w:val="231F20"/>
        </w:rPr>
        <w:t>на</w:t>
      </w:r>
      <w:r>
        <w:rPr>
          <w:color w:val="231F20"/>
          <w:spacing w:val="16"/>
        </w:rPr>
        <w:t> </w:t>
      </w:r>
      <w:r>
        <w:rPr>
          <w:color w:val="231F20"/>
        </w:rPr>
        <w:t>тему:</w:t>
      </w:r>
      <w:r>
        <w:rPr>
          <w:color w:val="231F20"/>
          <w:spacing w:val="16"/>
        </w:rPr>
        <w:t> </w:t>
      </w:r>
      <w:r>
        <w:rPr>
          <w:color w:val="231F20"/>
        </w:rPr>
        <w:t>кто</w:t>
      </w:r>
      <w:r>
        <w:rPr>
          <w:color w:val="231F20"/>
          <w:spacing w:val="16"/>
        </w:rPr>
        <w:t> </w:t>
      </w:r>
      <w:r>
        <w:rPr>
          <w:color w:val="231F20"/>
        </w:rPr>
        <w:t>из</w:t>
      </w:r>
      <w:r>
        <w:rPr>
          <w:color w:val="231F20"/>
          <w:spacing w:val="16"/>
        </w:rPr>
        <w:t> </w:t>
      </w:r>
      <w:r>
        <w:rPr>
          <w:color w:val="231F20"/>
        </w:rPr>
        <w:t>участников</w:t>
      </w:r>
      <w:r>
        <w:rPr>
          <w:color w:val="231F20"/>
          <w:spacing w:val="16"/>
        </w:rPr>
        <w:t> </w:t>
      </w:r>
      <w:r>
        <w:rPr>
          <w:color w:val="231F20"/>
        </w:rPr>
        <w:t>и</w:t>
      </w:r>
      <w:r>
        <w:rPr>
          <w:color w:val="231F20"/>
          <w:spacing w:val="16"/>
        </w:rPr>
        <w:t> </w:t>
      </w:r>
      <w:r>
        <w:rPr>
          <w:color w:val="231F20"/>
        </w:rPr>
        <w:t>откуда</w:t>
      </w:r>
      <w:r>
        <w:rPr>
          <w:color w:val="231F20"/>
          <w:spacing w:val="16"/>
        </w:rPr>
        <w:t> </w:t>
      </w:r>
      <w:r>
        <w:rPr>
          <w:color w:val="231F20"/>
        </w:rPr>
        <w:t>приехал в Москву, какие причины (экономические, социальные и др.) повлияли на решение семьи переехать и пр. Профильная специализация школы на уровне старших клас- сов (информатика, технология) предопределила технологическую составляющую проекта: координаторы проекта поставили перед учащимися много задач по сбору</w:t>
      </w:r>
      <w:r>
        <w:rPr>
          <w:color w:val="231F20"/>
          <w:spacing w:val="80"/>
          <w:w w:val="150"/>
        </w:rPr>
        <w:t> </w:t>
      </w:r>
      <w:r>
        <w:rPr>
          <w:color w:val="231F20"/>
        </w:rPr>
        <w:t>и обработке данных в цифровом виде, с помощью учителей информатики выбрали современные программные средства, которые позволили учащимся собрать данные в цифровой среде и провести их обработку с помощью профессиональных средств обработки статистической информации.</w:t>
      </w:r>
    </w:p>
    <w:p>
      <w:pPr>
        <w:pStyle w:val="BodyText"/>
        <w:spacing w:line="232" w:lineRule="auto" w:before="2"/>
      </w:pPr>
      <w:r>
        <w:rPr>
          <w:b/>
          <w:i/>
          <w:color w:val="231F20"/>
        </w:rPr>
        <w:t>Методические аспекты и организация работы учащихся</w:t>
      </w:r>
      <w:r>
        <w:rPr>
          <w:b/>
          <w:color w:val="231F20"/>
        </w:rPr>
        <w:t>. </w:t>
      </w:r>
      <w:r>
        <w:rPr>
          <w:color w:val="231F20"/>
        </w:rPr>
        <w:t>Для выполнения ра- бот</w:t>
      </w:r>
      <w:r>
        <w:rPr>
          <w:color w:val="231F20"/>
          <w:spacing w:val="-10"/>
        </w:rPr>
        <w:t> </w:t>
      </w:r>
      <w:r>
        <w:rPr>
          <w:color w:val="231F20"/>
        </w:rPr>
        <w:t>по</w:t>
      </w:r>
      <w:r>
        <w:rPr>
          <w:color w:val="231F20"/>
          <w:spacing w:val="-10"/>
        </w:rPr>
        <w:t> </w:t>
      </w:r>
      <w:r>
        <w:rPr>
          <w:color w:val="231F20"/>
        </w:rPr>
        <w:t>проекту</w:t>
      </w:r>
      <w:r>
        <w:rPr>
          <w:color w:val="231F20"/>
          <w:spacing w:val="-10"/>
        </w:rPr>
        <w:t> </w:t>
      </w:r>
      <w:r>
        <w:rPr>
          <w:color w:val="231F20"/>
        </w:rPr>
        <w:t>на</w:t>
      </w:r>
      <w:r>
        <w:rPr>
          <w:color w:val="231F20"/>
          <w:spacing w:val="-10"/>
        </w:rPr>
        <w:t> </w:t>
      </w:r>
      <w:r>
        <w:rPr>
          <w:color w:val="231F20"/>
        </w:rPr>
        <w:t>педсовете</w:t>
      </w:r>
      <w:r>
        <w:rPr>
          <w:color w:val="231F20"/>
          <w:spacing w:val="-10"/>
        </w:rPr>
        <w:t> </w:t>
      </w:r>
      <w:r>
        <w:rPr>
          <w:color w:val="231F20"/>
        </w:rPr>
        <w:t>была</w:t>
      </w:r>
      <w:r>
        <w:rPr>
          <w:color w:val="231F20"/>
          <w:spacing w:val="-10"/>
        </w:rPr>
        <w:t> </w:t>
      </w:r>
      <w:r>
        <w:rPr>
          <w:color w:val="231F20"/>
        </w:rPr>
        <w:t>выбрана</w:t>
      </w:r>
      <w:r>
        <w:rPr>
          <w:color w:val="231F20"/>
          <w:spacing w:val="-10"/>
        </w:rPr>
        <w:t> </w:t>
      </w:r>
      <w:r>
        <w:rPr>
          <w:color w:val="231F20"/>
        </w:rPr>
        <w:t>и</w:t>
      </w:r>
      <w:r>
        <w:rPr>
          <w:color w:val="231F20"/>
          <w:spacing w:val="-10"/>
        </w:rPr>
        <w:t> </w:t>
      </w:r>
      <w:r>
        <w:rPr>
          <w:color w:val="231F20"/>
        </w:rPr>
        <w:t>сформирована</w:t>
      </w:r>
      <w:r>
        <w:rPr>
          <w:color w:val="231F20"/>
          <w:spacing w:val="-10"/>
        </w:rPr>
        <w:t> </w:t>
      </w:r>
      <w:r>
        <w:rPr>
          <w:color w:val="231F20"/>
        </w:rPr>
        <w:t>рабочая</w:t>
      </w:r>
      <w:r>
        <w:rPr>
          <w:color w:val="231F20"/>
          <w:spacing w:val="-10"/>
        </w:rPr>
        <w:t> </w:t>
      </w:r>
      <w:r>
        <w:rPr>
          <w:color w:val="231F20"/>
        </w:rPr>
        <w:t>группа</w:t>
      </w:r>
      <w:r>
        <w:rPr>
          <w:color w:val="231F20"/>
          <w:spacing w:val="-10"/>
        </w:rPr>
        <w:t> </w:t>
      </w:r>
      <w:r>
        <w:rPr>
          <w:color w:val="231F20"/>
        </w:rPr>
        <w:t>в</w:t>
      </w:r>
      <w:r>
        <w:rPr>
          <w:color w:val="231F20"/>
          <w:spacing w:val="-10"/>
        </w:rPr>
        <w:t> </w:t>
      </w:r>
      <w:r>
        <w:rPr>
          <w:color w:val="231F20"/>
        </w:rPr>
        <w:t>составе: представитель</w:t>
      </w:r>
      <w:r>
        <w:rPr>
          <w:color w:val="231F20"/>
          <w:spacing w:val="-13"/>
        </w:rPr>
        <w:t> </w:t>
      </w:r>
      <w:r>
        <w:rPr>
          <w:color w:val="231F20"/>
        </w:rPr>
        <w:t>администрации</w:t>
      </w:r>
      <w:r>
        <w:rPr>
          <w:color w:val="231F20"/>
          <w:spacing w:val="-12"/>
        </w:rPr>
        <w:t> </w:t>
      </w:r>
      <w:r>
        <w:rPr>
          <w:color w:val="231F20"/>
        </w:rPr>
        <w:t>школы,</w:t>
      </w:r>
      <w:r>
        <w:rPr>
          <w:color w:val="231F20"/>
          <w:spacing w:val="-13"/>
        </w:rPr>
        <w:t> </w:t>
      </w:r>
      <w:r>
        <w:rPr>
          <w:color w:val="231F20"/>
        </w:rPr>
        <w:t>психолог,</w:t>
      </w:r>
      <w:r>
        <w:rPr>
          <w:color w:val="231F20"/>
          <w:spacing w:val="-12"/>
        </w:rPr>
        <w:t> </w:t>
      </w:r>
      <w:r>
        <w:rPr>
          <w:color w:val="231F20"/>
        </w:rPr>
        <w:t>три</w:t>
      </w:r>
      <w:r>
        <w:rPr>
          <w:color w:val="231F20"/>
          <w:spacing w:val="-13"/>
        </w:rPr>
        <w:t> </w:t>
      </w:r>
      <w:r>
        <w:rPr>
          <w:color w:val="231F20"/>
        </w:rPr>
        <w:t>учителя</w:t>
      </w:r>
      <w:r>
        <w:rPr>
          <w:color w:val="231F20"/>
          <w:spacing w:val="-12"/>
        </w:rPr>
        <w:t> </w:t>
      </w:r>
      <w:r>
        <w:rPr>
          <w:color w:val="231F20"/>
        </w:rPr>
        <w:t>(истории,</w:t>
      </w:r>
      <w:r>
        <w:rPr>
          <w:color w:val="231F20"/>
          <w:spacing w:val="-13"/>
        </w:rPr>
        <w:t> </w:t>
      </w:r>
      <w:r>
        <w:rPr>
          <w:color w:val="231F20"/>
        </w:rPr>
        <w:t>обществозна- ния</w:t>
      </w:r>
      <w:r>
        <w:rPr>
          <w:color w:val="231F20"/>
          <w:spacing w:val="-2"/>
        </w:rPr>
        <w:t> </w:t>
      </w:r>
      <w:r>
        <w:rPr>
          <w:color w:val="231F20"/>
        </w:rPr>
        <w:t>и</w:t>
      </w:r>
      <w:r>
        <w:rPr>
          <w:color w:val="231F20"/>
          <w:spacing w:val="-2"/>
        </w:rPr>
        <w:t> </w:t>
      </w:r>
      <w:r>
        <w:rPr>
          <w:color w:val="231F20"/>
        </w:rPr>
        <w:t>географии).</w:t>
      </w:r>
      <w:r>
        <w:rPr>
          <w:color w:val="231F20"/>
          <w:spacing w:val="-2"/>
        </w:rPr>
        <w:t> </w:t>
      </w:r>
      <w:r>
        <w:rPr>
          <w:color w:val="231F20"/>
        </w:rPr>
        <w:t>Были</w:t>
      </w:r>
      <w:r>
        <w:rPr>
          <w:color w:val="231F20"/>
          <w:spacing w:val="-2"/>
        </w:rPr>
        <w:t> </w:t>
      </w:r>
      <w:r>
        <w:rPr>
          <w:color w:val="231F20"/>
        </w:rPr>
        <w:t>определены</w:t>
      </w:r>
      <w:r>
        <w:rPr>
          <w:color w:val="231F20"/>
          <w:spacing w:val="-2"/>
        </w:rPr>
        <w:t> </w:t>
      </w:r>
      <w:r>
        <w:rPr>
          <w:color w:val="231F20"/>
        </w:rPr>
        <w:t>сроки</w:t>
      </w:r>
      <w:r>
        <w:rPr>
          <w:color w:val="231F20"/>
          <w:spacing w:val="-2"/>
        </w:rPr>
        <w:t> </w:t>
      </w:r>
      <w:r>
        <w:rPr>
          <w:color w:val="231F20"/>
        </w:rPr>
        <w:t>проведения</w:t>
      </w:r>
      <w:r>
        <w:rPr>
          <w:color w:val="231F20"/>
          <w:spacing w:val="-2"/>
        </w:rPr>
        <w:t> </w:t>
      </w:r>
      <w:r>
        <w:rPr>
          <w:color w:val="231F20"/>
        </w:rPr>
        <w:t>проекта</w:t>
      </w:r>
      <w:r>
        <w:rPr>
          <w:color w:val="231F20"/>
          <w:spacing w:val="-2"/>
        </w:rPr>
        <w:t> </w:t>
      </w:r>
      <w:r>
        <w:rPr>
          <w:color w:val="231F20"/>
        </w:rPr>
        <w:t>(октябрь</w:t>
      </w:r>
      <w:r>
        <w:rPr>
          <w:color w:val="231F20"/>
          <w:spacing w:val="-2"/>
        </w:rPr>
        <w:t> </w:t>
      </w:r>
      <w:r>
        <w:rPr>
          <w:color w:val="231F20"/>
        </w:rPr>
        <w:t>–</w:t>
      </w:r>
      <w:r>
        <w:rPr>
          <w:color w:val="231F20"/>
          <w:spacing w:val="-2"/>
        </w:rPr>
        <w:t> </w:t>
      </w:r>
      <w:r>
        <w:rPr>
          <w:color w:val="231F20"/>
        </w:rPr>
        <w:t>декабрь,</w:t>
      </w:r>
      <w:r>
        <w:rPr>
          <w:color w:val="231F20"/>
          <w:spacing w:val="-2"/>
        </w:rPr>
        <w:t> </w:t>
      </w:r>
      <w:r>
        <w:rPr>
          <w:color w:val="231F20"/>
        </w:rPr>
        <w:t>3 месяца)</w:t>
      </w:r>
      <w:r>
        <w:rPr>
          <w:color w:val="231F20"/>
          <w:spacing w:val="-13"/>
        </w:rPr>
        <w:t> </w:t>
      </w:r>
      <w:r>
        <w:rPr>
          <w:color w:val="231F20"/>
        </w:rPr>
        <w:t>и</w:t>
      </w:r>
      <w:r>
        <w:rPr>
          <w:color w:val="231F20"/>
          <w:spacing w:val="-12"/>
        </w:rPr>
        <w:t> </w:t>
      </w:r>
      <w:r>
        <w:rPr>
          <w:color w:val="231F20"/>
        </w:rPr>
        <w:t>итоговые</w:t>
      </w:r>
      <w:r>
        <w:rPr>
          <w:color w:val="231F20"/>
          <w:spacing w:val="-13"/>
        </w:rPr>
        <w:t> </w:t>
      </w:r>
      <w:r>
        <w:rPr>
          <w:color w:val="231F20"/>
        </w:rPr>
        <w:t>мероприятия</w:t>
      </w:r>
      <w:r>
        <w:rPr>
          <w:color w:val="231F20"/>
          <w:spacing w:val="-12"/>
        </w:rPr>
        <w:t> </w:t>
      </w:r>
      <w:r>
        <w:rPr>
          <w:color w:val="231F20"/>
        </w:rPr>
        <w:t>(общешкольная</w:t>
      </w:r>
      <w:r>
        <w:rPr>
          <w:color w:val="231F20"/>
          <w:spacing w:val="-13"/>
        </w:rPr>
        <w:t> </w:t>
      </w:r>
      <w:r>
        <w:rPr>
          <w:color w:val="231F20"/>
        </w:rPr>
        <w:t>конференция</w:t>
      </w:r>
      <w:r>
        <w:rPr>
          <w:color w:val="231F20"/>
          <w:spacing w:val="-12"/>
        </w:rPr>
        <w:t> </w:t>
      </w:r>
      <w:r>
        <w:rPr>
          <w:color w:val="231F20"/>
        </w:rPr>
        <w:t>с</w:t>
      </w:r>
      <w:r>
        <w:rPr>
          <w:color w:val="231F20"/>
          <w:spacing w:val="-13"/>
        </w:rPr>
        <w:t> </w:t>
      </w:r>
      <w:r>
        <w:rPr>
          <w:color w:val="231F20"/>
        </w:rPr>
        <w:t>презентацией</w:t>
      </w:r>
      <w:r>
        <w:rPr>
          <w:color w:val="231F20"/>
          <w:spacing w:val="-12"/>
        </w:rPr>
        <w:t> </w:t>
      </w:r>
      <w:r>
        <w:rPr>
          <w:color w:val="231F20"/>
        </w:rPr>
        <w:t>итогов проекта). Проект не был длительным по времени, поскольку в конкретной ситуации нужно</w:t>
      </w:r>
      <w:r>
        <w:rPr>
          <w:color w:val="231F20"/>
          <w:spacing w:val="-13"/>
        </w:rPr>
        <w:t> </w:t>
      </w:r>
      <w:r>
        <w:rPr>
          <w:color w:val="231F20"/>
        </w:rPr>
        <w:t>было</w:t>
      </w:r>
      <w:r>
        <w:rPr>
          <w:color w:val="231F20"/>
          <w:spacing w:val="-12"/>
        </w:rPr>
        <w:t> </w:t>
      </w:r>
      <w:r>
        <w:rPr>
          <w:color w:val="231F20"/>
        </w:rPr>
        <w:t>как</w:t>
      </w:r>
      <w:r>
        <w:rPr>
          <w:color w:val="231F20"/>
          <w:spacing w:val="-13"/>
        </w:rPr>
        <w:t> </w:t>
      </w:r>
      <w:r>
        <w:rPr>
          <w:color w:val="231F20"/>
        </w:rPr>
        <w:t>можно</w:t>
      </w:r>
      <w:r>
        <w:rPr>
          <w:color w:val="231F20"/>
          <w:spacing w:val="-12"/>
        </w:rPr>
        <w:t> </w:t>
      </w:r>
      <w:r>
        <w:rPr>
          <w:color w:val="231F20"/>
        </w:rPr>
        <w:t>быстрее</w:t>
      </w:r>
      <w:r>
        <w:rPr>
          <w:color w:val="231F20"/>
          <w:spacing w:val="-13"/>
        </w:rPr>
        <w:t> </w:t>
      </w:r>
      <w:r>
        <w:rPr>
          <w:color w:val="231F20"/>
        </w:rPr>
        <w:t>получить</w:t>
      </w:r>
      <w:r>
        <w:rPr>
          <w:color w:val="231F20"/>
          <w:spacing w:val="-12"/>
        </w:rPr>
        <w:t> </w:t>
      </w:r>
      <w:r>
        <w:rPr>
          <w:color w:val="231F20"/>
        </w:rPr>
        <w:t>результаты,</w:t>
      </w:r>
      <w:r>
        <w:rPr>
          <w:color w:val="231F20"/>
          <w:spacing w:val="-13"/>
        </w:rPr>
        <w:t> </w:t>
      </w:r>
      <w:r>
        <w:rPr>
          <w:color w:val="231F20"/>
        </w:rPr>
        <w:t>от</w:t>
      </w:r>
      <w:r>
        <w:rPr>
          <w:color w:val="231F20"/>
          <w:spacing w:val="-12"/>
        </w:rPr>
        <w:t> </w:t>
      </w:r>
      <w:r>
        <w:rPr>
          <w:color w:val="231F20"/>
        </w:rPr>
        <w:t>которых</w:t>
      </w:r>
      <w:r>
        <w:rPr>
          <w:color w:val="231F20"/>
          <w:spacing w:val="-13"/>
        </w:rPr>
        <w:t> </w:t>
      </w:r>
      <w:r>
        <w:rPr>
          <w:color w:val="231F20"/>
        </w:rPr>
        <w:t>в</w:t>
      </w:r>
      <w:r>
        <w:rPr>
          <w:color w:val="231F20"/>
          <w:spacing w:val="-12"/>
        </w:rPr>
        <w:t> </w:t>
      </w:r>
      <w:r>
        <w:rPr>
          <w:color w:val="231F20"/>
        </w:rPr>
        <w:t>дальнейшем</w:t>
      </w:r>
      <w:r>
        <w:rPr>
          <w:color w:val="231F20"/>
          <w:spacing w:val="-13"/>
        </w:rPr>
        <w:t> </w:t>
      </w:r>
      <w:r>
        <w:rPr>
          <w:color w:val="231F20"/>
        </w:rPr>
        <w:t>зави- село психологическое благополучие школы и каждого отдельного учащегося.</w:t>
      </w:r>
    </w:p>
    <w:p>
      <w:pPr>
        <w:pStyle w:val="BodyText"/>
        <w:spacing w:line="230" w:lineRule="auto"/>
      </w:pPr>
      <w:r>
        <w:rPr>
          <w:color w:val="231F20"/>
        </w:rPr>
        <w:t>Проектная группа разработала список рекомендуемых тем для проектов, выпол- няемых классом (с 5-го по 11-й). Каждая из тем была связана с основной темой про- екта</w:t>
      </w:r>
      <w:r>
        <w:rPr>
          <w:color w:val="231F20"/>
          <w:spacing w:val="-8"/>
        </w:rPr>
        <w:t> </w:t>
      </w:r>
      <w:r>
        <w:rPr>
          <w:color w:val="231F20"/>
        </w:rPr>
        <w:t>и</w:t>
      </w:r>
      <w:r>
        <w:rPr>
          <w:color w:val="231F20"/>
          <w:spacing w:val="-9"/>
        </w:rPr>
        <w:t> </w:t>
      </w:r>
      <w:r>
        <w:rPr>
          <w:color w:val="231F20"/>
        </w:rPr>
        <w:t>его</w:t>
      </w:r>
      <w:r>
        <w:rPr>
          <w:color w:val="231F20"/>
          <w:spacing w:val="-8"/>
        </w:rPr>
        <w:t> </w:t>
      </w:r>
      <w:r>
        <w:rPr>
          <w:color w:val="231F20"/>
        </w:rPr>
        <w:t>целями,</w:t>
      </w:r>
      <w:r>
        <w:rPr>
          <w:color w:val="231F20"/>
          <w:spacing w:val="-9"/>
        </w:rPr>
        <w:t> </w:t>
      </w:r>
      <w:r>
        <w:rPr>
          <w:color w:val="231F20"/>
        </w:rPr>
        <w:t>но</w:t>
      </w:r>
      <w:r>
        <w:rPr>
          <w:color w:val="231F20"/>
          <w:spacing w:val="-8"/>
        </w:rPr>
        <w:t> </w:t>
      </w:r>
      <w:r>
        <w:rPr>
          <w:color w:val="231F20"/>
        </w:rPr>
        <w:t>учитывала</w:t>
      </w:r>
      <w:r>
        <w:rPr>
          <w:color w:val="231F20"/>
          <w:spacing w:val="-9"/>
        </w:rPr>
        <w:t> </w:t>
      </w:r>
      <w:r>
        <w:rPr>
          <w:color w:val="231F20"/>
        </w:rPr>
        <w:t>возрастные</w:t>
      </w:r>
      <w:r>
        <w:rPr>
          <w:color w:val="231F20"/>
          <w:spacing w:val="-8"/>
        </w:rPr>
        <w:t> </w:t>
      </w:r>
      <w:r>
        <w:rPr>
          <w:color w:val="231F20"/>
        </w:rPr>
        <w:t>особенности</w:t>
      </w:r>
      <w:r>
        <w:rPr>
          <w:color w:val="231F20"/>
          <w:spacing w:val="-9"/>
        </w:rPr>
        <w:t> </w:t>
      </w:r>
      <w:r>
        <w:rPr>
          <w:color w:val="231F20"/>
        </w:rPr>
        <w:t>учащихся,</w:t>
      </w:r>
      <w:r>
        <w:rPr>
          <w:color w:val="231F20"/>
          <w:spacing w:val="-8"/>
        </w:rPr>
        <w:t> </w:t>
      </w:r>
      <w:r>
        <w:rPr>
          <w:color w:val="231F20"/>
        </w:rPr>
        <w:t>например:</w:t>
      </w:r>
      <w:r>
        <w:rPr>
          <w:color w:val="231F20"/>
          <w:spacing w:val="-9"/>
        </w:rPr>
        <w:t> </w:t>
      </w:r>
      <w:r>
        <w:rPr>
          <w:color w:val="231F20"/>
        </w:rPr>
        <w:t>млад- шим</w:t>
      </w:r>
      <w:r>
        <w:rPr>
          <w:color w:val="231F20"/>
          <w:spacing w:val="19"/>
        </w:rPr>
        <w:t> </w:t>
      </w:r>
      <w:r>
        <w:rPr>
          <w:color w:val="231F20"/>
        </w:rPr>
        <w:t>детям</w:t>
      </w:r>
      <w:r>
        <w:rPr>
          <w:color w:val="231F20"/>
          <w:spacing w:val="19"/>
        </w:rPr>
        <w:t> </w:t>
      </w:r>
      <w:r>
        <w:rPr>
          <w:color w:val="231F20"/>
        </w:rPr>
        <w:t>предлагалось</w:t>
      </w:r>
      <w:r>
        <w:rPr>
          <w:color w:val="231F20"/>
          <w:spacing w:val="19"/>
        </w:rPr>
        <w:t> </w:t>
      </w:r>
      <w:r>
        <w:rPr>
          <w:color w:val="231F20"/>
        </w:rPr>
        <w:t>провести</w:t>
      </w:r>
      <w:r>
        <w:rPr>
          <w:color w:val="231F20"/>
          <w:spacing w:val="19"/>
        </w:rPr>
        <w:t> </w:t>
      </w:r>
      <w:r>
        <w:rPr>
          <w:color w:val="231F20"/>
        </w:rPr>
        <w:t>опрос</w:t>
      </w:r>
      <w:r>
        <w:rPr>
          <w:color w:val="231F20"/>
          <w:spacing w:val="19"/>
        </w:rPr>
        <w:t> </w:t>
      </w:r>
      <w:r>
        <w:rPr>
          <w:color w:val="231F20"/>
        </w:rPr>
        <w:t>среди</w:t>
      </w:r>
      <w:r>
        <w:rPr>
          <w:color w:val="231F20"/>
          <w:spacing w:val="19"/>
        </w:rPr>
        <w:t> </w:t>
      </w:r>
      <w:r>
        <w:rPr>
          <w:color w:val="231F20"/>
        </w:rPr>
        <w:t>учеников</w:t>
      </w:r>
      <w:r>
        <w:rPr>
          <w:color w:val="231F20"/>
          <w:spacing w:val="19"/>
        </w:rPr>
        <w:t> </w:t>
      </w:r>
      <w:r>
        <w:rPr>
          <w:color w:val="231F20"/>
        </w:rPr>
        <w:t>своего</w:t>
      </w:r>
      <w:r>
        <w:rPr>
          <w:color w:val="231F20"/>
          <w:spacing w:val="19"/>
        </w:rPr>
        <w:t> </w:t>
      </w:r>
      <w:r>
        <w:rPr>
          <w:color w:val="231F20"/>
        </w:rPr>
        <w:t>класса,</w:t>
      </w:r>
      <w:r>
        <w:rPr>
          <w:color w:val="231F20"/>
          <w:spacing w:val="19"/>
        </w:rPr>
        <w:t> </w:t>
      </w:r>
      <w:r>
        <w:rPr>
          <w:color w:val="231F20"/>
        </w:rPr>
        <w:t>родителей и учителей по вопросам готовой анкеты-опросника, старшие ребята разрабатывали опросники, проводили фокус-группы с представителями целевой аудитории, сни- мали видеоинтервью с родителями и представителями педагогического коллектива, проводили</w:t>
      </w:r>
      <w:r>
        <w:rPr>
          <w:color w:val="231F20"/>
          <w:spacing w:val="-9"/>
        </w:rPr>
        <w:t> </w:t>
      </w:r>
      <w:r>
        <w:rPr>
          <w:color w:val="231F20"/>
        </w:rPr>
        <w:t>мини-исследования</w:t>
      </w:r>
      <w:r>
        <w:rPr>
          <w:color w:val="231F20"/>
          <w:spacing w:val="-9"/>
        </w:rPr>
        <w:t> </w:t>
      </w:r>
      <w:r>
        <w:rPr>
          <w:color w:val="231F20"/>
        </w:rPr>
        <w:t>по</w:t>
      </w:r>
      <w:r>
        <w:rPr>
          <w:color w:val="231F20"/>
          <w:spacing w:val="-9"/>
        </w:rPr>
        <w:t> </w:t>
      </w:r>
      <w:r>
        <w:rPr>
          <w:color w:val="231F20"/>
        </w:rPr>
        <w:t>вопросам</w:t>
      </w:r>
      <w:r>
        <w:rPr>
          <w:color w:val="231F20"/>
          <w:spacing w:val="-9"/>
        </w:rPr>
        <w:t> </w:t>
      </w:r>
      <w:r>
        <w:rPr>
          <w:color w:val="231F20"/>
        </w:rPr>
        <w:t>жизни</w:t>
      </w:r>
      <w:r>
        <w:rPr>
          <w:color w:val="231F20"/>
          <w:spacing w:val="-9"/>
        </w:rPr>
        <w:t> </w:t>
      </w:r>
      <w:r>
        <w:rPr>
          <w:color w:val="231F20"/>
        </w:rPr>
        <w:t>мигрантов</w:t>
      </w:r>
      <w:r>
        <w:rPr>
          <w:color w:val="231F20"/>
          <w:spacing w:val="-9"/>
        </w:rPr>
        <w:t> </w:t>
      </w:r>
      <w:r>
        <w:rPr>
          <w:color w:val="231F20"/>
        </w:rPr>
        <w:t>в</w:t>
      </w:r>
      <w:r>
        <w:rPr>
          <w:color w:val="231F20"/>
          <w:spacing w:val="-9"/>
        </w:rPr>
        <w:t> </w:t>
      </w:r>
      <w:r>
        <w:rPr>
          <w:color w:val="231F20"/>
        </w:rPr>
        <w:t>Москве,</w:t>
      </w:r>
      <w:r>
        <w:rPr>
          <w:color w:val="231F20"/>
          <w:spacing w:val="-9"/>
        </w:rPr>
        <w:t> </w:t>
      </w:r>
      <w:r>
        <w:rPr>
          <w:color w:val="231F20"/>
        </w:rPr>
        <w:t>миграции</w:t>
      </w:r>
      <w:r>
        <w:rPr>
          <w:color w:val="231F20"/>
          <w:spacing w:val="-9"/>
        </w:rPr>
        <w:t> </w:t>
      </w:r>
      <w:r>
        <w:rPr>
          <w:color w:val="231F20"/>
        </w:rPr>
        <w:t>на постсоветском</w:t>
      </w:r>
      <w:r>
        <w:rPr>
          <w:color w:val="231F20"/>
          <w:spacing w:val="-7"/>
        </w:rPr>
        <w:t> </w:t>
      </w:r>
      <w:r>
        <w:rPr>
          <w:color w:val="231F20"/>
        </w:rPr>
        <w:t>пространстве</w:t>
      </w:r>
      <w:r>
        <w:rPr>
          <w:color w:val="231F20"/>
          <w:spacing w:val="-7"/>
        </w:rPr>
        <w:t> </w:t>
      </w:r>
      <w:r>
        <w:rPr>
          <w:color w:val="231F20"/>
        </w:rPr>
        <w:t>и</w:t>
      </w:r>
      <w:r>
        <w:rPr>
          <w:color w:val="231F20"/>
          <w:spacing w:val="-7"/>
        </w:rPr>
        <w:t> </w:t>
      </w:r>
      <w:r>
        <w:rPr>
          <w:color w:val="231F20"/>
        </w:rPr>
        <w:t>так</w:t>
      </w:r>
      <w:r>
        <w:rPr>
          <w:color w:val="231F20"/>
          <w:spacing w:val="-7"/>
        </w:rPr>
        <w:t> </w:t>
      </w:r>
      <w:r>
        <w:rPr>
          <w:color w:val="231F20"/>
        </w:rPr>
        <w:t>далее.</w:t>
      </w:r>
      <w:r>
        <w:rPr>
          <w:color w:val="231F20"/>
          <w:spacing w:val="-7"/>
        </w:rPr>
        <w:t> </w:t>
      </w:r>
      <w:r>
        <w:rPr>
          <w:color w:val="231F20"/>
        </w:rPr>
        <w:t>Рабочая</w:t>
      </w:r>
      <w:r>
        <w:rPr>
          <w:color w:val="231F20"/>
          <w:spacing w:val="-7"/>
        </w:rPr>
        <w:t> </w:t>
      </w:r>
      <w:r>
        <w:rPr>
          <w:color w:val="231F20"/>
        </w:rPr>
        <w:t>группа</w:t>
      </w:r>
      <w:r>
        <w:rPr>
          <w:color w:val="231F20"/>
          <w:spacing w:val="-7"/>
        </w:rPr>
        <w:t> </w:t>
      </w:r>
      <w:r>
        <w:rPr>
          <w:color w:val="231F20"/>
        </w:rPr>
        <w:t>обеспечивала</w:t>
      </w:r>
      <w:r>
        <w:rPr>
          <w:color w:val="231F20"/>
          <w:spacing w:val="-7"/>
        </w:rPr>
        <w:t> </w:t>
      </w:r>
      <w:r>
        <w:rPr>
          <w:color w:val="231F20"/>
        </w:rPr>
        <w:t>координацию работ</w:t>
      </w:r>
      <w:r>
        <w:rPr>
          <w:color w:val="231F20"/>
          <w:spacing w:val="-8"/>
        </w:rPr>
        <w:t> </w:t>
      </w:r>
      <w:r>
        <w:rPr>
          <w:color w:val="231F20"/>
        </w:rPr>
        <w:t>по</w:t>
      </w:r>
      <w:r>
        <w:rPr>
          <w:color w:val="231F20"/>
          <w:spacing w:val="-8"/>
        </w:rPr>
        <w:t> </w:t>
      </w:r>
      <w:r>
        <w:rPr>
          <w:color w:val="231F20"/>
        </w:rPr>
        <w:t>классам</w:t>
      </w:r>
      <w:r>
        <w:rPr>
          <w:color w:val="231F20"/>
          <w:spacing w:val="-8"/>
        </w:rPr>
        <w:t> </w:t>
      </w:r>
      <w:r>
        <w:rPr>
          <w:color w:val="231F20"/>
        </w:rPr>
        <w:t>на</w:t>
      </w:r>
      <w:r>
        <w:rPr>
          <w:color w:val="231F20"/>
          <w:spacing w:val="-8"/>
        </w:rPr>
        <w:t> </w:t>
      </w:r>
      <w:r>
        <w:rPr>
          <w:color w:val="231F20"/>
        </w:rPr>
        <w:t>всех</w:t>
      </w:r>
      <w:r>
        <w:rPr>
          <w:color w:val="231F20"/>
          <w:spacing w:val="-8"/>
        </w:rPr>
        <w:t> </w:t>
      </w:r>
      <w:r>
        <w:rPr>
          <w:color w:val="231F20"/>
        </w:rPr>
        <w:t>этапах</w:t>
      </w:r>
      <w:r>
        <w:rPr>
          <w:color w:val="231F20"/>
          <w:spacing w:val="-8"/>
        </w:rPr>
        <w:t> </w:t>
      </w:r>
      <w:r>
        <w:rPr>
          <w:color w:val="231F20"/>
        </w:rPr>
        <w:t>проекта,</w:t>
      </w:r>
      <w:r>
        <w:rPr>
          <w:color w:val="231F20"/>
          <w:spacing w:val="-8"/>
        </w:rPr>
        <w:t> </w:t>
      </w:r>
      <w:r>
        <w:rPr>
          <w:color w:val="231F20"/>
        </w:rPr>
        <w:t>при</w:t>
      </w:r>
      <w:r>
        <w:rPr>
          <w:color w:val="231F20"/>
          <w:spacing w:val="-8"/>
        </w:rPr>
        <w:t> </w:t>
      </w:r>
      <w:r>
        <w:rPr>
          <w:color w:val="231F20"/>
        </w:rPr>
        <w:t>необходимости</w:t>
      </w:r>
      <w:r>
        <w:rPr>
          <w:color w:val="231F20"/>
          <w:spacing w:val="-8"/>
        </w:rPr>
        <w:t> </w:t>
      </w:r>
      <w:r>
        <w:rPr>
          <w:color w:val="231F20"/>
        </w:rPr>
        <w:t>–</w:t>
      </w:r>
      <w:r>
        <w:rPr>
          <w:color w:val="231F20"/>
          <w:spacing w:val="-8"/>
        </w:rPr>
        <w:t> </w:t>
      </w:r>
      <w:r>
        <w:rPr>
          <w:color w:val="231F20"/>
        </w:rPr>
        <w:t>консультировала</w:t>
      </w:r>
      <w:r>
        <w:rPr>
          <w:color w:val="231F20"/>
          <w:spacing w:val="-8"/>
        </w:rPr>
        <w:t> </w:t>
      </w:r>
      <w:r>
        <w:rPr>
          <w:color w:val="231F20"/>
        </w:rPr>
        <w:t>про- ектные группы и оказывала им экспертную помощь.</w:t>
      </w:r>
    </w:p>
    <w:p>
      <w:pPr>
        <w:pStyle w:val="BodyText"/>
        <w:spacing w:line="235" w:lineRule="auto"/>
      </w:pPr>
      <w:r>
        <w:rPr>
          <w:b/>
          <w:i/>
          <w:color w:val="231F20"/>
          <w:spacing w:val="-2"/>
        </w:rPr>
        <w:t>Подбор необходимых материалов </w:t>
      </w:r>
      <w:r>
        <w:rPr>
          <w:color w:val="231F20"/>
          <w:spacing w:val="-2"/>
        </w:rPr>
        <w:t>осуществлялся как с помощью учителей, кото- </w:t>
      </w:r>
      <w:r>
        <w:rPr>
          <w:color w:val="231F20"/>
        </w:rPr>
        <w:t>рые</w:t>
      </w:r>
      <w:r>
        <w:rPr>
          <w:color w:val="231F20"/>
          <w:spacing w:val="-2"/>
        </w:rPr>
        <w:t> </w:t>
      </w:r>
      <w:r>
        <w:rPr>
          <w:color w:val="231F20"/>
        </w:rPr>
        <w:t>рекомендовали</w:t>
      </w:r>
      <w:r>
        <w:rPr>
          <w:color w:val="231F20"/>
          <w:spacing w:val="-2"/>
        </w:rPr>
        <w:t> </w:t>
      </w:r>
      <w:r>
        <w:rPr>
          <w:color w:val="231F20"/>
        </w:rPr>
        <w:t>учащимся</w:t>
      </w:r>
      <w:r>
        <w:rPr>
          <w:color w:val="231F20"/>
          <w:spacing w:val="-2"/>
        </w:rPr>
        <w:t> </w:t>
      </w:r>
      <w:r>
        <w:rPr>
          <w:color w:val="231F20"/>
        </w:rPr>
        <w:t>ссылки</w:t>
      </w:r>
      <w:r>
        <w:rPr>
          <w:color w:val="231F20"/>
          <w:spacing w:val="-2"/>
        </w:rPr>
        <w:t> </w:t>
      </w:r>
      <w:r>
        <w:rPr>
          <w:color w:val="231F20"/>
        </w:rPr>
        <w:t>на</w:t>
      </w:r>
      <w:r>
        <w:rPr>
          <w:color w:val="231F20"/>
          <w:spacing w:val="-1"/>
        </w:rPr>
        <w:t> </w:t>
      </w:r>
      <w:r>
        <w:rPr>
          <w:color w:val="231F20"/>
        </w:rPr>
        <w:t>тематические</w:t>
      </w:r>
      <w:r>
        <w:rPr>
          <w:color w:val="231F20"/>
          <w:spacing w:val="-2"/>
        </w:rPr>
        <w:t> </w:t>
      </w:r>
      <w:r>
        <w:rPr>
          <w:color w:val="231F20"/>
        </w:rPr>
        <w:t>сайты</w:t>
      </w:r>
      <w:r>
        <w:rPr>
          <w:color w:val="231F20"/>
          <w:spacing w:val="-2"/>
        </w:rPr>
        <w:t> </w:t>
      </w:r>
      <w:r>
        <w:rPr>
          <w:color w:val="231F20"/>
        </w:rPr>
        <w:t>в</w:t>
      </w:r>
      <w:r>
        <w:rPr>
          <w:color w:val="231F20"/>
          <w:spacing w:val="-2"/>
        </w:rPr>
        <w:t> </w:t>
      </w:r>
      <w:r>
        <w:rPr>
          <w:color w:val="231F20"/>
        </w:rPr>
        <w:t>интернете</w:t>
      </w:r>
      <w:r>
        <w:rPr>
          <w:color w:val="231F20"/>
          <w:spacing w:val="-2"/>
        </w:rPr>
        <w:t> </w:t>
      </w:r>
      <w:r>
        <w:rPr>
          <w:color w:val="231F20"/>
        </w:rPr>
        <w:t>и</w:t>
      </w:r>
      <w:r>
        <w:rPr>
          <w:color w:val="231F20"/>
          <w:spacing w:val="-1"/>
        </w:rPr>
        <w:t> </w:t>
      </w:r>
      <w:r>
        <w:rPr>
          <w:color w:val="231F20"/>
          <w:spacing w:val="-2"/>
        </w:rPr>
        <w:t>справоч-</w:t>
      </w:r>
    </w:p>
    <w:p>
      <w:pPr>
        <w:pStyle w:val="BodyText"/>
        <w:spacing w:after="0" w:line="235" w:lineRule="auto"/>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firstLine="0"/>
      </w:pPr>
      <w:r>
        <w:rPr>
          <w:color w:val="231F20"/>
        </w:rPr>
        <w:t>ную (статистическую) литературу, так и с помощью родителей, которые выступали</w:t>
      </w:r>
      <w:r>
        <w:rPr>
          <w:color w:val="231F20"/>
          <w:spacing w:val="40"/>
        </w:rPr>
        <w:t> </w:t>
      </w:r>
      <w:r>
        <w:rPr>
          <w:color w:val="231F20"/>
        </w:rPr>
        <w:t>в роли экспертов и передавали учащимся литературу по истории и этнокультурным особенностям представителей разных диаспор, существующих в Москве. Помимо методической и информационной помощи, родители (представители разных диас- пор) выступали перед учащимися на классных часах. Дети побывали на тематиче- ских</w:t>
      </w:r>
      <w:r>
        <w:rPr>
          <w:color w:val="231F20"/>
          <w:spacing w:val="-9"/>
        </w:rPr>
        <w:t> </w:t>
      </w:r>
      <w:r>
        <w:rPr>
          <w:color w:val="231F20"/>
        </w:rPr>
        <w:t>мероприятиях</w:t>
      </w:r>
      <w:r>
        <w:rPr>
          <w:color w:val="231F20"/>
          <w:spacing w:val="-9"/>
        </w:rPr>
        <w:t> </w:t>
      </w:r>
      <w:r>
        <w:rPr>
          <w:color w:val="231F20"/>
        </w:rPr>
        <w:t>в</w:t>
      </w:r>
      <w:r>
        <w:rPr>
          <w:color w:val="231F20"/>
          <w:spacing w:val="-9"/>
        </w:rPr>
        <w:t> </w:t>
      </w:r>
      <w:r>
        <w:rPr>
          <w:color w:val="231F20"/>
        </w:rPr>
        <w:t>Московском</w:t>
      </w:r>
      <w:r>
        <w:rPr>
          <w:color w:val="231F20"/>
          <w:spacing w:val="-9"/>
        </w:rPr>
        <w:t> </w:t>
      </w:r>
      <w:r>
        <w:rPr>
          <w:color w:val="231F20"/>
        </w:rPr>
        <w:t>доме</w:t>
      </w:r>
      <w:r>
        <w:rPr>
          <w:color w:val="231F20"/>
          <w:spacing w:val="-9"/>
        </w:rPr>
        <w:t> </w:t>
      </w:r>
      <w:r>
        <w:rPr>
          <w:color w:val="231F20"/>
        </w:rPr>
        <w:t>национальностей</w:t>
      </w:r>
      <w:r>
        <w:rPr>
          <w:color w:val="231F20"/>
          <w:spacing w:val="-9"/>
        </w:rPr>
        <w:t> </w:t>
      </w:r>
      <w:r>
        <w:rPr>
          <w:color w:val="231F20"/>
        </w:rPr>
        <w:t>и</w:t>
      </w:r>
      <w:r>
        <w:rPr>
          <w:color w:val="231F20"/>
          <w:spacing w:val="-9"/>
        </w:rPr>
        <w:t> </w:t>
      </w:r>
      <w:r>
        <w:rPr>
          <w:color w:val="231F20"/>
        </w:rPr>
        <w:t>съездили</w:t>
      </w:r>
      <w:r>
        <w:rPr>
          <w:color w:val="231F20"/>
          <w:spacing w:val="-9"/>
        </w:rPr>
        <w:t> </w:t>
      </w:r>
      <w:r>
        <w:rPr>
          <w:color w:val="231F20"/>
        </w:rPr>
        <w:t>на</w:t>
      </w:r>
      <w:r>
        <w:rPr>
          <w:color w:val="231F20"/>
          <w:spacing w:val="-9"/>
        </w:rPr>
        <w:t> </w:t>
      </w:r>
      <w:r>
        <w:rPr>
          <w:color w:val="231F20"/>
        </w:rPr>
        <w:t>экскурсии</w:t>
      </w:r>
      <w:r>
        <w:rPr>
          <w:color w:val="231F20"/>
          <w:spacing w:val="-9"/>
        </w:rPr>
        <w:t> </w:t>
      </w:r>
      <w:r>
        <w:rPr>
          <w:color w:val="231F20"/>
        </w:rPr>
        <w:t>по теме «Многонациональная Москва».</w:t>
      </w:r>
    </w:p>
    <w:p>
      <w:pPr>
        <w:pStyle w:val="BodyText"/>
        <w:spacing w:line="235" w:lineRule="auto" w:before="117"/>
      </w:pPr>
      <w:r>
        <w:rPr>
          <w:b/>
          <w:i/>
          <w:color w:val="231F20"/>
        </w:rPr>
        <w:t>Работа над проектом. </w:t>
      </w:r>
      <w:r>
        <w:rPr>
          <w:color w:val="231F20"/>
        </w:rPr>
        <w:t>За неполных три месяца учащиеся проработали много важных и интересных вопросов. Каждой проектной группой, сформированной из учащихся</w:t>
      </w:r>
      <w:r>
        <w:rPr>
          <w:color w:val="231F20"/>
          <w:spacing w:val="-12"/>
        </w:rPr>
        <w:t> </w:t>
      </w:r>
      <w:r>
        <w:rPr>
          <w:color w:val="231F20"/>
        </w:rPr>
        <w:t>того</w:t>
      </w:r>
      <w:r>
        <w:rPr>
          <w:color w:val="231F20"/>
          <w:spacing w:val="-12"/>
        </w:rPr>
        <w:t> </w:t>
      </w:r>
      <w:r>
        <w:rPr>
          <w:color w:val="231F20"/>
        </w:rPr>
        <w:t>или</w:t>
      </w:r>
      <w:r>
        <w:rPr>
          <w:color w:val="231F20"/>
          <w:spacing w:val="-12"/>
        </w:rPr>
        <w:t> </w:t>
      </w:r>
      <w:r>
        <w:rPr>
          <w:color w:val="231F20"/>
        </w:rPr>
        <w:t>иного</w:t>
      </w:r>
      <w:r>
        <w:rPr>
          <w:color w:val="231F20"/>
          <w:spacing w:val="-12"/>
        </w:rPr>
        <w:t> </w:t>
      </w:r>
      <w:r>
        <w:rPr>
          <w:color w:val="231F20"/>
        </w:rPr>
        <w:t>класса,</w:t>
      </w:r>
      <w:r>
        <w:rPr>
          <w:color w:val="231F20"/>
          <w:spacing w:val="-12"/>
        </w:rPr>
        <w:t> </w:t>
      </w:r>
      <w:r>
        <w:rPr>
          <w:color w:val="231F20"/>
        </w:rPr>
        <w:t>руководил</w:t>
      </w:r>
      <w:r>
        <w:rPr>
          <w:color w:val="231F20"/>
          <w:spacing w:val="-12"/>
        </w:rPr>
        <w:t> </w:t>
      </w:r>
      <w:r>
        <w:rPr>
          <w:color w:val="231F20"/>
        </w:rPr>
        <w:t>ее</w:t>
      </w:r>
      <w:r>
        <w:rPr>
          <w:color w:val="231F20"/>
          <w:spacing w:val="-12"/>
        </w:rPr>
        <w:t> </w:t>
      </w:r>
      <w:r>
        <w:rPr>
          <w:color w:val="231F20"/>
        </w:rPr>
        <w:t>классный</w:t>
      </w:r>
      <w:r>
        <w:rPr>
          <w:color w:val="231F20"/>
          <w:spacing w:val="-12"/>
        </w:rPr>
        <w:t> </w:t>
      </w:r>
      <w:r>
        <w:rPr>
          <w:color w:val="231F20"/>
        </w:rPr>
        <w:t>руководитель</w:t>
      </w:r>
      <w:r>
        <w:rPr>
          <w:color w:val="231F20"/>
          <w:spacing w:val="-12"/>
        </w:rPr>
        <w:t> </w:t>
      </w:r>
      <w:r>
        <w:rPr>
          <w:color w:val="231F20"/>
        </w:rPr>
        <w:t>либо</w:t>
      </w:r>
      <w:r>
        <w:rPr>
          <w:color w:val="231F20"/>
          <w:spacing w:val="-12"/>
        </w:rPr>
        <w:t> </w:t>
      </w:r>
      <w:r>
        <w:rPr>
          <w:color w:val="231F20"/>
        </w:rPr>
        <w:t>кто-то</w:t>
      </w:r>
      <w:r>
        <w:rPr>
          <w:color w:val="231F20"/>
          <w:spacing w:val="-12"/>
        </w:rPr>
        <w:t> </w:t>
      </w:r>
      <w:r>
        <w:rPr>
          <w:color w:val="231F20"/>
        </w:rPr>
        <w:t>из учителей-предметников,</w:t>
      </w:r>
      <w:r>
        <w:rPr>
          <w:color w:val="231F20"/>
          <w:spacing w:val="-2"/>
        </w:rPr>
        <w:t> </w:t>
      </w:r>
      <w:r>
        <w:rPr>
          <w:color w:val="231F20"/>
        </w:rPr>
        <w:t>работающих</w:t>
      </w:r>
      <w:r>
        <w:rPr>
          <w:color w:val="231F20"/>
          <w:spacing w:val="-2"/>
        </w:rPr>
        <w:t> </w:t>
      </w:r>
      <w:r>
        <w:rPr>
          <w:color w:val="231F20"/>
        </w:rPr>
        <w:t>с</w:t>
      </w:r>
      <w:r>
        <w:rPr>
          <w:color w:val="231F20"/>
          <w:spacing w:val="-2"/>
        </w:rPr>
        <w:t> </w:t>
      </w:r>
      <w:r>
        <w:rPr>
          <w:color w:val="231F20"/>
        </w:rPr>
        <w:t>данным</w:t>
      </w:r>
      <w:r>
        <w:rPr>
          <w:color w:val="231F20"/>
          <w:spacing w:val="-2"/>
        </w:rPr>
        <w:t> </w:t>
      </w:r>
      <w:r>
        <w:rPr>
          <w:color w:val="231F20"/>
        </w:rPr>
        <w:t>классом</w:t>
      </w:r>
      <w:r>
        <w:rPr>
          <w:color w:val="231F20"/>
          <w:spacing w:val="-2"/>
        </w:rPr>
        <w:t> </w:t>
      </w:r>
      <w:r>
        <w:rPr>
          <w:color w:val="231F20"/>
        </w:rPr>
        <w:t>и</w:t>
      </w:r>
      <w:r>
        <w:rPr>
          <w:color w:val="231F20"/>
          <w:spacing w:val="-2"/>
        </w:rPr>
        <w:t> </w:t>
      </w:r>
      <w:r>
        <w:rPr>
          <w:color w:val="231F20"/>
        </w:rPr>
        <w:t>хорошо</w:t>
      </w:r>
      <w:r>
        <w:rPr>
          <w:color w:val="231F20"/>
          <w:spacing w:val="-2"/>
        </w:rPr>
        <w:t> </w:t>
      </w:r>
      <w:r>
        <w:rPr>
          <w:color w:val="231F20"/>
        </w:rPr>
        <w:t>разбирающийся</w:t>
      </w:r>
      <w:r>
        <w:rPr>
          <w:color w:val="231F20"/>
          <w:spacing w:val="-2"/>
        </w:rPr>
        <w:t> </w:t>
      </w:r>
      <w:r>
        <w:rPr>
          <w:color w:val="231F20"/>
        </w:rPr>
        <w:t>в </w:t>
      </w:r>
      <w:r>
        <w:rPr>
          <w:color w:val="231F20"/>
          <w:spacing w:val="-2"/>
        </w:rPr>
        <w:t>проблеме.</w:t>
      </w:r>
    </w:p>
    <w:p>
      <w:pPr>
        <w:pStyle w:val="BodyText"/>
        <w:spacing w:line="235" w:lineRule="auto" w:before="4"/>
      </w:pPr>
      <w:r>
        <w:rPr>
          <w:color w:val="231F20"/>
        </w:rPr>
        <w:t>При составлении опросников разработчики ориентировались на следующие во- </w:t>
      </w:r>
      <w:r>
        <w:rPr>
          <w:color w:val="231F20"/>
          <w:spacing w:val="-2"/>
        </w:rPr>
        <w:t>просы:</w:t>
      </w:r>
    </w:p>
    <w:p>
      <w:pPr>
        <w:pStyle w:val="ListParagraph"/>
        <w:numPr>
          <w:ilvl w:val="0"/>
          <w:numId w:val="165"/>
        </w:numPr>
        <w:tabs>
          <w:tab w:pos="424" w:val="left" w:leader="none"/>
        </w:tabs>
        <w:spacing w:line="225" w:lineRule="exact" w:before="0" w:after="0"/>
        <w:ind w:left="424" w:right="0" w:hanging="283"/>
        <w:jc w:val="left"/>
        <w:rPr>
          <w:sz w:val="20"/>
        </w:rPr>
      </w:pPr>
      <w:r>
        <w:rPr>
          <w:color w:val="231F20"/>
          <w:sz w:val="20"/>
        </w:rPr>
        <w:t>если</w:t>
      </w:r>
      <w:r>
        <w:rPr>
          <w:color w:val="231F20"/>
          <w:spacing w:val="-3"/>
          <w:sz w:val="20"/>
        </w:rPr>
        <w:t> </w:t>
      </w:r>
      <w:r>
        <w:rPr>
          <w:color w:val="231F20"/>
          <w:sz w:val="20"/>
        </w:rPr>
        <w:t>семья</w:t>
      </w:r>
      <w:r>
        <w:rPr>
          <w:color w:val="231F20"/>
          <w:spacing w:val="-2"/>
          <w:sz w:val="20"/>
        </w:rPr>
        <w:t> </w:t>
      </w:r>
      <w:r>
        <w:rPr>
          <w:color w:val="231F20"/>
          <w:sz w:val="20"/>
        </w:rPr>
        <w:t>живет</w:t>
      </w:r>
      <w:r>
        <w:rPr>
          <w:color w:val="231F20"/>
          <w:spacing w:val="-2"/>
          <w:sz w:val="20"/>
        </w:rPr>
        <w:t> </w:t>
      </w:r>
      <w:r>
        <w:rPr>
          <w:color w:val="231F20"/>
          <w:sz w:val="20"/>
        </w:rPr>
        <w:t>в</w:t>
      </w:r>
      <w:r>
        <w:rPr>
          <w:color w:val="231F20"/>
          <w:spacing w:val="-2"/>
          <w:sz w:val="20"/>
        </w:rPr>
        <w:t> </w:t>
      </w:r>
      <w:r>
        <w:rPr>
          <w:color w:val="231F20"/>
          <w:sz w:val="20"/>
        </w:rPr>
        <w:t>Москве,</w:t>
      </w:r>
      <w:r>
        <w:rPr>
          <w:color w:val="231F20"/>
          <w:spacing w:val="-2"/>
          <w:sz w:val="20"/>
        </w:rPr>
        <w:t> </w:t>
      </w:r>
      <w:r>
        <w:rPr>
          <w:color w:val="231F20"/>
          <w:sz w:val="20"/>
        </w:rPr>
        <w:t>то</w:t>
      </w:r>
      <w:r>
        <w:rPr>
          <w:color w:val="231F20"/>
          <w:spacing w:val="-2"/>
          <w:sz w:val="20"/>
        </w:rPr>
        <w:t> </w:t>
      </w:r>
      <w:r>
        <w:rPr>
          <w:color w:val="231F20"/>
          <w:sz w:val="20"/>
        </w:rPr>
        <w:t>как</w:t>
      </w:r>
      <w:r>
        <w:rPr>
          <w:color w:val="231F20"/>
          <w:spacing w:val="-1"/>
          <w:sz w:val="20"/>
        </w:rPr>
        <w:t> </w:t>
      </w:r>
      <w:r>
        <w:rPr>
          <w:color w:val="231F20"/>
          <w:spacing w:val="-2"/>
          <w:sz w:val="20"/>
        </w:rPr>
        <w:t>долго;</w:t>
      </w:r>
    </w:p>
    <w:p>
      <w:pPr>
        <w:pStyle w:val="ListParagraph"/>
        <w:numPr>
          <w:ilvl w:val="0"/>
          <w:numId w:val="165"/>
        </w:numPr>
        <w:tabs>
          <w:tab w:pos="424" w:val="left" w:leader="none"/>
        </w:tabs>
        <w:spacing w:line="226" w:lineRule="exact" w:before="0" w:after="0"/>
        <w:ind w:left="424" w:right="0" w:hanging="283"/>
        <w:jc w:val="left"/>
        <w:rPr>
          <w:sz w:val="20"/>
        </w:rPr>
      </w:pPr>
      <w:r>
        <w:rPr>
          <w:color w:val="231F20"/>
          <w:sz w:val="20"/>
        </w:rPr>
        <w:t>когда</w:t>
      </w:r>
      <w:r>
        <w:rPr>
          <w:color w:val="231F20"/>
          <w:spacing w:val="-6"/>
          <w:sz w:val="20"/>
        </w:rPr>
        <w:t> </w:t>
      </w:r>
      <w:r>
        <w:rPr>
          <w:color w:val="231F20"/>
          <w:sz w:val="20"/>
        </w:rPr>
        <w:t>в</w:t>
      </w:r>
      <w:r>
        <w:rPr>
          <w:color w:val="231F20"/>
          <w:spacing w:val="-7"/>
          <w:sz w:val="20"/>
        </w:rPr>
        <w:t> </w:t>
      </w:r>
      <w:r>
        <w:rPr>
          <w:color w:val="231F20"/>
          <w:sz w:val="20"/>
        </w:rPr>
        <w:t>этой</w:t>
      </w:r>
      <w:r>
        <w:rPr>
          <w:color w:val="231F20"/>
          <w:spacing w:val="-7"/>
          <w:sz w:val="20"/>
        </w:rPr>
        <w:t> </w:t>
      </w:r>
      <w:r>
        <w:rPr>
          <w:color w:val="231F20"/>
          <w:sz w:val="20"/>
        </w:rPr>
        <w:t>семье</w:t>
      </w:r>
      <w:r>
        <w:rPr>
          <w:color w:val="231F20"/>
          <w:spacing w:val="-6"/>
          <w:sz w:val="20"/>
        </w:rPr>
        <w:t> </w:t>
      </w:r>
      <w:r>
        <w:rPr>
          <w:color w:val="231F20"/>
          <w:sz w:val="20"/>
        </w:rPr>
        <w:t>появилось</w:t>
      </w:r>
      <w:r>
        <w:rPr>
          <w:color w:val="231F20"/>
          <w:spacing w:val="-7"/>
          <w:sz w:val="20"/>
        </w:rPr>
        <w:t> </w:t>
      </w:r>
      <w:r>
        <w:rPr>
          <w:color w:val="231F20"/>
          <w:sz w:val="20"/>
        </w:rPr>
        <w:t>первое</w:t>
      </w:r>
      <w:r>
        <w:rPr>
          <w:color w:val="231F20"/>
          <w:spacing w:val="-6"/>
          <w:sz w:val="20"/>
        </w:rPr>
        <w:t> </w:t>
      </w:r>
      <w:r>
        <w:rPr>
          <w:color w:val="231F20"/>
          <w:sz w:val="20"/>
        </w:rPr>
        <w:t>поколение</w:t>
      </w:r>
      <w:r>
        <w:rPr>
          <w:color w:val="231F20"/>
          <w:spacing w:val="-5"/>
          <w:sz w:val="20"/>
        </w:rPr>
        <w:t> </w:t>
      </w:r>
      <w:r>
        <w:rPr>
          <w:color w:val="231F20"/>
          <w:spacing w:val="-2"/>
          <w:sz w:val="20"/>
        </w:rPr>
        <w:t>москвичей;</w:t>
      </w:r>
    </w:p>
    <w:p>
      <w:pPr>
        <w:pStyle w:val="ListParagraph"/>
        <w:numPr>
          <w:ilvl w:val="0"/>
          <w:numId w:val="165"/>
        </w:numPr>
        <w:tabs>
          <w:tab w:pos="424" w:val="left" w:leader="none"/>
        </w:tabs>
        <w:spacing w:line="226" w:lineRule="exact" w:before="0" w:after="0"/>
        <w:ind w:left="424" w:right="0" w:hanging="283"/>
        <w:jc w:val="left"/>
        <w:rPr>
          <w:sz w:val="20"/>
        </w:rPr>
      </w:pPr>
      <w:r>
        <w:rPr>
          <w:color w:val="231F20"/>
          <w:sz w:val="20"/>
        </w:rPr>
        <w:t>где</w:t>
      </w:r>
      <w:r>
        <w:rPr>
          <w:color w:val="231F20"/>
          <w:spacing w:val="-7"/>
          <w:sz w:val="20"/>
        </w:rPr>
        <w:t> </w:t>
      </w:r>
      <w:r>
        <w:rPr>
          <w:color w:val="231F20"/>
          <w:sz w:val="20"/>
        </w:rPr>
        <w:t>жили</w:t>
      </w:r>
      <w:r>
        <w:rPr>
          <w:color w:val="231F20"/>
          <w:spacing w:val="-6"/>
          <w:sz w:val="20"/>
        </w:rPr>
        <w:t> </w:t>
      </w:r>
      <w:r>
        <w:rPr>
          <w:color w:val="231F20"/>
          <w:sz w:val="20"/>
        </w:rPr>
        <w:t>раньше</w:t>
      </w:r>
      <w:r>
        <w:rPr>
          <w:color w:val="231F20"/>
          <w:spacing w:val="-5"/>
          <w:sz w:val="20"/>
        </w:rPr>
        <w:t> </w:t>
      </w:r>
      <w:r>
        <w:rPr>
          <w:color w:val="231F20"/>
          <w:sz w:val="20"/>
        </w:rPr>
        <w:t>прабабушки</w:t>
      </w:r>
      <w:r>
        <w:rPr>
          <w:color w:val="231F20"/>
          <w:spacing w:val="-6"/>
          <w:sz w:val="20"/>
        </w:rPr>
        <w:t> </w:t>
      </w:r>
      <w:r>
        <w:rPr>
          <w:color w:val="231F20"/>
          <w:sz w:val="20"/>
        </w:rPr>
        <w:t>и</w:t>
      </w:r>
      <w:r>
        <w:rPr>
          <w:color w:val="231F20"/>
          <w:spacing w:val="-5"/>
          <w:sz w:val="20"/>
        </w:rPr>
        <w:t> </w:t>
      </w:r>
      <w:r>
        <w:rPr>
          <w:color w:val="231F20"/>
          <w:spacing w:val="-2"/>
          <w:sz w:val="20"/>
        </w:rPr>
        <w:t>прадедушки;</w:t>
      </w:r>
    </w:p>
    <w:p>
      <w:pPr>
        <w:pStyle w:val="ListParagraph"/>
        <w:numPr>
          <w:ilvl w:val="0"/>
          <w:numId w:val="165"/>
        </w:numPr>
        <w:tabs>
          <w:tab w:pos="425" w:val="left" w:leader="none"/>
        </w:tabs>
        <w:spacing w:line="235" w:lineRule="auto" w:before="1" w:after="0"/>
        <w:ind w:left="425" w:right="139" w:hanging="284"/>
        <w:jc w:val="left"/>
        <w:rPr>
          <w:sz w:val="20"/>
        </w:rPr>
      </w:pPr>
      <w:r>
        <w:rPr>
          <w:color w:val="231F20"/>
          <w:sz w:val="20"/>
        </w:rPr>
        <w:t>в каких городах и регионах нашей страны можно было бы поискать родственни- ков, с которыми не было никаких контактов десятилетия;</w:t>
      </w:r>
    </w:p>
    <w:p>
      <w:pPr>
        <w:pStyle w:val="ListParagraph"/>
        <w:numPr>
          <w:ilvl w:val="0"/>
          <w:numId w:val="165"/>
        </w:numPr>
        <w:tabs>
          <w:tab w:pos="424" w:val="left" w:leader="none"/>
        </w:tabs>
        <w:spacing w:line="225" w:lineRule="exact" w:before="0" w:after="0"/>
        <w:ind w:left="424" w:right="0" w:hanging="283"/>
        <w:jc w:val="left"/>
        <w:rPr>
          <w:sz w:val="20"/>
        </w:rPr>
      </w:pPr>
      <w:r>
        <w:rPr>
          <w:color w:val="231F20"/>
          <w:sz w:val="20"/>
        </w:rPr>
        <w:t>есть</w:t>
      </w:r>
      <w:r>
        <w:rPr>
          <w:color w:val="231F20"/>
          <w:spacing w:val="-6"/>
          <w:sz w:val="20"/>
        </w:rPr>
        <w:t> </w:t>
      </w:r>
      <w:r>
        <w:rPr>
          <w:color w:val="231F20"/>
          <w:sz w:val="20"/>
        </w:rPr>
        <w:t>ли</w:t>
      </w:r>
      <w:r>
        <w:rPr>
          <w:color w:val="231F20"/>
          <w:spacing w:val="-6"/>
          <w:sz w:val="20"/>
        </w:rPr>
        <w:t> </w:t>
      </w:r>
      <w:r>
        <w:rPr>
          <w:color w:val="231F20"/>
          <w:sz w:val="20"/>
        </w:rPr>
        <w:t>родственники</w:t>
      </w:r>
      <w:r>
        <w:rPr>
          <w:color w:val="231F20"/>
          <w:spacing w:val="-6"/>
          <w:sz w:val="20"/>
        </w:rPr>
        <w:t> </w:t>
      </w:r>
      <w:r>
        <w:rPr>
          <w:color w:val="231F20"/>
          <w:sz w:val="20"/>
        </w:rPr>
        <w:t>за</w:t>
      </w:r>
      <w:r>
        <w:rPr>
          <w:color w:val="231F20"/>
          <w:spacing w:val="-5"/>
          <w:sz w:val="20"/>
        </w:rPr>
        <w:t> </w:t>
      </w:r>
      <w:r>
        <w:rPr>
          <w:color w:val="231F20"/>
          <w:sz w:val="20"/>
        </w:rPr>
        <w:t>рубежом</w:t>
      </w:r>
      <w:r>
        <w:rPr>
          <w:color w:val="231F20"/>
          <w:spacing w:val="-5"/>
          <w:sz w:val="20"/>
        </w:rPr>
        <w:t> </w:t>
      </w:r>
      <w:r>
        <w:rPr>
          <w:color w:val="231F20"/>
          <w:sz w:val="20"/>
        </w:rPr>
        <w:t>–</w:t>
      </w:r>
      <w:r>
        <w:rPr>
          <w:color w:val="231F20"/>
          <w:spacing w:val="-5"/>
          <w:sz w:val="20"/>
        </w:rPr>
        <w:t> </w:t>
      </w:r>
      <w:r>
        <w:rPr>
          <w:color w:val="231F20"/>
          <w:sz w:val="20"/>
        </w:rPr>
        <w:t>в</w:t>
      </w:r>
      <w:r>
        <w:rPr>
          <w:color w:val="231F20"/>
          <w:spacing w:val="-6"/>
          <w:sz w:val="20"/>
        </w:rPr>
        <w:t> </w:t>
      </w:r>
      <w:r>
        <w:rPr>
          <w:color w:val="231F20"/>
          <w:sz w:val="20"/>
        </w:rPr>
        <w:t>странах</w:t>
      </w:r>
      <w:r>
        <w:rPr>
          <w:color w:val="231F20"/>
          <w:spacing w:val="-5"/>
          <w:sz w:val="20"/>
        </w:rPr>
        <w:t> </w:t>
      </w:r>
      <w:r>
        <w:rPr>
          <w:color w:val="231F20"/>
          <w:sz w:val="20"/>
        </w:rPr>
        <w:t>ближнего</w:t>
      </w:r>
      <w:r>
        <w:rPr>
          <w:color w:val="231F20"/>
          <w:spacing w:val="-5"/>
          <w:sz w:val="20"/>
        </w:rPr>
        <w:t> </w:t>
      </w:r>
      <w:r>
        <w:rPr>
          <w:color w:val="231F20"/>
          <w:sz w:val="20"/>
        </w:rPr>
        <w:t>и</w:t>
      </w:r>
      <w:r>
        <w:rPr>
          <w:color w:val="231F20"/>
          <w:spacing w:val="-6"/>
          <w:sz w:val="20"/>
        </w:rPr>
        <w:t> </w:t>
      </w:r>
      <w:r>
        <w:rPr>
          <w:color w:val="231F20"/>
          <w:sz w:val="20"/>
        </w:rPr>
        <w:t>дальнего</w:t>
      </w:r>
      <w:r>
        <w:rPr>
          <w:color w:val="231F20"/>
          <w:spacing w:val="-5"/>
          <w:sz w:val="20"/>
        </w:rPr>
        <w:t> </w:t>
      </w:r>
      <w:r>
        <w:rPr>
          <w:color w:val="231F20"/>
          <w:spacing w:val="-2"/>
          <w:sz w:val="20"/>
        </w:rPr>
        <w:t>зарубежья?</w:t>
      </w:r>
    </w:p>
    <w:p>
      <w:pPr>
        <w:pStyle w:val="BodyText"/>
        <w:spacing w:line="235" w:lineRule="auto" w:before="2"/>
      </w:pPr>
      <w:r>
        <w:rPr>
          <w:color w:val="231F20"/>
        </w:rPr>
        <w:t>Для быстроты сбора и обработки результатов опросов, проводимых учащимися, все</w:t>
      </w:r>
      <w:r>
        <w:rPr>
          <w:color w:val="231F20"/>
          <w:spacing w:val="-8"/>
        </w:rPr>
        <w:t> </w:t>
      </w:r>
      <w:r>
        <w:rPr>
          <w:color w:val="231F20"/>
        </w:rPr>
        <w:t>вопросы</w:t>
      </w:r>
      <w:r>
        <w:rPr>
          <w:color w:val="231F20"/>
          <w:spacing w:val="-8"/>
        </w:rPr>
        <w:t> </w:t>
      </w:r>
      <w:r>
        <w:rPr>
          <w:color w:val="231F20"/>
        </w:rPr>
        <w:t>размещались</w:t>
      </w:r>
      <w:r>
        <w:rPr>
          <w:color w:val="231F20"/>
          <w:spacing w:val="-8"/>
        </w:rPr>
        <w:t> </w:t>
      </w:r>
      <w:r>
        <w:rPr>
          <w:color w:val="231F20"/>
        </w:rPr>
        <w:t>с</w:t>
      </w:r>
      <w:r>
        <w:rPr>
          <w:color w:val="231F20"/>
          <w:spacing w:val="-8"/>
        </w:rPr>
        <w:t> </w:t>
      </w:r>
      <w:r>
        <w:rPr>
          <w:color w:val="231F20"/>
        </w:rPr>
        <w:t>помощью</w:t>
      </w:r>
      <w:r>
        <w:rPr>
          <w:color w:val="231F20"/>
          <w:spacing w:val="-8"/>
        </w:rPr>
        <w:t> </w:t>
      </w:r>
      <w:r>
        <w:rPr>
          <w:color w:val="231F20"/>
        </w:rPr>
        <w:t>Google-форм,</w:t>
      </w:r>
      <w:r>
        <w:rPr>
          <w:color w:val="231F20"/>
          <w:spacing w:val="-8"/>
        </w:rPr>
        <w:t> </w:t>
      </w:r>
      <w:r>
        <w:rPr>
          <w:color w:val="231F20"/>
        </w:rPr>
        <w:t>ссылки</w:t>
      </w:r>
      <w:r>
        <w:rPr>
          <w:color w:val="231F20"/>
          <w:spacing w:val="-8"/>
        </w:rPr>
        <w:t> </w:t>
      </w:r>
      <w:r>
        <w:rPr>
          <w:color w:val="231F20"/>
        </w:rPr>
        <w:t>на</w:t>
      </w:r>
      <w:r>
        <w:rPr>
          <w:color w:val="231F20"/>
          <w:spacing w:val="-8"/>
        </w:rPr>
        <w:t> </w:t>
      </w:r>
      <w:r>
        <w:rPr>
          <w:color w:val="231F20"/>
        </w:rPr>
        <w:t>которые</w:t>
      </w:r>
      <w:r>
        <w:rPr>
          <w:color w:val="231F20"/>
          <w:spacing w:val="-8"/>
        </w:rPr>
        <w:t> </w:t>
      </w:r>
      <w:r>
        <w:rPr>
          <w:color w:val="231F20"/>
        </w:rPr>
        <w:t>получили</w:t>
      </w:r>
      <w:r>
        <w:rPr>
          <w:color w:val="231F20"/>
          <w:spacing w:val="-8"/>
        </w:rPr>
        <w:t> </w:t>
      </w:r>
      <w:r>
        <w:rPr>
          <w:color w:val="231F20"/>
        </w:rPr>
        <w:t>все </w:t>
      </w:r>
      <w:r>
        <w:rPr>
          <w:color w:val="231F20"/>
          <w:spacing w:val="-2"/>
        </w:rPr>
        <w:t>участники</w:t>
      </w:r>
      <w:r>
        <w:rPr>
          <w:color w:val="231F20"/>
          <w:spacing w:val="-11"/>
        </w:rPr>
        <w:t> </w:t>
      </w:r>
      <w:r>
        <w:rPr>
          <w:color w:val="231F20"/>
          <w:spacing w:val="-2"/>
        </w:rPr>
        <w:t>образовательного</w:t>
      </w:r>
      <w:r>
        <w:rPr>
          <w:color w:val="231F20"/>
          <w:spacing w:val="-10"/>
        </w:rPr>
        <w:t> </w:t>
      </w:r>
      <w:r>
        <w:rPr>
          <w:color w:val="231F20"/>
          <w:spacing w:val="-2"/>
        </w:rPr>
        <w:t>процесса.</w:t>
      </w:r>
      <w:r>
        <w:rPr>
          <w:color w:val="231F20"/>
          <w:spacing w:val="-11"/>
        </w:rPr>
        <w:t> </w:t>
      </w:r>
      <w:r>
        <w:rPr>
          <w:color w:val="231F20"/>
          <w:spacing w:val="-2"/>
        </w:rPr>
        <w:t>Цифровизация</w:t>
      </w:r>
      <w:r>
        <w:rPr>
          <w:color w:val="231F20"/>
          <w:spacing w:val="-10"/>
        </w:rPr>
        <w:t> </w:t>
      </w:r>
      <w:r>
        <w:rPr>
          <w:color w:val="231F20"/>
          <w:spacing w:val="-2"/>
        </w:rPr>
        <w:t>сбора</w:t>
      </w:r>
      <w:r>
        <w:rPr>
          <w:color w:val="231F20"/>
          <w:spacing w:val="-11"/>
        </w:rPr>
        <w:t> </w:t>
      </w:r>
      <w:r>
        <w:rPr>
          <w:color w:val="231F20"/>
          <w:spacing w:val="-2"/>
        </w:rPr>
        <w:t>данных</w:t>
      </w:r>
      <w:r>
        <w:rPr>
          <w:color w:val="231F20"/>
          <w:spacing w:val="-10"/>
        </w:rPr>
        <w:t> </w:t>
      </w:r>
      <w:r>
        <w:rPr>
          <w:color w:val="231F20"/>
          <w:spacing w:val="-2"/>
        </w:rPr>
        <w:t>позволила</w:t>
      </w:r>
      <w:r>
        <w:rPr>
          <w:color w:val="231F20"/>
          <w:spacing w:val="-11"/>
        </w:rPr>
        <w:t> </w:t>
      </w:r>
      <w:r>
        <w:rPr>
          <w:color w:val="231F20"/>
          <w:spacing w:val="-2"/>
        </w:rPr>
        <w:t>сделать </w:t>
      </w:r>
      <w:r>
        <w:rPr>
          <w:color w:val="231F20"/>
        </w:rPr>
        <w:t>различные</w:t>
      </w:r>
      <w:r>
        <w:rPr>
          <w:color w:val="231F20"/>
          <w:spacing w:val="-6"/>
        </w:rPr>
        <w:t> </w:t>
      </w:r>
      <w:r>
        <w:rPr>
          <w:color w:val="231F20"/>
        </w:rPr>
        <w:t>выборки</w:t>
      </w:r>
      <w:r>
        <w:rPr>
          <w:color w:val="231F20"/>
          <w:spacing w:val="-7"/>
        </w:rPr>
        <w:t> </w:t>
      </w:r>
      <w:r>
        <w:rPr>
          <w:color w:val="231F20"/>
        </w:rPr>
        <w:t>ответов</w:t>
      </w:r>
      <w:r>
        <w:rPr>
          <w:color w:val="231F20"/>
          <w:spacing w:val="-7"/>
        </w:rPr>
        <w:t> </w:t>
      </w:r>
      <w:r>
        <w:rPr>
          <w:color w:val="231F20"/>
        </w:rPr>
        <w:t>под</w:t>
      </w:r>
      <w:r>
        <w:rPr>
          <w:color w:val="231F20"/>
          <w:spacing w:val="-6"/>
        </w:rPr>
        <w:t> </w:t>
      </w:r>
      <w:r>
        <w:rPr>
          <w:color w:val="231F20"/>
        </w:rPr>
        <w:t>задачу,</w:t>
      </w:r>
      <w:r>
        <w:rPr>
          <w:color w:val="231F20"/>
          <w:spacing w:val="-6"/>
        </w:rPr>
        <w:t> </w:t>
      </w:r>
      <w:r>
        <w:rPr>
          <w:color w:val="231F20"/>
        </w:rPr>
        <w:t>готовить</w:t>
      </w:r>
      <w:r>
        <w:rPr>
          <w:color w:val="231F20"/>
          <w:spacing w:val="-7"/>
        </w:rPr>
        <w:t> </w:t>
      </w:r>
      <w:r>
        <w:rPr>
          <w:color w:val="231F20"/>
        </w:rPr>
        <w:t>презентационные</w:t>
      </w:r>
      <w:r>
        <w:rPr>
          <w:color w:val="231F20"/>
          <w:spacing w:val="-6"/>
        </w:rPr>
        <w:t> </w:t>
      </w:r>
      <w:r>
        <w:rPr>
          <w:color w:val="231F20"/>
        </w:rPr>
        <w:t>материалы</w:t>
      </w:r>
      <w:r>
        <w:rPr>
          <w:color w:val="231F20"/>
          <w:spacing w:val="-6"/>
        </w:rPr>
        <w:t> </w:t>
      </w:r>
      <w:r>
        <w:rPr>
          <w:color w:val="231F20"/>
        </w:rPr>
        <w:t>и</w:t>
      </w:r>
      <w:r>
        <w:rPr>
          <w:color w:val="231F20"/>
          <w:spacing w:val="-7"/>
        </w:rPr>
        <w:t> </w:t>
      </w:r>
      <w:r>
        <w:rPr>
          <w:color w:val="231F20"/>
        </w:rPr>
        <w:t>др.</w:t>
      </w:r>
    </w:p>
    <w:p>
      <w:pPr>
        <w:pStyle w:val="BodyText"/>
        <w:spacing w:line="235" w:lineRule="auto" w:before="3"/>
        <w:jc w:val="right"/>
      </w:pPr>
      <w:r>
        <w:rPr>
          <w:color w:val="231F20"/>
          <w:spacing w:val="-2"/>
        </w:rPr>
        <w:t>Кроме</w:t>
      </w:r>
      <w:r>
        <w:rPr>
          <w:color w:val="231F20"/>
          <w:spacing w:val="-9"/>
        </w:rPr>
        <w:t> </w:t>
      </w:r>
      <w:r>
        <w:rPr>
          <w:color w:val="231F20"/>
          <w:spacing w:val="-2"/>
        </w:rPr>
        <w:t>того,</w:t>
      </w:r>
      <w:r>
        <w:rPr>
          <w:color w:val="231F20"/>
          <w:spacing w:val="-9"/>
        </w:rPr>
        <w:t> </w:t>
      </w:r>
      <w:r>
        <w:rPr>
          <w:color w:val="231F20"/>
          <w:spacing w:val="-2"/>
        </w:rPr>
        <w:t>в</w:t>
      </w:r>
      <w:r>
        <w:rPr>
          <w:color w:val="231F20"/>
          <w:spacing w:val="-9"/>
        </w:rPr>
        <w:t> </w:t>
      </w:r>
      <w:r>
        <w:rPr>
          <w:color w:val="231F20"/>
          <w:spacing w:val="-2"/>
        </w:rPr>
        <w:t>ходе</w:t>
      </w:r>
      <w:r>
        <w:rPr>
          <w:color w:val="231F20"/>
          <w:spacing w:val="-9"/>
        </w:rPr>
        <w:t> </w:t>
      </w:r>
      <w:r>
        <w:rPr>
          <w:color w:val="231F20"/>
          <w:spacing w:val="-2"/>
        </w:rPr>
        <w:t>работы</w:t>
      </w:r>
      <w:r>
        <w:rPr>
          <w:color w:val="231F20"/>
          <w:spacing w:val="-9"/>
        </w:rPr>
        <w:t> </w:t>
      </w:r>
      <w:r>
        <w:rPr>
          <w:color w:val="231F20"/>
          <w:spacing w:val="-2"/>
        </w:rPr>
        <w:t>над</w:t>
      </w:r>
      <w:r>
        <w:rPr>
          <w:color w:val="231F20"/>
          <w:spacing w:val="-9"/>
        </w:rPr>
        <w:t> </w:t>
      </w:r>
      <w:r>
        <w:rPr>
          <w:color w:val="231F20"/>
          <w:spacing w:val="-2"/>
        </w:rPr>
        <w:t>проектом</w:t>
      </w:r>
      <w:r>
        <w:rPr>
          <w:color w:val="231F20"/>
          <w:spacing w:val="-9"/>
        </w:rPr>
        <w:t> </w:t>
      </w:r>
      <w:r>
        <w:rPr>
          <w:color w:val="231F20"/>
          <w:spacing w:val="-2"/>
        </w:rPr>
        <w:t>учащиеся</w:t>
      </w:r>
      <w:r>
        <w:rPr>
          <w:color w:val="231F20"/>
          <w:spacing w:val="-9"/>
        </w:rPr>
        <w:t> </w:t>
      </w:r>
      <w:r>
        <w:rPr>
          <w:color w:val="231F20"/>
          <w:spacing w:val="-2"/>
        </w:rPr>
        <w:t>выяснили</w:t>
      </w:r>
      <w:r>
        <w:rPr>
          <w:color w:val="231F20"/>
          <w:spacing w:val="-9"/>
        </w:rPr>
        <w:t> </w:t>
      </w:r>
      <w:r>
        <w:rPr>
          <w:color w:val="231F20"/>
          <w:spacing w:val="-2"/>
        </w:rPr>
        <w:t>и</w:t>
      </w:r>
      <w:r>
        <w:rPr>
          <w:color w:val="231F20"/>
          <w:spacing w:val="-9"/>
        </w:rPr>
        <w:t> </w:t>
      </w:r>
      <w:r>
        <w:rPr>
          <w:color w:val="231F20"/>
          <w:spacing w:val="-2"/>
        </w:rPr>
        <w:t>проиллюстрировали </w:t>
      </w:r>
      <w:r>
        <w:rPr>
          <w:color w:val="231F20"/>
        </w:rPr>
        <w:t>такие понятия, как «коренной житель» и «уроженец города». Коренной житель лю- бой</w:t>
      </w:r>
      <w:r>
        <w:rPr>
          <w:color w:val="231F20"/>
          <w:spacing w:val="-4"/>
        </w:rPr>
        <w:t> </w:t>
      </w:r>
      <w:r>
        <w:rPr>
          <w:color w:val="231F20"/>
        </w:rPr>
        <w:t>местности</w:t>
      </w:r>
      <w:r>
        <w:rPr>
          <w:color w:val="231F20"/>
          <w:spacing w:val="-4"/>
        </w:rPr>
        <w:t> </w:t>
      </w:r>
      <w:r>
        <w:rPr>
          <w:color w:val="231F20"/>
        </w:rPr>
        <w:t>–</w:t>
      </w:r>
      <w:r>
        <w:rPr>
          <w:color w:val="231F20"/>
          <w:spacing w:val="-4"/>
        </w:rPr>
        <w:t> </w:t>
      </w:r>
      <w:r>
        <w:rPr>
          <w:color w:val="231F20"/>
        </w:rPr>
        <w:t>это</w:t>
      </w:r>
      <w:r>
        <w:rPr>
          <w:color w:val="231F20"/>
          <w:spacing w:val="-4"/>
        </w:rPr>
        <w:t> </w:t>
      </w:r>
      <w:r>
        <w:rPr>
          <w:color w:val="231F20"/>
        </w:rPr>
        <w:t>тот,</w:t>
      </w:r>
      <w:r>
        <w:rPr>
          <w:color w:val="231F20"/>
          <w:spacing w:val="-4"/>
        </w:rPr>
        <w:t> </w:t>
      </w:r>
      <w:r>
        <w:rPr>
          <w:color w:val="231F20"/>
        </w:rPr>
        <w:t>у</w:t>
      </w:r>
      <w:r>
        <w:rPr>
          <w:color w:val="231F20"/>
          <w:spacing w:val="-4"/>
        </w:rPr>
        <w:t> </w:t>
      </w:r>
      <w:r>
        <w:rPr>
          <w:color w:val="231F20"/>
        </w:rPr>
        <w:t>кого</w:t>
      </w:r>
      <w:r>
        <w:rPr>
          <w:color w:val="231F20"/>
          <w:spacing w:val="-4"/>
        </w:rPr>
        <w:t> </w:t>
      </w:r>
      <w:r>
        <w:rPr>
          <w:color w:val="231F20"/>
        </w:rPr>
        <w:t>в</w:t>
      </w:r>
      <w:r>
        <w:rPr>
          <w:color w:val="231F20"/>
          <w:spacing w:val="-4"/>
        </w:rPr>
        <w:t> </w:t>
      </w:r>
      <w:r>
        <w:rPr>
          <w:color w:val="231F20"/>
        </w:rPr>
        <w:t>данной</w:t>
      </w:r>
      <w:r>
        <w:rPr>
          <w:color w:val="231F20"/>
          <w:spacing w:val="-4"/>
        </w:rPr>
        <w:t> </w:t>
      </w:r>
      <w:r>
        <w:rPr>
          <w:color w:val="231F20"/>
        </w:rPr>
        <w:t>местности</w:t>
      </w:r>
      <w:r>
        <w:rPr>
          <w:color w:val="231F20"/>
          <w:spacing w:val="-4"/>
        </w:rPr>
        <w:t> </w:t>
      </w:r>
      <w:r>
        <w:rPr>
          <w:color w:val="231F20"/>
        </w:rPr>
        <w:t>есть</w:t>
      </w:r>
      <w:r>
        <w:rPr>
          <w:color w:val="231F20"/>
          <w:spacing w:val="-4"/>
        </w:rPr>
        <w:t> </w:t>
      </w:r>
      <w:r>
        <w:rPr>
          <w:color w:val="231F20"/>
        </w:rPr>
        <w:t>корни,</w:t>
      </w:r>
      <w:r>
        <w:rPr>
          <w:color w:val="231F20"/>
          <w:spacing w:val="-4"/>
        </w:rPr>
        <w:t> </w:t>
      </w:r>
      <w:r>
        <w:rPr>
          <w:color w:val="231F20"/>
        </w:rPr>
        <w:t>то</w:t>
      </w:r>
      <w:r>
        <w:rPr>
          <w:color w:val="231F20"/>
          <w:spacing w:val="-4"/>
        </w:rPr>
        <w:t> </w:t>
      </w:r>
      <w:r>
        <w:rPr>
          <w:color w:val="231F20"/>
        </w:rPr>
        <w:t>есть</w:t>
      </w:r>
      <w:r>
        <w:rPr>
          <w:color w:val="231F20"/>
          <w:spacing w:val="-4"/>
        </w:rPr>
        <w:t> </w:t>
      </w:r>
      <w:r>
        <w:rPr>
          <w:color w:val="231F20"/>
        </w:rPr>
        <w:t>предки,</w:t>
      </w:r>
      <w:r>
        <w:rPr>
          <w:color w:val="231F20"/>
          <w:spacing w:val="-4"/>
        </w:rPr>
        <w:t> </w:t>
      </w:r>
      <w:r>
        <w:rPr>
          <w:color w:val="231F20"/>
        </w:rPr>
        <w:t>пред- ставители</w:t>
      </w:r>
      <w:r>
        <w:rPr>
          <w:color w:val="231F20"/>
          <w:spacing w:val="-5"/>
        </w:rPr>
        <w:t> </w:t>
      </w:r>
      <w:r>
        <w:rPr>
          <w:color w:val="231F20"/>
        </w:rPr>
        <w:t>предыдущих</w:t>
      </w:r>
      <w:r>
        <w:rPr>
          <w:color w:val="231F20"/>
          <w:spacing w:val="-5"/>
        </w:rPr>
        <w:t> </w:t>
      </w:r>
      <w:r>
        <w:rPr>
          <w:color w:val="231F20"/>
        </w:rPr>
        <w:t>поколений.</w:t>
      </w:r>
      <w:r>
        <w:rPr>
          <w:color w:val="231F20"/>
          <w:spacing w:val="-5"/>
        </w:rPr>
        <w:t> </w:t>
      </w:r>
      <w:r>
        <w:rPr>
          <w:color w:val="231F20"/>
        </w:rPr>
        <w:t>Коренным</w:t>
      </w:r>
      <w:r>
        <w:rPr>
          <w:color w:val="231F20"/>
          <w:spacing w:val="-5"/>
        </w:rPr>
        <w:t> </w:t>
      </w:r>
      <w:r>
        <w:rPr>
          <w:color w:val="231F20"/>
        </w:rPr>
        <w:t>жителем</w:t>
      </w:r>
      <w:r>
        <w:rPr>
          <w:color w:val="231F20"/>
          <w:spacing w:val="-5"/>
        </w:rPr>
        <w:t> </w:t>
      </w:r>
      <w:r>
        <w:rPr>
          <w:color w:val="231F20"/>
        </w:rPr>
        <w:t>принято</w:t>
      </w:r>
      <w:r>
        <w:rPr>
          <w:color w:val="231F20"/>
          <w:spacing w:val="-5"/>
        </w:rPr>
        <w:t> </w:t>
      </w:r>
      <w:r>
        <w:rPr>
          <w:color w:val="231F20"/>
        </w:rPr>
        <w:t>считать</w:t>
      </w:r>
      <w:r>
        <w:rPr>
          <w:color w:val="231F20"/>
          <w:spacing w:val="-5"/>
        </w:rPr>
        <w:t> </w:t>
      </w:r>
      <w:r>
        <w:rPr>
          <w:color w:val="231F20"/>
        </w:rPr>
        <w:t>горожанина в третьем поколении или тех, у кого есть родственники, похороненные на одном из </w:t>
      </w:r>
      <w:r>
        <w:rPr>
          <w:color w:val="231F20"/>
          <w:spacing w:val="-2"/>
        </w:rPr>
        <w:t>кладбищ</w:t>
      </w:r>
      <w:r>
        <w:rPr>
          <w:color w:val="231F20"/>
          <w:spacing w:val="-10"/>
        </w:rPr>
        <w:t> </w:t>
      </w:r>
      <w:r>
        <w:rPr>
          <w:color w:val="231F20"/>
          <w:spacing w:val="-2"/>
        </w:rPr>
        <w:t>города.</w:t>
      </w:r>
      <w:r>
        <w:rPr>
          <w:color w:val="231F20"/>
          <w:spacing w:val="-10"/>
        </w:rPr>
        <w:t> </w:t>
      </w:r>
      <w:r>
        <w:rPr>
          <w:color w:val="231F20"/>
          <w:spacing w:val="-2"/>
        </w:rPr>
        <w:t>Уроженец</w:t>
      </w:r>
      <w:r>
        <w:rPr>
          <w:color w:val="231F20"/>
          <w:spacing w:val="-10"/>
        </w:rPr>
        <w:t> </w:t>
      </w:r>
      <w:r>
        <w:rPr>
          <w:color w:val="231F20"/>
          <w:spacing w:val="-2"/>
        </w:rPr>
        <w:t>города</w:t>
      </w:r>
      <w:r>
        <w:rPr>
          <w:color w:val="231F20"/>
          <w:spacing w:val="-10"/>
        </w:rPr>
        <w:t> </w:t>
      </w:r>
      <w:r>
        <w:rPr>
          <w:color w:val="231F20"/>
          <w:spacing w:val="-2"/>
        </w:rPr>
        <w:t>–</w:t>
      </w:r>
      <w:r>
        <w:rPr>
          <w:color w:val="231F20"/>
          <w:spacing w:val="-10"/>
        </w:rPr>
        <w:t> </w:t>
      </w:r>
      <w:r>
        <w:rPr>
          <w:color w:val="231F20"/>
          <w:spacing w:val="-2"/>
        </w:rPr>
        <w:t>это</w:t>
      </w:r>
      <w:r>
        <w:rPr>
          <w:color w:val="231F20"/>
          <w:spacing w:val="-10"/>
        </w:rPr>
        <w:t> </w:t>
      </w:r>
      <w:r>
        <w:rPr>
          <w:color w:val="231F20"/>
          <w:spacing w:val="-2"/>
        </w:rPr>
        <w:t>человек,</w:t>
      </w:r>
      <w:r>
        <w:rPr>
          <w:color w:val="231F20"/>
          <w:spacing w:val="-10"/>
        </w:rPr>
        <w:t> </w:t>
      </w:r>
      <w:r>
        <w:rPr>
          <w:color w:val="231F20"/>
          <w:spacing w:val="-2"/>
        </w:rPr>
        <w:t>который</w:t>
      </w:r>
      <w:r>
        <w:rPr>
          <w:color w:val="231F20"/>
          <w:spacing w:val="-10"/>
        </w:rPr>
        <w:t> </w:t>
      </w:r>
      <w:r>
        <w:rPr>
          <w:color w:val="231F20"/>
          <w:spacing w:val="-2"/>
        </w:rPr>
        <w:t>родился</w:t>
      </w:r>
      <w:r>
        <w:rPr>
          <w:color w:val="231F20"/>
          <w:spacing w:val="-10"/>
        </w:rPr>
        <w:t> </w:t>
      </w:r>
      <w:r>
        <w:rPr>
          <w:color w:val="231F20"/>
          <w:spacing w:val="-2"/>
        </w:rPr>
        <w:t>в</w:t>
      </w:r>
      <w:r>
        <w:rPr>
          <w:color w:val="231F20"/>
          <w:spacing w:val="-10"/>
        </w:rPr>
        <w:t> </w:t>
      </w:r>
      <w:r>
        <w:rPr>
          <w:color w:val="231F20"/>
          <w:spacing w:val="-2"/>
        </w:rPr>
        <w:t>данном</w:t>
      </w:r>
      <w:r>
        <w:rPr>
          <w:color w:val="231F20"/>
          <w:spacing w:val="-10"/>
        </w:rPr>
        <w:t> </w:t>
      </w:r>
      <w:r>
        <w:rPr>
          <w:color w:val="231F20"/>
          <w:spacing w:val="-2"/>
        </w:rPr>
        <w:t>городе,</w:t>
      </w:r>
      <w:r>
        <w:rPr>
          <w:color w:val="231F20"/>
          <w:spacing w:val="-10"/>
        </w:rPr>
        <w:t> </w:t>
      </w:r>
      <w:r>
        <w:rPr>
          <w:color w:val="231F20"/>
          <w:spacing w:val="-2"/>
        </w:rPr>
        <w:t>но </w:t>
      </w:r>
      <w:r>
        <w:rPr>
          <w:color w:val="231F20"/>
        </w:rPr>
        <w:t>его</w:t>
      </w:r>
      <w:r>
        <w:rPr>
          <w:color w:val="231F20"/>
          <w:spacing w:val="-8"/>
        </w:rPr>
        <w:t> </w:t>
      </w:r>
      <w:r>
        <w:rPr>
          <w:color w:val="231F20"/>
        </w:rPr>
        <w:t>родители</w:t>
      </w:r>
      <w:r>
        <w:rPr>
          <w:color w:val="231F20"/>
          <w:spacing w:val="-8"/>
        </w:rPr>
        <w:t> </w:t>
      </w:r>
      <w:r>
        <w:rPr>
          <w:color w:val="231F20"/>
        </w:rPr>
        <w:t>живут</w:t>
      </w:r>
      <w:r>
        <w:rPr>
          <w:color w:val="231F20"/>
          <w:spacing w:val="-8"/>
        </w:rPr>
        <w:t> </w:t>
      </w:r>
      <w:r>
        <w:rPr>
          <w:color w:val="231F20"/>
        </w:rPr>
        <w:t>здесь</w:t>
      </w:r>
      <w:r>
        <w:rPr>
          <w:color w:val="231F20"/>
          <w:spacing w:val="-8"/>
        </w:rPr>
        <w:t> </w:t>
      </w:r>
      <w:r>
        <w:rPr>
          <w:color w:val="231F20"/>
        </w:rPr>
        <w:t>в</w:t>
      </w:r>
      <w:r>
        <w:rPr>
          <w:color w:val="231F20"/>
          <w:spacing w:val="-8"/>
        </w:rPr>
        <w:t> </w:t>
      </w:r>
      <w:r>
        <w:rPr>
          <w:color w:val="231F20"/>
        </w:rPr>
        <w:t>первом</w:t>
      </w:r>
      <w:r>
        <w:rPr>
          <w:color w:val="231F20"/>
          <w:spacing w:val="-8"/>
        </w:rPr>
        <w:t> </w:t>
      </w:r>
      <w:r>
        <w:rPr>
          <w:color w:val="231F20"/>
        </w:rPr>
        <w:t>поколении,</w:t>
      </w:r>
      <w:r>
        <w:rPr>
          <w:color w:val="231F20"/>
          <w:spacing w:val="-8"/>
        </w:rPr>
        <w:t> </w:t>
      </w:r>
      <w:r>
        <w:rPr>
          <w:color w:val="231F20"/>
        </w:rPr>
        <w:t>то</w:t>
      </w:r>
      <w:r>
        <w:rPr>
          <w:color w:val="231F20"/>
          <w:spacing w:val="-8"/>
        </w:rPr>
        <w:t> </w:t>
      </w:r>
      <w:r>
        <w:rPr>
          <w:color w:val="231F20"/>
        </w:rPr>
        <w:t>есть</w:t>
      </w:r>
      <w:r>
        <w:rPr>
          <w:color w:val="231F20"/>
          <w:spacing w:val="-8"/>
        </w:rPr>
        <w:t> </w:t>
      </w:r>
      <w:r>
        <w:rPr>
          <w:color w:val="231F20"/>
        </w:rPr>
        <w:t>они</w:t>
      </w:r>
      <w:r>
        <w:rPr>
          <w:color w:val="231F20"/>
          <w:spacing w:val="-8"/>
        </w:rPr>
        <w:t> </w:t>
      </w:r>
      <w:r>
        <w:rPr>
          <w:color w:val="231F20"/>
        </w:rPr>
        <w:t>родились</w:t>
      </w:r>
      <w:r>
        <w:rPr>
          <w:color w:val="231F20"/>
          <w:spacing w:val="-8"/>
        </w:rPr>
        <w:t> </w:t>
      </w:r>
      <w:r>
        <w:rPr>
          <w:color w:val="231F20"/>
        </w:rPr>
        <w:t>в</w:t>
      </w:r>
      <w:r>
        <w:rPr>
          <w:color w:val="231F20"/>
          <w:spacing w:val="-8"/>
        </w:rPr>
        <w:t> </w:t>
      </w:r>
      <w:r>
        <w:rPr>
          <w:color w:val="231F20"/>
        </w:rPr>
        <w:t>других</w:t>
      </w:r>
      <w:r>
        <w:rPr>
          <w:color w:val="231F20"/>
          <w:spacing w:val="-8"/>
        </w:rPr>
        <w:t> </w:t>
      </w:r>
      <w:r>
        <w:rPr>
          <w:color w:val="231F20"/>
        </w:rPr>
        <w:t>местах. </w:t>
      </w:r>
      <w:r>
        <w:rPr>
          <w:b/>
          <w:i/>
          <w:color w:val="231F20"/>
        </w:rPr>
        <w:t>Подведение итогов, оформление результатов проекта</w:t>
      </w:r>
      <w:r>
        <w:rPr>
          <w:b/>
          <w:color w:val="231F20"/>
        </w:rPr>
        <w:t>. </w:t>
      </w:r>
      <w:r>
        <w:rPr>
          <w:color w:val="231F20"/>
        </w:rPr>
        <w:t>После обобщения всех собранных</w:t>
      </w:r>
      <w:r>
        <w:rPr>
          <w:color w:val="231F20"/>
          <w:spacing w:val="18"/>
        </w:rPr>
        <w:t> </w:t>
      </w:r>
      <w:r>
        <w:rPr>
          <w:color w:val="231F20"/>
        </w:rPr>
        <w:t>данных</w:t>
      </w:r>
      <w:r>
        <w:rPr>
          <w:color w:val="231F20"/>
          <w:spacing w:val="21"/>
        </w:rPr>
        <w:t> </w:t>
      </w:r>
      <w:r>
        <w:rPr>
          <w:color w:val="231F20"/>
        </w:rPr>
        <w:t>каждый</w:t>
      </w:r>
      <w:r>
        <w:rPr>
          <w:color w:val="231F20"/>
          <w:spacing w:val="21"/>
        </w:rPr>
        <w:t> </w:t>
      </w:r>
      <w:r>
        <w:rPr>
          <w:color w:val="231F20"/>
        </w:rPr>
        <w:t>класс</w:t>
      </w:r>
      <w:r>
        <w:rPr>
          <w:color w:val="231F20"/>
          <w:spacing w:val="20"/>
        </w:rPr>
        <w:t> </w:t>
      </w:r>
      <w:r>
        <w:rPr>
          <w:color w:val="231F20"/>
        </w:rPr>
        <w:t>подвел</w:t>
      </w:r>
      <w:r>
        <w:rPr>
          <w:color w:val="231F20"/>
          <w:spacing w:val="21"/>
        </w:rPr>
        <w:t> </w:t>
      </w:r>
      <w:r>
        <w:rPr>
          <w:color w:val="231F20"/>
        </w:rPr>
        <w:t>итоги</w:t>
      </w:r>
      <w:r>
        <w:rPr>
          <w:color w:val="231F20"/>
          <w:spacing w:val="21"/>
        </w:rPr>
        <w:t> </w:t>
      </w:r>
      <w:r>
        <w:rPr>
          <w:color w:val="231F20"/>
        </w:rPr>
        <w:t>проекта</w:t>
      </w:r>
      <w:r>
        <w:rPr>
          <w:color w:val="231F20"/>
          <w:spacing w:val="20"/>
        </w:rPr>
        <w:t> </w:t>
      </w:r>
      <w:r>
        <w:rPr>
          <w:color w:val="231F20"/>
        </w:rPr>
        <w:t>по</w:t>
      </w:r>
      <w:r>
        <w:rPr>
          <w:color w:val="231F20"/>
          <w:spacing w:val="21"/>
        </w:rPr>
        <w:t> </w:t>
      </w:r>
      <w:r>
        <w:rPr>
          <w:color w:val="231F20"/>
        </w:rPr>
        <w:t>своей</w:t>
      </w:r>
      <w:r>
        <w:rPr>
          <w:color w:val="231F20"/>
          <w:spacing w:val="21"/>
        </w:rPr>
        <w:t> </w:t>
      </w:r>
      <w:r>
        <w:rPr>
          <w:color w:val="231F20"/>
        </w:rPr>
        <w:t>теме,</w:t>
      </w:r>
      <w:r>
        <w:rPr>
          <w:color w:val="231F20"/>
          <w:spacing w:val="21"/>
        </w:rPr>
        <w:t> </w:t>
      </w:r>
      <w:r>
        <w:rPr>
          <w:color w:val="231F20"/>
          <w:spacing w:val="-2"/>
        </w:rPr>
        <w:t>подготовив</w:t>
      </w:r>
    </w:p>
    <w:p>
      <w:pPr>
        <w:pStyle w:val="BodyText"/>
        <w:spacing w:line="228" w:lineRule="exact" w:before="1"/>
        <w:ind w:right="0" w:firstLine="0"/>
      </w:pPr>
      <w:r>
        <w:rPr>
          <w:color w:val="231F20"/>
        </w:rPr>
        <w:t>презентацию</w:t>
      </w:r>
      <w:r>
        <w:rPr>
          <w:color w:val="231F20"/>
          <w:spacing w:val="-9"/>
        </w:rPr>
        <w:t> </w:t>
      </w:r>
      <w:r>
        <w:rPr>
          <w:color w:val="231F20"/>
        </w:rPr>
        <w:t>и</w:t>
      </w:r>
      <w:r>
        <w:rPr>
          <w:color w:val="231F20"/>
          <w:spacing w:val="-6"/>
        </w:rPr>
        <w:t> </w:t>
      </w:r>
      <w:r>
        <w:rPr>
          <w:color w:val="231F20"/>
        </w:rPr>
        <w:t>выступление</w:t>
      </w:r>
      <w:r>
        <w:rPr>
          <w:color w:val="231F20"/>
          <w:spacing w:val="-6"/>
        </w:rPr>
        <w:t> </w:t>
      </w:r>
      <w:r>
        <w:rPr>
          <w:color w:val="231F20"/>
        </w:rPr>
        <w:t>на</w:t>
      </w:r>
      <w:r>
        <w:rPr>
          <w:color w:val="231F20"/>
          <w:spacing w:val="-6"/>
        </w:rPr>
        <w:t> </w:t>
      </w:r>
      <w:r>
        <w:rPr>
          <w:color w:val="231F20"/>
        </w:rPr>
        <w:t>итоговой</w:t>
      </w:r>
      <w:r>
        <w:rPr>
          <w:color w:val="231F20"/>
          <w:spacing w:val="-6"/>
        </w:rPr>
        <w:t> </w:t>
      </w:r>
      <w:r>
        <w:rPr>
          <w:color w:val="231F20"/>
        </w:rPr>
        <w:t>общешкольной</w:t>
      </w:r>
      <w:r>
        <w:rPr>
          <w:color w:val="231F20"/>
          <w:spacing w:val="-6"/>
        </w:rPr>
        <w:t> </w:t>
      </w:r>
      <w:r>
        <w:rPr>
          <w:color w:val="231F20"/>
          <w:spacing w:val="-2"/>
        </w:rPr>
        <w:t>конференции.</w:t>
      </w:r>
    </w:p>
    <w:p>
      <w:pPr>
        <w:pStyle w:val="BodyText"/>
        <w:spacing w:line="235" w:lineRule="auto" w:before="2"/>
      </w:pPr>
      <w:r>
        <w:rPr>
          <w:b/>
          <w:i/>
          <w:color w:val="231F20"/>
        </w:rPr>
        <w:t>Презентация</w:t>
      </w:r>
      <w:r>
        <w:rPr>
          <w:b/>
          <w:i/>
          <w:color w:val="231F20"/>
          <w:spacing w:val="-12"/>
        </w:rPr>
        <w:t> </w:t>
      </w:r>
      <w:r>
        <w:rPr>
          <w:b/>
          <w:i/>
          <w:color w:val="231F20"/>
        </w:rPr>
        <w:t>проекта</w:t>
      </w:r>
      <w:r>
        <w:rPr>
          <w:b/>
          <w:color w:val="231F20"/>
        </w:rPr>
        <w:t>.</w:t>
      </w:r>
      <w:r>
        <w:rPr>
          <w:b/>
          <w:color w:val="231F20"/>
          <w:spacing w:val="-12"/>
        </w:rPr>
        <w:t> </w:t>
      </w:r>
      <w:r>
        <w:rPr>
          <w:color w:val="231F20"/>
        </w:rPr>
        <w:t>Для</w:t>
      </w:r>
      <w:r>
        <w:rPr>
          <w:color w:val="231F20"/>
          <w:spacing w:val="-12"/>
        </w:rPr>
        <w:t> </w:t>
      </w:r>
      <w:r>
        <w:rPr>
          <w:color w:val="231F20"/>
        </w:rPr>
        <w:t>итоговой</w:t>
      </w:r>
      <w:r>
        <w:rPr>
          <w:color w:val="231F20"/>
          <w:spacing w:val="-12"/>
        </w:rPr>
        <w:t> </w:t>
      </w:r>
      <w:r>
        <w:rPr>
          <w:color w:val="231F20"/>
        </w:rPr>
        <w:t>презентации</w:t>
      </w:r>
      <w:r>
        <w:rPr>
          <w:color w:val="231F20"/>
          <w:spacing w:val="-12"/>
        </w:rPr>
        <w:t> </w:t>
      </w:r>
      <w:r>
        <w:rPr>
          <w:color w:val="231F20"/>
        </w:rPr>
        <w:t>проекта</w:t>
      </w:r>
      <w:r>
        <w:rPr>
          <w:color w:val="231F20"/>
          <w:spacing w:val="-12"/>
        </w:rPr>
        <w:t> </w:t>
      </w:r>
      <w:r>
        <w:rPr>
          <w:color w:val="231F20"/>
        </w:rPr>
        <w:t>был</w:t>
      </w:r>
      <w:r>
        <w:rPr>
          <w:color w:val="231F20"/>
          <w:spacing w:val="-12"/>
        </w:rPr>
        <w:t> </w:t>
      </w:r>
      <w:r>
        <w:rPr>
          <w:color w:val="231F20"/>
        </w:rPr>
        <w:t>выбран</w:t>
      </w:r>
      <w:r>
        <w:rPr>
          <w:color w:val="231F20"/>
          <w:spacing w:val="-12"/>
        </w:rPr>
        <w:t> </w:t>
      </w:r>
      <w:r>
        <w:rPr>
          <w:color w:val="231F20"/>
        </w:rPr>
        <w:t>день,</w:t>
      </w:r>
      <w:r>
        <w:rPr>
          <w:color w:val="231F20"/>
          <w:spacing w:val="-12"/>
        </w:rPr>
        <w:t> </w:t>
      </w:r>
      <w:r>
        <w:rPr>
          <w:color w:val="231F20"/>
        </w:rPr>
        <w:t>ког- да представители всех классов – участников проекта могли собраться вместе после уроков. На конференцию были приглашены учителя и родители. Каждый класс по очереди</w:t>
      </w:r>
      <w:r>
        <w:rPr>
          <w:color w:val="231F20"/>
          <w:spacing w:val="-6"/>
        </w:rPr>
        <w:t> </w:t>
      </w:r>
      <w:r>
        <w:rPr>
          <w:color w:val="231F20"/>
        </w:rPr>
        <w:t>представил</w:t>
      </w:r>
      <w:r>
        <w:rPr>
          <w:color w:val="231F20"/>
          <w:spacing w:val="-5"/>
        </w:rPr>
        <w:t> </w:t>
      </w:r>
      <w:r>
        <w:rPr>
          <w:color w:val="231F20"/>
        </w:rPr>
        <w:t>результаты</w:t>
      </w:r>
      <w:r>
        <w:rPr>
          <w:color w:val="231F20"/>
          <w:spacing w:val="-6"/>
        </w:rPr>
        <w:t> </w:t>
      </w:r>
      <w:r>
        <w:rPr>
          <w:color w:val="231F20"/>
        </w:rPr>
        <w:t>и</w:t>
      </w:r>
      <w:r>
        <w:rPr>
          <w:color w:val="231F20"/>
          <w:spacing w:val="-6"/>
        </w:rPr>
        <w:t> </w:t>
      </w:r>
      <w:r>
        <w:rPr>
          <w:color w:val="231F20"/>
        </w:rPr>
        <w:t>выводы</w:t>
      </w:r>
      <w:r>
        <w:rPr>
          <w:color w:val="231F20"/>
          <w:spacing w:val="-6"/>
        </w:rPr>
        <w:t> </w:t>
      </w:r>
      <w:r>
        <w:rPr>
          <w:color w:val="231F20"/>
        </w:rPr>
        <w:t>проекта.</w:t>
      </w:r>
      <w:r>
        <w:rPr>
          <w:color w:val="231F20"/>
          <w:spacing w:val="-6"/>
        </w:rPr>
        <w:t> </w:t>
      </w:r>
      <w:r>
        <w:rPr>
          <w:color w:val="231F20"/>
        </w:rPr>
        <w:t>Среди</w:t>
      </w:r>
      <w:r>
        <w:rPr>
          <w:color w:val="231F20"/>
          <w:spacing w:val="-6"/>
        </w:rPr>
        <w:t> </w:t>
      </w:r>
      <w:r>
        <w:rPr>
          <w:color w:val="231F20"/>
        </w:rPr>
        <w:t>условий,</w:t>
      </w:r>
      <w:r>
        <w:rPr>
          <w:color w:val="231F20"/>
          <w:spacing w:val="-5"/>
        </w:rPr>
        <w:t> </w:t>
      </w:r>
      <w:r>
        <w:rPr>
          <w:color w:val="231F20"/>
        </w:rPr>
        <w:t>поставленных</w:t>
      </w:r>
      <w:r>
        <w:rPr>
          <w:color w:val="231F20"/>
          <w:spacing w:val="-6"/>
        </w:rPr>
        <w:t> </w:t>
      </w:r>
      <w:r>
        <w:rPr>
          <w:color w:val="231F20"/>
        </w:rPr>
        <w:t>ра- бочей</w:t>
      </w:r>
      <w:r>
        <w:rPr>
          <w:color w:val="231F20"/>
          <w:spacing w:val="-5"/>
        </w:rPr>
        <w:t> </w:t>
      </w:r>
      <w:r>
        <w:rPr>
          <w:color w:val="231F20"/>
        </w:rPr>
        <w:t>группой</w:t>
      </w:r>
      <w:r>
        <w:rPr>
          <w:color w:val="231F20"/>
          <w:spacing w:val="-5"/>
        </w:rPr>
        <w:t> </w:t>
      </w:r>
      <w:r>
        <w:rPr>
          <w:color w:val="231F20"/>
        </w:rPr>
        <w:t>перед</w:t>
      </w:r>
      <w:r>
        <w:rPr>
          <w:color w:val="231F20"/>
          <w:spacing w:val="-5"/>
        </w:rPr>
        <w:t> </w:t>
      </w:r>
      <w:r>
        <w:rPr>
          <w:color w:val="231F20"/>
        </w:rPr>
        <w:t>презентациями</w:t>
      </w:r>
      <w:r>
        <w:rPr>
          <w:color w:val="231F20"/>
          <w:spacing w:val="-5"/>
        </w:rPr>
        <w:t> </w:t>
      </w:r>
      <w:r>
        <w:rPr>
          <w:color w:val="231F20"/>
        </w:rPr>
        <w:t>от</w:t>
      </w:r>
      <w:r>
        <w:rPr>
          <w:color w:val="231F20"/>
          <w:spacing w:val="-5"/>
        </w:rPr>
        <w:t> </w:t>
      </w:r>
      <w:r>
        <w:rPr>
          <w:color w:val="231F20"/>
        </w:rPr>
        <w:t>классов,</w:t>
      </w:r>
      <w:r>
        <w:rPr>
          <w:color w:val="231F20"/>
          <w:spacing w:val="-5"/>
        </w:rPr>
        <w:t> </w:t>
      </w:r>
      <w:r>
        <w:rPr>
          <w:color w:val="231F20"/>
        </w:rPr>
        <w:t>были</w:t>
      </w:r>
      <w:r>
        <w:rPr>
          <w:color w:val="231F20"/>
          <w:spacing w:val="-5"/>
        </w:rPr>
        <w:t> </w:t>
      </w:r>
      <w:r>
        <w:rPr>
          <w:color w:val="231F20"/>
        </w:rPr>
        <w:t>следующие:</w:t>
      </w:r>
      <w:r>
        <w:rPr>
          <w:color w:val="231F20"/>
          <w:spacing w:val="-5"/>
        </w:rPr>
        <w:t> </w:t>
      </w:r>
      <w:r>
        <w:rPr>
          <w:color w:val="231F20"/>
        </w:rPr>
        <w:t>наличие</w:t>
      </w:r>
      <w:r>
        <w:rPr>
          <w:color w:val="231F20"/>
          <w:spacing w:val="-5"/>
        </w:rPr>
        <w:t> </w:t>
      </w:r>
      <w:r>
        <w:rPr>
          <w:color w:val="231F20"/>
        </w:rPr>
        <w:t>в</w:t>
      </w:r>
      <w:r>
        <w:rPr>
          <w:color w:val="231F20"/>
          <w:spacing w:val="-5"/>
        </w:rPr>
        <w:t> </w:t>
      </w:r>
      <w:r>
        <w:rPr>
          <w:color w:val="231F20"/>
        </w:rPr>
        <w:t>презен- тации</w:t>
      </w:r>
      <w:r>
        <w:rPr>
          <w:color w:val="231F20"/>
          <w:spacing w:val="-9"/>
        </w:rPr>
        <w:t> </w:t>
      </w:r>
      <w:r>
        <w:rPr>
          <w:color w:val="231F20"/>
        </w:rPr>
        <w:t>статистической</w:t>
      </w:r>
      <w:r>
        <w:rPr>
          <w:color w:val="231F20"/>
          <w:spacing w:val="-9"/>
        </w:rPr>
        <w:t> </w:t>
      </w:r>
      <w:r>
        <w:rPr>
          <w:color w:val="231F20"/>
        </w:rPr>
        <w:t>информации,</w:t>
      </w:r>
      <w:r>
        <w:rPr>
          <w:color w:val="231F20"/>
          <w:spacing w:val="-9"/>
        </w:rPr>
        <w:t> </w:t>
      </w:r>
      <w:r>
        <w:rPr>
          <w:color w:val="231F20"/>
        </w:rPr>
        <w:t>исторических</w:t>
      </w:r>
      <w:r>
        <w:rPr>
          <w:color w:val="231F20"/>
          <w:spacing w:val="-9"/>
        </w:rPr>
        <w:t> </w:t>
      </w:r>
      <w:r>
        <w:rPr>
          <w:color w:val="231F20"/>
        </w:rPr>
        <w:t>фактов,</w:t>
      </w:r>
      <w:r>
        <w:rPr>
          <w:color w:val="231F20"/>
          <w:spacing w:val="-9"/>
        </w:rPr>
        <w:t> </w:t>
      </w:r>
      <w:r>
        <w:rPr>
          <w:color w:val="231F20"/>
        </w:rPr>
        <w:t>объясняющих</w:t>
      </w:r>
      <w:r>
        <w:rPr>
          <w:color w:val="231F20"/>
          <w:spacing w:val="-9"/>
        </w:rPr>
        <w:t> </w:t>
      </w:r>
      <w:r>
        <w:rPr>
          <w:color w:val="231F20"/>
        </w:rPr>
        <w:t>те</w:t>
      </w:r>
      <w:r>
        <w:rPr>
          <w:color w:val="231F20"/>
          <w:spacing w:val="-9"/>
        </w:rPr>
        <w:t> </w:t>
      </w:r>
      <w:r>
        <w:rPr>
          <w:color w:val="231F20"/>
        </w:rPr>
        <w:t>или</w:t>
      </w:r>
      <w:r>
        <w:rPr>
          <w:color w:val="231F20"/>
          <w:spacing w:val="-9"/>
        </w:rPr>
        <w:t> </w:t>
      </w:r>
      <w:r>
        <w:rPr>
          <w:color w:val="231F20"/>
        </w:rPr>
        <w:t>иные закономерности, выявленные в процессе выполнения работы, наличие иллюстра- ций</w:t>
      </w:r>
      <w:r>
        <w:rPr>
          <w:color w:val="231F20"/>
          <w:spacing w:val="-13"/>
        </w:rPr>
        <w:t> </w:t>
      </w:r>
      <w:r>
        <w:rPr>
          <w:color w:val="231F20"/>
        </w:rPr>
        <w:t>–</w:t>
      </w:r>
      <w:r>
        <w:rPr>
          <w:color w:val="231F20"/>
          <w:spacing w:val="-12"/>
        </w:rPr>
        <w:t> </w:t>
      </w:r>
      <w:r>
        <w:rPr>
          <w:color w:val="231F20"/>
        </w:rPr>
        <w:t>газет,</w:t>
      </w:r>
      <w:r>
        <w:rPr>
          <w:color w:val="231F20"/>
          <w:spacing w:val="-13"/>
        </w:rPr>
        <w:t> </w:t>
      </w:r>
      <w:r>
        <w:rPr>
          <w:color w:val="231F20"/>
        </w:rPr>
        <w:t>сканов</w:t>
      </w:r>
      <w:r>
        <w:rPr>
          <w:color w:val="231F20"/>
          <w:spacing w:val="-12"/>
        </w:rPr>
        <w:t> </w:t>
      </w:r>
      <w:r>
        <w:rPr>
          <w:color w:val="231F20"/>
        </w:rPr>
        <w:t>документов</w:t>
      </w:r>
      <w:r>
        <w:rPr>
          <w:color w:val="231F20"/>
          <w:spacing w:val="-13"/>
        </w:rPr>
        <w:t> </w:t>
      </w:r>
      <w:r>
        <w:rPr>
          <w:color w:val="231F20"/>
        </w:rPr>
        <w:t>и</w:t>
      </w:r>
      <w:r>
        <w:rPr>
          <w:color w:val="231F20"/>
          <w:spacing w:val="-12"/>
        </w:rPr>
        <w:t> </w:t>
      </w:r>
      <w:r>
        <w:rPr>
          <w:color w:val="231F20"/>
        </w:rPr>
        <w:t>фотографий</w:t>
      </w:r>
      <w:r>
        <w:rPr>
          <w:color w:val="231F20"/>
          <w:spacing w:val="-13"/>
        </w:rPr>
        <w:t> </w:t>
      </w:r>
      <w:r>
        <w:rPr>
          <w:color w:val="231F20"/>
        </w:rPr>
        <w:t>из</w:t>
      </w:r>
      <w:r>
        <w:rPr>
          <w:color w:val="231F20"/>
          <w:spacing w:val="-12"/>
        </w:rPr>
        <w:t> </w:t>
      </w:r>
      <w:r>
        <w:rPr>
          <w:color w:val="231F20"/>
        </w:rPr>
        <w:t>семейных</w:t>
      </w:r>
      <w:r>
        <w:rPr>
          <w:color w:val="231F20"/>
          <w:spacing w:val="-13"/>
        </w:rPr>
        <w:t> </w:t>
      </w:r>
      <w:r>
        <w:rPr>
          <w:color w:val="231F20"/>
        </w:rPr>
        <w:t>архивов,</w:t>
      </w:r>
      <w:r>
        <w:rPr>
          <w:color w:val="231F20"/>
          <w:spacing w:val="-12"/>
        </w:rPr>
        <w:t> </w:t>
      </w:r>
      <w:r>
        <w:rPr>
          <w:color w:val="231F20"/>
        </w:rPr>
        <w:t>фотографий</w:t>
      </w:r>
      <w:r>
        <w:rPr>
          <w:color w:val="231F20"/>
          <w:spacing w:val="-13"/>
        </w:rPr>
        <w:t> </w:t>
      </w:r>
      <w:r>
        <w:rPr>
          <w:color w:val="231F20"/>
        </w:rPr>
        <w:t>и</w:t>
      </w:r>
      <w:r>
        <w:rPr>
          <w:color w:val="231F20"/>
          <w:spacing w:val="-12"/>
        </w:rPr>
        <w:t> </w:t>
      </w:r>
      <w:r>
        <w:rPr>
          <w:color w:val="231F20"/>
        </w:rPr>
        <w:t>ви- део</w:t>
      </w:r>
      <w:r>
        <w:rPr>
          <w:color w:val="231F20"/>
          <w:spacing w:val="-2"/>
        </w:rPr>
        <w:t> </w:t>
      </w:r>
      <w:r>
        <w:rPr>
          <w:color w:val="231F20"/>
        </w:rPr>
        <w:t>после</w:t>
      </w:r>
      <w:r>
        <w:rPr>
          <w:color w:val="231F20"/>
          <w:spacing w:val="-2"/>
        </w:rPr>
        <w:t> </w:t>
      </w:r>
      <w:r>
        <w:rPr>
          <w:color w:val="231F20"/>
        </w:rPr>
        <w:t>экскурсий</w:t>
      </w:r>
      <w:r>
        <w:rPr>
          <w:color w:val="231F20"/>
          <w:spacing w:val="-2"/>
        </w:rPr>
        <w:t> </w:t>
      </w:r>
      <w:r>
        <w:rPr>
          <w:color w:val="231F20"/>
        </w:rPr>
        <w:t>и</w:t>
      </w:r>
      <w:r>
        <w:rPr>
          <w:color w:val="231F20"/>
          <w:spacing w:val="-1"/>
        </w:rPr>
        <w:t> </w:t>
      </w:r>
      <w:r>
        <w:rPr>
          <w:color w:val="231F20"/>
        </w:rPr>
        <w:t>тематических</w:t>
      </w:r>
      <w:r>
        <w:rPr>
          <w:color w:val="231F20"/>
          <w:spacing w:val="-2"/>
        </w:rPr>
        <w:t> </w:t>
      </w:r>
      <w:r>
        <w:rPr>
          <w:color w:val="231F20"/>
        </w:rPr>
        <w:t>поездок,</w:t>
      </w:r>
      <w:r>
        <w:rPr>
          <w:color w:val="231F20"/>
          <w:spacing w:val="-2"/>
        </w:rPr>
        <w:t> </w:t>
      </w:r>
      <w:r>
        <w:rPr>
          <w:color w:val="231F20"/>
        </w:rPr>
        <w:t>в</w:t>
      </w:r>
      <w:r>
        <w:rPr>
          <w:color w:val="231F20"/>
          <w:spacing w:val="-1"/>
        </w:rPr>
        <w:t> </w:t>
      </w:r>
      <w:r>
        <w:rPr>
          <w:color w:val="231F20"/>
        </w:rPr>
        <w:t>которых</w:t>
      </w:r>
      <w:r>
        <w:rPr>
          <w:color w:val="231F20"/>
          <w:spacing w:val="-2"/>
        </w:rPr>
        <w:t> </w:t>
      </w:r>
      <w:r>
        <w:rPr>
          <w:color w:val="231F20"/>
        </w:rPr>
        <w:t>участвовали</w:t>
      </w:r>
      <w:r>
        <w:rPr>
          <w:color w:val="231F20"/>
          <w:spacing w:val="-1"/>
        </w:rPr>
        <w:t> </w:t>
      </w:r>
      <w:r>
        <w:rPr>
          <w:color w:val="231F20"/>
        </w:rPr>
        <w:t>ребята.</w:t>
      </w:r>
      <w:r>
        <w:rPr>
          <w:color w:val="231F20"/>
          <w:spacing w:val="-2"/>
        </w:rPr>
        <w:t> </w:t>
      </w:r>
      <w:r>
        <w:rPr>
          <w:color w:val="231F20"/>
        </w:rPr>
        <w:t>То</w:t>
      </w:r>
      <w:r>
        <w:rPr>
          <w:color w:val="231F20"/>
          <w:spacing w:val="-1"/>
        </w:rPr>
        <w:t> </w:t>
      </w:r>
      <w:r>
        <w:rPr>
          <w:color w:val="231F20"/>
        </w:rPr>
        <w:t>есть хотя</w:t>
      </w:r>
      <w:r>
        <w:rPr>
          <w:color w:val="231F20"/>
          <w:spacing w:val="-8"/>
        </w:rPr>
        <w:t> </w:t>
      </w:r>
      <w:r>
        <w:rPr>
          <w:color w:val="231F20"/>
        </w:rPr>
        <w:t>каждый</w:t>
      </w:r>
      <w:r>
        <w:rPr>
          <w:color w:val="231F20"/>
          <w:spacing w:val="-8"/>
        </w:rPr>
        <w:t> </w:t>
      </w:r>
      <w:r>
        <w:rPr>
          <w:color w:val="231F20"/>
        </w:rPr>
        <w:t>класс</w:t>
      </w:r>
      <w:r>
        <w:rPr>
          <w:color w:val="231F20"/>
          <w:spacing w:val="-8"/>
        </w:rPr>
        <w:t> </w:t>
      </w:r>
      <w:r>
        <w:rPr>
          <w:color w:val="231F20"/>
        </w:rPr>
        <w:t>или</w:t>
      </w:r>
      <w:r>
        <w:rPr>
          <w:color w:val="231F20"/>
          <w:spacing w:val="-8"/>
        </w:rPr>
        <w:t> </w:t>
      </w:r>
      <w:r>
        <w:rPr>
          <w:color w:val="231F20"/>
        </w:rPr>
        <w:t>проектная</w:t>
      </w:r>
      <w:r>
        <w:rPr>
          <w:color w:val="231F20"/>
          <w:spacing w:val="-8"/>
        </w:rPr>
        <w:t> </w:t>
      </w:r>
      <w:r>
        <w:rPr>
          <w:color w:val="231F20"/>
        </w:rPr>
        <w:t>группа</w:t>
      </w:r>
      <w:r>
        <w:rPr>
          <w:color w:val="231F20"/>
          <w:spacing w:val="-8"/>
        </w:rPr>
        <w:t> </w:t>
      </w:r>
      <w:r>
        <w:rPr>
          <w:color w:val="231F20"/>
        </w:rPr>
        <w:t>делали</w:t>
      </w:r>
      <w:r>
        <w:rPr>
          <w:color w:val="231F20"/>
          <w:spacing w:val="-8"/>
        </w:rPr>
        <w:t> </w:t>
      </w:r>
      <w:r>
        <w:rPr>
          <w:color w:val="231F20"/>
        </w:rPr>
        <w:t>свой</w:t>
      </w:r>
      <w:r>
        <w:rPr>
          <w:color w:val="231F20"/>
          <w:spacing w:val="-8"/>
        </w:rPr>
        <w:t> </w:t>
      </w:r>
      <w:r>
        <w:rPr>
          <w:color w:val="231F20"/>
        </w:rPr>
        <w:t>проект,</w:t>
      </w:r>
      <w:r>
        <w:rPr>
          <w:color w:val="231F20"/>
          <w:spacing w:val="-8"/>
        </w:rPr>
        <w:t> </w:t>
      </w:r>
      <w:r>
        <w:rPr>
          <w:color w:val="231F20"/>
        </w:rPr>
        <w:t>по</w:t>
      </w:r>
      <w:r>
        <w:rPr>
          <w:color w:val="231F20"/>
          <w:spacing w:val="-8"/>
        </w:rPr>
        <w:t> </w:t>
      </w:r>
      <w:r>
        <w:rPr>
          <w:color w:val="231F20"/>
        </w:rPr>
        <w:t>своему</w:t>
      </w:r>
      <w:r>
        <w:rPr>
          <w:color w:val="231F20"/>
          <w:spacing w:val="-8"/>
        </w:rPr>
        <w:t> </w:t>
      </w:r>
      <w:r>
        <w:rPr>
          <w:color w:val="231F20"/>
        </w:rPr>
        <w:t>содержанию и оформлению он легко вписывался в проект общешкольный.</w:t>
      </w:r>
    </w:p>
    <w:p>
      <w:pPr>
        <w:pStyle w:val="BodyText"/>
        <w:spacing w:after="0" w:line="235" w:lineRule="auto"/>
        <w:sectPr>
          <w:pgSz w:w="8400" w:h="11910"/>
          <w:pgMar w:header="0" w:footer="527" w:top="400" w:bottom="720" w:left="425" w:right="425"/>
        </w:sectPr>
      </w:pPr>
    </w:p>
    <w:p>
      <w:pPr>
        <w:spacing w:before="80"/>
        <w:ind w:left="141" w:right="0" w:firstLine="0"/>
        <w:jc w:val="left"/>
        <w:rPr>
          <w:rFonts w:ascii="Georgia" w:hAnsi="Georgia"/>
          <w:sz w:val="18"/>
        </w:rPr>
      </w:pPr>
      <w:r>
        <w:rPr>
          <w:rFonts w:ascii="Georgia" w:hAnsi="Georgia"/>
          <w:color w:val="231F20"/>
          <w:sz w:val="18"/>
        </w:rPr>
        <w:t>4.4.</w:t>
      </w:r>
      <w:r>
        <w:rPr>
          <w:rFonts w:ascii="Georgia" w:hAnsi="Georgia"/>
          <w:color w:val="231F20"/>
          <w:spacing w:val="-1"/>
          <w:sz w:val="18"/>
        </w:rPr>
        <w:t> </w:t>
      </w:r>
      <w:r>
        <w:rPr>
          <w:rFonts w:ascii="Georgia" w:hAnsi="Georgia"/>
          <w:color w:val="231F20"/>
          <w:sz w:val="18"/>
        </w:rPr>
        <w:t>Методы</w:t>
      </w:r>
      <w:r>
        <w:rPr>
          <w:rFonts w:ascii="Georgia" w:hAnsi="Georgia"/>
          <w:color w:val="231F20"/>
          <w:spacing w:val="-1"/>
          <w:sz w:val="18"/>
        </w:rPr>
        <w:t> </w:t>
      </w:r>
      <w:r>
        <w:rPr>
          <w:rFonts w:ascii="Georgia" w:hAnsi="Georgia"/>
          <w:color w:val="231F20"/>
          <w:sz w:val="18"/>
        </w:rPr>
        <w:t>учебной</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1"/>
          <w:sz w:val="18"/>
        </w:rPr>
        <w:t> </w:t>
      </w:r>
      <w:r>
        <w:rPr>
          <w:rFonts w:ascii="Georgia" w:hAnsi="Georgia"/>
          <w:color w:val="231F20"/>
          <w:sz w:val="18"/>
        </w:rPr>
        <w:t>для адаптации</w:t>
      </w:r>
      <w:r>
        <w:rPr>
          <w:rFonts w:ascii="Georgia" w:hAnsi="Georgia"/>
          <w:color w:val="231F20"/>
          <w:spacing w:val="-1"/>
          <w:sz w:val="18"/>
        </w:rPr>
        <w:t> </w:t>
      </w:r>
      <w:r>
        <w:rPr>
          <w:rFonts w:ascii="Georgia" w:hAnsi="Georgia"/>
          <w:color w:val="231F20"/>
          <w:sz w:val="18"/>
        </w:rPr>
        <w:t>детей</w:t>
      </w:r>
      <w:r>
        <w:rPr>
          <w:rFonts w:ascii="Georgia" w:hAnsi="Georgia"/>
          <w:color w:val="231F20"/>
          <w:spacing w:val="-1"/>
          <w:sz w:val="18"/>
        </w:rPr>
        <w:t> </w:t>
      </w:r>
      <w:r>
        <w:rPr>
          <w:rFonts w:ascii="Georgia" w:hAnsi="Georgia"/>
          <w:color w:val="231F20"/>
          <w:sz w:val="18"/>
        </w:rPr>
        <w:t>...</w:t>
      </w:r>
      <w:r>
        <w:rPr>
          <w:rFonts w:ascii="Georgia" w:hAnsi="Georgia"/>
          <w:color w:val="231F20"/>
          <w:spacing w:val="-1"/>
          <w:sz w:val="18"/>
        </w:rPr>
        <w:t> </w:t>
      </w:r>
      <w:r>
        <w:rPr>
          <w:rFonts w:ascii="Georgia" w:hAnsi="Georgia"/>
          <w:color w:val="231F20"/>
          <w:sz w:val="18"/>
        </w:rPr>
        <w:t>во </w:t>
      </w:r>
      <w:r>
        <w:rPr>
          <w:rFonts w:ascii="Georgia" w:hAnsi="Georgia"/>
          <w:color w:val="231F20"/>
          <w:spacing w:val="-2"/>
          <w:sz w:val="18"/>
        </w:rPr>
        <w:t>взаимодействии...</w:t>
      </w:r>
    </w:p>
    <w:p>
      <w:pPr>
        <w:pStyle w:val="BodyText"/>
        <w:spacing w:line="235" w:lineRule="auto" w:before="116"/>
      </w:pPr>
      <w:r>
        <w:rPr>
          <w:color w:val="231F20"/>
        </w:rPr>
        <w:t>После</w:t>
      </w:r>
      <w:r>
        <w:rPr>
          <w:color w:val="231F20"/>
          <w:spacing w:val="-13"/>
        </w:rPr>
        <w:t> </w:t>
      </w:r>
      <w:r>
        <w:rPr>
          <w:color w:val="231F20"/>
        </w:rPr>
        <w:t>каждого</w:t>
      </w:r>
      <w:r>
        <w:rPr>
          <w:color w:val="231F20"/>
          <w:spacing w:val="-12"/>
        </w:rPr>
        <w:t> </w:t>
      </w:r>
      <w:r>
        <w:rPr>
          <w:color w:val="231F20"/>
        </w:rPr>
        <w:t>выступления</w:t>
      </w:r>
      <w:r>
        <w:rPr>
          <w:color w:val="231F20"/>
          <w:spacing w:val="-13"/>
        </w:rPr>
        <w:t> </w:t>
      </w:r>
      <w:r>
        <w:rPr>
          <w:color w:val="231F20"/>
        </w:rPr>
        <w:t>(презентации)</w:t>
      </w:r>
      <w:r>
        <w:rPr>
          <w:color w:val="231F20"/>
          <w:spacing w:val="-12"/>
        </w:rPr>
        <w:t> </w:t>
      </w:r>
      <w:r>
        <w:rPr>
          <w:color w:val="231F20"/>
        </w:rPr>
        <w:t>эксперты</w:t>
      </w:r>
      <w:r>
        <w:rPr>
          <w:color w:val="231F20"/>
          <w:spacing w:val="-13"/>
        </w:rPr>
        <w:t> </w:t>
      </w:r>
      <w:r>
        <w:rPr>
          <w:color w:val="231F20"/>
        </w:rPr>
        <w:t>и</w:t>
      </w:r>
      <w:r>
        <w:rPr>
          <w:color w:val="231F20"/>
          <w:spacing w:val="-12"/>
        </w:rPr>
        <w:t> </w:t>
      </w:r>
      <w:r>
        <w:rPr>
          <w:color w:val="231F20"/>
        </w:rPr>
        <w:t>просто</w:t>
      </w:r>
      <w:r>
        <w:rPr>
          <w:color w:val="231F20"/>
          <w:spacing w:val="-13"/>
        </w:rPr>
        <w:t> </w:t>
      </w:r>
      <w:r>
        <w:rPr>
          <w:color w:val="231F20"/>
        </w:rPr>
        <w:t>зрители</w:t>
      </w:r>
      <w:r>
        <w:rPr>
          <w:color w:val="231F20"/>
          <w:spacing w:val="-12"/>
        </w:rPr>
        <w:t> </w:t>
      </w:r>
      <w:r>
        <w:rPr>
          <w:color w:val="231F20"/>
        </w:rPr>
        <w:t>из</w:t>
      </w:r>
      <w:r>
        <w:rPr>
          <w:color w:val="231F20"/>
          <w:spacing w:val="-13"/>
        </w:rPr>
        <w:t> </w:t>
      </w:r>
      <w:r>
        <w:rPr>
          <w:color w:val="231F20"/>
        </w:rPr>
        <w:t>актового зала могли задать вопросы участникам проектной группы.</w:t>
      </w:r>
    </w:p>
    <w:p>
      <w:pPr>
        <w:pStyle w:val="BodyText"/>
        <w:spacing w:line="237" w:lineRule="auto"/>
      </w:pPr>
      <w:r>
        <w:rPr>
          <w:b/>
          <w:i/>
          <w:color w:val="231F20"/>
        </w:rPr>
        <w:t>Ожидаемые и дополнительные результаты</w:t>
      </w:r>
      <w:r>
        <w:rPr>
          <w:b/>
          <w:color w:val="231F20"/>
        </w:rPr>
        <w:t>. </w:t>
      </w:r>
      <w:r>
        <w:rPr>
          <w:color w:val="231F20"/>
        </w:rPr>
        <w:t>В процессе работы над общеш- кольным проектом «Все мы понаехали!» проектной группе и, в целом, педагогиче- скому</w:t>
      </w:r>
      <w:r>
        <w:rPr>
          <w:color w:val="231F20"/>
          <w:spacing w:val="-6"/>
        </w:rPr>
        <w:t> </w:t>
      </w:r>
      <w:r>
        <w:rPr>
          <w:color w:val="231F20"/>
        </w:rPr>
        <w:t>коллективу</w:t>
      </w:r>
      <w:r>
        <w:rPr>
          <w:color w:val="231F20"/>
          <w:spacing w:val="-6"/>
        </w:rPr>
        <w:t> </w:t>
      </w:r>
      <w:r>
        <w:rPr>
          <w:color w:val="231F20"/>
        </w:rPr>
        <w:t>школы</w:t>
      </w:r>
      <w:r>
        <w:rPr>
          <w:color w:val="231F20"/>
          <w:spacing w:val="-6"/>
        </w:rPr>
        <w:t> </w:t>
      </w:r>
      <w:r>
        <w:rPr>
          <w:color w:val="231F20"/>
        </w:rPr>
        <w:t>удалось</w:t>
      </w:r>
      <w:r>
        <w:rPr>
          <w:color w:val="231F20"/>
          <w:spacing w:val="-6"/>
        </w:rPr>
        <w:t> </w:t>
      </w:r>
      <w:r>
        <w:rPr>
          <w:color w:val="231F20"/>
        </w:rPr>
        <w:t>изменить</w:t>
      </w:r>
      <w:r>
        <w:rPr>
          <w:color w:val="231F20"/>
          <w:spacing w:val="-6"/>
        </w:rPr>
        <w:t> </w:t>
      </w:r>
      <w:r>
        <w:rPr>
          <w:color w:val="231F20"/>
        </w:rPr>
        <w:t>атмосферу</w:t>
      </w:r>
      <w:r>
        <w:rPr>
          <w:color w:val="231F20"/>
          <w:spacing w:val="-6"/>
        </w:rPr>
        <w:t> </w:t>
      </w:r>
      <w:r>
        <w:rPr>
          <w:color w:val="231F20"/>
        </w:rPr>
        <w:t>начинающейся</w:t>
      </w:r>
      <w:r>
        <w:rPr>
          <w:color w:val="231F20"/>
          <w:spacing w:val="-6"/>
        </w:rPr>
        <w:t> </w:t>
      </w:r>
      <w:r>
        <w:rPr>
          <w:color w:val="231F20"/>
        </w:rPr>
        <w:t>вражды</w:t>
      </w:r>
      <w:r>
        <w:rPr>
          <w:color w:val="231F20"/>
          <w:spacing w:val="-6"/>
        </w:rPr>
        <w:t> </w:t>
      </w:r>
      <w:r>
        <w:rPr>
          <w:color w:val="231F20"/>
        </w:rPr>
        <w:t>и</w:t>
      </w:r>
      <w:r>
        <w:rPr>
          <w:color w:val="231F20"/>
          <w:spacing w:val="-6"/>
        </w:rPr>
        <w:t> </w:t>
      </w:r>
      <w:r>
        <w:rPr>
          <w:color w:val="231F20"/>
        </w:rPr>
        <w:t>рас- слоения на «своих, москвичей» и «понаехавших». Оказалось, что примерно 70–80 процентов детей в каждом классе и столько же учителей и администраторов школы либо</w:t>
      </w:r>
      <w:r>
        <w:rPr>
          <w:color w:val="231F20"/>
          <w:spacing w:val="-3"/>
        </w:rPr>
        <w:t> </w:t>
      </w:r>
      <w:r>
        <w:rPr>
          <w:color w:val="231F20"/>
        </w:rPr>
        <w:t>приехали</w:t>
      </w:r>
      <w:r>
        <w:rPr>
          <w:color w:val="231F20"/>
          <w:spacing w:val="-4"/>
        </w:rPr>
        <w:t> </w:t>
      </w:r>
      <w:r>
        <w:rPr>
          <w:color w:val="231F20"/>
        </w:rPr>
        <w:t>в</w:t>
      </w:r>
      <w:r>
        <w:rPr>
          <w:color w:val="231F20"/>
          <w:spacing w:val="-4"/>
        </w:rPr>
        <w:t> </w:t>
      </w:r>
      <w:r>
        <w:rPr>
          <w:color w:val="231F20"/>
        </w:rPr>
        <w:t>Москву</w:t>
      </w:r>
      <w:r>
        <w:rPr>
          <w:color w:val="231F20"/>
          <w:spacing w:val="-3"/>
        </w:rPr>
        <w:t> </w:t>
      </w:r>
      <w:r>
        <w:rPr>
          <w:color w:val="231F20"/>
        </w:rPr>
        <w:t>со</w:t>
      </w:r>
      <w:r>
        <w:rPr>
          <w:color w:val="231F20"/>
          <w:spacing w:val="-3"/>
        </w:rPr>
        <w:t> </w:t>
      </w:r>
      <w:r>
        <w:rPr>
          <w:color w:val="231F20"/>
        </w:rPr>
        <w:t>своими</w:t>
      </w:r>
      <w:r>
        <w:rPr>
          <w:color w:val="231F20"/>
          <w:spacing w:val="-4"/>
        </w:rPr>
        <w:t> </w:t>
      </w:r>
      <w:r>
        <w:rPr>
          <w:color w:val="231F20"/>
        </w:rPr>
        <w:t>семьями</w:t>
      </w:r>
      <w:r>
        <w:rPr>
          <w:color w:val="231F20"/>
          <w:spacing w:val="-4"/>
        </w:rPr>
        <w:t> </w:t>
      </w:r>
      <w:r>
        <w:rPr>
          <w:color w:val="231F20"/>
        </w:rPr>
        <w:t>в</w:t>
      </w:r>
      <w:r>
        <w:rPr>
          <w:color w:val="231F20"/>
          <w:spacing w:val="-4"/>
        </w:rPr>
        <w:t> </w:t>
      </w:r>
      <w:r>
        <w:rPr>
          <w:color w:val="231F20"/>
        </w:rPr>
        <w:t>раннем</w:t>
      </w:r>
      <w:r>
        <w:rPr>
          <w:color w:val="231F20"/>
          <w:spacing w:val="-3"/>
        </w:rPr>
        <w:t> </w:t>
      </w:r>
      <w:r>
        <w:rPr>
          <w:color w:val="231F20"/>
        </w:rPr>
        <w:t>детстве,</w:t>
      </w:r>
      <w:r>
        <w:rPr>
          <w:color w:val="231F20"/>
          <w:spacing w:val="-3"/>
        </w:rPr>
        <w:t> </w:t>
      </w:r>
      <w:r>
        <w:rPr>
          <w:color w:val="231F20"/>
        </w:rPr>
        <w:t>либо</w:t>
      </w:r>
      <w:r>
        <w:rPr>
          <w:color w:val="231F20"/>
          <w:spacing w:val="-3"/>
        </w:rPr>
        <w:t> </w:t>
      </w:r>
      <w:r>
        <w:rPr>
          <w:color w:val="231F20"/>
        </w:rPr>
        <w:t>приехали</w:t>
      </w:r>
      <w:r>
        <w:rPr>
          <w:color w:val="231F20"/>
          <w:spacing w:val="-4"/>
        </w:rPr>
        <w:t> </w:t>
      </w:r>
      <w:r>
        <w:rPr>
          <w:color w:val="231F20"/>
        </w:rPr>
        <w:t>в</w:t>
      </w:r>
      <w:r>
        <w:rPr>
          <w:color w:val="231F20"/>
          <w:spacing w:val="-4"/>
        </w:rPr>
        <w:t> </w:t>
      </w:r>
      <w:r>
        <w:rPr>
          <w:color w:val="231F20"/>
        </w:rPr>
        <w:t>юно- сти</w:t>
      </w:r>
      <w:r>
        <w:rPr>
          <w:color w:val="231F20"/>
          <w:spacing w:val="-10"/>
        </w:rPr>
        <w:t> </w:t>
      </w:r>
      <w:r>
        <w:rPr>
          <w:color w:val="231F20"/>
        </w:rPr>
        <w:t>получить</w:t>
      </w:r>
      <w:r>
        <w:rPr>
          <w:color w:val="231F20"/>
          <w:spacing w:val="-10"/>
        </w:rPr>
        <w:t> </w:t>
      </w:r>
      <w:r>
        <w:rPr>
          <w:color w:val="231F20"/>
        </w:rPr>
        <w:t>образование,</w:t>
      </w:r>
      <w:r>
        <w:rPr>
          <w:color w:val="231F20"/>
          <w:spacing w:val="-10"/>
        </w:rPr>
        <w:t> </w:t>
      </w:r>
      <w:r>
        <w:rPr>
          <w:color w:val="231F20"/>
        </w:rPr>
        <w:t>либо</w:t>
      </w:r>
      <w:r>
        <w:rPr>
          <w:color w:val="231F20"/>
          <w:spacing w:val="-10"/>
        </w:rPr>
        <w:t> </w:t>
      </w:r>
      <w:r>
        <w:rPr>
          <w:color w:val="231F20"/>
        </w:rPr>
        <w:t>приехали</w:t>
      </w:r>
      <w:r>
        <w:rPr>
          <w:color w:val="231F20"/>
          <w:spacing w:val="-10"/>
        </w:rPr>
        <w:t> </w:t>
      </w:r>
      <w:r>
        <w:rPr>
          <w:color w:val="231F20"/>
        </w:rPr>
        <w:t>совсем</w:t>
      </w:r>
      <w:r>
        <w:rPr>
          <w:color w:val="231F20"/>
          <w:spacing w:val="-10"/>
        </w:rPr>
        <w:t> </w:t>
      </w:r>
      <w:r>
        <w:rPr>
          <w:color w:val="231F20"/>
        </w:rPr>
        <w:t>недавно,</w:t>
      </w:r>
      <w:r>
        <w:rPr>
          <w:color w:val="231F20"/>
          <w:spacing w:val="-10"/>
        </w:rPr>
        <w:t> </w:t>
      </w:r>
      <w:r>
        <w:rPr>
          <w:color w:val="231F20"/>
        </w:rPr>
        <w:t>то</w:t>
      </w:r>
      <w:r>
        <w:rPr>
          <w:color w:val="231F20"/>
          <w:spacing w:val="-10"/>
        </w:rPr>
        <w:t> </w:t>
      </w:r>
      <w:r>
        <w:rPr>
          <w:color w:val="231F20"/>
        </w:rPr>
        <w:t>есть</w:t>
      </w:r>
      <w:r>
        <w:rPr>
          <w:color w:val="231F20"/>
          <w:spacing w:val="-10"/>
        </w:rPr>
        <w:t> </w:t>
      </w:r>
      <w:r>
        <w:rPr>
          <w:color w:val="231F20"/>
        </w:rPr>
        <w:t>не</w:t>
      </w:r>
      <w:r>
        <w:rPr>
          <w:color w:val="231F20"/>
          <w:spacing w:val="-10"/>
        </w:rPr>
        <w:t> </w:t>
      </w:r>
      <w:r>
        <w:rPr>
          <w:color w:val="231F20"/>
        </w:rPr>
        <w:t>могут</w:t>
      </w:r>
      <w:r>
        <w:rPr>
          <w:color w:val="231F20"/>
          <w:spacing w:val="-10"/>
        </w:rPr>
        <w:t> </w:t>
      </w:r>
      <w:r>
        <w:rPr>
          <w:color w:val="231F20"/>
        </w:rPr>
        <w:t>называть- ся коренными москвичами. Настоящих москвичей оказалось совсем немного, но и их истории были тоже удивительными, поскольку у большинства из них дедушки и бабушки</w:t>
      </w:r>
      <w:r>
        <w:rPr>
          <w:color w:val="231F20"/>
          <w:spacing w:val="-1"/>
        </w:rPr>
        <w:t> </w:t>
      </w:r>
      <w:r>
        <w:rPr>
          <w:color w:val="231F20"/>
        </w:rPr>
        <w:t>тоже</w:t>
      </w:r>
      <w:r>
        <w:rPr>
          <w:color w:val="231F20"/>
          <w:spacing w:val="-1"/>
        </w:rPr>
        <w:t> </w:t>
      </w:r>
      <w:r>
        <w:rPr>
          <w:color w:val="231F20"/>
        </w:rPr>
        <w:t>москвичами</w:t>
      </w:r>
      <w:r>
        <w:rPr>
          <w:color w:val="231F20"/>
          <w:spacing w:val="-1"/>
        </w:rPr>
        <w:t> </w:t>
      </w:r>
      <w:r>
        <w:rPr>
          <w:color w:val="231F20"/>
        </w:rPr>
        <w:t>не</w:t>
      </w:r>
      <w:r>
        <w:rPr>
          <w:color w:val="231F20"/>
          <w:spacing w:val="-1"/>
        </w:rPr>
        <w:t> </w:t>
      </w:r>
      <w:r>
        <w:rPr>
          <w:color w:val="231F20"/>
        </w:rPr>
        <w:t>были,</w:t>
      </w:r>
      <w:r>
        <w:rPr>
          <w:color w:val="231F20"/>
          <w:spacing w:val="-1"/>
        </w:rPr>
        <w:t> </w:t>
      </w:r>
      <w:r>
        <w:rPr>
          <w:color w:val="231F20"/>
        </w:rPr>
        <w:t>они</w:t>
      </w:r>
      <w:r>
        <w:rPr>
          <w:color w:val="231F20"/>
          <w:spacing w:val="-1"/>
        </w:rPr>
        <w:t> </w:t>
      </w:r>
      <w:r>
        <w:rPr>
          <w:color w:val="231F20"/>
        </w:rPr>
        <w:t>жили</w:t>
      </w:r>
      <w:r>
        <w:rPr>
          <w:color w:val="231F20"/>
          <w:spacing w:val="-1"/>
        </w:rPr>
        <w:t> </w:t>
      </w:r>
      <w:r>
        <w:rPr>
          <w:color w:val="231F20"/>
        </w:rPr>
        <w:t>далеко</w:t>
      </w:r>
      <w:r>
        <w:rPr>
          <w:color w:val="231F20"/>
          <w:spacing w:val="-1"/>
        </w:rPr>
        <w:t> </w:t>
      </w:r>
      <w:r>
        <w:rPr>
          <w:color w:val="231F20"/>
        </w:rPr>
        <w:t>от</w:t>
      </w:r>
      <w:r>
        <w:rPr>
          <w:color w:val="231F20"/>
          <w:spacing w:val="-1"/>
        </w:rPr>
        <w:t> </w:t>
      </w:r>
      <w:r>
        <w:rPr>
          <w:color w:val="231F20"/>
        </w:rPr>
        <w:t>Москвы,</w:t>
      </w:r>
      <w:r>
        <w:rPr>
          <w:color w:val="231F20"/>
          <w:spacing w:val="-1"/>
        </w:rPr>
        <w:t> </w:t>
      </w:r>
      <w:r>
        <w:rPr>
          <w:color w:val="231F20"/>
        </w:rPr>
        <w:t>и,</w:t>
      </w:r>
      <w:r>
        <w:rPr>
          <w:color w:val="231F20"/>
          <w:spacing w:val="-1"/>
        </w:rPr>
        <w:t> </w:t>
      </w:r>
      <w:r>
        <w:rPr>
          <w:color w:val="231F20"/>
        </w:rPr>
        <w:t>если</w:t>
      </w:r>
      <w:r>
        <w:rPr>
          <w:color w:val="231F20"/>
          <w:spacing w:val="-1"/>
        </w:rPr>
        <w:t> </w:t>
      </w:r>
      <w:r>
        <w:rPr>
          <w:color w:val="231F20"/>
        </w:rPr>
        <w:t>не</w:t>
      </w:r>
      <w:r>
        <w:rPr>
          <w:color w:val="231F20"/>
          <w:spacing w:val="-1"/>
        </w:rPr>
        <w:t> </w:t>
      </w:r>
      <w:r>
        <w:rPr>
          <w:color w:val="231F20"/>
        </w:rPr>
        <w:t>в</w:t>
      </w:r>
      <w:r>
        <w:rPr>
          <w:color w:val="231F20"/>
          <w:spacing w:val="-1"/>
        </w:rPr>
        <w:t> </w:t>
      </w:r>
      <w:r>
        <w:rPr>
          <w:color w:val="231F20"/>
        </w:rPr>
        <w:t>дерев- нях и селах, то в небольших губернских городах.</w:t>
      </w:r>
    </w:p>
    <w:p>
      <w:pPr>
        <w:pStyle w:val="BodyText"/>
      </w:pPr>
      <w:r>
        <w:rPr>
          <w:color w:val="231F20"/>
        </w:rPr>
        <w:t>Наибольший интерес у участников проекта вызвала созданная старшеклассни- ками географическая карта России и зарубежья, составленная по результатам ми- ни-исследования о том, из каких регионов, в какой исторический период и по каким причинам старшие члены семьи приехали в Москву со своими семьями. Эта карта проиллюстрировала</w:t>
      </w:r>
      <w:r>
        <w:rPr>
          <w:color w:val="231F20"/>
          <w:spacing w:val="-1"/>
        </w:rPr>
        <w:t> </w:t>
      </w:r>
      <w:r>
        <w:rPr>
          <w:color w:val="231F20"/>
        </w:rPr>
        <w:t>большой</w:t>
      </w:r>
      <w:r>
        <w:rPr>
          <w:color w:val="231F20"/>
          <w:spacing w:val="-1"/>
        </w:rPr>
        <w:t> </w:t>
      </w:r>
      <w:r>
        <w:rPr>
          <w:color w:val="231F20"/>
        </w:rPr>
        <w:t>исторический</w:t>
      </w:r>
      <w:r>
        <w:rPr>
          <w:color w:val="231F20"/>
          <w:spacing w:val="-1"/>
        </w:rPr>
        <w:t> </w:t>
      </w:r>
      <w:r>
        <w:rPr>
          <w:color w:val="231F20"/>
        </w:rPr>
        <w:t>период</w:t>
      </w:r>
      <w:r>
        <w:rPr>
          <w:color w:val="231F20"/>
          <w:spacing w:val="-1"/>
        </w:rPr>
        <w:t> </w:t>
      </w:r>
      <w:r>
        <w:rPr>
          <w:color w:val="231F20"/>
        </w:rPr>
        <w:t>(около</w:t>
      </w:r>
      <w:r>
        <w:rPr>
          <w:color w:val="231F20"/>
          <w:spacing w:val="-1"/>
        </w:rPr>
        <w:t> </w:t>
      </w:r>
      <w:r>
        <w:rPr>
          <w:color w:val="231F20"/>
        </w:rPr>
        <w:t>100</w:t>
      </w:r>
      <w:r>
        <w:rPr>
          <w:color w:val="231F20"/>
          <w:spacing w:val="-1"/>
        </w:rPr>
        <w:t> </w:t>
      </w:r>
      <w:r>
        <w:rPr>
          <w:color w:val="231F20"/>
        </w:rPr>
        <w:t>лет)</w:t>
      </w:r>
      <w:r>
        <w:rPr>
          <w:color w:val="231F20"/>
          <w:spacing w:val="-1"/>
        </w:rPr>
        <w:t> </w:t>
      </w:r>
      <w:r>
        <w:rPr>
          <w:color w:val="231F20"/>
        </w:rPr>
        <w:t>и</w:t>
      </w:r>
      <w:r>
        <w:rPr>
          <w:color w:val="231F20"/>
          <w:spacing w:val="-1"/>
        </w:rPr>
        <w:t> </w:t>
      </w:r>
      <w:r>
        <w:rPr>
          <w:color w:val="231F20"/>
        </w:rPr>
        <w:t>события,</w:t>
      </w:r>
      <w:r>
        <w:rPr>
          <w:color w:val="231F20"/>
          <w:spacing w:val="-1"/>
        </w:rPr>
        <w:t> </w:t>
      </w:r>
      <w:r>
        <w:rPr>
          <w:color w:val="231F20"/>
        </w:rPr>
        <w:t>кото- рые привели к массовой или выборочной миграции населения.</w:t>
      </w:r>
    </w:p>
    <w:p>
      <w:pPr>
        <w:pStyle w:val="BodyText"/>
      </w:pPr>
      <w:r>
        <w:rPr>
          <w:color w:val="231F20"/>
        </w:rPr>
        <w:t>Один из классов разработал дополнительную карту – это была карта Москвы с указанием мест, где в настоящее время живут учителя, учащиеся и их родители, ко- торые приезжают в школу. При анализе карты стали видны некоторые закономер- ности размещения людей в Москве и формирующиеся закономерности при строи- тельстве новых жилых районов и перемещении людей внутри города. Например, на карте было видно, что большинство коренных москвичей (хоть их и очень мало в процентном соотношении) проживают не в центре города, а в удаленных от центра округах.</w:t>
      </w:r>
      <w:r>
        <w:rPr>
          <w:color w:val="231F20"/>
          <w:spacing w:val="-2"/>
        </w:rPr>
        <w:t> </w:t>
      </w:r>
      <w:r>
        <w:rPr>
          <w:color w:val="231F20"/>
        </w:rPr>
        <w:t>Это</w:t>
      </w:r>
      <w:r>
        <w:rPr>
          <w:color w:val="231F20"/>
          <w:spacing w:val="-2"/>
        </w:rPr>
        <w:t> </w:t>
      </w:r>
      <w:r>
        <w:rPr>
          <w:color w:val="231F20"/>
        </w:rPr>
        <w:t>дало</w:t>
      </w:r>
      <w:r>
        <w:rPr>
          <w:color w:val="231F20"/>
          <w:spacing w:val="-2"/>
        </w:rPr>
        <w:t> </w:t>
      </w:r>
      <w:r>
        <w:rPr>
          <w:color w:val="231F20"/>
        </w:rPr>
        <w:t>основание</w:t>
      </w:r>
      <w:r>
        <w:rPr>
          <w:color w:val="231F20"/>
          <w:spacing w:val="-2"/>
        </w:rPr>
        <w:t> </w:t>
      </w:r>
      <w:r>
        <w:rPr>
          <w:color w:val="231F20"/>
        </w:rPr>
        <w:t>для</w:t>
      </w:r>
      <w:r>
        <w:rPr>
          <w:color w:val="231F20"/>
          <w:spacing w:val="-2"/>
        </w:rPr>
        <w:t> </w:t>
      </w:r>
      <w:r>
        <w:rPr>
          <w:color w:val="231F20"/>
        </w:rPr>
        <w:t>анализа</w:t>
      </w:r>
      <w:r>
        <w:rPr>
          <w:color w:val="231F20"/>
          <w:spacing w:val="-2"/>
        </w:rPr>
        <w:t> </w:t>
      </w:r>
      <w:r>
        <w:rPr>
          <w:color w:val="231F20"/>
        </w:rPr>
        <w:t>ситуации</w:t>
      </w:r>
      <w:r>
        <w:rPr>
          <w:color w:val="231F20"/>
          <w:spacing w:val="-2"/>
        </w:rPr>
        <w:t> </w:t>
      </w:r>
      <w:r>
        <w:rPr>
          <w:color w:val="231F20"/>
        </w:rPr>
        <w:t>и</w:t>
      </w:r>
      <w:r>
        <w:rPr>
          <w:color w:val="231F20"/>
          <w:spacing w:val="-2"/>
        </w:rPr>
        <w:t> </w:t>
      </w:r>
      <w:r>
        <w:rPr>
          <w:color w:val="231F20"/>
        </w:rPr>
        <w:t>желания</w:t>
      </w:r>
      <w:r>
        <w:rPr>
          <w:color w:val="231F20"/>
          <w:spacing w:val="-2"/>
        </w:rPr>
        <w:t> </w:t>
      </w:r>
      <w:r>
        <w:rPr>
          <w:color w:val="231F20"/>
        </w:rPr>
        <w:t>учащихся</w:t>
      </w:r>
      <w:r>
        <w:rPr>
          <w:color w:val="231F20"/>
          <w:spacing w:val="-2"/>
        </w:rPr>
        <w:t> </w:t>
      </w:r>
      <w:r>
        <w:rPr>
          <w:color w:val="231F20"/>
        </w:rPr>
        <w:t>продолжить заниматься этим проектом.</w:t>
      </w:r>
    </w:p>
    <w:p>
      <w:pPr>
        <w:pStyle w:val="BodyText"/>
      </w:pPr>
      <w:r>
        <w:rPr>
          <w:color w:val="231F20"/>
        </w:rPr>
        <w:t>Материал,</w:t>
      </w:r>
      <w:r>
        <w:rPr>
          <w:color w:val="231F20"/>
          <w:spacing w:val="-1"/>
        </w:rPr>
        <w:t> </w:t>
      </w:r>
      <w:r>
        <w:rPr>
          <w:color w:val="231F20"/>
        </w:rPr>
        <w:t>собранный</w:t>
      </w:r>
      <w:r>
        <w:rPr>
          <w:color w:val="231F20"/>
          <w:spacing w:val="-1"/>
        </w:rPr>
        <w:t> </w:t>
      </w:r>
      <w:r>
        <w:rPr>
          <w:color w:val="231F20"/>
        </w:rPr>
        <w:t>участниками</w:t>
      </w:r>
      <w:r>
        <w:rPr>
          <w:color w:val="231F20"/>
          <w:spacing w:val="-1"/>
        </w:rPr>
        <w:t> </w:t>
      </w:r>
      <w:r>
        <w:rPr>
          <w:color w:val="231F20"/>
        </w:rPr>
        <w:t>проекта,</w:t>
      </w:r>
      <w:r>
        <w:rPr>
          <w:color w:val="231F20"/>
          <w:spacing w:val="-1"/>
        </w:rPr>
        <w:t> </w:t>
      </w:r>
      <w:r>
        <w:rPr>
          <w:color w:val="231F20"/>
        </w:rPr>
        <w:t>еще</w:t>
      </w:r>
      <w:r>
        <w:rPr>
          <w:color w:val="231F20"/>
          <w:spacing w:val="-1"/>
        </w:rPr>
        <w:t> </w:t>
      </w:r>
      <w:r>
        <w:rPr>
          <w:color w:val="231F20"/>
        </w:rPr>
        <w:t>долго</w:t>
      </w:r>
      <w:r>
        <w:rPr>
          <w:color w:val="231F20"/>
          <w:spacing w:val="-1"/>
        </w:rPr>
        <w:t> </w:t>
      </w:r>
      <w:r>
        <w:rPr>
          <w:color w:val="231F20"/>
        </w:rPr>
        <w:t>использовался</w:t>
      </w:r>
      <w:r>
        <w:rPr>
          <w:color w:val="231F20"/>
          <w:spacing w:val="-1"/>
        </w:rPr>
        <w:t> </w:t>
      </w:r>
      <w:r>
        <w:rPr>
          <w:color w:val="231F20"/>
        </w:rPr>
        <w:t>учителями школы</w:t>
      </w:r>
      <w:r>
        <w:rPr>
          <w:color w:val="231F20"/>
          <w:spacing w:val="-10"/>
        </w:rPr>
        <w:t> </w:t>
      </w:r>
      <w:r>
        <w:rPr>
          <w:color w:val="231F20"/>
        </w:rPr>
        <w:t>на</w:t>
      </w:r>
      <w:r>
        <w:rPr>
          <w:color w:val="231F20"/>
          <w:spacing w:val="-10"/>
        </w:rPr>
        <w:t> </w:t>
      </w:r>
      <w:r>
        <w:rPr>
          <w:color w:val="231F20"/>
        </w:rPr>
        <w:t>уроках</w:t>
      </w:r>
      <w:r>
        <w:rPr>
          <w:color w:val="231F20"/>
          <w:spacing w:val="-10"/>
        </w:rPr>
        <w:t> </w:t>
      </w:r>
      <w:r>
        <w:rPr>
          <w:color w:val="231F20"/>
        </w:rPr>
        <w:t>истории,</w:t>
      </w:r>
      <w:r>
        <w:rPr>
          <w:color w:val="231F20"/>
          <w:spacing w:val="-10"/>
        </w:rPr>
        <w:t> </w:t>
      </w:r>
      <w:r>
        <w:rPr>
          <w:color w:val="231F20"/>
        </w:rPr>
        <w:t>обществознания,</w:t>
      </w:r>
      <w:r>
        <w:rPr>
          <w:color w:val="231F20"/>
          <w:spacing w:val="-10"/>
        </w:rPr>
        <w:t> </w:t>
      </w:r>
      <w:r>
        <w:rPr>
          <w:color w:val="231F20"/>
        </w:rPr>
        <w:t>географии,</w:t>
      </w:r>
      <w:r>
        <w:rPr>
          <w:color w:val="231F20"/>
          <w:spacing w:val="-10"/>
        </w:rPr>
        <w:t> </w:t>
      </w:r>
      <w:r>
        <w:rPr>
          <w:color w:val="231F20"/>
        </w:rPr>
        <w:t>литературы</w:t>
      </w:r>
      <w:r>
        <w:rPr>
          <w:color w:val="231F20"/>
          <w:spacing w:val="-10"/>
        </w:rPr>
        <w:t> </w:t>
      </w:r>
      <w:r>
        <w:rPr>
          <w:color w:val="231F20"/>
        </w:rPr>
        <w:t>и</w:t>
      </w:r>
      <w:r>
        <w:rPr>
          <w:color w:val="231F20"/>
          <w:spacing w:val="-10"/>
        </w:rPr>
        <w:t> </w:t>
      </w:r>
      <w:r>
        <w:rPr>
          <w:color w:val="231F20"/>
        </w:rPr>
        <w:t>других</w:t>
      </w:r>
      <w:r>
        <w:rPr>
          <w:color w:val="231F20"/>
          <w:spacing w:val="-10"/>
        </w:rPr>
        <w:t> </w:t>
      </w:r>
      <w:r>
        <w:rPr>
          <w:color w:val="231F20"/>
        </w:rPr>
        <w:t>предме- тах для обсуждения с учащимися межпредметных тем:</w:t>
      </w:r>
    </w:p>
    <w:p>
      <w:pPr>
        <w:pStyle w:val="BodyText"/>
      </w:pPr>
      <w:r>
        <w:rPr>
          <w:color w:val="231F20"/>
        </w:rPr>
        <w:t>Почему</w:t>
      </w:r>
      <w:r>
        <w:rPr>
          <w:color w:val="231F20"/>
          <w:spacing w:val="-9"/>
        </w:rPr>
        <w:t> </w:t>
      </w:r>
      <w:r>
        <w:rPr>
          <w:color w:val="231F20"/>
        </w:rPr>
        <w:t>в</w:t>
      </w:r>
      <w:r>
        <w:rPr>
          <w:color w:val="231F20"/>
          <w:spacing w:val="-9"/>
        </w:rPr>
        <w:t> </w:t>
      </w:r>
      <w:r>
        <w:rPr>
          <w:color w:val="231F20"/>
        </w:rPr>
        <w:t>военное</w:t>
      </w:r>
      <w:r>
        <w:rPr>
          <w:color w:val="231F20"/>
          <w:spacing w:val="-9"/>
        </w:rPr>
        <w:t> </w:t>
      </w:r>
      <w:r>
        <w:rPr>
          <w:color w:val="231F20"/>
        </w:rPr>
        <w:t>и</w:t>
      </w:r>
      <w:r>
        <w:rPr>
          <w:color w:val="231F20"/>
          <w:spacing w:val="-9"/>
        </w:rPr>
        <w:t> </w:t>
      </w:r>
      <w:r>
        <w:rPr>
          <w:color w:val="231F20"/>
        </w:rPr>
        <w:t>послевоенное</w:t>
      </w:r>
      <w:r>
        <w:rPr>
          <w:color w:val="231F20"/>
          <w:spacing w:val="-9"/>
        </w:rPr>
        <w:t> </w:t>
      </w:r>
      <w:r>
        <w:rPr>
          <w:color w:val="231F20"/>
        </w:rPr>
        <w:t>время</w:t>
      </w:r>
      <w:r>
        <w:rPr>
          <w:color w:val="231F20"/>
          <w:spacing w:val="-9"/>
        </w:rPr>
        <w:t> </w:t>
      </w:r>
      <w:r>
        <w:rPr>
          <w:color w:val="231F20"/>
        </w:rPr>
        <w:t>многие</w:t>
      </w:r>
      <w:r>
        <w:rPr>
          <w:color w:val="231F20"/>
          <w:spacing w:val="-9"/>
        </w:rPr>
        <w:t> </w:t>
      </w:r>
      <w:r>
        <w:rPr>
          <w:color w:val="231F20"/>
        </w:rPr>
        <w:t>москвичи</w:t>
      </w:r>
      <w:r>
        <w:rPr>
          <w:color w:val="231F20"/>
          <w:spacing w:val="-9"/>
        </w:rPr>
        <w:t> </w:t>
      </w:r>
      <w:r>
        <w:rPr>
          <w:color w:val="231F20"/>
        </w:rPr>
        <w:t>переехали</w:t>
      </w:r>
      <w:r>
        <w:rPr>
          <w:color w:val="231F20"/>
          <w:spacing w:val="-9"/>
        </w:rPr>
        <w:t> </w:t>
      </w:r>
      <w:r>
        <w:rPr>
          <w:color w:val="231F20"/>
        </w:rPr>
        <w:t>жить</w:t>
      </w:r>
      <w:r>
        <w:rPr>
          <w:color w:val="231F20"/>
          <w:spacing w:val="-9"/>
        </w:rPr>
        <w:t> </w:t>
      </w:r>
      <w:r>
        <w:rPr>
          <w:color w:val="231F20"/>
        </w:rPr>
        <w:t>на</w:t>
      </w:r>
      <w:r>
        <w:rPr>
          <w:color w:val="231F20"/>
          <w:spacing w:val="-9"/>
        </w:rPr>
        <w:t> </w:t>
      </w:r>
      <w:r>
        <w:rPr>
          <w:color w:val="231F20"/>
        </w:rPr>
        <w:t>вос- ток – остались на долгие годы на Урале, в Сибири, на Дальнем Востоке?</w:t>
      </w:r>
    </w:p>
    <w:p>
      <w:pPr>
        <w:pStyle w:val="BodyText"/>
        <w:ind w:left="425" w:right="0" w:firstLine="0"/>
      </w:pPr>
      <w:r>
        <w:rPr>
          <w:color w:val="231F20"/>
        </w:rPr>
        <w:t>Почему</w:t>
      </w:r>
      <w:r>
        <w:rPr>
          <w:color w:val="231F20"/>
          <w:spacing w:val="-5"/>
        </w:rPr>
        <w:t> </w:t>
      </w:r>
      <w:r>
        <w:rPr>
          <w:color w:val="231F20"/>
        </w:rPr>
        <w:t>кто-то</w:t>
      </w:r>
      <w:r>
        <w:rPr>
          <w:color w:val="231F20"/>
          <w:spacing w:val="-5"/>
        </w:rPr>
        <w:t> </w:t>
      </w:r>
      <w:r>
        <w:rPr>
          <w:color w:val="231F20"/>
        </w:rPr>
        <w:t>оказался</w:t>
      </w:r>
      <w:r>
        <w:rPr>
          <w:color w:val="231F20"/>
          <w:spacing w:val="-5"/>
        </w:rPr>
        <w:t> </w:t>
      </w:r>
      <w:r>
        <w:rPr>
          <w:color w:val="231F20"/>
        </w:rPr>
        <w:t>в</w:t>
      </w:r>
      <w:r>
        <w:rPr>
          <w:color w:val="231F20"/>
          <w:spacing w:val="-6"/>
        </w:rPr>
        <w:t> </w:t>
      </w:r>
      <w:r>
        <w:rPr>
          <w:color w:val="231F20"/>
        </w:rPr>
        <w:t>Средней</w:t>
      </w:r>
      <w:r>
        <w:rPr>
          <w:color w:val="231F20"/>
          <w:spacing w:val="-5"/>
        </w:rPr>
        <w:t> </w:t>
      </w:r>
      <w:r>
        <w:rPr>
          <w:color w:val="231F20"/>
          <w:spacing w:val="-2"/>
        </w:rPr>
        <w:t>Азии?</w:t>
      </w:r>
    </w:p>
    <w:p>
      <w:pPr>
        <w:pStyle w:val="BodyText"/>
      </w:pPr>
      <w:r>
        <w:rPr>
          <w:color w:val="231F20"/>
        </w:rPr>
        <w:t>Почему большая часть тех семей, которые приехали в Москву в 1960–1970-е го- ды – это люди из деревень и российской глубинки?</w:t>
      </w:r>
    </w:p>
    <w:p>
      <w:pPr>
        <w:pStyle w:val="BodyText"/>
        <w:ind w:left="425" w:right="1277" w:firstLine="0"/>
      </w:pPr>
      <w:r>
        <w:rPr>
          <w:color w:val="231F20"/>
        </w:rPr>
        <w:t>Как</w:t>
      </w:r>
      <w:r>
        <w:rPr>
          <w:color w:val="231F20"/>
          <w:spacing w:val="-7"/>
        </w:rPr>
        <w:t> </w:t>
      </w:r>
      <w:r>
        <w:rPr>
          <w:color w:val="231F20"/>
        </w:rPr>
        <w:t>это</w:t>
      </w:r>
      <w:r>
        <w:rPr>
          <w:color w:val="231F20"/>
          <w:spacing w:val="-7"/>
        </w:rPr>
        <w:t> </w:t>
      </w:r>
      <w:r>
        <w:rPr>
          <w:color w:val="231F20"/>
        </w:rPr>
        <w:t>связано</w:t>
      </w:r>
      <w:r>
        <w:rPr>
          <w:color w:val="231F20"/>
          <w:spacing w:val="-7"/>
        </w:rPr>
        <w:t> </w:t>
      </w:r>
      <w:r>
        <w:rPr>
          <w:color w:val="231F20"/>
        </w:rPr>
        <w:t>с</w:t>
      </w:r>
      <w:r>
        <w:rPr>
          <w:color w:val="231F20"/>
          <w:spacing w:val="-7"/>
        </w:rPr>
        <w:t> </w:t>
      </w:r>
      <w:r>
        <w:rPr>
          <w:color w:val="231F20"/>
        </w:rPr>
        <w:t>историей</w:t>
      </w:r>
      <w:r>
        <w:rPr>
          <w:color w:val="231F20"/>
          <w:spacing w:val="-8"/>
        </w:rPr>
        <w:t> </w:t>
      </w:r>
      <w:r>
        <w:rPr>
          <w:color w:val="231F20"/>
        </w:rPr>
        <w:t>строительства</w:t>
      </w:r>
      <w:r>
        <w:rPr>
          <w:color w:val="231F20"/>
          <w:spacing w:val="-7"/>
        </w:rPr>
        <w:t> </w:t>
      </w:r>
      <w:r>
        <w:rPr>
          <w:color w:val="231F20"/>
        </w:rPr>
        <w:t>Москвы</w:t>
      </w:r>
      <w:r>
        <w:rPr>
          <w:color w:val="231F20"/>
          <w:spacing w:val="-7"/>
        </w:rPr>
        <w:t> </w:t>
      </w:r>
      <w:r>
        <w:rPr>
          <w:color w:val="231F20"/>
        </w:rPr>
        <w:t>и</w:t>
      </w:r>
      <w:r>
        <w:rPr>
          <w:color w:val="231F20"/>
          <w:spacing w:val="-8"/>
        </w:rPr>
        <w:t> </w:t>
      </w:r>
      <w:r>
        <w:rPr>
          <w:color w:val="231F20"/>
        </w:rPr>
        <w:t>ее</w:t>
      </w:r>
      <w:r>
        <w:rPr>
          <w:color w:val="231F20"/>
          <w:spacing w:val="-7"/>
        </w:rPr>
        <w:t> </w:t>
      </w:r>
      <w:r>
        <w:rPr>
          <w:color w:val="231F20"/>
        </w:rPr>
        <w:t>экономикой? Откуда в Москву приехали новые мигранты после 1990-х?</w:t>
      </w:r>
    </w:p>
    <w:p>
      <w:pPr>
        <w:pStyle w:val="BodyText"/>
        <w:spacing w:line="235" w:lineRule="auto"/>
        <w:ind w:right="0"/>
        <w:jc w:val="left"/>
      </w:pPr>
      <w:r>
        <w:rPr>
          <w:color w:val="231F20"/>
        </w:rPr>
        <w:t>Куда</w:t>
      </w:r>
      <w:r>
        <w:rPr>
          <w:color w:val="231F20"/>
          <w:spacing w:val="-5"/>
        </w:rPr>
        <w:t> </w:t>
      </w:r>
      <w:r>
        <w:rPr>
          <w:color w:val="231F20"/>
        </w:rPr>
        <w:t>они</w:t>
      </w:r>
      <w:r>
        <w:rPr>
          <w:color w:val="231F20"/>
          <w:spacing w:val="-5"/>
        </w:rPr>
        <w:t> </w:t>
      </w:r>
      <w:r>
        <w:rPr>
          <w:color w:val="231F20"/>
        </w:rPr>
        <w:t>массово</w:t>
      </w:r>
      <w:r>
        <w:rPr>
          <w:color w:val="231F20"/>
          <w:spacing w:val="-5"/>
        </w:rPr>
        <w:t> </w:t>
      </w:r>
      <w:r>
        <w:rPr>
          <w:color w:val="231F20"/>
        </w:rPr>
        <w:t>уезжали</w:t>
      </w:r>
      <w:r>
        <w:rPr>
          <w:color w:val="231F20"/>
          <w:spacing w:val="-5"/>
        </w:rPr>
        <w:t> </w:t>
      </w:r>
      <w:r>
        <w:rPr>
          <w:color w:val="231F20"/>
        </w:rPr>
        <w:t>в</w:t>
      </w:r>
      <w:r>
        <w:rPr>
          <w:color w:val="231F20"/>
          <w:spacing w:val="-5"/>
        </w:rPr>
        <w:t> </w:t>
      </w:r>
      <w:r>
        <w:rPr>
          <w:color w:val="231F20"/>
        </w:rPr>
        <w:t>это</w:t>
      </w:r>
      <w:r>
        <w:rPr>
          <w:color w:val="231F20"/>
          <w:spacing w:val="-5"/>
        </w:rPr>
        <w:t> </w:t>
      </w:r>
      <w:r>
        <w:rPr>
          <w:color w:val="231F20"/>
        </w:rPr>
        <w:t>же</w:t>
      </w:r>
      <w:r>
        <w:rPr>
          <w:color w:val="231F20"/>
          <w:spacing w:val="-5"/>
        </w:rPr>
        <w:t> </w:t>
      </w:r>
      <w:r>
        <w:rPr>
          <w:color w:val="231F20"/>
        </w:rPr>
        <w:t>время,</w:t>
      </w:r>
      <w:r>
        <w:rPr>
          <w:color w:val="231F20"/>
          <w:spacing w:val="-5"/>
        </w:rPr>
        <w:t> </w:t>
      </w:r>
      <w:r>
        <w:rPr>
          <w:color w:val="231F20"/>
        </w:rPr>
        <w:t>но</w:t>
      </w:r>
      <w:r>
        <w:rPr>
          <w:color w:val="231F20"/>
          <w:spacing w:val="-5"/>
        </w:rPr>
        <w:t> </w:t>
      </w:r>
      <w:r>
        <w:rPr>
          <w:color w:val="231F20"/>
        </w:rPr>
        <w:t>затем,</w:t>
      </w:r>
      <w:r>
        <w:rPr>
          <w:color w:val="231F20"/>
          <w:spacing w:val="-5"/>
        </w:rPr>
        <w:t> </w:t>
      </w:r>
      <w:r>
        <w:rPr>
          <w:color w:val="231F20"/>
        </w:rPr>
        <w:t>в</w:t>
      </w:r>
      <w:r>
        <w:rPr>
          <w:color w:val="231F20"/>
          <w:spacing w:val="-5"/>
        </w:rPr>
        <w:t> </w:t>
      </w:r>
      <w:r>
        <w:rPr>
          <w:color w:val="231F20"/>
        </w:rPr>
        <w:t>середине</w:t>
      </w:r>
      <w:r>
        <w:rPr>
          <w:color w:val="231F20"/>
          <w:spacing w:val="-5"/>
        </w:rPr>
        <w:t> </w:t>
      </w:r>
      <w:r>
        <w:rPr>
          <w:color w:val="231F20"/>
        </w:rPr>
        <w:t>2000-х,</w:t>
      </w:r>
      <w:r>
        <w:rPr>
          <w:color w:val="231F20"/>
          <w:spacing w:val="-5"/>
        </w:rPr>
        <w:t> </w:t>
      </w:r>
      <w:r>
        <w:rPr>
          <w:color w:val="231F20"/>
        </w:rPr>
        <w:t>опять</w:t>
      </w:r>
      <w:r>
        <w:rPr>
          <w:color w:val="231F20"/>
          <w:spacing w:val="-5"/>
        </w:rPr>
        <w:t> </w:t>
      </w:r>
      <w:r>
        <w:rPr>
          <w:color w:val="231F20"/>
        </w:rPr>
        <w:t>вер- </w:t>
      </w:r>
      <w:r>
        <w:rPr>
          <w:color w:val="231F20"/>
          <w:spacing w:val="-2"/>
        </w:rPr>
        <w:t>нулись?</w:t>
      </w:r>
    </w:p>
    <w:p>
      <w:pPr>
        <w:pStyle w:val="BodyText"/>
        <w:spacing w:line="235" w:lineRule="auto"/>
        <w:ind w:right="0"/>
        <w:jc w:val="left"/>
      </w:pPr>
      <w:r>
        <w:rPr>
          <w:color w:val="231F20"/>
        </w:rPr>
        <w:t>На уроках обществознания учителя обсуждали с учащимися более сложные во- </w:t>
      </w:r>
      <w:r>
        <w:rPr>
          <w:color w:val="231F20"/>
          <w:spacing w:val="-2"/>
        </w:rPr>
        <w:t>просы:</w:t>
      </w:r>
    </w:p>
    <w:p>
      <w:pPr>
        <w:pStyle w:val="BodyText"/>
        <w:spacing w:line="225" w:lineRule="exact"/>
        <w:ind w:left="425" w:right="0" w:firstLine="0"/>
        <w:jc w:val="left"/>
      </w:pPr>
      <w:r>
        <w:rPr>
          <w:color w:val="231F20"/>
        </w:rPr>
        <w:t>Какие</w:t>
      </w:r>
      <w:r>
        <w:rPr>
          <w:color w:val="231F20"/>
          <w:spacing w:val="-3"/>
        </w:rPr>
        <w:t> </w:t>
      </w:r>
      <w:r>
        <w:rPr>
          <w:color w:val="231F20"/>
        </w:rPr>
        <w:t>права</w:t>
      </w:r>
      <w:r>
        <w:rPr>
          <w:color w:val="231F20"/>
          <w:spacing w:val="-3"/>
        </w:rPr>
        <w:t> </w:t>
      </w:r>
      <w:r>
        <w:rPr>
          <w:color w:val="231F20"/>
        </w:rPr>
        <w:t>у</w:t>
      </w:r>
      <w:r>
        <w:rPr>
          <w:color w:val="231F20"/>
          <w:spacing w:val="-3"/>
        </w:rPr>
        <w:t> </w:t>
      </w:r>
      <w:r>
        <w:rPr>
          <w:color w:val="231F20"/>
          <w:spacing w:val="-2"/>
        </w:rPr>
        <w:t>мигрантов?</w:t>
      </w:r>
    </w:p>
    <w:p>
      <w:pPr>
        <w:pStyle w:val="BodyText"/>
        <w:spacing w:line="235" w:lineRule="auto" w:before="2"/>
        <w:ind w:left="425" w:right="486" w:firstLine="0"/>
        <w:jc w:val="left"/>
      </w:pPr>
      <w:r>
        <w:rPr>
          <w:color w:val="231F20"/>
        </w:rPr>
        <w:t>Чем</w:t>
      </w:r>
      <w:r>
        <w:rPr>
          <w:color w:val="231F20"/>
          <w:spacing w:val="-5"/>
        </w:rPr>
        <w:t> </w:t>
      </w:r>
      <w:r>
        <w:rPr>
          <w:color w:val="231F20"/>
        </w:rPr>
        <w:t>отличается</w:t>
      </w:r>
      <w:r>
        <w:rPr>
          <w:color w:val="231F20"/>
          <w:spacing w:val="-5"/>
        </w:rPr>
        <w:t> </w:t>
      </w:r>
      <w:r>
        <w:rPr>
          <w:color w:val="231F20"/>
        </w:rPr>
        <w:t>вид</w:t>
      </w:r>
      <w:r>
        <w:rPr>
          <w:color w:val="231F20"/>
          <w:spacing w:val="-6"/>
        </w:rPr>
        <w:t> </w:t>
      </w:r>
      <w:r>
        <w:rPr>
          <w:color w:val="231F20"/>
        </w:rPr>
        <w:t>на</w:t>
      </w:r>
      <w:r>
        <w:rPr>
          <w:color w:val="231F20"/>
          <w:spacing w:val="-5"/>
        </w:rPr>
        <w:t> </w:t>
      </w:r>
      <w:r>
        <w:rPr>
          <w:color w:val="231F20"/>
        </w:rPr>
        <w:t>жительство,</w:t>
      </w:r>
      <w:r>
        <w:rPr>
          <w:color w:val="231F20"/>
          <w:spacing w:val="-5"/>
        </w:rPr>
        <w:t> </w:t>
      </w:r>
      <w:r>
        <w:rPr>
          <w:color w:val="231F20"/>
        </w:rPr>
        <w:t>разрешение</w:t>
      </w:r>
      <w:r>
        <w:rPr>
          <w:color w:val="231F20"/>
          <w:spacing w:val="-6"/>
        </w:rPr>
        <w:t> </w:t>
      </w:r>
      <w:r>
        <w:rPr>
          <w:color w:val="231F20"/>
        </w:rPr>
        <w:t>на</w:t>
      </w:r>
      <w:r>
        <w:rPr>
          <w:color w:val="231F20"/>
          <w:spacing w:val="-5"/>
        </w:rPr>
        <w:t> </w:t>
      </w:r>
      <w:r>
        <w:rPr>
          <w:color w:val="231F20"/>
        </w:rPr>
        <w:t>работу</w:t>
      </w:r>
      <w:r>
        <w:rPr>
          <w:color w:val="231F20"/>
          <w:spacing w:val="-5"/>
        </w:rPr>
        <w:t> </w:t>
      </w:r>
      <w:r>
        <w:rPr>
          <w:color w:val="231F20"/>
        </w:rPr>
        <w:t>от</w:t>
      </w:r>
      <w:r>
        <w:rPr>
          <w:color w:val="231F20"/>
          <w:spacing w:val="-6"/>
        </w:rPr>
        <w:t> </w:t>
      </w:r>
      <w:r>
        <w:rPr>
          <w:color w:val="231F20"/>
        </w:rPr>
        <w:t>гражданства? Кто разрешения выдает?</w:t>
      </w:r>
    </w:p>
    <w:p>
      <w:pPr>
        <w:pStyle w:val="BodyText"/>
        <w:spacing w:after="0" w:line="235" w:lineRule="auto"/>
        <w:jc w:val="left"/>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left="425" w:right="1139" w:firstLine="0"/>
        <w:jc w:val="left"/>
      </w:pPr>
      <w:r>
        <w:rPr>
          <w:color w:val="231F20"/>
        </w:rPr>
        <w:t>Какие</w:t>
      </w:r>
      <w:r>
        <w:rPr>
          <w:color w:val="231F20"/>
          <w:spacing w:val="-9"/>
        </w:rPr>
        <w:t> </w:t>
      </w:r>
      <w:r>
        <w:rPr>
          <w:color w:val="231F20"/>
        </w:rPr>
        <w:t>нормативные</w:t>
      </w:r>
      <w:r>
        <w:rPr>
          <w:color w:val="231F20"/>
          <w:spacing w:val="-9"/>
        </w:rPr>
        <w:t> </w:t>
      </w:r>
      <w:r>
        <w:rPr>
          <w:color w:val="231F20"/>
        </w:rPr>
        <w:t>документы</w:t>
      </w:r>
      <w:r>
        <w:rPr>
          <w:color w:val="231F20"/>
          <w:spacing w:val="-9"/>
        </w:rPr>
        <w:t> </w:t>
      </w:r>
      <w:r>
        <w:rPr>
          <w:color w:val="231F20"/>
        </w:rPr>
        <w:t>защищают</w:t>
      </w:r>
      <w:r>
        <w:rPr>
          <w:color w:val="231F20"/>
          <w:spacing w:val="-9"/>
        </w:rPr>
        <w:t> </w:t>
      </w:r>
      <w:r>
        <w:rPr>
          <w:color w:val="231F20"/>
        </w:rPr>
        <w:t>права</w:t>
      </w:r>
      <w:r>
        <w:rPr>
          <w:color w:val="231F20"/>
          <w:spacing w:val="-9"/>
        </w:rPr>
        <w:t> </w:t>
      </w:r>
      <w:r>
        <w:rPr>
          <w:color w:val="231F20"/>
        </w:rPr>
        <w:t>детей</w:t>
      </w:r>
      <w:r>
        <w:rPr>
          <w:color w:val="231F20"/>
          <w:spacing w:val="-10"/>
        </w:rPr>
        <w:t> </w:t>
      </w:r>
      <w:r>
        <w:rPr>
          <w:color w:val="231F20"/>
        </w:rPr>
        <w:t>мигрантов? Что такое ксенофобия и разжигание национальной розни?</w:t>
      </w:r>
    </w:p>
    <w:p>
      <w:pPr>
        <w:spacing w:before="111"/>
        <w:ind w:left="425" w:right="0" w:firstLine="0"/>
        <w:jc w:val="left"/>
        <w:rPr>
          <w:b/>
          <w:sz w:val="20"/>
        </w:rPr>
      </w:pPr>
      <w:r>
        <w:rPr>
          <w:b/>
          <w:color w:val="231F20"/>
          <w:spacing w:val="-2"/>
          <w:sz w:val="20"/>
        </w:rPr>
        <w:t>Заключение</w:t>
      </w:r>
    </w:p>
    <w:p>
      <w:pPr>
        <w:pStyle w:val="BodyText"/>
        <w:spacing w:line="235" w:lineRule="auto"/>
        <w:ind w:right="140"/>
      </w:pPr>
      <w:r>
        <w:rPr>
          <w:color w:val="231F20"/>
        </w:rPr>
        <w:t>В заключение отметим, что для успешного проведения аналогичного школьного проекта в школе нужно учесть следующее:</w:t>
      </w:r>
    </w:p>
    <w:p>
      <w:pPr>
        <w:pStyle w:val="ListParagraph"/>
        <w:numPr>
          <w:ilvl w:val="0"/>
          <w:numId w:val="166"/>
        </w:numPr>
        <w:tabs>
          <w:tab w:pos="423" w:val="left" w:leader="none"/>
          <w:tab w:pos="425" w:val="left" w:leader="none"/>
        </w:tabs>
        <w:spacing w:line="235" w:lineRule="auto" w:before="1" w:after="0"/>
        <w:ind w:left="425" w:right="139" w:hanging="284"/>
        <w:jc w:val="both"/>
        <w:rPr>
          <w:sz w:val="20"/>
        </w:rPr>
      </w:pPr>
      <w:r>
        <w:rPr>
          <w:spacing w:val="-2"/>
          <w:sz w:val="20"/>
        </w:rPr>
        <w:t>Учителя</w:t>
      </w:r>
      <w:r>
        <w:rPr>
          <w:spacing w:val="-4"/>
          <w:sz w:val="20"/>
        </w:rPr>
        <w:t> </w:t>
      </w:r>
      <w:r>
        <w:rPr>
          <w:spacing w:val="-2"/>
          <w:sz w:val="20"/>
        </w:rPr>
        <w:t>школы</w:t>
      </w:r>
      <w:r>
        <w:rPr>
          <w:spacing w:val="-4"/>
          <w:sz w:val="20"/>
        </w:rPr>
        <w:t> </w:t>
      </w:r>
      <w:r>
        <w:rPr>
          <w:spacing w:val="-2"/>
          <w:sz w:val="20"/>
        </w:rPr>
        <w:t>должны</w:t>
      </w:r>
      <w:r>
        <w:rPr>
          <w:spacing w:val="-4"/>
          <w:sz w:val="20"/>
        </w:rPr>
        <w:t> </w:t>
      </w:r>
      <w:r>
        <w:rPr>
          <w:spacing w:val="-2"/>
          <w:sz w:val="20"/>
        </w:rPr>
        <w:t>хорошо</w:t>
      </w:r>
      <w:r>
        <w:rPr>
          <w:spacing w:val="-4"/>
          <w:sz w:val="20"/>
        </w:rPr>
        <w:t> </w:t>
      </w:r>
      <w:r>
        <w:rPr>
          <w:spacing w:val="-2"/>
          <w:sz w:val="20"/>
        </w:rPr>
        <w:t>понимать,</w:t>
      </w:r>
      <w:r>
        <w:rPr>
          <w:spacing w:val="-4"/>
          <w:sz w:val="20"/>
        </w:rPr>
        <w:t> </w:t>
      </w:r>
      <w:r>
        <w:rPr>
          <w:spacing w:val="-2"/>
          <w:sz w:val="20"/>
        </w:rPr>
        <w:t>что</w:t>
      </w:r>
      <w:r>
        <w:rPr>
          <w:spacing w:val="-4"/>
          <w:sz w:val="20"/>
        </w:rPr>
        <w:t> </w:t>
      </w:r>
      <w:r>
        <w:rPr>
          <w:spacing w:val="-2"/>
          <w:sz w:val="20"/>
        </w:rPr>
        <w:t>такое</w:t>
      </w:r>
      <w:r>
        <w:rPr>
          <w:spacing w:val="-4"/>
          <w:sz w:val="20"/>
        </w:rPr>
        <w:t> </w:t>
      </w:r>
      <w:r>
        <w:rPr>
          <w:spacing w:val="-2"/>
          <w:sz w:val="20"/>
        </w:rPr>
        <w:t>общешкольный</w:t>
      </w:r>
      <w:r>
        <w:rPr>
          <w:spacing w:val="-4"/>
          <w:sz w:val="20"/>
        </w:rPr>
        <w:t> </w:t>
      </w:r>
      <w:r>
        <w:rPr>
          <w:spacing w:val="-2"/>
          <w:sz w:val="20"/>
        </w:rPr>
        <w:t>проект</w:t>
      </w:r>
      <w:r>
        <w:rPr>
          <w:spacing w:val="-4"/>
          <w:sz w:val="20"/>
        </w:rPr>
        <w:t> </w:t>
      </w:r>
      <w:r>
        <w:rPr>
          <w:spacing w:val="-2"/>
          <w:sz w:val="20"/>
        </w:rPr>
        <w:t>и</w:t>
      </w:r>
      <w:r>
        <w:rPr>
          <w:spacing w:val="-4"/>
          <w:sz w:val="20"/>
        </w:rPr>
        <w:t> </w:t>
      </w:r>
      <w:r>
        <w:rPr>
          <w:spacing w:val="-2"/>
          <w:sz w:val="20"/>
        </w:rPr>
        <w:t>раз- </w:t>
      </w:r>
      <w:r>
        <w:rPr>
          <w:sz w:val="20"/>
        </w:rPr>
        <w:t>бираться в методике проектной деятельности.</w:t>
      </w:r>
    </w:p>
    <w:p>
      <w:pPr>
        <w:pStyle w:val="ListParagraph"/>
        <w:numPr>
          <w:ilvl w:val="0"/>
          <w:numId w:val="166"/>
        </w:numPr>
        <w:tabs>
          <w:tab w:pos="423" w:val="left" w:leader="none"/>
          <w:tab w:pos="425" w:val="left" w:leader="none"/>
        </w:tabs>
        <w:spacing w:line="235" w:lineRule="auto" w:before="1" w:after="0"/>
        <w:ind w:left="425" w:right="139" w:hanging="284"/>
        <w:jc w:val="both"/>
        <w:rPr>
          <w:sz w:val="20"/>
        </w:rPr>
      </w:pPr>
      <w:r>
        <w:rPr>
          <w:sz w:val="20"/>
        </w:rPr>
        <w:t>Общешкольный</w:t>
      </w:r>
      <w:r>
        <w:rPr>
          <w:spacing w:val="-13"/>
          <w:sz w:val="20"/>
        </w:rPr>
        <w:t> </w:t>
      </w:r>
      <w:r>
        <w:rPr>
          <w:sz w:val="20"/>
        </w:rPr>
        <w:t>проект</w:t>
      </w:r>
      <w:r>
        <w:rPr>
          <w:spacing w:val="-12"/>
          <w:sz w:val="20"/>
        </w:rPr>
        <w:t> </w:t>
      </w:r>
      <w:r>
        <w:rPr>
          <w:sz w:val="20"/>
        </w:rPr>
        <w:t>возможен</w:t>
      </w:r>
      <w:r>
        <w:rPr>
          <w:spacing w:val="-13"/>
          <w:sz w:val="20"/>
        </w:rPr>
        <w:t> </w:t>
      </w:r>
      <w:r>
        <w:rPr>
          <w:sz w:val="20"/>
        </w:rPr>
        <w:t>только</w:t>
      </w:r>
      <w:r>
        <w:rPr>
          <w:spacing w:val="-12"/>
          <w:sz w:val="20"/>
        </w:rPr>
        <w:t> </w:t>
      </w:r>
      <w:r>
        <w:rPr>
          <w:sz w:val="20"/>
        </w:rPr>
        <w:t>в</w:t>
      </w:r>
      <w:r>
        <w:rPr>
          <w:spacing w:val="-13"/>
          <w:sz w:val="20"/>
        </w:rPr>
        <w:t> </w:t>
      </w:r>
      <w:r>
        <w:rPr>
          <w:sz w:val="20"/>
        </w:rPr>
        <w:t>формате</w:t>
      </w:r>
      <w:r>
        <w:rPr>
          <w:spacing w:val="-12"/>
          <w:sz w:val="20"/>
        </w:rPr>
        <w:t> </w:t>
      </w:r>
      <w:r>
        <w:rPr>
          <w:sz w:val="20"/>
        </w:rPr>
        <w:t>коллективного</w:t>
      </w:r>
      <w:r>
        <w:rPr>
          <w:spacing w:val="-13"/>
          <w:sz w:val="20"/>
        </w:rPr>
        <w:t> </w:t>
      </w:r>
      <w:r>
        <w:rPr>
          <w:sz w:val="20"/>
        </w:rPr>
        <w:t>усилия</w:t>
      </w:r>
      <w:r>
        <w:rPr>
          <w:spacing w:val="-12"/>
          <w:sz w:val="20"/>
        </w:rPr>
        <w:t> </w:t>
      </w:r>
      <w:r>
        <w:rPr>
          <w:sz w:val="20"/>
        </w:rPr>
        <w:t>и</w:t>
      </w:r>
      <w:r>
        <w:rPr>
          <w:spacing w:val="-13"/>
          <w:sz w:val="20"/>
        </w:rPr>
        <w:t> </w:t>
      </w:r>
      <w:r>
        <w:rPr>
          <w:sz w:val="20"/>
        </w:rPr>
        <w:t>нали- чия общего интереса и целей у организаторов и координаторов проекта.</w:t>
      </w:r>
    </w:p>
    <w:p>
      <w:pPr>
        <w:pStyle w:val="ListParagraph"/>
        <w:numPr>
          <w:ilvl w:val="0"/>
          <w:numId w:val="166"/>
        </w:numPr>
        <w:tabs>
          <w:tab w:pos="423" w:val="left" w:leader="none"/>
          <w:tab w:pos="425" w:val="left" w:leader="none"/>
        </w:tabs>
        <w:spacing w:line="235" w:lineRule="auto" w:before="1" w:after="0"/>
        <w:ind w:left="425" w:right="139" w:hanging="284"/>
        <w:jc w:val="both"/>
        <w:rPr>
          <w:sz w:val="20"/>
        </w:rPr>
      </w:pPr>
      <w:r>
        <w:rPr>
          <w:sz w:val="20"/>
        </w:rPr>
        <w:t>Методобъединения должны интегрировать работу над проектом в свои планы и учебные программы.</w:t>
      </w:r>
    </w:p>
    <w:p>
      <w:pPr>
        <w:pStyle w:val="ListParagraph"/>
        <w:numPr>
          <w:ilvl w:val="0"/>
          <w:numId w:val="166"/>
        </w:numPr>
        <w:tabs>
          <w:tab w:pos="423" w:val="left" w:leader="none"/>
          <w:tab w:pos="425" w:val="left" w:leader="none"/>
        </w:tabs>
        <w:spacing w:line="235" w:lineRule="auto" w:before="1" w:after="0"/>
        <w:ind w:left="425" w:right="139" w:hanging="284"/>
        <w:jc w:val="both"/>
        <w:rPr>
          <w:sz w:val="20"/>
        </w:rPr>
      </w:pPr>
      <w:r>
        <w:rPr>
          <w:spacing w:val="-2"/>
          <w:sz w:val="20"/>
        </w:rPr>
        <w:t>Учителя должны научить учащихся основам проведения исследований (например, </w:t>
      </w:r>
      <w:r>
        <w:rPr>
          <w:sz w:val="20"/>
        </w:rPr>
        <w:t>в</w:t>
      </w:r>
      <w:r>
        <w:rPr>
          <w:spacing w:val="-6"/>
          <w:sz w:val="20"/>
        </w:rPr>
        <w:t> </w:t>
      </w:r>
      <w:r>
        <w:rPr>
          <w:sz w:val="20"/>
        </w:rPr>
        <w:t>данном</w:t>
      </w:r>
      <w:r>
        <w:rPr>
          <w:spacing w:val="-6"/>
          <w:sz w:val="20"/>
        </w:rPr>
        <w:t> </w:t>
      </w:r>
      <w:r>
        <w:rPr>
          <w:sz w:val="20"/>
        </w:rPr>
        <w:t>случае</w:t>
      </w:r>
      <w:r>
        <w:rPr>
          <w:spacing w:val="-6"/>
          <w:sz w:val="20"/>
        </w:rPr>
        <w:t> </w:t>
      </w:r>
      <w:r>
        <w:rPr>
          <w:sz w:val="20"/>
        </w:rPr>
        <w:t>–</w:t>
      </w:r>
      <w:r>
        <w:rPr>
          <w:spacing w:val="-6"/>
          <w:sz w:val="20"/>
        </w:rPr>
        <w:t> </w:t>
      </w:r>
      <w:r>
        <w:rPr>
          <w:sz w:val="20"/>
        </w:rPr>
        <w:t>методам</w:t>
      </w:r>
      <w:r>
        <w:rPr>
          <w:spacing w:val="-6"/>
          <w:sz w:val="20"/>
        </w:rPr>
        <w:t> </w:t>
      </w:r>
      <w:r>
        <w:rPr>
          <w:sz w:val="20"/>
        </w:rPr>
        <w:t>статистического</w:t>
      </w:r>
      <w:r>
        <w:rPr>
          <w:spacing w:val="-6"/>
          <w:sz w:val="20"/>
        </w:rPr>
        <w:t> </w:t>
      </w:r>
      <w:r>
        <w:rPr>
          <w:sz w:val="20"/>
        </w:rPr>
        <w:t>анализа,</w:t>
      </w:r>
      <w:r>
        <w:rPr>
          <w:spacing w:val="-6"/>
          <w:sz w:val="20"/>
        </w:rPr>
        <w:t> </w:t>
      </w:r>
      <w:r>
        <w:rPr>
          <w:sz w:val="20"/>
        </w:rPr>
        <w:t>картирования</w:t>
      </w:r>
      <w:r>
        <w:rPr>
          <w:spacing w:val="-6"/>
          <w:sz w:val="20"/>
        </w:rPr>
        <w:t> </w:t>
      </w:r>
      <w:r>
        <w:rPr>
          <w:sz w:val="20"/>
        </w:rPr>
        <w:t>данных</w:t>
      </w:r>
      <w:r>
        <w:rPr>
          <w:spacing w:val="-6"/>
          <w:sz w:val="20"/>
        </w:rPr>
        <w:t> </w:t>
      </w:r>
      <w:r>
        <w:rPr>
          <w:sz w:val="20"/>
        </w:rPr>
        <w:t>и</w:t>
      </w:r>
      <w:r>
        <w:rPr>
          <w:spacing w:val="-6"/>
          <w:sz w:val="20"/>
        </w:rPr>
        <w:t> </w:t>
      </w:r>
      <w:r>
        <w:rPr>
          <w:sz w:val="20"/>
        </w:rPr>
        <w:t>др.).</w:t>
      </w:r>
    </w:p>
    <w:p>
      <w:pPr>
        <w:pStyle w:val="ListParagraph"/>
        <w:numPr>
          <w:ilvl w:val="0"/>
          <w:numId w:val="166"/>
        </w:numPr>
        <w:tabs>
          <w:tab w:pos="423" w:val="left" w:leader="none"/>
          <w:tab w:pos="425" w:val="left" w:leader="none"/>
        </w:tabs>
        <w:spacing w:line="235" w:lineRule="auto" w:before="2" w:after="0"/>
        <w:ind w:left="425" w:right="139" w:hanging="284"/>
        <w:jc w:val="both"/>
        <w:rPr>
          <w:sz w:val="20"/>
        </w:rPr>
      </w:pPr>
      <w:r>
        <w:rPr>
          <w:sz w:val="20"/>
        </w:rPr>
        <w:t>К работе над общешкольным проектом нужно привлекать родителей и других представителей общественности (например, организации города, заинтересован- ные в результатах проекта).</w:t>
      </w:r>
    </w:p>
    <w:p>
      <w:pPr>
        <w:pStyle w:val="BodyText"/>
        <w:spacing w:line="228" w:lineRule="exact" w:before="54"/>
        <w:ind w:left="425" w:right="0" w:firstLine="0"/>
      </w:pPr>
      <w:r>
        <w:rPr>
          <w:color w:val="231F20"/>
        </w:rPr>
        <w:t>Результаты</w:t>
      </w:r>
      <w:r>
        <w:rPr>
          <w:color w:val="231F20"/>
          <w:spacing w:val="-15"/>
        </w:rPr>
        <w:t> </w:t>
      </w:r>
      <w:r>
        <w:rPr>
          <w:color w:val="231F20"/>
        </w:rPr>
        <w:t>подобного</w:t>
      </w:r>
      <w:r>
        <w:rPr>
          <w:color w:val="231F20"/>
          <w:spacing w:val="-12"/>
        </w:rPr>
        <w:t> </w:t>
      </w:r>
      <w:r>
        <w:rPr>
          <w:color w:val="231F20"/>
        </w:rPr>
        <w:t>проекта</w:t>
      </w:r>
      <w:r>
        <w:rPr>
          <w:color w:val="231F20"/>
          <w:spacing w:val="-12"/>
        </w:rPr>
        <w:t> </w:t>
      </w:r>
      <w:r>
        <w:rPr>
          <w:color w:val="231F20"/>
        </w:rPr>
        <w:t>будут</w:t>
      </w:r>
      <w:r>
        <w:rPr>
          <w:color w:val="231F20"/>
          <w:spacing w:val="-12"/>
        </w:rPr>
        <w:t> </w:t>
      </w:r>
      <w:r>
        <w:rPr>
          <w:color w:val="231F20"/>
        </w:rPr>
        <w:t>достигнуты,</w:t>
      </w:r>
      <w:r>
        <w:rPr>
          <w:color w:val="231F20"/>
          <w:spacing w:val="-12"/>
        </w:rPr>
        <w:t> </w:t>
      </w:r>
      <w:r>
        <w:rPr>
          <w:color w:val="231F20"/>
          <w:spacing w:val="-2"/>
        </w:rPr>
        <w:t>если:</w:t>
      </w:r>
    </w:p>
    <w:p>
      <w:pPr>
        <w:pStyle w:val="ListParagraph"/>
        <w:numPr>
          <w:ilvl w:val="0"/>
          <w:numId w:val="166"/>
        </w:numPr>
        <w:tabs>
          <w:tab w:pos="423" w:val="left" w:leader="none"/>
          <w:tab w:pos="425" w:val="left" w:leader="none"/>
        </w:tabs>
        <w:spacing w:line="235" w:lineRule="auto" w:before="2" w:after="0"/>
        <w:ind w:left="425" w:right="139" w:hanging="284"/>
        <w:jc w:val="both"/>
        <w:rPr>
          <w:sz w:val="20"/>
        </w:rPr>
      </w:pPr>
      <w:r>
        <w:rPr>
          <w:sz w:val="20"/>
        </w:rPr>
        <w:t>Психологи и классные руководители зафиксируют снижение количества кон- фликтных</w:t>
      </w:r>
      <w:r>
        <w:rPr>
          <w:spacing w:val="-3"/>
          <w:sz w:val="20"/>
        </w:rPr>
        <w:t> </w:t>
      </w:r>
      <w:r>
        <w:rPr>
          <w:sz w:val="20"/>
        </w:rPr>
        <w:t>ситуаций</w:t>
      </w:r>
      <w:r>
        <w:rPr>
          <w:spacing w:val="-3"/>
          <w:sz w:val="20"/>
        </w:rPr>
        <w:t> </w:t>
      </w:r>
      <w:r>
        <w:rPr>
          <w:sz w:val="20"/>
        </w:rPr>
        <w:t>на</w:t>
      </w:r>
      <w:r>
        <w:rPr>
          <w:spacing w:val="-3"/>
          <w:sz w:val="20"/>
        </w:rPr>
        <w:t> </w:t>
      </w:r>
      <w:r>
        <w:rPr>
          <w:sz w:val="20"/>
        </w:rPr>
        <w:t>почве</w:t>
      </w:r>
      <w:r>
        <w:rPr>
          <w:spacing w:val="-3"/>
          <w:sz w:val="20"/>
        </w:rPr>
        <w:t> </w:t>
      </w:r>
      <w:r>
        <w:rPr>
          <w:sz w:val="20"/>
        </w:rPr>
        <w:t>ксенофобии</w:t>
      </w:r>
      <w:r>
        <w:rPr>
          <w:spacing w:val="-3"/>
          <w:sz w:val="20"/>
        </w:rPr>
        <w:t> </w:t>
      </w:r>
      <w:r>
        <w:rPr>
          <w:sz w:val="20"/>
        </w:rPr>
        <w:t>и</w:t>
      </w:r>
      <w:r>
        <w:rPr>
          <w:spacing w:val="-3"/>
          <w:sz w:val="20"/>
        </w:rPr>
        <w:t> </w:t>
      </w:r>
      <w:r>
        <w:rPr>
          <w:sz w:val="20"/>
        </w:rPr>
        <w:t>формирование</w:t>
      </w:r>
      <w:r>
        <w:rPr>
          <w:spacing w:val="-3"/>
          <w:sz w:val="20"/>
        </w:rPr>
        <w:t> </w:t>
      </w:r>
      <w:r>
        <w:rPr>
          <w:sz w:val="20"/>
        </w:rPr>
        <w:t>культуры</w:t>
      </w:r>
      <w:r>
        <w:rPr>
          <w:spacing w:val="-3"/>
          <w:sz w:val="20"/>
        </w:rPr>
        <w:t> </w:t>
      </w:r>
      <w:r>
        <w:rPr>
          <w:sz w:val="20"/>
        </w:rPr>
        <w:t>толерантно- сти в условиях безопасной для всех учащихся образовательной среды.</w:t>
      </w:r>
    </w:p>
    <w:p>
      <w:pPr>
        <w:pStyle w:val="ListParagraph"/>
        <w:numPr>
          <w:ilvl w:val="0"/>
          <w:numId w:val="166"/>
        </w:numPr>
        <w:tabs>
          <w:tab w:pos="423" w:val="left" w:leader="none"/>
          <w:tab w:pos="425" w:val="left" w:leader="none"/>
        </w:tabs>
        <w:spacing w:line="235" w:lineRule="auto" w:before="2" w:after="0"/>
        <w:ind w:left="425" w:right="139" w:hanging="284"/>
        <w:jc w:val="both"/>
        <w:rPr>
          <w:sz w:val="20"/>
        </w:rPr>
      </w:pPr>
      <w:r>
        <w:rPr>
          <w:sz w:val="20"/>
        </w:rPr>
        <w:t>Учителя смогут в дальнейшем использовать материалы, собранные в процессе выполнения</w:t>
      </w:r>
      <w:r>
        <w:rPr>
          <w:spacing w:val="-9"/>
          <w:sz w:val="20"/>
        </w:rPr>
        <w:t> </w:t>
      </w:r>
      <w:r>
        <w:rPr>
          <w:sz w:val="20"/>
        </w:rPr>
        <w:t>общешкольного</w:t>
      </w:r>
      <w:r>
        <w:rPr>
          <w:spacing w:val="-9"/>
          <w:sz w:val="20"/>
        </w:rPr>
        <w:t> </w:t>
      </w:r>
      <w:r>
        <w:rPr>
          <w:sz w:val="20"/>
        </w:rPr>
        <w:t>проекта,</w:t>
      </w:r>
      <w:r>
        <w:rPr>
          <w:spacing w:val="-9"/>
          <w:sz w:val="20"/>
        </w:rPr>
        <w:t> </w:t>
      </w:r>
      <w:r>
        <w:rPr>
          <w:sz w:val="20"/>
        </w:rPr>
        <w:t>на</w:t>
      </w:r>
      <w:r>
        <w:rPr>
          <w:spacing w:val="-9"/>
          <w:sz w:val="20"/>
        </w:rPr>
        <w:t> </w:t>
      </w:r>
      <w:r>
        <w:rPr>
          <w:sz w:val="20"/>
        </w:rPr>
        <w:t>своих</w:t>
      </w:r>
      <w:r>
        <w:rPr>
          <w:spacing w:val="-9"/>
          <w:sz w:val="20"/>
        </w:rPr>
        <w:t> </w:t>
      </w:r>
      <w:r>
        <w:rPr>
          <w:sz w:val="20"/>
        </w:rPr>
        <w:t>уроках</w:t>
      </w:r>
      <w:r>
        <w:rPr>
          <w:spacing w:val="-9"/>
          <w:sz w:val="20"/>
        </w:rPr>
        <w:t> </w:t>
      </w:r>
      <w:r>
        <w:rPr>
          <w:sz w:val="20"/>
        </w:rPr>
        <w:t>в</w:t>
      </w:r>
      <w:r>
        <w:rPr>
          <w:spacing w:val="-9"/>
          <w:sz w:val="20"/>
        </w:rPr>
        <w:t> </w:t>
      </w:r>
      <w:r>
        <w:rPr>
          <w:sz w:val="20"/>
        </w:rPr>
        <w:t>качестве</w:t>
      </w:r>
      <w:r>
        <w:rPr>
          <w:spacing w:val="-9"/>
          <w:sz w:val="20"/>
        </w:rPr>
        <w:t> </w:t>
      </w:r>
      <w:r>
        <w:rPr>
          <w:sz w:val="20"/>
        </w:rPr>
        <w:t>иллюстративно- го или дополнительного материала, материала для проектной работы и пр.</w:t>
      </w:r>
    </w:p>
    <w:p>
      <w:pPr>
        <w:pStyle w:val="ListParagraph"/>
        <w:numPr>
          <w:ilvl w:val="0"/>
          <w:numId w:val="166"/>
        </w:numPr>
        <w:tabs>
          <w:tab w:pos="423" w:val="left" w:leader="none"/>
          <w:tab w:pos="425" w:val="left" w:leader="none"/>
        </w:tabs>
        <w:spacing w:line="235" w:lineRule="auto" w:before="2" w:after="0"/>
        <w:ind w:left="425" w:right="139" w:hanging="284"/>
        <w:jc w:val="both"/>
        <w:rPr>
          <w:sz w:val="20"/>
        </w:rPr>
      </w:pPr>
      <w:r>
        <w:rPr>
          <w:sz w:val="20"/>
        </w:rPr>
        <w:t>Вопросы,</w:t>
      </w:r>
      <w:r>
        <w:rPr>
          <w:spacing w:val="-4"/>
          <w:sz w:val="20"/>
        </w:rPr>
        <w:t> </w:t>
      </w:r>
      <w:r>
        <w:rPr>
          <w:sz w:val="20"/>
        </w:rPr>
        <w:t>проработанные</w:t>
      </w:r>
      <w:r>
        <w:rPr>
          <w:spacing w:val="-4"/>
          <w:sz w:val="20"/>
        </w:rPr>
        <w:t> </w:t>
      </w:r>
      <w:r>
        <w:rPr>
          <w:sz w:val="20"/>
        </w:rPr>
        <w:t>в</w:t>
      </w:r>
      <w:r>
        <w:rPr>
          <w:spacing w:val="-4"/>
          <w:sz w:val="20"/>
        </w:rPr>
        <w:t> </w:t>
      </w:r>
      <w:r>
        <w:rPr>
          <w:sz w:val="20"/>
        </w:rPr>
        <w:t>рамках</w:t>
      </w:r>
      <w:r>
        <w:rPr>
          <w:spacing w:val="-4"/>
          <w:sz w:val="20"/>
        </w:rPr>
        <w:t> </w:t>
      </w:r>
      <w:r>
        <w:rPr>
          <w:sz w:val="20"/>
        </w:rPr>
        <w:t>проекта,</w:t>
      </w:r>
      <w:r>
        <w:rPr>
          <w:spacing w:val="-4"/>
          <w:sz w:val="20"/>
        </w:rPr>
        <w:t> </w:t>
      </w:r>
      <w:r>
        <w:rPr>
          <w:sz w:val="20"/>
        </w:rPr>
        <w:t>найдут</w:t>
      </w:r>
      <w:r>
        <w:rPr>
          <w:spacing w:val="-4"/>
          <w:sz w:val="20"/>
        </w:rPr>
        <w:t> </w:t>
      </w:r>
      <w:r>
        <w:rPr>
          <w:sz w:val="20"/>
        </w:rPr>
        <w:t>отражение</w:t>
      </w:r>
      <w:r>
        <w:rPr>
          <w:spacing w:val="-4"/>
          <w:sz w:val="20"/>
        </w:rPr>
        <w:t> </w:t>
      </w:r>
      <w:r>
        <w:rPr>
          <w:sz w:val="20"/>
        </w:rPr>
        <w:t>в</w:t>
      </w:r>
      <w:r>
        <w:rPr>
          <w:spacing w:val="-4"/>
          <w:sz w:val="20"/>
        </w:rPr>
        <w:t> </w:t>
      </w:r>
      <w:r>
        <w:rPr>
          <w:sz w:val="20"/>
        </w:rPr>
        <w:t>нормативно-пра- вовых</w:t>
      </w:r>
      <w:r>
        <w:rPr>
          <w:spacing w:val="-6"/>
          <w:sz w:val="20"/>
        </w:rPr>
        <w:t> </w:t>
      </w:r>
      <w:r>
        <w:rPr>
          <w:sz w:val="20"/>
        </w:rPr>
        <w:t>документах,</w:t>
      </w:r>
      <w:r>
        <w:rPr>
          <w:spacing w:val="-6"/>
          <w:sz w:val="20"/>
        </w:rPr>
        <w:t> </w:t>
      </w:r>
      <w:r>
        <w:rPr>
          <w:sz w:val="20"/>
        </w:rPr>
        <w:t>локальных</w:t>
      </w:r>
      <w:r>
        <w:rPr>
          <w:spacing w:val="-6"/>
          <w:sz w:val="20"/>
        </w:rPr>
        <w:t> </w:t>
      </w:r>
      <w:r>
        <w:rPr>
          <w:sz w:val="20"/>
        </w:rPr>
        <w:t>приказах</w:t>
      </w:r>
      <w:r>
        <w:rPr>
          <w:spacing w:val="-6"/>
          <w:sz w:val="20"/>
        </w:rPr>
        <w:t> </w:t>
      </w:r>
      <w:r>
        <w:rPr>
          <w:sz w:val="20"/>
        </w:rPr>
        <w:t>и</w:t>
      </w:r>
      <w:r>
        <w:rPr>
          <w:spacing w:val="-6"/>
          <w:sz w:val="20"/>
        </w:rPr>
        <w:t> </w:t>
      </w:r>
      <w:r>
        <w:rPr>
          <w:sz w:val="20"/>
        </w:rPr>
        <w:t>распоряжениях</w:t>
      </w:r>
      <w:r>
        <w:rPr>
          <w:spacing w:val="-6"/>
          <w:sz w:val="20"/>
        </w:rPr>
        <w:t> </w:t>
      </w:r>
      <w:r>
        <w:rPr>
          <w:sz w:val="20"/>
        </w:rPr>
        <w:t>по</w:t>
      </w:r>
      <w:r>
        <w:rPr>
          <w:spacing w:val="-6"/>
          <w:sz w:val="20"/>
        </w:rPr>
        <w:t> </w:t>
      </w:r>
      <w:r>
        <w:rPr>
          <w:sz w:val="20"/>
        </w:rPr>
        <w:t>школе,</w:t>
      </w:r>
      <w:r>
        <w:rPr>
          <w:spacing w:val="-6"/>
          <w:sz w:val="20"/>
        </w:rPr>
        <w:t> </w:t>
      </w:r>
      <w:r>
        <w:rPr>
          <w:sz w:val="20"/>
        </w:rPr>
        <w:t>правилах</w:t>
      </w:r>
      <w:r>
        <w:rPr>
          <w:spacing w:val="-6"/>
          <w:sz w:val="20"/>
        </w:rPr>
        <w:t> </w:t>
      </w:r>
      <w:r>
        <w:rPr>
          <w:sz w:val="20"/>
        </w:rPr>
        <w:t>для учащихся и других документах, регламентирующих внутренние правила и уклад </w:t>
      </w:r>
      <w:r>
        <w:rPr>
          <w:spacing w:val="-2"/>
          <w:sz w:val="20"/>
        </w:rPr>
        <w:t>школы.</w:t>
      </w:r>
    </w:p>
    <w:p>
      <w:pPr>
        <w:pStyle w:val="ListParagraph"/>
        <w:numPr>
          <w:ilvl w:val="0"/>
          <w:numId w:val="166"/>
        </w:numPr>
        <w:tabs>
          <w:tab w:pos="423" w:val="left" w:leader="none"/>
          <w:tab w:pos="425" w:val="left" w:leader="none"/>
        </w:tabs>
        <w:spacing w:line="235" w:lineRule="auto" w:before="2" w:after="0"/>
        <w:ind w:left="425" w:right="139" w:hanging="284"/>
        <w:jc w:val="both"/>
        <w:rPr>
          <w:sz w:val="20"/>
        </w:rPr>
      </w:pPr>
      <w:r>
        <w:rPr>
          <w:sz w:val="20"/>
        </w:rPr>
        <w:t>Повысится мотивация родителей учащихся школы и привлеченных к участию в проекте</w:t>
      </w:r>
      <w:r>
        <w:rPr>
          <w:spacing w:val="-10"/>
          <w:sz w:val="20"/>
        </w:rPr>
        <w:t> </w:t>
      </w:r>
      <w:r>
        <w:rPr>
          <w:sz w:val="20"/>
        </w:rPr>
        <w:t>экспертов,</w:t>
      </w:r>
      <w:r>
        <w:rPr>
          <w:spacing w:val="-10"/>
          <w:sz w:val="20"/>
        </w:rPr>
        <w:t> </w:t>
      </w:r>
      <w:r>
        <w:rPr>
          <w:sz w:val="20"/>
        </w:rPr>
        <w:t>они</w:t>
      </w:r>
      <w:r>
        <w:rPr>
          <w:spacing w:val="-10"/>
          <w:sz w:val="20"/>
        </w:rPr>
        <w:t> </w:t>
      </w:r>
      <w:r>
        <w:rPr>
          <w:sz w:val="20"/>
        </w:rPr>
        <w:t>будут</w:t>
      </w:r>
      <w:r>
        <w:rPr>
          <w:spacing w:val="-10"/>
          <w:sz w:val="20"/>
        </w:rPr>
        <w:t> </w:t>
      </w:r>
      <w:r>
        <w:rPr>
          <w:sz w:val="20"/>
        </w:rPr>
        <w:t>участвовать</w:t>
      </w:r>
      <w:r>
        <w:rPr>
          <w:spacing w:val="-10"/>
          <w:sz w:val="20"/>
        </w:rPr>
        <w:t> </w:t>
      </w:r>
      <w:r>
        <w:rPr>
          <w:sz w:val="20"/>
        </w:rPr>
        <w:t>в</w:t>
      </w:r>
      <w:r>
        <w:rPr>
          <w:spacing w:val="-10"/>
          <w:sz w:val="20"/>
        </w:rPr>
        <w:t> </w:t>
      </w:r>
      <w:r>
        <w:rPr>
          <w:sz w:val="20"/>
        </w:rPr>
        <w:t>работе</w:t>
      </w:r>
      <w:r>
        <w:rPr>
          <w:spacing w:val="-10"/>
          <w:sz w:val="20"/>
        </w:rPr>
        <w:t> </w:t>
      </w:r>
      <w:r>
        <w:rPr>
          <w:sz w:val="20"/>
        </w:rPr>
        <w:t>выборных</w:t>
      </w:r>
      <w:r>
        <w:rPr>
          <w:spacing w:val="-10"/>
          <w:sz w:val="20"/>
        </w:rPr>
        <w:t> </w:t>
      </w:r>
      <w:r>
        <w:rPr>
          <w:sz w:val="20"/>
        </w:rPr>
        <w:t>органов</w:t>
      </w:r>
      <w:r>
        <w:rPr>
          <w:spacing w:val="-10"/>
          <w:sz w:val="20"/>
        </w:rPr>
        <w:t> </w:t>
      </w:r>
      <w:r>
        <w:rPr>
          <w:sz w:val="20"/>
        </w:rPr>
        <w:t>обществен- но-государственного управления школой и оказывать содействие школе в реше- нии других вопросов, возникающих в образовательном процессе.</w:t>
      </w:r>
    </w:p>
    <w:p>
      <w:pPr>
        <w:pStyle w:val="BodyText"/>
        <w:spacing w:line="235" w:lineRule="auto" w:before="116"/>
      </w:pPr>
      <w:r>
        <w:rPr>
          <w:color w:val="231F20"/>
        </w:rPr>
        <w:t>По</w:t>
      </w:r>
      <w:r>
        <w:rPr>
          <w:color w:val="231F20"/>
          <w:spacing w:val="-13"/>
        </w:rPr>
        <w:t> </w:t>
      </w:r>
      <w:r>
        <w:rPr>
          <w:color w:val="231F20"/>
        </w:rPr>
        <w:t>итогам</w:t>
      </w:r>
      <w:r>
        <w:rPr>
          <w:color w:val="231F20"/>
          <w:spacing w:val="-12"/>
        </w:rPr>
        <w:t> </w:t>
      </w:r>
      <w:r>
        <w:rPr>
          <w:color w:val="231F20"/>
        </w:rPr>
        <w:t>апробации</w:t>
      </w:r>
      <w:r>
        <w:rPr>
          <w:color w:val="231F20"/>
          <w:spacing w:val="-13"/>
        </w:rPr>
        <w:t> </w:t>
      </w:r>
      <w:r>
        <w:rPr>
          <w:color w:val="231F20"/>
        </w:rPr>
        <w:t>программы</w:t>
      </w:r>
      <w:r>
        <w:rPr>
          <w:color w:val="231F20"/>
          <w:spacing w:val="-12"/>
        </w:rPr>
        <w:t> </w:t>
      </w:r>
      <w:r>
        <w:rPr>
          <w:color w:val="231F20"/>
        </w:rPr>
        <w:t>важно</w:t>
      </w:r>
      <w:r>
        <w:rPr>
          <w:color w:val="231F20"/>
          <w:spacing w:val="-13"/>
        </w:rPr>
        <w:t> </w:t>
      </w:r>
      <w:r>
        <w:rPr>
          <w:color w:val="231F20"/>
        </w:rPr>
        <w:t>отметить</w:t>
      </w:r>
      <w:r>
        <w:rPr>
          <w:color w:val="231F20"/>
          <w:spacing w:val="-12"/>
        </w:rPr>
        <w:t> </w:t>
      </w:r>
      <w:r>
        <w:rPr>
          <w:color w:val="231F20"/>
        </w:rPr>
        <w:t>следующее.</w:t>
      </w:r>
      <w:r>
        <w:rPr>
          <w:color w:val="231F20"/>
          <w:spacing w:val="-13"/>
        </w:rPr>
        <w:t> </w:t>
      </w:r>
      <w:r>
        <w:rPr>
          <w:color w:val="231F20"/>
        </w:rPr>
        <w:t>В</w:t>
      </w:r>
      <w:r>
        <w:rPr>
          <w:color w:val="231F20"/>
          <w:spacing w:val="-12"/>
        </w:rPr>
        <w:t> </w:t>
      </w:r>
      <w:r>
        <w:rPr>
          <w:color w:val="231F20"/>
        </w:rPr>
        <w:t>качестве</w:t>
      </w:r>
      <w:r>
        <w:rPr>
          <w:color w:val="231F20"/>
          <w:spacing w:val="-13"/>
        </w:rPr>
        <w:t> </w:t>
      </w:r>
      <w:r>
        <w:rPr>
          <w:color w:val="231F20"/>
        </w:rPr>
        <w:t>тем</w:t>
      </w:r>
      <w:r>
        <w:rPr>
          <w:color w:val="231F20"/>
          <w:spacing w:val="-12"/>
        </w:rPr>
        <w:t> </w:t>
      </w:r>
      <w:r>
        <w:rPr>
          <w:color w:val="231F20"/>
        </w:rPr>
        <w:t>про- ектов могут использоваться:</w:t>
      </w:r>
    </w:p>
    <w:p>
      <w:pPr>
        <w:pStyle w:val="ListParagraph"/>
        <w:numPr>
          <w:ilvl w:val="0"/>
          <w:numId w:val="167"/>
        </w:numPr>
        <w:tabs>
          <w:tab w:pos="424" w:val="left" w:leader="none"/>
        </w:tabs>
        <w:spacing w:line="225" w:lineRule="exact" w:before="0" w:after="0"/>
        <w:ind w:left="424" w:right="0" w:hanging="283"/>
        <w:jc w:val="both"/>
        <w:rPr>
          <w:sz w:val="20"/>
        </w:rPr>
      </w:pPr>
      <w:r>
        <w:rPr>
          <w:color w:val="231F20"/>
          <w:sz w:val="20"/>
        </w:rPr>
        <w:t>конфессиональные</w:t>
      </w:r>
      <w:r>
        <w:rPr>
          <w:color w:val="231F20"/>
          <w:spacing w:val="-2"/>
          <w:sz w:val="20"/>
        </w:rPr>
        <w:t> </w:t>
      </w:r>
      <w:r>
        <w:rPr>
          <w:color w:val="231F20"/>
          <w:sz w:val="20"/>
        </w:rPr>
        <w:t>и</w:t>
      </w:r>
      <w:r>
        <w:rPr>
          <w:color w:val="231F20"/>
          <w:spacing w:val="-3"/>
          <w:sz w:val="20"/>
        </w:rPr>
        <w:t> </w:t>
      </w:r>
      <w:r>
        <w:rPr>
          <w:color w:val="231F20"/>
          <w:sz w:val="20"/>
        </w:rPr>
        <w:t>религиозные</w:t>
      </w:r>
      <w:r>
        <w:rPr>
          <w:color w:val="231F20"/>
          <w:spacing w:val="-1"/>
          <w:sz w:val="20"/>
        </w:rPr>
        <w:t> </w:t>
      </w:r>
      <w:r>
        <w:rPr>
          <w:color w:val="231F20"/>
          <w:spacing w:val="-2"/>
          <w:sz w:val="20"/>
        </w:rPr>
        <w:t>различия,</w:t>
      </w:r>
    </w:p>
    <w:p>
      <w:pPr>
        <w:pStyle w:val="ListParagraph"/>
        <w:numPr>
          <w:ilvl w:val="0"/>
          <w:numId w:val="167"/>
        </w:numPr>
        <w:tabs>
          <w:tab w:pos="424" w:val="left" w:leader="none"/>
        </w:tabs>
        <w:spacing w:line="226" w:lineRule="exact" w:before="0" w:after="0"/>
        <w:ind w:left="424" w:right="0" w:hanging="283"/>
        <w:jc w:val="both"/>
        <w:rPr>
          <w:sz w:val="20"/>
        </w:rPr>
      </w:pPr>
      <w:r>
        <w:rPr>
          <w:color w:val="231F20"/>
          <w:sz w:val="20"/>
        </w:rPr>
        <w:t>музыкальные</w:t>
      </w:r>
      <w:r>
        <w:rPr>
          <w:color w:val="231F20"/>
          <w:spacing w:val="-6"/>
          <w:sz w:val="20"/>
        </w:rPr>
        <w:t> </w:t>
      </w:r>
      <w:r>
        <w:rPr>
          <w:color w:val="231F20"/>
          <w:sz w:val="20"/>
        </w:rPr>
        <w:t>произведения</w:t>
      </w:r>
      <w:r>
        <w:rPr>
          <w:color w:val="231F20"/>
          <w:spacing w:val="-5"/>
          <w:sz w:val="20"/>
        </w:rPr>
        <w:t> </w:t>
      </w:r>
      <w:r>
        <w:rPr>
          <w:color w:val="231F20"/>
          <w:sz w:val="20"/>
        </w:rPr>
        <w:t>(народные</w:t>
      </w:r>
      <w:r>
        <w:rPr>
          <w:color w:val="231F20"/>
          <w:spacing w:val="-6"/>
          <w:sz w:val="20"/>
        </w:rPr>
        <w:t> </w:t>
      </w:r>
      <w:r>
        <w:rPr>
          <w:color w:val="231F20"/>
          <w:sz w:val="20"/>
        </w:rPr>
        <w:t>песни,</w:t>
      </w:r>
      <w:r>
        <w:rPr>
          <w:color w:val="231F20"/>
          <w:spacing w:val="-5"/>
          <w:sz w:val="20"/>
        </w:rPr>
        <w:t> </w:t>
      </w:r>
      <w:r>
        <w:rPr>
          <w:color w:val="231F20"/>
          <w:sz w:val="20"/>
        </w:rPr>
        <w:t>колыбельные</w:t>
      </w:r>
      <w:r>
        <w:rPr>
          <w:color w:val="231F20"/>
          <w:spacing w:val="-5"/>
          <w:sz w:val="20"/>
        </w:rPr>
        <w:t> </w:t>
      </w:r>
      <w:r>
        <w:rPr>
          <w:color w:val="231F20"/>
          <w:sz w:val="20"/>
        </w:rPr>
        <w:t>и</w:t>
      </w:r>
      <w:r>
        <w:rPr>
          <w:color w:val="231F20"/>
          <w:spacing w:val="-6"/>
          <w:sz w:val="20"/>
        </w:rPr>
        <w:t> </w:t>
      </w:r>
      <w:r>
        <w:rPr>
          <w:color w:val="231F20"/>
          <w:spacing w:val="-2"/>
          <w:sz w:val="20"/>
        </w:rPr>
        <w:t>пр.),</w:t>
      </w:r>
    </w:p>
    <w:p>
      <w:pPr>
        <w:pStyle w:val="ListParagraph"/>
        <w:numPr>
          <w:ilvl w:val="0"/>
          <w:numId w:val="167"/>
        </w:numPr>
        <w:tabs>
          <w:tab w:pos="425" w:val="left" w:leader="none"/>
        </w:tabs>
        <w:spacing w:line="235" w:lineRule="auto" w:before="2" w:after="0"/>
        <w:ind w:left="425" w:right="139" w:hanging="284"/>
        <w:jc w:val="both"/>
        <w:rPr>
          <w:sz w:val="20"/>
        </w:rPr>
      </w:pPr>
      <w:r>
        <w:rPr>
          <w:color w:val="231F20"/>
          <w:sz w:val="20"/>
        </w:rPr>
        <w:t>знакомство с известными персоналиями российской истории, а также с персона- лиями из стран исхода несовершеннолетних иностранных граждан.</w:t>
      </w:r>
    </w:p>
    <w:p>
      <w:pPr>
        <w:pStyle w:val="BodyText"/>
        <w:spacing w:line="235" w:lineRule="auto" w:before="1"/>
        <w:ind w:right="140"/>
      </w:pPr>
      <w:r>
        <w:rPr>
          <w:color w:val="231F20"/>
        </w:rPr>
        <w:t>В проектной деятельности совместно с несовершеннолетними иностранными гражданами могут принимать участие наставники.</w:t>
      </w:r>
    </w:p>
    <w:p>
      <w:pPr>
        <w:pStyle w:val="BodyText"/>
        <w:spacing w:line="235" w:lineRule="auto" w:before="1"/>
      </w:pPr>
      <w:r>
        <w:rPr>
          <w:color w:val="231F20"/>
        </w:rPr>
        <w:t>Оригинальной формой проекта является «Книга имен» (Е.Г. Иоффе). В рамках данного</w:t>
      </w:r>
      <w:r>
        <w:rPr>
          <w:color w:val="231F20"/>
          <w:spacing w:val="-11"/>
        </w:rPr>
        <w:t> </w:t>
      </w:r>
      <w:r>
        <w:rPr>
          <w:color w:val="231F20"/>
        </w:rPr>
        <w:t>проекта</w:t>
      </w:r>
      <w:r>
        <w:rPr>
          <w:color w:val="231F20"/>
          <w:spacing w:val="-11"/>
        </w:rPr>
        <w:t> </w:t>
      </w:r>
      <w:r>
        <w:rPr>
          <w:color w:val="231F20"/>
        </w:rPr>
        <w:t>обучающимся</w:t>
      </w:r>
      <w:r>
        <w:rPr>
          <w:color w:val="231F20"/>
          <w:spacing w:val="-11"/>
        </w:rPr>
        <w:t> </w:t>
      </w:r>
      <w:r>
        <w:rPr>
          <w:color w:val="231F20"/>
        </w:rPr>
        <w:t>предлагается</w:t>
      </w:r>
      <w:r>
        <w:rPr>
          <w:color w:val="231F20"/>
          <w:spacing w:val="-11"/>
        </w:rPr>
        <w:t> </w:t>
      </w:r>
      <w:r>
        <w:rPr>
          <w:color w:val="231F20"/>
        </w:rPr>
        <w:t>рассказать,</w:t>
      </w:r>
      <w:r>
        <w:rPr>
          <w:color w:val="231F20"/>
          <w:spacing w:val="-11"/>
        </w:rPr>
        <w:t> </w:t>
      </w:r>
      <w:r>
        <w:rPr>
          <w:color w:val="231F20"/>
        </w:rPr>
        <w:t>что</w:t>
      </w:r>
      <w:r>
        <w:rPr>
          <w:color w:val="231F20"/>
          <w:spacing w:val="-11"/>
        </w:rPr>
        <w:t> </w:t>
      </w:r>
      <w:r>
        <w:rPr>
          <w:color w:val="231F20"/>
        </w:rPr>
        <w:t>означают</w:t>
      </w:r>
      <w:r>
        <w:rPr>
          <w:color w:val="231F20"/>
          <w:spacing w:val="-11"/>
        </w:rPr>
        <w:t> </w:t>
      </w:r>
      <w:r>
        <w:rPr>
          <w:color w:val="231F20"/>
        </w:rPr>
        <w:t>их</w:t>
      </w:r>
      <w:r>
        <w:rPr>
          <w:color w:val="231F20"/>
          <w:spacing w:val="-11"/>
        </w:rPr>
        <w:t> </w:t>
      </w:r>
      <w:r>
        <w:rPr>
          <w:color w:val="231F20"/>
        </w:rPr>
        <w:t>имена</w:t>
      </w:r>
      <w:r>
        <w:rPr>
          <w:color w:val="231F20"/>
          <w:spacing w:val="-11"/>
        </w:rPr>
        <w:t> </w:t>
      </w:r>
      <w:r>
        <w:rPr>
          <w:color w:val="231F20"/>
        </w:rPr>
        <w:t>и</w:t>
      </w:r>
      <w:r>
        <w:rPr>
          <w:color w:val="231F20"/>
          <w:spacing w:val="-11"/>
        </w:rPr>
        <w:t> </w:t>
      </w:r>
      <w:r>
        <w:rPr>
          <w:color w:val="231F20"/>
        </w:rPr>
        <w:t>фа- милии. Как переводятся? Откуда появились? Почему им дали такое имя? Что для них</w:t>
      </w:r>
      <w:r>
        <w:rPr>
          <w:color w:val="231F20"/>
          <w:spacing w:val="-4"/>
        </w:rPr>
        <w:t> </w:t>
      </w:r>
      <w:r>
        <w:rPr>
          <w:color w:val="231F20"/>
        </w:rPr>
        <w:t>значит</w:t>
      </w:r>
      <w:r>
        <w:rPr>
          <w:color w:val="231F20"/>
          <w:spacing w:val="-4"/>
        </w:rPr>
        <w:t> </w:t>
      </w:r>
      <w:r>
        <w:rPr>
          <w:color w:val="231F20"/>
        </w:rPr>
        <w:t>их</w:t>
      </w:r>
      <w:r>
        <w:rPr>
          <w:color w:val="231F20"/>
          <w:spacing w:val="-4"/>
        </w:rPr>
        <w:t> </w:t>
      </w:r>
      <w:r>
        <w:rPr>
          <w:color w:val="231F20"/>
        </w:rPr>
        <w:t>имя</w:t>
      </w:r>
      <w:r>
        <w:rPr>
          <w:color w:val="231F20"/>
          <w:spacing w:val="-4"/>
        </w:rPr>
        <w:t> </w:t>
      </w:r>
      <w:r>
        <w:rPr>
          <w:color w:val="231F20"/>
        </w:rPr>
        <w:t>и</w:t>
      </w:r>
      <w:r>
        <w:rPr>
          <w:color w:val="231F20"/>
          <w:spacing w:val="-4"/>
        </w:rPr>
        <w:t> </w:t>
      </w:r>
      <w:r>
        <w:rPr>
          <w:color w:val="231F20"/>
        </w:rPr>
        <w:t>фамилия?</w:t>
      </w:r>
      <w:r>
        <w:rPr>
          <w:color w:val="231F20"/>
          <w:spacing w:val="-4"/>
        </w:rPr>
        <w:t> </w:t>
      </w:r>
      <w:r>
        <w:rPr>
          <w:color w:val="231F20"/>
        </w:rPr>
        <w:t>Что</w:t>
      </w:r>
      <w:r>
        <w:rPr>
          <w:color w:val="231F20"/>
          <w:spacing w:val="-4"/>
        </w:rPr>
        <w:t> </w:t>
      </w:r>
      <w:r>
        <w:rPr>
          <w:color w:val="231F20"/>
        </w:rPr>
        <w:t>им</w:t>
      </w:r>
      <w:r>
        <w:rPr>
          <w:color w:val="231F20"/>
          <w:spacing w:val="-4"/>
        </w:rPr>
        <w:t> </w:t>
      </w:r>
      <w:r>
        <w:rPr>
          <w:color w:val="231F20"/>
        </w:rPr>
        <w:t>нравится,</w:t>
      </w:r>
      <w:r>
        <w:rPr>
          <w:color w:val="231F20"/>
          <w:spacing w:val="-4"/>
        </w:rPr>
        <w:t> </w:t>
      </w:r>
      <w:r>
        <w:rPr>
          <w:color w:val="231F20"/>
        </w:rPr>
        <w:t>а</w:t>
      </w:r>
      <w:r>
        <w:rPr>
          <w:color w:val="231F20"/>
          <w:spacing w:val="-4"/>
        </w:rPr>
        <w:t> </w:t>
      </w:r>
      <w:r>
        <w:rPr>
          <w:color w:val="231F20"/>
        </w:rPr>
        <w:t>что</w:t>
      </w:r>
      <w:r>
        <w:rPr>
          <w:color w:val="231F20"/>
          <w:spacing w:val="-4"/>
        </w:rPr>
        <w:t> </w:t>
      </w:r>
      <w:r>
        <w:rPr>
          <w:color w:val="231F20"/>
        </w:rPr>
        <w:t>нет</w:t>
      </w:r>
      <w:r>
        <w:rPr>
          <w:color w:val="231F20"/>
          <w:spacing w:val="-4"/>
        </w:rPr>
        <w:t> </w:t>
      </w:r>
      <w:r>
        <w:rPr>
          <w:color w:val="231F20"/>
        </w:rPr>
        <w:t>в</w:t>
      </w:r>
      <w:r>
        <w:rPr>
          <w:color w:val="231F20"/>
          <w:spacing w:val="-4"/>
        </w:rPr>
        <w:t> </w:t>
      </w:r>
      <w:r>
        <w:rPr>
          <w:color w:val="231F20"/>
        </w:rPr>
        <w:t>своем</w:t>
      </w:r>
      <w:r>
        <w:rPr>
          <w:color w:val="231F20"/>
          <w:spacing w:val="-4"/>
        </w:rPr>
        <w:t> </w:t>
      </w:r>
      <w:r>
        <w:rPr>
          <w:color w:val="231F20"/>
        </w:rPr>
        <w:t>имени</w:t>
      </w:r>
      <w:r>
        <w:rPr>
          <w:color w:val="231F20"/>
          <w:spacing w:val="-4"/>
        </w:rPr>
        <w:t> </w:t>
      </w:r>
      <w:r>
        <w:rPr>
          <w:color w:val="231F20"/>
        </w:rPr>
        <w:t>и</w:t>
      </w:r>
      <w:r>
        <w:rPr>
          <w:color w:val="231F20"/>
          <w:spacing w:val="-4"/>
        </w:rPr>
        <w:t> </w:t>
      </w:r>
      <w:r>
        <w:rPr>
          <w:color w:val="231F20"/>
        </w:rPr>
        <w:t>фамилии? Хотели бы они поменять имя и фамилию? На какие и почему? В проекте могут при-</w:t>
      </w:r>
    </w:p>
    <w:p>
      <w:pPr>
        <w:pStyle w:val="BodyText"/>
        <w:spacing w:after="0" w:line="235" w:lineRule="auto"/>
        <w:sectPr>
          <w:pgSz w:w="8400" w:h="11910"/>
          <w:pgMar w:header="0" w:footer="527" w:top="400" w:bottom="740" w:left="425" w:right="425"/>
        </w:sectPr>
      </w:pPr>
    </w:p>
    <w:p>
      <w:pPr>
        <w:pStyle w:val="ListParagraph"/>
        <w:numPr>
          <w:ilvl w:val="1"/>
          <w:numId w:val="154"/>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Методы</w:t>
      </w:r>
      <w:r>
        <w:rPr>
          <w:rFonts w:ascii="Georgia" w:hAnsi="Georgia"/>
          <w:color w:val="231F20"/>
          <w:spacing w:val="3"/>
          <w:sz w:val="18"/>
        </w:rPr>
        <w:t> </w:t>
      </w:r>
      <w:r>
        <w:rPr>
          <w:rFonts w:ascii="Georgia" w:hAnsi="Georgia"/>
          <w:color w:val="231F20"/>
          <w:sz w:val="18"/>
        </w:rPr>
        <w:t>учебной</w:t>
      </w:r>
      <w:r>
        <w:rPr>
          <w:rFonts w:ascii="Georgia" w:hAnsi="Georgia"/>
          <w:color w:val="231F20"/>
          <w:spacing w:val="3"/>
          <w:sz w:val="18"/>
        </w:rPr>
        <w:t> </w:t>
      </w:r>
      <w:r>
        <w:rPr>
          <w:rFonts w:ascii="Georgia" w:hAnsi="Georgia"/>
          <w:color w:val="231F20"/>
          <w:sz w:val="18"/>
        </w:rPr>
        <w:t>работы</w:t>
      </w:r>
      <w:r>
        <w:rPr>
          <w:rFonts w:ascii="Georgia" w:hAnsi="Georgia"/>
          <w:color w:val="231F20"/>
          <w:spacing w:val="3"/>
          <w:sz w:val="18"/>
        </w:rPr>
        <w:t> </w:t>
      </w:r>
      <w:r>
        <w:rPr>
          <w:rFonts w:ascii="Georgia" w:hAnsi="Georgia"/>
          <w:color w:val="231F20"/>
          <w:sz w:val="18"/>
        </w:rPr>
        <w:t>для</w:t>
      </w:r>
      <w:r>
        <w:rPr>
          <w:rFonts w:ascii="Georgia" w:hAnsi="Georgia"/>
          <w:color w:val="231F20"/>
          <w:spacing w:val="3"/>
          <w:sz w:val="18"/>
        </w:rPr>
        <w:t> </w:t>
      </w:r>
      <w:r>
        <w:rPr>
          <w:rFonts w:ascii="Georgia" w:hAnsi="Georgia"/>
          <w:color w:val="231F20"/>
          <w:sz w:val="18"/>
        </w:rPr>
        <w:t>адаптации</w:t>
      </w:r>
      <w:r>
        <w:rPr>
          <w:rFonts w:ascii="Georgia" w:hAnsi="Georgia"/>
          <w:color w:val="231F20"/>
          <w:spacing w:val="3"/>
          <w:sz w:val="18"/>
        </w:rPr>
        <w:t> </w:t>
      </w:r>
      <w:r>
        <w:rPr>
          <w:rFonts w:ascii="Georgia" w:hAnsi="Georgia"/>
          <w:color w:val="231F20"/>
          <w:sz w:val="18"/>
        </w:rPr>
        <w:t>детей</w:t>
      </w:r>
      <w:r>
        <w:rPr>
          <w:rFonts w:ascii="Georgia" w:hAnsi="Georgia"/>
          <w:color w:val="231F20"/>
          <w:spacing w:val="3"/>
          <w:sz w:val="18"/>
        </w:rPr>
        <w:t> </w:t>
      </w:r>
      <w:r>
        <w:rPr>
          <w:rFonts w:ascii="Georgia" w:hAnsi="Georgia"/>
          <w:color w:val="231F20"/>
          <w:sz w:val="18"/>
        </w:rPr>
        <w:t>...</w:t>
      </w:r>
      <w:r>
        <w:rPr>
          <w:rFonts w:ascii="Georgia" w:hAnsi="Georgia"/>
          <w:color w:val="231F20"/>
          <w:spacing w:val="3"/>
          <w:sz w:val="18"/>
        </w:rPr>
        <w:t> </w:t>
      </w:r>
      <w:r>
        <w:rPr>
          <w:rFonts w:ascii="Georgia" w:hAnsi="Georgia"/>
          <w:color w:val="231F20"/>
          <w:sz w:val="18"/>
        </w:rPr>
        <w:t>во</w:t>
      </w:r>
      <w:r>
        <w:rPr>
          <w:rFonts w:ascii="Georgia" w:hAnsi="Georgia"/>
          <w:color w:val="231F20"/>
          <w:spacing w:val="4"/>
          <w:sz w:val="18"/>
        </w:rPr>
        <w:t> </w:t>
      </w:r>
      <w:r>
        <w:rPr>
          <w:rFonts w:ascii="Georgia" w:hAnsi="Georgia"/>
          <w:color w:val="231F20"/>
          <w:spacing w:val="-2"/>
          <w:sz w:val="18"/>
        </w:rPr>
        <w:t>взаимодействии...</w:t>
      </w:r>
    </w:p>
    <w:p>
      <w:pPr>
        <w:pStyle w:val="BodyText"/>
        <w:spacing w:line="235" w:lineRule="auto" w:before="116"/>
        <w:ind w:firstLine="0"/>
      </w:pPr>
      <w:r>
        <w:rPr>
          <w:color w:val="231F20"/>
        </w:rPr>
        <w:t>нимать участие как несовершеннолетние иностранные граждане, так и российские </w:t>
      </w:r>
      <w:r>
        <w:rPr>
          <w:color w:val="231F20"/>
          <w:spacing w:val="-2"/>
        </w:rPr>
        <w:t>обучающиеся.</w:t>
      </w:r>
    </w:p>
    <w:p>
      <w:pPr>
        <w:pStyle w:val="BodyText"/>
        <w:spacing w:line="235" w:lineRule="auto" w:before="1"/>
      </w:pPr>
      <w:r>
        <w:rPr>
          <w:color w:val="231F20"/>
        </w:rPr>
        <w:t>Проверка</w:t>
      </w:r>
      <w:r>
        <w:rPr>
          <w:color w:val="231F20"/>
          <w:spacing w:val="-8"/>
        </w:rPr>
        <w:t> </w:t>
      </w:r>
      <w:r>
        <w:rPr>
          <w:color w:val="231F20"/>
        </w:rPr>
        <w:t>эффективности</w:t>
      </w:r>
      <w:r>
        <w:rPr>
          <w:color w:val="231F20"/>
          <w:spacing w:val="-8"/>
        </w:rPr>
        <w:t> </w:t>
      </w:r>
      <w:r>
        <w:rPr>
          <w:color w:val="231F20"/>
        </w:rPr>
        <w:t>данной</w:t>
      </w:r>
      <w:r>
        <w:rPr>
          <w:color w:val="231F20"/>
          <w:spacing w:val="-8"/>
        </w:rPr>
        <w:t> </w:t>
      </w:r>
      <w:r>
        <w:rPr>
          <w:color w:val="231F20"/>
        </w:rPr>
        <w:t>практики</w:t>
      </w:r>
      <w:r>
        <w:rPr>
          <w:color w:val="231F20"/>
          <w:spacing w:val="-8"/>
        </w:rPr>
        <w:t> </w:t>
      </w:r>
      <w:r>
        <w:rPr>
          <w:color w:val="231F20"/>
        </w:rPr>
        <w:t>была</w:t>
      </w:r>
      <w:r>
        <w:rPr>
          <w:color w:val="231F20"/>
          <w:spacing w:val="-8"/>
        </w:rPr>
        <w:t> </w:t>
      </w:r>
      <w:r>
        <w:rPr>
          <w:color w:val="231F20"/>
        </w:rPr>
        <w:t>осуществлена</w:t>
      </w:r>
      <w:r>
        <w:rPr>
          <w:color w:val="231F20"/>
          <w:spacing w:val="-8"/>
        </w:rPr>
        <w:t> </w:t>
      </w:r>
      <w:r>
        <w:rPr>
          <w:color w:val="231F20"/>
        </w:rPr>
        <w:t>на</w:t>
      </w:r>
      <w:r>
        <w:rPr>
          <w:color w:val="231F20"/>
          <w:spacing w:val="-8"/>
        </w:rPr>
        <w:t> </w:t>
      </w:r>
      <w:r>
        <w:rPr>
          <w:color w:val="231F20"/>
        </w:rPr>
        <w:t>выборке</w:t>
      </w:r>
      <w:r>
        <w:rPr>
          <w:color w:val="231F20"/>
          <w:spacing w:val="-8"/>
        </w:rPr>
        <w:t> </w:t>
      </w:r>
      <w:r>
        <w:rPr>
          <w:color w:val="231F20"/>
        </w:rPr>
        <w:t>обуча- ющихся (Nобщ=358) в рамках реализации Государственного задания Министерства просвещения Российской Федерации № 073-00038-23-01 от 08.02.2023 г. «Оценка эффективности реализации программы психолого-педагогического сопровождения процессов</w:t>
      </w:r>
      <w:r>
        <w:rPr>
          <w:color w:val="231F20"/>
          <w:spacing w:val="-7"/>
        </w:rPr>
        <w:t> </w:t>
      </w:r>
      <w:r>
        <w:rPr>
          <w:color w:val="231F20"/>
        </w:rPr>
        <w:t>обучения,</w:t>
      </w:r>
      <w:r>
        <w:rPr>
          <w:color w:val="231F20"/>
          <w:spacing w:val="-7"/>
        </w:rPr>
        <w:t> </w:t>
      </w:r>
      <w:r>
        <w:rPr>
          <w:color w:val="231F20"/>
        </w:rPr>
        <w:t>социальной,</w:t>
      </w:r>
      <w:r>
        <w:rPr>
          <w:color w:val="231F20"/>
          <w:spacing w:val="-7"/>
        </w:rPr>
        <w:t> </w:t>
      </w:r>
      <w:r>
        <w:rPr>
          <w:color w:val="231F20"/>
        </w:rPr>
        <w:t>языковой</w:t>
      </w:r>
      <w:r>
        <w:rPr>
          <w:color w:val="231F20"/>
          <w:spacing w:val="-7"/>
        </w:rPr>
        <w:t> </w:t>
      </w:r>
      <w:r>
        <w:rPr>
          <w:color w:val="231F20"/>
        </w:rPr>
        <w:t>и</w:t>
      </w:r>
      <w:r>
        <w:rPr>
          <w:color w:val="231F20"/>
          <w:spacing w:val="-7"/>
        </w:rPr>
        <w:t> </w:t>
      </w:r>
      <w:r>
        <w:rPr>
          <w:color w:val="231F20"/>
        </w:rPr>
        <w:t>культурной</w:t>
      </w:r>
      <w:r>
        <w:rPr>
          <w:color w:val="231F20"/>
          <w:spacing w:val="-7"/>
        </w:rPr>
        <w:t> </w:t>
      </w:r>
      <w:r>
        <w:rPr>
          <w:color w:val="231F20"/>
        </w:rPr>
        <w:t>адаптации</w:t>
      </w:r>
      <w:r>
        <w:rPr>
          <w:color w:val="231F20"/>
          <w:spacing w:val="-7"/>
        </w:rPr>
        <w:t> </w:t>
      </w:r>
      <w:r>
        <w:rPr>
          <w:color w:val="231F20"/>
        </w:rPr>
        <w:t>детей</w:t>
      </w:r>
      <w:r>
        <w:rPr>
          <w:color w:val="231F20"/>
          <w:spacing w:val="-7"/>
        </w:rPr>
        <w:t> </w:t>
      </w:r>
      <w:r>
        <w:rPr>
          <w:color w:val="231F20"/>
        </w:rPr>
        <w:t>иностран- ных</w:t>
      </w:r>
      <w:r>
        <w:rPr>
          <w:color w:val="231F20"/>
          <w:spacing w:val="-10"/>
        </w:rPr>
        <w:t> </w:t>
      </w:r>
      <w:r>
        <w:rPr>
          <w:color w:val="231F20"/>
        </w:rPr>
        <w:t>граждан,</w:t>
      </w:r>
      <w:r>
        <w:rPr>
          <w:color w:val="231F20"/>
          <w:spacing w:val="-10"/>
        </w:rPr>
        <w:t> </w:t>
      </w:r>
      <w:r>
        <w:rPr>
          <w:color w:val="231F20"/>
        </w:rPr>
        <w:t>обучающихся</w:t>
      </w:r>
      <w:r>
        <w:rPr>
          <w:color w:val="231F20"/>
          <w:spacing w:val="-10"/>
        </w:rPr>
        <w:t> </w:t>
      </w:r>
      <w:r>
        <w:rPr>
          <w:color w:val="231F20"/>
        </w:rPr>
        <w:t>в</w:t>
      </w:r>
      <w:r>
        <w:rPr>
          <w:color w:val="231F20"/>
          <w:spacing w:val="-10"/>
        </w:rPr>
        <w:t> </w:t>
      </w:r>
      <w:r>
        <w:rPr>
          <w:color w:val="231F20"/>
        </w:rPr>
        <w:t>общеобразовательных</w:t>
      </w:r>
      <w:r>
        <w:rPr>
          <w:color w:val="231F20"/>
          <w:spacing w:val="-10"/>
        </w:rPr>
        <w:t> </w:t>
      </w:r>
      <w:r>
        <w:rPr>
          <w:color w:val="231F20"/>
        </w:rPr>
        <w:t>организациях</w:t>
      </w:r>
      <w:r>
        <w:rPr>
          <w:color w:val="231F20"/>
          <w:spacing w:val="-9"/>
        </w:rPr>
        <w:t> </w:t>
      </w:r>
      <w:r>
        <w:rPr>
          <w:color w:val="231F20"/>
        </w:rPr>
        <w:t>(на</w:t>
      </w:r>
      <w:r>
        <w:rPr>
          <w:color w:val="231F20"/>
          <w:spacing w:val="-10"/>
        </w:rPr>
        <w:t> </w:t>
      </w:r>
      <w:r>
        <w:rPr>
          <w:color w:val="231F20"/>
        </w:rPr>
        <w:t>основе</w:t>
      </w:r>
      <w:r>
        <w:rPr>
          <w:color w:val="231F20"/>
          <w:spacing w:val="-10"/>
        </w:rPr>
        <w:t> </w:t>
      </w:r>
      <w:r>
        <w:rPr>
          <w:color w:val="231F20"/>
        </w:rPr>
        <w:t>доказа- тельного</w:t>
      </w:r>
      <w:r>
        <w:rPr>
          <w:color w:val="231F20"/>
          <w:spacing w:val="-1"/>
        </w:rPr>
        <w:t> </w:t>
      </w:r>
      <w:r>
        <w:rPr>
          <w:color w:val="231F20"/>
        </w:rPr>
        <w:t>подхода</w:t>
      </w:r>
      <w:r>
        <w:rPr>
          <w:color w:val="231F20"/>
          <w:spacing w:val="-1"/>
        </w:rPr>
        <w:t> </w:t>
      </w:r>
      <w:r>
        <w:rPr>
          <w:color w:val="231F20"/>
        </w:rPr>
        <w:t>к</w:t>
      </w:r>
      <w:r>
        <w:rPr>
          <w:color w:val="231F20"/>
          <w:spacing w:val="-1"/>
        </w:rPr>
        <w:t> </w:t>
      </w:r>
      <w:r>
        <w:rPr>
          <w:color w:val="231F20"/>
        </w:rPr>
        <w:t>социальным</w:t>
      </w:r>
      <w:r>
        <w:rPr>
          <w:color w:val="231F20"/>
          <w:spacing w:val="-1"/>
        </w:rPr>
        <w:t> </w:t>
      </w:r>
      <w:r>
        <w:rPr>
          <w:color w:val="231F20"/>
        </w:rPr>
        <w:t>практикам</w:t>
      </w:r>
      <w:r>
        <w:rPr>
          <w:color w:val="231F20"/>
          <w:spacing w:val="-1"/>
        </w:rPr>
        <w:t> </w:t>
      </w:r>
      <w:r>
        <w:rPr>
          <w:color w:val="231F20"/>
        </w:rPr>
        <w:t>в</w:t>
      </w:r>
      <w:r>
        <w:rPr>
          <w:color w:val="231F20"/>
          <w:spacing w:val="-1"/>
        </w:rPr>
        <w:t> </w:t>
      </w:r>
      <w:r>
        <w:rPr>
          <w:color w:val="231F20"/>
        </w:rPr>
        <w:t>сфере</w:t>
      </w:r>
      <w:r>
        <w:rPr>
          <w:color w:val="231F20"/>
          <w:spacing w:val="-1"/>
        </w:rPr>
        <w:t> </w:t>
      </w:r>
      <w:r>
        <w:rPr>
          <w:color w:val="231F20"/>
        </w:rPr>
        <w:t>детства</w:t>
      </w:r>
      <w:r>
        <w:rPr>
          <w:color w:val="231F20"/>
          <w:spacing w:val="-1"/>
        </w:rPr>
        <w:t> </w:t>
      </w:r>
      <w:r>
        <w:rPr>
          <w:color w:val="231F20"/>
        </w:rPr>
        <w:t>и</w:t>
      </w:r>
      <w:r>
        <w:rPr>
          <w:color w:val="231F20"/>
          <w:spacing w:val="-1"/>
        </w:rPr>
        <w:t> </w:t>
      </w:r>
      <w:r>
        <w:rPr>
          <w:color w:val="231F20"/>
        </w:rPr>
        <w:t>дифференцированного подхода</w:t>
      </w:r>
      <w:r>
        <w:rPr>
          <w:color w:val="231F20"/>
          <w:spacing w:val="-7"/>
        </w:rPr>
        <w:t> </w:t>
      </w:r>
      <w:r>
        <w:rPr>
          <w:color w:val="231F20"/>
        </w:rPr>
        <w:t>к</w:t>
      </w:r>
      <w:r>
        <w:rPr>
          <w:color w:val="231F20"/>
          <w:spacing w:val="-7"/>
        </w:rPr>
        <w:t> </w:t>
      </w:r>
      <w:r>
        <w:rPr>
          <w:color w:val="231F20"/>
        </w:rPr>
        <w:t>обучению</w:t>
      </w:r>
      <w:r>
        <w:rPr>
          <w:color w:val="231F20"/>
          <w:spacing w:val="-7"/>
        </w:rPr>
        <w:t> </w:t>
      </w:r>
      <w:r>
        <w:rPr>
          <w:color w:val="231F20"/>
        </w:rPr>
        <w:t>детей</w:t>
      </w:r>
      <w:r>
        <w:rPr>
          <w:color w:val="231F20"/>
          <w:spacing w:val="-7"/>
        </w:rPr>
        <w:t> </w:t>
      </w:r>
      <w:r>
        <w:rPr>
          <w:color w:val="231F20"/>
        </w:rPr>
        <w:t>иностранных</w:t>
      </w:r>
      <w:r>
        <w:rPr>
          <w:color w:val="231F20"/>
          <w:spacing w:val="-7"/>
        </w:rPr>
        <w:t> </w:t>
      </w:r>
      <w:r>
        <w:rPr>
          <w:color w:val="231F20"/>
        </w:rPr>
        <w:t>граждан)»</w:t>
      </w:r>
      <w:r>
        <w:rPr>
          <w:color w:val="231F20"/>
          <w:spacing w:val="-7"/>
        </w:rPr>
        <w:t> </w:t>
      </w:r>
      <w:r>
        <w:rPr>
          <w:color w:val="231F20"/>
        </w:rPr>
        <w:t>и</w:t>
      </w:r>
      <w:r>
        <w:rPr>
          <w:color w:val="231F20"/>
          <w:spacing w:val="-7"/>
        </w:rPr>
        <w:t> </w:t>
      </w:r>
      <w:r>
        <w:rPr>
          <w:color w:val="231F20"/>
        </w:rPr>
        <w:t>опиралась</w:t>
      </w:r>
      <w:r>
        <w:rPr>
          <w:color w:val="231F20"/>
          <w:spacing w:val="-7"/>
        </w:rPr>
        <w:t> </w:t>
      </w:r>
      <w:r>
        <w:rPr>
          <w:color w:val="231F20"/>
        </w:rPr>
        <w:t>на</w:t>
      </w:r>
      <w:r>
        <w:rPr>
          <w:color w:val="231F20"/>
          <w:spacing w:val="-7"/>
        </w:rPr>
        <w:t> </w:t>
      </w:r>
      <w:r>
        <w:rPr>
          <w:color w:val="231F20"/>
        </w:rPr>
        <w:t>схему</w:t>
      </w:r>
      <w:r>
        <w:rPr>
          <w:color w:val="231F20"/>
          <w:spacing w:val="-7"/>
        </w:rPr>
        <w:t> </w:t>
      </w:r>
      <w:r>
        <w:rPr>
          <w:color w:val="231F20"/>
        </w:rPr>
        <w:t>Киркпатри- ка (Kirkpatrick, 1959):</w:t>
      </w:r>
    </w:p>
    <w:p>
      <w:pPr>
        <w:pStyle w:val="ListParagraph"/>
        <w:numPr>
          <w:ilvl w:val="2"/>
          <w:numId w:val="154"/>
        </w:numPr>
        <w:tabs>
          <w:tab w:pos="425" w:val="left" w:leader="none"/>
        </w:tabs>
        <w:spacing w:line="235" w:lineRule="auto" w:before="6" w:after="0"/>
        <w:ind w:left="425" w:right="139" w:hanging="284"/>
        <w:jc w:val="both"/>
        <w:rPr>
          <w:sz w:val="20"/>
        </w:rPr>
      </w:pPr>
      <w:r>
        <w:rPr>
          <w:color w:val="231F20"/>
          <w:sz w:val="20"/>
        </w:rPr>
        <w:t>Уровень приобретения знаний и умений: в результате прохождения практики у несовершеннолетних</w:t>
      </w:r>
      <w:r>
        <w:rPr>
          <w:color w:val="231F20"/>
          <w:spacing w:val="-3"/>
          <w:sz w:val="20"/>
        </w:rPr>
        <w:t> </w:t>
      </w:r>
      <w:r>
        <w:rPr>
          <w:color w:val="231F20"/>
          <w:sz w:val="20"/>
        </w:rPr>
        <w:t>иностранных</w:t>
      </w:r>
      <w:r>
        <w:rPr>
          <w:color w:val="231F20"/>
          <w:spacing w:val="-4"/>
          <w:sz w:val="20"/>
        </w:rPr>
        <w:t> </w:t>
      </w:r>
      <w:r>
        <w:rPr>
          <w:color w:val="231F20"/>
          <w:sz w:val="20"/>
        </w:rPr>
        <w:t>граждан</w:t>
      </w:r>
      <w:r>
        <w:rPr>
          <w:color w:val="231F20"/>
          <w:spacing w:val="-4"/>
          <w:sz w:val="20"/>
        </w:rPr>
        <w:t> </w:t>
      </w:r>
      <w:r>
        <w:rPr>
          <w:color w:val="231F20"/>
          <w:sz w:val="20"/>
        </w:rPr>
        <w:t>было</w:t>
      </w:r>
      <w:r>
        <w:rPr>
          <w:color w:val="231F20"/>
          <w:spacing w:val="-4"/>
          <w:sz w:val="20"/>
        </w:rPr>
        <w:t> </w:t>
      </w:r>
      <w:r>
        <w:rPr>
          <w:color w:val="231F20"/>
          <w:sz w:val="20"/>
        </w:rPr>
        <w:t>отмечено</w:t>
      </w:r>
      <w:r>
        <w:rPr>
          <w:color w:val="231F20"/>
          <w:spacing w:val="-4"/>
          <w:sz w:val="20"/>
        </w:rPr>
        <w:t> </w:t>
      </w:r>
      <w:r>
        <w:rPr>
          <w:color w:val="231F20"/>
          <w:sz w:val="20"/>
        </w:rPr>
        <w:t>значимое</w:t>
      </w:r>
      <w:r>
        <w:rPr>
          <w:color w:val="231F20"/>
          <w:spacing w:val="-4"/>
          <w:sz w:val="20"/>
        </w:rPr>
        <w:t> </w:t>
      </w:r>
      <w:r>
        <w:rPr>
          <w:color w:val="231F20"/>
          <w:sz w:val="20"/>
        </w:rPr>
        <w:t>повышения уровня психологического благополучия (Рисуночная диагностика психологиче- ского благополучия: от 3,44 к 3,60 p&lt;0,01; Шкала психологического благополу- чия Уорик-Эдинург от 52,20 до 56,21 p&lt;0,05; Шкала удовлетворённости жизнью школьника от 117,08 до 125,05 p&lt;0,01) и культурной адаптации (Детский опро- сник аккультурационного стресса от 21,00 к 15,26 p&lt;0,05).</w:t>
      </w:r>
    </w:p>
    <w:p>
      <w:pPr>
        <w:pStyle w:val="ListParagraph"/>
        <w:spacing w:after="0" w:line="235" w:lineRule="auto"/>
        <w:jc w:val="both"/>
        <w:rPr>
          <w:sz w:val="20"/>
        </w:rPr>
        <w:sectPr>
          <w:pgSz w:w="8400" w:h="11910"/>
          <w:pgMar w:header="0" w:footer="527" w:top="400" w:bottom="740" w:left="425" w:right="425"/>
        </w:sectPr>
      </w:pPr>
    </w:p>
    <w:p>
      <w:pPr>
        <w:spacing w:before="80"/>
        <w:ind w:left="141" w:right="139" w:firstLine="0"/>
        <w:jc w:val="right"/>
        <w:rPr>
          <w:rFonts w:ascii="Georgia" w:hAnsi="Georgia"/>
          <w:sz w:val="18"/>
        </w:rPr>
      </w:pPr>
      <w:bookmarkStart w:name="_bookmark71" w:id="73"/>
      <w:bookmarkEnd w:id="73"/>
      <w:r>
        <w:rPr/>
      </w:r>
      <w:r>
        <w:rPr>
          <w:rFonts w:ascii="Georgia" w:hAnsi="Georgia"/>
          <w:color w:val="231F20"/>
          <w:spacing w:val="-2"/>
          <w:sz w:val="18"/>
        </w:rPr>
        <w:t>Раздел</w:t>
      </w:r>
      <w:r>
        <w:rPr>
          <w:rFonts w:ascii="Georgia" w:hAnsi="Georgia"/>
          <w:color w:val="231F20"/>
          <w:spacing w:val="-5"/>
          <w:sz w:val="18"/>
        </w:rPr>
        <w:t> 4.</w:t>
      </w:r>
    </w:p>
    <w:p>
      <w:pPr>
        <w:numPr>
          <w:ilvl w:val="2"/>
          <w:numId w:val="162"/>
        </w:numPr>
        <w:tabs>
          <w:tab w:pos="910" w:val="left" w:leader="none"/>
        </w:tabs>
        <w:spacing w:before="109"/>
        <w:ind w:left="910" w:right="0" w:hanging="500"/>
        <w:jc w:val="left"/>
        <w:rPr>
          <w:b/>
          <w:sz w:val="20"/>
        </w:rPr>
      </w:pPr>
      <w:r>
        <w:rPr>
          <w:b/>
          <w:color w:val="231F20"/>
          <w:sz w:val="20"/>
        </w:rPr>
        <w:t>Организация</w:t>
      </w:r>
      <w:r>
        <w:rPr>
          <w:b/>
          <w:color w:val="231F20"/>
          <w:spacing w:val="-11"/>
          <w:sz w:val="20"/>
        </w:rPr>
        <w:t> </w:t>
      </w:r>
      <w:r>
        <w:rPr>
          <w:b/>
          <w:color w:val="231F20"/>
          <w:sz w:val="20"/>
        </w:rPr>
        <w:t>групповой</w:t>
      </w:r>
      <w:r>
        <w:rPr>
          <w:b/>
          <w:color w:val="231F20"/>
          <w:spacing w:val="-10"/>
          <w:sz w:val="20"/>
        </w:rPr>
        <w:t> </w:t>
      </w:r>
      <w:r>
        <w:rPr>
          <w:b/>
          <w:color w:val="231F20"/>
          <w:sz w:val="20"/>
        </w:rPr>
        <w:t>работы</w:t>
      </w:r>
      <w:r>
        <w:rPr>
          <w:b/>
          <w:color w:val="231F20"/>
          <w:spacing w:val="-8"/>
          <w:sz w:val="20"/>
        </w:rPr>
        <w:t> </w:t>
      </w:r>
      <w:r>
        <w:rPr>
          <w:b/>
          <w:color w:val="231F20"/>
          <w:sz w:val="20"/>
        </w:rPr>
        <w:t>учащихся</w:t>
      </w:r>
      <w:r>
        <w:rPr>
          <w:b/>
          <w:color w:val="231F20"/>
          <w:spacing w:val="-9"/>
          <w:sz w:val="20"/>
        </w:rPr>
        <w:t> </w:t>
      </w:r>
      <w:r>
        <w:rPr>
          <w:b/>
          <w:color w:val="231F20"/>
          <w:sz w:val="20"/>
        </w:rPr>
        <w:t>в</w:t>
      </w:r>
      <w:r>
        <w:rPr>
          <w:b/>
          <w:color w:val="231F20"/>
          <w:spacing w:val="-9"/>
          <w:sz w:val="20"/>
        </w:rPr>
        <w:t> </w:t>
      </w:r>
      <w:r>
        <w:rPr>
          <w:b/>
          <w:color w:val="231F20"/>
          <w:sz w:val="20"/>
        </w:rPr>
        <w:t>поликультурном</w:t>
      </w:r>
      <w:r>
        <w:rPr>
          <w:b/>
          <w:color w:val="231F20"/>
          <w:spacing w:val="-9"/>
          <w:sz w:val="20"/>
        </w:rPr>
        <w:t> </w:t>
      </w:r>
      <w:r>
        <w:rPr>
          <w:b/>
          <w:color w:val="231F20"/>
          <w:spacing w:val="-2"/>
          <w:sz w:val="20"/>
        </w:rPr>
        <w:t>классе</w:t>
      </w:r>
    </w:p>
    <w:p>
      <w:pPr>
        <w:spacing w:before="109"/>
        <w:ind w:left="425" w:right="0" w:firstLine="4376"/>
        <w:jc w:val="left"/>
        <w:rPr>
          <w:i/>
          <w:sz w:val="20"/>
        </w:rPr>
      </w:pPr>
      <w:r>
        <w:rPr>
          <w:i/>
          <w:color w:val="231F20"/>
          <w:sz w:val="20"/>
        </w:rPr>
        <w:t>М.В.</w:t>
      </w:r>
      <w:r>
        <w:rPr>
          <w:i/>
          <w:color w:val="231F20"/>
          <w:spacing w:val="-6"/>
          <w:sz w:val="20"/>
        </w:rPr>
        <w:t> </w:t>
      </w:r>
      <w:r>
        <w:rPr>
          <w:i/>
          <w:color w:val="231F20"/>
          <w:sz w:val="20"/>
        </w:rPr>
        <w:t>Моисеева,</w:t>
      </w:r>
      <w:r>
        <w:rPr>
          <w:i/>
          <w:color w:val="231F20"/>
          <w:spacing w:val="-3"/>
          <w:sz w:val="20"/>
        </w:rPr>
        <w:t> </w:t>
      </w:r>
      <w:r>
        <w:rPr>
          <w:i/>
          <w:color w:val="231F20"/>
          <w:sz w:val="20"/>
        </w:rPr>
        <w:t>А.Е.</w:t>
      </w:r>
      <w:r>
        <w:rPr>
          <w:i/>
          <w:color w:val="231F20"/>
          <w:spacing w:val="-3"/>
          <w:sz w:val="20"/>
        </w:rPr>
        <w:t> </w:t>
      </w:r>
      <w:r>
        <w:rPr>
          <w:i/>
          <w:color w:val="231F20"/>
          <w:spacing w:val="-2"/>
          <w:sz w:val="20"/>
        </w:rPr>
        <w:t>Фомичева</w:t>
      </w:r>
    </w:p>
    <w:p>
      <w:pPr>
        <w:pStyle w:val="BodyText"/>
        <w:spacing w:line="232" w:lineRule="auto" w:before="115"/>
      </w:pPr>
      <w:r>
        <w:rPr/>
        <w:t>В задачи программы </w:t>
      </w:r>
      <w:r>
        <w:rPr>
          <w:color w:val="231F20"/>
        </w:rPr>
        <w:t>психолого-педагогического сопровождения процессов обу- чения,</w:t>
      </w:r>
      <w:r>
        <w:rPr>
          <w:color w:val="231F20"/>
          <w:spacing w:val="-1"/>
        </w:rPr>
        <w:t> </w:t>
      </w:r>
      <w:r>
        <w:rPr>
          <w:color w:val="231F20"/>
        </w:rPr>
        <w:t>социальной,</w:t>
      </w:r>
      <w:r>
        <w:rPr>
          <w:color w:val="231F20"/>
          <w:spacing w:val="-1"/>
        </w:rPr>
        <w:t> </w:t>
      </w:r>
      <w:r>
        <w:rPr>
          <w:color w:val="231F20"/>
        </w:rPr>
        <w:t>языковой</w:t>
      </w:r>
      <w:r>
        <w:rPr>
          <w:color w:val="231F20"/>
          <w:spacing w:val="-1"/>
        </w:rPr>
        <w:t> </w:t>
      </w:r>
      <w:r>
        <w:rPr>
          <w:color w:val="231F20"/>
        </w:rPr>
        <w:t>и</w:t>
      </w:r>
      <w:r>
        <w:rPr>
          <w:color w:val="231F20"/>
          <w:spacing w:val="-1"/>
        </w:rPr>
        <w:t> </w:t>
      </w:r>
      <w:r>
        <w:rPr>
          <w:color w:val="231F20"/>
        </w:rPr>
        <w:t>культурной</w:t>
      </w:r>
      <w:r>
        <w:rPr>
          <w:color w:val="231F20"/>
          <w:spacing w:val="-1"/>
        </w:rPr>
        <w:t> </w:t>
      </w:r>
      <w:r>
        <w:rPr>
          <w:color w:val="231F20"/>
        </w:rPr>
        <w:t>адаптации</w:t>
      </w:r>
      <w:r>
        <w:rPr>
          <w:color w:val="231F20"/>
          <w:spacing w:val="-1"/>
        </w:rPr>
        <w:t> </w:t>
      </w:r>
      <w:r>
        <w:rPr>
          <w:color w:val="231F20"/>
        </w:rPr>
        <w:t>детей</w:t>
      </w:r>
      <w:r>
        <w:rPr>
          <w:color w:val="231F20"/>
          <w:spacing w:val="-1"/>
        </w:rPr>
        <w:t> </w:t>
      </w:r>
      <w:r>
        <w:rPr>
          <w:color w:val="231F20"/>
        </w:rPr>
        <w:t>–</w:t>
      </w:r>
      <w:r>
        <w:rPr>
          <w:color w:val="231F20"/>
          <w:spacing w:val="-1"/>
        </w:rPr>
        <w:t> </w:t>
      </w:r>
      <w:r>
        <w:rPr>
          <w:color w:val="231F20"/>
        </w:rPr>
        <w:t>иностранных</w:t>
      </w:r>
      <w:r>
        <w:rPr>
          <w:color w:val="231F20"/>
          <w:spacing w:val="-1"/>
        </w:rPr>
        <w:t> </w:t>
      </w:r>
      <w:r>
        <w:rPr>
          <w:color w:val="231F20"/>
        </w:rPr>
        <w:t>граждан </w:t>
      </w:r>
      <w:r>
        <w:rPr/>
        <w:t>в области их особых (дополнительных) образовательных потребностей входит</w:t>
      </w:r>
      <w:r>
        <w:rPr>
          <w:color w:val="231F20"/>
        </w:rPr>
        <w:t>:</w:t>
      </w:r>
    </w:p>
    <w:p>
      <w:pPr>
        <w:pStyle w:val="ListParagraph"/>
        <w:numPr>
          <w:ilvl w:val="0"/>
          <w:numId w:val="168"/>
        </w:numPr>
        <w:tabs>
          <w:tab w:pos="425" w:val="left" w:leader="none"/>
        </w:tabs>
        <w:spacing w:line="232" w:lineRule="auto" w:before="0" w:after="0"/>
        <w:ind w:left="425" w:right="139" w:hanging="284"/>
        <w:jc w:val="both"/>
        <w:rPr>
          <w:sz w:val="20"/>
        </w:rPr>
      </w:pPr>
      <w:r>
        <w:rPr>
          <w:sz w:val="20"/>
        </w:rPr>
        <w:t>формирование</w:t>
      </w:r>
      <w:r>
        <w:rPr>
          <w:spacing w:val="-1"/>
          <w:sz w:val="20"/>
        </w:rPr>
        <w:t> </w:t>
      </w:r>
      <w:r>
        <w:rPr>
          <w:sz w:val="20"/>
        </w:rPr>
        <w:t>навыков</w:t>
      </w:r>
      <w:r>
        <w:rPr>
          <w:spacing w:val="-1"/>
          <w:sz w:val="20"/>
        </w:rPr>
        <w:t> </w:t>
      </w:r>
      <w:r>
        <w:rPr>
          <w:sz w:val="20"/>
        </w:rPr>
        <w:t>поведения</w:t>
      </w:r>
      <w:r>
        <w:rPr>
          <w:spacing w:val="-1"/>
          <w:sz w:val="20"/>
        </w:rPr>
        <w:t> </w:t>
      </w:r>
      <w:r>
        <w:rPr>
          <w:sz w:val="20"/>
        </w:rPr>
        <w:t>в</w:t>
      </w:r>
      <w:r>
        <w:rPr>
          <w:spacing w:val="-1"/>
          <w:sz w:val="20"/>
        </w:rPr>
        <w:t> </w:t>
      </w:r>
      <w:r>
        <w:rPr>
          <w:sz w:val="20"/>
        </w:rPr>
        <w:t>классе</w:t>
      </w:r>
      <w:r>
        <w:rPr>
          <w:spacing w:val="-1"/>
          <w:sz w:val="20"/>
        </w:rPr>
        <w:t> </w:t>
      </w:r>
      <w:r>
        <w:rPr>
          <w:sz w:val="20"/>
        </w:rPr>
        <w:t>и</w:t>
      </w:r>
      <w:r>
        <w:rPr>
          <w:spacing w:val="-1"/>
          <w:sz w:val="20"/>
        </w:rPr>
        <w:t> </w:t>
      </w:r>
      <w:r>
        <w:rPr>
          <w:sz w:val="20"/>
        </w:rPr>
        <w:t>в</w:t>
      </w:r>
      <w:r>
        <w:rPr>
          <w:spacing w:val="-1"/>
          <w:sz w:val="20"/>
        </w:rPr>
        <w:t> </w:t>
      </w:r>
      <w:r>
        <w:rPr>
          <w:sz w:val="20"/>
        </w:rPr>
        <w:t>школе,</w:t>
      </w:r>
      <w:r>
        <w:rPr>
          <w:spacing w:val="-1"/>
          <w:sz w:val="20"/>
        </w:rPr>
        <w:t> </w:t>
      </w:r>
      <w:r>
        <w:rPr>
          <w:sz w:val="20"/>
        </w:rPr>
        <w:t>выполнения</w:t>
      </w:r>
      <w:r>
        <w:rPr>
          <w:spacing w:val="-1"/>
          <w:sz w:val="20"/>
        </w:rPr>
        <w:t> </w:t>
      </w:r>
      <w:r>
        <w:rPr>
          <w:sz w:val="20"/>
        </w:rPr>
        <w:t>домашних</w:t>
      </w:r>
      <w:r>
        <w:rPr>
          <w:spacing w:val="-1"/>
          <w:sz w:val="20"/>
        </w:rPr>
        <w:t> </w:t>
      </w:r>
      <w:r>
        <w:rPr>
          <w:sz w:val="20"/>
        </w:rPr>
        <w:t>за- даний, взаимодействия со сверстниками и взрослыми;</w:t>
      </w:r>
    </w:p>
    <w:p>
      <w:pPr>
        <w:pStyle w:val="ListParagraph"/>
        <w:numPr>
          <w:ilvl w:val="0"/>
          <w:numId w:val="168"/>
        </w:numPr>
        <w:tabs>
          <w:tab w:pos="425" w:val="left" w:leader="none"/>
        </w:tabs>
        <w:spacing w:line="232" w:lineRule="auto" w:before="0" w:after="0"/>
        <w:ind w:left="425" w:right="139" w:hanging="284"/>
        <w:jc w:val="both"/>
        <w:rPr>
          <w:sz w:val="20"/>
        </w:rPr>
      </w:pPr>
      <w:r>
        <w:rPr>
          <w:sz w:val="20"/>
        </w:rPr>
        <w:t>обеспечение объективной и субъективной включенности ребенка в школьное со- </w:t>
      </w:r>
      <w:r>
        <w:rPr>
          <w:spacing w:val="-2"/>
          <w:sz w:val="20"/>
        </w:rPr>
        <w:t>общество.</w:t>
      </w:r>
    </w:p>
    <w:p>
      <w:pPr>
        <w:pStyle w:val="BodyText"/>
        <w:spacing w:line="232" w:lineRule="auto"/>
      </w:pPr>
      <w:r>
        <w:rPr/>
        <w:t>Очевидно, что решение данных задач только воспитательными средствами, без задействования технологий учебной работы, будет недостаточно эффективно. В об- разовательном учреждении большую часть времени ребенок занят учебой. Соответ- ственно, без внесения изменений в организацию учебной деятельности невозможно </w:t>
      </w:r>
      <w:r>
        <w:rPr>
          <w:spacing w:val="-2"/>
        </w:rPr>
        <w:t>успешно</w:t>
      </w:r>
      <w:r>
        <w:rPr>
          <w:spacing w:val="-6"/>
        </w:rPr>
        <w:t> </w:t>
      </w:r>
      <w:r>
        <w:rPr>
          <w:color w:val="231F20"/>
          <w:spacing w:val="-2"/>
        </w:rPr>
        <w:t>формировать</w:t>
      </w:r>
      <w:r>
        <w:rPr>
          <w:color w:val="231F20"/>
          <w:spacing w:val="-6"/>
        </w:rPr>
        <w:t> </w:t>
      </w:r>
      <w:r>
        <w:rPr>
          <w:color w:val="231F20"/>
          <w:spacing w:val="-2"/>
        </w:rPr>
        <w:t>инклюзивную</w:t>
      </w:r>
      <w:r>
        <w:rPr>
          <w:color w:val="231F20"/>
          <w:spacing w:val="-6"/>
        </w:rPr>
        <w:t> </w:t>
      </w:r>
      <w:r>
        <w:rPr>
          <w:color w:val="231F20"/>
          <w:spacing w:val="-2"/>
        </w:rPr>
        <w:t>образовательную</w:t>
      </w:r>
      <w:r>
        <w:rPr>
          <w:color w:val="231F20"/>
          <w:spacing w:val="-6"/>
        </w:rPr>
        <w:t> </w:t>
      </w:r>
      <w:r>
        <w:rPr>
          <w:color w:val="231F20"/>
          <w:spacing w:val="-2"/>
        </w:rPr>
        <w:t>среду,</w:t>
      </w:r>
      <w:r>
        <w:rPr>
          <w:color w:val="231F20"/>
          <w:spacing w:val="-6"/>
        </w:rPr>
        <w:t> </w:t>
      </w:r>
      <w:r>
        <w:rPr>
          <w:color w:val="231F20"/>
          <w:spacing w:val="-2"/>
        </w:rPr>
        <w:t>обеспечивающую</w:t>
      </w:r>
      <w:r>
        <w:rPr>
          <w:color w:val="231F20"/>
          <w:spacing w:val="-6"/>
        </w:rPr>
        <w:t> </w:t>
      </w:r>
      <w:r>
        <w:rPr>
          <w:color w:val="231F20"/>
          <w:spacing w:val="-2"/>
        </w:rPr>
        <w:t>вклю- </w:t>
      </w:r>
      <w:r>
        <w:rPr>
          <w:color w:val="231F20"/>
        </w:rPr>
        <w:t>чение детей – иностранных граждан в российское образовательное пространство.</w:t>
      </w:r>
    </w:p>
    <w:p>
      <w:pPr>
        <w:pStyle w:val="BodyText"/>
        <w:spacing w:line="232" w:lineRule="auto"/>
      </w:pPr>
      <w:r>
        <w:rPr>
          <w:color w:val="231F20"/>
        </w:rPr>
        <w:t>Одним из магистральных подходов в этом направлении выступает организация групповой работы учащихся, которая, с одной стороны, повышает инклюзивность образовательной среды, а с другой – отражает современные требования ФГОСов.</w:t>
      </w:r>
    </w:p>
    <w:p>
      <w:pPr>
        <w:pStyle w:val="BodyText"/>
        <w:spacing w:line="232" w:lineRule="auto"/>
      </w:pPr>
      <w:r>
        <w:rPr>
          <w:color w:val="231F20"/>
          <w:spacing w:val="-2"/>
        </w:rPr>
        <w:t>Переход</w:t>
      </w:r>
      <w:r>
        <w:rPr>
          <w:color w:val="231F20"/>
          <w:spacing w:val="-5"/>
        </w:rPr>
        <w:t> </w:t>
      </w:r>
      <w:r>
        <w:rPr>
          <w:color w:val="231F20"/>
          <w:spacing w:val="-2"/>
        </w:rPr>
        <w:t>российской</w:t>
      </w:r>
      <w:r>
        <w:rPr>
          <w:color w:val="231F20"/>
          <w:spacing w:val="-5"/>
        </w:rPr>
        <w:t> </w:t>
      </w:r>
      <w:r>
        <w:rPr>
          <w:color w:val="231F20"/>
          <w:spacing w:val="-2"/>
        </w:rPr>
        <w:t>школы</w:t>
      </w:r>
      <w:r>
        <w:rPr>
          <w:color w:val="231F20"/>
          <w:spacing w:val="-5"/>
        </w:rPr>
        <w:t> </w:t>
      </w:r>
      <w:r>
        <w:rPr>
          <w:color w:val="231F20"/>
          <w:spacing w:val="-2"/>
        </w:rPr>
        <w:t>на</w:t>
      </w:r>
      <w:r>
        <w:rPr>
          <w:color w:val="231F20"/>
          <w:spacing w:val="-5"/>
        </w:rPr>
        <w:t> </w:t>
      </w:r>
      <w:r>
        <w:rPr>
          <w:color w:val="231F20"/>
          <w:spacing w:val="-2"/>
        </w:rPr>
        <w:t>обучение</w:t>
      </w:r>
      <w:r>
        <w:rPr>
          <w:color w:val="231F20"/>
          <w:spacing w:val="-5"/>
        </w:rPr>
        <w:t> </w:t>
      </w:r>
      <w:r>
        <w:rPr>
          <w:color w:val="231F20"/>
          <w:spacing w:val="-2"/>
        </w:rPr>
        <w:t>по</w:t>
      </w:r>
      <w:r>
        <w:rPr>
          <w:color w:val="231F20"/>
          <w:spacing w:val="-5"/>
        </w:rPr>
        <w:t> </w:t>
      </w:r>
      <w:r>
        <w:rPr>
          <w:color w:val="231F20"/>
          <w:spacing w:val="-2"/>
        </w:rPr>
        <w:t>ФГОСам</w:t>
      </w:r>
      <w:r>
        <w:rPr>
          <w:color w:val="231F20"/>
          <w:spacing w:val="-5"/>
        </w:rPr>
        <w:t> </w:t>
      </w:r>
      <w:r>
        <w:rPr>
          <w:color w:val="231F20"/>
          <w:spacing w:val="-2"/>
        </w:rPr>
        <w:t>нового</w:t>
      </w:r>
      <w:r>
        <w:rPr>
          <w:color w:val="231F20"/>
          <w:spacing w:val="-5"/>
        </w:rPr>
        <w:t> </w:t>
      </w:r>
      <w:r>
        <w:rPr>
          <w:color w:val="231F20"/>
          <w:spacing w:val="-2"/>
        </w:rPr>
        <w:t>поколения</w:t>
      </w:r>
      <w:r>
        <w:rPr>
          <w:color w:val="231F20"/>
          <w:spacing w:val="-5"/>
        </w:rPr>
        <w:t> </w:t>
      </w:r>
      <w:r>
        <w:rPr>
          <w:color w:val="231F20"/>
          <w:spacing w:val="-2"/>
        </w:rPr>
        <w:t>выявил</w:t>
      </w:r>
      <w:r>
        <w:rPr>
          <w:color w:val="231F20"/>
          <w:spacing w:val="-5"/>
        </w:rPr>
        <w:t> </w:t>
      </w:r>
      <w:r>
        <w:rPr>
          <w:color w:val="231F20"/>
          <w:spacing w:val="-2"/>
        </w:rPr>
        <w:t>не- </w:t>
      </w:r>
      <w:r>
        <w:rPr>
          <w:color w:val="231F20"/>
        </w:rPr>
        <w:t>мало</w:t>
      </w:r>
      <w:r>
        <w:rPr>
          <w:color w:val="231F20"/>
          <w:spacing w:val="-3"/>
        </w:rPr>
        <w:t> </w:t>
      </w:r>
      <w:r>
        <w:rPr>
          <w:color w:val="231F20"/>
        </w:rPr>
        <w:t>проблем,</w:t>
      </w:r>
      <w:r>
        <w:rPr>
          <w:color w:val="231F20"/>
          <w:spacing w:val="-3"/>
        </w:rPr>
        <w:t> </w:t>
      </w:r>
      <w:r>
        <w:rPr>
          <w:color w:val="231F20"/>
        </w:rPr>
        <w:t>связанных</w:t>
      </w:r>
      <w:r>
        <w:rPr>
          <w:color w:val="231F20"/>
          <w:spacing w:val="-3"/>
        </w:rPr>
        <w:t> </w:t>
      </w:r>
      <w:r>
        <w:rPr>
          <w:color w:val="231F20"/>
        </w:rPr>
        <w:t>с</w:t>
      </w:r>
      <w:r>
        <w:rPr>
          <w:color w:val="231F20"/>
          <w:spacing w:val="-3"/>
        </w:rPr>
        <w:t> </w:t>
      </w:r>
      <w:r>
        <w:rPr>
          <w:color w:val="231F20"/>
        </w:rPr>
        <w:t>использованием</w:t>
      </w:r>
      <w:r>
        <w:rPr>
          <w:color w:val="231F20"/>
          <w:spacing w:val="-3"/>
        </w:rPr>
        <w:t> </w:t>
      </w:r>
      <w:r>
        <w:rPr>
          <w:color w:val="231F20"/>
        </w:rPr>
        <w:t>методов</w:t>
      </w:r>
      <w:r>
        <w:rPr>
          <w:color w:val="231F20"/>
          <w:spacing w:val="-3"/>
        </w:rPr>
        <w:t> </w:t>
      </w:r>
      <w:r>
        <w:rPr>
          <w:color w:val="231F20"/>
        </w:rPr>
        <w:t>и</w:t>
      </w:r>
      <w:r>
        <w:rPr>
          <w:color w:val="231F20"/>
          <w:spacing w:val="-3"/>
        </w:rPr>
        <w:t> </w:t>
      </w:r>
      <w:r>
        <w:rPr>
          <w:color w:val="231F20"/>
        </w:rPr>
        <w:t>технологий</w:t>
      </w:r>
      <w:r>
        <w:rPr>
          <w:color w:val="231F20"/>
          <w:spacing w:val="-3"/>
        </w:rPr>
        <w:t> </w:t>
      </w:r>
      <w:r>
        <w:rPr>
          <w:color w:val="231F20"/>
        </w:rPr>
        <w:t>обучения.</w:t>
      </w:r>
      <w:r>
        <w:rPr>
          <w:color w:val="231F20"/>
          <w:spacing w:val="-3"/>
        </w:rPr>
        <w:t> </w:t>
      </w:r>
      <w:r>
        <w:rPr>
          <w:color w:val="231F20"/>
        </w:rPr>
        <w:t>Несмо- тря на широкую известность в педагогических кругах личностно-ориентированных методов (обучение в сотрудничестве, проектное и проблемное обучение и др.), эти методы не получили широкого распространения в школе в связи с большой трудо- емкостью их использования и необходимостью специальной подготовки учащихся. Фронтальное</w:t>
      </w:r>
      <w:r>
        <w:rPr>
          <w:color w:val="231F20"/>
          <w:spacing w:val="-2"/>
        </w:rPr>
        <w:t> </w:t>
      </w:r>
      <w:r>
        <w:rPr>
          <w:color w:val="231F20"/>
        </w:rPr>
        <w:t>обучение</w:t>
      </w:r>
      <w:r>
        <w:rPr>
          <w:color w:val="231F20"/>
          <w:spacing w:val="-2"/>
        </w:rPr>
        <w:t> </w:t>
      </w:r>
      <w:r>
        <w:rPr>
          <w:color w:val="231F20"/>
        </w:rPr>
        <w:t>(с</w:t>
      </w:r>
      <w:r>
        <w:rPr>
          <w:color w:val="231F20"/>
          <w:spacing w:val="-2"/>
        </w:rPr>
        <w:t> </w:t>
      </w:r>
      <w:r>
        <w:rPr>
          <w:color w:val="231F20"/>
        </w:rPr>
        <w:t>его</w:t>
      </w:r>
      <w:r>
        <w:rPr>
          <w:color w:val="231F20"/>
          <w:spacing w:val="-2"/>
        </w:rPr>
        <w:t> </w:t>
      </w:r>
      <w:r>
        <w:rPr>
          <w:color w:val="231F20"/>
        </w:rPr>
        <w:t>репродуктивными</w:t>
      </w:r>
      <w:r>
        <w:rPr>
          <w:color w:val="231F20"/>
          <w:spacing w:val="-2"/>
        </w:rPr>
        <w:t> </w:t>
      </w:r>
      <w:r>
        <w:rPr>
          <w:color w:val="231F20"/>
        </w:rPr>
        <w:t>и</w:t>
      </w:r>
      <w:r>
        <w:rPr>
          <w:color w:val="231F20"/>
          <w:spacing w:val="-2"/>
        </w:rPr>
        <w:t> </w:t>
      </w:r>
      <w:r>
        <w:rPr>
          <w:color w:val="231F20"/>
        </w:rPr>
        <w:t>иллюстративно-объяснительными методами)</w:t>
      </w:r>
      <w:r>
        <w:rPr>
          <w:color w:val="231F20"/>
          <w:spacing w:val="-11"/>
        </w:rPr>
        <w:t> </w:t>
      </w:r>
      <w:r>
        <w:rPr>
          <w:color w:val="231F20"/>
        </w:rPr>
        <w:t>продолжает</w:t>
      </w:r>
      <w:r>
        <w:rPr>
          <w:color w:val="231F20"/>
          <w:spacing w:val="-11"/>
        </w:rPr>
        <w:t> </w:t>
      </w:r>
      <w:r>
        <w:rPr>
          <w:color w:val="231F20"/>
        </w:rPr>
        <w:t>сегодня</w:t>
      </w:r>
      <w:r>
        <w:rPr>
          <w:color w:val="231F20"/>
          <w:spacing w:val="-11"/>
        </w:rPr>
        <w:t> </w:t>
      </w:r>
      <w:r>
        <w:rPr>
          <w:color w:val="231F20"/>
        </w:rPr>
        <w:t>доминировать,</w:t>
      </w:r>
      <w:r>
        <w:rPr>
          <w:color w:val="231F20"/>
          <w:spacing w:val="-11"/>
        </w:rPr>
        <w:t> </w:t>
      </w:r>
      <w:r>
        <w:rPr>
          <w:color w:val="231F20"/>
        </w:rPr>
        <w:t>хотя</w:t>
      </w:r>
      <w:r>
        <w:rPr>
          <w:color w:val="231F20"/>
          <w:spacing w:val="-11"/>
        </w:rPr>
        <w:t> </w:t>
      </w:r>
      <w:r>
        <w:rPr>
          <w:color w:val="231F20"/>
        </w:rPr>
        <w:t>на</w:t>
      </w:r>
      <w:r>
        <w:rPr>
          <w:color w:val="231F20"/>
          <w:spacing w:val="-11"/>
        </w:rPr>
        <w:t> </w:t>
      </w:r>
      <w:r>
        <w:rPr>
          <w:color w:val="231F20"/>
        </w:rPr>
        <w:t>современном</w:t>
      </w:r>
      <w:r>
        <w:rPr>
          <w:color w:val="231F20"/>
          <w:spacing w:val="-11"/>
        </w:rPr>
        <w:t> </w:t>
      </w:r>
      <w:r>
        <w:rPr>
          <w:color w:val="231F20"/>
        </w:rPr>
        <w:t>уроке,</w:t>
      </w:r>
      <w:r>
        <w:rPr>
          <w:color w:val="231F20"/>
          <w:spacing w:val="-11"/>
        </w:rPr>
        <w:t> </w:t>
      </w:r>
      <w:r>
        <w:rPr>
          <w:color w:val="231F20"/>
        </w:rPr>
        <w:t>построен- ном</w:t>
      </w:r>
      <w:r>
        <w:rPr>
          <w:color w:val="231F20"/>
          <w:spacing w:val="-13"/>
        </w:rPr>
        <w:t> </w:t>
      </w:r>
      <w:r>
        <w:rPr>
          <w:color w:val="231F20"/>
        </w:rPr>
        <w:t>в</w:t>
      </w:r>
      <w:r>
        <w:rPr>
          <w:color w:val="231F20"/>
          <w:spacing w:val="-12"/>
        </w:rPr>
        <w:t> </w:t>
      </w:r>
      <w:r>
        <w:rPr>
          <w:color w:val="231F20"/>
        </w:rPr>
        <w:t>соответствии</w:t>
      </w:r>
      <w:r>
        <w:rPr>
          <w:color w:val="231F20"/>
          <w:spacing w:val="-13"/>
        </w:rPr>
        <w:t> </w:t>
      </w:r>
      <w:r>
        <w:rPr>
          <w:color w:val="231F20"/>
        </w:rPr>
        <w:t>с</w:t>
      </w:r>
      <w:r>
        <w:rPr>
          <w:color w:val="231F20"/>
          <w:spacing w:val="-12"/>
        </w:rPr>
        <w:t> </w:t>
      </w:r>
      <w:r>
        <w:rPr>
          <w:color w:val="231F20"/>
        </w:rPr>
        <w:t>требованиями</w:t>
      </w:r>
      <w:r>
        <w:rPr>
          <w:color w:val="231F20"/>
          <w:spacing w:val="-13"/>
        </w:rPr>
        <w:t> </w:t>
      </w:r>
      <w:r>
        <w:rPr>
          <w:color w:val="231F20"/>
        </w:rPr>
        <w:t>ФГОСов,</w:t>
      </w:r>
      <w:r>
        <w:rPr>
          <w:color w:val="231F20"/>
          <w:spacing w:val="-12"/>
        </w:rPr>
        <w:t> </w:t>
      </w:r>
      <w:r>
        <w:rPr>
          <w:color w:val="231F20"/>
        </w:rPr>
        <w:t>учащиеся</w:t>
      </w:r>
      <w:r>
        <w:rPr>
          <w:color w:val="231F20"/>
          <w:spacing w:val="-13"/>
        </w:rPr>
        <w:t> </w:t>
      </w:r>
      <w:r>
        <w:rPr>
          <w:color w:val="231F20"/>
        </w:rPr>
        <w:t>должны</w:t>
      </w:r>
      <w:r>
        <w:rPr>
          <w:color w:val="231F20"/>
          <w:spacing w:val="-12"/>
        </w:rPr>
        <w:t> </w:t>
      </w:r>
      <w:r>
        <w:rPr>
          <w:color w:val="231F20"/>
        </w:rPr>
        <w:t>формировать</w:t>
      </w:r>
      <w:r>
        <w:rPr>
          <w:color w:val="231F20"/>
          <w:spacing w:val="-13"/>
        </w:rPr>
        <w:t> </w:t>
      </w:r>
      <w:r>
        <w:rPr>
          <w:color w:val="231F20"/>
        </w:rPr>
        <w:t>различ- ные</w:t>
      </w:r>
      <w:r>
        <w:rPr>
          <w:color w:val="231F20"/>
          <w:spacing w:val="-10"/>
        </w:rPr>
        <w:t> </w:t>
      </w:r>
      <w:r>
        <w:rPr>
          <w:color w:val="231F20"/>
        </w:rPr>
        <w:t>компетенции,</w:t>
      </w:r>
      <w:r>
        <w:rPr>
          <w:color w:val="231F20"/>
          <w:spacing w:val="-10"/>
        </w:rPr>
        <w:t> </w:t>
      </w:r>
      <w:r>
        <w:rPr>
          <w:color w:val="231F20"/>
        </w:rPr>
        <w:t>относящиеся</w:t>
      </w:r>
      <w:r>
        <w:rPr>
          <w:color w:val="231F20"/>
          <w:spacing w:val="-11"/>
        </w:rPr>
        <w:t> </w:t>
      </w:r>
      <w:r>
        <w:rPr>
          <w:color w:val="231F20"/>
        </w:rPr>
        <w:t>к</w:t>
      </w:r>
      <w:r>
        <w:rPr>
          <w:color w:val="231F20"/>
          <w:spacing w:val="-11"/>
        </w:rPr>
        <w:t> </w:t>
      </w:r>
      <w:r>
        <w:rPr>
          <w:color w:val="231F20"/>
        </w:rPr>
        <w:t>группе</w:t>
      </w:r>
      <w:r>
        <w:rPr>
          <w:color w:val="231F20"/>
          <w:spacing w:val="-10"/>
        </w:rPr>
        <w:t> </w:t>
      </w:r>
      <w:r>
        <w:rPr>
          <w:color w:val="231F20"/>
        </w:rPr>
        <w:t>так</w:t>
      </w:r>
      <w:r>
        <w:rPr>
          <w:color w:val="231F20"/>
          <w:spacing w:val="-11"/>
        </w:rPr>
        <w:t> </w:t>
      </w:r>
      <w:r>
        <w:rPr>
          <w:color w:val="231F20"/>
        </w:rPr>
        <w:t>называемых</w:t>
      </w:r>
      <w:r>
        <w:rPr>
          <w:color w:val="231F20"/>
          <w:spacing w:val="-11"/>
        </w:rPr>
        <w:t> </w:t>
      </w:r>
      <w:r>
        <w:rPr>
          <w:color w:val="231F20"/>
        </w:rPr>
        <w:t>навыков</w:t>
      </w:r>
      <w:r>
        <w:rPr>
          <w:color w:val="231F20"/>
          <w:spacing w:val="-11"/>
        </w:rPr>
        <w:t> </w:t>
      </w:r>
      <w:r>
        <w:rPr>
          <w:color w:val="231F20"/>
        </w:rPr>
        <w:t>21-го</w:t>
      </w:r>
      <w:r>
        <w:rPr>
          <w:color w:val="231F20"/>
          <w:spacing w:val="-11"/>
        </w:rPr>
        <w:t> </w:t>
      </w:r>
      <w:r>
        <w:rPr>
          <w:color w:val="231F20"/>
        </w:rPr>
        <w:t>века,</w:t>
      </w:r>
      <w:r>
        <w:rPr>
          <w:color w:val="231F20"/>
          <w:spacing w:val="-11"/>
        </w:rPr>
        <w:t> </w:t>
      </w:r>
      <w:r>
        <w:rPr>
          <w:color w:val="231F20"/>
        </w:rPr>
        <w:t>что</w:t>
      </w:r>
      <w:r>
        <w:rPr>
          <w:color w:val="231F20"/>
          <w:spacing w:val="-11"/>
        </w:rPr>
        <w:t> </w:t>
      </w:r>
      <w:r>
        <w:rPr>
          <w:color w:val="231F20"/>
        </w:rPr>
        <w:t>при фронтальном обучении сделать невозможно.</w:t>
      </w:r>
    </w:p>
    <w:p>
      <w:pPr>
        <w:pStyle w:val="BodyText"/>
        <w:spacing w:line="232" w:lineRule="auto"/>
      </w:pPr>
      <w:r>
        <w:rPr>
          <w:color w:val="231F20"/>
        </w:rPr>
        <w:t>ФГОСы</w:t>
      </w:r>
      <w:r>
        <w:rPr>
          <w:color w:val="231F20"/>
          <w:spacing w:val="-7"/>
        </w:rPr>
        <w:t> </w:t>
      </w:r>
      <w:r>
        <w:rPr>
          <w:color w:val="231F20"/>
        </w:rPr>
        <w:t>нового</w:t>
      </w:r>
      <w:r>
        <w:rPr>
          <w:color w:val="231F20"/>
          <w:spacing w:val="-7"/>
        </w:rPr>
        <w:t> </w:t>
      </w:r>
      <w:r>
        <w:rPr>
          <w:color w:val="231F20"/>
        </w:rPr>
        <w:t>поколения</w:t>
      </w:r>
      <w:r>
        <w:rPr>
          <w:color w:val="231F20"/>
          <w:spacing w:val="-6"/>
        </w:rPr>
        <w:t> </w:t>
      </w:r>
      <w:r>
        <w:rPr>
          <w:color w:val="231F20"/>
        </w:rPr>
        <w:t>ставят</w:t>
      </w:r>
      <w:r>
        <w:rPr>
          <w:color w:val="231F20"/>
          <w:spacing w:val="-7"/>
        </w:rPr>
        <w:t> </w:t>
      </w:r>
      <w:r>
        <w:rPr>
          <w:color w:val="231F20"/>
        </w:rPr>
        <w:t>перед</w:t>
      </w:r>
      <w:r>
        <w:rPr>
          <w:color w:val="231F20"/>
          <w:spacing w:val="-7"/>
        </w:rPr>
        <w:t> </w:t>
      </w:r>
      <w:r>
        <w:rPr>
          <w:color w:val="231F20"/>
        </w:rPr>
        <w:t>учителями</w:t>
      </w:r>
      <w:r>
        <w:rPr>
          <w:color w:val="231F20"/>
          <w:spacing w:val="-7"/>
        </w:rPr>
        <w:t> </w:t>
      </w:r>
      <w:r>
        <w:rPr>
          <w:color w:val="231F20"/>
        </w:rPr>
        <w:t>следующие</w:t>
      </w:r>
      <w:r>
        <w:rPr>
          <w:color w:val="231F20"/>
          <w:spacing w:val="-6"/>
        </w:rPr>
        <w:t> </w:t>
      </w:r>
      <w:r>
        <w:rPr>
          <w:color w:val="231F20"/>
        </w:rPr>
        <w:t>(среди</w:t>
      </w:r>
      <w:r>
        <w:rPr>
          <w:color w:val="231F20"/>
          <w:spacing w:val="-7"/>
        </w:rPr>
        <w:t> </w:t>
      </w:r>
      <w:r>
        <w:rPr>
          <w:color w:val="231F20"/>
        </w:rPr>
        <w:t>прочих)</w:t>
      </w:r>
      <w:r>
        <w:rPr>
          <w:color w:val="231F20"/>
          <w:spacing w:val="-6"/>
        </w:rPr>
        <w:t> </w:t>
      </w:r>
      <w:r>
        <w:rPr>
          <w:color w:val="231F20"/>
        </w:rPr>
        <w:t>за- дачи. Формирование:</w:t>
      </w:r>
    </w:p>
    <w:p>
      <w:pPr>
        <w:pStyle w:val="ListParagraph"/>
        <w:numPr>
          <w:ilvl w:val="0"/>
          <w:numId w:val="169"/>
        </w:numPr>
        <w:tabs>
          <w:tab w:pos="423" w:val="left" w:leader="none"/>
          <w:tab w:pos="425" w:val="left" w:leader="none"/>
        </w:tabs>
        <w:spacing w:line="232" w:lineRule="auto" w:before="0" w:after="0"/>
        <w:ind w:left="425" w:right="139" w:hanging="284"/>
        <w:jc w:val="both"/>
        <w:rPr>
          <w:sz w:val="20"/>
        </w:rPr>
      </w:pPr>
      <w:r>
        <w:rPr>
          <w:color w:val="231F20"/>
          <w:sz w:val="20"/>
        </w:rPr>
        <w:t>«коммуникативной</w:t>
      </w:r>
      <w:r>
        <w:rPr>
          <w:color w:val="231F20"/>
          <w:spacing w:val="-5"/>
          <w:sz w:val="20"/>
        </w:rPr>
        <w:t> </w:t>
      </w:r>
      <w:r>
        <w:rPr>
          <w:color w:val="231F20"/>
          <w:sz w:val="20"/>
        </w:rPr>
        <w:t>компетенции</w:t>
      </w:r>
      <w:r>
        <w:rPr>
          <w:color w:val="231F20"/>
          <w:spacing w:val="-5"/>
          <w:sz w:val="20"/>
        </w:rPr>
        <w:t> </w:t>
      </w:r>
      <w:r>
        <w:rPr>
          <w:color w:val="231F20"/>
          <w:sz w:val="20"/>
        </w:rPr>
        <w:t>в</w:t>
      </w:r>
      <w:r>
        <w:rPr>
          <w:color w:val="231F20"/>
          <w:spacing w:val="-5"/>
          <w:sz w:val="20"/>
        </w:rPr>
        <w:t> </w:t>
      </w:r>
      <w:r>
        <w:rPr>
          <w:color w:val="231F20"/>
          <w:sz w:val="20"/>
        </w:rPr>
        <w:t>общении</w:t>
      </w:r>
      <w:r>
        <w:rPr>
          <w:color w:val="231F20"/>
          <w:spacing w:val="-5"/>
          <w:sz w:val="20"/>
        </w:rPr>
        <w:t> </w:t>
      </w:r>
      <w:r>
        <w:rPr>
          <w:color w:val="231F20"/>
          <w:sz w:val="20"/>
        </w:rPr>
        <w:t>и</w:t>
      </w:r>
      <w:r>
        <w:rPr>
          <w:color w:val="231F20"/>
          <w:spacing w:val="-5"/>
          <w:sz w:val="20"/>
        </w:rPr>
        <w:t> </w:t>
      </w:r>
      <w:r>
        <w:rPr>
          <w:color w:val="231F20"/>
          <w:sz w:val="20"/>
        </w:rPr>
        <w:t>сотрудничестве</w:t>
      </w:r>
      <w:r>
        <w:rPr>
          <w:color w:val="231F20"/>
          <w:spacing w:val="-5"/>
          <w:sz w:val="20"/>
        </w:rPr>
        <w:t> </w:t>
      </w:r>
      <w:r>
        <w:rPr>
          <w:color w:val="231F20"/>
          <w:sz w:val="20"/>
        </w:rPr>
        <w:t>в</w:t>
      </w:r>
      <w:r>
        <w:rPr>
          <w:color w:val="231F20"/>
          <w:spacing w:val="-5"/>
          <w:sz w:val="20"/>
        </w:rPr>
        <w:t> </w:t>
      </w:r>
      <w:r>
        <w:rPr>
          <w:color w:val="231F20"/>
          <w:sz w:val="20"/>
        </w:rPr>
        <w:t>процессе</w:t>
      </w:r>
      <w:r>
        <w:rPr>
          <w:color w:val="231F20"/>
          <w:spacing w:val="-5"/>
          <w:sz w:val="20"/>
        </w:rPr>
        <w:t> </w:t>
      </w:r>
      <w:r>
        <w:rPr>
          <w:color w:val="231F20"/>
          <w:sz w:val="20"/>
        </w:rPr>
        <w:t>образо- вательной, учебно-исследовательской и других видов деятельности»;</w:t>
      </w:r>
    </w:p>
    <w:p>
      <w:pPr>
        <w:pStyle w:val="ListParagraph"/>
        <w:numPr>
          <w:ilvl w:val="0"/>
          <w:numId w:val="169"/>
        </w:numPr>
        <w:tabs>
          <w:tab w:pos="423" w:val="left" w:leader="none"/>
          <w:tab w:pos="425" w:val="left" w:leader="none"/>
        </w:tabs>
        <w:spacing w:line="232" w:lineRule="auto" w:before="0" w:after="0"/>
        <w:ind w:left="425" w:right="139" w:hanging="284"/>
        <w:jc w:val="both"/>
        <w:rPr>
          <w:sz w:val="20"/>
        </w:rPr>
      </w:pPr>
      <w:r>
        <w:rPr>
          <w:color w:val="231F20"/>
          <w:sz w:val="20"/>
        </w:rPr>
        <w:t>«умения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формулировать, аргументировать и отстаивать свое мнение»;</w:t>
      </w:r>
    </w:p>
    <w:p>
      <w:pPr>
        <w:pStyle w:val="ListParagraph"/>
        <w:numPr>
          <w:ilvl w:val="0"/>
          <w:numId w:val="169"/>
        </w:numPr>
        <w:tabs>
          <w:tab w:pos="423" w:val="left" w:leader="none"/>
          <w:tab w:pos="425" w:val="left" w:leader="none"/>
        </w:tabs>
        <w:spacing w:line="232" w:lineRule="auto" w:before="0" w:after="0"/>
        <w:ind w:left="425" w:right="139" w:hanging="284"/>
        <w:jc w:val="both"/>
        <w:rPr>
          <w:sz w:val="20"/>
        </w:rPr>
      </w:pPr>
      <w:r>
        <w:rPr>
          <w:color w:val="231F20"/>
          <w:sz w:val="20"/>
        </w:rPr>
        <w:t>«навыков сотрудничества со сверстниками, взрослыми в образовательной, учеб- но-исследовательской, проектной и других видах деятельности»;</w:t>
      </w:r>
    </w:p>
    <w:p>
      <w:pPr>
        <w:pStyle w:val="ListParagraph"/>
        <w:numPr>
          <w:ilvl w:val="0"/>
          <w:numId w:val="169"/>
        </w:numPr>
        <w:tabs>
          <w:tab w:pos="423" w:val="left" w:leader="none"/>
          <w:tab w:pos="425" w:val="left" w:leader="none"/>
        </w:tabs>
        <w:spacing w:line="232" w:lineRule="auto" w:before="0" w:after="0"/>
        <w:ind w:left="425" w:right="139" w:hanging="284"/>
        <w:jc w:val="both"/>
        <w:rPr>
          <w:sz w:val="20"/>
        </w:rPr>
      </w:pPr>
      <w:r>
        <w:rPr>
          <w:color w:val="231F20"/>
          <w:sz w:val="20"/>
        </w:rPr>
        <w:t>«умения</w:t>
      </w:r>
      <w:r>
        <w:rPr>
          <w:color w:val="231F20"/>
          <w:spacing w:val="-2"/>
          <w:sz w:val="20"/>
        </w:rPr>
        <w:t> </w:t>
      </w:r>
      <w:r>
        <w:rPr>
          <w:color w:val="231F20"/>
          <w:sz w:val="20"/>
        </w:rPr>
        <w:t>продуктивно</w:t>
      </w:r>
      <w:r>
        <w:rPr>
          <w:color w:val="231F20"/>
          <w:spacing w:val="-2"/>
          <w:sz w:val="20"/>
        </w:rPr>
        <w:t> </w:t>
      </w:r>
      <w:r>
        <w:rPr>
          <w:color w:val="231F20"/>
          <w:sz w:val="20"/>
        </w:rPr>
        <w:t>общаться</w:t>
      </w:r>
      <w:r>
        <w:rPr>
          <w:color w:val="231F20"/>
          <w:spacing w:val="-2"/>
          <w:sz w:val="20"/>
        </w:rPr>
        <w:t> </w:t>
      </w:r>
      <w:r>
        <w:rPr>
          <w:color w:val="231F20"/>
          <w:sz w:val="20"/>
        </w:rPr>
        <w:t>и</w:t>
      </w:r>
      <w:r>
        <w:rPr>
          <w:color w:val="231F20"/>
          <w:spacing w:val="-2"/>
          <w:sz w:val="20"/>
        </w:rPr>
        <w:t> </w:t>
      </w:r>
      <w:r>
        <w:rPr>
          <w:color w:val="231F20"/>
          <w:sz w:val="20"/>
        </w:rPr>
        <w:t>взаимодействовать</w:t>
      </w:r>
      <w:r>
        <w:rPr>
          <w:color w:val="231F20"/>
          <w:spacing w:val="-2"/>
          <w:sz w:val="20"/>
        </w:rPr>
        <w:t> </w:t>
      </w:r>
      <w:r>
        <w:rPr>
          <w:color w:val="231F20"/>
          <w:sz w:val="20"/>
        </w:rPr>
        <w:t>в</w:t>
      </w:r>
      <w:r>
        <w:rPr>
          <w:color w:val="231F20"/>
          <w:spacing w:val="-2"/>
          <w:sz w:val="20"/>
        </w:rPr>
        <w:t> </w:t>
      </w:r>
      <w:r>
        <w:rPr>
          <w:color w:val="231F20"/>
          <w:sz w:val="20"/>
        </w:rPr>
        <w:t>процессе</w:t>
      </w:r>
      <w:r>
        <w:rPr>
          <w:color w:val="231F20"/>
          <w:spacing w:val="-2"/>
          <w:sz w:val="20"/>
        </w:rPr>
        <w:t> </w:t>
      </w:r>
      <w:r>
        <w:rPr>
          <w:color w:val="231F20"/>
          <w:sz w:val="20"/>
        </w:rPr>
        <w:t>совместной</w:t>
      </w:r>
      <w:r>
        <w:rPr>
          <w:color w:val="231F20"/>
          <w:spacing w:val="-2"/>
          <w:sz w:val="20"/>
        </w:rPr>
        <w:t> </w:t>
      </w:r>
      <w:r>
        <w:rPr>
          <w:color w:val="231F20"/>
          <w:sz w:val="20"/>
        </w:rPr>
        <w:t>дея- тельности, учитывать позиции другого».</w:t>
      </w:r>
    </w:p>
    <w:p>
      <w:pPr>
        <w:pStyle w:val="BodyText"/>
        <w:spacing w:line="235" w:lineRule="auto"/>
      </w:pPr>
      <w:r>
        <w:rPr>
          <w:color w:val="231F20"/>
        </w:rPr>
        <w:t>В</w:t>
      </w:r>
      <w:r>
        <w:rPr>
          <w:color w:val="231F20"/>
          <w:spacing w:val="-6"/>
        </w:rPr>
        <w:t> </w:t>
      </w:r>
      <w:r>
        <w:rPr>
          <w:color w:val="231F20"/>
        </w:rPr>
        <w:t>качестве</w:t>
      </w:r>
      <w:r>
        <w:rPr>
          <w:color w:val="231F20"/>
          <w:spacing w:val="-6"/>
        </w:rPr>
        <w:t> </w:t>
      </w:r>
      <w:r>
        <w:rPr>
          <w:color w:val="231F20"/>
        </w:rPr>
        <w:t>унифицированных</w:t>
      </w:r>
      <w:r>
        <w:rPr>
          <w:color w:val="231F20"/>
          <w:spacing w:val="-6"/>
        </w:rPr>
        <w:t> </w:t>
      </w:r>
      <w:r>
        <w:rPr>
          <w:color w:val="231F20"/>
        </w:rPr>
        <w:t>методических</w:t>
      </w:r>
      <w:r>
        <w:rPr>
          <w:color w:val="231F20"/>
          <w:spacing w:val="-6"/>
        </w:rPr>
        <w:t> </w:t>
      </w:r>
      <w:r>
        <w:rPr>
          <w:color w:val="231F20"/>
        </w:rPr>
        <w:t>решений</w:t>
      </w:r>
      <w:r>
        <w:rPr>
          <w:color w:val="231F20"/>
          <w:spacing w:val="-6"/>
        </w:rPr>
        <w:t> </w:t>
      </w:r>
      <w:r>
        <w:rPr>
          <w:color w:val="231F20"/>
        </w:rPr>
        <w:t>по</w:t>
      </w:r>
      <w:r>
        <w:rPr>
          <w:color w:val="231F20"/>
          <w:spacing w:val="-6"/>
        </w:rPr>
        <w:t> </w:t>
      </w:r>
      <w:r>
        <w:rPr>
          <w:color w:val="231F20"/>
        </w:rPr>
        <w:t>реализации</w:t>
      </w:r>
      <w:r>
        <w:rPr>
          <w:color w:val="231F20"/>
          <w:spacing w:val="-6"/>
        </w:rPr>
        <w:t> </w:t>
      </w:r>
      <w:r>
        <w:rPr>
          <w:color w:val="231F20"/>
        </w:rPr>
        <w:t>перечислен- ных выше задач учителям рекомендуется использовать групповую проектную дея- тельность,</w:t>
      </w:r>
      <w:r>
        <w:rPr>
          <w:color w:val="231F20"/>
          <w:spacing w:val="-3"/>
        </w:rPr>
        <w:t> </w:t>
      </w:r>
      <w:r>
        <w:rPr>
          <w:color w:val="231F20"/>
        </w:rPr>
        <w:t>дискуссии</w:t>
      </w:r>
      <w:r>
        <w:rPr>
          <w:color w:val="231F20"/>
          <w:spacing w:val="-3"/>
        </w:rPr>
        <w:t> </w:t>
      </w:r>
      <w:r>
        <w:rPr>
          <w:color w:val="231F20"/>
        </w:rPr>
        <w:t>и</w:t>
      </w:r>
      <w:r>
        <w:rPr>
          <w:color w:val="231F20"/>
          <w:spacing w:val="-3"/>
        </w:rPr>
        <w:t> </w:t>
      </w:r>
      <w:r>
        <w:rPr>
          <w:color w:val="231F20"/>
        </w:rPr>
        <w:t>групповую</w:t>
      </w:r>
      <w:r>
        <w:rPr>
          <w:color w:val="231F20"/>
          <w:spacing w:val="-3"/>
        </w:rPr>
        <w:t> </w:t>
      </w:r>
      <w:r>
        <w:rPr>
          <w:color w:val="231F20"/>
        </w:rPr>
        <w:t>проектную</w:t>
      </w:r>
      <w:r>
        <w:rPr>
          <w:color w:val="231F20"/>
          <w:spacing w:val="-3"/>
        </w:rPr>
        <w:t> </w:t>
      </w:r>
      <w:r>
        <w:rPr>
          <w:color w:val="231F20"/>
        </w:rPr>
        <w:t>деятельность</w:t>
      </w:r>
      <w:r>
        <w:rPr>
          <w:color w:val="231F20"/>
          <w:spacing w:val="-3"/>
        </w:rPr>
        <w:t> </w:t>
      </w:r>
      <w:r>
        <w:rPr>
          <w:color w:val="231F20"/>
        </w:rPr>
        <w:t>с</w:t>
      </w:r>
      <w:r>
        <w:rPr>
          <w:color w:val="231F20"/>
          <w:spacing w:val="-3"/>
        </w:rPr>
        <w:t> </w:t>
      </w:r>
      <w:r>
        <w:rPr>
          <w:color w:val="231F20"/>
        </w:rPr>
        <w:t>распределением</w:t>
      </w:r>
      <w:r>
        <w:rPr>
          <w:color w:val="231F20"/>
          <w:spacing w:val="-3"/>
        </w:rPr>
        <w:t> </w:t>
      </w:r>
      <w:r>
        <w:rPr>
          <w:color w:val="231F20"/>
        </w:rPr>
        <w:t>ролей и оценкой индивидуального вклада в общий результат. То есть, по сути, учителям рекомендуется использовать технологии обучения в сотрудничестве.</w:t>
      </w:r>
    </w:p>
    <w:p>
      <w:pPr>
        <w:pStyle w:val="BodyText"/>
        <w:spacing w:after="0" w:line="235" w:lineRule="auto"/>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z w:val="18"/>
        </w:rPr>
        <w:t>4.4.</w:t>
      </w:r>
      <w:r>
        <w:rPr>
          <w:rFonts w:ascii="Georgia" w:hAnsi="Georgia"/>
          <w:color w:val="231F20"/>
          <w:spacing w:val="-1"/>
          <w:sz w:val="18"/>
        </w:rPr>
        <w:t> </w:t>
      </w:r>
      <w:r>
        <w:rPr>
          <w:rFonts w:ascii="Georgia" w:hAnsi="Georgia"/>
          <w:color w:val="231F20"/>
          <w:sz w:val="18"/>
        </w:rPr>
        <w:t>Методы</w:t>
      </w:r>
      <w:r>
        <w:rPr>
          <w:rFonts w:ascii="Georgia" w:hAnsi="Georgia"/>
          <w:color w:val="231F20"/>
          <w:spacing w:val="-1"/>
          <w:sz w:val="18"/>
        </w:rPr>
        <w:t> </w:t>
      </w:r>
      <w:r>
        <w:rPr>
          <w:rFonts w:ascii="Georgia" w:hAnsi="Georgia"/>
          <w:color w:val="231F20"/>
          <w:sz w:val="18"/>
        </w:rPr>
        <w:t>учебной</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1"/>
          <w:sz w:val="18"/>
        </w:rPr>
        <w:t> </w:t>
      </w:r>
      <w:r>
        <w:rPr>
          <w:rFonts w:ascii="Georgia" w:hAnsi="Georgia"/>
          <w:color w:val="231F20"/>
          <w:sz w:val="18"/>
        </w:rPr>
        <w:t>для адаптации</w:t>
      </w:r>
      <w:r>
        <w:rPr>
          <w:rFonts w:ascii="Georgia" w:hAnsi="Georgia"/>
          <w:color w:val="231F20"/>
          <w:spacing w:val="-1"/>
          <w:sz w:val="18"/>
        </w:rPr>
        <w:t> </w:t>
      </w:r>
      <w:r>
        <w:rPr>
          <w:rFonts w:ascii="Georgia" w:hAnsi="Georgia"/>
          <w:color w:val="231F20"/>
          <w:sz w:val="18"/>
        </w:rPr>
        <w:t>детей</w:t>
      </w:r>
      <w:r>
        <w:rPr>
          <w:rFonts w:ascii="Georgia" w:hAnsi="Georgia"/>
          <w:color w:val="231F20"/>
          <w:spacing w:val="-1"/>
          <w:sz w:val="18"/>
        </w:rPr>
        <w:t> </w:t>
      </w:r>
      <w:r>
        <w:rPr>
          <w:rFonts w:ascii="Georgia" w:hAnsi="Georgia"/>
          <w:color w:val="231F20"/>
          <w:sz w:val="18"/>
        </w:rPr>
        <w:t>...</w:t>
      </w:r>
      <w:r>
        <w:rPr>
          <w:rFonts w:ascii="Georgia" w:hAnsi="Georgia"/>
          <w:color w:val="231F20"/>
          <w:spacing w:val="-1"/>
          <w:sz w:val="18"/>
        </w:rPr>
        <w:t> </w:t>
      </w:r>
      <w:r>
        <w:rPr>
          <w:rFonts w:ascii="Georgia" w:hAnsi="Georgia"/>
          <w:color w:val="231F20"/>
          <w:sz w:val="18"/>
        </w:rPr>
        <w:t>во </w:t>
      </w:r>
      <w:r>
        <w:rPr>
          <w:rFonts w:ascii="Georgia" w:hAnsi="Georgia"/>
          <w:color w:val="231F20"/>
          <w:spacing w:val="-2"/>
          <w:sz w:val="18"/>
        </w:rPr>
        <w:t>взаимодействии...</w:t>
      </w:r>
    </w:p>
    <w:p>
      <w:pPr>
        <w:pStyle w:val="BodyText"/>
        <w:spacing w:line="247" w:lineRule="auto" w:before="112"/>
        <w:ind w:right="138"/>
      </w:pPr>
      <w:r>
        <w:rPr>
          <w:i/>
          <w:color w:val="231F20"/>
          <w:spacing w:val="-2"/>
        </w:rPr>
        <w:t>Обучение в сотрудничестве</w:t>
      </w:r>
      <w:r>
        <w:rPr>
          <w:i/>
          <w:color w:val="231F20"/>
          <w:spacing w:val="-3"/>
        </w:rPr>
        <w:t> </w:t>
      </w:r>
      <w:r>
        <w:rPr>
          <w:color w:val="231F20"/>
          <w:spacing w:val="-2"/>
        </w:rPr>
        <w:t>как технология стало постепенно внедряться в школь- </w:t>
      </w:r>
      <w:r>
        <w:rPr>
          <w:color w:val="231F20"/>
        </w:rPr>
        <w:t>ную</w:t>
      </w:r>
      <w:r>
        <w:rPr>
          <w:color w:val="231F20"/>
          <w:spacing w:val="-3"/>
        </w:rPr>
        <w:t> </w:t>
      </w:r>
      <w:r>
        <w:rPr>
          <w:color w:val="231F20"/>
        </w:rPr>
        <w:t>практику</w:t>
      </w:r>
      <w:r>
        <w:rPr>
          <w:color w:val="231F20"/>
          <w:spacing w:val="-3"/>
        </w:rPr>
        <w:t> </w:t>
      </w:r>
      <w:r>
        <w:rPr>
          <w:color w:val="231F20"/>
        </w:rPr>
        <w:t>в</w:t>
      </w:r>
      <w:r>
        <w:rPr>
          <w:color w:val="231F20"/>
          <w:spacing w:val="-3"/>
        </w:rPr>
        <w:t> </w:t>
      </w:r>
      <w:r>
        <w:rPr>
          <w:color w:val="231F20"/>
        </w:rPr>
        <w:t>разных</w:t>
      </w:r>
      <w:r>
        <w:rPr>
          <w:color w:val="231F20"/>
          <w:spacing w:val="-3"/>
        </w:rPr>
        <w:t> </w:t>
      </w:r>
      <w:r>
        <w:rPr>
          <w:color w:val="231F20"/>
        </w:rPr>
        <w:t>странах</w:t>
      </w:r>
      <w:r>
        <w:rPr>
          <w:color w:val="231F20"/>
          <w:spacing w:val="-3"/>
        </w:rPr>
        <w:t> </w:t>
      </w:r>
      <w:r>
        <w:rPr>
          <w:color w:val="231F20"/>
        </w:rPr>
        <w:t>мира</w:t>
      </w:r>
      <w:r>
        <w:rPr>
          <w:color w:val="231F20"/>
          <w:spacing w:val="-3"/>
        </w:rPr>
        <w:t> </w:t>
      </w:r>
      <w:r>
        <w:rPr>
          <w:color w:val="231F20"/>
        </w:rPr>
        <w:t>в</w:t>
      </w:r>
      <w:r>
        <w:rPr>
          <w:color w:val="231F20"/>
          <w:spacing w:val="-3"/>
        </w:rPr>
        <w:t> </w:t>
      </w:r>
      <w:r>
        <w:rPr>
          <w:color w:val="231F20"/>
        </w:rPr>
        <w:t>1970–1980-е</w:t>
      </w:r>
      <w:r>
        <w:rPr>
          <w:color w:val="231F20"/>
          <w:spacing w:val="-3"/>
        </w:rPr>
        <w:t> </w:t>
      </w:r>
      <w:r>
        <w:rPr>
          <w:color w:val="231F20"/>
        </w:rPr>
        <w:t>гг.</w:t>
      </w:r>
      <w:r>
        <w:rPr>
          <w:color w:val="231F20"/>
          <w:spacing w:val="-3"/>
        </w:rPr>
        <w:t> </w:t>
      </w:r>
      <w:r>
        <w:rPr>
          <w:color w:val="231F20"/>
        </w:rPr>
        <w:t>благодаря</w:t>
      </w:r>
      <w:r>
        <w:rPr>
          <w:color w:val="231F20"/>
          <w:spacing w:val="-3"/>
        </w:rPr>
        <w:t> </w:t>
      </w:r>
      <w:r>
        <w:rPr>
          <w:color w:val="231F20"/>
        </w:rPr>
        <w:t>работам</w:t>
      </w:r>
      <w:r>
        <w:rPr>
          <w:color w:val="231F20"/>
          <w:spacing w:val="-3"/>
        </w:rPr>
        <w:t> </w:t>
      </w:r>
      <w:r>
        <w:rPr>
          <w:color w:val="231F20"/>
        </w:rPr>
        <w:t>основопо- ложников</w:t>
      </w:r>
      <w:r>
        <w:rPr>
          <w:color w:val="231F20"/>
          <w:spacing w:val="-5"/>
        </w:rPr>
        <w:t> </w:t>
      </w:r>
      <w:r>
        <w:rPr>
          <w:color w:val="231F20"/>
        </w:rPr>
        <w:t>этой</w:t>
      </w:r>
      <w:r>
        <w:rPr>
          <w:color w:val="231F20"/>
          <w:spacing w:val="-5"/>
        </w:rPr>
        <w:t> </w:t>
      </w:r>
      <w:r>
        <w:rPr>
          <w:color w:val="231F20"/>
        </w:rPr>
        <w:t>технологии:</w:t>
      </w:r>
      <w:r>
        <w:rPr>
          <w:color w:val="231F20"/>
          <w:spacing w:val="-5"/>
        </w:rPr>
        <w:t> </w:t>
      </w:r>
      <w:r>
        <w:rPr>
          <w:color w:val="231F20"/>
        </w:rPr>
        <w:t>Дж.</w:t>
      </w:r>
      <w:r>
        <w:rPr>
          <w:color w:val="231F20"/>
          <w:spacing w:val="-5"/>
        </w:rPr>
        <w:t> </w:t>
      </w:r>
      <w:r>
        <w:rPr>
          <w:color w:val="231F20"/>
        </w:rPr>
        <w:t>Дьюи,</w:t>
      </w:r>
      <w:r>
        <w:rPr>
          <w:color w:val="231F20"/>
          <w:spacing w:val="-5"/>
        </w:rPr>
        <w:t> </w:t>
      </w:r>
      <w:r>
        <w:rPr>
          <w:color w:val="231F20"/>
        </w:rPr>
        <w:t>Р.</w:t>
      </w:r>
      <w:r>
        <w:rPr>
          <w:color w:val="231F20"/>
          <w:spacing w:val="-5"/>
        </w:rPr>
        <w:t> </w:t>
      </w:r>
      <w:r>
        <w:rPr>
          <w:color w:val="231F20"/>
        </w:rPr>
        <w:t>Славина,</w:t>
      </w:r>
      <w:r>
        <w:rPr>
          <w:color w:val="231F20"/>
          <w:spacing w:val="-5"/>
        </w:rPr>
        <w:t> </w:t>
      </w:r>
      <w:r>
        <w:rPr>
          <w:color w:val="231F20"/>
        </w:rPr>
        <w:t>Р.</w:t>
      </w:r>
      <w:r>
        <w:rPr>
          <w:color w:val="231F20"/>
          <w:spacing w:val="-5"/>
        </w:rPr>
        <w:t> </w:t>
      </w:r>
      <w:r>
        <w:rPr>
          <w:color w:val="231F20"/>
        </w:rPr>
        <w:t>и</w:t>
      </w:r>
      <w:r>
        <w:rPr>
          <w:color w:val="231F20"/>
          <w:spacing w:val="-5"/>
        </w:rPr>
        <w:t> </w:t>
      </w:r>
      <w:r>
        <w:rPr>
          <w:color w:val="231F20"/>
        </w:rPr>
        <w:t>Д.</w:t>
      </w:r>
      <w:r>
        <w:rPr>
          <w:color w:val="231F20"/>
          <w:spacing w:val="-5"/>
        </w:rPr>
        <w:t> </w:t>
      </w:r>
      <w:r>
        <w:rPr>
          <w:color w:val="231F20"/>
        </w:rPr>
        <w:t>Джонсонов,</w:t>
      </w:r>
      <w:r>
        <w:rPr>
          <w:color w:val="231F20"/>
          <w:spacing w:val="-5"/>
        </w:rPr>
        <w:t> </w:t>
      </w:r>
      <w:r>
        <w:rPr>
          <w:color w:val="231F20"/>
        </w:rPr>
        <w:t>Дж.</w:t>
      </w:r>
      <w:r>
        <w:rPr>
          <w:color w:val="231F20"/>
          <w:spacing w:val="-5"/>
        </w:rPr>
        <w:t> </w:t>
      </w:r>
      <w:r>
        <w:rPr>
          <w:color w:val="231F20"/>
        </w:rPr>
        <w:t>Аронсона и</w:t>
      </w:r>
      <w:r>
        <w:rPr>
          <w:color w:val="231F20"/>
          <w:spacing w:val="-12"/>
        </w:rPr>
        <w:t> </w:t>
      </w:r>
      <w:r>
        <w:rPr>
          <w:color w:val="231F20"/>
        </w:rPr>
        <w:t>др.</w:t>
      </w:r>
      <w:r>
        <w:rPr>
          <w:color w:val="231F20"/>
          <w:spacing w:val="-12"/>
        </w:rPr>
        <w:t> </w:t>
      </w:r>
      <w:r>
        <w:rPr>
          <w:color w:val="231F20"/>
        </w:rPr>
        <w:t>В</w:t>
      </w:r>
      <w:r>
        <w:rPr>
          <w:color w:val="231F20"/>
          <w:spacing w:val="-12"/>
        </w:rPr>
        <w:t> </w:t>
      </w:r>
      <w:r>
        <w:rPr>
          <w:color w:val="231F20"/>
        </w:rPr>
        <w:t>наше</w:t>
      </w:r>
      <w:r>
        <w:rPr>
          <w:color w:val="231F20"/>
          <w:spacing w:val="-12"/>
        </w:rPr>
        <w:t> </w:t>
      </w:r>
      <w:r>
        <w:rPr>
          <w:color w:val="231F20"/>
        </w:rPr>
        <w:t>время</w:t>
      </w:r>
      <w:r>
        <w:rPr>
          <w:color w:val="231F20"/>
          <w:spacing w:val="-12"/>
        </w:rPr>
        <w:t> </w:t>
      </w:r>
      <w:r>
        <w:rPr>
          <w:color w:val="231F20"/>
        </w:rPr>
        <w:t>идеи</w:t>
      </w:r>
      <w:r>
        <w:rPr>
          <w:color w:val="231F20"/>
          <w:spacing w:val="-12"/>
        </w:rPr>
        <w:t> </w:t>
      </w:r>
      <w:r>
        <w:rPr>
          <w:color w:val="231F20"/>
        </w:rPr>
        <w:t>обучения</w:t>
      </w:r>
      <w:r>
        <w:rPr>
          <w:color w:val="231F20"/>
          <w:spacing w:val="-12"/>
        </w:rPr>
        <w:t> </w:t>
      </w:r>
      <w:r>
        <w:rPr>
          <w:color w:val="231F20"/>
        </w:rPr>
        <w:t>в</w:t>
      </w:r>
      <w:r>
        <w:rPr>
          <w:color w:val="231F20"/>
          <w:spacing w:val="-12"/>
        </w:rPr>
        <w:t> </w:t>
      </w:r>
      <w:r>
        <w:rPr>
          <w:color w:val="231F20"/>
        </w:rPr>
        <w:t>сотрудничестве</w:t>
      </w:r>
      <w:r>
        <w:rPr>
          <w:color w:val="231F20"/>
          <w:spacing w:val="-12"/>
        </w:rPr>
        <w:t> </w:t>
      </w:r>
      <w:r>
        <w:rPr>
          <w:color w:val="231F20"/>
        </w:rPr>
        <w:t>получили</w:t>
      </w:r>
      <w:r>
        <w:rPr>
          <w:color w:val="231F20"/>
          <w:spacing w:val="-12"/>
        </w:rPr>
        <w:t> </w:t>
      </w:r>
      <w:r>
        <w:rPr>
          <w:color w:val="231F20"/>
        </w:rPr>
        <w:t>дальнейшее</w:t>
      </w:r>
      <w:r>
        <w:rPr>
          <w:color w:val="231F20"/>
          <w:spacing w:val="-12"/>
        </w:rPr>
        <w:t> </w:t>
      </w:r>
      <w:r>
        <w:rPr>
          <w:color w:val="231F20"/>
        </w:rPr>
        <w:t>развитие</w:t>
      </w:r>
      <w:r>
        <w:rPr>
          <w:color w:val="231F20"/>
          <w:spacing w:val="-12"/>
        </w:rPr>
        <w:t> </w:t>
      </w:r>
      <w:r>
        <w:rPr>
          <w:color w:val="231F20"/>
        </w:rPr>
        <w:t>и широко</w:t>
      </w:r>
      <w:r>
        <w:rPr>
          <w:color w:val="231F20"/>
          <w:spacing w:val="-6"/>
        </w:rPr>
        <w:t> </w:t>
      </w:r>
      <w:r>
        <w:rPr>
          <w:color w:val="231F20"/>
        </w:rPr>
        <w:t>используются</w:t>
      </w:r>
      <w:r>
        <w:rPr>
          <w:color w:val="231F20"/>
          <w:spacing w:val="-6"/>
        </w:rPr>
        <w:t> </w:t>
      </w:r>
      <w:r>
        <w:rPr>
          <w:color w:val="231F20"/>
        </w:rPr>
        <w:t>при</w:t>
      </w:r>
      <w:r>
        <w:rPr>
          <w:color w:val="231F20"/>
          <w:spacing w:val="-6"/>
        </w:rPr>
        <w:t> </w:t>
      </w:r>
      <w:r>
        <w:rPr>
          <w:color w:val="231F20"/>
        </w:rPr>
        <w:t>организации</w:t>
      </w:r>
      <w:r>
        <w:rPr>
          <w:color w:val="231F20"/>
          <w:spacing w:val="-6"/>
        </w:rPr>
        <w:t> </w:t>
      </w:r>
      <w:r>
        <w:rPr>
          <w:color w:val="231F20"/>
        </w:rPr>
        <w:t>обучения</w:t>
      </w:r>
      <w:r>
        <w:rPr>
          <w:color w:val="231F20"/>
          <w:spacing w:val="-6"/>
        </w:rPr>
        <w:t> </w:t>
      </w:r>
      <w:r>
        <w:rPr>
          <w:color w:val="231F20"/>
        </w:rPr>
        <w:t>учащихся</w:t>
      </w:r>
      <w:r>
        <w:rPr>
          <w:color w:val="231F20"/>
          <w:spacing w:val="-6"/>
        </w:rPr>
        <w:t> </w:t>
      </w:r>
      <w:r>
        <w:rPr>
          <w:color w:val="231F20"/>
        </w:rPr>
        <w:t>в</w:t>
      </w:r>
      <w:r>
        <w:rPr>
          <w:color w:val="231F20"/>
          <w:spacing w:val="-6"/>
        </w:rPr>
        <w:t> </w:t>
      </w:r>
      <w:r>
        <w:rPr>
          <w:color w:val="231F20"/>
        </w:rPr>
        <w:t>составе</w:t>
      </w:r>
      <w:r>
        <w:rPr>
          <w:color w:val="231F20"/>
          <w:spacing w:val="-6"/>
        </w:rPr>
        <w:t> </w:t>
      </w:r>
      <w:r>
        <w:rPr>
          <w:i/>
          <w:color w:val="231F20"/>
        </w:rPr>
        <w:t>малых</w:t>
      </w:r>
      <w:r>
        <w:rPr>
          <w:i/>
          <w:color w:val="231F20"/>
          <w:spacing w:val="-6"/>
        </w:rPr>
        <w:t> </w:t>
      </w:r>
      <w:r>
        <w:rPr>
          <w:i/>
          <w:color w:val="231F20"/>
        </w:rPr>
        <w:t>учебных групп, </w:t>
      </w:r>
      <w:r>
        <w:rPr>
          <w:color w:val="231F20"/>
        </w:rPr>
        <w:t>или </w:t>
      </w:r>
      <w:r>
        <w:rPr>
          <w:i/>
          <w:color w:val="231F20"/>
        </w:rPr>
        <w:t>групп сотрудничества </w:t>
      </w:r>
      <w:r>
        <w:rPr>
          <w:color w:val="231F20"/>
        </w:rPr>
        <w:t>(как правило, по 3–5 человек).</w:t>
      </w:r>
    </w:p>
    <w:p>
      <w:pPr>
        <w:pStyle w:val="BodyText"/>
        <w:spacing w:line="247" w:lineRule="auto"/>
      </w:pPr>
      <w:r>
        <w:rPr>
          <w:color w:val="231F20"/>
        </w:rPr>
        <w:t>Обучение в сотрудничестве – это совместное (поделенное, распределенное) обу- чение, в результате которого учащиеся работают вместе, коллективно конструируя, продуцируя новые знания, а не потребляя их в уже готовом виде. Как</w:t>
      </w:r>
      <w:r>
        <w:rPr>
          <w:color w:val="231F20"/>
          <w:spacing w:val="-1"/>
        </w:rPr>
        <w:t> </w:t>
      </w:r>
      <w:r>
        <w:rPr>
          <w:color w:val="231F20"/>
        </w:rPr>
        <w:t>показали мно- гочисленные исследования, обучение в сотрудничестве намного продуктивнее объ- яснительно-иллюстративного и репродуктивного методов. Главная идея обучения в сотрудничестве – специальным образом подготовленная, спланированная и органи- зованная учителем учебная деятельность, при которой учащиеся не просто что-то вместе выполняют, а учатся, обмениваются своими знаниями и умениями и вместе вырабатывают новое знание.</w:t>
      </w:r>
    </w:p>
    <w:p>
      <w:pPr>
        <w:pStyle w:val="BodyText"/>
        <w:spacing w:line="247" w:lineRule="auto"/>
      </w:pPr>
      <w:r>
        <w:rPr>
          <w:color w:val="231F20"/>
        </w:rPr>
        <w:t>Индивидуальная</w:t>
      </w:r>
      <w:r>
        <w:rPr>
          <w:color w:val="231F20"/>
          <w:spacing w:val="-2"/>
        </w:rPr>
        <w:t> </w:t>
      </w:r>
      <w:r>
        <w:rPr>
          <w:color w:val="231F20"/>
        </w:rPr>
        <w:t>самостоятельная</w:t>
      </w:r>
      <w:r>
        <w:rPr>
          <w:color w:val="231F20"/>
          <w:spacing w:val="-2"/>
        </w:rPr>
        <w:t> </w:t>
      </w:r>
      <w:r>
        <w:rPr>
          <w:color w:val="231F20"/>
        </w:rPr>
        <w:t>работа</w:t>
      </w:r>
      <w:r>
        <w:rPr>
          <w:color w:val="231F20"/>
          <w:spacing w:val="-2"/>
        </w:rPr>
        <w:t> </w:t>
      </w:r>
      <w:r>
        <w:rPr>
          <w:color w:val="231F20"/>
        </w:rPr>
        <w:t>при</w:t>
      </w:r>
      <w:r>
        <w:rPr>
          <w:color w:val="231F20"/>
          <w:spacing w:val="-2"/>
        </w:rPr>
        <w:t> </w:t>
      </w:r>
      <w:r>
        <w:rPr>
          <w:color w:val="231F20"/>
        </w:rPr>
        <w:t>организации</w:t>
      </w:r>
      <w:r>
        <w:rPr>
          <w:color w:val="231F20"/>
          <w:spacing w:val="-2"/>
        </w:rPr>
        <w:t> </w:t>
      </w:r>
      <w:r>
        <w:rPr>
          <w:color w:val="231F20"/>
        </w:rPr>
        <w:t>учебной</w:t>
      </w:r>
      <w:r>
        <w:rPr>
          <w:color w:val="231F20"/>
          <w:spacing w:val="-2"/>
        </w:rPr>
        <w:t> </w:t>
      </w:r>
      <w:r>
        <w:rPr>
          <w:color w:val="231F20"/>
        </w:rPr>
        <w:t>деятельности по</w:t>
      </w:r>
      <w:r>
        <w:rPr>
          <w:color w:val="231F20"/>
          <w:spacing w:val="-11"/>
        </w:rPr>
        <w:t> </w:t>
      </w:r>
      <w:r>
        <w:rPr>
          <w:color w:val="231F20"/>
        </w:rPr>
        <w:t>технологии</w:t>
      </w:r>
      <w:r>
        <w:rPr>
          <w:color w:val="231F20"/>
          <w:spacing w:val="-11"/>
        </w:rPr>
        <w:t> </w:t>
      </w:r>
      <w:r>
        <w:rPr>
          <w:color w:val="231F20"/>
        </w:rPr>
        <w:t>обучения</w:t>
      </w:r>
      <w:r>
        <w:rPr>
          <w:color w:val="231F20"/>
          <w:spacing w:val="-11"/>
        </w:rPr>
        <w:t> </w:t>
      </w:r>
      <w:r>
        <w:rPr>
          <w:color w:val="231F20"/>
        </w:rPr>
        <w:t>в</w:t>
      </w:r>
      <w:r>
        <w:rPr>
          <w:color w:val="231F20"/>
          <w:spacing w:val="-11"/>
        </w:rPr>
        <w:t> </w:t>
      </w:r>
      <w:r>
        <w:rPr>
          <w:color w:val="231F20"/>
        </w:rPr>
        <w:t>сотрудничестве</w:t>
      </w:r>
      <w:r>
        <w:rPr>
          <w:color w:val="231F20"/>
          <w:spacing w:val="-11"/>
        </w:rPr>
        <w:t> </w:t>
      </w:r>
      <w:r>
        <w:rPr>
          <w:color w:val="231F20"/>
        </w:rPr>
        <w:t>становится</w:t>
      </w:r>
      <w:r>
        <w:rPr>
          <w:color w:val="231F20"/>
          <w:spacing w:val="-11"/>
        </w:rPr>
        <w:t> </w:t>
      </w:r>
      <w:r>
        <w:rPr>
          <w:color w:val="231F20"/>
        </w:rPr>
        <w:t>как</w:t>
      </w:r>
      <w:r>
        <w:rPr>
          <w:color w:val="231F20"/>
          <w:spacing w:val="-11"/>
        </w:rPr>
        <w:t> </w:t>
      </w:r>
      <w:r>
        <w:rPr>
          <w:color w:val="231F20"/>
        </w:rPr>
        <w:t>бы</w:t>
      </w:r>
      <w:r>
        <w:rPr>
          <w:color w:val="231F20"/>
          <w:spacing w:val="-11"/>
        </w:rPr>
        <w:t> </w:t>
      </w:r>
      <w:r>
        <w:rPr>
          <w:color w:val="231F20"/>
        </w:rPr>
        <w:t>исходной</w:t>
      </w:r>
      <w:r>
        <w:rPr>
          <w:color w:val="231F20"/>
          <w:spacing w:val="-11"/>
        </w:rPr>
        <w:t> </w:t>
      </w:r>
      <w:r>
        <w:rPr>
          <w:color w:val="231F20"/>
        </w:rPr>
        <w:t>элементарной частицей коллективной самостоятельной работы. А ее результат, с одной стороны, влияет на результат групповой и коллективной деятельности, а с другой – вбирает в себя</w:t>
      </w:r>
      <w:r>
        <w:rPr>
          <w:color w:val="231F20"/>
          <w:spacing w:val="-13"/>
        </w:rPr>
        <w:t> </w:t>
      </w:r>
      <w:r>
        <w:rPr>
          <w:color w:val="231F20"/>
        </w:rPr>
        <w:t>результаты</w:t>
      </w:r>
      <w:r>
        <w:rPr>
          <w:color w:val="231F20"/>
          <w:spacing w:val="-12"/>
        </w:rPr>
        <w:t> </w:t>
      </w:r>
      <w:r>
        <w:rPr>
          <w:color w:val="231F20"/>
        </w:rPr>
        <w:t>работы</w:t>
      </w:r>
      <w:r>
        <w:rPr>
          <w:color w:val="231F20"/>
          <w:spacing w:val="-13"/>
        </w:rPr>
        <w:t> </w:t>
      </w:r>
      <w:r>
        <w:rPr>
          <w:color w:val="231F20"/>
        </w:rPr>
        <w:t>других</w:t>
      </w:r>
      <w:r>
        <w:rPr>
          <w:color w:val="231F20"/>
          <w:spacing w:val="-12"/>
        </w:rPr>
        <w:t> </w:t>
      </w:r>
      <w:r>
        <w:rPr>
          <w:color w:val="231F20"/>
        </w:rPr>
        <w:t>членов</w:t>
      </w:r>
      <w:r>
        <w:rPr>
          <w:color w:val="231F20"/>
          <w:spacing w:val="-13"/>
        </w:rPr>
        <w:t> </w:t>
      </w:r>
      <w:r>
        <w:rPr>
          <w:color w:val="231F20"/>
        </w:rPr>
        <w:t>группы,</w:t>
      </w:r>
      <w:r>
        <w:rPr>
          <w:color w:val="231F20"/>
          <w:spacing w:val="-12"/>
        </w:rPr>
        <w:t> </w:t>
      </w:r>
      <w:r>
        <w:rPr>
          <w:color w:val="231F20"/>
        </w:rPr>
        <w:t>всего</w:t>
      </w:r>
      <w:r>
        <w:rPr>
          <w:color w:val="231F20"/>
          <w:spacing w:val="-13"/>
        </w:rPr>
        <w:t> </w:t>
      </w:r>
      <w:r>
        <w:rPr>
          <w:color w:val="231F20"/>
        </w:rPr>
        <w:t>коллектива,</w:t>
      </w:r>
      <w:r>
        <w:rPr>
          <w:color w:val="231F20"/>
          <w:spacing w:val="-12"/>
        </w:rPr>
        <w:t> </w:t>
      </w:r>
      <w:r>
        <w:rPr>
          <w:color w:val="231F20"/>
        </w:rPr>
        <w:t>так</w:t>
      </w:r>
      <w:r>
        <w:rPr>
          <w:color w:val="231F20"/>
          <w:spacing w:val="-13"/>
        </w:rPr>
        <w:t> </w:t>
      </w:r>
      <w:r>
        <w:rPr>
          <w:color w:val="231F20"/>
        </w:rPr>
        <w:t>как</w:t>
      </w:r>
      <w:r>
        <w:rPr>
          <w:color w:val="231F20"/>
          <w:spacing w:val="-12"/>
        </w:rPr>
        <w:t> </w:t>
      </w:r>
      <w:r>
        <w:rPr>
          <w:color w:val="231F20"/>
        </w:rPr>
        <w:t>каждый</w:t>
      </w:r>
      <w:r>
        <w:rPr>
          <w:color w:val="231F20"/>
          <w:spacing w:val="-13"/>
        </w:rPr>
        <w:t> </w:t>
      </w:r>
      <w:r>
        <w:rPr>
          <w:color w:val="231F20"/>
        </w:rPr>
        <w:t>уча- щийся</w:t>
      </w:r>
      <w:r>
        <w:rPr>
          <w:color w:val="231F20"/>
          <w:spacing w:val="-6"/>
        </w:rPr>
        <w:t> </w:t>
      </w:r>
      <w:r>
        <w:rPr>
          <w:color w:val="231F20"/>
        </w:rPr>
        <w:t>пользуется</w:t>
      </w:r>
      <w:r>
        <w:rPr>
          <w:color w:val="231F20"/>
          <w:spacing w:val="-6"/>
        </w:rPr>
        <w:t> </w:t>
      </w:r>
      <w:r>
        <w:rPr>
          <w:color w:val="231F20"/>
        </w:rPr>
        <w:t>результатами</w:t>
      </w:r>
      <w:r>
        <w:rPr>
          <w:color w:val="231F20"/>
          <w:spacing w:val="-6"/>
        </w:rPr>
        <w:t> </w:t>
      </w:r>
      <w:r>
        <w:rPr>
          <w:color w:val="231F20"/>
        </w:rPr>
        <w:t>как</w:t>
      </w:r>
      <w:r>
        <w:rPr>
          <w:color w:val="231F20"/>
          <w:spacing w:val="-6"/>
        </w:rPr>
        <w:t> </w:t>
      </w:r>
      <w:r>
        <w:rPr>
          <w:color w:val="231F20"/>
        </w:rPr>
        <w:t>групповой</w:t>
      </w:r>
      <w:r>
        <w:rPr>
          <w:color w:val="231F20"/>
          <w:spacing w:val="-6"/>
        </w:rPr>
        <w:t> </w:t>
      </w:r>
      <w:r>
        <w:rPr>
          <w:color w:val="231F20"/>
        </w:rPr>
        <w:t>самостоятельной,</w:t>
      </w:r>
      <w:r>
        <w:rPr>
          <w:color w:val="231F20"/>
          <w:spacing w:val="-6"/>
        </w:rPr>
        <w:t> </w:t>
      </w:r>
      <w:r>
        <w:rPr>
          <w:color w:val="231F20"/>
        </w:rPr>
        <w:t>так</w:t>
      </w:r>
      <w:r>
        <w:rPr>
          <w:color w:val="231F20"/>
          <w:spacing w:val="-6"/>
        </w:rPr>
        <w:t> </w:t>
      </w:r>
      <w:r>
        <w:rPr>
          <w:color w:val="231F20"/>
        </w:rPr>
        <w:t>и</w:t>
      </w:r>
      <w:r>
        <w:rPr>
          <w:color w:val="231F20"/>
          <w:spacing w:val="-6"/>
        </w:rPr>
        <w:t> </w:t>
      </w:r>
      <w:r>
        <w:rPr>
          <w:color w:val="231F20"/>
        </w:rPr>
        <w:t>коллективной работы, но уже на следующем витке, при обобщении результатов, их обсуждении и принятии общего решения, либо уже при работе над следующим, новым заданием, проблемой, когда учащиеся используют знания, полученные и обработанные усили- ями всей группы.</w:t>
      </w:r>
    </w:p>
    <w:p>
      <w:pPr>
        <w:pStyle w:val="BodyText"/>
        <w:spacing w:line="221" w:lineRule="exact"/>
        <w:ind w:left="425" w:right="0" w:firstLine="0"/>
      </w:pPr>
      <w:r>
        <w:rPr>
          <w:color w:val="231F20"/>
        </w:rPr>
        <w:t>Далее раскроем следующие </w:t>
      </w:r>
      <w:r>
        <w:rPr>
          <w:color w:val="231F20"/>
          <w:spacing w:val="-2"/>
        </w:rPr>
        <w:t>вопросы:</w:t>
      </w:r>
    </w:p>
    <w:p>
      <w:pPr>
        <w:pStyle w:val="ListParagraph"/>
        <w:numPr>
          <w:ilvl w:val="0"/>
          <w:numId w:val="170"/>
        </w:numPr>
        <w:tabs>
          <w:tab w:pos="425" w:val="left" w:leader="none"/>
        </w:tabs>
        <w:spacing w:line="240" w:lineRule="auto" w:before="0" w:after="0"/>
        <w:ind w:left="425" w:right="0" w:hanging="284"/>
        <w:jc w:val="left"/>
        <w:rPr>
          <w:sz w:val="20"/>
        </w:rPr>
      </w:pPr>
      <w:r>
        <w:rPr>
          <w:color w:val="231F20"/>
          <w:sz w:val="20"/>
        </w:rPr>
        <w:t>Разновидности</w:t>
      </w:r>
      <w:r>
        <w:rPr>
          <w:color w:val="231F20"/>
          <w:spacing w:val="-5"/>
          <w:sz w:val="20"/>
        </w:rPr>
        <w:t> </w:t>
      </w:r>
      <w:r>
        <w:rPr>
          <w:color w:val="231F20"/>
          <w:sz w:val="20"/>
        </w:rPr>
        <w:t>технологии</w:t>
      </w:r>
      <w:r>
        <w:rPr>
          <w:color w:val="231F20"/>
          <w:spacing w:val="-5"/>
          <w:sz w:val="20"/>
        </w:rPr>
        <w:t> </w:t>
      </w:r>
      <w:r>
        <w:rPr>
          <w:color w:val="231F20"/>
          <w:sz w:val="20"/>
        </w:rPr>
        <w:t>обучения</w:t>
      </w:r>
      <w:r>
        <w:rPr>
          <w:color w:val="231F20"/>
          <w:spacing w:val="-4"/>
          <w:sz w:val="20"/>
        </w:rPr>
        <w:t> </w:t>
      </w:r>
      <w:r>
        <w:rPr>
          <w:color w:val="231F20"/>
          <w:sz w:val="20"/>
        </w:rPr>
        <w:t>в</w:t>
      </w:r>
      <w:r>
        <w:rPr>
          <w:color w:val="231F20"/>
          <w:spacing w:val="-4"/>
          <w:sz w:val="20"/>
        </w:rPr>
        <w:t> </w:t>
      </w:r>
      <w:r>
        <w:rPr>
          <w:color w:val="231F20"/>
          <w:spacing w:val="-2"/>
          <w:sz w:val="20"/>
        </w:rPr>
        <w:t>сотрудничестве.</w:t>
      </w:r>
    </w:p>
    <w:p>
      <w:pPr>
        <w:pStyle w:val="ListParagraph"/>
        <w:numPr>
          <w:ilvl w:val="0"/>
          <w:numId w:val="170"/>
        </w:numPr>
        <w:tabs>
          <w:tab w:pos="425" w:val="left" w:leader="none"/>
        </w:tabs>
        <w:spacing w:line="240" w:lineRule="auto" w:before="0" w:after="0"/>
        <w:ind w:left="425" w:right="0" w:hanging="284"/>
        <w:jc w:val="left"/>
        <w:rPr>
          <w:sz w:val="20"/>
        </w:rPr>
      </w:pPr>
      <w:r>
        <w:rPr>
          <w:color w:val="231F20"/>
          <w:sz w:val="20"/>
        </w:rPr>
        <w:t>Что</w:t>
      </w:r>
      <w:r>
        <w:rPr>
          <w:color w:val="231F20"/>
          <w:spacing w:val="-7"/>
          <w:sz w:val="20"/>
        </w:rPr>
        <w:t> </w:t>
      </w:r>
      <w:r>
        <w:rPr>
          <w:color w:val="231F20"/>
          <w:sz w:val="20"/>
        </w:rPr>
        <w:t>входит</w:t>
      </w:r>
      <w:r>
        <w:rPr>
          <w:color w:val="231F20"/>
          <w:spacing w:val="-4"/>
          <w:sz w:val="20"/>
        </w:rPr>
        <w:t> </w:t>
      </w:r>
      <w:r>
        <w:rPr>
          <w:color w:val="231F20"/>
          <w:sz w:val="20"/>
        </w:rPr>
        <w:t>в</w:t>
      </w:r>
      <w:r>
        <w:rPr>
          <w:color w:val="231F20"/>
          <w:spacing w:val="-5"/>
          <w:sz w:val="20"/>
        </w:rPr>
        <w:t> </w:t>
      </w:r>
      <w:r>
        <w:rPr>
          <w:color w:val="231F20"/>
          <w:sz w:val="20"/>
        </w:rPr>
        <w:t>понятие</w:t>
      </w:r>
      <w:r>
        <w:rPr>
          <w:color w:val="231F20"/>
          <w:spacing w:val="-5"/>
          <w:sz w:val="20"/>
        </w:rPr>
        <w:t> </w:t>
      </w:r>
      <w:r>
        <w:rPr>
          <w:color w:val="231F20"/>
          <w:sz w:val="20"/>
        </w:rPr>
        <w:t>групповой</w:t>
      </w:r>
      <w:r>
        <w:rPr>
          <w:color w:val="231F20"/>
          <w:spacing w:val="-5"/>
          <w:sz w:val="20"/>
        </w:rPr>
        <w:t> </w:t>
      </w:r>
      <w:r>
        <w:rPr>
          <w:color w:val="231F20"/>
          <w:sz w:val="20"/>
        </w:rPr>
        <w:t>работы</w:t>
      </w:r>
      <w:r>
        <w:rPr>
          <w:color w:val="231F20"/>
          <w:spacing w:val="-4"/>
          <w:sz w:val="20"/>
        </w:rPr>
        <w:t> </w:t>
      </w:r>
      <w:r>
        <w:rPr>
          <w:color w:val="231F20"/>
          <w:sz w:val="20"/>
        </w:rPr>
        <w:t>на</w:t>
      </w:r>
      <w:r>
        <w:rPr>
          <w:color w:val="231F20"/>
          <w:spacing w:val="-4"/>
          <w:sz w:val="20"/>
        </w:rPr>
        <w:t> </w:t>
      </w:r>
      <w:r>
        <w:rPr>
          <w:color w:val="231F20"/>
          <w:spacing w:val="-2"/>
          <w:sz w:val="20"/>
        </w:rPr>
        <w:t>уроке?</w:t>
      </w:r>
    </w:p>
    <w:p>
      <w:pPr>
        <w:pStyle w:val="ListParagraph"/>
        <w:numPr>
          <w:ilvl w:val="0"/>
          <w:numId w:val="170"/>
        </w:numPr>
        <w:tabs>
          <w:tab w:pos="425" w:val="left" w:leader="none"/>
        </w:tabs>
        <w:spacing w:line="240" w:lineRule="auto" w:before="5" w:after="0"/>
        <w:ind w:left="425" w:right="0" w:hanging="284"/>
        <w:jc w:val="left"/>
        <w:rPr>
          <w:sz w:val="20"/>
        </w:rPr>
      </w:pPr>
      <w:r>
        <w:rPr>
          <w:color w:val="231F20"/>
          <w:sz w:val="20"/>
        </w:rPr>
        <w:t>Эффективность</w:t>
      </w:r>
      <w:r>
        <w:rPr>
          <w:color w:val="231F20"/>
          <w:spacing w:val="-13"/>
          <w:sz w:val="20"/>
        </w:rPr>
        <w:t> </w:t>
      </w:r>
      <w:r>
        <w:rPr>
          <w:color w:val="231F20"/>
          <w:sz w:val="20"/>
        </w:rPr>
        <w:t>обучения</w:t>
      </w:r>
      <w:r>
        <w:rPr>
          <w:color w:val="231F20"/>
          <w:spacing w:val="-9"/>
          <w:sz w:val="20"/>
        </w:rPr>
        <w:t> </w:t>
      </w:r>
      <w:r>
        <w:rPr>
          <w:color w:val="231F20"/>
          <w:sz w:val="20"/>
        </w:rPr>
        <w:t>в</w:t>
      </w:r>
      <w:r>
        <w:rPr>
          <w:color w:val="231F20"/>
          <w:spacing w:val="-11"/>
          <w:sz w:val="20"/>
        </w:rPr>
        <w:t> </w:t>
      </w:r>
      <w:r>
        <w:rPr>
          <w:color w:val="231F20"/>
          <w:sz w:val="20"/>
        </w:rPr>
        <w:t>сотрудничестве</w:t>
      </w:r>
      <w:r>
        <w:rPr>
          <w:color w:val="231F20"/>
          <w:spacing w:val="-9"/>
          <w:sz w:val="20"/>
        </w:rPr>
        <w:t> </w:t>
      </w:r>
      <w:r>
        <w:rPr>
          <w:color w:val="231F20"/>
          <w:sz w:val="20"/>
        </w:rPr>
        <w:t>в</w:t>
      </w:r>
      <w:r>
        <w:rPr>
          <w:color w:val="231F20"/>
          <w:spacing w:val="-11"/>
          <w:sz w:val="20"/>
        </w:rPr>
        <w:t> </w:t>
      </w:r>
      <w:r>
        <w:rPr>
          <w:color w:val="231F20"/>
          <w:sz w:val="20"/>
        </w:rPr>
        <w:t>поликультурном</w:t>
      </w:r>
      <w:r>
        <w:rPr>
          <w:color w:val="231F20"/>
          <w:spacing w:val="-9"/>
          <w:sz w:val="20"/>
        </w:rPr>
        <w:t> </w:t>
      </w:r>
      <w:r>
        <w:rPr>
          <w:color w:val="231F20"/>
          <w:spacing w:val="-2"/>
          <w:sz w:val="20"/>
        </w:rPr>
        <w:t>классе.</w:t>
      </w:r>
    </w:p>
    <w:p>
      <w:pPr>
        <w:pStyle w:val="ListParagraph"/>
        <w:numPr>
          <w:ilvl w:val="0"/>
          <w:numId w:val="170"/>
        </w:numPr>
        <w:tabs>
          <w:tab w:pos="425" w:val="left" w:leader="none"/>
        </w:tabs>
        <w:spacing w:line="240" w:lineRule="auto" w:before="6" w:after="0"/>
        <w:ind w:left="425" w:right="0" w:hanging="284"/>
        <w:jc w:val="left"/>
        <w:rPr>
          <w:sz w:val="20"/>
        </w:rPr>
      </w:pPr>
      <w:r>
        <w:rPr>
          <w:color w:val="231F20"/>
          <w:sz w:val="20"/>
        </w:rPr>
        <w:t>Подготовка</w:t>
      </w:r>
      <w:r>
        <w:rPr>
          <w:color w:val="231F20"/>
          <w:spacing w:val="-11"/>
          <w:sz w:val="20"/>
        </w:rPr>
        <w:t> </w:t>
      </w:r>
      <w:r>
        <w:rPr>
          <w:color w:val="231F20"/>
          <w:sz w:val="20"/>
        </w:rPr>
        <w:t>учащихся</w:t>
      </w:r>
      <w:r>
        <w:rPr>
          <w:color w:val="231F20"/>
          <w:spacing w:val="-9"/>
          <w:sz w:val="20"/>
        </w:rPr>
        <w:t> </w:t>
      </w:r>
      <w:r>
        <w:rPr>
          <w:color w:val="231F20"/>
          <w:sz w:val="20"/>
        </w:rPr>
        <w:t>к</w:t>
      </w:r>
      <w:r>
        <w:rPr>
          <w:color w:val="231F20"/>
          <w:spacing w:val="-9"/>
          <w:sz w:val="20"/>
        </w:rPr>
        <w:t> </w:t>
      </w:r>
      <w:r>
        <w:rPr>
          <w:color w:val="231F20"/>
          <w:sz w:val="20"/>
        </w:rPr>
        <w:t>групповой</w:t>
      </w:r>
      <w:r>
        <w:rPr>
          <w:color w:val="231F20"/>
          <w:spacing w:val="-10"/>
          <w:sz w:val="20"/>
        </w:rPr>
        <w:t> </w:t>
      </w:r>
      <w:r>
        <w:rPr>
          <w:color w:val="231F20"/>
          <w:sz w:val="20"/>
        </w:rPr>
        <w:t>учебной</w:t>
      </w:r>
      <w:r>
        <w:rPr>
          <w:color w:val="231F20"/>
          <w:spacing w:val="-9"/>
          <w:sz w:val="20"/>
        </w:rPr>
        <w:t> </w:t>
      </w:r>
      <w:r>
        <w:rPr>
          <w:color w:val="231F20"/>
          <w:spacing w:val="-2"/>
          <w:sz w:val="20"/>
        </w:rPr>
        <w:t>деятельности.</w:t>
      </w:r>
    </w:p>
    <w:p>
      <w:pPr>
        <w:pStyle w:val="ListParagraph"/>
        <w:numPr>
          <w:ilvl w:val="0"/>
          <w:numId w:val="170"/>
        </w:numPr>
        <w:tabs>
          <w:tab w:pos="425" w:val="left" w:leader="none"/>
        </w:tabs>
        <w:spacing w:line="247" w:lineRule="auto" w:before="6" w:after="0"/>
        <w:ind w:left="425" w:right="139" w:hanging="284"/>
        <w:jc w:val="left"/>
        <w:rPr>
          <w:sz w:val="20"/>
        </w:rPr>
      </w:pPr>
      <w:r>
        <w:rPr>
          <w:color w:val="231F20"/>
          <w:sz w:val="20"/>
        </w:rPr>
        <w:t>Специфические</w:t>
      </w:r>
      <w:r>
        <w:rPr>
          <w:color w:val="231F20"/>
          <w:spacing w:val="-3"/>
          <w:sz w:val="20"/>
        </w:rPr>
        <w:t> </w:t>
      </w:r>
      <w:r>
        <w:rPr>
          <w:color w:val="231F20"/>
          <w:sz w:val="20"/>
        </w:rPr>
        <w:t>особенности</w:t>
      </w:r>
      <w:r>
        <w:rPr>
          <w:color w:val="231F20"/>
          <w:spacing w:val="-3"/>
          <w:sz w:val="20"/>
        </w:rPr>
        <w:t> </w:t>
      </w:r>
      <w:r>
        <w:rPr>
          <w:color w:val="231F20"/>
          <w:sz w:val="20"/>
        </w:rPr>
        <w:t>организации</w:t>
      </w:r>
      <w:r>
        <w:rPr>
          <w:color w:val="231F20"/>
          <w:spacing w:val="-3"/>
          <w:sz w:val="20"/>
        </w:rPr>
        <w:t> </w:t>
      </w:r>
      <w:r>
        <w:rPr>
          <w:color w:val="231F20"/>
          <w:sz w:val="20"/>
        </w:rPr>
        <w:t>обучения</w:t>
      </w:r>
      <w:r>
        <w:rPr>
          <w:color w:val="231F20"/>
          <w:spacing w:val="-3"/>
          <w:sz w:val="20"/>
        </w:rPr>
        <w:t> </w:t>
      </w:r>
      <w:r>
        <w:rPr>
          <w:color w:val="231F20"/>
          <w:sz w:val="20"/>
        </w:rPr>
        <w:t>в</w:t>
      </w:r>
      <w:r>
        <w:rPr>
          <w:color w:val="231F20"/>
          <w:spacing w:val="-3"/>
          <w:sz w:val="20"/>
        </w:rPr>
        <w:t> </w:t>
      </w:r>
      <w:r>
        <w:rPr>
          <w:color w:val="231F20"/>
          <w:sz w:val="20"/>
        </w:rPr>
        <w:t>сотрудничестве</w:t>
      </w:r>
      <w:r>
        <w:rPr>
          <w:color w:val="231F20"/>
          <w:spacing w:val="-3"/>
          <w:sz w:val="20"/>
        </w:rPr>
        <w:t> </w:t>
      </w:r>
      <w:r>
        <w:rPr>
          <w:color w:val="231F20"/>
          <w:sz w:val="20"/>
        </w:rPr>
        <w:t>в</w:t>
      </w:r>
      <w:r>
        <w:rPr>
          <w:color w:val="231F20"/>
          <w:spacing w:val="-3"/>
          <w:sz w:val="20"/>
        </w:rPr>
        <w:t> </w:t>
      </w:r>
      <w:r>
        <w:rPr>
          <w:color w:val="231F20"/>
          <w:sz w:val="20"/>
        </w:rPr>
        <w:t>условиях </w:t>
      </w:r>
      <w:r>
        <w:rPr>
          <w:color w:val="231F20"/>
          <w:spacing w:val="-2"/>
          <w:sz w:val="20"/>
        </w:rPr>
        <w:t>онлайн-обучения.</w:t>
      </w:r>
    </w:p>
    <w:p>
      <w:pPr>
        <w:pStyle w:val="ListParagraph"/>
        <w:numPr>
          <w:ilvl w:val="0"/>
          <w:numId w:val="170"/>
        </w:numPr>
        <w:tabs>
          <w:tab w:pos="425" w:val="left" w:leader="none"/>
        </w:tabs>
        <w:spacing w:line="228" w:lineRule="exact" w:before="0" w:after="0"/>
        <w:ind w:left="425" w:right="0" w:hanging="284"/>
        <w:jc w:val="left"/>
        <w:rPr>
          <w:sz w:val="20"/>
        </w:rPr>
      </w:pPr>
      <w:r>
        <w:rPr>
          <w:color w:val="231F20"/>
          <w:sz w:val="20"/>
        </w:rPr>
        <w:t>Специальные</w:t>
      </w:r>
      <w:r>
        <w:rPr>
          <w:color w:val="231F20"/>
          <w:spacing w:val="-8"/>
          <w:sz w:val="20"/>
        </w:rPr>
        <w:t> </w:t>
      </w:r>
      <w:r>
        <w:rPr>
          <w:color w:val="231F20"/>
          <w:sz w:val="20"/>
        </w:rPr>
        <w:t>программы</w:t>
      </w:r>
      <w:r>
        <w:rPr>
          <w:color w:val="231F20"/>
          <w:spacing w:val="-6"/>
          <w:sz w:val="20"/>
        </w:rPr>
        <w:t> </w:t>
      </w:r>
      <w:r>
        <w:rPr>
          <w:color w:val="231F20"/>
          <w:sz w:val="20"/>
        </w:rPr>
        <w:t>подготовки</w:t>
      </w:r>
      <w:r>
        <w:rPr>
          <w:color w:val="231F20"/>
          <w:spacing w:val="-7"/>
          <w:sz w:val="20"/>
        </w:rPr>
        <w:t> </w:t>
      </w:r>
      <w:r>
        <w:rPr>
          <w:color w:val="231F20"/>
          <w:sz w:val="20"/>
        </w:rPr>
        <w:t>учителей</w:t>
      </w:r>
      <w:r>
        <w:rPr>
          <w:color w:val="231F20"/>
          <w:spacing w:val="-7"/>
          <w:sz w:val="20"/>
        </w:rPr>
        <w:t> </w:t>
      </w:r>
      <w:r>
        <w:rPr>
          <w:color w:val="231F20"/>
          <w:sz w:val="20"/>
        </w:rPr>
        <w:t>к</w:t>
      </w:r>
      <w:r>
        <w:rPr>
          <w:color w:val="231F20"/>
          <w:spacing w:val="-6"/>
          <w:sz w:val="20"/>
        </w:rPr>
        <w:t> </w:t>
      </w:r>
      <w:r>
        <w:rPr>
          <w:color w:val="231F20"/>
          <w:sz w:val="20"/>
        </w:rPr>
        <w:t>обучению</w:t>
      </w:r>
      <w:r>
        <w:rPr>
          <w:color w:val="231F20"/>
          <w:spacing w:val="-7"/>
          <w:sz w:val="20"/>
        </w:rPr>
        <w:t> </w:t>
      </w:r>
      <w:r>
        <w:rPr>
          <w:color w:val="231F20"/>
          <w:sz w:val="20"/>
        </w:rPr>
        <w:t>в</w:t>
      </w:r>
      <w:r>
        <w:rPr>
          <w:color w:val="231F20"/>
          <w:spacing w:val="-6"/>
          <w:sz w:val="20"/>
        </w:rPr>
        <w:t> </w:t>
      </w:r>
      <w:r>
        <w:rPr>
          <w:color w:val="231F20"/>
          <w:spacing w:val="-2"/>
          <w:sz w:val="20"/>
        </w:rPr>
        <w:t>сотрудничестве.</w:t>
      </w:r>
    </w:p>
    <w:p>
      <w:pPr>
        <w:pStyle w:val="ListParagraph"/>
        <w:numPr>
          <w:ilvl w:val="0"/>
          <w:numId w:val="170"/>
        </w:numPr>
        <w:tabs>
          <w:tab w:pos="425" w:val="left" w:leader="none"/>
        </w:tabs>
        <w:spacing w:line="240" w:lineRule="auto" w:before="6" w:after="0"/>
        <w:ind w:left="425" w:right="0" w:hanging="284"/>
        <w:jc w:val="left"/>
        <w:rPr>
          <w:sz w:val="20"/>
        </w:rPr>
      </w:pPr>
      <w:r>
        <w:rPr>
          <w:color w:val="231F20"/>
          <w:sz w:val="20"/>
        </w:rPr>
        <w:t>Обучение,</w:t>
      </w:r>
      <w:r>
        <w:rPr>
          <w:color w:val="231F20"/>
          <w:spacing w:val="-3"/>
          <w:sz w:val="20"/>
        </w:rPr>
        <w:t> </w:t>
      </w:r>
      <w:r>
        <w:rPr>
          <w:color w:val="231F20"/>
          <w:sz w:val="20"/>
        </w:rPr>
        <w:t>основанное</w:t>
      </w:r>
      <w:r>
        <w:rPr>
          <w:color w:val="231F20"/>
          <w:spacing w:val="-2"/>
          <w:sz w:val="20"/>
        </w:rPr>
        <w:t> </w:t>
      </w:r>
      <w:r>
        <w:rPr>
          <w:color w:val="231F20"/>
          <w:sz w:val="20"/>
        </w:rPr>
        <w:t>на</w:t>
      </w:r>
      <w:r>
        <w:rPr>
          <w:color w:val="231F20"/>
          <w:spacing w:val="-3"/>
          <w:sz w:val="20"/>
        </w:rPr>
        <w:t> </w:t>
      </w:r>
      <w:r>
        <w:rPr>
          <w:color w:val="231F20"/>
          <w:sz w:val="20"/>
        </w:rPr>
        <w:t>принципе</w:t>
      </w:r>
      <w:r>
        <w:rPr>
          <w:color w:val="231F20"/>
          <w:spacing w:val="-2"/>
          <w:sz w:val="20"/>
        </w:rPr>
        <w:t> </w:t>
      </w:r>
      <w:r>
        <w:rPr>
          <w:color w:val="231F20"/>
          <w:sz w:val="20"/>
        </w:rPr>
        <w:t>«равный</w:t>
      </w:r>
      <w:r>
        <w:rPr>
          <w:color w:val="231F20"/>
          <w:spacing w:val="-3"/>
          <w:sz w:val="20"/>
        </w:rPr>
        <w:t> </w:t>
      </w:r>
      <w:r>
        <w:rPr>
          <w:color w:val="231F20"/>
          <w:sz w:val="20"/>
        </w:rPr>
        <w:t>–</w:t>
      </w:r>
      <w:r>
        <w:rPr>
          <w:color w:val="231F20"/>
          <w:spacing w:val="-2"/>
          <w:sz w:val="20"/>
        </w:rPr>
        <w:t> равному».</w:t>
      </w:r>
    </w:p>
    <w:p>
      <w:pPr>
        <w:pStyle w:val="ListParagraph"/>
        <w:numPr>
          <w:ilvl w:val="0"/>
          <w:numId w:val="170"/>
        </w:numPr>
        <w:tabs>
          <w:tab w:pos="425" w:val="left" w:leader="none"/>
        </w:tabs>
        <w:spacing w:line="240" w:lineRule="auto" w:before="6" w:after="0"/>
        <w:ind w:left="425" w:right="0" w:hanging="284"/>
        <w:jc w:val="left"/>
        <w:rPr>
          <w:sz w:val="20"/>
        </w:rPr>
      </w:pPr>
      <w:r>
        <w:rPr>
          <w:color w:val="231F20"/>
          <w:sz w:val="20"/>
        </w:rPr>
        <w:t>Информационные</w:t>
      </w:r>
      <w:r>
        <w:rPr>
          <w:color w:val="231F20"/>
          <w:spacing w:val="-14"/>
          <w:sz w:val="20"/>
        </w:rPr>
        <w:t> </w:t>
      </w:r>
      <w:r>
        <w:rPr>
          <w:color w:val="231F20"/>
          <w:sz w:val="20"/>
        </w:rPr>
        <w:t>технологии</w:t>
      </w:r>
      <w:r>
        <w:rPr>
          <w:color w:val="231F20"/>
          <w:spacing w:val="-11"/>
          <w:sz w:val="20"/>
        </w:rPr>
        <w:t> </w:t>
      </w:r>
      <w:r>
        <w:rPr>
          <w:color w:val="231F20"/>
          <w:sz w:val="20"/>
        </w:rPr>
        <w:t>в</w:t>
      </w:r>
      <w:r>
        <w:rPr>
          <w:color w:val="231F20"/>
          <w:spacing w:val="-12"/>
          <w:sz w:val="20"/>
        </w:rPr>
        <w:t> </w:t>
      </w:r>
      <w:r>
        <w:rPr>
          <w:color w:val="231F20"/>
          <w:sz w:val="20"/>
        </w:rPr>
        <w:t>образовании</w:t>
      </w:r>
      <w:r>
        <w:rPr>
          <w:color w:val="231F20"/>
          <w:spacing w:val="-11"/>
          <w:sz w:val="20"/>
        </w:rPr>
        <w:t> </w:t>
      </w:r>
      <w:r>
        <w:rPr>
          <w:color w:val="231F20"/>
          <w:sz w:val="20"/>
        </w:rPr>
        <w:t>для</w:t>
      </w:r>
      <w:r>
        <w:rPr>
          <w:color w:val="231F20"/>
          <w:spacing w:val="-12"/>
          <w:sz w:val="20"/>
        </w:rPr>
        <w:t> </w:t>
      </w:r>
      <w:r>
        <w:rPr>
          <w:color w:val="231F20"/>
          <w:sz w:val="20"/>
        </w:rPr>
        <w:t>оптимизации</w:t>
      </w:r>
      <w:r>
        <w:rPr>
          <w:color w:val="231F20"/>
          <w:spacing w:val="-11"/>
          <w:sz w:val="20"/>
        </w:rPr>
        <w:t> </w:t>
      </w:r>
      <w:r>
        <w:rPr>
          <w:color w:val="231F20"/>
          <w:sz w:val="20"/>
        </w:rPr>
        <w:t>групповой</w:t>
      </w:r>
      <w:r>
        <w:rPr>
          <w:color w:val="231F20"/>
          <w:spacing w:val="-11"/>
          <w:sz w:val="20"/>
        </w:rPr>
        <w:t> </w:t>
      </w:r>
      <w:r>
        <w:rPr>
          <w:color w:val="231F20"/>
          <w:spacing w:val="-2"/>
          <w:sz w:val="20"/>
        </w:rPr>
        <w:t>работы:</w:t>
      </w:r>
    </w:p>
    <w:p>
      <w:pPr>
        <w:spacing w:before="6"/>
        <w:ind w:left="425" w:right="0" w:firstLine="0"/>
        <w:jc w:val="left"/>
        <w:rPr>
          <w:sz w:val="20"/>
        </w:rPr>
      </w:pPr>
      <w:r>
        <w:rPr>
          <w:i/>
          <w:color w:val="231F20"/>
          <w:spacing w:val="-2"/>
          <w:sz w:val="20"/>
        </w:rPr>
        <w:t>eduScrum</w:t>
      </w:r>
      <w:r>
        <w:rPr>
          <w:color w:val="231F20"/>
          <w:spacing w:val="-2"/>
          <w:sz w:val="20"/>
        </w:rPr>
        <w:t>.</w:t>
      </w:r>
    </w:p>
    <w:p>
      <w:pPr>
        <w:spacing w:before="120"/>
        <w:ind w:left="425" w:right="0" w:firstLine="0"/>
        <w:jc w:val="both"/>
        <w:rPr>
          <w:b/>
          <w:sz w:val="20"/>
        </w:rPr>
      </w:pPr>
      <w:r>
        <w:rPr>
          <w:b/>
          <w:color w:val="231F20"/>
          <w:sz w:val="20"/>
        </w:rPr>
        <w:t>Разновидности</w:t>
      </w:r>
      <w:r>
        <w:rPr>
          <w:b/>
          <w:color w:val="231F20"/>
          <w:spacing w:val="-9"/>
          <w:sz w:val="20"/>
        </w:rPr>
        <w:t> </w:t>
      </w:r>
      <w:r>
        <w:rPr>
          <w:b/>
          <w:color w:val="231F20"/>
          <w:sz w:val="20"/>
        </w:rPr>
        <w:t>технологии</w:t>
      </w:r>
      <w:r>
        <w:rPr>
          <w:b/>
          <w:color w:val="231F20"/>
          <w:spacing w:val="-9"/>
          <w:sz w:val="20"/>
        </w:rPr>
        <w:t> </w:t>
      </w:r>
      <w:r>
        <w:rPr>
          <w:b/>
          <w:color w:val="231F20"/>
          <w:sz w:val="20"/>
        </w:rPr>
        <w:t>обучения</w:t>
      </w:r>
      <w:r>
        <w:rPr>
          <w:b/>
          <w:color w:val="231F20"/>
          <w:spacing w:val="-8"/>
          <w:sz w:val="20"/>
        </w:rPr>
        <w:t> </w:t>
      </w:r>
      <w:r>
        <w:rPr>
          <w:b/>
          <w:color w:val="231F20"/>
          <w:sz w:val="20"/>
        </w:rPr>
        <w:t>в</w:t>
      </w:r>
      <w:r>
        <w:rPr>
          <w:b/>
          <w:color w:val="231F20"/>
          <w:spacing w:val="-7"/>
          <w:sz w:val="20"/>
        </w:rPr>
        <w:t> </w:t>
      </w:r>
      <w:r>
        <w:rPr>
          <w:b/>
          <w:color w:val="231F20"/>
          <w:spacing w:val="-2"/>
          <w:sz w:val="20"/>
        </w:rPr>
        <w:t>сотрудничестве</w:t>
      </w:r>
    </w:p>
    <w:p>
      <w:pPr>
        <w:pStyle w:val="BodyText"/>
        <w:spacing w:line="247" w:lineRule="auto" w:before="6"/>
      </w:pPr>
      <w:r>
        <w:rPr>
          <w:color w:val="231F20"/>
        </w:rPr>
        <w:t>Обучение в сотрудничестве включает в себя большую группу технологий, кото- рые были разработаны различными авторами и прошли многолетнюю апробацию в условиях</w:t>
      </w:r>
      <w:r>
        <w:rPr>
          <w:color w:val="231F20"/>
          <w:spacing w:val="-8"/>
        </w:rPr>
        <w:t> </w:t>
      </w:r>
      <w:r>
        <w:rPr>
          <w:color w:val="231F20"/>
        </w:rPr>
        <w:t>школы.</w:t>
      </w:r>
      <w:r>
        <w:rPr>
          <w:color w:val="231F20"/>
          <w:spacing w:val="-8"/>
        </w:rPr>
        <w:t> </w:t>
      </w:r>
      <w:r>
        <w:rPr>
          <w:color w:val="231F20"/>
        </w:rPr>
        <w:t>Все</w:t>
      </w:r>
      <w:r>
        <w:rPr>
          <w:color w:val="231F20"/>
          <w:spacing w:val="-8"/>
        </w:rPr>
        <w:t> </w:t>
      </w:r>
      <w:r>
        <w:rPr>
          <w:color w:val="231F20"/>
        </w:rPr>
        <w:t>эти</w:t>
      </w:r>
      <w:r>
        <w:rPr>
          <w:color w:val="231F20"/>
          <w:spacing w:val="-8"/>
        </w:rPr>
        <w:t> </w:t>
      </w:r>
      <w:r>
        <w:rPr>
          <w:color w:val="231F20"/>
        </w:rPr>
        <w:t>технологии</w:t>
      </w:r>
      <w:r>
        <w:rPr>
          <w:color w:val="231F20"/>
          <w:spacing w:val="-8"/>
        </w:rPr>
        <w:t> </w:t>
      </w:r>
      <w:r>
        <w:rPr>
          <w:color w:val="231F20"/>
        </w:rPr>
        <w:t>подразумевают</w:t>
      </w:r>
      <w:r>
        <w:rPr>
          <w:color w:val="231F20"/>
          <w:spacing w:val="-8"/>
        </w:rPr>
        <w:t> </w:t>
      </w:r>
      <w:r>
        <w:rPr>
          <w:color w:val="231F20"/>
        </w:rPr>
        <w:t>работу</w:t>
      </w:r>
      <w:r>
        <w:rPr>
          <w:color w:val="231F20"/>
          <w:spacing w:val="-8"/>
        </w:rPr>
        <w:t> </w:t>
      </w:r>
      <w:r>
        <w:rPr>
          <w:color w:val="231F20"/>
        </w:rPr>
        <w:t>учащихся</w:t>
      </w:r>
      <w:r>
        <w:rPr>
          <w:color w:val="231F20"/>
          <w:spacing w:val="-8"/>
        </w:rPr>
        <w:t> </w:t>
      </w:r>
      <w:r>
        <w:rPr>
          <w:color w:val="231F20"/>
        </w:rPr>
        <w:t>в</w:t>
      </w:r>
      <w:r>
        <w:rPr>
          <w:color w:val="231F20"/>
          <w:spacing w:val="-8"/>
        </w:rPr>
        <w:t> </w:t>
      </w:r>
      <w:r>
        <w:rPr>
          <w:color w:val="231F20"/>
        </w:rPr>
        <w:t>малых</w:t>
      </w:r>
      <w:r>
        <w:rPr>
          <w:color w:val="231F20"/>
          <w:spacing w:val="-8"/>
        </w:rPr>
        <w:t> </w:t>
      </w:r>
      <w:r>
        <w:rPr>
          <w:color w:val="231F20"/>
        </w:rPr>
        <w:t>груп- пах</w:t>
      </w:r>
      <w:r>
        <w:rPr>
          <w:color w:val="231F20"/>
          <w:spacing w:val="-6"/>
        </w:rPr>
        <w:t> </w:t>
      </w:r>
      <w:r>
        <w:rPr>
          <w:color w:val="231F20"/>
        </w:rPr>
        <w:t>сотрудничества</w:t>
      </w:r>
      <w:r>
        <w:rPr>
          <w:color w:val="231F20"/>
          <w:spacing w:val="-6"/>
        </w:rPr>
        <w:t> </w:t>
      </w:r>
      <w:r>
        <w:rPr>
          <w:color w:val="231F20"/>
        </w:rPr>
        <w:t>и</w:t>
      </w:r>
      <w:r>
        <w:rPr>
          <w:color w:val="231F20"/>
          <w:spacing w:val="-6"/>
        </w:rPr>
        <w:t> </w:t>
      </w:r>
      <w:r>
        <w:rPr>
          <w:color w:val="231F20"/>
        </w:rPr>
        <w:t>значительную</w:t>
      </w:r>
      <w:r>
        <w:rPr>
          <w:color w:val="231F20"/>
          <w:spacing w:val="-6"/>
        </w:rPr>
        <w:t> </w:t>
      </w:r>
      <w:r>
        <w:rPr>
          <w:color w:val="231F20"/>
        </w:rPr>
        <w:t>по</w:t>
      </w:r>
      <w:r>
        <w:rPr>
          <w:color w:val="231F20"/>
          <w:spacing w:val="-6"/>
        </w:rPr>
        <w:t> </w:t>
      </w:r>
      <w:r>
        <w:rPr>
          <w:color w:val="231F20"/>
        </w:rPr>
        <w:t>затратам</w:t>
      </w:r>
      <w:r>
        <w:rPr>
          <w:color w:val="231F20"/>
          <w:spacing w:val="-6"/>
        </w:rPr>
        <w:t> </w:t>
      </w:r>
      <w:r>
        <w:rPr>
          <w:color w:val="231F20"/>
        </w:rPr>
        <w:t>времени</w:t>
      </w:r>
      <w:r>
        <w:rPr>
          <w:color w:val="231F20"/>
          <w:spacing w:val="-6"/>
        </w:rPr>
        <w:t> </w:t>
      </w:r>
      <w:r>
        <w:rPr>
          <w:color w:val="231F20"/>
        </w:rPr>
        <w:t>подготовку</w:t>
      </w:r>
      <w:r>
        <w:rPr>
          <w:color w:val="231F20"/>
          <w:spacing w:val="-6"/>
        </w:rPr>
        <w:t> </w:t>
      </w:r>
      <w:r>
        <w:rPr>
          <w:color w:val="231F20"/>
        </w:rPr>
        <w:t>каждого</w:t>
      </w:r>
      <w:r>
        <w:rPr>
          <w:color w:val="231F20"/>
          <w:spacing w:val="-6"/>
        </w:rPr>
        <w:t> </w:t>
      </w:r>
      <w:r>
        <w:rPr>
          <w:color w:val="231F20"/>
        </w:rPr>
        <w:t>урока. Познакомимся</w:t>
      </w:r>
      <w:r>
        <w:rPr>
          <w:color w:val="231F20"/>
          <w:spacing w:val="-12"/>
        </w:rPr>
        <w:t> </w:t>
      </w:r>
      <w:r>
        <w:rPr>
          <w:color w:val="231F20"/>
        </w:rPr>
        <w:t>с</w:t>
      </w:r>
      <w:r>
        <w:rPr>
          <w:color w:val="231F20"/>
          <w:spacing w:val="-12"/>
        </w:rPr>
        <w:t> </w:t>
      </w:r>
      <w:r>
        <w:rPr>
          <w:color w:val="231F20"/>
        </w:rPr>
        <w:t>несколькими</w:t>
      </w:r>
      <w:r>
        <w:rPr>
          <w:color w:val="231F20"/>
          <w:spacing w:val="-12"/>
        </w:rPr>
        <w:t> </w:t>
      </w:r>
      <w:r>
        <w:rPr>
          <w:color w:val="231F20"/>
        </w:rPr>
        <w:t>из</w:t>
      </w:r>
      <w:r>
        <w:rPr>
          <w:color w:val="231F20"/>
          <w:spacing w:val="-12"/>
        </w:rPr>
        <w:t> </w:t>
      </w:r>
      <w:r>
        <w:rPr>
          <w:color w:val="231F20"/>
        </w:rPr>
        <w:t>числа</w:t>
      </w:r>
      <w:r>
        <w:rPr>
          <w:color w:val="231F20"/>
          <w:spacing w:val="-12"/>
        </w:rPr>
        <w:t> </w:t>
      </w:r>
      <w:r>
        <w:rPr>
          <w:color w:val="231F20"/>
        </w:rPr>
        <w:t>самых</w:t>
      </w:r>
      <w:r>
        <w:rPr>
          <w:color w:val="231F20"/>
          <w:spacing w:val="-12"/>
        </w:rPr>
        <w:t> </w:t>
      </w:r>
      <w:r>
        <w:rPr>
          <w:color w:val="231F20"/>
        </w:rPr>
        <w:t>известных</w:t>
      </w:r>
      <w:r>
        <w:rPr>
          <w:color w:val="231F20"/>
          <w:spacing w:val="-12"/>
        </w:rPr>
        <w:t> </w:t>
      </w:r>
      <w:r>
        <w:rPr>
          <w:color w:val="231F20"/>
        </w:rPr>
        <w:t>в</w:t>
      </w:r>
      <w:r>
        <w:rPr>
          <w:color w:val="231F20"/>
          <w:spacing w:val="-12"/>
        </w:rPr>
        <w:t> </w:t>
      </w:r>
      <w:r>
        <w:rPr>
          <w:color w:val="231F20"/>
        </w:rPr>
        <w:t>мире</w:t>
      </w:r>
      <w:r>
        <w:rPr>
          <w:color w:val="231F20"/>
          <w:spacing w:val="-12"/>
        </w:rPr>
        <w:t> </w:t>
      </w:r>
      <w:r>
        <w:rPr>
          <w:color w:val="231F20"/>
        </w:rPr>
        <w:t>технологий</w:t>
      </w:r>
      <w:r>
        <w:rPr>
          <w:color w:val="231F20"/>
          <w:spacing w:val="-12"/>
        </w:rPr>
        <w:t> </w:t>
      </w:r>
      <w:r>
        <w:rPr>
          <w:color w:val="231F20"/>
        </w:rPr>
        <w:t>обучения в сотрудничестве.</w:t>
      </w:r>
    </w:p>
    <w:p>
      <w:pPr>
        <w:pStyle w:val="BodyText"/>
        <w:spacing w:after="0" w:line="247" w:lineRule="auto"/>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line="228" w:lineRule="exact" w:before="109"/>
        <w:ind w:left="425" w:right="0" w:firstLine="0"/>
        <w:jc w:val="left"/>
        <w:rPr>
          <w:b/>
          <w:i/>
          <w:sz w:val="20"/>
        </w:rPr>
      </w:pPr>
      <w:r>
        <w:rPr>
          <w:b/>
          <w:i/>
          <w:color w:val="231F20"/>
          <w:sz w:val="20"/>
        </w:rPr>
        <w:t>Учебные</w:t>
      </w:r>
      <w:r>
        <w:rPr>
          <w:b/>
          <w:i/>
          <w:color w:val="231F20"/>
          <w:spacing w:val="-3"/>
          <w:sz w:val="20"/>
        </w:rPr>
        <w:t> </w:t>
      </w:r>
      <w:r>
        <w:rPr>
          <w:b/>
          <w:i/>
          <w:color w:val="231F20"/>
          <w:spacing w:val="-2"/>
          <w:sz w:val="20"/>
        </w:rPr>
        <w:t>команды</w:t>
      </w:r>
    </w:p>
    <w:p>
      <w:pPr>
        <w:pStyle w:val="BodyText"/>
        <w:spacing w:line="230" w:lineRule="auto"/>
      </w:pPr>
      <w:r>
        <w:rPr>
          <w:color w:val="231F20"/>
          <w:spacing w:val="-2"/>
        </w:rPr>
        <w:t>Ряд</w:t>
      </w:r>
      <w:r>
        <w:rPr>
          <w:color w:val="231F20"/>
          <w:spacing w:val="-4"/>
        </w:rPr>
        <w:t> </w:t>
      </w:r>
      <w:r>
        <w:rPr>
          <w:color w:val="231F20"/>
          <w:spacing w:val="-2"/>
        </w:rPr>
        <w:t>технологий,</w:t>
      </w:r>
      <w:r>
        <w:rPr>
          <w:color w:val="231F20"/>
          <w:spacing w:val="-4"/>
        </w:rPr>
        <w:t> </w:t>
      </w:r>
      <w:r>
        <w:rPr>
          <w:color w:val="231F20"/>
          <w:spacing w:val="-2"/>
        </w:rPr>
        <w:t>предусматривающих</w:t>
      </w:r>
      <w:r>
        <w:rPr>
          <w:color w:val="231F20"/>
          <w:spacing w:val="-4"/>
        </w:rPr>
        <w:t> </w:t>
      </w:r>
      <w:r>
        <w:rPr>
          <w:color w:val="231F20"/>
          <w:spacing w:val="-2"/>
        </w:rPr>
        <w:t>активную</w:t>
      </w:r>
      <w:r>
        <w:rPr>
          <w:color w:val="231F20"/>
          <w:spacing w:val="-4"/>
        </w:rPr>
        <w:t> </w:t>
      </w:r>
      <w:r>
        <w:rPr>
          <w:color w:val="231F20"/>
          <w:spacing w:val="-2"/>
        </w:rPr>
        <w:t>работу</w:t>
      </w:r>
      <w:r>
        <w:rPr>
          <w:color w:val="231F20"/>
          <w:spacing w:val="-4"/>
        </w:rPr>
        <w:t> </w:t>
      </w:r>
      <w:r>
        <w:rPr>
          <w:color w:val="231F20"/>
          <w:spacing w:val="-2"/>
        </w:rPr>
        <w:t>учащихся</w:t>
      </w:r>
      <w:r>
        <w:rPr>
          <w:color w:val="231F20"/>
          <w:spacing w:val="-4"/>
        </w:rPr>
        <w:t> </w:t>
      </w:r>
      <w:r>
        <w:rPr>
          <w:color w:val="231F20"/>
          <w:spacing w:val="-2"/>
        </w:rPr>
        <w:t>в</w:t>
      </w:r>
      <w:r>
        <w:rPr>
          <w:color w:val="231F20"/>
          <w:spacing w:val="-4"/>
        </w:rPr>
        <w:t> </w:t>
      </w:r>
      <w:r>
        <w:rPr>
          <w:color w:val="231F20"/>
          <w:spacing w:val="-2"/>
        </w:rPr>
        <w:t>группе</w:t>
      </w:r>
      <w:r>
        <w:rPr>
          <w:color w:val="231F20"/>
          <w:spacing w:val="-4"/>
        </w:rPr>
        <w:t> </w:t>
      </w:r>
      <w:r>
        <w:rPr>
          <w:color w:val="231F20"/>
          <w:spacing w:val="-2"/>
        </w:rPr>
        <w:t>с</w:t>
      </w:r>
      <w:r>
        <w:rPr>
          <w:color w:val="231F20"/>
          <w:spacing w:val="-4"/>
        </w:rPr>
        <w:t> </w:t>
      </w:r>
      <w:r>
        <w:rPr>
          <w:color w:val="231F20"/>
          <w:spacing w:val="-2"/>
        </w:rPr>
        <w:t>обяза- </w:t>
      </w:r>
      <w:r>
        <w:rPr>
          <w:color w:val="231F20"/>
        </w:rPr>
        <w:t>тельной самостоятельной постановкой целей и задач, распределением обязанностей (ролей) между членами группы. Наиболее часто используются следующие техноло- гии работы в составе учебных команд.</w:t>
      </w:r>
    </w:p>
    <w:p>
      <w:pPr>
        <w:spacing w:line="225" w:lineRule="exact" w:before="45"/>
        <w:ind w:left="425" w:right="0" w:firstLine="0"/>
        <w:jc w:val="both"/>
        <w:rPr>
          <w:i/>
          <w:sz w:val="20"/>
        </w:rPr>
      </w:pPr>
      <w:r>
        <w:rPr>
          <w:i/>
          <w:color w:val="231F20"/>
          <w:sz w:val="20"/>
        </w:rPr>
        <w:t>Учебные</w:t>
      </w:r>
      <w:r>
        <w:rPr>
          <w:i/>
          <w:color w:val="231F20"/>
          <w:spacing w:val="-3"/>
          <w:sz w:val="20"/>
        </w:rPr>
        <w:t> </w:t>
      </w:r>
      <w:r>
        <w:rPr>
          <w:i/>
          <w:color w:val="231F20"/>
          <w:spacing w:val="-2"/>
          <w:sz w:val="20"/>
        </w:rPr>
        <w:t>турниры</w:t>
      </w:r>
    </w:p>
    <w:p>
      <w:pPr>
        <w:pStyle w:val="BodyText"/>
        <w:spacing w:line="230" w:lineRule="auto" w:before="2"/>
      </w:pPr>
      <w:r>
        <w:rPr>
          <w:color w:val="231F20"/>
        </w:rPr>
        <w:t>Технология</w:t>
      </w:r>
      <w:r>
        <w:rPr>
          <w:color w:val="231F20"/>
          <w:spacing w:val="-2"/>
        </w:rPr>
        <w:t> </w:t>
      </w:r>
      <w:r>
        <w:rPr>
          <w:color w:val="231F20"/>
        </w:rPr>
        <w:t>предусматривает</w:t>
      </w:r>
      <w:r>
        <w:rPr>
          <w:color w:val="231F20"/>
          <w:spacing w:val="-2"/>
        </w:rPr>
        <w:t> </w:t>
      </w:r>
      <w:r>
        <w:rPr>
          <w:color w:val="231F20"/>
        </w:rPr>
        <w:t>разделение</w:t>
      </w:r>
      <w:r>
        <w:rPr>
          <w:color w:val="231F20"/>
          <w:spacing w:val="-2"/>
        </w:rPr>
        <w:t> </w:t>
      </w:r>
      <w:r>
        <w:rPr>
          <w:color w:val="231F20"/>
        </w:rPr>
        <w:t>класса</w:t>
      </w:r>
      <w:r>
        <w:rPr>
          <w:color w:val="231F20"/>
          <w:spacing w:val="-2"/>
        </w:rPr>
        <w:t> </w:t>
      </w:r>
      <w:r>
        <w:rPr>
          <w:color w:val="231F20"/>
        </w:rPr>
        <w:t>на</w:t>
      </w:r>
      <w:r>
        <w:rPr>
          <w:color w:val="231F20"/>
          <w:spacing w:val="-2"/>
        </w:rPr>
        <w:t> </w:t>
      </w:r>
      <w:r>
        <w:rPr>
          <w:color w:val="231F20"/>
        </w:rPr>
        <w:t>команды</w:t>
      </w:r>
      <w:r>
        <w:rPr>
          <w:color w:val="231F20"/>
          <w:spacing w:val="-2"/>
        </w:rPr>
        <w:t> </w:t>
      </w:r>
      <w:r>
        <w:rPr>
          <w:color w:val="231F20"/>
        </w:rPr>
        <w:t>по</w:t>
      </w:r>
      <w:r>
        <w:rPr>
          <w:color w:val="231F20"/>
          <w:spacing w:val="-2"/>
        </w:rPr>
        <w:t> </w:t>
      </w:r>
      <w:r>
        <w:rPr>
          <w:color w:val="231F20"/>
        </w:rPr>
        <w:t>4–5</w:t>
      </w:r>
      <w:r>
        <w:rPr>
          <w:color w:val="231F20"/>
          <w:spacing w:val="-2"/>
        </w:rPr>
        <w:t> </w:t>
      </w:r>
      <w:r>
        <w:rPr>
          <w:color w:val="231F20"/>
        </w:rPr>
        <w:t>человек</w:t>
      </w:r>
      <w:r>
        <w:rPr>
          <w:color w:val="231F20"/>
          <w:spacing w:val="-2"/>
        </w:rPr>
        <w:t> </w:t>
      </w:r>
      <w:r>
        <w:rPr>
          <w:color w:val="231F20"/>
        </w:rPr>
        <w:t>и</w:t>
      </w:r>
      <w:r>
        <w:rPr>
          <w:color w:val="231F20"/>
          <w:spacing w:val="-2"/>
        </w:rPr>
        <w:t> </w:t>
      </w:r>
      <w:r>
        <w:rPr>
          <w:color w:val="231F20"/>
        </w:rPr>
        <w:t>ор- ганизацию</w:t>
      </w:r>
      <w:r>
        <w:rPr>
          <w:color w:val="231F20"/>
          <w:spacing w:val="-9"/>
        </w:rPr>
        <w:t> </w:t>
      </w:r>
      <w:r>
        <w:rPr>
          <w:color w:val="231F20"/>
        </w:rPr>
        <w:t>их</w:t>
      </w:r>
      <w:r>
        <w:rPr>
          <w:color w:val="231F20"/>
          <w:spacing w:val="-9"/>
        </w:rPr>
        <w:t> </w:t>
      </w:r>
      <w:r>
        <w:rPr>
          <w:color w:val="231F20"/>
        </w:rPr>
        <w:t>соревнований</w:t>
      </w:r>
      <w:r>
        <w:rPr>
          <w:color w:val="231F20"/>
          <w:spacing w:val="-9"/>
        </w:rPr>
        <w:t> </w:t>
      </w:r>
      <w:r>
        <w:rPr>
          <w:color w:val="231F20"/>
        </w:rPr>
        <w:t>друг</w:t>
      </w:r>
      <w:r>
        <w:rPr>
          <w:color w:val="231F20"/>
          <w:spacing w:val="-9"/>
        </w:rPr>
        <w:t> </w:t>
      </w:r>
      <w:r>
        <w:rPr>
          <w:color w:val="231F20"/>
        </w:rPr>
        <w:t>с</w:t>
      </w:r>
      <w:r>
        <w:rPr>
          <w:color w:val="231F20"/>
          <w:spacing w:val="-10"/>
        </w:rPr>
        <w:t> </w:t>
      </w:r>
      <w:r>
        <w:rPr>
          <w:color w:val="231F20"/>
        </w:rPr>
        <w:t>другом.</w:t>
      </w:r>
      <w:r>
        <w:rPr>
          <w:color w:val="231F20"/>
          <w:spacing w:val="-9"/>
        </w:rPr>
        <w:t> </w:t>
      </w:r>
      <w:r>
        <w:rPr>
          <w:color w:val="231F20"/>
        </w:rPr>
        <w:t>Обязательным</w:t>
      </w:r>
      <w:r>
        <w:rPr>
          <w:color w:val="231F20"/>
          <w:spacing w:val="-9"/>
        </w:rPr>
        <w:t> </w:t>
      </w:r>
      <w:r>
        <w:rPr>
          <w:color w:val="231F20"/>
        </w:rPr>
        <w:t>требованием</w:t>
      </w:r>
      <w:r>
        <w:rPr>
          <w:color w:val="231F20"/>
          <w:spacing w:val="-9"/>
        </w:rPr>
        <w:t> </w:t>
      </w:r>
      <w:r>
        <w:rPr>
          <w:color w:val="231F20"/>
        </w:rPr>
        <w:t>в</w:t>
      </w:r>
      <w:r>
        <w:rPr>
          <w:color w:val="231F20"/>
          <w:spacing w:val="-9"/>
        </w:rPr>
        <w:t> </w:t>
      </w:r>
      <w:r>
        <w:rPr>
          <w:color w:val="231F20"/>
        </w:rPr>
        <w:t>данной</w:t>
      </w:r>
      <w:r>
        <w:rPr>
          <w:color w:val="231F20"/>
          <w:spacing w:val="-10"/>
        </w:rPr>
        <w:t> </w:t>
      </w:r>
      <w:r>
        <w:rPr>
          <w:color w:val="231F20"/>
        </w:rPr>
        <w:t>тех- нологии</w:t>
      </w:r>
      <w:r>
        <w:rPr>
          <w:color w:val="231F20"/>
          <w:spacing w:val="-4"/>
        </w:rPr>
        <w:t> </w:t>
      </w:r>
      <w:r>
        <w:rPr>
          <w:color w:val="231F20"/>
        </w:rPr>
        <w:t>является</w:t>
      </w:r>
      <w:r>
        <w:rPr>
          <w:color w:val="231F20"/>
          <w:spacing w:val="-4"/>
        </w:rPr>
        <w:t> </w:t>
      </w:r>
      <w:r>
        <w:rPr>
          <w:color w:val="231F20"/>
        </w:rPr>
        <w:t>вовлеченность</w:t>
      </w:r>
      <w:r>
        <w:rPr>
          <w:color w:val="231F20"/>
          <w:spacing w:val="-4"/>
        </w:rPr>
        <w:t> </w:t>
      </w:r>
      <w:r>
        <w:rPr>
          <w:color w:val="231F20"/>
        </w:rPr>
        <w:t>каждого</w:t>
      </w:r>
      <w:r>
        <w:rPr>
          <w:color w:val="231F20"/>
          <w:spacing w:val="-4"/>
        </w:rPr>
        <w:t> </w:t>
      </w:r>
      <w:r>
        <w:rPr>
          <w:color w:val="231F20"/>
        </w:rPr>
        <w:t>члена</w:t>
      </w:r>
      <w:r>
        <w:rPr>
          <w:color w:val="231F20"/>
          <w:spacing w:val="-4"/>
        </w:rPr>
        <w:t> </w:t>
      </w:r>
      <w:r>
        <w:rPr>
          <w:color w:val="231F20"/>
        </w:rPr>
        <w:t>команды</w:t>
      </w:r>
      <w:r>
        <w:rPr>
          <w:color w:val="231F20"/>
          <w:spacing w:val="-4"/>
        </w:rPr>
        <w:t> </w:t>
      </w:r>
      <w:r>
        <w:rPr>
          <w:color w:val="231F20"/>
        </w:rPr>
        <w:t>в</w:t>
      </w:r>
      <w:r>
        <w:rPr>
          <w:color w:val="231F20"/>
          <w:spacing w:val="-4"/>
        </w:rPr>
        <w:t> </w:t>
      </w:r>
      <w:r>
        <w:rPr>
          <w:color w:val="231F20"/>
        </w:rPr>
        <w:t>получение</w:t>
      </w:r>
      <w:r>
        <w:rPr>
          <w:color w:val="231F20"/>
          <w:spacing w:val="-4"/>
        </w:rPr>
        <w:t> </w:t>
      </w:r>
      <w:r>
        <w:rPr>
          <w:color w:val="231F20"/>
        </w:rPr>
        <w:t>итогового</w:t>
      </w:r>
      <w:r>
        <w:rPr>
          <w:color w:val="231F20"/>
          <w:spacing w:val="-4"/>
        </w:rPr>
        <w:t> </w:t>
      </w:r>
      <w:r>
        <w:rPr>
          <w:color w:val="231F20"/>
        </w:rPr>
        <w:t>(ко- </w:t>
      </w:r>
      <w:r>
        <w:rPr>
          <w:color w:val="231F20"/>
          <w:spacing w:val="-2"/>
        </w:rPr>
        <w:t>мандного)</w:t>
      </w:r>
      <w:r>
        <w:rPr>
          <w:color w:val="231F20"/>
          <w:spacing w:val="-7"/>
        </w:rPr>
        <w:t> </w:t>
      </w:r>
      <w:r>
        <w:rPr>
          <w:color w:val="231F20"/>
          <w:spacing w:val="-2"/>
        </w:rPr>
        <w:t>результата.</w:t>
      </w:r>
      <w:r>
        <w:rPr>
          <w:color w:val="231F20"/>
          <w:spacing w:val="-7"/>
        </w:rPr>
        <w:t> </w:t>
      </w:r>
      <w:r>
        <w:rPr>
          <w:color w:val="231F20"/>
          <w:spacing w:val="-2"/>
        </w:rPr>
        <w:t>При</w:t>
      </w:r>
      <w:r>
        <w:rPr>
          <w:color w:val="231F20"/>
          <w:spacing w:val="-7"/>
        </w:rPr>
        <w:t> </w:t>
      </w:r>
      <w:r>
        <w:rPr>
          <w:color w:val="231F20"/>
          <w:spacing w:val="-2"/>
        </w:rPr>
        <w:t>этом</w:t>
      </w:r>
      <w:r>
        <w:rPr>
          <w:color w:val="231F20"/>
          <w:spacing w:val="-7"/>
        </w:rPr>
        <w:t> </w:t>
      </w:r>
      <w:r>
        <w:rPr>
          <w:color w:val="231F20"/>
          <w:spacing w:val="-2"/>
        </w:rPr>
        <w:t>важно,</w:t>
      </w:r>
      <w:r>
        <w:rPr>
          <w:color w:val="231F20"/>
          <w:spacing w:val="-7"/>
        </w:rPr>
        <w:t> </w:t>
      </w:r>
      <w:r>
        <w:rPr>
          <w:color w:val="231F20"/>
          <w:spacing w:val="-2"/>
        </w:rPr>
        <w:t>что</w:t>
      </w:r>
      <w:r>
        <w:rPr>
          <w:color w:val="231F20"/>
          <w:spacing w:val="-7"/>
        </w:rPr>
        <w:t> </w:t>
      </w:r>
      <w:r>
        <w:rPr>
          <w:color w:val="231F20"/>
          <w:spacing w:val="-2"/>
        </w:rPr>
        <w:t>члены</w:t>
      </w:r>
      <w:r>
        <w:rPr>
          <w:color w:val="231F20"/>
          <w:spacing w:val="-7"/>
        </w:rPr>
        <w:t> </w:t>
      </w:r>
      <w:r>
        <w:rPr>
          <w:color w:val="231F20"/>
          <w:spacing w:val="-2"/>
        </w:rPr>
        <w:t>разных</w:t>
      </w:r>
      <w:r>
        <w:rPr>
          <w:color w:val="231F20"/>
          <w:spacing w:val="-7"/>
        </w:rPr>
        <w:t> </w:t>
      </w:r>
      <w:r>
        <w:rPr>
          <w:color w:val="231F20"/>
          <w:spacing w:val="-2"/>
        </w:rPr>
        <w:t>команд</w:t>
      </w:r>
      <w:r>
        <w:rPr>
          <w:color w:val="231F20"/>
          <w:spacing w:val="-7"/>
        </w:rPr>
        <w:t> </w:t>
      </w:r>
      <w:r>
        <w:rPr>
          <w:color w:val="231F20"/>
          <w:spacing w:val="-2"/>
        </w:rPr>
        <w:t>будут</w:t>
      </w:r>
      <w:r>
        <w:rPr>
          <w:color w:val="231F20"/>
          <w:spacing w:val="-7"/>
        </w:rPr>
        <w:t> </w:t>
      </w:r>
      <w:r>
        <w:rPr>
          <w:color w:val="231F20"/>
          <w:spacing w:val="-2"/>
        </w:rPr>
        <w:t>соревноваться </w:t>
      </w:r>
      <w:r>
        <w:rPr>
          <w:color w:val="231F20"/>
        </w:rPr>
        <w:t>друг</w:t>
      </w:r>
      <w:r>
        <w:rPr>
          <w:color w:val="231F20"/>
          <w:spacing w:val="-5"/>
        </w:rPr>
        <w:t> </w:t>
      </w:r>
      <w:r>
        <w:rPr>
          <w:color w:val="231F20"/>
        </w:rPr>
        <w:t>с</w:t>
      </w:r>
      <w:r>
        <w:rPr>
          <w:color w:val="231F20"/>
          <w:spacing w:val="-5"/>
        </w:rPr>
        <w:t> </w:t>
      </w:r>
      <w:r>
        <w:rPr>
          <w:color w:val="231F20"/>
        </w:rPr>
        <w:t>другом</w:t>
      </w:r>
      <w:r>
        <w:rPr>
          <w:color w:val="231F20"/>
          <w:spacing w:val="-5"/>
        </w:rPr>
        <w:t> </w:t>
      </w:r>
      <w:r>
        <w:rPr>
          <w:color w:val="231F20"/>
        </w:rPr>
        <w:t>на</w:t>
      </w:r>
      <w:r>
        <w:rPr>
          <w:color w:val="231F20"/>
          <w:spacing w:val="-5"/>
        </w:rPr>
        <w:t> </w:t>
      </w:r>
      <w:r>
        <w:rPr>
          <w:color w:val="231F20"/>
        </w:rPr>
        <w:t>условиях</w:t>
      </w:r>
      <w:r>
        <w:rPr>
          <w:color w:val="231F20"/>
          <w:spacing w:val="-5"/>
        </w:rPr>
        <w:t> </w:t>
      </w:r>
      <w:r>
        <w:rPr>
          <w:color w:val="231F20"/>
        </w:rPr>
        <w:t>равенства</w:t>
      </w:r>
      <w:r>
        <w:rPr>
          <w:color w:val="231F20"/>
          <w:spacing w:val="-5"/>
        </w:rPr>
        <w:t> </w:t>
      </w:r>
      <w:r>
        <w:rPr>
          <w:color w:val="231F20"/>
        </w:rPr>
        <w:t>в</w:t>
      </w:r>
      <w:r>
        <w:rPr>
          <w:color w:val="231F20"/>
          <w:spacing w:val="-5"/>
        </w:rPr>
        <w:t> </w:t>
      </w:r>
      <w:r>
        <w:rPr>
          <w:color w:val="231F20"/>
        </w:rPr>
        <w:t>подготовке,</w:t>
      </w:r>
      <w:r>
        <w:rPr>
          <w:color w:val="231F20"/>
          <w:spacing w:val="-5"/>
        </w:rPr>
        <w:t> </w:t>
      </w:r>
      <w:r>
        <w:rPr>
          <w:color w:val="231F20"/>
        </w:rPr>
        <w:t>то</w:t>
      </w:r>
      <w:r>
        <w:rPr>
          <w:color w:val="231F20"/>
          <w:spacing w:val="-5"/>
        </w:rPr>
        <w:t> </w:t>
      </w:r>
      <w:r>
        <w:rPr>
          <w:color w:val="231F20"/>
        </w:rPr>
        <w:t>есть</w:t>
      </w:r>
      <w:r>
        <w:rPr>
          <w:color w:val="231F20"/>
          <w:spacing w:val="-5"/>
        </w:rPr>
        <w:t> </w:t>
      </w:r>
      <w:r>
        <w:rPr>
          <w:color w:val="231F20"/>
        </w:rPr>
        <w:t>задания</w:t>
      </w:r>
      <w:r>
        <w:rPr>
          <w:color w:val="231F20"/>
          <w:spacing w:val="-5"/>
        </w:rPr>
        <w:t> </w:t>
      </w:r>
      <w:r>
        <w:rPr>
          <w:color w:val="231F20"/>
        </w:rPr>
        <w:t>для</w:t>
      </w:r>
      <w:r>
        <w:rPr>
          <w:color w:val="231F20"/>
          <w:spacing w:val="-5"/>
        </w:rPr>
        <w:t> </w:t>
      </w:r>
      <w:r>
        <w:rPr>
          <w:color w:val="231F20"/>
        </w:rPr>
        <w:t>соревнований придумываются</w:t>
      </w:r>
      <w:r>
        <w:rPr>
          <w:color w:val="231F20"/>
          <w:spacing w:val="-7"/>
        </w:rPr>
        <w:t> </w:t>
      </w:r>
      <w:r>
        <w:rPr>
          <w:color w:val="231F20"/>
        </w:rPr>
        <w:t>учителем</w:t>
      </w:r>
      <w:r>
        <w:rPr>
          <w:color w:val="231F20"/>
          <w:spacing w:val="-7"/>
        </w:rPr>
        <w:t> </w:t>
      </w:r>
      <w:r>
        <w:rPr>
          <w:color w:val="231F20"/>
        </w:rPr>
        <w:t>так,</w:t>
      </w:r>
      <w:r>
        <w:rPr>
          <w:color w:val="231F20"/>
          <w:spacing w:val="-7"/>
        </w:rPr>
        <w:t> </w:t>
      </w:r>
      <w:r>
        <w:rPr>
          <w:color w:val="231F20"/>
        </w:rPr>
        <w:t>чтобы</w:t>
      </w:r>
      <w:r>
        <w:rPr>
          <w:color w:val="231F20"/>
          <w:spacing w:val="-7"/>
        </w:rPr>
        <w:t> </w:t>
      </w:r>
      <w:r>
        <w:rPr>
          <w:color w:val="231F20"/>
        </w:rPr>
        <w:t>проявить</w:t>
      </w:r>
      <w:r>
        <w:rPr>
          <w:color w:val="231F20"/>
          <w:spacing w:val="-7"/>
        </w:rPr>
        <w:t> </w:t>
      </w:r>
      <w:r>
        <w:rPr>
          <w:color w:val="231F20"/>
        </w:rPr>
        <w:t>себя</w:t>
      </w:r>
      <w:r>
        <w:rPr>
          <w:color w:val="231F20"/>
          <w:spacing w:val="-7"/>
        </w:rPr>
        <w:t> </w:t>
      </w:r>
      <w:r>
        <w:rPr>
          <w:color w:val="231F20"/>
        </w:rPr>
        <w:t>и</w:t>
      </w:r>
      <w:r>
        <w:rPr>
          <w:color w:val="231F20"/>
          <w:spacing w:val="-7"/>
        </w:rPr>
        <w:t> </w:t>
      </w:r>
      <w:r>
        <w:rPr>
          <w:color w:val="231F20"/>
        </w:rPr>
        <w:t>посоревноваться</w:t>
      </w:r>
      <w:r>
        <w:rPr>
          <w:color w:val="231F20"/>
          <w:spacing w:val="-7"/>
        </w:rPr>
        <w:t> </w:t>
      </w:r>
      <w:r>
        <w:rPr>
          <w:color w:val="231F20"/>
        </w:rPr>
        <w:t>друг</w:t>
      </w:r>
      <w:r>
        <w:rPr>
          <w:color w:val="231F20"/>
          <w:spacing w:val="-7"/>
        </w:rPr>
        <w:t> </w:t>
      </w:r>
      <w:r>
        <w:rPr>
          <w:color w:val="231F20"/>
        </w:rPr>
        <w:t>с</w:t>
      </w:r>
      <w:r>
        <w:rPr>
          <w:color w:val="231F20"/>
          <w:spacing w:val="-7"/>
        </w:rPr>
        <w:t> </w:t>
      </w:r>
      <w:r>
        <w:rPr>
          <w:color w:val="231F20"/>
        </w:rPr>
        <w:t>другом могли</w:t>
      </w:r>
      <w:r>
        <w:rPr>
          <w:color w:val="231F20"/>
          <w:spacing w:val="-9"/>
        </w:rPr>
        <w:t> </w:t>
      </w:r>
      <w:r>
        <w:rPr>
          <w:color w:val="231F20"/>
        </w:rPr>
        <w:t>бы</w:t>
      </w:r>
      <w:r>
        <w:rPr>
          <w:color w:val="231F20"/>
          <w:spacing w:val="-9"/>
        </w:rPr>
        <w:t> </w:t>
      </w:r>
      <w:r>
        <w:rPr>
          <w:color w:val="231F20"/>
        </w:rPr>
        <w:t>как</w:t>
      </w:r>
      <w:r>
        <w:rPr>
          <w:color w:val="231F20"/>
          <w:spacing w:val="-9"/>
        </w:rPr>
        <w:t> </w:t>
      </w:r>
      <w:r>
        <w:rPr>
          <w:color w:val="231F20"/>
        </w:rPr>
        <w:t>самые</w:t>
      </w:r>
      <w:r>
        <w:rPr>
          <w:color w:val="231F20"/>
          <w:spacing w:val="-9"/>
        </w:rPr>
        <w:t> </w:t>
      </w:r>
      <w:r>
        <w:rPr>
          <w:color w:val="231F20"/>
        </w:rPr>
        <w:t>сильные</w:t>
      </w:r>
      <w:r>
        <w:rPr>
          <w:color w:val="231F20"/>
          <w:spacing w:val="-9"/>
        </w:rPr>
        <w:t> </w:t>
      </w:r>
      <w:r>
        <w:rPr>
          <w:color w:val="231F20"/>
        </w:rPr>
        <w:t>учащиеся</w:t>
      </w:r>
      <w:r>
        <w:rPr>
          <w:color w:val="231F20"/>
          <w:spacing w:val="-9"/>
        </w:rPr>
        <w:t> </w:t>
      </w:r>
      <w:r>
        <w:rPr>
          <w:color w:val="231F20"/>
        </w:rPr>
        <w:t>из</w:t>
      </w:r>
      <w:r>
        <w:rPr>
          <w:color w:val="231F20"/>
          <w:spacing w:val="-9"/>
        </w:rPr>
        <w:t> </w:t>
      </w:r>
      <w:r>
        <w:rPr>
          <w:color w:val="231F20"/>
        </w:rPr>
        <w:t>каждой</w:t>
      </w:r>
      <w:r>
        <w:rPr>
          <w:color w:val="231F20"/>
          <w:spacing w:val="-9"/>
        </w:rPr>
        <w:t> </w:t>
      </w:r>
      <w:r>
        <w:rPr>
          <w:color w:val="231F20"/>
        </w:rPr>
        <w:t>команды,</w:t>
      </w:r>
      <w:r>
        <w:rPr>
          <w:color w:val="231F20"/>
          <w:spacing w:val="-9"/>
        </w:rPr>
        <w:t> </w:t>
      </w:r>
      <w:r>
        <w:rPr>
          <w:color w:val="231F20"/>
        </w:rPr>
        <w:t>так</w:t>
      </w:r>
      <w:r>
        <w:rPr>
          <w:color w:val="231F20"/>
          <w:spacing w:val="-9"/>
        </w:rPr>
        <w:t> </w:t>
      </w:r>
      <w:r>
        <w:rPr>
          <w:color w:val="231F20"/>
        </w:rPr>
        <w:t>и</w:t>
      </w:r>
      <w:r>
        <w:rPr>
          <w:color w:val="231F20"/>
          <w:spacing w:val="-9"/>
        </w:rPr>
        <w:t> </w:t>
      </w:r>
      <w:r>
        <w:rPr>
          <w:color w:val="231F20"/>
        </w:rPr>
        <w:t>учащиеся</w:t>
      </w:r>
      <w:r>
        <w:rPr>
          <w:color w:val="231F20"/>
          <w:spacing w:val="-9"/>
        </w:rPr>
        <w:t> </w:t>
      </w:r>
      <w:r>
        <w:rPr>
          <w:color w:val="231F20"/>
        </w:rPr>
        <w:t>с</w:t>
      </w:r>
      <w:r>
        <w:rPr>
          <w:color w:val="231F20"/>
          <w:spacing w:val="-9"/>
        </w:rPr>
        <w:t> </w:t>
      </w:r>
      <w:r>
        <w:rPr>
          <w:color w:val="231F20"/>
        </w:rPr>
        <w:t>невысо- ким уровнем академической подготовки.</w:t>
      </w:r>
    </w:p>
    <w:p>
      <w:pPr>
        <w:spacing w:line="226" w:lineRule="exact" w:before="55"/>
        <w:ind w:left="425" w:right="0" w:firstLine="0"/>
        <w:jc w:val="both"/>
        <w:rPr>
          <w:i/>
          <w:sz w:val="20"/>
        </w:rPr>
      </w:pPr>
      <w:r>
        <w:rPr>
          <w:i/>
          <w:color w:val="231F20"/>
          <w:sz w:val="20"/>
        </w:rPr>
        <w:t>Дискуссионные </w:t>
      </w:r>
      <w:r>
        <w:rPr>
          <w:i/>
          <w:color w:val="231F20"/>
          <w:spacing w:val="-2"/>
          <w:sz w:val="20"/>
        </w:rPr>
        <w:t>группы</w:t>
      </w:r>
    </w:p>
    <w:p>
      <w:pPr>
        <w:pStyle w:val="BodyText"/>
        <w:spacing w:line="232" w:lineRule="auto" w:before="2"/>
      </w:pPr>
      <w:r>
        <w:rPr>
          <w:color w:val="231F20"/>
        </w:rPr>
        <w:t>Учитель</w:t>
      </w:r>
      <w:r>
        <w:rPr>
          <w:color w:val="231F20"/>
          <w:spacing w:val="-3"/>
        </w:rPr>
        <w:t> </w:t>
      </w:r>
      <w:r>
        <w:rPr>
          <w:color w:val="231F20"/>
        </w:rPr>
        <w:t>разделяет</w:t>
      </w:r>
      <w:r>
        <w:rPr>
          <w:color w:val="231F20"/>
          <w:spacing w:val="-3"/>
        </w:rPr>
        <w:t> </w:t>
      </w:r>
      <w:r>
        <w:rPr>
          <w:color w:val="231F20"/>
        </w:rPr>
        <w:t>класс</w:t>
      </w:r>
      <w:r>
        <w:rPr>
          <w:color w:val="231F20"/>
          <w:spacing w:val="-3"/>
        </w:rPr>
        <w:t> </w:t>
      </w:r>
      <w:r>
        <w:rPr>
          <w:color w:val="231F20"/>
        </w:rPr>
        <w:t>на</w:t>
      </w:r>
      <w:r>
        <w:rPr>
          <w:color w:val="231F20"/>
          <w:spacing w:val="-3"/>
        </w:rPr>
        <w:t> </w:t>
      </w:r>
      <w:r>
        <w:rPr>
          <w:color w:val="231F20"/>
        </w:rPr>
        <w:t>группы</w:t>
      </w:r>
      <w:r>
        <w:rPr>
          <w:color w:val="231F20"/>
          <w:spacing w:val="-3"/>
        </w:rPr>
        <w:t> </w:t>
      </w:r>
      <w:r>
        <w:rPr>
          <w:color w:val="231F20"/>
        </w:rPr>
        <w:t>по</w:t>
      </w:r>
      <w:r>
        <w:rPr>
          <w:color w:val="231F20"/>
          <w:spacing w:val="-3"/>
        </w:rPr>
        <w:t> </w:t>
      </w:r>
      <w:r>
        <w:rPr>
          <w:color w:val="231F20"/>
        </w:rPr>
        <w:t>4–5</w:t>
      </w:r>
      <w:r>
        <w:rPr>
          <w:color w:val="231F20"/>
          <w:spacing w:val="-3"/>
        </w:rPr>
        <w:t> </w:t>
      </w:r>
      <w:r>
        <w:rPr>
          <w:color w:val="231F20"/>
        </w:rPr>
        <w:t>человек,</w:t>
      </w:r>
      <w:r>
        <w:rPr>
          <w:color w:val="231F20"/>
          <w:spacing w:val="-3"/>
        </w:rPr>
        <w:t> </w:t>
      </w:r>
      <w:r>
        <w:rPr>
          <w:color w:val="231F20"/>
        </w:rPr>
        <w:t>в</w:t>
      </w:r>
      <w:r>
        <w:rPr>
          <w:color w:val="231F20"/>
          <w:spacing w:val="-3"/>
        </w:rPr>
        <w:t> </w:t>
      </w:r>
      <w:r>
        <w:rPr>
          <w:color w:val="231F20"/>
        </w:rPr>
        <w:t>каждой</w:t>
      </w:r>
      <w:r>
        <w:rPr>
          <w:color w:val="231F20"/>
          <w:spacing w:val="-3"/>
        </w:rPr>
        <w:t> </w:t>
      </w:r>
      <w:r>
        <w:rPr>
          <w:color w:val="231F20"/>
        </w:rPr>
        <w:t>из</w:t>
      </w:r>
      <w:r>
        <w:rPr>
          <w:color w:val="231F20"/>
          <w:spacing w:val="-3"/>
        </w:rPr>
        <w:t> </w:t>
      </w:r>
      <w:r>
        <w:rPr>
          <w:color w:val="231F20"/>
        </w:rPr>
        <w:t>которых</w:t>
      </w:r>
      <w:r>
        <w:rPr>
          <w:color w:val="231F20"/>
          <w:spacing w:val="-3"/>
        </w:rPr>
        <w:t> </w:t>
      </w:r>
      <w:r>
        <w:rPr>
          <w:color w:val="231F20"/>
        </w:rPr>
        <w:t>должны быть учащиеся с разным уровнем подготовки. Далее учитель задает учащимся тему для дискуссии, сопровождая это комментариями, и дает рекомендации, если сочтет нужным.</w:t>
      </w:r>
      <w:r>
        <w:rPr>
          <w:color w:val="231F20"/>
          <w:spacing w:val="-11"/>
        </w:rPr>
        <w:t> </w:t>
      </w:r>
      <w:r>
        <w:rPr>
          <w:color w:val="231F20"/>
        </w:rPr>
        <w:t>Учащиеся</w:t>
      </w:r>
      <w:r>
        <w:rPr>
          <w:color w:val="231F20"/>
          <w:spacing w:val="-11"/>
        </w:rPr>
        <w:t> </w:t>
      </w:r>
      <w:r>
        <w:rPr>
          <w:color w:val="231F20"/>
        </w:rPr>
        <w:t>начинают</w:t>
      </w:r>
      <w:r>
        <w:rPr>
          <w:color w:val="231F20"/>
          <w:spacing w:val="-11"/>
        </w:rPr>
        <w:t> </w:t>
      </w:r>
      <w:r>
        <w:rPr>
          <w:color w:val="231F20"/>
        </w:rPr>
        <w:t>работать</w:t>
      </w:r>
      <w:r>
        <w:rPr>
          <w:color w:val="231F20"/>
          <w:spacing w:val="-11"/>
        </w:rPr>
        <w:t> </w:t>
      </w:r>
      <w:r>
        <w:rPr>
          <w:color w:val="231F20"/>
        </w:rPr>
        <w:t>в</w:t>
      </w:r>
      <w:r>
        <w:rPr>
          <w:color w:val="231F20"/>
          <w:spacing w:val="-11"/>
        </w:rPr>
        <w:t> </w:t>
      </w:r>
      <w:r>
        <w:rPr>
          <w:color w:val="231F20"/>
        </w:rPr>
        <w:t>группах</w:t>
      </w:r>
      <w:r>
        <w:rPr>
          <w:color w:val="231F20"/>
          <w:spacing w:val="-11"/>
        </w:rPr>
        <w:t> </w:t>
      </w:r>
      <w:r>
        <w:rPr>
          <w:color w:val="231F20"/>
        </w:rPr>
        <w:t>над</w:t>
      </w:r>
      <w:r>
        <w:rPr>
          <w:color w:val="231F20"/>
          <w:spacing w:val="-11"/>
        </w:rPr>
        <w:t> </w:t>
      </w:r>
      <w:r>
        <w:rPr>
          <w:color w:val="231F20"/>
        </w:rPr>
        <w:t>предложенной</w:t>
      </w:r>
      <w:r>
        <w:rPr>
          <w:color w:val="231F20"/>
          <w:spacing w:val="-11"/>
        </w:rPr>
        <w:t> </w:t>
      </w:r>
      <w:r>
        <w:rPr>
          <w:color w:val="231F20"/>
        </w:rPr>
        <w:t>темой,</w:t>
      </w:r>
      <w:r>
        <w:rPr>
          <w:color w:val="231F20"/>
          <w:spacing w:val="-11"/>
        </w:rPr>
        <w:t> </w:t>
      </w:r>
      <w:r>
        <w:rPr>
          <w:color w:val="231F20"/>
        </w:rPr>
        <w:t>обсужда- ют,</w:t>
      </w:r>
      <w:r>
        <w:rPr>
          <w:color w:val="231F20"/>
          <w:spacing w:val="-1"/>
        </w:rPr>
        <w:t> </w:t>
      </w:r>
      <w:r>
        <w:rPr>
          <w:color w:val="231F20"/>
        </w:rPr>
        <w:t>сравнивают,</w:t>
      </w:r>
      <w:r>
        <w:rPr>
          <w:color w:val="231F20"/>
          <w:spacing w:val="-1"/>
        </w:rPr>
        <w:t> </w:t>
      </w:r>
      <w:r>
        <w:rPr>
          <w:color w:val="231F20"/>
        </w:rPr>
        <w:t>знакомятся</w:t>
      </w:r>
      <w:r>
        <w:rPr>
          <w:color w:val="231F20"/>
          <w:spacing w:val="-1"/>
        </w:rPr>
        <w:t> </w:t>
      </w:r>
      <w:r>
        <w:rPr>
          <w:color w:val="231F20"/>
        </w:rPr>
        <w:t>с</w:t>
      </w:r>
      <w:r>
        <w:rPr>
          <w:color w:val="231F20"/>
          <w:spacing w:val="-1"/>
        </w:rPr>
        <w:t> </w:t>
      </w:r>
      <w:r>
        <w:rPr>
          <w:color w:val="231F20"/>
        </w:rPr>
        <w:t>дополнительными</w:t>
      </w:r>
      <w:r>
        <w:rPr>
          <w:color w:val="231F20"/>
          <w:spacing w:val="-1"/>
        </w:rPr>
        <w:t> </w:t>
      </w:r>
      <w:r>
        <w:rPr>
          <w:color w:val="231F20"/>
        </w:rPr>
        <w:t>материалами,</w:t>
      </w:r>
      <w:r>
        <w:rPr>
          <w:color w:val="231F20"/>
          <w:spacing w:val="-1"/>
        </w:rPr>
        <w:t> </w:t>
      </w:r>
      <w:r>
        <w:rPr>
          <w:color w:val="231F20"/>
        </w:rPr>
        <w:t>формулируют</w:t>
      </w:r>
      <w:r>
        <w:rPr>
          <w:color w:val="231F20"/>
          <w:spacing w:val="-1"/>
        </w:rPr>
        <w:t> </w:t>
      </w:r>
      <w:r>
        <w:rPr>
          <w:color w:val="231F20"/>
        </w:rPr>
        <w:t>вопро- </w:t>
      </w:r>
      <w:r>
        <w:rPr>
          <w:color w:val="231F20"/>
          <w:spacing w:val="-2"/>
        </w:rPr>
        <w:t>сы, разрабатывают концептуальные карты и стараются глубоко погрузиться в пробле- </w:t>
      </w:r>
      <w:r>
        <w:rPr>
          <w:color w:val="231F20"/>
        </w:rPr>
        <w:t>му. По окончании работы группы учитель может вызвать любого из членов учебной группы,</w:t>
      </w:r>
      <w:r>
        <w:rPr>
          <w:color w:val="231F20"/>
          <w:spacing w:val="-9"/>
        </w:rPr>
        <w:t> </w:t>
      </w:r>
      <w:r>
        <w:rPr>
          <w:color w:val="231F20"/>
        </w:rPr>
        <w:t>и</w:t>
      </w:r>
      <w:r>
        <w:rPr>
          <w:color w:val="231F20"/>
          <w:spacing w:val="-9"/>
        </w:rPr>
        <w:t> </w:t>
      </w:r>
      <w:r>
        <w:rPr>
          <w:color w:val="231F20"/>
        </w:rPr>
        <w:t>то,</w:t>
      </w:r>
      <w:r>
        <w:rPr>
          <w:color w:val="231F20"/>
          <w:spacing w:val="-9"/>
        </w:rPr>
        <w:t> </w:t>
      </w:r>
      <w:r>
        <w:rPr>
          <w:color w:val="231F20"/>
        </w:rPr>
        <w:t>как</w:t>
      </w:r>
      <w:r>
        <w:rPr>
          <w:color w:val="231F20"/>
          <w:spacing w:val="-9"/>
        </w:rPr>
        <w:t> </w:t>
      </w:r>
      <w:r>
        <w:rPr>
          <w:color w:val="231F20"/>
        </w:rPr>
        <w:t>он</w:t>
      </w:r>
      <w:r>
        <w:rPr>
          <w:color w:val="231F20"/>
          <w:spacing w:val="-9"/>
        </w:rPr>
        <w:t> </w:t>
      </w:r>
      <w:r>
        <w:rPr>
          <w:color w:val="231F20"/>
        </w:rPr>
        <w:t>проявит</w:t>
      </w:r>
      <w:r>
        <w:rPr>
          <w:color w:val="231F20"/>
          <w:spacing w:val="-9"/>
        </w:rPr>
        <w:t> </w:t>
      </w:r>
      <w:r>
        <w:rPr>
          <w:color w:val="231F20"/>
        </w:rPr>
        <w:t>свою</w:t>
      </w:r>
      <w:r>
        <w:rPr>
          <w:color w:val="231F20"/>
          <w:spacing w:val="-9"/>
        </w:rPr>
        <w:t> </w:t>
      </w:r>
      <w:r>
        <w:rPr>
          <w:color w:val="231F20"/>
        </w:rPr>
        <w:t>компетентность</w:t>
      </w:r>
      <w:r>
        <w:rPr>
          <w:color w:val="231F20"/>
          <w:spacing w:val="-9"/>
        </w:rPr>
        <w:t> </w:t>
      </w:r>
      <w:r>
        <w:rPr>
          <w:color w:val="231F20"/>
        </w:rPr>
        <w:t>в</w:t>
      </w:r>
      <w:r>
        <w:rPr>
          <w:color w:val="231F20"/>
          <w:spacing w:val="-9"/>
        </w:rPr>
        <w:t> </w:t>
      </w:r>
      <w:r>
        <w:rPr>
          <w:color w:val="231F20"/>
        </w:rPr>
        <w:t>теме,</w:t>
      </w:r>
      <w:r>
        <w:rPr>
          <w:color w:val="231F20"/>
          <w:spacing w:val="-9"/>
        </w:rPr>
        <w:t> </w:t>
      </w:r>
      <w:r>
        <w:rPr>
          <w:color w:val="231F20"/>
        </w:rPr>
        <w:t>непосредственно</w:t>
      </w:r>
      <w:r>
        <w:rPr>
          <w:color w:val="231F20"/>
          <w:spacing w:val="-9"/>
        </w:rPr>
        <w:t> </w:t>
      </w:r>
      <w:r>
        <w:rPr>
          <w:color w:val="231F20"/>
        </w:rPr>
        <w:t>повлияет на итоговую оценку, которую получит вся группа, в составе которой он работал.</w:t>
      </w:r>
    </w:p>
    <w:p>
      <w:pPr>
        <w:spacing w:line="226" w:lineRule="exact" w:before="41"/>
        <w:ind w:left="425" w:right="0" w:firstLine="0"/>
        <w:jc w:val="both"/>
        <w:rPr>
          <w:i/>
          <w:sz w:val="20"/>
        </w:rPr>
      </w:pPr>
      <w:r>
        <w:rPr>
          <w:i/>
          <w:color w:val="231F20"/>
          <w:sz w:val="20"/>
        </w:rPr>
        <w:t>Группы</w:t>
      </w:r>
      <w:r>
        <w:rPr>
          <w:i/>
          <w:color w:val="231F20"/>
          <w:spacing w:val="-10"/>
          <w:sz w:val="20"/>
        </w:rPr>
        <w:t> </w:t>
      </w:r>
      <w:r>
        <w:rPr>
          <w:i/>
          <w:color w:val="231F20"/>
          <w:sz w:val="20"/>
        </w:rPr>
        <w:t>с</w:t>
      </w:r>
      <w:r>
        <w:rPr>
          <w:i/>
          <w:color w:val="231F20"/>
          <w:spacing w:val="-8"/>
          <w:sz w:val="20"/>
        </w:rPr>
        <w:t> </w:t>
      </w:r>
      <w:r>
        <w:rPr>
          <w:i/>
          <w:color w:val="231F20"/>
          <w:sz w:val="20"/>
        </w:rPr>
        <w:t>индивидуализированной</w:t>
      </w:r>
      <w:r>
        <w:rPr>
          <w:i/>
          <w:color w:val="231F20"/>
          <w:spacing w:val="-8"/>
          <w:sz w:val="20"/>
        </w:rPr>
        <w:t> </w:t>
      </w:r>
      <w:r>
        <w:rPr>
          <w:i/>
          <w:color w:val="231F20"/>
          <w:spacing w:val="-2"/>
          <w:sz w:val="20"/>
        </w:rPr>
        <w:t>помощью</w:t>
      </w:r>
    </w:p>
    <w:p>
      <w:pPr>
        <w:pStyle w:val="BodyText"/>
        <w:spacing w:line="232" w:lineRule="auto" w:before="2"/>
      </w:pPr>
      <w:r>
        <w:rPr>
          <w:color w:val="231F20"/>
        </w:rPr>
        <w:t>Эта технология объединяет обучение в сотрудничестве с индивидуализирован- ным</w:t>
      </w:r>
      <w:r>
        <w:rPr>
          <w:color w:val="231F20"/>
          <w:spacing w:val="-1"/>
        </w:rPr>
        <w:t> </w:t>
      </w:r>
      <w:r>
        <w:rPr>
          <w:color w:val="231F20"/>
        </w:rPr>
        <w:t>обучением.</w:t>
      </w:r>
      <w:r>
        <w:rPr>
          <w:color w:val="231F20"/>
          <w:spacing w:val="-1"/>
        </w:rPr>
        <w:t> </w:t>
      </w:r>
      <w:r>
        <w:rPr>
          <w:color w:val="231F20"/>
        </w:rPr>
        <w:t>Учитель</w:t>
      </w:r>
      <w:r>
        <w:rPr>
          <w:color w:val="231F20"/>
          <w:spacing w:val="-1"/>
        </w:rPr>
        <w:t> </w:t>
      </w:r>
      <w:r>
        <w:rPr>
          <w:color w:val="231F20"/>
        </w:rPr>
        <w:t>так</w:t>
      </w:r>
      <w:r>
        <w:rPr>
          <w:color w:val="231F20"/>
          <w:spacing w:val="-1"/>
        </w:rPr>
        <w:t> </w:t>
      </w:r>
      <w:r>
        <w:rPr>
          <w:color w:val="231F20"/>
        </w:rPr>
        <w:t>же</w:t>
      </w:r>
      <w:r>
        <w:rPr>
          <w:color w:val="231F20"/>
          <w:spacing w:val="-1"/>
        </w:rPr>
        <w:t> </w:t>
      </w:r>
      <w:r>
        <w:rPr>
          <w:color w:val="231F20"/>
        </w:rPr>
        <w:t>делит</w:t>
      </w:r>
      <w:r>
        <w:rPr>
          <w:color w:val="231F20"/>
          <w:spacing w:val="-1"/>
        </w:rPr>
        <w:t> </w:t>
      </w:r>
      <w:r>
        <w:rPr>
          <w:color w:val="231F20"/>
        </w:rPr>
        <w:t>класс</w:t>
      </w:r>
      <w:r>
        <w:rPr>
          <w:color w:val="231F20"/>
          <w:spacing w:val="-1"/>
        </w:rPr>
        <w:t> </w:t>
      </w:r>
      <w:r>
        <w:rPr>
          <w:color w:val="231F20"/>
        </w:rPr>
        <w:t>на</w:t>
      </w:r>
      <w:r>
        <w:rPr>
          <w:color w:val="231F20"/>
          <w:spacing w:val="-1"/>
        </w:rPr>
        <w:t> </w:t>
      </w:r>
      <w:r>
        <w:rPr>
          <w:color w:val="231F20"/>
        </w:rPr>
        <w:t>небольшие</w:t>
      </w:r>
      <w:r>
        <w:rPr>
          <w:color w:val="231F20"/>
          <w:spacing w:val="-1"/>
        </w:rPr>
        <w:t> </w:t>
      </w:r>
      <w:r>
        <w:rPr>
          <w:color w:val="231F20"/>
        </w:rPr>
        <w:t>группы,</w:t>
      </w:r>
      <w:r>
        <w:rPr>
          <w:color w:val="231F20"/>
          <w:spacing w:val="-1"/>
        </w:rPr>
        <w:t> </w:t>
      </w:r>
      <w:r>
        <w:rPr>
          <w:color w:val="231F20"/>
        </w:rPr>
        <w:t>все</w:t>
      </w:r>
      <w:r>
        <w:rPr>
          <w:color w:val="231F20"/>
          <w:spacing w:val="-1"/>
        </w:rPr>
        <w:t> </w:t>
      </w:r>
      <w:r>
        <w:rPr>
          <w:color w:val="231F20"/>
        </w:rPr>
        <w:t>члены</w:t>
      </w:r>
      <w:r>
        <w:rPr>
          <w:color w:val="231F20"/>
          <w:spacing w:val="-1"/>
        </w:rPr>
        <w:t> </w:t>
      </w:r>
      <w:r>
        <w:rPr>
          <w:color w:val="231F20"/>
        </w:rPr>
        <w:t>одной группы</w:t>
      </w:r>
      <w:r>
        <w:rPr>
          <w:color w:val="231F20"/>
          <w:spacing w:val="-12"/>
        </w:rPr>
        <w:t> </w:t>
      </w:r>
      <w:r>
        <w:rPr>
          <w:color w:val="231F20"/>
        </w:rPr>
        <w:t>работают</w:t>
      </w:r>
      <w:r>
        <w:rPr>
          <w:color w:val="231F20"/>
          <w:spacing w:val="-12"/>
        </w:rPr>
        <w:t> </w:t>
      </w:r>
      <w:r>
        <w:rPr>
          <w:color w:val="231F20"/>
        </w:rPr>
        <w:t>над</w:t>
      </w:r>
      <w:r>
        <w:rPr>
          <w:color w:val="231F20"/>
          <w:spacing w:val="-12"/>
        </w:rPr>
        <w:t> </w:t>
      </w:r>
      <w:r>
        <w:rPr>
          <w:color w:val="231F20"/>
        </w:rPr>
        <w:t>одним</w:t>
      </w:r>
      <w:r>
        <w:rPr>
          <w:color w:val="231F20"/>
          <w:spacing w:val="-12"/>
        </w:rPr>
        <w:t> </w:t>
      </w:r>
      <w:r>
        <w:rPr>
          <w:color w:val="231F20"/>
        </w:rPr>
        <w:t>и</w:t>
      </w:r>
      <w:r>
        <w:rPr>
          <w:color w:val="231F20"/>
          <w:spacing w:val="-12"/>
        </w:rPr>
        <w:t> </w:t>
      </w:r>
      <w:r>
        <w:rPr>
          <w:color w:val="231F20"/>
        </w:rPr>
        <w:t>тем</w:t>
      </w:r>
      <w:r>
        <w:rPr>
          <w:color w:val="231F20"/>
          <w:spacing w:val="-12"/>
        </w:rPr>
        <w:t> </w:t>
      </w:r>
      <w:r>
        <w:rPr>
          <w:color w:val="231F20"/>
        </w:rPr>
        <w:t>же</w:t>
      </w:r>
      <w:r>
        <w:rPr>
          <w:color w:val="231F20"/>
          <w:spacing w:val="-12"/>
        </w:rPr>
        <w:t> </w:t>
      </w:r>
      <w:r>
        <w:rPr>
          <w:color w:val="231F20"/>
        </w:rPr>
        <w:t>заданием,</w:t>
      </w:r>
      <w:r>
        <w:rPr>
          <w:color w:val="231F20"/>
          <w:spacing w:val="-12"/>
        </w:rPr>
        <w:t> </w:t>
      </w:r>
      <w:r>
        <w:rPr>
          <w:color w:val="231F20"/>
        </w:rPr>
        <w:t>но</w:t>
      </w:r>
      <w:r>
        <w:rPr>
          <w:color w:val="231F20"/>
          <w:spacing w:val="-12"/>
        </w:rPr>
        <w:t> </w:t>
      </w:r>
      <w:r>
        <w:rPr>
          <w:color w:val="231F20"/>
        </w:rPr>
        <w:t>для</w:t>
      </w:r>
      <w:r>
        <w:rPr>
          <w:color w:val="231F20"/>
          <w:spacing w:val="-12"/>
        </w:rPr>
        <w:t> </w:t>
      </w:r>
      <w:r>
        <w:rPr>
          <w:color w:val="231F20"/>
        </w:rPr>
        <w:t>каждого</w:t>
      </w:r>
      <w:r>
        <w:rPr>
          <w:color w:val="231F20"/>
          <w:spacing w:val="-12"/>
        </w:rPr>
        <w:t> </w:t>
      </w:r>
      <w:r>
        <w:rPr>
          <w:color w:val="231F20"/>
        </w:rPr>
        <w:t>учащегося</w:t>
      </w:r>
      <w:r>
        <w:rPr>
          <w:color w:val="231F20"/>
          <w:spacing w:val="-12"/>
        </w:rPr>
        <w:t> </w:t>
      </w:r>
      <w:r>
        <w:rPr>
          <w:color w:val="231F20"/>
        </w:rPr>
        <w:t>оно</w:t>
      </w:r>
      <w:r>
        <w:rPr>
          <w:color w:val="231F20"/>
          <w:spacing w:val="-12"/>
        </w:rPr>
        <w:t> </w:t>
      </w:r>
      <w:r>
        <w:rPr>
          <w:color w:val="231F20"/>
        </w:rPr>
        <w:t>выгля- дит</w:t>
      </w:r>
      <w:r>
        <w:rPr>
          <w:color w:val="231F20"/>
          <w:spacing w:val="-10"/>
        </w:rPr>
        <w:t> </w:t>
      </w:r>
      <w:r>
        <w:rPr>
          <w:color w:val="231F20"/>
        </w:rPr>
        <w:t>по-другому.</w:t>
      </w:r>
      <w:r>
        <w:rPr>
          <w:color w:val="231F20"/>
          <w:spacing w:val="-10"/>
        </w:rPr>
        <w:t> </w:t>
      </w:r>
      <w:r>
        <w:rPr>
          <w:color w:val="231F20"/>
        </w:rPr>
        <w:t>В</w:t>
      </w:r>
      <w:r>
        <w:rPr>
          <w:color w:val="231F20"/>
          <w:spacing w:val="-10"/>
        </w:rPr>
        <w:t> </w:t>
      </w:r>
      <w:r>
        <w:rPr>
          <w:color w:val="231F20"/>
        </w:rPr>
        <w:t>итоге,</w:t>
      </w:r>
      <w:r>
        <w:rPr>
          <w:color w:val="231F20"/>
          <w:spacing w:val="-10"/>
        </w:rPr>
        <w:t> </w:t>
      </w:r>
      <w:r>
        <w:rPr>
          <w:color w:val="231F20"/>
        </w:rPr>
        <w:t>работая</w:t>
      </w:r>
      <w:r>
        <w:rPr>
          <w:color w:val="231F20"/>
          <w:spacing w:val="-10"/>
        </w:rPr>
        <w:t> </w:t>
      </w:r>
      <w:r>
        <w:rPr>
          <w:color w:val="231F20"/>
        </w:rPr>
        <w:t>над</w:t>
      </w:r>
      <w:r>
        <w:rPr>
          <w:color w:val="231F20"/>
          <w:spacing w:val="-10"/>
        </w:rPr>
        <w:t> </w:t>
      </w:r>
      <w:r>
        <w:rPr>
          <w:color w:val="231F20"/>
        </w:rPr>
        <w:t>индивидуализированным</w:t>
      </w:r>
      <w:r>
        <w:rPr>
          <w:color w:val="231F20"/>
          <w:spacing w:val="-10"/>
        </w:rPr>
        <w:t> </w:t>
      </w:r>
      <w:r>
        <w:rPr>
          <w:color w:val="231F20"/>
        </w:rPr>
        <w:t>заданием,</w:t>
      </w:r>
      <w:r>
        <w:rPr>
          <w:color w:val="231F20"/>
          <w:spacing w:val="-10"/>
        </w:rPr>
        <w:t> </w:t>
      </w:r>
      <w:r>
        <w:rPr>
          <w:color w:val="231F20"/>
        </w:rPr>
        <w:t>но</w:t>
      </w:r>
      <w:r>
        <w:rPr>
          <w:color w:val="231F20"/>
          <w:spacing w:val="-10"/>
        </w:rPr>
        <w:t> </w:t>
      </w:r>
      <w:r>
        <w:rPr>
          <w:color w:val="231F20"/>
        </w:rPr>
        <w:t>в</w:t>
      </w:r>
      <w:r>
        <w:rPr>
          <w:color w:val="231F20"/>
          <w:spacing w:val="-10"/>
        </w:rPr>
        <w:t> </w:t>
      </w:r>
      <w:r>
        <w:rPr>
          <w:color w:val="231F20"/>
        </w:rPr>
        <w:t>группе с</w:t>
      </w:r>
      <w:r>
        <w:rPr>
          <w:color w:val="231F20"/>
          <w:spacing w:val="-12"/>
        </w:rPr>
        <w:t> </w:t>
      </w:r>
      <w:r>
        <w:rPr>
          <w:color w:val="231F20"/>
        </w:rPr>
        <w:t>другими</w:t>
      </w:r>
      <w:r>
        <w:rPr>
          <w:color w:val="231F20"/>
          <w:spacing w:val="-12"/>
        </w:rPr>
        <w:t> </w:t>
      </w:r>
      <w:r>
        <w:rPr>
          <w:color w:val="231F20"/>
        </w:rPr>
        <w:t>учащимися,</w:t>
      </w:r>
      <w:r>
        <w:rPr>
          <w:color w:val="231F20"/>
          <w:spacing w:val="-12"/>
        </w:rPr>
        <w:t> </w:t>
      </w:r>
      <w:r>
        <w:rPr>
          <w:color w:val="231F20"/>
        </w:rPr>
        <w:t>члены</w:t>
      </w:r>
      <w:r>
        <w:rPr>
          <w:color w:val="231F20"/>
          <w:spacing w:val="-12"/>
        </w:rPr>
        <w:t> </w:t>
      </w:r>
      <w:r>
        <w:rPr>
          <w:color w:val="231F20"/>
        </w:rPr>
        <w:t>группы</w:t>
      </w:r>
      <w:r>
        <w:rPr>
          <w:color w:val="231F20"/>
          <w:spacing w:val="-12"/>
        </w:rPr>
        <w:t> </w:t>
      </w:r>
      <w:r>
        <w:rPr>
          <w:color w:val="231F20"/>
        </w:rPr>
        <w:t>могут</w:t>
      </w:r>
      <w:r>
        <w:rPr>
          <w:color w:val="231F20"/>
          <w:spacing w:val="-12"/>
        </w:rPr>
        <w:t> </w:t>
      </w:r>
      <w:r>
        <w:rPr>
          <w:color w:val="231F20"/>
        </w:rPr>
        <w:t>помогать</w:t>
      </w:r>
      <w:r>
        <w:rPr>
          <w:color w:val="231F20"/>
          <w:spacing w:val="-12"/>
        </w:rPr>
        <w:t> </w:t>
      </w:r>
      <w:r>
        <w:rPr>
          <w:color w:val="231F20"/>
        </w:rPr>
        <w:t>друг</w:t>
      </w:r>
      <w:r>
        <w:rPr>
          <w:color w:val="231F20"/>
          <w:spacing w:val="-12"/>
        </w:rPr>
        <w:t> </w:t>
      </w:r>
      <w:r>
        <w:rPr>
          <w:color w:val="231F20"/>
        </w:rPr>
        <w:t>другу,</w:t>
      </w:r>
      <w:r>
        <w:rPr>
          <w:color w:val="231F20"/>
          <w:spacing w:val="-12"/>
        </w:rPr>
        <w:t> </w:t>
      </w:r>
      <w:r>
        <w:rPr>
          <w:color w:val="231F20"/>
        </w:rPr>
        <w:t>а</w:t>
      </w:r>
      <w:r>
        <w:rPr>
          <w:color w:val="231F20"/>
          <w:spacing w:val="-12"/>
        </w:rPr>
        <w:t> </w:t>
      </w:r>
      <w:r>
        <w:rPr>
          <w:color w:val="231F20"/>
        </w:rPr>
        <w:t>в</w:t>
      </w:r>
      <w:r>
        <w:rPr>
          <w:color w:val="231F20"/>
          <w:spacing w:val="-12"/>
        </w:rPr>
        <w:t> </w:t>
      </w:r>
      <w:r>
        <w:rPr>
          <w:color w:val="231F20"/>
        </w:rPr>
        <w:t>итоге</w:t>
      </w:r>
      <w:r>
        <w:rPr>
          <w:color w:val="231F20"/>
          <w:spacing w:val="-12"/>
        </w:rPr>
        <w:t> </w:t>
      </w:r>
      <w:r>
        <w:rPr>
          <w:color w:val="231F20"/>
        </w:rPr>
        <w:t>выполнить как</w:t>
      </w:r>
      <w:r>
        <w:rPr>
          <w:color w:val="231F20"/>
          <w:spacing w:val="-6"/>
        </w:rPr>
        <w:t> </w:t>
      </w:r>
      <w:r>
        <w:rPr>
          <w:color w:val="231F20"/>
        </w:rPr>
        <w:t>свое,</w:t>
      </w:r>
      <w:r>
        <w:rPr>
          <w:color w:val="231F20"/>
          <w:spacing w:val="-6"/>
        </w:rPr>
        <w:t> </w:t>
      </w:r>
      <w:r>
        <w:rPr>
          <w:color w:val="231F20"/>
        </w:rPr>
        <w:t>индивидуализированное,</w:t>
      </w:r>
      <w:r>
        <w:rPr>
          <w:color w:val="231F20"/>
          <w:spacing w:val="-6"/>
        </w:rPr>
        <w:t> </w:t>
      </w:r>
      <w:r>
        <w:rPr>
          <w:color w:val="231F20"/>
        </w:rPr>
        <w:t>задание,</w:t>
      </w:r>
      <w:r>
        <w:rPr>
          <w:color w:val="231F20"/>
          <w:spacing w:val="-6"/>
        </w:rPr>
        <w:t> </w:t>
      </w:r>
      <w:r>
        <w:rPr>
          <w:color w:val="231F20"/>
        </w:rPr>
        <w:t>так</w:t>
      </w:r>
      <w:r>
        <w:rPr>
          <w:color w:val="231F20"/>
          <w:spacing w:val="-6"/>
        </w:rPr>
        <w:t> </w:t>
      </w:r>
      <w:r>
        <w:rPr>
          <w:color w:val="231F20"/>
        </w:rPr>
        <w:t>и</w:t>
      </w:r>
      <w:r>
        <w:rPr>
          <w:color w:val="231F20"/>
          <w:spacing w:val="-6"/>
        </w:rPr>
        <w:t> </w:t>
      </w:r>
      <w:r>
        <w:rPr>
          <w:color w:val="231F20"/>
        </w:rPr>
        <w:t>узнать</w:t>
      </w:r>
      <w:r>
        <w:rPr>
          <w:color w:val="231F20"/>
          <w:spacing w:val="-6"/>
        </w:rPr>
        <w:t> </w:t>
      </w:r>
      <w:r>
        <w:rPr>
          <w:color w:val="231F20"/>
        </w:rPr>
        <w:t>больше</w:t>
      </w:r>
      <w:r>
        <w:rPr>
          <w:color w:val="231F20"/>
          <w:spacing w:val="-6"/>
        </w:rPr>
        <w:t> </w:t>
      </w:r>
      <w:r>
        <w:rPr>
          <w:color w:val="231F20"/>
        </w:rPr>
        <w:t>по</w:t>
      </w:r>
      <w:r>
        <w:rPr>
          <w:color w:val="231F20"/>
          <w:spacing w:val="-6"/>
        </w:rPr>
        <w:t> </w:t>
      </w:r>
      <w:r>
        <w:rPr>
          <w:color w:val="231F20"/>
        </w:rPr>
        <w:t>теме,</w:t>
      </w:r>
      <w:r>
        <w:rPr>
          <w:color w:val="231F20"/>
          <w:spacing w:val="-6"/>
        </w:rPr>
        <w:t> </w:t>
      </w:r>
      <w:r>
        <w:rPr>
          <w:color w:val="231F20"/>
        </w:rPr>
        <w:t>знакомясь</w:t>
      </w:r>
      <w:r>
        <w:rPr>
          <w:color w:val="231F20"/>
          <w:spacing w:val="-6"/>
        </w:rPr>
        <w:t> </w:t>
      </w:r>
      <w:r>
        <w:rPr>
          <w:color w:val="231F20"/>
        </w:rPr>
        <w:t>с тем, что делают другие члены группы.</w:t>
      </w:r>
    </w:p>
    <w:p>
      <w:pPr>
        <w:spacing w:line="226" w:lineRule="exact" w:before="43"/>
        <w:ind w:left="425" w:right="0" w:firstLine="0"/>
        <w:jc w:val="both"/>
        <w:rPr>
          <w:i/>
          <w:sz w:val="20"/>
        </w:rPr>
      </w:pPr>
      <w:r>
        <w:rPr>
          <w:i/>
          <w:color w:val="231F20"/>
          <w:sz w:val="20"/>
        </w:rPr>
        <w:t>Групповые</w:t>
      </w:r>
      <w:r>
        <w:rPr>
          <w:i/>
          <w:color w:val="231F20"/>
          <w:spacing w:val="-9"/>
          <w:sz w:val="20"/>
        </w:rPr>
        <w:t> </w:t>
      </w:r>
      <w:r>
        <w:rPr>
          <w:i/>
          <w:color w:val="231F20"/>
          <w:spacing w:val="-2"/>
          <w:sz w:val="20"/>
        </w:rPr>
        <w:t>исследования</w:t>
      </w:r>
    </w:p>
    <w:p>
      <w:pPr>
        <w:pStyle w:val="BodyText"/>
        <w:spacing w:line="230" w:lineRule="auto" w:before="4"/>
      </w:pPr>
      <w:r>
        <w:rPr>
          <w:color w:val="231F20"/>
          <w:spacing w:val="-2"/>
        </w:rPr>
        <w:t>Типичная технология для организации работы «учебных команд», когда каждая из </w:t>
      </w:r>
      <w:r>
        <w:rPr>
          <w:color w:val="231F20"/>
        </w:rPr>
        <w:t>сформированных</w:t>
      </w:r>
      <w:r>
        <w:rPr>
          <w:color w:val="231F20"/>
          <w:spacing w:val="-5"/>
        </w:rPr>
        <w:t> </w:t>
      </w:r>
      <w:r>
        <w:rPr>
          <w:color w:val="231F20"/>
        </w:rPr>
        <w:t>учителем</w:t>
      </w:r>
      <w:r>
        <w:rPr>
          <w:color w:val="231F20"/>
          <w:spacing w:val="-5"/>
        </w:rPr>
        <w:t> </w:t>
      </w:r>
      <w:r>
        <w:rPr>
          <w:color w:val="231F20"/>
        </w:rPr>
        <w:t>групп</w:t>
      </w:r>
      <w:r>
        <w:rPr>
          <w:color w:val="231F20"/>
          <w:spacing w:val="-5"/>
        </w:rPr>
        <w:t> </w:t>
      </w:r>
      <w:r>
        <w:rPr>
          <w:color w:val="231F20"/>
        </w:rPr>
        <w:t>получает</w:t>
      </w:r>
      <w:r>
        <w:rPr>
          <w:color w:val="231F20"/>
          <w:spacing w:val="-5"/>
        </w:rPr>
        <w:t> </w:t>
      </w:r>
      <w:r>
        <w:rPr>
          <w:color w:val="231F20"/>
        </w:rPr>
        <w:t>задание</w:t>
      </w:r>
      <w:r>
        <w:rPr>
          <w:color w:val="231F20"/>
          <w:spacing w:val="-5"/>
        </w:rPr>
        <w:t> </w:t>
      </w:r>
      <w:r>
        <w:rPr>
          <w:color w:val="231F20"/>
        </w:rPr>
        <w:t>исследовать</w:t>
      </w:r>
      <w:r>
        <w:rPr>
          <w:color w:val="231F20"/>
          <w:spacing w:val="-5"/>
        </w:rPr>
        <w:t> </w:t>
      </w:r>
      <w:r>
        <w:rPr>
          <w:color w:val="231F20"/>
        </w:rPr>
        <w:t>тот</w:t>
      </w:r>
      <w:r>
        <w:rPr>
          <w:color w:val="231F20"/>
          <w:spacing w:val="-5"/>
        </w:rPr>
        <w:t> </w:t>
      </w:r>
      <w:r>
        <w:rPr>
          <w:color w:val="231F20"/>
        </w:rPr>
        <w:t>или</w:t>
      </w:r>
      <w:r>
        <w:rPr>
          <w:color w:val="231F20"/>
          <w:spacing w:val="-5"/>
        </w:rPr>
        <w:t> </w:t>
      </w:r>
      <w:r>
        <w:rPr>
          <w:color w:val="231F20"/>
        </w:rPr>
        <w:t>иной</w:t>
      </w:r>
      <w:r>
        <w:rPr>
          <w:color w:val="231F20"/>
          <w:spacing w:val="-5"/>
        </w:rPr>
        <w:t> </w:t>
      </w:r>
      <w:r>
        <w:rPr>
          <w:color w:val="231F20"/>
        </w:rPr>
        <w:t>аспект явления/объекта/темы/вопроса,</w:t>
      </w:r>
      <w:r>
        <w:rPr>
          <w:color w:val="231F20"/>
          <w:spacing w:val="-6"/>
        </w:rPr>
        <w:t> </w:t>
      </w:r>
      <w:r>
        <w:rPr>
          <w:color w:val="231F20"/>
        </w:rPr>
        <w:t>чтобы</w:t>
      </w:r>
      <w:r>
        <w:rPr>
          <w:color w:val="231F20"/>
          <w:spacing w:val="-6"/>
        </w:rPr>
        <w:t> </w:t>
      </w:r>
      <w:r>
        <w:rPr>
          <w:color w:val="231F20"/>
        </w:rPr>
        <w:t>по</w:t>
      </w:r>
      <w:r>
        <w:rPr>
          <w:color w:val="231F20"/>
          <w:spacing w:val="-6"/>
        </w:rPr>
        <w:t> </w:t>
      </w:r>
      <w:r>
        <w:rPr>
          <w:color w:val="231F20"/>
        </w:rPr>
        <w:t>завершении</w:t>
      </w:r>
      <w:r>
        <w:rPr>
          <w:color w:val="231F20"/>
          <w:spacing w:val="-6"/>
        </w:rPr>
        <w:t> </w:t>
      </w:r>
      <w:r>
        <w:rPr>
          <w:color w:val="231F20"/>
        </w:rPr>
        <w:t>работы</w:t>
      </w:r>
      <w:r>
        <w:rPr>
          <w:color w:val="231F20"/>
          <w:spacing w:val="-6"/>
        </w:rPr>
        <w:t> </w:t>
      </w:r>
      <w:r>
        <w:rPr>
          <w:color w:val="231F20"/>
        </w:rPr>
        <w:t>представить</w:t>
      </w:r>
      <w:r>
        <w:rPr>
          <w:color w:val="231F20"/>
          <w:spacing w:val="-6"/>
        </w:rPr>
        <w:t> </w:t>
      </w:r>
      <w:r>
        <w:rPr>
          <w:color w:val="231F20"/>
        </w:rPr>
        <w:t>классу</w:t>
      </w:r>
      <w:r>
        <w:rPr>
          <w:color w:val="231F20"/>
          <w:spacing w:val="-6"/>
        </w:rPr>
        <w:t> </w:t>
      </w:r>
      <w:r>
        <w:rPr>
          <w:color w:val="231F20"/>
        </w:rPr>
        <w:t>по- лученные</w:t>
      </w:r>
      <w:r>
        <w:rPr>
          <w:color w:val="231F20"/>
          <w:spacing w:val="-11"/>
        </w:rPr>
        <w:t> </w:t>
      </w:r>
      <w:r>
        <w:rPr>
          <w:color w:val="231F20"/>
        </w:rPr>
        <w:t>данные.</w:t>
      </w:r>
      <w:r>
        <w:rPr>
          <w:color w:val="231F20"/>
          <w:spacing w:val="-11"/>
        </w:rPr>
        <w:t> </w:t>
      </w:r>
      <w:r>
        <w:rPr>
          <w:color w:val="231F20"/>
        </w:rPr>
        <w:t>Фактически</w:t>
      </w:r>
      <w:r>
        <w:rPr>
          <w:color w:val="231F20"/>
          <w:spacing w:val="-11"/>
        </w:rPr>
        <w:t> </w:t>
      </w:r>
      <w:r>
        <w:rPr>
          <w:color w:val="231F20"/>
        </w:rPr>
        <w:t>каждая</w:t>
      </w:r>
      <w:r>
        <w:rPr>
          <w:color w:val="231F20"/>
          <w:spacing w:val="-11"/>
        </w:rPr>
        <w:t> </w:t>
      </w:r>
      <w:r>
        <w:rPr>
          <w:color w:val="231F20"/>
        </w:rPr>
        <w:t>группа</w:t>
      </w:r>
      <w:r>
        <w:rPr>
          <w:color w:val="231F20"/>
          <w:spacing w:val="-11"/>
        </w:rPr>
        <w:t> </w:t>
      </w:r>
      <w:r>
        <w:rPr>
          <w:color w:val="231F20"/>
        </w:rPr>
        <w:t>получает</w:t>
      </w:r>
      <w:r>
        <w:rPr>
          <w:color w:val="231F20"/>
          <w:spacing w:val="-11"/>
        </w:rPr>
        <w:t> </w:t>
      </w:r>
      <w:r>
        <w:rPr>
          <w:color w:val="231F20"/>
        </w:rPr>
        <w:t>задание</w:t>
      </w:r>
      <w:r>
        <w:rPr>
          <w:color w:val="231F20"/>
          <w:spacing w:val="-11"/>
        </w:rPr>
        <w:t> </w:t>
      </w:r>
      <w:r>
        <w:rPr>
          <w:color w:val="231F20"/>
        </w:rPr>
        <w:t>проработать</w:t>
      </w:r>
      <w:r>
        <w:rPr>
          <w:color w:val="231F20"/>
          <w:spacing w:val="-11"/>
        </w:rPr>
        <w:t> </w:t>
      </w:r>
      <w:r>
        <w:rPr>
          <w:color w:val="231F20"/>
        </w:rPr>
        <w:t>подтему общей</w:t>
      </w:r>
      <w:r>
        <w:rPr>
          <w:color w:val="231F20"/>
          <w:spacing w:val="-13"/>
        </w:rPr>
        <w:t> </w:t>
      </w:r>
      <w:r>
        <w:rPr>
          <w:color w:val="231F20"/>
        </w:rPr>
        <w:t>темы,</w:t>
      </w:r>
      <w:r>
        <w:rPr>
          <w:color w:val="231F20"/>
          <w:spacing w:val="-12"/>
        </w:rPr>
        <w:t> </w:t>
      </w:r>
      <w:r>
        <w:rPr>
          <w:color w:val="231F20"/>
        </w:rPr>
        <w:t>поэтому</w:t>
      </w:r>
      <w:r>
        <w:rPr>
          <w:color w:val="231F20"/>
          <w:spacing w:val="-13"/>
        </w:rPr>
        <w:t> </w:t>
      </w:r>
      <w:r>
        <w:rPr>
          <w:color w:val="231F20"/>
        </w:rPr>
        <w:t>от</w:t>
      </w:r>
      <w:r>
        <w:rPr>
          <w:color w:val="231F20"/>
          <w:spacing w:val="-12"/>
        </w:rPr>
        <w:t> </w:t>
      </w:r>
      <w:r>
        <w:rPr>
          <w:color w:val="231F20"/>
        </w:rPr>
        <w:t>того,</w:t>
      </w:r>
      <w:r>
        <w:rPr>
          <w:color w:val="231F20"/>
          <w:spacing w:val="-13"/>
        </w:rPr>
        <w:t> </w:t>
      </w:r>
      <w:r>
        <w:rPr>
          <w:color w:val="231F20"/>
        </w:rPr>
        <w:t>насколько</w:t>
      </w:r>
      <w:r>
        <w:rPr>
          <w:color w:val="231F20"/>
          <w:spacing w:val="-12"/>
        </w:rPr>
        <w:t> </w:t>
      </w:r>
      <w:r>
        <w:rPr>
          <w:color w:val="231F20"/>
        </w:rPr>
        <w:t>детально</w:t>
      </w:r>
      <w:r>
        <w:rPr>
          <w:color w:val="231F20"/>
          <w:spacing w:val="-13"/>
        </w:rPr>
        <w:t> </w:t>
      </w:r>
      <w:r>
        <w:rPr>
          <w:color w:val="231F20"/>
        </w:rPr>
        <w:t>и</w:t>
      </w:r>
      <w:r>
        <w:rPr>
          <w:color w:val="231F20"/>
          <w:spacing w:val="-12"/>
        </w:rPr>
        <w:t> </w:t>
      </w:r>
      <w:r>
        <w:rPr>
          <w:color w:val="231F20"/>
        </w:rPr>
        <w:t>глубоко</w:t>
      </w:r>
      <w:r>
        <w:rPr>
          <w:color w:val="231F20"/>
          <w:spacing w:val="-13"/>
        </w:rPr>
        <w:t> </w:t>
      </w:r>
      <w:r>
        <w:rPr>
          <w:color w:val="231F20"/>
        </w:rPr>
        <w:t>учащиеся</w:t>
      </w:r>
      <w:r>
        <w:rPr>
          <w:color w:val="231F20"/>
          <w:spacing w:val="-12"/>
        </w:rPr>
        <w:t> </w:t>
      </w:r>
      <w:r>
        <w:rPr>
          <w:color w:val="231F20"/>
        </w:rPr>
        <w:t>в</w:t>
      </w:r>
      <w:r>
        <w:rPr>
          <w:color w:val="231F20"/>
          <w:spacing w:val="-13"/>
        </w:rPr>
        <w:t> </w:t>
      </w:r>
      <w:r>
        <w:rPr>
          <w:color w:val="231F20"/>
        </w:rPr>
        <w:t>каждой</w:t>
      </w:r>
      <w:r>
        <w:rPr>
          <w:color w:val="231F20"/>
          <w:spacing w:val="-12"/>
        </w:rPr>
        <w:t> </w:t>
      </w:r>
      <w:r>
        <w:rPr>
          <w:color w:val="231F20"/>
        </w:rPr>
        <w:t>груп- пе проработают вопрос, будет зависеть не только их итоговая презентация в классе, но и то, как другие учащиеся класса сформируют общую картину знаний по теме. Выполняя задания внутри группы, дети учатся ставить цели, работать с информаци- ей, планировать свою деятельность и проводить обобщения.</w:t>
      </w:r>
    </w:p>
    <w:p>
      <w:pPr>
        <w:spacing w:line="228" w:lineRule="exact" w:before="52"/>
        <w:ind w:left="425" w:right="0" w:firstLine="0"/>
        <w:jc w:val="left"/>
        <w:rPr>
          <w:i/>
          <w:sz w:val="20"/>
        </w:rPr>
      </w:pPr>
      <w:r>
        <w:rPr>
          <w:i/>
          <w:color w:val="231F20"/>
          <w:spacing w:val="-2"/>
          <w:sz w:val="20"/>
        </w:rPr>
        <w:t>Мозаика</w:t>
      </w:r>
    </w:p>
    <w:p>
      <w:pPr>
        <w:pStyle w:val="BodyText"/>
        <w:spacing w:line="235" w:lineRule="auto" w:before="2"/>
        <w:ind w:right="0"/>
        <w:jc w:val="left"/>
      </w:pPr>
      <w:r>
        <w:rPr>
          <w:color w:val="231F20"/>
        </w:rPr>
        <w:t>Данная технологий наиболее эффективно работает в ситуациях, когда учащимся нужно</w:t>
      </w:r>
      <w:r>
        <w:rPr>
          <w:color w:val="231F20"/>
          <w:spacing w:val="-1"/>
        </w:rPr>
        <w:t> </w:t>
      </w:r>
      <w:r>
        <w:rPr>
          <w:color w:val="231F20"/>
        </w:rPr>
        <w:t>освоить</w:t>
      </w:r>
      <w:r>
        <w:rPr>
          <w:color w:val="231F20"/>
          <w:spacing w:val="1"/>
        </w:rPr>
        <w:t> </w:t>
      </w:r>
      <w:r>
        <w:rPr>
          <w:color w:val="231F20"/>
        </w:rPr>
        <w:t>объемный</w:t>
      </w:r>
      <w:r>
        <w:rPr>
          <w:color w:val="231F20"/>
          <w:spacing w:val="2"/>
        </w:rPr>
        <w:t> </w:t>
      </w:r>
      <w:r>
        <w:rPr>
          <w:color w:val="231F20"/>
        </w:rPr>
        <w:t>материал,</w:t>
      </w:r>
      <w:r>
        <w:rPr>
          <w:color w:val="231F20"/>
          <w:spacing w:val="1"/>
        </w:rPr>
        <w:t> </w:t>
      </w:r>
      <w:r>
        <w:rPr>
          <w:color w:val="231F20"/>
        </w:rPr>
        <w:t>который</w:t>
      </w:r>
      <w:r>
        <w:rPr>
          <w:color w:val="231F20"/>
          <w:spacing w:val="1"/>
        </w:rPr>
        <w:t> </w:t>
      </w:r>
      <w:r>
        <w:rPr>
          <w:color w:val="231F20"/>
        </w:rPr>
        <w:t>можно</w:t>
      </w:r>
      <w:r>
        <w:rPr>
          <w:color w:val="231F20"/>
          <w:spacing w:val="2"/>
        </w:rPr>
        <w:t> </w:t>
      </w:r>
      <w:r>
        <w:rPr>
          <w:color w:val="231F20"/>
        </w:rPr>
        <w:t>разбить</w:t>
      </w:r>
      <w:r>
        <w:rPr>
          <w:color w:val="231F20"/>
          <w:spacing w:val="1"/>
        </w:rPr>
        <w:t> </w:t>
      </w:r>
      <w:r>
        <w:rPr>
          <w:color w:val="231F20"/>
        </w:rPr>
        <w:t>на</w:t>
      </w:r>
      <w:r>
        <w:rPr>
          <w:color w:val="231F20"/>
          <w:spacing w:val="1"/>
        </w:rPr>
        <w:t> </w:t>
      </w:r>
      <w:r>
        <w:rPr>
          <w:color w:val="231F20"/>
        </w:rPr>
        <w:t>отдельные</w:t>
      </w:r>
      <w:r>
        <w:rPr>
          <w:color w:val="231F20"/>
          <w:spacing w:val="2"/>
        </w:rPr>
        <w:t> </w:t>
      </w:r>
      <w:r>
        <w:rPr>
          <w:color w:val="231F20"/>
          <w:spacing w:val="-2"/>
        </w:rPr>
        <w:t>фрагмен-</w:t>
      </w:r>
    </w:p>
    <w:p>
      <w:pPr>
        <w:pStyle w:val="BodyText"/>
        <w:spacing w:after="0" w:line="235" w:lineRule="auto"/>
        <w:jc w:val="left"/>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z w:val="18"/>
        </w:rPr>
        <w:t>4.4.</w:t>
      </w:r>
      <w:r>
        <w:rPr>
          <w:rFonts w:ascii="Georgia" w:hAnsi="Georgia"/>
          <w:color w:val="231F20"/>
          <w:spacing w:val="-1"/>
          <w:sz w:val="18"/>
        </w:rPr>
        <w:t> </w:t>
      </w:r>
      <w:r>
        <w:rPr>
          <w:rFonts w:ascii="Georgia" w:hAnsi="Georgia"/>
          <w:color w:val="231F20"/>
          <w:sz w:val="18"/>
        </w:rPr>
        <w:t>Методы</w:t>
      </w:r>
      <w:r>
        <w:rPr>
          <w:rFonts w:ascii="Georgia" w:hAnsi="Georgia"/>
          <w:color w:val="231F20"/>
          <w:spacing w:val="-1"/>
          <w:sz w:val="18"/>
        </w:rPr>
        <w:t> </w:t>
      </w:r>
      <w:r>
        <w:rPr>
          <w:rFonts w:ascii="Georgia" w:hAnsi="Georgia"/>
          <w:color w:val="231F20"/>
          <w:sz w:val="18"/>
        </w:rPr>
        <w:t>учебной</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1"/>
          <w:sz w:val="18"/>
        </w:rPr>
        <w:t> </w:t>
      </w:r>
      <w:r>
        <w:rPr>
          <w:rFonts w:ascii="Georgia" w:hAnsi="Georgia"/>
          <w:color w:val="231F20"/>
          <w:sz w:val="18"/>
        </w:rPr>
        <w:t>для адаптации</w:t>
      </w:r>
      <w:r>
        <w:rPr>
          <w:rFonts w:ascii="Georgia" w:hAnsi="Georgia"/>
          <w:color w:val="231F20"/>
          <w:spacing w:val="-1"/>
          <w:sz w:val="18"/>
        </w:rPr>
        <w:t> </w:t>
      </w:r>
      <w:r>
        <w:rPr>
          <w:rFonts w:ascii="Georgia" w:hAnsi="Georgia"/>
          <w:color w:val="231F20"/>
          <w:sz w:val="18"/>
        </w:rPr>
        <w:t>детей</w:t>
      </w:r>
      <w:r>
        <w:rPr>
          <w:rFonts w:ascii="Georgia" w:hAnsi="Georgia"/>
          <w:color w:val="231F20"/>
          <w:spacing w:val="-1"/>
          <w:sz w:val="18"/>
        </w:rPr>
        <w:t> </w:t>
      </w:r>
      <w:r>
        <w:rPr>
          <w:rFonts w:ascii="Georgia" w:hAnsi="Georgia"/>
          <w:color w:val="231F20"/>
          <w:sz w:val="18"/>
        </w:rPr>
        <w:t>...</w:t>
      </w:r>
      <w:r>
        <w:rPr>
          <w:rFonts w:ascii="Georgia" w:hAnsi="Georgia"/>
          <w:color w:val="231F20"/>
          <w:spacing w:val="-1"/>
          <w:sz w:val="18"/>
        </w:rPr>
        <w:t> </w:t>
      </w:r>
      <w:r>
        <w:rPr>
          <w:rFonts w:ascii="Georgia" w:hAnsi="Georgia"/>
          <w:color w:val="231F20"/>
          <w:sz w:val="18"/>
        </w:rPr>
        <w:t>во </w:t>
      </w:r>
      <w:r>
        <w:rPr>
          <w:rFonts w:ascii="Georgia" w:hAnsi="Georgia"/>
          <w:color w:val="231F20"/>
          <w:spacing w:val="-2"/>
          <w:sz w:val="18"/>
        </w:rPr>
        <w:t>взаимодействии...</w:t>
      </w:r>
    </w:p>
    <w:p>
      <w:pPr>
        <w:pStyle w:val="BodyText"/>
        <w:spacing w:line="232" w:lineRule="auto" w:before="118"/>
        <w:ind w:firstLine="0"/>
      </w:pPr>
      <w:r>
        <w:rPr>
          <w:color w:val="231F20"/>
        </w:rPr>
        <w:t>ты/темы/блоки</w:t>
      </w:r>
      <w:r>
        <w:rPr>
          <w:color w:val="231F20"/>
          <w:spacing w:val="-13"/>
        </w:rPr>
        <w:t> </w:t>
      </w:r>
      <w:r>
        <w:rPr>
          <w:color w:val="231F20"/>
        </w:rPr>
        <w:t>по</w:t>
      </w:r>
      <w:r>
        <w:rPr>
          <w:color w:val="231F20"/>
          <w:spacing w:val="-12"/>
        </w:rPr>
        <w:t> </w:t>
      </w:r>
      <w:r>
        <w:rPr>
          <w:color w:val="231F20"/>
        </w:rPr>
        <w:t>количеству</w:t>
      </w:r>
      <w:r>
        <w:rPr>
          <w:color w:val="231F20"/>
          <w:spacing w:val="-13"/>
        </w:rPr>
        <w:t> </w:t>
      </w:r>
      <w:r>
        <w:rPr>
          <w:color w:val="231F20"/>
        </w:rPr>
        <w:t>учащихся</w:t>
      </w:r>
      <w:r>
        <w:rPr>
          <w:color w:val="231F20"/>
          <w:spacing w:val="-12"/>
        </w:rPr>
        <w:t> </w:t>
      </w:r>
      <w:r>
        <w:rPr>
          <w:color w:val="231F20"/>
        </w:rPr>
        <w:t>в</w:t>
      </w:r>
      <w:r>
        <w:rPr>
          <w:color w:val="231F20"/>
          <w:spacing w:val="-13"/>
        </w:rPr>
        <w:t> </w:t>
      </w:r>
      <w:r>
        <w:rPr>
          <w:color w:val="231F20"/>
        </w:rPr>
        <w:t>группе.</w:t>
      </w:r>
      <w:r>
        <w:rPr>
          <w:color w:val="231F20"/>
          <w:spacing w:val="-12"/>
        </w:rPr>
        <w:t> </w:t>
      </w:r>
      <w:r>
        <w:rPr>
          <w:color w:val="231F20"/>
        </w:rPr>
        <w:t>Каждый</w:t>
      </w:r>
      <w:r>
        <w:rPr>
          <w:color w:val="231F20"/>
          <w:spacing w:val="-13"/>
        </w:rPr>
        <w:t> </w:t>
      </w:r>
      <w:r>
        <w:rPr>
          <w:color w:val="231F20"/>
        </w:rPr>
        <w:t>учащийся</w:t>
      </w:r>
      <w:r>
        <w:rPr>
          <w:color w:val="231F20"/>
          <w:spacing w:val="-12"/>
        </w:rPr>
        <w:t> </w:t>
      </w:r>
      <w:r>
        <w:rPr>
          <w:color w:val="231F20"/>
        </w:rPr>
        <w:t>получает</w:t>
      </w:r>
      <w:r>
        <w:rPr>
          <w:color w:val="231F20"/>
          <w:spacing w:val="-13"/>
        </w:rPr>
        <w:t> </w:t>
      </w:r>
      <w:r>
        <w:rPr>
          <w:color w:val="231F20"/>
        </w:rPr>
        <w:t>от</w:t>
      </w:r>
      <w:r>
        <w:rPr>
          <w:color w:val="231F20"/>
          <w:spacing w:val="-12"/>
        </w:rPr>
        <w:t> </w:t>
      </w:r>
      <w:r>
        <w:rPr>
          <w:color w:val="231F20"/>
        </w:rPr>
        <w:t>учи- теля задание проработать конкретный фрагмент, после чего он становится «экспер- том» в этой области и обучает других членов группы.</w:t>
      </w:r>
    </w:p>
    <w:p>
      <w:pPr>
        <w:spacing w:line="225" w:lineRule="exact" w:before="47"/>
        <w:ind w:left="425" w:right="0" w:firstLine="0"/>
        <w:jc w:val="left"/>
        <w:rPr>
          <w:i/>
          <w:sz w:val="20"/>
        </w:rPr>
      </w:pPr>
      <w:r>
        <w:rPr>
          <w:i/>
          <w:color w:val="231F20"/>
          <w:spacing w:val="-2"/>
          <w:sz w:val="20"/>
        </w:rPr>
        <w:t>Мозаика-</w:t>
      </w:r>
      <w:r>
        <w:rPr>
          <w:i/>
          <w:color w:val="231F20"/>
          <w:spacing w:val="-10"/>
          <w:sz w:val="20"/>
        </w:rPr>
        <w:t>2</w:t>
      </w:r>
    </w:p>
    <w:p>
      <w:pPr>
        <w:pStyle w:val="BodyText"/>
        <w:spacing w:line="230" w:lineRule="auto" w:before="3"/>
      </w:pPr>
      <w:r>
        <w:rPr>
          <w:color w:val="231F20"/>
        </w:rPr>
        <w:t>Учитель</w:t>
      </w:r>
      <w:r>
        <w:rPr>
          <w:color w:val="231F20"/>
          <w:spacing w:val="-8"/>
        </w:rPr>
        <w:t> </w:t>
      </w:r>
      <w:r>
        <w:rPr>
          <w:color w:val="231F20"/>
        </w:rPr>
        <w:t>так</w:t>
      </w:r>
      <w:r>
        <w:rPr>
          <w:color w:val="231F20"/>
          <w:spacing w:val="-8"/>
        </w:rPr>
        <w:t> </w:t>
      </w:r>
      <w:r>
        <w:rPr>
          <w:color w:val="231F20"/>
        </w:rPr>
        <w:t>же</w:t>
      </w:r>
      <w:r>
        <w:rPr>
          <w:color w:val="231F20"/>
          <w:spacing w:val="-8"/>
        </w:rPr>
        <w:t> </w:t>
      </w:r>
      <w:r>
        <w:rPr>
          <w:color w:val="231F20"/>
        </w:rPr>
        <w:t>(как</w:t>
      </w:r>
      <w:r>
        <w:rPr>
          <w:color w:val="231F20"/>
          <w:spacing w:val="-8"/>
        </w:rPr>
        <w:t> </w:t>
      </w:r>
      <w:r>
        <w:rPr>
          <w:color w:val="231F20"/>
        </w:rPr>
        <w:t>и</w:t>
      </w:r>
      <w:r>
        <w:rPr>
          <w:color w:val="231F20"/>
          <w:spacing w:val="-8"/>
        </w:rPr>
        <w:t> </w:t>
      </w:r>
      <w:r>
        <w:rPr>
          <w:color w:val="231F20"/>
        </w:rPr>
        <w:t>в</w:t>
      </w:r>
      <w:r>
        <w:rPr>
          <w:color w:val="231F20"/>
          <w:spacing w:val="-8"/>
        </w:rPr>
        <w:t> </w:t>
      </w:r>
      <w:r>
        <w:rPr>
          <w:color w:val="231F20"/>
        </w:rPr>
        <w:t>технологии</w:t>
      </w:r>
      <w:r>
        <w:rPr>
          <w:color w:val="231F20"/>
          <w:spacing w:val="-8"/>
        </w:rPr>
        <w:t> </w:t>
      </w:r>
      <w:r>
        <w:rPr>
          <w:color w:val="231F20"/>
        </w:rPr>
        <w:t>«Мозаика»)</w:t>
      </w:r>
      <w:r>
        <w:rPr>
          <w:color w:val="231F20"/>
          <w:spacing w:val="-8"/>
        </w:rPr>
        <w:t> </w:t>
      </w:r>
      <w:r>
        <w:rPr>
          <w:color w:val="231F20"/>
        </w:rPr>
        <w:t>придумывает</w:t>
      </w:r>
      <w:r>
        <w:rPr>
          <w:color w:val="231F20"/>
          <w:spacing w:val="-8"/>
        </w:rPr>
        <w:t> </w:t>
      </w:r>
      <w:r>
        <w:rPr>
          <w:color w:val="231F20"/>
        </w:rPr>
        <w:t>задания</w:t>
      </w:r>
      <w:r>
        <w:rPr>
          <w:color w:val="231F20"/>
          <w:spacing w:val="-8"/>
        </w:rPr>
        <w:t> </w:t>
      </w:r>
      <w:r>
        <w:rPr>
          <w:color w:val="231F20"/>
        </w:rPr>
        <w:t>для</w:t>
      </w:r>
      <w:r>
        <w:rPr>
          <w:color w:val="231F20"/>
          <w:spacing w:val="-8"/>
        </w:rPr>
        <w:t> </w:t>
      </w:r>
      <w:r>
        <w:rPr>
          <w:color w:val="231F20"/>
        </w:rPr>
        <w:t>каждой из сформированных им гетерогенных групп, но передает группе сразу все материа- лы, чтобы учащиеся сами распределили свои обязанности и решили, кто и по како- му именно вопросу станет «экспертом». Поскольку эксперты есть в составе каждой учебной группы, они могут периодически объединяться в отдельную группу, обме- ниваться информацией и усиливать свой «экспертный уровень». Принципиальным отличием «Мозаики-2» от просто «Мозаики» является то, что учитель передает не- обходимый учебный материал в полном объеме каждому учащемуся, поэтому уча- щийся может проработать этот материал самостоятельно даже в том случае, если он находится на домашнем обучении.</w:t>
      </w:r>
    </w:p>
    <w:p>
      <w:pPr>
        <w:spacing w:line="225" w:lineRule="exact" w:before="41"/>
        <w:ind w:left="425" w:right="0" w:firstLine="0"/>
        <w:jc w:val="both"/>
        <w:rPr>
          <w:i/>
          <w:sz w:val="20"/>
        </w:rPr>
      </w:pPr>
      <w:r>
        <w:rPr>
          <w:i/>
          <w:color w:val="231F20"/>
          <w:sz w:val="20"/>
        </w:rPr>
        <w:t>Учимся</w:t>
      </w:r>
      <w:r>
        <w:rPr>
          <w:i/>
          <w:color w:val="231F20"/>
          <w:spacing w:val="-2"/>
          <w:sz w:val="20"/>
        </w:rPr>
        <w:t> вместе</w:t>
      </w:r>
    </w:p>
    <w:p>
      <w:pPr>
        <w:pStyle w:val="BodyText"/>
        <w:spacing w:line="230" w:lineRule="auto" w:before="3"/>
      </w:pPr>
      <w:r>
        <w:rPr>
          <w:color w:val="231F20"/>
        </w:rPr>
        <w:t>Учитель разделяет класс на группы по 4–5 человек, каждая из которых получает задание разработать тот или иной продукт (творческий, технологический и др.). В итоге</w:t>
      </w:r>
      <w:r>
        <w:rPr>
          <w:color w:val="231F20"/>
          <w:spacing w:val="-4"/>
        </w:rPr>
        <w:t> </w:t>
      </w:r>
      <w:r>
        <w:rPr>
          <w:color w:val="231F20"/>
        </w:rPr>
        <w:t>учащиеся</w:t>
      </w:r>
      <w:r>
        <w:rPr>
          <w:color w:val="231F20"/>
          <w:spacing w:val="-4"/>
        </w:rPr>
        <w:t> </w:t>
      </w:r>
      <w:r>
        <w:rPr>
          <w:color w:val="231F20"/>
        </w:rPr>
        <w:t>объединяют</w:t>
      </w:r>
      <w:r>
        <w:rPr>
          <w:color w:val="231F20"/>
          <w:spacing w:val="-4"/>
        </w:rPr>
        <w:t> </w:t>
      </w:r>
      <w:r>
        <w:rPr>
          <w:color w:val="231F20"/>
        </w:rPr>
        <w:t>свои</w:t>
      </w:r>
      <w:r>
        <w:rPr>
          <w:color w:val="231F20"/>
          <w:spacing w:val="-4"/>
        </w:rPr>
        <w:t> </w:t>
      </w:r>
      <w:r>
        <w:rPr>
          <w:color w:val="231F20"/>
        </w:rPr>
        <w:t>усилия</w:t>
      </w:r>
      <w:r>
        <w:rPr>
          <w:color w:val="231F20"/>
          <w:spacing w:val="-4"/>
        </w:rPr>
        <w:t> </w:t>
      </w:r>
      <w:r>
        <w:rPr>
          <w:color w:val="231F20"/>
        </w:rPr>
        <w:t>для</w:t>
      </w:r>
      <w:r>
        <w:rPr>
          <w:color w:val="231F20"/>
          <w:spacing w:val="-4"/>
        </w:rPr>
        <w:t> </w:t>
      </w:r>
      <w:r>
        <w:rPr>
          <w:color w:val="231F20"/>
        </w:rPr>
        <w:t>производства</w:t>
      </w:r>
      <w:r>
        <w:rPr>
          <w:color w:val="231F20"/>
          <w:spacing w:val="-4"/>
        </w:rPr>
        <w:t> </w:t>
      </w:r>
      <w:r>
        <w:rPr>
          <w:color w:val="231F20"/>
        </w:rPr>
        <w:t>итогового</w:t>
      </w:r>
      <w:r>
        <w:rPr>
          <w:color w:val="231F20"/>
          <w:spacing w:val="-4"/>
        </w:rPr>
        <w:t> </w:t>
      </w:r>
      <w:r>
        <w:rPr>
          <w:color w:val="231F20"/>
        </w:rPr>
        <w:t>продукта</w:t>
      </w:r>
      <w:r>
        <w:rPr>
          <w:color w:val="231F20"/>
          <w:spacing w:val="-4"/>
        </w:rPr>
        <w:t> </w:t>
      </w:r>
      <w:r>
        <w:rPr>
          <w:color w:val="231F20"/>
        </w:rPr>
        <w:t>и</w:t>
      </w:r>
      <w:r>
        <w:rPr>
          <w:color w:val="231F20"/>
          <w:spacing w:val="-4"/>
        </w:rPr>
        <w:t> </w:t>
      </w:r>
      <w:r>
        <w:rPr>
          <w:color w:val="231F20"/>
        </w:rPr>
        <w:t>его презентации в классе.</w:t>
      </w:r>
    </w:p>
    <w:p>
      <w:pPr>
        <w:spacing w:line="225" w:lineRule="exact" w:before="46"/>
        <w:ind w:left="425" w:right="0" w:firstLine="0"/>
        <w:jc w:val="left"/>
        <w:rPr>
          <w:i/>
          <w:sz w:val="20"/>
        </w:rPr>
      </w:pPr>
      <w:r>
        <w:rPr>
          <w:i/>
          <w:color w:val="231F20"/>
          <w:spacing w:val="-2"/>
          <w:sz w:val="20"/>
        </w:rPr>
        <w:t>Взаимообучение</w:t>
      </w:r>
    </w:p>
    <w:p>
      <w:pPr>
        <w:pStyle w:val="BodyText"/>
        <w:spacing w:line="230" w:lineRule="auto" w:before="2"/>
      </w:pPr>
      <w:r>
        <w:rPr>
          <w:color w:val="231F20"/>
        </w:rPr>
        <w:t>Эта технология была специально разработана для развития у учащихся навыков осмысленного</w:t>
      </w:r>
      <w:r>
        <w:rPr>
          <w:color w:val="231F20"/>
          <w:spacing w:val="-11"/>
        </w:rPr>
        <w:t> </w:t>
      </w:r>
      <w:r>
        <w:rPr>
          <w:color w:val="231F20"/>
        </w:rPr>
        <w:t>чтения.</w:t>
      </w:r>
      <w:r>
        <w:rPr>
          <w:color w:val="231F20"/>
          <w:spacing w:val="-11"/>
        </w:rPr>
        <w:t> </w:t>
      </w:r>
      <w:r>
        <w:rPr>
          <w:color w:val="231F20"/>
        </w:rPr>
        <w:t>Каждый</w:t>
      </w:r>
      <w:r>
        <w:rPr>
          <w:color w:val="231F20"/>
          <w:spacing w:val="-11"/>
        </w:rPr>
        <w:t> </w:t>
      </w:r>
      <w:r>
        <w:rPr>
          <w:color w:val="231F20"/>
        </w:rPr>
        <w:t>член</w:t>
      </w:r>
      <w:r>
        <w:rPr>
          <w:color w:val="231F20"/>
          <w:spacing w:val="-11"/>
        </w:rPr>
        <w:t> </w:t>
      </w:r>
      <w:r>
        <w:rPr>
          <w:color w:val="231F20"/>
        </w:rPr>
        <w:t>команды</w:t>
      </w:r>
      <w:r>
        <w:rPr>
          <w:color w:val="231F20"/>
          <w:spacing w:val="-11"/>
        </w:rPr>
        <w:t> </w:t>
      </w:r>
      <w:r>
        <w:rPr>
          <w:color w:val="231F20"/>
        </w:rPr>
        <w:t>отвечает</w:t>
      </w:r>
      <w:r>
        <w:rPr>
          <w:color w:val="231F20"/>
          <w:spacing w:val="-11"/>
        </w:rPr>
        <w:t> </w:t>
      </w:r>
      <w:r>
        <w:rPr>
          <w:color w:val="231F20"/>
        </w:rPr>
        <w:t>за</w:t>
      </w:r>
      <w:r>
        <w:rPr>
          <w:color w:val="231F20"/>
          <w:spacing w:val="-11"/>
        </w:rPr>
        <w:t> </w:t>
      </w:r>
      <w:r>
        <w:rPr>
          <w:color w:val="231F20"/>
        </w:rPr>
        <w:t>то,</w:t>
      </w:r>
      <w:r>
        <w:rPr>
          <w:color w:val="231F20"/>
          <w:spacing w:val="-11"/>
        </w:rPr>
        <w:t> </w:t>
      </w:r>
      <w:r>
        <w:rPr>
          <w:color w:val="231F20"/>
        </w:rPr>
        <w:t>насколько</w:t>
      </w:r>
      <w:r>
        <w:rPr>
          <w:color w:val="231F20"/>
          <w:spacing w:val="-11"/>
        </w:rPr>
        <w:t> </w:t>
      </w:r>
      <w:r>
        <w:rPr>
          <w:color w:val="231F20"/>
        </w:rPr>
        <w:t>другие</w:t>
      </w:r>
      <w:r>
        <w:rPr>
          <w:color w:val="231F20"/>
          <w:spacing w:val="-11"/>
        </w:rPr>
        <w:t> </w:t>
      </w:r>
      <w:r>
        <w:rPr>
          <w:color w:val="231F20"/>
        </w:rPr>
        <w:t>члены команды поймут прочитанный текст и смогут задать по нему вопросы. Один из уча- щихся зачитывает текст и кратко его пересказывает, а другие члены группы задают ему вопросы до тех пор, пока они не будут готовы услышать следующий фрагмент текста.</w:t>
      </w:r>
      <w:r>
        <w:rPr>
          <w:color w:val="231F20"/>
          <w:spacing w:val="-7"/>
        </w:rPr>
        <w:t> </w:t>
      </w:r>
      <w:r>
        <w:rPr>
          <w:color w:val="231F20"/>
        </w:rPr>
        <w:t>Каждый</w:t>
      </w:r>
      <w:r>
        <w:rPr>
          <w:color w:val="231F20"/>
          <w:spacing w:val="-7"/>
        </w:rPr>
        <w:t> </w:t>
      </w:r>
      <w:r>
        <w:rPr>
          <w:color w:val="231F20"/>
        </w:rPr>
        <w:t>из</w:t>
      </w:r>
      <w:r>
        <w:rPr>
          <w:color w:val="231F20"/>
          <w:spacing w:val="-7"/>
        </w:rPr>
        <w:t> </w:t>
      </w:r>
      <w:r>
        <w:rPr>
          <w:color w:val="231F20"/>
        </w:rPr>
        <w:t>членов</w:t>
      </w:r>
      <w:r>
        <w:rPr>
          <w:color w:val="231F20"/>
          <w:spacing w:val="-7"/>
        </w:rPr>
        <w:t> </w:t>
      </w:r>
      <w:r>
        <w:rPr>
          <w:color w:val="231F20"/>
        </w:rPr>
        <w:t>группы</w:t>
      </w:r>
      <w:r>
        <w:rPr>
          <w:color w:val="231F20"/>
          <w:spacing w:val="-7"/>
        </w:rPr>
        <w:t> </w:t>
      </w:r>
      <w:r>
        <w:rPr>
          <w:color w:val="231F20"/>
        </w:rPr>
        <w:t>должен</w:t>
      </w:r>
      <w:r>
        <w:rPr>
          <w:color w:val="231F20"/>
          <w:spacing w:val="-7"/>
        </w:rPr>
        <w:t> </w:t>
      </w:r>
      <w:r>
        <w:rPr>
          <w:color w:val="231F20"/>
        </w:rPr>
        <w:t>иметь</w:t>
      </w:r>
      <w:r>
        <w:rPr>
          <w:color w:val="231F20"/>
          <w:spacing w:val="-7"/>
        </w:rPr>
        <w:t> </w:t>
      </w:r>
      <w:r>
        <w:rPr>
          <w:color w:val="231F20"/>
        </w:rPr>
        <w:t>возможность</w:t>
      </w:r>
      <w:r>
        <w:rPr>
          <w:color w:val="231F20"/>
          <w:spacing w:val="-7"/>
        </w:rPr>
        <w:t> </w:t>
      </w:r>
      <w:r>
        <w:rPr>
          <w:color w:val="231F20"/>
        </w:rPr>
        <w:t>зачитать</w:t>
      </w:r>
      <w:r>
        <w:rPr>
          <w:color w:val="231F20"/>
          <w:spacing w:val="-7"/>
        </w:rPr>
        <w:t> </w:t>
      </w:r>
      <w:r>
        <w:rPr>
          <w:color w:val="231F20"/>
        </w:rPr>
        <w:t>и</w:t>
      </w:r>
      <w:r>
        <w:rPr>
          <w:color w:val="231F20"/>
          <w:spacing w:val="-7"/>
        </w:rPr>
        <w:t> </w:t>
      </w:r>
      <w:r>
        <w:rPr>
          <w:color w:val="231F20"/>
        </w:rPr>
        <w:t>пересказать свой фрагмент текста.</w:t>
      </w:r>
    </w:p>
    <w:p>
      <w:pPr>
        <w:spacing w:line="225" w:lineRule="exact" w:before="44"/>
        <w:ind w:left="425" w:right="0" w:firstLine="0"/>
        <w:jc w:val="left"/>
        <w:rPr>
          <w:i/>
          <w:sz w:val="20"/>
        </w:rPr>
      </w:pPr>
      <w:r>
        <w:rPr>
          <w:i/>
          <w:color w:val="231F20"/>
          <w:spacing w:val="-4"/>
          <w:sz w:val="20"/>
        </w:rPr>
        <w:t>КООП</w:t>
      </w:r>
    </w:p>
    <w:p>
      <w:pPr>
        <w:pStyle w:val="BodyText"/>
        <w:spacing w:line="230" w:lineRule="auto" w:before="3"/>
      </w:pPr>
      <w:r>
        <w:rPr>
          <w:color w:val="231F20"/>
        </w:rPr>
        <w:t>Технология</w:t>
      </w:r>
      <w:r>
        <w:rPr>
          <w:color w:val="231F20"/>
          <w:spacing w:val="-9"/>
        </w:rPr>
        <w:t> </w:t>
      </w:r>
      <w:r>
        <w:rPr>
          <w:color w:val="231F20"/>
        </w:rPr>
        <w:t>очень</w:t>
      </w:r>
      <w:r>
        <w:rPr>
          <w:color w:val="231F20"/>
          <w:spacing w:val="-9"/>
        </w:rPr>
        <w:t> </w:t>
      </w:r>
      <w:r>
        <w:rPr>
          <w:color w:val="231F20"/>
        </w:rPr>
        <w:t>похожа</w:t>
      </w:r>
      <w:r>
        <w:rPr>
          <w:color w:val="231F20"/>
          <w:spacing w:val="-9"/>
        </w:rPr>
        <w:t> </w:t>
      </w:r>
      <w:r>
        <w:rPr>
          <w:color w:val="231F20"/>
        </w:rPr>
        <w:t>на</w:t>
      </w:r>
      <w:r>
        <w:rPr>
          <w:color w:val="231F20"/>
          <w:spacing w:val="-9"/>
        </w:rPr>
        <w:t> </w:t>
      </w:r>
      <w:r>
        <w:rPr>
          <w:color w:val="231F20"/>
        </w:rPr>
        <w:t>технологию</w:t>
      </w:r>
      <w:r>
        <w:rPr>
          <w:color w:val="231F20"/>
          <w:spacing w:val="-9"/>
        </w:rPr>
        <w:t> </w:t>
      </w:r>
      <w:r>
        <w:rPr>
          <w:color w:val="231F20"/>
        </w:rPr>
        <w:t>«Мозаика-2»,</w:t>
      </w:r>
      <w:r>
        <w:rPr>
          <w:color w:val="231F20"/>
          <w:spacing w:val="-9"/>
        </w:rPr>
        <w:t> </w:t>
      </w:r>
      <w:r>
        <w:rPr>
          <w:color w:val="231F20"/>
        </w:rPr>
        <w:t>но</w:t>
      </w:r>
      <w:r>
        <w:rPr>
          <w:color w:val="231F20"/>
          <w:spacing w:val="-9"/>
        </w:rPr>
        <w:t> </w:t>
      </w:r>
      <w:r>
        <w:rPr>
          <w:color w:val="231F20"/>
        </w:rPr>
        <w:t>в</w:t>
      </w:r>
      <w:r>
        <w:rPr>
          <w:color w:val="231F20"/>
          <w:spacing w:val="-9"/>
        </w:rPr>
        <w:t> </w:t>
      </w:r>
      <w:r>
        <w:rPr>
          <w:color w:val="231F20"/>
        </w:rPr>
        <w:t>этом</w:t>
      </w:r>
      <w:r>
        <w:rPr>
          <w:color w:val="231F20"/>
          <w:spacing w:val="-9"/>
        </w:rPr>
        <w:t> </w:t>
      </w:r>
      <w:r>
        <w:rPr>
          <w:color w:val="231F20"/>
        </w:rPr>
        <w:t>случае</w:t>
      </w:r>
      <w:r>
        <w:rPr>
          <w:color w:val="231F20"/>
          <w:spacing w:val="-9"/>
        </w:rPr>
        <w:t> </w:t>
      </w:r>
      <w:r>
        <w:rPr>
          <w:color w:val="231F20"/>
        </w:rPr>
        <w:t>все</w:t>
      </w:r>
      <w:r>
        <w:rPr>
          <w:color w:val="231F20"/>
          <w:spacing w:val="-9"/>
        </w:rPr>
        <w:t> </w:t>
      </w:r>
      <w:r>
        <w:rPr>
          <w:color w:val="231F20"/>
        </w:rPr>
        <w:t>учеб- ные действия и работа «экспертов» организуется внутри учебной группы. Учитель предлагает учащимся тему, далее внутри своей группы они выделяют подтемы (раз- ные</w:t>
      </w:r>
      <w:r>
        <w:rPr>
          <w:color w:val="231F20"/>
          <w:spacing w:val="-13"/>
        </w:rPr>
        <w:t> </w:t>
      </w:r>
      <w:r>
        <w:rPr>
          <w:color w:val="231F20"/>
        </w:rPr>
        <w:t>аспекты</w:t>
      </w:r>
      <w:r>
        <w:rPr>
          <w:color w:val="231F20"/>
          <w:spacing w:val="-12"/>
        </w:rPr>
        <w:t> </w:t>
      </w:r>
      <w:r>
        <w:rPr>
          <w:color w:val="231F20"/>
        </w:rPr>
        <w:t>одной</w:t>
      </w:r>
      <w:r>
        <w:rPr>
          <w:color w:val="231F20"/>
          <w:spacing w:val="-13"/>
        </w:rPr>
        <w:t> </w:t>
      </w:r>
      <w:r>
        <w:rPr>
          <w:color w:val="231F20"/>
        </w:rPr>
        <w:t>темы)</w:t>
      </w:r>
      <w:r>
        <w:rPr>
          <w:color w:val="231F20"/>
          <w:spacing w:val="-12"/>
        </w:rPr>
        <w:t> </w:t>
      </w:r>
      <w:r>
        <w:rPr>
          <w:color w:val="231F20"/>
        </w:rPr>
        <w:t>и</w:t>
      </w:r>
      <w:r>
        <w:rPr>
          <w:color w:val="231F20"/>
          <w:spacing w:val="-13"/>
        </w:rPr>
        <w:t> </w:t>
      </w:r>
      <w:r>
        <w:rPr>
          <w:color w:val="231F20"/>
        </w:rPr>
        <w:t>распределяют</w:t>
      </w:r>
      <w:r>
        <w:rPr>
          <w:color w:val="231F20"/>
          <w:spacing w:val="-12"/>
        </w:rPr>
        <w:t> </w:t>
      </w:r>
      <w:r>
        <w:rPr>
          <w:color w:val="231F20"/>
        </w:rPr>
        <w:t>обязанности:</w:t>
      </w:r>
      <w:r>
        <w:rPr>
          <w:color w:val="231F20"/>
          <w:spacing w:val="-13"/>
        </w:rPr>
        <w:t> </w:t>
      </w:r>
      <w:r>
        <w:rPr>
          <w:color w:val="231F20"/>
        </w:rPr>
        <w:t>кто</w:t>
      </w:r>
      <w:r>
        <w:rPr>
          <w:color w:val="231F20"/>
          <w:spacing w:val="-12"/>
        </w:rPr>
        <w:t> </w:t>
      </w:r>
      <w:r>
        <w:rPr>
          <w:color w:val="231F20"/>
        </w:rPr>
        <w:t>из</w:t>
      </w:r>
      <w:r>
        <w:rPr>
          <w:color w:val="231F20"/>
          <w:spacing w:val="-13"/>
        </w:rPr>
        <w:t> </w:t>
      </w:r>
      <w:r>
        <w:rPr>
          <w:color w:val="231F20"/>
        </w:rPr>
        <w:t>них</w:t>
      </w:r>
      <w:r>
        <w:rPr>
          <w:color w:val="231F20"/>
          <w:spacing w:val="-12"/>
        </w:rPr>
        <w:t> </w:t>
      </w:r>
      <w:r>
        <w:rPr>
          <w:color w:val="231F20"/>
        </w:rPr>
        <w:t>будет</w:t>
      </w:r>
      <w:r>
        <w:rPr>
          <w:color w:val="231F20"/>
          <w:spacing w:val="-13"/>
        </w:rPr>
        <w:t> </w:t>
      </w:r>
      <w:r>
        <w:rPr>
          <w:color w:val="231F20"/>
        </w:rPr>
        <w:t>экспертом</w:t>
      </w:r>
      <w:r>
        <w:rPr>
          <w:color w:val="231F20"/>
          <w:spacing w:val="-12"/>
        </w:rPr>
        <w:t> </w:t>
      </w:r>
      <w:r>
        <w:rPr>
          <w:color w:val="231F20"/>
        </w:rPr>
        <w:t>по той</w:t>
      </w:r>
      <w:r>
        <w:rPr>
          <w:color w:val="231F20"/>
          <w:spacing w:val="-13"/>
        </w:rPr>
        <w:t> </w:t>
      </w:r>
      <w:r>
        <w:rPr>
          <w:color w:val="231F20"/>
        </w:rPr>
        <w:t>или</w:t>
      </w:r>
      <w:r>
        <w:rPr>
          <w:color w:val="231F20"/>
          <w:spacing w:val="-12"/>
        </w:rPr>
        <w:t> </w:t>
      </w:r>
      <w:r>
        <w:rPr>
          <w:color w:val="231F20"/>
        </w:rPr>
        <w:t>иной</w:t>
      </w:r>
      <w:r>
        <w:rPr>
          <w:color w:val="231F20"/>
          <w:spacing w:val="-13"/>
        </w:rPr>
        <w:t> </w:t>
      </w:r>
      <w:r>
        <w:rPr>
          <w:color w:val="231F20"/>
        </w:rPr>
        <w:t>подтеме.</w:t>
      </w:r>
      <w:r>
        <w:rPr>
          <w:color w:val="231F20"/>
          <w:spacing w:val="-12"/>
        </w:rPr>
        <w:t> </w:t>
      </w:r>
      <w:r>
        <w:rPr>
          <w:color w:val="231F20"/>
        </w:rPr>
        <w:t>Далее</w:t>
      </w:r>
      <w:r>
        <w:rPr>
          <w:color w:val="231F20"/>
          <w:spacing w:val="-13"/>
        </w:rPr>
        <w:t> </w:t>
      </w:r>
      <w:r>
        <w:rPr>
          <w:color w:val="231F20"/>
        </w:rPr>
        <w:t>каждый</w:t>
      </w:r>
      <w:r>
        <w:rPr>
          <w:color w:val="231F20"/>
          <w:spacing w:val="-12"/>
        </w:rPr>
        <w:t> </w:t>
      </w:r>
      <w:r>
        <w:rPr>
          <w:color w:val="231F20"/>
        </w:rPr>
        <w:t>из</w:t>
      </w:r>
      <w:r>
        <w:rPr>
          <w:color w:val="231F20"/>
          <w:spacing w:val="-13"/>
        </w:rPr>
        <w:t> </w:t>
      </w:r>
      <w:r>
        <w:rPr>
          <w:color w:val="231F20"/>
        </w:rPr>
        <w:t>членов</w:t>
      </w:r>
      <w:r>
        <w:rPr>
          <w:color w:val="231F20"/>
          <w:spacing w:val="-12"/>
        </w:rPr>
        <w:t> </w:t>
      </w:r>
      <w:r>
        <w:rPr>
          <w:color w:val="231F20"/>
        </w:rPr>
        <w:t>группы</w:t>
      </w:r>
      <w:r>
        <w:rPr>
          <w:color w:val="231F20"/>
          <w:spacing w:val="-13"/>
        </w:rPr>
        <w:t> </w:t>
      </w:r>
      <w:r>
        <w:rPr>
          <w:color w:val="231F20"/>
        </w:rPr>
        <w:t>работает</w:t>
      </w:r>
      <w:r>
        <w:rPr>
          <w:color w:val="231F20"/>
          <w:spacing w:val="-12"/>
        </w:rPr>
        <w:t> </w:t>
      </w:r>
      <w:r>
        <w:rPr>
          <w:color w:val="231F20"/>
        </w:rPr>
        <w:t>над</w:t>
      </w:r>
      <w:r>
        <w:rPr>
          <w:color w:val="231F20"/>
          <w:spacing w:val="-13"/>
        </w:rPr>
        <w:t> </w:t>
      </w:r>
      <w:r>
        <w:rPr>
          <w:color w:val="231F20"/>
        </w:rPr>
        <w:t>своим</w:t>
      </w:r>
      <w:r>
        <w:rPr>
          <w:color w:val="231F20"/>
          <w:spacing w:val="-12"/>
        </w:rPr>
        <w:t> </w:t>
      </w:r>
      <w:r>
        <w:rPr>
          <w:color w:val="231F20"/>
        </w:rPr>
        <w:t>вопросом, после чего передает полученные им знания другим членам своей группы.</w:t>
      </w:r>
    </w:p>
    <w:p>
      <w:pPr>
        <w:pStyle w:val="BodyText"/>
        <w:spacing w:line="230" w:lineRule="auto" w:before="108"/>
      </w:pPr>
      <w:r>
        <w:rPr>
          <w:color w:val="231F20"/>
        </w:rPr>
        <w:t>Во</w:t>
      </w:r>
      <w:r>
        <w:rPr>
          <w:color w:val="231F20"/>
          <w:spacing w:val="-1"/>
        </w:rPr>
        <w:t> </w:t>
      </w:r>
      <w:r>
        <w:rPr>
          <w:color w:val="231F20"/>
        </w:rPr>
        <w:t>всех</w:t>
      </w:r>
      <w:r>
        <w:rPr>
          <w:color w:val="231F20"/>
          <w:spacing w:val="-1"/>
        </w:rPr>
        <w:t> </w:t>
      </w:r>
      <w:r>
        <w:rPr>
          <w:color w:val="231F20"/>
        </w:rPr>
        <w:t>технологиях</w:t>
      </w:r>
      <w:r>
        <w:rPr>
          <w:color w:val="231F20"/>
          <w:spacing w:val="-1"/>
        </w:rPr>
        <w:t> </w:t>
      </w:r>
      <w:r>
        <w:rPr>
          <w:color w:val="231F20"/>
        </w:rPr>
        <w:t>обучения</w:t>
      </w:r>
      <w:r>
        <w:rPr>
          <w:color w:val="231F20"/>
          <w:spacing w:val="-1"/>
        </w:rPr>
        <w:t> </w:t>
      </w:r>
      <w:r>
        <w:rPr>
          <w:color w:val="231F20"/>
        </w:rPr>
        <w:t>в</w:t>
      </w:r>
      <w:r>
        <w:rPr>
          <w:color w:val="231F20"/>
          <w:spacing w:val="-1"/>
        </w:rPr>
        <w:t> </w:t>
      </w:r>
      <w:r>
        <w:rPr>
          <w:color w:val="231F20"/>
        </w:rPr>
        <w:t>сотрудничестве</w:t>
      </w:r>
      <w:r>
        <w:rPr>
          <w:color w:val="231F20"/>
          <w:spacing w:val="-1"/>
        </w:rPr>
        <w:t> </w:t>
      </w:r>
      <w:r>
        <w:rPr>
          <w:color w:val="231F20"/>
        </w:rPr>
        <w:t>присутствует</w:t>
      </w:r>
      <w:r>
        <w:rPr>
          <w:color w:val="231F20"/>
          <w:spacing w:val="-1"/>
        </w:rPr>
        <w:t> </w:t>
      </w:r>
      <w:r>
        <w:rPr>
          <w:color w:val="231F20"/>
        </w:rPr>
        <w:t>оценка</w:t>
      </w:r>
      <w:r>
        <w:rPr>
          <w:color w:val="231F20"/>
          <w:spacing w:val="-1"/>
        </w:rPr>
        <w:t> </w:t>
      </w:r>
      <w:r>
        <w:rPr>
          <w:color w:val="231F20"/>
        </w:rPr>
        <w:t>деятельно- сти</w:t>
      </w:r>
      <w:r>
        <w:rPr>
          <w:color w:val="231F20"/>
          <w:spacing w:val="-14"/>
        </w:rPr>
        <w:t> </w:t>
      </w:r>
      <w:r>
        <w:rPr>
          <w:color w:val="231F20"/>
        </w:rPr>
        <w:t>учащихся.</w:t>
      </w:r>
      <w:r>
        <w:rPr>
          <w:color w:val="231F20"/>
          <w:spacing w:val="-12"/>
        </w:rPr>
        <w:t> </w:t>
      </w:r>
      <w:r>
        <w:rPr>
          <w:color w:val="231F20"/>
        </w:rPr>
        <w:t>В</w:t>
      </w:r>
      <w:r>
        <w:rPr>
          <w:color w:val="231F20"/>
          <w:spacing w:val="-12"/>
        </w:rPr>
        <w:t> </w:t>
      </w:r>
      <w:r>
        <w:rPr>
          <w:color w:val="231F20"/>
        </w:rPr>
        <w:t>данном</w:t>
      </w:r>
      <w:r>
        <w:rPr>
          <w:color w:val="231F20"/>
          <w:spacing w:val="-12"/>
        </w:rPr>
        <w:t> </w:t>
      </w:r>
      <w:r>
        <w:rPr>
          <w:color w:val="231F20"/>
        </w:rPr>
        <w:t>случае</w:t>
      </w:r>
      <w:r>
        <w:rPr>
          <w:color w:val="231F20"/>
          <w:spacing w:val="-12"/>
        </w:rPr>
        <w:t> </w:t>
      </w:r>
      <w:r>
        <w:rPr>
          <w:color w:val="231F20"/>
        </w:rPr>
        <w:t>эта</w:t>
      </w:r>
      <w:r>
        <w:rPr>
          <w:color w:val="231F20"/>
          <w:spacing w:val="-12"/>
        </w:rPr>
        <w:t> </w:t>
      </w:r>
      <w:r>
        <w:rPr>
          <w:color w:val="231F20"/>
        </w:rPr>
        <w:t>оценка</w:t>
      </w:r>
      <w:r>
        <w:rPr>
          <w:color w:val="231F20"/>
          <w:spacing w:val="-12"/>
        </w:rPr>
        <w:t> </w:t>
      </w:r>
      <w:r>
        <w:rPr>
          <w:color w:val="231F20"/>
        </w:rPr>
        <w:t>дается</w:t>
      </w:r>
      <w:r>
        <w:rPr>
          <w:color w:val="231F20"/>
          <w:spacing w:val="-12"/>
        </w:rPr>
        <w:t> </w:t>
      </w:r>
      <w:r>
        <w:rPr>
          <w:color w:val="231F20"/>
        </w:rPr>
        <w:t>по</w:t>
      </w:r>
      <w:r>
        <w:rPr>
          <w:color w:val="231F20"/>
          <w:spacing w:val="-12"/>
        </w:rPr>
        <w:t> </w:t>
      </w:r>
      <w:r>
        <w:rPr>
          <w:color w:val="231F20"/>
        </w:rPr>
        <w:t>трем</w:t>
      </w:r>
      <w:r>
        <w:rPr>
          <w:color w:val="231F20"/>
          <w:spacing w:val="-12"/>
        </w:rPr>
        <w:t> </w:t>
      </w:r>
      <w:r>
        <w:rPr>
          <w:color w:val="231F20"/>
        </w:rPr>
        <w:t>уровням</w:t>
      </w:r>
      <w:r>
        <w:rPr>
          <w:color w:val="231F20"/>
          <w:spacing w:val="-12"/>
        </w:rPr>
        <w:t> </w:t>
      </w:r>
      <w:r>
        <w:rPr>
          <w:color w:val="231F20"/>
        </w:rPr>
        <w:t>работы</w:t>
      </w:r>
      <w:r>
        <w:rPr>
          <w:color w:val="231F20"/>
          <w:spacing w:val="-12"/>
        </w:rPr>
        <w:t> </w:t>
      </w:r>
      <w:r>
        <w:rPr>
          <w:color w:val="231F20"/>
          <w:spacing w:val="-2"/>
        </w:rPr>
        <w:t>учащегося:</w:t>
      </w:r>
    </w:p>
    <w:p>
      <w:pPr>
        <w:pStyle w:val="ListParagraph"/>
        <w:numPr>
          <w:ilvl w:val="0"/>
          <w:numId w:val="171"/>
        </w:numPr>
        <w:tabs>
          <w:tab w:pos="424" w:val="left" w:leader="none"/>
        </w:tabs>
        <w:spacing w:line="216" w:lineRule="exact" w:before="0" w:after="0"/>
        <w:ind w:left="424" w:right="0" w:hanging="283"/>
        <w:jc w:val="left"/>
        <w:rPr>
          <w:sz w:val="20"/>
        </w:rPr>
      </w:pPr>
      <w:r>
        <w:rPr>
          <w:color w:val="231F20"/>
          <w:sz w:val="20"/>
        </w:rPr>
        <w:t>итоговой</w:t>
      </w:r>
      <w:r>
        <w:rPr>
          <w:color w:val="231F20"/>
          <w:spacing w:val="-9"/>
          <w:sz w:val="20"/>
        </w:rPr>
        <w:t> </w:t>
      </w:r>
      <w:r>
        <w:rPr>
          <w:color w:val="231F20"/>
          <w:sz w:val="20"/>
        </w:rPr>
        <w:t>презентации,</w:t>
      </w:r>
      <w:r>
        <w:rPr>
          <w:color w:val="231F20"/>
          <w:spacing w:val="-5"/>
          <w:sz w:val="20"/>
        </w:rPr>
        <w:t> </w:t>
      </w:r>
      <w:r>
        <w:rPr>
          <w:color w:val="231F20"/>
          <w:sz w:val="20"/>
        </w:rPr>
        <w:t>которую</w:t>
      </w:r>
      <w:r>
        <w:rPr>
          <w:color w:val="231F20"/>
          <w:spacing w:val="-7"/>
          <w:sz w:val="20"/>
        </w:rPr>
        <w:t> </w:t>
      </w:r>
      <w:r>
        <w:rPr>
          <w:color w:val="231F20"/>
          <w:sz w:val="20"/>
        </w:rPr>
        <w:t>делает</w:t>
      </w:r>
      <w:r>
        <w:rPr>
          <w:color w:val="231F20"/>
          <w:spacing w:val="-5"/>
          <w:sz w:val="20"/>
        </w:rPr>
        <w:t> </w:t>
      </w:r>
      <w:r>
        <w:rPr>
          <w:color w:val="231F20"/>
          <w:sz w:val="20"/>
        </w:rPr>
        <w:t>группа</w:t>
      </w:r>
      <w:r>
        <w:rPr>
          <w:color w:val="231F20"/>
          <w:spacing w:val="-6"/>
          <w:sz w:val="20"/>
        </w:rPr>
        <w:t> </w:t>
      </w:r>
      <w:r>
        <w:rPr>
          <w:color w:val="231F20"/>
          <w:sz w:val="20"/>
        </w:rPr>
        <w:t>в</w:t>
      </w:r>
      <w:r>
        <w:rPr>
          <w:color w:val="231F20"/>
          <w:spacing w:val="-6"/>
          <w:sz w:val="20"/>
        </w:rPr>
        <w:t> </w:t>
      </w:r>
      <w:r>
        <w:rPr>
          <w:color w:val="231F20"/>
          <w:spacing w:val="-2"/>
          <w:sz w:val="20"/>
        </w:rPr>
        <w:t>классе;</w:t>
      </w:r>
    </w:p>
    <w:p>
      <w:pPr>
        <w:pStyle w:val="ListParagraph"/>
        <w:numPr>
          <w:ilvl w:val="0"/>
          <w:numId w:val="171"/>
        </w:numPr>
        <w:tabs>
          <w:tab w:pos="424" w:val="left" w:leader="none"/>
        </w:tabs>
        <w:spacing w:line="220" w:lineRule="exact" w:before="0" w:after="0"/>
        <w:ind w:left="424" w:right="0" w:hanging="283"/>
        <w:jc w:val="left"/>
        <w:rPr>
          <w:sz w:val="20"/>
        </w:rPr>
      </w:pPr>
      <w:r>
        <w:rPr>
          <w:color w:val="231F20"/>
          <w:sz w:val="20"/>
        </w:rPr>
        <w:t>индивидуального</w:t>
      </w:r>
      <w:r>
        <w:rPr>
          <w:color w:val="231F20"/>
          <w:spacing w:val="-8"/>
          <w:sz w:val="20"/>
        </w:rPr>
        <w:t> </w:t>
      </w:r>
      <w:r>
        <w:rPr>
          <w:color w:val="231F20"/>
          <w:sz w:val="20"/>
        </w:rPr>
        <w:t>вклада</w:t>
      </w:r>
      <w:r>
        <w:rPr>
          <w:color w:val="231F20"/>
          <w:spacing w:val="-5"/>
          <w:sz w:val="20"/>
        </w:rPr>
        <w:t> </w:t>
      </w:r>
      <w:r>
        <w:rPr>
          <w:color w:val="231F20"/>
          <w:sz w:val="20"/>
        </w:rPr>
        <w:t>учащегося</w:t>
      </w:r>
      <w:r>
        <w:rPr>
          <w:color w:val="231F20"/>
          <w:spacing w:val="-5"/>
          <w:sz w:val="20"/>
        </w:rPr>
        <w:t> </w:t>
      </w:r>
      <w:r>
        <w:rPr>
          <w:color w:val="231F20"/>
          <w:sz w:val="20"/>
        </w:rPr>
        <w:t>в</w:t>
      </w:r>
      <w:r>
        <w:rPr>
          <w:color w:val="231F20"/>
          <w:spacing w:val="-5"/>
          <w:sz w:val="20"/>
        </w:rPr>
        <w:t> </w:t>
      </w:r>
      <w:r>
        <w:rPr>
          <w:color w:val="231F20"/>
          <w:sz w:val="20"/>
        </w:rPr>
        <w:t>работу</w:t>
      </w:r>
      <w:r>
        <w:rPr>
          <w:color w:val="231F20"/>
          <w:spacing w:val="-5"/>
          <w:sz w:val="20"/>
        </w:rPr>
        <w:t> </w:t>
      </w:r>
      <w:r>
        <w:rPr>
          <w:color w:val="231F20"/>
          <w:sz w:val="20"/>
        </w:rPr>
        <w:t>его</w:t>
      </w:r>
      <w:r>
        <w:rPr>
          <w:color w:val="231F20"/>
          <w:spacing w:val="-5"/>
          <w:sz w:val="20"/>
        </w:rPr>
        <w:t> </w:t>
      </w:r>
      <w:r>
        <w:rPr>
          <w:color w:val="231F20"/>
          <w:spacing w:val="-2"/>
          <w:sz w:val="20"/>
        </w:rPr>
        <w:t>группы;</w:t>
      </w:r>
    </w:p>
    <w:p>
      <w:pPr>
        <w:pStyle w:val="ListParagraph"/>
        <w:numPr>
          <w:ilvl w:val="0"/>
          <w:numId w:val="171"/>
        </w:numPr>
        <w:tabs>
          <w:tab w:pos="424" w:val="left" w:leader="none"/>
        </w:tabs>
        <w:spacing w:line="220" w:lineRule="exact" w:before="0" w:after="0"/>
        <w:ind w:left="424" w:right="0" w:hanging="283"/>
        <w:jc w:val="left"/>
        <w:rPr>
          <w:sz w:val="20"/>
        </w:rPr>
      </w:pPr>
      <w:r>
        <w:rPr>
          <w:color w:val="231F20"/>
          <w:sz w:val="20"/>
        </w:rPr>
        <w:t>итогового</w:t>
      </w:r>
      <w:r>
        <w:rPr>
          <w:color w:val="231F20"/>
          <w:spacing w:val="-11"/>
          <w:sz w:val="20"/>
        </w:rPr>
        <w:t> </w:t>
      </w:r>
      <w:r>
        <w:rPr>
          <w:color w:val="231F20"/>
          <w:sz w:val="20"/>
        </w:rPr>
        <w:t>продукта</w:t>
      </w:r>
      <w:r>
        <w:rPr>
          <w:color w:val="231F20"/>
          <w:spacing w:val="-10"/>
          <w:sz w:val="20"/>
        </w:rPr>
        <w:t> </w:t>
      </w:r>
      <w:r>
        <w:rPr>
          <w:color w:val="231F20"/>
          <w:sz w:val="20"/>
        </w:rPr>
        <w:t>(материала),</w:t>
      </w:r>
      <w:r>
        <w:rPr>
          <w:color w:val="231F20"/>
          <w:spacing w:val="-11"/>
          <w:sz w:val="20"/>
        </w:rPr>
        <w:t> </w:t>
      </w:r>
      <w:r>
        <w:rPr>
          <w:color w:val="231F20"/>
          <w:sz w:val="20"/>
        </w:rPr>
        <w:t>разработанного</w:t>
      </w:r>
      <w:r>
        <w:rPr>
          <w:color w:val="231F20"/>
          <w:spacing w:val="-10"/>
          <w:sz w:val="20"/>
        </w:rPr>
        <w:t> </w:t>
      </w:r>
      <w:r>
        <w:rPr>
          <w:color w:val="231F20"/>
          <w:spacing w:val="-2"/>
          <w:sz w:val="20"/>
        </w:rPr>
        <w:t>учащимися.</w:t>
      </w:r>
    </w:p>
    <w:p>
      <w:pPr>
        <w:pStyle w:val="BodyText"/>
        <w:spacing w:line="230" w:lineRule="auto" w:before="3"/>
        <w:ind w:right="0"/>
        <w:jc w:val="left"/>
      </w:pPr>
      <w:r>
        <w:rPr>
          <w:color w:val="231F20"/>
        </w:rPr>
        <w:t>Среди</w:t>
      </w:r>
      <w:r>
        <w:rPr>
          <w:color w:val="231F20"/>
          <w:spacing w:val="-9"/>
        </w:rPr>
        <w:t> </w:t>
      </w:r>
      <w:r>
        <w:rPr>
          <w:color w:val="231F20"/>
        </w:rPr>
        <w:t>типичных</w:t>
      </w:r>
      <w:r>
        <w:rPr>
          <w:color w:val="231F20"/>
          <w:spacing w:val="-9"/>
        </w:rPr>
        <w:t> </w:t>
      </w:r>
      <w:r>
        <w:rPr>
          <w:color w:val="231F20"/>
        </w:rPr>
        <w:t>проблем,</w:t>
      </w:r>
      <w:r>
        <w:rPr>
          <w:color w:val="231F20"/>
          <w:spacing w:val="-10"/>
        </w:rPr>
        <w:t> </w:t>
      </w:r>
      <w:r>
        <w:rPr>
          <w:color w:val="231F20"/>
        </w:rPr>
        <w:t>с</w:t>
      </w:r>
      <w:r>
        <w:rPr>
          <w:color w:val="231F20"/>
          <w:spacing w:val="-9"/>
        </w:rPr>
        <w:t> </w:t>
      </w:r>
      <w:r>
        <w:rPr>
          <w:color w:val="231F20"/>
        </w:rPr>
        <w:t>которыми</w:t>
      </w:r>
      <w:r>
        <w:rPr>
          <w:color w:val="231F20"/>
          <w:spacing w:val="-9"/>
        </w:rPr>
        <w:t> </w:t>
      </w:r>
      <w:r>
        <w:rPr>
          <w:color w:val="231F20"/>
        </w:rPr>
        <w:t>учителям</w:t>
      </w:r>
      <w:r>
        <w:rPr>
          <w:color w:val="231F20"/>
          <w:spacing w:val="-10"/>
        </w:rPr>
        <w:t> </w:t>
      </w:r>
      <w:r>
        <w:rPr>
          <w:color w:val="231F20"/>
        </w:rPr>
        <w:t>приходится</w:t>
      </w:r>
      <w:r>
        <w:rPr>
          <w:color w:val="231F20"/>
          <w:spacing w:val="-9"/>
        </w:rPr>
        <w:t> </w:t>
      </w:r>
      <w:r>
        <w:rPr>
          <w:color w:val="231F20"/>
        </w:rPr>
        <w:t>сталкиваться</w:t>
      </w:r>
      <w:r>
        <w:rPr>
          <w:color w:val="231F20"/>
          <w:spacing w:val="-9"/>
        </w:rPr>
        <w:t> </w:t>
      </w:r>
      <w:r>
        <w:rPr>
          <w:color w:val="231F20"/>
        </w:rPr>
        <w:t>при</w:t>
      </w:r>
      <w:r>
        <w:rPr>
          <w:color w:val="231F20"/>
          <w:spacing w:val="-10"/>
        </w:rPr>
        <w:t> </w:t>
      </w:r>
      <w:r>
        <w:rPr>
          <w:color w:val="231F20"/>
        </w:rPr>
        <w:t>ис- пользовании обучения в сотрудничестве, является следующие:</w:t>
      </w:r>
    </w:p>
    <w:p>
      <w:pPr>
        <w:pStyle w:val="BodyText"/>
        <w:tabs>
          <w:tab w:pos="425" w:val="left" w:leader="none"/>
        </w:tabs>
        <w:spacing w:line="235" w:lineRule="auto"/>
        <w:ind w:left="425" w:right="140" w:hanging="284"/>
        <w:jc w:val="left"/>
      </w:pPr>
      <w:r>
        <w:rPr>
          <w:color w:val="231F20"/>
          <w:spacing w:val="-10"/>
        </w:rPr>
        <w:t>▫</w:t>
      </w:r>
      <w:r>
        <w:rPr>
          <w:color w:val="231F20"/>
        </w:rPr>
        <w:tab/>
        <w:t>неочевидность интуитивного умения учащихся разных возрастных групп эффек- тивно работать в группе;</w:t>
      </w:r>
    </w:p>
    <w:p>
      <w:pPr>
        <w:pStyle w:val="BodyText"/>
        <w:tabs>
          <w:tab w:pos="425" w:val="left" w:leader="none"/>
        </w:tabs>
        <w:spacing w:line="235" w:lineRule="auto"/>
        <w:ind w:left="425" w:hanging="284"/>
        <w:jc w:val="left"/>
      </w:pPr>
      <w:r>
        <w:rPr>
          <w:color w:val="231F20"/>
          <w:spacing w:val="-10"/>
        </w:rPr>
        <w:t>▫</w:t>
      </w:r>
      <w:r>
        <w:rPr>
          <w:color w:val="231F20"/>
        </w:rPr>
        <w:tab/>
      </w:r>
      <w:r>
        <w:rPr>
          <w:color w:val="231F20"/>
          <w:spacing w:val="-4"/>
        </w:rPr>
        <w:t>неочевидность</w:t>
      </w:r>
      <w:r>
        <w:rPr>
          <w:color w:val="231F20"/>
          <w:spacing w:val="-10"/>
        </w:rPr>
        <w:t> </w:t>
      </w:r>
      <w:r>
        <w:rPr>
          <w:color w:val="231F20"/>
          <w:spacing w:val="-4"/>
        </w:rPr>
        <w:t>критериев</w:t>
      </w:r>
      <w:r>
        <w:rPr>
          <w:color w:val="231F20"/>
          <w:spacing w:val="-10"/>
        </w:rPr>
        <w:t> </w:t>
      </w:r>
      <w:r>
        <w:rPr>
          <w:color w:val="231F20"/>
          <w:spacing w:val="-4"/>
        </w:rPr>
        <w:t>формирования</w:t>
      </w:r>
      <w:r>
        <w:rPr>
          <w:color w:val="231F20"/>
          <w:spacing w:val="-10"/>
        </w:rPr>
        <w:t> </w:t>
      </w:r>
      <w:r>
        <w:rPr>
          <w:color w:val="231F20"/>
          <w:spacing w:val="-4"/>
        </w:rPr>
        <w:t>эффективно</w:t>
      </w:r>
      <w:r>
        <w:rPr>
          <w:color w:val="231F20"/>
          <w:spacing w:val="-10"/>
        </w:rPr>
        <w:t> </w:t>
      </w:r>
      <w:r>
        <w:rPr>
          <w:color w:val="231F20"/>
          <w:spacing w:val="-4"/>
        </w:rPr>
        <w:t>работающих</w:t>
      </w:r>
      <w:r>
        <w:rPr>
          <w:color w:val="231F20"/>
          <w:spacing w:val="-10"/>
        </w:rPr>
        <w:t> </w:t>
      </w:r>
      <w:r>
        <w:rPr>
          <w:color w:val="231F20"/>
          <w:spacing w:val="-4"/>
        </w:rPr>
        <w:t>групп</w:t>
      </w:r>
      <w:r>
        <w:rPr>
          <w:color w:val="231F20"/>
          <w:spacing w:val="-10"/>
        </w:rPr>
        <w:t> </w:t>
      </w:r>
      <w:r>
        <w:rPr>
          <w:color w:val="231F20"/>
          <w:spacing w:val="-4"/>
        </w:rPr>
        <w:t>(все</w:t>
      </w:r>
      <w:r>
        <w:rPr>
          <w:color w:val="231F20"/>
          <w:spacing w:val="-10"/>
        </w:rPr>
        <w:t> </w:t>
      </w:r>
      <w:r>
        <w:rPr>
          <w:color w:val="231F20"/>
          <w:spacing w:val="-4"/>
        </w:rPr>
        <w:t>учащи- </w:t>
      </w:r>
      <w:r>
        <w:rPr>
          <w:color w:val="231F20"/>
        </w:rPr>
        <w:t>еся</w:t>
      </w:r>
      <w:r>
        <w:rPr>
          <w:color w:val="231F20"/>
          <w:spacing w:val="-11"/>
        </w:rPr>
        <w:t> </w:t>
      </w:r>
      <w:r>
        <w:rPr>
          <w:color w:val="231F20"/>
        </w:rPr>
        <w:t>одной</w:t>
      </w:r>
      <w:r>
        <w:rPr>
          <w:color w:val="231F20"/>
          <w:spacing w:val="-11"/>
        </w:rPr>
        <w:t> </w:t>
      </w:r>
      <w:r>
        <w:rPr>
          <w:color w:val="231F20"/>
        </w:rPr>
        <w:t>успеваемости,</w:t>
      </w:r>
      <w:r>
        <w:rPr>
          <w:color w:val="231F20"/>
          <w:spacing w:val="-11"/>
        </w:rPr>
        <w:t> </w:t>
      </w:r>
      <w:r>
        <w:rPr>
          <w:color w:val="231F20"/>
        </w:rPr>
        <w:t>слабые</w:t>
      </w:r>
      <w:r>
        <w:rPr>
          <w:color w:val="231F20"/>
          <w:spacing w:val="-11"/>
        </w:rPr>
        <w:t> </w:t>
      </w:r>
      <w:r>
        <w:rPr>
          <w:color w:val="231F20"/>
        </w:rPr>
        <w:t>и</w:t>
      </w:r>
      <w:r>
        <w:rPr>
          <w:color w:val="231F20"/>
          <w:spacing w:val="-11"/>
        </w:rPr>
        <w:t> </w:t>
      </w:r>
      <w:r>
        <w:rPr>
          <w:color w:val="231F20"/>
        </w:rPr>
        <w:t>сильные</w:t>
      </w:r>
      <w:r>
        <w:rPr>
          <w:color w:val="231F20"/>
          <w:spacing w:val="-11"/>
        </w:rPr>
        <w:t> </w:t>
      </w:r>
      <w:r>
        <w:rPr>
          <w:color w:val="231F20"/>
        </w:rPr>
        <w:t>по</w:t>
      </w:r>
      <w:r>
        <w:rPr>
          <w:color w:val="231F20"/>
          <w:spacing w:val="-11"/>
        </w:rPr>
        <w:t> </w:t>
      </w:r>
      <w:r>
        <w:rPr>
          <w:color w:val="231F20"/>
        </w:rPr>
        <w:t>успеваемости</w:t>
      </w:r>
      <w:r>
        <w:rPr>
          <w:color w:val="231F20"/>
          <w:spacing w:val="-11"/>
        </w:rPr>
        <w:t> </w:t>
      </w:r>
      <w:r>
        <w:rPr>
          <w:color w:val="231F20"/>
        </w:rPr>
        <w:t>в</w:t>
      </w:r>
      <w:r>
        <w:rPr>
          <w:color w:val="231F20"/>
          <w:spacing w:val="-11"/>
        </w:rPr>
        <w:t> </w:t>
      </w:r>
      <w:r>
        <w:rPr>
          <w:color w:val="231F20"/>
        </w:rPr>
        <w:t>одной</w:t>
      </w:r>
      <w:r>
        <w:rPr>
          <w:color w:val="231F20"/>
          <w:spacing w:val="-11"/>
        </w:rPr>
        <w:t> </w:t>
      </w:r>
      <w:r>
        <w:rPr>
          <w:color w:val="231F20"/>
        </w:rPr>
        <w:t>группе</w:t>
      </w:r>
      <w:r>
        <w:rPr>
          <w:color w:val="231F20"/>
          <w:spacing w:val="-11"/>
        </w:rPr>
        <w:t> </w:t>
      </w:r>
      <w:r>
        <w:rPr>
          <w:color w:val="231F20"/>
        </w:rPr>
        <w:t>и</w:t>
      </w:r>
      <w:r>
        <w:rPr>
          <w:color w:val="231F20"/>
          <w:spacing w:val="-11"/>
        </w:rPr>
        <w:t> </w:t>
      </w:r>
      <w:r>
        <w:rPr>
          <w:color w:val="231F20"/>
        </w:rPr>
        <w:t>др.);</w:t>
      </w:r>
    </w:p>
    <w:p>
      <w:pPr>
        <w:pStyle w:val="BodyText"/>
        <w:spacing w:after="0" w:line="235" w:lineRule="auto"/>
        <w:jc w:val="left"/>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tabs>
          <w:tab w:pos="425" w:val="left" w:leader="none"/>
        </w:tabs>
        <w:spacing w:line="235" w:lineRule="auto" w:before="116"/>
        <w:ind w:left="425" w:right="140" w:hanging="284"/>
        <w:jc w:val="left"/>
      </w:pPr>
      <w:r>
        <w:rPr>
          <w:color w:val="231F20"/>
          <w:spacing w:val="-10"/>
        </w:rPr>
        <w:t>▫</w:t>
      </w:r>
      <w:r>
        <w:rPr>
          <w:color w:val="231F20"/>
        </w:rPr>
        <w:tab/>
        <w:t>формирование учебных групп в классах с билингвальными учащимися или в по- ликультурных классах;</w:t>
      </w:r>
    </w:p>
    <w:p>
      <w:pPr>
        <w:pStyle w:val="BodyText"/>
        <w:tabs>
          <w:tab w:pos="425" w:val="left" w:leader="none"/>
        </w:tabs>
        <w:spacing w:line="235" w:lineRule="auto" w:before="1"/>
        <w:ind w:left="425" w:right="140" w:hanging="284"/>
        <w:jc w:val="left"/>
      </w:pPr>
      <w:r>
        <w:rPr>
          <w:color w:val="231F20"/>
          <w:spacing w:val="-10"/>
        </w:rPr>
        <w:t>▫</w:t>
      </w:r>
      <w:r>
        <w:rPr>
          <w:color w:val="231F20"/>
        </w:rPr>
        <w:tab/>
        <w:t>необходимость выработки норм и правил участия в групповой учебной деятель- ности, ведения дискуссий, презентаций результатов и др.;</w:t>
      </w:r>
    </w:p>
    <w:p>
      <w:pPr>
        <w:pStyle w:val="BodyText"/>
        <w:tabs>
          <w:tab w:pos="425" w:val="left" w:leader="none"/>
        </w:tabs>
        <w:spacing w:line="235" w:lineRule="auto" w:before="1"/>
        <w:ind w:left="425" w:right="140" w:hanging="284"/>
        <w:jc w:val="left"/>
      </w:pPr>
      <w:r>
        <w:rPr>
          <w:color w:val="231F20"/>
          <w:spacing w:val="-10"/>
        </w:rPr>
        <w:t>▫</w:t>
      </w:r>
      <w:r>
        <w:rPr>
          <w:color w:val="231F20"/>
        </w:rPr>
        <w:tab/>
        <w:t>объективная</w:t>
      </w:r>
      <w:r>
        <w:rPr>
          <w:color w:val="231F20"/>
          <w:spacing w:val="-12"/>
        </w:rPr>
        <w:t> </w:t>
      </w:r>
      <w:r>
        <w:rPr>
          <w:color w:val="231F20"/>
        </w:rPr>
        <w:t>оценка</w:t>
      </w:r>
      <w:r>
        <w:rPr>
          <w:color w:val="231F20"/>
          <w:spacing w:val="-12"/>
        </w:rPr>
        <w:t> </w:t>
      </w:r>
      <w:r>
        <w:rPr>
          <w:color w:val="231F20"/>
        </w:rPr>
        <w:t>деятельности</w:t>
      </w:r>
      <w:r>
        <w:rPr>
          <w:color w:val="231F20"/>
          <w:spacing w:val="-12"/>
        </w:rPr>
        <w:t> </w:t>
      </w:r>
      <w:r>
        <w:rPr>
          <w:color w:val="231F20"/>
        </w:rPr>
        <w:t>учебных</w:t>
      </w:r>
      <w:r>
        <w:rPr>
          <w:color w:val="231F20"/>
          <w:spacing w:val="-12"/>
        </w:rPr>
        <w:t> </w:t>
      </w:r>
      <w:r>
        <w:rPr>
          <w:color w:val="231F20"/>
        </w:rPr>
        <w:t>групп</w:t>
      </w:r>
      <w:r>
        <w:rPr>
          <w:color w:val="231F20"/>
          <w:spacing w:val="-12"/>
        </w:rPr>
        <w:t> </w:t>
      </w:r>
      <w:r>
        <w:rPr>
          <w:color w:val="231F20"/>
        </w:rPr>
        <w:t>сотрудничества</w:t>
      </w:r>
      <w:r>
        <w:rPr>
          <w:color w:val="231F20"/>
          <w:spacing w:val="-12"/>
        </w:rPr>
        <w:t> </w:t>
      </w:r>
      <w:r>
        <w:rPr>
          <w:color w:val="231F20"/>
        </w:rPr>
        <w:t>и</w:t>
      </w:r>
      <w:r>
        <w:rPr>
          <w:color w:val="231F20"/>
          <w:spacing w:val="-12"/>
        </w:rPr>
        <w:t> </w:t>
      </w:r>
      <w:r>
        <w:rPr>
          <w:color w:val="231F20"/>
        </w:rPr>
        <w:t>вклада</w:t>
      </w:r>
      <w:r>
        <w:rPr>
          <w:color w:val="231F20"/>
          <w:spacing w:val="-12"/>
        </w:rPr>
        <w:t> </w:t>
      </w:r>
      <w:r>
        <w:rPr>
          <w:color w:val="231F20"/>
        </w:rPr>
        <w:t>каждо- го учащегося в общий результат и пр.</w:t>
      </w:r>
    </w:p>
    <w:p>
      <w:pPr>
        <w:pStyle w:val="BodyText"/>
        <w:spacing w:line="235" w:lineRule="auto" w:before="1"/>
        <w:ind w:right="0"/>
        <w:jc w:val="left"/>
      </w:pPr>
      <w:r>
        <w:rPr>
          <w:color w:val="231F20"/>
        </w:rPr>
        <w:t>Подготовка</w:t>
      </w:r>
      <w:r>
        <w:rPr>
          <w:color w:val="231F20"/>
          <w:spacing w:val="-2"/>
        </w:rPr>
        <w:t> </w:t>
      </w:r>
      <w:r>
        <w:rPr>
          <w:color w:val="231F20"/>
        </w:rPr>
        <w:t>и</w:t>
      </w:r>
      <w:r>
        <w:rPr>
          <w:color w:val="231F20"/>
          <w:spacing w:val="-2"/>
        </w:rPr>
        <w:t> </w:t>
      </w:r>
      <w:r>
        <w:rPr>
          <w:color w:val="231F20"/>
        </w:rPr>
        <w:t>проведение</w:t>
      </w:r>
      <w:r>
        <w:rPr>
          <w:color w:val="231F20"/>
          <w:spacing w:val="-2"/>
        </w:rPr>
        <w:t> </w:t>
      </w:r>
      <w:r>
        <w:rPr>
          <w:color w:val="231F20"/>
        </w:rPr>
        <w:t>уроков</w:t>
      </w:r>
      <w:r>
        <w:rPr>
          <w:color w:val="231F20"/>
          <w:spacing w:val="-2"/>
        </w:rPr>
        <w:t> </w:t>
      </w:r>
      <w:r>
        <w:rPr>
          <w:color w:val="231F20"/>
        </w:rPr>
        <w:t>по</w:t>
      </w:r>
      <w:r>
        <w:rPr>
          <w:color w:val="231F20"/>
          <w:spacing w:val="-2"/>
        </w:rPr>
        <w:t> </w:t>
      </w:r>
      <w:r>
        <w:rPr>
          <w:color w:val="231F20"/>
        </w:rPr>
        <w:t>технологии</w:t>
      </w:r>
      <w:r>
        <w:rPr>
          <w:color w:val="231F20"/>
          <w:spacing w:val="-2"/>
        </w:rPr>
        <w:t> </w:t>
      </w:r>
      <w:r>
        <w:rPr>
          <w:color w:val="231F20"/>
        </w:rPr>
        <w:t>обучения</w:t>
      </w:r>
      <w:r>
        <w:rPr>
          <w:color w:val="231F20"/>
          <w:spacing w:val="-2"/>
        </w:rPr>
        <w:t> </w:t>
      </w:r>
      <w:r>
        <w:rPr>
          <w:color w:val="231F20"/>
        </w:rPr>
        <w:t>в</w:t>
      </w:r>
      <w:r>
        <w:rPr>
          <w:color w:val="231F20"/>
          <w:spacing w:val="-2"/>
        </w:rPr>
        <w:t> </w:t>
      </w:r>
      <w:r>
        <w:rPr>
          <w:color w:val="231F20"/>
        </w:rPr>
        <w:t>сотрудничестве</w:t>
      </w:r>
      <w:r>
        <w:rPr>
          <w:color w:val="231F20"/>
          <w:spacing w:val="-2"/>
        </w:rPr>
        <w:t> </w:t>
      </w:r>
      <w:r>
        <w:rPr>
          <w:color w:val="231F20"/>
        </w:rPr>
        <w:t>в</w:t>
      </w:r>
      <w:r>
        <w:rPr>
          <w:color w:val="231F20"/>
          <w:spacing w:val="-2"/>
        </w:rPr>
        <w:t> </w:t>
      </w:r>
      <w:r>
        <w:rPr>
          <w:color w:val="231F20"/>
        </w:rPr>
        <w:t>по- ликультурных классах может быть также осложнена следующим:</w:t>
      </w:r>
    </w:p>
    <w:p>
      <w:pPr>
        <w:pStyle w:val="BodyText"/>
        <w:spacing w:line="235" w:lineRule="auto" w:before="2"/>
        <w:ind w:left="425" w:hanging="284"/>
      </w:pPr>
      <w:r>
        <w:rPr>
          <w:color w:val="231F20"/>
        </w:rPr>
        <w:t>▫</w:t>
      </w:r>
      <w:r>
        <w:rPr>
          <w:color w:val="231F20"/>
          <w:spacing w:val="80"/>
          <w:w w:val="150"/>
        </w:rPr>
        <w:t> </w:t>
      </w:r>
      <w:r>
        <w:rPr>
          <w:color w:val="231F20"/>
        </w:rPr>
        <w:t>учащиеся</w:t>
      </w:r>
      <w:r>
        <w:rPr>
          <w:color w:val="231F20"/>
          <w:spacing w:val="-12"/>
        </w:rPr>
        <w:t> </w:t>
      </w:r>
      <w:r>
        <w:rPr>
          <w:color w:val="231F20"/>
        </w:rPr>
        <w:t>не</w:t>
      </w:r>
      <w:r>
        <w:rPr>
          <w:color w:val="231F20"/>
          <w:spacing w:val="-11"/>
        </w:rPr>
        <w:t> </w:t>
      </w:r>
      <w:r>
        <w:rPr>
          <w:color w:val="231F20"/>
        </w:rPr>
        <w:t>имели</w:t>
      </w:r>
      <w:r>
        <w:rPr>
          <w:color w:val="231F20"/>
          <w:spacing w:val="-12"/>
        </w:rPr>
        <w:t> </w:t>
      </w:r>
      <w:r>
        <w:rPr>
          <w:color w:val="231F20"/>
        </w:rPr>
        <w:t>ранее</w:t>
      </w:r>
      <w:r>
        <w:rPr>
          <w:color w:val="231F20"/>
          <w:spacing w:val="-11"/>
        </w:rPr>
        <w:t> </w:t>
      </w:r>
      <w:r>
        <w:rPr>
          <w:color w:val="231F20"/>
        </w:rPr>
        <w:t>опыта</w:t>
      </w:r>
      <w:r>
        <w:rPr>
          <w:color w:val="231F20"/>
          <w:spacing w:val="-11"/>
        </w:rPr>
        <w:t> </w:t>
      </w:r>
      <w:r>
        <w:rPr>
          <w:color w:val="231F20"/>
        </w:rPr>
        <w:t>учебной</w:t>
      </w:r>
      <w:r>
        <w:rPr>
          <w:color w:val="231F20"/>
          <w:spacing w:val="-12"/>
        </w:rPr>
        <w:t> </w:t>
      </w:r>
      <w:r>
        <w:rPr>
          <w:color w:val="231F20"/>
        </w:rPr>
        <w:t>деятельности</w:t>
      </w:r>
      <w:r>
        <w:rPr>
          <w:color w:val="231F20"/>
          <w:spacing w:val="-12"/>
        </w:rPr>
        <w:t> </w:t>
      </w:r>
      <w:r>
        <w:rPr>
          <w:color w:val="231F20"/>
        </w:rPr>
        <w:t>в</w:t>
      </w:r>
      <w:r>
        <w:rPr>
          <w:color w:val="231F20"/>
          <w:spacing w:val="-12"/>
        </w:rPr>
        <w:t> </w:t>
      </w:r>
      <w:r>
        <w:rPr>
          <w:color w:val="231F20"/>
        </w:rPr>
        <w:t>малых</w:t>
      </w:r>
      <w:r>
        <w:rPr>
          <w:color w:val="231F20"/>
          <w:spacing w:val="-11"/>
        </w:rPr>
        <w:t> </w:t>
      </w:r>
      <w:r>
        <w:rPr>
          <w:color w:val="231F20"/>
        </w:rPr>
        <w:t>группах</w:t>
      </w:r>
      <w:r>
        <w:rPr>
          <w:color w:val="231F20"/>
          <w:spacing w:val="-11"/>
        </w:rPr>
        <w:t> </w:t>
      </w:r>
      <w:r>
        <w:rPr>
          <w:color w:val="231F20"/>
        </w:rPr>
        <w:t>сотрудни- </w:t>
      </w:r>
      <w:r>
        <w:rPr>
          <w:color w:val="231F20"/>
          <w:spacing w:val="-2"/>
        </w:rPr>
        <w:t>чества;</w:t>
      </w:r>
    </w:p>
    <w:p>
      <w:pPr>
        <w:pStyle w:val="BodyText"/>
        <w:spacing w:line="235" w:lineRule="auto" w:before="1"/>
        <w:ind w:left="425" w:right="140" w:hanging="284"/>
      </w:pPr>
      <w:r>
        <w:rPr>
          <w:color w:val="231F20"/>
        </w:rPr>
        <w:t>▫</w:t>
      </w:r>
      <w:r>
        <w:rPr>
          <w:color w:val="231F20"/>
          <w:spacing w:val="80"/>
        </w:rPr>
        <w:t> </w:t>
      </w:r>
      <w:r>
        <w:rPr>
          <w:color w:val="231F20"/>
        </w:rPr>
        <w:t>учитель излишне авторитарен и не дает учащимся проявить самостоятельность, продолжая жестко контролировать процесс обучения;</w:t>
      </w:r>
    </w:p>
    <w:p>
      <w:pPr>
        <w:pStyle w:val="BodyText"/>
        <w:spacing w:line="235" w:lineRule="auto" w:before="1"/>
        <w:ind w:left="425" w:hanging="284"/>
      </w:pPr>
      <w:r>
        <w:rPr>
          <w:color w:val="231F20"/>
        </w:rPr>
        <w:t>▫</w:t>
      </w:r>
      <w:r>
        <w:rPr>
          <w:color w:val="231F20"/>
          <w:spacing w:val="80"/>
        </w:rPr>
        <w:t> </w:t>
      </w:r>
      <w:r>
        <w:rPr>
          <w:color w:val="231F20"/>
        </w:rPr>
        <w:t>учитель не имеет необходимой компетенции для разработки учебных и диагно- стических материалов при организации обучения в сотрудничестве;</w:t>
      </w:r>
    </w:p>
    <w:p>
      <w:pPr>
        <w:pStyle w:val="BodyText"/>
        <w:spacing w:line="235" w:lineRule="auto" w:before="1"/>
        <w:ind w:left="425" w:hanging="284"/>
      </w:pPr>
      <w:r>
        <w:rPr>
          <w:color w:val="231F20"/>
        </w:rPr>
        <w:t>▫</w:t>
      </w:r>
      <w:r>
        <w:rPr>
          <w:color w:val="231F20"/>
          <w:spacing w:val="80"/>
        </w:rPr>
        <w:t> </w:t>
      </w:r>
      <w:r>
        <w:rPr>
          <w:color w:val="231F20"/>
        </w:rPr>
        <w:t>проведение уроков по технологии обучения в сотрудничестве планируется в по- ликультурных</w:t>
      </w:r>
      <w:r>
        <w:rPr>
          <w:color w:val="231F20"/>
          <w:spacing w:val="-7"/>
        </w:rPr>
        <w:t> </w:t>
      </w:r>
      <w:r>
        <w:rPr>
          <w:color w:val="231F20"/>
        </w:rPr>
        <w:t>классах</w:t>
      </w:r>
      <w:r>
        <w:rPr>
          <w:color w:val="231F20"/>
          <w:spacing w:val="-7"/>
        </w:rPr>
        <w:t> </w:t>
      </w:r>
      <w:r>
        <w:rPr>
          <w:color w:val="231F20"/>
        </w:rPr>
        <w:t>и/или</w:t>
      </w:r>
      <w:r>
        <w:rPr>
          <w:color w:val="231F20"/>
          <w:spacing w:val="-7"/>
        </w:rPr>
        <w:t> </w:t>
      </w:r>
      <w:r>
        <w:rPr>
          <w:color w:val="231F20"/>
        </w:rPr>
        <w:t>классах</w:t>
      </w:r>
      <w:r>
        <w:rPr>
          <w:color w:val="231F20"/>
          <w:spacing w:val="-7"/>
        </w:rPr>
        <w:t> </w:t>
      </w:r>
      <w:r>
        <w:rPr>
          <w:color w:val="231F20"/>
        </w:rPr>
        <w:t>с</w:t>
      </w:r>
      <w:r>
        <w:rPr>
          <w:color w:val="231F20"/>
          <w:spacing w:val="-7"/>
        </w:rPr>
        <w:t> </w:t>
      </w:r>
      <w:r>
        <w:rPr>
          <w:color w:val="231F20"/>
        </w:rPr>
        <w:t>большими</w:t>
      </w:r>
      <w:r>
        <w:rPr>
          <w:color w:val="231F20"/>
          <w:spacing w:val="-7"/>
        </w:rPr>
        <w:t> </w:t>
      </w:r>
      <w:r>
        <w:rPr>
          <w:color w:val="231F20"/>
        </w:rPr>
        <w:t>социокультурными</w:t>
      </w:r>
      <w:r>
        <w:rPr>
          <w:color w:val="231F20"/>
          <w:spacing w:val="-7"/>
        </w:rPr>
        <w:t> </w:t>
      </w:r>
      <w:r>
        <w:rPr>
          <w:color w:val="231F20"/>
        </w:rPr>
        <w:t>различиями между учащимися;</w:t>
      </w:r>
    </w:p>
    <w:p>
      <w:pPr>
        <w:pStyle w:val="BodyText"/>
        <w:spacing w:line="235" w:lineRule="auto" w:before="2"/>
        <w:ind w:left="425" w:hanging="284"/>
      </w:pPr>
      <w:r>
        <w:rPr>
          <w:color w:val="231F20"/>
        </w:rPr>
        <w:t>▫</w:t>
      </w:r>
      <w:r>
        <w:rPr>
          <w:color w:val="231F20"/>
          <w:spacing w:val="80"/>
        </w:rPr>
        <w:t> </w:t>
      </w:r>
      <w:r>
        <w:rPr>
          <w:color w:val="231F20"/>
        </w:rPr>
        <w:t>проведение</w:t>
      </w:r>
      <w:r>
        <w:rPr>
          <w:color w:val="231F20"/>
          <w:spacing w:val="-9"/>
        </w:rPr>
        <w:t> </w:t>
      </w:r>
      <w:r>
        <w:rPr>
          <w:color w:val="231F20"/>
        </w:rPr>
        <w:t>уроков</w:t>
      </w:r>
      <w:r>
        <w:rPr>
          <w:color w:val="231F20"/>
          <w:spacing w:val="-9"/>
        </w:rPr>
        <w:t> </w:t>
      </w:r>
      <w:r>
        <w:rPr>
          <w:color w:val="231F20"/>
        </w:rPr>
        <w:t>по</w:t>
      </w:r>
      <w:r>
        <w:rPr>
          <w:color w:val="231F20"/>
          <w:spacing w:val="-9"/>
        </w:rPr>
        <w:t> </w:t>
      </w:r>
      <w:r>
        <w:rPr>
          <w:color w:val="231F20"/>
        </w:rPr>
        <w:t>технологии</w:t>
      </w:r>
      <w:r>
        <w:rPr>
          <w:color w:val="231F20"/>
          <w:spacing w:val="-9"/>
        </w:rPr>
        <w:t> </w:t>
      </w:r>
      <w:r>
        <w:rPr>
          <w:color w:val="231F20"/>
        </w:rPr>
        <w:t>обучения</w:t>
      </w:r>
      <w:r>
        <w:rPr>
          <w:color w:val="231F20"/>
          <w:spacing w:val="-9"/>
        </w:rPr>
        <w:t> </w:t>
      </w:r>
      <w:r>
        <w:rPr>
          <w:color w:val="231F20"/>
        </w:rPr>
        <w:t>в</w:t>
      </w:r>
      <w:r>
        <w:rPr>
          <w:color w:val="231F20"/>
          <w:spacing w:val="-9"/>
        </w:rPr>
        <w:t> </w:t>
      </w:r>
      <w:r>
        <w:rPr>
          <w:color w:val="231F20"/>
        </w:rPr>
        <w:t>сотрудничестве</w:t>
      </w:r>
      <w:r>
        <w:rPr>
          <w:color w:val="231F20"/>
          <w:spacing w:val="-9"/>
        </w:rPr>
        <w:t> </w:t>
      </w:r>
      <w:r>
        <w:rPr>
          <w:color w:val="231F20"/>
        </w:rPr>
        <w:t>планируется</w:t>
      </w:r>
      <w:r>
        <w:rPr>
          <w:color w:val="231F20"/>
          <w:spacing w:val="-9"/>
        </w:rPr>
        <w:t> </w:t>
      </w:r>
      <w:r>
        <w:rPr>
          <w:color w:val="231F20"/>
        </w:rPr>
        <w:t>в</w:t>
      </w:r>
      <w:r>
        <w:rPr>
          <w:color w:val="231F20"/>
          <w:spacing w:val="-9"/>
        </w:rPr>
        <w:t> </w:t>
      </w:r>
      <w:r>
        <w:rPr>
          <w:color w:val="231F20"/>
        </w:rPr>
        <w:t>клас- сах с межличностными конфликтами, ситуациями организованной травли (бул- линга) и др.</w:t>
      </w:r>
    </w:p>
    <w:p>
      <w:pPr>
        <w:pStyle w:val="BodyText"/>
        <w:spacing w:line="235" w:lineRule="auto" w:before="2"/>
      </w:pPr>
      <w:r>
        <w:rPr>
          <w:color w:val="231F20"/>
        </w:rPr>
        <w:t>Все эти проблемы являются преодолимыми, и, более того, обучение в группах сотрудничества в поликультурных классах может не только привести к повышению уровня</w:t>
      </w:r>
      <w:r>
        <w:rPr>
          <w:color w:val="231F20"/>
          <w:spacing w:val="-1"/>
        </w:rPr>
        <w:t> </w:t>
      </w:r>
      <w:r>
        <w:rPr>
          <w:color w:val="231F20"/>
        </w:rPr>
        <w:t>обученности</w:t>
      </w:r>
      <w:r>
        <w:rPr>
          <w:color w:val="231F20"/>
          <w:spacing w:val="-1"/>
        </w:rPr>
        <w:t> </w:t>
      </w:r>
      <w:r>
        <w:rPr>
          <w:color w:val="231F20"/>
        </w:rPr>
        <w:t>учащихся</w:t>
      </w:r>
      <w:r>
        <w:rPr>
          <w:color w:val="231F20"/>
          <w:spacing w:val="-1"/>
        </w:rPr>
        <w:t> </w:t>
      </w:r>
      <w:r>
        <w:rPr>
          <w:color w:val="231F20"/>
        </w:rPr>
        <w:t>по</w:t>
      </w:r>
      <w:r>
        <w:rPr>
          <w:color w:val="231F20"/>
          <w:spacing w:val="-1"/>
        </w:rPr>
        <w:t> </w:t>
      </w:r>
      <w:r>
        <w:rPr>
          <w:color w:val="231F20"/>
        </w:rPr>
        <w:t>предмету,</w:t>
      </w:r>
      <w:r>
        <w:rPr>
          <w:color w:val="231F20"/>
          <w:spacing w:val="-1"/>
        </w:rPr>
        <w:t> </w:t>
      </w:r>
      <w:r>
        <w:rPr>
          <w:color w:val="231F20"/>
        </w:rPr>
        <w:t>формированию</w:t>
      </w:r>
      <w:r>
        <w:rPr>
          <w:color w:val="231F20"/>
          <w:spacing w:val="-1"/>
        </w:rPr>
        <w:t> </w:t>
      </w:r>
      <w:r>
        <w:rPr>
          <w:color w:val="231F20"/>
        </w:rPr>
        <w:t>современных</w:t>
      </w:r>
      <w:r>
        <w:rPr>
          <w:color w:val="231F20"/>
          <w:spacing w:val="-1"/>
        </w:rPr>
        <w:t> </w:t>
      </w:r>
      <w:r>
        <w:rPr>
          <w:color w:val="231F20"/>
        </w:rPr>
        <w:t>компетен- ций</w:t>
      </w:r>
      <w:r>
        <w:rPr>
          <w:color w:val="231F20"/>
          <w:spacing w:val="-13"/>
        </w:rPr>
        <w:t> </w:t>
      </w:r>
      <w:r>
        <w:rPr>
          <w:color w:val="231F20"/>
        </w:rPr>
        <w:t>и</w:t>
      </w:r>
      <w:r>
        <w:rPr>
          <w:color w:val="231F20"/>
          <w:spacing w:val="-12"/>
        </w:rPr>
        <w:t> </w:t>
      </w:r>
      <w:r>
        <w:rPr>
          <w:color w:val="231F20"/>
        </w:rPr>
        <w:t>навыков</w:t>
      </w:r>
      <w:r>
        <w:rPr>
          <w:color w:val="231F20"/>
          <w:spacing w:val="-13"/>
        </w:rPr>
        <w:t> </w:t>
      </w:r>
      <w:r>
        <w:rPr>
          <w:color w:val="231F20"/>
        </w:rPr>
        <w:t>21-го</w:t>
      </w:r>
      <w:r>
        <w:rPr>
          <w:color w:val="231F20"/>
          <w:spacing w:val="-12"/>
        </w:rPr>
        <w:t> </w:t>
      </w:r>
      <w:r>
        <w:rPr>
          <w:color w:val="231F20"/>
        </w:rPr>
        <w:t>века,</w:t>
      </w:r>
      <w:r>
        <w:rPr>
          <w:color w:val="231F20"/>
          <w:spacing w:val="-13"/>
        </w:rPr>
        <w:t> </w:t>
      </w:r>
      <w:r>
        <w:rPr>
          <w:color w:val="231F20"/>
        </w:rPr>
        <w:t>но</w:t>
      </w:r>
      <w:r>
        <w:rPr>
          <w:color w:val="231F20"/>
          <w:spacing w:val="-12"/>
        </w:rPr>
        <w:t> </w:t>
      </w:r>
      <w:r>
        <w:rPr>
          <w:color w:val="231F20"/>
        </w:rPr>
        <w:t>и</w:t>
      </w:r>
      <w:r>
        <w:rPr>
          <w:color w:val="231F20"/>
          <w:spacing w:val="-13"/>
        </w:rPr>
        <w:t> </w:t>
      </w:r>
      <w:r>
        <w:rPr>
          <w:color w:val="231F20"/>
        </w:rPr>
        <w:t>улучшить</w:t>
      </w:r>
      <w:r>
        <w:rPr>
          <w:color w:val="231F20"/>
          <w:spacing w:val="-12"/>
        </w:rPr>
        <w:t> </w:t>
      </w:r>
      <w:r>
        <w:rPr>
          <w:color w:val="231F20"/>
        </w:rPr>
        <w:t>психологический</w:t>
      </w:r>
      <w:r>
        <w:rPr>
          <w:color w:val="231F20"/>
          <w:spacing w:val="-13"/>
        </w:rPr>
        <w:t> </w:t>
      </w:r>
      <w:r>
        <w:rPr>
          <w:color w:val="231F20"/>
        </w:rPr>
        <w:t>климат</w:t>
      </w:r>
      <w:r>
        <w:rPr>
          <w:color w:val="231F20"/>
          <w:spacing w:val="-12"/>
        </w:rPr>
        <w:t> </w:t>
      </w:r>
      <w:r>
        <w:rPr>
          <w:color w:val="231F20"/>
        </w:rPr>
        <w:t>на</w:t>
      </w:r>
      <w:r>
        <w:rPr>
          <w:color w:val="231F20"/>
          <w:spacing w:val="-13"/>
        </w:rPr>
        <w:t> </w:t>
      </w:r>
      <w:r>
        <w:rPr>
          <w:color w:val="231F20"/>
        </w:rPr>
        <w:t>уроке</w:t>
      </w:r>
      <w:r>
        <w:rPr>
          <w:color w:val="231F20"/>
          <w:spacing w:val="-12"/>
        </w:rPr>
        <w:t> </w:t>
      </w:r>
      <w:r>
        <w:rPr>
          <w:color w:val="231F20"/>
        </w:rPr>
        <w:t>и</w:t>
      </w:r>
      <w:r>
        <w:rPr>
          <w:color w:val="231F20"/>
          <w:spacing w:val="-13"/>
        </w:rPr>
        <w:t> </w:t>
      </w:r>
      <w:r>
        <w:rPr>
          <w:color w:val="231F20"/>
        </w:rPr>
        <w:t>межлич- ностную коммуникацию учащихся.</w:t>
      </w:r>
    </w:p>
    <w:p>
      <w:pPr>
        <w:spacing w:line="228" w:lineRule="exact" w:before="113"/>
        <w:ind w:left="425" w:right="0" w:firstLine="0"/>
        <w:jc w:val="both"/>
        <w:rPr>
          <w:b/>
          <w:sz w:val="20"/>
        </w:rPr>
      </w:pPr>
      <w:r>
        <w:rPr>
          <w:b/>
          <w:color w:val="231F20"/>
          <w:sz w:val="20"/>
        </w:rPr>
        <w:t>Что</w:t>
      </w:r>
      <w:r>
        <w:rPr>
          <w:b/>
          <w:color w:val="231F20"/>
          <w:spacing w:val="-8"/>
          <w:sz w:val="20"/>
        </w:rPr>
        <w:t> </w:t>
      </w:r>
      <w:r>
        <w:rPr>
          <w:b/>
          <w:color w:val="231F20"/>
          <w:sz w:val="20"/>
        </w:rPr>
        <w:t>входит</w:t>
      </w:r>
      <w:r>
        <w:rPr>
          <w:b/>
          <w:color w:val="231F20"/>
          <w:spacing w:val="-6"/>
          <w:sz w:val="20"/>
        </w:rPr>
        <w:t> </w:t>
      </w:r>
      <w:r>
        <w:rPr>
          <w:b/>
          <w:color w:val="231F20"/>
          <w:sz w:val="20"/>
        </w:rPr>
        <w:t>в</w:t>
      </w:r>
      <w:r>
        <w:rPr>
          <w:b/>
          <w:color w:val="231F20"/>
          <w:spacing w:val="-6"/>
          <w:sz w:val="20"/>
        </w:rPr>
        <w:t> </w:t>
      </w:r>
      <w:r>
        <w:rPr>
          <w:b/>
          <w:color w:val="231F20"/>
          <w:sz w:val="20"/>
        </w:rPr>
        <w:t>понятие</w:t>
      </w:r>
      <w:r>
        <w:rPr>
          <w:b/>
          <w:color w:val="231F20"/>
          <w:spacing w:val="-5"/>
          <w:sz w:val="20"/>
        </w:rPr>
        <w:t> </w:t>
      </w:r>
      <w:r>
        <w:rPr>
          <w:b/>
          <w:color w:val="231F20"/>
          <w:sz w:val="20"/>
        </w:rPr>
        <w:t>групповой</w:t>
      </w:r>
      <w:r>
        <w:rPr>
          <w:b/>
          <w:color w:val="231F20"/>
          <w:spacing w:val="-7"/>
          <w:sz w:val="20"/>
        </w:rPr>
        <w:t> </w:t>
      </w:r>
      <w:r>
        <w:rPr>
          <w:b/>
          <w:color w:val="231F20"/>
          <w:sz w:val="20"/>
        </w:rPr>
        <w:t>работы</w:t>
      </w:r>
      <w:r>
        <w:rPr>
          <w:b/>
          <w:color w:val="231F20"/>
          <w:spacing w:val="-5"/>
          <w:sz w:val="20"/>
        </w:rPr>
        <w:t> </w:t>
      </w:r>
      <w:r>
        <w:rPr>
          <w:b/>
          <w:color w:val="231F20"/>
          <w:sz w:val="20"/>
        </w:rPr>
        <w:t>на</w:t>
      </w:r>
      <w:r>
        <w:rPr>
          <w:b/>
          <w:color w:val="231F20"/>
          <w:spacing w:val="-5"/>
          <w:sz w:val="20"/>
        </w:rPr>
        <w:t> </w:t>
      </w:r>
      <w:r>
        <w:rPr>
          <w:b/>
          <w:color w:val="231F20"/>
          <w:spacing w:val="-2"/>
          <w:sz w:val="20"/>
        </w:rPr>
        <w:t>уроке?</w:t>
      </w:r>
    </w:p>
    <w:p>
      <w:pPr>
        <w:pStyle w:val="BodyText"/>
        <w:spacing w:line="235" w:lineRule="auto" w:before="2"/>
      </w:pPr>
      <w:r>
        <w:rPr>
          <w:color w:val="231F20"/>
        </w:rPr>
        <w:t>Под работой в группе обычно понимается совместная работа учащихся в составе малой группы, организованная таким образом, чтобы у каждого члена группы было свое</w:t>
      </w:r>
      <w:r>
        <w:rPr>
          <w:color w:val="231F20"/>
          <w:spacing w:val="-6"/>
        </w:rPr>
        <w:t> </w:t>
      </w:r>
      <w:r>
        <w:rPr>
          <w:color w:val="231F20"/>
        </w:rPr>
        <w:t>задание</w:t>
      </w:r>
      <w:r>
        <w:rPr>
          <w:color w:val="231F20"/>
          <w:spacing w:val="-6"/>
        </w:rPr>
        <w:t> </w:t>
      </w:r>
      <w:r>
        <w:rPr>
          <w:color w:val="231F20"/>
        </w:rPr>
        <w:t>(своя</w:t>
      </w:r>
      <w:r>
        <w:rPr>
          <w:color w:val="231F20"/>
          <w:spacing w:val="-6"/>
        </w:rPr>
        <w:t> </w:t>
      </w:r>
      <w:r>
        <w:rPr>
          <w:color w:val="231F20"/>
        </w:rPr>
        <w:t>роль),</w:t>
      </w:r>
      <w:r>
        <w:rPr>
          <w:color w:val="231F20"/>
          <w:spacing w:val="-6"/>
        </w:rPr>
        <w:t> </w:t>
      </w:r>
      <w:r>
        <w:rPr>
          <w:color w:val="231F20"/>
        </w:rPr>
        <w:t>за</w:t>
      </w:r>
      <w:r>
        <w:rPr>
          <w:color w:val="231F20"/>
          <w:spacing w:val="-6"/>
        </w:rPr>
        <w:t> </w:t>
      </w:r>
      <w:r>
        <w:rPr>
          <w:color w:val="231F20"/>
        </w:rPr>
        <w:t>выполнение</w:t>
      </w:r>
      <w:r>
        <w:rPr>
          <w:color w:val="231F20"/>
          <w:spacing w:val="-6"/>
        </w:rPr>
        <w:t> </w:t>
      </w:r>
      <w:r>
        <w:rPr>
          <w:color w:val="231F20"/>
        </w:rPr>
        <w:t>которого</w:t>
      </w:r>
      <w:r>
        <w:rPr>
          <w:color w:val="231F20"/>
          <w:spacing w:val="-6"/>
        </w:rPr>
        <w:t> </w:t>
      </w:r>
      <w:r>
        <w:rPr>
          <w:color w:val="231F20"/>
        </w:rPr>
        <w:t>он</w:t>
      </w:r>
      <w:r>
        <w:rPr>
          <w:color w:val="231F20"/>
          <w:spacing w:val="-6"/>
        </w:rPr>
        <w:t> </w:t>
      </w:r>
      <w:r>
        <w:rPr>
          <w:color w:val="231F20"/>
        </w:rPr>
        <w:t>несет</w:t>
      </w:r>
      <w:r>
        <w:rPr>
          <w:color w:val="231F20"/>
          <w:spacing w:val="-6"/>
        </w:rPr>
        <w:t> </w:t>
      </w:r>
      <w:r>
        <w:rPr>
          <w:color w:val="231F20"/>
        </w:rPr>
        <w:t>ответственность.</w:t>
      </w:r>
      <w:r>
        <w:rPr>
          <w:color w:val="231F20"/>
          <w:spacing w:val="-6"/>
        </w:rPr>
        <w:t> </w:t>
      </w:r>
      <w:r>
        <w:rPr>
          <w:color w:val="231F20"/>
        </w:rPr>
        <w:t>Учитель при этом не должен вмешиваться в ход групповой работы и давать прямые указа- ние</w:t>
      </w:r>
      <w:r>
        <w:rPr>
          <w:color w:val="231F20"/>
          <w:spacing w:val="-6"/>
        </w:rPr>
        <w:t> </w:t>
      </w:r>
      <w:r>
        <w:rPr>
          <w:color w:val="231F20"/>
        </w:rPr>
        <w:t>учащимся,</w:t>
      </w:r>
      <w:r>
        <w:rPr>
          <w:color w:val="231F20"/>
          <w:spacing w:val="-7"/>
        </w:rPr>
        <w:t> </w:t>
      </w:r>
      <w:r>
        <w:rPr>
          <w:color w:val="231F20"/>
        </w:rPr>
        <w:t>что</w:t>
      </w:r>
      <w:r>
        <w:rPr>
          <w:color w:val="231F20"/>
          <w:spacing w:val="-6"/>
        </w:rPr>
        <w:t> </w:t>
      </w:r>
      <w:r>
        <w:rPr>
          <w:color w:val="231F20"/>
        </w:rPr>
        <w:t>именно</w:t>
      </w:r>
      <w:r>
        <w:rPr>
          <w:color w:val="231F20"/>
          <w:spacing w:val="-6"/>
        </w:rPr>
        <w:t> </w:t>
      </w:r>
      <w:r>
        <w:rPr>
          <w:color w:val="231F20"/>
        </w:rPr>
        <w:t>и</w:t>
      </w:r>
      <w:r>
        <w:rPr>
          <w:color w:val="231F20"/>
          <w:spacing w:val="-6"/>
        </w:rPr>
        <w:t> </w:t>
      </w:r>
      <w:r>
        <w:rPr>
          <w:color w:val="231F20"/>
        </w:rPr>
        <w:t>кому</w:t>
      </w:r>
      <w:r>
        <w:rPr>
          <w:color w:val="231F20"/>
          <w:spacing w:val="-6"/>
        </w:rPr>
        <w:t> </w:t>
      </w:r>
      <w:r>
        <w:rPr>
          <w:color w:val="231F20"/>
        </w:rPr>
        <w:t>нужно</w:t>
      </w:r>
      <w:r>
        <w:rPr>
          <w:color w:val="231F20"/>
          <w:spacing w:val="-6"/>
        </w:rPr>
        <w:t> </w:t>
      </w:r>
      <w:r>
        <w:rPr>
          <w:color w:val="231F20"/>
        </w:rPr>
        <w:t>делать.</w:t>
      </w:r>
      <w:r>
        <w:rPr>
          <w:color w:val="231F20"/>
          <w:spacing w:val="-6"/>
        </w:rPr>
        <w:t> </w:t>
      </w:r>
      <w:r>
        <w:rPr>
          <w:color w:val="231F20"/>
        </w:rPr>
        <w:t>Если</w:t>
      </w:r>
      <w:r>
        <w:rPr>
          <w:color w:val="231F20"/>
          <w:spacing w:val="-7"/>
        </w:rPr>
        <w:t> </w:t>
      </w:r>
      <w:r>
        <w:rPr>
          <w:color w:val="231F20"/>
        </w:rPr>
        <w:t>учитель</w:t>
      </w:r>
      <w:r>
        <w:rPr>
          <w:color w:val="231F20"/>
          <w:spacing w:val="-6"/>
        </w:rPr>
        <w:t> </w:t>
      </w:r>
      <w:r>
        <w:rPr>
          <w:color w:val="231F20"/>
        </w:rPr>
        <w:t>вмешивается</w:t>
      </w:r>
      <w:r>
        <w:rPr>
          <w:color w:val="231F20"/>
          <w:spacing w:val="-7"/>
        </w:rPr>
        <w:t> </w:t>
      </w:r>
      <w:r>
        <w:rPr>
          <w:color w:val="231F20"/>
        </w:rPr>
        <w:t>в</w:t>
      </w:r>
      <w:r>
        <w:rPr>
          <w:color w:val="231F20"/>
          <w:spacing w:val="-6"/>
        </w:rPr>
        <w:t> </w:t>
      </w:r>
      <w:r>
        <w:rPr>
          <w:color w:val="231F20"/>
        </w:rPr>
        <w:t>работу группы,</w:t>
      </w:r>
      <w:r>
        <w:rPr>
          <w:color w:val="231F20"/>
          <w:spacing w:val="-13"/>
        </w:rPr>
        <w:t> </w:t>
      </w:r>
      <w:r>
        <w:rPr>
          <w:color w:val="231F20"/>
        </w:rPr>
        <w:t>то</w:t>
      </w:r>
      <w:r>
        <w:rPr>
          <w:color w:val="231F20"/>
          <w:spacing w:val="-12"/>
        </w:rPr>
        <w:t> </w:t>
      </w:r>
      <w:r>
        <w:rPr>
          <w:color w:val="231F20"/>
        </w:rPr>
        <w:t>он</w:t>
      </w:r>
      <w:r>
        <w:rPr>
          <w:color w:val="231F20"/>
          <w:spacing w:val="-13"/>
        </w:rPr>
        <w:t> </w:t>
      </w:r>
      <w:r>
        <w:rPr>
          <w:color w:val="231F20"/>
        </w:rPr>
        <w:t>сразу</w:t>
      </w:r>
      <w:r>
        <w:rPr>
          <w:color w:val="231F20"/>
          <w:spacing w:val="-12"/>
        </w:rPr>
        <w:t> </w:t>
      </w:r>
      <w:r>
        <w:rPr>
          <w:color w:val="231F20"/>
        </w:rPr>
        <w:t>становится</w:t>
      </w:r>
      <w:r>
        <w:rPr>
          <w:color w:val="231F20"/>
          <w:spacing w:val="-13"/>
        </w:rPr>
        <w:t> </w:t>
      </w:r>
      <w:r>
        <w:rPr>
          <w:color w:val="231F20"/>
        </w:rPr>
        <w:t>ее</w:t>
      </w:r>
      <w:r>
        <w:rPr>
          <w:color w:val="231F20"/>
          <w:spacing w:val="-12"/>
        </w:rPr>
        <w:t> </w:t>
      </w:r>
      <w:r>
        <w:rPr>
          <w:color w:val="231F20"/>
        </w:rPr>
        <w:t>негласным</w:t>
      </w:r>
      <w:r>
        <w:rPr>
          <w:color w:val="231F20"/>
          <w:spacing w:val="-13"/>
        </w:rPr>
        <w:t> </w:t>
      </w:r>
      <w:r>
        <w:rPr>
          <w:color w:val="231F20"/>
        </w:rPr>
        <w:t>лидером,</w:t>
      </w:r>
      <w:r>
        <w:rPr>
          <w:color w:val="231F20"/>
          <w:spacing w:val="-12"/>
        </w:rPr>
        <w:t> </w:t>
      </w:r>
      <w:r>
        <w:rPr>
          <w:color w:val="231F20"/>
        </w:rPr>
        <w:t>в</w:t>
      </w:r>
      <w:r>
        <w:rPr>
          <w:color w:val="231F20"/>
          <w:spacing w:val="-13"/>
        </w:rPr>
        <w:t> </w:t>
      </w:r>
      <w:r>
        <w:rPr>
          <w:color w:val="231F20"/>
        </w:rPr>
        <w:t>то</w:t>
      </w:r>
      <w:r>
        <w:rPr>
          <w:color w:val="231F20"/>
          <w:spacing w:val="-12"/>
        </w:rPr>
        <w:t> </w:t>
      </w:r>
      <w:r>
        <w:rPr>
          <w:color w:val="231F20"/>
        </w:rPr>
        <w:t>время</w:t>
      </w:r>
      <w:r>
        <w:rPr>
          <w:color w:val="231F20"/>
          <w:spacing w:val="-13"/>
        </w:rPr>
        <w:t> </w:t>
      </w:r>
      <w:r>
        <w:rPr>
          <w:color w:val="231F20"/>
        </w:rPr>
        <w:t>как</w:t>
      </w:r>
      <w:r>
        <w:rPr>
          <w:color w:val="231F20"/>
          <w:spacing w:val="-12"/>
        </w:rPr>
        <w:t> </w:t>
      </w:r>
      <w:r>
        <w:rPr>
          <w:color w:val="231F20"/>
        </w:rPr>
        <w:t>смысл</w:t>
      </w:r>
      <w:r>
        <w:rPr>
          <w:color w:val="231F20"/>
          <w:spacing w:val="-13"/>
        </w:rPr>
        <w:t> </w:t>
      </w:r>
      <w:r>
        <w:rPr>
          <w:color w:val="231F20"/>
        </w:rPr>
        <w:t>обучения в сотрудничестве заключается в том, что роль лидера группы всегда закрепляется за кем-то из учащихся, в наибольшей степени проявивших свои лидерские качества и взявших на себя ответственность за работу группы. То есть, когда учитель дает за- дание,</w:t>
      </w:r>
      <w:r>
        <w:rPr>
          <w:color w:val="231F20"/>
          <w:spacing w:val="-4"/>
        </w:rPr>
        <w:t> </w:t>
      </w:r>
      <w:r>
        <w:rPr>
          <w:color w:val="231F20"/>
        </w:rPr>
        <w:t>над</w:t>
      </w:r>
      <w:r>
        <w:rPr>
          <w:color w:val="231F20"/>
          <w:spacing w:val="-4"/>
        </w:rPr>
        <w:t> </w:t>
      </w:r>
      <w:r>
        <w:rPr>
          <w:color w:val="231F20"/>
        </w:rPr>
        <w:t>которым</w:t>
      </w:r>
      <w:r>
        <w:rPr>
          <w:color w:val="231F20"/>
          <w:spacing w:val="-4"/>
        </w:rPr>
        <w:t> </w:t>
      </w:r>
      <w:r>
        <w:rPr>
          <w:color w:val="231F20"/>
        </w:rPr>
        <w:t>группа</w:t>
      </w:r>
      <w:r>
        <w:rPr>
          <w:color w:val="231F20"/>
          <w:spacing w:val="-4"/>
        </w:rPr>
        <w:t> </w:t>
      </w:r>
      <w:r>
        <w:rPr>
          <w:color w:val="231F20"/>
        </w:rPr>
        <w:t>начинает</w:t>
      </w:r>
      <w:r>
        <w:rPr>
          <w:color w:val="231F20"/>
          <w:spacing w:val="-4"/>
        </w:rPr>
        <w:t> </w:t>
      </w:r>
      <w:r>
        <w:rPr>
          <w:color w:val="231F20"/>
        </w:rPr>
        <w:t>работать,</w:t>
      </w:r>
      <w:r>
        <w:rPr>
          <w:color w:val="231F20"/>
          <w:spacing w:val="-4"/>
        </w:rPr>
        <w:t> </w:t>
      </w:r>
      <w:r>
        <w:rPr>
          <w:color w:val="231F20"/>
        </w:rPr>
        <w:t>тем</w:t>
      </w:r>
      <w:r>
        <w:rPr>
          <w:color w:val="231F20"/>
          <w:spacing w:val="-4"/>
        </w:rPr>
        <w:t> </w:t>
      </w:r>
      <w:r>
        <w:rPr>
          <w:color w:val="231F20"/>
        </w:rPr>
        <w:t>самым</w:t>
      </w:r>
      <w:r>
        <w:rPr>
          <w:color w:val="231F20"/>
          <w:spacing w:val="-4"/>
        </w:rPr>
        <w:t> </w:t>
      </w:r>
      <w:r>
        <w:rPr>
          <w:color w:val="231F20"/>
        </w:rPr>
        <w:t>он</w:t>
      </w:r>
      <w:r>
        <w:rPr>
          <w:color w:val="231F20"/>
          <w:spacing w:val="-4"/>
        </w:rPr>
        <w:t> </w:t>
      </w:r>
      <w:r>
        <w:rPr>
          <w:color w:val="231F20"/>
        </w:rPr>
        <w:t>делегирует</w:t>
      </w:r>
      <w:r>
        <w:rPr>
          <w:color w:val="231F20"/>
          <w:spacing w:val="-4"/>
        </w:rPr>
        <w:t> </w:t>
      </w:r>
      <w:r>
        <w:rPr>
          <w:color w:val="231F20"/>
        </w:rPr>
        <w:t>лидерство</w:t>
      </w:r>
      <w:r>
        <w:rPr>
          <w:color w:val="231F20"/>
          <w:spacing w:val="-4"/>
        </w:rPr>
        <w:t> </w:t>
      </w:r>
      <w:r>
        <w:rPr>
          <w:color w:val="231F20"/>
        </w:rPr>
        <w:t>в этой деятельности учащимся.</w:t>
      </w:r>
    </w:p>
    <w:p>
      <w:pPr>
        <w:pStyle w:val="BodyText"/>
        <w:spacing w:line="228" w:lineRule="exact" w:before="3"/>
        <w:ind w:left="425" w:right="0" w:firstLine="0"/>
      </w:pPr>
      <w:r>
        <w:rPr>
          <w:color w:val="231F20"/>
        </w:rPr>
        <w:t>Признаками</w:t>
      </w:r>
      <w:r>
        <w:rPr>
          <w:color w:val="231F20"/>
          <w:spacing w:val="-10"/>
        </w:rPr>
        <w:t> </w:t>
      </w:r>
      <w:r>
        <w:rPr>
          <w:color w:val="231F20"/>
        </w:rPr>
        <w:t>эффективной</w:t>
      </w:r>
      <w:r>
        <w:rPr>
          <w:color w:val="231F20"/>
          <w:spacing w:val="-7"/>
        </w:rPr>
        <w:t> </w:t>
      </w:r>
      <w:r>
        <w:rPr>
          <w:color w:val="231F20"/>
        </w:rPr>
        <w:t>групповой</w:t>
      </w:r>
      <w:r>
        <w:rPr>
          <w:color w:val="231F20"/>
          <w:spacing w:val="-8"/>
        </w:rPr>
        <w:t> </w:t>
      </w:r>
      <w:r>
        <w:rPr>
          <w:color w:val="231F20"/>
        </w:rPr>
        <w:t>работы</w:t>
      </w:r>
      <w:r>
        <w:rPr>
          <w:color w:val="231F20"/>
          <w:spacing w:val="-6"/>
        </w:rPr>
        <w:t> </w:t>
      </w:r>
      <w:r>
        <w:rPr>
          <w:color w:val="231F20"/>
        </w:rPr>
        <w:t>является</w:t>
      </w:r>
      <w:r>
        <w:rPr>
          <w:color w:val="231F20"/>
          <w:spacing w:val="-6"/>
        </w:rPr>
        <w:t> </w:t>
      </w:r>
      <w:r>
        <w:rPr>
          <w:color w:val="231F20"/>
          <w:spacing w:val="-2"/>
        </w:rPr>
        <w:t>следующие:</w:t>
      </w:r>
    </w:p>
    <w:p>
      <w:pPr>
        <w:pStyle w:val="ListParagraph"/>
        <w:numPr>
          <w:ilvl w:val="0"/>
          <w:numId w:val="172"/>
        </w:numPr>
        <w:tabs>
          <w:tab w:pos="425" w:val="left" w:leader="none"/>
        </w:tabs>
        <w:spacing w:line="235" w:lineRule="auto" w:before="1" w:after="0"/>
        <w:ind w:left="425" w:right="139" w:hanging="284"/>
        <w:jc w:val="both"/>
        <w:rPr>
          <w:sz w:val="20"/>
        </w:rPr>
      </w:pPr>
      <w:r>
        <w:rPr>
          <w:color w:val="231F20"/>
          <w:sz w:val="20"/>
        </w:rPr>
        <w:t>Наличие в группе лидера (ведущего), который организует работу группы по вы- полнению задачи, поставленной учителем, и несет ответственность за результат.</w:t>
      </w:r>
    </w:p>
    <w:p>
      <w:pPr>
        <w:pStyle w:val="ListParagraph"/>
        <w:numPr>
          <w:ilvl w:val="0"/>
          <w:numId w:val="172"/>
        </w:numPr>
        <w:tabs>
          <w:tab w:pos="425" w:val="left" w:leader="none"/>
        </w:tabs>
        <w:spacing w:line="235" w:lineRule="auto" w:before="2" w:after="0"/>
        <w:ind w:left="425" w:right="139" w:hanging="284"/>
        <w:jc w:val="both"/>
        <w:rPr>
          <w:sz w:val="20"/>
        </w:rPr>
      </w:pPr>
      <w:r>
        <w:rPr>
          <w:color w:val="231F20"/>
          <w:spacing w:val="-2"/>
          <w:sz w:val="20"/>
        </w:rPr>
        <w:t>Все</w:t>
      </w:r>
      <w:r>
        <w:rPr>
          <w:color w:val="231F20"/>
          <w:spacing w:val="-8"/>
          <w:sz w:val="20"/>
        </w:rPr>
        <w:t> </w:t>
      </w:r>
      <w:r>
        <w:rPr>
          <w:color w:val="231F20"/>
          <w:spacing w:val="-2"/>
          <w:sz w:val="20"/>
        </w:rPr>
        <w:t>члены</w:t>
      </w:r>
      <w:r>
        <w:rPr>
          <w:color w:val="231F20"/>
          <w:spacing w:val="-8"/>
          <w:sz w:val="20"/>
        </w:rPr>
        <w:t> </w:t>
      </w:r>
      <w:r>
        <w:rPr>
          <w:color w:val="231F20"/>
          <w:spacing w:val="-2"/>
          <w:sz w:val="20"/>
        </w:rPr>
        <w:t>группы</w:t>
      </w:r>
      <w:r>
        <w:rPr>
          <w:color w:val="231F20"/>
          <w:spacing w:val="-8"/>
          <w:sz w:val="20"/>
        </w:rPr>
        <w:t> </w:t>
      </w:r>
      <w:r>
        <w:rPr>
          <w:color w:val="231F20"/>
          <w:spacing w:val="-2"/>
          <w:sz w:val="20"/>
        </w:rPr>
        <w:t>важны</w:t>
      </w:r>
      <w:r>
        <w:rPr>
          <w:color w:val="231F20"/>
          <w:spacing w:val="-8"/>
          <w:sz w:val="20"/>
        </w:rPr>
        <w:t> </w:t>
      </w:r>
      <w:r>
        <w:rPr>
          <w:color w:val="231F20"/>
          <w:spacing w:val="-2"/>
          <w:sz w:val="20"/>
        </w:rPr>
        <w:t>для</w:t>
      </w:r>
      <w:r>
        <w:rPr>
          <w:color w:val="231F20"/>
          <w:spacing w:val="-8"/>
          <w:sz w:val="20"/>
        </w:rPr>
        <w:t> </w:t>
      </w:r>
      <w:r>
        <w:rPr>
          <w:color w:val="231F20"/>
          <w:spacing w:val="-2"/>
          <w:sz w:val="20"/>
        </w:rPr>
        <w:t>ее</w:t>
      </w:r>
      <w:r>
        <w:rPr>
          <w:color w:val="231F20"/>
          <w:spacing w:val="-8"/>
          <w:sz w:val="20"/>
        </w:rPr>
        <w:t> </w:t>
      </w:r>
      <w:r>
        <w:rPr>
          <w:color w:val="231F20"/>
          <w:spacing w:val="-2"/>
          <w:sz w:val="20"/>
        </w:rPr>
        <w:t>работы</w:t>
      </w:r>
      <w:r>
        <w:rPr>
          <w:color w:val="231F20"/>
          <w:spacing w:val="-8"/>
          <w:sz w:val="20"/>
        </w:rPr>
        <w:t> </w:t>
      </w:r>
      <w:r>
        <w:rPr>
          <w:color w:val="231F20"/>
          <w:spacing w:val="-2"/>
          <w:sz w:val="20"/>
        </w:rPr>
        <w:t>и</w:t>
      </w:r>
      <w:r>
        <w:rPr>
          <w:color w:val="231F20"/>
          <w:spacing w:val="-8"/>
          <w:sz w:val="20"/>
        </w:rPr>
        <w:t> </w:t>
      </w:r>
      <w:r>
        <w:rPr>
          <w:color w:val="231F20"/>
          <w:spacing w:val="-2"/>
          <w:sz w:val="20"/>
        </w:rPr>
        <w:t>получения</w:t>
      </w:r>
      <w:r>
        <w:rPr>
          <w:color w:val="231F20"/>
          <w:spacing w:val="-8"/>
          <w:sz w:val="20"/>
        </w:rPr>
        <w:t> </w:t>
      </w:r>
      <w:r>
        <w:rPr>
          <w:color w:val="231F20"/>
          <w:spacing w:val="-2"/>
          <w:sz w:val="20"/>
        </w:rPr>
        <w:t>итогового</w:t>
      </w:r>
      <w:r>
        <w:rPr>
          <w:color w:val="231F20"/>
          <w:spacing w:val="-8"/>
          <w:sz w:val="20"/>
        </w:rPr>
        <w:t> </w:t>
      </w:r>
      <w:r>
        <w:rPr>
          <w:color w:val="231F20"/>
          <w:spacing w:val="-2"/>
          <w:sz w:val="20"/>
        </w:rPr>
        <w:t>результата,</w:t>
      </w:r>
      <w:r>
        <w:rPr>
          <w:color w:val="231F20"/>
          <w:spacing w:val="-8"/>
          <w:sz w:val="20"/>
        </w:rPr>
        <w:t> </w:t>
      </w:r>
      <w:r>
        <w:rPr>
          <w:color w:val="231F20"/>
          <w:spacing w:val="-2"/>
          <w:sz w:val="20"/>
        </w:rPr>
        <w:t>ни</w:t>
      </w:r>
      <w:r>
        <w:rPr>
          <w:color w:val="231F20"/>
          <w:spacing w:val="-8"/>
          <w:sz w:val="20"/>
        </w:rPr>
        <w:t> </w:t>
      </w:r>
      <w:r>
        <w:rPr>
          <w:color w:val="231F20"/>
          <w:spacing w:val="-2"/>
          <w:sz w:val="20"/>
        </w:rPr>
        <w:t>один </w:t>
      </w:r>
      <w:r>
        <w:rPr>
          <w:color w:val="231F20"/>
          <w:sz w:val="20"/>
        </w:rPr>
        <w:t>из</w:t>
      </w:r>
      <w:r>
        <w:rPr>
          <w:color w:val="231F20"/>
          <w:spacing w:val="-13"/>
          <w:sz w:val="20"/>
        </w:rPr>
        <w:t> </w:t>
      </w:r>
      <w:r>
        <w:rPr>
          <w:color w:val="231F20"/>
          <w:sz w:val="20"/>
        </w:rPr>
        <w:t>членов</w:t>
      </w:r>
      <w:r>
        <w:rPr>
          <w:color w:val="231F20"/>
          <w:spacing w:val="-12"/>
          <w:sz w:val="20"/>
        </w:rPr>
        <w:t> </w:t>
      </w:r>
      <w:r>
        <w:rPr>
          <w:color w:val="231F20"/>
          <w:sz w:val="20"/>
        </w:rPr>
        <w:t>группы</w:t>
      </w:r>
      <w:r>
        <w:rPr>
          <w:color w:val="231F20"/>
          <w:spacing w:val="-13"/>
          <w:sz w:val="20"/>
        </w:rPr>
        <w:t> </w:t>
      </w:r>
      <w:r>
        <w:rPr>
          <w:color w:val="231F20"/>
          <w:sz w:val="20"/>
        </w:rPr>
        <w:t>не</w:t>
      </w:r>
      <w:r>
        <w:rPr>
          <w:color w:val="231F20"/>
          <w:spacing w:val="-12"/>
          <w:sz w:val="20"/>
        </w:rPr>
        <w:t> </w:t>
      </w:r>
      <w:r>
        <w:rPr>
          <w:color w:val="231F20"/>
          <w:sz w:val="20"/>
        </w:rPr>
        <w:t>может</w:t>
      </w:r>
      <w:r>
        <w:rPr>
          <w:color w:val="231F20"/>
          <w:spacing w:val="-13"/>
          <w:sz w:val="20"/>
        </w:rPr>
        <w:t> </w:t>
      </w:r>
      <w:r>
        <w:rPr>
          <w:color w:val="231F20"/>
          <w:sz w:val="20"/>
        </w:rPr>
        <w:t>выполнить</w:t>
      </w:r>
      <w:r>
        <w:rPr>
          <w:color w:val="231F20"/>
          <w:spacing w:val="-12"/>
          <w:sz w:val="20"/>
        </w:rPr>
        <w:t> </w:t>
      </w:r>
      <w:r>
        <w:rPr>
          <w:color w:val="231F20"/>
          <w:sz w:val="20"/>
        </w:rPr>
        <w:t>задание,</w:t>
      </w:r>
      <w:r>
        <w:rPr>
          <w:color w:val="231F20"/>
          <w:spacing w:val="-13"/>
          <w:sz w:val="20"/>
        </w:rPr>
        <w:t> </w:t>
      </w:r>
      <w:r>
        <w:rPr>
          <w:color w:val="231F20"/>
          <w:sz w:val="20"/>
        </w:rPr>
        <w:t>данное</w:t>
      </w:r>
      <w:r>
        <w:rPr>
          <w:color w:val="231F20"/>
          <w:spacing w:val="-12"/>
          <w:sz w:val="20"/>
        </w:rPr>
        <w:t> </w:t>
      </w:r>
      <w:r>
        <w:rPr>
          <w:color w:val="231F20"/>
          <w:sz w:val="20"/>
        </w:rPr>
        <w:t>учителем,</w:t>
      </w:r>
      <w:r>
        <w:rPr>
          <w:color w:val="231F20"/>
          <w:spacing w:val="-13"/>
          <w:sz w:val="20"/>
        </w:rPr>
        <w:t> </w:t>
      </w:r>
      <w:r>
        <w:rPr>
          <w:color w:val="231F20"/>
          <w:sz w:val="20"/>
        </w:rPr>
        <w:t>самостоятельно.</w:t>
      </w:r>
    </w:p>
    <w:p>
      <w:pPr>
        <w:pStyle w:val="ListParagraph"/>
        <w:numPr>
          <w:ilvl w:val="0"/>
          <w:numId w:val="172"/>
        </w:numPr>
        <w:tabs>
          <w:tab w:pos="425" w:val="left" w:leader="none"/>
        </w:tabs>
        <w:spacing w:line="235" w:lineRule="auto" w:before="1" w:after="0"/>
        <w:ind w:left="425" w:right="139" w:hanging="284"/>
        <w:jc w:val="both"/>
        <w:rPr>
          <w:sz w:val="20"/>
        </w:rPr>
      </w:pPr>
      <w:r>
        <w:rPr>
          <w:color w:val="231F20"/>
          <w:sz w:val="20"/>
        </w:rPr>
        <w:t>В процессе работы все члены группы общаются друг с другом: задают вопросы, объясняют, выдвигают гипотезы, анализируют, слушают других, соглашаются с ними или не соглашаются, участвуют в групповых дискуссиях и др.</w:t>
      </w:r>
    </w:p>
    <w:p>
      <w:pPr>
        <w:pStyle w:val="ListParagraph"/>
        <w:spacing w:after="0" w:line="235" w:lineRule="auto"/>
        <w:jc w:val="both"/>
        <w:rPr>
          <w:sz w:val="20"/>
        </w:rPr>
        <w:sectPr>
          <w:pgSz w:w="8400" w:h="11910"/>
          <w:pgMar w:header="0" w:footer="527" w:top="400" w:bottom="720" w:left="425" w:right="425"/>
        </w:sectPr>
      </w:pPr>
    </w:p>
    <w:p>
      <w:pPr>
        <w:spacing w:before="80"/>
        <w:ind w:left="141" w:right="0" w:firstLine="0"/>
        <w:jc w:val="left"/>
        <w:rPr>
          <w:rFonts w:ascii="Georgia" w:hAnsi="Georgia"/>
          <w:sz w:val="18"/>
        </w:rPr>
      </w:pPr>
      <w:r>
        <w:rPr>
          <w:rFonts w:ascii="Georgia" w:hAnsi="Georgia"/>
          <w:color w:val="231F20"/>
          <w:sz w:val="18"/>
        </w:rPr>
        <w:t>4.4.</w:t>
      </w:r>
      <w:r>
        <w:rPr>
          <w:rFonts w:ascii="Georgia" w:hAnsi="Georgia"/>
          <w:color w:val="231F20"/>
          <w:spacing w:val="-1"/>
          <w:sz w:val="18"/>
        </w:rPr>
        <w:t> </w:t>
      </w:r>
      <w:r>
        <w:rPr>
          <w:rFonts w:ascii="Georgia" w:hAnsi="Georgia"/>
          <w:color w:val="231F20"/>
          <w:sz w:val="18"/>
        </w:rPr>
        <w:t>Методы</w:t>
      </w:r>
      <w:r>
        <w:rPr>
          <w:rFonts w:ascii="Georgia" w:hAnsi="Georgia"/>
          <w:color w:val="231F20"/>
          <w:spacing w:val="-1"/>
          <w:sz w:val="18"/>
        </w:rPr>
        <w:t> </w:t>
      </w:r>
      <w:r>
        <w:rPr>
          <w:rFonts w:ascii="Georgia" w:hAnsi="Georgia"/>
          <w:color w:val="231F20"/>
          <w:sz w:val="18"/>
        </w:rPr>
        <w:t>учебной</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1"/>
          <w:sz w:val="18"/>
        </w:rPr>
        <w:t> </w:t>
      </w:r>
      <w:r>
        <w:rPr>
          <w:rFonts w:ascii="Georgia" w:hAnsi="Georgia"/>
          <w:color w:val="231F20"/>
          <w:sz w:val="18"/>
        </w:rPr>
        <w:t>для адаптации</w:t>
      </w:r>
      <w:r>
        <w:rPr>
          <w:rFonts w:ascii="Georgia" w:hAnsi="Georgia"/>
          <w:color w:val="231F20"/>
          <w:spacing w:val="-1"/>
          <w:sz w:val="18"/>
        </w:rPr>
        <w:t> </w:t>
      </w:r>
      <w:r>
        <w:rPr>
          <w:rFonts w:ascii="Georgia" w:hAnsi="Georgia"/>
          <w:color w:val="231F20"/>
          <w:sz w:val="18"/>
        </w:rPr>
        <w:t>детей</w:t>
      </w:r>
      <w:r>
        <w:rPr>
          <w:rFonts w:ascii="Georgia" w:hAnsi="Georgia"/>
          <w:color w:val="231F20"/>
          <w:spacing w:val="-1"/>
          <w:sz w:val="18"/>
        </w:rPr>
        <w:t> </w:t>
      </w:r>
      <w:r>
        <w:rPr>
          <w:rFonts w:ascii="Georgia" w:hAnsi="Georgia"/>
          <w:color w:val="231F20"/>
          <w:sz w:val="18"/>
        </w:rPr>
        <w:t>...</w:t>
      </w:r>
      <w:r>
        <w:rPr>
          <w:rFonts w:ascii="Georgia" w:hAnsi="Georgia"/>
          <w:color w:val="231F20"/>
          <w:spacing w:val="-1"/>
          <w:sz w:val="18"/>
        </w:rPr>
        <w:t> </w:t>
      </w:r>
      <w:r>
        <w:rPr>
          <w:rFonts w:ascii="Georgia" w:hAnsi="Georgia"/>
          <w:color w:val="231F20"/>
          <w:sz w:val="18"/>
        </w:rPr>
        <w:t>во </w:t>
      </w:r>
      <w:r>
        <w:rPr>
          <w:rFonts w:ascii="Georgia" w:hAnsi="Georgia"/>
          <w:color w:val="231F20"/>
          <w:spacing w:val="-2"/>
          <w:sz w:val="18"/>
        </w:rPr>
        <w:t>взаимодействии...</w:t>
      </w:r>
    </w:p>
    <w:p>
      <w:pPr>
        <w:pStyle w:val="BodyText"/>
        <w:spacing w:line="235" w:lineRule="auto" w:before="116"/>
      </w:pPr>
      <w:r>
        <w:rPr>
          <w:color w:val="231F20"/>
        </w:rPr>
        <w:t>Коммуникация,</w:t>
      </w:r>
      <w:r>
        <w:rPr>
          <w:color w:val="231F20"/>
          <w:spacing w:val="-13"/>
        </w:rPr>
        <w:t> </w:t>
      </w:r>
      <w:r>
        <w:rPr>
          <w:color w:val="231F20"/>
        </w:rPr>
        <w:t>или</w:t>
      </w:r>
      <w:r>
        <w:rPr>
          <w:color w:val="231F20"/>
          <w:spacing w:val="-12"/>
        </w:rPr>
        <w:t> </w:t>
      </w:r>
      <w:r>
        <w:rPr>
          <w:color w:val="231F20"/>
        </w:rPr>
        <w:t>общение,</w:t>
      </w:r>
      <w:r>
        <w:rPr>
          <w:color w:val="231F20"/>
          <w:spacing w:val="-13"/>
        </w:rPr>
        <w:t> </w:t>
      </w:r>
      <w:r>
        <w:rPr>
          <w:color w:val="231F20"/>
        </w:rPr>
        <w:t>членов</w:t>
      </w:r>
      <w:r>
        <w:rPr>
          <w:color w:val="231F20"/>
          <w:spacing w:val="-12"/>
        </w:rPr>
        <w:t> </w:t>
      </w:r>
      <w:r>
        <w:rPr>
          <w:color w:val="231F20"/>
        </w:rPr>
        <w:t>группы</w:t>
      </w:r>
      <w:r>
        <w:rPr>
          <w:color w:val="231F20"/>
          <w:spacing w:val="-13"/>
        </w:rPr>
        <w:t> </w:t>
      </w:r>
      <w:r>
        <w:rPr>
          <w:color w:val="231F20"/>
        </w:rPr>
        <w:t>является</w:t>
      </w:r>
      <w:r>
        <w:rPr>
          <w:color w:val="231F20"/>
          <w:spacing w:val="-12"/>
        </w:rPr>
        <w:t> </w:t>
      </w:r>
      <w:r>
        <w:rPr>
          <w:color w:val="231F20"/>
        </w:rPr>
        <w:t>ключевым</w:t>
      </w:r>
      <w:r>
        <w:rPr>
          <w:color w:val="231F20"/>
          <w:spacing w:val="-13"/>
        </w:rPr>
        <w:t> </w:t>
      </w:r>
      <w:r>
        <w:rPr>
          <w:color w:val="231F20"/>
        </w:rPr>
        <w:t>элементом</w:t>
      </w:r>
      <w:r>
        <w:rPr>
          <w:color w:val="231F20"/>
          <w:spacing w:val="-12"/>
        </w:rPr>
        <w:t> </w:t>
      </w:r>
      <w:r>
        <w:rPr>
          <w:color w:val="231F20"/>
        </w:rPr>
        <w:t>рабо- ты в группах сотрудничества. Здесь нет никакого соперничества. Учащиеся заинте- ресованы</w:t>
      </w:r>
      <w:r>
        <w:rPr>
          <w:color w:val="231F20"/>
          <w:spacing w:val="-3"/>
        </w:rPr>
        <w:t> </w:t>
      </w:r>
      <w:r>
        <w:rPr>
          <w:color w:val="231F20"/>
        </w:rPr>
        <w:t>в</w:t>
      </w:r>
      <w:r>
        <w:rPr>
          <w:color w:val="231F20"/>
          <w:spacing w:val="-3"/>
        </w:rPr>
        <w:t> </w:t>
      </w:r>
      <w:r>
        <w:rPr>
          <w:color w:val="231F20"/>
        </w:rPr>
        <w:t>том,</w:t>
      </w:r>
      <w:r>
        <w:rPr>
          <w:color w:val="231F20"/>
          <w:spacing w:val="-3"/>
        </w:rPr>
        <w:t> </w:t>
      </w:r>
      <w:r>
        <w:rPr>
          <w:color w:val="231F20"/>
        </w:rPr>
        <w:t>чтобы</w:t>
      </w:r>
      <w:r>
        <w:rPr>
          <w:color w:val="231F20"/>
          <w:spacing w:val="-3"/>
        </w:rPr>
        <w:t> </w:t>
      </w:r>
      <w:r>
        <w:rPr>
          <w:color w:val="231F20"/>
        </w:rPr>
        <w:t>в</w:t>
      </w:r>
      <w:r>
        <w:rPr>
          <w:color w:val="231F20"/>
          <w:spacing w:val="-3"/>
        </w:rPr>
        <w:t> </w:t>
      </w:r>
      <w:r>
        <w:rPr>
          <w:color w:val="231F20"/>
        </w:rPr>
        <w:t>работе</w:t>
      </w:r>
      <w:r>
        <w:rPr>
          <w:color w:val="231F20"/>
          <w:spacing w:val="-3"/>
        </w:rPr>
        <w:t> </w:t>
      </w:r>
      <w:r>
        <w:rPr>
          <w:color w:val="231F20"/>
        </w:rPr>
        <w:t>группы</w:t>
      </w:r>
      <w:r>
        <w:rPr>
          <w:color w:val="231F20"/>
          <w:spacing w:val="-3"/>
        </w:rPr>
        <w:t> </w:t>
      </w:r>
      <w:r>
        <w:rPr>
          <w:color w:val="231F20"/>
        </w:rPr>
        <w:t>участвовали</w:t>
      </w:r>
      <w:r>
        <w:rPr>
          <w:color w:val="231F20"/>
          <w:spacing w:val="-3"/>
        </w:rPr>
        <w:t> </w:t>
      </w:r>
      <w:r>
        <w:rPr>
          <w:color w:val="231F20"/>
        </w:rPr>
        <w:t>все</w:t>
      </w:r>
      <w:r>
        <w:rPr>
          <w:color w:val="231F20"/>
          <w:spacing w:val="-3"/>
        </w:rPr>
        <w:t> </w:t>
      </w:r>
      <w:r>
        <w:rPr>
          <w:color w:val="231F20"/>
        </w:rPr>
        <w:t>ее</w:t>
      </w:r>
      <w:r>
        <w:rPr>
          <w:color w:val="231F20"/>
          <w:spacing w:val="-3"/>
        </w:rPr>
        <w:t> </w:t>
      </w:r>
      <w:r>
        <w:rPr>
          <w:color w:val="231F20"/>
        </w:rPr>
        <w:t>участники,</w:t>
      </w:r>
      <w:r>
        <w:rPr>
          <w:color w:val="231F20"/>
          <w:spacing w:val="-3"/>
        </w:rPr>
        <w:t> </w:t>
      </w:r>
      <w:r>
        <w:rPr>
          <w:color w:val="231F20"/>
        </w:rPr>
        <w:t>они</w:t>
      </w:r>
      <w:r>
        <w:rPr>
          <w:color w:val="231F20"/>
          <w:spacing w:val="-3"/>
        </w:rPr>
        <w:t> </w:t>
      </w:r>
      <w:r>
        <w:rPr>
          <w:color w:val="231F20"/>
        </w:rPr>
        <w:t>помогают друг</w:t>
      </w:r>
      <w:r>
        <w:rPr>
          <w:color w:val="231F20"/>
          <w:spacing w:val="-13"/>
        </w:rPr>
        <w:t> </w:t>
      </w:r>
      <w:r>
        <w:rPr>
          <w:color w:val="231F20"/>
        </w:rPr>
        <w:t>другу</w:t>
      </w:r>
      <w:r>
        <w:rPr>
          <w:color w:val="231F20"/>
          <w:spacing w:val="-12"/>
        </w:rPr>
        <w:t> </w:t>
      </w:r>
      <w:r>
        <w:rPr>
          <w:color w:val="231F20"/>
        </w:rPr>
        <w:t>и</w:t>
      </w:r>
      <w:r>
        <w:rPr>
          <w:color w:val="231F20"/>
          <w:spacing w:val="-13"/>
        </w:rPr>
        <w:t> </w:t>
      </w:r>
      <w:r>
        <w:rPr>
          <w:color w:val="231F20"/>
        </w:rPr>
        <w:t>стараются</w:t>
      </w:r>
      <w:r>
        <w:rPr>
          <w:color w:val="231F20"/>
          <w:spacing w:val="-12"/>
        </w:rPr>
        <w:t> </w:t>
      </w:r>
      <w:r>
        <w:rPr>
          <w:color w:val="231F20"/>
        </w:rPr>
        <w:t>сделать</w:t>
      </w:r>
      <w:r>
        <w:rPr>
          <w:color w:val="231F20"/>
          <w:spacing w:val="-13"/>
        </w:rPr>
        <w:t> </w:t>
      </w:r>
      <w:r>
        <w:rPr>
          <w:color w:val="231F20"/>
        </w:rPr>
        <w:t>так,</w:t>
      </w:r>
      <w:r>
        <w:rPr>
          <w:color w:val="231F20"/>
          <w:spacing w:val="-12"/>
        </w:rPr>
        <w:t> </w:t>
      </w:r>
      <w:r>
        <w:rPr>
          <w:color w:val="231F20"/>
        </w:rPr>
        <w:t>чтобы</w:t>
      </w:r>
      <w:r>
        <w:rPr>
          <w:color w:val="231F20"/>
          <w:spacing w:val="-13"/>
        </w:rPr>
        <w:t> </w:t>
      </w:r>
      <w:r>
        <w:rPr>
          <w:color w:val="231F20"/>
        </w:rPr>
        <w:t>никто</w:t>
      </w:r>
      <w:r>
        <w:rPr>
          <w:color w:val="231F20"/>
          <w:spacing w:val="-12"/>
        </w:rPr>
        <w:t> </w:t>
      </w:r>
      <w:r>
        <w:rPr>
          <w:color w:val="231F20"/>
        </w:rPr>
        <w:t>из</w:t>
      </w:r>
      <w:r>
        <w:rPr>
          <w:color w:val="231F20"/>
          <w:spacing w:val="-13"/>
        </w:rPr>
        <w:t> </w:t>
      </w:r>
      <w:r>
        <w:rPr>
          <w:color w:val="231F20"/>
        </w:rPr>
        <w:t>членов</w:t>
      </w:r>
      <w:r>
        <w:rPr>
          <w:color w:val="231F20"/>
          <w:spacing w:val="-12"/>
        </w:rPr>
        <w:t> </w:t>
      </w:r>
      <w:r>
        <w:rPr>
          <w:color w:val="231F20"/>
        </w:rPr>
        <w:t>группы</w:t>
      </w:r>
      <w:r>
        <w:rPr>
          <w:color w:val="231F20"/>
          <w:spacing w:val="-13"/>
        </w:rPr>
        <w:t> </w:t>
      </w:r>
      <w:r>
        <w:rPr>
          <w:color w:val="231F20"/>
        </w:rPr>
        <w:t>не</w:t>
      </w:r>
      <w:r>
        <w:rPr>
          <w:color w:val="231F20"/>
          <w:spacing w:val="-12"/>
        </w:rPr>
        <w:t> </w:t>
      </w:r>
      <w:r>
        <w:rPr>
          <w:color w:val="231F20"/>
        </w:rPr>
        <w:t>выпал</w:t>
      </w:r>
      <w:r>
        <w:rPr>
          <w:color w:val="231F20"/>
          <w:spacing w:val="-13"/>
        </w:rPr>
        <w:t> </w:t>
      </w:r>
      <w:r>
        <w:rPr>
          <w:color w:val="231F20"/>
        </w:rPr>
        <w:t>из</w:t>
      </w:r>
      <w:r>
        <w:rPr>
          <w:color w:val="231F20"/>
          <w:spacing w:val="-12"/>
        </w:rPr>
        <w:t> </w:t>
      </w:r>
      <w:r>
        <w:rPr>
          <w:color w:val="231F20"/>
        </w:rPr>
        <w:t>общей работы. Это значительно повышает мотивацию, однако такой вид совместной дея- тельности, подразумевающий общую заинтересованность в результате, вниматель- ное и толерантное отношение друг к другу, необходимо тренировать. Само по себе это умение не сформируется.</w:t>
      </w:r>
    </w:p>
    <w:p>
      <w:pPr>
        <w:pStyle w:val="BodyText"/>
        <w:spacing w:line="235" w:lineRule="auto" w:before="5"/>
      </w:pPr>
      <w:r>
        <w:rPr>
          <w:color w:val="231F20"/>
        </w:rPr>
        <w:t>Сложность формирования отношений между учащимися внутри группы сотруд- ничества</w:t>
      </w:r>
      <w:r>
        <w:rPr>
          <w:color w:val="231F20"/>
          <w:spacing w:val="-4"/>
        </w:rPr>
        <w:t> </w:t>
      </w:r>
      <w:r>
        <w:rPr>
          <w:color w:val="231F20"/>
        </w:rPr>
        <w:t>в</w:t>
      </w:r>
      <w:r>
        <w:rPr>
          <w:color w:val="231F20"/>
          <w:spacing w:val="-4"/>
        </w:rPr>
        <w:t> </w:t>
      </w:r>
      <w:r>
        <w:rPr>
          <w:color w:val="231F20"/>
        </w:rPr>
        <w:t>поликультурных</w:t>
      </w:r>
      <w:r>
        <w:rPr>
          <w:color w:val="231F20"/>
          <w:spacing w:val="-4"/>
        </w:rPr>
        <w:t> </w:t>
      </w:r>
      <w:r>
        <w:rPr>
          <w:color w:val="231F20"/>
        </w:rPr>
        <w:t>классах</w:t>
      </w:r>
      <w:r>
        <w:rPr>
          <w:color w:val="231F20"/>
          <w:spacing w:val="-4"/>
        </w:rPr>
        <w:t> </w:t>
      </w:r>
      <w:r>
        <w:rPr>
          <w:color w:val="231F20"/>
        </w:rPr>
        <w:t>может</w:t>
      </w:r>
      <w:r>
        <w:rPr>
          <w:color w:val="231F20"/>
          <w:spacing w:val="-4"/>
        </w:rPr>
        <w:t> </w:t>
      </w:r>
      <w:r>
        <w:rPr>
          <w:color w:val="231F20"/>
        </w:rPr>
        <w:t>осложниться</w:t>
      </w:r>
      <w:r>
        <w:rPr>
          <w:color w:val="231F20"/>
          <w:spacing w:val="-4"/>
        </w:rPr>
        <w:t> </w:t>
      </w:r>
      <w:r>
        <w:rPr>
          <w:color w:val="231F20"/>
        </w:rPr>
        <w:t>дополнительными</w:t>
      </w:r>
      <w:r>
        <w:rPr>
          <w:color w:val="231F20"/>
          <w:spacing w:val="-4"/>
        </w:rPr>
        <w:t> </w:t>
      </w:r>
      <w:r>
        <w:rPr>
          <w:color w:val="231F20"/>
        </w:rPr>
        <w:t>фактора- ми, которые учителю тоже нужно принять во внимание:</w:t>
      </w:r>
    </w:p>
    <w:p>
      <w:pPr>
        <w:pStyle w:val="ListParagraph"/>
        <w:numPr>
          <w:ilvl w:val="0"/>
          <w:numId w:val="173"/>
        </w:numPr>
        <w:tabs>
          <w:tab w:pos="424" w:val="left" w:leader="none"/>
        </w:tabs>
        <w:spacing w:line="226" w:lineRule="exact" w:before="0" w:after="0"/>
        <w:ind w:left="424" w:right="0" w:hanging="283"/>
        <w:jc w:val="both"/>
        <w:rPr>
          <w:sz w:val="20"/>
        </w:rPr>
      </w:pPr>
      <w:r>
        <w:rPr>
          <w:color w:val="231F20"/>
          <w:sz w:val="20"/>
        </w:rPr>
        <w:t>социокультурные</w:t>
      </w:r>
      <w:r>
        <w:rPr>
          <w:color w:val="231F20"/>
          <w:spacing w:val="-5"/>
          <w:sz w:val="20"/>
        </w:rPr>
        <w:t> </w:t>
      </w:r>
      <w:r>
        <w:rPr>
          <w:color w:val="231F20"/>
          <w:sz w:val="20"/>
        </w:rPr>
        <w:t>особенности</w:t>
      </w:r>
      <w:r>
        <w:rPr>
          <w:color w:val="231F20"/>
          <w:spacing w:val="-3"/>
          <w:sz w:val="20"/>
        </w:rPr>
        <w:t> </w:t>
      </w:r>
      <w:r>
        <w:rPr>
          <w:color w:val="231F20"/>
          <w:sz w:val="20"/>
        </w:rPr>
        <w:t>и</w:t>
      </w:r>
      <w:r>
        <w:rPr>
          <w:color w:val="231F20"/>
          <w:spacing w:val="-2"/>
          <w:sz w:val="20"/>
        </w:rPr>
        <w:t> </w:t>
      </w:r>
      <w:r>
        <w:rPr>
          <w:color w:val="231F20"/>
          <w:sz w:val="20"/>
        </w:rPr>
        <w:t>традиции</w:t>
      </w:r>
      <w:r>
        <w:rPr>
          <w:color w:val="231F20"/>
          <w:spacing w:val="-3"/>
          <w:sz w:val="20"/>
        </w:rPr>
        <w:t> </w:t>
      </w:r>
      <w:r>
        <w:rPr>
          <w:color w:val="231F20"/>
          <w:sz w:val="20"/>
        </w:rPr>
        <w:t>в</w:t>
      </w:r>
      <w:r>
        <w:rPr>
          <w:color w:val="231F20"/>
          <w:spacing w:val="-2"/>
          <w:sz w:val="20"/>
        </w:rPr>
        <w:t> </w:t>
      </w:r>
      <w:r>
        <w:rPr>
          <w:color w:val="231F20"/>
          <w:sz w:val="20"/>
        </w:rPr>
        <w:t>коммуникации,</w:t>
      </w:r>
      <w:r>
        <w:rPr>
          <w:color w:val="231F20"/>
          <w:spacing w:val="-3"/>
          <w:sz w:val="20"/>
        </w:rPr>
        <w:t> </w:t>
      </w:r>
      <w:r>
        <w:rPr>
          <w:color w:val="231F20"/>
          <w:sz w:val="20"/>
        </w:rPr>
        <w:t>присущие</w:t>
      </w:r>
      <w:r>
        <w:rPr>
          <w:color w:val="231F20"/>
          <w:spacing w:val="-2"/>
          <w:sz w:val="20"/>
        </w:rPr>
        <w:t> учащимся</w:t>
      </w:r>
    </w:p>
    <w:p>
      <w:pPr>
        <w:pStyle w:val="BodyText"/>
        <w:spacing w:line="226" w:lineRule="exact"/>
        <w:ind w:left="425" w:right="0" w:firstLine="0"/>
      </w:pPr>
      <w:r>
        <w:rPr>
          <w:color w:val="231F20"/>
        </w:rPr>
        <w:t>–</w:t>
      </w:r>
      <w:r>
        <w:rPr>
          <w:color w:val="231F20"/>
          <w:spacing w:val="-3"/>
        </w:rPr>
        <w:t> </w:t>
      </w:r>
      <w:r>
        <w:rPr>
          <w:color w:val="231F20"/>
        </w:rPr>
        <w:t>представителям</w:t>
      </w:r>
      <w:r>
        <w:rPr>
          <w:color w:val="231F20"/>
          <w:spacing w:val="-2"/>
        </w:rPr>
        <w:t> </w:t>
      </w:r>
      <w:r>
        <w:rPr>
          <w:color w:val="231F20"/>
        </w:rPr>
        <w:t>той</w:t>
      </w:r>
      <w:r>
        <w:rPr>
          <w:color w:val="231F20"/>
          <w:spacing w:val="-3"/>
        </w:rPr>
        <w:t> </w:t>
      </w:r>
      <w:r>
        <w:rPr>
          <w:color w:val="231F20"/>
        </w:rPr>
        <w:t>или</w:t>
      </w:r>
      <w:r>
        <w:rPr>
          <w:color w:val="231F20"/>
          <w:spacing w:val="-3"/>
        </w:rPr>
        <w:t> </w:t>
      </w:r>
      <w:r>
        <w:rPr>
          <w:color w:val="231F20"/>
        </w:rPr>
        <w:t>иной</w:t>
      </w:r>
      <w:r>
        <w:rPr>
          <w:color w:val="231F20"/>
          <w:spacing w:val="-2"/>
        </w:rPr>
        <w:t> культуры;</w:t>
      </w:r>
    </w:p>
    <w:p>
      <w:pPr>
        <w:pStyle w:val="ListParagraph"/>
        <w:numPr>
          <w:ilvl w:val="0"/>
          <w:numId w:val="173"/>
        </w:numPr>
        <w:tabs>
          <w:tab w:pos="425" w:val="left" w:leader="none"/>
        </w:tabs>
        <w:spacing w:line="235" w:lineRule="auto" w:before="1" w:after="0"/>
        <w:ind w:left="425" w:right="140" w:hanging="284"/>
        <w:jc w:val="both"/>
        <w:rPr>
          <w:sz w:val="20"/>
        </w:rPr>
      </w:pPr>
      <w:r>
        <w:rPr>
          <w:color w:val="231F20"/>
          <w:sz w:val="20"/>
        </w:rPr>
        <w:t>гендерные особенности (особенности поведения девочек и мальчиков той или иной национальности);</w:t>
      </w:r>
    </w:p>
    <w:p>
      <w:pPr>
        <w:pStyle w:val="ListParagraph"/>
        <w:numPr>
          <w:ilvl w:val="0"/>
          <w:numId w:val="173"/>
        </w:numPr>
        <w:tabs>
          <w:tab w:pos="425" w:val="left" w:leader="none"/>
        </w:tabs>
        <w:spacing w:line="235" w:lineRule="auto" w:before="2" w:after="0"/>
        <w:ind w:left="425" w:right="139" w:hanging="284"/>
        <w:jc w:val="both"/>
        <w:rPr>
          <w:sz w:val="20"/>
        </w:rPr>
      </w:pPr>
      <w:r>
        <w:rPr>
          <w:color w:val="231F20"/>
          <w:sz w:val="20"/>
        </w:rPr>
        <w:t>физические</w:t>
      </w:r>
      <w:r>
        <w:rPr>
          <w:color w:val="231F20"/>
          <w:spacing w:val="-11"/>
          <w:sz w:val="20"/>
        </w:rPr>
        <w:t> </w:t>
      </w:r>
      <w:r>
        <w:rPr>
          <w:color w:val="231F20"/>
          <w:sz w:val="20"/>
        </w:rPr>
        <w:t>границы</w:t>
      </w:r>
      <w:r>
        <w:rPr>
          <w:color w:val="231F20"/>
          <w:spacing w:val="-11"/>
          <w:sz w:val="20"/>
        </w:rPr>
        <w:t> </w:t>
      </w:r>
      <w:r>
        <w:rPr>
          <w:color w:val="231F20"/>
          <w:sz w:val="20"/>
        </w:rPr>
        <w:t>(при</w:t>
      </w:r>
      <w:r>
        <w:rPr>
          <w:color w:val="231F20"/>
          <w:spacing w:val="-11"/>
          <w:sz w:val="20"/>
        </w:rPr>
        <w:t> </w:t>
      </w:r>
      <w:r>
        <w:rPr>
          <w:color w:val="231F20"/>
          <w:sz w:val="20"/>
        </w:rPr>
        <w:t>групповой</w:t>
      </w:r>
      <w:r>
        <w:rPr>
          <w:color w:val="231F20"/>
          <w:spacing w:val="-11"/>
          <w:sz w:val="20"/>
        </w:rPr>
        <w:t> </w:t>
      </w:r>
      <w:r>
        <w:rPr>
          <w:color w:val="231F20"/>
          <w:sz w:val="20"/>
        </w:rPr>
        <w:t>работе</w:t>
      </w:r>
      <w:r>
        <w:rPr>
          <w:color w:val="231F20"/>
          <w:spacing w:val="-11"/>
          <w:sz w:val="20"/>
        </w:rPr>
        <w:t> </w:t>
      </w:r>
      <w:r>
        <w:rPr>
          <w:color w:val="231F20"/>
          <w:sz w:val="20"/>
        </w:rPr>
        <w:t>меняется</w:t>
      </w:r>
      <w:r>
        <w:rPr>
          <w:color w:val="231F20"/>
          <w:spacing w:val="-11"/>
          <w:sz w:val="20"/>
        </w:rPr>
        <w:t> </w:t>
      </w:r>
      <w:r>
        <w:rPr>
          <w:color w:val="231F20"/>
          <w:sz w:val="20"/>
        </w:rPr>
        <w:t>дистанция</w:t>
      </w:r>
      <w:r>
        <w:rPr>
          <w:color w:val="231F20"/>
          <w:spacing w:val="-11"/>
          <w:sz w:val="20"/>
        </w:rPr>
        <w:t> </w:t>
      </w:r>
      <w:r>
        <w:rPr>
          <w:color w:val="231F20"/>
          <w:sz w:val="20"/>
        </w:rPr>
        <w:t>между</w:t>
      </w:r>
      <w:r>
        <w:rPr>
          <w:color w:val="231F20"/>
          <w:spacing w:val="-11"/>
          <w:sz w:val="20"/>
        </w:rPr>
        <w:t> </w:t>
      </w:r>
      <w:r>
        <w:rPr>
          <w:color w:val="231F20"/>
          <w:sz w:val="20"/>
        </w:rPr>
        <w:t>учащими- ся в классе, расположение мебели и пр.).</w:t>
      </w:r>
    </w:p>
    <w:p>
      <w:pPr>
        <w:pStyle w:val="BodyText"/>
        <w:spacing w:line="235" w:lineRule="auto" w:before="1"/>
      </w:pPr>
      <w:r>
        <w:rPr>
          <w:color w:val="231F20"/>
        </w:rPr>
        <w:t>Поскольку групповая учебная работа в формате обучения в сотрудничестве пре- жде</w:t>
      </w:r>
      <w:r>
        <w:rPr>
          <w:color w:val="231F20"/>
          <w:spacing w:val="-2"/>
        </w:rPr>
        <w:t> </w:t>
      </w:r>
      <w:r>
        <w:rPr>
          <w:color w:val="231F20"/>
        </w:rPr>
        <w:t>всего</w:t>
      </w:r>
      <w:r>
        <w:rPr>
          <w:color w:val="231F20"/>
          <w:spacing w:val="-2"/>
        </w:rPr>
        <w:t> </w:t>
      </w:r>
      <w:r>
        <w:rPr>
          <w:color w:val="231F20"/>
        </w:rPr>
        <w:t>коллективная</w:t>
      </w:r>
      <w:r>
        <w:rPr>
          <w:color w:val="231F20"/>
          <w:spacing w:val="-1"/>
        </w:rPr>
        <w:t> </w:t>
      </w:r>
      <w:r>
        <w:rPr>
          <w:color w:val="231F20"/>
        </w:rPr>
        <w:t>деятельность,</w:t>
      </w:r>
      <w:r>
        <w:rPr>
          <w:color w:val="231F20"/>
          <w:spacing w:val="-2"/>
        </w:rPr>
        <w:t> </w:t>
      </w:r>
      <w:r>
        <w:rPr>
          <w:color w:val="231F20"/>
        </w:rPr>
        <w:t>то</w:t>
      </w:r>
      <w:r>
        <w:rPr>
          <w:color w:val="231F20"/>
          <w:spacing w:val="-2"/>
        </w:rPr>
        <w:t> </w:t>
      </w:r>
      <w:r>
        <w:rPr>
          <w:color w:val="231F20"/>
        </w:rPr>
        <w:t>учащимся,</w:t>
      </w:r>
      <w:r>
        <w:rPr>
          <w:color w:val="231F20"/>
          <w:spacing w:val="-2"/>
        </w:rPr>
        <w:t> </w:t>
      </w:r>
      <w:r>
        <w:rPr>
          <w:color w:val="231F20"/>
        </w:rPr>
        <w:t>представляющим</w:t>
      </w:r>
      <w:r>
        <w:rPr>
          <w:color w:val="231F20"/>
          <w:spacing w:val="-1"/>
        </w:rPr>
        <w:t> </w:t>
      </w:r>
      <w:r>
        <w:rPr>
          <w:color w:val="231F20"/>
        </w:rPr>
        <w:t>индивидуали- стические культуры (для которых главное – это проявление индивидуализма и ори- ентация на соперничество с другими), будет сложнее привыкать к работе в единой команде,</w:t>
      </w:r>
      <w:r>
        <w:rPr>
          <w:color w:val="231F20"/>
          <w:spacing w:val="-4"/>
        </w:rPr>
        <w:t> </w:t>
      </w:r>
      <w:r>
        <w:rPr>
          <w:color w:val="231F20"/>
        </w:rPr>
        <w:t>где</w:t>
      </w:r>
      <w:r>
        <w:rPr>
          <w:color w:val="231F20"/>
          <w:spacing w:val="-4"/>
        </w:rPr>
        <w:t> </w:t>
      </w:r>
      <w:r>
        <w:rPr>
          <w:color w:val="231F20"/>
        </w:rPr>
        <w:t>распределяется</w:t>
      </w:r>
      <w:r>
        <w:rPr>
          <w:color w:val="231F20"/>
          <w:spacing w:val="-4"/>
        </w:rPr>
        <w:t> </w:t>
      </w:r>
      <w:r>
        <w:rPr>
          <w:color w:val="231F20"/>
        </w:rPr>
        <w:t>ответственность</w:t>
      </w:r>
      <w:r>
        <w:rPr>
          <w:color w:val="231F20"/>
          <w:spacing w:val="-4"/>
        </w:rPr>
        <w:t> </w:t>
      </w:r>
      <w:r>
        <w:rPr>
          <w:color w:val="231F20"/>
        </w:rPr>
        <w:t>за</w:t>
      </w:r>
      <w:r>
        <w:rPr>
          <w:color w:val="231F20"/>
          <w:spacing w:val="-4"/>
        </w:rPr>
        <w:t> </w:t>
      </w:r>
      <w:r>
        <w:rPr>
          <w:color w:val="231F20"/>
        </w:rPr>
        <w:t>результат</w:t>
      </w:r>
      <w:r>
        <w:rPr>
          <w:color w:val="231F20"/>
          <w:spacing w:val="-4"/>
        </w:rPr>
        <w:t> </w:t>
      </w:r>
      <w:r>
        <w:rPr>
          <w:color w:val="231F20"/>
        </w:rPr>
        <w:t>и</w:t>
      </w:r>
      <w:r>
        <w:rPr>
          <w:color w:val="231F20"/>
          <w:spacing w:val="-4"/>
        </w:rPr>
        <w:t> </w:t>
      </w:r>
      <w:r>
        <w:rPr>
          <w:color w:val="231F20"/>
        </w:rPr>
        <w:t>одним</w:t>
      </w:r>
      <w:r>
        <w:rPr>
          <w:color w:val="231F20"/>
          <w:spacing w:val="-4"/>
        </w:rPr>
        <w:t> </w:t>
      </w:r>
      <w:r>
        <w:rPr>
          <w:color w:val="231F20"/>
        </w:rPr>
        <w:t>из</w:t>
      </w:r>
      <w:r>
        <w:rPr>
          <w:color w:val="231F20"/>
          <w:spacing w:val="-4"/>
        </w:rPr>
        <w:t> </w:t>
      </w:r>
      <w:r>
        <w:rPr>
          <w:color w:val="231F20"/>
        </w:rPr>
        <w:t>главных</w:t>
      </w:r>
      <w:r>
        <w:rPr>
          <w:color w:val="231F20"/>
          <w:spacing w:val="-4"/>
        </w:rPr>
        <w:t> </w:t>
      </w:r>
      <w:r>
        <w:rPr>
          <w:color w:val="231F20"/>
        </w:rPr>
        <w:t>прин- ципов работы становится не внутренняя конкуренция, а помощь тем, кому она нуж- на, взаимоподдержка и взаимообучение. Также важно отметить, что при обучении в сотрудничестве учитель формирует группы не по имеющемуся у учащихся уровню академических достижений, а так, чтобы в каждой группе в равной степени были и сильные, и слабые ученики. Также важно, чтобы дети иностранных граждан и/или дети с миграционным опытом принимали участие в разных группах, «перемешива- ясь» с детьми иных социальных страт.</w:t>
      </w:r>
    </w:p>
    <w:p>
      <w:pPr>
        <w:spacing w:line="228" w:lineRule="exact" w:before="117"/>
        <w:ind w:left="425" w:right="0" w:firstLine="0"/>
        <w:jc w:val="both"/>
        <w:rPr>
          <w:b/>
          <w:sz w:val="20"/>
        </w:rPr>
      </w:pPr>
      <w:r>
        <w:rPr>
          <w:b/>
          <w:color w:val="231F20"/>
          <w:sz w:val="20"/>
        </w:rPr>
        <w:t>Эффективность</w:t>
      </w:r>
      <w:r>
        <w:rPr>
          <w:b/>
          <w:color w:val="231F20"/>
          <w:spacing w:val="-11"/>
          <w:sz w:val="20"/>
        </w:rPr>
        <w:t> </w:t>
      </w:r>
      <w:r>
        <w:rPr>
          <w:b/>
          <w:color w:val="231F20"/>
          <w:sz w:val="20"/>
        </w:rPr>
        <w:t>обучения</w:t>
      </w:r>
      <w:r>
        <w:rPr>
          <w:b/>
          <w:color w:val="231F20"/>
          <w:spacing w:val="-9"/>
          <w:sz w:val="20"/>
        </w:rPr>
        <w:t> </w:t>
      </w:r>
      <w:r>
        <w:rPr>
          <w:b/>
          <w:color w:val="231F20"/>
          <w:sz w:val="20"/>
        </w:rPr>
        <w:t>в</w:t>
      </w:r>
      <w:r>
        <w:rPr>
          <w:b/>
          <w:color w:val="231F20"/>
          <w:spacing w:val="-8"/>
          <w:sz w:val="20"/>
        </w:rPr>
        <w:t> </w:t>
      </w:r>
      <w:r>
        <w:rPr>
          <w:b/>
          <w:color w:val="231F20"/>
          <w:sz w:val="20"/>
        </w:rPr>
        <w:t>сотрудничестве</w:t>
      </w:r>
      <w:r>
        <w:rPr>
          <w:b/>
          <w:color w:val="231F20"/>
          <w:spacing w:val="-9"/>
          <w:sz w:val="20"/>
        </w:rPr>
        <w:t> </w:t>
      </w:r>
      <w:r>
        <w:rPr>
          <w:b/>
          <w:color w:val="231F20"/>
          <w:sz w:val="20"/>
        </w:rPr>
        <w:t>в</w:t>
      </w:r>
      <w:r>
        <w:rPr>
          <w:b/>
          <w:color w:val="231F20"/>
          <w:spacing w:val="-8"/>
          <w:sz w:val="20"/>
        </w:rPr>
        <w:t> </w:t>
      </w:r>
      <w:r>
        <w:rPr>
          <w:b/>
          <w:color w:val="231F20"/>
          <w:sz w:val="20"/>
        </w:rPr>
        <w:t>поликультурном</w:t>
      </w:r>
      <w:r>
        <w:rPr>
          <w:b/>
          <w:color w:val="231F20"/>
          <w:spacing w:val="-9"/>
          <w:sz w:val="20"/>
        </w:rPr>
        <w:t> </w:t>
      </w:r>
      <w:r>
        <w:rPr>
          <w:b/>
          <w:color w:val="231F20"/>
          <w:spacing w:val="-2"/>
          <w:sz w:val="20"/>
        </w:rPr>
        <w:t>классе</w:t>
      </w:r>
    </w:p>
    <w:p>
      <w:pPr>
        <w:pStyle w:val="BodyText"/>
        <w:spacing w:line="235" w:lineRule="auto" w:before="2"/>
      </w:pPr>
      <w:r>
        <w:rPr>
          <w:color w:val="231F20"/>
        </w:rPr>
        <w:t>Обучение в группах сотрудничества меняет чувства людей по отношению друг к другу,</w:t>
      </w:r>
      <w:r>
        <w:rPr>
          <w:color w:val="231F20"/>
          <w:spacing w:val="-5"/>
        </w:rPr>
        <w:t> </w:t>
      </w:r>
      <w:r>
        <w:rPr>
          <w:color w:val="231F20"/>
        </w:rPr>
        <w:t>формирует</w:t>
      </w:r>
      <w:r>
        <w:rPr>
          <w:color w:val="231F20"/>
          <w:spacing w:val="-6"/>
        </w:rPr>
        <w:t> </w:t>
      </w:r>
      <w:r>
        <w:rPr>
          <w:color w:val="231F20"/>
        </w:rPr>
        <w:t>межличностные</w:t>
      </w:r>
      <w:r>
        <w:rPr>
          <w:color w:val="231F20"/>
          <w:spacing w:val="-5"/>
        </w:rPr>
        <w:t> </w:t>
      </w:r>
      <w:r>
        <w:rPr>
          <w:color w:val="231F20"/>
        </w:rPr>
        <w:t>связи</w:t>
      </w:r>
      <w:r>
        <w:rPr>
          <w:color w:val="231F20"/>
          <w:spacing w:val="-6"/>
        </w:rPr>
        <w:t> </w:t>
      </w:r>
      <w:r>
        <w:rPr>
          <w:color w:val="231F20"/>
        </w:rPr>
        <w:t>и</w:t>
      </w:r>
      <w:r>
        <w:rPr>
          <w:color w:val="231F20"/>
          <w:spacing w:val="-5"/>
        </w:rPr>
        <w:t> </w:t>
      </w:r>
      <w:r>
        <w:rPr>
          <w:color w:val="231F20"/>
        </w:rPr>
        <w:t>доверие,</w:t>
      </w:r>
      <w:r>
        <w:rPr>
          <w:color w:val="231F20"/>
          <w:spacing w:val="-6"/>
        </w:rPr>
        <w:t> </w:t>
      </w:r>
      <w:r>
        <w:rPr>
          <w:color w:val="231F20"/>
        </w:rPr>
        <w:t>влияет</w:t>
      </w:r>
      <w:r>
        <w:rPr>
          <w:color w:val="231F20"/>
          <w:spacing w:val="-5"/>
        </w:rPr>
        <w:t> </w:t>
      </w:r>
      <w:r>
        <w:rPr>
          <w:color w:val="231F20"/>
        </w:rPr>
        <w:t>на</w:t>
      </w:r>
      <w:r>
        <w:rPr>
          <w:color w:val="231F20"/>
          <w:spacing w:val="-5"/>
        </w:rPr>
        <w:t> </w:t>
      </w:r>
      <w:r>
        <w:rPr>
          <w:color w:val="231F20"/>
        </w:rPr>
        <w:t>групповую</w:t>
      </w:r>
      <w:r>
        <w:rPr>
          <w:color w:val="231F20"/>
          <w:spacing w:val="-6"/>
        </w:rPr>
        <w:t> </w:t>
      </w:r>
      <w:r>
        <w:rPr>
          <w:color w:val="231F20"/>
        </w:rPr>
        <w:t>динамику</w:t>
      </w:r>
      <w:r>
        <w:rPr>
          <w:color w:val="231F20"/>
          <w:spacing w:val="-5"/>
        </w:rPr>
        <w:t> </w:t>
      </w:r>
      <w:r>
        <w:rPr>
          <w:color w:val="231F20"/>
        </w:rPr>
        <w:t>в классе,</w:t>
      </w:r>
      <w:r>
        <w:rPr>
          <w:color w:val="231F20"/>
          <w:spacing w:val="-13"/>
        </w:rPr>
        <w:t> </w:t>
      </w:r>
      <w:r>
        <w:rPr>
          <w:color w:val="231F20"/>
        </w:rPr>
        <w:t>помогает</w:t>
      </w:r>
      <w:r>
        <w:rPr>
          <w:color w:val="231F20"/>
          <w:spacing w:val="-12"/>
        </w:rPr>
        <w:t> </w:t>
      </w:r>
      <w:r>
        <w:rPr>
          <w:color w:val="231F20"/>
        </w:rPr>
        <w:t>неуспешным</w:t>
      </w:r>
      <w:r>
        <w:rPr>
          <w:color w:val="231F20"/>
          <w:spacing w:val="-13"/>
        </w:rPr>
        <w:t> </w:t>
      </w:r>
      <w:r>
        <w:rPr>
          <w:color w:val="231F20"/>
        </w:rPr>
        <w:t>учащимся</w:t>
      </w:r>
      <w:r>
        <w:rPr>
          <w:color w:val="231F20"/>
          <w:spacing w:val="-12"/>
        </w:rPr>
        <w:t> </w:t>
      </w:r>
      <w:r>
        <w:rPr>
          <w:color w:val="231F20"/>
        </w:rPr>
        <w:t>поверить</w:t>
      </w:r>
      <w:r>
        <w:rPr>
          <w:color w:val="231F20"/>
          <w:spacing w:val="-13"/>
        </w:rPr>
        <w:t> </w:t>
      </w:r>
      <w:r>
        <w:rPr>
          <w:color w:val="231F20"/>
        </w:rPr>
        <w:t>в</w:t>
      </w:r>
      <w:r>
        <w:rPr>
          <w:color w:val="231F20"/>
          <w:spacing w:val="-12"/>
        </w:rPr>
        <w:t> </w:t>
      </w:r>
      <w:r>
        <w:rPr>
          <w:color w:val="231F20"/>
        </w:rPr>
        <w:t>себя</w:t>
      </w:r>
      <w:r>
        <w:rPr>
          <w:color w:val="231F20"/>
          <w:spacing w:val="-13"/>
        </w:rPr>
        <w:t> </w:t>
      </w:r>
      <w:r>
        <w:rPr>
          <w:color w:val="231F20"/>
        </w:rPr>
        <w:t>и</w:t>
      </w:r>
      <w:r>
        <w:rPr>
          <w:color w:val="231F20"/>
          <w:spacing w:val="-12"/>
        </w:rPr>
        <w:t> </w:t>
      </w:r>
      <w:r>
        <w:rPr>
          <w:color w:val="231F20"/>
        </w:rPr>
        <w:t>повысить</w:t>
      </w:r>
      <w:r>
        <w:rPr>
          <w:color w:val="231F20"/>
          <w:spacing w:val="-13"/>
        </w:rPr>
        <w:t> </w:t>
      </w:r>
      <w:r>
        <w:rPr>
          <w:color w:val="231F20"/>
        </w:rPr>
        <w:t>мотивацию</w:t>
      </w:r>
      <w:r>
        <w:rPr>
          <w:color w:val="231F20"/>
          <w:spacing w:val="-12"/>
        </w:rPr>
        <w:t> </w:t>
      </w:r>
      <w:r>
        <w:rPr>
          <w:color w:val="231F20"/>
        </w:rPr>
        <w:t>к</w:t>
      </w:r>
      <w:r>
        <w:rPr>
          <w:color w:val="231F20"/>
          <w:spacing w:val="-13"/>
        </w:rPr>
        <w:t> </w:t>
      </w:r>
      <w:r>
        <w:rPr>
          <w:color w:val="231F20"/>
        </w:rPr>
        <w:t>об- учению.</w:t>
      </w:r>
      <w:r>
        <w:rPr>
          <w:color w:val="231F20"/>
          <w:spacing w:val="-9"/>
        </w:rPr>
        <w:t> </w:t>
      </w:r>
      <w:r>
        <w:rPr>
          <w:color w:val="231F20"/>
        </w:rPr>
        <w:t>В</w:t>
      </w:r>
      <w:r>
        <w:rPr>
          <w:color w:val="231F20"/>
          <w:spacing w:val="-9"/>
        </w:rPr>
        <w:t> </w:t>
      </w:r>
      <w:r>
        <w:rPr>
          <w:color w:val="231F20"/>
        </w:rPr>
        <w:t>условиях</w:t>
      </w:r>
      <w:r>
        <w:rPr>
          <w:color w:val="231F20"/>
          <w:spacing w:val="-9"/>
        </w:rPr>
        <w:t> </w:t>
      </w:r>
      <w:r>
        <w:rPr>
          <w:color w:val="231F20"/>
        </w:rPr>
        <w:t>поликультурного</w:t>
      </w:r>
      <w:r>
        <w:rPr>
          <w:color w:val="231F20"/>
          <w:spacing w:val="-9"/>
        </w:rPr>
        <w:t> </w:t>
      </w:r>
      <w:r>
        <w:rPr>
          <w:color w:val="231F20"/>
        </w:rPr>
        <w:t>класса</w:t>
      </w:r>
      <w:r>
        <w:rPr>
          <w:color w:val="231F20"/>
          <w:spacing w:val="-9"/>
        </w:rPr>
        <w:t> </w:t>
      </w:r>
      <w:r>
        <w:rPr>
          <w:color w:val="231F20"/>
        </w:rPr>
        <w:t>обучение</w:t>
      </w:r>
      <w:r>
        <w:rPr>
          <w:color w:val="231F20"/>
          <w:spacing w:val="-9"/>
        </w:rPr>
        <w:t> </w:t>
      </w:r>
      <w:r>
        <w:rPr>
          <w:color w:val="231F20"/>
        </w:rPr>
        <w:t>в</w:t>
      </w:r>
      <w:r>
        <w:rPr>
          <w:color w:val="231F20"/>
          <w:spacing w:val="-9"/>
        </w:rPr>
        <w:t> </w:t>
      </w:r>
      <w:r>
        <w:rPr>
          <w:color w:val="231F20"/>
        </w:rPr>
        <w:t>сотрудничестве</w:t>
      </w:r>
      <w:r>
        <w:rPr>
          <w:color w:val="231F20"/>
          <w:spacing w:val="-9"/>
        </w:rPr>
        <w:t> </w:t>
      </w:r>
      <w:r>
        <w:rPr>
          <w:color w:val="231F20"/>
        </w:rPr>
        <w:t>способству- ет</w:t>
      </w:r>
      <w:r>
        <w:rPr>
          <w:color w:val="231F20"/>
          <w:spacing w:val="-13"/>
        </w:rPr>
        <w:t> </w:t>
      </w:r>
      <w:r>
        <w:rPr>
          <w:color w:val="231F20"/>
        </w:rPr>
        <w:t>выстраиванию</w:t>
      </w:r>
      <w:r>
        <w:rPr>
          <w:color w:val="231F20"/>
          <w:spacing w:val="-12"/>
        </w:rPr>
        <w:t> </w:t>
      </w:r>
      <w:r>
        <w:rPr>
          <w:color w:val="231F20"/>
        </w:rPr>
        <w:t>более</w:t>
      </w:r>
      <w:r>
        <w:rPr>
          <w:color w:val="231F20"/>
          <w:spacing w:val="-13"/>
        </w:rPr>
        <w:t> </w:t>
      </w:r>
      <w:r>
        <w:rPr>
          <w:color w:val="231F20"/>
        </w:rPr>
        <w:t>тесных</w:t>
      </w:r>
      <w:r>
        <w:rPr>
          <w:color w:val="231F20"/>
          <w:spacing w:val="-12"/>
        </w:rPr>
        <w:t> </w:t>
      </w:r>
      <w:r>
        <w:rPr>
          <w:color w:val="231F20"/>
        </w:rPr>
        <w:t>кросс-культурных</w:t>
      </w:r>
      <w:r>
        <w:rPr>
          <w:color w:val="231F20"/>
          <w:spacing w:val="-13"/>
        </w:rPr>
        <w:t> </w:t>
      </w:r>
      <w:r>
        <w:rPr>
          <w:color w:val="231F20"/>
        </w:rPr>
        <w:t>связей,</w:t>
      </w:r>
      <w:r>
        <w:rPr>
          <w:color w:val="231F20"/>
          <w:spacing w:val="-12"/>
        </w:rPr>
        <w:t> </w:t>
      </w:r>
      <w:r>
        <w:rPr>
          <w:color w:val="231F20"/>
        </w:rPr>
        <w:t>позволяет</w:t>
      </w:r>
      <w:r>
        <w:rPr>
          <w:color w:val="231F20"/>
          <w:spacing w:val="-13"/>
        </w:rPr>
        <w:t> </w:t>
      </w:r>
      <w:r>
        <w:rPr>
          <w:color w:val="231F20"/>
        </w:rPr>
        <w:t>преодолеть</w:t>
      </w:r>
      <w:r>
        <w:rPr>
          <w:color w:val="231F20"/>
          <w:spacing w:val="-12"/>
        </w:rPr>
        <w:t> </w:t>
      </w:r>
      <w:r>
        <w:rPr>
          <w:color w:val="231F20"/>
        </w:rPr>
        <w:t>пред- рассудки и снизить уровень негативного настроя и внутренней конкуренции между членами группы сотрудничества (Славин, 1983; Шаран и др., 1984). Постепенно, в </w:t>
      </w:r>
      <w:r>
        <w:rPr>
          <w:color w:val="231F20"/>
          <w:spacing w:val="-2"/>
        </w:rPr>
        <w:t>процессе работы, внутри группы начинает формироваться командный дух, ощущение </w:t>
      </w:r>
      <w:r>
        <w:rPr>
          <w:color w:val="231F20"/>
        </w:rPr>
        <w:t>себя в группе с другими одноклассниками как «мы».</w:t>
      </w:r>
    </w:p>
    <w:p>
      <w:pPr>
        <w:pStyle w:val="BodyText"/>
        <w:spacing w:line="235" w:lineRule="auto" w:before="5"/>
      </w:pPr>
      <w:r>
        <w:rPr>
          <w:color w:val="231F20"/>
        </w:rPr>
        <w:t>Исследования обучения в сотрудничестве являются наиболее выдающимся при- мером</w:t>
      </w:r>
      <w:r>
        <w:rPr>
          <w:color w:val="231F20"/>
          <w:spacing w:val="-5"/>
        </w:rPr>
        <w:t> </w:t>
      </w:r>
      <w:r>
        <w:rPr>
          <w:color w:val="231F20"/>
        </w:rPr>
        <w:t>теоретически</w:t>
      </w:r>
      <w:r>
        <w:rPr>
          <w:color w:val="231F20"/>
          <w:spacing w:val="-6"/>
        </w:rPr>
        <w:t> </w:t>
      </w:r>
      <w:r>
        <w:rPr>
          <w:color w:val="231F20"/>
        </w:rPr>
        <w:t>обоснованных,</w:t>
      </w:r>
      <w:r>
        <w:rPr>
          <w:color w:val="231F20"/>
          <w:spacing w:val="-5"/>
        </w:rPr>
        <w:t> </w:t>
      </w:r>
      <w:r>
        <w:rPr>
          <w:color w:val="231F20"/>
        </w:rPr>
        <w:t>программных</w:t>
      </w:r>
      <w:r>
        <w:rPr>
          <w:color w:val="231F20"/>
          <w:spacing w:val="-5"/>
        </w:rPr>
        <w:t> </w:t>
      </w:r>
      <w:r>
        <w:rPr>
          <w:color w:val="231F20"/>
        </w:rPr>
        <w:t>лабораторных</w:t>
      </w:r>
      <w:r>
        <w:rPr>
          <w:color w:val="231F20"/>
          <w:spacing w:val="-5"/>
        </w:rPr>
        <w:t> </w:t>
      </w:r>
      <w:r>
        <w:rPr>
          <w:color w:val="231F20"/>
        </w:rPr>
        <w:t>и</w:t>
      </w:r>
      <w:r>
        <w:rPr>
          <w:color w:val="231F20"/>
          <w:spacing w:val="-6"/>
        </w:rPr>
        <w:t> </w:t>
      </w:r>
      <w:r>
        <w:rPr>
          <w:color w:val="231F20"/>
        </w:rPr>
        <w:t>полевых</w:t>
      </w:r>
      <w:r>
        <w:rPr>
          <w:color w:val="231F20"/>
          <w:spacing w:val="-5"/>
        </w:rPr>
        <w:t> </w:t>
      </w:r>
      <w:r>
        <w:rPr>
          <w:color w:val="231F20"/>
        </w:rPr>
        <w:t>исследо- ваний</w:t>
      </w:r>
      <w:r>
        <w:rPr>
          <w:color w:val="231F20"/>
          <w:spacing w:val="-7"/>
        </w:rPr>
        <w:t> </w:t>
      </w:r>
      <w:r>
        <w:rPr>
          <w:color w:val="231F20"/>
        </w:rPr>
        <w:t>(</w:t>
      </w:r>
      <w:r>
        <w:rPr>
          <w:color w:val="16191D"/>
        </w:rPr>
        <w:t>Paluck,</w:t>
      </w:r>
      <w:r>
        <w:rPr>
          <w:color w:val="16191D"/>
          <w:spacing w:val="-7"/>
        </w:rPr>
        <w:t> </w:t>
      </w:r>
      <w:r>
        <w:rPr>
          <w:color w:val="16191D"/>
        </w:rPr>
        <w:t>Green,</w:t>
      </w:r>
      <w:r>
        <w:rPr>
          <w:color w:val="16191D"/>
          <w:spacing w:val="-7"/>
        </w:rPr>
        <w:t> </w:t>
      </w:r>
      <w:r>
        <w:rPr>
          <w:color w:val="16191D"/>
        </w:rPr>
        <w:t>2009),</w:t>
      </w:r>
      <w:r>
        <w:rPr>
          <w:color w:val="16191D"/>
          <w:spacing w:val="-7"/>
        </w:rPr>
        <w:t> </w:t>
      </w:r>
      <w:r>
        <w:rPr>
          <w:color w:val="16191D"/>
        </w:rPr>
        <w:t>то</w:t>
      </w:r>
      <w:r>
        <w:rPr>
          <w:color w:val="16191D"/>
          <w:spacing w:val="-7"/>
        </w:rPr>
        <w:t> </w:t>
      </w:r>
      <w:r>
        <w:rPr>
          <w:color w:val="16191D"/>
        </w:rPr>
        <w:t>есть</w:t>
      </w:r>
      <w:r>
        <w:rPr>
          <w:color w:val="16191D"/>
          <w:spacing w:val="-7"/>
        </w:rPr>
        <w:t> </w:t>
      </w:r>
      <w:r>
        <w:rPr>
          <w:color w:val="16191D"/>
        </w:rPr>
        <w:t>обучение</w:t>
      </w:r>
      <w:r>
        <w:rPr>
          <w:color w:val="16191D"/>
          <w:spacing w:val="-7"/>
        </w:rPr>
        <w:t> </w:t>
      </w:r>
      <w:r>
        <w:rPr>
          <w:color w:val="16191D"/>
        </w:rPr>
        <w:t>в</w:t>
      </w:r>
      <w:r>
        <w:rPr>
          <w:color w:val="16191D"/>
          <w:spacing w:val="-7"/>
        </w:rPr>
        <w:t> </w:t>
      </w:r>
      <w:r>
        <w:rPr>
          <w:color w:val="16191D"/>
        </w:rPr>
        <w:t>сотрудничестве</w:t>
      </w:r>
      <w:r>
        <w:rPr>
          <w:color w:val="16191D"/>
          <w:spacing w:val="-7"/>
        </w:rPr>
        <w:t> </w:t>
      </w:r>
      <w:r>
        <w:rPr>
          <w:color w:val="16191D"/>
        </w:rPr>
        <w:t>–</w:t>
      </w:r>
      <w:r>
        <w:rPr>
          <w:color w:val="16191D"/>
          <w:spacing w:val="-7"/>
        </w:rPr>
        <w:t> </w:t>
      </w:r>
      <w:r>
        <w:rPr>
          <w:color w:val="16191D"/>
        </w:rPr>
        <w:t>практика</w:t>
      </w:r>
      <w:r>
        <w:rPr>
          <w:color w:val="16191D"/>
          <w:spacing w:val="-7"/>
        </w:rPr>
        <w:t> </w:t>
      </w:r>
      <w:r>
        <w:rPr>
          <w:color w:val="16191D"/>
        </w:rPr>
        <w:t>с</w:t>
      </w:r>
      <w:r>
        <w:rPr>
          <w:color w:val="16191D"/>
          <w:spacing w:val="-7"/>
        </w:rPr>
        <w:t> </w:t>
      </w:r>
      <w:r>
        <w:rPr>
          <w:color w:val="16191D"/>
        </w:rPr>
        <w:t>высоким уровнем доказательности в области преодоления предубеждений.</w:t>
      </w:r>
    </w:p>
    <w:p>
      <w:pPr>
        <w:pStyle w:val="BodyText"/>
        <w:spacing w:line="235" w:lineRule="auto" w:before="3"/>
      </w:pPr>
      <w:r>
        <w:rPr>
          <w:color w:val="231F20"/>
        </w:rPr>
        <w:t>Одним из следствий социализации учащихся в процессе обучения в сотрудниче- стве является формирование функциональной грамотности и подготовка к жизни в</w:t>
      </w:r>
    </w:p>
    <w:p>
      <w:pPr>
        <w:pStyle w:val="BodyText"/>
        <w:spacing w:after="0" w:line="235" w:lineRule="auto"/>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firstLine="0"/>
      </w:pPr>
      <w:r>
        <w:rPr>
          <w:color w:val="231F20"/>
        </w:rPr>
        <w:t>современном обществе: учащиеся вырабатывают навыки коллективного мышления и</w:t>
      </w:r>
      <w:r>
        <w:rPr>
          <w:color w:val="231F20"/>
          <w:spacing w:val="-13"/>
        </w:rPr>
        <w:t> </w:t>
      </w:r>
      <w:r>
        <w:rPr>
          <w:color w:val="231F20"/>
        </w:rPr>
        <w:t>принятия</w:t>
      </w:r>
      <w:r>
        <w:rPr>
          <w:color w:val="231F20"/>
          <w:spacing w:val="-12"/>
        </w:rPr>
        <w:t> </w:t>
      </w:r>
      <w:r>
        <w:rPr>
          <w:color w:val="231F20"/>
        </w:rPr>
        <w:t>коллегиальных</w:t>
      </w:r>
      <w:r>
        <w:rPr>
          <w:color w:val="231F20"/>
          <w:spacing w:val="-13"/>
        </w:rPr>
        <w:t> </w:t>
      </w:r>
      <w:r>
        <w:rPr>
          <w:color w:val="231F20"/>
        </w:rPr>
        <w:t>решений,</w:t>
      </w:r>
      <w:r>
        <w:rPr>
          <w:color w:val="231F20"/>
          <w:spacing w:val="-12"/>
        </w:rPr>
        <w:t> </w:t>
      </w:r>
      <w:r>
        <w:rPr>
          <w:color w:val="231F20"/>
        </w:rPr>
        <w:t>осваивают</w:t>
      </w:r>
      <w:r>
        <w:rPr>
          <w:color w:val="231F20"/>
          <w:spacing w:val="-13"/>
        </w:rPr>
        <w:t> </w:t>
      </w:r>
      <w:r>
        <w:rPr>
          <w:color w:val="231F20"/>
        </w:rPr>
        <w:t>методику</w:t>
      </w:r>
      <w:r>
        <w:rPr>
          <w:color w:val="231F20"/>
          <w:spacing w:val="-12"/>
        </w:rPr>
        <w:t> </w:t>
      </w:r>
      <w:r>
        <w:rPr>
          <w:color w:val="231F20"/>
        </w:rPr>
        <w:t>самостоятельного</w:t>
      </w:r>
      <w:r>
        <w:rPr>
          <w:color w:val="231F20"/>
          <w:spacing w:val="-13"/>
        </w:rPr>
        <w:t> </w:t>
      </w:r>
      <w:r>
        <w:rPr>
          <w:color w:val="231F20"/>
        </w:rPr>
        <w:t>решения проблем, планирования работы, постановки целей и задач, поиска и критического осмысления информации и др. Ученики, прошедшие через обучение в сотрудниче- стве, становятся более самостоятельными, активными и инициативными в отноше- нии учебной деятельности.</w:t>
      </w:r>
    </w:p>
    <w:p>
      <w:pPr>
        <w:pStyle w:val="BodyText"/>
        <w:spacing w:line="232" w:lineRule="auto" w:before="5"/>
      </w:pPr>
      <w:r>
        <w:rPr>
          <w:color w:val="231F20"/>
        </w:rPr>
        <w:t>Эффективность</w:t>
      </w:r>
      <w:r>
        <w:rPr>
          <w:color w:val="231F20"/>
          <w:spacing w:val="-5"/>
        </w:rPr>
        <w:t> </w:t>
      </w:r>
      <w:r>
        <w:rPr>
          <w:color w:val="231F20"/>
        </w:rPr>
        <w:t>обучения</w:t>
      </w:r>
      <w:r>
        <w:rPr>
          <w:color w:val="231F20"/>
          <w:spacing w:val="-5"/>
        </w:rPr>
        <w:t> </w:t>
      </w:r>
      <w:r>
        <w:rPr>
          <w:color w:val="231F20"/>
        </w:rPr>
        <w:t>в</w:t>
      </w:r>
      <w:r>
        <w:rPr>
          <w:color w:val="231F20"/>
          <w:spacing w:val="-5"/>
        </w:rPr>
        <w:t> </w:t>
      </w:r>
      <w:r>
        <w:rPr>
          <w:color w:val="231F20"/>
        </w:rPr>
        <w:t>сотрудничестве</w:t>
      </w:r>
      <w:r>
        <w:rPr>
          <w:color w:val="231F20"/>
          <w:spacing w:val="-5"/>
        </w:rPr>
        <w:t> </w:t>
      </w:r>
      <w:r>
        <w:rPr>
          <w:color w:val="231F20"/>
        </w:rPr>
        <w:t>в</w:t>
      </w:r>
      <w:r>
        <w:rPr>
          <w:color w:val="231F20"/>
          <w:spacing w:val="-5"/>
        </w:rPr>
        <w:t> </w:t>
      </w:r>
      <w:r>
        <w:rPr>
          <w:color w:val="231F20"/>
        </w:rPr>
        <w:t>поликультурных</w:t>
      </w:r>
      <w:r>
        <w:rPr>
          <w:color w:val="231F20"/>
          <w:spacing w:val="-5"/>
        </w:rPr>
        <w:t> </w:t>
      </w:r>
      <w:r>
        <w:rPr>
          <w:color w:val="231F20"/>
        </w:rPr>
        <w:t>классах</w:t>
      </w:r>
      <w:r>
        <w:rPr>
          <w:color w:val="231F20"/>
          <w:spacing w:val="-5"/>
        </w:rPr>
        <w:t> </w:t>
      </w:r>
      <w:r>
        <w:rPr>
          <w:color w:val="231F20"/>
        </w:rPr>
        <w:t>во</w:t>
      </w:r>
      <w:r>
        <w:rPr>
          <w:color w:val="231F20"/>
          <w:spacing w:val="-5"/>
        </w:rPr>
        <w:t> </w:t>
      </w:r>
      <w:r>
        <w:rPr>
          <w:color w:val="231F20"/>
        </w:rPr>
        <w:t>многом определяется</w:t>
      </w:r>
      <w:r>
        <w:rPr>
          <w:color w:val="231F20"/>
          <w:spacing w:val="-7"/>
        </w:rPr>
        <w:t> </w:t>
      </w:r>
      <w:r>
        <w:rPr>
          <w:color w:val="231F20"/>
        </w:rPr>
        <w:t>тем,</w:t>
      </w:r>
      <w:r>
        <w:rPr>
          <w:color w:val="231F20"/>
          <w:spacing w:val="-7"/>
        </w:rPr>
        <w:t> </w:t>
      </w:r>
      <w:r>
        <w:rPr>
          <w:color w:val="231F20"/>
        </w:rPr>
        <w:t>как</w:t>
      </w:r>
      <w:r>
        <w:rPr>
          <w:color w:val="231F20"/>
          <w:spacing w:val="-7"/>
        </w:rPr>
        <w:t> </w:t>
      </w:r>
      <w:r>
        <w:rPr>
          <w:color w:val="231F20"/>
        </w:rPr>
        <w:t>именно</w:t>
      </w:r>
      <w:r>
        <w:rPr>
          <w:color w:val="231F20"/>
          <w:spacing w:val="-7"/>
        </w:rPr>
        <w:t> </w:t>
      </w:r>
      <w:r>
        <w:rPr>
          <w:color w:val="231F20"/>
        </w:rPr>
        <w:t>учитель</w:t>
      </w:r>
      <w:r>
        <w:rPr>
          <w:color w:val="231F20"/>
          <w:spacing w:val="-7"/>
        </w:rPr>
        <w:t> </w:t>
      </w:r>
      <w:r>
        <w:rPr>
          <w:color w:val="231F20"/>
        </w:rPr>
        <w:t>формирует</w:t>
      </w:r>
      <w:r>
        <w:rPr>
          <w:color w:val="231F20"/>
          <w:spacing w:val="-7"/>
        </w:rPr>
        <w:t> </w:t>
      </w:r>
      <w:r>
        <w:rPr>
          <w:color w:val="231F20"/>
        </w:rPr>
        <w:t>учебные</w:t>
      </w:r>
      <w:r>
        <w:rPr>
          <w:color w:val="231F20"/>
          <w:spacing w:val="-7"/>
        </w:rPr>
        <w:t> </w:t>
      </w:r>
      <w:r>
        <w:rPr>
          <w:color w:val="231F20"/>
        </w:rPr>
        <w:t>группы.</w:t>
      </w:r>
      <w:r>
        <w:rPr>
          <w:color w:val="231F20"/>
          <w:spacing w:val="-7"/>
        </w:rPr>
        <w:t> </w:t>
      </w:r>
      <w:r>
        <w:rPr>
          <w:color w:val="231F20"/>
        </w:rPr>
        <w:t>Например,</w:t>
      </w:r>
      <w:r>
        <w:rPr>
          <w:color w:val="231F20"/>
          <w:spacing w:val="-7"/>
        </w:rPr>
        <w:t> </w:t>
      </w:r>
      <w:r>
        <w:rPr>
          <w:color w:val="231F20"/>
        </w:rPr>
        <w:t>по</w:t>
      </w:r>
      <w:r>
        <w:rPr>
          <w:color w:val="231F20"/>
          <w:spacing w:val="-7"/>
        </w:rPr>
        <w:t> </w:t>
      </w:r>
      <w:r>
        <w:rPr>
          <w:color w:val="231F20"/>
        </w:rPr>
        <w:t>ка- кому</w:t>
      </w:r>
      <w:r>
        <w:rPr>
          <w:color w:val="231F20"/>
          <w:spacing w:val="-3"/>
        </w:rPr>
        <w:t> </w:t>
      </w:r>
      <w:r>
        <w:rPr>
          <w:color w:val="231F20"/>
        </w:rPr>
        <w:t>принципу</w:t>
      </w:r>
      <w:r>
        <w:rPr>
          <w:color w:val="231F20"/>
          <w:spacing w:val="-3"/>
        </w:rPr>
        <w:t> </w:t>
      </w:r>
      <w:r>
        <w:rPr>
          <w:color w:val="231F20"/>
        </w:rPr>
        <w:t>будут</w:t>
      </w:r>
      <w:r>
        <w:rPr>
          <w:color w:val="231F20"/>
          <w:spacing w:val="-3"/>
        </w:rPr>
        <w:t> </w:t>
      </w:r>
      <w:r>
        <w:rPr>
          <w:color w:val="231F20"/>
        </w:rPr>
        <w:t>сформированы</w:t>
      </w:r>
      <w:r>
        <w:rPr>
          <w:color w:val="231F20"/>
          <w:spacing w:val="-3"/>
        </w:rPr>
        <w:t> </w:t>
      </w:r>
      <w:r>
        <w:rPr>
          <w:color w:val="231F20"/>
        </w:rPr>
        <w:t>группы,</w:t>
      </w:r>
      <w:r>
        <w:rPr>
          <w:color w:val="231F20"/>
          <w:spacing w:val="-3"/>
        </w:rPr>
        <w:t> </w:t>
      </w:r>
      <w:r>
        <w:rPr>
          <w:color w:val="231F20"/>
        </w:rPr>
        <w:t>если</w:t>
      </w:r>
      <w:r>
        <w:rPr>
          <w:color w:val="231F20"/>
          <w:spacing w:val="-3"/>
        </w:rPr>
        <w:t> </w:t>
      </w:r>
      <w:r>
        <w:rPr>
          <w:color w:val="231F20"/>
        </w:rPr>
        <w:t>известно,</w:t>
      </w:r>
      <w:r>
        <w:rPr>
          <w:color w:val="231F20"/>
          <w:spacing w:val="-3"/>
        </w:rPr>
        <w:t> </w:t>
      </w:r>
      <w:r>
        <w:rPr>
          <w:color w:val="231F20"/>
        </w:rPr>
        <w:t>что</w:t>
      </w:r>
      <w:r>
        <w:rPr>
          <w:color w:val="231F20"/>
          <w:spacing w:val="-3"/>
        </w:rPr>
        <w:t> </w:t>
      </w:r>
      <w:r>
        <w:rPr>
          <w:color w:val="231F20"/>
        </w:rPr>
        <w:t>в</w:t>
      </w:r>
      <w:r>
        <w:rPr>
          <w:color w:val="231F20"/>
          <w:spacing w:val="-3"/>
        </w:rPr>
        <w:t> </w:t>
      </w:r>
      <w:r>
        <w:rPr>
          <w:color w:val="231F20"/>
        </w:rPr>
        <w:t>классе</w:t>
      </w:r>
      <w:r>
        <w:rPr>
          <w:color w:val="231F20"/>
          <w:spacing w:val="-3"/>
        </w:rPr>
        <w:t> </w:t>
      </w:r>
      <w:r>
        <w:rPr>
          <w:color w:val="231F20"/>
        </w:rPr>
        <w:t>есть</w:t>
      </w:r>
      <w:r>
        <w:rPr>
          <w:color w:val="231F20"/>
          <w:spacing w:val="-3"/>
        </w:rPr>
        <w:t> </w:t>
      </w:r>
      <w:r>
        <w:rPr>
          <w:color w:val="231F20"/>
        </w:rPr>
        <w:t>дети</w:t>
      </w:r>
      <w:r>
        <w:rPr>
          <w:color w:val="231F20"/>
          <w:spacing w:val="-3"/>
        </w:rPr>
        <w:t> </w:t>
      </w:r>
      <w:r>
        <w:rPr>
          <w:color w:val="231F20"/>
        </w:rPr>
        <w:t>с высоким уровнем обученности и дети, испытывающие трудности в обучении, плохо владеющие</w:t>
      </w:r>
      <w:r>
        <w:rPr>
          <w:color w:val="231F20"/>
          <w:spacing w:val="-2"/>
        </w:rPr>
        <w:t> </w:t>
      </w:r>
      <w:r>
        <w:rPr>
          <w:color w:val="231F20"/>
        </w:rPr>
        <w:t>русским</w:t>
      </w:r>
      <w:r>
        <w:rPr>
          <w:color w:val="231F20"/>
          <w:spacing w:val="-2"/>
        </w:rPr>
        <w:t> </w:t>
      </w:r>
      <w:r>
        <w:rPr>
          <w:color w:val="231F20"/>
        </w:rPr>
        <w:t>языком</w:t>
      </w:r>
      <w:r>
        <w:rPr>
          <w:color w:val="231F20"/>
          <w:spacing w:val="-2"/>
        </w:rPr>
        <w:t> </w:t>
      </w:r>
      <w:r>
        <w:rPr>
          <w:color w:val="231F20"/>
        </w:rPr>
        <w:t>или</w:t>
      </w:r>
      <w:r>
        <w:rPr>
          <w:color w:val="231F20"/>
          <w:spacing w:val="-2"/>
        </w:rPr>
        <w:t> </w:t>
      </w:r>
      <w:r>
        <w:rPr>
          <w:color w:val="231F20"/>
        </w:rPr>
        <w:t>имеющие</w:t>
      </w:r>
      <w:r>
        <w:rPr>
          <w:color w:val="231F20"/>
          <w:spacing w:val="-2"/>
        </w:rPr>
        <w:t> </w:t>
      </w:r>
      <w:r>
        <w:rPr>
          <w:color w:val="231F20"/>
        </w:rPr>
        <w:t>какие-либо</w:t>
      </w:r>
      <w:r>
        <w:rPr>
          <w:color w:val="231F20"/>
          <w:spacing w:val="-2"/>
        </w:rPr>
        <w:t> </w:t>
      </w:r>
      <w:r>
        <w:rPr>
          <w:color w:val="231F20"/>
        </w:rPr>
        <w:t>проблемы</w:t>
      </w:r>
      <w:r>
        <w:rPr>
          <w:color w:val="231F20"/>
          <w:spacing w:val="-2"/>
        </w:rPr>
        <w:t> </w:t>
      </w:r>
      <w:r>
        <w:rPr>
          <w:color w:val="231F20"/>
        </w:rPr>
        <w:t>с</w:t>
      </w:r>
      <w:r>
        <w:rPr>
          <w:color w:val="231F20"/>
          <w:spacing w:val="-2"/>
        </w:rPr>
        <w:t> </w:t>
      </w:r>
      <w:r>
        <w:rPr>
          <w:color w:val="231F20"/>
        </w:rPr>
        <w:t>социокультурной адаптацией.</w:t>
      </w:r>
      <w:r>
        <w:rPr>
          <w:color w:val="231F20"/>
          <w:spacing w:val="-12"/>
        </w:rPr>
        <w:t> </w:t>
      </w:r>
      <w:r>
        <w:rPr>
          <w:color w:val="231F20"/>
        </w:rPr>
        <w:t>Исследования</w:t>
      </w:r>
      <w:r>
        <w:rPr>
          <w:color w:val="231F20"/>
          <w:spacing w:val="-12"/>
        </w:rPr>
        <w:t> </w:t>
      </w:r>
      <w:r>
        <w:rPr>
          <w:color w:val="231F20"/>
        </w:rPr>
        <w:t>показывают,</w:t>
      </w:r>
      <w:r>
        <w:rPr>
          <w:color w:val="231F20"/>
          <w:spacing w:val="-12"/>
        </w:rPr>
        <w:t> </w:t>
      </w:r>
      <w:r>
        <w:rPr>
          <w:color w:val="231F20"/>
        </w:rPr>
        <w:t>что</w:t>
      </w:r>
      <w:r>
        <w:rPr>
          <w:color w:val="231F20"/>
          <w:spacing w:val="-12"/>
        </w:rPr>
        <w:t> </w:t>
      </w:r>
      <w:r>
        <w:rPr>
          <w:color w:val="231F20"/>
        </w:rPr>
        <w:t>формирование</w:t>
      </w:r>
      <w:r>
        <w:rPr>
          <w:color w:val="231F20"/>
          <w:spacing w:val="-12"/>
        </w:rPr>
        <w:t> </w:t>
      </w:r>
      <w:r>
        <w:rPr>
          <w:color w:val="231F20"/>
        </w:rPr>
        <w:t>отдельных</w:t>
      </w:r>
      <w:r>
        <w:rPr>
          <w:color w:val="231F20"/>
          <w:spacing w:val="-12"/>
        </w:rPr>
        <w:t> </w:t>
      </w:r>
      <w:r>
        <w:rPr>
          <w:color w:val="231F20"/>
        </w:rPr>
        <w:t>групп</w:t>
      </w:r>
      <w:r>
        <w:rPr>
          <w:color w:val="231F20"/>
          <w:spacing w:val="-12"/>
        </w:rPr>
        <w:t> </w:t>
      </w:r>
      <w:r>
        <w:rPr>
          <w:color w:val="231F20"/>
        </w:rPr>
        <w:t>учащих- ся</w:t>
      </w:r>
      <w:r>
        <w:rPr>
          <w:color w:val="231F20"/>
          <w:spacing w:val="-8"/>
        </w:rPr>
        <w:t> </w:t>
      </w:r>
      <w:r>
        <w:rPr>
          <w:color w:val="231F20"/>
        </w:rPr>
        <w:t>с</w:t>
      </w:r>
      <w:r>
        <w:rPr>
          <w:color w:val="231F20"/>
          <w:spacing w:val="-8"/>
        </w:rPr>
        <w:t> </w:t>
      </w:r>
      <w:r>
        <w:rPr>
          <w:color w:val="231F20"/>
        </w:rPr>
        <w:t>низкими</w:t>
      </w:r>
      <w:r>
        <w:rPr>
          <w:color w:val="231F20"/>
          <w:spacing w:val="-8"/>
        </w:rPr>
        <w:t> </w:t>
      </w:r>
      <w:r>
        <w:rPr>
          <w:color w:val="231F20"/>
        </w:rPr>
        <w:t>академическими</w:t>
      </w:r>
      <w:r>
        <w:rPr>
          <w:color w:val="231F20"/>
          <w:spacing w:val="-8"/>
        </w:rPr>
        <w:t> </w:t>
      </w:r>
      <w:r>
        <w:rPr>
          <w:color w:val="231F20"/>
        </w:rPr>
        <w:t>результатами</w:t>
      </w:r>
      <w:r>
        <w:rPr>
          <w:color w:val="231F20"/>
          <w:spacing w:val="-8"/>
        </w:rPr>
        <w:t> </w:t>
      </w:r>
      <w:r>
        <w:rPr>
          <w:color w:val="231F20"/>
        </w:rPr>
        <w:t>(вне</w:t>
      </w:r>
      <w:r>
        <w:rPr>
          <w:color w:val="231F20"/>
          <w:spacing w:val="-8"/>
        </w:rPr>
        <w:t> </w:t>
      </w:r>
      <w:r>
        <w:rPr>
          <w:color w:val="231F20"/>
        </w:rPr>
        <w:t>зависимости</w:t>
      </w:r>
      <w:r>
        <w:rPr>
          <w:color w:val="231F20"/>
          <w:spacing w:val="-8"/>
        </w:rPr>
        <w:t> </w:t>
      </w:r>
      <w:r>
        <w:rPr>
          <w:color w:val="231F20"/>
        </w:rPr>
        <w:t>от</w:t>
      </w:r>
      <w:r>
        <w:rPr>
          <w:color w:val="231F20"/>
          <w:spacing w:val="-8"/>
        </w:rPr>
        <w:t> </w:t>
      </w:r>
      <w:r>
        <w:rPr>
          <w:color w:val="231F20"/>
        </w:rPr>
        <w:t>причин)</w:t>
      </w:r>
      <w:r>
        <w:rPr>
          <w:color w:val="231F20"/>
          <w:spacing w:val="-8"/>
        </w:rPr>
        <w:t> </w:t>
      </w:r>
      <w:r>
        <w:rPr>
          <w:color w:val="231F20"/>
        </w:rPr>
        <w:t>не</w:t>
      </w:r>
      <w:r>
        <w:rPr>
          <w:color w:val="231F20"/>
          <w:spacing w:val="-8"/>
        </w:rPr>
        <w:t> </w:t>
      </w:r>
      <w:r>
        <w:rPr>
          <w:color w:val="231F20"/>
        </w:rPr>
        <w:t>является эффективным. Наиболее высокий академический эффект достигается в том случае, если слабые учащиеся попадают в одну группу с сильными, то есть при формирова- нии</w:t>
      </w:r>
      <w:r>
        <w:rPr>
          <w:color w:val="231F20"/>
          <w:spacing w:val="-7"/>
        </w:rPr>
        <w:t> </w:t>
      </w:r>
      <w:r>
        <w:rPr>
          <w:color w:val="231F20"/>
        </w:rPr>
        <w:t>групп</w:t>
      </w:r>
      <w:r>
        <w:rPr>
          <w:color w:val="231F20"/>
          <w:spacing w:val="-7"/>
        </w:rPr>
        <w:t> </w:t>
      </w:r>
      <w:r>
        <w:rPr>
          <w:color w:val="231F20"/>
        </w:rPr>
        <w:t>будет</w:t>
      </w:r>
      <w:r>
        <w:rPr>
          <w:color w:val="231F20"/>
          <w:spacing w:val="-7"/>
        </w:rPr>
        <w:t> </w:t>
      </w:r>
      <w:r>
        <w:rPr>
          <w:color w:val="231F20"/>
        </w:rPr>
        <w:t>учтен</w:t>
      </w:r>
      <w:r>
        <w:rPr>
          <w:color w:val="231F20"/>
          <w:spacing w:val="-7"/>
        </w:rPr>
        <w:t> </w:t>
      </w:r>
      <w:r>
        <w:rPr>
          <w:color w:val="231F20"/>
        </w:rPr>
        <w:t>принцип</w:t>
      </w:r>
      <w:r>
        <w:rPr>
          <w:color w:val="231F20"/>
          <w:spacing w:val="-7"/>
        </w:rPr>
        <w:t> </w:t>
      </w:r>
      <w:r>
        <w:rPr>
          <w:color w:val="231F20"/>
        </w:rPr>
        <w:t>поликультурности</w:t>
      </w:r>
      <w:r>
        <w:rPr>
          <w:color w:val="231F20"/>
          <w:spacing w:val="-7"/>
        </w:rPr>
        <w:t> </w:t>
      </w:r>
      <w:r>
        <w:rPr>
          <w:color w:val="231F20"/>
        </w:rPr>
        <w:t>и</w:t>
      </w:r>
      <w:r>
        <w:rPr>
          <w:color w:val="231F20"/>
          <w:spacing w:val="-7"/>
        </w:rPr>
        <w:t> </w:t>
      </w:r>
      <w:r>
        <w:rPr>
          <w:color w:val="231F20"/>
        </w:rPr>
        <w:t>паритета</w:t>
      </w:r>
      <w:r>
        <w:rPr>
          <w:color w:val="231F20"/>
          <w:spacing w:val="-7"/>
        </w:rPr>
        <w:t> </w:t>
      </w:r>
      <w:r>
        <w:rPr>
          <w:color w:val="231F20"/>
        </w:rPr>
        <w:t>малых</w:t>
      </w:r>
      <w:r>
        <w:rPr>
          <w:color w:val="231F20"/>
          <w:spacing w:val="-7"/>
        </w:rPr>
        <w:t> </w:t>
      </w:r>
      <w:r>
        <w:rPr>
          <w:color w:val="231F20"/>
        </w:rPr>
        <w:t>групп</w:t>
      </w:r>
      <w:r>
        <w:rPr>
          <w:color w:val="231F20"/>
          <w:spacing w:val="-7"/>
        </w:rPr>
        <w:t> </w:t>
      </w:r>
      <w:r>
        <w:rPr>
          <w:color w:val="231F20"/>
        </w:rPr>
        <w:t>по</w:t>
      </w:r>
      <w:r>
        <w:rPr>
          <w:color w:val="231F20"/>
          <w:spacing w:val="-7"/>
        </w:rPr>
        <w:t> </w:t>
      </w:r>
      <w:r>
        <w:rPr>
          <w:color w:val="231F20"/>
        </w:rPr>
        <w:t>акаде- мическим</w:t>
      </w:r>
      <w:r>
        <w:rPr>
          <w:color w:val="231F20"/>
          <w:spacing w:val="-4"/>
        </w:rPr>
        <w:t> </w:t>
      </w:r>
      <w:r>
        <w:rPr>
          <w:color w:val="231F20"/>
        </w:rPr>
        <w:t>возможностям</w:t>
      </w:r>
      <w:r>
        <w:rPr>
          <w:color w:val="231F20"/>
          <w:spacing w:val="-4"/>
        </w:rPr>
        <w:t> </w:t>
      </w:r>
      <w:r>
        <w:rPr>
          <w:color w:val="231F20"/>
        </w:rPr>
        <w:t>учащихся.</w:t>
      </w:r>
      <w:r>
        <w:rPr>
          <w:color w:val="231F20"/>
          <w:spacing w:val="-4"/>
        </w:rPr>
        <w:t> </w:t>
      </w:r>
      <w:r>
        <w:rPr>
          <w:color w:val="231F20"/>
        </w:rPr>
        <w:t>А</w:t>
      </w:r>
      <w:r>
        <w:rPr>
          <w:color w:val="231F20"/>
          <w:spacing w:val="-4"/>
        </w:rPr>
        <w:t> </w:t>
      </w:r>
      <w:r>
        <w:rPr>
          <w:color w:val="231F20"/>
        </w:rPr>
        <w:t>что</w:t>
      </w:r>
      <w:r>
        <w:rPr>
          <w:color w:val="231F20"/>
          <w:spacing w:val="-4"/>
        </w:rPr>
        <w:t> </w:t>
      </w:r>
      <w:r>
        <w:rPr>
          <w:color w:val="231F20"/>
        </w:rPr>
        <w:t>получат</w:t>
      </w:r>
      <w:r>
        <w:rPr>
          <w:color w:val="231F20"/>
          <w:spacing w:val="-4"/>
        </w:rPr>
        <w:t> </w:t>
      </w:r>
      <w:r>
        <w:rPr>
          <w:color w:val="231F20"/>
        </w:rPr>
        <w:t>сильные</w:t>
      </w:r>
      <w:r>
        <w:rPr>
          <w:color w:val="231F20"/>
          <w:spacing w:val="-4"/>
        </w:rPr>
        <w:t> </w:t>
      </w:r>
      <w:r>
        <w:rPr>
          <w:color w:val="231F20"/>
        </w:rPr>
        <w:t>ученики</w:t>
      </w:r>
      <w:r>
        <w:rPr>
          <w:color w:val="231F20"/>
          <w:spacing w:val="-4"/>
        </w:rPr>
        <w:t> </w:t>
      </w:r>
      <w:r>
        <w:rPr>
          <w:color w:val="231F20"/>
        </w:rPr>
        <w:t>в</w:t>
      </w:r>
      <w:r>
        <w:rPr>
          <w:color w:val="231F20"/>
          <w:spacing w:val="-4"/>
        </w:rPr>
        <w:t> </w:t>
      </w:r>
      <w:r>
        <w:rPr>
          <w:color w:val="231F20"/>
        </w:rPr>
        <w:t>результате</w:t>
      </w:r>
      <w:r>
        <w:rPr>
          <w:color w:val="231F20"/>
          <w:spacing w:val="-4"/>
        </w:rPr>
        <w:t> </w:t>
      </w:r>
      <w:r>
        <w:rPr>
          <w:color w:val="231F20"/>
        </w:rPr>
        <w:t>ра- боты</w:t>
      </w:r>
      <w:r>
        <w:rPr>
          <w:color w:val="231F20"/>
          <w:spacing w:val="-3"/>
        </w:rPr>
        <w:t> </w:t>
      </w:r>
      <w:r>
        <w:rPr>
          <w:color w:val="231F20"/>
        </w:rPr>
        <w:t>в</w:t>
      </w:r>
      <w:r>
        <w:rPr>
          <w:color w:val="231F20"/>
          <w:spacing w:val="-3"/>
        </w:rPr>
        <w:t> </w:t>
      </w:r>
      <w:r>
        <w:rPr>
          <w:color w:val="231F20"/>
        </w:rPr>
        <w:t>группах</w:t>
      </w:r>
      <w:r>
        <w:rPr>
          <w:color w:val="231F20"/>
          <w:spacing w:val="-3"/>
        </w:rPr>
        <w:t> </w:t>
      </w:r>
      <w:r>
        <w:rPr>
          <w:color w:val="231F20"/>
        </w:rPr>
        <w:t>со</w:t>
      </w:r>
      <w:r>
        <w:rPr>
          <w:color w:val="231F20"/>
          <w:spacing w:val="-3"/>
        </w:rPr>
        <w:t> </w:t>
      </w:r>
      <w:r>
        <w:rPr>
          <w:color w:val="231F20"/>
        </w:rPr>
        <w:t>слабыми?</w:t>
      </w:r>
      <w:r>
        <w:rPr>
          <w:color w:val="231F20"/>
          <w:spacing w:val="-3"/>
        </w:rPr>
        <w:t> </w:t>
      </w:r>
      <w:r>
        <w:rPr>
          <w:color w:val="231F20"/>
        </w:rPr>
        <w:t>В</w:t>
      </w:r>
      <w:r>
        <w:rPr>
          <w:color w:val="231F20"/>
          <w:spacing w:val="-3"/>
        </w:rPr>
        <w:t> </w:t>
      </w:r>
      <w:r>
        <w:rPr>
          <w:color w:val="231F20"/>
        </w:rPr>
        <w:t>результате</w:t>
      </w:r>
      <w:r>
        <w:rPr>
          <w:color w:val="231F20"/>
          <w:spacing w:val="-3"/>
        </w:rPr>
        <w:t> </w:t>
      </w:r>
      <w:r>
        <w:rPr>
          <w:color w:val="231F20"/>
        </w:rPr>
        <w:t>исследований</w:t>
      </w:r>
      <w:r>
        <w:rPr>
          <w:color w:val="231F20"/>
          <w:spacing w:val="-3"/>
        </w:rPr>
        <w:t> </w:t>
      </w:r>
      <w:r>
        <w:rPr>
          <w:color w:val="231F20"/>
        </w:rPr>
        <w:t>было</w:t>
      </w:r>
      <w:r>
        <w:rPr>
          <w:color w:val="231F20"/>
          <w:spacing w:val="-3"/>
        </w:rPr>
        <w:t> </w:t>
      </w:r>
      <w:r>
        <w:rPr>
          <w:color w:val="231F20"/>
        </w:rPr>
        <w:t>отмечено,</w:t>
      </w:r>
      <w:r>
        <w:rPr>
          <w:color w:val="231F20"/>
          <w:spacing w:val="-3"/>
        </w:rPr>
        <w:t> </w:t>
      </w:r>
      <w:r>
        <w:rPr>
          <w:color w:val="231F20"/>
        </w:rPr>
        <w:t>что</w:t>
      </w:r>
      <w:r>
        <w:rPr>
          <w:color w:val="231F20"/>
          <w:spacing w:val="-3"/>
        </w:rPr>
        <w:t> </w:t>
      </w:r>
      <w:r>
        <w:rPr>
          <w:color w:val="231F20"/>
        </w:rPr>
        <w:t>учебная мотивация сильных учащихся повышается, если они помогают другим учащимся из своей группы разбираться в сложном материале и объяснять его простыми словами.</w:t>
      </w:r>
    </w:p>
    <w:p>
      <w:pPr>
        <w:pStyle w:val="BodyText"/>
        <w:spacing w:line="205" w:lineRule="exact"/>
        <w:ind w:left="425" w:right="0" w:firstLine="0"/>
      </w:pPr>
      <w:r>
        <w:rPr>
          <w:color w:val="231F20"/>
        </w:rPr>
        <w:t>В</w:t>
      </w:r>
      <w:r>
        <w:rPr>
          <w:color w:val="231F20"/>
          <w:spacing w:val="13"/>
        </w:rPr>
        <w:t> </w:t>
      </w:r>
      <w:r>
        <w:rPr>
          <w:color w:val="231F20"/>
        </w:rPr>
        <w:t>поликультурных</w:t>
      </w:r>
      <w:r>
        <w:rPr>
          <w:color w:val="231F20"/>
          <w:spacing w:val="16"/>
        </w:rPr>
        <w:t> </w:t>
      </w:r>
      <w:r>
        <w:rPr>
          <w:color w:val="231F20"/>
        </w:rPr>
        <w:t>группах</w:t>
      </w:r>
      <w:r>
        <w:rPr>
          <w:color w:val="231F20"/>
          <w:spacing w:val="15"/>
        </w:rPr>
        <w:t> </w:t>
      </w:r>
      <w:r>
        <w:rPr>
          <w:color w:val="231F20"/>
        </w:rPr>
        <w:t>каждый</w:t>
      </w:r>
      <w:r>
        <w:rPr>
          <w:color w:val="231F20"/>
          <w:spacing w:val="16"/>
        </w:rPr>
        <w:t> </w:t>
      </w:r>
      <w:r>
        <w:rPr>
          <w:color w:val="231F20"/>
        </w:rPr>
        <w:t>из</w:t>
      </w:r>
      <w:r>
        <w:rPr>
          <w:color w:val="231F20"/>
          <w:spacing w:val="15"/>
        </w:rPr>
        <w:t> </w:t>
      </w:r>
      <w:r>
        <w:rPr>
          <w:color w:val="231F20"/>
        </w:rPr>
        <w:t>учащихся</w:t>
      </w:r>
      <w:r>
        <w:rPr>
          <w:color w:val="231F20"/>
          <w:spacing w:val="16"/>
        </w:rPr>
        <w:t> </w:t>
      </w:r>
      <w:r>
        <w:rPr>
          <w:color w:val="231F20"/>
        </w:rPr>
        <w:t>может</w:t>
      </w:r>
      <w:r>
        <w:rPr>
          <w:color w:val="231F20"/>
          <w:spacing w:val="15"/>
        </w:rPr>
        <w:t> </w:t>
      </w:r>
      <w:r>
        <w:rPr>
          <w:color w:val="231F20"/>
        </w:rPr>
        <w:t>помочь</w:t>
      </w:r>
      <w:r>
        <w:rPr>
          <w:color w:val="231F20"/>
          <w:spacing w:val="16"/>
        </w:rPr>
        <w:t> </w:t>
      </w:r>
      <w:r>
        <w:rPr>
          <w:color w:val="231F20"/>
        </w:rPr>
        <w:t>другим,</w:t>
      </w:r>
      <w:r>
        <w:rPr>
          <w:color w:val="231F20"/>
          <w:spacing w:val="16"/>
        </w:rPr>
        <w:t> </w:t>
      </w:r>
      <w:r>
        <w:rPr>
          <w:color w:val="231F20"/>
          <w:spacing w:val="-2"/>
        </w:rPr>
        <w:t>выпол-</w:t>
      </w:r>
    </w:p>
    <w:p>
      <w:pPr>
        <w:pStyle w:val="BodyText"/>
        <w:spacing w:line="232" w:lineRule="auto" w:before="2"/>
        <w:ind w:firstLine="0"/>
      </w:pPr>
      <w:r>
        <w:rPr>
          <w:color w:val="231F20"/>
        </w:rPr>
        <w:t>няя</w:t>
      </w:r>
      <w:r>
        <w:rPr>
          <w:color w:val="231F20"/>
          <w:spacing w:val="-2"/>
        </w:rPr>
        <w:t> </w:t>
      </w:r>
      <w:r>
        <w:rPr>
          <w:color w:val="231F20"/>
        </w:rPr>
        <w:t>те</w:t>
      </w:r>
      <w:r>
        <w:rPr>
          <w:color w:val="231F20"/>
          <w:spacing w:val="-2"/>
        </w:rPr>
        <w:t> </w:t>
      </w:r>
      <w:r>
        <w:rPr>
          <w:color w:val="231F20"/>
        </w:rPr>
        <w:t>учебные</w:t>
      </w:r>
      <w:r>
        <w:rPr>
          <w:color w:val="231F20"/>
          <w:spacing w:val="-2"/>
        </w:rPr>
        <w:t> </w:t>
      </w:r>
      <w:r>
        <w:rPr>
          <w:color w:val="231F20"/>
        </w:rPr>
        <w:t>действия,</w:t>
      </w:r>
      <w:r>
        <w:rPr>
          <w:color w:val="231F20"/>
          <w:spacing w:val="-2"/>
        </w:rPr>
        <w:t> </w:t>
      </w:r>
      <w:r>
        <w:rPr>
          <w:color w:val="231F20"/>
        </w:rPr>
        <w:t>в</w:t>
      </w:r>
      <w:r>
        <w:rPr>
          <w:color w:val="231F20"/>
          <w:spacing w:val="-2"/>
        </w:rPr>
        <w:t> </w:t>
      </w:r>
      <w:r>
        <w:rPr>
          <w:color w:val="231F20"/>
        </w:rPr>
        <w:t>которых</w:t>
      </w:r>
      <w:r>
        <w:rPr>
          <w:color w:val="231F20"/>
          <w:spacing w:val="-2"/>
        </w:rPr>
        <w:t> </w:t>
      </w:r>
      <w:r>
        <w:rPr>
          <w:color w:val="231F20"/>
        </w:rPr>
        <w:t>наиболее</w:t>
      </w:r>
      <w:r>
        <w:rPr>
          <w:color w:val="231F20"/>
          <w:spacing w:val="-2"/>
        </w:rPr>
        <w:t> </w:t>
      </w:r>
      <w:r>
        <w:rPr>
          <w:color w:val="231F20"/>
        </w:rPr>
        <w:t>силен.</w:t>
      </w:r>
      <w:r>
        <w:rPr>
          <w:color w:val="231F20"/>
          <w:spacing w:val="-2"/>
        </w:rPr>
        <w:t> </w:t>
      </w:r>
      <w:r>
        <w:rPr>
          <w:color w:val="231F20"/>
        </w:rPr>
        <w:t>Например,</w:t>
      </w:r>
      <w:r>
        <w:rPr>
          <w:color w:val="231F20"/>
          <w:spacing w:val="-2"/>
        </w:rPr>
        <w:t> </w:t>
      </w:r>
      <w:r>
        <w:rPr>
          <w:color w:val="231F20"/>
        </w:rPr>
        <w:t>кто-то</w:t>
      </w:r>
      <w:r>
        <w:rPr>
          <w:color w:val="231F20"/>
          <w:spacing w:val="-2"/>
        </w:rPr>
        <w:t> </w:t>
      </w:r>
      <w:r>
        <w:rPr>
          <w:color w:val="231F20"/>
        </w:rPr>
        <w:t>может</w:t>
      </w:r>
      <w:r>
        <w:rPr>
          <w:color w:val="231F20"/>
          <w:spacing w:val="-2"/>
        </w:rPr>
        <w:t> </w:t>
      </w:r>
      <w:r>
        <w:rPr>
          <w:color w:val="231F20"/>
        </w:rPr>
        <w:t>читать сложные тексты и объяснять их другим членам группы, а кто-то лучше всех владеет иностранным языком или хорошо знаком с изучаемой темой и пр. В целом, группо- вая</w:t>
      </w:r>
      <w:r>
        <w:rPr>
          <w:color w:val="231F20"/>
          <w:spacing w:val="-4"/>
        </w:rPr>
        <w:t> </w:t>
      </w:r>
      <w:r>
        <w:rPr>
          <w:color w:val="231F20"/>
        </w:rPr>
        <w:t>работа</w:t>
      </w:r>
      <w:r>
        <w:rPr>
          <w:color w:val="231F20"/>
          <w:spacing w:val="-4"/>
        </w:rPr>
        <w:t> </w:t>
      </w:r>
      <w:r>
        <w:rPr>
          <w:color w:val="231F20"/>
        </w:rPr>
        <w:t>может</w:t>
      </w:r>
      <w:r>
        <w:rPr>
          <w:color w:val="231F20"/>
          <w:spacing w:val="-4"/>
        </w:rPr>
        <w:t> </w:t>
      </w:r>
      <w:r>
        <w:rPr>
          <w:color w:val="231F20"/>
        </w:rPr>
        <w:t>дать</w:t>
      </w:r>
      <w:r>
        <w:rPr>
          <w:color w:val="231F20"/>
          <w:spacing w:val="-4"/>
        </w:rPr>
        <w:t> </w:t>
      </w:r>
      <w:r>
        <w:rPr>
          <w:color w:val="231F20"/>
        </w:rPr>
        <w:t>значительный</w:t>
      </w:r>
      <w:r>
        <w:rPr>
          <w:color w:val="231F20"/>
          <w:spacing w:val="-4"/>
        </w:rPr>
        <w:t> </w:t>
      </w:r>
      <w:r>
        <w:rPr>
          <w:color w:val="231F20"/>
        </w:rPr>
        <w:t>синергетический</w:t>
      </w:r>
      <w:r>
        <w:rPr>
          <w:color w:val="231F20"/>
          <w:spacing w:val="-4"/>
        </w:rPr>
        <w:t> </w:t>
      </w:r>
      <w:r>
        <w:rPr>
          <w:color w:val="231F20"/>
        </w:rPr>
        <w:t>эффект:</w:t>
      </w:r>
      <w:r>
        <w:rPr>
          <w:color w:val="231F20"/>
          <w:spacing w:val="-4"/>
        </w:rPr>
        <w:t> </w:t>
      </w:r>
      <w:r>
        <w:rPr>
          <w:color w:val="231F20"/>
        </w:rPr>
        <w:t>чем</w:t>
      </w:r>
      <w:r>
        <w:rPr>
          <w:color w:val="231F20"/>
          <w:spacing w:val="-4"/>
        </w:rPr>
        <w:t> </w:t>
      </w:r>
      <w:r>
        <w:rPr>
          <w:color w:val="231F20"/>
        </w:rPr>
        <w:t>больше</w:t>
      </w:r>
      <w:r>
        <w:rPr>
          <w:color w:val="231F20"/>
          <w:spacing w:val="-4"/>
        </w:rPr>
        <w:t> </w:t>
      </w:r>
      <w:r>
        <w:rPr>
          <w:color w:val="231F20"/>
        </w:rPr>
        <w:t>различий между</w:t>
      </w:r>
      <w:r>
        <w:rPr>
          <w:color w:val="231F20"/>
          <w:spacing w:val="-4"/>
        </w:rPr>
        <w:t> </w:t>
      </w:r>
      <w:r>
        <w:rPr>
          <w:color w:val="231F20"/>
        </w:rPr>
        <w:t>детьми,</w:t>
      </w:r>
      <w:r>
        <w:rPr>
          <w:color w:val="231F20"/>
          <w:spacing w:val="-4"/>
        </w:rPr>
        <w:t> </w:t>
      </w:r>
      <w:r>
        <w:rPr>
          <w:color w:val="231F20"/>
        </w:rPr>
        <w:t>тем</w:t>
      </w:r>
      <w:r>
        <w:rPr>
          <w:color w:val="231F20"/>
          <w:spacing w:val="-4"/>
        </w:rPr>
        <w:t> </w:t>
      </w:r>
      <w:r>
        <w:rPr>
          <w:color w:val="231F20"/>
        </w:rPr>
        <w:t>лучше</w:t>
      </w:r>
      <w:r>
        <w:rPr>
          <w:color w:val="231F20"/>
          <w:spacing w:val="-4"/>
        </w:rPr>
        <w:t> </w:t>
      </w:r>
      <w:r>
        <w:rPr>
          <w:color w:val="231F20"/>
        </w:rPr>
        <w:t>может</w:t>
      </w:r>
      <w:r>
        <w:rPr>
          <w:color w:val="231F20"/>
          <w:spacing w:val="-4"/>
        </w:rPr>
        <w:t> </w:t>
      </w:r>
      <w:r>
        <w:rPr>
          <w:color w:val="231F20"/>
        </w:rPr>
        <w:t>быть</w:t>
      </w:r>
      <w:r>
        <w:rPr>
          <w:color w:val="231F20"/>
          <w:spacing w:val="-4"/>
        </w:rPr>
        <w:t> </w:t>
      </w:r>
      <w:r>
        <w:rPr>
          <w:color w:val="231F20"/>
        </w:rPr>
        <w:t>выстроена</w:t>
      </w:r>
      <w:r>
        <w:rPr>
          <w:color w:val="231F20"/>
          <w:spacing w:val="-4"/>
        </w:rPr>
        <w:t> </w:t>
      </w:r>
      <w:r>
        <w:rPr>
          <w:color w:val="231F20"/>
        </w:rPr>
        <w:t>учебная</w:t>
      </w:r>
      <w:r>
        <w:rPr>
          <w:color w:val="231F20"/>
          <w:spacing w:val="-4"/>
        </w:rPr>
        <w:t> </w:t>
      </w:r>
      <w:r>
        <w:rPr>
          <w:color w:val="231F20"/>
        </w:rPr>
        <w:t>деятельность</w:t>
      </w:r>
      <w:r>
        <w:rPr>
          <w:color w:val="231F20"/>
          <w:spacing w:val="-4"/>
        </w:rPr>
        <w:t> </w:t>
      </w:r>
      <w:r>
        <w:rPr>
          <w:color w:val="231F20"/>
        </w:rPr>
        <w:t>и</w:t>
      </w:r>
      <w:r>
        <w:rPr>
          <w:color w:val="231F20"/>
          <w:spacing w:val="-4"/>
        </w:rPr>
        <w:t> </w:t>
      </w:r>
      <w:r>
        <w:rPr>
          <w:color w:val="231F20"/>
        </w:rPr>
        <w:t>интереснее полученный результат.</w:t>
      </w:r>
    </w:p>
    <w:p>
      <w:pPr>
        <w:pStyle w:val="BodyText"/>
        <w:spacing w:line="232" w:lineRule="auto"/>
      </w:pPr>
      <w:r>
        <w:rPr>
          <w:color w:val="231F20"/>
        </w:rPr>
        <w:t>Рассмотрим, в какой степени методы совместного обучения влияют на межэтни- ческие</w:t>
      </w:r>
      <w:r>
        <w:rPr>
          <w:color w:val="231F20"/>
          <w:spacing w:val="-7"/>
        </w:rPr>
        <w:t> </w:t>
      </w:r>
      <w:r>
        <w:rPr>
          <w:color w:val="231F20"/>
        </w:rPr>
        <w:t>отношения</w:t>
      </w:r>
      <w:r>
        <w:rPr>
          <w:color w:val="231F20"/>
          <w:spacing w:val="-7"/>
        </w:rPr>
        <w:t> </w:t>
      </w:r>
      <w:r>
        <w:rPr>
          <w:color w:val="231F20"/>
        </w:rPr>
        <w:t>и</w:t>
      </w:r>
      <w:r>
        <w:rPr>
          <w:color w:val="231F20"/>
          <w:spacing w:val="-7"/>
        </w:rPr>
        <w:t> </w:t>
      </w:r>
      <w:r>
        <w:rPr>
          <w:color w:val="231F20"/>
        </w:rPr>
        <w:t>академические</w:t>
      </w:r>
      <w:r>
        <w:rPr>
          <w:color w:val="231F20"/>
          <w:spacing w:val="-7"/>
        </w:rPr>
        <w:t> </w:t>
      </w:r>
      <w:r>
        <w:rPr>
          <w:color w:val="231F20"/>
        </w:rPr>
        <w:t>достижения</w:t>
      </w:r>
      <w:r>
        <w:rPr>
          <w:color w:val="231F20"/>
          <w:spacing w:val="-7"/>
        </w:rPr>
        <w:t> </w:t>
      </w:r>
      <w:r>
        <w:rPr>
          <w:color w:val="231F20"/>
        </w:rPr>
        <w:t>в</w:t>
      </w:r>
      <w:r>
        <w:rPr>
          <w:color w:val="231F20"/>
          <w:spacing w:val="-7"/>
        </w:rPr>
        <w:t> </w:t>
      </w:r>
      <w:r>
        <w:rPr>
          <w:color w:val="231F20"/>
        </w:rPr>
        <w:t>различных</w:t>
      </w:r>
      <w:r>
        <w:rPr>
          <w:color w:val="231F20"/>
          <w:spacing w:val="-7"/>
        </w:rPr>
        <w:t> </w:t>
      </w:r>
      <w:r>
        <w:rPr>
          <w:color w:val="231F20"/>
        </w:rPr>
        <w:t>классах</w:t>
      </w:r>
      <w:r>
        <w:rPr>
          <w:color w:val="231F20"/>
          <w:spacing w:val="-7"/>
        </w:rPr>
        <w:t> </w:t>
      </w:r>
      <w:r>
        <w:rPr>
          <w:color w:val="231F20"/>
        </w:rPr>
        <w:t>средней</w:t>
      </w:r>
      <w:r>
        <w:rPr>
          <w:color w:val="231F20"/>
          <w:spacing w:val="-8"/>
        </w:rPr>
        <w:t> </w:t>
      </w:r>
      <w:r>
        <w:rPr>
          <w:color w:val="231F20"/>
        </w:rPr>
        <w:t>школы и</w:t>
      </w:r>
      <w:r>
        <w:rPr>
          <w:color w:val="231F20"/>
          <w:spacing w:val="-3"/>
        </w:rPr>
        <w:t> </w:t>
      </w:r>
      <w:r>
        <w:rPr>
          <w:color w:val="231F20"/>
        </w:rPr>
        <w:t>как</w:t>
      </w:r>
      <w:r>
        <w:rPr>
          <w:color w:val="231F20"/>
          <w:spacing w:val="-3"/>
        </w:rPr>
        <w:t> </w:t>
      </w:r>
      <w:r>
        <w:rPr>
          <w:color w:val="231F20"/>
        </w:rPr>
        <w:t>учителя</w:t>
      </w:r>
      <w:r>
        <w:rPr>
          <w:color w:val="231F20"/>
          <w:spacing w:val="-3"/>
        </w:rPr>
        <w:t> </w:t>
      </w:r>
      <w:r>
        <w:rPr>
          <w:color w:val="231F20"/>
        </w:rPr>
        <w:t>могут</w:t>
      </w:r>
      <w:r>
        <w:rPr>
          <w:color w:val="231F20"/>
          <w:spacing w:val="-3"/>
        </w:rPr>
        <w:t> </w:t>
      </w:r>
      <w:r>
        <w:rPr>
          <w:color w:val="231F20"/>
        </w:rPr>
        <w:t>наилучшим</w:t>
      </w:r>
      <w:r>
        <w:rPr>
          <w:color w:val="231F20"/>
          <w:spacing w:val="-3"/>
        </w:rPr>
        <w:t> </w:t>
      </w:r>
      <w:r>
        <w:rPr>
          <w:color w:val="231F20"/>
        </w:rPr>
        <w:t>образом</w:t>
      </w:r>
      <w:r>
        <w:rPr>
          <w:color w:val="231F20"/>
          <w:spacing w:val="-3"/>
        </w:rPr>
        <w:t> </w:t>
      </w:r>
      <w:r>
        <w:rPr>
          <w:color w:val="231F20"/>
        </w:rPr>
        <w:t>применять</w:t>
      </w:r>
      <w:r>
        <w:rPr>
          <w:color w:val="231F20"/>
          <w:spacing w:val="-3"/>
        </w:rPr>
        <w:t> </w:t>
      </w:r>
      <w:r>
        <w:rPr>
          <w:color w:val="231F20"/>
        </w:rPr>
        <w:t>эти</w:t>
      </w:r>
      <w:r>
        <w:rPr>
          <w:color w:val="231F20"/>
          <w:spacing w:val="-3"/>
        </w:rPr>
        <w:t> </w:t>
      </w:r>
      <w:r>
        <w:rPr>
          <w:color w:val="231F20"/>
        </w:rPr>
        <w:t>методы</w:t>
      </w:r>
      <w:r>
        <w:rPr>
          <w:color w:val="231F20"/>
          <w:spacing w:val="-3"/>
        </w:rPr>
        <w:t> </w:t>
      </w:r>
      <w:r>
        <w:rPr>
          <w:color w:val="231F20"/>
        </w:rPr>
        <w:t>в</w:t>
      </w:r>
      <w:r>
        <w:rPr>
          <w:color w:val="231F20"/>
          <w:spacing w:val="-3"/>
        </w:rPr>
        <w:t> </w:t>
      </w:r>
      <w:r>
        <w:rPr>
          <w:color w:val="231F20"/>
        </w:rPr>
        <w:t>своих</w:t>
      </w:r>
      <w:r>
        <w:rPr>
          <w:color w:val="231F20"/>
          <w:spacing w:val="-3"/>
        </w:rPr>
        <w:t> </w:t>
      </w:r>
      <w:r>
        <w:rPr>
          <w:color w:val="231F20"/>
        </w:rPr>
        <w:t>классах.</w:t>
      </w:r>
      <w:r>
        <w:rPr>
          <w:color w:val="231F20"/>
          <w:spacing w:val="-3"/>
        </w:rPr>
        <w:t> </w:t>
      </w:r>
      <w:r>
        <w:rPr>
          <w:color w:val="231F20"/>
        </w:rPr>
        <w:t>Ис- следование взаимосвязей между совместным обучением и </w:t>
      </w:r>
      <w:r>
        <w:rPr>
          <w:i/>
          <w:color w:val="231F20"/>
        </w:rPr>
        <w:t>межэтническими отно- шениями</w:t>
      </w:r>
      <w:r>
        <w:rPr>
          <w:i/>
          <w:color w:val="231F20"/>
          <w:spacing w:val="-13"/>
        </w:rPr>
        <w:t> </w:t>
      </w:r>
      <w:r>
        <w:rPr>
          <w:color w:val="231F20"/>
        </w:rPr>
        <w:t>показало</w:t>
      </w:r>
      <w:r>
        <w:rPr>
          <w:color w:val="231F20"/>
          <w:spacing w:val="-12"/>
        </w:rPr>
        <w:t> </w:t>
      </w:r>
      <w:r>
        <w:rPr>
          <w:color w:val="231F20"/>
        </w:rPr>
        <w:t>почти</w:t>
      </w:r>
      <w:r>
        <w:rPr>
          <w:color w:val="231F20"/>
          <w:spacing w:val="-13"/>
        </w:rPr>
        <w:t> </w:t>
      </w:r>
      <w:r>
        <w:rPr>
          <w:color w:val="231F20"/>
        </w:rPr>
        <w:t>исключительно</w:t>
      </w:r>
      <w:r>
        <w:rPr>
          <w:color w:val="231F20"/>
          <w:spacing w:val="-12"/>
        </w:rPr>
        <w:t> </w:t>
      </w:r>
      <w:r>
        <w:rPr>
          <w:color w:val="231F20"/>
        </w:rPr>
        <w:t>положительные</w:t>
      </w:r>
      <w:r>
        <w:rPr>
          <w:color w:val="231F20"/>
          <w:spacing w:val="-13"/>
        </w:rPr>
        <w:t> </w:t>
      </w:r>
      <w:r>
        <w:rPr>
          <w:color w:val="231F20"/>
        </w:rPr>
        <w:t>взаимосвязи</w:t>
      </w:r>
      <w:r>
        <w:rPr>
          <w:color w:val="231F20"/>
          <w:spacing w:val="-12"/>
        </w:rPr>
        <w:t> </w:t>
      </w:r>
      <w:r>
        <w:rPr>
          <w:color w:val="231F20"/>
        </w:rPr>
        <w:t>между</w:t>
      </w:r>
      <w:r>
        <w:rPr>
          <w:color w:val="231F20"/>
          <w:spacing w:val="-13"/>
        </w:rPr>
        <w:t> </w:t>
      </w:r>
      <w:r>
        <w:rPr>
          <w:color w:val="231F20"/>
        </w:rPr>
        <w:t>ними.</w:t>
      </w:r>
      <w:r>
        <w:rPr>
          <w:color w:val="231F20"/>
          <w:spacing w:val="-12"/>
        </w:rPr>
        <w:t> </w:t>
      </w:r>
      <w:r>
        <w:rPr>
          <w:color w:val="231F20"/>
        </w:rPr>
        <w:t>В </w:t>
      </w:r>
      <w:r>
        <w:rPr>
          <w:color w:val="231F20"/>
          <w:spacing w:val="-2"/>
        </w:rPr>
        <w:t>этом отношении наблюдается высокая согласованность выводов нескольких десятков </w:t>
      </w:r>
      <w:r>
        <w:rPr>
          <w:color w:val="231F20"/>
        </w:rPr>
        <w:t>различных исследователей (см. обзор Chan et al., 2009).</w:t>
      </w:r>
    </w:p>
    <w:p>
      <w:pPr>
        <w:pStyle w:val="BodyText"/>
        <w:spacing w:line="232" w:lineRule="auto"/>
      </w:pPr>
      <w:r>
        <w:rPr>
          <w:color w:val="231F20"/>
        </w:rPr>
        <w:t>Также</w:t>
      </w:r>
      <w:r>
        <w:rPr>
          <w:color w:val="231F20"/>
          <w:spacing w:val="-2"/>
        </w:rPr>
        <w:t> </w:t>
      </w:r>
      <w:r>
        <w:rPr>
          <w:color w:val="231F20"/>
        </w:rPr>
        <w:t>рассматривается</w:t>
      </w:r>
      <w:r>
        <w:rPr>
          <w:color w:val="231F20"/>
          <w:spacing w:val="-2"/>
        </w:rPr>
        <w:t> </w:t>
      </w:r>
      <w:r>
        <w:rPr>
          <w:color w:val="231F20"/>
        </w:rPr>
        <w:t>взаимосвязь</w:t>
      </w:r>
      <w:r>
        <w:rPr>
          <w:color w:val="231F20"/>
          <w:spacing w:val="-2"/>
        </w:rPr>
        <w:t> </w:t>
      </w:r>
      <w:r>
        <w:rPr>
          <w:color w:val="231F20"/>
        </w:rPr>
        <w:t>между</w:t>
      </w:r>
      <w:r>
        <w:rPr>
          <w:color w:val="231F20"/>
          <w:spacing w:val="-2"/>
        </w:rPr>
        <w:t> </w:t>
      </w:r>
      <w:r>
        <w:rPr>
          <w:color w:val="231F20"/>
        </w:rPr>
        <w:t>обучением</w:t>
      </w:r>
      <w:r>
        <w:rPr>
          <w:color w:val="231F20"/>
          <w:spacing w:val="-2"/>
        </w:rPr>
        <w:t> </w:t>
      </w:r>
      <w:r>
        <w:rPr>
          <w:color w:val="231F20"/>
        </w:rPr>
        <w:t>в</w:t>
      </w:r>
      <w:r>
        <w:rPr>
          <w:color w:val="231F20"/>
          <w:spacing w:val="-2"/>
        </w:rPr>
        <w:t> </w:t>
      </w:r>
      <w:r>
        <w:rPr>
          <w:color w:val="231F20"/>
        </w:rPr>
        <w:t>сотрудничестве</w:t>
      </w:r>
      <w:r>
        <w:rPr>
          <w:color w:val="231F20"/>
          <w:spacing w:val="-2"/>
        </w:rPr>
        <w:t> </w:t>
      </w:r>
      <w:r>
        <w:rPr>
          <w:color w:val="231F20"/>
        </w:rPr>
        <w:t>и</w:t>
      </w:r>
      <w:r>
        <w:rPr>
          <w:color w:val="231F20"/>
          <w:spacing w:val="-2"/>
        </w:rPr>
        <w:t> </w:t>
      </w:r>
      <w:r>
        <w:rPr>
          <w:i/>
          <w:color w:val="231F20"/>
        </w:rPr>
        <w:t>акаде- мическими</w:t>
      </w:r>
      <w:r>
        <w:rPr>
          <w:i/>
          <w:color w:val="231F20"/>
          <w:spacing w:val="-8"/>
        </w:rPr>
        <w:t> </w:t>
      </w:r>
      <w:r>
        <w:rPr>
          <w:i/>
          <w:color w:val="231F20"/>
        </w:rPr>
        <w:t>достижениями</w:t>
      </w:r>
      <w:r>
        <w:rPr>
          <w:color w:val="231F20"/>
        </w:rPr>
        <w:t>.</w:t>
      </w:r>
      <w:r>
        <w:rPr>
          <w:color w:val="231F20"/>
          <w:spacing w:val="-8"/>
        </w:rPr>
        <w:t> </w:t>
      </w:r>
      <w:r>
        <w:rPr>
          <w:color w:val="231F20"/>
        </w:rPr>
        <w:t>Анализ</w:t>
      </w:r>
      <w:r>
        <w:rPr>
          <w:color w:val="231F20"/>
          <w:spacing w:val="-8"/>
        </w:rPr>
        <w:t> </w:t>
      </w:r>
      <w:r>
        <w:rPr>
          <w:color w:val="231F20"/>
        </w:rPr>
        <w:t>результатов</w:t>
      </w:r>
      <w:r>
        <w:rPr>
          <w:color w:val="231F20"/>
          <w:spacing w:val="-8"/>
        </w:rPr>
        <w:t> </w:t>
      </w:r>
      <w:r>
        <w:rPr>
          <w:color w:val="231F20"/>
        </w:rPr>
        <w:t>исследований</w:t>
      </w:r>
      <w:r>
        <w:rPr>
          <w:color w:val="231F20"/>
          <w:spacing w:val="-8"/>
        </w:rPr>
        <w:t> </w:t>
      </w:r>
      <w:r>
        <w:rPr>
          <w:color w:val="231F20"/>
        </w:rPr>
        <w:t>взаимосвязи</w:t>
      </w:r>
      <w:r>
        <w:rPr>
          <w:color w:val="231F20"/>
          <w:spacing w:val="-8"/>
        </w:rPr>
        <w:t> </w:t>
      </w:r>
      <w:r>
        <w:rPr>
          <w:color w:val="231F20"/>
        </w:rPr>
        <w:t>обучения в</w:t>
      </w:r>
      <w:r>
        <w:rPr>
          <w:color w:val="231F20"/>
          <w:spacing w:val="-1"/>
        </w:rPr>
        <w:t> </w:t>
      </w:r>
      <w:r>
        <w:rPr>
          <w:color w:val="231F20"/>
        </w:rPr>
        <w:t>сотрудничестве</w:t>
      </w:r>
      <w:r>
        <w:rPr>
          <w:color w:val="231F20"/>
          <w:spacing w:val="-1"/>
        </w:rPr>
        <w:t> </w:t>
      </w:r>
      <w:r>
        <w:rPr>
          <w:color w:val="231F20"/>
        </w:rPr>
        <w:t>и</w:t>
      </w:r>
      <w:r>
        <w:rPr>
          <w:color w:val="231F20"/>
          <w:spacing w:val="-1"/>
        </w:rPr>
        <w:t> </w:t>
      </w:r>
      <w:r>
        <w:rPr>
          <w:color w:val="231F20"/>
        </w:rPr>
        <w:t>успеваемости</w:t>
      </w:r>
      <w:r>
        <w:rPr>
          <w:color w:val="231F20"/>
          <w:spacing w:val="-1"/>
        </w:rPr>
        <w:t> </w:t>
      </w:r>
      <w:r>
        <w:rPr>
          <w:color w:val="231F20"/>
        </w:rPr>
        <w:t>показал</w:t>
      </w:r>
      <w:r>
        <w:rPr>
          <w:color w:val="231F20"/>
          <w:spacing w:val="-1"/>
        </w:rPr>
        <w:t> </w:t>
      </w:r>
      <w:r>
        <w:rPr>
          <w:color w:val="231F20"/>
        </w:rPr>
        <w:t>в</w:t>
      </w:r>
      <w:r>
        <w:rPr>
          <w:color w:val="231F20"/>
          <w:spacing w:val="-1"/>
        </w:rPr>
        <w:t> </w:t>
      </w:r>
      <w:r>
        <w:rPr>
          <w:color w:val="231F20"/>
        </w:rPr>
        <w:t>основном</w:t>
      </w:r>
      <w:r>
        <w:rPr>
          <w:color w:val="231F20"/>
          <w:spacing w:val="-1"/>
        </w:rPr>
        <w:t> </w:t>
      </w:r>
      <w:r>
        <w:rPr>
          <w:color w:val="231F20"/>
        </w:rPr>
        <w:t>позитивную</w:t>
      </w:r>
      <w:r>
        <w:rPr>
          <w:color w:val="231F20"/>
          <w:spacing w:val="-1"/>
        </w:rPr>
        <w:t> </w:t>
      </w:r>
      <w:r>
        <w:rPr>
          <w:color w:val="231F20"/>
        </w:rPr>
        <w:t>корреляцию</w:t>
      </w:r>
      <w:r>
        <w:rPr>
          <w:color w:val="231F20"/>
          <w:spacing w:val="-1"/>
        </w:rPr>
        <w:t> </w:t>
      </w:r>
      <w:r>
        <w:rPr>
          <w:color w:val="231F20"/>
        </w:rPr>
        <w:t>меж- ду</w:t>
      </w:r>
      <w:r>
        <w:rPr>
          <w:color w:val="231F20"/>
          <w:spacing w:val="-7"/>
        </w:rPr>
        <w:t> </w:t>
      </w:r>
      <w:r>
        <w:rPr>
          <w:color w:val="231F20"/>
        </w:rPr>
        <w:t>ними.</w:t>
      </w:r>
      <w:r>
        <w:rPr>
          <w:color w:val="231F20"/>
          <w:spacing w:val="-7"/>
        </w:rPr>
        <w:t> </w:t>
      </w:r>
      <w:r>
        <w:rPr>
          <w:color w:val="231F20"/>
        </w:rPr>
        <w:t>Часть</w:t>
      </w:r>
      <w:r>
        <w:rPr>
          <w:color w:val="231F20"/>
          <w:spacing w:val="-7"/>
        </w:rPr>
        <w:t> </w:t>
      </w:r>
      <w:r>
        <w:rPr>
          <w:color w:val="231F20"/>
        </w:rPr>
        <w:t>исследований,</w:t>
      </w:r>
      <w:r>
        <w:rPr>
          <w:color w:val="231F20"/>
          <w:spacing w:val="-7"/>
        </w:rPr>
        <w:t> </w:t>
      </w:r>
      <w:r>
        <w:rPr>
          <w:color w:val="231F20"/>
        </w:rPr>
        <w:t>посвященных</w:t>
      </w:r>
      <w:r>
        <w:rPr>
          <w:color w:val="231F20"/>
          <w:spacing w:val="-7"/>
        </w:rPr>
        <w:t> </w:t>
      </w:r>
      <w:r>
        <w:rPr>
          <w:color w:val="231F20"/>
        </w:rPr>
        <w:t>этому</w:t>
      </w:r>
      <w:r>
        <w:rPr>
          <w:color w:val="231F20"/>
          <w:spacing w:val="-7"/>
        </w:rPr>
        <w:t> </w:t>
      </w:r>
      <w:r>
        <w:rPr>
          <w:color w:val="231F20"/>
        </w:rPr>
        <w:t>вопросу,</w:t>
      </w:r>
      <w:r>
        <w:rPr>
          <w:color w:val="231F20"/>
          <w:spacing w:val="-7"/>
        </w:rPr>
        <w:t> </w:t>
      </w:r>
      <w:r>
        <w:rPr>
          <w:color w:val="231F20"/>
        </w:rPr>
        <w:t>показывает,</w:t>
      </w:r>
      <w:r>
        <w:rPr>
          <w:color w:val="231F20"/>
          <w:spacing w:val="-7"/>
        </w:rPr>
        <w:t> </w:t>
      </w:r>
      <w:r>
        <w:rPr>
          <w:color w:val="231F20"/>
        </w:rPr>
        <w:t>что</w:t>
      </w:r>
      <w:r>
        <w:rPr>
          <w:color w:val="231F20"/>
          <w:spacing w:val="-7"/>
        </w:rPr>
        <w:t> </w:t>
      </w:r>
      <w:r>
        <w:rPr>
          <w:color w:val="231F20"/>
        </w:rPr>
        <w:t>учащие- ся,</w:t>
      </w:r>
      <w:r>
        <w:rPr>
          <w:color w:val="231F20"/>
          <w:spacing w:val="-3"/>
        </w:rPr>
        <w:t> </w:t>
      </w:r>
      <w:r>
        <w:rPr>
          <w:color w:val="231F20"/>
        </w:rPr>
        <w:t>занимавшиеся</w:t>
      </w:r>
      <w:r>
        <w:rPr>
          <w:color w:val="231F20"/>
          <w:spacing w:val="-3"/>
        </w:rPr>
        <w:t> </w:t>
      </w:r>
      <w:r>
        <w:rPr>
          <w:color w:val="231F20"/>
        </w:rPr>
        <w:t>совместным</w:t>
      </w:r>
      <w:r>
        <w:rPr>
          <w:color w:val="231F20"/>
          <w:spacing w:val="-3"/>
        </w:rPr>
        <w:t> </w:t>
      </w:r>
      <w:r>
        <w:rPr>
          <w:color w:val="231F20"/>
        </w:rPr>
        <w:t>чтением,</w:t>
      </w:r>
      <w:r>
        <w:rPr>
          <w:color w:val="231F20"/>
          <w:spacing w:val="-3"/>
        </w:rPr>
        <w:t> </w:t>
      </w:r>
      <w:r>
        <w:rPr>
          <w:color w:val="231F20"/>
        </w:rPr>
        <w:t>письмом</w:t>
      </w:r>
      <w:r>
        <w:rPr>
          <w:color w:val="231F20"/>
          <w:spacing w:val="-3"/>
        </w:rPr>
        <w:t> </w:t>
      </w:r>
      <w:r>
        <w:rPr>
          <w:color w:val="231F20"/>
        </w:rPr>
        <w:t>и</w:t>
      </w:r>
      <w:r>
        <w:rPr>
          <w:color w:val="231F20"/>
          <w:spacing w:val="-3"/>
        </w:rPr>
        <w:t> </w:t>
      </w:r>
      <w:r>
        <w:rPr>
          <w:color w:val="231F20"/>
        </w:rPr>
        <w:t>другими</w:t>
      </w:r>
      <w:r>
        <w:rPr>
          <w:color w:val="231F20"/>
          <w:spacing w:val="-3"/>
        </w:rPr>
        <w:t> </w:t>
      </w:r>
      <w:r>
        <w:rPr>
          <w:color w:val="231F20"/>
        </w:rPr>
        <w:t>направлениями</w:t>
      </w:r>
      <w:r>
        <w:rPr>
          <w:color w:val="231F20"/>
          <w:spacing w:val="-3"/>
        </w:rPr>
        <w:t> </w:t>
      </w:r>
      <w:r>
        <w:rPr>
          <w:color w:val="231F20"/>
        </w:rPr>
        <w:t>учебной деятельности, продемонстрировали значительно более высокие показатели успевае- мости, чем учащиеся, обучавшиеся в условиях конкуренции или индивидуализма. В </w:t>
      </w:r>
      <w:r>
        <w:rPr>
          <w:color w:val="231F20"/>
          <w:spacing w:val="-2"/>
        </w:rPr>
        <w:t>другой</w:t>
      </w:r>
      <w:r>
        <w:rPr>
          <w:color w:val="231F20"/>
          <w:spacing w:val="-9"/>
        </w:rPr>
        <w:t> </w:t>
      </w:r>
      <w:r>
        <w:rPr>
          <w:color w:val="231F20"/>
          <w:spacing w:val="-2"/>
        </w:rPr>
        <w:t>части</w:t>
      </w:r>
      <w:r>
        <w:rPr>
          <w:color w:val="231F20"/>
          <w:spacing w:val="-9"/>
        </w:rPr>
        <w:t> </w:t>
      </w:r>
      <w:r>
        <w:rPr>
          <w:color w:val="231F20"/>
          <w:spacing w:val="-2"/>
        </w:rPr>
        <w:t>исследований</w:t>
      </w:r>
      <w:r>
        <w:rPr>
          <w:color w:val="231F20"/>
          <w:spacing w:val="-9"/>
        </w:rPr>
        <w:t> </w:t>
      </w:r>
      <w:r>
        <w:rPr>
          <w:color w:val="231F20"/>
          <w:spacing w:val="-2"/>
        </w:rPr>
        <w:t>не</w:t>
      </w:r>
      <w:r>
        <w:rPr>
          <w:color w:val="231F20"/>
          <w:spacing w:val="-9"/>
        </w:rPr>
        <w:t> </w:t>
      </w:r>
      <w:r>
        <w:rPr>
          <w:color w:val="231F20"/>
          <w:spacing w:val="-2"/>
        </w:rPr>
        <w:t>было</w:t>
      </w:r>
      <w:r>
        <w:rPr>
          <w:color w:val="231F20"/>
          <w:spacing w:val="-9"/>
        </w:rPr>
        <w:t> </w:t>
      </w:r>
      <w:r>
        <w:rPr>
          <w:color w:val="231F20"/>
          <w:spacing w:val="-2"/>
        </w:rPr>
        <w:t>выявлено</w:t>
      </w:r>
      <w:r>
        <w:rPr>
          <w:color w:val="231F20"/>
          <w:spacing w:val="-9"/>
        </w:rPr>
        <w:t> </w:t>
      </w:r>
      <w:r>
        <w:rPr>
          <w:color w:val="231F20"/>
          <w:spacing w:val="-2"/>
        </w:rPr>
        <w:t>положительного</w:t>
      </w:r>
      <w:r>
        <w:rPr>
          <w:color w:val="231F20"/>
          <w:spacing w:val="-9"/>
        </w:rPr>
        <w:t> </w:t>
      </w:r>
      <w:r>
        <w:rPr>
          <w:color w:val="231F20"/>
          <w:spacing w:val="-2"/>
        </w:rPr>
        <w:t>влияния</w:t>
      </w:r>
      <w:r>
        <w:rPr>
          <w:color w:val="231F20"/>
          <w:spacing w:val="-9"/>
        </w:rPr>
        <w:t> </w:t>
      </w:r>
      <w:r>
        <w:rPr>
          <w:color w:val="231F20"/>
          <w:spacing w:val="-2"/>
        </w:rPr>
        <w:t>метода</w:t>
      </w:r>
      <w:r>
        <w:rPr>
          <w:color w:val="231F20"/>
          <w:spacing w:val="-9"/>
        </w:rPr>
        <w:t> </w:t>
      </w:r>
      <w:r>
        <w:rPr>
          <w:color w:val="231F20"/>
          <w:spacing w:val="-2"/>
        </w:rPr>
        <w:t>«Моза- </w:t>
      </w:r>
      <w:r>
        <w:rPr>
          <w:color w:val="231F20"/>
        </w:rPr>
        <w:t>ика»</w:t>
      </w:r>
      <w:r>
        <w:rPr>
          <w:color w:val="231F20"/>
          <w:spacing w:val="-10"/>
        </w:rPr>
        <w:t> </w:t>
      </w:r>
      <w:r>
        <w:rPr>
          <w:color w:val="231F20"/>
        </w:rPr>
        <w:t>на</w:t>
      </w:r>
      <w:r>
        <w:rPr>
          <w:color w:val="231F20"/>
          <w:spacing w:val="-10"/>
        </w:rPr>
        <w:t> </w:t>
      </w:r>
      <w:r>
        <w:rPr>
          <w:color w:val="231F20"/>
        </w:rPr>
        <w:t>академическую</w:t>
      </w:r>
      <w:r>
        <w:rPr>
          <w:color w:val="231F20"/>
          <w:spacing w:val="-10"/>
        </w:rPr>
        <w:t> </w:t>
      </w:r>
      <w:r>
        <w:rPr>
          <w:color w:val="231F20"/>
        </w:rPr>
        <w:t>успеваемость,</w:t>
      </w:r>
      <w:r>
        <w:rPr>
          <w:color w:val="231F20"/>
          <w:spacing w:val="-10"/>
        </w:rPr>
        <w:t> </w:t>
      </w:r>
      <w:r>
        <w:rPr>
          <w:color w:val="231F20"/>
        </w:rPr>
        <w:t>хотя</w:t>
      </w:r>
      <w:r>
        <w:rPr>
          <w:color w:val="231F20"/>
          <w:spacing w:val="-10"/>
        </w:rPr>
        <w:t> </w:t>
      </w:r>
      <w:r>
        <w:rPr>
          <w:color w:val="231F20"/>
        </w:rPr>
        <w:t>было</w:t>
      </w:r>
      <w:r>
        <w:rPr>
          <w:color w:val="231F20"/>
          <w:spacing w:val="-10"/>
        </w:rPr>
        <w:t> </w:t>
      </w:r>
      <w:r>
        <w:rPr>
          <w:color w:val="231F20"/>
        </w:rPr>
        <w:t>обнаружено,</w:t>
      </w:r>
      <w:r>
        <w:rPr>
          <w:color w:val="231F20"/>
          <w:spacing w:val="-10"/>
        </w:rPr>
        <w:t> </w:t>
      </w:r>
      <w:r>
        <w:rPr>
          <w:color w:val="231F20"/>
        </w:rPr>
        <w:t>что</w:t>
      </w:r>
      <w:r>
        <w:rPr>
          <w:color w:val="231F20"/>
          <w:spacing w:val="-10"/>
        </w:rPr>
        <w:t> </w:t>
      </w:r>
      <w:r>
        <w:rPr>
          <w:color w:val="231F20"/>
        </w:rPr>
        <w:t>метод</w:t>
      </w:r>
      <w:r>
        <w:rPr>
          <w:color w:val="231F20"/>
          <w:spacing w:val="-10"/>
        </w:rPr>
        <w:t> </w:t>
      </w:r>
      <w:r>
        <w:rPr>
          <w:color w:val="231F20"/>
        </w:rPr>
        <w:t>совместного обучения имеет другие, неакадемические преимущества в классе (Chan et al., 2009).</w:t>
      </w:r>
    </w:p>
    <w:p>
      <w:pPr>
        <w:pStyle w:val="BodyText"/>
        <w:spacing w:line="235" w:lineRule="auto"/>
      </w:pPr>
      <w:r>
        <w:rPr>
          <w:color w:val="231F20"/>
        </w:rPr>
        <w:t>Исследовалась также взаимосвязь между совместной и индивидуальной форма- ми</w:t>
      </w:r>
      <w:r>
        <w:rPr>
          <w:color w:val="231F20"/>
          <w:spacing w:val="-13"/>
        </w:rPr>
        <w:t> </w:t>
      </w:r>
      <w:r>
        <w:rPr>
          <w:color w:val="231F20"/>
        </w:rPr>
        <w:t>вознаграждения,</w:t>
      </w:r>
      <w:r>
        <w:rPr>
          <w:color w:val="231F20"/>
          <w:spacing w:val="-12"/>
        </w:rPr>
        <w:t> </w:t>
      </w:r>
      <w:r>
        <w:rPr>
          <w:color w:val="231F20"/>
        </w:rPr>
        <w:t>конкуренцией</w:t>
      </w:r>
      <w:r>
        <w:rPr>
          <w:color w:val="231F20"/>
          <w:spacing w:val="-13"/>
        </w:rPr>
        <w:t> </w:t>
      </w:r>
      <w:r>
        <w:rPr>
          <w:color w:val="231F20"/>
        </w:rPr>
        <w:t>в</w:t>
      </w:r>
      <w:r>
        <w:rPr>
          <w:color w:val="231F20"/>
          <w:spacing w:val="-12"/>
        </w:rPr>
        <w:t> </w:t>
      </w:r>
      <w:r>
        <w:rPr>
          <w:color w:val="231F20"/>
        </w:rPr>
        <w:t>сравнении</w:t>
      </w:r>
      <w:r>
        <w:rPr>
          <w:color w:val="231F20"/>
          <w:spacing w:val="-13"/>
        </w:rPr>
        <w:t> </w:t>
      </w:r>
      <w:r>
        <w:rPr>
          <w:color w:val="231F20"/>
        </w:rPr>
        <w:t>с</w:t>
      </w:r>
      <w:r>
        <w:rPr>
          <w:color w:val="231F20"/>
          <w:spacing w:val="-12"/>
        </w:rPr>
        <w:t> </w:t>
      </w:r>
      <w:r>
        <w:rPr>
          <w:color w:val="231F20"/>
        </w:rPr>
        <w:t>сотрудничеством</w:t>
      </w:r>
      <w:r>
        <w:rPr>
          <w:color w:val="231F20"/>
          <w:spacing w:val="-13"/>
        </w:rPr>
        <w:t> </w:t>
      </w:r>
      <w:r>
        <w:rPr>
          <w:color w:val="231F20"/>
        </w:rPr>
        <w:t>и</w:t>
      </w:r>
      <w:r>
        <w:rPr>
          <w:color w:val="231F20"/>
          <w:spacing w:val="-12"/>
        </w:rPr>
        <w:t> </w:t>
      </w:r>
      <w:r>
        <w:rPr>
          <w:color w:val="231F20"/>
        </w:rPr>
        <w:t>индивидуальной</w:t>
      </w:r>
    </w:p>
    <w:p>
      <w:pPr>
        <w:pStyle w:val="BodyText"/>
        <w:spacing w:after="0" w:line="235" w:lineRule="auto"/>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z w:val="18"/>
        </w:rPr>
        <w:t>4.4.</w:t>
      </w:r>
      <w:r>
        <w:rPr>
          <w:rFonts w:ascii="Georgia" w:hAnsi="Georgia"/>
          <w:color w:val="231F20"/>
          <w:spacing w:val="-1"/>
          <w:sz w:val="18"/>
        </w:rPr>
        <w:t> </w:t>
      </w:r>
      <w:r>
        <w:rPr>
          <w:rFonts w:ascii="Georgia" w:hAnsi="Georgia"/>
          <w:color w:val="231F20"/>
          <w:sz w:val="18"/>
        </w:rPr>
        <w:t>Методы</w:t>
      </w:r>
      <w:r>
        <w:rPr>
          <w:rFonts w:ascii="Georgia" w:hAnsi="Georgia"/>
          <w:color w:val="231F20"/>
          <w:spacing w:val="-1"/>
          <w:sz w:val="18"/>
        </w:rPr>
        <w:t> </w:t>
      </w:r>
      <w:r>
        <w:rPr>
          <w:rFonts w:ascii="Georgia" w:hAnsi="Georgia"/>
          <w:color w:val="231F20"/>
          <w:sz w:val="18"/>
        </w:rPr>
        <w:t>учебной</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1"/>
          <w:sz w:val="18"/>
        </w:rPr>
        <w:t> </w:t>
      </w:r>
      <w:r>
        <w:rPr>
          <w:rFonts w:ascii="Georgia" w:hAnsi="Georgia"/>
          <w:color w:val="231F20"/>
          <w:sz w:val="18"/>
        </w:rPr>
        <w:t>для адаптации</w:t>
      </w:r>
      <w:r>
        <w:rPr>
          <w:rFonts w:ascii="Georgia" w:hAnsi="Georgia"/>
          <w:color w:val="231F20"/>
          <w:spacing w:val="-1"/>
          <w:sz w:val="18"/>
        </w:rPr>
        <w:t> </w:t>
      </w:r>
      <w:r>
        <w:rPr>
          <w:rFonts w:ascii="Georgia" w:hAnsi="Georgia"/>
          <w:color w:val="231F20"/>
          <w:sz w:val="18"/>
        </w:rPr>
        <w:t>детей</w:t>
      </w:r>
      <w:r>
        <w:rPr>
          <w:rFonts w:ascii="Georgia" w:hAnsi="Georgia"/>
          <w:color w:val="231F20"/>
          <w:spacing w:val="-1"/>
          <w:sz w:val="18"/>
        </w:rPr>
        <w:t> </w:t>
      </w:r>
      <w:r>
        <w:rPr>
          <w:rFonts w:ascii="Georgia" w:hAnsi="Georgia"/>
          <w:color w:val="231F20"/>
          <w:sz w:val="18"/>
        </w:rPr>
        <w:t>...</w:t>
      </w:r>
      <w:r>
        <w:rPr>
          <w:rFonts w:ascii="Georgia" w:hAnsi="Georgia"/>
          <w:color w:val="231F20"/>
          <w:spacing w:val="-1"/>
          <w:sz w:val="18"/>
        </w:rPr>
        <w:t> </w:t>
      </w:r>
      <w:r>
        <w:rPr>
          <w:rFonts w:ascii="Georgia" w:hAnsi="Georgia"/>
          <w:color w:val="231F20"/>
          <w:sz w:val="18"/>
        </w:rPr>
        <w:t>во </w:t>
      </w:r>
      <w:r>
        <w:rPr>
          <w:rFonts w:ascii="Georgia" w:hAnsi="Georgia"/>
          <w:color w:val="231F20"/>
          <w:spacing w:val="-2"/>
          <w:sz w:val="18"/>
        </w:rPr>
        <w:t>взаимодействии...</w:t>
      </w:r>
    </w:p>
    <w:p>
      <w:pPr>
        <w:pStyle w:val="BodyText"/>
        <w:spacing w:line="235" w:lineRule="auto" w:before="116"/>
        <w:ind w:firstLine="0"/>
      </w:pPr>
      <w:r>
        <w:rPr>
          <w:color w:val="231F20"/>
        </w:rPr>
        <w:t>обратной</w:t>
      </w:r>
      <w:r>
        <w:rPr>
          <w:color w:val="231F20"/>
          <w:spacing w:val="-5"/>
        </w:rPr>
        <w:t> </w:t>
      </w:r>
      <w:r>
        <w:rPr>
          <w:color w:val="231F20"/>
        </w:rPr>
        <w:t>связью</w:t>
      </w:r>
      <w:r>
        <w:rPr>
          <w:color w:val="231F20"/>
          <w:spacing w:val="-5"/>
        </w:rPr>
        <w:t> </w:t>
      </w:r>
      <w:r>
        <w:rPr>
          <w:color w:val="231F20"/>
        </w:rPr>
        <w:t>в</w:t>
      </w:r>
      <w:r>
        <w:rPr>
          <w:color w:val="231F20"/>
          <w:spacing w:val="-5"/>
        </w:rPr>
        <w:t> </w:t>
      </w:r>
      <w:r>
        <w:rPr>
          <w:color w:val="231F20"/>
        </w:rPr>
        <w:t>сравнении</w:t>
      </w:r>
      <w:r>
        <w:rPr>
          <w:color w:val="231F20"/>
          <w:spacing w:val="-5"/>
        </w:rPr>
        <w:t> </w:t>
      </w:r>
      <w:r>
        <w:rPr>
          <w:color w:val="231F20"/>
        </w:rPr>
        <w:t>с</w:t>
      </w:r>
      <w:r>
        <w:rPr>
          <w:color w:val="231F20"/>
          <w:spacing w:val="-5"/>
        </w:rPr>
        <w:t> </w:t>
      </w:r>
      <w:r>
        <w:rPr>
          <w:color w:val="231F20"/>
        </w:rPr>
        <w:t>групповой.</w:t>
      </w:r>
      <w:r>
        <w:rPr>
          <w:color w:val="231F20"/>
          <w:spacing w:val="-5"/>
        </w:rPr>
        <w:t> </w:t>
      </w:r>
      <w:r>
        <w:rPr>
          <w:color w:val="231F20"/>
        </w:rPr>
        <w:t>Было</w:t>
      </w:r>
      <w:r>
        <w:rPr>
          <w:color w:val="231F20"/>
          <w:spacing w:val="-5"/>
        </w:rPr>
        <w:t> </w:t>
      </w:r>
      <w:r>
        <w:rPr>
          <w:color w:val="231F20"/>
        </w:rPr>
        <w:t>показано,</w:t>
      </w:r>
      <w:r>
        <w:rPr>
          <w:color w:val="231F20"/>
          <w:spacing w:val="-5"/>
        </w:rPr>
        <w:t> </w:t>
      </w:r>
      <w:r>
        <w:rPr>
          <w:color w:val="231F20"/>
        </w:rPr>
        <w:t>что</w:t>
      </w:r>
      <w:r>
        <w:rPr>
          <w:color w:val="231F20"/>
          <w:spacing w:val="-5"/>
        </w:rPr>
        <w:t> </w:t>
      </w:r>
      <w:r>
        <w:rPr>
          <w:color w:val="231F20"/>
        </w:rPr>
        <w:t>индивидуальные,</w:t>
      </w:r>
      <w:r>
        <w:rPr>
          <w:color w:val="231F20"/>
          <w:spacing w:val="-5"/>
        </w:rPr>
        <w:t> </w:t>
      </w:r>
      <w:r>
        <w:rPr>
          <w:color w:val="231F20"/>
        </w:rPr>
        <w:t>а</w:t>
      </w:r>
      <w:r>
        <w:rPr>
          <w:color w:val="231F20"/>
          <w:spacing w:val="-5"/>
        </w:rPr>
        <w:t> </w:t>
      </w:r>
      <w:r>
        <w:rPr>
          <w:color w:val="231F20"/>
        </w:rPr>
        <w:t>не совместные структуры вознаграждения, сотрудничество, а не конкуренция, и инди- видуальная, а не групповая обратная связь наиболее позитивно повлияли на воспри- ятие</w:t>
      </w:r>
      <w:r>
        <w:rPr>
          <w:color w:val="231F20"/>
          <w:spacing w:val="-1"/>
        </w:rPr>
        <w:t> </w:t>
      </w:r>
      <w:r>
        <w:rPr>
          <w:color w:val="231F20"/>
        </w:rPr>
        <w:t>учащихся</w:t>
      </w:r>
      <w:r>
        <w:rPr>
          <w:color w:val="231F20"/>
          <w:spacing w:val="-1"/>
        </w:rPr>
        <w:t> </w:t>
      </w:r>
      <w:r>
        <w:rPr>
          <w:color w:val="231F20"/>
        </w:rPr>
        <w:t>и участие</w:t>
      </w:r>
      <w:r>
        <w:rPr>
          <w:color w:val="231F20"/>
          <w:spacing w:val="-1"/>
        </w:rPr>
        <w:t> </w:t>
      </w:r>
      <w:r>
        <w:rPr>
          <w:color w:val="231F20"/>
        </w:rPr>
        <w:t>в</w:t>
      </w:r>
      <w:r>
        <w:rPr>
          <w:color w:val="231F20"/>
          <w:spacing w:val="-1"/>
        </w:rPr>
        <w:t> </w:t>
      </w:r>
      <w:r>
        <w:rPr>
          <w:color w:val="231F20"/>
        </w:rPr>
        <w:t>ситуациях совместного</w:t>
      </w:r>
      <w:r>
        <w:rPr>
          <w:color w:val="231F20"/>
          <w:spacing w:val="-1"/>
        </w:rPr>
        <w:t> </w:t>
      </w:r>
      <w:r>
        <w:rPr>
          <w:color w:val="231F20"/>
        </w:rPr>
        <w:t>обучения.</w:t>
      </w:r>
      <w:r>
        <w:rPr>
          <w:color w:val="231F20"/>
          <w:spacing w:val="-1"/>
        </w:rPr>
        <w:t> </w:t>
      </w:r>
      <w:r>
        <w:rPr>
          <w:color w:val="231F20"/>
        </w:rPr>
        <w:t>Наконец, </w:t>
      </w:r>
      <w:r>
        <w:rPr>
          <w:color w:val="231F20"/>
          <w:spacing w:val="-2"/>
        </w:rPr>
        <w:t>исследование</w:t>
      </w:r>
    </w:p>
    <w:p>
      <w:pPr>
        <w:pStyle w:val="BodyText"/>
        <w:spacing w:line="235" w:lineRule="auto" w:before="2"/>
        <w:ind w:firstLine="0"/>
      </w:pPr>
      <w:r>
        <w:rPr>
          <w:color w:val="231F20"/>
        </w:rPr>
        <w:t>«Мнения учителей» показало, что, хотя учителя обычно предпочитают совместные методы</w:t>
      </w:r>
      <w:r>
        <w:rPr>
          <w:color w:val="231F20"/>
          <w:spacing w:val="-1"/>
        </w:rPr>
        <w:t> </w:t>
      </w:r>
      <w:r>
        <w:rPr>
          <w:color w:val="231F20"/>
        </w:rPr>
        <w:t>обучения,</w:t>
      </w:r>
      <w:r>
        <w:rPr>
          <w:color w:val="231F20"/>
          <w:spacing w:val="-1"/>
        </w:rPr>
        <w:t> </w:t>
      </w:r>
      <w:r>
        <w:rPr>
          <w:color w:val="231F20"/>
        </w:rPr>
        <w:t>применение</w:t>
      </w:r>
      <w:r>
        <w:rPr>
          <w:color w:val="231F20"/>
          <w:spacing w:val="-1"/>
        </w:rPr>
        <w:t> </w:t>
      </w:r>
      <w:r>
        <w:rPr>
          <w:color w:val="231F20"/>
        </w:rPr>
        <w:t>таких</w:t>
      </w:r>
      <w:r>
        <w:rPr>
          <w:color w:val="231F20"/>
          <w:spacing w:val="-1"/>
        </w:rPr>
        <w:t> </w:t>
      </w:r>
      <w:r>
        <w:rPr>
          <w:color w:val="231F20"/>
        </w:rPr>
        <w:t>методов</w:t>
      </w:r>
      <w:r>
        <w:rPr>
          <w:color w:val="231F20"/>
          <w:spacing w:val="-1"/>
        </w:rPr>
        <w:t> </w:t>
      </w:r>
      <w:r>
        <w:rPr>
          <w:color w:val="231F20"/>
        </w:rPr>
        <w:t>может</w:t>
      </w:r>
      <w:r>
        <w:rPr>
          <w:color w:val="231F20"/>
          <w:spacing w:val="-1"/>
        </w:rPr>
        <w:t> </w:t>
      </w:r>
      <w:r>
        <w:rPr>
          <w:color w:val="231F20"/>
        </w:rPr>
        <w:t>быть</w:t>
      </w:r>
      <w:r>
        <w:rPr>
          <w:color w:val="231F20"/>
          <w:spacing w:val="-1"/>
        </w:rPr>
        <w:t> </w:t>
      </w:r>
      <w:r>
        <w:rPr>
          <w:color w:val="231F20"/>
        </w:rPr>
        <w:t>сильно</w:t>
      </w:r>
      <w:r>
        <w:rPr>
          <w:color w:val="231F20"/>
          <w:spacing w:val="-1"/>
        </w:rPr>
        <w:t> </w:t>
      </w:r>
      <w:r>
        <w:rPr>
          <w:color w:val="231F20"/>
        </w:rPr>
        <w:t>затруднено</w:t>
      </w:r>
      <w:r>
        <w:rPr>
          <w:color w:val="231F20"/>
          <w:spacing w:val="-1"/>
        </w:rPr>
        <w:t> </w:t>
      </w:r>
      <w:r>
        <w:rPr>
          <w:color w:val="231F20"/>
        </w:rPr>
        <w:t>в</w:t>
      </w:r>
      <w:r>
        <w:rPr>
          <w:color w:val="231F20"/>
          <w:spacing w:val="-1"/>
        </w:rPr>
        <w:t> </w:t>
      </w:r>
      <w:r>
        <w:rPr>
          <w:color w:val="231F20"/>
        </w:rPr>
        <w:t>клас- сах с различными поведенческими, лингвистическими потребностями и потребно- стями</w:t>
      </w:r>
      <w:r>
        <w:rPr>
          <w:color w:val="231F20"/>
          <w:spacing w:val="-11"/>
        </w:rPr>
        <w:t> </w:t>
      </w:r>
      <w:r>
        <w:rPr>
          <w:color w:val="231F20"/>
        </w:rPr>
        <w:t>в</w:t>
      </w:r>
      <w:r>
        <w:rPr>
          <w:color w:val="231F20"/>
          <w:spacing w:val="-11"/>
        </w:rPr>
        <w:t> </w:t>
      </w:r>
      <w:r>
        <w:rPr>
          <w:color w:val="231F20"/>
        </w:rPr>
        <w:t>обучении</w:t>
      </w:r>
      <w:r>
        <w:rPr>
          <w:color w:val="231F20"/>
          <w:spacing w:val="-11"/>
        </w:rPr>
        <w:t> </w:t>
      </w:r>
      <w:r>
        <w:rPr>
          <w:color w:val="231F20"/>
        </w:rPr>
        <w:t>и</w:t>
      </w:r>
      <w:r>
        <w:rPr>
          <w:color w:val="231F20"/>
          <w:spacing w:val="-11"/>
        </w:rPr>
        <w:t> </w:t>
      </w:r>
      <w:r>
        <w:rPr>
          <w:color w:val="231F20"/>
        </w:rPr>
        <w:t>что</w:t>
      </w:r>
      <w:r>
        <w:rPr>
          <w:color w:val="231F20"/>
          <w:spacing w:val="-11"/>
        </w:rPr>
        <w:t> </w:t>
      </w:r>
      <w:r>
        <w:rPr>
          <w:color w:val="231F20"/>
        </w:rPr>
        <w:t>подготовка</w:t>
      </w:r>
      <w:r>
        <w:rPr>
          <w:color w:val="231F20"/>
          <w:spacing w:val="-11"/>
        </w:rPr>
        <w:t> </w:t>
      </w:r>
      <w:r>
        <w:rPr>
          <w:color w:val="231F20"/>
        </w:rPr>
        <w:t>учителей</w:t>
      </w:r>
      <w:r>
        <w:rPr>
          <w:color w:val="231F20"/>
          <w:spacing w:val="-11"/>
        </w:rPr>
        <w:t> </w:t>
      </w:r>
      <w:r>
        <w:rPr>
          <w:color w:val="231F20"/>
        </w:rPr>
        <w:t>к</w:t>
      </w:r>
      <w:r>
        <w:rPr>
          <w:color w:val="231F20"/>
          <w:spacing w:val="-11"/>
        </w:rPr>
        <w:t> </w:t>
      </w:r>
      <w:r>
        <w:rPr>
          <w:color w:val="231F20"/>
        </w:rPr>
        <w:t>работе</w:t>
      </w:r>
      <w:r>
        <w:rPr>
          <w:color w:val="231F20"/>
          <w:spacing w:val="-11"/>
        </w:rPr>
        <w:t> </w:t>
      </w:r>
      <w:r>
        <w:rPr>
          <w:color w:val="231F20"/>
        </w:rPr>
        <w:t>по</w:t>
      </w:r>
      <w:r>
        <w:rPr>
          <w:color w:val="231F20"/>
          <w:spacing w:val="-11"/>
        </w:rPr>
        <w:t> </w:t>
      </w:r>
      <w:r>
        <w:rPr>
          <w:color w:val="231F20"/>
        </w:rPr>
        <w:t>методам</w:t>
      </w:r>
      <w:r>
        <w:rPr>
          <w:color w:val="231F20"/>
          <w:spacing w:val="-11"/>
        </w:rPr>
        <w:t> </w:t>
      </w:r>
      <w:r>
        <w:rPr>
          <w:color w:val="231F20"/>
        </w:rPr>
        <w:t>совместного</w:t>
      </w:r>
      <w:r>
        <w:rPr>
          <w:color w:val="231F20"/>
          <w:spacing w:val="-11"/>
        </w:rPr>
        <w:t> </w:t>
      </w:r>
      <w:r>
        <w:rPr>
          <w:color w:val="231F20"/>
        </w:rPr>
        <w:t>обуче- ния абсолютно необходима для эффективного внедрения этих методов в классе.</w:t>
      </w:r>
    </w:p>
    <w:p>
      <w:pPr>
        <w:pStyle w:val="BodyText"/>
      </w:pPr>
      <w:r>
        <w:rPr>
          <w:color w:val="141A20"/>
        </w:rPr>
        <w:t>Остановимся</w:t>
      </w:r>
      <w:r>
        <w:rPr>
          <w:color w:val="141A20"/>
          <w:spacing w:val="-13"/>
        </w:rPr>
        <w:t> </w:t>
      </w:r>
      <w:r>
        <w:rPr>
          <w:color w:val="141A20"/>
        </w:rPr>
        <w:t>подробнее</w:t>
      </w:r>
      <w:r>
        <w:rPr>
          <w:color w:val="141A20"/>
          <w:spacing w:val="-12"/>
        </w:rPr>
        <w:t> </w:t>
      </w:r>
      <w:r>
        <w:rPr>
          <w:color w:val="141A20"/>
        </w:rPr>
        <w:t>на</w:t>
      </w:r>
      <w:r>
        <w:rPr>
          <w:color w:val="141A20"/>
          <w:spacing w:val="-13"/>
        </w:rPr>
        <w:t> </w:t>
      </w:r>
      <w:r>
        <w:rPr>
          <w:color w:val="141A20"/>
        </w:rPr>
        <w:t>конкретном</w:t>
      </w:r>
      <w:r>
        <w:rPr>
          <w:color w:val="141A20"/>
          <w:spacing w:val="-12"/>
        </w:rPr>
        <w:t> </w:t>
      </w:r>
      <w:r>
        <w:rPr>
          <w:color w:val="141A20"/>
        </w:rPr>
        <w:t>примере</w:t>
      </w:r>
      <w:r>
        <w:rPr>
          <w:color w:val="141A20"/>
          <w:spacing w:val="-13"/>
        </w:rPr>
        <w:t> </w:t>
      </w:r>
      <w:r>
        <w:rPr>
          <w:color w:val="141A20"/>
        </w:rPr>
        <w:t>изучения</w:t>
      </w:r>
      <w:r>
        <w:rPr>
          <w:color w:val="141A20"/>
          <w:spacing w:val="-12"/>
        </w:rPr>
        <w:t> </w:t>
      </w:r>
      <w:r>
        <w:rPr>
          <w:color w:val="141A20"/>
        </w:rPr>
        <w:t>эффектов,</w:t>
      </w:r>
      <w:r>
        <w:rPr>
          <w:color w:val="141A20"/>
          <w:spacing w:val="-13"/>
        </w:rPr>
        <w:t> </w:t>
      </w:r>
      <w:r>
        <w:rPr>
          <w:color w:val="141A20"/>
        </w:rPr>
        <w:t>достигнутых </w:t>
      </w:r>
      <w:r>
        <w:rPr>
          <w:color w:val="141A20"/>
          <w:spacing w:val="-2"/>
        </w:rPr>
        <w:t>в результате применения обучения в сотрудничестве в поликультурных классах. </w:t>
      </w:r>
      <w:r>
        <w:rPr>
          <w:color w:val="231F20"/>
          <w:spacing w:val="-2"/>
        </w:rPr>
        <w:t>Была </w:t>
      </w:r>
      <w:r>
        <w:rPr>
          <w:color w:val="231F20"/>
        </w:rPr>
        <w:t>проведена учебная программа из 11 уроков обучения в сотрудничестве в пяти поли- этнических 5-х классах (то есть в классах с более чем 25% учащихся-иммигрантов). Первые</w:t>
      </w:r>
      <w:r>
        <w:rPr>
          <w:color w:val="231F20"/>
          <w:spacing w:val="-7"/>
        </w:rPr>
        <w:t> </w:t>
      </w:r>
      <w:r>
        <w:rPr>
          <w:color w:val="231F20"/>
        </w:rPr>
        <w:t>два</w:t>
      </w:r>
      <w:r>
        <w:rPr>
          <w:color w:val="231F20"/>
          <w:spacing w:val="-7"/>
        </w:rPr>
        <w:t> </w:t>
      </w:r>
      <w:r>
        <w:rPr>
          <w:color w:val="231F20"/>
        </w:rPr>
        <w:t>урока</w:t>
      </w:r>
      <w:r>
        <w:rPr>
          <w:color w:val="231F20"/>
          <w:spacing w:val="-7"/>
        </w:rPr>
        <w:t> </w:t>
      </w:r>
      <w:r>
        <w:rPr>
          <w:color w:val="231F20"/>
        </w:rPr>
        <w:t>этой</w:t>
      </w:r>
      <w:r>
        <w:rPr>
          <w:color w:val="231F20"/>
          <w:spacing w:val="-7"/>
        </w:rPr>
        <w:t> </w:t>
      </w:r>
      <w:r>
        <w:rPr>
          <w:color w:val="231F20"/>
        </w:rPr>
        <w:t>учебной</w:t>
      </w:r>
      <w:r>
        <w:rPr>
          <w:color w:val="231F20"/>
          <w:spacing w:val="-7"/>
        </w:rPr>
        <w:t> </w:t>
      </w:r>
      <w:r>
        <w:rPr>
          <w:color w:val="231F20"/>
        </w:rPr>
        <w:t>программы</w:t>
      </w:r>
      <w:r>
        <w:rPr>
          <w:color w:val="231F20"/>
          <w:spacing w:val="-7"/>
        </w:rPr>
        <w:t> </w:t>
      </w:r>
      <w:r>
        <w:rPr>
          <w:color w:val="231F20"/>
        </w:rPr>
        <w:t>были</w:t>
      </w:r>
      <w:r>
        <w:rPr>
          <w:color w:val="231F20"/>
          <w:spacing w:val="-7"/>
        </w:rPr>
        <w:t> </w:t>
      </w:r>
      <w:r>
        <w:rPr>
          <w:color w:val="231F20"/>
        </w:rPr>
        <w:t>посвящены</w:t>
      </w:r>
      <w:r>
        <w:rPr>
          <w:color w:val="231F20"/>
          <w:spacing w:val="-7"/>
        </w:rPr>
        <w:t> </w:t>
      </w:r>
      <w:r>
        <w:rPr>
          <w:color w:val="231F20"/>
        </w:rPr>
        <w:t>собственно</w:t>
      </w:r>
      <w:r>
        <w:rPr>
          <w:color w:val="231F20"/>
          <w:spacing w:val="-7"/>
        </w:rPr>
        <w:t> </w:t>
      </w:r>
      <w:r>
        <w:rPr>
          <w:color w:val="231F20"/>
        </w:rPr>
        <w:t>обучению</w:t>
      </w:r>
      <w:r>
        <w:rPr>
          <w:color w:val="231F20"/>
          <w:spacing w:val="-7"/>
        </w:rPr>
        <w:t> </w:t>
      </w:r>
      <w:r>
        <w:rPr>
          <w:color w:val="231F20"/>
        </w:rPr>
        <w:t>в </w:t>
      </w:r>
      <w:r>
        <w:rPr>
          <w:color w:val="231F20"/>
          <w:spacing w:val="-2"/>
        </w:rPr>
        <w:t>сотрудничестве, в ходе которого ученики обучались использованию основных правил </w:t>
      </w:r>
      <w:r>
        <w:rPr>
          <w:color w:val="231F20"/>
        </w:rPr>
        <w:t>совместного</w:t>
      </w:r>
      <w:r>
        <w:rPr>
          <w:color w:val="231F20"/>
          <w:spacing w:val="-9"/>
        </w:rPr>
        <w:t> </w:t>
      </w:r>
      <w:r>
        <w:rPr>
          <w:color w:val="231F20"/>
        </w:rPr>
        <w:t>обучения</w:t>
      </w:r>
      <w:r>
        <w:rPr>
          <w:color w:val="231F20"/>
          <w:spacing w:val="-9"/>
        </w:rPr>
        <w:t> </w:t>
      </w:r>
      <w:r>
        <w:rPr>
          <w:color w:val="231F20"/>
        </w:rPr>
        <w:t>и</w:t>
      </w:r>
      <w:r>
        <w:rPr>
          <w:color w:val="231F20"/>
          <w:spacing w:val="-9"/>
        </w:rPr>
        <w:t> </w:t>
      </w:r>
      <w:r>
        <w:rPr>
          <w:color w:val="231F20"/>
        </w:rPr>
        <w:t>помогающему</w:t>
      </w:r>
      <w:r>
        <w:rPr>
          <w:color w:val="231F20"/>
          <w:spacing w:val="-9"/>
        </w:rPr>
        <w:t> </w:t>
      </w:r>
      <w:r>
        <w:rPr>
          <w:color w:val="231F20"/>
        </w:rPr>
        <w:t>поведению.</w:t>
      </w:r>
      <w:r>
        <w:rPr>
          <w:color w:val="231F20"/>
          <w:spacing w:val="-9"/>
        </w:rPr>
        <w:t> </w:t>
      </w:r>
      <w:r>
        <w:rPr>
          <w:color w:val="231F20"/>
        </w:rPr>
        <w:t>Во</w:t>
      </w:r>
      <w:r>
        <w:rPr>
          <w:color w:val="231F20"/>
          <w:spacing w:val="-9"/>
        </w:rPr>
        <w:t> </w:t>
      </w:r>
      <w:r>
        <w:rPr>
          <w:color w:val="231F20"/>
        </w:rPr>
        <w:t>время</w:t>
      </w:r>
      <w:r>
        <w:rPr>
          <w:color w:val="231F20"/>
          <w:spacing w:val="-9"/>
        </w:rPr>
        <w:t> </w:t>
      </w:r>
      <w:r>
        <w:rPr>
          <w:color w:val="231F20"/>
        </w:rPr>
        <w:t>урока</w:t>
      </w:r>
      <w:r>
        <w:rPr>
          <w:color w:val="231F20"/>
          <w:spacing w:val="-9"/>
        </w:rPr>
        <w:t> </w:t>
      </w:r>
      <w:r>
        <w:rPr>
          <w:color w:val="231F20"/>
        </w:rPr>
        <w:t>от</w:t>
      </w:r>
      <w:r>
        <w:rPr>
          <w:color w:val="231F20"/>
          <w:spacing w:val="-9"/>
        </w:rPr>
        <w:t> </w:t>
      </w:r>
      <w:r>
        <w:rPr>
          <w:color w:val="231F20"/>
        </w:rPr>
        <w:t>трех</w:t>
      </w:r>
      <w:r>
        <w:rPr>
          <w:color w:val="231F20"/>
          <w:spacing w:val="-9"/>
        </w:rPr>
        <w:t> </w:t>
      </w:r>
      <w:r>
        <w:rPr>
          <w:color w:val="231F20"/>
        </w:rPr>
        <w:t>до</w:t>
      </w:r>
      <w:r>
        <w:rPr>
          <w:color w:val="231F20"/>
          <w:spacing w:val="-9"/>
        </w:rPr>
        <w:t> </w:t>
      </w:r>
      <w:r>
        <w:rPr>
          <w:color w:val="231F20"/>
        </w:rPr>
        <w:t>11</w:t>
      </w:r>
      <w:r>
        <w:rPr>
          <w:color w:val="231F20"/>
          <w:spacing w:val="-9"/>
        </w:rPr>
        <w:t> </w:t>
      </w:r>
      <w:r>
        <w:rPr>
          <w:color w:val="231F20"/>
        </w:rPr>
        <w:t>уче- ников</w:t>
      </w:r>
      <w:r>
        <w:rPr>
          <w:color w:val="231F20"/>
          <w:spacing w:val="-7"/>
        </w:rPr>
        <w:t> </w:t>
      </w:r>
      <w:r>
        <w:rPr>
          <w:color w:val="231F20"/>
        </w:rPr>
        <w:t>работали</w:t>
      </w:r>
      <w:r>
        <w:rPr>
          <w:color w:val="231F20"/>
          <w:spacing w:val="-7"/>
        </w:rPr>
        <w:t> </w:t>
      </w:r>
      <w:r>
        <w:rPr>
          <w:color w:val="231F20"/>
        </w:rPr>
        <w:t>в</w:t>
      </w:r>
      <w:r>
        <w:rPr>
          <w:color w:val="231F20"/>
          <w:spacing w:val="-7"/>
        </w:rPr>
        <w:t> </w:t>
      </w:r>
      <w:r>
        <w:rPr>
          <w:color w:val="231F20"/>
        </w:rPr>
        <w:t>командах</w:t>
      </w:r>
      <w:r>
        <w:rPr>
          <w:color w:val="231F20"/>
          <w:spacing w:val="-7"/>
        </w:rPr>
        <w:t> </w:t>
      </w:r>
      <w:r>
        <w:rPr>
          <w:color w:val="231F20"/>
        </w:rPr>
        <w:t>над</w:t>
      </w:r>
      <w:r>
        <w:rPr>
          <w:color w:val="231F20"/>
          <w:spacing w:val="-7"/>
        </w:rPr>
        <w:t> </w:t>
      </w:r>
      <w:r>
        <w:rPr>
          <w:color w:val="231F20"/>
        </w:rPr>
        <w:t>групповыми</w:t>
      </w:r>
      <w:r>
        <w:rPr>
          <w:color w:val="231F20"/>
          <w:spacing w:val="-7"/>
        </w:rPr>
        <w:t> </w:t>
      </w:r>
      <w:r>
        <w:rPr>
          <w:color w:val="231F20"/>
        </w:rPr>
        <w:t>заданиями</w:t>
      </w:r>
      <w:r>
        <w:rPr>
          <w:color w:val="231F20"/>
          <w:spacing w:val="-7"/>
        </w:rPr>
        <w:t> </w:t>
      </w:r>
      <w:r>
        <w:rPr>
          <w:color w:val="231F20"/>
        </w:rPr>
        <w:t>по</w:t>
      </w:r>
      <w:r>
        <w:rPr>
          <w:color w:val="231F20"/>
          <w:spacing w:val="-7"/>
        </w:rPr>
        <w:t> </w:t>
      </w:r>
      <w:r>
        <w:rPr>
          <w:color w:val="231F20"/>
        </w:rPr>
        <w:t>математике.</w:t>
      </w:r>
      <w:r>
        <w:rPr>
          <w:color w:val="231F20"/>
          <w:spacing w:val="-7"/>
        </w:rPr>
        <w:t> </w:t>
      </w:r>
      <w:r>
        <w:rPr>
          <w:color w:val="231F20"/>
        </w:rPr>
        <w:t>В</w:t>
      </w:r>
      <w:r>
        <w:rPr>
          <w:color w:val="231F20"/>
          <w:spacing w:val="-7"/>
        </w:rPr>
        <w:t> </w:t>
      </w:r>
      <w:r>
        <w:rPr>
          <w:color w:val="231F20"/>
        </w:rPr>
        <w:t>этом</w:t>
      </w:r>
      <w:r>
        <w:rPr>
          <w:color w:val="231F20"/>
          <w:spacing w:val="-7"/>
        </w:rPr>
        <w:t> </w:t>
      </w:r>
      <w:r>
        <w:rPr>
          <w:color w:val="231F20"/>
        </w:rPr>
        <w:t>иссле- довании</w:t>
      </w:r>
      <w:r>
        <w:rPr>
          <w:color w:val="231F20"/>
          <w:spacing w:val="-5"/>
        </w:rPr>
        <w:t> </w:t>
      </w:r>
      <w:r>
        <w:rPr>
          <w:color w:val="231F20"/>
        </w:rPr>
        <w:t>приняли</w:t>
      </w:r>
      <w:r>
        <w:rPr>
          <w:color w:val="231F20"/>
          <w:spacing w:val="-5"/>
        </w:rPr>
        <w:t> </w:t>
      </w:r>
      <w:r>
        <w:rPr>
          <w:color w:val="231F20"/>
        </w:rPr>
        <w:t>участие</w:t>
      </w:r>
      <w:r>
        <w:rPr>
          <w:color w:val="231F20"/>
          <w:spacing w:val="-5"/>
        </w:rPr>
        <w:t> </w:t>
      </w:r>
      <w:r>
        <w:rPr>
          <w:color w:val="231F20"/>
        </w:rPr>
        <w:t>26</w:t>
      </w:r>
      <w:r>
        <w:rPr>
          <w:color w:val="231F20"/>
          <w:spacing w:val="-5"/>
        </w:rPr>
        <w:t> </w:t>
      </w:r>
      <w:r>
        <w:rPr>
          <w:color w:val="231F20"/>
        </w:rPr>
        <w:t>команд,</w:t>
      </w:r>
      <w:r>
        <w:rPr>
          <w:color w:val="231F20"/>
          <w:spacing w:val="-5"/>
        </w:rPr>
        <w:t> </w:t>
      </w:r>
      <w:r>
        <w:rPr>
          <w:color w:val="231F20"/>
        </w:rPr>
        <w:t>состоящих</w:t>
      </w:r>
      <w:r>
        <w:rPr>
          <w:color w:val="231F20"/>
          <w:spacing w:val="-5"/>
        </w:rPr>
        <w:t> </w:t>
      </w:r>
      <w:r>
        <w:rPr>
          <w:color w:val="231F20"/>
        </w:rPr>
        <w:t>из</w:t>
      </w:r>
      <w:r>
        <w:rPr>
          <w:color w:val="231F20"/>
          <w:spacing w:val="-5"/>
        </w:rPr>
        <w:t> </w:t>
      </w:r>
      <w:r>
        <w:rPr>
          <w:color w:val="231F20"/>
        </w:rPr>
        <w:t>трех-четырех</w:t>
      </w:r>
      <w:r>
        <w:rPr>
          <w:color w:val="231F20"/>
          <w:spacing w:val="-5"/>
        </w:rPr>
        <w:t> </w:t>
      </w:r>
      <w:r>
        <w:rPr>
          <w:color w:val="231F20"/>
        </w:rPr>
        <w:t>учеников</w:t>
      </w:r>
      <w:r>
        <w:rPr>
          <w:color w:val="231F20"/>
          <w:spacing w:val="-5"/>
        </w:rPr>
        <w:t> </w:t>
      </w:r>
      <w:r>
        <w:rPr>
          <w:color w:val="231F20"/>
        </w:rPr>
        <w:t>в</w:t>
      </w:r>
      <w:r>
        <w:rPr>
          <w:color w:val="231F20"/>
          <w:spacing w:val="-5"/>
        </w:rPr>
        <w:t> </w:t>
      </w:r>
      <w:r>
        <w:rPr>
          <w:color w:val="231F20"/>
        </w:rPr>
        <w:t>каждой, в общей сложности 94 школьника 10–12 лет.</w:t>
      </w:r>
    </w:p>
    <w:p>
      <w:pPr>
        <w:pStyle w:val="BodyText"/>
      </w:pPr>
      <w:r>
        <w:rPr>
          <w:color w:val="231F20"/>
        </w:rPr>
        <w:t>Начиная</w:t>
      </w:r>
      <w:r>
        <w:rPr>
          <w:color w:val="231F20"/>
          <w:spacing w:val="-4"/>
        </w:rPr>
        <w:t> </w:t>
      </w:r>
      <w:r>
        <w:rPr>
          <w:color w:val="231F20"/>
        </w:rPr>
        <w:t>с</w:t>
      </w:r>
      <w:r>
        <w:rPr>
          <w:color w:val="231F20"/>
          <w:spacing w:val="-4"/>
        </w:rPr>
        <w:t> </w:t>
      </w:r>
      <w:r>
        <w:rPr>
          <w:color w:val="231F20"/>
        </w:rPr>
        <w:t>третьего</w:t>
      </w:r>
      <w:r>
        <w:rPr>
          <w:color w:val="231F20"/>
          <w:spacing w:val="-4"/>
        </w:rPr>
        <w:t> </w:t>
      </w:r>
      <w:r>
        <w:rPr>
          <w:color w:val="231F20"/>
        </w:rPr>
        <w:t>урока</w:t>
      </w:r>
      <w:r>
        <w:rPr>
          <w:color w:val="231F20"/>
          <w:spacing w:val="-4"/>
        </w:rPr>
        <w:t> </w:t>
      </w:r>
      <w:r>
        <w:rPr>
          <w:color w:val="231F20"/>
        </w:rPr>
        <w:t>учащиеся</w:t>
      </w:r>
      <w:r>
        <w:rPr>
          <w:color w:val="231F20"/>
          <w:spacing w:val="-5"/>
        </w:rPr>
        <w:t> </w:t>
      </w:r>
      <w:r>
        <w:rPr>
          <w:color w:val="231F20"/>
        </w:rPr>
        <w:t>выполняли</w:t>
      </w:r>
      <w:r>
        <w:rPr>
          <w:color w:val="231F20"/>
          <w:spacing w:val="-4"/>
        </w:rPr>
        <w:t> </w:t>
      </w:r>
      <w:r>
        <w:rPr>
          <w:color w:val="231F20"/>
        </w:rPr>
        <w:t>аналогичные</w:t>
      </w:r>
      <w:r>
        <w:rPr>
          <w:color w:val="231F20"/>
          <w:spacing w:val="-4"/>
        </w:rPr>
        <w:t> </w:t>
      </w:r>
      <w:r>
        <w:rPr>
          <w:color w:val="231F20"/>
        </w:rPr>
        <w:t>совместные</w:t>
      </w:r>
      <w:r>
        <w:rPr>
          <w:color w:val="231F20"/>
          <w:spacing w:val="-4"/>
        </w:rPr>
        <w:t> </w:t>
      </w:r>
      <w:r>
        <w:rPr>
          <w:color w:val="231F20"/>
        </w:rPr>
        <w:t>матема- тические задания в ранее сформированных группах под руководством учителя. На каждом</w:t>
      </w:r>
      <w:r>
        <w:rPr>
          <w:color w:val="231F20"/>
          <w:spacing w:val="-10"/>
        </w:rPr>
        <w:t> </w:t>
      </w:r>
      <w:r>
        <w:rPr>
          <w:color w:val="231F20"/>
        </w:rPr>
        <w:t>уроке</w:t>
      </w:r>
      <w:r>
        <w:rPr>
          <w:color w:val="231F20"/>
          <w:spacing w:val="-10"/>
        </w:rPr>
        <w:t> </w:t>
      </w:r>
      <w:r>
        <w:rPr>
          <w:color w:val="231F20"/>
        </w:rPr>
        <w:t>команды</w:t>
      </w:r>
      <w:r>
        <w:rPr>
          <w:color w:val="231F20"/>
          <w:spacing w:val="-10"/>
        </w:rPr>
        <w:t> </w:t>
      </w:r>
      <w:r>
        <w:rPr>
          <w:color w:val="231F20"/>
        </w:rPr>
        <w:t>решали</w:t>
      </w:r>
      <w:r>
        <w:rPr>
          <w:color w:val="231F20"/>
          <w:spacing w:val="-10"/>
        </w:rPr>
        <w:t> </w:t>
      </w:r>
      <w:r>
        <w:rPr>
          <w:color w:val="231F20"/>
        </w:rPr>
        <w:t>по</w:t>
      </w:r>
      <w:r>
        <w:rPr>
          <w:color w:val="231F20"/>
          <w:spacing w:val="-10"/>
        </w:rPr>
        <w:t> </w:t>
      </w:r>
      <w:r>
        <w:rPr>
          <w:color w:val="231F20"/>
        </w:rPr>
        <w:t>два</w:t>
      </w:r>
      <w:r>
        <w:rPr>
          <w:color w:val="231F20"/>
          <w:spacing w:val="-10"/>
        </w:rPr>
        <w:t> </w:t>
      </w:r>
      <w:r>
        <w:rPr>
          <w:color w:val="231F20"/>
        </w:rPr>
        <w:t>аутентичных</w:t>
      </w:r>
      <w:r>
        <w:rPr>
          <w:color w:val="231F20"/>
          <w:spacing w:val="-10"/>
        </w:rPr>
        <w:t> </w:t>
      </w:r>
      <w:r>
        <w:rPr>
          <w:color w:val="231F20"/>
        </w:rPr>
        <w:t>математических</w:t>
      </w:r>
      <w:r>
        <w:rPr>
          <w:color w:val="231F20"/>
          <w:spacing w:val="-10"/>
        </w:rPr>
        <w:t> </w:t>
      </w:r>
      <w:r>
        <w:rPr>
          <w:color w:val="231F20"/>
        </w:rPr>
        <w:t>задания</w:t>
      </w:r>
      <w:r>
        <w:rPr>
          <w:color w:val="231F20"/>
          <w:spacing w:val="-10"/>
        </w:rPr>
        <w:t> </w:t>
      </w:r>
      <w:r>
        <w:rPr>
          <w:color w:val="231F20"/>
        </w:rPr>
        <w:t>с</w:t>
      </w:r>
      <w:r>
        <w:rPr>
          <w:color w:val="231F20"/>
          <w:spacing w:val="-10"/>
        </w:rPr>
        <w:t> </w:t>
      </w:r>
      <w:r>
        <w:rPr>
          <w:color w:val="231F20"/>
        </w:rPr>
        <w:t>общей темой</w:t>
      </w:r>
      <w:r>
        <w:rPr>
          <w:color w:val="231F20"/>
          <w:spacing w:val="-3"/>
        </w:rPr>
        <w:t> </w:t>
      </w:r>
      <w:r>
        <w:rPr>
          <w:color w:val="231F20"/>
        </w:rPr>
        <w:t>(например,</w:t>
      </w:r>
      <w:r>
        <w:rPr>
          <w:color w:val="231F20"/>
          <w:spacing w:val="-3"/>
        </w:rPr>
        <w:t> </w:t>
      </w:r>
      <w:r>
        <w:rPr>
          <w:color w:val="231F20"/>
        </w:rPr>
        <w:t>зоопарк).</w:t>
      </w:r>
      <w:r>
        <w:rPr>
          <w:color w:val="231F20"/>
          <w:spacing w:val="-3"/>
        </w:rPr>
        <w:t> </w:t>
      </w:r>
      <w:r>
        <w:rPr>
          <w:color w:val="231F20"/>
        </w:rPr>
        <w:t>Аутентичные</w:t>
      </w:r>
      <w:r>
        <w:rPr>
          <w:color w:val="231F20"/>
          <w:spacing w:val="-3"/>
        </w:rPr>
        <w:t> </w:t>
      </w:r>
      <w:r>
        <w:rPr>
          <w:color w:val="231F20"/>
        </w:rPr>
        <w:t>математические</w:t>
      </w:r>
      <w:r>
        <w:rPr>
          <w:color w:val="231F20"/>
          <w:spacing w:val="-3"/>
        </w:rPr>
        <w:t> </w:t>
      </w:r>
      <w:r>
        <w:rPr>
          <w:color w:val="231F20"/>
        </w:rPr>
        <w:t>задания</w:t>
      </w:r>
      <w:r>
        <w:rPr>
          <w:color w:val="231F20"/>
          <w:spacing w:val="-3"/>
        </w:rPr>
        <w:t> </w:t>
      </w:r>
      <w:r>
        <w:rPr>
          <w:color w:val="231F20"/>
        </w:rPr>
        <w:t>являются</w:t>
      </w:r>
      <w:r>
        <w:rPr>
          <w:color w:val="231F20"/>
          <w:spacing w:val="-3"/>
        </w:rPr>
        <w:t> </w:t>
      </w:r>
      <w:r>
        <w:rPr>
          <w:color w:val="231F20"/>
        </w:rPr>
        <w:t>матема- тическими</w:t>
      </w:r>
      <w:r>
        <w:rPr>
          <w:color w:val="231F20"/>
          <w:spacing w:val="-13"/>
        </w:rPr>
        <w:t> </w:t>
      </w:r>
      <w:r>
        <w:rPr>
          <w:color w:val="231F20"/>
        </w:rPr>
        <w:t>заданиями</w:t>
      </w:r>
      <w:r>
        <w:rPr>
          <w:color w:val="231F20"/>
          <w:spacing w:val="-12"/>
        </w:rPr>
        <w:t> </w:t>
      </w:r>
      <w:r>
        <w:rPr>
          <w:color w:val="231F20"/>
        </w:rPr>
        <w:t>с</w:t>
      </w:r>
      <w:r>
        <w:rPr>
          <w:color w:val="231F20"/>
          <w:spacing w:val="-13"/>
        </w:rPr>
        <w:t> </w:t>
      </w:r>
      <w:r>
        <w:rPr>
          <w:color w:val="231F20"/>
        </w:rPr>
        <w:t>ярко</w:t>
      </w:r>
      <w:r>
        <w:rPr>
          <w:color w:val="231F20"/>
          <w:spacing w:val="-12"/>
        </w:rPr>
        <w:t> </w:t>
      </w:r>
      <w:r>
        <w:rPr>
          <w:color w:val="231F20"/>
        </w:rPr>
        <w:t>выраженной</w:t>
      </w:r>
      <w:r>
        <w:rPr>
          <w:color w:val="231F20"/>
          <w:spacing w:val="-13"/>
        </w:rPr>
        <w:t> </w:t>
      </w:r>
      <w:r>
        <w:rPr>
          <w:color w:val="231F20"/>
        </w:rPr>
        <w:t>повествовательной</w:t>
      </w:r>
      <w:r>
        <w:rPr>
          <w:color w:val="231F20"/>
          <w:spacing w:val="-12"/>
        </w:rPr>
        <w:t> </w:t>
      </w:r>
      <w:r>
        <w:rPr>
          <w:color w:val="231F20"/>
        </w:rPr>
        <w:t>структурой,</w:t>
      </w:r>
      <w:r>
        <w:rPr>
          <w:color w:val="231F20"/>
          <w:spacing w:val="-13"/>
        </w:rPr>
        <w:t> </w:t>
      </w:r>
      <w:r>
        <w:rPr>
          <w:color w:val="231F20"/>
        </w:rPr>
        <w:t>встроенные в знакомые детям контексты; а также заданиями, где возможно несколько решений, поскольку именно такие задания стимулируют мотивацию учащихся к сотрудниче- ству (Cohen, 1994).</w:t>
      </w:r>
    </w:p>
    <w:p>
      <w:pPr>
        <w:pStyle w:val="BodyText"/>
      </w:pPr>
      <w:r>
        <w:rPr>
          <w:color w:val="231F20"/>
        </w:rPr>
        <w:t>Оказалось, что учащиеся оценивали своих коллег по команде как более популяр- ных и склонных к сотрудничеству с увеличением времени совместного обучения, что</w:t>
      </w:r>
      <w:r>
        <w:rPr>
          <w:color w:val="231F20"/>
          <w:spacing w:val="-9"/>
        </w:rPr>
        <w:t> </w:t>
      </w:r>
      <w:r>
        <w:rPr>
          <w:color w:val="231F20"/>
        </w:rPr>
        <w:t>согласуется</w:t>
      </w:r>
      <w:r>
        <w:rPr>
          <w:color w:val="231F20"/>
          <w:spacing w:val="-6"/>
        </w:rPr>
        <w:t> </w:t>
      </w:r>
      <w:r>
        <w:rPr>
          <w:color w:val="231F20"/>
        </w:rPr>
        <w:t>и</w:t>
      </w:r>
      <w:r>
        <w:rPr>
          <w:color w:val="231F20"/>
          <w:spacing w:val="-6"/>
        </w:rPr>
        <w:t> </w:t>
      </w:r>
      <w:r>
        <w:rPr>
          <w:color w:val="231F20"/>
        </w:rPr>
        <w:t>с</w:t>
      </w:r>
      <w:r>
        <w:rPr>
          <w:color w:val="231F20"/>
          <w:spacing w:val="-6"/>
        </w:rPr>
        <w:t> </w:t>
      </w:r>
      <w:r>
        <w:rPr>
          <w:color w:val="231F20"/>
        </w:rPr>
        <w:t>выводами</w:t>
      </w:r>
      <w:r>
        <w:rPr>
          <w:color w:val="231F20"/>
          <w:spacing w:val="-6"/>
        </w:rPr>
        <w:t> </w:t>
      </w:r>
      <w:r>
        <w:rPr>
          <w:color w:val="231F20"/>
        </w:rPr>
        <w:t>других</w:t>
      </w:r>
      <w:r>
        <w:rPr>
          <w:color w:val="231F20"/>
          <w:spacing w:val="-6"/>
        </w:rPr>
        <w:t> </w:t>
      </w:r>
      <w:r>
        <w:rPr>
          <w:color w:val="231F20"/>
        </w:rPr>
        <w:t>исследователей</w:t>
      </w:r>
      <w:r>
        <w:rPr>
          <w:color w:val="231F20"/>
          <w:spacing w:val="-6"/>
        </w:rPr>
        <w:t> </w:t>
      </w:r>
      <w:r>
        <w:rPr>
          <w:color w:val="231F20"/>
        </w:rPr>
        <w:t>(Gillies,</w:t>
      </w:r>
      <w:r>
        <w:rPr>
          <w:color w:val="231F20"/>
          <w:spacing w:val="-13"/>
        </w:rPr>
        <w:t> </w:t>
      </w:r>
      <w:r>
        <w:rPr>
          <w:color w:val="231F20"/>
        </w:rPr>
        <w:t>Ashman,</w:t>
      </w:r>
      <w:r>
        <w:rPr>
          <w:color w:val="231F20"/>
          <w:spacing w:val="-6"/>
        </w:rPr>
        <w:t> </w:t>
      </w:r>
      <w:r>
        <w:rPr>
          <w:color w:val="231F20"/>
        </w:rPr>
        <w:t>1997;</w:t>
      </w:r>
      <w:r>
        <w:rPr>
          <w:color w:val="231F20"/>
          <w:spacing w:val="-5"/>
        </w:rPr>
        <w:t> </w:t>
      </w:r>
      <w:r>
        <w:rPr>
          <w:i/>
          <w:color w:val="231F20"/>
        </w:rPr>
        <w:t>Johnson, </w:t>
      </w:r>
      <w:r>
        <w:rPr>
          <w:color w:val="231F20"/>
        </w:rPr>
        <w:t>Johnson, 1999). Эти выводы подчеркивают положительное влияние обучения в со- трудничестве</w:t>
      </w:r>
      <w:r>
        <w:rPr>
          <w:color w:val="231F20"/>
          <w:spacing w:val="-7"/>
        </w:rPr>
        <w:t> </w:t>
      </w:r>
      <w:r>
        <w:rPr>
          <w:color w:val="231F20"/>
        </w:rPr>
        <w:t>на</w:t>
      </w:r>
      <w:r>
        <w:rPr>
          <w:color w:val="231F20"/>
          <w:spacing w:val="-7"/>
        </w:rPr>
        <w:t> </w:t>
      </w:r>
      <w:r>
        <w:rPr>
          <w:color w:val="231F20"/>
        </w:rPr>
        <w:t>социальный</w:t>
      </w:r>
      <w:r>
        <w:rPr>
          <w:color w:val="231F20"/>
          <w:spacing w:val="-7"/>
        </w:rPr>
        <w:t> </w:t>
      </w:r>
      <w:r>
        <w:rPr>
          <w:color w:val="231F20"/>
        </w:rPr>
        <w:t>статус</w:t>
      </w:r>
      <w:r>
        <w:rPr>
          <w:color w:val="231F20"/>
          <w:spacing w:val="-7"/>
        </w:rPr>
        <w:t> </w:t>
      </w:r>
      <w:r>
        <w:rPr>
          <w:color w:val="231F20"/>
        </w:rPr>
        <w:t>учащихся.</w:t>
      </w:r>
      <w:r>
        <w:rPr>
          <w:color w:val="231F20"/>
          <w:spacing w:val="-7"/>
        </w:rPr>
        <w:t> </w:t>
      </w:r>
      <w:r>
        <w:rPr>
          <w:color w:val="231F20"/>
        </w:rPr>
        <w:t>Существует</w:t>
      </w:r>
      <w:r>
        <w:rPr>
          <w:color w:val="231F20"/>
          <w:spacing w:val="-7"/>
        </w:rPr>
        <w:t> </w:t>
      </w:r>
      <w:r>
        <w:rPr>
          <w:color w:val="231F20"/>
        </w:rPr>
        <w:t>целый</w:t>
      </w:r>
      <w:r>
        <w:rPr>
          <w:color w:val="231F20"/>
          <w:spacing w:val="-7"/>
        </w:rPr>
        <w:t> </w:t>
      </w:r>
      <w:r>
        <w:rPr>
          <w:color w:val="231F20"/>
        </w:rPr>
        <w:t>ряд</w:t>
      </w:r>
      <w:r>
        <w:rPr>
          <w:color w:val="231F20"/>
          <w:spacing w:val="-7"/>
        </w:rPr>
        <w:t> </w:t>
      </w:r>
      <w:r>
        <w:rPr>
          <w:color w:val="231F20"/>
        </w:rPr>
        <w:t>исследований, которые показывают, что обучение в сотрудничестве является более эффективным методом, чем прямое обучение, не только в отношении социальных навыков, но и в отношении академической успеваемости (обзоры см. Qin, Johnson &amp; Johnson, 1995; Rohrbeck et al., 2003).</w:t>
      </w:r>
    </w:p>
    <w:p>
      <w:pPr>
        <w:pStyle w:val="BodyText"/>
        <w:spacing w:line="237" w:lineRule="auto"/>
      </w:pPr>
      <w:r>
        <w:rPr>
          <w:color w:val="231F20"/>
        </w:rPr>
        <w:t>Регулярное внедрение технологий обучения в сотрудничестве стало новым опы- том как для учителей, так и для учеников, участвовавших в этом исследовании. Тем не менее это показывает, что обучение в сотрудничестве может уменьшать межэт- нические предубеждения в многонациональных командах даже при минимальных предварительных</w:t>
      </w:r>
      <w:r>
        <w:rPr>
          <w:color w:val="231F20"/>
          <w:spacing w:val="-12"/>
        </w:rPr>
        <w:t> </w:t>
      </w:r>
      <w:r>
        <w:rPr>
          <w:color w:val="231F20"/>
        </w:rPr>
        <w:t>знаниях</w:t>
      </w:r>
      <w:r>
        <w:rPr>
          <w:color w:val="231F20"/>
          <w:spacing w:val="-12"/>
        </w:rPr>
        <w:t> </w:t>
      </w:r>
      <w:r>
        <w:rPr>
          <w:color w:val="231F20"/>
        </w:rPr>
        <w:t>и</w:t>
      </w:r>
      <w:r>
        <w:rPr>
          <w:color w:val="231F20"/>
          <w:spacing w:val="-12"/>
        </w:rPr>
        <w:t> </w:t>
      </w:r>
      <w:r>
        <w:rPr>
          <w:color w:val="231F20"/>
        </w:rPr>
        <w:t>навыках</w:t>
      </w:r>
      <w:r>
        <w:rPr>
          <w:color w:val="231F20"/>
          <w:spacing w:val="-12"/>
        </w:rPr>
        <w:t> </w:t>
      </w:r>
      <w:r>
        <w:rPr>
          <w:color w:val="231F20"/>
        </w:rPr>
        <w:t>проведения</w:t>
      </w:r>
      <w:r>
        <w:rPr>
          <w:color w:val="231F20"/>
          <w:spacing w:val="-12"/>
        </w:rPr>
        <w:t> </w:t>
      </w:r>
      <w:r>
        <w:rPr>
          <w:color w:val="231F20"/>
        </w:rPr>
        <w:t>занятий</w:t>
      </w:r>
      <w:r>
        <w:rPr>
          <w:color w:val="231F20"/>
          <w:spacing w:val="-12"/>
        </w:rPr>
        <w:t> </w:t>
      </w:r>
      <w:r>
        <w:rPr>
          <w:color w:val="231F20"/>
        </w:rPr>
        <w:t>в</w:t>
      </w:r>
      <w:r>
        <w:rPr>
          <w:color w:val="231F20"/>
          <w:spacing w:val="-12"/>
        </w:rPr>
        <w:t> </w:t>
      </w:r>
      <w:r>
        <w:rPr>
          <w:color w:val="231F20"/>
        </w:rPr>
        <w:t>этом</w:t>
      </w:r>
      <w:r>
        <w:rPr>
          <w:color w:val="231F20"/>
          <w:spacing w:val="-12"/>
        </w:rPr>
        <w:t> </w:t>
      </w:r>
      <w:r>
        <w:rPr>
          <w:color w:val="231F20"/>
        </w:rPr>
        <w:t>формате.</w:t>
      </w:r>
      <w:r>
        <w:rPr>
          <w:color w:val="231F20"/>
          <w:spacing w:val="-12"/>
        </w:rPr>
        <w:t> </w:t>
      </w:r>
      <w:r>
        <w:rPr>
          <w:color w:val="231F20"/>
        </w:rPr>
        <w:t>Результаты показывают, что с увеличением времени обучения наблюдается неуклонное сниже- ние восприятия членами команды некооперативности учащихся другой этнической принадлежности. Еще более позитивного влияния совместного обучения на межэт- нические отношения следует ожидать при наличии большего опыта и знаний о нем.</w:t>
      </w:r>
    </w:p>
    <w:p>
      <w:pPr>
        <w:pStyle w:val="BodyText"/>
        <w:spacing w:after="0" w:line="237" w:lineRule="auto"/>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pPr>
      <w:r>
        <w:rPr>
          <w:color w:val="231F20"/>
        </w:rPr>
        <w:t>Было обнаружено, что учащиеся другой национальности воспринимались как более популярные в конце учебной программы. Кроме того, воспринимаемая готов- ность таких учащихся к сотрудничеству возросла даже больше, чем у учеников-им- мигрантов: в начале учебной программы они были оценены как менее сговорчивые. Результаты</w:t>
      </w:r>
      <w:r>
        <w:rPr>
          <w:color w:val="231F20"/>
          <w:spacing w:val="-13"/>
        </w:rPr>
        <w:t> </w:t>
      </w:r>
      <w:r>
        <w:rPr>
          <w:color w:val="231F20"/>
        </w:rPr>
        <w:t>также</w:t>
      </w:r>
      <w:r>
        <w:rPr>
          <w:color w:val="231F20"/>
          <w:spacing w:val="-12"/>
        </w:rPr>
        <w:t> </w:t>
      </w:r>
      <w:r>
        <w:rPr>
          <w:color w:val="231F20"/>
        </w:rPr>
        <w:t>показали,</w:t>
      </w:r>
      <w:r>
        <w:rPr>
          <w:color w:val="231F20"/>
          <w:spacing w:val="-13"/>
        </w:rPr>
        <w:t> </w:t>
      </w:r>
      <w:r>
        <w:rPr>
          <w:color w:val="231F20"/>
        </w:rPr>
        <w:t>что</w:t>
      </w:r>
      <w:r>
        <w:rPr>
          <w:color w:val="231F20"/>
          <w:spacing w:val="-12"/>
        </w:rPr>
        <w:t> </w:t>
      </w:r>
      <w:r>
        <w:rPr>
          <w:color w:val="231F20"/>
        </w:rPr>
        <w:t>создание</w:t>
      </w:r>
      <w:r>
        <w:rPr>
          <w:color w:val="231F20"/>
          <w:spacing w:val="-13"/>
        </w:rPr>
        <w:t> </w:t>
      </w:r>
      <w:r>
        <w:rPr>
          <w:color w:val="231F20"/>
        </w:rPr>
        <w:t>многоэтнических</w:t>
      </w:r>
      <w:r>
        <w:rPr>
          <w:color w:val="231F20"/>
          <w:spacing w:val="-12"/>
        </w:rPr>
        <w:t> </w:t>
      </w:r>
      <w:r>
        <w:rPr>
          <w:color w:val="231F20"/>
        </w:rPr>
        <w:t>команд</w:t>
      </w:r>
      <w:r>
        <w:rPr>
          <w:color w:val="231F20"/>
          <w:spacing w:val="-13"/>
        </w:rPr>
        <w:t> </w:t>
      </w:r>
      <w:r>
        <w:rPr>
          <w:color w:val="231F20"/>
        </w:rPr>
        <w:t>более</w:t>
      </w:r>
      <w:r>
        <w:rPr>
          <w:color w:val="231F20"/>
          <w:spacing w:val="-12"/>
        </w:rPr>
        <w:t> </w:t>
      </w:r>
      <w:r>
        <w:rPr>
          <w:color w:val="231F20"/>
        </w:rPr>
        <w:t>эффективно для</w:t>
      </w:r>
      <w:r>
        <w:rPr>
          <w:color w:val="231F20"/>
          <w:spacing w:val="-5"/>
        </w:rPr>
        <w:t> </w:t>
      </w:r>
      <w:r>
        <w:rPr>
          <w:color w:val="231F20"/>
        </w:rPr>
        <w:t>уменьшения</w:t>
      </w:r>
      <w:r>
        <w:rPr>
          <w:color w:val="231F20"/>
          <w:spacing w:val="-5"/>
        </w:rPr>
        <w:t> </w:t>
      </w:r>
      <w:r>
        <w:rPr>
          <w:color w:val="231F20"/>
        </w:rPr>
        <w:t>межэтнических</w:t>
      </w:r>
      <w:r>
        <w:rPr>
          <w:color w:val="231F20"/>
          <w:spacing w:val="-5"/>
        </w:rPr>
        <w:t> </w:t>
      </w:r>
      <w:r>
        <w:rPr>
          <w:color w:val="231F20"/>
        </w:rPr>
        <w:t>предубеждений</w:t>
      </w:r>
      <w:r>
        <w:rPr>
          <w:color w:val="231F20"/>
          <w:spacing w:val="-5"/>
        </w:rPr>
        <w:t> </w:t>
      </w:r>
      <w:r>
        <w:rPr>
          <w:color w:val="231F20"/>
        </w:rPr>
        <w:t>по</w:t>
      </w:r>
      <w:r>
        <w:rPr>
          <w:color w:val="231F20"/>
          <w:spacing w:val="-5"/>
        </w:rPr>
        <w:t> </w:t>
      </w:r>
      <w:r>
        <w:rPr>
          <w:color w:val="231F20"/>
        </w:rPr>
        <w:t>сравнению</w:t>
      </w:r>
      <w:r>
        <w:rPr>
          <w:color w:val="231F20"/>
          <w:spacing w:val="-5"/>
        </w:rPr>
        <w:t> </w:t>
      </w:r>
      <w:r>
        <w:rPr>
          <w:color w:val="231F20"/>
        </w:rPr>
        <w:t>с</w:t>
      </w:r>
      <w:r>
        <w:rPr>
          <w:color w:val="231F20"/>
          <w:spacing w:val="-5"/>
        </w:rPr>
        <w:t> </w:t>
      </w:r>
      <w:r>
        <w:rPr>
          <w:color w:val="231F20"/>
        </w:rPr>
        <w:t>составлением</w:t>
      </w:r>
      <w:r>
        <w:rPr>
          <w:color w:val="231F20"/>
          <w:spacing w:val="-5"/>
        </w:rPr>
        <w:t> </w:t>
      </w:r>
      <w:r>
        <w:rPr>
          <w:color w:val="231F20"/>
        </w:rPr>
        <w:t>этни- </w:t>
      </w:r>
      <w:r>
        <w:rPr>
          <w:color w:val="231F20"/>
          <w:spacing w:val="-2"/>
        </w:rPr>
        <w:t>чески однородных команд: только в многонациональных командах популярность уве- </w:t>
      </w:r>
      <w:r>
        <w:rPr>
          <w:color w:val="231F20"/>
        </w:rPr>
        <w:t>личилась, а воспринимаемая некооперативность уменьшилась в связи с получением новых впечатлений о сверстниках. Эти результаты подтверждают пересмотренную гипотезу о контакте, предложенную </w:t>
      </w:r>
      <w:r>
        <w:rPr>
          <w:i/>
          <w:color w:val="231F20"/>
        </w:rPr>
        <w:t>Pettigrew </w:t>
      </w:r>
      <w:r>
        <w:rPr>
          <w:color w:val="231F20"/>
        </w:rPr>
        <w:t>(1998), что развитие межэтнической дружбы</w:t>
      </w:r>
      <w:r>
        <w:rPr>
          <w:color w:val="231F20"/>
          <w:spacing w:val="-12"/>
        </w:rPr>
        <w:t> </w:t>
      </w:r>
      <w:r>
        <w:rPr>
          <w:color w:val="231F20"/>
        </w:rPr>
        <w:t>уменьшает</w:t>
      </w:r>
      <w:r>
        <w:rPr>
          <w:color w:val="231F20"/>
          <w:spacing w:val="-12"/>
        </w:rPr>
        <w:t> </w:t>
      </w:r>
      <w:r>
        <w:rPr>
          <w:color w:val="231F20"/>
        </w:rPr>
        <w:t>межэтнические</w:t>
      </w:r>
      <w:r>
        <w:rPr>
          <w:color w:val="231F20"/>
          <w:spacing w:val="-12"/>
        </w:rPr>
        <w:t> </w:t>
      </w:r>
      <w:r>
        <w:rPr>
          <w:color w:val="231F20"/>
        </w:rPr>
        <w:t>предубеждения.</w:t>
      </w:r>
      <w:r>
        <w:rPr>
          <w:color w:val="231F20"/>
          <w:spacing w:val="-12"/>
        </w:rPr>
        <w:t> </w:t>
      </w:r>
      <w:r>
        <w:rPr>
          <w:color w:val="231F20"/>
        </w:rPr>
        <w:t>Существуют</w:t>
      </w:r>
      <w:r>
        <w:rPr>
          <w:color w:val="231F20"/>
          <w:spacing w:val="-12"/>
        </w:rPr>
        <w:t> </w:t>
      </w:r>
      <w:r>
        <w:rPr>
          <w:color w:val="231F20"/>
        </w:rPr>
        <w:t>доказательства,</w:t>
      </w:r>
      <w:r>
        <w:rPr>
          <w:color w:val="231F20"/>
          <w:spacing w:val="-12"/>
        </w:rPr>
        <w:t> </w:t>
      </w:r>
      <w:r>
        <w:rPr>
          <w:color w:val="231F20"/>
        </w:rPr>
        <w:t>что не только дружба усиливается с увеличением контакта с этнически неоднородной группой,</w:t>
      </w:r>
      <w:r>
        <w:rPr>
          <w:color w:val="231F20"/>
          <w:spacing w:val="-2"/>
        </w:rPr>
        <w:t> </w:t>
      </w:r>
      <w:r>
        <w:rPr>
          <w:color w:val="231F20"/>
        </w:rPr>
        <w:t>но</w:t>
      </w:r>
      <w:r>
        <w:rPr>
          <w:color w:val="231F20"/>
          <w:spacing w:val="-2"/>
        </w:rPr>
        <w:t> </w:t>
      </w:r>
      <w:r>
        <w:rPr>
          <w:color w:val="231F20"/>
        </w:rPr>
        <w:t>и</w:t>
      </w:r>
      <w:r>
        <w:rPr>
          <w:color w:val="231F20"/>
          <w:spacing w:val="-2"/>
        </w:rPr>
        <w:t> </w:t>
      </w:r>
      <w:r>
        <w:rPr>
          <w:color w:val="231F20"/>
        </w:rPr>
        <w:t>межэтническая</w:t>
      </w:r>
      <w:r>
        <w:rPr>
          <w:color w:val="231F20"/>
          <w:spacing w:val="-2"/>
        </w:rPr>
        <w:t> </w:t>
      </w:r>
      <w:r>
        <w:rPr>
          <w:color w:val="231F20"/>
        </w:rPr>
        <w:t>популярность,</w:t>
      </w:r>
      <w:r>
        <w:rPr>
          <w:color w:val="231F20"/>
          <w:spacing w:val="-2"/>
        </w:rPr>
        <w:t> </w:t>
      </w:r>
      <w:r>
        <w:rPr>
          <w:color w:val="231F20"/>
        </w:rPr>
        <w:t>так</w:t>
      </w:r>
      <w:r>
        <w:rPr>
          <w:color w:val="231F20"/>
          <w:spacing w:val="-2"/>
        </w:rPr>
        <w:t> </w:t>
      </w:r>
      <w:r>
        <w:rPr>
          <w:color w:val="231F20"/>
        </w:rPr>
        <w:t>же</w:t>
      </w:r>
      <w:r>
        <w:rPr>
          <w:color w:val="231F20"/>
          <w:spacing w:val="-2"/>
        </w:rPr>
        <w:t> </w:t>
      </w:r>
      <w:r>
        <w:rPr>
          <w:color w:val="231F20"/>
        </w:rPr>
        <w:t>как</w:t>
      </w:r>
      <w:r>
        <w:rPr>
          <w:color w:val="231F20"/>
          <w:spacing w:val="-2"/>
        </w:rPr>
        <w:t> </w:t>
      </w:r>
      <w:r>
        <w:rPr>
          <w:color w:val="231F20"/>
        </w:rPr>
        <w:t>воспринимаемая</w:t>
      </w:r>
      <w:r>
        <w:rPr>
          <w:color w:val="231F20"/>
          <w:spacing w:val="-2"/>
        </w:rPr>
        <w:t> </w:t>
      </w:r>
      <w:r>
        <w:rPr>
          <w:color w:val="231F20"/>
        </w:rPr>
        <w:t>межэтниче- ская</w:t>
      </w:r>
      <w:r>
        <w:rPr>
          <w:color w:val="231F20"/>
          <w:spacing w:val="-13"/>
        </w:rPr>
        <w:t> </w:t>
      </w:r>
      <w:r>
        <w:rPr>
          <w:color w:val="231F20"/>
        </w:rPr>
        <w:t>готовность</w:t>
      </w:r>
      <w:r>
        <w:rPr>
          <w:color w:val="231F20"/>
          <w:spacing w:val="-12"/>
        </w:rPr>
        <w:t> </w:t>
      </w:r>
      <w:r>
        <w:rPr>
          <w:color w:val="231F20"/>
        </w:rPr>
        <w:t>к</w:t>
      </w:r>
      <w:r>
        <w:rPr>
          <w:color w:val="231F20"/>
          <w:spacing w:val="-13"/>
        </w:rPr>
        <w:t> </w:t>
      </w:r>
      <w:r>
        <w:rPr>
          <w:color w:val="231F20"/>
        </w:rPr>
        <w:t>сотрудничеству</w:t>
      </w:r>
      <w:r>
        <w:rPr>
          <w:color w:val="231F20"/>
          <w:spacing w:val="-12"/>
        </w:rPr>
        <w:t> </w:t>
      </w:r>
      <w:r>
        <w:rPr>
          <w:color w:val="231F20"/>
        </w:rPr>
        <w:t>усиливаются</w:t>
      </w:r>
      <w:r>
        <w:rPr>
          <w:color w:val="231F20"/>
          <w:spacing w:val="-13"/>
        </w:rPr>
        <w:t> </w:t>
      </w:r>
      <w:r>
        <w:rPr>
          <w:color w:val="231F20"/>
        </w:rPr>
        <w:t>с</w:t>
      </w:r>
      <w:r>
        <w:rPr>
          <w:color w:val="231F20"/>
          <w:spacing w:val="-12"/>
        </w:rPr>
        <w:t> </w:t>
      </w:r>
      <w:r>
        <w:rPr>
          <w:color w:val="231F20"/>
        </w:rPr>
        <w:t>увеличением</w:t>
      </w:r>
      <w:r>
        <w:rPr>
          <w:color w:val="231F20"/>
          <w:spacing w:val="-13"/>
        </w:rPr>
        <w:t> </w:t>
      </w:r>
      <w:r>
        <w:rPr>
          <w:color w:val="231F20"/>
        </w:rPr>
        <w:t>времени</w:t>
      </w:r>
      <w:r>
        <w:rPr>
          <w:color w:val="231F20"/>
          <w:spacing w:val="-12"/>
        </w:rPr>
        <w:t> </w:t>
      </w:r>
      <w:r>
        <w:rPr>
          <w:color w:val="231F20"/>
        </w:rPr>
        <w:t>контакта.</w:t>
      </w:r>
      <w:r>
        <w:rPr>
          <w:color w:val="231F20"/>
          <w:spacing w:val="-13"/>
        </w:rPr>
        <w:t> </w:t>
      </w:r>
      <w:r>
        <w:rPr>
          <w:color w:val="231F20"/>
        </w:rPr>
        <w:t>Эти результаты показывают, что обучение в сотрудничестве может обеспечить решение межэтнических проблем в многонациональных школах.</w:t>
      </w:r>
    </w:p>
    <w:p>
      <w:pPr>
        <w:pStyle w:val="BodyText"/>
        <w:spacing w:line="235" w:lineRule="auto" w:before="10"/>
      </w:pPr>
      <w:r>
        <w:rPr>
          <w:color w:val="231F20"/>
        </w:rPr>
        <w:t>Для достижения такого уровня социальных эффектов необходимо проводить специальные тренинги и готовить учащихся к совместной деятельности по техноло- гии обучения в сотрудничестве.</w:t>
      </w:r>
    </w:p>
    <w:p>
      <w:pPr>
        <w:spacing w:line="228" w:lineRule="exact" w:before="111"/>
        <w:ind w:left="425" w:right="0" w:firstLine="0"/>
        <w:jc w:val="both"/>
        <w:rPr>
          <w:b/>
          <w:sz w:val="20"/>
        </w:rPr>
      </w:pPr>
      <w:r>
        <w:rPr>
          <w:b/>
          <w:color w:val="231F20"/>
          <w:sz w:val="20"/>
        </w:rPr>
        <w:t>Подготовка</w:t>
      </w:r>
      <w:r>
        <w:rPr>
          <w:b/>
          <w:color w:val="231F20"/>
          <w:spacing w:val="-13"/>
          <w:sz w:val="20"/>
        </w:rPr>
        <w:t> </w:t>
      </w:r>
      <w:r>
        <w:rPr>
          <w:b/>
          <w:color w:val="231F20"/>
          <w:sz w:val="20"/>
        </w:rPr>
        <w:t>учащихся</w:t>
      </w:r>
      <w:r>
        <w:rPr>
          <w:b/>
          <w:color w:val="231F20"/>
          <w:spacing w:val="-11"/>
          <w:sz w:val="20"/>
        </w:rPr>
        <w:t> </w:t>
      </w:r>
      <w:r>
        <w:rPr>
          <w:b/>
          <w:color w:val="231F20"/>
          <w:sz w:val="20"/>
        </w:rPr>
        <w:t>к</w:t>
      </w:r>
      <w:r>
        <w:rPr>
          <w:b/>
          <w:color w:val="231F20"/>
          <w:spacing w:val="-11"/>
          <w:sz w:val="20"/>
        </w:rPr>
        <w:t> </w:t>
      </w:r>
      <w:r>
        <w:rPr>
          <w:b/>
          <w:color w:val="231F20"/>
          <w:sz w:val="20"/>
        </w:rPr>
        <w:t>групповой</w:t>
      </w:r>
      <w:r>
        <w:rPr>
          <w:b/>
          <w:color w:val="231F20"/>
          <w:spacing w:val="-11"/>
          <w:sz w:val="20"/>
        </w:rPr>
        <w:t> </w:t>
      </w:r>
      <w:r>
        <w:rPr>
          <w:b/>
          <w:color w:val="231F20"/>
          <w:sz w:val="20"/>
        </w:rPr>
        <w:t>учебной</w:t>
      </w:r>
      <w:r>
        <w:rPr>
          <w:b/>
          <w:color w:val="231F20"/>
          <w:spacing w:val="-11"/>
          <w:sz w:val="20"/>
        </w:rPr>
        <w:t> </w:t>
      </w:r>
      <w:r>
        <w:rPr>
          <w:b/>
          <w:color w:val="231F20"/>
          <w:spacing w:val="-2"/>
          <w:sz w:val="20"/>
        </w:rPr>
        <w:t>деятельности</w:t>
      </w:r>
    </w:p>
    <w:p>
      <w:pPr>
        <w:pStyle w:val="BodyText"/>
        <w:spacing w:line="235" w:lineRule="auto" w:before="2"/>
      </w:pPr>
      <w:r>
        <w:rPr>
          <w:color w:val="231F20"/>
        </w:rPr>
        <w:t>Подготовка</w:t>
      </w:r>
      <w:r>
        <w:rPr>
          <w:color w:val="231F20"/>
          <w:spacing w:val="-13"/>
        </w:rPr>
        <w:t> </w:t>
      </w:r>
      <w:r>
        <w:rPr>
          <w:color w:val="231F20"/>
        </w:rPr>
        <w:t>учащихся</w:t>
      </w:r>
      <w:r>
        <w:rPr>
          <w:color w:val="231F20"/>
          <w:spacing w:val="-12"/>
        </w:rPr>
        <w:t> </w:t>
      </w:r>
      <w:r>
        <w:rPr>
          <w:color w:val="231F20"/>
        </w:rPr>
        <w:t>к</w:t>
      </w:r>
      <w:r>
        <w:rPr>
          <w:color w:val="231F20"/>
          <w:spacing w:val="-13"/>
        </w:rPr>
        <w:t> </w:t>
      </w:r>
      <w:r>
        <w:rPr>
          <w:color w:val="231F20"/>
        </w:rPr>
        <w:t>групповой</w:t>
      </w:r>
      <w:r>
        <w:rPr>
          <w:color w:val="231F20"/>
          <w:spacing w:val="-12"/>
        </w:rPr>
        <w:t> </w:t>
      </w:r>
      <w:r>
        <w:rPr>
          <w:color w:val="231F20"/>
        </w:rPr>
        <w:t>учебной</w:t>
      </w:r>
      <w:r>
        <w:rPr>
          <w:color w:val="231F20"/>
          <w:spacing w:val="-13"/>
        </w:rPr>
        <w:t> </w:t>
      </w:r>
      <w:r>
        <w:rPr>
          <w:color w:val="231F20"/>
        </w:rPr>
        <w:t>деятельности</w:t>
      </w:r>
      <w:r>
        <w:rPr>
          <w:color w:val="231F20"/>
          <w:spacing w:val="-12"/>
        </w:rPr>
        <w:t> </w:t>
      </w:r>
      <w:r>
        <w:rPr>
          <w:color w:val="231F20"/>
        </w:rPr>
        <w:t>заключается</w:t>
      </w:r>
      <w:r>
        <w:rPr>
          <w:color w:val="231F20"/>
          <w:spacing w:val="-13"/>
        </w:rPr>
        <w:t> </w:t>
      </w:r>
      <w:r>
        <w:rPr>
          <w:color w:val="231F20"/>
        </w:rPr>
        <w:t>в</w:t>
      </w:r>
      <w:r>
        <w:rPr>
          <w:color w:val="231F20"/>
          <w:spacing w:val="-12"/>
        </w:rPr>
        <w:t> </w:t>
      </w:r>
      <w:r>
        <w:rPr>
          <w:color w:val="231F20"/>
        </w:rPr>
        <w:t>проработ- ке ситуаций, с которыми дети могут столкнуться в процессе учебной деятельности. Речь, прежде всего, идет о том, как избежать возможных конфликтов и подготовить учеников к коллективной учебной деятельности. Эта подготовка проводится в фор- мате</w:t>
      </w:r>
      <w:r>
        <w:rPr>
          <w:color w:val="231F20"/>
          <w:spacing w:val="-7"/>
        </w:rPr>
        <w:t> </w:t>
      </w:r>
      <w:r>
        <w:rPr>
          <w:color w:val="231F20"/>
        </w:rPr>
        <w:t>психологических</w:t>
      </w:r>
      <w:r>
        <w:rPr>
          <w:color w:val="231F20"/>
          <w:spacing w:val="-7"/>
        </w:rPr>
        <w:t> </w:t>
      </w:r>
      <w:r>
        <w:rPr>
          <w:color w:val="231F20"/>
        </w:rPr>
        <w:t>тренингов,</w:t>
      </w:r>
      <w:r>
        <w:rPr>
          <w:color w:val="231F20"/>
          <w:spacing w:val="-7"/>
        </w:rPr>
        <w:t> </w:t>
      </w:r>
      <w:r>
        <w:rPr>
          <w:color w:val="231F20"/>
        </w:rPr>
        <w:t>которые</w:t>
      </w:r>
      <w:r>
        <w:rPr>
          <w:color w:val="231F20"/>
          <w:spacing w:val="-7"/>
        </w:rPr>
        <w:t> </w:t>
      </w:r>
      <w:r>
        <w:rPr>
          <w:color w:val="231F20"/>
        </w:rPr>
        <w:t>может</w:t>
      </w:r>
      <w:r>
        <w:rPr>
          <w:color w:val="231F20"/>
          <w:spacing w:val="-7"/>
        </w:rPr>
        <w:t> </w:t>
      </w:r>
      <w:r>
        <w:rPr>
          <w:color w:val="231F20"/>
        </w:rPr>
        <w:t>провести</w:t>
      </w:r>
      <w:r>
        <w:rPr>
          <w:color w:val="231F20"/>
          <w:spacing w:val="-7"/>
        </w:rPr>
        <w:t> </w:t>
      </w:r>
      <w:r>
        <w:rPr>
          <w:color w:val="231F20"/>
        </w:rPr>
        <w:t>сам</w:t>
      </w:r>
      <w:r>
        <w:rPr>
          <w:color w:val="231F20"/>
          <w:spacing w:val="-7"/>
        </w:rPr>
        <w:t> </w:t>
      </w:r>
      <w:r>
        <w:rPr>
          <w:color w:val="231F20"/>
        </w:rPr>
        <w:t>учитель,</w:t>
      </w:r>
      <w:r>
        <w:rPr>
          <w:color w:val="231F20"/>
          <w:spacing w:val="-7"/>
        </w:rPr>
        <w:t> </w:t>
      </w:r>
      <w:r>
        <w:rPr>
          <w:color w:val="231F20"/>
        </w:rPr>
        <w:t>либо</w:t>
      </w:r>
      <w:r>
        <w:rPr>
          <w:color w:val="231F20"/>
          <w:spacing w:val="-7"/>
        </w:rPr>
        <w:t> </w:t>
      </w:r>
      <w:r>
        <w:rPr>
          <w:color w:val="231F20"/>
        </w:rPr>
        <w:t>(по</w:t>
      </w:r>
      <w:r>
        <w:rPr>
          <w:color w:val="231F20"/>
          <w:spacing w:val="-7"/>
        </w:rPr>
        <w:t> </w:t>
      </w:r>
      <w:r>
        <w:rPr>
          <w:color w:val="231F20"/>
        </w:rPr>
        <w:t>его просьбе) школьный психолог, либо учитель совместно со школьным психологом.</w:t>
      </w:r>
    </w:p>
    <w:p>
      <w:pPr>
        <w:pStyle w:val="BodyText"/>
        <w:spacing w:line="235" w:lineRule="auto" w:before="4"/>
      </w:pPr>
      <w:r>
        <w:rPr>
          <w:color w:val="231F20"/>
        </w:rPr>
        <w:t>Суть</w:t>
      </w:r>
      <w:r>
        <w:rPr>
          <w:color w:val="231F20"/>
          <w:spacing w:val="-10"/>
        </w:rPr>
        <w:t> </w:t>
      </w:r>
      <w:r>
        <w:rPr>
          <w:color w:val="231F20"/>
        </w:rPr>
        <w:t>предварительной</w:t>
      </w:r>
      <w:r>
        <w:rPr>
          <w:color w:val="231F20"/>
          <w:spacing w:val="-10"/>
        </w:rPr>
        <w:t> </w:t>
      </w:r>
      <w:r>
        <w:rPr>
          <w:color w:val="231F20"/>
        </w:rPr>
        <w:t>подготовки</w:t>
      </w:r>
      <w:r>
        <w:rPr>
          <w:color w:val="231F20"/>
          <w:spacing w:val="-10"/>
        </w:rPr>
        <w:t> </w:t>
      </w:r>
      <w:r>
        <w:rPr>
          <w:color w:val="231F20"/>
        </w:rPr>
        <w:t>учащихся</w:t>
      </w:r>
      <w:r>
        <w:rPr>
          <w:color w:val="231F20"/>
          <w:spacing w:val="-10"/>
        </w:rPr>
        <w:t> </w:t>
      </w:r>
      <w:r>
        <w:rPr>
          <w:color w:val="231F20"/>
        </w:rPr>
        <w:t>к</w:t>
      </w:r>
      <w:r>
        <w:rPr>
          <w:color w:val="231F20"/>
          <w:spacing w:val="-10"/>
        </w:rPr>
        <w:t> </w:t>
      </w:r>
      <w:r>
        <w:rPr>
          <w:color w:val="231F20"/>
        </w:rPr>
        <w:t>обучению</w:t>
      </w:r>
      <w:r>
        <w:rPr>
          <w:color w:val="231F20"/>
          <w:spacing w:val="-10"/>
        </w:rPr>
        <w:t> </w:t>
      </w:r>
      <w:r>
        <w:rPr>
          <w:color w:val="231F20"/>
        </w:rPr>
        <w:t>в</w:t>
      </w:r>
      <w:r>
        <w:rPr>
          <w:color w:val="231F20"/>
          <w:spacing w:val="-10"/>
        </w:rPr>
        <w:t> </w:t>
      </w:r>
      <w:r>
        <w:rPr>
          <w:color w:val="231F20"/>
        </w:rPr>
        <w:t>поликультурных</w:t>
      </w:r>
      <w:r>
        <w:rPr>
          <w:color w:val="231F20"/>
          <w:spacing w:val="-10"/>
        </w:rPr>
        <w:t> </w:t>
      </w:r>
      <w:r>
        <w:rPr>
          <w:color w:val="231F20"/>
        </w:rPr>
        <w:t>груп- пах сотрудничества – налаживание режима доверия между учащимися, снятие сте- реотипов в восприятии представителей другой национальности и социокультурных традиций, развитие умений общаться друг с другом, задавать вопросы, запрашивать помощь,</w:t>
      </w:r>
      <w:r>
        <w:rPr>
          <w:color w:val="231F20"/>
          <w:spacing w:val="-13"/>
        </w:rPr>
        <w:t> </w:t>
      </w:r>
      <w:r>
        <w:rPr>
          <w:color w:val="231F20"/>
        </w:rPr>
        <w:t>участвовать</w:t>
      </w:r>
      <w:r>
        <w:rPr>
          <w:color w:val="231F20"/>
          <w:spacing w:val="-12"/>
        </w:rPr>
        <w:t> </w:t>
      </w:r>
      <w:r>
        <w:rPr>
          <w:color w:val="231F20"/>
        </w:rPr>
        <w:t>в</w:t>
      </w:r>
      <w:r>
        <w:rPr>
          <w:color w:val="231F20"/>
          <w:spacing w:val="-13"/>
        </w:rPr>
        <w:t> </w:t>
      </w:r>
      <w:r>
        <w:rPr>
          <w:color w:val="231F20"/>
        </w:rPr>
        <w:t>дискуссиях,</w:t>
      </w:r>
      <w:r>
        <w:rPr>
          <w:color w:val="231F20"/>
          <w:spacing w:val="-12"/>
        </w:rPr>
        <w:t> </w:t>
      </w:r>
      <w:r>
        <w:rPr>
          <w:color w:val="231F20"/>
        </w:rPr>
        <w:t>используя</w:t>
      </w:r>
      <w:r>
        <w:rPr>
          <w:color w:val="231F20"/>
          <w:spacing w:val="-13"/>
        </w:rPr>
        <w:t> </w:t>
      </w:r>
      <w:r>
        <w:rPr>
          <w:color w:val="231F20"/>
        </w:rPr>
        <w:t>формулировки,</w:t>
      </w:r>
      <w:r>
        <w:rPr>
          <w:color w:val="231F20"/>
          <w:spacing w:val="-12"/>
        </w:rPr>
        <w:t> </w:t>
      </w:r>
      <w:r>
        <w:rPr>
          <w:color w:val="231F20"/>
        </w:rPr>
        <w:t>которые</w:t>
      </w:r>
      <w:r>
        <w:rPr>
          <w:color w:val="231F20"/>
          <w:spacing w:val="-13"/>
        </w:rPr>
        <w:t> </w:t>
      </w:r>
      <w:r>
        <w:rPr>
          <w:color w:val="231F20"/>
        </w:rPr>
        <w:t>не</w:t>
      </w:r>
      <w:r>
        <w:rPr>
          <w:color w:val="231F20"/>
          <w:spacing w:val="-12"/>
        </w:rPr>
        <w:t> </w:t>
      </w:r>
      <w:r>
        <w:rPr>
          <w:color w:val="231F20"/>
        </w:rPr>
        <w:t>обидят</w:t>
      </w:r>
      <w:r>
        <w:rPr>
          <w:color w:val="231F20"/>
          <w:spacing w:val="-13"/>
        </w:rPr>
        <w:t> </w:t>
      </w:r>
      <w:r>
        <w:rPr>
          <w:color w:val="231F20"/>
        </w:rPr>
        <w:t>дру- гих участников обсуждения и так далее.</w:t>
      </w:r>
    </w:p>
    <w:p>
      <w:pPr>
        <w:pStyle w:val="BodyText"/>
        <w:spacing w:line="235" w:lineRule="auto" w:before="3"/>
      </w:pPr>
      <w:r>
        <w:rPr>
          <w:color w:val="231F20"/>
        </w:rPr>
        <w:t>Эффективная</w:t>
      </w:r>
      <w:r>
        <w:rPr>
          <w:color w:val="231F20"/>
          <w:spacing w:val="-13"/>
        </w:rPr>
        <w:t> </w:t>
      </w:r>
      <w:r>
        <w:rPr>
          <w:color w:val="231F20"/>
        </w:rPr>
        <w:t>подготовка</w:t>
      </w:r>
      <w:r>
        <w:rPr>
          <w:color w:val="231F20"/>
          <w:spacing w:val="-12"/>
        </w:rPr>
        <w:t> </w:t>
      </w:r>
      <w:r>
        <w:rPr>
          <w:color w:val="231F20"/>
        </w:rPr>
        <w:t>учащихся</w:t>
      </w:r>
      <w:r>
        <w:rPr>
          <w:color w:val="231F20"/>
          <w:spacing w:val="-13"/>
        </w:rPr>
        <w:t> </w:t>
      </w:r>
      <w:r>
        <w:rPr>
          <w:color w:val="231F20"/>
        </w:rPr>
        <w:t>к</w:t>
      </w:r>
      <w:r>
        <w:rPr>
          <w:color w:val="231F20"/>
          <w:spacing w:val="-12"/>
        </w:rPr>
        <w:t> </w:t>
      </w:r>
      <w:r>
        <w:rPr>
          <w:color w:val="231F20"/>
        </w:rPr>
        <w:t>обучению</w:t>
      </w:r>
      <w:r>
        <w:rPr>
          <w:color w:val="231F20"/>
          <w:spacing w:val="-13"/>
        </w:rPr>
        <w:t> </w:t>
      </w:r>
      <w:r>
        <w:rPr>
          <w:color w:val="231F20"/>
        </w:rPr>
        <w:t>в</w:t>
      </w:r>
      <w:r>
        <w:rPr>
          <w:color w:val="231F20"/>
          <w:spacing w:val="-12"/>
        </w:rPr>
        <w:t> </w:t>
      </w:r>
      <w:r>
        <w:rPr>
          <w:color w:val="231F20"/>
        </w:rPr>
        <w:t>сотрудничестве</w:t>
      </w:r>
      <w:r>
        <w:rPr>
          <w:color w:val="231F20"/>
          <w:spacing w:val="-13"/>
        </w:rPr>
        <w:t> </w:t>
      </w:r>
      <w:r>
        <w:rPr>
          <w:color w:val="231F20"/>
        </w:rPr>
        <w:t>позволит</w:t>
      </w:r>
      <w:r>
        <w:rPr>
          <w:color w:val="231F20"/>
          <w:spacing w:val="-12"/>
        </w:rPr>
        <w:t> </w:t>
      </w:r>
      <w:r>
        <w:rPr>
          <w:color w:val="231F20"/>
        </w:rPr>
        <w:t>подго- товить их к длительной самостоятельной деятельности без постоянного контроля со стороны учителя. То есть в процессе подготовки учащиеся должны усвоить опреде- ленный набор новых для них норм и правил, которыми они должны будут руковод- ствоваться в ходе групповой деятельности.</w:t>
      </w:r>
    </w:p>
    <w:p>
      <w:pPr>
        <w:pStyle w:val="BodyText"/>
        <w:spacing w:line="235" w:lineRule="auto" w:before="3"/>
      </w:pPr>
      <w:r>
        <w:rPr>
          <w:color w:val="231F20"/>
        </w:rPr>
        <w:t>Учащиеся в традиционном классе привыкли следовать следующим правилам, установленным учителем (что позволяет ему полностью контролировать ситуацию</w:t>
      </w:r>
      <w:r>
        <w:rPr>
          <w:color w:val="231F20"/>
          <w:spacing w:val="80"/>
        </w:rPr>
        <w:t> </w:t>
      </w:r>
      <w:r>
        <w:rPr>
          <w:color w:val="231F20"/>
        </w:rPr>
        <w:t>в классе):</w:t>
      </w:r>
    </w:p>
    <w:p>
      <w:pPr>
        <w:pStyle w:val="ListParagraph"/>
        <w:numPr>
          <w:ilvl w:val="0"/>
          <w:numId w:val="174"/>
        </w:numPr>
        <w:tabs>
          <w:tab w:pos="425" w:val="left" w:leader="none"/>
        </w:tabs>
        <w:spacing w:line="226" w:lineRule="exact" w:before="0" w:after="0"/>
        <w:ind w:left="425" w:right="0" w:hanging="284"/>
        <w:jc w:val="left"/>
        <w:rPr>
          <w:sz w:val="20"/>
        </w:rPr>
      </w:pPr>
      <w:r>
        <w:rPr>
          <w:color w:val="231F20"/>
          <w:sz w:val="20"/>
        </w:rPr>
        <w:t>«Каждый</w:t>
      </w:r>
      <w:r>
        <w:rPr>
          <w:color w:val="231F20"/>
          <w:spacing w:val="-6"/>
          <w:sz w:val="20"/>
        </w:rPr>
        <w:t> </w:t>
      </w:r>
      <w:r>
        <w:rPr>
          <w:color w:val="231F20"/>
          <w:sz w:val="20"/>
        </w:rPr>
        <w:t>должен</w:t>
      </w:r>
      <w:r>
        <w:rPr>
          <w:color w:val="231F20"/>
          <w:spacing w:val="-6"/>
          <w:sz w:val="20"/>
        </w:rPr>
        <w:t> </w:t>
      </w:r>
      <w:r>
        <w:rPr>
          <w:color w:val="231F20"/>
          <w:sz w:val="20"/>
        </w:rPr>
        <w:t>заниматься</w:t>
      </w:r>
      <w:r>
        <w:rPr>
          <w:color w:val="231F20"/>
          <w:spacing w:val="-4"/>
          <w:sz w:val="20"/>
        </w:rPr>
        <w:t> </w:t>
      </w:r>
      <w:r>
        <w:rPr>
          <w:color w:val="231F20"/>
          <w:sz w:val="20"/>
        </w:rPr>
        <w:t>своим</w:t>
      </w:r>
      <w:r>
        <w:rPr>
          <w:color w:val="231F20"/>
          <w:spacing w:val="-5"/>
          <w:sz w:val="20"/>
        </w:rPr>
        <w:t> </w:t>
      </w:r>
      <w:r>
        <w:rPr>
          <w:color w:val="231F20"/>
          <w:sz w:val="20"/>
        </w:rPr>
        <w:t>делом</w:t>
      </w:r>
      <w:r>
        <w:rPr>
          <w:color w:val="231F20"/>
          <w:spacing w:val="-5"/>
          <w:sz w:val="20"/>
        </w:rPr>
        <w:t> </w:t>
      </w:r>
      <w:r>
        <w:rPr>
          <w:color w:val="231F20"/>
          <w:sz w:val="20"/>
        </w:rPr>
        <w:t>и</w:t>
      </w:r>
      <w:r>
        <w:rPr>
          <w:color w:val="231F20"/>
          <w:spacing w:val="-5"/>
          <w:sz w:val="20"/>
        </w:rPr>
        <w:t> </w:t>
      </w:r>
      <w:r>
        <w:rPr>
          <w:color w:val="231F20"/>
          <w:sz w:val="20"/>
        </w:rPr>
        <w:t>выполнять</w:t>
      </w:r>
      <w:r>
        <w:rPr>
          <w:color w:val="231F20"/>
          <w:spacing w:val="-6"/>
          <w:sz w:val="20"/>
        </w:rPr>
        <w:t> </w:t>
      </w:r>
      <w:r>
        <w:rPr>
          <w:color w:val="231F20"/>
          <w:sz w:val="20"/>
        </w:rPr>
        <w:t>свое</w:t>
      </w:r>
      <w:r>
        <w:rPr>
          <w:color w:val="231F20"/>
          <w:spacing w:val="-4"/>
          <w:sz w:val="20"/>
        </w:rPr>
        <w:t> </w:t>
      </w:r>
      <w:r>
        <w:rPr>
          <w:color w:val="231F20"/>
          <w:spacing w:val="-2"/>
          <w:sz w:val="20"/>
        </w:rPr>
        <w:t>задание».</w:t>
      </w:r>
    </w:p>
    <w:p>
      <w:pPr>
        <w:pStyle w:val="ListParagraph"/>
        <w:numPr>
          <w:ilvl w:val="0"/>
          <w:numId w:val="174"/>
        </w:numPr>
        <w:tabs>
          <w:tab w:pos="425" w:val="left" w:leader="none"/>
        </w:tabs>
        <w:spacing w:line="235" w:lineRule="auto" w:before="2" w:after="0"/>
        <w:ind w:left="425" w:right="139" w:hanging="284"/>
        <w:jc w:val="left"/>
        <w:rPr>
          <w:sz w:val="20"/>
        </w:rPr>
      </w:pPr>
      <w:r>
        <w:rPr>
          <w:color w:val="231F20"/>
          <w:sz w:val="20"/>
        </w:rPr>
        <w:t>«Не</w:t>
      </w:r>
      <w:r>
        <w:rPr>
          <w:color w:val="231F20"/>
          <w:spacing w:val="23"/>
          <w:sz w:val="20"/>
        </w:rPr>
        <w:t> </w:t>
      </w:r>
      <w:r>
        <w:rPr>
          <w:color w:val="231F20"/>
          <w:sz w:val="20"/>
        </w:rPr>
        <w:t>обращай</w:t>
      </w:r>
      <w:r>
        <w:rPr>
          <w:color w:val="231F20"/>
          <w:spacing w:val="23"/>
          <w:sz w:val="20"/>
        </w:rPr>
        <w:t> </w:t>
      </w:r>
      <w:r>
        <w:rPr>
          <w:color w:val="231F20"/>
          <w:sz w:val="20"/>
        </w:rPr>
        <w:t>внимание</w:t>
      </w:r>
      <w:r>
        <w:rPr>
          <w:color w:val="231F20"/>
          <w:spacing w:val="23"/>
          <w:sz w:val="20"/>
        </w:rPr>
        <w:t> </w:t>
      </w:r>
      <w:r>
        <w:rPr>
          <w:color w:val="231F20"/>
          <w:sz w:val="20"/>
        </w:rPr>
        <w:t>на</w:t>
      </w:r>
      <w:r>
        <w:rPr>
          <w:color w:val="231F20"/>
          <w:spacing w:val="23"/>
          <w:sz w:val="20"/>
        </w:rPr>
        <w:t> </w:t>
      </w:r>
      <w:r>
        <w:rPr>
          <w:color w:val="231F20"/>
          <w:sz w:val="20"/>
        </w:rPr>
        <w:t>других</w:t>
      </w:r>
      <w:r>
        <w:rPr>
          <w:color w:val="231F20"/>
          <w:spacing w:val="23"/>
          <w:sz w:val="20"/>
        </w:rPr>
        <w:t> </w:t>
      </w:r>
      <w:r>
        <w:rPr>
          <w:color w:val="231F20"/>
          <w:sz w:val="20"/>
        </w:rPr>
        <w:t>учащихся,</w:t>
      </w:r>
      <w:r>
        <w:rPr>
          <w:color w:val="231F20"/>
          <w:spacing w:val="23"/>
          <w:sz w:val="20"/>
        </w:rPr>
        <w:t> </w:t>
      </w:r>
      <w:r>
        <w:rPr>
          <w:color w:val="231F20"/>
          <w:sz w:val="20"/>
        </w:rPr>
        <w:t>не</w:t>
      </w:r>
      <w:r>
        <w:rPr>
          <w:color w:val="231F20"/>
          <w:spacing w:val="23"/>
          <w:sz w:val="20"/>
        </w:rPr>
        <w:t> </w:t>
      </w:r>
      <w:r>
        <w:rPr>
          <w:color w:val="231F20"/>
          <w:sz w:val="20"/>
        </w:rPr>
        <w:t>отвлекайся,</w:t>
      </w:r>
      <w:r>
        <w:rPr>
          <w:color w:val="231F20"/>
          <w:spacing w:val="23"/>
          <w:sz w:val="20"/>
        </w:rPr>
        <w:t> </w:t>
      </w:r>
      <w:r>
        <w:rPr>
          <w:color w:val="231F20"/>
          <w:sz w:val="20"/>
        </w:rPr>
        <w:t>делай</w:t>
      </w:r>
      <w:r>
        <w:rPr>
          <w:color w:val="231F20"/>
          <w:spacing w:val="23"/>
          <w:sz w:val="20"/>
        </w:rPr>
        <w:t> </w:t>
      </w:r>
      <w:r>
        <w:rPr>
          <w:color w:val="231F20"/>
          <w:sz w:val="20"/>
        </w:rPr>
        <w:t>то,</w:t>
      </w:r>
      <w:r>
        <w:rPr>
          <w:color w:val="231F20"/>
          <w:spacing w:val="23"/>
          <w:sz w:val="20"/>
        </w:rPr>
        <w:t> </w:t>
      </w:r>
      <w:r>
        <w:rPr>
          <w:color w:val="231F20"/>
          <w:sz w:val="20"/>
        </w:rPr>
        <w:t>что</w:t>
      </w:r>
      <w:r>
        <w:rPr>
          <w:color w:val="231F20"/>
          <w:spacing w:val="23"/>
          <w:sz w:val="20"/>
        </w:rPr>
        <w:t> </w:t>
      </w:r>
      <w:r>
        <w:rPr>
          <w:color w:val="231F20"/>
          <w:sz w:val="20"/>
        </w:rPr>
        <w:t>тебе </w:t>
      </w:r>
      <w:r>
        <w:rPr>
          <w:color w:val="231F20"/>
          <w:spacing w:val="-2"/>
          <w:sz w:val="20"/>
        </w:rPr>
        <w:t>говорят».</w:t>
      </w:r>
    </w:p>
    <w:p>
      <w:pPr>
        <w:pStyle w:val="ListParagraph"/>
        <w:numPr>
          <w:ilvl w:val="0"/>
          <w:numId w:val="174"/>
        </w:numPr>
        <w:tabs>
          <w:tab w:pos="425" w:val="left" w:leader="none"/>
        </w:tabs>
        <w:spacing w:line="225" w:lineRule="exact" w:before="0" w:after="0"/>
        <w:ind w:left="425" w:right="0" w:hanging="284"/>
        <w:jc w:val="left"/>
        <w:rPr>
          <w:sz w:val="20"/>
        </w:rPr>
      </w:pPr>
      <w:r>
        <w:rPr>
          <w:color w:val="231F20"/>
          <w:sz w:val="20"/>
        </w:rPr>
        <w:t>«Не</w:t>
      </w:r>
      <w:r>
        <w:rPr>
          <w:color w:val="231F20"/>
          <w:spacing w:val="-2"/>
          <w:sz w:val="20"/>
        </w:rPr>
        <w:t> </w:t>
      </w:r>
      <w:r>
        <w:rPr>
          <w:color w:val="231F20"/>
          <w:sz w:val="20"/>
        </w:rPr>
        <w:t>проси</w:t>
      </w:r>
      <w:r>
        <w:rPr>
          <w:color w:val="231F20"/>
          <w:spacing w:val="-2"/>
          <w:sz w:val="20"/>
        </w:rPr>
        <w:t> </w:t>
      </w:r>
      <w:r>
        <w:rPr>
          <w:color w:val="231F20"/>
          <w:sz w:val="20"/>
        </w:rPr>
        <w:t>помощи</w:t>
      </w:r>
      <w:r>
        <w:rPr>
          <w:color w:val="231F20"/>
          <w:spacing w:val="-2"/>
          <w:sz w:val="20"/>
        </w:rPr>
        <w:t> </w:t>
      </w:r>
      <w:r>
        <w:rPr>
          <w:color w:val="231F20"/>
          <w:sz w:val="20"/>
        </w:rPr>
        <w:t>у</w:t>
      </w:r>
      <w:r>
        <w:rPr>
          <w:color w:val="231F20"/>
          <w:spacing w:val="-1"/>
          <w:sz w:val="20"/>
        </w:rPr>
        <w:t> </w:t>
      </w:r>
      <w:r>
        <w:rPr>
          <w:color w:val="231F20"/>
          <w:sz w:val="20"/>
        </w:rPr>
        <w:t>других</w:t>
      </w:r>
      <w:r>
        <w:rPr>
          <w:color w:val="231F20"/>
          <w:spacing w:val="-1"/>
          <w:sz w:val="20"/>
        </w:rPr>
        <w:t> </w:t>
      </w:r>
      <w:r>
        <w:rPr>
          <w:color w:val="231F20"/>
          <w:spacing w:val="-2"/>
          <w:sz w:val="20"/>
        </w:rPr>
        <w:t>учащихся».</w:t>
      </w:r>
    </w:p>
    <w:p>
      <w:pPr>
        <w:pStyle w:val="ListParagraph"/>
        <w:numPr>
          <w:ilvl w:val="0"/>
          <w:numId w:val="174"/>
        </w:numPr>
        <w:tabs>
          <w:tab w:pos="425" w:val="left" w:leader="none"/>
        </w:tabs>
        <w:spacing w:line="228" w:lineRule="exact" w:before="0" w:after="0"/>
        <w:ind w:left="425" w:right="0" w:hanging="284"/>
        <w:jc w:val="left"/>
        <w:rPr>
          <w:sz w:val="20"/>
        </w:rPr>
      </w:pPr>
      <w:r>
        <w:rPr>
          <w:color w:val="231F20"/>
          <w:sz w:val="20"/>
        </w:rPr>
        <w:t>«Концентрируй</w:t>
      </w:r>
      <w:r>
        <w:rPr>
          <w:color w:val="231F20"/>
          <w:spacing w:val="-7"/>
          <w:sz w:val="20"/>
        </w:rPr>
        <w:t> </w:t>
      </w:r>
      <w:r>
        <w:rPr>
          <w:color w:val="231F20"/>
          <w:sz w:val="20"/>
        </w:rPr>
        <w:t>свое</w:t>
      </w:r>
      <w:r>
        <w:rPr>
          <w:color w:val="231F20"/>
          <w:spacing w:val="-4"/>
          <w:sz w:val="20"/>
        </w:rPr>
        <w:t> </w:t>
      </w:r>
      <w:r>
        <w:rPr>
          <w:color w:val="231F20"/>
          <w:sz w:val="20"/>
        </w:rPr>
        <w:t>внимание</w:t>
      </w:r>
      <w:r>
        <w:rPr>
          <w:color w:val="231F20"/>
          <w:spacing w:val="-4"/>
          <w:sz w:val="20"/>
        </w:rPr>
        <w:t> </w:t>
      </w:r>
      <w:r>
        <w:rPr>
          <w:color w:val="231F20"/>
          <w:sz w:val="20"/>
        </w:rPr>
        <w:t>только</w:t>
      </w:r>
      <w:r>
        <w:rPr>
          <w:color w:val="231F20"/>
          <w:spacing w:val="-4"/>
          <w:sz w:val="20"/>
        </w:rPr>
        <w:t> </w:t>
      </w:r>
      <w:r>
        <w:rPr>
          <w:color w:val="231F20"/>
          <w:sz w:val="20"/>
        </w:rPr>
        <w:t>на</w:t>
      </w:r>
      <w:r>
        <w:rPr>
          <w:color w:val="231F20"/>
          <w:spacing w:val="-4"/>
          <w:sz w:val="20"/>
        </w:rPr>
        <w:t> </w:t>
      </w:r>
      <w:r>
        <w:rPr>
          <w:color w:val="231F20"/>
          <w:sz w:val="20"/>
        </w:rPr>
        <w:t>учителе</w:t>
      </w:r>
      <w:r>
        <w:rPr>
          <w:color w:val="231F20"/>
          <w:spacing w:val="-4"/>
          <w:sz w:val="20"/>
        </w:rPr>
        <w:t> </w:t>
      </w:r>
      <w:r>
        <w:rPr>
          <w:color w:val="231F20"/>
          <w:sz w:val="20"/>
        </w:rPr>
        <w:t>и</w:t>
      </w:r>
      <w:r>
        <w:rPr>
          <w:color w:val="231F20"/>
          <w:spacing w:val="-5"/>
          <w:sz w:val="20"/>
        </w:rPr>
        <w:t> </w:t>
      </w:r>
      <w:r>
        <w:rPr>
          <w:color w:val="231F20"/>
          <w:sz w:val="20"/>
        </w:rPr>
        <w:t>на</w:t>
      </w:r>
      <w:r>
        <w:rPr>
          <w:color w:val="231F20"/>
          <w:spacing w:val="-4"/>
          <w:sz w:val="20"/>
        </w:rPr>
        <w:t> </w:t>
      </w:r>
      <w:r>
        <w:rPr>
          <w:color w:val="231F20"/>
          <w:sz w:val="20"/>
        </w:rPr>
        <w:t>том,</w:t>
      </w:r>
      <w:r>
        <w:rPr>
          <w:color w:val="231F20"/>
          <w:spacing w:val="-4"/>
          <w:sz w:val="20"/>
        </w:rPr>
        <w:t> </w:t>
      </w:r>
      <w:r>
        <w:rPr>
          <w:color w:val="231F20"/>
          <w:sz w:val="20"/>
        </w:rPr>
        <w:t>что</w:t>
      </w:r>
      <w:r>
        <w:rPr>
          <w:color w:val="231F20"/>
          <w:spacing w:val="-4"/>
          <w:sz w:val="20"/>
        </w:rPr>
        <w:t> </w:t>
      </w:r>
      <w:r>
        <w:rPr>
          <w:color w:val="231F20"/>
          <w:sz w:val="20"/>
        </w:rPr>
        <w:t>он</w:t>
      </w:r>
      <w:r>
        <w:rPr>
          <w:color w:val="231F20"/>
          <w:spacing w:val="-4"/>
          <w:sz w:val="20"/>
        </w:rPr>
        <w:t> </w:t>
      </w:r>
      <w:r>
        <w:rPr>
          <w:color w:val="231F20"/>
          <w:spacing w:val="-2"/>
          <w:sz w:val="20"/>
        </w:rPr>
        <w:t>говорит».</w:t>
      </w:r>
    </w:p>
    <w:p>
      <w:pPr>
        <w:pStyle w:val="ListParagraph"/>
        <w:spacing w:after="0" w:line="228" w:lineRule="exact"/>
        <w:jc w:val="left"/>
        <w:rPr>
          <w:sz w:val="20"/>
        </w:rPr>
        <w:sectPr>
          <w:pgSz w:w="8400" w:h="11910"/>
          <w:pgMar w:header="0" w:footer="527" w:top="400" w:bottom="720" w:left="425" w:right="425"/>
        </w:sectPr>
      </w:pPr>
    </w:p>
    <w:p>
      <w:pPr>
        <w:spacing w:before="80"/>
        <w:ind w:left="141" w:right="0" w:firstLine="0"/>
        <w:jc w:val="left"/>
        <w:rPr>
          <w:rFonts w:ascii="Georgia" w:hAnsi="Georgia"/>
          <w:sz w:val="18"/>
        </w:rPr>
      </w:pPr>
      <w:r>
        <w:rPr>
          <w:rFonts w:ascii="Georgia" w:hAnsi="Georgia"/>
          <w:color w:val="231F20"/>
          <w:sz w:val="18"/>
        </w:rPr>
        <w:t>4.4.</w:t>
      </w:r>
      <w:r>
        <w:rPr>
          <w:rFonts w:ascii="Georgia" w:hAnsi="Georgia"/>
          <w:color w:val="231F20"/>
          <w:spacing w:val="-1"/>
          <w:sz w:val="18"/>
        </w:rPr>
        <w:t> </w:t>
      </w:r>
      <w:r>
        <w:rPr>
          <w:rFonts w:ascii="Georgia" w:hAnsi="Georgia"/>
          <w:color w:val="231F20"/>
          <w:sz w:val="18"/>
        </w:rPr>
        <w:t>Методы</w:t>
      </w:r>
      <w:r>
        <w:rPr>
          <w:rFonts w:ascii="Georgia" w:hAnsi="Georgia"/>
          <w:color w:val="231F20"/>
          <w:spacing w:val="-1"/>
          <w:sz w:val="18"/>
        </w:rPr>
        <w:t> </w:t>
      </w:r>
      <w:r>
        <w:rPr>
          <w:rFonts w:ascii="Georgia" w:hAnsi="Georgia"/>
          <w:color w:val="231F20"/>
          <w:sz w:val="18"/>
        </w:rPr>
        <w:t>учебной</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1"/>
          <w:sz w:val="18"/>
        </w:rPr>
        <w:t> </w:t>
      </w:r>
      <w:r>
        <w:rPr>
          <w:rFonts w:ascii="Georgia" w:hAnsi="Georgia"/>
          <w:color w:val="231F20"/>
          <w:sz w:val="18"/>
        </w:rPr>
        <w:t>для адаптации</w:t>
      </w:r>
      <w:r>
        <w:rPr>
          <w:rFonts w:ascii="Georgia" w:hAnsi="Georgia"/>
          <w:color w:val="231F20"/>
          <w:spacing w:val="-1"/>
          <w:sz w:val="18"/>
        </w:rPr>
        <w:t> </w:t>
      </w:r>
      <w:r>
        <w:rPr>
          <w:rFonts w:ascii="Georgia" w:hAnsi="Georgia"/>
          <w:color w:val="231F20"/>
          <w:sz w:val="18"/>
        </w:rPr>
        <w:t>детей</w:t>
      </w:r>
      <w:r>
        <w:rPr>
          <w:rFonts w:ascii="Georgia" w:hAnsi="Georgia"/>
          <w:color w:val="231F20"/>
          <w:spacing w:val="-1"/>
          <w:sz w:val="18"/>
        </w:rPr>
        <w:t> </w:t>
      </w:r>
      <w:r>
        <w:rPr>
          <w:rFonts w:ascii="Georgia" w:hAnsi="Georgia"/>
          <w:color w:val="231F20"/>
          <w:sz w:val="18"/>
        </w:rPr>
        <w:t>...</w:t>
      </w:r>
      <w:r>
        <w:rPr>
          <w:rFonts w:ascii="Georgia" w:hAnsi="Georgia"/>
          <w:color w:val="231F20"/>
          <w:spacing w:val="-1"/>
          <w:sz w:val="18"/>
        </w:rPr>
        <w:t> </w:t>
      </w:r>
      <w:r>
        <w:rPr>
          <w:rFonts w:ascii="Georgia" w:hAnsi="Georgia"/>
          <w:color w:val="231F20"/>
          <w:sz w:val="18"/>
        </w:rPr>
        <w:t>во </w:t>
      </w:r>
      <w:r>
        <w:rPr>
          <w:rFonts w:ascii="Georgia" w:hAnsi="Georgia"/>
          <w:color w:val="231F20"/>
          <w:spacing w:val="-2"/>
          <w:sz w:val="18"/>
        </w:rPr>
        <w:t>взаимодействии...</w:t>
      </w:r>
    </w:p>
    <w:p>
      <w:pPr>
        <w:pStyle w:val="ListParagraph"/>
        <w:numPr>
          <w:ilvl w:val="0"/>
          <w:numId w:val="175"/>
        </w:numPr>
        <w:tabs>
          <w:tab w:pos="425" w:val="left" w:leader="none"/>
        </w:tabs>
        <w:spacing w:line="228" w:lineRule="exact" w:before="112" w:after="0"/>
        <w:ind w:left="425" w:right="0" w:hanging="284"/>
        <w:jc w:val="left"/>
        <w:rPr>
          <w:sz w:val="20"/>
        </w:rPr>
      </w:pPr>
      <w:r>
        <w:rPr>
          <w:color w:val="231F20"/>
          <w:sz w:val="20"/>
        </w:rPr>
        <w:t>«Не</w:t>
      </w:r>
      <w:r>
        <w:rPr>
          <w:color w:val="231F20"/>
          <w:spacing w:val="-3"/>
          <w:sz w:val="20"/>
        </w:rPr>
        <w:t> </w:t>
      </w:r>
      <w:r>
        <w:rPr>
          <w:color w:val="231F20"/>
          <w:sz w:val="20"/>
        </w:rPr>
        <w:t>крутись,</w:t>
      </w:r>
      <w:r>
        <w:rPr>
          <w:color w:val="231F20"/>
          <w:spacing w:val="-2"/>
          <w:sz w:val="20"/>
        </w:rPr>
        <w:t> </w:t>
      </w:r>
      <w:r>
        <w:rPr>
          <w:color w:val="231F20"/>
          <w:sz w:val="20"/>
        </w:rPr>
        <w:t>смотри</w:t>
      </w:r>
      <w:r>
        <w:rPr>
          <w:color w:val="231F20"/>
          <w:spacing w:val="-2"/>
          <w:sz w:val="20"/>
        </w:rPr>
        <w:t> </w:t>
      </w:r>
      <w:r>
        <w:rPr>
          <w:color w:val="231F20"/>
          <w:sz w:val="20"/>
        </w:rPr>
        <w:t>вперед</w:t>
      </w:r>
      <w:r>
        <w:rPr>
          <w:color w:val="231F20"/>
          <w:spacing w:val="-3"/>
          <w:sz w:val="20"/>
        </w:rPr>
        <w:t> </w:t>
      </w:r>
      <w:r>
        <w:rPr>
          <w:color w:val="231F20"/>
          <w:sz w:val="20"/>
        </w:rPr>
        <w:t>и</w:t>
      </w:r>
      <w:r>
        <w:rPr>
          <w:color w:val="231F20"/>
          <w:spacing w:val="-2"/>
          <w:sz w:val="20"/>
        </w:rPr>
        <w:t> </w:t>
      </w:r>
      <w:r>
        <w:rPr>
          <w:color w:val="231F20"/>
          <w:sz w:val="20"/>
        </w:rPr>
        <w:t>не</w:t>
      </w:r>
      <w:r>
        <w:rPr>
          <w:color w:val="231F20"/>
          <w:spacing w:val="-2"/>
          <w:sz w:val="20"/>
        </w:rPr>
        <w:t> </w:t>
      </w:r>
      <w:r>
        <w:rPr>
          <w:color w:val="231F20"/>
          <w:sz w:val="20"/>
        </w:rPr>
        <w:t>привлекай</w:t>
      </w:r>
      <w:r>
        <w:rPr>
          <w:color w:val="231F20"/>
          <w:spacing w:val="-3"/>
          <w:sz w:val="20"/>
        </w:rPr>
        <w:t> </w:t>
      </w:r>
      <w:r>
        <w:rPr>
          <w:color w:val="231F20"/>
          <w:sz w:val="20"/>
        </w:rPr>
        <w:t>к</w:t>
      </w:r>
      <w:r>
        <w:rPr>
          <w:color w:val="231F20"/>
          <w:spacing w:val="-2"/>
          <w:sz w:val="20"/>
        </w:rPr>
        <w:t> </w:t>
      </w:r>
      <w:r>
        <w:rPr>
          <w:color w:val="231F20"/>
          <w:sz w:val="20"/>
        </w:rPr>
        <w:t>себе</w:t>
      </w:r>
      <w:r>
        <w:rPr>
          <w:color w:val="231F20"/>
          <w:spacing w:val="-3"/>
          <w:sz w:val="20"/>
        </w:rPr>
        <w:t> </w:t>
      </w:r>
      <w:r>
        <w:rPr>
          <w:color w:val="231F20"/>
          <w:sz w:val="20"/>
        </w:rPr>
        <w:t>внимание»</w:t>
      </w:r>
      <w:r>
        <w:rPr>
          <w:color w:val="231F20"/>
          <w:spacing w:val="-2"/>
          <w:sz w:val="20"/>
        </w:rPr>
        <w:t> </w:t>
      </w:r>
      <w:r>
        <w:rPr>
          <w:color w:val="231F20"/>
          <w:sz w:val="20"/>
        </w:rPr>
        <w:t>и</w:t>
      </w:r>
      <w:r>
        <w:rPr>
          <w:color w:val="231F20"/>
          <w:spacing w:val="-2"/>
          <w:sz w:val="20"/>
        </w:rPr>
        <w:t> </w:t>
      </w:r>
      <w:r>
        <w:rPr>
          <w:color w:val="231F20"/>
          <w:spacing w:val="-5"/>
          <w:sz w:val="20"/>
        </w:rPr>
        <w:t>др.</w:t>
      </w:r>
    </w:p>
    <w:p>
      <w:pPr>
        <w:pStyle w:val="BodyText"/>
        <w:spacing w:line="235" w:lineRule="auto" w:before="2"/>
        <w:ind w:right="140"/>
        <w:jc w:val="left"/>
      </w:pPr>
      <w:r>
        <w:rPr>
          <w:color w:val="231F20"/>
        </w:rPr>
        <w:t>В</w:t>
      </w:r>
      <w:r>
        <w:rPr>
          <w:color w:val="231F20"/>
          <w:spacing w:val="-4"/>
        </w:rPr>
        <w:t> </w:t>
      </w:r>
      <w:r>
        <w:rPr>
          <w:color w:val="231F20"/>
        </w:rPr>
        <w:t>условиях</w:t>
      </w:r>
      <w:r>
        <w:rPr>
          <w:color w:val="231F20"/>
          <w:spacing w:val="-4"/>
        </w:rPr>
        <w:t> </w:t>
      </w:r>
      <w:r>
        <w:rPr>
          <w:color w:val="231F20"/>
        </w:rPr>
        <w:t>обучения</w:t>
      </w:r>
      <w:r>
        <w:rPr>
          <w:color w:val="231F20"/>
          <w:spacing w:val="-4"/>
        </w:rPr>
        <w:t> </w:t>
      </w:r>
      <w:r>
        <w:rPr>
          <w:color w:val="231F20"/>
        </w:rPr>
        <w:t>в</w:t>
      </w:r>
      <w:r>
        <w:rPr>
          <w:color w:val="231F20"/>
          <w:spacing w:val="-4"/>
        </w:rPr>
        <w:t> </w:t>
      </w:r>
      <w:r>
        <w:rPr>
          <w:color w:val="231F20"/>
        </w:rPr>
        <w:t>группах</w:t>
      </w:r>
      <w:r>
        <w:rPr>
          <w:color w:val="231F20"/>
          <w:spacing w:val="-4"/>
        </w:rPr>
        <w:t> </w:t>
      </w:r>
      <w:r>
        <w:rPr>
          <w:color w:val="231F20"/>
        </w:rPr>
        <w:t>сотрудничества</w:t>
      </w:r>
      <w:r>
        <w:rPr>
          <w:color w:val="231F20"/>
          <w:spacing w:val="-4"/>
        </w:rPr>
        <w:t> </w:t>
      </w:r>
      <w:r>
        <w:rPr>
          <w:color w:val="231F20"/>
        </w:rPr>
        <w:t>правила</w:t>
      </w:r>
      <w:r>
        <w:rPr>
          <w:color w:val="231F20"/>
          <w:spacing w:val="-4"/>
        </w:rPr>
        <w:t> </w:t>
      </w:r>
      <w:r>
        <w:rPr>
          <w:color w:val="231F20"/>
        </w:rPr>
        <w:t>будут</w:t>
      </w:r>
      <w:r>
        <w:rPr>
          <w:color w:val="231F20"/>
          <w:spacing w:val="-4"/>
        </w:rPr>
        <w:t> </w:t>
      </w:r>
      <w:r>
        <w:rPr>
          <w:color w:val="231F20"/>
        </w:rPr>
        <w:t>совершенно</w:t>
      </w:r>
      <w:r>
        <w:rPr>
          <w:color w:val="231F20"/>
          <w:spacing w:val="-4"/>
        </w:rPr>
        <w:t> </w:t>
      </w:r>
      <w:r>
        <w:rPr>
          <w:color w:val="231F20"/>
        </w:rPr>
        <w:t>иные, а именно:</w:t>
      </w:r>
    </w:p>
    <w:p>
      <w:pPr>
        <w:pStyle w:val="ListParagraph"/>
        <w:numPr>
          <w:ilvl w:val="0"/>
          <w:numId w:val="175"/>
        </w:numPr>
        <w:tabs>
          <w:tab w:pos="425" w:val="left" w:leader="none"/>
        </w:tabs>
        <w:spacing w:line="225" w:lineRule="exact" w:before="0" w:after="0"/>
        <w:ind w:left="425" w:right="0" w:hanging="284"/>
        <w:jc w:val="left"/>
        <w:rPr>
          <w:sz w:val="20"/>
        </w:rPr>
      </w:pPr>
      <w:r>
        <w:rPr>
          <w:color w:val="231F20"/>
          <w:sz w:val="20"/>
        </w:rPr>
        <w:t>«Твоя</w:t>
      </w:r>
      <w:r>
        <w:rPr>
          <w:color w:val="231F20"/>
          <w:spacing w:val="-9"/>
          <w:sz w:val="20"/>
        </w:rPr>
        <w:t> </w:t>
      </w:r>
      <w:r>
        <w:rPr>
          <w:color w:val="231F20"/>
          <w:sz w:val="20"/>
        </w:rPr>
        <w:t>учебная</w:t>
      </w:r>
      <w:r>
        <w:rPr>
          <w:color w:val="231F20"/>
          <w:spacing w:val="-6"/>
          <w:sz w:val="20"/>
        </w:rPr>
        <w:t> </w:t>
      </w:r>
      <w:r>
        <w:rPr>
          <w:color w:val="231F20"/>
          <w:sz w:val="20"/>
        </w:rPr>
        <w:t>работа</w:t>
      </w:r>
      <w:r>
        <w:rPr>
          <w:color w:val="231F20"/>
          <w:spacing w:val="-6"/>
          <w:sz w:val="20"/>
        </w:rPr>
        <w:t> </w:t>
      </w:r>
      <w:r>
        <w:rPr>
          <w:color w:val="231F20"/>
          <w:sz w:val="20"/>
        </w:rPr>
        <w:t>влияет</w:t>
      </w:r>
      <w:r>
        <w:rPr>
          <w:color w:val="231F20"/>
          <w:spacing w:val="-6"/>
          <w:sz w:val="20"/>
        </w:rPr>
        <w:t> </w:t>
      </w:r>
      <w:r>
        <w:rPr>
          <w:color w:val="231F20"/>
          <w:sz w:val="20"/>
        </w:rPr>
        <w:t>на</w:t>
      </w:r>
      <w:r>
        <w:rPr>
          <w:color w:val="231F20"/>
          <w:spacing w:val="-6"/>
          <w:sz w:val="20"/>
        </w:rPr>
        <w:t> </w:t>
      </w:r>
      <w:r>
        <w:rPr>
          <w:color w:val="231F20"/>
          <w:sz w:val="20"/>
        </w:rPr>
        <w:t>результат</w:t>
      </w:r>
      <w:r>
        <w:rPr>
          <w:color w:val="231F20"/>
          <w:spacing w:val="-6"/>
          <w:sz w:val="20"/>
        </w:rPr>
        <w:t> </w:t>
      </w:r>
      <w:r>
        <w:rPr>
          <w:color w:val="231F20"/>
          <w:sz w:val="20"/>
        </w:rPr>
        <w:t>работы</w:t>
      </w:r>
      <w:r>
        <w:rPr>
          <w:color w:val="231F20"/>
          <w:spacing w:val="-6"/>
          <w:sz w:val="20"/>
        </w:rPr>
        <w:t> </w:t>
      </w:r>
      <w:r>
        <w:rPr>
          <w:color w:val="231F20"/>
          <w:sz w:val="20"/>
        </w:rPr>
        <w:t>всей</w:t>
      </w:r>
      <w:r>
        <w:rPr>
          <w:color w:val="231F20"/>
          <w:spacing w:val="-7"/>
          <w:sz w:val="20"/>
        </w:rPr>
        <w:t> </w:t>
      </w:r>
      <w:r>
        <w:rPr>
          <w:color w:val="231F20"/>
          <w:spacing w:val="-2"/>
          <w:sz w:val="20"/>
        </w:rPr>
        <w:t>группы».</w:t>
      </w:r>
    </w:p>
    <w:p>
      <w:pPr>
        <w:pStyle w:val="ListParagraph"/>
        <w:numPr>
          <w:ilvl w:val="0"/>
          <w:numId w:val="175"/>
        </w:numPr>
        <w:tabs>
          <w:tab w:pos="425" w:val="left" w:leader="none"/>
        </w:tabs>
        <w:spacing w:line="226" w:lineRule="exact" w:before="0" w:after="0"/>
        <w:ind w:left="425" w:right="0" w:hanging="284"/>
        <w:jc w:val="left"/>
        <w:rPr>
          <w:sz w:val="20"/>
        </w:rPr>
      </w:pPr>
      <w:r>
        <w:rPr>
          <w:color w:val="231F20"/>
          <w:sz w:val="20"/>
        </w:rPr>
        <w:t>«Внимательно</w:t>
      </w:r>
      <w:r>
        <w:rPr>
          <w:color w:val="231F20"/>
          <w:spacing w:val="-7"/>
          <w:sz w:val="20"/>
        </w:rPr>
        <w:t> </w:t>
      </w:r>
      <w:r>
        <w:rPr>
          <w:color w:val="231F20"/>
          <w:sz w:val="20"/>
        </w:rPr>
        <w:t>слушай</w:t>
      </w:r>
      <w:r>
        <w:rPr>
          <w:color w:val="231F20"/>
          <w:spacing w:val="-5"/>
          <w:sz w:val="20"/>
        </w:rPr>
        <w:t> </w:t>
      </w:r>
      <w:r>
        <w:rPr>
          <w:color w:val="231F20"/>
          <w:sz w:val="20"/>
        </w:rPr>
        <w:t>то,</w:t>
      </w:r>
      <w:r>
        <w:rPr>
          <w:color w:val="231F20"/>
          <w:spacing w:val="-4"/>
          <w:sz w:val="20"/>
        </w:rPr>
        <w:t> </w:t>
      </w:r>
      <w:r>
        <w:rPr>
          <w:color w:val="231F20"/>
          <w:sz w:val="20"/>
        </w:rPr>
        <w:t>что</w:t>
      </w:r>
      <w:r>
        <w:rPr>
          <w:color w:val="231F20"/>
          <w:spacing w:val="-5"/>
          <w:sz w:val="20"/>
        </w:rPr>
        <w:t> </w:t>
      </w:r>
      <w:r>
        <w:rPr>
          <w:color w:val="231F20"/>
          <w:sz w:val="20"/>
        </w:rPr>
        <w:t>говорят</w:t>
      </w:r>
      <w:r>
        <w:rPr>
          <w:color w:val="231F20"/>
          <w:spacing w:val="-4"/>
          <w:sz w:val="20"/>
        </w:rPr>
        <w:t> </w:t>
      </w:r>
      <w:r>
        <w:rPr>
          <w:color w:val="231F20"/>
          <w:sz w:val="20"/>
        </w:rPr>
        <w:t>другие</w:t>
      </w:r>
      <w:r>
        <w:rPr>
          <w:color w:val="231F20"/>
          <w:spacing w:val="-4"/>
          <w:sz w:val="20"/>
        </w:rPr>
        <w:t> </w:t>
      </w:r>
      <w:r>
        <w:rPr>
          <w:color w:val="231F20"/>
          <w:sz w:val="20"/>
        </w:rPr>
        <w:t>члены</w:t>
      </w:r>
      <w:r>
        <w:rPr>
          <w:color w:val="231F20"/>
          <w:spacing w:val="-4"/>
          <w:sz w:val="20"/>
        </w:rPr>
        <w:t> </w:t>
      </w:r>
      <w:r>
        <w:rPr>
          <w:color w:val="231F20"/>
          <w:spacing w:val="-2"/>
          <w:sz w:val="20"/>
        </w:rPr>
        <w:t>группы».</w:t>
      </w:r>
    </w:p>
    <w:p>
      <w:pPr>
        <w:pStyle w:val="ListParagraph"/>
        <w:numPr>
          <w:ilvl w:val="0"/>
          <w:numId w:val="175"/>
        </w:numPr>
        <w:tabs>
          <w:tab w:pos="425" w:val="left" w:leader="none"/>
        </w:tabs>
        <w:spacing w:line="235" w:lineRule="auto" w:before="2" w:after="0"/>
        <w:ind w:left="425" w:right="140" w:hanging="284"/>
        <w:jc w:val="left"/>
        <w:rPr>
          <w:sz w:val="20"/>
        </w:rPr>
      </w:pPr>
      <w:r>
        <w:rPr>
          <w:color w:val="231F20"/>
          <w:sz w:val="20"/>
        </w:rPr>
        <w:t>«Если</w:t>
      </w:r>
      <w:r>
        <w:rPr>
          <w:color w:val="231F20"/>
          <w:spacing w:val="-13"/>
          <w:sz w:val="20"/>
        </w:rPr>
        <w:t> </w:t>
      </w:r>
      <w:r>
        <w:rPr>
          <w:color w:val="231F20"/>
          <w:sz w:val="20"/>
        </w:rPr>
        <w:t>нужна</w:t>
      </w:r>
      <w:r>
        <w:rPr>
          <w:color w:val="231F20"/>
          <w:spacing w:val="-12"/>
          <w:sz w:val="20"/>
        </w:rPr>
        <w:t> </w:t>
      </w:r>
      <w:r>
        <w:rPr>
          <w:color w:val="231F20"/>
          <w:sz w:val="20"/>
        </w:rPr>
        <w:t>помощь</w:t>
      </w:r>
      <w:r>
        <w:rPr>
          <w:color w:val="231F20"/>
          <w:spacing w:val="-13"/>
          <w:sz w:val="20"/>
        </w:rPr>
        <w:t> </w:t>
      </w:r>
      <w:r>
        <w:rPr>
          <w:color w:val="231F20"/>
          <w:sz w:val="20"/>
        </w:rPr>
        <w:t>и</w:t>
      </w:r>
      <w:r>
        <w:rPr>
          <w:color w:val="231F20"/>
          <w:spacing w:val="-12"/>
          <w:sz w:val="20"/>
        </w:rPr>
        <w:t> </w:t>
      </w:r>
      <w:r>
        <w:rPr>
          <w:color w:val="231F20"/>
          <w:sz w:val="20"/>
        </w:rPr>
        <w:t>ты</w:t>
      </w:r>
      <w:r>
        <w:rPr>
          <w:color w:val="231F20"/>
          <w:spacing w:val="-13"/>
          <w:sz w:val="20"/>
        </w:rPr>
        <w:t> </w:t>
      </w:r>
      <w:r>
        <w:rPr>
          <w:color w:val="231F20"/>
          <w:sz w:val="20"/>
        </w:rPr>
        <w:t>что-то</w:t>
      </w:r>
      <w:r>
        <w:rPr>
          <w:color w:val="231F20"/>
          <w:spacing w:val="-12"/>
          <w:sz w:val="20"/>
        </w:rPr>
        <w:t> </w:t>
      </w:r>
      <w:r>
        <w:rPr>
          <w:color w:val="231F20"/>
          <w:sz w:val="20"/>
        </w:rPr>
        <w:t>не</w:t>
      </w:r>
      <w:r>
        <w:rPr>
          <w:color w:val="231F20"/>
          <w:spacing w:val="-13"/>
          <w:sz w:val="20"/>
        </w:rPr>
        <w:t> </w:t>
      </w:r>
      <w:r>
        <w:rPr>
          <w:color w:val="231F20"/>
          <w:sz w:val="20"/>
        </w:rPr>
        <w:t>понял,</w:t>
      </w:r>
      <w:r>
        <w:rPr>
          <w:color w:val="231F20"/>
          <w:spacing w:val="-12"/>
          <w:sz w:val="20"/>
        </w:rPr>
        <w:t> </w:t>
      </w:r>
      <w:r>
        <w:rPr>
          <w:color w:val="231F20"/>
          <w:sz w:val="20"/>
        </w:rPr>
        <w:t>попроси</w:t>
      </w:r>
      <w:r>
        <w:rPr>
          <w:color w:val="231F20"/>
          <w:spacing w:val="-13"/>
          <w:sz w:val="20"/>
        </w:rPr>
        <w:t> </w:t>
      </w:r>
      <w:r>
        <w:rPr>
          <w:color w:val="231F20"/>
          <w:sz w:val="20"/>
        </w:rPr>
        <w:t>других</w:t>
      </w:r>
      <w:r>
        <w:rPr>
          <w:color w:val="231F20"/>
          <w:spacing w:val="-12"/>
          <w:sz w:val="20"/>
        </w:rPr>
        <w:t> </w:t>
      </w:r>
      <w:r>
        <w:rPr>
          <w:color w:val="231F20"/>
          <w:sz w:val="20"/>
        </w:rPr>
        <w:t>членов</w:t>
      </w:r>
      <w:r>
        <w:rPr>
          <w:color w:val="231F20"/>
          <w:spacing w:val="-13"/>
          <w:sz w:val="20"/>
        </w:rPr>
        <w:t> </w:t>
      </w:r>
      <w:r>
        <w:rPr>
          <w:color w:val="231F20"/>
          <w:sz w:val="20"/>
        </w:rPr>
        <w:t>группы</w:t>
      </w:r>
      <w:r>
        <w:rPr>
          <w:color w:val="231F20"/>
          <w:spacing w:val="-12"/>
          <w:sz w:val="20"/>
        </w:rPr>
        <w:t> </w:t>
      </w:r>
      <w:r>
        <w:rPr>
          <w:color w:val="231F20"/>
          <w:sz w:val="20"/>
        </w:rPr>
        <w:t>помочь </w:t>
      </w:r>
      <w:r>
        <w:rPr>
          <w:color w:val="231F20"/>
          <w:spacing w:val="-2"/>
          <w:sz w:val="20"/>
        </w:rPr>
        <w:t>тебе».</w:t>
      </w:r>
    </w:p>
    <w:p>
      <w:pPr>
        <w:pStyle w:val="ListParagraph"/>
        <w:numPr>
          <w:ilvl w:val="0"/>
          <w:numId w:val="175"/>
        </w:numPr>
        <w:tabs>
          <w:tab w:pos="425" w:val="left" w:leader="none"/>
        </w:tabs>
        <w:spacing w:line="225" w:lineRule="exact" w:before="0" w:after="0"/>
        <w:ind w:left="425" w:right="0" w:hanging="284"/>
        <w:jc w:val="left"/>
        <w:rPr>
          <w:sz w:val="20"/>
        </w:rPr>
      </w:pPr>
      <w:r>
        <w:rPr>
          <w:color w:val="231F20"/>
          <w:spacing w:val="-4"/>
          <w:sz w:val="20"/>
        </w:rPr>
        <w:t>«Вноси</w:t>
      </w:r>
      <w:r>
        <w:rPr>
          <w:color w:val="231F20"/>
          <w:spacing w:val="-1"/>
          <w:sz w:val="20"/>
        </w:rPr>
        <w:t> </w:t>
      </w:r>
      <w:r>
        <w:rPr>
          <w:color w:val="231F20"/>
          <w:spacing w:val="-4"/>
          <w:sz w:val="20"/>
        </w:rPr>
        <w:t>свой</w:t>
      </w:r>
      <w:r>
        <w:rPr>
          <w:color w:val="231F20"/>
          <w:spacing w:val="-1"/>
          <w:sz w:val="20"/>
        </w:rPr>
        <w:t> </w:t>
      </w:r>
      <w:r>
        <w:rPr>
          <w:color w:val="231F20"/>
          <w:spacing w:val="-4"/>
          <w:sz w:val="20"/>
        </w:rPr>
        <w:t>вклад</w:t>
      </w:r>
      <w:r>
        <w:rPr>
          <w:color w:val="231F20"/>
          <w:spacing w:val="-1"/>
          <w:sz w:val="20"/>
        </w:rPr>
        <w:t> </w:t>
      </w:r>
      <w:r>
        <w:rPr>
          <w:color w:val="231F20"/>
          <w:spacing w:val="-4"/>
          <w:sz w:val="20"/>
        </w:rPr>
        <w:t>в</w:t>
      </w:r>
      <w:r>
        <w:rPr>
          <w:color w:val="231F20"/>
          <w:spacing w:val="-1"/>
          <w:sz w:val="20"/>
        </w:rPr>
        <w:t> </w:t>
      </w:r>
      <w:r>
        <w:rPr>
          <w:color w:val="231F20"/>
          <w:spacing w:val="-4"/>
          <w:sz w:val="20"/>
        </w:rPr>
        <w:t>обсуждение,</w:t>
      </w:r>
      <w:r>
        <w:rPr>
          <w:color w:val="231F20"/>
          <w:spacing w:val="-1"/>
          <w:sz w:val="20"/>
        </w:rPr>
        <w:t> </w:t>
      </w:r>
      <w:r>
        <w:rPr>
          <w:color w:val="231F20"/>
          <w:spacing w:val="-4"/>
          <w:sz w:val="20"/>
        </w:rPr>
        <w:t>говори,</w:t>
      </w:r>
      <w:r>
        <w:rPr>
          <w:color w:val="231F20"/>
          <w:spacing w:val="-1"/>
          <w:sz w:val="20"/>
        </w:rPr>
        <w:t> </w:t>
      </w:r>
      <w:r>
        <w:rPr>
          <w:color w:val="231F20"/>
          <w:spacing w:val="-4"/>
          <w:sz w:val="20"/>
        </w:rPr>
        <w:t>но</w:t>
      </w:r>
      <w:r>
        <w:rPr>
          <w:color w:val="231F20"/>
          <w:spacing w:val="-1"/>
          <w:sz w:val="20"/>
        </w:rPr>
        <w:t> </w:t>
      </w:r>
      <w:r>
        <w:rPr>
          <w:color w:val="231F20"/>
          <w:spacing w:val="-4"/>
          <w:sz w:val="20"/>
        </w:rPr>
        <w:t>дай</w:t>
      </w:r>
      <w:r>
        <w:rPr>
          <w:color w:val="231F20"/>
          <w:spacing w:val="-1"/>
          <w:sz w:val="20"/>
        </w:rPr>
        <w:t> </w:t>
      </w:r>
      <w:r>
        <w:rPr>
          <w:color w:val="231F20"/>
          <w:spacing w:val="-4"/>
          <w:sz w:val="20"/>
        </w:rPr>
        <w:t>возможность</w:t>
      </w:r>
      <w:r>
        <w:rPr>
          <w:color w:val="231F20"/>
          <w:spacing w:val="-1"/>
          <w:sz w:val="20"/>
        </w:rPr>
        <w:t> </w:t>
      </w:r>
      <w:r>
        <w:rPr>
          <w:color w:val="231F20"/>
          <w:spacing w:val="-4"/>
          <w:sz w:val="20"/>
        </w:rPr>
        <w:t>высказаться</w:t>
      </w:r>
      <w:r>
        <w:rPr>
          <w:color w:val="231F20"/>
          <w:spacing w:val="-1"/>
          <w:sz w:val="20"/>
        </w:rPr>
        <w:t> </w:t>
      </w:r>
      <w:r>
        <w:rPr>
          <w:color w:val="231F20"/>
          <w:spacing w:val="-4"/>
          <w:sz w:val="20"/>
        </w:rPr>
        <w:t>другим».</w:t>
      </w:r>
    </w:p>
    <w:p>
      <w:pPr>
        <w:pStyle w:val="ListParagraph"/>
        <w:numPr>
          <w:ilvl w:val="0"/>
          <w:numId w:val="175"/>
        </w:numPr>
        <w:tabs>
          <w:tab w:pos="425" w:val="left" w:leader="none"/>
        </w:tabs>
        <w:spacing w:line="235" w:lineRule="auto" w:before="1" w:after="0"/>
        <w:ind w:left="141" w:right="139" w:firstLine="0"/>
        <w:jc w:val="right"/>
        <w:rPr>
          <w:sz w:val="20"/>
        </w:rPr>
      </w:pPr>
      <w:r>
        <w:rPr>
          <w:color w:val="231F20"/>
          <w:spacing w:val="-6"/>
          <w:sz w:val="20"/>
        </w:rPr>
        <w:t>«Выражай</w:t>
      </w:r>
      <w:r>
        <w:rPr>
          <w:color w:val="231F20"/>
          <w:spacing w:val="-8"/>
          <w:sz w:val="20"/>
        </w:rPr>
        <w:t> </w:t>
      </w:r>
      <w:r>
        <w:rPr>
          <w:color w:val="231F20"/>
          <w:spacing w:val="-6"/>
          <w:sz w:val="20"/>
        </w:rPr>
        <w:t>свое</w:t>
      </w:r>
      <w:r>
        <w:rPr>
          <w:color w:val="231F20"/>
          <w:spacing w:val="-8"/>
          <w:sz w:val="20"/>
        </w:rPr>
        <w:t> </w:t>
      </w:r>
      <w:r>
        <w:rPr>
          <w:color w:val="231F20"/>
          <w:spacing w:val="-6"/>
          <w:sz w:val="20"/>
        </w:rPr>
        <w:t>мнение,</w:t>
      </w:r>
      <w:r>
        <w:rPr>
          <w:color w:val="231F20"/>
          <w:spacing w:val="-8"/>
          <w:sz w:val="20"/>
        </w:rPr>
        <w:t> </w:t>
      </w:r>
      <w:r>
        <w:rPr>
          <w:color w:val="231F20"/>
          <w:spacing w:val="-6"/>
          <w:sz w:val="20"/>
        </w:rPr>
        <w:t>но</w:t>
      </w:r>
      <w:r>
        <w:rPr>
          <w:color w:val="231F20"/>
          <w:spacing w:val="-8"/>
          <w:sz w:val="20"/>
        </w:rPr>
        <w:t> </w:t>
      </w:r>
      <w:r>
        <w:rPr>
          <w:color w:val="231F20"/>
          <w:spacing w:val="-6"/>
          <w:sz w:val="20"/>
        </w:rPr>
        <w:t>при</w:t>
      </w:r>
      <w:r>
        <w:rPr>
          <w:color w:val="231F20"/>
          <w:spacing w:val="-8"/>
          <w:sz w:val="20"/>
        </w:rPr>
        <w:t> </w:t>
      </w:r>
      <w:r>
        <w:rPr>
          <w:color w:val="231F20"/>
          <w:spacing w:val="-6"/>
          <w:sz w:val="20"/>
        </w:rPr>
        <w:t>этом</w:t>
      </w:r>
      <w:r>
        <w:rPr>
          <w:color w:val="231F20"/>
          <w:spacing w:val="-8"/>
          <w:sz w:val="20"/>
        </w:rPr>
        <w:t> </w:t>
      </w:r>
      <w:r>
        <w:rPr>
          <w:color w:val="231F20"/>
          <w:spacing w:val="-6"/>
          <w:sz w:val="20"/>
        </w:rPr>
        <w:t>слушай</w:t>
      </w:r>
      <w:r>
        <w:rPr>
          <w:color w:val="231F20"/>
          <w:spacing w:val="-8"/>
          <w:sz w:val="20"/>
        </w:rPr>
        <w:t> </w:t>
      </w:r>
      <w:r>
        <w:rPr>
          <w:color w:val="231F20"/>
          <w:spacing w:val="-6"/>
          <w:sz w:val="20"/>
        </w:rPr>
        <w:t>других</w:t>
      </w:r>
      <w:r>
        <w:rPr>
          <w:color w:val="231F20"/>
          <w:spacing w:val="-8"/>
          <w:sz w:val="20"/>
        </w:rPr>
        <w:t> </w:t>
      </w:r>
      <w:r>
        <w:rPr>
          <w:color w:val="231F20"/>
          <w:spacing w:val="-6"/>
          <w:sz w:val="20"/>
        </w:rPr>
        <w:t>и</w:t>
      </w:r>
      <w:r>
        <w:rPr>
          <w:color w:val="231F20"/>
          <w:spacing w:val="-8"/>
          <w:sz w:val="20"/>
        </w:rPr>
        <w:t> </w:t>
      </w:r>
      <w:r>
        <w:rPr>
          <w:color w:val="231F20"/>
          <w:spacing w:val="-6"/>
          <w:sz w:val="20"/>
        </w:rPr>
        <w:t>будь</w:t>
      </w:r>
      <w:r>
        <w:rPr>
          <w:color w:val="231F20"/>
          <w:spacing w:val="-8"/>
          <w:sz w:val="20"/>
        </w:rPr>
        <w:t> </w:t>
      </w:r>
      <w:r>
        <w:rPr>
          <w:color w:val="231F20"/>
          <w:spacing w:val="-6"/>
          <w:sz w:val="20"/>
        </w:rPr>
        <w:t>готов</w:t>
      </w:r>
      <w:r>
        <w:rPr>
          <w:color w:val="231F20"/>
          <w:spacing w:val="-8"/>
          <w:sz w:val="20"/>
        </w:rPr>
        <w:t> </w:t>
      </w:r>
      <w:r>
        <w:rPr>
          <w:color w:val="231F20"/>
          <w:spacing w:val="-6"/>
          <w:sz w:val="20"/>
        </w:rPr>
        <w:t>к</w:t>
      </w:r>
      <w:r>
        <w:rPr>
          <w:color w:val="231F20"/>
          <w:spacing w:val="-8"/>
          <w:sz w:val="20"/>
        </w:rPr>
        <w:t> </w:t>
      </w:r>
      <w:r>
        <w:rPr>
          <w:color w:val="231F20"/>
          <w:spacing w:val="-6"/>
          <w:sz w:val="20"/>
        </w:rPr>
        <w:t>компромиссу»</w:t>
      </w:r>
      <w:r>
        <w:rPr>
          <w:color w:val="231F20"/>
          <w:spacing w:val="-8"/>
          <w:sz w:val="20"/>
        </w:rPr>
        <w:t> </w:t>
      </w:r>
      <w:r>
        <w:rPr>
          <w:color w:val="231F20"/>
          <w:spacing w:val="-6"/>
          <w:sz w:val="20"/>
        </w:rPr>
        <w:t>и</w:t>
      </w:r>
      <w:r>
        <w:rPr>
          <w:color w:val="231F20"/>
          <w:spacing w:val="-8"/>
          <w:sz w:val="20"/>
        </w:rPr>
        <w:t> </w:t>
      </w:r>
      <w:r>
        <w:rPr>
          <w:color w:val="231F20"/>
          <w:spacing w:val="-6"/>
          <w:sz w:val="20"/>
        </w:rPr>
        <w:t>др. </w:t>
      </w:r>
      <w:r>
        <w:rPr>
          <w:color w:val="231F20"/>
          <w:sz w:val="20"/>
        </w:rPr>
        <w:t>Чем больше времени учитель выделит на подготовку учащихся поликультурного класса к работе в технологии обучения в сотрудничестве, тем больше будет эффек- тивность всей последующей работы. Более того, учителю придется обосновать уча- щимся необходимость подготовки к новому виду учебной деятельности. Учащиеся (особенно</w:t>
      </w:r>
      <w:r>
        <w:rPr>
          <w:color w:val="231F20"/>
          <w:spacing w:val="-5"/>
          <w:sz w:val="20"/>
        </w:rPr>
        <w:t> </w:t>
      </w:r>
      <w:r>
        <w:rPr>
          <w:color w:val="231F20"/>
          <w:sz w:val="20"/>
        </w:rPr>
        <w:t>подростки)</w:t>
      </w:r>
      <w:r>
        <w:rPr>
          <w:color w:val="231F20"/>
          <w:spacing w:val="-5"/>
          <w:sz w:val="20"/>
        </w:rPr>
        <w:t> </w:t>
      </w:r>
      <w:r>
        <w:rPr>
          <w:color w:val="231F20"/>
          <w:sz w:val="20"/>
        </w:rPr>
        <w:t>привыкли</w:t>
      </w:r>
      <w:r>
        <w:rPr>
          <w:color w:val="231F20"/>
          <w:spacing w:val="-5"/>
          <w:sz w:val="20"/>
        </w:rPr>
        <w:t> </w:t>
      </w:r>
      <w:r>
        <w:rPr>
          <w:color w:val="231F20"/>
          <w:sz w:val="20"/>
        </w:rPr>
        <w:t>к</w:t>
      </w:r>
      <w:r>
        <w:rPr>
          <w:color w:val="231F20"/>
          <w:spacing w:val="-5"/>
          <w:sz w:val="20"/>
        </w:rPr>
        <w:t> </w:t>
      </w:r>
      <w:r>
        <w:rPr>
          <w:color w:val="231F20"/>
          <w:sz w:val="20"/>
        </w:rPr>
        <w:t>тому,</w:t>
      </w:r>
      <w:r>
        <w:rPr>
          <w:color w:val="231F20"/>
          <w:spacing w:val="-5"/>
          <w:sz w:val="20"/>
        </w:rPr>
        <w:t> </w:t>
      </w:r>
      <w:r>
        <w:rPr>
          <w:color w:val="231F20"/>
          <w:sz w:val="20"/>
        </w:rPr>
        <w:t>что</w:t>
      </w:r>
      <w:r>
        <w:rPr>
          <w:color w:val="231F20"/>
          <w:spacing w:val="-5"/>
          <w:sz w:val="20"/>
        </w:rPr>
        <w:t> </w:t>
      </w:r>
      <w:r>
        <w:rPr>
          <w:color w:val="231F20"/>
          <w:sz w:val="20"/>
        </w:rPr>
        <w:t>они</w:t>
      </w:r>
      <w:r>
        <w:rPr>
          <w:color w:val="231F20"/>
          <w:spacing w:val="-5"/>
          <w:sz w:val="20"/>
        </w:rPr>
        <w:t> </w:t>
      </w:r>
      <w:r>
        <w:rPr>
          <w:color w:val="231F20"/>
          <w:sz w:val="20"/>
        </w:rPr>
        <w:t>объединяются</w:t>
      </w:r>
      <w:r>
        <w:rPr>
          <w:color w:val="231F20"/>
          <w:spacing w:val="-5"/>
          <w:sz w:val="20"/>
        </w:rPr>
        <w:t> </w:t>
      </w:r>
      <w:r>
        <w:rPr>
          <w:color w:val="231F20"/>
          <w:sz w:val="20"/>
        </w:rPr>
        <w:t>на</w:t>
      </w:r>
      <w:r>
        <w:rPr>
          <w:color w:val="231F20"/>
          <w:spacing w:val="-5"/>
          <w:sz w:val="20"/>
        </w:rPr>
        <w:t> </w:t>
      </w:r>
      <w:r>
        <w:rPr>
          <w:color w:val="231F20"/>
          <w:sz w:val="20"/>
        </w:rPr>
        <w:t>уроках</w:t>
      </w:r>
      <w:r>
        <w:rPr>
          <w:color w:val="231F20"/>
          <w:spacing w:val="-5"/>
          <w:sz w:val="20"/>
        </w:rPr>
        <w:t> </w:t>
      </w:r>
      <w:r>
        <w:rPr>
          <w:color w:val="231F20"/>
          <w:sz w:val="20"/>
        </w:rPr>
        <w:t>в</w:t>
      </w:r>
      <w:r>
        <w:rPr>
          <w:color w:val="231F20"/>
          <w:spacing w:val="-5"/>
          <w:sz w:val="20"/>
        </w:rPr>
        <w:t> </w:t>
      </w:r>
      <w:r>
        <w:rPr>
          <w:color w:val="231F20"/>
          <w:sz w:val="20"/>
        </w:rPr>
        <w:t>динамич- ные</w:t>
      </w:r>
      <w:r>
        <w:rPr>
          <w:color w:val="231F20"/>
          <w:spacing w:val="-1"/>
          <w:sz w:val="20"/>
        </w:rPr>
        <w:t> </w:t>
      </w:r>
      <w:r>
        <w:rPr>
          <w:color w:val="231F20"/>
          <w:sz w:val="20"/>
        </w:rPr>
        <w:t>учебные</w:t>
      </w:r>
      <w:r>
        <w:rPr>
          <w:color w:val="231F20"/>
          <w:spacing w:val="-1"/>
          <w:sz w:val="20"/>
        </w:rPr>
        <w:t> </w:t>
      </w:r>
      <w:r>
        <w:rPr>
          <w:color w:val="231F20"/>
          <w:sz w:val="20"/>
        </w:rPr>
        <w:t>группы</w:t>
      </w:r>
      <w:r>
        <w:rPr>
          <w:color w:val="231F20"/>
          <w:spacing w:val="-1"/>
          <w:sz w:val="20"/>
        </w:rPr>
        <w:t> </w:t>
      </w:r>
      <w:r>
        <w:rPr>
          <w:color w:val="231F20"/>
          <w:sz w:val="20"/>
        </w:rPr>
        <w:t>по</w:t>
      </w:r>
      <w:r>
        <w:rPr>
          <w:color w:val="231F20"/>
          <w:spacing w:val="-1"/>
          <w:sz w:val="20"/>
        </w:rPr>
        <w:t> </w:t>
      </w:r>
      <w:r>
        <w:rPr>
          <w:color w:val="231F20"/>
          <w:sz w:val="20"/>
        </w:rPr>
        <w:t>желанию,</w:t>
      </w:r>
      <w:r>
        <w:rPr>
          <w:color w:val="231F20"/>
          <w:spacing w:val="-1"/>
          <w:sz w:val="20"/>
        </w:rPr>
        <w:t> </w:t>
      </w:r>
      <w:r>
        <w:rPr>
          <w:color w:val="231F20"/>
          <w:sz w:val="20"/>
        </w:rPr>
        <w:t>часто</w:t>
      </w:r>
      <w:r>
        <w:rPr>
          <w:color w:val="231F20"/>
          <w:spacing w:val="-1"/>
          <w:sz w:val="20"/>
        </w:rPr>
        <w:t> </w:t>
      </w:r>
      <w:r>
        <w:rPr>
          <w:color w:val="231F20"/>
          <w:sz w:val="20"/>
        </w:rPr>
        <w:t>оставляя</w:t>
      </w:r>
      <w:r>
        <w:rPr>
          <w:color w:val="231F20"/>
          <w:spacing w:val="-1"/>
          <w:sz w:val="20"/>
        </w:rPr>
        <w:t> </w:t>
      </w:r>
      <w:r>
        <w:rPr>
          <w:color w:val="231F20"/>
          <w:sz w:val="20"/>
        </w:rPr>
        <w:t>«за</w:t>
      </w:r>
      <w:r>
        <w:rPr>
          <w:color w:val="231F20"/>
          <w:spacing w:val="-1"/>
          <w:sz w:val="20"/>
        </w:rPr>
        <w:t> </w:t>
      </w:r>
      <w:r>
        <w:rPr>
          <w:color w:val="231F20"/>
          <w:sz w:val="20"/>
        </w:rPr>
        <w:t>бортом»</w:t>
      </w:r>
      <w:r>
        <w:rPr>
          <w:color w:val="231F20"/>
          <w:spacing w:val="-1"/>
          <w:sz w:val="20"/>
        </w:rPr>
        <w:t> </w:t>
      </w:r>
      <w:r>
        <w:rPr>
          <w:color w:val="231F20"/>
          <w:sz w:val="20"/>
        </w:rPr>
        <w:t>особых</w:t>
      </w:r>
      <w:r>
        <w:rPr>
          <w:color w:val="231F20"/>
          <w:spacing w:val="-1"/>
          <w:sz w:val="20"/>
        </w:rPr>
        <w:t> </w:t>
      </w:r>
      <w:r>
        <w:rPr>
          <w:color w:val="231F20"/>
          <w:sz w:val="20"/>
        </w:rPr>
        <w:t>учащихся</w:t>
      </w:r>
      <w:r>
        <w:rPr>
          <w:color w:val="231F20"/>
          <w:spacing w:val="-1"/>
          <w:sz w:val="20"/>
        </w:rPr>
        <w:t> </w:t>
      </w:r>
      <w:r>
        <w:rPr>
          <w:color w:val="231F20"/>
          <w:sz w:val="20"/>
        </w:rPr>
        <w:t>или тех,</w:t>
      </w:r>
      <w:r>
        <w:rPr>
          <w:color w:val="231F20"/>
          <w:spacing w:val="-6"/>
          <w:sz w:val="20"/>
        </w:rPr>
        <w:t> </w:t>
      </w:r>
      <w:r>
        <w:rPr>
          <w:color w:val="231F20"/>
          <w:sz w:val="20"/>
        </w:rPr>
        <w:t>с</w:t>
      </w:r>
      <w:r>
        <w:rPr>
          <w:color w:val="231F20"/>
          <w:spacing w:val="-6"/>
          <w:sz w:val="20"/>
        </w:rPr>
        <w:t> </w:t>
      </w:r>
      <w:r>
        <w:rPr>
          <w:color w:val="231F20"/>
          <w:sz w:val="20"/>
        </w:rPr>
        <w:t>кем</w:t>
      </w:r>
      <w:r>
        <w:rPr>
          <w:color w:val="231F20"/>
          <w:spacing w:val="-6"/>
          <w:sz w:val="20"/>
        </w:rPr>
        <w:t> </w:t>
      </w:r>
      <w:r>
        <w:rPr>
          <w:color w:val="231F20"/>
          <w:sz w:val="20"/>
        </w:rPr>
        <w:t>по</w:t>
      </w:r>
      <w:r>
        <w:rPr>
          <w:color w:val="231F20"/>
          <w:spacing w:val="-6"/>
          <w:sz w:val="20"/>
        </w:rPr>
        <w:t> </w:t>
      </w:r>
      <w:r>
        <w:rPr>
          <w:color w:val="231F20"/>
          <w:sz w:val="20"/>
        </w:rPr>
        <w:t>определенным</w:t>
      </w:r>
      <w:r>
        <w:rPr>
          <w:color w:val="231F20"/>
          <w:spacing w:val="-6"/>
          <w:sz w:val="20"/>
        </w:rPr>
        <w:t> </w:t>
      </w:r>
      <w:r>
        <w:rPr>
          <w:color w:val="231F20"/>
          <w:sz w:val="20"/>
        </w:rPr>
        <w:t>причинам</w:t>
      </w:r>
      <w:r>
        <w:rPr>
          <w:color w:val="231F20"/>
          <w:spacing w:val="-6"/>
          <w:sz w:val="20"/>
        </w:rPr>
        <w:t> </w:t>
      </w:r>
      <w:r>
        <w:rPr>
          <w:color w:val="231F20"/>
          <w:sz w:val="20"/>
        </w:rPr>
        <w:t>они</w:t>
      </w:r>
      <w:r>
        <w:rPr>
          <w:color w:val="231F20"/>
          <w:spacing w:val="-6"/>
          <w:sz w:val="20"/>
        </w:rPr>
        <w:t> </w:t>
      </w:r>
      <w:r>
        <w:rPr>
          <w:color w:val="231F20"/>
          <w:sz w:val="20"/>
        </w:rPr>
        <w:t>не</w:t>
      </w:r>
      <w:r>
        <w:rPr>
          <w:color w:val="231F20"/>
          <w:spacing w:val="-6"/>
          <w:sz w:val="20"/>
        </w:rPr>
        <w:t> </w:t>
      </w:r>
      <w:r>
        <w:rPr>
          <w:color w:val="231F20"/>
          <w:sz w:val="20"/>
        </w:rPr>
        <w:t>хотели</w:t>
      </w:r>
      <w:r>
        <w:rPr>
          <w:color w:val="231F20"/>
          <w:spacing w:val="-6"/>
          <w:sz w:val="20"/>
        </w:rPr>
        <w:t> </w:t>
      </w:r>
      <w:r>
        <w:rPr>
          <w:color w:val="231F20"/>
          <w:sz w:val="20"/>
        </w:rPr>
        <w:t>бы</w:t>
      </w:r>
      <w:r>
        <w:rPr>
          <w:color w:val="231F20"/>
          <w:spacing w:val="-6"/>
          <w:sz w:val="20"/>
        </w:rPr>
        <w:t> </w:t>
      </w:r>
      <w:r>
        <w:rPr>
          <w:color w:val="231F20"/>
          <w:sz w:val="20"/>
        </w:rPr>
        <w:t>работать</w:t>
      </w:r>
      <w:r>
        <w:rPr>
          <w:color w:val="231F20"/>
          <w:spacing w:val="-6"/>
          <w:sz w:val="20"/>
        </w:rPr>
        <w:t> </w:t>
      </w:r>
      <w:r>
        <w:rPr>
          <w:color w:val="231F20"/>
          <w:sz w:val="20"/>
        </w:rPr>
        <w:t>вместе.</w:t>
      </w:r>
      <w:r>
        <w:rPr>
          <w:color w:val="231F20"/>
          <w:spacing w:val="-6"/>
          <w:sz w:val="20"/>
        </w:rPr>
        <w:t> </w:t>
      </w:r>
      <w:r>
        <w:rPr>
          <w:color w:val="231F20"/>
          <w:sz w:val="20"/>
        </w:rPr>
        <w:t>В</w:t>
      </w:r>
      <w:r>
        <w:rPr>
          <w:color w:val="231F20"/>
          <w:spacing w:val="-6"/>
          <w:sz w:val="20"/>
        </w:rPr>
        <w:t> </w:t>
      </w:r>
      <w:r>
        <w:rPr>
          <w:color w:val="231F20"/>
          <w:sz w:val="20"/>
        </w:rPr>
        <w:t>ситуации с</w:t>
      </w:r>
      <w:r>
        <w:rPr>
          <w:color w:val="231F20"/>
          <w:spacing w:val="-1"/>
          <w:sz w:val="20"/>
        </w:rPr>
        <w:t> </w:t>
      </w:r>
      <w:r>
        <w:rPr>
          <w:color w:val="231F20"/>
          <w:sz w:val="20"/>
        </w:rPr>
        <w:t>обучением</w:t>
      </w:r>
      <w:r>
        <w:rPr>
          <w:color w:val="231F20"/>
          <w:spacing w:val="-1"/>
          <w:sz w:val="20"/>
        </w:rPr>
        <w:t> </w:t>
      </w:r>
      <w:r>
        <w:rPr>
          <w:color w:val="231F20"/>
          <w:sz w:val="20"/>
        </w:rPr>
        <w:t>в</w:t>
      </w:r>
      <w:r>
        <w:rPr>
          <w:color w:val="231F20"/>
          <w:spacing w:val="-1"/>
          <w:sz w:val="20"/>
        </w:rPr>
        <w:t> </w:t>
      </w:r>
      <w:r>
        <w:rPr>
          <w:color w:val="231F20"/>
          <w:sz w:val="20"/>
        </w:rPr>
        <w:t>сотрудничестве</w:t>
      </w:r>
      <w:r>
        <w:rPr>
          <w:color w:val="231F20"/>
          <w:spacing w:val="-1"/>
          <w:sz w:val="20"/>
        </w:rPr>
        <w:t> </w:t>
      </w:r>
      <w:r>
        <w:rPr>
          <w:color w:val="231F20"/>
          <w:sz w:val="20"/>
        </w:rPr>
        <w:t>действует</w:t>
      </w:r>
      <w:r>
        <w:rPr>
          <w:color w:val="231F20"/>
          <w:spacing w:val="-1"/>
          <w:sz w:val="20"/>
        </w:rPr>
        <w:t> </w:t>
      </w:r>
      <w:r>
        <w:rPr>
          <w:color w:val="231F20"/>
          <w:sz w:val="20"/>
        </w:rPr>
        <w:t>принцип</w:t>
      </w:r>
      <w:r>
        <w:rPr>
          <w:color w:val="231F20"/>
          <w:spacing w:val="-1"/>
          <w:sz w:val="20"/>
        </w:rPr>
        <w:t> </w:t>
      </w:r>
      <w:r>
        <w:rPr>
          <w:color w:val="231F20"/>
          <w:sz w:val="20"/>
        </w:rPr>
        <w:t>равенства</w:t>
      </w:r>
      <w:r>
        <w:rPr>
          <w:color w:val="231F20"/>
          <w:spacing w:val="-1"/>
          <w:sz w:val="20"/>
        </w:rPr>
        <w:t> </w:t>
      </w:r>
      <w:r>
        <w:rPr>
          <w:color w:val="231F20"/>
          <w:sz w:val="20"/>
        </w:rPr>
        <w:t>и</w:t>
      </w:r>
      <w:r>
        <w:rPr>
          <w:color w:val="231F20"/>
          <w:spacing w:val="-1"/>
          <w:sz w:val="20"/>
        </w:rPr>
        <w:t> </w:t>
      </w:r>
      <w:r>
        <w:rPr>
          <w:color w:val="231F20"/>
          <w:sz w:val="20"/>
        </w:rPr>
        <w:t>группы</w:t>
      </w:r>
      <w:r>
        <w:rPr>
          <w:color w:val="231F20"/>
          <w:spacing w:val="-1"/>
          <w:sz w:val="20"/>
        </w:rPr>
        <w:t> </w:t>
      </w:r>
      <w:r>
        <w:rPr>
          <w:color w:val="231F20"/>
          <w:sz w:val="20"/>
        </w:rPr>
        <w:t>формируются по поликультурному и полиакадемическому принципу, когда в одной группе могут оказаться</w:t>
      </w:r>
      <w:r>
        <w:rPr>
          <w:color w:val="231F20"/>
          <w:spacing w:val="23"/>
          <w:sz w:val="20"/>
        </w:rPr>
        <w:t> </w:t>
      </w:r>
      <w:r>
        <w:rPr>
          <w:color w:val="231F20"/>
          <w:sz w:val="20"/>
        </w:rPr>
        <w:t>дети,</w:t>
      </w:r>
      <w:r>
        <w:rPr>
          <w:color w:val="231F20"/>
          <w:spacing w:val="23"/>
          <w:sz w:val="20"/>
        </w:rPr>
        <w:t> </w:t>
      </w:r>
      <w:r>
        <w:rPr>
          <w:color w:val="231F20"/>
          <w:sz w:val="20"/>
        </w:rPr>
        <w:t>которые</w:t>
      </w:r>
      <w:r>
        <w:rPr>
          <w:color w:val="231F20"/>
          <w:spacing w:val="23"/>
          <w:sz w:val="20"/>
        </w:rPr>
        <w:t> </w:t>
      </w:r>
      <w:r>
        <w:rPr>
          <w:color w:val="231F20"/>
          <w:sz w:val="20"/>
        </w:rPr>
        <w:t>вне</w:t>
      </w:r>
      <w:r>
        <w:rPr>
          <w:color w:val="231F20"/>
          <w:spacing w:val="23"/>
          <w:sz w:val="20"/>
        </w:rPr>
        <w:t> </w:t>
      </w:r>
      <w:r>
        <w:rPr>
          <w:color w:val="231F20"/>
          <w:sz w:val="20"/>
        </w:rPr>
        <w:t>класса</w:t>
      </w:r>
      <w:r>
        <w:rPr>
          <w:color w:val="231F20"/>
          <w:spacing w:val="23"/>
          <w:sz w:val="20"/>
        </w:rPr>
        <w:t> </w:t>
      </w:r>
      <w:r>
        <w:rPr>
          <w:color w:val="231F20"/>
          <w:sz w:val="20"/>
        </w:rPr>
        <w:t>предпочитают</w:t>
      </w:r>
      <w:r>
        <w:rPr>
          <w:color w:val="231F20"/>
          <w:spacing w:val="23"/>
          <w:sz w:val="20"/>
        </w:rPr>
        <w:t> </w:t>
      </w:r>
      <w:r>
        <w:rPr>
          <w:color w:val="231F20"/>
          <w:sz w:val="20"/>
        </w:rPr>
        <w:t>не</w:t>
      </w:r>
      <w:r>
        <w:rPr>
          <w:color w:val="231F20"/>
          <w:spacing w:val="23"/>
          <w:sz w:val="20"/>
        </w:rPr>
        <w:t> </w:t>
      </w:r>
      <w:r>
        <w:rPr>
          <w:color w:val="231F20"/>
          <w:sz w:val="20"/>
        </w:rPr>
        <w:t>общаться</w:t>
      </w:r>
      <w:r>
        <w:rPr>
          <w:color w:val="231F20"/>
          <w:spacing w:val="23"/>
          <w:sz w:val="20"/>
        </w:rPr>
        <w:t> </w:t>
      </w:r>
      <w:r>
        <w:rPr>
          <w:color w:val="231F20"/>
          <w:sz w:val="20"/>
        </w:rPr>
        <w:t>друг</w:t>
      </w:r>
      <w:r>
        <w:rPr>
          <w:color w:val="231F20"/>
          <w:spacing w:val="23"/>
          <w:sz w:val="20"/>
        </w:rPr>
        <w:t> </w:t>
      </w:r>
      <w:r>
        <w:rPr>
          <w:color w:val="231F20"/>
          <w:sz w:val="20"/>
        </w:rPr>
        <w:t>с</w:t>
      </w:r>
      <w:r>
        <w:rPr>
          <w:color w:val="231F20"/>
          <w:spacing w:val="23"/>
          <w:sz w:val="20"/>
        </w:rPr>
        <w:t> </w:t>
      </w:r>
      <w:r>
        <w:rPr>
          <w:color w:val="231F20"/>
          <w:sz w:val="20"/>
        </w:rPr>
        <w:t>другом</w:t>
      </w:r>
      <w:r>
        <w:rPr>
          <w:color w:val="231F20"/>
          <w:spacing w:val="23"/>
          <w:sz w:val="20"/>
        </w:rPr>
        <w:t> </w:t>
      </w:r>
      <w:r>
        <w:rPr>
          <w:color w:val="231F20"/>
          <w:sz w:val="20"/>
        </w:rPr>
        <w:t>или </w:t>
      </w:r>
      <w:r>
        <w:rPr>
          <w:color w:val="231F20"/>
          <w:spacing w:val="-2"/>
          <w:sz w:val="20"/>
        </w:rPr>
        <w:t>даже</w:t>
      </w:r>
      <w:r>
        <w:rPr>
          <w:color w:val="231F20"/>
          <w:spacing w:val="-3"/>
          <w:sz w:val="20"/>
        </w:rPr>
        <w:t> </w:t>
      </w:r>
      <w:r>
        <w:rPr>
          <w:color w:val="231F20"/>
          <w:spacing w:val="-2"/>
          <w:sz w:val="20"/>
        </w:rPr>
        <w:t>находятся</w:t>
      </w:r>
      <w:r>
        <w:rPr>
          <w:color w:val="231F20"/>
          <w:spacing w:val="-3"/>
          <w:sz w:val="20"/>
        </w:rPr>
        <w:t> </w:t>
      </w:r>
      <w:r>
        <w:rPr>
          <w:color w:val="231F20"/>
          <w:spacing w:val="-2"/>
          <w:sz w:val="20"/>
        </w:rPr>
        <w:t>в</w:t>
      </w:r>
      <w:r>
        <w:rPr>
          <w:color w:val="231F20"/>
          <w:spacing w:val="-3"/>
          <w:sz w:val="20"/>
        </w:rPr>
        <w:t> </w:t>
      </w:r>
      <w:r>
        <w:rPr>
          <w:color w:val="231F20"/>
          <w:spacing w:val="-2"/>
          <w:sz w:val="20"/>
        </w:rPr>
        <w:t>конфликте.</w:t>
      </w:r>
      <w:r>
        <w:rPr>
          <w:color w:val="231F20"/>
          <w:spacing w:val="-3"/>
          <w:sz w:val="20"/>
        </w:rPr>
        <w:t> </w:t>
      </w:r>
      <w:r>
        <w:rPr>
          <w:color w:val="231F20"/>
          <w:spacing w:val="-2"/>
          <w:sz w:val="20"/>
        </w:rPr>
        <w:t>Учащимся</w:t>
      </w:r>
      <w:r>
        <w:rPr>
          <w:color w:val="231F20"/>
          <w:spacing w:val="-3"/>
          <w:sz w:val="20"/>
        </w:rPr>
        <w:t> </w:t>
      </w:r>
      <w:r>
        <w:rPr>
          <w:color w:val="231F20"/>
          <w:spacing w:val="-2"/>
          <w:sz w:val="20"/>
        </w:rPr>
        <w:t>приходится</w:t>
      </w:r>
      <w:r>
        <w:rPr>
          <w:color w:val="231F20"/>
          <w:spacing w:val="-3"/>
          <w:sz w:val="20"/>
        </w:rPr>
        <w:t> </w:t>
      </w:r>
      <w:r>
        <w:rPr>
          <w:color w:val="231F20"/>
          <w:spacing w:val="-2"/>
          <w:sz w:val="20"/>
        </w:rPr>
        <w:t>объяснять,</w:t>
      </w:r>
      <w:r>
        <w:rPr>
          <w:color w:val="231F20"/>
          <w:spacing w:val="-3"/>
          <w:sz w:val="20"/>
        </w:rPr>
        <w:t> </w:t>
      </w:r>
      <w:r>
        <w:rPr>
          <w:color w:val="231F20"/>
          <w:spacing w:val="-2"/>
          <w:sz w:val="20"/>
        </w:rPr>
        <w:t>что</w:t>
      </w:r>
      <w:r>
        <w:rPr>
          <w:color w:val="231F20"/>
          <w:spacing w:val="-3"/>
          <w:sz w:val="20"/>
        </w:rPr>
        <w:t> </w:t>
      </w:r>
      <w:r>
        <w:rPr>
          <w:color w:val="231F20"/>
          <w:spacing w:val="-2"/>
          <w:sz w:val="20"/>
        </w:rPr>
        <w:t>в</w:t>
      </w:r>
      <w:r>
        <w:rPr>
          <w:color w:val="231F20"/>
          <w:spacing w:val="-3"/>
          <w:sz w:val="20"/>
        </w:rPr>
        <w:t> </w:t>
      </w:r>
      <w:r>
        <w:rPr>
          <w:color w:val="231F20"/>
          <w:spacing w:val="-2"/>
          <w:sz w:val="20"/>
        </w:rPr>
        <w:t>реальной</w:t>
      </w:r>
      <w:r>
        <w:rPr>
          <w:color w:val="231F20"/>
          <w:spacing w:val="-3"/>
          <w:sz w:val="20"/>
        </w:rPr>
        <w:t> </w:t>
      </w:r>
      <w:r>
        <w:rPr>
          <w:color w:val="231F20"/>
          <w:spacing w:val="-2"/>
          <w:sz w:val="20"/>
        </w:rPr>
        <w:t>жизни, когда они будут работать, им придется научиться взаимодействовать в одной команде </w:t>
      </w:r>
      <w:r>
        <w:rPr>
          <w:color w:val="231F20"/>
          <w:sz w:val="20"/>
        </w:rPr>
        <w:t>с</w:t>
      </w:r>
      <w:r>
        <w:rPr>
          <w:color w:val="231F20"/>
          <w:spacing w:val="-2"/>
          <w:sz w:val="20"/>
        </w:rPr>
        <w:t> </w:t>
      </w:r>
      <w:r>
        <w:rPr>
          <w:color w:val="231F20"/>
          <w:sz w:val="20"/>
        </w:rPr>
        <w:t>совершенно</w:t>
      </w:r>
      <w:r>
        <w:rPr>
          <w:color w:val="231F20"/>
          <w:spacing w:val="-2"/>
          <w:sz w:val="20"/>
        </w:rPr>
        <w:t> </w:t>
      </w:r>
      <w:r>
        <w:rPr>
          <w:color w:val="231F20"/>
          <w:sz w:val="20"/>
        </w:rPr>
        <w:t>разными</w:t>
      </w:r>
      <w:r>
        <w:rPr>
          <w:color w:val="231F20"/>
          <w:spacing w:val="-2"/>
          <w:sz w:val="20"/>
        </w:rPr>
        <w:t> </w:t>
      </w:r>
      <w:r>
        <w:rPr>
          <w:color w:val="231F20"/>
          <w:sz w:val="20"/>
        </w:rPr>
        <w:t>людьми,</w:t>
      </w:r>
      <w:r>
        <w:rPr>
          <w:color w:val="231F20"/>
          <w:spacing w:val="-2"/>
          <w:sz w:val="20"/>
        </w:rPr>
        <w:t> </w:t>
      </w:r>
      <w:r>
        <w:rPr>
          <w:color w:val="231F20"/>
          <w:sz w:val="20"/>
        </w:rPr>
        <w:t>которые</w:t>
      </w:r>
      <w:r>
        <w:rPr>
          <w:color w:val="231F20"/>
          <w:spacing w:val="-2"/>
          <w:sz w:val="20"/>
        </w:rPr>
        <w:t> </w:t>
      </w:r>
      <w:r>
        <w:rPr>
          <w:color w:val="231F20"/>
          <w:sz w:val="20"/>
        </w:rPr>
        <w:t>им</w:t>
      </w:r>
      <w:r>
        <w:rPr>
          <w:color w:val="231F20"/>
          <w:spacing w:val="-1"/>
          <w:sz w:val="20"/>
        </w:rPr>
        <w:t> </w:t>
      </w:r>
      <w:r>
        <w:rPr>
          <w:color w:val="231F20"/>
          <w:sz w:val="20"/>
        </w:rPr>
        <w:t>могут</w:t>
      </w:r>
      <w:r>
        <w:rPr>
          <w:color w:val="231F20"/>
          <w:spacing w:val="-2"/>
          <w:sz w:val="20"/>
        </w:rPr>
        <w:t> </w:t>
      </w:r>
      <w:r>
        <w:rPr>
          <w:color w:val="231F20"/>
          <w:sz w:val="20"/>
        </w:rPr>
        <w:t>чем-то</w:t>
      </w:r>
      <w:r>
        <w:rPr>
          <w:color w:val="231F20"/>
          <w:spacing w:val="-1"/>
          <w:sz w:val="20"/>
        </w:rPr>
        <w:t> </w:t>
      </w:r>
      <w:r>
        <w:rPr>
          <w:color w:val="231F20"/>
          <w:sz w:val="20"/>
        </w:rPr>
        <w:t>не</w:t>
      </w:r>
      <w:r>
        <w:rPr>
          <w:color w:val="231F20"/>
          <w:spacing w:val="-2"/>
          <w:sz w:val="20"/>
        </w:rPr>
        <w:t> </w:t>
      </w:r>
      <w:r>
        <w:rPr>
          <w:color w:val="231F20"/>
          <w:sz w:val="20"/>
        </w:rPr>
        <w:t>нравиться,</w:t>
      </w:r>
      <w:r>
        <w:rPr>
          <w:color w:val="231F20"/>
          <w:spacing w:val="-1"/>
          <w:sz w:val="20"/>
        </w:rPr>
        <w:t> </w:t>
      </w:r>
      <w:r>
        <w:rPr>
          <w:color w:val="231F20"/>
          <w:sz w:val="20"/>
        </w:rPr>
        <w:t>но</w:t>
      </w:r>
      <w:r>
        <w:rPr>
          <w:color w:val="231F20"/>
          <w:spacing w:val="-2"/>
          <w:sz w:val="20"/>
        </w:rPr>
        <w:t> </w:t>
      </w:r>
      <w:r>
        <w:rPr>
          <w:color w:val="231F20"/>
          <w:sz w:val="20"/>
        </w:rPr>
        <w:t>с</w:t>
      </w:r>
      <w:r>
        <w:rPr>
          <w:color w:val="231F20"/>
          <w:spacing w:val="-1"/>
          <w:sz w:val="20"/>
        </w:rPr>
        <w:t> </w:t>
      </w:r>
      <w:r>
        <w:rPr>
          <w:color w:val="231F20"/>
          <w:spacing w:val="-2"/>
          <w:sz w:val="20"/>
        </w:rPr>
        <w:t>которы-</w:t>
      </w:r>
    </w:p>
    <w:p>
      <w:pPr>
        <w:pStyle w:val="BodyText"/>
        <w:spacing w:line="228" w:lineRule="exact" w:before="5"/>
        <w:ind w:right="0" w:firstLine="0"/>
        <w:jc w:val="left"/>
      </w:pPr>
      <w:r>
        <w:rPr>
          <w:color w:val="231F20"/>
        </w:rPr>
        <w:t>ми</w:t>
      </w:r>
      <w:r>
        <w:rPr>
          <w:color w:val="231F20"/>
          <w:spacing w:val="-7"/>
        </w:rPr>
        <w:t> </w:t>
      </w:r>
      <w:r>
        <w:rPr>
          <w:color w:val="231F20"/>
        </w:rPr>
        <w:t>они</w:t>
      </w:r>
      <w:r>
        <w:rPr>
          <w:color w:val="231F20"/>
          <w:spacing w:val="-5"/>
        </w:rPr>
        <w:t> </w:t>
      </w:r>
      <w:r>
        <w:rPr>
          <w:color w:val="231F20"/>
        </w:rPr>
        <w:t>должны</w:t>
      </w:r>
      <w:r>
        <w:rPr>
          <w:color w:val="231F20"/>
          <w:spacing w:val="-4"/>
        </w:rPr>
        <w:t> </w:t>
      </w:r>
      <w:r>
        <w:rPr>
          <w:color w:val="231F20"/>
        </w:rPr>
        <w:t>найти</w:t>
      </w:r>
      <w:r>
        <w:rPr>
          <w:color w:val="231F20"/>
          <w:spacing w:val="-5"/>
        </w:rPr>
        <w:t> </w:t>
      </w:r>
      <w:r>
        <w:rPr>
          <w:color w:val="231F20"/>
        </w:rPr>
        <w:t>общий</w:t>
      </w:r>
      <w:r>
        <w:rPr>
          <w:color w:val="231F20"/>
          <w:spacing w:val="-4"/>
        </w:rPr>
        <w:t> </w:t>
      </w:r>
      <w:r>
        <w:rPr>
          <w:color w:val="231F20"/>
        </w:rPr>
        <w:t>язык</w:t>
      </w:r>
      <w:r>
        <w:rPr>
          <w:color w:val="231F20"/>
          <w:spacing w:val="-4"/>
        </w:rPr>
        <w:t> </w:t>
      </w:r>
      <w:r>
        <w:rPr>
          <w:color w:val="231F20"/>
        </w:rPr>
        <w:t>и</w:t>
      </w:r>
      <w:r>
        <w:rPr>
          <w:color w:val="231F20"/>
          <w:spacing w:val="-5"/>
        </w:rPr>
        <w:t> </w:t>
      </w:r>
      <w:r>
        <w:rPr>
          <w:color w:val="231F20"/>
        </w:rPr>
        <w:t>взаимодействовать</w:t>
      </w:r>
      <w:r>
        <w:rPr>
          <w:color w:val="231F20"/>
          <w:spacing w:val="-5"/>
        </w:rPr>
        <w:t> </w:t>
      </w:r>
      <w:r>
        <w:rPr>
          <w:color w:val="231F20"/>
        </w:rPr>
        <w:t>на</w:t>
      </w:r>
      <w:r>
        <w:rPr>
          <w:color w:val="231F20"/>
          <w:spacing w:val="-4"/>
        </w:rPr>
        <w:t> </w:t>
      </w:r>
      <w:r>
        <w:rPr>
          <w:color w:val="231F20"/>
        </w:rPr>
        <w:t>общее</w:t>
      </w:r>
      <w:r>
        <w:rPr>
          <w:color w:val="231F20"/>
          <w:spacing w:val="-3"/>
        </w:rPr>
        <w:t> </w:t>
      </w:r>
      <w:r>
        <w:rPr>
          <w:color w:val="231F20"/>
          <w:spacing w:val="-2"/>
        </w:rPr>
        <w:t>благо.</w:t>
      </w:r>
    </w:p>
    <w:p>
      <w:pPr>
        <w:pStyle w:val="BodyText"/>
        <w:spacing w:line="235" w:lineRule="auto" w:before="2"/>
        <w:ind w:right="0"/>
        <w:jc w:val="left"/>
      </w:pPr>
      <w:r>
        <w:rPr>
          <w:color w:val="231F20"/>
        </w:rPr>
        <w:t>Подготовка</w:t>
      </w:r>
      <w:r>
        <w:rPr>
          <w:color w:val="231F20"/>
          <w:spacing w:val="18"/>
        </w:rPr>
        <w:t> </w:t>
      </w:r>
      <w:r>
        <w:rPr>
          <w:color w:val="231F20"/>
        </w:rPr>
        <w:t>учащихся</w:t>
      </w:r>
      <w:r>
        <w:rPr>
          <w:color w:val="231F20"/>
          <w:spacing w:val="18"/>
        </w:rPr>
        <w:t> </w:t>
      </w:r>
      <w:r>
        <w:rPr>
          <w:color w:val="231F20"/>
        </w:rPr>
        <w:t>к</w:t>
      </w:r>
      <w:r>
        <w:rPr>
          <w:color w:val="231F20"/>
          <w:spacing w:val="18"/>
        </w:rPr>
        <w:t> </w:t>
      </w:r>
      <w:r>
        <w:rPr>
          <w:color w:val="231F20"/>
        </w:rPr>
        <w:t>обучению</w:t>
      </w:r>
      <w:r>
        <w:rPr>
          <w:color w:val="231F20"/>
          <w:spacing w:val="18"/>
        </w:rPr>
        <w:t> </w:t>
      </w:r>
      <w:r>
        <w:rPr>
          <w:color w:val="231F20"/>
        </w:rPr>
        <w:t>в</w:t>
      </w:r>
      <w:r>
        <w:rPr>
          <w:color w:val="231F20"/>
          <w:spacing w:val="18"/>
        </w:rPr>
        <w:t> </w:t>
      </w:r>
      <w:r>
        <w:rPr>
          <w:color w:val="231F20"/>
        </w:rPr>
        <w:t>сотрудничестве</w:t>
      </w:r>
      <w:r>
        <w:rPr>
          <w:color w:val="231F20"/>
          <w:spacing w:val="18"/>
        </w:rPr>
        <w:t> </w:t>
      </w:r>
      <w:r>
        <w:rPr>
          <w:color w:val="231F20"/>
        </w:rPr>
        <w:t>с</w:t>
      </w:r>
      <w:r>
        <w:rPr>
          <w:color w:val="231F20"/>
          <w:spacing w:val="18"/>
        </w:rPr>
        <w:t> </w:t>
      </w:r>
      <w:r>
        <w:rPr>
          <w:color w:val="231F20"/>
        </w:rPr>
        <w:t>учетом</w:t>
      </w:r>
      <w:r>
        <w:rPr>
          <w:color w:val="231F20"/>
          <w:spacing w:val="18"/>
        </w:rPr>
        <w:t> </w:t>
      </w:r>
      <w:r>
        <w:rPr>
          <w:color w:val="231F20"/>
        </w:rPr>
        <w:t>специфики</w:t>
      </w:r>
      <w:r>
        <w:rPr>
          <w:color w:val="231F20"/>
          <w:spacing w:val="18"/>
        </w:rPr>
        <w:t> </w:t>
      </w:r>
      <w:r>
        <w:rPr>
          <w:color w:val="231F20"/>
        </w:rPr>
        <w:t>поли- культурных классов может включать следующие виды тренингов:</w:t>
      </w:r>
    </w:p>
    <w:p>
      <w:pPr>
        <w:pStyle w:val="ListParagraph"/>
        <w:numPr>
          <w:ilvl w:val="0"/>
          <w:numId w:val="176"/>
        </w:numPr>
        <w:tabs>
          <w:tab w:pos="425" w:val="left" w:leader="none"/>
        </w:tabs>
        <w:spacing w:line="235" w:lineRule="auto" w:before="1" w:after="0"/>
        <w:ind w:left="425" w:right="139" w:hanging="284"/>
        <w:jc w:val="left"/>
        <w:rPr>
          <w:sz w:val="20"/>
        </w:rPr>
      </w:pPr>
      <w:r>
        <w:rPr>
          <w:color w:val="231F20"/>
          <w:sz w:val="20"/>
        </w:rPr>
        <w:t>по</w:t>
      </w:r>
      <w:r>
        <w:rPr>
          <w:color w:val="231F20"/>
          <w:spacing w:val="-13"/>
          <w:sz w:val="20"/>
        </w:rPr>
        <w:t> </w:t>
      </w:r>
      <w:r>
        <w:rPr>
          <w:color w:val="231F20"/>
          <w:sz w:val="20"/>
        </w:rPr>
        <w:t>отработке</w:t>
      </w:r>
      <w:r>
        <w:rPr>
          <w:color w:val="231F20"/>
          <w:spacing w:val="-12"/>
          <w:sz w:val="20"/>
        </w:rPr>
        <w:t> </w:t>
      </w:r>
      <w:r>
        <w:rPr>
          <w:color w:val="231F20"/>
          <w:sz w:val="20"/>
        </w:rPr>
        <w:t>навыков</w:t>
      </w:r>
      <w:r>
        <w:rPr>
          <w:color w:val="231F20"/>
          <w:spacing w:val="-13"/>
          <w:sz w:val="20"/>
        </w:rPr>
        <w:t> </w:t>
      </w:r>
      <w:r>
        <w:rPr>
          <w:color w:val="231F20"/>
          <w:sz w:val="20"/>
        </w:rPr>
        <w:t>работы</w:t>
      </w:r>
      <w:r>
        <w:rPr>
          <w:color w:val="231F20"/>
          <w:spacing w:val="-12"/>
          <w:sz w:val="20"/>
        </w:rPr>
        <w:t> </w:t>
      </w:r>
      <w:r>
        <w:rPr>
          <w:color w:val="231F20"/>
          <w:sz w:val="20"/>
        </w:rPr>
        <w:t>в</w:t>
      </w:r>
      <w:r>
        <w:rPr>
          <w:color w:val="231F20"/>
          <w:spacing w:val="-13"/>
          <w:sz w:val="20"/>
        </w:rPr>
        <w:t> </w:t>
      </w:r>
      <w:r>
        <w:rPr>
          <w:color w:val="231F20"/>
          <w:sz w:val="20"/>
        </w:rPr>
        <w:t>группе</w:t>
      </w:r>
      <w:r>
        <w:rPr>
          <w:color w:val="231F20"/>
          <w:spacing w:val="-12"/>
          <w:sz w:val="20"/>
        </w:rPr>
        <w:t> </w:t>
      </w:r>
      <w:r>
        <w:rPr>
          <w:color w:val="231F20"/>
          <w:sz w:val="20"/>
        </w:rPr>
        <w:t>с</w:t>
      </w:r>
      <w:r>
        <w:rPr>
          <w:color w:val="231F20"/>
          <w:spacing w:val="-13"/>
          <w:sz w:val="20"/>
        </w:rPr>
        <w:t> </w:t>
      </w:r>
      <w:r>
        <w:rPr>
          <w:color w:val="231F20"/>
          <w:sz w:val="20"/>
        </w:rPr>
        <w:t>учетом</w:t>
      </w:r>
      <w:r>
        <w:rPr>
          <w:color w:val="231F20"/>
          <w:spacing w:val="-12"/>
          <w:sz w:val="20"/>
        </w:rPr>
        <w:t> </w:t>
      </w:r>
      <w:r>
        <w:rPr>
          <w:color w:val="231F20"/>
          <w:sz w:val="20"/>
        </w:rPr>
        <w:t>потребностей</w:t>
      </w:r>
      <w:r>
        <w:rPr>
          <w:color w:val="231F20"/>
          <w:spacing w:val="-13"/>
          <w:sz w:val="20"/>
        </w:rPr>
        <w:t> </w:t>
      </w:r>
      <w:r>
        <w:rPr>
          <w:color w:val="231F20"/>
          <w:sz w:val="20"/>
        </w:rPr>
        <w:t>других</w:t>
      </w:r>
      <w:r>
        <w:rPr>
          <w:color w:val="231F20"/>
          <w:spacing w:val="-12"/>
          <w:sz w:val="20"/>
        </w:rPr>
        <w:t> </w:t>
      </w:r>
      <w:r>
        <w:rPr>
          <w:color w:val="231F20"/>
          <w:sz w:val="20"/>
        </w:rPr>
        <w:t>членов</w:t>
      </w:r>
      <w:r>
        <w:rPr>
          <w:color w:val="231F20"/>
          <w:spacing w:val="-13"/>
          <w:sz w:val="20"/>
        </w:rPr>
        <w:t> </w:t>
      </w:r>
      <w:r>
        <w:rPr>
          <w:color w:val="231F20"/>
          <w:sz w:val="20"/>
        </w:rPr>
        <w:t>груп- пы и нацеленности на общий результат;</w:t>
      </w:r>
    </w:p>
    <w:p>
      <w:pPr>
        <w:pStyle w:val="ListParagraph"/>
        <w:numPr>
          <w:ilvl w:val="0"/>
          <w:numId w:val="176"/>
        </w:numPr>
        <w:tabs>
          <w:tab w:pos="424" w:val="left" w:leader="none"/>
        </w:tabs>
        <w:spacing w:line="225" w:lineRule="exact" w:before="0" w:after="0"/>
        <w:ind w:left="424" w:right="0" w:hanging="283"/>
        <w:jc w:val="left"/>
        <w:rPr>
          <w:sz w:val="20"/>
        </w:rPr>
      </w:pPr>
      <w:r>
        <w:rPr>
          <w:color w:val="231F20"/>
          <w:sz w:val="20"/>
        </w:rPr>
        <w:t>на</w:t>
      </w:r>
      <w:r>
        <w:rPr>
          <w:color w:val="231F20"/>
          <w:spacing w:val="-8"/>
          <w:sz w:val="20"/>
        </w:rPr>
        <w:t> </w:t>
      </w:r>
      <w:r>
        <w:rPr>
          <w:color w:val="231F20"/>
          <w:sz w:val="20"/>
        </w:rPr>
        <w:t>формирование</w:t>
      </w:r>
      <w:r>
        <w:rPr>
          <w:color w:val="231F20"/>
          <w:spacing w:val="-8"/>
          <w:sz w:val="20"/>
        </w:rPr>
        <w:t> </w:t>
      </w:r>
      <w:r>
        <w:rPr>
          <w:color w:val="231F20"/>
          <w:sz w:val="20"/>
        </w:rPr>
        <w:t>навыков</w:t>
      </w:r>
      <w:r>
        <w:rPr>
          <w:color w:val="231F20"/>
          <w:spacing w:val="-8"/>
          <w:sz w:val="20"/>
        </w:rPr>
        <w:t> </w:t>
      </w:r>
      <w:r>
        <w:rPr>
          <w:color w:val="231F20"/>
          <w:spacing w:val="-2"/>
          <w:sz w:val="20"/>
        </w:rPr>
        <w:t>сотрудничества;</w:t>
      </w:r>
    </w:p>
    <w:p>
      <w:pPr>
        <w:pStyle w:val="ListParagraph"/>
        <w:numPr>
          <w:ilvl w:val="0"/>
          <w:numId w:val="176"/>
        </w:numPr>
        <w:tabs>
          <w:tab w:pos="424" w:val="left" w:leader="none"/>
        </w:tabs>
        <w:spacing w:line="226" w:lineRule="exact" w:before="0" w:after="0"/>
        <w:ind w:left="424" w:right="0" w:hanging="283"/>
        <w:jc w:val="left"/>
        <w:rPr>
          <w:sz w:val="20"/>
        </w:rPr>
      </w:pPr>
      <w:r>
        <w:rPr>
          <w:color w:val="231F20"/>
          <w:sz w:val="20"/>
        </w:rPr>
        <w:t>на</w:t>
      </w:r>
      <w:r>
        <w:rPr>
          <w:color w:val="231F20"/>
          <w:spacing w:val="-5"/>
          <w:sz w:val="20"/>
        </w:rPr>
        <w:t> </w:t>
      </w:r>
      <w:r>
        <w:rPr>
          <w:color w:val="231F20"/>
          <w:sz w:val="20"/>
        </w:rPr>
        <w:t>развитие</w:t>
      </w:r>
      <w:r>
        <w:rPr>
          <w:color w:val="231F20"/>
          <w:spacing w:val="-5"/>
          <w:sz w:val="20"/>
        </w:rPr>
        <w:t> </w:t>
      </w:r>
      <w:r>
        <w:rPr>
          <w:color w:val="231F20"/>
          <w:sz w:val="20"/>
        </w:rPr>
        <w:t>навыков</w:t>
      </w:r>
      <w:r>
        <w:rPr>
          <w:color w:val="231F20"/>
          <w:spacing w:val="-5"/>
          <w:sz w:val="20"/>
        </w:rPr>
        <w:t> </w:t>
      </w:r>
      <w:r>
        <w:rPr>
          <w:color w:val="231F20"/>
          <w:sz w:val="20"/>
        </w:rPr>
        <w:t>коммуникации</w:t>
      </w:r>
      <w:r>
        <w:rPr>
          <w:color w:val="231F20"/>
          <w:spacing w:val="-5"/>
          <w:sz w:val="20"/>
        </w:rPr>
        <w:t> </w:t>
      </w:r>
      <w:r>
        <w:rPr>
          <w:color w:val="231F20"/>
          <w:sz w:val="20"/>
        </w:rPr>
        <w:t>и</w:t>
      </w:r>
      <w:r>
        <w:rPr>
          <w:color w:val="231F20"/>
          <w:spacing w:val="-6"/>
          <w:sz w:val="20"/>
        </w:rPr>
        <w:t> </w:t>
      </w:r>
      <w:r>
        <w:rPr>
          <w:color w:val="231F20"/>
          <w:sz w:val="20"/>
        </w:rPr>
        <w:t>участия</w:t>
      </w:r>
      <w:r>
        <w:rPr>
          <w:color w:val="231F20"/>
          <w:spacing w:val="-4"/>
          <w:sz w:val="20"/>
        </w:rPr>
        <w:t> </w:t>
      </w:r>
      <w:r>
        <w:rPr>
          <w:color w:val="231F20"/>
          <w:sz w:val="20"/>
        </w:rPr>
        <w:t>в</w:t>
      </w:r>
      <w:r>
        <w:rPr>
          <w:color w:val="231F20"/>
          <w:spacing w:val="-6"/>
          <w:sz w:val="20"/>
        </w:rPr>
        <w:t> </w:t>
      </w:r>
      <w:r>
        <w:rPr>
          <w:color w:val="231F20"/>
          <w:sz w:val="20"/>
        </w:rPr>
        <w:t>групповых</w:t>
      </w:r>
      <w:r>
        <w:rPr>
          <w:color w:val="231F20"/>
          <w:spacing w:val="-4"/>
          <w:sz w:val="20"/>
        </w:rPr>
        <w:t> </w:t>
      </w:r>
      <w:r>
        <w:rPr>
          <w:color w:val="231F20"/>
          <w:spacing w:val="-2"/>
          <w:sz w:val="20"/>
        </w:rPr>
        <w:t>дискуссиях;</w:t>
      </w:r>
    </w:p>
    <w:p>
      <w:pPr>
        <w:pStyle w:val="ListParagraph"/>
        <w:numPr>
          <w:ilvl w:val="0"/>
          <w:numId w:val="176"/>
        </w:numPr>
        <w:tabs>
          <w:tab w:pos="424" w:val="left" w:leader="none"/>
        </w:tabs>
        <w:spacing w:line="226" w:lineRule="exact" w:before="0" w:after="0"/>
        <w:ind w:left="424" w:right="0" w:hanging="283"/>
        <w:jc w:val="left"/>
        <w:rPr>
          <w:sz w:val="20"/>
        </w:rPr>
      </w:pPr>
      <w:r>
        <w:rPr>
          <w:color w:val="231F20"/>
          <w:sz w:val="20"/>
        </w:rPr>
        <w:t>по</w:t>
      </w:r>
      <w:r>
        <w:rPr>
          <w:color w:val="231F20"/>
          <w:spacing w:val="-5"/>
          <w:sz w:val="20"/>
        </w:rPr>
        <w:t> </w:t>
      </w:r>
      <w:r>
        <w:rPr>
          <w:color w:val="231F20"/>
          <w:sz w:val="20"/>
        </w:rPr>
        <w:t>выработке</w:t>
      </w:r>
      <w:r>
        <w:rPr>
          <w:color w:val="231F20"/>
          <w:spacing w:val="-5"/>
          <w:sz w:val="20"/>
        </w:rPr>
        <w:t> </w:t>
      </w:r>
      <w:r>
        <w:rPr>
          <w:color w:val="231F20"/>
          <w:sz w:val="20"/>
        </w:rPr>
        <w:t>норм</w:t>
      </w:r>
      <w:r>
        <w:rPr>
          <w:color w:val="231F20"/>
          <w:spacing w:val="-4"/>
          <w:sz w:val="20"/>
        </w:rPr>
        <w:t> </w:t>
      </w:r>
      <w:r>
        <w:rPr>
          <w:color w:val="231F20"/>
          <w:sz w:val="20"/>
        </w:rPr>
        <w:t>и</w:t>
      </w:r>
      <w:r>
        <w:rPr>
          <w:color w:val="231F20"/>
          <w:spacing w:val="-5"/>
          <w:sz w:val="20"/>
        </w:rPr>
        <w:t> </w:t>
      </w:r>
      <w:r>
        <w:rPr>
          <w:color w:val="231F20"/>
          <w:sz w:val="20"/>
        </w:rPr>
        <w:t>правил</w:t>
      </w:r>
      <w:r>
        <w:rPr>
          <w:color w:val="231F20"/>
          <w:spacing w:val="-5"/>
          <w:sz w:val="20"/>
        </w:rPr>
        <w:t> </w:t>
      </w:r>
      <w:r>
        <w:rPr>
          <w:color w:val="231F20"/>
          <w:sz w:val="20"/>
        </w:rPr>
        <w:t>группового</w:t>
      </w:r>
      <w:r>
        <w:rPr>
          <w:color w:val="231F20"/>
          <w:spacing w:val="-4"/>
          <w:sz w:val="20"/>
        </w:rPr>
        <w:t> </w:t>
      </w:r>
      <w:r>
        <w:rPr>
          <w:color w:val="231F20"/>
          <w:spacing w:val="-2"/>
          <w:sz w:val="20"/>
        </w:rPr>
        <w:t>поведения;</w:t>
      </w:r>
    </w:p>
    <w:p>
      <w:pPr>
        <w:pStyle w:val="ListParagraph"/>
        <w:numPr>
          <w:ilvl w:val="0"/>
          <w:numId w:val="176"/>
        </w:numPr>
        <w:tabs>
          <w:tab w:pos="424" w:val="left" w:leader="none"/>
        </w:tabs>
        <w:spacing w:line="226" w:lineRule="exact" w:before="0" w:after="0"/>
        <w:ind w:left="424" w:right="0" w:hanging="283"/>
        <w:jc w:val="left"/>
        <w:rPr>
          <w:sz w:val="20"/>
        </w:rPr>
      </w:pPr>
      <w:r>
        <w:rPr>
          <w:color w:val="231F20"/>
          <w:sz w:val="20"/>
        </w:rPr>
        <w:t>на</w:t>
      </w:r>
      <w:r>
        <w:rPr>
          <w:color w:val="231F20"/>
          <w:spacing w:val="-7"/>
          <w:sz w:val="20"/>
        </w:rPr>
        <w:t> </w:t>
      </w:r>
      <w:r>
        <w:rPr>
          <w:color w:val="231F20"/>
          <w:sz w:val="20"/>
        </w:rPr>
        <w:t>предотвращение</w:t>
      </w:r>
      <w:r>
        <w:rPr>
          <w:color w:val="231F20"/>
          <w:spacing w:val="-4"/>
          <w:sz w:val="20"/>
        </w:rPr>
        <w:t> </w:t>
      </w:r>
      <w:r>
        <w:rPr>
          <w:color w:val="231F20"/>
          <w:sz w:val="20"/>
        </w:rPr>
        <w:t>групповых</w:t>
      </w:r>
      <w:r>
        <w:rPr>
          <w:color w:val="231F20"/>
          <w:spacing w:val="-4"/>
          <w:sz w:val="20"/>
        </w:rPr>
        <w:t> </w:t>
      </w:r>
      <w:r>
        <w:rPr>
          <w:color w:val="231F20"/>
          <w:sz w:val="20"/>
        </w:rPr>
        <w:t>и</w:t>
      </w:r>
      <w:r>
        <w:rPr>
          <w:color w:val="231F20"/>
          <w:spacing w:val="-5"/>
          <w:sz w:val="20"/>
        </w:rPr>
        <w:t> </w:t>
      </w:r>
      <w:r>
        <w:rPr>
          <w:color w:val="231F20"/>
          <w:sz w:val="20"/>
        </w:rPr>
        <w:t>межличностных</w:t>
      </w:r>
      <w:r>
        <w:rPr>
          <w:color w:val="231F20"/>
          <w:spacing w:val="-4"/>
          <w:sz w:val="20"/>
        </w:rPr>
        <w:t> </w:t>
      </w:r>
      <w:r>
        <w:rPr>
          <w:color w:val="231F20"/>
          <w:sz w:val="20"/>
        </w:rPr>
        <w:t>конфликтов</w:t>
      </w:r>
      <w:r>
        <w:rPr>
          <w:color w:val="231F20"/>
          <w:spacing w:val="-5"/>
          <w:sz w:val="20"/>
        </w:rPr>
        <w:t> </w:t>
      </w:r>
      <w:r>
        <w:rPr>
          <w:color w:val="231F20"/>
          <w:sz w:val="20"/>
        </w:rPr>
        <w:t>и</w:t>
      </w:r>
      <w:r>
        <w:rPr>
          <w:color w:val="231F20"/>
          <w:spacing w:val="-4"/>
          <w:sz w:val="20"/>
        </w:rPr>
        <w:t> </w:t>
      </w:r>
      <w:r>
        <w:rPr>
          <w:color w:val="231F20"/>
          <w:spacing w:val="-5"/>
          <w:sz w:val="20"/>
        </w:rPr>
        <w:t>др.</w:t>
      </w:r>
    </w:p>
    <w:p>
      <w:pPr>
        <w:pStyle w:val="BodyText"/>
        <w:spacing w:line="235" w:lineRule="auto" w:before="2"/>
        <w:ind w:right="0"/>
        <w:jc w:val="left"/>
      </w:pPr>
      <w:r>
        <w:rPr>
          <w:color w:val="231F20"/>
        </w:rPr>
        <w:t>Примеры тренинговых упражнений, которые можно использовать при организа- ции данного тренинга приведены в Инструментарии программы.</w:t>
      </w:r>
    </w:p>
    <w:p>
      <w:pPr>
        <w:spacing w:line="235" w:lineRule="auto" w:before="115"/>
        <w:ind w:left="425" w:right="139" w:firstLine="0"/>
        <w:jc w:val="both"/>
        <w:rPr>
          <w:b/>
          <w:sz w:val="20"/>
        </w:rPr>
      </w:pPr>
      <w:r>
        <w:rPr>
          <w:b/>
          <w:color w:val="231F20"/>
          <w:sz w:val="20"/>
        </w:rPr>
        <w:t>Специфические</w:t>
      </w:r>
      <w:r>
        <w:rPr>
          <w:b/>
          <w:color w:val="231F20"/>
          <w:spacing w:val="-8"/>
          <w:sz w:val="20"/>
        </w:rPr>
        <w:t> </w:t>
      </w:r>
      <w:r>
        <w:rPr>
          <w:b/>
          <w:color w:val="231F20"/>
          <w:sz w:val="20"/>
        </w:rPr>
        <w:t>особенности</w:t>
      </w:r>
      <w:r>
        <w:rPr>
          <w:b/>
          <w:color w:val="231F20"/>
          <w:spacing w:val="-8"/>
          <w:sz w:val="20"/>
        </w:rPr>
        <w:t> </w:t>
      </w:r>
      <w:r>
        <w:rPr>
          <w:b/>
          <w:color w:val="231F20"/>
          <w:sz w:val="20"/>
        </w:rPr>
        <w:t>организации</w:t>
      </w:r>
      <w:r>
        <w:rPr>
          <w:b/>
          <w:color w:val="231F20"/>
          <w:spacing w:val="-8"/>
          <w:sz w:val="20"/>
        </w:rPr>
        <w:t> </w:t>
      </w:r>
      <w:r>
        <w:rPr>
          <w:b/>
          <w:color w:val="231F20"/>
          <w:sz w:val="20"/>
        </w:rPr>
        <w:t>обучения</w:t>
      </w:r>
      <w:r>
        <w:rPr>
          <w:b/>
          <w:color w:val="231F20"/>
          <w:spacing w:val="-8"/>
          <w:sz w:val="20"/>
        </w:rPr>
        <w:t> </w:t>
      </w:r>
      <w:r>
        <w:rPr>
          <w:b/>
          <w:color w:val="231F20"/>
          <w:sz w:val="20"/>
        </w:rPr>
        <w:t>в</w:t>
      </w:r>
      <w:r>
        <w:rPr>
          <w:b/>
          <w:color w:val="231F20"/>
          <w:spacing w:val="-8"/>
          <w:sz w:val="20"/>
        </w:rPr>
        <w:t> </w:t>
      </w:r>
      <w:r>
        <w:rPr>
          <w:b/>
          <w:color w:val="231F20"/>
          <w:sz w:val="20"/>
        </w:rPr>
        <w:t>сотрудничестве</w:t>
      </w:r>
      <w:r>
        <w:rPr>
          <w:b/>
          <w:color w:val="231F20"/>
          <w:spacing w:val="-8"/>
          <w:sz w:val="20"/>
        </w:rPr>
        <w:t> </w:t>
      </w:r>
      <w:r>
        <w:rPr>
          <w:b/>
          <w:color w:val="231F20"/>
          <w:sz w:val="20"/>
        </w:rPr>
        <w:t>в</w:t>
      </w:r>
      <w:r>
        <w:rPr>
          <w:b/>
          <w:color w:val="231F20"/>
          <w:spacing w:val="-8"/>
          <w:sz w:val="20"/>
        </w:rPr>
        <w:t> </w:t>
      </w:r>
      <w:r>
        <w:rPr>
          <w:b/>
          <w:color w:val="231F20"/>
          <w:sz w:val="20"/>
        </w:rPr>
        <w:t>усло- виях онлайн-обучения</w:t>
      </w:r>
    </w:p>
    <w:p>
      <w:pPr>
        <w:pStyle w:val="BodyText"/>
        <w:spacing w:line="235" w:lineRule="auto" w:before="1"/>
      </w:pPr>
      <w:r>
        <w:rPr>
          <w:color w:val="231F20"/>
        </w:rPr>
        <w:t>Теория</w:t>
      </w:r>
      <w:r>
        <w:rPr>
          <w:color w:val="231F20"/>
          <w:spacing w:val="40"/>
        </w:rPr>
        <w:t> </w:t>
      </w:r>
      <w:r>
        <w:rPr>
          <w:color w:val="231F20"/>
        </w:rPr>
        <w:t>совместного</w:t>
      </w:r>
      <w:r>
        <w:rPr>
          <w:color w:val="231F20"/>
          <w:spacing w:val="40"/>
        </w:rPr>
        <w:t> </w:t>
      </w:r>
      <w:r>
        <w:rPr>
          <w:color w:val="231F20"/>
        </w:rPr>
        <w:t>онлайн-обучения</w:t>
      </w:r>
      <w:r>
        <w:rPr>
          <w:color w:val="231F20"/>
          <w:spacing w:val="40"/>
        </w:rPr>
        <w:t> </w:t>
      </w:r>
      <w:r>
        <w:rPr>
          <w:color w:val="231F20"/>
        </w:rPr>
        <w:t>(Online</w:t>
      </w:r>
      <w:r>
        <w:rPr>
          <w:color w:val="231F20"/>
          <w:spacing w:val="40"/>
        </w:rPr>
        <w:t> </w:t>
      </w:r>
      <w:r>
        <w:rPr>
          <w:color w:val="231F20"/>
        </w:rPr>
        <w:t>Collaborative</w:t>
      </w:r>
      <w:r>
        <w:rPr>
          <w:color w:val="231F20"/>
          <w:spacing w:val="40"/>
        </w:rPr>
        <w:t> </w:t>
      </w:r>
      <w:r>
        <w:rPr>
          <w:color w:val="231F20"/>
        </w:rPr>
        <w:t>Learning)</w:t>
      </w:r>
      <w:r>
        <w:rPr>
          <w:color w:val="231F20"/>
          <w:spacing w:val="40"/>
        </w:rPr>
        <w:t> </w:t>
      </w:r>
      <w:r>
        <w:rPr>
          <w:color w:val="231F20"/>
        </w:rPr>
        <w:t>получи- ла развитие в связи с распространением онлайн-обучения в системе образования (Harasim,</w:t>
      </w:r>
      <w:r>
        <w:rPr>
          <w:color w:val="231F20"/>
          <w:spacing w:val="-2"/>
        </w:rPr>
        <w:t> </w:t>
      </w:r>
      <w:r>
        <w:rPr>
          <w:color w:val="231F20"/>
        </w:rPr>
        <w:t>2012).</w:t>
      </w:r>
      <w:r>
        <w:rPr>
          <w:color w:val="231F20"/>
          <w:spacing w:val="-2"/>
        </w:rPr>
        <w:t> </w:t>
      </w:r>
      <w:r>
        <w:rPr>
          <w:color w:val="231F20"/>
        </w:rPr>
        <w:t>Возможности</w:t>
      </w:r>
      <w:r>
        <w:rPr>
          <w:color w:val="231F20"/>
          <w:spacing w:val="-2"/>
        </w:rPr>
        <w:t> </w:t>
      </w:r>
      <w:r>
        <w:rPr>
          <w:color w:val="231F20"/>
        </w:rPr>
        <w:t>обучения</w:t>
      </w:r>
      <w:r>
        <w:rPr>
          <w:color w:val="231F20"/>
          <w:spacing w:val="-2"/>
        </w:rPr>
        <w:t> </w:t>
      </w:r>
      <w:r>
        <w:rPr>
          <w:color w:val="231F20"/>
        </w:rPr>
        <w:t>в</w:t>
      </w:r>
      <w:r>
        <w:rPr>
          <w:color w:val="231F20"/>
          <w:spacing w:val="-2"/>
        </w:rPr>
        <w:t> </w:t>
      </w:r>
      <w:r>
        <w:rPr>
          <w:color w:val="231F20"/>
        </w:rPr>
        <w:t>сотрудничестве</w:t>
      </w:r>
      <w:r>
        <w:rPr>
          <w:color w:val="231F20"/>
          <w:spacing w:val="-2"/>
        </w:rPr>
        <w:t> </w:t>
      </w:r>
      <w:r>
        <w:rPr>
          <w:color w:val="231F20"/>
        </w:rPr>
        <w:t>в</w:t>
      </w:r>
      <w:r>
        <w:rPr>
          <w:color w:val="231F20"/>
          <w:spacing w:val="-2"/>
        </w:rPr>
        <w:t> </w:t>
      </w:r>
      <w:r>
        <w:rPr>
          <w:color w:val="231F20"/>
        </w:rPr>
        <w:t>онлайн-среде</w:t>
      </w:r>
      <w:r>
        <w:rPr>
          <w:color w:val="231F20"/>
          <w:spacing w:val="-2"/>
        </w:rPr>
        <w:t> </w:t>
      </w:r>
      <w:r>
        <w:rPr>
          <w:color w:val="231F20"/>
        </w:rPr>
        <w:t>постоянно расширяются, поэтому была разработана теория обучения, адаптированная к навы- кам, необходимым в информационную эпоху (OCL).</w:t>
      </w:r>
    </w:p>
    <w:p>
      <w:pPr>
        <w:pStyle w:val="BodyText"/>
        <w:spacing w:line="235" w:lineRule="auto" w:before="3"/>
      </w:pPr>
      <w:r>
        <w:rPr>
          <w:color w:val="231F20"/>
        </w:rPr>
        <w:t>Организация совместного обучения в режиме онлайн не является обыденной задачей, и, возможно, такое обучение подходит не всем учащимся, потому что оно </w:t>
      </w:r>
      <w:r>
        <w:rPr>
          <w:color w:val="231F20"/>
          <w:spacing w:val="-2"/>
        </w:rPr>
        <w:t>предполагает взаимодействие, доступность и коммуникацию, которых требует интер- </w:t>
      </w:r>
      <w:r>
        <w:rPr>
          <w:color w:val="231F20"/>
        </w:rPr>
        <w:t>нет. Поэтому в современную эпоху важно учителей обучить организации совмест- ной</w:t>
      </w:r>
      <w:r>
        <w:rPr>
          <w:color w:val="231F20"/>
          <w:spacing w:val="14"/>
        </w:rPr>
        <w:t> </w:t>
      </w:r>
      <w:r>
        <w:rPr>
          <w:color w:val="231F20"/>
        </w:rPr>
        <w:t>работы</w:t>
      </w:r>
      <w:r>
        <w:rPr>
          <w:color w:val="231F20"/>
          <w:spacing w:val="14"/>
        </w:rPr>
        <w:t> </w:t>
      </w:r>
      <w:r>
        <w:rPr>
          <w:color w:val="231F20"/>
        </w:rPr>
        <w:t>и</w:t>
      </w:r>
      <w:r>
        <w:rPr>
          <w:color w:val="231F20"/>
          <w:spacing w:val="14"/>
        </w:rPr>
        <w:t> </w:t>
      </w:r>
      <w:r>
        <w:rPr>
          <w:color w:val="231F20"/>
        </w:rPr>
        <w:t>способам</w:t>
      </w:r>
      <w:r>
        <w:rPr>
          <w:color w:val="231F20"/>
          <w:spacing w:val="14"/>
        </w:rPr>
        <w:t> </w:t>
      </w:r>
      <w:r>
        <w:rPr>
          <w:color w:val="231F20"/>
        </w:rPr>
        <w:t>составления</w:t>
      </w:r>
      <w:r>
        <w:rPr>
          <w:color w:val="231F20"/>
          <w:spacing w:val="14"/>
        </w:rPr>
        <w:t> </w:t>
      </w:r>
      <w:r>
        <w:rPr>
          <w:color w:val="231F20"/>
        </w:rPr>
        <w:t>учебных</w:t>
      </w:r>
      <w:r>
        <w:rPr>
          <w:color w:val="231F20"/>
          <w:spacing w:val="14"/>
        </w:rPr>
        <w:t> </w:t>
      </w:r>
      <w:r>
        <w:rPr>
          <w:color w:val="231F20"/>
        </w:rPr>
        <w:t>программ,</w:t>
      </w:r>
      <w:r>
        <w:rPr>
          <w:color w:val="231F20"/>
          <w:spacing w:val="14"/>
        </w:rPr>
        <w:t> </w:t>
      </w:r>
      <w:r>
        <w:rPr>
          <w:color w:val="231F20"/>
        </w:rPr>
        <w:t>включающим</w:t>
      </w:r>
      <w:r>
        <w:rPr>
          <w:color w:val="231F20"/>
          <w:spacing w:val="14"/>
        </w:rPr>
        <w:t> </w:t>
      </w:r>
      <w:r>
        <w:rPr>
          <w:color w:val="231F20"/>
        </w:rPr>
        <w:t>развитие</w:t>
      </w:r>
      <w:r>
        <w:rPr>
          <w:color w:val="231F20"/>
          <w:spacing w:val="14"/>
        </w:rPr>
        <w:t> </w:t>
      </w:r>
      <w:r>
        <w:rPr>
          <w:color w:val="231F20"/>
          <w:spacing w:val="-5"/>
        </w:rPr>
        <w:t>со-</w:t>
      </w:r>
    </w:p>
    <w:p>
      <w:pPr>
        <w:pStyle w:val="BodyText"/>
        <w:spacing w:after="0" w:line="235" w:lineRule="auto"/>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7" w:lineRule="auto" w:before="114"/>
        <w:ind w:firstLine="0"/>
      </w:pPr>
      <w:r>
        <w:rPr>
          <w:color w:val="231F20"/>
          <w:spacing w:val="-2"/>
        </w:rPr>
        <w:t>вместного</w:t>
      </w:r>
      <w:r>
        <w:rPr>
          <w:color w:val="231F20"/>
          <w:spacing w:val="-3"/>
        </w:rPr>
        <w:t> </w:t>
      </w:r>
      <w:r>
        <w:rPr>
          <w:color w:val="231F20"/>
          <w:spacing w:val="-2"/>
        </w:rPr>
        <w:t>обучения,</w:t>
      </w:r>
      <w:r>
        <w:rPr>
          <w:color w:val="231F20"/>
          <w:spacing w:val="-3"/>
        </w:rPr>
        <w:t> </w:t>
      </w:r>
      <w:r>
        <w:rPr>
          <w:color w:val="231F20"/>
          <w:spacing w:val="-2"/>
        </w:rPr>
        <w:t>которое</w:t>
      </w:r>
      <w:r>
        <w:rPr>
          <w:color w:val="231F20"/>
          <w:spacing w:val="-3"/>
        </w:rPr>
        <w:t> </w:t>
      </w:r>
      <w:r>
        <w:rPr>
          <w:color w:val="231F20"/>
          <w:spacing w:val="-2"/>
        </w:rPr>
        <w:t>готовит</w:t>
      </w:r>
      <w:r>
        <w:rPr>
          <w:color w:val="231F20"/>
          <w:spacing w:val="-3"/>
        </w:rPr>
        <w:t> </w:t>
      </w:r>
      <w:r>
        <w:rPr>
          <w:color w:val="231F20"/>
          <w:spacing w:val="-2"/>
        </w:rPr>
        <w:t>учащихся</w:t>
      </w:r>
      <w:r>
        <w:rPr>
          <w:color w:val="231F20"/>
          <w:spacing w:val="-3"/>
        </w:rPr>
        <w:t> </w:t>
      </w:r>
      <w:r>
        <w:rPr>
          <w:color w:val="231F20"/>
          <w:spacing w:val="-2"/>
        </w:rPr>
        <w:t>к</w:t>
      </w:r>
      <w:r>
        <w:rPr>
          <w:color w:val="231F20"/>
          <w:spacing w:val="-3"/>
        </w:rPr>
        <w:t> </w:t>
      </w:r>
      <w:r>
        <w:rPr>
          <w:color w:val="231F20"/>
          <w:spacing w:val="-2"/>
        </w:rPr>
        <w:t>реальности</w:t>
      </w:r>
      <w:r>
        <w:rPr>
          <w:color w:val="231F20"/>
          <w:spacing w:val="-3"/>
        </w:rPr>
        <w:t> </w:t>
      </w:r>
      <w:r>
        <w:rPr>
          <w:color w:val="231F20"/>
          <w:spacing w:val="-2"/>
        </w:rPr>
        <w:t>21-го</w:t>
      </w:r>
      <w:r>
        <w:rPr>
          <w:color w:val="231F20"/>
          <w:spacing w:val="-3"/>
        </w:rPr>
        <w:t> </w:t>
      </w:r>
      <w:r>
        <w:rPr>
          <w:color w:val="231F20"/>
          <w:spacing w:val="-2"/>
        </w:rPr>
        <w:t>века</w:t>
      </w:r>
      <w:r>
        <w:rPr>
          <w:color w:val="231F20"/>
          <w:spacing w:val="-3"/>
        </w:rPr>
        <w:t> </w:t>
      </w:r>
      <w:r>
        <w:rPr>
          <w:color w:val="231F20"/>
          <w:spacing w:val="-2"/>
        </w:rPr>
        <w:t>(Kritz,</w:t>
      </w:r>
      <w:r>
        <w:rPr>
          <w:color w:val="231F20"/>
          <w:spacing w:val="-3"/>
        </w:rPr>
        <w:t> </w:t>
      </w:r>
      <w:r>
        <w:rPr>
          <w:color w:val="231F20"/>
          <w:spacing w:val="-2"/>
        </w:rPr>
        <w:t>Bachar, </w:t>
      </w:r>
      <w:r>
        <w:rPr>
          <w:color w:val="231F20"/>
        </w:rPr>
        <w:t>Shonfeld,</w:t>
      </w:r>
      <w:r>
        <w:rPr>
          <w:color w:val="231F20"/>
          <w:spacing w:val="-4"/>
        </w:rPr>
        <w:t> </w:t>
      </w:r>
      <w:r>
        <w:rPr>
          <w:color w:val="231F20"/>
        </w:rPr>
        <w:t>2018).</w:t>
      </w:r>
      <w:r>
        <w:rPr>
          <w:color w:val="231F20"/>
          <w:spacing w:val="-4"/>
        </w:rPr>
        <w:t> </w:t>
      </w:r>
      <w:r>
        <w:rPr>
          <w:color w:val="231F20"/>
        </w:rPr>
        <w:t>Рассматривая</w:t>
      </w:r>
      <w:r>
        <w:rPr>
          <w:color w:val="231F20"/>
          <w:spacing w:val="-4"/>
        </w:rPr>
        <w:t> </w:t>
      </w:r>
      <w:r>
        <w:rPr>
          <w:color w:val="231F20"/>
        </w:rPr>
        <w:t>образование</w:t>
      </w:r>
      <w:r>
        <w:rPr>
          <w:color w:val="231F20"/>
          <w:spacing w:val="-4"/>
        </w:rPr>
        <w:t> </w:t>
      </w:r>
      <w:r>
        <w:rPr>
          <w:color w:val="231F20"/>
        </w:rPr>
        <w:t>в</w:t>
      </w:r>
      <w:r>
        <w:rPr>
          <w:color w:val="231F20"/>
          <w:spacing w:val="-4"/>
        </w:rPr>
        <w:t> </w:t>
      </w:r>
      <w:r>
        <w:rPr>
          <w:color w:val="231F20"/>
        </w:rPr>
        <w:t>21-м</w:t>
      </w:r>
      <w:r>
        <w:rPr>
          <w:color w:val="231F20"/>
          <w:spacing w:val="-4"/>
        </w:rPr>
        <w:t> </w:t>
      </w:r>
      <w:r>
        <w:rPr>
          <w:color w:val="231F20"/>
        </w:rPr>
        <w:t>веке,</w:t>
      </w:r>
      <w:r>
        <w:rPr>
          <w:color w:val="231F20"/>
          <w:spacing w:val="-4"/>
        </w:rPr>
        <w:t> </w:t>
      </w:r>
      <w:r>
        <w:rPr>
          <w:color w:val="231F20"/>
        </w:rPr>
        <w:t>R.</w:t>
      </w:r>
      <w:r>
        <w:rPr>
          <w:color w:val="231F20"/>
          <w:spacing w:val="-4"/>
        </w:rPr>
        <w:t> </w:t>
      </w:r>
      <w:r>
        <w:rPr>
          <w:color w:val="231F20"/>
        </w:rPr>
        <w:t>Calfee</w:t>
      </w:r>
      <w:r>
        <w:rPr>
          <w:color w:val="231F20"/>
          <w:spacing w:val="-4"/>
        </w:rPr>
        <w:t> </w:t>
      </w:r>
      <w:r>
        <w:rPr>
          <w:color w:val="231F20"/>
        </w:rPr>
        <w:t>(2006)</w:t>
      </w:r>
      <w:r>
        <w:rPr>
          <w:color w:val="231F20"/>
          <w:spacing w:val="-4"/>
        </w:rPr>
        <w:t> </w:t>
      </w:r>
      <w:r>
        <w:rPr>
          <w:color w:val="231F20"/>
        </w:rPr>
        <w:t>выделяет</w:t>
      </w:r>
      <w:r>
        <w:rPr>
          <w:color w:val="231F20"/>
          <w:spacing w:val="-4"/>
        </w:rPr>
        <w:t> </w:t>
      </w:r>
      <w:r>
        <w:rPr>
          <w:color w:val="231F20"/>
        </w:rPr>
        <w:t>как одну из глобальных проблем обеспечение наиболее эффективного преподавания и усвоение знаний для всех детей. Вытекающей темой, пишет он, является роль тех- нологий в школьном обучении, учитывая их невероятное влияние в других сферах общественной</w:t>
      </w:r>
      <w:r>
        <w:rPr>
          <w:color w:val="231F20"/>
          <w:spacing w:val="-3"/>
        </w:rPr>
        <w:t> </w:t>
      </w:r>
      <w:r>
        <w:rPr>
          <w:color w:val="231F20"/>
        </w:rPr>
        <w:t>жизни.</w:t>
      </w:r>
      <w:r>
        <w:rPr>
          <w:color w:val="231F20"/>
          <w:spacing w:val="-3"/>
        </w:rPr>
        <w:t> </w:t>
      </w:r>
      <w:r>
        <w:rPr>
          <w:color w:val="231F20"/>
        </w:rPr>
        <w:t>Однако</w:t>
      </w:r>
      <w:r>
        <w:rPr>
          <w:color w:val="231F20"/>
          <w:spacing w:val="-3"/>
        </w:rPr>
        <w:t> </w:t>
      </w:r>
      <w:r>
        <w:rPr>
          <w:color w:val="231F20"/>
        </w:rPr>
        <w:t>вопрос</w:t>
      </w:r>
      <w:r>
        <w:rPr>
          <w:color w:val="231F20"/>
          <w:spacing w:val="-3"/>
        </w:rPr>
        <w:t> </w:t>
      </w:r>
      <w:r>
        <w:rPr>
          <w:color w:val="231F20"/>
        </w:rPr>
        <w:t>о</w:t>
      </w:r>
      <w:r>
        <w:rPr>
          <w:color w:val="231F20"/>
          <w:spacing w:val="-3"/>
        </w:rPr>
        <w:t> </w:t>
      </w:r>
      <w:r>
        <w:rPr>
          <w:color w:val="231F20"/>
        </w:rPr>
        <w:t>«встраивании»</w:t>
      </w:r>
      <w:r>
        <w:rPr>
          <w:color w:val="231F20"/>
          <w:spacing w:val="-3"/>
        </w:rPr>
        <w:t> </w:t>
      </w:r>
      <w:r>
        <w:rPr>
          <w:color w:val="231F20"/>
        </w:rPr>
        <w:t>онлайн-технологий</w:t>
      </w:r>
      <w:r>
        <w:rPr>
          <w:color w:val="231F20"/>
          <w:spacing w:val="-3"/>
        </w:rPr>
        <w:t> </w:t>
      </w:r>
      <w:r>
        <w:rPr>
          <w:color w:val="231F20"/>
        </w:rPr>
        <w:t>в</w:t>
      </w:r>
      <w:r>
        <w:rPr>
          <w:color w:val="231F20"/>
          <w:spacing w:val="-3"/>
        </w:rPr>
        <w:t> </w:t>
      </w:r>
      <w:r>
        <w:rPr>
          <w:color w:val="231F20"/>
        </w:rPr>
        <w:t>систему современного</w:t>
      </w:r>
      <w:r>
        <w:rPr>
          <w:color w:val="231F20"/>
          <w:spacing w:val="-7"/>
        </w:rPr>
        <w:t> </w:t>
      </w:r>
      <w:r>
        <w:rPr>
          <w:color w:val="231F20"/>
        </w:rPr>
        <w:t>обучения</w:t>
      </w:r>
      <w:r>
        <w:rPr>
          <w:color w:val="231F20"/>
          <w:spacing w:val="-7"/>
        </w:rPr>
        <w:t> </w:t>
      </w:r>
      <w:r>
        <w:rPr>
          <w:color w:val="231F20"/>
        </w:rPr>
        <w:t>требует</w:t>
      </w:r>
      <w:r>
        <w:rPr>
          <w:color w:val="231F20"/>
          <w:spacing w:val="-7"/>
        </w:rPr>
        <w:t> </w:t>
      </w:r>
      <w:r>
        <w:rPr>
          <w:color w:val="231F20"/>
        </w:rPr>
        <w:t>длительного</w:t>
      </w:r>
      <w:r>
        <w:rPr>
          <w:color w:val="231F20"/>
          <w:spacing w:val="-7"/>
        </w:rPr>
        <w:t> </w:t>
      </w:r>
      <w:r>
        <w:rPr>
          <w:color w:val="231F20"/>
        </w:rPr>
        <w:t>изучения</w:t>
      </w:r>
      <w:r>
        <w:rPr>
          <w:color w:val="231F20"/>
          <w:spacing w:val="-7"/>
        </w:rPr>
        <w:t> </w:t>
      </w:r>
      <w:r>
        <w:rPr>
          <w:color w:val="231F20"/>
        </w:rPr>
        <w:t>и</w:t>
      </w:r>
      <w:r>
        <w:rPr>
          <w:color w:val="231F20"/>
          <w:spacing w:val="-7"/>
        </w:rPr>
        <w:t> </w:t>
      </w:r>
      <w:r>
        <w:rPr>
          <w:color w:val="231F20"/>
        </w:rPr>
        <w:t>увязки</w:t>
      </w:r>
      <w:r>
        <w:rPr>
          <w:color w:val="231F20"/>
          <w:spacing w:val="-7"/>
        </w:rPr>
        <w:t> </w:t>
      </w:r>
      <w:r>
        <w:rPr>
          <w:color w:val="231F20"/>
        </w:rPr>
        <w:t>новых</w:t>
      </w:r>
      <w:r>
        <w:rPr>
          <w:color w:val="231F20"/>
          <w:spacing w:val="-7"/>
        </w:rPr>
        <w:t> </w:t>
      </w:r>
      <w:r>
        <w:rPr>
          <w:color w:val="231F20"/>
        </w:rPr>
        <w:t>теорий</w:t>
      </w:r>
      <w:r>
        <w:rPr>
          <w:color w:val="231F20"/>
          <w:spacing w:val="-7"/>
        </w:rPr>
        <w:t> </w:t>
      </w:r>
      <w:r>
        <w:rPr>
          <w:color w:val="231F20"/>
        </w:rPr>
        <w:t>обуче- ния с практикой, реальными контекстами и технологиями.</w:t>
      </w:r>
    </w:p>
    <w:p>
      <w:pPr>
        <w:pStyle w:val="BodyText"/>
        <w:spacing w:line="237" w:lineRule="auto"/>
      </w:pPr>
      <w:r>
        <w:rPr>
          <w:color w:val="231F20"/>
        </w:rPr>
        <w:t>На онлайн-курсах совместное обучение имеет большое значение, поскольку оно устраняет чувство одиночества у обучающегося и создает взаимодействие между учащимися и чувство социального присутствия (Resta, Shonfeld, 2013). Социальное присутствие, в свою очередь, определяют два фактора – сплоченность группы и ос- ведомленность</w:t>
      </w:r>
      <w:r>
        <w:rPr>
          <w:color w:val="231F20"/>
          <w:spacing w:val="-12"/>
        </w:rPr>
        <w:t> </w:t>
      </w:r>
      <w:r>
        <w:rPr>
          <w:color w:val="231F20"/>
        </w:rPr>
        <w:t>других.</w:t>
      </w:r>
      <w:r>
        <w:rPr>
          <w:color w:val="231F20"/>
          <w:spacing w:val="-12"/>
        </w:rPr>
        <w:t> </w:t>
      </w:r>
      <w:r>
        <w:rPr>
          <w:color w:val="231F20"/>
        </w:rPr>
        <w:t>Они</w:t>
      </w:r>
      <w:r>
        <w:rPr>
          <w:color w:val="231F20"/>
          <w:spacing w:val="-12"/>
        </w:rPr>
        <w:t> </w:t>
      </w:r>
      <w:r>
        <w:rPr>
          <w:color w:val="231F20"/>
        </w:rPr>
        <w:t>способствуют</w:t>
      </w:r>
      <w:r>
        <w:rPr>
          <w:color w:val="231F20"/>
          <w:spacing w:val="-12"/>
        </w:rPr>
        <w:t> </w:t>
      </w:r>
      <w:r>
        <w:rPr>
          <w:color w:val="231F20"/>
        </w:rPr>
        <w:t>улучшению</w:t>
      </w:r>
      <w:r>
        <w:rPr>
          <w:color w:val="231F20"/>
          <w:spacing w:val="-12"/>
        </w:rPr>
        <w:t> </w:t>
      </w:r>
      <w:r>
        <w:rPr>
          <w:color w:val="231F20"/>
        </w:rPr>
        <w:t>обучения</w:t>
      </w:r>
      <w:r>
        <w:rPr>
          <w:color w:val="231F20"/>
          <w:spacing w:val="-12"/>
        </w:rPr>
        <w:t> </w:t>
      </w:r>
      <w:r>
        <w:rPr>
          <w:color w:val="231F20"/>
        </w:rPr>
        <w:t>и</w:t>
      </w:r>
      <w:r>
        <w:rPr>
          <w:color w:val="231F20"/>
          <w:spacing w:val="-12"/>
        </w:rPr>
        <w:t> </w:t>
      </w:r>
      <w:r>
        <w:rPr>
          <w:color w:val="231F20"/>
        </w:rPr>
        <w:t>способности</w:t>
      </w:r>
      <w:r>
        <w:rPr>
          <w:color w:val="231F20"/>
          <w:spacing w:val="-12"/>
        </w:rPr>
        <w:t> </w:t>
      </w:r>
      <w:r>
        <w:rPr>
          <w:color w:val="231F20"/>
        </w:rPr>
        <w:t>инте- грировать различные методы обучения.</w:t>
      </w:r>
    </w:p>
    <w:p>
      <w:pPr>
        <w:pStyle w:val="BodyText"/>
      </w:pPr>
      <w:r>
        <w:rPr>
          <w:color w:val="231F20"/>
        </w:rPr>
        <w:t>Одним</w:t>
      </w:r>
      <w:r>
        <w:rPr>
          <w:color w:val="231F20"/>
          <w:spacing w:val="-13"/>
        </w:rPr>
        <w:t> </w:t>
      </w:r>
      <w:r>
        <w:rPr>
          <w:color w:val="231F20"/>
        </w:rPr>
        <w:t>из</w:t>
      </w:r>
      <w:r>
        <w:rPr>
          <w:color w:val="231F20"/>
          <w:spacing w:val="-12"/>
        </w:rPr>
        <w:t> </w:t>
      </w:r>
      <w:r>
        <w:rPr>
          <w:color w:val="231F20"/>
        </w:rPr>
        <w:t>примеров</w:t>
      </w:r>
      <w:r>
        <w:rPr>
          <w:color w:val="231F20"/>
          <w:spacing w:val="-13"/>
        </w:rPr>
        <w:t> </w:t>
      </w:r>
      <w:r>
        <w:rPr>
          <w:color w:val="231F20"/>
        </w:rPr>
        <w:t>длительного</w:t>
      </w:r>
      <w:r>
        <w:rPr>
          <w:color w:val="231F20"/>
          <w:spacing w:val="-12"/>
        </w:rPr>
        <w:t> </w:t>
      </w:r>
      <w:r>
        <w:rPr>
          <w:color w:val="231F20"/>
        </w:rPr>
        <w:t>и</w:t>
      </w:r>
      <w:r>
        <w:rPr>
          <w:color w:val="231F20"/>
          <w:spacing w:val="-13"/>
        </w:rPr>
        <w:t> </w:t>
      </w:r>
      <w:r>
        <w:rPr>
          <w:color w:val="231F20"/>
        </w:rPr>
        <w:t>довольно</w:t>
      </w:r>
      <w:r>
        <w:rPr>
          <w:color w:val="231F20"/>
          <w:spacing w:val="-12"/>
        </w:rPr>
        <w:t> </w:t>
      </w:r>
      <w:r>
        <w:rPr>
          <w:color w:val="231F20"/>
        </w:rPr>
        <w:t>масштабного</w:t>
      </w:r>
      <w:r>
        <w:rPr>
          <w:color w:val="231F20"/>
          <w:spacing w:val="-13"/>
        </w:rPr>
        <w:t> </w:t>
      </w:r>
      <w:r>
        <w:rPr>
          <w:color w:val="231F20"/>
        </w:rPr>
        <w:t>применения</w:t>
      </w:r>
      <w:r>
        <w:rPr>
          <w:color w:val="231F20"/>
          <w:spacing w:val="-12"/>
        </w:rPr>
        <w:t> </w:t>
      </w:r>
      <w:r>
        <w:rPr>
          <w:color w:val="231F20"/>
        </w:rPr>
        <w:t>онлайн-об- учения в сотрудничестве является программа Dissolving Boundaries («Стирание гра- ниц»), реализуемая в течение более 20 лет в Северной Ирландии и Республике Ир- ландии. Программа объединила более 400 школ в Северной Ирландии и Республике Ирландии. Одной из целей программы было дать учащимся возможность убедить- ся, что в дополнение к их национальной идентичности все они разделяют общую европейскую идентичность. В центре внимания проекта были учащиеся в возрасте 11–18</w:t>
      </w:r>
      <w:r>
        <w:rPr>
          <w:color w:val="231F20"/>
          <w:spacing w:val="-5"/>
        </w:rPr>
        <w:t> </w:t>
      </w:r>
      <w:r>
        <w:rPr>
          <w:color w:val="231F20"/>
        </w:rPr>
        <w:t>лет.</w:t>
      </w:r>
      <w:r>
        <w:rPr>
          <w:color w:val="231F20"/>
          <w:spacing w:val="-4"/>
        </w:rPr>
        <w:t> </w:t>
      </w:r>
      <w:r>
        <w:rPr>
          <w:color w:val="231F20"/>
        </w:rPr>
        <w:t>В</w:t>
      </w:r>
      <w:r>
        <w:rPr>
          <w:color w:val="231F20"/>
          <w:spacing w:val="-4"/>
        </w:rPr>
        <w:t> </w:t>
      </w:r>
      <w:r>
        <w:rPr>
          <w:color w:val="231F20"/>
        </w:rPr>
        <w:t>период</w:t>
      </w:r>
      <w:r>
        <w:rPr>
          <w:color w:val="231F20"/>
          <w:spacing w:val="-4"/>
        </w:rPr>
        <w:t> </w:t>
      </w:r>
      <w:r>
        <w:rPr>
          <w:color w:val="231F20"/>
        </w:rPr>
        <w:t>с</w:t>
      </w:r>
      <w:r>
        <w:rPr>
          <w:color w:val="231F20"/>
          <w:spacing w:val="-4"/>
        </w:rPr>
        <w:t> </w:t>
      </w:r>
      <w:r>
        <w:rPr>
          <w:color w:val="231F20"/>
        </w:rPr>
        <w:t>1999</w:t>
      </w:r>
      <w:r>
        <w:rPr>
          <w:color w:val="231F20"/>
          <w:spacing w:val="-4"/>
        </w:rPr>
        <w:t> </w:t>
      </w:r>
      <w:r>
        <w:rPr>
          <w:color w:val="231F20"/>
        </w:rPr>
        <w:t>по</w:t>
      </w:r>
      <w:r>
        <w:rPr>
          <w:color w:val="231F20"/>
          <w:spacing w:val="-4"/>
        </w:rPr>
        <w:t> </w:t>
      </w:r>
      <w:r>
        <w:rPr>
          <w:color w:val="231F20"/>
        </w:rPr>
        <w:t>2014</w:t>
      </w:r>
      <w:r>
        <w:rPr>
          <w:color w:val="231F20"/>
          <w:spacing w:val="-4"/>
        </w:rPr>
        <w:t> </w:t>
      </w:r>
      <w:r>
        <w:rPr>
          <w:color w:val="231F20"/>
        </w:rPr>
        <w:t>г.</w:t>
      </w:r>
      <w:r>
        <w:rPr>
          <w:color w:val="231F20"/>
          <w:spacing w:val="-4"/>
        </w:rPr>
        <w:t> </w:t>
      </w:r>
      <w:r>
        <w:rPr>
          <w:color w:val="231F20"/>
        </w:rPr>
        <w:t>в</w:t>
      </w:r>
      <w:r>
        <w:rPr>
          <w:color w:val="231F20"/>
          <w:spacing w:val="-4"/>
        </w:rPr>
        <w:t> </w:t>
      </w:r>
      <w:r>
        <w:rPr>
          <w:color w:val="231F20"/>
        </w:rPr>
        <w:t>программе</w:t>
      </w:r>
      <w:r>
        <w:rPr>
          <w:color w:val="231F20"/>
          <w:spacing w:val="-4"/>
        </w:rPr>
        <w:t> </w:t>
      </w:r>
      <w:r>
        <w:rPr>
          <w:color w:val="231F20"/>
        </w:rPr>
        <w:t>DB</w:t>
      </w:r>
      <w:r>
        <w:rPr>
          <w:color w:val="231F20"/>
          <w:spacing w:val="-4"/>
        </w:rPr>
        <w:t> </w:t>
      </w:r>
      <w:r>
        <w:rPr>
          <w:color w:val="231F20"/>
        </w:rPr>
        <w:t>(Dissolving</w:t>
      </w:r>
      <w:r>
        <w:rPr>
          <w:color w:val="231F20"/>
          <w:spacing w:val="-4"/>
        </w:rPr>
        <w:t> </w:t>
      </w:r>
      <w:r>
        <w:rPr>
          <w:color w:val="231F20"/>
        </w:rPr>
        <w:t>Boundaries)</w:t>
      </w:r>
      <w:r>
        <w:rPr>
          <w:color w:val="231F20"/>
          <w:spacing w:val="-4"/>
        </w:rPr>
        <w:t> </w:t>
      </w:r>
      <w:r>
        <w:rPr>
          <w:color w:val="231F20"/>
        </w:rPr>
        <w:t>приня- ли участие 50 000 учащихся в 570 школах, которым помогали 2600 учителей. Связи между</w:t>
      </w:r>
      <w:r>
        <w:rPr>
          <w:color w:val="231F20"/>
          <w:spacing w:val="-4"/>
        </w:rPr>
        <w:t> </w:t>
      </w:r>
      <w:r>
        <w:rPr>
          <w:color w:val="231F20"/>
        </w:rPr>
        <w:t>школами</w:t>
      </w:r>
      <w:r>
        <w:rPr>
          <w:color w:val="231F20"/>
          <w:spacing w:val="-4"/>
        </w:rPr>
        <w:t> </w:t>
      </w:r>
      <w:r>
        <w:rPr>
          <w:color w:val="231F20"/>
        </w:rPr>
        <w:t>были</w:t>
      </w:r>
      <w:r>
        <w:rPr>
          <w:color w:val="231F20"/>
          <w:spacing w:val="-4"/>
        </w:rPr>
        <w:t> </w:t>
      </w:r>
      <w:r>
        <w:rPr>
          <w:color w:val="231F20"/>
        </w:rPr>
        <w:t>налажены</w:t>
      </w:r>
      <w:r>
        <w:rPr>
          <w:color w:val="231F20"/>
          <w:spacing w:val="-4"/>
        </w:rPr>
        <w:t> </w:t>
      </w:r>
      <w:r>
        <w:rPr>
          <w:color w:val="231F20"/>
        </w:rPr>
        <w:t>на</w:t>
      </w:r>
      <w:r>
        <w:rPr>
          <w:color w:val="231F20"/>
          <w:spacing w:val="-3"/>
        </w:rPr>
        <w:t> </w:t>
      </w:r>
      <w:r>
        <w:rPr>
          <w:color w:val="231F20"/>
        </w:rPr>
        <w:t>базе</w:t>
      </w:r>
      <w:r>
        <w:rPr>
          <w:color w:val="231F20"/>
          <w:spacing w:val="-4"/>
        </w:rPr>
        <w:t> </w:t>
      </w:r>
      <w:r>
        <w:rPr>
          <w:color w:val="231F20"/>
        </w:rPr>
        <w:t>одной</w:t>
      </w:r>
      <w:r>
        <w:rPr>
          <w:color w:val="231F20"/>
          <w:spacing w:val="-4"/>
        </w:rPr>
        <w:t> </w:t>
      </w:r>
      <w:r>
        <w:rPr>
          <w:color w:val="231F20"/>
        </w:rPr>
        <w:t>школы</w:t>
      </w:r>
      <w:r>
        <w:rPr>
          <w:color w:val="231F20"/>
          <w:spacing w:val="-4"/>
        </w:rPr>
        <w:t> </w:t>
      </w:r>
      <w:r>
        <w:rPr>
          <w:color w:val="231F20"/>
        </w:rPr>
        <w:t>в</w:t>
      </w:r>
      <w:r>
        <w:rPr>
          <w:color w:val="231F20"/>
          <w:spacing w:val="-4"/>
        </w:rPr>
        <w:t> </w:t>
      </w:r>
      <w:r>
        <w:rPr>
          <w:color w:val="231F20"/>
        </w:rPr>
        <w:t>Северной</w:t>
      </w:r>
      <w:r>
        <w:rPr>
          <w:color w:val="231F20"/>
          <w:spacing w:val="-4"/>
        </w:rPr>
        <w:t> </w:t>
      </w:r>
      <w:r>
        <w:rPr>
          <w:color w:val="231F20"/>
        </w:rPr>
        <w:t>Ирландии</w:t>
      </w:r>
      <w:r>
        <w:rPr>
          <w:color w:val="231F20"/>
          <w:spacing w:val="-4"/>
        </w:rPr>
        <w:t> </w:t>
      </w:r>
      <w:r>
        <w:rPr>
          <w:color w:val="231F20"/>
        </w:rPr>
        <w:t>и</w:t>
      </w:r>
      <w:r>
        <w:rPr>
          <w:color w:val="231F20"/>
          <w:spacing w:val="-4"/>
        </w:rPr>
        <w:t> </w:t>
      </w:r>
      <w:r>
        <w:rPr>
          <w:color w:val="231F20"/>
        </w:rPr>
        <w:t>одной школы</w:t>
      </w:r>
      <w:r>
        <w:rPr>
          <w:color w:val="231F20"/>
          <w:spacing w:val="-7"/>
        </w:rPr>
        <w:t> </w:t>
      </w:r>
      <w:r>
        <w:rPr>
          <w:color w:val="231F20"/>
        </w:rPr>
        <w:t>в</w:t>
      </w:r>
      <w:r>
        <w:rPr>
          <w:color w:val="231F20"/>
          <w:spacing w:val="-7"/>
        </w:rPr>
        <w:t> </w:t>
      </w:r>
      <w:r>
        <w:rPr>
          <w:color w:val="231F20"/>
        </w:rPr>
        <w:t>Республике</w:t>
      </w:r>
      <w:r>
        <w:rPr>
          <w:color w:val="231F20"/>
          <w:spacing w:val="-7"/>
        </w:rPr>
        <w:t> </w:t>
      </w:r>
      <w:r>
        <w:rPr>
          <w:color w:val="231F20"/>
        </w:rPr>
        <w:t>Ирландии.</w:t>
      </w:r>
      <w:r>
        <w:rPr>
          <w:color w:val="231F20"/>
          <w:spacing w:val="-7"/>
        </w:rPr>
        <w:t> </w:t>
      </w:r>
      <w:r>
        <w:rPr>
          <w:color w:val="231F20"/>
        </w:rPr>
        <w:t>С</w:t>
      </w:r>
      <w:r>
        <w:rPr>
          <w:color w:val="231F20"/>
          <w:spacing w:val="-7"/>
        </w:rPr>
        <w:t> </w:t>
      </w:r>
      <w:r>
        <w:rPr>
          <w:color w:val="231F20"/>
        </w:rPr>
        <w:t>точки</w:t>
      </w:r>
      <w:r>
        <w:rPr>
          <w:color w:val="231F20"/>
          <w:spacing w:val="-7"/>
        </w:rPr>
        <w:t> </w:t>
      </w:r>
      <w:r>
        <w:rPr>
          <w:color w:val="231F20"/>
        </w:rPr>
        <w:t>зрения</w:t>
      </w:r>
      <w:r>
        <w:rPr>
          <w:color w:val="231F20"/>
          <w:spacing w:val="-7"/>
        </w:rPr>
        <w:t> </w:t>
      </w:r>
      <w:r>
        <w:rPr>
          <w:color w:val="231F20"/>
        </w:rPr>
        <w:t>масштаба,</w:t>
      </w:r>
      <w:r>
        <w:rPr>
          <w:color w:val="231F20"/>
          <w:spacing w:val="-7"/>
        </w:rPr>
        <w:t> </w:t>
      </w:r>
      <w:r>
        <w:rPr>
          <w:color w:val="231F20"/>
        </w:rPr>
        <w:t>это</w:t>
      </w:r>
      <w:r>
        <w:rPr>
          <w:color w:val="231F20"/>
          <w:spacing w:val="-7"/>
        </w:rPr>
        <w:t> </w:t>
      </w:r>
      <w:r>
        <w:rPr>
          <w:color w:val="231F20"/>
        </w:rPr>
        <w:t>была</w:t>
      </w:r>
      <w:r>
        <w:rPr>
          <w:color w:val="231F20"/>
          <w:spacing w:val="-7"/>
        </w:rPr>
        <w:t> </w:t>
      </w:r>
      <w:r>
        <w:rPr>
          <w:color w:val="231F20"/>
        </w:rPr>
        <w:t>одна</w:t>
      </w:r>
      <w:r>
        <w:rPr>
          <w:color w:val="231F20"/>
          <w:spacing w:val="-7"/>
        </w:rPr>
        <w:t> </w:t>
      </w:r>
      <w:r>
        <w:rPr>
          <w:color w:val="231F20"/>
        </w:rPr>
        <w:t>из</w:t>
      </w:r>
      <w:r>
        <w:rPr>
          <w:color w:val="231F20"/>
          <w:spacing w:val="-7"/>
        </w:rPr>
        <w:t> </w:t>
      </w:r>
      <w:r>
        <w:rPr>
          <w:color w:val="231F20"/>
        </w:rPr>
        <w:t>крупней- ших программ в своем роде (Austin, Hunter, 2013).</w:t>
      </w:r>
    </w:p>
    <w:p>
      <w:pPr>
        <w:pStyle w:val="BodyText"/>
        <w:spacing w:line="205" w:lineRule="exact"/>
        <w:ind w:left="425" w:right="0" w:firstLine="0"/>
      </w:pPr>
      <w:r>
        <w:rPr>
          <w:color w:val="231F20"/>
        </w:rPr>
        <w:t>Сначала</w:t>
      </w:r>
      <w:r>
        <w:rPr>
          <w:color w:val="231F20"/>
          <w:spacing w:val="2"/>
        </w:rPr>
        <w:t> </w:t>
      </w:r>
      <w:r>
        <w:rPr>
          <w:color w:val="231F20"/>
        </w:rPr>
        <w:t>проектная</w:t>
      </w:r>
      <w:r>
        <w:rPr>
          <w:color w:val="231F20"/>
          <w:spacing w:val="5"/>
        </w:rPr>
        <w:t> </w:t>
      </w:r>
      <w:r>
        <w:rPr>
          <w:color w:val="231F20"/>
        </w:rPr>
        <w:t>группа</w:t>
      </w:r>
      <w:r>
        <w:rPr>
          <w:color w:val="231F20"/>
          <w:spacing w:val="5"/>
        </w:rPr>
        <w:t> </w:t>
      </w:r>
      <w:r>
        <w:rPr>
          <w:color w:val="231F20"/>
        </w:rPr>
        <w:t>определила</w:t>
      </w:r>
      <w:r>
        <w:rPr>
          <w:color w:val="231F20"/>
          <w:spacing w:val="5"/>
        </w:rPr>
        <w:t> </w:t>
      </w:r>
      <w:r>
        <w:rPr>
          <w:color w:val="231F20"/>
        </w:rPr>
        <w:t>школы</w:t>
      </w:r>
      <w:r>
        <w:rPr>
          <w:color w:val="231F20"/>
          <w:spacing w:val="4"/>
        </w:rPr>
        <w:t> </w:t>
      </w:r>
      <w:r>
        <w:rPr>
          <w:color w:val="231F20"/>
        </w:rPr>
        <w:t>в</w:t>
      </w:r>
      <w:r>
        <w:rPr>
          <w:color w:val="231F20"/>
          <w:spacing w:val="5"/>
        </w:rPr>
        <w:t> </w:t>
      </w:r>
      <w:r>
        <w:rPr>
          <w:color w:val="231F20"/>
        </w:rPr>
        <w:t>качестве</w:t>
      </w:r>
      <w:r>
        <w:rPr>
          <w:color w:val="231F20"/>
          <w:spacing w:val="5"/>
        </w:rPr>
        <w:t> </w:t>
      </w:r>
      <w:r>
        <w:rPr>
          <w:color w:val="231F20"/>
        </w:rPr>
        <w:t>потенциальных</w:t>
      </w:r>
      <w:r>
        <w:rPr>
          <w:color w:val="231F20"/>
          <w:spacing w:val="5"/>
        </w:rPr>
        <w:t> </w:t>
      </w:r>
      <w:r>
        <w:rPr>
          <w:color w:val="231F20"/>
          <w:spacing w:val="-2"/>
        </w:rPr>
        <w:t>партне-</w:t>
      </w:r>
    </w:p>
    <w:p>
      <w:pPr>
        <w:pStyle w:val="BodyText"/>
        <w:ind w:firstLine="0"/>
      </w:pPr>
      <w:r>
        <w:rPr>
          <w:color w:val="231F20"/>
        </w:rPr>
        <w:t>ров, далее были приняты во внимание возраст и способности детей, чтобы попы- таться обеспечить равенство участников по статусу. Затем, вместо того чтобы пре- доставлять учителям готовые учебные материалы, им было предложено привязать проектную работу к темам, которые уже были включены в их учебную программу; это означало, что учителям приходилось проявлять творческий подход, поскольку учебные программы в каждом регионе заметно отличались друг от друга.</w:t>
      </w:r>
    </w:p>
    <w:p>
      <w:pPr>
        <w:pStyle w:val="BodyText"/>
        <w:ind w:right="140"/>
      </w:pPr>
      <w:r>
        <w:rPr>
          <w:color w:val="231F20"/>
        </w:rPr>
        <w:t>Учителям, которые подходили для данных занятий, было предоставлено право выбора тем. На конференции по планированию, состоявшейся в начале учебного года, учителей-партнеров вместе обучили ИКТ, предоставили место для проведения личной встречи с детьми и попросили подготовить соглашение о планировании, в котором излагалась предполагаемая работа на учебный год.</w:t>
      </w:r>
    </w:p>
    <w:p>
      <w:pPr>
        <w:pStyle w:val="BodyText"/>
        <w:spacing w:line="237" w:lineRule="auto"/>
      </w:pPr>
      <w:r>
        <w:rPr>
          <w:color w:val="231F20"/>
        </w:rPr>
        <w:t>Фактически</w:t>
      </w:r>
      <w:r>
        <w:rPr>
          <w:color w:val="231F20"/>
          <w:spacing w:val="-11"/>
        </w:rPr>
        <w:t> </w:t>
      </w:r>
      <w:r>
        <w:rPr>
          <w:color w:val="231F20"/>
        </w:rPr>
        <w:t>стратегия</w:t>
      </w:r>
      <w:r>
        <w:rPr>
          <w:color w:val="231F20"/>
          <w:spacing w:val="-11"/>
        </w:rPr>
        <w:t> </w:t>
      </w:r>
      <w:r>
        <w:rPr>
          <w:color w:val="231F20"/>
        </w:rPr>
        <w:t>заключалась</w:t>
      </w:r>
      <w:r>
        <w:rPr>
          <w:color w:val="231F20"/>
          <w:spacing w:val="-11"/>
        </w:rPr>
        <w:t> </w:t>
      </w:r>
      <w:r>
        <w:rPr>
          <w:color w:val="231F20"/>
        </w:rPr>
        <w:t>в</w:t>
      </w:r>
      <w:r>
        <w:rPr>
          <w:color w:val="231F20"/>
          <w:spacing w:val="-11"/>
        </w:rPr>
        <w:t> </w:t>
      </w:r>
      <w:r>
        <w:rPr>
          <w:color w:val="231F20"/>
        </w:rPr>
        <w:t>предоставлении</w:t>
      </w:r>
      <w:r>
        <w:rPr>
          <w:color w:val="231F20"/>
          <w:spacing w:val="-11"/>
        </w:rPr>
        <w:t> </w:t>
      </w:r>
      <w:r>
        <w:rPr>
          <w:color w:val="231F20"/>
        </w:rPr>
        <w:t>школам</w:t>
      </w:r>
      <w:r>
        <w:rPr>
          <w:color w:val="231F20"/>
          <w:spacing w:val="-11"/>
        </w:rPr>
        <w:t> </w:t>
      </w:r>
      <w:r>
        <w:rPr>
          <w:color w:val="231F20"/>
        </w:rPr>
        <w:t>небольшого</w:t>
      </w:r>
      <w:r>
        <w:rPr>
          <w:color w:val="231F20"/>
          <w:spacing w:val="-11"/>
        </w:rPr>
        <w:t> </w:t>
      </w:r>
      <w:r>
        <w:rPr>
          <w:color w:val="231F20"/>
        </w:rPr>
        <w:t>гранта, который создавал возможности для учителей обрести уверенность в использовании ИКТ</w:t>
      </w:r>
      <w:r>
        <w:rPr>
          <w:color w:val="231F20"/>
          <w:spacing w:val="-1"/>
        </w:rPr>
        <w:t> </w:t>
      </w:r>
      <w:r>
        <w:rPr>
          <w:color w:val="231F20"/>
        </w:rPr>
        <w:t>для</w:t>
      </w:r>
      <w:r>
        <w:rPr>
          <w:color w:val="231F20"/>
          <w:spacing w:val="-1"/>
        </w:rPr>
        <w:t> </w:t>
      </w:r>
      <w:r>
        <w:rPr>
          <w:color w:val="231F20"/>
        </w:rPr>
        <w:t>смешанного</w:t>
      </w:r>
      <w:r>
        <w:rPr>
          <w:color w:val="231F20"/>
          <w:spacing w:val="-1"/>
        </w:rPr>
        <w:t> </w:t>
      </w:r>
      <w:r>
        <w:rPr>
          <w:color w:val="231F20"/>
        </w:rPr>
        <w:t>совместного</w:t>
      </w:r>
      <w:r>
        <w:rPr>
          <w:color w:val="231F20"/>
          <w:spacing w:val="-1"/>
        </w:rPr>
        <w:t> </w:t>
      </w:r>
      <w:r>
        <w:rPr>
          <w:color w:val="231F20"/>
        </w:rPr>
        <w:t>обучения.</w:t>
      </w:r>
      <w:r>
        <w:rPr>
          <w:color w:val="231F20"/>
          <w:spacing w:val="-1"/>
        </w:rPr>
        <w:t> </w:t>
      </w:r>
      <w:r>
        <w:rPr>
          <w:color w:val="231F20"/>
        </w:rPr>
        <w:t>Выбор</w:t>
      </w:r>
      <w:r>
        <w:rPr>
          <w:color w:val="231F20"/>
          <w:spacing w:val="-1"/>
        </w:rPr>
        <w:t> </w:t>
      </w:r>
      <w:r>
        <w:rPr>
          <w:color w:val="231F20"/>
        </w:rPr>
        <w:t>технологий,</w:t>
      </w:r>
      <w:r>
        <w:rPr>
          <w:color w:val="231F20"/>
          <w:spacing w:val="-1"/>
        </w:rPr>
        <w:t> </w:t>
      </w:r>
      <w:r>
        <w:rPr>
          <w:color w:val="231F20"/>
        </w:rPr>
        <w:t>в</w:t>
      </w:r>
      <w:r>
        <w:rPr>
          <w:color w:val="231F20"/>
          <w:spacing w:val="-1"/>
        </w:rPr>
        <w:t> </w:t>
      </w:r>
      <w:r>
        <w:rPr>
          <w:color w:val="231F20"/>
        </w:rPr>
        <w:t>основном</w:t>
      </w:r>
      <w:r>
        <w:rPr>
          <w:color w:val="231F20"/>
          <w:spacing w:val="-1"/>
        </w:rPr>
        <w:t> </w:t>
      </w:r>
      <w:r>
        <w:rPr>
          <w:color w:val="231F20"/>
        </w:rPr>
        <w:t>Moodle и недорогих видеоконференций, был обусловлен мнением о том, что программа DB не</w:t>
      </w:r>
      <w:r>
        <w:rPr>
          <w:color w:val="231F20"/>
          <w:spacing w:val="-2"/>
        </w:rPr>
        <w:t> </w:t>
      </w:r>
      <w:r>
        <w:rPr>
          <w:color w:val="231F20"/>
        </w:rPr>
        <w:t>должна</w:t>
      </w:r>
      <w:r>
        <w:rPr>
          <w:color w:val="231F20"/>
          <w:spacing w:val="-2"/>
        </w:rPr>
        <w:t> </w:t>
      </w:r>
      <w:r>
        <w:rPr>
          <w:color w:val="231F20"/>
        </w:rPr>
        <w:t>использоваться</w:t>
      </w:r>
      <w:r>
        <w:rPr>
          <w:color w:val="231F20"/>
          <w:spacing w:val="-2"/>
        </w:rPr>
        <w:t> </w:t>
      </w:r>
      <w:r>
        <w:rPr>
          <w:color w:val="231F20"/>
        </w:rPr>
        <w:t>специалистами</w:t>
      </w:r>
      <w:r>
        <w:rPr>
          <w:color w:val="231F20"/>
          <w:spacing w:val="-2"/>
        </w:rPr>
        <w:t> </w:t>
      </w:r>
      <w:r>
        <w:rPr>
          <w:color w:val="231F20"/>
        </w:rPr>
        <w:t>по</w:t>
      </w:r>
      <w:r>
        <w:rPr>
          <w:color w:val="231F20"/>
          <w:spacing w:val="-2"/>
        </w:rPr>
        <w:t> </w:t>
      </w:r>
      <w:r>
        <w:rPr>
          <w:color w:val="231F20"/>
        </w:rPr>
        <w:t>ИКТ</w:t>
      </w:r>
      <w:r>
        <w:rPr>
          <w:color w:val="231F20"/>
          <w:spacing w:val="-2"/>
        </w:rPr>
        <w:t> </w:t>
      </w:r>
      <w:r>
        <w:rPr>
          <w:color w:val="231F20"/>
        </w:rPr>
        <w:t>в</w:t>
      </w:r>
      <w:r>
        <w:rPr>
          <w:color w:val="231F20"/>
          <w:spacing w:val="-2"/>
        </w:rPr>
        <w:t> </w:t>
      </w:r>
      <w:r>
        <w:rPr>
          <w:color w:val="231F20"/>
        </w:rPr>
        <w:t>школе,</w:t>
      </w:r>
      <w:r>
        <w:rPr>
          <w:color w:val="231F20"/>
          <w:spacing w:val="-2"/>
        </w:rPr>
        <w:t> </w:t>
      </w:r>
      <w:r>
        <w:rPr>
          <w:color w:val="231F20"/>
        </w:rPr>
        <w:t>а</w:t>
      </w:r>
      <w:r>
        <w:rPr>
          <w:color w:val="231F20"/>
          <w:spacing w:val="-2"/>
        </w:rPr>
        <w:t> </w:t>
      </w:r>
      <w:r>
        <w:rPr>
          <w:color w:val="231F20"/>
        </w:rPr>
        <w:t>должна</w:t>
      </w:r>
      <w:r>
        <w:rPr>
          <w:color w:val="231F20"/>
          <w:spacing w:val="-2"/>
        </w:rPr>
        <w:t> </w:t>
      </w:r>
      <w:r>
        <w:rPr>
          <w:color w:val="231F20"/>
        </w:rPr>
        <w:t>быть</w:t>
      </w:r>
      <w:r>
        <w:rPr>
          <w:color w:val="231F20"/>
          <w:spacing w:val="-2"/>
        </w:rPr>
        <w:t> </w:t>
      </w:r>
      <w:r>
        <w:rPr>
          <w:color w:val="231F20"/>
        </w:rPr>
        <w:t>представ- лена на уровне, доступном любому учителю. Считалось, что это – самый надежный способ сделать ее широко используемой.</w:t>
      </w:r>
    </w:p>
    <w:p>
      <w:pPr>
        <w:pStyle w:val="BodyText"/>
        <w:spacing w:after="0" w:line="237" w:lineRule="auto"/>
        <w:sectPr>
          <w:pgSz w:w="8400" w:h="11910"/>
          <w:pgMar w:header="0" w:footer="527" w:top="400" w:bottom="740" w:left="425" w:right="425"/>
        </w:sectPr>
      </w:pPr>
    </w:p>
    <w:p>
      <w:pPr>
        <w:spacing w:before="80"/>
        <w:ind w:left="141" w:right="0" w:firstLine="0"/>
        <w:jc w:val="left"/>
        <w:rPr>
          <w:rFonts w:ascii="Georgia" w:hAnsi="Georgia"/>
          <w:sz w:val="18"/>
        </w:rPr>
      </w:pPr>
      <w:r>
        <w:rPr>
          <w:rFonts w:ascii="Georgia" w:hAnsi="Georgia"/>
          <w:color w:val="231F20"/>
          <w:sz w:val="18"/>
        </w:rPr>
        <w:t>4.4.</w:t>
      </w:r>
      <w:r>
        <w:rPr>
          <w:rFonts w:ascii="Georgia" w:hAnsi="Georgia"/>
          <w:color w:val="231F20"/>
          <w:spacing w:val="-1"/>
          <w:sz w:val="18"/>
        </w:rPr>
        <w:t> </w:t>
      </w:r>
      <w:r>
        <w:rPr>
          <w:rFonts w:ascii="Georgia" w:hAnsi="Georgia"/>
          <w:color w:val="231F20"/>
          <w:sz w:val="18"/>
        </w:rPr>
        <w:t>Методы</w:t>
      </w:r>
      <w:r>
        <w:rPr>
          <w:rFonts w:ascii="Georgia" w:hAnsi="Georgia"/>
          <w:color w:val="231F20"/>
          <w:spacing w:val="-1"/>
          <w:sz w:val="18"/>
        </w:rPr>
        <w:t> </w:t>
      </w:r>
      <w:r>
        <w:rPr>
          <w:rFonts w:ascii="Georgia" w:hAnsi="Georgia"/>
          <w:color w:val="231F20"/>
          <w:sz w:val="18"/>
        </w:rPr>
        <w:t>учебной</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1"/>
          <w:sz w:val="18"/>
        </w:rPr>
        <w:t> </w:t>
      </w:r>
      <w:r>
        <w:rPr>
          <w:rFonts w:ascii="Georgia" w:hAnsi="Georgia"/>
          <w:color w:val="231F20"/>
          <w:sz w:val="18"/>
        </w:rPr>
        <w:t>для адаптации</w:t>
      </w:r>
      <w:r>
        <w:rPr>
          <w:rFonts w:ascii="Georgia" w:hAnsi="Georgia"/>
          <w:color w:val="231F20"/>
          <w:spacing w:val="-1"/>
          <w:sz w:val="18"/>
        </w:rPr>
        <w:t> </w:t>
      </w:r>
      <w:r>
        <w:rPr>
          <w:rFonts w:ascii="Georgia" w:hAnsi="Georgia"/>
          <w:color w:val="231F20"/>
          <w:sz w:val="18"/>
        </w:rPr>
        <w:t>детей</w:t>
      </w:r>
      <w:r>
        <w:rPr>
          <w:rFonts w:ascii="Georgia" w:hAnsi="Georgia"/>
          <w:color w:val="231F20"/>
          <w:spacing w:val="-1"/>
          <w:sz w:val="18"/>
        </w:rPr>
        <w:t> </w:t>
      </w:r>
      <w:r>
        <w:rPr>
          <w:rFonts w:ascii="Georgia" w:hAnsi="Georgia"/>
          <w:color w:val="231F20"/>
          <w:sz w:val="18"/>
        </w:rPr>
        <w:t>...</w:t>
      </w:r>
      <w:r>
        <w:rPr>
          <w:rFonts w:ascii="Georgia" w:hAnsi="Georgia"/>
          <w:color w:val="231F20"/>
          <w:spacing w:val="-1"/>
          <w:sz w:val="18"/>
        </w:rPr>
        <w:t> </w:t>
      </w:r>
      <w:r>
        <w:rPr>
          <w:rFonts w:ascii="Georgia" w:hAnsi="Georgia"/>
          <w:color w:val="231F20"/>
          <w:sz w:val="18"/>
        </w:rPr>
        <w:t>во </w:t>
      </w:r>
      <w:r>
        <w:rPr>
          <w:rFonts w:ascii="Georgia" w:hAnsi="Georgia"/>
          <w:color w:val="231F20"/>
          <w:spacing w:val="-2"/>
          <w:sz w:val="18"/>
        </w:rPr>
        <w:t>взаимодействии...</w:t>
      </w:r>
    </w:p>
    <w:p>
      <w:pPr>
        <w:pStyle w:val="BodyText"/>
        <w:spacing w:line="235" w:lineRule="auto" w:before="116"/>
      </w:pPr>
      <w:r>
        <w:rPr>
          <w:color w:val="231F20"/>
        </w:rPr>
        <w:t>Технологии также</w:t>
      </w:r>
      <w:r>
        <w:rPr>
          <w:color w:val="231F20"/>
          <w:spacing w:val="-1"/>
        </w:rPr>
        <w:t> </w:t>
      </w:r>
      <w:r>
        <w:rPr>
          <w:color w:val="231F20"/>
        </w:rPr>
        <w:t>обеспечивали</w:t>
      </w:r>
      <w:r>
        <w:rPr>
          <w:color w:val="231F20"/>
          <w:spacing w:val="-1"/>
        </w:rPr>
        <w:t> </w:t>
      </w:r>
      <w:r>
        <w:rPr>
          <w:color w:val="231F20"/>
        </w:rPr>
        <w:t>асинхронный контакт</w:t>
      </w:r>
      <w:r>
        <w:rPr>
          <w:color w:val="231F20"/>
          <w:spacing w:val="-1"/>
        </w:rPr>
        <w:t> </w:t>
      </w:r>
      <w:r>
        <w:rPr>
          <w:color w:val="231F20"/>
        </w:rPr>
        <w:t>и</w:t>
      </w:r>
      <w:r>
        <w:rPr>
          <w:color w:val="231F20"/>
          <w:spacing w:val="-1"/>
        </w:rPr>
        <w:t> </w:t>
      </w:r>
      <w:r>
        <w:rPr>
          <w:color w:val="231F20"/>
        </w:rPr>
        <w:t>потенциал</w:t>
      </w:r>
      <w:r>
        <w:rPr>
          <w:color w:val="231F20"/>
          <w:spacing w:val="-1"/>
        </w:rPr>
        <w:t> </w:t>
      </w:r>
      <w:r>
        <w:rPr>
          <w:color w:val="231F20"/>
        </w:rPr>
        <w:t>для</w:t>
      </w:r>
      <w:r>
        <w:rPr>
          <w:color w:val="231F20"/>
          <w:spacing w:val="-1"/>
        </w:rPr>
        <w:t> </w:t>
      </w:r>
      <w:r>
        <w:rPr>
          <w:color w:val="231F20"/>
        </w:rPr>
        <w:t>накопле- ния знаний в «облаке», а также контакт в режиме реального времени посредством видеоконференцсвязи.</w:t>
      </w:r>
      <w:r>
        <w:rPr>
          <w:color w:val="231F20"/>
          <w:spacing w:val="-13"/>
        </w:rPr>
        <w:t> </w:t>
      </w:r>
      <w:r>
        <w:rPr>
          <w:color w:val="231F20"/>
        </w:rPr>
        <w:t>Другими</w:t>
      </w:r>
      <w:r>
        <w:rPr>
          <w:color w:val="231F20"/>
          <w:spacing w:val="-12"/>
        </w:rPr>
        <w:t> </w:t>
      </w:r>
      <w:r>
        <w:rPr>
          <w:color w:val="231F20"/>
        </w:rPr>
        <w:t>словами,</w:t>
      </w:r>
      <w:r>
        <w:rPr>
          <w:color w:val="231F20"/>
          <w:spacing w:val="-13"/>
        </w:rPr>
        <w:t> </w:t>
      </w:r>
      <w:r>
        <w:rPr>
          <w:color w:val="231F20"/>
        </w:rPr>
        <w:t>это</w:t>
      </w:r>
      <w:r>
        <w:rPr>
          <w:color w:val="231F20"/>
          <w:spacing w:val="-12"/>
        </w:rPr>
        <w:t> </w:t>
      </w:r>
      <w:r>
        <w:rPr>
          <w:color w:val="231F20"/>
        </w:rPr>
        <w:t>конкретное</w:t>
      </w:r>
      <w:r>
        <w:rPr>
          <w:color w:val="231F20"/>
          <w:spacing w:val="-13"/>
        </w:rPr>
        <w:t> </w:t>
      </w:r>
      <w:r>
        <w:rPr>
          <w:color w:val="231F20"/>
        </w:rPr>
        <w:t>сочетание</w:t>
      </w:r>
      <w:r>
        <w:rPr>
          <w:color w:val="231F20"/>
          <w:spacing w:val="-12"/>
        </w:rPr>
        <w:t> </w:t>
      </w:r>
      <w:r>
        <w:rPr>
          <w:color w:val="231F20"/>
        </w:rPr>
        <w:t>ИКТ</w:t>
      </w:r>
      <w:r>
        <w:rPr>
          <w:color w:val="231F20"/>
          <w:spacing w:val="-13"/>
        </w:rPr>
        <w:t> </w:t>
      </w:r>
      <w:r>
        <w:rPr>
          <w:color w:val="231F20"/>
        </w:rPr>
        <w:t>имело</w:t>
      </w:r>
      <w:r>
        <w:rPr>
          <w:color w:val="231F20"/>
          <w:spacing w:val="-12"/>
        </w:rPr>
        <w:t> </w:t>
      </w:r>
      <w:r>
        <w:rPr>
          <w:color w:val="231F20"/>
        </w:rPr>
        <w:t>хоро- шие</w:t>
      </w:r>
      <w:r>
        <w:rPr>
          <w:color w:val="231F20"/>
          <w:spacing w:val="-7"/>
        </w:rPr>
        <w:t> </w:t>
      </w:r>
      <w:r>
        <w:rPr>
          <w:color w:val="231F20"/>
        </w:rPr>
        <w:t>шансы</w:t>
      </w:r>
      <w:r>
        <w:rPr>
          <w:color w:val="231F20"/>
          <w:spacing w:val="-7"/>
        </w:rPr>
        <w:t> </w:t>
      </w:r>
      <w:r>
        <w:rPr>
          <w:color w:val="231F20"/>
        </w:rPr>
        <w:t>на</w:t>
      </w:r>
      <w:r>
        <w:rPr>
          <w:color w:val="231F20"/>
          <w:spacing w:val="-7"/>
        </w:rPr>
        <w:t> </w:t>
      </w:r>
      <w:r>
        <w:rPr>
          <w:color w:val="231F20"/>
        </w:rPr>
        <w:t>работу</w:t>
      </w:r>
      <w:r>
        <w:rPr>
          <w:color w:val="231F20"/>
          <w:spacing w:val="-7"/>
        </w:rPr>
        <w:t> </w:t>
      </w:r>
      <w:r>
        <w:rPr>
          <w:color w:val="231F20"/>
        </w:rPr>
        <w:t>в</w:t>
      </w:r>
      <w:r>
        <w:rPr>
          <w:color w:val="231F20"/>
          <w:spacing w:val="-7"/>
        </w:rPr>
        <w:t> </w:t>
      </w:r>
      <w:r>
        <w:rPr>
          <w:color w:val="231F20"/>
        </w:rPr>
        <w:t>напряженный</w:t>
      </w:r>
      <w:r>
        <w:rPr>
          <w:color w:val="231F20"/>
          <w:spacing w:val="-7"/>
        </w:rPr>
        <w:t> </w:t>
      </w:r>
      <w:r>
        <w:rPr>
          <w:color w:val="231F20"/>
        </w:rPr>
        <w:t>школьный</w:t>
      </w:r>
      <w:r>
        <w:rPr>
          <w:color w:val="231F20"/>
          <w:spacing w:val="-7"/>
        </w:rPr>
        <w:t> </w:t>
      </w:r>
      <w:r>
        <w:rPr>
          <w:color w:val="231F20"/>
        </w:rPr>
        <w:t>день</w:t>
      </w:r>
      <w:r>
        <w:rPr>
          <w:color w:val="231F20"/>
          <w:spacing w:val="-7"/>
        </w:rPr>
        <w:t> </w:t>
      </w:r>
      <w:r>
        <w:rPr>
          <w:color w:val="231F20"/>
        </w:rPr>
        <w:t>и</w:t>
      </w:r>
      <w:r>
        <w:rPr>
          <w:color w:val="231F20"/>
          <w:spacing w:val="-7"/>
        </w:rPr>
        <w:t> </w:t>
      </w:r>
      <w:r>
        <w:rPr>
          <w:color w:val="231F20"/>
        </w:rPr>
        <w:t>соответствовало</w:t>
      </w:r>
      <w:r>
        <w:rPr>
          <w:color w:val="231F20"/>
          <w:spacing w:val="-7"/>
        </w:rPr>
        <w:t> </w:t>
      </w:r>
      <w:r>
        <w:rPr>
          <w:color w:val="231F20"/>
        </w:rPr>
        <w:t>конструкти- вистской позиции программы DB.</w:t>
      </w:r>
    </w:p>
    <w:p>
      <w:pPr>
        <w:pStyle w:val="BodyText"/>
        <w:spacing w:line="235" w:lineRule="auto" w:before="3"/>
      </w:pPr>
      <w:r>
        <w:rPr>
          <w:color w:val="231F20"/>
        </w:rPr>
        <w:t>Исследование, основанное на восприятии учителем воздействия программы DB на</w:t>
      </w:r>
      <w:r>
        <w:rPr>
          <w:color w:val="231F20"/>
          <w:spacing w:val="-1"/>
        </w:rPr>
        <w:t> </w:t>
      </w:r>
      <w:r>
        <w:rPr>
          <w:color w:val="231F20"/>
        </w:rPr>
        <w:t>детей,</w:t>
      </w:r>
      <w:r>
        <w:rPr>
          <w:color w:val="231F20"/>
          <w:spacing w:val="-2"/>
        </w:rPr>
        <w:t> </w:t>
      </w:r>
      <w:r>
        <w:rPr>
          <w:color w:val="231F20"/>
        </w:rPr>
        <w:t>показало</w:t>
      </w:r>
      <w:r>
        <w:rPr>
          <w:color w:val="231F20"/>
          <w:spacing w:val="-1"/>
        </w:rPr>
        <w:t> </w:t>
      </w:r>
      <w:r>
        <w:rPr>
          <w:color w:val="231F20"/>
        </w:rPr>
        <w:t>улучшение</w:t>
      </w:r>
      <w:r>
        <w:rPr>
          <w:color w:val="231F20"/>
          <w:spacing w:val="-1"/>
        </w:rPr>
        <w:t> </w:t>
      </w:r>
      <w:r>
        <w:rPr>
          <w:color w:val="231F20"/>
        </w:rPr>
        <w:t>навыков</w:t>
      </w:r>
      <w:r>
        <w:rPr>
          <w:color w:val="231F20"/>
          <w:spacing w:val="-1"/>
        </w:rPr>
        <w:t> </w:t>
      </w:r>
      <w:r>
        <w:rPr>
          <w:color w:val="231F20"/>
        </w:rPr>
        <w:t>общения,</w:t>
      </w:r>
      <w:r>
        <w:rPr>
          <w:color w:val="231F20"/>
          <w:spacing w:val="-1"/>
        </w:rPr>
        <w:t> </w:t>
      </w:r>
      <w:r>
        <w:rPr>
          <w:color w:val="231F20"/>
        </w:rPr>
        <w:t>повышение</w:t>
      </w:r>
      <w:r>
        <w:rPr>
          <w:color w:val="231F20"/>
          <w:spacing w:val="-1"/>
        </w:rPr>
        <w:t> </w:t>
      </w:r>
      <w:r>
        <w:rPr>
          <w:color w:val="231F20"/>
        </w:rPr>
        <w:t>самооценки,</w:t>
      </w:r>
      <w:r>
        <w:rPr>
          <w:color w:val="231F20"/>
          <w:spacing w:val="-2"/>
        </w:rPr>
        <w:t> </w:t>
      </w:r>
      <w:r>
        <w:rPr>
          <w:color w:val="231F20"/>
        </w:rPr>
        <w:t>а</w:t>
      </w:r>
      <w:r>
        <w:rPr>
          <w:color w:val="231F20"/>
          <w:spacing w:val="-1"/>
        </w:rPr>
        <w:t> </w:t>
      </w:r>
      <w:r>
        <w:rPr>
          <w:color w:val="231F20"/>
        </w:rPr>
        <w:t>для</w:t>
      </w:r>
      <w:r>
        <w:rPr>
          <w:color w:val="231F20"/>
          <w:spacing w:val="-2"/>
        </w:rPr>
        <w:t> </w:t>
      </w:r>
      <w:r>
        <w:rPr>
          <w:color w:val="231F20"/>
        </w:rPr>
        <w:t>75% учителей начальных школ «улучшение взаимопонимания между севером и югом» (Austin, Anderson, 2008). В другом исследовании (Austin, Hunter, 2013) отмечается, что повысилась взаимная осведомленность и терпимость. Исследование Rickard et</w:t>
      </w:r>
      <w:r>
        <w:rPr>
          <w:color w:val="231F20"/>
          <w:spacing w:val="40"/>
        </w:rPr>
        <w:t> </w:t>
      </w:r>
      <w:r>
        <w:rPr>
          <w:color w:val="231F20"/>
        </w:rPr>
        <w:t>al. (2014), основанное на конфиденциальных и анонимных ответах учащихся, пока- зало, что даже через год после их участия в программе учащиеся были чрезвычайно позитивны в отношении своего опыта и гораздо чаще хотели повторить этот опыт, по сравнению с учениками в тех же школах, которые не принимали участия в про- </w:t>
      </w:r>
      <w:r>
        <w:rPr>
          <w:color w:val="231F20"/>
          <w:spacing w:val="-2"/>
        </w:rPr>
        <w:t>грамме. То есть, программа имеет устойчивый положительный эффект, наблюдаемый </w:t>
      </w:r>
      <w:r>
        <w:rPr>
          <w:color w:val="231F20"/>
        </w:rPr>
        <w:t>на</w:t>
      </w:r>
      <w:r>
        <w:rPr>
          <w:color w:val="231F20"/>
          <w:spacing w:val="-7"/>
        </w:rPr>
        <w:t> </w:t>
      </w:r>
      <w:r>
        <w:rPr>
          <w:color w:val="231F20"/>
        </w:rPr>
        <w:t>протяжении</w:t>
      </w:r>
      <w:r>
        <w:rPr>
          <w:color w:val="231F20"/>
          <w:spacing w:val="-7"/>
        </w:rPr>
        <w:t> </w:t>
      </w:r>
      <w:r>
        <w:rPr>
          <w:color w:val="231F20"/>
        </w:rPr>
        <w:t>многих</w:t>
      </w:r>
      <w:r>
        <w:rPr>
          <w:color w:val="231F20"/>
          <w:spacing w:val="-7"/>
        </w:rPr>
        <w:t> </w:t>
      </w:r>
      <w:r>
        <w:rPr>
          <w:color w:val="231F20"/>
        </w:rPr>
        <w:t>лет</w:t>
      </w:r>
      <w:r>
        <w:rPr>
          <w:color w:val="231F20"/>
          <w:spacing w:val="-7"/>
        </w:rPr>
        <w:t> </w:t>
      </w:r>
      <w:r>
        <w:rPr>
          <w:color w:val="231F20"/>
        </w:rPr>
        <w:t>и</w:t>
      </w:r>
      <w:r>
        <w:rPr>
          <w:color w:val="231F20"/>
          <w:spacing w:val="-7"/>
        </w:rPr>
        <w:t> </w:t>
      </w:r>
      <w:r>
        <w:rPr>
          <w:color w:val="231F20"/>
        </w:rPr>
        <w:t>обеспеченный</w:t>
      </w:r>
      <w:r>
        <w:rPr>
          <w:color w:val="231F20"/>
          <w:spacing w:val="-7"/>
        </w:rPr>
        <w:t> </w:t>
      </w:r>
      <w:r>
        <w:rPr>
          <w:color w:val="231F20"/>
        </w:rPr>
        <w:t>тщательным</w:t>
      </w:r>
      <w:r>
        <w:rPr>
          <w:color w:val="231F20"/>
          <w:spacing w:val="-7"/>
        </w:rPr>
        <w:t> </w:t>
      </w:r>
      <w:r>
        <w:rPr>
          <w:color w:val="231F20"/>
        </w:rPr>
        <w:t>подбором</w:t>
      </w:r>
      <w:r>
        <w:rPr>
          <w:color w:val="231F20"/>
          <w:spacing w:val="-7"/>
        </w:rPr>
        <w:t> </w:t>
      </w:r>
      <w:r>
        <w:rPr>
          <w:color w:val="231F20"/>
        </w:rPr>
        <w:t>школ,</w:t>
      </w:r>
      <w:r>
        <w:rPr>
          <w:color w:val="231F20"/>
          <w:spacing w:val="-7"/>
        </w:rPr>
        <w:t> </w:t>
      </w:r>
      <w:r>
        <w:rPr>
          <w:color w:val="231F20"/>
        </w:rPr>
        <w:t>профессио- нальным</w:t>
      </w:r>
      <w:r>
        <w:rPr>
          <w:color w:val="231F20"/>
          <w:spacing w:val="-1"/>
        </w:rPr>
        <w:t> </w:t>
      </w:r>
      <w:r>
        <w:rPr>
          <w:color w:val="231F20"/>
        </w:rPr>
        <w:t>развитием</w:t>
      </w:r>
      <w:r>
        <w:rPr>
          <w:color w:val="231F20"/>
          <w:spacing w:val="-1"/>
        </w:rPr>
        <w:t> </w:t>
      </w:r>
      <w:r>
        <w:rPr>
          <w:color w:val="231F20"/>
        </w:rPr>
        <w:t>учителей,</w:t>
      </w:r>
      <w:r>
        <w:rPr>
          <w:color w:val="231F20"/>
          <w:spacing w:val="-1"/>
        </w:rPr>
        <w:t> </w:t>
      </w:r>
      <w:r>
        <w:rPr>
          <w:color w:val="231F20"/>
        </w:rPr>
        <w:t>регулярным</w:t>
      </w:r>
      <w:r>
        <w:rPr>
          <w:color w:val="231F20"/>
          <w:spacing w:val="-1"/>
        </w:rPr>
        <w:t> </w:t>
      </w:r>
      <w:r>
        <w:rPr>
          <w:color w:val="231F20"/>
        </w:rPr>
        <w:t>мониторингом</w:t>
      </w:r>
      <w:r>
        <w:rPr>
          <w:color w:val="231F20"/>
          <w:spacing w:val="-1"/>
        </w:rPr>
        <w:t> </w:t>
      </w:r>
      <w:r>
        <w:rPr>
          <w:color w:val="231F20"/>
        </w:rPr>
        <w:t>партнерских</w:t>
      </w:r>
      <w:r>
        <w:rPr>
          <w:color w:val="231F20"/>
          <w:spacing w:val="-1"/>
        </w:rPr>
        <w:t> </w:t>
      </w:r>
      <w:r>
        <w:rPr>
          <w:color w:val="231F20"/>
        </w:rPr>
        <w:t>отношений и связей,</w:t>
      </w:r>
      <w:r>
        <w:rPr>
          <w:color w:val="231F20"/>
          <w:spacing w:val="-13"/>
        </w:rPr>
        <w:t> </w:t>
      </w:r>
      <w:r>
        <w:rPr>
          <w:color w:val="231F20"/>
        </w:rPr>
        <w:t>основанным</w:t>
      </w:r>
      <w:r>
        <w:rPr>
          <w:color w:val="231F20"/>
          <w:spacing w:val="-12"/>
        </w:rPr>
        <w:t> </w:t>
      </w:r>
      <w:r>
        <w:rPr>
          <w:color w:val="231F20"/>
        </w:rPr>
        <w:t>как</w:t>
      </w:r>
      <w:r>
        <w:rPr>
          <w:color w:val="231F20"/>
          <w:spacing w:val="-13"/>
        </w:rPr>
        <w:t> </w:t>
      </w:r>
      <w:r>
        <w:rPr>
          <w:color w:val="231F20"/>
        </w:rPr>
        <w:t>на</w:t>
      </w:r>
      <w:r>
        <w:rPr>
          <w:color w:val="231F20"/>
          <w:spacing w:val="-12"/>
        </w:rPr>
        <w:t> </w:t>
      </w:r>
      <w:r>
        <w:rPr>
          <w:color w:val="231F20"/>
        </w:rPr>
        <w:t>долгосрочном</w:t>
      </w:r>
      <w:r>
        <w:rPr>
          <w:color w:val="231F20"/>
          <w:spacing w:val="-13"/>
        </w:rPr>
        <w:t> </w:t>
      </w:r>
      <w:r>
        <w:rPr>
          <w:color w:val="231F20"/>
        </w:rPr>
        <w:t>использовании</w:t>
      </w:r>
      <w:r>
        <w:rPr>
          <w:color w:val="231F20"/>
          <w:spacing w:val="-12"/>
        </w:rPr>
        <w:t> </w:t>
      </w:r>
      <w:r>
        <w:rPr>
          <w:color w:val="231F20"/>
        </w:rPr>
        <w:t>ИКТ,</w:t>
      </w:r>
      <w:r>
        <w:rPr>
          <w:color w:val="231F20"/>
          <w:spacing w:val="-13"/>
        </w:rPr>
        <w:t> </w:t>
      </w:r>
      <w:r>
        <w:rPr>
          <w:color w:val="231F20"/>
        </w:rPr>
        <w:t>так</w:t>
      </w:r>
      <w:r>
        <w:rPr>
          <w:color w:val="231F20"/>
          <w:spacing w:val="-12"/>
        </w:rPr>
        <w:t> </w:t>
      </w:r>
      <w:r>
        <w:rPr>
          <w:color w:val="231F20"/>
        </w:rPr>
        <w:t>и</w:t>
      </w:r>
      <w:r>
        <w:rPr>
          <w:color w:val="231F20"/>
          <w:spacing w:val="-13"/>
        </w:rPr>
        <w:t> </w:t>
      </w:r>
      <w:r>
        <w:rPr>
          <w:color w:val="231F20"/>
        </w:rPr>
        <w:t>на</w:t>
      </w:r>
      <w:r>
        <w:rPr>
          <w:color w:val="231F20"/>
          <w:spacing w:val="-12"/>
        </w:rPr>
        <w:t> </w:t>
      </w:r>
      <w:r>
        <w:rPr>
          <w:color w:val="231F20"/>
        </w:rPr>
        <w:t>ограниченном личном контакте.</w:t>
      </w:r>
    </w:p>
    <w:p>
      <w:pPr>
        <w:pStyle w:val="BodyText"/>
        <w:spacing w:line="235" w:lineRule="auto" w:before="9"/>
      </w:pPr>
      <w:r>
        <w:rPr>
          <w:color w:val="231F20"/>
        </w:rPr>
        <w:t>Таким образом, технологии обучения в сотрудничестве могут применяться и в условиях онлайн-обучения. Для организации подобного обучения требуется все то же самое, что и при работе в традиционном классе. Главное, чтобы используемая учителем</w:t>
      </w:r>
      <w:r>
        <w:rPr>
          <w:color w:val="231F20"/>
          <w:spacing w:val="-3"/>
        </w:rPr>
        <w:t> </w:t>
      </w:r>
      <w:r>
        <w:rPr>
          <w:color w:val="231F20"/>
        </w:rPr>
        <w:t>(и</w:t>
      </w:r>
      <w:r>
        <w:rPr>
          <w:color w:val="231F20"/>
          <w:spacing w:val="-3"/>
        </w:rPr>
        <w:t> </w:t>
      </w:r>
      <w:r>
        <w:rPr>
          <w:color w:val="231F20"/>
        </w:rPr>
        <w:t>школой)</w:t>
      </w:r>
      <w:r>
        <w:rPr>
          <w:color w:val="231F20"/>
          <w:spacing w:val="-3"/>
        </w:rPr>
        <w:t> </w:t>
      </w:r>
      <w:r>
        <w:rPr>
          <w:color w:val="231F20"/>
        </w:rPr>
        <w:t>технологическая</w:t>
      </w:r>
      <w:r>
        <w:rPr>
          <w:color w:val="231F20"/>
          <w:spacing w:val="-3"/>
        </w:rPr>
        <w:t> </w:t>
      </w:r>
      <w:r>
        <w:rPr>
          <w:color w:val="231F20"/>
        </w:rPr>
        <w:t>платформа</w:t>
      </w:r>
      <w:r>
        <w:rPr>
          <w:color w:val="231F20"/>
          <w:spacing w:val="-3"/>
        </w:rPr>
        <w:t> </w:t>
      </w:r>
      <w:r>
        <w:rPr>
          <w:color w:val="231F20"/>
        </w:rPr>
        <w:t>дистанционного</w:t>
      </w:r>
      <w:r>
        <w:rPr>
          <w:color w:val="231F20"/>
          <w:spacing w:val="-3"/>
        </w:rPr>
        <w:t> </w:t>
      </w:r>
      <w:r>
        <w:rPr>
          <w:color w:val="231F20"/>
        </w:rPr>
        <w:t>обучения</w:t>
      </w:r>
      <w:r>
        <w:rPr>
          <w:color w:val="231F20"/>
          <w:spacing w:val="-3"/>
        </w:rPr>
        <w:t> </w:t>
      </w:r>
      <w:r>
        <w:rPr>
          <w:color w:val="231F20"/>
        </w:rPr>
        <w:t>предус- матривала возможность организации работы учащихся в малых группах. При этом важно, чтобы разделение учащихся на группы производилось не по умолчанию, то есть самой системой и в произвольном порядке, а, напротив, чтобы именно учитель имел возможность разделить учащихся на группы так, как это требует та или иная педагогическая технология.</w:t>
      </w:r>
    </w:p>
    <w:p>
      <w:pPr>
        <w:pStyle w:val="BodyText"/>
        <w:spacing w:line="235" w:lineRule="auto" w:before="5"/>
        <w:ind w:right="138"/>
      </w:pPr>
      <w:r>
        <w:rPr>
          <w:color w:val="231F20"/>
          <w:spacing w:val="-2"/>
        </w:rPr>
        <w:t>Онлайн-обучение,</w:t>
      </w:r>
      <w:r>
        <w:rPr>
          <w:color w:val="231F20"/>
          <w:spacing w:val="-11"/>
        </w:rPr>
        <w:t> </w:t>
      </w:r>
      <w:r>
        <w:rPr>
          <w:color w:val="231F20"/>
          <w:spacing w:val="-2"/>
        </w:rPr>
        <w:t>как</w:t>
      </w:r>
      <w:r>
        <w:rPr>
          <w:color w:val="231F20"/>
          <w:spacing w:val="-10"/>
        </w:rPr>
        <w:t> </w:t>
      </w:r>
      <w:r>
        <w:rPr>
          <w:color w:val="231F20"/>
          <w:spacing w:val="-2"/>
        </w:rPr>
        <w:t>и</w:t>
      </w:r>
      <w:r>
        <w:rPr>
          <w:color w:val="231F20"/>
          <w:spacing w:val="-11"/>
        </w:rPr>
        <w:t> </w:t>
      </w:r>
      <w:r>
        <w:rPr>
          <w:color w:val="231F20"/>
          <w:spacing w:val="-2"/>
        </w:rPr>
        <w:t>вообще</w:t>
      </w:r>
      <w:r>
        <w:rPr>
          <w:color w:val="231F20"/>
          <w:spacing w:val="-10"/>
        </w:rPr>
        <w:t> </w:t>
      </w:r>
      <w:r>
        <w:rPr>
          <w:color w:val="231F20"/>
          <w:spacing w:val="-2"/>
        </w:rPr>
        <w:t>обучение</w:t>
      </w:r>
      <w:r>
        <w:rPr>
          <w:color w:val="231F20"/>
          <w:spacing w:val="-11"/>
        </w:rPr>
        <w:t> </w:t>
      </w:r>
      <w:r>
        <w:rPr>
          <w:color w:val="231F20"/>
          <w:spacing w:val="-2"/>
        </w:rPr>
        <w:t>в</w:t>
      </w:r>
      <w:r>
        <w:rPr>
          <w:color w:val="231F20"/>
          <w:spacing w:val="-10"/>
        </w:rPr>
        <w:t> </w:t>
      </w:r>
      <w:r>
        <w:rPr>
          <w:color w:val="231F20"/>
          <w:spacing w:val="-2"/>
        </w:rPr>
        <w:t>интернет-среде,</w:t>
      </w:r>
      <w:r>
        <w:rPr>
          <w:color w:val="231F20"/>
          <w:spacing w:val="-11"/>
        </w:rPr>
        <w:t> </w:t>
      </w:r>
      <w:r>
        <w:rPr>
          <w:color w:val="231F20"/>
          <w:spacing w:val="-2"/>
        </w:rPr>
        <w:t>имеет</w:t>
      </w:r>
      <w:r>
        <w:rPr>
          <w:color w:val="231F20"/>
          <w:spacing w:val="-10"/>
        </w:rPr>
        <w:t> </w:t>
      </w:r>
      <w:r>
        <w:rPr>
          <w:color w:val="231F20"/>
          <w:spacing w:val="-2"/>
        </w:rPr>
        <w:t>свою</w:t>
      </w:r>
      <w:r>
        <w:rPr>
          <w:color w:val="231F20"/>
          <w:spacing w:val="-11"/>
        </w:rPr>
        <w:t> </w:t>
      </w:r>
      <w:r>
        <w:rPr>
          <w:color w:val="231F20"/>
          <w:spacing w:val="-2"/>
        </w:rPr>
        <w:t>специфику, которую необходимо учитывать при использовании технологий обучения в сотрудни- </w:t>
      </w:r>
      <w:r>
        <w:rPr>
          <w:color w:val="231F20"/>
        </w:rPr>
        <w:t>честве.</w:t>
      </w:r>
      <w:r>
        <w:rPr>
          <w:color w:val="231F20"/>
          <w:spacing w:val="-5"/>
        </w:rPr>
        <w:t> </w:t>
      </w:r>
      <w:r>
        <w:rPr>
          <w:color w:val="231F20"/>
        </w:rPr>
        <w:t>Это</w:t>
      </w:r>
      <w:r>
        <w:rPr>
          <w:color w:val="231F20"/>
          <w:spacing w:val="-5"/>
        </w:rPr>
        <w:t> </w:t>
      </w:r>
      <w:r>
        <w:rPr>
          <w:color w:val="231F20"/>
        </w:rPr>
        <w:t>касается</w:t>
      </w:r>
      <w:r>
        <w:rPr>
          <w:color w:val="231F20"/>
          <w:spacing w:val="-5"/>
        </w:rPr>
        <w:t> </w:t>
      </w:r>
      <w:r>
        <w:rPr>
          <w:color w:val="231F20"/>
        </w:rPr>
        <w:t>организации</w:t>
      </w:r>
      <w:r>
        <w:rPr>
          <w:color w:val="231F20"/>
          <w:spacing w:val="-5"/>
        </w:rPr>
        <w:t> </w:t>
      </w:r>
      <w:r>
        <w:rPr>
          <w:color w:val="231F20"/>
        </w:rPr>
        <w:t>работы</w:t>
      </w:r>
      <w:r>
        <w:rPr>
          <w:color w:val="231F20"/>
          <w:spacing w:val="-5"/>
        </w:rPr>
        <w:t> </w:t>
      </w:r>
      <w:r>
        <w:rPr>
          <w:color w:val="231F20"/>
        </w:rPr>
        <w:t>учащихся</w:t>
      </w:r>
      <w:r>
        <w:rPr>
          <w:color w:val="231F20"/>
          <w:spacing w:val="-5"/>
        </w:rPr>
        <w:t> </w:t>
      </w:r>
      <w:r>
        <w:rPr>
          <w:color w:val="231F20"/>
        </w:rPr>
        <w:t>в</w:t>
      </w:r>
      <w:r>
        <w:rPr>
          <w:color w:val="231F20"/>
          <w:spacing w:val="-5"/>
        </w:rPr>
        <w:t> </w:t>
      </w:r>
      <w:r>
        <w:rPr>
          <w:color w:val="231F20"/>
        </w:rPr>
        <w:t>виртуальной</w:t>
      </w:r>
      <w:r>
        <w:rPr>
          <w:color w:val="231F20"/>
          <w:spacing w:val="-5"/>
        </w:rPr>
        <w:t> </w:t>
      </w:r>
      <w:r>
        <w:rPr>
          <w:color w:val="231F20"/>
        </w:rPr>
        <w:t>среде.</w:t>
      </w:r>
      <w:r>
        <w:rPr>
          <w:color w:val="231F20"/>
          <w:spacing w:val="-5"/>
        </w:rPr>
        <w:t> </w:t>
      </w:r>
      <w:r>
        <w:rPr>
          <w:color w:val="231F20"/>
        </w:rPr>
        <w:t>Во-первых, если</w:t>
      </w:r>
      <w:r>
        <w:rPr>
          <w:color w:val="231F20"/>
          <w:spacing w:val="-1"/>
        </w:rPr>
        <w:t> </w:t>
      </w:r>
      <w:r>
        <w:rPr>
          <w:color w:val="231F20"/>
        </w:rPr>
        <w:t>работа</w:t>
      </w:r>
      <w:r>
        <w:rPr>
          <w:color w:val="231F20"/>
          <w:spacing w:val="-1"/>
        </w:rPr>
        <w:t> </w:t>
      </w:r>
      <w:r>
        <w:rPr>
          <w:color w:val="231F20"/>
        </w:rPr>
        <w:t>проходит</w:t>
      </w:r>
      <w:r>
        <w:rPr>
          <w:color w:val="231F20"/>
          <w:spacing w:val="-1"/>
        </w:rPr>
        <w:t> </w:t>
      </w:r>
      <w:r>
        <w:rPr>
          <w:color w:val="231F20"/>
        </w:rPr>
        <w:t>исключительно</w:t>
      </w:r>
      <w:r>
        <w:rPr>
          <w:color w:val="231F20"/>
          <w:spacing w:val="-1"/>
        </w:rPr>
        <w:t> </w:t>
      </w:r>
      <w:r>
        <w:rPr>
          <w:color w:val="231F20"/>
        </w:rPr>
        <w:t>в</w:t>
      </w:r>
      <w:r>
        <w:rPr>
          <w:color w:val="231F20"/>
          <w:spacing w:val="-1"/>
        </w:rPr>
        <w:t> </w:t>
      </w:r>
      <w:r>
        <w:rPr>
          <w:color w:val="231F20"/>
        </w:rPr>
        <w:t>виртуальной</w:t>
      </w:r>
      <w:r>
        <w:rPr>
          <w:color w:val="231F20"/>
          <w:spacing w:val="-1"/>
        </w:rPr>
        <w:t> </w:t>
      </w:r>
      <w:r>
        <w:rPr>
          <w:color w:val="231F20"/>
        </w:rPr>
        <w:t>среде,</w:t>
      </w:r>
      <w:r>
        <w:rPr>
          <w:color w:val="231F20"/>
          <w:spacing w:val="-1"/>
        </w:rPr>
        <w:t> </w:t>
      </w:r>
      <w:r>
        <w:rPr>
          <w:color w:val="231F20"/>
        </w:rPr>
        <w:t>то</w:t>
      </w:r>
      <w:r>
        <w:rPr>
          <w:color w:val="231F20"/>
          <w:spacing w:val="-1"/>
        </w:rPr>
        <w:t> </w:t>
      </w:r>
      <w:r>
        <w:rPr>
          <w:color w:val="231F20"/>
        </w:rPr>
        <w:t>желательно</w:t>
      </w:r>
      <w:r>
        <w:rPr>
          <w:color w:val="231F20"/>
          <w:spacing w:val="-1"/>
        </w:rPr>
        <w:t> </w:t>
      </w:r>
      <w:r>
        <w:rPr>
          <w:color w:val="231F20"/>
        </w:rPr>
        <w:t>организо- вать</w:t>
      </w:r>
      <w:r>
        <w:rPr>
          <w:color w:val="231F20"/>
          <w:spacing w:val="-11"/>
        </w:rPr>
        <w:t> </w:t>
      </w:r>
      <w:r>
        <w:rPr>
          <w:color w:val="231F20"/>
        </w:rPr>
        <w:t>и</w:t>
      </w:r>
      <w:r>
        <w:rPr>
          <w:color w:val="231F20"/>
          <w:spacing w:val="-11"/>
        </w:rPr>
        <w:t> </w:t>
      </w:r>
      <w:r>
        <w:rPr>
          <w:color w:val="231F20"/>
        </w:rPr>
        <w:t>провести</w:t>
      </w:r>
      <w:r>
        <w:rPr>
          <w:color w:val="231F20"/>
          <w:spacing w:val="-11"/>
        </w:rPr>
        <w:t> </w:t>
      </w:r>
      <w:r>
        <w:rPr>
          <w:color w:val="231F20"/>
        </w:rPr>
        <w:t>тренинги</w:t>
      </w:r>
      <w:r>
        <w:rPr>
          <w:color w:val="231F20"/>
          <w:spacing w:val="-11"/>
        </w:rPr>
        <w:t> </w:t>
      </w:r>
      <w:r>
        <w:rPr>
          <w:color w:val="231F20"/>
        </w:rPr>
        <w:t>по</w:t>
      </w:r>
      <w:r>
        <w:rPr>
          <w:color w:val="231F20"/>
          <w:spacing w:val="-11"/>
        </w:rPr>
        <w:t> </w:t>
      </w:r>
      <w:r>
        <w:rPr>
          <w:color w:val="231F20"/>
        </w:rPr>
        <w:t>подготовке</w:t>
      </w:r>
      <w:r>
        <w:rPr>
          <w:color w:val="231F20"/>
          <w:spacing w:val="-11"/>
        </w:rPr>
        <w:t> </w:t>
      </w:r>
      <w:r>
        <w:rPr>
          <w:color w:val="231F20"/>
        </w:rPr>
        <w:t>учащихся</w:t>
      </w:r>
      <w:r>
        <w:rPr>
          <w:color w:val="231F20"/>
          <w:spacing w:val="-11"/>
        </w:rPr>
        <w:t> </w:t>
      </w:r>
      <w:r>
        <w:rPr>
          <w:color w:val="231F20"/>
        </w:rPr>
        <w:t>к</w:t>
      </w:r>
      <w:r>
        <w:rPr>
          <w:color w:val="231F20"/>
          <w:spacing w:val="-11"/>
        </w:rPr>
        <w:t> </w:t>
      </w:r>
      <w:r>
        <w:rPr>
          <w:color w:val="231F20"/>
        </w:rPr>
        <w:t>обучению</w:t>
      </w:r>
      <w:r>
        <w:rPr>
          <w:color w:val="231F20"/>
          <w:spacing w:val="-11"/>
        </w:rPr>
        <w:t> </w:t>
      </w:r>
      <w:r>
        <w:rPr>
          <w:color w:val="231F20"/>
        </w:rPr>
        <w:t>в</w:t>
      </w:r>
      <w:r>
        <w:rPr>
          <w:color w:val="231F20"/>
          <w:spacing w:val="-11"/>
        </w:rPr>
        <w:t> </w:t>
      </w:r>
      <w:r>
        <w:rPr>
          <w:color w:val="231F20"/>
        </w:rPr>
        <w:t>сотрудничестве</w:t>
      </w:r>
      <w:r>
        <w:rPr>
          <w:color w:val="231F20"/>
          <w:spacing w:val="-11"/>
        </w:rPr>
        <w:t> </w:t>
      </w:r>
      <w:r>
        <w:rPr>
          <w:color w:val="231F20"/>
        </w:rPr>
        <w:t>в</w:t>
      </w:r>
      <w:r>
        <w:rPr>
          <w:color w:val="231F20"/>
          <w:spacing w:val="-11"/>
        </w:rPr>
        <w:t> </w:t>
      </w:r>
      <w:r>
        <w:rPr>
          <w:color w:val="231F20"/>
        </w:rPr>
        <w:t>ре- </w:t>
      </w:r>
      <w:r>
        <w:rPr>
          <w:color w:val="231F20"/>
          <w:spacing w:val="-2"/>
        </w:rPr>
        <w:t>альной,</w:t>
      </w:r>
      <w:r>
        <w:rPr>
          <w:color w:val="231F20"/>
          <w:spacing w:val="-5"/>
        </w:rPr>
        <w:t> </w:t>
      </w:r>
      <w:r>
        <w:rPr>
          <w:color w:val="231F20"/>
          <w:spacing w:val="-2"/>
        </w:rPr>
        <w:t>то</w:t>
      </w:r>
      <w:r>
        <w:rPr>
          <w:color w:val="231F20"/>
          <w:spacing w:val="-5"/>
        </w:rPr>
        <w:t> </w:t>
      </w:r>
      <w:r>
        <w:rPr>
          <w:color w:val="231F20"/>
          <w:spacing w:val="-2"/>
        </w:rPr>
        <w:t>есть</w:t>
      </w:r>
      <w:r>
        <w:rPr>
          <w:color w:val="231F20"/>
          <w:spacing w:val="-5"/>
        </w:rPr>
        <w:t> </w:t>
      </w:r>
      <w:r>
        <w:rPr>
          <w:color w:val="231F20"/>
          <w:spacing w:val="-2"/>
        </w:rPr>
        <w:t>в</w:t>
      </w:r>
      <w:r>
        <w:rPr>
          <w:color w:val="231F20"/>
          <w:spacing w:val="-5"/>
        </w:rPr>
        <w:t> </w:t>
      </w:r>
      <w:r>
        <w:rPr>
          <w:color w:val="231F20"/>
          <w:spacing w:val="-2"/>
        </w:rPr>
        <w:t>офлайн-среде.</w:t>
      </w:r>
      <w:r>
        <w:rPr>
          <w:color w:val="231F20"/>
          <w:spacing w:val="-5"/>
        </w:rPr>
        <w:t> </w:t>
      </w:r>
      <w:r>
        <w:rPr>
          <w:color w:val="231F20"/>
          <w:spacing w:val="-2"/>
        </w:rPr>
        <w:t>Это</w:t>
      </w:r>
      <w:r>
        <w:rPr>
          <w:color w:val="231F20"/>
          <w:spacing w:val="-5"/>
        </w:rPr>
        <w:t> </w:t>
      </w:r>
      <w:r>
        <w:rPr>
          <w:color w:val="231F20"/>
          <w:spacing w:val="-2"/>
        </w:rPr>
        <w:t>даст</w:t>
      </w:r>
      <w:r>
        <w:rPr>
          <w:color w:val="231F20"/>
          <w:spacing w:val="-5"/>
        </w:rPr>
        <w:t> </w:t>
      </w:r>
      <w:r>
        <w:rPr>
          <w:color w:val="231F20"/>
          <w:spacing w:val="-2"/>
        </w:rPr>
        <w:t>несравнимо</w:t>
      </w:r>
      <w:r>
        <w:rPr>
          <w:color w:val="231F20"/>
          <w:spacing w:val="-5"/>
        </w:rPr>
        <w:t> </w:t>
      </w:r>
      <w:r>
        <w:rPr>
          <w:color w:val="231F20"/>
          <w:spacing w:val="-2"/>
        </w:rPr>
        <w:t>больший</w:t>
      </w:r>
      <w:r>
        <w:rPr>
          <w:color w:val="231F20"/>
          <w:spacing w:val="-5"/>
        </w:rPr>
        <w:t> </w:t>
      </w:r>
      <w:r>
        <w:rPr>
          <w:color w:val="231F20"/>
          <w:spacing w:val="-2"/>
        </w:rPr>
        <w:t>педагогический</w:t>
      </w:r>
      <w:r>
        <w:rPr>
          <w:color w:val="231F20"/>
          <w:spacing w:val="-5"/>
        </w:rPr>
        <w:t> </w:t>
      </w:r>
      <w:r>
        <w:rPr>
          <w:color w:val="231F20"/>
          <w:spacing w:val="-2"/>
        </w:rPr>
        <w:t>эффект </w:t>
      </w:r>
      <w:r>
        <w:rPr>
          <w:color w:val="231F20"/>
        </w:rPr>
        <w:t>и позволит в дальнейшем провести занятия более результативно. Во-вторых, работа учащихся</w:t>
      </w:r>
      <w:r>
        <w:rPr>
          <w:color w:val="231F20"/>
          <w:spacing w:val="-10"/>
        </w:rPr>
        <w:t> </w:t>
      </w:r>
      <w:r>
        <w:rPr>
          <w:color w:val="231F20"/>
        </w:rPr>
        <w:t>и</w:t>
      </w:r>
      <w:r>
        <w:rPr>
          <w:color w:val="231F20"/>
          <w:spacing w:val="-10"/>
        </w:rPr>
        <w:t> </w:t>
      </w:r>
      <w:r>
        <w:rPr>
          <w:color w:val="231F20"/>
        </w:rPr>
        <w:t>учителя</w:t>
      </w:r>
      <w:r>
        <w:rPr>
          <w:color w:val="231F20"/>
          <w:spacing w:val="-10"/>
        </w:rPr>
        <w:t> </w:t>
      </w:r>
      <w:r>
        <w:rPr>
          <w:color w:val="231F20"/>
        </w:rPr>
        <w:t>в</w:t>
      </w:r>
      <w:r>
        <w:rPr>
          <w:color w:val="231F20"/>
          <w:spacing w:val="-10"/>
        </w:rPr>
        <w:t> </w:t>
      </w:r>
      <w:r>
        <w:rPr>
          <w:color w:val="231F20"/>
        </w:rPr>
        <w:t>виртуальной</w:t>
      </w:r>
      <w:r>
        <w:rPr>
          <w:color w:val="231F20"/>
          <w:spacing w:val="-10"/>
        </w:rPr>
        <w:t> </w:t>
      </w:r>
      <w:r>
        <w:rPr>
          <w:color w:val="231F20"/>
        </w:rPr>
        <w:t>среде</w:t>
      </w:r>
      <w:r>
        <w:rPr>
          <w:color w:val="231F20"/>
          <w:spacing w:val="-10"/>
        </w:rPr>
        <w:t> </w:t>
      </w:r>
      <w:r>
        <w:rPr>
          <w:color w:val="231F20"/>
        </w:rPr>
        <w:t>требует</w:t>
      </w:r>
      <w:r>
        <w:rPr>
          <w:color w:val="231F20"/>
          <w:spacing w:val="-10"/>
        </w:rPr>
        <w:t> </w:t>
      </w:r>
      <w:r>
        <w:rPr>
          <w:color w:val="231F20"/>
        </w:rPr>
        <w:t>более</w:t>
      </w:r>
      <w:r>
        <w:rPr>
          <w:color w:val="231F20"/>
          <w:spacing w:val="-10"/>
        </w:rPr>
        <w:t> </w:t>
      </w:r>
      <w:r>
        <w:rPr>
          <w:color w:val="231F20"/>
        </w:rPr>
        <w:t>тщательной</w:t>
      </w:r>
      <w:r>
        <w:rPr>
          <w:color w:val="231F20"/>
          <w:spacing w:val="-10"/>
        </w:rPr>
        <w:t> </w:t>
      </w:r>
      <w:r>
        <w:rPr>
          <w:color w:val="231F20"/>
        </w:rPr>
        <w:t>проработки</w:t>
      </w:r>
      <w:r>
        <w:rPr>
          <w:color w:val="231F20"/>
          <w:spacing w:val="-10"/>
        </w:rPr>
        <w:t> </w:t>
      </w:r>
      <w:r>
        <w:rPr>
          <w:color w:val="231F20"/>
        </w:rPr>
        <w:t>норм и</w:t>
      </w:r>
      <w:r>
        <w:rPr>
          <w:color w:val="231F20"/>
          <w:spacing w:val="-2"/>
        </w:rPr>
        <w:t> </w:t>
      </w:r>
      <w:r>
        <w:rPr>
          <w:color w:val="231F20"/>
        </w:rPr>
        <w:t>правил</w:t>
      </w:r>
      <w:r>
        <w:rPr>
          <w:color w:val="231F20"/>
          <w:spacing w:val="-2"/>
        </w:rPr>
        <w:t> </w:t>
      </w:r>
      <w:r>
        <w:rPr>
          <w:color w:val="231F20"/>
        </w:rPr>
        <w:t>группового</w:t>
      </w:r>
      <w:r>
        <w:rPr>
          <w:color w:val="231F20"/>
          <w:spacing w:val="-2"/>
        </w:rPr>
        <w:t> </w:t>
      </w:r>
      <w:r>
        <w:rPr>
          <w:color w:val="231F20"/>
        </w:rPr>
        <w:t>поведения,</w:t>
      </w:r>
      <w:r>
        <w:rPr>
          <w:color w:val="231F20"/>
          <w:spacing w:val="-2"/>
        </w:rPr>
        <w:t> </w:t>
      </w:r>
      <w:r>
        <w:rPr>
          <w:color w:val="231F20"/>
        </w:rPr>
        <w:t>в</w:t>
      </w:r>
      <w:r>
        <w:rPr>
          <w:color w:val="231F20"/>
          <w:spacing w:val="-2"/>
        </w:rPr>
        <w:t> </w:t>
      </w:r>
      <w:r>
        <w:rPr>
          <w:color w:val="231F20"/>
        </w:rPr>
        <w:t>которых</w:t>
      </w:r>
      <w:r>
        <w:rPr>
          <w:color w:val="231F20"/>
          <w:spacing w:val="-2"/>
        </w:rPr>
        <w:t> </w:t>
      </w:r>
      <w:r>
        <w:rPr>
          <w:color w:val="231F20"/>
        </w:rPr>
        <w:t>нужно</w:t>
      </w:r>
      <w:r>
        <w:rPr>
          <w:color w:val="231F20"/>
          <w:spacing w:val="-2"/>
        </w:rPr>
        <w:t> </w:t>
      </w:r>
      <w:r>
        <w:rPr>
          <w:color w:val="231F20"/>
        </w:rPr>
        <w:t>будет</w:t>
      </w:r>
      <w:r>
        <w:rPr>
          <w:color w:val="231F20"/>
          <w:spacing w:val="-2"/>
        </w:rPr>
        <w:t> </w:t>
      </w:r>
      <w:r>
        <w:rPr>
          <w:color w:val="231F20"/>
        </w:rPr>
        <w:t>отразить</w:t>
      </w:r>
      <w:r>
        <w:rPr>
          <w:color w:val="231F20"/>
          <w:spacing w:val="-2"/>
        </w:rPr>
        <w:t> </w:t>
      </w:r>
      <w:r>
        <w:rPr>
          <w:color w:val="231F20"/>
        </w:rPr>
        <w:t>специфику</w:t>
      </w:r>
      <w:r>
        <w:rPr>
          <w:color w:val="231F20"/>
          <w:spacing w:val="-2"/>
        </w:rPr>
        <w:t> </w:t>
      </w:r>
      <w:r>
        <w:rPr>
          <w:color w:val="231F20"/>
        </w:rPr>
        <w:t>работы </w:t>
      </w:r>
      <w:r>
        <w:rPr>
          <w:color w:val="231F20"/>
          <w:spacing w:val="-2"/>
        </w:rPr>
        <w:t>онлайн-групп</w:t>
      </w:r>
      <w:r>
        <w:rPr>
          <w:color w:val="231F20"/>
          <w:spacing w:val="-7"/>
        </w:rPr>
        <w:t> </w:t>
      </w:r>
      <w:r>
        <w:rPr>
          <w:color w:val="231F20"/>
          <w:spacing w:val="-2"/>
        </w:rPr>
        <w:t>учащихся,</w:t>
      </w:r>
      <w:r>
        <w:rPr>
          <w:color w:val="231F20"/>
          <w:spacing w:val="-7"/>
        </w:rPr>
        <w:t> </w:t>
      </w:r>
      <w:r>
        <w:rPr>
          <w:color w:val="231F20"/>
          <w:spacing w:val="-2"/>
        </w:rPr>
        <w:t>включая</w:t>
      </w:r>
      <w:r>
        <w:rPr>
          <w:color w:val="231F20"/>
          <w:spacing w:val="-7"/>
        </w:rPr>
        <w:t> </w:t>
      </w:r>
      <w:r>
        <w:rPr>
          <w:color w:val="231F20"/>
          <w:spacing w:val="-2"/>
        </w:rPr>
        <w:t>правила</w:t>
      </w:r>
      <w:r>
        <w:rPr>
          <w:color w:val="231F20"/>
          <w:spacing w:val="-6"/>
        </w:rPr>
        <w:t> </w:t>
      </w:r>
      <w:r>
        <w:rPr>
          <w:color w:val="231F20"/>
          <w:spacing w:val="-2"/>
        </w:rPr>
        <w:t>онлайн-общения,</w:t>
      </w:r>
      <w:r>
        <w:rPr>
          <w:color w:val="231F20"/>
          <w:spacing w:val="-7"/>
        </w:rPr>
        <w:t> </w:t>
      </w:r>
      <w:r>
        <w:rPr>
          <w:color w:val="231F20"/>
          <w:spacing w:val="-2"/>
        </w:rPr>
        <w:t>правила</w:t>
      </w:r>
      <w:r>
        <w:rPr>
          <w:color w:val="231F20"/>
          <w:spacing w:val="-6"/>
        </w:rPr>
        <w:t> </w:t>
      </w:r>
      <w:r>
        <w:rPr>
          <w:color w:val="231F20"/>
          <w:spacing w:val="-2"/>
        </w:rPr>
        <w:t>обмена</w:t>
      </w:r>
      <w:r>
        <w:rPr>
          <w:color w:val="231F20"/>
          <w:spacing w:val="-6"/>
        </w:rPr>
        <w:t> </w:t>
      </w:r>
      <w:r>
        <w:rPr>
          <w:color w:val="231F20"/>
          <w:spacing w:val="-2"/>
        </w:rPr>
        <w:t>информа- </w:t>
      </w:r>
      <w:r>
        <w:rPr>
          <w:color w:val="231F20"/>
        </w:rPr>
        <w:t>цией, совместного использования электронных досок и так далее.</w:t>
      </w:r>
    </w:p>
    <w:p>
      <w:pPr>
        <w:pStyle w:val="BodyText"/>
        <w:spacing w:line="235" w:lineRule="auto" w:before="120"/>
        <w:jc w:val="right"/>
      </w:pPr>
      <w:r>
        <w:rPr>
          <w:b/>
          <w:color w:val="231F20"/>
        </w:rPr>
        <w:t>Специальные</w:t>
      </w:r>
      <w:r>
        <w:rPr>
          <w:b/>
          <w:color w:val="231F20"/>
          <w:spacing w:val="-13"/>
        </w:rPr>
        <w:t> </w:t>
      </w:r>
      <w:r>
        <w:rPr>
          <w:b/>
          <w:color w:val="231F20"/>
        </w:rPr>
        <w:t>программы</w:t>
      </w:r>
      <w:r>
        <w:rPr>
          <w:b/>
          <w:color w:val="231F20"/>
          <w:spacing w:val="-12"/>
        </w:rPr>
        <w:t> </w:t>
      </w:r>
      <w:r>
        <w:rPr>
          <w:b/>
          <w:color w:val="231F20"/>
        </w:rPr>
        <w:t>подготовки</w:t>
      </w:r>
      <w:r>
        <w:rPr>
          <w:b/>
          <w:color w:val="231F20"/>
          <w:spacing w:val="-13"/>
        </w:rPr>
        <w:t> </w:t>
      </w:r>
      <w:r>
        <w:rPr>
          <w:b/>
          <w:color w:val="231F20"/>
        </w:rPr>
        <w:t>учителей</w:t>
      </w:r>
      <w:r>
        <w:rPr>
          <w:b/>
          <w:color w:val="231F20"/>
          <w:spacing w:val="-12"/>
        </w:rPr>
        <w:t> </w:t>
      </w:r>
      <w:r>
        <w:rPr>
          <w:b/>
          <w:color w:val="231F20"/>
        </w:rPr>
        <w:t>к</w:t>
      </w:r>
      <w:r>
        <w:rPr>
          <w:b/>
          <w:color w:val="231F20"/>
          <w:spacing w:val="-13"/>
        </w:rPr>
        <w:t> </w:t>
      </w:r>
      <w:r>
        <w:rPr>
          <w:b/>
          <w:color w:val="231F20"/>
        </w:rPr>
        <w:t>обучению</w:t>
      </w:r>
      <w:r>
        <w:rPr>
          <w:b/>
          <w:color w:val="231F20"/>
          <w:spacing w:val="-12"/>
        </w:rPr>
        <w:t> </w:t>
      </w:r>
      <w:r>
        <w:rPr>
          <w:b/>
          <w:color w:val="231F20"/>
        </w:rPr>
        <w:t>в</w:t>
      </w:r>
      <w:r>
        <w:rPr>
          <w:b/>
          <w:color w:val="231F20"/>
          <w:spacing w:val="-13"/>
        </w:rPr>
        <w:t> </w:t>
      </w:r>
      <w:r>
        <w:rPr>
          <w:b/>
          <w:color w:val="231F20"/>
        </w:rPr>
        <w:t>сотрудничестве </w:t>
      </w:r>
      <w:r>
        <w:rPr>
          <w:color w:val="231F20"/>
        </w:rPr>
        <w:t>Одним из примеров совместного онлайн-обучения при подготовке учителей явля- ется программа «Технологии, образование и культурное разнообразие» (TEC), реа- лизуемая</w:t>
      </w:r>
      <w:r>
        <w:rPr>
          <w:color w:val="231F20"/>
          <w:spacing w:val="-4"/>
        </w:rPr>
        <w:t> </w:t>
      </w:r>
      <w:r>
        <w:rPr>
          <w:color w:val="231F20"/>
        </w:rPr>
        <w:t>в</w:t>
      </w:r>
      <w:r>
        <w:rPr>
          <w:color w:val="231F20"/>
          <w:spacing w:val="-4"/>
        </w:rPr>
        <w:t> </w:t>
      </w:r>
      <w:r>
        <w:rPr>
          <w:color w:val="231F20"/>
        </w:rPr>
        <w:t>Израиле</w:t>
      </w:r>
      <w:r>
        <w:rPr>
          <w:color w:val="231F20"/>
          <w:spacing w:val="-4"/>
        </w:rPr>
        <w:t> </w:t>
      </w:r>
      <w:r>
        <w:rPr>
          <w:color w:val="231F20"/>
        </w:rPr>
        <w:t>(Shonfeld</w:t>
      </w:r>
      <w:r>
        <w:rPr>
          <w:color w:val="231F20"/>
          <w:spacing w:val="-4"/>
        </w:rPr>
        <w:t> </w:t>
      </w:r>
      <w:r>
        <w:rPr>
          <w:color w:val="231F20"/>
        </w:rPr>
        <w:t>et</w:t>
      </w:r>
      <w:r>
        <w:rPr>
          <w:color w:val="231F20"/>
          <w:spacing w:val="-4"/>
        </w:rPr>
        <w:t> </w:t>
      </w:r>
      <w:r>
        <w:rPr>
          <w:color w:val="231F20"/>
        </w:rPr>
        <w:t>al.,</w:t>
      </w:r>
      <w:r>
        <w:rPr>
          <w:color w:val="231F20"/>
          <w:spacing w:val="-4"/>
        </w:rPr>
        <w:t> </w:t>
      </w:r>
      <w:r>
        <w:rPr>
          <w:color w:val="231F20"/>
        </w:rPr>
        <w:t>2013).</w:t>
      </w:r>
      <w:r>
        <w:rPr>
          <w:color w:val="231F20"/>
          <w:spacing w:val="-4"/>
        </w:rPr>
        <w:t> </w:t>
      </w:r>
      <w:r>
        <w:rPr>
          <w:color w:val="231F20"/>
        </w:rPr>
        <w:t>Все</w:t>
      </w:r>
      <w:r>
        <w:rPr>
          <w:color w:val="231F20"/>
          <w:spacing w:val="-4"/>
        </w:rPr>
        <w:t> </w:t>
      </w:r>
      <w:r>
        <w:rPr>
          <w:color w:val="231F20"/>
        </w:rPr>
        <w:t>студенты</w:t>
      </w:r>
      <w:r>
        <w:rPr>
          <w:color w:val="231F20"/>
          <w:spacing w:val="-4"/>
        </w:rPr>
        <w:t> </w:t>
      </w:r>
      <w:r>
        <w:rPr>
          <w:color w:val="231F20"/>
        </w:rPr>
        <w:t>образовательных</w:t>
      </w:r>
      <w:r>
        <w:rPr>
          <w:color w:val="231F20"/>
          <w:spacing w:val="-4"/>
        </w:rPr>
        <w:t> </w:t>
      </w:r>
      <w:r>
        <w:rPr>
          <w:color w:val="231F20"/>
        </w:rPr>
        <w:t>колледжей приглашаются на курсы в рамках онлайн-программы совместного обучения. В из- раильской</w:t>
      </w:r>
      <w:r>
        <w:rPr>
          <w:color w:val="231F20"/>
          <w:spacing w:val="4"/>
        </w:rPr>
        <w:t> </w:t>
      </w:r>
      <w:r>
        <w:rPr>
          <w:color w:val="231F20"/>
        </w:rPr>
        <w:t>системе</w:t>
      </w:r>
      <w:r>
        <w:rPr>
          <w:color w:val="231F20"/>
          <w:spacing w:val="6"/>
        </w:rPr>
        <w:t> </w:t>
      </w:r>
      <w:r>
        <w:rPr>
          <w:color w:val="231F20"/>
        </w:rPr>
        <w:t>образования</w:t>
      </w:r>
      <w:r>
        <w:rPr>
          <w:color w:val="231F20"/>
          <w:spacing w:val="6"/>
        </w:rPr>
        <w:t> </w:t>
      </w:r>
      <w:r>
        <w:rPr>
          <w:color w:val="231F20"/>
        </w:rPr>
        <w:t>существуют</w:t>
      </w:r>
      <w:r>
        <w:rPr>
          <w:color w:val="231F20"/>
          <w:spacing w:val="7"/>
        </w:rPr>
        <w:t> </w:t>
      </w:r>
      <w:r>
        <w:rPr>
          <w:color w:val="231F20"/>
        </w:rPr>
        <w:t>отдельные</w:t>
      </w:r>
      <w:r>
        <w:rPr>
          <w:color w:val="231F20"/>
          <w:spacing w:val="6"/>
        </w:rPr>
        <w:t> </w:t>
      </w:r>
      <w:r>
        <w:rPr>
          <w:color w:val="231F20"/>
        </w:rPr>
        <w:t>колледжи</w:t>
      </w:r>
      <w:r>
        <w:rPr>
          <w:color w:val="231F20"/>
          <w:spacing w:val="6"/>
        </w:rPr>
        <w:t> </w:t>
      </w:r>
      <w:r>
        <w:rPr>
          <w:color w:val="231F20"/>
        </w:rPr>
        <w:t>для</w:t>
      </w:r>
      <w:r>
        <w:rPr>
          <w:color w:val="231F20"/>
          <w:spacing w:val="6"/>
        </w:rPr>
        <w:t> </w:t>
      </w:r>
      <w:r>
        <w:rPr>
          <w:color w:val="231F20"/>
        </w:rPr>
        <w:t>арабских</w:t>
      </w:r>
      <w:r>
        <w:rPr>
          <w:color w:val="231F20"/>
          <w:spacing w:val="7"/>
        </w:rPr>
        <w:t> </w:t>
      </w:r>
      <w:r>
        <w:rPr>
          <w:color w:val="231F20"/>
          <w:spacing w:val="-4"/>
        </w:rPr>
        <w:t>сту-</w:t>
      </w:r>
    </w:p>
    <w:p>
      <w:pPr>
        <w:pStyle w:val="BodyText"/>
        <w:spacing w:after="0" w:line="235" w:lineRule="auto"/>
        <w:jc w:val="right"/>
        <w:sectPr>
          <w:pgSz w:w="8400" w:h="11910"/>
          <w:pgMar w:header="0" w:footer="527"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0" w:lineRule="auto" w:before="119"/>
        <w:ind w:firstLine="0"/>
      </w:pPr>
      <w:r>
        <w:rPr>
          <w:color w:val="231F20"/>
        </w:rPr>
        <w:t>дентов, а также для ортодоксальных и нерелигиозных еврейских студентов. Тем не менее</w:t>
      </w:r>
      <w:r>
        <w:rPr>
          <w:color w:val="231F20"/>
          <w:spacing w:val="-3"/>
        </w:rPr>
        <w:t> </w:t>
      </w:r>
      <w:r>
        <w:rPr>
          <w:color w:val="231F20"/>
        </w:rPr>
        <w:t>в</w:t>
      </w:r>
      <w:r>
        <w:rPr>
          <w:color w:val="231F20"/>
          <w:spacing w:val="-3"/>
        </w:rPr>
        <w:t> </w:t>
      </w:r>
      <w:r>
        <w:rPr>
          <w:color w:val="231F20"/>
        </w:rPr>
        <w:t>программе</w:t>
      </w:r>
      <w:r>
        <w:rPr>
          <w:color w:val="231F20"/>
          <w:spacing w:val="-5"/>
        </w:rPr>
        <w:t> </w:t>
      </w:r>
      <w:r>
        <w:rPr>
          <w:color w:val="231F20"/>
        </w:rPr>
        <w:t>TEC</w:t>
      </w:r>
      <w:r>
        <w:rPr>
          <w:color w:val="231F20"/>
          <w:spacing w:val="-3"/>
        </w:rPr>
        <w:t> </w:t>
      </w:r>
      <w:r>
        <w:rPr>
          <w:color w:val="231F20"/>
        </w:rPr>
        <w:t>участвуют</w:t>
      </w:r>
      <w:r>
        <w:rPr>
          <w:color w:val="231F20"/>
          <w:spacing w:val="-3"/>
        </w:rPr>
        <w:t> </w:t>
      </w:r>
      <w:r>
        <w:rPr>
          <w:color w:val="231F20"/>
        </w:rPr>
        <w:t>студенты</w:t>
      </w:r>
      <w:r>
        <w:rPr>
          <w:color w:val="231F20"/>
          <w:spacing w:val="-3"/>
        </w:rPr>
        <w:t> </w:t>
      </w:r>
      <w:r>
        <w:rPr>
          <w:color w:val="231F20"/>
        </w:rPr>
        <w:t>из</w:t>
      </w:r>
      <w:r>
        <w:rPr>
          <w:color w:val="231F20"/>
          <w:spacing w:val="-3"/>
        </w:rPr>
        <w:t> </w:t>
      </w:r>
      <w:r>
        <w:rPr>
          <w:color w:val="231F20"/>
        </w:rPr>
        <w:t>всех</w:t>
      </w:r>
      <w:r>
        <w:rPr>
          <w:color w:val="231F20"/>
          <w:spacing w:val="-3"/>
        </w:rPr>
        <w:t> </w:t>
      </w:r>
      <w:r>
        <w:rPr>
          <w:color w:val="231F20"/>
        </w:rPr>
        <w:t>типов</w:t>
      </w:r>
      <w:r>
        <w:rPr>
          <w:color w:val="231F20"/>
          <w:spacing w:val="-3"/>
        </w:rPr>
        <w:t> </w:t>
      </w:r>
      <w:r>
        <w:rPr>
          <w:color w:val="231F20"/>
        </w:rPr>
        <w:t>образовательных</w:t>
      </w:r>
      <w:r>
        <w:rPr>
          <w:color w:val="231F20"/>
          <w:spacing w:val="-3"/>
        </w:rPr>
        <w:t> </w:t>
      </w:r>
      <w:r>
        <w:rPr>
          <w:color w:val="231F20"/>
        </w:rPr>
        <w:t>коллед- жей (светских еврейских, религиозных и арабских) и преподавание осуществляется совместно</w:t>
      </w:r>
      <w:r>
        <w:rPr>
          <w:color w:val="231F20"/>
          <w:spacing w:val="-8"/>
        </w:rPr>
        <w:t> </w:t>
      </w:r>
      <w:r>
        <w:rPr>
          <w:color w:val="231F20"/>
        </w:rPr>
        <w:t>командой</w:t>
      </w:r>
      <w:r>
        <w:rPr>
          <w:color w:val="231F20"/>
          <w:spacing w:val="-9"/>
        </w:rPr>
        <w:t> </w:t>
      </w:r>
      <w:r>
        <w:rPr>
          <w:color w:val="231F20"/>
        </w:rPr>
        <w:t>инструкторов,</w:t>
      </w:r>
      <w:r>
        <w:rPr>
          <w:color w:val="231F20"/>
          <w:spacing w:val="-8"/>
        </w:rPr>
        <w:t> </w:t>
      </w:r>
      <w:r>
        <w:rPr>
          <w:color w:val="231F20"/>
        </w:rPr>
        <w:t>состоящей</w:t>
      </w:r>
      <w:r>
        <w:rPr>
          <w:color w:val="231F20"/>
          <w:spacing w:val="-9"/>
        </w:rPr>
        <w:t> </w:t>
      </w:r>
      <w:r>
        <w:rPr>
          <w:color w:val="231F20"/>
        </w:rPr>
        <w:t>из</w:t>
      </w:r>
      <w:r>
        <w:rPr>
          <w:color w:val="231F20"/>
          <w:spacing w:val="-8"/>
        </w:rPr>
        <w:t> </w:t>
      </w:r>
      <w:r>
        <w:rPr>
          <w:color w:val="231F20"/>
        </w:rPr>
        <w:t>представителей</w:t>
      </w:r>
      <w:r>
        <w:rPr>
          <w:color w:val="231F20"/>
          <w:spacing w:val="-9"/>
        </w:rPr>
        <w:t> </w:t>
      </w:r>
      <w:r>
        <w:rPr>
          <w:color w:val="231F20"/>
        </w:rPr>
        <w:t>разных</w:t>
      </w:r>
      <w:r>
        <w:rPr>
          <w:color w:val="231F20"/>
          <w:spacing w:val="-9"/>
        </w:rPr>
        <w:t> </w:t>
      </w:r>
      <w:r>
        <w:rPr>
          <w:color w:val="231F20"/>
        </w:rPr>
        <w:t>этнических и религиозных сообществ.</w:t>
      </w:r>
    </w:p>
    <w:p>
      <w:pPr>
        <w:pStyle w:val="BodyText"/>
        <w:spacing w:line="232" w:lineRule="auto" w:before="3"/>
      </w:pPr>
      <w:r>
        <w:rPr>
          <w:color w:val="231F20"/>
        </w:rPr>
        <w:t>В</w:t>
      </w:r>
      <w:r>
        <w:rPr>
          <w:color w:val="231F20"/>
          <w:spacing w:val="-11"/>
        </w:rPr>
        <w:t> </w:t>
      </w:r>
      <w:r>
        <w:rPr>
          <w:color w:val="231F20"/>
        </w:rPr>
        <w:t>начале</w:t>
      </w:r>
      <w:r>
        <w:rPr>
          <w:color w:val="231F20"/>
          <w:spacing w:val="-11"/>
        </w:rPr>
        <w:t> </w:t>
      </w:r>
      <w:r>
        <w:rPr>
          <w:color w:val="231F20"/>
        </w:rPr>
        <w:t>курса</w:t>
      </w:r>
      <w:r>
        <w:rPr>
          <w:color w:val="231F20"/>
          <w:spacing w:val="-11"/>
        </w:rPr>
        <w:t> </w:t>
      </w:r>
      <w:r>
        <w:rPr>
          <w:color w:val="231F20"/>
        </w:rPr>
        <w:t>обучение</w:t>
      </w:r>
      <w:r>
        <w:rPr>
          <w:color w:val="231F20"/>
          <w:spacing w:val="-11"/>
        </w:rPr>
        <w:t> </w:t>
      </w:r>
      <w:r>
        <w:rPr>
          <w:color w:val="231F20"/>
        </w:rPr>
        <w:t>основывается</w:t>
      </w:r>
      <w:r>
        <w:rPr>
          <w:color w:val="231F20"/>
          <w:spacing w:val="-11"/>
        </w:rPr>
        <w:t> </w:t>
      </w:r>
      <w:r>
        <w:rPr>
          <w:color w:val="231F20"/>
        </w:rPr>
        <w:t>на</w:t>
      </w:r>
      <w:r>
        <w:rPr>
          <w:color w:val="231F20"/>
          <w:spacing w:val="-11"/>
        </w:rPr>
        <w:t> </w:t>
      </w:r>
      <w:r>
        <w:rPr>
          <w:color w:val="231F20"/>
        </w:rPr>
        <w:t>текстовой</w:t>
      </w:r>
      <w:r>
        <w:rPr>
          <w:color w:val="231F20"/>
          <w:spacing w:val="-11"/>
        </w:rPr>
        <w:t> </w:t>
      </w:r>
      <w:r>
        <w:rPr>
          <w:color w:val="231F20"/>
        </w:rPr>
        <w:t>информации,</w:t>
      </w:r>
      <w:r>
        <w:rPr>
          <w:color w:val="231F20"/>
          <w:spacing w:val="-11"/>
        </w:rPr>
        <w:t> </w:t>
      </w:r>
      <w:r>
        <w:rPr>
          <w:color w:val="231F20"/>
        </w:rPr>
        <w:t>но</w:t>
      </w:r>
      <w:r>
        <w:rPr>
          <w:color w:val="231F20"/>
          <w:spacing w:val="-11"/>
        </w:rPr>
        <w:t> </w:t>
      </w:r>
      <w:r>
        <w:rPr>
          <w:color w:val="231F20"/>
        </w:rPr>
        <w:t>по</w:t>
      </w:r>
      <w:r>
        <w:rPr>
          <w:color w:val="231F20"/>
          <w:spacing w:val="-11"/>
        </w:rPr>
        <w:t> </w:t>
      </w:r>
      <w:r>
        <w:rPr>
          <w:color w:val="231F20"/>
        </w:rPr>
        <w:t>мере</w:t>
      </w:r>
      <w:r>
        <w:rPr>
          <w:color w:val="231F20"/>
          <w:spacing w:val="-11"/>
        </w:rPr>
        <w:t> </w:t>
      </w:r>
      <w:r>
        <w:rPr>
          <w:color w:val="231F20"/>
        </w:rPr>
        <w:t>про- хождения курса вводятся аудио-, медиа- и визуальная коммуникация. В курсе есть онлайн-блоки, некоторые асинхронные, а некоторые синхронные, в том числе дис- куссионные</w:t>
      </w:r>
      <w:r>
        <w:rPr>
          <w:color w:val="231F20"/>
          <w:spacing w:val="-3"/>
        </w:rPr>
        <w:t> </w:t>
      </w:r>
      <w:r>
        <w:rPr>
          <w:color w:val="231F20"/>
        </w:rPr>
        <w:t>форумы.</w:t>
      </w:r>
      <w:r>
        <w:rPr>
          <w:color w:val="231F20"/>
          <w:spacing w:val="-3"/>
        </w:rPr>
        <w:t> </w:t>
      </w:r>
      <w:r>
        <w:rPr>
          <w:color w:val="231F20"/>
        </w:rPr>
        <w:t>После</w:t>
      </w:r>
      <w:r>
        <w:rPr>
          <w:color w:val="231F20"/>
          <w:spacing w:val="-3"/>
        </w:rPr>
        <w:t> </w:t>
      </w:r>
      <w:r>
        <w:rPr>
          <w:color w:val="231F20"/>
        </w:rPr>
        <w:t>нескольких</w:t>
      </w:r>
      <w:r>
        <w:rPr>
          <w:color w:val="231F20"/>
          <w:spacing w:val="-3"/>
        </w:rPr>
        <w:t> </w:t>
      </w:r>
      <w:r>
        <w:rPr>
          <w:color w:val="231F20"/>
        </w:rPr>
        <w:t>месяцев</w:t>
      </w:r>
      <w:r>
        <w:rPr>
          <w:color w:val="231F20"/>
          <w:spacing w:val="-3"/>
        </w:rPr>
        <w:t> </w:t>
      </w:r>
      <w:r>
        <w:rPr>
          <w:color w:val="231F20"/>
        </w:rPr>
        <w:t>совместного</w:t>
      </w:r>
      <w:r>
        <w:rPr>
          <w:color w:val="231F20"/>
          <w:spacing w:val="-3"/>
        </w:rPr>
        <w:t> </w:t>
      </w:r>
      <w:r>
        <w:rPr>
          <w:color w:val="231F20"/>
        </w:rPr>
        <w:t>обучения</w:t>
      </w:r>
      <w:r>
        <w:rPr>
          <w:color w:val="231F20"/>
          <w:spacing w:val="-3"/>
        </w:rPr>
        <w:t> </w:t>
      </w:r>
      <w:r>
        <w:rPr>
          <w:color w:val="231F20"/>
        </w:rPr>
        <w:t>в</w:t>
      </w:r>
      <w:r>
        <w:rPr>
          <w:color w:val="231F20"/>
          <w:spacing w:val="-3"/>
        </w:rPr>
        <w:t> </w:t>
      </w:r>
      <w:r>
        <w:rPr>
          <w:color w:val="231F20"/>
        </w:rPr>
        <w:t>небольших группах</w:t>
      </w:r>
      <w:r>
        <w:rPr>
          <w:color w:val="231F20"/>
          <w:spacing w:val="-3"/>
        </w:rPr>
        <w:t> </w:t>
      </w:r>
      <w:r>
        <w:rPr>
          <w:color w:val="231F20"/>
        </w:rPr>
        <w:t>с</w:t>
      </w:r>
      <w:r>
        <w:rPr>
          <w:color w:val="231F20"/>
          <w:spacing w:val="-3"/>
        </w:rPr>
        <w:t> </w:t>
      </w:r>
      <w:r>
        <w:rPr>
          <w:color w:val="231F20"/>
        </w:rPr>
        <w:t>помощью</w:t>
      </w:r>
      <w:r>
        <w:rPr>
          <w:color w:val="231F20"/>
          <w:spacing w:val="-3"/>
        </w:rPr>
        <w:t> </w:t>
      </w:r>
      <w:r>
        <w:rPr>
          <w:color w:val="231F20"/>
        </w:rPr>
        <w:t>виртуальных</w:t>
      </w:r>
      <w:r>
        <w:rPr>
          <w:color w:val="231F20"/>
          <w:spacing w:val="-3"/>
        </w:rPr>
        <w:t> </w:t>
      </w:r>
      <w:r>
        <w:rPr>
          <w:color w:val="231F20"/>
        </w:rPr>
        <w:t>встреч</w:t>
      </w:r>
      <w:r>
        <w:rPr>
          <w:color w:val="231F20"/>
          <w:spacing w:val="-3"/>
        </w:rPr>
        <w:t> </w:t>
      </w:r>
      <w:r>
        <w:rPr>
          <w:color w:val="231F20"/>
        </w:rPr>
        <w:t>студенты</w:t>
      </w:r>
      <w:r>
        <w:rPr>
          <w:color w:val="231F20"/>
          <w:spacing w:val="-3"/>
        </w:rPr>
        <w:t> </w:t>
      </w:r>
      <w:r>
        <w:rPr>
          <w:color w:val="231F20"/>
        </w:rPr>
        <w:t>встречаются</w:t>
      </w:r>
      <w:r>
        <w:rPr>
          <w:color w:val="231F20"/>
          <w:spacing w:val="-3"/>
        </w:rPr>
        <w:t> </w:t>
      </w:r>
      <w:r>
        <w:rPr>
          <w:color w:val="231F20"/>
        </w:rPr>
        <w:t>друг</w:t>
      </w:r>
      <w:r>
        <w:rPr>
          <w:color w:val="231F20"/>
          <w:spacing w:val="-3"/>
        </w:rPr>
        <w:t> </w:t>
      </w:r>
      <w:r>
        <w:rPr>
          <w:color w:val="231F20"/>
        </w:rPr>
        <w:t>с</w:t>
      </w:r>
      <w:r>
        <w:rPr>
          <w:color w:val="231F20"/>
          <w:spacing w:val="-3"/>
        </w:rPr>
        <w:t> </w:t>
      </w:r>
      <w:r>
        <w:rPr>
          <w:color w:val="231F20"/>
        </w:rPr>
        <w:t>другом</w:t>
      </w:r>
      <w:r>
        <w:rPr>
          <w:color w:val="231F20"/>
          <w:spacing w:val="-3"/>
        </w:rPr>
        <w:t> </w:t>
      </w:r>
      <w:r>
        <w:rPr>
          <w:color w:val="231F20"/>
        </w:rPr>
        <w:t>лицом к лицу, чтобы поработать над совместным проектом и представить его. Командная работа является важным элементом курса, и перед ее выполнением участникам объ- ясняют,</w:t>
      </w:r>
      <w:r>
        <w:rPr>
          <w:color w:val="231F20"/>
          <w:spacing w:val="-5"/>
        </w:rPr>
        <w:t> </w:t>
      </w:r>
      <w:r>
        <w:rPr>
          <w:color w:val="231F20"/>
        </w:rPr>
        <w:t>что</w:t>
      </w:r>
      <w:r>
        <w:rPr>
          <w:color w:val="231F20"/>
          <w:spacing w:val="-5"/>
        </w:rPr>
        <w:t> </w:t>
      </w:r>
      <w:r>
        <w:rPr>
          <w:color w:val="231F20"/>
        </w:rPr>
        <w:t>работа</w:t>
      </w:r>
      <w:r>
        <w:rPr>
          <w:color w:val="231F20"/>
          <w:spacing w:val="-5"/>
        </w:rPr>
        <w:t> </w:t>
      </w:r>
      <w:r>
        <w:rPr>
          <w:color w:val="231F20"/>
        </w:rPr>
        <w:t>в</w:t>
      </w:r>
      <w:r>
        <w:rPr>
          <w:color w:val="231F20"/>
          <w:spacing w:val="-5"/>
        </w:rPr>
        <w:t> </w:t>
      </w:r>
      <w:r>
        <w:rPr>
          <w:color w:val="231F20"/>
        </w:rPr>
        <w:t>команде</w:t>
      </w:r>
      <w:r>
        <w:rPr>
          <w:color w:val="231F20"/>
          <w:spacing w:val="-5"/>
        </w:rPr>
        <w:t> </w:t>
      </w:r>
      <w:r>
        <w:rPr>
          <w:color w:val="231F20"/>
        </w:rPr>
        <w:t>и</w:t>
      </w:r>
      <w:r>
        <w:rPr>
          <w:color w:val="231F20"/>
          <w:spacing w:val="-5"/>
        </w:rPr>
        <w:t> </w:t>
      </w:r>
      <w:r>
        <w:rPr>
          <w:color w:val="231F20"/>
        </w:rPr>
        <w:t>сотрудничество</w:t>
      </w:r>
      <w:r>
        <w:rPr>
          <w:color w:val="231F20"/>
          <w:spacing w:val="-5"/>
        </w:rPr>
        <w:t> </w:t>
      </w:r>
      <w:r>
        <w:rPr>
          <w:color w:val="231F20"/>
        </w:rPr>
        <w:t>имеют</w:t>
      </w:r>
      <w:r>
        <w:rPr>
          <w:color w:val="231F20"/>
          <w:spacing w:val="-5"/>
        </w:rPr>
        <w:t> </w:t>
      </w:r>
      <w:r>
        <w:rPr>
          <w:color w:val="231F20"/>
        </w:rPr>
        <w:t>большое</w:t>
      </w:r>
      <w:r>
        <w:rPr>
          <w:color w:val="231F20"/>
          <w:spacing w:val="-5"/>
        </w:rPr>
        <w:t> </w:t>
      </w:r>
      <w:r>
        <w:rPr>
          <w:color w:val="231F20"/>
        </w:rPr>
        <w:t>значение</w:t>
      </w:r>
      <w:r>
        <w:rPr>
          <w:color w:val="231F20"/>
          <w:spacing w:val="-5"/>
        </w:rPr>
        <w:t> </w:t>
      </w:r>
      <w:r>
        <w:rPr>
          <w:color w:val="231F20"/>
        </w:rPr>
        <w:t>и</w:t>
      </w:r>
      <w:r>
        <w:rPr>
          <w:color w:val="231F20"/>
          <w:spacing w:val="-5"/>
        </w:rPr>
        <w:t> </w:t>
      </w:r>
      <w:r>
        <w:rPr>
          <w:color w:val="231F20"/>
        </w:rPr>
        <w:t>учитыва- ются в итоговой оценке.</w:t>
      </w:r>
    </w:p>
    <w:p>
      <w:pPr>
        <w:pStyle w:val="BodyText"/>
        <w:spacing w:line="232" w:lineRule="auto"/>
      </w:pPr>
      <w:r>
        <w:rPr>
          <w:color w:val="231F20"/>
        </w:rPr>
        <w:t>Вообще,</w:t>
      </w:r>
      <w:r>
        <w:rPr>
          <w:color w:val="231F20"/>
          <w:spacing w:val="-9"/>
        </w:rPr>
        <w:t> </w:t>
      </w:r>
      <w:r>
        <w:rPr>
          <w:color w:val="231F20"/>
        </w:rPr>
        <w:t>сама</w:t>
      </w:r>
      <w:r>
        <w:rPr>
          <w:color w:val="231F20"/>
          <w:spacing w:val="-9"/>
        </w:rPr>
        <w:t> </w:t>
      </w:r>
      <w:r>
        <w:rPr>
          <w:color w:val="231F20"/>
        </w:rPr>
        <w:t>модель</w:t>
      </w:r>
      <w:r>
        <w:rPr>
          <w:color w:val="231F20"/>
          <w:spacing w:val="-11"/>
        </w:rPr>
        <w:t> </w:t>
      </w:r>
      <w:r>
        <w:rPr>
          <w:color w:val="231F20"/>
        </w:rPr>
        <w:t>TEC</w:t>
      </w:r>
      <w:r>
        <w:rPr>
          <w:color w:val="231F20"/>
          <w:spacing w:val="-9"/>
        </w:rPr>
        <w:t> </w:t>
      </w:r>
      <w:r>
        <w:rPr>
          <w:color w:val="231F20"/>
        </w:rPr>
        <w:t>используется</w:t>
      </w:r>
      <w:r>
        <w:rPr>
          <w:color w:val="231F20"/>
          <w:spacing w:val="-9"/>
        </w:rPr>
        <w:t> </w:t>
      </w:r>
      <w:r>
        <w:rPr>
          <w:color w:val="231F20"/>
        </w:rPr>
        <w:t>не</w:t>
      </w:r>
      <w:r>
        <w:rPr>
          <w:color w:val="231F20"/>
          <w:spacing w:val="-9"/>
        </w:rPr>
        <w:t> </w:t>
      </w:r>
      <w:r>
        <w:rPr>
          <w:color w:val="231F20"/>
        </w:rPr>
        <w:t>только</w:t>
      </w:r>
      <w:r>
        <w:rPr>
          <w:color w:val="231F20"/>
          <w:spacing w:val="-9"/>
        </w:rPr>
        <w:t> </w:t>
      </w:r>
      <w:r>
        <w:rPr>
          <w:color w:val="231F20"/>
        </w:rPr>
        <w:t>при</w:t>
      </w:r>
      <w:r>
        <w:rPr>
          <w:color w:val="231F20"/>
          <w:spacing w:val="-9"/>
        </w:rPr>
        <w:t> </w:t>
      </w:r>
      <w:r>
        <w:rPr>
          <w:color w:val="231F20"/>
        </w:rPr>
        <w:t>подготовке</w:t>
      </w:r>
      <w:r>
        <w:rPr>
          <w:color w:val="231F20"/>
          <w:spacing w:val="-9"/>
        </w:rPr>
        <w:t> </w:t>
      </w:r>
      <w:r>
        <w:rPr>
          <w:color w:val="231F20"/>
        </w:rPr>
        <w:t>педагогов,</w:t>
      </w:r>
      <w:r>
        <w:rPr>
          <w:color w:val="231F20"/>
          <w:spacing w:val="-9"/>
        </w:rPr>
        <w:t> </w:t>
      </w:r>
      <w:r>
        <w:rPr>
          <w:color w:val="231F20"/>
        </w:rPr>
        <w:t>но</w:t>
      </w:r>
      <w:r>
        <w:rPr>
          <w:color w:val="231F20"/>
          <w:spacing w:val="-9"/>
        </w:rPr>
        <w:t> </w:t>
      </w:r>
      <w:r>
        <w:rPr>
          <w:color w:val="231F20"/>
        </w:rPr>
        <w:t>и в</w:t>
      </w:r>
      <w:r>
        <w:rPr>
          <w:color w:val="231F20"/>
          <w:spacing w:val="-1"/>
        </w:rPr>
        <w:t> </w:t>
      </w:r>
      <w:r>
        <w:rPr>
          <w:color w:val="231F20"/>
        </w:rPr>
        <w:t>других</w:t>
      </w:r>
      <w:r>
        <w:rPr>
          <w:color w:val="231F20"/>
          <w:spacing w:val="-1"/>
        </w:rPr>
        <w:t> </w:t>
      </w:r>
      <w:r>
        <w:rPr>
          <w:color w:val="231F20"/>
        </w:rPr>
        <w:t>областях.</w:t>
      </w:r>
      <w:r>
        <w:rPr>
          <w:color w:val="231F20"/>
          <w:spacing w:val="-1"/>
        </w:rPr>
        <w:t> </w:t>
      </w:r>
      <w:r>
        <w:rPr>
          <w:color w:val="231F20"/>
        </w:rPr>
        <w:t>Начиная</w:t>
      </w:r>
      <w:r>
        <w:rPr>
          <w:color w:val="231F20"/>
          <w:spacing w:val="-1"/>
        </w:rPr>
        <w:t> </w:t>
      </w:r>
      <w:r>
        <w:rPr>
          <w:color w:val="231F20"/>
        </w:rPr>
        <w:t>с</w:t>
      </w:r>
      <w:r>
        <w:rPr>
          <w:color w:val="231F20"/>
          <w:spacing w:val="-1"/>
        </w:rPr>
        <w:t> </w:t>
      </w:r>
      <w:r>
        <w:rPr>
          <w:color w:val="231F20"/>
        </w:rPr>
        <w:t>2005</w:t>
      </w:r>
      <w:r>
        <w:rPr>
          <w:color w:val="231F20"/>
          <w:spacing w:val="-1"/>
        </w:rPr>
        <w:t> </w:t>
      </w:r>
      <w:r>
        <w:rPr>
          <w:color w:val="231F20"/>
        </w:rPr>
        <w:t>года</w:t>
      </w:r>
      <w:r>
        <w:rPr>
          <w:color w:val="231F20"/>
          <w:spacing w:val="-1"/>
        </w:rPr>
        <w:t> </w:t>
      </w:r>
      <w:r>
        <w:rPr>
          <w:color w:val="231F20"/>
        </w:rPr>
        <w:t>она</w:t>
      </w:r>
      <w:r>
        <w:rPr>
          <w:color w:val="231F20"/>
          <w:spacing w:val="-1"/>
        </w:rPr>
        <w:t> </w:t>
      </w:r>
      <w:r>
        <w:rPr>
          <w:color w:val="231F20"/>
        </w:rPr>
        <w:t>предлагает</w:t>
      </w:r>
      <w:r>
        <w:rPr>
          <w:color w:val="231F20"/>
          <w:spacing w:val="-1"/>
        </w:rPr>
        <w:t> </w:t>
      </w:r>
      <w:r>
        <w:rPr>
          <w:color w:val="231F20"/>
        </w:rPr>
        <w:t>жителям</w:t>
      </w:r>
      <w:r>
        <w:rPr>
          <w:color w:val="231F20"/>
          <w:spacing w:val="-1"/>
        </w:rPr>
        <w:t> </w:t>
      </w:r>
      <w:r>
        <w:rPr>
          <w:color w:val="231F20"/>
        </w:rPr>
        <w:t>Израиля,</w:t>
      </w:r>
      <w:r>
        <w:rPr>
          <w:color w:val="231F20"/>
          <w:spacing w:val="-1"/>
        </w:rPr>
        <w:t> </w:t>
      </w:r>
      <w:r>
        <w:rPr>
          <w:color w:val="231F20"/>
        </w:rPr>
        <w:t>принадле- жащим</w:t>
      </w:r>
      <w:r>
        <w:rPr>
          <w:color w:val="231F20"/>
          <w:spacing w:val="-5"/>
        </w:rPr>
        <w:t> </w:t>
      </w:r>
      <w:r>
        <w:rPr>
          <w:color w:val="231F20"/>
        </w:rPr>
        <w:t>к</w:t>
      </w:r>
      <w:r>
        <w:rPr>
          <w:color w:val="231F20"/>
          <w:spacing w:val="-5"/>
        </w:rPr>
        <w:t> </w:t>
      </w:r>
      <w:r>
        <w:rPr>
          <w:color w:val="231F20"/>
        </w:rPr>
        <w:t>разным</w:t>
      </w:r>
      <w:r>
        <w:rPr>
          <w:color w:val="231F20"/>
          <w:spacing w:val="-5"/>
        </w:rPr>
        <w:t> </w:t>
      </w:r>
      <w:r>
        <w:rPr>
          <w:color w:val="231F20"/>
        </w:rPr>
        <w:t>религиям</w:t>
      </w:r>
      <w:r>
        <w:rPr>
          <w:color w:val="231F20"/>
          <w:spacing w:val="-5"/>
        </w:rPr>
        <w:t> </w:t>
      </w:r>
      <w:r>
        <w:rPr>
          <w:color w:val="231F20"/>
        </w:rPr>
        <w:t>и</w:t>
      </w:r>
      <w:r>
        <w:rPr>
          <w:color w:val="231F20"/>
          <w:spacing w:val="-5"/>
        </w:rPr>
        <w:t> </w:t>
      </w:r>
      <w:r>
        <w:rPr>
          <w:color w:val="231F20"/>
        </w:rPr>
        <w:t>культурам,</w:t>
      </w:r>
      <w:r>
        <w:rPr>
          <w:color w:val="231F20"/>
          <w:spacing w:val="-5"/>
        </w:rPr>
        <w:t> </w:t>
      </w:r>
      <w:r>
        <w:rPr>
          <w:color w:val="231F20"/>
        </w:rPr>
        <w:t>возможности</w:t>
      </w:r>
      <w:r>
        <w:rPr>
          <w:color w:val="231F20"/>
          <w:spacing w:val="-5"/>
        </w:rPr>
        <w:t> </w:t>
      </w:r>
      <w:r>
        <w:rPr>
          <w:color w:val="231F20"/>
        </w:rPr>
        <w:t>сотрудничать,</w:t>
      </w:r>
      <w:r>
        <w:rPr>
          <w:color w:val="231F20"/>
          <w:spacing w:val="-5"/>
        </w:rPr>
        <w:t> </w:t>
      </w:r>
      <w:r>
        <w:rPr>
          <w:color w:val="231F20"/>
        </w:rPr>
        <w:t>взаимодейство- вать</w:t>
      </w:r>
      <w:r>
        <w:rPr>
          <w:color w:val="231F20"/>
          <w:spacing w:val="-6"/>
        </w:rPr>
        <w:t> </w:t>
      </w:r>
      <w:r>
        <w:rPr>
          <w:color w:val="231F20"/>
        </w:rPr>
        <w:t>и</w:t>
      </w:r>
      <w:r>
        <w:rPr>
          <w:color w:val="231F20"/>
          <w:spacing w:val="-6"/>
        </w:rPr>
        <w:t> </w:t>
      </w:r>
      <w:r>
        <w:rPr>
          <w:color w:val="231F20"/>
        </w:rPr>
        <w:t>узнавать</w:t>
      </w:r>
      <w:r>
        <w:rPr>
          <w:color w:val="231F20"/>
          <w:spacing w:val="-6"/>
        </w:rPr>
        <w:t> </w:t>
      </w:r>
      <w:r>
        <w:rPr>
          <w:color w:val="231F20"/>
        </w:rPr>
        <w:t>друг</w:t>
      </w:r>
      <w:r>
        <w:rPr>
          <w:color w:val="231F20"/>
          <w:spacing w:val="-6"/>
        </w:rPr>
        <w:t> </w:t>
      </w:r>
      <w:r>
        <w:rPr>
          <w:color w:val="231F20"/>
        </w:rPr>
        <w:t>о</w:t>
      </w:r>
      <w:r>
        <w:rPr>
          <w:color w:val="231F20"/>
          <w:spacing w:val="-6"/>
        </w:rPr>
        <w:t> </w:t>
      </w:r>
      <w:r>
        <w:rPr>
          <w:color w:val="231F20"/>
        </w:rPr>
        <w:t>друге,</w:t>
      </w:r>
      <w:r>
        <w:rPr>
          <w:color w:val="231F20"/>
          <w:spacing w:val="-6"/>
        </w:rPr>
        <w:t> </w:t>
      </w:r>
      <w:r>
        <w:rPr>
          <w:color w:val="231F20"/>
        </w:rPr>
        <w:t>стремясь</w:t>
      </w:r>
      <w:r>
        <w:rPr>
          <w:color w:val="231F20"/>
          <w:spacing w:val="-6"/>
        </w:rPr>
        <w:t> </w:t>
      </w:r>
      <w:r>
        <w:rPr>
          <w:color w:val="231F20"/>
        </w:rPr>
        <w:t>уменьшить</w:t>
      </w:r>
      <w:r>
        <w:rPr>
          <w:color w:val="231F20"/>
          <w:spacing w:val="-6"/>
        </w:rPr>
        <w:t> </w:t>
      </w:r>
      <w:r>
        <w:rPr>
          <w:color w:val="231F20"/>
        </w:rPr>
        <w:t>стереотипные</w:t>
      </w:r>
      <w:r>
        <w:rPr>
          <w:color w:val="231F20"/>
          <w:spacing w:val="-6"/>
        </w:rPr>
        <w:t> </w:t>
      </w:r>
      <w:r>
        <w:rPr>
          <w:color w:val="231F20"/>
        </w:rPr>
        <w:t>взгляды</w:t>
      </w:r>
      <w:r>
        <w:rPr>
          <w:color w:val="231F20"/>
          <w:spacing w:val="-6"/>
        </w:rPr>
        <w:t> </w:t>
      </w:r>
      <w:r>
        <w:rPr>
          <w:color w:val="231F20"/>
        </w:rPr>
        <w:t>и</w:t>
      </w:r>
      <w:r>
        <w:rPr>
          <w:color w:val="231F20"/>
          <w:spacing w:val="-6"/>
        </w:rPr>
        <w:t> </w:t>
      </w:r>
      <w:r>
        <w:rPr>
          <w:color w:val="231F20"/>
        </w:rPr>
        <w:t>улучшить взаимопонимание (Shonfeld et al., 2013).</w:t>
      </w:r>
    </w:p>
    <w:p>
      <w:pPr>
        <w:pStyle w:val="BodyText"/>
        <w:spacing w:line="232" w:lineRule="auto"/>
      </w:pPr>
      <w:r>
        <w:rPr>
          <w:color w:val="231F20"/>
        </w:rPr>
        <w:t>В рамках модели была создана программа «Совместное гражданство», содержа- щая</w:t>
      </w:r>
      <w:r>
        <w:rPr>
          <w:color w:val="231F20"/>
          <w:spacing w:val="-4"/>
        </w:rPr>
        <w:t> </w:t>
      </w:r>
      <w:r>
        <w:rPr>
          <w:color w:val="231F20"/>
        </w:rPr>
        <w:t>онлайн-компонент,</w:t>
      </w:r>
      <w:r>
        <w:rPr>
          <w:color w:val="231F20"/>
          <w:spacing w:val="-4"/>
        </w:rPr>
        <w:t> </w:t>
      </w:r>
      <w:r>
        <w:rPr>
          <w:color w:val="231F20"/>
        </w:rPr>
        <w:t>который</w:t>
      </w:r>
      <w:r>
        <w:rPr>
          <w:color w:val="231F20"/>
          <w:spacing w:val="-4"/>
        </w:rPr>
        <w:t> </w:t>
      </w:r>
      <w:r>
        <w:rPr>
          <w:color w:val="231F20"/>
        </w:rPr>
        <w:t>служил</w:t>
      </w:r>
      <w:r>
        <w:rPr>
          <w:color w:val="231F20"/>
          <w:spacing w:val="-4"/>
        </w:rPr>
        <w:t> </w:t>
      </w:r>
      <w:r>
        <w:rPr>
          <w:color w:val="231F20"/>
        </w:rPr>
        <w:t>полезной</w:t>
      </w:r>
      <w:r>
        <w:rPr>
          <w:color w:val="231F20"/>
          <w:spacing w:val="-4"/>
        </w:rPr>
        <w:t> </w:t>
      </w:r>
      <w:r>
        <w:rPr>
          <w:color w:val="231F20"/>
        </w:rPr>
        <w:t>и</w:t>
      </w:r>
      <w:r>
        <w:rPr>
          <w:color w:val="231F20"/>
          <w:spacing w:val="-4"/>
        </w:rPr>
        <w:t> </w:t>
      </w:r>
      <w:r>
        <w:rPr>
          <w:color w:val="231F20"/>
        </w:rPr>
        <w:t>важной</w:t>
      </w:r>
      <w:r>
        <w:rPr>
          <w:color w:val="231F20"/>
          <w:spacing w:val="-4"/>
        </w:rPr>
        <w:t> </w:t>
      </w:r>
      <w:r>
        <w:rPr>
          <w:color w:val="231F20"/>
        </w:rPr>
        <w:t>платформой,</w:t>
      </w:r>
      <w:r>
        <w:rPr>
          <w:color w:val="231F20"/>
          <w:spacing w:val="-4"/>
        </w:rPr>
        <w:t> </w:t>
      </w:r>
      <w:r>
        <w:rPr>
          <w:color w:val="231F20"/>
        </w:rPr>
        <w:t>где</w:t>
      </w:r>
      <w:r>
        <w:rPr>
          <w:color w:val="231F20"/>
          <w:spacing w:val="-4"/>
        </w:rPr>
        <w:t> </w:t>
      </w:r>
      <w:r>
        <w:rPr>
          <w:color w:val="231F20"/>
        </w:rPr>
        <w:t>проис- ходило значимое общение и взаимодействие. Авторы подчеркивают преимущества онлайн-встреч между конфликтующими культурами. С 2007 г. интернет-семинары набрали обороты</w:t>
      </w:r>
      <w:r>
        <w:rPr>
          <w:color w:val="231F20"/>
          <w:spacing w:val="-1"/>
        </w:rPr>
        <w:t> </w:t>
      </w:r>
      <w:r>
        <w:rPr>
          <w:color w:val="231F20"/>
        </w:rPr>
        <w:t>в Израиле</w:t>
      </w:r>
      <w:r>
        <w:rPr>
          <w:color w:val="231F20"/>
          <w:spacing w:val="-1"/>
        </w:rPr>
        <w:t> </w:t>
      </w:r>
      <w:r>
        <w:rPr>
          <w:color w:val="231F20"/>
        </w:rPr>
        <w:t>и на</w:t>
      </w:r>
      <w:r>
        <w:rPr>
          <w:color w:val="231F20"/>
          <w:spacing w:val="-1"/>
        </w:rPr>
        <w:t> </w:t>
      </w:r>
      <w:r>
        <w:rPr>
          <w:color w:val="231F20"/>
        </w:rPr>
        <w:t>Ближнем Востоке,</w:t>
      </w:r>
      <w:r>
        <w:rPr>
          <w:color w:val="231F20"/>
          <w:spacing w:val="-1"/>
        </w:rPr>
        <w:t> </w:t>
      </w:r>
      <w:r>
        <w:rPr>
          <w:color w:val="231F20"/>
        </w:rPr>
        <w:t>поскольку интернет</w:t>
      </w:r>
      <w:r>
        <w:rPr>
          <w:color w:val="231F20"/>
          <w:spacing w:val="-1"/>
        </w:rPr>
        <w:t> </w:t>
      </w:r>
      <w:r>
        <w:rPr>
          <w:color w:val="231F20"/>
        </w:rPr>
        <w:t>привлекате- лен для молодежи и рассматривается как нейтральная площадка для встреч. Значи- тельная</w:t>
      </w:r>
      <w:r>
        <w:rPr>
          <w:color w:val="231F20"/>
          <w:spacing w:val="-10"/>
        </w:rPr>
        <w:t> </w:t>
      </w:r>
      <w:r>
        <w:rPr>
          <w:color w:val="231F20"/>
        </w:rPr>
        <w:t>роль</w:t>
      </w:r>
      <w:r>
        <w:rPr>
          <w:color w:val="231F20"/>
          <w:spacing w:val="-10"/>
        </w:rPr>
        <w:t> </w:t>
      </w:r>
      <w:r>
        <w:rPr>
          <w:color w:val="231F20"/>
        </w:rPr>
        <w:t>в</w:t>
      </w:r>
      <w:r>
        <w:rPr>
          <w:color w:val="231F20"/>
          <w:spacing w:val="-10"/>
        </w:rPr>
        <w:t> </w:t>
      </w:r>
      <w:r>
        <w:rPr>
          <w:color w:val="231F20"/>
        </w:rPr>
        <w:t>реализации</w:t>
      </w:r>
      <w:r>
        <w:rPr>
          <w:color w:val="231F20"/>
          <w:spacing w:val="-10"/>
        </w:rPr>
        <w:t> </w:t>
      </w:r>
      <w:r>
        <w:rPr>
          <w:color w:val="231F20"/>
        </w:rPr>
        <w:t>программы</w:t>
      </w:r>
      <w:r>
        <w:rPr>
          <w:color w:val="231F20"/>
          <w:spacing w:val="-10"/>
        </w:rPr>
        <w:t> </w:t>
      </w:r>
      <w:r>
        <w:rPr>
          <w:color w:val="231F20"/>
        </w:rPr>
        <w:t>отводилась</w:t>
      </w:r>
      <w:r>
        <w:rPr>
          <w:color w:val="231F20"/>
          <w:spacing w:val="-10"/>
        </w:rPr>
        <w:t> </w:t>
      </w:r>
      <w:r>
        <w:rPr>
          <w:color w:val="231F20"/>
        </w:rPr>
        <w:t>использованию</w:t>
      </w:r>
      <w:r>
        <w:rPr>
          <w:color w:val="231F20"/>
          <w:spacing w:val="-10"/>
        </w:rPr>
        <w:t> </w:t>
      </w:r>
      <w:r>
        <w:rPr>
          <w:color w:val="231F20"/>
        </w:rPr>
        <w:t>английского</w:t>
      </w:r>
      <w:r>
        <w:rPr>
          <w:color w:val="231F20"/>
          <w:spacing w:val="-10"/>
        </w:rPr>
        <w:t> </w:t>
      </w:r>
      <w:r>
        <w:rPr>
          <w:color w:val="231F20"/>
        </w:rPr>
        <w:t>языка как</w:t>
      </w:r>
      <w:r>
        <w:rPr>
          <w:color w:val="231F20"/>
          <w:spacing w:val="-7"/>
        </w:rPr>
        <w:t> </w:t>
      </w:r>
      <w:r>
        <w:rPr>
          <w:color w:val="231F20"/>
        </w:rPr>
        <w:t>языка</w:t>
      </w:r>
      <w:r>
        <w:rPr>
          <w:color w:val="231F20"/>
          <w:spacing w:val="-7"/>
        </w:rPr>
        <w:t> </w:t>
      </w:r>
      <w:r>
        <w:rPr>
          <w:color w:val="231F20"/>
        </w:rPr>
        <w:t>общения</w:t>
      </w:r>
      <w:r>
        <w:rPr>
          <w:color w:val="231F20"/>
          <w:spacing w:val="-7"/>
        </w:rPr>
        <w:t> </w:t>
      </w:r>
      <w:r>
        <w:rPr>
          <w:color w:val="231F20"/>
        </w:rPr>
        <w:t>для</w:t>
      </w:r>
      <w:r>
        <w:rPr>
          <w:color w:val="231F20"/>
          <w:spacing w:val="-7"/>
        </w:rPr>
        <w:t> </w:t>
      </w:r>
      <w:r>
        <w:rPr>
          <w:color w:val="231F20"/>
        </w:rPr>
        <w:t>межгрупповых</w:t>
      </w:r>
      <w:r>
        <w:rPr>
          <w:color w:val="231F20"/>
          <w:spacing w:val="-7"/>
        </w:rPr>
        <w:t> </w:t>
      </w:r>
      <w:r>
        <w:rPr>
          <w:color w:val="231F20"/>
        </w:rPr>
        <w:t>контактов.</w:t>
      </w:r>
      <w:r>
        <w:rPr>
          <w:color w:val="231F20"/>
          <w:spacing w:val="-7"/>
        </w:rPr>
        <w:t> </w:t>
      </w:r>
      <w:r>
        <w:rPr>
          <w:color w:val="231F20"/>
        </w:rPr>
        <w:t>Контакт</w:t>
      </w:r>
      <w:r>
        <w:rPr>
          <w:color w:val="231F20"/>
          <w:spacing w:val="-7"/>
        </w:rPr>
        <w:t> </w:t>
      </w:r>
      <w:r>
        <w:rPr>
          <w:color w:val="231F20"/>
        </w:rPr>
        <w:t>и</w:t>
      </w:r>
      <w:r>
        <w:rPr>
          <w:color w:val="231F20"/>
          <w:spacing w:val="-7"/>
        </w:rPr>
        <w:t> </w:t>
      </w:r>
      <w:r>
        <w:rPr>
          <w:color w:val="231F20"/>
        </w:rPr>
        <w:t>постоянное</w:t>
      </w:r>
      <w:r>
        <w:rPr>
          <w:color w:val="231F20"/>
          <w:spacing w:val="-7"/>
        </w:rPr>
        <w:t> </w:t>
      </w:r>
      <w:r>
        <w:rPr>
          <w:color w:val="231F20"/>
        </w:rPr>
        <w:t>сотрудниче- ство между арабскими и еврейскими студентами привели к появлению важной при- чины и необходимости использовать английский язык в разговорной, письменной и преподавательской деятельности.</w:t>
      </w:r>
    </w:p>
    <w:p>
      <w:pPr>
        <w:pStyle w:val="BodyText"/>
        <w:spacing w:line="232" w:lineRule="auto"/>
      </w:pPr>
      <w:r>
        <w:rPr>
          <w:color w:val="231F20"/>
          <w:spacing w:val="-2"/>
        </w:rPr>
        <w:t>Известно,</w:t>
      </w:r>
      <w:r>
        <w:rPr>
          <w:color w:val="231F20"/>
          <w:spacing w:val="-10"/>
        </w:rPr>
        <w:t> </w:t>
      </w:r>
      <w:r>
        <w:rPr>
          <w:color w:val="231F20"/>
          <w:spacing w:val="-2"/>
        </w:rPr>
        <w:t>что</w:t>
      </w:r>
      <w:r>
        <w:rPr>
          <w:color w:val="231F20"/>
          <w:spacing w:val="-10"/>
        </w:rPr>
        <w:t> </w:t>
      </w:r>
      <w:r>
        <w:rPr>
          <w:color w:val="231F20"/>
          <w:spacing w:val="-2"/>
        </w:rPr>
        <w:t>отношения</w:t>
      </w:r>
      <w:r>
        <w:rPr>
          <w:color w:val="231F20"/>
          <w:spacing w:val="-10"/>
        </w:rPr>
        <w:t> </w:t>
      </w:r>
      <w:r>
        <w:rPr>
          <w:color w:val="231F20"/>
          <w:spacing w:val="-2"/>
        </w:rPr>
        <w:t>и</w:t>
      </w:r>
      <w:r>
        <w:rPr>
          <w:color w:val="231F20"/>
          <w:spacing w:val="-10"/>
        </w:rPr>
        <w:t> </w:t>
      </w:r>
      <w:r>
        <w:rPr>
          <w:color w:val="231F20"/>
          <w:spacing w:val="-2"/>
        </w:rPr>
        <w:t>восприятие</w:t>
      </w:r>
      <w:r>
        <w:rPr>
          <w:color w:val="231F20"/>
          <w:spacing w:val="-10"/>
        </w:rPr>
        <w:t> </w:t>
      </w:r>
      <w:r>
        <w:rPr>
          <w:color w:val="231F20"/>
          <w:spacing w:val="-2"/>
        </w:rPr>
        <w:t>людей</w:t>
      </w:r>
      <w:r>
        <w:rPr>
          <w:color w:val="231F20"/>
          <w:spacing w:val="-10"/>
        </w:rPr>
        <w:t> </w:t>
      </w:r>
      <w:r>
        <w:rPr>
          <w:color w:val="231F20"/>
          <w:spacing w:val="-2"/>
        </w:rPr>
        <w:t>нелегко</w:t>
      </w:r>
      <w:r>
        <w:rPr>
          <w:color w:val="231F20"/>
          <w:spacing w:val="-10"/>
        </w:rPr>
        <w:t> </w:t>
      </w:r>
      <w:r>
        <w:rPr>
          <w:color w:val="231F20"/>
          <w:spacing w:val="-2"/>
        </w:rPr>
        <w:t>изменить,</w:t>
      </w:r>
      <w:r>
        <w:rPr>
          <w:color w:val="231F20"/>
          <w:spacing w:val="-10"/>
        </w:rPr>
        <w:t> </w:t>
      </w:r>
      <w:r>
        <w:rPr>
          <w:color w:val="231F20"/>
          <w:spacing w:val="-2"/>
        </w:rPr>
        <w:t>а</w:t>
      </w:r>
      <w:r>
        <w:rPr>
          <w:color w:val="231F20"/>
          <w:spacing w:val="-10"/>
        </w:rPr>
        <w:t> </w:t>
      </w:r>
      <w:r>
        <w:rPr>
          <w:color w:val="231F20"/>
          <w:spacing w:val="-2"/>
        </w:rPr>
        <w:t>завоевание</w:t>
      </w:r>
      <w:r>
        <w:rPr>
          <w:color w:val="231F20"/>
          <w:spacing w:val="-10"/>
        </w:rPr>
        <w:t> </w:t>
      </w:r>
      <w:r>
        <w:rPr>
          <w:color w:val="231F20"/>
          <w:spacing w:val="-2"/>
        </w:rPr>
        <w:t>дове- </w:t>
      </w:r>
      <w:r>
        <w:rPr>
          <w:color w:val="231F20"/>
        </w:rPr>
        <w:t>рия</w:t>
      </w:r>
      <w:r>
        <w:rPr>
          <w:color w:val="231F20"/>
          <w:spacing w:val="-8"/>
        </w:rPr>
        <w:t> </w:t>
      </w:r>
      <w:r>
        <w:rPr>
          <w:color w:val="231F20"/>
        </w:rPr>
        <w:t>между</w:t>
      </w:r>
      <w:r>
        <w:rPr>
          <w:color w:val="231F20"/>
          <w:spacing w:val="-8"/>
        </w:rPr>
        <w:t> </w:t>
      </w:r>
      <w:r>
        <w:rPr>
          <w:color w:val="231F20"/>
        </w:rPr>
        <w:t>конфликтующими</w:t>
      </w:r>
      <w:r>
        <w:rPr>
          <w:color w:val="231F20"/>
          <w:spacing w:val="-8"/>
        </w:rPr>
        <w:t> </w:t>
      </w:r>
      <w:r>
        <w:rPr>
          <w:color w:val="231F20"/>
        </w:rPr>
        <w:t>группами</w:t>
      </w:r>
      <w:r>
        <w:rPr>
          <w:color w:val="231F20"/>
          <w:spacing w:val="-8"/>
        </w:rPr>
        <w:t> </w:t>
      </w:r>
      <w:r>
        <w:rPr>
          <w:color w:val="231F20"/>
        </w:rPr>
        <w:t>–</w:t>
      </w:r>
      <w:r>
        <w:rPr>
          <w:color w:val="231F20"/>
          <w:spacing w:val="-8"/>
        </w:rPr>
        <w:t> </w:t>
      </w:r>
      <w:r>
        <w:rPr>
          <w:color w:val="231F20"/>
        </w:rPr>
        <w:t>длительный</w:t>
      </w:r>
      <w:r>
        <w:rPr>
          <w:color w:val="231F20"/>
          <w:spacing w:val="-8"/>
        </w:rPr>
        <w:t> </w:t>
      </w:r>
      <w:r>
        <w:rPr>
          <w:color w:val="231F20"/>
        </w:rPr>
        <w:t>процесс.</w:t>
      </w:r>
      <w:r>
        <w:rPr>
          <w:color w:val="231F20"/>
          <w:spacing w:val="-8"/>
        </w:rPr>
        <w:t> </w:t>
      </w:r>
      <w:r>
        <w:rPr>
          <w:color w:val="231F20"/>
        </w:rPr>
        <w:t>Тем</w:t>
      </w:r>
      <w:r>
        <w:rPr>
          <w:color w:val="231F20"/>
          <w:spacing w:val="-8"/>
        </w:rPr>
        <w:t> </w:t>
      </w:r>
      <w:r>
        <w:rPr>
          <w:color w:val="231F20"/>
        </w:rPr>
        <w:t>не</w:t>
      </w:r>
      <w:r>
        <w:rPr>
          <w:color w:val="231F20"/>
          <w:spacing w:val="-8"/>
        </w:rPr>
        <w:t> </w:t>
      </w:r>
      <w:r>
        <w:rPr>
          <w:color w:val="231F20"/>
        </w:rPr>
        <w:t>менее</w:t>
      </w:r>
      <w:r>
        <w:rPr>
          <w:color w:val="231F20"/>
          <w:spacing w:val="-8"/>
        </w:rPr>
        <w:t> </w:t>
      </w:r>
      <w:r>
        <w:rPr>
          <w:color w:val="231F20"/>
        </w:rPr>
        <w:t>в</w:t>
      </w:r>
      <w:r>
        <w:rPr>
          <w:color w:val="231F20"/>
          <w:spacing w:val="-8"/>
        </w:rPr>
        <w:t> </w:t>
      </w:r>
      <w:r>
        <w:rPr>
          <w:color w:val="231F20"/>
        </w:rPr>
        <w:t>иссле- дованиях</w:t>
      </w:r>
      <w:r>
        <w:rPr>
          <w:color w:val="231F20"/>
          <w:spacing w:val="-4"/>
        </w:rPr>
        <w:t> </w:t>
      </w:r>
      <w:r>
        <w:rPr>
          <w:color w:val="231F20"/>
        </w:rPr>
        <w:t>наблюдалось</w:t>
      </w:r>
      <w:r>
        <w:rPr>
          <w:color w:val="231F20"/>
          <w:spacing w:val="-4"/>
        </w:rPr>
        <w:t> </w:t>
      </w:r>
      <w:r>
        <w:rPr>
          <w:color w:val="231F20"/>
        </w:rPr>
        <w:t>значительное</w:t>
      </w:r>
      <w:r>
        <w:rPr>
          <w:color w:val="231F20"/>
          <w:spacing w:val="-4"/>
        </w:rPr>
        <w:t> </w:t>
      </w:r>
      <w:r>
        <w:rPr>
          <w:color w:val="231F20"/>
        </w:rPr>
        <w:t>позитивное</w:t>
      </w:r>
      <w:r>
        <w:rPr>
          <w:color w:val="231F20"/>
          <w:spacing w:val="-4"/>
        </w:rPr>
        <w:t> </w:t>
      </w:r>
      <w:r>
        <w:rPr>
          <w:color w:val="231F20"/>
        </w:rPr>
        <w:t>изменение</w:t>
      </w:r>
      <w:r>
        <w:rPr>
          <w:color w:val="231F20"/>
          <w:spacing w:val="-4"/>
        </w:rPr>
        <w:t> </w:t>
      </w:r>
      <w:r>
        <w:rPr>
          <w:color w:val="231F20"/>
        </w:rPr>
        <w:t>стереотипов</w:t>
      </w:r>
      <w:r>
        <w:rPr>
          <w:color w:val="231F20"/>
          <w:spacing w:val="-4"/>
        </w:rPr>
        <w:t> </w:t>
      </w:r>
      <w:r>
        <w:rPr>
          <w:color w:val="231F20"/>
        </w:rPr>
        <w:t>участников после участия в программе. Результаты показали, что позитивное отношение может быть</w:t>
      </w:r>
      <w:r>
        <w:rPr>
          <w:color w:val="231F20"/>
          <w:spacing w:val="-8"/>
        </w:rPr>
        <w:t> </w:t>
      </w:r>
      <w:r>
        <w:rPr>
          <w:color w:val="231F20"/>
        </w:rPr>
        <w:t>усилено</w:t>
      </w:r>
      <w:r>
        <w:rPr>
          <w:color w:val="231F20"/>
          <w:spacing w:val="-8"/>
        </w:rPr>
        <w:t> </w:t>
      </w:r>
      <w:r>
        <w:rPr>
          <w:color w:val="231F20"/>
        </w:rPr>
        <w:t>положительным</w:t>
      </w:r>
      <w:r>
        <w:rPr>
          <w:color w:val="231F20"/>
          <w:spacing w:val="-8"/>
        </w:rPr>
        <w:t> </w:t>
      </w:r>
      <w:r>
        <w:rPr>
          <w:color w:val="231F20"/>
        </w:rPr>
        <w:t>опытом</w:t>
      </w:r>
      <w:r>
        <w:rPr>
          <w:color w:val="231F20"/>
          <w:spacing w:val="-8"/>
        </w:rPr>
        <w:t> </w:t>
      </w:r>
      <w:r>
        <w:rPr>
          <w:color w:val="231F20"/>
        </w:rPr>
        <w:t>взаимодействия.</w:t>
      </w:r>
      <w:r>
        <w:rPr>
          <w:color w:val="231F20"/>
          <w:spacing w:val="-8"/>
        </w:rPr>
        <w:t> </w:t>
      </w:r>
      <w:r>
        <w:rPr>
          <w:color w:val="231F20"/>
        </w:rPr>
        <w:t>Хотя</w:t>
      </w:r>
      <w:r>
        <w:rPr>
          <w:color w:val="231F20"/>
          <w:spacing w:val="-8"/>
        </w:rPr>
        <w:t> </w:t>
      </w:r>
      <w:r>
        <w:rPr>
          <w:color w:val="231F20"/>
        </w:rPr>
        <w:t>участники</w:t>
      </w:r>
      <w:r>
        <w:rPr>
          <w:color w:val="231F20"/>
          <w:spacing w:val="-8"/>
        </w:rPr>
        <w:t> </w:t>
      </w:r>
      <w:r>
        <w:rPr>
          <w:color w:val="231F20"/>
        </w:rPr>
        <w:t>не</w:t>
      </w:r>
      <w:r>
        <w:rPr>
          <w:color w:val="231F20"/>
          <w:spacing w:val="-8"/>
        </w:rPr>
        <w:t> </w:t>
      </w:r>
      <w:r>
        <w:rPr>
          <w:color w:val="231F20"/>
        </w:rPr>
        <w:t>изменили своего отношения кардинально, контакт, который они установили благодаря посто- янному сотрудничеству, развил межличностную близость как отдельных людей, так и групп. Некоторые негативные стереотипные взгляды, которых ранее придержива- лись</w:t>
      </w:r>
      <w:r>
        <w:rPr>
          <w:color w:val="231F20"/>
          <w:spacing w:val="-8"/>
        </w:rPr>
        <w:t> </w:t>
      </w:r>
      <w:r>
        <w:rPr>
          <w:color w:val="231F20"/>
        </w:rPr>
        <w:t>участники,</w:t>
      </w:r>
      <w:r>
        <w:rPr>
          <w:color w:val="231F20"/>
          <w:spacing w:val="-8"/>
        </w:rPr>
        <w:t> </w:t>
      </w:r>
      <w:r>
        <w:rPr>
          <w:color w:val="231F20"/>
        </w:rPr>
        <w:t>были</w:t>
      </w:r>
      <w:r>
        <w:rPr>
          <w:color w:val="231F20"/>
          <w:spacing w:val="-8"/>
        </w:rPr>
        <w:t> </w:t>
      </w:r>
      <w:r>
        <w:rPr>
          <w:color w:val="231F20"/>
        </w:rPr>
        <w:t>заменены</w:t>
      </w:r>
      <w:r>
        <w:rPr>
          <w:color w:val="231F20"/>
          <w:spacing w:val="-8"/>
        </w:rPr>
        <w:t> </w:t>
      </w:r>
      <w:r>
        <w:rPr>
          <w:color w:val="231F20"/>
        </w:rPr>
        <w:t>более</w:t>
      </w:r>
      <w:r>
        <w:rPr>
          <w:color w:val="231F20"/>
          <w:spacing w:val="-8"/>
        </w:rPr>
        <w:t> </w:t>
      </w:r>
      <w:r>
        <w:rPr>
          <w:color w:val="231F20"/>
        </w:rPr>
        <w:t>позитивным</w:t>
      </w:r>
      <w:r>
        <w:rPr>
          <w:color w:val="231F20"/>
          <w:spacing w:val="-8"/>
        </w:rPr>
        <w:t> </w:t>
      </w:r>
      <w:r>
        <w:rPr>
          <w:color w:val="231F20"/>
        </w:rPr>
        <w:t>восприятием</w:t>
      </w:r>
      <w:r>
        <w:rPr>
          <w:color w:val="231F20"/>
          <w:spacing w:val="-8"/>
        </w:rPr>
        <w:t> </w:t>
      </w:r>
      <w:r>
        <w:rPr>
          <w:color w:val="231F20"/>
        </w:rPr>
        <w:t>«другого»,</w:t>
      </w:r>
      <w:r>
        <w:rPr>
          <w:color w:val="231F20"/>
          <w:spacing w:val="-8"/>
        </w:rPr>
        <w:t> </w:t>
      </w:r>
      <w:r>
        <w:rPr>
          <w:color w:val="231F20"/>
        </w:rPr>
        <w:t>что</w:t>
      </w:r>
      <w:r>
        <w:rPr>
          <w:color w:val="231F20"/>
          <w:spacing w:val="-8"/>
        </w:rPr>
        <w:t> </w:t>
      </w:r>
      <w:r>
        <w:rPr>
          <w:color w:val="231F20"/>
        </w:rPr>
        <w:t>было зафиксировано в дневниках, которые они вели, и в опросе, касавшемся стереотипов.</w:t>
      </w:r>
    </w:p>
    <w:p>
      <w:pPr>
        <w:pStyle w:val="BodyText"/>
        <w:spacing w:line="230" w:lineRule="auto"/>
      </w:pPr>
      <w:r>
        <w:rPr>
          <w:color w:val="231F20"/>
          <w:spacing w:val="-2"/>
        </w:rPr>
        <w:t>Исходя</w:t>
      </w:r>
      <w:r>
        <w:rPr>
          <w:color w:val="231F20"/>
          <w:spacing w:val="-11"/>
        </w:rPr>
        <w:t> </w:t>
      </w:r>
      <w:r>
        <w:rPr>
          <w:color w:val="231F20"/>
          <w:spacing w:val="-2"/>
        </w:rPr>
        <w:t>из</w:t>
      </w:r>
      <w:r>
        <w:rPr>
          <w:color w:val="231F20"/>
          <w:spacing w:val="-10"/>
        </w:rPr>
        <w:t> </w:t>
      </w:r>
      <w:r>
        <w:rPr>
          <w:color w:val="231F20"/>
          <w:spacing w:val="-2"/>
        </w:rPr>
        <w:t>этого,</w:t>
      </w:r>
      <w:r>
        <w:rPr>
          <w:color w:val="231F20"/>
          <w:spacing w:val="-9"/>
        </w:rPr>
        <w:t> </w:t>
      </w:r>
      <w:r>
        <w:rPr>
          <w:color w:val="231F20"/>
          <w:spacing w:val="-2"/>
        </w:rPr>
        <w:t>программа</w:t>
      </w:r>
      <w:r>
        <w:rPr>
          <w:color w:val="231F20"/>
          <w:spacing w:val="-11"/>
        </w:rPr>
        <w:t> </w:t>
      </w:r>
      <w:r>
        <w:rPr>
          <w:color w:val="231F20"/>
          <w:spacing w:val="-2"/>
        </w:rPr>
        <w:t>TEC</w:t>
      </w:r>
      <w:r>
        <w:rPr>
          <w:color w:val="231F20"/>
          <w:spacing w:val="-9"/>
        </w:rPr>
        <w:t> </w:t>
      </w:r>
      <w:r>
        <w:rPr>
          <w:color w:val="231F20"/>
          <w:spacing w:val="-2"/>
        </w:rPr>
        <w:t>(Shonfeld,</w:t>
      </w:r>
      <w:r>
        <w:rPr>
          <w:color w:val="231F20"/>
          <w:spacing w:val="-10"/>
        </w:rPr>
        <w:t> </w:t>
      </w:r>
      <w:r>
        <w:rPr>
          <w:color w:val="231F20"/>
          <w:spacing w:val="-2"/>
        </w:rPr>
        <w:t>Hoter,</w:t>
      </w:r>
      <w:r>
        <w:rPr>
          <w:color w:val="231F20"/>
          <w:spacing w:val="-10"/>
        </w:rPr>
        <w:t> </w:t>
      </w:r>
      <w:r>
        <w:rPr>
          <w:color w:val="231F20"/>
          <w:spacing w:val="-2"/>
        </w:rPr>
        <w:t>&amp;</w:t>
      </w:r>
      <w:r>
        <w:rPr>
          <w:color w:val="231F20"/>
          <w:spacing w:val="-10"/>
        </w:rPr>
        <w:t> </w:t>
      </w:r>
      <w:r>
        <w:rPr>
          <w:color w:val="231F20"/>
          <w:spacing w:val="-2"/>
        </w:rPr>
        <w:t>Ganayem,</w:t>
      </w:r>
      <w:r>
        <w:rPr>
          <w:color w:val="231F20"/>
          <w:spacing w:val="-10"/>
        </w:rPr>
        <w:t> </w:t>
      </w:r>
      <w:r>
        <w:rPr>
          <w:color w:val="231F20"/>
          <w:spacing w:val="-2"/>
        </w:rPr>
        <w:t>2013)</w:t>
      </w:r>
      <w:r>
        <w:rPr>
          <w:color w:val="231F20"/>
          <w:spacing w:val="-10"/>
        </w:rPr>
        <w:t> </w:t>
      </w:r>
      <w:r>
        <w:rPr>
          <w:color w:val="231F20"/>
          <w:spacing w:val="-2"/>
        </w:rPr>
        <w:t>по</w:t>
      </w:r>
      <w:r>
        <w:rPr>
          <w:color w:val="231F20"/>
          <w:spacing w:val="-10"/>
        </w:rPr>
        <w:t> </w:t>
      </w:r>
      <w:r>
        <w:rPr>
          <w:color w:val="231F20"/>
          <w:spacing w:val="-2"/>
        </w:rPr>
        <w:t>сути</w:t>
      </w:r>
      <w:r>
        <w:rPr>
          <w:color w:val="231F20"/>
          <w:spacing w:val="-10"/>
        </w:rPr>
        <w:t> </w:t>
      </w:r>
      <w:r>
        <w:rPr>
          <w:color w:val="231F20"/>
          <w:spacing w:val="-2"/>
        </w:rPr>
        <w:t>модель </w:t>
      </w:r>
      <w:r>
        <w:rPr>
          <w:color w:val="231F20"/>
        </w:rPr>
        <w:t>укрепления доверия в онлайн-средах совместной работы. Преподаватели реализуют модель, формируя небольшие команды из представителей разных культур, которые переходят от онлайн-общения (письменного, устного, видео) к личному взаимодей- ствию, чтобы постепенно укреплять доверие между участниками. Модель работает посредством онлайн-сотрудничества</w:t>
      </w:r>
      <w:r>
        <w:rPr>
          <w:color w:val="231F20"/>
          <w:spacing w:val="1"/>
        </w:rPr>
        <w:t> </w:t>
      </w:r>
      <w:r>
        <w:rPr>
          <w:color w:val="231F20"/>
        </w:rPr>
        <w:t>для</w:t>
      </w:r>
      <w:r>
        <w:rPr>
          <w:color w:val="231F20"/>
          <w:spacing w:val="1"/>
        </w:rPr>
        <w:t> </w:t>
      </w:r>
      <w:r>
        <w:rPr>
          <w:color w:val="231F20"/>
        </w:rPr>
        <w:t>выполнения</w:t>
      </w:r>
      <w:r>
        <w:rPr>
          <w:color w:val="231F20"/>
          <w:spacing w:val="1"/>
        </w:rPr>
        <w:t> </w:t>
      </w:r>
      <w:r>
        <w:rPr>
          <w:color w:val="231F20"/>
        </w:rPr>
        <w:t>совместных</w:t>
      </w:r>
      <w:r>
        <w:rPr>
          <w:color w:val="231F20"/>
          <w:spacing w:val="1"/>
        </w:rPr>
        <w:t> </w:t>
      </w:r>
      <w:r>
        <w:rPr>
          <w:color w:val="231F20"/>
        </w:rPr>
        <w:t>заданий в</w:t>
      </w:r>
      <w:r>
        <w:rPr>
          <w:color w:val="231F20"/>
          <w:spacing w:val="1"/>
        </w:rPr>
        <w:t> </w:t>
      </w:r>
      <w:r>
        <w:rPr>
          <w:color w:val="231F20"/>
          <w:spacing w:val="-2"/>
        </w:rPr>
        <w:t>течение</w:t>
      </w:r>
    </w:p>
    <w:p>
      <w:pPr>
        <w:pStyle w:val="BodyText"/>
        <w:spacing w:after="0" w:line="230" w:lineRule="auto"/>
        <w:sectPr>
          <w:pgSz w:w="8400" w:h="11910"/>
          <w:pgMar w:header="0" w:footer="527" w:top="400" w:bottom="740" w:left="425" w:right="425"/>
        </w:sectPr>
      </w:pPr>
    </w:p>
    <w:p>
      <w:pPr>
        <w:pStyle w:val="ListParagraph"/>
        <w:numPr>
          <w:ilvl w:val="1"/>
          <w:numId w:val="96"/>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Методы</w:t>
      </w:r>
      <w:r>
        <w:rPr>
          <w:rFonts w:ascii="Georgia" w:hAnsi="Georgia"/>
          <w:color w:val="231F20"/>
          <w:spacing w:val="3"/>
          <w:sz w:val="18"/>
        </w:rPr>
        <w:t> </w:t>
      </w:r>
      <w:r>
        <w:rPr>
          <w:rFonts w:ascii="Georgia" w:hAnsi="Georgia"/>
          <w:color w:val="231F20"/>
          <w:sz w:val="18"/>
        </w:rPr>
        <w:t>учебной</w:t>
      </w:r>
      <w:r>
        <w:rPr>
          <w:rFonts w:ascii="Georgia" w:hAnsi="Georgia"/>
          <w:color w:val="231F20"/>
          <w:spacing w:val="3"/>
          <w:sz w:val="18"/>
        </w:rPr>
        <w:t> </w:t>
      </w:r>
      <w:r>
        <w:rPr>
          <w:rFonts w:ascii="Georgia" w:hAnsi="Georgia"/>
          <w:color w:val="231F20"/>
          <w:sz w:val="18"/>
        </w:rPr>
        <w:t>работы</w:t>
      </w:r>
      <w:r>
        <w:rPr>
          <w:rFonts w:ascii="Georgia" w:hAnsi="Georgia"/>
          <w:color w:val="231F20"/>
          <w:spacing w:val="3"/>
          <w:sz w:val="18"/>
        </w:rPr>
        <w:t> </w:t>
      </w:r>
      <w:r>
        <w:rPr>
          <w:rFonts w:ascii="Georgia" w:hAnsi="Georgia"/>
          <w:color w:val="231F20"/>
          <w:sz w:val="18"/>
        </w:rPr>
        <w:t>для</w:t>
      </w:r>
      <w:r>
        <w:rPr>
          <w:rFonts w:ascii="Georgia" w:hAnsi="Georgia"/>
          <w:color w:val="231F20"/>
          <w:spacing w:val="3"/>
          <w:sz w:val="18"/>
        </w:rPr>
        <w:t> </w:t>
      </w:r>
      <w:r>
        <w:rPr>
          <w:rFonts w:ascii="Georgia" w:hAnsi="Georgia"/>
          <w:color w:val="231F20"/>
          <w:sz w:val="18"/>
        </w:rPr>
        <w:t>адаптации</w:t>
      </w:r>
      <w:r>
        <w:rPr>
          <w:rFonts w:ascii="Georgia" w:hAnsi="Georgia"/>
          <w:color w:val="231F20"/>
          <w:spacing w:val="3"/>
          <w:sz w:val="18"/>
        </w:rPr>
        <w:t> </w:t>
      </w:r>
      <w:r>
        <w:rPr>
          <w:rFonts w:ascii="Georgia" w:hAnsi="Georgia"/>
          <w:color w:val="231F20"/>
          <w:sz w:val="18"/>
        </w:rPr>
        <w:t>детей</w:t>
      </w:r>
      <w:r>
        <w:rPr>
          <w:rFonts w:ascii="Georgia" w:hAnsi="Georgia"/>
          <w:color w:val="231F20"/>
          <w:spacing w:val="3"/>
          <w:sz w:val="18"/>
        </w:rPr>
        <w:t> </w:t>
      </w:r>
      <w:r>
        <w:rPr>
          <w:rFonts w:ascii="Georgia" w:hAnsi="Georgia"/>
          <w:color w:val="231F20"/>
          <w:sz w:val="18"/>
        </w:rPr>
        <w:t>...</w:t>
      </w:r>
      <w:r>
        <w:rPr>
          <w:rFonts w:ascii="Georgia" w:hAnsi="Georgia"/>
          <w:color w:val="231F20"/>
          <w:spacing w:val="3"/>
          <w:sz w:val="18"/>
        </w:rPr>
        <w:t> </w:t>
      </w:r>
      <w:r>
        <w:rPr>
          <w:rFonts w:ascii="Georgia" w:hAnsi="Georgia"/>
          <w:color w:val="231F20"/>
          <w:sz w:val="18"/>
        </w:rPr>
        <w:t>во</w:t>
      </w:r>
      <w:r>
        <w:rPr>
          <w:rFonts w:ascii="Georgia" w:hAnsi="Georgia"/>
          <w:color w:val="231F20"/>
          <w:spacing w:val="4"/>
          <w:sz w:val="18"/>
        </w:rPr>
        <w:t> </w:t>
      </w:r>
      <w:r>
        <w:rPr>
          <w:rFonts w:ascii="Georgia" w:hAnsi="Georgia"/>
          <w:color w:val="231F20"/>
          <w:spacing w:val="-2"/>
          <w:sz w:val="18"/>
        </w:rPr>
        <w:t>взаимодействии...</w:t>
      </w:r>
    </w:p>
    <w:p>
      <w:pPr>
        <w:pStyle w:val="BodyText"/>
        <w:spacing w:line="230" w:lineRule="auto" w:before="119"/>
        <w:ind w:firstLine="0"/>
      </w:pPr>
      <w:r>
        <w:rPr>
          <w:color w:val="231F20"/>
          <w:spacing w:val="-2"/>
        </w:rPr>
        <w:t>длительного</w:t>
      </w:r>
      <w:r>
        <w:rPr>
          <w:color w:val="231F20"/>
          <w:spacing w:val="-9"/>
        </w:rPr>
        <w:t> </w:t>
      </w:r>
      <w:r>
        <w:rPr>
          <w:color w:val="231F20"/>
          <w:spacing w:val="-2"/>
        </w:rPr>
        <w:t>времени.</w:t>
      </w:r>
      <w:r>
        <w:rPr>
          <w:color w:val="231F20"/>
          <w:spacing w:val="-9"/>
        </w:rPr>
        <w:t> </w:t>
      </w:r>
      <w:r>
        <w:rPr>
          <w:color w:val="231F20"/>
          <w:spacing w:val="-2"/>
        </w:rPr>
        <w:t>Члены</w:t>
      </w:r>
      <w:r>
        <w:rPr>
          <w:color w:val="231F20"/>
          <w:spacing w:val="-9"/>
        </w:rPr>
        <w:t> </w:t>
      </w:r>
      <w:r>
        <w:rPr>
          <w:color w:val="231F20"/>
          <w:spacing w:val="-2"/>
        </w:rPr>
        <w:t>команды</w:t>
      </w:r>
      <w:r>
        <w:rPr>
          <w:color w:val="231F20"/>
          <w:spacing w:val="-9"/>
        </w:rPr>
        <w:t> </w:t>
      </w:r>
      <w:r>
        <w:rPr>
          <w:color w:val="231F20"/>
          <w:spacing w:val="-2"/>
        </w:rPr>
        <w:t>узнают</w:t>
      </w:r>
      <w:r>
        <w:rPr>
          <w:color w:val="231F20"/>
          <w:spacing w:val="-9"/>
        </w:rPr>
        <w:t> </w:t>
      </w:r>
      <w:r>
        <w:rPr>
          <w:color w:val="231F20"/>
          <w:spacing w:val="-2"/>
        </w:rPr>
        <w:t>друг</w:t>
      </w:r>
      <w:r>
        <w:rPr>
          <w:color w:val="231F20"/>
          <w:spacing w:val="-9"/>
        </w:rPr>
        <w:t> </w:t>
      </w:r>
      <w:r>
        <w:rPr>
          <w:color w:val="231F20"/>
          <w:spacing w:val="-2"/>
        </w:rPr>
        <w:t>друга,</w:t>
      </w:r>
      <w:r>
        <w:rPr>
          <w:color w:val="231F20"/>
          <w:spacing w:val="-9"/>
        </w:rPr>
        <w:t> </w:t>
      </w:r>
      <w:r>
        <w:rPr>
          <w:color w:val="231F20"/>
          <w:spacing w:val="-2"/>
        </w:rPr>
        <w:t>проникаются</w:t>
      </w:r>
      <w:r>
        <w:rPr>
          <w:color w:val="231F20"/>
          <w:spacing w:val="-9"/>
        </w:rPr>
        <w:t> </w:t>
      </w:r>
      <w:r>
        <w:rPr>
          <w:color w:val="231F20"/>
          <w:spacing w:val="-2"/>
        </w:rPr>
        <w:t>взаимным</w:t>
      </w:r>
      <w:r>
        <w:rPr>
          <w:color w:val="231F20"/>
          <w:spacing w:val="-9"/>
        </w:rPr>
        <w:t> </w:t>
      </w:r>
      <w:r>
        <w:rPr>
          <w:color w:val="231F20"/>
          <w:spacing w:val="-2"/>
        </w:rPr>
        <w:t>ува- </w:t>
      </w:r>
      <w:r>
        <w:rPr>
          <w:color w:val="231F20"/>
        </w:rPr>
        <w:t>жением, устраняют стигмы и постепенно избавляются от взаимных предрассудков.</w:t>
      </w:r>
    </w:p>
    <w:p>
      <w:pPr>
        <w:spacing w:line="225" w:lineRule="exact" w:before="105"/>
        <w:ind w:left="425" w:right="0" w:firstLine="0"/>
        <w:jc w:val="left"/>
        <w:rPr>
          <w:b/>
          <w:sz w:val="20"/>
        </w:rPr>
      </w:pPr>
      <w:r>
        <w:rPr>
          <w:b/>
          <w:color w:val="231F20"/>
          <w:sz w:val="20"/>
        </w:rPr>
        <w:t>Обучение,</w:t>
      </w:r>
      <w:r>
        <w:rPr>
          <w:b/>
          <w:color w:val="231F20"/>
          <w:spacing w:val="-4"/>
          <w:sz w:val="20"/>
        </w:rPr>
        <w:t> </w:t>
      </w:r>
      <w:r>
        <w:rPr>
          <w:b/>
          <w:color w:val="231F20"/>
          <w:sz w:val="20"/>
        </w:rPr>
        <w:t>основанное</w:t>
      </w:r>
      <w:r>
        <w:rPr>
          <w:b/>
          <w:color w:val="231F20"/>
          <w:spacing w:val="-3"/>
          <w:sz w:val="20"/>
        </w:rPr>
        <w:t> </w:t>
      </w:r>
      <w:r>
        <w:rPr>
          <w:b/>
          <w:color w:val="231F20"/>
          <w:sz w:val="20"/>
        </w:rPr>
        <w:t>на</w:t>
      </w:r>
      <w:r>
        <w:rPr>
          <w:b/>
          <w:color w:val="231F20"/>
          <w:spacing w:val="-3"/>
          <w:sz w:val="20"/>
        </w:rPr>
        <w:t> </w:t>
      </w:r>
      <w:r>
        <w:rPr>
          <w:b/>
          <w:color w:val="231F20"/>
          <w:sz w:val="20"/>
        </w:rPr>
        <w:t>принципе</w:t>
      </w:r>
      <w:r>
        <w:rPr>
          <w:b/>
          <w:color w:val="231F20"/>
          <w:spacing w:val="-3"/>
          <w:sz w:val="20"/>
        </w:rPr>
        <w:t> </w:t>
      </w:r>
      <w:r>
        <w:rPr>
          <w:b/>
          <w:color w:val="231F20"/>
          <w:sz w:val="20"/>
        </w:rPr>
        <w:t>«равный</w:t>
      </w:r>
      <w:r>
        <w:rPr>
          <w:b/>
          <w:color w:val="231F20"/>
          <w:spacing w:val="-4"/>
          <w:sz w:val="20"/>
        </w:rPr>
        <w:t> </w:t>
      </w:r>
      <w:r>
        <w:rPr>
          <w:b/>
          <w:color w:val="231F20"/>
          <w:sz w:val="20"/>
        </w:rPr>
        <w:t>–</w:t>
      </w:r>
      <w:r>
        <w:rPr>
          <w:b/>
          <w:color w:val="231F20"/>
          <w:spacing w:val="-3"/>
          <w:sz w:val="20"/>
        </w:rPr>
        <w:t> </w:t>
      </w:r>
      <w:r>
        <w:rPr>
          <w:b/>
          <w:color w:val="231F20"/>
          <w:spacing w:val="-2"/>
          <w:sz w:val="20"/>
        </w:rPr>
        <w:t>равному»</w:t>
      </w:r>
    </w:p>
    <w:p>
      <w:pPr>
        <w:pStyle w:val="BodyText"/>
        <w:spacing w:line="230" w:lineRule="auto" w:before="2"/>
        <w:jc w:val="right"/>
      </w:pPr>
      <w:r>
        <w:rPr>
          <w:color w:val="231F20"/>
        </w:rPr>
        <w:t>Одним из подходов, имеющих сходство с обучением в сотрудничестве, является обучение по принципу «равный – равному», или взаимное/сетевое обучение (</w:t>
      </w:r>
      <w:r>
        <w:rPr>
          <w:i/>
          <w:color w:val="231F20"/>
        </w:rPr>
        <w:t>peer- to-peer</w:t>
      </w:r>
      <w:r>
        <w:rPr>
          <w:color w:val="231F20"/>
        </w:rPr>
        <w:t>,</w:t>
      </w:r>
      <w:r>
        <w:rPr>
          <w:color w:val="231F20"/>
          <w:spacing w:val="33"/>
        </w:rPr>
        <w:t> </w:t>
      </w:r>
      <w:r>
        <w:rPr>
          <w:color w:val="231F20"/>
        </w:rPr>
        <w:t>или</w:t>
      </w:r>
      <w:r>
        <w:rPr>
          <w:color w:val="231F20"/>
          <w:spacing w:val="33"/>
        </w:rPr>
        <w:t> </w:t>
      </w:r>
      <w:r>
        <w:rPr>
          <w:color w:val="231F20"/>
        </w:rPr>
        <w:t>сокращенно</w:t>
      </w:r>
      <w:r>
        <w:rPr>
          <w:color w:val="231F20"/>
          <w:spacing w:val="33"/>
        </w:rPr>
        <w:t> </w:t>
      </w:r>
      <w:r>
        <w:rPr>
          <w:color w:val="231F20"/>
        </w:rPr>
        <w:t>P2P,</w:t>
      </w:r>
      <w:r>
        <w:rPr>
          <w:color w:val="231F20"/>
          <w:spacing w:val="33"/>
        </w:rPr>
        <w:t> </w:t>
      </w:r>
      <w:r>
        <w:rPr>
          <w:i/>
          <w:color w:val="231F20"/>
        </w:rPr>
        <w:t>peer-associated</w:t>
      </w:r>
      <w:r>
        <w:rPr>
          <w:i/>
          <w:color w:val="231F20"/>
          <w:spacing w:val="33"/>
        </w:rPr>
        <w:t> </w:t>
      </w:r>
      <w:r>
        <w:rPr>
          <w:i/>
          <w:color w:val="231F20"/>
        </w:rPr>
        <w:t>learning</w:t>
      </w:r>
      <w:r>
        <w:rPr>
          <w:color w:val="231F20"/>
        </w:rPr>
        <w:t>).</w:t>
      </w:r>
      <w:r>
        <w:rPr>
          <w:color w:val="231F20"/>
          <w:spacing w:val="33"/>
        </w:rPr>
        <w:t> </w:t>
      </w:r>
      <w:r>
        <w:rPr>
          <w:color w:val="231F20"/>
        </w:rPr>
        <w:t>Этот</w:t>
      </w:r>
      <w:r>
        <w:rPr>
          <w:color w:val="231F20"/>
          <w:spacing w:val="33"/>
        </w:rPr>
        <w:t> </w:t>
      </w:r>
      <w:r>
        <w:rPr>
          <w:color w:val="231F20"/>
        </w:rPr>
        <w:t>подход</w:t>
      </w:r>
      <w:r>
        <w:rPr>
          <w:color w:val="231F20"/>
          <w:spacing w:val="33"/>
        </w:rPr>
        <w:t> </w:t>
      </w:r>
      <w:r>
        <w:rPr>
          <w:color w:val="231F20"/>
        </w:rPr>
        <w:t>опирается</w:t>
      </w:r>
      <w:r>
        <w:rPr>
          <w:color w:val="231F20"/>
          <w:spacing w:val="33"/>
        </w:rPr>
        <w:t> </w:t>
      </w:r>
      <w:r>
        <w:rPr>
          <w:color w:val="231F20"/>
        </w:rPr>
        <w:t>на </w:t>
      </w:r>
      <w:r>
        <w:rPr/>
        <w:t>Белл-Ланкастерскую</w:t>
      </w:r>
      <w:r>
        <w:rPr>
          <w:spacing w:val="40"/>
        </w:rPr>
        <w:t> </w:t>
      </w:r>
      <w:r>
        <w:rPr/>
        <w:t>систему</w:t>
      </w:r>
      <w:r>
        <w:rPr>
          <w:spacing w:val="40"/>
        </w:rPr>
        <w:t> </w:t>
      </w:r>
      <w:r>
        <w:rPr/>
        <w:t>обучения,</w:t>
      </w:r>
      <w:r>
        <w:rPr>
          <w:spacing w:val="40"/>
        </w:rPr>
        <w:t> </w:t>
      </w:r>
      <w:r>
        <w:rPr/>
        <w:t>которую</w:t>
      </w:r>
      <w:r>
        <w:rPr>
          <w:spacing w:val="40"/>
        </w:rPr>
        <w:t> </w:t>
      </w:r>
      <w:r>
        <w:rPr/>
        <w:t>независимо</w:t>
      </w:r>
      <w:r>
        <w:rPr>
          <w:spacing w:val="40"/>
        </w:rPr>
        <w:t> </w:t>
      </w:r>
      <w:r>
        <w:rPr/>
        <w:t>друг</w:t>
      </w:r>
      <w:r>
        <w:rPr>
          <w:spacing w:val="40"/>
        </w:rPr>
        <w:t> </w:t>
      </w:r>
      <w:r>
        <w:rPr/>
        <w:t>от</w:t>
      </w:r>
      <w:r>
        <w:rPr>
          <w:spacing w:val="-5"/>
        </w:rPr>
        <w:t> </w:t>
      </w:r>
      <w:r>
        <w:rPr/>
        <w:t>друга</w:t>
      </w:r>
      <w:r>
        <w:rPr>
          <w:spacing w:val="40"/>
        </w:rPr>
        <w:t> </w:t>
      </w:r>
      <w:r>
        <w:rPr/>
        <w:t>пред- ложили</w:t>
      </w:r>
      <w:r>
        <w:rPr>
          <w:spacing w:val="26"/>
        </w:rPr>
        <w:t> </w:t>
      </w:r>
      <w:r>
        <w:rPr/>
        <w:t>британские</w:t>
      </w:r>
      <w:r>
        <w:rPr>
          <w:spacing w:val="26"/>
        </w:rPr>
        <w:t> </w:t>
      </w:r>
      <w:r>
        <w:rPr/>
        <w:t>педагоги</w:t>
      </w:r>
      <w:r>
        <w:rPr>
          <w:spacing w:val="-5"/>
        </w:rPr>
        <w:t> </w:t>
      </w:r>
      <w:r>
        <w:rPr/>
        <w:t>Эндрю</w:t>
      </w:r>
      <w:r>
        <w:rPr>
          <w:spacing w:val="26"/>
        </w:rPr>
        <w:t> </w:t>
      </w:r>
      <w:r>
        <w:rPr/>
        <w:t>Белл</w:t>
      </w:r>
      <w:r>
        <w:rPr>
          <w:spacing w:val="-4"/>
        </w:rPr>
        <w:t> </w:t>
      </w:r>
      <w:r>
        <w:rPr/>
        <w:t>и</w:t>
      </w:r>
      <w:r>
        <w:rPr>
          <w:spacing w:val="-5"/>
        </w:rPr>
        <w:t> </w:t>
      </w:r>
      <w:r>
        <w:rPr/>
        <w:t>Джозеф</w:t>
      </w:r>
      <w:r>
        <w:rPr>
          <w:spacing w:val="26"/>
        </w:rPr>
        <w:t> </w:t>
      </w:r>
      <w:r>
        <w:rPr/>
        <w:t>Ланкастер</w:t>
      </w:r>
      <w:r>
        <w:rPr>
          <w:spacing w:val="-4"/>
        </w:rPr>
        <w:t> </w:t>
      </w:r>
      <w:r>
        <w:rPr/>
        <w:t>в</w:t>
      </w:r>
      <w:r>
        <w:rPr>
          <w:spacing w:val="-5"/>
        </w:rPr>
        <w:t> </w:t>
      </w:r>
      <w:r>
        <w:rPr/>
        <w:t>конце</w:t>
      </w:r>
      <w:r>
        <w:rPr>
          <w:spacing w:val="26"/>
        </w:rPr>
        <w:t> </w:t>
      </w:r>
      <w:r>
        <w:rPr/>
        <w:t>XVIII</w:t>
      </w:r>
      <w:r>
        <w:rPr>
          <w:spacing w:val="26"/>
        </w:rPr>
        <w:t> </w:t>
      </w:r>
      <w:r>
        <w:rPr/>
        <w:t>века. Данный</w:t>
      </w:r>
      <w:r>
        <w:rPr>
          <w:spacing w:val="18"/>
        </w:rPr>
        <w:t> </w:t>
      </w:r>
      <w:r>
        <w:rPr/>
        <w:t>способ</w:t>
      </w:r>
      <w:r>
        <w:rPr>
          <w:spacing w:val="18"/>
        </w:rPr>
        <w:t> </w:t>
      </w:r>
      <w:r>
        <w:rPr/>
        <w:t>использовался</w:t>
      </w:r>
      <w:r>
        <w:rPr>
          <w:spacing w:val="18"/>
        </w:rPr>
        <w:t> </w:t>
      </w:r>
      <w:r>
        <w:rPr/>
        <w:t>с</w:t>
      </w:r>
      <w:r>
        <w:rPr>
          <w:spacing w:val="18"/>
        </w:rPr>
        <w:t> </w:t>
      </w:r>
      <w:r>
        <w:rPr/>
        <w:t>целью</w:t>
      </w:r>
      <w:r>
        <w:rPr>
          <w:spacing w:val="18"/>
        </w:rPr>
        <w:t> </w:t>
      </w:r>
      <w:r>
        <w:rPr/>
        <w:t>повышения</w:t>
      </w:r>
      <w:r>
        <w:rPr>
          <w:spacing w:val="18"/>
        </w:rPr>
        <w:t> </w:t>
      </w:r>
      <w:r>
        <w:rPr/>
        <w:t>грамотности</w:t>
      </w:r>
      <w:r>
        <w:rPr>
          <w:spacing w:val="18"/>
        </w:rPr>
        <w:t> </w:t>
      </w:r>
      <w:r>
        <w:rPr/>
        <w:t>населения</w:t>
      </w:r>
      <w:r>
        <w:rPr>
          <w:spacing w:val="18"/>
        </w:rPr>
        <w:t> </w:t>
      </w:r>
      <w:r>
        <w:rPr/>
        <w:t>в</w:t>
      </w:r>
      <w:r>
        <w:rPr>
          <w:spacing w:val="18"/>
        </w:rPr>
        <w:t> </w:t>
      </w:r>
      <w:r>
        <w:rPr/>
        <w:t>связи с нехваткой учителей для массового образования. Система обучения выстраивалась следующим</w:t>
      </w:r>
      <w:r>
        <w:rPr>
          <w:spacing w:val="-13"/>
        </w:rPr>
        <w:t> </w:t>
      </w:r>
      <w:r>
        <w:rPr/>
        <w:t>образом:</w:t>
      </w:r>
      <w:r>
        <w:rPr>
          <w:spacing w:val="-12"/>
        </w:rPr>
        <w:t> </w:t>
      </w:r>
      <w:r>
        <w:rPr/>
        <w:t>сначала</w:t>
      </w:r>
      <w:r>
        <w:rPr>
          <w:spacing w:val="-13"/>
        </w:rPr>
        <w:t> </w:t>
      </w:r>
      <w:r>
        <w:rPr/>
        <w:t>учителя</w:t>
      </w:r>
      <w:r>
        <w:rPr>
          <w:spacing w:val="-12"/>
        </w:rPr>
        <w:t> </w:t>
      </w:r>
      <w:r>
        <w:rPr/>
        <w:t>обучали</w:t>
      </w:r>
      <w:r>
        <w:rPr>
          <w:spacing w:val="-13"/>
        </w:rPr>
        <w:t> </w:t>
      </w:r>
      <w:r>
        <w:rPr/>
        <w:t>старших</w:t>
      </w:r>
      <w:r>
        <w:rPr>
          <w:spacing w:val="-12"/>
        </w:rPr>
        <w:t> </w:t>
      </w:r>
      <w:r>
        <w:rPr/>
        <w:t>учеников</w:t>
      </w:r>
      <w:r>
        <w:rPr>
          <w:spacing w:val="-13"/>
        </w:rPr>
        <w:t> </w:t>
      </w:r>
      <w:r>
        <w:rPr/>
        <w:t>и</w:t>
      </w:r>
      <w:r>
        <w:rPr>
          <w:spacing w:val="-12"/>
        </w:rPr>
        <w:t> </w:t>
      </w:r>
      <w:r>
        <w:rPr/>
        <w:t>проверяли</w:t>
      </w:r>
      <w:r>
        <w:rPr>
          <w:spacing w:val="-13"/>
        </w:rPr>
        <w:t> </w:t>
      </w:r>
      <w:r>
        <w:rPr/>
        <w:t>их</w:t>
      </w:r>
      <w:r>
        <w:rPr>
          <w:spacing w:val="-12"/>
        </w:rPr>
        <w:t> </w:t>
      </w:r>
      <w:r>
        <w:rPr/>
        <w:t>зна- ния,</w:t>
      </w:r>
      <w:r>
        <w:rPr>
          <w:spacing w:val="-13"/>
        </w:rPr>
        <w:t> </w:t>
      </w:r>
      <w:r>
        <w:rPr/>
        <w:t>а</w:t>
      </w:r>
      <w:r>
        <w:rPr>
          <w:spacing w:val="-7"/>
        </w:rPr>
        <w:t> </w:t>
      </w:r>
      <w:r>
        <w:rPr/>
        <w:t>затем</w:t>
      </w:r>
      <w:r>
        <w:rPr>
          <w:spacing w:val="-13"/>
        </w:rPr>
        <w:t> </w:t>
      </w:r>
      <w:r>
        <w:rPr/>
        <w:t>эти</w:t>
      </w:r>
      <w:r>
        <w:rPr>
          <w:spacing w:val="-12"/>
        </w:rPr>
        <w:t> </w:t>
      </w:r>
      <w:r>
        <w:rPr/>
        <w:t>ученики,</w:t>
      </w:r>
      <w:r>
        <w:rPr>
          <w:spacing w:val="-13"/>
        </w:rPr>
        <w:t> </w:t>
      </w:r>
      <w:r>
        <w:rPr/>
        <w:t>получив</w:t>
      </w:r>
      <w:r>
        <w:rPr>
          <w:spacing w:val="-12"/>
        </w:rPr>
        <w:t> </w:t>
      </w:r>
      <w:r>
        <w:rPr/>
        <w:t>инструкции</w:t>
      </w:r>
      <w:r>
        <w:rPr>
          <w:spacing w:val="-13"/>
        </w:rPr>
        <w:t> </w:t>
      </w:r>
      <w:r>
        <w:rPr/>
        <w:t>учителя,</w:t>
      </w:r>
      <w:r>
        <w:rPr>
          <w:spacing w:val="-12"/>
        </w:rPr>
        <w:t> </w:t>
      </w:r>
      <w:r>
        <w:rPr/>
        <w:t>обучали</w:t>
      </w:r>
      <w:r>
        <w:rPr>
          <w:spacing w:val="-13"/>
        </w:rPr>
        <w:t> </w:t>
      </w:r>
      <w:r>
        <w:rPr/>
        <w:t>младших</w:t>
      </w:r>
      <w:r>
        <w:rPr>
          <w:spacing w:val="-12"/>
        </w:rPr>
        <w:t> </w:t>
      </w:r>
      <w:r>
        <w:rPr/>
        <w:t>товарищей. То есть в основе и обучения в сотрудничестве, и обучения P2P лежит идея о со- вместном</w:t>
      </w:r>
      <w:r>
        <w:rPr>
          <w:spacing w:val="-13"/>
        </w:rPr>
        <w:t> </w:t>
      </w:r>
      <w:r>
        <w:rPr/>
        <w:t>получении</w:t>
      </w:r>
      <w:r>
        <w:rPr>
          <w:spacing w:val="-12"/>
        </w:rPr>
        <w:t> </w:t>
      </w:r>
      <w:r>
        <w:rPr/>
        <w:t>знаний,</w:t>
      </w:r>
      <w:r>
        <w:rPr>
          <w:spacing w:val="-13"/>
        </w:rPr>
        <w:t> </w:t>
      </w:r>
      <w:r>
        <w:rPr/>
        <w:t>поэтому</w:t>
      </w:r>
      <w:r>
        <w:rPr>
          <w:spacing w:val="-12"/>
        </w:rPr>
        <w:t> </w:t>
      </w:r>
      <w:r>
        <w:rPr/>
        <w:t>многие</w:t>
      </w:r>
      <w:r>
        <w:rPr>
          <w:spacing w:val="-13"/>
        </w:rPr>
        <w:t> </w:t>
      </w:r>
      <w:r>
        <w:rPr/>
        <w:t>педагоги</w:t>
      </w:r>
      <w:r>
        <w:rPr>
          <w:spacing w:val="-12"/>
        </w:rPr>
        <w:t> </w:t>
      </w:r>
      <w:r>
        <w:rPr/>
        <w:t>не</w:t>
      </w:r>
      <w:r>
        <w:rPr>
          <w:spacing w:val="-13"/>
        </w:rPr>
        <w:t> </w:t>
      </w:r>
      <w:r>
        <w:rPr/>
        <w:t>разделяют</w:t>
      </w:r>
      <w:r>
        <w:rPr>
          <w:spacing w:val="-12"/>
        </w:rPr>
        <w:t> </w:t>
      </w:r>
      <w:r>
        <w:rPr/>
        <w:t>эти</w:t>
      </w:r>
      <w:r>
        <w:rPr>
          <w:spacing w:val="-13"/>
        </w:rPr>
        <w:t> </w:t>
      </w:r>
      <w:r>
        <w:rPr/>
        <w:t>два</w:t>
      </w:r>
      <w:r>
        <w:rPr>
          <w:spacing w:val="-12"/>
        </w:rPr>
        <w:t> </w:t>
      </w:r>
      <w:r>
        <w:rPr/>
        <w:t>подхода, а</w:t>
      </w:r>
      <w:r>
        <w:rPr>
          <w:spacing w:val="-7"/>
        </w:rPr>
        <w:t> </w:t>
      </w:r>
      <w:r>
        <w:rPr/>
        <w:t>считают</w:t>
      </w:r>
      <w:r>
        <w:rPr>
          <w:spacing w:val="-4"/>
        </w:rPr>
        <w:t> </w:t>
      </w:r>
      <w:r>
        <w:rPr/>
        <w:t>Р2Р</w:t>
      </w:r>
      <w:r>
        <w:rPr>
          <w:spacing w:val="-4"/>
        </w:rPr>
        <w:t> </w:t>
      </w:r>
      <w:r>
        <w:rPr/>
        <w:t>одной</w:t>
      </w:r>
      <w:r>
        <w:rPr>
          <w:spacing w:val="-4"/>
        </w:rPr>
        <w:t> </w:t>
      </w:r>
      <w:r>
        <w:rPr/>
        <w:t>из</w:t>
      </w:r>
      <w:r>
        <w:rPr>
          <w:spacing w:val="-4"/>
        </w:rPr>
        <w:t> </w:t>
      </w:r>
      <w:r>
        <w:rPr/>
        <w:t>форм</w:t>
      </w:r>
      <w:r>
        <w:rPr>
          <w:spacing w:val="-4"/>
        </w:rPr>
        <w:t> </w:t>
      </w:r>
      <w:r>
        <w:rPr/>
        <w:t>обучения</w:t>
      </w:r>
      <w:r>
        <w:rPr>
          <w:spacing w:val="-4"/>
        </w:rPr>
        <w:t> </w:t>
      </w:r>
      <w:r>
        <w:rPr/>
        <w:t>в</w:t>
      </w:r>
      <w:r>
        <w:rPr>
          <w:spacing w:val="-4"/>
        </w:rPr>
        <w:t> </w:t>
      </w:r>
      <w:r>
        <w:rPr/>
        <w:t>сотрудничестве,</w:t>
      </w:r>
      <w:r>
        <w:rPr>
          <w:spacing w:val="-4"/>
        </w:rPr>
        <w:t> </w:t>
      </w:r>
      <w:r>
        <w:rPr/>
        <w:t>отличающейся</w:t>
      </w:r>
      <w:r>
        <w:rPr>
          <w:spacing w:val="-4"/>
        </w:rPr>
        <w:t> </w:t>
      </w:r>
      <w:r>
        <w:rPr/>
        <w:t>лишь</w:t>
      </w:r>
      <w:r>
        <w:rPr>
          <w:spacing w:val="-4"/>
        </w:rPr>
        <w:t> </w:t>
      </w:r>
      <w:r>
        <w:rPr>
          <w:spacing w:val="-2"/>
        </w:rPr>
        <w:t>коли-</w:t>
      </w:r>
    </w:p>
    <w:p>
      <w:pPr>
        <w:pStyle w:val="BodyText"/>
        <w:spacing w:line="208" w:lineRule="exact"/>
        <w:ind w:right="0" w:firstLine="0"/>
      </w:pPr>
      <w:r>
        <w:rPr/>
        <w:t>чеством</w:t>
      </w:r>
      <w:r>
        <w:rPr>
          <w:spacing w:val="-4"/>
        </w:rPr>
        <w:t> </w:t>
      </w:r>
      <w:r>
        <w:rPr>
          <w:spacing w:val="-2"/>
        </w:rPr>
        <w:t>участников.</w:t>
      </w:r>
    </w:p>
    <w:p>
      <w:pPr>
        <w:pStyle w:val="BodyText"/>
        <w:spacing w:line="230" w:lineRule="auto" w:before="3"/>
      </w:pPr>
      <w:r>
        <w:rPr>
          <w:color w:val="231F20"/>
        </w:rPr>
        <w:t>Другая точка зрения состоит в том, что совместное обучение</w:t>
      </w:r>
      <w:r>
        <w:rPr>
          <w:color w:val="231F20"/>
          <w:spacing w:val="-6"/>
        </w:rPr>
        <w:t> </w:t>
      </w:r>
      <w:r>
        <w:rPr>
          <w:color w:val="231F20"/>
        </w:rPr>
        <w:t>происходит тогда, когда</w:t>
      </w:r>
      <w:r>
        <w:rPr>
          <w:color w:val="231F20"/>
          <w:spacing w:val="-2"/>
        </w:rPr>
        <w:t> </w:t>
      </w:r>
      <w:r>
        <w:rPr>
          <w:color w:val="231F20"/>
        </w:rPr>
        <w:t>учащиеся</w:t>
      </w:r>
      <w:r>
        <w:rPr>
          <w:color w:val="231F20"/>
          <w:spacing w:val="-2"/>
        </w:rPr>
        <w:t> </w:t>
      </w:r>
      <w:r>
        <w:rPr>
          <w:color w:val="231F20"/>
        </w:rPr>
        <w:t>работают</w:t>
      </w:r>
      <w:r>
        <w:rPr>
          <w:color w:val="231F20"/>
          <w:spacing w:val="-2"/>
        </w:rPr>
        <w:t> </w:t>
      </w:r>
      <w:r>
        <w:rPr>
          <w:color w:val="231F20"/>
        </w:rPr>
        <w:t>в</w:t>
      </w:r>
      <w:r>
        <w:rPr>
          <w:color w:val="231F20"/>
          <w:spacing w:val="-7"/>
        </w:rPr>
        <w:t> </w:t>
      </w:r>
      <w:r>
        <w:rPr>
          <w:color w:val="231F20"/>
        </w:rPr>
        <w:t>группах,</w:t>
      </w:r>
      <w:r>
        <w:rPr>
          <w:color w:val="231F20"/>
          <w:spacing w:val="-2"/>
        </w:rPr>
        <w:t> </w:t>
      </w:r>
      <w:r>
        <w:rPr>
          <w:color w:val="231F20"/>
        </w:rPr>
        <w:t>чтобы</w:t>
      </w:r>
      <w:r>
        <w:rPr>
          <w:color w:val="231F20"/>
          <w:spacing w:val="-2"/>
        </w:rPr>
        <w:t> </w:t>
      </w:r>
      <w:r>
        <w:rPr>
          <w:color w:val="231F20"/>
        </w:rPr>
        <w:t>вместе</w:t>
      </w:r>
      <w:r>
        <w:rPr>
          <w:color w:val="231F20"/>
          <w:spacing w:val="-2"/>
        </w:rPr>
        <w:t> </w:t>
      </w:r>
      <w:r>
        <w:rPr>
          <w:color w:val="231F20"/>
        </w:rPr>
        <w:t>найти</w:t>
      </w:r>
      <w:r>
        <w:rPr>
          <w:color w:val="231F20"/>
          <w:spacing w:val="-2"/>
        </w:rPr>
        <w:t> </w:t>
      </w:r>
      <w:r>
        <w:rPr>
          <w:color w:val="231F20"/>
        </w:rPr>
        <w:t>решение</w:t>
      </w:r>
      <w:r>
        <w:rPr>
          <w:color w:val="231F20"/>
          <w:spacing w:val="-2"/>
        </w:rPr>
        <w:t> </w:t>
      </w:r>
      <w:r>
        <w:rPr>
          <w:color w:val="231F20"/>
        </w:rPr>
        <w:t>задачи</w:t>
      </w:r>
      <w:r>
        <w:rPr>
          <w:color w:val="231F20"/>
          <w:spacing w:val="-2"/>
        </w:rPr>
        <w:t> </w:t>
      </w:r>
      <w:r>
        <w:rPr>
          <w:color w:val="231F20"/>
        </w:rPr>
        <w:t>и</w:t>
      </w:r>
      <w:r>
        <w:rPr>
          <w:color w:val="231F20"/>
          <w:spacing w:val="-7"/>
        </w:rPr>
        <w:t> </w:t>
      </w:r>
      <w:r>
        <w:rPr>
          <w:color w:val="231F20"/>
        </w:rPr>
        <w:t>обсудить новые идеи, то</w:t>
      </w:r>
      <w:r>
        <w:rPr>
          <w:color w:val="231F20"/>
          <w:spacing w:val="-3"/>
        </w:rPr>
        <w:t> </w:t>
      </w:r>
      <w:r>
        <w:rPr>
          <w:color w:val="231F20"/>
        </w:rPr>
        <w:t>есть</w:t>
      </w:r>
      <w:r>
        <w:rPr>
          <w:color w:val="231F20"/>
          <w:spacing w:val="-4"/>
        </w:rPr>
        <w:t> </w:t>
      </w:r>
      <w:r>
        <w:rPr>
          <w:color w:val="231F20"/>
        </w:rPr>
        <w:t>учатся друг у</w:t>
      </w:r>
      <w:r>
        <w:rPr>
          <w:color w:val="231F20"/>
          <w:spacing w:val="-3"/>
        </w:rPr>
        <w:t> </w:t>
      </w:r>
      <w:r>
        <w:rPr>
          <w:color w:val="231F20"/>
        </w:rPr>
        <w:t>друга. А</w:t>
      </w:r>
      <w:r>
        <w:rPr>
          <w:color w:val="231F20"/>
          <w:spacing w:val="-4"/>
        </w:rPr>
        <w:t> </w:t>
      </w:r>
      <w:r>
        <w:rPr>
          <w:color w:val="231F20"/>
        </w:rPr>
        <w:t>в</w:t>
      </w:r>
      <w:r>
        <w:rPr>
          <w:color w:val="231F20"/>
          <w:spacing w:val="-4"/>
        </w:rPr>
        <w:t> </w:t>
      </w:r>
      <w:r>
        <w:rPr>
          <w:color w:val="231F20"/>
        </w:rPr>
        <w:t>P2P-модели один учащийся ведет дру- гого</w:t>
      </w:r>
      <w:r>
        <w:rPr>
          <w:color w:val="231F20"/>
          <w:spacing w:val="-2"/>
        </w:rPr>
        <w:t> </w:t>
      </w:r>
      <w:r>
        <w:rPr>
          <w:color w:val="231F20"/>
        </w:rPr>
        <w:t>через</w:t>
      </w:r>
      <w:r>
        <w:rPr>
          <w:color w:val="231F20"/>
          <w:spacing w:val="-2"/>
        </w:rPr>
        <w:t> </w:t>
      </w:r>
      <w:r>
        <w:rPr>
          <w:color w:val="231F20"/>
        </w:rPr>
        <w:t>концепцию</w:t>
      </w:r>
      <w:r>
        <w:rPr>
          <w:color w:val="231F20"/>
          <w:spacing w:val="-2"/>
        </w:rPr>
        <w:t> </w:t>
      </w:r>
      <w:r>
        <w:rPr>
          <w:color w:val="231F20"/>
        </w:rPr>
        <w:t>или</w:t>
      </w:r>
      <w:r>
        <w:rPr>
          <w:color w:val="231F20"/>
          <w:spacing w:val="-2"/>
        </w:rPr>
        <w:t> </w:t>
      </w:r>
      <w:r>
        <w:rPr>
          <w:color w:val="231F20"/>
        </w:rPr>
        <w:t>задачу,</w:t>
      </w:r>
      <w:r>
        <w:rPr>
          <w:color w:val="231F20"/>
          <w:spacing w:val="-2"/>
        </w:rPr>
        <w:t> </w:t>
      </w:r>
      <w:r>
        <w:rPr>
          <w:color w:val="231F20"/>
        </w:rPr>
        <w:t>то</w:t>
      </w:r>
      <w:r>
        <w:rPr>
          <w:color w:val="231F20"/>
          <w:spacing w:val="-7"/>
        </w:rPr>
        <w:t> </w:t>
      </w:r>
      <w:r>
        <w:rPr>
          <w:color w:val="231F20"/>
        </w:rPr>
        <w:t>есть</w:t>
      </w:r>
      <w:r>
        <w:rPr>
          <w:color w:val="231F20"/>
          <w:spacing w:val="-8"/>
        </w:rPr>
        <w:t> </w:t>
      </w:r>
      <w:r>
        <w:rPr>
          <w:color w:val="231F20"/>
        </w:rPr>
        <w:t>один</w:t>
      </w:r>
      <w:r>
        <w:rPr>
          <w:color w:val="231F20"/>
          <w:spacing w:val="-2"/>
        </w:rPr>
        <w:t> </w:t>
      </w:r>
      <w:r>
        <w:rPr>
          <w:color w:val="231F20"/>
        </w:rPr>
        <w:t>обучающийся</w:t>
      </w:r>
      <w:r>
        <w:rPr>
          <w:color w:val="231F20"/>
          <w:spacing w:val="-2"/>
        </w:rPr>
        <w:t> </w:t>
      </w:r>
      <w:r>
        <w:rPr>
          <w:color w:val="231F20"/>
        </w:rPr>
        <w:t>учит</w:t>
      </w:r>
      <w:r>
        <w:rPr>
          <w:color w:val="231F20"/>
          <w:spacing w:val="-2"/>
        </w:rPr>
        <w:t> </w:t>
      </w:r>
      <w:r>
        <w:rPr>
          <w:color w:val="231F20"/>
        </w:rPr>
        <w:t>другого.</w:t>
      </w:r>
      <w:r>
        <w:rPr>
          <w:color w:val="231F20"/>
          <w:spacing w:val="-2"/>
        </w:rPr>
        <w:t> </w:t>
      </w:r>
      <w:r>
        <w:rPr>
          <w:color w:val="231F20"/>
        </w:rPr>
        <w:t>Как</w:t>
      </w:r>
      <w:r>
        <w:rPr>
          <w:color w:val="231F20"/>
          <w:spacing w:val="-2"/>
        </w:rPr>
        <w:t> </w:t>
      </w:r>
      <w:r>
        <w:rPr>
          <w:color w:val="231F20"/>
        </w:rPr>
        <w:t>вид- но, грань здесь действительно очень тонкая. Приемы совместного обучения хорошо работают, когда, например, класс участвует в</w:t>
      </w:r>
      <w:r>
        <w:rPr>
          <w:color w:val="231F20"/>
          <w:spacing w:val="-7"/>
        </w:rPr>
        <w:t> </w:t>
      </w:r>
      <w:r>
        <w:rPr>
          <w:color w:val="231F20"/>
        </w:rPr>
        <w:t>дискуссии после знакомства с</w:t>
      </w:r>
      <w:r>
        <w:rPr>
          <w:color w:val="231F20"/>
          <w:spacing w:val="-6"/>
        </w:rPr>
        <w:t> </w:t>
      </w:r>
      <w:r>
        <w:rPr>
          <w:color w:val="231F20"/>
        </w:rPr>
        <w:t>новой темой.</w:t>
      </w:r>
      <w:r>
        <w:rPr>
          <w:color w:val="231F20"/>
          <w:spacing w:val="-11"/>
        </w:rPr>
        <w:t> </w:t>
      </w:r>
      <w:r>
        <w:rPr>
          <w:color w:val="231F20"/>
        </w:rPr>
        <w:t>А</w:t>
      </w:r>
      <w:r>
        <w:rPr>
          <w:color w:val="231F20"/>
          <w:spacing w:val="-6"/>
        </w:rPr>
        <w:t> </w:t>
      </w:r>
      <w:r>
        <w:rPr>
          <w:color w:val="231F20"/>
        </w:rPr>
        <w:t>P2P</w:t>
      </w:r>
      <w:r>
        <w:rPr>
          <w:color w:val="231F20"/>
          <w:spacing w:val="-13"/>
        </w:rPr>
        <w:t> </w:t>
      </w:r>
      <w:r>
        <w:rPr>
          <w:color w:val="231F20"/>
        </w:rPr>
        <w:t>может</w:t>
      </w:r>
      <w:r>
        <w:rPr>
          <w:color w:val="231F20"/>
          <w:spacing w:val="-9"/>
        </w:rPr>
        <w:t> </w:t>
      </w:r>
      <w:r>
        <w:rPr>
          <w:color w:val="231F20"/>
        </w:rPr>
        <w:t>пригодиться,</w:t>
      </w:r>
      <w:r>
        <w:rPr>
          <w:color w:val="231F20"/>
          <w:spacing w:val="-9"/>
        </w:rPr>
        <w:t> </w:t>
      </w:r>
      <w:r>
        <w:rPr>
          <w:color w:val="231F20"/>
        </w:rPr>
        <w:t>если</w:t>
      </w:r>
      <w:r>
        <w:rPr>
          <w:color w:val="231F20"/>
          <w:spacing w:val="-9"/>
        </w:rPr>
        <w:t> </w:t>
      </w:r>
      <w:r>
        <w:rPr>
          <w:color w:val="231F20"/>
        </w:rPr>
        <w:t>нужно</w:t>
      </w:r>
      <w:r>
        <w:rPr>
          <w:color w:val="231F20"/>
          <w:spacing w:val="-9"/>
        </w:rPr>
        <w:t> </w:t>
      </w:r>
      <w:r>
        <w:rPr>
          <w:color w:val="231F20"/>
        </w:rPr>
        <w:t>управлять</w:t>
      </w:r>
      <w:r>
        <w:rPr>
          <w:color w:val="231F20"/>
          <w:spacing w:val="-9"/>
        </w:rPr>
        <w:t> </w:t>
      </w:r>
      <w:r>
        <w:rPr>
          <w:color w:val="231F20"/>
        </w:rPr>
        <w:t>различными</w:t>
      </w:r>
      <w:r>
        <w:rPr>
          <w:color w:val="231F20"/>
          <w:spacing w:val="-9"/>
        </w:rPr>
        <w:t> </w:t>
      </w:r>
      <w:r>
        <w:rPr>
          <w:color w:val="231F20"/>
        </w:rPr>
        <w:t>темпами</w:t>
      </w:r>
      <w:r>
        <w:rPr>
          <w:color w:val="231F20"/>
          <w:spacing w:val="-9"/>
        </w:rPr>
        <w:t> </w:t>
      </w:r>
      <w:r>
        <w:rPr>
          <w:color w:val="231F20"/>
        </w:rPr>
        <w:t>обуче- ния:</w:t>
      </w:r>
      <w:r>
        <w:rPr>
          <w:color w:val="231F20"/>
          <w:spacing w:val="-6"/>
        </w:rPr>
        <w:t> </w:t>
      </w:r>
      <w:r>
        <w:rPr>
          <w:color w:val="231F20"/>
        </w:rPr>
        <w:t>ученики,</w:t>
      </w:r>
      <w:r>
        <w:rPr>
          <w:color w:val="231F20"/>
          <w:spacing w:val="-6"/>
        </w:rPr>
        <w:t> </w:t>
      </w:r>
      <w:r>
        <w:rPr>
          <w:color w:val="231F20"/>
        </w:rPr>
        <w:t>освоившие</w:t>
      </w:r>
      <w:r>
        <w:rPr>
          <w:color w:val="231F20"/>
          <w:spacing w:val="-6"/>
        </w:rPr>
        <w:t> </w:t>
      </w:r>
      <w:r>
        <w:rPr>
          <w:color w:val="231F20"/>
        </w:rPr>
        <w:t>материал</w:t>
      </w:r>
      <w:r>
        <w:rPr>
          <w:color w:val="231F20"/>
          <w:spacing w:val="-6"/>
        </w:rPr>
        <w:t> </w:t>
      </w:r>
      <w:r>
        <w:rPr>
          <w:color w:val="231F20"/>
        </w:rPr>
        <w:t>быстрее</w:t>
      </w:r>
      <w:r>
        <w:rPr>
          <w:color w:val="231F20"/>
          <w:spacing w:val="-6"/>
        </w:rPr>
        <w:t> </w:t>
      </w:r>
      <w:r>
        <w:rPr>
          <w:color w:val="231F20"/>
        </w:rPr>
        <w:t>других,</w:t>
      </w:r>
      <w:r>
        <w:rPr>
          <w:color w:val="231F20"/>
          <w:spacing w:val="-6"/>
        </w:rPr>
        <w:t> </w:t>
      </w:r>
      <w:r>
        <w:rPr>
          <w:color w:val="231F20"/>
        </w:rPr>
        <w:t>могут</w:t>
      </w:r>
      <w:r>
        <w:rPr>
          <w:color w:val="231F20"/>
          <w:spacing w:val="-6"/>
        </w:rPr>
        <w:t> </w:t>
      </w:r>
      <w:r>
        <w:rPr>
          <w:color w:val="231F20"/>
        </w:rPr>
        <w:t>помочь</w:t>
      </w:r>
      <w:r>
        <w:rPr>
          <w:color w:val="231F20"/>
          <w:spacing w:val="-6"/>
        </w:rPr>
        <w:t> </w:t>
      </w:r>
      <w:r>
        <w:rPr>
          <w:color w:val="231F20"/>
        </w:rPr>
        <w:t>разобраться</w:t>
      </w:r>
      <w:r>
        <w:rPr>
          <w:color w:val="231F20"/>
          <w:spacing w:val="-6"/>
        </w:rPr>
        <w:t> </w:t>
      </w:r>
      <w:r>
        <w:rPr>
          <w:color w:val="231F20"/>
        </w:rPr>
        <w:t>своим одноклассникам.</w:t>
      </w:r>
      <w:r>
        <w:rPr>
          <w:color w:val="231F20"/>
          <w:spacing w:val="-13"/>
        </w:rPr>
        <w:t> </w:t>
      </w:r>
      <w:r>
        <w:rPr>
          <w:color w:val="231F20"/>
        </w:rPr>
        <w:t>При</w:t>
      </w:r>
      <w:r>
        <w:rPr>
          <w:color w:val="231F20"/>
          <w:spacing w:val="-12"/>
        </w:rPr>
        <w:t> </w:t>
      </w:r>
      <w:r>
        <w:rPr>
          <w:color w:val="231F20"/>
        </w:rPr>
        <w:t>этом</w:t>
      </w:r>
      <w:r>
        <w:rPr>
          <w:color w:val="231F20"/>
          <w:spacing w:val="-13"/>
        </w:rPr>
        <w:t> </w:t>
      </w:r>
      <w:r>
        <w:rPr>
          <w:color w:val="231F20"/>
        </w:rPr>
        <w:t>взаимное</w:t>
      </w:r>
      <w:r>
        <w:rPr>
          <w:color w:val="231F20"/>
          <w:spacing w:val="-12"/>
        </w:rPr>
        <w:t> </w:t>
      </w:r>
      <w:r>
        <w:rPr>
          <w:color w:val="231F20"/>
        </w:rPr>
        <w:t>обучение</w:t>
      </w:r>
      <w:r>
        <w:rPr>
          <w:color w:val="231F20"/>
          <w:spacing w:val="-13"/>
        </w:rPr>
        <w:t> </w:t>
      </w:r>
      <w:r>
        <w:rPr>
          <w:color w:val="231F20"/>
        </w:rPr>
        <w:t>может</w:t>
      </w:r>
      <w:r>
        <w:rPr>
          <w:color w:val="231F20"/>
          <w:spacing w:val="-12"/>
        </w:rPr>
        <w:t> </w:t>
      </w:r>
      <w:r>
        <w:rPr>
          <w:color w:val="231F20"/>
        </w:rPr>
        <w:t>быть</w:t>
      </w:r>
      <w:r>
        <w:rPr>
          <w:color w:val="231F20"/>
          <w:spacing w:val="-13"/>
        </w:rPr>
        <w:t> </w:t>
      </w:r>
      <w:r>
        <w:rPr>
          <w:color w:val="231F20"/>
        </w:rPr>
        <w:t>как</w:t>
      </w:r>
      <w:r>
        <w:rPr>
          <w:color w:val="231F20"/>
          <w:spacing w:val="-12"/>
        </w:rPr>
        <w:t> </w:t>
      </w:r>
      <w:r>
        <w:rPr>
          <w:color w:val="231F20"/>
        </w:rPr>
        <w:t>формальным,</w:t>
      </w:r>
      <w:r>
        <w:rPr>
          <w:color w:val="231F20"/>
          <w:spacing w:val="-13"/>
        </w:rPr>
        <w:t> </w:t>
      </w:r>
      <w:r>
        <w:rPr>
          <w:color w:val="231F20"/>
        </w:rPr>
        <w:t>так</w:t>
      </w:r>
      <w:r>
        <w:rPr>
          <w:color w:val="231F20"/>
          <w:spacing w:val="-12"/>
        </w:rPr>
        <w:t> </w:t>
      </w:r>
      <w:r>
        <w:rPr>
          <w:color w:val="231F20"/>
        </w:rPr>
        <w:t>и</w:t>
      </w:r>
      <w:r>
        <w:rPr>
          <w:color w:val="231F20"/>
          <w:spacing w:val="-13"/>
        </w:rPr>
        <w:t> </w:t>
      </w:r>
      <w:r>
        <w:rPr>
          <w:color w:val="231F20"/>
        </w:rPr>
        <w:t>не- формальным</w:t>
      </w:r>
      <w:r>
        <w:rPr>
          <w:color w:val="231F20"/>
          <w:spacing w:val="-13"/>
        </w:rPr>
        <w:t> </w:t>
      </w:r>
      <w:r>
        <w:rPr>
          <w:color w:val="231F20"/>
        </w:rPr>
        <w:t>и</w:t>
      </w:r>
      <w:r>
        <w:rPr>
          <w:color w:val="231F20"/>
          <w:spacing w:val="-12"/>
        </w:rPr>
        <w:t> </w:t>
      </w:r>
      <w:r>
        <w:rPr>
          <w:color w:val="231F20"/>
        </w:rPr>
        <w:t>применяться</w:t>
      </w:r>
      <w:r>
        <w:rPr>
          <w:color w:val="231F20"/>
          <w:spacing w:val="-13"/>
        </w:rPr>
        <w:t> </w:t>
      </w:r>
      <w:r>
        <w:rPr>
          <w:color w:val="231F20"/>
        </w:rPr>
        <w:t>практически</w:t>
      </w:r>
      <w:r>
        <w:rPr>
          <w:color w:val="231F20"/>
          <w:spacing w:val="-12"/>
        </w:rPr>
        <w:t> </w:t>
      </w:r>
      <w:r>
        <w:rPr>
          <w:color w:val="231F20"/>
        </w:rPr>
        <w:t>где</w:t>
      </w:r>
      <w:r>
        <w:rPr>
          <w:color w:val="231F20"/>
          <w:spacing w:val="-13"/>
        </w:rPr>
        <w:t> </w:t>
      </w:r>
      <w:r>
        <w:rPr>
          <w:color w:val="231F20"/>
        </w:rPr>
        <w:t>угодно.</w:t>
      </w:r>
      <w:r>
        <w:rPr>
          <w:color w:val="231F20"/>
          <w:spacing w:val="-12"/>
        </w:rPr>
        <w:t> </w:t>
      </w:r>
      <w:r>
        <w:rPr>
          <w:color w:val="231F20"/>
        </w:rPr>
        <w:t>Например,</w:t>
      </w:r>
      <w:r>
        <w:rPr>
          <w:color w:val="231F20"/>
          <w:spacing w:val="-13"/>
        </w:rPr>
        <w:t> </w:t>
      </w:r>
      <w:r>
        <w:rPr>
          <w:color w:val="231F20"/>
        </w:rPr>
        <w:t>когда</w:t>
      </w:r>
      <w:r>
        <w:rPr>
          <w:color w:val="231F20"/>
          <w:spacing w:val="-12"/>
        </w:rPr>
        <w:t> </w:t>
      </w:r>
      <w:r>
        <w:rPr>
          <w:color w:val="231F20"/>
        </w:rPr>
        <w:t>одноклассники помогают друг другу в</w:t>
      </w:r>
      <w:r>
        <w:rPr>
          <w:color w:val="231F20"/>
          <w:spacing w:val="-7"/>
        </w:rPr>
        <w:t> </w:t>
      </w:r>
      <w:r>
        <w:rPr>
          <w:color w:val="231F20"/>
        </w:rPr>
        <w:t>выполнении домашнего задания – это тоже </w:t>
      </w:r>
      <w:r>
        <w:rPr>
          <w:i/>
          <w:color w:val="231F20"/>
        </w:rPr>
        <w:t>peer-to-peer</w:t>
      </w:r>
      <w:r>
        <w:rPr>
          <w:color w:val="231F20"/>
        </w:rPr>
        <w:t>-обу- чение в простейшей его форме.</w:t>
      </w:r>
    </w:p>
    <w:p>
      <w:pPr>
        <w:pStyle w:val="BodyText"/>
        <w:spacing w:line="230" w:lineRule="auto"/>
      </w:pPr>
      <w:r>
        <w:rPr>
          <w:color w:val="231F20"/>
        </w:rPr>
        <w:t>Обзоры исследований, касающихся эффективности взаимного обучения, выяв- ляют наличие взаимосвязи между P2P-обучением, с одной стороны, и социальными переменными,</w:t>
      </w:r>
      <w:r>
        <w:rPr>
          <w:color w:val="231F20"/>
          <w:spacing w:val="-13"/>
        </w:rPr>
        <w:t> </w:t>
      </w:r>
      <w:r>
        <w:rPr>
          <w:color w:val="231F20"/>
        </w:rPr>
        <w:t>я-концепцией,</w:t>
      </w:r>
      <w:r>
        <w:rPr>
          <w:color w:val="231F20"/>
          <w:spacing w:val="-12"/>
        </w:rPr>
        <w:t> </w:t>
      </w:r>
      <w:r>
        <w:rPr>
          <w:color w:val="231F20"/>
        </w:rPr>
        <w:t>поведением</w:t>
      </w:r>
      <w:r>
        <w:rPr>
          <w:color w:val="231F20"/>
          <w:spacing w:val="-13"/>
        </w:rPr>
        <w:t> </w:t>
      </w:r>
      <w:r>
        <w:rPr>
          <w:color w:val="231F20"/>
        </w:rPr>
        <w:t>и</w:t>
      </w:r>
      <w:r>
        <w:rPr>
          <w:color w:val="231F20"/>
          <w:spacing w:val="-12"/>
        </w:rPr>
        <w:t> </w:t>
      </w:r>
      <w:r>
        <w:rPr>
          <w:color w:val="231F20"/>
        </w:rPr>
        <w:t>академической</w:t>
      </w:r>
      <w:r>
        <w:rPr>
          <w:color w:val="231F20"/>
          <w:spacing w:val="-13"/>
        </w:rPr>
        <w:t> </w:t>
      </w:r>
      <w:r>
        <w:rPr>
          <w:color w:val="231F20"/>
        </w:rPr>
        <w:t>успеваемостью</w:t>
      </w:r>
      <w:r>
        <w:rPr>
          <w:color w:val="231F20"/>
          <w:spacing w:val="-12"/>
        </w:rPr>
        <w:t> </w:t>
      </w:r>
      <w:r>
        <w:rPr>
          <w:color w:val="231F20"/>
        </w:rPr>
        <w:t>–</w:t>
      </w:r>
      <w:r>
        <w:rPr>
          <w:color w:val="231F20"/>
          <w:spacing w:val="-13"/>
        </w:rPr>
        <w:t> </w:t>
      </w:r>
      <w:r>
        <w:rPr>
          <w:color w:val="231F20"/>
        </w:rPr>
        <w:t>с</w:t>
      </w:r>
      <w:r>
        <w:rPr>
          <w:color w:val="231F20"/>
          <w:spacing w:val="-12"/>
        </w:rPr>
        <w:t> </w:t>
      </w:r>
      <w:r>
        <w:rPr>
          <w:color w:val="231F20"/>
        </w:rPr>
        <w:t>другой (см.</w:t>
      </w:r>
      <w:r>
        <w:rPr>
          <w:color w:val="231F20"/>
          <w:spacing w:val="-13"/>
        </w:rPr>
        <w:t> </w:t>
      </w:r>
      <w:r>
        <w:rPr>
          <w:color w:val="231F20"/>
        </w:rPr>
        <w:t>обзор</w:t>
      </w:r>
      <w:r>
        <w:rPr>
          <w:color w:val="231F20"/>
          <w:spacing w:val="-12"/>
        </w:rPr>
        <w:t> </w:t>
      </w:r>
      <w:r>
        <w:rPr>
          <w:color w:val="231F20"/>
        </w:rPr>
        <w:t>Rohrbeck</w:t>
      </w:r>
      <w:r>
        <w:rPr>
          <w:color w:val="231F20"/>
          <w:spacing w:val="-13"/>
        </w:rPr>
        <w:t> </w:t>
      </w:r>
      <w:r>
        <w:rPr>
          <w:color w:val="231F20"/>
        </w:rPr>
        <w:t>et</w:t>
      </w:r>
      <w:r>
        <w:rPr>
          <w:color w:val="231F20"/>
          <w:spacing w:val="-12"/>
        </w:rPr>
        <w:t> </w:t>
      </w:r>
      <w:r>
        <w:rPr>
          <w:color w:val="231F20"/>
        </w:rPr>
        <w:t>al.,</w:t>
      </w:r>
      <w:r>
        <w:rPr>
          <w:color w:val="231F20"/>
          <w:spacing w:val="-13"/>
        </w:rPr>
        <w:t> </w:t>
      </w:r>
      <w:r>
        <w:rPr>
          <w:color w:val="231F20"/>
        </w:rPr>
        <w:t>2003).</w:t>
      </w:r>
      <w:r>
        <w:rPr>
          <w:color w:val="231F20"/>
          <w:spacing w:val="-12"/>
        </w:rPr>
        <w:t> </w:t>
      </w:r>
      <w:r>
        <w:rPr>
          <w:color w:val="231F20"/>
        </w:rPr>
        <w:t>Доказано,</w:t>
      </w:r>
      <w:r>
        <w:rPr>
          <w:color w:val="231F20"/>
          <w:spacing w:val="-13"/>
        </w:rPr>
        <w:t> </w:t>
      </w:r>
      <w:r>
        <w:rPr>
          <w:color w:val="231F20"/>
        </w:rPr>
        <w:t>что</w:t>
      </w:r>
      <w:r>
        <w:rPr>
          <w:color w:val="231F20"/>
          <w:spacing w:val="-12"/>
        </w:rPr>
        <w:t> </w:t>
      </w:r>
      <w:r>
        <w:rPr>
          <w:color w:val="231F20"/>
        </w:rPr>
        <w:t>вмешательство</w:t>
      </w:r>
      <w:r>
        <w:rPr>
          <w:color w:val="231F20"/>
          <w:spacing w:val="-13"/>
        </w:rPr>
        <w:t> </w:t>
      </w:r>
      <w:r>
        <w:rPr>
          <w:i/>
          <w:color w:val="231F20"/>
        </w:rPr>
        <w:t>peer-associated</w:t>
      </w:r>
      <w:r>
        <w:rPr>
          <w:i/>
          <w:color w:val="231F20"/>
          <w:spacing w:val="-12"/>
        </w:rPr>
        <w:t> </w:t>
      </w:r>
      <w:r>
        <w:rPr>
          <w:i/>
          <w:color w:val="231F20"/>
        </w:rPr>
        <w:t>learning </w:t>
      </w:r>
      <w:r>
        <w:rPr>
          <w:color w:val="231F20"/>
        </w:rPr>
        <w:t>приводит к положительному, незначительному или умеренному воздействию на со- циальные</w:t>
      </w:r>
      <w:r>
        <w:rPr>
          <w:color w:val="231F20"/>
          <w:spacing w:val="-5"/>
        </w:rPr>
        <w:t> </w:t>
      </w:r>
      <w:r>
        <w:rPr>
          <w:color w:val="231F20"/>
        </w:rPr>
        <w:t>результаты,</w:t>
      </w:r>
      <w:r>
        <w:rPr>
          <w:color w:val="231F20"/>
          <w:spacing w:val="-5"/>
        </w:rPr>
        <w:t> </w:t>
      </w:r>
      <w:r>
        <w:rPr>
          <w:color w:val="231F20"/>
        </w:rPr>
        <w:t>я-концепцию</w:t>
      </w:r>
      <w:r>
        <w:rPr>
          <w:color w:val="231F20"/>
          <w:spacing w:val="-5"/>
        </w:rPr>
        <w:t> </w:t>
      </w:r>
      <w:r>
        <w:rPr>
          <w:color w:val="231F20"/>
        </w:rPr>
        <w:t>и</w:t>
      </w:r>
      <w:r>
        <w:rPr>
          <w:color w:val="231F20"/>
          <w:spacing w:val="-5"/>
        </w:rPr>
        <w:t> </w:t>
      </w:r>
      <w:r>
        <w:rPr>
          <w:color w:val="231F20"/>
        </w:rPr>
        <w:t>поведение.</w:t>
      </w:r>
      <w:r>
        <w:rPr>
          <w:color w:val="231F20"/>
          <w:spacing w:val="-5"/>
        </w:rPr>
        <w:t> </w:t>
      </w:r>
      <w:r>
        <w:rPr>
          <w:color w:val="231F20"/>
        </w:rPr>
        <w:t>Кроме</w:t>
      </w:r>
      <w:r>
        <w:rPr>
          <w:color w:val="231F20"/>
          <w:spacing w:val="-5"/>
        </w:rPr>
        <w:t> </w:t>
      </w:r>
      <w:r>
        <w:rPr>
          <w:color w:val="231F20"/>
        </w:rPr>
        <w:t>того,</w:t>
      </w:r>
      <w:r>
        <w:rPr>
          <w:color w:val="231F20"/>
          <w:spacing w:val="-5"/>
        </w:rPr>
        <w:t> </w:t>
      </w:r>
      <w:r>
        <w:rPr>
          <w:color w:val="231F20"/>
        </w:rPr>
        <w:t>были</w:t>
      </w:r>
      <w:r>
        <w:rPr>
          <w:color w:val="231F20"/>
          <w:spacing w:val="-5"/>
        </w:rPr>
        <w:t> </w:t>
      </w:r>
      <w:r>
        <w:rPr>
          <w:color w:val="231F20"/>
        </w:rPr>
        <w:t>обнаружены</w:t>
      </w:r>
      <w:r>
        <w:rPr>
          <w:color w:val="231F20"/>
          <w:spacing w:val="-5"/>
        </w:rPr>
        <w:t> </w:t>
      </w:r>
      <w:r>
        <w:rPr>
          <w:color w:val="231F20"/>
        </w:rPr>
        <w:t>зна- чительные положительные взаимосвязи между этими социальными результатами и результатами самооценки и успеваемостью учащихся.</w:t>
      </w:r>
    </w:p>
    <w:p>
      <w:pPr>
        <w:pStyle w:val="BodyText"/>
        <w:spacing w:line="232" w:lineRule="auto"/>
      </w:pPr>
      <w:r>
        <w:rPr>
          <w:color w:val="231F20"/>
        </w:rPr>
        <w:t>Обнаруживается интересная закономерность: хотя данный способ обучения ока- зал положительное и значительное воздействие на все демографические группы, ис- следователи отмечают, что намного более эффективным он оказался для учащихся, представляющих</w:t>
      </w:r>
      <w:r>
        <w:rPr>
          <w:color w:val="231F20"/>
          <w:spacing w:val="-13"/>
        </w:rPr>
        <w:t> </w:t>
      </w:r>
      <w:r>
        <w:rPr>
          <w:color w:val="231F20"/>
        </w:rPr>
        <w:t>этнические</w:t>
      </w:r>
      <w:r>
        <w:rPr>
          <w:color w:val="231F20"/>
          <w:spacing w:val="-12"/>
        </w:rPr>
        <w:t> </w:t>
      </w:r>
      <w:r>
        <w:rPr>
          <w:color w:val="231F20"/>
        </w:rPr>
        <w:t>меньшинства,</w:t>
      </w:r>
      <w:r>
        <w:rPr>
          <w:color w:val="231F20"/>
          <w:spacing w:val="-13"/>
        </w:rPr>
        <w:t> </w:t>
      </w:r>
      <w:r>
        <w:rPr>
          <w:color w:val="231F20"/>
        </w:rPr>
        <w:t>для</w:t>
      </w:r>
      <w:r>
        <w:rPr>
          <w:color w:val="231F20"/>
          <w:spacing w:val="-12"/>
        </w:rPr>
        <w:t> </w:t>
      </w:r>
      <w:r>
        <w:rPr>
          <w:color w:val="231F20"/>
        </w:rPr>
        <w:t>учащихся</w:t>
      </w:r>
      <w:r>
        <w:rPr>
          <w:color w:val="231F20"/>
          <w:spacing w:val="-13"/>
        </w:rPr>
        <w:t> </w:t>
      </w:r>
      <w:r>
        <w:rPr>
          <w:color w:val="231F20"/>
        </w:rPr>
        <w:t>из</w:t>
      </w:r>
      <w:r>
        <w:rPr>
          <w:color w:val="231F20"/>
          <w:spacing w:val="-12"/>
        </w:rPr>
        <w:t> </w:t>
      </w:r>
      <w:r>
        <w:rPr>
          <w:color w:val="231F20"/>
        </w:rPr>
        <w:t>семей</w:t>
      </w:r>
      <w:r>
        <w:rPr>
          <w:color w:val="231F20"/>
          <w:spacing w:val="-13"/>
        </w:rPr>
        <w:t> </w:t>
      </w:r>
      <w:r>
        <w:rPr>
          <w:color w:val="231F20"/>
        </w:rPr>
        <w:t>с</w:t>
      </w:r>
      <w:r>
        <w:rPr>
          <w:color w:val="231F20"/>
          <w:spacing w:val="-12"/>
        </w:rPr>
        <w:t> </w:t>
      </w:r>
      <w:r>
        <w:rPr>
          <w:color w:val="231F20"/>
        </w:rPr>
        <w:t>низким</w:t>
      </w:r>
      <w:r>
        <w:rPr>
          <w:color w:val="231F20"/>
          <w:spacing w:val="-13"/>
        </w:rPr>
        <w:t> </w:t>
      </w:r>
      <w:r>
        <w:rPr>
          <w:color w:val="231F20"/>
        </w:rPr>
        <w:t>доходом, для учащихся в городских образовательных учреждениях и учащихся 1–3-х классов (по сравнению с их менее уязвимыми сверстниками, то есть учащимися, составляю- щими</w:t>
      </w:r>
      <w:r>
        <w:rPr>
          <w:color w:val="231F20"/>
          <w:spacing w:val="-10"/>
        </w:rPr>
        <w:t> </w:t>
      </w:r>
      <w:r>
        <w:rPr>
          <w:color w:val="231F20"/>
        </w:rPr>
        <w:t>этническое</w:t>
      </w:r>
      <w:r>
        <w:rPr>
          <w:color w:val="231F20"/>
          <w:spacing w:val="-10"/>
        </w:rPr>
        <w:t> </w:t>
      </w:r>
      <w:r>
        <w:rPr>
          <w:color w:val="231F20"/>
        </w:rPr>
        <w:t>большинство,</w:t>
      </w:r>
      <w:r>
        <w:rPr>
          <w:color w:val="231F20"/>
          <w:spacing w:val="-10"/>
        </w:rPr>
        <w:t> </w:t>
      </w:r>
      <w:r>
        <w:rPr>
          <w:color w:val="231F20"/>
        </w:rPr>
        <w:t>учащимися</w:t>
      </w:r>
      <w:r>
        <w:rPr>
          <w:color w:val="231F20"/>
          <w:spacing w:val="-10"/>
        </w:rPr>
        <w:t> </w:t>
      </w:r>
      <w:r>
        <w:rPr>
          <w:color w:val="231F20"/>
        </w:rPr>
        <w:t>из</w:t>
      </w:r>
      <w:r>
        <w:rPr>
          <w:color w:val="231F20"/>
          <w:spacing w:val="-10"/>
        </w:rPr>
        <w:t> </w:t>
      </w:r>
      <w:r>
        <w:rPr>
          <w:color w:val="231F20"/>
        </w:rPr>
        <w:t>семей</w:t>
      </w:r>
      <w:r>
        <w:rPr>
          <w:color w:val="231F20"/>
          <w:spacing w:val="-10"/>
        </w:rPr>
        <w:t> </w:t>
      </w:r>
      <w:r>
        <w:rPr>
          <w:color w:val="231F20"/>
        </w:rPr>
        <w:t>со</w:t>
      </w:r>
      <w:r>
        <w:rPr>
          <w:color w:val="231F20"/>
          <w:spacing w:val="-10"/>
        </w:rPr>
        <w:t> </w:t>
      </w:r>
      <w:r>
        <w:rPr>
          <w:color w:val="231F20"/>
        </w:rPr>
        <w:t>средним</w:t>
      </w:r>
      <w:r>
        <w:rPr>
          <w:color w:val="231F20"/>
          <w:spacing w:val="-10"/>
        </w:rPr>
        <w:t> </w:t>
      </w:r>
      <w:r>
        <w:rPr>
          <w:color w:val="231F20"/>
        </w:rPr>
        <w:t>и</w:t>
      </w:r>
      <w:r>
        <w:rPr>
          <w:color w:val="231F20"/>
          <w:spacing w:val="-10"/>
        </w:rPr>
        <w:t> </w:t>
      </w:r>
      <w:r>
        <w:rPr>
          <w:color w:val="231F20"/>
        </w:rPr>
        <w:t>высоким</w:t>
      </w:r>
      <w:r>
        <w:rPr>
          <w:color w:val="231F20"/>
          <w:spacing w:val="-10"/>
        </w:rPr>
        <w:t> </w:t>
      </w:r>
      <w:r>
        <w:rPr>
          <w:color w:val="231F20"/>
        </w:rPr>
        <w:t>доходом, учащимися в пригородных и сельских образовательных учреждениях и учащимися 4–6-х</w:t>
      </w:r>
      <w:r>
        <w:rPr>
          <w:color w:val="231F20"/>
          <w:spacing w:val="-11"/>
        </w:rPr>
        <w:t> </w:t>
      </w:r>
      <w:r>
        <w:rPr>
          <w:color w:val="231F20"/>
        </w:rPr>
        <w:t>классов</w:t>
      </w:r>
      <w:r>
        <w:rPr>
          <w:color w:val="231F20"/>
          <w:spacing w:val="-11"/>
        </w:rPr>
        <w:t> </w:t>
      </w:r>
      <w:r>
        <w:rPr>
          <w:color w:val="231F20"/>
        </w:rPr>
        <w:t>соответственно)</w:t>
      </w:r>
      <w:r>
        <w:rPr>
          <w:color w:val="231F20"/>
          <w:spacing w:val="-11"/>
        </w:rPr>
        <w:t> </w:t>
      </w:r>
      <w:r>
        <w:rPr>
          <w:color w:val="231F20"/>
        </w:rPr>
        <w:t>(Rohrbeck</w:t>
      </w:r>
      <w:r>
        <w:rPr>
          <w:color w:val="231F20"/>
          <w:spacing w:val="-11"/>
        </w:rPr>
        <w:t> </w:t>
      </w:r>
      <w:r>
        <w:rPr>
          <w:color w:val="231F20"/>
        </w:rPr>
        <w:t>et</w:t>
      </w:r>
      <w:r>
        <w:rPr>
          <w:color w:val="231F20"/>
          <w:spacing w:val="-11"/>
        </w:rPr>
        <w:t> </w:t>
      </w:r>
      <w:r>
        <w:rPr>
          <w:color w:val="231F20"/>
        </w:rPr>
        <w:t>al.,</w:t>
      </w:r>
      <w:r>
        <w:rPr>
          <w:color w:val="231F20"/>
          <w:spacing w:val="-11"/>
        </w:rPr>
        <w:t> </w:t>
      </w:r>
      <w:r>
        <w:rPr>
          <w:color w:val="231F20"/>
        </w:rPr>
        <w:t>2003).</w:t>
      </w:r>
      <w:r>
        <w:rPr>
          <w:color w:val="231F20"/>
          <w:spacing w:val="-11"/>
        </w:rPr>
        <w:t> </w:t>
      </w:r>
      <w:r>
        <w:rPr>
          <w:color w:val="231F20"/>
        </w:rPr>
        <w:t>Таким</w:t>
      </w:r>
      <w:r>
        <w:rPr>
          <w:color w:val="231F20"/>
          <w:spacing w:val="-11"/>
        </w:rPr>
        <w:t> </w:t>
      </w:r>
      <w:r>
        <w:rPr>
          <w:color w:val="231F20"/>
        </w:rPr>
        <w:t>образом,</w:t>
      </w:r>
      <w:r>
        <w:rPr>
          <w:color w:val="231F20"/>
          <w:spacing w:val="-11"/>
        </w:rPr>
        <w:t> </w:t>
      </w:r>
      <w:r>
        <w:rPr>
          <w:color w:val="231F20"/>
        </w:rPr>
        <w:t>вмешательства, основанные</w:t>
      </w:r>
      <w:r>
        <w:rPr>
          <w:color w:val="231F20"/>
          <w:spacing w:val="-8"/>
        </w:rPr>
        <w:t> </w:t>
      </w:r>
      <w:r>
        <w:rPr>
          <w:color w:val="231F20"/>
        </w:rPr>
        <w:t>на</w:t>
      </w:r>
      <w:r>
        <w:rPr>
          <w:color w:val="231F20"/>
          <w:spacing w:val="-8"/>
        </w:rPr>
        <w:t> </w:t>
      </w:r>
      <w:r>
        <w:rPr>
          <w:color w:val="231F20"/>
        </w:rPr>
        <w:t>идеях</w:t>
      </w:r>
      <w:r>
        <w:rPr>
          <w:color w:val="231F20"/>
          <w:spacing w:val="-8"/>
        </w:rPr>
        <w:t> </w:t>
      </w:r>
      <w:r>
        <w:rPr>
          <w:color w:val="231F20"/>
        </w:rPr>
        <w:t>взаимного</w:t>
      </w:r>
      <w:r>
        <w:rPr>
          <w:color w:val="231F20"/>
          <w:spacing w:val="-8"/>
        </w:rPr>
        <w:t> </w:t>
      </w:r>
      <w:r>
        <w:rPr>
          <w:color w:val="231F20"/>
        </w:rPr>
        <w:t>обучения,</w:t>
      </w:r>
      <w:r>
        <w:rPr>
          <w:color w:val="231F20"/>
          <w:spacing w:val="-8"/>
        </w:rPr>
        <w:t> </w:t>
      </w:r>
      <w:r>
        <w:rPr>
          <w:color w:val="231F20"/>
        </w:rPr>
        <w:t>могут</w:t>
      </w:r>
      <w:r>
        <w:rPr>
          <w:color w:val="231F20"/>
          <w:spacing w:val="-8"/>
        </w:rPr>
        <w:t> </w:t>
      </w:r>
      <w:r>
        <w:rPr>
          <w:color w:val="231F20"/>
        </w:rPr>
        <w:t>помочь</w:t>
      </w:r>
      <w:r>
        <w:rPr>
          <w:color w:val="231F20"/>
          <w:spacing w:val="-8"/>
        </w:rPr>
        <w:t> </w:t>
      </w:r>
      <w:r>
        <w:rPr>
          <w:color w:val="231F20"/>
        </w:rPr>
        <w:t>удовлетворить</w:t>
      </w:r>
      <w:r>
        <w:rPr>
          <w:color w:val="231F20"/>
          <w:spacing w:val="-8"/>
        </w:rPr>
        <w:t> </w:t>
      </w:r>
      <w:r>
        <w:rPr>
          <w:color w:val="231F20"/>
        </w:rPr>
        <w:t>эмоциональ-</w:t>
      </w:r>
    </w:p>
    <w:p>
      <w:pPr>
        <w:pStyle w:val="BodyText"/>
        <w:spacing w:after="0" w:line="232" w:lineRule="auto"/>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firstLine="0"/>
      </w:pPr>
      <w:r>
        <w:rPr>
          <w:color w:val="231F20"/>
        </w:rPr>
        <w:t>ные</w:t>
      </w:r>
      <w:r>
        <w:rPr>
          <w:color w:val="231F20"/>
          <w:spacing w:val="-12"/>
        </w:rPr>
        <w:t> </w:t>
      </w:r>
      <w:r>
        <w:rPr>
          <w:color w:val="231F20"/>
        </w:rPr>
        <w:t>потребности</w:t>
      </w:r>
      <w:r>
        <w:rPr>
          <w:color w:val="231F20"/>
          <w:spacing w:val="-12"/>
        </w:rPr>
        <w:t> </w:t>
      </w:r>
      <w:r>
        <w:rPr>
          <w:color w:val="231F20"/>
        </w:rPr>
        <w:t>уязвимых</w:t>
      </w:r>
      <w:r>
        <w:rPr>
          <w:color w:val="231F20"/>
          <w:spacing w:val="-12"/>
        </w:rPr>
        <w:t> </w:t>
      </w:r>
      <w:r>
        <w:rPr>
          <w:color w:val="231F20"/>
        </w:rPr>
        <w:t>групп</w:t>
      </w:r>
      <w:r>
        <w:rPr>
          <w:color w:val="231F20"/>
          <w:spacing w:val="-12"/>
        </w:rPr>
        <w:t> </w:t>
      </w:r>
      <w:r>
        <w:rPr>
          <w:color w:val="231F20"/>
        </w:rPr>
        <w:t>учащихся,</w:t>
      </w:r>
      <w:r>
        <w:rPr>
          <w:color w:val="231F20"/>
          <w:spacing w:val="-12"/>
        </w:rPr>
        <w:t> </w:t>
      </w:r>
      <w:r>
        <w:rPr>
          <w:color w:val="231F20"/>
        </w:rPr>
        <w:t>не</w:t>
      </w:r>
      <w:r>
        <w:rPr>
          <w:color w:val="231F20"/>
          <w:spacing w:val="-12"/>
        </w:rPr>
        <w:t> </w:t>
      </w:r>
      <w:r>
        <w:rPr>
          <w:color w:val="231F20"/>
        </w:rPr>
        <w:t>жертвуя</w:t>
      </w:r>
      <w:r>
        <w:rPr>
          <w:color w:val="231F20"/>
          <w:spacing w:val="-12"/>
        </w:rPr>
        <w:t> </w:t>
      </w:r>
      <w:r>
        <w:rPr>
          <w:color w:val="231F20"/>
        </w:rPr>
        <w:t>при</w:t>
      </w:r>
      <w:r>
        <w:rPr>
          <w:color w:val="231F20"/>
          <w:spacing w:val="-12"/>
        </w:rPr>
        <w:t> </w:t>
      </w:r>
      <w:r>
        <w:rPr>
          <w:color w:val="231F20"/>
        </w:rPr>
        <w:t>этом</w:t>
      </w:r>
      <w:r>
        <w:rPr>
          <w:color w:val="231F20"/>
          <w:spacing w:val="-12"/>
        </w:rPr>
        <w:t> </w:t>
      </w:r>
      <w:r>
        <w:rPr>
          <w:color w:val="231F20"/>
        </w:rPr>
        <w:t>их</w:t>
      </w:r>
      <w:r>
        <w:rPr>
          <w:color w:val="231F20"/>
          <w:spacing w:val="-12"/>
        </w:rPr>
        <w:t> </w:t>
      </w:r>
      <w:r>
        <w:rPr>
          <w:color w:val="231F20"/>
        </w:rPr>
        <w:t>академическими потребностями.</w:t>
      </w:r>
      <w:r>
        <w:rPr>
          <w:color w:val="231F20"/>
          <w:spacing w:val="-13"/>
        </w:rPr>
        <w:t> </w:t>
      </w:r>
      <w:r>
        <w:rPr>
          <w:color w:val="231F20"/>
        </w:rPr>
        <w:t>Исходя</w:t>
      </w:r>
      <w:r>
        <w:rPr>
          <w:color w:val="231F20"/>
          <w:spacing w:val="-12"/>
        </w:rPr>
        <w:t> </w:t>
      </w:r>
      <w:r>
        <w:rPr>
          <w:color w:val="231F20"/>
        </w:rPr>
        <w:t>из</w:t>
      </w:r>
      <w:r>
        <w:rPr>
          <w:color w:val="231F20"/>
          <w:spacing w:val="-13"/>
        </w:rPr>
        <w:t> </w:t>
      </w:r>
      <w:r>
        <w:rPr>
          <w:color w:val="231F20"/>
        </w:rPr>
        <w:t>этого,</w:t>
      </w:r>
      <w:r>
        <w:rPr>
          <w:color w:val="231F20"/>
          <w:spacing w:val="-12"/>
        </w:rPr>
        <w:t> </w:t>
      </w:r>
      <w:r>
        <w:rPr>
          <w:color w:val="231F20"/>
        </w:rPr>
        <w:t>представляется,</w:t>
      </w:r>
      <w:r>
        <w:rPr>
          <w:color w:val="231F20"/>
          <w:spacing w:val="-13"/>
        </w:rPr>
        <w:t> </w:t>
      </w:r>
      <w:r>
        <w:rPr>
          <w:color w:val="231F20"/>
        </w:rPr>
        <w:t>что</w:t>
      </w:r>
      <w:r>
        <w:rPr>
          <w:color w:val="231F20"/>
          <w:spacing w:val="-12"/>
        </w:rPr>
        <w:t> </w:t>
      </w:r>
      <w:r>
        <w:rPr>
          <w:color w:val="231F20"/>
        </w:rPr>
        <w:t>данный</w:t>
      </w:r>
      <w:r>
        <w:rPr>
          <w:color w:val="231F20"/>
          <w:spacing w:val="-13"/>
        </w:rPr>
        <w:t> </w:t>
      </w:r>
      <w:r>
        <w:rPr>
          <w:color w:val="231F20"/>
        </w:rPr>
        <w:t>метод</w:t>
      </w:r>
      <w:r>
        <w:rPr>
          <w:color w:val="231F20"/>
          <w:spacing w:val="-12"/>
        </w:rPr>
        <w:t> </w:t>
      </w:r>
      <w:r>
        <w:rPr>
          <w:color w:val="231F20"/>
        </w:rPr>
        <w:t>может</w:t>
      </w:r>
      <w:r>
        <w:rPr>
          <w:color w:val="231F20"/>
          <w:spacing w:val="-13"/>
        </w:rPr>
        <w:t> </w:t>
      </w:r>
      <w:r>
        <w:rPr>
          <w:color w:val="231F20"/>
        </w:rPr>
        <w:t>быть</w:t>
      </w:r>
      <w:r>
        <w:rPr>
          <w:color w:val="231F20"/>
          <w:spacing w:val="-12"/>
        </w:rPr>
        <w:t> </w:t>
      </w:r>
      <w:r>
        <w:rPr>
          <w:color w:val="231F20"/>
        </w:rPr>
        <w:t>поле- зен и в обучении детей – иностранных граждан.</w:t>
      </w:r>
    </w:p>
    <w:p>
      <w:pPr>
        <w:pStyle w:val="BodyText"/>
        <w:spacing w:line="235" w:lineRule="auto" w:before="2"/>
        <w:jc w:val="right"/>
      </w:pPr>
      <w:r>
        <w:rPr/>
        <w:t>При организации обучения в системе </w:t>
      </w:r>
      <w:r>
        <w:rPr>
          <w:i/>
        </w:rPr>
        <w:t>peer-to-peer </w:t>
      </w:r>
      <w:r>
        <w:rPr/>
        <w:t>нет каких-то строгих требова- нии,</w:t>
      </w:r>
      <w:r>
        <w:rPr>
          <w:spacing w:val="-3"/>
        </w:rPr>
        <w:t> </w:t>
      </w:r>
      <w:r>
        <w:rPr/>
        <w:t>как</w:t>
      </w:r>
      <w:r>
        <w:rPr>
          <w:spacing w:val="-3"/>
        </w:rPr>
        <w:t> </w:t>
      </w:r>
      <w:r>
        <w:rPr/>
        <w:t>именно</w:t>
      </w:r>
      <w:r>
        <w:rPr>
          <w:spacing w:val="-3"/>
        </w:rPr>
        <w:t> </w:t>
      </w:r>
      <w:r>
        <w:rPr/>
        <w:t>оно</w:t>
      </w:r>
      <w:r>
        <w:rPr>
          <w:spacing w:val="-3"/>
        </w:rPr>
        <w:t> </w:t>
      </w:r>
      <w:r>
        <w:rPr/>
        <w:t>должно</w:t>
      </w:r>
      <w:r>
        <w:rPr>
          <w:spacing w:val="-3"/>
        </w:rPr>
        <w:t> </w:t>
      </w:r>
      <w:r>
        <w:rPr/>
        <w:t>быть</w:t>
      </w:r>
      <w:r>
        <w:rPr>
          <w:spacing w:val="-3"/>
        </w:rPr>
        <w:t> </w:t>
      </w:r>
      <w:r>
        <w:rPr/>
        <w:t>реализовано,</w:t>
      </w:r>
      <w:r>
        <w:rPr>
          <w:spacing w:val="-3"/>
        </w:rPr>
        <w:t> </w:t>
      </w:r>
      <w:r>
        <w:rPr/>
        <w:t>поэтому</w:t>
      </w:r>
      <w:r>
        <w:rPr>
          <w:spacing w:val="-3"/>
        </w:rPr>
        <w:t> </w:t>
      </w:r>
      <w:r>
        <w:rPr/>
        <w:t>на</w:t>
      </w:r>
      <w:r>
        <w:rPr>
          <w:spacing w:val="-9"/>
        </w:rPr>
        <w:t> </w:t>
      </w:r>
      <w:r>
        <w:rPr/>
        <w:t>практике</w:t>
      </w:r>
      <w:r>
        <w:rPr>
          <w:spacing w:val="-2"/>
        </w:rPr>
        <w:t> </w:t>
      </w:r>
      <w:r>
        <w:rPr/>
        <w:t>оно</w:t>
      </w:r>
      <w:r>
        <w:rPr>
          <w:spacing w:val="-3"/>
        </w:rPr>
        <w:t> </w:t>
      </w:r>
      <w:r>
        <w:rPr/>
        <w:t>может</w:t>
      </w:r>
      <w:r>
        <w:rPr>
          <w:spacing w:val="-3"/>
        </w:rPr>
        <w:t> </w:t>
      </w:r>
      <w:r>
        <w:rPr/>
        <w:t>про- ходить</w:t>
      </w:r>
      <w:r>
        <w:rPr>
          <w:spacing w:val="-1"/>
        </w:rPr>
        <w:t> </w:t>
      </w:r>
      <w:r>
        <w:rPr/>
        <w:t>в</w:t>
      </w:r>
      <w:r>
        <w:rPr>
          <w:spacing w:val="-10"/>
        </w:rPr>
        <w:t> </w:t>
      </w:r>
      <w:r>
        <w:rPr/>
        <w:t>разных</w:t>
      </w:r>
      <w:r>
        <w:rPr>
          <w:spacing w:val="-1"/>
        </w:rPr>
        <w:t> </w:t>
      </w:r>
      <w:r>
        <w:rPr/>
        <w:t>формах:</w:t>
      </w:r>
      <w:r>
        <w:rPr>
          <w:spacing w:val="-1"/>
        </w:rPr>
        <w:t> </w:t>
      </w:r>
      <w:r>
        <w:rPr/>
        <w:t>как</w:t>
      </w:r>
      <w:r>
        <w:rPr>
          <w:spacing w:val="-1"/>
        </w:rPr>
        <w:t> </w:t>
      </w:r>
      <w:r>
        <w:rPr/>
        <w:t>в</w:t>
      </w:r>
      <w:r>
        <w:rPr>
          <w:spacing w:val="-10"/>
        </w:rPr>
        <w:t> </w:t>
      </w:r>
      <w:r>
        <w:rPr/>
        <w:t>группе,</w:t>
      </w:r>
      <w:r>
        <w:rPr>
          <w:spacing w:val="-1"/>
        </w:rPr>
        <w:t> </w:t>
      </w:r>
      <w:r>
        <w:rPr/>
        <w:t>так</w:t>
      </w:r>
      <w:r>
        <w:rPr>
          <w:spacing w:val="-1"/>
        </w:rPr>
        <w:t> </w:t>
      </w:r>
      <w:r>
        <w:rPr/>
        <w:t>и</w:t>
      </w:r>
      <w:r>
        <w:rPr>
          <w:spacing w:val="-10"/>
        </w:rPr>
        <w:t> </w:t>
      </w:r>
      <w:r>
        <w:rPr/>
        <w:t>один</w:t>
      </w:r>
      <w:r>
        <w:rPr>
          <w:spacing w:val="-1"/>
        </w:rPr>
        <w:t> </w:t>
      </w:r>
      <w:r>
        <w:rPr/>
        <w:t>на</w:t>
      </w:r>
      <w:r>
        <w:rPr>
          <w:spacing w:val="-10"/>
        </w:rPr>
        <w:t> </w:t>
      </w:r>
      <w:r>
        <w:rPr/>
        <w:t>один,</w:t>
      </w:r>
      <w:r>
        <w:rPr>
          <w:spacing w:val="-1"/>
        </w:rPr>
        <w:t> </w:t>
      </w:r>
      <w:r>
        <w:rPr/>
        <w:t>как</w:t>
      </w:r>
      <w:r>
        <w:rPr>
          <w:spacing w:val="-1"/>
        </w:rPr>
        <w:t> </w:t>
      </w:r>
      <w:r>
        <w:rPr/>
        <w:t>единственный</w:t>
      </w:r>
      <w:r>
        <w:rPr>
          <w:spacing w:val="-1"/>
        </w:rPr>
        <w:t> </w:t>
      </w:r>
      <w:r>
        <w:rPr/>
        <w:t>подход </w:t>
      </w:r>
      <w:r>
        <w:rPr>
          <w:spacing w:val="-2"/>
        </w:rPr>
        <w:t>или</w:t>
      </w:r>
      <w:r>
        <w:rPr>
          <w:spacing w:val="-7"/>
        </w:rPr>
        <w:t> </w:t>
      </w:r>
      <w:r>
        <w:rPr>
          <w:spacing w:val="-2"/>
        </w:rPr>
        <w:t>как</w:t>
      </w:r>
      <w:r>
        <w:rPr>
          <w:spacing w:val="-7"/>
        </w:rPr>
        <w:t> </w:t>
      </w:r>
      <w:r>
        <w:rPr>
          <w:spacing w:val="-2"/>
        </w:rPr>
        <w:t>часть</w:t>
      </w:r>
      <w:r>
        <w:rPr>
          <w:spacing w:val="-7"/>
        </w:rPr>
        <w:t> </w:t>
      </w:r>
      <w:r>
        <w:rPr>
          <w:spacing w:val="-2"/>
        </w:rPr>
        <w:t>программы,</w:t>
      </w:r>
      <w:r>
        <w:rPr>
          <w:spacing w:val="-7"/>
        </w:rPr>
        <w:t> </w:t>
      </w:r>
      <w:r>
        <w:rPr>
          <w:spacing w:val="-2"/>
        </w:rPr>
        <w:t>в которую</w:t>
      </w:r>
      <w:r>
        <w:rPr>
          <w:spacing w:val="-7"/>
        </w:rPr>
        <w:t> </w:t>
      </w:r>
      <w:r>
        <w:rPr>
          <w:spacing w:val="-2"/>
        </w:rPr>
        <w:t>включено</w:t>
      </w:r>
      <w:r>
        <w:rPr>
          <w:spacing w:val="-7"/>
        </w:rPr>
        <w:t> </w:t>
      </w:r>
      <w:r>
        <w:rPr>
          <w:spacing w:val="-2"/>
        </w:rPr>
        <w:t>и классическое</w:t>
      </w:r>
      <w:r>
        <w:rPr>
          <w:spacing w:val="-7"/>
        </w:rPr>
        <w:t> </w:t>
      </w:r>
      <w:r>
        <w:rPr>
          <w:spacing w:val="-2"/>
        </w:rPr>
        <w:t>фронтальное</w:t>
      </w:r>
      <w:r>
        <w:rPr>
          <w:spacing w:val="-7"/>
        </w:rPr>
        <w:t> </w:t>
      </w:r>
      <w:r>
        <w:rPr>
          <w:spacing w:val="-2"/>
        </w:rPr>
        <w:t>обучение. </w:t>
      </w:r>
      <w:r>
        <w:rPr/>
        <w:t>Р2Р получило большое развитие одновременно с распространением дистанцион- ного обучения, стали появляться и</w:t>
      </w:r>
      <w:r>
        <w:rPr>
          <w:spacing w:val="-4"/>
        </w:rPr>
        <w:t> </w:t>
      </w:r>
      <w:r>
        <w:rPr/>
        <w:t>целые проекты, основанные на</w:t>
      </w:r>
      <w:r>
        <w:rPr>
          <w:spacing w:val="-3"/>
        </w:rPr>
        <w:t> </w:t>
      </w:r>
      <w:r>
        <w:rPr/>
        <w:t>принципах «рав- ный – равному». В</w:t>
      </w:r>
      <w:r>
        <w:rPr>
          <w:spacing w:val="-3"/>
        </w:rPr>
        <w:t> </w:t>
      </w:r>
      <w:r>
        <w:rPr/>
        <w:t>качестве примера можно привести такое явление, как CMOOC</w:t>
      </w:r>
      <w:r>
        <w:rPr>
          <w:spacing w:val="40"/>
        </w:rPr>
        <w:t> </w:t>
      </w:r>
      <w:r>
        <w:rPr/>
        <w:t>(connective</w:t>
      </w:r>
      <w:r>
        <w:rPr>
          <w:spacing w:val="40"/>
        </w:rPr>
        <w:t> </w:t>
      </w:r>
      <w:r>
        <w:rPr/>
        <w:t>massive</w:t>
      </w:r>
      <w:r>
        <w:rPr>
          <w:spacing w:val="40"/>
        </w:rPr>
        <w:t> </w:t>
      </w:r>
      <w:r>
        <w:rPr/>
        <w:t>open</w:t>
      </w:r>
      <w:r>
        <w:rPr>
          <w:spacing w:val="40"/>
        </w:rPr>
        <w:t> </w:t>
      </w:r>
      <w:r>
        <w:rPr/>
        <w:t>online-courses),</w:t>
      </w:r>
      <w:r>
        <w:rPr>
          <w:spacing w:val="40"/>
        </w:rPr>
        <w:t> </w:t>
      </w:r>
      <w:r>
        <w:rPr>
          <w:color w:val="231F20"/>
        </w:rPr>
        <w:t>разновидность</w:t>
      </w:r>
      <w:r>
        <w:rPr>
          <w:color w:val="231F20"/>
          <w:spacing w:val="40"/>
        </w:rPr>
        <w:t> </w:t>
      </w:r>
      <w:r>
        <w:rPr>
          <w:color w:val="231F20"/>
        </w:rPr>
        <w:t>массовых</w:t>
      </w:r>
      <w:r>
        <w:rPr>
          <w:color w:val="231F20"/>
          <w:spacing w:val="40"/>
        </w:rPr>
        <w:t> </w:t>
      </w:r>
      <w:r>
        <w:rPr>
          <w:color w:val="231F20"/>
        </w:rPr>
        <w:t>открытых</w:t>
      </w:r>
      <w:r>
        <w:rPr>
          <w:color w:val="231F20"/>
          <w:spacing w:val="40"/>
        </w:rPr>
        <w:t> </w:t>
      </w:r>
      <w:r>
        <w:rPr>
          <w:color w:val="231F20"/>
        </w:rPr>
        <w:t>он- лайн-курсов</w:t>
      </w:r>
      <w:r>
        <w:rPr>
          <w:color w:val="231F20"/>
          <w:spacing w:val="80"/>
        </w:rPr>
        <w:t> </w:t>
      </w:r>
      <w:r>
        <w:rPr>
          <w:color w:val="231F20"/>
        </w:rPr>
        <w:t>(MOOC),</w:t>
      </w:r>
      <w:r>
        <w:rPr>
          <w:color w:val="231F20"/>
          <w:spacing w:val="80"/>
        </w:rPr>
        <w:t> </w:t>
      </w:r>
      <w:r>
        <w:rPr/>
        <w:t>в</w:t>
      </w:r>
      <w:r>
        <w:rPr>
          <w:spacing w:val="-5"/>
        </w:rPr>
        <w:t> </w:t>
      </w:r>
      <w:r>
        <w:rPr/>
        <w:t>центре</w:t>
      </w:r>
      <w:r>
        <w:rPr>
          <w:spacing w:val="80"/>
        </w:rPr>
        <w:t> </w:t>
      </w:r>
      <w:r>
        <w:rPr/>
        <w:t>которых</w:t>
      </w:r>
      <w:r>
        <w:rPr>
          <w:spacing w:val="80"/>
        </w:rPr>
        <w:t> </w:t>
      </w:r>
      <w:r>
        <w:rPr/>
        <w:t>взаимодействие</w:t>
      </w:r>
      <w:r>
        <w:rPr>
          <w:spacing w:val="80"/>
        </w:rPr>
        <w:t> </w:t>
      </w:r>
      <w:r>
        <w:rPr/>
        <w:t>участников</w:t>
      </w:r>
      <w:r>
        <w:rPr>
          <w:spacing w:val="80"/>
        </w:rPr>
        <w:t> </w:t>
      </w:r>
      <w:r>
        <w:rPr/>
        <w:t>обучения. Участники</w:t>
      </w:r>
      <w:r>
        <w:rPr>
          <w:spacing w:val="35"/>
        </w:rPr>
        <w:t> </w:t>
      </w:r>
      <w:r>
        <w:rPr/>
        <w:t>объединяются</w:t>
      </w:r>
      <w:r>
        <w:rPr>
          <w:spacing w:val="35"/>
        </w:rPr>
        <w:t> </w:t>
      </w:r>
      <w:r>
        <w:rPr/>
        <w:t>на</w:t>
      </w:r>
      <w:r>
        <w:rPr>
          <w:spacing w:val="-4"/>
        </w:rPr>
        <w:t> </w:t>
      </w:r>
      <w:r>
        <w:rPr/>
        <w:t>какой-либо</w:t>
      </w:r>
      <w:r>
        <w:rPr>
          <w:spacing w:val="35"/>
        </w:rPr>
        <w:t> </w:t>
      </w:r>
      <w:r>
        <w:rPr/>
        <w:t>онлайн-платформе</w:t>
      </w:r>
      <w:r>
        <w:rPr>
          <w:spacing w:val="35"/>
        </w:rPr>
        <w:t> </w:t>
      </w:r>
      <w:r>
        <w:rPr/>
        <w:t>и</w:t>
      </w:r>
      <w:r>
        <w:rPr>
          <w:spacing w:val="-5"/>
        </w:rPr>
        <w:t> </w:t>
      </w:r>
      <w:r>
        <w:rPr/>
        <w:t>совместно</w:t>
      </w:r>
      <w:r>
        <w:rPr>
          <w:spacing w:val="35"/>
        </w:rPr>
        <w:t> </w:t>
      </w:r>
      <w:r>
        <w:rPr/>
        <w:t>ищут</w:t>
      </w:r>
      <w:r>
        <w:rPr>
          <w:spacing w:val="35"/>
        </w:rPr>
        <w:t> </w:t>
      </w:r>
      <w:r>
        <w:rPr/>
        <w:t>ин- формацию</w:t>
      </w:r>
      <w:r>
        <w:rPr>
          <w:spacing w:val="-13"/>
        </w:rPr>
        <w:t> </w:t>
      </w:r>
      <w:r>
        <w:rPr/>
        <w:t>в</w:t>
      </w:r>
      <w:r>
        <w:rPr>
          <w:spacing w:val="-12"/>
        </w:rPr>
        <w:t> </w:t>
      </w:r>
      <w:r>
        <w:rPr/>
        <w:t>разных</w:t>
      </w:r>
      <w:r>
        <w:rPr>
          <w:spacing w:val="-13"/>
        </w:rPr>
        <w:t> </w:t>
      </w:r>
      <w:r>
        <w:rPr/>
        <w:t>источниках,</w:t>
      </w:r>
      <w:r>
        <w:rPr>
          <w:spacing w:val="-12"/>
        </w:rPr>
        <w:t> </w:t>
      </w:r>
      <w:r>
        <w:rPr/>
        <w:t>обмениваются</w:t>
      </w:r>
      <w:r>
        <w:rPr>
          <w:spacing w:val="-13"/>
        </w:rPr>
        <w:t> </w:t>
      </w:r>
      <w:r>
        <w:rPr/>
        <w:t>ею,</w:t>
      </w:r>
      <w:r>
        <w:rPr>
          <w:spacing w:val="-12"/>
        </w:rPr>
        <w:t> </w:t>
      </w:r>
      <w:r>
        <w:rPr/>
        <w:t>помогают</w:t>
      </w:r>
      <w:r>
        <w:rPr>
          <w:spacing w:val="-13"/>
        </w:rPr>
        <w:t> </w:t>
      </w:r>
      <w:r>
        <w:rPr/>
        <w:t>друг</w:t>
      </w:r>
      <w:r>
        <w:rPr>
          <w:spacing w:val="-12"/>
        </w:rPr>
        <w:t> </w:t>
      </w:r>
      <w:r>
        <w:rPr/>
        <w:t>другу</w:t>
      </w:r>
      <w:r>
        <w:rPr>
          <w:spacing w:val="-13"/>
        </w:rPr>
        <w:t> </w:t>
      </w:r>
      <w:r>
        <w:rPr/>
        <w:t>разобраться в</w:t>
      </w:r>
      <w:r>
        <w:rPr>
          <w:spacing w:val="-3"/>
        </w:rPr>
        <w:t> </w:t>
      </w:r>
      <w:r>
        <w:rPr/>
        <w:t>теме,</w:t>
      </w:r>
      <w:r>
        <w:rPr>
          <w:spacing w:val="-2"/>
        </w:rPr>
        <w:t> </w:t>
      </w:r>
      <w:r>
        <w:rPr/>
        <w:t>а</w:t>
      </w:r>
      <w:r>
        <w:rPr>
          <w:spacing w:val="-2"/>
        </w:rPr>
        <w:t> </w:t>
      </w:r>
      <w:r>
        <w:rPr/>
        <w:t>также</w:t>
      </w:r>
      <w:r>
        <w:rPr>
          <w:spacing w:val="-2"/>
        </w:rPr>
        <w:t> </w:t>
      </w:r>
      <w:r>
        <w:rPr/>
        <w:t>самостоятельно</w:t>
      </w:r>
      <w:r>
        <w:rPr>
          <w:spacing w:val="-2"/>
        </w:rPr>
        <w:t> </w:t>
      </w:r>
      <w:r>
        <w:rPr/>
        <w:t>формируют</w:t>
      </w:r>
      <w:r>
        <w:rPr>
          <w:spacing w:val="-2"/>
        </w:rPr>
        <w:t> </w:t>
      </w:r>
      <w:r>
        <w:rPr/>
        <w:t>контент</w:t>
      </w:r>
      <w:r>
        <w:rPr>
          <w:spacing w:val="-2"/>
        </w:rPr>
        <w:t> </w:t>
      </w:r>
      <w:r>
        <w:rPr/>
        <w:t>из</w:t>
      </w:r>
      <w:r>
        <w:rPr>
          <w:spacing w:val="-2"/>
        </w:rPr>
        <w:t> </w:t>
      </w:r>
      <w:r>
        <w:rPr/>
        <w:t>собственных</w:t>
      </w:r>
      <w:r>
        <w:rPr>
          <w:spacing w:val="-2"/>
        </w:rPr>
        <w:t> </w:t>
      </w:r>
      <w:r>
        <w:rPr/>
        <w:t>знаний</w:t>
      </w:r>
      <w:r>
        <w:rPr>
          <w:spacing w:val="-3"/>
        </w:rPr>
        <w:t> </w:t>
      </w:r>
      <w:r>
        <w:rPr/>
        <w:t>и</w:t>
      </w:r>
      <w:r>
        <w:rPr>
          <w:spacing w:val="-3"/>
        </w:rPr>
        <w:t> </w:t>
      </w:r>
      <w:r>
        <w:rPr/>
        <w:t>опыта. Другой пример – платформа </w:t>
      </w:r>
      <w:r>
        <w:rPr>
          <w:color w:val="231F20"/>
        </w:rPr>
        <w:t>P2PU </w:t>
      </w:r>
      <w:r>
        <w:rPr/>
        <w:t>(Peer-to-peer University). Это некоммерческое онлайн-сообщество</w:t>
      </w:r>
      <w:r>
        <w:rPr>
          <w:spacing w:val="30"/>
        </w:rPr>
        <w:t> </w:t>
      </w:r>
      <w:r>
        <w:rPr/>
        <w:t>открытого</w:t>
      </w:r>
      <w:r>
        <w:rPr>
          <w:spacing w:val="30"/>
        </w:rPr>
        <w:t> </w:t>
      </w:r>
      <w:r>
        <w:rPr/>
        <w:t>обучения,</w:t>
      </w:r>
      <w:r>
        <w:rPr>
          <w:spacing w:val="30"/>
        </w:rPr>
        <w:t> </w:t>
      </w:r>
      <w:r>
        <w:rPr/>
        <w:t>которое</w:t>
      </w:r>
      <w:r>
        <w:rPr>
          <w:spacing w:val="30"/>
        </w:rPr>
        <w:t> </w:t>
      </w:r>
      <w:r>
        <w:rPr/>
        <w:t>позволяет</w:t>
      </w:r>
      <w:r>
        <w:rPr>
          <w:spacing w:val="30"/>
        </w:rPr>
        <w:t> </w:t>
      </w:r>
      <w:r>
        <w:rPr/>
        <w:t>участникам</w:t>
      </w:r>
      <w:r>
        <w:rPr>
          <w:spacing w:val="30"/>
        </w:rPr>
        <w:t> </w:t>
      </w:r>
      <w:r>
        <w:rPr/>
        <w:t>создавать собственные</w:t>
      </w:r>
      <w:r>
        <w:rPr>
          <w:spacing w:val="-7"/>
        </w:rPr>
        <w:t> </w:t>
      </w:r>
      <w:r>
        <w:rPr/>
        <w:t>курсы,</w:t>
      </w:r>
      <w:r>
        <w:rPr>
          <w:spacing w:val="-5"/>
        </w:rPr>
        <w:t> </w:t>
      </w:r>
      <w:r>
        <w:rPr/>
        <w:t>открывать</w:t>
      </w:r>
      <w:r>
        <w:rPr>
          <w:spacing w:val="-5"/>
        </w:rPr>
        <w:t> </w:t>
      </w:r>
      <w:r>
        <w:rPr/>
        <w:t>учебные</w:t>
      </w:r>
      <w:r>
        <w:rPr>
          <w:spacing w:val="-5"/>
        </w:rPr>
        <w:t> </w:t>
      </w:r>
      <w:r>
        <w:rPr/>
        <w:t>группы</w:t>
      </w:r>
      <w:r>
        <w:rPr>
          <w:spacing w:val="-5"/>
        </w:rPr>
        <w:t> </w:t>
      </w:r>
      <w:r>
        <w:rPr/>
        <w:t>и</w:t>
      </w:r>
      <w:r>
        <w:rPr>
          <w:spacing w:val="-5"/>
        </w:rPr>
        <w:t> </w:t>
      </w:r>
      <w:r>
        <w:rPr/>
        <w:t>участвовать</w:t>
      </w:r>
      <w:r>
        <w:rPr>
          <w:spacing w:val="-5"/>
        </w:rPr>
        <w:t> </w:t>
      </w:r>
      <w:r>
        <w:rPr/>
        <w:t>в</w:t>
      </w:r>
      <w:r>
        <w:rPr>
          <w:spacing w:val="-6"/>
        </w:rPr>
        <w:t> </w:t>
      </w:r>
      <w:r>
        <w:rPr/>
        <w:t>них</w:t>
      </w:r>
      <w:r>
        <w:rPr>
          <w:spacing w:val="-5"/>
        </w:rPr>
        <w:t> </w:t>
      </w:r>
      <w:r>
        <w:rPr/>
        <w:t>для</w:t>
      </w:r>
      <w:r>
        <w:rPr>
          <w:spacing w:val="-4"/>
        </w:rPr>
        <w:t> </w:t>
      </w:r>
      <w:r>
        <w:rPr>
          <w:spacing w:val="-2"/>
        </w:rPr>
        <w:t>совместного</w:t>
      </w:r>
    </w:p>
    <w:p>
      <w:pPr>
        <w:pStyle w:val="BodyText"/>
        <w:spacing w:line="228" w:lineRule="exact" w:before="5"/>
        <w:ind w:right="0" w:firstLine="0"/>
      </w:pPr>
      <w:r>
        <w:rPr/>
        <w:t>изучения</w:t>
      </w:r>
      <w:r>
        <w:rPr>
          <w:spacing w:val="-5"/>
        </w:rPr>
        <w:t> </w:t>
      </w:r>
      <w:r>
        <w:rPr/>
        <w:t>и</w:t>
      </w:r>
      <w:r>
        <w:rPr>
          <w:spacing w:val="-3"/>
        </w:rPr>
        <w:t> </w:t>
      </w:r>
      <w:r>
        <w:rPr/>
        <w:t>обсуждения</w:t>
      </w:r>
      <w:r>
        <w:rPr>
          <w:spacing w:val="-3"/>
        </w:rPr>
        <w:t> </w:t>
      </w:r>
      <w:r>
        <w:rPr/>
        <w:t>интересующих</w:t>
      </w:r>
      <w:r>
        <w:rPr>
          <w:spacing w:val="-2"/>
        </w:rPr>
        <w:t> </w:t>
      </w:r>
      <w:r>
        <w:rPr>
          <w:spacing w:val="-4"/>
        </w:rPr>
        <w:t>тем.</w:t>
      </w:r>
    </w:p>
    <w:p>
      <w:pPr>
        <w:pStyle w:val="BodyText"/>
        <w:spacing w:line="235" w:lineRule="auto" w:before="2"/>
      </w:pPr>
      <w:r>
        <w:rPr/>
        <w:t>В России на</w:t>
      </w:r>
      <w:r>
        <w:rPr>
          <w:spacing w:val="-7"/>
        </w:rPr>
        <w:t> </w:t>
      </w:r>
      <w:r>
        <w:rPr/>
        <w:t>принципах взаимного обучения основана</w:t>
      </w:r>
      <w:r>
        <w:rPr>
          <w:spacing w:val="-7"/>
        </w:rPr>
        <w:t> </w:t>
      </w:r>
      <w:r>
        <w:rPr/>
        <w:t>онлайн-платформа </w:t>
      </w:r>
      <w:r>
        <w:rPr>
          <w:color w:val="231F20"/>
        </w:rPr>
        <w:t>Tensy. На ее базе </w:t>
      </w:r>
      <w:r>
        <w:rPr/>
        <w:t>школьник или родитель может задать любой вопрос, касающийся уче-</w:t>
      </w:r>
      <w:r>
        <w:rPr>
          <w:spacing w:val="40"/>
        </w:rPr>
        <w:t> </w:t>
      </w:r>
      <w:r>
        <w:rPr/>
        <w:t>бы,</w:t>
      </w:r>
      <w:r>
        <w:rPr>
          <w:spacing w:val="-8"/>
        </w:rPr>
        <w:t> </w:t>
      </w:r>
      <w:r>
        <w:rPr/>
        <w:t>или</w:t>
      </w:r>
      <w:r>
        <w:rPr>
          <w:spacing w:val="-7"/>
        </w:rPr>
        <w:t> </w:t>
      </w:r>
      <w:r>
        <w:rPr/>
        <w:t>прислать</w:t>
      </w:r>
      <w:r>
        <w:rPr>
          <w:spacing w:val="-7"/>
        </w:rPr>
        <w:t> </w:t>
      </w:r>
      <w:r>
        <w:rPr/>
        <w:t>фото</w:t>
      </w:r>
      <w:r>
        <w:rPr>
          <w:spacing w:val="-7"/>
        </w:rPr>
        <w:t> </w:t>
      </w:r>
      <w:r>
        <w:rPr/>
        <w:t>задания</w:t>
      </w:r>
      <w:r>
        <w:rPr>
          <w:spacing w:val="-8"/>
        </w:rPr>
        <w:t> </w:t>
      </w:r>
      <w:r>
        <w:rPr/>
        <w:t>из</w:t>
      </w:r>
      <w:r>
        <w:rPr>
          <w:spacing w:val="-5"/>
        </w:rPr>
        <w:t> </w:t>
      </w:r>
      <w:r>
        <w:rPr/>
        <w:t>домашней</w:t>
      </w:r>
      <w:r>
        <w:rPr>
          <w:spacing w:val="-8"/>
        </w:rPr>
        <w:t> </w:t>
      </w:r>
      <w:r>
        <w:rPr/>
        <w:t>работы</w:t>
      </w:r>
      <w:r>
        <w:rPr>
          <w:spacing w:val="-7"/>
        </w:rPr>
        <w:t> </w:t>
      </w:r>
      <w:r>
        <w:rPr/>
        <w:t>и</w:t>
      </w:r>
      <w:r>
        <w:rPr>
          <w:spacing w:val="-6"/>
        </w:rPr>
        <w:t> </w:t>
      </w:r>
      <w:r>
        <w:rPr/>
        <w:t>через</w:t>
      </w:r>
      <w:r>
        <w:rPr>
          <w:spacing w:val="-7"/>
        </w:rPr>
        <w:t> </w:t>
      </w:r>
      <w:r>
        <w:rPr/>
        <w:t>какое-то</w:t>
      </w:r>
      <w:r>
        <w:rPr>
          <w:spacing w:val="-7"/>
        </w:rPr>
        <w:t> </w:t>
      </w:r>
      <w:r>
        <w:rPr/>
        <w:t>время</w:t>
      </w:r>
      <w:r>
        <w:rPr>
          <w:spacing w:val="-8"/>
        </w:rPr>
        <w:t> </w:t>
      </w:r>
      <w:r>
        <w:rPr/>
        <w:t>получить индивидуальный урок со</w:t>
      </w:r>
      <w:r>
        <w:rPr>
          <w:spacing w:val="-8"/>
        </w:rPr>
        <w:t> </w:t>
      </w:r>
      <w:r>
        <w:rPr/>
        <w:t>старшеклассником или студентом, который уже разобрал- ся в</w:t>
      </w:r>
      <w:r>
        <w:rPr>
          <w:spacing w:val="-6"/>
        </w:rPr>
        <w:t> </w:t>
      </w:r>
      <w:r>
        <w:rPr/>
        <w:t>этой теме. Участие в</w:t>
      </w:r>
      <w:r>
        <w:rPr>
          <w:spacing w:val="-6"/>
        </w:rPr>
        <w:t> </w:t>
      </w:r>
      <w:r>
        <w:rPr/>
        <w:t>проекте оказывается полезным не</w:t>
      </w:r>
      <w:r>
        <w:rPr>
          <w:spacing w:val="-5"/>
        </w:rPr>
        <w:t> </w:t>
      </w:r>
      <w:r>
        <w:rPr/>
        <w:t>только тем школьникам, которые</w:t>
      </w:r>
      <w:r>
        <w:rPr>
          <w:spacing w:val="-6"/>
        </w:rPr>
        <w:t> </w:t>
      </w:r>
      <w:r>
        <w:rPr/>
        <w:t>ищут</w:t>
      </w:r>
      <w:r>
        <w:rPr>
          <w:spacing w:val="-6"/>
        </w:rPr>
        <w:t> </w:t>
      </w:r>
      <w:r>
        <w:rPr/>
        <w:t>объяснения</w:t>
      </w:r>
      <w:r>
        <w:rPr>
          <w:spacing w:val="-6"/>
        </w:rPr>
        <w:t> </w:t>
      </w:r>
      <w:r>
        <w:rPr/>
        <w:t>для</w:t>
      </w:r>
      <w:r>
        <w:rPr>
          <w:spacing w:val="-6"/>
        </w:rPr>
        <w:t> </w:t>
      </w:r>
      <w:r>
        <w:rPr/>
        <w:t>своих</w:t>
      </w:r>
      <w:r>
        <w:rPr>
          <w:spacing w:val="-6"/>
        </w:rPr>
        <w:t> </w:t>
      </w:r>
      <w:r>
        <w:rPr/>
        <w:t>вопросов,</w:t>
      </w:r>
      <w:r>
        <w:rPr>
          <w:spacing w:val="-6"/>
        </w:rPr>
        <w:t> </w:t>
      </w:r>
      <w:r>
        <w:rPr/>
        <w:t>но</w:t>
      </w:r>
      <w:r>
        <w:rPr>
          <w:spacing w:val="-6"/>
        </w:rPr>
        <w:t> </w:t>
      </w:r>
      <w:r>
        <w:rPr/>
        <w:t>и</w:t>
      </w:r>
      <w:r>
        <w:rPr>
          <w:spacing w:val="-7"/>
        </w:rPr>
        <w:t> </w:t>
      </w:r>
      <w:r>
        <w:rPr/>
        <w:t>старшеклассникам-наставникам, поскольку позволяет им актуализировать знания и закрепить их.</w:t>
      </w:r>
    </w:p>
    <w:p>
      <w:pPr>
        <w:pStyle w:val="BodyText"/>
        <w:spacing w:line="235" w:lineRule="auto" w:before="4"/>
      </w:pPr>
      <w:r>
        <w:rPr>
          <w:spacing w:val="-2"/>
        </w:rPr>
        <w:t>Подобные</w:t>
      </w:r>
      <w:r>
        <w:rPr>
          <w:spacing w:val="-11"/>
        </w:rPr>
        <w:t> </w:t>
      </w:r>
      <w:r>
        <w:rPr>
          <w:spacing w:val="-2"/>
        </w:rPr>
        <w:t>проекты</w:t>
      </w:r>
      <w:r>
        <w:rPr>
          <w:spacing w:val="-10"/>
        </w:rPr>
        <w:t> </w:t>
      </w:r>
      <w:r>
        <w:rPr>
          <w:spacing w:val="-2"/>
        </w:rPr>
        <w:t>есть</w:t>
      </w:r>
      <w:r>
        <w:rPr>
          <w:spacing w:val="-11"/>
        </w:rPr>
        <w:t> </w:t>
      </w:r>
      <w:r>
        <w:rPr>
          <w:spacing w:val="-2"/>
        </w:rPr>
        <w:t>и</w:t>
      </w:r>
      <w:r>
        <w:rPr>
          <w:spacing w:val="-10"/>
        </w:rPr>
        <w:t> </w:t>
      </w:r>
      <w:r>
        <w:rPr>
          <w:spacing w:val="-2"/>
        </w:rPr>
        <w:t>в</w:t>
      </w:r>
      <w:r>
        <w:rPr>
          <w:spacing w:val="-1"/>
        </w:rPr>
        <w:t> </w:t>
      </w:r>
      <w:r>
        <w:rPr>
          <w:spacing w:val="-2"/>
        </w:rPr>
        <w:t>вузах</w:t>
      </w:r>
      <w:r>
        <w:rPr>
          <w:spacing w:val="-11"/>
        </w:rPr>
        <w:t> </w:t>
      </w:r>
      <w:r>
        <w:rPr>
          <w:spacing w:val="-2"/>
        </w:rPr>
        <w:t>России.</w:t>
      </w:r>
      <w:r>
        <w:rPr>
          <w:spacing w:val="-10"/>
        </w:rPr>
        <w:t> </w:t>
      </w:r>
      <w:r>
        <w:rPr>
          <w:spacing w:val="-2"/>
        </w:rPr>
        <w:t>Так,</w:t>
      </w:r>
      <w:r>
        <w:rPr>
          <w:spacing w:val="-11"/>
        </w:rPr>
        <w:t> </w:t>
      </w:r>
      <w:r>
        <w:rPr>
          <w:spacing w:val="-2"/>
        </w:rPr>
        <w:t>в</w:t>
      </w:r>
      <w:r>
        <w:rPr/>
        <w:t> </w:t>
      </w:r>
      <w:r>
        <w:rPr>
          <w:spacing w:val="-2"/>
        </w:rPr>
        <w:t>СПбГУ</w:t>
      </w:r>
      <w:r>
        <w:rPr>
          <w:spacing w:val="-11"/>
        </w:rPr>
        <w:t> </w:t>
      </w:r>
      <w:r>
        <w:rPr>
          <w:spacing w:val="-2"/>
        </w:rPr>
        <w:t>студенты</w:t>
      </w:r>
      <w:r>
        <w:rPr>
          <w:spacing w:val="-10"/>
        </w:rPr>
        <w:t> </w:t>
      </w:r>
      <w:r>
        <w:rPr>
          <w:spacing w:val="-2"/>
        </w:rPr>
        <w:t>программы</w:t>
      </w:r>
      <w:r>
        <w:rPr>
          <w:spacing w:val="-11"/>
        </w:rPr>
        <w:t> </w:t>
      </w:r>
      <w:r>
        <w:rPr>
          <w:spacing w:val="-2"/>
        </w:rPr>
        <w:t>«Рус- </w:t>
      </w:r>
      <w:r>
        <w:rPr/>
        <w:t>ский</w:t>
      </w:r>
      <w:r>
        <w:rPr>
          <w:spacing w:val="-5"/>
        </w:rPr>
        <w:t> </w:t>
      </w:r>
      <w:r>
        <w:rPr/>
        <w:t>язык</w:t>
      </w:r>
      <w:r>
        <w:rPr>
          <w:spacing w:val="-5"/>
        </w:rPr>
        <w:t> </w:t>
      </w:r>
      <w:r>
        <w:rPr/>
        <w:t>и</w:t>
      </w:r>
      <w:r>
        <w:rPr>
          <w:spacing w:val="-13"/>
        </w:rPr>
        <w:t> </w:t>
      </w:r>
      <w:r>
        <w:rPr/>
        <w:t>русская</w:t>
      </w:r>
      <w:r>
        <w:rPr>
          <w:spacing w:val="-5"/>
        </w:rPr>
        <w:t> </w:t>
      </w:r>
      <w:r>
        <w:rPr/>
        <w:t>культура</w:t>
      </w:r>
      <w:r>
        <w:rPr>
          <w:spacing w:val="-5"/>
        </w:rPr>
        <w:t> </w:t>
      </w:r>
      <w:r>
        <w:rPr/>
        <w:t>в</w:t>
      </w:r>
      <w:r>
        <w:rPr>
          <w:spacing w:val="-13"/>
        </w:rPr>
        <w:t> </w:t>
      </w:r>
      <w:r>
        <w:rPr/>
        <w:t>аспекте</w:t>
      </w:r>
      <w:r>
        <w:rPr>
          <w:spacing w:val="-5"/>
        </w:rPr>
        <w:t> </w:t>
      </w:r>
      <w:r>
        <w:rPr/>
        <w:t>русского</w:t>
      </w:r>
      <w:r>
        <w:rPr>
          <w:spacing w:val="-5"/>
        </w:rPr>
        <w:t> </w:t>
      </w:r>
      <w:r>
        <w:rPr/>
        <w:t>языка</w:t>
      </w:r>
      <w:r>
        <w:rPr>
          <w:spacing w:val="-5"/>
        </w:rPr>
        <w:t> </w:t>
      </w:r>
      <w:r>
        <w:rPr/>
        <w:t>как</w:t>
      </w:r>
      <w:r>
        <w:rPr>
          <w:spacing w:val="-5"/>
        </w:rPr>
        <w:t> </w:t>
      </w:r>
      <w:r>
        <w:rPr/>
        <w:t>иностранного»</w:t>
      </w:r>
      <w:r>
        <w:rPr>
          <w:spacing w:val="-5"/>
        </w:rPr>
        <w:t> </w:t>
      </w:r>
      <w:r>
        <w:rPr/>
        <w:t>регулярно </w:t>
      </w:r>
      <w:r>
        <w:rPr>
          <w:color w:val="231F20"/>
        </w:rPr>
        <w:t>пробуют </w:t>
      </w:r>
      <w:r>
        <w:rPr/>
        <w:t>себя в</w:t>
      </w:r>
      <w:r>
        <w:rPr>
          <w:spacing w:val="-11"/>
        </w:rPr>
        <w:t> </w:t>
      </w:r>
      <w:r>
        <w:rPr/>
        <w:t>роли преподавателей и</w:t>
      </w:r>
      <w:r>
        <w:rPr>
          <w:spacing w:val="-11"/>
        </w:rPr>
        <w:t> </w:t>
      </w:r>
      <w:r>
        <w:rPr/>
        <w:t>проводят занятия для своих ровесников-ино- странцев. Роль преподавателя требует знакомства с разными учебными методиками и</w:t>
      </w:r>
      <w:r>
        <w:rPr>
          <w:spacing w:val="-7"/>
        </w:rPr>
        <w:t> </w:t>
      </w:r>
      <w:r>
        <w:rPr/>
        <w:t>определенных</w:t>
      </w:r>
      <w:r>
        <w:rPr>
          <w:spacing w:val="-4"/>
        </w:rPr>
        <w:t> </w:t>
      </w:r>
      <w:r>
        <w:rPr/>
        <w:t>навыков.</w:t>
      </w:r>
      <w:r>
        <w:rPr>
          <w:spacing w:val="-4"/>
        </w:rPr>
        <w:t> </w:t>
      </w:r>
      <w:r>
        <w:rPr/>
        <w:t>Преподаватели</w:t>
      </w:r>
      <w:r>
        <w:rPr>
          <w:spacing w:val="-4"/>
        </w:rPr>
        <w:t> </w:t>
      </w:r>
      <w:r>
        <w:rPr/>
        <w:t>вуза</w:t>
      </w:r>
      <w:r>
        <w:rPr>
          <w:spacing w:val="-4"/>
        </w:rPr>
        <w:t> </w:t>
      </w:r>
      <w:r>
        <w:rPr/>
        <w:t>в</w:t>
      </w:r>
      <w:r>
        <w:rPr>
          <w:spacing w:val="-13"/>
        </w:rPr>
        <w:t> </w:t>
      </w:r>
      <w:r>
        <w:rPr/>
        <w:t>занятиях</w:t>
      </w:r>
      <w:r>
        <w:rPr>
          <w:spacing w:val="-3"/>
        </w:rPr>
        <w:t> </w:t>
      </w:r>
      <w:r>
        <w:rPr/>
        <w:t>не</w:t>
      </w:r>
      <w:r>
        <w:rPr>
          <w:spacing w:val="-13"/>
        </w:rPr>
        <w:t> </w:t>
      </w:r>
      <w:r>
        <w:rPr/>
        <w:t>участвуют,</w:t>
      </w:r>
      <w:r>
        <w:rPr>
          <w:spacing w:val="-3"/>
        </w:rPr>
        <w:t> </w:t>
      </w:r>
      <w:r>
        <w:rPr/>
        <w:t>но</w:t>
      </w:r>
      <w:r>
        <w:rPr>
          <w:spacing w:val="-13"/>
        </w:rPr>
        <w:t> </w:t>
      </w:r>
      <w:r>
        <w:rPr/>
        <w:t>помогают </w:t>
      </w:r>
      <w:r>
        <w:rPr>
          <w:spacing w:val="-2"/>
        </w:rPr>
        <w:t>студентам</w:t>
      </w:r>
      <w:r>
        <w:rPr>
          <w:spacing w:val="-11"/>
        </w:rPr>
        <w:t> </w:t>
      </w:r>
      <w:r>
        <w:rPr>
          <w:spacing w:val="-2"/>
        </w:rPr>
        <w:t>в</w:t>
      </w:r>
      <w:r>
        <w:rPr>
          <w:spacing w:val="-8"/>
        </w:rPr>
        <w:t> </w:t>
      </w:r>
      <w:r>
        <w:rPr>
          <w:spacing w:val="-2"/>
        </w:rPr>
        <w:t>подготовке</w:t>
      </w:r>
      <w:r>
        <w:rPr>
          <w:spacing w:val="-10"/>
        </w:rPr>
        <w:t> </w:t>
      </w:r>
      <w:r>
        <w:rPr>
          <w:spacing w:val="-2"/>
        </w:rPr>
        <w:t>и</w:t>
      </w:r>
      <w:r>
        <w:rPr>
          <w:spacing w:val="-3"/>
        </w:rPr>
        <w:t> </w:t>
      </w:r>
      <w:r>
        <w:rPr>
          <w:spacing w:val="-2"/>
        </w:rPr>
        <w:t>выборе</w:t>
      </w:r>
      <w:r>
        <w:rPr>
          <w:spacing w:val="-11"/>
        </w:rPr>
        <w:t> </w:t>
      </w:r>
      <w:r>
        <w:rPr>
          <w:spacing w:val="-2"/>
        </w:rPr>
        <w:t>учебных</w:t>
      </w:r>
      <w:r>
        <w:rPr>
          <w:spacing w:val="-10"/>
        </w:rPr>
        <w:t> </w:t>
      </w:r>
      <w:r>
        <w:rPr>
          <w:spacing w:val="-2"/>
        </w:rPr>
        <w:t>материалов.</w:t>
      </w:r>
      <w:r>
        <w:rPr>
          <w:spacing w:val="-11"/>
        </w:rPr>
        <w:t> </w:t>
      </w:r>
      <w:r>
        <w:rPr>
          <w:spacing w:val="-2"/>
        </w:rPr>
        <w:t>В вузе</w:t>
      </w:r>
      <w:r>
        <w:rPr>
          <w:spacing w:val="-11"/>
        </w:rPr>
        <w:t> </w:t>
      </w:r>
      <w:r>
        <w:rPr>
          <w:spacing w:val="-2"/>
        </w:rPr>
        <w:t>считают,</w:t>
      </w:r>
      <w:r>
        <w:rPr>
          <w:spacing w:val="-10"/>
        </w:rPr>
        <w:t> </w:t>
      </w:r>
      <w:r>
        <w:rPr>
          <w:spacing w:val="-2"/>
        </w:rPr>
        <w:t>что</w:t>
      </w:r>
      <w:r>
        <w:rPr>
          <w:spacing w:val="-11"/>
        </w:rPr>
        <w:t> </w:t>
      </w:r>
      <w:r>
        <w:rPr>
          <w:spacing w:val="-2"/>
        </w:rPr>
        <w:t>эта</w:t>
      </w:r>
      <w:r>
        <w:rPr>
          <w:spacing w:val="-10"/>
        </w:rPr>
        <w:t> </w:t>
      </w:r>
      <w:r>
        <w:rPr>
          <w:spacing w:val="-2"/>
        </w:rPr>
        <w:t>практи- </w:t>
      </w:r>
      <w:r>
        <w:rPr/>
        <w:t>ка развивает у иностранных студентов навыки общения на русском языке.</w:t>
      </w:r>
    </w:p>
    <w:p>
      <w:pPr>
        <w:pStyle w:val="BodyText"/>
        <w:spacing w:line="235" w:lineRule="auto" w:before="5"/>
      </w:pPr>
      <w:r>
        <w:rPr>
          <w:spacing w:val="-4"/>
        </w:rPr>
        <w:t>Более того, создаются школы, в которых практикуется исключительно P2P</w:t>
      </w:r>
      <w:r>
        <w:rPr>
          <w:spacing w:val="-9"/>
        </w:rPr>
        <w:t> </w:t>
      </w:r>
      <w:r>
        <w:rPr>
          <w:spacing w:val="-4"/>
        </w:rPr>
        <w:t>подход к обучению.</w:t>
      </w:r>
      <w:r>
        <w:rPr>
          <w:spacing w:val="-8"/>
        </w:rPr>
        <w:t> </w:t>
      </w:r>
      <w:r>
        <w:rPr>
          <w:spacing w:val="-4"/>
        </w:rPr>
        <w:t>В</w:t>
      </w:r>
      <w:r>
        <w:rPr/>
        <w:t> </w:t>
      </w:r>
      <w:r>
        <w:rPr>
          <w:spacing w:val="-4"/>
        </w:rPr>
        <w:t>России</w:t>
      </w:r>
      <w:r>
        <w:rPr>
          <w:spacing w:val="-8"/>
        </w:rPr>
        <w:t> </w:t>
      </w:r>
      <w:r>
        <w:rPr>
          <w:spacing w:val="-4"/>
        </w:rPr>
        <w:t>–</w:t>
      </w:r>
      <w:r>
        <w:rPr>
          <w:spacing w:val="-8"/>
        </w:rPr>
        <w:t> </w:t>
      </w:r>
      <w:r>
        <w:rPr>
          <w:spacing w:val="-4"/>
        </w:rPr>
        <w:t>это</w:t>
      </w:r>
      <w:r>
        <w:rPr>
          <w:spacing w:val="-8"/>
        </w:rPr>
        <w:t> </w:t>
      </w:r>
      <w:r>
        <w:rPr>
          <w:spacing w:val="-4"/>
        </w:rPr>
        <w:t>школа</w:t>
      </w:r>
      <w:r>
        <w:rPr>
          <w:spacing w:val="-8"/>
        </w:rPr>
        <w:t> </w:t>
      </w:r>
      <w:r>
        <w:rPr>
          <w:spacing w:val="-4"/>
        </w:rPr>
        <w:t>программирования,</w:t>
      </w:r>
      <w:r>
        <w:rPr>
          <w:spacing w:val="-8"/>
        </w:rPr>
        <w:t> </w:t>
      </w:r>
      <w:r>
        <w:rPr>
          <w:spacing w:val="-4"/>
        </w:rPr>
        <w:t>получившая</w:t>
      </w:r>
      <w:r>
        <w:rPr>
          <w:spacing w:val="-8"/>
        </w:rPr>
        <w:t> </w:t>
      </w:r>
      <w:r>
        <w:rPr>
          <w:spacing w:val="-4"/>
        </w:rPr>
        <w:t>название</w:t>
      </w:r>
      <w:r>
        <w:rPr>
          <w:spacing w:val="-8"/>
        </w:rPr>
        <w:t> </w:t>
      </w:r>
      <w:r>
        <w:rPr>
          <w:spacing w:val="-4"/>
        </w:rPr>
        <w:t>«</w:t>
      </w:r>
      <w:r>
        <w:rPr>
          <w:color w:val="231F20"/>
          <w:spacing w:val="-4"/>
        </w:rPr>
        <w:t>Школа</w:t>
      </w:r>
      <w:r>
        <w:rPr>
          <w:color w:val="231F20"/>
          <w:spacing w:val="-8"/>
        </w:rPr>
        <w:t> </w:t>
      </w:r>
      <w:r>
        <w:rPr>
          <w:color w:val="231F20"/>
          <w:spacing w:val="-4"/>
        </w:rPr>
        <w:t>21</w:t>
      </w:r>
      <w:r>
        <w:rPr>
          <w:spacing w:val="-4"/>
        </w:rPr>
        <w:t>». </w:t>
      </w:r>
      <w:r>
        <w:rPr/>
        <w:t>21 – отсылка и</w:t>
      </w:r>
      <w:r>
        <w:rPr>
          <w:spacing w:val="-6"/>
        </w:rPr>
        <w:t> </w:t>
      </w:r>
      <w:r>
        <w:rPr/>
        <w:t>к</w:t>
      </w:r>
      <w:r>
        <w:rPr>
          <w:spacing w:val="-5"/>
        </w:rPr>
        <w:t> </w:t>
      </w:r>
      <w:r>
        <w:rPr/>
        <w:t>текущему веку, и</w:t>
      </w:r>
      <w:r>
        <w:rPr>
          <w:spacing w:val="-6"/>
        </w:rPr>
        <w:t> </w:t>
      </w:r>
      <w:r>
        <w:rPr/>
        <w:t>к</w:t>
      </w:r>
      <w:r>
        <w:rPr>
          <w:spacing w:val="-5"/>
        </w:rPr>
        <w:t> </w:t>
      </w:r>
      <w:r>
        <w:rPr/>
        <w:t>количеству ступеней, которые нужно пройти, чтобы завершить обучение. Обучение бесплатное и</w:t>
      </w:r>
      <w:r>
        <w:rPr>
          <w:spacing w:val="-5"/>
        </w:rPr>
        <w:t> </w:t>
      </w:r>
      <w:r>
        <w:rPr/>
        <w:t>строится, как говорилось выше, на</w:t>
      </w:r>
      <w:r>
        <w:rPr>
          <w:spacing w:val="-6"/>
        </w:rPr>
        <w:t> </w:t>
      </w:r>
      <w:r>
        <w:rPr/>
        <w:t>принципах</w:t>
      </w:r>
      <w:r>
        <w:rPr>
          <w:spacing w:val="-2"/>
        </w:rPr>
        <w:t> </w:t>
      </w:r>
      <w:r>
        <w:rPr/>
        <w:t>peer-to-peer:</w:t>
      </w:r>
      <w:r>
        <w:rPr>
          <w:spacing w:val="-3"/>
        </w:rPr>
        <w:t> </w:t>
      </w:r>
      <w:r>
        <w:rPr/>
        <w:t>студенты</w:t>
      </w:r>
      <w:r>
        <w:rPr>
          <w:spacing w:val="-3"/>
        </w:rPr>
        <w:t> </w:t>
      </w:r>
      <w:r>
        <w:rPr/>
        <w:t>работают</w:t>
      </w:r>
      <w:r>
        <w:rPr>
          <w:spacing w:val="-3"/>
        </w:rPr>
        <w:t> </w:t>
      </w:r>
      <w:r>
        <w:rPr/>
        <w:t>в</w:t>
      </w:r>
      <w:r>
        <w:rPr>
          <w:spacing w:val="-7"/>
        </w:rPr>
        <w:t> </w:t>
      </w:r>
      <w:r>
        <w:rPr/>
        <w:t>команде,</w:t>
      </w:r>
      <w:r>
        <w:rPr>
          <w:spacing w:val="-3"/>
        </w:rPr>
        <w:t> </w:t>
      </w:r>
      <w:r>
        <w:rPr/>
        <w:t>учатся</w:t>
      </w:r>
      <w:r>
        <w:rPr>
          <w:spacing w:val="-3"/>
        </w:rPr>
        <w:t> </w:t>
      </w:r>
      <w:r>
        <w:rPr/>
        <w:t>друг</w:t>
      </w:r>
      <w:r>
        <w:rPr>
          <w:spacing w:val="-3"/>
        </w:rPr>
        <w:t> </w:t>
      </w:r>
      <w:r>
        <w:rPr/>
        <w:t>у</w:t>
      </w:r>
      <w:r>
        <w:rPr>
          <w:spacing w:val="-6"/>
        </w:rPr>
        <w:t> </w:t>
      </w:r>
      <w:r>
        <w:rPr/>
        <w:t>друга,</w:t>
      </w:r>
      <w:r>
        <w:rPr>
          <w:spacing w:val="-3"/>
        </w:rPr>
        <w:t> </w:t>
      </w:r>
      <w:r>
        <w:rPr/>
        <w:t>делят- ся</w:t>
      </w:r>
      <w:r>
        <w:rPr>
          <w:spacing w:val="20"/>
        </w:rPr>
        <w:t> </w:t>
      </w:r>
      <w:r>
        <w:rPr/>
        <w:t>знаниями</w:t>
      </w:r>
      <w:r>
        <w:rPr>
          <w:spacing w:val="20"/>
        </w:rPr>
        <w:t> </w:t>
      </w:r>
      <w:r>
        <w:rPr/>
        <w:t>и</w:t>
      </w:r>
      <w:r>
        <w:rPr>
          <w:spacing w:val="-5"/>
        </w:rPr>
        <w:t> </w:t>
      </w:r>
      <w:r>
        <w:rPr/>
        <w:t>обмениваются</w:t>
      </w:r>
      <w:r>
        <w:rPr>
          <w:spacing w:val="20"/>
        </w:rPr>
        <w:t> </w:t>
      </w:r>
      <w:r>
        <w:rPr/>
        <w:t>опытом.</w:t>
      </w:r>
      <w:r>
        <w:rPr>
          <w:spacing w:val="20"/>
        </w:rPr>
        <w:t> </w:t>
      </w:r>
      <w:r>
        <w:rPr/>
        <w:t>На</w:t>
      </w:r>
      <w:r>
        <w:rPr>
          <w:spacing w:val="-4"/>
        </w:rPr>
        <w:t> </w:t>
      </w:r>
      <w:r>
        <w:rPr/>
        <w:t>сегодняшний</w:t>
      </w:r>
      <w:r>
        <w:rPr>
          <w:spacing w:val="20"/>
        </w:rPr>
        <w:t> </w:t>
      </w:r>
      <w:r>
        <w:rPr/>
        <w:t>день</w:t>
      </w:r>
      <w:r>
        <w:rPr>
          <w:spacing w:val="20"/>
        </w:rPr>
        <w:t> </w:t>
      </w:r>
      <w:r>
        <w:rPr/>
        <w:t>у</w:t>
      </w:r>
      <w:r>
        <w:rPr>
          <w:spacing w:val="-4"/>
        </w:rPr>
        <w:t> </w:t>
      </w:r>
      <w:r>
        <w:rPr/>
        <w:t>школы</w:t>
      </w:r>
      <w:r>
        <w:rPr>
          <w:spacing w:val="20"/>
        </w:rPr>
        <w:t> </w:t>
      </w:r>
      <w:r>
        <w:rPr/>
        <w:t>три</w:t>
      </w:r>
      <w:r>
        <w:rPr>
          <w:spacing w:val="20"/>
        </w:rPr>
        <w:t> </w:t>
      </w:r>
      <w:r>
        <w:rPr/>
        <w:t>кампуса: в Москве, Казани и Новосибирске.</w:t>
      </w:r>
    </w:p>
    <w:p>
      <w:pPr>
        <w:spacing w:line="235" w:lineRule="auto" w:before="117"/>
        <w:ind w:left="141" w:right="139" w:firstLine="283"/>
        <w:jc w:val="both"/>
        <w:rPr>
          <w:b/>
          <w:i/>
          <w:sz w:val="20"/>
        </w:rPr>
      </w:pPr>
      <w:r>
        <w:rPr>
          <w:b/>
          <w:color w:val="231F20"/>
          <w:sz w:val="20"/>
        </w:rPr>
        <w:t>Информационные</w:t>
      </w:r>
      <w:r>
        <w:rPr>
          <w:b/>
          <w:color w:val="231F20"/>
          <w:spacing w:val="-13"/>
          <w:sz w:val="20"/>
        </w:rPr>
        <w:t> </w:t>
      </w:r>
      <w:r>
        <w:rPr>
          <w:b/>
          <w:color w:val="231F20"/>
          <w:sz w:val="20"/>
        </w:rPr>
        <w:t>технологии</w:t>
      </w:r>
      <w:r>
        <w:rPr>
          <w:b/>
          <w:color w:val="231F20"/>
          <w:spacing w:val="-12"/>
          <w:sz w:val="20"/>
        </w:rPr>
        <w:t> </w:t>
      </w:r>
      <w:r>
        <w:rPr>
          <w:b/>
          <w:color w:val="231F20"/>
          <w:sz w:val="20"/>
        </w:rPr>
        <w:t>в</w:t>
      </w:r>
      <w:r>
        <w:rPr>
          <w:b/>
          <w:color w:val="231F20"/>
          <w:spacing w:val="-13"/>
          <w:sz w:val="20"/>
        </w:rPr>
        <w:t> </w:t>
      </w:r>
      <w:r>
        <w:rPr>
          <w:b/>
          <w:color w:val="231F20"/>
          <w:sz w:val="20"/>
        </w:rPr>
        <w:t>образовании</w:t>
      </w:r>
      <w:r>
        <w:rPr>
          <w:b/>
          <w:color w:val="231F20"/>
          <w:spacing w:val="-12"/>
          <w:sz w:val="20"/>
        </w:rPr>
        <w:t> </w:t>
      </w:r>
      <w:r>
        <w:rPr>
          <w:b/>
          <w:color w:val="231F20"/>
          <w:sz w:val="20"/>
        </w:rPr>
        <w:t>для</w:t>
      </w:r>
      <w:r>
        <w:rPr>
          <w:b/>
          <w:color w:val="231F20"/>
          <w:spacing w:val="-13"/>
          <w:sz w:val="20"/>
        </w:rPr>
        <w:t> </w:t>
      </w:r>
      <w:r>
        <w:rPr>
          <w:b/>
          <w:color w:val="231F20"/>
          <w:sz w:val="20"/>
        </w:rPr>
        <w:t>оптимизации</w:t>
      </w:r>
      <w:r>
        <w:rPr>
          <w:b/>
          <w:color w:val="231F20"/>
          <w:spacing w:val="-12"/>
          <w:sz w:val="20"/>
        </w:rPr>
        <w:t> </w:t>
      </w:r>
      <w:r>
        <w:rPr>
          <w:b/>
          <w:color w:val="231F20"/>
          <w:sz w:val="20"/>
        </w:rPr>
        <w:t>групповой</w:t>
      </w:r>
      <w:r>
        <w:rPr>
          <w:b/>
          <w:color w:val="231F20"/>
          <w:spacing w:val="-13"/>
          <w:sz w:val="20"/>
        </w:rPr>
        <w:t> </w:t>
      </w:r>
      <w:r>
        <w:rPr>
          <w:b/>
          <w:color w:val="231F20"/>
          <w:sz w:val="20"/>
        </w:rPr>
        <w:t>ра- боты: </w:t>
      </w:r>
      <w:r>
        <w:rPr>
          <w:b/>
          <w:i/>
          <w:color w:val="231F20"/>
          <w:sz w:val="20"/>
        </w:rPr>
        <w:t>eduScrum</w:t>
      </w:r>
    </w:p>
    <w:p>
      <w:pPr>
        <w:pStyle w:val="BodyText"/>
        <w:spacing w:line="235" w:lineRule="auto" w:before="2"/>
      </w:pPr>
      <w:r>
        <w:rPr>
          <w:color w:val="231F20"/>
        </w:rPr>
        <w:t>Гибкие</w:t>
      </w:r>
      <w:r>
        <w:rPr>
          <w:color w:val="231F20"/>
          <w:spacing w:val="-4"/>
        </w:rPr>
        <w:t> </w:t>
      </w:r>
      <w:r>
        <w:rPr>
          <w:color w:val="231F20"/>
        </w:rPr>
        <w:t>методы</w:t>
      </w:r>
      <w:r>
        <w:rPr>
          <w:color w:val="231F20"/>
          <w:spacing w:val="-4"/>
        </w:rPr>
        <w:t> </w:t>
      </w:r>
      <w:r>
        <w:rPr>
          <w:color w:val="231F20"/>
        </w:rPr>
        <w:t>получают</w:t>
      </w:r>
      <w:r>
        <w:rPr>
          <w:color w:val="231F20"/>
          <w:spacing w:val="-4"/>
        </w:rPr>
        <w:t> </w:t>
      </w:r>
      <w:r>
        <w:rPr>
          <w:color w:val="231F20"/>
        </w:rPr>
        <w:t>все</w:t>
      </w:r>
      <w:r>
        <w:rPr>
          <w:color w:val="231F20"/>
          <w:spacing w:val="-4"/>
        </w:rPr>
        <w:t> </w:t>
      </w:r>
      <w:r>
        <w:rPr>
          <w:color w:val="231F20"/>
        </w:rPr>
        <w:t>большее</w:t>
      </w:r>
      <w:r>
        <w:rPr>
          <w:color w:val="231F20"/>
          <w:spacing w:val="-4"/>
        </w:rPr>
        <w:t> </w:t>
      </w:r>
      <w:r>
        <w:rPr>
          <w:color w:val="231F20"/>
        </w:rPr>
        <w:t>распространение</w:t>
      </w:r>
      <w:r>
        <w:rPr>
          <w:color w:val="231F20"/>
          <w:spacing w:val="-4"/>
        </w:rPr>
        <w:t> </w:t>
      </w:r>
      <w:r>
        <w:rPr>
          <w:color w:val="231F20"/>
        </w:rPr>
        <w:t>в</w:t>
      </w:r>
      <w:r>
        <w:rPr>
          <w:color w:val="231F20"/>
          <w:spacing w:val="-4"/>
        </w:rPr>
        <w:t> </w:t>
      </w:r>
      <w:r>
        <w:rPr>
          <w:color w:val="231F20"/>
        </w:rPr>
        <w:t>индустрии</w:t>
      </w:r>
      <w:r>
        <w:rPr>
          <w:color w:val="231F20"/>
          <w:spacing w:val="-4"/>
        </w:rPr>
        <w:t> </w:t>
      </w:r>
      <w:r>
        <w:rPr>
          <w:color w:val="231F20"/>
        </w:rPr>
        <w:t>информаци- онных технологий. Scrum широко используется в компьютерных компаниях, повы- шая производительность труда команды, качество продукта и способствуя удовлет-</w:t>
      </w:r>
    </w:p>
    <w:p>
      <w:pPr>
        <w:pStyle w:val="BodyText"/>
        <w:spacing w:after="0" w:line="235" w:lineRule="auto"/>
        <w:sectPr>
          <w:pgSz w:w="8400" w:h="11910"/>
          <w:pgMar w:header="0" w:footer="527" w:top="400" w:bottom="720" w:left="425" w:right="425"/>
        </w:sectPr>
      </w:pPr>
    </w:p>
    <w:p>
      <w:pPr>
        <w:pStyle w:val="ListParagraph"/>
        <w:numPr>
          <w:ilvl w:val="1"/>
          <w:numId w:val="107"/>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Методы</w:t>
      </w:r>
      <w:r>
        <w:rPr>
          <w:rFonts w:ascii="Georgia" w:hAnsi="Georgia"/>
          <w:color w:val="231F20"/>
          <w:spacing w:val="3"/>
          <w:sz w:val="18"/>
        </w:rPr>
        <w:t> </w:t>
      </w:r>
      <w:r>
        <w:rPr>
          <w:rFonts w:ascii="Georgia" w:hAnsi="Georgia"/>
          <w:color w:val="231F20"/>
          <w:sz w:val="18"/>
        </w:rPr>
        <w:t>учебной</w:t>
      </w:r>
      <w:r>
        <w:rPr>
          <w:rFonts w:ascii="Georgia" w:hAnsi="Georgia"/>
          <w:color w:val="231F20"/>
          <w:spacing w:val="3"/>
          <w:sz w:val="18"/>
        </w:rPr>
        <w:t> </w:t>
      </w:r>
      <w:r>
        <w:rPr>
          <w:rFonts w:ascii="Georgia" w:hAnsi="Georgia"/>
          <w:color w:val="231F20"/>
          <w:sz w:val="18"/>
        </w:rPr>
        <w:t>работы</w:t>
      </w:r>
      <w:r>
        <w:rPr>
          <w:rFonts w:ascii="Georgia" w:hAnsi="Georgia"/>
          <w:color w:val="231F20"/>
          <w:spacing w:val="3"/>
          <w:sz w:val="18"/>
        </w:rPr>
        <w:t> </w:t>
      </w:r>
      <w:r>
        <w:rPr>
          <w:rFonts w:ascii="Georgia" w:hAnsi="Georgia"/>
          <w:color w:val="231F20"/>
          <w:sz w:val="18"/>
        </w:rPr>
        <w:t>для</w:t>
      </w:r>
      <w:r>
        <w:rPr>
          <w:rFonts w:ascii="Georgia" w:hAnsi="Georgia"/>
          <w:color w:val="231F20"/>
          <w:spacing w:val="3"/>
          <w:sz w:val="18"/>
        </w:rPr>
        <w:t> </w:t>
      </w:r>
      <w:r>
        <w:rPr>
          <w:rFonts w:ascii="Georgia" w:hAnsi="Georgia"/>
          <w:color w:val="231F20"/>
          <w:sz w:val="18"/>
        </w:rPr>
        <w:t>адаптации</w:t>
      </w:r>
      <w:r>
        <w:rPr>
          <w:rFonts w:ascii="Georgia" w:hAnsi="Georgia"/>
          <w:color w:val="231F20"/>
          <w:spacing w:val="3"/>
          <w:sz w:val="18"/>
        </w:rPr>
        <w:t> </w:t>
      </w:r>
      <w:r>
        <w:rPr>
          <w:rFonts w:ascii="Georgia" w:hAnsi="Georgia"/>
          <w:color w:val="231F20"/>
          <w:sz w:val="18"/>
        </w:rPr>
        <w:t>детей</w:t>
      </w:r>
      <w:r>
        <w:rPr>
          <w:rFonts w:ascii="Georgia" w:hAnsi="Georgia"/>
          <w:color w:val="231F20"/>
          <w:spacing w:val="3"/>
          <w:sz w:val="18"/>
        </w:rPr>
        <w:t> </w:t>
      </w:r>
      <w:r>
        <w:rPr>
          <w:rFonts w:ascii="Georgia" w:hAnsi="Georgia"/>
          <w:color w:val="231F20"/>
          <w:sz w:val="18"/>
        </w:rPr>
        <w:t>...</w:t>
      </w:r>
      <w:r>
        <w:rPr>
          <w:rFonts w:ascii="Georgia" w:hAnsi="Georgia"/>
          <w:color w:val="231F20"/>
          <w:spacing w:val="3"/>
          <w:sz w:val="18"/>
        </w:rPr>
        <w:t> </w:t>
      </w:r>
      <w:r>
        <w:rPr>
          <w:rFonts w:ascii="Georgia" w:hAnsi="Georgia"/>
          <w:color w:val="231F20"/>
          <w:sz w:val="18"/>
        </w:rPr>
        <w:t>во</w:t>
      </w:r>
      <w:r>
        <w:rPr>
          <w:rFonts w:ascii="Georgia" w:hAnsi="Georgia"/>
          <w:color w:val="231F20"/>
          <w:spacing w:val="4"/>
          <w:sz w:val="18"/>
        </w:rPr>
        <w:t> </w:t>
      </w:r>
      <w:r>
        <w:rPr>
          <w:rFonts w:ascii="Georgia" w:hAnsi="Georgia"/>
          <w:color w:val="231F20"/>
          <w:spacing w:val="-2"/>
          <w:sz w:val="18"/>
        </w:rPr>
        <w:t>взаимодействии...</w:t>
      </w:r>
    </w:p>
    <w:p>
      <w:pPr>
        <w:pStyle w:val="BodyText"/>
        <w:spacing w:line="237" w:lineRule="auto" w:before="114"/>
        <w:ind w:firstLine="0"/>
      </w:pPr>
      <w:r>
        <w:rPr>
          <w:color w:val="231F20"/>
        </w:rPr>
        <w:t>ворению</w:t>
      </w:r>
      <w:r>
        <w:rPr>
          <w:color w:val="231F20"/>
          <w:spacing w:val="-13"/>
        </w:rPr>
        <w:t> </w:t>
      </w:r>
      <w:r>
        <w:rPr>
          <w:color w:val="231F20"/>
        </w:rPr>
        <w:t>требований</w:t>
      </w:r>
      <w:r>
        <w:rPr>
          <w:color w:val="231F20"/>
          <w:spacing w:val="-12"/>
        </w:rPr>
        <w:t> </w:t>
      </w:r>
      <w:r>
        <w:rPr>
          <w:color w:val="231F20"/>
        </w:rPr>
        <w:t>клиентов.</w:t>
      </w:r>
      <w:r>
        <w:rPr>
          <w:color w:val="231F20"/>
          <w:spacing w:val="-13"/>
        </w:rPr>
        <w:t> </w:t>
      </w:r>
      <w:r>
        <w:rPr>
          <w:color w:val="231F20"/>
        </w:rPr>
        <w:t>Одновременно</w:t>
      </w:r>
      <w:r>
        <w:rPr>
          <w:color w:val="231F20"/>
          <w:spacing w:val="-12"/>
        </w:rPr>
        <w:t> </w:t>
      </w:r>
      <w:r>
        <w:rPr>
          <w:color w:val="231F20"/>
        </w:rPr>
        <w:t>с</w:t>
      </w:r>
      <w:r>
        <w:rPr>
          <w:color w:val="231F20"/>
          <w:spacing w:val="-13"/>
        </w:rPr>
        <w:t> </w:t>
      </w:r>
      <w:r>
        <w:rPr>
          <w:color w:val="231F20"/>
        </w:rPr>
        <w:t>промышленностью</w:t>
      </w:r>
      <w:r>
        <w:rPr>
          <w:color w:val="231F20"/>
          <w:spacing w:val="-12"/>
        </w:rPr>
        <w:t> </w:t>
      </w:r>
      <w:r>
        <w:rPr>
          <w:color w:val="231F20"/>
        </w:rPr>
        <w:t>образовательные учреждения также сосредоточились на использовании гибких методов в академиче- </w:t>
      </w:r>
      <w:r>
        <w:rPr>
          <w:color w:val="231F20"/>
          <w:spacing w:val="-2"/>
        </w:rPr>
        <w:t>ской</w:t>
      </w:r>
      <w:r>
        <w:rPr>
          <w:color w:val="231F20"/>
          <w:spacing w:val="-3"/>
        </w:rPr>
        <w:t> </w:t>
      </w:r>
      <w:r>
        <w:rPr>
          <w:color w:val="231F20"/>
          <w:spacing w:val="-2"/>
        </w:rPr>
        <w:t>среде,</w:t>
      </w:r>
      <w:r>
        <w:rPr>
          <w:color w:val="231F20"/>
          <w:spacing w:val="-3"/>
        </w:rPr>
        <w:t> </w:t>
      </w:r>
      <w:r>
        <w:rPr>
          <w:color w:val="231F20"/>
          <w:spacing w:val="-2"/>
        </w:rPr>
        <w:t>что</w:t>
      </w:r>
      <w:r>
        <w:rPr>
          <w:color w:val="231F20"/>
          <w:spacing w:val="-3"/>
        </w:rPr>
        <w:t> </w:t>
      </w:r>
      <w:r>
        <w:rPr>
          <w:color w:val="231F20"/>
          <w:spacing w:val="-2"/>
        </w:rPr>
        <w:t>привело</w:t>
      </w:r>
      <w:r>
        <w:rPr>
          <w:color w:val="231F20"/>
          <w:spacing w:val="-3"/>
        </w:rPr>
        <w:t> </w:t>
      </w:r>
      <w:r>
        <w:rPr>
          <w:color w:val="231F20"/>
          <w:spacing w:val="-2"/>
        </w:rPr>
        <w:t>к</w:t>
      </w:r>
      <w:r>
        <w:rPr>
          <w:color w:val="231F20"/>
          <w:spacing w:val="-3"/>
        </w:rPr>
        <w:t> </w:t>
      </w:r>
      <w:r>
        <w:rPr>
          <w:color w:val="231F20"/>
          <w:spacing w:val="-2"/>
        </w:rPr>
        <w:t>тому,</w:t>
      </w:r>
      <w:r>
        <w:rPr>
          <w:color w:val="231F20"/>
          <w:spacing w:val="-3"/>
        </w:rPr>
        <w:t> </w:t>
      </w:r>
      <w:r>
        <w:rPr>
          <w:color w:val="231F20"/>
          <w:spacing w:val="-2"/>
        </w:rPr>
        <w:t>что</w:t>
      </w:r>
      <w:r>
        <w:rPr>
          <w:color w:val="231F20"/>
          <w:spacing w:val="-3"/>
        </w:rPr>
        <w:t> </w:t>
      </w:r>
      <w:r>
        <w:rPr>
          <w:i/>
          <w:color w:val="231F20"/>
          <w:spacing w:val="-2"/>
        </w:rPr>
        <w:t>Scrum</w:t>
      </w:r>
      <w:r>
        <w:rPr>
          <w:i/>
          <w:color w:val="231F20"/>
          <w:spacing w:val="-3"/>
        </w:rPr>
        <w:t> </w:t>
      </w:r>
      <w:r>
        <w:rPr>
          <w:color w:val="231F20"/>
          <w:spacing w:val="-2"/>
        </w:rPr>
        <w:t>начал</w:t>
      </w:r>
      <w:r>
        <w:rPr>
          <w:color w:val="231F20"/>
          <w:spacing w:val="-3"/>
        </w:rPr>
        <w:t> </w:t>
      </w:r>
      <w:r>
        <w:rPr>
          <w:color w:val="231F20"/>
          <w:spacing w:val="-2"/>
        </w:rPr>
        <w:t>рассматриваться</w:t>
      </w:r>
      <w:r>
        <w:rPr>
          <w:color w:val="231F20"/>
          <w:spacing w:val="-3"/>
        </w:rPr>
        <w:t> </w:t>
      </w:r>
      <w:r>
        <w:rPr>
          <w:color w:val="231F20"/>
          <w:spacing w:val="-2"/>
        </w:rPr>
        <w:t>как</w:t>
      </w:r>
      <w:r>
        <w:rPr>
          <w:color w:val="231F20"/>
          <w:spacing w:val="-3"/>
        </w:rPr>
        <w:t> </w:t>
      </w:r>
      <w:r>
        <w:rPr>
          <w:color w:val="231F20"/>
          <w:spacing w:val="-2"/>
        </w:rPr>
        <w:t>образовательная </w:t>
      </w:r>
      <w:r>
        <w:rPr>
          <w:color w:val="231F20"/>
        </w:rPr>
        <w:t>технология, имеющая большой потенциал.</w:t>
      </w:r>
    </w:p>
    <w:p>
      <w:pPr>
        <w:pStyle w:val="BodyText"/>
        <w:spacing w:before="3"/>
      </w:pPr>
      <w:r>
        <w:rPr>
          <w:color w:val="231F20"/>
        </w:rPr>
        <w:t>В 2013 г. голландский профессор естественных наук Вилли Вейнандс предло- жил педагогическое применение Scrum. Он является инициатором и основателем </w:t>
      </w:r>
      <w:r>
        <w:rPr>
          <w:i/>
          <w:color w:val="231F20"/>
        </w:rPr>
        <w:t>eduScrum </w:t>
      </w:r>
      <w:r>
        <w:rPr>
          <w:color w:val="231F20"/>
        </w:rPr>
        <w:t>и использует процедуру, роли и инструменты </w:t>
      </w:r>
      <w:r>
        <w:rPr>
          <w:i/>
          <w:color w:val="231F20"/>
        </w:rPr>
        <w:t>Scrum </w:t>
      </w:r>
      <w:r>
        <w:rPr>
          <w:color w:val="231F20"/>
        </w:rPr>
        <w:t>в классе. По мнению Devedzic и Milenkovic (2011), фреймворк eduScrum, применяемый в образовании, способствует приобретению учащимися навыков, возникающих при столкновении с реальными повседневными рабочими проблемами, а не при выполнении тестов или теоретических упражнений.</w:t>
      </w:r>
    </w:p>
    <w:p>
      <w:pPr>
        <w:pStyle w:val="BodyText"/>
        <w:spacing w:line="237" w:lineRule="auto"/>
      </w:pPr>
      <w:r>
        <w:rPr>
          <w:color w:val="231F20"/>
        </w:rPr>
        <w:t>В </w:t>
      </w:r>
      <w:r>
        <w:rPr>
          <w:i/>
          <w:color w:val="231F20"/>
        </w:rPr>
        <w:t>eduScrum </w:t>
      </w:r>
      <w:r>
        <w:rPr>
          <w:color w:val="231F20"/>
        </w:rPr>
        <w:t>существуют три основные стадии процесса: стендап, обзор спринта</w:t>
      </w:r>
      <w:r>
        <w:rPr>
          <w:color w:val="231F20"/>
          <w:spacing w:val="80"/>
        </w:rPr>
        <w:t> </w:t>
      </w:r>
      <w:r>
        <w:rPr>
          <w:color w:val="231F20"/>
        </w:rPr>
        <w:t>и</w:t>
      </w:r>
      <w:r>
        <w:rPr>
          <w:color w:val="231F20"/>
          <w:spacing w:val="-7"/>
        </w:rPr>
        <w:t> </w:t>
      </w:r>
      <w:r>
        <w:rPr>
          <w:color w:val="231F20"/>
        </w:rPr>
        <w:t>ретроспектива</w:t>
      </w:r>
      <w:r>
        <w:rPr>
          <w:color w:val="231F20"/>
          <w:spacing w:val="-6"/>
        </w:rPr>
        <w:t> </w:t>
      </w:r>
      <w:r>
        <w:rPr>
          <w:color w:val="231F20"/>
        </w:rPr>
        <w:t>спринта.</w:t>
      </w:r>
      <w:r>
        <w:rPr>
          <w:color w:val="231F20"/>
          <w:spacing w:val="-6"/>
        </w:rPr>
        <w:t> </w:t>
      </w:r>
      <w:r>
        <w:rPr>
          <w:color w:val="231F20"/>
        </w:rPr>
        <w:t>Стендап</w:t>
      </w:r>
      <w:r>
        <w:rPr>
          <w:color w:val="231F20"/>
          <w:spacing w:val="-7"/>
        </w:rPr>
        <w:t> </w:t>
      </w:r>
      <w:r>
        <w:rPr>
          <w:color w:val="231F20"/>
        </w:rPr>
        <w:t>происходит</w:t>
      </w:r>
      <w:r>
        <w:rPr>
          <w:color w:val="231F20"/>
          <w:spacing w:val="-6"/>
        </w:rPr>
        <w:t> </w:t>
      </w:r>
      <w:r>
        <w:rPr>
          <w:color w:val="231F20"/>
        </w:rPr>
        <w:t>в</w:t>
      </w:r>
      <w:r>
        <w:rPr>
          <w:color w:val="231F20"/>
          <w:spacing w:val="-7"/>
        </w:rPr>
        <w:t> </w:t>
      </w:r>
      <w:r>
        <w:rPr>
          <w:color w:val="231F20"/>
        </w:rPr>
        <w:t>начале</w:t>
      </w:r>
      <w:r>
        <w:rPr>
          <w:color w:val="231F20"/>
          <w:spacing w:val="-6"/>
        </w:rPr>
        <w:t> </w:t>
      </w:r>
      <w:r>
        <w:rPr>
          <w:color w:val="231F20"/>
        </w:rPr>
        <w:t>учебного</w:t>
      </w:r>
      <w:r>
        <w:rPr>
          <w:color w:val="231F20"/>
          <w:spacing w:val="-6"/>
        </w:rPr>
        <w:t> </w:t>
      </w:r>
      <w:r>
        <w:rPr>
          <w:color w:val="231F20"/>
        </w:rPr>
        <w:t>дня</w:t>
      </w:r>
      <w:r>
        <w:rPr>
          <w:color w:val="231F20"/>
          <w:spacing w:val="-6"/>
        </w:rPr>
        <w:t> </w:t>
      </w:r>
      <w:r>
        <w:rPr>
          <w:color w:val="231F20"/>
        </w:rPr>
        <w:t>и</w:t>
      </w:r>
      <w:r>
        <w:rPr>
          <w:color w:val="231F20"/>
          <w:spacing w:val="-7"/>
        </w:rPr>
        <w:t> </w:t>
      </w:r>
      <w:r>
        <w:rPr>
          <w:color w:val="231F20"/>
        </w:rPr>
        <w:t>активизирует внимание учащихся, подготавливая их к режиму работы. В ретроспективе спринта группа</w:t>
      </w:r>
      <w:r>
        <w:rPr>
          <w:color w:val="231F20"/>
          <w:spacing w:val="-2"/>
        </w:rPr>
        <w:t> </w:t>
      </w:r>
      <w:r>
        <w:rPr>
          <w:color w:val="231F20"/>
        </w:rPr>
        <w:t>должна</w:t>
      </w:r>
      <w:r>
        <w:rPr>
          <w:color w:val="231F20"/>
          <w:spacing w:val="-2"/>
        </w:rPr>
        <w:t> </w:t>
      </w:r>
      <w:r>
        <w:rPr>
          <w:color w:val="231F20"/>
        </w:rPr>
        <w:t>написать</w:t>
      </w:r>
      <w:r>
        <w:rPr>
          <w:color w:val="231F20"/>
          <w:spacing w:val="-2"/>
        </w:rPr>
        <w:t> </w:t>
      </w:r>
      <w:r>
        <w:rPr>
          <w:color w:val="231F20"/>
        </w:rPr>
        <w:t>краткий</w:t>
      </w:r>
      <w:r>
        <w:rPr>
          <w:color w:val="231F20"/>
          <w:spacing w:val="-2"/>
        </w:rPr>
        <w:t> </w:t>
      </w:r>
      <w:r>
        <w:rPr>
          <w:color w:val="231F20"/>
        </w:rPr>
        <w:t>обзор</w:t>
      </w:r>
      <w:r>
        <w:rPr>
          <w:color w:val="231F20"/>
          <w:spacing w:val="-2"/>
        </w:rPr>
        <w:t> </w:t>
      </w:r>
      <w:r>
        <w:rPr>
          <w:color w:val="231F20"/>
        </w:rPr>
        <w:t>3</w:t>
      </w:r>
      <w:r>
        <w:rPr>
          <w:color w:val="231F20"/>
          <w:spacing w:val="-2"/>
        </w:rPr>
        <w:t> </w:t>
      </w:r>
      <w:r>
        <w:rPr>
          <w:color w:val="231F20"/>
        </w:rPr>
        <w:t>вопросов,</w:t>
      </w:r>
      <w:r>
        <w:rPr>
          <w:color w:val="231F20"/>
          <w:spacing w:val="-2"/>
        </w:rPr>
        <w:t> </w:t>
      </w:r>
      <w:r>
        <w:rPr>
          <w:color w:val="231F20"/>
        </w:rPr>
        <w:t>связанных</w:t>
      </w:r>
      <w:r>
        <w:rPr>
          <w:color w:val="231F20"/>
          <w:spacing w:val="-2"/>
        </w:rPr>
        <w:t> </w:t>
      </w:r>
      <w:r>
        <w:rPr>
          <w:color w:val="231F20"/>
        </w:rPr>
        <w:t>с</w:t>
      </w:r>
      <w:r>
        <w:rPr>
          <w:color w:val="231F20"/>
          <w:spacing w:val="-2"/>
        </w:rPr>
        <w:t> </w:t>
      </w:r>
      <w:r>
        <w:rPr>
          <w:color w:val="231F20"/>
        </w:rPr>
        <w:t>работой</w:t>
      </w:r>
      <w:r>
        <w:rPr>
          <w:color w:val="231F20"/>
          <w:spacing w:val="-2"/>
        </w:rPr>
        <w:t> </w:t>
      </w:r>
      <w:r>
        <w:rPr>
          <w:color w:val="231F20"/>
        </w:rPr>
        <w:t>команды</w:t>
      </w:r>
      <w:r>
        <w:rPr>
          <w:color w:val="231F20"/>
          <w:spacing w:val="-2"/>
        </w:rPr>
        <w:t> </w:t>
      </w:r>
      <w:r>
        <w:rPr>
          <w:color w:val="231F20"/>
        </w:rPr>
        <w:t>во время спринта: что прошло хорошо, что пошло не так и что необходимо улучшить в следующем</w:t>
      </w:r>
      <w:r>
        <w:rPr>
          <w:color w:val="231F20"/>
          <w:spacing w:val="-5"/>
        </w:rPr>
        <w:t> </w:t>
      </w:r>
      <w:r>
        <w:rPr>
          <w:color w:val="231F20"/>
        </w:rPr>
        <w:t>спринте.</w:t>
      </w:r>
      <w:r>
        <w:rPr>
          <w:color w:val="231F20"/>
          <w:spacing w:val="-5"/>
        </w:rPr>
        <w:t> </w:t>
      </w:r>
      <w:r>
        <w:rPr>
          <w:color w:val="231F20"/>
        </w:rPr>
        <w:t>Уже</w:t>
      </w:r>
      <w:r>
        <w:rPr>
          <w:color w:val="231F20"/>
          <w:spacing w:val="-5"/>
        </w:rPr>
        <w:t> </w:t>
      </w:r>
      <w:r>
        <w:rPr>
          <w:color w:val="231F20"/>
        </w:rPr>
        <w:t>в</w:t>
      </w:r>
      <w:r>
        <w:rPr>
          <w:color w:val="231F20"/>
          <w:spacing w:val="-5"/>
        </w:rPr>
        <w:t> </w:t>
      </w:r>
      <w:r>
        <w:rPr>
          <w:color w:val="231F20"/>
        </w:rPr>
        <w:t>обзоре</w:t>
      </w:r>
      <w:r>
        <w:rPr>
          <w:color w:val="231F20"/>
          <w:spacing w:val="-5"/>
        </w:rPr>
        <w:t> </w:t>
      </w:r>
      <w:r>
        <w:rPr>
          <w:color w:val="231F20"/>
        </w:rPr>
        <w:t>sprint</w:t>
      </w:r>
      <w:r>
        <w:rPr>
          <w:color w:val="231F20"/>
          <w:spacing w:val="-5"/>
        </w:rPr>
        <w:t> </w:t>
      </w:r>
      <w:r>
        <w:rPr>
          <w:color w:val="231F20"/>
        </w:rPr>
        <w:t>артефакты</w:t>
      </w:r>
      <w:r>
        <w:rPr>
          <w:color w:val="231F20"/>
          <w:spacing w:val="-5"/>
        </w:rPr>
        <w:t> </w:t>
      </w:r>
      <w:r>
        <w:rPr>
          <w:color w:val="231F20"/>
        </w:rPr>
        <w:t>eduScrum</w:t>
      </w:r>
      <w:r>
        <w:rPr>
          <w:color w:val="231F20"/>
          <w:spacing w:val="-5"/>
        </w:rPr>
        <w:t> </w:t>
      </w:r>
      <w:r>
        <w:rPr>
          <w:color w:val="231F20"/>
        </w:rPr>
        <w:t>обновляются,</w:t>
      </w:r>
      <w:r>
        <w:rPr>
          <w:color w:val="231F20"/>
          <w:spacing w:val="-5"/>
        </w:rPr>
        <w:t> </w:t>
      </w:r>
      <w:r>
        <w:rPr>
          <w:color w:val="231F20"/>
        </w:rPr>
        <w:t>и</w:t>
      </w:r>
      <w:r>
        <w:rPr>
          <w:color w:val="231F20"/>
          <w:spacing w:val="-5"/>
        </w:rPr>
        <w:t> </w:t>
      </w:r>
      <w:r>
        <w:rPr>
          <w:color w:val="231F20"/>
        </w:rPr>
        <w:t>можно оценить фактический статус проекта. Чтобы гарантировать наилучшие результаты в процессе</w:t>
      </w:r>
      <w:r>
        <w:rPr>
          <w:color w:val="231F20"/>
          <w:spacing w:val="-6"/>
        </w:rPr>
        <w:t> </w:t>
      </w:r>
      <w:r>
        <w:rPr>
          <w:color w:val="231F20"/>
        </w:rPr>
        <w:t>преподавания</w:t>
      </w:r>
      <w:r>
        <w:rPr>
          <w:color w:val="231F20"/>
          <w:spacing w:val="-6"/>
        </w:rPr>
        <w:t> </w:t>
      </w:r>
      <w:r>
        <w:rPr>
          <w:color w:val="231F20"/>
        </w:rPr>
        <w:t>и</w:t>
      </w:r>
      <w:r>
        <w:rPr>
          <w:color w:val="231F20"/>
          <w:spacing w:val="-6"/>
        </w:rPr>
        <w:t> </w:t>
      </w:r>
      <w:r>
        <w:rPr>
          <w:color w:val="231F20"/>
        </w:rPr>
        <w:t>обучения,</w:t>
      </w:r>
      <w:r>
        <w:rPr>
          <w:color w:val="231F20"/>
          <w:spacing w:val="-6"/>
        </w:rPr>
        <w:t> </w:t>
      </w:r>
      <w:r>
        <w:rPr>
          <w:color w:val="231F20"/>
        </w:rPr>
        <w:t>учителю</w:t>
      </w:r>
      <w:r>
        <w:rPr>
          <w:color w:val="231F20"/>
          <w:spacing w:val="-6"/>
        </w:rPr>
        <w:t> </w:t>
      </w:r>
      <w:r>
        <w:rPr>
          <w:color w:val="231F20"/>
        </w:rPr>
        <w:t>необходимо</w:t>
      </w:r>
      <w:r>
        <w:rPr>
          <w:color w:val="231F20"/>
          <w:spacing w:val="-6"/>
        </w:rPr>
        <w:t> </w:t>
      </w:r>
      <w:r>
        <w:rPr>
          <w:color w:val="231F20"/>
        </w:rPr>
        <w:t>развить</w:t>
      </w:r>
      <w:r>
        <w:rPr>
          <w:color w:val="231F20"/>
          <w:spacing w:val="-6"/>
        </w:rPr>
        <w:t> </w:t>
      </w:r>
      <w:r>
        <w:rPr>
          <w:color w:val="231F20"/>
        </w:rPr>
        <w:t>набор</w:t>
      </w:r>
      <w:r>
        <w:rPr>
          <w:color w:val="231F20"/>
          <w:spacing w:val="-6"/>
        </w:rPr>
        <w:t> </w:t>
      </w:r>
      <w:r>
        <w:rPr>
          <w:color w:val="231F20"/>
        </w:rPr>
        <w:t>навыков</w:t>
      </w:r>
      <w:r>
        <w:rPr>
          <w:color w:val="231F20"/>
          <w:spacing w:val="-6"/>
        </w:rPr>
        <w:t> </w:t>
      </w:r>
      <w:r>
        <w:rPr>
          <w:color w:val="231F20"/>
        </w:rPr>
        <w:t>для подготовки занятий, применения соответствующих дидактических ресурсов на лич- ных встречах и правильной оценки понимания студентами разработанных исследо- ваний.</w:t>
      </w:r>
      <w:r>
        <w:rPr>
          <w:color w:val="231F20"/>
          <w:spacing w:val="-12"/>
        </w:rPr>
        <w:t> </w:t>
      </w:r>
      <w:r>
        <w:rPr>
          <w:color w:val="2B2E30"/>
        </w:rPr>
        <w:t>Основная</w:t>
      </w:r>
      <w:r>
        <w:rPr>
          <w:color w:val="2B2E30"/>
          <w:spacing w:val="-13"/>
        </w:rPr>
        <w:t> </w:t>
      </w:r>
      <w:r>
        <w:rPr>
          <w:color w:val="2B2E30"/>
        </w:rPr>
        <w:t>идея</w:t>
      </w:r>
      <w:r>
        <w:rPr>
          <w:color w:val="2B2E30"/>
          <w:spacing w:val="-12"/>
        </w:rPr>
        <w:t> </w:t>
      </w:r>
      <w:r>
        <w:rPr>
          <w:color w:val="2B2E30"/>
        </w:rPr>
        <w:t>заключается</w:t>
      </w:r>
      <w:r>
        <w:rPr>
          <w:color w:val="2B2E30"/>
          <w:spacing w:val="-13"/>
        </w:rPr>
        <w:t> </w:t>
      </w:r>
      <w:r>
        <w:rPr>
          <w:color w:val="2B2E30"/>
        </w:rPr>
        <w:t>в</w:t>
      </w:r>
      <w:r>
        <w:rPr>
          <w:color w:val="2B2E30"/>
          <w:spacing w:val="-11"/>
        </w:rPr>
        <w:t> </w:t>
      </w:r>
      <w:r>
        <w:rPr>
          <w:color w:val="2B2E30"/>
        </w:rPr>
        <w:t>осознанном</w:t>
      </w:r>
      <w:r>
        <w:rPr>
          <w:color w:val="2B2E30"/>
          <w:spacing w:val="-12"/>
        </w:rPr>
        <w:t> </w:t>
      </w:r>
      <w:r>
        <w:rPr>
          <w:color w:val="2B2E30"/>
        </w:rPr>
        <w:t>усвоении</w:t>
      </w:r>
      <w:r>
        <w:rPr>
          <w:color w:val="2B2E30"/>
          <w:spacing w:val="-12"/>
        </w:rPr>
        <w:t> </w:t>
      </w:r>
      <w:r>
        <w:rPr>
          <w:color w:val="2B2E30"/>
        </w:rPr>
        <w:t>нового</w:t>
      </w:r>
      <w:r>
        <w:rPr>
          <w:color w:val="2B2E30"/>
          <w:spacing w:val="-12"/>
        </w:rPr>
        <w:t> </w:t>
      </w:r>
      <w:r>
        <w:rPr>
          <w:color w:val="2B2E30"/>
        </w:rPr>
        <w:t>материала</w:t>
      </w:r>
      <w:r>
        <w:rPr>
          <w:color w:val="2B2E30"/>
          <w:spacing w:val="-12"/>
        </w:rPr>
        <w:t> </w:t>
      </w:r>
      <w:r>
        <w:rPr>
          <w:color w:val="2B2E30"/>
        </w:rPr>
        <w:t>обучаю- щимися через их тесное взаимодействие с другими участниками процесса, а также в изучении ими своих собственных возможностей (Лукашенко, Телегина, 2019).</w:t>
      </w:r>
    </w:p>
    <w:p>
      <w:pPr>
        <w:pStyle w:val="BodyText"/>
      </w:pPr>
      <w:r>
        <w:rPr>
          <w:color w:val="2B2E30"/>
        </w:rPr>
        <w:t>Метод</w:t>
      </w:r>
      <w:r>
        <w:rPr>
          <w:color w:val="2B2E30"/>
          <w:spacing w:val="-11"/>
        </w:rPr>
        <w:t> </w:t>
      </w:r>
      <w:r>
        <w:rPr>
          <w:i/>
          <w:color w:val="2B2E30"/>
        </w:rPr>
        <w:t>eduScrum</w:t>
      </w:r>
      <w:r>
        <w:rPr>
          <w:i/>
          <w:color w:val="2B2E30"/>
          <w:spacing w:val="-11"/>
        </w:rPr>
        <w:t> </w:t>
      </w:r>
      <w:r>
        <w:rPr>
          <w:color w:val="2B2E30"/>
        </w:rPr>
        <w:t>подразумевает</w:t>
      </w:r>
      <w:r>
        <w:rPr>
          <w:color w:val="2B2E30"/>
          <w:spacing w:val="-11"/>
        </w:rPr>
        <w:t> </w:t>
      </w:r>
      <w:r>
        <w:rPr>
          <w:color w:val="2B2E30"/>
        </w:rPr>
        <w:t>распределение</w:t>
      </w:r>
      <w:r>
        <w:rPr>
          <w:color w:val="2B2E30"/>
          <w:spacing w:val="-11"/>
        </w:rPr>
        <w:t> </w:t>
      </w:r>
      <w:r>
        <w:rPr>
          <w:color w:val="2B2E30"/>
        </w:rPr>
        <w:t>ролей</w:t>
      </w:r>
      <w:r>
        <w:rPr>
          <w:color w:val="2B2E30"/>
          <w:spacing w:val="-11"/>
        </w:rPr>
        <w:t> </w:t>
      </w:r>
      <w:r>
        <w:rPr>
          <w:color w:val="2B2E30"/>
        </w:rPr>
        <w:t>между</w:t>
      </w:r>
      <w:r>
        <w:rPr>
          <w:color w:val="2B2E30"/>
          <w:spacing w:val="-11"/>
        </w:rPr>
        <w:t> </w:t>
      </w:r>
      <w:r>
        <w:rPr>
          <w:color w:val="2B2E30"/>
        </w:rPr>
        <w:t>участниками</w:t>
      </w:r>
      <w:r>
        <w:rPr>
          <w:color w:val="2B2E30"/>
          <w:spacing w:val="-11"/>
        </w:rPr>
        <w:t> </w:t>
      </w:r>
      <w:r>
        <w:rPr>
          <w:color w:val="2B2E30"/>
        </w:rPr>
        <w:t>процес- са.</w:t>
      </w:r>
      <w:r>
        <w:rPr>
          <w:color w:val="2B2E30"/>
          <w:spacing w:val="-9"/>
        </w:rPr>
        <w:t> </w:t>
      </w:r>
      <w:r>
        <w:rPr>
          <w:color w:val="2B2E30"/>
        </w:rPr>
        <w:t>«Держатель</w:t>
      </w:r>
      <w:r>
        <w:rPr>
          <w:color w:val="2B2E30"/>
          <w:spacing w:val="-9"/>
        </w:rPr>
        <w:t> </w:t>
      </w:r>
      <w:r>
        <w:rPr>
          <w:color w:val="2B2E30"/>
        </w:rPr>
        <w:t>продукта»</w:t>
      </w:r>
      <w:r>
        <w:rPr>
          <w:color w:val="2B2E30"/>
          <w:spacing w:val="-9"/>
        </w:rPr>
        <w:t> </w:t>
      </w:r>
      <w:r>
        <w:rPr>
          <w:color w:val="2B2E30"/>
        </w:rPr>
        <w:t>–</w:t>
      </w:r>
      <w:r>
        <w:rPr>
          <w:color w:val="2B2E30"/>
          <w:spacing w:val="-9"/>
        </w:rPr>
        <w:t> </w:t>
      </w:r>
      <w:r>
        <w:rPr>
          <w:color w:val="2B2E30"/>
        </w:rPr>
        <w:t>это</w:t>
      </w:r>
      <w:r>
        <w:rPr>
          <w:color w:val="2B2E30"/>
          <w:spacing w:val="-9"/>
        </w:rPr>
        <w:t> </w:t>
      </w:r>
      <w:r>
        <w:rPr>
          <w:color w:val="2B2E30"/>
        </w:rPr>
        <w:t>преподаватель,</w:t>
      </w:r>
      <w:r>
        <w:rPr>
          <w:color w:val="2B2E30"/>
          <w:spacing w:val="-9"/>
        </w:rPr>
        <w:t> </w:t>
      </w:r>
      <w:r>
        <w:rPr>
          <w:color w:val="2B2E30"/>
        </w:rPr>
        <w:t>который</w:t>
      </w:r>
      <w:r>
        <w:rPr>
          <w:color w:val="2B2E30"/>
          <w:spacing w:val="-9"/>
        </w:rPr>
        <w:t> </w:t>
      </w:r>
      <w:r>
        <w:rPr>
          <w:color w:val="2B2E30"/>
        </w:rPr>
        <w:t>управляет</w:t>
      </w:r>
      <w:r>
        <w:rPr>
          <w:color w:val="2B2E30"/>
          <w:spacing w:val="-9"/>
        </w:rPr>
        <w:t> </w:t>
      </w:r>
      <w:r>
        <w:rPr>
          <w:color w:val="2B2E30"/>
        </w:rPr>
        <w:t>и</w:t>
      </w:r>
      <w:r>
        <w:rPr>
          <w:color w:val="2B2E30"/>
          <w:spacing w:val="-9"/>
        </w:rPr>
        <w:t> </w:t>
      </w:r>
      <w:r>
        <w:rPr>
          <w:color w:val="2B2E30"/>
        </w:rPr>
        <w:t>определяет</w:t>
      </w:r>
      <w:r>
        <w:rPr>
          <w:color w:val="2B2E30"/>
          <w:spacing w:val="-9"/>
        </w:rPr>
        <w:t> </w:t>
      </w:r>
      <w:r>
        <w:rPr>
          <w:color w:val="2B2E30"/>
        </w:rPr>
        <w:t>спи- сок невыполненных работ по продукту. «Скрам-мастер» – один из членов команды, который руководит командой так, чтобы правила Scrum соблюдались должным об- разом. Все остальные – члены команды, они разрабатывают требования «держателя продукта». В начале работы преподаватель выдвигает набор требований, на основа- нии которых формируется бэклог (перечень рабочих задач) продукта. Задачи сгруп- пированы в спринты, каждый из которых длится, как правило, 21 день.</w:t>
      </w:r>
    </w:p>
    <w:p>
      <w:pPr>
        <w:pStyle w:val="BodyText"/>
        <w:spacing w:line="213" w:lineRule="exact"/>
        <w:ind w:left="425" w:right="0" w:firstLine="0"/>
      </w:pPr>
      <w:r>
        <w:rPr>
          <w:color w:val="2B2E30"/>
        </w:rPr>
        <w:t>На</w:t>
      </w:r>
      <w:r>
        <w:rPr>
          <w:color w:val="2B2E30"/>
          <w:spacing w:val="31"/>
        </w:rPr>
        <w:t> </w:t>
      </w:r>
      <w:r>
        <w:rPr>
          <w:color w:val="2B2E30"/>
        </w:rPr>
        <w:t>протяжении</w:t>
      </w:r>
      <w:r>
        <w:rPr>
          <w:color w:val="2B2E30"/>
          <w:spacing w:val="31"/>
        </w:rPr>
        <w:t> </w:t>
      </w:r>
      <w:r>
        <w:rPr>
          <w:color w:val="2B2E30"/>
        </w:rPr>
        <w:t>всего</w:t>
      </w:r>
      <w:r>
        <w:rPr>
          <w:color w:val="2B2E30"/>
          <w:spacing w:val="31"/>
        </w:rPr>
        <w:t> </w:t>
      </w:r>
      <w:r>
        <w:rPr>
          <w:color w:val="2B2E30"/>
        </w:rPr>
        <w:t>спринта</w:t>
      </w:r>
      <w:r>
        <w:rPr>
          <w:color w:val="2B2E30"/>
          <w:spacing w:val="31"/>
        </w:rPr>
        <w:t> </w:t>
      </w:r>
      <w:r>
        <w:rPr>
          <w:color w:val="2B2E30"/>
        </w:rPr>
        <w:t>члены</w:t>
      </w:r>
      <w:r>
        <w:rPr>
          <w:color w:val="2B2E30"/>
          <w:spacing w:val="32"/>
        </w:rPr>
        <w:t> </w:t>
      </w:r>
      <w:r>
        <w:rPr>
          <w:color w:val="2B2E30"/>
        </w:rPr>
        <w:t>команды</w:t>
      </w:r>
      <w:r>
        <w:rPr>
          <w:color w:val="2B2E30"/>
          <w:spacing w:val="31"/>
        </w:rPr>
        <w:t> </w:t>
      </w:r>
      <w:r>
        <w:rPr>
          <w:color w:val="2B2E30"/>
        </w:rPr>
        <w:t>участвуют</w:t>
      </w:r>
      <w:r>
        <w:rPr>
          <w:color w:val="2B2E30"/>
          <w:spacing w:val="31"/>
        </w:rPr>
        <w:t> </w:t>
      </w:r>
      <w:r>
        <w:rPr>
          <w:color w:val="2B2E30"/>
        </w:rPr>
        <w:t>в</w:t>
      </w:r>
      <w:r>
        <w:rPr>
          <w:color w:val="2B2E30"/>
          <w:spacing w:val="31"/>
        </w:rPr>
        <w:t> </w:t>
      </w:r>
      <w:r>
        <w:rPr>
          <w:color w:val="2B2E30"/>
        </w:rPr>
        <w:t>деятельности</w:t>
      </w:r>
      <w:r>
        <w:rPr>
          <w:color w:val="2B2E30"/>
          <w:spacing w:val="31"/>
        </w:rPr>
        <w:t> </w:t>
      </w:r>
      <w:r>
        <w:rPr>
          <w:color w:val="2B2E30"/>
        </w:rPr>
        <w:t>и</w:t>
      </w:r>
      <w:r>
        <w:rPr>
          <w:color w:val="2B2E30"/>
          <w:spacing w:val="32"/>
        </w:rPr>
        <w:t> </w:t>
      </w:r>
      <w:r>
        <w:rPr>
          <w:color w:val="2B2E30"/>
          <w:spacing w:val="-5"/>
        </w:rPr>
        <w:t>по</w:t>
      </w:r>
    </w:p>
    <w:p>
      <w:pPr>
        <w:pStyle w:val="BodyText"/>
        <w:spacing w:line="237" w:lineRule="auto"/>
        <w:ind w:firstLine="0"/>
      </w:pPr>
      <w:r>
        <w:rPr>
          <w:color w:val="2B2E30"/>
        </w:rPr>
        <w:t>окончании должны представить некий продукт. Это может быть, например, отчет с решениями или проект решения какой-то проблемы. Помимо бэклога продукта, в </w:t>
      </w:r>
      <w:r>
        <w:rPr>
          <w:i/>
          <w:color w:val="2B2E30"/>
        </w:rPr>
        <w:t>eduScrum</w:t>
      </w:r>
      <w:r>
        <w:rPr>
          <w:i/>
          <w:color w:val="2B2E30"/>
          <w:spacing w:val="-7"/>
        </w:rPr>
        <w:t> </w:t>
      </w:r>
      <w:r>
        <w:rPr>
          <w:color w:val="2B2E30"/>
        </w:rPr>
        <w:t>есть</w:t>
      </w:r>
      <w:r>
        <w:rPr>
          <w:color w:val="2B2E30"/>
          <w:spacing w:val="-7"/>
        </w:rPr>
        <w:t> </w:t>
      </w:r>
      <w:r>
        <w:rPr>
          <w:color w:val="2B2E30"/>
        </w:rPr>
        <w:t>еще</w:t>
      </w:r>
      <w:r>
        <w:rPr>
          <w:color w:val="2B2E30"/>
          <w:spacing w:val="-7"/>
        </w:rPr>
        <w:t> </w:t>
      </w:r>
      <w:r>
        <w:rPr>
          <w:color w:val="2B2E30"/>
        </w:rPr>
        <w:t>два</w:t>
      </w:r>
      <w:r>
        <w:rPr>
          <w:color w:val="2B2E30"/>
          <w:spacing w:val="-7"/>
        </w:rPr>
        <w:t> </w:t>
      </w:r>
      <w:r>
        <w:rPr>
          <w:color w:val="2B2E30"/>
        </w:rPr>
        <w:t>артефакта:</w:t>
      </w:r>
      <w:r>
        <w:rPr>
          <w:color w:val="2B2E30"/>
          <w:spacing w:val="-7"/>
        </w:rPr>
        <w:t> </w:t>
      </w:r>
      <w:r>
        <w:rPr>
          <w:color w:val="2B2E30"/>
        </w:rPr>
        <w:t>диаграмма</w:t>
      </w:r>
      <w:r>
        <w:rPr>
          <w:color w:val="2B2E30"/>
          <w:spacing w:val="-7"/>
        </w:rPr>
        <w:t> </w:t>
      </w:r>
      <w:r>
        <w:rPr>
          <w:color w:val="2B2E30"/>
        </w:rPr>
        <w:t>выгорания</w:t>
      </w:r>
      <w:r>
        <w:rPr>
          <w:color w:val="2B2E30"/>
          <w:spacing w:val="-7"/>
        </w:rPr>
        <w:t> </w:t>
      </w:r>
      <w:r>
        <w:rPr>
          <w:color w:val="2B2E30"/>
        </w:rPr>
        <w:t>и</w:t>
      </w:r>
      <w:r>
        <w:rPr>
          <w:color w:val="2B2E30"/>
          <w:spacing w:val="-7"/>
        </w:rPr>
        <w:t> </w:t>
      </w:r>
      <w:r>
        <w:rPr>
          <w:color w:val="2B2E30"/>
        </w:rPr>
        <w:t>флипборд.</w:t>
      </w:r>
      <w:r>
        <w:rPr>
          <w:color w:val="2B2E30"/>
          <w:spacing w:val="-7"/>
        </w:rPr>
        <w:t> </w:t>
      </w:r>
      <w:r>
        <w:rPr>
          <w:color w:val="2B2E30"/>
        </w:rPr>
        <w:t>Флипборд</w:t>
      </w:r>
      <w:r>
        <w:rPr>
          <w:color w:val="2B2E30"/>
          <w:spacing w:val="-7"/>
        </w:rPr>
        <w:t> </w:t>
      </w:r>
      <w:r>
        <w:rPr>
          <w:color w:val="2B2E30"/>
        </w:rPr>
        <w:t>–</w:t>
      </w:r>
      <w:r>
        <w:rPr>
          <w:color w:val="2B2E30"/>
          <w:spacing w:val="-7"/>
        </w:rPr>
        <w:t> </w:t>
      </w:r>
      <w:r>
        <w:rPr>
          <w:color w:val="2B2E30"/>
        </w:rPr>
        <w:t>это простая таблица из 3 столбцов, отражающих текущие задачи и стадию работы над ними:</w:t>
      </w:r>
      <w:r>
        <w:rPr>
          <w:color w:val="2B2E30"/>
          <w:spacing w:val="-7"/>
        </w:rPr>
        <w:t> </w:t>
      </w:r>
      <w:r>
        <w:rPr>
          <w:color w:val="2B2E30"/>
        </w:rPr>
        <w:t>что</w:t>
      </w:r>
      <w:r>
        <w:rPr>
          <w:color w:val="2B2E30"/>
          <w:spacing w:val="-7"/>
        </w:rPr>
        <w:t> </w:t>
      </w:r>
      <w:r>
        <w:rPr>
          <w:color w:val="2B2E30"/>
        </w:rPr>
        <w:t>нужно</w:t>
      </w:r>
      <w:r>
        <w:rPr>
          <w:color w:val="2B2E30"/>
          <w:spacing w:val="-7"/>
        </w:rPr>
        <w:t> </w:t>
      </w:r>
      <w:r>
        <w:rPr>
          <w:color w:val="2B2E30"/>
        </w:rPr>
        <w:t>сделать,</w:t>
      </w:r>
      <w:r>
        <w:rPr>
          <w:color w:val="2B2E30"/>
          <w:spacing w:val="-7"/>
        </w:rPr>
        <w:t> </w:t>
      </w:r>
      <w:r>
        <w:rPr>
          <w:color w:val="2B2E30"/>
        </w:rPr>
        <w:t>«в</w:t>
      </w:r>
      <w:r>
        <w:rPr>
          <w:color w:val="2B2E30"/>
          <w:spacing w:val="-7"/>
        </w:rPr>
        <w:t> </w:t>
      </w:r>
      <w:r>
        <w:rPr>
          <w:color w:val="2B2E30"/>
        </w:rPr>
        <w:t>процессе»</w:t>
      </w:r>
      <w:r>
        <w:rPr>
          <w:color w:val="2B2E30"/>
          <w:spacing w:val="-7"/>
        </w:rPr>
        <w:t> </w:t>
      </w:r>
      <w:r>
        <w:rPr>
          <w:color w:val="2B2E30"/>
        </w:rPr>
        <w:t>-</w:t>
      </w:r>
      <w:r>
        <w:rPr>
          <w:color w:val="2B2E30"/>
          <w:spacing w:val="-7"/>
        </w:rPr>
        <w:t> </w:t>
      </w:r>
      <w:r>
        <w:rPr>
          <w:color w:val="2B2E30"/>
        </w:rPr>
        <w:t>что</w:t>
      </w:r>
      <w:r>
        <w:rPr>
          <w:color w:val="2B2E30"/>
          <w:spacing w:val="-7"/>
        </w:rPr>
        <w:t> </w:t>
      </w:r>
      <w:r>
        <w:rPr>
          <w:color w:val="2B2E30"/>
        </w:rPr>
        <w:t>выполняется</w:t>
      </w:r>
      <w:r>
        <w:rPr>
          <w:color w:val="2B2E30"/>
          <w:spacing w:val="-7"/>
        </w:rPr>
        <w:t> </w:t>
      </w:r>
      <w:r>
        <w:rPr>
          <w:color w:val="2B2E30"/>
        </w:rPr>
        <w:t>и</w:t>
      </w:r>
      <w:r>
        <w:rPr>
          <w:color w:val="2B2E30"/>
          <w:spacing w:val="-7"/>
        </w:rPr>
        <w:t> </w:t>
      </w:r>
      <w:r>
        <w:rPr>
          <w:color w:val="2B2E30"/>
        </w:rPr>
        <w:t>что</w:t>
      </w:r>
      <w:r>
        <w:rPr>
          <w:color w:val="2B2E30"/>
          <w:spacing w:val="-7"/>
        </w:rPr>
        <w:t> </w:t>
      </w:r>
      <w:r>
        <w:rPr>
          <w:color w:val="2B2E30"/>
        </w:rPr>
        <w:t>сделано</w:t>
      </w:r>
      <w:r>
        <w:rPr>
          <w:color w:val="2B2E30"/>
          <w:spacing w:val="-7"/>
        </w:rPr>
        <w:t> </w:t>
      </w:r>
      <w:r>
        <w:rPr>
          <w:color w:val="2B2E30"/>
        </w:rPr>
        <w:t>(«Совместно выполненные»). В начале первого спринта все задачи выделяются в столбце «Что сделать». Как только начинается работа над ними, они переходят в столбец «В про- цессе».</w:t>
      </w:r>
      <w:r>
        <w:rPr>
          <w:color w:val="2B2E30"/>
          <w:spacing w:val="-8"/>
        </w:rPr>
        <w:t> </w:t>
      </w:r>
      <w:r>
        <w:rPr>
          <w:color w:val="2B2E30"/>
        </w:rPr>
        <w:t>По</w:t>
      </w:r>
      <w:r>
        <w:rPr>
          <w:color w:val="2B2E30"/>
          <w:spacing w:val="-8"/>
        </w:rPr>
        <w:t> </w:t>
      </w:r>
      <w:r>
        <w:rPr>
          <w:color w:val="2B2E30"/>
        </w:rPr>
        <w:t>завершении</w:t>
      </w:r>
      <w:r>
        <w:rPr>
          <w:color w:val="2B2E30"/>
          <w:spacing w:val="-8"/>
        </w:rPr>
        <w:t> </w:t>
      </w:r>
      <w:r>
        <w:rPr>
          <w:color w:val="2B2E30"/>
        </w:rPr>
        <w:t>работы</w:t>
      </w:r>
      <w:r>
        <w:rPr>
          <w:color w:val="2B2E30"/>
          <w:spacing w:val="-8"/>
        </w:rPr>
        <w:t> </w:t>
      </w:r>
      <w:r>
        <w:rPr>
          <w:color w:val="2B2E30"/>
        </w:rPr>
        <w:t>над</w:t>
      </w:r>
      <w:r>
        <w:rPr>
          <w:color w:val="2B2E30"/>
          <w:spacing w:val="-8"/>
        </w:rPr>
        <w:t> </w:t>
      </w:r>
      <w:r>
        <w:rPr>
          <w:color w:val="2B2E30"/>
        </w:rPr>
        <w:t>задачей</w:t>
      </w:r>
      <w:r>
        <w:rPr>
          <w:color w:val="2B2E30"/>
          <w:spacing w:val="-8"/>
        </w:rPr>
        <w:t> </w:t>
      </w:r>
      <w:r>
        <w:rPr>
          <w:color w:val="2B2E30"/>
        </w:rPr>
        <w:t>группа</w:t>
      </w:r>
      <w:r>
        <w:rPr>
          <w:color w:val="2B2E30"/>
          <w:spacing w:val="-8"/>
        </w:rPr>
        <w:t> </w:t>
      </w:r>
      <w:r>
        <w:rPr>
          <w:color w:val="2B2E30"/>
        </w:rPr>
        <w:t>перемещает</w:t>
      </w:r>
      <w:r>
        <w:rPr>
          <w:color w:val="2B2E30"/>
          <w:spacing w:val="-8"/>
        </w:rPr>
        <w:t> </w:t>
      </w:r>
      <w:r>
        <w:rPr>
          <w:color w:val="2B2E30"/>
        </w:rPr>
        <w:t>ее</w:t>
      </w:r>
      <w:r>
        <w:rPr>
          <w:color w:val="2B2E30"/>
          <w:spacing w:val="-8"/>
        </w:rPr>
        <w:t> </w:t>
      </w:r>
      <w:r>
        <w:rPr>
          <w:color w:val="2B2E30"/>
        </w:rPr>
        <w:t>на</w:t>
      </w:r>
      <w:r>
        <w:rPr>
          <w:color w:val="2B2E30"/>
          <w:spacing w:val="-8"/>
        </w:rPr>
        <w:t> </w:t>
      </w:r>
      <w:r>
        <w:rPr>
          <w:color w:val="2B2E30"/>
        </w:rPr>
        <w:t>листочке</w:t>
      </w:r>
      <w:r>
        <w:rPr>
          <w:color w:val="2B2E30"/>
          <w:spacing w:val="-8"/>
        </w:rPr>
        <w:t> </w:t>
      </w:r>
      <w:r>
        <w:rPr>
          <w:color w:val="2B2E30"/>
        </w:rPr>
        <w:t>в</w:t>
      </w:r>
      <w:r>
        <w:rPr>
          <w:color w:val="2B2E30"/>
          <w:spacing w:val="-8"/>
        </w:rPr>
        <w:t> </w:t>
      </w:r>
      <w:r>
        <w:rPr>
          <w:color w:val="2B2E30"/>
        </w:rPr>
        <w:t>стол- бец</w:t>
      </w:r>
      <w:r>
        <w:rPr>
          <w:color w:val="2B2E30"/>
          <w:spacing w:val="-4"/>
        </w:rPr>
        <w:t> </w:t>
      </w:r>
      <w:r>
        <w:rPr>
          <w:color w:val="2B2E30"/>
        </w:rPr>
        <w:t>«Совместно</w:t>
      </w:r>
      <w:r>
        <w:rPr>
          <w:color w:val="2B2E30"/>
          <w:spacing w:val="-4"/>
        </w:rPr>
        <w:t> </w:t>
      </w:r>
      <w:r>
        <w:rPr>
          <w:color w:val="2B2E30"/>
        </w:rPr>
        <w:t>выполненные».</w:t>
      </w:r>
      <w:r>
        <w:rPr>
          <w:color w:val="2B2E30"/>
          <w:spacing w:val="-4"/>
        </w:rPr>
        <w:t> </w:t>
      </w:r>
      <w:r>
        <w:rPr>
          <w:color w:val="2B2E30"/>
        </w:rPr>
        <w:t>Итоговая</w:t>
      </w:r>
      <w:r>
        <w:rPr>
          <w:color w:val="2B2E30"/>
          <w:spacing w:val="-4"/>
        </w:rPr>
        <w:t> </w:t>
      </w:r>
      <w:r>
        <w:rPr>
          <w:color w:val="2B2E30"/>
        </w:rPr>
        <w:t>таблица</w:t>
      </w:r>
      <w:r>
        <w:rPr>
          <w:color w:val="2B2E30"/>
          <w:spacing w:val="-4"/>
        </w:rPr>
        <w:t> </w:t>
      </w:r>
      <w:r>
        <w:rPr>
          <w:color w:val="2B2E30"/>
        </w:rPr>
        <w:t>позволяет</w:t>
      </w:r>
      <w:r>
        <w:rPr>
          <w:color w:val="2B2E30"/>
          <w:spacing w:val="-4"/>
        </w:rPr>
        <w:t> </w:t>
      </w:r>
      <w:r>
        <w:rPr>
          <w:color w:val="2B2E30"/>
        </w:rPr>
        <w:t>группе</w:t>
      </w:r>
      <w:r>
        <w:rPr>
          <w:color w:val="2B2E30"/>
          <w:spacing w:val="-4"/>
        </w:rPr>
        <w:t> </w:t>
      </w:r>
      <w:r>
        <w:rPr>
          <w:color w:val="2B2E30"/>
        </w:rPr>
        <w:t>контролировать процесс выполнения всех поставленных задач и грамотно планировать работу.</w:t>
      </w:r>
    </w:p>
    <w:p>
      <w:pPr>
        <w:pStyle w:val="BodyText"/>
        <w:spacing w:line="235" w:lineRule="auto" w:before="1"/>
      </w:pPr>
      <w:r>
        <w:rPr>
          <w:color w:val="2B2E30"/>
        </w:rPr>
        <w:t>В</w:t>
      </w:r>
      <w:r>
        <w:rPr>
          <w:color w:val="2B2E30"/>
          <w:spacing w:val="-13"/>
        </w:rPr>
        <w:t> </w:t>
      </w:r>
      <w:r>
        <w:rPr>
          <w:color w:val="2B2E30"/>
        </w:rPr>
        <w:t>дополнение</w:t>
      </w:r>
      <w:r>
        <w:rPr>
          <w:color w:val="2B2E30"/>
          <w:spacing w:val="-12"/>
        </w:rPr>
        <w:t> </w:t>
      </w:r>
      <w:r>
        <w:rPr>
          <w:color w:val="2B2E30"/>
        </w:rPr>
        <w:t>к</w:t>
      </w:r>
      <w:r>
        <w:rPr>
          <w:color w:val="2B2E30"/>
          <w:spacing w:val="-13"/>
        </w:rPr>
        <w:t> </w:t>
      </w:r>
      <w:r>
        <w:rPr>
          <w:color w:val="2B2E30"/>
        </w:rPr>
        <w:t>описанному</w:t>
      </w:r>
      <w:r>
        <w:rPr>
          <w:color w:val="2B2E30"/>
          <w:spacing w:val="-12"/>
        </w:rPr>
        <w:t> </w:t>
      </w:r>
      <w:r>
        <w:rPr>
          <w:color w:val="2B2E30"/>
        </w:rPr>
        <w:t>выше</w:t>
      </w:r>
      <w:r>
        <w:rPr>
          <w:color w:val="2B2E30"/>
          <w:spacing w:val="-13"/>
        </w:rPr>
        <w:t> </w:t>
      </w:r>
      <w:r>
        <w:rPr>
          <w:color w:val="2B2E30"/>
        </w:rPr>
        <w:t>приведем</w:t>
      </w:r>
      <w:r>
        <w:rPr>
          <w:color w:val="2B2E30"/>
          <w:spacing w:val="-12"/>
        </w:rPr>
        <w:t> </w:t>
      </w:r>
      <w:r>
        <w:rPr>
          <w:color w:val="2B2E30"/>
        </w:rPr>
        <w:t>восемь</w:t>
      </w:r>
      <w:r>
        <w:rPr>
          <w:color w:val="2B2E30"/>
          <w:spacing w:val="-13"/>
        </w:rPr>
        <w:t> </w:t>
      </w:r>
      <w:r>
        <w:rPr>
          <w:color w:val="2B2E30"/>
        </w:rPr>
        <w:t>конкретных</w:t>
      </w:r>
      <w:r>
        <w:rPr>
          <w:color w:val="2B2E30"/>
          <w:spacing w:val="-12"/>
        </w:rPr>
        <w:t> </w:t>
      </w:r>
      <w:r>
        <w:rPr>
          <w:color w:val="2B2E30"/>
        </w:rPr>
        <w:t>шагов,</w:t>
      </w:r>
      <w:r>
        <w:rPr>
          <w:color w:val="2B2E30"/>
          <w:spacing w:val="-13"/>
        </w:rPr>
        <w:t> </w:t>
      </w:r>
      <w:r>
        <w:rPr>
          <w:color w:val="2B2E30"/>
        </w:rPr>
        <w:t>необходи- мых для работы по методу </w:t>
      </w:r>
      <w:r>
        <w:rPr>
          <w:i/>
          <w:color w:val="2B2E30"/>
        </w:rPr>
        <w:t>eduScrum</w:t>
      </w:r>
      <w:r>
        <w:rPr>
          <w:color w:val="2B2E30"/>
        </w:rPr>
        <w:t>.</w:t>
      </w:r>
    </w:p>
    <w:p>
      <w:pPr>
        <w:pStyle w:val="BodyText"/>
        <w:spacing w:after="0" w:line="235" w:lineRule="auto"/>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ListParagraph"/>
        <w:numPr>
          <w:ilvl w:val="0"/>
          <w:numId w:val="177"/>
        </w:numPr>
        <w:tabs>
          <w:tab w:pos="424" w:val="left" w:leader="none"/>
        </w:tabs>
        <w:spacing w:line="240" w:lineRule="auto" w:before="112" w:after="0"/>
        <w:ind w:left="424" w:right="0" w:hanging="283"/>
        <w:jc w:val="left"/>
        <w:rPr>
          <w:i/>
          <w:sz w:val="20"/>
        </w:rPr>
      </w:pPr>
      <w:r>
        <w:rPr>
          <w:i/>
          <w:color w:val="231F20"/>
          <w:sz w:val="20"/>
        </w:rPr>
        <w:t>Создать</w:t>
      </w:r>
      <w:r>
        <w:rPr>
          <w:i/>
          <w:color w:val="231F20"/>
          <w:spacing w:val="-10"/>
          <w:sz w:val="20"/>
        </w:rPr>
        <w:t> </w:t>
      </w:r>
      <w:r>
        <w:rPr>
          <w:i/>
          <w:color w:val="231F20"/>
          <w:sz w:val="20"/>
        </w:rPr>
        <w:t>рабочее</w:t>
      </w:r>
      <w:r>
        <w:rPr>
          <w:i/>
          <w:color w:val="231F20"/>
          <w:spacing w:val="-8"/>
          <w:sz w:val="20"/>
        </w:rPr>
        <w:t> </w:t>
      </w:r>
      <w:r>
        <w:rPr>
          <w:i/>
          <w:color w:val="231F20"/>
          <w:spacing w:val="-2"/>
          <w:sz w:val="20"/>
        </w:rPr>
        <w:t>пространство.</w:t>
      </w:r>
    </w:p>
    <w:p>
      <w:pPr>
        <w:pStyle w:val="BodyText"/>
        <w:spacing w:line="235" w:lineRule="auto"/>
      </w:pPr>
      <w:r>
        <w:rPr>
          <w:color w:val="231F20"/>
        </w:rPr>
        <w:t>Абсолютно необходимой частью командной работы является наличие безопас- ного, с психологической точки зрения, рабочего пространства, где участники могут работать открыто, общаться друг с другом, обсуждать вопросы и принимать реше- ния. Для этого в самом начале группа разрабатывает правила работы, утверждает и принимает важные моменты, необходимые для создания атмосферы взаимного ува- жения и доверия.</w:t>
      </w:r>
    </w:p>
    <w:p>
      <w:pPr>
        <w:pStyle w:val="ListParagraph"/>
        <w:numPr>
          <w:ilvl w:val="0"/>
          <w:numId w:val="177"/>
        </w:numPr>
        <w:tabs>
          <w:tab w:pos="424" w:val="left" w:leader="none"/>
        </w:tabs>
        <w:spacing w:line="227" w:lineRule="exact" w:before="51" w:after="0"/>
        <w:ind w:left="424" w:right="0" w:hanging="283"/>
        <w:jc w:val="both"/>
        <w:rPr>
          <w:i/>
          <w:sz w:val="20"/>
        </w:rPr>
      </w:pPr>
      <w:r>
        <w:rPr>
          <w:i/>
          <w:color w:val="231F20"/>
          <w:spacing w:val="-2"/>
          <w:sz w:val="20"/>
        </w:rPr>
        <w:t>Сформировать</w:t>
      </w:r>
      <w:r>
        <w:rPr>
          <w:i/>
          <w:color w:val="231F20"/>
          <w:spacing w:val="1"/>
          <w:sz w:val="20"/>
        </w:rPr>
        <w:t> </w:t>
      </w:r>
      <w:r>
        <w:rPr>
          <w:i/>
          <w:color w:val="231F20"/>
          <w:spacing w:val="-2"/>
          <w:sz w:val="20"/>
        </w:rPr>
        <w:t>команды</w:t>
      </w:r>
    </w:p>
    <w:p>
      <w:pPr>
        <w:pStyle w:val="BodyText"/>
        <w:spacing w:line="232" w:lineRule="auto" w:before="2"/>
      </w:pPr>
      <w:r>
        <w:rPr>
          <w:color w:val="231F20"/>
        </w:rPr>
        <w:t>Команда</w:t>
      </w:r>
      <w:r>
        <w:rPr>
          <w:color w:val="231F20"/>
          <w:spacing w:val="-10"/>
        </w:rPr>
        <w:t> </w:t>
      </w:r>
      <w:r>
        <w:rPr>
          <w:color w:val="231F20"/>
        </w:rPr>
        <w:t>–</w:t>
      </w:r>
      <w:r>
        <w:rPr>
          <w:color w:val="231F20"/>
          <w:spacing w:val="-10"/>
        </w:rPr>
        <w:t> </w:t>
      </w:r>
      <w:r>
        <w:rPr>
          <w:color w:val="231F20"/>
        </w:rPr>
        <w:t>это</w:t>
      </w:r>
      <w:r>
        <w:rPr>
          <w:color w:val="231F20"/>
          <w:spacing w:val="-10"/>
        </w:rPr>
        <w:t> </w:t>
      </w:r>
      <w:r>
        <w:rPr>
          <w:color w:val="231F20"/>
        </w:rPr>
        <w:t>основа</w:t>
      </w:r>
      <w:r>
        <w:rPr>
          <w:color w:val="231F20"/>
          <w:spacing w:val="-10"/>
        </w:rPr>
        <w:t> </w:t>
      </w:r>
      <w:r>
        <w:rPr>
          <w:color w:val="231F20"/>
        </w:rPr>
        <w:t>работы</w:t>
      </w:r>
      <w:r>
        <w:rPr>
          <w:color w:val="231F20"/>
          <w:spacing w:val="-10"/>
        </w:rPr>
        <w:t> </w:t>
      </w:r>
      <w:r>
        <w:rPr>
          <w:color w:val="231F20"/>
        </w:rPr>
        <w:t>в</w:t>
      </w:r>
      <w:r>
        <w:rPr>
          <w:color w:val="231F20"/>
          <w:spacing w:val="-10"/>
        </w:rPr>
        <w:t> </w:t>
      </w:r>
      <w:r>
        <w:rPr>
          <w:i/>
          <w:color w:val="231F20"/>
        </w:rPr>
        <w:t>eduScrum</w:t>
      </w:r>
      <w:r>
        <w:rPr>
          <w:color w:val="231F20"/>
        </w:rPr>
        <w:t>.</w:t>
      </w:r>
      <w:r>
        <w:rPr>
          <w:color w:val="231F20"/>
          <w:spacing w:val="-10"/>
        </w:rPr>
        <w:t> </w:t>
      </w:r>
      <w:r>
        <w:rPr>
          <w:color w:val="231F20"/>
        </w:rPr>
        <w:t>Поэтому</w:t>
      </w:r>
      <w:r>
        <w:rPr>
          <w:color w:val="231F20"/>
          <w:spacing w:val="-10"/>
        </w:rPr>
        <w:t> </w:t>
      </w:r>
      <w:r>
        <w:rPr>
          <w:color w:val="231F20"/>
        </w:rPr>
        <w:t>очень</w:t>
      </w:r>
      <w:r>
        <w:rPr>
          <w:color w:val="231F20"/>
          <w:spacing w:val="-10"/>
        </w:rPr>
        <w:t> </w:t>
      </w:r>
      <w:r>
        <w:rPr>
          <w:color w:val="231F20"/>
        </w:rPr>
        <w:t>важно</w:t>
      </w:r>
      <w:r>
        <w:rPr>
          <w:color w:val="231F20"/>
          <w:spacing w:val="-10"/>
        </w:rPr>
        <w:t> </w:t>
      </w:r>
      <w:r>
        <w:rPr>
          <w:color w:val="231F20"/>
        </w:rPr>
        <w:t>организовать</w:t>
      </w:r>
      <w:r>
        <w:rPr>
          <w:color w:val="231F20"/>
          <w:spacing w:val="-10"/>
        </w:rPr>
        <w:t> </w:t>
      </w:r>
      <w:r>
        <w:rPr>
          <w:color w:val="231F20"/>
        </w:rPr>
        <w:t>пра- вильное распределение учеников по группам с помощью командообразующих игр, дать</w:t>
      </w:r>
      <w:r>
        <w:rPr>
          <w:color w:val="231F20"/>
          <w:spacing w:val="-6"/>
        </w:rPr>
        <w:t> </w:t>
      </w:r>
      <w:r>
        <w:rPr>
          <w:color w:val="231F20"/>
        </w:rPr>
        <w:t>возможность</w:t>
      </w:r>
      <w:r>
        <w:rPr>
          <w:color w:val="231F20"/>
          <w:spacing w:val="-6"/>
        </w:rPr>
        <w:t> </w:t>
      </w:r>
      <w:r>
        <w:rPr>
          <w:color w:val="231F20"/>
        </w:rPr>
        <w:t>участникам</w:t>
      </w:r>
      <w:r>
        <w:rPr>
          <w:color w:val="231F20"/>
          <w:spacing w:val="-6"/>
        </w:rPr>
        <w:t> </w:t>
      </w:r>
      <w:r>
        <w:rPr>
          <w:color w:val="231F20"/>
        </w:rPr>
        <w:t>придумать</w:t>
      </w:r>
      <w:r>
        <w:rPr>
          <w:color w:val="231F20"/>
          <w:spacing w:val="-6"/>
        </w:rPr>
        <w:t> </w:t>
      </w:r>
      <w:r>
        <w:rPr>
          <w:color w:val="231F20"/>
        </w:rPr>
        <w:t>свое</w:t>
      </w:r>
      <w:r>
        <w:rPr>
          <w:color w:val="231F20"/>
          <w:spacing w:val="-6"/>
        </w:rPr>
        <w:t> </w:t>
      </w:r>
      <w:r>
        <w:rPr>
          <w:color w:val="231F20"/>
        </w:rPr>
        <w:t>название,</w:t>
      </w:r>
      <w:r>
        <w:rPr>
          <w:color w:val="231F20"/>
          <w:spacing w:val="-6"/>
        </w:rPr>
        <w:t> </w:t>
      </w:r>
      <w:r>
        <w:rPr>
          <w:color w:val="231F20"/>
        </w:rPr>
        <w:t>почувствовать</w:t>
      </w:r>
      <w:r>
        <w:rPr>
          <w:color w:val="231F20"/>
          <w:spacing w:val="-6"/>
        </w:rPr>
        <w:t> </w:t>
      </w:r>
      <w:r>
        <w:rPr>
          <w:color w:val="231F20"/>
        </w:rPr>
        <w:t>и</w:t>
      </w:r>
      <w:r>
        <w:rPr>
          <w:color w:val="231F20"/>
          <w:spacing w:val="-6"/>
        </w:rPr>
        <w:t> </w:t>
      </w:r>
      <w:r>
        <w:rPr>
          <w:color w:val="231F20"/>
        </w:rPr>
        <w:t>понять,</w:t>
      </w:r>
      <w:r>
        <w:rPr>
          <w:color w:val="231F20"/>
          <w:spacing w:val="-5"/>
        </w:rPr>
        <w:t> </w:t>
      </w:r>
      <w:r>
        <w:rPr>
          <w:color w:val="231F20"/>
        </w:rPr>
        <w:t>что это</w:t>
      </w:r>
      <w:r>
        <w:rPr>
          <w:color w:val="231F20"/>
          <w:spacing w:val="-5"/>
        </w:rPr>
        <w:t> </w:t>
      </w:r>
      <w:r>
        <w:rPr>
          <w:color w:val="231F20"/>
        </w:rPr>
        <w:t>ИХ</w:t>
      </w:r>
      <w:r>
        <w:rPr>
          <w:color w:val="231F20"/>
          <w:spacing w:val="-5"/>
        </w:rPr>
        <w:t> </w:t>
      </w:r>
      <w:r>
        <w:rPr>
          <w:color w:val="231F20"/>
        </w:rPr>
        <w:t>команда,</w:t>
      </w:r>
      <w:r>
        <w:rPr>
          <w:color w:val="231F20"/>
          <w:spacing w:val="-5"/>
        </w:rPr>
        <w:t> </w:t>
      </w:r>
      <w:r>
        <w:rPr>
          <w:color w:val="231F20"/>
        </w:rPr>
        <w:t>а</w:t>
      </w:r>
      <w:r>
        <w:rPr>
          <w:color w:val="231F20"/>
          <w:spacing w:val="-5"/>
        </w:rPr>
        <w:t> </w:t>
      </w:r>
      <w:r>
        <w:rPr>
          <w:color w:val="231F20"/>
        </w:rPr>
        <w:t>не</w:t>
      </w:r>
      <w:r>
        <w:rPr>
          <w:color w:val="231F20"/>
          <w:spacing w:val="-5"/>
        </w:rPr>
        <w:t> </w:t>
      </w:r>
      <w:r>
        <w:rPr>
          <w:color w:val="231F20"/>
        </w:rPr>
        <w:t>просто</w:t>
      </w:r>
      <w:r>
        <w:rPr>
          <w:color w:val="231F20"/>
          <w:spacing w:val="-5"/>
        </w:rPr>
        <w:t> </w:t>
      </w:r>
      <w:r>
        <w:rPr>
          <w:color w:val="231F20"/>
        </w:rPr>
        <w:t>некая</w:t>
      </w:r>
      <w:r>
        <w:rPr>
          <w:color w:val="231F20"/>
          <w:spacing w:val="-5"/>
        </w:rPr>
        <w:t> </w:t>
      </w:r>
      <w:r>
        <w:rPr>
          <w:color w:val="231F20"/>
        </w:rPr>
        <w:t>формальность.</w:t>
      </w:r>
      <w:r>
        <w:rPr>
          <w:color w:val="231F20"/>
          <w:spacing w:val="-5"/>
        </w:rPr>
        <w:t> </w:t>
      </w:r>
      <w:r>
        <w:rPr>
          <w:color w:val="231F20"/>
        </w:rPr>
        <w:t>Тогда</w:t>
      </w:r>
      <w:r>
        <w:rPr>
          <w:color w:val="231F20"/>
          <w:spacing w:val="-5"/>
        </w:rPr>
        <w:t> </w:t>
      </w:r>
      <w:r>
        <w:rPr>
          <w:color w:val="231F20"/>
        </w:rPr>
        <w:t>они</w:t>
      </w:r>
      <w:r>
        <w:rPr>
          <w:color w:val="231F20"/>
          <w:spacing w:val="-5"/>
        </w:rPr>
        <w:t> </w:t>
      </w:r>
      <w:r>
        <w:rPr>
          <w:color w:val="231F20"/>
        </w:rPr>
        <w:t>будут</w:t>
      </w:r>
      <w:r>
        <w:rPr>
          <w:color w:val="231F20"/>
          <w:spacing w:val="-5"/>
        </w:rPr>
        <w:t> </w:t>
      </w:r>
      <w:r>
        <w:rPr>
          <w:color w:val="231F20"/>
        </w:rPr>
        <w:t>готовы</w:t>
      </w:r>
      <w:r>
        <w:rPr>
          <w:color w:val="231F20"/>
          <w:spacing w:val="-5"/>
        </w:rPr>
        <w:t> </w:t>
      </w:r>
      <w:r>
        <w:rPr>
          <w:color w:val="231F20"/>
        </w:rPr>
        <w:t>начать</w:t>
      </w:r>
      <w:r>
        <w:rPr>
          <w:color w:val="231F20"/>
          <w:spacing w:val="-5"/>
        </w:rPr>
        <w:t> </w:t>
      </w:r>
      <w:r>
        <w:rPr>
          <w:color w:val="231F20"/>
        </w:rPr>
        <w:t>ра- ботать вместе.</w:t>
      </w:r>
    </w:p>
    <w:p>
      <w:pPr>
        <w:pStyle w:val="ListParagraph"/>
        <w:numPr>
          <w:ilvl w:val="0"/>
          <w:numId w:val="177"/>
        </w:numPr>
        <w:tabs>
          <w:tab w:pos="424" w:val="left" w:leader="none"/>
        </w:tabs>
        <w:spacing w:line="227" w:lineRule="exact" w:before="56" w:after="0"/>
        <w:ind w:left="424" w:right="0" w:hanging="283"/>
        <w:jc w:val="both"/>
        <w:rPr>
          <w:i/>
          <w:sz w:val="20"/>
        </w:rPr>
      </w:pPr>
      <w:r>
        <w:rPr>
          <w:i/>
          <w:color w:val="231F20"/>
          <w:sz w:val="20"/>
        </w:rPr>
        <w:t>Понять</w:t>
      </w:r>
      <w:r>
        <w:rPr>
          <w:i/>
          <w:color w:val="231F20"/>
          <w:spacing w:val="-4"/>
          <w:sz w:val="20"/>
        </w:rPr>
        <w:t> </w:t>
      </w:r>
      <w:r>
        <w:rPr>
          <w:i/>
          <w:color w:val="231F20"/>
          <w:sz w:val="20"/>
        </w:rPr>
        <w:t>цели</w:t>
      </w:r>
      <w:r>
        <w:rPr>
          <w:i/>
          <w:color w:val="231F20"/>
          <w:spacing w:val="-2"/>
          <w:sz w:val="20"/>
        </w:rPr>
        <w:t> проекта</w:t>
      </w:r>
    </w:p>
    <w:p>
      <w:pPr>
        <w:pStyle w:val="BodyText"/>
        <w:spacing w:line="232" w:lineRule="auto" w:before="3"/>
      </w:pPr>
      <w:r>
        <w:rPr>
          <w:color w:val="231F20"/>
        </w:rPr>
        <w:t>Нужно добиться четкого понимания, ЧТО именно ученики должны получить в конце</w:t>
      </w:r>
      <w:r>
        <w:rPr>
          <w:color w:val="231F20"/>
          <w:spacing w:val="-8"/>
        </w:rPr>
        <w:t> </w:t>
      </w:r>
      <w:r>
        <w:rPr>
          <w:color w:val="231F20"/>
        </w:rPr>
        <w:t>проекта</w:t>
      </w:r>
      <w:r>
        <w:rPr>
          <w:color w:val="231F20"/>
          <w:spacing w:val="-8"/>
        </w:rPr>
        <w:t> </w:t>
      </w:r>
      <w:r>
        <w:rPr>
          <w:color w:val="231F20"/>
        </w:rPr>
        <w:t>и</w:t>
      </w:r>
      <w:r>
        <w:rPr>
          <w:color w:val="231F20"/>
          <w:spacing w:val="-8"/>
        </w:rPr>
        <w:t> </w:t>
      </w:r>
      <w:r>
        <w:rPr>
          <w:color w:val="231F20"/>
        </w:rPr>
        <w:t>ЗАЧЕМ</w:t>
      </w:r>
      <w:r>
        <w:rPr>
          <w:color w:val="231F20"/>
          <w:spacing w:val="-8"/>
        </w:rPr>
        <w:t> </w:t>
      </w:r>
      <w:r>
        <w:rPr>
          <w:color w:val="231F20"/>
        </w:rPr>
        <w:t>им</w:t>
      </w:r>
      <w:r>
        <w:rPr>
          <w:color w:val="231F20"/>
          <w:spacing w:val="-8"/>
        </w:rPr>
        <w:t> </w:t>
      </w:r>
      <w:r>
        <w:rPr>
          <w:color w:val="231F20"/>
        </w:rPr>
        <w:t>это</w:t>
      </w:r>
      <w:r>
        <w:rPr>
          <w:color w:val="231F20"/>
          <w:spacing w:val="-8"/>
        </w:rPr>
        <w:t> </w:t>
      </w:r>
      <w:r>
        <w:rPr>
          <w:color w:val="231F20"/>
        </w:rPr>
        <w:t>нужно.</w:t>
      </w:r>
      <w:r>
        <w:rPr>
          <w:color w:val="231F20"/>
          <w:spacing w:val="-8"/>
        </w:rPr>
        <w:t> </w:t>
      </w:r>
      <w:r>
        <w:rPr>
          <w:color w:val="231F20"/>
        </w:rPr>
        <w:t>Понимание</w:t>
      </w:r>
      <w:r>
        <w:rPr>
          <w:color w:val="231F20"/>
          <w:spacing w:val="-8"/>
        </w:rPr>
        <w:t> </w:t>
      </w:r>
      <w:r>
        <w:rPr>
          <w:color w:val="231F20"/>
        </w:rPr>
        <w:t>этих</w:t>
      </w:r>
      <w:r>
        <w:rPr>
          <w:color w:val="231F20"/>
          <w:spacing w:val="-8"/>
        </w:rPr>
        <w:t> </w:t>
      </w:r>
      <w:r>
        <w:rPr>
          <w:color w:val="231F20"/>
        </w:rPr>
        <w:t>моментов</w:t>
      </w:r>
      <w:r>
        <w:rPr>
          <w:color w:val="231F20"/>
          <w:spacing w:val="-8"/>
        </w:rPr>
        <w:t> </w:t>
      </w:r>
      <w:r>
        <w:rPr>
          <w:color w:val="231F20"/>
        </w:rPr>
        <w:t>должно</w:t>
      </w:r>
      <w:r>
        <w:rPr>
          <w:color w:val="231F20"/>
          <w:spacing w:val="-8"/>
        </w:rPr>
        <w:t> </w:t>
      </w:r>
      <w:r>
        <w:rPr>
          <w:color w:val="231F20"/>
        </w:rPr>
        <w:t>быть,</w:t>
      </w:r>
      <w:r>
        <w:rPr>
          <w:color w:val="231F20"/>
          <w:spacing w:val="-8"/>
        </w:rPr>
        <w:t> </w:t>
      </w:r>
      <w:r>
        <w:rPr>
          <w:color w:val="231F20"/>
        </w:rPr>
        <w:t>пре- жде всего, у учителя. И только четко представляя конечный пункт, можно выбирать эффективный способ добраться до него.</w:t>
      </w:r>
    </w:p>
    <w:p>
      <w:pPr>
        <w:pStyle w:val="ListParagraph"/>
        <w:numPr>
          <w:ilvl w:val="0"/>
          <w:numId w:val="177"/>
        </w:numPr>
        <w:tabs>
          <w:tab w:pos="424" w:val="left" w:leader="none"/>
        </w:tabs>
        <w:spacing w:line="227" w:lineRule="exact" w:before="54" w:after="0"/>
        <w:ind w:left="424" w:right="0" w:hanging="283"/>
        <w:jc w:val="both"/>
        <w:rPr>
          <w:i/>
          <w:sz w:val="20"/>
        </w:rPr>
      </w:pPr>
      <w:r>
        <w:rPr>
          <w:i/>
          <w:color w:val="231F20"/>
          <w:sz w:val="20"/>
        </w:rPr>
        <w:t>Сформулировать</w:t>
      </w:r>
      <w:r>
        <w:rPr>
          <w:i/>
          <w:color w:val="231F20"/>
          <w:spacing w:val="-13"/>
          <w:sz w:val="20"/>
        </w:rPr>
        <w:t> </w:t>
      </w:r>
      <w:r>
        <w:rPr>
          <w:i/>
          <w:color w:val="231F20"/>
          <w:sz w:val="20"/>
        </w:rPr>
        <w:t>правила</w:t>
      </w:r>
      <w:r>
        <w:rPr>
          <w:i/>
          <w:color w:val="231F20"/>
          <w:spacing w:val="-12"/>
          <w:sz w:val="20"/>
        </w:rPr>
        <w:t> </w:t>
      </w:r>
      <w:r>
        <w:rPr>
          <w:i/>
          <w:color w:val="231F20"/>
          <w:spacing w:val="-4"/>
          <w:sz w:val="20"/>
        </w:rPr>
        <w:t>игры</w:t>
      </w:r>
    </w:p>
    <w:p>
      <w:pPr>
        <w:pStyle w:val="BodyText"/>
        <w:spacing w:line="232" w:lineRule="auto" w:before="3"/>
      </w:pPr>
      <w:r>
        <w:rPr>
          <w:color w:val="231F20"/>
        </w:rPr>
        <w:t>Чтобы вся команда могла работать согласованно и иметь возможность в случае неожиданных</w:t>
      </w:r>
      <w:r>
        <w:rPr>
          <w:color w:val="231F20"/>
          <w:spacing w:val="-1"/>
        </w:rPr>
        <w:t> </w:t>
      </w:r>
      <w:r>
        <w:rPr>
          <w:color w:val="231F20"/>
        </w:rPr>
        <w:t>моментов</w:t>
      </w:r>
      <w:r>
        <w:rPr>
          <w:color w:val="231F20"/>
          <w:spacing w:val="-1"/>
        </w:rPr>
        <w:t> </w:t>
      </w:r>
      <w:r>
        <w:rPr>
          <w:color w:val="231F20"/>
        </w:rPr>
        <w:t>иметь</w:t>
      </w:r>
      <w:r>
        <w:rPr>
          <w:color w:val="231F20"/>
          <w:spacing w:val="-1"/>
        </w:rPr>
        <w:t> </w:t>
      </w:r>
      <w:r>
        <w:rPr>
          <w:color w:val="231F20"/>
        </w:rPr>
        <w:t>ориентир</w:t>
      </w:r>
      <w:r>
        <w:rPr>
          <w:color w:val="231F20"/>
          <w:spacing w:val="-1"/>
        </w:rPr>
        <w:t> </w:t>
      </w:r>
      <w:r>
        <w:rPr>
          <w:color w:val="231F20"/>
        </w:rPr>
        <w:t>для</w:t>
      </w:r>
      <w:r>
        <w:rPr>
          <w:color w:val="231F20"/>
          <w:spacing w:val="-1"/>
        </w:rPr>
        <w:t> </w:t>
      </w:r>
      <w:r>
        <w:rPr>
          <w:color w:val="231F20"/>
        </w:rPr>
        <w:t>принятия</w:t>
      </w:r>
      <w:r>
        <w:rPr>
          <w:color w:val="231F20"/>
          <w:spacing w:val="-1"/>
        </w:rPr>
        <w:t> </w:t>
      </w:r>
      <w:r>
        <w:rPr>
          <w:color w:val="231F20"/>
        </w:rPr>
        <w:t>решений,</w:t>
      </w:r>
      <w:r>
        <w:rPr>
          <w:color w:val="231F20"/>
          <w:spacing w:val="-1"/>
        </w:rPr>
        <w:t> </w:t>
      </w:r>
      <w:r>
        <w:rPr>
          <w:color w:val="231F20"/>
        </w:rPr>
        <w:t>нужны</w:t>
      </w:r>
      <w:r>
        <w:rPr>
          <w:color w:val="231F20"/>
          <w:spacing w:val="-1"/>
        </w:rPr>
        <w:t> </w:t>
      </w:r>
      <w:r>
        <w:rPr>
          <w:color w:val="231F20"/>
        </w:rPr>
        <w:t>единые</w:t>
      </w:r>
      <w:r>
        <w:rPr>
          <w:color w:val="231F20"/>
          <w:spacing w:val="-1"/>
        </w:rPr>
        <w:t> </w:t>
      </w:r>
      <w:r>
        <w:rPr>
          <w:color w:val="231F20"/>
        </w:rPr>
        <w:t>пра- вила работы, которые принимаются командой совместно. Как часто организовывать встречи команды, как поступать в той или иной ситуации, какими средствами связи пользоваться и др. Все организационные моменты.</w:t>
      </w:r>
    </w:p>
    <w:p>
      <w:pPr>
        <w:pStyle w:val="ListParagraph"/>
        <w:numPr>
          <w:ilvl w:val="0"/>
          <w:numId w:val="177"/>
        </w:numPr>
        <w:tabs>
          <w:tab w:pos="424" w:val="left" w:leader="none"/>
        </w:tabs>
        <w:spacing w:line="227" w:lineRule="exact" w:before="56" w:after="0"/>
        <w:ind w:left="424" w:right="0" w:hanging="283"/>
        <w:jc w:val="both"/>
        <w:rPr>
          <w:i/>
          <w:sz w:val="20"/>
        </w:rPr>
      </w:pPr>
      <w:r>
        <w:rPr>
          <w:i/>
          <w:color w:val="231F20"/>
          <w:sz w:val="20"/>
        </w:rPr>
        <w:t>Разбить</w:t>
      </w:r>
      <w:r>
        <w:rPr>
          <w:i/>
          <w:color w:val="231F20"/>
          <w:spacing w:val="-8"/>
          <w:sz w:val="20"/>
        </w:rPr>
        <w:t> </w:t>
      </w:r>
      <w:r>
        <w:rPr>
          <w:i/>
          <w:color w:val="231F20"/>
          <w:sz w:val="20"/>
        </w:rPr>
        <w:t>на</w:t>
      </w:r>
      <w:r>
        <w:rPr>
          <w:i/>
          <w:color w:val="231F20"/>
          <w:spacing w:val="-6"/>
          <w:sz w:val="20"/>
        </w:rPr>
        <w:t> </w:t>
      </w:r>
      <w:r>
        <w:rPr>
          <w:i/>
          <w:color w:val="231F20"/>
          <w:spacing w:val="-2"/>
          <w:sz w:val="20"/>
        </w:rPr>
        <w:t>задачи</w:t>
      </w:r>
    </w:p>
    <w:p>
      <w:pPr>
        <w:pStyle w:val="BodyText"/>
        <w:spacing w:line="232" w:lineRule="auto" w:before="2"/>
      </w:pPr>
      <w:r>
        <w:rPr>
          <w:color w:val="231F20"/>
        </w:rPr>
        <w:t>Правильно разделить большой проект на отдельные задачи – это уже часть рабо- ты.</w:t>
      </w:r>
      <w:r>
        <w:rPr>
          <w:color w:val="231F20"/>
          <w:spacing w:val="-9"/>
        </w:rPr>
        <w:t> </w:t>
      </w:r>
      <w:r>
        <w:rPr>
          <w:color w:val="231F20"/>
        </w:rPr>
        <w:t>Что</w:t>
      </w:r>
      <w:r>
        <w:rPr>
          <w:color w:val="231F20"/>
          <w:spacing w:val="-9"/>
        </w:rPr>
        <w:t> </w:t>
      </w:r>
      <w:r>
        <w:rPr>
          <w:color w:val="231F20"/>
        </w:rPr>
        <w:t>сделать</w:t>
      </w:r>
      <w:r>
        <w:rPr>
          <w:color w:val="231F20"/>
          <w:spacing w:val="-9"/>
        </w:rPr>
        <w:t> </w:t>
      </w:r>
      <w:r>
        <w:rPr>
          <w:color w:val="231F20"/>
        </w:rPr>
        <w:t>раньше,</w:t>
      </w:r>
      <w:r>
        <w:rPr>
          <w:color w:val="231F20"/>
          <w:spacing w:val="-9"/>
        </w:rPr>
        <w:t> </w:t>
      </w:r>
      <w:r>
        <w:rPr>
          <w:color w:val="231F20"/>
        </w:rPr>
        <w:t>а</w:t>
      </w:r>
      <w:r>
        <w:rPr>
          <w:color w:val="231F20"/>
          <w:spacing w:val="-9"/>
        </w:rPr>
        <w:t> </w:t>
      </w:r>
      <w:r>
        <w:rPr>
          <w:color w:val="231F20"/>
        </w:rPr>
        <w:t>что</w:t>
      </w:r>
      <w:r>
        <w:rPr>
          <w:color w:val="231F20"/>
          <w:spacing w:val="-9"/>
        </w:rPr>
        <w:t> </w:t>
      </w:r>
      <w:r>
        <w:rPr>
          <w:color w:val="231F20"/>
        </w:rPr>
        <w:t>в</w:t>
      </w:r>
      <w:r>
        <w:rPr>
          <w:color w:val="231F20"/>
          <w:spacing w:val="-9"/>
        </w:rPr>
        <w:t> </w:t>
      </w:r>
      <w:r>
        <w:rPr>
          <w:color w:val="231F20"/>
        </w:rPr>
        <w:t>конце,</w:t>
      </w:r>
      <w:r>
        <w:rPr>
          <w:color w:val="231F20"/>
          <w:spacing w:val="-9"/>
        </w:rPr>
        <w:t> </w:t>
      </w:r>
      <w:r>
        <w:rPr>
          <w:color w:val="231F20"/>
        </w:rPr>
        <w:t>сколько</w:t>
      </w:r>
      <w:r>
        <w:rPr>
          <w:color w:val="231F20"/>
          <w:spacing w:val="-9"/>
        </w:rPr>
        <w:t> </w:t>
      </w:r>
      <w:r>
        <w:rPr>
          <w:color w:val="231F20"/>
        </w:rPr>
        <w:t>задач</w:t>
      </w:r>
      <w:r>
        <w:rPr>
          <w:color w:val="231F20"/>
          <w:spacing w:val="-9"/>
        </w:rPr>
        <w:t> </w:t>
      </w:r>
      <w:r>
        <w:rPr>
          <w:color w:val="231F20"/>
        </w:rPr>
        <w:t>можно</w:t>
      </w:r>
      <w:r>
        <w:rPr>
          <w:color w:val="231F20"/>
          <w:spacing w:val="-9"/>
        </w:rPr>
        <w:t> </w:t>
      </w:r>
      <w:r>
        <w:rPr>
          <w:color w:val="231F20"/>
        </w:rPr>
        <w:t>выполнить</w:t>
      </w:r>
      <w:r>
        <w:rPr>
          <w:color w:val="231F20"/>
          <w:spacing w:val="-9"/>
        </w:rPr>
        <w:t> </w:t>
      </w:r>
      <w:r>
        <w:rPr>
          <w:color w:val="231F20"/>
        </w:rPr>
        <w:t>за</w:t>
      </w:r>
      <w:r>
        <w:rPr>
          <w:color w:val="231F20"/>
          <w:spacing w:val="-9"/>
        </w:rPr>
        <w:t> </w:t>
      </w:r>
      <w:r>
        <w:rPr>
          <w:color w:val="231F20"/>
        </w:rPr>
        <w:t>определен- ный</w:t>
      </w:r>
      <w:r>
        <w:rPr>
          <w:color w:val="231F20"/>
          <w:spacing w:val="-1"/>
        </w:rPr>
        <w:t> </w:t>
      </w:r>
      <w:r>
        <w:rPr>
          <w:color w:val="231F20"/>
        </w:rPr>
        <w:t>срок,</w:t>
      </w:r>
      <w:r>
        <w:rPr>
          <w:color w:val="231F20"/>
          <w:spacing w:val="-1"/>
        </w:rPr>
        <w:t> </w:t>
      </w:r>
      <w:r>
        <w:rPr>
          <w:color w:val="231F20"/>
        </w:rPr>
        <w:t>распределение</w:t>
      </w:r>
      <w:r>
        <w:rPr>
          <w:color w:val="231F20"/>
          <w:spacing w:val="-1"/>
        </w:rPr>
        <w:t> </w:t>
      </w:r>
      <w:r>
        <w:rPr>
          <w:color w:val="231F20"/>
        </w:rPr>
        <w:t>задач</w:t>
      </w:r>
      <w:r>
        <w:rPr>
          <w:color w:val="231F20"/>
          <w:spacing w:val="-1"/>
        </w:rPr>
        <w:t> </w:t>
      </w:r>
      <w:r>
        <w:rPr>
          <w:color w:val="231F20"/>
        </w:rPr>
        <w:t>между</w:t>
      </w:r>
      <w:r>
        <w:rPr>
          <w:color w:val="231F20"/>
          <w:spacing w:val="-2"/>
        </w:rPr>
        <w:t> </w:t>
      </w:r>
      <w:r>
        <w:rPr>
          <w:color w:val="231F20"/>
        </w:rPr>
        <w:t>участниками</w:t>
      </w:r>
      <w:r>
        <w:rPr>
          <w:color w:val="231F20"/>
          <w:spacing w:val="-1"/>
        </w:rPr>
        <w:t> </w:t>
      </w:r>
      <w:r>
        <w:rPr>
          <w:color w:val="231F20"/>
        </w:rPr>
        <w:t>–</w:t>
      </w:r>
      <w:r>
        <w:rPr>
          <w:color w:val="231F20"/>
          <w:spacing w:val="-1"/>
        </w:rPr>
        <w:t> </w:t>
      </w:r>
      <w:r>
        <w:rPr>
          <w:color w:val="231F20"/>
        </w:rPr>
        <w:t>это</w:t>
      </w:r>
      <w:r>
        <w:rPr>
          <w:color w:val="231F20"/>
          <w:spacing w:val="-1"/>
        </w:rPr>
        <w:t> </w:t>
      </w:r>
      <w:r>
        <w:rPr>
          <w:color w:val="231F20"/>
        </w:rPr>
        <w:t>выстраивание</w:t>
      </w:r>
      <w:r>
        <w:rPr>
          <w:color w:val="231F20"/>
          <w:spacing w:val="-1"/>
        </w:rPr>
        <w:t> </w:t>
      </w:r>
      <w:r>
        <w:rPr>
          <w:color w:val="231F20"/>
        </w:rPr>
        <w:t>ступенек,</w:t>
      </w:r>
      <w:r>
        <w:rPr>
          <w:color w:val="231F20"/>
          <w:spacing w:val="-1"/>
        </w:rPr>
        <w:t> </w:t>
      </w:r>
      <w:r>
        <w:rPr>
          <w:color w:val="231F20"/>
        </w:rPr>
        <w:t>по которым команда будет идти к цели.</w:t>
      </w:r>
    </w:p>
    <w:p>
      <w:pPr>
        <w:pStyle w:val="ListParagraph"/>
        <w:numPr>
          <w:ilvl w:val="0"/>
          <w:numId w:val="177"/>
        </w:numPr>
        <w:tabs>
          <w:tab w:pos="424" w:val="left" w:leader="none"/>
        </w:tabs>
        <w:spacing w:line="227" w:lineRule="exact" w:before="55" w:after="0"/>
        <w:ind w:left="424" w:right="0" w:hanging="283"/>
        <w:jc w:val="both"/>
        <w:rPr>
          <w:i/>
          <w:sz w:val="20"/>
        </w:rPr>
      </w:pPr>
      <w:r>
        <w:rPr>
          <w:i/>
          <w:color w:val="231F20"/>
          <w:sz w:val="20"/>
        </w:rPr>
        <w:t>Работать</w:t>
      </w:r>
      <w:r>
        <w:rPr>
          <w:i/>
          <w:color w:val="231F20"/>
          <w:spacing w:val="-7"/>
          <w:sz w:val="20"/>
        </w:rPr>
        <w:t> </w:t>
      </w:r>
      <w:r>
        <w:rPr>
          <w:i/>
          <w:color w:val="231F20"/>
          <w:sz w:val="20"/>
        </w:rPr>
        <w:t>над</w:t>
      </w:r>
      <w:r>
        <w:rPr>
          <w:i/>
          <w:color w:val="231F20"/>
          <w:spacing w:val="-6"/>
          <w:sz w:val="20"/>
        </w:rPr>
        <w:t> </w:t>
      </w:r>
      <w:r>
        <w:rPr>
          <w:i/>
          <w:color w:val="231F20"/>
          <w:spacing w:val="-2"/>
          <w:sz w:val="20"/>
        </w:rPr>
        <w:t>задачами</w:t>
      </w:r>
    </w:p>
    <w:p>
      <w:pPr>
        <w:pStyle w:val="BodyText"/>
        <w:spacing w:line="232" w:lineRule="auto" w:before="3"/>
      </w:pPr>
      <w:r>
        <w:rPr>
          <w:color w:val="231F20"/>
        </w:rPr>
        <w:t>Непосредственная работа над задачами и выстраивание флипборда: выполняем задачи, двигаем стикеры по доске, вместе следим за тем, как складывается работа.</w:t>
      </w:r>
    </w:p>
    <w:p>
      <w:pPr>
        <w:pStyle w:val="ListParagraph"/>
        <w:numPr>
          <w:ilvl w:val="0"/>
          <w:numId w:val="177"/>
        </w:numPr>
        <w:tabs>
          <w:tab w:pos="424" w:val="left" w:leader="none"/>
        </w:tabs>
        <w:spacing w:line="227" w:lineRule="exact" w:before="53" w:after="0"/>
        <w:ind w:left="424" w:right="0" w:hanging="283"/>
        <w:jc w:val="both"/>
        <w:rPr>
          <w:i/>
          <w:sz w:val="20"/>
        </w:rPr>
      </w:pPr>
      <w:r>
        <w:rPr>
          <w:i/>
          <w:color w:val="231F20"/>
          <w:sz w:val="20"/>
        </w:rPr>
        <w:t>Оценить</w:t>
      </w:r>
      <w:r>
        <w:rPr>
          <w:i/>
          <w:color w:val="231F20"/>
          <w:spacing w:val="-1"/>
          <w:sz w:val="20"/>
        </w:rPr>
        <w:t> </w:t>
      </w:r>
      <w:r>
        <w:rPr>
          <w:i/>
          <w:color w:val="231F20"/>
          <w:sz w:val="20"/>
        </w:rPr>
        <w:t>итоги </w:t>
      </w:r>
      <w:r>
        <w:rPr>
          <w:i/>
          <w:color w:val="231F20"/>
          <w:spacing w:val="-2"/>
          <w:sz w:val="20"/>
        </w:rPr>
        <w:t>работы</w:t>
      </w:r>
    </w:p>
    <w:p>
      <w:pPr>
        <w:pStyle w:val="BodyText"/>
        <w:spacing w:line="235" w:lineRule="auto"/>
      </w:pPr>
      <w:r>
        <w:rPr>
          <w:color w:val="231F20"/>
        </w:rPr>
        <w:t>После окончания проекта важно узнать его итоги. Для того чтобы почувствовать </w:t>
      </w:r>
      <w:r>
        <w:rPr>
          <w:color w:val="231F20"/>
          <w:spacing w:val="-2"/>
        </w:rPr>
        <w:t>реальный</w:t>
      </w:r>
      <w:r>
        <w:rPr>
          <w:color w:val="231F20"/>
          <w:spacing w:val="-5"/>
        </w:rPr>
        <w:t> </w:t>
      </w:r>
      <w:r>
        <w:rPr>
          <w:color w:val="231F20"/>
          <w:spacing w:val="-2"/>
        </w:rPr>
        <w:t>результат,</w:t>
      </w:r>
      <w:r>
        <w:rPr>
          <w:color w:val="231F20"/>
          <w:spacing w:val="-6"/>
        </w:rPr>
        <w:t> </w:t>
      </w:r>
      <w:r>
        <w:rPr>
          <w:color w:val="231F20"/>
          <w:spacing w:val="-2"/>
        </w:rPr>
        <w:t>необходима</w:t>
      </w:r>
      <w:r>
        <w:rPr>
          <w:color w:val="231F20"/>
          <w:spacing w:val="-6"/>
        </w:rPr>
        <w:t> </w:t>
      </w:r>
      <w:r>
        <w:rPr>
          <w:color w:val="231F20"/>
          <w:spacing w:val="-2"/>
        </w:rPr>
        <w:t>обратная</w:t>
      </w:r>
      <w:r>
        <w:rPr>
          <w:color w:val="231F20"/>
          <w:spacing w:val="-6"/>
        </w:rPr>
        <w:t> </w:t>
      </w:r>
      <w:r>
        <w:rPr>
          <w:color w:val="231F20"/>
          <w:spacing w:val="-2"/>
        </w:rPr>
        <w:t>связь</w:t>
      </w:r>
      <w:r>
        <w:rPr>
          <w:color w:val="231F20"/>
          <w:spacing w:val="-6"/>
        </w:rPr>
        <w:t> </w:t>
      </w:r>
      <w:r>
        <w:rPr>
          <w:color w:val="231F20"/>
          <w:spacing w:val="-2"/>
        </w:rPr>
        <w:t>от</w:t>
      </w:r>
      <w:r>
        <w:rPr>
          <w:color w:val="231F20"/>
          <w:spacing w:val="-6"/>
        </w:rPr>
        <w:t> </w:t>
      </w:r>
      <w:r>
        <w:rPr>
          <w:color w:val="231F20"/>
          <w:spacing w:val="-2"/>
        </w:rPr>
        <w:t>учителя.</w:t>
      </w:r>
      <w:r>
        <w:rPr>
          <w:color w:val="231F20"/>
          <w:spacing w:val="-6"/>
        </w:rPr>
        <w:t> </w:t>
      </w:r>
      <w:r>
        <w:rPr>
          <w:color w:val="231F20"/>
          <w:spacing w:val="-2"/>
        </w:rPr>
        <w:t>Здесь</w:t>
      </w:r>
      <w:r>
        <w:rPr>
          <w:color w:val="231F20"/>
          <w:spacing w:val="-6"/>
        </w:rPr>
        <w:t> </w:t>
      </w:r>
      <w:r>
        <w:rPr>
          <w:color w:val="231F20"/>
          <w:spacing w:val="-2"/>
        </w:rPr>
        <w:t>необходимо</w:t>
      </w:r>
      <w:r>
        <w:rPr>
          <w:color w:val="231F20"/>
          <w:spacing w:val="-6"/>
        </w:rPr>
        <w:t> </w:t>
      </w:r>
      <w:r>
        <w:rPr>
          <w:color w:val="231F20"/>
          <w:spacing w:val="-2"/>
        </w:rPr>
        <w:t>понять, </w:t>
      </w:r>
      <w:r>
        <w:rPr>
          <w:color w:val="231F20"/>
        </w:rPr>
        <w:t>правильно ли были выбраны инструменты решения задач, насколько хорошо и бы- стро</w:t>
      </w:r>
      <w:r>
        <w:rPr>
          <w:color w:val="231F20"/>
          <w:spacing w:val="-3"/>
        </w:rPr>
        <w:t> </w:t>
      </w:r>
      <w:r>
        <w:rPr>
          <w:color w:val="231F20"/>
        </w:rPr>
        <w:t>команда</w:t>
      </w:r>
      <w:r>
        <w:rPr>
          <w:color w:val="231F20"/>
          <w:spacing w:val="-3"/>
        </w:rPr>
        <w:t> </w:t>
      </w:r>
      <w:r>
        <w:rPr>
          <w:color w:val="231F20"/>
        </w:rPr>
        <w:t>достигла</w:t>
      </w:r>
      <w:r>
        <w:rPr>
          <w:color w:val="231F20"/>
          <w:spacing w:val="-3"/>
        </w:rPr>
        <w:t> </w:t>
      </w:r>
      <w:r>
        <w:rPr>
          <w:color w:val="231F20"/>
        </w:rPr>
        <w:t>цели.</w:t>
      </w:r>
      <w:r>
        <w:rPr>
          <w:color w:val="231F20"/>
          <w:spacing w:val="-3"/>
        </w:rPr>
        <w:t> </w:t>
      </w:r>
      <w:r>
        <w:rPr>
          <w:color w:val="231F20"/>
        </w:rPr>
        <w:t>Озвучивание</w:t>
      </w:r>
      <w:r>
        <w:rPr>
          <w:color w:val="231F20"/>
          <w:spacing w:val="-3"/>
        </w:rPr>
        <w:t> </w:t>
      </w:r>
      <w:r>
        <w:rPr>
          <w:color w:val="231F20"/>
        </w:rPr>
        <w:t>и</w:t>
      </w:r>
      <w:r>
        <w:rPr>
          <w:color w:val="231F20"/>
          <w:spacing w:val="-3"/>
        </w:rPr>
        <w:t> </w:t>
      </w:r>
      <w:r>
        <w:rPr>
          <w:color w:val="231F20"/>
        </w:rPr>
        <w:t>подведение</w:t>
      </w:r>
      <w:r>
        <w:rPr>
          <w:color w:val="231F20"/>
          <w:spacing w:val="-3"/>
        </w:rPr>
        <w:t> </w:t>
      </w:r>
      <w:r>
        <w:rPr>
          <w:color w:val="231F20"/>
        </w:rPr>
        <w:t>итогов</w:t>
      </w:r>
      <w:r>
        <w:rPr>
          <w:color w:val="231F20"/>
          <w:spacing w:val="-3"/>
        </w:rPr>
        <w:t> </w:t>
      </w:r>
      <w:r>
        <w:rPr>
          <w:color w:val="231F20"/>
        </w:rPr>
        <w:t>–</w:t>
      </w:r>
      <w:r>
        <w:rPr>
          <w:color w:val="231F20"/>
          <w:spacing w:val="-3"/>
        </w:rPr>
        <w:t> </w:t>
      </w:r>
      <w:r>
        <w:rPr>
          <w:color w:val="231F20"/>
        </w:rPr>
        <w:t>это</w:t>
      </w:r>
      <w:r>
        <w:rPr>
          <w:color w:val="231F20"/>
          <w:spacing w:val="-3"/>
        </w:rPr>
        <w:t> </w:t>
      </w:r>
      <w:r>
        <w:rPr>
          <w:color w:val="231F20"/>
        </w:rPr>
        <w:t>подтверждение команде, что работа проделана не зря и результат принят.</w:t>
      </w:r>
    </w:p>
    <w:p>
      <w:pPr>
        <w:pStyle w:val="ListParagraph"/>
        <w:numPr>
          <w:ilvl w:val="0"/>
          <w:numId w:val="177"/>
        </w:numPr>
        <w:tabs>
          <w:tab w:pos="424" w:val="left" w:leader="none"/>
        </w:tabs>
        <w:spacing w:line="228" w:lineRule="exact" w:before="54" w:after="0"/>
        <w:ind w:left="424" w:right="0" w:hanging="283"/>
        <w:jc w:val="both"/>
        <w:rPr>
          <w:i/>
          <w:sz w:val="20"/>
        </w:rPr>
      </w:pPr>
      <w:r>
        <w:rPr>
          <w:i/>
          <w:color w:val="231F20"/>
          <w:sz w:val="20"/>
        </w:rPr>
        <w:t>Обрисовать</w:t>
      </w:r>
      <w:r>
        <w:rPr>
          <w:i/>
          <w:color w:val="231F20"/>
          <w:spacing w:val="-13"/>
          <w:sz w:val="20"/>
        </w:rPr>
        <w:t> </w:t>
      </w:r>
      <w:r>
        <w:rPr>
          <w:i/>
          <w:color w:val="231F20"/>
          <w:spacing w:val="-2"/>
          <w:sz w:val="20"/>
        </w:rPr>
        <w:t>ретроспективу</w:t>
      </w:r>
    </w:p>
    <w:p>
      <w:pPr>
        <w:pStyle w:val="BodyText"/>
        <w:spacing w:line="235" w:lineRule="auto" w:before="2"/>
      </w:pPr>
      <w:r>
        <w:rPr>
          <w:color w:val="231F20"/>
        </w:rPr>
        <w:t>В конце работы у каждого участника есть возможность проанализировать свой вклад, свои чувства во время работы и после нее. Дополнительно на этом шаге об- суждается,</w:t>
      </w:r>
      <w:r>
        <w:rPr>
          <w:color w:val="231F20"/>
          <w:spacing w:val="16"/>
        </w:rPr>
        <w:t> </w:t>
      </w:r>
      <w:r>
        <w:rPr>
          <w:color w:val="231F20"/>
        </w:rPr>
        <w:t>как</w:t>
      </w:r>
      <w:r>
        <w:rPr>
          <w:color w:val="231F20"/>
          <w:spacing w:val="16"/>
        </w:rPr>
        <w:t> </w:t>
      </w:r>
      <w:r>
        <w:rPr>
          <w:color w:val="231F20"/>
        </w:rPr>
        <w:t>проходило</w:t>
      </w:r>
      <w:r>
        <w:rPr>
          <w:color w:val="231F20"/>
          <w:spacing w:val="16"/>
        </w:rPr>
        <w:t> </w:t>
      </w:r>
      <w:r>
        <w:rPr>
          <w:color w:val="231F20"/>
        </w:rPr>
        <w:t>взаимодействие.</w:t>
      </w:r>
      <w:r>
        <w:rPr>
          <w:color w:val="231F20"/>
          <w:spacing w:val="16"/>
        </w:rPr>
        <w:t> </w:t>
      </w:r>
      <w:r>
        <w:rPr>
          <w:color w:val="231F20"/>
        </w:rPr>
        <w:t>Это</w:t>
      </w:r>
      <w:r>
        <w:rPr>
          <w:color w:val="231F20"/>
          <w:spacing w:val="16"/>
        </w:rPr>
        <w:t> </w:t>
      </w:r>
      <w:r>
        <w:rPr>
          <w:color w:val="231F20"/>
        </w:rPr>
        <w:t>настройка</w:t>
      </w:r>
      <w:r>
        <w:rPr>
          <w:color w:val="231F20"/>
          <w:spacing w:val="16"/>
        </w:rPr>
        <w:t> </w:t>
      </w:r>
      <w:r>
        <w:rPr>
          <w:color w:val="231F20"/>
        </w:rPr>
        <w:t>команды</w:t>
      </w:r>
      <w:r>
        <w:rPr>
          <w:color w:val="231F20"/>
          <w:spacing w:val="16"/>
        </w:rPr>
        <w:t> </w:t>
      </w:r>
      <w:r>
        <w:rPr>
          <w:color w:val="231F20"/>
        </w:rPr>
        <w:t>на</w:t>
      </w:r>
      <w:r>
        <w:rPr>
          <w:color w:val="231F20"/>
          <w:spacing w:val="16"/>
        </w:rPr>
        <w:t> </w:t>
      </w:r>
      <w:r>
        <w:rPr>
          <w:color w:val="231F20"/>
        </w:rPr>
        <w:t>работу</w:t>
      </w:r>
      <w:r>
        <w:rPr>
          <w:color w:val="231F20"/>
          <w:spacing w:val="16"/>
        </w:rPr>
        <w:t> </w:t>
      </w:r>
      <w:r>
        <w:rPr>
          <w:color w:val="231F20"/>
        </w:rPr>
        <w:t>друг с другом для того, чтобы с каждым новым проектом еще лучше взаимодействовать, фокусируясь на цели работы, а не на проблемах в общении.</w:t>
      </w:r>
    </w:p>
    <w:p>
      <w:pPr>
        <w:pStyle w:val="BodyText"/>
        <w:spacing w:after="0" w:line="235" w:lineRule="auto"/>
        <w:sectPr>
          <w:pgSz w:w="8400" w:h="11910"/>
          <w:pgMar w:header="0" w:footer="527" w:top="400" w:bottom="720" w:left="425" w:right="425"/>
        </w:sectPr>
      </w:pPr>
    </w:p>
    <w:p>
      <w:pPr>
        <w:pStyle w:val="ListParagraph"/>
        <w:numPr>
          <w:ilvl w:val="1"/>
          <w:numId w:val="109"/>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Методы</w:t>
      </w:r>
      <w:r>
        <w:rPr>
          <w:rFonts w:ascii="Georgia" w:hAnsi="Georgia"/>
          <w:color w:val="231F20"/>
          <w:spacing w:val="3"/>
          <w:sz w:val="18"/>
        </w:rPr>
        <w:t> </w:t>
      </w:r>
      <w:r>
        <w:rPr>
          <w:rFonts w:ascii="Georgia" w:hAnsi="Georgia"/>
          <w:color w:val="231F20"/>
          <w:sz w:val="18"/>
        </w:rPr>
        <w:t>учебной</w:t>
      </w:r>
      <w:r>
        <w:rPr>
          <w:rFonts w:ascii="Georgia" w:hAnsi="Georgia"/>
          <w:color w:val="231F20"/>
          <w:spacing w:val="3"/>
          <w:sz w:val="18"/>
        </w:rPr>
        <w:t> </w:t>
      </w:r>
      <w:r>
        <w:rPr>
          <w:rFonts w:ascii="Georgia" w:hAnsi="Georgia"/>
          <w:color w:val="231F20"/>
          <w:sz w:val="18"/>
        </w:rPr>
        <w:t>работы</w:t>
      </w:r>
      <w:r>
        <w:rPr>
          <w:rFonts w:ascii="Georgia" w:hAnsi="Georgia"/>
          <w:color w:val="231F20"/>
          <w:spacing w:val="3"/>
          <w:sz w:val="18"/>
        </w:rPr>
        <w:t> </w:t>
      </w:r>
      <w:r>
        <w:rPr>
          <w:rFonts w:ascii="Georgia" w:hAnsi="Georgia"/>
          <w:color w:val="231F20"/>
          <w:sz w:val="18"/>
        </w:rPr>
        <w:t>для</w:t>
      </w:r>
      <w:r>
        <w:rPr>
          <w:rFonts w:ascii="Georgia" w:hAnsi="Georgia"/>
          <w:color w:val="231F20"/>
          <w:spacing w:val="3"/>
          <w:sz w:val="18"/>
        </w:rPr>
        <w:t> </w:t>
      </w:r>
      <w:r>
        <w:rPr>
          <w:rFonts w:ascii="Georgia" w:hAnsi="Georgia"/>
          <w:color w:val="231F20"/>
          <w:sz w:val="18"/>
        </w:rPr>
        <w:t>адаптации</w:t>
      </w:r>
      <w:r>
        <w:rPr>
          <w:rFonts w:ascii="Georgia" w:hAnsi="Georgia"/>
          <w:color w:val="231F20"/>
          <w:spacing w:val="3"/>
          <w:sz w:val="18"/>
        </w:rPr>
        <w:t> </w:t>
      </w:r>
      <w:r>
        <w:rPr>
          <w:rFonts w:ascii="Georgia" w:hAnsi="Georgia"/>
          <w:color w:val="231F20"/>
          <w:sz w:val="18"/>
        </w:rPr>
        <w:t>детей</w:t>
      </w:r>
      <w:r>
        <w:rPr>
          <w:rFonts w:ascii="Georgia" w:hAnsi="Georgia"/>
          <w:color w:val="231F20"/>
          <w:spacing w:val="3"/>
          <w:sz w:val="18"/>
        </w:rPr>
        <w:t> </w:t>
      </w:r>
      <w:r>
        <w:rPr>
          <w:rFonts w:ascii="Georgia" w:hAnsi="Georgia"/>
          <w:color w:val="231F20"/>
          <w:sz w:val="18"/>
        </w:rPr>
        <w:t>...</w:t>
      </w:r>
      <w:r>
        <w:rPr>
          <w:rFonts w:ascii="Georgia" w:hAnsi="Georgia"/>
          <w:color w:val="231F20"/>
          <w:spacing w:val="3"/>
          <w:sz w:val="18"/>
        </w:rPr>
        <w:t> </w:t>
      </w:r>
      <w:r>
        <w:rPr>
          <w:rFonts w:ascii="Georgia" w:hAnsi="Georgia"/>
          <w:color w:val="231F20"/>
          <w:sz w:val="18"/>
        </w:rPr>
        <w:t>во</w:t>
      </w:r>
      <w:r>
        <w:rPr>
          <w:rFonts w:ascii="Georgia" w:hAnsi="Georgia"/>
          <w:color w:val="231F20"/>
          <w:spacing w:val="4"/>
          <w:sz w:val="18"/>
        </w:rPr>
        <w:t> </w:t>
      </w:r>
      <w:r>
        <w:rPr>
          <w:rFonts w:ascii="Georgia" w:hAnsi="Georgia"/>
          <w:color w:val="231F20"/>
          <w:spacing w:val="-2"/>
          <w:sz w:val="18"/>
        </w:rPr>
        <w:t>взаимодействии...</w:t>
      </w:r>
    </w:p>
    <w:p>
      <w:pPr>
        <w:pStyle w:val="BodyText"/>
        <w:spacing w:line="235" w:lineRule="auto" w:before="116"/>
      </w:pPr>
      <w:r>
        <w:rPr>
          <w:color w:val="231F20"/>
        </w:rPr>
        <w:t>В завершение отметим, что на данный момент у российских педагогов уже на- работан определенный опыт использования технологий обучения в сотрудничестве. Причем</w:t>
      </w:r>
      <w:r>
        <w:rPr>
          <w:color w:val="231F20"/>
          <w:spacing w:val="-13"/>
        </w:rPr>
        <w:t> </w:t>
      </w:r>
      <w:r>
        <w:rPr>
          <w:color w:val="231F20"/>
        </w:rPr>
        <w:t>в</w:t>
      </w:r>
      <w:r>
        <w:rPr>
          <w:color w:val="231F20"/>
          <w:spacing w:val="-12"/>
        </w:rPr>
        <w:t> </w:t>
      </w:r>
      <w:r>
        <w:rPr>
          <w:color w:val="231F20"/>
        </w:rPr>
        <w:t>той</w:t>
      </w:r>
      <w:r>
        <w:rPr>
          <w:color w:val="231F20"/>
          <w:spacing w:val="-13"/>
        </w:rPr>
        <w:t> </w:t>
      </w:r>
      <w:r>
        <w:rPr>
          <w:color w:val="231F20"/>
        </w:rPr>
        <w:t>или</w:t>
      </w:r>
      <w:r>
        <w:rPr>
          <w:color w:val="231F20"/>
          <w:spacing w:val="-12"/>
        </w:rPr>
        <w:t> </w:t>
      </w:r>
      <w:r>
        <w:rPr>
          <w:color w:val="231F20"/>
        </w:rPr>
        <w:t>иной</w:t>
      </w:r>
      <w:r>
        <w:rPr>
          <w:color w:val="231F20"/>
          <w:spacing w:val="-13"/>
        </w:rPr>
        <w:t> </w:t>
      </w:r>
      <w:r>
        <w:rPr>
          <w:color w:val="231F20"/>
        </w:rPr>
        <w:t>степени</w:t>
      </w:r>
      <w:r>
        <w:rPr>
          <w:color w:val="231F20"/>
          <w:spacing w:val="-12"/>
        </w:rPr>
        <w:t> </w:t>
      </w:r>
      <w:r>
        <w:rPr>
          <w:color w:val="231F20"/>
        </w:rPr>
        <w:t>данные</w:t>
      </w:r>
      <w:r>
        <w:rPr>
          <w:color w:val="231F20"/>
          <w:spacing w:val="-13"/>
        </w:rPr>
        <w:t> </w:t>
      </w:r>
      <w:r>
        <w:rPr>
          <w:color w:val="231F20"/>
        </w:rPr>
        <w:t>технологии</w:t>
      </w:r>
      <w:r>
        <w:rPr>
          <w:color w:val="231F20"/>
          <w:spacing w:val="-12"/>
        </w:rPr>
        <w:t> </w:t>
      </w:r>
      <w:r>
        <w:rPr>
          <w:color w:val="231F20"/>
        </w:rPr>
        <w:t>применялись</w:t>
      </w:r>
      <w:r>
        <w:rPr>
          <w:color w:val="231F20"/>
          <w:spacing w:val="-13"/>
        </w:rPr>
        <w:t> </w:t>
      </w:r>
      <w:r>
        <w:rPr>
          <w:color w:val="231F20"/>
        </w:rPr>
        <w:t>практически</w:t>
      </w:r>
      <w:r>
        <w:rPr>
          <w:color w:val="231F20"/>
          <w:spacing w:val="-12"/>
        </w:rPr>
        <w:t> </w:t>
      </w:r>
      <w:r>
        <w:rPr>
          <w:color w:val="231F20"/>
        </w:rPr>
        <w:t>во</w:t>
      </w:r>
      <w:r>
        <w:rPr>
          <w:color w:val="231F20"/>
          <w:spacing w:val="-13"/>
        </w:rPr>
        <w:t> </w:t>
      </w:r>
      <w:r>
        <w:rPr>
          <w:color w:val="231F20"/>
        </w:rPr>
        <w:t>всех учебных дисциплинах: русский язык, математика, история, география, английский язык,</w:t>
      </w:r>
      <w:r>
        <w:rPr>
          <w:color w:val="231F20"/>
          <w:spacing w:val="-5"/>
        </w:rPr>
        <w:t> </w:t>
      </w:r>
      <w:r>
        <w:rPr>
          <w:color w:val="231F20"/>
        </w:rPr>
        <w:t>немецкий</w:t>
      </w:r>
      <w:r>
        <w:rPr>
          <w:color w:val="231F20"/>
          <w:spacing w:val="-5"/>
        </w:rPr>
        <w:t> </w:t>
      </w:r>
      <w:r>
        <w:rPr>
          <w:color w:val="231F20"/>
        </w:rPr>
        <w:t>язык,</w:t>
      </w:r>
      <w:r>
        <w:rPr>
          <w:color w:val="231F20"/>
          <w:spacing w:val="-5"/>
        </w:rPr>
        <w:t> </w:t>
      </w:r>
      <w:r>
        <w:rPr>
          <w:color w:val="231F20"/>
        </w:rPr>
        <w:t>окружающий</w:t>
      </w:r>
      <w:r>
        <w:rPr>
          <w:color w:val="231F20"/>
          <w:spacing w:val="-5"/>
        </w:rPr>
        <w:t> </w:t>
      </w:r>
      <w:r>
        <w:rPr>
          <w:color w:val="231F20"/>
        </w:rPr>
        <w:t>мир,</w:t>
      </w:r>
      <w:r>
        <w:rPr>
          <w:color w:val="231F20"/>
          <w:spacing w:val="-5"/>
        </w:rPr>
        <w:t> </w:t>
      </w:r>
      <w:r>
        <w:rPr>
          <w:color w:val="231F20"/>
        </w:rPr>
        <w:t>литературное</w:t>
      </w:r>
      <w:r>
        <w:rPr>
          <w:color w:val="231F20"/>
          <w:spacing w:val="-5"/>
        </w:rPr>
        <w:t> </w:t>
      </w:r>
      <w:r>
        <w:rPr>
          <w:color w:val="231F20"/>
        </w:rPr>
        <w:t>чтение,</w:t>
      </w:r>
      <w:r>
        <w:rPr>
          <w:color w:val="231F20"/>
          <w:spacing w:val="-5"/>
        </w:rPr>
        <w:t> </w:t>
      </w:r>
      <w:r>
        <w:rPr>
          <w:color w:val="231F20"/>
        </w:rPr>
        <w:t>биология,</w:t>
      </w:r>
      <w:r>
        <w:rPr>
          <w:color w:val="231F20"/>
          <w:spacing w:val="-5"/>
        </w:rPr>
        <w:t> </w:t>
      </w:r>
      <w:r>
        <w:rPr>
          <w:color w:val="231F20"/>
        </w:rPr>
        <w:t>химия</w:t>
      </w:r>
      <w:r>
        <w:rPr>
          <w:color w:val="231F20"/>
          <w:spacing w:val="-5"/>
        </w:rPr>
        <w:t> </w:t>
      </w:r>
      <w:r>
        <w:rPr>
          <w:color w:val="231F20"/>
        </w:rPr>
        <w:t>и</w:t>
      </w:r>
      <w:r>
        <w:rPr>
          <w:color w:val="231F20"/>
          <w:spacing w:val="-5"/>
        </w:rPr>
        <w:t> </w:t>
      </w:r>
      <w:r>
        <w:rPr>
          <w:color w:val="231F20"/>
        </w:rPr>
        <w:t>др. Что</w:t>
      </w:r>
      <w:r>
        <w:rPr>
          <w:color w:val="231F20"/>
          <w:spacing w:val="-10"/>
        </w:rPr>
        <w:t> </w:t>
      </w:r>
      <w:r>
        <w:rPr>
          <w:color w:val="231F20"/>
        </w:rPr>
        <w:t>касается</w:t>
      </w:r>
      <w:r>
        <w:rPr>
          <w:color w:val="231F20"/>
          <w:spacing w:val="-10"/>
        </w:rPr>
        <w:t> </w:t>
      </w:r>
      <w:r>
        <w:rPr>
          <w:color w:val="231F20"/>
        </w:rPr>
        <w:t>возраста</w:t>
      </w:r>
      <w:r>
        <w:rPr>
          <w:color w:val="231F20"/>
          <w:spacing w:val="-10"/>
        </w:rPr>
        <w:t> </w:t>
      </w:r>
      <w:r>
        <w:rPr>
          <w:color w:val="231F20"/>
        </w:rPr>
        <w:t>учащихся,</w:t>
      </w:r>
      <w:r>
        <w:rPr>
          <w:color w:val="231F20"/>
          <w:spacing w:val="-10"/>
        </w:rPr>
        <w:t> </w:t>
      </w:r>
      <w:r>
        <w:rPr>
          <w:color w:val="231F20"/>
        </w:rPr>
        <w:t>участвующих</w:t>
      </w:r>
      <w:r>
        <w:rPr>
          <w:color w:val="231F20"/>
          <w:spacing w:val="-10"/>
        </w:rPr>
        <w:t> </w:t>
      </w:r>
      <w:r>
        <w:rPr>
          <w:color w:val="231F20"/>
        </w:rPr>
        <w:t>в</w:t>
      </w:r>
      <w:r>
        <w:rPr>
          <w:color w:val="231F20"/>
          <w:spacing w:val="-10"/>
        </w:rPr>
        <w:t> </w:t>
      </w:r>
      <w:r>
        <w:rPr>
          <w:color w:val="231F20"/>
        </w:rPr>
        <w:t>обучении</w:t>
      </w:r>
      <w:r>
        <w:rPr>
          <w:color w:val="231F20"/>
          <w:spacing w:val="-10"/>
        </w:rPr>
        <w:t> </w:t>
      </w:r>
      <w:r>
        <w:rPr>
          <w:color w:val="231F20"/>
        </w:rPr>
        <w:t>в</w:t>
      </w:r>
      <w:r>
        <w:rPr>
          <w:color w:val="231F20"/>
          <w:spacing w:val="-10"/>
        </w:rPr>
        <w:t> </w:t>
      </w:r>
      <w:r>
        <w:rPr>
          <w:color w:val="231F20"/>
        </w:rPr>
        <w:t>сотрудничестве,</w:t>
      </w:r>
      <w:r>
        <w:rPr>
          <w:color w:val="231F20"/>
          <w:spacing w:val="-10"/>
        </w:rPr>
        <w:t> </w:t>
      </w:r>
      <w:r>
        <w:rPr>
          <w:color w:val="231F20"/>
        </w:rPr>
        <w:t>то</w:t>
      </w:r>
      <w:r>
        <w:rPr>
          <w:color w:val="231F20"/>
          <w:spacing w:val="-10"/>
        </w:rPr>
        <w:t> </w:t>
      </w:r>
      <w:r>
        <w:rPr>
          <w:color w:val="231F20"/>
        </w:rPr>
        <w:t>чаще всего</w:t>
      </w:r>
      <w:r>
        <w:rPr>
          <w:color w:val="231F20"/>
          <w:spacing w:val="-1"/>
        </w:rPr>
        <w:t> </w:t>
      </w:r>
      <w:r>
        <w:rPr>
          <w:color w:val="231F20"/>
        </w:rPr>
        <w:t>ими</w:t>
      </w:r>
      <w:r>
        <w:rPr>
          <w:color w:val="231F20"/>
          <w:spacing w:val="-1"/>
        </w:rPr>
        <w:t> </w:t>
      </w:r>
      <w:r>
        <w:rPr>
          <w:color w:val="231F20"/>
        </w:rPr>
        <w:t>становятся</w:t>
      </w:r>
      <w:r>
        <w:rPr>
          <w:color w:val="231F20"/>
          <w:spacing w:val="-1"/>
        </w:rPr>
        <w:t> </w:t>
      </w:r>
      <w:r>
        <w:rPr>
          <w:color w:val="231F20"/>
        </w:rPr>
        <w:t>учащиеся</w:t>
      </w:r>
      <w:r>
        <w:rPr>
          <w:color w:val="231F20"/>
          <w:spacing w:val="-1"/>
        </w:rPr>
        <w:t> </w:t>
      </w:r>
      <w:r>
        <w:rPr>
          <w:color w:val="231F20"/>
        </w:rPr>
        <w:t>средней</w:t>
      </w:r>
      <w:r>
        <w:rPr>
          <w:color w:val="231F20"/>
          <w:spacing w:val="-1"/>
        </w:rPr>
        <w:t> </w:t>
      </w:r>
      <w:r>
        <w:rPr>
          <w:color w:val="231F20"/>
        </w:rPr>
        <w:t>и</w:t>
      </w:r>
      <w:r>
        <w:rPr>
          <w:color w:val="231F20"/>
          <w:spacing w:val="-1"/>
        </w:rPr>
        <w:t> </w:t>
      </w:r>
      <w:r>
        <w:rPr>
          <w:color w:val="231F20"/>
        </w:rPr>
        <w:t>старшей</w:t>
      </w:r>
      <w:r>
        <w:rPr>
          <w:color w:val="231F20"/>
          <w:spacing w:val="-1"/>
        </w:rPr>
        <w:t> </w:t>
      </w:r>
      <w:r>
        <w:rPr>
          <w:color w:val="231F20"/>
        </w:rPr>
        <w:t>школы,</w:t>
      </w:r>
      <w:r>
        <w:rPr>
          <w:color w:val="231F20"/>
          <w:spacing w:val="-1"/>
        </w:rPr>
        <w:t> </w:t>
      </w:r>
      <w:r>
        <w:rPr>
          <w:color w:val="231F20"/>
        </w:rPr>
        <w:t>однако</w:t>
      </w:r>
      <w:r>
        <w:rPr>
          <w:color w:val="231F20"/>
          <w:spacing w:val="-1"/>
        </w:rPr>
        <w:t> </w:t>
      </w:r>
      <w:r>
        <w:rPr>
          <w:color w:val="231F20"/>
        </w:rPr>
        <w:t>описан</w:t>
      </w:r>
      <w:r>
        <w:rPr>
          <w:color w:val="231F20"/>
          <w:spacing w:val="-1"/>
        </w:rPr>
        <w:t> </w:t>
      </w:r>
      <w:r>
        <w:rPr>
          <w:color w:val="231F20"/>
        </w:rPr>
        <w:t>опыт</w:t>
      </w:r>
      <w:r>
        <w:rPr>
          <w:color w:val="231F20"/>
          <w:spacing w:val="-1"/>
        </w:rPr>
        <w:t> </w:t>
      </w:r>
      <w:r>
        <w:rPr>
          <w:color w:val="231F20"/>
        </w:rPr>
        <w:t>при- менения подобных технологий и в начальной школе.</w:t>
      </w:r>
    </w:p>
    <w:p>
      <w:pPr>
        <w:pStyle w:val="BodyText"/>
        <w:spacing w:line="235" w:lineRule="auto" w:before="5"/>
      </w:pPr>
      <w:r>
        <w:rPr>
          <w:color w:val="231F20"/>
        </w:rPr>
        <w:t>Наиболее часто, как показывает анализ публикаций в интернете, обучение в со- трудничестве</w:t>
      </w:r>
      <w:r>
        <w:rPr>
          <w:color w:val="231F20"/>
          <w:spacing w:val="-4"/>
        </w:rPr>
        <w:t> </w:t>
      </w:r>
      <w:r>
        <w:rPr>
          <w:color w:val="231F20"/>
        </w:rPr>
        <w:t>применяется</w:t>
      </w:r>
      <w:r>
        <w:rPr>
          <w:color w:val="231F20"/>
          <w:spacing w:val="-4"/>
        </w:rPr>
        <w:t> </w:t>
      </w:r>
      <w:r>
        <w:rPr>
          <w:color w:val="231F20"/>
        </w:rPr>
        <w:t>на</w:t>
      </w:r>
      <w:r>
        <w:rPr>
          <w:color w:val="231F20"/>
          <w:spacing w:val="-4"/>
        </w:rPr>
        <w:t> </w:t>
      </w:r>
      <w:r>
        <w:rPr>
          <w:color w:val="231F20"/>
        </w:rPr>
        <w:t>уроках</w:t>
      </w:r>
      <w:r>
        <w:rPr>
          <w:color w:val="231F20"/>
          <w:spacing w:val="-4"/>
        </w:rPr>
        <w:t> </w:t>
      </w:r>
      <w:r>
        <w:rPr>
          <w:color w:val="231F20"/>
        </w:rPr>
        <w:t>иностранного</w:t>
      </w:r>
      <w:r>
        <w:rPr>
          <w:color w:val="231F20"/>
          <w:spacing w:val="-4"/>
        </w:rPr>
        <w:t> </w:t>
      </w:r>
      <w:r>
        <w:rPr>
          <w:color w:val="231F20"/>
        </w:rPr>
        <w:t>(английского)</w:t>
      </w:r>
      <w:r>
        <w:rPr>
          <w:color w:val="231F20"/>
          <w:spacing w:val="-4"/>
        </w:rPr>
        <w:t> </w:t>
      </w:r>
      <w:r>
        <w:rPr>
          <w:color w:val="231F20"/>
        </w:rPr>
        <w:t>языка.</w:t>
      </w:r>
      <w:r>
        <w:rPr>
          <w:color w:val="231F20"/>
          <w:spacing w:val="-4"/>
        </w:rPr>
        <w:t> </w:t>
      </w:r>
      <w:r>
        <w:rPr>
          <w:color w:val="231F20"/>
        </w:rPr>
        <w:t>И</w:t>
      </w:r>
      <w:r>
        <w:rPr>
          <w:color w:val="231F20"/>
          <w:spacing w:val="-4"/>
        </w:rPr>
        <w:t> </w:t>
      </w:r>
      <w:r>
        <w:rPr>
          <w:color w:val="231F20"/>
        </w:rPr>
        <w:t>это</w:t>
      </w:r>
      <w:r>
        <w:rPr>
          <w:color w:val="231F20"/>
          <w:spacing w:val="-4"/>
        </w:rPr>
        <w:t> </w:t>
      </w:r>
      <w:r>
        <w:rPr>
          <w:color w:val="231F20"/>
        </w:rPr>
        <w:t>впол- не</w:t>
      </w:r>
      <w:r>
        <w:rPr>
          <w:color w:val="231F20"/>
          <w:spacing w:val="-1"/>
        </w:rPr>
        <w:t> </w:t>
      </w:r>
      <w:r>
        <w:rPr>
          <w:color w:val="231F20"/>
        </w:rPr>
        <w:t>логично,</w:t>
      </w:r>
      <w:r>
        <w:rPr>
          <w:color w:val="231F20"/>
          <w:spacing w:val="-1"/>
        </w:rPr>
        <w:t> </w:t>
      </w:r>
      <w:r>
        <w:rPr>
          <w:color w:val="231F20"/>
        </w:rPr>
        <w:t>поскольку</w:t>
      </w:r>
      <w:r>
        <w:rPr>
          <w:color w:val="231F20"/>
          <w:spacing w:val="-1"/>
        </w:rPr>
        <w:t> </w:t>
      </w:r>
      <w:r>
        <w:rPr>
          <w:color w:val="231F20"/>
        </w:rPr>
        <w:t>позволяет</w:t>
      </w:r>
      <w:r>
        <w:rPr>
          <w:color w:val="231F20"/>
          <w:spacing w:val="-1"/>
        </w:rPr>
        <w:t> </w:t>
      </w:r>
      <w:r>
        <w:rPr>
          <w:color w:val="231F20"/>
        </w:rPr>
        <w:t>учащимся</w:t>
      </w:r>
      <w:r>
        <w:rPr>
          <w:color w:val="231F20"/>
          <w:spacing w:val="-1"/>
        </w:rPr>
        <w:t> </w:t>
      </w:r>
      <w:r>
        <w:rPr>
          <w:color w:val="231F20"/>
        </w:rPr>
        <w:t>намного</w:t>
      </w:r>
      <w:r>
        <w:rPr>
          <w:color w:val="231F20"/>
          <w:spacing w:val="-1"/>
        </w:rPr>
        <w:t> </w:t>
      </w:r>
      <w:r>
        <w:rPr>
          <w:color w:val="231F20"/>
        </w:rPr>
        <w:t>эффективнее</w:t>
      </w:r>
      <w:r>
        <w:rPr>
          <w:color w:val="231F20"/>
          <w:spacing w:val="-1"/>
        </w:rPr>
        <w:t> </w:t>
      </w:r>
      <w:r>
        <w:rPr>
          <w:color w:val="231F20"/>
        </w:rPr>
        <w:t>коммуницировать друг с другом, таким образом развивая языковые навыки.</w:t>
      </w:r>
    </w:p>
    <w:p>
      <w:pPr>
        <w:pStyle w:val="BodyText"/>
        <w:spacing w:line="235" w:lineRule="auto" w:before="2"/>
      </w:pPr>
      <w:r>
        <w:rPr>
          <w:color w:val="231F20"/>
        </w:rPr>
        <w:t>Исходя</w:t>
      </w:r>
      <w:r>
        <w:rPr>
          <w:color w:val="231F20"/>
          <w:spacing w:val="-6"/>
        </w:rPr>
        <w:t> </w:t>
      </w:r>
      <w:r>
        <w:rPr>
          <w:color w:val="231F20"/>
        </w:rPr>
        <w:t>из</w:t>
      </w:r>
      <w:r>
        <w:rPr>
          <w:color w:val="231F20"/>
          <w:spacing w:val="-6"/>
        </w:rPr>
        <w:t> </w:t>
      </w:r>
      <w:r>
        <w:rPr>
          <w:color w:val="231F20"/>
        </w:rPr>
        <w:t>этого,</w:t>
      </w:r>
      <w:r>
        <w:rPr>
          <w:color w:val="231F20"/>
          <w:spacing w:val="-6"/>
        </w:rPr>
        <w:t> </w:t>
      </w:r>
      <w:r>
        <w:rPr>
          <w:color w:val="231F20"/>
        </w:rPr>
        <w:t>для</w:t>
      </w:r>
      <w:r>
        <w:rPr>
          <w:color w:val="231F20"/>
          <w:spacing w:val="-6"/>
        </w:rPr>
        <w:t> </w:t>
      </w:r>
      <w:r>
        <w:rPr>
          <w:color w:val="231F20"/>
        </w:rPr>
        <w:t>тех</w:t>
      </w:r>
      <w:r>
        <w:rPr>
          <w:color w:val="231F20"/>
          <w:spacing w:val="-6"/>
        </w:rPr>
        <w:t> </w:t>
      </w:r>
      <w:r>
        <w:rPr>
          <w:color w:val="231F20"/>
        </w:rPr>
        <w:t>учащихся,</w:t>
      </w:r>
      <w:r>
        <w:rPr>
          <w:color w:val="231F20"/>
          <w:spacing w:val="-6"/>
        </w:rPr>
        <w:t> </w:t>
      </w:r>
      <w:r>
        <w:rPr>
          <w:color w:val="231F20"/>
        </w:rPr>
        <w:t>для</w:t>
      </w:r>
      <w:r>
        <w:rPr>
          <w:color w:val="231F20"/>
          <w:spacing w:val="-6"/>
        </w:rPr>
        <w:t> </w:t>
      </w:r>
      <w:r>
        <w:rPr>
          <w:color w:val="231F20"/>
        </w:rPr>
        <w:t>кого</w:t>
      </w:r>
      <w:r>
        <w:rPr>
          <w:color w:val="231F20"/>
          <w:spacing w:val="-6"/>
        </w:rPr>
        <w:t> </w:t>
      </w:r>
      <w:r>
        <w:rPr>
          <w:color w:val="231F20"/>
        </w:rPr>
        <w:t>русский</w:t>
      </w:r>
      <w:r>
        <w:rPr>
          <w:color w:val="231F20"/>
          <w:spacing w:val="-6"/>
        </w:rPr>
        <w:t> </w:t>
      </w:r>
      <w:r>
        <w:rPr>
          <w:color w:val="231F20"/>
        </w:rPr>
        <w:t>не</w:t>
      </w:r>
      <w:r>
        <w:rPr>
          <w:color w:val="231F20"/>
          <w:spacing w:val="-6"/>
        </w:rPr>
        <w:t> </w:t>
      </w:r>
      <w:r>
        <w:rPr>
          <w:color w:val="231F20"/>
        </w:rPr>
        <w:t>является</w:t>
      </w:r>
      <w:r>
        <w:rPr>
          <w:color w:val="231F20"/>
          <w:spacing w:val="-6"/>
        </w:rPr>
        <w:t> </w:t>
      </w:r>
      <w:r>
        <w:rPr>
          <w:color w:val="231F20"/>
        </w:rPr>
        <w:t>родным</w:t>
      </w:r>
      <w:r>
        <w:rPr>
          <w:color w:val="231F20"/>
          <w:spacing w:val="-6"/>
        </w:rPr>
        <w:t> </w:t>
      </w:r>
      <w:r>
        <w:rPr>
          <w:color w:val="231F20"/>
        </w:rPr>
        <w:t>языком, обучение</w:t>
      </w:r>
      <w:r>
        <w:rPr>
          <w:color w:val="231F20"/>
          <w:spacing w:val="-4"/>
        </w:rPr>
        <w:t> </w:t>
      </w:r>
      <w:r>
        <w:rPr>
          <w:color w:val="231F20"/>
        </w:rPr>
        <w:t>в</w:t>
      </w:r>
      <w:r>
        <w:rPr>
          <w:color w:val="231F20"/>
          <w:spacing w:val="-4"/>
        </w:rPr>
        <w:t> </w:t>
      </w:r>
      <w:r>
        <w:rPr>
          <w:color w:val="231F20"/>
        </w:rPr>
        <w:t>сотрудничестве</w:t>
      </w:r>
      <w:r>
        <w:rPr>
          <w:color w:val="231F20"/>
          <w:spacing w:val="-4"/>
        </w:rPr>
        <w:t> </w:t>
      </w:r>
      <w:r>
        <w:rPr>
          <w:color w:val="231F20"/>
        </w:rPr>
        <w:t>–</w:t>
      </w:r>
      <w:r>
        <w:rPr>
          <w:color w:val="231F20"/>
          <w:spacing w:val="-4"/>
        </w:rPr>
        <w:t> </w:t>
      </w:r>
      <w:r>
        <w:rPr>
          <w:color w:val="231F20"/>
        </w:rPr>
        <w:t>хорошая</w:t>
      </w:r>
      <w:r>
        <w:rPr>
          <w:color w:val="231F20"/>
          <w:spacing w:val="-4"/>
        </w:rPr>
        <w:t> </w:t>
      </w:r>
      <w:r>
        <w:rPr>
          <w:color w:val="231F20"/>
        </w:rPr>
        <w:t>возможность</w:t>
      </w:r>
      <w:r>
        <w:rPr>
          <w:color w:val="231F20"/>
          <w:spacing w:val="-4"/>
        </w:rPr>
        <w:t> </w:t>
      </w:r>
      <w:r>
        <w:rPr>
          <w:color w:val="231F20"/>
        </w:rPr>
        <w:t>улучшить</w:t>
      </w:r>
      <w:r>
        <w:rPr>
          <w:color w:val="231F20"/>
          <w:spacing w:val="-4"/>
        </w:rPr>
        <w:t> </w:t>
      </w:r>
      <w:r>
        <w:rPr>
          <w:color w:val="231F20"/>
        </w:rPr>
        <w:t>свои</w:t>
      </w:r>
      <w:r>
        <w:rPr>
          <w:color w:val="231F20"/>
          <w:spacing w:val="-4"/>
        </w:rPr>
        <w:t> </w:t>
      </w:r>
      <w:r>
        <w:rPr>
          <w:color w:val="231F20"/>
        </w:rPr>
        <w:t>знания</w:t>
      </w:r>
      <w:r>
        <w:rPr>
          <w:color w:val="231F20"/>
          <w:spacing w:val="-4"/>
        </w:rPr>
        <w:t> </w:t>
      </w:r>
      <w:r>
        <w:rPr>
          <w:color w:val="231F20"/>
        </w:rPr>
        <w:t>и</w:t>
      </w:r>
      <w:r>
        <w:rPr>
          <w:color w:val="231F20"/>
          <w:spacing w:val="-4"/>
        </w:rPr>
        <w:t> </w:t>
      </w:r>
      <w:r>
        <w:rPr>
          <w:color w:val="231F20"/>
        </w:rPr>
        <w:t>умения, поскольку</w:t>
      </w:r>
      <w:r>
        <w:rPr>
          <w:color w:val="231F20"/>
          <w:spacing w:val="-13"/>
        </w:rPr>
        <w:t> </w:t>
      </w:r>
      <w:r>
        <w:rPr>
          <w:color w:val="231F20"/>
        </w:rPr>
        <w:t>метод</w:t>
      </w:r>
      <w:r>
        <w:rPr>
          <w:color w:val="231F20"/>
          <w:spacing w:val="-12"/>
        </w:rPr>
        <w:t> </w:t>
      </w:r>
      <w:r>
        <w:rPr>
          <w:color w:val="231F20"/>
        </w:rPr>
        <w:t>предусматривает</w:t>
      </w:r>
      <w:r>
        <w:rPr>
          <w:color w:val="231F20"/>
          <w:spacing w:val="-13"/>
        </w:rPr>
        <w:t> </w:t>
      </w:r>
      <w:r>
        <w:rPr>
          <w:color w:val="231F20"/>
        </w:rPr>
        <w:t>активное</w:t>
      </w:r>
      <w:r>
        <w:rPr>
          <w:color w:val="231F20"/>
          <w:spacing w:val="-12"/>
        </w:rPr>
        <w:t> </w:t>
      </w:r>
      <w:r>
        <w:rPr>
          <w:color w:val="231F20"/>
        </w:rPr>
        <w:t>обсуждение</w:t>
      </w:r>
      <w:r>
        <w:rPr>
          <w:color w:val="231F20"/>
          <w:spacing w:val="-13"/>
        </w:rPr>
        <w:t> </w:t>
      </w:r>
      <w:r>
        <w:rPr>
          <w:color w:val="231F20"/>
        </w:rPr>
        <w:t>и</w:t>
      </w:r>
      <w:r>
        <w:rPr>
          <w:color w:val="231F20"/>
          <w:spacing w:val="-12"/>
        </w:rPr>
        <w:t> </w:t>
      </w:r>
      <w:r>
        <w:rPr>
          <w:color w:val="231F20"/>
        </w:rPr>
        <w:t>умение</w:t>
      </w:r>
      <w:r>
        <w:rPr>
          <w:color w:val="231F20"/>
          <w:spacing w:val="-13"/>
        </w:rPr>
        <w:t> </w:t>
      </w:r>
      <w:r>
        <w:rPr>
          <w:color w:val="231F20"/>
        </w:rPr>
        <w:t>слушать.</w:t>
      </w:r>
      <w:r>
        <w:rPr>
          <w:color w:val="231F20"/>
          <w:spacing w:val="-12"/>
        </w:rPr>
        <w:t> </w:t>
      </w:r>
      <w:r>
        <w:rPr>
          <w:color w:val="231F20"/>
        </w:rPr>
        <w:t>Безуслов- но,</w:t>
      </w:r>
      <w:r>
        <w:rPr>
          <w:color w:val="231F20"/>
          <w:spacing w:val="-9"/>
        </w:rPr>
        <w:t> </w:t>
      </w:r>
      <w:r>
        <w:rPr>
          <w:color w:val="231F20"/>
        </w:rPr>
        <w:t>поначалу</w:t>
      </w:r>
      <w:r>
        <w:rPr>
          <w:color w:val="231F20"/>
          <w:spacing w:val="-9"/>
        </w:rPr>
        <w:t> </w:t>
      </w:r>
      <w:r>
        <w:rPr>
          <w:color w:val="231F20"/>
        </w:rPr>
        <w:t>это</w:t>
      </w:r>
      <w:r>
        <w:rPr>
          <w:color w:val="231F20"/>
          <w:spacing w:val="-9"/>
        </w:rPr>
        <w:t> </w:t>
      </w:r>
      <w:r>
        <w:rPr>
          <w:color w:val="231F20"/>
        </w:rPr>
        <w:t>создает</w:t>
      </w:r>
      <w:r>
        <w:rPr>
          <w:color w:val="231F20"/>
          <w:spacing w:val="-9"/>
        </w:rPr>
        <w:t> </w:t>
      </w:r>
      <w:r>
        <w:rPr>
          <w:color w:val="231F20"/>
        </w:rPr>
        <w:t>определенные</w:t>
      </w:r>
      <w:r>
        <w:rPr>
          <w:color w:val="231F20"/>
          <w:spacing w:val="-9"/>
        </w:rPr>
        <w:t> </w:t>
      </w:r>
      <w:r>
        <w:rPr>
          <w:color w:val="231F20"/>
        </w:rPr>
        <w:t>трудности,</w:t>
      </w:r>
      <w:r>
        <w:rPr>
          <w:color w:val="231F20"/>
          <w:spacing w:val="-9"/>
        </w:rPr>
        <w:t> </w:t>
      </w:r>
      <w:r>
        <w:rPr>
          <w:color w:val="231F20"/>
        </w:rPr>
        <w:t>однако</w:t>
      </w:r>
      <w:r>
        <w:rPr>
          <w:color w:val="231F20"/>
          <w:spacing w:val="-9"/>
        </w:rPr>
        <w:t> </w:t>
      </w:r>
      <w:r>
        <w:rPr>
          <w:color w:val="231F20"/>
        </w:rPr>
        <w:t>впоследствии</w:t>
      </w:r>
      <w:r>
        <w:rPr>
          <w:color w:val="231F20"/>
          <w:spacing w:val="-9"/>
        </w:rPr>
        <w:t> </w:t>
      </w:r>
      <w:r>
        <w:rPr>
          <w:color w:val="231F20"/>
        </w:rPr>
        <w:t>приносит</w:t>
      </w:r>
      <w:r>
        <w:rPr>
          <w:color w:val="231F20"/>
          <w:spacing w:val="-9"/>
        </w:rPr>
        <w:t> </w:t>
      </w:r>
      <w:r>
        <w:rPr>
          <w:color w:val="231F20"/>
        </w:rPr>
        <w:t>не </w:t>
      </w:r>
      <w:r>
        <w:rPr>
          <w:color w:val="231F20"/>
          <w:spacing w:val="-2"/>
        </w:rPr>
        <w:t>только</w:t>
      </w:r>
      <w:r>
        <w:rPr>
          <w:color w:val="231F20"/>
          <w:spacing w:val="-4"/>
        </w:rPr>
        <w:t> </w:t>
      </w:r>
      <w:r>
        <w:rPr>
          <w:color w:val="231F20"/>
          <w:spacing w:val="-2"/>
        </w:rPr>
        <w:t>улучшение</w:t>
      </w:r>
      <w:r>
        <w:rPr>
          <w:color w:val="231F20"/>
          <w:spacing w:val="-4"/>
        </w:rPr>
        <w:t> </w:t>
      </w:r>
      <w:r>
        <w:rPr>
          <w:color w:val="231F20"/>
          <w:spacing w:val="-2"/>
        </w:rPr>
        <w:t>языковых</w:t>
      </w:r>
      <w:r>
        <w:rPr>
          <w:color w:val="231F20"/>
          <w:spacing w:val="-4"/>
        </w:rPr>
        <w:t> </w:t>
      </w:r>
      <w:r>
        <w:rPr>
          <w:color w:val="231F20"/>
          <w:spacing w:val="-2"/>
        </w:rPr>
        <w:t>навыков,</w:t>
      </w:r>
      <w:r>
        <w:rPr>
          <w:color w:val="231F20"/>
          <w:spacing w:val="-4"/>
        </w:rPr>
        <w:t> </w:t>
      </w:r>
      <w:r>
        <w:rPr>
          <w:color w:val="231F20"/>
          <w:spacing w:val="-2"/>
        </w:rPr>
        <w:t>но</w:t>
      </w:r>
      <w:r>
        <w:rPr>
          <w:color w:val="231F20"/>
          <w:spacing w:val="-4"/>
        </w:rPr>
        <w:t> </w:t>
      </w:r>
      <w:r>
        <w:rPr>
          <w:color w:val="231F20"/>
          <w:spacing w:val="-2"/>
        </w:rPr>
        <w:t>и</w:t>
      </w:r>
      <w:r>
        <w:rPr>
          <w:color w:val="231F20"/>
          <w:spacing w:val="-4"/>
        </w:rPr>
        <w:t> </w:t>
      </w:r>
      <w:r>
        <w:rPr>
          <w:color w:val="231F20"/>
          <w:spacing w:val="-2"/>
        </w:rPr>
        <w:t>множество</w:t>
      </w:r>
      <w:r>
        <w:rPr>
          <w:color w:val="231F20"/>
          <w:spacing w:val="-4"/>
        </w:rPr>
        <w:t> </w:t>
      </w:r>
      <w:r>
        <w:rPr>
          <w:color w:val="231F20"/>
          <w:spacing w:val="-2"/>
        </w:rPr>
        <w:t>других</w:t>
      </w:r>
      <w:r>
        <w:rPr>
          <w:color w:val="231F20"/>
          <w:spacing w:val="-4"/>
        </w:rPr>
        <w:t> </w:t>
      </w:r>
      <w:r>
        <w:rPr>
          <w:color w:val="231F20"/>
          <w:spacing w:val="-2"/>
        </w:rPr>
        <w:t>позитивных</w:t>
      </w:r>
      <w:r>
        <w:rPr>
          <w:color w:val="231F20"/>
          <w:spacing w:val="-4"/>
        </w:rPr>
        <w:t> </w:t>
      </w:r>
      <w:r>
        <w:rPr>
          <w:color w:val="231F20"/>
          <w:spacing w:val="-2"/>
        </w:rPr>
        <w:t>изменений. </w:t>
      </w:r>
      <w:r>
        <w:rPr>
          <w:color w:val="231F20"/>
        </w:rPr>
        <w:t>Это</w:t>
      </w:r>
      <w:r>
        <w:rPr>
          <w:color w:val="231F20"/>
          <w:spacing w:val="-2"/>
        </w:rPr>
        <w:t> </w:t>
      </w:r>
      <w:r>
        <w:rPr>
          <w:color w:val="231F20"/>
        </w:rPr>
        <w:t>еще</w:t>
      </w:r>
      <w:r>
        <w:rPr>
          <w:color w:val="231F20"/>
          <w:spacing w:val="-2"/>
        </w:rPr>
        <w:t> </w:t>
      </w:r>
      <w:r>
        <w:rPr>
          <w:color w:val="231F20"/>
        </w:rPr>
        <w:t>одна</w:t>
      </w:r>
      <w:r>
        <w:rPr>
          <w:color w:val="231F20"/>
          <w:spacing w:val="-2"/>
        </w:rPr>
        <w:t> </w:t>
      </w:r>
      <w:r>
        <w:rPr>
          <w:color w:val="231F20"/>
        </w:rPr>
        <w:t>причина,</w:t>
      </w:r>
      <w:r>
        <w:rPr>
          <w:color w:val="231F20"/>
          <w:spacing w:val="-2"/>
        </w:rPr>
        <w:t> </w:t>
      </w:r>
      <w:r>
        <w:rPr>
          <w:color w:val="231F20"/>
        </w:rPr>
        <w:t>почему</w:t>
      </w:r>
      <w:r>
        <w:rPr>
          <w:color w:val="231F20"/>
          <w:spacing w:val="-2"/>
        </w:rPr>
        <w:t> </w:t>
      </w:r>
      <w:r>
        <w:rPr>
          <w:color w:val="231F20"/>
        </w:rPr>
        <w:t>обучение</w:t>
      </w:r>
      <w:r>
        <w:rPr>
          <w:color w:val="231F20"/>
          <w:spacing w:val="-2"/>
        </w:rPr>
        <w:t> </w:t>
      </w:r>
      <w:r>
        <w:rPr>
          <w:color w:val="231F20"/>
        </w:rPr>
        <w:t>в</w:t>
      </w:r>
      <w:r>
        <w:rPr>
          <w:color w:val="231F20"/>
          <w:spacing w:val="-2"/>
        </w:rPr>
        <w:t> </w:t>
      </w:r>
      <w:r>
        <w:rPr>
          <w:color w:val="231F20"/>
        </w:rPr>
        <w:t>сотрудничестве</w:t>
      </w:r>
      <w:r>
        <w:rPr>
          <w:color w:val="231F20"/>
          <w:spacing w:val="-2"/>
        </w:rPr>
        <w:t> </w:t>
      </w:r>
      <w:r>
        <w:rPr>
          <w:color w:val="231F20"/>
        </w:rPr>
        <w:t>может</w:t>
      </w:r>
      <w:r>
        <w:rPr>
          <w:color w:val="231F20"/>
          <w:spacing w:val="-2"/>
        </w:rPr>
        <w:t> </w:t>
      </w:r>
      <w:r>
        <w:rPr>
          <w:color w:val="231F20"/>
        </w:rPr>
        <w:t>быть</w:t>
      </w:r>
      <w:r>
        <w:rPr>
          <w:color w:val="231F20"/>
          <w:spacing w:val="-2"/>
        </w:rPr>
        <w:t> </w:t>
      </w:r>
      <w:r>
        <w:rPr>
          <w:color w:val="231F20"/>
        </w:rPr>
        <w:t>особенно</w:t>
      </w:r>
      <w:r>
        <w:rPr>
          <w:color w:val="231F20"/>
          <w:spacing w:val="-2"/>
        </w:rPr>
        <w:t> </w:t>
      </w:r>
      <w:r>
        <w:rPr>
          <w:color w:val="231F20"/>
        </w:rPr>
        <w:t>эф- фективно для детей – иностранных граждан.</w:t>
      </w:r>
    </w:p>
    <w:p>
      <w:pPr>
        <w:pStyle w:val="BodyText"/>
        <w:spacing w:before="5"/>
      </w:pPr>
      <w:r>
        <w:rPr>
          <w:color w:val="231F20"/>
        </w:rPr>
        <w:t>Поскольку</w:t>
      </w:r>
      <w:r>
        <w:rPr>
          <w:color w:val="231F20"/>
          <w:spacing w:val="-3"/>
        </w:rPr>
        <w:t> </w:t>
      </w:r>
      <w:r>
        <w:rPr>
          <w:color w:val="231F20"/>
        </w:rPr>
        <w:t>все</w:t>
      </w:r>
      <w:r>
        <w:rPr>
          <w:color w:val="231F20"/>
          <w:spacing w:val="-3"/>
        </w:rPr>
        <w:t> </w:t>
      </w:r>
      <w:r>
        <w:rPr>
          <w:color w:val="231F20"/>
        </w:rPr>
        <w:t>этапы</w:t>
      </w:r>
      <w:r>
        <w:rPr>
          <w:color w:val="231F20"/>
          <w:spacing w:val="-3"/>
        </w:rPr>
        <w:t> </w:t>
      </w:r>
      <w:r>
        <w:rPr>
          <w:color w:val="231F20"/>
        </w:rPr>
        <w:t>технологии</w:t>
      </w:r>
      <w:r>
        <w:rPr>
          <w:color w:val="231F20"/>
          <w:spacing w:val="-3"/>
        </w:rPr>
        <w:t> </w:t>
      </w:r>
      <w:r>
        <w:rPr>
          <w:color w:val="231F20"/>
        </w:rPr>
        <w:t>строятся</w:t>
      </w:r>
      <w:r>
        <w:rPr>
          <w:color w:val="231F20"/>
          <w:spacing w:val="-3"/>
        </w:rPr>
        <w:t> </w:t>
      </w:r>
      <w:r>
        <w:rPr>
          <w:color w:val="231F20"/>
        </w:rPr>
        <w:t>на</w:t>
      </w:r>
      <w:r>
        <w:rPr>
          <w:color w:val="231F20"/>
          <w:spacing w:val="-3"/>
        </w:rPr>
        <w:t> </w:t>
      </w:r>
      <w:r>
        <w:rPr>
          <w:color w:val="231F20"/>
        </w:rPr>
        <w:t>взаимодействии,</w:t>
      </w:r>
      <w:r>
        <w:rPr>
          <w:color w:val="231F20"/>
          <w:spacing w:val="-3"/>
        </w:rPr>
        <w:t> </w:t>
      </w:r>
      <w:r>
        <w:rPr>
          <w:color w:val="231F20"/>
        </w:rPr>
        <w:t>дети</w:t>
      </w:r>
      <w:r>
        <w:rPr>
          <w:color w:val="231F20"/>
          <w:spacing w:val="-4"/>
        </w:rPr>
        <w:t> </w:t>
      </w:r>
      <w:r>
        <w:rPr>
          <w:color w:val="231F20"/>
        </w:rPr>
        <w:t>очень</w:t>
      </w:r>
      <w:r>
        <w:rPr>
          <w:color w:val="231F20"/>
          <w:spacing w:val="-3"/>
        </w:rPr>
        <w:t> </w:t>
      </w:r>
      <w:r>
        <w:rPr>
          <w:color w:val="231F20"/>
        </w:rPr>
        <w:t>быстро привыкают к мысли, что никто не может справиться с заданием без помощи осталь- ных</w:t>
      </w:r>
      <w:r>
        <w:rPr>
          <w:color w:val="231F20"/>
          <w:spacing w:val="-2"/>
        </w:rPr>
        <w:t> </w:t>
      </w:r>
      <w:r>
        <w:rPr>
          <w:color w:val="231F20"/>
        </w:rPr>
        <w:t>членов</w:t>
      </w:r>
      <w:r>
        <w:rPr>
          <w:color w:val="231F20"/>
          <w:spacing w:val="-2"/>
        </w:rPr>
        <w:t> </w:t>
      </w:r>
      <w:r>
        <w:rPr>
          <w:color w:val="231F20"/>
        </w:rPr>
        <w:t>группы</w:t>
      </w:r>
      <w:r>
        <w:rPr>
          <w:color w:val="231F20"/>
          <w:spacing w:val="-2"/>
        </w:rPr>
        <w:t> </w:t>
      </w:r>
      <w:r>
        <w:rPr>
          <w:color w:val="231F20"/>
        </w:rPr>
        <w:t>и</w:t>
      </w:r>
      <w:r>
        <w:rPr>
          <w:color w:val="231F20"/>
          <w:spacing w:val="-2"/>
        </w:rPr>
        <w:t> </w:t>
      </w:r>
      <w:r>
        <w:rPr>
          <w:color w:val="231F20"/>
        </w:rPr>
        <w:t>что</w:t>
      </w:r>
      <w:r>
        <w:rPr>
          <w:color w:val="231F20"/>
          <w:spacing w:val="-2"/>
        </w:rPr>
        <w:t> </w:t>
      </w:r>
      <w:r>
        <w:rPr>
          <w:color w:val="231F20"/>
        </w:rPr>
        <w:t>каждый</w:t>
      </w:r>
      <w:r>
        <w:rPr>
          <w:color w:val="231F20"/>
          <w:spacing w:val="-2"/>
        </w:rPr>
        <w:t> </w:t>
      </w:r>
      <w:r>
        <w:rPr>
          <w:color w:val="231F20"/>
        </w:rPr>
        <w:t>участник</w:t>
      </w:r>
      <w:r>
        <w:rPr>
          <w:color w:val="231F20"/>
          <w:spacing w:val="-2"/>
        </w:rPr>
        <w:t> </w:t>
      </w:r>
      <w:r>
        <w:rPr>
          <w:color w:val="231F20"/>
        </w:rPr>
        <w:t>вносит</w:t>
      </w:r>
      <w:r>
        <w:rPr>
          <w:color w:val="231F20"/>
          <w:spacing w:val="-2"/>
        </w:rPr>
        <w:t> </w:t>
      </w:r>
      <w:r>
        <w:rPr>
          <w:color w:val="231F20"/>
        </w:rPr>
        <w:t>свой</w:t>
      </w:r>
      <w:r>
        <w:rPr>
          <w:color w:val="231F20"/>
          <w:spacing w:val="-2"/>
        </w:rPr>
        <w:t> </w:t>
      </w:r>
      <w:r>
        <w:rPr>
          <w:color w:val="231F20"/>
        </w:rPr>
        <w:t>уникальный</w:t>
      </w:r>
      <w:r>
        <w:rPr>
          <w:color w:val="231F20"/>
          <w:spacing w:val="-2"/>
        </w:rPr>
        <w:t> </w:t>
      </w:r>
      <w:r>
        <w:rPr>
          <w:color w:val="231F20"/>
        </w:rPr>
        <w:t>и</w:t>
      </w:r>
      <w:r>
        <w:rPr>
          <w:color w:val="231F20"/>
          <w:spacing w:val="-2"/>
        </w:rPr>
        <w:t> </w:t>
      </w:r>
      <w:r>
        <w:rPr>
          <w:color w:val="231F20"/>
        </w:rPr>
        <w:t>необходимый вклад</w:t>
      </w:r>
      <w:r>
        <w:rPr>
          <w:color w:val="231F20"/>
          <w:spacing w:val="-8"/>
        </w:rPr>
        <w:t> </w:t>
      </w:r>
      <w:r>
        <w:rPr>
          <w:color w:val="231F20"/>
        </w:rPr>
        <w:t>в</w:t>
      </w:r>
      <w:r>
        <w:rPr>
          <w:color w:val="231F20"/>
          <w:spacing w:val="-8"/>
        </w:rPr>
        <w:t> </w:t>
      </w:r>
      <w:r>
        <w:rPr>
          <w:color w:val="231F20"/>
        </w:rPr>
        <w:t>общее</w:t>
      </w:r>
      <w:r>
        <w:rPr>
          <w:color w:val="231F20"/>
          <w:spacing w:val="-8"/>
        </w:rPr>
        <w:t> </w:t>
      </w:r>
      <w:r>
        <w:rPr>
          <w:color w:val="231F20"/>
        </w:rPr>
        <w:t>дело.</w:t>
      </w:r>
      <w:r>
        <w:rPr>
          <w:color w:val="231F20"/>
          <w:spacing w:val="-8"/>
        </w:rPr>
        <w:t> </w:t>
      </w:r>
      <w:r>
        <w:rPr>
          <w:color w:val="231F20"/>
        </w:rPr>
        <w:t>Никто</w:t>
      </w:r>
      <w:r>
        <w:rPr>
          <w:color w:val="231F20"/>
          <w:spacing w:val="-8"/>
        </w:rPr>
        <w:t> </w:t>
      </w:r>
      <w:r>
        <w:rPr>
          <w:color w:val="231F20"/>
        </w:rPr>
        <w:t>не</w:t>
      </w:r>
      <w:r>
        <w:rPr>
          <w:color w:val="231F20"/>
          <w:spacing w:val="-8"/>
        </w:rPr>
        <w:t> </w:t>
      </w:r>
      <w:r>
        <w:rPr>
          <w:color w:val="231F20"/>
        </w:rPr>
        <w:t>может</w:t>
      </w:r>
      <w:r>
        <w:rPr>
          <w:color w:val="231F20"/>
          <w:spacing w:val="-8"/>
        </w:rPr>
        <w:t> </w:t>
      </w:r>
      <w:r>
        <w:rPr>
          <w:color w:val="231F20"/>
        </w:rPr>
        <w:t>быть</w:t>
      </w:r>
      <w:r>
        <w:rPr>
          <w:color w:val="231F20"/>
          <w:spacing w:val="-8"/>
        </w:rPr>
        <w:t> </w:t>
      </w:r>
      <w:r>
        <w:rPr>
          <w:color w:val="231F20"/>
        </w:rPr>
        <w:t>успешен</w:t>
      </w:r>
      <w:r>
        <w:rPr>
          <w:color w:val="231F20"/>
          <w:spacing w:val="-8"/>
        </w:rPr>
        <w:t> </w:t>
      </w:r>
      <w:r>
        <w:rPr>
          <w:color w:val="231F20"/>
        </w:rPr>
        <w:t>до</w:t>
      </w:r>
      <w:r>
        <w:rPr>
          <w:color w:val="231F20"/>
          <w:spacing w:val="-8"/>
        </w:rPr>
        <w:t> </w:t>
      </w:r>
      <w:r>
        <w:rPr>
          <w:color w:val="231F20"/>
        </w:rPr>
        <w:t>тех</w:t>
      </w:r>
      <w:r>
        <w:rPr>
          <w:color w:val="231F20"/>
          <w:spacing w:val="-8"/>
        </w:rPr>
        <w:t> </w:t>
      </w:r>
      <w:r>
        <w:rPr>
          <w:color w:val="231F20"/>
        </w:rPr>
        <w:t>пор,</w:t>
      </w:r>
      <w:r>
        <w:rPr>
          <w:color w:val="231F20"/>
          <w:spacing w:val="-8"/>
        </w:rPr>
        <w:t> </w:t>
      </w:r>
      <w:r>
        <w:rPr>
          <w:color w:val="231F20"/>
        </w:rPr>
        <w:t>пока</w:t>
      </w:r>
      <w:r>
        <w:rPr>
          <w:color w:val="231F20"/>
          <w:spacing w:val="-8"/>
        </w:rPr>
        <w:t> </w:t>
      </w:r>
      <w:r>
        <w:rPr>
          <w:color w:val="231F20"/>
        </w:rPr>
        <w:t>не</w:t>
      </w:r>
      <w:r>
        <w:rPr>
          <w:color w:val="231F20"/>
          <w:spacing w:val="-8"/>
        </w:rPr>
        <w:t> </w:t>
      </w:r>
      <w:r>
        <w:rPr>
          <w:color w:val="231F20"/>
        </w:rPr>
        <w:t>станет</w:t>
      </w:r>
      <w:r>
        <w:rPr>
          <w:color w:val="231F20"/>
          <w:spacing w:val="-8"/>
        </w:rPr>
        <w:t> </w:t>
      </w:r>
      <w:r>
        <w:rPr>
          <w:color w:val="231F20"/>
        </w:rPr>
        <w:t>сотруд- ничать с другими членами группы.</w:t>
      </w:r>
    </w:p>
    <w:p>
      <w:pPr>
        <w:pStyle w:val="BodyText"/>
      </w:pPr>
      <w:r>
        <w:rPr>
          <w:color w:val="231F20"/>
        </w:rPr>
        <w:t>В результате у детей развиваются социальные навыки, позволяющие взаимодей- ствовать, невзирая на разницу в системе ценностей, обычаях, установках, стилях </w:t>
      </w:r>
      <w:r>
        <w:rPr>
          <w:color w:val="231F20"/>
          <w:spacing w:val="-2"/>
        </w:rPr>
        <w:t>мышления.</w:t>
      </w:r>
    </w:p>
    <w:p>
      <w:pPr>
        <w:pStyle w:val="BodyText"/>
      </w:pPr>
      <w:r>
        <w:rPr>
          <w:color w:val="231F20"/>
        </w:rPr>
        <w:t>Педагоги,</w:t>
      </w:r>
      <w:r>
        <w:rPr>
          <w:color w:val="231F20"/>
          <w:spacing w:val="-13"/>
        </w:rPr>
        <w:t> </w:t>
      </w:r>
      <w:r>
        <w:rPr>
          <w:color w:val="231F20"/>
        </w:rPr>
        <w:t>использующие</w:t>
      </w:r>
      <w:r>
        <w:rPr>
          <w:color w:val="231F20"/>
          <w:spacing w:val="-12"/>
        </w:rPr>
        <w:t> </w:t>
      </w:r>
      <w:r>
        <w:rPr>
          <w:color w:val="231F20"/>
        </w:rPr>
        <w:t>технологии</w:t>
      </w:r>
      <w:r>
        <w:rPr>
          <w:color w:val="231F20"/>
          <w:spacing w:val="-13"/>
        </w:rPr>
        <w:t> </w:t>
      </w:r>
      <w:r>
        <w:rPr>
          <w:color w:val="231F20"/>
        </w:rPr>
        <w:t>обучения</w:t>
      </w:r>
      <w:r>
        <w:rPr>
          <w:color w:val="231F20"/>
          <w:spacing w:val="-12"/>
        </w:rPr>
        <w:t> </w:t>
      </w:r>
      <w:r>
        <w:rPr>
          <w:color w:val="231F20"/>
        </w:rPr>
        <w:t>в</w:t>
      </w:r>
      <w:r>
        <w:rPr>
          <w:color w:val="231F20"/>
          <w:spacing w:val="-13"/>
        </w:rPr>
        <w:t> </w:t>
      </w:r>
      <w:r>
        <w:rPr>
          <w:color w:val="231F20"/>
        </w:rPr>
        <w:t>сотрудничестве</w:t>
      </w:r>
      <w:r>
        <w:rPr>
          <w:color w:val="231F20"/>
          <w:spacing w:val="-12"/>
        </w:rPr>
        <w:t> </w:t>
      </w:r>
      <w:r>
        <w:rPr>
          <w:color w:val="231F20"/>
        </w:rPr>
        <w:t>на</w:t>
      </w:r>
      <w:r>
        <w:rPr>
          <w:color w:val="231F20"/>
          <w:spacing w:val="-13"/>
        </w:rPr>
        <w:t> </w:t>
      </w:r>
      <w:r>
        <w:rPr>
          <w:color w:val="231F20"/>
        </w:rPr>
        <w:t>своих</w:t>
      </w:r>
      <w:r>
        <w:rPr>
          <w:color w:val="231F20"/>
          <w:spacing w:val="-12"/>
        </w:rPr>
        <w:t> </w:t>
      </w:r>
      <w:r>
        <w:rPr>
          <w:color w:val="231F20"/>
        </w:rPr>
        <w:t>уроках, </w:t>
      </w:r>
      <w:r>
        <w:rPr>
          <w:color w:val="231F20"/>
          <w:spacing w:val="-2"/>
        </w:rPr>
        <w:t>отмечают</w:t>
      </w:r>
      <w:r>
        <w:rPr>
          <w:color w:val="231F20"/>
          <w:spacing w:val="-4"/>
        </w:rPr>
        <w:t> </w:t>
      </w:r>
      <w:r>
        <w:rPr>
          <w:color w:val="231F20"/>
          <w:spacing w:val="-2"/>
        </w:rPr>
        <w:t>ее</w:t>
      </w:r>
      <w:r>
        <w:rPr>
          <w:color w:val="231F20"/>
          <w:spacing w:val="-4"/>
        </w:rPr>
        <w:t> </w:t>
      </w:r>
      <w:r>
        <w:rPr>
          <w:color w:val="231F20"/>
          <w:spacing w:val="-2"/>
        </w:rPr>
        <w:t>удобство</w:t>
      </w:r>
      <w:r>
        <w:rPr>
          <w:color w:val="231F20"/>
          <w:spacing w:val="-4"/>
        </w:rPr>
        <w:t> </w:t>
      </w:r>
      <w:r>
        <w:rPr>
          <w:color w:val="231F20"/>
          <w:spacing w:val="-2"/>
        </w:rPr>
        <w:t>и</w:t>
      </w:r>
      <w:r>
        <w:rPr>
          <w:color w:val="231F20"/>
          <w:spacing w:val="-4"/>
        </w:rPr>
        <w:t> </w:t>
      </w:r>
      <w:r>
        <w:rPr>
          <w:color w:val="231F20"/>
          <w:spacing w:val="-2"/>
        </w:rPr>
        <w:t>эффективность.</w:t>
      </w:r>
      <w:r>
        <w:rPr>
          <w:color w:val="231F20"/>
          <w:spacing w:val="-4"/>
        </w:rPr>
        <w:t> </w:t>
      </w:r>
      <w:r>
        <w:rPr>
          <w:color w:val="231F20"/>
          <w:spacing w:val="-2"/>
        </w:rPr>
        <w:t>Так,</w:t>
      </w:r>
      <w:r>
        <w:rPr>
          <w:color w:val="231F20"/>
          <w:spacing w:val="-4"/>
        </w:rPr>
        <w:t> </w:t>
      </w:r>
      <w:r>
        <w:rPr>
          <w:color w:val="231F20"/>
          <w:spacing w:val="-2"/>
        </w:rPr>
        <w:t>И.А.</w:t>
      </w:r>
      <w:r>
        <w:rPr>
          <w:color w:val="231F20"/>
          <w:spacing w:val="-4"/>
        </w:rPr>
        <w:t> </w:t>
      </w:r>
      <w:r>
        <w:rPr>
          <w:color w:val="231F20"/>
          <w:spacing w:val="-2"/>
        </w:rPr>
        <w:t>Страданченкова,</w:t>
      </w:r>
      <w:r>
        <w:rPr>
          <w:color w:val="231F20"/>
          <w:spacing w:val="-4"/>
        </w:rPr>
        <w:t> </w:t>
      </w:r>
      <w:r>
        <w:rPr>
          <w:color w:val="231F20"/>
          <w:spacing w:val="-2"/>
        </w:rPr>
        <w:t>педагог</w:t>
      </w:r>
      <w:r>
        <w:rPr>
          <w:color w:val="231F20"/>
          <w:spacing w:val="-4"/>
        </w:rPr>
        <w:t> </w:t>
      </w:r>
      <w:r>
        <w:rPr>
          <w:color w:val="231F20"/>
          <w:spacing w:val="-2"/>
        </w:rPr>
        <w:t>по</w:t>
      </w:r>
      <w:r>
        <w:rPr>
          <w:color w:val="231F20"/>
          <w:spacing w:val="-4"/>
        </w:rPr>
        <w:t> </w:t>
      </w:r>
      <w:r>
        <w:rPr>
          <w:color w:val="231F20"/>
          <w:spacing w:val="-2"/>
        </w:rPr>
        <w:t>русско- му</w:t>
      </w:r>
      <w:r>
        <w:rPr>
          <w:color w:val="231F20"/>
          <w:spacing w:val="-8"/>
        </w:rPr>
        <w:t> </w:t>
      </w:r>
      <w:r>
        <w:rPr>
          <w:color w:val="231F20"/>
          <w:spacing w:val="-2"/>
        </w:rPr>
        <w:t>языку</w:t>
      </w:r>
      <w:r>
        <w:rPr>
          <w:color w:val="231F20"/>
          <w:spacing w:val="-8"/>
        </w:rPr>
        <w:t> </w:t>
      </w:r>
      <w:r>
        <w:rPr>
          <w:color w:val="231F20"/>
          <w:spacing w:val="-2"/>
        </w:rPr>
        <w:t>и</w:t>
      </w:r>
      <w:r>
        <w:rPr>
          <w:color w:val="231F20"/>
          <w:spacing w:val="-8"/>
        </w:rPr>
        <w:t> </w:t>
      </w:r>
      <w:r>
        <w:rPr>
          <w:color w:val="231F20"/>
          <w:spacing w:val="-2"/>
        </w:rPr>
        <w:t>литературе</w:t>
      </w:r>
      <w:r>
        <w:rPr>
          <w:color w:val="231F20"/>
          <w:spacing w:val="-8"/>
        </w:rPr>
        <w:t> </w:t>
      </w:r>
      <w:r>
        <w:rPr>
          <w:color w:val="231F20"/>
          <w:spacing w:val="-2"/>
        </w:rPr>
        <w:t>из</w:t>
      </w:r>
      <w:r>
        <w:rPr>
          <w:color w:val="231F20"/>
          <w:spacing w:val="-8"/>
        </w:rPr>
        <w:t> </w:t>
      </w:r>
      <w:r>
        <w:rPr>
          <w:color w:val="231F20"/>
          <w:spacing w:val="-2"/>
        </w:rPr>
        <w:t>г.</w:t>
      </w:r>
      <w:r>
        <w:rPr>
          <w:color w:val="231F20"/>
          <w:spacing w:val="-8"/>
        </w:rPr>
        <w:t> </w:t>
      </w:r>
      <w:r>
        <w:rPr>
          <w:color w:val="231F20"/>
          <w:spacing w:val="-2"/>
        </w:rPr>
        <w:t>Новочеркасска,</w:t>
      </w:r>
      <w:r>
        <w:rPr>
          <w:color w:val="231F20"/>
          <w:spacing w:val="-8"/>
        </w:rPr>
        <w:t> </w:t>
      </w:r>
      <w:r>
        <w:rPr>
          <w:color w:val="231F20"/>
          <w:spacing w:val="-2"/>
        </w:rPr>
        <w:t>отмечает,</w:t>
      </w:r>
      <w:r>
        <w:rPr>
          <w:color w:val="231F20"/>
          <w:spacing w:val="-8"/>
        </w:rPr>
        <w:t> </w:t>
      </w:r>
      <w:r>
        <w:rPr>
          <w:color w:val="231F20"/>
          <w:spacing w:val="-2"/>
        </w:rPr>
        <w:t>что</w:t>
      </w:r>
      <w:r>
        <w:rPr>
          <w:color w:val="231F20"/>
          <w:spacing w:val="-8"/>
        </w:rPr>
        <w:t> </w:t>
      </w:r>
      <w:r>
        <w:rPr>
          <w:color w:val="231F20"/>
          <w:spacing w:val="-2"/>
        </w:rPr>
        <w:t>«используя</w:t>
      </w:r>
      <w:r>
        <w:rPr>
          <w:color w:val="231F20"/>
          <w:spacing w:val="-8"/>
        </w:rPr>
        <w:t> </w:t>
      </w:r>
      <w:r>
        <w:rPr>
          <w:color w:val="231F20"/>
          <w:spacing w:val="-2"/>
        </w:rPr>
        <w:t>данную</w:t>
      </w:r>
      <w:r>
        <w:rPr>
          <w:color w:val="231F20"/>
          <w:spacing w:val="-8"/>
        </w:rPr>
        <w:t> </w:t>
      </w:r>
      <w:r>
        <w:rPr>
          <w:color w:val="231F20"/>
          <w:spacing w:val="-2"/>
        </w:rPr>
        <w:t>техноло- гию</w:t>
      </w:r>
      <w:r>
        <w:rPr>
          <w:color w:val="231F20"/>
          <w:spacing w:val="-8"/>
        </w:rPr>
        <w:t> </w:t>
      </w:r>
      <w:r>
        <w:rPr>
          <w:color w:val="231F20"/>
          <w:spacing w:val="-2"/>
        </w:rPr>
        <w:t>в</w:t>
      </w:r>
      <w:r>
        <w:rPr>
          <w:color w:val="231F20"/>
          <w:spacing w:val="-8"/>
        </w:rPr>
        <w:t> </w:t>
      </w:r>
      <w:r>
        <w:rPr>
          <w:color w:val="231F20"/>
          <w:spacing w:val="-2"/>
        </w:rPr>
        <w:t>практике</w:t>
      </w:r>
      <w:r>
        <w:rPr>
          <w:color w:val="231F20"/>
          <w:spacing w:val="-8"/>
        </w:rPr>
        <w:t> </w:t>
      </w:r>
      <w:r>
        <w:rPr>
          <w:color w:val="231F20"/>
          <w:spacing w:val="-2"/>
        </w:rPr>
        <w:t>своей</w:t>
      </w:r>
      <w:r>
        <w:rPr>
          <w:color w:val="231F20"/>
          <w:spacing w:val="-8"/>
        </w:rPr>
        <w:t> </w:t>
      </w:r>
      <w:r>
        <w:rPr>
          <w:color w:val="231F20"/>
          <w:spacing w:val="-2"/>
        </w:rPr>
        <w:t>работы</w:t>
      </w:r>
      <w:r>
        <w:rPr>
          <w:color w:val="231F20"/>
          <w:spacing w:val="-8"/>
        </w:rPr>
        <w:t> </w:t>
      </w:r>
      <w:r>
        <w:rPr>
          <w:color w:val="231F20"/>
          <w:spacing w:val="-2"/>
        </w:rPr>
        <w:t>уже</w:t>
      </w:r>
      <w:r>
        <w:rPr>
          <w:color w:val="231F20"/>
          <w:spacing w:val="-8"/>
        </w:rPr>
        <w:t> </w:t>
      </w:r>
      <w:r>
        <w:rPr>
          <w:color w:val="231F20"/>
          <w:spacing w:val="-2"/>
        </w:rPr>
        <w:t>более</w:t>
      </w:r>
      <w:r>
        <w:rPr>
          <w:color w:val="231F20"/>
          <w:spacing w:val="-8"/>
        </w:rPr>
        <w:t> </w:t>
      </w:r>
      <w:r>
        <w:rPr>
          <w:color w:val="231F20"/>
          <w:spacing w:val="-2"/>
        </w:rPr>
        <w:t>5</w:t>
      </w:r>
      <w:r>
        <w:rPr>
          <w:color w:val="231F20"/>
          <w:spacing w:val="-8"/>
        </w:rPr>
        <w:t> </w:t>
      </w:r>
      <w:r>
        <w:rPr>
          <w:color w:val="231F20"/>
          <w:spacing w:val="-2"/>
        </w:rPr>
        <w:t>лет,</w:t>
      </w:r>
      <w:r>
        <w:rPr>
          <w:color w:val="231F20"/>
          <w:spacing w:val="-8"/>
        </w:rPr>
        <w:t> </w:t>
      </w:r>
      <w:r>
        <w:rPr>
          <w:color w:val="231F20"/>
          <w:spacing w:val="-2"/>
        </w:rPr>
        <w:t>я</w:t>
      </w:r>
      <w:r>
        <w:rPr>
          <w:color w:val="231F20"/>
          <w:spacing w:val="-8"/>
        </w:rPr>
        <w:t> </w:t>
      </w:r>
      <w:r>
        <w:rPr>
          <w:color w:val="231F20"/>
          <w:spacing w:val="-2"/>
        </w:rPr>
        <w:t>пришла</w:t>
      </w:r>
      <w:r>
        <w:rPr>
          <w:color w:val="231F20"/>
          <w:spacing w:val="-8"/>
        </w:rPr>
        <w:t> </w:t>
      </w:r>
      <w:r>
        <w:rPr>
          <w:color w:val="231F20"/>
          <w:spacing w:val="-2"/>
        </w:rPr>
        <w:t>к</w:t>
      </w:r>
      <w:r>
        <w:rPr>
          <w:color w:val="231F20"/>
          <w:spacing w:val="-8"/>
        </w:rPr>
        <w:t> </w:t>
      </w:r>
      <w:r>
        <w:rPr>
          <w:color w:val="231F20"/>
          <w:spacing w:val="-2"/>
        </w:rPr>
        <w:t>выводу,</w:t>
      </w:r>
      <w:r>
        <w:rPr>
          <w:color w:val="231F20"/>
          <w:spacing w:val="-8"/>
        </w:rPr>
        <w:t> </w:t>
      </w:r>
      <w:r>
        <w:rPr>
          <w:color w:val="231F20"/>
          <w:spacing w:val="-2"/>
        </w:rPr>
        <w:t>что</w:t>
      </w:r>
      <w:r>
        <w:rPr>
          <w:color w:val="231F20"/>
          <w:spacing w:val="-8"/>
        </w:rPr>
        <w:t> </w:t>
      </w:r>
      <w:r>
        <w:rPr>
          <w:color w:val="231F20"/>
          <w:spacing w:val="-2"/>
        </w:rPr>
        <w:t>она</w:t>
      </w:r>
      <w:r>
        <w:rPr>
          <w:color w:val="231F20"/>
          <w:spacing w:val="-8"/>
        </w:rPr>
        <w:t> </w:t>
      </w:r>
      <w:r>
        <w:rPr>
          <w:color w:val="231F20"/>
          <w:spacing w:val="-2"/>
        </w:rPr>
        <w:t>чрезвычайно </w:t>
      </w:r>
      <w:r>
        <w:rPr>
          <w:color w:val="231F20"/>
        </w:rPr>
        <w:t>удобна</w:t>
      </w:r>
      <w:r>
        <w:rPr>
          <w:color w:val="231F20"/>
          <w:spacing w:val="-8"/>
        </w:rPr>
        <w:t> </w:t>
      </w:r>
      <w:r>
        <w:rPr>
          <w:color w:val="231F20"/>
        </w:rPr>
        <w:t>и</w:t>
      </w:r>
      <w:r>
        <w:rPr>
          <w:color w:val="231F20"/>
          <w:spacing w:val="-8"/>
        </w:rPr>
        <w:t> </w:t>
      </w:r>
      <w:r>
        <w:rPr>
          <w:color w:val="231F20"/>
        </w:rPr>
        <w:t>эффективна</w:t>
      </w:r>
      <w:r>
        <w:rPr>
          <w:color w:val="231F20"/>
          <w:spacing w:val="-8"/>
        </w:rPr>
        <w:t> </w:t>
      </w:r>
      <w:r>
        <w:rPr>
          <w:color w:val="231F20"/>
        </w:rPr>
        <w:t>как</w:t>
      </w:r>
      <w:r>
        <w:rPr>
          <w:color w:val="231F20"/>
          <w:spacing w:val="-8"/>
        </w:rPr>
        <w:t> </w:t>
      </w:r>
      <w:r>
        <w:rPr>
          <w:color w:val="231F20"/>
        </w:rPr>
        <w:t>на</w:t>
      </w:r>
      <w:r>
        <w:rPr>
          <w:color w:val="231F20"/>
          <w:spacing w:val="-8"/>
        </w:rPr>
        <w:t> </w:t>
      </w:r>
      <w:r>
        <w:rPr>
          <w:color w:val="231F20"/>
        </w:rPr>
        <w:t>уроках</w:t>
      </w:r>
      <w:r>
        <w:rPr>
          <w:color w:val="231F20"/>
          <w:spacing w:val="-8"/>
        </w:rPr>
        <w:t> </w:t>
      </w:r>
      <w:r>
        <w:rPr>
          <w:color w:val="231F20"/>
        </w:rPr>
        <w:t>русского</w:t>
      </w:r>
      <w:r>
        <w:rPr>
          <w:color w:val="231F20"/>
          <w:spacing w:val="-8"/>
        </w:rPr>
        <w:t> </w:t>
      </w:r>
      <w:r>
        <w:rPr>
          <w:color w:val="231F20"/>
        </w:rPr>
        <w:t>языка,</w:t>
      </w:r>
      <w:r>
        <w:rPr>
          <w:color w:val="231F20"/>
          <w:spacing w:val="-8"/>
        </w:rPr>
        <w:t> </w:t>
      </w:r>
      <w:r>
        <w:rPr>
          <w:color w:val="231F20"/>
        </w:rPr>
        <w:t>так</w:t>
      </w:r>
      <w:r>
        <w:rPr>
          <w:color w:val="231F20"/>
          <w:spacing w:val="-8"/>
        </w:rPr>
        <w:t> </w:t>
      </w:r>
      <w:r>
        <w:rPr>
          <w:color w:val="231F20"/>
        </w:rPr>
        <w:t>и</w:t>
      </w:r>
      <w:r>
        <w:rPr>
          <w:color w:val="231F20"/>
          <w:spacing w:val="-8"/>
        </w:rPr>
        <w:t> </w:t>
      </w:r>
      <w:r>
        <w:rPr>
          <w:color w:val="231F20"/>
        </w:rPr>
        <w:t>на</w:t>
      </w:r>
      <w:r>
        <w:rPr>
          <w:color w:val="231F20"/>
          <w:spacing w:val="-8"/>
        </w:rPr>
        <w:t> </w:t>
      </w:r>
      <w:r>
        <w:rPr>
          <w:color w:val="231F20"/>
        </w:rPr>
        <w:t>уроках</w:t>
      </w:r>
      <w:r>
        <w:rPr>
          <w:color w:val="231F20"/>
          <w:spacing w:val="-8"/>
        </w:rPr>
        <w:t> </w:t>
      </w:r>
      <w:r>
        <w:rPr>
          <w:color w:val="231F20"/>
        </w:rPr>
        <w:t>литературы,</w:t>
      </w:r>
      <w:r>
        <w:rPr>
          <w:color w:val="231F20"/>
          <w:spacing w:val="-8"/>
        </w:rPr>
        <w:t> </w:t>
      </w:r>
      <w:r>
        <w:rPr>
          <w:color w:val="231F20"/>
        </w:rPr>
        <w:t>при- чем</w:t>
      </w:r>
      <w:r>
        <w:rPr>
          <w:color w:val="231F20"/>
          <w:spacing w:val="-13"/>
        </w:rPr>
        <w:t> </w:t>
      </w:r>
      <w:r>
        <w:rPr>
          <w:color w:val="231F20"/>
        </w:rPr>
        <w:t>не</w:t>
      </w:r>
      <w:r>
        <w:rPr>
          <w:color w:val="231F20"/>
          <w:spacing w:val="-12"/>
        </w:rPr>
        <w:t> </w:t>
      </w:r>
      <w:r>
        <w:rPr>
          <w:color w:val="231F20"/>
        </w:rPr>
        <w:t>только</w:t>
      </w:r>
      <w:r>
        <w:rPr>
          <w:color w:val="231F20"/>
          <w:spacing w:val="-13"/>
        </w:rPr>
        <w:t> </w:t>
      </w:r>
      <w:r>
        <w:rPr>
          <w:color w:val="231F20"/>
        </w:rPr>
        <w:t>при</w:t>
      </w:r>
      <w:r>
        <w:rPr>
          <w:color w:val="231F20"/>
          <w:spacing w:val="-12"/>
        </w:rPr>
        <w:t> </w:t>
      </w:r>
      <w:r>
        <w:rPr>
          <w:color w:val="231F20"/>
        </w:rPr>
        <w:t>изучении</w:t>
      </w:r>
      <w:r>
        <w:rPr>
          <w:color w:val="231F20"/>
          <w:spacing w:val="-13"/>
        </w:rPr>
        <w:t> </w:t>
      </w:r>
      <w:r>
        <w:rPr>
          <w:color w:val="231F20"/>
        </w:rPr>
        <w:t>лирики</w:t>
      </w:r>
      <w:r>
        <w:rPr>
          <w:color w:val="231F20"/>
          <w:spacing w:val="-12"/>
        </w:rPr>
        <w:t> </w:t>
      </w:r>
      <w:r>
        <w:rPr>
          <w:color w:val="231F20"/>
        </w:rPr>
        <w:t>и</w:t>
      </w:r>
      <w:r>
        <w:rPr>
          <w:color w:val="231F20"/>
          <w:spacing w:val="-13"/>
        </w:rPr>
        <w:t> </w:t>
      </w:r>
      <w:r>
        <w:rPr>
          <w:color w:val="231F20"/>
        </w:rPr>
        <w:t>небольших</w:t>
      </w:r>
      <w:r>
        <w:rPr>
          <w:color w:val="231F20"/>
          <w:spacing w:val="-12"/>
        </w:rPr>
        <w:t> </w:t>
      </w:r>
      <w:r>
        <w:rPr>
          <w:color w:val="231F20"/>
        </w:rPr>
        <w:t>по</w:t>
      </w:r>
      <w:r>
        <w:rPr>
          <w:color w:val="231F20"/>
          <w:spacing w:val="-13"/>
        </w:rPr>
        <w:t> </w:t>
      </w:r>
      <w:r>
        <w:rPr>
          <w:color w:val="231F20"/>
        </w:rPr>
        <w:t>объему</w:t>
      </w:r>
      <w:r>
        <w:rPr>
          <w:color w:val="231F20"/>
          <w:spacing w:val="-12"/>
        </w:rPr>
        <w:t> </w:t>
      </w:r>
      <w:r>
        <w:rPr>
          <w:color w:val="231F20"/>
        </w:rPr>
        <w:t>литературных</w:t>
      </w:r>
      <w:r>
        <w:rPr>
          <w:color w:val="231F20"/>
          <w:spacing w:val="-13"/>
        </w:rPr>
        <w:t> </w:t>
      </w:r>
      <w:r>
        <w:rPr>
          <w:color w:val="231F20"/>
        </w:rPr>
        <w:t>произведе- ний,</w:t>
      </w:r>
      <w:r>
        <w:rPr>
          <w:color w:val="231F20"/>
          <w:spacing w:val="-3"/>
        </w:rPr>
        <w:t> </w:t>
      </w:r>
      <w:r>
        <w:rPr>
          <w:color w:val="231F20"/>
        </w:rPr>
        <w:t>но</w:t>
      </w:r>
      <w:r>
        <w:rPr>
          <w:color w:val="231F20"/>
          <w:spacing w:val="-3"/>
        </w:rPr>
        <w:t> </w:t>
      </w:r>
      <w:r>
        <w:rPr>
          <w:color w:val="231F20"/>
        </w:rPr>
        <w:t>особенно</w:t>
      </w:r>
      <w:r>
        <w:rPr>
          <w:color w:val="231F20"/>
          <w:spacing w:val="-3"/>
        </w:rPr>
        <w:t> </w:t>
      </w:r>
      <w:r>
        <w:rPr>
          <w:color w:val="231F20"/>
        </w:rPr>
        <w:t>при</w:t>
      </w:r>
      <w:r>
        <w:rPr>
          <w:color w:val="231F20"/>
          <w:spacing w:val="-3"/>
        </w:rPr>
        <w:t> </w:t>
      </w:r>
      <w:r>
        <w:rPr>
          <w:color w:val="231F20"/>
        </w:rPr>
        <w:t>работе</w:t>
      </w:r>
      <w:r>
        <w:rPr>
          <w:color w:val="231F20"/>
          <w:spacing w:val="-3"/>
        </w:rPr>
        <w:t> </w:t>
      </w:r>
      <w:r>
        <w:rPr>
          <w:color w:val="231F20"/>
        </w:rPr>
        <w:t>над</w:t>
      </w:r>
      <w:r>
        <w:rPr>
          <w:color w:val="231F20"/>
          <w:spacing w:val="-3"/>
        </w:rPr>
        <w:t> </w:t>
      </w:r>
      <w:r>
        <w:rPr>
          <w:color w:val="231F20"/>
        </w:rPr>
        <w:t>крупными</w:t>
      </w:r>
      <w:r>
        <w:rPr>
          <w:color w:val="231F20"/>
          <w:spacing w:val="-3"/>
        </w:rPr>
        <w:t> </w:t>
      </w:r>
      <w:r>
        <w:rPr>
          <w:color w:val="231F20"/>
        </w:rPr>
        <w:t>по</w:t>
      </w:r>
      <w:r>
        <w:rPr>
          <w:color w:val="231F20"/>
          <w:spacing w:val="-3"/>
        </w:rPr>
        <w:t> </w:t>
      </w:r>
      <w:r>
        <w:rPr>
          <w:color w:val="231F20"/>
        </w:rPr>
        <w:t>форме</w:t>
      </w:r>
      <w:r>
        <w:rPr>
          <w:color w:val="231F20"/>
          <w:spacing w:val="-3"/>
        </w:rPr>
        <w:t> </w:t>
      </w:r>
      <w:r>
        <w:rPr>
          <w:color w:val="231F20"/>
        </w:rPr>
        <w:t>произведениями</w:t>
      </w:r>
      <w:r>
        <w:rPr>
          <w:color w:val="231F20"/>
          <w:spacing w:val="-3"/>
        </w:rPr>
        <w:t> </w:t>
      </w:r>
      <w:r>
        <w:rPr>
          <w:color w:val="231F20"/>
        </w:rPr>
        <w:t>русской</w:t>
      </w:r>
      <w:r>
        <w:rPr>
          <w:color w:val="231F20"/>
          <w:spacing w:val="-3"/>
        </w:rPr>
        <w:t> </w:t>
      </w:r>
      <w:r>
        <w:rPr>
          <w:color w:val="231F20"/>
        </w:rPr>
        <w:t>клас- сики,</w:t>
      </w:r>
      <w:r>
        <w:rPr>
          <w:color w:val="231F20"/>
          <w:spacing w:val="-1"/>
        </w:rPr>
        <w:t> </w:t>
      </w:r>
      <w:r>
        <w:rPr>
          <w:color w:val="231F20"/>
        </w:rPr>
        <w:t>когда</w:t>
      </w:r>
      <w:r>
        <w:rPr>
          <w:color w:val="231F20"/>
          <w:spacing w:val="-1"/>
        </w:rPr>
        <w:t> </w:t>
      </w:r>
      <w:r>
        <w:rPr>
          <w:color w:val="231F20"/>
        </w:rPr>
        <w:t>объем</w:t>
      </w:r>
      <w:r>
        <w:rPr>
          <w:color w:val="231F20"/>
          <w:spacing w:val="-1"/>
        </w:rPr>
        <w:t> </w:t>
      </w:r>
      <w:r>
        <w:rPr>
          <w:color w:val="231F20"/>
        </w:rPr>
        <w:t>материала</w:t>
      </w:r>
      <w:r>
        <w:rPr>
          <w:color w:val="231F20"/>
          <w:spacing w:val="-1"/>
        </w:rPr>
        <w:t> </w:t>
      </w:r>
      <w:r>
        <w:rPr>
          <w:color w:val="231F20"/>
        </w:rPr>
        <w:t>огромен,</w:t>
      </w:r>
      <w:r>
        <w:rPr>
          <w:color w:val="231F20"/>
          <w:spacing w:val="-1"/>
        </w:rPr>
        <w:t> </w:t>
      </w:r>
      <w:r>
        <w:rPr>
          <w:color w:val="231F20"/>
        </w:rPr>
        <w:t>а</w:t>
      </w:r>
      <w:r>
        <w:rPr>
          <w:color w:val="231F20"/>
          <w:spacing w:val="-1"/>
        </w:rPr>
        <w:t> </w:t>
      </w:r>
      <w:r>
        <w:rPr>
          <w:color w:val="231F20"/>
        </w:rPr>
        <w:t>времени</w:t>
      </w:r>
      <w:r>
        <w:rPr>
          <w:color w:val="231F20"/>
          <w:spacing w:val="-1"/>
        </w:rPr>
        <w:t> </w:t>
      </w:r>
      <w:r>
        <w:rPr>
          <w:color w:val="231F20"/>
        </w:rPr>
        <w:t>на</w:t>
      </w:r>
      <w:r>
        <w:rPr>
          <w:color w:val="231F20"/>
          <w:spacing w:val="-1"/>
        </w:rPr>
        <w:t> </w:t>
      </w:r>
      <w:r>
        <w:rPr>
          <w:color w:val="231F20"/>
        </w:rPr>
        <w:t>его</w:t>
      </w:r>
      <w:r>
        <w:rPr>
          <w:color w:val="231F20"/>
          <w:spacing w:val="-1"/>
        </w:rPr>
        <w:t> </w:t>
      </w:r>
      <w:r>
        <w:rPr>
          <w:color w:val="231F20"/>
        </w:rPr>
        <w:t>освоение</w:t>
      </w:r>
      <w:r>
        <w:rPr>
          <w:color w:val="231F20"/>
          <w:spacing w:val="-1"/>
        </w:rPr>
        <w:t> </w:t>
      </w:r>
      <w:r>
        <w:rPr>
          <w:color w:val="231F20"/>
        </w:rPr>
        <w:t>всегда</w:t>
      </w:r>
      <w:r>
        <w:rPr>
          <w:color w:val="231F20"/>
          <w:spacing w:val="-1"/>
        </w:rPr>
        <w:t> </w:t>
      </w:r>
      <w:r>
        <w:rPr>
          <w:color w:val="231F20"/>
        </w:rPr>
        <w:t>не</w:t>
      </w:r>
      <w:r>
        <w:rPr>
          <w:color w:val="231F20"/>
          <w:spacing w:val="-1"/>
        </w:rPr>
        <w:t> </w:t>
      </w:r>
      <w:r>
        <w:rPr>
          <w:color w:val="231F20"/>
        </w:rPr>
        <w:t>хватает».</w:t>
      </w:r>
    </w:p>
    <w:p>
      <w:pPr>
        <w:pStyle w:val="BodyText"/>
      </w:pPr>
      <w:r>
        <w:rPr>
          <w:color w:val="231F20"/>
        </w:rPr>
        <w:t>В соответствующем разделе «Инструментария» мы более подробно остановимся на особенностях организации групповой учебной работы в поликультурном классе, обсудим конкретные шаги, необходимые для осуществления метода обучения в со- трудничестве, включая тренинг для педагогов и непосредственно планы уроков.</w:t>
      </w:r>
    </w:p>
    <w:p>
      <w:pPr>
        <w:pStyle w:val="BodyText"/>
      </w:pPr>
      <w:r>
        <w:rPr>
          <w:color w:val="231F20"/>
        </w:rPr>
        <w:t>Проверка</w:t>
      </w:r>
      <w:r>
        <w:rPr>
          <w:color w:val="231F20"/>
          <w:spacing w:val="-8"/>
        </w:rPr>
        <w:t> </w:t>
      </w:r>
      <w:r>
        <w:rPr>
          <w:color w:val="231F20"/>
        </w:rPr>
        <w:t>эффективности</w:t>
      </w:r>
      <w:r>
        <w:rPr>
          <w:color w:val="231F20"/>
          <w:spacing w:val="-8"/>
        </w:rPr>
        <w:t> </w:t>
      </w:r>
      <w:r>
        <w:rPr>
          <w:color w:val="231F20"/>
        </w:rPr>
        <w:t>данной</w:t>
      </w:r>
      <w:r>
        <w:rPr>
          <w:color w:val="231F20"/>
          <w:spacing w:val="-8"/>
        </w:rPr>
        <w:t> </w:t>
      </w:r>
      <w:r>
        <w:rPr>
          <w:color w:val="231F20"/>
        </w:rPr>
        <w:t>практики</w:t>
      </w:r>
      <w:r>
        <w:rPr>
          <w:color w:val="231F20"/>
          <w:spacing w:val="-8"/>
        </w:rPr>
        <w:t> </w:t>
      </w:r>
      <w:r>
        <w:rPr>
          <w:color w:val="231F20"/>
        </w:rPr>
        <w:t>была</w:t>
      </w:r>
      <w:r>
        <w:rPr>
          <w:color w:val="231F20"/>
          <w:spacing w:val="-8"/>
        </w:rPr>
        <w:t> </w:t>
      </w:r>
      <w:r>
        <w:rPr>
          <w:color w:val="231F20"/>
        </w:rPr>
        <w:t>осуществлена</w:t>
      </w:r>
      <w:r>
        <w:rPr>
          <w:color w:val="231F20"/>
          <w:spacing w:val="-8"/>
        </w:rPr>
        <w:t> </w:t>
      </w:r>
      <w:r>
        <w:rPr>
          <w:color w:val="231F20"/>
        </w:rPr>
        <w:t>на</w:t>
      </w:r>
      <w:r>
        <w:rPr>
          <w:color w:val="231F20"/>
          <w:spacing w:val="-8"/>
        </w:rPr>
        <w:t> </w:t>
      </w:r>
      <w:r>
        <w:rPr>
          <w:color w:val="231F20"/>
        </w:rPr>
        <w:t>выборке</w:t>
      </w:r>
      <w:r>
        <w:rPr>
          <w:color w:val="231F20"/>
          <w:spacing w:val="-8"/>
        </w:rPr>
        <w:t> </w:t>
      </w:r>
      <w:r>
        <w:rPr>
          <w:color w:val="231F20"/>
        </w:rPr>
        <w:t>обуча- ющихся (Nобщ=358) в рамках реализации Государственного задания Министерства просвещения Российской Федерации № 073-00038-23-01 от 08.02.2023 г. «Оценка эффективности реализации программы психолого-педагогического сопровождения процессов</w:t>
      </w:r>
      <w:r>
        <w:rPr>
          <w:color w:val="231F20"/>
          <w:spacing w:val="-7"/>
        </w:rPr>
        <w:t> </w:t>
      </w:r>
      <w:r>
        <w:rPr>
          <w:color w:val="231F20"/>
        </w:rPr>
        <w:t>обучения,</w:t>
      </w:r>
      <w:r>
        <w:rPr>
          <w:color w:val="231F20"/>
          <w:spacing w:val="-7"/>
        </w:rPr>
        <w:t> </w:t>
      </w:r>
      <w:r>
        <w:rPr>
          <w:color w:val="231F20"/>
        </w:rPr>
        <w:t>социальной,</w:t>
      </w:r>
      <w:r>
        <w:rPr>
          <w:color w:val="231F20"/>
          <w:spacing w:val="-7"/>
        </w:rPr>
        <w:t> </w:t>
      </w:r>
      <w:r>
        <w:rPr>
          <w:color w:val="231F20"/>
        </w:rPr>
        <w:t>языковой</w:t>
      </w:r>
      <w:r>
        <w:rPr>
          <w:color w:val="231F20"/>
          <w:spacing w:val="-7"/>
        </w:rPr>
        <w:t> </w:t>
      </w:r>
      <w:r>
        <w:rPr>
          <w:color w:val="231F20"/>
        </w:rPr>
        <w:t>и</w:t>
      </w:r>
      <w:r>
        <w:rPr>
          <w:color w:val="231F20"/>
          <w:spacing w:val="-7"/>
        </w:rPr>
        <w:t> </w:t>
      </w:r>
      <w:r>
        <w:rPr>
          <w:color w:val="231F20"/>
        </w:rPr>
        <w:t>культурной</w:t>
      </w:r>
      <w:r>
        <w:rPr>
          <w:color w:val="231F20"/>
          <w:spacing w:val="-7"/>
        </w:rPr>
        <w:t> </w:t>
      </w:r>
      <w:r>
        <w:rPr>
          <w:color w:val="231F20"/>
        </w:rPr>
        <w:t>адаптации</w:t>
      </w:r>
      <w:r>
        <w:rPr>
          <w:color w:val="231F20"/>
          <w:spacing w:val="-7"/>
        </w:rPr>
        <w:t> </w:t>
      </w:r>
      <w:r>
        <w:rPr>
          <w:color w:val="231F20"/>
        </w:rPr>
        <w:t>детей</w:t>
      </w:r>
      <w:r>
        <w:rPr>
          <w:color w:val="231F20"/>
          <w:spacing w:val="-7"/>
        </w:rPr>
        <w:t> </w:t>
      </w:r>
      <w:r>
        <w:rPr>
          <w:color w:val="231F20"/>
        </w:rPr>
        <w:t>иностран- ных</w:t>
      </w:r>
      <w:r>
        <w:rPr>
          <w:color w:val="231F20"/>
          <w:spacing w:val="-8"/>
        </w:rPr>
        <w:t> </w:t>
      </w:r>
      <w:r>
        <w:rPr>
          <w:color w:val="231F20"/>
        </w:rPr>
        <w:t>граждан,</w:t>
      </w:r>
      <w:r>
        <w:rPr>
          <w:color w:val="231F20"/>
          <w:spacing w:val="-7"/>
        </w:rPr>
        <w:t> </w:t>
      </w:r>
      <w:r>
        <w:rPr>
          <w:color w:val="231F20"/>
        </w:rPr>
        <w:t>обучающихся</w:t>
      </w:r>
      <w:r>
        <w:rPr>
          <w:color w:val="231F20"/>
          <w:spacing w:val="-8"/>
        </w:rPr>
        <w:t> </w:t>
      </w:r>
      <w:r>
        <w:rPr>
          <w:color w:val="231F20"/>
        </w:rPr>
        <w:t>в</w:t>
      </w:r>
      <w:r>
        <w:rPr>
          <w:color w:val="231F20"/>
          <w:spacing w:val="-7"/>
        </w:rPr>
        <w:t> </w:t>
      </w:r>
      <w:r>
        <w:rPr>
          <w:color w:val="231F20"/>
        </w:rPr>
        <w:t>общеобразовательных</w:t>
      </w:r>
      <w:r>
        <w:rPr>
          <w:color w:val="231F20"/>
          <w:spacing w:val="-7"/>
        </w:rPr>
        <w:t> </w:t>
      </w:r>
      <w:r>
        <w:rPr>
          <w:color w:val="231F20"/>
        </w:rPr>
        <w:t>организациях</w:t>
      </w:r>
      <w:r>
        <w:rPr>
          <w:color w:val="231F20"/>
          <w:spacing w:val="-7"/>
        </w:rPr>
        <w:t> </w:t>
      </w:r>
      <w:r>
        <w:rPr>
          <w:color w:val="231F20"/>
        </w:rPr>
        <w:t>(на</w:t>
      </w:r>
      <w:r>
        <w:rPr>
          <w:color w:val="231F20"/>
          <w:spacing w:val="-7"/>
        </w:rPr>
        <w:t> </w:t>
      </w:r>
      <w:r>
        <w:rPr>
          <w:color w:val="231F20"/>
        </w:rPr>
        <w:t>основе</w:t>
      </w:r>
      <w:r>
        <w:rPr>
          <w:color w:val="231F20"/>
          <w:spacing w:val="-7"/>
        </w:rPr>
        <w:t> </w:t>
      </w:r>
      <w:r>
        <w:rPr>
          <w:color w:val="231F20"/>
          <w:spacing w:val="-2"/>
        </w:rPr>
        <w:t>доказа-</w:t>
      </w:r>
    </w:p>
    <w:p>
      <w:pPr>
        <w:pStyle w:val="BodyText"/>
        <w:spacing w:after="0"/>
        <w:sectPr>
          <w:pgSz w:w="8400" w:h="11910"/>
          <w:pgMar w:header="0" w:footer="527"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2" w:lineRule="auto" w:before="118"/>
        <w:ind w:firstLine="0"/>
      </w:pPr>
      <w:r>
        <w:rPr>
          <w:color w:val="231F20"/>
        </w:rPr>
        <w:t>тельного</w:t>
      </w:r>
      <w:r>
        <w:rPr>
          <w:color w:val="231F20"/>
          <w:spacing w:val="-1"/>
        </w:rPr>
        <w:t> </w:t>
      </w:r>
      <w:r>
        <w:rPr>
          <w:color w:val="231F20"/>
        </w:rPr>
        <w:t>подхода</w:t>
      </w:r>
      <w:r>
        <w:rPr>
          <w:color w:val="231F20"/>
          <w:spacing w:val="-1"/>
        </w:rPr>
        <w:t> </w:t>
      </w:r>
      <w:r>
        <w:rPr>
          <w:color w:val="231F20"/>
        </w:rPr>
        <w:t>к</w:t>
      </w:r>
      <w:r>
        <w:rPr>
          <w:color w:val="231F20"/>
          <w:spacing w:val="-1"/>
        </w:rPr>
        <w:t> </w:t>
      </w:r>
      <w:r>
        <w:rPr>
          <w:color w:val="231F20"/>
        </w:rPr>
        <w:t>социальным</w:t>
      </w:r>
      <w:r>
        <w:rPr>
          <w:color w:val="231F20"/>
          <w:spacing w:val="-1"/>
        </w:rPr>
        <w:t> </w:t>
      </w:r>
      <w:r>
        <w:rPr>
          <w:color w:val="231F20"/>
        </w:rPr>
        <w:t>практикам</w:t>
      </w:r>
      <w:r>
        <w:rPr>
          <w:color w:val="231F20"/>
          <w:spacing w:val="-1"/>
        </w:rPr>
        <w:t> </w:t>
      </w:r>
      <w:r>
        <w:rPr>
          <w:color w:val="231F20"/>
        </w:rPr>
        <w:t>в</w:t>
      </w:r>
      <w:r>
        <w:rPr>
          <w:color w:val="231F20"/>
          <w:spacing w:val="-1"/>
        </w:rPr>
        <w:t> </w:t>
      </w:r>
      <w:r>
        <w:rPr>
          <w:color w:val="231F20"/>
        </w:rPr>
        <w:t>сфере</w:t>
      </w:r>
      <w:r>
        <w:rPr>
          <w:color w:val="231F20"/>
          <w:spacing w:val="-1"/>
        </w:rPr>
        <w:t> </w:t>
      </w:r>
      <w:r>
        <w:rPr>
          <w:color w:val="231F20"/>
        </w:rPr>
        <w:t>детства</w:t>
      </w:r>
      <w:r>
        <w:rPr>
          <w:color w:val="231F20"/>
          <w:spacing w:val="-1"/>
        </w:rPr>
        <w:t> </w:t>
      </w:r>
      <w:r>
        <w:rPr>
          <w:color w:val="231F20"/>
        </w:rPr>
        <w:t>и</w:t>
      </w:r>
      <w:r>
        <w:rPr>
          <w:color w:val="231F20"/>
          <w:spacing w:val="-1"/>
        </w:rPr>
        <w:t> </w:t>
      </w:r>
      <w:r>
        <w:rPr>
          <w:color w:val="231F20"/>
        </w:rPr>
        <w:t>дифференцированного подхода</w:t>
      </w:r>
      <w:r>
        <w:rPr>
          <w:color w:val="231F20"/>
          <w:spacing w:val="-7"/>
        </w:rPr>
        <w:t> </w:t>
      </w:r>
      <w:r>
        <w:rPr>
          <w:color w:val="231F20"/>
        </w:rPr>
        <w:t>к</w:t>
      </w:r>
      <w:r>
        <w:rPr>
          <w:color w:val="231F20"/>
          <w:spacing w:val="-7"/>
        </w:rPr>
        <w:t> </w:t>
      </w:r>
      <w:r>
        <w:rPr>
          <w:color w:val="231F20"/>
        </w:rPr>
        <w:t>обучению</w:t>
      </w:r>
      <w:r>
        <w:rPr>
          <w:color w:val="231F20"/>
          <w:spacing w:val="-7"/>
        </w:rPr>
        <w:t> </w:t>
      </w:r>
      <w:r>
        <w:rPr>
          <w:color w:val="231F20"/>
        </w:rPr>
        <w:t>детей</w:t>
      </w:r>
      <w:r>
        <w:rPr>
          <w:color w:val="231F20"/>
          <w:spacing w:val="-7"/>
        </w:rPr>
        <w:t> </w:t>
      </w:r>
      <w:r>
        <w:rPr>
          <w:color w:val="231F20"/>
        </w:rPr>
        <w:t>иностранных</w:t>
      </w:r>
      <w:r>
        <w:rPr>
          <w:color w:val="231F20"/>
          <w:spacing w:val="-7"/>
        </w:rPr>
        <w:t> </w:t>
      </w:r>
      <w:r>
        <w:rPr>
          <w:color w:val="231F20"/>
        </w:rPr>
        <w:t>граждан)»</w:t>
      </w:r>
      <w:r>
        <w:rPr>
          <w:color w:val="231F20"/>
          <w:spacing w:val="-7"/>
        </w:rPr>
        <w:t> </w:t>
      </w:r>
      <w:r>
        <w:rPr>
          <w:color w:val="231F20"/>
        </w:rPr>
        <w:t>и</w:t>
      </w:r>
      <w:r>
        <w:rPr>
          <w:color w:val="231F20"/>
          <w:spacing w:val="-7"/>
        </w:rPr>
        <w:t> </w:t>
      </w:r>
      <w:r>
        <w:rPr>
          <w:color w:val="231F20"/>
        </w:rPr>
        <w:t>опиралась</w:t>
      </w:r>
      <w:r>
        <w:rPr>
          <w:color w:val="231F20"/>
          <w:spacing w:val="-7"/>
        </w:rPr>
        <w:t> </w:t>
      </w:r>
      <w:r>
        <w:rPr>
          <w:color w:val="231F20"/>
        </w:rPr>
        <w:t>на</w:t>
      </w:r>
      <w:r>
        <w:rPr>
          <w:color w:val="231F20"/>
          <w:spacing w:val="-7"/>
        </w:rPr>
        <w:t> </w:t>
      </w:r>
      <w:r>
        <w:rPr>
          <w:color w:val="231F20"/>
        </w:rPr>
        <w:t>схему</w:t>
      </w:r>
      <w:r>
        <w:rPr>
          <w:color w:val="231F20"/>
          <w:spacing w:val="-7"/>
        </w:rPr>
        <w:t> </w:t>
      </w:r>
      <w:r>
        <w:rPr>
          <w:color w:val="231F20"/>
        </w:rPr>
        <w:t>Киркпатри- ка (Kirkpatrick, 1959):</w:t>
      </w:r>
    </w:p>
    <w:p>
      <w:pPr>
        <w:pStyle w:val="ListParagraph"/>
        <w:numPr>
          <w:ilvl w:val="0"/>
          <w:numId w:val="178"/>
        </w:numPr>
        <w:tabs>
          <w:tab w:pos="425" w:val="left" w:leader="none"/>
        </w:tabs>
        <w:spacing w:line="232" w:lineRule="auto" w:before="2" w:after="0"/>
        <w:ind w:left="425" w:right="139" w:hanging="284"/>
        <w:jc w:val="both"/>
        <w:rPr>
          <w:sz w:val="20"/>
        </w:rPr>
      </w:pPr>
      <w:r>
        <w:rPr>
          <w:color w:val="231F20"/>
          <w:sz w:val="20"/>
        </w:rPr>
        <w:t>Уровень приобретения знаний и умений: в результате прохождения практики у несовершеннолетних</w:t>
      </w:r>
      <w:r>
        <w:rPr>
          <w:color w:val="231F20"/>
          <w:spacing w:val="-3"/>
          <w:sz w:val="20"/>
        </w:rPr>
        <w:t> </w:t>
      </w:r>
      <w:r>
        <w:rPr>
          <w:color w:val="231F20"/>
          <w:sz w:val="20"/>
        </w:rPr>
        <w:t>иностранных</w:t>
      </w:r>
      <w:r>
        <w:rPr>
          <w:color w:val="231F20"/>
          <w:spacing w:val="-4"/>
          <w:sz w:val="20"/>
        </w:rPr>
        <w:t> </w:t>
      </w:r>
      <w:r>
        <w:rPr>
          <w:color w:val="231F20"/>
          <w:sz w:val="20"/>
        </w:rPr>
        <w:t>граждан</w:t>
      </w:r>
      <w:r>
        <w:rPr>
          <w:color w:val="231F20"/>
          <w:spacing w:val="-4"/>
          <w:sz w:val="20"/>
        </w:rPr>
        <w:t> </w:t>
      </w:r>
      <w:r>
        <w:rPr>
          <w:color w:val="231F20"/>
          <w:sz w:val="20"/>
        </w:rPr>
        <w:t>было</w:t>
      </w:r>
      <w:r>
        <w:rPr>
          <w:color w:val="231F20"/>
          <w:spacing w:val="-4"/>
          <w:sz w:val="20"/>
        </w:rPr>
        <w:t> </w:t>
      </w:r>
      <w:r>
        <w:rPr>
          <w:color w:val="231F20"/>
          <w:sz w:val="20"/>
        </w:rPr>
        <w:t>отмечено</w:t>
      </w:r>
      <w:r>
        <w:rPr>
          <w:color w:val="231F20"/>
          <w:spacing w:val="-4"/>
          <w:sz w:val="20"/>
        </w:rPr>
        <w:t> </w:t>
      </w:r>
      <w:r>
        <w:rPr>
          <w:color w:val="231F20"/>
          <w:sz w:val="20"/>
        </w:rPr>
        <w:t>значимое</w:t>
      </w:r>
      <w:r>
        <w:rPr>
          <w:color w:val="231F20"/>
          <w:spacing w:val="-4"/>
          <w:sz w:val="20"/>
        </w:rPr>
        <w:t> </w:t>
      </w:r>
      <w:r>
        <w:rPr>
          <w:color w:val="231F20"/>
          <w:sz w:val="20"/>
        </w:rPr>
        <w:t>повышения уровня психологического благополучия (Рисуночная диагностика психологиче- ского благополучия: от 3,44 к 3,60 p&lt;0,01; Шкала психологического благополу- чия Уорик-Эдинург от 52,20 до 56,21 p&lt;0,05; Шкала удовлетворённости жизнью школьника от 117,08 до 125,05 p&lt;0,01) и культурной адаптации (Детский опро- сник аккультурационного стресса от 21,00 к 15,26 p&lt;0,05).</w:t>
      </w:r>
    </w:p>
    <w:p>
      <w:pPr>
        <w:spacing w:line="205" w:lineRule="exact" w:before="113"/>
        <w:ind w:left="425" w:right="0" w:firstLine="0"/>
        <w:jc w:val="left"/>
        <w:rPr>
          <w:b/>
          <w:sz w:val="18"/>
        </w:rPr>
      </w:pPr>
      <w:r>
        <w:rPr>
          <w:b/>
          <w:color w:val="231F20"/>
          <w:spacing w:val="-2"/>
          <w:sz w:val="18"/>
        </w:rPr>
        <w:t>Литература</w:t>
      </w:r>
    </w:p>
    <w:p>
      <w:pPr>
        <w:pStyle w:val="ListParagraph"/>
        <w:numPr>
          <w:ilvl w:val="1"/>
          <w:numId w:val="178"/>
        </w:numPr>
        <w:tabs>
          <w:tab w:pos="708" w:val="left" w:leader="none"/>
        </w:tabs>
        <w:spacing w:line="235" w:lineRule="auto" w:before="2" w:after="0"/>
        <w:ind w:left="708" w:right="423" w:hanging="284"/>
        <w:jc w:val="both"/>
        <w:rPr>
          <w:color w:val="231F20"/>
          <w:sz w:val="18"/>
        </w:rPr>
      </w:pPr>
      <w:r>
        <w:rPr>
          <w:color w:val="231F20"/>
          <w:sz w:val="18"/>
        </w:rPr>
        <w:t>Лукашенко М.А., Телегина Т.В. Управление созданием образовательных продук- тов с помощью метода Scrum // Экономические науки, 2019. – Т. 8. – № 2 (27). –</w:t>
      </w:r>
      <w:r>
        <w:rPr>
          <w:color w:val="231F20"/>
          <w:spacing w:val="80"/>
          <w:sz w:val="18"/>
        </w:rPr>
        <w:t> </w:t>
      </w:r>
      <w:r>
        <w:rPr>
          <w:color w:val="231F20"/>
          <w:sz w:val="18"/>
        </w:rPr>
        <w:t>С. 223–227.</w:t>
      </w:r>
    </w:p>
    <w:p>
      <w:pPr>
        <w:pStyle w:val="ListParagraph"/>
        <w:numPr>
          <w:ilvl w:val="1"/>
          <w:numId w:val="178"/>
        </w:numPr>
        <w:tabs>
          <w:tab w:pos="708" w:val="left" w:leader="none"/>
        </w:tabs>
        <w:spacing w:line="196" w:lineRule="exact" w:before="0" w:after="0"/>
        <w:ind w:left="708" w:right="0" w:hanging="283"/>
        <w:jc w:val="both"/>
        <w:rPr>
          <w:color w:val="231F20"/>
          <w:sz w:val="18"/>
        </w:rPr>
      </w:pPr>
      <w:r>
        <w:rPr>
          <w:color w:val="231F20"/>
          <w:spacing w:val="-4"/>
          <w:sz w:val="18"/>
        </w:rPr>
        <w:t>Cohen,</w:t>
      </w:r>
      <w:r>
        <w:rPr>
          <w:color w:val="231F20"/>
          <w:spacing w:val="3"/>
          <w:sz w:val="18"/>
        </w:rPr>
        <w:t> </w:t>
      </w:r>
      <w:r>
        <w:rPr>
          <w:color w:val="231F20"/>
          <w:spacing w:val="-4"/>
          <w:sz w:val="18"/>
        </w:rPr>
        <w:t>E.</w:t>
      </w:r>
      <w:r>
        <w:rPr>
          <w:color w:val="231F20"/>
          <w:spacing w:val="3"/>
          <w:sz w:val="18"/>
        </w:rPr>
        <w:t> </w:t>
      </w:r>
      <w:r>
        <w:rPr>
          <w:color w:val="231F20"/>
          <w:spacing w:val="-4"/>
          <w:sz w:val="18"/>
        </w:rPr>
        <w:t>(1994)</w:t>
      </w:r>
      <w:r>
        <w:rPr>
          <w:color w:val="231F20"/>
          <w:spacing w:val="3"/>
          <w:sz w:val="18"/>
        </w:rPr>
        <w:t> </w:t>
      </w:r>
      <w:r>
        <w:rPr>
          <w:color w:val="231F20"/>
          <w:spacing w:val="-4"/>
          <w:sz w:val="18"/>
        </w:rPr>
        <w:t>Designing</w:t>
      </w:r>
      <w:r>
        <w:rPr>
          <w:color w:val="231F20"/>
          <w:spacing w:val="4"/>
          <w:sz w:val="18"/>
        </w:rPr>
        <w:t> </w:t>
      </w:r>
      <w:r>
        <w:rPr>
          <w:color w:val="231F20"/>
          <w:spacing w:val="-4"/>
          <w:sz w:val="18"/>
        </w:rPr>
        <w:t>groupwork:</w:t>
      </w:r>
      <w:r>
        <w:rPr>
          <w:color w:val="231F20"/>
          <w:spacing w:val="3"/>
          <w:sz w:val="18"/>
        </w:rPr>
        <w:t> </w:t>
      </w:r>
      <w:r>
        <w:rPr>
          <w:color w:val="231F20"/>
          <w:spacing w:val="-4"/>
          <w:sz w:val="18"/>
        </w:rPr>
        <w:t>strategies</w:t>
      </w:r>
      <w:r>
        <w:rPr>
          <w:color w:val="231F20"/>
          <w:spacing w:val="3"/>
          <w:sz w:val="18"/>
        </w:rPr>
        <w:t> </w:t>
      </w:r>
      <w:r>
        <w:rPr>
          <w:color w:val="231F20"/>
          <w:spacing w:val="-4"/>
          <w:sz w:val="18"/>
        </w:rPr>
        <w:t>for</w:t>
      </w:r>
      <w:r>
        <w:rPr>
          <w:color w:val="231F20"/>
          <w:spacing w:val="3"/>
          <w:sz w:val="18"/>
        </w:rPr>
        <w:t> </w:t>
      </w:r>
      <w:r>
        <w:rPr>
          <w:color w:val="231F20"/>
          <w:spacing w:val="-4"/>
          <w:sz w:val="18"/>
        </w:rPr>
        <w:t>the</w:t>
      </w:r>
      <w:r>
        <w:rPr>
          <w:color w:val="231F20"/>
          <w:spacing w:val="4"/>
          <w:sz w:val="18"/>
        </w:rPr>
        <w:t> </w:t>
      </w:r>
      <w:r>
        <w:rPr>
          <w:color w:val="231F20"/>
          <w:spacing w:val="-4"/>
          <w:sz w:val="18"/>
        </w:rPr>
        <w:t>heterogeneous</w:t>
      </w:r>
      <w:r>
        <w:rPr>
          <w:color w:val="231F20"/>
          <w:spacing w:val="3"/>
          <w:sz w:val="18"/>
        </w:rPr>
        <w:t> </w:t>
      </w:r>
      <w:r>
        <w:rPr>
          <w:color w:val="231F20"/>
          <w:spacing w:val="-4"/>
          <w:sz w:val="18"/>
        </w:rPr>
        <w:t>classroom</w:t>
      </w:r>
      <w:r>
        <w:rPr>
          <w:color w:val="231F20"/>
          <w:spacing w:val="3"/>
          <w:sz w:val="18"/>
        </w:rPr>
        <w:t> </w:t>
      </w:r>
      <w:r>
        <w:rPr>
          <w:color w:val="231F20"/>
          <w:spacing w:val="-4"/>
          <w:sz w:val="18"/>
        </w:rPr>
        <w:t>–</w:t>
      </w:r>
      <w:r>
        <w:rPr>
          <w:color w:val="231F20"/>
          <w:spacing w:val="4"/>
          <w:sz w:val="18"/>
        </w:rPr>
        <w:t> </w:t>
      </w:r>
      <w:r>
        <w:rPr>
          <w:color w:val="231F20"/>
          <w:spacing w:val="-4"/>
          <w:sz w:val="18"/>
        </w:rPr>
        <w:t>2</w:t>
      </w:r>
      <w:r>
        <w:rPr>
          <w:color w:val="231F20"/>
          <w:spacing w:val="-4"/>
          <w:sz w:val="18"/>
          <w:vertAlign w:val="superscript"/>
        </w:rPr>
        <w:t>nd</w:t>
      </w:r>
      <w:r>
        <w:rPr>
          <w:color w:val="231F20"/>
          <w:spacing w:val="-17"/>
          <w:sz w:val="18"/>
          <w:vertAlign w:val="baseline"/>
        </w:rPr>
        <w:t> </w:t>
      </w:r>
      <w:r>
        <w:rPr>
          <w:color w:val="231F20"/>
          <w:spacing w:val="-5"/>
          <w:sz w:val="18"/>
          <w:vertAlign w:val="baseline"/>
        </w:rPr>
        <w:t>ed.</w:t>
      </w:r>
    </w:p>
    <w:p>
      <w:pPr>
        <w:pStyle w:val="ListParagraph"/>
        <w:numPr>
          <w:ilvl w:val="1"/>
          <w:numId w:val="178"/>
        </w:numPr>
        <w:tabs>
          <w:tab w:pos="708" w:val="left" w:leader="none"/>
        </w:tabs>
        <w:spacing w:line="200" w:lineRule="exact" w:before="0" w:after="0"/>
        <w:ind w:left="708" w:right="0" w:hanging="283"/>
        <w:jc w:val="both"/>
        <w:rPr>
          <w:color w:val="231F20"/>
          <w:sz w:val="18"/>
        </w:rPr>
      </w:pPr>
      <w:r>
        <w:rPr>
          <w:color w:val="231F20"/>
          <w:sz w:val="18"/>
        </w:rPr>
        <w:t>Aronson,</w:t>
      </w:r>
      <w:r>
        <w:rPr>
          <w:color w:val="231F20"/>
          <w:spacing w:val="-1"/>
          <w:sz w:val="18"/>
        </w:rPr>
        <w:t> </w:t>
      </w:r>
      <w:r>
        <w:rPr>
          <w:color w:val="231F20"/>
          <w:sz w:val="18"/>
        </w:rPr>
        <w:t>E.</w:t>
      </w:r>
      <w:r>
        <w:rPr>
          <w:color w:val="231F20"/>
          <w:spacing w:val="-1"/>
          <w:sz w:val="18"/>
        </w:rPr>
        <w:t> </w:t>
      </w:r>
      <w:r>
        <w:rPr>
          <w:color w:val="231F20"/>
          <w:sz w:val="18"/>
        </w:rPr>
        <w:t>i col</w:t>
      </w:r>
      <w:r>
        <w:rPr>
          <w:color w:val="231F20"/>
          <w:spacing w:val="-1"/>
          <w:sz w:val="18"/>
        </w:rPr>
        <w:t> </w:t>
      </w:r>
      <w:r>
        <w:rPr>
          <w:color w:val="231F20"/>
          <w:sz w:val="18"/>
        </w:rPr>
        <w:t>(1978)</w:t>
      </w:r>
      <w:r>
        <w:rPr>
          <w:color w:val="231F20"/>
          <w:spacing w:val="-4"/>
          <w:sz w:val="18"/>
        </w:rPr>
        <w:t> </w:t>
      </w:r>
      <w:r>
        <w:rPr>
          <w:color w:val="231F20"/>
          <w:sz w:val="18"/>
        </w:rPr>
        <w:t>The</w:t>
      </w:r>
      <w:r>
        <w:rPr>
          <w:color w:val="231F20"/>
          <w:spacing w:val="-1"/>
          <w:sz w:val="18"/>
        </w:rPr>
        <w:t> </w:t>
      </w:r>
      <w:r>
        <w:rPr>
          <w:color w:val="231F20"/>
          <w:sz w:val="18"/>
        </w:rPr>
        <w:t>jigsaw</w:t>
      </w:r>
      <w:r>
        <w:rPr>
          <w:color w:val="231F20"/>
          <w:spacing w:val="-2"/>
          <w:sz w:val="18"/>
        </w:rPr>
        <w:t> </w:t>
      </w:r>
      <w:r>
        <w:rPr>
          <w:color w:val="231F20"/>
          <w:sz w:val="18"/>
        </w:rPr>
        <w:t>classroom. Beverly</w:t>
      </w:r>
      <w:r>
        <w:rPr>
          <w:color w:val="231F20"/>
          <w:spacing w:val="-1"/>
          <w:sz w:val="18"/>
        </w:rPr>
        <w:t> </w:t>
      </w:r>
      <w:r>
        <w:rPr>
          <w:color w:val="231F20"/>
          <w:sz w:val="18"/>
        </w:rPr>
        <w:t>Hills: CA</w:t>
      </w:r>
      <w:r>
        <w:rPr>
          <w:color w:val="231F20"/>
          <w:spacing w:val="-11"/>
          <w:sz w:val="18"/>
        </w:rPr>
        <w:t> </w:t>
      </w:r>
      <w:r>
        <w:rPr>
          <w:color w:val="231F20"/>
          <w:spacing w:val="-2"/>
          <w:sz w:val="18"/>
        </w:rPr>
        <w:t>Sage.</w:t>
      </w:r>
    </w:p>
    <w:p>
      <w:pPr>
        <w:pStyle w:val="ListParagraph"/>
        <w:numPr>
          <w:ilvl w:val="1"/>
          <w:numId w:val="178"/>
        </w:numPr>
        <w:tabs>
          <w:tab w:pos="708" w:val="left" w:leader="none"/>
        </w:tabs>
        <w:spacing w:line="232" w:lineRule="auto" w:before="2" w:after="0"/>
        <w:ind w:left="708" w:right="425" w:hanging="284"/>
        <w:jc w:val="left"/>
        <w:rPr>
          <w:color w:val="231F20"/>
          <w:sz w:val="18"/>
        </w:rPr>
      </w:pPr>
      <w:r>
        <w:rPr>
          <w:color w:val="231F20"/>
          <w:sz w:val="18"/>
        </w:rPr>
        <w:t>DevriesфD.,</w:t>
      </w:r>
      <w:r>
        <w:rPr>
          <w:color w:val="231F20"/>
          <w:spacing w:val="36"/>
          <w:sz w:val="18"/>
        </w:rPr>
        <w:t> </w:t>
      </w:r>
      <w:r>
        <w:rPr>
          <w:color w:val="231F20"/>
          <w:sz w:val="18"/>
        </w:rPr>
        <w:t>Edwards</w:t>
      </w:r>
      <w:r>
        <w:rPr>
          <w:color w:val="231F20"/>
          <w:spacing w:val="-3"/>
          <w:sz w:val="18"/>
        </w:rPr>
        <w:t> </w:t>
      </w:r>
      <w:r>
        <w:rPr>
          <w:color w:val="231F20"/>
          <w:sz w:val="18"/>
        </w:rPr>
        <w:t>K.</w:t>
      </w:r>
      <w:r>
        <w:rPr>
          <w:color w:val="231F20"/>
          <w:spacing w:val="36"/>
          <w:sz w:val="18"/>
        </w:rPr>
        <w:t> </w:t>
      </w:r>
      <w:r>
        <w:rPr>
          <w:color w:val="231F20"/>
          <w:sz w:val="18"/>
        </w:rPr>
        <w:t>(1973)</w:t>
      </w:r>
      <w:r>
        <w:rPr>
          <w:color w:val="231F20"/>
          <w:spacing w:val="36"/>
          <w:sz w:val="18"/>
        </w:rPr>
        <w:t> </w:t>
      </w:r>
      <w:r>
        <w:rPr>
          <w:color w:val="231F20"/>
          <w:sz w:val="18"/>
        </w:rPr>
        <w:t>Learning</w:t>
      </w:r>
      <w:r>
        <w:rPr>
          <w:color w:val="231F20"/>
          <w:spacing w:val="36"/>
          <w:sz w:val="18"/>
        </w:rPr>
        <w:t> </w:t>
      </w:r>
      <w:r>
        <w:rPr>
          <w:color w:val="231F20"/>
          <w:sz w:val="18"/>
        </w:rPr>
        <w:t>games</w:t>
      </w:r>
      <w:r>
        <w:rPr>
          <w:color w:val="231F20"/>
          <w:spacing w:val="36"/>
          <w:sz w:val="18"/>
        </w:rPr>
        <w:t> </w:t>
      </w:r>
      <w:r>
        <w:rPr>
          <w:color w:val="231F20"/>
          <w:sz w:val="18"/>
        </w:rPr>
        <w:t>and</w:t>
      </w:r>
      <w:r>
        <w:rPr>
          <w:color w:val="231F20"/>
          <w:spacing w:val="36"/>
          <w:sz w:val="18"/>
        </w:rPr>
        <w:t> </w:t>
      </w:r>
      <w:r>
        <w:rPr>
          <w:color w:val="231F20"/>
          <w:sz w:val="18"/>
        </w:rPr>
        <w:t>student</w:t>
      </w:r>
      <w:r>
        <w:rPr>
          <w:color w:val="231F20"/>
          <w:spacing w:val="36"/>
          <w:sz w:val="18"/>
        </w:rPr>
        <w:t> </w:t>
      </w:r>
      <w:r>
        <w:rPr>
          <w:color w:val="231F20"/>
          <w:sz w:val="18"/>
        </w:rPr>
        <w:t>teams:</w:t>
      </w:r>
      <w:r>
        <w:rPr>
          <w:color w:val="231F20"/>
          <w:spacing w:val="33"/>
          <w:sz w:val="18"/>
        </w:rPr>
        <w:t> </w:t>
      </w:r>
      <w:r>
        <w:rPr>
          <w:color w:val="231F20"/>
          <w:sz w:val="18"/>
        </w:rPr>
        <w:t>Their</w:t>
      </w:r>
      <w:r>
        <w:rPr>
          <w:color w:val="231F20"/>
          <w:spacing w:val="36"/>
          <w:sz w:val="18"/>
        </w:rPr>
        <w:t> </w:t>
      </w:r>
      <w:r>
        <w:rPr>
          <w:color w:val="231F20"/>
          <w:sz w:val="18"/>
        </w:rPr>
        <w:t>effect</w:t>
      </w:r>
      <w:r>
        <w:rPr>
          <w:color w:val="231F20"/>
          <w:spacing w:val="36"/>
          <w:sz w:val="18"/>
        </w:rPr>
        <w:t> </w:t>
      </w:r>
      <w:r>
        <w:rPr>
          <w:color w:val="231F20"/>
          <w:sz w:val="18"/>
        </w:rPr>
        <w:t>on classroom process. American Educational Research Journal, 10, pp. 307–318.</w:t>
      </w:r>
    </w:p>
    <w:p>
      <w:pPr>
        <w:pStyle w:val="ListParagraph"/>
        <w:numPr>
          <w:ilvl w:val="1"/>
          <w:numId w:val="178"/>
        </w:numPr>
        <w:tabs>
          <w:tab w:pos="708" w:val="left" w:leader="none"/>
        </w:tabs>
        <w:spacing w:line="232" w:lineRule="auto" w:before="0" w:after="0"/>
        <w:ind w:left="708" w:right="423" w:hanging="284"/>
        <w:jc w:val="left"/>
        <w:rPr>
          <w:color w:val="231F20"/>
          <w:sz w:val="18"/>
        </w:rPr>
      </w:pPr>
      <w:r>
        <w:rPr>
          <w:color w:val="231F20"/>
          <w:sz w:val="18"/>
        </w:rPr>
        <w:t>Harasim</w:t>
      </w:r>
      <w:r>
        <w:rPr>
          <w:color w:val="231F20"/>
          <w:spacing w:val="-2"/>
          <w:sz w:val="18"/>
        </w:rPr>
        <w:t> </w:t>
      </w:r>
      <w:r>
        <w:rPr>
          <w:color w:val="231F20"/>
          <w:sz w:val="18"/>
        </w:rPr>
        <w:t>L. (2012) Learning theory and online technology: How new technologies are transforming learning opportunities. NY: Routledge Press.</w:t>
      </w:r>
    </w:p>
    <w:p>
      <w:pPr>
        <w:pStyle w:val="ListParagraph"/>
        <w:numPr>
          <w:ilvl w:val="1"/>
          <w:numId w:val="178"/>
        </w:numPr>
        <w:tabs>
          <w:tab w:pos="708" w:val="left" w:leader="none"/>
        </w:tabs>
        <w:spacing w:line="237" w:lineRule="auto" w:before="0" w:after="0"/>
        <w:ind w:left="708" w:right="422" w:hanging="284"/>
        <w:jc w:val="left"/>
        <w:rPr>
          <w:color w:val="231F20"/>
          <w:sz w:val="18"/>
        </w:rPr>
      </w:pPr>
      <w:r>
        <w:rPr>
          <w:color w:val="231F20"/>
          <w:sz w:val="18"/>
        </w:rPr>
        <w:t>Johnson</w:t>
      </w:r>
      <w:r>
        <w:rPr>
          <w:color w:val="231F20"/>
          <w:spacing w:val="-3"/>
          <w:sz w:val="18"/>
        </w:rPr>
        <w:t> </w:t>
      </w:r>
      <w:r>
        <w:rPr>
          <w:color w:val="231F20"/>
          <w:sz w:val="18"/>
        </w:rPr>
        <w:t>Roger</w:t>
      </w:r>
      <w:r>
        <w:rPr>
          <w:color w:val="231F20"/>
          <w:spacing w:val="-3"/>
          <w:sz w:val="18"/>
        </w:rPr>
        <w:t> </w:t>
      </w:r>
      <w:r>
        <w:rPr>
          <w:color w:val="231F20"/>
          <w:sz w:val="18"/>
        </w:rPr>
        <w:t>T.;</w:t>
      </w:r>
      <w:r>
        <w:rPr>
          <w:color w:val="231F20"/>
          <w:spacing w:val="80"/>
          <w:w w:val="150"/>
          <w:sz w:val="18"/>
        </w:rPr>
        <w:t> </w:t>
      </w:r>
      <w:r>
        <w:rPr>
          <w:color w:val="231F20"/>
          <w:sz w:val="18"/>
        </w:rPr>
        <w:t>Johnson</w:t>
      </w:r>
      <w:r>
        <w:rPr>
          <w:color w:val="231F20"/>
          <w:spacing w:val="-3"/>
          <w:sz w:val="18"/>
        </w:rPr>
        <w:t> </w:t>
      </w:r>
      <w:r>
        <w:rPr>
          <w:color w:val="231F20"/>
          <w:sz w:val="18"/>
        </w:rPr>
        <w:t>David</w:t>
      </w:r>
      <w:r>
        <w:rPr>
          <w:color w:val="231F20"/>
          <w:spacing w:val="-3"/>
          <w:sz w:val="18"/>
        </w:rPr>
        <w:t> </w:t>
      </w:r>
      <w:r>
        <w:rPr>
          <w:color w:val="231F20"/>
          <w:sz w:val="18"/>
        </w:rPr>
        <w:t>W.;</w:t>
      </w:r>
      <w:r>
        <w:rPr>
          <w:color w:val="231F20"/>
          <w:spacing w:val="80"/>
          <w:w w:val="150"/>
          <w:sz w:val="18"/>
        </w:rPr>
        <w:t> </w:t>
      </w:r>
      <w:r>
        <w:rPr>
          <w:color w:val="231F20"/>
          <w:sz w:val="18"/>
        </w:rPr>
        <w:t>Holubec</w:t>
      </w:r>
      <w:r>
        <w:rPr>
          <w:color w:val="231F20"/>
          <w:spacing w:val="-3"/>
          <w:sz w:val="18"/>
        </w:rPr>
        <w:t> </w:t>
      </w:r>
      <w:r>
        <w:rPr>
          <w:color w:val="231F20"/>
          <w:sz w:val="18"/>
        </w:rPr>
        <w:t>Edythe</w:t>
      </w:r>
      <w:r>
        <w:rPr>
          <w:color w:val="231F20"/>
          <w:spacing w:val="-3"/>
          <w:sz w:val="18"/>
        </w:rPr>
        <w:t> </w:t>
      </w:r>
      <w:r>
        <w:rPr>
          <w:color w:val="231F20"/>
          <w:sz w:val="18"/>
        </w:rPr>
        <w:t>J.</w:t>
      </w:r>
      <w:r>
        <w:rPr>
          <w:color w:val="231F20"/>
          <w:spacing w:val="80"/>
          <w:w w:val="150"/>
          <w:sz w:val="18"/>
        </w:rPr>
        <w:t> </w:t>
      </w:r>
      <w:r>
        <w:rPr>
          <w:color w:val="231F20"/>
          <w:sz w:val="18"/>
        </w:rPr>
        <w:t>(1999)</w:t>
      </w:r>
      <w:r>
        <w:rPr>
          <w:color w:val="231F20"/>
          <w:spacing w:val="80"/>
          <w:w w:val="150"/>
          <w:sz w:val="18"/>
        </w:rPr>
        <w:t> </w:t>
      </w:r>
      <w:r>
        <w:rPr>
          <w:color w:val="231F20"/>
          <w:sz w:val="18"/>
        </w:rPr>
        <w:t>El</w:t>
      </w:r>
      <w:r>
        <w:rPr>
          <w:color w:val="231F20"/>
          <w:spacing w:val="80"/>
          <w:w w:val="150"/>
          <w:sz w:val="18"/>
        </w:rPr>
        <w:t> </w:t>
      </w:r>
      <w:r>
        <w:rPr>
          <w:color w:val="231F20"/>
          <w:sz w:val="18"/>
        </w:rPr>
        <w:t>aprendizaje cooperativo en el aula. Barcelona: Paidós Educador.</w:t>
      </w:r>
    </w:p>
    <w:p>
      <w:pPr>
        <w:pStyle w:val="ListParagraph"/>
        <w:numPr>
          <w:ilvl w:val="1"/>
          <w:numId w:val="178"/>
        </w:numPr>
        <w:tabs>
          <w:tab w:pos="708" w:val="left" w:leader="none"/>
        </w:tabs>
        <w:spacing w:line="237" w:lineRule="auto" w:before="0" w:after="0"/>
        <w:ind w:left="708" w:right="423" w:hanging="284"/>
        <w:jc w:val="left"/>
        <w:rPr>
          <w:color w:val="231F20"/>
          <w:sz w:val="18"/>
        </w:rPr>
      </w:pPr>
      <w:r>
        <w:rPr>
          <w:color w:val="231F20"/>
          <w:sz w:val="18"/>
        </w:rPr>
        <w:t>Monereo</w:t>
      </w:r>
      <w:r>
        <w:rPr>
          <w:color w:val="231F20"/>
          <w:spacing w:val="-1"/>
          <w:sz w:val="18"/>
        </w:rPr>
        <w:t> </w:t>
      </w:r>
      <w:r>
        <w:rPr>
          <w:color w:val="231F20"/>
          <w:sz w:val="18"/>
        </w:rPr>
        <w:t>C.,</w:t>
      </w:r>
      <w:r>
        <w:rPr>
          <w:color w:val="231F20"/>
          <w:spacing w:val="80"/>
          <w:sz w:val="18"/>
        </w:rPr>
        <w:t> </w:t>
      </w:r>
      <w:r>
        <w:rPr>
          <w:color w:val="231F20"/>
          <w:sz w:val="18"/>
        </w:rPr>
        <w:t>Duran</w:t>
      </w:r>
      <w:r>
        <w:rPr>
          <w:color w:val="231F20"/>
          <w:spacing w:val="-1"/>
          <w:sz w:val="18"/>
        </w:rPr>
        <w:t> </w:t>
      </w:r>
      <w:r>
        <w:rPr>
          <w:color w:val="231F20"/>
          <w:sz w:val="18"/>
        </w:rPr>
        <w:t>D.</w:t>
      </w:r>
      <w:r>
        <w:rPr>
          <w:color w:val="231F20"/>
          <w:spacing w:val="80"/>
          <w:sz w:val="18"/>
        </w:rPr>
        <w:t> </w:t>
      </w:r>
      <w:r>
        <w:rPr>
          <w:color w:val="231F20"/>
          <w:sz w:val="18"/>
        </w:rPr>
        <w:t>(2001)</w:t>
      </w:r>
      <w:r>
        <w:rPr>
          <w:color w:val="231F20"/>
          <w:spacing w:val="80"/>
          <w:sz w:val="18"/>
        </w:rPr>
        <w:t> </w:t>
      </w:r>
      <w:r>
        <w:rPr>
          <w:color w:val="231F20"/>
          <w:sz w:val="18"/>
        </w:rPr>
        <w:t>Entramats.</w:t>
      </w:r>
      <w:r>
        <w:rPr>
          <w:color w:val="231F20"/>
          <w:spacing w:val="80"/>
          <w:sz w:val="18"/>
        </w:rPr>
        <w:t> </w:t>
      </w:r>
      <w:r>
        <w:rPr>
          <w:color w:val="231F20"/>
          <w:sz w:val="18"/>
        </w:rPr>
        <w:t>Mètodes</w:t>
      </w:r>
      <w:r>
        <w:rPr>
          <w:color w:val="231F20"/>
          <w:spacing w:val="80"/>
          <w:sz w:val="18"/>
        </w:rPr>
        <w:t> </w:t>
      </w:r>
      <w:r>
        <w:rPr>
          <w:color w:val="231F20"/>
          <w:sz w:val="18"/>
        </w:rPr>
        <w:t>d’aprenentatge</w:t>
      </w:r>
      <w:r>
        <w:rPr>
          <w:color w:val="231F20"/>
          <w:spacing w:val="80"/>
          <w:sz w:val="18"/>
        </w:rPr>
        <w:t> </w:t>
      </w:r>
      <w:r>
        <w:rPr>
          <w:color w:val="231F20"/>
          <w:sz w:val="18"/>
        </w:rPr>
        <w:t>cooperatiu</w:t>
      </w:r>
      <w:r>
        <w:rPr>
          <w:color w:val="231F20"/>
          <w:spacing w:val="80"/>
          <w:sz w:val="18"/>
        </w:rPr>
        <w:t> </w:t>
      </w:r>
      <w:r>
        <w:rPr>
          <w:color w:val="231F20"/>
          <w:sz w:val="18"/>
        </w:rPr>
        <w:t>i collaboratiu. Barcelona: Edebé.</w:t>
      </w:r>
    </w:p>
    <w:p>
      <w:pPr>
        <w:pStyle w:val="ListParagraph"/>
        <w:numPr>
          <w:ilvl w:val="1"/>
          <w:numId w:val="178"/>
        </w:numPr>
        <w:tabs>
          <w:tab w:pos="708" w:val="left" w:leader="none"/>
        </w:tabs>
        <w:spacing w:line="240" w:lineRule="auto" w:before="0" w:after="0"/>
        <w:ind w:left="708" w:right="422" w:hanging="284"/>
        <w:jc w:val="both"/>
        <w:rPr>
          <w:color w:val="231F20"/>
          <w:sz w:val="18"/>
        </w:rPr>
      </w:pPr>
      <w:r>
        <w:rPr>
          <w:color w:val="231F20"/>
          <w:sz w:val="18"/>
        </w:rPr>
        <w:t>Ovejero</w:t>
      </w:r>
      <w:r>
        <w:rPr>
          <w:color w:val="231F20"/>
          <w:spacing w:val="-2"/>
          <w:sz w:val="18"/>
        </w:rPr>
        <w:t> </w:t>
      </w:r>
      <w:r>
        <w:rPr>
          <w:color w:val="231F20"/>
          <w:sz w:val="18"/>
        </w:rPr>
        <w:t>A. (1990) El aprendizaje cooperativo. Una alternativa eficaz a la </w:t>
      </w:r>
      <w:r>
        <w:rPr>
          <w:color w:val="231F20"/>
          <w:sz w:val="18"/>
        </w:rPr>
        <w:t>enseñanza tradicional. Barcelona: PPU.</w:t>
      </w:r>
    </w:p>
    <w:p>
      <w:pPr>
        <w:pStyle w:val="ListParagraph"/>
        <w:numPr>
          <w:ilvl w:val="1"/>
          <w:numId w:val="178"/>
        </w:numPr>
        <w:tabs>
          <w:tab w:pos="708" w:val="left" w:leader="none"/>
        </w:tabs>
        <w:spacing w:line="240" w:lineRule="auto" w:before="0" w:after="0"/>
        <w:ind w:left="708" w:right="423" w:hanging="284"/>
        <w:jc w:val="both"/>
        <w:rPr>
          <w:color w:val="231F20"/>
          <w:sz w:val="18"/>
        </w:rPr>
      </w:pPr>
      <w:r>
        <w:rPr>
          <w:color w:val="231F20"/>
          <w:sz w:val="18"/>
        </w:rPr>
        <w:t>Palincsar</w:t>
      </w:r>
      <w:r>
        <w:rPr>
          <w:color w:val="231F20"/>
          <w:spacing w:val="-3"/>
          <w:sz w:val="18"/>
        </w:rPr>
        <w:t> </w:t>
      </w:r>
      <w:r>
        <w:rPr>
          <w:color w:val="231F20"/>
          <w:sz w:val="18"/>
        </w:rPr>
        <w:t>A.; Brown</w:t>
      </w:r>
      <w:r>
        <w:rPr>
          <w:color w:val="231F20"/>
          <w:spacing w:val="-3"/>
          <w:sz w:val="18"/>
        </w:rPr>
        <w:t> </w:t>
      </w:r>
      <w:r>
        <w:rPr>
          <w:color w:val="231F20"/>
          <w:sz w:val="18"/>
        </w:rPr>
        <w:t>A. (1984) Reciprocal Teaching of comprehension-fodtering </w:t>
      </w:r>
      <w:r>
        <w:rPr>
          <w:color w:val="231F20"/>
          <w:sz w:val="18"/>
        </w:rPr>
        <w:t>and metacognitive strategies. Cognition and Instruction, 1; pp. 117–175.</w:t>
      </w:r>
    </w:p>
    <w:p>
      <w:pPr>
        <w:pStyle w:val="ListParagraph"/>
        <w:numPr>
          <w:ilvl w:val="1"/>
          <w:numId w:val="178"/>
        </w:numPr>
        <w:tabs>
          <w:tab w:pos="708" w:val="left" w:leader="none"/>
        </w:tabs>
        <w:spacing w:line="240" w:lineRule="auto" w:before="0" w:after="0"/>
        <w:ind w:left="708" w:right="422" w:hanging="284"/>
        <w:jc w:val="both"/>
        <w:rPr>
          <w:color w:val="231F20"/>
          <w:sz w:val="18"/>
        </w:rPr>
      </w:pPr>
      <w:r>
        <w:rPr>
          <w:color w:val="231F20"/>
          <w:sz w:val="18"/>
        </w:rPr>
        <w:t>Palincasar</w:t>
      </w:r>
      <w:r>
        <w:rPr>
          <w:color w:val="231F20"/>
          <w:spacing w:val="-2"/>
          <w:sz w:val="18"/>
        </w:rPr>
        <w:t> </w:t>
      </w:r>
      <w:r>
        <w:rPr>
          <w:color w:val="231F20"/>
          <w:sz w:val="18"/>
        </w:rPr>
        <w:t>A.; Herrenhohl</w:t>
      </w:r>
      <w:r>
        <w:rPr>
          <w:color w:val="231F20"/>
          <w:spacing w:val="-2"/>
          <w:sz w:val="18"/>
        </w:rPr>
        <w:t> </w:t>
      </w:r>
      <w:r>
        <w:rPr>
          <w:color w:val="231F20"/>
          <w:sz w:val="18"/>
        </w:rPr>
        <w:t>R. (1999). Designing Collaborative Contexts: Lessons from three research programs. A: O’DONELL, A; KING, A. Cognitive Prespectives on Peer Learning. Mahwah, NJ: Lawrance Earlbaum Associates, Inc.</w:t>
      </w:r>
    </w:p>
    <w:p>
      <w:pPr>
        <w:pStyle w:val="ListParagraph"/>
        <w:numPr>
          <w:ilvl w:val="1"/>
          <w:numId w:val="178"/>
        </w:numPr>
        <w:tabs>
          <w:tab w:pos="708" w:val="left" w:leader="none"/>
        </w:tabs>
        <w:spacing w:line="240" w:lineRule="auto" w:before="3" w:after="0"/>
        <w:ind w:left="708" w:right="423" w:hanging="284"/>
        <w:jc w:val="both"/>
        <w:rPr>
          <w:color w:val="231F20"/>
          <w:sz w:val="18"/>
        </w:rPr>
      </w:pPr>
      <w:r>
        <w:rPr>
          <w:color w:val="231F20"/>
          <w:sz w:val="18"/>
        </w:rPr>
        <w:t>Kagan</w:t>
      </w:r>
      <w:r>
        <w:rPr>
          <w:color w:val="231F20"/>
          <w:spacing w:val="-10"/>
          <w:sz w:val="18"/>
        </w:rPr>
        <w:t> </w:t>
      </w:r>
      <w:r>
        <w:rPr>
          <w:color w:val="231F20"/>
          <w:sz w:val="18"/>
        </w:rPr>
        <w:t>S.</w:t>
      </w:r>
      <w:r>
        <w:rPr>
          <w:color w:val="231F20"/>
          <w:spacing w:val="-8"/>
          <w:sz w:val="18"/>
        </w:rPr>
        <w:t> </w:t>
      </w:r>
      <w:r>
        <w:rPr>
          <w:color w:val="231F20"/>
          <w:sz w:val="18"/>
        </w:rPr>
        <w:t>(1985a).</w:t>
      </w:r>
      <w:r>
        <w:rPr>
          <w:color w:val="231F20"/>
          <w:spacing w:val="-8"/>
          <w:sz w:val="18"/>
        </w:rPr>
        <w:t> </w:t>
      </w:r>
      <w:r>
        <w:rPr>
          <w:color w:val="231F20"/>
          <w:sz w:val="18"/>
        </w:rPr>
        <w:t>Dimensions</w:t>
      </w:r>
      <w:r>
        <w:rPr>
          <w:color w:val="231F20"/>
          <w:spacing w:val="-8"/>
          <w:sz w:val="18"/>
        </w:rPr>
        <w:t> </w:t>
      </w:r>
      <w:r>
        <w:rPr>
          <w:color w:val="231F20"/>
          <w:sz w:val="18"/>
        </w:rPr>
        <w:t>of</w:t>
      </w:r>
      <w:r>
        <w:rPr>
          <w:color w:val="231F20"/>
          <w:spacing w:val="-8"/>
          <w:sz w:val="18"/>
        </w:rPr>
        <w:t> </w:t>
      </w:r>
      <w:r>
        <w:rPr>
          <w:color w:val="231F20"/>
          <w:sz w:val="18"/>
        </w:rPr>
        <w:t>cooperative</w:t>
      </w:r>
      <w:r>
        <w:rPr>
          <w:color w:val="231F20"/>
          <w:spacing w:val="-8"/>
          <w:sz w:val="18"/>
        </w:rPr>
        <w:t> </w:t>
      </w:r>
      <w:r>
        <w:rPr>
          <w:color w:val="231F20"/>
          <w:sz w:val="18"/>
        </w:rPr>
        <w:t>classroom</w:t>
      </w:r>
      <w:r>
        <w:rPr>
          <w:color w:val="231F20"/>
          <w:spacing w:val="-8"/>
          <w:sz w:val="18"/>
        </w:rPr>
        <w:t> </w:t>
      </w:r>
      <w:r>
        <w:rPr>
          <w:color w:val="231F20"/>
          <w:sz w:val="18"/>
        </w:rPr>
        <w:t>structures,</w:t>
      </w:r>
      <w:r>
        <w:rPr>
          <w:color w:val="231F20"/>
          <w:spacing w:val="-12"/>
          <w:sz w:val="18"/>
        </w:rPr>
        <w:t> </w:t>
      </w:r>
      <w:r>
        <w:rPr>
          <w:color w:val="231F20"/>
          <w:sz w:val="18"/>
        </w:rPr>
        <w:t>A:</w:t>
      </w:r>
      <w:r>
        <w:rPr>
          <w:color w:val="231F20"/>
          <w:spacing w:val="-7"/>
          <w:sz w:val="18"/>
        </w:rPr>
        <w:t> </w:t>
      </w:r>
      <w:r>
        <w:rPr>
          <w:color w:val="231F20"/>
          <w:sz w:val="18"/>
        </w:rPr>
        <w:t>R.</w:t>
      </w:r>
      <w:r>
        <w:rPr>
          <w:color w:val="231F20"/>
          <w:spacing w:val="-8"/>
          <w:sz w:val="18"/>
        </w:rPr>
        <w:t> </w:t>
      </w:r>
      <w:r>
        <w:rPr>
          <w:color w:val="231F20"/>
          <w:sz w:val="18"/>
        </w:rPr>
        <w:t>SLAVIN</w:t>
      </w:r>
      <w:r>
        <w:rPr>
          <w:color w:val="231F20"/>
          <w:spacing w:val="-8"/>
          <w:sz w:val="18"/>
        </w:rPr>
        <w:t> </w:t>
      </w:r>
      <w:r>
        <w:rPr>
          <w:color w:val="231F20"/>
          <w:sz w:val="18"/>
        </w:rPr>
        <w:t>i</w:t>
      </w:r>
      <w:r>
        <w:rPr>
          <w:color w:val="231F20"/>
          <w:spacing w:val="-8"/>
          <w:sz w:val="18"/>
        </w:rPr>
        <w:t> </w:t>
      </w:r>
      <w:r>
        <w:rPr>
          <w:color w:val="231F20"/>
          <w:sz w:val="18"/>
        </w:rPr>
        <w:t>cols. (eds), op. cit., pp. 67–96.</w:t>
      </w:r>
    </w:p>
    <w:p>
      <w:pPr>
        <w:pStyle w:val="ListParagraph"/>
        <w:numPr>
          <w:ilvl w:val="1"/>
          <w:numId w:val="178"/>
        </w:numPr>
        <w:tabs>
          <w:tab w:pos="708" w:val="left" w:leader="none"/>
        </w:tabs>
        <w:spacing w:line="242" w:lineRule="auto" w:before="4" w:after="0"/>
        <w:ind w:left="708" w:right="423" w:hanging="284"/>
        <w:jc w:val="both"/>
        <w:rPr>
          <w:color w:val="231F20"/>
          <w:sz w:val="18"/>
        </w:rPr>
      </w:pPr>
      <w:r>
        <w:rPr>
          <w:color w:val="231F20"/>
          <w:sz w:val="18"/>
        </w:rPr>
        <w:t>Kagan</w:t>
      </w:r>
      <w:r>
        <w:rPr>
          <w:color w:val="231F20"/>
          <w:spacing w:val="-6"/>
          <w:sz w:val="18"/>
        </w:rPr>
        <w:t> </w:t>
      </w:r>
      <w:r>
        <w:rPr>
          <w:color w:val="231F20"/>
          <w:sz w:val="18"/>
        </w:rPr>
        <w:t>S.</w:t>
      </w:r>
      <w:r>
        <w:rPr>
          <w:color w:val="231F20"/>
          <w:spacing w:val="-4"/>
          <w:sz w:val="18"/>
        </w:rPr>
        <w:t> </w:t>
      </w:r>
      <w:r>
        <w:rPr>
          <w:color w:val="231F20"/>
          <w:sz w:val="18"/>
        </w:rPr>
        <w:t>(1985b).</w:t>
      </w:r>
      <w:r>
        <w:rPr>
          <w:color w:val="231F20"/>
          <w:spacing w:val="-5"/>
          <w:sz w:val="18"/>
        </w:rPr>
        <w:t> </w:t>
      </w:r>
      <w:r>
        <w:rPr>
          <w:color w:val="231F20"/>
          <w:sz w:val="18"/>
        </w:rPr>
        <w:t>Learning</w:t>
      </w:r>
      <w:r>
        <w:rPr>
          <w:color w:val="231F20"/>
          <w:spacing w:val="-5"/>
          <w:sz w:val="18"/>
        </w:rPr>
        <w:t> </w:t>
      </w:r>
      <w:r>
        <w:rPr>
          <w:color w:val="231F20"/>
          <w:sz w:val="18"/>
        </w:rPr>
        <w:t>to</w:t>
      </w:r>
      <w:r>
        <w:rPr>
          <w:color w:val="231F20"/>
          <w:spacing w:val="-5"/>
          <w:sz w:val="18"/>
        </w:rPr>
        <w:t> </w:t>
      </w:r>
      <w:r>
        <w:rPr>
          <w:color w:val="231F20"/>
          <w:sz w:val="18"/>
        </w:rPr>
        <w:t>cooperative,</w:t>
      </w:r>
      <w:r>
        <w:rPr>
          <w:color w:val="231F20"/>
          <w:spacing w:val="-12"/>
          <w:sz w:val="18"/>
        </w:rPr>
        <w:t> </w:t>
      </w:r>
      <w:r>
        <w:rPr>
          <w:color w:val="231F20"/>
          <w:sz w:val="18"/>
        </w:rPr>
        <w:t>A:</w:t>
      </w:r>
      <w:r>
        <w:rPr>
          <w:color w:val="231F20"/>
          <w:spacing w:val="-3"/>
          <w:sz w:val="18"/>
        </w:rPr>
        <w:t> </w:t>
      </w:r>
      <w:r>
        <w:rPr>
          <w:color w:val="231F20"/>
          <w:sz w:val="18"/>
        </w:rPr>
        <w:t>R.</w:t>
      </w:r>
      <w:r>
        <w:rPr>
          <w:color w:val="231F20"/>
          <w:spacing w:val="-5"/>
          <w:sz w:val="18"/>
        </w:rPr>
        <w:t> </w:t>
      </w:r>
      <w:r>
        <w:rPr>
          <w:color w:val="231F20"/>
          <w:sz w:val="18"/>
        </w:rPr>
        <w:t>SLAVIN</w:t>
      </w:r>
      <w:r>
        <w:rPr>
          <w:color w:val="231F20"/>
          <w:spacing w:val="-4"/>
          <w:sz w:val="18"/>
        </w:rPr>
        <w:t> </w:t>
      </w:r>
      <w:r>
        <w:rPr>
          <w:color w:val="231F20"/>
          <w:sz w:val="18"/>
        </w:rPr>
        <w:t>i</w:t>
      </w:r>
      <w:r>
        <w:rPr>
          <w:color w:val="231F20"/>
          <w:spacing w:val="-5"/>
          <w:sz w:val="18"/>
        </w:rPr>
        <w:t> </w:t>
      </w:r>
      <w:r>
        <w:rPr>
          <w:color w:val="231F20"/>
          <w:sz w:val="18"/>
        </w:rPr>
        <w:t>cols.</w:t>
      </w:r>
      <w:r>
        <w:rPr>
          <w:color w:val="231F20"/>
          <w:spacing w:val="-5"/>
          <w:sz w:val="18"/>
        </w:rPr>
        <w:t> </w:t>
      </w:r>
      <w:r>
        <w:rPr>
          <w:color w:val="231F20"/>
          <w:sz w:val="18"/>
        </w:rPr>
        <w:t>(eds),</w:t>
      </w:r>
      <w:r>
        <w:rPr>
          <w:color w:val="231F20"/>
          <w:spacing w:val="-5"/>
          <w:sz w:val="18"/>
        </w:rPr>
        <w:t> </w:t>
      </w:r>
      <w:r>
        <w:rPr>
          <w:color w:val="231F20"/>
          <w:sz w:val="18"/>
        </w:rPr>
        <w:t>op.</w:t>
      </w:r>
      <w:r>
        <w:rPr>
          <w:color w:val="231F20"/>
          <w:spacing w:val="-5"/>
          <w:sz w:val="18"/>
        </w:rPr>
        <w:t> </w:t>
      </w:r>
      <w:r>
        <w:rPr>
          <w:color w:val="231F20"/>
          <w:sz w:val="18"/>
        </w:rPr>
        <w:t>cit.,</w:t>
      </w:r>
      <w:r>
        <w:rPr>
          <w:color w:val="231F20"/>
          <w:spacing w:val="-5"/>
          <w:sz w:val="18"/>
        </w:rPr>
        <w:t> </w:t>
      </w:r>
      <w:r>
        <w:rPr>
          <w:color w:val="231F20"/>
          <w:sz w:val="18"/>
        </w:rPr>
        <w:t>pp.</w:t>
      </w:r>
      <w:r>
        <w:rPr>
          <w:color w:val="231F20"/>
          <w:spacing w:val="-5"/>
          <w:sz w:val="18"/>
        </w:rPr>
        <w:t> </w:t>
      </w:r>
      <w:r>
        <w:rPr>
          <w:color w:val="231F20"/>
          <w:sz w:val="18"/>
        </w:rPr>
        <w:t>365– </w:t>
      </w:r>
      <w:r>
        <w:rPr>
          <w:color w:val="231F20"/>
          <w:spacing w:val="-4"/>
          <w:sz w:val="18"/>
        </w:rPr>
        <w:t>370.</w:t>
      </w:r>
    </w:p>
    <w:p>
      <w:pPr>
        <w:pStyle w:val="ListParagraph"/>
        <w:numPr>
          <w:ilvl w:val="1"/>
          <w:numId w:val="178"/>
        </w:numPr>
        <w:tabs>
          <w:tab w:pos="708" w:val="left" w:leader="none"/>
        </w:tabs>
        <w:spacing w:line="242" w:lineRule="auto" w:before="2" w:after="0"/>
        <w:ind w:left="708" w:right="423" w:hanging="284"/>
        <w:jc w:val="both"/>
        <w:rPr>
          <w:color w:val="231F20"/>
          <w:sz w:val="18"/>
        </w:rPr>
      </w:pPr>
      <w:r>
        <w:rPr>
          <w:color w:val="231F20"/>
          <w:sz w:val="18"/>
        </w:rPr>
        <w:t>Kirkpatrick</w:t>
      </w:r>
      <w:r>
        <w:rPr>
          <w:color w:val="231F20"/>
          <w:spacing w:val="-2"/>
          <w:sz w:val="18"/>
        </w:rPr>
        <w:t> </w:t>
      </w:r>
      <w:r>
        <w:rPr>
          <w:color w:val="231F20"/>
          <w:sz w:val="18"/>
        </w:rPr>
        <w:t>D.L.Techniques</w:t>
      </w:r>
      <w:r>
        <w:rPr>
          <w:color w:val="231F20"/>
          <w:spacing w:val="-2"/>
          <w:sz w:val="18"/>
        </w:rPr>
        <w:t> </w:t>
      </w:r>
      <w:r>
        <w:rPr>
          <w:color w:val="231F20"/>
          <w:sz w:val="18"/>
        </w:rPr>
        <w:t>for</w:t>
      </w:r>
      <w:r>
        <w:rPr>
          <w:color w:val="231F20"/>
          <w:spacing w:val="-2"/>
          <w:sz w:val="18"/>
        </w:rPr>
        <w:t> </w:t>
      </w:r>
      <w:r>
        <w:rPr>
          <w:color w:val="231F20"/>
          <w:sz w:val="18"/>
        </w:rPr>
        <w:t>Evolutions</w:t>
      </w:r>
      <w:r>
        <w:rPr>
          <w:color w:val="231F20"/>
          <w:spacing w:val="-5"/>
          <w:sz w:val="18"/>
        </w:rPr>
        <w:t> </w:t>
      </w:r>
      <w:r>
        <w:rPr>
          <w:color w:val="231F20"/>
          <w:sz w:val="18"/>
        </w:rPr>
        <w:t>Training</w:t>
      </w:r>
      <w:r>
        <w:rPr>
          <w:color w:val="231F20"/>
          <w:spacing w:val="-2"/>
          <w:sz w:val="18"/>
        </w:rPr>
        <w:t> </w:t>
      </w:r>
      <w:r>
        <w:rPr>
          <w:color w:val="231F20"/>
          <w:sz w:val="18"/>
        </w:rPr>
        <w:t>Programs//</w:t>
      </w:r>
      <w:r>
        <w:rPr>
          <w:color w:val="231F20"/>
          <w:spacing w:val="-2"/>
          <w:sz w:val="18"/>
        </w:rPr>
        <w:t> </w:t>
      </w:r>
      <w:r>
        <w:rPr>
          <w:color w:val="231F20"/>
          <w:sz w:val="18"/>
        </w:rPr>
        <w:t>Journal</w:t>
      </w:r>
      <w:r>
        <w:rPr>
          <w:color w:val="231F20"/>
          <w:spacing w:val="-2"/>
          <w:sz w:val="18"/>
        </w:rPr>
        <w:t> </w:t>
      </w:r>
      <w:r>
        <w:rPr>
          <w:color w:val="231F20"/>
          <w:sz w:val="18"/>
        </w:rPr>
        <w:t>of</w:t>
      </w:r>
      <w:r>
        <w:rPr>
          <w:color w:val="231F20"/>
          <w:spacing w:val="-2"/>
          <w:sz w:val="18"/>
        </w:rPr>
        <w:t> </w:t>
      </w:r>
      <w:r>
        <w:rPr>
          <w:color w:val="231F20"/>
          <w:sz w:val="18"/>
        </w:rPr>
        <w:t>the</w:t>
      </w:r>
      <w:r>
        <w:rPr>
          <w:color w:val="231F20"/>
          <w:spacing w:val="-11"/>
          <w:sz w:val="18"/>
        </w:rPr>
        <w:t> </w:t>
      </w:r>
      <w:r>
        <w:rPr>
          <w:color w:val="231F20"/>
          <w:sz w:val="18"/>
        </w:rPr>
        <w:t>American Society of trainings directors, 13, 21-26.1959.</w:t>
      </w:r>
    </w:p>
    <w:p>
      <w:pPr>
        <w:pStyle w:val="ListParagraph"/>
        <w:numPr>
          <w:ilvl w:val="1"/>
          <w:numId w:val="178"/>
        </w:numPr>
        <w:tabs>
          <w:tab w:pos="708" w:val="left" w:leader="none"/>
        </w:tabs>
        <w:spacing w:line="242" w:lineRule="auto" w:before="2" w:after="0"/>
        <w:ind w:left="708" w:right="423" w:hanging="284"/>
        <w:jc w:val="both"/>
        <w:rPr>
          <w:color w:val="231F20"/>
          <w:sz w:val="18"/>
        </w:rPr>
      </w:pPr>
      <w:r>
        <w:rPr>
          <w:color w:val="231F20"/>
          <w:sz w:val="18"/>
        </w:rPr>
        <w:t>Sharan</w:t>
      </w:r>
      <w:r>
        <w:rPr>
          <w:color w:val="231F20"/>
          <w:spacing w:val="-2"/>
          <w:sz w:val="18"/>
        </w:rPr>
        <w:t> </w:t>
      </w:r>
      <w:r>
        <w:rPr>
          <w:color w:val="231F20"/>
          <w:sz w:val="18"/>
        </w:rPr>
        <w:t>S; Sharan</w:t>
      </w:r>
      <w:r>
        <w:rPr>
          <w:color w:val="231F20"/>
          <w:spacing w:val="-2"/>
          <w:sz w:val="18"/>
        </w:rPr>
        <w:t> </w:t>
      </w:r>
      <w:r>
        <w:rPr>
          <w:color w:val="231F20"/>
          <w:sz w:val="18"/>
        </w:rPr>
        <w:t>I. (1976) Small group teaching. Englewood Cliffs, NJ, Educational Technology Publications.</w:t>
      </w:r>
    </w:p>
    <w:p>
      <w:pPr>
        <w:pStyle w:val="ListParagraph"/>
        <w:numPr>
          <w:ilvl w:val="1"/>
          <w:numId w:val="178"/>
        </w:numPr>
        <w:tabs>
          <w:tab w:pos="708" w:val="left" w:leader="none"/>
        </w:tabs>
        <w:spacing w:line="242" w:lineRule="auto" w:before="2" w:after="0"/>
        <w:ind w:left="708" w:right="423" w:hanging="284"/>
        <w:jc w:val="both"/>
        <w:rPr>
          <w:color w:val="231F20"/>
          <w:sz w:val="18"/>
        </w:rPr>
      </w:pPr>
      <w:r>
        <w:rPr>
          <w:color w:val="231F20"/>
          <w:sz w:val="18"/>
        </w:rPr>
        <w:t>Slavin</w:t>
      </w:r>
      <w:r>
        <w:rPr>
          <w:color w:val="231F20"/>
          <w:spacing w:val="-3"/>
          <w:sz w:val="18"/>
        </w:rPr>
        <w:t> </w:t>
      </w:r>
      <w:r>
        <w:rPr>
          <w:color w:val="231F20"/>
          <w:sz w:val="18"/>
        </w:rPr>
        <w:t>R. et al. (1984). Combining cooperative learning and individualized </w:t>
      </w:r>
      <w:r>
        <w:rPr>
          <w:color w:val="231F20"/>
          <w:sz w:val="18"/>
        </w:rPr>
        <w:t>instruction: Effects on student mathematics achievement, attitudes, and behaviours. Elementary School J., 84, pp. 409–422.</w:t>
      </w:r>
    </w:p>
    <w:p>
      <w:pPr>
        <w:pStyle w:val="ListParagraph"/>
        <w:numPr>
          <w:ilvl w:val="1"/>
          <w:numId w:val="178"/>
        </w:numPr>
        <w:tabs>
          <w:tab w:pos="708" w:val="left" w:leader="none"/>
        </w:tabs>
        <w:spacing w:line="242" w:lineRule="auto" w:before="3" w:after="0"/>
        <w:ind w:left="708" w:right="423" w:hanging="284"/>
        <w:jc w:val="both"/>
        <w:rPr>
          <w:color w:val="231F20"/>
          <w:sz w:val="18"/>
        </w:rPr>
      </w:pPr>
      <w:r>
        <w:rPr>
          <w:color w:val="231F20"/>
          <w:sz w:val="18"/>
        </w:rPr>
        <w:t>Shonfeld</w:t>
      </w:r>
      <w:r>
        <w:rPr>
          <w:color w:val="231F20"/>
          <w:spacing w:val="-3"/>
          <w:sz w:val="18"/>
        </w:rPr>
        <w:t> </w:t>
      </w:r>
      <w:r>
        <w:rPr>
          <w:color w:val="231F20"/>
          <w:sz w:val="18"/>
        </w:rPr>
        <w:t>M., Hoter</w:t>
      </w:r>
      <w:r>
        <w:rPr>
          <w:color w:val="231F20"/>
          <w:spacing w:val="-3"/>
          <w:sz w:val="18"/>
        </w:rPr>
        <w:t> </w:t>
      </w:r>
      <w:r>
        <w:rPr>
          <w:color w:val="231F20"/>
          <w:sz w:val="18"/>
        </w:rPr>
        <w:t>E., Ganayem</w:t>
      </w:r>
      <w:r>
        <w:rPr>
          <w:color w:val="231F20"/>
          <w:spacing w:val="-3"/>
          <w:sz w:val="18"/>
        </w:rPr>
        <w:t> </w:t>
      </w:r>
      <w:r>
        <w:rPr>
          <w:color w:val="231F20"/>
          <w:sz w:val="18"/>
        </w:rPr>
        <w:t>A. (2013). Connecting cultures in conflict through ICT in</w:t>
      </w:r>
      <w:r>
        <w:rPr>
          <w:color w:val="231F20"/>
          <w:spacing w:val="-12"/>
          <w:sz w:val="18"/>
        </w:rPr>
        <w:t> </w:t>
      </w:r>
      <w:r>
        <w:rPr>
          <w:color w:val="231F20"/>
          <w:sz w:val="18"/>
        </w:rPr>
        <w:t>Israel.</w:t>
      </w:r>
      <w:r>
        <w:rPr>
          <w:color w:val="231F20"/>
          <w:spacing w:val="-11"/>
          <w:sz w:val="18"/>
        </w:rPr>
        <w:t> </w:t>
      </w:r>
      <w:r>
        <w:rPr>
          <w:color w:val="231F20"/>
          <w:sz w:val="18"/>
        </w:rPr>
        <w:t>In</w:t>
      </w:r>
      <w:r>
        <w:rPr>
          <w:color w:val="231F20"/>
          <w:spacing w:val="-11"/>
          <w:sz w:val="18"/>
        </w:rPr>
        <w:t> </w:t>
      </w:r>
      <w:r>
        <w:rPr>
          <w:color w:val="231F20"/>
          <w:sz w:val="18"/>
        </w:rPr>
        <w:t>R.S.P.</w:t>
      </w:r>
      <w:r>
        <w:rPr>
          <w:color w:val="231F20"/>
          <w:spacing w:val="-11"/>
          <w:sz w:val="18"/>
        </w:rPr>
        <w:t> </w:t>
      </w:r>
      <w:r>
        <w:rPr>
          <w:color w:val="231F20"/>
          <w:sz w:val="18"/>
        </w:rPr>
        <w:t>Austin</w:t>
      </w:r>
      <w:r>
        <w:rPr>
          <w:color w:val="231F20"/>
          <w:spacing w:val="-12"/>
          <w:sz w:val="18"/>
        </w:rPr>
        <w:t> </w:t>
      </w:r>
      <w:r>
        <w:rPr>
          <w:color w:val="231F20"/>
          <w:sz w:val="18"/>
        </w:rPr>
        <w:t>&amp;</w:t>
      </w:r>
      <w:r>
        <w:rPr>
          <w:color w:val="231F20"/>
          <w:spacing w:val="-11"/>
          <w:sz w:val="18"/>
        </w:rPr>
        <w:t> </w:t>
      </w:r>
      <w:r>
        <w:rPr>
          <w:color w:val="231F20"/>
          <w:sz w:val="18"/>
        </w:rPr>
        <w:t>W.J.</w:t>
      </w:r>
      <w:r>
        <w:rPr>
          <w:color w:val="231F20"/>
          <w:spacing w:val="-11"/>
          <w:sz w:val="18"/>
        </w:rPr>
        <w:t> </w:t>
      </w:r>
      <w:r>
        <w:rPr>
          <w:color w:val="231F20"/>
          <w:sz w:val="18"/>
        </w:rPr>
        <w:t>Hunter</w:t>
      </w:r>
      <w:r>
        <w:rPr>
          <w:color w:val="231F20"/>
          <w:spacing w:val="-11"/>
          <w:sz w:val="18"/>
        </w:rPr>
        <w:t> </w:t>
      </w:r>
      <w:r>
        <w:rPr>
          <w:color w:val="231F20"/>
          <w:sz w:val="18"/>
        </w:rPr>
        <w:t>(Eds.),</w:t>
      </w:r>
      <w:r>
        <w:rPr>
          <w:color w:val="231F20"/>
          <w:spacing w:val="-12"/>
          <w:sz w:val="18"/>
        </w:rPr>
        <w:t> </w:t>
      </w:r>
      <w:r>
        <w:rPr>
          <w:color w:val="231F20"/>
          <w:sz w:val="18"/>
        </w:rPr>
        <w:t>Online</w:t>
      </w:r>
      <w:r>
        <w:rPr>
          <w:color w:val="231F20"/>
          <w:spacing w:val="-11"/>
          <w:sz w:val="18"/>
        </w:rPr>
        <w:t> </w:t>
      </w:r>
      <w:r>
        <w:rPr>
          <w:color w:val="231F20"/>
          <w:sz w:val="18"/>
        </w:rPr>
        <w:t>learning</w:t>
      </w:r>
      <w:r>
        <w:rPr>
          <w:color w:val="231F20"/>
          <w:spacing w:val="-11"/>
          <w:sz w:val="18"/>
        </w:rPr>
        <w:t> </w:t>
      </w:r>
      <w:r>
        <w:rPr>
          <w:color w:val="231F20"/>
          <w:sz w:val="18"/>
        </w:rPr>
        <w:t>and</w:t>
      </w:r>
      <w:r>
        <w:rPr>
          <w:color w:val="231F20"/>
          <w:spacing w:val="-11"/>
          <w:sz w:val="18"/>
        </w:rPr>
        <w:t> </w:t>
      </w:r>
      <w:r>
        <w:rPr>
          <w:color w:val="231F20"/>
          <w:sz w:val="18"/>
        </w:rPr>
        <w:t>community</w:t>
      </w:r>
      <w:r>
        <w:rPr>
          <w:color w:val="231F20"/>
          <w:spacing w:val="-12"/>
          <w:sz w:val="18"/>
        </w:rPr>
        <w:t> </w:t>
      </w:r>
      <w:r>
        <w:rPr>
          <w:color w:val="231F20"/>
          <w:sz w:val="18"/>
        </w:rPr>
        <w:t>cohesion: Linking schools (pp. 42–58). New York, NY: Routledge.</w:t>
      </w:r>
    </w:p>
    <w:p>
      <w:pPr>
        <w:pStyle w:val="ListParagraph"/>
        <w:numPr>
          <w:ilvl w:val="1"/>
          <w:numId w:val="178"/>
        </w:numPr>
        <w:tabs>
          <w:tab w:pos="708" w:val="left" w:leader="none"/>
        </w:tabs>
        <w:spacing w:line="247" w:lineRule="auto" w:before="2" w:after="0"/>
        <w:ind w:left="708" w:right="422" w:hanging="284"/>
        <w:jc w:val="both"/>
        <w:rPr>
          <w:color w:val="16191D"/>
          <w:sz w:val="18"/>
        </w:rPr>
      </w:pPr>
      <w:r>
        <w:rPr>
          <w:color w:val="16191D"/>
          <w:sz w:val="18"/>
        </w:rPr>
        <w:t>Paluck</w:t>
      </w:r>
      <w:r>
        <w:rPr>
          <w:color w:val="16191D"/>
          <w:spacing w:val="-3"/>
          <w:sz w:val="18"/>
        </w:rPr>
        <w:t> </w:t>
      </w:r>
      <w:r>
        <w:rPr>
          <w:color w:val="16191D"/>
          <w:sz w:val="18"/>
        </w:rPr>
        <w:t>E.L.,</w:t>
      </w:r>
      <w:r>
        <w:rPr>
          <w:color w:val="16191D"/>
          <w:spacing w:val="37"/>
          <w:sz w:val="18"/>
        </w:rPr>
        <w:t> </w:t>
      </w:r>
      <w:r>
        <w:rPr>
          <w:color w:val="16191D"/>
          <w:sz w:val="18"/>
        </w:rPr>
        <w:t>Green</w:t>
      </w:r>
      <w:r>
        <w:rPr>
          <w:color w:val="16191D"/>
          <w:spacing w:val="-3"/>
          <w:sz w:val="18"/>
        </w:rPr>
        <w:t> </w:t>
      </w:r>
      <w:r>
        <w:rPr>
          <w:color w:val="16191D"/>
          <w:sz w:val="18"/>
        </w:rPr>
        <w:t>D.P.</w:t>
      </w:r>
      <w:r>
        <w:rPr>
          <w:color w:val="16191D"/>
          <w:spacing w:val="38"/>
          <w:sz w:val="18"/>
        </w:rPr>
        <w:t> </w:t>
      </w:r>
      <w:r>
        <w:rPr>
          <w:color w:val="16191D"/>
          <w:sz w:val="18"/>
        </w:rPr>
        <w:t>Prejudice</w:t>
      </w:r>
      <w:r>
        <w:rPr>
          <w:color w:val="16191D"/>
          <w:spacing w:val="38"/>
          <w:sz w:val="18"/>
        </w:rPr>
        <w:t> </w:t>
      </w:r>
      <w:r>
        <w:rPr>
          <w:color w:val="16191D"/>
          <w:sz w:val="18"/>
        </w:rPr>
        <w:t>reduction:</w:t>
      </w:r>
      <w:r>
        <w:rPr>
          <w:color w:val="16191D"/>
          <w:spacing w:val="37"/>
          <w:sz w:val="18"/>
        </w:rPr>
        <w:t> </w:t>
      </w:r>
      <w:r>
        <w:rPr>
          <w:color w:val="16191D"/>
          <w:sz w:val="18"/>
        </w:rPr>
        <w:t>what</w:t>
      </w:r>
      <w:r>
        <w:rPr>
          <w:color w:val="16191D"/>
          <w:spacing w:val="38"/>
          <w:sz w:val="18"/>
        </w:rPr>
        <w:t> </w:t>
      </w:r>
      <w:r>
        <w:rPr>
          <w:color w:val="16191D"/>
          <w:sz w:val="18"/>
        </w:rPr>
        <w:t>works?</w:t>
      </w:r>
      <w:r>
        <w:rPr>
          <w:color w:val="16191D"/>
          <w:spacing w:val="29"/>
          <w:sz w:val="18"/>
        </w:rPr>
        <w:t> </w:t>
      </w:r>
      <w:r>
        <w:rPr>
          <w:color w:val="16191D"/>
          <w:sz w:val="18"/>
        </w:rPr>
        <w:t>A</w:t>
      </w:r>
      <w:r>
        <w:rPr>
          <w:color w:val="16191D"/>
          <w:spacing w:val="29"/>
          <w:sz w:val="18"/>
        </w:rPr>
        <w:t> </w:t>
      </w:r>
      <w:r>
        <w:rPr>
          <w:color w:val="16191D"/>
          <w:sz w:val="18"/>
        </w:rPr>
        <w:t>review</w:t>
      </w:r>
      <w:r>
        <w:rPr>
          <w:color w:val="16191D"/>
          <w:spacing w:val="38"/>
          <w:sz w:val="18"/>
        </w:rPr>
        <w:t> </w:t>
      </w:r>
      <w:r>
        <w:rPr>
          <w:color w:val="16191D"/>
          <w:sz w:val="18"/>
        </w:rPr>
        <w:t>and</w:t>
      </w:r>
      <w:r>
        <w:rPr>
          <w:color w:val="16191D"/>
          <w:spacing w:val="38"/>
          <w:sz w:val="18"/>
        </w:rPr>
        <w:t> </w:t>
      </w:r>
      <w:r>
        <w:rPr>
          <w:color w:val="16191D"/>
          <w:sz w:val="18"/>
        </w:rPr>
        <w:t>assessment of research and practice. Annu Rev Psychol. 2009; 60: 339-67. doi: </w:t>
      </w:r>
      <w:r>
        <w:rPr>
          <w:color w:val="16191D"/>
          <w:sz w:val="18"/>
        </w:rPr>
        <w:t>10.1146/annurev. psych.60.110707.163607. PMID: 18851685.</w:t>
      </w:r>
    </w:p>
    <w:p>
      <w:pPr>
        <w:pStyle w:val="ListParagraph"/>
        <w:spacing w:after="0" w:line="247" w:lineRule="auto"/>
        <w:jc w:val="both"/>
        <w:rPr>
          <w:sz w:val="18"/>
        </w:rPr>
        <w:sectPr>
          <w:pgSz w:w="8400" w:h="11910"/>
          <w:pgMar w:header="0" w:footer="527" w:top="400" w:bottom="740" w:left="425" w:right="425"/>
        </w:sectPr>
      </w:pPr>
    </w:p>
    <w:p>
      <w:pPr>
        <w:pStyle w:val="ListParagraph"/>
        <w:numPr>
          <w:ilvl w:val="1"/>
          <w:numId w:val="112"/>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Методы</w:t>
      </w:r>
      <w:r>
        <w:rPr>
          <w:rFonts w:ascii="Georgia" w:hAnsi="Georgia"/>
          <w:color w:val="231F20"/>
          <w:spacing w:val="3"/>
          <w:sz w:val="18"/>
        </w:rPr>
        <w:t> </w:t>
      </w:r>
      <w:r>
        <w:rPr>
          <w:rFonts w:ascii="Georgia" w:hAnsi="Georgia"/>
          <w:color w:val="231F20"/>
          <w:sz w:val="18"/>
        </w:rPr>
        <w:t>учебной</w:t>
      </w:r>
      <w:r>
        <w:rPr>
          <w:rFonts w:ascii="Georgia" w:hAnsi="Georgia"/>
          <w:color w:val="231F20"/>
          <w:spacing w:val="3"/>
          <w:sz w:val="18"/>
        </w:rPr>
        <w:t> </w:t>
      </w:r>
      <w:r>
        <w:rPr>
          <w:rFonts w:ascii="Georgia" w:hAnsi="Georgia"/>
          <w:color w:val="231F20"/>
          <w:sz w:val="18"/>
        </w:rPr>
        <w:t>работы</w:t>
      </w:r>
      <w:r>
        <w:rPr>
          <w:rFonts w:ascii="Georgia" w:hAnsi="Georgia"/>
          <w:color w:val="231F20"/>
          <w:spacing w:val="3"/>
          <w:sz w:val="18"/>
        </w:rPr>
        <w:t> </w:t>
      </w:r>
      <w:r>
        <w:rPr>
          <w:rFonts w:ascii="Georgia" w:hAnsi="Georgia"/>
          <w:color w:val="231F20"/>
          <w:sz w:val="18"/>
        </w:rPr>
        <w:t>для</w:t>
      </w:r>
      <w:r>
        <w:rPr>
          <w:rFonts w:ascii="Georgia" w:hAnsi="Georgia"/>
          <w:color w:val="231F20"/>
          <w:spacing w:val="3"/>
          <w:sz w:val="18"/>
        </w:rPr>
        <w:t> </w:t>
      </w:r>
      <w:r>
        <w:rPr>
          <w:rFonts w:ascii="Georgia" w:hAnsi="Georgia"/>
          <w:color w:val="231F20"/>
          <w:sz w:val="18"/>
        </w:rPr>
        <w:t>адаптации</w:t>
      </w:r>
      <w:r>
        <w:rPr>
          <w:rFonts w:ascii="Georgia" w:hAnsi="Georgia"/>
          <w:color w:val="231F20"/>
          <w:spacing w:val="3"/>
          <w:sz w:val="18"/>
        </w:rPr>
        <w:t> </w:t>
      </w:r>
      <w:r>
        <w:rPr>
          <w:rFonts w:ascii="Georgia" w:hAnsi="Georgia"/>
          <w:color w:val="231F20"/>
          <w:sz w:val="18"/>
        </w:rPr>
        <w:t>детей</w:t>
      </w:r>
      <w:r>
        <w:rPr>
          <w:rFonts w:ascii="Georgia" w:hAnsi="Georgia"/>
          <w:color w:val="231F20"/>
          <w:spacing w:val="3"/>
          <w:sz w:val="18"/>
        </w:rPr>
        <w:t> </w:t>
      </w:r>
      <w:r>
        <w:rPr>
          <w:rFonts w:ascii="Georgia" w:hAnsi="Georgia"/>
          <w:color w:val="231F20"/>
          <w:sz w:val="18"/>
        </w:rPr>
        <w:t>...</w:t>
      </w:r>
      <w:r>
        <w:rPr>
          <w:rFonts w:ascii="Georgia" w:hAnsi="Georgia"/>
          <w:color w:val="231F20"/>
          <w:spacing w:val="3"/>
          <w:sz w:val="18"/>
        </w:rPr>
        <w:t> </w:t>
      </w:r>
      <w:r>
        <w:rPr>
          <w:rFonts w:ascii="Georgia" w:hAnsi="Georgia"/>
          <w:color w:val="231F20"/>
          <w:sz w:val="18"/>
        </w:rPr>
        <w:t>во</w:t>
      </w:r>
      <w:r>
        <w:rPr>
          <w:rFonts w:ascii="Georgia" w:hAnsi="Georgia"/>
          <w:color w:val="231F20"/>
          <w:spacing w:val="4"/>
          <w:sz w:val="18"/>
        </w:rPr>
        <w:t> </w:t>
      </w:r>
      <w:r>
        <w:rPr>
          <w:rFonts w:ascii="Georgia" w:hAnsi="Georgia"/>
          <w:color w:val="231F20"/>
          <w:spacing w:val="-2"/>
          <w:sz w:val="18"/>
        </w:rPr>
        <w:t>взаимодействии...</w:t>
      </w:r>
    </w:p>
    <w:p>
      <w:pPr>
        <w:pStyle w:val="ListParagraph"/>
        <w:numPr>
          <w:ilvl w:val="1"/>
          <w:numId w:val="178"/>
        </w:numPr>
        <w:tabs>
          <w:tab w:pos="708" w:val="left" w:leader="none"/>
        </w:tabs>
        <w:spacing w:line="249" w:lineRule="auto" w:before="117" w:after="0"/>
        <w:ind w:left="708" w:right="422" w:hanging="284"/>
        <w:jc w:val="both"/>
        <w:rPr>
          <w:color w:val="231F20"/>
          <w:sz w:val="18"/>
        </w:rPr>
      </w:pPr>
      <w:r>
        <w:rPr>
          <w:color w:val="231F20"/>
          <w:sz w:val="18"/>
        </w:rPr>
        <w:t>Chan</w:t>
      </w:r>
      <w:r>
        <w:rPr>
          <w:color w:val="231F20"/>
          <w:spacing w:val="-2"/>
          <w:sz w:val="18"/>
        </w:rPr>
        <w:t> </w:t>
      </w:r>
      <w:r>
        <w:rPr>
          <w:color w:val="231F20"/>
          <w:sz w:val="18"/>
        </w:rPr>
        <w:t>A.,</w:t>
      </w:r>
      <w:r>
        <w:rPr>
          <w:color w:val="231F20"/>
          <w:spacing w:val="40"/>
          <w:sz w:val="18"/>
        </w:rPr>
        <w:t> </w:t>
      </w:r>
      <w:r>
        <w:rPr>
          <w:color w:val="231F20"/>
          <w:sz w:val="18"/>
        </w:rPr>
        <w:t>Hsu</w:t>
      </w:r>
      <w:r>
        <w:rPr>
          <w:color w:val="231F20"/>
          <w:spacing w:val="-2"/>
          <w:sz w:val="18"/>
        </w:rPr>
        <w:t> </w:t>
      </w:r>
      <w:r>
        <w:rPr>
          <w:color w:val="231F20"/>
          <w:sz w:val="18"/>
        </w:rPr>
        <w:t>С.-С.,</w:t>
      </w:r>
      <w:r>
        <w:rPr>
          <w:color w:val="231F20"/>
          <w:spacing w:val="40"/>
          <w:sz w:val="18"/>
        </w:rPr>
        <w:t> </w:t>
      </w:r>
      <w:r>
        <w:rPr>
          <w:color w:val="231F20"/>
          <w:sz w:val="18"/>
        </w:rPr>
        <w:t>Chuang</w:t>
      </w:r>
      <w:r>
        <w:rPr>
          <w:color w:val="231F20"/>
          <w:spacing w:val="-2"/>
          <w:sz w:val="18"/>
        </w:rPr>
        <w:t> </w:t>
      </w:r>
      <w:r>
        <w:rPr>
          <w:color w:val="231F20"/>
          <w:sz w:val="18"/>
        </w:rPr>
        <w:t>S.-H.,</w:t>
      </w:r>
      <w:r>
        <w:rPr>
          <w:color w:val="231F20"/>
          <w:spacing w:val="40"/>
          <w:sz w:val="18"/>
        </w:rPr>
        <w:t> </w:t>
      </w:r>
      <w:r>
        <w:rPr>
          <w:color w:val="231F20"/>
          <w:sz w:val="18"/>
        </w:rPr>
        <w:t>Hsieh</w:t>
      </w:r>
      <w:r>
        <w:rPr>
          <w:color w:val="231F20"/>
          <w:spacing w:val="-2"/>
          <w:sz w:val="18"/>
        </w:rPr>
        <w:t> </w:t>
      </w:r>
      <w:r>
        <w:rPr>
          <w:color w:val="231F20"/>
          <w:sz w:val="18"/>
        </w:rPr>
        <w:t>C.-H.,</w:t>
      </w:r>
      <w:r>
        <w:rPr>
          <w:color w:val="231F20"/>
          <w:spacing w:val="40"/>
          <w:sz w:val="18"/>
        </w:rPr>
        <w:t> </w:t>
      </w:r>
      <w:r>
        <w:rPr>
          <w:color w:val="231F20"/>
          <w:sz w:val="18"/>
        </w:rPr>
        <w:t>Lao</w:t>
      </w:r>
      <w:r>
        <w:rPr>
          <w:color w:val="231F20"/>
          <w:spacing w:val="-2"/>
          <w:sz w:val="18"/>
        </w:rPr>
        <w:t> </w:t>
      </w:r>
      <w:r>
        <w:rPr>
          <w:color w:val="231F20"/>
          <w:sz w:val="18"/>
        </w:rPr>
        <w:t>C.-C.</w:t>
      </w:r>
      <w:r>
        <w:rPr>
          <w:color w:val="231F20"/>
          <w:spacing w:val="40"/>
          <w:sz w:val="18"/>
        </w:rPr>
        <w:t> </w:t>
      </w:r>
      <w:r>
        <w:rPr>
          <w:color w:val="231F20"/>
          <w:sz w:val="18"/>
        </w:rPr>
        <w:t>(2008)</w:t>
      </w:r>
      <w:r>
        <w:rPr>
          <w:color w:val="231F20"/>
          <w:spacing w:val="40"/>
          <w:sz w:val="18"/>
        </w:rPr>
        <w:t> </w:t>
      </w:r>
      <w:r>
        <w:rPr>
          <w:color w:val="231F20"/>
          <w:sz w:val="18"/>
        </w:rPr>
        <w:t>Student</w:t>
      </w:r>
      <w:r>
        <w:rPr>
          <w:color w:val="231F20"/>
          <w:spacing w:val="40"/>
          <w:sz w:val="18"/>
        </w:rPr>
        <w:t> </w:t>
      </w:r>
      <w:r>
        <w:rPr>
          <w:color w:val="231F20"/>
          <w:sz w:val="18"/>
        </w:rPr>
        <w:t>Conflicts in a Jigsaw-type Technology Classroom for Collaborative Knowledge </w:t>
      </w:r>
      <w:r>
        <w:rPr>
          <w:color w:val="231F20"/>
          <w:sz w:val="18"/>
        </w:rPr>
        <w:t>Construction. Proceedings – ICCE 2008: 16th International Conference on Computers in Education.</w:t>
      </w:r>
    </w:p>
    <w:p>
      <w:pPr>
        <w:pStyle w:val="ListParagraph"/>
        <w:numPr>
          <w:ilvl w:val="1"/>
          <w:numId w:val="178"/>
        </w:numPr>
        <w:tabs>
          <w:tab w:pos="708" w:val="left" w:leader="none"/>
        </w:tabs>
        <w:spacing w:line="249" w:lineRule="auto" w:before="2" w:after="0"/>
        <w:ind w:left="708" w:right="423" w:hanging="284"/>
        <w:jc w:val="both"/>
        <w:rPr>
          <w:color w:val="231F20"/>
          <w:sz w:val="18"/>
        </w:rPr>
      </w:pPr>
      <w:r>
        <w:rPr>
          <w:color w:val="231F20"/>
          <w:sz w:val="18"/>
        </w:rPr>
        <w:t>Kritz</w:t>
      </w:r>
      <w:r>
        <w:rPr>
          <w:color w:val="231F20"/>
          <w:spacing w:val="-7"/>
          <w:sz w:val="18"/>
        </w:rPr>
        <w:t> </w:t>
      </w:r>
      <w:r>
        <w:rPr>
          <w:color w:val="231F20"/>
          <w:sz w:val="18"/>
        </w:rPr>
        <w:t>M.,</w:t>
      </w:r>
      <w:r>
        <w:rPr>
          <w:color w:val="231F20"/>
          <w:spacing w:val="-7"/>
          <w:sz w:val="18"/>
        </w:rPr>
        <w:t> </w:t>
      </w:r>
      <w:r>
        <w:rPr>
          <w:color w:val="231F20"/>
          <w:sz w:val="18"/>
        </w:rPr>
        <w:t>Bachar</w:t>
      </w:r>
      <w:r>
        <w:rPr>
          <w:color w:val="231F20"/>
          <w:spacing w:val="-2"/>
          <w:sz w:val="18"/>
        </w:rPr>
        <w:t> </w:t>
      </w:r>
      <w:r>
        <w:rPr>
          <w:color w:val="231F20"/>
          <w:sz w:val="18"/>
        </w:rPr>
        <w:t>E.,</w:t>
      </w:r>
      <w:r>
        <w:rPr>
          <w:color w:val="231F20"/>
          <w:spacing w:val="-7"/>
          <w:sz w:val="18"/>
        </w:rPr>
        <w:t> </w:t>
      </w:r>
      <w:r>
        <w:rPr>
          <w:color w:val="231F20"/>
          <w:sz w:val="18"/>
        </w:rPr>
        <w:t>&amp;</w:t>
      </w:r>
      <w:r>
        <w:rPr>
          <w:color w:val="231F20"/>
          <w:spacing w:val="-7"/>
          <w:sz w:val="18"/>
        </w:rPr>
        <w:t> </w:t>
      </w:r>
      <w:r>
        <w:rPr>
          <w:color w:val="231F20"/>
          <w:sz w:val="18"/>
        </w:rPr>
        <w:t>Shonfeld</w:t>
      </w:r>
      <w:r>
        <w:rPr>
          <w:color w:val="231F20"/>
          <w:spacing w:val="-2"/>
          <w:sz w:val="18"/>
        </w:rPr>
        <w:t> </w:t>
      </w:r>
      <w:r>
        <w:rPr>
          <w:color w:val="231F20"/>
          <w:sz w:val="18"/>
        </w:rPr>
        <w:t>M.</w:t>
      </w:r>
      <w:r>
        <w:rPr>
          <w:color w:val="231F20"/>
          <w:spacing w:val="-7"/>
          <w:sz w:val="18"/>
        </w:rPr>
        <w:t> </w:t>
      </w:r>
      <w:r>
        <w:rPr>
          <w:color w:val="231F20"/>
          <w:sz w:val="18"/>
        </w:rPr>
        <w:t>(2018)</w:t>
      </w:r>
      <w:r>
        <w:rPr>
          <w:color w:val="231F20"/>
          <w:spacing w:val="-12"/>
          <w:sz w:val="18"/>
        </w:rPr>
        <w:t> </w:t>
      </w:r>
      <w:r>
        <w:rPr>
          <w:color w:val="231F20"/>
          <w:sz w:val="18"/>
        </w:rPr>
        <w:t>An</w:t>
      </w:r>
      <w:r>
        <w:rPr>
          <w:color w:val="231F20"/>
          <w:spacing w:val="-6"/>
          <w:sz w:val="18"/>
        </w:rPr>
        <w:t> </w:t>
      </w:r>
      <w:r>
        <w:rPr>
          <w:color w:val="231F20"/>
          <w:sz w:val="18"/>
        </w:rPr>
        <w:t>Online</w:t>
      </w:r>
      <w:r>
        <w:rPr>
          <w:color w:val="231F20"/>
          <w:spacing w:val="-7"/>
          <w:sz w:val="18"/>
        </w:rPr>
        <w:t> </w:t>
      </w:r>
      <w:r>
        <w:rPr>
          <w:color w:val="231F20"/>
          <w:sz w:val="18"/>
        </w:rPr>
        <w:t>Collaborative</w:t>
      </w:r>
      <w:r>
        <w:rPr>
          <w:color w:val="231F20"/>
          <w:spacing w:val="-7"/>
          <w:sz w:val="18"/>
        </w:rPr>
        <w:t> </w:t>
      </w:r>
      <w:r>
        <w:rPr>
          <w:color w:val="231F20"/>
          <w:sz w:val="18"/>
        </w:rPr>
        <w:t>Learning</w:t>
      </w:r>
      <w:r>
        <w:rPr>
          <w:color w:val="231F20"/>
          <w:spacing w:val="-7"/>
          <w:sz w:val="18"/>
        </w:rPr>
        <w:t> </w:t>
      </w:r>
      <w:r>
        <w:rPr>
          <w:color w:val="231F20"/>
          <w:sz w:val="18"/>
        </w:rPr>
        <w:t>Model</w:t>
      </w:r>
      <w:r>
        <w:rPr>
          <w:color w:val="231F20"/>
          <w:spacing w:val="-7"/>
          <w:sz w:val="18"/>
        </w:rPr>
        <w:t> </w:t>
      </w:r>
      <w:r>
        <w:rPr>
          <w:color w:val="231F20"/>
          <w:sz w:val="18"/>
        </w:rPr>
        <w:t>in</w:t>
      </w:r>
      <w:r>
        <w:rPr>
          <w:color w:val="231F20"/>
          <w:spacing w:val="-7"/>
          <w:sz w:val="18"/>
        </w:rPr>
        <w:t> </w:t>
      </w:r>
      <w:r>
        <w:rPr>
          <w:color w:val="231F20"/>
          <w:sz w:val="18"/>
        </w:rPr>
        <w:t>a Multicultural</w:t>
      </w:r>
      <w:r>
        <w:rPr>
          <w:color w:val="231F20"/>
          <w:spacing w:val="-1"/>
          <w:sz w:val="18"/>
        </w:rPr>
        <w:t> </w:t>
      </w:r>
      <w:r>
        <w:rPr>
          <w:color w:val="231F20"/>
          <w:sz w:val="18"/>
        </w:rPr>
        <w:t>Environment.</w:t>
      </w:r>
      <w:r>
        <w:rPr>
          <w:color w:val="231F20"/>
          <w:spacing w:val="-1"/>
          <w:sz w:val="18"/>
        </w:rPr>
        <w:t> </w:t>
      </w:r>
      <w:r>
        <w:rPr>
          <w:color w:val="231F20"/>
          <w:sz w:val="18"/>
        </w:rPr>
        <w:t>In</w:t>
      </w:r>
      <w:r>
        <w:rPr>
          <w:color w:val="231F20"/>
          <w:spacing w:val="-1"/>
          <w:sz w:val="18"/>
        </w:rPr>
        <w:t> </w:t>
      </w:r>
      <w:r>
        <w:rPr>
          <w:color w:val="231F20"/>
          <w:sz w:val="18"/>
        </w:rPr>
        <w:t>M.</w:t>
      </w:r>
      <w:r>
        <w:rPr>
          <w:color w:val="231F20"/>
          <w:spacing w:val="-1"/>
          <w:sz w:val="18"/>
        </w:rPr>
        <w:t> </w:t>
      </w:r>
      <w:r>
        <w:rPr>
          <w:color w:val="231F20"/>
          <w:sz w:val="18"/>
        </w:rPr>
        <w:t>Shonfeld,</w:t>
      </w:r>
      <w:r>
        <w:rPr>
          <w:color w:val="231F20"/>
          <w:spacing w:val="-1"/>
          <w:sz w:val="18"/>
        </w:rPr>
        <w:t> </w:t>
      </w:r>
      <w:r>
        <w:rPr>
          <w:color w:val="231F20"/>
          <w:sz w:val="18"/>
        </w:rPr>
        <w:t>&amp;</w:t>
      </w:r>
      <w:r>
        <w:rPr>
          <w:color w:val="231F20"/>
          <w:spacing w:val="-1"/>
          <w:sz w:val="18"/>
        </w:rPr>
        <w:t> </w:t>
      </w:r>
      <w:r>
        <w:rPr>
          <w:color w:val="231F20"/>
          <w:sz w:val="18"/>
        </w:rPr>
        <w:t>D.</w:t>
      </w:r>
      <w:r>
        <w:rPr>
          <w:color w:val="231F20"/>
          <w:spacing w:val="-1"/>
          <w:sz w:val="18"/>
        </w:rPr>
        <w:t> </w:t>
      </w:r>
      <w:r>
        <w:rPr>
          <w:color w:val="231F20"/>
          <w:sz w:val="18"/>
        </w:rPr>
        <w:t>Gibson</w:t>
      </w:r>
      <w:r>
        <w:rPr>
          <w:color w:val="231F20"/>
          <w:spacing w:val="-1"/>
          <w:sz w:val="18"/>
        </w:rPr>
        <w:t> </w:t>
      </w:r>
      <w:r>
        <w:rPr>
          <w:color w:val="231F20"/>
          <w:sz w:val="18"/>
        </w:rPr>
        <w:t>(Eds.),</w:t>
      </w:r>
      <w:r>
        <w:rPr>
          <w:color w:val="231F20"/>
          <w:spacing w:val="-1"/>
          <w:sz w:val="18"/>
        </w:rPr>
        <w:t> </w:t>
      </w:r>
      <w:r>
        <w:rPr>
          <w:color w:val="231F20"/>
          <w:sz w:val="18"/>
        </w:rPr>
        <w:t>Collaborative</w:t>
      </w:r>
      <w:r>
        <w:rPr>
          <w:color w:val="231F20"/>
          <w:spacing w:val="-1"/>
          <w:sz w:val="18"/>
        </w:rPr>
        <w:t> </w:t>
      </w:r>
      <w:r>
        <w:rPr>
          <w:color w:val="231F20"/>
          <w:sz w:val="18"/>
        </w:rPr>
        <w:t>Learning in a Global World (p. 111). Charlotte, NC: Information</w:t>
      </w:r>
      <w:r>
        <w:rPr>
          <w:color w:val="231F20"/>
          <w:spacing w:val="-1"/>
          <w:sz w:val="18"/>
        </w:rPr>
        <w:t> </w:t>
      </w:r>
      <w:r>
        <w:rPr>
          <w:color w:val="231F20"/>
          <w:sz w:val="18"/>
        </w:rPr>
        <w:t>Age Publishing.</w:t>
      </w:r>
    </w:p>
    <w:p>
      <w:pPr>
        <w:pStyle w:val="ListParagraph"/>
        <w:numPr>
          <w:ilvl w:val="1"/>
          <w:numId w:val="178"/>
        </w:numPr>
        <w:tabs>
          <w:tab w:pos="708" w:val="left" w:leader="none"/>
        </w:tabs>
        <w:spacing w:line="249" w:lineRule="auto" w:before="2" w:after="0"/>
        <w:ind w:left="708" w:right="423" w:hanging="284"/>
        <w:jc w:val="both"/>
        <w:rPr>
          <w:color w:val="2B2E30"/>
          <w:sz w:val="18"/>
        </w:rPr>
      </w:pPr>
      <w:r>
        <w:rPr>
          <w:color w:val="2B2E30"/>
          <w:sz w:val="18"/>
        </w:rPr>
        <w:t>Ashman</w:t>
      </w:r>
      <w:r>
        <w:rPr>
          <w:color w:val="2B2E30"/>
          <w:spacing w:val="-3"/>
          <w:sz w:val="18"/>
        </w:rPr>
        <w:t> </w:t>
      </w:r>
      <w:r>
        <w:rPr>
          <w:color w:val="2B2E30"/>
          <w:sz w:val="18"/>
        </w:rPr>
        <w:t>A. F., Gillies</w:t>
      </w:r>
      <w:r>
        <w:rPr>
          <w:color w:val="2B2E30"/>
          <w:spacing w:val="-4"/>
          <w:sz w:val="18"/>
        </w:rPr>
        <w:t> </w:t>
      </w:r>
      <w:r>
        <w:rPr>
          <w:color w:val="2B2E30"/>
          <w:sz w:val="18"/>
        </w:rPr>
        <w:t>R. M. (1997) Children’s cooperative behavior and interactions in trained and untrained work groups in regular classrooms. Journal of School Psychology, 35(3), Pp. 261–279. </w:t>
      </w:r>
      <w:hyperlink r:id="rId195">
        <w:r>
          <w:rPr>
            <w:color w:val="2255A6"/>
            <w:sz w:val="18"/>
            <w:u w:val="single" w:color="2255A6"/>
          </w:rPr>
          <w:t>https://doi.org/10.1016/S0022-4405(97)00007-1</w:t>
        </w:r>
      </w:hyperlink>
      <w:r>
        <w:rPr>
          <w:color w:val="231F20"/>
          <w:sz w:val="18"/>
        </w:rPr>
        <w:t>.</w:t>
      </w:r>
    </w:p>
    <w:p>
      <w:pPr>
        <w:pStyle w:val="ListParagraph"/>
        <w:numPr>
          <w:ilvl w:val="1"/>
          <w:numId w:val="178"/>
        </w:numPr>
        <w:tabs>
          <w:tab w:pos="708" w:val="left" w:leader="none"/>
        </w:tabs>
        <w:spacing w:line="247" w:lineRule="auto" w:before="2" w:after="0"/>
        <w:ind w:left="708" w:right="423" w:hanging="284"/>
        <w:jc w:val="both"/>
        <w:rPr>
          <w:color w:val="231F20"/>
          <w:sz w:val="18"/>
        </w:rPr>
      </w:pPr>
      <w:r>
        <w:rPr>
          <w:color w:val="231F20"/>
          <w:sz w:val="18"/>
        </w:rPr>
        <w:t>Austin</w:t>
      </w:r>
      <w:r>
        <w:rPr>
          <w:color w:val="231F20"/>
          <w:spacing w:val="-3"/>
          <w:sz w:val="18"/>
        </w:rPr>
        <w:t> </w:t>
      </w:r>
      <w:r>
        <w:rPr>
          <w:color w:val="231F20"/>
          <w:sz w:val="18"/>
        </w:rPr>
        <w:t>R., Hunter</w:t>
      </w:r>
      <w:r>
        <w:rPr>
          <w:color w:val="231F20"/>
          <w:spacing w:val="-3"/>
          <w:sz w:val="18"/>
        </w:rPr>
        <w:t> </w:t>
      </w:r>
      <w:r>
        <w:rPr>
          <w:color w:val="231F20"/>
          <w:sz w:val="18"/>
        </w:rPr>
        <w:t>W.J. (2013). Online Learning and Community Cohesion: </w:t>
      </w:r>
      <w:r>
        <w:rPr>
          <w:color w:val="231F20"/>
          <w:sz w:val="18"/>
        </w:rPr>
        <w:t>Linking Schools. London: Routledge.</w:t>
      </w:r>
    </w:p>
    <w:p>
      <w:pPr>
        <w:pStyle w:val="ListParagraph"/>
        <w:numPr>
          <w:ilvl w:val="1"/>
          <w:numId w:val="178"/>
        </w:numPr>
        <w:tabs>
          <w:tab w:pos="708" w:val="left" w:leader="none"/>
        </w:tabs>
        <w:spacing w:line="247" w:lineRule="auto" w:before="2" w:after="0"/>
        <w:ind w:left="708" w:right="423" w:hanging="284"/>
        <w:jc w:val="both"/>
        <w:rPr>
          <w:color w:val="181C1F"/>
          <w:sz w:val="18"/>
        </w:rPr>
      </w:pPr>
      <w:r>
        <w:rPr>
          <w:color w:val="181C1F"/>
          <w:sz w:val="18"/>
        </w:rPr>
        <w:t>Qin</w:t>
      </w:r>
      <w:r>
        <w:rPr>
          <w:color w:val="181C1F"/>
          <w:spacing w:val="-3"/>
          <w:sz w:val="18"/>
        </w:rPr>
        <w:t> </w:t>
      </w:r>
      <w:r>
        <w:rPr>
          <w:color w:val="181C1F"/>
          <w:sz w:val="18"/>
        </w:rPr>
        <w:t>Z., Johnson</w:t>
      </w:r>
      <w:r>
        <w:rPr>
          <w:color w:val="181C1F"/>
          <w:spacing w:val="-3"/>
          <w:sz w:val="18"/>
        </w:rPr>
        <w:t> </w:t>
      </w:r>
      <w:r>
        <w:rPr>
          <w:color w:val="181C1F"/>
          <w:sz w:val="18"/>
        </w:rPr>
        <w:t>D. and Johnson</w:t>
      </w:r>
      <w:r>
        <w:rPr>
          <w:color w:val="181C1F"/>
          <w:spacing w:val="-3"/>
          <w:sz w:val="18"/>
        </w:rPr>
        <w:t> </w:t>
      </w:r>
      <w:r>
        <w:rPr>
          <w:color w:val="181C1F"/>
          <w:sz w:val="18"/>
        </w:rPr>
        <w:t>R. (1995) Cooperative versus Competitive Efforts and Problem Solving. Review of Educational Research, 65, pp. 129–143.</w:t>
      </w:r>
    </w:p>
    <w:p>
      <w:pPr>
        <w:pStyle w:val="ListParagraph"/>
        <w:numPr>
          <w:ilvl w:val="1"/>
          <w:numId w:val="178"/>
        </w:numPr>
        <w:tabs>
          <w:tab w:pos="708" w:val="left" w:leader="none"/>
        </w:tabs>
        <w:spacing w:line="247" w:lineRule="auto" w:before="2" w:after="0"/>
        <w:ind w:left="708" w:right="423" w:hanging="284"/>
        <w:jc w:val="both"/>
        <w:rPr>
          <w:color w:val="231F20"/>
          <w:sz w:val="18"/>
        </w:rPr>
      </w:pPr>
      <w:r>
        <w:rPr>
          <w:color w:val="231F20"/>
          <w:sz w:val="18"/>
        </w:rPr>
        <w:t>Rohrbeck</w:t>
      </w:r>
      <w:r>
        <w:rPr>
          <w:color w:val="231F20"/>
          <w:spacing w:val="-3"/>
          <w:sz w:val="18"/>
        </w:rPr>
        <w:t> </w:t>
      </w:r>
      <w:r>
        <w:rPr>
          <w:color w:val="231F20"/>
          <w:sz w:val="18"/>
        </w:rPr>
        <w:t>C.A.,</w:t>
      </w:r>
      <w:r>
        <w:rPr>
          <w:color w:val="231F20"/>
          <w:spacing w:val="40"/>
          <w:sz w:val="18"/>
        </w:rPr>
        <w:t> </w:t>
      </w:r>
      <w:r>
        <w:rPr>
          <w:color w:val="231F20"/>
          <w:sz w:val="18"/>
        </w:rPr>
        <w:t>Ginsburg-Block</w:t>
      </w:r>
      <w:r>
        <w:rPr>
          <w:color w:val="231F20"/>
          <w:spacing w:val="-3"/>
          <w:sz w:val="18"/>
        </w:rPr>
        <w:t> </w:t>
      </w:r>
      <w:r>
        <w:rPr>
          <w:color w:val="231F20"/>
          <w:sz w:val="18"/>
        </w:rPr>
        <w:t>M.D.,</w:t>
      </w:r>
      <w:r>
        <w:rPr>
          <w:color w:val="231F20"/>
          <w:spacing w:val="40"/>
          <w:sz w:val="18"/>
        </w:rPr>
        <w:t> </w:t>
      </w:r>
      <w:r>
        <w:rPr>
          <w:color w:val="231F20"/>
          <w:sz w:val="18"/>
        </w:rPr>
        <w:t>Fantuzzo</w:t>
      </w:r>
      <w:r>
        <w:rPr>
          <w:color w:val="231F20"/>
          <w:spacing w:val="-3"/>
          <w:sz w:val="18"/>
        </w:rPr>
        <w:t> </w:t>
      </w:r>
      <w:r>
        <w:rPr>
          <w:color w:val="231F20"/>
          <w:sz w:val="18"/>
        </w:rPr>
        <w:t>J.W.,</w:t>
      </w:r>
      <w:r>
        <w:rPr>
          <w:color w:val="231F20"/>
          <w:spacing w:val="40"/>
          <w:sz w:val="18"/>
        </w:rPr>
        <w:t> </w:t>
      </w:r>
      <w:r>
        <w:rPr>
          <w:color w:val="231F20"/>
          <w:sz w:val="18"/>
        </w:rPr>
        <w:t>&amp;</w:t>
      </w:r>
      <w:r>
        <w:rPr>
          <w:color w:val="231F20"/>
          <w:spacing w:val="40"/>
          <w:sz w:val="18"/>
        </w:rPr>
        <w:t> </w:t>
      </w:r>
      <w:r>
        <w:rPr>
          <w:color w:val="231F20"/>
          <w:sz w:val="18"/>
        </w:rPr>
        <w:t>Miller</w:t>
      </w:r>
      <w:r>
        <w:rPr>
          <w:color w:val="231F20"/>
          <w:spacing w:val="-3"/>
          <w:sz w:val="18"/>
        </w:rPr>
        <w:t> </w:t>
      </w:r>
      <w:r>
        <w:rPr>
          <w:color w:val="231F20"/>
          <w:sz w:val="18"/>
        </w:rPr>
        <w:t>T.R.</w:t>
      </w:r>
      <w:r>
        <w:rPr>
          <w:color w:val="231F20"/>
          <w:spacing w:val="40"/>
          <w:sz w:val="18"/>
        </w:rPr>
        <w:t> </w:t>
      </w:r>
      <w:r>
        <w:rPr>
          <w:color w:val="231F20"/>
          <w:sz w:val="18"/>
        </w:rPr>
        <w:t>(2003).</w:t>
      </w:r>
      <w:r>
        <w:rPr>
          <w:color w:val="231F20"/>
          <w:spacing w:val="40"/>
          <w:sz w:val="18"/>
        </w:rPr>
        <w:t> </w:t>
      </w:r>
      <w:r>
        <w:rPr>
          <w:color w:val="231F20"/>
          <w:sz w:val="18"/>
        </w:rPr>
        <w:t>Peer- assisted learning interventions with elementary school students:</w:t>
      </w:r>
      <w:r>
        <w:rPr>
          <w:color w:val="231F20"/>
          <w:spacing w:val="-6"/>
          <w:sz w:val="18"/>
        </w:rPr>
        <w:t> </w:t>
      </w:r>
      <w:r>
        <w:rPr>
          <w:color w:val="231F20"/>
          <w:sz w:val="18"/>
        </w:rPr>
        <w:t>A</w:t>
      </w:r>
      <w:r>
        <w:rPr>
          <w:color w:val="231F20"/>
          <w:spacing w:val="-6"/>
          <w:sz w:val="18"/>
        </w:rPr>
        <w:t> </w:t>
      </w:r>
      <w:r>
        <w:rPr>
          <w:color w:val="231F20"/>
          <w:sz w:val="18"/>
        </w:rPr>
        <w:t>meta-analytic review. Journal of Educational Psychology, 94, pp. 240–257.</w:t>
      </w:r>
    </w:p>
    <w:p>
      <w:pPr>
        <w:pStyle w:val="ListParagraph"/>
        <w:numPr>
          <w:ilvl w:val="1"/>
          <w:numId w:val="178"/>
        </w:numPr>
        <w:tabs>
          <w:tab w:pos="708" w:val="left" w:leader="none"/>
        </w:tabs>
        <w:spacing w:line="240" w:lineRule="auto" w:before="0" w:after="0"/>
        <w:ind w:left="708" w:right="423" w:hanging="284"/>
        <w:jc w:val="both"/>
        <w:rPr>
          <w:color w:val="231F20"/>
          <w:sz w:val="18"/>
        </w:rPr>
      </w:pPr>
      <w:r>
        <w:rPr>
          <w:color w:val="231F20"/>
          <w:sz w:val="18"/>
        </w:rPr>
        <w:t>Pettigrew</w:t>
      </w:r>
      <w:r>
        <w:rPr>
          <w:color w:val="231F20"/>
          <w:spacing w:val="-4"/>
          <w:sz w:val="18"/>
        </w:rPr>
        <w:t> </w:t>
      </w:r>
      <w:r>
        <w:rPr>
          <w:color w:val="231F20"/>
          <w:sz w:val="18"/>
        </w:rPr>
        <w:t>T.</w:t>
      </w:r>
      <w:r>
        <w:rPr>
          <w:color w:val="231F20"/>
          <w:spacing w:val="40"/>
          <w:sz w:val="18"/>
        </w:rPr>
        <w:t> </w:t>
      </w:r>
      <w:r>
        <w:rPr>
          <w:color w:val="231F20"/>
          <w:sz w:val="18"/>
        </w:rPr>
        <w:t>(1998).</w:t>
      </w:r>
      <w:r>
        <w:rPr>
          <w:color w:val="231F20"/>
          <w:spacing w:val="40"/>
          <w:sz w:val="18"/>
        </w:rPr>
        <w:t> </w:t>
      </w:r>
      <w:r>
        <w:rPr>
          <w:color w:val="231F20"/>
          <w:sz w:val="18"/>
        </w:rPr>
        <w:t>Intergroup</w:t>
      </w:r>
      <w:r>
        <w:rPr>
          <w:color w:val="231F20"/>
          <w:spacing w:val="40"/>
          <w:sz w:val="18"/>
        </w:rPr>
        <w:t> </w:t>
      </w:r>
      <w:r>
        <w:rPr>
          <w:color w:val="231F20"/>
          <w:sz w:val="18"/>
        </w:rPr>
        <w:t>Contact</w:t>
      </w:r>
      <w:r>
        <w:rPr>
          <w:color w:val="231F20"/>
          <w:spacing w:val="40"/>
          <w:sz w:val="18"/>
        </w:rPr>
        <w:t> </w:t>
      </w:r>
      <w:r>
        <w:rPr>
          <w:color w:val="231F20"/>
          <w:sz w:val="18"/>
        </w:rPr>
        <w:t>Theory.</w:t>
      </w:r>
      <w:r>
        <w:rPr>
          <w:color w:val="231F20"/>
          <w:spacing w:val="38"/>
          <w:sz w:val="18"/>
        </w:rPr>
        <w:t> </w:t>
      </w:r>
      <w:r>
        <w:rPr>
          <w:color w:val="231F20"/>
          <w:sz w:val="18"/>
        </w:rPr>
        <w:t>Annual</w:t>
      </w:r>
      <w:r>
        <w:rPr>
          <w:color w:val="231F20"/>
          <w:spacing w:val="40"/>
          <w:sz w:val="18"/>
        </w:rPr>
        <w:t> </w:t>
      </w:r>
      <w:r>
        <w:rPr>
          <w:color w:val="231F20"/>
          <w:sz w:val="18"/>
        </w:rPr>
        <w:t>review</w:t>
      </w:r>
      <w:r>
        <w:rPr>
          <w:color w:val="231F20"/>
          <w:spacing w:val="40"/>
          <w:sz w:val="18"/>
        </w:rPr>
        <w:t> </w:t>
      </w:r>
      <w:r>
        <w:rPr>
          <w:color w:val="231F20"/>
          <w:sz w:val="18"/>
        </w:rPr>
        <w:t>of</w:t>
      </w:r>
      <w:r>
        <w:rPr>
          <w:color w:val="231F20"/>
          <w:spacing w:val="40"/>
          <w:sz w:val="18"/>
        </w:rPr>
        <w:t> </w:t>
      </w:r>
      <w:r>
        <w:rPr>
          <w:color w:val="231F20"/>
          <w:sz w:val="18"/>
        </w:rPr>
        <w:t>psychology.</w:t>
      </w:r>
      <w:r>
        <w:rPr>
          <w:color w:val="231F20"/>
          <w:spacing w:val="40"/>
          <w:sz w:val="18"/>
        </w:rPr>
        <w:t> </w:t>
      </w:r>
      <w:r>
        <w:rPr>
          <w:color w:val="231F20"/>
          <w:sz w:val="18"/>
        </w:rPr>
        <w:t>49. Pp. 65–85. DOI: 10.1146/annurev.psych.49.1.65.</w:t>
      </w:r>
    </w:p>
    <w:p>
      <w:pPr>
        <w:pStyle w:val="ListParagraph"/>
        <w:numPr>
          <w:ilvl w:val="1"/>
          <w:numId w:val="178"/>
        </w:numPr>
        <w:tabs>
          <w:tab w:pos="708" w:val="left" w:leader="none"/>
        </w:tabs>
        <w:spacing w:line="205" w:lineRule="exact" w:before="0" w:after="0"/>
        <w:ind w:left="708" w:right="0" w:hanging="283"/>
        <w:jc w:val="both"/>
        <w:rPr>
          <w:color w:val="231F20"/>
          <w:sz w:val="18"/>
        </w:rPr>
      </w:pPr>
      <w:r>
        <w:rPr>
          <w:color w:val="231F20"/>
          <w:sz w:val="18"/>
        </w:rPr>
        <w:t>Calfee,</w:t>
      </w:r>
      <w:r>
        <w:rPr>
          <w:color w:val="231F20"/>
          <w:spacing w:val="-3"/>
          <w:sz w:val="18"/>
        </w:rPr>
        <w:t> </w:t>
      </w:r>
      <w:r>
        <w:rPr>
          <w:color w:val="231F20"/>
          <w:sz w:val="18"/>
        </w:rPr>
        <w:t>R.C.</w:t>
      </w:r>
      <w:r>
        <w:rPr>
          <w:color w:val="231F20"/>
          <w:spacing w:val="-1"/>
          <w:sz w:val="18"/>
        </w:rPr>
        <w:t> </w:t>
      </w:r>
      <w:r>
        <w:rPr>
          <w:color w:val="231F20"/>
          <w:sz w:val="18"/>
        </w:rPr>
        <w:t>(2006)</w:t>
      </w:r>
      <w:r>
        <w:rPr>
          <w:color w:val="231F20"/>
          <w:spacing w:val="-1"/>
          <w:sz w:val="18"/>
        </w:rPr>
        <w:t> </w:t>
      </w:r>
      <w:r>
        <w:rPr>
          <w:color w:val="231F20"/>
          <w:sz w:val="18"/>
        </w:rPr>
        <w:t>Educational Psychology</w:t>
      </w:r>
      <w:r>
        <w:rPr>
          <w:color w:val="231F20"/>
          <w:spacing w:val="-1"/>
          <w:sz w:val="18"/>
        </w:rPr>
        <w:t> </w:t>
      </w:r>
      <w:r>
        <w:rPr>
          <w:color w:val="231F20"/>
          <w:sz w:val="18"/>
        </w:rPr>
        <w:t>in</w:t>
      </w:r>
      <w:r>
        <w:rPr>
          <w:color w:val="231F20"/>
          <w:spacing w:val="-1"/>
          <w:sz w:val="18"/>
        </w:rPr>
        <w:t> </w:t>
      </w:r>
      <w:r>
        <w:rPr>
          <w:color w:val="231F20"/>
          <w:sz w:val="18"/>
        </w:rPr>
        <w:t>the</w:t>
      </w:r>
      <w:r>
        <w:rPr>
          <w:color w:val="231F20"/>
          <w:spacing w:val="-1"/>
          <w:sz w:val="18"/>
        </w:rPr>
        <w:t> </w:t>
      </w:r>
      <w:r>
        <w:rPr>
          <w:color w:val="231F20"/>
          <w:sz w:val="18"/>
        </w:rPr>
        <w:t>21st</w:t>
      </w:r>
      <w:r>
        <w:rPr>
          <w:color w:val="231F20"/>
          <w:spacing w:val="-1"/>
          <w:sz w:val="18"/>
        </w:rPr>
        <w:t> </w:t>
      </w:r>
      <w:r>
        <w:rPr>
          <w:color w:val="231F20"/>
          <w:spacing w:val="-2"/>
          <w:sz w:val="18"/>
        </w:rPr>
        <w:t>Century.</w:t>
      </w:r>
    </w:p>
    <w:p>
      <w:pPr>
        <w:pStyle w:val="ListParagraph"/>
        <w:numPr>
          <w:ilvl w:val="1"/>
          <w:numId w:val="178"/>
        </w:numPr>
        <w:tabs>
          <w:tab w:pos="708" w:val="left" w:leader="none"/>
        </w:tabs>
        <w:spacing w:line="240" w:lineRule="auto" w:before="0" w:after="0"/>
        <w:ind w:left="708" w:right="422" w:hanging="284"/>
        <w:jc w:val="both"/>
        <w:rPr>
          <w:color w:val="231F20"/>
          <w:sz w:val="18"/>
        </w:rPr>
      </w:pPr>
      <w:r>
        <w:rPr>
          <w:color w:val="231F20"/>
          <w:sz w:val="18"/>
        </w:rPr>
        <w:t>Devedzic</w:t>
      </w:r>
      <w:r>
        <w:rPr>
          <w:color w:val="231F20"/>
          <w:spacing w:val="-12"/>
          <w:sz w:val="18"/>
        </w:rPr>
        <w:t> </w:t>
      </w:r>
      <w:r>
        <w:rPr>
          <w:color w:val="231F20"/>
          <w:sz w:val="18"/>
        </w:rPr>
        <w:t>V.,</w:t>
      </w:r>
      <w:r>
        <w:rPr>
          <w:color w:val="231F20"/>
          <w:spacing w:val="-11"/>
          <w:sz w:val="18"/>
        </w:rPr>
        <w:t> </w:t>
      </w:r>
      <w:r>
        <w:rPr>
          <w:color w:val="231F20"/>
          <w:sz w:val="18"/>
        </w:rPr>
        <w:t>&amp;</w:t>
      </w:r>
      <w:r>
        <w:rPr>
          <w:color w:val="231F20"/>
          <w:spacing w:val="-11"/>
          <w:sz w:val="18"/>
        </w:rPr>
        <w:t> </w:t>
      </w:r>
      <w:r>
        <w:rPr>
          <w:color w:val="231F20"/>
          <w:sz w:val="18"/>
        </w:rPr>
        <w:t>Milenkovic</w:t>
      </w:r>
      <w:r>
        <w:rPr>
          <w:color w:val="231F20"/>
          <w:spacing w:val="-11"/>
          <w:sz w:val="18"/>
        </w:rPr>
        <w:t> </w:t>
      </w:r>
      <w:r>
        <w:rPr>
          <w:color w:val="231F20"/>
          <w:sz w:val="18"/>
        </w:rPr>
        <w:t>S.</w:t>
      </w:r>
      <w:r>
        <w:rPr>
          <w:color w:val="231F20"/>
          <w:spacing w:val="-12"/>
          <w:sz w:val="18"/>
        </w:rPr>
        <w:t> </w:t>
      </w:r>
      <w:r>
        <w:rPr>
          <w:color w:val="231F20"/>
          <w:sz w:val="18"/>
        </w:rPr>
        <w:t>(2011)</w:t>
      </w:r>
      <w:r>
        <w:rPr>
          <w:color w:val="231F20"/>
          <w:spacing w:val="-11"/>
          <w:sz w:val="18"/>
        </w:rPr>
        <w:t> </w:t>
      </w:r>
      <w:r>
        <w:rPr>
          <w:color w:val="231F20"/>
          <w:sz w:val="18"/>
        </w:rPr>
        <w:t>Teaching</w:t>
      </w:r>
      <w:r>
        <w:rPr>
          <w:color w:val="231F20"/>
          <w:spacing w:val="-11"/>
          <w:sz w:val="18"/>
        </w:rPr>
        <w:t> </w:t>
      </w:r>
      <w:r>
        <w:rPr>
          <w:color w:val="231F20"/>
          <w:sz w:val="18"/>
        </w:rPr>
        <w:t>agile</w:t>
      </w:r>
      <w:r>
        <w:rPr>
          <w:color w:val="231F20"/>
          <w:spacing w:val="-11"/>
          <w:sz w:val="18"/>
        </w:rPr>
        <w:t> </w:t>
      </w:r>
      <w:r>
        <w:rPr>
          <w:color w:val="231F20"/>
          <w:sz w:val="18"/>
        </w:rPr>
        <w:t>software</w:t>
      </w:r>
      <w:r>
        <w:rPr>
          <w:color w:val="231F20"/>
          <w:spacing w:val="-12"/>
          <w:sz w:val="18"/>
        </w:rPr>
        <w:t> </w:t>
      </w:r>
      <w:r>
        <w:rPr>
          <w:color w:val="231F20"/>
          <w:sz w:val="18"/>
        </w:rPr>
        <w:t>development:</w:t>
      </w:r>
      <w:r>
        <w:rPr>
          <w:color w:val="231F20"/>
          <w:spacing w:val="-11"/>
          <w:sz w:val="18"/>
        </w:rPr>
        <w:t> </w:t>
      </w:r>
      <w:r>
        <w:rPr>
          <w:color w:val="231F20"/>
          <w:sz w:val="18"/>
        </w:rPr>
        <w:t>A</w:t>
      </w:r>
      <w:r>
        <w:rPr>
          <w:color w:val="231F20"/>
          <w:spacing w:val="-11"/>
          <w:sz w:val="18"/>
        </w:rPr>
        <w:t> </w:t>
      </w:r>
      <w:r>
        <w:rPr>
          <w:color w:val="231F20"/>
          <w:sz w:val="18"/>
        </w:rPr>
        <w:t>case</w:t>
      </w:r>
      <w:r>
        <w:rPr>
          <w:color w:val="231F20"/>
          <w:spacing w:val="-11"/>
          <w:sz w:val="18"/>
        </w:rPr>
        <w:t> </w:t>
      </w:r>
      <w:r>
        <w:rPr>
          <w:color w:val="231F20"/>
          <w:sz w:val="18"/>
        </w:rPr>
        <w:t>study. IEEE Transactions on Education, 54(2), 273–278, DOI: 10.1109/TE.2010.2052104.</w:t>
      </w:r>
    </w:p>
    <w:p>
      <w:pPr>
        <w:pStyle w:val="ListParagraph"/>
        <w:numPr>
          <w:ilvl w:val="1"/>
          <w:numId w:val="178"/>
        </w:numPr>
        <w:tabs>
          <w:tab w:pos="708" w:val="left" w:leader="none"/>
        </w:tabs>
        <w:spacing w:line="240" w:lineRule="auto" w:before="0" w:after="0"/>
        <w:ind w:left="708" w:right="423" w:hanging="284"/>
        <w:jc w:val="both"/>
        <w:rPr>
          <w:color w:val="231F20"/>
          <w:sz w:val="18"/>
        </w:rPr>
      </w:pPr>
      <w:r>
        <w:rPr>
          <w:color w:val="231F20"/>
          <w:sz w:val="18"/>
        </w:rPr>
        <w:t>Resta</w:t>
      </w:r>
      <w:r>
        <w:rPr>
          <w:color w:val="231F20"/>
          <w:spacing w:val="-12"/>
          <w:sz w:val="18"/>
        </w:rPr>
        <w:t> </w:t>
      </w:r>
      <w:r>
        <w:rPr>
          <w:color w:val="231F20"/>
          <w:sz w:val="18"/>
        </w:rPr>
        <w:t>P.</w:t>
      </w:r>
      <w:r>
        <w:rPr>
          <w:color w:val="231F20"/>
          <w:spacing w:val="-11"/>
          <w:sz w:val="18"/>
        </w:rPr>
        <w:t> </w:t>
      </w:r>
      <w:r>
        <w:rPr>
          <w:color w:val="231F20"/>
          <w:sz w:val="18"/>
        </w:rPr>
        <w:t>&amp;</w:t>
      </w:r>
      <w:r>
        <w:rPr>
          <w:color w:val="231F20"/>
          <w:spacing w:val="-11"/>
          <w:sz w:val="18"/>
        </w:rPr>
        <w:t> </w:t>
      </w:r>
      <w:r>
        <w:rPr>
          <w:color w:val="231F20"/>
          <w:sz w:val="18"/>
        </w:rPr>
        <w:t>Shonfeld</w:t>
      </w:r>
      <w:r>
        <w:rPr>
          <w:color w:val="231F20"/>
          <w:spacing w:val="-11"/>
          <w:sz w:val="18"/>
        </w:rPr>
        <w:t> </w:t>
      </w:r>
      <w:r>
        <w:rPr>
          <w:color w:val="231F20"/>
          <w:sz w:val="18"/>
        </w:rPr>
        <w:t>M.</w:t>
      </w:r>
      <w:r>
        <w:rPr>
          <w:color w:val="231F20"/>
          <w:spacing w:val="-12"/>
          <w:sz w:val="18"/>
        </w:rPr>
        <w:t> </w:t>
      </w:r>
      <w:r>
        <w:rPr>
          <w:color w:val="231F20"/>
          <w:sz w:val="18"/>
        </w:rPr>
        <w:t>(2013).</w:t>
      </w:r>
      <w:r>
        <w:rPr>
          <w:color w:val="231F20"/>
          <w:spacing w:val="-11"/>
          <w:sz w:val="18"/>
        </w:rPr>
        <w:t> </w:t>
      </w:r>
      <w:r>
        <w:rPr>
          <w:color w:val="231F20"/>
          <w:sz w:val="18"/>
        </w:rPr>
        <w:t>A</w:t>
      </w:r>
      <w:r>
        <w:rPr>
          <w:color w:val="231F20"/>
          <w:spacing w:val="-11"/>
          <w:sz w:val="18"/>
        </w:rPr>
        <w:t> </w:t>
      </w:r>
      <w:r>
        <w:rPr>
          <w:color w:val="231F20"/>
          <w:sz w:val="18"/>
        </w:rPr>
        <w:t>study</w:t>
      </w:r>
      <w:r>
        <w:rPr>
          <w:color w:val="231F20"/>
          <w:spacing w:val="-11"/>
          <w:sz w:val="18"/>
        </w:rPr>
        <w:t> </w:t>
      </w:r>
      <w:r>
        <w:rPr>
          <w:color w:val="231F20"/>
          <w:sz w:val="18"/>
        </w:rPr>
        <w:t>of</w:t>
      </w:r>
      <w:r>
        <w:rPr>
          <w:color w:val="231F20"/>
          <w:spacing w:val="-12"/>
          <w:sz w:val="18"/>
        </w:rPr>
        <w:t> </w:t>
      </w:r>
      <w:r>
        <w:rPr>
          <w:color w:val="231F20"/>
          <w:sz w:val="18"/>
        </w:rPr>
        <w:t>trans-national</w:t>
      </w:r>
      <w:r>
        <w:rPr>
          <w:color w:val="231F20"/>
          <w:spacing w:val="-11"/>
          <w:sz w:val="18"/>
        </w:rPr>
        <w:t> </w:t>
      </w:r>
      <w:r>
        <w:rPr>
          <w:color w:val="231F20"/>
          <w:sz w:val="18"/>
        </w:rPr>
        <w:t>learning</w:t>
      </w:r>
      <w:r>
        <w:rPr>
          <w:color w:val="231F20"/>
          <w:spacing w:val="-11"/>
          <w:sz w:val="18"/>
        </w:rPr>
        <w:t> </w:t>
      </w:r>
      <w:r>
        <w:rPr>
          <w:color w:val="231F20"/>
          <w:sz w:val="18"/>
        </w:rPr>
        <w:t>teams</w:t>
      </w:r>
      <w:r>
        <w:rPr>
          <w:color w:val="231F20"/>
          <w:spacing w:val="-11"/>
          <w:sz w:val="18"/>
        </w:rPr>
        <w:t> </w:t>
      </w:r>
      <w:r>
        <w:rPr>
          <w:color w:val="231F20"/>
          <w:sz w:val="18"/>
        </w:rPr>
        <w:t>in</w:t>
      </w:r>
      <w:r>
        <w:rPr>
          <w:color w:val="231F20"/>
          <w:spacing w:val="-12"/>
          <w:sz w:val="18"/>
        </w:rPr>
        <w:t> </w:t>
      </w:r>
      <w:r>
        <w:rPr>
          <w:color w:val="231F20"/>
          <w:sz w:val="18"/>
        </w:rPr>
        <w:t>a</w:t>
      </w:r>
      <w:r>
        <w:rPr>
          <w:color w:val="231F20"/>
          <w:spacing w:val="-11"/>
          <w:sz w:val="18"/>
        </w:rPr>
        <w:t> </w:t>
      </w:r>
      <w:r>
        <w:rPr>
          <w:color w:val="231F20"/>
          <w:sz w:val="18"/>
        </w:rPr>
        <w:t>virtual</w:t>
      </w:r>
      <w:r>
        <w:rPr>
          <w:color w:val="231F20"/>
          <w:spacing w:val="-11"/>
          <w:sz w:val="18"/>
        </w:rPr>
        <w:t> </w:t>
      </w:r>
      <w:r>
        <w:rPr>
          <w:color w:val="231F20"/>
          <w:sz w:val="18"/>
        </w:rPr>
        <w:t>world. In</w:t>
      </w:r>
      <w:r>
        <w:rPr>
          <w:color w:val="231F20"/>
          <w:spacing w:val="-1"/>
          <w:sz w:val="18"/>
        </w:rPr>
        <w:t> </w:t>
      </w:r>
      <w:r>
        <w:rPr>
          <w:color w:val="231F20"/>
          <w:sz w:val="18"/>
        </w:rPr>
        <w:t>R.</w:t>
      </w:r>
      <w:r>
        <w:rPr>
          <w:color w:val="231F20"/>
          <w:spacing w:val="-1"/>
          <w:sz w:val="18"/>
        </w:rPr>
        <w:t> </w:t>
      </w:r>
      <w:r>
        <w:rPr>
          <w:color w:val="231F20"/>
          <w:sz w:val="18"/>
        </w:rPr>
        <w:t>McBride</w:t>
      </w:r>
      <w:r>
        <w:rPr>
          <w:color w:val="231F20"/>
          <w:spacing w:val="-1"/>
          <w:sz w:val="18"/>
        </w:rPr>
        <w:t> </w:t>
      </w:r>
      <w:r>
        <w:rPr>
          <w:color w:val="231F20"/>
          <w:sz w:val="18"/>
        </w:rPr>
        <w:t>&amp;</w:t>
      </w:r>
      <w:r>
        <w:rPr>
          <w:color w:val="231F20"/>
          <w:spacing w:val="-1"/>
          <w:sz w:val="18"/>
        </w:rPr>
        <w:t> </w:t>
      </w:r>
      <w:r>
        <w:rPr>
          <w:color w:val="231F20"/>
          <w:sz w:val="18"/>
        </w:rPr>
        <w:t>M.</w:t>
      </w:r>
      <w:r>
        <w:rPr>
          <w:color w:val="231F20"/>
          <w:spacing w:val="-1"/>
          <w:sz w:val="18"/>
        </w:rPr>
        <w:t> </w:t>
      </w:r>
      <w:r>
        <w:rPr>
          <w:color w:val="231F20"/>
          <w:sz w:val="18"/>
        </w:rPr>
        <w:t>Searson</w:t>
      </w:r>
      <w:r>
        <w:rPr>
          <w:color w:val="231F20"/>
          <w:spacing w:val="-1"/>
          <w:sz w:val="18"/>
        </w:rPr>
        <w:t> </w:t>
      </w:r>
      <w:r>
        <w:rPr>
          <w:color w:val="231F20"/>
          <w:sz w:val="18"/>
        </w:rPr>
        <w:t>(Eds.),</w:t>
      </w:r>
      <w:r>
        <w:rPr>
          <w:color w:val="231F20"/>
          <w:spacing w:val="-1"/>
          <w:sz w:val="18"/>
        </w:rPr>
        <w:t> </w:t>
      </w:r>
      <w:r>
        <w:rPr>
          <w:color w:val="231F20"/>
          <w:sz w:val="18"/>
        </w:rPr>
        <w:t>Proceedings</w:t>
      </w:r>
      <w:r>
        <w:rPr>
          <w:color w:val="231F20"/>
          <w:spacing w:val="-1"/>
          <w:sz w:val="18"/>
        </w:rPr>
        <w:t> </w:t>
      </w:r>
      <w:r>
        <w:rPr>
          <w:color w:val="231F20"/>
          <w:sz w:val="18"/>
        </w:rPr>
        <w:t>of</w:t>
      </w:r>
      <w:r>
        <w:rPr>
          <w:color w:val="231F20"/>
          <w:spacing w:val="-1"/>
          <w:sz w:val="18"/>
        </w:rPr>
        <w:t> </w:t>
      </w:r>
      <w:r>
        <w:rPr>
          <w:color w:val="231F20"/>
          <w:sz w:val="18"/>
        </w:rPr>
        <w:t>Society</w:t>
      </w:r>
      <w:r>
        <w:rPr>
          <w:color w:val="231F20"/>
          <w:spacing w:val="-1"/>
          <w:sz w:val="18"/>
        </w:rPr>
        <w:t> </w:t>
      </w:r>
      <w:r>
        <w:rPr>
          <w:color w:val="231F20"/>
          <w:sz w:val="18"/>
        </w:rPr>
        <w:t>for</w:t>
      </w:r>
      <w:r>
        <w:rPr>
          <w:color w:val="231F20"/>
          <w:spacing w:val="-1"/>
          <w:sz w:val="18"/>
        </w:rPr>
        <w:t> </w:t>
      </w:r>
      <w:r>
        <w:rPr>
          <w:color w:val="231F20"/>
          <w:sz w:val="18"/>
        </w:rPr>
        <w:t>Information</w:t>
      </w:r>
      <w:r>
        <w:rPr>
          <w:color w:val="231F20"/>
          <w:spacing w:val="-4"/>
          <w:sz w:val="18"/>
        </w:rPr>
        <w:t> </w:t>
      </w:r>
      <w:r>
        <w:rPr>
          <w:color w:val="231F20"/>
          <w:sz w:val="18"/>
        </w:rPr>
        <w:t>Technology &amp;</w:t>
      </w:r>
      <w:r>
        <w:rPr>
          <w:color w:val="231F20"/>
          <w:spacing w:val="-2"/>
          <w:sz w:val="18"/>
        </w:rPr>
        <w:t> </w:t>
      </w:r>
      <w:r>
        <w:rPr>
          <w:color w:val="231F20"/>
          <w:sz w:val="18"/>
        </w:rPr>
        <w:t>Teacher Education International Conference 2013 (pp. 2932–2940). Chesapeake,</w:t>
      </w:r>
      <w:r>
        <w:rPr>
          <w:color w:val="231F20"/>
          <w:spacing w:val="-2"/>
          <w:sz w:val="18"/>
        </w:rPr>
        <w:t> </w:t>
      </w:r>
      <w:r>
        <w:rPr>
          <w:color w:val="231F20"/>
          <w:sz w:val="18"/>
        </w:rPr>
        <w:t>VA: Association for the Advancement of Computing in Education (AACE).</w:t>
      </w:r>
    </w:p>
    <w:p>
      <w:pPr>
        <w:pStyle w:val="ListParagraph"/>
        <w:numPr>
          <w:ilvl w:val="1"/>
          <w:numId w:val="178"/>
        </w:numPr>
        <w:tabs>
          <w:tab w:pos="708" w:val="left" w:leader="none"/>
        </w:tabs>
        <w:spacing w:line="240" w:lineRule="auto" w:before="0" w:after="0"/>
        <w:ind w:left="708" w:right="423" w:hanging="284"/>
        <w:jc w:val="both"/>
        <w:rPr>
          <w:color w:val="231F20"/>
          <w:sz w:val="18"/>
        </w:rPr>
      </w:pPr>
      <w:r>
        <w:rPr>
          <w:color w:val="231F20"/>
          <w:sz w:val="18"/>
        </w:rPr>
        <w:t>Austin</w:t>
      </w:r>
      <w:r>
        <w:rPr>
          <w:color w:val="231F20"/>
          <w:spacing w:val="-8"/>
          <w:sz w:val="18"/>
        </w:rPr>
        <w:t> </w:t>
      </w:r>
      <w:r>
        <w:rPr>
          <w:color w:val="231F20"/>
          <w:sz w:val="18"/>
        </w:rPr>
        <w:t>R.,</w:t>
      </w:r>
      <w:r>
        <w:rPr>
          <w:color w:val="231F20"/>
          <w:spacing w:val="-11"/>
          <w:sz w:val="18"/>
        </w:rPr>
        <w:t> </w:t>
      </w:r>
      <w:r>
        <w:rPr>
          <w:color w:val="231F20"/>
          <w:sz w:val="18"/>
        </w:rPr>
        <w:t>Anderson</w:t>
      </w:r>
      <w:r>
        <w:rPr>
          <w:color w:val="231F20"/>
          <w:spacing w:val="-3"/>
          <w:sz w:val="18"/>
        </w:rPr>
        <w:t> </w:t>
      </w:r>
      <w:r>
        <w:rPr>
          <w:color w:val="231F20"/>
          <w:sz w:val="18"/>
        </w:rPr>
        <w:t>J.</w:t>
      </w:r>
      <w:r>
        <w:rPr>
          <w:color w:val="231F20"/>
          <w:spacing w:val="-8"/>
          <w:sz w:val="18"/>
        </w:rPr>
        <w:t> </w:t>
      </w:r>
      <w:r>
        <w:rPr>
          <w:color w:val="231F20"/>
          <w:sz w:val="18"/>
        </w:rPr>
        <w:t>(2008)</w:t>
      </w:r>
      <w:r>
        <w:rPr>
          <w:color w:val="231F20"/>
          <w:spacing w:val="-8"/>
          <w:sz w:val="18"/>
        </w:rPr>
        <w:t> </w:t>
      </w:r>
      <w:r>
        <w:rPr>
          <w:color w:val="231F20"/>
          <w:sz w:val="18"/>
        </w:rPr>
        <w:t>Building</w:t>
      </w:r>
      <w:r>
        <w:rPr>
          <w:color w:val="231F20"/>
          <w:spacing w:val="-8"/>
          <w:sz w:val="18"/>
        </w:rPr>
        <w:t> </w:t>
      </w:r>
      <w:r>
        <w:rPr>
          <w:color w:val="231F20"/>
          <w:sz w:val="18"/>
        </w:rPr>
        <w:t>Bridges</w:t>
      </w:r>
      <w:r>
        <w:rPr>
          <w:color w:val="231F20"/>
          <w:spacing w:val="-8"/>
          <w:sz w:val="18"/>
        </w:rPr>
        <w:t> </w:t>
      </w:r>
      <w:r>
        <w:rPr>
          <w:color w:val="231F20"/>
          <w:sz w:val="18"/>
        </w:rPr>
        <w:t>Online:</w:t>
      </w:r>
      <w:r>
        <w:rPr>
          <w:color w:val="231F20"/>
          <w:spacing w:val="-8"/>
          <w:sz w:val="18"/>
        </w:rPr>
        <w:t> </w:t>
      </w:r>
      <w:r>
        <w:rPr>
          <w:color w:val="231F20"/>
          <w:sz w:val="18"/>
        </w:rPr>
        <w:t>Issues</w:t>
      </w:r>
      <w:r>
        <w:rPr>
          <w:color w:val="231F20"/>
          <w:spacing w:val="-8"/>
          <w:sz w:val="18"/>
        </w:rPr>
        <w:t> </w:t>
      </w:r>
      <w:r>
        <w:rPr>
          <w:color w:val="231F20"/>
          <w:sz w:val="18"/>
        </w:rPr>
        <w:t>of</w:t>
      </w:r>
      <w:r>
        <w:rPr>
          <w:color w:val="231F20"/>
          <w:spacing w:val="-8"/>
          <w:sz w:val="18"/>
        </w:rPr>
        <w:t> </w:t>
      </w:r>
      <w:r>
        <w:rPr>
          <w:color w:val="231F20"/>
          <w:sz w:val="18"/>
        </w:rPr>
        <w:t>Pedagogy</w:t>
      </w:r>
      <w:r>
        <w:rPr>
          <w:color w:val="231F20"/>
          <w:spacing w:val="-8"/>
          <w:sz w:val="18"/>
        </w:rPr>
        <w:t> </w:t>
      </w:r>
      <w:r>
        <w:rPr>
          <w:color w:val="231F20"/>
          <w:sz w:val="18"/>
        </w:rPr>
        <w:t>and</w:t>
      </w:r>
      <w:r>
        <w:rPr>
          <w:color w:val="231F20"/>
          <w:spacing w:val="-8"/>
          <w:sz w:val="18"/>
        </w:rPr>
        <w:t> </w:t>
      </w:r>
      <w:r>
        <w:rPr>
          <w:color w:val="231F20"/>
          <w:sz w:val="18"/>
        </w:rPr>
        <w:t>Learning Outcomes in Intercultural Education Through Citizenship. IJICTE. 4. Pp. 86–94.</w:t>
      </w:r>
    </w:p>
    <w:p>
      <w:pPr>
        <w:pStyle w:val="ListParagraph"/>
        <w:numPr>
          <w:ilvl w:val="1"/>
          <w:numId w:val="178"/>
        </w:numPr>
        <w:tabs>
          <w:tab w:pos="708" w:val="left" w:leader="none"/>
        </w:tabs>
        <w:spacing w:line="240" w:lineRule="auto" w:before="0" w:after="0"/>
        <w:ind w:left="708" w:right="422" w:hanging="284"/>
        <w:jc w:val="both"/>
        <w:rPr>
          <w:color w:val="171B1E"/>
          <w:sz w:val="18"/>
        </w:rPr>
      </w:pPr>
      <w:r>
        <w:rPr>
          <w:color w:val="171B1E"/>
          <w:sz w:val="18"/>
        </w:rPr>
        <w:t>Reston</w:t>
      </w:r>
      <w:r>
        <w:rPr>
          <w:color w:val="171B1E"/>
          <w:spacing w:val="-1"/>
          <w:sz w:val="18"/>
        </w:rPr>
        <w:t> </w:t>
      </w:r>
      <w:r>
        <w:rPr>
          <w:color w:val="171B1E"/>
          <w:sz w:val="18"/>
        </w:rPr>
        <w:t>Filho</w:t>
      </w:r>
      <w:r>
        <w:rPr>
          <w:color w:val="171B1E"/>
          <w:spacing w:val="-2"/>
          <w:sz w:val="18"/>
        </w:rPr>
        <w:t> </w:t>
      </w:r>
      <w:r>
        <w:rPr>
          <w:color w:val="171B1E"/>
          <w:sz w:val="18"/>
        </w:rPr>
        <w:t>J.C.,</w:t>
      </w:r>
      <w:r>
        <w:rPr>
          <w:color w:val="171B1E"/>
          <w:spacing w:val="-1"/>
          <w:sz w:val="18"/>
        </w:rPr>
        <w:t> </w:t>
      </w:r>
      <w:r>
        <w:rPr>
          <w:color w:val="171B1E"/>
          <w:sz w:val="18"/>
        </w:rPr>
        <w:t>Lima</w:t>
      </w:r>
      <w:r>
        <w:rPr>
          <w:color w:val="171B1E"/>
          <w:spacing w:val="-2"/>
          <w:sz w:val="18"/>
        </w:rPr>
        <w:t> </w:t>
      </w:r>
      <w:r>
        <w:rPr>
          <w:color w:val="171B1E"/>
          <w:sz w:val="18"/>
        </w:rPr>
        <w:t>R.</w:t>
      </w:r>
      <w:r>
        <w:rPr>
          <w:color w:val="171B1E"/>
          <w:spacing w:val="-1"/>
          <w:sz w:val="18"/>
        </w:rPr>
        <w:t> </w:t>
      </w:r>
      <w:r>
        <w:rPr>
          <w:color w:val="171B1E"/>
          <w:sz w:val="18"/>
        </w:rPr>
        <w:t>(2018)</w:t>
      </w:r>
      <w:r>
        <w:rPr>
          <w:color w:val="171B1E"/>
          <w:spacing w:val="-10"/>
          <w:sz w:val="18"/>
        </w:rPr>
        <w:t> </w:t>
      </w:r>
      <w:r>
        <w:rPr>
          <w:color w:val="171B1E"/>
          <w:sz w:val="18"/>
        </w:rPr>
        <w:t>Application</w:t>
      </w:r>
      <w:r>
        <w:rPr>
          <w:color w:val="171B1E"/>
          <w:spacing w:val="-1"/>
          <w:sz w:val="18"/>
        </w:rPr>
        <w:t> </w:t>
      </w:r>
      <w:r>
        <w:rPr>
          <w:color w:val="171B1E"/>
          <w:sz w:val="18"/>
        </w:rPr>
        <w:t>of</w:t>
      </w:r>
      <w:r>
        <w:rPr>
          <w:color w:val="171B1E"/>
          <w:spacing w:val="-1"/>
          <w:sz w:val="18"/>
        </w:rPr>
        <w:t> </w:t>
      </w:r>
      <w:r>
        <w:rPr>
          <w:color w:val="171B1E"/>
          <w:sz w:val="18"/>
        </w:rPr>
        <w:t>the</w:t>
      </w:r>
      <w:r>
        <w:rPr>
          <w:color w:val="171B1E"/>
          <w:spacing w:val="-1"/>
          <w:sz w:val="18"/>
        </w:rPr>
        <w:t> </w:t>
      </w:r>
      <w:r>
        <w:rPr>
          <w:color w:val="171B1E"/>
          <w:sz w:val="18"/>
        </w:rPr>
        <w:t>eduScrum</w:t>
      </w:r>
      <w:r>
        <w:rPr>
          <w:color w:val="171B1E"/>
          <w:spacing w:val="-1"/>
          <w:sz w:val="18"/>
        </w:rPr>
        <w:t> </w:t>
      </w:r>
      <w:r>
        <w:rPr>
          <w:color w:val="171B1E"/>
          <w:sz w:val="18"/>
        </w:rPr>
        <w:t>methodology</w:t>
      </w:r>
      <w:r>
        <w:rPr>
          <w:color w:val="171B1E"/>
          <w:spacing w:val="-1"/>
          <w:sz w:val="18"/>
        </w:rPr>
        <w:t> </w:t>
      </w:r>
      <w:r>
        <w:rPr>
          <w:color w:val="171B1E"/>
          <w:sz w:val="18"/>
        </w:rPr>
        <w:t>to</w:t>
      </w:r>
      <w:r>
        <w:rPr>
          <w:color w:val="171B1E"/>
          <w:spacing w:val="-1"/>
          <w:sz w:val="18"/>
        </w:rPr>
        <w:t> </w:t>
      </w:r>
      <w:r>
        <w:rPr>
          <w:color w:val="171B1E"/>
          <w:sz w:val="18"/>
        </w:rPr>
        <w:t>a</w:t>
      </w:r>
      <w:r>
        <w:rPr>
          <w:color w:val="171B1E"/>
          <w:spacing w:val="-1"/>
          <w:sz w:val="18"/>
        </w:rPr>
        <w:t> </w:t>
      </w:r>
      <w:r>
        <w:rPr>
          <w:color w:val="171B1E"/>
          <w:sz w:val="18"/>
        </w:rPr>
        <w:t>higher education institution in the Amazon. Conference: PAEE/ALE’2018, 10th International Symposium on Project Approaches in Engineering Education (PAEE) and 15th Active Learning in Engineering Education Workshop (ALE).</w:t>
      </w:r>
    </w:p>
    <w:p>
      <w:pPr>
        <w:pStyle w:val="ListParagraph"/>
        <w:spacing w:after="0" w:line="240" w:lineRule="auto"/>
        <w:jc w:val="both"/>
        <w:rPr>
          <w:sz w:val="18"/>
        </w:rPr>
        <w:sectPr>
          <w:pgSz w:w="8400" w:h="11910"/>
          <w:pgMar w:header="0" w:footer="527" w:top="400" w:bottom="740" w:left="425" w:right="425"/>
        </w:sectPr>
      </w:pPr>
    </w:p>
    <w:p>
      <w:pPr>
        <w:spacing w:before="73"/>
        <w:ind w:left="303" w:right="303" w:firstLine="0"/>
        <w:jc w:val="center"/>
        <w:rPr>
          <w:b/>
          <w:sz w:val="20"/>
        </w:rPr>
      </w:pPr>
      <w:bookmarkStart w:name="_bookmark72" w:id="74"/>
      <w:bookmarkEnd w:id="74"/>
      <w:r>
        <w:rPr/>
      </w:r>
      <w:r>
        <w:rPr>
          <w:b/>
          <w:color w:val="231F20"/>
          <w:spacing w:val="-2"/>
          <w:sz w:val="20"/>
        </w:rPr>
        <w:t>Словарь</w:t>
      </w:r>
    </w:p>
    <w:p>
      <w:pPr>
        <w:pStyle w:val="BodyText"/>
        <w:spacing w:before="52"/>
        <w:ind w:left="0" w:right="0" w:firstLine="0"/>
        <w:jc w:val="left"/>
        <w:rPr>
          <w:b/>
        </w:rPr>
      </w:pPr>
    </w:p>
    <w:tbl>
      <w:tblPr>
        <w:tblW w:w="0" w:type="auto"/>
        <w:jc w:val="left"/>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353"/>
        <w:gridCol w:w="4893"/>
      </w:tblGrid>
      <w:tr>
        <w:trPr>
          <w:trHeight w:val="578" w:hRule="atLeast"/>
        </w:trPr>
        <w:tc>
          <w:tcPr>
            <w:tcW w:w="2353" w:type="dxa"/>
            <w:shd w:val="clear" w:color="auto" w:fill="ECECEA"/>
          </w:tcPr>
          <w:p>
            <w:pPr>
              <w:pStyle w:val="TableParagraph"/>
              <w:spacing w:before="182"/>
              <w:ind w:left="350"/>
              <w:rPr>
                <w:b/>
                <w:sz w:val="18"/>
              </w:rPr>
            </w:pPr>
            <w:r>
              <w:rPr>
                <w:b/>
                <w:spacing w:val="-2"/>
                <w:sz w:val="18"/>
              </w:rPr>
              <w:t>Термин/сокращение</w:t>
            </w:r>
          </w:p>
        </w:tc>
        <w:tc>
          <w:tcPr>
            <w:tcW w:w="4893" w:type="dxa"/>
            <w:shd w:val="clear" w:color="auto" w:fill="ECECEA"/>
          </w:tcPr>
          <w:p>
            <w:pPr>
              <w:pStyle w:val="TableParagraph"/>
              <w:spacing w:before="182"/>
              <w:ind w:left="11"/>
              <w:jc w:val="center"/>
              <w:rPr>
                <w:b/>
                <w:sz w:val="18"/>
              </w:rPr>
            </w:pPr>
            <w:r>
              <w:rPr>
                <w:b/>
                <w:spacing w:val="-2"/>
                <w:sz w:val="18"/>
              </w:rPr>
              <w:t>Определение</w:t>
            </w:r>
          </w:p>
        </w:tc>
      </w:tr>
      <w:tr>
        <w:trPr>
          <w:trHeight w:val="2452" w:hRule="atLeast"/>
        </w:trPr>
        <w:tc>
          <w:tcPr>
            <w:tcW w:w="2353" w:type="dxa"/>
          </w:tcPr>
          <w:p>
            <w:pPr>
              <w:pStyle w:val="TableParagraph"/>
              <w:spacing w:before="31"/>
              <w:ind w:left="79"/>
              <w:rPr>
                <w:sz w:val="18"/>
              </w:rPr>
            </w:pPr>
            <w:r>
              <w:rPr>
                <w:spacing w:val="-2"/>
                <w:sz w:val="18"/>
              </w:rPr>
              <w:t>Беженец</w:t>
            </w:r>
          </w:p>
        </w:tc>
        <w:tc>
          <w:tcPr>
            <w:tcW w:w="4893" w:type="dxa"/>
          </w:tcPr>
          <w:p>
            <w:pPr>
              <w:pStyle w:val="TableParagraph"/>
              <w:spacing w:line="230" w:lineRule="auto" w:before="38"/>
              <w:ind w:left="80" w:right="66"/>
              <w:jc w:val="both"/>
              <w:rPr>
                <w:sz w:val="18"/>
              </w:rPr>
            </w:pPr>
            <w:r>
              <w:rPr>
                <w:color w:val="231F20"/>
                <w:sz w:val="18"/>
              </w:rPr>
              <w:t>Лицо,</w:t>
            </w:r>
            <w:r>
              <w:rPr>
                <w:color w:val="231F20"/>
                <w:spacing w:val="-4"/>
                <w:sz w:val="18"/>
              </w:rPr>
              <w:t> </w:t>
            </w:r>
            <w:r>
              <w:rPr>
                <w:color w:val="231F20"/>
                <w:sz w:val="18"/>
              </w:rPr>
              <w:t>которое</w:t>
            </w:r>
            <w:r>
              <w:rPr>
                <w:color w:val="231F20"/>
                <w:spacing w:val="-4"/>
                <w:sz w:val="18"/>
              </w:rPr>
              <w:t> </w:t>
            </w:r>
            <w:r>
              <w:rPr>
                <w:color w:val="231F20"/>
                <w:sz w:val="18"/>
              </w:rPr>
              <w:t>не</w:t>
            </w:r>
            <w:r>
              <w:rPr>
                <w:color w:val="231F20"/>
                <w:spacing w:val="-4"/>
                <w:sz w:val="18"/>
              </w:rPr>
              <w:t> </w:t>
            </w:r>
            <w:r>
              <w:rPr>
                <w:color w:val="231F20"/>
                <w:sz w:val="18"/>
              </w:rPr>
              <w:t>является</w:t>
            </w:r>
            <w:r>
              <w:rPr>
                <w:color w:val="231F20"/>
                <w:spacing w:val="-4"/>
                <w:sz w:val="18"/>
              </w:rPr>
              <w:t> </w:t>
            </w:r>
            <w:r>
              <w:rPr>
                <w:color w:val="231F20"/>
                <w:sz w:val="18"/>
              </w:rPr>
              <w:t>гражданином</w:t>
            </w:r>
            <w:r>
              <w:rPr>
                <w:color w:val="231F20"/>
                <w:spacing w:val="-4"/>
                <w:sz w:val="18"/>
              </w:rPr>
              <w:t> </w:t>
            </w:r>
            <w:r>
              <w:rPr>
                <w:color w:val="231F20"/>
                <w:sz w:val="18"/>
              </w:rPr>
              <w:t>Российской</w:t>
            </w:r>
            <w:r>
              <w:rPr>
                <w:color w:val="231F20"/>
                <w:spacing w:val="-4"/>
                <w:sz w:val="18"/>
              </w:rPr>
              <w:t> </w:t>
            </w:r>
            <w:r>
              <w:rPr>
                <w:color w:val="231F20"/>
                <w:sz w:val="18"/>
              </w:rPr>
              <w:t>Федера- ции и которое в силу вполне обоснованных опасений стать жертвой преследований по признаку расы, вероисповедания, гражданства, национальности, принадлежности к опреде- 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w:t>
            </w:r>
            <w:r>
              <w:rPr>
                <w:color w:val="231F20"/>
                <w:spacing w:val="-6"/>
                <w:sz w:val="18"/>
              </w:rPr>
              <w:t> </w:t>
            </w:r>
            <w:r>
              <w:rPr>
                <w:color w:val="231F20"/>
                <w:sz w:val="18"/>
              </w:rPr>
              <w:t>такой</w:t>
            </w:r>
            <w:r>
              <w:rPr>
                <w:color w:val="231F20"/>
                <w:spacing w:val="-6"/>
                <w:sz w:val="18"/>
              </w:rPr>
              <w:t> </w:t>
            </w:r>
            <w:r>
              <w:rPr>
                <w:color w:val="231F20"/>
                <w:sz w:val="18"/>
              </w:rPr>
              <w:t>защитой</w:t>
            </w:r>
            <w:r>
              <w:rPr>
                <w:color w:val="231F20"/>
                <w:spacing w:val="-6"/>
                <w:sz w:val="18"/>
              </w:rPr>
              <w:t> </w:t>
            </w:r>
            <w:r>
              <w:rPr>
                <w:color w:val="231F20"/>
                <w:sz w:val="18"/>
              </w:rPr>
              <w:t>вследствие</w:t>
            </w:r>
            <w:r>
              <w:rPr>
                <w:color w:val="231F20"/>
                <w:spacing w:val="-6"/>
                <w:sz w:val="18"/>
              </w:rPr>
              <w:t> </w:t>
            </w:r>
            <w:r>
              <w:rPr>
                <w:color w:val="231F20"/>
                <w:sz w:val="18"/>
              </w:rPr>
              <w:t>таких</w:t>
            </w:r>
            <w:r>
              <w:rPr>
                <w:color w:val="231F20"/>
                <w:spacing w:val="-6"/>
                <w:sz w:val="18"/>
              </w:rPr>
              <w:t> </w:t>
            </w:r>
            <w:r>
              <w:rPr>
                <w:color w:val="231F20"/>
                <w:sz w:val="18"/>
              </w:rPr>
              <w:t>опасений;</w:t>
            </w:r>
            <w:r>
              <w:rPr>
                <w:color w:val="231F20"/>
                <w:spacing w:val="-6"/>
                <w:sz w:val="18"/>
              </w:rPr>
              <w:t> </w:t>
            </w:r>
            <w:r>
              <w:rPr>
                <w:color w:val="231F20"/>
                <w:sz w:val="18"/>
              </w:rPr>
              <w:t>или, не имея определенного гражданства и находясь вне страны своего прежнего обычного местожительства в результате подобных событий, не может или не желает вернуться в нее вследствие</w:t>
            </w:r>
            <w:r>
              <w:rPr>
                <w:color w:val="231F20"/>
                <w:spacing w:val="-4"/>
                <w:sz w:val="18"/>
              </w:rPr>
              <w:t> </w:t>
            </w:r>
            <w:r>
              <w:rPr>
                <w:color w:val="231F20"/>
                <w:sz w:val="18"/>
              </w:rPr>
              <w:t>таких</w:t>
            </w:r>
            <w:r>
              <w:rPr>
                <w:color w:val="231F20"/>
                <w:spacing w:val="-2"/>
                <w:sz w:val="18"/>
              </w:rPr>
              <w:t> </w:t>
            </w:r>
            <w:r>
              <w:rPr>
                <w:color w:val="231F20"/>
                <w:sz w:val="18"/>
              </w:rPr>
              <w:t>опасений</w:t>
            </w:r>
            <w:r>
              <w:rPr>
                <w:color w:val="231F20"/>
                <w:spacing w:val="-3"/>
                <w:sz w:val="18"/>
              </w:rPr>
              <w:t> </w:t>
            </w:r>
            <w:r>
              <w:rPr>
                <w:color w:val="231F20"/>
                <w:sz w:val="18"/>
              </w:rPr>
              <w:t>(ФЗ</w:t>
            </w:r>
            <w:r>
              <w:rPr>
                <w:color w:val="231F20"/>
                <w:spacing w:val="-2"/>
                <w:sz w:val="18"/>
              </w:rPr>
              <w:t> </w:t>
            </w:r>
            <w:r>
              <w:rPr>
                <w:color w:val="231F20"/>
                <w:sz w:val="18"/>
              </w:rPr>
              <w:t>РФ</w:t>
            </w:r>
            <w:r>
              <w:rPr>
                <w:color w:val="231F20"/>
                <w:spacing w:val="-2"/>
                <w:sz w:val="18"/>
              </w:rPr>
              <w:t> </w:t>
            </w:r>
            <w:r>
              <w:rPr>
                <w:color w:val="231F20"/>
                <w:sz w:val="18"/>
              </w:rPr>
              <w:t>«О</w:t>
            </w:r>
            <w:r>
              <w:rPr>
                <w:color w:val="231F20"/>
                <w:spacing w:val="-3"/>
                <w:sz w:val="18"/>
              </w:rPr>
              <w:t> </w:t>
            </w:r>
            <w:r>
              <w:rPr>
                <w:color w:val="231F20"/>
                <w:sz w:val="18"/>
              </w:rPr>
              <w:t>беженцах»</w:t>
            </w:r>
            <w:r>
              <w:rPr>
                <w:color w:val="231F20"/>
                <w:spacing w:val="-2"/>
                <w:sz w:val="18"/>
              </w:rPr>
              <w:t> </w:t>
            </w:r>
            <w:r>
              <w:rPr>
                <w:color w:val="231F20"/>
                <w:sz w:val="18"/>
              </w:rPr>
              <w:t>№</w:t>
            </w:r>
            <w:r>
              <w:rPr>
                <w:color w:val="231F20"/>
                <w:spacing w:val="-2"/>
                <w:sz w:val="18"/>
              </w:rPr>
              <w:t> </w:t>
            </w:r>
            <w:r>
              <w:rPr>
                <w:color w:val="231F20"/>
                <w:sz w:val="18"/>
              </w:rPr>
              <w:t>4528-</w:t>
            </w:r>
            <w:r>
              <w:rPr>
                <w:color w:val="231F20"/>
                <w:spacing w:val="-5"/>
                <w:sz w:val="18"/>
              </w:rPr>
              <w:t>1).</w:t>
            </w:r>
          </w:p>
        </w:tc>
      </w:tr>
      <w:tr>
        <w:trPr>
          <w:trHeight w:val="868" w:hRule="atLeast"/>
        </w:trPr>
        <w:tc>
          <w:tcPr>
            <w:tcW w:w="2353" w:type="dxa"/>
          </w:tcPr>
          <w:p>
            <w:pPr>
              <w:pStyle w:val="TableParagraph"/>
              <w:spacing w:before="31"/>
              <w:ind w:left="79"/>
              <w:rPr>
                <w:sz w:val="18"/>
              </w:rPr>
            </w:pPr>
            <w:r>
              <w:rPr>
                <w:color w:val="231F20"/>
                <w:spacing w:val="-2"/>
                <w:sz w:val="18"/>
              </w:rPr>
              <w:t>Гражданская</w:t>
            </w:r>
            <w:r>
              <w:rPr>
                <w:color w:val="231F20"/>
                <w:spacing w:val="7"/>
                <w:sz w:val="18"/>
              </w:rPr>
              <w:t> </w:t>
            </w:r>
            <w:r>
              <w:rPr>
                <w:color w:val="231F20"/>
                <w:spacing w:val="-2"/>
                <w:sz w:val="18"/>
              </w:rPr>
              <w:t>идентичность</w:t>
            </w:r>
          </w:p>
        </w:tc>
        <w:tc>
          <w:tcPr>
            <w:tcW w:w="4893" w:type="dxa"/>
          </w:tcPr>
          <w:p>
            <w:pPr>
              <w:pStyle w:val="TableParagraph"/>
              <w:spacing w:line="230" w:lineRule="auto" w:before="38"/>
              <w:ind w:left="80" w:right="66"/>
              <w:jc w:val="both"/>
              <w:rPr>
                <w:sz w:val="18"/>
              </w:rPr>
            </w:pPr>
            <w:r>
              <w:rPr>
                <w:color w:val="231F20"/>
                <w:sz w:val="18"/>
              </w:rPr>
              <w:t>Самоотнесение человека к общности граждан государства, корректное представление об этом сообществе, понимание его</w:t>
            </w:r>
            <w:r>
              <w:rPr>
                <w:color w:val="231F20"/>
                <w:spacing w:val="-11"/>
                <w:sz w:val="18"/>
              </w:rPr>
              <w:t> </w:t>
            </w:r>
            <w:r>
              <w:rPr>
                <w:color w:val="231F20"/>
                <w:sz w:val="18"/>
              </w:rPr>
              <w:t>границ</w:t>
            </w:r>
            <w:r>
              <w:rPr>
                <w:color w:val="231F20"/>
                <w:spacing w:val="-11"/>
                <w:sz w:val="18"/>
              </w:rPr>
              <w:t> </w:t>
            </w:r>
            <w:r>
              <w:rPr>
                <w:color w:val="231F20"/>
                <w:sz w:val="18"/>
              </w:rPr>
              <w:t>с</w:t>
            </w:r>
            <w:r>
              <w:rPr>
                <w:color w:val="231F20"/>
                <w:spacing w:val="-11"/>
                <w:sz w:val="18"/>
              </w:rPr>
              <w:t> </w:t>
            </w:r>
            <w:r>
              <w:rPr>
                <w:color w:val="231F20"/>
                <w:sz w:val="18"/>
              </w:rPr>
              <w:t>сопутствующей</w:t>
            </w:r>
            <w:r>
              <w:rPr>
                <w:color w:val="231F20"/>
                <w:spacing w:val="-11"/>
                <w:sz w:val="18"/>
              </w:rPr>
              <w:t> </w:t>
            </w:r>
            <w:r>
              <w:rPr>
                <w:color w:val="231F20"/>
                <w:sz w:val="18"/>
              </w:rPr>
              <w:t>эмоциональной</w:t>
            </w:r>
            <w:r>
              <w:rPr>
                <w:color w:val="231F20"/>
                <w:spacing w:val="-11"/>
                <w:sz w:val="18"/>
              </w:rPr>
              <w:t> </w:t>
            </w:r>
            <w:r>
              <w:rPr>
                <w:color w:val="231F20"/>
                <w:sz w:val="18"/>
              </w:rPr>
              <w:t>вовлеченностью и привязкой (Дробижева Л.А.).</w:t>
            </w:r>
          </w:p>
        </w:tc>
      </w:tr>
      <w:tr>
        <w:trPr>
          <w:trHeight w:val="1462" w:hRule="atLeast"/>
        </w:trPr>
        <w:tc>
          <w:tcPr>
            <w:tcW w:w="2353" w:type="dxa"/>
          </w:tcPr>
          <w:p>
            <w:pPr>
              <w:pStyle w:val="TableParagraph"/>
              <w:spacing w:before="31"/>
              <w:ind w:left="79"/>
              <w:rPr>
                <w:sz w:val="18"/>
              </w:rPr>
            </w:pPr>
            <w:r>
              <w:rPr>
                <w:color w:val="121619"/>
                <w:sz w:val="18"/>
              </w:rPr>
              <w:t>Временная </w:t>
            </w:r>
            <w:r>
              <w:rPr>
                <w:color w:val="121619"/>
                <w:spacing w:val="-2"/>
                <w:sz w:val="18"/>
              </w:rPr>
              <w:t>миграция</w:t>
            </w:r>
          </w:p>
        </w:tc>
        <w:tc>
          <w:tcPr>
            <w:tcW w:w="4893" w:type="dxa"/>
          </w:tcPr>
          <w:p>
            <w:pPr>
              <w:pStyle w:val="TableParagraph"/>
              <w:spacing w:line="230" w:lineRule="auto" w:before="38"/>
              <w:ind w:left="80" w:right="67"/>
              <w:jc w:val="both"/>
              <w:rPr>
                <w:sz w:val="18"/>
              </w:rPr>
            </w:pPr>
            <w:r>
              <w:rPr>
                <w:color w:val="121619"/>
                <w:sz w:val="18"/>
              </w:rPr>
              <w:t>Международная</w:t>
            </w:r>
            <w:r>
              <w:rPr>
                <w:color w:val="121619"/>
                <w:spacing w:val="-4"/>
                <w:sz w:val="18"/>
              </w:rPr>
              <w:t> </w:t>
            </w:r>
            <w:r>
              <w:rPr>
                <w:color w:val="121619"/>
                <w:sz w:val="18"/>
              </w:rPr>
              <w:t>или</w:t>
            </w:r>
            <w:r>
              <w:rPr>
                <w:color w:val="121619"/>
                <w:spacing w:val="-4"/>
                <w:sz w:val="18"/>
              </w:rPr>
              <w:t> </w:t>
            </w:r>
            <w:r>
              <w:rPr>
                <w:color w:val="121619"/>
                <w:sz w:val="18"/>
              </w:rPr>
              <w:t>внутренняя</w:t>
            </w:r>
            <w:r>
              <w:rPr>
                <w:color w:val="121619"/>
                <w:spacing w:val="-4"/>
                <w:sz w:val="18"/>
              </w:rPr>
              <w:t> </w:t>
            </w:r>
            <w:r>
              <w:rPr>
                <w:color w:val="121619"/>
                <w:sz w:val="18"/>
              </w:rPr>
              <w:t>миграция,</w:t>
            </w:r>
            <w:r>
              <w:rPr>
                <w:color w:val="121619"/>
                <w:spacing w:val="-4"/>
                <w:sz w:val="18"/>
              </w:rPr>
              <w:t> </w:t>
            </w:r>
            <w:r>
              <w:rPr>
                <w:color w:val="121619"/>
                <w:sz w:val="18"/>
              </w:rPr>
              <w:t>которая</w:t>
            </w:r>
            <w:r>
              <w:rPr>
                <w:color w:val="121619"/>
                <w:spacing w:val="-4"/>
                <w:sz w:val="18"/>
              </w:rPr>
              <w:t> </w:t>
            </w:r>
            <w:r>
              <w:rPr>
                <w:color w:val="121619"/>
                <w:sz w:val="18"/>
              </w:rPr>
              <w:t>соверша- ется</w:t>
            </w:r>
            <w:r>
              <w:rPr>
                <w:color w:val="121619"/>
                <w:spacing w:val="-12"/>
                <w:sz w:val="18"/>
              </w:rPr>
              <w:t> </w:t>
            </w:r>
            <w:r>
              <w:rPr>
                <w:color w:val="121619"/>
                <w:sz w:val="18"/>
              </w:rPr>
              <w:t>на</w:t>
            </w:r>
            <w:r>
              <w:rPr>
                <w:color w:val="121619"/>
                <w:spacing w:val="-11"/>
                <w:sz w:val="18"/>
              </w:rPr>
              <w:t> </w:t>
            </w:r>
            <w:r>
              <w:rPr>
                <w:color w:val="121619"/>
                <w:sz w:val="18"/>
              </w:rPr>
              <w:t>определенный</w:t>
            </w:r>
            <w:r>
              <w:rPr>
                <w:color w:val="121619"/>
                <w:spacing w:val="-11"/>
                <w:sz w:val="18"/>
              </w:rPr>
              <w:t> </w:t>
            </w:r>
            <w:r>
              <w:rPr>
                <w:color w:val="121619"/>
                <w:sz w:val="18"/>
              </w:rPr>
              <w:t>период</w:t>
            </w:r>
            <w:r>
              <w:rPr>
                <w:color w:val="121619"/>
                <w:spacing w:val="-11"/>
                <w:sz w:val="18"/>
              </w:rPr>
              <w:t> </w:t>
            </w:r>
            <w:r>
              <w:rPr>
                <w:color w:val="121619"/>
                <w:sz w:val="18"/>
              </w:rPr>
              <w:t>времени</w:t>
            </w:r>
            <w:r>
              <w:rPr>
                <w:color w:val="121619"/>
                <w:spacing w:val="-12"/>
                <w:sz w:val="18"/>
              </w:rPr>
              <w:t> </w:t>
            </w:r>
            <w:r>
              <w:rPr>
                <w:color w:val="121619"/>
                <w:sz w:val="18"/>
              </w:rPr>
              <w:t>без</w:t>
            </w:r>
            <w:r>
              <w:rPr>
                <w:color w:val="121619"/>
                <w:spacing w:val="-11"/>
                <w:sz w:val="18"/>
              </w:rPr>
              <w:t> </w:t>
            </w:r>
            <w:r>
              <w:rPr>
                <w:color w:val="121619"/>
                <w:sz w:val="18"/>
              </w:rPr>
              <w:t>перемены</w:t>
            </w:r>
            <w:r>
              <w:rPr>
                <w:color w:val="121619"/>
                <w:spacing w:val="-11"/>
                <w:sz w:val="18"/>
              </w:rPr>
              <w:t> </w:t>
            </w:r>
            <w:r>
              <w:rPr>
                <w:color w:val="121619"/>
                <w:sz w:val="18"/>
              </w:rPr>
              <w:t>постоян- ного</w:t>
            </w:r>
            <w:r>
              <w:rPr>
                <w:color w:val="121619"/>
                <w:spacing w:val="-4"/>
                <w:sz w:val="18"/>
              </w:rPr>
              <w:t> </w:t>
            </w:r>
            <w:r>
              <w:rPr>
                <w:color w:val="121619"/>
                <w:sz w:val="18"/>
              </w:rPr>
              <w:t>места</w:t>
            </w:r>
            <w:r>
              <w:rPr>
                <w:color w:val="121619"/>
                <w:spacing w:val="-4"/>
                <w:sz w:val="18"/>
              </w:rPr>
              <w:t> </w:t>
            </w:r>
            <w:r>
              <w:rPr>
                <w:color w:val="121619"/>
                <w:sz w:val="18"/>
              </w:rPr>
              <w:t>жительства.</w:t>
            </w:r>
            <w:r>
              <w:rPr>
                <w:color w:val="121619"/>
                <w:spacing w:val="-4"/>
                <w:sz w:val="18"/>
              </w:rPr>
              <w:t> </w:t>
            </w:r>
            <w:r>
              <w:rPr>
                <w:color w:val="121619"/>
                <w:sz w:val="18"/>
              </w:rPr>
              <w:t>Временная</w:t>
            </w:r>
            <w:r>
              <w:rPr>
                <w:color w:val="121619"/>
                <w:spacing w:val="-4"/>
                <w:sz w:val="18"/>
              </w:rPr>
              <w:t> </w:t>
            </w:r>
            <w:r>
              <w:rPr>
                <w:color w:val="121619"/>
                <w:sz w:val="18"/>
              </w:rPr>
              <w:t>миграция</w:t>
            </w:r>
            <w:r>
              <w:rPr>
                <w:color w:val="121619"/>
                <w:spacing w:val="-4"/>
                <w:sz w:val="18"/>
              </w:rPr>
              <w:t> </w:t>
            </w:r>
            <w:r>
              <w:rPr>
                <w:color w:val="121619"/>
                <w:sz w:val="18"/>
              </w:rPr>
              <w:t>осуществляется с</w:t>
            </w:r>
            <w:r>
              <w:rPr>
                <w:color w:val="121619"/>
                <w:spacing w:val="-10"/>
                <w:sz w:val="18"/>
              </w:rPr>
              <w:t> </w:t>
            </w:r>
            <w:r>
              <w:rPr>
                <w:color w:val="121619"/>
                <w:sz w:val="18"/>
              </w:rPr>
              <w:t>целью</w:t>
            </w:r>
            <w:r>
              <w:rPr>
                <w:color w:val="121619"/>
                <w:spacing w:val="-10"/>
                <w:sz w:val="18"/>
              </w:rPr>
              <w:t> </w:t>
            </w:r>
            <w:r>
              <w:rPr>
                <w:color w:val="121619"/>
                <w:sz w:val="18"/>
              </w:rPr>
              <w:t>работы</w:t>
            </w:r>
            <w:r>
              <w:rPr>
                <w:color w:val="121619"/>
                <w:spacing w:val="-10"/>
                <w:sz w:val="18"/>
              </w:rPr>
              <w:t> </w:t>
            </w:r>
            <w:r>
              <w:rPr>
                <w:color w:val="121619"/>
                <w:sz w:val="18"/>
              </w:rPr>
              <w:t>(временная</w:t>
            </w:r>
            <w:r>
              <w:rPr>
                <w:color w:val="121619"/>
                <w:spacing w:val="-10"/>
                <w:sz w:val="18"/>
              </w:rPr>
              <w:t> </w:t>
            </w:r>
            <w:r>
              <w:rPr>
                <w:color w:val="121619"/>
                <w:sz w:val="18"/>
              </w:rPr>
              <w:t>трудовая</w:t>
            </w:r>
            <w:r>
              <w:rPr>
                <w:color w:val="121619"/>
                <w:spacing w:val="-10"/>
                <w:sz w:val="18"/>
              </w:rPr>
              <w:t> </w:t>
            </w:r>
            <w:r>
              <w:rPr>
                <w:color w:val="121619"/>
                <w:sz w:val="18"/>
              </w:rPr>
              <w:t>миграция),</w:t>
            </w:r>
            <w:r>
              <w:rPr>
                <w:color w:val="121619"/>
                <w:spacing w:val="-10"/>
                <w:sz w:val="18"/>
              </w:rPr>
              <w:t> </w:t>
            </w:r>
            <w:r>
              <w:rPr>
                <w:color w:val="121619"/>
                <w:sz w:val="18"/>
              </w:rPr>
              <w:t>учебы</w:t>
            </w:r>
            <w:r>
              <w:rPr>
                <w:color w:val="121619"/>
                <w:spacing w:val="-10"/>
                <w:sz w:val="18"/>
              </w:rPr>
              <w:t> </w:t>
            </w:r>
            <w:r>
              <w:rPr>
                <w:color w:val="121619"/>
                <w:sz w:val="18"/>
              </w:rPr>
              <w:t>(обра- </w:t>
            </w:r>
            <w:r>
              <w:rPr>
                <w:color w:val="121619"/>
                <w:spacing w:val="-2"/>
                <w:sz w:val="18"/>
              </w:rPr>
              <w:t>зовательная</w:t>
            </w:r>
            <w:r>
              <w:rPr>
                <w:color w:val="121619"/>
                <w:spacing w:val="-4"/>
                <w:sz w:val="18"/>
              </w:rPr>
              <w:t> </w:t>
            </w:r>
            <w:r>
              <w:rPr>
                <w:color w:val="121619"/>
                <w:spacing w:val="-2"/>
                <w:sz w:val="18"/>
              </w:rPr>
              <w:t>миграция)</w:t>
            </w:r>
            <w:r>
              <w:rPr>
                <w:color w:val="121619"/>
                <w:spacing w:val="-4"/>
                <w:sz w:val="18"/>
              </w:rPr>
              <w:t> </w:t>
            </w:r>
            <w:r>
              <w:rPr>
                <w:color w:val="121619"/>
                <w:spacing w:val="-2"/>
                <w:sz w:val="18"/>
              </w:rPr>
              <w:t>и</w:t>
            </w:r>
            <w:r>
              <w:rPr>
                <w:color w:val="121619"/>
                <w:spacing w:val="-4"/>
                <w:sz w:val="18"/>
              </w:rPr>
              <w:t> </w:t>
            </w:r>
            <w:r>
              <w:rPr>
                <w:color w:val="121619"/>
                <w:spacing w:val="-2"/>
                <w:sz w:val="18"/>
              </w:rPr>
              <w:t>тому</w:t>
            </w:r>
            <w:r>
              <w:rPr>
                <w:color w:val="121619"/>
                <w:spacing w:val="-4"/>
                <w:sz w:val="18"/>
              </w:rPr>
              <w:t> </w:t>
            </w:r>
            <w:r>
              <w:rPr>
                <w:color w:val="121619"/>
                <w:spacing w:val="-2"/>
                <w:sz w:val="18"/>
              </w:rPr>
              <w:t>подобного</w:t>
            </w:r>
            <w:r>
              <w:rPr>
                <w:color w:val="121619"/>
                <w:spacing w:val="-4"/>
                <w:sz w:val="18"/>
              </w:rPr>
              <w:t> </w:t>
            </w:r>
            <w:r>
              <w:rPr>
                <w:color w:val="121619"/>
                <w:spacing w:val="-2"/>
                <w:sz w:val="18"/>
              </w:rPr>
              <w:t>(</w:t>
            </w:r>
            <w:r>
              <w:rPr>
                <w:color w:val="231F20"/>
                <w:spacing w:val="-2"/>
                <w:sz w:val="18"/>
              </w:rPr>
              <w:t>концепция</w:t>
            </w:r>
            <w:r>
              <w:rPr>
                <w:color w:val="231F20"/>
                <w:spacing w:val="-4"/>
                <w:sz w:val="18"/>
              </w:rPr>
              <w:t> </w:t>
            </w:r>
            <w:r>
              <w:rPr>
                <w:color w:val="231F20"/>
                <w:spacing w:val="-2"/>
                <w:sz w:val="18"/>
              </w:rPr>
              <w:t>Государ- </w:t>
            </w:r>
            <w:r>
              <w:rPr>
                <w:color w:val="231F20"/>
                <w:sz w:val="18"/>
              </w:rPr>
              <w:t>ственной</w:t>
            </w:r>
            <w:r>
              <w:rPr>
                <w:color w:val="231F20"/>
                <w:spacing w:val="-1"/>
                <w:sz w:val="18"/>
              </w:rPr>
              <w:t> </w:t>
            </w:r>
            <w:r>
              <w:rPr>
                <w:color w:val="231F20"/>
                <w:sz w:val="18"/>
              </w:rPr>
              <w:t>миграционной</w:t>
            </w:r>
            <w:r>
              <w:rPr>
                <w:color w:val="231F20"/>
                <w:spacing w:val="-1"/>
                <w:sz w:val="18"/>
              </w:rPr>
              <w:t> </w:t>
            </w:r>
            <w:r>
              <w:rPr>
                <w:color w:val="231F20"/>
                <w:sz w:val="18"/>
              </w:rPr>
              <w:t>политики</w:t>
            </w:r>
            <w:r>
              <w:rPr>
                <w:color w:val="231F20"/>
                <w:spacing w:val="-1"/>
                <w:sz w:val="18"/>
              </w:rPr>
              <w:t> </w:t>
            </w:r>
            <w:r>
              <w:rPr>
                <w:color w:val="231F20"/>
                <w:sz w:val="18"/>
              </w:rPr>
              <w:t>Российской</w:t>
            </w:r>
            <w:r>
              <w:rPr>
                <w:color w:val="231F20"/>
                <w:spacing w:val="-1"/>
                <w:sz w:val="18"/>
              </w:rPr>
              <w:t> </w:t>
            </w:r>
            <w:r>
              <w:rPr>
                <w:color w:val="231F20"/>
                <w:sz w:val="18"/>
              </w:rPr>
              <w:t>Федерации</w:t>
            </w:r>
            <w:r>
              <w:rPr>
                <w:color w:val="231F20"/>
                <w:spacing w:val="-1"/>
                <w:sz w:val="18"/>
              </w:rPr>
              <w:t> </w:t>
            </w:r>
            <w:r>
              <w:rPr>
                <w:color w:val="231F20"/>
                <w:sz w:val="18"/>
              </w:rPr>
              <w:t>на период до 2025 года).</w:t>
            </w:r>
          </w:p>
        </w:tc>
      </w:tr>
      <w:tr>
        <w:trPr>
          <w:trHeight w:val="2254" w:hRule="atLeast"/>
        </w:trPr>
        <w:tc>
          <w:tcPr>
            <w:tcW w:w="2353" w:type="dxa"/>
          </w:tcPr>
          <w:p>
            <w:pPr>
              <w:pStyle w:val="TableParagraph"/>
              <w:spacing w:before="31"/>
              <w:ind w:left="79"/>
              <w:rPr>
                <w:sz w:val="18"/>
              </w:rPr>
            </w:pPr>
            <w:r>
              <w:rPr>
                <w:sz w:val="18"/>
              </w:rPr>
              <w:t>Вынужденный</w:t>
            </w:r>
            <w:r>
              <w:rPr>
                <w:spacing w:val="-10"/>
                <w:sz w:val="18"/>
              </w:rPr>
              <w:t> </w:t>
            </w:r>
            <w:r>
              <w:rPr>
                <w:spacing w:val="-2"/>
                <w:sz w:val="18"/>
              </w:rPr>
              <w:t>переселенец</w:t>
            </w:r>
          </w:p>
        </w:tc>
        <w:tc>
          <w:tcPr>
            <w:tcW w:w="4893" w:type="dxa"/>
          </w:tcPr>
          <w:p>
            <w:pPr>
              <w:pStyle w:val="TableParagraph"/>
              <w:spacing w:line="230" w:lineRule="auto" w:before="38"/>
              <w:ind w:left="80" w:right="67"/>
              <w:jc w:val="both"/>
              <w:rPr>
                <w:sz w:val="18"/>
              </w:rPr>
            </w:pPr>
            <w:r>
              <w:rPr>
                <w:color w:val="231F20"/>
                <w:sz w:val="18"/>
              </w:rPr>
              <w:t>Гражданин Российской Федерации, покинувший место жи- тельства вследствие совершенного в отношении его или членов его семьи насилия или преследования в иных фор- мах либо вследствие реальной опасности подвергнуться преследованию по признаку расовой или национальной при- надлежности, вероисповедания, языка, а также по признаку принадлежности к определенной социальной группе или по- литических убеждений, ставших поводами для проведения враждебных кампаний в отношении конкретного лица или группы лиц, массовых нарушений общественного порядка (ФЗ РФ N 4530-I «О вынужденных переселенцах»).</w:t>
            </w:r>
          </w:p>
        </w:tc>
      </w:tr>
      <w:tr>
        <w:trPr>
          <w:trHeight w:val="2056" w:hRule="atLeast"/>
        </w:trPr>
        <w:tc>
          <w:tcPr>
            <w:tcW w:w="2353" w:type="dxa"/>
          </w:tcPr>
          <w:p>
            <w:pPr>
              <w:pStyle w:val="TableParagraph"/>
              <w:spacing w:before="31"/>
              <w:ind w:left="79"/>
              <w:rPr>
                <w:sz w:val="18"/>
              </w:rPr>
            </w:pPr>
            <w:r>
              <w:rPr>
                <w:spacing w:val="-2"/>
                <w:sz w:val="18"/>
              </w:rPr>
              <w:t>Дискриминация</w:t>
            </w:r>
          </w:p>
        </w:tc>
        <w:tc>
          <w:tcPr>
            <w:tcW w:w="4893" w:type="dxa"/>
          </w:tcPr>
          <w:p>
            <w:pPr>
              <w:pStyle w:val="TableParagraph"/>
              <w:spacing w:line="230" w:lineRule="auto" w:before="38"/>
              <w:ind w:left="80" w:right="66"/>
              <w:jc w:val="both"/>
              <w:rPr>
                <w:sz w:val="18"/>
              </w:rPr>
            </w:pPr>
            <w:r>
              <w:rPr>
                <w:spacing w:val="-2"/>
                <w:sz w:val="18"/>
              </w:rPr>
              <w:t>Всякое различие, исключение, ограничение или предпочтение </w:t>
            </w:r>
            <w:r>
              <w:rPr>
                <w:sz w:val="18"/>
              </w:rPr>
              <w:t>по признаку расы, цвета кожи, пола, языка, религии, полити- ческих</w:t>
            </w:r>
            <w:r>
              <w:rPr>
                <w:spacing w:val="-12"/>
                <w:sz w:val="18"/>
              </w:rPr>
              <w:t> </w:t>
            </w:r>
            <w:r>
              <w:rPr>
                <w:sz w:val="18"/>
              </w:rPr>
              <w:t>или</w:t>
            </w:r>
            <w:r>
              <w:rPr>
                <w:spacing w:val="-11"/>
                <w:sz w:val="18"/>
              </w:rPr>
              <w:t> </w:t>
            </w:r>
            <w:r>
              <w:rPr>
                <w:sz w:val="18"/>
              </w:rPr>
              <w:t>иных</w:t>
            </w:r>
            <w:r>
              <w:rPr>
                <w:spacing w:val="-11"/>
                <w:sz w:val="18"/>
              </w:rPr>
              <w:t> </w:t>
            </w:r>
            <w:r>
              <w:rPr>
                <w:sz w:val="18"/>
              </w:rPr>
              <w:t>убеждений,</w:t>
            </w:r>
            <w:r>
              <w:rPr>
                <w:spacing w:val="-11"/>
                <w:sz w:val="18"/>
              </w:rPr>
              <w:t> </w:t>
            </w:r>
            <w:r>
              <w:rPr>
                <w:sz w:val="18"/>
              </w:rPr>
              <w:t>национального</w:t>
            </w:r>
            <w:r>
              <w:rPr>
                <w:spacing w:val="-12"/>
                <w:sz w:val="18"/>
              </w:rPr>
              <w:t> </w:t>
            </w:r>
            <w:r>
              <w:rPr>
                <w:sz w:val="18"/>
              </w:rPr>
              <w:t>или</w:t>
            </w:r>
            <w:r>
              <w:rPr>
                <w:spacing w:val="-11"/>
                <w:sz w:val="18"/>
              </w:rPr>
              <w:t> </w:t>
            </w:r>
            <w:r>
              <w:rPr>
                <w:sz w:val="18"/>
              </w:rPr>
              <w:t>социального </w:t>
            </w:r>
            <w:r>
              <w:rPr>
                <w:spacing w:val="-4"/>
                <w:sz w:val="18"/>
              </w:rPr>
              <w:t>происхождения, экономического положения или рождения, ко- </w:t>
            </w:r>
            <w:r>
              <w:rPr>
                <w:sz w:val="18"/>
              </w:rPr>
              <w:t>торое</w:t>
            </w:r>
            <w:r>
              <w:rPr>
                <w:spacing w:val="-11"/>
                <w:sz w:val="18"/>
              </w:rPr>
              <w:t> </w:t>
            </w:r>
            <w:r>
              <w:rPr>
                <w:sz w:val="18"/>
              </w:rPr>
              <w:t>имеет</w:t>
            </w:r>
            <w:r>
              <w:rPr>
                <w:spacing w:val="-11"/>
                <w:sz w:val="18"/>
              </w:rPr>
              <w:t> </w:t>
            </w:r>
            <w:r>
              <w:rPr>
                <w:sz w:val="18"/>
              </w:rPr>
              <w:t>целью</w:t>
            </w:r>
            <w:r>
              <w:rPr>
                <w:spacing w:val="-11"/>
                <w:sz w:val="18"/>
              </w:rPr>
              <w:t> </w:t>
            </w:r>
            <w:r>
              <w:rPr>
                <w:sz w:val="18"/>
              </w:rPr>
              <w:t>или</w:t>
            </w:r>
            <w:r>
              <w:rPr>
                <w:spacing w:val="-11"/>
                <w:sz w:val="18"/>
              </w:rPr>
              <w:t> </w:t>
            </w:r>
            <w:r>
              <w:rPr>
                <w:sz w:val="18"/>
              </w:rPr>
              <w:t>следствием</w:t>
            </w:r>
            <w:r>
              <w:rPr>
                <w:spacing w:val="-11"/>
                <w:sz w:val="18"/>
              </w:rPr>
              <w:t> </w:t>
            </w:r>
            <w:r>
              <w:rPr>
                <w:sz w:val="18"/>
              </w:rPr>
              <w:t>уничтожение</w:t>
            </w:r>
            <w:r>
              <w:rPr>
                <w:spacing w:val="-11"/>
                <w:sz w:val="18"/>
              </w:rPr>
              <w:t> </w:t>
            </w:r>
            <w:r>
              <w:rPr>
                <w:sz w:val="18"/>
              </w:rPr>
              <w:t>или</w:t>
            </w:r>
            <w:r>
              <w:rPr>
                <w:spacing w:val="-11"/>
                <w:sz w:val="18"/>
              </w:rPr>
              <w:t> </w:t>
            </w:r>
            <w:r>
              <w:rPr>
                <w:sz w:val="18"/>
              </w:rPr>
              <w:t>наруше- </w:t>
            </w:r>
            <w:r>
              <w:rPr>
                <w:spacing w:val="-2"/>
                <w:sz w:val="18"/>
              </w:rPr>
              <w:t>ние</w:t>
            </w:r>
            <w:r>
              <w:rPr>
                <w:spacing w:val="-4"/>
                <w:sz w:val="18"/>
              </w:rPr>
              <w:t> </w:t>
            </w:r>
            <w:r>
              <w:rPr>
                <w:spacing w:val="-2"/>
                <w:sz w:val="18"/>
              </w:rPr>
              <w:t>равенства</w:t>
            </w:r>
            <w:r>
              <w:rPr>
                <w:spacing w:val="-4"/>
                <w:sz w:val="18"/>
              </w:rPr>
              <w:t> </w:t>
            </w:r>
            <w:r>
              <w:rPr>
                <w:spacing w:val="-2"/>
                <w:sz w:val="18"/>
              </w:rPr>
              <w:t>отношения</w:t>
            </w:r>
            <w:r>
              <w:rPr>
                <w:spacing w:val="-4"/>
                <w:sz w:val="18"/>
              </w:rPr>
              <w:t> </w:t>
            </w:r>
            <w:r>
              <w:rPr>
                <w:spacing w:val="-2"/>
                <w:sz w:val="18"/>
              </w:rPr>
              <w:t>(Конвенция</w:t>
            </w:r>
            <w:r>
              <w:rPr>
                <w:spacing w:val="-4"/>
                <w:sz w:val="18"/>
              </w:rPr>
              <w:t> </w:t>
            </w:r>
            <w:r>
              <w:rPr>
                <w:spacing w:val="-2"/>
                <w:sz w:val="18"/>
              </w:rPr>
              <w:t>ООН</w:t>
            </w:r>
            <w:r>
              <w:rPr>
                <w:spacing w:val="-4"/>
                <w:sz w:val="18"/>
              </w:rPr>
              <w:t> </w:t>
            </w:r>
            <w:r>
              <w:rPr>
                <w:spacing w:val="-2"/>
                <w:sz w:val="18"/>
              </w:rPr>
              <w:t>о</w:t>
            </w:r>
            <w:r>
              <w:rPr>
                <w:spacing w:val="-4"/>
                <w:sz w:val="18"/>
              </w:rPr>
              <w:t> </w:t>
            </w:r>
            <w:r>
              <w:rPr>
                <w:spacing w:val="-2"/>
                <w:sz w:val="18"/>
              </w:rPr>
              <w:t>борьбе</w:t>
            </w:r>
            <w:r>
              <w:rPr>
                <w:spacing w:val="-4"/>
                <w:sz w:val="18"/>
              </w:rPr>
              <w:t> </w:t>
            </w:r>
            <w:r>
              <w:rPr>
                <w:spacing w:val="-2"/>
                <w:sz w:val="18"/>
              </w:rPr>
              <w:t>с</w:t>
            </w:r>
            <w:r>
              <w:rPr>
                <w:spacing w:val="-4"/>
                <w:sz w:val="18"/>
              </w:rPr>
              <w:t> </w:t>
            </w:r>
            <w:r>
              <w:rPr>
                <w:spacing w:val="-2"/>
                <w:sz w:val="18"/>
              </w:rPr>
              <w:t>дискри- </w:t>
            </w:r>
            <w:r>
              <w:rPr>
                <w:sz w:val="18"/>
              </w:rPr>
              <w:t>минацией</w:t>
            </w:r>
            <w:r>
              <w:rPr>
                <w:spacing w:val="-4"/>
                <w:sz w:val="18"/>
              </w:rPr>
              <w:t> </w:t>
            </w:r>
            <w:r>
              <w:rPr>
                <w:sz w:val="18"/>
              </w:rPr>
              <w:t>в</w:t>
            </w:r>
            <w:r>
              <w:rPr>
                <w:spacing w:val="-4"/>
                <w:sz w:val="18"/>
              </w:rPr>
              <w:t> </w:t>
            </w:r>
            <w:r>
              <w:rPr>
                <w:sz w:val="18"/>
              </w:rPr>
              <w:t>области</w:t>
            </w:r>
            <w:r>
              <w:rPr>
                <w:spacing w:val="-4"/>
                <w:sz w:val="18"/>
              </w:rPr>
              <w:t> </w:t>
            </w:r>
            <w:r>
              <w:rPr>
                <w:sz w:val="18"/>
              </w:rPr>
              <w:t>образования).</w:t>
            </w:r>
            <w:r>
              <w:rPr>
                <w:spacing w:val="-4"/>
                <w:sz w:val="18"/>
              </w:rPr>
              <w:t> </w:t>
            </w:r>
            <w:r>
              <w:rPr>
                <w:sz w:val="18"/>
              </w:rPr>
              <w:t>При</w:t>
            </w:r>
            <w:r>
              <w:rPr>
                <w:spacing w:val="-4"/>
                <w:sz w:val="18"/>
              </w:rPr>
              <w:t> </w:t>
            </w:r>
            <w:r>
              <w:rPr>
                <w:sz w:val="18"/>
              </w:rPr>
              <w:t>дискриминации</w:t>
            </w:r>
            <w:r>
              <w:rPr>
                <w:spacing w:val="-4"/>
                <w:sz w:val="18"/>
              </w:rPr>
              <w:t> </w:t>
            </w:r>
            <w:r>
              <w:rPr>
                <w:sz w:val="18"/>
              </w:rPr>
              <w:t>люди приписывают</w:t>
            </w:r>
            <w:r>
              <w:rPr>
                <w:spacing w:val="-4"/>
                <w:sz w:val="18"/>
              </w:rPr>
              <w:t> </w:t>
            </w:r>
            <w:r>
              <w:rPr>
                <w:sz w:val="18"/>
              </w:rPr>
              <w:t>членам</w:t>
            </w:r>
            <w:r>
              <w:rPr>
                <w:spacing w:val="-2"/>
                <w:sz w:val="18"/>
              </w:rPr>
              <w:t> </w:t>
            </w:r>
            <w:r>
              <w:rPr>
                <w:sz w:val="18"/>
              </w:rPr>
              <w:t>чужой</w:t>
            </w:r>
            <w:r>
              <w:rPr>
                <w:spacing w:val="-2"/>
                <w:sz w:val="18"/>
              </w:rPr>
              <w:t> </w:t>
            </w:r>
            <w:r>
              <w:rPr>
                <w:sz w:val="18"/>
              </w:rPr>
              <w:t>социальной</w:t>
            </w:r>
            <w:r>
              <w:rPr>
                <w:spacing w:val="-2"/>
                <w:sz w:val="18"/>
              </w:rPr>
              <w:t> </w:t>
            </w:r>
            <w:r>
              <w:rPr>
                <w:sz w:val="18"/>
              </w:rPr>
              <w:t>группы</w:t>
            </w:r>
            <w:r>
              <w:rPr>
                <w:spacing w:val="-2"/>
                <w:sz w:val="18"/>
              </w:rPr>
              <w:t> </w:t>
            </w:r>
            <w:r>
              <w:rPr>
                <w:sz w:val="18"/>
              </w:rPr>
              <w:t>отрицатель- ные</w:t>
            </w:r>
            <w:r>
              <w:rPr>
                <w:spacing w:val="-5"/>
                <w:sz w:val="18"/>
              </w:rPr>
              <w:t> </w:t>
            </w:r>
            <w:r>
              <w:rPr>
                <w:sz w:val="18"/>
              </w:rPr>
              <w:t>особенности,</w:t>
            </w:r>
            <w:r>
              <w:rPr>
                <w:spacing w:val="-5"/>
                <w:sz w:val="18"/>
              </w:rPr>
              <w:t> </w:t>
            </w:r>
            <w:r>
              <w:rPr>
                <w:sz w:val="18"/>
              </w:rPr>
              <w:t>испытывают</w:t>
            </w:r>
            <w:r>
              <w:rPr>
                <w:spacing w:val="-5"/>
                <w:sz w:val="18"/>
              </w:rPr>
              <w:t> </w:t>
            </w:r>
            <w:r>
              <w:rPr>
                <w:sz w:val="18"/>
              </w:rPr>
              <w:t>по</w:t>
            </w:r>
            <w:r>
              <w:rPr>
                <w:spacing w:val="-5"/>
                <w:sz w:val="18"/>
              </w:rPr>
              <w:t> </w:t>
            </w:r>
            <w:r>
              <w:rPr>
                <w:sz w:val="18"/>
              </w:rPr>
              <w:t>отношению</w:t>
            </w:r>
            <w:r>
              <w:rPr>
                <w:spacing w:val="-5"/>
                <w:sz w:val="18"/>
              </w:rPr>
              <w:t> </w:t>
            </w:r>
            <w:r>
              <w:rPr>
                <w:sz w:val="18"/>
              </w:rPr>
              <w:t>к</w:t>
            </w:r>
            <w:r>
              <w:rPr>
                <w:spacing w:val="-5"/>
                <w:sz w:val="18"/>
              </w:rPr>
              <w:t> </w:t>
            </w:r>
            <w:r>
              <w:rPr>
                <w:sz w:val="18"/>
              </w:rPr>
              <w:t>ним</w:t>
            </w:r>
            <w:r>
              <w:rPr>
                <w:spacing w:val="-5"/>
                <w:sz w:val="18"/>
              </w:rPr>
              <w:t> </w:t>
            </w:r>
            <w:r>
              <w:rPr>
                <w:sz w:val="18"/>
              </w:rPr>
              <w:t>негатив- </w:t>
            </w:r>
            <w:r>
              <w:rPr>
                <w:spacing w:val="-4"/>
                <w:sz w:val="18"/>
              </w:rPr>
              <w:t>ные</w:t>
            </w:r>
            <w:r>
              <w:rPr>
                <w:spacing w:val="2"/>
                <w:sz w:val="18"/>
              </w:rPr>
              <w:t> </w:t>
            </w:r>
            <w:r>
              <w:rPr>
                <w:spacing w:val="-4"/>
                <w:sz w:val="18"/>
              </w:rPr>
              <w:t>эмоции</w:t>
            </w:r>
            <w:r>
              <w:rPr>
                <w:spacing w:val="2"/>
                <w:sz w:val="18"/>
              </w:rPr>
              <w:t> </w:t>
            </w:r>
            <w:r>
              <w:rPr>
                <w:spacing w:val="-4"/>
                <w:sz w:val="18"/>
              </w:rPr>
              <w:t>и</w:t>
            </w:r>
            <w:r>
              <w:rPr>
                <w:spacing w:val="2"/>
                <w:sz w:val="18"/>
              </w:rPr>
              <w:t> </w:t>
            </w:r>
            <w:r>
              <w:rPr>
                <w:spacing w:val="-4"/>
                <w:sz w:val="18"/>
              </w:rPr>
              <w:t>совершают</w:t>
            </w:r>
            <w:r>
              <w:rPr>
                <w:spacing w:val="2"/>
                <w:sz w:val="18"/>
              </w:rPr>
              <w:t> </w:t>
            </w:r>
            <w:r>
              <w:rPr>
                <w:spacing w:val="-4"/>
                <w:sz w:val="18"/>
              </w:rPr>
              <w:t>негативные</w:t>
            </w:r>
            <w:r>
              <w:rPr>
                <w:spacing w:val="3"/>
                <w:sz w:val="18"/>
              </w:rPr>
              <w:t> </w:t>
            </w:r>
            <w:r>
              <w:rPr>
                <w:spacing w:val="-4"/>
                <w:sz w:val="18"/>
              </w:rPr>
              <w:t>поступки</w:t>
            </w:r>
            <w:r>
              <w:rPr>
                <w:spacing w:val="2"/>
                <w:sz w:val="18"/>
              </w:rPr>
              <w:t> </w:t>
            </w:r>
            <w:r>
              <w:rPr>
                <w:spacing w:val="-4"/>
                <w:sz w:val="18"/>
              </w:rPr>
              <w:t>(Гулевич</w:t>
            </w:r>
            <w:r>
              <w:rPr>
                <w:spacing w:val="2"/>
                <w:sz w:val="18"/>
              </w:rPr>
              <w:t> </w:t>
            </w:r>
            <w:r>
              <w:rPr>
                <w:spacing w:val="-4"/>
                <w:sz w:val="18"/>
              </w:rPr>
              <w:t>О.А.).</w:t>
            </w:r>
          </w:p>
        </w:tc>
      </w:tr>
    </w:tbl>
    <w:p>
      <w:pPr>
        <w:pStyle w:val="TableParagraph"/>
        <w:spacing w:after="0" w:line="230" w:lineRule="auto"/>
        <w:jc w:val="both"/>
        <w:rPr>
          <w:sz w:val="18"/>
        </w:rPr>
        <w:sectPr>
          <w:pgSz w:w="8400" w:h="11910"/>
          <w:pgMar w:header="0" w:footer="527" w:top="720" w:bottom="740" w:left="425" w:right="425"/>
        </w:sectPr>
      </w:pPr>
    </w:p>
    <w:p>
      <w:pPr>
        <w:pStyle w:val="BodyText"/>
        <w:spacing w:before="1"/>
        <w:ind w:left="0" w:right="0" w:firstLine="0"/>
        <w:jc w:val="left"/>
        <w:rPr>
          <w:b/>
          <w:sz w:val="2"/>
        </w:rPr>
      </w:pPr>
    </w:p>
    <w:tbl>
      <w:tblPr>
        <w:tblW w:w="0" w:type="auto"/>
        <w:jc w:val="left"/>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353"/>
        <w:gridCol w:w="4893"/>
      </w:tblGrid>
      <w:tr>
        <w:trPr>
          <w:trHeight w:val="578" w:hRule="atLeast"/>
        </w:trPr>
        <w:tc>
          <w:tcPr>
            <w:tcW w:w="2353" w:type="dxa"/>
            <w:shd w:val="clear" w:color="auto" w:fill="ECECEA"/>
          </w:tcPr>
          <w:p>
            <w:pPr>
              <w:pStyle w:val="TableParagraph"/>
              <w:spacing w:before="182"/>
              <w:ind w:left="350"/>
              <w:rPr>
                <w:b/>
                <w:sz w:val="18"/>
              </w:rPr>
            </w:pPr>
            <w:r>
              <w:rPr>
                <w:b/>
                <w:spacing w:val="-2"/>
                <w:sz w:val="18"/>
              </w:rPr>
              <w:t>Термин/сокращение</w:t>
            </w:r>
          </w:p>
        </w:tc>
        <w:tc>
          <w:tcPr>
            <w:tcW w:w="4893" w:type="dxa"/>
            <w:shd w:val="clear" w:color="auto" w:fill="ECECEA"/>
          </w:tcPr>
          <w:p>
            <w:pPr>
              <w:pStyle w:val="TableParagraph"/>
              <w:spacing w:before="182"/>
              <w:ind w:left="11"/>
              <w:jc w:val="center"/>
              <w:rPr>
                <w:b/>
                <w:sz w:val="18"/>
              </w:rPr>
            </w:pPr>
            <w:r>
              <w:rPr>
                <w:b/>
                <w:spacing w:val="-2"/>
                <w:sz w:val="18"/>
              </w:rPr>
              <w:t>Определение</w:t>
            </w:r>
          </w:p>
        </w:tc>
      </w:tr>
      <w:tr>
        <w:trPr>
          <w:trHeight w:val="868" w:hRule="atLeast"/>
        </w:trPr>
        <w:tc>
          <w:tcPr>
            <w:tcW w:w="2353" w:type="dxa"/>
          </w:tcPr>
          <w:p>
            <w:pPr>
              <w:pStyle w:val="TableParagraph"/>
              <w:spacing w:before="31"/>
              <w:ind w:left="79"/>
              <w:rPr>
                <w:sz w:val="18"/>
              </w:rPr>
            </w:pPr>
            <w:r>
              <w:rPr>
                <w:color w:val="121619"/>
                <w:sz w:val="18"/>
              </w:rPr>
              <w:t>Долгосрочная</w:t>
            </w:r>
            <w:r>
              <w:rPr>
                <w:color w:val="121619"/>
                <w:spacing w:val="-10"/>
                <w:sz w:val="18"/>
              </w:rPr>
              <w:t> </w:t>
            </w:r>
            <w:r>
              <w:rPr>
                <w:color w:val="121619"/>
                <w:spacing w:val="-2"/>
                <w:sz w:val="18"/>
              </w:rPr>
              <w:t>миграция</w:t>
            </w:r>
          </w:p>
        </w:tc>
        <w:tc>
          <w:tcPr>
            <w:tcW w:w="4893" w:type="dxa"/>
          </w:tcPr>
          <w:p>
            <w:pPr>
              <w:pStyle w:val="TableParagraph"/>
              <w:spacing w:line="225" w:lineRule="auto" w:before="47"/>
              <w:ind w:left="80" w:right="67"/>
              <w:jc w:val="both"/>
              <w:rPr>
                <w:sz w:val="18"/>
              </w:rPr>
            </w:pPr>
            <w:r>
              <w:rPr>
                <w:color w:val="121619"/>
                <w:sz w:val="18"/>
              </w:rPr>
              <w:t>Международная</w:t>
            </w:r>
            <w:r>
              <w:rPr>
                <w:color w:val="121619"/>
                <w:spacing w:val="-4"/>
                <w:sz w:val="18"/>
              </w:rPr>
              <w:t> </w:t>
            </w:r>
            <w:r>
              <w:rPr>
                <w:color w:val="121619"/>
                <w:sz w:val="18"/>
              </w:rPr>
              <w:t>или</w:t>
            </w:r>
            <w:r>
              <w:rPr>
                <w:color w:val="121619"/>
                <w:spacing w:val="-4"/>
                <w:sz w:val="18"/>
              </w:rPr>
              <w:t> </w:t>
            </w:r>
            <w:r>
              <w:rPr>
                <w:color w:val="121619"/>
                <w:sz w:val="18"/>
              </w:rPr>
              <w:t>внутренняя</w:t>
            </w:r>
            <w:r>
              <w:rPr>
                <w:color w:val="121619"/>
                <w:spacing w:val="-4"/>
                <w:sz w:val="18"/>
              </w:rPr>
              <w:t> </w:t>
            </w:r>
            <w:r>
              <w:rPr>
                <w:color w:val="121619"/>
                <w:sz w:val="18"/>
              </w:rPr>
              <w:t>миграция,</w:t>
            </w:r>
            <w:r>
              <w:rPr>
                <w:color w:val="121619"/>
                <w:spacing w:val="-4"/>
                <w:sz w:val="18"/>
              </w:rPr>
              <w:t> </w:t>
            </w:r>
            <w:r>
              <w:rPr>
                <w:color w:val="121619"/>
                <w:sz w:val="18"/>
              </w:rPr>
              <w:t>которая</w:t>
            </w:r>
            <w:r>
              <w:rPr>
                <w:color w:val="121619"/>
                <w:spacing w:val="-4"/>
                <w:sz w:val="18"/>
              </w:rPr>
              <w:t> </w:t>
            </w:r>
            <w:r>
              <w:rPr>
                <w:color w:val="121619"/>
                <w:sz w:val="18"/>
              </w:rPr>
              <w:t>соверша- ется на длительный период (не менее одного года); (</w:t>
            </w:r>
            <w:r>
              <w:rPr>
                <w:color w:val="231F20"/>
                <w:sz w:val="18"/>
              </w:rPr>
              <w:t>концеп- ция Государственной миграционной политики Российской Федерации на период до 2025 года).</w:t>
            </w:r>
          </w:p>
        </w:tc>
      </w:tr>
      <w:tr>
        <w:trPr>
          <w:trHeight w:val="1062" w:hRule="atLeast"/>
        </w:trPr>
        <w:tc>
          <w:tcPr>
            <w:tcW w:w="2353" w:type="dxa"/>
          </w:tcPr>
          <w:p>
            <w:pPr>
              <w:pStyle w:val="TableParagraph"/>
              <w:spacing w:before="31"/>
              <w:ind w:left="79"/>
              <w:rPr>
                <w:sz w:val="18"/>
              </w:rPr>
            </w:pPr>
            <w:r>
              <w:rPr>
                <w:spacing w:val="-2"/>
                <w:sz w:val="18"/>
              </w:rPr>
              <w:t>Культура</w:t>
            </w:r>
          </w:p>
        </w:tc>
        <w:tc>
          <w:tcPr>
            <w:tcW w:w="4893" w:type="dxa"/>
          </w:tcPr>
          <w:p>
            <w:pPr>
              <w:pStyle w:val="TableParagraph"/>
              <w:spacing w:line="225" w:lineRule="auto" w:before="47"/>
              <w:ind w:left="80" w:right="67"/>
              <w:jc w:val="both"/>
              <w:rPr>
                <w:sz w:val="18"/>
              </w:rPr>
            </w:pPr>
            <w:r>
              <w:rPr>
                <w:sz w:val="18"/>
              </w:rPr>
              <w:t>Система представлений, правил, установок, ценностей и мо- делей поведения, общих для группы людей и обеспечиваю- щих ее устойчивость. Мы никогда не можем увидеть саму культуру, но мы можем обнаружить ее проявления в поведе- нии людей.</w:t>
            </w:r>
          </w:p>
        </w:tc>
      </w:tr>
      <w:tr>
        <w:trPr>
          <w:trHeight w:val="2608" w:hRule="atLeast"/>
        </w:trPr>
        <w:tc>
          <w:tcPr>
            <w:tcW w:w="2353" w:type="dxa"/>
          </w:tcPr>
          <w:p>
            <w:pPr>
              <w:pStyle w:val="TableParagraph"/>
              <w:spacing w:before="31"/>
              <w:ind w:left="79"/>
              <w:rPr>
                <w:sz w:val="18"/>
              </w:rPr>
            </w:pPr>
            <w:r>
              <w:rPr>
                <w:spacing w:val="-4"/>
                <w:sz w:val="18"/>
              </w:rPr>
              <w:t>Культурное</w:t>
            </w:r>
            <w:r>
              <w:rPr>
                <w:spacing w:val="10"/>
                <w:sz w:val="18"/>
              </w:rPr>
              <w:t> </w:t>
            </w:r>
            <w:r>
              <w:rPr>
                <w:spacing w:val="-2"/>
                <w:sz w:val="18"/>
              </w:rPr>
              <w:t>многообразие</w:t>
            </w:r>
          </w:p>
        </w:tc>
        <w:tc>
          <w:tcPr>
            <w:tcW w:w="4893" w:type="dxa"/>
          </w:tcPr>
          <w:p>
            <w:pPr>
              <w:pStyle w:val="TableParagraph"/>
              <w:spacing w:line="225" w:lineRule="auto" w:before="44"/>
              <w:ind w:left="80" w:right="66"/>
              <w:jc w:val="both"/>
              <w:rPr>
                <w:sz w:val="18"/>
              </w:rPr>
            </w:pPr>
            <w:r>
              <w:rPr>
                <w:spacing w:val="-4"/>
                <w:sz w:val="18"/>
              </w:rPr>
              <w:t>Многообразие форм, с помощью которых культуры групп и об- ществ находят свое выражение. Эти формы самовыражения пе- </w:t>
            </w:r>
            <w:r>
              <w:rPr>
                <w:sz w:val="18"/>
              </w:rPr>
              <w:t>редаются</w:t>
            </w:r>
            <w:r>
              <w:rPr>
                <w:spacing w:val="-9"/>
                <w:sz w:val="18"/>
              </w:rPr>
              <w:t> </w:t>
            </w:r>
            <w:r>
              <w:rPr>
                <w:sz w:val="18"/>
              </w:rPr>
              <w:t>внутри</w:t>
            </w:r>
            <w:r>
              <w:rPr>
                <w:spacing w:val="-9"/>
                <w:sz w:val="18"/>
              </w:rPr>
              <w:t> </w:t>
            </w:r>
            <w:r>
              <w:rPr>
                <w:sz w:val="18"/>
              </w:rPr>
              <w:t>групп</w:t>
            </w:r>
            <w:r>
              <w:rPr>
                <w:spacing w:val="-9"/>
                <w:sz w:val="18"/>
              </w:rPr>
              <w:t> </w:t>
            </w:r>
            <w:r>
              <w:rPr>
                <w:sz w:val="18"/>
              </w:rPr>
              <w:t>и</w:t>
            </w:r>
            <w:r>
              <w:rPr>
                <w:spacing w:val="-9"/>
                <w:sz w:val="18"/>
              </w:rPr>
              <w:t> </w:t>
            </w:r>
            <w:r>
              <w:rPr>
                <w:sz w:val="18"/>
              </w:rPr>
              <w:t>обществ</w:t>
            </w:r>
            <w:r>
              <w:rPr>
                <w:spacing w:val="-9"/>
                <w:sz w:val="18"/>
              </w:rPr>
              <w:t> </w:t>
            </w:r>
            <w:r>
              <w:rPr>
                <w:sz w:val="18"/>
              </w:rPr>
              <w:t>и</w:t>
            </w:r>
            <w:r>
              <w:rPr>
                <w:spacing w:val="-9"/>
                <w:sz w:val="18"/>
              </w:rPr>
              <w:t> </w:t>
            </w:r>
            <w:r>
              <w:rPr>
                <w:sz w:val="18"/>
              </w:rPr>
              <w:t>между</w:t>
            </w:r>
            <w:r>
              <w:rPr>
                <w:spacing w:val="-9"/>
                <w:sz w:val="18"/>
              </w:rPr>
              <w:t> </w:t>
            </w:r>
            <w:r>
              <w:rPr>
                <w:sz w:val="18"/>
              </w:rPr>
              <w:t>ними.</w:t>
            </w:r>
            <w:r>
              <w:rPr>
                <w:spacing w:val="-9"/>
                <w:sz w:val="18"/>
              </w:rPr>
              <w:t> </w:t>
            </w:r>
            <w:r>
              <w:rPr>
                <w:sz w:val="18"/>
              </w:rPr>
              <w:t>Оно</w:t>
            </w:r>
            <w:r>
              <w:rPr>
                <w:spacing w:val="-9"/>
                <w:sz w:val="18"/>
              </w:rPr>
              <w:t> </w:t>
            </w:r>
            <w:r>
              <w:rPr>
                <w:sz w:val="18"/>
              </w:rPr>
              <w:t>создает </w:t>
            </w:r>
            <w:r>
              <w:rPr>
                <w:spacing w:val="-2"/>
                <w:sz w:val="18"/>
              </w:rPr>
              <w:t>богатый</w:t>
            </w:r>
            <w:r>
              <w:rPr>
                <w:spacing w:val="-4"/>
                <w:sz w:val="18"/>
              </w:rPr>
              <w:t> </w:t>
            </w:r>
            <w:r>
              <w:rPr>
                <w:spacing w:val="-2"/>
                <w:sz w:val="18"/>
              </w:rPr>
              <w:t>и</w:t>
            </w:r>
            <w:r>
              <w:rPr>
                <w:spacing w:val="-4"/>
                <w:sz w:val="18"/>
              </w:rPr>
              <w:t> </w:t>
            </w:r>
            <w:r>
              <w:rPr>
                <w:spacing w:val="-2"/>
                <w:sz w:val="18"/>
              </w:rPr>
              <w:t>многообразный</w:t>
            </w:r>
            <w:r>
              <w:rPr>
                <w:spacing w:val="-4"/>
                <w:sz w:val="18"/>
              </w:rPr>
              <w:t> </w:t>
            </w:r>
            <w:r>
              <w:rPr>
                <w:spacing w:val="-2"/>
                <w:sz w:val="18"/>
              </w:rPr>
              <w:t>мир,</w:t>
            </w:r>
            <w:r>
              <w:rPr>
                <w:spacing w:val="-4"/>
                <w:sz w:val="18"/>
              </w:rPr>
              <w:t> </w:t>
            </w:r>
            <w:r>
              <w:rPr>
                <w:spacing w:val="-2"/>
                <w:sz w:val="18"/>
              </w:rPr>
              <w:t>который</w:t>
            </w:r>
            <w:r>
              <w:rPr>
                <w:spacing w:val="-4"/>
                <w:sz w:val="18"/>
              </w:rPr>
              <w:t> </w:t>
            </w:r>
            <w:r>
              <w:rPr>
                <w:spacing w:val="-2"/>
                <w:sz w:val="18"/>
              </w:rPr>
              <w:t>рас-</w:t>
            </w:r>
            <w:r>
              <w:rPr>
                <w:spacing w:val="-4"/>
                <w:sz w:val="18"/>
              </w:rPr>
              <w:t> </w:t>
            </w:r>
            <w:r>
              <w:rPr>
                <w:spacing w:val="-2"/>
                <w:sz w:val="18"/>
              </w:rPr>
              <w:t>ширяет</w:t>
            </w:r>
            <w:r>
              <w:rPr>
                <w:spacing w:val="-4"/>
                <w:sz w:val="18"/>
              </w:rPr>
              <w:t> </w:t>
            </w:r>
            <w:r>
              <w:rPr>
                <w:spacing w:val="-2"/>
                <w:sz w:val="18"/>
              </w:rPr>
              <w:t>диапазон </w:t>
            </w:r>
            <w:r>
              <w:rPr>
                <w:sz w:val="18"/>
              </w:rPr>
              <w:t>выбора и обеспечивает питательную среду для человеческих возможностей и ценностей, являясь, таким образом, движу- щей силой устойчивого развития для сообществ, народов и наций, культурное разнообразие, расцветающее в условиях </w:t>
            </w:r>
            <w:r>
              <w:rPr>
                <w:spacing w:val="-2"/>
                <w:sz w:val="18"/>
              </w:rPr>
              <w:t>демократии,</w:t>
            </w:r>
            <w:r>
              <w:rPr>
                <w:spacing w:val="-7"/>
                <w:sz w:val="18"/>
              </w:rPr>
              <w:t> </w:t>
            </w:r>
            <w:r>
              <w:rPr>
                <w:spacing w:val="-2"/>
                <w:sz w:val="18"/>
              </w:rPr>
              <w:t>терпимости,</w:t>
            </w:r>
            <w:r>
              <w:rPr>
                <w:spacing w:val="-7"/>
                <w:sz w:val="18"/>
              </w:rPr>
              <w:t> </w:t>
            </w:r>
            <w:r>
              <w:rPr>
                <w:spacing w:val="-2"/>
                <w:sz w:val="18"/>
              </w:rPr>
              <w:t>социальной</w:t>
            </w:r>
            <w:r>
              <w:rPr>
                <w:spacing w:val="-7"/>
                <w:sz w:val="18"/>
              </w:rPr>
              <w:t> </w:t>
            </w:r>
            <w:r>
              <w:rPr>
                <w:spacing w:val="-2"/>
                <w:sz w:val="18"/>
              </w:rPr>
              <w:t>справедливости</w:t>
            </w:r>
            <w:r>
              <w:rPr>
                <w:spacing w:val="-7"/>
                <w:sz w:val="18"/>
              </w:rPr>
              <w:t> </w:t>
            </w:r>
            <w:r>
              <w:rPr>
                <w:spacing w:val="-2"/>
                <w:sz w:val="18"/>
              </w:rPr>
              <w:t>и</w:t>
            </w:r>
            <w:r>
              <w:rPr>
                <w:spacing w:val="-7"/>
                <w:sz w:val="18"/>
              </w:rPr>
              <w:t> </w:t>
            </w:r>
            <w:r>
              <w:rPr>
                <w:spacing w:val="-2"/>
                <w:sz w:val="18"/>
              </w:rPr>
              <w:t>взаим- ного</w:t>
            </w:r>
            <w:r>
              <w:rPr>
                <w:spacing w:val="-10"/>
                <w:sz w:val="18"/>
              </w:rPr>
              <w:t> </w:t>
            </w:r>
            <w:r>
              <w:rPr>
                <w:spacing w:val="-2"/>
                <w:sz w:val="18"/>
              </w:rPr>
              <w:t>уважения</w:t>
            </w:r>
            <w:r>
              <w:rPr>
                <w:spacing w:val="-9"/>
                <w:sz w:val="18"/>
              </w:rPr>
              <w:t> </w:t>
            </w:r>
            <w:r>
              <w:rPr>
                <w:spacing w:val="-2"/>
                <w:sz w:val="18"/>
              </w:rPr>
              <w:t>между</w:t>
            </w:r>
            <w:r>
              <w:rPr>
                <w:spacing w:val="-9"/>
                <w:sz w:val="18"/>
              </w:rPr>
              <w:t> </w:t>
            </w:r>
            <w:r>
              <w:rPr>
                <w:spacing w:val="-2"/>
                <w:sz w:val="18"/>
              </w:rPr>
              <w:t>народами</w:t>
            </w:r>
            <w:r>
              <w:rPr>
                <w:spacing w:val="-9"/>
                <w:sz w:val="18"/>
              </w:rPr>
              <w:t> </w:t>
            </w:r>
            <w:r>
              <w:rPr>
                <w:spacing w:val="-2"/>
                <w:sz w:val="18"/>
              </w:rPr>
              <w:t>и</w:t>
            </w:r>
            <w:r>
              <w:rPr>
                <w:spacing w:val="-10"/>
                <w:sz w:val="18"/>
              </w:rPr>
              <w:t> </w:t>
            </w:r>
            <w:r>
              <w:rPr>
                <w:spacing w:val="-2"/>
                <w:sz w:val="18"/>
              </w:rPr>
              <w:t>культурами,</w:t>
            </w:r>
            <w:r>
              <w:rPr>
                <w:spacing w:val="-9"/>
                <w:sz w:val="18"/>
              </w:rPr>
              <w:t> </w:t>
            </w:r>
            <w:r>
              <w:rPr>
                <w:spacing w:val="-2"/>
                <w:sz w:val="18"/>
              </w:rPr>
              <w:t>необходимо</w:t>
            </w:r>
            <w:r>
              <w:rPr>
                <w:spacing w:val="-9"/>
                <w:sz w:val="18"/>
              </w:rPr>
              <w:t> </w:t>
            </w:r>
            <w:r>
              <w:rPr>
                <w:spacing w:val="-2"/>
                <w:sz w:val="18"/>
              </w:rPr>
              <w:t>для </w:t>
            </w:r>
            <w:r>
              <w:rPr>
                <w:sz w:val="18"/>
              </w:rPr>
              <w:t>обеспечения</w:t>
            </w:r>
            <w:r>
              <w:rPr>
                <w:spacing w:val="-5"/>
                <w:sz w:val="18"/>
              </w:rPr>
              <w:t> </w:t>
            </w:r>
            <w:r>
              <w:rPr>
                <w:sz w:val="18"/>
              </w:rPr>
              <w:t>мира</w:t>
            </w:r>
            <w:r>
              <w:rPr>
                <w:spacing w:val="-5"/>
                <w:sz w:val="18"/>
              </w:rPr>
              <w:t> </w:t>
            </w:r>
            <w:r>
              <w:rPr>
                <w:sz w:val="18"/>
              </w:rPr>
              <w:t>и</w:t>
            </w:r>
            <w:r>
              <w:rPr>
                <w:spacing w:val="-5"/>
                <w:sz w:val="18"/>
              </w:rPr>
              <w:t> </w:t>
            </w:r>
            <w:r>
              <w:rPr>
                <w:sz w:val="18"/>
              </w:rPr>
              <w:t>безопасности</w:t>
            </w:r>
            <w:r>
              <w:rPr>
                <w:spacing w:val="-5"/>
                <w:sz w:val="18"/>
              </w:rPr>
              <w:t> </w:t>
            </w:r>
            <w:r>
              <w:rPr>
                <w:sz w:val="18"/>
              </w:rPr>
              <w:t>на</w:t>
            </w:r>
            <w:r>
              <w:rPr>
                <w:spacing w:val="-5"/>
                <w:sz w:val="18"/>
              </w:rPr>
              <w:t> </w:t>
            </w:r>
            <w:r>
              <w:rPr>
                <w:sz w:val="18"/>
              </w:rPr>
              <w:t>местном,</w:t>
            </w:r>
            <w:r>
              <w:rPr>
                <w:spacing w:val="-5"/>
                <w:sz w:val="18"/>
              </w:rPr>
              <w:t> </w:t>
            </w:r>
            <w:r>
              <w:rPr>
                <w:sz w:val="18"/>
              </w:rPr>
              <w:t>национальном </w:t>
            </w:r>
            <w:r>
              <w:rPr>
                <w:spacing w:val="-4"/>
                <w:sz w:val="18"/>
              </w:rPr>
              <w:t>и международном уровнях (Конвенция ООН об охране и поощ- </w:t>
            </w:r>
            <w:r>
              <w:rPr>
                <w:sz w:val="18"/>
              </w:rPr>
              <w:t>рении разнообразия форм культурного самовыражения).</w:t>
            </w:r>
          </w:p>
        </w:tc>
      </w:tr>
      <w:tr>
        <w:trPr>
          <w:trHeight w:val="1056" w:hRule="atLeast"/>
        </w:trPr>
        <w:tc>
          <w:tcPr>
            <w:tcW w:w="2353" w:type="dxa"/>
          </w:tcPr>
          <w:p>
            <w:pPr>
              <w:pStyle w:val="TableParagraph"/>
              <w:spacing w:line="225" w:lineRule="auto" w:before="42"/>
              <w:ind w:left="79"/>
              <w:rPr>
                <w:sz w:val="18"/>
              </w:rPr>
            </w:pPr>
            <w:r>
              <w:rPr>
                <w:spacing w:val="-4"/>
                <w:sz w:val="18"/>
              </w:rPr>
              <w:t>Межкультурное </w:t>
            </w:r>
            <w:r>
              <w:rPr>
                <w:spacing w:val="-2"/>
                <w:sz w:val="18"/>
              </w:rPr>
              <w:t>взаимодействие</w:t>
            </w:r>
          </w:p>
        </w:tc>
        <w:tc>
          <w:tcPr>
            <w:tcW w:w="4893" w:type="dxa"/>
          </w:tcPr>
          <w:p>
            <w:pPr>
              <w:pStyle w:val="TableParagraph"/>
              <w:spacing w:line="225" w:lineRule="auto" w:before="44"/>
              <w:ind w:left="80" w:right="66"/>
              <w:jc w:val="both"/>
              <w:rPr>
                <w:sz w:val="18"/>
              </w:rPr>
            </w:pPr>
            <w:r>
              <w:rPr>
                <w:sz w:val="18"/>
              </w:rPr>
              <w:t>Существование и равноправное взаимодействие различных культур,</w:t>
            </w:r>
            <w:r>
              <w:rPr>
                <w:spacing w:val="-11"/>
                <w:sz w:val="18"/>
              </w:rPr>
              <w:t> </w:t>
            </w:r>
            <w:r>
              <w:rPr>
                <w:sz w:val="18"/>
              </w:rPr>
              <w:t>а</w:t>
            </w:r>
            <w:r>
              <w:rPr>
                <w:spacing w:val="-11"/>
                <w:sz w:val="18"/>
              </w:rPr>
              <w:t> </w:t>
            </w:r>
            <w:r>
              <w:rPr>
                <w:sz w:val="18"/>
              </w:rPr>
              <w:t>также</w:t>
            </w:r>
            <w:r>
              <w:rPr>
                <w:spacing w:val="-11"/>
                <w:sz w:val="18"/>
              </w:rPr>
              <w:t> </w:t>
            </w:r>
            <w:r>
              <w:rPr>
                <w:sz w:val="18"/>
              </w:rPr>
              <w:t>возможность</w:t>
            </w:r>
            <w:r>
              <w:rPr>
                <w:spacing w:val="-11"/>
                <w:sz w:val="18"/>
              </w:rPr>
              <w:t> </w:t>
            </w:r>
            <w:r>
              <w:rPr>
                <w:sz w:val="18"/>
              </w:rPr>
              <w:t>создания</w:t>
            </w:r>
            <w:r>
              <w:rPr>
                <w:spacing w:val="-11"/>
                <w:sz w:val="18"/>
              </w:rPr>
              <w:t> </w:t>
            </w:r>
            <w:r>
              <w:rPr>
                <w:sz w:val="18"/>
              </w:rPr>
              <w:t>общих</w:t>
            </w:r>
            <w:r>
              <w:rPr>
                <w:spacing w:val="-11"/>
                <w:sz w:val="18"/>
              </w:rPr>
              <w:t> </w:t>
            </w:r>
            <w:r>
              <w:rPr>
                <w:sz w:val="18"/>
              </w:rPr>
              <w:t>форм</w:t>
            </w:r>
            <w:r>
              <w:rPr>
                <w:spacing w:val="-11"/>
                <w:sz w:val="18"/>
              </w:rPr>
              <w:t> </w:t>
            </w:r>
            <w:r>
              <w:rPr>
                <w:sz w:val="18"/>
              </w:rPr>
              <w:t>культур- ного самовыражения на основе диалога и взаимного уваже- ния (Конвенция ООН об охране и поощрении разнообразия форм культурного самовыражения).</w:t>
            </w:r>
          </w:p>
        </w:tc>
      </w:tr>
      <w:tr>
        <w:trPr>
          <w:trHeight w:val="1250" w:hRule="atLeast"/>
        </w:trPr>
        <w:tc>
          <w:tcPr>
            <w:tcW w:w="2353" w:type="dxa"/>
          </w:tcPr>
          <w:p>
            <w:pPr>
              <w:pStyle w:val="TableParagraph"/>
              <w:spacing w:before="31"/>
              <w:ind w:left="79"/>
              <w:rPr>
                <w:sz w:val="18"/>
              </w:rPr>
            </w:pPr>
            <w:r>
              <w:rPr>
                <w:spacing w:val="-2"/>
                <w:sz w:val="18"/>
              </w:rPr>
              <w:t>Межкультурный</w:t>
            </w:r>
            <w:r>
              <w:rPr>
                <w:spacing w:val="-3"/>
                <w:sz w:val="18"/>
              </w:rPr>
              <w:t> </w:t>
            </w:r>
            <w:r>
              <w:rPr>
                <w:spacing w:val="-2"/>
                <w:sz w:val="18"/>
              </w:rPr>
              <w:t>диалог</w:t>
            </w:r>
          </w:p>
        </w:tc>
        <w:tc>
          <w:tcPr>
            <w:tcW w:w="4893" w:type="dxa"/>
          </w:tcPr>
          <w:p>
            <w:pPr>
              <w:pStyle w:val="TableParagraph"/>
              <w:spacing w:line="225" w:lineRule="auto" w:before="44"/>
              <w:ind w:left="80" w:right="67"/>
              <w:jc w:val="both"/>
              <w:rPr>
                <w:sz w:val="18"/>
              </w:rPr>
            </w:pPr>
            <w:r>
              <w:rPr>
                <w:sz w:val="18"/>
              </w:rPr>
              <w:t>Открытый и уважительный обмен мнениями на основе вза- имопонимания и уважения между отдельными людьми, а также группами людей различной этнической, культурной, религиозной</w:t>
            </w:r>
            <w:r>
              <w:rPr>
                <w:spacing w:val="-12"/>
                <w:sz w:val="18"/>
              </w:rPr>
              <w:t> </w:t>
            </w:r>
            <w:r>
              <w:rPr>
                <w:sz w:val="18"/>
              </w:rPr>
              <w:t>и</w:t>
            </w:r>
            <w:r>
              <w:rPr>
                <w:spacing w:val="-11"/>
                <w:sz w:val="18"/>
              </w:rPr>
              <w:t> </w:t>
            </w:r>
            <w:r>
              <w:rPr>
                <w:sz w:val="18"/>
              </w:rPr>
              <w:t>языковой</w:t>
            </w:r>
            <w:r>
              <w:rPr>
                <w:spacing w:val="-11"/>
                <w:sz w:val="18"/>
              </w:rPr>
              <w:t> </w:t>
            </w:r>
            <w:r>
              <w:rPr>
                <w:sz w:val="18"/>
              </w:rPr>
              <w:t>принадлежности,</w:t>
            </w:r>
            <w:r>
              <w:rPr>
                <w:spacing w:val="-11"/>
                <w:sz w:val="18"/>
              </w:rPr>
              <w:t> </w:t>
            </w:r>
            <w:r>
              <w:rPr>
                <w:sz w:val="18"/>
              </w:rPr>
              <w:t>имеющими</w:t>
            </w:r>
            <w:r>
              <w:rPr>
                <w:spacing w:val="-12"/>
                <w:sz w:val="18"/>
              </w:rPr>
              <w:t> </w:t>
            </w:r>
            <w:r>
              <w:rPr>
                <w:sz w:val="18"/>
              </w:rPr>
              <w:t>разные исторические</w:t>
            </w:r>
            <w:r>
              <w:rPr>
                <w:spacing w:val="-12"/>
                <w:sz w:val="18"/>
              </w:rPr>
              <w:t> </w:t>
            </w:r>
            <w:r>
              <w:rPr>
                <w:sz w:val="18"/>
              </w:rPr>
              <w:t>корни</w:t>
            </w:r>
            <w:r>
              <w:rPr>
                <w:spacing w:val="-11"/>
                <w:sz w:val="18"/>
              </w:rPr>
              <w:t> </w:t>
            </w:r>
            <w:r>
              <w:rPr>
                <w:sz w:val="18"/>
              </w:rPr>
              <w:t>(Белая</w:t>
            </w:r>
            <w:r>
              <w:rPr>
                <w:spacing w:val="-11"/>
                <w:sz w:val="18"/>
              </w:rPr>
              <w:t> </w:t>
            </w:r>
            <w:r>
              <w:rPr>
                <w:sz w:val="18"/>
              </w:rPr>
              <w:t>книга</w:t>
            </w:r>
            <w:r>
              <w:rPr>
                <w:spacing w:val="-11"/>
                <w:sz w:val="18"/>
              </w:rPr>
              <w:t> </w:t>
            </w:r>
            <w:r>
              <w:rPr>
                <w:sz w:val="18"/>
              </w:rPr>
              <w:t>Совета</w:t>
            </w:r>
            <w:r>
              <w:rPr>
                <w:spacing w:val="-12"/>
                <w:sz w:val="18"/>
              </w:rPr>
              <w:t> </w:t>
            </w:r>
            <w:r>
              <w:rPr>
                <w:sz w:val="18"/>
              </w:rPr>
              <w:t>Европы</w:t>
            </w:r>
            <w:r>
              <w:rPr>
                <w:spacing w:val="-11"/>
                <w:sz w:val="18"/>
              </w:rPr>
              <w:t> </w:t>
            </w:r>
            <w:r>
              <w:rPr>
                <w:sz w:val="18"/>
              </w:rPr>
              <w:t>по</w:t>
            </w:r>
            <w:r>
              <w:rPr>
                <w:spacing w:val="-11"/>
                <w:sz w:val="18"/>
              </w:rPr>
              <w:t> </w:t>
            </w:r>
            <w:r>
              <w:rPr>
                <w:sz w:val="18"/>
              </w:rPr>
              <w:t>межкуль- турному диалогу).</w:t>
            </w:r>
          </w:p>
        </w:tc>
      </w:tr>
      <w:tr>
        <w:trPr>
          <w:trHeight w:val="1444" w:hRule="atLeast"/>
        </w:trPr>
        <w:tc>
          <w:tcPr>
            <w:tcW w:w="2353" w:type="dxa"/>
          </w:tcPr>
          <w:p>
            <w:pPr>
              <w:pStyle w:val="TableParagraph"/>
              <w:spacing w:line="225" w:lineRule="auto" w:before="42"/>
              <w:ind w:left="79"/>
              <w:rPr>
                <w:sz w:val="18"/>
              </w:rPr>
            </w:pPr>
            <w:r>
              <w:rPr>
                <w:spacing w:val="-2"/>
                <w:sz w:val="18"/>
              </w:rPr>
              <w:t>Межкультурная компетентность</w:t>
            </w:r>
            <w:r>
              <w:rPr>
                <w:spacing w:val="-8"/>
                <w:sz w:val="18"/>
              </w:rPr>
              <w:t> </w:t>
            </w:r>
            <w:r>
              <w:rPr>
                <w:spacing w:val="-2"/>
                <w:sz w:val="18"/>
              </w:rPr>
              <w:t>педагога</w:t>
            </w:r>
          </w:p>
        </w:tc>
        <w:tc>
          <w:tcPr>
            <w:tcW w:w="4893" w:type="dxa"/>
          </w:tcPr>
          <w:p>
            <w:pPr>
              <w:pStyle w:val="TableParagraph"/>
              <w:spacing w:line="225" w:lineRule="auto" w:before="44"/>
              <w:ind w:left="80" w:right="67"/>
              <w:jc w:val="both"/>
              <w:rPr>
                <w:sz w:val="18"/>
              </w:rPr>
            </w:pPr>
            <w:r>
              <w:rPr>
                <w:sz w:val="18"/>
              </w:rPr>
              <w:t>Способность педагога взаимодействовать со учащимися та- ким образом, чтобы поддерживать тех, кто лингвистически, культурно,</w:t>
            </w:r>
            <w:r>
              <w:rPr>
                <w:spacing w:val="-5"/>
                <w:sz w:val="18"/>
              </w:rPr>
              <w:t> </w:t>
            </w:r>
            <w:r>
              <w:rPr>
                <w:sz w:val="18"/>
              </w:rPr>
              <w:t>социально</w:t>
            </w:r>
            <w:r>
              <w:rPr>
                <w:spacing w:val="-5"/>
                <w:sz w:val="18"/>
              </w:rPr>
              <w:t> </w:t>
            </w:r>
            <w:r>
              <w:rPr>
                <w:sz w:val="18"/>
              </w:rPr>
              <w:t>или</w:t>
            </w:r>
            <w:r>
              <w:rPr>
                <w:spacing w:val="-5"/>
                <w:sz w:val="18"/>
              </w:rPr>
              <w:t> </w:t>
            </w:r>
            <w:r>
              <w:rPr>
                <w:sz w:val="18"/>
              </w:rPr>
              <w:t>иным</w:t>
            </w:r>
            <w:r>
              <w:rPr>
                <w:spacing w:val="-5"/>
                <w:sz w:val="18"/>
              </w:rPr>
              <w:t> </w:t>
            </w:r>
            <w:r>
              <w:rPr>
                <w:sz w:val="18"/>
              </w:rPr>
              <w:t>образом</w:t>
            </w:r>
            <w:r>
              <w:rPr>
                <w:spacing w:val="-5"/>
                <w:sz w:val="18"/>
              </w:rPr>
              <w:t> </w:t>
            </w:r>
            <w:r>
              <w:rPr>
                <w:sz w:val="18"/>
              </w:rPr>
              <w:t>отличается</w:t>
            </w:r>
            <w:r>
              <w:rPr>
                <w:spacing w:val="-5"/>
                <w:sz w:val="18"/>
              </w:rPr>
              <w:t> </w:t>
            </w:r>
            <w:r>
              <w:rPr>
                <w:sz w:val="18"/>
              </w:rPr>
              <w:t>от</w:t>
            </w:r>
            <w:r>
              <w:rPr>
                <w:spacing w:val="-5"/>
                <w:sz w:val="18"/>
              </w:rPr>
              <w:t> </w:t>
            </w:r>
            <w:r>
              <w:rPr>
                <w:sz w:val="18"/>
              </w:rPr>
              <w:t>само- го учителя или друг от друга. Она помогает учителям прео- долевать</w:t>
            </w:r>
            <w:r>
              <w:rPr>
                <w:spacing w:val="-3"/>
                <w:sz w:val="18"/>
              </w:rPr>
              <w:t> </w:t>
            </w:r>
            <w:r>
              <w:rPr>
                <w:sz w:val="18"/>
              </w:rPr>
              <w:t>культурные,</w:t>
            </w:r>
            <w:r>
              <w:rPr>
                <w:spacing w:val="-3"/>
                <w:sz w:val="18"/>
              </w:rPr>
              <w:t> </w:t>
            </w:r>
            <w:r>
              <w:rPr>
                <w:sz w:val="18"/>
              </w:rPr>
              <w:t>языковые</w:t>
            </w:r>
            <w:r>
              <w:rPr>
                <w:spacing w:val="-3"/>
                <w:sz w:val="18"/>
              </w:rPr>
              <w:t> </w:t>
            </w:r>
            <w:r>
              <w:rPr>
                <w:sz w:val="18"/>
              </w:rPr>
              <w:t>и</w:t>
            </w:r>
            <w:r>
              <w:rPr>
                <w:spacing w:val="-3"/>
                <w:sz w:val="18"/>
              </w:rPr>
              <w:t> </w:t>
            </w:r>
            <w:r>
              <w:rPr>
                <w:sz w:val="18"/>
              </w:rPr>
              <w:t>другие</w:t>
            </w:r>
            <w:r>
              <w:rPr>
                <w:spacing w:val="-3"/>
                <w:sz w:val="18"/>
              </w:rPr>
              <w:t> </w:t>
            </w:r>
            <w:r>
              <w:rPr>
                <w:sz w:val="18"/>
              </w:rPr>
              <w:t>различия</w:t>
            </w:r>
            <w:r>
              <w:rPr>
                <w:spacing w:val="-3"/>
                <w:sz w:val="18"/>
              </w:rPr>
              <w:t> </w:t>
            </w:r>
            <w:r>
              <w:rPr>
                <w:sz w:val="18"/>
              </w:rPr>
              <w:t>в</w:t>
            </w:r>
            <w:r>
              <w:rPr>
                <w:spacing w:val="-3"/>
                <w:sz w:val="18"/>
              </w:rPr>
              <w:t> </w:t>
            </w:r>
            <w:r>
              <w:rPr>
                <w:sz w:val="18"/>
              </w:rPr>
              <w:t>классе</w:t>
            </w:r>
            <w:r>
              <w:rPr>
                <w:spacing w:val="-3"/>
                <w:sz w:val="18"/>
              </w:rPr>
              <w:t> </w:t>
            </w:r>
            <w:r>
              <w:rPr>
                <w:sz w:val="18"/>
              </w:rPr>
              <w:t>и способствовать</w:t>
            </w:r>
            <w:r>
              <w:rPr>
                <w:spacing w:val="-12"/>
                <w:sz w:val="18"/>
              </w:rPr>
              <w:t> </w:t>
            </w:r>
            <w:r>
              <w:rPr>
                <w:sz w:val="18"/>
              </w:rPr>
              <w:t>вовлечению</w:t>
            </w:r>
            <w:r>
              <w:rPr>
                <w:spacing w:val="-11"/>
                <w:sz w:val="18"/>
              </w:rPr>
              <w:t> </w:t>
            </w:r>
            <w:r>
              <w:rPr>
                <w:sz w:val="18"/>
              </w:rPr>
              <w:t>инокультурных</w:t>
            </w:r>
            <w:r>
              <w:rPr>
                <w:spacing w:val="-11"/>
                <w:sz w:val="18"/>
              </w:rPr>
              <w:t> </w:t>
            </w:r>
            <w:r>
              <w:rPr>
                <w:sz w:val="18"/>
              </w:rPr>
              <w:t>учащихся</w:t>
            </w:r>
            <w:r>
              <w:rPr>
                <w:spacing w:val="-11"/>
                <w:sz w:val="18"/>
              </w:rPr>
              <w:t> </w:t>
            </w:r>
            <w:r>
              <w:rPr>
                <w:sz w:val="18"/>
              </w:rPr>
              <w:t>в</w:t>
            </w:r>
            <w:r>
              <w:rPr>
                <w:spacing w:val="-12"/>
                <w:sz w:val="18"/>
              </w:rPr>
              <w:t> </w:t>
            </w:r>
            <w:r>
              <w:rPr>
                <w:sz w:val="18"/>
              </w:rPr>
              <w:t>учеб- ный процесс (Н. Димитров).</w:t>
            </w:r>
          </w:p>
        </w:tc>
      </w:tr>
      <w:tr>
        <w:trPr>
          <w:trHeight w:val="1250" w:hRule="atLeast"/>
        </w:trPr>
        <w:tc>
          <w:tcPr>
            <w:tcW w:w="2353" w:type="dxa"/>
          </w:tcPr>
          <w:p>
            <w:pPr>
              <w:pStyle w:val="TableParagraph"/>
              <w:spacing w:before="31"/>
              <w:ind w:left="79"/>
              <w:rPr>
                <w:sz w:val="18"/>
              </w:rPr>
            </w:pPr>
            <w:r>
              <w:rPr>
                <w:spacing w:val="-2"/>
                <w:sz w:val="18"/>
              </w:rPr>
              <w:t>Миграция</w:t>
            </w:r>
          </w:p>
        </w:tc>
        <w:tc>
          <w:tcPr>
            <w:tcW w:w="4893" w:type="dxa"/>
          </w:tcPr>
          <w:p>
            <w:pPr>
              <w:pStyle w:val="TableParagraph"/>
              <w:spacing w:line="225" w:lineRule="auto" w:before="44"/>
              <w:ind w:left="80" w:right="67"/>
              <w:jc w:val="both"/>
              <w:rPr>
                <w:sz w:val="18"/>
              </w:rPr>
            </w:pPr>
            <w:r>
              <w:rPr>
                <w:color w:val="3D4042"/>
                <w:spacing w:val="-2"/>
                <w:sz w:val="18"/>
              </w:rPr>
              <w:t>Перемещаение</w:t>
            </w:r>
            <w:r>
              <w:rPr>
                <w:color w:val="3D4042"/>
                <w:spacing w:val="-3"/>
                <w:sz w:val="18"/>
              </w:rPr>
              <w:t> </w:t>
            </w:r>
            <w:r>
              <w:rPr>
                <w:color w:val="3D4042"/>
                <w:spacing w:val="-2"/>
                <w:sz w:val="18"/>
              </w:rPr>
              <w:t>через</w:t>
            </w:r>
            <w:r>
              <w:rPr>
                <w:color w:val="3D4042"/>
                <w:spacing w:val="-3"/>
                <w:sz w:val="18"/>
              </w:rPr>
              <w:t> </w:t>
            </w:r>
            <w:r>
              <w:rPr>
                <w:color w:val="3D4042"/>
                <w:spacing w:val="-2"/>
                <w:sz w:val="18"/>
              </w:rPr>
              <w:t>международную</w:t>
            </w:r>
            <w:r>
              <w:rPr>
                <w:color w:val="3D4042"/>
                <w:spacing w:val="-3"/>
                <w:sz w:val="18"/>
              </w:rPr>
              <w:t> </w:t>
            </w:r>
            <w:r>
              <w:rPr>
                <w:color w:val="3D4042"/>
                <w:spacing w:val="-2"/>
                <w:sz w:val="18"/>
              </w:rPr>
              <w:t>границу</w:t>
            </w:r>
            <w:r>
              <w:rPr>
                <w:color w:val="3D4042"/>
                <w:spacing w:val="-3"/>
                <w:sz w:val="18"/>
              </w:rPr>
              <w:t> </w:t>
            </w:r>
            <w:r>
              <w:rPr>
                <w:color w:val="3D4042"/>
                <w:spacing w:val="-2"/>
                <w:sz w:val="18"/>
              </w:rPr>
              <w:t>или</w:t>
            </w:r>
            <w:r>
              <w:rPr>
                <w:color w:val="3D4042"/>
                <w:spacing w:val="-3"/>
                <w:sz w:val="18"/>
              </w:rPr>
              <w:t> </w:t>
            </w:r>
            <w:r>
              <w:rPr>
                <w:color w:val="3D4042"/>
                <w:spacing w:val="-2"/>
                <w:sz w:val="18"/>
              </w:rPr>
              <w:t>оставление места</w:t>
            </w:r>
            <w:r>
              <w:rPr>
                <w:color w:val="3D4042"/>
                <w:spacing w:val="-7"/>
                <w:sz w:val="18"/>
              </w:rPr>
              <w:t> </w:t>
            </w:r>
            <w:r>
              <w:rPr>
                <w:color w:val="3D4042"/>
                <w:spacing w:val="-2"/>
                <w:sz w:val="18"/>
              </w:rPr>
              <w:t>своего</w:t>
            </w:r>
            <w:r>
              <w:rPr>
                <w:color w:val="3D4042"/>
                <w:spacing w:val="-7"/>
                <w:sz w:val="18"/>
              </w:rPr>
              <w:t> </w:t>
            </w:r>
            <w:r>
              <w:rPr>
                <w:color w:val="3D4042"/>
                <w:spacing w:val="-2"/>
                <w:sz w:val="18"/>
              </w:rPr>
              <w:t>обычного</w:t>
            </w:r>
            <w:r>
              <w:rPr>
                <w:color w:val="3D4042"/>
                <w:spacing w:val="-7"/>
                <w:sz w:val="18"/>
              </w:rPr>
              <w:t> </w:t>
            </w:r>
            <w:r>
              <w:rPr>
                <w:color w:val="3D4042"/>
                <w:spacing w:val="-2"/>
                <w:sz w:val="18"/>
              </w:rPr>
              <w:t>жительства</w:t>
            </w:r>
            <w:r>
              <w:rPr>
                <w:color w:val="3D4042"/>
                <w:spacing w:val="-7"/>
                <w:sz w:val="18"/>
              </w:rPr>
              <w:t> </w:t>
            </w:r>
            <w:r>
              <w:rPr>
                <w:color w:val="3D4042"/>
                <w:spacing w:val="-2"/>
                <w:sz w:val="18"/>
              </w:rPr>
              <w:t>внутри</w:t>
            </w:r>
            <w:r>
              <w:rPr>
                <w:color w:val="3D4042"/>
                <w:spacing w:val="-7"/>
                <w:sz w:val="18"/>
              </w:rPr>
              <w:t> </w:t>
            </w:r>
            <w:r>
              <w:rPr>
                <w:color w:val="3D4042"/>
                <w:spacing w:val="-2"/>
                <w:sz w:val="18"/>
              </w:rPr>
              <w:t>государства</w:t>
            </w:r>
            <w:r>
              <w:rPr>
                <w:color w:val="3D4042"/>
                <w:spacing w:val="-7"/>
                <w:sz w:val="18"/>
              </w:rPr>
              <w:t> </w:t>
            </w:r>
            <w:r>
              <w:rPr>
                <w:color w:val="3D4042"/>
                <w:spacing w:val="-2"/>
                <w:sz w:val="18"/>
              </w:rPr>
              <w:t>незави- </w:t>
            </w:r>
            <w:r>
              <w:rPr>
                <w:color w:val="3D4042"/>
                <w:sz w:val="18"/>
              </w:rPr>
              <w:t>симо</w:t>
            </w:r>
            <w:r>
              <w:rPr>
                <w:color w:val="3D4042"/>
                <w:spacing w:val="-12"/>
                <w:sz w:val="18"/>
              </w:rPr>
              <w:t> </w:t>
            </w:r>
            <w:r>
              <w:rPr>
                <w:color w:val="3D4042"/>
                <w:sz w:val="18"/>
              </w:rPr>
              <w:t>от</w:t>
            </w:r>
            <w:r>
              <w:rPr>
                <w:color w:val="3D4042"/>
                <w:spacing w:val="-11"/>
                <w:sz w:val="18"/>
              </w:rPr>
              <w:t> </w:t>
            </w:r>
            <w:r>
              <w:rPr>
                <w:color w:val="3D4042"/>
                <w:sz w:val="18"/>
              </w:rPr>
              <w:t>юридического</w:t>
            </w:r>
            <w:r>
              <w:rPr>
                <w:color w:val="3D4042"/>
                <w:spacing w:val="-11"/>
                <w:sz w:val="18"/>
              </w:rPr>
              <w:t> </w:t>
            </w:r>
            <w:r>
              <w:rPr>
                <w:color w:val="3D4042"/>
                <w:sz w:val="18"/>
              </w:rPr>
              <w:t>статуса</w:t>
            </w:r>
            <w:r>
              <w:rPr>
                <w:color w:val="3D4042"/>
                <w:spacing w:val="-11"/>
                <w:sz w:val="18"/>
              </w:rPr>
              <w:t> </w:t>
            </w:r>
            <w:r>
              <w:rPr>
                <w:color w:val="3D4042"/>
                <w:sz w:val="18"/>
              </w:rPr>
              <w:t>лица;</w:t>
            </w:r>
            <w:r>
              <w:rPr>
                <w:color w:val="3D4042"/>
                <w:spacing w:val="-12"/>
                <w:sz w:val="18"/>
              </w:rPr>
              <w:t> </w:t>
            </w:r>
            <w:r>
              <w:rPr>
                <w:color w:val="3D4042"/>
                <w:sz w:val="18"/>
              </w:rPr>
              <w:t>добровольного</w:t>
            </w:r>
            <w:r>
              <w:rPr>
                <w:color w:val="3D4042"/>
                <w:spacing w:val="-11"/>
                <w:sz w:val="18"/>
              </w:rPr>
              <w:t> </w:t>
            </w:r>
            <w:r>
              <w:rPr>
                <w:color w:val="3D4042"/>
                <w:sz w:val="18"/>
              </w:rPr>
              <w:t>или</w:t>
            </w:r>
            <w:r>
              <w:rPr>
                <w:color w:val="3D4042"/>
                <w:spacing w:val="-11"/>
                <w:sz w:val="18"/>
              </w:rPr>
              <w:t> </w:t>
            </w:r>
            <w:r>
              <w:rPr>
                <w:color w:val="3D4042"/>
                <w:sz w:val="18"/>
              </w:rPr>
              <w:t>недо- </w:t>
            </w:r>
            <w:r>
              <w:rPr>
                <w:color w:val="3D4042"/>
                <w:spacing w:val="-4"/>
                <w:sz w:val="18"/>
              </w:rPr>
              <w:t>бровольного</w:t>
            </w:r>
            <w:r>
              <w:rPr>
                <w:color w:val="3D4042"/>
                <w:spacing w:val="-8"/>
                <w:sz w:val="18"/>
              </w:rPr>
              <w:t> </w:t>
            </w:r>
            <w:r>
              <w:rPr>
                <w:color w:val="3D4042"/>
                <w:spacing w:val="-4"/>
                <w:sz w:val="18"/>
              </w:rPr>
              <w:t>характера</w:t>
            </w:r>
            <w:r>
              <w:rPr>
                <w:color w:val="3D4042"/>
                <w:spacing w:val="-7"/>
                <w:sz w:val="18"/>
              </w:rPr>
              <w:t> </w:t>
            </w:r>
            <w:r>
              <w:rPr>
                <w:color w:val="3D4042"/>
                <w:spacing w:val="-4"/>
                <w:sz w:val="18"/>
              </w:rPr>
              <w:t>перемещения;</w:t>
            </w:r>
            <w:r>
              <w:rPr>
                <w:color w:val="3D4042"/>
                <w:spacing w:val="-7"/>
                <w:sz w:val="18"/>
              </w:rPr>
              <w:t> </w:t>
            </w:r>
            <w:r>
              <w:rPr>
                <w:color w:val="3D4042"/>
                <w:spacing w:val="-4"/>
                <w:sz w:val="18"/>
              </w:rPr>
              <w:t>причин</w:t>
            </w:r>
            <w:r>
              <w:rPr>
                <w:color w:val="3D4042"/>
                <w:spacing w:val="-7"/>
                <w:sz w:val="18"/>
              </w:rPr>
              <w:t> </w:t>
            </w:r>
            <w:r>
              <w:rPr>
                <w:color w:val="3D4042"/>
                <w:spacing w:val="-4"/>
                <w:sz w:val="18"/>
              </w:rPr>
              <w:t>перемещения;</w:t>
            </w:r>
            <w:r>
              <w:rPr>
                <w:color w:val="3D4042"/>
                <w:spacing w:val="-8"/>
                <w:sz w:val="18"/>
              </w:rPr>
              <w:t> </w:t>
            </w:r>
            <w:r>
              <w:rPr>
                <w:color w:val="3D4042"/>
                <w:spacing w:val="-4"/>
                <w:sz w:val="18"/>
              </w:rPr>
              <w:t>или продолжительности пребывания (Международная организация </w:t>
            </w:r>
            <w:r>
              <w:rPr>
                <w:color w:val="3D4042"/>
                <w:sz w:val="18"/>
              </w:rPr>
              <w:t>по Миграции, МОМ).</w:t>
            </w:r>
          </w:p>
        </w:tc>
      </w:tr>
    </w:tbl>
    <w:p>
      <w:pPr>
        <w:pStyle w:val="TableParagraph"/>
        <w:spacing w:after="0" w:line="225" w:lineRule="auto"/>
        <w:jc w:val="both"/>
        <w:rPr>
          <w:sz w:val="18"/>
        </w:rPr>
        <w:sectPr>
          <w:pgSz w:w="8400" w:h="11910"/>
          <w:pgMar w:header="0" w:footer="527" w:top="820" w:bottom="740" w:left="425" w:right="425"/>
        </w:sectPr>
      </w:pPr>
    </w:p>
    <w:p>
      <w:pPr>
        <w:pStyle w:val="BodyText"/>
        <w:spacing w:before="1"/>
        <w:ind w:left="0" w:right="0" w:firstLine="0"/>
        <w:jc w:val="left"/>
        <w:rPr>
          <w:b/>
          <w:sz w:val="2"/>
        </w:rPr>
      </w:pPr>
    </w:p>
    <w:tbl>
      <w:tblPr>
        <w:tblW w:w="0" w:type="auto"/>
        <w:jc w:val="left"/>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353"/>
        <w:gridCol w:w="4893"/>
      </w:tblGrid>
      <w:tr>
        <w:trPr>
          <w:trHeight w:val="578" w:hRule="atLeast"/>
        </w:trPr>
        <w:tc>
          <w:tcPr>
            <w:tcW w:w="2353" w:type="dxa"/>
            <w:shd w:val="clear" w:color="auto" w:fill="ECECEA"/>
          </w:tcPr>
          <w:p>
            <w:pPr>
              <w:pStyle w:val="TableParagraph"/>
              <w:spacing w:before="182"/>
              <w:ind w:left="350"/>
              <w:rPr>
                <w:b/>
                <w:sz w:val="18"/>
              </w:rPr>
            </w:pPr>
            <w:r>
              <w:rPr>
                <w:b/>
                <w:spacing w:val="-2"/>
                <w:sz w:val="18"/>
              </w:rPr>
              <w:t>Термин/сокращение</w:t>
            </w:r>
          </w:p>
        </w:tc>
        <w:tc>
          <w:tcPr>
            <w:tcW w:w="4893" w:type="dxa"/>
            <w:shd w:val="clear" w:color="auto" w:fill="ECECEA"/>
          </w:tcPr>
          <w:p>
            <w:pPr>
              <w:pStyle w:val="TableParagraph"/>
              <w:spacing w:before="182"/>
              <w:ind w:left="11"/>
              <w:jc w:val="center"/>
              <w:rPr>
                <w:b/>
                <w:sz w:val="18"/>
              </w:rPr>
            </w:pPr>
            <w:r>
              <w:rPr>
                <w:b/>
                <w:spacing w:val="-2"/>
                <w:sz w:val="18"/>
              </w:rPr>
              <w:t>Определение</w:t>
            </w:r>
          </w:p>
        </w:tc>
      </w:tr>
      <w:tr>
        <w:trPr>
          <w:trHeight w:val="1474" w:hRule="atLeast"/>
        </w:trPr>
        <w:tc>
          <w:tcPr>
            <w:tcW w:w="2353" w:type="dxa"/>
          </w:tcPr>
          <w:p>
            <w:pPr>
              <w:pStyle w:val="TableParagraph"/>
              <w:spacing w:before="31"/>
              <w:ind w:left="79"/>
              <w:rPr>
                <w:sz w:val="18"/>
              </w:rPr>
            </w:pPr>
            <w:r>
              <w:rPr>
                <w:color w:val="121619"/>
                <w:sz w:val="18"/>
              </w:rPr>
              <w:t>Народ,</w:t>
            </w:r>
            <w:r>
              <w:rPr>
                <w:color w:val="121619"/>
                <w:spacing w:val="-6"/>
                <w:sz w:val="18"/>
              </w:rPr>
              <w:t> </w:t>
            </w:r>
            <w:r>
              <w:rPr>
                <w:color w:val="121619"/>
                <w:spacing w:val="-2"/>
                <w:sz w:val="18"/>
              </w:rPr>
              <w:t>народность</w:t>
            </w:r>
          </w:p>
        </w:tc>
        <w:tc>
          <w:tcPr>
            <w:tcW w:w="4893" w:type="dxa"/>
          </w:tcPr>
          <w:p>
            <w:pPr>
              <w:pStyle w:val="TableParagraph"/>
              <w:spacing w:line="232" w:lineRule="auto" w:before="36"/>
              <w:ind w:left="80" w:right="67"/>
              <w:jc w:val="both"/>
              <w:rPr>
                <w:sz w:val="18"/>
              </w:rPr>
            </w:pPr>
            <w:r>
              <w:rPr>
                <w:color w:val="121619"/>
                <w:sz w:val="18"/>
              </w:rPr>
              <w:t>То</w:t>
            </w:r>
            <w:r>
              <w:rPr>
                <w:color w:val="121619"/>
                <w:spacing w:val="-8"/>
                <w:sz w:val="18"/>
              </w:rPr>
              <w:t> </w:t>
            </w:r>
            <w:r>
              <w:rPr>
                <w:color w:val="121619"/>
                <w:sz w:val="18"/>
              </w:rPr>
              <w:t>же</w:t>
            </w:r>
            <w:r>
              <w:rPr>
                <w:color w:val="121619"/>
                <w:spacing w:val="-8"/>
                <w:sz w:val="18"/>
              </w:rPr>
              <w:t> </w:t>
            </w:r>
            <w:r>
              <w:rPr>
                <w:color w:val="121619"/>
                <w:sz w:val="18"/>
              </w:rPr>
              <w:t>самое,</w:t>
            </w:r>
            <w:r>
              <w:rPr>
                <w:color w:val="121619"/>
                <w:spacing w:val="-8"/>
                <w:sz w:val="18"/>
              </w:rPr>
              <w:t> </w:t>
            </w:r>
            <w:r>
              <w:rPr>
                <w:color w:val="121619"/>
                <w:sz w:val="18"/>
              </w:rPr>
              <w:t>что</w:t>
            </w:r>
            <w:r>
              <w:rPr>
                <w:color w:val="121619"/>
                <w:spacing w:val="-8"/>
                <w:sz w:val="18"/>
              </w:rPr>
              <w:t> </w:t>
            </w:r>
            <w:r>
              <w:rPr>
                <w:color w:val="121619"/>
                <w:sz w:val="18"/>
              </w:rPr>
              <w:t>этнос</w:t>
            </w:r>
            <w:r>
              <w:rPr>
                <w:color w:val="121619"/>
                <w:spacing w:val="-8"/>
                <w:sz w:val="18"/>
              </w:rPr>
              <w:t> </w:t>
            </w:r>
            <w:r>
              <w:rPr>
                <w:color w:val="121619"/>
                <w:sz w:val="18"/>
              </w:rPr>
              <w:t>или</w:t>
            </w:r>
            <w:r>
              <w:rPr>
                <w:color w:val="121619"/>
                <w:spacing w:val="-8"/>
                <w:sz w:val="18"/>
              </w:rPr>
              <w:t> </w:t>
            </w:r>
            <w:r>
              <w:rPr>
                <w:color w:val="121619"/>
                <w:sz w:val="18"/>
              </w:rPr>
              <w:t>этническая</w:t>
            </w:r>
            <w:r>
              <w:rPr>
                <w:color w:val="121619"/>
                <w:spacing w:val="-8"/>
                <w:sz w:val="18"/>
              </w:rPr>
              <w:t> </w:t>
            </w:r>
            <w:r>
              <w:rPr>
                <w:color w:val="121619"/>
                <w:sz w:val="18"/>
              </w:rPr>
              <w:t>группа.</w:t>
            </w:r>
            <w:r>
              <w:rPr>
                <w:color w:val="121619"/>
                <w:spacing w:val="-8"/>
                <w:sz w:val="18"/>
              </w:rPr>
              <w:t> </w:t>
            </w:r>
            <w:r>
              <w:rPr>
                <w:color w:val="121619"/>
                <w:sz w:val="18"/>
              </w:rPr>
              <w:t>Иногда</w:t>
            </w:r>
            <w:r>
              <w:rPr>
                <w:color w:val="121619"/>
                <w:spacing w:val="-8"/>
                <w:sz w:val="18"/>
              </w:rPr>
              <w:t> </w:t>
            </w:r>
            <w:r>
              <w:rPr>
                <w:color w:val="121619"/>
                <w:sz w:val="18"/>
              </w:rPr>
              <w:t>терми- ны</w:t>
            </w:r>
            <w:r>
              <w:rPr>
                <w:color w:val="121619"/>
                <w:spacing w:val="-1"/>
                <w:sz w:val="18"/>
              </w:rPr>
              <w:t> </w:t>
            </w:r>
            <w:r>
              <w:rPr>
                <w:color w:val="121619"/>
                <w:sz w:val="18"/>
              </w:rPr>
              <w:t>народы</w:t>
            </w:r>
            <w:r>
              <w:rPr>
                <w:color w:val="121619"/>
                <w:spacing w:val="-1"/>
                <w:sz w:val="18"/>
              </w:rPr>
              <w:t> </w:t>
            </w:r>
            <w:r>
              <w:rPr>
                <w:color w:val="121619"/>
                <w:sz w:val="18"/>
              </w:rPr>
              <w:t>и</w:t>
            </w:r>
            <w:r>
              <w:rPr>
                <w:color w:val="121619"/>
                <w:spacing w:val="-1"/>
                <w:sz w:val="18"/>
              </w:rPr>
              <w:t> </w:t>
            </w:r>
            <w:r>
              <w:rPr>
                <w:color w:val="121619"/>
                <w:sz w:val="18"/>
              </w:rPr>
              <w:t>народности</w:t>
            </w:r>
            <w:r>
              <w:rPr>
                <w:color w:val="121619"/>
                <w:spacing w:val="-1"/>
                <w:sz w:val="18"/>
              </w:rPr>
              <w:t> </w:t>
            </w:r>
            <w:r>
              <w:rPr>
                <w:color w:val="121619"/>
                <w:sz w:val="18"/>
              </w:rPr>
              <w:t>используются</w:t>
            </w:r>
            <w:r>
              <w:rPr>
                <w:color w:val="121619"/>
                <w:spacing w:val="-1"/>
                <w:sz w:val="18"/>
              </w:rPr>
              <w:t> </w:t>
            </w:r>
            <w:r>
              <w:rPr>
                <w:color w:val="121619"/>
                <w:sz w:val="18"/>
              </w:rPr>
              <w:t>совместно,</w:t>
            </w:r>
            <w:r>
              <w:rPr>
                <w:color w:val="121619"/>
                <w:spacing w:val="-1"/>
                <w:sz w:val="18"/>
              </w:rPr>
              <w:t> </w:t>
            </w:r>
            <w:r>
              <w:rPr>
                <w:color w:val="121619"/>
                <w:sz w:val="18"/>
              </w:rPr>
              <w:t>чтобы</w:t>
            </w:r>
            <w:r>
              <w:rPr>
                <w:color w:val="121619"/>
                <w:spacing w:val="-1"/>
                <w:sz w:val="18"/>
              </w:rPr>
              <w:t> </w:t>
            </w:r>
            <w:r>
              <w:rPr>
                <w:color w:val="121619"/>
                <w:sz w:val="18"/>
              </w:rPr>
              <w:t>ар- тикулировать представления об иерархии этнических групп. Однако в настоящее время представление о том, что этниче- ские группы можно классифицировать на народности и пр, является</w:t>
            </w:r>
            <w:r>
              <w:rPr>
                <w:color w:val="121619"/>
                <w:spacing w:val="9"/>
                <w:sz w:val="18"/>
              </w:rPr>
              <w:t> </w:t>
            </w:r>
            <w:r>
              <w:rPr>
                <w:color w:val="121619"/>
                <w:sz w:val="18"/>
              </w:rPr>
              <w:t>устаревшим.</w:t>
            </w:r>
            <w:r>
              <w:rPr>
                <w:color w:val="121619"/>
                <w:spacing w:val="11"/>
                <w:sz w:val="18"/>
              </w:rPr>
              <w:t> </w:t>
            </w:r>
            <w:r>
              <w:rPr>
                <w:color w:val="121619"/>
                <w:sz w:val="18"/>
              </w:rPr>
              <w:t>Более</w:t>
            </w:r>
            <w:r>
              <w:rPr>
                <w:color w:val="121619"/>
                <w:spacing w:val="11"/>
                <w:sz w:val="18"/>
              </w:rPr>
              <w:t> </w:t>
            </w:r>
            <w:r>
              <w:rPr>
                <w:color w:val="121619"/>
                <w:sz w:val="18"/>
              </w:rPr>
              <w:t>корректно</w:t>
            </w:r>
            <w:r>
              <w:rPr>
                <w:color w:val="121619"/>
                <w:spacing w:val="11"/>
                <w:sz w:val="18"/>
              </w:rPr>
              <w:t> </w:t>
            </w:r>
            <w:r>
              <w:rPr>
                <w:color w:val="121619"/>
                <w:sz w:val="18"/>
              </w:rPr>
              <w:t>использовать</w:t>
            </w:r>
            <w:r>
              <w:rPr>
                <w:color w:val="121619"/>
                <w:spacing w:val="11"/>
                <w:sz w:val="18"/>
              </w:rPr>
              <w:t> </w:t>
            </w:r>
            <w:r>
              <w:rPr>
                <w:color w:val="121619"/>
                <w:spacing w:val="-2"/>
                <w:sz w:val="18"/>
              </w:rPr>
              <w:t>термин</w:t>
            </w:r>
          </w:p>
          <w:p>
            <w:pPr>
              <w:pStyle w:val="TableParagraph"/>
              <w:spacing w:line="197" w:lineRule="exact"/>
              <w:ind w:left="80"/>
              <w:jc w:val="both"/>
              <w:rPr>
                <w:sz w:val="18"/>
              </w:rPr>
            </w:pPr>
            <w:r>
              <w:rPr>
                <w:color w:val="121619"/>
                <w:sz w:val="18"/>
              </w:rPr>
              <w:t>«народ»,</w:t>
            </w:r>
            <w:r>
              <w:rPr>
                <w:color w:val="121619"/>
                <w:spacing w:val="-3"/>
                <w:sz w:val="18"/>
              </w:rPr>
              <w:t> </w:t>
            </w:r>
            <w:r>
              <w:rPr>
                <w:color w:val="121619"/>
                <w:sz w:val="18"/>
              </w:rPr>
              <w:t>чем</w:t>
            </w:r>
            <w:r>
              <w:rPr>
                <w:color w:val="121619"/>
                <w:spacing w:val="-3"/>
                <w:sz w:val="18"/>
              </w:rPr>
              <w:t> </w:t>
            </w:r>
            <w:r>
              <w:rPr>
                <w:color w:val="121619"/>
                <w:spacing w:val="-2"/>
                <w:sz w:val="18"/>
              </w:rPr>
              <w:t>«народность».</w:t>
            </w:r>
          </w:p>
        </w:tc>
      </w:tr>
      <w:tr>
        <w:trPr>
          <w:trHeight w:val="1074" w:hRule="atLeast"/>
        </w:trPr>
        <w:tc>
          <w:tcPr>
            <w:tcW w:w="2353" w:type="dxa"/>
          </w:tcPr>
          <w:p>
            <w:pPr>
              <w:pStyle w:val="TableParagraph"/>
              <w:spacing w:before="31"/>
              <w:ind w:left="79"/>
              <w:rPr>
                <w:sz w:val="18"/>
              </w:rPr>
            </w:pPr>
            <w:r>
              <w:rPr>
                <w:color w:val="121619"/>
                <w:spacing w:val="-2"/>
                <w:sz w:val="18"/>
              </w:rPr>
              <w:t>Национальность</w:t>
            </w:r>
          </w:p>
        </w:tc>
        <w:tc>
          <w:tcPr>
            <w:tcW w:w="4893" w:type="dxa"/>
          </w:tcPr>
          <w:p>
            <w:pPr>
              <w:pStyle w:val="TableParagraph"/>
              <w:spacing w:line="232" w:lineRule="auto" w:before="36"/>
              <w:ind w:left="80" w:right="67"/>
              <w:jc w:val="both"/>
              <w:rPr>
                <w:sz w:val="18"/>
              </w:rPr>
            </w:pPr>
            <w:r>
              <w:rPr>
                <w:sz w:val="18"/>
              </w:rPr>
              <w:t>Статистическая категория, отражающая принадлежность от- дельных людей к этническим группам и фиксируемая в не- которых официальных документах на основании желания заявителя. Группы людей (народы, этносы и др.) не следует называть национальностями.</w:t>
            </w:r>
          </w:p>
        </w:tc>
      </w:tr>
      <w:tr>
        <w:trPr>
          <w:trHeight w:val="1074" w:hRule="atLeast"/>
        </w:trPr>
        <w:tc>
          <w:tcPr>
            <w:tcW w:w="2353" w:type="dxa"/>
          </w:tcPr>
          <w:p>
            <w:pPr>
              <w:pStyle w:val="TableParagraph"/>
              <w:spacing w:before="31"/>
              <w:ind w:left="79"/>
              <w:rPr>
                <w:sz w:val="18"/>
              </w:rPr>
            </w:pPr>
            <w:r>
              <w:rPr>
                <w:color w:val="121619"/>
                <w:spacing w:val="-2"/>
                <w:sz w:val="18"/>
              </w:rPr>
              <w:t>Нация</w:t>
            </w:r>
          </w:p>
        </w:tc>
        <w:tc>
          <w:tcPr>
            <w:tcW w:w="4893" w:type="dxa"/>
          </w:tcPr>
          <w:p>
            <w:pPr>
              <w:pStyle w:val="TableParagraph"/>
              <w:spacing w:line="232" w:lineRule="auto" w:before="36"/>
              <w:ind w:left="80" w:right="66"/>
              <w:jc w:val="both"/>
              <w:rPr>
                <w:sz w:val="18"/>
              </w:rPr>
            </w:pPr>
            <w:r>
              <w:rPr>
                <w:color w:val="121619"/>
                <w:sz w:val="18"/>
              </w:rPr>
              <w:t>Государственно-гражданская общность (например россий- ская</w:t>
            </w:r>
            <w:r>
              <w:rPr>
                <w:color w:val="121619"/>
                <w:spacing w:val="-8"/>
                <w:sz w:val="18"/>
              </w:rPr>
              <w:t> </w:t>
            </w:r>
            <w:r>
              <w:rPr>
                <w:color w:val="121619"/>
                <w:sz w:val="18"/>
              </w:rPr>
              <w:t>нация),</w:t>
            </w:r>
            <w:r>
              <w:rPr>
                <w:color w:val="121619"/>
                <w:spacing w:val="-8"/>
                <w:sz w:val="18"/>
              </w:rPr>
              <w:t> </w:t>
            </w:r>
            <w:r>
              <w:rPr>
                <w:color w:val="121619"/>
                <w:sz w:val="18"/>
              </w:rPr>
              <w:t>объединяющая</w:t>
            </w:r>
            <w:r>
              <w:rPr>
                <w:color w:val="121619"/>
                <w:spacing w:val="-8"/>
                <w:sz w:val="18"/>
              </w:rPr>
              <w:t> </w:t>
            </w:r>
            <w:r>
              <w:rPr>
                <w:color w:val="121619"/>
                <w:sz w:val="18"/>
              </w:rPr>
              <w:t>всех</w:t>
            </w:r>
            <w:r>
              <w:rPr>
                <w:color w:val="121619"/>
                <w:spacing w:val="-8"/>
                <w:sz w:val="18"/>
              </w:rPr>
              <w:t> </w:t>
            </w:r>
            <w:r>
              <w:rPr>
                <w:color w:val="121619"/>
                <w:sz w:val="18"/>
              </w:rPr>
              <w:t>граждан</w:t>
            </w:r>
            <w:r>
              <w:rPr>
                <w:color w:val="121619"/>
                <w:spacing w:val="-8"/>
                <w:sz w:val="18"/>
              </w:rPr>
              <w:t> </w:t>
            </w:r>
            <w:r>
              <w:rPr>
                <w:color w:val="121619"/>
                <w:sz w:val="18"/>
              </w:rPr>
              <w:t>страны,</w:t>
            </w:r>
            <w:r>
              <w:rPr>
                <w:color w:val="121619"/>
                <w:spacing w:val="-8"/>
                <w:sz w:val="18"/>
              </w:rPr>
              <w:t> </w:t>
            </w:r>
            <w:r>
              <w:rPr>
                <w:color w:val="121619"/>
                <w:sz w:val="18"/>
              </w:rPr>
              <w:t>вне</w:t>
            </w:r>
            <w:r>
              <w:rPr>
                <w:color w:val="121619"/>
                <w:spacing w:val="-8"/>
                <w:sz w:val="18"/>
              </w:rPr>
              <w:t> </w:t>
            </w:r>
            <w:r>
              <w:rPr>
                <w:color w:val="121619"/>
                <w:sz w:val="18"/>
              </w:rPr>
              <w:t>зависи- мости от их этнической принадлежности (Дробижева Л.М.). В</w:t>
            </w:r>
            <w:r>
              <w:rPr>
                <w:color w:val="121619"/>
                <w:spacing w:val="-12"/>
                <w:sz w:val="18"/>
              </w:rPr>
              <w:t> </w:t>
            </w:r>
            <w:r>
              <w:rPr>
                <w:color w:val="121619"/>
                <w:sz w:val="18"/>
              </w:rPr>
              <w:t>ряде</w:t>
            </w:r>
            <w:r>
              <w:rPr>
                <w:color w:val="121619"/>
                <w:spacing w:val="-11"/>
                <w:sz w:val="18"/>
              </w:rPr>
              <w:t> </w:t>
            </w:r>
            <w:r>
              <w:rPr>
                <w:color w:val="121619"/>
                <w:sz w:val="18"/>
              </w:rPr>
              <w:t>случаев</w:t>
            </w:r>
            <w:r>
              <w:rPr>
                <w:color w:val="121619"/>
                <w:spacing w:val="-11"/>
                <w:sz w:val="18"/>
              </w:rPr>
              <w:t> </w:t>
            </w:r>
            <w:r>
              <w:rPr>
                <w:color w:val="121619"/>
                <w:sz w:val="18"/>
              </w:rPr>
              <w:t>употребляется</w:t>
            </w:r>
            <w:r>
              <w:rPr>
                <w:color w:val="121619"/>
                <w:spacing w:val="-11"/>
                <w:sz w:val="18"/>
              </w:rPr>
              <w:t> </w:t>
            </w:r>
            <w:r>
              <w:rPr>
                <w:color w:val="121619"/>
                <w:sz w:val="18"/>
              </w:rPr>
              <w:t>как</w:t>
            </w:r>
            <w:r>
              <w:rPr>
                <w:color w:val="121619"/>
                <w:spacing w:val="-12"/>
                <w:sz w:val="18"/>
              </w:rPr>
              <w:t> </w:t>
            </w:r>
            <w:r>
              <w:rPr>
                <w:color w:val="121619"/>
                <w:sz w:val="18"/>
              </w:rPr>
              <w:t>синоним</w:t>
            </w:r>
            <w:r>
              <w:rPr>
                <w:color w:val="121619"/>
                <w:spacing w:val="-11"/>
                <w:sz w:val="18"/>
              </w:rPr>
              <w:t> </w:t>
            </w:r>
            <w:r>
              <w:rPr>
                <w:color w:val="121619"/>
                <w:sz w:val="18"/>
              </w:rPr>
              <w:t>этноса/этнической группы («этно-нация»).</w:t>
            </w:r>
          </w:p>
        </w:tc>
      </w:tr>
      <w:tr>
        <w:trPr>
          <w:trHeight w:val="1274" w:hRule="atLeast"/>
        </w:trPr>
        <w:tc>
          <w:tcPr>
            <w:tcW w:w="2353" w:type="dxa"/>
          </w:tcPr>
          <w:p>
            <w:pPr>
              <w:pStyle w:val="TableParagraph"/>
              <w:spacing w:before="31"/>
              <w:ind w:left="79"/>
              <w:rPr>
                <w:sz w:val="18"/>
              </w:rPr>
            </w:pPr>
            <w:r>
              <w:rPr>
                <w:sz w:val="18"/>
              </w:rPr>
              <w:t>Этническая</w:t>
            </w:r>
            <w:r>
              <w:rPr>
                <w:spacing w:val="-1"/>
                <w:sz w:val="18"/>
              </w:rPr>
              <w:t> </w:t>
            </w:r>
            <w:r>
              <w:rPr>
                <w:sz w:val="18"/>
              </w:rPr>
              <w:t>группа,</w:t>
            </w:r>
            <w:r>
              <w:rPr>
                <w:spacing w:val="-1"/>
                <w:sz w:val="18"/>
              </w:rPr>
              <w:t> </w:t>
            </w:r>
            <w:r>
              <w:rPr>
                <w:spacing w:val="-4"/>
                <w:sz w:val="18"/>
              </w:rPr>
              <w:t>Этнос</w:t>
            </w:r>
          </w:p>
        </w:tc>
        <w:tc>
          <w:tcPr>
            <w:tcW w:w="4893" w:type="dxa"/>
          </w:tcPr>
          <w:p>
            <w:pPr>
              <w:pStyle w:val="TableParagraph"/>
              <w:spacing w:line="232" w:lineRule="auto" w:before="37"/>
              <w:ind w:left="80" w:right="67"/>
              <w:jc w:val="both"/>
              <w:rPr>
                <w:sz w:val="18"/>
              </w:rPr>
            </w:pPr>
            <w:r>
              <w:rPr>
                <w:sz w:val="18"/>
              </w:rPr>
              <w:t>Устойчивая в своем существовании групп</w:t>
            </w:r>
            <w:r>
              <w:rPr>
                <w:color w:val="231F20"/>
                <w:sz w:val="18"/>
              </w:rPr>
              <w:t>а </w:t>
            </w:r>
            <w:r>
              <w:rPr>
                <w:sz w:val="18"/>
              </w:rPr>
              <w:t>людей, осознаю- щих себя ее членами на основе любых признаков, восприни- маемых как этнодифференцирующие (Стефаненко Т.Г.). Это общность на основе культурной самоидентификации по от- ношению</w:t>
            </w:r>
            <w:r>
              <w:rPr>
                <w:spacing w:val="-12"/>
                <w:sz w:val="18"/>
              </w:rPr>
              <w:t> </w:t>
            </w:r>
            <w:r>
              <w:rPr>
                <w:sz w:val="18"/>
              </w:rPr>
              <w:t>к</w:t>
            </w:r>
            <w:r>
              <w:rPr>
                <w:spacing w:val="-11"/>
                <w:sz w:val="18"/>
              </w:rPr>
              <w:t> </w:t>
            </w:r>
            <w:r>
              <w:rPr>
                <w:sz w:val="18"/>
              </w:rPr>
              <w:t>другим</w:t>
            </w:r>
            <w:r>
              <w:rPr>
                <w:spacing w:val="-11"/>
                <w:sz w:val="18"/>
              </w:rPr>
              <w:t> </w:t>
            </w:r>
            <w:r>
              <w:rPr>
                <w:sz w:val="18"/>
              </w:rPr>
              <w:t>общностям,</w:t>
            </w:r>
            <w:r>
              <w:rPr>
                <w:spacing w:val="-11"/>
                <w:sz w:val="18"/>
              </w:rPr>
              <w:t> </w:t>
            </w:r>
            <w:r>
              <w:rPr>
                <w:sz w:val="18"/>
              </w:rPr>
              <w:t>с</w:t>
            </w:r>
            <w:r>
              <w:rPr>
                <w:spacing w:val="-12"/>
                <w:sz w:val="18"/>
              </w:rPr>
              <w:t> </w:t>
            </w:r>
            <w:r>
              <w:rPr>
                <w:sz w:val="18"/>
              </w:rPr>
              <w:t>которыми</w:t>
            </w:r>
            <w:r>
              <w:rPr>
                <w:spacing w:val="-11"/>
                <w:sz w:val="18"/>
              </w:rPr>
              <w:t> </w:t>
            </w:r>
            <w:r>
              <w:rPr>
                <w:sz w:val="18"/>
              </w:rPr>
              <w:t>она</w:t>
            </w:r>
            <w:r>
              <w:rPr>
                <w:spacing w:val="-11"/>
                <w:sz w:val="18"/>
              </w:rPr>
              <w:t> </w:t>
            </w:r>
            <w:r>
              <w:rPr>
                <w:sz w:val="18"/>
              </w:rPr>
              <w:t>связана</w:t>
            </w:r>
            <w:r>
              <w:rPr>
                <w:spacing w:val="-11"/>
                <w:sz w:val="18"/>
              </w:rPr>
              <w:t> </w:t>
            </w:r>
            <w:r>
              <w:rPr>
                <w:sz w:val="18"/>
              </w:rPr>
              <w:t>(Тиш- ков В.А.).</w:t>
            </w:r>
          </w:p>
        </w:tc>
      </w:tr>
      <w:tr>
        <w:trPr>
          <w:trHeight w:val="1074" w:hRule="atLeast"/>
        </w:trPr>
        <w:tc>
          <w:tcPr>
            <w:tcW w:w="2353" w:type="dxa"/>
          </w:tcPr>
          <w:p>
            <w:pPr>
              <w:pStyle w:val="TableParagraph"/>
              <w:spacing w:before="31"/>
              <w:ind w:left="79"/>
              <w:rPr>
                <w:sz w:val="18"/>
              </w:rPr>
            </w:pPr>
            <w:r>
              <w:rPr>
                <w:color w:val="121619"/>
                <w:sz w:val="18"/>
              </w:rPr>
              <w:t>Этническая</w:t>
            </w:r>
            <w:r>
              <w:rPr>
                <w:color w:val="121619"/>
                <w:spacing w:val="1"/>
                <w:sz w:val="18"/>
              </w:rPr>
              <w:t> </w:t>
            </w:r>
            <w:r>
              <w:rPr>
                <w:color w:val="121619"/>
                <w:spacing w:val="-2"/>
                <w:sz w:val="18"/>
              </w:rPr>
              <w:t>идентичность</w:t>
            </w:r>
          </w:p>
        </w:tc>
        <w:tc>
          <w:tcPr>
            <w:tcW w:w="4893" w:type="dxa"/>
          </w:tcPr>
          <w:p>
            <w:pPr>
              <w:pStyle w:val="TableParagraph"/>
              <w:spacing w:line="232" w:lineRule="auto" w:before="36"/>
              <w:ind w:left="80" w:right="66"/>
              <w:jc w:val="both"/>
              <w:rPr>
                <w:sz w:val="18"/>
              </w:rPr>
            </w:pPr>
            <w:r>
              <w:rPr>
                <w:sz w:val="18"/>
              </w:rPr>
              <w:t>Представление о себе как о члене этнической группы, бази- рующееся</w:t>
            </w:r>
            <w:r>
              <w:rPr>
                <w:spacing w:val="-8"/>
                <w:sz w:val="18"/>
              </w:rPr>
              <w:t> </w:t>
            </w:r>
            <w:r>
              <w:rPr>
                <w:sz w:val="18"/>
              </w:rPr>
              <w:t>на</w:t>
            </w:r>
            <w:r>
              <w:rPr>
                <w:spacing w:val="-8"/>
                <w:sz w:val="18"/>
              </w:rPr>
              <w:t> </w:t>
            </w:r>
            <w:r>
              <w:rPr>
                <w:sz w:val="18"/>
              </w:rPr>
              <w:t>представлениях</w:t>
            </w:r>
            <w:r>
              <w:rPr>
                <w:spacing w:val="-8"/>
                <w:sz w:val="18"/>
              </w:rPr>
              <w:t> </w:t>
            </w:r>
            <w:r>
              <w:rPr>
                <w:sz w:val="18"/>
              </w:rPr>
              <w:t>о</w:t>
            </w:r>
            <w:r>
              <w:rPr>
                <w:spacing w:val="-8"/>
                <w:sz w:val="18"/>
              </w:rPr>
              <w:t> </w:t>
            </w:r>
            <w:r>
              <w:rPr>
                <w:sz w:val="18"/>
              </w:rPr>
              <w:t>своей</w:t>
            </w:r>
            <w:r>
              <w:rPr>
                <w:spacing w:val="-8"/>
                <w:sz w:val="18"/>
              </w:rPr>
              <w:t> </w:t>
            </w:r>
            <w:r>
              <w:rPr>
                <w:sz w:val="18"/>
              </w:rPr>
              <w:t>национальности,</w:t>
            </w:r>
            <w:r>
              <w:rPr>
                <w:spacing w:val="-8"/>
                <w:sz w:val="18"/>
              </w:rPr>
              <w:t> </w:t>
            </w:r>
            <w:r>
              <w:rPr>
                <w:sz w:val="18"/>
              </w:rPr>
              <w:t>языке, культуре, истории, территории, интересах, </w:t>
            </w:r>
            <w:r>
              <w:rPr>
                <w:sz w:val="18"/>
              </w:rPr>
              <w:t>эмоциональном отношении к ним и при определенных условиях готовности действовать во имя этих представлений (Дробижева Л.М.).</w:t>
            </w:r>
          </w:p>
        </w:tc>
      </w:tr>
      <w:tr>
        <w:trPr>
          <w:trHeight w:val="1074" w:hRule="atLeast"/>
        </w:trPr>
        <w:tc>
          <w:tcPr>
            <w:tcW w:w="2353" w:type="dxa"/>
          </w:tcPr>
          <w:p>
            <w:pPr>
              <w:pStyle w:val="TableParagraph"/>
              <w:spacing w:before="31"/>
              <w:ind w:left="79"/>
              <w:rPr>
                <w:sz w:val="18"/>
              </w:rPr>
            </w:pPr>
            <w:r>
              <w:rPr>
                <w:sz w:val="18"/>
              </w:rPr>
              <w:t>Этнические</w:t>
            </w:r>
            <w:r>
              <w:rPr>
                <w:spacing w:val="4"/>
                <w:sz w:val="18"/>
              </w:rPr>
              <w:t> </w:t>
            </w:r>
            <w:r>
              <w:rPr>
                <w:spacing w:val="-2"/>
                <w:sz w:val="18"/>
              </w:rPr>
              <w:t>меньшинства</w:t>
            </w:r>
          </w:p>
        </w:tc>
        <w:tc>
          <w:tcPr>
            <w:tcW w:w="4893" w:type="dxa"/>
          </w:tcPr>
          <w:p>
            <w:pPr>
              <w:pStyle w:val="TableParagraph"/>
              <w:spacing w:line="232" w:lineRule="auto" w:before="36"/>
              <w:ind w:left="80" w:right="66"/>
              <w:jc w:val="both"/>
              <w:rPr>
                <w:sz w:val="18"/>
              </w:rPr>
            </w:pPr>
            <w:r>
              <w:rPr>
                <w:color w:val="231F20"/>
                <w:sz w:val="18"/>
              </w:rPr>
              <w:t>Группы,</w:t>
            </w:r>
            <w:r>
              <w:rPr>
                <w:color w:val="231F20"/>
                <w:spacing w:val="40"/>
                <w:sz w:val="18"/>
              </w:rPr>
              <w:t> </w:t>
            </w:r>
            <w:r>
              <w:rPr>
                <w:color w:val="231F20"/>
                <w:sz w:val="18"/>
              </w:rPr>
              <w:t>численно</w:t>
            </w:r>
            <w:r>
              <w:rPr>
                <w:color w:val="231F20"/>
                <w:spacing w:val="40"/>
                <w:sz w:val="18"/>
              </w:rPr>
              <w:t> </w:t>
            </w:r>
            <w:r>
              <w:rPr>
                <w:color w:val="231F20"/>
                <w:sz w:val="18"/>
              </w:rPr>
              <w:t>меньшие,</w:t>
            </w:r>
            <w:r>
              <w:rPr>
                <w:color w:val="231F20"/>
                <w:spacing w:val="40"/>
                <w:sz w:val="18"/>
              </w:rPr>
              <w:t> </w:t>
            </w:r>
            <w:r>
              <w:rPr>
                <w:color w:val="231F20"/>
                <w:sz w:val="18"/>
              </w:rPr>
              <w:t>чем</w:t>
            </w:r>
            <w:r>
              <w:rPr>
                <w:color w:val="231F20"/>
                <w:spacing w:val="40"/>
                <w:sz w:val="18"/>
              </w:rPr>
              <w:t> </w:t>
            </w:r>
            <w:r>
              <w:rPr>
                <w:color w:val="231F20"/>
                <w:sz w:val="18"/>
              </w:rPr>
              <w:t>этническое</w:t>
            </w:r>
            <w:r>
              <w:rPr>
                <w:color w:val="231F20"/>
                <w:spacing w:val="40"/>
                <w:sz w:val="18"/>
              </w:rPr>
              <w:t> </w:t>
            </w:r>
            <w:r>
              <w:rPr>
                <w:color w:val="231F20"/>
                <w:sz w:val="18"/>
              </w:rPr>
              <w:t>большинство в государстве, находящиеся в недоминирующем положе- нии, обладающие этнокультурной спецификой и желающие сохранить</w:t>
            </w:r>
            <w:r>
              <w:rPr>
                <w:color w:val="231F20"/>
                <w:spacing w:val="40"/>
                <w:sz w:val="18"/>
              </w:rPr>
              <w:t> </w:t>
            </w:r>
            <w:r>
              <w:rPr>
                <w:color w:val="231F20"/>
                <w:sz w:val="18"/>
              </w:rPr>
              <w:t>ее</w:t>
            </w:r>
            <w:r>
              <w:rPr>
                <w:color w:val="231F20"/>
                <w:spacing w:val="40"/>
                <w:sz w:val="18"/>
              </w:rPr>
              <w:t> </w:t>
            </w:r>
            <w:r>
              <w:rPr>
                <w:color w:val="231F20"/>
                <w:sz w:val="18"/>
              </w:rPr>
              <w:t>(Арутюнян</w:t>
            </w:r>
            <w:r>
              <w:rPr>
                <w:color w:val="231F20"/>
                <w:spacing w:val="-6"/>
                <w:sz w:val="18"/>
              </w:rPr>
              <w:t> </w:t>
            </w:r>
            <w:r>
              <w:rPr>
                <w:color w:val="231F20"/>
                <w:sz w:val="18"/>
              </w:rPr>
              <w:t>Ю.В.,</w:t>
            </w:r>
            <w:r>
              <w:rPr>
                <w:color w:val="231F20"/>
                <w:spacing w:val="40"/>
                <w:sz w:val="18"/>
              </w:rPr>
              <w:t> </w:t>
            </w:r>
            <w:r>
              <w:rPr>
                <w:color w:val="231F20"/>
                <w:sz w:val="18"/>
              </w:rPr>
              <w:t>Дробижева</w:t>
            </w:r>
            <w:r>
              <w:rPr>
                <w:color w:val="231F20"/>
                <w:spacing w:val="-5"/>
                <w:sz w:val="18"/>
              </w:rPr>
              <w:t> </w:t>
            </w:r>
            <w:r>
              <w:rPr>
                <w:color w:val="231F20"/>
                <w:sz w:val="18"/>
              </w:rPr>
              <w:t>Л.М.,</w:t>
            </w:r>
            <w:r>
              <w:rPr>
                <w:color w:val="231F20"/>
                <w:spacing w:val="40"/>
                <w:sz w:val="18"/>
              </w:rPr>
              <w:t> </w:t>
            </w:r>
            <w:r>
              <w:rPr>
                <w:color w:val="231F20"/>
                <w:sz w:val="18"/>
              </w:rPr>
              <w:t>Сусоко- лов А.А.Этносоциология).</w:t>
            </w:r>
          </w:p>
        </w:tc>
      </w:tr>
    </w:tbl>
    <w:p>
      <w:pPr>
        <w:pStyle w:val="TableParagraph"/>
        <w:spacing w:after="0" w:line="232" w:lineRule="auto"/>
        <w:jc w:val="both"/>
        <w:rPr>
          <w:sz w:val="18"/>
        </w:rPr>
        <w:sectPr>
          <w:footerReference w:type="default" r:id="rId196"/>
          <w:pgSz w:w="8400" w:h="11910"/>
          <w:pgMar w:header="0" w:footer="0" w:top="820" w:bottom="280" w:left="425" w:right="425"/>
        </w:sect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ind w:left="0" w:right="0" w:firstLine="0"/>
        <w:jc w:val="left"/>
        <w:rPr>
          <w:b/>
        </w:rPr>
      </w:pPr>
    </w:p>
    <w:p>
      <w:pPr>
        <w:pStyle w:val="BodyText"/>
        <w:spacing w:before="208"/>
        <w:ind w:left="0" w:right="0" w:firstLine="0"/>
        <w:jc w:val="left"/>
        <w:rPr>
          <w:b/>
        </w:rPr>
      </w:pPr>
    </w:p>
    <w:p>
      <w:pPr>
        <w:spacing w:line="235" w:lineRule="auto" w:before="0"/>
        <w:ind w:left="425" w:right="424" w:firstLine="0"/>
        <w:jc w:val="both"/>
        <w:rPr>
          <w:b/>
          <w:sz w:val="20"/>
        </w:rPr>
      </w:pPr>
      <w:r>
        <w:rPr>
          <w:b/>
          <w:color w:val="231F20"/>
          <w:sz w:val="20"/>
        </w:rPr>
        <w:t>Методические рекомендации по проведению программы психолого- педагогического</w:t>
      </w:r>
      <w:r>
        <w:rPr>
          <w:b/>
          <w:color w:val="231F20"/>
          <w:spacing w:val="-9"/>
          <w:sz w:val="20"/>
        </w:rPr>
        <w:t> </w:t>
      </w:r>
      <w:r>
        <w:rPr>
          <w:b/>
          <w:color w:val="231F20"/>
          <w:sz w:val="20"/>
        </w:rPr>
        <w:t>сопровождения</w:t>
      </w:r>
      <w:r>
        <w:rPr>
          <w:b/>
          <w:color w:val="231F20"/>
          <w:spacing w:val="-7"/>
          <w:sz w:val="20"/>
        </w:rPr>
        <w:t> </w:t>
      </w:r>
      <w:r>
        <w:rPr>
          <w:b/>
          <w:color w:val="231F20"/>
          <w:sz w:val="20"/>
        </w:rPr>
        <w:t>процессов</w:t>
      </w:r>
      <w:r>
        <w:rPr>
          <w:b/>
          <w:color w:val="231F20"/>
          <w:spacing w:val="-7"/>
          <w:sz w:val="20"/>
        </w:rPr>
        <w:t> </w:t>
      </w:r>
      <w:r>
        <w:rPr>
          <w:b/>
          <w:color w:val="231F20"/>
          <w:sz w:val="20"/>
        </w:rPr>
        <w:t>обучения,</w:t>
      </w:r>
      <w:r>
        <w:rPr>
          <w:b/>
          <w:color w:val="231F20"/>
          <w:spacing w:val="-7"/>
          <w:sz w:val="20"/>
        </w:rPr>
        <w:t> </w:t>
      </w:r>
      <w:r>
        <w:rPr>
          <w:b/>
          <w:color w:val="231F20"/>
          <w:sz w:val="20"/>
        </w:rPr>
        <w:t>социальной,</w:t>
      </w:r>
      <w:r>
        <w:rPr>
          <w:b/>
          <w:color w:val="231F20"/>
          <w:spacing w:val="-7"/>
          <w:sz w:val="20"/>
        </w:rPr>
        <w:t> </w:t>
      </w:r>
      <w:r>
        <w:rPr>
          <w:b/>
          <w:color w:val="231F20"/>
          <w:sz w:val="20"/>
        </w:rPr>
        <w:t>языко- вой и культурной адаптации детей иностранных граждан</w:t>
      </w:r>
    </w:p>
    <w:p>
      <w:pPr>
        <w:spacing w:before="125"/>
        <w:ind w:left="303" w:right="303" w:firstLine="0"/>
        <w:jc w:val="center"/>
        <w:rPr>
          <w:sz w:val="18"/>
        </w:rPr>
      </w:pPr>
      <w:r>
        <w:rPr>
          <w:color w:val="231F20"/>
          <w:spacing w:val="-2"/>
          <w:sz w:val="18"/>
        </w:rPr>
        <w:t>Под</w:t>
      </w:r>
      <w:r>
        <w:rPr>
          <w:color w:val="231F20"/>
          <w:spacing w:val="-8"/>
          <w:sz w:val="18"/>
        </w:rPr>
        <w:t> </w:t>
      </w:r>
      <w:r>
        <w:rPr>
          <w:color w:val="231F20"/>
          <w:spacing w:val="-2"/>
          <w:sz w:val="18"/>
        </w:rPr>
        <w:t>редакцией:</w:t>
      </w:r>
    </w:p>
    <w:p>
      <w:pPr>
        <w:spacing w:before="69"/>
        <w:ind w:left="303" w:right="303" w:firstLine="0"/>
        <w:jc w:val="center"/>
        <w:rPr>
          <w:i/>
          <w:sz w:val="18"/>
        </w:rPr>
      </w:pPr>
      <w:r>
        <w:rPr>
          <w:i/>
          <w:color w:val="231F20"/>
          <w:sz w:val="18"/>
        </w:rPr>
        <w:t>О.Е.</w:t>
      </w:r>
      <w:r>
        <w:rPr>
          <w:i/>
          <w:color w:val="231F20"/>
          <w:spacing w:val="-8"/>
          <w:sz w:val="18"/>
        </w:rPr>
        <w:t> </w:t>
      </w:r>
      <w:r>
        <w:rPr>
          <w:i/>
          <w:color w:val="231F20"/>
          <w:sz w:val="18"/>
        </w:rPr>
        <w:t>Хухлаева,</w:t>
      </w:r>
      <w:r>
        <w:rPr>
          <w:i/>
          <w:color w:val="231F20"/>
          <w:spacing w:val="-7"/>
          <w:sz w:val="18"/>
        </w:rPr>
        <w:t> </w:t>
      </w:r>
      <w:r>
        <w:rPr>
          <w:i/>
          <w:color w:val="231F20"/>
          <w:sz w:val="18"/>
        </w:rPr>
        <w:t>М.Ю.</w:t>
      </w:r>
      <w:r>
        <w:rPr>
          <w:i/>
          <w:color w:val="231F20"/>
          <w:spacing w:val="-7"/>
          <w:sz w:val="18"/>
        </w:rPr>
        <w:t> </w:t>
      </w:r>
      <w:r>
        <w:rPr>
          <w:i/>
          <w:color w:val="231F20"/>
          <w:sz w:val="18"/>
        </w:rPr>
        <w:t>Чибисовой</w:t>
      </w:r>
      <w:r>
        <w:rPr>
          <w:i/>
          <w:color w:val="231F20"/>
          <w:spacing w:val="-7"/>
          <w:sz w:val="18"/>
        </w:rPr>
        <w:t> </w:t>
      </w:r>
      <w:r>
        <w:rPr>
          <w:i/>
          <w:color w:val="231F20"/>
          <w:sz w:val="18"/>
        </w:rPr>
        <w:t>и</w:t>
      </w:r>
      <w:r>
        <w:rPr>
          <w:i/>
          <w:color w:val="231F20"/>
          <w:spacing w:val="-6"/>
          <w:sz w:val="18"/>
        </w:rPr>
        <w:t> </w:t>
      </w:r>
      <w:r>
        <w:rPr>
          <w:i/>
          <w:color w:val="231F20"/>
          <w:sz w:val="18"/>
        </w:rPr>
        <w:t>Н.В.</w:t>
      </w:r>
      <w:r>
        <w:rPr>
          <w:i/>
          <w:color w:val="231F20"/>
          <w:spacing w:val="-7"/>
          <w:sz w:val="18"/>
        </w:rPr>
        <w:t> </w:t>
      </w:r>
      <w:r>
        <w:rPr>
          <w:i/>
          <w:color w:val="231F20"/>
          <w:spacing w:val="-2"/>
          <w:sz w:val="18"/>
        </w:rPr>
        <w:t>Ткаченко</w:t>
      </w:r>
    </w:p>
    <w:p>
      <w:pPr>
        <w:pStyle w:val="BodyText"/>
        <w:ind w:left="0" w:right="0" w:firstLine="0"/>
        <w:jc w:val="left"/>
        <w:rPr>
          <w:i/>
          <w:sz w:val="18"/>
        </w:rPr>
      </w:pPr>
    </w:p>
    <w:p>
      <w:pPr>
        <w:pStyle w:val="BodyText"/>
        <w:spacing w:before="51"/>
        <w:ind w:left="0" w:right="0" w:firstLine="0"/>
        <w:jc w:val="left"/>
        <w:rPr>
          <w:i/>
          <w:sz w:val="18"/>
        </w:rPr>
      </w:pPr>
    </w:p>
    <w:p>
      <w:pPr>
        <w:spacing w:before="0"/>
        <w:ind w:left="303" w:right="303" w:firstLine="0"/>
        <w:jc w:val="center"/>
        <w:rPr>
          <w:sz w:val="16"/>
        </w:rPr>
      </w:pPr>
      <w:r>
        <w:rPr>
          <w:color w:val="231F20"/>
          <w:sz w:val="16"/>
        </w:rPr>
        <w:t>Подписано</w:t>
      </w:r>
      <w:r>
        <w:rPr>
          <w:color w:val="231F20"/>
          <w:spacing w:val="-5"/>
          <w:sz w:val="16"/>
        </w:rPr>
        <w:t> </w:t>
      </w:r>
      <w:r>
        <w:rPr>
          <w:color w:val="231F20"/>
          <w:sz w:val="16"/>
        </w:rPr>
        <w:t>в</w:t>
      </w:r>
      <w:r>
        <w:rPr>
          <w:color w:val="231F20"/>
          <w:spacing w:val="-5"/>
          <w:sz w:val="16"/>
        </w:rPr>
        <w:t> </w:t>
      </w:r>
      <w:r>
        <w:rPr>
          <w:color w:val="231F20"/>
          <w:sz w:val="16"/>
        </w:rPr>
        <w:t>печать</w:t>
      </w:r>
      <w:r>
        <w:rPr>
          <w:color w:val="231F20"/>
          <w:spacing w:val="-4"/>
          <w:sz w:val="16"/>
        </w:rPr>
        <w:t> </w:t>
      </w:r>
      <w:r>
        <w:rPr>
          <w:color w:val="231F20"/>
          <w:spacing w:val="-2"/>
          <w:sz w:val="16"/>
        </w:rPr>
        <w:t>20.12.22.</w:t>
      </w:r>
    </w:p>
    <w:p>
      <w:pPr>
        <w:spacing w:before="16"/>
        <w:ind w:left="303" w:right="303" w:firstLine="0"/>
        <w:jc w:val="center"/>
        <w:rPr>
          <w:sz w:val="16"/>
        </w:rPr>
      </w:pPr>
      <w:r>
        <w:rPr>
          <w:color w:val="231F20"/>
          <w:sz w:val="16"/>
        </w:rPr>
        <w:t>Формат</w:t>
      </w:r>
      <w:r>
        <w:rPr>
          <w:color w:val="231F20"/>
          <w:spacing w:val="-10"/>
          <w:sz w:val="16"/>
        </w:rPr>
        <w:t> </w:t>
      </w:r>
      <w:r>
        <w:rPr>
          <w:color w:val="231F20"/>
          <w:spacing w:val="-2"/>
          <w:sz w:val="16"/>
        </w:rPr>
        <w:t>60х90/16.</w:t>
      </w:r>
    </w:p>
    <w:p>
      <w:pPr>
        <w:spacing w:line="261" w:lineRule="auto" w:before="16"/>
        <w:ind w:left="2457" w:right="2455" w:firstLine="0"/>
        <w:jc w:val="center"/>
        <w:rPr>
          <w:sz w:val="16"/>
        </w:rPr>
      </w:pPr>
      <w:r>
        <w:rPr>
          <w:color w:val="231F20"/>
          <w:sz w:val="16"/>
        </w:rPr>
        <w:t>Усл.</w:t>
      </w:r>
      <w:r>
        <w:rPr>
          <w:color w:val="231F20"/>
          <w:spacing w:val="-10"/>
          <w:sz w:val="16"/>
        </w:rPr>
        <w:t> </w:t>
      </w:r>
      <w:r>
        <w:rPr>
          <w:color w:val="231F20"/>
          <w:sz w:val="16"/>
        </w:rPr>
        <w:t>печ.</w:t>
      </w:r>
      <w:r>
        <w:rPr>
          <w:color w:val="231F20"/>
          <w:spacing w:val="-10"/>
          <w:sz w:val="16"/>
        </w:rPr>
        <w:t> </w:t>
      </w:r>
      <w:r>
        <w:rPr>
          <w:color w:val="231F20"/>
          <w:sz w:val="16"/>
        </w:rPr>
        <w:t>л.</w:t>
      </w:r>
      <w:r>
        <w:rPr>
          <w:color w:val="231F20"/>
          <w:spacing w:val="-10"/>
          <w:sz w:val="16"/>
        </w:rPr>
        <w:t> </w:t>
      </w:r>
      <w:r>
        <w:rPr>
          <w:color w:val="231F20"/>
          <w:sz w:val="16"/>
        </w:rPr>
        <w:t>13,8.</w:t>
      </w:r>
      <w:r>
        <w:rPr>
          <w:color w:val="231F20"/>
          <w:spacing w:val="-10"/>
          <w:sz w:val="16"/>
        </w:rPr>
        <w:t> </w:t>
      </w:r>
      <w:r>
        <w:rPr>
          <w:color w:val="231F20"/>
          <w:sz w:val="16"/>
        </w:rPr>
        <w:t>Уч.-изд.</w:t>
      </w:r>
      <w:r>
        <w:rPr>
          <w:color w:val="231F20"/>
          <w:spacing w:val="-10"/>
          <w:sz w:val="16"/>
        </w:rPr>
        <w:t> </w:t>
      </w:r>
      <w:r>
        <w:rPr>
          <w:color w:val="231F20"/>
          <w:sz w:val="16"/>
        </w:rPr>
        <w:t>л.</w:t>
      </w:r>
      <w:r>
        <w:rPr>
          <w:color w:val="231F20"/>
          <w:spacing w:val="-10"/>
          <w:sz w:val="16"/>
        </w:rPr>
        <w:t> </w:t>
      </w:r>
      <w:r>
        <w:rPr>
          <w:color w:val="231F20"/>
          <w:sz w:val="16"/>
        </w:rPr>
        <w:t>14,5.</w:t>
      </w:r>
      <w:r>
        <w:rPr>
          <w:color w:val="231F20"/>
          <w:spacing w:val="40"/>
          <w:sz w:val="16"/>
        </w:rPr>
        <w:t> </w:t>
      </w:r>
      <w:r>
        <w:rPr>
          <w:color w:val="231F20"/>
          <w:sz w:val="16"/>
        </w:rPr>
        <w:t>Гарнитура</w:t>
      </w:r>
      <w:r>
        <w:rPr>
          <w:color w:val="231F20"/>
          <w:spacing w:val="-7"/>
          <w:sz w:val="16"/>
        </w:rPr>
        <w:t> </w:t>
      </w:r>
      <w:r>
        <w:rPr>
          <w:color w:val="231F20"/>
          <w:sz w:val="16"/>
        </w:rPr>
        <w:t>«Times</w:t>
      </w:r>
      <w:r>
        <w:rPr>
          <w:color w:val="231F20"/>
          <w:spacing w:val="-7"/>
          <w:sz w:val="16"/>
        </w:rPr>
        <w:t> </w:t>
      </w:r>
      <w:r>
        <w:rPr>
          <w:color w:val="231F20"/>
          <w:sz w:val="16"/>
        </w:rPr>
        <w:t>New</w:t>
      </w:r>
      <w:r>
        <w:rPr>
          <w:color w:val="231F20"/>
          <w:spacing w:val="-6"/>
          <w:sz w:val="16"/>
        </w:rPr>
        <w:t> </w:t>
      </w:r>
      <w:r>
        <w:rPr>
          <w:color w:val="231F20"/>
          <w:spacing w:val="-2"/>
          <w:sz w:val="16"/>
        </w:rPr>
        <w:t>Roman».</w:t>
      </w:r>
    </w:p>
    <w:p>
      <w:pPr>
        <w:spacing w:after="0" w:line="261" w:lineRule="auto"/>
        <w:jc w:val="center"/>
        <w:rPr>
          <w:sz w:val="16"/>
        </w:rPr>
        <w:sectPr>
          <w:footerReference w:type="default" r:id="rId197"/>
          <w:pgSz w:w="8400" w:h="11910"/>
          <w:pgMar w:header="0" w:footer="0" w:top="1340" w:bottom="280" w:left="425" w:right="425"/>
        </w:sectPr>
      </w:pPr>
    </w:p>
    <w:p>
      <w:pPr>
        <w:pStyle w:val="BodyText"/>
        <w:ind w:left="0" w:right="0" w:firstLine="0"/>
        <w:jc w:val="left"/>
      </w:pPr>
      <w:r>
        <w:rPr/>
        <mc:AlternateContent>
          <mc:Choice Requires="wps">
            <w:drawing>
              <wp:anchor distT="0" distB="0" distL="0" distR="0" allowOverlap="1" layoutInCell="1" locked="0" behindDoc="0" simplePos="0" relativeHeight="15773696">
                <wp:simplePos x="0" y="0"/>
                <wp:positionH relativeFrom="page">
                  <wp:posOffset>182440</wp:posOffset>
                </wp:positionH>
                <wp:positionV relativeFrom="page">
                  <wp:posOffset>3197642</wp:posOffset>
                </wp:positionV>
                <wp:extent cx="5030470" cy="580390"/>
                <wp:effectExtent l="0" t="0" r="0" b="0"/>
                <wp:wrapNone/>
                <wp:docPr id="132" name="Group 132"/>
                <wp:cNvGraphicFramePr>
                  <a:graphicFrameLocks/>
                </wp:cNvGraphicFramePr>
                <a:graphic>
                  <a:graphicData uri="http://schemas.microsoft.com/office/word/2010/wordprocessingGroup">
                    <wpg:wgp>
                      <wpg:cNvPr id="132" name="Group 132"/>
                      <wpg:cNvGrpSpPr/>
                      <wpg:grpSpPr>
                        <a:xfrm>
                          <a:off x="0" y="0"/>
                          <a:ext cx="5030470" cy="580390"/>
                          <a:chExt cx="5030470" cy="580390"/>
                        </a:xfrm>
                      </wpg:grpSpPr>
                      <pic:pic>
                        <pic:nvPicPr>
                          <pic:cNvPr id="133" name="Image 133"/>
                          <pic:cNvPicPr/>
                        </pic:nvPicPr>
                        <pic:blipFill>
                          <a:blip r:embed="rId199" cstate="print"/>
                          <a:stretch>
                            <a:fillRect/>
                          </a:stretch>
                        </pic:blipFill>
                        <pic:spPr>
                          <a:xfrm>
                            <a:off x="607705" y="1717"/>
                            <a:ext cx="887839" cy="92235"/>
                          </a:xfrm>
                          <a:prstGeom prst="rect">
                            <a:avLst/>
                          </a:prstGeom>
                        </pic:spPr>
                      </pic:pic>
                      <pic:pic>
                        <pic:nvPicPr>
                          <pic:cNvPr id="134" name="Image 134"/>
                          <pic:cNvPicPr/>
                        </pic:nvPicPr>
                        <pic:blipFill>
                          <a:blip r:embed="rId200" cstate="print"/>
                          <a:stretch>
                            <a:fillRect/>
                          </a:stretch>
                        </pic:blipFill>
                        <pic:spPr>
                          <a:xfrm>
                            <a:off x="0" y="169584"/>
                            <a:ext cx="1811728" cy="188374"/>
                          </a:xfrm>
                          <a:prstGeom prst="rect">
                            <a:avLst/>
                          </a:prstGeom>
                        </pic:spPr>
                      </pic:pic>
                      <pic:pic>
                        <pic:nvPicPr>
                          <pic:cNvPr id="135" name="Image 135"/>
                          <pic:cNvPicPr/>
                        </pic:nvPicPr>
                        <pic:blipFill>
                          <a:blip r:embed="rId201" cstate="print"/>
                          <a:stretch>
                            <a:fillRect/>
                          </a:stretch>
                        </pic:blipFill>
                        <pic:spPr>
                          <a:xfrm>
                            <a:off x="827908" y="0"/>
                            <a:ext cx="4201997" cy="580039"/>
                          </a:xfrm>
                          <a:prstGeom prst="rect">
                            <a:avLst/>
                          </a:prstGeom>
                        </pic:spPr>
                      </pic:pic>
                    </wpg:wgp>
                  </a:graphicData>
                </a:graphic>
              </wp:anchor>
            </w:drawing>
          </mc:Choice>
          <mc:Fallback>
            <w:pict>
              <v:group style="position:absolute;margin-left:14.3654pt;margin-top:251.782867pt;width:396.1pt;height:45.7pt;mso-position-horizontal-relative:page;mso-position-vertical-relative:page;z-index:15773696" id="docshapegroup87" coordorigin="287,5036" coordsize="7922,914">
                <v:shape style="position:absolute;left:1244;top:5038;width:1399;height:146" type="#_x0000_t75" id="docshape88" stroked="false">
                  <v:imagedata r:id="rId199" o:title=""/>
                </v:shape>
                <v:shape style="position:absolute;left:287;top:5302;width:2854;height:297" type="#_x0000_t75" id="docshape89" stroked="false">
                  <v:imagedata r:id="rId200" o:title=""/>
                </v:shape>
                <v:shape style="position:absolute;left:1591;top:5035;width:6618;height:914" type="#_x0000_t75" id="docshape90" stroked="false">
                  <v:imagedata r:id="rId201" o:title=""/>
                </v:shape>
                <w10:wrap type="none"/>
              </v:group>
            </w:pict>
          </mc:Fallback>
        </mc:AlternateContent>
      </w:r>
      <w:r>
        <w:rPr/>
        <w:drawing>
          <wp:anchor distT="0" distB="0" distL="0" distR="0" allowOverlap="1" layoutInCell="1" locked="0" behindDoc="0" simplePos="0" relativeHeight="15774208">
            <wp:simplePos x="0" y="0"/>
            <wp:positionH relativeFrom="page">
              <wp:posOffset>1086260</wp:posOffset>
            </wp:positionH>
            <wp:positionV relativeFrom="page">
              <wp:posOffset>176482</wp:posOffset>
            </wp:positionV>
            <wp:extent cx="2760314" cy="90487"/>
            <wp:effectExtent l="0" t="0" r="0" b="0"/>
            <wp:wrapNone/>
            <wp:docPr id="136" name="Image 136"/>
            <wp:cNvGraphicFramePr>
              <a:graphicFrameLocks/>
            </wp:cNvGraphicFramePr>
            <a:graphic>
              <a:graphicData uri="http://schemas.openxmlformats.org/drawingml/2006/picture">
                <pic:pic>
                  <pic:nvPicPr>
                    <pic:cNvPr id="136" name="Image 136"/>
                    <pic:cNvPicPr/>
                  </pic:nvPicPr>
                  <pic:blipFill>
                    <a:blip r:embed="rId58" cstate="print"/>
                    <a:stretch>
                      <a:fillRect/>
                    </a:stretch>
                  </pic:blipFill>
                  <pic:spPr>
                    <a:xfrm>
                      <a:off x="0" y="0"/>
                      <a:ext cx="2760314" cy="90487"/>
                    </a:xfrm>
                    <a:prstGeom prst="rect">
                      <a:avLst/>
                    </a:prstGeom>
                  </pic:spPr>
                </pic:pic>
              </a:graphicData>
            </a:graphic>
          </wp:anchor>
        </w:drawing>
      </w:r>
      <w:r>
        <w:rPr/>
        <w:drawing>
          <wp:anchor distT="0" distB="0" distL="0" distR="0" allowOverlap="1" layoutInCell="1" locked="0" behindDoc="0" simplePos="0" relativeHeight="15774720">
            <wp:simplePos x="0" y="0"/>
            <wp:positionH relativeFrom="page">
              <wp:posOffset>1087170</wp:posOffset>
            </wp:positionH>
            <wp:positionV relativeFrom="page">
              <wp:posOffset>415677</wp:posOffset>
            </wp:positionV>
            <wp:extent cx="3924057" cy="194309"/>
            <wp:effectExtent l="0" t="0" r="0" b="0"/>
            <wp:wrapNone/>
            <wp:docPr id="137" name="Image 137"/>
            <wp:cNvGraphicFramePr>
              <a:graphicFrameLocks/>
            </wp:cNvGraphicFramePr>
            <a:graphic>
              <a:graphicData uri="http://schemas.openxmlformats.org/drawingml/2006/picture">
                <pic:pic>
                  <pic:nvPicPr>
                    <pic:cNvPr id="137" name="Image 137"/>
                    <pic:cNvPicPr/>
                  </pic:nvPicPr>
                  <pic:blipFill>
                    <a:blip r:embed="rId59" cstate="print"/>
                    <a:stretch>
                      <a:fillRect/>
                    </a:stretch>
                  </pic:blipFill>
                  <pic:spPr>
                    <a:xfrm>
                      <a:off x="0" y="0"/>
                      <a:ext cx="3924057" cy="194309"/>
                    </a:xfrm>
                    <a:prstGeom prst="rect">
                      <a:avLst/>
                    </a:prstGeom>
                  </pic:spPr>
                </pic:pic>
              </a:graphicData>
            </a:graphic>
          </wp:anchor>
        </w:drawing>
      </w:r>
      <w:r>
        <w:rPr/>
        <w:drawing>
          <wp:anchor distT="0" distB="0" distL="0" distR="0" allowOverlap="1" layoutInCell="1" locked="0" behindDoc="0" simplePos="0" relativeHeight="15775232">
            <wp:simplePos x="0" y="0"/>
            <wp:positionH relativeFrom="page">
              <wp:posOffset>413943</wp:posOffset>
            </wp:positionH>
            <wp:positionV relativeFrom="page">
              <wp:posOffset>123181</wp:posOffset>
            </wp:positionV>
            <wp:extent cx="567727" cy="635507"/>
            <wp:effectExtent l="0" t="0" r="0" b="0"/>
            <wp:wrapNone/>
            <wp:docPr id="138" name="Image 138"/>
            <wp:cNvGraphicFramePr>
              <a:graphicFrameLocks/>
            </wp:cNvGraphicFramePr>
            <a:graphic>
              <a:graphicData uri="http://schemas.openxmlformats.org/drawingml/2006/picture">
                <pic:pic>
                  <pic:nvPicPr>
                    <pic:cNvPr id="138" name="Image 138"/>
                    <pic:cNvPicPr/>
                  </pic:nvPicPr>
                  <pic:blipFill>
                    <a:blip r:embed="rId60" cstate="print"/>
                    <a:stretch>
                      <a:fillRect/>
                    </a:stretch>
                  </pic:blipFill>
                  <pic:spPr>
                    <a:xfrm>
                      <a:off x="0" y="0"/>
                      <a:ext cx="567727" cy="635507"/>
                    </a:xfrm>
                    <a:prstGeom prst="rect">
                      <a:avLst/>
                    </a:prstGeom>
                  </pic:spPr>
                </pic:pic>
              </a:graphicData>
            </a:graphic>
          </wp:anchor>
        </w:drawing>
      </w:r>
      <w:r>
        <w:rPr/>
        <w:drawing>
          <wp:anchor distT="0" distB="0" distL="0" distR="0" allowOverlap="1" layoutInCell="1" locked="0" behindDoc="0" simplePos="0" relativeHeight="15775744">
            <wp:simplePos x="0" y="0"/>
            <wp:positionH relativeFrom="page">
              <wp:posOffset>0</wp:posOffset>
            </wp:positionH>
            <wp:positionV relativeFrom="page">
              <wp:posOffset>5182707</wp:posOffset>
            </wp:positionV>
            <wp:extent cx="5328000" cy="2377292"/>
            <wp:effectExtent l="0" t="0" r="0" b="0"/>
            <wp:wrapNone/>
            <wp:docPr id="139" name="Image 139"/>
            <wp:cNvGraphicFramePr>
              <a:graphicFrameLocks/>
            </wp:cNvGraphicFramePr>
            <a:graphic>
              <a:graphicData uri="http://schemas.openxmlformats.org/drawingml/2006/picture">
                <pic:pic>
                  <pic:nvPicPr>
                    <pic:cNvPr id="139" name="Image 139"/>
                    <pic:cNvPicPr/>
                  </pic:nvPicPr>
                  <pic:blipFill>
                    <a:blip r:embed="rId202" cstate="print"/>
                    <a:stretch>
                      <a:fillRect/>
                    </a:stretch>
                  </pic:blipFill>
                  <pic:spPr>
                    <a:xfrm>
                      <a:off x="0" y="0"/>
                      <a:ext cx="5328000" cy="2377292"/>
                    </a:xfrm>
                    <a:prstGeom prst="rect">
                      <a:avLst/>
                    </a:prstGeom>
                  </pic:spPr>
                </pic:pic>
              </a:graphicData>
            </a:graphic>
          </wp:anchor>
        </w:drawing>
      </w: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spacing w:before="168"/>
        <w:ind w:left="0" w:right="0" w:firstLine="0"/>
        <w:jc w:val="left"/>
      </w:pPr>
    </w:p>
    <w:p>
      <w:pPr>
        <w:pStyle w:val="BodyText"/>
        <w:spacing w:line="215" w:lineRule="exact"/>
        <w:ind w:left="3300" w:right="0" w:firstLine="0"/>
        <w:jc w:val="left"/>
        <w:rPr>
          <w:position w:val="-3"/>
        </w:rPr>
      </w:pPr>
      <w:r>
        <w:rPr>
          <w:position w:val="-3"/>
        </w:rPr>
        <mc:AlternateContent>
          <mc:Choice Requires="wps">
            <w:drawing>
              <wp:inline distT="0" distB="0" distL="0" distR="0">
                <wp:extent cx="671830" cy="137160"/>
                <wp:effectExtent l="0" t="0" r="0" b="0"/>
                <wp:docPr id="140" name="Group 140"/>
                <wp:cNvGraphicFramePr>
                  <a:graphicFrameLocks/>
                </wp:cNvGraphicFramePr>
                <a:graphic>
                  <a:graphicData uri="http://schemas.microsoft.com/office/word/2010/wordprocessingGroup">
                    <wpg:wgp>
                      <wpg:cNvPr id="140" name="Group 140"/>
                      <wpg:cNvGrpSpPr/>
                      <wpg:grpSpPr>
                        <a:xfrm>
                          <a:off x="0" y="0"/>
                          <a:ext cx="671830" cy="137160"/>
                          <a:chExt cx="671830" cy="137160"/>
                        </a:xfrm>
                      </wpg:grpSpPr>
                      <wps:wsp>
                        <wps:cNvPr id="141" name="Graphic 141"/>
                        <wps:cNvSpPr/>
                        <wps:spPr>
                          <a:xfrm>
                            <a:off x="-11" y="11"/>
                            <a:ext cx="671830" cy="137160"/>
                          </a:xfrm>
                          <a:custGeom>
                            <a:avLst/>
                            <a:gdLst/>
                            <a:ahLst/>
                            <a:cxnLst/>
                            <a:rect l="l" t="t" r="r" b="b"/>
                            <a:pathLst>
                              <a:path w="671830" h="137160">
                                <a:moveTo>
                                  <a:pt x="137134" y="2654"/>
                                </a:moveTo>
                                <a:lnTo>
                                  <a:pt x="0" y="2654"/>
                                </a:lnTo>
                                <a:lnTo>
                                  <a:pt x="0" y="10528"/>
                                </a:lnTo>
                                <a:lnTo>
                                  <a:pt x="11417" y="10591"/>
                                </a:lnTo>
                                <a:lnTo>
                                  <a:pt x="13538" y="11099"/>
                                </a:lnTo>
                                <a:lnTo>
                                  <a:pt x="14351" y="11722"/>
                                </a:lnTo>
                                <a:lnTo>
                                  <a:pt x="15481" y="13817"/>
                                </a:lnTo>
                                <a:lnTo>
                                  <a:pt x="15760" y="15506"/>
                                </a:lnTo>
                                <a:lnTo>
                                  <a:pt x="15760" y="121119"/>
                                </a:lnTo>
                                <a:lnTo>
                                  <a:pt x="0" y="126085"/>
                                </a:lnTo>
                                <a:lnTo>
                                  <a:pt x="0" y="133972"/>
                                </a:lnTo>
                                <a:lnTo>
                                  <a:pt x="60972" y="133972"/>
                                </a:lnTo>
                                <a:lnTo>
                                  <a:pt x="60972" y="126085"/>
                                </a:lnTo>
                                <a:lnTo>
                                  <a:pt x="49555" y="126022"/>
                                </a:lnTo>
                                <a:lnTo>
                                  <a:pt x="47434" y="125526"/>
                                </a:lnTo>
                                <a:lnTo>
                                  <a:pt x="46621" y="124866"/>
                                </a:lnTo>
                                <a:lnTo>
                                  <a:pt x="45491" y="122809"/>
                                </a:lnTo>
                                <a:lnTo>
                                  <a:pt x="45212" y="121119"/>
                                </a:lnTo>
                                <a:lnTo>
                                  <a:pt x="45212" y="15506"/>
                                </a:lnTo>
                                <a:lnTo>
                                  <a:pt x="45491" y="13817"/>
                                </a:lnTo>
                                <a:lnTo>
                                  <a:pt x="46621" y="11722"/>
                                </a:lnTo>
                                <a:lnTo>
                                  <a:pt x="47434" y="11099"/>
                                </a:lnTo>
                                <a:lnTo>
                                  <a:pt x="50838" y="10464"/>
                                </a:lnTo>
                                <a:lnTo>
                                  <a:pt x="87579" y="10591"/>
                                </a:lnTo>
                                <a:lnTo>
                                  <a:pt x="89700" y="11099"/>
                                </a:lnTo>
                                <a:lnTo>
                                  <a:pt x="90512" y="11722"/>
                                </a:lnTo>
                                <a:lnTo>
                                  <a:pt x="91643" y="13817"/>
                                </a:lnTo>
                                <a:lnTo>
                                  <a:pt x="91922" y="15506"/>
                                </a:lnTo>
                                <a:lnTo>
                                  <a:pt x="91922" y="121119"/>
                                </a:lnTo>
                                <a:lnTo>
                                  <a:pt x="76161" y="126085"/>
                                </a:lnTo>
                                <a:lnTo>
                                  <a:pt x="76161" y="133972"/>
                                </a:lnTo>
                                <a:lnTo>
                                  <a:pt x="137134" y="133972"/>
                                </a:lnTo>
                                <a:lnTo>
                                  <a:pt x="137134" y="126085"/>
                                </a:lnTo>
                                <a:lnTo>
                                  <a:pt x="125717" y="126022"/>
                                </a:lnTo>
                                <a:lnTo>
                                  <a:pt x="123596" y="125526"/>
                                </a:lnTo>
                                <a:lnTo>
                                  <a:pt x="122783" y="124866"/>
                                </a:lnTo>
                                <a:lnTo>
                                  <a:pt x="121653" y="122809"/>
                                </a:lnTo>
                                <a:lnTo>
                                  <a:pt x="121373" y="121119"/>
                                </a:lnTo>
                                <a:lnTo>
                                  <a:pt x="121373" y="15506"/>
                                </a:lnTo>
                                <a:lnTo>
                                  <a:pt x="121653" y="13817"/>
                                </a:lnTo>
                                <a:lnTo>
                                  <a:pt x="122783" y="11722"/>
                                </a:lnTo>
                                <a:lnTo>
                                  <a:pt x="123596" y="11099"/>
                                </a:lnTo>
                                <a:lnTo>
                                  <a:pt x="127000" y="10464"/>
                                </a:lnTo>
                                <a:lnTo>
                                  <a:pt x="137134" y="10528"/>
                                </a:lnTo>
                                <a:lnTo>
                                  <a:pt x="137134" y="2654"/>
                                </a:lnTo>
                                <a:close/>
                              </a:path>
                              <a:path w="671830" h="137160">
                                <a:moveTo>
                                  <a:pt x="281393" y="126085"/>
                                </a:moveTo>
                                <a:lnTo>
                                  <a:pt x="272122" y="126085"/>
                                </a:lnTo>
                                <a:lnTo>
                                  <a:pt x="270548" y="125488"/>
                                </a:lnTo>
                                <a:lnTo>
                                  <a:pt x="268198" y="123342"/>
                                </a:lnTo>
                                <a:lnTo>
                                  <a:pt x="267233" y="121932"/>
                                </a:lnTo>
                                <a:lnTo>
                                  <a:pt x="265696" y="118452"/>
                                </a:lnTo>
                                <a:lnTo>
                                  <a:pt x="265087" y="116890"/>
                                </a:lnTo>
                                <a:lnTo>
                                  <a:pt x="264972" y="116611"/>
                                </a:lnTo>
                                <a:lnTo>
                                  <a:pt x="264325" y="114642"/>
                                </a:lnTo>
                                <a:lnTo>
                                  <a:pt x="254012" y="85763"/>
                                </a:lnTo>
                                <a:lnTo>
                                  <a:pt x="251206" y="77876"/>
                                </a:lnTo>
                                <a:lnTo>
                                  <a:pt x="234797" y="31915"/>
                                </a:lnTo>
                                <a:lnTo>
                                  <a:pt x="223989" y="1600"/>
                                </a:lnTo>
                                <a:lnTo>
                                  <a:pt x="223989" y="77876"/>
                                </a:lnTo>
                                <a:lnTo>
                                  <a:pt x="187401" y="77876"/>
                                </a:lnTo>
                                <a:lnTo>
                                  <a:pt x="208038" y="31915"/>
                                </a:lnTo>
                                <a:lnTo>
                                  <a:pt x="223989" y="77876"/>
                                </a:lnTo>
                                <a:lnTo>
                                  <a:pt x="223989" y="1600"/>
                                </a:lnTo>
                                <a:lnTo>
                                  <a:pt x="223431" y="25"/>
                                </a:lnTo>
                                <a:lnTo>
                                  <a:pt x="214045" y="25"/>
                                </a:lnTo>
                                <a:lnTo>
                                  <a:pt x="175031" y="86131"/>
                                </a:lnTo>
                                <a:lnTo>
                                  <a:pt x="171615" y="93599"/>
                                </a:lnTo>
                                <a:lnTo>
                                  <a:pt x="168706" y="99758"/>
                                </a:lnTo>
                                <a:lnTo>
                                  <a:pt x="163804" y="109613"/>
                                </a:lnTo>
                                <a:lnTo>
                                  <a:pt x="161709" y="113525"/>
                                </a:lnTo>
                                <a:lnTo>
                                  <a:pt x="159956" y="116395"/>
                                </a:lnTo>
                                <a:lnTo>
                                  <a:pt x="158242" y="119303"/>
                                </a:lnTo>
                                <a:lnTo>
                                  <a:pt x="156768" y="121424"/>
                                </a:lnTo>
                                <a:lnTo>
                                  <a:pt x="154292" y="124206"/>
                                </a:lnTo>
                                <a:lnTo>
                                  <a:pt x="153200" y="125120"/>
                                </a:lnTo>
                                <a:lnTo>
                                  <a:pt x="151015" y="126085"/>
                                </a:lnTo>
                                <a:lnTo>
                                  <a:pt x="144259" y="126085"/>
                                </a:lnTo>
                                <a:lnTo>
                                  <a:pt x="144259" y="133972"/>
                                </a:lnTo>
                                <a:lnTo>
                                  <a:pt x="187401" y="133972"/>
                                </a:lnTo>
                                <a:lnTo>
                                  <a:pt x="187401" y="126085"/>
                                </a:lnTo>
                                <a:lnTo>
                                  <a:pt x="176085" y="126085"/>
                                </a:lnTo>
                                <a:lnTo>
                                  <a:pt x="174879" y="125717"/>
                                </a:lnTo>
                                <a:lnTo>
                                  <a:pt x="174739" y="125717"/>
                                </a:lnTo>
                                <a:lnTo>
                                  <a:pt x="172986" y="123837"/>
                                </a:lnTo>
                                <a:lnTo>
                                  <a:pt x="172567" y="122466"/>
                                </a:lnTo>
                                <a:lnTo>
                                  <a:pt x="172643" y="118452"/>
                                </a:lnTo>
                                <a:lnTo>
                                  <a:pt x="181406" y="91198"/>
                                </a:lnTo>
                                <a:lnTo>
                                  <a:pt x="183464" y="85763"/>
                                </a:lnTo>
                                <a:lnTo>
                                  <a:pt x="226987" y="85763"/>
                                </a:lnTo>
                                <a:lnTo>
                                  <a:pt x="239001" y="121424"/>
                                </a:lnTo>
                                <a:lnTo>
                                  <a:pt x="239153" y="121932"/>
                                </a:lnTo>
                                <a:lnTo>
                                  <a:pt x="239242" y="122466"/>
                                </a:lnTo>
                                <a:lnTo>
                                  <a:pt x="239344" y="124460"/>
                                </a:lnTo>
                                <a:lnTo>
                                  <a:pt x="238823" y="125120"/>
                                </a:lnTo>
                                <a:lnTo>
                                  <a:pt x="237744" y="125717"/>
                                </a:lnTo>
                                <a:lnTo>
                                  <a:pt x="236512" y="126085"/>
                                </a:lnTo>
                                <a:lnTo>
                                  <a:pt x="226987" y="126085"/>
                                </a:lnTo>
                                <a:lnTo>
                                  <a:pt x="226987" y="133972"/>
                                </a:lnTo>
                                <a:lnTo>
                                  <a:pt x="281393" y="133972"/>
                                </a:lnTo>
                                <a:lnTo>
                                  <a:pt x="281393" y="126085"/>
                                </a:lnTo>
                                <a:close/>
                              </a:path>
                              <a:path w="671830" h="137160">
                                <a:moveTo>
                                  <a:pt x="423773" y="116332"/>
                                </a:moveTo>
                                <a:lnTo>
                                  <a:pt x="416648" y="115023"/>
                                </a:lnTo>
                                <a:lnTo>
                                  <a:pt x="415302" y="119684"/>
                                </a:lnTo>
                                <a:lnTo>
                                  <a:pt x="413397" y="122275"/>
                                </a:lnTo>
                                <a:lnTo>
                                  <a:pt x="412521" y="122682"/>
                                </a:lnTo>
                                <a:lnTo>
                                  <a:pt x="409829" y="122682"/>
                                </a:lnTo>
                                <a:lnTo>
                                  <a:pt x="408520" y="121958"/>
                                </a:lnTo>
                                <a:lnTo>
                                  <a:pt x="406450" y="119303"/>
                                </a:lnTo>
                                <a:lnTo>
                                  <a:pt x="405612" y="117589"/>
                                </a:lnTo>
                                <a:lnTo>
                                  <a:pt x="400735" y="100164"/>
                                </a:lnTo>
                                <a:lnTo>
                                  <a:pt x="396913" y="91071"/>
                                </a:lnTo>
                                <a:lnTo>
                                  <a:pt x="367271" y="66281"/>
                                </a:lnTo>
                                <a:lnTo>
                                  <a:pt x="355307" y="64554"/>
                                </a:lnTo>
                                <a:lnTo>
                                  <a:pt x="355307" y="63614"/>
                                </a:lnTo>
                                <a:lnTo>
                                  <a:pt x="386791" y="16002"/>
                                </a:lnTo>
                                <a:lnTo>
                                  <a:pt x="387540" y="14312"/>
                                </a:lnTo>
                                <a:lnTo>
                                  <a:pt x="389356" y="11658"/>
                                </a:lnTo>
                                <a:lnTo>
                                  <a:pt x="390474" y="10934"/>
                                </a:lnTo>
                                <a:lnTo>
                                  <a:pt x="392734" y="10934"/>
                                </a:lnTo>
                                <a:lnTo>
                                  <a:pt x="393319" y="11214"/>
                                </a:lnTo>
                                <a:lnTo>
                                  <a:pt x="393941" y="12319"/>
                                </a:lnTo>
                                <a:lnTo>
                                  <a:pt x="394233" y="19570"/>
                                </a:lnTo>
                                <a:lnTo>
                                  <a:pt x="394919" y="22136"/>
                                </a:lnTo>
                                <a:lnTo>
                                  <a:pt x="419811" y="18224"/>
                                </a:lnTo>
                                <a:lnTo>
                                  <a:pt x="419773" y="13754"/>
                                </a:lnTo>
                                <a:lnTo>
                                  <a:pt x="397979" y="0"/>
                                </a:lnTo>
                                <a:lnTo>
                                  <a:pt x="394830" y="431"/>
                                </a:lnTo>
                                <a:lnTo>
                                  <a:pt x="364617" y="42608"/>
                                </a:lnTo>
                                <a:lnTo>
                                  <a:pt x="362026" y="49199"/>
                                </a:lnTo>
                                <a:lnTo>
                                  <a:pt x="350862" y="59677"/>
                                </a:lnTo>
                                <a:lnTo>
                                  <a:pt x="334479" y="59677"/>
                                </a:lnTo>
                                <a:lnTo>
                                  <a:pt x="334479" y="15506"/>
                                </a:lnTo>
                                <a:lnTo>
                                  <a:pt x="334759" y="13817"/>
                                </a:lnTo>
                                <a:lnTo>
                                  <a:pt x="335889" y="11722"/>
                                </a:lnTo>
                                <a:lnTo>
                                  <a:pt x="336702" y="11099"/>
                                </a:lnTo>
                                <a:lnTo>
                                  <a:pt x="340106" y="10464"/>
                                </a:lnTo>
                                <a:lnTo>
                                  <a:pt x="350240" y="10528"/>
                                </a:lnTo>
                                <a:lnTo>
                                  <a:pt x="350240" y="2654"/>
                                </a:lnTo>
                                <a:lnTo>
                                  <a:pt x="289267" y="2654"/>
                                </a:lnTo>
                                <a:lnTo>
                                  <a:pt x="289267" y="10528"/>
                                </a:lnTo>
                                <a:lnTo>
                                  <a:pt x="300685" y="10591"/>
                                </a:lnTo>
                                <a:lnTo>
                                  <a:pt x="302806" y="11099"/>
                                </a:lnTo>
                                <a:lnTo>
                                  <a:pt x="303618" y="11722"/>
                                </a:lnTo>
                                <a:lnTo>
                                  <a:pt x="304749" y="13817"/>
                                </a:lnTo>
                                <a:lnTo>
                                  <a:pt x="305028" y="15506"/>
                                </a:lnTo>
                                <a:lnTo>
                                  <a:pt x="305028" y="121119"/>
                                </a:lnTo>
                                <a:lnTo>
                                  <a:pt x="289267" y="126085"/>
                                </a:lnTo>
                                <a:lnTo>
                                  <a:pt x="289267" y="133972"/>
                                </a:lnTo>
                                <a:lnTo>
                                  <a:pt x="350240" y="133972"/>
                                </a:lnTo>
                                <a:lnTo>
                                  <a:pt x="350240" y="126085"/>
                                </a:lnTo>
                                <a:lnTo>
                                  <a:pt x="338823" y="126022"/>
                                </a:lnTo>
                                <a:lnTo>
                                  <a:pt x="336702" y="125526"/>
                                </a:lnTo>
                                <a:lnTo>
                                  <a:pt x="335889" y="124866"/>
                                </a:lnTo>
                                <a:lnTo>
                                  <a:pt x="334759" y="122809"/>
                                </a:lnTo>
                                <a:lnTo>
                                  <a:pt x="334479" y="121119"/>
                                </a:lnTo>
                                <a:lnTo>
                                  <a:pt x="334479" y="67564"/>
                                </a:lnTo>
                                <a:lnTo>
                                  <a:pt x="349732" y="67525"/>
                                </a:lnTo>
                                <a:lnTo>
                                  <a:pt x="351828" y="67995"/>
                                </a:lnTo>
                                <a:lnTo>
                                  <a:pt x="366814" y="100050"/>
                                </a:lnTo>
                                <a:lnTo>
                                  <a:pt x="368655" y="105422"/>
                                </a:lnTo>
                                <a:lnTo>
                                  <a:pt x="396633" y="136563"/>
                                </a:lnTo>
                                <a:lnTo>
                                  <a:pt x="405422" y="136601"/>
                                </a:lnTo>
                                <a:lnTo>
                                  <a:pt x="408673" y="135902"/>
                                </a:lnTo>
                                <a:lnTo>
                                  <a:pt x="414553" y="133096"/>
                                </a:lnTo>
                                <a:lnTo>
                                  <a:pt x="417055" y="130898"/>
                                </a:lnTo>
                                <a:lnTo>
                                  <a:pt x="421208" y="124929"/>
                                </a:lnTo>
                                <a:lnTo>
                                  <a:pt x="422744" y="121081"/>
                                </a:lnTo>
                                <a:lnTo>
                                  <a:pt x="423773" y="116332"/>
                                </a:lnTo>
                                <a:close/>
                              </a:path>
                              <a:path w="671830" h="137160">
                                <a:moveTo>
                                  <a:pt x="547585" y="100393"/>
                                </a:moveTo>
                                <a:lnTo>
                                  <a:pt x="538772" y="99263"/>
                                </a:lnTo>
                                <a:lnTo>
                                  <a:pt x="537019" y="107899"/>
                                </a:lnTo>
                                <a:lnTo>
                                  <a:pt x="535647" y="110553"/>
                                </a:lnTo>
                                <a:lnTo>
                                  <a:pt x="500278" y="125844"/>
                                </a:lnTo>
                                <a:lnTo>
                                  <a:pt x="488276" y="125996"/>
                                </a:lnTo>
                                <a:lnTo>
                                  <a:pt x="484212" y="125272"/>
                                </a:lnTo>
                                <a:lnTo>
                                  <a:pt x="482866" y="124371"/>
                                </a:lnTo>
                                <a:lnTo>
                                  <a:pt x="482460" y="123799"/>
                                </a:lnTo>
                                <a:lnTo>
                                  <a:pt x="482079" y="121488"/>
                                </a:lnTo>
                                <a:lnTo>
                                  <a:pt x="482117" y="68681"/>
                                </a:lnTo>
                                <a:lnTo>
                                  <a:pt x="491248" y="68681"/>
                                </a:lnTo>
                                <a:lnTo>
                                  <a:pt x="496125" y="68961"/>
                                </a:lnTo>
                                <a:lnTo>
                                  <a:pt x="514946" y="87439"/>
                                </a:lnTo>
                                <a:lnTo>
                                  <a:pt x="523570" y="87439"/>
                                </a:lnTo>
                                <a:lnTo>
                                  <a:pt x="523570" y="42799"/>
                                </a:lnTo>
                                <a:lnTo>
                                  <a:pt x="514946" y="42799"/>
                                </a:lnTo>
                                <a:lnTo>
                                  <a:pt x="514972" y="50393"/>
                                </a:lnTo>
                                <a:lnTo>
                                  <a:pt x="514565" y="52146"/>
                                </a:lnTo>
                                <a:lnTo>
                                  <a:pt x="491248" y="60807"/>
                                </a:lnTo>
                                <a:lnTo>
                                  <a:pt x="482117" y="60807"/>
                                </a:lnTo>
                                <a:lnTo>
                                  <a:pt x="482079" y="15506"/>
                                </a:lnTo>
                                <a:lnTo>
                                  <a:pt x="482307" y="14630"/>
                                </a:lnTo>
                                <a:lnTo>
                                  <a:pt x="483311" y="12877"/>
                                </a:lnTo>
                                <a:lnTo>
                                  <a:pt x="484238" y="12103"/>
                                </a:lnTo>
                                <a:lnTo>
                                  <a:pt x="486994" y="10871"/>
                                </a:lnTo>
                                <a:lnTo>
                                  <a:pt x="489026" y="10566"/>
                                </a:lnTo>
                                <a:lnTo>
                                  <a:pt x="498932" y="10566"/>
                                </a:lnTo>
                                <a:lnTo>
                                  <a:pt x="535457" y="26263"/>
                                </a:lnTo>
                                <a:lnTo>
                                  <a:pt x="535952" y="34353"/>
                                </a:lnTo>
                                <a:lnTo>
                                  <a:pt x="544588" y="34353"/>
                                </a:lnTo>
                                <a:lnTo>
                                  <a:pt x="542150" y="2654"/>
                                </a:lnTo>
                                <a:lnTo>
                                  <a:pt x="436905" y="2654"/>
                                </a:lnTo>
                                <a:lnTo>
                                  <a:pt x="436905" y="10528"/>
                                </a:lnTo>
                                <a:lnTo>
                                  <a:pt x="448322" y="10591"/>
                                </a:lnTo>
                                <a:lnTo>
                                  <a:pt x="450443" y="11099"/>
                                </a:lnTo>
                                <a:lnTo>
                                  <a:pt x="451256" y="11722"/>
                                </a:lnTo>
                                <a:lnTo>
                                  <a:pt x="452386" y="13817"/>
                                </a:lnTo>
                                <a:lnTo>
                                  <a:pt x="452666" y="15506"/>
                                </a:lnTo>
                                <a:lnTo>
                                  <a:pt x="452666" y="121119"/>
                                </a:lnTo>
                                <a:lnTo>
                                  <a:pt x="436905" y="126085"/>
                                </a:lnTo>
                                <a:lnTo>
                                  <a:pt x="436905" y="133972"/>
                                </a:lnTo>
                                <a:lnTo>
                                  <a:pt x="541401" y="133972"/>
                                </a:lnTo>
                                <a:lnTo>
                                  <a:pt x="547585" y="100393"/>
                                </a:lnTo>
                                <a:close/>
                              </a:path>
                              <a:path w="671830" h="137160">
                                <a:moveTo>
                                  <a:pt x="671207" y="2654"/>
                                </a:moveTo>
                                <a:lnTo>
                                  <a:pt x="553593" y="2654"/>
                                </a:lnTo>
                                <a:lnTo>
                                  <a:pt x="553593" y="36042"/>
                                </a:lnTo>
                                <a:lnTo>
                                  <a:pt x="562216" y="36042"/>
                                </a:lnTo>
                                <a:lnTo>
                                  <a:pt x="562254" y="30048"/>
                                </a:lnTo>
                                <a:lnTo>
                                  <a:pt x="563029" y="27698"/>
                                </a:lnTo>
                                <a:lnTo>
                                  <a:pt x="591578" y="10528"/>
                                </a:lnTo>
                                <a:lnTo>
                                  <a:pt x="594550" y="10528"/>
                                </a:lnTo>
                                <a:lnTo>
                                  <a:pt x="595363" y="10782"/>
                                </a:lnTo>
                                <a:lnTo>
                                  <a:pt x="596988" y="12153"/>
                                </a:lnTo>
                                <a:lnTo>
                                  <a:pt x="597674" y="13944"/>
                                </a:lnTo>
                                <a:lnTo>
                                  <a:pt x="597674" y="121119"/>
                                </a:lnTo>
                                <a:lnTo>
                                  <a:pt x="581914" y="126085"/>
                                </a:lnTo>
                                <a:lnTo>
                                  <a:pt x="581914" y="133972"/>
                                </a:lnTo>
                                <a:lnTo>
                                  <a:pt x="642886" y="133972"/>
                                </a:lnTo>
                                <a:lnTo>
                                  <a:pt x="642886" y="126085"/>
                                </a:lnTo>
                                <a:lnTo>
                                  <a:pt x="631469" y="126022"/>
                                </a:lnTo>
                                <a:lnTo>
                                  <a:pt x="629348" y="125526"/>
                                </a:lnTo>
                                <a:lnTo>
                                  <a:pt x="628535" y="124866"/>
                                </a:lnTo>
                                <a:lnTo>
                                  <a:pt x="627405" y="122809"/>
                                </a:lnTo>
                                <a:lnTo>
                                  <a:pt x="627126" y="121119"/>
                                </a:lnTo>
                                <a:lnTo>
                                  <a:pt x="627253" y="13373"/>
                                </a:lnTo>
                                <a:lnTo>
                                  <a:pt x="627811" y="12153"/>
                                </a:lnTo>
                                <a:lnTo>
                                  <a:pt x="629475" y="10782"/>
                                </a:lnTo>
                                <a:lnTo>
                                  <a:pt x="630250" y="10528"/>
                                </a:lnTo>
                                <a:lnTo>
                                  <a:pt x="633222" y="10528"/>
                                </a:lnTo>
                                <a:lnTo>
                                  <a:pt x="662584" y="36042"/>
                                </a:lnTo>
                                <a:lnTo>
                                  <a:pt x="671207" y="36042"/>
                                </a:lnTo>
                                <a:lnTo>
                                  <a:pt x="671207" y="2654"/>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style="width:52.9pt;height:10.8pt;mso-position-horizontal-relative:char;mso-position-vertical-relative:line" id="docshapegroup91" coordorigin="0,0" coordsize="1058,216">
                <v:shape style="position:absolute;left:-1;top:0;width:1058;height:216" id="docshape92" coordorigin="0,0" coordsize="1058,216" path="m216,4l0,4,0,17,18,17,21,17,23,18,24,22,25,24,25,191,24,193,23,197,21,198,18,198,0,199,0,211,96,211,96,199,78,198,75,198,73,197,72,193,71,191,71,24,72,22,73,18,75,17,80,16,138,17,141,17,143,18,144,22,145,24,145,191,144,193,143,197,141,198,138,198,120,199,120,211,216,211,216,199,198,198,195,198,193,197,192,193,191,191,191,24,192,22,193,18,195,17,200,16,216,17,216,4xm443,199l429,199,426,198,422,194,421,192,418,187,417,184,417,184,416,181,400,135,396,123,370,50,353,3,353,123,295,123,328,50,353,123,353,3,352,0,337,0,276,136,270,147,266,157,258,173,255,179,252,183,249,188,247,191,243,196,241,197,238,199,227,199,227,211,295,211,295,199,277,199,275,198,275,198,272,195,272,193,272,187,272,184,274,177,275,172,280,160,282,153,286,144,289,135,357,135,376,191,377,192,377,193,377,196,376,197,374,198,372,199,357,199,357,211,443,211,443,199xm667,183l656,181,654,188,651,193,650,193,645,193,643,192,640,188,639,185,631,158,625,143,622,138,615,128,611,123,600,114,593,110,578,104,570,102,560,102,560,100,567,99,573,97,583,89,587,85,594,75,597,69,601,58,609,25,610,23,613,18,615,17,618,17,619,18,620,19,621,31,622,35,626,41,629,43,635,46,638,46,645,46,648,45,654,42,657,39,660,33,661,29,661,22,660,18,658,11,656,9,652,5,649,3,642,1,637,0,627,0,622,1,612,4,608,6,599,14,595,19,587,33,583,42,574,67,570,77,568,82,564,88,561,90,556,93,553,94,527,94,527,24,527,22,529,18,530,17,536,16,552,17,552,4,456,4,456,17,474,17,477,17,478,18,480,22,480,24,480,191,480,193,478,197,477,198,474,198,456,199,456,211,552,211,552,199,534,198,530,198,529,197,527,193,527,191,527,106,551,106,554,107,559,110,562,112,566,119,571,134,578,158,581,166,587,182,591,189,600,201,605,206,617,213,625,215,638,215,644,214,653,210,657,206,663,197,666,191,667,183xm862,158l848,156,846,170,844,174,837,181,833,185,823,190,818,192,806,195,800,197,788,198,769,198,763,197,760,196,760,195,759,191,759,108,774,108,781,109,793,110,798,112,805,115,808,117,810,122,811,125,811,138,825,138,825,67,811,67,811,79,810,82,808,87,805,89,798,92,793,94,781,95,774,96,759,96,759,24,760,23,761,20,763,19,767,17,770,17,786,17,796,17,813,21,820,23,831,28,836,31,842,38,843,41,844,54,858,54,854,4,688,4,688,17,706,17,709,17,711,18,712,22,713,24,713,191,712,193,711,197,709,198,706,198,688,199,688,211,853,211,862,158xm1057,4l872,4,872,57,885,57,885,47,887,44,891,37,895,34,902,28,906,25,915,21,928,17,932,17,936,17,938,17,940,19,941,22,941,191,941,193,939,197,938,198,934,198,916,199,916,211,1012,211,1012,199,994,198,991,198,990,197,988,193,988,191,988,21,989,19,991,17,993,17,997,17,1001,17,1009,20,1014,21,1022,25,1027,28,1034,34,1037,37,1042,44,1043,47,1043,57,1057,57,1057,4xe" filled="true" fillcolor="#231f20" stroked="false">
                  <v:path arrowok="t"/>
                  <v:fill type="solid"/>
                </v:shape>
              </v:group>
            </w:pict>
          </mc:Fallback>
        </mc:AlternateContent>
      </w:r>
      <w:r>
        <w:rPr>
          <w:position w:val="-3"/>
        </w:rPr>
      </w:r>
    </w:p>
    <w:p>
      <w:pPr>
        <w:pStyle w:val="BodyText"/>
        <w:spacing w:before="7"/>
        <w:ind w:left="0" w:right="0" w:firstLine="0"/>
        <w:jc w:val="left"/>
        <w:rPr>
          <w:sz w:val="15"/>
        </w:rPr>
      </w:pPr>
      <w:r>
        <w:rPr>
          <w:sz w:val="15"/>
        </w:rPr>
        <w:drawing>
          <wp:anchor distT="0" distB="0" distL="0" distR="0" allowOverlap="1" layoutInCell="1" locked="0" behindDoc="1" simplePos="0" relativeHeight="487631872">
            <wp:simplePos x="0" y="0"/>
            <wp:positionH relativeFrom="page">
              <wp:posOffset>1485266</wp:posOffset>
            </wp:positionH>
            <wp:positionV relativeFrom="paragraph">
              <wp:posOffset>129518</wp:posOffset>
            </wp:positionV>
            <wp:extent cx="2413039" cy="133350"/>
            <wp:effectExtent l="0" t="0" r="0" b="0"/>
            <wp:wrapTopAndBottom/>
            <wp:docPr id="142" name="Image 142"/>
            <wp:cNvGraphicFramePr>
              <a:graphicFrameLocks/>
            </wp:cNvGraphicFramePr>
            <a:graphic>
              <a:graphicData uri="http://schemas.openxmlformats.org/drawingml/2006/picture">
                <pic:pic>
                  <pic:nvPicPr>
                    <pic:cNvPr id="142" name="Image 142"/>
                    <pic:cNvPicPr/>
                  </pic:nvPicPr>
                  <pic:blipFill>
                    <a:blip r:embed="rId203" cstate="print"/>
                    <a:stretch>
                      <a:fillRect/>
                    </a:stretch>
                  </pic:blipFill>
                  <pic:spPr>
                    <a:xfrm>
                      <a:off x="0" y="0"/>
                      <a:ext cx="2413039" cy="133350"/>
                    </a:xfrm>
                    <a:prstGeom prst="rect">
                      <a:avLst/>
                    </a:prstGeom>
                  </pic:spPr>
                </pic:pic>
              </a:graphicData>
            </a:graphic>
          </wp:anchor>
        </w:drawing>
      </w: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spacing w:before="219"/>
        <w:ind w:left="0" w:right="0" w:firstLine="0"/>
        <w:jc w:val="left"/>
      </w:pPr>
      <w:r>
        <w:rPr/>
        <w:drawing>
          <wp:anchor distT="0" distB="0" distL="0" distR="0" allowOverlap="1" layoutInCell="1" locked="0" behindDoc="1" simplePos="0" relativeHeight="487632384">
            <wp:simplePos x="0" y="0"/>
            <wp:positionH relativeFrom="page">
              <wp:posOffset>711126</wp:posOffset>
            </wp:positionH>
            <wp:positionV relativeFrom="paragraph">
              <wp:posOffset>300342</wp:posOffset>
            </wp:positionV>
            <wp:extent cx="3961614" cy="361950"/>
            <wp:effectExtent l="0" t="0" r="0" b="0"/>
            <wp:wrapTopAndBottom/>
            <wp:docPr id="143" name="Image 143"/>
            <wp:cNvGraphicFramePr>
              <a:graphicFrameLocks/>
            </wp:cNvGraphicFramePr>
            <a:graphic>
              <a:graphicData uri="http://schemas.openxmlformats.org/drawingml/2006/picture">
                <pic:pic>
                  <pic:nvPicPr>
                    <pic:cNvPr id="143" name="Image 143"/>
                    <pic:cNvPicPr/>
                  </pic:nvPicPr>
                  <pic:blipFill>
                    <a:blip r:embed="rId204" cstate="print"/>
                    <a:stretch>
                      <a:fillRect/>
                    </a:stretch>
                  </pic:blipFill>
                  <pic:spPr>
                    <a:xfrm>
                      <a:off x="0" y="0"/>
                      <a:ext cx="3961614" cy="361950"/>
                    </a:xfrm>
                    <a:prstGeom prst="rect">
                      <a:avLst/>
                    </a:prstGeom>
                  </pic:spPr>
                </pic:pic>
              </a:graphicData>
            </a:graphic>
          </wp:anchor>
        </w:drawing>
      </w:r>
    </w:p>
    <w:p>
      <w:pPr>
        <w:pStyle w:val="BodyText"/>
        <w:spacing w:after="0"/>
        <w:jc w:val="left"/>
        <w:sectPr>
          <w:footerReference w:type="default" r:id="rId198"/>
          <w:pgSz w:w="8400" w:h="11910"/>
          <w:pgMar w:header="0" w:footer="0" w:top="180" w:bottom="0" w:left="425" w:right="425"/>
        </w:sectPr>
      </w:pPr>
    </w:p>
    <w:p>
      <w:pPr>
        <w:pStyle w:val="BodyText"/>
        <w:ind w:left="357" w:right="0" w:firstLine="0"/>
        <w:jc w:val="left"/>
      </w:pPr>
      <w:r>
        <w:rPr/>
        <w:drawing>
          <wp:inline distT="0" distB="0" distL="0" distR="0">
            <wp:extent cx="4357571" cy="600455"/>
            <wp:effectExtent l="0" t="0" r="0" b="0"/>
            <wp:docPr id="144" name="Image 144" descr="F:\работа верстка\19-20\Мымрина А.Н\Приказ_распоряжение_СЗ.jpg"/>
            <wp:cNvGraphicFramePr>
              <a:graphicFrameLocks/>
            </wp:cNvGraphicFramePr>
            <a:graphic>
              <a:graphicData uri="http://schemas.openxmlformats.org/drawingml/2006/picture">
                <pic:pic>
                  <pic:nvPicPr>
                    <pic:cNvPr id="144" name="Image 144" descr="F:\работа верстка\19-20\Мымрина А.Н\Приказ_распоряжение_СЗ.jpg"/>
                    <pic:cNvPicPr/>
                  </pic:nvPicPr>
                  <pic:blipFill>
                    <a:blip r:embed="rId206" cstate="print"/>
                    <a:stretch>
                      <a:fillRect/>
                    </a:stretch>
                  </pic:blipFill>
                  <pic:spPr>
                    <a:xfrm>
                      <a:off x="0" y="0"/>
                      <a:ext cx="4357571" cy="600455"/>
                    </a:xfrm>
                    <a:prstGeom prst="rect">
                      <a:avLst/>
                    </a:prstGeom>
                  </pic:spPr>
                </pic:pic>
              </a:graphicData>
            </a:graphic>
          </wp:inline>
        </w:drawing>
      </w:r>
      <w:r>
        <w:rPr/>
      </w: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spacing w:before="150"/>
        <w:ind w:left="0" w:right="0" w:firstLine="0"/>
        <w:jc w:val="left"/>
        <w:rPr>
          <w:sz w:val="28"/>
        </w:rPr>
      </w:pPr>
    </w:p>
    <w:p>
      <w:pPr>
        <w:spacing w:before="0"/>
        <w:ind w:left="303" w:right="303" w:firstLine="0"/>
        <w:jc w:val="center"/>
        <w:rPr>
          <w:b/>
          <w:sz w:val="28"/>
        </w:rPr>
      </w:pPr>
      <w:r>
        <w:rPr>
          <w:b/>
          <w:color w:val="231F20"/>
          <w:spacing w:val="-2"/>
          <w:sz w:val="28"/>
        </w:rPr>
        <w:t>ПАКЕТ</w:t>
      </w:r>
    </w:p>
    <w:p>
      <w:pPr>
        <w:spacing w:before="38"/>
        <w:ind w:left="303" w:right="303" w:firstLine="0"/>
        <w:jc w:val="center"/>
        <w:rPr>
          <w:b/>
          <w:sz w:val="28"/>
        </w:rPr>
      </w:pPr>
      <w:r>
        <w:rPr>
          <w:b/>
          <w:color w:val="231F20"/>
          <w:sz w:val="28"/>
        </w:rPr>
        <w:t>инструментария</w:t>
      </w:r>
      <w:r>
        <w:rPr>
          <w:b/>
          <w:color w:val="231F20"/>
          <w:spacing w:val="-8"/>
          <w:sz w:val="28"/>
        </w:rPr>
        <w:t> </w:t>
      </w:r>
      <w:r>
        <w:rPr>
          <w:b/>
          <w:color w:val="231F20"/>
          <w:spacing w:val="-2"/>
          <w:sz w:val="28"/>
        </w:rPr>
        <w:t>программы</w:t>
      </w:r>
    </w:p>
    <w:p>
      <w:pPr>
        <w:spacing w:line="268" w:lineRule="auto" w:before="38"/>
        <w:ind w:left="304" w:right="301" w:firstLine="0"/>
        <w:jc w:val="center"/>
        <w:rPr>
          <w:b/>
          <w:sz w:val="28"/>
        </w:rPr>
      </w:pPr>
      <w:r>
        <w:rPr>
          <w:b/>
          <w:color w:val="231F20"/>
          <w:spacing w:val="-2"/>
          <w:sz w:val="28"/>
        </w:rPr>
        <w:t>психолого-педагогического сопровождения процессов </w:t>
      </w:r>
      <w:r>
        <w:rPr>
          <w:b/>
          <w:color w:val="231F20"/>
          <w:sz w:val="28"/>
        </w:rPr>
        <w:t>обучения, социальной, языковой и культурной адаптации детей иностранных граждан</w:t>
      </w:r>
    </w:p>
    <w:p>
      <w:pPr>
        <w:pStyle w:val="BodyText"/>
        <w:ind w:left="0" w:right="0" w:firstLine="0"/>
        <w:jc w:val="left"/>
        <w:rPr>
          <w:b/>
          <w:sz w:val="28"/>
        </w:rPr>
      </w:pPr>
    </w:p>
    <w:p>
      <w:pPr>
        <w:pStyle w:val="BodyText"/>
        <w:spacing w:before="11"/>
        <w:ind w:left="0" w:right="0" w:firstLine="0"/>
        <w:jc w:val="left"/>
        <w:rPr>
          <w:b/>
          <w:sz w:val="28"/>
        </w:rPr>
      </w:pPr>
    </w:p>
    <w:p>
      <w:pPr>
        <w:pStyle w:val="Heading7"/>
      </w:pPr>
      <w:r>
        <w:rPr>
          <w:color w:val="231F20"/>
        </w:rPr>
        <w:t>Под</w:t>
      </w:r>
      <w:r>
        <w:rPr>
          <w:color w:val="231F20"/>
          <w:spacing w:val="-8"/>
        </w:rPr>
        <w:t> </w:t>
      </w:r>
      <w:r>
        <w:rPr>
          <w:color w:val="231F20"/>
          <w:spacing w:val="-4"/>
        </w:rPr>
        <w:t>ред.</w:t>
      </w:r>
    </w:p>
    <w:p>
      <w:pPr>
        <w:pStyle w:val="Heading7"/>
        <w:spacing w:before="21"/>
      </w:pPr>
      <w:r>
        <w:rPr>
          <w:color w:val="231F20"/>
        </w:rPr>
        <w:t>О.Е.</w:t>
      </w:r>
      <w:r>
        <w:rPr>
          <w:color w:val="231F20"/>
          <w:spacing w:val="-4"/>
        </w:rPr>
        <w:t> </w:t>
      </w:r>
      <w:r>
        <w:rPr>
          <w:color w:val="231F20"/>
        </w:rPr>
        <w:t>Хухлаева</w:t>
      </w:r>
      <w:r>
        <w:rPr>
          <w:i/>
          <w:color w:val="231F20"/>
        </w:rPr>
        <w:t>,</w:t>
      </w:r>
      <w:r>
        <w:rPr>
          <w:i/>
          <w:color w:val="231F20"/>
          <w:spacing w:val="-3"/>
        </w:rPr>
        <w:t> </w:t>
      </w:r>
      <w:r>
        <w:rPr>
          <w:color w:val="231F20"/>
        </w:rPr>
        <w:t>М.Ю.</w:t>
      </w:r>
      <w:r>
        <w:rPr>
          <w:color w:val="231F20"/>
          <w:spacing w:val="-3"/>
        </w:rPr>
        <w:t> </w:t>
      </w:r>
      <w:r>
        <w:rPr>
          <w:color w:val="231F20"/>
        </w:rPr>
        <w:t>Чибисовой</w:t>
      </w:r>
      <w:r>
        <w:rPr>
          <w:color w:val="231F20"/>
          <w:spacing w:val="-4"/>
        </w:rPr>
        <w:t> </w:t>
      </w:r>
      <w:r>
        <w:rPr>
          <w:color w:val="231F20"/>
        </w:rPr>
        <w:t>и</w:t>
      </w:r>
      <w:r>
        <w:rPr>
          <w:color w:val="231F20"/>
          <w:spacing w:val="-3"/>
        </w:rPr>
        <w:t> </w:t>
      </w:r>
      <w:r>
        <w:rPr>
          <w:color w:val="231F20"/>
        </w:rPr>
        <w:t>Н.В.</w:t>
      </w:r>
      <w:r>
        <w:rPr>
          <w:color w:val="231F20"/>
          <w:spacing w:val="-3"/>
        </w:rPr>
        <w:t> </w:t>
      </w:r>
      <w:r>
        <w:rPr>
          <w:color w:val="231F20"/>
          <w:spacing w:val="-2"/>
        </w:rPr>
        <w:t>Ткаченко</w:t>
      </w:r>
    </w:p>
    <w:p>
      <w:pPr>
        <w:pStyle w:val="BodyText"/>
        <w:ind w:left="0" w:right="0" w:firstLine="0"/>
        <w:jc w:val="left"/>
        <w:rPr>
          <w:b/>
          <w:sz w:val="26"/>
        </w:rPr>
      </w:pPr>
    </w:p>
    <w:p>
      <w:pPr>
        <w:pStyle w:val="BodyText"/>
        <w:spacing w:before="120"/>
        <w:ind w:left="0" w:right="0" w:firstLine="0"/>
        <w:jc w:val="left"/>
        <w:rPr>
          <w:b/>
          <w:sz w:val="26"/>
        </w:rPr>
      </w:pPr>
    </w:p>
    <w:p>
      <w:pPr>
        <w:spacing w:line="278" w:lineRule="auto" w:before="0"/>
        <w:ind w:left="1295" w:right="1293" w:firstLine="0"/>
        <w:jc w:val="center"/>
        <w:rPr>
          <w:b/>
          <w:i/>
          <w:sz w:val="24"/>
        </w:rPr>
      </w:pPr>
      <w:r>
        <w:rPr>
          <w:b/>
          <w:i/>
          <w:color w:val="231F20"/>
          <w:spacing w:val="-2"/>
          <w:sz w:val="24"/>
        </w:rPr>
        <w:t>Рекомендовано</w:t>
      </w:r>
      <w:r>
        <w:rPr>
          <w:b/>
          <w:i/>
          <w:color w:val="231F20"/>
          <w:spacing w:val="-4"/>
          <w:sz w:val="24"/>
        </w:rPr>
        <w:t> </w:t>
      </w:r>
      <w:r>
        <w:rPr>
          <w:b/>
          <w:i/>
          <w:color w:val="231F20"/>
          <w:spacing w:val="-2"/>
          <w:sz w:val="24"/>
        </w:rPr>
        <w:t>к</w:t>
      </w:r>
      <w:r>
        <w:rPr>
          <w:b/>
          <w:i/>
          <w:color w:val="231F20"/>
          <w:spacing w:val="-4"/>
          <w:sz w:val="24"/>
        </w:rPr>
        <w:t> </w:t>
      </w:r>
      <w:r>
        <w:rPr>
          <w:b/>
          <w:i/>
          <w:color w:val="231F20"/>
          <w:spacing w:val="-2"/>
          <w:sz w:val="24"/>
        </w:rPr>
        <w:t>публикации</w:t>
      </w:r>
      <w:r>
        <w:rPr>
          <w:b/>
          <w:i/>
          <w:color w:val="231F20"/>
          <w:spacing w:val="-5"/>
          <w:sz w:val="24"/>
        </w:rPr>
        <w:t> </w:t>
      </w:r>
      <w:r>
        <w:rPr>
          <w:b/>
          <w:i/>
          <w:color w:val="231F20"/>
          <w:spacing w:val="-2"/>
          <w:sz w:val="24"/>
        </w:rPr>
        <w:t>Ученым</w:t>
      </w:r>
      <w:r>
        <w:rPr>
          <w:b/>
          <w:i/>
          <w:color w:val="231F20"/>
          <w:spacing w:val="-5"/>
          <w:sz w:val="24"/>
        </w:rPr>
        <w:t> </w:t>
      </w:r>
      <w:r>
        <w:rPr>
          <w:b/>
          <w:i/>
          <w:color w:val="231F20"/>
          <w:spacing w:val="-2"/>
          <w:sz w:val="24"/>
        </w:rPr>
        <w:t>советом </w:t>
      </w:r>
      <w:r>
        <w:rPr>
          <w:b/>
          <w:i/>
          <w:color w:val="231F20"/>
          <w:sz w:val="24"/>
        </w:rPr>
        <w:t>федерального государственного бюджетного образовательного учреждения высшего образования «Московский государственный психолого-педагогический университет»</w:t>
      </w:r>
    </w:p>
    <w:p>
      <w:pPr>
        <w:pStyle w:val="BodyText"/>
        <w:ind w:left="0" w:right="0" w:firstLine="0"/>
        <w:jc w:val="left"/>
        <w:rPr>
          <w:b/>
          <w:i/>
          <w:sz w:val="24"/>
        </w:rPr>
      </w:pPr>
    </w:p>
    <w:p>
      <w:pPr>
        <w:pStyle w:val="BodyText"/>
        <w:ind w:left="0" w:right="0" w:firstLine="0"/>
        <w:jc w:val="left"/>
        <w:rPr>
          <w:b/>
          <w:i/>
          <w:sz w:val="24"/>
        </w:rPr>
      </w:pPr>
    </w:p>
    <w:p>
      <w:pPr>
        <w:pStyle w:val="BodyText"/>
        <w:spacing w:before="245"/>
        <w:ind w:left="0" w:right="0" w:firstLine="0"/>
        <w:jc w:val="left"/>
        <w:rPr>
          <w:b/>
          <w:i/>
          <w:sz w:val="24"/>
        </w:rPr>
      </w:pPr>
    </w:p>
    <w:p>
      <w:pPr>
        <w:spacing w:before="0"/>
        <w:ind w:left="303" w:right="303" w:firstLine="0"/>
        <w:jc w:val="center"/>
        <w:rPr>
          <w:b/>
          <w:sz w:val="20"/>
        </w:rPr>
      </w:pPr>
      <w:r>
        <w:rPr>
          <w:b/>
          <w:color w:val="231F20"/>
          <w:sz w:val="20"/>
        </w:rPr>
        <w:t>Москва,</w:t>
      </w:r>
      <w:r>
        <w:rPr>
          <w:b/>
          <w:color w:val="231F20"/>
          <w:spacing w:val="-3"/>
          <w:sz w:val="20"/>
        </w:rPr>
        <w:t> </w:t>
      </w:r>
      <w:r>
        <w:rPr>
          <w:b/>
          <w:color w:val="231F20"/>
          <w:spacing w:val="-4"/>
          <w:sz w:val="20"/>
        </w:rPr>
        <w:t>2023</w:t>
      </w:r>
    </w:p>
    <w:p>
      <w:pPr>
        <w:spacing w:after="0"/>
        <w:jc w:val="center"/>
        <w:rPr>
          <w:b/>
          <w:sz w:val="20"/>
        </w:rPr>
        <w:sectPr>
          <w:footerReference w:type="default" r:id="rId205"/>
          <w:pgSz w:w="8400" w:h="11910"/>
          <w:pgMar w:header="0" w:footer="0" w:top="1000" w:bottom="280" w:left="425" w:right="425"/>
        </w:sectPr>
      </w:pPr>
    </w:p>
    <w:p>
      <w:pPr>
        <w:pStyle w:val="BodyText"/>
        <w:spacing w:line="228" w:lineRule="exact" w:before="77"/>
        <w:ind w:left="425" w:right="0" w:firstLine="0"/>
        <w:jc w:val="left"/>
      </w:pPr>
      <w:r>
        <w:rPr>
          <w:color w:val="231F20"/>
          <w:spacing w:val="-8"/>
        </w:rPr>
        <w:t>УДК</w:t>
      </w:r>
      <w:r>
        <w:rPr>
          <w:color w:val="231F20"/>
          <w:spacing w:val="-2"/>
        </w:rPr>
        <w:t> 159.9</w:t>
      </w:r>
    </w:p>
    <w:p>
      <w:pPr>
        <w:pStyle w:val="BodyText"/>
        <w:spacing w:line="226" w:lineRule="exact"/>
        <w:ind w:left="425" w:right="0" w:firstLine="0"/>
        <w:jc w:val="left"/>
      </w:pPr>
      <w:r>
        <w:rPr>
          <w:color w:val="231F20"/>
        </w:rPr>
        <w:t>ББК</w:t>
      </w:r>
      <w:r>
        <w:rPr>
          <w:color w:val="231F20"/>
          <w:spacing w:val="23"/>
        </w:rPr>
        <w:t> </w:t>
      </w:r>
      <w:r>
        <w:rPr>
          <w:color w:val="231F20"/>
          <w:spacing w:val="-4"/>
        </w:rPr>
        <w:t>88.8</w:t>
      </w:r>
    </w:p>
    <w:p>
      <w:pPr>
        <w:pStyle w:val="BodyText"/>
        <w:spacing w:line="228" w:lineRule="exact"/>
        <w:ind w:left="861" w:right="0" w:firstLine="0"/>
        <w:jc w:val="left"/>
      </w:pPr>
      <w:r>
        <w:rPr>
          <w:color w:val="231F20"/>
          <w:spacing w:val="-5"/>
        </w:rPr>
        <w:t>П13</w:t>
      </w:r>
    </w:p>
    <w:p>
      <w:pPr>
        <w:spacing w:line="235" w:lineRule="auto" w:before="225"/>
        <w:ind w:left="425" w:right="139" w:firstLine="0"/>
        <w:jc w:val="both"/>
        <w:rPr>
          <w:sz w:val="20"/>
        </w:rPr>
      </w:pPr>
      <w:r>
        <w:rPr>
          <w:b/>
          <w:color w:val="231F20"/>
          <w:sz w:val="20"/>
        </w:rPr>
        <w:t>Пакет инструментария программы психолого-педагогического сопрово- ждения процессов обучения, социальной, языковой и культурной адапта- ции детей иностранных граждан / </w:t>
      </w:r>
      <w:r>
        <w:rPr>
          <w:color w:val="231F20"/>
          <w:sz w:val="20"/>
        </w:rPr>
        <w:t>Под ред. О.Е.</w:t>
      </w:r>
      <w:r>
        <w:rPr>
          <w:color w:val="231F20"/>
          <w:spacing w:val="-4"/>
          <w:sz w:val="20"/>
        </w:rPr>
        <w:t> </w:t>
      </w:r>
      <w:r>
        <w:rPr>
          <w:color w:val="231F20"/>
          <w:sz w:val="20"/>
        </w:rPr>
        <w:t>Хухлаева, М.Ю.</w:t>
      </w:r>
      <w:r>
        <w:rPr>
          <w:color w:val="231F20"/>
          <w:spacing w:val="-4"/>
          <w:sz w:val="20"/>
        </w:rPr>
        <w:t> </w:t>
      </w:r>
      <w:r>
        <w:rPr>
          <w:color w:val="231F20"/>
          <w:sz w:val="20"/>
        </w:rPr>
        <w:t>Чибисовой и Н.В. Ткаченко. – М.: ФГБОУ ВО МГППУ, 2023. – 179 с.</w:t>
      </w:r>
    </w:p>
    <w:p>
      <w:pPr>
        <w:spacing w:line="228" w:lineRule="exact" w:before="225"/>
        <w:ind w:left="283" w:right="0" w:firstLine="0"/>
        <w:jc w:val="center"/>
        <w:rPr>
          <w:b/>
          <w:sz w:val="20"/>
        </w:rPr>
      </w:pPr>
      <w:r>
        <w:rPr>
          <w:b/>
          <w:color w:val="231F20"/>
          <w:spacing w:val="-2"/>
          <w:sz w:val="20"/>
        </w:rPr>
        <w:t>Рецензенты:</w:t>
      </w:r>
    </w:p>
    <w:p>
      <w:pPr>
        <w:pStyle w:val="BodyText"/>
        <w:spacing w:line="235" w:lineRule="auto" w:before="2"/>
        <w:ind w:left="1295" w:right="1009" w:firstLine="0"/>
        <w:jc w:val="center"/>
      </w:pPr>
      <w:r>
        <w:rPr>
          <w:color w:val="231F20"/>
        </w:rPr>
        <w:t>доктор</w:t>
      </w:r>
      <w:r>
        <w:rPr>
          <w:color w:val="231F20"/>
          <w:spacing w:val="-13"/>
        </w:rPr>
        <w:t> </w:t>
      </w:r>
      <w:r>
        <w:rPr>
          <w:color w:val="231F20"/>
        </w:rPr>
        <w:t>психологических</w:t>
      </w:r>
      <w:r>
        <w:rPr>
          <w:color w:val="231F20"/>
          <w:spacing w:val="-12"/>
        </w:rPr>
        <w:t> </w:t>
      </w:r>
      <w:r>
        <w:rPr>
          <w:color w:val="231F20"/>
        </w:rPr>
        <w:t>наук,</w:t>
      </w:r>
      <w:r>
        <w:rPr>
          <w:color w:val="231F20"/>
          <w:spacing w:val="-13"/>
        </w:rPr>
        <w:t> </w:t>
      </w:r>
      <w:r>
        <w:rPr>
          <w:color w:val="231F20"/>
        </w:rPr>
        <w:t>профессор</w:t>
      </w:r>
      <w:r>
        <w:rPr>
          <w:color w:val="231F20"/>
          <w:spacing w:val="-12"/>
        </w:rPr>
        <w:t> </w:t>
      </w:r>
      <w:r>
        <w:rPr>
          <w:color w:val="231F20"/>
        </w:rPr>
        <w:t>В.В.</w:t>
      </w:r>
      <w:r>
        <w:rPr>
          <w:color w:val="231F20"/>
          <w:spacing w:val="-13"/>
        </w:rPr>
        <w:t> </w:t>
      </w:r>
      <w:r>
        <w:rPr>
          <w:color w:val="231F20"/>
        </w:rPr>
        <w:t>Гриценко доктор психологических наук, профессор И.В. Вачков</w:t>
      </w:r>
    </w:p>
    <w:p>
      <w:pPr>
        <w:spacing w:line="232" w:lineRule="auto" w:before="221"/>
        <w:ind w:left="425" w:right="423" w:firstLine="283"/>
        <w:jc w:val="both"/>
        <w:rPr>
          <w:sz w:val="18"/>
        </w:rPr>
      </w:pPr>
      <w:r>
        <w:rPr>
          <w:color w:val="231F20"/>
          <w:spacing w:val="-2"/>
          <w:sz w:val="18"/>
        </w:rPr>
        <w:t>В</w:t>
      </w:r>
      <w:r>
        <w:rPr>
          <w:color w:val="231F20"/>
          <w:spacing w:val="-3"/>
          <w:sz w:val="18"/>
        </w:rPr>
        <w:t> </w:t>
      </w:r>
      <w:r>
        <w:rPr>
          <w:color w:val="231F20"/>
          <w:spacing w:val="-2"/>
          <w:sz w:val="18"/>
        </w:rPr>
        <w:t>пакете</w:t>
      </w:r>
      <w:r>
        <w:rPr>
          <w:color w:val="231F20"/>
          <w:spacing w:val="-3"/>
          <w:sz w:val="18"/>
        </w:rPr>
        <w:t> </w:t>
      </w:r>
      <w:r>
        <w:rPr>
          <w:color w:val="231F20"/>
          <w:spacing w:val="-2"/>
          <w:sz w:val="18"/>
        </w:rPr>
        <w:t>инструментария</w:t>
      </w:r>
      <w:r>
        <w:rPr>
          <w:color w:val="231F20"/>
          <w:spacing w:val="-3"/>
          <w:sz w:val="18"/>
        </w:rPr>
        <w:t> </w:t>
      </w:r>
      <w:r>
        <w:rPr>
          <w:color w:val="231F20"/>
          <w:spacing w:val="-2"/>
          <w:sz w:val="18"/>
        </w:rPr>
        <w:t>представлено</w:t>
      </w:r>
      <w:r>
        <w:rPr>
          <w:color w:val="231F20"/>
          <w:spacing w:val="-3"/>
          <w:sz w:val="18"/>
        </w:rPr>
        <w:t> </w:t>
      </w:r>
      <w:r>
        <w:rPr>
          <w:color w:val="231F20"/>
          <w:spacing w:val="-2"/>
          <w:sz w:val="18"/>
        </w:rPr>
        <w:t>описание</w:t>
      </w:r>
      <w:r>
        <w:rPr>
          <w:color w:val="231F20"/>
          <w:spacing w:val="-3"/>
          <w:sz w:val="18"/>
        </w:rPr>
        <w:t> </w:t>
      </w:r>
      <w:r>
        <w:rPr>
          <w:color w:val="231F20"/>
          <w:spacing w:val="-2"/>
          <w:sz w:val="18"/>
        </w:rPr>
        <w:t>практик</w:t>
      </w:r>
      <w:r>
        <w:rPr>
          <w:color w:val="231F20"/>
          <w:spacing w:val="-3"/>
          <w:sz w:val="18"/>
        </w:rPr>
        <w:t> </w:t>
      </w:r>
      <w:r>
        <w:rPr>
          <w:color w:val="231F20"/>
          <w:spacing w:val="-2"/>
          <w:sz w:val="18"/>
        </w:rPr>
        <w:t>психолого-педагогическо- </w:t>
      </w:r>
      <w:r>
        <w:rPr>
          <w:color w:val="231F20"/>
          <w:sz w:val="18"/>
        </w:rPr>
        <w:t>го</w:t>
      </w:r>
      <w:r>
        <w:rPr>
          <w:color w:val="231F20"/>
          <w:spacing w:val="-7"/>
          <w:sz w:val="18"/>
        </w:rPr>
        <w:t> </w:t>
      </w:r>
      <w:r>
        <w:rPr>
          <w:color w:val="231F20"/>
          <w:sz w:val="18"/>
        </w:rPr>
        <w:t>сопровождения</w:t>
      </w:r>
      <w:r>
        <w:rPr>
          <w:color w:val="231F20"/>
          <w:spacing w:val="-7"/>
          <w:sz w:val="18"/>
        </w:rPr>
        <w:t> </w:t>
      </w:r>
      <w:r>
        <w:rPr>
          <w:color w:val="231F20"/>
          <w:sz w:val="18"/>
        </w:rPr>
        <w:t>процессов</w:t>
      </w:r>
      <w:r>
        <w:rPr>
          <w:color w:val="231F20"/>
          <w:spacing w:val="-7"/>
          <w:sz w:val="18"/>
        </w:rPr>
        <w:t> </w:t>
      </w:r>
      <w:r>
        <w:rPr>
          <w:color w:val="231F20"/>
          <w:sz w:val="18"/>
        </w:rPr>
        <w:t>обучения,</w:t>
      </w:r>
      <w:r>
        <w:rPr>
          <w:color w:val="231F20"/>
          <w:spacing w:val="-7"/>
          <w:sz w:val="18"/>
        </w:rPr>
        <w:t> </w:t>
      </w:r>
      <w:r>
        <w:rPr>
          <w:color w:val="231F20"/>
          <w:sz w:val="18"/>
        </w:rPr>
        <w:t>социальной,</w:t>
      </w:r>
      <w:r>
        <w:rPr>
          <w:color w:val="231F20"/>
          <w:spacing w:val="-7"/>
          <w:sz w:val="18"/>
        </w:rPr>
        <w:t> </w:t>
      </w:r>
      <w:r>
        <w:rPr>
          <w:color w:val="231F20"/>
          <w:sz w:val="18"/>
        </w:rPr>
        <w:t>языковой</w:t>
      </w:r>
      <w:r>
        <w:rPr>
          <w:color w:val="231F20"/>
          <w:spacing w:val="-7"/>
          <w:sz w:val="18"/>
        </w:rPr>
        <w:t> </w:t>
      </w:r>
      <w:r>
        <w:rPr>
          <w:color w:val="231F20"/>
          <w:sz w:val="18"/>
        </w:rPr>
        <w:t>и</w:t>
      </w:r>
      <w:r>
        <w:rPr>
          <w:color w:val="231F20"/>
          <w:spacing w:val="-7"/>
          <w:sz w:val="18"/>
        </w:rPr>
        <w:t> </w:t>
      </w:r>
      <w:r>
        <w:rPr>
          <w:color w:val="231F20"/>
          <w:sz w:val="18"/>
        </w:rPr>
        <w:t>культурной</w:t>
      </w:r>
      <w:r>
        <w:rPr>
          <w:color w:val="231F20"/>
          <w:spacing w:val="-7"/>
          <w:sz w:val="18"/>
        </w:rPr>
        <w:t> </w:t>
      </w:r>
      <w:r>
        <w:rPr>
          <w:color w:val="231F20"/>
          <w:sz w:val="18"/>
        </w:rPr>
        <w:t>адаптации детей</w:t>
      </w:r>
      <w:r>
        <w:rPr>
          <w:color w:val="231F20"/>
          <w:spacing w:val="-12"/>
          <w:sz w:val="18"/>
        </w:rPr>
        <w:t> </w:t>
      </w:r>
      <w:r>
        <w:rPr>
          <w:color w:val="231F20"/>
          <w:sz w:val="18"/>
        </w:rPr>
        <w:t>иностранных</w:t>
      </w:r>
      <w:r>
        <w:rPr>
          <w:color w:val="231F20"/>
          <w:spacing w:val="-11"/>
          <w:sz w:val="18"/>
        </w:rPr>
        <w:t> </w:t>
      </w:r>
      <w:r>
        <w:rPr>
          <w:color w:val="231F20"/>
          <w:sz w:val="18"/>
        </w:rPr>
        <w:t>граждан.</w:t>
      </w:r>
      <w:r>
        <w:rPr>
          <w:color w:val="231F20"/>
          <w:spacing w:val="-11"/>
          <w:sz w:val="18"/>
        </w:rPr>
        <w:t> </w:t>
      </w:r>
      <w:r>
        <w:rPr>
          <w:color w:val="231F20"/>
          <w:sz w:val="18"/>
        </w:rPr>
        <w:t>В</w:t>
      </w:r>
      <w:r>
        <w:rPr>
          <w:color w:val="231F20"/>
          <w:spacing w:val="-11"/>
          <w:sz w:val="18"/>
        </w:rPr>
        <w:t> </w:t>
      </w:r>
      <w:r>
        <w:rPr>
          <w:color w:val="231F20"/>
          <w:sz w:val="18"/>
        </w:rPr>
        <w:t>первом</w:t>
      </w:r>
      <w:r>
        <w:rPr>
          <w:color w:val="231F20"/>
          <w:spacing w:val="-12"/>
          <w:sz w:val="18"/>
        </w:rPr>
        <w:t> </w:t>
      </w:r>
      <w:r>
        <w:rPr>
          <w:color w:val="231F20"/>
          <w:sz w:val="18"/>
        </w:rPr>
        <w:t>разделе</w:t>
      </w:r>
      <w:r>
        <w:rPr>
          <w:color w:val="231F20"/>
          <w:spacing w:val="-11"/>
          <w:sz w:val="18"/>
        </w:rPr>
        <w:t> </w:t>
      </w:r>
      <w:r>
        <w:rPr>
          <w:color w:val="231F20"/>
          <w:sz w:val="18"/>
        </w:rPr>
        <w:t>дано</w:t>
      </w:r>
      <w:r>
        <w:rPr>
          <w:color w:val="231F20"/>
          <w:spacing w:val="-11"/>
          <w:sz w:val="18"/>
        </w:rPr>
        <w:t> </w:t>
      </w:r>
      <w:r>
        <w:rPr>
          <w:color w:val="231F20"/>
          <w:sz w:val="18"/>
        </w:rPr>
        <w:t>описание</w:t>
      </w:r>
      <w:r>
        <w:rPr>
          <w:color w:val="231F20"/>
          <w:spacing w:val="-11"/>
          <w:sz w:val="18"/>
        </w:rPr>
        <w:t> </w:t>
      </w:r>
      <w:r>
        <w:rPr>
          <w:color w:val="231F20"/>
          <w:sz w:val="18"/>
        </w:rPr>
        <w:t>практик</w:t>
      </w:r>
      <w:r>
        <w:rPr>
          <w:color w:val="231F20"/>
          <w:spacing w:val="-12"/>
          <w:sz w:val="18"/>
        </w:rPr>
        <w:t> </w:t>
      </w:r>
      <w:r>
        <w:rPr>
          <w:color w:val="231F20"/>
          <w:sz w:val="18"/>
        </w:rPr>
        <w:t>работы</w:t>
      </w:r>
      <w:r>
        <w:rPr>
          <w:color w:val="231F20"/>
          <w:spacing w:val="-11"/>
          <w:sz w:val="18"/>
        </w:rPr>
        <w:t> </w:t>
      </w:r>
      <w:r>
        <w:rPr>
          <w:color w:val="231F20"/>
          <w:sz w:val="18"/>
        </w:rPr>
        <w:t>педагога- психолога</w:t>
      </w:r>
      <w:r>
        <w:rPr>
          <w:color w:val="231F20"/>
          <w:spacing w:val="-12"/>
          <w:sz w:val="18"/>
        </w:rPr>
        <w:t> </w:t>
      </w:r>
      <w:r>
        <w:rPr>
          <w:color w:val="231F20"/>
          <w:sz w:val="18"/>
        </w:rPr>
        <w:t>по</w:t>
      </w:r>
      <w:r>
        <w:rPr>
          <w:color w:val="231F20"/>
          <w:spacing w:val="-11"/>
          <w:sz w:val="18"/>
        </w:rPr>
        <w:t> </w:t>
      </w:r>
      <w:r>
        <w:rPr>
          <w:color w:val="231F20"/>
          <w:sz w:val="18"/>
        </w:rPr>
        <w:t>индивидуальной</w:t>
      </w:r>
      <w:r>
        <w:rPr>
          <w:color w:val="231F20"/>
          <w:spacing w:val="-11"/>
          <w:sz w:val="18"/>
        </w:rPr>
        <w:t> </w:t>
      </w:r>
      <w:r>
        <w:rPr>
          <w:color w:val="231F20"/>
          <w:sz w:val="18"/>
        </w:rPr>
        <w:t>поддержке</w:t>
      </w:r>
      <w:r>
        <w:rPr>
          <w:color w:val="231F20"/>
          <w:spacing w:val="-11"/>
          <w:sz w:val="18"/>
        </w:rPr>
        <w:t> </w:t>
      </w:r>
      <w:r>
        <w:rPr>
          <w:color w:val="231F20"/>
          <w:sz w:val="18"/>
        </w:rPr>
        <w:t>детей</w:t>
      </w:r>
      <w:r>
        <w:rPr>
          <w:color w:val="231F20"/>
          <w:spacing w:val="-12"/>
          <w:sz w:val="18"/>
        </w:rPr>
        <w:t> </w:t>
      </w:r>
      <w:r>
        <w:rPr>
          <w:color w:val="231F20"/>
          <w:sz w:val="18"/>
        </w:rPr>
        <w:t>–</w:t>
      </w:r>
      <w:r>
        <w:rPr>
          <w:color w:val="231F20"/>
          <w:spacing w:val="-11"/>
          <w:sz w:val="18"/>
        </w:rPr>
        <w:t> </w:t>
      </w:r>
      <w:r>
        <w:rPr>
          <w:color w:val="231F20"/>
          <w:sz w:val="18"/>
        </w:rPr>
        <w:t>иностранных</w:t>
      </w:r>
      <w:r>
        <w:rPr>
          <w:color w:val="231F20"/>
          <w:spacing w:val="-11"/>
          <w:sz w:val="18"/>
        </w:rPr>
        <w:t> </w:t>
      </w:r>
      <w:r>
        <w:rPr>
          <w:color w:val="231F20"/>
          <w:sz w:val="18"/>
        </w:rPr>
        <w:t>граждан.</w:t>
      </w:r>
      <w:r>
        <w:rPr>
          <w:color w:val="231F20"/>
          <w:spacing w:val="-11"/>
          <w:sz w:val="18"/>
        </w:rPr>
        <w:t> </w:t>
      </w:r>
      <w:r>
        <w:rPr>
          <w:color w:val="231F20"/>
          <w:sz w:val="18"/>
        </w:rPr>
        <w:t>Во</w:t>
      </w:r>
      <w:r>
        <w:rPr>
          <w:color w:val="231F20"/>
          <w:spacing w:val="-12"/>
          <w:sz w:val="18"/>
        </w:rPr>
        <w:t> </w:t>
      </w:r>
      <w:r>
        <w:rPr>
          <w:color w:val="231F20"/>
          <w:sz w:val="18"/>
        </w:rPr>
        <w:t>втором</w:t>
      </w:r>
      <w:r>
        <w:rPr>
          <w:color w:val="231F20"/>
          <w:spacing w:val="-11"/>
          <w:sz w:val="18"/>
        </w:rPr>
        <w:t> </w:t>
      </w:r>
      <w:r>
        <w:rPr>
          <w:color w:val="231F20"/>
          <w:sz w:val="18"/>
        </w:rPr>
        <w:t>раз- деле</w:t>
      </w:r>
      <w:r>
        <w:rPr>
          <w:color w:val="231F20"/>
          <w:spacing w:val="-12"/>
          <w:sz w:val="18"/>
        </w:rPr>
        <w:t> </w:t>
      </w:r>
      <w:r>
        <w:rPr>
          <w:color w:val="231F20"/>
          <w:sz w:val="18"/>
        </w:rPr>
        <w:t>описаны</w:t>
      </w:r>
      <w:r>
        <w:rPr>
          <w:color w:val="231F20"/>
          <w:spacing w:val="-11"/>
          <w:sz w:val="18"/>
        </w:rPr>
        <w:t> </w:t>
      </w:r>
      <w:r>
        <w:rPr>
          <w:color w:val="231F20"/>
          <w:sz w:val="18"/>
        </w:rPr>
        <w:t>практики</w:t>
      </w:r>
      <w:r>
        <w:rPr>
          <w:color w:val="231F20"/>
          <w:spacing w:val="-11"/>
          <w:sz w:val="18"/>
        </w:rPr>
        <w:t> </w:t>
      </w:r>
      <w:r>
        <w:rPr>
          <w:color w:val="231F20"/>
          <w:sz w:val="18"/>
        </w:rPr>
        <w:t>сопровождения</w:t>
      </w:r>
      <w:r>
        <w:rPr>
          <w:color w:val="231F20"/>
          <w:spacing w:val="-11"/>
          <w:sz w:val="18"/>
        </w:rPr>
        <w:t> </w:t>
      </w:r>
      <w:r>
        <w:rPr>
          <w:color w:val="231F20"/>
          <w:sz w:val="18"/>
        </w:rPr>
        <w:t>педагогического</w:t>
      </w:r>
      <w:r>
        <w:rPr>
          <w:color w:val="231F20"/>
          <w:spacing w:val="-12"/>
          <w:sz w:val="18"/>
        </w:rPr>
        <w:t> </w:t>
      </w:r>
      <w:r>
        <w:rPr>
          <w:color w:val="231F20"/>
          <w:sz w:val="18"/>
        </w:rPr>
        <w:t>коллектива.</w:t>
      </w:r>
      <w:r>
        <w:rPr>
          <w:color w:val="231F20"/>
          <w:spacing w:val="-11"/>
          <w:sz w:val="18"/>
        </w:rPr>
        <w:t> </w:t>
      </w:r>
      <w:r>
        <w:rPr>
          <w:color w:val="231F20"/>
          <w:sz w:val="18"/>
        </w:rPr>
        <w:t>В</w:t>
      </w:r>
      <w:r>
        <w:rPr>
          <w:color w:val="231F20"/>
          <w:spacing w:val="-11"/>
          <w:sz w:val="18"/>
        </w:rPr>
        <w:t> </w:t>
      </w:r>
      <w:r>
        <w:rPr>
          <w:color w:val="231F20"/>
          <w:sz w:val="18"/>
        </w:rPr>
        <w:t>третьем</w:t>
      </w:r>
      <w:r>
        <w:rPr>
          <w:color w:val="231F20"/>
          <w:spacing w:val="-11"/>
          <w:sz w:val="18"/>
        </w:rPr>
        <w:t> </w:t>
      </w:r>
      <w:r>
        <w:rPr>
          <w:color w:val="231F20"/>
          <w:sz w:val="18"/>
        </w:rPr>
        <w:t>разделе представлены практики осуществления работы педагога с родителями несовершенно- </w:t>
      </w:r>
      <w:r>
        <w:rPr>
          <w:color w:val="231F20"/>
          <w:spacing w:val="-2"/>
          <w:sz w:val="18"/>
        </w:rPr>
        <w:t>летних</w:t>
      </w:r>
      <w:r>
        <w:rPr>
          <w:color w:val="231F20"/>
          <w:spacing w:val="-3"/>
          <w:sz w:val="18"/>
        </w:rPr>
        <w:t> </w:t>
      </w:r>
      <w:r>
        <w:rPr>
          <w:color w:val="231F20"/>
          <w:spacing w:val="-2"/>
          <w:sz w:val="18"/>
        </w:rPr>
        <w:t>иностранных</w:t>
      </w:r>
      <w:r>
        <w:rPr>
          <w:color w:val="231F20"/>
          <w:spacing w:val="-3"/>
          <w:sz w:val="18"/>
        </w:rPr>
        <w:t> </w:t>
      </w:r>
      <w:r>
        <w:rPr>
          <w:color w:val="231F20"/>
          <w:spacing w:val="-2"/>
          <w:sz w:val="18"/>
        </w:rPr>
        <w:t>граждан.</w:t>
      </w:r>
      <w:r>
        <w:rPr>
          <w:color w:val="231F20"/>
          <w:spacing w:val="-3"/>
          <w:sz w:val="18"/>
        </w:rPr>
        <w:t> </w:t>
      </w:r>
      <w:r>
        <w:rPr>
          <w:color w:val="231F20"/>
          <w:spacing w:val="-2"/>
          <w:sz w:val="18"/>
        </w:rPr>
        <w:t>В</w:t>
      </w:r>
      <w:r>
        <w:rPr>
          <w:color w:val="231F20"/>
          <w:spacing w:val="-3"/>
          <w:sz w:val="18"/>
        </w:rPr>
        <w:t> </w:t>
      </w:r>
      <w:r>
        <w:rPr>
          <w:color w:val="231F20"/>
          <w:spacing w:val="-2"/>
          <w:sz w:val="18"/>
        </w:rPr>
        <w:t>четвертом</w:t>
      </w:r>
      <w:r>
        <w:rPr>
          <w:color w:val="231F20"/>
          <w:spacing w:val="-3"/>
          <w:sz w:val="18"/>
        </w:rPr>
        <w:t> </w:t>
      </w:r>
      <w:r>
        <w:rPr>
          <w:color w:val="231F20"/>
          <w:spacing w:val="-2"/>
          <w:sz w:val="18"/>
        </w:rPr>
        <w:t>разделе</w:t>
      </w:r>
      <w:r>
        <w:rPr>
          <w:color w:val="231F20"/>
          <w:spacing w:val="-3"/>
          <w:sz w:val="18"/>
        </w:rPr>
        <w:t> </w:t>
      </w:r>
      <w:r>
        <w:rPr>
          <w:color w:val="231F20"/>
          <w:spacing w:val="-2"/>
          <w:sz w:val="18"/>
        </w:rPr>
        <w:t>описаны</w:t>
      </w:r>
      <w:r>
        <w:rPr>
          <w:color w:val="231F20"/>
          <w:spacing w:val="-3"/>
          <w:sz w:val="18"/>
        </w:rPr>
        <w:t> </w:t>
      </w:r>
      <w:r>
        <w:rPr>
          <w:color w:val="231F20"/>
          <w:spacing w:val="-2"/>
          <w:sz w:val="18"/>
        </w:rPr>
        <w:t>практики</w:t>
      </w:r>
      <w:r>
        <w:rPr>
          <w:color w:val="231F20"/>
          <w:spacing w:val="-3"/>
          <w:sz w:val="18"/>
        </w:rPr>
        <w:t> </w:t>
      </w:r>
      <w:r>
        <w:rPr>
          <w:color w:val="231F20"/>
          <w:spacing w:val="-2"/>
          <w:sz w:val="18"/>
        </w:rPr>
        <w:t>работы</w:t>
      </w:r>
      <w:r>
        <w:rPr>
          <w:color w:val="231F20"/>
          <w:spacing w:val="-3"/>
          <w:sz w:val="18"/>
        </w:rPr>
        <w:t> </w:t>
      </w:r>
      <w:r>
        <w:rPr>
          <w:color w:val="231F20"/>
          <w:spacing w:val="-2"/>
          <w:sz w:val="18"/>
        </w:rPr>
        <w:t>педагога</w:t>
      </w:r>
      <w:r>
        <w:rPr>
          <w:color w:val="231F20"/>
          <w:spacing w:val="-3"/>
          <w:sz w:val="18"/>
        </w:rPr>
        <w:t> </w:t>
      </w:r>
      <w:r>
        <w:rPr>
          <w:color w:val="231F20"/>
          <w:spacing w:val="-2"/>
          <w:sz w:val="18"/>
        </w:rPr>
        <w:t>с </w:t>
      </w:r>
      <w:r>
        <w:rPr>
          <w:color w:val="231F20"/>
          <w:sz w:val="18"/>
        </w:rPr>
        <w:t>ученическим</w:t>
      </w:r>
      <w:r>
        <w:rPr>
          <w:color w:val="231F20"/>
          <w:spacing w:val="-8"/>
          <w:sz w:val="18"/>
        </w:rPr>
        <w:t> </w:t>
      </w:r>
      <w:r>
        <w:rPr>
          <w:color w:val="231F20"/>
          <w:sz w:val="18"/>
        </w:rPr>
        <w:t>сообществом:</w:t>
      </w:r>
      <w:r>
        <w:rPr>
          <w:color w:val="231F20"/>
          <w:spacing w:val="-7"/>
          <w:sz w:val="18"/>
        </w:rPr>
        <w:t> </w:t>
      </w:r>
      <w:r>
        <w:rPr>
          <w:color w:val="231F20"/>
          <w:sz w:val="18"/>
        </w:rPr>
        <w:t>отдельным</w:t>
      </w:r>
      <w:r>
        <w:rPr>
          <w:color w:val="231F20"/>
          <w:spacing w:val="-8"/>
          <w:sz w:val="18"/>
        </w:rPr>
        <w:t> </w:t>
      </w:r>
      <w:r>
        <w:rPr>
          <w:color w:val="231F20"/>
          <w:sz w:val="18"/>
        </w:rPr>
        <w:t>классом</w:t>
      </w:r>
      <w:r>
        <w:rPr>
          <w:color w:val="231F20"/>
          <w:spacing w:val="-7"/>
          <w:sz w:val="18"/>
        </w:rPr>
        <w:t> </w:t>
      </w:r>
      <w:r>
        <w:rPr>
          <w:color w:val="231F20"/>
          <w:sz w:val="18"/>
        </w:rPr>
        <w:t>и</w:t>
      </w:r>
      <w:r>
        <w:rPr>
          <w:color w:val="231F20"/>
          <w:spacing w:val="-7"/>
          <w:sz w:val="18"/>
        </w:rPr>
        <w:t> </w:t>
      </w:r>
      <w:r>
        <w:rPr>
          <w:color w:val="231F20"/>
          <w:sz w:val="18"/>
        </w:rPr>
        <w:t>школой</w:t>
      </w:r>
      <w:r>
        <w:rPr>
          <w:color w:val="231F20"/>
          <w:spacing w:val="-7"/>
          <w:sz w:val="18"/>
        </w:rPr>
        <w:t> </w:t>
      </w:r>
      <w:r>
        <w:rPr>
          <w:color w:val="231F20"/>
          <w:sz w:val="18"/>
        </w:rPr>
        <w:t>в</w:t>
      </w:r>
      <w:r>
        <w:rPr>
          <w:color w:val="231F20"/>
          <w:spacing w:val="-7"/>
          <w:sz w:val="18"/>
        </w:rPr>
        <w:t> </w:t>
      </w:r>
      <w:r>
        <w:rPr>
          <w:color w:val="231F20"/>
          <w:sz w:val="18"/>
        </w:rPr>
        <w:t>целом.</w:t>
      </w:r>
      <w:r>
        <w:rPr>
          <w:color w:val="231F20"/>
          <w:spacing w:val="-7"/>
          <w:sz w:val="18"/>
        </w:rPr>
        <w:t> </w:t>
      </w:r>
      <w:r>
        <w:rPr>
          <w:color w:val="231F20"/>
          <w:sz w:val="18"/>
        </w:rPr>
        <w:t>Пакет</w:t>
      </w:r>
      <w:r>
        <w:rPr>
          <w:color w:val="231F20"/>
          <w:spacing w:val="-8"/>
          <w:sz w:val="18"/>
        </w:rPr>
        <w:t> </w:t>
      </w:r>
      <w:r>
        <w:rPr>
          <w:color w:val="231F20"/>
          <w:sz w:val="18"/>
        </w:rPr>
        <w:t>инструмента- рия</w:t>
      </w:r>
      <w:r>
        <w:rPr>
          <w:color w:val="231F20"/>
          <w:spacing w:val="-12"/>
          <w:sz w:val="18"/>
        </w:rPr>
        <w:t> </w:t>
      </w:r>
      <w:r>
        <w:rPr>
          <w:color w:val="231F20"/>
          <w:sz w:val="18"/>
        </w:rPr>
        <w:t>подготовлен</w:t>
      </w:r>
      <w:r>
        <w:rPr>
          <w:color w:val="231F20"/>
          <w:spacing w:val="-11"/>
          <w:sz w:val="18"/>
        </w:rPr>
        <w:t> </w:t>
      </w:r>
      <w:r>
        <w:rPr>
          <w:color w:val="231F20"/>
          <w:sz w:val="18"/>
        </w:rPr>
        <w:t>в</w:t>
      </w:r>
      <w:r>
        <w:rPr>
          <w:color w:val="231F20"/>
          <w:spacing w:val="-11"/>
          <w:sz w:val="18"/>
        </w:rPr>
        <w:t> </w:t>
      </w:r>
      <w:r>
        <w:rPr>
          <w:color w:val="231F20"/>
          <w:sz w:val="18"/>
        </w:rPr>
        <w:t>рамках</w:t>
      </w:r>
      <w:r>
        <w:rPr>
          <w:color w:val="231F20"/>
          <w:spacing w:val="-11"/>
          <w:sz w:val="18"/>
        </w:rPr>
        <w:t> </w:t>
      </w:r>
      <w:r>
        <w:rPr>
          <w:color w:val="231F20"/>
          <w:sz w:val="18"/>
        </w:rPr>
        <w:t>НИР</w:t>
      </w:r>
      <w:r>
        <w:rPr>
          <w:color w:val="231F20"/>
          <w:spacing w:val="-12"/>
          <w:sz w:val="18"/>
        </w:rPr>
        <w:t> </w:t>
      </w:r>
      <w:r>
        <w:rPr>
          <w:color w:val="231F20"/>
          <w:sz w:val="18"/>
        </w:rPr>
        <w:t>«Научно-методическая</w:t>
      </w:r>
      <w:r>
        <w:rPr>
          <w:color w:val="231F20"/>
          <w:spacing w:val="-11"/>
          <w:sz w:val="18"/>
        </w:rPr>
        <w:t> </w:t>
      </w:r>
      <w:r>
        <w:rPr>
          <w:color w:val="231F20"/>
          <w:sz w:val="18"/>
        </w:rPr>
        <w:t>разработка</w:t>
      </w:r>
      <w:r>
        <w:rPr>
          <w:color w:val="231F20"/>
          <w:spacing w:val="-11"/>
          <w:sz w:val="18"/>
        </w:rPr>
        <w:t> </w:t>
      </w:r>
      <w:r>
        <w:rPr>
          <w:color w:val="231F20"/>
          <w:sz w:val="18"/>
        </w:rPr>
        <w:t>и</w:t>
      </w:r>
      <w:r>
        <w:rPr>
          <w:color w:val="231F20"/>
          <w:spacing w:val="-11"/>
          <w:sz w:val="18"/>
        </w:rPr>
        <w:t> </w:t>
      </w:r>
      <w:r>
        <w:rPr>
          <w:color w:val="231F20"/>
          <w:sz w:val="18"/>
        </w:rPr>
        <w:t>апробация</w:t>
      </w:r>
      <w:r>
        <w:rPr>
          <w:color w:val="231F20"/>
          <w:spacing w:val="-12"/>
          <w:sz w:val="18"/>
        </w:rPr>
        <w:t> </w:t>
      </w:r>
      <w:r>
        <w:rPr>
          <w:color w:val="231F20"/>
          <w:sz w:val="18"/>
        </w:rPr>
        <w:t>системы выявления особых образовательных потребностей несовершеннолетних иностранных граждан</w:t>
      </w:r>
      <w:r>
        <w:rPr>
          <w:color w:val="231F20"/>
          <w:spacing w:val="-12"/>
          <w:sz w:val="18"/>
        </w:rPr>
        <w:t> </w:t>
      </w:r>
      <w:r>
        <w:rPr>
          <w:color w:val="231F20"/>
          <w:sz w:val="18"/>
        </w:rPr>
        <w:t>и</w:t>
      </w:r>
      <w:r>
        <w:rPr>
          <w:color w:val="231F20"/>
          <w:spacing w:val="-11"/>
          <w:sz w:val="18"/>
        </w:rPr>
        <w:t> </w:t>
      </w:r>
      <w:r>
        <w:rPr>
          <w:color w:val="231F20"/>
          <w:sz w:val="18"/>
        </w:rPr>
        <w:t>необходимого</w:t>
      </w:r>
      <w:r>
        <w:rPr>
          <w:color w:val="231F20"/>
          <w:spacing w:val="-11"/>
          <w:sz w:val="18"/>
        </w:rPr>
        <w:t> </w:t>
      </w:r>
      <w:r>
        <w:rPr>
          <w:color w:val="231F20"/>
          <w:sz w:val="18"/>
        </w:rPr>
        <w:t>психолого-педагогического</w:t>
      </w:r>
      <w:r>
        <w:rPr>
          <w:color w:val="231F20"/>
          <w:spacing w:val="-11"/>
          <w:sz w:val="18"/>
        </w:rPr>
        <w:t> </w:t>
      </w:r>
      <w:r>
        <w:rPr>
          <w:color w:val="231F20"/>
          <w:sz w:val="18"/>
        </w:rPr>
        <w:t>сопровождения</w:t>
      </w:r>
      <w:r>
        <w:rPr>
          <w:color w:val="231F20"/>
          <w:spacing w:val="-12"/>
          <w:sz w:val="18"/>
        </w:rPr>
        <w:t> </w:t>
      </w:r>
      <w:r>
        <w:rPr>
          <w:color w:val="231F20"/>
          <w:sz w:val="18"/>
        </w:rPr>
        <w:t>процессов</w:t>
      </w:r>
      <w:r>
        <w:rPr>
          <w:color w:val="231F20"/>
          <w:spacing w:val="-11"/>
          <w:sz w:val="18"/>
        </w:rPr>
        <w:t> </w:t>
      </w:r>
      <w:r>
        <w:rPr>
          <w:color w:val="231F20"/>
          <w:sz w:val="18"/>
        </w:rPr>
        <w:t>их</w:t>
      </w:r>
      <w:r>
        <w:rPr>
          <w:color w:val="231F20"/>
          <w:spacing w:val="-11"/>
          <w:sz w:val="18"/>
        </w:rPr>
        <w:t> </w:t>
      </w:r>
      <w:r>
        <w:rPr>
          <w:color w:val="231F20"/>
          <w:sz w:val="18"/>
        </w:rPr>
        <w:t>обу- чения,</w:t>
      </w:r>
      <w:r>
        <w:rPr>
          <w:color w:val="231F20"/>
          <w:spacing w:val="-12"/>
          <w:sz w:val="18"/>
        </w:rPr>
        <w:t> </w:t>
      </w:r>
      <w:r>
        <w:rPr>
          <w:color w:val="231F20"/>
          <w:sz w:val="18"/>
        </w:rPr>
        <w:t>социальной</w:t>
      </w:r>
      <w:r>
        <w:rPr>
          <w:color w:val="231F20"/>
          <w:spacing w:val="-11"/>
          <w:sz w:val="18"/>
        </w:rPr>
        <w:t> </w:t>
      </w:r>
      <w:r>
        <w:rPr>
          <w:color w:val="231F20"/>
          <w:sz w:val="18"/>
        </w:rPr>
        <w:t>и</w:t>
      </w:r>
      <w:r>
        <w:rPr>
          <w:color w:val="231F20"/>
          <w:spacing w:val="-11"/>
          <w:sz w:val="18"/>
        </w:rPr>
        <w:t> </w:t>
      </w:r>
      <w:r>
        <w:rPr>
          <w:color w:val="231F20"/>
          <w:sz w:val="18"/>
        </w:rPr>
        <w:t>культурной</w:t>
      </w:r>
      <w:r>
        <w:rPr>
          <w:color w:val="231F20"/>
          <w:spacing w:val="-11"/>
          <w:sz w:val="18"/>
        </w:rPr>
        <w:t> </w:t>
      </w:r>
      <w:r>
        <w:rPr>
          <w:color w:val="231F20"/>
          <w:sz w:val="18"/>
        </w:rPr>
        <w:t>адаптации»,</w:t>
      </w:r>
      <w:r>
        <w:rPr>
          <w:color w:val="231F20"/>
          <w:spacing w:val="-12"/>
          <w:sz w:val="18"/>
        </w:rPr>
        <w:t> </w:t>
      </w:r>
      <w:r>
        <w:rPr>
          <w:color w:val="231F20"/>
          <w:sz w:val="18"/>
        </w:rPr>
        <w:t>выполняемого</w:t>
      </w:r>
      <w:r>
        <w:rPr>
          <w:color w:val="231F20"/>
          <w:spacing w:val="-11"/>
          <w:sz w:val="18"/>
        </w:rPr>
        <w:t> </w:t>
      </w:r>
      <w:r>
        <w:rPr>
          <w:color w:val="231F20"/>
          <w:sz w:val="18"/>
        </w:rPr>
        <w:t>в</w:t>
      </w:r>
      <w:r>
        <w:rPr>
          <w:color w:val="231F20"/>
          <w:spacing w:val="-11"/>
          <w:sz w:val="18"/>
        </w:rPr>
        <w:t> </w:t>
      </w:r>
      <w:r>
        <w:rPr>
          <w:color w:val="231F20"/>
          <w:sz w:val="18"/>
        </w:rPr>
        <w:t>рамках</w:t>
      </w:r>
      <w:r>
        <w:rPr>
          <w:color w:val="231F20"/>
          <w:spacing w:val="-11"/>
          <w:sz w:val="18"/>
        </w:rPr>
        <w:t> </w:t>
      </w:r>
      <w:r>
        <w:rPr>
          <w:color w:val="231F20"/>
          <w:sz w:val="18"/>
        </w:rPr>
        <w:t>государственного задания ФГБОУ ВО МГППУ на 2022 г.</w:t>
      </w:r>
    </w:p>
    <w:p>
      <w:pPr>
        <w:spacing w:line="232" w:lineRule="auto" w:before="0"/>
        <w:ind w:left="425" w:right="423" w:firstLine="283"/>
        <w:jc w:val="both"/>
        <w:rPr>
          <w:sz w:val="18"/>
        </w:rPr>
      </w:pPr>
      <w:r>
        <w:rPr>
          <w:color w:val="231F20"/>
          <w:sz w:val="18"/>
        </w:rPr>
        <w:t>Пакет</w:t>
      </w:r>
      <w:r>
        <w:rPr>
          <w:color w:val="231F20"/>
          <w:spacing w:val="-8"/>
          <w:sz w:val="18"/>
        </w:rPr>
        <w:t> </w:t>
      </w:r>
      <w:r>
        <w:rPr>
          <w:color w:val="231F20"/>
          <w:sz w:val="18"/>
        </w:rPr>
        <w:t>инструментария</w:t>
      </w:r>
      <w:r>
        <w:rPr>
          <w:color w:val="231F20"/>
          <w:spacing w:val="-8"/>
          <w:sz w:val="18"/>
        </w:rPr>
        <w:t> </w:t>
      </w:r>
      <w:r>
        <w:rPr>
          <w:color w:val="231F20"/>
          <w:sz w:val="18"/>
        </w:rPr>
        <w:t>является</w:t>
      </w:r>
      <w:r>
        <w:rPr>
          <w:color w:val="231F20"/>
          <w:spacing w:val="-8"/>
          <w:sz w:val="18"/>
        </w:rPr>
        <w:t> </w:t>
      </w:r>
      <w:r>
        <w:rPr>
          <w:color w:val="231F20"/>
          <w:sz w:val="18"/>
        </w:rPr>
        <w:t>составной</w:t>
      </w:r>
      <w:r>
        <w:rPr>
          <w:color w:val="231F20"/>
          <w:spacing w:val="-8"/>
          <w:sz w:val="18"/>
        </w:rPr>
        <w:t> </w:t>
      </w:r>
      <w:r>
        <w:rPr>
          <w:color w:val="231F20"/>
          <w:sz w:val="18"/>
        </w:rPr>
        <w:t>частью</w:t>
      </w:r>
      <w:r>
        <w:rPr>
          <w:color w:val="231F20"/>
          <w:spacing w:val="-9"/>
          <w:sz w:val="18"/>
        </w:rPr>
        <w:t> </w:t>
      </w:r>
      <w:r>
        <w:rPr>
          <w:color w:val="231F20"/>
          <w:sz w:val="18"/>
        </w:rPr>
        <w:t>программы</w:t>
      </w:r>
      <w:r>
        <w:rPr>
          <w:color w:val="231F20"/>
          <w:spacing w:val="-8"/>
          <w:sz w:val="18"/>
        </w:rPr>
        <w:t> </w:t>
      </w:r>
      <w:r>
        <w:rPr>
          <w:color w:val="231F20"/>
          <w:sz w:val="18"/>
        </w:rPr>
        <w:t>психолого-педагоги- ческого</w:t>
      </w:r>
      <w:r>
        <w:rPr>
          <w:color w:val="231F20"/>
          <w:spacing w:val="-12"/>
          <w:sz w:val="18"/>
        </w:rPr>
        <w:t> </w:t>
      </w:r>
      <w:r>
        <w:rPr>
          <w:color w:val="231F20"/>
          <w:sz w:val="18"/>
        </w:rPr>
        <w:t>сопровождения</w:t>
      </w:r>
      <w:r>
        <w:rPr>
          <w:color w:val="231F20"/>
          <w:spacing w:val="-11"/>
          <w:sz w:val="18"/>
        </w:rPr>
        <w:t> </w:t>
      </w:r>
      <w:r>
        <w:rPr>
          <w:color w:val="231F20"/>
          <w:sz w:val="18"/>
        </w:rPr>
        <w:t>процессов</w:t>
      </w:r>
      <w:r>
        <w:rPr>
          <w:color w:val="231F20"/>
          <w:spacing w:val="-11"/>
          <w:sz w:val="18"/>
        </w:rPr>
        <w:t> </w:t>
      </w:r>
      <w:r>
        <w:rPr>
          <w:color w:val="231F20"/>
          <w:sz w:val="18"/>
        </w:rPr>
        <w:t>обучения,</w:t>
      </w:r>
      <w:r>
        <w:rPr>
          <w:color w:val="231F20"/>
          <w:spacing w:val="-11"/>
          <w:sz w:val="18"/>
        </w:rPr>
        <w:t> </w:t>
      </w:r>
      <w:r>
        <w:rPr>
          <w:color w:val="231F20"/>
          <w:sz w:val="18"/>
        </w:rPr>
        <w:t>социальной,</w:t>
      </w:r>
      <w:r>
        <w:rPr>
          <w:color w:val="231F20"/>
          <w:spacing w:val="-12"/>
          <w:sz w:val="18"/>
        </w:rPr>
        <w:t> </w:t>
      </w:r>
      <w:r>
        <w:rPr>
          <w:color w:val="231F20"/>
          <w:sz w:val="18"/>
        </w:rPr>
        <w:t>языковой</w:t>
      </w:r>
      <w:r>
        <w:rPr>
          <w:color w:val="231F20"/>
          <w:spacing w:val="-11"/>
          <w:sz w:val="18"/>
        </w:rPr>
        <w:t> </w:t>
      </w:r>
      <w:r>
        <w:rPr>
          <w:color w:val="231F20"/>
          <w:sz w:val="18"/>
        </w:rPr>
        <w:t>и</w:t>
      </w:r>
      <w:r>
        <w:rPr>
          <w:color w:val="231F20"/>
          <w:spacing w:val="-11"/>
          <w:sz w:val="18"/>
        </w:rPr>
        <w:t> </w:t>
      </w:r>
      <w:r>
        <w:rPr>
          <w:color w:val="231F20"/>
          <w:sz w:val="18"/>
        </w:rPr>
        <w:t>культурной</w:t>
      </w:r>
      <w:r>
        <w:rPr>
          <w:color w:val="231F20"/>
          <w:spacing w:val="-11"/>
          <w:sz w:val="18"/>
        </w:rPr>
        <w:t> </w:t>
      </w:r>
      <w:r>
        <w:rPr>
          <w:color w:val="231F20"/>
          <w:sz w:val="18"/>
        </w:rPr>
        <w:t>адап- тации детей иностранных граждан, подробно описанной в Методических рекоменда- циях</w:t>
      </w:r>
      <w:r>
        <w:rPr>
          <w:color w:val="231F20"/>
          <w:spacing w:val="-12"/>
          <w:sz w:val="18"/>
        </w:rPr>
        <w:t> </w:t>
      </w:r>
      <w:r>
        <w:rPr>
          <w:color w:val="231F20"/>
          <w:sz w:val="18"/>
        </w:rPr>
        <w:t>по</w:t>
      </w:r>
      <w:r>
        <w:rPr>
          <w:color w:val="231F20"/>
          <w:spacing w:val="-11"/>
          <w:sz w:val="18"/>
        </w:rPr>
        <w:t> </w:t>
      </w:r>
      <w:r>
        <w:rPr>
          <w:color w:val="231F20"/>
          <w:sz w:val="18"/>
        </w:rPr>
        <w:t>проведению</w:t>
      </w:r>
      <w:r>
        <w:rPr>
          <w:color w:val="231F20"/>
          <w:spacing w:val="-11"/>
          <w:sz w:val="18"/>
        </w:rPr>
        <w:t> </w:t>
      </w:r>
      <w:r>
        <w:rPr>
          <w:color w:val="231F20"/>
          <w:sz w:val="18"/>
        </w:rPr>
        <w:t>программы</w:t>
      </w:r>
      <w:r>
        <w:rPr>
          <w:color w:val="231F20"/>
          <w:spacing w:val="-11"/>
          <w:sz w:val="18"/>
        </w:rPr>
        <w:t> </w:t>
      </w:r>
      <w:r>
        <w:rPr>
          <w:color w:val="231F20"/>
          <w:sz w:val="18"/>
        </w:rPr>
        <w:t>психолого-педагогического</w:t>
      </w:r>
      <w:r>
        <w:rPr>
          <w:color w:val="231F20"/>
          <w:spacing w:val="-12"/>
          <w:sz w:val="18"/>
        </w:rPr>
        <w:t> </w:t>
      </w:r>
      <w:r>
        <w:rPr>
          <w:color w:val="231F20"/>
          <w:sz w:val="18"/>
        </w:rPr>
        <w:t>сопровождения</w:t>
      </w:r>
      <w:r>
        <w:rPr>
          <w:color w:val="231F20"/>
          <w:spacing w:val="-11"/>
          <w:sz w:val="18"/>
        </w:rPr>
        <w:t> </w:t>
      </w:r>
      <w:r>
        <w:rPr>
          <w:color w:val="231F20"/>
          <w:sz w:val="18"/>
        </w:rPr>
        <w:t>процессов обучения,</w:t>
      </w:r>
      <w:r>
        <w:rPr>
          <w:color w:val="231F20"/>
          <w:spacing w:val="-7"/>
          <w:sz w:val="18"/>
        </w:rPr>
        <w:t> </w:t>
      </w:r>
      <w:r>
        <w:rPr>
          <w:color w:val="231F20"/>
          <w:sz w:val="18"/>
        </w:rPr>
        <w:t>социальной,</w:t>
      </w:r>
      <w:r>
        <w:rPr>
          <w:color w:val="231F20"/>
          <w:spacing w:val="-7"/>
          <w:sz w:val="18"/>
        </w:rPr>
        <w:t> </w:t>
      </w:r>
      <w:r>
        <w:rPr>
          <w:color w:val="231F20"/>
          <w:sz w:val="18"/>
        </w:rPr>
        <w:t>языковой</w:t>
      </w:r>
      <w:r>
        <w:rPr>
          <w:color w:val="231F20"/>
          <w:spacing w:val="-7"/>
          <w:sz w:val="18"/>
        </w:rPr>
        <w:t> </w:t>
      </w:r>
      <w:r>
        <w:rPr>
          <w:color w:val="231F20"/>
          <w:sz w:val="18"/>
        </w:rPr>
        <w:t>и</w:t>
      </w:r>
      <w:r>
        <w:rPr>
          <w:color w:val="231F20"/>
          <w:spacing w:val="-7"/>
          <w:sz w:val="18"/>
        </w:rPr>
        <w:t> </w:t>
      </w:r>
      <w:r>
        <w:rPr>
          <w:color w:val="231F20"/>
          <w:sz w:val="18"/>
        </w:rPr>
        <w:t>культурной</w:t>
      </w:r>
      <w:r>
        <w:rPr>
          <w:color w:val="231F20"/>
          <w:spacing w:val="-7"/>
          <w:sz w:val="18"/>
        </w:rPr>
        <w:t> </w:t>
      </w:r>
      <w:r>
        <w:rPr>
          <w:color w:val="231F20"/>
          <w:sz w:val="18"/>
        </w:rPr>
        <w:t>адаптации</w:t>
      </w:r>
      <w:r>
        <w:rPr>
          <w:color w:val="231F20"/>
          <w:spacing w:val="-7"/>
          <w:sz w:val="18"/>
        </w:rPr>
        <w:t> </w:t>
      </w:r>
      <w:r>
        <w:rPr>
          <w:color w:val="231F20"/>
          <w:sz w:val="18"/>
        </w:rPr>
        <w:t>детей-иностранных</w:t>
      </w:r>
      <w:r>
        <w:rPr>
          <w:color w:val="231F20"/>
          <w:spacing w:val="-7"/>
          <w:sz w:val="18"/>
        </w:rPr>
        <w:t> </w:t>
      </w:r>
      <w:r>
        <w:rPr>
          <w:color w:val="231F20"/>
          <w:sz w:val="18"/>
        </w:rPr>
        <w:t>граждан. По результатам апробации программы психолого-педагогического сопровождения в 2023</w:t>
      </w:r>
      <w:r>
        <w:rPr>
          <w:color w:val="231F20"/>
          <w:spacing w:val="-2"/>
          <w:sz w:val="18"/>
        </w:rPr>
        <w:t> </w:t>
      </w:r>
      <w:r>
        <w:rPr>
          <w:color w:val="231F20"/>
          <w:sz w:val="18"/>
        </w:rPr>
        <w:t>году</w:t>
      </w:r>
      <w:r>
        <w:rPr>
          <w:color w:val="231F20"/>
          <w:spacing w:val="-2"/>
          <w:sz w:val="18"/>
        </w:rPr>
        <w:t> </w:t>
      </w:r>
      <w:r>
        <w:rPr>
          <w:color w:val="231F20"/>
          <w:sz w:val="18"/>
        </w:rPr>
        <w:t>в</w:t>
      </w:r>
      <w:r>
        <w:rPr>
          <w:color w:val="231F20"/>
          <w:spacing w:val="-2"/>
          <w:sz w:val="18"/>
        </w:rPr>
        <w:t> </w:t>
      </w:r>
      <w:r>
        <w:rPr>
          <w:color w:val="231F20"/>
          <w:sz w:val="18"/>
        </w:rPr>
        <w:t>рамках</w:t>
      </w:r>
      <w:r>
        <w:rPr>
          <w:color w:val="231F20"/>
          <w:spacing w:val="-2"/>
          <w:sz w:val="18"/>
        </w:rPr>
        <w:t> </w:t>
      </w:r>
      <w:r>
        <w:rPr>
          <w:color w:val="231F20"/>
          <w:sz w:val="18"/>
        </w:rPr>
        <w:t>реализации</w:t>
      </w:r>
      <w:r>
        <w:rPr>
          <w:color w:val="231F20"/>
          <w:spacing w:val="-2"/>
          <w:sz w:val="18"/>
        </w:rPr>
        <w:t> </w:t>
      </w:r>
      <w:r>
        <w:rPr>
          <w:color w:val="231F20"/>
          <w:sz w:val="18"/>
        </w:rPr>
        <w:t>Государственного</w:t>
      </w:r>
      <w:r>
        <w:rPr>
          <w:color w:val="231F20"/>
          <w:spacing w:val="-2"/>
          <w:sz w:val="18"/>
        </w:rPr>
        <w:t> </w:t>
      </w:r>
      <w:r>
        <w:rPr>
          <w:color w:val="231F20"/>
          <w:sz w:val="18"/>
        </w:rPr>
        <w:t>задания</w:t>
      </w:r>
      <w:r>
        <w:rPr>
          <w:color w:val="231F20"/>
          <w:spacing w:val="-2"/>
          <w:sz w:val="18"/>
        </w:rPr>
        <w:t> </w:t>
      </w:r>
      <w:r>
        <w:rPr>
          <w:color w:val="231F20"/>
          <w:sz w:val="18"/>
        </w:rPr>
        <w:t>Министерства</w:t>
      </w:r>
      <w:r>
        <w:rPr>
          <w:color w:val="231F20"/>
          <w:spacing w:val="-2"/>
          <w:sz w:val="18"/>
        </w:rPr>
        <w:t> </w:t>
      </w:r>
      <w:r>
        <w:rPr>
          <w:color w:val="231F20"/>
          <w:sz w:val="18"/>
        </w:rPr>
        <w:t>просвещения Российской Федерации № 073-00038-23-01 от 08.02.2023 г. «Оценка эффективности реализации программы психолого-педагогического сопровождения процессов обуче- ния, социальной, языковой и культурной адаптации детей иностранных граждан, обу- чающихся в общеобразовательных организациях (на основе доказательного подхода к социальным практикам в сфере детства и дифференцированного подхода к обучению детей иностранных граждан)» в текст методических рекомендаций и инструментария </w:t>
      </w:r>
      <w:r>
        <w:rPr>
          <w:color w:val="231F20"/>
          <w:spacing w:val="-2"/>
          <w:sz w:val="18"/>
        </w:rPr>
        <w:t>внесена информация о результатах апробации, а также произведена коррекция содержа- </w:t>
      </w:r>
      <w:r>
        <w:rPr>
          <w:color w:val="231F20"/>
          <w:sz w:val="18"/>
        </w:rPr>
        <w:t>ния и методов программы и инструментария к ней.</w:t>
      </w:r>
    </w:p>
    <w:p>
      <w:pPr>
        <w:pStyle w:val="BodyText"/>
        <w:spacing w:before="207"/>
        <w:ind w:left="425" w:right="0" w:firstLine="0"/>
      </w:pPr>
      <w:r>
        <w:rPr>
          <w:color w:val="231F20"/>
        </w:rPr>
        <w:t>ISBN</w:t>
      </w:r>
      <w:r>
        <w:rPr>
          <w:color w:val="231F20"/>
          <w:spacing w:val="-4"/>
        </w:rPr>
        <w:t> </w:t>
      </w:r>
      <w:r>
        <w:rPr>
          <w:color w:val="231F20"/>
        </w:rPr>
        <w:t>978-5-94051-283-</w:t>
      </w:r>
      <w:r>
        <w:rPr>
          <w:color w:val="231F20"/>
          <w:spacing w:val="-10"/>
        </w:rPr>
        <w:t>7</w:t>
      </w:r>
    </w:p>
    <w:p>
      <w:pPr>
        <w:pStyle w:val="BodyText"/>
        <w:spacing w:line="228" w:lineRule="exact" w:before="222"/>
        <w:ind w:left="4847" w:right="0" w:firstLine="0"/>
        <w:jc w:val="left"/>
      </w:pPr>
      <w:r>
        <w:rPr>
          <w:color w:val="231F20"/>
          <w:spacing w:val="-2"/>
        </w:rPr>
        <w:t>©</w:t>
      </w:r>
      <w:r>
        <w:rPr>
          <w:color w:val="231F20"/>
          <w:spacing w:val="-8"/>
        </w:rPr>
        <w:t> </w:t>
      </w:r>
      <w:r>
        <w:rPr>
          <w:color w:val="231F20"/>
          <w:spacing w:val="-2"/>
        </w:rPr>
        <w:t>ФГБОУ</w:t>
      </w:r>
      <w:r>
        <w:rPr>
          <w:color w:val="231F20"/>
          <w:spacing w:val="-6"/>
        </w:rPr>
        <w:t> </w:t>
      </w:r>
      <w:r>
        <w:rPr>
          <w:color w:val="231F20"/>
          <w:spacing w:val="-2"/>
        </w:rPr>
        <w:t>ВО</w:t>
      </w:r>
      <w:r>
        <w:rPr>
          <w:color w:val="231F20"/>
          <w:spacing w:val="-6"/>
        </w:rPr>
        <w:t> </w:t>
      </w:r>
      <w:r>
        <w:rPr>
          <w:color w:val="231F20"/>
          <w:spacing w:val="-2"/>
        </w:rPr>
        <w:t>МГППУ,</w:t>
      </w:r>
      <w:r>
        <w:rPr>
          <w:color w:val="231F20"/>
          <w:spacing w:val="-5"/>
        </w:rPr>
        <w:t> </w:t>
      </w:r>
      <w:r>
        <w:rPr>
          <w:color w:val="231F20"/>
          <w:spacing w:val="-2"/>
        </w:rPr>
        <w:t>2023.</w:t>
      </w:r>
    </w:p>
    <w:p>
      <w:pPr>
        <w:pStyle w:val="BodyText"/>
        <w:spacing w:line="226" w:lineRule="exact"/>
        <w:ind w:left="4847" w:right="0" w:firstLine="0"/>
        <w:jc w:val="left"/>
      </w:pPr>
      <w:r>
        <w:rPr>
          <w:color w:val="231F20"/>
        </w:rPr>
        <w:t>©</w:t>
      </w:r>
      <w:r>
        <w:rPr>
          <w:color w:val="231F20"/>
          <w:spacing w:val="-8"/>
        </w:rPr>
        <w:t> </w:t>
      </w:r>
      <w:r>
        <w:rPr>
          <w:color w:val="231F20"/>
        </w:rPr>
        <w:t>Хухлаев</w:t>
      </w:r>
      <w:r>
        <w:rPr>
          <w:color w:val="231F20"/>
          <w:spacing w:val="-9"/>
        </w:rPr>
        <w:t> </w:t>
      </w:r>
      <w:r>
        <w:rPr>
          <w:color w:val="231F20"/>
        </w:rPr>
        <w:t>О.Е.,</w:t>
      </w:r>
      <w:r>
        <w:rPr>
          <w:color w:val="231F20"/>
          <w:spacing w:val="-7"/>
        </w:rPr>
        <w:t> </w:t>
      </w:r>
      <w:r>
        <w:rPr>
          <w:color w:val="231F20"/>
          <w:spacing w:val="-2"/>
        </w:rPr>
        <w:t>2023.</w:t>
      </w:r>
    </w:p>
    <w:p>
      <w:pPr>
        <w:pStyle w:val="BodyText"/>
        <w:spacing w:line="226" w:lineRule="exact"/>
        <w:ind w:left="4847" w:right="0" w:firstLine="0"/>
        <w:jc w:val="left"/>
      </w:pPr>
      <w:r>
        <w:rPr>
          <w:color w:val="231F20"/>
        </w:rPr>
        <w:t>©</w:t>
      </w:r>
      <w:r>
        <w:rPr>
          <w:color w:val="231F20"/>
          <w:spacing w:val="-3"/>
        </w:rPr>
        <w:t> </w:t>
      </w:r>
      <w:r>
        <w:rPr>
          <w:color w:val="231F20"/>
        </w:rPr>
        <w:t>Чибисова</w:t>
      </w:r>
      <w:r>
        <w:rPr>
          <w:color w:val="231F20"/>
          <w:spacing w:val="-3"/>
        </w:rPr>
        <w:t> </w:t>
      </w:r>
      <w:r>
        <w:rPr>
          <w:color w:val="231F20"/>
        </w:rPr>
        <w:t>М.Ю.,</w:t>
      </w:r>
      <w:r>
        <w:rPr>
          <w:color w:val="231F20"/>
          <w:spacing w:val="-3"/>
        </w:rPr>
        <w:t> </w:t>
      </w:r>
      <w:r>
        <w:rPr>
          <w:color w:val="231F20"/>
          <w:spacing w:val="-2"/>
        </w:rPr>
        <w:t>2023.</w:t>
      </w:r>
    </w:p>
    <w:p>
      <w:pPr>
        <w:pStyle w:val="BodyText"/>
        <w:spacing w:line="228" w:lineRule="exact"/>
        <w:ind w:left="4847" w:right="0" w:firstLine="0"/>
        <w:jc w:val="left"/>
      </w:pPr>
      <w:r>
        <w:rPr>
          <w:color w:val="231F20"/>
        </w:rPr>
        <w:t>©</w:t>
      </w:r>
      <w:r>
        <w:rPr>
          <w:color w:val="231F20"/>
          <w:spacing w:val="-10"/>
        </w:rPr>
        <w:t> </w:t>
      </w:r>
      <w:r>
        <w:rPr>
          <w:color w:val="231F20"/>
        </w:rPr>
        <w:t>Ткаченко</w:t>
      </w:r>
      <w:r>
        <w:rPr>
          <w:color w:val="231F20"/>
          <w:spacing w:val="-10"/>
        </w:rPr>
        <w:t> </w:t>
      </w:r>
      <w:r>
        <w:rPr>
          <w:color w:val="231F20"/>
        </w:rPr>
        <w:t>Н.В.,</w:t>
      </w:r>
      <w:r>
        <w:rPr>
          <w:color w:val="231F20"/>
          <w:spacing w:val="-9"/>
        </w:rPr>
        <w:t> </w:t>
      </w:r>
      <w:r>
        <w:rPr>
          <w:color w:val="231F20"/>
          <w:spacing w:val="-2"/>
        </w:rPr>
        <w:t>2023.</w:t>
      </w:r>
    </w:p>
    <w:p>
      <w:pPr>
        <w:pStyle w:val="BodyText"/>
        <w:spacing w:after="0" w:line="228" w:lineRule="exact"/>
        <w:jc w:val="left"/>
        <w:sectPr>
          <w:footerReference w:type="default" r:id="rId207"/>
          <w:pgSz w:w="8400" w:h="11910"/>
          <w:pgMar w:header="0" w:footer="0" w:top="720" w:bottom="280" w:left="425" w:right="425"/>
        </w:sectPr>
      </w:pPr>
    </w:p>
    <w:p>
      <w:pPr>
        <w:spacing w:before="73"/>
        <w:ind w:left="303" w:right="303" w:firstLine="0"/>
        <w:jc w:val="center"/>
        <w:rPr>
          <w:b/>
          <w:sz w:val="20"/>
        </w:rPr>
      </w:pPr>
      <w:r>
        <w:rPr>
          <w:b/>
          <w:color w:val="231F20"/>
          <w:spacing w:val="-2"/>
          <w:sz w:val="20"/>
        </w:rPr>
        <w:t>Содержание</w:t>
      </w:r>
    </w:p>
    <w:p>
      <w:pPr>
        <w:tabs>
          <w:tab w:pos="7239" w:val="right" w:leader="dot"/>
        </w:tabs>
        <w:spacing w:before="159"/>
        <w:ind w:left="0" w:right="14" w:firstLine="0"/>
        <w:jc w:val="center"/>
        <w:rPr>
          <w:sz w:val="18"/>
        </w:rPr>
      </w:pPr>
      <w:hyperlink w:history="true" w:anchor="_bookmark73">
        <w:r>
          <w:rPr>
            <w:b/>
            <w:color w:val="2255A6"/>
            <w:spacing w:val="-2"/>
            <w:sz w:val="18"/>
            <w:u w:val="single" w:color="2255A6"/>
          </w:rPr>
          <w:t>ВВЕДЕНИЕ</w:t>
        </w:r>
        <w:r>
          <w:rPr>
            <w:color w:val="2255A6"/>
            <w:sz w:val="18"/>
          </w:rPr>
          <w:tab/>
        </w:r>
        <w:r>
          <w:rPr>
            <w:color w:val="231F20"/>
            <w:spacing w:val="-10"/>
            <w:sz w:val="18"/>
          </w:rPr>
          <w:t>4</w:t>
        </w:r>
      </w:hyperlink>
    </w:p>
    <w:p>
      <w:pPr>
        <w:spacing w:line="202" w:lineRule="exact" w:before="109"/>
        <w:ind w:left="345" w:right="301" w:firstLine="0"/>
        <w:jc w:val="center"/>
        <w:rPr>
          <w:rFonts w:ascii="Georgia" w:hAnsi="Georgia"/>
          <w:b/>
          <w:sz w:val="18"/>
        </w:rPr>
      </w:pPr>
      <w:r>
        <w:rPr>
          <w:rFonts w:ascii="Georgia" w:hAnsi="Georgia"/>
          <w:b/>
          <w:color w:val="2255A6"/>
          <w:w w:val="90"/>
          <w:sz w:val="18"/>
          <w:u w:val="single" w:color="2255A6"/>
        </w:rPr>
        <w:t>РАЗДЕЛ</w:t>
      </w:r>
      <w:r>
        <w:rPr>
          <w:rFonts w:ascii="Georgia" w:hAnsi="Georgia"/>
          <w:b/>
          <w:color w:val="2255A6"/>
          <w:spacing w:val="2"/>
          <w:sz w:val="18"/>
          <w:u w:val="single" w:color="2255A6"/>
        </w:rPr>
        <w:t> </w:t>
      </w:r>
      <w:r>
        <w:rPr>
          <w:rFonts w:ascii="Georgia" w:hAnsi="Georgia"/>
          <w:b/>
          <w:color w:val="2255A6"/>
          <w:spacing w:val="-5"/>
          <w:sz w:val="18"/>
          <w:u w:val="single" w:color="2255A6"/>
        </w:rPr>
        <w:t>1.</w:t>
      </w:r>
      <w:r>
        <w:rPr>
          <w:rFonts w:ascii="Georgia" w:hAnsi="Georgia"/>
          <w:b/>
          <w:color w:val="2255A6"/>
          <w:spacing w:val="40"/>
          <w:sz w:val="18"/>
          <w:u w:val="single" w:color="2255A6"/>
        </w:rPr>
        <w:t> </w:t>
      </w:r>
    </w:p>
    <w:p>
      <w:pPr>
        <w:spacing w:line="235" w:lineRule="auto" w:before="2"/>
        <w:ind w:left="968" w:right="967" w:firstLine="0"/>
        <w:jc w:val="center"/>
        <w:rPr>
          <w:rFonts w:ascii="Georgia" w:hAnsi="Georgia"/>
          <w:b/>
          <w:sz w:val="18"/>
        </w:rPr>
      </w:pPr>
      <w:r>
        <w:rPr>
          <w:rFonts w:ascii="Georgia" w:hAnsi="Georgia"/>
          <w:b/>
          <w:color w:val="2255A6"/>
          <w:w w:val="90"/>
          <w:sz w:val="18"/>
          <w:u w:val="single" w:color="2255A6"/>
        </w:rPr>
        <w:t>Работа педагога-психолога по индивидуальной поддержке</w:t>
      </w:r>
      <w:r>
        <w:rPr>
          <w:rFonts w:ascii="Georgia" w:hAnsi="Georgia"/>
          <w:b/>
          <w:color w:val="2255A6"/>
          <w:w w:val="90"/>
          <w:sz w:val="18"/>
        </w:rPr>
        <w:t> </w:t>
      </w:r>
      <w:r>
        <w:rPr>
          <w:rFonts w:ascii="Georgia" w:hAnsi="Georgia"/>
          <w:b/>
          <w:color w:val="2255A6"/>
          <w:spacing w:val="-4"/>
          <w:sz w:val="18"/>
          <w:u w:val="single" w:color="2255A6"/>
        </w:rPr>
        <w:t>детей иностранных граждан</w:t>
      </w:r>
    </w:p>
    <w:p>
      <w:pPr>
        <w:pStyle w:val="ListParagraph"/>
        <w:numPr>
          <w:ilvl w:val="1"/>
          <w:numId w:val="179"/>
        </w:numPr>
        <w:tabs>
          <w:tab w:pos="411" w:val="left" w:leader="none"/>
          <w:tab w:pos="7381" w:val="right" w:leader="dot"/>
        </w:tabs>
        <w:spacing w:line="200" w:lineRule="exact" w:before="0" w:after="0"/>
        <w:ind w:left="411" w:right="0" w:hanging="270"/>
        <w:jc w:val="left"/>
        <w:rPr>
          <w:sz w:val="18"/>
        </w:rPr>
      </w:pPr>
      <w:hyperlink w:history="true" w:anchor="_bookmark74">
        <w:r>
          <w:rPr>
            <w:color w:val="2255A6"/>
            <w:spacing w:val="-5"/>
            <w:sz w:val="18"/>
            <w:u w:val="single" w:color="2255A6"/>
          </w:rPr>
          <w:t> </w:t>
        </w:r>
        <w:r>
          <w:rPr>
            <w:color w:val="2255A6"/>
            <w:sz w:val="18"/>
            <w:u w:val="single" w:color="2255A6"/>
          </w:rPr>
          <w:t>​Приемы</w:t>
        </w:r>
        <w:r>
          <w:rPr>
            <w:color w:val="2255A6"/>
            <w:spacing w:val="-4"/>
            <w:sz w:val="18"/>
            <w:u w:val="single" w:color="2255A6"/>
          </w:rPr>
          <w:t> </w:t>
        </w:r>
        <w:r>
          <w:rPr>
            <w:color w:val="2255A6"/>
            <w:sz w:val="18"/>
            <w:u w:val="single" w:color="2255A6"/>
          </w:rPr>
          <w:t>работы</w:t>
        </w:r>
        <w:r>
          <w:rPr>
            <w:color w:val="2255A6"/>
            <w:spacing w:val="-4"/>
            <w:sz w:val="18"/>
            <w:u w:val="single" w:color="2255A6"/>
          </w:rPr>
          <w:t> </w:t>
        </w:r>
        <w:r>
          <w:rPr>
            <w:color w:val="2255A6"/>
            <w:sz w:val="18"/>
            <w:u w:val="single" w:color="2255A6"/>
          </w:rPr>
          <w:t>с</w:t>
        </w:r>
        <w:r>
          <w:rPr>
            <w:color w:val="2255A6"/>
            <w:spacing w:val="-4"/>
            <w:sz w:val="18"/>
            <w:u w:val="single" w:color="2255A6"/>
          </w:rPr>
          <w:t> </w:t>
        </w:r>
        <w:r>
          <w:rPr>
            <w:color w:val="2255A6"/>
            <w:sz w:val="18"/>
            <w:u w:val="single" w:color="2255A6"/>
          </w:rPr>
          <w:t>психологической</w:t>
        </w:r>
        <w:r>
          <w:rPr>
            <w:color w:val="2255A6"/>
            <w:spacing w:val="-4"/>
            <w:sz w:val="18"/>
            <w:u w:val="single" w:color="2255A6"/>
          </w:rPr>
          <w:t> </w:t>
        </w:r>
        <w:r>
          <w:rPr>
            <w:color w:val="2255A6"/>
            <w:spacing w:val="-2"/>
            <w:sz w:val="18"/>
            <w:u w:val="single" w:color="2255A6"/>
          </w:rPr>
          <w:t>травмой</w:t>
        </w:r>
        <w:r>
          <w:rPr>
            <w:color w:val="2255A6"/>
            <w:sz w:val="18"/>
          </w:rPr>
          <w:tab/>
        </w:r>
        <w:r>
          <w:rPr>
            <w:color w:val="231F20"/>
            <w:spacing w:val="-10"/>
            <w:sz w:val="18"/>
          </w:rPr>
          <w:t>7</w:t>
        </w:r>
      </w:hyperlink>
    </w:p>
    <w:p>
      <w:pPr>
        <w:pStyle w:val="ListParagraph"/>
        <w:numPr>
          <w:ilvl w:val="1"/>
          <w:numId w:val="179"/>
        </w:numPr>
        <w:tabs>
          <w:tab w:pos="411" w:val="left" w:leader="none"/>
          <w:tab w:pos="7381" w:val="right" w:leader="dot"/>
        </w:tabs>
        <w:spacing w:line="240" w:lineRule="auto" w:before="49" w:after="0"/>
        <w:ind w:left="411" w:right="0" w:hanging="270"/>
        <w:jc w:val="left"/>
        <w:rPr>
          <w:sz w:val="18"/>
        </w:rPr>
      </w:pPr>
      <w:hyperlink w:history="true" w:anchor="_bookmark75">
        <w:r>
          <w:rPr>
            <w:color w:val="2255A6"/>
            <w:spacing w:val="-10"/>
            <w:sz w:val="18"/>
            <w:u w:val="single" w:color="2255A6"/>
          </w:rPr>
          <w:t> </w:t>
        </w:r>
        <w:r>
          <w:rPr>
            <w:color w:val="2255A6"/>
            <w:sz w:val="18"/>
            <w:u w:val="single" w:color="2255A6"/>
          </w:rPr>
          <w:t>​Метод</w:t>
        </w:r>
        <w:r>
          <w:rPr>
            <w:color w:val="2255A6"/>
            <w:spacing w:val="-8"/>
            <w:sz w:val="18"/>
            <w:u w:val="single" w:color="2255A6"/>
          </w:rPr>
          <w:t> </w:t>
        </w:r>
        <w:r>
          <w:rPr>
            <w:color w:val="2255A6"/>
            <w:sz w:val="18"/>
            <w:u w:val="single" w:color="2255A6"/>
          </w:rPr>
          <w:t>диалогического</w:t>
        </w:r>
        <w:r>
          <w:rPr>
            <w:color w:val="2255A6"/>
            <w:spacing w:val="-8"/>
            <w:sz w:val="18"/>
            <w:u w:val="single" w:color="2255A6"/>
          </w:rPr>
          <w:t> </w:t>
        </w:r>
        <w:r>
          <w:rPr>
            <w:color w:val="2255A6"/>
            <w:sz w:val="18"/>
            <w:u w:val="single" w:color="2255A6"/>
          </w:rPr>
          <w:t>рассказывания</w:t>
        </w:r>
        <w:r>
          <w:rPr>
            <w:color w:val="2255A6"/>
            <w:spacing w:val="-8"/>
            <w:sz w:val="18"/>
            <w:u w:val="single" w:color="2255A6"/>
          </w:rPr>
          <w:t> </w:t>
        </w:r>
        <w:r>
          <w:rPr>
            <w:color w:val="2255A6"/>
            <w:sz w:val="18"/>
            <w:u w:val="single" w:color="2255A6"/>
          </w:rPr>
          <w:t>историй:</w:t>
        </w:r>
        <w:r>
          <w:rPr>
            <w:color w:val="2255A6"/>
            <w:spacing w:val="-8"/>
            <w:sz w:val="18"/>
            <w:u w:val="single" w:color="2255A6"/>
          </w:rPr>
          <w:t> </w:t>
        </w:r>
        <w:r>
          <w:rPr>
            <w:color w:val="2255A6"/>
            <w:sz w:val="18"/>
            <w:u w:val="single" w:color="2255A6"/>
          </w:rPr>
          <w:t>методическое</w:t>
        </w:r>
        <w:r>
          <w:rPr>
            <w:color w:val="2255A6"/>
            <w:spacing w:val="-8"/>
            <w:sz w:val="18"/>
            <w:u w:val="single" w:color="2255A6"/>
          </w:rPr>
          <w:t> </w:t>
        </w:r>
        <w:r>
          <w:rPr>
            <w:color w:val="2255A6"/>
            <w:spacing w:val="-2"/>
            <w:sz w:val="18"/>
            <w:u w:val="single" w:color="2255A6"/>
          </w:rPr>
          <w:t>руководство</w:t>
        </w:r>
        <w:r>
          <w:rPr>
            <w:color w:val="2255A6"/>
            <w:sz w:val="18"/>
          </w:rPr>
          <w:tab/>
        </w:r>
        <w:r>
          <w:rPr>
            <w:color w:val="231F20"/>
            <w:spacing w:val="-5"/>
            <w:sz w:val="18"/>
          </w:rPr>
          <w:t>26</w:t>
        </w:r>
      </w:hyperlink>
    </w:p>
    <w:p>
      <w:pPr>
        <w:pStyle w:val="ListParagraph"/>
        <w:numPr>
          <w:ilvl w:val="1"/>
          <w:numId w:val="179"/>
        </w:numPr>
        <w:tabs>
          <w:tab w:pos="411" w:val="left" w:leader="none"/>
        </w:tabs>
        <w:spacing w:line="232" w:lineRule="auto" w:before="55" w:after="0"/>
        <w:ind w:left="141" w:right="1814" w:firstLine="0"/>
        <w:jc w:val="left"/>
        <w:rPr>
          <w:sz w:val="18"/>
        </w:rPr>
      </w:pPr>
      <w:hyperlink w:history="true" w:anchor="_bookmark76">
        <w:r>
          <w:rPr>
            <w:color w:val="2255A6"/>
            <w:sz w:val="18"/>
            <w:u w:val="single" w:color="2255A6"/>
          </w:rPr>
          <w:t> ​Приемы обсуждения трудностей, связанных со становлением</w:t>
        </w:r>
      </w:hyperlink>
      <w:r>
        <w:rPr>
          <w:color w:val="2255A6"/>
          <w:sz w:val="18"/>
        </w:rPr>
        <w:t> </w:t>
      </w:r>
      <w:hyperlink w:history="true" w:anchor="_bookmark76">
        <w:r>
          <w:rPr>
            <w:color w:val="2255A6"/>
            <w:sz w:val="18"/>
            <w:u w:val="single" w:color="2255A6"/>
          </w:rPr>
          <w:t>этнической,</w:t>
        </w:r>
        <w:r>
          <w:rPr>
            <w:color w:val="2255A6"/>
            <w:spacing w:val="-12"/>
            <w:sz w:val="18"/>
            <w:u w:val="single" w:color="2255A6"/>
          </w:rPr>
          <w:t> </w:t>
        </w:r>
        <w:r>
          <w:rPr>
            <w:color w:val="2255A6"/>
            <w:sz w:val="18"/>
            <w:u w:val="single" w:color="2255A6"/>
          </w:rPr>
          <w:t>культурной</w:t>
        </w:r>
        <w:r>
          <w:rPr>
            <w:color w:val="2255A6"/>
            <w:spacing w:val="-11"/>
            <w:sz w:val="18"/>
            <w:u w:val="single" w:color="2255A6"/>
          </w:rPr>
          <w:t> </w:t>
        </w:r>
        <w:r>
          <w:rPr>
            <w:color w:val="2255A6"/>
            <w:sz w:val="18"/>
            <w:u w:val="single" w:color="2255A6"/>
          </w:rPr>
          <w:t>и</w:t>
        </w:r>
        <w:r>
          <w:rPr>
            <w:color w:val="2255A6"/>
            <w:spacing w:val="-11"/>
            <w:sz w:val="18"/>
            <w:u w:val="single" w:color="2255A6"/>
          </w:rPr>
          <w:t> </w:t>
        </w:r>
        <w:r>
          <w:rPr>
            <w:color w:val="2255A6"/>
            <w:sz w:val="18"/>
            <w:u w:val="single" w:color="2255A6"/>
          </w:rPr>
          <w:t>гражданской</w:t>
        </w:r>
        <w:r>
          <w:rPr>
            <w:color w:val="2255A6"/>
            <w:spacing w:val="-11"/>
            <w:sz w:val="18"/>
            <w:u w:val="single" w:color="2255A6"/>
          </w:rPr>
          <w:t> </w:t>
        </w:r>
        <w:r>
          <w:rPr>
            <w:color w:val="2255A6"/>
            <w:sz w:val="18"/>
            <w:u w:val="single" w:color="2255A6"/>
          </w:rPr>
          <w:t>идентичности</w:t>
        </w:r>
        <w:r>
          <w:rPr>
            <w:color w:val="2255A6"/>
            <w:spacing w:val="-12"/>
            <w:sz w:val="18"/>
            <w:u w:val="single" w:color="2255A6"/>
          </w:rPr>
          <w:t> </w:t>
        </w:r>
        <w:r>
          <w:rPr>
            <w:color w:val="2255A6"/>
            <w:sz w:val="18"/>
            <w:u w:val="single" w:color="2255A6"/>
          </w:rPr>
          <w:t>ребенка-мигранта:</w:t>
        </w:r>
      </w:hyperlink>
    </w:p>
    <w:p>
      <w:pPr>
        <w:tabs>
          <w:tab w:pos="7381" w:val="right" w:leader="dot"/>
        </w:tabs>
        <w:spacing w:line="200" w:lineRule="exact" w:before="0"/>
        <w:ind w:left="141" w:right="0" w:firstLine="0"/>
        <w:jc w:val="left"/>
        <w:rPr>
          <w:sz w:val="18"/>
        </w:rPr>
      </w:pPr>
      <w:hyperlink w:history="true" w:anchor="_bookmark76">
        <w:r>
          <w:rPr>
            <w:color w:val="2255A6"/>
            <w:sz w:val="18"/>
            <w:u w:val="single" w:color="2255A6"/>
          </w:rPr>
          <w:t>описание</w:t>
        </w:r>
        <w:r>
          <w:rPr>
            <w:color w:val="2255A6"/>
            <w:spacing w:val="-4"/>
            <w:sz w:val="18"/>
            <w:u w:val="single" w:color="2255A6"/>
          </w:rPr>
          <w:t> </w:t>
        </w:r>
        <w:r>
          <w:rPr>
            <w:color w:val="2255A6"/>
            <w:sz w:val="18"/>
            <w:u w:val="single" w:color="2255A6"/>
          </w:rPr>
          <w:t>конкретных</w:t>
        </w:r>
        <w:r>
          <w:rPr>
            <w:color w:val="2255A6"/>
            <w:spacing w:val="-4"/>
            <w:sz w:val="18"/>
            <w:u w:val="single" w:color="2255A6"/>
          </w:rPr>
          <w:t> </w:t>
        </w:r>
        <w:r>
          <w:rPr>
            <w:color w:val="2255A6"/>
            <w:spacing w:val="-2"/>
            <w:sz w:val="18"/>
            <w:u w:val="single" w:color="2255A6"/>
          </w:rPr>
          <w:t>активностей</w:t>
        </w:r>
        <w:r>
          <w:rPr>
            <w:color w:val="2255A6"/>
            <w:sz w:val="18"/>
          </w:rPr>
          <w:tab/>
        </w:r>
        <w:r>
          <w:rPr>
            <w:color w:val="231F20"/>
            <w:spacing w:val="-5"/>
            <w:sz w:val="18"/>
          </w:rPr>
          <w:t>46</w:t>
        </w:r>
      </w:hyperlink>
    </w:p>
    <w:p>
      <w:pPr>
        <w:pStyle w:val="ListParagraph"/>
        <w:numPr>
          <w:ilvl w:val="1"/>
          <w:numId w:val="179"/>
        </w:numPr>
        <w:tabs>
          <w:tab w:pos="411" w:val="left" w:leader="none"/>
          <w:tab w:pos="7381" w:val="right" w:leader="dot"/>
        </w:tabs>
        <w:spacing w:line="240" w:lineRule="auto" w:before="50" w:after="0"/>
        <w:ind w:left="411" w:right="0" w:hanging="270"/>
        <w:jc w:val="left"/>
        <w:rPr>
          <w:sz w:val="18"/>
        </w:rPr>
      </w:pPr>
      <w:hyperlink w:history="true" w:anchor="_bookmark77">
        <w:r>
          <w:rPr>
            <w:color w:val="2255A6"/>
            <w:spacing w:val="-6"/>
            <w:sz w:val="18"/>
            <w:u w:val="single" w:color="2255A6"/>
          </w:rPr>
          <w:t> </w:t>
        </w:r>
        <w:r>
          <w:rPr>
            <w:color w:val="2255A6"/>
            <w:sz w:val="18"/>
            <w:u w:val="single" w:color="2255A6"/>
          </w:rPr>
          <w:t>​Ролевые</w:t>
        </w:r>
        <w:r>
          <w:rPr>
            <w:color w:val="2255A6"/>
            <w:spacing w:val="-5"/>
            <w:sz w:val="18"/>
            <w:u w:val="single" w:color="2255A6"/>
          </w:rPr>
          <w:t> </w:t>
        </w:r>
        <w:r>
          <w:rPr>
            <w:color w:val="2255A6"/>
            <w:sz w:val="18"/>
            <w:u w:val="single" w:color="2255A6"/>
          </w:rPr>
          <w:t>игры:</w:t>
        </w:r>
        <w:r>
          <w:rPr>
            <w:color w:val="2255A6"/>
            <w:spacing w:val="-5"/>
            <w:sz w:val="18"/>
            <w:u w:val="single" w:color="2255A6"/>
          </w:rPr>
          <w:t> </w:t>
        </w:r>
        <w:r>
          <w:rPr>
            <w:color w:val="2255A6"/>
            <w:sz w:val="18"/>
            <w:u w:val="single" w:color="2255A6"/>
          </w:rPr>
          <w:t>методическое</w:t>
        </w:r>
        <w:r>
          <w:rPr>
            <w:color w:val="2255A6"/>
            <w:spacing w:val="-5"/>
            <w:sz w:val="18"/>
            <w:u w:val="single" w:color="2255A6"/>
          </w:rPr>
          <w:t> </w:t>
        </w:r>
        <w:r>
          <w:rPr>
            <w:color w:val="2255A6"/>
            <w:spacing w:val="-2"/>
            <w:sz w:val="18"/>
            <w:u w:val="single" w:color="2255A6"/>
          </w:rPr>
          <w:t>руководство</w:t>
        </w:r>
        <w:r>
          <w:rPr>
            <w:color w:val="2255A6"/>
            <w:sz w:val="18"/>
          </w:rPr>
          <w:tab/>
        </w:r>
        <w:r>
          <w:rPr>
            <w:color w:val="231F20"/>
            <w:spacing w:val="-5"/>
            <w:sz w:val="18"/>
          </w:rPr>
          <w:t>49</w:t>
        </w:r>
      </w:hyperlink>
    </w:p>
    <w:p>
      <w:pPr>
        <w:pStyle w:val="ListParagraph"/>
        <w:numPr>
          <w:ilvl w:val="1"/>
          <w:numId w:val="179"/>
        </w:numPr>
        <w:tabs>
          <w:tab w:pos="411" w:val="left" w:leader="none"/>
        </w:tabs>
        <w:spacing w:line="203" w:lineRule="exact" w:before="49" w:after="0"/>
        <w:ind w:left="411" w:right="0" w:hanging="270"/>
        <w:jc w:val="left"/>
        <w:rPr>
          <w:sz w:val="18"/>
        </w:rPr>
      </w:pPr>
      <w:hyperlink w:history="true" w:anchor="_bookmark78">
        <w:r>
          <w:rPr>
            <w:color w:val="2255A6"/>
            <w:spacing w:val="-6"/>
            <w:sz w:val="18"/>
            <w:u w:val="single" w:color="2255A6"/>
          </w:rPr>
          <w:t> </w:t>
        </w:r>
        <w:r>
          <w:rPr>
            <w:color w:val="2255A6"/>
            <w:sz w:val="18"/>
            <w:u w:val="single" w:color="2255A6"/>
          </w:rPr>
          <w:t>​Ролевое</w:t>
        </w:r>
        <w:r>
          <w:rPr>
            <w:color w:val="2255A6"/>
            <w:spacing w:val="-5"/>
            <w:sz w:val="18"/>
            <w:u w:val="single" w:color="2255A6"/>
          </w:rPr>
          <w:t> </w:t>
        </w:r>
        <w:r>
          <w:rPr>
            <w:color w:val="2255A6"/>
            <w:sz w:val="18"/>
            <w:u w:val="single" w:color="2255A6"/>
          </w:rPr>
          <w:t>моделирование</w:t>
        </w:r>
        <w:r>
          <w:rPr>
            <w:color w:val="2255A6"/>
            <w:spacing w:val="-5"/>
            <w:sz w:val="18"/>
            <w:u w:val="single" w:color="2255A6"/>
          </w:rPr>
          <w:t> </w:t>
        </w:r>
        <w:r>
          <w:rPr>
            <w:color w:val="2255A6"/>
            <w:sz w:val="18"/>
            <w:u w:val="single" w:color="2255A6"/>
          </w:rPr>
          <w:t>и</w:t>
        </w:r>
        <w:r>
          <w:rPr>
            <w:color w:val="2255A6"/>
            <w:spacing w:val="-5"/>
            <w:sz w:val="18"/>
            <w:u w:val="single" w:color="2255A6"/>
          </w:rPr>
          <w:t> </w:t>
        </w:r>
        <w:r>
          <w:rPr>
            <w:color w:val="2255A6"/>
            <w:sz w:val="18"/>
            <w:u w:val="single" w:color="2255A6"/>
          </w:rPr>
          <w:t>решение</w:t>
        </w:r>
        <w:r>
          <w:rPr>
            <w:color w:val="2255A6"/>
            <w:spacing w:val="-5"/>
            <w:sz w:val="18"/>
            <w:u w:val="single" w:color="2255A6"/>
          </w:rPr>
          <w:t> </w:t>
        </w:r>
        <w:r>
          <w:rPr>
            <w:color w:val="2255A6"/>
            <w:spacing w:val="-2"/>
            <w:sz w:val="18"/>
            <w:u w:val="single" w:color="2255A6"/>
          </w:rPr>
          <w:t>ситуаций</w:t>
        </w:r>
      </w:hyperlink>
    </w:p>
    <w:p>
      <w:pPr>
        <w:tabs>
          <w:tab w:pos="7381" w:val="right" w:leader="dot"/>
        </w:tabs>
        <w:spacing w:line="203" w:lineRule="exact" w:before="0"/>
        <w:ind w:left="141" w:right="0" w:firstLine="0"/>
        <w:jc w:val="left"/>
        <w:rPr>
          <w:sz w:val="18"/>
        </w:rPr>
      </w:pPr>
      <w:hyperlink w:history="true" w:anchor="_bookmark78">
        <w:r>
          <w:rPr>
            <w:color w:val="2255A6"/>
            <w:spacing w:val="-2"/>
            <w:sz w:val="18"/>
            <w:u w:val="single" w:color="2255A6"/>
          </w:rPr>
          <w:t>культурного</w:t>
        </w:r>
        <w:r>
          <w:rPr>
            <w:color w:val="2255A6"/>
            <w:spacing w:val="8"/>
            <w:sz w:val="18"/>
            <w:u w:val="single" w:color="2255A6"/>
          </w:rPr>
          <w:t> </w:t>
        </w:r>
        <w:r>
          <w:rPr>
            <w:color w:val="2255A6"/>
            <w:spacing w:val="-2"/>
            <w:sz w:val="18"/>
            <w:u w:val="single" w:color="2255A6"/>
          </w:rPr>
          <w:t>ассимилятора:</w:t>
        </w:r>
        <w:r>
          <w:rPr>
            <w:color w:val="2255A6"/>
            <w:spacing w:val="9"/>
            <w:sz w:val="18"/>
            <w:u w:val="single" w:color="2255A6"/>
          </w:rPr>
          <w:t> </w:t>
        </w:r>
        <w:r>
          <w:rPr>
            <w:color w:val="2255A6"/>
            <w:spacing w:val="-2"/>
            <w:sz w:val="18"/>
            <w:u w:val="single" w:color="2255A6"/>
          </w:rPr>
          <w:t>методическое</w:t>
        </w:r>
        <w:r>
          <w:rPr>
            <w:color w:val="2255A6"/>
            <w:spacing w:val="9"/>
            <w:sz w:val="18"/>
            <w:u w:val="single" w:color="2255A6"/>
          </w:rPr>
          <w:t> </w:t>
        </w:r>
        <w:r>
          <w:rPr>
            <w:color w:val="2255A6"/>
            <w:spacing w:val="-2"/>
            <w:sz w:val="18"/>
            <w:u w:val="single" w:color="2255A6"/>
          </w:rPr>
          <w:t>руководство</w:t>
        </w:r>
        <w:r>
          <w:rPr>
            <w:color w:val="2255A6"/>
            <w:sz w:val="18"/>
          </w:rPr>
          <w:tab/>
        </w:r>
        <w:r>
          <w:rPr>
            <w:color w:val="231F20"/>
            <w:spacing w:val="-5"/>
            <w:sz w:val="18"/>
          </w:rPr>
          <w:t>51</w:t>
        </w:r>
      </w:hyperlink>
    </w:p>
    <w:p>
      <w:pPr>
        <w:pStyle w:val="ListParagraph"/>
        <w:numPr>
          <w:ilvl w:val="1"/>
          <w:numId w:val="179"/>
        </w:numPr>
        <w:tabs>
          <w:tab w:pos="411" w:val="left" w:leader="none"/>
        </w:tabs>
        <w:spacing w:line="203" w:lineRule="exact" w:before="50" w:after="0"/>
        <w:ind w:left="411" w:right="0" w:hanging="270"/>
        <w:jc w:val="left"/>
        <w:rPr>
          <w:sz w:val="18"/>
        </w:rPr>
      </w:pPr>
      <w:hyperlink w:history="true" w:anchor="_bookmark79">
        <w:r>
          <w:rPr>
            <w:color w:val="2255A6"/>
            <w:spacing w:val="-6"/>
            <w:sz w:val="18"/>
            <w:u w:val="single" w:color="2255A6"/>
          </w:rPr>
          <w:t> </w:t>
        </w:r>
        <w:r>
          <w:rPr>
            <w:color w:val="2255A6"/>
            <w:sz w:val="18"/>
            <w:u w:val="single" w:color="2255A6"/>
          </w:rPr>
          <w:t>​Арт-терапевтические</w:t>
        </w:r>
        <w:r>
          <w:rPr>
            <w:color w:val="2255A6"/>
            <w:spacing w:val="-5"/>
            <w:sz w:val="18"/>
            <w:u w:val="single" w:color="2255A6"/>
          </w:rPr>
          <w:t> </w:t>
        </w:r>
        <w:r>
          <w:rPr>
            <w:color w:val="2255A6"/>
            <w:sz w:val="18"/>
            <w:u w:val="single" w:color="2255A6"/>
          </w:rPr>
          <w:t>приемы</w:t>
        </w:r>
        <w:r>
          <w:rPr>
            <w:color w:val="2255A6"/>
            <w:spacing w:val="-5"/>
            <w:sz w:val="18"/>
            <w:u w:val="single" w:color="2255A6"/>
          </w:rPr>
          <w:t> </w:t>
        </w:r>
        <w:r>
          <w:rPr>
            <w:color w:val="2255A6"/>
            <w:sz w:val="18"/>
            <w:u w:val="single" w:color="2255A6"/>
          </w:rPr>
          <w:t>поддержки</w:t>
        </w:r>
        <w:r>
          <w:rPr>
            <w:color w:val="2255A6"/>
            <w:spacing w:val="-6"/>
            <w:sz w:val="18"/>
            <w:u w:val="single" w:color="2255A6"/>
          </w:rPr>
          <w:t> </w:t>
        </w:r>
        <w:r>
          <w:rPr>
            <w:color w:val="2255A6"/>
            <w:spacing w:val="-2"/>
            <w:sz w:val="18"/>
            <w:u w:val="single" w:color="2255A6"/>
          </w:rPr>
          <w:t>адаптации</w:t>
        </w:r>
      </w:hyperlink>
    </w:p>
    <w:p>
      <w:pPr>
        <w:tabs>
          <w:tab w:pos="7381" w:val="right" w:leader="dot"/>
        </w:tabs>
        <w:spacing w:line="203" w:lineRule="exact" w:before="0"/>
        <w:ind w:left="141" w:right="0" w:firstLine="0"/>
        <w:jc w:val="left"/>
        <w:rPr>
          <w:sz w:val="18"/>
        </w:rPr>
      </w:pPr>
      <w:hyperlink w:history="true" w:anchor="_bookmark79">
        <w:r>
          <w:rPr>
            <w:color w:val="2255A6"/>
            <w:sz w:val="18"/>
            <w:u w:val="single" w:color="2255A6"/>
          </w:rPr>
          <w:t>на</w:t>
        </w:r>
        <w:r>
          <w:rPr>
            <w:color w:val="2255A6"/>
            <w:spacing w:val="-5"/>
            <w:sz w:val="18"/>
            <w:u w:val="single" w:color="2255A6"/>
          </w:rPr>
          <w:t> </w:t>
        </w:r>
        <w:r>
          <w:rPr>
            <w:color w:val="2255A6"/>
            <w:sz w:val="18"/>
            <w:u w:val="single" w:color="2255A6"/>
          </w:rPr>
          <w:t>новом</w:t>
        </w:r>
        <w:r>
          <w:rPr>
            <w:color w:val="2255A6"/>
            <w:spacing w:val="-4"/>
            <w:sz w:val="18"/>
            <w:u w:val="single" w:color="2255A6"/>
          </w:rPr>
          <w:t> </w:t>
        </w:r>
        <w:r>
          <w:rPr>
            <w:color w:val="2255A6"/>
            <w:sz w:val="18"/>
            <w:u w:val="single" w:color="2255A6"/>
          </w:rPr>
          <w:t>месте:</w:t>
        </w:r>
        <w:r>
          <w:rPr>
            <w:color w:val="2255A6"/>
            <w:spacing w:val="-4"/>
            <w:sz w:val="18"/>
            <w:u w:val="single" w:color="2255A6"/>
          </w:rPr>
          <w:t> </w:t>
        </w:r>
        <w:r>
          <w:rPr>
            <w:color w:val="2255A6"/>
            <w:sz w:val="18"/>
            <w:u w:val="single" w:color="2255A6"/>
          </w:rPr>
          <w:t>методическое</w:t>
        </w:r>
        <w:r>
          <w:rPr>
            <w:color w:val="2255A6"/>
            <w:spacing w:val="-4"/>
            <w:sz w:val="18"/>
            <w:u w:val="single" w:color="2255A6"/>
          </w:rPr>
          <w:t> </w:t>
        </w:r>
        <w:r>
          <w:rPr>
            <w:color w:val="2255A6"/>
            <w:spacing w:val="-2"/>
            <w:sz w:val="18"/>
            <w:u w:val="single" w:color="2255A6"/>
          </w:rPr>
          <w:t>руководство</w:t>
        </w:r>
        <w:r>
          <w:rPr>
            <w:color w:val="2255A6"/>
            <w:sz w:val="18"/>
          </w:rPr>
          <w:tab/>
        </w:r>
        <w:r>
          <w:rPr>
            <w:color w:val="231F20"/>
            <w:spacing w:val="-5"/>
            <w:sz w:val="18"/>
          </w:rPr>
          <w:t>54</w:t>
        </w:r>
      </w:hyperlink>
    </w:p>
    <w:p>
      <w:pPr>
        <w:spacing w:line="203" w:lineRule="exact" w:before="107"/>
        <w:ind w:left="303" w:right="303" w:firstLine="0"/>
        <w:jc w:val="center"/>
        <w:rPr>
          <w:b/>
          <w:sz w:val="18"/>
        </w:rPr>
      </w:pPr>
      <w:hyperlink w:history="true" w:anchor="_bookmark80">
        <w:r>
          <w:rPr>
            <w:b/>
            <w:color w:val="2255A6"/>
            <w:sz w:val="18"/>
            <w:u w:val="single" w:color="2255A6"/>
          </w:rPr>
          <w:t>РАЗДЕЛ</w:t>
        </w:r>
        <w:r>
          <w:rPr>
            <w:b/>
            <w:color w:val="2255A6"/>
            <w:spacing w:val="-9"/>
            <w:sz w:val="18"/>
            <w:u w:val="single" w:color="2255A6"/>
          </w:rPr>
          <w:t> </w:t>
        </w:r>
        <w:r>
          <w:rPr>
            <w:b/>
            <w:color w:val="2255A6"/>
            <w:spacing w:val="-5"/>
            <w:sz w:val="18"/>
            <w:u w:val="single" w:color="2255A6"/>
          </w:rPr>
          <w:t>2.</w:t>
        </w:r>
      </w:hyperlink>
    </w:p>
    <w:p>
      <w:pPr>
        <w:spacing w:line="232" w:lineRule="auto" w:before="1"/>
        <w:ind w:left="837" w:right="835" w:firstLine="118"/>
        <w:jc w:val="left"/>
        <w:rPr>
          <w:b/>
          <w:sz w:val="18"/>
        </w:rPr>
      </w:pPr>
      <w:hyperlink w:history="true" w:anchor="_bookmark80">
        <w:r>
          <w:rPr>
            <w:b/>
            <w:color w:val="2255A6"/>
            <w:sz w:val="18"/>
            <w:u w:val="single" w:color="2255A6"/>
          </w:rPr>
          <w:t>Методическое сопровождение педагогического коллектива в области</w:t>
        </w:r>
      </w:hyperlink>
      <w:r>
        <w:rPr>
          <w:b/>
          <w:color w:val="2255A6"/>
          <w:sz w:val="18"/>
        </w:rPr>
        <w:t> </w:t>
      </w:r>
      <w:hyperlink w:history="true" w:anchor="_bookmark80">
        <w:r>
          <w:rPr>
            <w:b/>
            <w:color w:val="2255A6"/>
            <w:sz w:val="18"/>
            <w:u w:val="single" w:color="2255A6"/>
          </w:rPr>
          <w:t>психолого-педагогического</w:t>
        </w:r>
        <w:r>
          <w:rPr>
            <w:b/>
            <w:color w:val="2255A6"/>
            <w:spacing w:val="-12"/>
            <w:sz w:val="18"/>
            <w:u w:val="single" w:color="2255A6"/>
          </w:rPr>
          <w:t> </w:t>
        </w:r>
        <w:r>
          <w:rPr>
            <w:b/>
            <w:color w:val="2255A6"/>
            <w:sz w:val="18"/>
            <w:u w:val="single" w:color="2255A6"/>
          </w:rPr>
          <w:t>сопровождения</w:t>
        </w:r>
        <w:r>
          <w:rPr>
            <w:b/>
            <w:color w:val="2255A6"/>
            <w:spacing w:val="-11"/>
            <w:sz w:val="18"/>
            <w:u w:val="single" w:color="2255A6"/>
          </w:rPr>
          <w:t> </w:t>
        </w:r>
        <w:r>
          <w:rPr>
            <w:b/>
            <w:color w:val="2255A6"/>
            <w:sz w:val="18"/>
            <w:u w:val="single" w:color="2255A6"/>
          </w:rPr>
          <w:t>детей</w:t>
        </w:r>
        <w:r>
          <w:rPr>
            <w:b/>
            <w:color w:val="2255A6"/>
            <w:spacing w:val="-11"/>
            <w:sz w:val="18"/>
            <w:u w:val="single" w:color="2255A6"/>
          </w:rPr>
          <w:t> </w:t>
        </w:r>
        <w:r>
          <w:rPr>
            <w:b/>
            <w:color w:val="2255A6"/>
            <w:sz w:val="18"/>
            <w:u w:val="single" w:color="2255A6"/>
          </w:rPr>
          <w:t>иностранных</w:t>
        </w:r>
        <w:r>
          <w:rPr>
            <w:b/>
            <w:color w:val="2255A6"/>
            <w:spacing w:val="-11"/>
            <w:sz w:val="18"/>
            <w:u w:val="single" w:color="2255A6"/>
          </w:rPr>
          <w:t> </w:t>
        </w:r>
        <w:r>
          <w:rPr>
            <w:b/>
            <w:color w:val="2255A6"/>
            <w:sz w:val="18"/>
            <w:u w:val="single" w:color="2255A6"/>
          </w:rPr>
          <w:t>граждан</w:t>
        </w:r>
      </w:hyperlink>
    </w:p>
    <w:p>
      <w:pPr>
        <w:pStyle w:val="ListParagraph"/>
        <w:numPr>
          <w:ilvl w:val="1"/>
          <w:numId w:val="180"/>
        </w:numPr>
        <w:tabs>
          <w:tab w:pos="411" w:val="left" w:leader="none"/>
        </w:tabs>
        <w:spacing w:line="197" w:lineRule="exact" w:before="0" w:after="0"/>
        <w:ind w:left="411" w:right="0" w:hanging="270"/>
        <w:jc w:val="left"/>
        <w:rPr>
          <w:sz w:val="18"/>
        </w:rPr>
      </w:pPr>
      <w:hyperlink w:history="true" w:anchor="_bookmark81">
        <w:r>
          <w:rPr>
            <w:color w:val="2255A6"/>
            <w:spacing w:val="-7"/>
            <w:sz w:val="18"/>
            <w:u w:val="single" w:color="2255A6"/>
          </w:rPr>
          <w:t> </w:t>
        </w:r>
        <w:r>
          <w:rPr>
            <w:color w:val="2255A6"/>
            <w:sz w:val="18"/>
            <w:u w:val="single" w:color="2255A6"/>
          </w:rPr>
          <w:t>​Интерактивные</w:t>
        </w:r>
        <w:r>
          <w:rPr>
            <w:color w:val="2255A6"/>
            <w:spacing w:val="-4"/>
            <w:sz w:val="18"/>
            <w:u w:val="single" w:color="2255A6"/>
          </w:rPr>
          <w:t> </w:t>
        </w:r>
        <w:r>
          <w:rPr>
            <w:color w:val="2255A6"/>
            <w:sz w:val="18"/>
            <w:u w:val="single" w:color="2255A6"/>
          </w:rPr>
          <w:t>технологии</w:t>
        </w:r>
        <w:r>
          <w:rPr>
            <w:color w:val="2255A6"/>
            <w:spacing w:val="-5"/>
            <w:sz w:val="18"/>
            <w:u w:val="single" w:color="2255A6"/>
          </w:rPr>
          <w:t> </w:t>
        </w:r>
        <w:r>
          <w:rPr>
            <w:color w:val="2255A6"/>
            <w:spacing w:val="-2"/>
            <w:sz w:val="18"/>
            <w:u w:val="single" w:color="2255A6"/>
          </w:rPr>
          <w:t>развития</w:t>
        </w:r>
      </w:hyperlink>
    </w:p>
    <w:p>
      <w:pPr>
        <w:tabs>
          <w:tab w:pos="7381" w:val="right" w:leader="dot"/>
        </w:tabs>
        <w:spacing w:line="203" w:lineRule="exact" w:before="0"/>
        <w:ind w:left="141" w:right="0" w:firstLine="0"/>
        <w:jc w:val="left"/>
        <w:rPr>
          <w:sz w:val="18"/>
        </w:rPr>
      </w:pPr>
      <w:hyperlink w:history="true" w:anchor="_bookmark81">
        <w:r>
          <w:rPr>
            <w:color w:val="2255A6"/>
            <w:spacing w:val="-2"/>
            <w:sz w:val="18"/>
            <w:u w:val="single" w:color="2255A6"/>
          </w:rPr>
          <w:t>межкультурной</w:t>
        </w:r>
        <w:r>
          <w:rPr>
            <w:color w:val="2255A6"/>
            <w:spacing w:val="7"/>
            <w:sz w:val="18"/>
            <w:u w:val="single" w:color="2255A6"/>
          </w:rPr>
          <w:t> </w:t>
        </w:r>
        <w:r>
          <w:rPr>
            <w:color w:val="2255A6"/>
            <w:spacing w:val="-2"/>
            <w:sz w:val="18"/>
            <w:u w:val="single" w:color="2255A6"/>
          </w:rPr>
          <w:t>компетентности</w:t>
        </w:r>
        <w:r>
          <w:rPr>
            <w:color w:val="2255A6"/>
            <w:spacing w:val="8"/>
            <w:sz w:val="18"/>
            <w:u w:val="single" w:color="2255A6"/>
          </w:rPr>
          <w:t> </w:t>
        </w:r>
        <w:r>
          <w:rPr>
            <w:color w:val="2255A6"/>
            <w:spacing w:val="-2"/>
            <w:sz w:val="18"/>
            <w:u w:val="single" w:color="2255A6"/>
          </w:rPr>
          <w:t>педагогов</w:t>
        </w:r>
        <w:r>
          <w:rPr>
            <w:color w:val="2255A6"/>
            <w:sz w:val="18"/>
          </w:rPr>
          <w:tab/>
        </w:r>
        <w:r>
          <w:rPr>
            <w:color w:val="231F20"/>
            <w:spacing w:val="-5"/>
            <w:sz w:val="18"/>
          </w:rPr>
          <w:t>59</w:t>
        </w:r>
      </w:hyperlink>
    </w:p>
    <w:p>
      <w:pPr>
        <w:pStyle w:val="ListParagraph"/>
        <w:numPr>
          <w:ilvl w:val="1"/>
          <w:numId w:val="180"/>
        </w:numPr>
        <w:tabs>
          <w:tab w:pos="411" w:val="left" w:leader="none"/>
          <w:tab w:pos="7381" w:val="right" w:leader="dot"/>
        </w:tabs>
        <w:spacing w:line="240" w:lineRule="auto" w:before="50" w:after="0"/>
        <w:ind w:left="411" w:right="0" w:hanging="270"/>
        <w:jc w:val="left"/>
        <w:rPr>
          <w:sz w:val="18"/>
        </w:rPr>
      </w:pPr>
      <w:hyperlink w:history="true" w:anchor="_bookmark82">
        <w:r>
          <w:rPr>
            <w:color w:val="2255A6"/>
            <w:spacing w:val="-7"/>
            <w:sz w:val="18"/>
            <w:u w:val="single" w:color="2255A6"/>
          </w:rPr>
          <w:t> </w:t>
        </w:r>
        <w:r>
          <w:rPr>
            <w:color w:val="2255A6"/>
            <w:sz w:val="18"/>
            <w:u w:val="single" w:color="2255A6"/>
          </w:rPr>
          <w:t>​Алгоритм</w:t>
        </w:r>
        <w:r>
          <w:rPr>
            <w:color w:val="2255A6"/>
            <w:spacing w:val="-6"/>
            <w:sz w:val="18"/>
            <w:u w:val="single" w:color="2255A6"/>
          </w:rPr>
          <w:t> </w:t>
        </w:r>
        <w:r>
          <w:rPr>
            <w:color w:val="2255A6"/>
            <w:sz w:val="18"/>
            <w:u w:val="single" w:color="2255A6"/>
          </w:rPr>
          <w:t>разбора</w:t>
        </w:r>
        <w:r>
          <w:rPr>
            <w:color w:val="2255A6"/>
            <w:spacing w:val="-6"/>
            <w:sz w:val="18"/>
            <w:u w:val="single" w:color="2255A6"/>
          </w:rPr>
          <w:t> </w:t>
        </w:r>
        <w:r>
          <w:rPr>
            <w:color w:val="2255A6"/>
            <w:sz w:val="18"/>
            <w:u w:val="single" w:color="2255A6"/>
          </w:rPr>
          <w:t>педагогического</w:t>
        </w:r>
        <w:r>
          <w:rPr>
            <w:color w:val="2255A6"/>
            <w:spacing w:val="-6"/>
            <w:sz w:val="18"/>
            <w:u w:val="single" w:color="2255A6"/>
          </w:rPr>
          <w:t> </w:t>
        </w:r>
        <w:r>
          <w:rPr>
            <w:color w:val="2255A6"/>
            <w:sz w:val="18"/>
            <w:u w:val="single" w:color="2255A6"/>
          </w:rPr>
          <w:t>случая,</w:t>
        </w:r>
        <w:r>
          <w:rPr>
            <w:color w:val="2255A6"/>
            <w:spacing w:val="-6"/>
            <w:sz w:val="18"/>
            <w:u w:val="single" w:color="2255A6"/>
          </w:rPr>
          <w:t> </w:t>
        </w:r>
        <w:r>
          <w:rPr>
            <w:color w:val="2255A6"/>
            <w:sz w:val="18"/>
            <w:u w:val="single" w:color="2255A6"/>
          </w:rPr>
          <w:t>связанного</w:t>
        </w:r>
        <w:r>
          <w:rPr>
            <w:color w:val="2255A6"/>
            <w:spacing w:val="-6"/>
            <w:sz w:val="18"/>
            <w:u w:val="single" w:color="2255A6"/>
          </w:rPr>
          <w:t> </w:t>
        </w:r>
        <w:r>
          <w:rPr>
            <w:color w:val="2255A6"/>
            <w:sz w:val="18"/>
            <w:u w:val="single" w:color="2255A6"/>
          </w:rPr>
          <w:t>с</w:t>
        </w:r>
        <w:r>
          <w:rPr>
            <w:color w:val="2255A6"/>
            <w:spacing w:val="-6"/>
            <w:sz w:val="18"/>
            <w:u w:val="single" w:color="2255A6"/>
          </w:rPr>
          <w:t> </w:t>
        </w:r>
        <w:r>
          <w:rPr>
            <w:color w:val="2255A6"/>
            <w:sz w:val="18"/>
            <w:u w:val="single" w:color="2255A6"/>
          </w:rPr>
          <w:t>адаптацией</w:t>
        </w:r>
        <w:r>
          <w:rPr>
            <w:color w:val="2255A6"/>
            <w:spacing w:val="-7"/>
            <w:sz w:val="18"/>
            <w:u w:val="single" w:color="2255A6"/>
          </w:rPr>
          <w:t> </w:t>
        </w:r>
        <w:r>
          <w:rPr>
            <w:color w:val="2255A6"/>
            <w:spacing w:val="-2"/>
            <w:sz w:val="18"/>
            <w:u w:val="single" w:color="2255A6"/>
          </w:rPr>
          <w:t>детей</w:t>
        </w:r>
        <w:r>
          <w:rPr>
            <w:color w:val="2255A6"/>
            <w:sz w:val="18"/>
          </w:rPr>
          <w:tab/>
        </w:r>
        <w:r>
          <w:rPr>
            <w:color w:val="231F20"/>
            <w:spacing w:val="-5"/>
            <w:sz w:val="18"/>
          </w:rPr>
          <w:t>70</w:t>
        </w:r>
      </w:hyperlink>
    </w:p>
    <w:p>
      <w:pPr>
        <w:pStyle w:val="ListParagraph"/>
        <w:numPr>
          <w:ilvl w:val="1"/>
          <w:numId w:val="180"/>
        </w:numPr>
        <w:tabs>
          <w:tab w:pos="411" w:val="left" w:leader="none"/>
          <w:tab w:pos="7381" w:val="right" w:leader="dot"/>
        </w:tabs>
        <w:spacing w:line="240" w:lineRule="auto" w:before="49" w:after="0"/>
        <w:ind w:left="411" w:right="0" w:hanging="270"/>
        <w:jc w:val="left"/>
        <w:rPr>
          <w:sz w:val="18"/>
        </w:rPr>
      </w:pPr>
      <w:hyperlink w:history="true" w:anchor="_bookmark83">
        <w:r>
          <w:rPr>
            <w:color w:val="2255A6"/>
            <w:spacing w:val="-6"/>
            <w:sz w:val="18"/>
            <w:u w:val="single" w:color="2255A6"/>
          </w:rPr>
          <w:t> </w:t>
        </w:r>
        <w:r>
          <w:rPr>
            <w:color w:val="2255A6"/>
            <w:sz w:val="18"/>
            <w:u w:val="single" w:color="2255A6"/>
          </w:rPr>
          <w:t>​Проведение</w:t>
        </w:r>
        <w:r>
          <w:rPr>
            <w:color w:val="2255A6"/>
            <w:spacing w:val="-5"/>
            <w:sz w:val="18"/>
            <w:u w:val="single" w:color="2255A6"/>
          </w:rPr>
          <w:t> </w:t>
        </w:r>
        <w:r>
          <w:rPr>
            <w:color w:val="2255A6"/>
            <w:sz w:val="18"/>
            <w:u w:val="single" w:color="2255A6"/>
          </w:rPr>
          <w:t>обучающих</w:t>
        </w:r>
        <w:r>
          <w:rPr>
            <w:color w:val="2255A6"/>
            <w:spacing w:val="-5"/>
            <w:sz w:val="18"/>
            <w:u w:val="single" w:color="2255A6"/>
          </w:rPr>
          <w:t> </w:t>
        </w:r>
        <w:r>
          <w:rPr>
            <w:color w:val="2255A6"/>
            <w:sz w:val="18"/>
            <w:u w:val="single" w:color="2255A6"/>
          </w:rPr>
          <w:t>семинаров</w:t>
        </w:r>
        <w:r>
          <w:rPr>
            <w:color w:val="2255A6"/>
            <w:spacing w:val="-6"/>
            <w:sz w:val="18"/>
            <w:u w:val="single" w:color="2255A6"/>
          </w:rPr>
          <w:t> </w:t>
        </w:r>
        <w:r>
          <w:rPr>
            <w:color w:val="2255A6"/>
            <w:sz w:val="18"/>
            <w:u w:val="single" w:color="2255A6"/>
          </w:rPr>
          <w:t>для</w:t>
        </w:r>
        <w:r>
          <w:rPr>
            <w:color w:val="2255A6"/>
            <w:spacing w:val="-6"/>
            <w:sz w:val="18"/>
            <w:u w:val="single" w:color="2255A6"/>
          </w:rPr>
          <w:t> </w:t>
        </w:r>
        <w:r>
          <w:rPr>
            <w:color w:val="2255A6"/>
            <w:sz w:val="18"/>
            <w:u w:val="single" w:color="2255A6"/>
          </w:rPr>
          <w:t>педагогов</w:t>
        </w:r>
        <w:r>
          <w:rPr>
            <w:color w:val="2255A6"/>
            <w:spacing w:val="-6"/>
            <w:sz w:val="18"/>
            <w:u w:val="single" w:color="2255A6"/>
          </w:rPr>
          <w:t> </w:t>
        </w:r>
        <w:r>
          <w:rPr>
            <w:color w:val="2255A6"/>
            <w:sz w:val="18"/>
            <w:u w:val="single" w:color="2255A6"/>
          </w:rPr>
          <w:t>на</w:t>
        </w:r>
        <w:r>
          <w:rPr>
            <w:color w:val="2255A6"/>
            <w:spacing w:val="-5"/>
            <w:sz w:val="18"/>
            <w:u w:val="single" w:color="2255A6"/>
          </w:rPr>
          <w:t> </w:t>
        </w:r>
        <w:r>
          <w:rPr>
            <w:color w:val="2255A6"/>
            <w:sz w:val="18"/>
            <w:u w:val="single" w:color="2255A6"/>
          </w:rPr>
          <w:t>основе</w:t>
        </w:r>
        <w:r>
          <w:rPr>
            <w:color w:val="2255A6"/>
            <w:spacing w:val="-5"/>
            <w:sz w:val="18"/>
            <w:u w:val="single" w:color="2255A6"/>
          </w:rPr>
          <w:t> </w:t>
        </w:r>
        <w:r>
          <w:rPr>
            <w:color w:val="2255A6"/>
            <w:sz w:val="18"/>
            <w:u w:val="single" w:color="2255A6"/>
          </w:rPr>
          <w:t>модели</w:t>
        </w:r>
        <w:r>
          <w:rPr>
            <w:color w:val="2255A6"/>
            <w:spacing w:val="-6"/>
            <w:sz w:val="18"/>
            <w:u w:val="single" w:color="2255A6"/>
          </w:rPr>
          <w:t> </w:t>
        </w:r>
        <w:r>
          <w:rPr>
            <w:color w:val="2255A6"/>
            <w:spacing w:val="-4"/>
            <w:sz w:val="18"/>
            <w:u w:val="single" w:color="2255A6"/>
          </w:rPr>
          <w:t>DOPA</w:t>
        </w:r>
        <w:r>
          <w:rPr>
            <w:color w:val="2255A6"/>
            <w:sz w:val="18"/>
          </w:rPr>
          <w:tab/>
        </w:r>
        <w:r>
          <w:rPr>
            <w:color w:val="231F20"/>
            <w:spacing w:val="-5"/>
            <w:sz w:val="18"/>
          </w:rPr>
          <w:t>88</w:t>
        </w:r>
      </w:hyperlink>
    </w:p>
    <w:p>
      <w:pPr>
        <w:spacing w:line="203" w:lineRule="exact" w:before="107"/>
        <w:ind w:left="303" w:right="303" w:firstLine="0"/>
        <w:jc w:val="center"/>
        <w:rPr>
          <w:b/>
          <w:sz w:val="18"/>
        </w:rPr>
      </w:pPr>
      <w:hyperlink w:history="true" w:anchor="_bookmark84">
        <w:r>
          <w:rPr>
            <w:b/>
            <w:color w:val="2255A6"/>
            <w:sz w:val="18"/>
            <w:u w:val="single" w:color="2255A6"/>
          </w:rPr>
          <w:t>РАЗДЕЛ</w:t>
        </w:r>
        <w:r>
          <w:rPr>
            <w:b/>
            <w:color w:val="2255A6"/>
            <w:spacing w:val="-9"/>
            <w:sz w:val="18"/>
            <w:u w:val="single" w:color="2255A6"/>
          </w:rPr>
          <w:t> </w:t>
        </w:r>
        <w:r>
          <w:rPr>
            <w:b/>
            <w:color w:val="2255A6"/>
            <w:spacing w:val="-5"/>
            <w:sz w:val="18"/>
            <w:u w:val="single" w:color="2255A6"/>
          </w:rPr>
          <w:t>3.</w:t>
        </w:r>
      </w:hyperlink>
    </w:p>
    <w:p>
      <w:pPr>
        <w:spacing w:line="200" w:lineRule="exact" w:before="0"/>
        <w:ind w:left="1377" w:right="0" w:firstLine="0"/>
        <w:jc w:val="left"/>
        <w:rPr>
          <w:b/>
          <w:sz w:val="18"/>
        </w:rPr>
      </w:pPr>
      <w:hyperlink w:history="true" w:anchor="_bookmark84">
        <w:r>
          <w:rPr>
            <w:b/>
            <w:color w:val="2255A6"/>
            <w:sz w:val="18"/>
            <w:u w:val="single" w:color="2255A6"/>
          </w:rPr>
          <w:t>Работа</w:t>
        </w:r>
        <w:r>
          <w:rPr>
            <w:b/>
            <w:color w:val="2255A6"/>
            <w:spacing w:val="-12"/>
            <w:sz w:val="18"/>
            <w:u w:val="single" w:color="2255A6"/>
          </w:rPr>
          <w:t> </w:t>
        </w:r>
        <w:r>
          <w:rPr>
            <w:b/>
            <w:color w:val="2255A6"/>
            <w:sz w:val="18"/>
            <w:u w:val="single" w:color="2255A6"/>
          </w:rPr>
          <w:t>педагога</w:t>
        </w:r>
        <w:r>
          <w:rPr>
            <w:b/>
            <w:color w:val="2255A6"/>
            <w:spacing w:val="-9"/>
            <w:sz w:val="18"/>
            <w:u w:val="single" w:color="2255A6"/>
          </w:rPr>
          <w:t> </w:t>
        </w:r>
        <w:r>
          <w:rPr>
            <w:b/>
            <w:color w:val="2255A6"/>
            <w:sz w:val="18"/>
            <w:u w:val="single" w:color="2255A6"/>
          </w:rPr>
          <w:t>с</w:t>
        </w:r>
        <w:r>
          <w:rPr>
            <w:b/>
            <w:color w:val="2255A6"/>
            <w:spacing w:val="-9"/>
            <w:sz w:val="18"/>
            <w:u w:val="single" w:color="2255A6"/>
          </w:rPr>
          <w:t> </w:t>
        </w:r>
        <w:r>
          <w:rPr>
            <w:b/>
            <w:color w:val="2255A6"/>
            <w:sz w:val="18"/>
            <w:u w:val="single" w:color="2255A6"/>
          </w:rPr>
          <w:t>родителями-иностранными</w:t>
        </w:r>
        <w:r>
          <w:rPr>
            <w:b/>
            <w:color w:val="2255A6"/>
            <w:spacing w:val="-10"/>
            <w:sz w:val="18"/>
            <w:u w:val="single" w:color="2255A6"/>
          </w:rPr>
          <w:t> </w:t>
        </w:r>
        <w:r>
          <w:rPr>
            <w:b/>
            <w:color w:val="2255A6"/>
            <w:spacing w:val="-2"/>
            <w:sz w:val="18"/>
            <w:u w:val="single" w:color="2255A6"/>
          </w:rPr>
          <w:t>гражданами</w:t>
        </w:r>
      </w:hyperlink>
    </w:p>
    <w:p>
      <w:pPr>
        <w:pStyle w:val="ListParagraph"/>
        <w:numPr>
          <w:ilvl w:val="1"/>
          <w:numId w:val="181"/>
        </w:numPr>
        <w:tabs>
          <w:tab w:pos="411" w:val="left" w:leader="none"/>
          <w:tab w:pos="7381" w:val="right" w:leader="dot"/>
        </w:tabs>
        <w:spacing w:line="203" w:lineRule="exact" w:before="0" w:after="0"/>
        <w:ind w:left="411" w:right="0" w:hanging="270"/>
        <w:jc w:val="left"/>
        <w:rPr>
          <w:sz w:val="18"/>
        </w:rPr>
      </w:pPr>
      <w:hyperlink w:history="true" w:anchor="_bookmark85">
        <w:r>
          <w:rPr>
            <w:color w:val="2255A6"/>
            <w:spacing w:val="-3"/>
            <w:sz w:val="18"/>
            <w:u w:val="single" w:color="2255A6"/>
          </w:rPr>
          <w:t> </w:t>
        </w:r>
        <w:r>
          <w:rPr>
            <w:color w:val="2255A6"/>
            <w:sz w:val="18"/>
            <w:u w:val="single" w:color="2255A6"/>
          </w:rPr>
          <w:t>​Приветственный</w:t>
        </w:r>
        <w:r>
          <w:rPr>
            <w:color w:val="2255A6"/>
            <w:spacing w:val="-2"/>
            <w:sz w:val="18"/>
            <w:u w:val="single" w:color="2255A6"/>
          </w:rPr>
          <w:t> </w:t>
        </w:r>
        <w:r>
          <w:rPr>
            <w:color w:val="2255A6"/>
            <w:sz w:val="18"/>
            <w:u w:val="single" w:color="2255A6"/>
          </w:rPr>
          <w:t>семинар</w:t>
        </w:r>
        <w:r>
          <w:rPr>
            <w:color w:val="2255A6"/>
            <w:spacing w:val="-2"/>
            <w:sz w:val="18"/>
            <w:u w:val="single" w:color="2255A6"/>
          </w:rPr>
          <w:t> </w:t>
        </w:r>
        <w:r>
          <w:rPr>
            <w:color w:val="2255A6"/>
            <w:sz w:val="18"/>
            <w:u w:val="single" w:color="2255A6"/>
          </w:rPr>
          <w:t>для</w:t>
        </w:r>
        <w:r>
          <w:rPr>
            <w:color w:val="2255A6"/>
            <w:spacing w:val="-2"/>
            <w:sz w:val="18"/>
            <w:u w:val="single" w:color="2255A6"/>
          </w:rPr>
          <w:t> родителей</w:t>
        </w:r>
        <w:r>
          <w:rPr>
            <w:color w:val="2255A6"/>
            <w:sz w:val="18"/>
          </w:rPr>
          <w:tab/>
        </w:r>
        <w:r>
          <w:rPr>
            <w:color w:val="231F20"/>
            <w:spacing w:val="-5"/>
            <w:sz w:val="18"/>
          </w:rPr>
          <w:t>9</w:t>
        </w:r>
      </w:hyperlink>
      <w:r>
        <w:rPr>
          <w:color w:val="231F20"/>
          <w:spacing w:val="-5"/>
          <w:sz w:val="18"/>
        </w:rPr>
        <w:t>6</w:t>
      </w:r>
    </w:p>
    <w:p>
      <w:pPr>
        <w:pStyle w:val="ListParagraph"/>
        <w:numPr>
          <w:ilvl w:val="1"/>
          <w:numId w:val="181"/>
        </w:numPr>
        <w:tabs>
          <w:tab w:pos="411" w:val="left" w:leader="none"/>
          <w:tab w:pos="7381" w:val="right" w:leader="dot"/>
        </w:tabs>
        <w:spacing w:line="240" w:lineRule="auto" w:before="50" w:after="0"/>
        <w:ind w:left="411" w:right="0" w:hanging="270"/>
        <w:jc w:val="left"/>
        <w:rPr>
          <w:sz w:val="18"/>
        </w:rPr>
      </w:pPr>
      <w:hyperlink w:history="true" w:anchor="_bookmark86">
        <w:r>
          <w:rPr>
            <w:color w:val="2255A6"/>
            <w:spacing w:val="-3"/>
            <w:sz w:val="18"/>
            <w:u w:val="single" w:color="2255A6"/>
          </w:rPr>
          <w:t> </w:t>
        </w:r>
        <w:r>
          <w:rPr>
            <w:color w:val="2255A6"/>
            <w:sz w:val="18"/>
            <w:u w:val="single" w:color="2255A6"/>
          </w:rPr>
          <w:t>​Неформальные</w:t>
        </w:r>
        <w:r>
          <w:rPr>
            <w:color w:val="2255A6"/>
            <w:spacing w:val="-3"/>
            <w:sz w:val="18"/>
            <w:u w:val="single" w:color="2255A6"/>
          </w:rPr>
          <w:t> </w:t>
        </w:r>
        <w:r>
          <w:rPr>
            <w:color w:val="2255A6"/>
            <w:sz w:val="18"/>
            <w:u w:val="single" w:color="2255A6"/>
          </w:rPr>
          <w:t>родительские</w:t>
        </w:r>
        <w:r>
          <w:rPr>
            <w:color w:val="2255A6"/>
            <w:spacing w:val="-2"/>
            <w:sz w:val="18"/>
            <w:u w:val="single" w:color="2255A6"/>
          </w:rPr>
          <w:t> собрания</w:t>
        </w:r>
      </w:hyperlink>
      <w:r>
        <w:rPr>
          <w:color w:val="2255A6"/>
          <w:sz w:val="18"/>
        </w:rPr>
        <w:tab/>
      </w:r>
      <w:r>
        <w:rPr>
          <w:color w:val="231F20"/>
          <w:spacing w:val="-5"/>
          <w:sz w:val="18"/>
        </w:rPr>
        <w:t>99</w:t>
      </w:r>
    </w:p>
    <w:p>
      <w:pPr>
        <w:spacing w:line="203" w:lineRule="exact" w:before="106"/>
        <w:ind w:left="303" w:right="303" w:firstLine="0"/>
        <w:jc w:val="center"/>
        <w:rPr>
          <w:b/>
          <w:sz w:val="18"/>
        </w:rPr>
      </w:pPr>
      <w:hyperlink w:history="true" w:anchor="_bookmark87">
        <w:r>
          <w:rPr>
            <w:b/>
            <w:color w:val="2255A6"/>
            <w:sz w:val="18"/>
            <w:u w:val="single" w:color="2255A6"/>
          </w:rPr>
          <w:t>РАЗДЕЛ</w:t>
        </w:r>
        <w:r>
          <w:rPr>
            <w:b/>
            <w:color w:val="2255A6"/>
            <w:spacing w:val="-9"/>
            <w:sz w:val="18"/>
            <w:u w:val="single" w:color="2255A6"/>
          </w:rPr>
          <w:t> </w:t>
        </w:r>
        <w:r>
          <w:rPr>
            <w:b/>
            <w:color w:val="2255A6"/>
            <w:spacing w:val="-5"/>
            <w:sz w:val="18"/>
            <w:u w:val="single" w:color="2255A6"/>
          </w:rPr>
          <w:t>4.</w:t>
        </w:r>
      </w:hyperlink>
    </w:p>
    <w:p>
      <w:pPr>
        <w:spacing w:line="200" w:lineRule="exact" w:before="0"/>
        <w:ind w:left="1304" w:right="0" w:firstLine="0"/>
        <w:jc w:val="left"/>
        <w:rPr>
          <w:b/>
          <w:sz w:val="18"/>
        </w:rPr>
      </w:pPr>
      <w:hyperlink w:history="true" w:anchor="_bookmark87">
        <w:r>
          <w:rPr>
            <w:b/>
            <w:color w:val="2255A6"/>
            <w:sz w:val="18"/>
            <w:u w:val="single" w:color="2255A6"/>
          </w:rPr>
          <w:t>Работа</w:t>
        </w:r>
        <w:r>
          <w:rPr>
            <w:b/>
            <w:color w:val="2255A6"/>
            <w:spacing w:val="-3"/>
            <w:sz w:val="18"/>
            <w:u w:val="single" w:color="2255A6"/>
          </w:rPr>
          <w:t> </w:t>
        </w:r>
        <w:r>
          <w:rPr>
            <w:b/>
            <w:color w:val="2255A6"/>
            <w:sz w:val="18"/>
            <w:u w:val="single" w:color="2255A6"/>
          </w:rPr>
          <w:t>педагога</w:t>
        </w:r>
        <w:r>
          <w:rPr>
            <w:b/>
            <w:color w:val="2255A6"/>
            <w:spacing w:val="-3"/>
            <w:sz w:val="18"/>
            <w:u w:val="single" w:color="2255A6"/>
          </w:rPr>
          <w:t> </w:t>
        </w:r>
        <w:r>
          <w:rPr>
            <w:b/>
            <w:color w:val="2255A6"/>
            <w:sz w:val="18"/>
            <w:u w:val="single" w:color="2255A6"/>
          </w:rPr>
          <w:t>с</w:t>
        </w:r>
        <w:r>
          <w:rPr>
            <w:b/>
            <w:color w:val="2255A6"/>
            <w:spacing w:val="-3"/>
            <w:sz w:val="18"/>
            <w:u w:val="single" w:color="2255A6"/>
          </w:rPr>
          <w:t> </w:t>
        </w:r>
        <w:r>
          <w:rPr>
            <w:b/>
            <w:color w:val="2255A6"/>
            <w:sz w:val="18"/>
            <w:u w:val="single" w:color="2255A6"/>
          </w:rPr>
          <w:t>ученическим</w:t>
        </w:r>
        <w:r>
          <w:rPr>
            <w:b/>
            <w:color w:val="2255A6"/>
            <w:spacing w:val="-3"/>
            <w:sz w:val="18"/>
            <w:u w:val="single" w:color="2255A6"/>
          </w:rPr>
          <w:t> </w:t>
        </w:r>
        <w:r>
          <w:rPr>
            <w:b/>
            <w:color w:val="2255A6"/>
            <w:sz w:val="18"/>
            <w:u w:val="single" w:color="2255A6"/>
          </w:rPr>
          <w:t>сообществом:</w:t>
        </w:r>
        <w:r>
          <w:rPr>
            <w:b/>
            <w:color w:val="2255A6"/>
            <w:spacing w:val="-3"/>
            <w:sz w:val="18"/>
            <w:u w:val="single" w:color="2255A6"/>
          </w:rPr>
          <w:t> </w:t>
        </w:r>
        <w:r>
          <w:rPr>
            <w:b/>
            <w:color w:val="2255A6"/>
            <w:sz w:val="18"/>
            <w:u w:val="single" w:color="2255A6"/>
          </w:rPr>
          <w:t>класс</w:t>
        </w:r>
        <w:r>
          <w:rPr>
            <w:b/>
            <w:color w:val="2255A6"/>
            <w:spacing w:val="-3"/>
            <w:sz w:val="18"/>
            <w:u w:val="single" w:color="2255A6"/>
          </w:rPr>
          <w:t> </w:t>
        </w:r>
        <w:r>
          <w:rPr>
            <w:b/>
            <w:color w:val="2255A6"/>
            <w:sz w:val="18"/>
            <w:u w:val="single" w:color="2255A6"/>
          </w:rPr>
          <w:t>и</w:t>
        </w:r>
        <w:r>
          <w:rPr>
            <w:b/>
            <w:color w:val="2255A6"/>
            <w:spacing w:val="-3"/>
            <w:sz w:val="18"/>
            <w:u w:val="single" w:color="2255A6"/>
          </w:rPr>
          <w:t> </w:t>
        </w:r>
        <w:r>
          <w:rPr>
            <w:b/>
            <w:color w:val="2255A6"/>
            <w:spacing w:val="-4"/>
            <w:sz w:val="18"/>
            <w:u w:val="single" w:color="2255A6"/>
          </w:rPr>
          <w:t>школа</w:t>
        </w:r>
      </w:hyperlink>
    </w:p>
    <w:p>
      <w:pPr>
        <w:pStyle w:val="ListParagraph"/>
        <w:numPr>
          <w:ilvl w:val="1"/>
          <w:numId w:val="182"/>
        </w:numPr>
        <w:tabs>
          <w:tab w:pos="411" w:val="left" w:leader="none"/>
          <w:tab w:pos="7381" w:val="right" w:leader="dot"/>
        </w:tabs>
        <w:spacing w:line="200" w:lineRule="exact" w:before="0" w:after="0"/>
        <w:ind w:left="411" w:right="0" w:hanging="270"/>
        <w:jc w:val="left"/>
        <w:rPr>
          <w:sz w:val="18"/>
        </w:rPr>
      </w:pPr>
      <w:hyperlink w:history="true" w:anchor="_bookmark88">
        <w:r>
          <w:rPr>
            <w:color w:val="2255A6"/>
            <w:spacing w:val="6"/>
            <w:sz w:val="18"/>
            <w:u w:val="single" w:color="2255A6"/>
          </w:rPr>
          <w:t> </w:t>
        </w:r>
        <w:r>
          <w:rPr>
            <w:color w:val="2255A6"/>
            <w:sz w:val="18"/>
            <w:u w:val="single" w:color="2255A6"/>
          </w:rPr>
          <w:t>​</w:t>
        </w:r>
        <w:r>
          <w:rPr>
            <w:color w:val="2255A6"/>
            <w:spacing w:val="-2"/>
            <w:sz w:val="18"/>
            <w:u w:val="single" w:color="2255A6"/>
          </w:rPr>
          <w:t>Активности</w:t>
        </w:r>
        <w:r>
          <w:rPr>
            <w:color w:val="2255A6"/>
            <w:spacing w:val="5"/>
            <w:sz w:val="18"/>
            <w:u w:val="single" w:color="2255A6"/>
          </w:rPr>
          <w:t> </w:t>
        </w:r>
        <w:r>
          <w:rPr>
            <w:color w:val="2255A6"/>
            <w:spacing w:val="-2"/>
            <w:sz w:val="18"/>
            <w:u w:val="single" w:color="2255A6"/>
          </w:rPr>
          <w:t>межкультурного</w:t>
        </w:r>
        <w:r>
          <w:rPr>
            <w:color w:val="2255A6"/>
            <w:spacing w:val="6"/>
            <w:sz w:val="18"/>
            <w:u w:val="single" w:color="2255A6"/>
          </w:rPr>
          <w:t> </w:t>
        </w:r>
        <w:r>
          <w:rPr>
            <w:color w:val="2255A6"/>
            <w:spacing w:val="-2"/>
            <w:sz w:val="18"/>
            <w:u w:val="single" w:color="2255A6"/>
          </w:rPr>
          <w:t>тренинга</w:t>
        </w:r>
        <w:r>
          <w:rPr>
            <w:color w:val="2255A6"/>
            <w:spacing w:val="7"/>
            <w:sz w:val="18"/>
            <w:u w:val="single" w:color="2255A6"/>
          </w:rPr>
          <w:t> </w:t>
        </w:r>
        <w:r>
          <w:rPr>
            <w:color w:val="2255A6"/>
            <w:spacing w:val="-2"/>
            <w:sz w:val="18"/>
            <w:u w:val="single" w:color="2255A6"/>
          </w:rPr>
          <w:t>для</w:t>
        </w:r>
        <w:r>
          <w:rPr>
            <w:color w:val="2255A6"/>
            <w:spacing w:val="6"/>
            <w:sz w:val="18"/>
            <w:u w:val="single" w:color="2255A6"/>
          </w:rPr>
          <w:t> </w:t>
        </w:r>
        <w:r>
          <w:rPr>
            <w:color w:val="2255A6"/>
            <w:spacing w:val="-2"/>
            <w:sz w:val="18"/>
            <w:u w:val="single" w:color="2255A6"/>
          </w:rPr>
          <w:t>поликультурного</w:t>
        </w:r>
        <w:r>
          <w:rPr>
            <w:color w:val="2255A6"/>
            <w:spacing w:val="7"/>
            <w:sz w:val="18"/>
            <w:u w:val="single" w:color="2255A6"/>
          </w:rPr>
          <w:t> </w:t>
        </w:r>
        <w:r>
          <w:rPr>
            <w:color w:val="2255A6"/>
            <w:spacing w:val="-2"/>
            <w:sz w:val="18"/>
            <w:u w:val="single" w:color="2255A6"/>
          </w:rPr>
          <w:t>класса</w:t>
        </w:r>
        <w:r>
          <w:rPr>
            <w:color w:val="2255A6"/>
            <w:sz w:val="18"/>
          </w:rPr>
          <w:tab/>
        </w:r>
        <w:r>
          <w:rPr>
            <w:color w:val="231F20"/>
            <w:spacing w:val="-5"/>
            <w:sz w:val="18"/>
          </w:rPr>
          <w:t>10</w:t>
        </w:r>
      </w:hyperlink>
      <w:r>
        <w:rPr>
          <w:color w:val="231F20"/>
          <w:spacing w:val="-5"/>
          <w:sz w:val="18"/>
        </w:rPr>
        <w:t>3</w:t>
      </w:r>
    </w:p>
    <w:p>
      <w:pPr>
        <w:pStyle w:val="ListParagraph"/>
        <w:numPr>
          <w:ilvl w:val="2"/>
          <w:numId w:val="182"/>
        </w:numPr>
        <w:tabs>
          <w:tab w:pos="830" w:val="left" w:leader="none"/>
          <w:tab w:pos="7381" w:val="right" w:leader="dot"/>
        </w:tabs>
        <w:spacing w:line="203" w:lineRule="exact" w:before="0" w:after="0"/>
        <w:ind w:left="830" w:right="0" w:hanging="405"/>
        <w:jc w:val="left"/>
        <w:rPr>
          <w:sz w:val="18"/>
        </w:rPr>
      </w:pPr>
      <w:hyperlink w:history="true" w:anchor="_bookmark88">
        <w:r>
          <w:rPr>
            <w:color w:val="2255A6"/>
            <w:sz w:val="18"/>
            <w:u w:val="single" w:color="2255A6"/>
          </w:rPr>
          <w:t> ​Общее</w:t>
        </w:r>
        <w:r>
          <w:rPr>
            <w:color w:val="2255A6"/>
            <w:spacing w:val="1"/>
            <w:sz w:val="18"/>
            <w:u w:val="single" w:color="2255A6"/>
          </w:rPr>
          <w:t> </w:t>
        </w:r>
        <w:r>
          <w:rPr>
            <w:color w:val="2255A6"/>
            <w:sz w:val="18"/>
            <w:u w:val="single" w:color="2255A6"/>
          </w:rPr>
          <w:t>описание</w:t>
        </w:r>
        <w:r>
          <w:rPr>
            <w:color w:val="2255A6"/>
            <w:spacing w:val="1"/>
            <w:sz w:val="18"/>
            <w:u w:val="single" w:color="2255A6"/>
          </w:rPr>
          <w:t> </w:t>
        </w:r>
        <w:r>
          <w:rPr>
            <w:color w:val="2255A6"/>
            <w:spacing w:val="-2"/>
            <w:sz w:val="18"/>
            <w:u w:val="single" w:color="2255A6"/>
          </w:rPr>
          <w:t>инструментария</w:t>
        </w:r>
        <w:r>
          <w:rPr>
            <w:color w:val="2255A6"/>
            <w:sz w:val="18"/>
          </w:rPr>
          <w:tab/>
        </w:r>
        <w:r>
          <w:rPr>
            <w:color w:val="231F20"/>
            <w:spacing w:val="-5"/>
            <w:sz w:val="18"/>
          </w:rPr>
          <w:t>10</w:t>
        </w:r>
      </w:hyperlink>
      <w:r>
        <w:rPr>
          <w:color w:val="231F20"/>
          <w:spacing w:val="-5"/>
          <w:sz w:val="18"/>
        </w:rPr>
        <w:t>3</w:t>
      </w:r>
    </w:p>
    <w:p>
      <w:pPr>
        <w:pStyle w:val="ListParagraph"/>
        <w:numPr>
          <w:ilvl w:val="2"/>
          <w:numId w:val="182"/>
        </w:numPr>
        <w:tabs>
          <w:tab w:pos="830" w:val="left" w:leader="none"/>
          <w:tab w:pos="7381" w:val="right" w:leader="dot"/>
        </w:tabs>
        <w:spacing w:line="240" w:lineRule="auto" w:before="21" w:after="0"/>
        <w:ind w:left="830" w:right="0" w:hanging="405"/>
        <w:jc w:val="left"/>
        <w:rPr>
          <w:sz w:val="18"/>
        </w:rPr>
      </w:pPr>
      <w:hyperlink w:history="true" w:anchor="_bookmark89">
        <w:r>
          <w:rPr>
            <w:color w:val="2255A6"/>
            <w:spacing w:val="-4"/>
            <w:sz w:val="18"/>
            <w:u w:val="single" w:color="2255A6"/>
          </w:rPr>
          <w:t> </w:t>
        </w:r>
        <w:r>
          <w:rPr>
            <w:color w:val="2255A6"/>
            <w:sz w:val="18"/>
            <w:u w:val="single" w:color="2255A6"/>
          </w:rPr>
          <w:t>​Тематические</w:t>
        </w:r>
        <w:r>
          <w:rPr>
            <w:color w:val="2255A6"/>
            <w:spacing w:val="-4"/>
            <w:sz w:val="18"/>
            <w:u w:val="single" w:color="2255A6"/>
          </w:rPr>
          <w:t> </w:t>
        </w:r>
        <w:r>
          <w:rPr>
            <w:color w:val="2255A6"/>
            <w:sz w:val="18"/>
            <w:u w:val="single" w:color="2255A6"/>
          </w:rPr>
          <w:t>активности</w:t>
        </w:r>
        <w:r>
          <w:rPr>
            <w:color w:val="2255A6"/>
            <w:spacing w:val="-4"/>
            <w:sz w:val="18"/>
            <w:u w:val="single" w:color="2255A6"/>
          </w:rPr>
          <w:t> </w:t>
        </w:r>
        <w:r>
          <w:rPr>
            <w:color w:val="2255A6"/>
            <w:spacing w:val="-10"/>
            <w:sz w:val="18"/>
            <w:u w:val="single" w:color="2255A6"/>
          </w:rPr>
          <w:t>1</w:t>
        </w:r>
        <w:r>
          <w:rPr>
            <w:color w:val="2255A6"/>
            <w:sz w:val="18"/>
          </w:rPr>
          <w:tab/>
        </w:r>
        <w:r>
          <w:rPr>
            <w:color w:val="231F20"/>
            <w:spacing w:val="-5"/>
            <w:sz w:val="18"/>
          </w:rPr>
          <w:t>1</w:t>
        </w:r>
      </w:hyperlink>
      <w:r>
        <w:rPr>
          <w:color w:val="231F20"/>
          <w:spacing w:val="-5"/>
          <w:sz w:val="18"/>
        </w:rPr>
        <w:t>07</w:t>
      </w:r>
    </w:p>
    <w:p>
      <w:pPr>
        <w:pStyle w:val="ListParagraph"/>
        <w:numPr>
          <w:ilvl w:val="2"/>
          <w:numId w:val="182"/>
        </w:numPr>
        <w:tabs>
          <w:tab w:pos="830" w:val="left" w:leader="none"/>
          <w:tab w:pos="7381" w:val="right" w:leader="dot"/>
        </w:tabs>
        <w:spacing w:line="240" w:lineRule="auto" w:before="22" w:after="0"/>
        <w:ind w:left="830" w:right="0" w:hanging="405"/>
        <w:jc w:val="left"/>
        <w:rPr>
          <w:sz w:val="18"/>
        </w:rPr>
      </w:pPr>
      <w:hyperlink w:history="true" w:anchor="_bookmark90">
        <w:r>
          <w:rPr>
            <w:color w:val="2255A6"/>
            <w:spacing w:val="-4"/>
            <w:sz w:val="18"/>
            <w:u w:val="single" w:color="2255A6"/>
          </w:rPr>
          <w:t> </w:t>
        </w:r>
        <w:r>
          <w:rPr>
            <w:color w:val="2255A6"/>
            <w:sz w:val="18"/>
            <w:u w:val="single" w:color="2255A6"/>
          </w:rPr>
          <w:t>​Тематические</w:t>
        </w:r>
        <w:r>
          <w:rPr>
            <w:color w:val="2255A6"/>
            <w:spacing w:val="-4"/>
            <w:sz w:val="18"/>
            <w:u w:val="single" w:color="2255A6"/>
          </w:rPr>
          <w:t> </w:t>
        </w:r>
        <w:r>
          <w:rPr>
            <w:color w:val="2255A6"/>
            <w:sz w:val="18"/>
            <w:u w:val="single" w:color="2255A6"/>
          </w:rPr>
          <w:t>активности</w:t>
        </w:r>
        <w:r>
          <w:rPr>
            <w:color w:val="2255A6"/>
            <w:spacing w:val="-4"/>
            <w:sz w:val="18"/>
            <w:u w:val="single" w:color="2255A6"/>
          </w:rPr>
          <w:t> </w:t>
        </w:r>
        <w:r>
          <w:rPr>
            <w:color w:val="2255A6"/>
            <w:spacing w:val="-10"/>
            <w:sz w:val="18"/>
            <w:u w:val="single" w:color="2255A6"/>
          </w:rPr>
          <w:t>2</w:t>
        </w:r>
        <w:r>
          <w:rPr>
            <w:color w:val="2255A6"/>
            <w:sz w:val="18"/>
          </w:rPr>
          <w:tab/>
        </w:r>
        <w:r>
          <w:rPr>
            <w:color w:val="231F20"/>
            <w:spacing w:val="-5"/>
            <w:sz w:val="18"/>
          </w:rPr>
          <w:t>11</w:t>
        </w:r>
      </w:hyperlink>
      <w:r>
        <w:rPr>
          <w:color w:val="231F20"/>
          <w:spacing w:val="-5"/>
          <w:sz w:val="18"/>
        </w:rPr>
        <w:t>4</w:t>
      </w:r>
    </w:p>
    <w:p>
      <w:pPr>
        <w:pStyle w:val="ListParagraph"/>
        <w:numPr>
          <w:ilvl w:val="2"/>
          <w:numId w:val="182"/>
        </w:numPr>
        <w:tabs>
          <w:tab w:pos="830" w:val="left" w:leader="none"/>
          <w:tab w:pos="7381" w:val="right" w:leader="dot"/>
        </w:tabs>
        <w:spacing w:line="240" w:lineRule="auto" w:before="21" w:after="0"/>
        <w:ind w:left="830" w:right="0" w:hanging="405"/>
        <w:jc w:val="left"/>
        <w:rPr>
          <w:sz w:val="18"/>
        </w:rPr>
      </w:pPr>
      <w:hyperlink w:history="true" w:anchor="_bookmark91">
        <w:r>
          <w:rPr>
            <w:color w:val="2255A6"/>
            <w:spacing w:val="-4"/>
            <w:sz w:val="18"/>
            <w:u w:val="single" w:color="2255A6"/>
          </w:rPr>
          <w:t> </w:t>
        </w:r>
        <w:r>
          <w:rPr>
            <w:color w:val="2255A6"/>
            <w:sz w:val="18"/>
            <w:u w:val="single" w:color="2255A6"/>
          </w:rPr>
          <w:t>​Тематические</w:t>
        </w:r>
        <w:r>
          <w:rPr>
            <w:color w:val="2255A6"/>
            <w:spacing w:val="-4"/>
            <w:sz w:val="18"/>
            <w:u w:val="single" w:color="2255A6"/>
          </w:rPr>
          <w:t> </w:t>
        </w:r>
        <w:r>
          <w:rPr>
            <w:color w:val="2255A6"/>
            <w:sz w:val="18"/>
            <w:u w:val="single" w:color="2255A6"/>
          </w:rPr>
          <w:t>активности</w:t>
        </w:r>
        <w:r>
          <w:rPr>
            <w:color w:val="2255A6"/>
            <w:spacing w:val="-4"/>
            <w:sz w:val="18"/>
            <w:u w:val="single" w:color="2255A6"/>
          </w:rPr>
          <w:t> </w:t>
        </w:r>
        <w:r>
          <w:rPr>
            <w:color w:val="2255A6"/>
            <w:spacing w:val="-10"/>
            <w:sz w:val="18"/>
            <w:u w:val="single" w:color="2255A6"/>
          </w:rPr>
          <w:t>3</w:t>
        </w:r>
        <w:r>
          <w:rPr>
            <w:color w:val="2255A6"/>
            <w:sz w:val="18"/>
          </w:rPr>
          <w:tab/>
        </w:r>
        <w:r>
          <w:rPr>
            <w:color w:val="231F20"/>
            <w:spacing w:val="-5"/>
            <w:sz w:val="18"/>
          </w:rPr>
          <w:t>12</w:t>
        </w:r>
      </w:hyperlink>
      <w:r>
        <w:rPr>
          <w:color w:val="231F20"/>
          <w:spacing w:val="-5"/>
          <w:sz w:val="18"/>
        </w:rPr>
        <w:t>1</w:t>
      </w:r>
    </w:p>
    <w:p>
      <w:pPr>
        <w:pStyle w:val="ListParagraph"/>
        <w:numPr>
          <w:ilvl w:val="2"/>
          <w:numId w:val="182"/>
        </w:numPr>
        <w:tabs>
          <w:tab w:pos="830" w:val="left" w:leader="none"/>
          <w:tab w:pos="7381" w:val="right" w:leader="dot"/>
        </w:tabs>
        <w:spacing w:line="240" w:lineRule="auto" w:before="21" w:after="0"/>
        <w:ind w:left="830" w:right="0" w:hanging="405"/>
        <w:jc w:val="left"/>
        <w:rPr>
          <w:sz w:val="18"/>
        </w:rPr>
      </w:pPr>
      <w:hyperlink w:history="true" w:anchor="_bookmark92">
        <w:r>
          <w:rPr>
            <w:color w:val="2255A6"/>
            <w:spacing w:val="-4"/>
            <w:sz w:val="18"/>
            <w:u w:val="single" w:color="2255A6"/>
          </w:rPr>
          <w:t> </w:t>
        </w:r>
        <w:r>
          <w:rPr>
            <w:color w:val="2255A6"/>
            <w:sz w:val="18"/>
            <w:u w:val="single" w:color="2255A6"/>
          </w:rPr>
          <w:t>​Вводные</w:t>
        </w:r>
        <w:r>
          <w:rPr>
            <w:color w:val="2255A6"/>
            <w:spacing w:val="-3"/>
            <w:sz w:val="18"/>
            <w:u w:val="single" w:color="2255A6"/>
          </w:rPr>
          <w:t> </w:t>
        </w:r>
        <w:r>
          <w:rPr>
            <w:color w:val="2255A6"/>
            <w:sz w:val="18"/>
            <w:u w:val="single" w:color="2255A6"/>
          </w:rPr>
          <w:t>и</w:t>
        </w:r>
        <w:r>
          <w:rPr>
            <w:color w:val="2255A6"/>
            <w:spacing w:val="-4"/>
            <w:sz w:val="18"/>
            <w:u w:val="single" w:color="2255A6"/>
          </w:rPr>
          <w:t> </w:t>
        </w:r>
        <w:r>
          <w:rPr>
            <w:color w:val="2255A6"/>
            <w:sz w:val="18"/>
            <w:u w:val="single" w:color="2255A6"/>
          </w:rPr>
          <w:t>завершающие</w:t>
        </w:r>
        <w:r>
          <w:rPr>
            <w:color w:val="2255A6"/>
            <w:spacing w:val="-3"/>
            <w:sz w:val="18"/>
            <w:u w:val="single" w:color="2255A6"/>
          </w:rPr>
          <w:t> </w:t>
        </w:r>
        <w:r>
          <w:rPr>
            <w:color w:val="2255A6"/>
            <w:spacing w:val="-2"/>
            <w:sz w:val="18"/>
            <w:u w:val="single" w:color="2255A6"/>
          </w:rPr>
          <w:t>упражнения</w:t>
        </w:r>
        <w:r>
          <w:rPr>
            <w:color w:val="2255A6"/>
            <w:sz w:val="18"/>
          </w:rPr>
          <w:tab/>
        </w:r>
        <w:r>
          <w:rPr>
            <w:color w:val="231F20"/>
            <w:spacing w:val="-5"/>
            <w:sz w:val="18"/>
          </w:rPr>
          <w:t>13</w:t>
        </w:r>
      </w:hyperlink>
      <w:r>
        <w:rPr>
          <w:color w:val="231F20"/>
          <w:spacing w:val="-5"/>
          <w:sz w:val="18"/>
        </w:rPr>
        <w:t>2</w:t>
      </w:r>
    </w:p>
    <w:p>
      <w:pPr>
        <w:pStyle w:val="ListParagraph"/>
        <w:numPr>
          <w:ilvl w:val="1"/>
          <w:numId w:val="182"/>
        </w:numPr>
        <w:tabs>
          <w:tab w:pos="411" w:val="left" w:leader="none"/>
        </w:tabs>
        <w:spacing w:line="203" w:lineRule="exact" w:before="50" w:after="0"/>
        <w:ind w:left="411" w:right="0" w:hanging="270"/>
        <w:jc w:val="left"/>
        <w:rPr>
          <w:sz w:val="18"/>
        </w:rPr>
      </w:pPr>
      <w:hyperlink w:history="true" w:anchor="_bookmark93">
        <w:r>
          <w:rPr>
            <w:color w:val="2255A6"/>
            <w:spacing w:val="-5"/>
            <w:sz w:val="18"/>
            <w:u w:val="single" w:color="2255A6"/>
          </w:rPr>
          <w:t> </w:t>
        </w:r>
        <w:r>
          <w:rPr>
            <w:color w:val="2255A6"/>
            <w:sz w:val="18"/>
            <w:u w:val="single" w:color="2255A6"/>
          </w:rPr>
          <w:t>​«Живая</w:t>
        </w:r>
        <w:r>
          <w:rPr>
            <w:color w:val="2255A6"/>
            <w:spacing w:val="-4"/>
            <w:sz w:val="18"/>
            <w:u w:val="single" w:color="2255A6"/>
          </w:rPr>
          <w:t> </w:t>
        </w:r>
        <w:r>
          <w:rPr>
            <w:color w:val="2255A6"/>
            <w:sz w:val="18"/>
            <w:u w:val="single" w:color="2255A6"/>
          </w:rPr>
          <w:t>библиотека»</w:t>
        </w:r>
        <w:r>
          <w:rPr>
            <w:color w:val="2255A6"/>
            <w:spacing w:val="-5"/>
            <w:sz w:val="18"/>
            <w:u w:val="single" w:color="2255A6"/>
          </w:rPr>
          <w:t> </w:t>
        </w:r>
        <w:r>
          <w:rPr>
            <w:color w:val="2255A6"/>
            <w:sz w:val="18"/>
            <w:u w:val="single" w:color="2255A6"/>
          </w:rPr>
          <w:t>как</w:t>
        </w:r>
        <w:r>
          <w:rPr>
            <w:color w:val="2255A6"/>
            <w:spacing w:val="-4"/>
            <w:sz w:val="18"/>
            <w:u w:val="single" w:color="2255A6"/>
          </w:rPr>
          <w:t> </w:t>
        </w:r>
        <w:r>
          <w:rPr>
            <w:color w:val="2255A6"/>
            <w:sz w:val="18"/>
            <w:u w:val="single" w:color="2255A6"/>
          </w:rPr>
          <w:t>универсальная</w:t>
        </w:r>
        <w:r>
          <w:rPr>
            <w:color w:val="2255A6"/>
            <w:spacing w:val="-4"/>
            <w:sz w:val="18"/>
            <w:u w:val="single" w:color="2255A6"/>
          </w:rPr>
          <w:t> </w:t>
        </w:r>
        <w:r>
          <w:rPr>
            <w:color w:val="2255A6"/>
            <w:spacing w:val="-2"/>
            <w:sz w:val="18"/>
            <w:u w:val="single" w:color="2255A6"/>
          </w:rPr>
          <w:t>технология</w:t>
        </w:r>
      </w:hyperlink>
    </w:p>
    <w:p>
      <w:pPr>
        <w:tabs>
          <w:tab w:pos="7381" w:val="right" w:leader="dot"/>
        </w:tabs>
        <w:spacing w:line="203" w:lineRule="exact" w:before="0"/>
        <w:ind w:left="141" w:right="0" w:firstLine="0"/>
        <w:jc w:val="left"/>
        <w:rPr>
          <w:sz w:val="18"/>
        </w:rPr>
      </w:pPr>
      <w:hyperlink w:history="true" w:anchor="_bookmark93">
        <w:r>
          <w:rPr>
            <w:color w:val="2255A6"/>
            <w:sz w:val="18"/>
            <w:u w:val="single" w:color="2255A6"/>
          </w:rPr>
          <w:t>снижения</w:t>
        </w:r>
        <w:r>
          <w:rPr>
            <w:color w:val="2255A6"/>
            <w:spacing w:val="-6"/>
            <w:sz w:val="18"/>
            <w:u w:val="single" w:color="2255A6"/>
          </w:rPr>
          <w:t> </w:t>
        </w:r>
        <w:r>
          <w:rPr>
            <w:color w:val="2255A6"/>
            <w:sz w:val="18"/>
            <w:u w:val="single" w:color="2255A6"/>
          </w:rPr>
          <w:t>предубежденности:</w:t>
        </w:r>
        <w:r>
          <w:rPr>
            <w:color w:val="2255A6"/>
            <w:spacing w:val="-5"/>
            <w:sz w:val="18"/>
            <w:u w:val="single" w:color="2255A6"/>
          </w:rPr>
          <w:t> </w:t>
        </w:r>
        <w:r>
          <w:rPr>
            <w:color w:val="2255A6"/>
            <w:sz w:val="18"/>
            <w:u w:val="single" w:color="2255A6"/>
          </w:rPr>
          <w:t>программа</w:t>
        </w:r>
        <w:r>
          <w:rPr>
            <w:color w:val="2255A6"/>
            <w:spacing w:val="-5"/>
            <w:sz w:val="18"/>
            <w:u w:val="single" w:color="2255A6"/>
          </w:rPr>
          <w:t> </w:t>
        </w:r>
        <w:r>
          <w:rPr>
            <w:color w:val="2255A6"/>
            <w:sz w:val="18"/>
            <w:u w:val="single" w:color="2255A6"/>
          </w:rPr>
          <w:t>организации</w:t>
        </w:r>
        <w:r>
          <w:rPr>
            <w:color w:val="2255A6"/>
            <w:spacing w:val="-5"/>
            <w:sz w:val="18"/>
            <w:u w:val="single" w:color="2255A6"/>
          </w:rPr>
          <w:t> </w:t>
        </w:r>
        <w:r>
          <w:rPr>
            <w:color w:val="2255A6"/>
            <w:spacing w:val="-2"/>
            <w:sz w:val="18"/>
            <w:u w:val="single" w:color="2255A6"/>
          </w:rPr>
          <w:t>работы</w:t>
        </w:r>
        <w:r>
          <w:rPr>
            <w:color w:val="2255A6"/>
            <w:sz w:val="18"/>
          </w:rPr>
          <w:tab/>
        </w:r>
        <w:r>
          <w:rPr>
            <w:color w:val="231F20"/>
            <w:spacing w:val="-5"/>
            <w:sz w:val="18"/>
          </w:rPr>
          <w:t>13</w:t>
        </w:r>
      </w:hyperlink>
      <w:r>
        <w:rPr>
          <w:color w:val="231F20"/>
          <w:spacing w:val="-5"/>
          <w:sz w:val="18"/>
        </w:rPr>
        <w:t>7</w:t>
      </w:r>
    </w:p>
    <w:p>
      <w:pPr>
        <w:pStyle w:val="ListParagraph"/>
        <w:numPr>
          <w:ilvl w:val="1"/>
          <w:numId w:val="182"/>
        </w:numPr>
        <w:tabs>
          <w:tab w:pos="411" w:val="left" w:leader="none"/>
        </w:tabs>
        <w:spacing w:line="203" w:lineRule="exact" w:before="50" w:after="0"/>
        <w:ind w:left="411" w:right="0" w:hanging="270"/>
        <w:jc w:val="left"/>
        <w:rPr>
          <w:sz w:val="18"/>
        </w:rPr>
      </w:pPr>
      <w:hyperlink w:history="true" w:anchor="_bookmark94">
        <w:r>
          <w:rPr>
            <w:color w:val="2255A6"/>
            <w:spacing w:val="-4"/>
            <w:sz w:val="18"/>
            <w:u w:val="single" w:color="2255A6"/>
          </w:rPr>
          <w:t> </w:t>
        </w:r>
        <w:r>
          <w:rPr>
            <w:color w:val="2255A6"/>
            <w:sz w:val="18"/>
            <w:u w:val="single" w:color="2255A6"/>
          </w:rPr>
          <w:t>​Организация</w:t>
        </w:r>
        <w:r>
          <w:rPr>
            <w:color w:val="2255A6"/>
            <w:spacing w:val="-4"/>
            <w:sz w:val="18"/>
            <w:u w:val="single" w:color="2255A6"/>
          </w:rPr>
          <w:t> </w:t>
        </w:r>
        <w:r>
          <w:rPr>
            <w:color w:val="2255A6"/>
            <w:sz w:val="18"/>
            <w:u w:val="single" w:color="2255A6"/>
          </w:rPr>
          <w:t>групповой</w:t>
        </w:r>
        <w:r>
          <w:rPr>
            <w:color w:val="2255A6"/>
            <w:spacing w:val="-5"/>
            <w:sz w:val="18"/>
            <w:u w:val="single" w:color="2255A6"/>
          </w:rPr>
          <w:t> </w:t>
        </w:r>
        <w:r>
          <w:rPr>
            <w:color w:val="2255A6"/>
            <w:sz w:val="18"/>
            <w:u w:val="single" w:color="2255A6"/>
          </w:rPr>
          <w:t>учебной</w:t>
        </w:r>
        <w:r>
          <w:rPr>
            <w:color w:val="2255A6"/>
            <w:spacing w:val="-5"/>
            <w:sz w:val="18"/>
            <w:u w:val="single" w:color="2255A6"/>
          </w:rPr>
          <w:t> </w:t>
        </w:r>
        <w:r>
          <w:rPr>
            <w:color w:val="2255A6"/>
            <w:sz w:val="18"/>
            <w:u w:val="single" w:color="2255A6"/>
          </w:rPr>
          <w:t>работы</w:t>
        </w:r>
        <w:r>
          <w:rPr>
            <w:color w:val="2255A6"/>
            <w:spacing w:val="-3"/>
            <w:sz w:val="18"/>
            <w:u w:val="single" w:color="2255A6"/>
          </w:rPr>
          <w:t> </w:t>
        </w:r>
        <w:r>
          <w:rPr>
            <w:color w:val="2255A6"/>
            <w:spacing w:val="-2"/>
            <w:sz w:val="18"/>
            <w:u w:val="single" w:color="2255A6"/>
          </w:rPr>
          <w:t>учащихся</w:t>
        </w:r>
      </w:hyperlink>
    </w:p>
    <w:p>
      <w:pPr>
        <w:tabs>
          <w:tab w:pos="7381" w:val="right" w:leader="dot"/>
        </w:tabs>
        <w:spacing w:line="200" w:lineRule="exact" w:before="0"/>
        <w:ind w:left="141" w:right="0" w:firstLine="0"/>
        <w:jc w:val="left"/>
        <w:rPr>
          <w:sz w:val="18"/>
        </w:rPr>
      </w:pPr>
      <w:hyperlink w:history="true" w:anchor="_bookmark94">
        <w:r>
          <w:rPr>
            <w:color w:val="2255A6"/>
            <w:sz w:val="18"/>
            <w:u w:val="single" w:color="2255A6"/>
          </w:rPr>
          <w:t>в</w:t>
        </w:r>
        <w:r>
          <w:rPr>
            <w:color w:val="2255A6"/>
            <w:spacing w:val="-11"/>
            <w:sz w:val="18"/>
            <w:u w:val="single" w:color="2255A6"/>
          </w:rPr>
          <w:t> </w:t>
        </w:r>
        <w:r>
          <w:rPr>
            <w:color w:val="2255A6"/>
            <w:sz w:val="18"/>
            <w:u w:val="single" w:color="2255A6"/>
          </w:rPr>
          <w:t>поликультурном</w:t>
        </w:r>
        <w:r>
          <w:rPr>
            <w:color w:val="2255A6"/>
            <w:spacing w:val="-8"/>
            <w:sz w:val="18"/>
            <w:u w:val="single" w:color="2255A6"/>
          </w:rPr>
          <w:t> </w:t>
        </w:r>
        <w:r>
          <w:rPr>
            <w:color w:val="2255A6"/>
            <w:sz w:val="18"/>
            <w:u w:val="single" w:color="2255A6"/>
          </w:rPr>
          <w:t>классе:</w:t>
        </w:r>
        <w:r>
          <w:rPr>
            <w:color w:val="2255A6"/>
            <w:spacing w:val="-7"/>
            <w:sz w:val="18"/>
            <w:u w:val="single" w:color="2255A6"/>
          </w:rPr>
          <w:t> </w:t>
        </w:r>
        <w:r>
          <w:rPr>
            <w:color w:val="2255A6"/>
            <w:sz w:val="18"/>
            <w:u w:val="single" w:color="2255A6"/>
          </w:rPr>
          <w:t>программа</w:t>
        </w:r>
        <w:r>
          <w:rPr>
            <w:color w:val="2255A6"/>
            <w:spacing w:val="-8"/>
            <w:sz w:val="18"/>
            <w:u w:val="single" w:color="2255A6"/>
          </w:rPr>
          <w:t> </w:t>
        </w:r>
        <w:r>
          <w:rPr>
            <w:color w:val="2255A6"/>
            <w:sz w:val="18"/>
            <w:u w:val="single" w:color="2255A6"/>
          </w:rPr>
          <w:t>организации</w:t>
        </w:r>
        <w:r>
          <w:rPr>
            <w:color w:val="2255A6"/>
            <w:spacing w:val="-8"/>
            <w:sz w:val="18"/>
            <w:u w:val="single" w:color="2255A6"/>
          </w:rPr>
          <w:t> </w:t>
        </w:r>
        <w:r>
          <w:rPr>
            <w:color w:val="2255A6"/>
            <w:spacing w:val="-2"/>
            <w:sz w:val="18"/>
            <w:u w:val="single" w:color="2255A6"/>
          </w:rPr>
          <w:t>деятельности</w:t>
        </w:r>
        <w:r>
          <w:rPr>
            <w:color w:val="2255A6"/>
            <w:sz w:val="18"/>
          </w:rPr>
          <w:tab/>
        </w:r>
        <w:r>
          <w:rPr>
            <w:color w:val="231F20"/>
            <w:spacing w:val="-5"/>
            <w:sz w:val="18"/>
          </w:rPr>
          <w:t>14</w:t>
        </w:r>
      </w:hyperlink>
      <w:r>
        <w:rPr>
          <w:color w:val="231F20"/>
          <w:spacing w:val="-5"/>
          <w:sz w:val="18"/>
        </w:rPr>
        <w:t>5</w:t>
      </w:r>
    </w:p>
    <w:p>
      <w:pPr>
        <w:pStyle w:val="ListParagraph"/>
        <w:numPr>
          <w:ilvl w:val="2"/>
          <w:numId w:val="182"/>
        </w:numPr>
        <w:tabs>
          <w:tab w:pos="830" w:val="left" w:leader="none"/>
          <w:tab w:pos="7381" w:val="right" w:leader="dot"/>
        </w:tabs>
        <w:spacing w:line="203" w:lineRule="exact" w:before="0" w:after="0"/>
        <w:ind w:left="830" w:right="0" w:hanging="405"/>
        <w:jc w:val="left"/>
        <w:rPr>
          <w:sz w:val="18"/>
        </w:rPr>
      </w:pPr>
      <w:hyperlink w:history="true" w:anchor="_bookmark94">
        <w:r>
          <w:rPr>
            <w:color w:val="2255A6"/>
            <w:spacing w:val="-8"/>
            <w:sz w:val="18"/>
            <w:u w:val="single" w:color="2255A6"/>
          </w:rPr>
          <w:t> </w:t>
        </w:r>
        <w:r>
          <w:rPr>
            <w:color w:val="2255A6"/>
            <w:sz w:val="18"/>
            <w:u w:val="single" w:color="2255A6"/>
          </w:rPr>
          <w:t>​Внедрение</w:t>
        </w:r>
        <w:r>
          <w:rPr>
            <w:color w:val="2255A6"/>
            <w:spacing w:val="-7"/>
            <w:sz w:val="18"/>
            <w:u w:val="single" w:color="2255A6"/>
          </w:rPr>
          <w:t> </w:t>
        </w:r>
        <w:r>
          <w:rPr>
            <w:color w:val="2255A6"/>
            <w:sz w:val="18"/>
            <w:u w:val="single" w:color="2255A6"/>
          </w:rPr>
          <w:t>групповой</w:t>
        </w:r>
        <w:r>
          <w:rPr>
            <w:color w:val="2255A6"/>
            <w:spacing w:val="-8"/>
            <w:sz w:val="18"/>
            <w:u w:val="single" w:color="2255A6"/>
          </w:rPr>
          <w:t> </w:t>
        </w:r>
        <w:r>
          <w:rPr>
            <w:color w:val="2255A6"/>
            <w:sz w:val="18"/>
            <w:u w:val="single" w:color="2255A6"/>
          </w:rPr>
          <w:t>работы</w:t>
        </w:r>
        <w:r>
          <w:rPr>
            <w:color w:val="2255A6"/>
            <w:spacing w:val="-8"/>
            <w:sz w:val="18"/>
            <w:u w:val="single" w:color="2255A6"/>
          </w:rPr>
          <w:t> </w:t>
        </w:r>
        <w:r>
          <w:rPr>
            <w:color w:val="2255A6"/>
            <w:sz w:val="18"/>
            <w:u w:val="single" w:color="2255A6"/>
          </w:rPr>
          <w:t>в</w:t>
        </w:r>
        <w:r>
          <w:rPr>
            <w:color w:val="2255A6"/>
            <w:spacing w:val="-8"/>
            <w:sz w:val="18"/>
            <w:u w:val="single" w:color="2255A6"/>
          </w:rPr>
          <w:t> </w:t>
        </w:r>
        <w:r>
          <w:rPr>
            <w:color w:val="2255A6"/>
            <w:sz w:val="18"/>
            <w:u w:val="single" w:color="2255A6"/>
          </w:rPr>
          <w:t>поликультурном</w:t>
        </w:r>
        <w:r>
          <w:rPr>
            <w:color w:val="2255A6"/>
            <w:spacing w:val="-7"/>
            <w:sz w:val="18"/>
            <w:u w:val="single" w:color="2255A6"/>
          </w:rPr>
          <w:t> </w:t>
        </w:r>
        <w:r>
          <w:rPr>
            <w:color w:val="2255A6"/>
            <w:spacing w:val="-2"/>
            <w:sz w:val="18"/>
            <w:u w:val="single" w:color="2255A6"/>
          </w:rPr>
          <w:t>классе</w:t>
        </w:r>
        <w:r>
          <w:rPr>
            <w:color w:val="2255A6"/>
            <w:sz w:val="18"/>
          </w:rPr>
          <w:tab/>
        </w:r>
        <w:r>
          <w:rPr>
            <w:color w:val="231F20"/>
            <w:spacing w:val="-5"/>
            <w:sz w:val="18"/>
          </w:rPr>
          <w:t>14</w:t>
        </w:r>
      </w:hyperlink>
      <w:r>
        <w:rPr>
          <w:color w:val="231F20"/>
          <w:spacing w:val="-5"/>
          <w:sz w:val="18"/>
        </w:rPr>
        <w:t>5</w:t>
      </w:r>
    </w:p>
    <w:p>
      <w:pPr>
        <w:pStyle w:val="ListParagraph"/>
        <w:numPr>
          <w:ilvl w:val="2"/>
          <w:numId w:val="182"/>
        </w:numPr>
        <w:tabs>
          <w:tab w:pos="830" w:val="left" w:leader="none"/>
          <w:tab w:pos="7381" w:val="right" w:leader="dot"/>
        </w:tabs>
        <w:spacing w:line="240" w:lineRule="auto" w:before="21" w:after="0"/>
        <w:ind w:left="830" w:right="0" w:hanging="405"/>
        <w:jc w:val="left"/>
        <w:rPr>
          <w:sz w:val="18"/>
        </w:rPr>
      </w:pPr>
      <w:hyperlink w:history="true" w:anchor="_bookmark95">
        <w:r>
          <w:rPr>
            <w:color w:val="2255A6"/>
            <w:spacing w:val="-7"/>
            <w:sz w:val="18"/>
            <w:u w:val="single" w:color="2255A6"/>
          </w:rPr>
          <w:t> </w:t>
        </w:r>
        <w:r>
          <w:rPr>
            <w:color w:val="2255A6"/>
            <w:sz w:val="18"/>
            <w:u w:val="single" w:color="2255A6"/>
          </w:rPr>
          <w:t>​Подготовка</w:t>
        </w:r>
        <w:r>
          <w:rPr>
            <w:color w:val="2255A6"/>
            <w:spacing w:val="-7"/>
            <w:sz w:val="18"/>
            <w:u w:val="single" w:color="2255A6"/>
          </w:rPr>
          <w:t> </w:t>
        </w:r>
        <w:r>
          <w:rPr>
            <w:color w:val="2255A6"/>
            <w:sz w:val="18"/>
            <w:u w:val="single" w:color="2255A6"/>
          </w:rPr>
          <w:t>учащихся</w:t>
        </w:r>
        <w:r>
          <w:rPr>
            <w:color w:val="2255A6"/>
            <w:spacing w:val="-6"/>
            <w:sz w:val="18"/>
            <w:u w:val="single" w:color="2255A6"/>
          </w:rPr>
          <w:t> </w:t>
        </w:r>
        <w:r>
          <w:rPr>
            <w:color w:val="2255A6"/>
            <w:sz w:val="18"/>
            <w:u w:val="single" w:color="2255A6"/>
          </w:rPr>
          <w:t>к</w:t>
        </w:r>
        <w:r>
          <w:rPr>
            <w:color w:val="2255A6"/>
            <w:spacing w:val="-7"/>
            <w:sz w:val="18"/>
            <w:u w:val="single" w:color="2255A6"/>
          </w:rPr>
          <w:t> </w:t>
        </w:r>
        <w:r>
          <w:rPr>
            <w:color w:val="2255A6"/>
            <w:sz w:val="18"/>
            <w:u w:val="single" w:color="2255A6"/>
          </w:rPr>
          <w:t>обучению</w:t>
        </w:r>
        <w:r>
          <w:rPr>
            <w:color w:val="2255A6"/>
            <w:spacing w:val="-7"/>
            <w:sz w:val="18"/>
            <w:u w:val="single" w:color="2255A6"/>
          </w:rPr>
          <w:t> </w:t>
        </w:r>
        <w:r>
          <w:rPr>
            <w:color w:val="2255A6"/>
            <w:sz w:val="18"/>
            <w:u w:val="single" w:color="2255A6"/>
          </w:rPr>
          <w:t>в</w:t>
        </w:r>
        <w:r>
          <w:rPr>
            <w:color w:val="2255A6"/>
            <w:spacing w:val="-7"/>
            <w:sz w:val="18"/>
            <w:u w:val="single" w:color="2255A6"/>
          </w:rPr>
          <w:t> </w:t>
        </w:r>
        <w:r>
          <w:rPr>
            <w:color w:val="2255A6"/>
            <w:spacing w:val="-2"/>
            <w:sz w:val="18"/>
            <w:u w:val="single" w:color="2255A6"/>
          </w:rPr>
          <w:t>сотрудничестве</w:t>
        </w:r>
        <w:r>
          <w:rPr>
            <w:color w:val="2255A6"/>
            <w:sz w:val="18"/>
          </w:rPr>
          <w:tab/>
        </w:r>
        <w:r>
          <w:rPr>
            <w:color w:val="231F20"/>
            <w:spacing w:val="-5"/>
            <w:sz w:val="18"/>
          </w:rPr>
          <w:t>1</w:t>
        </w:r>
      </w:hyperlink>
      <w:r>
        <w:rPr>
          <w:color w:val="231F20"/>
          <w:spacing w:val="-5"/>
          <w:sz w:val="18"/>
        </w:rPr>
        <w:t>48</w:t>
      </w:r>
    </w:p>
    <w:p>
      <w:pPr>
        <w:pStyle w:val="ListParagraph"/>
        <w:numPr>
          <w:ilvl w:val="2"/>
          <w:numId w:val="182"/>
        </w:numPr>
        <w:tabs>
          <w:tab w:pos="830" w:val="left" w:leader="none"/>
          <w:tab w:pos="7381" w:val="right" w:leader="dot"/>
        </w:tabs>
        <w:spacing w:line="240" w:lineRule="auto" w:before="22" w:after="0"/>
        <w:ind w:left="830" w:right="0" w:hanging="405"/>
        <w:jc w:val="left"/>
        <w:rPr>
          <w:sz w:val="18"/>
        </w:rPr>
      </w:pPr>
      <w:hyperlink w:history="true" w:anchor="_bookmark96">
        <w:r>
          <w:rPr>
            <w:color w:val="2255A6"/>
            <w:spacing w:val="-9"/>
            <w:sz w:val="18"/>
            <w:u w:val="single" w:color="2255A6"/>
          </w:rPr>
          <w:t> </w:t>
        </w:r>
        <w:r>
          <w:rPr>
            <w:color w:val="2255A6"/>
            <w:sz w:val="18"/>
            <w:u w:val="single" w:color="2255A6"/>
          </w:rPr>
          <w:t>​Подготовка</w:t>
        </w:r>
        <w:r>
          <w:rPr>
            <w:color w:val="2255A6"/>
            <w:spacing w:val="-8"/>
            <w:sz w:val="18"/>
            <w:u w:val="single" w:color="2255A6"/>
          </w:rPr>
          <w:t> </w:t>
        </w:r>
        <w:r>
          <w:rPr>
            <w:color w:val="2255A6"/>
            <w:sz w:val="18"/>
            <w:u w:val="single" w:color="2255A6"/>
          </w:rPr>
          <w:t>педагогов</w:t>
        </w:r>
        <w:r>
          <w:rPr>
            <w:color w:val="2255A6"/>
            <w:spacing w:val="-10"/>
            <w:sz w:val="18"/>
            <w:u w:val="single" w:color="2255A6"/>
          </w:rPr>
          <w:t> </w:t>
        </w:r>
        <w:r>
          <w:rPr>
            <w:color w:val="2255A6"/>
            <w:sz w:val="18"/>
            <w:u w:val="single" w:color="2255A6"/>
          </w:rPr>
          <w:t>к</w:t>
        </w:r>
        <w:r>
          <w:rPr>
            <w:color w:val="2255A6"/>
            <w:spacing w:val="-8"/>
            <w:sz w:val="18"/>
            <w:u w:val="single" w:color="2255A6"/>
          </w:rPr>
          <w:t> </w:t>
        </w:r>
        <w:r>
          <w:rPr>
            <w:color w:val="2255A6"/>
            <w:sz w:val="18"/>
            <w:u w:val="single" w:color="2255A6"/>
          </w:rPr>
          <w:t>обучению</w:t>
        </w:r>
        <w:r>
          <w:rPr>
            <w:color w:val="2255A6"/>
            <w:spacing w:val="-9"/>
            <w:sz w:val="18"/>
            <w:u w:val="single" w:color="2255A6"/>
          </w:rPr>
          <w:t> </w:t>
        </w:r>
        <w:r>
          <w:rPr>
            <w:color w:val="2255A6"/>
            <w:sz w:val="18"/>
            <w:u w:val="single" w:color="2255A6"/>
          </w:rPr>
          <w:t>в</w:t>
        </w:r>
        <w:r>
          <w:rPr>
            <w:color w:val="2255A6"/>
            <w:spacing w:val="-9"/>
            <w:sz w:val="18"/>
            <w:u w:val="single" w:color="2255A6"/>
          </w:rPr>
          <w:t> </w:t>
        </w:r>
        <w:r>
          <w:rPr>
            <w:color w:val="2255A6"/>
            <w:spacing w:val="-2"/>
            <w:sz w:val="18"/>
            <w:u w:val="single" w:color="2255A6"/>
          </w:rPr>
          <w:t>сотрудничестве</w:t>
        </w:r>
        <w:r>
          <w:rPr>
            <w:color w:val="2255A6"/>
            <w:sz w:val="18"/>
          </w:rPr>
          <w:tab/>
        </w:r>
        <w:r>
          <w:rPr>
            <w:color w:val="231F20"/>
            <w:spacing w:val="-5"/>
            <w:sz w:val="18"/>
          </w:rPr>
          <w:t>15</w:t>
        </w:r>
      </w:hyperlink>
      <w:r>
        <w:rPr>
          <w:color w:val="231F20"/>
          <w:spacing w:val="-5"/>
          <w:sz w:val="18"/>
        </w:rPr>
        <w:t>6</w:t>
      </w:r>
    </w:p>
    <w:p>
      <w:pPr>
        <w:pStyle w:val="ListParagraph"/>
        <w:numPr>
          <w:ilvl w:val="2"/>
          <w:numId w:val="182"/>
        </w:numPr>
        <w:tabs>
          <w:tab w:pos="830" w:val="left" w:leader="none"/>
          <w:tab w:pos="7381" w:val="right" w:leader="dot"/>
        </w:tabs>
        <w:spacing w:line="240" w:lineRule="auto" w:before="21" w:after="0"/>
        <w:ind w:left="830" w:right="0" w:hanging="405"/>
        <w:jc w:val="left"/>
        <w:rPr>
          <w:sz w:val="18"/>
        </w:rPr>
      </w:pPr>
      <w:hyperlink w:history="true" w:anchor="_bookmark97">
        <w:r>
          <w:rPr>
            <w:color w:val="2255A6"/>
            <w:spacing w:val="-9"/>
            <w:sz w:val="18"/>
            <w:u w:val="single" w:color="2255A6"/>
          </w:rPr>
          <w:t> </w:t>
        </w:r>
        <w:r>
          <w:rPr>
            <w:color w:val="2255A6"/>
            <w:sz w:val="18"/>
            <w:u w:val="single" w:color="2255A6"/>
          </w:rPr>
          <w:t>​Сценарии</w:t>
        </w:r>
        <w:r>
          <w:rPr>
            <w:color w:val="2255A6"/>
            <w:spacing w:val="-8"/>
            <w:sz w:val="18"/>
            <w:u w:val="single" w:color="2255A6"/>
          </w:rPr>
          <w:t> </w:t>
        </w:r>
        <w:r>
          <w:rPr>
            <w:color w:val="2255A6"/>
            <w:sz w:val="18"/>
            <w:u w:val="single" w:color="2255A6"/>
          </w:rPr>
          <w:t>групповой</w:t>
        </w:r>
        <w:r>
          <w:rPr>
            <w:color w:val="2255A6"/>
            <w:spacing w:val="-9"/>
            <w:sz w:val="18"/>
            <w:u w:val="single" w:color="2255A6"/>
          </w:rPr>
          <w:t> </w:t>
        </w:r>
        <w:r>
          <w:rPr>
            <w:color w:val="2255A6"/>
            <w:sz w:val="18"/>
            <w:u w:val="single" w:color="2255A6"/>
          </w:rPr>
          <w:t>работы</w:t>
        </w:r>
        <w:r>
          <w:rPr>
            <w:color w:val="2255A6"/>
            <w:spacing w:val="-8"/>
            <w:sz w:val="18"/>
            <w:u w:val="single" w:color="2255A6"/>
          </w:rPr>
          <w:t> </w:t>
        </w:r>
        <w:r>
          <w:rPr>
            <w:color w:val="2255A6"/>
            <w:sz w:val="18"/>
            <w:u w:val="single" w:color="2255A6"/>
          </w:rPr>
          <w:t>в</w:t>
        </w:r>
        <w:r>
          <w:rPr>
            <w:color w:val="2255A6"/>
            <w:spacing w:val="-9"/>
            <w:sz w:val="18"/>
            <w:u w:val="single" w:color="2255A6"/>
          </w:rPr>
          <w:t> </w:t>
        </w:r>
        <w:r>
          <w:rPr>
            <w:color w:val="2255A6"/>
            <w:sz w:val="18"/>
            <w:u w:val="single" w:color="2255A6"/>
          </w:rPr>
          <w:t>поликультурном</w:t>
        </w:r>
        <w:r>
          <w:rPr>
            <w:color w:val="2255A6"/>
            <w:spacing w:val="-8"/>
            <w:sz w:val="18"/>
            <w:u w:val="single" w:color="2255A6"/>
          </w:rPr>
          <w:t> </w:t>
        </w:r>
        <w:r>
          <w:rPr>
            <w:color w:val="2255A6"/>
            <w:spacing w:val="-2"/>
            <w:sz w:val="18"/>
            <w:u w:val="single" w:color="2255A6"/>
          </w:rPr>
          <w:t>классе</w:t>
        </w:r>
        <w:r>
          <w:rPr>
            <w:color w:val="2255A6"/>
            <w:sz w:val="18"/>
          </w:rPr>
          <w:tab/>
        </w:r>
        <w:r>
          <w:rPr>
            <w:color w:val="231F20"/>
            <w:spacing w:val="-5"/>
            <w:sz w:val="18"/>
          </w:rPr>
          <w:t>16</w:t>
        </w:r>
      </w:hyperlink>
      <w:r>
        <w:rPr>
          <w:color w:val="231F20"/>
          <w:spacing w:val="-5"/>
          <w:sz w:val="18"/>
        </w:rPr>
        <w:t>2</w:t>
      </w:r>
    </w:p>
    <w:p>
      <w:pPr>
        <w:pStyle w:val="ListParagraph"/>
        <w:spacing w:after="0" w:line="240" w:lineRule="auto"/>
        <w:jc w:val="left"/>
        <w:rPr>
          <w:sz w:val="18"/>
        </w:rPr>
        <w:sectPr>
          <w:footerReference w:type="default" r:id="rId208"/>
          <w:pgSz w:w="8400" w:h="11910"/>
          <w:pgMar w:header="0" w:footer="540" w:top="720" w:bottom="740" w:left="425" w:right="425"/>
          <w:pgNumType w:start="3"/>
        </w:sectPr>
      </w:pPr>
    </w:p>
    <w:p>
      <w:pPr>
        <w:spacing w:before="73"/>
        <w:ind w:left="303" w:right="303" w:firstLine="0"/>
        <w:jc w:val="center"/>
        <w:rPr>
          <w:b/>
          <w:sz w:val="20"/>
        </w:rPr>
      </w:pPr>
      <w:bookmarkStart w:name="_bookmark73" w:id="75"/>
      <w:bookmarkEnd w:id="75"/>
      <w:r>
        <w:rPr/>
      </w:r>
      <w:r>
        <w:rPr>
          <w:b/>
          <w:color w:val="231F20"/>
          <w:spacing w:val="-2"/>
          <w:sz w:val="20"/>
        </w:rPr>
        <w:t>Введение</w:t>
      </w:r>
    </w:p>
    <w:p>
      <w:pPr>
        <w:pStyle w:val="BodyText"/>
        <w:spacing w:line="228" w:lineRule="auto" w:before="168"/>
      </w:pPr>
      <w:r>
        <w:rPr>
          <w:color w:val="231F20"/>
        </w:rPr>
        <w:t>Пакет инструментария посвящен описанию практик психолого-педагогического сопровождения процессов обучения, социальной, языковой и культурной адаптации детей иностранных граждан.</w:t>
      </w:r>
    </w:p>
    <w:p>
      <w:pPr>
        <w:pStyle w:val="BodyText"/>
        <w:spacing w:line="213" w:lineRule="exact"/>
        <w:ind w:left="425" w:right="0" w:firstLine="0"/>
      </w:pPr>
      <w:r>
        <w:rPr>
          <w:color w:val="231F20"/>
        </w:rPr>
        <w:t>Пакет</w:t>
      </w:r>
      <w:r>
        <w:rPr>
          <w:color w:val="231F20"/>
          <w:spacing w:val="-2"/>
        </w:rPr>
        <w:t> </w:t>
      </w:r>
      <w:r>
        <w:rPr>
          <w:color w:val="231F20"/>
        </w:rPr>
        <w:t>инструментария</w:t>
      </w:r>
      <w:r>
        <w:rPr>
          <w:color w:val="231F20"/>
          <w:spacing w:val="-2"/>
        </w:rPr>
        <w:t> </w:t>
      </w:r>
      <w:r>
        <w:rPr>
          <w:color w:val="231F20"/>
        </w:rPr>
        <w:t>состоит</w:t>
      </w:r>
      <w:r>
        <w:rPr>
          <w:color w:val="231F20"/>
          <w:spacing w:val="-2"/>
        </w:rPr>
        <w:t> </w:t>
      </w:r>
      <w:r>
        <w:rPr>
          <w:color w:val="231F20"/>
        </w:rPr>
        <w:t>из</w:t>
      </w:r>
      <w:r>
        <w:rPr>
          <w:color w:val="231F20"/>
          <w:spacing w:val="-2"/>
        </w:rPr>
        <w:t> </w:t>
      </w:r>
      <w:r>
        <w:rPr>
          <w:color w:val="231F20"/>
        </w:rPr>
        <w:t>четырех</w:t>
      </w:r>
      <w:r>
        <w:rPr>
          <w:color w:val="231F20"/>
          <w:spacing w:val="-1"/>
        </w:rPr>
        <w:t> </w:t>
      </w:r>
      <w:r>
        <w:rPr>
          <w:color w:val="231F20"/>
          <w:spacing w:val="-2"/>
        </w:rPr>
        <w:t>разделов.</w:t>
      </w:r>
    </w:p>
    <w:p>
      <w:pPr>
        <w:pStyle w:val="BodyText"/>
        <w:spacing w:line="228" w:lineRule="auto" w:before="3"/>
      </w:pPr>
      <w:r>
        <w:rPr>
          <w:color w:val="231F20"/>
        </w:rPr>
        <w:t>В первом разделе дано описание практик работы педагога-психолога по индиви- дуальной поддержке детей – иностранных граждан. Представлены приемы работы педагога-психолога</w:t>
      </w:r>
      <w:r>
        <w:rPr>
          <w:color w:val="231F20"/>
          <w:spacing w:val="-4"/>
        </w:rPr>
        <w:t> </w:t>
      </w:r>
      <w:r>
        <w:rPr>
          <w:color w:val="231F20"/>
        </w:rPr>
        <w:t>с</w:t>
      </w:r>
      <w:r>
        <w:rPr>
          <w:color w:val="231F20"/>
          <w:spacing w:val="-4"/>
        </w:rPr>
        <w:t> </w:t>
      </w:r>
      <w:r>
        <w:rPr>
          <w:color w:val="231F20"/>
        </w:rPr>
        <w:t>психологической</w:t>
      </w:r>
      <w:r>
        <w:rPr>
          <w:color w:val="231F20"/>
          <w:spacing w:val="-4"/>
        </w:rPr>
        <w:t> </w:t>
      </w:r>
      <w:r>
        <w:rPr>
          <w:color w:val="231F20"/>
        </w:rPr>
        <w:t>травмой,</w:t>
      </w:r>
      <w:r>
        <w:rPr>
          <w:color w:val="231F20"/>
          <w:spacing w:val="-4"/>
        </w:rPr>
        <w:t> </w:t>
      </w:r>
      <w:r>
        <w:rPr>
          <w:color w:val="231F20"/>
        </w:rPr>
        <w:t>изложен</w:t>
      </w:r>
      <w:r>
        <w:rPr>
          <w:color w:val="231F20"/>
          <w:spacing w:val="-4"/>
        </w:rPr>
        <w:t> </w:t>
      </w:r>
      <w:r>
        <w:rPr>
          <w:color w:val="231F20"/>
        </w:rPr>
        <w:t>метод</w:t>
      </w:r>
      <w:r>
        <w:rPr>
          <w:color w:val="231F20"/>
          <w:spacing w:val="-4"/>
        </w:rPr>
        <w:t> </w:t>
      </w:r>
      <w:r>
        <w:rPr>
          <w:color w:val="231F20"/>
        </w:rPr>
        <w:t>диалогического</w:t>
      </w:r>
      <w:r>
        <w:rPr>
          <w:color w:val="231F20"/>
          <w:spacing w:val="-5"/>
        </w:rPr>
        <w:t> </w:t>
      </w:r>
      <w:r>
        <w:rPr>
          <w:color w:val="231F20"/>
        </w:rPr>
        <w:t>рас- сказывания историй. Описаны приемы обсуждения трудностей, связанных со ста- новлением</w:t>
      </w:r>
      <w:r>
        <w:rPr>
          <w:color w:val="231F20"/>
          <w:spacing w:val="-4"/>
        </w:rPr>
        <w:t> </w:t>
      </w:r>
      <w:r>
        <w:rPr>
          <w:color w:val="231F20"/>
        </w:rPr>
        <w:t>этнической,</w:t>
      </w:r>
      <w:r>
        <w:rPr>
          <w:color w:val="231F20"/>
          <w:spacing w:val="-4"/>
        </w:rPr>
        <w:t> </w:t>
      </w:r>
      <w:r>
        <w:rPr>
          <w:color w:val="231F20"/>
        </w:rPr>
        <w:t>культурной</w:t>
      </w:r>
      <w:r>
        <w:rPr>
          <w:color w:val="231F20"/>
          <w:spacing w:val="-4"/>
        </w:rPr>
        <w:t> </w:t>
      </w:r>
      <w:r>
        <w:rPr>
          <w:color w:val="231F20"/>
        </w:rPr>
        <w:t>и</w:t>
      </w:r>
      <w:r>
        <w:rPr>
          <w:color w:val="231F20"/>
          <w:spacing w:val="-4"/>
        </w:rPr>
        <w:t> </w:t>
      </w:r>
      <w:r>
        <w:rPr>
          <w:color w:val="231F20"/>
        </w:rPr>
        <w:t>гражданской</w:t>
      </w:r>
      <w:r>
        <w:rPr>
          <w:color w:val="231F20"/>
          <w:spacing w:val="-4"/>
        </w:rPr>
        <w:t> </w:t>
      </w:r>
      <w:r>
        <w:rPr>
          <w:color w:val="231F20"/>
        </w:rPr>
        <w:t>идентичности</w:t>
      </w:r>
      <w:r>
        <w:rPr>
          <w:color w:val="231F20"/>
          <w:spacing w:val="-4"/>
        </w:rPr>
        <w:t> </w:t>
      </w:r>
      <w:r>
        <w:rPr>
          <w:color w:val="231F20"/>
        </w:rPr>
        <w:t>ребенка-</w:t>
      </w:r>
      <w:r>
        <w:rPr>
          <w:color w:val="231F20"/>
          <w:spacing w:val="-4"/>
        </w:rPr>
        <w:t> </w:t>
      </w:r>
      <w:r>
        <w:rPr>
          <w:color w:val="231F20"/>
        </w:rPr>
        <w:t>мигранта: описание</w:t>
      </w:r>
      <w:r>
        <w:rPr>
          <w:color w:val="231F20"/>
          <w:spacing w:val="-12"/>
        </w:rPr>
        <w:t> </w:t>
      </w:r>
      <w:r>
        <w:rPr>
          <w:color w:val="231F20"/>
        </w:rPr>
        <w:t>конкретных</w:t>
      </w:r>
      <w:r>
        <w:rPr>
          <w:color w:val="231F20"/>
          <w:spacing w:val="-11"/>
        </w:rPr>
        <w:t> </w:t>
      </w:r>
      <w:r>
        <w:rPr>
          <w:color w:val="231F20"/>
        </w:rPr>
        <w:t>активностей.</w:t>
      </w:r>
      <w:r>
        <w:rPr>
          <w:color w:val="231F20"/>
          <w:spacing w:val="-11"/>
        </w:rPr>
        <w:t> </w:t>
      </w:r>
      <w:r>
        <w:rPr>
          <w:color w:val="231F20"/>
        </w:rPr>
        <w:t>Приведено</w:t>
      </w:r>
      <w:r>
        <w:rPr>
          <w:color w:val="231F20"/>
          <w:spacing w:val="-11"/>
        </w:rPr>
        <w:t> </w:t>
      </w:r>
      <w:r>
        <w:rPr>
          <w:color w:val="231F20"/>
        </w:rPr>
        <w:t>методическое</w:t>
      </w:r>
      <w:r>
        <w:rPr>
          <w:color w:val="231F20"/>
          <w:spacing w:val="-11"/>
        </w:rPr>
        <w:t> </w:t>
      </w:r>
      <w:r>
        <w:rPr>
          <w:color w:val="231F20"/>
        </w:rPr>
        <w:t>руководство</w:t>
      </w:r>
      <w:r>
        <w:rPr>
          <w:color w:val="231F20"/>
          <w:spacing w:val="-11"/>
        </w:rPr>
        <w:t> </w:t>
      </w:r>
      <w:r>
        <w:rPr>
          <w:color w:val="231F20"/>
        </w:rPr>
        <w:t>по</w:t>
      </w:r>
      <w:r>
        <w:rPr>
          <w:color w:val="231F20"/>
          <w:spacing w:val="-11"/>
        </w:rPr>
        <w:t> </w:t>
      </w:r>
      <w:r>
        <w:rPr>
          <w:color w:val="231F20"/>
        </w:rPr>
        <w:t>исполь- зованию</w:t>
      </w:r>
      <w:r>
        <w:rPr>
          <w:color w:val="231F20"/>
          <w:spacing w:val="-13"/>
        </w:rPr>
        <w:t> </w:t>
      </w:r>
      <w:r>
        <w:rPr>
          <w:color w:val="231F20"/>
        </w:rPr>
        <w:t>ролевых</w:t>
      </w:r>
      <w:r>
        <w:rPr>
          <w:color w:val="231F20"/>
          <w:spacing w:val="-12"/>
        </w:rPr>
        <w:t> </w:t>
      </w:r>
      <w:r>
        <w:rPr>
          <w:color w:val="231F20"/>
        </w:rPr>
        <w:t>игр</w:t>
      </w:r>
      <w:r>
        <w:rPr>
          <w:color w:val="231F20"/>
          <w:spacing w:val="-13"/>
        </w:rPr>
        <w:t> </w:t>
      </w:r>
      <w:r>
        <w:rPr>
          <w:color w:val="231F20"/>
        </w:rPr>
        <w:t>в</w:t>
      </w:r>
      <w:r>
        <w:rPr>
          <w:color w:val="231F20"/>
          <w:spacing w:val="-12"/>
        </w:rPr>
        <w:t> </w:t>
      </w:r>
      <w:r>
        <w:rPr>
          <w:color w:val="231F20"/>
        </w:rPr>
        <w:t>индивидуальной</w:t>
      </w:r>
      <w:r>
        <w:rPr>
          <w:color w:val="231F20"/>
          <w:spacing w:val="-13"/>
        </w:rPr>
        <w:t> </w:t>
      </w:r>
      <w:r>
        <w:rPr>
          <w:color w:val="231F20"/>
        </w:rPr>
        <w:t>работе</w:t>
      </w:r>
      <w:r>
        <w:rPr>
          <w:color w:val="231F20"/>
          <w:spacing w:val="-12"/>
        </w:rPr>
        <w:t> </w:t>
      </w:r>
      <w:r>
        <w:rPr>
          <w:color w:val="231F20"/>
        </w:rPr>
        <w:t>с</w:t>
      </w:r>
      <w:r>
        <w:rPr>
          <w:color w:val="231F20"/>
          <w:spacing w:val="-13"/>
        </w:rPr>
        <w:t> </w:t>
      </w:r>
      <w:r>
        <w:rPr>
          <w:color w:val="231F20"/>
        </w:rPr>
        <w:t>детьми</w:t>
      </w:r>
      <w:r>
        <w:rPr>
          <w:color w:val="231F20"/>
          <w:spacing w:val="-12"/>
        </w:rPr>
        <w:t> </w:t>
      </w:r>
      <w:r>
        <w:rPr>
          <w:color w:val="231F20"/>
        </w:rPr>
        <w:t>иностранных</w:t>
      </w:r>
      <w:r>
        <w:rPr>
          <w:color w:val="231F20"/>
          <w:spacing w:val="-13"/>
        </w:rPr>
        <w:t> </w:t>
      </w:r>
      <w:r>
        <w:rPr>
          <w:color w:val="231F20"/>
        </w:rPr>
        <w:t>граждан.</w:t>
      </w:r>
      <w:r>
        <w:rPr>
          <w:color w:val="231F20"/>
          <w:spacing w:val="-12"/>
        </w:rPr>
        <w:t> </w:t>
      </w:r>
      <w:r>
        <w:rPr>
          <w:color w:val="231F20"/>
        </w:rPr>
        <w:t>Даны арт-терапевтические приемы поддержки адаптации на новом месте.</w:t>
      </w:r>
    </w:p>
    <w:p>
      <w:pPr>
        <w:pStyle w:val="BodyText"/>
        <w:spacing w:line="228" w:lineRule="auto"/>
      </w:pPr>
      <w:r>
        <w:rPr>
          <w:color w:val="231F20"/>
        </w:rPr>
        <w:t>Во втором разделе описаны практики сопровождения педагогического коллекти- ва. Описаны приемы обсуждения трудностей, связанных со становлением этниче- ской, культурной и гражданской идентичности ребенка-мигранта. Представлен ал- горитм разбора педагогического случая, связанного с адаптацией детей. Размещены программы</w:t>
      </w:r>
      <w:r>
        <w:rPr>
          <w:color w:val="231F20"/>
          <w:spacing w:val="-10"/>
        </w:rPr>
        <w:t> </w:t>
      </w:r>
      <w:r>
        <w:rPr>
          <w:color w:val="231F20"/>
        </w:rPr>
        <w:t>семинара</w:t>
      </w:r>
      <w:r>
        <w:rPr>
          <w:color w:val="231F20"/>
          <w:spacing w:val="-10"/>
        </w:rPr>
        <w:t> </w:t>
      </w:r>
      <w:r>
        <w:rPr>
          <w:color w:val="231F20"/>
        </w:rPr>
        <w:t>по</w:t>
      </w:r>
      <w:r>
        <w:rPr>
          <w:color w:val="231F20"/>
          <w:spacing w:val="-10"/>
        </w:rPr>
        <w:t> </w:t>
      </w:r>
      <w:r>
        <w:rPr>
          <w:color w:val="231F20"/>
        </w:rPr>
        <w:t>проблеме</w:t>
      </w:r>
      <w:r>
        <w:rPr>
          <w:color w:val="231F20"/>
          <w:spacing w:val="-10"/>
        </w:rPr>
        <w:t> </w:t>
      </w:r>
      <w:r>
        <w:rPr>
          <w:color w:val="231F20"/>
        </w:rPr>
        <w:t>педагогического</w:t>
      </w:r>
      <w:r>
        <w:rPr>
          <w:color w:val="231F20"/>
          <w:spacing w:val="-10"/>
        </w:rPr>
        <w:t> </w:t>
      </w:r>
      <w:r>
        <w:rPr>
          <w:color w:val="231F20"/>
        </w:rPr>
        <w:t>общения</w:t>
      </w:r>
      <w:r>
        <w:rPr>
          <w:color w:val="231F20"/>
          <w:spacing w:val="-10"/>
        </w:rPr>
        <w:t> </w:t>
      </w:r>
      <w:r>
        <w:rPr>
          <w:color w:val="231F20"/>
        </w:rPr>
        <w:t>в</w:t>
      </w:r>
      <w:r>
        <w:rPr>
          <w:color w:val="231F20"/>
          <w:spacing w:val="-11"/>
        </w:rPr>
        <w:t> </w:t>
      </w:r>
      <w:r>
        <w:rPr>
          <w:color w:val="231F20"/>
        </w:rPr>
        <w:t>поликультурном</w:t>
      </w:r>
      <w:r>
        <w:rPr>
          <w:color w:val="231F20"/>
          <w:spacing w:val="-10"/>
        </w:rPr>
        <w:t> </w:t>
      </w:r>
      <w:r>
        <w:rPr>
          <w:color w:val="231F20"/>
        </w:rPr>
        <w:t>клас- се и тренинга управленческих команд регионов.</w:t>
      </w:r>
    </w:p>
    <w:p>
      <w:pPr>
        <w:pStyle w:val="BodyText"/>
        <w:spacing w:line="228" w:lineRule="auto"/>
      </w:pPr>
      <w:r>
        <w:rPr>
          <w:color w:val="231F20"/>
        </w:rPr>
        <w:t>В третьем разделе представлены практики работы педагога с родителями несо- вершеннолетних</w:t>
      </w:r>
      <w:r>
        <w:rPr>
          <w:color w:val="231F20"/>
          <w:spacing w:val="-9"/>
        </w:rPr>
        <w:t> </w:t>
      </w:r>
      <w:r>
        <w:rPr>
          <w:color w:val="231F20"/>
        </w:rPr>
        <w:t>иностранных</w:t>
      </w:r>
      <w:r>
        <w:rPr>
          <w:color w:val="231F20"/>
          <w:spacing w:val="-9"/>
        </w:rPr>
        <w:t> </w:t>
      </w:r>
      <w:r>
        <w:rPr>
          <w:color w:val="231F20"/>
        </w:rPr>
        <w:t>граждан.</w:t>
      </w:r>
      <w:r>
        <w:rPr>
          <w:color w:val="231F20"/>
          <w:spacing w:val="-9"/>
        </w:rPr>
        <w:t> </w:t>
      </w:r>
      <w:r>
        <w:rPr>
          <w:color w:val="231F20"/>
        </w:rPr>
        <w:t>Дано</w:t>
      </w:r>
      <w:r>
        <w:rPr>
          <w:color w:val="231F20"/>
          <w:spacing w:val="-9"/>
        </w:rPr>
        <w:t> </w:t>
      </w:r>
      <w:r>
        <w:rPr>
          <w:color w:val="231F20"/>
        </w:rPr>
        <w:t>описание</w:t>
      </w:r>
      <w:r>
        <w:rPr>
          <w:color w:val="231F20"/>
          <w:spacing w:val="-9"/>
        </w:rPr>
        <w:t> </w:t>
      </w:r>
      <w:r>
        <w:rPr>
          <w:color w:val="231F20"/>
        </w:rPr>
        <w:t>приветственных</w:t>
      </w:r>
      <w:r>
        <w:rPr>
          <w:color w:val="231F20"/>
          <w:spacing w:val="-9"/>
        </w:rPr>
        <w:t> </w:t>
      </w:r>
      <w:r>
        <w:rPr>
          <w:color w:val="231F20"/>
        </w:rPr>
        <w:t>семинаров</w:t>
      </w:r>
      <w:r>
        <w:rPr>
          <w:color w:val="231F20"/>
          <w:spacing w:val="-9"/>
        </w:rPr>
        <w:t> </w:t>
      </w:r>
      <w:r>
        <w:rPr>
          <w:color w:val="231F20"/>
        </w:rPr>
        <w:t>и неформальных родительских собраний.</w:t>
      </w:r>
    </w:p>
    <w:p>
      <w:pPr>
        <w:pStyle w:val="BodyText"/>
        <w:spacing w:line="228" w:lineRule="auto"/>
      </w:pPr>
      <w:r>
        <w:rPr>
          <w:color w:val="231F20"/>
        </w:rPr>
        <w:t>В четвертом разделе описаны практики работы педагога с ученическим сооб- ществом: отдельным классом и школой в целом. Это активности межкультурного тренинга для поликультурного класса, программа проведения технологии «Живая библиотека» и программа организации деятельности по осуществлению групповой учебной работы учащихся в поликультурном классе.</w:t>
      </w:r>
    </w:p>
    <w:p>
      <w:pPr>
        <w:pStyle w:val="BodyText"/>
        <w:spacing w:line="232" w:lineRule="auto"/>
      </w:pPr>
      <w:r>
        <w:rPr>
          <w:color w:val="231F20"/>
        </w:rPr>
        <w:t>Пакет инструментария подготовлен в рамках НИР «Научно-методическая разра- ботка и апробация системы выявления особых образовательных потребностей несо- вершеннолетних иностранных граждан и необходимого психолого-педагогического </w:t>
      </w:r>
      <w:r>
        <w:rPr>
          <w:color w:val="231F20"/>
          <w:spacing w:val="-2"/>
        </w:rPr>
        <w:t>сопровождения</w:t>
      </w:r>
      <w:r>
        <w:rPr>
          <w:color w:val="231F20"/>
          <w:spacing w:val="-7"/>
        </w:rPr>
        <w:t> </w:t>
      </w:r>
      <w:r>
        <w:rPr>
          <w:color w:val="231F20"/>
          <w:spacing w:val="-2"/>
        </w:rPr>
        <w:t>процессов</w:t>
      </w:r>
      <w:r>
        <w:rPr>
          <w:color w:val="231F20"/>
          <w:spacing w:val="-7"/>
        </w:rPr>
        <w:t> </w:t>
      </w:r>
      <w:r>
        <w:rPr>
          <w:color w:val="231F20"/>
          <w:spacing w:val="-2"/>
        </w:rPr>
        <w:t>их</w:t>
      </w:r>
      <w:r>
        <w:rPr>
          <w:color w:val="231F20"/>
          <w:spacing w:val="-7"/>
        </w:rPr>
        <w:t> </w:t>
      </w:r>
      <w:r>
        <w:rPr>
          <w:color w:val="231F20"/>
          <w:spacing w:val="-2"/>
        </w:rPr>
        <w:t>обучения,</w:t>
      </w:r>
      <w:r>
        <w:rPr>
          <w:color w:val="231F20"/>
          <w:spacing w:val="-7"/>
        </w:rPr>
        <w:t> </w:t>
      </w:r>
      <w:r>
        <w:rPr>
          <w:color w:val="231F20"/>
          <w:spacing w:val="-2"/>
        </w:rPr>
        <w:t>социальной</w:t>
      </w:r>
      <w:r>
        <w:rPr>
          <w:color w:val="231F20"/>
          <w:spacing w:val="36"/>
        </w:rPr>
        <w:t> </w:t>
      </w:r>
      <w:r>
        <w:rPr>
          <w:color w:val="231F20"/>
          <w:spacing w:val="-2"/>
        </w:rPr>
        <w:t>и</w:t>
      </w:r>
      <w:r>
        <w:rPr>
          <w:color w:val="231F20"/>
          <w:spacing w:val="-7"/>
        </w:rPr>
        <w:t> </w:t>
      </w:r>
      <w:r>
        <w:rPr>
          <w:color w:val="231F20"/>
          <w:spacing w:val="-2"/>
        </w:rPr>
        <w:t>культурной</w:t>
      </w:r>
      <w:r>
        <w:rPr>
          <w:color w:val="231F20"/>
          <w:spacing w:val="-7"/>
        </w:rPr>
        <w:t> </w:t>
      </w:r>
      <w:r>
        <w:rPr>
          <w:color w:val="231F20"/>
          <w:spacing w:val="-2"/>
        </w:rPr>
        <w:t>адаптации»,</w:t>
      </w:r>
      <w:r>
        <w:rPr>
          <w:color w:val="231F20"/>
          <w:spacing w:val="-7"/>
        </w:rPr>
        <w:t> </w:t>
      </w:r>
      <w:r>
        <w:rPr>
          <w:color w:val="231F20"/>
          <w:spacing w:val="-2"/>
        </w:rPr>
        <w:t>выпол- </w:t>
      </w:r>
      <w:r>
        <w:rPr>
          <w:color w:val="231F20"/>
        </w:rPr>
        <w:t>няемого в рамках государственного задания ФГБОУ ВО МГППУ на 2022 г. (приказ Министерства</w:t>
      </w:r>
      <w:r>
        <w:rPr>
          <w:color w:val="231F20"/>
          <w:spacing w:val="-10"/>
        </w:rPr>
        <w:t> </w:t>
      </w:r>
      <w:r>
        <w:rPr>
          <w:color w:val="231F20"/>
        </w:rPr>
        <w:t>просвещения</w:t>
      </w:r>
      <w:r>
        <w:rPr>
          <w:color w:val="231F20"/>
          <w:spacing w:val="-7"/>
        </w:rPr>
        <w:t> </w:t>
      </w:r>
      <w:r>
        <w:rPr>
          <w:color w:val="231F20"/>
        </w:rPr>
        <w:t>РФ</w:t>
      </w:r>
      <w:r>
        <w:rPr>
          <w:color w:val="231F20"/>
          <w:spacing w:val="-8"/>
        </w:rPr>
        <w:t> </w:t>
      </w:r>
      <w:r>
        <w:rPr>
          <w:color w:val="231F20"/>
        </w:rPr>
        <w:t>№</w:t>
      </w:r>
      <w:r>
        <w:rPr>
          <w:color w:val="231F20"/>
          <w:spacing w:val="-13"/>
        </w:rPr>
        <w:t> </w:t>
      </w:r>
      <w:r>
        <w:rPr>
          <w:color w:val="231F20"/>
        </w:rPr>
        <w:t>1021</w:t>
      </w:r>
      <w:r>
        <w:rPr>
          <w:color w:val="231F20"/>
          <w:spacing w:val="-7"/>
        </w:rPr>
        <w:t> </w:t>
      </w:r>
      <w:r>
        <w:rPr>
          <w:color w:val="231F20"/>
        </w:rPr>
        <w:t>от</w:t>
      </w:r>
      <w:r>
        <w:rPr>
          <w:color w:val="231F20"/>
          <w:spacing w:val="-7"/>
        </w:rPr>
        <w:t> </w:t>
      </w:r>
      <w:r>
        <w:rPr>
          <w:color w:val="231F20"/>
        </w:rPr>
        <w:t>27.12.2021),</w:t>
      </w:r>
      <w:r>
        <w:rPr>
          <w:color w:val="231F20"/>
          <w:spacing w:val="-8"/>
        </w:rPr>
        <w:t> </w:t>
      </w:r>
      <w:r>
        <w:rPr>
          <w:color w:val="231F20"/>
        </w:rPr>
        <w:t>в</w:t>
      </w:r>
      <w:r>
        <w:rPr>
          <w:color w:val="231F20"/>
          <w:spacing w:val="-7"/>
        </w:rPr>
        <w:t> </w:t>
      </w:r>
      <w:r>
        <w:rPr>
          <w:color w:val="231F20"/>
        </w:rPr>
        <w:t>том</w:t>
      </w:r>
      <w:r>
        <w:rPr>
          <w:color w:val="231F20"/>
          <w:spacing w:val="-8"/>
        </w:rPr>
        <w:t> </w:t>
      </w:r>
      <w:r>
        <w:rPr>
          <w:color w:val="231F20"/>
        </w:rPr>
        <w:t>числе</w:t>
      </w:r>
      <w:r>
        <w:rPr>
          <w:color w:val="231F20"/>
          <w:spacing w:val="-8"/>
        </w:rPr>
        <w:t> </w:t>
      </w:r>
      <w:r>
        <w:rPr>
          <w:color w:val="231F20"/>
        </w:rPr>
        <w:t>посредством</w:t>
      </w:r>
      <w:r>
        <w:rPr>
          <w:color w:val="231F20"/>
          <w:spacing w:val="-7"/>
        </w:rPr>
        <w:t> </w:t>
      </w:r>
      <w:r>
        <w:rPr>
          <w:color w:val="231F20"/>
        </w:rPr>
        <w:t>про- ведения программы дополнительного профессионального образования «Психолого- педагогическая оценка особых образовательных потребностей детей иностранных граждан в сферах психологического благополучия, социальных навыков и культур- ной адаптации».</w:t>
      </w:r>
    </w:p>
    <w:p>
      <w:pPr>
        <w:pStyle w:val="BodyText"/>
        <w:spacing w:line="232" w:lineRule="auto"/>
      </w:pPr>
      <w:r>
        <w:rPr>
          <w:color w:val="231F20"/>
        </w:rPr>
        <w:t>При планировании и организации деятельности следует основываться на опи- сании программы психолого-педагогического сопровождения процессов обучения, социальной, языковой и культурной адаптации детей иностранных граждан, в т.ч. организационно-управленческих механизмах ее реализации,</w:t>
      </w:r>
      <w:r>
        <w:rPr>
          <w:color w:val="231F20"/>
          <w:spacing w:val="40"/>
        </w:rPr>
        <w:t> </w:t>
      </w:r>
      <w:r>
        <w:rPr>
          <w:color w:val="231F20"/>
        </w:rPr>
        <w:t>представленных в Ме- тодических рекомендациях по проведению программы психолого-педагогического сопровождения процессов обучения, социальной, языковой и культурной адаптации детей иностранных граждан.</w:t>
      </w:r>
    </w:p>
    <w:p>
      <w:pPr>
        <w:pStyle w:val="BodyText"/>
        <w:spacing w:line="232" w:lineRule="auto"/>
      </w:pPr>
      <w:r>
        <w:rPr>
          <w:color w:val="231F20"/>
        </w:rPr>
        <w:t>В 2023 году была проведена апробация программы и осуществлен мониторинг эффективности</w:t>
      </w:r>
      <w:r>
        <w:rPr>
          <w:color w:val="231F20"/>
          <w:spacing w:val="14"/>
        </w:rPr>
        <w:t> </w:t>
      </w:r>
      <w:r>
        <w:rPr>
          <w:color w:val="231F20"/>
        </w:rPr>
        <w:t>ее</w:t>
      </w:r>
      <w:r>
        <w:rPr>
          <w:color w:val="231F20"/>
          <w:spacing w:val="15"/>
        </w:rPr>
        <w:t> </w:t>
      </w:r>
      <w:r>
        <w:rPr>
          <w:color w:val="231F20"/>
        </w:rPr>
        <w:t>реализации</w:t>
      </w:r>
      <w:r>
        <w:rPr>
          <w:color w:val="231F20"/>
          <w:spacing w:val="15"/>
        </w:rPr>
        <w:t> </w:t>
      </w:r>
      <w:r>
        <w:rPr>
          <w:color w:val="231F20"/>
        </w:rPr>
        <w:t>(для</w:t>
      </w:r>
      <w:r>
        <w:rPr>
          <w:color w:val="231F20"/>
          <w:spacing w:val="14"/>
        </w:rPr>
        <w:t> </w:t>
      </w:r>
      <w:r>
        <w:rPr>
          <w:color w:val="231F20"/>
        </w:rPr>
        <w:t>несовершеннолетних</w:t>
      </w:r>
      <w:r>
        <w:rPr>
          <w:color w:val="231F20"/>
          <w:spacing w:val="15"/>
        </w:rPr>
        <w:t> </w:t>
      </w:r>
      <w:r>
        <w:rPr>
          <w:color w:val="231F20"/>
        </w:rPr>
        <w:t>иностранных</w:t>
      </w:r>
      <w:r>
        <w:rPr>
          <w:color w:val="231F20"/>
          <w:spacing w:val="15"/>
        </w:rPr>
        <w:t> </w:t>
      </w:r>
      <w:r>
        <w:rPr>
          <w:color w:val="231F20"/>
        </w:rPr>
        <w:t>граждан,</w:t>
      </w:r>
      <w:r>
        <w:rPr>
          <w:color w:val="231F20"/>
          <w:spacing w:val="15"/>
        </w:rPr>
        <w:t> </w:t>
      </w:r>
      <w:r>
        <w:rPr>
          <w:color w:val="231F20"/>
          <w:spacing w:val="-5"/>
        </w:rPr>
        <w:t>об-</w:t>
      </w:r>
    </w:p>
    <w:p>
      <w:pPr>
        <w:pStyle w:val="BodyText"/>
        <w:spacing w:after="0" w:line="232" w:lineRule="auto"/>
        <w:sectPr>
          <w:pgSz w:w="8400" w:h="11910"/>
          <w:pgMar w:header="0" w:footer="540" w:top="720" w:bottom="740" w:left="425" w:right="425"/>
        </w:sectPr>
      </w:pPr>
    </w:p>
    <w:p>
      <w:pPr>
        <w:spacing w:before="80"/>
        <w:ind w:left="141" w:right="0" w:firstLine="0"/>
        <w:jc w:val="left"/>
        <w:rPr>
          <w:rFonts w:ascii="Georgia" w:hAnsi="Georgia"/>
          <w:sz w:val="18"/>
        </w:rPr>
      </w:pPr>
      <w:r>
        <w:rPr>
          <w:rFonts w:ascii="Georgia" w:hAnsi="Georgia"/>
          <w:color w:val="231F20"/>
          <w:spacing w:val="-2"/>
          <w:sz w:val="18"/>
        </w:rPr>
        <w:t>Введение</w:t>
      </w:r>
    </w:p>
    <w:p>
      <w:pPr>
        <w:pStyle w:val="BodyText"/>
        <w:spacing w:line="232" w:lineRule="auto" w:before="118"/>
        <w:ind w:firstLine="0"/>
      </w:pPr>
      <w:r>
        <w:rPr>
          <w:color w:val="231F20"/>
        </w:rPr>
        <w:t>учающихся в условиях общеобразовательной школы). В апробации программы пси- холого-педагогического сопровождения приняли участие 1479 обучающихся из 101 образовательной</w:t>
      </w:r>
      <w:r>
        <w:rPr>
          <w:color w:val="231F20"/>
          <w:spacing w:val="-1"/>
        </w:rPr>
        <w:t> </w:t>
      </w:r>
      <w:r>
        <w:rPr>
          <w:color w:val="231F20"/>
        </w:rPr>
        <w:t>организации</w:t>
      </w:r>
      <w:r>
        <w:rPr>
          <w:color w:val="231F20"/>
          <w:spacing w:val="-1"/>
        </w:rPr>
        <w:t> </w:t>
      </w:r>
      <w:r>
        <w:rPr>
          <w:color w:val="231F20"/>
        </w:rPr>
        <w:t>21</w:t>
      </w:r>
      <w:r>
        <w:rPr>
          <w:color w:val="231F20"/>
          <w:spacing w:val="-1"/>
        </w:rPr>
        <w:t> </w:t>
      </w:r>
      <w:r>
        <w:rPr>
          <w:color w:val="231F20"/>
        </w:rPr>
        <w:t>региона</w:t>
      </w:r>
      <w:r>
        <w:rPr>
          <w:color w:val="231F20"/>
          <w:spacing w:val="-2"/>
        </w:rPr>
        <w:t> </w:t>
      </w:r>
      <w:r>
        <w:rPr>
          <w:color w:val="231F20"/>
        </w:rPr>
        <w:t>России.</w:t>
      </w:r>
      <w:r>
        <w:rPr>
          <w:color w:val="231F20"/>
          <w:spacing w:val="-1"/>
        </w:rPr>
        <w:t> </w:t>
      </w:r>
      <w:r>
        <w:rPr>
          <w:color w:val="231F20"/>
        </w:rPr>
        <w:t>Из</w:t>
      </w:r>
      <w:r>
        <w:rPr>
          <w:color w:val="231F20"/>
          <w:spacing w:val="-1"/>
        </w:rPr>
        <w:t> </w:t>
      </w:r>
      <w:r>
        <w:rPr>
          <w:color w:val="231F20"/>
        </w:rPr>
        <w:t>них</w:t>
      </w:r>
      <w:r>
        <w:rPr>
          <w:color w:val="231F20"/>
          <w:spacing w:val="-1"/>
        </w:rPr>
        <w:t> </w:t>
      </w:r>
      <w:r>
        <w:rPr>
          <w:color w:val="231F20"/>
        </w:rPr>
        <w:t>–</w:t>
      </w:r>
      <w:r>
        <w:rPr>
          <w:color w:val="231F20"/>
          <w:spacing w:val="-1"/>
        </w:rPr>
        <w:t> </w:t>
      </w:r>
      <w:r>
        <w:rPr>
          <w:color w:val="231F20"/>
        </w:rPr>
        <w:t>358</w:t>
      </w:r>
      <w:r>
        <w:rPr>
          <w:color w:val="231F20"/>
          <w:spacing w:val="-1"/>
        </w:rPr>
        <w:t> </w:t>
      </w:r>
      <w:r>
        <w:rPr>
          <w:color w:val="231F20"/>
        </w:rPr>
        <w:t>несовершеннолетних иностранных</w:t>
      </w:r>
      <w:r>
        <w:rPr>
          <w:color w:val="231F20"/>
          <w:spacing w:val="-8"/>
        </w:rPr>
        <w:t> </w:t>
      </w:r>
      <w:r>
        <w:rPr>
          <w:color w:val="231F20"/>
        </w:rPr>
        <w:t>граждан,</w:t>
      </w:r>
      <w:r>
        <w:rPr>
          <w:color w:val="231F20"/>
          <w:spacing w:val="-8"/>
        </w:rPr>
        <w:t> </w:t>
      </w:r>
      <w:r>
        <w:rPr>
          <w:color w:val="231F20"/>
        </w:rPr>
        <w:t>страна</w:t>
      </w:r>
      <w:r>
        <w:rPr>
          <w:color w:val="231F20"/>
          <w:spacing w:val="-8"/>
        </w:rPr>
        <w:t> </w:t>
      </w:r>
      <w:r>
        <w:rPr>
          <w:color w:val="231F20"/>
        </w:rPr>
        <w:t>происхождения</w:t>
      </w:r>
      <w:r>
        <w:rPr>
          <w:color w:val="231F20"/>
          <w:spacing w:val="-8"/>
        </w:rPr>
        <w:t> </w:t>
      </w:r>
      <w:r>
        <w:rPr>
          <w:color w:val="231F20"/>
        </w:rPr>
        <w:t>которых:</w:t>
      </w:r>
      <w:r>
        <w:rPr>
          <w:color w:val="231F20"/>
          <w:spacing w:val="-8"/>
        </w:rPr>
        <w:t> </w:t>
      </w:r>
      <w:r>
        <w:rPr>
          <w:color w:val="231F20"/>
        </w:rPr>
        <w:t>Казахстан,</w:t>
      </w:r>
      <w:r>
        <w:rPr>
          <w:color w:val="231F20"/>
          <w:spacing w:val="-8"/>
        </w:rPr>
        <w:t> </w:t>
      </w:r>
      <w:r>
        <w:rPr>
          <w:color w:val="231F20"/>
        </w:rPr>
        <w:t>Кыргызстан,</w:t>
      </w:r>
      <w:r>
        <w:rPr>
          <w:color w:val="231F20"/>
          <w:spacing w:val="-8"/>
        </w:rPr>
        <w:t> </w:t>
      </w:r>
      <w:r>
        <w:rPr>
          <w:color w:val="231F20"/>
        </w:rPr>
        <w:t>Тад- жикистан, Украина, Армения, Азербайджан, Молдова. В апробации принимали уча- стие 155 педагогов и педагогов-психологов и 66 родителей.</w:t>
      </w:r>
    </w:p>
    <w:p>
      <w:pPr>
        <w:pStyle w:val="BodyText"/>
        <w:spacing w:line="232" w:lineRule="auto"/>
      </w:pPr>
      <w:r>
        <w:rPr>
          <w:color w:val="231F20"/>
          <w:spacing w:val="-2"/>
        </w:rPr>
        <w:t>Итоги апробации позволяют утверждать, что психолого-педагогические практики, </w:t>
      </w:r>
      <w:r>
        <w:rPr>
          <w:color w:val="231F20"/>
        </w:rPr>
        <w:t>включенные в программу психолого-педагогического сопровождения процессов об- учения,</w:t>
      </w:r>
      <w:r>
        <w:rPr>
          <w:color w:val="231F20"/>
          <w:spacing w:val="-1"/>
        </w:rPr>
        <w:t> </w:t>
      </w:r>
      <w:r>
        <w:rPr>
          <w:color w:val="231F20"/>
        </w:rPr>
        <w:t>социальной,</w:t>
      </w:r>
      <w:r>
        <w:rPr>
          <w:color w:val="231F20"/>
          <w:spacing w:val="-1"/>
        </w:rPr>
        <w:t> </w:t>
      </w:r>
      <w:r>
        <w:rPr>
          <w:color w:val="231F20"/>
        </w:rPr>
        <w:t>языковой</w:t>
      </w:r>
      <w:r>
        <w:rPr>
          <w:color w:val="231F20"/>
          <w:spacing w:val="-1"/>
        </w:rPr>
        <w:t> </w:t>
      </w:r>
      <w:r>
        <w:rPr>
          <w:color w:val="231F20"/>
        </w:rPr>
        <w:t>и</w:t>
      </w:r>
      <w:r>
        <w:rPr>
          <w:color w:val="231F20"/>
          <w:spacing w:val="-1"/>
        </w:rPr>
        <w:t> </w:t>
      </w:r>
      <w:r>
        <w:rPr>
          <w:color w:val="231F20"/>
        </w:rPr>
        <w:t>культурной</w:t>
      </w:r>
      <w:r>
        <w:rPr>
          <w:color w:val="231F20"/>
          <w:spacing w:val="-1"/>
        </w:rPr>
        <w:t> </w:t>
      </w:r>
      <w:r>
        <w:rPr>
          <w:color w:val="231F20"/>
        </w:rPr>
        <w:t>адаптации</w:t>
      </w:r>
      <w:r>
        <w:rPr>
          <w:color w:val="231F20"/>
          <w:spacing w:val="-1"/>
        </w:rPr>
        <w:t> </w:t>
      </w:r>
      <w:r>
        <w:rPr>
          <w:color w:val="231F20"/>
        </w:rPr>
        <w:t>детей</w:t>
      </w:r>
      <w:r>
        <w:rPr>
          <w:color w:val="231F20"/>
          <w:spacing w:val="-1"/>
        </w:rPr>
        <w:t> </w:t>
      </w:r>
      <w:r>
        <w:rPr>
          <w:color w:val="231F20"/>
        </w:rPr>
        <w:t>иностранных</w:t>
      </w:r>
      <w:r>
        <w:rPr>
          <w:color w:val="231F20"/>
          <w:spacing w:val="-1"/>
        </w:rPr>
        <w:t> </w:t>
      </w:r>
      <w:r>
        <w:rPr>
          <w:color w:val="231F20"/>
        </w:rPr>
        <w:t>граждан, действительно способствуют решению декларируемых в ней задач: дети-мигранты, принимавшие участие в мероприятиях, демонстрируют позитивную динамику пре- жде</w:t>
      </w:r>
      <w:r>
        <w:rPr>
          <w:color w:val="231F20"/>
          <w:spacing w:val="-7"/>
        </w:rPr>
        <w:t> </w:t>
      </w:r>
      <w:r>
        <w:rPr>
          <w:color w:val="231F20"/>
        </w:rPr>
        <w:t>всего</w:t>
      </w:r>
      <w:r>
        <w:rPr>
          <w:color w:val="231F20"/>
          <w:spacing w:val="-7"/>
        </w:rPr>
        <w:t> </w:t>
      </w:r>
      <w:r>
        <w:rPr>
          <w:color w:val="231F20"/>
        </w:rPr>
        <w:t>в</w:t>
      </w:r>
      <w:r>
        <w:rPr>
          <w:color w:val="231F20"/>
          <w:spacing w:val="-7"/>
        </w:rPr>
        <w:t> </w:t>
      </w:r>
      <w:r>
        <w:rPr>
          <w:color w:val="231F20"/>
        </w:rPr>
        <w:t>области</w:t>
      </w:r>
      <w:r>
        <w:rPr>
          <w:color w:val="231F20"/>
          <w:spacing w:val="-7"/>
        </w:rPr>
        <w:t> </w:t>
      </w:r>
      <w:r>
        <w:rPr>
          <w:color w:val="231F20"/>
        </w:rPr>
        <w:t>психологического</w:t>
      </w:r>
      <w:r>
        <w:rPr>
          <w:color w:val="231F20"/>
          <w:spacing w:val="-7"/>
        </w:rPr>
        <w:t> </w:t>
      </w:r>
      <w:r>
        <w:rPr>
          <w:color w:val="231F20"/>
        </w:rPr>
        <w:t>благополучия</w:t>
      </w:r>
      <w:r>
        <w:rPr>
          <w:color w:val="231F20"/>
          <w:spacing w:val="-7"/>
        </w:rPr>
        <w:t> </w:t>
      </w:r>
      <w:r>
        <w:rPr>
          <w:color w:val="231F20"/>
        </w:rPr>
        <w:t>и</w:t>
      </w:r>
      <w:r>
        <w:rPr>
          <w:color w:val="231F20"/>
          <w:spacing w:val="-7"/>
        </w:rPr>
        <w:t> </w:t>
      </w:r>
      <w:r>
        <w:rPr>
          <w:color w:val="231F20"/>
        </w:rPr>
        <w:t>культурной</w:t>
      </w:r>
      <w:r>
        <w:rPr>
          <w:color w:val="231F20"/>
          <w:spacing w:val="-7"/>
        </w:rPr>
        <w:t> </w:t>
      </w:r>
      <w:r>
        <w:rPr>
          <w:color w:val="231F20"/>
        </w:rPr>
        <w:t>адаптации,</w:t>
      </w:r>
      <w:r>
        <w:rPr>
          <w:color w:val="231F20"/>
          <w:spacing w:val="-7"/>
        </w:rPr>
        <w:t> </w:t>
      </w:r>
      <w:r>
        <w:rPr>
          <w:color w:val="231F20"/>
        </w:rPr>
        <w:t>а</w:t>
      </w:r>
      <w:r>
        <w:rPr>
          <w:color w:val="231F20"/>
          <w:spacing w:val="-7"/>
        </w:rPr>
        <w:t> </w:t>
      </w:r>
      <w:r>
        <w:rPr>
          <w:color w:val="231F20"/>
        </w:rPr>
        <w:t>в</w:t>
      </w:r>
      <w:r>
        <w:rPr>
          <w:color w:val="231F20"/>
          <w:spacing w:val="-7"/>
        </w:rPr>
        <w:t> </w:t>
      </w:r>
      <w:r>
        <w:rPr>
          <w:color w:val="231F20"/>
        </w:rPr>
        <w:t>от- сроченной</w:t>
      </w:r>
      <w:r>
        <w:rPr>
          <w:color w:val="231F20"/>
          <w:spacing w:val="-13"/>
        </w:rPr>
        <w:t> </w:t>
      </w:r>
      <w:r>
        <w:rPr>
          <w:color w:val="231F20"/>
        </w:rPr>
        <w:t>перспективе</w:t>
      </w:r>
      <w:r>
        <w:rPr>
          <w:color w:val="231F20"/>
          <w:spacing w:val="-12"/>
        </w:rPr>
        <w:t> </w:t>
      </w:r>
      <w:r>
        <w:rPr>
          <w:color w:val="231F20"/>
        </w:rPr>
        <w:t>и</w:t>
      </w:r>
      <w:r>
        <w:rPr>
          <w:color w:val="231F20"/>
          <w:spacing w:val="-13"/>
        </w:rPr>
        <w:t> </w:t>
      </w:r>
      <w:r>
        <w:rPr>
          <w:color w:val="231F20"/>
        </w:rPr>
        <w:t>социальных</w:t>
      </w:r>
      <w:r>
        <w:rPr>
          <w:color w:val="231F20"/>
          <w:spacing w:val="-12"/>
        </w:rPr>
        <w:t> </w:t>
      </w:r>
      <w:r>
        <w:rPr>
          <w:color w:val="231F20"/>
        </w:rPr>
        <w:t>навыков.</w:t>
      </w:r>
      <w:r>
        <w:rPr>
          <w:color w:val="231F20"/>
          <w:spacing w:val="-13"/>
        </w:rPr>
        <w:t> </w:t>
      </w:r>
      <w:r>
        <w:rPr>
          <w:color w:val="231F20"/>
        </w:rPr>
        <w:t>Однако</w:t>
      </w:r>
      <w:r>
        <w:rPr>
          <w:color w:val="231F20"/>
          <w:spacing w:val="-12"/>
        </w:rPr>
        <w:t> </w:t>
      </w:r>
      <w:r>
        <w:rPr>
          <w:color w:val="231F20"/>
        </w:rPr>
        <w:t>необходимо</w:t>
      </w:r>
      <w:r>
        <w:rPr>
          <w:color w:val="231F20"/>
          <w:spacing w:val="-13"/>
        </w:rPr>
        <w:t> </w:t>
      </w:r>
      <w:r>
        <w:rPr>
          <w:color w:val="231F20"/>
        </w:rPr>
        <w:t>подчеркнуть,</w:t>
      </w:r>
      <w:r>
        <w:rPr>
          <w:color w:val="231F20"/>
          <w:spacing w:val="-12"/>
        </w:rPr>
        <w:t> </w:t>
      </w:r>
      <w:r>
        <w:rPr>
          <w:color w:val="231F20"/>
        </w:rPr>
        <w:t>что данные результаты возможны при соблюдении следующих условий.</w:t>
      </w:r>
    </w:p>
    <w:p>
      <w:pPr>
        <w:pStyle w:val="BodyText"/>
        <w:spacing w:line="232" w:lineRule="auto"/>
      </w:pPr>
      <w:r>
        <w:rPr>
          <w:color w:val="231F20"/>
        </w:rPr>
        <w:t>Во-первых, реализация отдельных практик не оказывает влияния на социокуль- турную и психологическую адаптацию несовершеннолетних иностранных граждан. Необходима систематизированная деятельность, включающая реализацию практик различной направленности. Не представляется возможным перечислить обязатель- </w:t>
      </w:r>
      <w:r>
        <w:rPr>
          <w:color w:val="231F20"/>
          <w:spacing w:val="-2"/>
        </w:rPr>
        <w:t>ный</w:t>
      </w:r>
      <w:r>
        <w:rPr>
          <w:color w:val="231F20"/>
          <w:spacing w:val="-9"/>
        </w:rPr>
        <w:t> </w:t>
      </w:r>
      <w:r>
        <w:rPr>
          <w:color w:val="231F20"/>
          <w:spacing w:val="-2"/>
        </w:rPr>
        <w:t>минимум</w:t>
      </w:r>
      <w:r>
        <w:rPr>
          <w:color w:val="231F20"/>
          <w:spacing w:val="-9"/>
        </w:rPr>
        <w:t> </w:t>
      </w:r>
      <w:r>
        <w:rPr>
          <w:color w:val="231F20"/>
          <w:spacing w:val="-2"/>
        </w:rPr>
        <w:t>или</w:t>
      </w:r>
      <w:r>
        <w:rPr>
          <w:color w:val="231F20"/>
          <w:spacing w:val="-9"/>
        </w:rPr>
        <w:t> </w:t>
      </w:r>
      <w:r>
        <w:rPr>
          <w:color w:val="231F20"/>
          <w:spacing w:val="-2"/>
        </w:rPr>
        <w:t>рекомендовать</w:t>
      </w:r>
      <w:r>
        <w:rPr>
          <w:color w:val="231F20"/>
          <w:spacing w:val="-9"/>
        </w:rPr>
        <w:t> </w:t>
      </w:r>
      <w:r>
        <w:rPr>
          <w:color w:val="231F20"/>
          <w:spacing w:val="-2"/>
        </w:rPr>
        <w:t>жестко</w:t>
      </w:r>
      <w:r>
        <w:rPr>
          <w:color w:val="231F20"/>
          <w:spacing w:val="-9"/>
        </w:rPr>
        <w:t> </w:t>
      </w:r>
      <w:r>
        <w:rPr>
          <w:color w:val="231F20"/>
          <w:spacing w:val="-2"/>
        </w:rPr>
        <w:t>заданное</w:t>
      </w:r>
      <w:r>
        <w:rPr>
          <w:color w:val="231F20"/>
          <w:spacing w:val="-9"/>
        </w:rPr>
        <w:t> </w:t>
      </w:r>
      <w:r>
        <w:rPr>
          <w:color w:val="231F20"/>
          <w:spacing w:val="-2"/>
        </w:rPr>
        <w:t>количество</w:t>
      </w:r>
      <w:r>
        <w:rPr>
          <w:color w:val="231F20"/>
          <w:spacing w:val="-9"/>
        </w:rPr>
        <w:t> </w:t>
      </w:r>
      <w:r>
        <w:rPr>
          <w:color w:val="231F20"/>
          <w:spacing w:val="-2"/>
        </w:rPr>
        <w:t>подобных</w:t>
      </w:r>
      <w:r>
        <w:rPr>
          <w:color w:val="231F20"/>
          <w:spacing w:val="-9"/>
        </w:rPr>
        <w:t> </w:t>
      </w:r>
      <w:r>
        <w:rPr>
          <w:color w:val="231F20"/>
          <w:spacing w:val="-2"/>
        </w:rPr>
        <w:t>практик.</w:t>
      </w:r>
      <w:r>
        <w:rPr>
          <w:color w:val="231F20"/>
          <w:spacing w:val="-9"/>
        </w:rPr>
        <w:t> </w:t>
      </w:r>
      <w:r>
        <w:rPr>
          <w:color w:val="231F20"/>
          <w:spacing w:val="-2"/>
        </w:rPr>
        <w:t>При </w:t>
      </w:r>
      <w:r>
        <w:rPr>
          <w:color w:val="231F20"/>
        </w:rPr>
        <w:t>планировании</w:t>
      </w:r>
      <w:r>
        <w:rPr>
          <w:color w:val="231F20"/>
          <w:spacing w:val="-1"/>
        </w:rPr>
        <w:t> </w:t>
      </w:r>
      <w:r>
        <w:rPr>
          <w:color w:val="231F20"/>
        </w:rPr>
        <w:t>работы</w:t>
      </w:r>
      <w:r>
        <w:rPr>
          <w:color w:val="231F20"/>
          <w:spacing w:val="-1"/>
        </w:rPr>
        <w:t> </w:t>
      </w:r>
      <w:r>
        <w:rPr>
          <w:color w:val="231F20"/>
        </w:rPr>
        <w:t>общеобразовательных</w:t>
      </w:r>
      <w:r>
        <w:rPr>
          <w:color w:val="231F20"/>
          <w:spacing w:val="-1"/>
        </w:rPr>
        <w:t> </w:t>
      </w:r>
      <w:r>
        <w:rPr>
          <w:color w:val="231F20"/>
        </w:rPr>
        <w:t>организаций</w:t>
      </w:r>
      <w:r>
        <w:rPr>
          <w:color w:val="231F20"/>
          <w:spacing w:val="-1"/>
        </w:rPr>
        <w:t> </w:t>
      </w:r>
      <w:r>
        <w:rPr>
          <w:color w:val="231F20"/>
        </w:rPr>
        <w:t>по</w:t>
      </w:r>
      <w:r>
        <w:rPr>
          <w:color w:val="231F20"/>
          <w:spacing w:val="-1"/>
        </w:rPr>
        <w:t> </w:t>
      </w:r>
      <w:r>
        <w:rPr>
          <w:color w:val="231F20"/>
        </w:rPr>
        <w:t>языковой</w:t>
      </w:r>
      <w:r>
        <w:rPr>
          <w:color w:val="231F20"/>
          <w:spacing w:val="-1"/>
        </w:rPr>
        <w:t> </w:t>
      </w:r>
      <w:r>
        <w:rPr>
          <w:color w:val="231F20"/>
        </w:rPr>
        <w:t>и</w:t>
      </w:r>
      <w:r>
        <w:rPr>
          <w:color w:val="231F20"/>
          <w:spacing w:val="-1"/>
        </w:rPr>
        <w:t> </w:t>
      </w:r>
      <w:r>
        <w:rPr>
          <w:color w:val="231F20"/>
        </w:rPr>
        <w:t>социокуль- турной</w:t>
      </w:r>
      <w:r>
        <w:rPr>
          <w:color w:val="231F20"/>
          <w:spacing w:val="-13"/>
        </w:rPr>
        <w:t> </w:t>
      </w:r>
      <w:r>
        <w:rPr>
          <w:color w:val="231F20"/>
        </w:rPr>
        <w:t>адаптации</w:t>
      </w:r>
      <w:r>
        <w:rPr>
          <w:color w:val="231F20"/>
          <w:spacing w:val="-12"/>
        </w:rPr>
        <w:t> </w:t>
      </w:r>
      <w:r>
        <w:rPr>
          <w:color w:val="231F20"/>
        </w:rPr>
        <w:t>детей</w:t>
      </w:r>
      <w:r>
        <w:rPr>
          <w:color w:val="231F20"/>
          <w:spacing w:val="-13"/>
        </w:rPr>
        <w:t> </w:t>
      </w:r>
      <w:r>
        <w:rPr>
          <w:color w:val="231F20"/>
        </w:rPr>
        <w:t>иностранных</w:t>
      </w:r>
      <w:r>
        <w:rPr>
          <w:color w:val="231F20"/>
          <w:spacing w:val="-12"/>
        </w:rPr>
        <w:t> </w:t>
      </w:r>
      <w:r>
        <w:rPr>
          <w:color w:val="231F20"/>
        </w:rPr>
        <w:t>граждан</w:t>
      </w:r>
      <w:r>
        <w:rPr>
          <w:color w:val="231F20"/>
          <w:spacing w:val="-13"/>
        </w:rPr>
        <w:t> </w:t>
      </w:r>
      <w:r>
        <w:rPr>
          <w:color w:val="231F20"/>
        </w:rPr>
        <w:t>следует</w:t>
      </w:r>
      <w:r>
        <w:rPr>
          <w:color w:val="231F20"/>
          <w:spacing w:val="-12"/>
        </w:rPr>
        <w:t> </w:t>
      </w:r>
      <w:r>
        <w:rPr>
          <w:color w:val="231F20"/>
        </w:rPr>
        <w:t>предусмотреть</w:t>
      </w:r>
      <w:r>
        <w:rPr>
          <w:color w:val="231F20"/>
          <w:spacing w:val="-13"/>
        </w:rPr>
        <w:t> </w:t>
      </w:r>
      <w:r>
        <w:rPr>
          <w:color w:val="231F20"/>
        </w:rPr>
        <w:t>разнообразные по содержанию и форме практики, не ограничиваясь отдельными мероприятиями.</w:t>
      </w:r>
    </w:p>
    <w:p>
      <w:pPr>
        <w:pStyle w:val="BodyText"/>
        <w:spacing w:line="232" w:lineRule="auto"/>
      </w:pPr>
      <w:r>
        <w:rPr>
          <w:color w:val="231F20"/>
        </w:rPr>
        <w:t>Во-вторых, реализация программы будет эффективной при условии обеспече- ния методического сопровождения педагогов, работающих с несовершеннолетними иностранными гражданами. Необходимо предусмотреть проведение мероприятий, направленных на повышение межкультурной компетентности учителей, и форми- рование их профессиональных компетенций в области работы с данной категорией </w:t>
      </w:r>
      <w:r>
        <w:rPr>
          <w:color w:val="231F20"/>
          <w:spacing w:val="-2"/>
        </w:rPr>
        <w:t>обучающихся.</w:t>
      </w:r>
    </w:p>
    <w:p>
      <w:pPr>
        <w:pStyle w:val="BodyText"/>
        <w:spacing w:after="0" w:line="232" w:lineRule="auto"/>
        <w:sectPr>
          <w:pgSz w:w="8400" w:h="11910"/>
          <w:pgMar w:header="0" w:footer="540" w:top="400" w:bottom="740" w:left="425" w:right="425"/>
        </w:sect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spacing w:before="299"/>
        <w:ind w:left="0" w:right="0" w:firstLine="0"/>
        <w:jc w:val="left"/>
        <w:rPr>
          <w:sz w:val="28"/>
        </w:rPr>
      </w:pPr>
    </w:p>
    <w:p>
      <w:pPr>
        <w:spacing w:before="1"/>
        <w:ind w:left="303" w:right="303" w:firstLine="0"/>
        <w:jc w:val="center"/>
        <w:rPr>
          <w:rFonts w:ascii="Georgia" w:hAnsi="Georgia"/>
          <w:b/>
          <w:sz w:val="28"/>
        </w:rPr>
      </w:pPr>
      <w:r>
        <w:rPr>
          <w:rFonts w:ascii="Georgia" w:hAnsi="Georgia"/>
          <w:b/>
          <w:color w:val="231F20"/>
          <w:w w:val="90"/>
          <w:sz w:val="28"/>
        </w:rPr>
        <w:t>Раздел</w:t>
      </w:r>
      <w:r>
        <w:rPr>
          <w:rFonts w:ascii="Georgia" w:hAnsi="Georgia"/>
          <w:b/>
          <w:color w:val="231F20"/>
          <w:spacing w:val="-6"/>
          <w:w w:val="90"/>
          <w:sz w:val="28"/>
        </w:rPr>
        <w:t> </w:t>
      </w:r>
      <w:r>
        <w:rPr>
          <w:rFonts w:ascii="Georgia" w:hAnsi="Georgia"/>
          <w:b/>
          <w:color w:val="231F20"/>
          <w:spacing w:val="-5"/>
          <w:sz w:val="28"/>
        </w:rPr>
        <w:t>1.</w:t>
      </w:r>
    </w:p>
    <w:p>
      <w:pPr>
        <w:spacing w:line="348" w:lineRule="auto" w:before="255"/>
        <w:ind w:left="303" w:right="302" w:firstLine="0"/>
        <w:jc w:val="center"/>
        <w:rPr>
          <w:rFonts w:ascii="Georgia" w:hAnsi="Georgia"/>
          <w:b/>
          <w:sz w:val="28"/>
        </w:rPr>
      </w:pPr>
      <w:r>
        <w:rPr>
          <w:rFonts w:ascii="Georgia" w:hAnsi="Georgia"/>
          <w:b/>
          <w:color w:val="231F20"/>
          <w:w w:val="90"/>
          <w:sz w:val="28"/>
        </w:rPr>
        <w:t>Работа педагога-психолога по индивидуальной </w:t>
      </w:r>
      <w:r>
        <w:rPr>
          <w:rFonts w:ascii="Georgia" w:hAnsi="Georgia"/>
          <w:b/>
          <w:color w:val="231F20"/>
          <w:spacing w:val="-10"/>
          <w:sz w:val="28"/>
        </w:rPr>
        <w:t>поддержке</w:t>
      </w:r>
      <w:r>
        <w:rPr>
          <w:rFonts w:ascii="Georgia" w:hAnsi="Georgia"/>
          <w:b/>
          <w:color w:val="231F20"/>
          <w:spacing w:val="-8"/>
          <w:sz w:val="28"/>
        </w:rPr>
        <w:t> </w:t>
      </w:r>
      <w:r>
        <w:rPr>
          <w:rFonts w:ascii="Georgia" w:hAnsi="Georgia"/>
          <w:b/>
          <w:color w:val="231F20"/>
          <w:spacing w:val="-10"/>
          <w:sz w:val="28"/>
        </w:rPr>
        <w:t>детей</w:t>
      </w:r>
      <w:r>
        <w:rPr>
          <w:rFonts w:ascii="Georgia" w:hAnsi="Georgia"/>
          <w:b/>
          <w:color w:val="231F20"/>
          <w:spacing w:val="-8"/>
          <w:sz w:val="28"/>
        </w:rPr>
        <w:t> </w:t>
      </w:r>
      <w:r>
        <w:rPr>
          <w:rFonts w:ascii="Georgia" w:hAnsi="Georgia"/>
          <w:b/>
          <w:color w:val="231F20"/>
          <w:spacing w:val="-10"/>
          <w:sz w:val="28"/>
        </w:rPr>
        <w:t>иностранных</w:t>
      </w:r>
      <w:r>
        <w:rPr>
          <w:rFonts w:ascii="Georgia" w:hAnsi="Georgia"/>
          <w:b/>
          <w:color w:val="231F20"/>
          <w:spacing w:val="-8"/>
          <w:sz w:val="28"/>
        </w:rPr>
        <w:t> </w:t>
      </w:r>
      <w:r>
        <w:rPr>
          <w:rFonts w:ascii="Georgia" w:hAnsi="Georgia"/>
          <w:b/>
          <w:color w:val="231F20"/>
          <w:spacing w:val="-10"/>
          <w:sz w:val="28"/>
        </w:rPr>
        <w:t>граждан</w:t>
      </w:r>
    </w:p>
    <w:p>
      <w:pPr>
        <w:spacing w:after="0" w:line="348" w:lineRule="auto"/>
        <w:jc w:val="center"/>
        <w:rPr>
          <w:rFonts w:ascii="Georgia" w:hAnsi="Georgia"/>
          <w:b/>
          <w:sz w:val="28"/>
        </w:rPr>
        <w:sectPr>
          <w:footerReference w:type="default" r:id="rId209"/>
          <w:pgSz w:w="8400" w:h="11910"/>
          <w:pgMar w:header="0" w:footer="0" w:top="1340" w:bottom="280" w:left="425" w:right="425"/>
        </w:sectPr>
      </w:pPr>
    </w:p>
    <w:p>
      <w:pPr>
        <w:numPr>
          <w:ilvl w:val="1"/>
          <w:numId w:val="183"/>
        </w:numPr>
        <w:tabs>
          <w:tab w:pos="1932" w:val="left" w:leader="none"/>
        </w:tabs>
        <w:spacing w:before="73"/>
        <w:ind w:left="1932" w:right="0" w:hanging="350"/>
        <w:jc w:val="left"/>
        <w:rPr>
          <w:b/>
          <w:color w:val="231F20"/>
          <w:sz w:val="20"/>
        </w:rPr>
      </w:pPr>
      <w:bookmarkStart w:name="_bookmark74" w:id="76"/>
      <w:bookmarkEnd w:id="76"/>
      <w:r>
        <w:rPr/>
      </w:r>
      <w:r>
        <w:rPr>
          <w:b/>
          <w:color w:val="231F20"/>
          <w:sz w:val="20"/>
        </w:rPr>
        <w:t>Приемы</w:t>
      </w:r>
      <w:r>
        <w:rPr>
          <w:b/>
          <w:color w:val="231F20"/>
          <w:spacing w:val="-8"/>
          <w:sz w:val="20"/>
        </w:rPr>
        <w:t> </w:t>
      </w:r>
      <w:r>
        <w:rPr>
          <w:b/>
          <w:color w:val="231F20"/>
          <w:sz w:val="20"/>
        </w:rPr>
        <w:t>работы</w:t>
      </w:r>
      <w:r>
        <w:rPr>
          <w:b/>
          <w:color w:val="231F20"/>
          <w:spacing w:val="-5"/>
          <w:sz w:val="20"/>
        </w:rPr>
        <w:t> </w:t>
      </w:r>
      <w:r>
        <w:rPr>
          <w:b/>
          <w:color w:val="231F20"/>
          <w:sz w:val="20"/>
        </w:rPr>
        <w:t>с</w:t>
      </w:r>
      <w:r>
        <w:rPr>
          <w:b/>
          <w:color w:val="231F20"/>
          <w:spacing w:val="-5"/>
          <w:sz w:val="20"/>
        </w:rPr>
        <w:t> </w:t>
      </w:r>
      <w:r>
        <w:rPr>
          <w:b/>
          <w:color w:val="231F20"/>
          <w:sz w:val="20"/>
        </w:rPr>
        <w:t>психологической</w:t>
      </w:r>
      <w:r>
        <w:rPr>
          <w:b/>
          <w:color w:val="231F20"/>
          <w:spacing w:val="-5"/>
          <w:sz w:val="20"/>
        </w:rPr>
        <w:t> </w:t>
      </w:r>
      <w:r>
        <w:rPr>
          <w:b/>
          <w:color w:val="231F20"/>
          <w:spacing w:val="-2"/>
          <w:sz w:val="20"/>
        </w:rPr>
        <w:t>травмой</w:t>
      </w:r>
    </w:p>
    <w:p>
      <w:pPr>
        <w:spacing w:before="166"/>
        <w:ind w:left="141" w:right="139" w:firstLine="0"/>
        <w:jc w:val="right"/>
        <w:rPr>
          <w:i/>
          <w:sz w:val="20"/>
        </w:rPr>
      </w:pPr>
      <w:r>
        <w:rPr>
          <w:i/>
          <w:color w:val="231F20"/>
          <w:sz w:val="20"/>
        </w:rPr>
        <w:t>Н.В.</w:t>
      </w:r>
      <w:r>
        <w:rPr>
          <w:i/>
          <w:color w:val="231F20"/>
          <w:spacing w:val="-2"/>
          <w:sz w:val="20"/>
        </w:rPr>
        <w:t> Тарулина</w:t>
      </w:r>
    </w:p>
    <w:p>
      <w:pPr>
        <w:pStyle w:val="BodyText"/>
        <w:spacing w:line="242" w:lineRule="auto" w:before="110"/>
      </w:pPr>
      <w:r>
        <w:rPr/>
        <w:t>Симптомы психологической травмы многообразны, поэтому и специалист, рабо- тающий с травмированным ребенком, должен быть готов решать множество задач.</w:t>
      </w:r>
    </w:p>
    <w:p>
      <w:pPr>
        <w:pStyle w:val="BodyText"/>
        <w:spacing w:line="242" w:lineRule="auto"/>
        <w:ind w:firstLine="324"/>
      </w:pPr>
      <w:r>
        <w:rPr>
          <w:spacing w:val="-2"/>
        </w:rPr>
        <w:t>Работа с тяжелыми воспоминаниями возможна только при условии предваритель- </w:t>
      </w:r>
      <w:r>
        <w:rPr/>
        <w:t>ного или параллельного постепенного формирования у ребенка внутриличностной основы</w:t>
      </w:r>
      <w:r>
        <w:rPr>
          <w:spacing w:val="-1"/>
        </w:rPr>
        <w:t> </w:t>
      </w:r>
      <w:r>
        <w:rPr/>
        <w:t>для</w:t>
      </w:r>
      <w:r>
        <w:rPr>
          <w:spacing w:val="-1"/>
        </w:rPr>
        <w:t> </w:t>
      </w:r>
      <w:r>
        <w:rPr/>
        <w:t>социальной</w:t>
      </w:r>
      <w:r>
        <w:rPr>
          <w:spacing w:val="-1"/>
        </w:rPr>
        <w:t> </w:t>
      </w:r>
      <w:r>
        <w:rPr/>
        <w:t>и</w:t>
      </w:r>
      <w:r>
        <w:rPr>
          <w:spacing w:val="-1"/>
        </w:rPr>
        <w:t> </w:t>
      </w:r>
      <w:r>
        <w:rPr/>
        <w:t>психологической</w:t>
      </w:r>
      <w:r>
        <w:rPr>
          <w:spacing w:val="-1"/>
        </w:rPr>
        <w:t> </w:t>
      </w:r>
      <w:r>
        <w:rPr/>
        <w:t>адаптации, ресурса</w:t>
      </w:r>
      <w:r>
        <w:rPr>
          <w:spacing w:val="-1"/>
        </w:rPr>
        <w:t> </w:t>
      </w:r>
      <w:r>
        <w:rPr/>
        <w:t>внутренней</w:t>
      </w:r>
      <w:r>
        <w:rPr>
          <w:spacing w:val="-1"/>
        </w:rPr>
        <w:t> </w:t>
      </w:r>
      <w:r>
        <w:rPr/>
        <w:t>устойчи- вости</w:t>
      </w:r>
      <w:r>
        <w:rPr>
          <w:spacing w:val="-8"/>
        </w:rPr>
        <w:t> </w:t>
      </w:r>
      <w:r>
        <w:rPr/>
        <w:t>для</w:t>
      </w:r>
      <w:r>
        <w:rPr>
          <w:spacing w:val="-8"/>
        </w:rPr>
        <w:t> </w:t>
      </w:r>
      <w:r>
        <w:rPr/>
        <w:t>восстановления</w:t>
      </w:r>
      <w:r>
        <w:rPr>
          <w:spacing w:val="-8"/>
        </w:rPr>
        <w:t> </w:t>
      </w:r>
      <w:r>
        <w:rPr/>
        <w:t>и</w:t>
      </w:r>
      <w:r>
        <w:rPr>
          <w:spacing w:val="-8"/>
        </w:rPr>
        <w:t> </w:t>
      </w:r>
      <w:r>
        <w:rPr/>
        <w:t>развития.</w:t>
      </w:r>
      <w:r>
        <w:rPr>
          <w:spacing w:val="-8"/>
        </w:rPr>
        <w:t> </w:t>
      </w:r>
      <w:r>
        <w:rPr/>
        <w:t>Ребенок,</w:t>
      </w:r>
      <w:r>
        <w:rPr>
          <w:spacing w:val="-8"/>
        </w:rPr>
        <w:t> </w:t>
      </w:r>
      <w:r>
        <w:rPr/>
        <w:t>обладающий</w:t>
      </w:r>
      <w:r>
        <w:rPr>
          <w:spacing w:val="-8"/>
        </w:rPr>
        <w:t> </w:t>
      </w:r>
      <w:r>
        <w:rPr/>
        <w:t>высокими</w:t>
      </w:r>
      <w:r>
        <w:rPr>
          <w:spacing w:val="-8"/>
        </w:rPr>
        <w:t> </w:t>
      </w:r>
      <w:r>
        <w:rPr/>
        <w:t>показателями жизнестойкости,</w:t>
      </w:r>
      <w:r>
        <w:rPr>
          <w:spacing w:val="-13"/>
        </w:rPr>
        <w:t> </w:t>
      </w:r>
      <w:r>
        <w:rPr/>
        <w:t>способен</w:t>
      </w:r>
      <w:r>
        <w:rPr>
          <w:spacing w:val="-12"/>
        </w:rPr>
        <w:t> </w:t>
      </w:r>
      <w:r>
        <w:rPr/>
        <w:t>к</w:t>
      </w:r>
      <w:r>
        <w:rPr>
          <w:spacing w:val="-13"/>
        </w:rPr>
        <w:t> </w:t>
      </w:r>
      <w:r>
        <w:rPr/>
        <w:t>успешному</w:t>
      </w:r>
      <w:r>
        <w:rPr>
          <w:spacing w:val="-12"/>
        </w:rPr>
        <w:t> </w:t>
      </w:r>
      <w:r>
        <w:rPr/>
        <w:t>поиску</w:t>
      </w:r>
      <w:r>
        <w:rPr>
          <w:spacing w:val="-13"/>
        </w:rPr>
        <w:t> </w:t>
      </w:r>
      <w:r>
        <w:rPr/>
        <w:t>и</w:t>
      </w:r>
      <w:r>
        <w:rPr>
          <w:spacing w:val="-12"/>
        </w:rPr>
        <w:t> </w:t>
      </w:r>
      <w:r>
        <w:rPr/>
        <w:t>управлению</w:t>
      </w:r>
      <w:r>
        <w:rPr>
          <w:spacing w:val="-13"/>
        </w:rPr>
        <w:t> </w:t>
      </w:r>
      <w:r>
        <w:rPr/>
        <w:t>ценными</w:t>
      </w:r>
      <w:r>
        <w:rPr>
          <w:spacing w:val="-12"/>
        </w:rPr>
        <w:t> </w:t>
      </w:r>
      <w:r>
        <w:rPr/>
        <w:t>для</w:t>
      </w:r>
      <w:r>
        <w:rPr>
          <w:spacing w:val="-13"/>
        </w:rPr>
        <w:t> </w:t>
      </w:r>
      <w:r>
        <w:rPr/>
        <w:t>него</w:t>
      </w:r>
      <w:r>
        <w:rPr>
          <w:spacing w:val="-12"/>
        </w:rPr>
        <w:t> </w:t>
      </w:r>
      <w:r>
        <w:rPr/>
        <w:t>пси- хологическими ресурсами, полученными от социального окружения (членов семьи, друзей и пр.) (Collin-Vezina et al., 2011).</w:t>
      </w:r>
    </w:p>
    <w:p>
      <w:pPr>
        <w:pStyle w:val="BodyText"/>
        <w:spacing w:line="242" w:lineRule="auto"/>
      </w:pPr>
      <w:r>
        <w:rPr>
          <w:color w:val="231F20"/>
          <w:spacing w:val="-2"/>
        </w:rPr>
        <w:t>Программа психолого-педагогического сопровождения последствий комплексной </w:t>
      </w:r>
      <w:r>
        <w:rPr>
          <w:color w:val="231F20"/>
        </w:rPr>
        <w:t>психологической травмы и переживания горя (потери) детей, возвращенных из зон боевых</w:t>
      </w:r>
      <w:r>
        <w:rPr>
          <w:color w:val="231F20"/>
          <w:spacing w:val="-10"/>
        </w:rPr>
        <w:t> </w:t>
      </w:r>
      <w:r>
        <w:rPr>
          <w:color w:val="231F20"/>
        </w:rPr>
        <w:t>действий,</w:t>
      </w:r>
      <w:r>
        <w:rPr>
          <w:color w:val="231F20"/>
          <w:spacing w:val="-10"/>
        </w:rPr>
        <w:t> </w:t>
      </w:r>
      <w:r>
        <w:rPr>
          <w:color w:val="231F20"/>
        </w:rPr>
        <w:t>предназначена</w:t>
      </w:r>
      <w:r>
        <w:rPr>
          <w:color w:val="231F20"/>
          <w:spacing w:val="-10"/>
        </w:rPr>
        <w:t> </w:t>
      </w:r>
      <w:r>
        <w:rPr>
          <w:color w:val="231F20"/>
        </w:rPr>
        <w:t>для</w:t>
      </w:r>
      <w:r>
        <w:rPr>
          <w:color w:val="231F20"/>
          <w:spacing w:val="-10"/>
        </w:rPr>
        <w:t> </w:t>
      </w:r>
      <w:r>
        <w:rPr>
          <w:color w:val="231F20"/>
        </w:rPr>
        <w:t>работы</w:t>
      </w:r>
      <w:r>
        <w:rPr>
          <w:color w:val="231F20"/>
          <w:spacing w:val="-10"/>
        </w:rPr>
        <w:t> </w:t>
      </w:r>
      <w:r>
        <w:rPr>
          <w:color w:val="231F20"/>
        </w:rPr>
        <w:t>с</w:t>
      </w:r>
      <w:r>
        <w:rPr>
          <w:color w:val="231F20"/>
          <w:spacing w:val="-10"/>
        </w:rPr>
        <w:t> </w:t>
      </w:r>
      <w:r>
        <w:rPr>
          <w:color w:val="231F20"/>
        </w:rPr>
        <w:t>детьми</w:t>
      </w:r>
      <w:r>
        <w:rPr>
          <w:color w:val="231F20"/>
          <w:spacing w:val="-10"/>
        </w:rPr>
        <w:t> </w:t>
      </w:r>
      <w:r>
        <w:rPr>
          <w:color w:val="231F20"/>
        </w:rPr>
        <w:t>из</w:t>
      </w:r>
      <w:r>
        <w:rPr>
          <w:color w:val="231F20"/>
          <w:spacing w:val="-10"/>
        </w:rPr>
        <w:t> </w:t>
      </w:r>
      <w:r>
        <w:rPr>
          <w:color w:val="231F20"/>
        </w:rPr>
        <w:t>Сирийской</w:t>
      </w:r>
      <w:r>
        <w:rPr>
          <w:color w:val="231F20"/>
          <w:spacing w:val="-10"/>
        </w:rPr>
        <w:t> </w:t>
      </w:r>
      <w:r>
        <w:rPr>
          <w:color w:val="231F20"/>
        </w:rPr>
        <w:t>Арабской</w:t>
      </w:r>
      <w:r>
        <w:rPr>
          <w:color w:val="231F20"/>
          <w:spacing w:val="-10"/>
        </w:rPr>
        <w:t> </w:t>
      </w:r>
      <w:r>
        <w:rPr>
          <w:color w:val="231F20"/>
        </w:rPr>
        <w:t>Респу- блики и Республики Ирак (Методические рекомендации, 2022). В ней представлена </w:t>
      </w:r>
      <w:r>
        <w:rPr/>
        <w:t>общая</w:t>
      </w:r>
      <w:r>
        <w:rPr>
          <w:spacing w:val="-9"/>
        </w:rPr>
        <w:t> </w:t>
      </w:r>
      <w:r>
        <w:rPr/>
        <w:t>схема</w:t>
      </w:r>
      <w:r>
        <w:rPr>
          <w:spacing w:val="-9"/>
        </w:rPr>
        <w:t> </w:t>
      </w:r>
      <w:r>
        <w:rPr/>
        <w:t>психолого-педагогического</w:t>
      </w:r>
      <w:r>
        <w:rPr>
          <w:spacing w:val="-9"/>
        </w:rPr>
        <w:t> </w:t>
      </w:r>
      <w:r>
        <w:rPr/>
        <w:t>сопровождения</w:t>
      </w:r>
      <w:r>
        <w:rPr>
          <w:spacing w:val="-9"/>
        </w:rPr>
        <w:t> </w:t>
      </w:r>
      <w:r>
        <w:rPr/>
        <w:t>детей,</w:t>
      </w:r>
      <w:r>
        <w:rPr>
          <w:spacing w:val="-9"/>
        </w:rPr>
        <w:t> </w:t>
      </w:r>
      <w:r>
        <w:rPr/>
        <w:t>переживших</w:t>
      </w:r>
      <w:r>
        <w:rPr>
          <w:spacing w:val="-9"/>
        </w:rPr>
        <w:t> </w:t>
      </w:r>
      <w:r>
        <w:rPr/>
        <w:t>травма- тические события, которая является универсальной и может быть использована при организации</w:t>
      </w:r>
      <w:r>
        <w:rPr>
          <w:spacing w:val="-2"/>
        </w:rPr>
        <w:t> </w:t>
      </w:r>
      <w:r>
        <w:rPr/>
        <w:t>психолого-педагогического</w:t>
      </w:r>
      <w:r>
        <w:rPr>
          <w:spacing w:val="-2"/>
        </w:rPr>
        <w:t> </w:t>
      </w:r>
      <w:r>
        <w:rPr/>
        <w:t>сопровождения</w:t>
      </w:r>
      <w:r>
        <w:rPr>
          <w:spacing w:val="-2"/>
        </w:rPr>
        <w:t> </w:t>
      </w:r>
      <w:r>
        <w:rPr/>
        <w:t>детей</w:t>
      </w:r>
      <w:r>
        <w:rPr>
          <w:spacing w:val="-2"/>
        </w:rPr>
        <w:t> </w:t>
      </w:r>
      <w:r>
        <w:rPr/>
        <w:t>–</w:t>
      </w:r>
      <w:r>
        <w:rPr>
          <w:spacing w:val="-2"/>
        </w:rPr>
        <w:t> </w:t>
      </w:r>
      <w:r>
        <w:rPr/>
        <w:t>иностранных</w:t>
      </w:r>
      <w:r>
        <w:rPr>
          <w:spacing w:val="-2"/>
        </w:rPr>
        <w:t> </w:t>
      </w:r>
      <w:r>
        <w:rPr/>
        <w:t>граж- дан, переживших психологические травмы.</w:t>
      </w:r>
    </w:p>
    <w:p>
      <w:pPr>
        <w:pStyle w:val="BodyText"/>
        <w:spacing w:line="242" w:lineRule="auto"/>
      </w:pPr>
      <w:r>
        <w:rPr/>
        <w:t>Авторы программы, основываясь на современных исследованиях в области пси- хологической</w:t>
      </w:r>
      <w:r>
        <w:rPr>
          <w:spacing w:val="-2"/>
        </w:rPr>
        <w:t> </w:t>
      </w:r>
      <w:r>
        <w:rPr/>
        <w:t>помощи</w:t>
      </w:r>
      <w:r>
        <w:rPr>
          <w:spacing w:val="-2"/>
        </w:rPr>
        <w:t> </w:t>
      </w:r>
      <w:r>
        <w:rPr/>
        <w:t>детям</w:t>
      </w:r>
      <w:r>
        <w:rPr>
          <w:spacing w:val="-2"/>
        </w:rPr>
        <w:t> </w:t>
      </w:r>
      <w:r>
        <w:rPr/>
        <w:t>в</w:t>
      </w:r>
      <w:r>
        <w:rPr>
          <w:spacing w:val="-2"/>
        </w:rPr>
        <w:t> </w:t>
      </w:r>
      <w:r>
        <w:rPr/>
        <w:t>ситуации</w:t>
      </w:r>
      <w:r>
        <w:rPr>
          <w:spacing w:val="-2"/>
        </w:rPr>
        <w:t> </w:t>
      </w:r>
      <w:r>
        <w:rPr/>
        <w:t>психологической</w:t>
      </w:r>
      <w:r>
        <w:rPr>
          <w:spacing w:val="-2"/>
        </w:rPr>
        <w:t> </w:t>
      </w:r>
      <w:r>
        <w:rPr/>
        <w:t>травматизации,</w:t>
      </w:r>
      <w:r>
        <w:rPr>
          <w:spacing w:val="-2"/>
        </w:rPr>
        <w:t> </w:t>
      </w:r>
      <w:r>
        <w:rPr/>
        <w:t>выделяют следующие компоненты работы педагога-психолога.</w:t>
      </w:r>
    </w:p>
    <w:p>
      <w:pPr>
        <w:pStyle w:val="ListParagraph"/>
        <w:numPr>
          <w:ilvl w:val="0"/>
          <w:numId w:val="184"/>
        </w:numPr>
        <w:tabs>
          <w:tab w:pos="423" w:val="left" w:leader="none"/>
          <w:tab w:pos="425" w:val="left" w:leader="none"/>
        </w:tabs>
        <w:spacing w:line="242" w:lineRule="auto" w:before="0" w:after="0"/>
        <w:ind w:left="425" w:right="140" w:hanging="284"/>
        <w:jc w:val="both"/>
        <w:rPr>
          <w:sz w:val="20"/>
        </w:rPr>
      </w:pPr>
      <w:r>
        <w:rPr>
          <w:b/>
          <w:i/>
          <w:color w:val="231F20"/>
          <w:sz w:val="20"/>
        </w:rPr>
        <w:t>Компонент</w:t>
      </w:r>
      <w:r>
        <w:rPr>
          <w:b/>
          <w:i/>
          <w:color w:val="231F20"/>
          <w:spacing w:val="-8"/>
          <w:sz w:val="20"/>
        </w:rPr>
        <w:t> </w:t>
      </w:r>
      <w:r>
        <w:rPr>
          <w:b/>
          <w:i/>
          <w:color w:val="231F20"/>
          <w:sz w:val="20"/>
        </w:rPr>
        <w:t>1.</w:t>
      </w:r>
      <w:r>
        <w:rPr>
          <w:b/>
          <w:i/>
          <w:color w:val="231F20"/>
          <w:spacing w:val="-8"/>
          <w:sz w:val="20"/>
        </w:rPr>
        <w:t> </w:t>
      </w:r>
      <w:r>
        <w:rPr>
          <w:color w:val="231F20"/>
          <w:sz w:val="20"/>
        </w:rPr>
        <w:t>Безопасность</w:t>
      </w:r>
      <w:r>
        <w:rPr>
          <w:color w:val="231F20"/>
          <w:spacing w:val="-8"/>
          <w:sz w:val="20"/>
        </w:rPr>
        <w:t> </w:t>
      </w:r>
      <w:r>
        <w:rPr>
          <w:color w:val="231F20"/>
          <w:sz w:val="20"/>
        </w:rPr>
        <w:t>во</w:t>
      </w:r>
      <w:r>
        <w:rPr>
          <w:color w:val="231F20"/>
          <w:spacing w:val="-8"/>
          <w:sz w:val="20"/>
        </w:rPr>
        <w:t> </w:t>
      </w:r>
      <w:r>
        <w:rPr>
          <w:color w:val="231F20"/>
          <w:sz w:val="20"/>
        </w:rPr>
        <w:t>взаимодействии</w:t>
      </w:r>
      <w:r>
        <w:rPr>
          <w:color w:val="231F20"/>
          <w:spacing w:val="-8"/>
          <w:sz w:val="20"/>
        </w:rPr>
        <w:t> </w:t>
      </w:r>
      <w:r>
        <w:rPr>
          <w:color w:val="231F20"/>
          <w:sz w:val="20"/>
        </w:rPr>
        <w:t>с</w:t>
      </w:r>
      <w:r>
        <w:rPr>
          <w:color w:val="231F20"/>
          <w:spacing w:val="-8"/>
          <w:sz w:val="20"/>
        </w:rPr>
        <w:t> </w:t>
      </w:r>
      <w:r>
        <w:rPr>
          <w:color w:val="231F20"/>
          <w:sz w:val="20"/>
        </w:rPr>
        <w:t>психологом</w:t>
      </w:r>
      <w:r>
        <w:rPr>
          <w:color w:val="231F20"/>
          <w:spacing w:val="-8"/>
          <w:sz w:val="20"/>
        </w:rPr>
        <w:t> </w:t>
      </w:r>
      <w:r>
        <w:rPr>
          <w:color w:val="231F20"/>
          <w:sz w:val="20"/>
        </w:rPr>
        <w:t>(в</w:t>
      </w:r>
      <w:r>
        <w:rPr>
          <w:color w:val="231F20"/>
          <w:spacing w:val="-8"/>
          <w:sz w:val="20"/>
        </w:rPr>
        <w:t> </w:t>
      </w:r>
      <w:r>
        <w:rPr>
          <w:color w:val="231F20"/>
          <w:sz w:val="20"/>
        </w:rPr>
        <w:t>терапевтических </w:t>
      </w:r>
      <w:r>
        <w:rPr>
          <w:color w:val="231F20"/>
          <w:spacing w:val="-2"/>
          <w:sz w:val="20"/>
        </w:rPr>
        <w:t>отношениях)</w:t>
      </w:r>
    </w:p>
    <w:p>
      <w:pPr>
        <w:pStyle w:val="ListParagraph"/>
        <w:numPr>
          <w:ilvl w:val="0"/>
          <w:numId w:val="184"/>
        </w:numPr>
        <w:tabs>
          <w:tab w:pos="423" w:val="left" w:leader="none"/>
        </w:tabs>
        <w:spacing w:line="229" w:lineRule="exact" w:before="0" w:after="0"/>
        <w:ind w:left="423" w:right="0" w:hanging="282"/>
        <w:jc w:val="both"/>
        <w:rPr>
          <w:sz w:val="20"/>
        </w:rPr>
      </w:pPr>
      <w:r>
        <w:rPr>
          <w:b/>
          <w:i/>
          <w:color w:val="231F20"/>
          <w:sz w:val="20"/>
        </w:rPr>
        <w:t>Компонент</w:t>
      </w:r>
      <w:r>
        <w:rPr>
          <w:b/>
          <w:i/>
          <w:color w:val="231F20"/>
          <w:spacing w:val="-8"/>
          <w:sz w:val="20"/>
        </w:rPr>
        <w:t> </w:t>
      </w:r>
      <w:r>
        <w:rPr>
          <w:b/>
          <w:i/>
          <w:color w:val="231F20"/>
          <w:sz w:val="20"/>
        </w:rPr>
        <w:t>2.</w:t>
      </w:r>
      <w:r>
        <w:rPr>
          <w:b/>
          <w:i/>
          <w:color w:val="231F20"/>
          <w:spacing w:val="-8"/>
          <w:sz w:val="20"/>
        </w:rPr>
        <w:t> </w:t>
      </w:r>
      <w:r>
        <w:rPr>
          <w:color w:val="231F20"/>
          <w:sz w:val="20"/>
        </w:rPr>
        <w:t>Мои</w:t>
      </w:r>
      <w:r>
        <w:rPr>
          <w:color w:val="231F20"/>
          <w:spacing w:val="-8"/>
          <w:sz w:val="20"/>
        </w:rPr>
        <w:t> </w:t>
      </w:r>
      <w:r>
        <w:rPr>
          <w:color w:val="231F20"/>
          <w:spacing w:val="-2"/>
          <w:sz w:val="20"/>
        </w:rPr>
        <w:t>силы/ресурсы</w:t>
      </w:r>
    </w:p>
    <w:p>
      <w:pPr>
        <w:pStyle w:val="ListParagraph"/>
        <w:numPr>
          <w:ilvl w:val="0"/>
          <w:numId w:val="184"/>
        </w:numPr>
        <w:tabs>
          <w:tab w:pos="425" w:val="left" w:leader="none"/>
        </w:tabs>
        <w:spacing w:line="242" w:lineRule="auto" w:before="0" w:after="0"/>
        <w:ind w:left="425" w:right="139" w:hanging="284"/>
        <w:jc w:val="left"/>
        <w:rPr>
          <w:sz w:val="20"/>
        </w:rPr>
      </w:pPr>
      <w:r>
        <w:rPr>
          <w:b/>
          <w:i/>
          <w:color w:val="231F20"/>
          <w:sz w:val="20"/>
        </w:rPr>
        <w:t>Компонент</w:t>
      </w:r>
      <w:r>
        <w:rPr>
          <w:b/>
          <w:i/>
          <w:color w:val="231F20"/>
          <w:spacing w:val="-10"/>
          <w:sz w:val="20"/>
        </w:rPr>
        <w:t> </w:t>
      </w:r>
      <w:r>
        <w:rPr>
          <w:b/>
          <w:i/>
          <w:color w:val="231F20"/>
          <w:sz w:val="20"/>
        </w:rPr>
        <w:t>3.1.</w:t>
      </w:r>
      <w:r>
        <w:rPr>
          <w:b/>
          <w:i/>
          <w:color w:val="231F20"/>
          <w:spacing w:val="-10"/>
          <w:sz w:val="20"/>
        </w:rPr>
        <w:t> </w:t>
      </w:r>
      <w:r>
        <w:rPr>
          <w:color w:val="231F20"/>
          <w:sz w:val="20"/>
        </w:rPr>
        <w:t>Линия</w:t>
      </w:r>
      <w:r>
        <w:rPr>
          <w:color w:val="231F20"/>
          <w:spacing w:val="-9"/>
          <w:sz w:val="20"/>
        </w:rPr>
        <w:t> </w:t>
      </w:r>
      <w:r>
        <w:rPr>
          <w:color w:val="231F20"/>
          <w:sz w:val="20"/>
        </w:rPr>
        <w:t>жизни</w:t>
      </w:r>
      <w:r>
        <w:rPr>
          <w:color w:val="231F20"/>
          <w:spacing w:val="-10"/>
          <w:sz w:val="20"/>
        </w:rPr>
        <w:t> </w:t>
      </w:r>
      <w:r>
        <w:rPr>
          <w:color w:val="231F20"/>
          <w:sz w:val="20"/>
        </w:rPr>
        <w:t>(прошлое,</w:t>
      </w:r>
      <w:r>
        <w:rPr>
          <w:color w:val="231F20"/>
          <w:spacing w:val="-10"/>
          <w:sz w:val="20"/>
        </w:rPr>
        <w:t> </w:t>
      </w:r>
      <w:r>
        <w:rPr>
          <w:color w:val="231F20"/>
          <w:sz w:val="20"/>
        </w:rPr>
        <w:t>настоящее</w:t>
      </w:r>
      <w:r>
        <w:rPr>
          <w:color w:val="231F20"/>
          <w:spacing w:val="-10"/>
          <w:sz w:val="20"/>
        </w:rPr>
        <w:t> </w:t>
      </w:r>
      <w:r>
        <w:rPr>
          <w:color w:val="231F20"/>
          <w:sz w:val="20"/>
        </w:rPr>
        <w:t>и</w:t>
      </w:r>
      <w:r>
        <w:rPr>
          <w:color w:val="231F20"/>
          <w:spacing w:val="-10"/>
          <w:sz w:val="20"/>
        </w:rPr>
        <w:t> </w:t>
      </w:r>
      <w:r>
        <w:rPr>
          <w:color w:val="231F20"/>
          <w:sz w:val="20"/>
        </w:rPr>
        <w:t>будущее):</w:t>
      </w:r>
      <w:r>
        <w:rPr>
          <w:color w:val="231F20"/>
          <w:spacing w:val="-10"/>
          <w:sz w:val="20"/>
        </w:rPr>
        <w:t> </w:t>
      </w:r>
      <w:r>
        <w:rPr>
          <w:color w:val="231F20"/>
          <w:sz w:val="20"/>
        </w:rPr>
        <w:t>интеграция</w:t>
      </w:r>
      <w:r>
        <w:rPr>
          <w:color w:val="231F20"/>
          <w:spacing w:val="-9"/>
          <w:sz w:val="20"/>
        </w:rPr>
        <w:t> </w:t>
      </w:r>
      <w:r>
        <w:rPr>
          <w:color w:val="231F20"/>
          <w:sz w:val="20"/>
        </w:rPr>
        <w:t>пере- живаний травмы</w:t>
      </w:r>
    </w:p>
    <w:p>
      <w:pPr>
        <w:pStyle w:val="ListParagraph"/>
        <w:numPr>
          <w:ilvl w:val="0"/>
          <w:numId w:val="184"/>
        </w:numPr>
        <w:tabs>
          <w:tab w:pos="425" w:val="left" w:leader="none"/>
        </w:tabs>
        <w:spacing w:line="242" w:lineRule="auto" w:before="0" w:after="0"/>
        <w:ind w:left="425" w:right="139" w:hanging="284"/>
        <w:jc w:val="left"/>
        <w:rPr>
          <w:sz w:val="20"/>
        </w:rPr>
      </w:pPr>
      <w:r>
        <w:rPr>
          <w:b/>
          <w:i/>
          <w:color w:val="231F20"/>
          <w:sz w:val="20"/>
        </w:rPr>
        <w:t>Компонент 3.2. </w:t>
      </w:r>
      <w:r>
        <w:rPr>
          <w:color w:val="231F20"/>
          <w:sz w:val="20"/>
        </w:rPr>
        <w:t>Линия жизни (прошлое, настоящее и будущее): </w:t>
      </w:r>
      <w:r>
        <w:rPr>
          <w:sz w:val="20"/>
        </w:rPr>
        <w:t>содействие кон- структивной работе горя</w:t>
      </w:r>
    </w:p>
    <w:p>
      <w:pPr>
        <w:pStyle w:val="ListParagraph"/>
        <w:numPr>
          <w:ilvl w:val="0"/>
          <w:numId w:val="184"/>
        </w:numPr>
        <w:tabs>
          <w:tab w:pos="425" w:val="left" w:leader="none"/>
        </w:tabs>
        <w:spacing w:line="229" w:lineRule="exact" w:before="0" w:after="0"/>
        <w:ind w:left="425" w:right="0" w:hanging="284"/>
        <w:jc w:val="left"/>
        <w:rPr>
          <w:sz w:val="20"/>
        </w:rPr>
      </w:pPr>
      <w:r>
        <w:rPr>
          <w:b/>
          <w:i/>
          <w:color w:val="231F20"/>
          <w:sz w:val="20"/>
        </w:rPr>
        <w:t>Компонент</w:t>
      </w:r>
      <w:r>
        <w:rPr>
          <w:b/>
          <w:i/>
          <w:color w:val="231F20"/>
          <w:spacing w:val="-5"/>
          <w:sz w:val="20"/>
        </w:rPr>
        <w:t> </w:t>
      </w:r>
      <w:r>
        <w:rPr>
          <w:b/>
          <w:i/>
          <w:color w:val="231F20"/>
          <w:sz w:val="20"/>
        </w:rPr>
        <w:t>4.</w:t>
      </w:r>
      <w:r>
        <w:rPr>
          <w:b/>
          <w:i/>
          <w:color w:val="231F20"/>
          <w:spacing w:val="-4"/>
          <w:sz w:val="20"/>
        </w:rPr>
        <w:t> </w:t>
      </w:r>
      <w:r>
        <w:rPr>
          <w:color w:val="231F20"/>
          <w:sz w:val="20"/>
        </w:rPr>
        <w:t>Я</w:t>
      </w:r>
      <w:r>
        <w:rPr>
          <w:color w:val="231F20"/>
          <w:spacing w:val="-5"/>
          <w:sz w:val="20"/>
        </w:rPr>
        <w:t> </w:t>
      </w:r>
      <w:r>
        <w:rPr>
          <w:color w:val="231F20"/>
          <w:sz w:val="20"/>
        </w:rPr>
        <w:t>и</w:t>
      </w:r>
      <w:r>
        <w:rPr>
          <w:color w:val="231F20"/>
          <w:spacing w:val="-4"/>
          <w:sz w:val="20"/>
        </w:rPr>
        <w:t> </w:t>
      </w:r>
      <w:r>
        <w:rPr>
          <w:color w:val="231F20"/>
          <w:spacing w:val="-2"/>
          <w:sz w:val="20"/>
        </w:rPr>
        <w:t>другие</w:t>
      </w:r>
    </w:p>
    <w:p>
      <w:pPr>
        <w:pStyle w:val="BodyText"/>
        <w:spacing w:line="242" w:lineRule="auto"/>
      </w:pPr>
      <w:r>
        <w:rPr/>
        <w:t>Каждый из компонентов </w:t>
      </w:r>
      <w:r>
        <w:rPr>
          <w:color w:val="231F20"/>
        </w:rPr>
        <w:t>направлен на определенную цель, реализуемую через соответствующие</w:t>
      </w:r>
      <w:r>
        <w:rPr>
          <w:color w:val="231F20"/>
          <w:spacing w:val="-6"/>
        </w:rPr>
        <w:t> </w:t>
      </w:r>
      <w:r>
        <w:rPr>
          <w:color w:val="231F20"/>
        </w:rPr>
        <w:t>задачи</w:t>
      </w:r>
      <w:r>
        <w:rPr>
          <w:color w:val="231F20"/>
          <w:spacing w:val="-6"/>
        </w:rPr>
        <w:t> </w:t>
      </w:r>
      <w:r>
        <w:rPr>
          <w:color w:val="231F20"/>
        </w:rPr>
        <w:t>(см.</w:t>
      </w:r>
      <w:r>
        <w:rPr>
          <w:color w:val="231F20"/>
          <w:spacing w:val="-6"/>
        </w:rPr>
        <w:t> </w:t>
      </w:r>
      <w:r>
        <w:rPr>
          <w:color w:val="231F20"/>
        </w:rPr>
        <w:t>ниже</w:t>
      </w:r>
      <w:r>
        <w:rPr>
          <w:color w:val="231F20"/>
          <w:spacing w:val="-6"/>
        </w:rPr>
        <w:t> </w:t>
      </w:r>
      <w:r>
        <w:rPr>
          <w:color w:val="231F20"/>
        </w:rPr>
        <w:t>описание</w:t>
      </w:r>
      <w:r>
        <w:rPr>
          <w:color w:val="231F20"/>
          <w:spacing w:val="-6"/>
        </w:rPr>
        <w:t> </w:t>
      </w:r>
      <w:r>
        <w:rPr>
          <w:color w:val="231F20"/>
        </w:rPr>
        <w:t>каждого</w:t>
      </w:r>
      <w:r>
        <w:rPr>
          <w:color w:val="231F20"/>
          <w:spacing w:val="-6"/>
        </w:rPr>
        <w:t> </w:t>
      </w:r>
      <w:r>
        <w:rPr>
          <w:color w:val="231F20"/>
        </w:rPr>
        <w:t>из</w:t>
      </w:r>
      <w:r>
        <w:rPr>
          <w:color w:val="231F20"/>
          <w:spacing w:val="-6"/>
        </w:rPr>
        <w:t> </w:t>
      </w:r>
      <w:r>
        <w:rPr>
          <w:color w:val="231F20"/>
        </w:rPr>
        <w:t>компонентов).</w:t>
      </w:r>
      <w:r>
        <w:rPr>
          <w:color w:val="231F20"/>
          <w:spacing w:val="-6"/>
        </w:rPr>
        <w:t> </w:t>
      </w:r>
      <w:r>
        <w:rPr>
          <w:color w:val="231F20"/>
        </w:rPr>
        <w:t>Данные</w:t>
      </w:r>
      <w:r>
        <w:rPr>
          <w:color w:val="231F20"/>
          <w:spacing w:val="-6"/>
        </w:rPr>
        <w:t> </w:t>
      </w:r>
      <w:r>
        <w:rPr>
          <w:color w:val="231F20"/>
        </w:rPr>
        <w:t>ком- поненты аккумулируют содержание сфокусированных на травме терапевтических методов, признанных в мировой практике доказательными (Schnyder et al., 2015).</w:t>
      </w:r>
      <w:r>
        <w:rPr>
          <w:color w:val="231F20"/>
          <w:spacing w:val="80"/>
        </w:rPr>
        <w:t> </w:t>
      </w:r>
      <w:r>
        <w:rPr>
          <w:color w:val="231F20"/>
        </w:rPr>
        <w:t>Их содержание в значительной степени соответствует подходу, который имеет наи- большую эмпирическую поддержку в области помощи при </w:t>
      </w:r>
      <w:r>
        <w:rPr/>
        <w:t>посттравматическом стрессовом расстройстве (</w:t>
      </w:r>
      <w:r>
        <w:rPr>
          <w:color w:val="231F20"/>
        </w:rPr>
        <w:t>ПТСР) (Эффективная терапия… 2025), – фокусированная на травме когнитивно-бихевиоральная психотерапия (ФТ-КБТ, Cohen, Mannarino &amp; Deblinger, 2006). В каждом из компонентов описаны техники, решающие одну или несколько</w:t>
      </w:r>
      <w:r>
        <w:rPr>
          <w:color w:val="231F20"/>
          <w:spacing w:val="-10"/>
        </w:rPr>
        <w:t> </w:t>
      </w:r>
      <w:r>
        <w:rPr>
          <w:color w:val="231F20"/>
        </w:rPr>
        <w:t>задач.</w:t>
      </w:r>
      <w:r>
        <w:rPr>
          <w:color w:val="231F20"/>
          <w:spacing w:val="-10"/>
        </w:rPr>
        <w:t> </w:t>
      </w:r>
      <w:r>
        <w:rPr>
          <w:color w:val="231F20"/>
        </w:rPr>
        <w:t>Техники</w:t>
      </w:r>
      <w:r>
        <w:rPr>
          <w:color w:val="231F20"/>
          <w:spacing w:val="-10"/>
        </w:rPr>
        <w:t> </w:t>
      </w:r>
      <w:r>
        <w:rPr>
          <w:color w:val="231F20"/>
        </w:rPr>
        <w:t>для</w:t>
      </w:r>
      <w:r>
        <w:rPr>
          <w:color w:val="231F20"/>
          <w:spacing w:val="-10"/>
        </w:rPr>
        <w:t> </w:t>
      </w:r>
      <w:r>
        <w:rPr>
          <w:color w:val="231F20"/>
        </w:rPr>
        <w:t>сессии</w:t>
      </w:r>
      <w:r>
        <w:rPr>
          <w:color w:val="231F20"/>
          <w:spacing w:val="-10"/>
        </w:rPr>
        <w:t> </w:t>
      </w:r>
      <w:r>
        <w:rPr>
          <w:color w:val="231F20"/>
        </w:rPr>
        <w:t>(встречи)</w:t>
      </w:r>
      <w:r>
        <w:rPr>
          <w:color w:val="231F20"/>
          <w:spacing w:val="-9"/>
        </w:rPr>
        <w:t> </w:t>
      </w:r>
      <w:r>
        <w:rPr>
          <w:color w:val="231F20"/>
        </w:rPr>
        <w:t>подбираются</w:t>
      </w:r>
      <w:r>
        <w:rPr>
          <w:color w:val="231F20"/>
          <w:spacing w:val="-10"/>
        </w:rPr>
        <w:t> </w:t>
      </w:r>
      <w:r>
        <w:rPr>
          <w:color w:val="231F20"/>
        </w:rPr>
        <w:t>исходя</w:t>
      </w:r>
      <w:r>
        <w:rPr>
          <w:color w:val="231F20"/>
          <w:spacing w:val="-10"/>
        </w:rPr>
        <w:t> </w:t>
      </w:r>
      <w:r>
        <w:rPr>
          <w:color w:val="231F20"/>
        </w:rPr>
        <w:t>из</w:t>
      </w:r>
      <w:r>
        <w:rPr>
          <w:color w:val="231F20"/>
          <w:spacing w:val="-9"/>
        </w:rPr>
        <w:t> </w:t>
      </w:r>
      <w:r>
        <w:rPr>
          <w:color w:val="231F20"/>
        </w:rPr>
        <w:t>целей</w:t>
      </w:r>
      <w:r>
        <w:rPr>
          <w:color w:val="231F20"/>
          <w:spacing w:val="-10"/>
        </w:rPr>
        <w:t> </w:t>
      </w:r>
      <w:r>
        <w:rPr>
          <w:color w:val="231F20"/>
        </w:rPr>
        <w:t>работы, а также актуального состояния ребенка.</w:t>
      </w:r>
    </w:p>
    <w:p>
      <w:pPr>
        <w:pStyle w:val="BodyText"/>
        <w:spacing w:line="242" w:lineRule="auto"/>
      </w:pPr>
      <w:r>
        <w:rPr/>
        <w:t>Далее следует краткое описание компонентов и примеры приемов работы по ка- ждому из них.</w:t>
      </w:r>
    </w:p>
    <w:p>
      <w:pPr>
        <w:pStyle w:val="BodyText"/>
        <w:spacing w:after="0" w:line="242" w:lineRule="auto"/>
        <w:sectPr>
          <w:footerReference w:type="default" r:id="rId210"/>
          <w:pgSz w:w="8400" w:h="11910"/>
          <w:pgMar w:header="0" w:footer="529" w:top="720" w:bottom="720" w:left="425" w:right="425"/>
          <w:pgNumType w:start="7"/>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spacing w:before="109"/>
        <w:ind w:left="425" w:right="194" w:firstLine="0"/>
        <w:jc w:val="both"/>
        <w:rPr>
          <w:b/>
          <w:sz w:val="20"/>
        </w:rPr>
      </w:pPr>
      <w:r>
        <w:rPr>
          <w:b/>
          <w:sz w:val="20"/>
        </w:rPr>
        <w:t>Компонент</w:t>
      </w:r>
      <w:r>
        <w:rPr>
          <w:b/>
          <w:spacing w:val="-11"/>
          <w:sz w:val="20"/>
        </w:rPr>
        <w:t> </w:t>
      </w:r>
      <w:r>
        <w:rPr>
          <w:b/>
          <w:sz w:val="20"/>
        </w:rPr>
        <w:t>1.</w:t>
      </w:r>
      <w:r>
        <w:rPr>
          <w:b/>
          <w:spacing w:val="-10"/>
          <w:sz w:val="20"/>
        </w:rPr>
        <w:t> </w:t>
      </w:r>
      <w:r>
        <w:rPr>
          <w:b/>
          <w:sz w:val="20"/>
        </w:rPr>
        <w:t>Безопасность</w:t>
      </w:r>
      <w:r>
        <w:rPr>
          <w:b/>
          <w:spacing w:val="-10"/>
          <w:sz w:val="20"/>
        </w:rPr>
        <w:t> </w:t>
      </w:r>
      <w:r>
        <w:rPr>
          <w:b/>
          <w:sz w:val="20"/>
        </w:rPr>
        <w:t>во</w:t>
      </w:r>
      <w:r>
        <w:rPr>
          <w:b/>
          <w:spacing w:val="-10"/>
          <w:sz w:val="20"/>
        </w:rPr>
        <w:t> </w:t>
      </w:r>
      <w:r>
        <w:rPr>
          <w:b/>
          <w:sz w:val="20"/>
        </w:rPr>
        <w:t>взаимодействии</w:t>
      </w:r>
      <w:r>
        <w:rPr>
          <w:b/>
          <w:spacing w:val="-11"/>
          <w:sz w:val="20"/>
        </w:rPr>
        <w:t> </w:t>
      </w:r>
      <w:r>
        <w:rPr>
          <w:b/>
          <w:sz w:val="20"/>
        </w:rPr>
        <w:t>с</w:t>
      </w:r>
      <w:r>
        <w:rPr>
          <w:b/>
          <w:spacing w:val="-10"/>
          <w:sz w:val="20"/>
        </w:rPr>
        <w:t> </w:t>
      </w:r>
      <w:r>
        <w:rPr>
          <w:b/>
          <w:sz w:val="20"/>
        </w:rPr>
        <w:t>психологом</w:t>
      </w:r>
      <w:r>
        <w:rPr>
          <w:b/>
          <w:spacing w:val="-11"/>
          <w:sz w:val="20"/>
        </w:rPr>
        <w:t> </w:t>
      </w:r>
      <w:r>
        <w:rPr>
          <w:b/>
          <w:sz w:val="20"/>
        </w:rPr>
        <w:t>(в</w:t>
      </w:r>
      <w:r>
        <w:rPr>
          <w:b/>
          <w:spacing w:val="-10"/>
          <w:sz w:val="20"/>
        </w:rPr>
        <w:t> </w:t>
      </w:r>
      <w:r>
        <w:rPr>
          <w:b/>
          <w:sz w:val="20"/>
        </w:rPr>
        <w:t>терапевтиче- ских отношениях)</w:t>
      </w:r>
    </w:p>
    <w:p>
      <w:pPr>
        <w:pStyle w:val="BodyText"/>
        <w:spacing w:line="237" w:lineRule="auto"/>
        <w:ind w:right="140"/>
      </w:pPr>
      <w:r>
        <w:rPr>
          <w:i/>
        </w:rPr>
        <w:t>Цель: </w:t>
      </w:r>
      <w:r>
        <w:rPr/>
        <w:t>формирование безопасного пространства как основы для получения опыта здоровой привязанности.</w:t>
      </w:r>
    </w:p>
    <w:p>
      <w:pPr>
        <w:pStyle w:val="BodyText"/>
        <w:spacing w:line="235" w:lineRule="auto"/>
      </w:pPr>
      <w:r>
        <w:rPr/>
        <w:t>В</w:t>
      </w:r>
      <w:r>
        <w:rPr>
          <w:spacing w:val="-9"/>
        </w:rPr>
        <w:t> </w:t>
      </w:r>
      <w:r>
        <w:rPr/>
        <w:t>основе</w:t>
      </w:r>
      <w:r>
        <w:rPr>
          <w:spacing w:val="-9"/>
        </w:rPr>
        <w:t> </w:t>
      </w:r>
      <w:r>
        <w:rPr/>
        <w:t>ощущения</w:t>
      </w:r>
      <w:r>
        <w:rPr>
          <w:spacing w:val="-9"/>
        </w:rPr>
        <w:t> </w:t>
      </w:r>
      <w:r>
        <w:rPr/>
        <w:t>безопасности</w:t>
      </w:r>
      <w:r>
        <w:rPr>
          <w:spacing w:val="-9"/>
        </w:rPr>
        <w:t> </w:t>
      </w:r>
      <w:r>
        <w:rPr/>
        <w:t>лежит</w:t>
      </w:r>
      <w:r>
        <w:rPr>
          <w:spacing w:val="-9"/>
        </w:rPr>
        <w:t> </w:t>
      </w:r>
      <w:r>
        <w:rPr/>
        <w:t>контакт</w:t>
      </w:r>
      <w:r>
        <w:rPr>
          <w:spacing w:val="-9"/>
        </w:rPr>
        <w:t> </w:t>
      </w:r>
      <w:r>
        <w:rPr/>
        <w:t>психолога</w:t>
      </w:r>
      <w:r>
        <w:rPr>
          <w:spacing w:val="-9"/>
        </w:rPr>
        <w:t> </w:t>
      </w:r>
      <w:r>
        <w:rPr/>
        <w:t>с</w:t>
      </w:r>
      <w:r>
        <w:rPr>
          <w:spacing w:val="-9"/>
        </w:rPr>
        <w:t> </w:t>
      </w:r>
      <w:r>
        <w:rPr/>
        <w:t>ребенком.</w:t>
      </w:r>
      <w:r>
        <w:rPr>
          <w:spacing w:val="-9"/>
        </w:rPr>
        <w:t> </w:t>
      </w:r>
      <w:r>
        <w:rPr/>
        <w:t>Для</w:t>
      </w:r>
      <w:r>
        <w:rPr>
          <w:spacing w:val="-9"/>
        </w:rPr>
        <w:t> </w:t>
      </w:r>
      <w:r>
        <w:rPr/>
        <w:t>уста- новления</w:t>
      </w:r>
      <w:r>
        <w:rPr>
          <w:spacing w:val="-11"/>
        </w:rPr>
        <w:t> </w:t>
      </w:r>
      <w:r>
        <w:rPr/>
        <w:t>и</w:t>
      </w:r>
      <w:r>
        <w:rPr>
          <w:spacing w:val="-11"/>
        </w:rPr>
        <w:t> </w:t>
      </w:r>
      <w:r>
        <w:rPr/>
        <w:t>поддержания</w:t>
      </w:r>
      <w:r>
        <w:rPr>
          <w:spacing w:val="-11"/>
        </w:rPr>
        <w:t> </w:t>
      </w:r>
      <w:r>
        <w:rPr/>
        <w:t>контакта</w:t>
      </w:r>
      <w:r>
        <w:rPr>
          <w:spacing w:val="-11"/>
        </w:rPr>
        <w:t> </w:t>
      </w:r>
      <w:r>
        <w:rPr/>
        <w:t>специалисту</w:t>
      </w:r>
      <w:r>
        <w:rPr>
          <w:spacing w:val="-11"/>
        </w:rPr>
        <w:t> </w:t>
      </w:r>
      <w:r>
        <w:rPr/>
        <w:t>могут</w:t>
      </w:r>
      <w:r>
        <w:rPr>
          <w:spacing w:val="-11"/>
        </w:rPr>
        <w:t> </w:t>
      </w:r>
      <w:r>
        <w:rPr/>
        <w:t>пригодиться</w:t>
      </w:r>
      <w:r>
        <w:rPr>
          <w:spacing w:val="-11"/>
        </w:rPr>
        <w:t> </w:t>
      </w:r>
      <w:r>
        <w:rPr/>
        <w:t>навыки</w:t>
      </w:r>
      <w:r>
        <w:rPr>
          <w:spacing w:val="-11"/>
        </w:rPr>
        <w:t> </w:t>
      </w:r>
      <w:r>
        <w:rPr/>
        <w:t>активного слушания: присоединение, открытые вопросы, уточнение, подстройка к чувствам, перефразирование. Их применение создает у ребенка ощущение активного и добро- желательного интереса к его личности.</w:t>
      </w:r>
    </w:p>
    <w:p>
      <w:pPr>
        <w:spacing w:line="220" w:lineRule="exact" w:before="0"/>
        <w:ind w:left="425" w:right="0" w:firstLine="0"/>
        <w:jc w:val="left"/>
        <w:rPr>
          <w:i/>
          <w:sz w:val="20"/>
        </w:rPr>
      </w:pPr>
      <w:r>
        <w:rPr>
          <w:i/>
          <w:spacing w:val="-2"/>
          <w:sz w:val="20"/>
        </w:rPr>
        <w:t>Задачи:</w:t>
      </w:r>
    </w:p>
    <w:p>
      <w:pPr>
        <w:pStyle w:val="ListParagraph"/>
        <w:numPr>
          <w:ilvl w:val="0"/>
          <w:numId w:val="185"/>
        </w:numPr>
        <w:tabs>
          <w:tab w:pos="425" w:val="left" w:leader="none"/>
        </w:tabs>
        <w:spacing w:line="232" w:lineRule="auto" w:before="3" w:after="0"/>
        <w:ind w:left="425" w:right="139" w:hanging="284"/>
        <w:jc w:val="left"/>
        <w:rPr>
          <w:sz w:val="20"/>
        </w:rPr>
      </w:pPr>
      <w:r>
        <w:rPr>
          <w:sz w:val="20"/>
        </w:rPr>
        <w:t>построение прочных, безопасных для ребенка терапевтических отношений в ра- боте с психологом;</w:t>
      </w:r>
    </w:p>
    <w:p>
      <w:pPr>
        <w:pStyle w:val="ListParagraph"/>
        <w:numPr>
          <w:ilvl w:val="0"/>
          <w:numId w:val="185"/>
        </w:numPr>
        <w:tabs>
          <w:tab w:pos="425" w:val="left" w:leader="none"/>
        </w:tabs>
        <w:spacing w:line="232" w:lineRule="auto" w:before="2" w:after="0"/>
        <w:ind w:left="425" w:right="139" w:hanging="284"/>
        <w:jc w:val="left"/>
        <w:rPr>
          <w:sz w:val="20"/>
        </w:rPr>
      </w:pPr>
      <w:r>
        <w:rPr>
          <w:sz w:val="20"/>
        </w:rPr>
        <w:t>формирование доверительных отношений и ощущения предсказуемости в отно- шениях с психологом;</w:t>
      </w:r>
    </w:p>
    <w:p>
      <w:pPr>
        <w:pStyle w:val="ListParagraph"/>
        <w:numPr>
          <w:ilvl w:val="0"/>
          <w:numId w:val="185"/>
        </w:numPr>
        <w:tabs>
          <w:tab w:pos="424" w:val="left" w:leader="none"/>
        </w:tabs>
        <w:spacing w:line="226" w:lineRule="exact" w:before="0" w:after="0"/>
        <w:ind w:left="424" w:right="0" w:hanging="283"/>
        <w:jc w:val="left"/>
        <w:rPr>
          <w:sz w:val="20"/>
        </w:rPr>
      </w:pPr>
      <w:r>
        <w:rPr>
          <w:sz w:val="20"/>
        </w:rPr>
        <w:t>создание</w:t>
      </w:r>
      <w:r>
        <w:rPr>
          <w:spacing w:val="-7"/>
          <w:sz w:val="20"/>
        </w:rPr>
        <w:t> </w:t>
      </w:r>
      <w:r>
        <w:rPr>
          <w:sz w:val="20"/>
        </w:rPr>
        <w:t>пространства</w:t>
      </w:r>
      <w:r>
        <w:rPr>
          <w:spacing w:val="-5"/>
          <w:sz w:val="20"/>
        </w:rPr>
        <w:t> </w:t>
      </w:r>
      <w:r>
        <w:rPr>
          <w:sz w:val="20"/>
        </w:rPr>
        <w:t>безопасности</w:t>
      </w:r>
      <w:r>
        <w:rPr>
          <w:spacing w:val="-6"/>
          <w:sz w:val="20"/>
        </w:rPr>
        <w:t> </w:t>
      </w:r>
      <w:r>
        <w:rPr>
          <w:sz w:val="20"/>
        </w:rPr>
        <w:t>на</w:t>
      </w:r>
      <w:r>
        <w:rPr>
          <w:spacing w:val="-5"/>
          <w:sz w:val="20"/>
        </w:rPr>
        <w:t> </w:t>
      </w:r>
      <w:r>
        <w:rPr>
          <w:sz w:val="20"/>
        </w:rPr>
        <w:t>психологической</w:t>
      </w:r>
      <w:r>
        <w:rPr>
          <w:spacing w:val="-5"/>
          <w:sz w:val="20"/>
        </w:rPr>
        <w:t> </w:t>
      </w:r>
      <w:r>
        <w:rPr>
          <w:spacing w:val="-2"/>
          <w:sz w:val="20"/>
        </w:rPr>
        <w:t>сессии.</w:t>
      </w:r>
    </w:p>
    <w:p>
      <w:pPr>
        <w:spacing w:line="226" w:lineRule="exact" w:before="50"/>
        <w:ind w:left="425" w:right="0" w:firstLine="0"/>
        <w:jc w:val="both"/>
        <w:rPr>
          <w:b/>
          <w:i/>
          <w:sz w:val="20"/>
        </w:rPr>
      </w:pPr>
      <w:r>
        <w:rPr>
          <w:b/>
          <w:i/>
          <w:sz w:val="20"/>
        </w:rPr>
        <w:t>Техника</w:t>
      </w:r>
      <w:r>
        <w:rPr>
          <w:b/>
          <w:i/>
          <w:spacing w:val="-6"/>
          <w:sz w:val="20"/>
        </w:rPr>
        <w:t> </w:t>
      </w:r>
      <w:r>
        <w:rPr>
          <w:b/>
          <w:i/>
          <w:sz w:val="20"/>
        </w:rPr>
        <w:t>«Люди,</w:t>
      </w:r>
      <w:r>
        <w:rPr>
          <w:b/>
          <w:i/>
          <w:spacing w:val="-6"/>
          <w:sz w:val="20"/>
        </w:rPr>
        <w:t> </w:t>
      </w:r>
      <w:r>
        <w:rPr>
          <w:b/>
          <w:i/>
          <w:sz w:val="20"/>
        </w:rPr>
        <w:t>которые</w:t>
      </w:r>
      <w:r>
        <w:rPr>
          <w:b/>
          <w:i/>
          <w:spacing w:val="-5"/>
          <w:sz w:val="20"/>
        </w:rPr>
        <w:t> </w:t>
      </w:r>
      <w:r>
        <w:rPr>
          <w:b/>
          <w:i/>
          <w:sz w:val="20"/>
        </w:rPr>
        <w:t>важны</w:t>
      </w:r>
      <w:r>
        <w:rPr>
          <w:b/>
          <w:i/>
          <w:spacing w:val="-6"/>
          <w:sz w:val="20"/>
        </w:rPr>
        <w:t> </w:t>
      </w:r>
      <w:r>
        <w:rPr>
          <w:b/>
          <w:i/>
          <w:sz w:val="20"/>
        </w:rPr>
        <w:t>в</w:t>
      </w:r>
      <w:r>
        <w:rPr>
          <w:b/>
          <w:i/>
          <w:spacing w:val="-5"/>
          <w:sz w:val="20"/>
        </w:rPr>
        <w:t> </w:t>
      </w:r>
      <w:r>
        <w:rPr>
          <w:b/>
          <w:i/>
          <w:sz w:val="20"/>
        </w:rPr>
        <w:t>моей</w:t>
      </w:r>
      <w:r>
        <w:rPr>
          <w:b/>
          <w:i/>
          <w:spacing w:val="-6"/>
          <w:sz w:val="20"/>
        </w:rPr>
        <w:t> </w:t>
      </w:r>
      <w:r>
        <w:rPr>
          <w:b/>
          <w:i/>
          <w:spacing w:val="-2"/>
          <w:sz w:val="20"/>
        </w:rPr>
        <w:t>жизни»</w:t>
      </w:r>
    </w:p>
    <w:p>
      <w:pPr>
        <w:pStyle w:val="BodyText"/>
        <w:spacing w:line="232" w:lineRule="auto" w:before="2"/>
      </w:pPr>
      <w:r>
        <w:rPr>
          <w:i/>
        </w:rPr>
        <w:t>Цели: </w:t>
      </w:r>
      <w:r>
        <w:rPr/>
        <w:t>формирование доверительных отношений и ощущения предсказуемости в отношениях</w:t>
      </w:r>
      <w:r>
        <w:rPr>
          <w:spacing w:val="-3"/>
        </w:rPr>
        <w:t> </w:t>
      </w:r>
      <w:r>
        <w:rPr/>
        <w:t>с</w:t>
      </w:r>
      <w:r>
        <w:rPr>
          <w:spacing w:val="-3"/>
        </w:rPr>
        <w:t> </w:t>
      </w:r>
      <w:r>
        <w:rPr/>
        <w:t>психологом;</w:t>
      </w:r>
      <w:r>
        <w:rPr>
          <w:spacing w:val="-3"/>
        </w:rPr>
        <w:t> </w:t>
      </w:r>
      <w:r>
        <w:rPr/>
        <w:t>построение</w:t>
      </w:r>
      <w:r>
        <w:rPr>
          <w:spacing w:val="-3"/>
        </w:rPr>
        <w:t> </w:t>
      </w:r>
      <w:r>
        <w:rPr/>
        <w:t>прочных,</w:t>
      </w:r>
      <w:r>
        <w:rPr>
          <w:spacing w:val="-3"/>
        </w:rPr>
        <w:t> </w:t>
      </w:r>
      <w:r>
        <w:rPr/>
        <w:t>безопасных</w:t>
      </w:r>
      <w:r>
        <w:rPr>
          <w:spacing w:val="-3"/>
        </w:rPr>
        <w:t> </w:t>
      </w:r>
      <w:r>
        <w:rPr/>
        <w:t>для</w:t>
      </w:r>
      <w:r>
        <w:rPr>
          <w:spacing w:val="-3"/>
        </w:rPr>
        <w:t> </w:t>
      </w:r>
      <w:r>
        <w:rPr/>
        <w:t>ребенка</w:t>
      </w:r>
      <w:r>
        <w:rPr>
          <w:spacing w:val="-3"/>
        </w:rPr>
        <w:t> </w:t>
      </w:r>
      <w:r>
        <w:rPr/>
        <w:t>терапевти- ческих отношений в работе с психологом.</w:t>
      </w:r>
    </w:p>
    <w:p>
      <w:pPr>
        <w:spacing w:line="217" w:lineRule="exact" w:before="0"/>
        <w:ind w:left="425" w:right="0" w:firstLine="0"/>
        <w:jc w:val="both"/>
        <w:rPr>
          <w:sz w:val="20"/>
        </w:rPr>
      </w:pPr>
      <w:r>
        <w:rPr>
          <w:i/>
          <w:sz w:val="20"/>
        </w:rPr>
        <w:t>Рекомендованный</w:t>
      </w:r>
      <w:r>
        <w:rPr>
          <w:i/>
          <w:spacing w:val="-10"/>
          <w:sz w:val="20"/>
        </w:rPr>
        <w:t> </w:t>
      </w:r>
      <w:r>
        <w:rPr>
          <w:i/>
          <w:sz w:val="20"/>
        </w:rPr>
        <w:t>возраст:</w:t>
      </w:r>
      <w:r>
        <w:rPr>
          <w:i/>
          <w:spacing w:val="-10"/>
          <w:sz w:val="20"/>
        </w:rPr>
        <w:t> </w:t>
      </w:r>
      <w:r>
        <w:rPr>
          <w:sz w:val="20"/>
        </w:rPr>
        <w:t>от</w:t>
      </w:r>
      <w:r>
        <w:rPr>
          <w:spacing w:val="-10"/>
          <w:sz w:val="20"/>
        </w:rPr>
        <w:t> </w:t>
      </w:r>
      <w:r>
        <w:rPr>
          <w:sz w:val="20"/>
        </w:rPr>
        <w:t>6</w:t>
      </w:r>
      <w:r>
        <w:rPr>
          <w:spacing w:val="-10"/>
          <w:sz w:val="20"/>
        </w:rPr>
        <w:t> </w:t>
      </w:r>
      <w:r>
        <w:rPr>
          <w:spacing w:val="-4"/>
          <w:sz w:val="20"/>
        </w:rPr>
        <w:t>лет.</w:t>
      </w:r>
    </w:p>
    <w:p>
      <w:pPr>
        <w:pStyle w:val="BodyText"/>
        <w:spacing w:line="232" w:lineRule="auto" w:before="2"/>
      </w:pPr>
      <w:r>
        <w:rPr>
          <w:i/>
        </w:rPr>
        <w:t>Источник:</w:t>
      </w:r>
      <w:r>
        <w:rPr>
          <w:i/>
          <w:spacing w:val="-12"/>
        </w:rPr>
        <w:t> </w:t>
      </w:r>
      <w:r>
        <w:rPr/>
        <w:t>концепция</w:t>
      </w:r>
      <w:r>
        <w:rPr>
          <w:spacing w:val="-12"/>
        </w:rPr>
        <w:t> </w:t>
      </w:r>
      <w:r>
        <w:rPr/>
        <w:t>социального</w:t>
      </w:r>
      <w:r>
        <w:rPr>
          <w:spacing w:val="-12"/>
        </w:rPr>
        <w:t> </w:t>
      </w:r>
      <w:r>
        <w:rPr/>
        <w:t>атома</w:t>
      </w:r>
      <w:r>
        <w:rPr>
          <w:spacing w:val="-12"/>
        </w:rPr>
        <w:t> </w:t>
      </w:r>
      <w:r>
        <w:rPr/>
        <w:t>Я.Л.</w:t>
      </w:r>
      <w:r>
        <w:rPr>
          <w:spacing w:val="-12"/>
        </w:rPr>
        <w:t> </w:t>
      </w:r>
      <w:r>
        <w:rPr/>
        <w:t>Морено</w:t>
      </w:r>
      <w:r>
        <w:rPr>
          <w:spacing w:val="-12"/>
        </w:rPr>
        <w:t> </w:t>
      </w:r>
      <w:r>
        <w:rPr/>
        <w:t>(Лейтц,</w:t>
      </w:r>
      <w:r>
        <w:rPr>
          <w:spacing w:val="-12"/>
        </w:rPr>
        <w:t> </w:t>
      </w:r>
      <w:r>
        <w:rPr/>
        <w:t>2022)</w:t>
      </w:r>
      <w:r>
        <w:rPr>
          <w:spacing w:val="-12"/>
        </w:rPr>
        <w:t> </w:t>
      </w:r>
      <w:r>
        <w:rPr/>
        <w:t>–</w:t>
      </w:r>
      <w:r>
        <w:rPr>
          <w:spacing w:val="-12"/>
        </w:rPr>
        <w:t> </w:t>
      </w:r>
      <w:r>
        <w:rPr/>
        <w:t>описание</w:t>
      </w:r>
      <w:r>
        <w:rPr>
          <w:spacing w:val="-12"/>
        </w:rPr>
        <w:t> </w:t>
      </w:r>
      <w:r>
        <w:rPr/>
        <w:t>и адаптация Л.А. Могуновой (Хухлаев, Павлова и др., 2022).</w:t>
      </w:r>
    </w:p>
    <w:p>
      <w:pPr>
        <w:pStyle w:val="BodyText"/>
        <w:spacing w:line="232" w:lineRule="auto"/>
      </w:pPr>
      <w:r>
        <w:rPr/>
        <w:t>Техника</w:t>
      </w:r>
      <w:r>
        <w:rPr>
          <w:spacing w:val="-11"/>
        </w:rPr>
        <w:t> </w:t>
      </w:r>
      <w:r>
        <w:rPr/>
        <w:t>подходит</w:t>
      </w:r>
      <w:r>
        <w:rPr>
          <w:spacing w:val="-11"/>
        </w:rPr>
        <w:t> </w:t>
      </w:r>
      <w:r>
        <w:rPr/>
        <w:t>для</w:t>
      </w:r>
      <w:r>
        <w:rPr>
          <w:spacing w:val="-11"/>
        </w:rPr>
        <w:t> </w:t>
      </w:r>
      <w:r>
        <w:rPr/>
        <w:t>начала</w:t>
      </w:r>
      <w:r>
        <w:rPr>
          <w:spacing w:val="-11"/>
        </w:rPr>
        <w:t> </w:t>
      </w:r>
      <w:r>
        <w:rPr/>
        <w:t>разговора</w:t>
      </w:r>
      <w:r>
        <w:rPr>
          <w:spacing w:val="-11"/>
        </w:rPr>
        <w:t> </w:t>
      </w:r>
      <w:r>
        <w:rPr/>
        <w:t>с</w:t>
      </w:r>
      <w:r>
        <w:rPr>
          <w:spacing w:val="-11"/>
        </w:rPr>
        <w:t> </w:t>
      </w:r>
      <w:r>
        <w:rPr/>
        <w:t>ребенком</w:t>
      </w:r>
      <w:r>
        <w:rPr>
          <w:spacing w:val="-11"/>
        </w:rPr>
        <w:t> </w:t>
      </w:r>
      <w:r>
        <w:rPr/>
        <w:t>о</w:t>
      </w:r>
      <w:r>
        <w:rPr>
          <w:spacing w:val="-11"/>
        </w:rPr>
        <w:t> </w:t>
      </w:r>
      <w:r>
        <w:rPr/>
        <w:t>нем</w:t>
      </w:r>
      <w:r>
        <w:rPr>
          <w:spacing w:val="-11"/>
        </w:rPr>
        <w:t> </w:t>
      </w:r>
      <w:r>
        <w:rPr/>
        <w:t>самом,</w:t>
      </w:r>
      <w:r>
        <w:rPr>
          <w:spacing w:val="-11"/>
        </w:rPr>
        <w:t> </w:t>
      </w:r>
      <w:r>
        <w:rPr/>
        <w:t>о</w:t>
      </w:r>
      <w:r>
        <w:rPr>
          <w:spacing w:val="-11"/>
        </w:rPr>
        <w:t> </w:t>
      </w:r>
      <w:r>
        <w:rPr/>
        <w:t>его</w:t>
      </w:r>
      <w:r>
        <w:rPr>
          <w:spacing w:val="-11"/>
        </w:rPr>
        <w:t> </w:t>
      </w:r>
      <w:r>
        <w:rPr/>
        <w:t>жизни,</w:t>
      </w:r>
      <w:r>
        <w:rPr>
          <w:spacing w:val="-11"/>
        </w:rPr>
        <w:t> </w:t>
      </w:r>
      <w:r>
        <w:rPr/>
        <w:t>что- бы понять, о чем он готов говорить открыто, а где присутствует избегание; о каких членах семьи или сферах жизни он предпочитает умалчивать, что отрицает.</w:t>
      </w:r>
    </w:p>
    <w:p>
      <w:pPr>
        <w:pStyle w:val="BodyText"/>
        <w:spacing w:line="232" w:lineRule="auto"/>
      </w:pPr>
      <w:r>
        <w:rPr/>
        <w:t>Ребенок рисует или размещает фигурки животных, предметы на устойчивой по- </w:t>
      </w:r>
      <w:r>
        <w:rPr>
          <w:spacing w:val="-2"/>
        </w:rPr>
        <w:t>верхности.</w:t>
      </w:r>
    </w:p>
    <w:p>
      <w:pPr>
        <w:pStyle w:val="ListParagraph"/>
        <w:numPr>
          <w:ilvl w:val="0"/>
          <w:numId w:val="186"/>
        </w:numPr>
        <w:tabs>
          <w:tab w:pos="423" w:val="left" w:leader="none"/>
          <w:tab w:pos="425" w:val="left" w:leader="none"/>
        </w:tabs>
        <w:spacing w:line="232" w:lineRule="auto" w:before="49" w:after="0"/>
        <w:ind w:left="425" w:right="139" w:hanging="284"/>
        <w:jc w:val="both"/>
        <w:rPr>
          <w:sz w:val="20"/>
        </w:rPr>
      </w:pPr>
      <w:r>
        <w:rPr>
          <w:sz w:val="20"/>
        </w:rPr>
        <w:t>Психолог предлагает ребенку показать себя и свое окружение в виде различных </w:t>
      </w:r>
      <w:r>
        <w:rPr>
          <w:spacing w:val="-2"/>
          <w:sz w:val="20"/>
        </w:rPr>
        <w:t>символов.</w:t>
      </w:r>
    </w:p>
    <w:p>
      <w:pPr>
        <w:pStyle w:val="BodyText"/>
        <w:spacing w:line="232" w:lineRule="auto"/>
        <w:ind w:right="140"/>
      </w:pPr>
      <w:r>
        <w:rPr/>
        <w:t>Первый</w:t>
      </w:r>
      <w:r>
        <w:rPr>
          <w:spacing w:val="-13"/>
        </w:rPr>
        <w:t> </w:t>
      </w:r>
      <w:r>
        <w:rPr/>
        <w:t>символ</w:t>
      </w:r>
      <w:r>
        <w:rPr>
          <w:spacing w:val="-12"/>
        </w:rPr>
        <w:t> </w:t>
      </w:r>
      <w:r>
        <w:rPr/>
        <w:t>ребенок</w:t>
      </w:r>
      <w:r>
        <w:rPr>
          <w:spacing w:val="-13"/>
        </w:rPr>
        <w:t> </w:t>
      </w:r>
      <w:r>
        <w:rPr/>
        <w:t>выбирает</w:t>
      </w:r>
      <w:r>
        <w:rPr>
          <w:spacing w:val="-12"/>
        </w:rPr>
        <w:t> </w:t>
      </w:r>
      <w:r>
        <w:rPr/>
        <w:t>для</w:t>
      </w:r>
      <w:r>
        <w:rPr>
          <w:spacing w:val="-13"/>
        </w:rPr>
        <w:t> </w:t>
      </w:r>
      <w:r>
        <w:rPr/>
        <w:t>себя</w:t>
      </w:r>
      <w:r>
        <w:rPr>
          <w:spacing w:val="-12"/>
        </w:rPr>
        <w:t> </w:t>
      </w:r>
      <w:r>
        <w:rPr/>
        <w:t>и</w:t>
      </w:r>
      <w:r>
        <w:rPr>
          <w:spacing w:val="-13"/>
        </w:rPr>
        <w:t> </w:t>
      </w:r>
      <w:r>
        <w:rPr/>
        <w:t>располагает</w:t>
      </w:r>
      <w:r>
        <w:rPr>
          <w:spacing w:val="-12"/>
        </w:rPr>
        <w:t> </w:t>
      </w:r>
      <w:r>
        <w:rPr/>
        <w:t>его</w:t>
      </w:r>
      <w:r>
        <w:rPr>
          <w:spacing w:val="-13"/>
        </w:rPr>
        <w:t> </w:t>
      </w:r>
      <w:r>
        <w:rPr/>
        <w:t>в</w:t>
      </w:r>
      <w:r>
        <w:rPr>
          <w:spacing w:val="-12"/>
        </w:rPr>
        <w:t> </w:t>
      </w:r>
      <w:r>
        <w:rPr/>
        <w:t>центре</w:t>
      </w:r>
      <w:r>
        <w:rPr>
          <w:spacing w:val="-13"/>
        </w:rPr>
        <w:t> </w:t>
      </w:r>
      <w:r>
        <w:rPr/>
        <w:t>листа/стола. Затем выбирает обозначения для людей, которые есть в его жизни, и размещает их вокруг первого символа (себя), находя каждому место ближе или дальше.</w:t>
      </w:r>
    </w:p>
    <w:p>
      <w:pPr>
        <w:pStyle w:val="ListParagraph"/>
        <w:numPr>
          <w:ilvl w:val="0"/>
          <w:numId w:val="186"/>
        </w:numPr>
        <w:tabs>
          <w:tab w:pos="423" w:val="left" w:leader="none"/>
          <w:tab w:pos="425" w:val="left" w:leader="none"/>
        </w:tabs>
        <w:spacing w:line="235" w:lineRule="auto" w:before="51" w:after="0"/>
        <w:ind w:left="425" w:right="139" w:hanging="284"/>
        <w:jc w:val="both"/>
        <w:rPr>
          <w:sz w:val="20"/>
        </w:rPr>
      </w:pPr>
      <w:r>
        <w:rPr>
          <w:sz w:val="20"/>
        </w:rPr>
        <w:t>Психолог просит ребенка представить каждого, описать отношения с ним и рас- сказать, почему был выбран тот или иной символ/рисунок/фигурка. В этом вари- анте</w:t>
      </w:r>
      <w:r>
        <w:rPr>
          <w:spacing w:val="-13"/>
          <w:sz w:val="20"/>
        </w:rPr>
        <w:t> </w:t>
      </w:r>
      <w:r>
        <w:rPr>
          <w:sz w:val="20"/>
        </w:rPr>
        <w:t>методики</w:t>
      </w:r>
      <w:r>
        <w:rPr>
          <w:spacing w:val="-12"/>
          <w:sz w:val="20"/>
        </w:rPr>
        <w:t> </w:t>
      </w:r>
      <w:r>
        <w:rPr>
          <w:sz w:val="20"/>
        </w:rPr>
        <w:t>важно</w:t>
      </w:r>
      <w:r>
        <w:rPr>
          <w:spacing w:val="-13"/>
          <w:sz w:val="20"/>
        </w:rPr>
        <w:t> </w:t>
      </w:r>
      <w:r>
        <w:rPr>
          <w:sz w:val="20"/>
        </w:rPr>
        <w:t>дать</w:t>
      </w:r>
      <w:r>
        <w:rPr>
          <w:spacing w:val="-12"/>
          <w:sz w:val="20"/>
        </w:rPr>
        <w:t> </w:t>
      </w:r>
      <w:r>
        <w:rPr>
          <w:sz w:val="20"/>
        </w:rPr>
        <w:t>ребенку</w:t>
      </w:r>
      <w:r>
        <w:rPr>
          <w:spacing w:val="-13"/>
          <w:sz w:val="20"/>
        </w:rPr>
        <w:t> </w:t>
      </w:r>
      <w:r>
        <w:rPr>
          <w:sz w:val="20"/>
        </w:rPr>
        <w:t>свободу</w:t>
      </w:r>
      <w:r>
        <w:rPr>
          <w:spacing w:val="-12"/>
          <w:sz w:val="20"/>
        </w:rPr>
        <w:t> </w:t>
      </w:r>
      <w:r>
        <w:rPr>
          <w:sz w:val="20"/>
        </w:rPr>
        <w:t>в</w:t>
      </w:r>
      <w:r>
        <w:rPr>
          <w:spacing w:val="-13"/>
          <w:sz w:val="20"/>
        </w:rPr>
        <w:t> </w:t>
      </w:r>
      <w:r>
        <w:rPr>
          <w:sz w:val="20"/>
        </w:rPr>
        <w:t>выборе</w:t>
      </w:r>
      <w:r>
        <w:rPr>
          <w:spacing w:val="-12"/>
          <w:sz w:val="20"/>
        </w:rPr>
        <w:t> </w:t>
      </w:r>
      <w:r>
        <w:rPr>
          <w:sz w:val="20"/>
        </w:rPr>
        <w:t>людей,</w:t>
      </w:r>
      <w:r>
        <w:rPr>
          <w:spacing w:val="-13"/>
          <w:sz w:val="20"/>
        </w:rPr>
        <w:t> </w:t>
      </w:r>
      <w:r>
        <w:rPr>
          <w:sz w:val="20"/>
        </w:rPr>
        <w:t>которых</w:t>
      </w:r>
      <w:r>
        <w:rPr>
          <w:spacing w:val="-12"/>
          <w:sz w:val="20"/>
        </w:rPr>
        <w:t> </w:t>
      </w:r>
      <w:r>
        <w:rPr>
          <w:sz w:val="20"/>
        </w:rPr>
        <w:t>он</w:t>
      </w:r>
      <w:r>
        <w:rPr>
          <w:spacing w:val="-13"/>
          <w:sz w:val="20"/>
        </w:rPr>
        <w:t> </w:t>
      </w:r>
      <w:r>
        <w:rPr>
          <w:sz w:val="20"/>
        </w:rPr>
        <w:t>разместит вокруг себя.</w:t>
      </w:r>
    </w:p>
    <w:p>
      <w:pPr>
        <w:pStyle w:val="BodyText"/>
        <w:spacing w:line="225" w:lineRule="exact"/>
        <w:ind w:left="425" w:right="0" w:firstLine="0"/>
      </w:pPr>
      <w:r>
        <w:rPr/>
        <w:t>Психолог</w:t>
      </w:r>
      <w:r>
        <w:rPr>
          <w:spacing w:val="-11"/>
        </w:rPr>
        <w:t> </w:t>
      </w:r>
      <w:r>
        <w:rPr/>
        <w:t>может</w:t>
      </w:r>
      <w:r>
        <w:rPr>
          <w:spacing w:val="-9"/>
        </w:rPr>
        <w:t> </w:t>
      </w:r>
      <w:r>
        <w:rPr/>
        <w:t>задать</w:t>
      </w:r>
      <w:r>
        <w:rPr>
          <w:spacing w:val="-10"/>
        </w:rPr>
        <w:t> </w:t>
      </w:r>
      <w:r>
        <w:rPr>
          <w:spacing w:val="-2"/>
        </w:rPr>
        <w:t>вопросы:</w:t>
      </w:r>
    </w:p>
    <w:p>
      <w:pPr>
        <w:spacing w:line="226" w:lineRule="exact" w:before="0"/>
        <w:ind w:left="425" w:right="0" w:firstLine="0"/>
        <w:jc w:val="both"/>
        <w:rPr>
          <w:i/>
          <w:sz w:val="20"/>
        </w:rPr>
      </w:pPr>
      <w:r>
        <w:rPr>
          <w:i/>
          <w:sz w:val="20"/>
        </w:rPr>
        <w:t>−</w:t>
      </w:r>
      <w:r>
        <w:rPr>
          <w:i/>
          <w:spacing w:val="64"/>
          <w:w w:val="150"/>
          <w:sz w:val="20"/>
        </w:rPr>
        <w:t> </w:t>
      </w:r>
      <w:r>
        <w:rPr>
          <w:i/>
          <w:sz w:val="20"/>
        </w:rPr>
        <w:t>Что</w:t>
      </w:r>
      <w:r>
        <w:rPr>
          <w:i/>
          <w:spacing w:val="-2"/>
          <w:sz w:val="20"/>
        </w:rPr>
        <w:t> </w:t>
      </w:r>
      <w:r>
        <w:rPr>
          <w:i/>
          <w:sz w:val="20"/>
        </w:rPr>
        <w:t>значит</w:t>
      </w:r>
      <w:r>
        <w:rPr>
          <w:i/>
          <w:spacing w:val="-4"/>
          <w:sz w:val="20"/>
        </w:rPr>
        <w:t> </w:t>
      </w:r>
      <w:r>
        <w:rPr>
          <w:i/>
          <w:sz w:val="20"/>
        </w:rPr>
        <w:t>для</w:t>
      </w:r>
      <w:r>
        <w:rPr>
          <w:i/>
          <w:spacing w:val="-2"/>
          <w:sz w:val="20"/>
        </w:rPr>
        <w:t> </w:t>
      </w:r>
      <w:r>
        <w:rPr>
          <w:i/>
          <w:sz w:val="20"/>
        </w:rPr>
        <w:t>тебя</w:t>
      </w:r>
      <w:r>
        <w:rPr>
          <w:i/>
          <w:spacing w:val="-2"/>
          <w:sz w:val="20"/>
        </w:rPr>
        <w:t> </w:t>
      </w:r>
      <w:r>
        <w:rPr>
          <w:i/>
          <w:sz w:val="20"/>
        </w:rPr>
        <w:t>этот</w:t>
      </w:r>
      <w:r>
        <w:rPr>
          <w:i/>
          <w:spacing w:val="-3"/>
          <w:sz w:val="20"/>
        </w:rPr>
        <w:t> </w:t>
      </w:r>
      <w:r>
        <w:rPr>
          <w:i/>
          <w:spacing w:val="-2"/>
          <w:sz w:val="20"/>
        </w:rPr>
        <w:t>человек?</w:t>
      </w:r>
    </w:p>
    <w:p>
      <w:pPr>
        <w:spacing w:line="235" w:lineRule="auto" w:before="2"/>
        <w:ind w:left="708" w:right="0" w:hanging="284"/>
        <w:jc w:val="left"/>
        <w:rPr>
          <w:i/>
          <w:sz w:val="20"/>
        </w:rPr>
      </w:pPr>
      <w:r>
        <w:rPr>
          <w:i/>
          <w:sz w:val="20"/>
        </w:rPr>
        <w:t>−</w:t>
      </w:r>
      <w:r>
        <w:rPr>
          <w:i/>
          <w:spacing w:val="80"/>
          <w:sz w:val="20"/>
        </w:rPr>
        <w:t> </w:t>
      </w:r>
      <w:r>
        <w:rPr>
          <w:i/>
          <w:sz w:val="20"/>
        </w:rPr>
        <w:t>Как бы ты охарактеризовал(а) ваши отношения? Что в них нравится, а что </w:t>
      </w:r>
      <w:r>
        <w:rPr>
          <w:i/>
          <w:spacing w:val="-4"/>
          <w:sz w:val="20"/>
        </w:rPr>
        <w:t>нет?</w:t>
      </w:r>
    </w:p>
    <w:p>
      <w:pPr>
        <w:spacing w:line="225" w:lineRule="exact" w:before="0"/>
        <w:ind w:left="425" w:right="0" w:firstLine="0"/>
        <w:jc w:val="left"/>
        <w:rPr>
          <w:i/>
          <w:sz w:val="20"/>
        </w:rPr>
      </w:pPr>
      <w:r>
        <w:rPr>
          <w:i/>
          <w:sz w:val="20"/>
        </w:rPr>
        <w:t>−</w:t>
      </w:r>
      <w:r>
        <w:rPr>
          <w:i/>
          <w:spacing w:val="67"/>
          <w:w w:val="150"/>
          <w:sz w:val="20"/>
        </w:rPr>
        <w:t> </w:t>
      </w:r>
      <w:r>
        <w:rPr>
          <w:i/>
          <w:sz w:val="20"/>
        </w:rPr>
        <w:t>Кого</w:t>
      </w:r>
      <w:r>
        <w:rPr>
          <w:i/>
          <w:spacing w:val="-2"/>
          <w:sz w:val="20"/>
        </w:rPr>
        <w:t> </w:t>
      </w:r>
      <w:r>
        <w:rPr>
          <w:i/>
          <w:sz w:val="20"/>
        </w:rPr>
        <w:t>бы</w:t>
      </w:r>
      <w:r>
        <w:rPr>
          <w:i/>
          <w:spacing w:val="-3"/>
          <w:sz w:val="20"/>
        </w:rPr>
        <w:t> </w:t>
      </w:r>
      <w:r>
        <w:rPr>
          <w:i/>
          <w:sz w:val="20"/>
        </w:rPr>
        <w:t>еще</w:t>
      </w:r>
      <w:r>
        <w:rPr>
          <w:i/>
          <w:spacing w:val="-2"/>
          <w:sz w:val="20"/>
        </w:rPr>
        <w:t> </w:t>
      </w:r>
      <w:r>
        <w:rPr>
          <w:i/>
          <w:sz w:val="20"/>
        </w:rPr>
        <w:t>ты</w:t>
      </w:r>
      <w:r>
        <w:rPr>
          <w:i/>
          <w:spacing w:val="-3"/>
          <w:sz w:val="20"/>
        </w:rPr>
        <w:t> </w:t>
      </w:r>
      <w:r>
        <w:rPr>
          <w:i/>
          <w:sz w:val="20"/>
        </w:rPr>
        <w:t>хотел(а)</w:t>
      </w:r>
      <w:r>
        <w:rPr>
          <w:i/>
          <w:spacing w:val="-1"/>
          <w:sz w:val="20"/>
        </w:rPr>
        <w:t> </w:t>
      </w:r>
      <w:r>
        <w:rPr>
          <w:i/>
          <w:spacing w:val="-2"/>
          <w:sz w:val="20"/>
        </w:rPr>
        <w:t>разместить?</w:t>
      </w:r>
    </w:p>
    <w:p>
      <w:pPr>
        <w:spacing w:line="226" w:lineRule="exact" w:before="0"/>
        <w:ind w:left="425" w:right="0" w:firstLine="0"/>
        <w:jc w:val="left"/>
        <w:rPr>
          <w:i/>
          <w:sz w:val="20"/>
        </w:rPr>
      </w:pPr>
      <w:r>
        <w:rPr>
          <w:i/>
          <w:sz w:val="20"/>
        </w:rPr>
        <w:t>−</w:t>
      </w:r>
      <w:r>
        <w:rPr>
          <w:i/>
          <w:spacing w:val="69"/>
          <w:w w:val="150"/>
          <w:sz w:val="20"/>
        </w:rPr>
        <w:t> </w:t>
      </w:r>
      <w:r>
        <w:rPr>
          <w:i/>
          <w:sz w:val="20"/>
        </w:rPr>
        <w:t>Каких</w:t>
      </w:r>
      <w:r>
        <w:rPr>
          <w:i/>
          <w:spacing w:val="-1"/>
          <w:sz w:val="20"/>
        </w:rPr>
        <w:t> </w:t>
      </w:r>
      <w:r>
        <w:rPr>
          <w:i/>
          <w:sz w:val="20"/>
        </w:rPr>
        <w:t>людей</w:t>
      </w:r>
      <w:r>
        <w:rPr>
          <w:i/>
          <w:spacing w:val="-1"/>
          <w:sz w:val="20"/>
        </w:rPr>
        <w:t> </w:t>
      </w:r>
      <w:r>
        <w:rPr>
          <w:i/>
          <w:sz w:val="20"/>
        </w:rPr>
        <w:t>теперь</w:t>
      </w:r>
      <w:r>
        <w:rPr>
          <w:i/>
          <w:spacing w:val="-2"/>
          <w:sz w:val="20"/>
        </w:rPr>
        <w:t> </w:t>
      </w:r>
      <w:r>
        <w:rPr>
          <w:i/>
          <w:sz w:val="20"/>
        </w:rPr>
        <w:t>здесь</w:t>
      </w:r>
      <w:r>
        <w:rPr>
          <w:i/>
          <w:spacing w:val="-2"/>
          <w:sz w:val="20"/>
        </w:rPr>
        <w:t> </w:t>
      </w:r>
      <w:r>
        <w:rPr>
          <w:i/>
          <w:spacing w:val="-4"/>
          <w:sz w:val="20"/>
        </w:rPr>
        <w:t>нет?</w:t>
      </w:r>
    </w:p>
    <w:p>
      <w:pPr>
        <w:pStyle w:val="BodyText"/>
        <w:spacing w:line="235" w:lineRule="auto" w:before="2"/>
      </w:pPr>
      <w:r>
        <w:rPr/>
        <w:t>Психологу</w:t>
      </w:r>
      <w:r>
        <w:rPr>
          <w:spacing w:val="-7"/>
        </w:rPr>
        <w:t> </w:t>
      </w:r>
      <w:r>
        <w:rPr/>
        <w:t>не</w:t>
      </w:r>
      <w:r>
        <w:rPr>
          <w:spacing w:val="-7"/>
        </w:rPr>
        <w:t> </w:t>
      </w:r>
      <w:r>
        <w:rPr/>
        <w:t>стоит</w:t>
      </w:r>
      <w:r>
        <w:rPr>
          <w:spacing w:val="-7"/>
        </w:rPr>
        <w:t> </w:t>
      </w:r>
      <w:r>
        <w:rPr/>
        <w:t>давать</w:t>
      </w:r>
      <w:r>
        <w:rPr>
          <w:spacing w:val="-7"/>
        </w:rPr>
        <w:t> </w:t>
      </w:r>
      <w:r>
        <w:rPr/>
        <w:t>ребенку</w:t>
      </w:r>
      <w:r>
        <w:rPr>
          <w:spacing w:val="-7"/>
        </w:rPr>
        <w:t> </w:t>
      </w:r>
      <w:r>
        <w:rPr/>
        <w:t>советы,</w:t>
      </w:r>
      <w:r>
        <w:rPr>
          <w:spacing w:val="-7"/>
        </w:rPr>
        <w:t> </w:t>
      </w:r>
      <w:r>
        <w:rPr/>
        <w:t>предлагать</w:t>
      </w:r>
      <w:r>
        <w:rPr>
          <w:spacing w:val="-7"/>
        </w:rPr>
        <w:t> </w:t>
      </w:r>
      <w:r>
        <w:rPr/>
        <w:t>добавить</w:t>
      </w:r>
      <w:r>
        <w:rPr>
          <w:spacing w:val="-7"/>
        </w:rPr>
        <w:t> </w:t>
      </w:r>
      <w:r>
        <w:rPr/>
        <w:t>кого-то</w:t>
      </w:r>
      <w:r>
        <w:rPr>
          <w:spacing w:val="-7"/>
        </w:rPr>
        <w:t> </w:t>
      </w:r>
      <w:r>
        <w:rPr/>
        <w:t>конкрет- ного</w:t>
      </w:r>
      <w:r>
        <w:rPr>
          <w:spacing w:val="-13"/>
        </w:rPr>
        <w:t> </w:t>
      </w:r>
      <w:r>
        <w:rPr/>
        <w:t>или</w:t>
      </w:r>
      <w:r>
        <w:rPr>
          <w:spacing w:val="-12"/>
        </w:rPr>
        <w:t> </w:t>
      </w:r>
      <w:r>
        <w:rPr/>
        <w:t>оценивать</w:t>
      </w:r>
      <w:r>
        <w:rPr>
          <w:spacing w:val="-12"/>
        </w:rPr>
        <w:t> </w:t>
      </w:r>
      <w:r>
        <w:rPr/>
        <w:t>отношения.</w:t>
      </w:r>
      <w:r>
        <w:rPr>
          <w:spacing w:val="-12"/>
        </w:rPr>
        <w:t> </w:t>
      </w:r>
      <w:r>
        <w:rPr/>
        <w:t>Важно</w:t>
      </w:r>
      <w:r>
        <w:rPr>
          <w:spacing w:val="-13"/>
        </w:rPr>
        <w:t> </w:t>
      </w:r>
      <w:r>
        <w:rPr/>
        <w:t>предоставить</w:t>
      </w:r>
      <w:r>
        <w:rPr>
          <w:spacing w:val="-12"/>
        </w:rPr>
        <w:t> </w:t>
      </w:r>
      <w:r>
        <w:rPr/>
        <w:t>ребенку</w:t>
      </w:r>
      <w:r>
        <w:rPr>
          <w:spacing w:val="-12"/>
        </w:rPr>
        <w:t> </w:t>
      </w:r>
      <w:r>
        <w:rPr/>
        <w:t>пространство</w:t>
      </w:r>
      <w:r>
        <w:rPr>
          <w:spacing w:val="-12"/>
        </w:rPr>
        <w:t> </w:t>
      </w:r>
      <w:r>
        <w:rPr/>
        <w:t>для</w:t>
      </w:r>
      <w:r>
        <w:rPr>
          <w:spacing w:val="-12"/>
        </w:rPr>
        <w:t> </w:t>
      </w:r>
      <w:r>
        <w:rPr/>
        <w:t>выра- жения мыслей и чувств по поводу его окружения.</w:t>
      </w:r>
    </w:p>
    <w:p>
      <w:pPr>
        <w:pStyle w:val="BodyText"/>
        <w:spacing w:after="0" w:line="235" w:lineRule="auto"/>
        <w:sectPr>
          <w:pgSz w:w="8400" w:h="11910"/>
          <w:pgMar w:header="0" w:footer="529" w:top="400" w:bottom="740" w:left="425" w:right="425"/>
        </w:sectPr>
      </w:pPr>
    </w:p>
    <w:p>
      <w:pPr>
        <w:pStyle w:val="ListParagraph"/>
        <w:numPr>
          <w:ilvl w:val="1"/>
          <w:numId w:val="187"/>
        </w:numPr>
        <w:tabs>
          <w:tab w:pos="455" w:val="left" w:leader="none"/>
        </w:tabs>
        <w:spacing w:line="240" w:lineRule="auto" w:before="80" w:after="0"/>
        <w:ind w:left="455" w:right="0" w:hanging="314"/>
        <w:jc w:val="both"/>
        <w:rPr>
          <w:rFonts w:ascii="Georgia" w:hAnsi="Georgia"/>
          <w:sz w:val="18"/>
        </w:rPr>
      </w:pPr>
      <w:r>
        <w:rPr>
          <w:rFonts w:ascii="Georgia" w:hAnsi="Georgia"/>
          <w:color w:val="231F20"/>
          <w:sz w:val="18"/>
        </w:rPr>
        <w:t>Приемы</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2"/>
          <w:sz w:val="18"/>
        </w:rPr>
        <w:t> </w:t>
      </w:r>
      <w:r>
        <w:rPr>
          <w:rFonts w:ascii="Georgia" w:hAnsi="Georgia"/>
          <w:color w:val="231F20"/>
          <w:sz w:val="18"/>
        </w:rPr>
        <w:t>с</w:t>
      </w:r>
      <w:r>
        <w:rPr>
          <w:rFonts w:ascii="Georgia" w:hAnsi="Georgia"/>
          <w:color w:val="231F20"/>
          <w:spacing w:val="2"/>
          <w:sz w:val="18"/>
        </w:rPr>
        <w:t> </w:t>
      </w:r>
      <w:r>
        <w:rPr>
          <w:rFonts w:ascii="Georgia" w:hAnsi="Georgia"/>
          <w:color w:val="231F20"/>
          <w:sz w:val="18"/>
        </w:rPr>
        <w:t>психологической</w:t>
      </w:r>
      <w:r>
        <w:rPr>
          <w:rFonts w:ascii="Georgia" w:hAnsi="Georgia"/>
          <w:color w:val="231F20"/>
          <w:spacing w:val="2"/>
          <w:sz w:val="18"/>
        </w:rPr>
        <w:t> </w:t>
      </w:r>
      <w:r>
        <w:rPr>
          <w:rFonts w:ascii="Georgia" w:hAnsi="Georgia"/>
          <w:color w:val="231F20"/>
          <w:spacing w:val="-2"/>
          <w:sz w:val="18"/>
        </w:rPr>
        <w:t>травмой</w:t>
      </w:r>
    </w:p>
    <w:p>
      <w:pPr>
        <w:spacing w:line="224" w:lineRule="exact" w:before="109"/>
        <w:ind w:left="425" w:right="0" w:firstLine="0"/>
        <w:jc w:val="left"/>
        <w:rPr>
          <w:b/>
          <w:i/>
          <w:sz w:val="20"/>
        </w:rPr>
      </w:pPr>
      <w:r>
        <w:rPr>
          <w:b/>
          <w:i/>
          <w:sz w:val="20"/>
        </w:rPr>
        <w:t>Техника</w:t>
      </w:r>
      <w:r>
        <w:rPr>
          <w:b/>
          <w:i/>
          <w:spacing w:val="-12"/>
          <w:sz w:val="20"/>
        </w:rPr>
        <w:t> </w:t>
      </w:r>
      <w:r>
        <w:rPr>
          <w:b/>
          <w:i/>
          <w:sz w:val="20"/>
        </w:rPr>
        <w:t>«Безопасное</w:t>
      </w:r>
      <w:r>
        <w:rPr>
          <w:b/>
          <w:i/>
          <w:spacing w:val="-11"/>
          <w:sz w:val="20"/>
        </w:rPr>
        <w:t> </w:t>
      </w:r>
      <w:r>
        <w:rPr>
          <w:b/>
          <w:i/>
          <w:spacing w:val="-2"/>
          <w:sz w:val="20"/>
        </w:rPr>
        <w:t>место»</w:t>
      </w:r>
    </w:p>
    <w:p>
      <w:pPr>
        <w:pStyle w:val="BodyText"/>
        <w:spacing w:line="218" w:lineRule="exact"/>
        <w:ind w:left="425" w:right="0" w:firstLine="0"/>
        <w:jc w:val="left"/>
      </w:pPr>
      <w:r>
        <w:rPr>
          <w:i/>
        </w:rPr>
        <w:t>Цель:</w:t>
      </w:r>
      <w:r>
        <w:rPr>
          <w:i/>
          <w:spacing w:val="-8"/>
        </w:rPr>
        <w:t> </w:t>
      </w:r>
      <w:r>
        <w:rPr/>
        <w:t>создание</w:t>
      </w:r>
      <w:r>
        <w:rPr>
          <w:spacing w:val="-5"/>
        </w:rPr>
        <w:t> </w:t>
      </w:r>
      <w:r>
        <w:rPr/>
        <w:t>пространства</w:t>
      </w:r>
      <w:r>
        <w:rPr>
          <w:spacing w:val="-5"/>
        </w:rPr>
        <w:t> </w:t>
      </w:r>
      <w:r>
        <w:rPr/>
        <w:t>безопасности</w:t>
      </w:r>
      <w:r>
        <w:rPr>
          <w:spacing w:val="-6"/>
        </w:rPr>
        <w:t> </w:t>
      </w:r>
      <w:r>
        <w:rPr/>
        <w:t>на</w:t>
      </w:r>
      <w:r>
        <w:rPr>
          <w:spacing w:val="-5"/>
        </w:rPr>
        <w:t> </w:t>
      </w:r>
      <w:r>
        <w:rPr/>
        <w:t>психологической</w:t>
      </w:r>
      <w:r>
        <w:rPr>
          <w:spacing w:val="-5"/>
        </w:rPr>
        <w:t> </w:t>
      </w:r>
      <w:r>
        <w:rPr>
          <w:spacing w:val="-2"/>
        </w:rPr>
        <w:t>сессии.</w:t>
      </w:r>
    </w:p>
    <w:p>
      <w:pPr>
        <w:spacing w:line="218" w:lineRule="exact" w:before="0"/>
        <w:ind w:left="425" w:right="0" w:firstLine="0"/>
        <w:jc w:val="left"/>
        <w:rPr>
          <w:sz w:val="20"/>
        </w:rPr>
      </w:pPr>
      <w:r>
        <w:rPr>
          <w:i/>
          <w:sz w:val="20"/>
        </w:rPr>
        <w:t>Рекомендованный</w:t>
      </w:r>
      <w:r>
        <w:rPr>
          <w:i/>
          <w:spacing w:val="-10"/>
          <w:sz w:val="20"/>
        </w:rPr>
        <w:t> </w:t>
      </w:r>
      <w:r>
        <w:rPr>
          <w:i/>
          <w:sz w:val="20"/>
        </w:rPr>
        <w:t>возраст:</w:t>
      </w:r>
      <w:r>
        <w:rPr>
          <w:i/>
          <w:spacing w:val="-10"/>
          <w:sz w:val="20"/>
        </w:rPr>
        <w:t> </w:t>
      </w:r>
      <w:r>
        <w:rPr>
          <w:sz w:val="20"/>
        </w:rPr>
        <w:t>от</w:t>
      </w:r>
      <w:r>
        <w:rPr>
          <w:spacing w:val="-10"/>
          <w:sz w:val="20"/>
        </w:rPr>
        <w:t> </w:t>
      </w:r>
      <w:r>
        <w:rPr>
          <w:sz w:val="20"/>
        </w:rPr>
        <w:t>9</w:t>
      </w:r>
      <w:r>
        <w:rPr>
          <w:spacing w:val="-10"/>
          <w:sz w:val="20"/>
        </w:rPr>
        <w:t> </w:t>
      </w:r>
      <w:r>
        <w:rPr>
          <w:spacing w:val="-4"/>
          <w:sz w:val="20"/>
        </w:rPr>
        <w:t>лет.</w:t>
      </w:r>
    </w:p>
    <w:p>
      <w:pPr>
        <w:pStyle w:val="BodyText"/>
        <w:spacing w:line="228" w:lineRule="auto" w:before="3"/>
        <w:ind w:right="140"/>
      </w:pPr>
      <w:r>
        <w:rPr>
          <w:i/>
        </w:rPr>
        <w:t>Источник: </w:t>
      </w:r>
      <w:r>
        <w:rPr/>
        <w:t>авторский тренинг С.С. Смирновой по работе с шоковой травмой (Хухлаев, Павлова и др., 2022).</w:t>
      </w:r>
    </w:p>
    <w:p>
      <w:pPr>
        <w:pStyle w:val="BodyText"/>
        <w:spacing w:line="225" w:lineRule="auto" w:before="1"/>
      </w:pPr>
      <w:r>
        <w:rPr/>
        <w:t>Благодаря</w:t>
      </w:r>
      <w:r>
        <w:rPr>
          <w:spacing w:val="-13"/>
        </w:rPr>
        <w:t> </w:t>
      </w:r>
      <w:r>
        <w:rPr/>
        <w:t>технике</w:t>
      </w:r>
      <w:r>
        <w:rPr>
          <w:spacing w:val="-12"/>
        </w:rPr>
        <w:t> </w:t>
      </w:r>
      <w:r>
        <w:rPr/>
        <w:t>уставший</w:t>
      </w:r>
      <w:r>
        <w:rPr>
          <w:spacing w:val="-13"/>
        </w:rPr>
        <w:t> </w:t>
      </w:r>
      <w:r>
        <w:rPr/>
        <w:t>ребенок</w:t>
      </w:r>
      <w:r>
        <w:rPr>
          <w:spacing w:val="-12"/>
        </w:rPr>
        <w:t> </w:t>
      </w:r>
      <w:r>
        <w:rPr/>
        <w:t>может</w:t>
      </w:r>
      <w:r>
        <w:rPr>
          <w:spacing w:val="-13"/>
        </w:rPr>
        <w:t> </w:t>
      </w:r>
      <w:r>
        <w:rPr/>
        <w:t>расслабиться,</w:t>
      </w:r>
      <w:r>
        <w:rPr>
          <w:spacing w:val="-12"/>
        </w:rPr>
        <w:t> </w:t>
      </w:r>
      <w:r>
        <w:rPr/>
        <w:t>выдохнуть,</w:t>
      </w:r>
      <w:r>
        <w:rPr>
          <w:spacing w:val="-13"/>
        </w:rPr>
        <w:t> </w:t>
      </w:r>
      <w:r>
        <w:rPr/>
        <w:t>снять</w:t>
      </w:r>
      <w:r>
        <w:rPr>
          <w:spacing w:val="-12"/>
        </w:rPr>
        <w:t> </w:t>
      </w:r>
      <w:r>
        <w:rPr/>
        <w:t>нако- пившееся</w:t>
      </w:r>
      <w:r>
        <w:rPr>
          <w:spacing w:val="-7"/>
        </w:rPr>
        <w:t> </w:t>
      </w:r>
      <w:r>
        <w:rPr/>
        <w:t>напряжение,</w:t>
      </w:r>
      <w:r>
        <w:rPr>
          <w:spacing w:val="-7"/>
        </w:rPr>
        <w:t> </w:t>
      </w:r>
      <w:r>
        <w:rPr/>
        <w:t>в</w:t>
      </w:r>
      <w:r>
        <w:rPr>
          <w:spacing w:val="-7"/>
        </w:rPr>
        <w:t> </w:t>
      </w:r>
      <w:r>
        <w:rPr/>
        <w:t>том</w:t>
      </w:r>
      <w:r>
        <w:rPr>
          <w:spacing w:val="-7"/>
        </w:rPr>
        <w:t> </w:t>
      </w:r>
      <w:r>
        <w:rPr/>
        <w:t>числе</w:t>
      </w:r>
      <w:r>
        <w:rPr>
          <w:spacing w:val="-7"/>
        </w:rPr>
        <w:t> </w:t>
      </w:r>
      <w:r>
        <w:rPr/>
        <w:t>физическое,</w:t>
      </w:r>
      <w:r>
        <w:rPr>
          <w:spacing w:val="-7"/>
        </w:rPr>
        <w:t> </w:t>
      </w:r>
      <w:r>
        <w:rPr/>
        <w:t>и</w:t>
      </w:r>
      <w:r>
        <w:rPr>
          <w:spacing w:val="-7"/>
        </w:rPr>
        <w:t> </w:t>
      </w:r>
      <w:r>
        <w:rPr/>
        <w:t>восстановить</w:t>
      </w:r>
      <w:r>
        <w:rPr>
          <w:spacing w:val="-7"/>
        </w:rPr>
        <w:t> </w:t>
      </w:r>
      <w:r>
        <w:rPr/>
        <w:t>силы.</w:t>
      </w:r>
      <w:r>
        <w:rPr>
          <w:spacing w:val="-7"/>
        </w:rPr>
        <w:t> </w:t>
      </w:r>
      <w:r>
        <w:rPr/>
        <w:t>Техника</w:t>
      </w:r>
      <w:r>
        <w:rPr>
          <w:spacing w:val="-7"/>
        </w:rPr>
        <w:t> </w:t>
      </w:r>
      <w:r>
        <w:rPr/>
        <w:t>может применяться</w:t>
      </w:r>
      <w:r>
        <w:rPr>
          <w:spacing w:val="-7"/>
        </w:rPr>
        <w:t> </w:t>
      </w:r>
      <w:r>
        <w:rPr/>
        <w:t>на</w:t>
      </w:r>
      <w:r>
        <w:rPr>
          <w:spacing w:val="-7"/>
        </w:rPr>
        <w:t> </w:t>
      </w:r>
      <w:r>
        <w:rPr/>
        <w:t>начальном</w:t>
      </w:r>
      <w:r>
        <w:rPr>
          <w:spacing w:val="-7"/>
        </w:rPr>
        <w:t> </w:t>
      </w:r>
      <w:r>
        <w:rPr/>
        <w:t>этапе</w:t>
      </w:r>
      <w:r>
        <w:rPr>
          <w:spacing w:val="-7"/>
        </w:rPr>
        <w:t> </w:t>
      </w:r>
      <w:r>
        <w:rPr/>
        <w:t>общения</w:t>
      </w:r>
      <w:r>
        <w:rPr>
          <w:spacing w:val="-7"/>
        </w:rPr>
        <w:t> </w:t>
      </w:r>
      <w:r>
        <w:rPr/>
        <w:t>с</w:t>
      </w:r>
      <w:r>
        <w:rPr>
          <w:spacing w:val="-7"/>
        </w:rPr>
        <w:t> </w:t>
      </w:r>
      <w:r>
        <w:rPr/>
        <w:t>психологом,</w:t>
      </w:r>
      <w:r>
        <w:rPr>
          <w:spacing w:val="-7"/>
        </w:rPr>
        <w:t> </w:t>
      </w:r>
      <w:r>
        <w:rPr/>
        <w:t>чтобы</w:t>
      </w:r>
      <w:r>
        <w:rPr>
          <w:spacing w:val="-7"/>
        </w:rPr>
        <w:t> </w:t>
      </w:r>
      <w:r>
        <w:rPr/>
        <w:t>создать</w:t>
      </w:r>
      <w:r>
        <w:rPr>
          <w:spacing w:val="-7"/>
        </w:rPr>
        <w:t> </w:t>
      </w:r>
      <w:r>
        <w:rPr/>
        <w:t>контакт</w:t>
      </w:r>
      <w:r>
        <w:rPr>
          <w:spacing w:val="-7"/>
        </w:rPr>
        <w:t> </w:t>
      </w:r>
      <w:r>
        <w:rPr/>
        <w:t>и</w:t>
      </w:r>
      <w:r>
        <w:rPr>
          <w:spacing w:val="-7"/>
        </w:rPr>
        <w:t> </w:t>
      </w:r>
      <w:r>
        <w:rPr/>
        <w:t>до- верие, а также вызвать интерес ребенка к процессу взаимодействия с помогающим </w:t>
      </w:r>
      <w:r>
        <w:rPr>
          <w:spacing w:val="-2"/>
        </w:rPr>
        <w:t>специалистом.</w:t>
      </w:r>
    </w:p>
    <w:p>
      <w:pPr>
        <w:pStyle w:val="ListParagraph"/>
        <w:numPr>
          <w:ilvl w:val="0"/>
          <w:numId w:val="188"/>
        </w:numPr>
        <w:tabs>
          <w:tab w:pos="423" w:val="left" w:leader="none"/>
        </w:tabs>
        <w:spacing w:line="223" w:lineRule="exact" w:before="49" w:after="0"/>
        <w:ind w:left="423" w:right="0" w:hanging="282"/>
        <w:jc w:val="both"/>
        <w:rPr>
          <w:sz w:val="20"/>
        </w:rPr>
      </w:pPr>
      <w:r>
        <w:rPr>
          <w:sz w:val="20"/>
        </w:rPr>
        <w:t>Психолог</w:t>
      </w:r>
      <w:r>
        <w:rPr>
          <w:spacing w:val="-10"/>
          <w:sz w:val="20"/>
        </w:rPr>
        <w:t> </w:t>
      </w:r>
      <w:r>
        <w:rPr>
          <w:sz w:val="20"/>
        </w:rPr>
        <w:t>подводит</w:t>
      </w:r>
      <w:r>
        <w:rPr>
          <w:spacing w:val="-9"/>
          <w:sz w:val="20"/>
        </w:rPr>
        <w:t> </w:t>
      </w:r>
      <w:r>
        <w:rPr>
          <w:sz w:val="20"/>
        </w:rPr>
        <w:t>ребенка</w:t>
      </w:r>
      <w:r>
        <w:rPr>
          <w:spacing w:val="-9"/>
          <w:sz w:val="20"/>
        </w:rPr>
        <w:t> </w:t>
      </w:r>
      <w:r>
        <w:rPr>
          <w:sz w:val="20"/>
        </w:rPr>
        <w:t>к</w:t>
      </w:r>
      <w:r>
        <w:rPr>
          <w:spacing w:val="-9"/>
          <w:sz w:val="20"/>
        </w:rPr>
        <w:t> </w:t>
      </w:r>
      <w:r>
        <w:rPr>
          <w:sz w:val="20"/>
        </w:rPr>
        <w:t>физическому</w:t>
      </w:r>
      <w:r>
        <w:rPr>
          <w:spacing w:val="-9"/>
          <w:sz w:val="20"/>
        </w:rPr>
        <w:t> </w:t>
      </w:r>
      <w:r>
        <w:rPr>
          <w:spacing w:val="-2"/>
          <w:sz w:val="20"/>
        </w:rPr>
        <w:t>расслаблению.</w:t>
      </w:r>
    </w:p>
    <w:p>
      <w:pPr>
        <w:spacing w:line="216" w:lineRule="exact" w:before="0"/>
        <w:ind w:left="425" w:right="0" w:firstLine="0"/>
        <w:jc w:val="left"/>
        <w:rPr>
          <w:i/>
          <w:sz w:val="20"/>
        </w:rPr>
      </w:pPr>
      <w:r>
        <w:rPr>
          <w:i/>
          <w:spacing w:val="-2"/>
          <w:sz w:val="20"/>
        </w:rPr>
        <w:t>Инструкция</w:t>
      </w:r>
    </w:p>
    <w:p>
      <w:pPr>
        <w:pStyle w:val="ListParagraph"/>
        <w:numPr>
          <w:ilvl w:val="1"/>
          <w:numId w:val="188"/>
        </w:numPr>
        <w:tabs>
          <w:tab w:pos="587" w:val="left" w:leader="none"/>
        </w:tabs>
        <w:spacing w:line="225" w:lineRule="auto" w:before="4" w:after="0"/>
        <w:ind w:left="141" w:right="139" w:firstLine="283"/>
        <w:jc w:val="both"/>
        <w:rPr>
          <w:i/>
          <w:sz w:val="20"/>
        </w:rPr>
      </w:pPr>
      <w:r>
        <w:rPr>
          <w:i/>
          <w:sz w:val="20"/>
        </w:rPr>
        <w:t>Сядь так, чтобы тебе было удобно. Закрой глаза и сделай несколько глубоких вдохов и выдохов. Представь, что с каждым выдохом из тебя как будто выходит напряжение и тело расслабляется. Вдох, выдох – напряжение выходит из головы. Вдох,</w:t>
      </w:r>
      <w:r>
        <w:rPr>
          <w:i/>
          <w:spacing w:val="-1"/>
          <w:sz w:val="20"/>
        </w:rPr>
        <w:t> </w:t>
      </w:r>
      <w:r>
        <w:rPr>
          <w:i/>
          <w:sz w:val="20"/>
        </w:rPr>
        <w:t>выдох</w:t>
      </w:r>
      <w:r>
        <w:rPr>
          <w:i/>
          <w:spacing w:val="-1"/>
          <w:sz w:val="20"/>
        </w:rPr>
        <w:t> </w:t>
      </w:r>
      <w:r>
        <w:rPr>
          <w:i/>
          <w:sz w:val="20"/>
        </w:rPr>
        <w:t>–</w:t>
      </w:r>
      <w:r>
        <w:rPr>
          <w:i/>
          <w:spacing w:val="-1"/>
          <w:sz w:val="20"/>
        </w:rPr>
        <w:t> </w:t>
      </w:r>
      <w:r>
        <w:rPr>
          <w:i/>
          <w:sz w:val="20"/>
        </w:rPr>
        <w:t>из</w:t>
      </w:r>
      <w:r>
        <w:rPr>
          <w:i/>
          <w:spacing w:val="-1"/>
          <w:sz w:val="20"/>
        </w:rPr>
        <w:t> </w:t>
      </w:r>
      <w:r>
        <w:rPr>
          <w:i/>
          <w:sz w:val="20"/>
        </w:rPr>
        <w:t>плеч</w:t>
      </w:r>
      <w:r>
        <w:rPr>
          <w:i/>
          <w:spacing w:val="-1"/>
          <w:sz w:val="20"/>
        </w:rPr>
        <w:t> </w:t>
      </w:r>
      <w:r>
        <w:rPr>
          <w:i/>
          <w:sz w:val="20"/>
        </w:rPr>
        <w:t>и</w:t>
      </w:r>
      <w:r>
        <w:rPr>
          <w:i/>
          <w:spacing w:val="-1"/>
          <w:sz w:val="20"/>
        </w:rPr>
        <w:t> </w:t>
      </w:r>
      <w:r>
        <w:rPr>
          <w:i/>
          <w:sz w:val="20"/>
        </w:rPr>
        <w:t>груди.</w:t>
      </w:r>
      <w:r>
        <w:rPr>
          <w:i/>
          <w:spacing w:val="-1"/>
          <w:sz w:val="20"/>
        </w:rPr>
        <w:t> </w:t>
      </w:r>
      <w:r>
        <w:rPr>
          <w:i/>
          <w:sz w:val="20"/>
        </w:rPr>
        <w:t>Вдох,</w:t>
      </w:r>
      <w:r>
        <w:rPr>
          <w:i/>
          <w:spacing w:val="-1"/>
          <w:sz w:val="20"/>
        </w:rPr>
        <w:t> </w:t>
      </w:r>
      <w:r>
        <w:rPr>
          <w:i/>
          <w:sz w:val="20"/>
        </w:rPr>
        <w:t>выдох</w:t>
      </w:r>
      <w:r>
        <w:rPr>
          <w:i/>
          <w:spacing w:val="-1"/>
          <w:sz w:val="20"/>
        </w:rPr>
        <w:t> </w:t>
      </w:r>
      <w:r>
        <w:rPr>
          <w:i/>
          <w:sz w:val="20"/>
        </w:rPr>
        <w:t>–</w:t>
      </w:r>
      <w:r>
        <w:rPr>
          <w:i/>
          <w:spacing w:val="-1"/>
          <w:sz w:val="20"/>
        </w:rPr>
        <w:t> </w:t>
      </w:r>
      <w:r>
        <w:rPr>
          <w:i/>
          <w:sz w:val="20"/>
        </w:rPr>
        <w:t>из</w:t>
      </w:r>
      <w:r>
        <w:rPr>
          <w:i/>
          <w:spacing w:val="-1"/>
          <w:sz w:val="20"/>
        </w:rPr>
        <w:t> </w:t>
      </w:r>
      <w:r>
        <w:rPr>
          <w:i/>
          <w:sz w:val="20"/>
        </w:rPr>
        <w:t>рук;</w:t>
      </w:r>
      <w:r>
        <w:rPr>
          <w:i/>
          <w:spacing w:val="-1"/>
          <w:sz w:val="20"/>
        </w:rPr>
        <w:t> </w:t>
      </w:r>
      <w:r>
        <w:rPr>
          <w:i/>
          <w:sz w:val="20"/>
        </w:rPr>
        <w:t>из</w:t>
      </w:r>
      <w:r>
        <w:rPr>
          <w:i/>
          <w:spacing w:val="-1"/>
          <w:sz w:val="20"/>
        </w:rPr>
        <w:t> </w:t>
      </w:r>
      <w:r>
        <w:rPr>
          <w:i/>
          <w:sz w:val="20"/>
        </w:rPr>
        <w:t>спины</w:t>
      </w:r>
      <w:r>
        <w:rPr>
          <w:i/>
          <w:spacing w:val="-1"/>
          <w:sz w:val="20"/>
        </w:rPr>
        <w:t> </w:t>
      </w:r>
      <w:r>
        <w:rPr>
          <w:i/>
          <w:sz w:val="20"/>
        </w:rPr>
        <w:t>и</w:t>
      </w:r>
      <w:r>
        <w:rPr>
          <w:i/>
          <w:spacing w:val="-1"/>
          <w:sz w:val="20"/>
        </w:rPr>
        <w:t> </w:t>
      </w:r>
      <w:r>
        <w:rPr>
          <w:i/>
          <w:sz w:val="20"/>
        </w:rPr>
        <w:t>живота;</w:t>
      </w:r>
      <w:r>
        <w:rPr>
          <w:i/>
          <w:spacing w:val="-1"/>
          <w:sz w:val="20"/>
        </w:rPr>
        <w:t> </w:t>
      </w:r>
      <w:r>
        <w:rPr>
          <w:i/>
          <w:sz w:val="20"/>
        </w:rPr>
        <w:t>из</w:t>
      </w:r>
      <w:r>
        <w:rPr>
          <w:i/>
          <w:spacing w:val="-1"/>
          <w:sz w:val="20"/>
        </w:rPr>
        <w:t> </w:t>
      </w:r>
      <w:r>
        <w:rPr>
          <w:i/>
          <w:sz w:val="20"/>
        </w:rPr>
        <w:t>бедер;</w:t>
      </w:r>
      <w:r>
        <w:rPr>
          <w:i/>
          <w:spacing w:val="-1"/>
          <w:sz w:val="20"/>
        </w:rPr>
        <w:t> </w:t>
      </w:r>
      <w:r>
        <w:rPr>
          <w:i/>
          <w:sz w:val="20"/>
        </w:rPr>
        <w:t>из ног; из всего тела.</w:t>
      </w:r>
    </w:p>
    <w:p>
      <w:pPr>
        <w:pStyle w:val="ListParagraph"/>
        <w:numPr>
          <w:ilvl w:val="0"/>
          <w:numId w:val="188"/>
        </w:numPr>
        <w:tabs>
          <w:tab w:pos="423" w:val="left" w:leader="none"/>
        </w:tabs>
        <w:spacing w:line="223" w:lineRule="exact" w:before="44" w:after="0"/>
        <w:ind w:left="423" w:right="0" w:hanging="282"/>
        <w:jc w:val="both"/>
        <w:rPr>
          <w:sz w:val="20"/>
        </w:rPr>
      </w:pPr>
      <w:r>
        <w:rPr>
          <w:sz w:val="20"/>
        </w:rPr>
        <w:t>Психолог</w:t>
      </w:r>
      <w:r>
        <w:rPr>
          <w:spacing w:val="-6"/>
          <w:sz w:val="20"/>
        </w:rPr>
        <w:t> </w:t>
      </w:r>
      <w:r>
        <w:rPr>
          <w:sz w:val="20"/>
        </w:rPr>
        <w:t>предлагает</w:t>
      </w:r>
      <w:r>
        <w:rPr>
          <w:spacing w:val="-3"/>
          <w:sz w:val="20"/>
        </w:rPr>
        <w:t> </w:t>
      </w:r>
      <w:r>
        <w:rPr>
          <w:sz w:val="20"/>
        </w:rPr>
        <w:t>ребенку</w:t>
      </w:r>
      <w:r>
        <w:rPr>
          <w:spacing w:val="-3"/>
          <w:sz w:val="20"/>
        </w:rPr>
        <w:t> </w:t>
      </w:r>
      <w:r>
        <w:rPr>
          <w:sz w:val="20"/>
        </w:rPr>
        <w:t>мысленно</w:t>
      </w:r>
      <w:r>
        <w:rPr>
          <w:spacing w:val="-2"/>
          <w:sz w:val="20"/>
        </w:rPr>
        <w:t> </w:t>
      </w:r>
      <w:r>
        <w:rPr>
          <w:sz w:val="20"/>
        </w:rPr>
        <w:t>переместиться</w:t>
      </w:r>
      <w:r>
        <w:rPr>
          <w:spacing w:val="-3"/>
          <w:sz w:val="20"/>
        </w:rPr>
        <w:t> </w:t>
      </w:r>
      <w:r>
        <w:rPr>
          <w:sz w:val="20"/>
        </w:rPr>
        <w:t>в</w:t>
      </w:r>
      <w:r>
        <w:rPr>
          <w:spacing w:val="-4"/>
          <w:sz w:val="20"/>
        </w:rPr>
        <w:t> </w:t>
      </w:r>
      <w:r>
        <w:rPr>
          <w:sz w:val="20"/>
        </w:rPr>
        <w:t>безопасное</w:t>
      </w:r>
      <w:r>
        <w:rPr>
          <w:spacing w:val="-2"/>
          <w:sz w:val="20"/>
        </w:rPr>
        <w:t> место.</w:t>
      </w:r>
    </w:p>
    <w:p>
      <w:pPr>
        <w:spacing w:line="216" w:lineRule="exact" w:before="0"/>
        <w:ind w:left="425" w:right="0" w:firstLine="0"/>
        <w:jc w:val="left"/>
        <w:rPr>
          <w:i/>
          <w:sz w:val="20"/>
        </w:rPr>
      </w:pPr>
      <w:r>
        <w:rPr>
          <w:i/>
          <w:spacing w:val="-2"/>
          <w:sz w:val="20"/>
        </w:rPr>
        <w:t>Инструкция</w:t>
      </w:r>
    </w:p>
    <w:p>
      <w:pPr>
        <w:pStyle w:val="ListParagraph"/>
        <w:numPr>
          <w:ilvl w:val="1"/>
          <w:numId w:val="188"/>
        </w:numPr>
        <w:tabs>
          <w:tab w:pos="574" w:val="left" w:leader="none"/>
        </w:tabs>
        <w:spacing w:line="225" w:lineRule="auto" w:before="5" w:after="0"/>
        <w:ind w:left="141" w:right="139" w:firstLine="283"/>
        <w:jc w:val="both"/>
        <w:rPr>
          <w:i/>
          <w:sz w:val="20"/>
        </w:rPr>
      </w:pPr>
      <w:r>
        <w:rPr>
          <w:i/>
          <w:sz w:val="20"/>
        </w:rPr>
        <w:t>А</w:t>
      </w:r>
      <w:r>
        <w:rPr>
          <w:i/>
          <w:spacing w:val="-3"/>
          <w:sz w:val="20"/>
        </w:rPr>
        <w:t> </w:t>
      </w:r>
      <w:r>
        <w:rPr>
          <w:i/>
          <w:sz w:val="20"/>
        </w:rPr>
        <w:t>теперь</w:t>
      </w:r>
      <w:r>
        <w:rPr>
          <w:i/>
          <w:spacing w:val="-3"/>
          <w:sz w:val="20"/>
        </w:rPr>
        <w:t> </w:t>
      </w:r>
      <w:r>
        <w:rPr>
          <w:i/>
          <w:sz w:val="20"/>
        </w:rPr>
        <w:t>ты</w:t>
      </w:r>
      <w:r>
        <w:rPr>
          <w:i/>
          <w:spacing w:val="-3"/>
          <w:sz w:val="20"/>
        </w:rPr>
        <w:t> </w:t>
      </w:r>
      <w:r>
        <w:rPr>
          <w:i/>
          <w:sz w:val="20"/>
        </w:rPr>
        <w:t>мысленно</w:t>
      </w:r>
      <w:r>
        <w:rPr>
          <w:i/>
          <w:spacing w:val="-3"/>
          <w:sz w:val="20"/>
        </w:rPr>
        <w:t> </w:t>
      </w:r>
      <w:r>
        <w:rPr>
          <w:i/>
          <w:sz w:val="20"/>
        </w:rPr>
        <w:t>переносишься</w:t>
      </w:r>
      <w:r>
        <w:rPr>
          <w:i/>
          <w:spacing w:val="-3"/>
          <w:sz w:val="20"/>
        </w:rPr>
        <w:t> </w:t>
      </w:r>
      <w:r>
        <w:rPr>
          <w:i/>
          <w:sz w:val="20"/>
        </w:rPr>
        <w:t>в</w:t>
      </w:r>
      <w:r>
        <w:rPr>
          <w:i/>
          <w:spacing w:val="-3"/>
          <w:sz w:val="20"/>
        </w:rPr>
        <w:t> </w:t>
      </w:r>
      <w:r>
        <w:rPr>
          <w:i/>
          <w:sz w:val="20"/>
        </w:rPr>
        <w:t>одно</w:t>
      </w:r>
      <w:r>
        <w:rPr>
          <w:i/>
          <w:spacing w:val="-3"/>
          <w:sz w:val="20"/>
        </w:rPr>
        <w:t> </w:t>
      </w:r>
      <w:r>
        <w:rPr>
          <w:i/>
          <w:sz w:val="20"/>
        </w:rPr>
        <w:t>место.</w:t>
      </w:r>
      <w:r>
        <w:rPr>
          <w:i/>
          <w:spacing w:val="-3"/>
          <w:sz w:val="20"/>
        </w:rPr>
        <w:t> </w:t>
      </w:r>
      <w:r>
        <w:rPr>
          <w:i/>
          <w:sz w:val="20"/>
        </w:rPr>
        <w:t>Там</w:t>
      </w:r>
      <w:r>
        <w:rPr>
          <w:i/>
          <w:spacing w:val="-3"/>
          <w:sz w:val="20"/>
        </w:rPr>
        <w:t> </w:t>
      </w:r>
      <w:r>
        <w:rPr>
          <w:i/>
          <w:sz w:val="20"/>
        </w:rPr>
        <w:t>все</w:t>
      </w:r>
      <w:r>
        <w:rPr>
          <w:i/>
          <w:spacing w:val="-3"/>
          <w:sz w:val="20"/>
        </w:rPr>
        <w:t> </w:t>
      </w:r>
      <w:r>
        <w:rPr>
          <w:i/>
          <w:sz w:val="20"/>
        </w:rPr>
        <w:t>так,</w:t>
      </w:r>
      <w:r>
        <w:rPr>
          <w:i/>
          <w:spacing w:val="-3"/>
          <w:sz w:val="20"/>
        </w:rPr>
        <w:t> </w:t>
      </w:r>
      <w:r>
        <w:rPr>
          <w:i/>
          <w:sz w:val="20"/>
        </w:rPr>
        <w:t>как</w:t>
      </w:r>
      <w:r>
        <w:rPr>
          <w:i/>
          <w:spacing w:val="-3"/>
          <w:sz w:val="20"/>
        </w:rPr>
        <w:t> </w:t>
      </w:r>
      <w:r>
        <w:rPr>
          <w:i/>
          <w:sz w:val="20"/>
        </w:rPr>
        <w:t>тебе</w:t>
      </w:r>
      <w:r>
        <w:rPr>
          <w:i/>
          <w:spacing w:val="-3"/>
          <w:sz w:val="20"/>
        </w:rPr>
        <w:t> </w:t>
      </w:r>
      <w:r>
        <w:rPr>
          <w:i/>
          <w:sz w:val="20"/>
        </w:rPr>
        <w:t>нра- вится, там безопасно для тебя, и никакие люди и обстоятельства, которые тебя раздражают, напрягают, тебе угрожают, попасть туда не могут. Это может быть</w:t>
      </w:r>
      <w:r>
        <w:rPr>
          <w:i/>
          <w:spacing w:val="-1"/>
          <w:sz w:val="20"/>
        </w:rPr>
        <w:t> </w:t>
      </w:r>
      <w:r>
        <w:rPr>
          <w:i/>
          <w:sz w:val="20"/>
        </w:rPr>
        <w:t>реальное</w:t>
      </w:r>
      <w:r>
        <w:rPr>
          <w:i/>
          <w:spacing w:val="-1"/>
          <w:sz w:val="20"/>
        </w:rPr>
        <w:t> </w:t>
      </w:r>
      <w:r>
        <w:rPr>
          <w:i/>
          <w:sz w:val="20"/>
        </w:rPr>
        <w:t>место,</w:t>
      </w:r>
      <w:r>
        <w:rPr>
          <w:i/>
          <w:spacing w:val="-1"/>
          <w:sz w:val="20"/>
        </w:rPr>
        <w:t> </w:t>
      </w:r>
      <w:r>
        <w:rPr>
          <w:i/>
          <w:sz w:val="20"/>
        </w:rPr>
        <w:t>в</w:t>
      </w:r>
      <w:r>
        <w:rPr>
          <w:i/>
          <w:spacing w:val="-1"/>
          <w:sz w:val="20"/>
        </w:rPr>
        <w:t> </w:t>
      </w:r>
      <w:r>
        <w:rPr>
          <w:i/>
          <w:sz w:val="20"/>
        </w:rPr>
        <w:t>котором</w:t>
      </w:r>
      <w:r>
        <w:rPr>
          <w:i/>
          <w:spacing w:val="-1"/>
          <w:sz w:val="20"/>
        </w:rPr>
        <w:t> </w:t>
      </w:r>
      <w:r>
        <w:rPr>
          <w:i/>
          <w:sz w:val="20"/>
        </w:rPr>
        <w:t>ты</w:t>
      </w:r>
      <w:r>
        <w:rPr>
          <w:i/>
          <w:spacing w:val="-1"/>
          <w:sz w:val="20"/>
        </w:rPr>
        <w:t> </w:t>
      </w:r>
      <w:r>
        <w:rPr>
          <w:i/>
          <w:sz w:val="20"/>
        </w:rPr>
        <w:t>когда-то</w:t>
      </w:r>
      <w:r>
        <w:rPr>
          <w:i/>
          <w:spacing w:val="-1"/>
          <w:sz w:val="20"/>
        </w:rPr>
        <w:t> </w:t>
      </w:r>
      <w:r>
        <w:rPr>
          <w:i/>
          <w:sz w:val="20"/>
        </w:rPr>
        <w:t>был</w:t>
      </w:r>
      <w:r>
        <w:rPr>
          <w:i/>
          <w:spacing w:val="-1"/>
          <w:sz w:val="20"/>
        </w:rPr>
        <w:t> </w:t>
      </w:r>
      <w:r>
        <w:rPr>
          <w:i/>
          <w:sz w:val="20"/>
        </w:rPr>
        <w:t>или</w:t>
      </w:r>
      <w:r>
        <w:rPr>
          <w:i/>
          <w:spacing w:val="-1"/>
          <w:sz w:val="20"/>
        </w:rPr>
        <w:t> </w:t>
      </w:r>
      <w:r>
        <w:rPr>
          <w:i/>
          <w:sz w:val="20"/>
        </w:rPr>
        <w:t>которое</w:t>
      </w:r>
      <w:r>
        <w:rPr>
          <w:i/>
          <w:spacing w:val="-1"/>
          <w:sz w:val="20"/>
        </w:rPr>
        <w:t> </w:t>
      </w:r>
      <w:r>
        <w:rPr>
          <w:i/>
          <w:sz w:val="20"/>
        </w:rPr>
        <w:t>где-то</w:t>
      </w:r>
      <w:r>
        <w:rPr>
          <w:i/>
          <w:spacing w:val="-1"/>
          <w:sz w:val="20"/>
        </w:rPr>
        <w:t> </w:t>
      </w:r>
      <w:r>
        <w:rPr>
          <w:i/>
          <w:sz w:val="20"/>
        </w:rPr>
        <w:t>видел.</w:t>
      </w:r>
      <w:r>
        <w:rPr>
          <w:i/>
          <w:spacing w:val="-1"/>
          <w:sz w:val="20"/>
        </w:rPr>
        <w:t> </w:t>
      </w:r>
      <w:r>
        <w:rPr>
          <w:i/>
          <w:sz w:val="20"/>
        </w:rPr>
        <w:t>А</w:t>
      </w:r>
      <w:r>
        <w:rPr>
          <w:i/>
          <w:spacing w:val="-1"/>
          <w:sz w:val="20"/>
        </w:rPr>
        <w:t> </w:t>
      </w:r>
      <w:r>
        <w:rPr>
          <w:i/>
          <w:sz w:val="20"/>
        </w:rPr>
        <w:t>мо- жет быть выдуманное и даже фантастическое.</w:t>
      </w:r>
    </w:p>
    <w:p>
      <w:pPr>
        <w:pStyle w:val="ListParagraph"/>
        <w:numPr>
          <w:ilvl w:val="0"/>
          <w:numId w:val="188"/>
        </w:numPr>
        <w:tabs>
          <w:tab w:pos="423" w:val="left" w:leader="none"/>
        </w:tabs>
        <w:spacing w:line="223" w:lineRule="exact" w:before="44" w:after="0"/>
        <w:ind w:left="423" w:right="0" w:hanging="282"/>
        <w:jc w:val="both"/>
        <w:rPr>
          <w:sz w:val="20"/>
        </w:rPr>
      </w:pPr>
      <w:r>
        <w:rPr>
          <w:sz w:val="20"/>
        </w:rPr>
        <w:t>Психолог</w:t>
      </w:r>
      <w:r>
        <w:rPr>
          <w:spacing w:val="-9"/>
          <w:sz w:val="20"/>
        </w:rPr>
        <w:t> </w:t>
      </w:r>
      <w:r>
        <w:rPr>
          <w:sz w:val="20"/>
        </w:rPr>
        <w:t>просит</w:t>
      </w:r>
      <w:r>
        <w:rPr>
          <w:spacing w:val="-6"/>
          <w:sz w:val="20"/>
        </w:rPr>
        <w:t> </w:t>
      </w:r>
      <w:r>
        <w:rPr>
          <w:sz w:val="20"/>
        </w:rPr>
        <w:t>ребенка</w:t>
      </w:r>
      <w:r>
        <w:rPr>
          <w:spacing w:val="-5"/>
          <w:sz w:val="20"/>
        </w:rPr>
        <w:t> </w:t>
      </w:r>
      <w:r>
        <w:rPr>
          <w:sz w:val="20"/>
        </w:rPr>
        <w:t>рассказать,</w:t>
      </w:r>
      <w:r>
        <w:rPr>
          <w:spacing w:val="-6"/>
          <w:sz w:val="20"/>
        </w:rPr>
        <w:t> </w:t>
      </w:r>
      <w:r>
        <w:rPr>
          <w:sz w:val="20"/>
        </w:rPr>
        <w:t>не</w:t>
      </w:r>
      <w:r>
        <w:rPr>
          <w:spacing w:val="-6"/>
          <w:sz w:val="20"/>
        </w:rPr>
        <w:t> </w:t>
      </w:r>
      <w:r>
        <w:rPr>
          <w:sz w:val="20"/>
        </w:rPr>
        <w:t>открывая</w:t>
      </w:r>
      <w:r>
        <w:rPr>
          <w:spacing w:val="-6"/>
          <w:sz w:val="20"/>
        </w:rPr>
        <w:t> </w:t>
      </w:r>
      <w:r>
        <w:rPr>
          <w:sz w:val="20"/>
        </w:rPr>
        <w:t>глаз,</w:t>
      </w:r>
      <w:r>
        <w:rPr>
          <w:spacing w:val="-5"/>
          <w:sz w:val="20"/>
        </w:rPr>
        <w:t> </w:t>
      </w:r>
      <w:r>
        <w:rPr>
          <w:sz w:val="20"/>
        </w:rPr>
        <w:t>что</w:t>
      </w:r>
      <w:r>
        <w:rPr>
          <w:spacing w:val="-6"/>
          <w:sz w:val="20"/>
        </w:rPr>
        <w:t> </w:t>
      </w:r>
      <w:r>
        <w:rPr>
          <w:sz w:val="20"/>
        </w:rPr>
        <w:t>он</w:t>
      </w:r>
      <w:r>
        <w:rPr>
          <w:spacing w:val="-6"/>
          <w:sz w:val="20"/>
        </w:rPr>
        <w:t> </w:t>
      </w:r>
      <w:r>
        <w:rPr>
          <w:spacing w:val="-2"/>
          <w:sz w:val="20"/>
        </w:rPr>
        <w:t>представляет.</w:t>
      </w:r>
    </w:p>
    <w:p>
      <w:pPr>
        <w:pStyle w:val="BodyText"/>
        <w:spacing w:line="225" w:lineRule="auto" w:before="4"/>
        <w:ind w:right="161"/>
        <w:jc w:val="left"/>
      </w:pPr>
      <w:r>
        <w:rPr/>
        <w:t>При сложностях с воображением психолог может помочь, перечисляя варианты</w:t>
      </w:r>
      <w:r>
        <w:rPr>
          <w:spacing w:val="40"/>
        </w:rPr>
        <w:t> </w:t>
      </w:r>
      <w:r>
        <w:rPr/>
        <w:t>и уточняя:</w:t>
      </w:r>
    </w:p>
    <w:p>
      <w:pPr>
        <w:pStyle w:val="ListParagraph"/>
        <w:numPr>
          <w:ilvl w:val="1"/>
          <w:numId w:val="188"/>
        </w:numPr>
        <w:tabs>
          <w:tab w:pos="708" w:val="left" w:leader="none"/>
        </w:tabs>
        <w:spacing w:line="211" w:lineRule="exact" w:before="0" w:after="0"/>
        <w:ind w:left="708" w:right="0" w:hanging="283"/>
        <w:jc w:val="left"/>
        <w:rPr>
          <w:i/>
          <w:sz w:val="20"/>
        </w:rPr>
      </w:pPr>
      <w:r>
        <w:rPr>
          <w:i/>
          <w:sz w:val="20"/>
        </w:rPr>
        <w:t>Это</w:t>
      </w:r>
      <w:r>
        <w:rPr>
          <w:i/>
          <w:spacing w:val="-2"/>
          <w:sz w:val="20"/>
        </w:rPr>
        <w:t> </w:t>
      </w:r>
      <w:r>
        <w:rPr>
          <w:i/>
          <w:sz w:val="20"/>
        </w:rPr>
        <w:t>лес,</w:t>
      </w:r>
      <w:r>
        <w:rPr>
          <w:i/>
          <w:spacing w:val="-1"/>
          <w:sz w:val="20"/>
        </w:rPr>
        <w:t> </w:t>
      </w:r>
      <w:r>
        <w:rPr>
          <w:i/>
          <w:sz w:val="20"/>
        </w:rPr>
        <w:t>берег</w:t>
      </w:r>
      <w:r>
        <w:rPr>
          <w:i/>
          <w:spacing w:val="-3"/>
          <w:sz w:val="20"/>
        </w:rPr>
        <w:t> </w:t>
      </w:r>
      <w:r>
        <w:rPr>
          <w:i/>
          <w:sz w:val="20"/>
        </w:rPr>
        <w:t>моря</w:t>
      </w:r>
      <w:r>
        <w:rPr>
          <w:i/>
          <w:spacing w:val="-1"/>
          <w:sz w:val="20"/>
        </w:rPr>
        <w:t> </w:t>
      </w:r>
      <w:r>
        <w:rPr>
          <w:i/>
          <w:sz w:val="20"/>
        </w:rPr>
        <w:t>или</w:t>
      </w:r>
      <w:r>
        <w:rPr>
          <w:i/>
          <w:spacing w:val="-1"/>
          <w:sz w:val="20"/>
        </w:rPr>
        <w:t> </w:t>
      </w:r>
      <w:r>
        <w:rPr>
          <w:i/>
          <w:sz w:val="20"/>
        </w:rPr>
        <w:t>реки,</w:t>
      </w:r>
      <w:r>
        <w:rPr>
          <w:i/>
          <w:spacing w:val="-2"/>
          <w:sz w:val="20"/>
        </w:rPr>
        <w:t> </w:t>
      </w:r>
      <w:r>
        <w:rPr>
          <w:i/>
          <w:sz w:val="20"/>
        </w:rPr>
        <w:t>поляна,</w:t>
      </w:r>
      <w:r>
        <w:rPr>
          <w:i/>
          <w:spacing w:val="-1"/>
          <w:sz w:val="20"/>
        </w:rPr>
        <w:t> </w:t>
      </w:r>
      <w:r>
        <w:rPr>
          <w:i/>
          <w:sz w:val="20"/>
        </w:rPr>
        <w:t>горы,</w:t>
      </w:r>
      <w:r>
        <w:rPr>
          <w:i/>
          <w:spacing w:val="-1"/>
          <w:sz w:val="20"/>
        </w:rPr>
        <w:t> </w:t>
      </w:r>
      <w:r>
        <w:rPr>
          <w:i/>
          <w:spacing w:val="-2"/>
          <w:sz w:val="20"/>
        </w:rPr>
        <w:t>пещера?</w:t>
      </w:r>
    </w:p>
    <w:p>
      <w:pPr>
        <w:pStyle w:val="ListParagraph"/>
        <w:numPr>
          <w:ilvl w:val="1"/>
          <w:numId w:val="188"/>
        </w:numPr>
        <w:tabs>
          <w:tab w:pos="708" w:val="left" w:leader="none"/>
        </w:tabs>
        <w:spacing w:line="216" w:lineRule="exact" w:before="0" w:after="0"/>
        <w:ind w:left="708" w:right="0" w:hanging="283"/>
        <w:jc w:val="left"/>
        <w:rPr>
          <w:i/>
          <w:sz w:val="20"/>
        </w:rPr>
      </w:pPr>
      <w:r>
        <w:rPr>
          <w:i/>
          <w:sz w:val="20"/>
        </w:rPr>
        <w:t>Какое</w:t>
      </w:r>
      <w:r>
        <w:rPr>
          <w:i/>
          <w:spacing w:val="-5"/>
          <w:sz w:val="20"/>
        </w:rPr>
        <w:t> </w:t>
      </w:r>
      <w:r>
        <w:rPr>
          <w:i/>
          <w:sz w:val="20"/>
        </w:rPr>
        <w:t>там</w:t>
      </w:r>
      <w:r>
        <w:rPr>
          <w:i/>
          <w:spacing w:val="-4"/>
          <w:sz w:val="20"/>
        </w:rPr>
        <w:t> </w:t>
      </w:r>
      <w:r>
        <w:rPr>
          <w:i/>
          <w:sz w:val="20"/>
        </w:rPr>
        <w:t>время</w:t>
      </w:r>
      <w:r>
        <w:rPr>
          <w:i/>
          <w:spacing w:val="-4"/>
          <w:sz w:val="20"/>
        </w:rPr>
        <w:t> года?</w:t>
      </w:r>
    </w:p>
    <w:p>
      <w:pPr>
        <w:pStyle w:val="ListParagraph"/>
        <w:numPr>
          <w:ilvl w:val="1"/>
          <w:numId w:val="188"/>
        </w:numPr>
        <w:tabs>
          <w:tab w:pos="708" w:val="left" w:leader="none"/>
        </w:tabs>
        <w:spacing w:line="216" w:lineRule="exact" w:before="0" w:after="0"/>
        <w:ind w:left="708" w:right="0" w:hanging="283"/>
        <w:jc w:val="left"/>
        <w:rPr>
          <w:i/>
          <w:sz w:val="20"/>
        </w:rPr>
      </w:pPr>
      <w:r>
        <w:rPr>
          <w:i/>
          <w:sz w:val="20"/>
        </w:rPr>
        <w:t>Светит</w:t>
      </w:r>
      <w:r>
        <w:rPr>
          <w:i/>
          <w:spacing w:val="-6"/>
          <w:sz w:val="20"/>
        </w:rPr>
        <w:t> </w:t>
      </w:r>
      <w:r>
        <w:rPr>
          <w:i/>
          <w:sz w:val="20"/>
        </w:rPr>
        <w:t>ли</w:t>
      </w:r>
      <w:r>
        <w:rPr>
          <w:i/>
          <w:spacing w:val="-3"/>
          <w:sz w:val="20"/>
        </w:rPr>
        <w:t> </w:t>
      </w:r>
      <w:r>
        <w:rPr>
          <w:i/>
          <w:sz w:val="20"/>
        </w:rPr>
        <w:t>солнце,</w:t>
      </w:r>
      <w:r>
        <w:rPr>
          <w:i/>
          <w:spacing w:val="-2"/>
          <w:sz w:val="20"/>
        </w:rPr>
        <w:t> </w:t>
      </w:r>
      <w:r>
        <w:rPr>
          <w:i/>
          <w:sz w:val="20"/>
        </w:rPr>
        <w:t>или</w:t>
      </w:r>
      <w:r>
        <w:rPr>
          <w:i/>
          <w:spacing w:val="-3"/>
          <w:sz w:val="20"/>
        </w:rPr>
        <w:t> </w:t>
      </w:r>
      <w:r>
        <w:rPr>
          <w:i/>
          <w:sz w:val="20"/>
        </w:rPr>
        <w:t>там</w:t>
      </w:r>
      <w:r>
        <w:rPr>
          <w:i/>
          <w:spacing w:val="-4"/>
          <w:sz w:val="20"/>
        </w:rPr>
        <w:t> </w:t>
      </w:r>
      <w:r>
        <w:rPr>
          <w:i/>
          <w:sz w:val="20"/>
        </w:rPr>
        <w:t>ночь?</w:t>
      </w:r>
      <w:r>
        <w:rPr>
          <w:i/>
          <w:spacing w:val="-2"/>
          <w:sz w:val="20"/>
        </w:rPr>
        <w:t> </w:t>
      </w:r>
      <w:r>
        <w:rPr>
          <w:i/>
          <w:sz w:val="20"/>
        </w:rPr>
        <w:t>А</w:t>
      </w:r>
      <w:r>
        <w:rPr>
          <w:i/>
          <w:spacing w:val="-3"/>
          <w:sz w:val="20"/>
        </w:rPr>
        <w:t> </w:t>
      </w:r>
      <w:r>
        <w:rPr>
          <w:i/>
          <w:sz w:val="20"/>
        </w:rPr>
        <w:t>может</w:t>
      </w:r>
      <w:r>
        <w:rPr>
          <w:i/>
          <w:spacing w:val="-4"/>
          <w:sz w:val="20"/>
        </w:rPr>
        <w:t> </w:t>
      </w:r>
      <w:r>
        <w:rPr>
          <w:i/>
          <w:sz w:val="20"/>
        </w:rPr>
        <w:t>быть,</w:t>
      </w:r>
      <w:r>
        <w:rPr>
          <w:i/>
          <w:spacing w:val="-2"/>
          <w:sz w:val="20"/>
        </w:rPr>
        <w:t> </w:t>
      </w:r>
      <w:r>
        <w:rPr>
          <w:i/>
          <w:sz w:val="20"/>
        </w:rPr>
        <w:t>рассвет</w:t>
      </w:r>
      <w:r>
        <w:rPr>
          <w:i/>
          <w:spacing w:val="-4"/>
          <w:sz w:val="20"/>
        </w:rPr>
        <w:t> </w:t>
      </w:r>
      <w:r>
        <w:rPr>
          <w:i/>
          <w:sz w:val="20"/>
        </w:rPr>
        <w:t>или</w:t>
      </w:r>
      <w:r>
        <w:rPr>
          <w:i/>
          <w:spacing w:val="-2"/>
          <w:sz w:val="20"/>
        </w:rPr>
        <w:t> закат?</w:t>
      </w:r>
    </w:p>
    <w:p>
      <w:pPr>
        <w:pStyle w:val="ListParagraph"/>
        <w:numPr>
          <w:ilvl w:val="1"/>
          <w:numId w:val="188"/>
        </w:numPr>
        <w:tabs>
          <w:tab w:pos="708" w:val="left" w:leader="none"/>
        </w:tabs>
        <w:spacing w:line="225" w:lineRule="auto" w:before="5" w:after="0"/>
        <w:ind w:left="708" w:right="139" w:hanging="284"/>
        <w:jc w:val="left"/>
        <w:rPr>
          <w:i/>
          <w:sz w:val="20"/>
        </w:rPr>
      </w:pPr>
      <w:r>
        <w:rPr>
          <w:i/>
          <w:sz w:val="20"/>
        </w:rPr>
        <w:t>Что</w:t>
      </w:r>
      <w:r>
        <w:rPr>
          <w:i/>
          <w:spacing w:val="-13"/>
          <w:sz w:val="20"/>
        </w:rPr>
        <w:t> </w:t>
      </w:r>
      <w:r>
        <w:rPr>
          <w:i/>
          <w:sz w:val="20"/>
        </w:rPr>
        <w:t>есть</w:t>
      </w:r>
      <w:r>
        <w:rPr>
          <w:i/>
          <w:spacing w:val="-12"/>
          <w:sz w:val="20"/>
        </w:rPr>
        <w:t> </w:t>
      </w:r>
      <w:r>
        <w:rPr>
          <w:i/>
          <w:sz w:val="20"/>
        </w:rPr>
        <w:t>в</w:t>
      </w:r>
      <w:r>
        <w:rPr>
          <w:i/>
          <w:spacing w:val="-13"/>
          <w:sz w:val="20"/>
        </w:rPr>
        <w:t> </w:t>
      </w:r>
      <w:r>
        <w:rPr>
          <w:i/>
          <w:sz w:val="20"/>
        </w:rPr>
        <w:t>этом</w:t>
      </w:r>
      <w:r>
        <w:rPr>
          <w:i/>
          <w:spacing w:val="-12"/>
          <w:sz w:val="20"/>
        </w:rPr>
        <w:t> </w:t>
      </w:r>
      <w:r>
        <w:rPr>
          <w:i/>
          <w:sz w:val="20"/>
        </w:rPr>
        <w:t>месте:</w:t>
      </w:r>
      <w:r>
        <w:rPr>
          <w:i/>
          <w:spacing w:val="-13"/>
          <w:sz w:val="20"/>
        </w:rPr>
        <w:t> </w:t>
      </w:r>
      <w:r>
        <w:rPr>
          <w:i/>
          <w:sz w:val="20"/>
        </w:rPr>
        <w:t>дом,</w:t>
      </w:r>
      <w:r>
        <w:rPr>
          <w:i/>
          <w:spacing w:val="-12"/>
          <w:sz w:val="20"/>
        </w:rPr>
        <w:t> </w:t>
      </w:r>
      <w:r>
        <w:rPr>
          <w:i/>
          <w:sz w:val="20"/>
        </w:rPr>
        <w:t>шалаш,</w:t>
      </w:r>
      <w:r>
        <w:rPr>
          <w:i/>
          <w:spacing w:val="-13"/>
          <w:sz w:val="20"/>
        </w:rPr>
        <w:t> </w:t>
      </w:r>
      <w:r>
        <w:rPr>
          <w:i/>
          <w:sz w:val="20"/>
        </w:rPr>
        <w:t>пещера,</w:t>
      </w:r>
      <w:r>
        <w:rPr>
          <w:i/>
          <w:spacing w:val="-12"/>
          <w:sz w:val="20"/>
        </w:rPr>
        <w:t> </w:t>
      </w:r>
      <w:r>
        <w:rPr>
          <w:i/>
          <w:sz w:val="20"/>
        </w:rPr>
        <w:t>замок,</w:t>
      </w:r>
      <w:r>
        <w:rPr>
          <w:i/>
          <w:spacing w:val="-13"/>
          <w:sz w:val="20"/>
        </w:rPr>
        <w:t> </w:t>
      </w:r>
      <w:r>
        <w:rPr>
          <w:i/>
          <w:sz w:val="20"/>
        </w:rPr>
        <w:t>бункер,</w:t>
      </w:r>
      <w:r>
        <w:rPr>
          <w:i/>
          <w:spacing w:val="-12"/>
          <w:sz w:val="20"/>
        </w:rPr>
        <w:t> </w:t>
      </w:r>
      <w:r>
        <w:rPr>
          <w:i/>
          <w:sz w:val="20"/>
        </w:rPr>
        <w:t>какое-то</w:t>
      </w:r>
      <w:r>
        <w:rPr>
          <w:i/>
          <w:spacing w:val="-13"/>
          <w:sz w:val="20"/>
        </w:rPr>
        <w:t> </w:t>
      </w:r>
      <w:r>
        <w:rPr>
          <w:i/>
          <w:sz w:val="20"/>
        </w:rPr>
        <w:t>фанта- стическое строение?</w:t>
      </w:r>
    </w:p>
    <w:p>
      <w:pPr>
        <w:pStyle w:val="ListParagraph"/>
        <w:numPr>
          <w:ilvl w:val="1"/>
          <w:numId w:val="188"/>
        </w:numPr>
        <w:tabs>
          <w:tab w:pos="708" w:val="left" w:leader="none"/>
        </w:tabs>
        <w:spacing w:line="211" w:lineRule="exact" w:before="0" w:after="0"/>
        <w:ind w:left="708" w:right="0" w:hanging="283"/>
        <w:jc w:val="left"/>
        <w:rPr>
          <w:i/>
          <w:sz w:val="20"/>
        </w:rPr>
      </w:pPr>
      <w:r>
        <w:rPr>
          <w:i/>
          <w:sz w:val="20"/>
        </w:rPr>
        <w:t>Что</w:t>
      </w:r>
      <w:r>
        <w:rPr>
          <w:i/>
          <w:spacing w:val="-6"/>
          <w:sz w:val="20"/>
        </w:rPr>
        <w:t> </w:t>
      </w:r>
      <w:r>
        <w:rPr>
          <w:i/>
          <w:sz w:val="20"/>
        </w:rPr>
        <w:t>внутри:</w:t>
      </w:r>
      <w:r>
        <w:rPr>
          <w:i/>
          <w:spacing w:val="-4"/>
          <w:sz w:val="20"/>
        </w:rPr>
        <w:t> </w:t>
      </w:r>
      <w:r>
        <w:rPr>
          <w:i/>
          <w:sz w:val="20"/>
        </w:rPr>
        <w:t>комната,</w:t>
      </w:r>
      <w:r>
        <w:rPr>
          <w:i/>
          <w:spacing w:val="-3"/>
          <w:sz w:val="20"/>
        </w:rPr>
        <w:t> </w:t>
      </w:r>
      <w:r>
        <w:rPr>
          <w:i/>
          <w:sz w:val="20"/>
        </w:rPr>
        <w:t>стол,</w:t>
      </w:r>
      <w:r>
        <w:rPr>
          <w:i/>
          <w:spacing w:val="-4"/>
          <w:sz w:val="20"/>
        </w:rPr>
        <w:t> </w:t>
      </w:r>
      <w:r>
        <w:rPr>
          <w:i/>
          <w:sz w:val="20"/>
        </w:rPr>
        <w:t>есть</w:t>
      </w:r>
      <w:r>
        <w:rPr>
          <w:i/>
          <w:spacing w:val="-4"/>
          <w:sz w:val="20"/>
        </w:rPr>
        <w:t> </w:t>
      </w:r>
      <w:r>
        <w:rPr>
          <w:i/>
          <w:sz w:val="20"/>
        </w:rPr>
        <w:t>ли</w:t>
      </w:r>
      <w:r>
        <w:rPr>
          <w:i/>
          <w:spacing w:val="-4"/>
          <w:sz w:val="20"/>
        </w:rPr>
        <w:t> </w:t>
      </w:r>
      <w:r>
        <w:rPr>
          <w:i/>
          <w:sz w:val="20"/>
        </w:rPr>
        <w:t>еда,</w:t>
      </w:r>
      <w:r>
        <w:rPr>
          <w:i/>
          <w:spacing w:val="-4"/>
          <w:sz w:val="20"/>
        </w:rPr>
        <w:t> </w:t>
      </w:r>
      <w:r>
        <w:rPr>
          <w:i/>
          <w:sz w:val="20"/>
        </w:rPr>
        <w:t>есть</w:t>
      </w:r>
      <w:r>
        <w:rPr>
          <w:i/>
          <w:spacing w:val="-4"/>
          <w:sz w:val="20"/>
        </w:rPr>
        <w:t> </w:t>
      </w:r>
      <w:r>
        <w:rPr>
          <w:i/>
          <w:sz w:val="20"/>
        </w:rPr>
        <w:t>ли</w:t>
      </w:r>
      <w:r>
        <w:rPr>
          <w:i/>
          <w:spacing w:val="-4"/>
          <w:sz w:val="20"/>
        </w:rPr>
        <w:t> </w:t>
      </w:r>
      <w:r>
        <w:rPr>
          <w:i/>
          <w:sz w:val="20"/>
        </w:rPr>
        <w:t>место,</w:t>
      </w:r>
      <w:r>
        <w:rPr>
          <w:i/>
          <w:spacing w:val="-3"/>
          <w:sz w:val="20"/>
        </w:rPr>
        <w:t> </w:t>
      </w:r>
      <w:r>
        <w:rPr>
          <w:i/>
          <w:sz w:val="20"/>
        </w:rPr>
        <w:t>где</w:t>
      </w:r>
      <w:r>
        <w:rPr>
          <w:i/>
          <w:spacing w:val="-4"/>
          <w:sz w:val="20"/>
        </w:rPr>
        <w:t> </w:t>
      </w:r>
      <w:r>
        <w:rPr>
          <w:i/>
          <w:sz w:val="20"/>
        </w:rPr>
        <w:t>можно</w:t>
      </w:r>
      <w:r>
        <w:rPr>
          <w:i/>
          <w:spacing w:val="-3"/>
          <w:sz w:val="20"/>
        </w:rPr>
        <w:t> </w:t>
      </w:r>
      <w:r>
        <w:rPr>
          <w:i/>
          <w:spacing w:val="-2"/>
          <w:sz w:val="20"/>
        </w:rPr>
        <w:t>спать?</w:t>
      </w:r>
    </w:p>
    <w:p>
      <w:pPr>
        <w:pStyle w:val="ListParagraph"/>
        <w:numPr>
          <w:ilvl w:val="1"/>
          <w:numId w:val="188"/>
        </w:numPr>
        <w:tabs>
          <w:tab w:pos="708" w:val="left" w:leader="none"/>
        </w:tabs>
        <w:spacing w:line="216" w:lineRule="exact" w:before="0" w:after="0"/>
        <w:ind w:left="708" w:right="0" w:hanging="283"/>
        <w:jc w:val="left"/>
        <w:rPr>
          <w:i/>
          <w:sz w:val="20"/>
        </w:rPr>
      </w:pPr>
      <w:r>
        <w:rPr>
          <w:i/>
          <w:sz w:val="20"/>
        </w:rPr>
        <w:t>Есть</w:t>
      </w:r>
      <w:r>
        <w:rPr>
          <w:i/>
          <w:spacing w:val="-6"/>
          <w:sz w:val="20"/>
        </w:rPr>
        <w:t> </w:t>
      </w:r>
      <w:r>
        <w:rPr>
          <w:i/>
          <w:sz w:val="20"/>
        </w:rPr>
        <w:t>ли</w:t>
      </w:r>
      <w:r>
        <w:rPr>
          <w:i/>
          <w:spacing w:val="-2"/>
          <w:sz w:val="20"/>
        </w:rPr>
        <w:t> </w:t>
      </w:r>
      <w:r>
        <w:rPr>
          <w:i/>
          <w:sz w:val="20"/>
        </w:rPr>
        <w:t>там</w:t>
      </w:r>
      <w:r>
        <w:rPr>
          <w:i/>
          <w:spacing w:val="-3"/>
          <w:sz w:val="20"/>
        </w:rPr>
        <w:t> </w:t>
      </w:r>
      <w:r>
        <w:rPr>
          <w:i/>
          <w:sz w:val="20"/>
        </w:rPr>
        <w:t>кто-то</w:t>
      </w:r>
      <w:r>
        <w:rPr>
          <w:i/>
          <w:spacing w:val="-3"/>
          <w:sz w:val="20"/>
        </w:rPr>
        <w:t> </w:t>
      </w:r>
      <w:r>
        <w:rPr>
          <w:i/>
          <w:sz w:val="20"/>
        </w:rPr>
        <w:t>еще:</w:t>
      </w:r>
      <w:r>
        <w:rPr>
          <w:i/>
          <w:spacing w:val="-2"/>
          <w:sz w:val="20"/>
        </w:rPr>
        <w:t> </w:t>
      </w:r>
      <w:r>
        <w:rPr>
          <w:i/>
          <w:sz w:val="20"/>
        </w:rPr>
        <w:t>животные,</w:t>
      </w:r>
      <w:r>
        <w:rPr>
          <w:i/>
          <w:spacing w:val="-2"/>
          <w:sz w:val="20"/>
        </w:rPr>
        <w:t> </w:t>
      </w:r>
      <w:r>
        <w:rPr>
          <w:i/>
          <w:sz w:val="20"/>
        </w:rPr>
        <w:t>люди,</w:t>
      </w:r>
      <w:r>
        <w:rPr>
          <w:i/>
          <w:spacing w:val="-3"/>
          <w:sz w:val="20"/>
        </w:rPr>
        <w:t> </w:t>
      </w:r>
      <w:r>
        <w:rPr>
          <w:i/>
          <w:sz w:val="20"/>
        </w:rPr>
        <w:t>какие-то</w:t>
      </w:r>
      <w:r>
        <w:rPr>
          <w:i/>
          <w:spacing w:val="-2"/>
          <w:sz w:val="20"/>
        </w:rPr>
        <w:t> </w:t>
      </w:r>
      <w:r>
        <w:rPr>
          <w:i/>
          <w:sz w:val="20"/>
        </w:rPr>
        <w:t>волшебные</w:t>
      </w:r>
      <w:r>
        <w:rPr>
          <w:i/>
          <w:spacing w:val="-2"/>
          <w:sz w:val="20"/>
        </w:rPr>
        <w:t> существа?</w:t>
      </w:r>
    </w:p>
    <w:p>
      <w:pPr>
        <w:pStyle w:val="BodyText"/>
        <w:spacing w:line="225" w:lineRule="auto" w:before="4"/>
        <w:ind w:right="0"/>
        <w:jc w:val="left"/>
      </w:pPr>
      <w:r>
        <w:rPr/>
        <w:t>Если</w:t>
      </w:r>
      <w:r>
        <w:rPr>
          <w:spacing w:val="-8"/>
        </w:rPr>
        <w:t> </w:t>
      </w:r>
      <w:r>
        <w:rPr/>
        <w:t>появляется</w:t>
      </w:r>
      <w:r>
        <w:rPr>
          <w:spacing w:val="-8"/>
        </w:rPr>
        <w:t> </w:t>
      </w:r>
      <w:r>
        <w:rPr/>
        <w:t>что-то</w:t>
      </w:r>
      <w:r>
        <w:rPr>
          <w:spacing w:val="-8"/>
        </w:rPr>
        <w:t> </w:t>
      </w:r>
      <w:r>
        <w:rPr/>
        <w:t>враждебное,</w:t>
      </w:r>
      <w:r>
        <w:rPr>
          <w:spacing w:val="-8"/>
        </w:rPr>
        <w:t> </w:t>
      </w:r>
      <w:r>
        <w:rPr/>
        <w:t>негативно</w:t>
      </w:r>
      <w:r>
        <w:rPr>
          <w:spacing w:val="-8"/>
        </w:rPr>
        <w:t> </w:t>
      </w:r>
      <w:r>
        <w:rPr/>
        <w:t>настроенное,</w:t>
      </w:r>
      <w:r>
        <w:rPr>
          <w:spacing w:val="-8"/>
        </w:rPr>
        <w:t> </w:t>
      </w:r>
      <w:r>
        <w:rPr/>
        <w:t>угрожающее,</w:t>
      </w:r>
      <w:r>
        <w:rPr>
          <w:spacing w:val="-8"/>
        </w:rPr>
        <w:t> </w:t>
      </w:r>
      <w:r>
        <w:rPr/>
        <w:t>психо- лог просит ребенка убрать это из картинки.</w:t>
      </w:r>
    </w:p>
    <w:p>
      <w:pPr>
        <w:pStyle w:val="ListParagraph"/>
        <w:numPr>
          <w:ilvl w:val="0"/>
          <w:numId w:val="188"/>
        </w:numPr>
        <w:tabs>
          <w:tab w:pos="423" w:val="left" w:leader="none"/>
          <w:tab w:pos="425" w:val="left" w:leader="none"/>
        </w:tabs>
        <w:spacing w:line="225" w:lineRule="auto" w:before="56" w:after="0"/>
        <w:ind w:left="425" w:right="140" w:hanging="284"/>
        <w:jc w:val="left"/>
        <w:rPr>
          <w:sz w:val="20"/>
        </w:rPr>
      </w:pPr>
      <w:r>
        <w:rPr>
          <w:sz w:val="20"/>
        </w:rPr>
        <w:t>Психолог предлагает ребенку побыть в безопасном месте и заметить, как он там себя чувствует.</w:t>
      </w:r>
    </w:p>
    <w:p>
      <w:pPr>
        <w:spacing w:line="211" w:lineRule="exact" w:before="0"/>
        <w:ind w:left="425" w:right="0" w:firstLine="0"/>
        <w:jc w:val="left"/>
        <w:rPr>
          <w:i/>
          <w:sz w:val="20"/>
        </w:rPr>
      </w:pPr>
      <w:r>
        <w:rPr>
          <w:i/>
          <w:spacing w:val="-2"/>
          <w:sz w:val="20"/>
        </w:rPr>
        <w:t>Инструкция</w:t>
      </w:r>
    </w:p>
    <w:p>
      <w:pPr>
        <w:pStyle w:val="ListParagraph"/>
        <w:numPr>
          <w:ilvl w:val="1"/>
          <w:numId w:val="188"/>
        </w:numPr>
        <w:tabs>
          <w:tab w:pos="583" w:val="left" w:leader="none"/>
        </w:tabs>
        <w:spacing w:line="225" w:lineRule="auto" w:before="4" w:after="0"/>
        <w:ind w:left="141" w:right="139" w:firstLine="283"/>
        <w:jc w:val="both"/>
        <w:rPr>
          <w:i/>
          <w:sz w:val="20"/>
        </w:rPr>
      </w:pPr>
      <w:r>
        <w:rPr>
          <w:i/>
          <w:sz w:val="20"/>
        </w:rPr>
        <w:t>И что ты там делаешь? Заметь, как приятно находиться в этом месте. По- чувствуй,</w:t>
      </w:r>
      <w:r>
        <w:rPr>
          <w:i/>
          <w:spacing w:val="-1"/>
          <w:sz w:val="20"/>
        </w:rPr>
        <w:t> </w:t>
      </w:r>
      <w:r>
        <w:rPr>
          <w:i/>
          <w:sz w:val="20"/>
        </w:rPr>
        <w:t>как</w:t>
      </w:r>
      <w:r>
        <w:rPr>
          <w:i/>
          <w:spacing w:val="-1"/>
          <w:sz w:val="20"/>
        </w:rPr>
        <w:t> </w:t>
      </w:r>
      <w:r>
        <w:rPr>
          <w:i/>
          <w:sz w:val="20"/>
        </w:rPr>
        <w:t>ты</w:t>
      </w:r>
      <w:r>
        <w:rPr>
          <w:i/>
          <w:spacing w:val="-1"/>
          <w:sz w:val="20"/>
        </w:rPr>
        <w:t> </w:t>
      </w:r>
      <w:r>
        <w:rPr>
          <w:i/>
          <w:sz w:val="20"/>
        </w:rPr>
        <w:t>расслабляешься,</w:t>
      </w:r>
      <w:r>
        <w:rPr>
          <w:i/>
          <w:spacing w:val="-1"/>
          <w:sz w:val="20"/>
        </w:rPr>
        <w:t> </w:t>
      </w:r>
      <w:r>
        <w:rPr>
          <w:i/>
          <w:sz w:val="20"/>
        </w:rPr>
        <w:t>отдыхаешь,</w:t>
      </w:r>
      <w:r>
        <w:rPr>
          <w:i/>
          <w:spacing w:val="-1"/>
          <w:sz w:val="20"/>
        </w:rPr>
        <w:t> </w:t>
      </w:r>
      <w:r>
        <w:rPr>
          <w:i/>
          <w:sz w:val="20"/>
        </w:rPr>
        <w:t>ощущаешь</w:t>
      </w:r>
      <w:r>
        <w:rPr>
          <w:i/>
          <w:spacing w:val="-1"/>
          <w:sz w:val="20"/>
        </w:rPr>
        <w:t> </w:t>
      </w:r>
      <w:r>
        <w:rPr>
          <w:i/>
          <w:sz w:val="20"/>
        </w:rPr>
        <w:t>безопасность</w:t>
      </w:r>
      <w:r>
        <w:rPr>
          <w:i/>
          <w:spacing w:val="-1"/>
          <w:sz w:val="20"/>
        </w:rPr>
        <w:t> </w:t>
      </w:r>
      <w:r>
        <w:rPr>
          <w:i/>
          <w:sz w:val="20"/>
        </w:rPr>
        <w:t>и</w:t>
      </w:r>
      <w:r>
        <w:rPr>
          <w:i/>
          <w:spacing w:val="-1"/>
          <w:sz w:val="20"/>
        </w:rPr>
        <w:t> </w:t>
      </w:r>
      <w:r>
        <w:rPr>
          <w:i/>
          <w:sz w:val="20"/>
        </w:rPr>
        <w:t>радость. Побудь там какое-то время.</w:t>
      </w:r>
    </w:p>
    <w:p>
      <w:pPr>
        <w:pStyle w:val="ListParagraph"/>
        <w:numPr>
          <w:ilvl w:val="0"/>
          <w:numId w:val="188"/>
        </w:numPr>
        <w:tabs>
          <w:tab w:pos="423" w:val="left" w:leader="none"/>
        </w:tabs>
        <w:spacing w:line="224" w:lineRule="exact" w:before="49" w:after="0"/>
        <w:ind w:left="423" w:right="0" w:hanging="282"/>
        <w:jc w:val="both"/>
        <w:rPr>
          <w:sz w:val="20"/>
        </w:rPr>
      </w:pPr>
      <w:r>
        <w:rPr>
          <w:sz w:val="20"/>
        </w:rPr>
        <w:t>Психолог</w:t>
      </w:r>
      <w:r>
        <w:rPr>
          <w:spacing w:val="-10"/>
          <w:sz w:val="20"/>
        </w:rPr>
        <w:t> </w:t>
      </w:r>
      <w:r>
        <w:rPr>
          <w:sz w:val="20"/>
        </w:rPr>
        <w:t>предлагает</w:t>
      </w:r>
      <w:r>
        <w:rPr>
          <w:spacing w:val="-8"/>
          <w:sz w:val="20"/>
        </w:rPr>
        <w:t> </w:t>
      </w:r>
      <w:r>
        <w:rPr>
          <w:sz w:val="20"/>
        </w:rPr>
        <w:t>завершить</w:t>
      </w:r>
      <w:r>
        <w:rPr>
          <w:spacing w:val="-9"/>
          <w:sz w:val="20"/>
        </w:rPr>
        <w:t> </w:t>
      </w:r>
      <w:r>
        <w:rPr>
          <w:spacing w:val="-2"/>
          <w:sz w:val="20"/>
        </w:rPr>
        <w:t>технику.</w:t>
      </w:r>
    </w:p>
    <w:p>
      <w:pPr>
        <w:spacing w:line="218" w:lineRule="exact" w:before="0"/>
        <w:ind w:left="425" w:right="0" w:firstLine="0"/>
        <w:jc w:val="left"/>
        <w:rPr>
          <w:i/>
          <w:sz w:val="20"/>
        </w:rPr>
      </w:pPr>
      <w:r>
        <w:rPr>
          <w:i/>
          <w:spacing w:val="-2"/>
          <w:sz w:val="20"/>
        </w:rPr>
        <w:t>Инструкция</w:t>
      </w:r>
    </w:p>
    <w:p>
      <w:pPr>
        <w:pStyle w:val="ListParagraph"/>
        <w:numPr>
          <w:ilvl w:val="1"/>
          <w:numId w:val="188"/>
        </w:numPr>
        <w:tabs>
          <w:tab w:pos="708" w:val="left" w:leader="none"/>
        </w:tabs>
        <w:spacing w:line="222" w:lineRule="exact" w:before="0" w:after="0"/>
        <w:ind w:left="708" w:right="0" w:hanging="283"/>
        <w:jc w:val="left"/>
        <w:rPr>
          <w:i/>
          <w:sz w:val="20"/>
        </w:rPr>
      </w:pPr>
      <w:r>
        <w:rPr>
          <w:i/>
          <w:sz w:val="20"/>
        </w:rPr>
        <w:t>Попробуй,</w:t>
      </w:r>
      <w:r>
        <w:rPr>
          <w:i/>
          <w:spacing w:val="9"/>
          <w:sz w:val="20"/>
        </w:rPr>
        <w:t> </w:t>
      </w:r>
      <w:r>
        <w:rPr>
          <w:i/>
          <w:sz w:val="20"/>
        </w:rPr>
        <w:t>как</w:t>
      </w:r>
      <w:r>
        <w:rPr>
          <w:i/>
          <w:spacing w:val="10"/>
          <w:sz w:val="20"/>
        </w:rPr>
        <w:t> </w:t>
      </w:r>
      <w:r>
        <w:rPr>
          <w:i/>
          <w:sz w:val="20"/>
        </w:rPr>
        <w:t>губка,</w:t>
      </w:r>
      <w:r>
        <w:rPr>
          <w:i/>
          <w:spacing w:val="9"/>
          <w:sz w:val="20"/>
        </w:rPr>
        <w:t> </w:t>
      </w:r>
      <w:r>
        <w:rPr>
          <w:i/>
          <w:sz w:val="20"/>
        </w:rPr>
        <w:t>впитать</w:t>
      </w:r>
      <w:r>
        <w:rPr>
          <w:i/>
          <w:spacing w:val="10"/>
          <w:sz w:val="20"/>
        </w:rPr>
        <w:t> </w:t>
      </w:r>
      <w:r>
        <w:rPr>
          <w:i/>
          <w:sz w:val="20"/>
        </w:rPr>
        <w:t>это</w:t>
      </w:r>
      <w:r>
        <w:rPr>
          <w:i/>
          <w:spacing w:val="9"/>
          <w:sz w:val="20"/>
        </w:rPr>
        <w:t> </w:t>
      </w:r>
      <w:r>
        <w:rPr>
          <w:i/>
          <w:sz w:val="20"/>
        </w:rPr>
        <w:t>состояние.</w:t>
      </w:r>
      <w:r>
        <w:rPr>
          <w:i/>
          <w:spacing w:val="10"/>
          <w:sz w:val="20"/>
        </w:rPr>
        <w:t> </w:t>
      </w:r>
      <w:r>
        <w:rPr>
          <w:i/>
          <w:sz w:val="20"/>
        </w:rPr>
        <w:t>Скажи</w:t>
      </w:r>
      <w:r>
        <w:rPr>
          <w:i/>
          <w:spacing w:val="9"/>
          <w:sz w:val="20"/>
        </w:rPr>
        <w:t> </w:t>
      </w:r>
      <w:r>
        <w:rPr>
          <w:i/>
          <w:sz w:val="20"/>
        </w:rPr>
        <w:t>спасибо</w:t>
      </w:r>
      <w:r>
        <w:rPr>
          <w:i/>
          <w:spacing w:val="10"/>
          <w:sz w:val="20"/>
        </w:rPr>
        <w:t> </w:t>
      </w:r>
      <w:r>
        <w:rPr>
          <w:i/>
          <w:sz w:val="20"/>
        </w:rPr>
        <w:t>этому</w:t>
      </w:r>
      <w:r>
        <w:rPr>
          <w:i/>
          <w:spacing w:val="10"/>
          <w:sz w:val="20"/>
        </w:rPr>
        <w:t> </w:t>
      </w:r>
      <w:r>
        <w:rPr>
          <w:i/>
          <w:spacing w:val="-2"/>
          <w:sz w:val="20"/>
        </w:rPr>
        <w:t>месту.</w:t>
      </w:r>
    </w:p>
    <w:p>
      <w:pPr>
        <w:spacing w:line="228" w:lineRule="exact" w:before="0"/>
        <w:ind w:left="708" w:right="0" w:firstLine="0"/>
        <w:jc w:val="left"/>
        <w:rPr>
          <w:i/>
          <w:sz w:val="20"/>
        </w:rPr>
      </w:pPr>
      <w:r>
        <w:rPr>
          <w:i/>
          <w:sz w:val="20"/>
        </w:rPr>
        <w:t>Оно</w:t>
      </w:r>
      <w:r>
        <w:rPr>
          <w:i/>
          <w:spacing w:val="-3"/>
          <w:sz w:val="20"/>
        </w:rPr>
        <w:t> </w:t>
      </w:r>
      <w:r>
        <w:rPr>
          <w:i/>
          <w:sz w:val="20"/>
        </w:rPr>
        <w:t>теперь</w:t>
      </w:r>
      <w:r>
        <w:rPr>
          <w:i/>
          <w:spacing w:val="-4"/>
          <w:sz w:val="20"/>
        </w:rPr>
        <w:t> </w:t>
      </w:r>
      <w:r>
        <w:rPr>
          <w:i/>
          <w:sz w:val="20"/>
        </w:rPr>
        <w:t>всегда</w:t>
      </w:r>
      <w:r>
        <w:rPr>
          <w:i/>
          <w:spacing w:val="-3"/>
          <w:sz w:val="20"/>
        </w:rPr>
        <w:t> </w:t>
      </w:r>
      <w:r>
        <w:rPr>
          <w:i/>
          <w:sz w:val="20"/>
        </w:rPr>
        <w:t>ждет</w:t>
      </w:r>
      <w:r>
        <w:rPr>
          <w:i/>
          <w:spacing w:val="-4"/>
          <w:sz w:val="20"/>
        </w:rPr>
        <w:t> </w:t>
      </w:r>
      <w:r>
        <w:rPr>
          <w:i/>
          <w:sz w:val="20"/>
        </w:rPr>
        <w:t>тебя.</w:t>
      </w:r>
      <w:r>
        <w:rPr>
          <w:i/>
          <w:spacing w:val="-3"/>
          <w:sz w:val="20"/>
        </w:rPr>
        <w:t> </w:t>
      </w:r>
      <w:r>
        <w:rPr>
          <w:i/>
          <w:sz w:val="20"/>
        </w:rPr>
        <w:t>И</w:t>
      </w:r>
      <w:r>
        <w:rPr>
          <w:i/>
          <w:spacing w:val="-4"/>
          <w:sz w:val="20"/>
        </w:rPr>
        <w:t> </w:t>
      </w:r>
      <w:r>
        <w:rPr>
          <w:i/>
          <w:sz w:val="20"/>
        </w:rPr>
        <w:t>возвращайся.</w:t>
      </w:r>
      <w:r>
        <w:rPr>
          <w:i/>
          <w:spacing w:val="-3"/>
          <w:sz w:val="20"/>
        </w:rPr>
        <w:t> </w:t>
      </w:r>
      <w:r>
        <w:rPr>
          <w:i/>
          <w:sz w:val="20"/>
        </w:rPr>
        <w:t>Открывай</w:t>
      </w:r>
      <w:r>
        <w:rPr>
          <w:i/>
          <w:spacing w:val="-2"/>
          <w:sz w:val="20"/>
        </w:rPr>
        <w:t> глаза.</w:t>
      </w:r>
    </w:p>
    <w:p>
      <w:pPr>
        <w:spacing w:after="0" w:line="228" w:lineRule="exact"/>
        <w:jc w:val="left"/>
        <w:rPr>
          <w:i/>
          <w:sz w:val="20"/>
        </w:rPr>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ListParagraph"/>
        <w:numPr>
          <w:ilvl w:val="0"/>
          <w:numId w:val="188"/>
        </w:numPr>
        <w:tabs>
          <w:tab w:pos="423" w:val="left" w:leader="none"/>
          <w:tab w:pos="425" w:val="left" w:leader="none"/>
        </w:tabs>
        <w:spacing w:line="235" w:lineRule="auto" w:before="116" w:after="0"/>
        <w:ind w:left="425" w:right="140" w:hanging="284"/>
        <w:jc w:val="both"/>
        <w:rPr>
          <w:sz w:val="20"/>
        </w:rPr>
      </w:pPr>
      <w:r>
        <w:rPr>
          <w:sz w:val="20"/>
        </w:rPr>
        <w:t>Психолог спрашивает ребенка о самочувствии сейчас, уточняет, поменялось ли состояние и настроение после путешествия.</w:t>
      </w:r>
    </w:p>
    <w:p>
      <w:pPr>
        <w:pStyle w:val="ListParagraph"/>
        <w:numPr>
          <w:ilvl w:val="0"/>
          <w:numId w:val="188"/>
        </w:numPr>
        <w:tabs>
          <w:tab w:pos="423" w:val="left" w:leader="none"/>
          <w:tab w:pos="425" w:val="left" w:leader="none"/>
        </w:tabs>
        <w:spacing w:line="240" w:lineRule="auto" w:before="56" w:after="0"/>
        <w:ind w:left="425" w:right="139" w:hanging="284"/>
        <w:jc w:val="both"/>
        <w:rPr>
          <w:sz w:val="20"/>
        </w:rPr>
      </w:pPr>
      <w:r>
        <w:rPr>
          <w:sz w:val="20"/>
        </w:rPr>
        <w:t>Психолог</w:t>
      </w:r>
      <w:r>
        <w:rPr>
          <w:spacing w:val="-13"/>
          <w:sz w:val="20"/>
        </w:rPr>
        <w:t> </w:t>
      </w:r>
      <w:r>
        <w:rPr>
          <w:sz w:val="20"/>
        </w:rPr>
        <w:t>говорит,</w:t>
      </w:r>
      <w:r>
        <w:rPr>
          <w:spacing w:val="-12"/>
          <w:sz w:val="20"/>
        </w:rPr>
        <w:t> </w:t>
      </w:r>
      <w:r>
        <w:rPr>
          <w:sz w:val="20"/>
        </w:rPr>
        <w:t>что</w:t>
      </w:r>
      <w:r>
        <w:rPr>
          <w:spacing w:val="-13"/>
          <w:sz w:val="20"/>
        </w:rPr>
        <w:t> </w:t>
      </w:r>
      <w:r>
        <w:rPr>
          <w:sz w:val="20"/>
        </w:rPr>
        <w:t>теперь</w:t>
      </w:r>
      <w:r>
        <w:rPr>
          <w:spacing w:val="-12"/>
          <w:sz w:val="20"/>
        </w:rPr>
        <w:t> </w:t>
      </w:r>
      <w:r>
        <w:rPr>
          <w:sz w:val="20"/>
        </w:rPr>
        <w:t>ребенок</w:t>
      </w:r>
      <w:r>
        <w:rPr>
          <w:spacing w:val="-13"/>
          <w:sz w:val="20"/>
        </w:rPr>
        <w:t> </w:t>
      </w:r>
      <w:r>
        <w:rPr>
          <w:sz w:val="20"/>
        </w:rPr>
        <w:t>может</w:t>
      </w:r>
      <w:r>
        <w:rPr>
          <w:spacing w:val="-12"/>
          <w:sz w:val="20"/>
        </w:rPr>
        <w:t> </w:t>
      </w:r>
      <w:r>
        <w:rPr>
          <w:sz w:val="20"/>
        </w:rPr>
        <w:t>переноситься</w:t>
      </w:r>
      <w:r>
        <w:rPr>
          <w:spacing w:val="-13"/>
          <w:sz w:val="20"/>
        </w:rPr>
        <w:t> </w:t>
      </w:r>
      <w:r>
        <w:rPr>
          <w:sz w:val="20"/>
        </w:rPr>
        <w:t>в</w:t>
      </w:r>
      <w:r>
        <w:rPr>
          <w:spacing w:val="-12"/>
          <w:sz w:val="20"/>
        </w:rPr>
        <w:t> </w:t>
      </w:r>
      <w:r>
        <w:rPr>
          <w:sz w:val="20"/>
        </w:rPr>
        <w:t>это</w:t>
      </w:r>
      <w:r>
        <w:rPr>
          <w:spacing w:val="-13"/>
          <w:sz w:val="20"/>
        </w:rPr>
        <w:t> </w:t>
      </w:r>
      <w:r>
        <w:rPr>
          <w:sz w:val="20"/>
        </w:rPr>
        <w:t>место</w:t>
      </w:r>
      <w:r>
        <w:rPr>
          <w:spacing w:val="-12"/>
          <w:sz w:val="20"/>
        </w:rPr>
        <w:t> </w:t>
      </w:r>
      <w:r>
        <w:rPr>
          <w:sz w:val="20"/>
        </w:rPr>
        <w:t>всегда,</w:t>
      </w:r>
      <w:r>
        <w:rPr>
          <w:spacing w:val="-13"/>
          <w:sz w:val="20"/>
        </w:rPr>
        <w:t> </w:t>
      </w:r>
      <w:r>
        <w:rPr>
          <w:sz w:val="20"/>
        </w:rPr>
        <w:t>ког- да нужно восстановить силы, например перед сном.</w:t>
      </w:r>
    </w:p>
    <w:p>
      <w:pPr>
        <w:spacing w:line="229" w:lineRule="exact" w:before="166"/>
        <w:ind w:left="425" w:right="0" w:firstLine="0"/>
        <w:jc w:val="left"/>
        <w:rPr>
          <w:b/>
          <w:sz w:val="20"/>
        </w:rPr>
      </w:pPr>
      <w:r>
        <w:rPr>
          <w:b/>
          <w:sz w:val="20"/>
        </w:rPr>
        <w:t>Компонент</w:t>
      </w:r>
      <w:r>
        <w:rPr>
          <w:b/>
          <w:spacing w:val="-9"/>
          <w:sz w:val="20"/>
        </w:rPr>
        <w:t> </w:t>
      </w:r>
      <w:r>
        <w:rPr>
          <w:b/>
          <w:sz w:val="20"/>
        </w:rPr>
        <w:t>2.</w:t>
      </w:r>
      <w:r>
        <w:rPr>
          <w:b/>
          <w:spacing w:val="-9"/>
          <w:sz w:val="20"/>
        </w:rPr>
        <w:t> </w:t>
      </w:r>
      <w:r>
        <w:rPr>
          <w:b/>
          <w:sz w:val="20"/>
        </w:rPr>
        <w:t>Мои</w:t>
      </w:r>
      <w:r>
        <w:rPr>
          <w:b/>
          <w:spacing w:val="-8"/>
          <w:sz w:val="20"/>
        </w:rPr>
        <w:t> </w:t>
      </w:r>
      <w:r>
        <w:rPr>
          <w:b/>
          <w:spacing w:val="-2"/>
          <w:sz w:val="20"/>
        </w:rPr>
        <w:t>силы/ресурсы</w:t>
      </w:r>
    </w:p>
    <w:p>
      <w:pPr>
        <w:pStyle w:val="BodyText"/>
        <w:ind w:right="0"/>
        <w:jc w:val="left"/>
      </w:pPr>
      <w:r>
        <w:rPr>
          <w:i/>
        </w:rPr>
        <w:t>Цель: </w:t>
      </w:r>
      <w:r>
        <w:rPr/>
        <w:t>стабилизация психического состояния и обретение ресурсов для конструк- тивного развития.</w:t>
      </w:r>
    </w:p>
    <w:p>
      <w:pPr>
        <w:spacing w:line="225" w:lineRule="exact" w:before="0"/>
        <w:ind w:left="425" w:right="0" w:firstLine="0"/>
        <w:jc w:val="left"/>
        <w:rPr>
          <w:i/>
          <w:sz w:val="20"/>
        </w:rPr>
      </w:pPr>
      <w:r>
        <w:rPr>
          <w:i/>
          <w:spacing w:val="-2"/>
          <w:sz w:val="20"/>
        </w:rPr>
        <w:t>Задачи:</w:t>
      </w:r>
    </w:p>
    <w:p>
      <w:pPr>
        <w:pStyle w:val="ListParagraph"/>
        <w:numPr>
          <w:ilvl w:val="0"/>
          <w:numId w:val="189"/>
        </w:numPr>
        <w:tabs>
          <w:tab w:pos="424" w:val="left" w:leader="none"/>
        </w:tabs>
        <w:spacing w:line="228" w:lineRule="exact" w:before="0" w:after="0"/>
        <w:ind w:left="424" w:right="0" w:hanging="283"/>
        <w:jc w:val="left"/>
        <w:rPr>
          <w:sz w:val="20"/>
        </w:rPr>
      </w:pPr>
      <w:r>
        <w:rPr>
          <w:sz w:val="20"/>
        </w:rPr>
        <w:t>управление</w:t>
      </w:r>
      <w:r>
        <w:rPr>
          <w:spacing w:val="-5"/>
          <w:sz w:val="20"/>
        </w:rPr>
        <w:t> </w:t>
      </w:r>
      <w:r>
        <w:rPr>
          <w:sz w:val="20"/>
        </w:rPr>
        <w:t>стрессом/тревогой</w:t>
      </w:r>
      <w:r>
        <w:rPr>
          <w:spacing w:val="-6"/>
          <w:sz w:val="20"/>
        </w:rPr>
        <w:t> </w:t>
      </w:r>
      <w:r>
        <w:rPr>
          <w:sz w:val="20"/>
        </w:rPr>
        <w:t>и</w:t>
      </w:r>
      <w:r>
        <w:rPr>
          <w:spacing w:val="-6"/>
          <w:sz w:val="20"/>
        </w:rPr>
        <w:t> </w:t>
      </w:r>
      <w:r>
        <w:rPr>
          <w:sz w:val="20"/>
        </w:rPr>
        <w:t>навыки</w:t>
      </w:r>
      <w:r>
        <w:rPr>
          <w:spacing w:val="-5"/>
          <w:sz w:val="20"/>
        </w:rPr>
        <w:t> </w:t>
      </w:r>
      <w:r>
        <w:rPr>
          <w:spacing w:val="-2"/>
          <w:sz w:val="20"/>
        </w:rPr>
        <w:t>релаксации;</w:t>
      </w:r>
    </w:p>
    <w:p>
      <w:pPr>
        <w:pStyle w:val="ListParagraph"/>
        <w:numPr>
          <w:ilvl w:val="0"/>
          <w:numId w:val="189"/>
        </w:numPr>
        <w:tabs>
          <w:tab w:pos="424" w:val="left" w:leader="none"/>
        </w:tabs>
        <w:spacing w:line="228" w:lineRule="exact" w:before="0" w:after="0"/>
        <w:ind w:left="424" w:right="0" w:hanging="283"/>
        <w:jc w:val="left"/>
        <w:rPr>
          <w:sz w:val="20"/>
        </w:rPr>
      </w:pPr>
      <w:r>
        <w:rPr>
          <w:sz w:val="20"/>
        </w:rPr>
        <w:t>развитие</w:t>
      </w:r>
      <w:r>
        <w:rPr>
          <w:spacing w:val="-4"/>
          <w:sz w:val="20"/>
        </w:rPr>
        <w:t> </w:t>
      </w:r>
      <w:r>
        <w:rPr>
          <w:sz w:val="20"/>
        </w:rPr>
        <w:t>навыков</w:t>
      </w:r>
      <w:r>
        <w:rPr>
          <w:spacing w:val="-4"/>
          <w:sz w:val="20"/>
        </w:rPr>
        <w:t> </w:t>
      </w:r>
      <w:r>
        <w:rPr>
          <w:sz w:val="20"/>
        </w:rPr>
        <w:t>телесного</w:t>
      </w:r>
      <w:r>
        <w:rPr>
          <w:spacing w:val="-3"/>
          <w:sz w:val="20"/>
        </w:rPr>
        <w:t> </w:t>
      </w:r>
      <w:r>
        <w:rPr>
          <w:sz w:val="20"/>
        </w:rPr>
        <w:t>осознавания,</w:t>
      </w:r>
      <w:r>
        <w:rPr>
          <w:spacing w:val="-3"/>
          <w:sz w:val="20"/>
        </w:rPr>
        <w:t> </w:t>
      </w:r>
      <w:r>
        <w:rPr>
          <w:sz w:val="20"/>
        </w:rPr>
        <w:t>заземления</w:t>
      </w:r>
      <w:r>
        <w:rPr>
          <w:spacing w:val="-3"/>
          <w:sz w:val="20"/>
        </w:rPr>
        <w:t> </w:t>
      </w:r>
      <w:r>
        <w:rPr>
          <w:sz w:val="20"/>
        </w:rPr>
        <w:t>и</w:t>
      </w:r>
      <w:r>
        <w:rPr>
          <w:spacing w:val="-4"/>
          <w:sz w:val="20"/>
        </w:rPr>
        <w:t> </w:t>
      </w:r>
      <w:r>
        <w:rPr>
          <w:spacing w:val="-2"/>
          <w:sz w:val="20"/>
        </w:rPr>
        <w:t>центрирования;</w:t>
      </w:r>
    </w:p>
    <w:p>
      <w:pPr>
        <w:pStyle w:val="ListParagraph"/>
        <w:numPr>
          <w:ilvl w:val="0"/>
          <w:numId w:val="189"/>
        </w:numPr>
        <w:tabs>
          <w:tab w:pos="424" w:val="left" w:leader="none"/>
        </w:tabs>
        <w:spacing w:line="228" w:lineRule="exact" w:before="0" w:after="0"/>
        <w:ind w:left="424" w:right="0" w:hanging="283"/>
        <w:jc w:val="left"/>
        <w:rPr>
          <w:sz w:val="20"/>
        </w:rPr>
      </w:pPr>
      <w:r>
        <w:rPr>
          <w:sz w:val="20"/>
        </w:rPr>
        <w:t>развитие</w:t>
      </w:r>
      <w:r>
        <w:rPr>
          <w:spacing w:val="-7"/>
          <w:sz w:val="20"/>
        </w:rPr>
        <w:t> </w:t>
      </w:r>
      <w:r>
        <w:rPr>
          <w:sz w:val="20"/>
        </w:rPr>
        <w:t>навыков</w:t>
      </w:r>
      <w:r>
        <w:rPr>
          <w:spacing w:val="-7"/>
          <w:sz w:val="20"/>
        </w:rPr>
        <w:t> </w:t>
      </w:r>
      <w:r>
        <w:rPr>
          <w:sz w:val="20"/>
        </w:rPr>
        <w:t>выражения</w:t>
      </w:r>
      <w:r>
        <w:rPr>
          <w:spacing w:val="-6"/>
          <w:sz w:val="20"/>
        </w:rPr>
        <w:t> </w:t>
      </w:r>
      <w:r>
        <w:rPr>
          <w:sz w:val="20"/>
        </w:rPr>
        <w:t>и</w:t>
      </w:r>
      <w:r>
        <w:rPr>
          <w:spacing w:val="-7"/>
          <w:sz w:val="20"/>
        </w:rPr>
        <w:t> </w:t>
      </w:r>
      <w:r>
        <w:rPr>
          <w:sz w:val="20"/>
        </w:rPr>
        <w:t>регулирования</w:t>
      </w:r>
      <w:r>
        <w:rPr>
          <w:spacing w:val="-6"/>
          <w:sz w:val="20"/>
        </w:rPr>
        <w:t> </w:t>
      </w:r>
      <w:r>
        <w:rPr>
          <w:spacing w:val="-2"/>
          <w:sz w:val="20"/>
        </w:rPr>
        <w:t>эмоций;</w:t>
      </w:r>
    </w:p>
    <w:p>
      <w:pPr>
        <w:pStyle w:val="ListParagraph"/>
        <w:numPr>
          <w:ilvl w:val="0"/>
          <w:numId w:val="189"/>
        </w:numPr>
        <w:tabs>
          <w:tab w:pos="424" w:val="left" w:leader="none"/>
        </w:tabs>
        <w:spacing w:line="228" w:lineRule="exact" w:before="0" w:after="0"/>
        <w:ind w:left="424" w:right="0" w:hanging="283"/>
        <w:jc w:val="left"/>
        <w:rPr>
          <w:sz w:val="20"/>
        </w:rPr>
      </w:pPr>
      <w:r>
        <w:rPr>
          <w:sz w:val="20"/>
        </w:rPr>
        <w:t>когнитивная</w:t>
      </w:r>
      <w:r>
        <w:rPr>
          <w:spacing w:val="-11"/>
          <w:sz w:val="20"/>
        </w:rPr>
        <w:t> </w:t>
      </w:r>
      <w:r>
        <w:rPr>
          <w:sz w:val="20"/>
        </w:rPr>
        <w:t>переработка</w:t>
      </w:r>
      <w:r>
        <w:rPr>
          <w:spacing w:val="-9"/>
          <w:sz w:val="20"/>
        </w:rPr>
        <w:t> </w:t>
      </w:r>
      <w:r>
        <w:rPr>
          <w:sz w:val="20"/>
        </w:rPr>
        <w:t>и</w:t>
      </w:r>
      <w:r>
        <w:rPr>
          <w:spacing w:val="-10"/>
          <w:sz w:val="20"/>
        </w:rPr>
        <w:t> </w:t>
      </w:r>
      <w:r>
        <w:rPr>
          <w:sz w:val="20"/>
        </w:rPr>
        <w:t>обучение</w:t>
      </w:r>
      <w:r>
        <w:rPr>
          <w:spacing w:val="-9"/>
          <w:sz w:val="20"/>
        </w:rPr>
        <w:t> </w:t>
      </w:r>
      <w:r>
        <w:rPr>
          <w:sz w:val="20"/>
        </w:rPr>
        <w:t>навыкам</w:t>
      </w:r>
      <w:r>
        <w:rPr>
          <w:spacing w:val="-9"/>
          <w:sz w:val="20"/>
        </w:rPr>
        <w:t> </w:t>
      </w:r>
      <w:r>
        <w:rPr>
          <w:sz w:val="20"/>
        </w:rPr>
        <w:t>когнитивного</w:t>
      </w:r>
      <w:r>
        <w:rPr>
          <w:spacing w:val="-8"/>
          <w:sz w:val="20"/>
        </w:rPr>
        <w:t> </w:t>
      </w:r>
      <w:r>
        <w:rPr>
          <w:spacing w:val="-2"/>
          <w:sz w:val="20"/>
        </w:rPr>
        <w:t>совладания;</w:t>
      </w:r>
    </w:p>
    <w:p>
      <w:pPr>
        <w:pStyle w:val="ListParagraph"/>
        <w:numPr>
          <w:ilvl w:val="0"/>
          <w:numId w:val="189"/>
        </w:numPr>
        <w:tabs>
          <w:tab w:pos="424" w:val="left" w:leader="none"/>
        </w:tabs>
        <w:spacing w:line="228" w:lineRule="exact" w:before="0" w:after="0"/>
        <w:ind w:left="424" w:right="0" w:hanging="283"/>
        <w:jc w:val="left"/>
        <w:rPr>
          <w:sz w:val="20"/>
        </w:rPr>
      </w:pPr>
      <w:r>
        <w:rPr>
          <w:sz w:val="20"/>
        </w:rPr>
        <w:t>содействие</w:t>
      </w:r>
      <w:r>
        <w:rPr>
          <w:spacing w:val="-6"/>
          <w:sz w:val="20"/>
        </w:rPr>
        <w:t> </w:t>
      </w:r>
      <w:r>
        <w:rPr>
          <w:sz w:val="20"/>
        </w:rPr>
        <w:t>контакту</w:t>
      </w:r>
      <w:r>
        <w:rPr>
          <w:spacing w:val="-6"/>
          <w:sz w:val="20"/>
        </w:rPr>
        <w:t> </w:t>
      </w:r>
      <w:r>
        <w:rPr>
          <w:sz w:val="20"/>
        </w:rPr>
        <w:t>с</w:t>
      </w:r>
      <w:r>
        <w:rPr>
          <w:spacing w:val="-6"/>
          <w:sz w:val="20"/>
        </w:rPr>
        <w:t> </w:t>
      </w:r>
      <w:r>
        <w:rPr>
          <w:sz w:val="20"/>
        </w:rPr>
        <w:t>ресурсными</w:t>
      </w:r>
      <w:r>
        <w:rPr>
          <w:spacing w:val="-6"/>
          <w:sz w:val="20"/>
        </w:rPr>
        <w:t> </w:t>
      </w:r>
      <w:r>
        <w:rPr>
          <w:sz w:val="20"/>
        </w:rPr>
        <w:t>эмоциями</w:t>
      </w:r>
      <w:r>
        <w:rPr>
          <w:spacing w:val="-7"/>
          <w:sz w:val="20"/>
        </w:rPr>
        <w:t> </w:t>
      </w:r>
      <w:r>
        <w:rPr>
          <w:sz w:val="20"/>
        </w:rPr>
        <w:t>и</w:t>
      </w:r>
      <w:r>
        <w:rPr>
          <w:spacing w:val="-6"/>
          <w:sz w:val="20"/>
        </w:rPr>
        <w:t> </w:t>
      </w:r>
      <w:r>
        <w:rPr>
          <w:spacing w:val="-2"/>
          <w:sz w:val="20"/>
        </w:rPr>
        <w:t>состояниями;</w:t>
      </w:r>
    </w:p>
    <w:p>
      <w:pPr>
        <w:pStyle w:val="ListParagraph"/>
        <w:numPr>
          <w:ilvl w:val="0"/>
          <w:numId w:val="189"/>
        </w:numPr>
        <w:tabs>
          <w:tab w:pos="425" w:val="left" w:leader="none"/>
        </w:tabs>
        <w:spacing w:line="232" w:lineRule="auto" w:before="4" w:after="0"/>
        <w:ind w:left="425" w:right="139" w:hanging="284"/>
        <w:jc w:val="left"/>
        <w:rPr>
          <w:sz w:val="20"/>
        </w:rPr>
      </w:pPr>
      <w:r>
        <w:rPr>
          <w:sz w:val="20"/>
        </w:rPr>
        <w:t>обучение</w:t>
      </w:r>
      <w:r>
        <w:rPr>
          <w:spacing w:val="-13"/>
          <w:sz w:val="20"/>
        </w:rPr>
        <w:t> </w:t>
      </w:r>
      <w:r>
        <w:rPr>
          <w:sz w:val="20"/>
        </w:rPr>
        <w:t>конструктивным</w:t>
      </w:r>
      <w:r>
        <w:rPr>
          <w:spacing w:val="-12"/>
          <w:sz w:val="20"/>
        </w:rPr>
        <w:t> </w:t>
      </w:r>
      <w:r>
        <w:rPr>
          <w:sz w:val="20"/>
        </w:rPr>
        <w:t>способам</w:t>
      </w:r>
      <w:r>
        <w:rPr>
          <w:spacing w:val="-13"/>
          <w:sz w:val="20"/>
        </w:rPr>
        <w:t> </w:t>
      </w:r>
      <w:r>
        <w:rPr>
          <w:sz w:val="20"/>
        </w:rPr>
        <w:t>обретения</w:t>
      </w:r>
      <w:r>
        <w:rPr>
          <w:spacing w:val="-12"/>
          <w:sz w:val="20"/>
        </w:rPr>
        <w:t> </w:t>
      </w:r>
      <w:r>
        <w:rPr>
          <w:sz w:val="20"/>
        </w:rPr>
        <w:t>самоуважения</w:t>
      </w:r>
      <w:r>
        <w:rPr>
          <w:spacing w:val="-13"/>
          <w:sz w:val="20"/>
        </w:rPr>
        <w:t> </w:t>
      </w:r>
      <w:r>
        <w:rPr>
          <w:sz w:val="20"/>
        </w:rPr>
        <w:t>и</w:t>
      </w:r>
      <w:r>
        <w:rPr>
          <w:spacing w:val="-12"/>
          <w:sz w:val="20"/>
        </w:rPr>
        <w:t> </w:t>
      </w:r>
      <w:r>
        <w:rPr>
          <w:sz w:val="20"/>
        </w:rPr>
        <w:t>профилактика</w:t>
      </w:r>
      <w:r>
        <w:rPr>
          <w:spacing w:val="-13"/>
          <w:sz w:val="20"/>
        </w:rPr>
        <w:t> </w:t>
      </w:r>
      <w:r>
        <w:rPr>
          <w:sz w:val="20"/>
        </w:rPr>
        <w:t>не- гативного самоотношения;</w:t>
      </w:r>
    </w:p>
    <w:p>
      <w:pPr>
        <w:pStyle w:val="ListParagraph"/>
        <w:numPr>
          <w:ilvl w:val="0"/>
          <w:numId w:val="189"/>
        </w:numPr>
        <w:tabs>
          <w:tab w:pos="425" w:val="left" w:leader="none"/>
        </w:tabs>
        <w:spacing w:line="232" w:lineRule="auto" w:before="2" w:after="0"/>
        <w:ind w:left="425" w:right="139" w:hanging="284"/>
        <w:jc w:val="left"/>
        <w:rPr>
          <w:sz w:val="20"/>
        </w:rPr>
      </w:pPr>
      <w:r>
        <w:rPr>
          <w:sz w:val="20"/>
        </w:rPr>
        <w:t>стимулирование самопознания и содействие в формировании позитивной иден- </w:t>
      </w:r>
      <w:r>
        <w:rPr>
          <w:spacing w:val="-2"/>
          <w:sz w:val="20"/>
        </w:rPr>
        <w:t>тичности.</w:t>
      </w:r>
    </w:p>
    <w:p>
      <w:pPr>
        <w:spacing w:line="227" w:lineRule="exact" w:before="52"/>
        <w:ind w:left="425" w:right="0" w:firstLine="0"/>
        <w:jc w:val="both"/>
        <w:rPr>
          <w:b/>
          <w:i/>
          <w:sz w:val="20"/>
        </w:rPr>
      </w:pPr>
      <w:r>
        <w:rPr>
          <w:b/>
          <w:i/>
          <w:sz w:val="20"/>
        </w:rPr>
        <w:t>Техника</w:t>
      </w:r>
      <w:r>
        <w:rPr>
          <w:b/>
          <w:i/>
          <w:spacing w:val="-8"/>
          <w:sz w:val="20"/>
        </w:rPr>
        <w:t> </w:t>
      </w:r>
      <w:r>
        <w:rPr>
          <w:b/>
          <w:i/>
          <w:sz w:val="20"/>
        </w:rPr>
        <w:t>«Путь</w:t>
      </w:r>
      <w:r>
        <w:rPr>
          <w:b/>
          <w:i/>
          <w:spacing w:val="-8"/>
          <w:sz w:val="20"/>
        </w:rPr>
        <w:t> </w:t>
      </w:r>
      <w:r>
        <w:rPr>
          <w:b/>
          <w:i/>
          <w:spacing w:val="-2"/>
          <w:sz w:val="20"/>
        </w:rPr>
        <w:t>героя»</w:t>
      </w:r>
    </w:p>
    <w:p>
      <w:pPr>
        <w:pStyle w:val="BodyText"/>
        <w:spacing w:line="232" w:lineRule="auto" w:before="3"/>
      </w:pPr>
      <w:r>
        <w:rPr>
          <w:i/>
        </w:rPr>
        <w:t>Цели</w:t>
      </w:r>
      <w:r>
        <w:rPr/>
        <w:t>:</w:t>
      </w:r>
      <w:r>
        <w:rPr>
          <w:spacing w:val="-12"/>
        </w:rPr>
        <w:t> </w:t>
      </w:r>
      <w:r>
        <w:rPr/>
        <w:t>содействие</w:t>
      </w:r>
      <w:r>
        <w:rPr>
          <w:spacing w:val="-12"/>
        </w:rPr>
        <w:t> </w:t>
      </w:r>
      <w:r>
        <w:rPr/>
        <w:t>контакту</w:t>
      </w:r>
      <w:r>
        <w:rPr>
          <w:spacing w:val="-12"/>
        </w:rPr>
        <w:t> </w:t>
      </w:r>
      <w:r>
        <w:rPr/>
        <w:t>с</w:t>
      </w:r>
      <w:r>
        <w:rPr>
          <w:spacing w:val="-12"/>
        </w:rPr>
        <w:t> </w:t>
      </w:r>
      <w:r>
        <w:rPr/>
        <w:t>ресурсными</w:t>
      </w:r>
      <w:r>
        <w:rPr>
          <w:spacing w:val="-12"/>
        </w:rPr>
        <w:t> </w:t>
      </w:r>
      <w:r>
        <w:rPr/>
        <w:t>эмоциями</w:t>
      </w:r>
      <w:r>
        <w:rPr>
          <w:spacing w:val="-12"/>
        </w:rPr>
        <w:t> </w:t>
      </w:r>
      <w:r>
        <w:rPr/>
        <w:t>и</w:t>
      </w:r>
      <w:r>
        <w:rPr>
          <w:spacing w:val="-12"/>
        </w:rPr>
        <w:t> </w:t>
      </w:r>
      <w:r>
        <w:rPr/>
        <w:t>состояниями;</w:t>
      </w:r>
      <w:r>
        <w:rPr>
          <w:spacing w:val="-12"/>
        </w:rPr>
        <w:t> </w:t>
      </w:r>
      <w:r>
        <w:rPr/>
        <w:t>обучение</w:t>
      </w:r>
      <w:r>
        <w:rPr>
          <w:spacing w:val="-12"/>
        </w:rPr>
        <w:t> </w:t>
      </w:r>
      <w:r>
        <w:rPr/>
        <w:t>кон- структивным способам обретения самоуважения.</w:t>
      </w:r>
    </w:p>
    <w:p>
      <w:pPr>
        <w:spacing w:line="223" w:lineRule="exact" w:before="0"/>
        <w:ind w:left="425" w:right="0" w:firstLine="0"/>
        <w:jc w:val="both"/>
        <w:rPr>
          <w:sz w:val="20"/>
        </w:rPr>
      </w:pPr>
      <w:r>
        <w:rPr>
          <w:i/>
          <w:sz w:val="20"/>
        </w:rPr>
        <w:t>Рекомендованный</w:t>
      </w:r>
      <w:r>
        <w:rPr>
          <w:i/>
          <w:spacing w:val="-10"/>
          <w:sz w:val="20"/>
        </w:rPr>
        <w:t> </w:t>
      </w:r>
      <w:r>
        <w:rPr>
          <w:i/>
          <w:sz w:val="20"/>
        </w:rPr>
        <w:t>возраст:</w:t>
      </w:r>
      <w:r>
        <w:rPr>
          <w:i/>
          <w:spacing w:val="-10"/>
          <w:sz w:val="20"/>
        </w:rPr>
        <w:t> </w:t>
      </w:r>
      <w:r>
        <w:rPr>
          <w:sz w:val="20"/>
        </w:rPr>
        <w:t>от</w:t>
      </w:r>
      <w:r>
        <w:rPr>
          <w:spacing w:val="-10"/>
          <w:sz w:val="20"/>
        </w:rPr>
        <w:t> </w:t>
      </w:r>
      <w:r>
        <w:rPr>
          <w:sz w:val="20"/>
        </w:rPr>
        <w:t>7</w:t>
      </w:r>
      <w:r>
        <w:rPr>
          <w:spacing w:val="-10"/>
          <w:sz w:val="20"/>
        </w:rPr>
        <w:t> </w:t>
      </w:r>
      <w:r>
        <w:rPr>
          <w:spacing w:val="-4"/>
          <w:sz w:val="20"/>
        </w:rPr>
        <w:t>лет.</w:t>
      </w:r>
    </w:p>
    <w:p>
      <w:pPr>
        <w:pStyle w:val="BodyText"/>
        <w:spacing w:line="232" w:lineRule="auto" w:before="3"/>
      </w:pPr>
      <w:r>
        <w:rPr>
          <w:i/>
        </w:rPr>
        <w:t>Источник: </w:t>
      </w:r>
      <w:r>
        <w:rPr/>
        <w:t>авторский курс «Аналитическая психотерапия детей и подростков» А.В. Скавитиной (МААП – Московская ассоциация аналитической психологии) (Хухлаев, Павлова и др., 2022).</w:t>
      </w:r>
    </w:p>
    <w:p>
      <w:pPr>
        <w:pStyle w:val="BodyText"/>
        <w:spacing w:line="237" w:lineRule="auto"/>
      </w:pPr>
      <w:r>
        <w:rPr/>
        <w:t>Для ребенка понадобится лист бумаги А3 и пишущие принадлежности, а также лист и ручка для психолога.</w:t>
      </w:r>
    </w:p>
    <w:p>
      <w:pPr>
        <w:pStyle w:val="ListParagraph"/>
        <w:numPr>
          <w:ilvl w:val="0"/>
          <w:numId w:val="190"/>
        </w:numPr>
        <w:tabs>
          <w:tab w:pos="423" w:val="left" w:leader="none"/>
        </w:tabs>
        <w:spacing w:line="229" w:lineRule="exact" w:before="54" w:after="0"/>
        <w:ind w:left="423" w:right="0" w:hanging="282"/>
        <w:jc w:val="both"/>
        <w:rPr>
          <w:sz w:val="20"/>
        </w:rPr>
      </w:pPr>
      <w:r>
        <w:rPr>
          <w:sz w:val="20"/>
        </w:rPr>
        <w:t>Психолог</w:t>
      </w:r>
      <w:r>
        <w:rPr>
          <w:spacing w:val="-6"/>
          <w:sz w:val="20"/>
        </w:rPr>
        <w:t> </w:t>
      </w:r>
      <w:r>
        <w:rPr>
          <w:sz w:val="20"/>
        </w:rPr>
        <w:t>предлагает</w:t>
      </w:r>
      <w:r>
        <w:rPr>
          <w:spacing w:val="-5"/>
          <w:sz w:val="20"/>
        </w:rPr>
        <w:t> </w:t>
      </w:r>
      <w:r>
        <w:rPr>
          <w:sz w:val="20"/>
        </w:rPr>
        <w:t>ребенку</w:t>
      </w:r>
      <w:r>
        <w:rPr>
          <w:spacing w:val="-6"/>
          <w:sz w:val="20"/>
        </w:rPr>
        <w:t> </w:t>
      </w:r>
      <w:r>
        <w:rPr>
          <w:sz w:val="20"/>
        </w:rPr>
        <w:t>отправиться</w:t>
      </w:r>
      <w:r>
        <w:rPr>
          <w:spacing w:val="-5"/>
          <w:sz w:val="20"/>
        </w:rPr>
        <w:t> </w:t>
      </w:r>
      <w:r>
        <w:rPr>
          <w:sz w:val="20"/>
        </w:rPr>
        <w:t>в</w:t>
      </w:r>
      <w:r>
        <w:rPr>
          <w:spacing w:val="-5"/>
          <w:sz w:val="20"/>
        </w:rPr>
        <w:t> </w:t>
      </w:r>
      <w:r>
        <w:rPr>
          <w:spacing w:val="-2"/>
          <w:sz w:val="20"/>
        </w:rPr>
        <w:t>путешествие.</w:t>
      </w:r>
    </w:p>
    <w:p>
      <w:pPr>
        <w:spacing w:line="228" w:lineRule="exact" w:before="0"/>
        <w:ind w:left="425" w:right="0" w:firstLine="0"/>
        <w:jc w:val="left"/>
        <w:rPr>
          <w:i/>
          <w:sz w:val="20"/>
        </w:rPr>
      </w:pPr>
      <w:r>
        <w:rPr>
          <w:i/>
          <w:spacing w:val="-2"/>
          <w:sz w:val="20"/>
        </w:rPr>
        <w:t>Инструкция</w:t>
      </w:r>
    </w:p>
    <w:p>
      <w:pPr>
        <w:pStyle w:val="ListParagraph"/>
        <w:numPr>
          <w:ilvl w:val="1"/>
          <w:numId w:val="190"/>
        </w:numPr>
        <w:tabs>
          <w:tab w:pos="577" w:val="left" w:leader="none"/>
        </w:tabs>
        <w:spacing w:line="240" w:lineRule="auto" w:before="0" w:after="0"/>
        <w:ind w:left="141" w:right="139" w:firstLine="283"/>
        <w:jc w:val="both"/>
        <w:rPr>
          <w:i/>
          <w:sz w:val="20"/>
        </w:rPr>
      </w:pPr>
      <w:r>
        <w:rPr>
          <w:i/>
          <w:sz w:val="20"/>
        </w:rPr>
        <w:t>Я</w:t>
      </w:r>
      <w:r>
        <w:rPr>
          <w:i/>
          <w:spacing w:val="-3"/>
          <w:sz w:val="20"/>
        </w:rPr>
        <w:t> </w:t>
      </w:r>
      <w:r>
        <w:rPr>
          <w:i/>
          <w:sz w:val="20"/>
        </w:rPr>
        <w:t>хочу</w:t>
      </w:r>
      <w:r>
        <w:rPr>
          <w:i/>
          <w:spacing w:val="-3"/>
          <w:sz w:val="20"/>
        </w:rPr>
        <w:t> </w:t>
      </w:r>
      <w:r>
        <w:rPr>
          <w:i/>
          <w:sz w:val="20"/>
        </w:rPr>
        <w:t>предложить</w:t>
      </w:r>
      <w:r>
        <w:rPr>
          <w:i/>
          <w:spacing w:val="-3"/>
          <w:sz w:val="20"/>
        </w:rPr>
        <w:t> </w:t>
      </w:r>
      <w:r>
        <w:rPr>
          <w:i/>
          <w:sz w:val="20"/>
        </w:rPr>
        <w:t>тебе</w:t>
      </w:r>
      <w:r>
        <w:rPr>
          <w:i/>
          <w:spacing w:val="-3"/>
          <w:sz w:val="20"/>
        </w:rPr>
        <w:t> </w:t>
      </w:r>
      <w:r>
        <w:rPr>
          <w:i/>
          <w:sz w:val="20"/>
        </w:rPr>
        <w:t>отправиться</w:t>
      </w:r>
      <w:r>
        <w:rPr>
          <w:i/>
          <w:spacing w:val="-3"/>
          <w:sz w:val="20"/>
        </w:rPr>
        <w:t> </w:t>
      </w:r>
      <w:r>
        <w:rPr>
          <w:i/>
          <w:sz w:val="20"/>
        </w:rPr>
        <w:t>в</w:t>
      </w:r>
      <w:r>
        <w:rPr>
          <w:i/>
          <w:spacing w:val="-3"/>
          <w:sz w:val="20"/>
        </w:rPr>
        <w:t> </w:t>
      </w:r>
      <w:r>
        <w:rPr>
          <w:i/>
          <w:sz w:val="20"/>
        </w:rPr>
        <w:t>путешествие,</w:t>
      </w:r>
      <w:r>
        <w:rPr>
          <w:i/>
          <w:spacing w:val="-3"/>
          <w:sz w:val="20"/>
        </w:rPr>
        <w:t> </w:t>
      </w:r>
      <w:r>
        <w:rPr>
          <w:i/>
          <w:sz w:val="20"/>
        </w:rPr>
        <w:t>где</w:t>
      </w:r>
      <w:r>
        <w:rPr>
          <w:i/>
          <w:spacing w:val="-3"/>
          <w:sz w:val="20"/>
        </w:rPr>
        <w:t> </w:t>
      </w:r>
      <w:r>
        <w:rPr>
          <w:i/>
          <w:sz w:val="20"/>
        </w:rPr>
        <w:t>тебя</w:t>
      </w:r>
      <w:r>
        <w:rPr>
          <w:i/>
          <w:spacing w:val="-3"/>
          <w:sz w:val="20"/>
        </w:rPr>
        <w:t> </w:t>
      </w:r>
      <w:r>
        <w:rPr>
          <w:i/>
          <w:sz w:val="20"/>
        </w:rPr>
        <w:t>будут</w:t>
      </w:r>
      <w:r>
        <w:rPr>
          <w:i/>
          <w:spacing w:val="-3"/>
          <w:sz w:val="20"/>
        </w:rPr>
        <w:t> </w:t>
      </w:r>
      <w:r>
        <w:rPr>
          <w:i/>
          <w:sz w:val="20"/>
        </w:rPr>
        <w:t>ждать разные</w:t>
      </w:r>
      <w:r>
        <w:rPr>
          <w:i/>
          <w:spacing w:val="-5"/>
          <w:sz w:val="20"/>
        </w:rPr>
        <w:t> </w:t>
      </w:r>
      <w:r>
        <w:rPr>
          <w:i/>
          <w:sz w:val="20"/>
        </w:rPr>
        <w:t>препятствия.</w:t>
      </w:r>
      <w:r>
        <w:rPr>
          <w:i/>
          <w:spacing w:val="-5"/>
          <w:sz w:val="20"/>
        </w:rPr>
        <w:t> </w:t>
      </w:r>
      <w:r>
        <w:rPr>
          <w:i/>
          <w:sz w:val="20"/>
        </w:rPr>
        <w:t>Для</w:t>
      </w:r>
      <w:r>
        <w:rPr>
          <w:i/>
          <w:spacing w:val="-5"/>
          <w:sz w:val="20"/>
        </w:rPr>
        <w:t> </w:t>
      </w:r>
      <w:r>
        <w:rPr>
          <w:i/>
          <w:sz w:val="20"/>
        </w:rPr>
        <w:t>начала</w:t>
      </w:r>
      <w:r>
        <w:rPr>
          <w:i/>
          <w:spacing w:val="-5"/>
          <w:sz w:val="20"/>
        </w:rPr>
        <w:t> </w:t>
      </w:r>
      <w:r>
        <w:rPr>
          <w:i/>
          <w:sz w:val="20"/>
        </w:rPr>
        <w:t>выбери,</w:t>
      </w:r>
      <w:r>
        <w:rPr>
          <w:i/>
          <w:spacing w:val="-5"/>
          <w:sz w:val="20"/>
        </w:rPr>
        <w:t> </w:t>
      </w:r>
      <w:r>
        <w:rPr>
          <w:i/>
          <w:sz w:val="20"/>
        </w:rPr>
        <w:t>в</w:t>
      </w:r>
      <w:r>
        <w:rPr>
          <w:i/>
          <w:spacing w:val="-5"/>
          <w:sz w:val="20"/>
        </w:rPr>
        <w:t> </w:t>
      </w:r>
      <w:r>
        <w:rPr>
          <w:i/>
          <w:sz w:val="20"/>
        </w:rPr>
        <w:t>качестве</w:t>
      </w:r>
      <w:r>
        <w:rPr>
          <w:i/>
          <w:spacing w:val="-5"/>
          <w:sz w:val="20"/>
        </w:rPr>
        <w:t> </w:t>
      </w:r>
      <w:r>
        <w:rPr>
          <w:i/>
          <w:sz w:val="20"/>
        </w:rPr>
        <w:t>какого</w:t>
      </w:r>
      <w:r>
        <w:rPr>
          <w:i/>
          <w:spacing w:val="-5"/>
          <w:sz w:val="20"/>
        </w:rPr>
        <w:t> </w:t>
      </w:r>
      <w:r>
        <w:rPr>
          <w:i/>
          <w:sz w:val="20"/>
        </w:rPr>
        <w:t>героя/персонажа</w:t>
      </w:r>
      <w:r>
        <w:rPr>
          <w:i/>
          <w:spacing w:val="-5"/>
          <w:sz w:val="20"/>
        </w:rPr>
        <w:t> </w:t>
      </w:r>
      <w:r>
        <w:rPr>
          <w:i/>
          <w:sz w:val="20"/>
        </w:rPr>
        <w:t>ты</w:t>
      </w:r>
      <w:r>
        <w:rPr>
          <w:i/>
          <w:spacing w:val="-5"/>
          <w:sz w:val="20"/>
        </w:rPr>
        <w:t> </w:t>
      </w:r>
      <w:r>
        <w:rPr>
          <w:i/>
          <w:sz w:val="20"/>
        </w:rPr>
        <w:t>бы хотел отправиться в путь?</w:t>
      </w:r>
    </w:p>
    <w:p>
      <w:pPr>
        <w:pStyle w:val="BodyText"/>
        <w:spacing w:line="237" w:lineRule="auto"/>
      </w:pPr>
      <w:r>
        <w:rPr/>
        <w:t>Ребенок</w:t>
      </w:r>
      <w:r>
        <w:rPr>
          <w:spacing w:val="-2"/>
        </w:rPr>
        <w:t> </w:t>
      </w:r>
      <w:r>
        <w:rPr/>
        <w:t>может</w:t>
      </w:r>
      <w:r>
        <w:rPr>
          <w:spacing w:val="-2"/>
        </w:rPr>
        <w:t> </w:t>
      </w:r>
      <w:r>
        <w:rPr/>
        <w:t>выбрать</w:t>
      </w:r>
      <w:r>
        <w:rPr>
          <w:spacing w:val="-2"/>
        </w:rPr>
        <w:t> </w:t>
      </w:r>
      <w:r>
        <w:rPr/>
        <w:t>любого</w:t>
      </w:r>
      <w:r>
        <w:rPr>
          <w:spacing w:val="-2"/>
        </w:rPr>
        <w:t> </w:t>
      </w:r>
      <w:r>
        <w:rPr/>
        <w:t>персонажа,</w:t>
      </w:r>
      <w:r>
        <w:rPr>
          <w:spacing w:val="-2"/>
        </w:rPr>
        <w:t> </w:t>
      </w:r>
      <w:r>
        <w:rPr/>
        <w:t>однако</w:t>
      </w:r>
      <w:r>
        <w:rPr>
          <w:spacing w:val="-2"/>
        </w:rPr>
        <w:t> </w:t>
      </w:r>
      <w:r>
        <w:rPr/>
        <w:t>рекомендуется</w:t>
      </w:r>
      <w:r>
        <w:rPr>
          <w:spacing w:val="-2"/>
        </w:rPr>
        <w:t> </w:t>
      </w:r>
      <w:r>
        <w:rPr/>
        <w:t>выбирать</w:t>
      </w:r>
      <w:r>
        <w:rPr>
          <w:spacing w:val="-2"/>
        </w:rPr>
        <w:t> </w:t>
      </w:r>
      <w:r>
        <w:rPr/>
        <w:t>оду- шевленного или антропоморфного.</w:t>
      </w:r>
    </w:p>
    <w:p>
      <w:pPr>
        <w:pStyle w:val="ListParagraph"/>
        <w:numPr>
          <w:ilvl w:val="0"/>
          <w:numId w:val="190"/>
        </w:numPr>
        <w:tabs>
          <w:tab w:pos="423" w:val="left" w:leader="none"/>
          <w:tab w:pos="425" w:val="left" w:leader="none"/>
        </w:tabs>
        <w:spacing w:line="240" w:lineRule="auto" w:before="53" w:after="0"/>
        <w:ind w:left="425" w:right="139" w:hanging="284"/>
        <w:jc w:val="both"/>
        <w:rPr>
          <w:sz w:val="20"/>
        </w:rPr>
      </w:pPr>
      <w:r>
        <w:rPr>
          <w:sz w:val="20"/>
        </w:rPr>
        <w:t>Психолог</w:t>
      </w:r>
      <w:r>
        <w:rPr>
          <w:spacing w:val="-3"/>
          <w:sz w:val="20"/>
        </w:rPr>
        <w:t> </w:t>
      </w:r>
      <w:r>
        <w:rPr>
          <w:sz w:val="20"/>
        </w:rPr>
        <w:t>предлагает</w:t>
      </w:r>
      <w:r>
        <w:rPr>
          <w:spacing w:val="-3"/>
          <w:sz w:val="20"/>
        </w:rPr>
        <w:t> </w:t>
      </w:r>
      <w:r>
        <w:rPr>
          <w:sz w:val="20"/>
        </w:rPr>
        <w:t>ребенку</w:t>
      </w:r>
      <w:r>
        <w:rPr>
          <w:spacing w:val="-3"/>
          <w:sz w:val="20"/>
        </w:rPr>
        <w:t> </w:t>
      </w:r>
      <w:r>
        <w:rPr>
          <w:sz w:val="20"/>
        </w:rPr>
        <w:t>определить,</w:t>
      </w:r>
      <w:r>
        <w:rPr>
          <w:spacing w:val="-3"/>
          <w:sz w:val="20"/>
        </w:rPr>
        <w:t> </w:t>
      </w:r>
      <w:r>
        <w:rPr>
          <w:sz w:val="20"/>
        </w:rPr>
        <w:t>почему</w:t>
      </w:r>
      <w:r>
        <w:rPr>
          <w:spacing w:val="-3"/>
          <w:sz w:val="20"/>
        </w:rPr>
        <w:t> </w:t>
      </w:r>
      <w:r>
        <w:rPr>
          <w:sz w:val="20"/>
        </w:rPr>
        <w:t>герой</w:t>
      </w:r>
      <w:r>
        <w:rPr>
          <w:spacing w:val="-3"/>
          <w:sz w:val="20"/>
        </w:rPr>
        <w:t> </w:t>
      </w:r>
      <w:r>
        <w:rPr>
          <w:sz w:val="20"/>
        </w:rPr>
        <w:t>отправился</w:t>
      </w:r>
      <w:r>
        <w:rPr>
          <w:spacing w:val="-3"/>
          <w:sz w:val="20"/>
        </w:rPr>
        <w:t> </w:t>
      </w:r>
      <w:r>
        <w:rPr>
          <w:sz w:val="20"/>
        </w:rPr>
        <w:t>в</w:t>
      </w:r>
      <w:r>
        <w:rPr>
          <w:spacing w:val="-3"/>
          <w:sz w:val="20"/>
        </w:rPr>
        <w:t> </w:t>
      </w:r>
      <w:r>
        <w:rPr>
          <w:sz w:val="20"/>
        </w:rPr>
        <w:t>путь,</w:t>
      </w:r>
      <w:r>
        <w:rPr>
          <w:spacing w:val="-3"/>
          <w:sz w:val="20"/>
        </w:rPr>
        <w:t> </w:t>
      </w:r>
      <w:r>
        <w:rPr>
          <w:sz w:val="20"/>
        </w:rPr>
        <w:t>какая у него цель и какой будет итог.</w:t>
      </w:r>
    </w:p>
    <w:p>
      <w:pPr>
        <w:pStyle w:val="BodyText"/>
        <w:spacing w:line="244" w:lineRule="auto"/>
      </w:pPr>
      <w:r>
        <w:rPr/>
        <w:t>Обсуждение</w:t>
      </w:r>
      <w:r>
        <w:rPr>
          <w:spacing w:val="-8"/>
        </w:rPr>
        <w:t> </w:t>
      </w:r>
      <w:r>
        <w:rPr/>
        <w:t>происходит</w:t>
      </w:r>
      <w:r>
        <w:rPr>
          <w:spacing w:val="-8"/>
        </w:rPr>
        <w:t> </w:t>
      </w:r>
      <w:r>
        <w:rPr/>
        <w:t>в</w:t>
      </w:r>
      <w:r>
        <w:rPr>
          <w:spacing w:val="-8"/>
        </w:rPr>
        <w:t> </w:t>
      </w:r>
      <w:r>
        <w:rPr/>
        <w:t>свободной</w:t>
      </w:r>
      <w:r>
        <w:rPr>
          <w:spacing w:val="-8"/>
        </w:rPr>
        <w:t> </w:t>
      </w:r>
      <w:r>
        <w:rPr/>
        <w:t>форме,</w:t>
      </w:r>
      <w:r>
        <w:rPr>
          <w:spacing w:val="-8"/>
        </w:rPr>
        <w:t> </w:t>
      </w:r>
      <w:r>
        <w:rPr/>
        <w:t>а</w:t>
      </w:r>
      <w:r>
        <w:rPr>
          <w:spacing w:val="-8"/>
        </w:rPr>
        <w:t> </w:t>
      </w:r>
      <w:r>
        <w:rPr/>
        <w:t>затем</w:t>
      </w:r>
      <w:r>
        <w:rPr>
          <w:spacing w:val="-8"/>
        </w:rPr>
        <w:t> </w:t>
      </w:r>
      <w:r>
        <w:rPr/>
        <w:t>дополняется</w:t>
      </w:r>
      <w:r>
        <w:rPr>
          <w:spacing w:val="-8"/>
        </w:rPr>
        <w:t> </w:t>
      </w:r>
      <w:r>
        <w:rPr/>
        <w:t>рисунком.</w:t>
      </w:r>
      <w:r>
        <w:rPr>
          <w:spacing w:val="-8"/>
        </w:rPr>
        <w:t> </w:t>
      </w:r>
      <w:r>
        <w:rPr/>
        <w:t>Пси- холог предлагает ребенку на листе А3 в нижнем правом углу отметить начало пути</w:t>
      </w:r>
      <w:r>
        <w:rPr>
          <w:spacing w:val="40"/>
        </w:rPr>
        <w:t> </w:t>
      </w:r>
      <w:r>
        <w:rPr/>
        <w:t>и поставить небольшой знак пункта отправления, а в другом месте листа (часто вы- бирается</w:t>
      </w:r>
      <w:r>
        <w:rPr>
          <w:spacing w:val="-1"/>
        </w:rPr>
        <w:t> </w:t>
      </w:r>
      <w:r>
        <w:rPr/>
        <w:t>верхний</w:t>
      </w:r>
      <w:r>
        <w:rPr>
          <w:spacing w:val="-1"/>
        </w:rPr>
        <w:t> </w:t>
      </w:r>
      <w:r>
        <w:rPr/>
        <w:t>левый</w:t>
      </w:r>
      <w:r>
        <w:rPr>
          <w:spacing w:val="-1"/>
        </w:rPr>
        <w:t> </w:t>
      </w:r>
      <w:r>
        <w:rPr/>
        <w:t>угол,</w:t>
      </w:r>
      <w:r>
        <w:rPr>
          <w:spacing w:val="-1"/>
        </w:rPr>
        <w:t> </w:t>
      </w:r>
      <w:r>
        <w:rPr/>
        <w:t>но</w:t>
      </w:r>
      <w:r>
        <w:rPr>
          <w:spacing w:val="-1"/>
        </w:rPr>
        <w:t> </w:t>
      </w:r>
      <w:r>
        <w:rPr/>
        <w:t>на</w:t>
      </w:r>
      <w:r>
        <w:rPr>
          <w:spacing w:val="-1"/>
        </w:rPr>
        <w:t> </w:t>
      </w:r>
      <w:r>
        <w:rPr/>
        <w:t>этом</w:t>
      </w:r>
      <w:r>
        <w:rPr>
          <w:spacing w:val="-1"/>
        </w:rPr>
        <w:t> </w:t>
      </w:r>
      <w:r>
        <w:rPr/>
        <w:t>не</w:t>
      </w:r>
      <w:r>
        <w:rPr>
          <w:spacing w:val="-1"/>
        </w:rPr>
        <w:t> </w:t>
      </w:r>
      <w:r>
        <w:rPr/>
        <w:t>стоит</w:t>
      </w:r>
      <w:r>
        <w:rPr>
          <w:spacing w:val="-1"/>
        </w:rPr>
        <w:t> </w:t>
      </w:r>
      <w:r>
        <w:rPr/>
        <w:t>настаивать)</w:t>
      </w:r>
      <w:r>
        <w:rPr>
          <w:spacing w:val="-1"/>
        </w:rPr>
        <w:t> </w:t>
      </w:r>
      <w:r>
        <w:rPr/>
        <w:t>небольшим</w:t>
      </w:r>
      <w:r>
        <w:rPr>
          <w:spacing w:val="-1"/>
        </w:rPr>
        <w:t> </w:t>
      </w:r>
      <w:r>
        <w:rPr/>
        <w:t>рисунком обозначить</w:t>
      </w:r>
      <w:r>
        <w:rPr>
          <w:spacing w:val="-6"/>
        </w:rPr>
        <w:t> </w:t>
      </w:r>
      <w:r>
        <w:rPr/>
        <w:t>конечную</w:t>
      </w:r>
      <w:r>
        <w:rPr>
          <w:spacing w:val="-6"/>
        </w:rPr>
        <w:t> </w:t>
      </w:r>
      <w:r>
        <w:rPr/>
        <w:t>точку</w:t>
      </w:r>
      <w:r>
        <w:rPr>
          <w:spacing w:val="-6"/>
        </w:rPr>
        <w:t> </w:t>
      </w:r>
      <w:r>
        <w:rPr/>
        <w:t>путешествия.</w:t>
      </w:r>
      <w:r>
        <w:rPr>
          <w:spacing w:val="-6"/>
        </w:rPr>
        <w:t> </w:t>
      </w:r>
      <w:r>
        <w:rPr/>
        <w:t>Психолог</w:t>
      </w:r>
      <w:r>
        <w:rPr>
          <w:spacing w:val="-6"/>
        </w:rPr>
        <w:t> </w:t>
      </w:r>
      <w:r>
        <w:rPr/>
        <w:t>может</w:t>
      </w:r>
      <w:r>
        <w:rPr>
          <w:spacing w:val="-7"/>
        </w:rPr>
        <w:t> </w:t>
      </w:r>
      <w:r>
        <w:rPr/>
        <w:t>спросить</w:t>
      </w:r>
      <w:r>
        <w:rPr>
          <w:spacing w:val="-6"/>
        </w:rPr>
        <w:t> </w:t>
      </w:r>
      <w:r>
        <w:rPr/>
        <w:t>ребенка,</w:t>
      </w:r>
      <w:r>
        <w:rPr>
          <w:spacing w:val="-7"/>
        </w:rPr>
        <w:t> </w:t>
      </w:r>
      <w:r>
        <w:rPr/>
        <w:t>откуда именно вышел герой, попросить описать его дом.</w:t>
      </w:r>
    </w:p>
    <w:p>
      <w:pPr>
        <w:pStyle w:val="ListParagraph"/>
        <w:numPr>
          <w:ilvl w:val="0"/>
          <w:numId w:val="190"/>
        </w:numPr>
        <w:tabs>
          <w:tab w:pos="423" w:val="left" w:leader="none"/>
          <w:tab w:pos="425" w:val="left" w:leader="none"/>
        </w:tabs>
        <w:spacing w:line="240" w:lineRule="auto" w:before="49" w:after="0"/>
        <w:ind w:left="425" w:right="139" w:hanging="284"/>
        <w:jc w:val="both"/>
        <w:rPr>
          <w:sz w:val="20"/>
        </w:rPr>
      </w:pPr>
      <w:r>
        <w:rPr>
          <w:sz w:val="20"/>
        </w:rPr>
        <w:t>Психолог спрашивает ребенка, что он возьмет с собой в путь, и записывает на- званные предметы на отдельном листе.</w:t>
      </w:r>
    </w:p>
    <w:p>
      <w:pPr>
        <w:pStyle w:val="ListParagraph"/>
        <w:spacing w:after="0" w:line="240" w:lineRule="auto"/>
        <w:jc w:val="both"/>
        <w:rPr>
          <w:sz w:val="20"/>
        </w:rPr>
        <w:sectPr>
          <w:pgSz w:w="8400" w:h="11910"/>
          <w:pgMar w:header="0" w:footer="529" w:top="400" w:bottom="740" w:left="425" w:right="425"/>
        </w:sectPr>
      </w:pPr>
    </w:p>
    <w:p>
      <w:pPr>
        <w:pStyle w:val="ListParagraph"/>
        <w:numPr>
          <w:ilvl w:val="1"/>
          <w:numId w:val="191"/>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Приемы</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2"/>
          <w:sz w:val="18"/>
        </w:rPr>
        <w:t> </w:t>
      </w:r>
      <w:r>
        <w:rPr>
          <w:rFonts w:ascii="Georgia" w:hAnsi="Georgia"/>
          <w:color w:val="231F20"/>
          <w:sz w:val="18"/>
        </w:rPr>
        <w:t>с</w:t>
      </w:r>
      <w:r>
        <w:rPr>
          <w:rFonts w:ascii="Georgia" w:hAnsi="Georgia"/>
          <w:color w:val="231F20"/>
          <w:spacing w:val="2"/>
          <w:sz w:val="18"/>
        </w:rPr>
        <w:t> </w:t>
      </w:r>
      <w:r>
        <w:rPr>
          <w:rFonts w:ascii="Georgia" w:hAnsi="Georgia"/>
          <w:color w:val="231F20"/>
          <w:sz w:val="18"/>
        </w:rPr>
        <w:t>психологической</w:t>
      </w:r>
      <w:r>
        <w:rPr>
          <w:rFonts w:ascii="Georgia" w:hAnsi="Georgia"/>
          <w:color w:val="231F20"/>
          <w:spacing w:val="2"/>
          <w:sz w:val="18"/>
        </w:rPr>
        <w:t> </w:t>
      </w:r>
      <w:r>
        <w:rPr>
          <w:rFonts w:ascii="Georgia" w:hAnsi="Georgia"/>
          <w:color w:val="231F20"/>
          <w:spacing w:val="-2"/>
          <w:sz w:val="18"/>
        </w:rPr>
        <w:t>травмой</w:t>
      </w:r>
    </w:p>
    <w:p>
      <w:pPr>
        <w:pStyle w:val="ListParagraph"/>
        <w:numPr>
          <w:ilvl w:val="0"/>
          <w:numId w:val="190"/>
        </w:numPr>
        <w:tabs>
          <w:tab w:pos="423" w:val="left" w:leader="none"/>
        </w:tabs>
        <w:spacing w:line="228" w:lineRule="exact" w:before="112" w:after="0"/>
        <w:ind w:left="423" w:right="0" w:hanging="282"/>
        <w:jc w:val="left"/>
        <w:rPr>
          <w:sz w:val="20"/>
        </w:rPr>
      </w:pPr>
      <w:r>
        <w:rPr>
          <w:sz w:val="20"/>
        </w:rPr>
        <w:t>Психолог</w:t>
      </w:r>
      <w:r>
        <w:rPr>
          <w:spacing w:val="-12"/>
          <w:sz w:val="20"/>
        </w:rPr>
        <w:t> </w:t>
      </w:r>
      <w:r>
        <w:rPr>
          <w:sz w:val="20"/>
        </w:rPr>
        <w:t>предлагает</w:t>
      </w:r>
      <w:r>
        <w:rPr>
          <w:spacing w:val="-11"/>
          <w:sz w:val="20"/>
        </w:rPr>
        <w:t> </w:t>
      </w:r>
      <w:r>
        <w:rPr>
          <w:sz w:val="20"/>
        </w:rPr>
        <w:t>начать</w:t>
      </w:r>
      <w:r>
        <w:rPr>
          <w:spacing w:val="-11"/>
          <w:sz w:val="20"/>
        </w:rPr>
        <w:t> </w:t>
      </w:r>
      <w:r>
        <w:rPr>
          <w:spacing w:val="-2"/>
          <w:sz w:val="20"/>
        </w:rPr>
        <w:t>путешествие.</w:t>
      </w:r>
    </w:p>
    <w:p>
      <w:pPr>
        <w:spacing w:line="224" w:lineRule="exact" w:before="0"/>
        <w:ind w:left="425" w:right="0" w:firstLine="0"/>
        <w:jc w:val="left"/>
        <w:rPr>
          <w:i/>
          <w:sz w:val="20"/>
        </w:rPr>
      </w:pPr>
      <w:r>
        <w:rPr>
          <w:i/>
          <w:spacing w:val="-2"/>
          <w:sz w:val="20"/>
        </w:rPr>
        <w:t>Инструкция</w:t>
      </w:r>
    </w:p>
    <w:p>
      <w:pPr>
        <w:pStyle w:val="ListParagraph"/>
        <w:numPr>
          <w:ilvl w:val="1"/>
          <w:numId w:val="190"/>
        </w:numPr>
        <w:tabs>
          <w:tab w:pos="566" w:val="left" w:leader="none"/>
        </w:tabs>
        <w:spacing w:line="232" w:lineRule="auto" w:before="2" w:after="0"/>
        <w:ind w:left="141" w:right="139" w:firstLine="283"/>
        <w:jc w:val="both"/>
        <w:rPr>
          <w:i/>
          <w:sz w:val="20"/>
        </w:rPr>
      </w:pPr>
      <w:r>
        <w:rPr>
          <w:i/>
          <w:sz w:val="20"/>
        </w:rPr>
        <w:t>Теперь</w:t>
      </w:r>
      <w:r>
        <w:rPr>
          <w:i/>
          <w:spacing w:val="-12"/>
          <w:sz w:val="20"/>
        </w:rPr>
        <w:t> </w:t>
      </w:r>
      <w:r>
        <w:rPr>
          <w:i/>
          <w:sz w:val="20"/>
        </w:rPr>
        <w:t>ты</w:t>
      </w:r>
      <w:r>
        <w:rPr>
          <w:i/>
          <w:spacing w:val="-12"/>
          <w:sz w:val="20"/>
        </w:rPr>
        <w:t> </w:t>
      </w:r>
      <w:r>
        <w:rPr>
          <w:i/>
          <w:sz w:val="20"/>
        </w:rPr>
        <w:t>готов</w:t>
      </w:r>
      <w:r>
        <w:rPr>
          <w:i/>
          <w:spacing w:val="-12"/>
          <w:sz w:val="20"/>
        </w:rPr>
        <w:t> </w:t>
      </w:r>
      <w:r>
        <w:rPr>
          <w:i/>
          <w:sz w:val="20"/>
        </w:rPr>
        <w:t>отправиться</w:t>
      </w:r>
      <w:r>
        <w:rPr>
          <w:i/>
          <w:spacing w:val="-12"/>
          <w:sz w:val="20"/>
        </w:rPr>
        <w:t> </w:t>
      </w:r>
      <w:r>
        <w:rPr>
          <w:i/>
          <w:sz w:val="20"/>
        </w:rPr>
        <w:t>в</w:t>
      </w:r>
      <w:r>
        <w:rPr>
          <w:i/>
          <w:spacing w:val="-12"/>
          <w:sz w:val="20"/>
        </w:rPr>
        <w:t> </w:t>
      </w:r>
      <w:r>
        <w:rPr>
          <w:i/>
          <w:sz w:val="20"/>
        </w:rPr>
        <w:t>путь.</w:t>
      </w:r>
      <w:r>
        <w:rPr>
          <w:i/>
          <w:spacing w:val="-12"/>
          <w:sz w:val="20"/>
        </w:rPr>
        <w:t> </w:t>
      </w:r>
      <w:r>
        <w:rPr>
          <w:i/>
          <w:sz w:val="20"/>
        </w:rPr>
        <w:t>Представь,</w:t>
      </w:r>
      <w:r>
        <w:rPr>
          <w:i/>
          <w:spacing w:val="-12"/>
          <w:sz w:val="20"/>
        </w:rPr>
        <w:t> </w:t>
      </w:r>
      <w:r>
        <w:rPr>
          <w:i/>
          <w:sz w:val="20"/>
        </w:rPr>
        <w:t>что</w:t>
      </w:r>
      <w:r>
        <w:rPr>
          <w:i/>
          <w:spacing w:val="-12"/>
          <w:sz w:val="20"/>
        </w:rPr>
        <w:t> </w:t>
      </w:r>
      <w:r>
        <w:rPr>
          <w:i/>
          <w:sz w:val="20"/>
        </w:rPr>
        <w:t>этот</w:t>
      </w:r>
      <w:r>
        <w:rPr>
          <w:i/>
          <w:spacing w:val="-12"/>
          <w:sz w:val="20"/>
        </w:rPr>
        <w:t> </w:t>
      </w:r>
      <w:r>
        <w:rPr>
          <w:i/>
          <w:sz w:val="20"/>
        </w:rPr>
        <w:t>лист</w:t>
      </w:r>
      <w:r>
        <w:rPr>
          <w:i/>
          <w:spacing w:val="-12"/>
          <w:sz w:val="20"/>
        </w:rPr>
        <w:t> </w:t>
      </w:r>
      <w:r>
        <w:rPr>
          <w:i/>
          <w:sz w:val="20"/>
        </w:rPr>
        <w:t>–</w:t>
      </w:r>
      <w:r>
        <w:rPr>
          <w:i/>
          <w:spacing w:val="-12"/>
          <w:sz w:val="20"/>
        </w:rPr>
        <w:t> </w:t>
      </w:r>
      <w:r>
        <w:rPr>
          <w:i/>
          <w:sz w:val="20"/>
        </w:rPr>
        <w:t>карта</w:t>
      </w:r>
      <w:r>
        <w:rPr>
          <w:i/>
          <w:spacing w:val="-12"/>
          <w:sz w:val="20"/>
        </w:rPr>
        <w:t> </w:t>
      </w:r>
      <w:r>
        <w:rPr>
          <w:i/>
          <w:sz w:val="20"/>
        </w:rPr>
        <w:t>тво- его пути. Начиная от дома рисуй линию – траекторию своего движения. На пути тебе встретятся препятствия: это могут быть любые испытания, состязания, встречи,</w:t>
      </w:r>
      <w:r>
        <w:rPr>
          <w:i/>
          <w:spacing w:val="-8"/>
          <w:sz w:val="20"/>
        </w:rPr>
        <w:t> </w:t>
      </w:r>
      <w:r>
        <w:rPr>
          <w:i/>
          <w:sz w:val="20"/>
        </w:rPr>
        <w:t>которые</w:t>
      </w:r>
      <w:r>
        <w:rPr>
          <w:i/>
          <w:spacing w:val="-8"/>
          <w:sz w:val="20"/>
        </w:rPr>
        <w:t> </w:t>
      </w:r>
      <w:r>
        <w:rPr>
          <w:i/>
          <w:sz w:val="20"/>
        </w:rPr>
        <w:t>придут</w:t>
      </w:r>
      <w:r>
        <w:rPr>
          <w:i/>
          <w:spacing w:val="-8"/>
          <w:sz w:val="20"/>
        </w:rPr>
        <w:t> </w:t>
      </w:r>
      <w:r>
        <w:rPr>
          <w:i/>
          <w:sz w:val="20"/>
        </w:rPr>
        <w:t>тебе</w:t>
      </w:r>
      <w:r>
        <w:rPr>
          <w:i/>
          <w:spacing w:val="-8"/>
          <w:sz w:val="20"/>
        </w:rPr>
        <w:t> </w:t>
      </w:r>
      <w:r>
        <w:rPr>
          <w:i/>
          <w:sz w:val="20"/>
        </w:rPr>
        <w:t>в</w:t>
      </w:r>
      <w:r>
        <w:rPr>
          <w:i/>
          <w:spacing w:val="-8"/>
          <w:sz w:val="20"/>
        </w:rPr>
        <w:t> </w:t>
      </w:r>
      <w:r>
        <w:rPr>
          <w:i/>
          <w:sz w:val="20"/>
        </w:rPr>
        <w:t>голову</w:t>
      </w:r>
      <w:r>
        <w:rPr>
          <w:i/>
          <w:spacing w:val="-8"/>
          <w:sz w:val="20"/>
        </w:rPr>
        <w:t> </w:t>
      </w:r>
      <w:r>
        <w:rPr>
          <w:i/>
          <w:sz w:val="20"/>
        </w:rPr>
        <w:t>и</w:t>
      </w:r>
      <w:r>
        <w:rPr>
          <w:i/>
          <w:spacing w:val="-8"/>
          <w:sz w:val="20"/>
        </w:rPr>
        <w:t> </w:t>
      </w:r>
      <w:r>
        <w:rPr>
          <w:i/>
          <w:sz w:val="20"/>
        </w:rPr>
        <w:t>которые</w:t>
      </w:r>
      <w:r>
        <w:rPr>
          <w:i/>
          <w:spacing w:val="-8"/>
          <w:sz w:val="20"/>
        </w:rPr>
        <w:t> </w:t>
      </w:r>
      <w:r>
        <w:rPr>
          <w:i/>
          <w:sz w:val="20"/>
        </w:rPr>
        <w:t>надо</w:t>
      </w:r>
      <w:r>
        <w:rPr>
          <w:i/>
          <w:spacing w:val="-8"/>
          <w:sz w:val="20"/>
        </w:rPr>
        <w:t> </w:t>
      </w:r>
      <w:r>
        <w:rPr>
          <w:i/>
          <w:sz w:val="20"/>
        </w:rPr>
        <w:t>будет</w:t>
      </w:r>
      <w:r>
        <w:rPr>
          <w:i/>
          <w:spacing w:val="-8"/>
          <w:sz w:val="20"/>
        </w:rPr>
        <w:t> </w:t>
      </w:r>
      <w:r>
        <w:rPr>
          <w:i/>
          <w:sz w:val="20"/>
        </w:rPr>
        <w:t>преодолеть.</w:t>
      </w:r>
      <w:r>
        <w:rPr>
          <w:i/>
          <w:spacing w:val="-8"/>
          <w:sz w:val="20"/>
        </w:rPr>
        <w:t> </w:t>
      </w:r>
      <w:r>
        <w:rPr>
          <w:i/>
          <w:sz w:val="20"/>
        </w:rPr>
        <w:t>На</w:t>
      </w:r>
      <w:r>
        <w:rPr>
          <w:i/>
          <w:spacing w:val="-8"/>
          <w:sz w:val="20"/>
        </w:rPr>
        <w:t> </w:t>
      </w:r>
      <w:r>
        <w:rPr>
          <w:i/>
          <w:sz w:val="20"/>
        </w:rPr>
        <w:t>пути движения карандаша делай остановку, рисуй маленькую картинку, обозначающую препятствие, и дальше мы с тобой обсудим способ, с помощью которого ты прой- дешь это испытание.</w:t>
      </w:r>
    </w:p>
    <w:p>
      <w:pPr>
        <w:spacing w:line="232" w:lineRule="auto" w:before="0"/>
        <w:ind w:left="141" w:right="139" w:firstLine="283"/>
        <w:jc w:val="both"/>
        <w:rPr>
          <w:i/>
          <w:sz w:val="20"/>
        </w:rPr>
      </w:pPr>
      <w:r>
        <w:rPr>
          <w:i/>
          <w:sz w:val="20"/>
        </w:rPr>
        <w:t>Важное условие: препятствие не должно быть слишком простым, иначе его трудно будет назвать испытанием. Оно должно быть таким, чтобы герой смог проявить</w:t>
      </w:r>
      <w:r>
        <w:rPr>
          <w:i/>
          <w:spacing w:val="-2"/>
          <w:sz w:val="20"/>
        </w:rPr>
        <w:t> </w:t>
      </w:r>
      <w:r>
        <w:rPr>
          <w:i/>
          <w:sz w:val="20"/>
        </w:rPr>
        <w:t>какие-то</w:t>
      </w:r>
      <w:r>
        <w:rPr>
          <w:i/>
          <w:spacing w:val="-2"/>
          <w:sz w:val="20"/>
        </w:rPr>
        <w:t> </w:t>
      </w:r>
      <w:r>
        <w:rPr>
          <w:i/>
          <w:sz w:val="20"/>
        </w:rPr>
        <w:t>из</w:t>
      </w:r>
      <w:r>
        <w:rPr>
          <w:i/>
          <w:spacing w:val="-2"/>
          <w:sz w:val="20"/>
        </w:rPr>
        <w:t> </w:t>
      </w:r>
      <w:r>
        <w:rPr>
          <w:i/>
          <w:sz w:val="20"/>
        </w:rPr>
        <w:t>своих</w:t>
      </w:r>
      <w:r>
        <w:rPr>
          <w:i/>
          <w:spacing w:val="-2"/>
          <w:sz w:val="20"/>
        </w:rPr>
        <w:t> </w:t>
      </w:r>
      <w:r>
        <w:rPr>
          <w:i/>
          <w:sz w:val="20"/>
        </w:rPr>
        <w:t>качеств,</w:t>
      </w:r>
      <w:r>
        <w:rPr>
          <w:i/>
          <w:spacing w:val="-2"/>
          <w:sz w:val="20"/>
        </w:rPr>
        <w:t> </w:t>
      </w:r>
      <w:r>
        <w:rPr>
          <w:i/>
          <w:sz w:val="20"/>
        </w:rPr>
        <w:t>способностей</w:t>
      </w:r>
      <w:r>
        <w:rPr>
          <w:i/>
          <w:spacing w:val="-2"/>
          <w:sz w:val="20"/>
        </w:rPr>
        <w:t> </w:t>
      </w:r>
      <w:r>
        <w:rPr>
          <w:i/>
          <w:sz w:val="20"/>
        </w:rPr>
        <w:t>или</w:t>
      </w:r>
      <w:r>
        <w:rPr>
          <w:i/>
          <w:spacing w:val="-2"/>
          <w:sz w:val="20"/>
        </w:rPr>
        <w:t> </w:t>
      </w:r>
      <w:r>
        <w:rPr>
          <w:i/>
          <w:sz w:val="20"/>
        </w:rPr>
        <w:t>умений.</w:t>
      </w:r>
      <w:r>
        <w:rPr>
          <w:i/>
          <w:spacing w:val="-2"/>
          <w:sz w:val="20"/>
        </w:rPr>
        <w:t> </w:t>
      </w:r>
      <w:r>
        <w:rPr>
          <w:i/>
          <w:sz w:val="20"/>
        </w:rPr>
        <w:t>А</w:t>
      </w:r>
      <w:r>
        <w:rPr>
          <w:i/>
          <w:spacing w:val="-2"/>
          <w:sz w:val="20"/>
        </w:rPr>
        <w:t> </w:t>
      </w:r>
      <w:r>
        <w:rPr>
          <w:i/>
          <w:sz w:val="20"/>
        </w:rPr>
        <w:t>еще</w:t>
      </w:r>
      <w:r>
        <w:rPr>
          <w:i/>
          <w:spacing w:val="-2"/>
          <w:sz w:val="20"/>
        </w:rPr>
        <w:t> </w:t>
      </w:r>
      <w:r>
        <w:rPr>
          <w:i/>
          <w:sz w:val="20"/>
        </w:rPr>
        <w:t>герой</w:t>
      </w:r>
      <w:r>
        <w:rPr>
          <w:i/>
          <w:spacing w:val="-2"/>
          <w:sz w:val="20"/>
        </w:rPr>
        <w:t> </w:t>
      </w:r>
      <w:r>
        <w:rPr>
          <w:i/>
          <w:sz w:val="20"/>
        </w:rPr>
        <w:t>может задействовать предметы, которые он взял с собой.</w:t>
      </w:r>
    </w:p>
    <w:p>
      <w:pPr>
        <w:pStyle w:val="ListParagraph"/>
        <w:numPr>
          <w:ilvl w:val="0"/>
          <w:numId w:val="190"/>
        </w:numPr>
        <w:tabs>
          <w:tab w:pos="423" w:val="left" w:leader="none"/>
          <w:tab w:pos="425" w:val="left" w:leader="none"/>
        </w:tabs>
        <w:spacing w:line="232" w:lineRule="auto" w:before="44" w:after="0"/>
        <w:ind w:left="425" w:right="139" w:hanging="284"/>
        <w:jc w:val="both"/>
        <w:rPr>
          <w:sz w:val="20"/>
        </w:rPr>
      </w:pPr>
      <w:r>
        <w:rPr>
          <w:sz w:val="20"/>
        </w:rPr>
        <w:t>Когда ребенок нарисовал испытание, психологу надо решить двойную задачу. С одной</w:t>
      </w:r>
      <w:r>
        <w:rPr>
          <w:spacing w:val="-5"/>
          <w:sz w:val="20"/>
        </w:rPr>
        <w:t> </w:t>
      </w:r>
      <w:r>
        <w:rPr>
          <w:sz w:val="20"/>
        </w:rPr>
        <w:t>стороны,</w:t>
      </w:r>
      <w:r>
        <w:rPr>
          <w:spacing w:val="-5"/>
          <w:sz w:val="20"/>
        </w:rPr>
        <w:t> </w:t>
      </w:r>
      <w:r>
        <w:rPr>
          <w:sz w:val="20"/>
        </w:rPr>
        <w:t>он</w:t>
      </w:r>
      <w:r>
        <w:rPr>
          <w:spacing w:val="-5"/>
          <w:sz w:val="20"/>
        </w:rPr>
        <w:t> </w:t>
      </w:r>
      <w:r>
        <w:rPr>
          <w:sz w:val="20"/>
        </w:rPr>
        <w:t>тщательно</w:t>
      </w:r>
      <w:r>
        <w:rPr>
          <w:spacing w:val="-5"/>
          <w:sz w:val="20"/>
        </w:rPr>
        <w:t> </w:t>
      </w:r>
      <w:r>
        <w:rPr>
          <w:sz w:val="20"/>
        </w:rPr>
        <w:t>проверяет</w:t>
      </w:r>
      <w:r>
        <w:rPr>
          <w:spacing w:val="-5"/>
          <w:sz w:val="20"/>
        </w:rPr>
        <w:t> </w:t>
      </w:r>
      <w:r>
        <w:rPr>
          <w:sz w:val="20"/>
        </w:rPr>
        <w:t>реалистичность,</w:t>
      </w:r>
      <w:r>
        <w:rPr>
          <w:spacing w:val="-5"/>
          <w:sz w:val="20"/>
        </w:rPr>
        <w:t> </w:t>
      </w:r>
      <w:r>
        <w:rPr>
          <w:sz w:val="20"/>
        </w:rPr>
        <w:t>уместность,</w:t>
      </w:r>
      <w:r>
        <w:rPr>
          <w:spacing w:val="-5"/>
          <w:sz w:val="20"/>
        </w:rPr>
        <w:t> </w:t>
      </w:r>
      <w:r>
        <w:rPr>
          <w:sz w:val="20"/>
        </w:rPr>
        <w:t>логичность предложенного препятствия и способа его преодоления, задает провокационные вопросы</w:t>
      </w:r>
      <w:r>
        <w:rPr>
          <w:spacing w:val="-13"/>
          <w:sz w:val="20"/>
        </w:rPr>
        <w:t> </w:t>
      </w:r>
      <w:r>
        <w:rPr>
          <w:sz w:val="20"/>
        </w:rPr>
        <w:t>и</w:t>
      </w:r>
      <w:r>
        <w:rPr>
          <w:spacing w:val="-12"/>
          <w:sz w:val="20"/>
        </w:rPr>
        <w:t> </w:t>
      </w:r>
      <w:r>
        <w:rPr>
          <w:sz w:val="20"/>
        </w:rPr>
        <w:t>оспаривает</w:t>
      </w:r>
      <w:r>
        <w:rPr>
          <w:spacing w:val="-13"/>
          <w:sz w:val="20"/>
        </w:rPr>
        <w:t> </w:t>
      </w:r>
      <w:r>
        <w:rPr>
          <w:sz w:val="20"/>
        </w:rPr>
        <w:t>решения,</w:t>
      </w:r>
      <w:r>
        <w:rPr>
          <w:spacing w:val="-12"/>
          <w:sz w:val="20"/>
        </w:rPr>
        <w:t> </w:t>
      </w:r>
      <w:r>
        <w:rPr>
          <w:sz w:val="20"/>
        </w:rPr>
        <w:t>побуждая</w:t>
      </w:r>
      <w:r>
        <w:rPr>
          <w:spacing w:val="-13"/>
          <w:sz w:val="20"/>
        </w:rPr>
        <w:t> </w:t>
      </w:r>
      <w:r>
        <w:rPr>
          <w:sz w:val="20"/>
        </w:rPr>
        <w:t>ребенка</w:t>
      </w:r>
      <w:r>
        <w:rPr>
          <w:spacing w:val="-12"/>
          <w:sz w:val="20"/>
        </w:rPr>
        <w:t> </w:t>
      </w:r>
      <w:r>
        <w:rPr>
          <w:sz w:val="20"/>
        </w:rPr>
        <w:t>к</w:t>
      </w:r>
      <w:r>
        <w:rPr>
          <w:spacing w:val="-13"/>
          <w:sz w:val="20"/>
        </w:rPr>
        <w:t> </w:t>
      </w:r>
      <w:r>
        <w:rPr>
          <w:sz w:val="20"/>
        </w:rPr>
        <w:t>более</w:t>
      </w:r>
      <w:r>
        <w:rPr>
          <w:spacing w:val="-12"/>
          <w:sz w:val="20"/>
        </w:rPr>
        <w:t> </w:t>
      </w:r>
      <w:r>
        <w:rPr>
          <w:sz w:val="20"/>
        </w:rPr>
        <w:t>глубокому</w:t>
      </w:r>
      <w:r>
        <w:rPr>
          <w:spacing w:val="-13"/>
          <w:sz w:val="20"/>
        </w:rPr>
        <w:t> </w:t>
      </w:r>
      <w:r>
        <w:rPr>
          <w:sz w:val="20"/>
        </w:rPr>
        <w:t>погружению в</w:t>
      </w:r>
      <w:r>
        <w:rPr>
          <w:spacing w:val="-13"/>
          <w:sz w:val="20"/>
        </w:rPr>
        <w:t> </w:t>
      </w:r>
      <w:r>
        <w:rPr>
          <w:sz w:val="20"/>
        </w:rPr>
        <w:t>предлагаемые</w:t>
      </w:r>
      <w:r>
        <w:rPr>
          <w:spacing w:val="-12"/>
          <w:sz w:val="20"/>
        </w:rPr>
        <w:t> </w:t>
      </w:r>
      <w:r>
        <w:rPr>
          <w:sz w:val="20"/>
        </w:rPr>
        <w:t>обстоятельства.</w:t>
      </w:r>
      <w:r>
        <w:rPr>
          <w:spacing w:val="-13"/>
          <w:sz w:val="20"/>
        </w:rPr>
        <w:t> </w:t>
      </w:r>
      <w:r>
        <w:rPr>
          <w:sz w:val="20"/>
        </w:rPr>
        <w:t>С</w:t>
      </w:r>
      <w:r>
        <w:rPr>
          <w:spacing w:val="-12"/>
          <w:sz w:val="20"/>
        </w:rPr>
        <w:t> </w:t>
      </w:r>
      <w:r>
        <w:rPr>
          <w:sz w:val="20"/>
        </w:rPr>
        <w:t>другой</w:t>
      </w:r>
      <w:r>
        <w:rPr>
          <w:spacing w:val="-13"/>
          <w:sz w:val="20"/>
        </w:rPr>
        <w:t> </w:t>
      </w:r>
      <w:r>
        <w:rPr>
          <w:sz w:val="20"/>
        </w:rPr>
        <w:t>стороны,</w:t>
      </w:r>
      <w:r>
        <w:rPr>
          <w:spacing w:val="-12"/>
          <w:sz w:val="20"/>
        </w:rPr>
        <w:t> </w:t>
      </w:r>
      <w:r>
        <w:rPr>
          <w:sz w:val="20"/>
        </w:rPr>
        <w:t>он</w:t>
      </w:r>
      <w:r>
        <w:rPr>
          <w:spacing w:val="-13"/>
          <w:sz w:val="20"/>
        </w:rPr>
        <w:t> </w:t>
      </w:r>
      <w:r>
        <w:rPr>
          <w:sz w:val="20"/>
        </w:rPr>
        <w:t>дает</w:t>
      </w:r>
      <w:r>
        <w:rPr>
          <w:spacing w:val="-12"/>
          <w:sz w:val="20"/>
        </w:rPr>
        <w:t> </w:t>
      </w:r>
      <w:r>
        <w:rPr>
          <w:sz w:val="20"/>
        </w:rPr>
        <w:t>поддержку,</w:t>
      </w:r>
      <w:r>
        <w:rPr>
          <w:spacing w:val="-13"/>
          <w:sz w:val="20"/>
        </w:rPr>
        <w:t> </w:t>
      </w:r>
      <w:r>
        <w:rPr>
          <w:sz w:val="20"/>
        </w:rPr>
        <w:t>одобрение, восхищается идеями ребенка.</w:t>
      </w:r>
    </w:p>
    <w:p>
      <w:pPr>
        <w:pStyle w:val="BodyText"/>
        <w:spacing w:line="232" w:lineRule="auto"/>
      </w:pPr>
      <w:r>
        <w:rPr/>
        <w:t>Психолог должен вовлечь ребенка в исследование обстоятельств и поиск идей, тем самым укрепляя его Я. Важно также учитывать, что в наличии у героя только те предметы, которые он взял изначально: если понадобится что-то еще, это надо до- быть – такую задачу стоит рассматривать как отдельное испытание.</w:t>
      </w:r>
    </w:p>
    <w:p>
      <w:pPr>
        <w:pStyle w:val="ListParagraph"/>
        <w:numPr>
          <w:ilvl w:val="0"/>
          <w:numId w:val="190"/>
        </w:numPr>
        <w:tabs>
          <w:tab w:pos="423" w:val="left" w:leader="none"/>
          <w:tab w:pos="425" w:val="left" w:leader="none"/>
        </w:tabs>
        <w:spacing w:line="232" w:lineRule="auto" w:before="46" w:after="0"/>
        <w:ind w:left="425" w:right="139" w:hanging="284"/>
        <w:jc w:val="both"/>
        <w:rPr>
          <w:sz w:val="20"/>
        </w:rPr>
      </w:pPr>
      <w:r>
        <w:rPr>
          <w:sz w:val="20"/>
        </w:rPr>
        <w:t>Обычно</w:t>
      </w:r>
      <w:r>
        <w:rPr>
          <w:spacing w:val="-7"/>
          <w:sz w:val="20"/>
        </w:rPr>
        <w:t> </w:t>
      </w:r>
      <w:r>
        <w:rPr>
          <w:sz w:val="20"/>
        </w:rPr>
        <w:t>за</w:t>
      </w:r>
      <w:r>
        <w:rPr>
          <w:spacing w:val="-7"/>
          <w:sz w:val="20"/>
        </w:rPr>
        <w:t> </w:t>
      </w:r>
      <w:r>
        <w:rPr>
          <w:sz w:val="20"/>
        </w:rPr>
        <w:t>одну</w:t>
      </w:r>
      <w:r>
        <w:rPr>
          <w:spacing w:val="-7"/>
          <w:sz w:val="20"/>
        </w:rPr>
        <w:t> </w:t>
      </w:r>
      <w:r>
        <w:rPr>
          <w:sz w:val="20"/>
        </w:rPr>
        <w:t>встречу</w:t>
      </w:r>
      <w:r>
        <w:rPr>
          <w:spacing w:val="-7"/>
          <w:sz w:val="20"/>
        </w:rPr>
        <w:t> </w:t>
      </w:r>
      <w:r>
        <w:rPr>
          <w:sz w:val="20"/>
        </w:rPr>
        <w:t>герой</w:t>
      </w:r>
      <w:r>
        <w:rPr>
          <w:spacing w:val="-7"/>
          <w:sz w:val="20"/>
        </w:rPr>
        <w:t> </w:t>
      </w:r>
      <w:r>
        <w:rPr>
          <w:sz w:val="20"/>
        </w:rPr>
        <w:t>успевает</w:t>
      </w:r>
      <w:r>
        <w:rPr>
          <w:spacing w:val="-7"/>
          <w:sz w:val="20"/>
        </w:rPr>
        <w:t> </w:t>
      </w:r>
      <w:r>
        <w:rPr>
          <w:sz w:val="20"/>
        </w:rPr>
        <w:t>пройти</w:t>
      </w:r>
      <w:r>
        <w:rPr>
          <w:spacing w:val="-7"/>
          <w:sz w:val="20"/>
        </w:rPr>
        <w:t> </w:t>
      </w:r>
      <w:r>
        <w:rPr>
          <w:sz w:val="20"/>
        </w:rPr>
        <w:t>от</w:t>
      </w:r>
      <w:r>
        <w:rPr>
          <w:spacing w:val="-7"/>
          <w:sz w:val="20"/>
        </w:rPr>
        <w:t> </w:t>
      </w:r>
      <w:r>
        <w:rPr>
          <w:sz w:val="20"/>
        </w:rPr>
        <w:t>двух</w:t>
      </w:r>
      <w:r>
        <w:rPr>
          <w:spacing w:val="-7"/>
          <w:sz w:val="20"/>
        </w:rPr>
        <w:t> </w:t>
      </w:r>
      <w:r>
        <w:rPr>
          <w:sz w:val="20"/>
        </w:rPr>
        <w:t>до</w:t>
      </w:r>
      <w:r>
        <w:rPr>
          <w:spacing w:val="-7"/>
          <w:sz w:val="20"/>
        </w:rPr>
        <w:t> </w:t>
      </w:r>
      <w:r>
        <w:rPr>
          <w:sz w:val="20"/>
        </w:rPr>
        <w:t>пяти</w:t>
      </w:r>
      <w:r>
        <w:rPr>
          <w:spacing w:val="-7"/>
          <w:sz w:val="20"/>
        </w:rPr>
        <w:t> </w:t>
      </w:r>
      <w:r>
        <w:rPr>
          <w:sz w:val="20"/>
        </w:rPr>
        <w:t>испытаний.</w:t>
      </w:r>
      <w:r>
        <w:rPr>
          <w:spacing w:val="-7"/>
          <w:sz w:val="20"/>
        </w:rPr>
        <w:t> </w:t>
      </w:r>
      <w:r>
        <w:rPr>
          <w:sz w:val="20"/>
        </w:rPr>
        <w:t>Одна- ко</w:t>
      </w:r>
      <w:r>
        <w:rPr>
          <w:spacing w:val="-2"/>
          <w:sz w:val="20"/>
        </w:rPr>
        <w:t> </w:t>
      </w:r>
      <w:r>
        <w:rPr>
          <w:sz w:val="20"/>
        </w:rPr>
        <w:t>если</w:t>
      </w:r>
      <w:r>
        <w:rPr>
          <w:spacing w:val="-2"/>
          <w:sz w:val="20"/>
        </w:rPr>
        <w:t> </w:t>
      </w:r>
      <w:r>
        <w:rPr>
          <w:sz w:val="20"/>
        </w:rPr>
        <w:t>ребенок</w:t>
      </w:r>
      <w:r>
        <w:rPr>
          <w:spacing w:val="-2"/>
          <w:sz w:val="20"/>
        </w:rPr>
        <w:t> </w:t>
      </w:r>
      <w:r>
        <w:rPr>
          <w:sz w:val="20"/>
        </w:rPr>
        <w:t>построил</w:t>
      </w:r>
      <w:r>
        <w:rPr>
          <w:spacing w:val="-2"/>
          <w:sz w:val="20"/>
        </w:rPr>
        <w:t> </w:t>
      </w:r>
      <w:r>
        <w:rPr>
          <w:sz w:val="20"/>
        </w:rPr>
        <w:t>длинный</w:t>
      </w:r>
      <w:r>
        <w:rPr>
          <w:spacing w:val="-2"/>
          <w:sz w:val="20"/>
        </w:rPr>
        <w:t> </w:t>
      </w:r>
      <w:r>
        <w:rPr>
          <w:sz w:val="20"/>
        </w:rPr>
        <w:t>путь</w:t>
      </w:r>
      <w:r>
        <w:rPr>
          <w:spacing w:val="-2"/>
          <w:sz w:val="20"/>
        </w:rPr>
        <w:t> </w:t>
      </w:r>
      <w:r>
        <w:rPr>
          <w:sz w:val="20"/>
        </w:rPr>
        <w:t>и</w:t>
      </w:r>
      <w:r>
        <w:rPr>
          <w:spacing w:val="-2"/>
          <w:sz w:val="20"/>
        </w:rPr>
        <w:t> </w:t>
      </w:r>
      <w:r>
        <w:rPr>
          <w:sz w:val="20"/>
        </w:rPr>
        <w:t>увлекся</w:t>
      </w:r>
      <w:r>
        <w:rPr>
          <w:spacing w:val="-2"/>
          <w:sz w:val="20"/>
        </w:rPr>
        <w:t> </w:t>
      </w:r>
      <w:r>
        <w:rPr>
          <w:sz w:val="20"/>
        </w:rPr>
        <w:t>путешествием,</w:t>
      </w:r>
      <w:r>
        <w:rPr>
          <w:spacing w:val="-2"/>
          <w:sz w:val="20"/>
        </w:rPr>
        <w:t> </w:t>
      </w:r>
      <w:r>
        <w:rPr>
          <w:sz w:val="20"/>
        </w:rPr>
        <w:t>можно</w:t>
      </w:r>
      <w:r>
        <w:rPr>
          <w:spacing w:val="-2"/>
          <w:sz w:val="20"/>
        </w:rPr>
        <w:t> </w:t>
      </w:r>
      <w:r>
        <w:rPr>
          <w:sz w:val="20"/>
        </w:rPr>
        <w:t>сделать</w:t>
      </w:r>
    </w:p>
    <w:p>
      <w:pPr>
        <w:pStyle w:val="BodyText"/>
        <w:spacing w:line="222" w:lineRule="exact"/>
        <w:ind w:left="425" w:right="0" w:firstLine="0"/>
      </w:pPr>
      <w:r>
        <w:rPr/>
        <w:t>«привал»</w:t>
      </w:r>
      <w:r>
        <w:rPr>
          <w:spacing w:val="-6"/>
        </w:rPr>
        <w:t> </w:t>
      </w:r>
      <w:r>
        <w:rPr/>
        <w:t>и</w:t>
      </w:r>
      <w:r>
        <w:rPr>
          <w:spacing w:val="-6"/>
        </w:rPr>
        <w:t> </w:t>
      </w:r>
      <w:r>
        <w:rPr/>
        <w:t>продолжить</w:t>
      </w:r>
      <w:r>
        <w:rPr>
          <w:spacing w:val="-7"/>
        </w:rPr>
        <w:t> </w:t>
      </w:r>
      <w:r>
        <w:rPr/>
        <w:t>на</w:t>
      </w:r>
      <w:r>
        <w:rPr>
          <w:spacing w:val="-5"/>
        </w:rPr>
        <w:t> </w:t>
      </w:r>
      <w:r>
        <w:rPr/>
        <w:t>следующей</w:t>
      </w:r>
      <w:r>
        <w:rPr>
          <w:spacing w:val="-6"/>
        </w:rPr>
        <w:t> </w:t>
      </w:r>
      <w:r>
        <w:rPr>
          <w:spacing w:val="-2"/>
        </w:rPr>
        <w:t>сессии.</w:t>
      </w:r>
    </w:p>
    <w:p>
      <w:pPr>
        <w:pStyle w:val="ListParagraph"/>
        <w:numPr>
          <w:ilvl w:val="0"/>
          <w:numId w:val="190"/>
        </w:numPr>
        <w:tabs>
          <w:tab w:pos="423" w:val="left" w:leader="none"/>
          <w:tab w:pos="425" w:val="left" w:leader="none"/>
        </w:tabs>
        <w:spacing w:line="232" w:lineRule="auto" w:before="55" w:after="0"/>
        <w:ind w:left="425" w:right="139" w:hanging="284"/>
        <w:jc w:val="both"/>
        <w:rPr>
          <w:sz w:val="20"/>
        </w:rPr>
      </w:pPr>
      <w:r>
        <w:rPr>
          <w:sz w:val="20"/>
        </w:rPr>
        <w:t>Когда</w:t>
      </w:r>
      <w:r>
        <w:rPr>
          <w:spacing w:val="-9"/>
          <w:sz w:val="20"/>
        </w:rPr>
        <w:t> </w:t>
      </w:r>
      <w:r>
        <w:rPr>
          <w:sz w:val="20"/>
        </w:rPr>
        <w:t>герой</w:t>
      </w:r>
      <w:r>
        <w:rPr>
          <w:spacing w:val="-9"/>
          <w:sz w:val="20"/>
        </w:rPr>
        <w:t> </w:t>
      </w:r>
      <w:r>
        <w:rPr>
          <w:sz w:val="20"/>
        </w:rPr>
        <w:t>достигает</w:t>
      </w:r>
      <w:r>
        <w:rPr>
          <w:spacing w:val="-9"/>
          <w:sz w:val="20"/>
        </w:rPr>
        <w:t> </w:t>
      </w:r>
      <w:r>
        <w:rPr>
          <w:sz w:val="20"/>
        </w:rPr>
        <w:t>цели,</w:t>
      </w:r>
      <w:r>
        <w:rPr>
          <w:spacing w:val="-9"/>
          <w:sz w:val="20"/>
        </w:rPr>
        <w:t> </w:t>
      </w:r>
      <w:r>
        <w:rPr>
          <w:sz w:val="20"/>
        </w:rPr>
        <w:t>важно,</w:t>
      </w:r>
      <w:r>
        <w:rPr>
          <w:spacing w:val="-9"/>
          <w:sz w:val="20"/>
        </w:rPr>
        <w:t> </w:t>
      </w:r>
      <w:r>
        <w:rPr>
          <w:sz w:val="20"/>
        </w:rPr>
        <w:t>чтобы</w:t>
      </w:r>
      <w:r>
        <w:rPr>
          <w:spacing w:val="-9"/>
          <w:sz w:val="20"/>
        </w:rPr>
        <w:t> </w:t>
      </w:r>
      <w:r>
        <w:rPr>
          <w:sz w:val="20"/>
        </w:rPr>
        <w:t>ребенок</w:t>
      </w:r>
      <w:r>
        <w:rPr>
          <w:spacing w:val="-9"/>
          <w:sz w:val="20"/>
        </w:rPr>
        <w:t> </w:t>
      </w:r>
      <w:r>
        <w:rPr>
          <w:sz w:val="20"/>
        </w:rPr>
        <w:t>получил</w:t>
      </w:r>
      <w:r>
        <w:rPr>
          <w:spacing w:val="-9"/>
          <w:sz w:val="20"/>
        </w:rPr>
        <w:t> </w:t>
      </w:r>
      <w:r>
        <w:rPr>
          <w:sz w:val="20"/>
        </w:rPr>
        <w:t>от</w:t>
      </w:r>
      <w:r>
        <w:rPr>
          <w:spacing w:val="-9"/>
          <w:sz w:val="20"/>
        </w:rPr>
        <w:t> </w:t>
      </w:r>
      <w:r>
        <w:rPr>
          <w:sz w:val="20"/>
        </w:rPr>
        <w:t>этого</w:t>
      </w:r>
      <w:r>
        <w:rPr>
          <w:spacing w:val="-9"/>
          <w:sz w:val="20"/>
        </w:rPr>
        <w:t> </w:t>
      </w:r>
      <w:r>
        <w:rPr>
          <w:sz w:val="20"/>
        </w:rPr>
        <w:t>удовлетворе- ние.</w:t>
      </w:r>
      <w:r>
        <w:rPr>
          <w:spacing w:val="-2"/>
          <w:sz w:val="20"/>
        </w:rPr>
        <w:t> </w:t>
      </w:r>
      <w:r>
        <w:rPr>
          <w:sz w:val="20"/>
        </w:rPr>
        <w:t>Психолог</w:t>
      </w:r>
      <w:r>
        <w:rPr>
          <w:spacing w:val="-2"/>
          <w:sz w:val="20"/>
        </w:rPr>
        <w:t> </w:t>
      </w:r>
      <w:r>
        <w:rPr>
          <w:sz w:val="20"/>
        </w:rPr>
        <w:t>обсуждает</w:t>
      </w:r>
      <w:r>
        <w:rPr>
          <w:spacing w:val="-2"/>
          <w:sz w:val="20"/>
        </w:rPr>
        <w:t> </w:t>
      </w:r>
      <w:r>
        <w:rPr>
          <w:sz w:val="20"/>
        </w:rPr>
        <w:t>с</w:t>
      </w:r>
      <w:r>
        <w:rPr>
          <w:spacing w:val="-2"/>
          <w:sz w:val="20"/>
        </w:rPr>
        <w:t> </w:t>
      </w:r>
      <w:r>
        <w:rPr>
          <w:sz w:val="20"/>
        </w:rPr>
        <w:t>ним,</w:t>
      </w:r>
      <w:r>
        <w:rPr>
          <w:spacing w:val="-2"/>
          <w:sz w:val="20"/>
        </w:rPr>
        <w:t> </w:t>
      </w:r>
      <w:r>
        <w:rPr>
          <w:sz w:val="20"/>
        </w:rPr>
        <w:t>что</w:t>
      </w:r>
      <w:r>
        <w:rPr>
          <w:spacing w:val="-2"/>
          <w:sz w:val="20"/>
        </w:rPr>
        <w:t> </w:t>
      </w:r>
      <w:r>
        <w:rPr>
          <w:sz w:val="20"/>
        </w:rPr>
        <w:t>произойдет</w:t>
      </w:r>
      <w:r>
        <w:rPr>
          <w:spacing w:val="-2"/>
          <w:sz w:val="20"/>
        </w:rPr>
        <w:t> </w:t>
      </w:r>
      <w:r>
        <w:rPr>
          <w:sz w:val="20"/>
        </w:rPr>
        <w:t>в</w:t>
      </w:r>
      <w:r>
        <w:rPr>
          <w:spacing w:val="-2"/>
          <w:sz w:val="20"/>
        </w:rPr>
        <w:t> </w:t>
      </w:r>
      <w:r>
        <w:rPr>
          <w:sz w:val="20"/>
        </w:rPr>
        <w:t>конечной</w:t>
      </w:r>
      <w:r>
        <w:rPr>
          <w:spacing w:val="-2"/>
          <w:sz w:val="20"/>
        </w:rPr>
        <w:t> </w:t>
      </w:r>
      <w:r>
        <w:rPr>
          <w:sz w:val="20"/>
        </w:rPr>
        <w:t>точке,</w:t>
      </w:r>
      <w:r>
        <w:rPr>
          <w:spacing w:val="-2"/>
          <w:sz w:val="20"/>
        </w:rPr>
        <w:t> </w:t>
      </w:r>
      <w:r>
        <w:rPr>
          <w:sz w:val="20"/>
        </w:rPr>
        <w:t>как</w:t>
      </w:r>
      <w:r>
        <w:rPr>
          <w:spacing w:val="-2"/>
          <w:sz w:val="20"/>
        </w:rPr>
        <w:t> </w:t>
      </w:r>
      <w:r>
        <w:rPr>
          <w:sz w:val="20"/>
        </w:rPr>
        <w:t>конкретно </w:t>
      </w:r>
      <w:r>
        <w:rPr>
          <w:spacing w:val="-2"/>
          <w:sz w:val="20"/>
        </w:rPr>
        <w:t>его</w:t>
      </w:r>
      <w:r>
        <w:rPr>
          <w:spacing w:val="-4"/>
          <w:sz w:val="20"/>
        </w:rPr>
        <w:t> </w:t>
      </w:r>
      <w:r>
        <w:rPr>
          <w:spacing w:val="-2"/>
          <w:sz w:val="20"/>
        </w:rPr>
        <w:t>герой</w:t>
      </w:r>
      <w:r>
        <w:rPr>
          <w:spacing w:val="-4"/>
          <w:sz w:val="20"/>
        </w:rPr>
        <w:t> </w:t>
      </w:r>
      <w:r>
        <w:rPr>
          <w:spacing w:val="-2"/>
          <w:sz w:val="20"/>
        </w:rPr>
        <w:t>проживет</w:t>
      </w:r>
      <w:r>
        <w:rPr>
          <w:spacing w:val="-4"/>
          <w:sz w:val="20"/>
        </w:rPr>
        <w:t> </w:t>
      </w:r>
      <w:r>
        <w:rPr>
          <w:spacing w:val="-2"/>
          <w:sz w:val="20"/>
        </w:rPr>
        <w:t>этот</w:t>
      </w:r>
      <w:r>
        <w:rPr>
          <w:spacing w:val="-4"/>
          <w:sz w:val="20"/>
        </w:rPr>
        <w:t> </w:t>
      </w:r>
      <w:r>
        <w:rPr>
          <w:spacing w:val="-2"/>
          <w:sz w:val="20"/>
        </w:rPr>
        <w:t>момент,</w:t>
      </w:r>
      <w:r>
        <w:rPr>
          <w:spacing w:val="-4"/>
          <w:sz w:val="20"/>
        </w:rPr>
        <w:t> </w:t>
      </w:r>
      <w:r>
        <w:rPr>
          <w:spacing w:val="-2"/>
          <w:sz w:val="20"/>
        </w:rPr>
        <w:t>что</w:t>
      </w:r>
      <w:r>
        <w:rPr>
          <w:spacing w:val="-4"/>
          <w:sz w:val="20"/>
        </w:rPr>
        <w:t> </w:t>
      </w:r>
      <w:r>
        <w:rPr>
          <w:spacing w:val="-2"/>
          <w:sz w:val="20"/>
        </w:rPr>
        <w:t>прочувствует.</w:t>
      </w:r>
      <w:r>
        <w:rPr>
          <w:spacing w:val="-4"/>
          <w:sz w:val="20"/>
        </w:rPr>
        <w:t> </w:t>
      </w:r>
      <w:r>
        <w:rPr>
          <w:spacing w:val="-2"/>
          <w:sz w:val="20"/>
        </w:rPr>
        <w:t>После</w:t>
      </w:r>
      <w:r>
        <w:rPr>
          <w:spacing w:val="-4"/>
          <w:sz w:val="20"/>
        </w:rPr>
        <w:t> </w:t>
      </w:r>
      <w:r>
        <w:rPr>
          <w:spacing w:val="-2"/>
          <w:sz w:val="20"/>
        </w:rPr>
        <w:t>достижения</w:t>
      </w:r>
      <w:r>
        <w:rPr>
          <w:spacing w:val="-4"/>
          <w:sz w:val="20"/>
        </w:rPr>
        <w:t> </w:t>
      </w:r>
      <w:r>
        <w:rPr>
          <w:spacing w:val="-2"/>
          <w:sz w:val="20"/>
        </w:rPr>
        <w:t>цели</w:t>
      </w:r>
      <w:r>
        <w:rPr>
          <w:spacing w:val="-4"/>
          <w:sz w:val="20"/>
        </w:rPr>
        <w:t> </w:t>
      </w:r>
      <w:r>
        <w:rPr>
          <w:spacing w:val="-2"/>
          <w:sz w:val="20"/>
        </w:rPr>
        <w:t>психо- </w:t>
      </w:r>
      <w:r>
        <w:rPr>
          <w:sz w:val="20"/>
        </w:rPr>
        <w:t>лог</w:t>
      </w:r>
      <w:r>
        <w:rPr>
          <w:spacing w:val="-9"/>
          <w:sz w:val="20"/>
        </w:rPr>
        <w:t> </w:t>
      </w:r>
      <w:r>
        <w:rPr>
          <w:sz w:val="20"/>
        </w:rPr>
        <w:t>просит</w:t>
      </w:r>
      <w:r>
        <w:rPr>
          <w:spacing w:val="-9"/>
          <w:sz w:val="20"/>
        </w:rPr>
        <w:t> </w:t>
      </w:r>
      <w:r>
        <w:rPr>
          <w:sz w:val="20"/>
        </w:rPr>
        <w:t>ребенка</w:t>
      </w:r>
      <w:r>
        <w:rPr>
          <w:spacing w:val="-9"/>
          <w:sz w:val="20"/>
        </w:rPr>
        <w:t> </w:t>
      </w:r>
      <w:r>
        <w:rPr>
          <w:sz w:val="20"/>
        </w:rPr>
        <w:t>другим</w:t>
      </w:r>
      <w:r>
        <w:rPr>
          <w:spacing w:val="-9"/>
          <w:sz w:val="20"/>
        </w:rPr>
        <w:t> </w:t>
      </w:r>
      <w:r>
        <w:rPr>
          <w:sz w:val="20"/>
        </w:rPr>
        <w:t>цветом</w:t>
      </w:r>
      <w:r>
        <w:rPr>
          <w:spacing w:val="-9"/>
          <w:sz w:val="20"/>
        </w:rPr>
        <w:t> </w:t>
      </w:r>
      <w:r>
        <w:rPr>
          <w:sz w:val="20"/>
        </w:rPr>
        <w:t>проложить</w:t>
      </w:r>
      <w:r>
        <w:rPr>
          <w:spacing w:val="-9"/>
          <w:sz w:val="20"/>
        </w:rPr>
        <w:t> </w:t>
      </w:r>
      <w:r>
        <w:rPr>
          <w:sz w:val="20"/>
        </w:rPr>
        <w:t>путь</w:t>
      </w:r>
      <w:r>
        <w:rPr>
          <w:spacing w:val="-9"/>
          <w:sz w:val="20"/>
        </w:rPr>
        <w:t> </w:t>
      </w:r>
      <w:r>
        <w:rPr>
          <w:sz w:val="20"/>
        </w:rPr>
        <w:t>обратно:</w:t>
      </w:r>
      <w:r>
        <w:rPr>
          <w:spacing w:val="-9"/>
          <w:sz w:val="20"/>
        </w:rPr>
        <w:t> </w:t>
      </w:r>
      <w:r>
        <w:rPr>
          <w:sz w:val="20"/>
        </w:rPr>
        <w:t>он</w:t>
      </w:r>
      <w:r>
        <w:rPr>
          <w:spacing w:val="-9"/>
          <w:sz w:val="20"/>
        </w:rPr>
        <w:t> </w:t>
      </w:r>
      <w:r>
        <w:rPr>
          <w:sz w:val="20"/>
        </w:rPr>
        <w:t>может</w:t>
      </w:r>
      <w:r>
        <w:rPr>
          <w:spacing w:val="-9"/>
          <w:sz w:val="20"/>
        </w:rPr>
        <w:t> </w:t>
      </w:r>
      <w:r>
        <w:rPr>
          <w:sz w:val="20"/>
        </w:rPr>
        <w:t>быть</w:t>
      </w:r>
      <w:r>
        <w:rPr>
          <w:spacing w:val="-9"/>
          <w:sz w:val="20"/>
        </w:rPr>
        <w:t> </w:t>
      </w:r>
      <w:r>
        <w:rPr>
          <w:sz w:val="20"/>
        </w:rPr>
        <w:t>таким же, но часто получается более коротким.</w:t>
      </w:r>
    </w:p>
    <w:p>
      <w:pPr>
        <w:pStyle w:val="ListParagraph"/>
        <w:numPr>
          <w:ilvl w:val="0"/>
          <w:numId w:val="190"/>
        </w:numPr>
        <w:tabs>
          <w:tab w:pos="423" w:val="left" w:leader="none"/>
          <w:tab w:pos="425" w:val="left" w:leader="none"/>
        </w:tabs>
        <w:spacing w:line="232" w:lineRule="auto" w:before="51" w:after="0"/>
        <w:ind w:left="425" w:right="140" w:hanging="284"/>
        <w:jc w:val="both"/>
        <w:rPr>
          <w:sz w:val="20"/>
        </w:rPr>
      </w:pPr>
      <w:r>
        <w:rPr>
          <w:sz w:val="20"/>
        </w:rPr>
        <w:t>После</w:t>
      </w:r>
      <w:r>
        <w:rPr>
          <w:spacing w:val="-8"/>
          <w:sz w:val="20"/>
        </w:rPr>
        <w:t> </w:t>
      </w:r>
      <w:r>
        <w:rPr>
          <w:sz w:val="20"/>
        </w:rPr>
        <w:t>завершения</w:t>
      </w:r>
      <w:r>
        <w:rPr>
          <w:spacing w:val="-8"/>
          <w:sz w:val="20"/>
        </w:rPr>
        <w:t> </w:t>
      </w:r>
      <w:r>
        <w:rPr>
          <w:sz w:val="20"/>
        </w:rPr>
        <w:t>игры</w:t>
      </w:r>
      <w:r>
        <w:rPr>
          <w:spacing w:val="-8"/>
          <w:sz w:val="20"/>
        </w:rPr>
        <w:t> </w:t>
      </w:r>
      <w:r>
        <w:rPr>
          <w:sz w:val="20"/>
        </w:rPr>
        <w:t>психолог</w:t>
      </w:r>
      <w:r>
        <w:rPr>
          <w:spacing w:val="-8"/>
          <w:sz w:val="20"/>
        </w:rPr>
        <w:t> </w:t>
      </w:r>
      <w:r>
        <w:rPr>
          <w:sz w:val="20"/>
        </w:rPr>
        <w:t>предлагает</w:t>
      </w:r>
      <w:r>
        <w:rPr>
          <w:spacing w:val="-8"/>
          <w:sz w:val="20"/>
        </w:rPr>
        <w:t> </w:t>
      </w:r>
      <w:r>
        <w:rPr>
          <w:sz w:val="20"/>
        </w:rPr>
        <w:t>ребенку</w:t>
      </w:r>
      <w:r>
        <w:rPr>
          <w:spacing w:val="-8"/>
          <w:sz w:val="20"/>
        </w:rPr>
        <w:t> </w:t>
      </w:r>
      <w:r>
        <w:rPr>
          <w:sz w:val="20"/>
        </w:rPr>
        <w:t>обсудить</w:t>
      </w:r>
      <w:r>
        <w:rPr>
          <w:spacing w:val="-8"/>
          <w:sz w:val="20"/>
        </w:rPr>
        <w:t> </w:t>
      </w:r>
      <w:r>
        <w:rPr>
          <w:sz w:val="20"/>
        </w:rPr>
        <w:t>полученный</w:t>
      </w:r>
      <w:r>
        <w:rPr>
          <w:spacing w:val="-8"/>
          <w:sz w:val="20"/>
        </w:rPr>
        <w:t> </w:t>
      </w:r>
      <w:r>
        <w:rPr>
          <w:sz w:val="20"/>
        </w:rPr>
        <w:t>опыт и соотнести его с реальной жизнью.</w:t>
      </w:r>
    </w:p>
    <w:p>
      <w:pPr>
        <w:pStyle w:val="BodyText"/>
        <w:spacing w:line="235" w:lineRule="auto"/>
      </w:pPr>
      <w:r>
        <w:rPr/>
        <w:t>Психологу важно помнить, что в игре проявляется идентификация ребенка или какой-то его субличности с тем или иным персонажем. Препятствия символически могут отражать опасения, базовые тревоги, связанные с процессом взросления и се- парации. Способы же, которыми пользуется герой, могут отражать то, что ребенок считает ценными качествами и навыками лично для себя, то, что у него уже хорошо получается, на что, как он считает, необходимо опираться его личности и что одно- временно находится в зоне ближайшего развития его Я.</w:t>
      </w:r>
    </w:p>
    <w:p>
      <w:pPr>
        <w:pStyle w:val="BodyText"/>
        <w:spacing w:line="221" w:lineRule="exact"/>
        <w:ind w:left="425" w:right="0" w:firstLine="0"/>
        <w:jc w:val="left"/>
      </w:pPr>
      <w:r>
        <w:rPr/>
        <w:t>Психолог</w:t>
      </w:r>
      <w:r>
        <w:rPr>
          <w:spacing w:val="-12"/>
        </w:rPr>
        <w:t> </w:t>
      </w:r>
      <w:r>
        <w:rPr/>
        <w:t>может</w:t>
      </w:r>
      <w:r>
        <w:rPr>
          <w:spacing w:val="-11"/>
        </w:rPr>
        <w:t> </w:t>
      </w:r>
      <w:r>
        <w:rPr/>
        <w:t>задать</w:t>
      </w:r>
      <w:r>
        <w:rPr>
          <w:spacing w:val="-12"/>
        </w:rPr>
        <w:t> </w:t>
      </w:r>
      <w:r>
        <w:rPr/>
        <w:t>ребенку</w:t>
      </w:r>
      <w:r>
        <w:rPr>
          <w:spacing w:val="-11"/>
        </w:rPr>
        <w:t> </w:t>
      </w:r>
      <w:r>
        <w:rPr/>
        <w:t>несколько</w:t>
      </w:r>
      <w:r>
        <w:rPr>
          <w:spacing w:val="-10"/>
        </w:rPr>
        <w:t> </w:t>
      </w:r>
      <w:r>
        <w:rPr>
          <w:spacing w:val="-2"/>
        </w:rPr>
        <w:t>вопросов:</w:t>
      </w:r>
    </w:p>
    <w:p>
      <w:pPr>
        <w:spacing w:line="226" w:lineRule="exact" w:before="0"/>
        <w:ind w:left="425" w:right="0" w:firstLine="0"/>
        <w:jc w:val="left"/>
        <w:rPr>
          <w:i/>
          <w:sz w:val="20"/>
        </w:rPr>
      </w:pPr>
      <w:r>
        <w:rPr>
          <w:i/>
          <w:sz w:val="20"/>
        </w:rPr>
        <w:t>−</w:t>
      </w:r>
      <w:r>
        <w:rPr>
          <w:i/>
          <w:spacing w:val="60"/>
          <w:w w:val="150"/>
          <w:sz w:val="20"/>
        </w:rPr>
        <w:t> </w:t>
      </w:r>
      <w:r>
        <w:rPr>
          <w:i/>
          <w:sz w:val="20"/>
        </w:rPr>
        <w:t>Почему,</w:t>
      </w:r>
      <w:r>
        <w:rPr>
          <w:i/>
          <w:spacing w:val="-4"/>
          <w:sz w:val="20"/>
        </w:rPr>
        <w:t> </w:t>
      </w:r>
      <w:r>
        <w:rPr>
          <w:i/>
          <w:sz w:val="20"/>
        </w:rPr>
        <w:t>как</w:t>
      </w:r>
      <w:r>
        <w:rPr>
          <w:i/>
          <w:spacing w:val="-4"/>
          <w:sz w:val="20"/>
        </w:rPr>
        <w:t> </w:t>
      </w:r>
      <w:r>
        <w:rPr>
          <w:i/>
          <w:sz w:val="20"/>
        </w:rPr>
        <w:t>ты</w:t>
      </w:r>
      <w:r>
        <w:rPr>
          <w:i/>
          <w:spacing w:val="-5"/>
          <w:sz w:val="20"/>
        </w:rPr>
        <w:t> </w:t>
      </w:r>
      <w:r>
        <w:rPr>
          <w:i/>
          <w:sz w:val="20"/>
        </w:rPr>
        <w:t>думаешь,</w:t>
      </w:r>
      <w:r>
        <w:rPr>
          <w:i/>
          <w:spacing w:val="-4"/>
          <w:sz w:val="20"/>
        </w:rPr>
        <w:t> </w:t>
      </w:r>
      <w:r>
        <w:rPr>
          <w:i/>
          <w:sz w:val="20"/>
        </w:rPr>
        <w:t>был</w:t>
      </w:r>
      <w:r>
        <w:rPr>
          <w:i/>
          <w:spacing w:val="-4"/>
          <w:sz w:val="20"/>
        </w:rPr>
        <w:t> </w:t>
      </w:r>
      <w:r>
        <w:rPr>
          <w:i/>
          <w:sz w:val="20"/>
        </w:rPr>
        <w:t>выбран</w:t>
      </w:r>
      <w:r>
        <w:rPr>
          <w:i/>
          <w:spacing w:val="-5"/>
          <w:sz w:val="20"/>
        </w:rPr>
        <w:t> </w:t>
      </w:r>
      <w:r>
        <w:rPr>
          <w:i/>
          <w:sz w:val="20"/>
        </w:rPr>
        <w:t>именно</w:t>
      </w:r>
      <w:r>
        <w:rPr>
          <w:i/>
          <w:spacing w:val="-4"/>
          <w:sz w:val="20"/>
        </w:rPr>
        <w:t> </w:t>
      </w:r>
      <w:r>
        <w:rPr>
          <w:i/>
          <w:sz w:val="20"/>
        </w:rPr>
        <w:t>этот</w:t>
      </w:r>
      <w:r>
        <w:rPr>
          <w:i/>
          <w:spacing w:val="-5"/>
          <w:sz w:val="20"/>
        </w:rPr>
        <w:t> </w:t>
      </w:r>
      <w:r>
        <w:rPr>
          <w:i/>
          <w:spacing w:val="-2"/>
          <w:sz w:val="20"/>
        </w:rPr>
        <w:t>герой?</w:t>
      </w:r>
    </w:p>
    <w:p>
      <w:pPr>
        <w:spacing w:line="226" w:lineRule="exact" w:before="0"/>
        <w:ind w:left="425" w:right="0" w:firstLine="0"/>
        <w:jc w:val="left"/>
        <w:rPr>
          <w:i/>
          <w:sz w:val="20"/>
        </w:rPr>
      </w:pPr>
      <w:r>
        <w:rPr>
          <w:i/>
          <w:sz w:val="20"/>
        </w:rPr>
        <w:t>−</w:t>
      </w:r>
      <w:r>
        <w:rPr>
          <w:i/>
          <w:spacing w:val="63"/>
          <w:w w:val="150"/>
          <w:sz w:val="20"/>
        </w:rPr>
        <w:t> </w:t>
      </w:r>
      <w:r>
        <w:rPr>
          <w:i/>
          <w:sz w:val="20"/>
        </w:rPr>
        <w:t>Напоминают</w:t>
      </w:r>
      <w:r>
        <w:rPr>
          <w:i/>
          <w:spacing w:val="-4"/>
          <w:sz w:val="20"/>
        </w:rPr>
        <w:t> </w:t>
      </w:r>
      <w:r>
        <w:rPr>
          <w:i/>
          <w:sz w:val="20"/>
        </w:rPr>
        <w:t>ли</w:t>
      </w:r>
      <w:r>
        <w:rPr>
          <w:i/>
          <w:spacing w:val="-2"/>
          <w:sz w:val="20"/>
        </w:rPr>
        <w:t> </w:t>
      </w:r>
      <w:r>
        <w:rPr>
          <w:i/>
          <w:sz w:val="20"/>
        </w:rPr>
        <w:t>эти</w:t>
      </w:r>
      <w:r>
        <w:rPr>
          <w:i/>
          <w:spacing w:val="-3"/>
          <w:sz w:val="20"/>
        </w:rPr>
        <w:t> </w:t>
      </w:r>
      <w:r>
        <w:rPr>
          <w:i/>
          <w:sz w:val="20"/>
        </w:rPr>
        <w:t>испытания</w:t>
      </w:r>
      <w:r>
        <w:rPr>
          <w:i/>
          <w:spacing w:val="-2"/>
          <w:sz w:val="20"/>
        </w:rPr>
        <w:t> </w:t>
      </w:r>
      <w:r>
        <w:rPr>
          <w:i/>
          <w:sz w:val="20"/>
        </w:rPr>
        <w:t>о</w:t>
      </w:r>
      <w:r>
        <w:rPr>
          <w:i/>
          <w:spacing w:val="-3"/>
          <w:sz w:val="20"/>
        </w:rPr>
        <w:t> </w:t>
      </w:r>
      <w:r>
        <w:rPr>
          <w:i/>
          <w:sz w:val="20"/>
        </w:rPr>
        <w:t>чем-то</w:t>
      </w:r>
      <w:r>
        <w:rPr>
          <w:i/>
          <w:spacing w:val="-2"/>
          <w:sz w:val="20"/>
        </w:rPr>
        <w:t> </w:t>
      </w:r>
      <w:r>
        <w:rPr>
          <w:i/>
          <w:sz w:val="20"/>
        </w:rPr>
        <w:t>из</w:t>
      </w:r>
      <w:r>
        <w:rPr>
          <w:i/>
          <w:spacing w:val="-4"/>
          <w:sz w:val="20"/>
        </w:rPr>
        <w:t> </w:t>
      </w:r>
      <w:r>
        <w:rPr>
          <w:i/>
          <w:sz w:val="20"/>
        </w:rPr>
        <w:t>твоей</w:t>
      </w:r>
      <w:r>
        <w:rPr>
          <w:i/>
          <w:spacing w:val="-2"/>
          <w:sz w:val="20"/>
        </w:rPr>
        <w:t> жизни?</w:t>
      </w:r>
    </w:p>
    <w:p>
      <w:pPr>
        <w:spacing w:line="226" w:lineRule="exact" w:before="0"/>
        <w:ind w:left="425" w:right="0" w:firstLine="0"/>
        <w:jc w:val="left"/>
        <w:rPr>
          <w:i/>
          <w:sz w:val="20"/>
        </w:rPr>
      </w:pPr>
      <w:r>
        <w:rPr>
          <w:i/>
          <w:sz w:val="20"/>
        </w:rPr>
        <w:t>−</w:t>
      </w:r>
      <w:r>
        <w:rPr>
          <w:i/>
          <w:spacing w:val="60"/>
          <w:w w:val="150"/>
          <w:sz w:val="20"/>
        </w:rPr>
        <w:t> </w:t>
      </w:r>
      <w:r>
        <w:rPr>
          <w:i/>
          <w:sz w:val="20"/>
        </w:rPr>
        <w:t>Как</w:t>
      </w:r>
      <w:r>
        <w:rPr>
          <w:i/>
          <w:spacing w:val="-4"/>
          <w:sz w:val="20"/>
        </w:rPr>
        <w:t> </w:t>
      </w:r>
      <w:r>
        <w:rPr>
          <w:i/>
          <w:sz w:val="20"/>
        </w:rPr>
        <w:t>ты</w:t>
      </w:r>
      <w:r>
        <w:rPr>
          <w:i/>
          <w:spacing w:val="-5"/>
          <w:sz w:val="20"/>
        </w:rPr>
        <w:t> </w:t>
      </w:r>
      <w:r>
        <w:rPr>
          <w:i/>
          <w:sz w:val="20"/>
        </w:rPr>
        <w:t>себя</w:t>
      </w:r>
      <w:r>
        <w:rPr>
          <w:i/>
          <w:spacing w:val="-3"/>
          <w:sz w:val="20"/>
        </w:rPr>
        <w:t> </w:t>
      </w:r>
      <w:r>
        <w:rPr>
          <w:i/>
          <w:sz w:val="20"/>
        </w:rPr>
        <w:t>чувствовал</w:t>
      </w:r>
      <w:r>
        <w:rPr>
          <w:i/>
          <w:spacing w:val="-4"/>
          <w:sz w:val="20"/>
        </w:rPr>
        <w:t> </w:t>
      </w:r>
      <w:r>
        <w:rPr>
          <w:i/>
          <w:sz w:val="20"/>
        </w:rPr>
        <w:t>во</w:t>
      </w:r>
      <w:r>
        <w:rPr>
          <w:i/>
          <w:spacing w:val="-4"/>
          <w:sz w:val="20"/>
        </w:rPr>
        <w:t> </w:t>
      </w:r>
      <w:r>
        <w:rPr>
          <w:i/>
          <w:sz w:val="20"/>
        </w:rPr>
        <w:t>время</w:t>
      </w:r>
      <w:r>
        <w:rPr>
          <w:i/>
          <w:spacing w:val="-3"/>
          <w:sz w:val="20"/>
        </w:rPr>
        <w:t> </w:t>
      </w:r>
      <w:r>
        <w:rPr>
          <w:i/>
          <w:spacing w:val="-2"/>
          <w:sz w:val="20"/>
        </w:rPr>
        <w:t>игры?</w:t>
      </w:r>
    </w:p>
    <w:p>
      <w:pPr>
        <w:spacing w:line="228" w:lineRule="exact" w:before="0"/>
        <w:ind w:left="425" w:right="0" w:firstLine="0"/>
        <w:jc w:val="left"/>
        <w:rPr>
          <w:i/>
          <w:sz w:val="20"/>
        </w:rPr>
      </w:pPr>
      <w:r>
        <w:rPr>
          <w:i/>
          <w:sz w:val="20"/>
        </w:rPr>
        <w:t>−</w:t>
      </w:r>
      <w:r>
        <w:rPr>
          <w:i/>
          <w:spacing w:val="64"/>
          <w:w w:val="150"/>
          <w:sz w:val="20"/>
        </w:rPr>
        <w:t> </w:t>
      </w:r>
      <w:r>
        <w:rPr>
          <w:i/>
          <w:sz w:val="20"/>
        </w:rPr>
        <w:t>Какое</w:t>
      </w:r>
      <w:r>
        <w:rPr>
          <w:i/>
          <w:spacing w:val="-3"/>
          <w:sz w:val="20"/>
        </w:rPr>
        <w:t> </w:t>
      </w:r>
      <w:r>
        <w:rPr>
          <w:i/>
          <w:sz w:val="20"/>
        </w:rPr>
        <w:t>испытание</w:t>
      </w:r>
      <w:r>
        <w:rPr>
          <w:i/>
          <w:spacing w:val="-2"/>
          <w:sz w:val="20"/>
        </w:rPr>
        <w:t> </w:t>
      </w:r>
      <w:r>
        <w:rPr>
          <w:i/>
          <w:sz w:val="20"/>
        </w:rPr>
        <w:t>было</w:t>
      </w:r>
      <w:r>
        <w:rPr>
          <w:i/>
          <w:spacing w:val="-2"/>
          <w:sz w:val="20"/>
        </w:rPr>
        <w:t> </w:t>
      </w:r>
      <w:r>
        <w:rPr>
          <w:i/>
          <w:sz w:val="20"/>
        </w:rPr>
        <w:t>самым</w:t>
      </w:r>
      <w:r>
        <w:rPr>
          <w:i/>
          <w:spacing w:val="-4"/>
          <w:sz w:val="20"/>
        </w:rPr>
        <w:t> </w:t>
      </w:r>
      <w:r>
        <w:rPr>
          <w:i/>
          <w:sz w:val="20"/>
        </w:rPr>
        <w:t>интересным,</w:t>
      </w:r>
      <w:r>
        <w:rPr>
          <w:i/>
          <w:spacing w:val="-2"/>
          <w:sz w:val="20"/>
        </w:rPr>
        <w:t> </w:t>
      </w:r>
      <w:r>
        <w:rPr>
          <w:i/>
          <w:sz w:val="20"/>
        </w:rPr>
        <w:t>сложным,</w:t>
      </w:r>
      <w:r>
        <w:rPr>
          <w:i/>
          <w:spacing w:val="-2"/>
          <w:sz w:val="20"/>
        </w:rPr>
        <w:t> </w:t>
      </w:r>
      <w:r>
        <w:rPr>
          <w:i/>
          <w:sz w:val="20"/>
        </w:rPr>
        <w:t>скучным,</w:t>
      </w:r>
      <w:r>
        <w:rPr>
          <w:i/>
          <w:spacing w:val="-2"/>
          <w:sz w:val="20"/>
        </w:rPr>
        <w:t> опасным?</w:t>
      </w:r>
    </w:p>
    <w:p>
      <w:pPr>
        <w:spacing w:after="0" w:line="228" w:lineRule="exact"/>
        <w:jc w:val="left"/>
        <w:rPr>
          <w:i/>
          <w:sz w:val="20"/>
        </w:rPr>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spacing w:line="235" w:lineRule="auto" w:before="116"/>
        <w:ind w:left="708" w:right="141" w:hanging="284"/>
        <w:jc w:val="both"/>
        <w:rPr>
          <w:i/>
          <w:sz w:val="20"/>
        </w:rPr>
      </w:pPr>
      <w:r>
        <w:rPr>
          <w:i/>
          <w:sz w:val="20"/>
        </w:rPr>
        <w:t>−</w:t>
      </w:r>
      <w:r>
        <w:rPr>
          <w:i/>
          <w:spacing w:val="80"/>
          <w:sz w:val="20"/>
        </w:rPr>
        <w:t> </w:t>
      </w:r>
      <w:r>
        <w:rPr>
          <w:i/>
          <w:sz w:val="20"/>
        </w:rPr>
        <w:t>Какие</w:t>
      </w:r>
      <w:r>
        <w:rPr>
          <w:i/>
          <w:spacing w:val="-13"/>
          <w:sz w:val="20"/>
        </w:rPr>
        <w:t> </w:t>
      </w:r>
      <w:r>
        <w:rPr>
          <w:i/>
          <w:sz w:val="20"/>
        </w:rPr>
        <w:t>испытания,</w:t>
      </w:r>
      <w:r>
        <w:rPr>
          <w:i/>
          <w:spacing w:val="-12"/>
          <w:sz w:val="20"/>
        </w:rPr>
        <w:t> </w:t>
      </w:r>
      <w:r>
        <w:rPr>
          <w:i/>
          <w:sz w:val="20"/>
        </w:rPr>
        <w:t>на</w:t>
      </w:r>
      <w:r>
        <w:rPr>
          <w:i/>
          <w:spacing w:val="-13"/>
          <w:sz w:val="20"/>
        </w:rPr>
        <w:t> </w:t>
      </w:r>
      <w:r>
        <w:rPr>
          <w:i/>
          <w:sz w:val="20"/>
        </w:rPr>
        <w:t>твой</w:t>
      </w:r>
      <w:r>
        <w:rPr>
          <w:i/>
          <w:spacing w:val="-12"/>
          <w:sz w:val="20"/>
        </w:rPr>
        <w:t> </w:t>
      </w:r>
      <w:r>
        <w:rPr>
          <w:i/>
          <w:sz w:val="20"/>
        </w:rPr>
        <w:t>взгляд,</w:t>
      </w:r>
      <w:r>
        <w:rPr>
          <w:i/>
          <w:spacing w:val="-13"/>
          <w:sz w:val="20"/>
        </w:rPr>
        <w:t> </w:t>
      </w:r>
      <w:r>
        <w:rPr>
          <w:i/>
          <w:sz w:val="20"/>
        </w:rPr>
        <w:t>есть</w:t>
      </w:r>
      <w:r>
        <w:rPr>
          <w:i/>
          <w:spacing w:val="-12"/>
          <w:sz w:val="20"/>
        </w:rPr>
        <w:t> </w:t>
      </w:r>
      <w:r>
        <w:rPr>
          <w:i/>
          <w:sz w:val="20"/>
        </w:rPr>
        <w:t>в</w:t>
      </w:r>
      <w:r>
        <w:rPr>
          <w:i/>
          <w:spacing w:val="-13"/>
          <w:sz w:val="20"/>
        </w:rPr>
        <w:t> </w:t>
      </w:r>
      <w:r>
        <w:rPr>
          <w:i/>
          <w:sz w:val="20"/>
        </w:rPr>
        <w:t>твоей</w:t>
      </w:r>
      <w:r>
        <w:rPr>
          <w:i/>
          <w:spacing w:val="-12"/>
          <w:sz w:val="20"/>
        </w:rPr>
        <w:t> </w:t>
      </w:r>
      <w:r>
        <w:rPr>
          <w:i/>
          <w:sz w:val="20"/>
        </w:rPr>
        <w:t>нынешней</w:t>
      </w:r>
      <w:r>
        <w:rPr>
          <w:i/>
          <w:spacing w:val="-13"/>
          <w:sz w:val="20"/>
        </w:rPr>
        <w:t> </w:t>
      </w:r>
      <w:r>
        <w:rPr>
          <w:i/>
          <w:sz w:val="20"/>
        </w:rPr>
        <w:t>жизни,</w:t>
      </w:r>
      <w:r>
        <w:rPr>
          <w:i/>
          <w:spacing w:val="-12"/>
          <w:sz w:val="20"/>
        </w:rPr>
        <w:t> </w:t>
      </w:r>
      <w:r>
        <w:rPr>
          <w:i/>
          <w:sz w:val="20"/>
        </w:rPr>
        <w:t>а</w:t>
      </w:r>
      <w:r>
        <w:rPr>
          <w:i/>
          <w:spacing w:val="-13"/>
          <w:sz w:val="20"/>
        </w:rPr>
        <w:t> </w:t>
      </w:r>
      <w:r>
        <w:rPr>
          <w:i/>
          <w:sz w:val="20"/>
        </w:rPr>
        <w:t>какие</w:t>
      </w:r>
      <w:r>
        <w:rPr>
          <w:i/>
          <w:spacing w:val="-12"/>
          <w:sz w:val="20"/>
        </w:rPr>
        <w:t> </w:t>
      </w:r>
      <w:r>
        <w:rPr>
          <w:i/>
          <w:sz w:val="20"/>
        </w:rPr>
        <w:t>были в прошлом?</w:t>
      </w:r>
    </w:p>
    <w:p>
      <w:pPr>
        <w:spacing w:line="235" w:lineRule="auto" w:before="1"/>
        <w:ind w:left="708" w:right="139" w:hanging="284"/>
        <w:jc w:val="both"/>
        <w:rPr>
          <w:i/>
          <w:sz w:val="20"/>
        </w:rPr>
      </w:pPr>
      <w:r>
        <w:rPr>
          <w:i/>
          <w:sz w:val="20"/>
        </w:rPr>
        <w:t>−</w:t>
      </w:r>
      <w:r>
        <w:rPr>
          <w:i/>
          <w:spacing w:val="21"/>
          <w:sz w:val="20"/>
        </w:rPr>
        <w:t> </w:t>
      </w:r>
      <w:r>
        <w:rPr>
          <w:i/>
          <w:sz w:val="20"/>
        </w:rPr>
        <w:t>Вспомни</w:t>
      </w:r>
      <w:r>
        <w:rPr>
          <w:i/>
          <w:spacing w:val="-13"/>
          <w:sz w:val="20"/>
        </w:rPr>
        <w:t> </w:t>
      </w:r>
      <w:r>
        <w:rPr>
          <w:i/>
          <w:sz w:val="20"/>
        </w:rPr>
        <w:t>какое-нибудь</w:t>
      </w:r>
      <w:r>
        <w:rPr>
          <w:i/>
          <w:spacing w:val="-12"/>
          <w:sz w:val="20"/>
        </w:rPr>
        <w:t> </w:t>
      </w:r>
      <w:r>
        <w:rPr>
          <w:i/>
          <w:sz w:val="20"/>
        </w:rPr>
        <w:t>испытание</w:t>
      </w:r>
      <w:r>
        <w:rPr>
          <w:i/>
          <w:spacing w:val="-13"/>
          <w:sz w:val="20"/>
        </w:rPr>
        <w:t> </w:t>
      </w:r>
      <w:r>
        <w:rPr>
          <w:i/>
          <w:sz w:val="20"/>
        </w:rPr>
        <w:t>или</w:t>
      </w:r>
      <w:r>
        <w:rPr>
          <w:i/>
          <w:spacing w:val="-12"/>
          <w:sz w:val="20"/>
        </w:rPr>
        <w:t> </w:t>
      </w:r>
      <w:r>
        <w:rPr>
          <w:i/>
          <w:sz w:val="20"/>
        </w:rPr>
        <w:t>сложную</w:t>
      </w:r>
      <w:r>
        <w:rPr>
          <w:i/>
          <w:spacing w:val="-13"/>
          <w:sz w:val="20"/>
        </w:rPr>
        <w:t> </w:t>
      </w:r>
      <w:r>
        <w:rPr>
          <w:i/>
          <w:sz w:val="20"/>
        </w:rPr>
        <w:t>ситуацию,</w:t>
      </w:r>
      <w:r>
        <w:rPr>
          <w:i/>
          <w:spacing w:val="-12"/>
          <w:sz w:val="20"/>
        </w:rPr>
        <w:t> </w:t>
      </w:r>
      <w:r>
        <w:rPr>
          <w:i/>
          <w:sz w:val="20"/>
        </w:rPr>
        <w:t>которую</w:t>
      </w:r>
      <w:r>
        <w:rPr>
          <w:i/>
          <w:spacing w:val="-13"/>
          <w:sz w:val="20"/>
        </w:rPr>
        <w:t> </w:t>
      </w:r>
      <w:r>
        <w:rPr>
          <w:i/>
          <w:sz w:val="20"/>
        </w:rPr>
        <w:t>ты</w:t>
      </w:r>
      <w:r>
        <w:rPr>
          <w:i/>
          <w:spacing w:val="-12"/>
          <w:sz w:val="20"/>
        </w:rPr>
        <w:t> </w:t>
      </w:r>
      <w:r>
        <w:rPr>
          <w:i/>
          <w:sz w:val="20"/>
        </w:rPr>
        <w:t>успеш- но</w:t>
      </w:r>
      <w:r>
        <w:rPr>
          <w:i/>
          <w:spacing w:val="-1"/>
          <w:sz w:val="20"/>
        </w:rPr>
        <w:t> </w:t>
      </w:r>
      <w:r>
        <w:rPr>
          <w:i/>
          <w:sz w:val="20"/>
        </w:rPr>
        <w:t>преодолел.</w:t>
      </w:r>
      <w:r>
        <w:rPr>
          <w:i/>
          <w:spacing w:val="-1"/>
          <w:sz w:val="20"/>
        </w:rPr>
        <w:t> </w:t>
      </w:r>
      <w:r>
        <w:rPr>
          <w:i/>
          <w:sz w:val="20"/>
        </w:rPr>
        <w:t>Какое</w:t>
      </w:r>
      <w:r>
        <w:rPr>
          <w:i/>
          <w:spacing w:val="-1"/>
          <w:sz w:val="20"/>
        </w:rPr>
        <w:t> </w:t>
      </w:r>
      <w:r>
        <w:rPr>
          <w:i/>
          <w:sz w:val="20"/>
        </w:rPr>
        <w:t>качество</w:t>
      </w:r>
      <w:r>
        <w:rPr>
          <w:i/>
          <w:spacing w:val="-1"/>
          <w:sz w:val="20"/>
        </w:rPr>
        <w:t> </w:t>
      </w:r>
      <w:r>
        <w:rPr>
          <w:i/>
          <w:sz w:val="20"/>
        </w:rPr>
        <w:t>тебе</w:t>
      </w:r>
      <w:r>
        <w:rPr>
          <w:i/>
          <w:spacing w:val="-1"/>
          <w:sz w:val="20"/>
        </w:rPr>
        <w:t> </w:t>
      </w:r>
      <w:r>
        <w:rPr>
          <w:i/>
          <w:sz w:val="20"/>
        </w:rPr>
        <w:t>помогло?</w:t>
      </w:r>
      <w:r>
        <w:rPr>
          <w:i/>
          <w:spacing w:val="-1"/>
          <w:sz w:val="20"/>
        </w:rPr>
        <w:t> </w:t>
      </w:r>
      <w:r>
        <w:rPr>
          <w:i/>
          <w:sz w:val="20"/>
        </w:rPr>
        <w:t>А</w:t>
      </w:r>
      <w:r>
        <w:rPr>
          <w:i/>
          <w:spacing w:val="-1"/>
          <w:sz w:val="20"/>
        </w:rPr>
        <w:t> </w:t>
      </w:r>
      <w:r>
        <w:rPr>
          <w:i/>
          <w:sz w:val="20"/>
        </w:rPr>
        <w:t>какую</w:t>
      </w:r>
      <w:r>
        <w:rPr>
          <w:i/>
          <w:spacing w:val="-1"/>
          <w:sz w:val="20"/>
        </w:rPr>
        <w:t> </w:t>
      </w:r>
      <w:r>
        <w:rPr>
          <w:i/>
          <w:sz w:val="20"/>
        </w:rPr>
        <w:t>помощь</w:t>
      </w:r>
      <w:r>
        <w:rPr>
          <w:i/>
          <w:spacing w:val="-1"/>
          <w:sz w:val="20"/>
        </w:rPr>
        <w:t> </w:t>
      </w:r>
      <w:r>
        <w:rPr>
          <w:i/>
          <w:sz w:val="20"/>
        </w:rPr>
        <w:t>ты</w:t>
      </w:r>
      <w:r>
        <w:rPr>
          <w:i/>
          <w:spacing w:val="-1"/>
          <w:sz w:val="20"/>
        </w:rPr>
        <w:t> </w:t>
      </w:r>
      <w:r>
        <w:rPr>
          <w:i/>
          <w:sz w:val="20"/>
        </w:rPr>
        <w:t>получил</w:t>
      </w:r>
      <w:r>
        <w:rPr>
          <w:i/>
          <w:spacing w:val="-1"/>
          <w:sz w:val="20"/>
        </w:rPr>
        <w:t> </w:t>
      </w:r>
      <w:r>
        <w:rPr>
          <w:i/>
          <w:sz w:val="20"/>
        </w:rPr>
        <w:t>от других людей?</w:t>
      </w:r>
    </w:p>
    <w:p>
      <w:pPr>
        <w:pStyle w:val="BodyText"/>
        <w:spacing w:line="235" w:lineRule="auto" w:before="2"/>
      </w:pPr>
      <w:r>
        <w:rPr/>
        <w:t>Вопросы</w:t>
      </w:r>
      <w:r>
        <w:rPr>
          <w:spacing w:val="-12"/>
        </w:rPr>
        <w:t> </w:t>
      </w:r>
      <w:r>
        <w:rPr/>
        <w:t>–</w:t>
      </w:r>
      <w:r>
        <w:rPr>
          <w:spacing w:val="-12"/>
        </w:rPr>
        <w:t> </w:t>
      </w:r>
      <w:r>
        <w:rPr/>
        <w:t>ориентир</w:t>
      </w:r>
      <w:r>
        <w:rPr>
          <w:spacing w:val="-12"/>
        </w:rPr>
        <w:t> </w:t>
      </w:r>
      <w:r>
        <w:rPr/>
        <w:t>для</w:t>
      </w:r>
      <w:r>
        <w:rPr>
          <w:spacing w:val="-12"/>
        </w:rPr>
        <w:t> </w:t>
      </w:r>
      <w:r>
        <w:rPr/>
        <w:t>разговора</w:t>
      </w:r>
      <w:r>
        <w:rPr>
          <w:spacing w:val="-12"/>
        </w:rPr>
        <w:t> </w:t>
      </w:r>
      <w:r>
        <w:rPr/>
        <w:t>с</w:t>
      </w:r>
      <w:r>
        <w:rPr>
          <w:spacing w:val="-12"/>
        </w:rPr>
        <w:t> </w:t>
      </w:r>
      <w:r>
        <w:rPr/>
        <w:t>ребенком</w:t>
      </w:r>
      <w:r>
        <w:rPr>
          <w:spacing w:val="-12"/>
        </w:rPr>
        <w:t> </w:t>
      </w:r>
      <w:r>
        <w:rPr/>
        <w:t>о</w:t>
      </w:r>
      <w:r>
        <w:rPr>
          <w:spacing w:val="-12"/>
        </w:rPr>
        <w:t> </w:t>
      </w:r>
      <w:r>
        <w:rPr/>
        <w:t>его</w:t>
      </w:r>
      <w:r>
        <w:rPr>
          <w:spacing w:val="-12"/>
        </w:rPr>
        <w:t> </w:t>
      </w:r>
      <w:r>
        <w:rPr/>
        <w:t>жизненных</w:t>
      </w:r>
      <w:r>
        <w:rPr>
          <w:spacing w:val="-12"/>
        </w:rPr>
        <w:t> </w:t>
      </w:r>
      <w:r>
        <w:rPr/>
        <w:t>вызовах,</w:t>
      </w:r>
      <w:r>
        <w:rPr>
          <w:spacing w:val="-12"/>
        </w:rPr>
        <w:t> </w:t>
      </w:r>
      <w:r>
        <w:rPr/>
        <w:t>ресурсах личности и окружения.</w:t>
      </w:r>
    </w:p>
    <w:p>
      <w:pPr>
        <w:spacing w:line="228" w:lineRule="exact" w:before="111"/>
        <w:ind w:left="425" w:right="0" w:firstLine="0"/>
        <w:jc w:val="both"/>
        <w:rPr>
          <w:b/>
          <w:i/>
          <w:sz w:val="20"/>
        </w:rPr>
      </w:pPr>
      <w:r>
        <w:rPr>
          <w:b/>
          <w:i/>
          <w:spacing w:val="-2"/>
          <w:sz w:val="20"/>
        </w:rPr>
        <w:t>Техника</w:t>
      </w:r>
      <w:r>
        <w:rPr>
          <w:b/>
          <w:i/>
          <w:spacing w:val="5"/>
          <w:sz w:val="20"/>
        </w:rPr>
        <w:t> </w:t>
      </w:r>
      <w:r>
        <w:rPr>
          <w:b/>
          <w:i/>
          <w:spacing w:val="-2"/>
          <w:sz w:val="20"/>
        </w:rPr>
        <w:t>«Внутренний</w:t>
      </w:r>
      <w:r>
        <w:rPr>
          <w:b/>
          <w:i/>
          <w:spacing w:val="4"/>
          <w:sz w:val="20"/>
        </w:rPr>
        <w:t> </w:t>
      </w:r>
      <w:r>
        <w:rPr>
          <w:b/>
          <w:i/>
          <w:spacing w:val="-2"/>
          <w:sz w:val="20"/>
        </w:rPr>
        <w:t>критик»</w:t>
      </w:r>
    </w:p>
    <w:p>
      <w:pPr>
        <w:pStyle w:val="BodyText"/>
        <w:spacing w:line="235" w:lineRule="auto" w:before="2"/>
        <w:ind w:right="138"/>
      </w:pPr>
      <w:r>
        <w:rPr>
          <w:i/>
        </w:rPr>
        <w:t>Цели: </w:t>
      </w:r>
      <w:r>
        <w:rPr/>
        <w:t>когнитивная переработка и обучение навыкам когнитивного совладания; развитие навыков выражения и регулирования эмоций; обучение конструктивным способам обретения самоуважения, профилактика негативного самоотношения.</w:t>
      </w:r>
    </w:p>
    <w:p>
      <w:pPr>
        <w:spacing w:line="226" w:lineRule="exact" w:before="0"/>
        <w:ind w:left="425" w:right="0" w:firstLine="0"/>
        <w:jc w:val="both"/>
        <w:rPr>
          <w:sz w:val="20"/>
        </w:rPr>
      </w:pPr>
      <w:r>
        <w:rPr>
          <w:i/>
          <w:sz w:val="20"/>
        </w:rPr>
        <w:t>Рекомендованный</w:t>
      </w:r>
      <w:r>
        <w:rPr>
          <w:i/>
          <w:spacing w:val="-10"/>
          <w:sz w:val="20"/>
        </w:rPr>
        <w:t> </w:t>
      </w:r>
      <w:r>
        <w:rPr>
          <w:i/>
          <w:sz w:val="20"/>
        </w:rPr>
        <w:t>возраст:</w:t>
      </w:r>
      <w:r>
        <w:rPr>
          <w:i/>
          <w:spacing w:val="-10"/>
          <w:sz w:val="20"/>
        </w:rPr>
        <w:t> </w:t>
      </w:r>
      <w:r>
        <w:rPr>
          <w:sz w:val="20"/>
        </w:rPr>
        <w:t>от</w:t>
      </w:r>
      <w:r>
        <w:rPr>
          <w:spacing w:val="-10"/>
          <w:sz w:val="20"/>
        </w:rPr>
        <w:t> </w:t>
      </w:r>
      <w:r>
        <w:rPr>
          <w:sz w:val="20"/>
        </w:rPr>
        <w:t>12</w:t>
      </w:r>
      <w:r>
        <w:rPr>
          <w:spacing w:val="-10"/>
          <w:sz w:val="20"/>
        </w:rPr>
        <w:t> </w:t>
      </w:r>
      <w:r>
        <w:rPr>
          <w:spacing w:val="-4"/>
          <w:sz w:val="20"/>
        </w:rPr>
        <w:t>лет.</w:t>
      </w:r>
    </w:p>
    <w:p>
      <w:pPr>
        <w:pStyle w:val="BodyText"/>
        <w:spacing w:line="226" w:lineRule="exact"/>
        <w:ind w:left="425" w:right="0" w:firstLine="0"/>
      </w:pPr>
      <w:r>
        <w:rPr>
          <w:i/>
        </w:rPr>
        <w:t>Источник:</w:t>
      </w:r>
      <w:r>
        <w:rPr>
          <w:i/>
          <w:spacing w:val="-9"/>
        </w:rPr>
        <w:t> </w:t>
      </w:r>
      <w:r>
        <w:rPr/>
        <w:t>авторский</w:t>
      </w:r>
      <w:r>
        <w:rPr>
          <w:spacing w:val="-8"/>
        </w:rPr>
        <w:t> </w:t>
      </w:r>
      <w:r>
        <w:rPr/>
        <w:t>тренинг</w:t>
      </w:r>
      <w:r>
        <w:rPr>
          <w:spacing w:val="-8"/>
        </w:rPr>
        <w:t> </w:t>
      </w:r>
      <w:r>
        <w:rPr/>
        <w:t>Л.А.</w:t>
      </w:r>
      <w:r>
        <w:rPr>
          <w:spacing w:val="-8"/>
        </w:rPr>
        <w:t> </w:t>
      </w:r>
      <w:r>
        <w:rPr/>
        <w:t>Могуновой</w:t>
      </w:r>
      <w:r>
        <w:rPr>
          <w:spacing w:val="-8"/>
        </w:rPr>
        <w:t> </w:t>
      </w:r>
      <w:r>
        <w:rPr/>
        <w:t>(Хухлаев,</w:t>
      </w:r>
      <w:r>
        <w:rPr>
          <w:spacing w:val="-7"/>
        </w:rPr>
        <w:t> </w:t>
      </w:r>
      <w:r>
        <w:rPr/>
        <w:t>Павлова</w:t>
      </w:r>
      <w:r>
        <w:rPr>
          <w:spacing w:val="-8"/>
        </w:rPr>
        <w:t> </w:t>
      </w:r>
      <w:r>
        <w:rPr/>
        <w:t>и</w:t>
      </w:r>
      <w:r>
        <w:rPr>
          <w:spacing w:val="-8"/>
        </w:rPr>
        <w:t> </w:t>
      </w:r>
      <w:r>
        <w:rPr/>
        <w:t>др.,</w:t>
      </w:r>
      <w:r>
        <w:rPr>
          <w:spacing w:val="-7"/>
        </w:rPr>
        <w:t> </w:t>
      </w:r>
      <w:r>
        <w:rPr>
          <w:spacing w:val="-2"/>
        </w:rPr>
        <w:t>2022).</w:t>
      </w:r>
    </w:p>
    <w:p>
      <w:pPr>
        <w:pStyle w:val="BodyText"/>
        <w:spacing w:line="235" w:lineRule="auto" w:before="1"/>
      </w:pPr>
      <w:r>
        <w:rPr/>
        <w:t>Эту</w:t>
      </w:r>
      <w:r>
        <w:rPr>
          <w:spacing w:val="-11"/>
        </w:rPr>
        <w:t> </w:t>
      </w:r>
      <w:r>
        <w:rPr/>
        <w:t>технику</w:t>
      </w:r>
      <w:r>
        <w:rPr>
          <w:spacing w:val="-11"/>
        </w:rPr>
        <w:t> </w:t>
      </w:r>
      <w:r>
        <w:rPr/>
        <w:t>можно</w:t>
      </w:r>
      <w:r>
        <w:rPr>
          <w:spacing w:val="-11"/>
        </w:rPr>
        <w:t> </w:t>
      </w:r>
      <w:r>
        <w:rPr/>
        <w:t>провести,</w:t>
      </w:r>
      <w:r>
        <w:rPr>
          <w:spacing w:val="-11"/>
        </w:rPr>
        <w:t> </w:t>
      </w:r>
      <w:r>
        <w:rPr/>
        <w:t>если</w:t>
      </w:r>
      <w:r>
        <w:rPr>
          <w:spacing w:val="-11"/>
        </w:rPr>
        <w:t> </w:t>
      </w:r>
      <w:r>
        <w:rPr/>
        <w:t>ребенок</w:t>
      </w:r>
      <w:r>
        <w:rPr>
          <w:spacing w:val="-11"/>
        </w:rPr>
        <w:t> </w:t>
      </w:r>
      <w:r>
        <w:rPr/>
        <w:t>во</w:t>
      </w:r>
      <w:r>
        <w:rPr>
          <w:spacing w:val="-11"/>
        </w:rPr>
        <w:t> </w:t>
      </w:r>
      <w:r>
        <w:rPr/>
        <w:t>время</w:t>
      </w:r>
      <w:r>
        <w:rPr>
          <w:spacing w:val="-11"/>
        </w:rPr>
        <w:t> </w:t>
      </w:r>
      <w:r>
        <w:rPr/>
        <w:t>встречи</w:t>
      </w:r>
      <w:r>
        <w:rPr>
          <w:spacing w:val="-11"/>
        </w:rPr>
        <w:t> </w:t>
      </w:r>
      <w:r>
        <w:rPr/>
        <w:t>нападает</w:t>
      </w:r>
      <w:r>
        <w:rPr>
          <w:spacing w:val="-11"/>
        </w:rPr>
        <w:t> </w:t>
      </w:r>
      <w:r>
        <w:rPr/>
        <w:t>на</w:t>
      </w:r>
      <w:r>
        <w:rPr>
          <w:spacing w:val="-11"/>
        </w:rPr>
        <w:t> </w:t>
      </w:r>
      <w:r>
        <w:rPr/>
        <w:t>себя</w:t>
      </w:r>
      <w:r>
        <w:rPr>
          <w:spacing w:val="-11"/>
        </w:rPr>
        <w:t> </w:t>
      </w:r>
      <w:r>
        <w:rPr/>
        <w:t>или на</w:t>
      </w:r>
      <w:r>
        <w:rPr>
          <w:spacing w:val="-8"/>
        </w:rPr>
        <w:t> </w:t>
      </w:r>
      <w:r>
        <w:rPr/>
        <w:t>части</w:t>
      </w:r>
      <w:r>
        <w:rPr>
          <w:spacing w:val="-9"/>
        </w:rPr>
        <w:t> </w:t>
      </w:r>
      <w:r>
        <w:rPr/>
        <w:t>своей</w:t>
      </w:r>
      <w:r>
        <w:rPr>
          <w:spacing w:val="-8"/>
        </w:rPr>
        <w:t> </w:t>
      </w:r>
      <w:r>
        <w:rPr/>
        <w:t>личности,</w:t>
      </w:r>
      <w:r>
        <w:rPr>
          <w:spacing w:val="-8"/>
        </w:rPr>
        <w:t> </w:t>
      </w:r>
      <w:r>
        <w:rPr/>
        <w:t>обесценивает</w:t>
      </w:r>
      <w:r>
        <w:rPr>
          <w:spacing w:val="-9"/>
        </w:rPr>
        <w:t> </w:t>
      </w:r>
      <w:r>
        <w:rPr/>
        <w:t>свои</w:t>
      </w:r>
      <w:r>
        <w:rPr>
          <w:spacing w:val="-8"/>
        </w:rPr>
        <w:t> </w:t>
      </w:r>
      <w:r>
        <w:rPr/>
        <w:t>достижения</w:t>
      </w:r>
      <w:r>
        <w:rPr>
          <w:spacing w:val="-8"/>
        </w:rPr>
        <w:t> </w:t>
      </w:r>
      <w:r>
        <w:rPr/>
        <w:t>или</w:t>
      </w:r>
      <w:r>
        <w:rPr>
          <w:spacing w:val="-9"/>
        </w:rPr>
        <w:t> </w:t>
      </w:r>
      <w:r>
        <w:rPr/>
        <w:t>всего</w:t>
      </w:r>
      <w:r>
        <w:rPr>
          <w:spacing w:val="-8"/>
        </w:rPr>
        <w:t> </w:t>
      </w:r>
      <w:r>
        <w:rPr/>
        <w:t>себя.</w:t>
      </w:r>
      <w:r>
        <w:rPr>
          <w:spacing w:val="-8"/>
        </w:rPr>
        <w:t> </w:t>
      </w:r>
      <w:r>
        <w:rPr/>
        <w:t>Для</w:t>
      </w:r>
      <w:r>
        <w:rPr>
          <w:spacing w:val="-8"/>
        </w:rPr>
        <w:t> </w:t>
      </w:r>
      <w:r>
        <w:rPr/>
        <w:t>техники могут понадобиться фигурки или игрушки / метафорические ассоциативные карты / бумага и принадлежности для рисования – любые материалы, доступные психологу в данный момент.</w:t>
      </w:r>
    </w:p>
    <w:p>
      <w:pPr>
        <w:pStyle w:val="ListParagraph"/>
        <w:numPr>
          <w:ilvl w:val="0"/>
          <w:numId w:val="192"/>
        </w:numPr>
        <w:tabs>
          <w:tab w:pos="423" w:val="left" w:leader="none"/>
          <w:tab w:pos="425" w:val="left" w:leader="none"/>
        </w:tabs>
        <w:spacing w:line="235" w:lineRule="auto" w:before="60" w:after="0"/>
        <w:ind w:left="425" w:right="139" w:hanging="284"/>
        <w:jc w:val="both"/>
        <w:rPr>
          <w:sz w:val="20"/>
        </w:rPr>
      </w:pPr>
      <w:r>
        <w:rPr>
          <w:sz w:val="20"/>
        </w:rPr>
        <w:t>Психолог обращает внимание ребенка на этот процесс прямо во время сессии, в момент, когда это происходит:</w:t>
      </w:r>
    </w:p>
    <w:p>
      <w:pPr>
        <w:spacing w:line="235" w:lineRule="auto" w:before="1"/>
        <w:ind w:left="141" w:right="139" w:firstLine="283"/>
        <w:jc w:val="both"/>
        <w:rPr>
          <w:i/>
          <w:sz w:val="20"/>
        </w:rPr>
      </w:pPr>
      <w:r>
        <w:rPr>
          <w:sz w:val="20"/>
        </w:rPr>
        <w:t>– </w:t>
      </w:r>
      <w:r>
        <w:rPr>
          <w:i/>
          <w:sz w:val="20"/>
        </w:rPr>
        <w:t>Я заметила, что сейчас ты говорил о себе </w:t>
      </w:r>
      <w:r>
        <w:rPr>
          <w:sz w:val="20"/>
        </w:rPr>
        <w:t>(привести дословно), </w:t>
      </w:r>
      <w:r>
        <w:rPr>
          <w:i/>
          <w:sz w:val="20"/>
        </w:rPr>
        <w:t>нападал на себя. Обрати внимание, что такое самобичевание погружает тебя в еще большее уныние, отчаяние и грусть. Если бы это был конструктивный критик, желающий тебе</w:t>
      </w:r>
      <w:r>
        <w:rPr>
          <w:i/>
          <w:spacing w:val="-3"/>
          <w:sz w:val="20"/>
        </w:rPr>
        <w:t> </w:t>
      </w:r>
      <w:r>
        <w:rPr>
          <w:i/>
          <w:sz w:val="20"/>
        </w:rPr>
        <w:t>помочь,</w:t>
      </w:r>
      <w:r>
        <w:rPr>
          <w:i/>
          <w:spacing w:val="-3"/>
          <w:sz w:val="20"/>
        </w:rPr>
        <w:t> </w:t>
      </w:r>
      <w:r>
        <w:rPr>
          <w:i/>
          <w:sz w:val="20"/>
        </w:rPr>
        <w:t>вряд</w:t>
      </w:r>
      <w:r>
        <w:rPr>
          <w:i/>
          <w:spacing w:val="-3"/>
          <w:sz w:val="20"/>
        </w:rPr>
        <w:t> </w:t>
      </w:r>
      <w:r>
        <w:rPr>
          <w:i/>
          <w:sz w:val="20"/>
        </w:rPr>
        <w:t>ли</w:t>
      </w:r>
      <w:r>
        <w:rPr>
          <w:i/>
          <w:spacing w:val="-3"/>
          <w:sz w:val="20"/>
        </w:rPr>
        <w:t> </w:t>
      </w:r>
      <w:r>
        <w:rPr>
          <w:i/>
          <w:sz w:val="20"/>
        </w:rPr>
        <w:t>бы</w:t>
      </w:r>
      <w:r>
        <w:rPr>
          <w:i/>
          <w:spacing w:val="-3"/>
          <w:sz w:val="20"/>
        </w:rPr>
        <w:t> </w:t>
      </w:r>
      <w:r>
        <w:rPr>
          <w:i/>
          <w:sz w:val="20"/>
        </w:rPr>
        <w:t>ты</w:t>
      </w:r>
      <w:r>
        <w:rPr>
          <w:i/>
          <w:spacing w:val="-3"/>
          <w:sz w:val="20"/>
        </w:rPr>
        <w:t> </w:t>
      </w:r>
      <w:r>
        <w:rPr>
          <w:i/>
          <w:sz w:val="20"/>
        </w:rPr>
        <w:t>хотел,</w:t>
      </w:r>
      <w:r>
        <w:rPr>
          <w:i/>
          <w:spacing w:val="-3"/>
          <w:sz w:val="20"/>
        </w:rPr>
        <w:t> </w:t>
      </w:r>
      <w:r>
        <w:rPr>
          <w:i/>
          <w:sz w:val="20"/>
        </w:rPr>
        <w:t>чтобы</w:t>
      </w:r>
      <w:r>
        <w:rPr>
          <w:i/>
          <w:spacing w:val="-3"/>
          <w:sz w:val="20"/>
        </w:rPr>
        <w:t> </w:t>
      </w:r>
      <w:r>
        <w:rPr>
          <w:i/>
          <w:sz w:val="20"/>
        </w:rPr>
        <w:t>он</w:t>
      </w:r>
      <w:r>
        <w:rPr>
          <w:i/>
          <w:spacing w:val="-3"/>
          <w:sz w:val="20"/>
        </w:rPr>
        <w:t> </w:t>
      </w:r>
      <w:r>
        <w:rPr>
          <w:i/>
          <w:sz w:val="20"/>
        </w:rPr>
        <w:t>довел</w:t>
      </w:r>
      <w:r>
        <w:rPr>
          <w:i/>
          <w:spacing w:val="-3"/>
          <w:sz w:val="20"/>
        </w:rPr>
        <w:t> </w:t>
      </w:r>
      <w:r>
        <w:rPr>
          <w:i/>
          <w:sz w:val="20"/>
        </w:rPr>
        <w:t>тебя</w:t>
      </w:r>
      <w:r>
        <w:rPr>
          <w:i/>
          <w:spacing w:val="-3"/>
          <w:sz w:val="20"/>
        </w:rPr>
        <w:t> </w:t>
      </w:r>
      <w:r>
        <w:rPr>
          <w:i/>
          <w:sz w:val="20"/>
        </w:rPr>
        <w:t>до</w:t>
      </w:r>
      <w:r>
        <w:rPr>
          <w:i/>
          <w:spacing w:val="-3"/>
          <w:sz w:val="20"/>
        </w:rPr>
        <w:t> </w:t>
      </w:r>
      <w:r>
        <w:rPr>
          <w:i/>
          <w:sz w:val="20"/>
        </w:rPr>
        <w:t>состояния</w:t>
      </w:r>
      <w:r>
        <w:rPr>
          <w:i/>
          <w:spacing w:val="-3"/>
          <w:sz w:val="20"/>
        </w:rPr>
        <w:t> </w:t>
      </w:r>
      <w:r>
        <w:rPr>
          <w:i/>
          <w:sz w:val="20"/>
        </w:rPr>
        <w:t>безнадежно- сти и бессилия.</w:t>
      </w:r>
    </w:p>
    <w:p>
      <w:pPr>
        <w:pStyle w:val="ListParagraph"/>
        <w:numPr>
          <w:ilvl w:val="0"/>
          <w:numId w:val="192"/>
        </w:numPr>
        <w:tabs>
          <w:tab w:pos="423" w:val="left" w:leader="none"/>
          <w:tab w:pos="425" w:val="left" w:leader="none"/>
        </w:tabs>
        <w:spacing w:line="235" w:lineRule="auto" w:before="60" w:after="0"/>
        <w:ind w:left="425" w:right="139" w:hanging="284"/>
        <w:jc w:val="both"/>
        <w:rPr>
          <w:sz w:val="20"/>
        </w:rPr>
      </w:pPr>
      <w:r>
        <w:rPr>
          <w:sz w:val="20"/>
        </w:rPr>
        <w:t>Психолог помогает отделить токсичного внутреннего критика от Я ребенка. Для этого психолог предлагает ребенку повторить слова, которые звучат внутри него в момент появления внутреннего критика, а затем представить, какой персонаж, герой, существо мог(ло) бы это произнести.</w:t>
      </w:r>
    </w:p>
    <w:p>
      <w:pPr>
        <w:pStyle w:val="BodyText"/>
        <w:spacing w:line="227" w:lineRule="exact"/>
        <w:ind w:left="425" w:right="0" w:firstLine="0"/>
        <w:jc w:val="left"/>
      </w:pPr>
      <w:r>
        <w:rPr/>
        <w:t>Затем</w:t>
      </w:r>
      <w:r>
        <w:rPr>
          <w:spacing w:val="-5"/>
        </w:rPr>
        <w:t> </w:t>
      </w:r>
      <w:r>
        <w:rPr/>
        <w:t>ребенок</w:t>
      </w:r>
      <w:r>
        <w:rPr>
          <w:spacing w:val="-4"/>
        </w:rPr>
        <w:t> </w:t>
      </w:r>
      <w:r>
        <w:rPr>
          <w:spacing w:val="-2"/>
        </w:rPr>
        <w:t>может:</w:t>
      </w:r>
    </w:p>
    <w:p>
      <w:pPr>
        <w:pStyle w:val="BodyText"/>
        <w:spacing w:line="226" w:lineRule="exact"/>
        <w:ind w:left="425" w:right="0" w:firstLine="0"/>
        <w:jc w:val="left"/>
      </w:pPr>
      <w:r>
        <w:rPr/>
        <w:t>−</w:t>
      </w:r>
      <w:r>
        <w:rPr>
          <w:spacing w:val="-5"/>
        </w:rPr>
        <w:t> </w:t>
      </w:r>
      <w:r>
        <w:rPr/>
        <w:t>представить</w:t>
      </w:r>
      <w:r>
        <w:rPr>
          <w:spacing w:val="-3"/>
        </w:rPr>
        <w:t> </w:t>
      </w:r>
      <w:r>
        <w:rPr/>
        <w:t>себе</w:t>
      </w:r>
      <w:r>
        <w:rPr>
          <w:spacing w:val="-2"/>
        </w:rPr>
        <w:t> </w:t>
      </w:r>
      <w:r>
        <w:rPr/>
        <w:t>персонажа</w:t>
      </w:r>
      <w:r>
        <w:rPr>
          <w:spacing w:val="-2"/>
        </w:rPr>
        <w:t> </w:t>
      </w:r>
      <w:r>
        <w:rPr/>
        <w:t>и</w:t>
      </w:r>
      <w:r>
        <w:rPr>
          <w:spacing w:val="-3"/>
        </w:rPr>
        <w:t> </w:t>
      </w:r>
      <w:r>
        <w:rPr/>
        <w:t>рассказать</w:t>
      </w:r>
      <w:r>
        <w:rPr>
          <w:spacing w:val="-3"/>
        </w:rPr>
        <w:t> </w:t>
      </w:r>
      <w:r>
        <w:rPr/>
        <w:t>о</w:t>
      </w:r>
      <w:r>
        <w:rPr>
          <w:spacing w:val="-2"/>
        </w:rPr>
        <w:t> </w:t>
      </w:r>
      <w:r>
        <w:rPr/>
        <w:t>нем</w:t>
      </w:r>
      <w:r>
        <w:rPr>
          <w:spacing w:val="-2"/>
        </w:rPr>
        <w:t> психологу;</w:t>
      </w:r>
    </w:p>
    <w:p>
      <w:pPr>
        <w:pStyle w:val="BodyText"/>
        <w:spacing w:line="226" w:lineRule="exact"/>
        <w:ind w:left="425" w:right="0" w:firstLine="0"/>
        <w:jc w:val="left"/>
      </w:pPr>
      <w:r>
        <w:rPr/>
        <w:t>−</w:t>
      </w:r>
      <w:r>
        <w:rPr>
          <w:spacing w:val="-9"/>
        </w:rPr>
        <w:t> </w:t>
      </w:r>
      <w:r>
        <w:rPr/>
        <w:t>нарисовать</w:t>
      </w:r>
      <w:r>
        <w:rPr>
          <w:spacing w:val="-8"/>
        </w:rPr>
        <w:t> </w:t>
      </w:r>
      <w:r>
        <w:rPr>
          <w:spacing w:val="-2"/>
        </w:rPr>
        <w:t>героя;</w:t>
      </w:r>
    </w:p>
    <w:p>
      <w:pPr>
        <w:pStyle w:val="BodyText"/>
        <w:spacing w:line="226" w:lineRule="exact"/>
        <w:ind w:left="425" w:right="0" w:firstLine="0"/>
        <w:jc w:val="left"/>
      </w:pPr>
      <w:r>
        <w:rPr/>
        <w:t>−</w:t>
      </w:r>
      <w:r>
        <w:rPr>
          <w:spacing w:val="-7"/>
        </w:rPr>
        <w:t> </w:t>
      </w:r>
      <w:r>
        <w:rPr/>
        <w:t>выбрать</w:t>
      </w:r>
      <w:r>
        <w:rPr>
          <w:spacing w:val="-5"/>
        </w:rPr>
        <w:t> </w:t>
      </w:r>
      <w:r>
        <w:rPr/>
        <w:t>фигурку,</w:t>
      </w:r>
      <w:r>
        <w:rPr>
          <w:spacing w:val="-4"/>
        </w:rPr>
        <w:t> </w:t>
      </w:r>
      <w:r>
        <w:rPr/>
        <w:t>если</w:t>
      </w:r>
      <w:r>
        <w:rPr>
          <w:spacing w:val="-5"/>
        </w:rPr>
        <w:t> </w:t>
      </w:r>
      <w:r>
        <w:rPr/>
        <w:t>в</w:t>
      </w:r>
      <w:r>
        <w:rPr>
          <w:spacing w:val="-5"/>
        </w:rPr>
        <w:t> </w:t>
      </w:r>
      <w:r>
        <w:rPr/>
        <w:t>кабинете</w:t>
      </w:r>
      <w:r>
        <w:rPr>
          <w:spacing w:val="-5"/>
        </w:rPr>
        <w:t> </w:t>
      </w:r>
      <w:r>
        <w:rPr/>
        <w:t>большой</w:t>
      </w:r>
      <w:r>
        <w:rPr>
          <w:spacing w:val="-5"/>
        </w:rPr>
        <w:t> </w:t>
      </w:r>
      <w:r>
        <w:rPr/>
        <w:t>набор</w:t>
      </w:r>
      <w:r>
        <w:rPr>
          <w:spacing w:val="-4"/>
        </w:rPr>
        <w:t> </w:t>
      </w:r>
      <w:r>
        <w:rPr/>
        <w:t>игрушек</w:t>
      </w:r>
      <w:r>
        <w:rPr>
          <w:spacing w:val="-4"/>
        </w:rPr>
        <w:t> </w:t>
      </w:r>
      <w:r>
        <w:rPr/>
        <w:t>и</w:t>
      </w:r>
      <w:r>
        <w:rPr>
          <w:spacing w:val="-5"/>
        </w:rPr>
        <w:t> </w:t>
      </w:r>
      <w:r>
        <w:rPr>
          <w:spacing w:val="-2"/>
        </w:rPr>
        <w:t>фигурок;</w:t>
      </w:r>
    </w:p>
    <w:p>
      <w:pPr>
        <w:pStyle w:val="BodyText"/>
        <w:spacing w:line="226" w:lineRule="exact"/>
        <w:ind w:left="425" w:right="0" w:firstLine="0"/>
        <w:jc w:val="left"/>
      </w:pPr>
      <w:r>
        <w:rPr/>
        <w:t>−</w:t>
      </w:r>
      <w:r>
        <w:rPr>
          <w:spacing w:val="-6"/>
        </w:rPr>
        <w:t> </w:t>
      </w:r>
      <w:r>
        <w:rPr/>
        <w:t>выбрать</w:t>
      </w:r>
      <w:r>
        <w:rPr>
          <w:spacing w:val="-5"/>
        </w:rPr>
        <w:t> </w:t>
      </w:r>
      <w:r>
        <w:rPr/>
        <w:t>подходящий</w:t>
      </w:r>
      <w:r>
        <w:rPr>
          <w:spacing w:val="-5"/>
        </w:rPr>
        <w:t> </w:t>
      </w:r>
      <w:r>
        <w:rPr/>
        <w:t>образ</w:t>
      </w:r>
      <w:r>
        <w:rPr>
          <w:spacing w:val="-4"/>
        </w:rPr>
        <w:t> </w:t>
      </w:r>
      <w:r>
        <w:rPr/>
        <w:t>из</w:t>
      </w:r>
      <w:r>
        <w:rPr>
          <w:spacing w:val="-4"/>
        </w:rPr>
        <w:t> </w:t>
      </w:r>
      <w:r>
        <w:rPr/>
        <w:t>МАК</w:t>
      </w:r>
      <w:r>
        <w:rPr>
          <w:spacing w:val="-4"/>
        </w:rPr>
        <w:t> </w:t>
      </w:r>
      <w:r>
        <w:rPr/>
        <w:t>(метафорических</w:t>
      </w:r>
      <w:r>
        <w:rPr>
          <w:spacing w:val="-4"/>
        </w:rPr>
        <w:t> </w:t>
      </w:r>
      <w:r>
        <w:rPr/>
        <w:t>ассоциативных</w:t>
      </w:r>
      <w:r>
        <w:rPr>
          <w:spacing w:val="-3"/>
        </w:rPr>
        <w:t> </w:t>
      </w:r>
      <w:r>
        <w:rPr>
          <w:spacing w:val="-2"/>
        </w:rPr>
        <w:t>карт);</w:t>
      </w:r>
    </w:p>
    <w:p>
      <w:pPr>
        <w:pStyle w:val="BodyText"/>
        <w:spacing w:line="228" w:lineRule="exact"/>
        <w:ind w:left="425" w:right="0" w:firstLine="0"/>
        <w:jc w:val="left"/>
      </w:pPr>
      <w:r>
        <w:rPr/>
        <w:t>−</w:t>
      </w:r>
      <w:r>
        <w:rPr>
          <w:spacing w:val="-10"/>
        </w:rPr>
        <w:t> </w:t>
      </w:r>
      <w:r>
        <w:rPr/>
        <w:t>принять</w:t>
      </w:r>
      <w:r>
        <w:rPr>
          <w:spacing w:val="-11"/>
        </w:rPr>
        <w:t> </w:t>
      </w:r>
      <w:r>
        <w:rPr/>
        <w:t>объект,</w:t>
      </w:r>
      <w:r>
        <w:rPr>
          <w:spacing w:val="-10"/>
        </w:rPr>
        <w:t> </w:t>
      </w:r>
      <w:r>
        <w:rPr/>
        <w:t>который</w:t>
      </w:r>
      <w:r>
        <w:rPr>
          <w:spacing w:val="-11"/>
        </w:rPr>
        <w:t> </w:t>
      </w:r>
      <w:r>
        <w:rPr/>
        <w:t>выбрал</w:t>
      </w:r>
      <w:r>
        <w:rPr>
          <w:spacing w:val="-9"/>
        </w:rPr>
        <w:t> </w:t>
      </w:r>
      <w:r>
        <w:rPr>
          <w:spacing w:val="-2"/>
        </w:rPr>
        <w:t>психолог.</w:t>
      </w:r>
    </w:p>
    <w:p>
      <w:pPr>
        <w:pStyle w:val="ListParagraph"/>
        <w:numPr>
          <w:ilvl w:val="0"/>
          <w:numId w:val="192"/>
        </w:numPr>
        <w:tabs>
          <w:tab w:pos="423" w:val="left" w:leader="none"/>
          <w:tab w:pos="425" w:val="left" w:leader="none"/>
        </w:tabs>
        <w:spacing w:line="235" w:lineRule="auto" w:before="57" w:after="0"/>
        <w:ind w:left="425" w:right="139" w:hanging="284"/>
        <w:jc w:val="left"/>
        <w:rPr>
          <w:sz w:val="20"/>
        </w:rPr>
      </w:pPr>
      <w:r>
        <w:rPr>
          <w:sz w:val="20"/>
        </w:rPr>
        <w:t>Психолог предлагает ребенку фигуркой или рисунком обозначить образ Я. Основная</w:t>
      </w:r>
      <w:r>
        <w:rPr>
          <w:spacing w:val="4"/>
          <w:sz w:val="20"/>
        </w:rPr>
        <w:t> </w:t>
      </w:r>
      <w:r>
        <w:rPr>
          <w:sz w:val="20"/>
        </w:rPr>
        <w:t>задача</w:t>
      </w:r>
      <w:r>
        <w:rPr>
          <w:spacing w:val="5"/>
          <w:sz w:val="20"/>
        </w:rPr>
        <w:t> </w:t>
      </w:r>
      <w:r>
        <w:rPr>
          <w:sz w:val="20"/>
        </w:rPr>
        <w:t>этой</w:t>
      </w:r>
      <w:r>
        <w:rPr>
          <w:spacing w:val="5"/>
          <w:sz w:val="20"/>
        </w:rPr>
        <w:t> </w:t>
      </w:r>
      <w:r>
        <w:rPr>
          <w:sz w:val="20"/>
        </w:rPr>
        <w:t>техники</w:t>
      </w:r>
      <w:r>
        <w:rPr>
          <w:spacing w:val="4"/>
          <w:sz w:val="20"/>
        </w:rPr>
        <w:t> </w:t>
      </w:r>
      <w:r>
        <w:rPr>
          <w:sz w:val="20"/>
        </w:rPr>
        <w:t>–</w:t>
      </w:r>
      <w:r>
        <w:rPr>
          <w:spacing w:val="4"/>
          <w:sz w:val="20"/>
        </w:rPr>
        <w:t> </w:t>
      </w:r>
      <w:r>
        <w:rPr>
          <w:sz w:val="20"/>
        </w:rPr>
        <w:t>разделить</w:t>
      </w:r>
      <w:r>
        <w:rPr>
          <w:spacing w:val="4"/>
          <w:sz w:val="20"/>
        </w:rPr>
        <w:t> </w:t>
      </w:r>
      <w:r>
        <w:rPr>
          <w:sz w:val="20"/>
        </w:rPr>
        <w:t>себя</w:t>
      </w:r>
      <w:r>
        <w:rPr>
          <w:spacing w:val="5"/>
          <w:sz w:val="20"/>
        </w:rPr>
        <w:t> </w:t>
      </w:r>
      <w:r>
        <w:rPr>
          <w:sz w:val="20"/>
        </w:rPr>
        <w:t>и</w:t>
      </w:r>
      <w:r>
        <w:rPr>
          <w:spacing w:val="4"/>
          <w:sz w:val="20"/>
        </w:rPr>
        <w:t> </w:t>
      </w:r>
      <w:r>
        <w:rPr>
          <w:sz w:val="20"/>
        </w:rPr>
        <w:t>токсичного</w:t>
      </w:r>
      <w:r>
        <w:rPr>
          <w:spacing w:val="5"/>
          <w:sz w:val="20"/>
        </w:rPr>
        <w:t> </w:t>
      </w:r>
      <w:r>
        <w:rPr>
          <w:sz w:val="20"/>
        </w:rPr>
        <w:t>критика,</w:t>
      </w:r>
      <w:r>
        <w:rPr>
          <w:spacing w:val="4"/>
          <w:sz w:val="20"/>
        </w:rPr>
        <w:t> </w:t>
      </w:r>
      <w:r>
        <w:rPr>
          <w:sz w:val="20"/>
        </w:rPr>
        <w:t>чтобы</w:t>
      </w:r>
      <w:r>
        <w:rPr>
          <w:spacing w:val="4"/>
          <w:sz w:val="20"/>
        </w:rPr>
        <w:t> </w:t>
      </w:r>
      <w:r>
        <w:rPr>
          <w:spacing w:val="-5"/>
          <w:sz w:val="20"/>
        </w:rPr>
        <w:t>со-</w:t>
      </w:r>
    </w:p>
    <w:p>
      <w:pPr>
        <w:pStyle w:val="BodyText"/>
        <w:spacing w:line="235" w:lineRule="auto" w:before="1"/>
        <w:ind w:right="0" w:firstLine="0"/>
        <w:jc w:val="left"/>
      </w:pPr>
      <w:r>
        <w:rPr/>
        <w:t>здать</w:t>
      </w:r>
      <w:r>
        <w:rPr>
          <w:spacing w:val="-3"/>
        </w:rPr>
        <w:t> </w:t>
      </w:r>
      <w:r>
        <w:rPr/>
        <w:t>ощущение</w:t>
      </w:r>
      <w:r>
        <w:rPr>
          <w:spacing w:val="-3"/>
        </w:rPr>
        <w:t> </w:t>
      </w:r>
      <w:r>
        <w:rPr/>
        <w:t>отдельности</w:t>
      </w:r>
      <w:r>
        <w:rPr>
          <w:spacing w:val="-3"/>
        </w:rPr>
        <w:t> </w:t>
      </w:r>
      <w:r>
        <w:rPr/>
        <w:t>этой</w:t>
      </w:r>
      <w:r>
        <w:rPr>
          <w:spacing w:val="-3"/>
        </w:rPr>
        <w:t> </w:t>
      </w:r>
      <w:r>
        <w:rPr/>
        <w:t>фигуры,</w:t>
      </w:r>
      <w:r>
        <w:rPr>
          <w:spacing w:val="-3"/>
        </w:rPr>
        <w:t> </w:t>
      </w:r>
      <w:r>
        <w:rPr/>
        <w:t>благодаря</w:t>
      </w:r>
      <w:r>
        <w:rPr>
          <w:spacing w:val="-3"/>
        </w:rPr>
        <w:t> </w:t>
      </w:r>
      <w:r>
        <w:rPr/>
        <w:t>чему</w:t>
      </w:r>
      <w:r>
        <w:rPr>
          <w:spacing w:val="-3"/>
        </w:rPr>
        <w:t> </w:t>
      </w:r>
      <w:r>
        <w:rPr/>
        <w:t>с</w:t>
      </w:r>
      <w:r>
        <w:rPr>
          <w:spacing w:val="-3"/>
        </w:rPr>
        <w:t> </w:t>
      </w:r>
      <w:r>
        <w:rPr/>
        <w:t>ней</w:t>
      </w:r>
      <w:r>
        <w:rPr>
          <w:spacing w:val="-3"/>
        </w:rPr>
        <w:t> </w:t>
      </w:r>
      <w:r>
        <w:rPr/>
        <w:t>можно</w:t>
      </w:r>
      <w:r>
        <w:rPr>
          <w:spacing w:val="-3"/>
        </w:rPr>
        <w:t> </w:t>
      </w:r>
      <w:r>
        <w:rPr/>
        <w:t>будет</w:t>
      </w:r>
      <w:r>
        <w:rPr>
          <w:spacing w:val="-3"/>
        </w:rPr>
        <w:t> </w:t>
      </w:r>
      <w:r>
        <w:rPr/>
        <w:t>не</w:t>
      </w:r>
      <w:r>
        <w:rPr>
          <w:spacing w:val="-3"/>
        </w:rPr>
        <w:t> </w:t>
      </w:r>
      <w:r>
        <w:rPr/>
        <w:t>со- </w:t>
      </w:r>
      <w:r>
        <w:rPr>
          <w:spacing w:val="-2"/>
        </w:rPr>
        <w:t>глашаться.</w:t>
      </w:r>
    </w:p>
    <w:p>
      <w:pPr>
        <w:pStyle w:val="ListParagraph"/>
        <w:numPr>
          <w:ilvl w:val="0"/>
          <w:numId w:val="192"/>
        </w:numPr>
        <w:tabs>
          <w:tab w:pos="423" w:val="left" w:leader="none"/>
          <w:tab w:pos="425" w:val="left" w:leader="none"/>
        </w:tabs>
        <w:spacing w:line="235" w:lineRule="auto" w:before="58" w:after="0"/>
        <w:ind w:left="425" w:right="139" w:hanging="284"/>
        <w:jc w:val="left"/>
        <w:rPr>
          <w:sz w:val="20"/>
        </w:rPr>
      </w:pPr>
      <w:r>
        <w:rPr>
          <w:sz w:val="20"/>
        </w:rPr>
        <w:t>Психолог предлагает представить, как фигура внутреннего критика атакует лич- ность ребенка.</w:t>
      </w:r>
    </w:p>
    <w:p>
      <w:pPr>
        <w:pStyle w:val="BodyText"/>
        <w:spacing w:line="235" w:lineRule="auto" w:before="1"/>
        <w:ind w:right="0"/>
        <w:jc w:val="left"/>
      </w:pPr>
      <w:r>
        <w:rPr/>
        <w:t>Это можно сделать в виде образной визуализации / рисунка / игры с фигурками (сценки).</w:t>
      </w:r>
      <w:r>
        <w:rPr>
          <w:spacing w:val="6"/>
        </w:rPr>
        <w:t> </w:t>
      </w:r>
      <w:r>
        <w:rPr/>
        <w:t>Затем</w:t>
      </w:r>
      <w:r>
        <w:rPr>
          <w:spacing w:val="7"/>
        </w:rPr>
        <w:t> </w:t>
      </w:r>
      <w:r>
        <w:rPr/>
        <w:t>психолог</w:t>
      </w:r>
      <w:r>
        <w:rPr>
          <w:spacing w:val="6"/>
        </w:rPr>
        <w:t> </w:t>
      </w:r>
      <w:r>
        <w:rPr/>
        <w:t>помогает</w:t>
      </w:r>
      <w:r>
        <w:rPr>
          <w:spacing w:val="7"/>
        </w:rPr>
        <w:t> </w:t>
      </w:r>
      <w:r>
        <w:rPr/>
        <w:t>ребенку</w:t>
      </w:r>
      <w:r>
        <w:rPr>
          <w:spacing w:val="7"/>
        </w:rPr>
        <w:t> </w:t>
      </w:r>
      <w:r>
        <w:rPr/>
        <w:t>придумать</w:t>
      </w:r>
      <w:r>
        <w:rPr>
          <w:spacing w:val="6"/>
        </w:rPr>
        <w:t> </w:t>
      </w:r>
      <w:r>
        <w:rPr/>
        <w:t>и</w:t>
      </w:r>
      <w:r>
        <w:rPr>
          <w:spacing w:val="7"/>
        </w:rPr>
        <w:t> </w:t>
      </w:r>
      <w:r>
        <w:rPr/>
        <w:t>показать,</w:t>
      </w:r>
      <w:r>
        <w:rPr>
          <w:spacing w:val="6"/>
        </w:rPr>
        <w:t> </w:t>
      </w:r>
      <w:r>
        <w:rPr/>
        <w:t>как</w:t>
      </w:r>
      <w:r>
        <w:rPr>
          <w:spacing w:val="7"/>
        </w:rPr>
        <w:t> </w:t>
      </w:r>
      <w:r>
        <w:rPr/>
        <w:t>не</w:t>
      </w:r>
      <w:r>
        <w:rPr>
          <w:spacing w:val="7"/>
        </w:rPr>
        <w:t> </w:t>
      </w:r>
      <w:r>
        <w:rPr>
          <w:spacing w:val="-2"/>
        </w:rPr>
        <w:t>допустить</w:t>
      </w:r>
    </w:p>
    <w:p>
      <w:pPr>
        <w:pStyle w:val="BodyText"/>
        <w:spacing w:line="227" w:lineRule="exact"/>
        <w:ind w:right="0" w:firstLine="0"/>
        <w:jc w:val="left"/>
      </w:pPr>
      <w:r>
        <w:rPr/>
        <w:t>«врага»</w:t>
      </w:r>
      <w:r>
        <w:rPr>
          <w:spacing w:val="-2"/>
        </w:rPr>
        <w:t> </w:t>
      </w:r>
      <w:r>
        <w:rPr/>
        <w:t>на</w:t>
      </w:r>
      <w:r>
        <w:rPr>
          <w:spacing w:val="-2"/>
        </w:rPr>
        <w:t> </w:t>
      </w:r>
      <w:r>
        <w:rPr/>
        <w:t>свою</w:t>
      </w:r>
      <w:r>
        <w:rPr>
          <w:spacing w:val="-3"/>
        </w:rPr>
        <w:t> </w:t>
      </w:r>
      <w:r>
        <w:rPr/>
        <w:t>внутреннюю</w:t>
      </w:r>
      <w:r>
        <w:rPr>
          <w:spacing w:val="-2"/>
        </w:rPr>
        <w:t> территорию.</w:t>
      </w:r>
    </w:p>
    <w:p>
      <w:pPr>
        <w:pStyle w:val="BodyText"/>
        <w:spacing w:after="0" w:line="227" w:lineRule="exact"/>
        <w:jc w:val="left"/>
        <w:sectPr>
          <w:pgSz w:w="8400" w:h="11910"/>
          <w:pgMar w:header="0" w:footer="529" w:top="400" w:bottom="720" w:left="425" w:right="425"/>
        </w:sectPr>
      </w:pPr>
    </w:p>
    <w:p>
      <w:pPr>
        <w:pStyle w:val="ListParagraph"/>
        <w:numPr>
          <w:ilvl w:val="1"/>
          <w:numId w:val="193"/>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Приемы</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2"/>
          <w:sz w:val="18"/>
        </w:rPr>
        <w:t> </w:t>
      </w:r>
      <w:r>
        <w:rPr>
          <w:rFonts w:ascii="Georgia" w:hAnsi="Georgia"/>
          <w:color w:val="231F20"/>
          <w:sz w:val="18"/>
        </w:rPr>
        <w:t>с</w:t>
      </w:r>
      <w:r>
        <w:rPr>
          <w:rFonts w:ascii="Georgia" w:hAnsi="Georgia"/>
          <w:color w:val="231F20"/>
          <w:spacing w:val="2"/>
          <w:sz w:val="18"/>
        </w:rPr>
        <w:t> </w:t>
      </w:r>
      <w:r>
        <w:rPr>
          <w:rFonts w:ascii="Georgia" w:hAnsi="Georgia"/>
          <w:color w:val="231F20"/>
          <w:sz w:val="18"/>
        </w:rPr>
        <w:t>психологической</w:t>
      </w:r>
      <w:r>
        <w:rPr>
          <w:rFonts w:ascii="Georgia" w:hAnsi="Georgia"/>
          <w:color w:val="231F20"/>
          <w:spacing w:val="2"/>
          <w:sz w:val="18"/>
        </w:rPr>
        <w:t> </w:t>
      </w:r>
      <w:r>
        <w:rPr>
          <w:rFonts w:ascii="Georgia" w:hAnsi="Georgia"/>
          <w:color w:val="231F20"/>
          <w:spacing w:val="-2"/>
          <w:sz w:val="18"/>
        </w:rPr>
        <w:t>травмой</w:t>
      </w:r>
    </w:p>
    <w:p>
      <w:pPr>
        <w:pStyle w:val="BodyText"/>
        <w:spacing w:line="228" w:lineRule="exact" w:before="112"/>
        <w:ind w:left="425" w:right="0" w:firstLine="0"/>
        <w:jc w:val="left"/>
      </w:pPr>
      <w:r>
        <w:rPr/>
        <w:t>Примеры</w:t>
      </w:r>
      <w:r>
        <w:rPr>
          <w:spacing w:val="-4"/>
        </w:rPr>
        <w:t> </w:t>
      </w:r>
      <w:r>
        <w:rPr/>
        <w:t>способов,</w:t>
      </w:r>
      <w:r>
        <w:rPr>
          <w:spacing w:val="-2"/>
        </w:rPr>
        <w:t> </w:t>
      </w:r>
      <w:r>
        <w:rPr/>
        <w:t>придуманных</w:t>
      </w:r>
      <w:r>
        <w:rPr>
          <w:spacing w:val="-2"/>
        </w:rPr>
        <w:t> </w:t>
      </w:r>
      <w:r>
        <w:rPr/>
        <w:t>разными</w:t>
      </w:r>
      <w:r>
        <w:rPr>
          <w:spacing w:val="-2"/>
        </w:rPr>
        <w:t> людьми:</w:t>
      </w:r>
    </w:p>
    <w:p>
      <w:pPr>
        <w:pStyle w:val="BodyText"/>
        <w:spacing w:line="226" w:lineRule="exact"/>
        <w:ind w:left="425" w:right="0" w:firstLine="0"/>
        <w:jc w:val="left"/>
      </w:pPr>
      <w:r>
        <w:rPr/>
        <w:t>−</w:t>
      </w:r>
      <w:r>
        <w:rPr>
          <w:spacing w:val="30"/>
        </w:rPr>
        <w:t>  </w:t>
      </w:r>
      <w:r>
        <w:rPr/>
        <w:t>выставить</w:t>
      </w:r>
      <w:r>
        <w:rPr>
          <w:spacing w:val="-4"/>
        </w:rPr>
        <w:t> </w:t>
      </w:r>
      <w:r>
        <w:rPr/>
        <w:t>за</w:t>
      </w:r>
      <w:r>
        <w:rPr>
          <w:spacing w:val="-2"/>
        </w:rPr>
        <w:t> </w:t>
      </w:r>
      <w:r>
        <w:rPr/>
        <w:t>дверь</w:t>
      </w:r>
      <w:r>
        <w:rPr>
          <w:spacing w:val="-4"/>
        </w:rPr>
        <w:t> </w:t>
      </w:r>
      <w:r>
        <w:rPr/>
        <w:t>своего</w:t>
      </w:r>
      <w:r>
        <w:rPr>
          <w:spacing w:val="-3"/>
        </w:rPr>
        <w:t> </w:t>
      </w:r>
      <w:r>
        <w:rPr/>
        <w:t>внутреннего</w:t>
      </w:r>
      <w:r>
        <w:rPr>
          <w:spacing w:val="-2"/>
        </w:rPr>
        <w:t> </w:t>
      </w:r>
      <w:r>
        <w:rPr>
          <w:spacing w:val="-4"/>
        </w:rPr>
        <w:t>дома;</w:t>
      </w:r>
    </w:p>
    <w:p>
      <w:pPr>
        <w:pStyle w:val="BodyText"/>
        <w:spacing w:line="227" w:lineRule="exact"/>
        <w:ind w:left="425" w:right="0" w:firstLine="0"/>
        <w:jc w:val="left"/>
      </w:pPr>
      <w:r>
        <w:rPr/>
        <w:t>−</w:t>
      </w:r>
      <w:r>
        <w:rPr>
          <w:spacing w:val="33"/>
        </w:rPr>
        <w:t>  </w:t>
      </w:r>
      <w:r>
        <w:rPr/>
        <w:t>построить</w:t>
      </w:r>
      <w:r>
        <w:rPr>
          <w:spacing w:val="-1"/>
        </w:rPr>
        <w:t> </w:t>
      </w:r>
      <w:r>
        <w:rPr/>
        <w:t>высокий</w:t>
      </w:r>
      <w:r>
        <w:rPr>
          <w:spacing w:val="-1"/>
        </w:rPr>
        <w:t> </w:t>
      </w:r>
      <w:r>
        <w:rPr>
          <w:spacing w:val="-2"/>
        </w:rPr>
        <w:t>забор;</w:t>
      </w:r>
    </w:p>
    <w:p>
      <w:pPr>
        <w:pStyle w:val="BodyText"/>
        <w:spacing w:line="228" w:lineRule="exact"/>
        <w:ind w:left="425" w:right="0" w:firstLine="0"/>
        <w:jc w:val="left"/>
      </w:pPr>
      <w:r>
        <w:rPr/>
        <w:t>−</w:t>
      </w:r>
      <w:r>
        <w:rPr>
          <w:spacing w:val="28"/>
        </w:rPr>
        <w:t>  </w:t>
      </w:r>
      <w:r>
        <w:rPr/>
        <w:t>заметить</w:t>
      </w:r>
      <w:r>
        <w:rPr>
          <w:spacing w:val="-3"/>
        </w:rPr>
        <w:t> </w:t>
      </w:r>
      <w:r>
        <w:rPr/>
        <w:t>появление</w:t>
      </w:r>
      <w:r>
        <w:rPr>
          <w:spacing w:val="-2"/>
        </w:rPr>
        <w:t> </w:t>
      </w:r>
      <w:r>
        <w:rPr/>
        <w:t>этой</w:t>
      </w:r>
      <w:r>
        <w:rPr>
          <w:spacing w:val="-4"/>
        </w:rPr>
        <w:t> </w:t>
      </w:r>
      <w:r>
        <w:rPr/>
        <w:t>фигуры</w:t>
      </w:r>
      <w:r>
        <w:rPr>
          <w:spacing w:val="-3"/>
        </w:rPr>
        <w:t> </w:t>
      </w:r>
      <w:r>
        <w:rPr/>
        <w:t>еще</w:t>
      </w:r>
      <w:r>
        <w:rPr>
          <w:spacing w:val="-2"/>
        </w:rPr>
        <w:t> </w:t>
      </w:r>
      <w:r>
        <w:rPr/>
        <w:t>издали</w:t>
      </w:r>
      <w:r>
        <w:rPr>
          <w:spacing w:val="-4"/>
        </w:rPr>
        <w:t> </w:t>
      </w:r>
      <w:r>
        <w:rPr/>
        <w:t>и</w:t>
      </w:r>
      <w:r>
        <w:rPr>
          <w:spacing w:val="-3"/>
        </w:rPr>
        <w:t> </w:t>
      </w:r>
      <w:r>
        <w:rPr/>
        <w:t>предупредить</w:t>
      </w:r>
      <w:r>
        <w:rPr>
          <w:spacing w:val="-4"/>
        </w:rPr>
        <w:t> </w:t>
      </w:r>
      <w:r>
        <w:rPr/>
        <w:t>об</w:t>
      </w:r>
      <w:r>
        <w:rPr>
          <w:spacing w:val="-2"/>
        </w:rPr>
        <w:t> опасности;</w:t>
      </w:r>
    </w:p>
    <w:p>
      <w:pPr>
        <w:pStyle w:val="BodyText"/>
        <w:ind w:left="708" w:right="0" w:hanging="284"/>
        <w:jc w:val="left"/>
      </w:pPr>
      <w:r>
        <w:rPr/>
        <w:t>−</w:t>
      </w:r>
      <w:r>
        <w:rPr>
          <w:spacing w:val="80"/>
        </w:rPr>
        <w:t> </w:t>
      </w:r>
      <w:r>
        <w:rPr/>
        <w:t>построить</w:t>
      </w:r>
      <w:r>
        <w:rPr>
          <w:spacing w:val="-6"/>
        </w:rPr>
        <w:t> </w:t>
      </w:r>
      <w:r>
        <w:rPr/>
        <w:t>войско</w:t>
      </w:r>
      <w:r>
        <w:rPr>
          <w:spacing w:val="-6"/>
        </w:rPr>
        <w:t> </w:t>
      </w:r>
      <w:r>
        <w:rPr/>
        <w:t>из</w:t>
      </w:r>
      <w:r>
        <w:rPr>
          <w:spacing w:val="-6"/>
        </w:rPr>
        <w:t> </w:t>
      </w:r>
      <w:r>
        <w:rPr/>
        <w:t>собственных</w:t>
      </w:r>
      <w:r>
        <w:rPr>
          <w:spacing w:val="-6"/>
        </w:rPr>
        <w:t> </w:t>
      </w:r>
      <w:r>
        <w:rPr/>
        <w:t>ресурсов,</w:t>
      </w:r>
      <w:r>
        <w:rPr>
          <w:spacing w:val="-6"/>
        </w:rPr>
        <w:t> </w:t>
      </w:r>
      <w:r>
        <w:rPr/>
        <w:t>поддерживающих</w:t>
      </w:r>
      <w:r>
        <w:rPr>
          <w:spacing w:val="-6"/>
        </w:rPr>
        <w:t> </w:t>
      </w:r>
      <w:r>
        <w:rPr/>
        <w:t>фигур,</w:t>
      </w:r>
      <w:r>
        <w:rPr>
          <w:spacing w:val="-6"/>
        </w:rPr>
        <w:t> </w:t>
      </w:r>
      <w:r>
        <w:rPr/>
        <w:t>пугать</w:t>
      </w:r>
      <w:r>
        <w:rPr>
          <w:spacing w:val="-6"/>
        </w:rPr>
        <w:t> </w:t>
      </w:r>
      <w:r>
        <w:rPr/>
        <w:t>и </w:t>
      </w:r>
      <w:r>
        <w:rPr>
          <w:spacing w:val="-2"/>
        </w:rPr>
        <w:t>бороться;</w:t>
      </w:r>
    </w:p>
    <w:p>
      <w:pPr>
        <w:pStyle w:val="BodyText"/>
        <w:spacing w:line="226" w:lineRule="exact"/>
        <w:ind w:left="425" w:right="0" w:firstLine="0"/>
        <w:jc w:val="left"/>
      </w:pPr>
      <w:r>
        <w:rPr/>
        <w:t>−</w:t>
      </w:r>
      <w:r>
        <w:rPr>
          <w:spacing w:val="29"/>
        </w:rPr>
        <w:t>  </w:t>
      </w:r>
      <w:r>
        <w:rPr/>
        <w:t>превратить</w:t>
      </w:r>
      <w:r>
        <w:rPr>
          <w:spacing w:val="-3"/>
        </w:rPr>
        <w:t> </w:t>
      </w:r>
      <w:r>
        <w:rPr/>
        <w:t>в</w:t>
      </w:r>
      <w:r>
        <w:rPr>
          <w:spacing w:val="-4"/>
        </w:rPr>
        <w:t> </w:t>
      </w:r>
      <w:r>
        <w:rPr/>
        <w:t>микроскопическое</w:t>
      </w:r>
      <w:r>
        <w:rPr>
          <w:spacing w:val="-3"/>
        </w:rPr>
        <w:t> </w:t>
      </w:r>
      <w:r>
        <w:rPr>
          <w:spacing w:val="-2"/>
        </w:rPr>
        <w:t>существо.</w:t>
      </w:r>
    </w:p>
    <w:p>
      <w:pPr>
        <w:pStyle w:val="ListParagraph"/>
        <w:numPr>
          <w:ilvl w:val="0"/>
          <w:numId w:val="192"/>
        </w:numPr>
        <w:tabs>
          <w:tab w:pos="423" w:val="left" w:leader="none"/>
          <w:tab w:pos="425" w:val="left" w:leader="none"/>
        </w:tabs>
        <w:spacing w:line="240" w:lineRule="auto" w:before="54" w:after="0"/>
        <w:ind w:left="425" w:right="139" w:hanging="284"/>
        <w:jc w:val="both"/>
        <w:rPr>
          <w:sz w:val="20"/>
        </w:rPr>
      </w:pPr>
      <w:r>
        <w:rPr>
          <w:spacing w:val="-2"/>
          <w:sz w:val="20"/>
        </w:rPr>
        <w:t>В</w:t>
      </w:r>
      <w:r>
        <w:rPr>
          <w:spacing w:val="-5"/>
          <w:sz w:val="20"/>
        </w:rPr>
        <w:t> </w:t>
      </w:r>
      <w:r>
        <w:rPr>
          <w:spacing w:val="-2"/>
          <w:sz w:val="20"/>
        </w:rPr>
        <w:t>конце</w:t>
      </w:r>
      <w:r>
        <w:rPr>
          <w:spacing w:val="-5"/>
          <w:sz w:val="20"/>
        </w:rPr>
        <w:t> </w:t>
      </w:r>
      <w:r>
        <w:rPr>
          <w:spacing w:val="-2"/>
          <w:sz w:val="20"/>
        </w:rPr>
        <w:t>занятия</w:t>
      </w:r>
      <w:r>
        <w:rPr>
          <w:spacing w:val="-5"/>
          <w:sz w:val="20"/>
        </w:rPr>
        <w:t> </w:t>
      </w:r>
      <w:r>
        <w:rPr>
          <w:spacing w:val="-2"/>
          <w:sz w:val="20"/>
        </w:rPr>
        <w:t>важно</w:t>
      </w:r>
      <w:r>
        <w:rPr>
          <w:spacing w:val="-5"/>
          <w:sz w:val="20"/>
        </w:rPr>
        <w:t> </w:t>
      </w:r>
      <w:r>
        <w:rPr>
          <w:spacing w:val="-2"/>
          <w:sz w:val="20"/>
        </w:rPr>
        <w:t>обсудить</w:t>
      </w:r>
      <w:r>
        <w:rPr>
          <w:spacing w:val="-5"/>
          <w:sz w:val="20"/>
        </w:rPr>
        <w:t> </w:t>
      </w:r>
      <w:r>
        <w:rPr>
          <w:spacing w:val="-2"/>
          <w:sz w:val="20"/>
        </w:rPr>
        <w:t>с</w:t>
      </w:r>
      <w:r>
        <w:rPr>
          <w:spacing w:val="-5"/>
          <w:sz w:val="20"/>
        </w:rPr>
        <w:t> </w:t>
      </w:r>
      <w:r>
        <w:rPr>
          <w:spacing w:val="-2"/>
          <w:sz w:val="20"/>
        </w:rPr>
        <w:t>ребенком</w:t>
      </w:r>
      <w:r>
        <w:rPr>
          <w:spacing w:val="-5"/>
          <w:sz w:val="20"/>
        </w:rPr>
        <w:t> </w:t>
      </w:r>
      <w:r>
        <w:rPr>
          <w:spacing w:val="-2"/>
          <w:sz w:val="20"/>
        </w:rPr>
        <w:t>разницу</w:t>
      </w:r>
      <w:r>
        <w:rPr>
          <w:spacing w:val="-5"/>
          <w:sz w:val="20"/>
        </w:rPr>
        <w:t> </w:t>
      </w:r>
      <w:r>
        <w:rPr>
          <w:spacing w:val="-2"/>
          <w:sz w:val="20"/>
        </w:rPr>
        <w:t>между</w:t>
      </w:r>
      <w:r>
        <w:rPr>
          <w:spacing w:val="-5"/>
          <w:sz w:val="20"/>
        </w:rPr>
        <w:t> </w:t>
      </w:r>
      <w:r>
        <w:rPr>
          <w:spacing w:val="-2"/>
          <w:sz w:val="20"/>
        </w:rPr>
        <w:t>конструктивной</w:t>
      </w:r>
      <w:r>
        <w:rPr>
          <w:spacing w:val="-5"/>
          <w:sz w:val="20"/>
        </w:rPr>
        <w:t> </w:t>
      </w:r>
      <w:r>
        <w:rPr>
          <w:spacing w:val="-2"/>
          <w:sz w:val="20"/>
        </w:rPr>
        <w:t>и</w:t>
      </w:r>
      <w:r>
        <w:rPr>
          <w:spacing w:val="-5"/>
          <w:sz w:val="20"/>
        </w:rPr>
        <w:t> </w:t>
      </w:r>
      <w:r>
        <w:rPr>
          <w:spacing w:val="-2"/>
          <w:sz w:val="20"/>
        </w:rPr>
        <w:t>ток- сичной</w:t>
      </w:r>
      <w:r>
        <w:rPr>
          <w:spacing w:val="-3"/>
          <w:sz w:val="20"/>
        </w:rPr>
        <w:t> </w:t>
      </w:r>
      <w:r>
        <w:rPr>
          <w:spacing w:val="-2"/>
          <w:sz w:val="20"/>
        </w:rPr>
        <w:t>критикой.</w:t>
      </w:r>
      <w:r>
        <w:rPr>
          <w:spacing w:val="-3"/>
          <w:sz w:val="20"/>
        </w:rPr>
        <w:t> </w:t>
      </w:r>
      <w:r>
        <w:rPr>
          <w:spacing w:val="-2"/>
          <w:sz w:val="20"/>
        </w:rPr>
        <w:t>Это</w:t>
      </w:r>
      <w:r>
        <w:rPr>
          <w:spacing w:val="-3"/>
          <w:sz w:val="20"/>
        </w:rPr>
        <w:t> </w:t>
      </w:r>
      <w:r>
        <w:rPr>
          <w:spacing w:val="-2"/>
          <w:sz w:val="20"/>
        </w:rPr>
        <w:t>поможет</w:t>
      </w:r>
      <w:r>
        <w:rPr>
          <w:spacing w:val="-3"/>
          <w:sz w:val="20"/>
        </w:rPr>
        <w:t> </w:t>
      </w:r>
      <w:r>
        <w:rPr>
          <w:spacing w:val="-2"/>
          <w:sz w:val="20"/>
        </w:rPr>
        <w:t>отследить,</w:t>
      </w:r>
      <w:r>
        <w:rPr>
          <w:spacing w:val="-3"/>
          <w:sz w:val="20"/>
        </w:rPr>
        <w:t> </w:t>
      </w:r>
      <w:r>
        <w:rPr>
          <w:spacing w:val="-2"/>
          <w:sz w:val="20"/>
        </w:rPr>
        <w:t>в</w:t>
      </w:r>
      <w:r>
        <w:rPr>
          <w:spacing w:val="-3"/>
          <w:sz w:val="20"/>
        </w:rPr>
        <w:t> </w:t>
      </w:r>
      <w:r>
        <w:rPr>
          <w:spacing w:val="-2"/>
          <w:sz w:val="20"/>
        </w:rPr>
        <w:t>какие</w:t>
      </w:r>
      <w:r>
        <w:rPr>
          <w:spacing w:val="-3"/>
          <w:sz w:val="20"/>
        </w:rPr>
        <w:t> </w:t>
      </w:r>
      <w:r>
        <w:rPr>
          <w:spacing w:val="-2"/>
          <w:sz w:val="20"/>
        </w:rPr>
        <w:t>моменты</w:t>
      </w:r>
      <w:r>
        <w:rPr>
          <w:spacing w:val="-3"/>
          <w:sz w:val="20"/>
        </w:rPr>
        <w:t> </w:t>
      </w:r>
      <w:r>
        <w:rPr>
          <w:spacing w:val="-2"/>
          <w:sz w:val="20"/>
        </w:rPr>
        <w:t>появляется</w:t>
      </w:r>
      <w:r>
        <w:rPr>
          <w:spacing w:val="-3"/>
          <w:sz w:val="20"/>
        </w:rPr>
        <w:t> </w:t>
      </w:r>
      <w:r>
        <w:rPr>
          <w:spacing w:val="-2"/>
          <w:sz w:val="20"/>
        </w:rPr>
        <w:t>токсичный критик.</w:t>
      </w:r>
    </w:p>
    <w:p>
      <w:pPr>
        <w:pStyle w:val="BodyText"/>
        <w:spacing w:line="237" w:lineRule="auto"/>
      </w:pPr>
      <w:r>
        <w:rPr/>
        <w:t>Психолог</w:t>
      </w:r>
      <w:r>
        <w:rPr>
          <w:spacing w:val="-5"/>
        </w:rPr>
        <w:t> </w:t>
      </w:r>
      <w:r>
        <w:rPr/>
        <w:t>предлагает</w:t>
      </w:r>
      <w:r>
        <w:rPr>
          <w:spacing w:val="-5"/>
        </w:rPr>
        <w:t> </w:t>
      </w:r>
      <w:r>
        <w:rPr/>
        <w:t>назвать</w:t>
      </w:r>
      <w:r>
        <w:rPr>
          <w:spacing w:val="-5"/>
        </w:rPr>
        <w:t> </w:t>
      </w:r>
      <w:r>
        <w:rPr/>
        <w:t>качества</w:t>
      </w:r>
      <w:r>
        <w:rPr>
          <w:spacing w:val="-5"/>
        </w:rPr>
        <w:t> </w:t>
      </w:r>
      <w:r>
        <w:rPr/>
        <w:t>и</w:t>
      </w:r>
      <w:r>
        <w:rPr>
          <w:spacing w:val="-5"/>
        </w:rPr>
        <w:t> </w:t>
      </w:r>
      <w:r>
        <w:rPr/>
        <w:t>признаки</w:t>
      </w:r>
      <w:r>
        <w:rPr>
          <w:spacing w:val="-5"/>
        </w:rPr>
        <w:t> </w:t>
      </w:r>
      <w:r>
        <w:rPr/>
        <w:t>конструктивного</w:t>
      </w:r>
      <w:r>
        <w:rPr>
          <w:spacing w:val="-5"/>
        </w:rPr>
        <w:t> </w:t>
      </w:r>
      <w:r>
        <w:rPr/>
        <w:t>критика</w:t>
      </w:r>
      <w:r>
        <w:rPr>
          <w:spacing w:val="-5"/>
        </w:rPr>
        <w:t> </w:t>
      </w:r>
      <w:r>
        <w:rPr/>
        <w:t>–</w:t>
      </w:r>
      <w:r>
        <w:rPr>
          <w:spacing w:val="-5"/>
        </w:rPr>
        <w:t> </w:t>
      </w:r>
      <w:r>
        <w:rPr/>
        <w:t>до- статочно</w:t>
      </w:r>
      <w:r>
        <w:rPr>
          <w:spacing w:val="-4"/>
        </w:rPr>
        <w:t> </w:t>
      </w:r>
      <w:r>
        <w:rPr/>
        <w:t>хорошей,</w:t>
      </w:r>
      <w:r>
        <w:rPr>
          <w:spacing w:val="-4"/>
        </w:rPr>
        <w:t> </w:t>
      </w:r>
      <w:r>
        <w:rPr/>
        <w:t>заботливой</w:t>
      </w:r>
      <w:r>
        <w:rPr>
          <w:spacing w:val="-4"/>
        </w:rPr>
        <w:t> </w:t>
      </w:r>
      <w:r>
        <w:rPr/>
        <w:t>субличности.</w:t>
      </w:r>
      <w:r>
        <w:rPr>
          <w:spacing w:val="-4"/>
        </w:rPr>
        <w:t> </w:t>
      </w:r>
      <w:r>
        <w:rPr/>
        <w:t>Ребенок</w:t>
      </w:r>
      <w:r>
        <w:rPr>
          <w:spacing w:val="-4"/>
        </w:rPr>
        <w:t> </w:t>
      </w:r>
      <w:r>
        <w:rPr/>
        <w:t>подбирает</w:t>
      </w:r>
      <w:r>
        <w:rPr>
          <w:spacing w:val="-4"/>
        </w:rPr>
        <w:t> </w:t>
      </w:r>
      <w:r>
        <w:rPr/>
        <w:t>образ</w:t>
      </w:r>
      <w:r>
        <w:rPr>
          <w:spacing w:val="-4"/>
        </w:rPr>
        <w:t> </w:t>
      </w:r>
      <w:r>
        <w:rPr/>
        <w:t>и</w:t>
      </w:r>
      <w:r>
        <w:rPr>
          <w:spacing w:val="-4"/>
        </w:rPr>
        <w:t> </w:t>
      </w:r>
      <w:r>
        <w:rPr/>
        <w:t>вводит</w:t>
      </w:r>
      <w:r>
        <w:rPr>
          <w:spacing w:val="-4"/>
        </w:rPr>
        <w:t> </w:t>
      </w:r>
      <w:r>
        <w:rPr/>
        <w:t>его</w:t>
      </w:r>
      <w:r>
        <w:rPr>
          <w:spacing w:val="-4"/>
        </w:rPr>
        <w:t> </w:t>
      </w:r>
      <w:r>
        <w:rPr/>
        <w:t>в рисунок, сценку или визуализацию.</w:t>
      </w:r>
    </w:p>
    <w:p>
      <w:pPr>
        <w:pStyle w:val="BodyText"/>
        <w:spacing w:line="228" w:lineRule="exact"/>
        <w:ind w:left="425" w:right="0" w:firstLine="0"/>
      </w:pPr>
      <w:r>
        <w:rPr>
          <w:spacing w:val="-2"/>
        </w:rPr>
        <w:t>Чтобы</w:t>
      </w:r>
      <w:r>
        <w:rPr>
          <w:spacing w:val="-1"/>
        </w:rPr>
        <w:t> </w:t>
      </w:r>
      <w:r>
        <w:rPr>
          <w:spacing w:val="-2"/>
        </w:rPr>
        <w:t>описать</w:t>
      </w:r>
      <w:r>
        <w:rPr>
          <w:spacing w:val="-1"/>
        </w:rPr>
        <w:t> </w:t>
      </w:r>
      <w:r>
        <w:rPr>
          <w:spacing w:val="-2"/>
        </w:rPr>
        <w:t>конструктивного</w:t>
      </w:r>
      <w:r>
        <w:rPr>
          <w:spacing w:val="-1"/>
        </w:rPr>
        <w:t> </w:t>
      </w:r>
      <w:r>
        <w:rPr>
          <w:spacing w:val="-2"/>
        </w:rPr>
        <w:t>критика,</w:t>
      </w:r>
      <w:r>
        <w:rPr/>
        <w:t> </w:t>
      </w:r>
      <w:r>
        <w:rPr>
          <w:spacing w:val="-2"/>
        </w:rPr>
        <w:t>можно</w:t>
      </w:r>
      <w:r>
        <w:rPr>
          <w:spacing w:val="-1"/>
        </w:rPr>
        <w:t> </w:t>
      </w:r>
      <w:r>
        <w:rPr>
          <w:spacing w:val="-2"/>
        </w:rPr>
        <w:t>использовать</w:t>
      </w:r>
      <w:r>
        <w:rPr>
          <w:spacing w:val="-1"/>
        </w:rPr>
        <w:t> </w:t>
      </w:r>
      <w:r>
        <w:rPr>
          <w:spacing w:val="-2"/>
        </w:rPr>
        <w:t>такие</w:t>
      </w:r>
      <w:r>
        <w:rPr/>
        <w:t> </w:t>
      </w:r>
      <w:r>
        <w:rPr>
          <w:spacing w:val="-2"/>
        </w:rPr>
        <w:t>определения:</w:t>
      </w:r>
    </w:p>
    <w:p>
      <w:pPr>
        <w:spacing w:before="0"/>
        <w:ind w:left="141" w:right="139" w:firstLine="283"/>
        <w:jc w:val="both"/>
        <w:rPr>
          <w:i/>
          <w:sz w:val="20"/>
        </w:rPr>
      </w:pPr>
      <w:r>
        <w:rPr>
          <w:i/>
          <w:sz w:val="20"/>
        </w:rPr>
        <w:t>−</w:t>
      </w:r>
      <w:r>
        <w:rPr>
          <w:i/>
          <w:spacing w:val="-13"/>
          <w:sz w:val="20"/>
        </w:rPr>
        <w:t> </w:t>
      </w:r>
      <w:r>
        <w:rPr>
          <w:i/>
          <w:sz w:val="20"/>
        </w:rPr>
        <w:t>его</w:t>
      </w:r>
      <w:r>
        <w:rPr>
          <w:i/>
          <w:spacing w:val="-12"/>
          <w:sz w:val="20"/>
        </w:rPr>
        <w:t> </w:t>
      </w:r>
      <w:r>
        <w:rPr>
          <w:i/>
          <w:sz w:val="20"/>
        </w:rPr>
        <w:t>мотивация</w:t>
      </w:r>
      <w:r>
        <w:rPr>
          <w:i/>
          <w:spacing w:val="-13"/>
          <w:sz w:val="20"/>
        </w:rPr>
        <w:t> </w:t>
      </w:r>
      <w:r>
        <w:rPr>
          <w:i/>
          <w:sz w:val="20"/>
        </w:rPr>
        <w:t>–</w:t>
      </w:r>
      <w:r>
        <w:rPr>
          <w:i/>
          <w:spacing w:val="-12"/>
          <w:sz w:val="20"/>
        </w:rPr>
        <w:t> </w:t>
      </w:r>
      <w:r>
        <w:rPr>
          <w:i/>
          <w:sz w:val="20"/>
        </w:rPr>
        <w:t>одобрять</w:t>
      </w:r>
      <w:r>
        <w:rPr>
          <w:i/>
          <w:spacing w:val="-13"/>
          <w:sz w:val="20"/>
        </w:rPr>
        <w:t> </w:t>
      </w:r>
      <w:r>
        <w:rPr>
          <w:i/>
          <w:sz w:val="20"/>
        </w:rPr>
        <w:t>тебя</w:t>
      </w:r>
      <w:r>
        <w:rPr>
          <w:i/>
          <w:spacing w:val="-12"/>
          <w:sz w:val="20"/>
        </w:rPr>
        <w:t> </w:t>
      </w:r>
      <w:r>
        <w:rPr>
          <w:i/>
          <w:sz w:val="20"/>
        </w:rPr>
        <w:t>и</w:t>
      </w:r>
      <w:r>
        <w:rPr>
          <w:i/>
          <w:spacing w:val="-13"/>
          <w:sz w:val="20"/>
        </w:rPr>
        <w:t> </w:t>
      </w:r>
      <w:r>
        <w:rPr>
          <w:i/>
          <w:sz w:val="20"/>
        </w:rPr>
        <w:t>ободрять,</w:t>
      </w:r>
      <w:r>
        <w:rPr>
          <w:i/>
          <w:spacing w:val="-12"/>
          <w:sz w:val="20"/>
        </w:rPr>
        <w:t> </w:t>
      </w:r>
      <w:r>
        <w:rPr>
          <w:i/>
          <w:sz w:val="20"/>
        </w:rPr>
        <w:t>вдохновлять</w:t>
      </w:r>
      <w:r>
        <w:rPr>
          <w:i/>
          <w:spacing w:val="-13"/>
          <w:sz w:val="20"/>
        </w:rPr>
        <w:t> </w:t>
      </w:r>
      <w:r>
        <w:rPr>
          <w:i/>
          <w:sz w:val="20"/>
        </w:rPr>
        <w:t>на</w:t>
      </w:r>
      <w:r>
        <w:rPr>
          <w:i/>
          <w:spacing w:val="-12"/>
          <w:sz w:val="20"/>
        </w:rPr>
        <w:t> </w:t>
      </w:r>
      <w:r>
        <w:rPr>
          <w:i/>
          <w:sz w:val="20"/>
        </w:rPr>
        <w:t>то,</w:t>
      </w:r>
      <w:r>
        <w:rPr>
          <w:i/>
          <w:spacing w:val="-13"/>
          <w:sz w:val="20"/>
        </w:rPr>
        <w:t> </w:t>
      </w:r>
      <w:r>
        <w:rPr>
          <w:i/>
          <w:sz w:val="20"/>
        </w:rPr>
        <w:t>чтобы</w:t>
      </w:r>
      <w:r>
        <w:rPr>
          <w:i/>
          <w:spacing w:val="-12"/>
          <w:sz w:val="20"/>
        </w:rPr>
        <w:t> </w:t>
      </w:r>
      <w:r>
        <w:rPr>
          <w:i/>
          <w:sz w:val="20"/>
        </w:rPr>
        <w:t>продол- жать пытаться;</w:t>
      </w:r>
    </w:p>
    <w:p>
      <w:pPr>
        <w:spacing w:line="237" w:lineRule="auto" w:before="0"/>
        <w:ind w:left="141" w:right="139" w:firstLine="283"/>
        <w:jc w:val="both"/>
        <w:rPr>
          <w:i/>
          <w:sz w:val="20"/>
        </w:rPr>
      </w:pPr>
      <w:r>
        <w:rPr>
          <w:i/>
          <w:sz w:val="20"/>
        </w:rPr>
        <w:t>− он смотрит на ситуацию со всех сторон: и на то, что хорошо получается, в чем твоя сила, и на то, что надо исправить, изменить, где необходимо пробовать </w:t>
      </w:r>
      <w:r>
        <w:rPr>
          <w:i/>
          <w:spacing w:val="-2"/>
          <w:sz w:val="20"/>
        </w:rPr>
        <w:t>снова;</w:t>
      </w:r>
    </w:p>
    <w:p>
      <w:pPr>
        <w:spacing w:before="0"/>
        <w:ind w:left="141" w:right="139" w:firstLine="283"/>
        <w:jc w:val="both"/>
        <w:rPr>
          <w:i/>
          <w:sz w:val="20"/>
        </w:rPr>
      </w:pPr>
      <w:r>
        <w:rPr>
          <w:i/>
          <w:sz w:val="20"/>
        </w:rPr>
        <w:t>− он не указывает на то, что плохо, а помогает тебе обдумать, как исправить ситуацию,</w:t>
      </w:r>
      <w:r>
        <w:rPr>
          <w:i/>
          <w:spacing w:val="-10"/>
          <w:sz w:val="20"/>
        </w:rPr>
        <w:t> </w:t>
      </w:r>
      <w:r>
        <w:rPr>
          <w:i/>
          <w:sz w:val="20"/>
        </w:rPr>
        <w:t>что</w:t>
      </w:r>
      <w:r>
        <w:rPr>
          <w:i/>
          <w:spacing w:val="-10"/>
          <w:sz w:val="20"/>
        </w:rPr>
        <w:t> </w:t>
      </w:r>
      <w:r>
        <w:rPr>
          <w:i/>
          <w:sz w:val="20"/>
        </w:rPr>
        <w:t>ты</w:t>
      </w:r>
      <w:r>
        <w:rPr>
          <w:i/>
          <w:spacing w:val="-10"/>
          <w:sz w:val="20"/>
        </w:rPr>
        <w:t> </w:t>
      </w:r>
      <w:r>
        <w:rPr>
          <w:i/>
          <w:sz w:val="20"/>
        </w:rPr>
        <w:t>можешь</w:t>
      </w:r>
      <w:r>
        <w:rPr>
          <w:i/>
          <w:spacing w:val="-10"/>
          <w:sz w:val="20"/>
        </w:rPr>
        <w:t> </w:t>
      </w:r>
      <w:r>
        <w:rPr>
          <w:i/>
          <w:sz w:val="20"/>
        </w:rPr>
        <w:t>предпринять,</w:t>
      </w:r>
      <w:r>
        <w:rPr>
          <w:i/>
          <w:spacing w:val="-10"/>
          <w:sz w:val="20"/>
        </w:rPr>
        <w:t> </w:t>
      </w:r>
      <w:r>
        <w:rPr>
          <w:i/>
          <w:sz w:val="20"/>
        </w:rPr>
        <w:t>как</w:t>
      </w:r>
      <w:r>
        <w:rPr>
          <w:i/>
          <w:spacing w:val="-10"/>
          <w:sz w:val="20"/>
        </w:rPr>
        <w:t> </w:t>
      </w:r>
      <w:r>
        <w:rPr>
          <w:i/>
          <w:sz w:val="20"/>
        </w:rPr>
        <w:t>привести</w:t>
      </w:r>
      <w:r>
        <w:rPr>
          <w:i/>
          <w:spacing w:val="-10"/>
          <w:sz w:val="20"/>
        </w:rPr>
        <w:t> </w:t>
      </w:r>
      <w:r>
        <w:rPr>
          <w:i/>
          <w:sz w:val="20"/>
        </w:rPr>
        <w:t>себя</w:t>
      </w:r>
      <w:r>
        <w:rPr>
          <w:i/>
          <w:spacing w:val="-10"/>
          <w:sz w:val="20"/>
        </w:rPr>
        <w:t> </w:t>
      </w:r>
      <w:r>
        <w:rPr>
          <w:i/>
          <w:sz w:val="20"/>
        </w:rPr>
        <w:t>в</w:t>
      </w:r>
      <w:r>
        <w:rPr>
          <w:i/>
          <w:spacing w:val="-10"/>
          <w:sz w:val="20"/>
        </w:rPr>
        <w:t> </w:t>
      </w:r>
      <w:r>
        <w:rPr>
          <w:i/>
          <w:sz w:val="20"/>
        </w:rPr>
        <w:t>душевный</w:t>
      </w:r>
      <w:r>
        <w:rPr>
          <w:i/>
          <w:spacing w:val="-10"/>
          <w:sz w:val="20"/>
        </w:rPr>
        <w:t> </w:t>
      </w:r>
      <w:r>
        <w:rPr>
          <w:i/>
          <w:sz w:val="20"/>
        </w:rPr>
        <w:t>и</w:t>
      </w:r>
      <w:r>
        <w:rPr>
          <w:i/>
          <w:spacing w:val="-10"/>
          <w:sz w:val="20"/>
        </w:rPr>
        <w:t> </w:t>
      </w:r>
      <w:r>
        <w:rPr>
          <w:i/>
          <w:sz w:val="20"/>
        </w:rPr>
        <w:t>телесный </w:t>
      </w:r>
      <w:r>
        <w:rPr>
          <w:i/>
          <w:spacing w:val="-2"/>
          <w:sz w:val="20"/>
        </w:rPr>
        <w:t>порядок;</w:t>
      </w:r>
    </w:p>
    <w:p>
      <w:pPr>
        <w:spacing w:line="237" w:lineRule="auto" w:before="0"/>
        <w:ind w:left="141" w:right="139" w:firstLine="283"/>
        <w:jc w:val="both"/>
        <w:rPr>
          <w:i/>
          <w:sz w:val="20"/>
        </w:rPr>
      </w:pPr>
      <w:r>
        <w:rPr>
          <w:i/>
          <w:sz w:val="20"/>
        </w:rPr>
        <w:t>−</w:t>
      </w:r>
      <w:r>
        <w:rPr>
          <w:i/>
          <w:spacing w:val="-13"/>
          <w:sz w:val="20"/>
        </w:rPr>
        <w:t> </w:t>
      </w:r>
      <w:r>
        <w:rPr>
          <w:i/>
          <w:sz w:val="20"/>
        </w:rPr>
        <w:t>он</w:t>
      </w:r>
      <w:r>
        <w:rPr>
          <w:i/>
          <w:spacing w:val="-12"/>
          <w:sz w:val="20"/>
        </w:rPr>
        <w:t> </w:t>
      </w:r>
      <w:r>
        <w:rPr>
          <w:i/>
          <w:sz w:val="20"/>
        </w:rPr>
        <w:t>знает</w:t>
      </w:r>
      <w:r>
        <w:rPr>
          <w:i/>
          <w:spacing w:val="-13"/>
          <w:sz w:val="20"/>
        </w:rPr>
        <w:t> </w:t>
      </w:r>
      <w:r>
        <w:rPr>
          <w:i/>
          <w:sz w:val="20"/>
        </w:rPr>
        <w:t>тебя</w:t>
      </w:r>
      <w:r>
        <w:rPr>
          <w:i/>
          <w:spacing w:val="-12"/>
          <w:sz w:val="20"/>
        </w:rPr>
        <w:t> </w:t>
      </w:r>
      <w:r>
        <w:rPr>
          <w:i/>
          <w:sz w:val="20"/>
        </w:rPr>
        <w:t>как</w:t>
      </w:r>
      <w:r>
        <w:rPr>
          <w:i/>
          <w:spacing w:val="-13"/>
          <w:sz w:val="20"/>
        </w:rPr>
        <w:t> </w:t>
      </w:r>
      <w:r>
        <w:rPr>
          <w:i/>
          <w:sz w:val="20"/>
        </w:rPr>
        <w:t>индивидуальность,</w:t>
      </w:r>
      <w:r>
        <w:rPr>
          <w:i/>
          <w:spacing w:val="-12"/>
          <w:sz w:val="20"/>
        </w:rPr>
        <w:t> </w:t>
      </w:r>
      <w:r>
        <w:rPr>
          <w:i/>
          <w:sz w:val="20"/>
        </w:rPr>
        <w:t>понимает</w:t>
      </w:r>
      <w:r>
        <w:rPr>
          <w:i/>
          <w:spacing w:val="-13"/>
          <w:sz w:val="20"/>
        </w:rPr>
        <w:t> </w:t>
      </w:r>
      <w:r>
        <w:rPr>
          <w:i/>
          <w:sz w:val="20"/>
        </w:rPr>
        <w:t>твою</w:t>
      </w:r>
      <w:r>
        <w:rPr>
          <w:i/>
          <w:spacing w:val="-12"/>
          <w:sz w:val="20"/>
        </w:rPr>
        <w:t> </w:t>
      </w:r>
      <w:r>
        <w:rPr>
          <w:i/>
          <w:sz w:val="20"/>
        </w:rPr>
        <w:t>уникальность</w:t>
      </w:r>
      <w:r>
        <w:rPr>
          <w:i/>
          <w:spacing w:val="-13"/>
          <w:sz w:val="20"/>
        </w:rPr>
        <w:t> </w:t>
      </w:r>
      <w:r>
        <w:rPr>
          <w:i/>
          <w:sz w:val="20"/>
        </w:rPr>
        <w:t>и</w:t>
      </w:r>
      <w:r>
        <w:rPr>
          <w:i/>
          <w:spacing w:val="-12"/>
          <w:sz w:val="20"/>
        </w:rPr>
        <w:t> </w:t>
      </w:r>
      <w:r>
        <w:rPr>
          <w:i/>
          <w:sz w:val="20"/>
        </w:rPr>
        <w:t>отличия, знает,</w:t>
      </w:r>
      <w:r>
        <w:rPr>
          <w:i/>
          <w:spacing w:val="-1"/>
          <w:sz w:val="20"/>
        </w:rPr>
        <w:t> </w:t>
      </w:r>
      <w:r>
        <w:rPr>
          <w:i/>
          <w:sz w:val="20"/>
        </w:rPr>
        <w:t>где</w:t>
      </w:r>
      <w:r>
        <w:rPr>
          <w:i/>
          <w:spacing w:val="-1"/>
          <w:sz w:val="20"/>
        </w:rPr>
        <w:t> </w:t>
      </w:r>
      <w:r>
        <w:rPr>
          <w:i/>
          <w:sz w:val="20"/>
        </w:rPr>
        <w:t>тебе</w:t>
      </w:r>
      <w:r>
        <w:rPr>
          <w:i/>
          <w:spacing w:val="-1"/>
          <w:sz w:val="20"/>
        </w:rPr>
        <w:t> </w:t>
      </w:r>
      <w:r>
        <w:rPr>
          <w:i/>
          <w:sz w:val="20"/>
        </w:rPr>
        <w:t>трудно,</w:t>
      </w:r>
      <w:r>
        <w:rPr>
          <w:i/>
          <w:spacing w:val="-1"/>
          <w:sz w:val="20"/>
        </w:rPr>
        <w:t> </w:t>
      </w:r>
      <w:r>
        <w:rPr>
          <w:i/>
          <w:sz w:val="20"/>
        </w:rPr>
        <w:t>а</w:t>
      </w:r>
      <w:r>
        <w:rPr>
          <w:i/>
          <w:spacing w:val="-1"/>
          <w:sz w:val="20"/>
        </w:rPr>
        <w:t> </w:t>
      </w:r>
      <w:r>
        <w:rPr>
          <w:i/>
          <w:sz w:val="20"/>
        </w:rPr>
        <w:t>в</w:t>
      </w:r>
      <w:r>
        <w:rPr>
          <w:i/>
          <w:spacing w:val="-1"/>
          <w:sz w:val="20"/>
        </w:rPr>
        <w:t> </w:t>
      </w:r>
      <w:r>
        <w:rPr>
          <w:i/>
          <w:sz w:val="20"/>
        </w:rPr>
        <w:t>чем</w:t>
      </w:r>
      <w:r>
        <w:rPr>
          <w:i/>
          <w:spacing w:val="-1"/>
          <w:sz w:val="20"/>
        </w:rPr>
        <w:t> </w:t>
      </w:r>
      <w:r>
        <w:rPr>
          <w:i/>
          <w:sz w:val="20"/>
        </w:rPr>
        <w:t>ты</w:t>
      </w:r>
      <w:r>
        <w:rPr>
          <w:i/>
          <w:spacing w:val="-1"/>
          <w:sz w:val="20"/>
        </w:rPr>
        <w:t> </w:t>
      </w:r>
      <w:r>
        <w:rPr>
          <w:i/>
          <w:sz w:val="20"/>
        </w:rPr>
        <w:t>силен,</w:t>
      </w:r>
      <w:r>
        <w:rPr>
          <w:i/>
          <w:spacing w:val="-1"/>
          <w:sz w:val="20"/>
        </w:rPr>
        <w:t> </w:t>
      </w:r>
      <w:r>
        <w:rPr>
          <w:i/>
          <w:sz w:val="20"/>
        </w:rPr>
        <w:t>не</w:t>
      </w:r>
      <w:r>
        <w:rPr>
          <w:i/>
          <w:spacing w:val="-1"/>
          <w:sz w:val="20"/>
        </w:rPr>
        <w:t> </w:t>
      </w:r>
      <w:r>
        <w:rPr>
          <w:i/>
          <w:sz w:val="20"/>
        </w:rPr>
        <w:t>смотрит</w:t>
      </w:r>
      <w:r>
        <w:rPr>
          <w:i/>
          <w:spacing w:val="-1"/>
          <w:sz w:val="20"/>
        </w:rPr>
        <w:t> </w:t>
      </w:r>
      <w:r>
        <w:rPr>
          <w:i/>
          <w:sz w:val="20"/>
        </w:rPr>
        <w:t>на</w:t>
      </w:r>
      <w:r>
        <w:rPr>
          <w:i/>
          <w:spacing w:val="-1"/>
          <w:sz w:val="20"/>
        </w:rPr>
        <w:t> </w:t>
      </w:r>
      <w:r>
        <w:rPr>
          <w:i/>
          <w:sz w:val="20"/>
        </w:rPr>
        <w:t>тебя</w:t>
      </w:r>
      <w:r>
        <w:rPr>
          <w:i/>
          <w:spacing w:val="-1"/>
          <w:sz w:val="20"/>
        </w:rPr>
        <w:t> </w:t>
      </w:r>
      <w:r>
        <w:rPr>
          <w:i/>
          <w:sz w:val="20"/>
        </w:rPr>
        <w:t>через</w:t>
      </w:r>
      <w:r>
        <w:rPr>
          <w:i/>
          <w:spacing w:val="-1"/>
          <w:sz w:val="20"/>
        </w:rPr>
        <w:t> </w:t>
      </w:r>
      <w:r>
        <w:rPr>
          <w:i/>
          <w:sz w:val="20"/>
        </w:rPr>
        <w:t>стереотипы</w:t>
      </w:r>
      <w:r>
        <w:rPr>
          <w:i/>
          <w:spacing w:val="-1"/>
          <w:sz w:val="20"/>
        </w:rPr>
        <w:t> </w:t>
      </w:r>
      <w:r>
        <w:rPr>
          <w:i/>
          <w:sz w:val="20"/>
        </w:rPr>
        <w:t>и не имеет цели самоутвердиться за счет тебя.</w:t>
      </w:r>
    </w:p>
    <w:p>
      <w:pPr>
        <w:pStyle w:val="BodyText"/>
      </w:pPr>
      <w:r>
        <w:rPr/>
        <w:t>После</w:t>
      </w:r>
      <w:r>
        <w:rPr>
          <w:spacing w:val="-3"/>
        </w:rPr>
        <w:t> </w:t>
      </w:r>
      <w:r>
        <w:rPr/>
        <w:t>введения</w:t>
      </w:r>
      <w:r>
        <w:rPr>
          <w:spacing w:val="-3"/>
        </w:rPr>
        <w:t> </w:t>
      </w:r>
      <w:r>
        <w:rPr/>
        <w:t>фигуры</w:t>
      </w:r>
      <w:r>
        <w:rPr>
          <w:spacing w:val="-2"/>
        </w:rPr>
        <w:t> </w:t>
      </w:r>
      <w:r>
        <w:rPr/>
        <w:t>конструктивного</w:t>
      </w:r>
      <w:r>
        <w:rPr>
          <w:spacing w:val="-3"/>
        </w:rPr>
        <w:t> </w:t>
      </w:r>
      <w:r>
        <w:rPr/>
        <w:t>критика</w:t>
      </w:r>
      <w:r>
        <w:rPr>
          <w:spacing w:val="-3"/>
        </w:rPr>
        <w:t> </w:t>
      </w:r>
      <w:r>
        <w:rPr/>
        <w:t>необходимо</w:t>
      </w:r>
      <w:r>
        <w:rPr>
          <w:spacing w:val="-3"/>
        </w:rPr>
        <w:t> </w:t>
      </w:r>
      <w:r>
        <w:rPr/>
        <w:t>наполнить</w:t>
      </w:r>
      <w:r>
        <w:rPr>
          <w:spacing w:val="-2"/>
        </w:rPr>
        <w:t> </w:t>
      </w:r>
      <w:r>
        <w:rPr/>
        <w:t>ее</w:t>
      </w:r>
      <w:r>
        <w:rPr>
          <w:spacing w:val="-3"/>
        </w:rPr>
        <w:t> </w:t>
      </w:r>
      <w:r>
        <w:rPr/>
        <w:t>кон- кретными</w:t>
      </w:r>
      <w:r>
        <w:rPr>
          <w:spacing w:val="-11"/>
        </w:rPr>
        <w:t> </w:t>
      </w:r>
      <w:r>
        <w:rPr/>
        <w:t>посланиями.</w:t>
      </w:r>
      <w:r>
        <w:rPr>
          <w:spacing w:val="-12"/>
        </w:rPr>
        <w:t> </w:t>
      </w:r>
      <w:r>
        <w:rPr/>
        <w:t>Психолог</w:t>
      </w:r>
      <w:r>
        <w:rPr>
          <w:spacing w:val="-11"/>
        </w:rPr>
        <w:t> </w:t>
      </w:r>
      <w:r>
        <w:rPr/>
        <w:t>обсуждает/придумывает</w:t>
      </w:r>
      <w:r>
        <w:rPr>
          <w:spacing w:val="-12"/>
        </w:rPr>
        <w:t> </w:t>
      </w:r>
      <w:r>
        <w:rPr/>
        <w:t>вместе</w:t>
      </w:r>
      <w:r>
        <w:rPr>
          <w:spacing w:val="-11"/>
        </w:rPr>
        <w:t> </w:t>
      </w:r>
      <w:r>
        <w:rPr/>
        <w:t>с</w:t>
      </w:r>
      <w:r>
        <w:rPr>
          <w:spacing w:val="-12"/>
        </w:rPr>
        <w:t> </w:t>
      </w:r>
      <w:r>
        <w:rPr/>
        <w:t>ребенком,</w:t>
      </w:r>
      <w:r>
        <w:rPr>
          <w:spacing w:val="-11"/>
        </w:rPr>
        <w:t> </w:t>
      </w:r>
      <w:r>
        <w:rPr/>
        <w:t>что</w:t>
      </w:r>
      <w:r>
        <w:rPr>
          <w:spacing w:val="-12"/>
        </w:rPr>
        <w:t> </w:t>
      </w:r>
      <w:r>
        <w:rPr/>
        <w:t>тот может говорить себе из этой роли.</w:t>
      </w:r>
    </w:p>
    <w:p>
      <w:pPr>
        <w:spacing w:before="102"/>
        <w:ind w:left="425" w:right="0" w:firstLine="0"/>
        <w:jc w:val="both"/>
        <w:rPr>
          <w:b/>
          <w:i/>
          <w:sz w:val="20"/>
        </w:rPr>
      </w:pPr>
      <w:r>
        <w:rPr>
          <w:b/>
          <w:i/>
          <w:sz w:val="20"/>
        </w:rPr>
        <w:t>Техника</w:t>
      </w:r>
      <w:r>
        <w:rPr>
          <w:b/>
          <w:i/>
          <w:spacing w:val="-8"/>
          <w:sz w:val="20"/>
        </w:rPr>
        <w:t> </w:t>
      </w:r>
      <w:r>
        <w:rPr>
          <w:b/>
          <w:i/>
          <w:sz w:val="20"/>
        </w:rPr>
        <w:t>«Сундук</w:t>
      </w:r>
      <w:r>
        <w:rPr>
          <w:b/>
          <w:i/>
          <w:spacing w:val="-8"/>
          <w:sz w:val="20"/>
        </w:rPr>
        <w:t> </w:t>
      </w:r>
      <w:r>
        <w:rPr>
          <w:b/>
          <w:i/>
          <w:sz w:val="20"/>
        </w:rPr>
        <w:t>с</w:t>
      </w:r>
      <w:r>
        <w:rPr>
          <w:b/>
          <w:i/>
          <w:spacing w:val="-7"/>
          <w:sz w:val="20"/>
        </w:rPr>
        <w:t> </w:t>
      </w:r>
      <w:r>
        <w:rPr>
          <w:b/>
          <w:i/>
          <w:spacing w:val="-2"/>
          <w:sz w:val="20"/>
        </w:rPr>
        <w:t>сокровищами»</w:t>
      </w:r>
    </w:p>
    <w:p>
      <w:pPr>
        <w:pStyle w:val="BodyText"/>
      </w:pPr>
      <w:r>
        <w:rPr>
          <w:i/>
        </w:rPr>
        <w:t>Цели:</w:t>
      </w:r>
      <w:r>
        <w:rPr>
          <w:i/>
          <w:spacing w:val="-13"/>
        </w:rPr>
        <w:t> </w:t>
      </w:r>
      <w:r>
        <w:rPr/>
        <w:t>содействие</w:t>
      </w:r>
      <w:r>
        <w:rPr>
          <w:spacing w:val="-12"/>
        </w:rPr>
        <w:t> </w:t>
      </w:r>
      <w:r>
        <w:rPr/>
        <w:t>контакту</w:t>
      </w:r>
      <w:r>
        <w:rPr>
          <w:spacing w:val="-13"/>
        </w:rPr>
        <w:t> </w:t>
      </w:r>
      <w:r>
        <w:rPr/>
        <w:t>с</w:t>
      </w:r>
      <w:r>
        <w:rPr>
          <w:spacing w:val="-12"/>
        </w:rPr>
        <w:t> </w:t>
      </w:r>
      <w:r>
        <w:rPr/>
        <w:t>ресурсными</w:t>
      </w:r>
      <w:r>
        <w:rPr>
          <w:spacing w:val="-13"/>
        </w:rPr>
        <w:t> </w:t>
      </w:r>
      <w:r>
        <w:rPr/>
        <w:t>эмоциями</w:t>
      </w:r>
      <w:r>
        <w:rPr>
          <w:spacing w:val="-12"/>
        </w:rPr>
        <w:t> </w:t>
      </w:r>
      <w:r>
        <w:rPr/>
        <w:t>и</w:t>
      </w:r>
      <w:r>
        <w:rPr>
          <w:spacing w:val="-13"/>
        </w:rPr>
        <w:t> </w:t>
      </w:r>
      <w:r>
        <w:rPr/>
        <w:t>состояниями;</w:t>
      </w:r>
      <w:r>
        <w:rPr>
          <w:spacing w:val="-12"/>
        </w:rPr>
        <w:t> </w:t>
      </w:r>
      <w:r>
        <w:rPr/>
        <w:t>обучение</w:t>
      </w:r>
      <w:r>
        <w:rPr>
          <w:spacing w:val="-13"/>
        </w:rPr>
        <w:t> </w:t>
      </w:r>
      <w:r>
        <w:rPr/>
        <w:t>кон- структивным способам обретения самоуважения; стимулирование самопознания и содействие в формировании позитивной идентичности.</w:t>
      </w:r>
    </w:p>
    <w:p>
      <w:pPr>
        <w:spacing w:before="0"/>
        <w:ind w:left="425" w:right="0" w:firstLine="0"/>
        <w:jc w:val="both"/>
        <w:rPr>
          <w:sz w:val="20"/>
        </w:rPr>
      </w:pPr>
      <w:r>
        <w:rPr>
          <w:i/>
          <w:sz w:val="20"/>
        </w:rPr>
        <w:t>Рекомендованный</w:t>
      </w:r>
      <w:r>
        <w:rPr>
          <w:i/>
          <w:spacing w:val="-10"/>
          <w:sz w:val="20"/>
        </w:rPr>
        <w:t> </w:t>
      </w:r>
      <w:r>
        <w:rPr>
          <w:i/>
          <w:sz w:val="20"/>
        </w:rPr>
        <w:t>возраст:</w:t>
      </w:r>
      <w:r>
        <w:rPr>
          <w:i/>
          <w:spacing w:val="-10"/>
          <w:sz w:val="20"/>
        </w:rPr>
        <w:t> </w:t>
      </w:r>
      <w:r>
        <w:rPr>
          <w:sz w:val="20"/>
        </w:rPr>
        <w:t>от</w:t>
      </w:r>
      <w:r>
        <w:rPr>
          <w:spacing w:val="-10"/>
          <w:sz w:val="20"/>
        </w:rPr>
        <w:t> </w:t>
      </w:r>
      <w:r>
        <w:rPr>
          <w:sz w:val="20"/>
        </w:rPr>
        <w:t>8</w:t>
      </w:r>
      <w:r>
        <w:rPr>
          <w:spacing w:val="-10"/>
          <w:sz w:val="20"/>
        </w:rPr>
        <w:t> </w:t>
      </w:r>
      <w:r>
        <w:rPr>
          <w:spacing w:val="-4"/>
          <w:sz w:val="20"/>
        </w:rPr>
        <w:t>лет.</w:t>
      </w:r>
    </w:p>
    <w:p>
      <w:pPr>
        <w:pStyle w:val="BodyText"/>
        <w:ind w:left="425" w:right="0" w:firstLine="0"/>
      </w:pPr>
      <w:r>
        <w:rPr>
          <w:i/>
        </w:rPr>
        <w:t>Источник:</w:t>
      </w:r>
      <w:r>
        <w:rPr>
          <w:i/>
          <w:spacing w:val="-9"/>
        </w:rPr>
        <w:t> </w:t>
      </w:r>
      <w:r>
        <w:rPr/>
        <w:t>авторский</w:t>
      </w:r>
      <w:r>
        <w:rPr>
          <w:spacing w:val="-8"/>
        </w:rPr>
        <w:t> </w:t>
      </w:r>
      <w:r>
        <w:rPr/>
        <w:t>тренинг</w:t>
      </w:r>
      <w:r>
        <w:rPr>
          <w:spacing w:val="-8"/>
        </w:rPr>
        <w:t> </w:t>
      </w:r>
      <w:r>
        <w:rPr/>
        <w:t>Л.А.</w:t>
      </w:r>
      <w:r>
        <w:rPr>
          <w:spacing w:val="-8"/>
        </w:rPr>
        <w:t> </w:t>
      </w:r>
      <w:r>
        <w:rPr/>
        <w:t>Могуновой</w:t>
      </w:r>
      <w:r>
        <w:rPr>
          <w:spacing w:val="-8"/>
        </w:rPr>
        <w:t> </w:t>
      </w:r>
      <w:r>
        <w:rPr/>
        <w:t>(Хухлаев,</w:t>
      </w:r>
      <w:r>
        <w:rPr>
          <w:spacing w:val="-7"/>
        </w:rPr>
        <w:t> </w:t>
      </w:r>
      <w:r>
        <w:rPr/>
        <w:t>Павлова</w:t>
      </w:r>
      <w:r>
        <w:rPr>
          <w:spacing w:val="-8"/>
        </w:rPr>
        <w:t> </w:t>
      </w:r>
      <w:r>
        <w:rPr/>
        <w:t>и</w:t>
      </w:r>
      <w:r>
        <w:rPr>
          <w:spacing w:val="-8"/>
        </w:rPr>
        <w:t> </w:t>
      </w:r>
      <w:r>
        <w:rPr/>
        <w:t>др.,</w:t>
      </w:r>
      <w:r>
        <w:rPr>
          <w:spacing w:val="-7"/>
        </w:rPr>
        <w:t> </w:t>
      </w:r>
      <w:r>
        <w:rPr>
          <w:spacing w:val="-2"/>
        </w:rPr>
        <w:t>2022).</w:t>
      </w:r>
    </w:p>
    <w:p>
      <w:pPr>
        <w:pStyle w:val="BodyText"/>
        <w:jc w:val="right"/>
      </w:pPr>
      <w:r>
        <w:rPr/>
        <w:t>«Сокровища» – это внутренние и внешние ресурсы, поддерживающие ребенка в жизни, наполняющие его силами и уверенностью, теплом, радостью, вдохновением. Технику можно проводить с коллекцией камней, ракушек и других природных ма- териалов</w:t>
      </w:r>
      <w:r>
        <w:rPr>
          <w:spacing w:val="-2"/>
        </w:rPr>
        <w:t> </w:t>
      </w:r>
      <w:r>
        <w:rPr/>
        <w:t>–</w:t>
      </w:r>
      <w:r>
        <w:rPr>
          <w:spacing w:val="-2"/>
        </w:rPr>
        <w:t> </w:t>
      </w:r>
      <w:r>
        <w:rPr/>
        <w:t>или</w:t>
      </w:r>
      <w:r>
        <w:rPr>
          <w:spacing w:val="-2"/>
        </w:rPr>
        <w:t> </w:t>
      </w:r>
      <w:r>
        <w:rPr/>
        <w:t>рисовать</w:t>
      </w:r>
      <w:r>
        <w:rPr>
          <w:spacing w:val="-2"/>
        </w:rPr>
        <w:t> </w:t>
      </w:r>
      <w:r>
        <w:rPr/>
        <w:t>образы</w:t>
      </w:r>
      <w:r>
        <w:rPr>
          <w:spacing w:val="-2"/>
        </w:rPr>
        <w:t> </w:t>
      </w:r>
      <w:r>
        <w:rPr/>
        <w:t>и</w:t>
      </w:r>
      <w:r>
        <w:rPr>
          <w:spacing w:val="-2"/>
        </w:rPr>
        <w:t> </w:t>
      </w:r>
      <w:r>
        <w:rPr/>
        <w:t>символы</w:t>
      </w:r>
      <w:r>
        <w:rPr>
          <w:spacing w:val="-2"/>
        </w:rPr>
        <w:t> </w:t>
      </w:r>
      <w:r>
        <w:rPr/>
        <w:t>цветными</w:t>
      </w:r>
      <w:r>
        <w:rPr>
          <w:spacing w:val="-2"/>
        </w:rPr>
        <w:t> </w:t>
      </w:r>
      <w:r>
        <w:rPr/>
        <w:t>карандашами</w:t>
      </w:r>
      <w:r>
        <w:rPr>
          <w:spacing w:val="-2"/>
        </w:rPr>
        <w:t> </w:t>
      </w:r>
      <w:r>
        <w:rPr/>
        <w:t>на</w:t>
      </w:r>
      <w:r>
        <w:rPr>
          <w:spacing w:val="-2"/>
        </w:rPr>
        <w:t> </w:t>
      </w:r>
      <w:r>
        <w:rPr/>
        <w:t>четвертинках </w:t>
      </w:r>
      <w:r>
        <w:rPr>
          <w:spacing w:val="-2"/>
        </w:rPr>
        <w:t>листа</w:t>
      </w:r>
      <w:r>
        <w:rPr/>
        <w:t> </w:t>
      </w:r>
      <w:r>
        <w:rPr>
          <w:spacing w:val="-2"/>
        </w:rPr>
        <w:t>А4,</w:t>
      </w:r>
      <w:r>
        <w:rPr/>
        <w:t> </w:t>
      </w:r>
      <w:r>
        <w:rPr>
          <w:spacing w:val="-2"/>
        </w:rPr>
        <w:t>заготовленных</w:t>
      </w:r>
      <w:r>
        <w:rPr/>
        <w:t> </w:t>
      </w:r>
      <w:r>
        <w:rPr>
          <w:spacing w:val="-2"/>
        </w:rPr>
        <w:t>заранее.</w:t>
      </w:r>
      <w:r>
        <w:rPr/>
        <w:t> </w:t>
      </w:r>
      <w:r>
        <w:rPr>
          <w:spacing w:val="-2"/>
        </w:rPr>
        <w:t>Также</w:t>
      </w:r>
      <w:r>
        <w:rPr/>
        <w:t> </w:t>
      </w:r>
      <w:r>
        <w:rPr>
          <w:spacing w:val="-2"/>
        </w:rPr>
        <w:t>для</w:t>
      </w:r>
      <w:r>
        <w:rPr/>
        <w:t> </w:t>
      </w:r>
      <w:r>
        <w:rPr>
          <w:spacing w:val="-2"/>
        </w:rPr>
        <w:t>выполнения</w:t>
      </w:r>
      <w:r>
        <w:rPr/>
        <w:t> </w:t>
      </w:r>
      <w:r>
        <w:rPr>
          <w:spacing w:val="-2"/>
        </w:rPr>
        <w:t>техники</w:t>
      </w:r>
      <w:r>
        <w:rPr/>
        <w:t> </w:t>
      </w:r>
      <w:r>
        <w:rPr>
          <w:spacing w:val="-2"/>
        </w:rPr>
        <w:t>пригодится</w:t>
      </w:r>
      <w:r>
        <w:rPr>
          <w:spacing w:val="1"/>
        </w:rPr>
        <w:t> </w:t>
      </w:r>
      <w:r>
        <w:rPr>
          <w:spacing w:val="-2"/>
        </w:rPr>
        <w:t>неболь-</w:t>
      </w:r>
    </w:p>
    <w:p>
      <w:pPr>
        <w:pStyle w:val="BodyText"/>
        <w:ind w:right="0" w:firstLine="0"/>
        <w:jc w:val="left"/>
      </w:pPr>
      <w:r>
        <w:rPr/>
        <w:t>шая</w:t>
      </w:r>
      <w:r>
        <w:rPr>
          <w:spacing w:val="-12"/>
        </w:rPr>
        <w:t> </w:t>
      </w:r>
      <w:r>
        <w:rPr/>
        <w:t>коробка</w:t>
      </w:r>
      <w:r>
        <w:rPr>
          <w:spacing w:val="-9"/>
        </w:rPr>
        <w:t> </w:t>
      </w:r>
      <w:r>
        <w:rPr/>
        <w:t>(готовая</w:t>
      </w:r>
      <w:r>
        <w:rPr>
          <w:spacing w:val="-9"/>
        </w:rPr>
        <w:t> </w:t>
      </w:r>
      <w:r>
        <w:rPr/>
        <w:t>или</w:t>
      </w:r>
      <w:r>
        <w:rPr>
          <w:spacing w:val="-9"/>
        </w:rPr>
        <w:t> </w:t>
      </w:r>
      <w:r>
        <w:rPr/>
        <w:t>красиво</w:t>
      </w:r>
      <w:r>
        <w:rPr>
          <w:spacing w:val="-9"/>
        </w:rPr>
        <w:t> </w:t>
      </w:r>
      <w:r>
        <w:rPr/>
        <w:t>обклеенная</w:t>
      </w:r>
      <w:r>
        <w:rPr>
          <w:spacing w:val="-9"/>
        </w:rPr>
        <w:t> </w:t>
      </w:r>
      <w:r>
        <w:rPr/>
        <w:t>психологом</w:t>
      </w:r>
      <w:r>
        <w:rPr>
          <w:spacing w:val="-9"/>
        </w:rPr>
        <w:t> </w:t>
      </w:r>
      <w:r>
        <w:rPr>
          <w:spacing w:val="-2"/>
        </w:rPr>
        <w:t>самостоятельно).</w:t>
      </w:r>
    </w:p>
    <w:p>
      <w:pPr>
        <w:pStyle w:val="ListParagraph"/>
        <w:numPr>
          <w:ilvl w:val="0"/>
          <w:numId w:val="194"/>
        </w:numPr>
        <w:tabs>
          <w:tab w:pos="423" w:val="left" w:leader="none"/>
        </w:tabs>
        <w:spacing w:line="237" w:lineRule="auto" w:before="59" w:after="0"/>
        <w:ind w:left="141" w:right="139" w:firstLine="0"/>
        <w:jc w:val="right"/>
        <w:rPr>
          <w:sz w:val="20"/>
        </w:rPr>
      </w:pPr>
      <w:r>
        <w:rPr>
          <w:sz w:val="20"/>
        </w:rPr>
        <w:t>Психолог</w:t>
      </w:r>
      <w:r>
        <w:rPr>
          <w:spacing w:val="-7"/>
          <w:sz w:val="20"/>
        </w:rPr>
        <w:t> </w:t>
      </w:r>
      <w:r>
        <w:rPr>
          <w:sz w:val="20"/>
        </w:rPr>
        <w:t>рассказывает</w:t>
      </w:r>
      <w:r>
        <w:rPr>
          <w:spacing w:val="-6"/>
          <w:sz w:val="20"/>
        </w:rPr>
        <w:t> </w:t>
      </w:r>
      <w:r>
        <w:rPr>
          <w:sz w:val="20"/>
        </w:rPr>
        <w:t>историю,</w:t>
      </w:r>
      <w:r>
        <w:rPr>
          <w:spacing w:val="-6"/>
          <w:sz w:val="20"/>
        </w:rPr>
        <w:t> </w:t>
      </w:r>
      <w:r>
        <w:rPr>
          <w:sz w:val="20"/>
        </w:rPr>
        <w:t>чтобы</w:t>
      </w:r>
      <w:r>
        <w:rPr>
          <w:spacing w:val="-6"/>
          <w:sz w:val="20"/>
        </w:rPr>
        <w:t> </w:t>
      </w:r>
      <w:r>
        <w:rPr>
          <w:sz w:val="20"/>
        </w:rPr>
        <w:t>погрузить</w:t>
      </w:r>
      <w:r>
        <w:rPr>
          <w:spacing w:val="-7"/>
          <w:sz w:val="20"/>
        </w:rPr>
        <w:t> </w:t>
      </w:r>
      <w:r>
        <w:rPr>
          <w:sz w:val="20"/>
        </w:rPr>
        <w:t>ребенка</w:t>
      </w:r>
      <w:r>
        <w:rPr>
          <w:spacing w:val="-6"/>
          <w:sz w:val="20"/>
        </w:rPr>
        <w:t> </w:t>
      </w:r>
      <w:r>
        <w:rPr>
          <w:sz w:val="20"/>
        </w:rPr>
        <w:t>в</w:t>
      </w:r>
      <w:r>
        <w:rPr>
          <w:spacing w:val="-7"/>
          <w:sz w:val="20"/>
        </w:rPr>
        <w:t> </w:t>
      </w:r>
      <w:r>
        <w:rPr>
          <w:sz w:val="20"/>
        </w:rPr>
        <w:t>метафору</w:t>
      </w:r>
      <w:r>
        <w:rPr>
          <w:spacing w:val="-6"/>
          <w:sz w:val="20"/>
        </w:rPr>
        <w:t> </w:t>
      </w:r>
      <w:r>
        <w:rPr>
          <w:sz w:val="20"/>
        </w:rPr>
        <w:t>сокровищ. Например, можно говорить об амулетах, браслетах и ловцах снов первобытных племен.</w:t>
      </w:r>
      <w:r>
        <w:rPr>
          <w:spacing w:val="-13"/>
          <w:sz w:val="20"/>
        </w:rPr>
        <w:t> </w:t>
      </w:r>
      <w:r>
        <w:rPr>
          <w:sz w:val="20"/>
        </w:rPr>
        <w:t>Эти</w:t>
      </w:r>
      <w:r>
        <w:rPr>
          <w:spacing w:val="-12"/>
          <w:sz w:val="20"/>
        </w:rPr>
        <w:t> </w:t>
      </w:r>
      <w:r>
        <w:rPr>
          <w:sz w:val="20"/>
        </w:rPr>
        <w:t>предметы</w:t>
      </w:r>
      <w:r>
        <w:rPr>
          <w:spacing w:val="-13"/>
          <w:sz w:val="20"/>
        </w:rPr>
        <w:t> </w:t>
      </w:r>
      <w:r>
        <w:rPr>
          <w:sz w:val="20"/>
        </w:rPr>
        <w:t>собирались</w:t>
      </w:r>
      <w:r>
        <w:rPr>
          <w:spacing w:val="-12"/>
          <w:sz w:val="20"/>
        </w:rPr>
        <w:t> </w:t>
      </w:r>
      <w:r>
        <w:rPr>
          <w:sz w:val="20"/>
        </w:rPr>
        <w:t>из</w:t>
      </w:r>
      <w:r>
        <w:rPr>
          <w:spacing w:val="-13"/>
          <w:sz w:val="20"/>
        </w:rPr>
        <w:t> </w:t>
      </w:r>
      <w:r>
        <w:rPr>
          <w:sz w:val="20"/>
        </w:rPr>
        <w:t>природных</w:t>
      </w:r>
      <w:r>
        <w:rPr>
          <w:spacing w:val="-12"/>
          <w:sz w:val="20"/>
        </w:rPr>
        <w:t> </w:t>
      </w:r>
      <w:r>
        <w:rPr>
          <w:sz w:val="20"/>
        </w:rPr>
        <w:t>и</w:t>
      </w:r>
      <w:r>
        <w:rPr>
          <w:spacing w:val="-13"/>
          <w:sz w:val="20"/>
        </w:rPr>
        <w:t> </w:t>
      </w:r>
      <w:r>
        <w:rPr>
          <w:sz w:val="20"/>
        </w:rPr>
        <w:t>рукотворных</w:t>
      </w:r>
      <w:r>
        <w:rPr>
          <w:spacing w:val="-12"/>
          <w:sz w:val="20"/>
        </w:rPr>
        <w:t> </w:t>
      </w:r>
      <w:r>
        <w:rPr>
          <w:sz w:val="20"/>
        </w:rPr>
        <w:t>материалов</w:t>
      </w:r>
      <w:r>
        <w:rPr>
          <w:spacing w:val="-13"/>
          <w:sz w:val="20"/>
        </w:rPr>
        <w:t> </w:t>
      </w:r>
      <w:r>
        <w:rPr>
          <w:sz w:val="20"/>
        </w:rPr>
        <w:t>–</w:t>
      </w:r>
      <w:r>
        <w:rPr>
          <w:spacing w:val="-12"/>
          <w:sz w:val="20"/>
        </w:rPr>
        <w:t> </w:t>
      </w:r>
      <w:r>
        <w:rPr>
          <w:sz w:val="20"/>
        </w:rPr>
        <w:t>перьев, бусин,</w:t>
      </w:r>
      <w:r>
        <w:rPr>
          <w:spacing w:val="6"/>
          <w:sz w:val="20"/>
        </w:rPr>
        <w:t> </w:t>
      </w:r>
      <w:r>
        <w:rPr>
          <w:sz w:val="20"/>
        </w:rPr>
        <w:t>веточек,</w:t>
      </w:r>
      <w:r>
        <w:rPr>
          <w:spacing w:val="9"/>
          <w:sz w:val="20"/>
        </w:rPr>
        <w:t> </w:t>
      </w:r>
      <w:r>
        <w:rPr>
          <w:sz w:val="20"/>
        </w:rPr>
        <w:t>камешков,</w:t>
      </w:r>
      <w:r>
        <w:rPr>
          <w:spacing w:val="8"/>
          <w:sz w:val="20"/>
        </w:rPr>
        <w:t> </w:t>
      </w:r>
      <w:r>
        <w:rPr>
          <w:sz w:val="20"/>
        </w:rPr>
        <w:t>и</w:t>
      </w:r>
      <w:r>
        <w:rPr>
          <w:spacing w:val="9"/>
          <w:sz w:val="20"/>
        </w:rPr>
        <w:t> </w:t>
      </w:r>
      <w:r>
        <w:rPr>
          <w:sz w:val="20"/>
        </w:rPr>
        <w:t>каждый</w:t>
      </w:r>
      <w:r>
        <w:rPr>
          <w:spacing w:val="8"/>
          <w:sz w:val="20"/>
        </w:rPr>
        <w:t> </w:t>
      </w:r>
      <w:r>
        <w:rPr>
          <w:sz w:val="20"/>
        </w:rPr>
        <w:t>элемент</w:t>
      </w:r>
      <w:r>
        <w:rPr>
          <w:spacing w:val="9"/>
          <w:sz w:val="20"/>
        </w:rPr>
        <w:t> </w:t>
      </w:r>
      <w:r>
        <w:rPr>
          <w:sz w:val="20"/>
        </w:rPr>
        <w:t>нес</w:t>
      </w:r>
      <w:r>
        <w:rPr>
          <w:spacing w:val="8"/>
          <w:sz w:val="20"/>
        </w:rPr>
        <w:t> </w:t>
      </w:r>
      <w:r>
        <w:rPr>
          <w:sz w:val="20"/>
        </w:rPr>
        <w:t>воспоминание</w:t>
      </w:r>
      <w:r>
        <w:rPr>
          <w:spacing w:val="9"/>
          <w:sz w:val="20"/>
        </w:rPr>
        <w:t> </w:t>
      </w:r>
      <w:r>
        <w:rPr>
          <w:sz w:val="20"/>
        </w:rPr>
        <w:t>о</w:t>
      </w:r>
      <w:r>
        <w:rPr>
          <w:spacing w:val="8"/>
          <w:sz w:val="20"/>
        </w:rPr>
        <w:t> </w:t>
      </w:r>
      <w:r>
        <w:rPr>
          <w:sz w:val="20"/>
        </w:rPr>
        <w:t>подвиге,</w:t>
      </w:r>
      <w:r>
        <w:rPr>
          <w:spacing w:val="9"/>
          <w:sz w:val="20"/>
        </w:rPr>
        <w:t> </w:t>
      </w:r>
      <w:r>
        <w:rPr>
          <w:spacing w:val="-2"/>
          <w:sz w:val="20"/>
        </w:rPr>
        <w:t>пережи-</w:t>
      </w:r>
    </w:p>
    <w:p>
      <w:pPr>
        <w:pStyle w:val="ListParagraph"/>
        <w:spacing w:after="0" w:line="237" w:lineRule="auto"/>
        <w:jc w:val="right"/>
        <w:rPr>
          <w:sz w:val="20"/>
        </w:rPr>
        <w:sectPr>
          <w:pgSz w:w="8400" w:h="11910"/>
          <w:pgMar w:header="0" w:footer="529"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line="242" w:lineRule="auto" w:before="112"/>
        <w:ind w:firstLine="0"/>
      </w:pPr>
      <w:r>
        <w:rPr/>
        <w:t>том</w:t>
      </w:r>
      <w:r>
        <w:rPr>
          <w:spacing w:val="-9"/>
        </w:rPr>
        <w:t> </w:t>
      </w:r>
      <w:r>
        <w:rPr/>
        <w:t>испытании,</w:t>
      </w:r>
      <w:r>
        <w:rPr>
          <w:spacing w:val="-9"/>
        </w:rPr>
        <w:t> </w:t>
      </w:r>
      <w:r>
        <w:rPr/>
        <w:t>отношениях</w:t>
      </w:r>
      <w:r>
        <w:rPr>
          <w:spacing w:val="-9"/>
        </w:rPr>
        <w:t> </w:t>
      </w:r>
      <w:r>
        <w:rPr/>
        <w:t>или</w:t>
      </w:r>
      <w:r>
        <w:rPr>
          <w:spacing w:val="-9"/>
        </w:rPr>
        <w:t> </w:t>
      </w:r>
      <w:r>
        <w:rPr/>
        <w:t>духовном</w:t>
      </w:r>
      <w:r>
        <w:rPr>
          <w:spacing w:val="-9"/>
        </w:rPr>
        <w:t> </w:t>
      </w:r>
      <w:r>
        <w:rPr/>
        <w:t>ресурсе.</w:t>
      </w:r>
      <w:r>
        <w:rPr>
          <w:spacing w:val="-9"/>
        </w:rPr>
        <w:t> </w:t>
      </w:r>
      <w:r>
        <w:rPr/>
        <w:t>Сила</w:t>
      </w:r>
      <w:r>
        <w:rPr>
          <w:spacing w:val="-9"/>
        </w:rPr>
        <w:t> </w:t>
      </w:r>
      <w:r>
        <w:rPr/>
        <w:t>каждого</w:t>
      </w:r>
      <w:r>
        <w:rPr>
          <w:spacing w:val="-9"/>
        </w:rPr>
        <w:t> </w:t>
      </w:r>
      <w:r>
        <w:rPr/>
        <w:t>знака</w:t>
      </w:r>
      <w:r>
        <w:rPr>
          <w:spacing w:val="-9"/>
        </w:rPr>
        <w:t> </w:t>
      </w:r>
      <w:r>
        <w:rPr/>
        <w:t>заключалась в наполнении хорошими, поддерживающими мыслями и воспоминаниями. Можно провести аналогию с тем, что планируется делать на сессии: собрать свои «внутрен- ние сокровища».</w:t>
      </w:r>
    </w:p>
    <w:p>
      <w:pPr>
        <w:pStyle w:val="ListParagraph"/>
        <w:numPr>
          <w:ilvl w:val="0"/>
          <w:numId w:val="194"/>
        </w:numPr>
        <w:tabs>
          <w:tab w:pos="423" w:val="left" w:leader="none"/>
        </w:tabs>
        <w:spacing w:line="240" w:lineRule="auto" w:before="56" w:after="0"/>
        <w:ind w:left="423" w:right="0" w:hanging="282"/>
        <w:jc w:val="both"/>
        <w:rPr>
          <w:sz w:val="20"/>
        </w:rPr>
      </w:pPr>
      <w:r>
        <w:rPr>
          <w:sz w:val="20"/>
        </w:rPr>
        <w:t>Ребенок</w:t>
      </w:r>
      <w:r>
        <w:rPr>
          <w:spacing w:val="-4"/>
          <w:sz w:val="20"/>
        </w:rPr>
        <w:t> </w:t>
      </w:r>
      <w:r>
        <w:rPr>
          <w:sz w:val="20"/>
        </w:rPr>
        <w:t>эмоционально</w:t>
      </w:r>
      <w:r>
        <w:rPr>
          <w:spacing w:val="-3"/>
          <w:sz w:val="20"/>
        </w:rPr>
        <w:t> </w:t>
      </w:r>
      <w:r>
        <w:rPr>
          <w:sz w:val="20"/>
        </w:rPr>
        <w:t>настраивается</w:t>
      </w:r>
      <w:r>
        <w:rPr>
          <w:spacing w:val="-3"/>
          <w:sz w:val="20"/>
        </w:rPr>
        <w:t> </w:t>
      </w:r>
      <w:r>
        <w:rPr>
          <w:sz w:val="20"/>
        </w:rPr>
        <w:t>на</w:t>
      </w:r>
      <w:r>
        <w:rPr>
          <w:spacing w:val="-3"/>
          <w:sz w:val="20"/>
        </w:rPr>
        <w:t> </w:t>
      </w:r>
      <w:r>
        <w:rPr>
          <w:sz w:val="20"/>
        </w:rPr>
        <w:t>собственные</w:t>
      </w:r>
      <w:r>
        <w:rPr>
          <w:spacing w:val="-3"/>
          <w:sz w:val="20"/>
        </w:rPr>
        <w:t> </w:t>
      </w:r>
      <w:r>
        <w:rPr>
          <w:spacing w:val="-2"/>
          <w:sz w:val="20"/>
        </w:rPr>
        <w:t>ресурсы.</w:t>
      </w:r>
    </w:p>
    <w:p>
      <w:pPr>
        <w:pStyle w:val="BodyText"/>
        <w:spacing w:line="242" w:lineRule="auto" w:before="2"/>
      </w:pPr>
      <w:r>
        <w:rPr>
          <w:spacing w:val="-2"/>
        </w:rPr>
        <w:t>Психолог</w:t>
      </w:r>
      <w:r>
        <w:rPr>
          <w:spacing w:val="-3"/>
        </w:rPr>
        <w:t> </w:t>
      </w:r>
      <w:r>
        <w:rPr>
          <w:spacing w:val="-2"/>
        </w:rPr>
        <w:t>просит</w:t>
      </w:r>
      <w:r>
        <w:rPr>
          <w:spacing w:val="-3"/>
        </w:rPr>
        <w:t> </w:t>
      </w:r>
      <w:r>
        <w:rPr>
          <w:spacing w:val="-2"/>
        </w:rPr>
        <w:t>ребенка</w:t>
      </w:r>
      <w:r>
        <w:rPr>
          <w:spacing w:val="-3"/>
        </w:rPr>
        <w:t> </w:t>
      </w:r>
      <w:r>
        <w:rPr>
          <w:spacing w:val="-2"/>
        </w:rPr>
        <w:t>представить,</w:t>
      </w:r>
      <w:r>
        <w:rPr>
          <w:spacing w:val="-3"/>
        </w:rPr>
        <w:t> </w:t>
      </w:r>
      <w:r>
        <w:rPr>
          <w:spacing w:val="-2"/>
        </w:rPr>
        <w:t>что</w:t>
      </w:r>
      <w:r>
        <w:rPr>
          <w:spacing w:val="-3"/>
        </w:rPr>
        <w:t> </w:t>
      </w:r>
      <w:r>
        <w:rPr>
          <w:spacing w:val="-2"/>
        </w:rPr>
        <w:t>существует</w:t>
      </w:r>
      <w:r>
        <w:rPr>
          <w:spacing w:val="-3"/>
        </w:rPr>
        <w:t> </w:t>
      </w:r>
      <w:r>
        <w:rPr>
          <w:spacing w:val="-2"/>
        </w:rPr>
        <w:t>шкатулка</w:t>
      </w:r>
      <w:r>
        <w:rPr>
          <w:spacing w:val="-3"/>
        </w:rPr>
        <w:t> </w:t>
      </w:r>
      <w:r>
        <w:rPr>
          <w:spacing w:val="-2"/>
        </w:rPr>
        <w:t>или</w:t>
      </w:r>
      <w:r>
        <w:rPr>
          <w:spacing w:val="-3"/>
        </w:rPr>
        <w:t> </w:t>
      </w:r>
      <w:r>
        <w:rPr>
          <w:spacing w:val="-2"/>
        </w:rPr>
        <w:t>сундук</w:t>
      </w:r>
      <w:r>
        <w:rPr>
          <w:spacing w:val="-3"/>
        </w:rPr>
        <w:t> </w:t>
      </w:r>
      <w:r>
        <w:rPr>
          <w:spacing w:val="-2"/>
        </w:rPr>
        <w:t>с</w:t>
      </w:r>
      <w:r>
        <w:rPr>
          <w:spacing w:val="-3"/>
        </w:rPr>
        <w:t> </w:t>
      </w:r>
      <w:r>
        <w:rPr>
          <w:spacing w:val="-2"/>
        </w:rPr>
        <w:t>тем, что поднимает настроение, поддерживает, наполняет силой и уверенностью, теплом и </w:t>
      </w:r>
      <w:r>
        <w:rPr/>
        <w:t>радостью,</w:t>
      </w:r>
      <w:r>
        <w:rPr>
          <w:spacing w:val="-11"/>
        </w:rPr>
        <w:t> </w:t>
      </w:r>
      <w:r>
        <w:rPr/>
        <w:t>дарит</w:t>
      </w:r>
      <w:r>
        <w:rPr>
          <w:spacing w:val="-11"/>
        </w:rPr>
        <w:t> </w:t>
      </w:r>
      <w:r>
        <w:rPr/>
        <w:t>спокойствие</w:t>
      </w:r>
      <w:r>
        <w:rPr>
          <w:spacing w:val="-11"/>
        </w:rPr>
        <w:t> </w:t>
      </w:r>
      <w:r>
        <w:rPr/>
        <w:t>и</w:t>
      </w:r>
      <w:r>
        <w:rPr>
          <w:spacing w:val="-11"/>
        </w:rPr>
        <w:t> </w:t>
      </w:r>
      <w:r>
        <w:rPr/>
        <w:t>легкость.</w:t>
      </w:r>
      <w:r>
        <w:rPr>
          <w:spacing w:val="-11"/>
        </w:rPr>
        <w:t> </w:t>
      </w:r>
      <w:r>
        <w:rPr/>
        <w:t>Это</w:t>
      </w:r>
      <w:r>
        <w:rPr>
          <w:spacing w:val="-11"/>
        </w:rPr>
        <w:t> </w:t>
      </w:r>
      <w:r>
        <w:rPr/>
        <w:t>могут</w:t>
      </w:r>
      <w:r>
        <w:rPr>
          <w:spacing w:val="-11"/>
        </w:rPr>
        <w:t> </w:t>
      </w:r>
      <w:r>
        <w:rPr/>
        <w:t>быть</w:t>
      </w:r>
      <w:r>
        <w:rPr>
          <w:spacing w:val="-11"/>
        </w:rPr>
        <w:t> </w:t>
      </w:r>
      <w:r>
        <w:rPr/>
        <w:t>воспоминания,</w:t>
      </w:r>
      <w:r>
        <w:rPr>
          <w:spacing w:val="-11"/>
        </w:rPr>
        <w:t> </w:t>
      </w:r>
      <w:r>
        <w:rPr/>
        <w:t>достижения, люди, встречи, собственные качества, интересы, хобби.</w:t>
      </w:r>
    </w:p>
    <w:p>
      <w:pPr>
        <w:pStyle w:val="ListParagraph"/>
        <w:numPr>
          <w:ilvl w:val="0"/>
          <w:numId w:val="194"/>
        </w:numPr>
        <w:tabs>
          <w:tab w:pos="423" w:val="left" w:leader="none"/>
        </w:tabs>
        <w:spacing w:line="240" w:lineRule="auto" w:before="55" w:after="0"/>
        <w:ind w:left="423" w:right="0" w:hanging="282"/>
        <w:jc w:val="both"/>
        <w:rPr>
          <w:sz w:val="20"/>
        </w:rPr>
      </w:pPr>
      <w:r>
        <w:rPr>
          <w:sz w:val="20"/>
        </w:rPr>
        <w:t>Психолог</w:t>
      </w:r>
      <w:r>
        <w:rPr>
          <w:spacing w:val="-8"/>
          <w:sz w:val="20"/>
        </w:rPr>
        <w:t> </w:t>
      </w:r>
      <w:r>
        <w:rPr>
          <w:sz w:val="20"/>
        </w:rPr>
        <w:t>предлагает</w:t>
      </w:r>
      <w:r>
        <w:rPr>
          <w:spacing w:val="-4"/>
          <w:sz w:val="20"/>
        </w:rPr>
        <w:t> </w:t>
      </w:r>
      <w:r>
        <w:rPr>
          <w:sz w:val="20"/>
        </w:rPr>
        <w:t>ребенку</w:t>
      </w:r>
      <w:r>
        <w:rPr>
          <w:spacing w:val="-5"/>
          <w:sz w:val="20"/>
        </w:rPr>
        <w:t> </w:t>
      </w:r>
      <w:r>
        <w:rPr>
          <w:sz w:val="20"/>
        </w:rPr>
        <w:t>обозначить</w:t>
      </w:r>
      <w:r>
        <w:rPr>
          <w:spacing w:val="-5"/>
          <w:sz w:val="20"/>
        </w:rPr>
        <w:t> </w:t>
      </w:r>
      <w:r>
        <w:rPr>
          <w:sz w:val="20"/>
        </w:rPr>
        <w:t>свои</w:t>
      </w:r>
      <w:r>
        <w:rPr>
          <w:spacing w:val="-5"/>
          <w:sz w:val="20"/>
        </w:rPr>
        <w:t> </w:t>
      </w:r>
      <w:r>
        <w:rPr>
          <w:sz w:val="20"/>
        </w:rPr>
        <w:t>ресурсы</w:t>
      </w:r>
      <w:r>
        <w:rPr>
          <w:spacing w:val="-5"/>
          <w:sz w:val="20"/>
        </w:rPr>
        <w:t> </w:t>
      </w:r>
      <w:r>
        <w:rPr>
          <w:sz w:val="20"/>
        </w:rPr>
        <w:t>и</w:t>
      </w:r>
      <w:r>
        <w:rPr>
          <w:spacing w:val="-5"/>
          <w:sz w:val="20"/>
        </w:rPr>
        <w:t> </w:t>
      </w:r>
      <w:r>
        <w:rPr>
          <w:sz w:val="20"/>
        </w:rPr>
        <w:t>сложить</w:t>
      </w:r>
      <w:r>
        <w:rPr>
          <w:spacing w:val="-6"/>
          <w:sz w:val="20"/>
        </w:rPr>
        <w:t> </w:t>
      </w:r>
      <w:r>
        <w:rPr>
          <w:sz w:val="20"/>
        </w:rPr>
        <w:t>их</w:t>
      </w:r>
      <w:r>
        <w:rPr>
          <w:spacing w:val="-4"/>
          <w:sz w:val="20"/>
        </w:rPr>
        <w:t> </w:t>
      </w:r>
      <w:r>
        <w:rPr>
          <w:sz w:val="20"/>
        </w:rPr>
        <w:t>в</w:t>
      </w:r>
      <w:r>
        <w:rPr>
          <w:spacing w:val="-5"/>
          <w:sz w:val="20"/>
        </w:rPr>
        <w:t> </w:t>
      </w:r>
      <w:r>
        <w:rPr>
          <w:spacing w:val="-2"/>
          <w:sz w:val="20"/>
        </w:rPr>
        <w:t>сундук.</w:t>
      </w:r>
    </w:p>
    <w:p>
      <w:pPr>
        <w:pStyle w:val="BodyText"/>
        <w:spacing w:line="242" w:lineRule="auto" w:before="2"/>
      </w:pPr>
      <w:r>
        <w:rPr/>
        <w:t>На</w:t>
      </w:r>
      <w:r>
        <w:rPr>
          <w:spacing w:val="-13"/>
        </w:rPr>
        <w:t> </w:t>
      </w:r>
      <w:r>
        <w:rPr/>
        <w:t>маленьких</w:t>
      </w:r>
      <w:r>
        <w:rPr>
          <w:spacing w:val="-12"/>
        </w:rPr>
        <w:t> </w:t>
      </w:r>
      <w:r>
        <w:rPr/>
        <w:t>листочках</w:t>
      </w:r>
      <w:r>
        <w:rPr>
          <w:spacing w:val="-13"/>
        </w:rPr>
        <w:t> </w:t>
      </w:r>
      <w:r>
        <w:rPr/>
        <w:t>ребенок</w:t>
      </w:r>
      <w:r>
        <w:rPr>
          <w:spacing w:val="-12"/>
        </w:rPr>
        <w:t> </w:t>
      </w:r>
      <w:r>
        <w:rPr/>
        <w:t>рисует</w:t>
      </w:r>
      <w:r>
        <w:rPr>
          <w:spacing w:val="-13"/>
        </w:rPr>
        <w:t> </w:t>
      </w:r>
      <w:r>
        <w:rPr/>
        <w:t>образы,</w:t>
      </w:r>
      <w:r>
        <w:rPr>
          <w:spacing w:val="-12"/>
        </w:rPr>
        <w:t> </w:t>
      </w:r>
      <w:r>
        <w:rPr/>
        <w:t>предметы,</w:t>
      </w:r>
      <w:r>
        <w:rPr>
          <w:spacing w:val="-13"/>
        </w:rPr>
        <w:t> </w:t>
      </w:r>
      <w:r>
        <w:rPr/>
        <w:t>символы,</w:t>
      </w:r>
      <w:r>
        <w:rPr>
          <w:spacing w:val="-12"/>
        </w:rPr>
        <w:t> </w:t>
      </w:r>
      <w:r>
        <w:rPr/>
        <w:t>означающие каждый ресурс. Психолог может предложить написать, что дает этот ресурс. Сокро- вища</w:t>
      </w:r>
      <w:r>
        <w:rPr>
          <w:spacing w:val="-5"/>
        </w:rPr>
        <w:t> </w:t>
      </w:r>
      <w:r>
        <w:rPr/>
        <w:t>ребенок</w:t>
      </w:r>
      <w:r>
        <w:rPr>
          <w:spacing w:val="-5"/>
        </w:rPr>
        <w:t> </w:t>
      </w:r>
      <w:r>
        <w:rPr/>
        <w:t>складывает</w:t>
      </w:r>
      <w:r>
        <w:rPr>
          <w:spacing w:val="-5"/>
        </w:rPr>
        <w:t> </w:t>
      </w:r>
      <w:r>
        <w:rPr/>
        <w:t>в</w:t>
      </w:r>
      <w:r>
        <w:rPr>
          <w:spacing w:val="-5"/>
        </w:rPr>
        <w:t> </w:t>
      </w:r>
      <w:r>
        <w:rPr/>
        <w:t>красивую</w:t>
      </w:r>
      <w:r>
        <w:rPr>
          <w:spacing w:val="-5"/>
        </w:rPr>
        <w:t> </w:t>
      </w:r>
      <w:r>
        <w:rPr/>
        <w:t>коробку,</w:t>
      </w:r>
      <w:r>
        <w:rPr>
          <w:spacing w:val="-5"/>
        </w:rPr>
        <w:t> </w:t>
      </w:r>
      <w:r>
        <w:rPr/>
        <w:t>выступающую</w:t>
      </w:r>
      <w:r>
        <w:rPr>
          <w:spacing w:val="-5"/>
        </w:rPr>
        <w:t> </w:t>
      </w:r>
      <w:r>
        <w:rPr/>
        <w:t>в</w:t>
      </w:r>
      <w:r>
        <w:rPr>
          <w:spacing w:val="-5"/>
        </w:rPr>
        <w:t> </w:t>
      </w:r>
      <w:r>
        <w:rPr/>
        <w:t>роли</w:t>
      </w:r>
      <w:r>
        <w:rPr>
          <w:spacing w:val="-5"/>
        </w:rPr>
        <w:t> </w:t>
      </w:r>
      <w:r>
        <w:rPr/>
        <w:t>сундука,</w:t>
      </w:r>
      <w:r>
        <w:rPr>
          <w:spacing w:val="-5"/>
        </w:rPr>
        <w:t> </w:t>
      </w:r>
      <w:r>
        <w:rPr/>
        <w:t>и</w:t>
      </w:r>
      <w:r>
        <w:rPr>
          <w:spacing w:val="-5"/>
        </w:rPr>
        <w:t> </w:t>
      </w:r>
      <w:r>
        <w:rPr/>
        <w:t>уно- сит ее с собой.</w:t>
      </w:r>
    </w:p>
    <w:p>
      <w:pPr>
        <w:pStyle w:val="ListParagraph"/>
        <w:numPr>
          <w:ilvl w:val="0"/>
          <w:numId w:val="194"/>
        </w:numPr>
        <w:tabs>
          <w:tab w:pos="423" w:val="left" w:leader="none"/>
          <w:tab w:pos="425" w:val="left" w:leader="none"/>
        </w:tabs>
        <w:spacing w:line="242" w:lineRule="auto" w:before="56" w:after="0"/>
        <w:ind w:left="425" w:right="2370" w:hanging="284"/>
        <w:jc w:val="both"/>
        <w:rPr>
          <w:sz w:val="20"/>
        </w:rPr>
      </w:pPr>
      <w:r>
        <w:rPr>
          <w:sz w:val="20"/>
        </w:rPr>
        <w:t>Психолог</w:t>
      </w:r>
      <w:r>
        <w:rPr>
          <w:spacing w:val="-13"/>
          <w:sz w:val="20"/>
        </w:rPr>
        <w:t> </w:t>
      </w:r>
      <w:r>
        <w:rPr>
          <w:sz w:val="20"/>
        </w:rPr>
        <w:t>обозначает</w:t>
      </w:r>
      <w:r>
        <w:rPr>
          <w:spacing w:val="-12"/>
          <w:sz w:val="20"/>
        </w:rPr>
        <w:t> </w:t>
      </w:r>
      <w:r>
        <w:rPr>
          <w:sz w:val="20"/>
        </w:rPr>
        <w:t>дальнейшие</w:t>
      </w:r>
      <w:r>
        <w:rPr>
          <w:spacing w:val="-12"/>
          <w:sz w:val="20"/>
        </w:rPr>
        <w:t> </w:t>
      </w:r>
      <w:r>
        <w:rPr>
          <w:sz w:val="20"/>
        </w:rPr>
        <w:t>действия</w:t>
      </w:r>
      <w:r>
        <w:rPr>
          <w:spacing w:val="-12"/>
          <w:sz w:val="20"/>
        </w:rPr>
        <w:t> </w:t>
      </w:r>
      <w:r>
        <w:rPr>
          <w:sz w:val="20"/>
        </w:rPr>
        <w:t>с</w:t>
      </w:r>
      <w:r>
        <w:rPr>
          <w:spacing w:val="-12"/>
          <w:sz w:val="20"/>
        </w:rPr>
        <w:t> </w:t>
      </w:r>
      <w:r>
        <w:rPr>
          <w:sz w:val="20"/>
        </w:rPr>
        <w:t>сундуком. Ребенку предлагается:</w:t>
      </w:r>
    </w:p>
    <w:p>
      <w:pPr>
        <w:pStyle w:val="BodyText"/>
        <w:spacing w:line="229" w:lineRule="exact"/>
        <w:ind w:left="425" w:right="0" w:firstLine="0"/>
      </w:pPr>
      <w:r>
        <w:rPr/>
        <w:t>−</w:t>
      </w:r>
      <w:r>
        <w:rPr>
          <w:spacing w:val="-7"/>
        </w:rPr>
        <w:t> </w:t>
      </w:r>
      <w:r>
        <w:rPr/>
        <w:t>проверить</w:t>
      </w:r>
      <w:r>
        <w:rPr>
          <w:spacing w:val="-8"/>
        </w:rPr>
        <w:t> </w:t>
      </w:r>
      <w:r>
        <w:rPr/>
        <w:t>работу</w:t>
      </w:r>
      <w:r>
        <w:rPr>
          <w:spacing w:val="-6"/>
        </w:rPr>
        <w:t> </w:t>
      </w:r>
      <w:r>
        <w:rPr/>
        <w:t>сундука</w:t>
      </w:r>
      <w:r>
        <w:rPr>
          <w:spacing w:val="-7"/>
        </w:rPr>
        <w:t> </w:t>
      </w:r>
      <w:r>
        <w:rPr/>
        <w:t>дома,</w:t>
      </w:r>
      <w:r>
        <w:rPr>
          <w:spacing w:val="-6"/>
        </w:rPr>
        <w:t> </w:t>
      </w:r>
      <w:r>
        <w:rPr/>
        <w:t>открыв</w:t>
      </w:r>
      <w:r>
        <w:rPr>
          <w:spacing w:val="-8"/>
        </w:rPr>
        <w:t> </w:t>
      </w:r>
      <w:r>
        <w:rPr/>
        <w:t>его</w:t>
      </w:r>
      <w:r>
        <w:rPr>
          <w:spacing w:val="-6"/>
        </w:rPr>
        <w:t> </w:t>
      </w:r>
      <w:r>
        <w:rPr/>
        <w:t>в</w:t>
      </w:r>
      <w:r>
        <w:rPr>
          <w:spacing w:val="-8"/>
        </w:rPr>
        <w:t> </w:t>
      </w:r>
      <w:r>
        <w:rPr/>
        <w:t>плохом</w:t>
      </w:r>
      <w:r>
        <w:rPr>
          <w:spacing w:val="-6"/>
        </w:rPr>
        <w:t> </w:t>
      </w:r>
      <w:r>
        <w:rPr>
          <w:spacing w:val="-2"/>
        </w:rPr>
        <w:t>настроении;</w:t>
      </w:r>
    </w:p>
    <w:p>
      <w:pPr>
        <w:pStyle w:val="BodyText"/>
        <w:spacing w:before="2"/>
        <w:ind w:left="425" w:right="0" w:firstLine="0"/>
      </w:pPr>
      <w:r>
        <w:rPr/>
        <w:t>−</w:t>
      </w:r>
      <w:r>
        <w:rPr>
          <w:spacing w:val="-4"/>
        </w:rPr>
        <w:t> </w:t>
      </w:r>
      <w:r>
        <w:rPr/>
        <w:t>пополнять</w:t>
      </w:r>
      <w:r>
        <w:rPr>
          <w:spacing w:val="-5"/>
        </w:rPr>
        <w:t> </w:t>
      </w:r>
      <w:r>
        <w:rPr/>
        <w:t>сундук</w:t>
      </w:r>
      <w:r>
        <w:rPr>
          <w:spacing w:val="-4"/>
        </w:rPr>
        <w:t> </w:t>
      </w:r>
      <w:r>
        <w:rPr/>
        <w:t>сокровищами</w:t>
      </w:r>
      <w:r>
        <w:rPr>
          <w:spacing w:val="-5"/>
        </w:rPr>
        <w:t> </w:t>
      </w:r>
      <w:r>
        <w:rPr/>
        <w:t>на</w:t>
      </w:r>
      <w:r>
        <w:rPr>
          <w:spacing w:val="-4"/>
        </w:rPr>
        <w:t> </w:t>
      </w:r>
      <w:r>
        <w:rPr/>
        <w:t>следующих</w:t>
      </w:r>
      <w:r>
        <w:rPr>
          <w:spacing w:val="-3"/>
        </w:rPr>
        <w:t> </w:t>
      </w:r>
      <w:r>
        <w:rPr>
          <w:spacing w:val="-2"/>
        </w:rPr>
        <w:t>сессиях.</w:t>
      </w:r>
    </w:p>
    <w:p>
      <w:pPr>
        <w:spacing w:before="115"/>
        <w:ind w:left="425" w:right="0" w:firstLine="0"/>
        <w:jc w:val="both"/>
        <w:rPr>
          <w:b/>
          <w:i/>
          <w:sz w:val="20"/>
        </w:rPr>
      </w:pPr>
      <w:r>
        <w:rPr>
          <w:b/>
          <w:i/>
          <w:sz w:val="20"/>
        </w:rPr>
        <w:t>Техника</w:t>
      </w:r>
      <w:r>
        <w:rPr>
          <w:b/>
          <w:i/>
          <w:spacing w:val="-11"/>
          <w:sz w:val="20"/>
        </w:rPr>
        <w:t> </w:t>
      </w:r>
      <w:r>
        <w:rPr>
          <w:b/>
          <w:i/>
          <w:sz w:val="20"/>
        </w:rPr>
        <w:t>«Прогрессивная</w:t>
      </w:r>
      <w:r>
        <w:rPr>
          <w:b/>
          <w:i/>
          <w:spacing w:val="-11"/>
          <w:sz w:val="20"/>
        </w:rPr>
        <w:t> </w:t>
      </w:r>
      <w:r>
        <w:rPr>
          <w:b/>
          <w:i/>
          <w:sz w:val="20"/>
        </w:rPr>
        <w:t>мышечная</w:t>
      </w:r>
      <w:r>
        <w:rPr>
          <w:b/>
          <w:i/>
          <w:spacing w:val="-11"/>
          <w:sz w:val="20"/>
        </w:rPr>
        <w:t> </w:t>
      </w:r>
      <w:r>
        <w:rPr>
          <w:b/>
          <w:i/>
          <w:spacing w:val="-2"/>
          <w:sz w:val="20"/>
        </w:rPr>
        <w:t>релаксация»</w:t>
      </w:r>
    </w:p>
    <w:p>
      <w:pPr>
        <w:pStyle w:val="BodyText"/>
        <w:spacing w:line="242" w:lineRule="auto" w:before="2"/>
      </w:pPr>
      <w:r>
        <w:rPr>
          <w:i/>
        </w:rPr>
        <w:t>Цели: </w:t>
      </w:r>
      <w:r>
        <w:rPr/>
        <w:t>развитие навыков управления стрессом/тревогой и навыков релаксации; развитие навыков телесного осознавания, заземления и центрирования.</w:t>
      </w:r>
    </w:p>
    <w:p>
      <w:pPr>
        <w:spacing w:line="229" w:lineRule="exact" w:before="0"/>
        <w:ind w:left="425" w:right="0" w:firstLine="0"/>
        <w:jc w:val="both"/>
        <w:rPr>
          <w:sz w:val="20"/>
        </w:rPr>
      </w:pPr>
      <w:r>
        <w:rPr>
          <w:i/>
          <w:sz w:val="20"/>
        </w:rPr>
        <w:t>Рекомендованный</w:t>
      </w:r>
      <w:r>
        <w:rPr>
          <w:i/>
          <w:spacing w:val="-10"/>
          <w:sz w:val="20"/>
        </w:rPr>
        <w:t> </w:t>
      </w:r>
      <w:r>
        <w:rPr>
          <w:i/>
          <w:sz w:val="20"/>
        </w:rPr>
        <w:t>возраст:</w:t>
      </w:r>
      <w:r>
        <w:rPr>
          <w:i/>
          <w:spacing w:val="-10"/>
          <w:sz w:val="20"/>
        </w:rPr>
        <w:t> </w:t>
      </w:r>
      <w:r>
        <w:rPr>
          <w:sz w:val="20"/>
        </w:rPr>
        <w:t>от</w:t>
      </w:r>
      <w:r>
        <w:rPr>
          <w:spacing w:val="-10"/>
          <w:sz w:val="20"/>
        </w:rPr>
        <w:t> </w:t>
      </w:r>
      <w:r>
        <w:rPr>
          <w:sz w:val="20"/>
        </w:rPr>
        <w:t>8</w:t>
      </w:r>
      <w:r>
        <w:rPr>
          <w:spacing w:val="-10"/>
          <w:sz w:val="20"/>
        </w:rPr>
        <w:t> </w:t>
      </w:r>
      <w:r>
        <w:rPr>
          <w:spacing w:val="-4"/>
          <w:sz w:val="20"/>
        </w:rPr>
        <w:t>лет.</w:t>
      </w:r>
    </w:p>
    <w:p>
      <w:pPr>
        <w:pStyle w:val="BodyText"/>
        <w:spacing w:line="242" w:lineRule="auto" w:before="2"/>
      </w:pPr>
      <w:r>
        <w:rPr>
          <w:i/>
        </w:rPr>
        <w:t>Источник: </w:t>
      </w:r>
      <w:r>
        <w:rPr/>
        <w:t>программа фокусированной на травме когнитивно-бихевиоральной психотерапии</w:t>
      </w:r>
      <w:r>
        <w:rPr>
          <w:spacing w:val="-7"/>
        </w:rPr>
        <w:t> </w:t>
      </w:r>
      <w:r>
        <w:rPr/>
        <w:t>(Cohen,</w:t>
      </w:r>
      <w:r>
        <w:rPr>
          <w:spacing w:val="-7"/>
        </w:rPr>
        <w:t> </w:t>
      </w:r>
      <w:r>
        <w:rPr/>
        <w:t>Mannarino,</w:t>
      </w:r>
      <w:r>
        <w:rPr>
          <w:spacing w:val="-7"/>
        </w:rPr>
        <w:t> </w:t>
      </w:r>
      <w:r>
        <w:rPr/>
        <w:t>Deblinger,</w:t>
      </w:r>
      <w:r>
        <w:rPr>
          <w:spacing w:val="-7"/>
        </w:rPr>
        <w:t> </w:t>
      </w:r>
      <w:r>
        <w:rPr/>
        <w:t>2006),</w:t>
      </w:r>
      <w:r>
        <w:rPr>
          <w:spacing w:val="-7"/>
        </w:rPr>
        <w:t> </w:t>
      </w:r>
      <w:r>
        <w:rPr/>
        <w:t>перевод</w:t>
      </w:r>
      <w:r>
        <w:rPr>
          <w:spacing w:val="-7"/>
        </w:rPr>
        <w:t> </w:t>
      </w:r>
      <w:r>
        <w:rPr/>
        <w:t>и</w:t>
      </w:r>
      <w:r>
        <w:rPr>
          <w:spacing w:val="-7"/>
        </w:rPr>
        <w:t> </w:t>
      </w:r>
      <w:r>
        <w:rPr/>
        <w:t>адаптация</w:t>
      </w:r>
      <w:r>
        <w:rPr>
          <w:spacing w:val="-7"/>
        </w:rPr>
        <w:t> </w:t>
      </w:r>
      <w:r>
        <w:rPr/>
        <w:t>Н.В.</w:t>
      </w:r>
      <w:r>
        <w:rPr>
          <w:spacing w:val="-7"/>
        </w:rPr>
        <w:t> </w:t>
      </w:r>
      <w:r>
        <w:rPr/>
        <w:t>Тарули- ной (Хухлаев, Павлова и др., 2022).</w:t>
      </w:r>
    </w:p>
    <w:p>
      <w:pPr>
        <w:pStyle w:val="BodyText"/>
        <w:spacing w:line="242" w:lineRule="auto"/>
      </w:pPr>
      <w:r>
        <w:rPr/>
        <w:t>Прогрессивная</w:t>
      </w:r>
      <w:r>
        <w:rPr>
          <w:spacing w:val="-6"/>
        </w:rPr>
        <w:t> </w:t>
      </w:r>
      <w:r>
        <w:rPr/>
        <w:t>мышечная</w:t>
      </w:r>
      <w:r>
        <w:rPr>
          <w:spacing w:val="-6"/>
        </w:rPr>
        <w:t> </w:t>
      </w:r>
      <w:r>
        <w:rPr/>
        <w:t>релаксация</w:t>
      </w:r>
      <w:r>
        <w:rPr>
          <w:spacing w:val="-6"/>
        </w:rPr>
        <w:t> </w:t>
      </w:r>
      <w:r>
        <w:rPr/>
        <w:t>–</w:t>
      </w:r>
      <w:r>
        <w:rPr>
          <w:spacing w:val="-6"/>
        </w:rPr>
        <w:t> </w:t>
      </w:r>
      <w:r>
        <w:rPr/>
        <w:t>это</w:t>
      </w:r>
      <w:r>
        <w:rPr>
          <w:spacing w:val="-6"/>
        </w:rPr>
        <w:t> </w:t>
      </w:r>
      <w:r>
        <w:rPr/>
        <w:t>техника</w:t>
      </w:r>
      <w:r>
        <w:rPr>
          <w:spacing w:val="-6"/>
        </w:rPr>
        <w:t> </w:t>
      </w:r>
      <w:r>
        <w:rPr/>
        <w:t>расслабления,</w:t>
      </w:r>
      <w:r>
        <w:rPr>
          <w:spacing w:val="-6"/>
        </w:rPr>
        <w:t> </w:t>
      </w:r>
      <w:r>
        <w:rPr/>
        <w:t>которая</w:t>
      </w:r>
      <w:r>
        <w:rPr>
          <w:spacing w:val="-6"/>
        </w:rPr>
        <w:t> </w:t>
      </w:r>
      <w:r>
        <w:rPr/>
        <w:t>может быть особенно полезна детям, испытывающим трудности с засыпанием или имею- </w:t>
      </w:r>
      <w:r>
        <w:rPr>
          <w:spacing w:val="-2"/>
        </w:rPr>
        <w:t>щим</w:t>
      </w:r>
      <w:r>
        <w:rPr>
          <w:spacing w:val="-3"/>
        </w:rPr>
        <w:t> </w:t>
      </w:r>
      <w:r>
        <w:rPr>
          <w:spacing w:val="-2"/>
        </w:rPr>
        <w:t>много</w:t>
      </w:r>
      <w:r>
        <w:rPr>
          <w:spacing w:val="-3"/>
        </w:rPr>
        <w:t> </w:t>
      </w:r>
      <w:r>
        <w:rPr>
          <w:spacing w:val="-2"/>
        </w:rPr>
        <w:t>соматических</w:t>
      </w:r>
      <w:r>
        <w:rPr>
          <w:spacing w:val="-3"/>
        </w:rPr>
        <w:t> </w:t>
      </w:r>
      <w:r>
        <w:rPr>
          <w:spacing w:val="-2"/>
        </w:rPr>
        <w:t>симптомов.</w:t>
      </w:r>
      <w:r>
        <w:rPr>
          <w:spacing w:val="-3"/>
        </w:rPr>
        <w:t> </w:t>
      </w:r>
      <w:r>
        <w:rPr>
          <w:spacing w:val="-2"/>
        </w:rPr>
        <w:t>На</w:t>
      </w:r>
      <w:r>
        <w:rPr>
          <w:spacing w:val="-3"/>
        </w:rPr>
        <w:t> </w:t>
      </w:r>
      <w:r>
        <w:rPr>
          <w:spacing w:val="-2"/>
        </w:rPr>
        <w:t>встрече</w:t>
      </w:r>
      <w:r>
        <w:rPr>
          <w:spacing w:val="-3"/>
        </w:rPr>
        <w:t> </w:t>
      </w:r>
      <w:r>
        <w:rPr>
          <w:spacing w:val="-2"/>
        </w:rPr>
        <w:t>психолог</w:t>
      </w:r>
      <w:r>
        <w:rPr>
          <w:spacing w:val="-3"/>
        </w:rPr>
        <w:t> </w:t>
      </w:r>
      <w:r>
        <w:rPr>
          <w:spacing w:val="-2"/>
        </w:rPr>
        <w:t>объясняет</w:t>
      </w:r>
      <w:r>
        <w:rPr>
          <w:spacing w:val="-3"/>
        </w:rPr>
        <w:t> </w:t>
      </w:r>
      <w:r>
        <w:rPr>
          <w:spacing w:val="-2"/>
        </w:rPr>
        <w:t>ребенку:</w:t>
      </w:r>
      <w:r>
        <w:rPr>
          <w:spacing w:val="-3"/>
        </w:rPr>
        <w:t> </w:t>
      </w:r>
      <w:r>
        <w:rPr>
          <w:spacing w:val="-2"/>
        </w:rPr>
        <w:t>«Когда </w:t>
      </w:r>
      <w:r>
        <w:rPr/>
        <w:t>наши мышцы не расслаблены, мы чувствуем напряжение и боль, но расслабление мышц помогает нам почувствовать себя легко и свободно».</w:t>
      </w:r>
    </w:p>
    <w:p>
      <w:pPr>
        <w:pStyle w:val="BodyText"/>
        <w:spacing w:line="242" w:lineRule="auto"/>
      </w:pPr>
      <w:r>
        <w:rPr/>
        <w:t>Благодаря</w:t>
      </w:r>
      <w:r>
        <w:rPr>
          <w:spacing w:val="-8"/>
        </w:rPr>
        <w:t> </w:t>
      </w:r>
      <w:r>
        <w:rPr/>
        <w:t>технике</w:t>
      </w:r>
      <w:r>
        <w:rPr>
          <w:spacing w:val="-8"/>
        </w:rPr>
        <w:t> </w:t>
      </w:r>
      <w:r>
        <w:rPr/>
        <w:t>дети</w:t>
      </w:r>
      <w:r>
        <w:rPr>
          <w:spacing w:val="-8"/>
        </w:rPr>
        <w:t> </w:t>
      </w:r>
      <w:r>
        <w:rPr/>
        <w:t>могут</w:t>
      </w:r>
      <w:r>
        <w:rPr>
          <w:spacing w:val="-8"/>
        </w:rPr>
        <w:t> </w:t>
      </w:r>
      <w:r>
        <w:rPr/>
        <w:t>научиться</w:t>
      </w:r>
      <w:r>
        <w:rPr>
          <w:spacing w:val="-8"/>
        </w:rPr>
        <w:t> </w:t>
      </w:r>
      <w:r>
        <w:rPr/>
        <w:t>засыпать</w:t>
      </w:r>
      <w:r>
        <w:rPr>
          <w:spacing w:val="-8"/>
        </w:rPr>
        <w:t> </w:t>
      </w:r>
      <w:r>
        <w:rPr/>
        <w:t>или</w:t>
      </w:r>
      <w:r>
        <w:rPr>
          <w:spacing w:val="-8"/>
        </w:rPr>
        <w:t> </w:t>
      </w:r>
      <w:r>
        <w:rPr/>
        <w:t>расслаблять</w:t>
      </w:r>
      <w:r>
        <w:rPr>
          <w:spacing w:val="-8"/>
        </w:rPr>
        <w:t> </w:t>
      </w:r>
      <w:r>
        <w:rPr/>
        <w:t>определенные части</w:t>
      </w:r>
      <w:r>
        <w:rPr>
          <w:spacing w:val="-6"/>
        </w:rPr>
        <w:t> </w:t>
      </w:r>
      <w:r>
        <w:rPr/>
        <w:t>тела,</w:t>
      </w:r>
      <w:r>
        <w:rPr>
          <w:spacing w:val="-6"/>
        </w:rPr>
        <w:t> </w:t>
      </w:r>
      <w:r>
        <w:rPr/>
        <w:t>чтобы</w:t>
      </w:r>
      <w:r>
        <w:rPr>
          <w:spacing w:val="-6"/>
        </w:rPr>
        <w:t> </w:t>
      </w:r>
      <w:r>
        <w:rPr/>
        <w:t>они</w:t>
      </w:r>
      <w:r>
        <w:rPr>
          <w:spacing w:val="-6"/>
        </w:rPr>
        <w:t> </w:t>
      </w:r>
      <w:r>
        <w:rPr/>
        <w:t>не</w:t>
      </w:r>
      <w:r>
        <w:rPr>
          <w:spacing w:val="-6"/>
        </w:rPr>
        <w:t> </w:t>
      </w:r>
      <w:r>
        <w:rPr/>
        <w:t>болели.</w:t>
      </w:r>
      <w:r>
        <w:rPr>
          <w:spacing w:val="-6"/>
        </w:rPr>
        <w:t> </w:t>
      </w:r>
      <w:r>
        <w:rPr/>
        <w:t>Прогрессивная</w:t>
      </w:r>
      <w:r>
        <w:rPr>
          <w:spacing w:val="-6"/>
        </w:rPr>
        <w:t> </w:t>
      </w:r>
      <w:r>
        <w:rPr/>
        <w:t>релаксация</w:t>
      </w:r>
      <w:r>
        <w:rPr>
          <w:spacing w:val="-6"/>
        </w:rPr>
        <w:t> </w:t>
      </w:r>
      <w:r>
        <w:rPr/>
        <w:t>также</w:t>
      </w:r>
      <w:r>
        <w:rPr>
          <w:spacing w:val="-6"/>
        </w:rPr>
        <w:t> </w:t>
      </w:r>
      <w:r>
        <w:rPr/>
        <w:t>может</w:t>
      </w:r>
      <w:r>
        <w:rPr>
          <w:spacing w:val="-6"/>
        </w:rPr>
        <w:t> </w:t>
      </w:r>
      <w:r>
        <w:rPr/>
        <w:t>помочь</w:t>
      </w:r>
      <w:r>
        <w:rPr>
          <w:spacing w:val="-6"/>
        </w:rPr>
        <w:t> </w:t>
      </w:r>
      <w:r>
        <w:rPr/>
        <w:t>об- легчить</w:t>
      </w:r>
      <w:r>
        <w:rPr>
          <w:spacing w:val="-13"/>
        </w:rPr>
        <w:t> </w:t>
      </w:r>
      <w:r>
        <w:rPr/>
        <w:t>симптомы</w:t>
      </w:r>
      <w:r>
        <w:rPr>
          <w:spacing w:val="-12"/>
        </w:rPr>
        <w:t> </w:t>
      </w:r>
      <w:r>
        <w:rPr/>
        <w:t>ПТСР,</w:t>
      </w:r>
      <w:r>
        <w:rPr>
          <w:spacing w:val="-13"/>
        </w:rPr>
        <w:t> </w:t>
      </w:r>
      <w:r>
        <w:rPr/>
        <w:t>потому</w:t>
      </w:r>
      <w:r>
        <w:rPr>
          <w:spacing w:val="-12"/>
        </w:rPr>
        <w:t> </w:t>
      </w:r>
      <w:r>
        <w:rPr/>
        <w:t>что</w:t>
      </w:r>
      <w:r>
        <w:rPr>
          <w:spacing w:val="-13"/>
        </w:rPr>
        <w:t> </w:t>
      </w:r>
      <w:r>
        <w:rPr/>
        <w:t>избирательное</w:t>
      </w:r>
      <w:r>
        <w:rPr>
          <w:spacing w:val="-12"/>
        </w:rPr>
        <w:t> </w:t>
      </w:r>
      <w:r>
        <w:rPr/>
        <w:t>внимание,</w:t>
      </w:r>
      <w:r>
        <w:rPr>
          <w:spacing w:val="-13"/>
        </w:rPr>
        <w:t> </w:t>
      </w:r>
      <w:r>
        <w:rPr/>
        <w:t>уделяемое</w:t>
      </w:r>
      <w:r>
        <w:rPr>
          <w:spacing w:val="-12"/>
        </w:rPr>
        <w:t> </w:t>
      </w:r>
      <w:r>
        <w:rPr/>
        <w:t>расслабле- нию мышечных групп, обычно исключает сосредоточение на мыслях о травматиче- ском</w:t>
      </w:r>
      <w:r>
        <w:rPr>
          <w:spacing w:val="-13"/>
        </w:rPr>
        <w:t> </w:t>
      </w:r>
      <w:r>
        <w:rPr/>
        <w:t>событии</w:t>
      </w:r>
      <w:r>
        <w:rPr>
          <w:spacing w:val="-12"/>
        </w:rPr>
        <w:t> </w:t>
      </w:r>
      <w:r>
        <w:rPr/>
        <w:t>и</w:t>
      </w:r>
      <w:r>
        <w:rPr>
          <w:spacing w:val="-13"/>
        </w:rPr>
        <w:t> </w:t>
      </w:r>
      <w:r>
        <w:rPr/>
        <w:t>усиливает</w:t>
      </w:r>
      <w:r>
        <w:rPr>
          <w:spacing w:val="-12"/>
        </w:rPr>
        <w:t> </w:t>
      </w:r>
      <w:r>
        <w:rPr/>
        <w:t>чувство</w:t>
      </w:r>
      <w:r>
        <w:rPr>
          <w:spacing w:val="-13"/>
        </w:rPr>
        <w:t> </w:t>
      </w:r>
      <w:r>
        <w:rPr/>
        <w:t>контроля.</w:t>
      </w:r>
      <w:r>
        <w:rPr>
          <w:spacing w:val="-12"/>
        </w:rPr>
        <w:t> </w:t>
      </w:r>
      <w:r>
        <w:rPr/>
        <w:t>Когда</w:t>
      </w:r>
      <w:r>
        <w:rPr>
          <w:spacing w:val="-13"/>
        </w:rPr>
        <w:t> </w:t>
      </w:r>
      <w:r>
        <w:rPr/>
        <w:t>у</w:t>
      </w:r>
      <w:r>
        <w:rPr>
          <w:spacing w:val="-12"/>
        </w:rPr>
        <w:t> </w:t>
      </w:r>
      <w:r>
        <w:rPr/>
        <w:t>ребенка</w:t>
      </w:r>
      <w:r>
        <w:rPr>
          <w:spacing w:val="-13"/>
        </w:rPr>
        <w:t> </w:t>
      </w:r>
      <w:r>
        <w:rPr/>
        <w:t>появляются</w:t>
      </w:r>
      <w:r>
        <w:rPr>
          <w:spacing w:val="-12"/>
        </w:rPr>
        <w:t> </w:t>
      </w:r>
      <w:r>
        <w:rPr/>
        <w:t>навязчивые воспоминания о травме (дома или в школе), техника может помочь ему остановить физиологические симптомы гипервозбуждения, которые обычно сопровождают та- кие</w:t>
      </w:r>
      <w:r>
        <w:rPr>
          <w:spacing w:val="-3"/>
        </w:rPr>
        <w:t> </w:t>
      </w:r>
      <w:r>
        <w:rPr/>
        <w:t>мысли,</w:t>
      </w:r>
      <w:r>
        <w:rPr>
          <w:spacing w:val="-3"/>
        </w:rPr>
        <w:t> </w:t>
      </w:r>
      <w:r>
        <w:rPr/>
        <w:t>ведь</w:t>
      </w:r>
      <w:r>
        <w:rPr>
          <w:spacing w:val="-3"/>
        </w:rPr>
        <w:t> </w:t>
      </w:r>
      <w:r>
        <w:rPr/>
        <w:t>напряжение</w:t>
      </w:r>
      <w:r>
        <w:rPr>
          <w:spacing w:val="-3"/>
        </w:rPr>
        <w:t> </w:t>
      </w:r>
      <w:r>
        <w:rPr/>
        <w:t>и</w:t>
      </w:r>
      <w:r>
        <w:rPr>
          <w:spacing w:val="-3"/>
        </w:rPr>
        <w:t> </w:t>
      </w:r>
      <w:r>
        <w:rPr/>
        <w:t>расслабление</w:t>
      </w:r>
      <w:r>
        <w:rPr>
          <w:spacing w:val="-3"/>
        </w:rPr>
        <w:t> </w:t>
      </w:r>
      <w:r>
        <w:rPr/>
        <w:t>несовместимы.</w:t>
      </w:r>
      <w:r>
        <w:rPr>
          <w:spacing w:val="-3"/>
        </w:rPr>
        <w:t> </w:t>
      </w:r>
      <w:r>
        <w:rPr/>
        <w:t>Кроме</w:t>
      </w:r>
      <w:r>
        <w:rPr>
          <w:spacing w:val="-3"/>
        </w:rPr>
        <w:t> </w:t>
      </w:r>
      <w:r>
        <w:rPr/>
        <w:t>того,</w:t>
      </w:r>
      <w:r>
        <w:rPr>
          <w:spacing w:val="-3"/>
        </w:rPr>
        <w:t> </w:t>
      </w:r>
      <w:r>
        <w:rPr/>
        <w:t>техника</w:t>
      </w:r>
      <w:r>
        <w:rPr>
          <w:spacing w:val="-3"/>
        </w:rPr>
        <w:t> </w:t>
      </w:r>
      <w:r>
        <w:rPr/>
        <w:t>до- вольно проста и доступна, поэтому она дает детям и опекунам уверенность, что они способны</w:t>
      </w:r>
      <w:r>
        <w:rPr>
          <w:spacing w:val="-10"/>
        </w:rPr>
        <w:t> </w:t>
      </w:r>
      <w:r>
        <w:rPr/>
        <w:t>справиться</w:t>
      </w:r>
      <w:r>
        <w:rPr>
          <w:spacing w:val="-10"/>
        </w:rPr>
        <w:t> </w:t>
      </w:r>
      <w:r>
        <w:rPr/>
        <w:t>со</w:t>
      </w:r>
      <w:r>
        <w:rPr>
          <w:spacing w:val="-10"/>
        </w:rPr>
        <w:t> </w:t>
      </w:r>
      <w:r>
        <w:rPr/>
        <w:t>стрессорами,</w:t>
      </w:r>
      <w:r>
        <w:rPr>
          <w:spacing w:val="-10"/>
        </w:rPr>
        <w:t> </w:t>
      </w:r>
      <w:r>
        <w:rPr/>
        <w:t>мышечным</w:t>
      </w:r>
      <w:r>
        <w:rPr>
          <w:spacing w:val="-10"/>
        </w:rPr>
        <w:t> </w:t>
      </w:r>
      <w:r>
        <w:rPr/>
        <w:t>напряжением</w:t>
      </w:r>
      <w:r>
        <w:rPr>
          <w:spacing w:val="-10"/>
        </w:rPr>
        <w:t> </w:t>
      </w:r>
      <w:r>
        <w:rPr/>
        <w:t>и</w:t>
      </w:r>
      <w:r>
        <w:rPr>
          <w:spacing w:val="-10"/>
        </w:rPr>
        <w:t> </w:t>
      </w:r>
      <w:r>
        <w:rPr/>
        <w:t>связанными</w:t>
      </w:r>
      <w:r>
        <w:rPr>
          <w:spacing w:val="-10"/>
        </w:rPr>
        <w:t> </w:t>
      </w:r>
      <w:r>
        <w:rPr/>
        <w:t>с</w:t>
      </w:r>
      <w:r>
        <w:rPr>
          <w:spacing w:val="-10"/>
        </w:rPr>
        <w:t> </w:t>
      </w:r>
      <w:r>
        <w:rPr/>
        <w:t>ними физиологическими реакциями.</w:t>
      </w:r>
    </w:p>
    <w:p>
      <w:pPr>
        <w:pStyle w:val="BodyText"/>
        <w:spacing w:line="242" w:lineRule="auto"/>
      </w:pPr>
      <w:r>
        <w:rPr/>
        <w:t>Для</w:t>
      </w:r>
      <w:r>
        <w:rPr>
          <w:spacing w:val="-11"/>
        </w:rPr>
        <w:t> </w:t>
      </w:r>
      <w:r>
        <w:rPr/>
        <w:t>проведения</w:t>
      </w:r>
      <w:r>
        <w:rPr>
          <w:spacing w:val="-11"/>
        </w:rPr>
        <w:t> </w:t>
      </w:r>
      <w:r>
        <w:rPr/>
        <w:t>техники</w:t>
      </w:r>
      <w:r>
        <w:rPr>
          <w:spacing w:val="-11"/>
        </w:rPr>
        <w:t> </w:t>
      </w:r>
      <w:r>
        <w:rPr/>
        <w:t>понадобится</w:t>
      </w:r>
      <w:r>
        <w:rPr>
          <w:spacing w:val="-11"/>
        </w:rPr>
        <w:t> </w:t>
      </w:r>
      <w:r>
        <w:rPr/>
        <w:t>удобный</w:t>
      </w:r>
      <w:r>
        <w:rPr>
          <w:spacing w:val="-11"/>
        </w:rPr>
        <w:t> </w:t>
      </w:r>
      <w:r>
        <w:rPr/>
        <w:t>диван,</w:t>
      </w:r>
      <w:r>
        <w:rPr>
          <w:spacing w:val="-11"/>
        </w:rPr>
        <w:t> </w:t>
      </w:r>
      <w:r>
        <w:rPr/>
        <w:t>кресло</w:t>
      </w:r>
      <w:r>
        <w:rPr>
          <w:spacing w:val="-11"/>
        </w:rPr>
        <w:t> </w:t>
      </w:r>
      <w:r>
        <w:rPr/>
        <w:t>или</w:t>
      </w:r>
      <w:r>
        <w:rPr>
          <w:spacing w:val="-11"/>
        </w:rPr>
        <w:t> </w:t>
      </w:r>
      <w:r>
        <w:rPr/>
        <w:t>стул.</w:t>
      </w:r>
      <w:r>
        <w:rPr>
          <w:spacing w:val="-11"/>
        </w:rPr>
        <w:t> </w:t>
      </w:r>
      <w:r>
        <w:rPr/>
        <w:t>Практико- вать мышечную релаксацию можно как на сессии, так и дома.</w:t>
      </w:r>
    </w:p>
    <w:p>
      <w:pPr>
        <w:pStyle w:val="BodyText"/>
        <w:spacing w:after="0" w:line="242" w:lineRule="auto"/>
        <w:sectPr>
          <w:pgSz w:w="8400" w:h="11910"/>
          <w:pgMar w:header="0" w:footer="529" w:top="400" w:bottom="740" w:left="425" w:right="425"/>
        </w:sectPr>
      </w:pPr>
    </w:p>
    <w:p>
      <w:pPr>
        <w:pStyle w:val="ListParagraph"/>
        <w:numPr>
          <w:ilvl w:val="1"/>
          <w:numId w:val="195"/>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Приемы</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2"/>
          <w:sz w:val="18"/>
        </w:rPr>
        <w:t> </w:t>
      </w:r>
      <w:r>
        <w:rPr>
          <w:rFonts w:ascii="Georgia" w:hAnsi="Georgia"/>
          <w:color w:val="231F20"/>
          <w:sz w:val="18"/>
        </w:rPr>
        <w:t>с</w:t>
      </w:r>
      <w:r>
        <w:rPr>
          <w:rFonts w:ascii="Georgia" w:hAnsi="Georgia"/>
          <w:color w:val="231F20"/>
          <w:spacing w:val="2"/>
          <w:sz w:val="18"/>
        </w:rPr>
        <w:t> </w:t>
      </w:r>
      <w:r>
        <w:rPr>
          <w:rFonts w:ascii="Georgia" w:hAnsi="Georgia"/>
          <w:color w:val="231F20"/>
          <w:sz w:val="18"/>
        </w:rPr>
        <w:t>психологической</w:t>
      </w:r>
      <w:r>
        <w:rPr>
          <w:rFonts w:ascii="Georgia" w:hAnsi="Georgia"/>
          <w:color w:val="231F20"/>
          <w:spacing w:val="2"/>
          <w:sz w:val="18"/>
        </w:rPr>
        <w:t> </w:t>
      </w:r>
      <w:r>
        <w:rPr>
          <w:rFonts w:ascii="Georgia" w:hAnsi="Georgia"/>
          <w:color w:val="231F20"/>
          <w:spacing w:val="-2"/>
          <w:sz w:val="18"/>
        </w:rPr>
        <w:t>травмой</w:t>
      </w:r>
    </w:p>
    <w:p>
      <w:pPr>
        <w:pStyle w:val="ListParagraph"/>
        <w:numPr>
          <w:ilvl w:val="0"/>
          <w:numId w:val="196"/>
        </w:numPr>
        <w:tabs>
          <w:tab w:pos="423" w:val="left" w:leader="none"/>
          <w:tab w:pos="425" w:val="left" w:leader="none"/>
        </w:tabs>
        <w:spacing w:line="230" w:lineRule="auto" w:before="119" w:after="0"/>
        <w:ind w:left="425" w:right="139" w:hanging="284"/>
        <w:jc w:val="both"/>
        <w:rPr>
          <w:sz w:val="20"/>
        </w:rPr>
      </w:pPr>
      <w:r>
        <w:rPr>
          <w:sz w:val="20"/>
        </w:rPr>
        <w:t>Психолог обсуждает с ребенком, в какой момент может возникать мышечное на- пряжение и как оно ощущается.</w:t>
      </w:r>
    </w:p>
    <w:p>
      <w:pPr>
        <w:pStyle w:val="BodyText"/>
        <w:spacing w:line="216" w:lineRule="exact"/>
        <w:ind w:left="425" w:right="0" w:firstLine="0"/>
      </w:pPr>
      <w:r>
        <w:rPr/>
        <w:t>Пример</w:t>
      </w:r>
      <w:r>
        <w:rPr>
          <w:spacing w:val="-2"/>
        </w:rPr>
        <w:t> </w:t>
      </w:r>
      <w:r>
        <w:rPr/>
        <w:t>слов</w:t>
      </w:r>
      <w:r>
        <w:rPr>
          <w:spacing w:val="-2"/>
        </w:rPr>
        <w:t> психолога:</w:t>
      </w:r>
    </w:p>
    <w:p>
      <w:pPr>
        <w:pStyle w:val="ListParagraph"/>
        <w:numPr>
          <w:ilvl w:val="1"/>
          <w:numId w:val="196"/>
        </w:numPr>
        <w:tabs>
          <w:tab w:pos="574" w:val="left" w:leader="none"/>
        </w:tabs>
        <w:spacing w:line="230" w:lineRule="auto" w:before="3" w:after="0"/>
        <w:ind w:left="141" w:right="139" w:firstLine="283"/>
        <w:jc w:val="both"/>
        <w:rPr>
          <w:i/>
          <w:sz w:val="20"/>
        </w:rPr>
      </w:pPr>
      <w:r>
        <w:rPr>
          <w:i/>
          <w:sz w:val="20"/>
        </w:rPr>
        <w:t>Давай</w:t>
      </w:r>
      <w:r>
        <w:rPr>
          <w:i/>
          <w:spacing w:val="-7"/>
          <w:sz w:val="20"/>
        </w:rPr>
        <w:t> </w:t>
      </w:r>
      <w:r>
        <w:rPr>
          <w:i/>
          <w:sz w:val="20"/>
        </w:rPr>
        <w:t>вспомним,</w:t>
      </w:r>
      <w:r>
        <w:rPr>
          <w:i/>
          <w:spacing w:val="-7"/>
          <w:sz w:val="20"/>
        </w:rPr>
        <w:t> </w:t>
      </w:r>
      <w:r>
        <w:rPr>
          <w:i/>
          <w:sz w:val="20"/>
        </w:rPr>
        <w:t>как</w:t>
      </w:r>
      <w:r>
        <w:rPr>
          <w:i/>
          <w:spacing w:val="-7"/>
          <w:sz w:val="20"/>
        </w:rPr>
        <w:t> </w:t>
      </w:r>
      <w:r>
        <w:rPr>
          <w:i/>
          <w:sz w:val="20"/>
        </w:rPr>
        <w:t>твое</w:t>
      </w:r>
      <w:r>
        <w:rPr>
          <w:i/>
          <w:spacing w:val="-7"/>
          <w:sz w:val="20"/>
        </w:rPr>
        <w:t> </w:t>
      </w:r>
      <w:r>
        <w:rPr>
          <w:i/>
          <w:sz w:val="20"/>
        </w:rPr>
        <w:t>тело</w:t>
      </w:r>
      <w:r>
        <w:rPr>
          <w:i/>
          <w:spacing w:val="-7"/>
          <w:sz w:val="20"/>
        </w:rPr>
        <w:t> </w:t>
      </w:r>
      <w:r>
        <w:rPr>
          <w:i/>
          <w:sz w:val="20"/>
        </w:rPr>
        <w:t>реагирует</w:t>
      </w:r>
      <w:r>
        <w:rPr>
          <w:i/>
          <w:spacing w:val="-7"/>
          <w:sz w:val="20"/>
        </w:rPr>
        <w:t> </w:t>
      </w:r>
      <w:r>
        <w:rPr>
          <w:i/>
          <w:sz w:val="20"/>
        </w:rPr>
        <w:t>на</w:t>
      </w:r>
      <w:r>
        <w:rPr>
          <w:i/>
          <w:spacing w:val="-7"/>
          <w:sz w:val="20"/>
        </w:rPr>
        <w:t> </w:t>
      </w:r>
      <w:r>
        <w:rPr>
          <w:i/>
          <w:sz w:val="20"/>
        </w:rPr>
        <w:t>напоминания</w:t>
      </w:r>
      <w:r>
        <w:rPr>
          <w:i/>
          <w:spacing w:val="-7"/>
          <w:sz w:val="20"/>
        </w:rPr>
        <w:t> </w:t>
      </w:r>
      <w:r>
        <w:rPr>
          <w:i/>
          <w:sz w:val="20"/>
        </w:rPr>
        <w:t>о</w:t>
      </w:r>
      <w:r>
        <w:rPr>
          <w:i/>
          <w:spacing w:val="-7"/>
          <w:sz w:val="20"/>
        </w:rPr>
        <w:t> </w:t>
      </w:r>
      <w:r>
        <w:rPr>
          <w:i/>
          <w:sz w:val="20"/>
        </w:rPr>
        <w:t>стрессе</w:t>
      </w:r>
      <w:r>
        <w:rPr>
          <w:i/>
          <w:spacing w:val="-7"/>
          <w:sz w:val="20"/>
        </w:rPr>
        <w:t> </w:t>
      </w:r>
      <w:r>
        <w:rPr>
          <w:i/>
          <w:sz w:val="20"/>
        </w:rPr>
        <w:t>и</w:t>
      </w:r>
      <w:r>
        <w:rPr>
          <w:i/>
          <w:spacing w:val="-7"/>
          <w:sz w:val="20"/>
        </w:rPr>
        <w:t> </w:t>
      </w:r>
      <w:r>
        <w:rPr>
          <w:i/>
          <w:sz w:val="20"/>
        </w:rPr>
        <w:t>травме. Сердце начинает биться быстрее, дыхание становится частым и поверхностным, желудок и голова как будто сжимаются. А что происходит с мышцами во время стресса</w:t>
      </w:r>
      <w:r>
        <w:rPr>
          <w:sz w:val="20"/>
        </w:rPr>
        <w:t>?</w:t>
      </w:r>
      <w:r>
        <w:rPr>
          <w:spacing w:val="-13"/>
          <w:sz w:val="20"/>
        </w:rPr>
        <w:t> </w:t>
      </w:r>
      <w:r>
        <w:rPr>
          <w:sz w:val="20"/>
        </w:rPr>
        <w:t>(Ребенок</w:t>
      </w:r>
      <w:r>
        <w:rPr>
          <w:spacing w:val="-12"/>
          <w:sz w:val="20"/>
        </w:rPr>
        <w:t> </w:t>
      </w:r>
      <w:r>
        <w:rPr>
          <w:sz w:val="20"/>
        </w:rPr>
        <w:t>может</w:t>
      </w:r>
      <w:r>
        <w:rPr>
          <w:spacing w:val="-13"/>
          <w:sz w:val="20"/>
        </w:rPr>
        <w:t> </w:t>
      </w:r>
      <w:r>
        <w:rPr>
          <w:sz w:val="20"/>
        </w:rPr>
        <w:t>ответить,</w:t>
      </w:r>
      <w:r>
        <w:rPr>
          <w:spacing w:val="-11"/>
          <w:sz w:val="20"/>
        </w:rPr>
        <w:t> </w:t>
      </w:r>
      <w:r>
        <w:rPr>
          <w:sz w:val="20"/>
        </w:rPr>
        <w:t>что</w:t>
      </w:r>
      <w:r>
        <w:rPr>
          <w:spacing w:val="-13"/>
          <w:sz w:val="20"/>
        </w:rPr>
        <w:t> </w:t>
      </w:r>
      <w:r>
        <w:rPr>
          <w:sz w:val="20"/>
        </w:rPr>
        <w:t>они</w:t>
      </w:r>
      <w:r>
        <w:rPr>
          <w:spacing w:val="-12"/>
          <w:sz w:val="20"/>
        </w:rPr>
        <w:t> </w:t>
      </w:r>
      <w:r>
        <w:rPr>
          <w:sz w:val="20"/>
        </w:rPr>
        <w:t>тоже</w:t>
      </w:r>
      <w:r>
        <w:rPr>
          <w:spacing w:val="-13"/>
          <w:sz w:val="20"/>
        </w:rPr>
        <w:t> </w:t>
      </w:r>
      <w:r>
        <w:rPr>
          <w:sz w:val="20"/>
        </w:rPr>
        <w:t>напрягаются.)</w:t>
      </w:r>
      <w:r>
        <w:rPr>
          <w:spacing w:val="-11"/>
          <w:sz w:val="20"/>
        </w:rPr>
        <w:t> </w:t>
      </w:r>
      <w:r>
        <w:rPr>
          <w:i/>
          <w:sz w:val="20"/>
        </w:rPr>
        <w:t>Правильно,</w:t>
      </w:r>
      <w:r>
        <w:rPr>
          <w:i/>
          <w:spacing w:val="-12"/>
          <w:sz w:val="20"/>
        </w:rPr>
        <w:t> </w:t>
      </w:r>
      <w:r>
        <w:rPr>
          <w:i/>
          <w:sz w:val="20"/>
        </w:rPr>
        <w:t>они</w:t>
      </w:r>
      <w:r>
        <w:rPr>
          <w:i/>
          <w:spacing w:val="-12"/>
          <w:sz w:val="20"/>
        </w:rPr>
        <w:t> </w:t>
      </w:r>
      <w:r>
        <w:rPr>
          <w:i/>
          <w:sz w:val="20"/>
        </w:rPr>
        <w:t>гото- вят</w:t>
      </w:r>
      <w:r>
        <w:rPr>
          <w:i/>
          <w:spacing w:val="-13"/>
          <w:sz w:val="20"/>
        </w:rPr>
        <w:t> </w:t>
      </w:r>
      <w:r>
        <w:rPr>
          <w:i/>
          <w:sz w:val="20"/>
        </w:rPr>
        <w:t>твое</w:t>
      </w:r>
      <w:r>
        <w:rPr>
          <w:i/>
          <w:spacing w:val="-12"/>
          <w:sz w:val="20"/>
        </w:rPr>
        <w:t> </w:t>
      </w:r>
      <w:r>
        <w:rPr>
          <w:i/>
          <w:sz w:val="20"/>
        </w:rPr>
        <w:t>тело</w:t>
      </w:r>
      <w:r>
        <w:rPr>
          <w:i/>
          <w:spacing w:val="-13"/>
          <w:sz w:val="20"/>
        </w:rPr>
        <w:t> </w:t>
      </w:r>
      <w:r>
        <w:rPr>
          <w:i/>
          <w:sz w:val="20"/>
        </w:rPr>
        <w:t>к</w:t>
      </w:r>
      <w:r>
        <w:rPr>
          <w:i/>
          <w:spacing w:val="-12"/>
          <w:sz w:val="20"/>
        </w:rPr>
        <w:t> </w:t>
      </w:r>
      <w:r>
        <w:rPr>
          <w:i/>
          <w:sz w:val="20"/>
        </w:rPr>
        <w:t>реакции</w:t>
      </w:r>
      <w:r>
        <w:rPr>
          <w:i/>
          <w:spacing w:val="-13"/>
          <w:sz w:val="20"/>
        </w:rPr>
        <w:t> </w:t>
      </w:r>
      <w:r>
        <w:rPr>
          <w:i/>
          <w:sz w:val="20"/>
        </w:rPr>
        <w:t>на</w:t>
      </w:r>
      <w:r>
        <w:rPr>
          <w:i/>
          <w:spacing w:val="-12"/>
          <w:sz w:val="20"/>
        </w:rPr>
        <w:t> </w:t>
      </w:r>
      <w:r>
        <w:rPr>
          <w:i/>
          <w:sz w:val="20"/>
        </w:rPr>
        <w:t>опасность:</w:t>
      </w:r>
      <w:r>
        <w:rPr>
          <w:i/>
          <w:spacing w:val="-13"/>
          <w:sz w:val="20"/>
        </w:rPr>
        <w:t> </w:t>
      </w:r>
      <w:r>
        <w:rPr>
          <w:i/>
          <w:sz w:val="20"/>
        </w:rPr>
        <w:t>сражаться,</w:t>
      </w:r>
      <w:r>
        <w:rPr>
          <w:i/>
          <w:spacing w:val="-12"/>
          <w:sz w:val="20"/>
        </w:rPr>
        <w:t> </w:t>
      </w:r>
      <w:r>
        <w:rPr>
          <w:i/>
          <w:sz w:val="20"/>
        </w:rPr>
        <w:t>убегать</w:t>
      </w:r>
      <w:r>
        <w:rPr>
          <w:i/>
          <w:spacing w:val="-13"/>
          <w:sz w:val="20"/>
        </w:rPr>
        <w:t> </w:t>
      </w:r>
      <w:r>
        <w:rPr>
          <w:i/>
          <w:sz w:val="20"/>
        </w:rPr>
        <w:t>или</w:t>
      </w:r>
      <w:r>
        <w:rPr>
          <w:i/>
          <w:spacing w:val="-12"/>
          <w:sz w:val="20"/>
        </w:rPr>
        <w:t> </w:t>
      </w:r>
      <w:r>
        <w:rPr>
          <w:i/>
          <w:sz w:val="20"/>
        </w:rPr>
        <w:t>замирать.</w:t>
      </w:r>
      <w:r>
        <w:rPr>
          <w:i/>
          <w:spacing w:val="-13"/>
          <w:sz w:val="20"/>
        </w:rPr>
        <w:t> </w:t>
      </w:r>
      <w:r>
        <w:rPr>
          <w:i/>
          <w:sz w:val="20"/>
        </w:rPr>
        <w:t>Любая</w:t>
      </w:r>
      <w:r>
        <w:rPr>
          <w:i/>
          <w:spacing w:val="-12"/>
          <w:sz w:val="20"/>
        </w:rPr>
        <w:t> </w:t>
      </w:r>
      <w:r>
        <w:rPr>
          <w:i/>
          <w:sz w:val="20"/>
        </w:rPr>
        <w:t>из этих</w:t>
      </w:r>
      <w:r>
        <w:rPr>
          <w:i/>
          <w:spacing w:val="-9"/>
          <w:sz w:val="20"/>
        </w:rPr>
        <w:t> </w:t>
      </w:r>
      <w:r>
        <w:rPr>
          <w:i/>
          <w:sz w:val="20"/>
        </w:rPr>
        <w:t>реакций</w:t>
      </w:r>
      <w:r>
        <w:rPr>
          <w:i/>
          <w:spacing w:val="-9"/>
          <w:sz w:val="20"/>
        </w:rPr>
        <w:t> </w:t>
      </w:r>
      <w:r>
        <w:rPr>
          <w:i/>
          <w:sz w:val="20"/>
        </w:rPr>
        <w:t>требует,</w:t>
      </w:r>
      <w:r>
        <w:rPr>
          <w:i/>
          <w:spacing w:val="-9"/>
          <w:sz w:val="20"/>
        </w:rPr>
        <w:t> </w:t>
      </w:r>
      <w:r>
        <w:rPr>
          <w:i/>
          <w:sz w:val="20"/>
        </w:rPr>
        <w:t>чтобы</w:t>
      </w:r>
      <w:r>
        <w:rPr>
          <w:i/>
          <w:spacing w:val="-9"/>
          <w:sz w:val="20"/>
        </w:rPr>
        <w:t> </w:t>
      </w:r>
      <w:r>
        <w:rPr>
          <w:i/>
          <w:sz w:val="20"/>
        </w:rPr>
        <w:t>мышцы</w:t>
      </w:r>
      <w:r>
        <w:rPr>
          <w:i/>
          <w:spacing w:val="-9"/>
          <w:sz w:val="20"/>
        </w:rPr>
        <w:t> </w:t>
      </w:r>
      <w:r>
        <w:rPr>
          <w:i/>
          <w:sz w:val="20"/>
        </w:rPr>
        <w:t>напряглись,</w:t>
      </w:r>
      <w:r>
        <w:rPr>
          <w:i/>
          <w:spacing w:val="-9"/>
          <w:sz w:val="20"/>
        </w:rPr>
        <w:t> </w:t>
      </w:r>
      <w:r>
        <w:rPr>
          <w:i/>
          <w:sz w:val="20"/>
        </w:rPr>
        <w:t>как</w:t>
      </w:r>
      <w:r>
        <w:rPr>
          <w:i/>
          <w:spacing w:val="-9"/>
          <w:sz w:val="20"/>
        </w:rPr>
        <w:t> </w:t>
      </w:r>
      <w:r>
        <w:rPr>
          <w:i/>
          <w:sz w:val="20"/>
        </w:rPr>
        <w:t>если</w:t>
      </w:r>
      <w:r>
        <w:rPr>
          <w:i/>
          <w:spacing w:val="-9"/>
          <w:sz w:val="20"/>
        </w:rPr>
        <w:t> </w:t>
      </w:r>
      <w:r>
        <w:rPr>
          <w:i/>
          <w:sz w:val="20"/>
        </w:rPr>
        <w:t>бы</w:t>
      </w:r>
      <w:r>
        <w:rPr>
          <w:i/>
          <w:spacing w:val="-9"/>
          <w:sz w:val="20"/>
        </w:rPr>
        <w:t> </w:t>
      </w:r>
      <w:r>
        <w:rPr>
          <w:i/>
          <w:sz w:val="20"/>
        </w:rPr>
        <w:t>ты</w:t>
      </w:r>
      <w:r>
        <w:rPr>
          <w:i/>
          <w:spacing w:val="-9"/>
          <w:sz w:val="20"/>
        </w:rPr>
        <w:t> </w:t>
      </w:r>
      <w:r>
        <w:rPr>
          <w:i/>
          <w:sz w:val="20"/>
        </w:rPr>
        <w:t>собирался</w:t>
      </w:r>
      <w:r>
        <w:rPr>
          <w:i/>
          <w:spacing w:val="-9"/>
          <w:sz w:val="20"/>
        </w:rPr>
        <w:t> </w:t>
      </w:r>
      <w:r>
        <w:rPr>
          <w:i/>
          <w:sz w:val="20"/>
        </w:rPr>
        <w:t>начать гонку на Олимпийских играх. И это не то чувство, с которым хорошо и спокойно. Поэтому надо останавливать напряжение в мышцах, намеренно расслаблять их. Если делать это, сердце и дыхание тоже будут легче реагировать на стресс.</w:t>
      </w:r>
    </w:p>
    <w:p>
      <w:pPr>
        <w:pStyle w:val="BodyText"/>
        <w:spacing w:line="230" w:lineRule="auto"/>
      </w:pPr>
      <w:r>
        <w:rPr/>
        <w:t>С</w:t>
      </w:r>
      <w:r>
        <w:rPr>
          <w:spacing w:val="-5"/>
        </w:rPr>
        <w:t> </w:t>
      </w:r>
      <w:r>
        <w:rPr/>
        <w:t>детьми</w:t>
      </w:r>
      <w:r>
        <w:rPr>
          <w:spacing w:val="-5"/>
        </w:rPr>
        <w:t> </w:t>
      </w:r>
      <w:r>
        <w:rPr/>
        <w:t>младшего</w:t>
      </w:r>
      <w:r>
        <w:rPr>
          <w:spacing w:val="-5"/>
        </w:rPr>
        <w:t> </w:t>
      </w:r>
      <w:r>
        <w:rPr/>
        <w:t>возраста</w:t>
      </w:r>
      <w:r>
        <w:rPr>
          <w:spacing w:val="-5"/>
        </w:rPr>
        <w:t> </w:t>
      </w:r>
      <w:r>
        <w:rPr/>
        <w:t>психолог</w:t>
      </w:r>
      <w:r>
        <w:rPr>
          <w:spacing w:val="-5"/>
        </w:rPr>
        <w:t> </w:t>
      </w:r>
      <w:r>
        <w:rPr/>
        <w:t>может</w:t>
      </w:r>
      <w:r>
        <w:rPr>
          <w:spacing w:val="-5"/>
        </w:rPr>
        <w:t> </w:t>
      </w:r>
      <w:r>
        <w:rPr/>
        <w:t>использовать</w:t>
      </w:r>
      <w:r>
        <w:rPr>
          <w:spacing w:val="-5"/>
        </w:rPr>
        <w:t> </w:t>
      </w:r>
      <w:r>
        <w:rPr/>
        <w:t>аналогию</w:t>
      </w:r>
      <w:r>
        <w:rPr>
          <w:spacing w:val="-5"/>
        </w:rPr>
        <w:t> </w:t>
      </w:r>
      <w:r>
        <w:rPr/>
        <w:t>с</w:t>
      </w:r>
      <w:r>
        <w:rPr>
          <w:spacing w:val="-5"/>
        </w:rPr>
        <w:t> </w:t>
      </w:r>
      <w:r>
        <w:rPr/>
        <w:t>макарона- ми: до приготовления они жесткие (напряженные), а когда сварились – мягкие (рас- слабленные). Подойдет и аналогия с игрушками: оловянный солдатик жесткий и на- пряженный,</w:t>
      </w:r>
      <w:r>
        <w:rPr>
          <w:spacing w:val="-9"/>
        </w:rPr>
        <w:t> </w:t>
      </w:r>
      <w:r>
        <w:rPr/>
        <w:t>а</w:t>
      </w:r>
      <w:r>
        <w:rPr>
          <w:spacing w:val="-9"/>
        </w:rPr>
        <w:t> </w:t>
      </w:r>
      <w:r>
        <w:rPr/>
        <w:t>тряпичная</w:t>
      </w:r>
      <w:r>
        <w:rPr>
          <w:spacing w:val="-9"/>
        </w:rPr>
        <w:t> </w:t>
      </w:r>
      <w:r>
        <w:rPr/>
        <w:t>кукла</w:t>
      </w:r>
      <w:r>
        <w:rPr>
          <w:spacing w:val="-9"/>
        </w:rPr>
        <w:t> </w:t>
      </w:r>
      <w:r>
        <w:rPr/>
        <w:t>–</w:t>
      </w:r>
      <w:r>
        <w:rPr>
          <w:spacing w:val="-9"/>
        </w:rPr>
        <w:t> </w:t>
      </w:r>
      <w:r>
        <w:rPr/>
        <w:t>рыхлая</w:t>
      </w:r>
      <w:r>
        <w:rPr>
          <w:spacing w:val="-9"/>
        </w:rPr>
        <w:t> </w:t>
      </w:r>
      <w:r>
        <w:rPr/>
        <w:t>и</w:t>
      </w:r>
      <w:r>
        <w:rPr>
          <w:spacing w:val="-9"/>
        </w:rPr>
        <w:t> </w:t>
      </w:r>
      <w:r>
        <w:rPr/>
        <w:t>гибкая.</w:t>
      </w:r>
      <w:r>
        <w:rPr>
          <w:spacing w:val="-9"/>
        </w:rPr>
        <w:t> </w:t>
      </w:r>
      <w:r>
        <w:rPr/>
        <w:t>Некоторые</w:t>
      </w:r>
      <w:r>
        <w:rPr>
          <w:spacing w:val="-9"/>
        </w:rPr>
        <w:t> </w:t>
      </w:r>
      <w:r>
        <w:rPr/>
        <w:t>дети</w:t>
      </w:r>
      <w:r>
        <w:rPr>
          <w:spacing w:val="-9"/>
        </w:rPr>
        <w:t> </w:t>
      </w:r>
      <w:r>
        <w:rPr/>
        <w:t>смогут</w:t>
      </w:r>
      <w:r>
        <w:rPr>
          <w:spacing w:val="-9"/>
        </w:rPr>
        <w:t> </w:t>
      </w:r>
      <w:r>
        <w:rPr/>
        <w:t>расслабить мышцы, просто пытаясь «быть как вареные макароны» или «сидеть как тряпичная кукла».</w:t>
      </w:r>
      <w:r>
        <w:rPr>
          <w:spacing w:val="-13"/>
        </w:rPr>
        <w:t> </w:t>
      </w:r>
      <w:r>
        <w:rPr/>
        <w:t>Однако</w:t>
      </w:r>
      <w:r>
        <w:rPr>
          <w:spacing w:val="-12"/>
        </w:rPr>
        <w:t> </w:t>
      </w:r>
      <w:r>
        <w:rPr/>
        <w:t>другим</w:t>
      </w:r>
      <w:r>
        <w:rPr>
          <w:spacing w:val="-13"/>
        </w:rPr>
        <w:t> </w:t>
      </w:r>
      <w:r>
        <w:rPr/>
        <w:t>потребуются</w:t>
      </w:r>
      <w:r>
        <w:rPr>
          <w:spacing w:val="-12"/>
        </w:rPr>
        <w:t> </w:t>
      </w:r>
      <w:r>
        <w:rPr/>
        <w:t>конкретные</w:t>
      </w:r>
      <w:r>
        <w:rPr>
          <w:spacing w:val="-13"/>
        </w:rPr>
        <w:t> </w:t>
      </w:r>
      <w:r>
        <w:rPr/>
        <w:t>инструкции,</w:t>
      </w:r>
      <w:r>
        <w:rPr>
          <w:spacing w:val="-12"/>
        </w:rPr>
        <w:t> </w:t>
      </w:r>
      <w:r>
        <w:rPr/>
        <w:t>как</w:t>
      </w:r>
      <w:r>
        <w:rPr>
          <w:spacing w:val="-13"/>
        </w:rPr>
        <w:t> </w:t>
      </w:r>
      <w:r>
        <w:rPr/>
        <w:t>постепенно</w:t>
      </w:r>
      <w:r>
        <w:rPr>
          <w:spacing w:val="-12"/>
        </w:rPr>
        <w:t> </w:t>
      </w:r>
      <w:r>
        <w:rPr/>
        <w:t>рассла- блять различные группы мышц.</w:t>
      </w:r>
    </w:p>
    <w:p>
      <w:pPr>
        <w:pStyle w:val="ListParagraph"/>
        <w:numPr>
          <w:ilvl w:val="0"/>
          <w:numId w:val="196"/>
        </w:numPr>
        <w:tabs>
          <w:tab w:pos="423" w:val="left" w:leader="none"/>
          <w:tab w:pos="425" w:val="left" w:leader="none"/>
        </w:tabs>
        <w:spacing w:line="230" w:lineRule="auto" w:before="44" w:after="0"/>
        <w:ind w:left="425" w:right="139" w:hanging="284"/>
        <w:jc w:val="both"/>
        <w:rPr>
          <w:sz w:val="20"/>
        </w:rPr>
      </w:pPr>
      <w:r>
        <w:rPr>
          <w:sz w:val="20"/>
        </w:rPr>
        <w:t>Психолог</w:t>
      </w:r>
      <w:r>
        <w:rPr>
          <w:spacing w:val="-8"/>
          <w:sz w:val="20"/>
        </w:rPr>
        <w:t> </w:t>
      </w:r>
      <w:r>
        <w:rPr>
          <w:sz w:val="20"/>
        </w:rPr>
        <w:t>предлагает</w:t>
      </w:r>
      <w:r>
        <w:rPr>
          <w:spacing w:val="-8"/>
          <w:sz w:val="20"/>
        </w:rPr>
        <w:t> </w:t>
      </w:r>
      <w:r>
        <w:rPr>
          <w:sz w:val="20"/>
        </w:rPr>
        <w:t>ребенку</w:t>
      </w:r>
      <w:r>
        <w:rPr>
          <w:spacing w:val="-8"/>
          <w:sz w:val="20"/>
        </w:rPr>
        <w:t> </w:t>
      </w:r>
      <w:r>
        <w:rPr>
          <w:sz w:val="20"/>
        </w:rPr>
        <w:t>удобно</w:t>
      </w:r>
      <w:r>
        <w:rPr>
          <w:spacing w:val="-8"/>
          <w:sz w:val="20"/>
        </w:rPr>
        <w:t> </w:t>
      </w:r>
      <w:r>
        <w:rPr>
          <w:sz w:val="20"/>
        </w:rPr>
        <w:t>расположиться</w:t>
      </w:r>
      <w:r>
        <w:rPr>
          <w:spacing w:val="-8"/>
          <w:sz w:val="20"/>
        </w:rPr>
        <w:t> </w:t>
      </w:r>
      <w:r>
        <w:rPr>
          <w:sz w:val="20"/>
        </w:rPr>
        <w:t>на</w:t>
      </w:r>
      <w:r>
        <w:rPr>
          <w:spacing w:val="-8"/>
          <w:sz w:val="20"/>
        </w:rPr>
        <w:t> </w:t>
      </w:r>
      <w:r>
        <w:rPr>
          <w:sz w:val="20"/>
        </w:rPr>
        <w:t>стуле</w:t>
      </w:r>
      <w:r>
        <w:rPr>
          <w:spacing w:val="-8"/>
          <w:sz w:val="20"/>
        </w:rPr>
        <w:t> </w:t>
      </w:r>
      <w:r>
        <w:rPr>
          <w:sz w:val="20"/>
        </w:rPr>
        <w:t>/</w:t>
      </w:r>
      <w:r>
        <w:rPr>
          <w:spacing w:val="-8"/>
          <w:sz w:val="20"/>
        </w:rPr>
        <w:t> </w:t>
      </w:r>
      <w:r>
        <w:rPr>
          <w:sz w:val="20"/>
        </w:rPr>
        <w:t>в</w:t>
      </w:r>
      <w:r>
        <w:rPr>
          <w:spacing w:val="-8"/>
          <w:sz w:val="20"/>
        </w:rPr>
        <w:t> </w:t>
      </w:r>
      <w:r>
        <w:rPr>
          <w:sz w:val="20"/>
        </w:rPr>
        <w:t>кресле</w:t>
      </w:r>
      <w:r>
        <w:rPr>
          <w:spacing w:val="-8"/>
          <w:sz w:val="20"/>
        </w:rPr>
        <w:t> </w:t>
      </w:r>
      <w:r>
        <w:rPr>
          <w:sz w:val="20"/>
        </w:rPr>
        <w:t>/</w:t>
      </w:r>
      <w:r>
        <w:rPr>
          <w:spacing w:val="-8"/>
          <w:sz w:val="20"/>
        </w:rPr>
        <w:t> </w:t>
      </w:r>
      <w:r>
        <w:rPr>
          <w:sz w:val="20"/>
        </w:rPr>
        <w:t>в</w:t>
      </w:r>
      <w:r>
        <w:rPr>
          <w:spacing w:val="-8"/>
          <w:sz w:val="20"/>
        </w:rPr>
        <w:t> </w:t>
      </w:r>
      <w:r>
        <w:rPr>
          <w:sz w:val="20"/>
        </w:rPr>
        <w:t>любом другом месте, чтобы научиться расслаблять мышцы.</w:t>
      </w:r>
    </w:p>
    <w:p>
      <w:pPr>
        <w:spacing w:line="216" w:lineRule="exact" w:before="0"/>
        <w:ind w:left="425" w:right="0" w:firstLine="0"/>
        <w:jc w:val="left"/>
        <w:rPr>
          <w:i/>
          <w:sz w:val="20"/>
        </w:rPr>
      </w:pPr>
      <w:r>
        <w:rPr>
          <w:i/>
          <w:spacing w:val="-2"/>
          <w:sz w:val="20"/>
        </w:rPr>
        <w:t>Инструкция</w:t>
      </w:r>
    </w:p>
    <w:p>
      <w:pPr>
        <w:pStyle w:val="ListParagraph"/>
        <w:numPr>
          <w:ilvl w:val="1"/>
          <w:numId w:val="196"/>
        </w:numPr>
        <w:tabs>
          <w:tab w:pos="594" w:val="left" w:leader="none"/>
        </w:tabs>
        <w:spacing w:line="230" w:lineRule="auto" w:before="3" w:after="0"/>
        <w:ind w:left="141" w:right="139" w:firstLine="283"/>
        <w:jc w:val="both"/>
        <w:rPr>
          <w:i/>
          <w:sz w:val="20"/>
        </w:rPr>
      </w:pPr>
      <w:r>
        <w:rPr>
          <w:i/>
          <w:sz w:val="20"/>
        </w:rPr>
        <w:t>Мы расслабим все тело, начиная с пальцев ног и продвигаясь к макушке. Мы будем</w:t>
      </w:r>
      <w:r>
        <w:rPr>
          <w:i/>
          <w:spacing w:val="-3"/>
          <w:sz w:val="20"/>
        </w:rPr>
        <w:t> </w:t>
      </w:r>
      <w:r>
        <w:rPr>
          <w:i/>
          <w:sz w:val="20"/>
        </w:rPr>
        <w:t>избавляться</w:t>
      </w:r>
      <w:r>
        <w:rPr>
          <w:i/>
          <w:spacing w:val="-3"/>
          <w:sz w:val="20"/>
        </w:rPr>
        <w:t> </w:t>
      </w:r>
      <w:r>
        <w:rPr>
          <w:i/>
          <w:sz w:val="20"/>
        </w:rPr>
        <w:t>от</w:t>
      </w:r>
      <w:r>
        <w:rPr>
          <w:i/>
          <w:spacing w:val="-3"/>
          <w:sz w:val="20"/>
        </w:rPr>
        <w:t> </w:t>
      </w:r>
      <w:r>
        <w:rPr>
          <w:i/>
          <w:sz w:val="20"/>
        </w:rPr>
        <w:t>каждого</w:t>
      </w:r>
      <w:r>
        <w:rPr>
          <w:i/>
          <w:spacing w:val="-3"/>
          <w:sz w:val="20"/>
        </w:rPr>
        <w:t> </w:t>
      </w:r>
      <w:r>
        <w:rPr>
          <w:i/>
          <w:sz w:val="20"/>
        </w:rPr>
        <w:t>кусочка</w:t>
      </w:r>
      <w:r>
        <w:rPr>
          <w:i/>
          <w:spacing w:val="-3"/>
          <w:sz w:val="20"/>
        </w:rPr>
        <w:t> </w:t>
      </w:r>
      <w:r>
        <w:rPr>
          <w:i/>
          <w:sz w:val="20"/>
        </w:rPr>
        <w:t>напряжения,</w:t>
      </w:r>
      <w:r>
        <w:rPr>
          <w:i/>
          <w:spacing w:val="-3"/>
          <w:sz w:val="20"/>
        </w:rPr>
        <w:t> </w:t>
      </w:r>
      <w:r>
        <w:rPr>
          <w:i/>
          <w:sz w:val="20"/>
        </w:rPr>
        <w:t>пока</w:t>
      </w:r>
      <w:r>
        <w:rPr>
          <w:i/>
          <w:spacing w:val="-3"/>
          <w:sz w:val="20"/>
        </w:rPr>
        <w:t> </w:t>
      </w:r>
      <w:r>
        <w:rPr>
          <w:i/>
          <w:sz w:val="20"/>
        </w:rPr>
        <w:t>оно</w:t>
      </w:r>
      <w:r>
        <w:rPr>
          <w:i/>
          <w:spacing w:val="-3"/>
          <w:sz w:val="20"/>
        </w:rPr>
        <w:t> </w:t>
      </w:r>
      <w:r>
        <w:rPr>
          <w:i/>
          <w:sz w:val="20"/>
        </w:rPr>
        <w:t>не</w:t>
      </w:r>
      <w:r>
        <w:rPr>
          <w:i/>
          <w:spacing w:val="-3"/>
          <w:sz w:val="20"/>
        </w:rPr>
        <w:t> </w:t>
      </w:r>
      <w:r>
        <w:rPr>
          <w:i/>
          <w:sz w:val="20"/>
        </w:rPr>
        <w:t>выйдет</w:t>
      </w:r>
      <w:r>
        <w:rPr>
          <w:i/>
          <w:spacing w:val="-3"/>
          <w:sz w:val="20"/>
        </w:rPr>
        <w:t> </w:t>
      </w:r>
      <w:r>
        <w:rPr>
          <w:i/>
          <w:sz w:val="20"/>
        </w:rPr>
        <w:t>из</w:t>
      </w:r>
      <w:r>
        <w:rPr>
          <w:i/>
          <w:spacing w:val="-3"/>
          <w:sz w:val="20"/>
        </w:rPr>
        <w:t> </w:t>
      </w:r>
      <w:r>
        <w:rPr>
          <w:i/>
          <w:sz w:val="20"/>
        </w:rPr>
        <w:t>верхней части</w:t>
      </w:r>
      <w:r>
        <w:rPr>
          <w:i/>
          <w:spacing w:val="-13"/>
          <w:sz w:val="20"/>
        </w:rPr>
        <w:t> </w:t>
      </w:r>
      <w:r>
        <w:rPr>
          <w:i/>
          <w:sz w:val="20"/>
        </w:rPr>
        <w:t>головы</w:t>
      </w:r>
      <w:r>
        <w:rPr>
          <w:i/>
          <w:spacing w:val="-12"/>
          <w:sz w:val="20"/>
        </w:rPr>
        <w:t> </w:t>
      </w:r>
      <w:r>
        <w:rPr>
          <w:i/>
          <w:sz w:val="20"/>
        </w:rPr>
        <w:t>и</w:t>
      </w:r>
      <w:r>
        <w:rPr>
          <w:i/>
          <w:spacing w:val="-13"/>
          <w:sz w:val="20"/>
        </w:rPr>
        <w:t> </w:t>
      </w:r>
      <w:r>
        <w:rPr>
          <w:i/>
          <w:sz w:val="20"/>
        </w:rPr>
        <w:t>не</w:t>
      </w:r>
      <w:r>
        <w:rPr>
          <w:i/>
          <w:spacing w:val="-12"/>
          <w:sz w:val="20"/>
        </w:rPr>
        <w:t> </w:t>
      </w:r>
      <w:r>
        <w:rPr>
          <w:i/>
          <w:sz w:val="20"/>
        </w:rPr>
        <w:t>уплывет</w:t>
      </w:r>
      <w:r>
        <w:rPr>
          <w:i/>
          <w:spacing w:val="-13"/>
          <w:sz w:val="20"/>
        </w:rPr>
        <w:t> </w:t>
      </w:r>
      <w:r>
        <w:rPr>
          <w:i/>
          <w:sz w:val="20"/>
        </w:rPr>
        <w:t>в</w:t>
      </w:r>
      <w:r>
        <w:rPr>
          <w:i/>
          <w:spacing w:val="-12"/>
          <w:sz w:val="20"/>
        </w:rPr>
        <w:t> </w:t>
      </w:r>
      <w:r>
        <w:rPr>
          <w:i/>
          <w:sz w:val="20"/>
        </w:rPr>
        <w:t>космос,</w:t>
      </w:r>
      <w:r>
        <w:rPr>
          <w:i/>
          <w:spacing w:val="-13"/>
          <w:sz w:val="20"/>
        </w:rPr>
        <w:t> </w:t>
      </w:r>
      <w:r>
        <w:rPr>
          <w:i/>
          <w:sz w:val="20"/>
        </w:rPr>
        <w:t>оставив</w:t>
      </w:r>
      <w:r>
        <w:rPr>
          <w:i/>
          <w:spacing w:val="-12"/>
          <w:sz w:val="20"/>
        </w:rPr>
        <w:t> </w:t>
      </w:r>
      <w:r>
        <w:rPr>
          <w:i/>
          <w:sz w:val="20"/>
        </w:rPr>
        <w:t>тебя</w:t>
      </w:r>
      <w:r>
        <w:rPr>
          <w:i/>
          <w:spacing w:val="-13"/>
          <w:sz w:val="20"/>
        </w:rPr>
        <w:t> </w:t>
      </w:r>
      <w:r>
        <w:rPr>
          <w:i/>
          <w:sz w:val="20"/>
        </w:rPr>
        <w:t>расслабленным</w:t>
      </w:r>
      <w:r>
        <w:rPr>
          <w:i/>
          <w:spacing w:val="-12"/>
          <w:sz w:val="20"/>
        </w:rPr>
        <w:t> </w:t>
      </w:r>
      <w:r>
        <w:rPr>
          <w:i/>
          <w:sz w:val="20"/>
        </w:rPr>
        <w:t>и</w:t>
      </w:r>
      <w:r>
        <w:rPr>
          <w:i/>
          <w:spacing w:val="-13"/>
          <w:sz w:val="20"/>
        </w:rPr>
        <w:t> </w:t>
      </w:r>
      <w:r>
        <w:rPr>
          <w:i/>
          <w:sz w:val="20"/>
        </w:rPr>
        <w:t>спокойным.</w:t>
      </w:r>
      <w:r>
        <w:rPr>
          <w:i/>
          <w:spacing w:val="-12"/>
          <w:sz w:val="20"/>
        </w:rPr>
        <w:t> </w:t>
      </w:r>
      <w:r>
        <w:rPr>
          <w:i/>
          <w:sz w:val="20"/>
        </w:rPr>
        <w:t>Это отличный</w:t>
      </w:r>
      <w:r>
        <w:rPr>
          <w:i/>
          <w:spacing w:val="-9"/>
          <w:sz w:val="20"/>
        </w:rPr>
        <w:t> </w:t>
      </w:r>
      <w:r>
        <w:rPr>
          <w:i/>
          <w:sz w:val="20"/>
        </w:rPr>
        <w:t>способ</w:t>
      </w:r>
      <w:r>
        <w:rPr>
          <w:i/>
          <w:spacing w:val="-9"/>
          <w:sz w:val="20"/>
        </w:rPr>
        <w:t> </w:t>
      </w:r>
      <w:r>
        <w:rPr>
          <w:i/>
          <w:sz w:val="20"/>
        </w:rPr>
        <w:t>заснуть</w:t>
      </w:r>
      <w:r>
        <w:rPr>
          <w:i/>
          <w:spacing w:val="-9"/>
          <w:sz w:val="20"/>
        </w:rPr>
        <w:t> </w:t>
      </w:r>
      <w:r>
        <w:rPr>
          <w:i/>
          <w:sz w:val="20"/>
        </w:rPr>
        <w:t>ночью.</w:t>
      </w:r>
      <w:r>
        <w:rPr>
          <w:i/>
          <w:spacing w:val="-9"/>
          <w:sz w:val="20"/>
        </w:rPr>
        <w:t> </w:t>
      </w:r>
      <w:r>
        <w:rPr>
          <w:i/>
          <w:sz w:val="20"/>
        </w:rPr>
        <w:t>Если</w:t>
      </w:r>
      <w:r>
        <w:rPr>
          <w:i/>
          <w:spacing w:val="-9"/>
          <w:sz w:val="20"/>
        </w:rPr>
        <w:t> </w:t>
      </w:r>
      <w:r>
        <w:rPr>
          <w:i/>
          <w:sz w:val="20"/>
        </w:rPr>
        <w:t>захочешь,</w:t>
      </w:r>
      <w:r>
        <w:rPr>
          <w:i/>
          <w:spacing w:val="-9"/>
          <w:sz w:val="20"/>
        </w:rPr>
        <w:t> </w:t>
      </w:r>
      <w:r>
        <w:rPr>
          <w:i/>
          <w:sz w:val="20"/>
        </w:rPr>
        <w:t>дома</w:t>
      </w:r>
      <w:r>
        <w:rPr>
          <w:i/>
          <w:spacing w:val="-9"/>
          <w:sz w:val="20"/>
        </w:rPr>
        <w:t> </w:t>
      </w:r>
      <w:r>
        <w:rPr>
          <w:i/>
          <w:sz w:val="20"/>
        </w:rPr>
        <w:t>сможешь</w:t>
      </w:r>
      <w:r>
        <w:rPr>
          <w:i/>
          <w:spacing w:val="-9"/>
          <w:sz w:val="20"/>
        </w:rPr>
        <w:t> </w:t>
      </w:r>
      <w:r>
        <w:rPr>
          <w:i/>
          <w:sz w:val="20"/>
        </w:rPr>
        <w:t>попрактиковаться, лежа</w:t>
      </w:r>
      <w:r>
        <w:rPr>
          <w:i/>
          <w:spacing w:val="-4"/>
          <w:sz w:val="20"/>
        </w:rPr>
        <w:t> </w:t>
      </w:r>
      <w:r>
        <w:rPr>
          <w:i/>
          <w:sz w:val="20"/>
        </w:rPr>
        <w:t>на</w:t>
      </w:r>
      <w:r>
        <w:rPr>
          <w:i/>
          <w:spacing w:val="-4"/>
          <w:sz w:val="20"/>
        </w:rPr>
        <w:t> </w:t>
      </w:r>
      <w:r>
        <w:rPr>
          <w:i/>
          <w:sz w:val="20"/>
        </w:rPr>
        <w:t>диване,</w:t>
      </w:r>
      <w:r>
        <w:rPr>
          <w:i/>
          <w:spacing w:val="-4"/>
          <w:sz w:val="20"/>
        </w:rPr>
        <w:t> </w:t>
      </w:r>
      <w:r>
        <w:rPr>
          <w:i/>
          <w:sz w:val="20"/>
        </w:rPr>
        <w:t>на</w:t>
      </w:r>
      <w:r>
        <w:rPr>
          <w:i/>
          <w:spacing w:val="-4"/>
          <w:sz w:val="20"/>
        </w:rPr>
        <w:t> </w:t>
      </w:r>
      <w:r>
        <w:rPr>
          <w:i/>
          <w:sz w:val="20"/>
        </w:rPr>
        <w:t>ковре</w:t>
      </w:r>
      <w:r>
        <w:rPr>
          <w:i/>
          <w:spacing w:val="-4"/>
          <w:sz w:val="20"/>
        </w:rPr>
        <w:t> </w:t>
      </w:r>
      <w:r>
        <w:rPr>
          <w:i/>
          <w:sz w:val="20"/>
        </w:rPr>
        <w:t>или</w:t>
      </w:r>
      <w:r>
        <w:rPr>
          <w:i/>
          <w:spacing w:val="-4"/>
          <w:sz w:val="20"/>
        </w:rPr>
        <w:t> </w:t>
      </w:r>
      <w:r>
        <w:rPr>
          <w:i/>
          <w:sz w:val="20"/>
        </w:rPr>
        <w:t>на</w:t>
      </w:r>
      <w:r>
        <w:rPr>
          <w:i/>
          <w:spacing w:val="-4"/>
          <w:sz w:val="20"/>
        </w:rPr>
        <w:t> </w:t>
      </w:r>
      <w:r>
        <w:rPr>
          <w:i/>
          <w:sz w:val="20"/>
        </w:rPr>
        <w:t>коврике</w:t>
      </w:r>
      <w:r>
        <w:rPr>
          <w:i/>
          <w:spacing w:val="-4"/>
          <w:sz w:val="20"/>
        </w:rPr>
        <w:t> </w:t>
      </w:r>
      <w:r>
        <w:rPr>
          <w:i/>
          <w:sz w:val="20"/>
        </w:rPr>
        <w:t>для</w:t>
      </w:r>
      <w:r>
        <w:rPr>
          <w:i/>
          <w:spacing w:val="-4"/>
          <w:sz w:val="20"/>
        </w:rPr>
        <w:t> </w:t>
      </w:r>
      <w:r>
        <w:rPr>
          <w:i/>
          <w:sz w:val="20"/>
        </w:rPr>
        <w:t>йоги.</w:t>
      </w:r>
      <w:r>
        <w:rPr>
          <w:i/>
          <w:spacing w:val="-4"/>
          <w:sz w:val="20"/>
        </w:rPr>
        <w:t> </w:t>
      </w:r>
      <w:r>
        <w:rPr>
          <w:i/>
          <w:sz w:val="20"/>
        </w:rPr>
        <w:t>А</w:t>
      </w:r>
      <w:r>
        <w:rPr>
          <w:i/>
          <w:spacing w:val="-4"/>
          <w:sz w:val="20"/>
        </w:rPr>
        <w:t> </w:t>
      </w:r>
      <w:r>
        <w:rPr>
          <w:i/>
          <w:sz w:val="20"/>
        </w:rPr>
        <w:t>сейчас</w:t>
      </w:r>
      <w:r>
        <w:rPr>
          <w:i/>
          <w:spacing w:val="-4"/>
          <w:sz w:val="20"/>
        </w:rPr>
        <w:t> </w:t>
      </w:r>
      <w:r>
        <w:rPr>
          <w:i/>
          <w:sz w:val="20"/>
        </w:rPr>
        <w:t>мы</w:t>
      </w:r>
      <w:r>
        <w:rPr>
          <w:i/>
          <w:spacing w:val="-4"/>
          <w:sz w:val="20"/>
        </w:rPr>
        <w:t> </w:t>
      </w:r>
      <w:r>
        <w:rPr>
          <w:i/>
          <w:sz w:val="20"/>
        </w:rPr>
        <w:t>потренируемся</w:t>
      </w:r>
      <w:r>
        <w:rPr>
          <w:i/>
          <w:spacing w:val="-4"/>
          <w:sz w:val="20"/>
        </w:rPr>
        <w:t> </w:t>
      </w:r>
      <w:r>
        <w:rPr>
          <w:i/>
          <w:sz w:val="20"/>
        </w:rPr>
        <w:t>здесь. Где бы ты хотел сесть или лечь, где тебе будет комфортно?</w:t>
      </w:r>
    </w:p>
    <w:p>
      <w:pPr>
        <w:pStyle w:val="BodyText"/>
        <w:spacing w:line="230" w:lineRule="auto"/>
      </w:pPr>
      <w:r>
        <w:rPr/>
        <w:t>Ребенок выбирает удобную позицию. Важно дать ему чувство контроля, позво- лить решить, как он хотел бы расслабиться: например, с открытыми или закрытыми глазами. Это особенно важно для тех, кто пережил насилие и чувствует себя очень </w:t>
      </w:r>
      <w:r>
        <w:rPr>
          <w:spacing w:val="-2"/>
        </w:rPr>
        <w:t>уязвимым.</w:t>
      </w:r>
    </w:p>
    <w:p>
      <w:pPr>
        <w:pStyle w:val="ListParagraph"/>
        <w:numPr>
          <w:ilvl w:val="0"/>
          <w:numId w:val="196"/>
        </w:numPr>
        <w:tabs>
          <w:tab w:pos="423" w:val="left" w:leader="none"/>
          <w:tab w:pos="425" w:val="left" w:leader="none"/>
        </w:tabs>
        <w:spacing w:line="230" w:lineRule="auto" w:before="49" w:after="0"/>
        <w:ind w:left="425" w:right="139" w:hanging="284"/>
        <w:jc w:val="both"/>
        <w:rPr>
          <w:sz w:val="20"/>
        </w:rPr>
      </w:pPr>
      <w:r>
        <w:rPr>
          <w:sz w:val="20"/>
        </w:rPr>
        <w:t>Психолог</w:t>
      </w:r>
      <w:r>
        <w:rPr>
          <w:spacing w:val="-2"/>
          <w:sz w:val="20"/>
        </w:rPr>
        <w:t> </w:t>
      </w:r>
      <w:r>
        <w:rPr>
          <w:sz w:val="20"/>
        </w:rPr>
        <w:t>предлагает</w:t>
      </w:r>
      <w:r>
        <w:rPr>
          <w:spacing w:val="-2"/>
          <w:sz w:val="20"/>
        </w:rPr>
        <w:t> </w:t>
      </w:r>
      <w:r>
        <w:rPr>
          <w:sz w:val="20"/>
        </w:rPr>
        <w:t>сначала</w:t>
      </w:r>
      <w:r>
        <w:rPr>
          <w:spacing w:val="-2"/>
          <w:sz w:val="20"/>
        </w:rPr>
        <w:t> </w:t>
      </w:r>
      <w:r>
        <w:rPr>
          <w:sz w:val="20"/>
        </w:rPr>
        <w:t>напрягать</w:t>
      </w:r>
      <w:r>
        <w:rPr>
          <w:spacing w:val="-2"/>
          <w:sz w:val="20"/>
        </w:rPr>
        <w:t> </w:t>
      </w:r>
      <w:r>
        <w:rPr>
          <w:sz w:val="20"/>
        </w:rPr>
        <w:t>мышцы</w:t>
      </w:r>
      <w:r>
        <w:rPr>
          <w:spacing w:val="-2"/>
          <w:sz w:val="20"/>
        </w:rPr>
        <w:t> </w:t>
      </w:r>
      <w:r>
        <w:rPr>
          <w:sz w:val="20"/>
        </w:rPr>
        <w:t>(чтобы</w:t>
      </w:r>
      <w:r>
        <w:rPr>
          <w:spacing w:val="-2"/>
          <w:sz w:val="20"/>
        </w:rPr>
        <w:t> </w:t>
      </w:r>
      <w:r>
        <w:rPr>
          <w:sz w:val="20"/>
        </w:rPr>
        <w:t>точно</w:t>
      </w:r>
      <w:r>
        <w:rPr>
          <w:spacing w:val="-2"/>
          <w:sz w:val="20"/>
        </w:rPr>
        <w:t> </w:t>
      </w:r>
      <w:r>
        <w:rPr>
          <w:sz w:val="20"/>
        </w:rPr>
        <w:t>почувствовать,</w:t>
      </w:r>
      <w:r>
        <w:rPr>
          <w:spacing w:val="-2"/>
          <w:sz w:val="20"/>
        </w:rPr>
        <w:t> </w:t>
      </w:r>
      <w:r>
        <w:rPr>
          <w:sz w:val="20"/>
        </w:rPr>
        <w:t>где они</w:t>
      </w:r>
      <w:r>
        <w:rPr>
          <w:spacing w:val="-2"/>
          <w:sz w:val="20"/>
        </w:rPr>
        <w:t> </w:t>
      </w:r>
      <w:r>
        <w:rPr>
          <w:sz w:val="20"/>
        </w:rPr>
        <w:t>расположены),</w:t>
      </w:r>
      <w:r>
        <w:rPr>
          <w:spacing w:val="-2"/>
          <w:sz w:val="20"/>
        </w:rPr>
        <w:t> </w:t>
      </w:r>
      <w:r>
        <w:rPr>
          <w:sz w:val="20"/>
        </w:rPr>
        <w:t>а</w:t>
      </w:r>
      <w:r>
        <w:rPr>
          <w:spacing w:val="-2"/>
          <w:sz w:val="20"/>
        </w:rPr>
        <w:t> </w:t>
      </w:r>
      <w:r>
        <w:rPr>
          <w:sz w:val="20"/>
        </w:rPr>
        <w:t>затем</w:t>
      </w:r>
      <w:r>
        <w:rPr>
          <w:spacing w:val="-2"/>
          <w:sz w:val="20"/>
        </w:rPr>
        <w:t> </w:t>
      </w:r>
      <w:r>
        <w:rPr>
          <w:sz w:val="20"/>
        </w:rPr>
        <w:t>расслаблять</w:t>
      </w:r>
      <w:r>
        <w:rPr>
          <w:spacing w:val="-2"/>
          <w:sz w:val="20"/>
        </w:rPr>
        <w:t> </w:t>
      </w:r>
      <w:r>
        <w:rPr>
          <w:sz w:val="20"/>
        </w:rPr>
        <w:t>по</w:t>
      </w:r>
      <w:r>
        <w:rPr>
          <w:spacing w:val="-2"/>
          <w:sz w:val="20"/>
        </w:rPr>
        <w:t> </w:t>
      </w:r>
      <w:r>
        <w:rPr>
          <w:sz w:val="20"/>
        </w:rPr>
        <w:t>одному</w:t>
      </w:r>
      <w:r>
        <w:rPr>
          <w:spacing w:val="-2"/>
          <w:sz w:val="20"/>
        </w:rPr>
        <w:t> </w:t>
      </w:r>
      <w:r>
        <w:rPr>
          <w:sz w:val="20"/>
        </w:rPr>
        <w:t>набору</w:t>
      </w:r>
      <w:r>
        <w:rPr>
          <w:spacing w:val="-2"/>
          <w:sz w:val="20"/>
        </w:rPr>
        <w:t> </w:t>
      </w:r>
      <w:r>
        <w:rPr>
          <w:sz w:val="20"/>
        </w:rPr>
        <w:t>мышц</w:t>
      </w:r>
      <w:r>
        <w:rPr>
          <w:spacing w:val="-2"/>
          <w:sz w:val="20"/>
        </w:rPr>
        <w:t> </w:t>
      </w:r>
      <w:r>
        <w:rPr>
          <w:sz w:val="20"/>
        </w:rPr>
        <w:t>за</w:t>
      </w:r>
      <w:r>
        <w:rPr>
          <w:spacing w:val="-2"/>
          <w:sz w:val="20"/>
        </w:rPr>
        <w:t> </w:t>
      </w:r>
      <w:r>
        <w:rPr>
          <w:sz w:val="20"/>
        </w:rPr>
        <w:t>раз.</w:t>
      </w:r>
      <w:r>
        <w:rPr>
          <w:spacing w:val="-2"/>
          <w:sz w:val="20"/>
        </w:rPr>
        <w:t> </w:t>
      </w:r>
      <w:r>
        <w:rPr>
          <w:sz w:val="20"/>
        </w:rPr>
        <w:t>Первыми напрягаются</w:t>
      </w:r>
      <w:r>
        <w:rPr>
          <w:spacing w:val="-3"/>
          <w:sz w:val="20"/>
        </w:rPr>
        <w:t> </w:t>
      </w:r>
      <w:r>
        <w:rPr>
          <w:sz w:val="20"/>
        </w:rPr>
        <w:t>и</w:t>
      </w:r>
      <w:r>
        <w:rPr>
          <w:spacing w:val="-3"/>
          <w:sz w:val="20"/>
        </w:rPr>
        <w:t> </w:t>
      </w:r>
      <w:r>
        <w:rPr>
          <w:sz w:val="20"/>
        </w:rPr>
        <w:t>расслабляются</w:t>
      </w:r>
      <w:r>
        <w:rPr>
          <w:spacing w:val="-3"/>
          <w:sz w:val="20"/>
        </w:rPr>
        <w:t> </w:t>
      </w:r>
      <w:r>
        <w:rPr>
          <w:sz w:val="20"/>
        </w:rPr>
        <w:t>пальцы</w:t>
      </w:r>
      <w:r>
        <w:rPr>
          <w:spacing w:val="-3"/>
          <w:sz w:val="20"/>
        </w:rPr>
        <w:t> </w:t>
      </w:r>
      <w:r>
        <w:rPr>
          <w:sz w:val="20"/>
        </w:rPr>
        <w:t>ног,</w:t>
      </w:r>
      <w:r>
        <w:rPr>
          <w:spacing w:val="-3"/>
          <w:sz w:val="20"/>
        </w:rPr>
        <w:t> </w:t>
      </w:r>
      <w:r>
        <w:rPr>
          <w:sz w:val="20"/>
        </w:rPr>
        <w:t>затем</w:t>
      </w:r>
      <w:r>
        <w:rPr>
          <w:spacing w:val="-3"/>
          <w:sz w:val="20"/>
        </w:rPr>
        <w:t> </w:t>
      </w:r>
      <w:r>
        <w:rPr>
          <w:sz w:val="20"/>
        </w:rPr>
        <w:t>ступни,</w:t>
      </w:r>
      <w:r>
        <w:rPr>
          <w:spacing w:val="-3"/>
          <w:sz w:val="20"/>
        </w:rPr>
        <w:t> </w:t>
      </w:r>
      <w:r>
        <w:rPr>
          <w:sz w:val="20"/>
        </w:rPr>
        <w:t>затем</w:t>
      </w:r>
      <w:r>
        <w:rPr>
          <w:spacing w:val="-3"/>
          <w:sz w:val="20"/>
        </w:rPr>
        <w:t> </w:t>
      </w:r>
      <w:r>
        <w:rPr>
          <w:sz w:val="20"/>
        </w:rPr>
        <w:t>лодыжки</w:t>
      </w:r>
      <w:r>
        <w:rPr>
          <w:spacing w:val="-3"/>
          <w:sz w:val="20"/>
        </w:rPr>
        <w:t> </w:t>
      </w:r>
      <w:r>
        <w:rPr>
          <w:sz w:val="20"/>
        </w:rPr>
        <w:t>и</w:t>
      </w:r>
      <w:r>
        <w:rPr>
          <w:spacing w:val="-3"/>
          <w:sz w:val="20"/>
        </w:rPr>
        <w:t> </w:t>
      </w:r>
      <w:r>
        <w:rPr>
          <w:sz w:val="20"/>
        </w:rPr>
        <w:t>так</w:t>
      </w:r>
      <w:r>
        <w:rPr>
          <w:spacing w:val="-3"/>
          <w:sz w:val="20"/>
        </w:rPr>
        <w:t> </w:t>
      </w:r>
      <w:r>
        <w:rPr>
          <w:sz w:val="20"/>
        </w:rPr>
        <w:t>да- лее</w:t>
      </w:r>
      <w:r>
        <w:rPr>
          <w:spacing w:val="-13"/>
          <w:sz w:val="20"/>
        </w:rPr>
        <w:t> </w:t>
      </w:r>
      <w:r>
        <w:rPr>
          <w:sz w:val="20"/>
        </w:rPr>
        <w:t>вплоть</w:t>
      </w:r>
      <w:r>
        <w:rPr>
          <w:spacing w:val="-12"/>
          <w:sz w:val="20"/>
        </w:rPr>
        <w:t> </w:t>
      </w:r>
      <w:r>
        <w:rPr>
          <w:sz w:val="20"/>
        </w:rPr>
        <w:t>до</w:t>
      </w:r>
      <w:r>
        <w:rPr>
          <w:spacing w:val="-13"/>
          <w:sz w:val="20"/>
        </w:rPr>
        <w:t> </w:t>
      </w:r>
      <w:r>
        <w:rPr>
          <w:sz w:val="20"/>
        </w:rPr>
        <w:t>головы,</w:t>
      </w:r>
      <w:r>
        <w:rPr>
          <w:spacing w:val="-12"/>
          <w:sz w:val="20"/>
        </w:rPr>
        <w:t> </w:t>
      </w:r>
      <w:r>
        <w:rPr>
          <w:sz w:val="20"/>
        </w:rPr>
        <w:t>пока</w:t>
      </w:r>
      <w:r>
        <w:rPr>
          <w:spacing w:val="-13"/>
          <w:sz w:val="20"/>
        </w:rPr>
        <w:t> </w:t>
      </w:r>
      <w:r>
        <w:rPr>
          <w:sz w:val="20"/>
        </w:rPr>
        <w:t>каждая</w:t>
      </w:r>
      <w:r>
        <w:rPr>
          <w:spacing w:val="-12"/>
          <w:sz w:val="20"/>
        </w:rPr>
        <w:t> </w:t>
      </w:r>
      <w:r>
        <w:rPr>
          <w:sz w:val="20"/>
        </w:rPr>
        <w:t>часть</w:t>
      </w:r>
      <w:r>
        <w:rPr>
          <w:spacing w:val="-13"/>
          <w:sz w:val="20"/>
        </w:rPr>
        <w:t> </w:t>
      </w:r>
      <w:r>
        <w:rPr>
          <w:sz w:val="20"/>
        </w:rPr>
        <w:t>тела</w:t>
      </w:r>
      <w:r>
        <w:rPr>
          <w:spacing w:val="-12"/>
          <w:sz w:val="20"/>
        </w:rPr>
        <w:t> </w:t>
      </w:r>
      <w:r>
        <w:rPr>
          <w:sz w:val="20"/>
        </w:rPr>
        <w:t>не</w:t>
      </w:r>
      <w:r>
        <w:rPr>
          <w:spacing w:val="-13"/>
          <w:sz w:val="20"/>
        </w:rPr>
        <w:t> </w:t>
      </w:r>
      <w:r>
        <w:rPr>
          <w:sz w:val="20"/>
        </w:rPr>
        <w:t>окажется</w:t>
      </w:r>
      <w:r>
        <w:rPr>
          <w:spacing w:val="-12"/>
          <w:sz w:val="20"/>
        </w:rPr>
        <w:t> </w:t>
      </w:r>
      <w:r>
        <w:rPr>
          <w:sz w:val="20"/>
        </w:rPr>
        <w:t>полностью</w:t>
      </w:r>
      <w:r>
        <w:rPr>
          <w:spacing w:val="-13"/>
          <w:sz w:val="20"/>
        </w:rPr>
        <w:t> </w:t>
      </w:r>
      <w:r>
        <w:rPr>
          <w:sz w:val="20"/>
        </w:rPr>
        <w:t>расслаблена.</w:t>
      </w:r>
    </w:p>
    <w:p>
      <w:pPr>
        <w:spacing w:line="214" w:lineRule="exact" w:before="0"/>
        <w:ind w:left="425" w:right="0" w:firstLine="0"/>
        <w:jc w:val="left"/>
        <w:rPr>
          <w:i/>
          <w:sz w:val="20"/>
        </w:rPr>
      </w:pPr>
      <w:r>
        <w:rPr>
          <w:i/>
          <w:spacing w:val="-2"/>
          <w:sz w:val="20"/>
        </w:rPr>
        <w:t>Инструкция</w:t>
      </w:r>
    </w:p>
    <w:p>
      <w:pPr>
        <w:pStyle w:val="ListParagraph"/>
        <w:numPr>
          <w:ilvl w:val="1"/>
          <w:numId w:val="196"/>
        </w:numPr>
        <w:tabs>
          <w:tab w:pos="581" w:val="left" w:leader="none"/>
        </w:tabs>
        <w:spacing w:line="230" w:lineRule="auto" w:before="2" w:after="0"/>
        <w:ind w:left="141" w:right="139" w:firstLine="283"/>
        <w:jc w:val="both"/>
        <w:rPr>
          <w:i/>
          <w:sz w:val="20"/>
        </w:rPr>
      </w:pPr>
      <w:r>
        <w:rPr>
          <w:i/>
          <w:sz w:val="20"/>
        </w:rPr>
        <w:t>Растяни</w:t>
      </w:r>
      <w:r>
        <w:rPr>
          <w:i/>
          <w:spacing w:val="-4"/>
          <w:sz w:val="20"/>
        </w:rPr>
        <w:t> </w:t>
      </w:r>
      <w:r>
        <w:rPr>
          <w:i/>
          <w:sz w:val="20"/>
        </w:rPr>
        <w:t>свое</w:t>
      </w:r>
      <w:r>
        <w:rPr>
          <w:i/>
          <w:spacing w:val="-4"/>
          <w:sz w:val="20"/>
        </w:rPr>
        <w:t> </w:t>
      </w:r>
      <w:r>
        <w:rPr>
          <w:i/>
          <w:sz w:val="20"/>
        </w:rPr>
        <w:t>тело</w:t>
      </w:r>
      <w:r>
        <w:rPr>
          <w:i/>
          <w:spacing w:val="-4"/>
          <w:sz w:val="20"/>
        </w:rPr>
        <w:t> </w:t>
      </w:r>
      <w:r>
        <w:rPr>
          <w:i/>
          <w:sz w:val="20"/>
        </w:rPr>
        <w:t>настолько,</w:t>
      </w:r>
      <w:r>
        <w:rPr>
          <w:i/>
          <w:spacing w:val="-4"/>
          <w:sz w:val="20"/>
        </w:rPr>
        <w:t> </w:t>
      </w:r>
      <w:r>
        <w:rPr>
          <w:i/>
          <w:sz w:val="20"/>
        </w:rPr>
        <w:t>насколько</w:t>
      </w:r>
      <w:r>
        <w:rPr>
          <w:i/>
          <w:spacing w:val="-4"/>
          <w:sz w:val="20"/>
        </w:rPr>
        <w:t> </w:t>
      </w:r>
      <w:r>
        <w:rPr>
          <w:i/>
          <w:sz w:val="20"/>
        </w:rPr>
        <w:t>это</w:t>
      </w:r>
      <w:r>
        <w:rPr>
          <w:i/>
          <w:spacing w:val="-4"/>
          <w:sz w:val="20"/>
        </w:rPr>
        <w:t> </w:t>
      </w:r>
      <w:r>
        <w:rPr>
          <w:i/>
          <w:sz w:val="20"/>
        </w:rPr>
        <w:t>удобно.</w:t>
      </w:r>
      <w:r>
        <w:rPr>
          <w:i/>
          <w:spacing w:val="-4"/>
          <w:sz w:val="20"/>
        </w:rPr>
        <w:t> </w:t>
      </w:r>
      <w:r>
        <w:rPr>
          <w:i/>
          <w:sz w:val="20"/>
        </w:rPr>
        <w:t>Теперь</w:t>
      </w:r>
      <w:r>
        <w:rPr>
          <w:i/>
          <w:spacing w:val="-4"/>
          <w:sz w:val="20"/>
        </w:rPr>
        <w:t> </w:t>
      </w:r>
      <w:r>
        <w:rPr>
          <w:i/>
          <w:sz w:val="20"/>
        </w:rPr>
        <w:t>сосредоточься</w:t>
      </w:r>
      <w:r>
        <w:rPr>
          <w:i/>
          <w:spacing w:val="-4"/>
          <w:sz w:val="20"/>
        </w:rPr>
        <w:t> </w:t>
      </w:r>
      <w:r>
        <w:rPr>
          <w:i/>
          <w:sz w:val="20"/>
        </w:rPr>
        <w:t>на пальцах</w:t>
      </w:r>
      <w:r>
        <w:rPr>
          <w:i/>
          <w:spacing w:val="-13"/>
          <w:sz w:val="20"/>
        </w:rPr>
        <w:t> </w:t>
      </w:r>
      <w:r>
        <w:rPr>
          <w:i/>
          <w:sz w:val="20"/>
        </w:rPr>
        <w:t>правой</w:t>
      </w:r>
      <w:r>
        <w:rPr>
          <w:i/>
          <w:spacing w:val="-12"/>
          <w:sz w:val="20"/>
        </w:rPr>
        <w:t> </w:t>
      </w:r>
      <w:r>
        <w:rPr>
          <w:i/>
          <w:sz w:val="20"/>
        </w:rPr>
        <w:t>ноги.</w:t>
      </w:r>
      <w:r>
        <w:rPr>
          <w:i/>
          <w:spacing w:val="-13"/>
          <w:sz w:val="20"/>
        </w:rPr>
        <w:t> </w:t>
      </w:r>
      <w:r>
        <w:rPr>
          <w:i/>
          <w:sz w:val="20"/>
        </w:rPr>
        <w:t>Твое</w:t>
      </w:r>
      <w:r>
        <w:rPr>
          <w:i/>
          <w:spacing w:val="-12"/>
          <w:sz w:val="20"/>
        </w:rPr>
        <w:t> </w:t>
      </w:r>
      <w:r>
        <w:rPr>
          <w:i/>
          <w:sz w:val="20"/>
        </w:rPr>
        <w:t>внимание</w:t>
      </w:r>
      <w:r>
        <w:rPr>
          <w:i/>
          <w:spacing w:val="-13"/>
          <w:sz w:val="20"/>
        </w:rPr>
        <w:t> </w:t>
      </w:r>
      <w:r>
        <w:rPr>
          <w:i/>
          <w:sz w:val="20"/>
        </w:rPr>
        <w:t>там?</w:t>
      </w:r>
      <w:r>
        <w:rPr>
          <w:i/>
          <w:spacing w:val="-12"/>
          <w:sz w:val="20"/>
        </w:rPr>
        <w:t> </w:t>
      </w:r>
      <w:r>
        <w:rPr>
          <w:i/>
          <w:sz w:val="20"/>
        </w:rPr>
        <w:t>Напряги</w:t>
      </w:r>
      <w:r>
        <w:rPr>
          <w:i/>
          <w:spacing w:val="-13"/>
          <w:sz w:val="20"/>
        </w:rPr>
        <w:t> </w:t>
      </w:r>
      <w:r>
        <w:rPr>
          <w:i/>
          <w:sz w:val="20"/>
        </w:rPr>
        <w:t>пальцы</w:t>
      </w:r>
      <w:r>
        <w:rPr>
          <w:i/>
          <w:spacing w:val="-12"/>
          <w:sz w:val="20"/>
        </w:rPr>
        <w:t> </w:t>
      </w:r>
      <w:r>
        <w:rPr>
          <w:i/>
          <w:sz w:val="20"/>
        </w:rPr>
        <w:t>ноги</w:t>
      </w:r>
      <w:r>
        <w:rPr>
          <w:i/>
          <w:spacing w:val="-13"/>
          <w:sz w:val="20"/>
        </w:rPr>
        <w:t> </w:t>
      </w:r>
      <w:r>
        <w:rPr>
          <w:i/>
          <w:sz w:val="20"/>
        </w:rPr>
        <w:t>так</w:t>
      </w:r>
      <w:r>
        <w:rPr>
          <w:i/>
          <w:spacing w:val="-12"/>
          <w:sz w:val="20"/>
        </w:rPr>
        <w:t> </w:t>
      </w:r>
      <w:r>
        <w:rPr>
          <w:i/>
          <w:sz w:val="20"/>
        </w:rPr>
        <w:t>сильно,</w:t>
      </w:r>
      <w:r>
        <w:rPr>
          <w:i/>
          <w:spacing w:val="-13"/>
          <w:sz w:val="20"/>
        </w:rPr>
        <w:t> </w:t>
      </w:r>
      <w:r>
        <w:rPr>
          <w:i/>
          <w:sz w:val="20"/>
        </w:rPr>
        <w:t>как</w:t>
      </w:r>
      <w:r>
        <w:rPr>
          <w:i/>
          <w:spacing w:val="-12"/>
          <w:sz w:val="20"/>
        </w:rPr>
        <w:t> </w:t>
      </w:r>
      <w:r>
        <w:rPr>
          <w:i/>
          <w:sz w:val="20"/>
        </w:rPr>
        <w:t>толь- ко</w:t>
      </w:r>
      <w:r>
        <w:rPr>
          <w:i/>
          <w:spacing w:val="-9"/>
          <w:sz w:val="20"/>
        </w:rPr>
        <w:t> </w:t>
      </w:r>
      <w:r>
        <w:rPr>
          <w:i/>
          <w:sz w:val="20"/>
        </w:rPr>
        <w:t>можешь,</w:t>
      </w:r>
      <w:r>
        <w:rPr>
          <w:i/>
          <w:spacing w:val="-9"/>
          <w:sz w:val="20"/>
        </w:rPr>
        <w:t> </w:t>
      </w:r>
      <w:r>
        <w:rPr>
          <w:i/>
          <w:sz w:val="20"/>
        </w:rPr>
        <w:t>сохраняя</w:t>
      </w:r>
      <w:r>
        <w:rPr>
          <w:i/>
          <w:spacing w:val="-9"/>
          <w:sz w:val="20"/>
        </w:rPr>
        <w:t> </w:t>
      </w:r>
      <w:r>
        <w:rPr>
          <w:i/>
          <w:sz w:val="20"/>
        </w:rPr>
        <w:t>все</w:t>
      </w:r>
      <w:r>
        <w:rPr>
          <w:i/>
          <w:spacing w:val="-9"/>
          <w:sz w:val="20"/>
        </w:rPr>
        <w:t> </w:t>
      </w:r>
      <w:r>
        <w:rPr>
          <w:i/>
          <w:sz w:val="20"/>
        </w:rPr>
        <w:t>остальные</w:t>
      </w:r>
      <w:r>
        <w:rPr>
          <w:i/>
          <w:spacing w:val="-9"/>
          <w:sz w:val="20"/>
        </w:rPr>
        <w:t> </w:t>
      </w:r>
      <w:r>
        <w:rPr>
          <w:i/>
          <w:sz w:val="20"/>
        </w:rPr>
        <w:t>части</w:t>
      </w:r>
      <w:r>
        <w:rPr>
          <w:i/>
          <w:spacing w:val="-9"/>
          <w:sz w:val="20"/>
        </w:rPr>
        <w:t> </w:t>
      </w:r>
      <w:r>
        <w:rPr>
          <w:i/>
          <w:sz w:val="20"/>
        </w:rPr>
        <w:t>тела</w:t>
      </w:r>
      <w:r>
        <w:rPr>
          <w:i/>
          <w:spacing w:val="-9"/>
          <w:sz w:val="20"/>
        </w:rPr>
        <w:t> </w:t>
      </w:r>
      <w:r>
        <w:rPr>
          <w:i/>
          <w:sz w:val="20"/>
        </w:rPr>
        <w:t>расслабленными.</w:t>
      </w:r>
      <w:r>
        <w:rPr>
          <w:i/>
          <w:spacing w:val="-9"/>
          <w:sz w:val="20"/>
        </w:rPr>
        <w:t> </w:t>
      </w:r>
      <w:r>
        <w:rPr>
          <w:i/>
          <w:sz w:val="20"/>
        </w:rPr>
        <w:t>Получается?</w:t>
      </w:r>
      <w:r>
        <w:rPr>
          <w:i/>
          <w:spacing w:val="-9"/>
          <w:sz w:val="20"/>
        </w:rPr>
        <w:t> </w:t>
      </w:r>
      <w:r>
        <w:rPr>
          <w:i/>
          <w:sz w:val="20"/>
        </w:rPr>
        <w:t>Это нужно</w:t>
      </w:r>
      <w:r>
        <w:rPr>
          <w:i/>
          <w:spacing w:val="-13"/>
          <w:sz w:val="20"/>
        </w:rPr>
        <w:t> </w:t>
      </w:r>
      <w:r>
        <w:rPr>
          <w:i/>
          <w:sz w:val="20"/>
        </w:rPr>
        <w:t>для</w:t>
      </w:r>
      <w:r>
        <w:rPr>
          <w:i/>
          <w:spacing w:val="-12"/>
          <w:sz w:val="20"/>
        </w:rPr>
        <w:t> </w:t>
      </w:r>
      <w:r>
        <w:rPr>
          <w:i/>
          <w:sz w:val="20"/>
        </w:rPr>
        <w:t>того,</w:t>
      </w:r>
      <w:r>
        <w:rPr>
          <w:i/>
          <w:spacing w:val="-13"/>
          <w:sz w:val="20"/>
        </w:rPr>
        <w:t> </w:t>
      </w:r>
      <w:r>
        <w:rPr>
          <w:i/>
          <w:sz w:val="20"/>
        </w:rPr>
        <w:t>чтобы</w:t>
      </w:r>
      <w:r>
        <w:rPr>
          <w:i/>
          <w:spacing w:val="-12"/>
          <w:sz w:val="20"/>
        </w:rPr>
        <w:t> </w:t>
      </w:r>
      <w:r>
        <w:rPr>
          <w:i/>
          <w:sz w:val="20"/>
        </w:rPr>
        <w:t>ты</w:t>
      </w:r>
      <w:r>
        <w:rPr>
          <w:i/>
          <w:spacing w:val="-13"/>
          <w:sz w:val="20"/>
        </w:rPr>
        <w:t> </w:t>
      </w:r>
      <w:r>
        <w:rPr>
          <w:i/>
          <w:sz w:val="20"/>
        </w:rPr>
        <w:t>точно</w:t>
      </w:r>
      <w:r>
        <w:rPr>
          <w:i/>
          <w:spacing w:val="-12"/>
          <w:sz w:val="20"/>
        </w:rPr>
        <w:t> </w:t>
      </w:r>
      <w:r>
        <w:rPr>
          <w:i/>
          <w:sz w:val="20"/>
        </w:rPr>
        <w:t>почувствовал,</w:t>
      </w:r>
      <w:r>
        <w:rPr>
          <w:i/>
          <w:spacing w:val="-13"/>
          <w:sz w:val="20"/>
        </w:rPr>
        <w:t> </w:t>
      </w:r>
      <w:r>
        <w:rPr>
          <w:i/>
          <w:sz w:val="20"/>
        </w:rPr>
        <w:t>где</w:t>
      </w:r>
      <w:r>
        <w:rPr>
          <w:i/>
          <w:spacing w:val="-12"/>
          <w:sz w:val="20"/>
        </w:rPr>
        <w:t> </w:t>
      </w:r>
      <w:r>
        <w:rPr>
          <w:i/>
          <w:sz w:val="20"/>
        </w:rPr>
        <w:t>находятся</w:t>
      </w:r>
      <w:r>
        <w:rPr>
          <w:i/>
          <w:spacing w:val="-13"/>
          <w:sz w:val="20"/>
        </w:rPr>
        <w:t> </w:t>
      </w:r>
      <w:r>
        <w:rPr>
          <w:i/>
          <w:sz w:val="20"/>
        </w:rPr>
        <w:t>пальцы</w:t>
      </w:r>
      <w:r>
        <w:rPr>
          <w:i/>
          <w:spacing w:val="-12"/>
          <w:sz w:val="20"/>
        </w:rPr>
        <w:t> </w:t>
      </w:r>
      <w:r>
        <w:rPr>
          <w:i/>
          <w:sz w:val="20"/>
        </w:rPr>
        <w:t>твоей</w:t>
      </w:r>
      <w:r>
        <w:rPr>
          <w:i/>
          <w:spacing w:val="-13"/>
          <w:sz w:val="20"/>
        </w:rPr>
        <w:t> </w:t>
      </w:r>
      <w:r>
        <w:rPr>
          <w:i/>
          <w:sz w:val="20"/>
        </w:rPr>
        <w:t>правой ноги. Хорошо, а теперь медленно расслабляй их, пока они не станут как тряпичная кукла</w:t>
      </w:r>
      <w:r>
        <w:rPr>
          <w:i/>
          <w:spacing w:val="-7"/>
          <w:sz w:val="20"/>
        </w:rPr>
        <w:t> </w:t>
      </w:r>
      <w:r>
        <w:rPr>
          <w:i/>
          <w:sz w:val="20"/>
        </w:rPr>
        <w:t>или</w:t>
      </w:r>
      <w:r>
        <w:rPr>
          <w:i/>
          <w:spacing w:val="-7"/>
          <w:sz w:val="20"/>
        </w:rPr>
        <w:t> </w:t>
      </w:r>
      <w:r>
        <w:rPr>
          <w:i/>
          <w:sz w:val="20"/>
        </w:rPr>
        <w:t>вареные</w:t>
      </w:r>
      <w:r>
        <w:rPr>
          <w:i/>
          <w:spacing w:val="-7"/>
          <w:sz w:val="20"/>
        </w:rPr>
        <w:t> </w:t>
      </w:r>
      <w:r>
        <w:rPr>
          <w:i/>
          <w:sz w:val="20"/>
        </w:rPr>
        <w:t>макароны.</w:t>
      </w:r>
      <w:r>
        <w:rPr>
          <w:i/>
          <w:spacing w:val="-7"/>
          <w:sz w:val="20"/>
        </w:rPr>
        <w:t> </w:t>
      </w:r>
      <w:r>
        <w:rPr>
          <w:i/>
          <w:sz w:val="20"/>
        </w:rPr>
        <w:t>Сделай</w:t>
      </w:r>
      <w:r>
        <w:rPr>
          <w:i/>
          <w:spacing w:val="-7"/>
          <w:sz w:val="20"/>
        </w:rPr>
        <w:t> </w:t>
      </w:r>
      <w:r>
        <w:rPr>
          <w:i/>
          <w:sz w:val="20"/>
        </w:rPr>
        <w:t>глубокий</w:t>
      </w:r>
      <w:r>
        <w:rPr>
          <w:i/>
          <w:spacing w:val="-7"/>
          <w:sz w:val="20"/>
        </w:rPr>
        <w:t> </w:t>
      </w:r>
      <w:r>
        <w:rPr>
          <w:i/>
          <w:sz w:val="20"/>
        </w:rPr>
        <w:t>вдох</w:t>
      </w:r>
      <w:r>
        <w:rPr>
          <w:i/>
          <w:spacing w:val="-7"/>
          <w:sz w:val="20"/>
        </w:rPr>
        <w:t> </w:t>
      </w:r>
      <w:r>
        <w:rPr>
          <w:i/>
          <w:sz w:val="20"/>
        </w:rPr>
        <w:t>и</w:t>
      </w:r>
      <w:r>
        <w:rPr>
          <w:i/>
          <w:spacing w:val="-7"/>
          <w:sz w:val="20"/>
        </w:rPr>
        <w:t> </w:t>
      </w:r>
      <w:r>
        <w:rPr>
          <w:i/>
          <w:sz w:val="20"/>
        </w:rPr>
        <w:t>представь,</w:t>
      </w:r>
      <w:r>
        <w:rPr>
          <w:i/>
          <w:spacing w:val="-7"/>
          <w:sz w:val="20"/>
        </w:rPr>
        <w:t> </w:t>
      </w:r>
      <w:r>
        <w:rPr>
          <w:i/>
          <w:sz w:val="20"/>
        </w:rPr>
        <w:t>как</w:t>
      </w:r>
      <w:r>
        <w:rPr>
          <w:i/>
          <w:spacing w:val="-7"/>
          <w:sz w:val="20"/>
        </w:rPr>
        <w:t> </w:t>
      </w:r>
      <w:r>
        <w:rPr>
          <w:i/>
          <w:sz w:val="20"/>
        </w:rPr>
        <w:t>кислород</w:t>
      </w:r>
      <w:r>
        <w:rPr>
          <w:i/>
          <w:spacing w:val="-7"/>
          <w:sz w:val="20"/>
        </w:rPr>
        <w:t> </w:t>
      </w:r>
      <w:r>
        <w:rPr>
          <w:i/>
          <w:sz w:val="20"/>
        </w:rPr>
        <w:t>прохо- дит весь путь к пальцам твоей ноги, а они полностью расслабляются.</w:t>
      </w:r>
    </w:p>
    <w:p>
      <w:pPr>
        <w:spacing w:line="235" w:lineRule="auto" w:before="0"/>
        <w:ind w:left="141" w:right="139" w:firstLine="283"/>
        <w:jc w:val="both"/>
        <w:rPr>
          <w:i/>
          <w:sz w:val="20"/>
        </w:rPr>
      </w:pPr>
      <w:r>
        <w:rPr>
          <w:i/>
          <w:sz w:val="20"/>
        </w:rPr>
        <w:t>Теперь</w:t>
      </w:r>
      <w:r>
        <w:rPr>
          <w:i/>
          <w:spacing w:val="-11"/>
          <w:sz w:val="20"/>
        </w:rPr>
        <w:t> </w:t>
      </w:r>
      <w:r>
        <w:rPr>
          <w:i/>
          <w:sz w:val="20"/>
        </w:rPr>
        <w:t>сосредоточься</w:t>
      </w:r>
      <w:r>
        <w:rPr>
          <w:i/>
          <w:spacing w:val="-11"/>
          <w:sz w:val="20"/>
        </w:rPr>
        <w:t> </w:t>
      </w:r>
      <w:r>
        <w:rPr>
          <w:i/>
          <w:sz w:val="20"/>
        </w:rPr>
        <w:t>на</w:t>
      </w:r>
      <w:r>
        <w:rPr>
          <w:i/>
          <w:spacing w:val="-11"/>
          <w:sz w:val="20"/>
        </w:rPr>
        <w:t> </w:t>
      </w:r>
      <w:r>
        <w:rPr>
          <w:i/>
          <w:sz w:val="20"/>
        </w:rPr>
        <w:t>остальной</w:t>
      </w:r>
      <w:r>
        <w:rPr>
          <w:i/>
          <w:spacing w:val="-11"/>
          <w:sz w:val="20"/>
        </w:rPr>
        <w:t> </w:t>
      </w:r>
      <w:r>
        <w:rPr>
          <w:i/>
          <w:sz w:val="20"/>
        </w:rPr>
        <w:t>части</w:t>
      </w:r>
      <w:r>
        <w:rPr>
          <w:i/>
          <w:spacing w:val="-11"/>
          <w:sz w:val="20"/>
        </w:rPr>
        <w:t> </w:t>
      </w:r>
      <w:r>
        <w:rPr>
          <w:i/>
          <w:sz w:val="20"/>
        </w:rPr>
        <w:t>правой</w:t>
      </w:r>
      <w:r>
        <w:rPr>
          <w:i/>
          <w:spacing w:val="-11"/>
          <w:sz w:val="20"/>
        </w:rPr>
        <w:t> </w:t>
      </w:r>
      <w:r>
        <w:rPr>
          <w:i/>
          <w:sz w:val="20"/>
        </w:rPr>
        <w:t>ступни.</w:t>
      </w:r>
      <w:r>
        <w:rPr>
          <w:i/>
          <w:spacing w:val="-11"/>
          <w:sz w:val="20"/>
        </w:rPr>
        <w:t> </w:t>
      </w:r>
      <w:r>
        <w:rPr>
          <w:i/>
          <w:sz w:val="20"/>
        </w:rPr>
        <w:t>Напряги</w:t>
      </w:r>
      <w:r>
        <w:rPr>
          <w:i/>
          <w:spacing w:val="-11"/>
          <w:sz w:val="20"/>
        </w:rPr>
        <w:t> </w:t>
      </w:r>
      <w:r>
        <w:rPr>
          <w:i/>
          <w:sz w:val="20"/>
        </w:rPr>
        <w:t>ее</w:t>
      </w:r>
      <w:r>
        <w:rPr>
          <w:i/>
          <w:spacing w:val="-11"/>
          <w:sz w:val="20"/>
        </w:rPr>
        <w:t> </w:t>
      </w:r>
      <w:r>
        <w:rPr>
          <w:i/>
          <w:sz w:val="20"/>
        </w:rPr>
        <w:t>как</w:t>
      </w:r>
      <w:r>
        <w:rPr>
          <w:i/>
          <w:spacing w:val="-11"/>
          <w:sz w:val="20"/>
        </w:rPr>
        <w:t> </w:t>
      </w:r>
      <w:r>
        <w:rPr>
          <w:i/>
          <w:sz w:val="20"/>
        </w:rPr>
        <w:t>можно сильнее.</w:t>
      </w:r>
      <w:r>
        <w:rPr>
          <w:i/>
          <w:spacing w:val="-11"/>
          <w:sz w:val="20"/>
        </w:rPr>
        <w:t> </w:t>
      </w:r>
      <w:r>
        <w:rPr>
          <w:i/>
          <w:sz w:val="20"/>
        </w:rPr>
        <w:t>Чувствуешь</w:t>
      </w:r>
      <w:r>
        <w:rPr>
          <w:i/>
          <w:spacing w:val="-11"/>
          <w:sz w:val="20"/>
        </w:rPr>
        <w:t> </w:t>
      </w:r>
      <w:r>
        <w:rPr>
          <w:i/>
          <w:sz w:val="20"/>
        </w:rPr>
        <w:t>напряжение?</w:t>
      </w:r>
      <w:r>
        <w:rPr>
          <w:i/>
          <w:spacing w:val="-11"/>
          <w:sz w:val="20"/>
        </w:rPr>
        <w:t> </w:t>
      </w:r>
      <w:r>
        <w:rPr>
          <w:i/>
          <w:sz w:val="20"/>
        </w:rPr>
        <w:t>Теперь</w:t>
      </w:r>
      <w:r>
        <w:rPr>
          <w:i/>
          <w:spacing w:val="-11"/>
          <w:sz w:val="20"/>
        </w:rPr>
        <w:t> </w:t>
      </w:r>
      <w:r>
        <w:rPr>
          <w:i/>
          <w:sz w:val="20"/>
        </w:rPr>
        <w:t>медленно</w:t>
      </w:r>
      <w:r>
        <w:rPr>
          <w:i/>
          <w:spacing w:val="-11"/>
          <w:sz w:val="20"/>
        </w:rPr>
        <w:t> </w:t>
      </w:r>
      <w:r>
        <w:rPr>
          <w:i/>
          <w:sz w:val="20"/>
        </w:rPr>
        <w:t>расслабляй</w:t>
      </w:r>
      <w:r>
        <w:rPr>
          <w:i/>
          <w:spacing w:val="-11"/>
          <w:sz w:val="20"/>
        </w:rPr>
        <w:t> </w:t>
      </w:r>
      <w:r>
        <w:rPr>
          <w:i/>
          <w:sz w:val="20"/>
        </w:rPr>
        <w:t>ступню.</w:t>
      </w:r>
      <w:r>
        <w:rPr>
          <w:i/>
          <w:spacing w:val="-11"/>
          <w:sz w:val="20"/>
        </w:rPr>
        <w:t> </w:t>
      </w:r>
      <w:r>
        <w:rPr>
          <w:i/>
          <w:sz w:val="20"/>
        </w:rPr>
        <w:t>Продолжай</w:t>
      </w:r>
    </w:p>
    <w:p>
      <w:pPr>
        <w:spacing w:after="0" w:line="235" w:lineRule="auto"/>
        <w:jc w:val="both"/>
        <w:rPr>
          <w:i/>
          <w:sz w:val="20"/>
        </w:rPr>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spacing w:line="235" w:lineRule="auto" w:before="116"/>
        <w:ind w:left="141" w:right="139" w:firstLine="0"/>
        <w:jc w:val="both"/>
        <w:rPr>
          <w:i/>
          <w:sz w:val="20"/>
        </w:rPr>
      </w:pPr>
      <w:r>
        <w:rPr>
          <w:i/>
          <w:sz w:val="20"/>
        </w:rPr>
        <w:t>расслаблять,</w:t>
      </w:r>
      <w:r>
        <w:rPr>
          <w:i/>
          <w:spacing w:val="-13"/>
          <w:sz w:val="20"/>
        </w:rPr>
        <w:t> </w:t>
      </w:r>
      <w:r>
        <w:rPr>
          <w:i/>
          <w:sz w:val="20"/>
        </w:rPr>
        <w:t>пока</w:t>
      </w:r>
      <w:r>
        <w:rPr>
          <w:i/>
          <w:spacing w:val="-12"/>
          <w:sz w:val="20"/>
        </w:rPr>
        <w:t> </w:t>
      </w:r>
      <w:r>
        <w:rPr>
          <w:i/>
          <w:sz w:val="20"/>
        </w:rPr>
        <w:t>не</w:t>
      </w:r>
      <w:r>
        <w:rPr>
          <w:i/>
          <w:spacing w:val="-13"/>
          <w:sz w:val="20"/>
        </w:rPr>
        <w:t> </w:t>
      </w:r>
      <w:r>
        <w:rPr>
          <w:i/>
          <w:sz w:val="20"/>
        </w:rPr>
        <w:t>почувствуешь,</w:t>
      </w:r>
      <w:r>
        <w:rPr>
          <w:i/>
          <w:spacing w:val="-12"/>
          <w:sz w:val="20"/>
        </w:rPr>
        <w:t> </w:t>
      </w:r>
      <w:r>
        <w:rPr>
          <w:i/>
          <w:sz w:val="20"/>
        </w:rPr>
        <w:t>что</w:t>
      </w:r>
      <w:r>
        <w:rPr>
          <w:i/>
          <w:spacing w:val="-13"/>
          <w:sz w:val="20"/>
        </w:rPr>
        <w:t> </w:t>
      </w:r>
      <w:r>
        <w:rPr>
          <w:i/>
          <w:sz w:val="20"/>
        </w:rPr>
        <w:t>она</w:t>
      </w:r>
      <w:r>
        <w:rPr>
          <w:i/>
          <w:spacing w:val="-12"/>
          <w:sz w:val="20"/>
        </w:rPr>
        <w:t> </w:t>
      </w:r>
      <w:r>
        <w:rPr>
          <w:i/>
          <w:sz w:val="20"/>
        </w:rPr>
        <w:t>стала</w:t>
      </w:r>
      <w:r>
        <w:rPr>
          <w:i/>
          <w:spacing w:val="-13"/>
          <w:sz w:val="20"/>
        </w:rPr>
        <w:t> </w:t>
      </w:r>
      <w:r>
        <w:rPr>
          <w:i/>
          <w:sz w:val="20"/>
        </w:rPr>
        <w:t>мягкой</w:t>
      </w:r>
      <w:r>
        <w:rPr>
          <w:i/>
          <w:spacing w:val="-12"/>
          <w:sz w:val="20"/>
        </w:rPr>
        <w:t> </w:t>
      </w:r>
      <w:r>
        <w:rPr>
          <w:i/>
          <w:sz w:val="20"/>
        </w:rPr>
        <w:t>и</w:t>
      </w:r>
      <w:r>
        <w:rPr>
          <w:i/>
          <w:spacing w:val="-13"/>
          <w:sz w:val="20"/>
        </w:rPr>
        <w:t> </w:t>
      </w:r>
      <w:r>
        <w:rPr>
          <w:i/>
          <w:sz w:val="20"/>
        </w:rPr>
        <w:t>вялой.</w:t>
      </w:r>
      <w:r>
        <w:rPr>
          <w:i/>
          <w:spacing w:val="-12"/>
          <w:sz w:val="20"/>
        </w:rPr>
        <w:t> </w:t>
      </w:r>
      <w:r>
        <w:rPr>
          <w:i/>
          <w:sz w:val="20"/>
        </w:rPr>
        <w:t>Сделай</w:t>
      </w:r>
      <w:r>
        <w:rPr>
          <w:i/>
          <w:spacing w:val="-13"/>
          <w:sz w:val="20"/>
        </w:rPr>
        <w:t> </w:t>
      </w:r>
      <w:r>
        <w:rPr>
          <w:i/>
          <w:sz w:val="20"/>
        </w:rPr>
        <w:t>приятный глубокий вдох и почувствуй, как расслабление распространяется по всей ступне.</w:t>
      </w:r>
    </w:p>
    <w:p>
      <w:pPr>
        <w:spacing w:line="235" w:lineRule="auto" w:before="1"/>
        <w:ind w:left="141" w:right="139" w:firstLine="283"/>
        <w:jc w:val="both"/>
        <w:rPr>
          <w:i/>
          <w:sz w:val="20"/>
        </w:rPr>
      </w:pPr>
      <w:r>
        <w:rPr>
          <w:i/>
          <w:sz w:val="20"/>
        </w:rPr>
        <w:t>Сосредоточься на правой икре. Напряги ее как можно сильнее. Теперь отпускай медленно, пока она не расслабится до конца.</w:t>
      </w:r>
    </w:p>
    <w:p>
      <w:pPr>
        <w:pStyle w:val="BodyText"/>
        <w:spacing w:line="235" w:lineRule="auto" w:before="1"/>
      </w:pPr>
      <w:r>
        <w:rPr/>
        <w:t>В</w:t>
      </w:r>
      <w:r>
        <w:rPr>
          <w:spacing w:val="-4"/>
        </w:rPr>
        <w:t> </w:t>
      </w:r>
      <w:r>
        <w:rPr/>
        <w:t>той</w:t>
      </w:r>
      <w:r>
        <w:rPr>
          <w:spacing w:val="-4"/>
        </w:rPr>
        <w:t> </w:t>
      </w:r>
      <w:r>
        <w:rPr/>
        <w:t>же</w:t>
      </w:r>
      <w:r>
        <w:rPr>
          <w:spacing w:val="-4"/>
        </w:rPr>
        <w:t> </w:t>
      </w:r>
      <w:r>
        <w:rPr/>
        <w:t>логике</w:t>
      </w:r>
      <w:r>
        <w:rPr>
          <w:spacing w:val="-4"/>
        </w:rPr>
        <w:t> </w:t>
      </w:r>
      <w:r>
        <w:rPr/>
        <w:t>психолог</w:t>
      </w:r>
      <w:r>
        <w:rPr>
          <w:spacing w:val="-4"/>
        </w:rPr>
        <w:t> </w:t>
      </w:r>
      <w:r>
        <w:rPr/>
        <w:t>предлагает</w:t>
      </w:r>
      <w:r>
        <w:rPr>
          <w:spacing w:val="-4"/>
        </w:rPr>
        <w:t> </w:t>
      </w:r>
      <w:r>
        <w:rPr/>
        <w:t>ребенку</w:t>
      </w:r>
      <w:r>
        <w:rPr>
          <w:spacing w:val="-4"/>
        </w:rPr>
        <w:t> </w:t>
      </w:r>
      <w:r>
        <w:rPr/>
        <w:t>напрячь</w:t>
      </w:r>
      <w:r>
        <w:rPr>
          <w:spacing w:val="-4"/>
        </w:rPr>
        <w:t> </w:t>
      </w:r>
      <w:r>
        <w:rPr/>
        <w:t>и</w:t>
      </w:r>
      <w:r>
        <w:rPr>
          <w:spacing w:val="-4"/>
        </w:rPr>
        <w:t> </w:t>
      </w:r>
      <w:r>
        <w:rPr/>
        <w:t>расслабить</w:t>
      </w:r>
      <w:r>
        <w:rPr>
          <w:spacing w:val="-4"/>
        </w:rPr>
        <w:t> </w:t>
      </w:r>
      <w:r>
        <w:rPr/>
        <w:t>правое</w:t>
      </w:r>
      <w:r>
        <w:rPr>
          <w:spacing w:val="-4"/>
        </w:rPr>
        <w:t> </w:t>
      </w:r>
      <w:r>
        <w:rPr/>
        <w:t>бедро и ягодицу; пальцы левой ноги, левую стопу, икру, бедро и ягодицу; пальцы правой руки,</w:t>
      </w:r>
      <w:r>
        <w:rPr>
          <w:spacing w:val="-7"/>
        </w:rPr>
        <w:t> </w:t>
      </w:r>
      <w:r>
        <w:rPr/>
        <w:t>правую</w:t>
      </w:r>
      <w:r>
        <w:rPr>
          <w:spacing w:val="-8"/>
        </w:rPr>
        <w:t> </w:t>
      </w:r>
      <w:r>
        <w:rPr/>
        <w:t>кисть</w:t>
      </w:r>
      <w:r>
        <w:rPr>
          <w:spacing w:val="-8"/>
        </w:rPr>
        <w:t> </w:t>
      </w:r>
      <w:r>
        <w:rPr/>
        <w:t>и</w:t>
      </w:r>
      <w:r>
        <w:rPr>
          <w:spacing w:val="-8"/>
        </w:rPr>
        <w:t> </w:t>
      </w:r>
      <w:r>
        <w:rPr/>
        <w:t>плечо;</w:t>
      </w:r>
      <w:r>
        <w:rPr>
          <w:spacing w:val="-8"/>
        </w:rPr>
        <w:t> </w:t>
      </w:r>
      <w:r>
        <w:rPr/>
        <w:t>пальцы</w:t>
      </w:r>
      <w:r>
        <w:rPr>
          <w:spacing w:val="-7"/>
        </w:rPr>
        <w:t> </w:t>
      </w:r>
      <w:r>
        <w:rPr/>
        <w:t>левой</w:t>
      </w:r>
      <w:r>
        <w:rPr>
          <w:spacing w:val="-8"/>
        </w:rPr>
        <w:t> </w:t>
      </w:r>
      <w:r>
        <w:rPr/>
        <w:t>руки,</w:t>
      </w:r>
      <w:r>
        <w:rPr>
          <w:spacing w:val="-7"/>
        </w:rPr>
        <w:t> </w:t>
      </w:r>
      <w:r>
        <w:rPr/>
        <w:t>левую</w:t>
      </w:r>
      <w:r>
        <w:rPr>
          <w:spacing w:val="-7"/>
        </w:rPr>
        <w:t> </w:t>
      </w:r>
      <w:r>
        <w:rPr/>
        <w:t>кисть</w:t>
      </w:r>
      <w:r>
        <w:rPr>
          <w:spacing w:val="-8"/>
        </w:rPr>
        <w:t> </w:t>
      </w:r>
      <w:r>
        <w:rPr/>
        <w:t>и</w:t>
      </w:r>
      <w:r>
        <w:rPr>
          <w:spacing w:val="-8"/>
        </w:rPr>
        <w:t> </w:t>
      </w:r>
      <w:r>
        <w:rPr/>
        <w:t>плечо;</w:t>
      </w:r>
      <w:r>
        <w:rPr>
          <w:spacing w:val="-8"/>
        </w:rPr>
        <w:t> </w:t>
      </w:r>
      <w:r>
        <w:rPr/>
        <w:t>нижнюю</w:t>
      </w:r>
      <w:r>
        <w:rPr>
          <w:spacing w:val="-7"/>
        </w:rPr>
        <w:t> </w:t>
      </w:r>
      <w:r>
        <w:rPr/>
        <w:t>часть спины, живот и позвоночник снизу вверх; шею, подбородок, рот, щеки, глаза, лоб, волосистую часть головы, макушку.</w:t>
      </w:r>
    </w:p>
    <w:p>
      <w:pPr>
        <w:pStyle w:val="ListParagraph"/>
        <w:numPr>
          <w:ilvl w:val="0"/>
          <w:numId w:val="196"/>
        </w:numPr>
        <w:tabs>
          <w:tab w:pos="423" w:val="left" w:leader="none"/>
          <w:tab w:pos="425" w:val="left" w:leader="none"/>
        </w:tabs>
        <w:spacing w:line="235" w:lineRule="auto" w:before="60" w:after="0"/>
        <w:ind w:left="425" w:right="140" w:hanging="284"/>
        <w:jc w:val="both"/>
        <w:rPr>
          <w:sz w:val="20"/>
        </w:rPr>
      </w:pPr>
      <w:r>
        <w:rPr>
          <w:sz w:val="20"/>
        </w:rPr>
        <w:t>Психолог подсказывает ребенку, как полностью расслабить мышцы, и подводит его к завершению техники.</w:t>
      </w:r>
    </w:p>
    <w:p>
      <w:pPr>
        <w:spacing w:line="225" w:lineRule="exact" w:before="0"/>
        <w:ind w:left="425" w:right="0" w:firstLine="0"/>
        <w:jc w:val="left"/>
        <w:rPr>
          <w:i/>
          <w:sz w:val="20"/>
        </w:rPr>
      </w:pPr>
      <w:r>
        <w:rPr>
          <w:i/>
          <w:spacing w:val="-2"/>
          <w:sz w:val="20"/>
        </w:rPr>
        <w:t>Инструкция</w:t>
      </w:r>
    </w:p>
    <w:p>
      <w:pPr>
        <w:spacing w:line="235" w:lineRule="auto" w:before="2"/>
        <w:ind w:left="141" w:right="139" w:firstLine="283"/>
        <w:jc w:val="both"/>
        <w:rPr>
          <w:i/>
          <w:sz w:val="20"/>
        </w:rPr>
      </w:pPr>
      <w:r>
        <w:rPr>
          <w:i/>
          <w:sz w:val="20"/>
        </w:rPr>
        <w:t>Позволь</w:t>
      </w:r>
      <w:r>
        <w:rPr>
          <w:i/>
          <w:spacing w:val="-9"/>
          <w:sz w:val="20"/>
        </w:rPr>
        <w:t> </w:t>
      </w:r>
      <w:r>
        <w:rPr>
          <w:i/>
          <w:sz w:val="20"/>
        </w:rPr>
        <w:t>напряжению</w:t>
      </w:r>
      <w:r>
        <w:rPr>
          <w:i/>
          <w:spacing w:val="-9"/>
          <w:sz w:val="20"/>
        </w:rPr>
        <w:t> </w:t>
      </w:r>
      <w:r>
        <w:rPr>
          <w:i/>
          <w:sz w:val="20"/>
        </w:rPr>
        <w:t>выйти</w:t>
      </w:r>
      <w:r>
        <w:rPr>
          <w:i/>
          <w:spacing w:val="-9"/>
          <w:sz w:val="20"/>
        </w:rPr>
        <w:t> </w:t>
      </w:r>
      <w:r>
        <w:rPr>
          <w:i/>
          <w:sz w:val="20"/>
        </w:rPr>
        <w:t>из</w:t>
      </w:r>
      <w:r>
        <w:rPr>
          <w:i/>
          <w:spacing w:val="-9"/>
          <w:sz w:val="20"/>
        </w:rPr>
        <w:t> </w:t>
      </w:r>
      <w:r>
        <w:rPr>
          <w:i/>
          <w:sz w:val="20"/>
        </w:rPr>
        <w:t>твоей</w:t>
      </w:r>
      <w:r>
        <w:rPr>
          <w:i/>
          <w:spacing w:val="-9"/>
          <w:sz w:val="20"/>
        </w:rPr>
        <w:t> </w:t>
      </w:r>
      <w:r>
        <w:rPr>
          <w:i/>
          <w:sz w:val="20"/>
        </w:rPr>
        <w:t>макушки</w:t>
      </w:r>
      <w:r>
        <w:rPr>
          <w:i/>
          <w:spacing w:val="-9"/>
          <w:sz w:val="20"/>
        </w:rPr>
        <w:t> </w:t>
      </w:r>
      <w:r>
        <w:rPr>
          <w:i/>
          <w:sz w:val="20"/>
        </w:rPr>
        <w:t>и</w:t>
      </w:r>
      <w:r>
        <w:rPr>
          <w:i/>
          <w:spacing w:val="-9"/>
          <w:sz w:val="20"/>
        </w:rPr>
        <w:t> </w:t>
      </w:r>
      <w:r>
        <w:rPr>
          <w:i/>
          <w:sz w:val="20"/>
        </w:rPr>
        <w:t>уплыть</w:t>
      </w:r>
      <w:r>
        <w:rPr>
          <w:i/>
          <w:spacing w:val="-9"/>
          <w:sz w:val="20"/>
        </w:rPr>
        <w:t> </w:t>
      </w:r>
      <w:r>
        <w:rPr>
          <w:i/>
          <w:sz w:val="20"/>
        </w:rPr>
        <w:t>в</w:t>
      </w:r>
      <w:r>
        <w:rPr>
          <w:i/>
          <w:spacing w:val="-9"/>
          <w:sz w:val="20"/>
        </w:rPr>
        <w:t> </w:t>
      </w:r>
      <w:r>
        <w:rPr>
          <w:i/>
          <w:sz w:val="20"/>
        </w:rPr>
        <w:t>пространство.</w:t>
      </w:r>
      <w:r>
        <w:rPr>
          <w:i/>
          <w:spacing w:val="-9"/>
          <w:sz w:val="20"/>
        </w:rPr>
        <w:t> </w:t>
      </w:r>
      <w:r>
        <w:rPr>
          <w:i/>
          <w:sz w:val="20"/>
        </w:rPr>
        <w:t>Ты</w:t>
      </w:r>
      <w:r>
        <w:rPr>
          <w:i/>
          <w:spacing w:val="-9"/>
          <w:sz w:val="20"/>
        </w:rPr>
        <w:t> </w:t>
      </w:r>
      <w:r>
        <w:rPr>
          <w:i/>
          <w:sz w:val="20"/>
        </w:rPr>
        <w:t>мо- жешь</w:t>
      </w:r>
      <w:r>
        <w:rPr>
          <w:i/>
          <w:spacing w:val="-3"/>
          <w:sz w:val="20"/>
        </w:rPr>
        <w:t> </w:t>
      </w:r>
      <w:r>
        <w:rPr>
          <w:i/>
          <w:sz w:val="20"/>
        </w:rPr>
        <w:t>держать</w:t>
      </w:r>
      <w:r>
        <w:rPr>
          <w:i/>
          <w:spacing w:val="-3"/>
          <w:sz w:val="20"/>
        </w:rPr>
        <w:t> </w:t>
      </w:r>
      <w:r>
        <w:rPr>
          <w:i/>
          <w:sz w:val="20"/>
        </w:rPr>
        <w:t>глаза</w:t>
      </w:r>
      <w:r>
        <w:rPr>
          <w:i/>
          <w:spacing w:val="-3"/>
          <w:sz w:val="20"/>
        </w:rPr>
        <w:t> </w:t>
      </w:r>
      <w:r>
        <w:rPr>
          <w:i/>
          <w:sz w:val="20"/>
        </w:rPr>
        <w:t>закрытыми</w:t>
      </w:r>
      <w:r>
        <w:rPr>
          <w:i/>
          <w:spacing w:val="-3"/>
          <w:sz w:val="20"/>
        </w:rPr>
        <w:t> </w:t>
      </w:r>
      <w:r>
        <w:rPr>
          <w:i/>
          <w:sz w:val="20"/>
        </w:rPr>
        <w:t>или</w:t>
      </w:r>
      <w:r>
        <w:rPr>
          <w:i/>
          <w:spacing w:val="-3"/>
          <w:sz w:val="20"/>
        </w:rPr>
        <w:t> </w:t>
      </w:r>
      <w:r>
        <w:rPr>
          <w:i/>
          <w:sz w:val="20"/>
        </w:rPr>
        <w:t>открытыми,</w:t>
      </w:r>
      <w:r>
        <w:rPr>
          <w:i/>
          <w:spacing w:val="-3"/>
          <w:sz w:val="20"/>
        </w:rPr>
        <w:t> </w:t>
      </w:r>
      <w:r>
        <w:rPr>
          <w:i/>
          <w:sz w:val="20"/>
        </w:rPr>
        <w:t>главное</w:t>
      </w:r>
      <w:r>
        <w:rPr>
          <w:i/>
          <w:spacing w:val="-3"/>
          <w:sz w:val="20"/>
        </w:rPr>
        <w:t> </w:t>
      </w:r>
      <w:r>
        <w:rPr>
          <w:i/>
          <w:sz w:val="20"/>
        </w:rPr>
        <w:t>–</w:t>
      </w:r>
      <w:r>
        <w:rPr>
          <w:i/>
          <w:spacing w:val="-3"/>
          <w:sz w:val="20"/>
        </w:rPr>
        <w:t> </w:t>
      </w:r>
      <w:r>
        <w:rPr>
          <w:i/>
          <w:sz w:val="20"/>
        </w:rPr>
        <w:t>замечай,</w:t>
      </w:r>
      <w:r>
        <w:rPr>
          <w:i/>
          <w:spacing w:val="-3"/>
          <w:sz w:val="20"/>
        </w:rPr>
        <w:t> </w:t>
      </w:r>
      <w:r>
        <w:rPr>
          <w:i/>
          <w:sz w:val="20"/>
        </w:rPr>
        <w:t>что</w:t>
      </w:r>
      <w:r>
        <w:rPr>
          <w:i/>
          <w:spacing w:val="-3"/>
          <w:sz w:val="20"/>
        </w:rPr>
        <w:t> </w:t>
      </w:r>
      <w:r>
        <w:rPr>
          <w:i/>
          <w:sz w:val="20"/>
        </w:rPr>
        <w:t>все</w:t>
      </w:r>
      <w:r>
        <w:rPr>
          <w:i/>
          <w:spacing w:val="-3"/>
          <w:sz w:val="20"/>
        </w:rPr>
        <w:t> </w:t>
      </w:r>
      <w:r>
        <w:rPr>
          <w:i/>
          <w:sz w:val="20"/>
        </w:rPr>
        <w:t>твое тело</w:t>
      </w:r>
      <w:r>
        <w:rPr>
          <w:i/>
          <w:spacing w:val="-12"/>
          <w:sz w:val="20"/>
        </w:rPr>
        <w:t> </w:t>
      </w:r>
      <w:r>
        <w:rPr>
          <w:i/>
          <w:sz w:val="20"/>
        </w:rPr>
        <w:t>расслаблено.</w:t>
      </w:r>
      <w:r>
        <w:rPr>
          <w:i/>
          <w:spacing w:val="-12"/>
          <w:sz w:val="20"/>
        </w:rPr>
        <w:t> </w:t>
      </w:r>
      <w:r>
        <w:rPr>
          <w:i/>
          <w:sz w:val="20"/>
        </w:rPr>
        <w:t>Если</w:t>
      </w:r>
      <w:r>
        <w:rPr>
          <w:i/>
          <w:spacing w:val="-12"/>
          <w:sz w:val="20"/>
        </w:rPr>
        <w:t> </w:t>
      </w:r>
      <w:r>
        <w:rPr>
          <w:i/>
          <w:sz w:val="20"/>
        </w:rPr>
        <w:t>какая-то</w:t>
      </w:r>
      <w:r>
        <w:rPr>
          <w:i/>
          <w:spacing w:val="-12"/>
          <w:sz w:val="20"/>
        </w:rPr>
        <w:t> </w:t>
      </w:r>
      <w:r>
        <w:rPr>
          <w:i/>
          <w:sz w:val="20"/>
        </w:rPr>
        <w:t>часть</w:t>
      </w:r>
      <w:r>
        <w:rPr>
          <w:i/>
          <w:spacing w:val="-12"/>
          <w:sz w:val="20"/>
        </w:rPr>
        <w:t> </w:t>
      </w:r>
      <w:r>
        <w:rPr>
          <w:i/>
          <w:sz w:val="20"/>
        </w:rPr>
        <w:t>все</w:t>
      </w:r>
      <w:r>
        <w:rPr>
          <w:i/>
          <w:spacing w:val="-12"/>
          <w:sz w:val="20"/>
        </w:rPr>
        <w:t> </w:t>
      </w:r>
      <w:r>
        <w:rPr>
          <w:i/>
          <w:sz w:val="20"/>
        </w:rPr>
        <w:t>еще</w:t>
      </w:r>
      <w:r>
        <w:rPr>
          <w:i/>
          <w:spacing w:val="-12"/>
          <w:sz w:val="20"/>
        </w:rPr>
        <w:t> </w:t>
      </w:r>
      <w:r>
        <w:rPr>
          <w:i/>
          <w:sz w:val="20"/>
        </w:rPr>
        <w:t>чувствует</w:t>
      </w:r>
      <w:r>
        <w:rPr>
          <w:i/>
          <w:spacing w:val="-12"/>
          <w:sz w:val="20"/>
        </w:rPr>
        <w:t> </w:t>
      </w:r>
      <w:r>
        <w:rPr>
          <w:i/>
          <w:sz w:val="20"/>
        </w:rPr>
        <w:t>себя</w:t>
      </w:r>
      <w:r>
        <w:rPr>
          <w:i/>
          <w:spacing w:val="-12"/>
          <w:sz w:val="20"/>
        </w:rPr>
        <w:t> </w:t>
      </w:r>
      <w:r>
        <w:rPr>
          <w:i/>
          <w:sz w:val="20"/>
        </w:rPr>
        <w:t>зажатой,</w:t>
      </w:r>
      <w:r>
        <w:rPr>
          <w:i/>
          <w:spacing w:val="-12"/>
          <w:sz w:val="20"/>
        </w:rPr>
        <w:t> </w:t>
      </w:r>
      <w:r>
        <w:rPr>
          <w:i/>
          <w:sz w:val="20"/>
        </w:rPr>
        <w:t>напряги</w:t>
      </w:r>
      <w:r>
        <w:rPr>
          <w:i/>
          <w:spacing w:val="-12"/>
          <w:sz w:val="20"/>
        </w:rPr>
        <w:t> </w:t>
      </w:r>
      <w:r>
        <w:rPr>
          <w:i/>
          <w:sz w:val="20"/>
        </w:rPr>
        <w:t>ее полностью, а затем медленно расслабь.</w:t>
      </w:r>
    </w:p>
    <w:p>
      <w:pPr>
        <w:spacing w:line="232" w:lineRule="auto" w:before="0"/>
        <w:ind w:left="141" w:right="139" w:firstLine="283"/>
        <w:jc w:val="both"/>
        <w:rPr>
          <w:i/>
          <w:sz w:val="20"/>
        </w:rPr>
      </w:pPr>
      <w:r>
        <w:rPr>
          <w:i/>
          <w:sz w:val="20"/>
        </w:rPr>
        <w:t>Теперь</w:t>
      </w:r>
      <w:r>
        <w:rPr>
          <w:i/>
          <w:spacing w:val="-5"/>
          <w:sz w:val="20"/>
        </w:rPr>
        <w:t> </w:t>
      </w:r>
      <w:r>
        <w:rPr>
          <w:i/>
          <w:sz w:val="20"/>
        </w:rPr>
        <w:t>сделай</w:t>
      </w:r>
      <w:r>
        <w:rPr>
          <w:i/>
          <w:spacing w:val="-5"/>
          <w:sz w:val="20"/>
        </w:rPr>
        <w:t> </w:t>
      </w:r>
      <w:r>
        <w:rPr>
          <w:i/>
          <w:sz w:val="20"/>
        </w:rPr>
        <w:t>несколько</w:t>
      </w:r>
      <w:r>
        <w:rPr>
          <w:i/>
          <w:spacing w:val="-5"/>
          <w:sz w:val="20"/>
        </w:rPr>
        <w:t> </w:t>
      </w:r>
      <w:r>
        <w:rPr>
          <w:i/>
          <w:sz w:val="20"/>
        </w:rPr>
        <w:t>глубоких</w:t>
      </w:r>
      <w:r>
        <w:rPr>
          <w:i/>
          <w:spacing w:val="-5"/>
          <w:sz w:val="20"/>
        </w:rPr>
        <w:t> </w:t>
      </w:r>
      <w:r>
        <w:rPr>
          <w:i/>
          <w:sz w:val="20"/>
        </w:rPr>
        <w:t>вдохов</w:t>
      </w:r>
      <w:r>
        <w:rPr>
          <w:i/>
          <w:spacing w:val="-5"/>
          <w:sz w:val="20"/>
        </w:rPr>
        <w:t> </w:t>
      </w:r>
      <w:r>
        <w:rPr>
          <w:i/>
          <w:sz w:val="20"/>
        </w:rPr>
        <w:t>животом.</w:t>
      </w:r>
      <w:r>
        <w:rPr>
          <w:i/>
          <w:spacing w:val="-5"/>
          <w:sz w:val="20"/>
        </w:rPr>
        <w:t> </w:t>
      </w:r>
      <w:r>
        <w:rPr>
          <w:i/>
          <w:sz w:val="20"/>
        </w:rPr>
        <w:t>Продолжай,</w:t>
      </w:r>
      <w:r>
        <w:rPr>
          <w:i/>
          <w:spacing w:val="-5"/>
          <w:sz w:val="20"/>
        </w:rPr>
        <w:t> </w:t>
      </w:r>
      <w:r>
        <w:rPr>
          <w:i/>
          <w:sz w:val="20"/>
        </w:rPr>
        <w:t>подыши</w:t>
      </w:r>
      <w:r>
        <w:rPr>
          <w:i/>
          <w:spacing w:val="-5"/>
          <w:sz w:val="20"/>
        </w:rPr>
        <w:t> </w:t>
      </w:r>
      <w:r>
        <w:rPr>
          <w:i/>
          <w:sz w:val="20"/>
        </w:rPr>
        <w:t>еще</w:t>
      </w:r>
      <w:r>
        <w:rPr>
          <w:i/>
          <w:spacing w:val="-5"/>
          <w:sz w:val="20"/>
        </w:rPr>
        <w:t> </w:t>
      </w:r>
      <w:r>
        <w:rPr>
          <w:i/>
          <w:sz w:val="20"/>
        </w:rPr>
        <w:t>од- ну-две минуты.</w:t>
      </w:r>
    </w:p>
    <w:p>
      <w:pPr>
        <w:pStyle w:val="ListParagraph"/>
        <w:numPr>
          <w:ilvl w:val="0"/>
          <w:numId w:val="196"/>
        </w:numPr>
        <w:tabs>
          <w:tab w:pos="423" w:val="left" w:leader="none"/>
          <w:tab w:pos="425" w:val="left" w:leader="none"/>
        </w:tabs>
        <w:spacing w:line="232" w:lineRule="auto" w:before="55" w:after="0"/>
        <w:ind w:left="425" w:right="140" w:hanging="284"/>
        <w:jc w:val="both"/>
        <w:rPr>
          <w:sz w:val="20"/>
        </w:rPr>
      </w:pPr>
      <w:r>
        <w:rPr>
          <w:sz w:val="20"/>
        </w:rPr>
        <w:t>Психолог обсуждает с ребенком полученный опыт мышечного расслабления и предлагает практиковать технику дома.</w:t>
      </w:r>
    </w:p>
    <w:p>
      <w:pPr>
        <w:pStyle w:val="BodyText"/>
        <w:spacing w:line="218" w:lineRule="exact"/>
        <w:ind w:left="425" w:right="0" w:firstLine="0"/>
      </w:pPr>
      <w:r>
        <w:rPr/>
        <w:t>Пример</w:t>
      </w:r>
      <w:r>
        <w:rPr>
          <w:spacing w:val="-2"/>
        </w:rPr>
        <w:t> </w:t>
      </w:r>
      <w:r>
        <w:rPr/>
        <w:t>слов</w:t>
      </w:r>
      <w:r>
        <w:rPr>
          <w:spacing w:val="-2"/>
        </w:rPr>
        <w:t> психолога:</w:t>
      </w:r>
    </w:p>
    <w:p>
      <w:pPr>
        <w:pStyle w:val="ListParagraph"/>
        <w:numPr>
          <w:ilvl w:val="1"/>
          <w:numId w:val="196"/>
        </w:numPr>
        <w:tabs>
          <w:tab w:pos="577" w:val="left" w:leader="none"/>
        </w:tabs>
        <w:spacing w:line="232" w:lineRule="auto" w:before="1" w:after="0"/>
        <w:ind w:left="141" w:right="139" w:firstLine="283"/>
        <w:jc w:val="both"/>
        <w:rPr>
          <w:i/>
          <w:sz w:val="20"/>
        </w:rPr>
      </w:pPr>
      <w:r>
        <w:rPr>
          <w:i/>
          <w:sz w:val="20"/>
        </w:rPr>
        <w:t>Как</w:t>
      </w:r>
      <w:r>
        <w:rPr>
          <w:i/>
          <w:spacing w:val="-2"/>
          <w:sz w:val="20"/>
        </w:rPr>
        <w:t> </w:t>
      </w:r>
      <w:r>
        <w:rPr>
          <w:i/>
          <w:sz w:val="20"/>
        </w:rPr>
        <w:t>сейчас</w:t>
      </w:r>
      <w:r>
        <w:rPr>
          <w:i/>
          <w:spacing w:val="-2"/>
          <w:sz w:val="20"/>
        </w:rPr>
        <w:t> </w:t>
      </w:r>
      <w:r>
        <w:rPr>
          <w:i/>
          <w:sz w:val="20"/>
        </w:rPr>
        <w:t>чувствует</w:t>
      </w:r>
      <w:r>
        <w:rPr>
          <w:i/>
          <w:spacing w:val="-2"/>
          <w:sz w:val="20"/>
        </w:rPr>
        <w:t> </w:t>
      </w:r>
      <w:r>
        <w:rPr>
          <w:i/>
          <w:sz w:val="20"/>
        </w:rPr>
        <w:t>себя</w:t>
      </w:r>
      <w:r>
        <w:rPr>
          <w:i/>
          <w:spacing w:val="-2"/>
          <w:sz w:val="20"/>
        </w:rPr>
        <w:t> </w:t>
      </w:r>
      <w:r>
        <w:rPr>
          <w:i/>
          <w:sz w:val="20"/>
        </w:rPr>
        <w:t>твое</w:t>
      </w:r>
      <w:r>
        <w:rPr>
          <w:i/>
          <w:spacing w:val="-2"/>
          <w:sz w:val="20"/>
        </w:rPr>
        <w:t> </w:t>
      </w:r>
      <w:r>
        <w:rPr>
          <w:i/>
          <w:sz w:val="20"/>
        </w:rPr>
        <w:t>тело?</w:t>
      </w:r>
      <w:r>
        <w:rPr>
          <w:i/>
          <w:spacing w:val="-2"/>
          <w:sz w:val="20"/>
        </w:rPr>
        <w:t> </w:t>
      </w:r>
      <w:r>
        <w:rPr>
          <w:i/>
          <w:sz w:val="20"/>
        </w:rPr>
        <w:t>Как</w:t>
      </w:r>
      <w:r>
        <w:rPr>
          <w:i/>
          <w:spacing w:val="-2"/>
          <w:sz w:val="20"/>
        </w:rPr>
        <w:t> </w:t>
      </w:r>
      <w:r>
        <w:rPr>
          <w:i/>
          <w:sz w:val="20"/>
        </w:rPr>
        <w:t>ощущают</w:t>
      </w:r>
      <w:r>
        <w:rPr>
          <w:i/>
          <w:spacing w:val="-2"/>
          <w:sz w:val="20"/>
        </w:rPr>
        <w:t> </w:t>
      </w:r>
      <w:r>
        <w:rPr>
          <w:i/>
          <w:sz w:val="20"/>
        </w:rPr>
        <w:t>себя</w:t>
      </w:r>
      <w:r>
        <w:rPr>
          <w:i/>
          <w:spacing w:val="-2"/>
          <w:sz w:val="20"/>
        </w:rPr>
        <w:t> </w:t>
      </w:r>
      <w:r>
        <w:rPr>
          <w:i/>
          <w:sz w:val="20"/>
        </w:rPr>
        <w:t>твои</w:t>
      </w:r>
      <w:r>
        <w:rPr>
          <w:i/>
          <w:spacing w:val="-2"/>
          <w:sz w:val="20"/>
        </w:rPr>
        <w:t> </w:t>
      </w:r>
      <w:r>
        <w:rPr>
          <w:i/>
          <w:sz w:val="20"/>
        </w:rPr>
        <w:t>мышцы?</w:t>
      </w:r>
      <w:r>
        <w:rPr>
          <w:i/>
          <w:spacing w:val="-2"/>
          <w:sz w:val="20"/>
        </w:rPr>
        <w:t> </w:t>
      </w:r>
      <w:r>
        <w:rPr>
          <w:i/>
          <w:sz w:val="20"/>
        </w:rPr>
        <w:t>Если то,</w:t>
      </w:r>
      <w:r>
        <w:rPr>
          <w:i/>
          <w:spacing w:val="-8"/>
          <w:sz w:val="20"/>
        </w:rPr>
        <w:t> </w:t>
      </w:r>
      <w:r>
        <w:rPr>
          <w:i/>
          <w:sz w:val="20"/>
        </w:rPr>
        <w:t>что</w:t>
      </w:r>
      <w:r>
        <w:rPr>
          <w:i/>
          <w:spacing w:val="-8"/>
          <w:sz w:val="20"/>
        </w:rPr>
        <w:t> </w:t>
      </w:r>
      <w:r>
        <w:rPr>
          <w:i/>
          <w:sz w:val="20"/>
        </w:rPr>
        <w:t>мы</w:t>
      </w:r>
      <w:r>
        <w:rPr>
          <w:i/>
          <w:spacing w:val="-8"/>
          <w:sz w:val="20"/>
        </w:rPr>
        <w:t> </w:t>
      </w:r>
      <w:r>
        <w:rPr>
          <w:i/>
          <w:sz w:val="20"/>
        </w:rPr>
        <w:t>сейчас</w:t>
      </w:r>
      <w:r>
        <w:rPr>
          <w:i/>
          <w:spacing w:val="-8"/>
          <w:sz w:val="20"/>
        </w:rPr>
        <w:t> </w:t>
      </w:r>
      <w:r>
        <w:rPr>
          <w:i/>
          <w:sz w:val="20"/>
        </w:rPr>
        <w:t>делали,</w:t>
      </w:r>
      <w:r>
        <w:rPr>
          <w:i/>
          <w:spacing w:val="-8"/>
          <w:sz w:val="20"/>
        </w:rPr>
        <w:t> </w:t>
      </w:r>
      <w:r>
        <w:rPr>
          <w:i/>
          <w:sz w:val="20"/>
        </w:rPr>
        <w:t>помогло</w:t>
      </w:r>
      <w:r>
        <w:rPr>
          <w:i/>
          <w:spacing w:val="-8"/>
          <w:sz w:val="20"/>
        </w:rPr>
        <w:t> </w:t>
      </w:r>
      <w:r>
        <w:rPr>
          <w:i/>
          <w:sz w:val="20"/>
        </w:rPr>
        <w:t>тебе</w:t>
      </w:r>
      <w:r>
        <w:rPr>
          <w:i/>
          <w:spacing w:val="-8"/>
          <w:sz w:val="20"/>
        </w:rPr>
        <w:t> </w:t>
      </w:r>
      <w:r>
        <w:rPr>
          <w:i/>
          <w:sz w:val="20"/>
        </w:rPr>
        <w:t>расслабиться,</w:t>
      </w:r>
      <w:r>
        <w:rPr>
          <w:i/>
          <w:spacing w:val="-8"/>
          <w:sz w:val="20"/>
        </w:rPr>
        <w:t> </w:t>
      </w:r>
      <w:r>
        <w:rPr>
          <w:i/>
          <w:sz w:val="20"/>
        </w:rPr>
        <w:t>попробуй</w:t>
      </w:r>
      <w:r>
        <w:rPr>
          <w:i/>
          <w:spacing w:val="-8"/>
          <w:sz w:val="20"/>
        </w:rPr>
        <w:t> </w:t>
      </w:r>
      <w:r>
        <w:rPr>
          <w:i/>
          <w:sz w:val="20"/>
        </w:rPr>
        <w:t>то</w:t>
      </w:r>
      <w:r>
        <w:rPr>
          <w:i/>
          <w:spacing w:val="-8"/>
          <w:sz w:val="20"/>
        </w:rPr>
        <w:t> </w:t>
      </w:r>
      <w:r>
        <w:rPr>
          <w:i/>
          <w:sz w:val="20"/>
        </w:rPr>
        <w:t>же</w:t>
      </w:r>
      <w:r>
        <w:rPr>
          <w:i/>
          <w:spacing w:val="-8"/>
          <w:sz w:val="20"/>
        </w:rPr>
        <w:t> </w:t>
      </w:r>
      <w:r>
        <w:rPr>
          <w:i/>
          <w:sz w:val="20"/>
        </w:rPr>
        <w:t>самое</w:t>
      </w:r>
      <w:r>
        <w:rPr>
          <w:i/>
          <w:spacing w:val="-8"/>
          <w:sz w:val="20"/>
        </w:rPr>
        <w:t> </w:t>
      </w:r>
      <w:r>
        <w:rPr>
          <w:i/>
          <w:sz w:val="20"/>
        </w:rPr>
        <w:t>дома. Когда</w:t>
      </w:r>
      <w:r>
        <w:rPr>
          <w:i/>
          <w:spacing w:val="-13"/>
          <w:sz w:val="20"/>
        </w:rPr>
        <w:t> </w:t>
      </w:r>
      <w:r>
        <w:rPr>
          <w:i/>
          <w:sz w:val="20"/>
        </w:rPr>
        <w:t>практикуешься,</w:t>
      </w:r>
      <w:r>
        <w:rPr>
          <w:i/>
          <w:spacing w:val="-12"/>
          <w:sz w:val="20"/>
        </w:rPr>
        <w:t> </w:t>
      </w:r>
      <w:r>
        <w:rPr>
          <w:i/>
          <w:sz w:val="20"/>
        </w:rPr>
        <w:t>становится</w:t>
      </w:r>
      <w:r>
        <w:rPr>
          <w:i/>
          <w:spacing w:val="-13"/>
          <w:sz w:val="20"/>
        </w:rPr>
        <w:t> </w:t>
      </w:r>
      <w:r>
        <w:rPr>
          <w:i/>
          <w:sz w:val="20"/>
        </w:rPr>
        <w:t>проще</w:t>
      </w:r>
      <w:r>
        <w:rPr>
          <w:i/>
          <w:spacing w:val="-12"/>
          <w:sz w:val="20"/>
        </w:rPr>
        <w:t> </w:t>
      </w:r>
      <w:r>
        <w:rPr>
          <w:i/>
          <w:sz w:val="20"/>
        </w:rPr>
        <w:t>и</w:t>
      </w:r>
      <w:r>
        <w:rPr>
          <w:i/>
          <w:spacing w:val="-13"/>
          <w:sz w:val="20"/>
        </w:rPr>
        <w:t> </w:t>
      </w:r>
      <w:r>
        <w:rPr>
          <w:i/>
          <w:sz w:val="20"/>
        </w:rPr>
        <w:t>работает</w:t>
      </w:r>
      <w:r>
        <w:rPr>
          <w:i/>
          <w:spacing w:val="-12"/>
          <w:sz w:val="20"/>
        </w:rPr>
        <w:t> </w:t>
      </w:r>
      <w:r>
        <w:rPr>
          <w:i/>
          <w:sz w:val="20"/>
        </w:rPr>
        <w:t>лучше,</w:t>
      </w:r>
      <w:r>
        <w:rPr>
          <w:i/>
          <w:spacing w:val="-13"/>
          <w:sz w:val="20"/>
        </w:rPr>
        <w:t> </w:t>
      </w:r>
      <w:r>
        <w:rPr>
          <w:i/>
          <w:sz w:val="20"/>
        </w:rPr>
        <w:t>потому</w:t>
      </w:r>
      <w:r>
        <w:rPr>
          <w:i/>
          <w:spacing w:val="-12"/>
          <w:sz w:val="20"/>
        </w:rPr>
        <w:t> </w:t>
      </w:r>
      <w:r>
        <w:rPr>
          <w:i/>
          <w:sz w:val="20"/>
        </w:rPr>
        <w:t>что</w:t>
      </w:r>
      <w:r>
        <w:rPr>
          <w:i/>
          <w:spacing w:val="-13"/>
          <w:sz w:val="20"/>
        </w:rPr>
        <w:t> </w:t>
      </w:r>
      <w:r>
        <w:rPr>
          <w:i/>
          <w:sz w:val="20"/>
        </w:rPr>
        <w:t>твое</w:t>
      </w:r>
      <w:r>
        <w:rPr>
          <w:i/>
          <w:spacing w:val="-12"/>
          <w:sz w:val="20"/>
        </w:rPr>
        <w:t> </w:t>
      </w:r>
      <w:r>
        <w:rPr>
          <w:i/>
          <w:sz w:val="20"/>
        </w:rPr>
        <w:t>тело </w:t>
      </w:r>
      <w:r>
        <w:rPr>
          <w:i/>
          <w:spacing w:val="-2"/>
          <w:sz w:val="20"/>
        </w:rPr>
        <w:t>привыкает к расслаблению. Попробуй как-нибудь перед сном расслабить мышцы, как </w:t>
      </w:r>
      <w:r>
        <w:rPr>
          <w:i/>
          <w:sz w:val="20"/>
        </w:rPr>
        <w:t>мы делали сегодня, и расскажи мне потом, как это работает.</w:t>
      </w:r>
    </w:p>
    <w:p>
      <w:pPr>
        <w:spacing w:line="226" w:lineRule="exact" w:before="103"/>
        <w:ind w:left="425" w:right="0" w:firstLine="0"/>
        <w:jc w:val="both"/>
        <w:rPr>
          <w:b/>
          <w:i/>
          <w:sz w:val="20"/>
        </w:rPr>
      </w:pPr>
      <w:r>
        <w:rPr>
          <w:b/>
          <w:i/>
          <w:sz w:val="20"/>
        </w:rPr>
        <w:t>Техника</w:t>
      </w:r>
      <w:r>
        <w:rPr>
          <w:b/>
          <w:i/>
          <w:spacing w:val="-11"/>
          <w:sz w:val="20"/>
        </w:rPr>
        <w:t> </w:t>
      </w:r>
      <w:r>
        <w:rPr>
          <w:b/>
          <w:i/>
          <w:sz w:val="20"/>
        </w:rPr>
        <w:t>«Заполнение</w:t>
      </w:r>
      <w:r>
        <w:rPr>
          <w:b/>
          <w:i/>
          <w:spacing w:val="-10"/>
          <w:sz w:val="20"/>
        </w:rPr>
        <w:t> </w:t>
      </w:r>
      <w:r>
        <w:rPr>
          <w:b/>
          <w:i/>
          <w:spacing w:val="-2"/>
          <w:sz w:val="20"/>
        </w:rPr>
        <w:t>чувствами»</w:t>
      </w:r>
    </w:p>
    <w:p>
      <w:pPr>
        <w:pStyle w:val="BodyText"/>
        <w:spacing w:line="232" w:lineRule="auto" w:before="1"/>
      </w:pPr>
      <w:r>
        <w:rPr>
          <w:i/>
        </w:rPr>
        <w:t>Цели: </w:t>
      </w:r>
      <w:r>
        <w:rPr/>
        <w:t>содействие контакту с ресурсными эмоциями и состояниями; развитие на- выков телесного осознавания, заземления и центрирования; развитие навыков выра- жения и регулирования эмоций.</w:t>
      </w:r>
    </w:p>
    <w:p>
      <w:pPr>
        <w:spacing w:line="217" w:lineRule="exact" w:before="0"/>
        <w:ind w:left="425" w:right="0" w:firstLine="0"/>
        <w:jc w:val="both"/>
        <w:rPr>
          <w:sz w:val="20"/>
        </w:rPr>
      </w:pPr>
      <w:r>
        <w:rPr>
          <w:i/>
          <w:sz w:val="20"/>
        </w:rPr>
        <w:t>Рекомендованный</w:t>
      </w:r>
      <w:r>
        <w:rPr>
          <w:i/>
          <w:spacing w:val="-10"/>
          <w:sz w:val="20"/>
        </w:rPr>
        <w:t> </w:t>
      </w:r>
      <w:r>
        <w:rPr>
          <w:i/>
          <w:sz w:val="20"/>
        </w:rPr>
        <w:t>возраст:</w:t>
      </w:r>
      <w:r>
        <w:rPr>
          <w:i/>
          <w:spacing w:val="-10"/>
          <w:sz w:val="20"/>
        </w:rPr>
        <w:t> </w:t>
      </w:r>
      <w:r>
        <w:rPr>
          <w:sz w:val="20"/>
        </w:rPr>
        <w:t>от</w:t>
      </w:r>
      <w:r>
        <w:rPr>
          <w:spacing w:val="-10"/>
          <w:sz w:val="20"/>
        </w:rPr>
        <w:t> </w:t>
      </w:r>
      <w:r>
        <w:rPr>
          <w:sz w:val="20"/>
        </w:rPr>
        <w:t>6</w:t>
      </w:r>
      <w:r>
        <w:rPr>
          <w:spacing w:val="-10"/>
          <w:sz w:val="20"/>
        </w:rPr>
        <w:t> </w:t>
      </w:r>
      <w:r>
        <w:rPr>
          <w:spacing w:val="-4"/>
          <w:sz w:val="20"/>
        </w:rPr>
        <w:t>лет.</w:t>
      </w:r>
    </w:p>
    <w:p>
      <w:pPr>
        <w:pStyle w:val="BodyText"/>
        <w:spacing w:line="232" w:lineRule="auto" w:before="2"/>
      </w:pPr>
      <w:r>
        <w:rPr>
          <w:i/>
        </w:rPr>
        <w:t>Источник: </w:t>
      </w:r>
      <w:r>
        <w:rPr/>
        <w:t>программа фокусированной на травме когнитивно-бихевиоральной психотерапии (Cohen, Mannarino, Deblinger, 2006) – перевод и адаптация Н.В. Тару- линой (Хухлаев, Павлова и др., 2022).</w:t>
      </w:r>
    </w:p>
    <w:p>
      <w:pPr>
        <w:pStyle w:val="BodyText"/>
        <w:spacing w:line="232" w:lineRule="auto"/>
      </w:pPr>
      <w:r>
        <w:rPr/>
        <w:t>Психолог</w:t>
      </w:r>
      <w:r>
        <w:rPr>
          <w:spacing w:val="-7"/>
        </w:rPr>
        <w:t> </w:t>
      </w:r>
      <w:r>
        <w:rPr/>
        <w:t>предлагает</w:t>
      </w:r>
      <w:r>
        <w:rPr>
          <w:spacing w:val="-7"/>
        </w:rPr>
        <w:t> </w:t>
      </w:r>
      <w:r>
        <w:rPr/>
        <w:t>ребенку</w:t>
      </w:r>
      <w:r>
        <w:rPr>
          <w:spacing w:val="-7"/>
        </w:rPr>
        <w:t> </w:t>
      </w:r>
      <w:r>
        <w:rPr/>
        <w:t>сосредоточиться</w:t>
      </w:r>
      <w:r>
        <w:rPr>
          <w:spacing w:val="-7"/>
        </w:rPr>
        <w:t> </w:t>
      </w:r>
      <w:r>
        <w:rPr/>
        <w:t>на</w:t>
      </w:r>
      <w:r>
        <w:rPr>
          <w:spacing w:val="-7"/>
        </w:rPr>
        <w:t> </w:t>
      </w:r>
      <w:r>
        <w:rPr/>
        <w:t>конкретном</w:t>
      </w:r>
      <w:r>
        <w:rPr>
          <w:spacing w:val="-7"/>
        </w:rPr>
        <w:t> </w:t>
      </w:r>
      <w:r>
        <w:rPr/>
        <w:t>ощущении,</w:t>
      </w:r>
      <w:r>
        <w:rPr>
          <w:spacing w:val="-6"/>
        </w:rPr>
        <w:t> </w:t>
      </w:r>
      <w:r>
        <w:rPr/>
        <w:t>а</w:t>
      </w:r>
      <w:r>
        <w:rPr>
          <w:spacing w:val="-7"/>
        </w:rPr>
        <w:t> </w:t>
      </w:r>
      <w:r>
        <w:rPr/>
        <w:t>затем рассказать о нем.</w:t>
      </w:r>
    </w:p>
    <w:p>
      <w:pPr>
        <w:pStyle w:val="BodyText"/>
        <w:spacing w:line="218" w:lineRule="exact"/>
        <w:ind w:left="425" w:right="0" w:firstLine="0"/>
        <w:jc w:val="left"/>
      </w:pPr>
      <w:r>
        <w:rPr>
          <w:spacing w:val="-2"/>
        </w:rPr>
        <w:t>Например:</w:t>
      </w:r>
    </w:p>
    <w:p>
      <w:pPr>
        <w:pStyle w:val="ListParagraph"/>
        <w:numPr>
          <w:ilvl w:val="1"/>
          <w:numId w:val="196"/>
        </w:numPr>
        <w:tabs>
          <w:tab w:pos="569" w:val="left" w:leader="none"/>
        </w:tabs>
        <w:spacing w:line="232" w:lineRule="auto" w:before="0" w:after="0"/>
        <w:ind w:left="141" w:right="139" w:firstLine="283"/>
        <w:jc w:val="left"/>
        <w:rPr>
          <w:i/>
          <w:sz w:val="20"/>
        </w:rPr>
      </w:pPr>
      <w:r>
        <w:rPr>
          <w:sz w:val="20"/>
        </w:rPr>
        <w:t>закрыть</w:t>
      </w:r>
      <w:r>
        <w:rPr>
          <w:spacing w:val="-13"/>
          <w:sz w:val="20"/>
        </w:rPr>
        <w:t> </w:t>
      </w:r>
      <w:r>
        <w:rPr>
          <w:sz w:val="20"/>
        </w:rPr>
        <w:t>глаза</w:t>
      </w:r>
      <w:r>
        <w:rPr>
          <w:spacing w:val="-12"/>
          <w:sz w:val="20"/>
        </w:rPr>
        <w:t> </w:t>
      </w:r>
      <w:r>
        <w:rPr>
          <w:sz w:val="20"/>
        </w:rPr>
        <w:t>и</w:t>
      </w:r>
      <w:r>
        <w:rPr>
          <w:spacing w:val="-13"/>
          <w:sz w:val="20"/>
        </w:rPr>
        <w:t> </w:t>
      </w:r>
      <w:r>
        <w:rPr>
          <w:sz w:val="20"/>
        </w:rPr>
        <w:t>почувствовать,</w:t>
      </w:r>
      <w:r>
        <w:rPr>
          <w:spacing w:val="-12"/>
          <w:sz w:val="20"/>
        </w:rPr>
        <w:t> </w:t>
      </w:r>
      <w:r>
        <w:rPr>
          <w:sz w:val="20"/>
        </w:rPr>
        <w:t>как</w:t>
      </w:r>
      <w:r>
        <w:rPr>
          <w:spacing w:val="-13"/>
          <w:sz w:val="20"/>
        </w:rPr>
        <w:t> </w:t>
      </w:r>
      <w:r>
        <w:rPr>
          <w:sz w:val="20"/>
        </w:rPr>
        <w:t>конфета</w:t>
      </w:r>
      <w:r>
        <w:rPr>
          <w:spacing w:val="-12"/>
          <w:sz w:val="20"/>
        </w:rPr>
        <w:t> </w:t>
      </w:r>
      <w:r>
        <w:rPr>
          <w:sz w:val="20"/>
        </w:rPr>
        <w:t>тает</w:t>
      </w:r>
      <w:r>
        <w:rPr>
          <w:spacing w:val="-13"/>
          <w:sz w:val="20"/>
        </w:rPr>
        <w:t> </w:t>
      </w:r>
      <w:r>
        <w:rPr>
          <w:sz w:val="20"/>
        </w:rPr>
        <w:t>во</w:t>
      </w:r>
      <w:r>
        <w:rPr>
          <w:spacing w:val="-12"/>
          <w:sz w:val="20"/>
        </w:rPr>
        <w:t> </w:t>
      </w:r>
      <w:r>
        <w:rPr>
          <w:sz w:val="20"/>
        </w:rPr>
        <w:t>рту,</w:t>
      </w:r>
      <w:r>
        <w:rPr>
          <w:spacing w:val="-13"/>
          <w:sz w:val="20"/>
        </w:rPr>
        <w:t> </w:t>
      </w:r>
      <w:r>
        <w:rPr>
          <w:sz w:val="20"/>
        </w:rPr>
        <w:t>пока</w:t>
      </w:r>
      <w:r>
        <w:rPr>
          <w:spacing w:val="-12"/>
          <w:sz w:val="20"/>
        </w:rPr>
        <w:t> </w:t>
      </w:r>
      <w:r>
        <w:rPr>
          <w:sz w:val="20"/>
        </w:rPr>
        <w:t>не</w:t>
      </w:r>
      <w:r>
        <w:rPr>
          <w:spacing w:val="-13"/>
          <w:sz w:val="20"/>
        </w:rPr>
        <w:t> </w:t>
      </w:r>
      <w:r>
        <w:rPr>
          <w:sz w:val="20"/>
        </w:rPr>
        <w:t>исчезнет,</w:t>
      </w:r>
      <w:r>
        <w:rPr>
          <w:spacing w:val="-12"/>
          <w:sz w:val="20"/>
        </w:rPr>
        <w:t> </w:t>
      </w:r>
      <w:r>
        <w:rPr>
          <w:sz w:val="20"/>
        </w:rPr>
        <w:t>а</w:t>
      </w:r>
      <w:r>
        <w:rPr>
          <w:spacing w:val="-13"/>
          <w:sz w:val="20"/>
        </w:rPr>
        <w:t> </w:t>
      </w:r>
      <w:r>
        <w:rPr>
          <w:sz w:val="20"/>
        </w:rPr>
        <w:t>затем описать ее вкус;</w:t>
      </w:r>
    </w:p>
    <w:p>
      <w:pPr>
        <w:pStyle w:val="ListParagraph"/>
        <w:numPr>
          <w:ilvl w:val="1"/>
          <w:numId w:val="196"/>
        </w:numPr>
        <w:tabs>
          <w:tab w:pos="575" w:val="left" w:leader="none"/>
        </w:tabs>
        <w:spacing w:line="218" w:lineRule="exact" w:before="0" w:after="0"/>
        <w:ind w:left="575" w:right="0" w:hanging="150"/>
        <w:jc w:val="left"/>
        <w:rPr>
          <w:sz w:val="20"/>
        </w:rPr>
      </w:pPr>
      <w:r>
        <w:rPr>
          <w:sz w:val="20"/>
        </w:rPr>
        <w:t>послушать</w:t>
      </w:r>
      <w:r>
        <w:rPr>
          <w:spacing w:val="-7"/>
          <w:sz w:val="20"/>
        </w:rPr>
        <w:t> </w:t>
      </w:r>
      <w:r>
        <w:rPr>
          <w:sz w:val="20"/>
        </w:rPr>
        <w:t>шум</w:t>
      </w:r>
      <w:r>
        <w:rPr>
          <w:spacing w:val="-3"/>
          <w:sz w:val="20"/>
        </w:rPr>
        <w:t> </w:t>
      </w:r>
      <w:r>
        <w:rPr>
          <w:sz w:val="20"/>
        </w:rPr>
        <w:t>океана/водопада</w:t>
      </w:r>
      <w:r>
        <w:rPr>
          <w:spacing w:val="-4"/>
          <w:sz w:val="20"/>
        </w:rPr>
        <w:t> </w:t>
      </w:r>
      <w:r>
        <w:rPr>
          <w:sz w:val="20"/>
        </w:rPr>
        <w:t>–</w:t>
      </w:r>
      <w:r>
        <w:rPr>
          <w:spacing w:val="-4"/>
          <w:sz w:val="20"/>
        </w:rPr>
        <w:t> </w:t>
      </w:r>
      <w:r>
        <w:rPr>
          <w:sz w:val="20"/>
        </w:rPr>
        <w:t>и</w:t>
      </w:r>
      <w:r>
        <w:rPr>
          <w:spacing w:val="-4"/>
          <w:sz w:val="20"/>
        </w:rPr>
        <w:t> </w:t>
      </w:r>
      <w:r>
        <w:rPr>
          <w:sz w:val="20"/>
        </w:rPr>
        <w:t>описать,</w:t>
      </w:r>
      <w:r>
        <w:rPr>
          <w:spacing w:val="-4"/>
          <w:sz w:val="20"/>
        </w:rPr>
        <w:t> </w:t>
      </w:r>
      <w:r>
        <w:rPr>
          <w:sz w:val="20"/>
        </w:rPr>
        <w:t>как</w:t>
      </w:r>
      <w:r>
        <w:rPr>
          <w:spacing w:val="-3"/>
          <w:sz w:val="20"/>
        </w:rPr>
        <w:t> </w:t>
      </w:r>
      <w:r>
        <w:rPr>
          <w:sz w:val="20"/>
        </w:rPr>
        <w:t>он</w:t>
      </w:r>
      <w:r>
        <w:rPr>
          <w:spacing w:val="-4"/>
          <w:sz w:val="20"/>
        </w:rPr>
        <w:t> </w:t>
      </w:r>
      <w:r>
        <w:rPr>
          <w:spacing w:val="-2"/>
          <w:sz w:val="20"/>
        </w:rPr>
        <w:t>звучит;</w:t>
      </w:r>
    </w:p>
    <w:p>
      <w:pPr>
        <w:pStyle w:val="ListParagraph"/>
        <w:numPr>
          <w:ilvl w:val="1"/>
          <w:numId w:val="196"/>
        </w:numPr>
        <w:tabs>
          <w:tab w:pos="579" w:val="left" w:leader="none"/>
        </w:tabs>
        <w:spacing w:line="232" w:lineRule="auto" w:before="0" w:after="0"/>
        <w:ind w:left="141" w:right="140" w:firstLine="283"/>
        <w:jc w:val="left"/>
        <w:rPr>
          <w:sz w:val="20"/>
        </w:rPr>
      </w:pPr>
      <w:r>
        <w:rPr>
          <w:sz w:val="20"/>
        </w:rPr>
        <w:t>посмотреть на витражную панель с радугой или другой красочной картинкой и описать, как она выглядит;</w:t>
      </w:r>
    </w:p>
    <w:p>
      <w:pPr>
        <w:pStyle w:val="ListParagraph"/>
        <w:numPr>
          <w:ilvl w:val="1"/>
          <w:numId w:val="196"/>
        </w:numPr>
        <w:tabs>
          <w:tab w:pos="575" w:val="left" w:leader="none"/>
        </w:tabs>
        <w:spacing w:line="220" w:lineRule="exact" w:before="0" w:after="0"/>
        <w:ind w:left="575" w:right="0" w:hanging="150"/>
        <w:jc w:val="left"/>
        <w:rPr>
          <w:sz w:val="20"/>
        </w:rPr>
      </w:pPr>
      <w:r>
        <w:rPr>
          <w:sz w:val="20"/>
        </w:rPr>
        <w:t>потрогать</w:t>
      </w:r>
      <w:r>
        <w:rPr>
          <w:spacing w:val="-8"/>
          <w:sz w:val="20"/>
        </w:rPr>
        <w:t> </w:t>
      </w:r>
      <w:r>
        <w:rPr>
          <w:sz w:val="20"/>
        </w:rPr>
        <w:t>кусок</w:t>
      </w:r>
      <w:r>
        <w:rPr>
          <w:spacing w:val="-5"/>
          <w:sz w:val="20"/>
        </w:rPr>
        <w:t> </w:t>
      </w:r>
      <w:r>
        <w:rPr>
          <w:sz w:val="20"/>
        </w:rPr>
        <w:t>бархата</w:t>
      </w:r>
      <w:r>
        <w:rPr>
          <w:spacing w:val="-5"/>
          <w:sz w:val="20"/>
        </w:rPr>
        <w:t> </w:t>
      </w:r>
      <w:r>
        <w:rPr>
          <w:sz w:val="20"/>
        </w:rPr>
        <w:t>и</w:t>
      </w:r>
      <w:r>
        <w:rPr>
          <w:spacing w:val="-5"/>
          <w:sz w:val="20"/>
        </w:rPr>
        <w:t> </w:t>
      </w:r>
      <w:r>
        <w:rPr>
          <w:sz w:val="20"/>
        </w:rPr>
        <w:t>описать,</w:t>
      </w:r>
      <w:r>
        <w:rPr>
          <w:spacing w:val="-5"/>
          <w:sz w:val="20"/>
        </w:rPr>
        <w:t> </w:t>
      </w:r>
      <w:r>
        <w:rPr>
          <w:sz w:val="20"/>
        </w:rPr>
        <w:t>какой</w:t>
      </w:r>
      <w:r>
        <w:rPr>
          <w:spacing w:val="-6"/>
          <w:sz w:val="20"/>
        </w:rPr>
        <w:t> </w:t>
      </w:r>
      <w:r>
        <w:rPr>
          <w:sz w:val="20"/>
        </w:rPr>
        <w:t>он</w:t>
      </w:r>
      <w:r>
        <w:rPr>
          <w:spacing w:val="-6"/>
          <w:sz w:val="20"/>
        </w:rPr>
        <w:t> </w:t>
      </w:r>
      <w:r>
        <w:rPr>
          <w:sz w:val="20"/>
        </w:rPr>
        <w:t>на</w:t>
      </w:r>
      <w:r>
        <w:rPr>
          <w:spacing w:val="-4"/>
          <w:sz w:val="20"/>
        </w:rPr>
        <w:t> </w:t>
      </w:r>
      <w:r>
        <w:rPr>
          <w:spacing w:val="-2"/>
          <w:sz w:val="20"/>
        </w:rPr>
        <w:t>ощупь.</w:t>
      </w:r>
    </w:p>
    <w:p>
      <w:pPr>
        <w:pStyle w:val="BodyText"/>
        <w:spacing w:line="235" w:lineRule="auto" w:before="2"/>
        <w:ind w:right="0"/>
        <w:jc w:val="left"/>
      </w:pPr>
      <w:r>
        <w:rPr/>
        <w:t>Для</w:t>
      </w:r>
      <w:r>
        <w:rPr>
          <w:spacing w:val="23"/>
        </w:rPr>
        <w:t> </w:t>
      </w:r>
      <w:r>
        <w:rPr/>
        <w:t>каждого</w:t>
      </w:r>
      <w:r>
        <w:rPr>
          <w:spacing w:val="23"/>
        </w:rPr>
        <w:t> </w:t>
      </w:r>
      <w:r>
        <w:rPr/>
        <w:t>ребенка</w:t>
      </w:r>
      <w:r>
        <w:rPr>
          <w:spacing w:val="23"/>
        </w:rPr>
        <w:t> </w:t>
      </w:r>
      <w:r>
        <w:rPr/>
        <w:t>психолог</w:t>
      </w:r>
      <w:r>
        <w:rPr>
          <w:spacing w:val="23"/>
        </w:rPr>
        <w:t> </w:t>
      </w:r>
      <w:r>
        <w:rPr/>
        <w:t>может</w:t>
      </w:r>
      <w:r>
        <w:rPr>
          <w:spacing w:val="23"/>
        </w:rPr>
        <w:t> </w:t>
      </w:r>
      <w:r>
        <w:rPr/>
        <w:t>подобрать</w:t>
      </w:r>
      <w:r>
        <w:rPr>
          <w:spacing w:val="23"/>
        </w:rPr>
        <w:t> </w:t>
      </w:r>
      <w:r>
        <w:rPr/>
        <w:t>ощущение,</w:t>
      </w:r>
      <w:r>
        <w:rPr>
          <w:spacing w:val="23"/>
        </w:rPr>
        <w:t> </w:t>
      </w:r>
      <w:r>
        <w:rPr/>
        <w:t>наиболее</w:t>
      </w:r>
      <w:r>
        <w:rPr>
          <w:spacing w:val="23"/>
        </w:rPr>
        <w:t> </w:t>
      </w:r>
      <w:r>
        <w:rPr/>
        <w:t>соответ- ствующее его темпераменту, опыту и предпочтениям.</w:t>
      </w:r>
    </w:p>
    <w:p>
      <w:pPr>
        <w:pStyle w:val="BodyText"/>
        <w:spacing w:after="0" w:line="235" w:lineRule="auto"/>
        <w:jc w:val="left"/>
        <w:sectPr>
          <w:pgSz w:w="8400" w:h="11910"/>
          <w:pgMar w:header="0" w:footer="529" w:top="400" w:bottom="720" w:left="425" w:right="425"/>
        </w:sectPr>
      </w:pPr>
    </w:p>
    <w:p>
      <w:pPr>
        <w:pStyle w:val="ListParagraph"/>
        <w:numPr>
          <w:ilvl w:val="1"/>
          <w:numId w:val="197"/>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Приемы</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2"/>
          <w:sz w:val="18"/>
        </w:rPr>
        <w:t> </w:t>
      </w:r>
      <w:r>
        <w:rPr>
          <w:rFonts w:ascii="Georgia" w:hAnsi="Georgia"/>
          <w:color w:val="231F20"/>
          <w:sz w:val="18"/>
        </w:rPr>
        <w:t>с</w:t>
      </w:r>
      <w:r>
        <w:rPr>
          <w:rFonts w:ascii="Georgia" w:hAnsi="Georgia"/>
          <w:color w:val="231F20"/>
          <w:spacing w:val="2"/>
          <w:sz w:val="18"/>
        </w:rPr>
        <w:t> </w:t>
      </w:r>
      <w:r>
        <w:rPr>
          <w:rFonts w:ascii="Georgia" w:hAnsi="Georgia"/>
          <w:color w:val="231F20"/>
          <w:sz w:val="18"/>
        </w:rPr>
        <w:t>психологической</w:t>
      </w:r>
      <w:r>
        <w:rPr>
          <w:rFonts w:ascii="Georgia" w:hAnsi="Georgia"/>
          <w:color w:val="231F20"/>
          <w:spacing w:val="2"/>
          <w:sz w:val="18"/>
        </w:rPr>
        <w:t> </w:t>
      </w:r>
      <w:r>
        <w:rPr>
          <w:rFonts w:ascii="Georgia" w:hAnsi="Georgia"/>
          <w:color w:val="231F20"/>
          <w:spacing w:val="-2"/>
          <w:sz w:val="18"/>
        </w:rPr>
        <w:t>травмой</w:t>
      </w:r>
    </w:p>
    <w:p>
      <w:pPr>
        <w:pStyle w:val="BodyText"/>
        <w:spacing w:before="112"/>
      </w:pPr>
      <w:r>
        <w:rPr>
          <w:spacing w:val="-2"/>
        </w:rPr>
        <w:t>Техника способствует психическому и физическому расслаблению, одновременно </w:t>
      </w:r>
      <w:r>
        <w:rPr/>
        <w:t>актуализируя</w:t>
      </w:r>
      <w:r>
        <w:rPr>
          <w:spacing w:val="-6"/>
        </w:rPr>
        <w:t> </w:t>
      </w:r>
      <w:r>
        <w:rPr/>
        <w:t>внимательность.</w:t>
      </w:r>
      <w:r>
        <w:rPr>
          <w:spacing w:val="-6"/>
        </w:rPr>
        <w:t> </w:t>
      </w:r>
      <w:r>
        <w:rPr/>
        <w:t>Фиксация</w:t>
      </w:r>
      <w:r>
        <w:rPr>
          <w:spacing w:val="-6"/>
        </w:rPr>
        <w:t> </w:t>
      </w:r>
      <w:r>
        <w:rPr/>
        <w:t>на</w:t>
      </w:r>
      <w:r>
        <w:rPr>
          <w:spacing w:val="-6"/>
        </w:rPr>
        <w:t> </w:t>
      </w:r>
      <w:r>
        <w:rPr/>
        <w:t>опыте,</w:t>
      </w:r>
      <w:r>
        <w:rPr>
          <w:spacing w:val="-6"/>
        </w:rPr>
        <w:t> </w:t>
      </w:r>
      <w:r>
        <w:rPr/>
        <w:t>получаемом</w:t>
      </w:r>
      <w:r>
        <w:rPr>
          <w:spacing w:val="-6"/>
        </w:rPr>
        <w:t> </w:t>
      </w:r>
      <w:r>
        <w:rPr/>
        <w:t>через</w:t>
      </w:r>
      <w:r>
        <w:rPr>
          <w:spacing w:val="-6"/>
        </w:rPr>
        <w:t> </w:t>
      </w:r>
      <w:r>
        <w:rPr/>
        <w:t>разные</w:t>
      </w:r>
      <w:r>
        <w:rPr>
          <w:spacing w:val="-6"/>
        </w:rPr>
        <w:t> </w:t>
      </w:r>
      <w:r>
        <w:rPr/>
        <w:t>органы чувств,</w:t>
      </w:r>
      <w:r>
        <w:rPr>
          <w:spacing w:val="-6"/>
        </w:rPr>
        <w:t> </w:t>
      </w:r>
      <w:r>
        <w:rPr/>
        <w:t>учит</w:t>
      </w:r>
      <w:r>
        <w:rPr>
          <w:spacing w:val="-6"/>
        </w:rPr>
        <w:t> </w:t>
      </w:r>
      <w:r>
        <w:rPr/>
        <w:t>ребенка</w:t>
      </w:r>
      <w:r>
        <w:rPr>
          <w:spacing w:val="-6"/>
        </w:rPr>
        <w:t> </w:t>
      </w:r>
      <w:r>
        <w:rPr/>
        <w:t>быть</w:t>
      </w:r>
      <w:r>
        <w:rPr>
          <w:spacing w:val="-6"/>
        </w:rPr>
        <w:t> </w:t>
      </w:r>
      <w:r>
        <w:rPr/>
        <w:t>в</w:t>
      </w:r>
      <w:r>
        <w:rPr>
          <w:spacing w:val="-6"/>
        </w:rPr>
        <w:t> </w:t>
      </w:r>
      <w:r>
        <w:rPr/>
        <w:t>настоящем</w:t>
      </w:r>
      <w:r>
        <w:rPr>
          <w:spacing w:val="-6"/>
        </w:rPr>
        <w:t> </w:t>
      </w:r>
      <w:r>
        <w:rPr/>
        <w:t>моменте,</w:t>
      </w:r>
      <w:r>
        <w:rPr>
          <w:spacing w:val="-6"/>
        </w:rPr>
        <w:t> </w:t>
      </w:r>
      <w:r>
        <w:rPr/>
        <w:t>помогает</w:t>
      </w:r>
      <w:r>
        <w:rPr>
          <w:spacing w:val="-6"/>
        </w:rPr>
        <w:t> </w:t>
      </w:r>
      <w:r>
        <w:rPr/>
        <w:t>полностью</w:t>
      </w:r>
      <w:r>
        <w:rPr>
          <w:spacing w:val="-6"/>
        </w:rPr>
        <w:t> </w:t>
      </w:r>
      <w:r>
        <w:rPr/>
        <w:t>погружаться</w:t>
      </w:r>
      <w:r>
        <w:rPr>
          <w:spacing w:val="-6"/>
        </w:rPr>
        <w:t> </w:t>
      </w:r>
      <w:r>
        <w:rPr/>
        <w:t>в текущую</w:t>
      </w:r>
      <w:r>
        <w:rPr>
          <w:spacing w:val="-6"/>
        </w:rPr>
        <w:t> </w:t>
      </w:r>
      <w:r>
        <w:rPr/>
        <w:t>деятельность</w:t>
      </w:r>
      <w:r>
        <w:rPr>
          <w:spacing w:val="-6"/>
        </w:rPr>
        <w:t> </w:t>
      </w:r>
      <w:r>
        <w:rPr/>
        <w:t>и</w:t>
      </w:r>
      <w:r>
        <w:rPr>
          <w:spacing w:val="-6"/>
        </w:rPr>
        <w:t> </w:t>
      </w:r>
      <w:r>
        <w:rPr/>
        <w:t>сохранять</w:t>
      </w:r>
      <w:r>
        <w:rPr>
          <w:spacing w:val="-6"/>
        </w:rPr>
        <w:t> </w:t>
      </w:r>
      <w:r>
        <w:rPr/>
        <w:t>внимание,</w:t>
      </w:r>
      <w:r>
        <w:rPr>
          <w:spacing w:val="-6"/>
        </w:rPr>
        <w:t> </w:t>
      </w:r>
      <w:r>
        <w:rPr/>
        <w:t>не</w:t>
      </w:r>
      <w:r>
        <w:rPr>
          <w:spacing w:val="-6"/>
        </w:rPr>
        <w:t> </w:t>
      </w:r>
      <w:r>
        <w:rPr/>
        <w:t>отвлекаясь</w:t>
      </w:r>
      <w:r>
        <w:rPr>
          <w:spacing w:val="-6"/>
        </w:rPr>
        <w:t> </w:t>
      </w:r>
      <w:r>
        <w:rPr/>
        <w:t>на</w:t>
      </w:r>
      <w:r>
        <w:rPr>
          <w:spacing w:val="-6"/>
        </w:rPr>
        <w:t> </w:t>
      </w:r>
      <w:r>
        <w:rPr/>
        <w:t>приходящие</w:t>
      </w:r>
      <w:r>
        <w:rPr>
          <w:spacing w:val="-6"/>
        </w:rPr>
        <w:t> </w:t>
      </w:r>
      <w:r>
        <w:rPr/>
        <w:t>и</w:t>
      </w:r>
      <w:r>
        <w:rPr>
          <w:spacing w:val="-6"/>
        </w:rPr>
        <w:t> </w:t>
      </w:r>
      <w:r>
        <w:rPr/>
        <w:t>уходя- щие мысли (в том числе тревожные).</w:t>
      </w:r>
    </w:p>
    <w:p>
      <w:pPr>
        <w:spacing w:before="111"/>
        <w:ind w:left="425" w:right="0" w:firstLine="0"/>
        <w:jc w:val="both"/>
        <w:rPr>
          <w:b/>
          <w:i/>
          <w:sz w:val="20"/>
        </w:rPr>
      </w:pPr>
      <w:r>
        <w:rPr>
          <w:b/>
          <w:i/>
          <w:sz w:val="20"/>
        </w:rPr>
        <w:t>Техника</w:t>
      </w:r>
      <w:r>
        <w:rPr>
          <w:b/>
          <w:i/>
          <w:spacing w:val="-9"/>
          <w:sz w:val="20"/>
        </w:rPr>
        <w:t> </w:t>
      </w:r>
      <w:r>
        <w:rPr>
          <w:b/>
          <w:i/>
          <w:sz w:val="20"/>
        </w:rPr>
        <w:t>«Раскрась</w:t>
      </w:r>
      <w:r>
        <w:rPr>
          <w:b/>
          <w:i/>
          <w:spacing w:val="-9"/>
          <w:sz w:val="20"/>
        </w:rPr>
        <w:t> </w:t>
      </w:r>
      <w:r>
        <w:rPr>
          <w:b/>
          <w:i/>
          <w:sz w:val="20"/>
        </w:rPr>
        <w:t>свою</w:t>
      </w:r>
      <w:r>
        <w:rPr>
          <w:b/>
          <w:i/>
          <w:spacing w:val="-9"/>
          <w:sz w:val="20"/>
        </w:rPr>
        <w:t> </w:t>
      </w:r>
      <w:r>
        <w:rPr>
          <w:b/>
          <w:i/>
          <w:spacing w:val="-2"/>
          <w:sz w:val="20"/>
        </w:rPr>
        <w:t>жизнь»</w:t>
      </w:r>
    </w:p>
    <w:p>
      <w:pPr>
        <w:pStyle w:val="BodyText"/>
        <w:spacing w:line="242" w:lineRule="auto" w:before="3"/>
      </w:pPr>
      <w:r>
        <w:rPr>
          <w:i/>
          <w:spacing w:val="-2"/>
        </w:rPr>
        <w:t>Цели: </w:t>
      </w:r>
      <w:r>
        <w:rPr>
          <w:spacing w:val="-2"/>
        </w:rPr>
        <w:t>развитие навыков выражения и регулирования эмоций; содействие контакту </w:t>
      </w:r>
      <w:r>
        <w:rPr/>
        <w:t>с ресурсными эмоциями и состояниями.</w:t>
      </w:r>
    </w:p>
    <w:p>
      <w:pPr>
        <w:spacing w:line="229" w:lineRule="exact" w:before="0"/>
        <w:ind w:left="425" w:right="0" w:firstLine="0"/>
        <w:jc w:val="both"/>
        <w:rPr>
          <w:sz w:val="20"/>
        </w:rPr>
      </w:pPr>
      <w:r>
        <w:rPr>
          <w:i/>
          <w:sz w:val="20"/>
        </w:rPr>
        <w:t>Рекомендованный</w:t>
      </w:r>
      <w:r>
        <w:rPr>
          <w:i/>
          <w:spacing w:val="-10"/>
          <w:sz w:val="20"/>
        </w:rPr>
        <w:t> </w:t>
      </w:r>
      <w:r>
        <w:rPr>
          <w:i/>
          <w:sz w:val="20"/>
        </w:rPr>
        <w:t>возраст:</w:t>
      </w:r>
      <w:r>
        <w:rPr>
          <w:i/>
          <w:spacing w:val="-10"/>
          <w:sz w:val="20"/>
        </w:rPr>
        <w:t> </w:t>
      </w:r>
      <w:r>
        <w:rPr>
          <w:sz w:val="20"/>
        </w:rPr>
        <w:t>от</w:t>
      </w:r>
      <w:r>
        <w:rPr>
          <w:spacing w:val="-10"/>
          <w:sz w:val="20"/>
        </w:rPr>
        <w:t> </w:t>
      </w:r>
      <w:r>
        <w:rPr>
          <w:sz w:val="20"/>
        </w:rPr>
        <w:t>6</w:t>
      </w:r>
      <w:r>
        <w:rPr>
          <w:spacing w:val="-10"/>
          <w:sz w:val="20"/>
        </w:rPr>
        <w:t> </w:t>
      </w:r>
      <w:r>
        <w:rPr>
          <w:spacing w:val="-4"/>
          <w:sz w:val="20"/>
        </w:rPr>
        <w:t>лет.</w:t>
      </w:r>
    </w:p>
    <w:p>
      <w:pPr>
        <w:pStyle w:val="BodyText"/>
        <w:spacing w:line="242" w:lineRule="auto" w:before="2"/>
      </w:pPr>
      <w:r>
        <w:rPr>
          <w:i/>
        </w:rPr>
        <w:t>Источник: </w:t>
      </w:r>
      <w:r>
        <w:rPr/>
        <w:t>программа фокусированной на травме когнитивно-бихевиоральной психотерапии (Cohen, Mannarino, Deblinger, 2006) – перевод и адаптация Н.В. Тару- линой (Хухлаев, Павлова и др., 2022).</w:t>
      </w:r>
    </w:p>
    <w:p>
      <w:pPr>
        <w:pStyle w:val="BodyText"/>
        <w:spacing w:line="242" w:lineRule="auto"/>
      </w:pPr>
      <w:r>
        <w:rPr/>
        <w:t>Эта</w:t>
      </w:r>
      <w:r>
        <w:rPr>
          <w:spacing w:val="-4"/>
        </w:rPr>
        <w:t> </w:t>
      </w:r>
      <w:r>
        <w:rPr/>
        <w:t>техника</w:t>
      </w:r>
      <w:r>
        <w:rPr>
          <w:spacing w:val="-4"/>
        </w:rPr>
        <w:t> </w:t>
      </w:r>
      <w:r>
        <w:rPr/>
        <w:t>поможет</w:t>
      </w:r>
      <w:r>
        <w:rPr>
          <w:spacing w:val="-4"/>
        </w:rPr>
        <w:t> </w:t>
      </w:r>
      <w:r>
        <w:rPr/>
        <w:t>ребенку</w:t>
      </w:r>
      <w:r>
        <w:rPr>
          <w:spacing w:val="-4"/>
        </w:rPr>
        <w:t> </w:t>
      </w:r>
      <w:r>
        <w:rPr/>
        <w:t>лучше</w:t>
      </w:r>
      <w:r>
        <w:rPr>
          <w:spacing w:val="-4"/>
        </w:rPr>
        <w:t> </w:t>
      </w:r>
      <w:r>
        <w:rPr/>
        <w:t>распознавать</w:t>
      </w:r>
      <w:r>
        <w:rPr>
          <w:spacing w:val="-4"/>
        </w:rPr>
        <w:t> </w:t>
      </w:r>
      <w:r>
        <w:rPr/>
        <w:t>свои</w:t>
      </w:r>
      <w:r>
        <w:rPr>
          <w:spacing w:val="-4"/>
        </w:rPr>
        <w:t> </w:t>
      </w:r>
      <w:r>
        <w:rPr/>
        <w:t>чувства,</w:t>
      </w:r>
      <w:r>
        <w:rPr>
          <w:spacing w:val="-4"/>
        </w:rPr>
        <w:t> </w:t>
      </w:r>
      <w:r>
        <w:rPr/>
        <w:t>облегчит</w:t>
      </w:r>
      <w:r>
        <w:rPr>
          <w:spacing w:val="-4"/>
        </w:rPr>
        <w:t> </w:t>
      </w:r>
      <w:r>
        <w:rPr/>
        <w:t>доступ к</w:t>
      </w:r>
      <w:r>
        <w:rPr>
          <w:spacing w:val="-11"/>
        </w:rPr>
        <w:t> </w:t>
      </w:r>
      <w:r>
        <w:rPr/>
        <w:t>разнообразным</w:t>
      </w:r>
      <w:r>
        <w:rPr>
          <w:spacing w:val="-11"/>
        </w:rPr>
        <w:t> </w:t>
      </w:r>
      <w:r>
        <w:rPr/>
        <w:t>познаниям</w:t>
      </w:r>
      <w:r>
        <w:rPr>
          <w:spacing w:val="-11"/>
        </w:rPr>
        <w:t> </w:t>
      </w:r>
      <w:r>
        <w:rPr/>
        <w:t>о</w:t>
      </w:r>
      <w:r>
        <w:rPr>
          <w:spacing w:val="-11"/>
        </w:rPr>
        <w:t> </w:t>
      </w:r>
      <w:r>
        <w:rPr/>
        <w:t>них,</w:t>
      </w:r>
      <w:r>
        <w:rPr>
          <w:spacing w:val="-11"/>
        </w:rPr>
        <w:t> </w:t>
      </w:r>
      <w:r>
        <w:rPr/>
        <w:t>а</w:t>
      </w:r>
      <w:r>
        <w:rPr>
          <w:spacing w:val="-11"/>
        </w:rPr>
        <w:t> </w:t>
      </w:r>
      <w:r>
        <w:rPr/>
        <w:t>также</w:t>
      </w:r>
      <w:r>
        <w:rPr>
          <w:spacing w:val="-11"/>
        </w:rPr>
        <w:t> </w:t>
      </w:r>
      <w:r>
        <w:rPr/>
        <w:t>доставит</w:t>
      </w:r>
      <w:r>
        <w:rPr>
          <w:spacing w:val="-11"/>
        </w:rPr>
        <w:t> </w:t>
      </w:r>
      <w:r>
        <w:rPr/>
        <w:t>удовольствие,</w:t>
      </w:r>
      <w:r>
        <w:rPr>
          <w:spacing w:val="-11"/>
        </w:rPr>
        <w:t> </w:t>
      </w:r>
      <w:r>
        <w:rPr/>
        <w:t>потому</w:t>
      </w:r>
      <w:r>
        <w:rPr>
          <w:spacing w:val="-11"/>
        </w:rPr>
        <w:t> </w:t>
      </w:r>
      <w:r>
        <w:rPr/>
        <w:t>что</w:t>
      </w:r>
      <w:r>
        <w:rPr>
          <w:spacing w:val="-11"/>
        </w:rPr>
        <w:t> </w:t>
      </w:r>
      <w:r>
        <w:rPr/>
        <w:t>детям, как правило, нравится рисовать.</w:t>
      </w:r>
    </w:p>
    <w:p>
      <w:pPr>
        <w:pStyle w:val="BodyText"/>
        <w:spacing w:line="242" w:lineRule="auto"/>
      </w:pPr>
      <w:r>
        <w:rPr/>
        <w:t>Понадобятся</w:t>
      </w:r>
      <w:r>
        <w:rPr>
          <w:spacing w:val="-13"/>
        </w:rPr>
        <w:t> </w:t>
      </w:r>
      <w:r>
        <w:rPr/>
        <w:t>материалы</w:t>
      </w:r>
      <w:r>
        <w:rPr>
          <w:spacing w:val="-12"/>
        </w:rPr>
        <w:t> </w:t>
      </w:r>
      <w:r>
        <w:rPr/>
        <w:t>для</w:t>
      </w:r>
      <w:r>
        <w:rPr>
          <w:spacing w:val="-13"/>
        </w:rPr>
        <w:t> </w:t>
      </w:r>
      <w:r>
        <w:rPr/>
        <w:t>рисования</w:t>
      </w:r>
      <w:r>
        <w:rPr>
          <w:spacing w:val="-12"/>
        </w:rPr>
        <w:t> </w:t>
      </w:r>
      <w:r>
        <w:rPr/>
        <w:t>(цветные</w:t>
      </w:r>
      <w:r>
        <w:rPr>
          <w:spacing w:val="-13"/>
        </w:rPr>
        <w:t> </w:t>
      </w:r>
      <w:r>
        <w:rPr/>
        <w:t>карандаши</w:t>
      </w:r>
      <w:r>
        <w:rPr>
          <w:spacing w:val="-12"/>
        </w:rPr>
        <w:t> </w:t>
      </w:r>
      <w:r>
        <w:rPr/>
        <w:t>/</w:t>
      </w:r>
      <w:r>
        <w:rPr>
          <w:spacing w:val="-13"/>
        </w:rPr>
        <w:t> </w:t>
      </w:r>
      <w:r>
        <w:rPr/>
        <w:t>фломастеры</w:t>
      </w:r>
      <w:r>
        <w:rPr>
          <w:spacing w:val="-12"/>
        </w:rPr>
        <w:t> </w:t>
      </w:r>
      <w:r>
        <w:rPr/>
        <w:t>/</w:t>
      </w:r>
      <w:r>
        <w:rPr>
          <w:spacing w:val="-13"/>
        </w:rPr>
        <w:t> </w:t>
      </w:r>
      <w:r>
        <w:rPr/>
        <w:t>воско- вые</w:t>
      </w:r>
      <w:r>
        <w:rPr>
          <w:spacing w:val="-11"/>
        </w:rPr>
        <w:t> </w:t>
      </w:r>
      <w:r>
        <w:rPr/>
        <w:t>мелки),</w:t>
      </w:r>
      <w:r>
        <w:rPr>
          <w:spacing w:val="-11"/>
        </w:rPr>
        <w:t> </w:t>
      </w:r>
      <w:r>
        <w:rPr/>
        <w:t>карточки</w:t>
      </w:r>
      <w:r>
        <w:rPr>
          <w:spacing w:val="-11"/>
        </w:rPr>
        <w:t> </w:t>
      </w:r>
      <w:r>
        <w:rPr/>
        <w:t>с</w:t>
      </w:r>
      <w:r>
        <w:rPr>
          <w:spacing w:val="-11"/>
        </w:rPr>
        <w:t> </w:t>
      </w:r>
      <w:r>
        <w:rPr/>
        <w:t>названиями</w:t>
      </w:r>
      <w:r>
        <w:rPr>
          <w:spacing w:val="-11"/>
        </w:rPr>
        <w:t> </w:t>
      </w:r>
      <w:r>
        <w:rPr/>
        <w:t>чувств</w:t>
      </w:r>
      <w:r>
        <w:rPr>
          <w:spacing w:val="-11"/>
        </w:rPr>
        <w:t> </w:t>
      </w:r>
      <w:r>
        <w:rPr/>
        <w:t>(подойдут</w:t>
      </w:r>
      <w:r>
        <w:rPr>
          <w:spacing w:val="-11"/>
        </w:rPr>
        <w:t> </w:t>
      </w:r>
      <w:r>
        <w:rPr/>
        <w:t>и</w:t>
      </w:r>
      <w:r>
        <w:rPr>
          <w:spacing w:val="-11"/>
        </w:rPr>
        <w:t> </w:t>
      </w:r>
      <w:r>
        <w:rPr/>
        <w:t>сделанные</w:t>
      </w:r>
      <w:r>
        <w:rPr>
          <w:spacing w:val="-11"/>
        </w:rPr>
        <w:t> </w:t>
      </w:r>
      <w:r>
        <w:rPr/>
        <w:t>собственноручно</w:t>
      </w:r>
      <w:r>
        <w:rPr>
          <w:spacing w:val="-11"/>
        </w:rPr>
        <w:t> </w:t>
      </w:r>
      <w:r>
        <w:rPr/>
        <w:t>– слова,</w:t>
      </w:r>
      <w:r>
        <w:rPr>
          <w:spacing w:val="-5"/>
        </w:rPr>
        <w:t> </w:t>
      </w:r>
      <w:r>
        <w:rPr/>
        <w:t>выписанные</w:t>
      </w:r>
      <w:r>
        <w:rPr>
          <w:spacing w:val="-5"/>
        </w:rPr>
        <w:t> </w:t>
      </w:r>
      <w:r>
        <w:rPr/>
        <w:t>на</w:t>
      </w:r>
      <w:r>
        <w:rPr>
          <w:spacing w:val="-5"/>
        </w:rPr>
        <w:t> </w:t>
      </w:r>
      <w:r>
        <w:rPr/>
        <w:t>листочках</w:t>
      </w:r>
      <w:r>
        <w:rPr>
          <w:spacing w:val="-5"/>
        </w:rPr>
        <w:t> </w:t>
      </w:r>
      <w:r>
        <w:rPr/>
        <w:t>бумаги),</w:t>
      </w:r>
      <w:r>
        <w:rPr>
          <w:spacing w:val="-5"/>
        </w:rPr>
        <w:t> </w:t>
      </w:r>
      <w:r>
        <w:rPr/>
        <w:t>а</w:t>
      </w:r>
      <w:r>
        <w:rPr>
          <w:spacing w:val="-5"/>
        </w:rPr>
        <w:t> </w:t>
      </w:r>
      <w:r>
        <w:rPr/>
        <w:t>также</w:t>
      </w:r>
      <w:r>
        <w:rPr>
          <w:spacing w:val="-5"/>
        </w:rPr>
        <w:t> </w:t>
      </w:r>
      <w:r>
        <w:rPr/>
        <w:t>распечатанный</w:t>
      </w:r>
      <w:r>
        <w:rPr>
          <w:spacing w:val="-5"/>
        </w:rPr>
        <w:t> </w:t>
      </w:r>
      <w:r>
        <w:rPr/>
        <w:t>на</w:t>
      </w:r>
      <w:r>
        <w:rPr>
          <w:spacing w:val="-5"/>
        </w:rPr>
        <w:t> </w:t>
      </w:r>
      <w:r>
        <w:rPr/>
        <w:t>листе</w:t>
      </w:r>
      <w:r>
        <w:rPr>
          <w:spacing w:val="-5"/>
        </w:rPr>
        <w:t> </w:t>
      </w:r>
      <w:r>
        <w:rPr/>
        <w:t>А4</w:t>
      </w:r>
      <w:r>
        <w:rPr>
          <w:spacing w:val="-5"/>
        </w:rPr>
        <w:t> </w:t>
      </w:r>
      <w:r>
        <w:rPr/>
        <w:t>силуэт </w:t>
      </w:r>
      <w:r>
        <w:rPr>
          <w:spacing w:val="-2"/>
        </w:rPr>
        <w:t>человека.</w:t>
      </w:r>
    </w:p>
    <w:p>
      <w:pPr>
        <w:pStyle w:val="ListParagraph"/>
        <w:numPr>
          <w:ilvl w:val="0"/>
          <w:numId w:val="198"/>
        </w:numPr>
        <w:tabs>
          <w:tab w:pos="423" w:val="left" w:leader="none"/>
          <w:tab w:pos="425" w:val="left" w:leader="none"/>
        </w:tabs>
        <w:spacing w:line="242" w:lineRule="auto" w:before="0" w:after="0"/>
        <w:ind w:left="425" w:right="139" w:hanging="284"/>
        <w:jc w:val="both"/>
        <w:rPr>
          <w:sz w:val="20"/>
        </w:rPr>
      </w:pPr>
      <w:r>
        <w:rPr>
          <w:sz w:val="20"/>
        </w:rPr>
        <w:t>Психолог</w:t>
      </w:r>
      <w:r>
        <w:rPr>
          <w:spacing w:val="-13"/>
          <w:sz w:val="20"/>
        </w:rPr>
        <w:t> </w:t>
      </w:r>
      <w:r>
        <w:rPr>
          <w:sz w:val="20"/>
        </w:rPr>
        <w:t>просит</w:t>
      </w:r>
      <w:r>
        <w:rPr>
          <w:spacing w:val="-12"/>
          <w:sz w:val="20"/>
        </w:rPr>
        <w:t> </w:t>
      </w:r>
      <w:r>
        <w:rPr>
          <w:sz w:val="20"/>
        </w:rPr>
        <w:t>ребенка</w:t>
      </w:r>
      <w:r>
        <w:rPr>
          <w:spacing w:val="-13"/>
          <w:sz w:val="20"/>
        </w:rPr>
        <w:t> </w:t>
      </w:r>
      <w:r>
        <w:rPr>
          <w:sz w:val="20"/>
        </w:rPr>
        <w:t>соединить</w:t>
      </w:r>
      <w:r>
        <w:rPr>
          <w:spacing w:val="-12"/>
          <w:sz w:val="20"/>
        </w:rPr>
        <w:t> </w:t>
      </w:r>
      <w:r>
        <w:rPr>
          <w:sz w:val="20"/>
        </w:rPr>
        <w:t>разные</w:t>
      </w:r>
      <w:r>
        <w:rPr>
          <w:spacing w:val="-13"/>
          <w:sz w:val="20"/>
        </w:rPr>
        <w:t> </w:t>
      </w:r>
      <w:r>
        <w:rPr>
          <w:sz w:val="20"/>
        </w:rPr>
        <w:t>цвета</w:t>
      </w:r>
      <w:r>
        <w:rPr>
          <w:spacing w:val="-12"/>
          <w:sz w:val="20"/>
        </w:rPr>
        <w:t> </w:t>
      </w:r>
      <w:r>
        <w:rPr>
          <w:sz w:val="20"/>
        </w:rPr>
        <w:t>с</w:t>
      </w:r>
      <w:r>
        <w:rPr>
          <w:spacing w:val="-13"/>
          <w:sz w:val="20"/>
        </w:rPr>
        <w:t> </w:t>
      </w:r>
      <w:r>
        <w:rPr>
          <w:sz w:val="20"/>
        </w:rPr>
        <w:t>конкретными</w:t>
      </w:r>
      <w:r>
        <w:rPr>
          <w:spacing w:val="-12"/>
          <w:sz w:val="20"/>
        </w:rPr>
        <w:t> </w:t>
      </w:r>
      <w:r>
        <w:rPr>
          <w:sz w:val="20"/>
        </w:rPr>
        <w:t>чувствами</w:t>
      </w:r>
      <w:r>
        <w:rPr>
          <w:spacing w:val="-13"/>
          <w:sz w:val="20"/>
        </w:rPr>
        <w:t> </w:t>
      </w:r>
      <w:r>
        <w:rPr>
          <w:sz w:val="20"/>
        </w:rPr>
        <w:t>напи- сав</w:t>
      </w:r>
      <w:r>
        <w:rPr>
          <w:spacing w:val="-9"/>
          <w:sz w:val="20"/>
        </w:rPr>
        <w:t> </w:t>
      </w:r>
      <w:r>
        <w:rPr>
          <w:sz w:val="20"/>
        </w:rPr>
        <w:t>их</w:t>
      </w:r>
      <w:r>
        <w:rPr>
          <w:spacing w:val="-9"/>
          <w:sz w:val="20"/>
        </w:rPr>
        <w:t> </w:t>
      </w:r>
      <w:r>
        <w:rPr>
          <w:sz w:val="20"/>
        </w:rPr>
        <w:t>на</w:t>
      </w:r>
      <w:r>
        <w:rPr>
          <w:spacing w:val="-9"/>
          <w:sz w:val="20"/>
        </w:rPr>
        <w:t> </w:t>
      </w:r>
      <w:r>
        <w:rPr>
          <w:sz w:val="20"/>
        </w:rPr>
        <w:t>бумаге</w:t>
      </w:r>
      <w:r>
        <w:rPr>
          <w:spacing w:val="-9"/>
          <w:sz w:val="20"/>
        </w:rPr>
        <w:t> </w:t>
      </w:r>
      <w:r>
        <w:rPr>
          <w:sz w:val="20"/>
        </w:rPr>
        <w:t>(или</w:t>
      </w:r>
      <w:r>
        <w:rPr>
          <w:spacing w:val="-9"/>
          <w:sz w:val="20"/>
        </w:rPr>
        <w:t> </w:t>
      </w:r>
      <w:r>
        <w:rPr>
          <w:sz w:val="20"/>
        </w:rPr>
        <w:t>раскрасить</w:t>
      </w:r>
      <w:r>
        <w:rPr>
          <w:spacing w:val="-9"/>
          <w:sz w:val="20"/>
        </w:rPr>
        <w:t> </w:t>
      </w:r>
      <w:r>
        <w:rPr>
          <w:sz w:val="20"/>
        </w:rPr>
        <w:t>белые</w:t>
      </w:r>
      <w:r>
        <w:rPr>
          <w:spacing w:val="-9"/>
          <w:sz w:val="20"/>
        </w:rPr>
        <w:t> </w:t>
      </w:r>
      <w:r>
        <w:rPr>
          <w:sz w:val="20"/>
        </w:rPr>
        <w:t>карточки),</w:t>
      </w:r>
      <w:r>
        <w:rPr>
          <w:spacing w:val="-9"/>
          <w:sz w:val="20"/>
        </w:rPr>
        <w:t> </w:t>
      </w:r>
      <w:r>
        <w:rPr>
          <w:sz w:val="20"/>
        </w:rPr>
        <w:t>а</w:t>
      </w:r>
      <w:r>
        <w:rPr>
          <w:spacing w:val="-9"/>
          <w:sz w:val="20"/>
        </w:rPr>
        <w:t> </w:t>
      </w:r>
      <w:r>
        <w:rPr>
          <w:sz w:val="20"/>
        </w:rPr>
        <w:t>затем</w:t>
      </w:r>
      <w:r>
        <w:rPr>
          <w:spacing w:val="-9"/>
          <w:sz w:val="20"/>
        </w:rPr>
        <w:t> </w:t>
      </w:r>
      <w:r>
        <w:rPr>
          <w:sz w:val="20"/>
        </w:rPr>
        <w:t>заполнить</w:t>
      </w:r>
      <w:r>
        <w:rPr>
          <w:spacing w:val="-9"/>
          <w:sz w:val="20"/>
        </w:rPr>
        <w:t> </w:t>
      </w:r>
      <w:r>
        <w:rPr>
          <w:sz w:val="20"/>
        </w:rPr>
        <w:t>цветами</w:t>
      </w:r>
      <w:r>
        <w:rPr>
          <w:spacing w:val="-9"/>
          <w:sz w:val="20"/>
        </w:rPr>
        <w:t> </w:t>
      </w:r>
      <w:r>
        <w:rPr>
          <w:sz w:val="20"/>
        </w:rPr>
        <w:t>раз- ные части человеческой фигуры на заранее подготовленном силуэте – показать, где он чувствует любовь, печаль, гнев и пр.</w:t>
      </w:r>
    </w:p>
    <w:p>
      <w:pPr>
        <w:pStyle w:val="ListParagraph"/>
        <w:numPr>
          <w:ilvl w:val="0"/>
          <w:numId w:val="198"/>
        </w:numPr>
        <w:tabs>
          <w:tab w:pos="423" w:val="left" w:leader="none"/>
          <w:tab w:pos="425" w:val="left" w:leader="none"/>
        </w:tabs>
        <w:spacing w:line="242" w:lineRule="auto" w:before="0" w:after="0"/>
        <w:ind w:left="425" w:right="139" w:hanging="284"/>
        <w:jc w:val="both"/>
        <w:rPr>
          <w:sz w:val="20"/>
        </w:rPr>
      </w:pPr>
      <w:r>
        <w:rPr>
          <w:sz w:val="20"/>
        </w:rPr>
        <w:t>Психолог замечает, каких цветов на рисунке больше, и предлагает ребенку пого- ворить о соответствующих чувствах. Также психолог может аккуратно обсудить выявленные ситуации с родителями или опекунами.</w:t>
      </w:r>
    </w:p>
    <w:p>
      <w:pPr>
        <w:pStyle w:val="BodyText"/>
        <w:spacing w:line="244" w:lineRule="auto"/>
      </w:pPr>
      <w:r>
        <w:rPr>
          <w:spacing w:val="-2"/>
        </w:rPr>
        <w:t>Так,</w:t>
      </w:r>
      <w:r>
        <w:rPr>
          <w:spacing w:val="-8"/>
        </w:rPr>
        <w:t> </w:t>
      </w:r>
      <w:r>
        <w:rPr>
          <w:spacing w:val="-2"/>
        </w:rPr>
        <w:t>рисунок</w:t>
      </w:r>
      <w:r>
        <w:rPr>
          <w:spacing w:val="-8"/>
        </w:rPr>
        <w:t> </w:t>
      </w:r>
      <w:r>
        <w:rPr>
          <w:spacing w:val="-2"/>
        </w:rPr>
        <w:t>одного</w:t>
      </w:r>
      <w:r>
        <w:rPr>
          <w:spacing w:val="-8"/>
        </w:rPr>
        <w:t> </w:t>
      </w:r>
      <w:r>
        <w:rPr>
          <w:spacing w:val="-2"/>
        </w:rPr>
        <w:t>восьмилетнего</w:t>
      </w:r>
      <w:r>
        <w:rPr>
          <w:spacing w:val="-8"/>
        </w:rPr>
        <w:t> </w:t>
      </w:r>
      <w:r>
        <w:rPr>
          <w:spacing w:val="-2"/>
        </w:rPr>
        <w:t>ребенка</w:t>
      </w:r>
      <w:r>
        <w:rPr>
          <w:spacing w:val="-8"/>
        </w:rPr>
        <w:t> </w:t>
      </w:r>
      <w:r>
        <w:rPr>
          <w:spacing w:val="-2"/>
        </w:rPr>
        <w:t>включал</w:t>
      </w:r>
      <w:r>
        <w:rPr>
          <w:spacing w:val="-8"/>
        </w:rPr>
        <w:t> </w:t>
      </w:r>
      <w:r>
        <w:rPr>
          <w:spacing w:val="-2"/>
        </w:rPr>
        <w:t>большую</w:t>
      </w:r>
      <w:r>
        <w:rPr>
          <w:spacing w:val="-8"/>
        </w:rPr>
        <w:t> </w:t>
      </w:r>
      <w:r>
        <w:rPr>
          <w:spacing w:val="-2"/>
        </w:rPr>
        <w:t>область</w:t>
      </w:r>
      <w:r>
        <w:rPr>
          <w:spacing w:val="-8"/>
        </w:rPr>
        <w:t> </w:t>
      </w:r>
      <w:r>
        <w:rPr>
          <w:spacing w:val="-2"/>
        </w:rPr>
        <w:t>синего</w:t>
      </w:r>
      <w:r>
        <w:rPr>
          <w:spacing w:val="-8"/>
        </w:rPr>
        <w:t> </w:t>
      </w:r>
      <w:r>
        <w:rPr>
          <w:spacing w:val="-2"/>
        </w:rPr>
        <w:t>цве- </w:t>
      </w:r>
      <w:r>
        <w:rPr/>
        <w:t>та, которая представляла «чувство беспокойства». Когда психолог спросил, почему ребенок</w:t>
      </w:r>
      <w:r>
        <w:rPr>
          <w:spacing w:val="-3"/>
        </w:rPr>
        <w:t> </w:t>
      </w:r>
      <w:r>
        <w:rPr/>
        <w:t>беспокоится,</w:t>
      </w:r>
      <w:r>
        <w:rPr>
          <w:spacing w:val="-3"/>
        </w:rPr>
        <w:t> </w:t>
      </w:r>
      <w:r>
        <w:rPr/>
        <w:t>тот</w:t>
      </w:r>
      <w:r>
        <w:rPr>
          <w:spacing w:val="-3"/>
        </w:rPr>
        <w:t> </w:t>
      </w:r>
      <w:r>
        <w:rPr/>
        <w:t>признался,</w:t>
      </w:r>
      <w:r>
        <w:rPr>
          <w:spacing w:val="-3"/>
        </w:rPr>
        <w:t> </w:t>
      </w:r>
      <w:r>
        <w:rPr/>
        <w:t>что</w:t>
      </w:r>
      <w:r>
        <w:rPr>
          <w:spacing w:val="-3"/>
        </w:rPr>
        <w:t> </w:t>
      </w:r>
      <w:r>
        <w:rPr/>
        <w:t>другие</w:t>
      </w:r>
      <w:r>
        <w:rPr>
          <w:spacing w:val="-3"/>
        </w:rPr>
        <w:t> </w:t>
      </w:r>
      <w:r>
        <w:rPr/>
        <w:t>дети</w:t>
      </w:r>
      <w:r>
        <w:rPr>
          <w:spacing w:val="-3"/>
        </w:rPr>
        <w:t> </w:t>
      </w:r>
      <w:r>
        <w:rPr/>
        <w:t>в</w:t>
      </w:r>
      <w:r>
        <w:rPr>
          <w:spacing w:val="-3"/>
        </w:rPr>
        <w:t> </w:t>
      </w:r>
      <w:r>
        <w:rPr/>
        <w:t>школе</w:t>
      </w:r>
      <w:r>
        <w:rPr>
          <w:spacing w:val="-3"/>
        </w:rPr>
        <w:t> </w:t>
      </w:r>
      <w:r>
        <w:rPr/>
        <w:t>его</w:t>
      </w:r>
      <w:r>
        <w:rPr>
          <w:spacing w:val="-3"/>
        </w:rPr>
        <w:t> </w:t>
      </w:r>
      <w:r>
        <w:rPr/>
        <w:t>дразнят.</w:t>
      </w:r>
      <w:r>
        <w:rPr>
          <w:spacing w:val="-3"/>
        </w:rPr>
        <w:t> </w:t>
      </w:r>
      <w:r>
        <w:rPr/>
        <w:t>Обсуждая </w:t>
      </w:r>
      <w:r>
        <w:rPr>
          <w:spacing w:val="-2"/>
        </w:rPr>
        <w:t>эту</w:t>
      </w:r>
      <w:r>
        <w:rPr>
          <w:spacing w:val="-7"/>
        </w:rPr>
        <w:t> </w:t>
      </w:r>
      <w:r>
        <w:rPr>
          <w:spacing w:val="-2"/>
        </w:rPr>
        <w:t>ситуацию</w:t>
      </w:r>
      <w:r>
        <w:rPr>
          <w:spacing w:val="-7"/>
        </w:rPr>
        <w:t> </w:t>
      </w:r>
      <w:r>
        <w:rPr>
          <w:spacing w:val="-2"/>
        </w:rPr>
        <w:t>с</w:t>
      </w:r>
      <w:r>
        <w:rPr>
          <w:spacing w:val="-7"/>
        </w:rPr>
        <w:t> </w:t>
      </w:r>
      <w:r>
        <w:rPr>
          <w:spacing w:val="-2"/>
        </w:rPr>
        <w:t>матерью</w:t>
      </w:r>
      <w:r>
        <w:rPr>
          <w:spacing w:val="-7"/>
        </w:rPr>
        <w:t> </w:t>
      </w:r>
      <w:r>
        <w:rPr>
          <w:spacing w:val="-2"/>
        </w:rPr>
        <w:t>ребенка,</w:t>
      </w:r>
      <w:r>
        <w:rPr>
          <w:spacing w:val="-7"/>
        </w:rPr>
        <w:t> </w:t>
      </w:r>
      <w:r>
        <w:rPr>
          <w:spacing w:val="-2"/>
        </w:rPr>
        <w:t>психолог</w:t>
      </w:r>
      <w:r>
        <w:rPr>
          <w:spacing w:val="-7"/>
        </w:rPr>
        <w:t> </w:t>
      </w:r>
      <w:r>
        <w:rPr>
          <w:spacing w:val="-2"/>
        </w:rPr>
        <w:t>выяснил,</w:t>
      </w:r>
      <w:r>
        <w:rPr>
          <w:spacing w:val="-7"/>
        </w:rPr>
        <w:t> </w:t>
      </w:r>
      <w:r>
        <w:rPr>
          <w:spacing w:val="-2"/>
        </w:rPr>
        <w:t>что</w:t>
      </w:r>
      <w:r>
        <w:rPr>
          <w:spacing w:val="-7"/>
        </w:rPr>
        <w:t> </w:t>
      </w:r>
      <w:r>
        <w:rPr>
          <w:spacing w:val="-2"/>
        </w:rPr>
        <w:t>дразнил</w:t>
      </w:r>
      <w:r>
        <w:rPr>
          <w:spacing w:val="-7"/>
        </w:rPr>
        <w:t> </w:t>
      </w:r>
      <w:r>
        <w:rPr>
          <w:spacing w:val="-2"/>
        </w:rPr>
        <w:t>только</w:t>
      </w:r>
      <w:r>
        <w:rPr>
          <w:spacing w:val="-7"/>
        </w:rPr>
        <w:t> </w:t>
      </w:r>
      <w:r>
        <w:rPr>
          <w:spacing w:val="-2"/>
        </w:rPr>
        <w:t>один</w:t>
      </w:r>
      <w:r>
        <w:rPr>
          <w:spacing w:val="-7"/>
        </w:rPr>
        <w:t> </w:t>
      </w:r>
      <w:r>
        <w:rPr>
          <w:spacing w:val="-2"/>
        </w:rPr>
        <w:t>человек, </w:t>
      </w:r>
      <w:r>
        <w:rPr/>
        <w:t>но</w:t>
      </w:r>
      <w:r>
        <w:rPr>
          <w:spacing w:val="-8"/>
        </w:rPr>
        <w:t> </w:t>
      </w:r>
      <w:r>
        <w:rPr/>
        <w:t>из-за</w:t>
      </w:r>
      <w:r>
        <w:rPr>
          <w:spacing w:val="-8"/>
        </w:rPr>
        <w:t> </w:t>
      </w:r>
      <w:r>
        <w:rPr/>
        <w:t>недавнего</w:t>
      </w:r>
      <w:r>
        <w:rPr>
          <w:spacing w:val="-8"/>
        </w:rPr>
        <w:t> </w:t>
      </w:r>
      <w:r>
        <w:rPr/>
        <w:t>травматичного</w:t>
      </w:r>
      <w:r>
        <w:rPr>
          <w:spacing w:val="-8"/>
        </w:rPr>
        <w:t> </w:t>
      </w:r>
      <w:r>
        <w:rPr/>
        <w:t>опыта</w:t>
      </w:r>
      <w:r>
        <w:rPr>
          <w:spacing w:val="-8"/>
        </w:rPr>
        <w:t> </w:t>
      </w:r>
      <w:r>
        <w:rPr/>
        <w:t>ребенок</w:t>
      </w:r>
      <w:r>
        <w:rPr>
          <w:spacing w:val="-8"/>
        </w:rPr>
        <w:t> </w:t>
      </w:r>
      <w:r>
        <w:rPr/>
        <w:t>стал</w:t>
      </w:r>
      <w:r>
        <w:rPr>
          <w:spacing w:val="-8"/>
        </w:rPr>
        <w:t> </w:t>
      </w:r>
      <w:r>
        <w:rPr/>
        <w:t>гиперчувствительным</w:t>
      </w:r>
      <w:r>
        <w:rPr>
          <w:spacing w:val="-8"/>
        </w:rPr>
        <w:t> </w:t>
      </w:r>
      <w:r>
        <w:rPr/>
        <w:t>к</w:t>
      </w:r>
      <w:r>
        <w:rPr>
          <w:spacing w:val="-8"/>
        </w:rPr>
        <w:t> </w:t>
      </w:r>
      <w:r>
        <w:rPr/>
        <w:t>отвер- жению</w:t>
      </w:r>
      <w:r>
        <w:rPr>
          <w:spacing w:val="-5"/>
        </w:rPr>
        <w:t> </w:t>
      </w:r>
      <w:r>
        <w:rPr/>
        <w:t>сверстников.</w:t>
      </w:r>
      <w:r>
        <w:rPr>
          <w:spacing w:val="-5"/>
        </w:rPr>
        <w:t> </w:t>
      </w:r>
      <w:r>
        <w:rPr/>
        <w:t>В</w:t>
      </w:r>
      <w:r>
        <w:rPr>
          <w:spacing w:val="-5"/>
        </w:rPr>
        <w:t> </w:t>
      </w:r>
      <w:r>
        <w:rPr/>
        <w:t>дальнейшем</w:t>
      </w:r>
      <w:r>
        <w:rPr>
          <w:spacing w:val="-5"/>
        </w:rPr>
        <w:t> </w:t>
      </w:r>
      <w:r>
        <w:rPr/>
        <w:t>эта</w:t>
      </w:r>
      <w:r>
        <w:rPr>
          <w:spacing w:val="-5"/>
        </w:rPr>
        <w:t> </w:t>
      </w:r>
      <w:r>
        <w:rPr/>
        <w:t>информация</w:t>
      </w:r>
      <w:r>
        <w:rPr>
          <w:spacing w:val="-5"/>
        </w:rPr>
        <w:t> </w:t>
      </w:r>
      <w:r>
        <w:rPr/>
        <w:t>очень</w:t>
      </w:r>
      <w:r>
        <w:rPr>
          <w:spacing w:val="-5"/>
        </w:rPr>
        <w:t> </w:t>
      </w:r>
      <w:r>
        <w:rPr/>
        <w:t>пригодилась</w:t>
      </w:r>
      <w:r>
        <w:rPr>
          <w:spacing w:val="-5"/>
        </w:rPr>
        <w:t> </w:t>
      </w:r>
      <w:r>
        <w:rPr/>
        <w:t>при</w:t>
      </w:r>
      <w:r>
        <w:rPr>
          <w:spacing w:val="-5"/>
        </w:rPr>
        <w:t> </w:t>
      </w:r>
      <w:r>
        <w:rPr/>
        <w:t>терапии.</w:t>
      </w:r>
    </w:p>
    <w:p>
      <w:pPr>
        <w:spacing w:line="244" w:lineRule="auto" w:before="163"/>
        <w:ind w:left="425" w:right="0" w:firstLine="0"/>
        <w:jc w:val="left"/>
        <w:rPr>
          <w:b/>
          <w:sz w:val="20"/>
        </w:rPr>
      </w:pPr>
      <w:r>
        <w:rPr>
          <w:b/>
          <w:sz w:val="20"/>
        </w:rPr>
        <w:t>Компонент 3.1. Линия жизни (прошлое, настоящее и будущее): интеграция переживаний травмы</w:t>
      </w:r>
    </w:p>
    <w:p>
      <w:pPr>
        <w:pStyle w:val="BodyText"/>
        <w:spacing w:line="229" w:lineRule="exact"/>
        <w:ind w:left="425" w:right="0" w:firstLine="0"/>
        <w:jc w:val="left"/>
      </w:pPr>
      <w:r>
        <w:rPr>
          <w:i/>
          <w:spacing w:val="-2"/>
        </w:rPr>
        <w:t>Цель:</w:t>
      </w:r>
      <w:r>
        <w:rPr>
          <w:i/>
          <w:spacing w:val="-10"/>
        </w:rPr>
        <w:t> </w:t>
      </w:r>
      <w:r>
        <w:rPr>
          <w:spacing w:val="-2"/>
        </w:rPr>
        <w:t>интеграция</w:t>
      </w:r>
      <w:r>
        <w:rPr>
          <w:spacing w:val="-10"/>
        </w:rPr>
        <w:t> </w:t>
      </w:r>
      <w:r>
        <w:rPr>
          <w:spacing w:val="-2"/>
        </w:rPr>
        <w:t>жизненной</w:t>
      </w:r>
      <w:r>
        <w:rPr>
          <w:spacing w:val="-9"/>
        </w:rPr>
        <w:t> </w:t>
      </w:r>
      <w:r>
        <w:rPr>
          <w:spacing w:val="-2"/>
        </w:rPr>
        <w:t>истории</w:t>
      </w:r>
      <w:r>
        <w:rPr>
          <w:spacing w:val="-10"/>
        </w:rPr>
        <w:t> </w:t>
      </w:r>
      <w:r>
        <w:rPr>
          <w:spacing w:val="-2"/>
        </w:rPr>
        <w:t>ребенка,</w:t>
      </w:r>
      <w:r>
        <w:rPr>
          <w:spacing w:val="-9"/>
        </w:rPr>
        <w:t> </w:t>
      </w:r>
      <w:r>
        <w:rPr>
          <w:spacing w:val="-2"/>
        </w:rPr>
        <w:t>включая</w:t>
      </w:r>
      <w:r>
        <w:rPr>
          <w:spacing w:val="-10"/>
        </w:rPr>
        <w:t> </w:t>
      </w:r>
      <w:r>
        <w:rPr>
          <w:spacing w:val="-2"/>
        </w:rPr>
        <w:t>опыт</w:t>
      </w:r>
      <w:r>
        <w:rPr>
          <w:spacing w:val="-9"/>
        </w:rPr>
        <w:t> </w:t>
      </w:r>
      <w:r>
        <w:rPr>
          <w:spacing w:val="-2"/>
        </w:rPr>
        <w:t>переживания</w:t>
      </w:r>
      <w:r>
        <w:rPr>
          <w:spacing w:val="-10"/>
        </w:rPr>
        <w:t> </w:t>
      </w:r>
      <w:r>
        <w:rPr>
          <w:spacing w:val="-2"/>
        </w:rPr>
        <w:t>травмы.</w:t>
      </w:r>
    </w:p>
    <w:p>
      <w:pPr>
        <w:spacing w:before="4"/>
        <w:ind w:left="425" w:right="0" w:firstLine="0"/>
        <w:jc w:val="left"/>
        <w:rPr>
          <w:i/>
          <w:sz w:val="20"/>
        </w:rPr>
      </w:pPr>
      <w:r>
        <w:rPr>
          <w:i/>
          <w:spacing w:val="-2"/>
          <w:sz w:val="20"/>
        </w:rPr>
        <w:t>Задачи:</w:t>
      </w:r>
    </w:p>
    <w:p>
      <w:pPr>
        <w:pStyle w:val="ListParagraph"/>
        <w:numPr>
          <w:ilvl w:val="0"/>
          <w:numId w:val="199"/>
        </w:numPr>
        <w:tabs>
          <w:tab w:pos="425" w:val="left" w:leader="none"/>
        </w:tabs>
        <w:spacing w:line="244" w:lineRule="auto" w:before="4" w:after="0"/>
        <w:ind w:left="425" w:right="139" w:hanging="284"/>
        <w:jc w:val="left"/>
        <w:rPr>
          <w:sz w:val="20"/>
        </w:rPr>
      </w:pPr>
      <w:r>
        <w:rPr>
          <w:sz w:val="20"/>
        </w:rPr>
        <w:t>осмысление</w:t>
      </w:r>
      <w:r>
        <w:rPr>
          <w:spacing w:val="-8"/>
          <w:sz w:val="20"/>
        </w:rPr>
        <w:t> </w:t>
      </w:r>
      <w:r>
        <w:rPr>
          <w:sz w:val="20"/>
        </w:rPr>
        <w:t>и</w:t>
      </w:r>
      <w:r>
        <w:rPr>
          <w:spacing w:val="-8"/>
          <w:sz w:val="20"/>
        </w:rPr>
        <w:t> </w:t>
      </w:r>
      <w:r>
        <w:rPr>
          <w:sz w:val="20"/>
        </w:rPr>
        <w:t>переосмысление</w:t>
      </w:r>
      <w:r>
        <w:rPr>
          <w:spacing w:val="-8"/>
          <w:sz w:val="20"/>
        </w:rPr>
        <w:t> </w:t>
      </w:r>
      <w:r>
        <w:rPr>
          <w:sz w:val="20"/>
        </w:rPr>
        <w:t>прошлого</w:t>
      </w:r>
      <w:r>
        <w:rPr>
          <w:spacing w:val="-8"/>
          <w:sz w:val="20"/>
        </w:rPr>
        <w:t> </w:t>
      </w:r>
      <w:r>
        <w:rPr>
          <w:sz w:val="20"/>
        </w:rPr>
        <w:t>жизненного</w:t>
      </w:r>
      <w:r>
        <w:rPr>
          <w:spacing w:val="-8"/>
          <w:sz w:val="20"/>
        </w:rPr>
        <w:t> </w:t>
      </w:r>
      <w:r>
        <w:rPr>
          <w:sz w:val="20"/>
        </w:rPr>
        <w:t>опыта</w:t>
      </w:r>
      <w:r>
        <w:rPr>
          <w:spacing w:val="-8"/>
          <w:sz w:val="20"/>
        </w:rPr>
        <w:t> </w:t>
      </w:r>
      <w:r>
        <w:rPr>
          <w:sz w:val="20"/>
        </w:rPr>
        <w:t>(включающего</w:t>
      </w:r>
      <w:r>
        <w:rPr>
          <w:spacing w:val="-8"/>
          <w:sz w:val="20"/>
        </w:rPr>
        <w:t> </w:t>
      </w:r>
      <w:r>
        <w:rPr>
          <w:sz w:val="20"/>
        </w:rPr>
        <w:t>пере- живание травматических событий);</w:t>
      </w:r>
    </w:p>
    <w:p>
      <w:pPr>
        <w:pStyle w:val="ListParagraph"/>
        <w:numPr>
          <w:ilvl w:val="0"/>
          <w:numId w:val="199"/>
        </w:numPr>
        <w:tabs>
          <w:tab w:pos="425" w:val="left" w:leader="none"/>
        </w:tabs>
        <w:spacing w:line="244" w:lineRule="auto" w:before="0" w:after="0"/>
        <w:ind w:left="425" w:right="140" w:hanging="284"/>
        <w:jc w:val="left"/>
        <w:rPr>
          <w:sz w:val="20"/>
        </w:rPr>
      </w:pPr>
      <w:r>
        <w:rPr>
          <w:sz w:val="20"/>
        </w:rPr>
        <w:t>интеграция</w:t>
      </w:r>
      <w:r>
        <w:rPr>
          <w:spacing w:val="-5"/>
          <w:sz w:val="20"/>
        </w:rPr>
        <w:t> </w:t>
      </w:r>
      <w:r>
        <w:rPr>
          <w:sz w:val="20"/>
        </w:rPr>
        <w:t>переживаний,</w:t>
      </w:r>
      <w:r>
        <w:rPr>
          <w:spacing w:val="-5"/>
          <w:sz w:val="20"/>
        </w:rPr>
        <w:t> </w:t>
      </w:r>
      <w:r>
        <w:rPr>
          <w:sz w:val="20"/>
        </w:rPr>
        <w:t>аспектов</w:t>
      </w:r>
      <w:r>
        <w:rPr>
          <w:spacing w:val="-5"/>
          <w:sz w:val="20"/>
        </w:rPr>
        <w:t> </w:t>
      </w:r>
      <w:r>
        <w:rPr>
          <w:sz w:val="20"/>
        </w:rPr>
        <w:t>жизненной</w:t>
      </w:r>
      <w:r>
        <w:rPr>
          <w:spacing w:val="-5"/>
          <w:sz w:val="20"/>
        </w:rPr>
        <w:t> </w:t>
      </w:r>
      <w:r>
        <w:rPr>
          <w:sz w:val="20"/>
        </w:rPr>
        <w:t>истории,</w:t>
      </w:r>
      <w:r>
        <w:rPr>
          <w:spacing w:val="-5"/>
          <w:sz w:val="20"/>
        </w:rPr>
        <w:t> </w:t>
      </w:r>
      <w:r>
        <w:rPr>
          <w:sz w:val="20"/>
        </w:rPr>
        <w:t>представлений</w:t>
      </w:r>
      <w:r>
        <w:rPr>
          <w:spacing w:val="-5"/>
          <w:sz w:val="20"/>
        </w:rPr>
        <w:t> </w:t>
      </w:r>
      <w:r>
        <w:rPr>
          <w:sz w:val="20"/>
        </w:rPr>
        <w:t>о</w:t>
      </w:r>
      <w:r>
        <w:rPr>
          <w:spacing w:val="-5"/>
          <w:sz w:val="20"/>
        </w:rPr>
        <w:t> </w:t>
      </w:r>
      <w:r>
        <w:rPr>
          <w:sz w:val="20"/>
        </w:rPr>
        <w:t>себе</w:t>
      </w:r>
      <w:r>
        <w:rPr>
          <w:spacing w:val="-5"/>
          <w:sz w:val="20"/>
        </w:rPr>
        <w:t> </w:t>
      </w:r>
      <w:r>
        <w:rPr>
          <w:sz w:val="20"/>
        </w:rPr>
        <w:t>и</w:t>
      </w:r>
      <w:r>
        <w:rPr>
          <w:spacing w:val="-5"/>
          <w:sz w:val="20"/>
        </w:rPr>
        <w:t> </w:t>
      </w:r>
      <w:r>
        <w:rPr>
          <w:sz w:val="20"/>
        </w:rPr>
        <w:t>о мире, обеспечивающая основу формирования идентичности.</w:t>
      </w:r>
    </w:p>
    <w:p>
      <w:pPr>
        <w:pStyle w:val="BodyText"/>
        <w:spacing w:line="237" w:lineRule="auto"/>
      </w:pPr>
      <w:r>
        <w:rPr/>
        <w:t>Содействие в представлении собственного конструктивного будущего, в поста- новке значимых личных целей, а также в создании конкретной структуры для помо- щи в достижении этих целей.</w:t>
      </w:r>
    </w:p>
    <w:p>
      <w:pPr>
        <w:pStyle w:val="BodyText"/>
        <w:spacing w:after="0" w:line="237" w:lineRule="auto"/>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spacing w:before="109"/>
        <w:ind w:left="425" w:right="0" w:firstLine="0"/>
        <w:jc w:val="left"/>
        <w:rPr>
          <w:b/>
          <w:i/>
          <w:sz w:val="20"/>
        </w:rPr>
      </w:pPr>
      <w:r>
        <w:rPr>
          <w:b/>
          <w:i/>
          <w:sz w:val="20"/>
        </w:rPr>
        <w:t>Техника</w:t>
      </w:r>
      <w:r>
        <w:rPr>
          <w:b/>
          <w:i/>
          <w:spacing w:val="-6"/>
          <w:sz w:val="20"/>
        </w:rPr>
        <w:t> </w:t>
      </w:r>
      <w:r>
        <w:rPr>
          <w:b/>
          <w:i/>
          <w:sz w:val="20"/>
        </w:rPr>
        <w:t>«Пицца</w:t>
      </w:r>
      <w:r>
        <w:rPr>
          <w:b/>
          <w:i/>
          <w:spacing w:val="-5"/>
          <w:sz w:val="20"/>
        </w:rPr>
        <w:t> </w:t>
      </w:r>
      <w:r>
        <w:rPr>
          <w:b/>
          <w:i/>
          <w:sz w:val="20"/>
        </w:rPr>
        <w:t>по</w:t>
      </w:r>
      <w:r>
        <w:rPr>
          <w:b/>
          <w:i/>
          <w:spacing w:val="-5"/>
          <w:sz w:val="20"/>
        </w:rPr>
        <w:t> </w:t>
      </w:r>
      <w:r>
        <w:rPr>
          <w:b/>
          <w:i/>
          <w:spacing w:val="-2"/>
          <w:sz w:val="20"/>
        </w:rPr>
        <w:t>кусочкам»</w:t>
      </w:r>
    </w:p>
    <w:p>
      <w:pPr>
        <w:pStyle w:val="BodyText"/>
        <w:spacing w:line="235" w:lineRule="auto"/>
      </w:pPr>
      <w:r>
        <w:rPr>
          <w:i/>
        </w:rPr>
        <w:t>Цель: </w:t>
      </w:r>
      <w:r>
        <w:rPr/>
        <w:t>содействие в постановке значимых личных целей, а также в создании кон- кретной структуры для помощи в достижении этих целей.</w:t>
      </w:r>
    </w:p>
    <w:p>
      <w:pPr>
        <w:spacing w:line="235" w:lineRule="auto" w:before="1"/>
        <w:ind w:left="141" w:right="139" w:firstLine="283"/>
        <w:jc w:val="both"/>
        <w:rPr>
          <w:sz w:val="20"/>
        </w:rPr>
      </w:pPr>
      <w:r>
        <w:rPr>
          <w:i/>
          <w:sz w:val="20"/>
        </w:rPr>
        <w:t>Рекомендованный возраст: </w:t>
      </w:r>
      <w:r>
        <w:rPr>
          <w:sz w:val="20"/>
        </w:rPr>
        <w:t>от 11–12 лет, в зависимости от способностей к целе- </w:t>
      </w:r>
      <w:r>
        <w:rPr>
          <w:spacing w:val="-2"/>
          <w:sz w:val="20"/>
        </w:rPr>
        <w:t>полаганию.</w:t>
      </w:r>
    </w:p>
    <w:p>
      <w:pPr>
        <w:pStyle w:val="BodyText"/>
        <w:spacing w:line="230" w:lineRule="auto"/>
      </w:pPr>
      <w:r>
        <w:rPr>
          <w:i/>
        </w:rPr>
        <w:t>Источник: </w:t>
      </w:r>
      <w:r>
        <w:rPr/>
        <w:t>Тайм-менеджмент для школьников (Рыбакова, 2022), адаптация О.Е. Хухлаева (Хухлаев, Павлова и др., 2022).</w:t>
      </w:r>
    </w:p>
    <w:p>
      <w:pPr>
        <w:pStyle w:val="BodyText"/>
        <w:spacing w:line="230" w:lineRule="auto"/>
      </w:pPr>
      <w:r>
        <w:rPr/>
        <w:t>Техника применяется после постановки жизненной цели и предназначена для помощи в ее достижении. Она основана на простой идее: значительное дело часто кажется</w:t>
      </w:r>
      <w:r>
        <w:rPr>
          <w:spacing w:val="-8"/>
        </w:rPr>
        <w:t> </w:t>
      </w:r>
      <w:r>
        <w:rPr/>
        <w:t>неподъемным,</w:t>
      </w:r>
      <w:r>
        <w:rPr>
          <w:spacing w:val="-8"/>
        </w:rPr>
        <w:t> </w:t>
      </w:r>
      <w:r>
        <w:rPr/>
        <w:t>пока</w:t>
      </w:r>
      <w:r>
        <w:rPr>
          <w:spacing w:val="-8"/>
        </w:rPr>
        <w:t> </w:t>
      </w:r>
      <w:r>
        <w:rPr/>
        <w:t>его</w:t>
      </w:r>
      <w:r>
        <w:rPr>
          <w:spacing w:val="-8"/>
        </w:rPr>
        <w:t> </w:t>
      </w:r>
      <w:r>
        <w:rPr/>
        <w:t>не</w:t>
      </w:r>
      <w:r>
        <w:rPr>
          <w:spacing w:val="-8"/>
        </w:rPr>
        <w:t> </w:t>
      </w:r>
      <w:r>
        <w:rPr/>
        <w:t>разделить</w:t>
      </w:r>
      <w:r>
        <w:rPr>
          <w:spacing w:val="-8"/>
        </w:rPr>
        <w:t> </w:t>
      </w:r>
      <w:r>
        <w:rPr/>
        <w:t>на</w:t>
      </w:r>
      <w:r>
        <w:rPr>
          <w:spacing w:val="-8"/>
        </w:rPr>
        <w:t> </w:t>
      </w:r>
      <w:r>
        <w:rPr/>
        <w:t>некрупные</w:t>
      </w:r>
      <w:r>
        <w:rPr>
          <w:spacing w:val="-8"/>
        </w:rPr>
        <w:t> </w:t>
      </w:r>
      <w:r>
        <w:rPr/>
        <w:t>этапы.</w:t>
      </w:r>
      <w:r>
        <w:rPr>
          <w:spacing w:val="-8"/>
        </w:rPr>
        <w:t> </w:t>
      </w:r>
      <w:r>
        <w:rPr/>
        <w:t>Каждый</w:t>
      </w:r>
      <w:r>
        <w:rPr>
          <w:spacing w:val="-8"/>
        </w:rPr>
        <w:t> </w:t>
      </w:r>
      <w:r>
        <w:rPr/>
        <w:t>из</w:t>
      </w:r>
      <w:r>
        <w:rPr>
          <w:spacing w:val="-8"/>
        </w:rPr>
        <w:t> </w:t>
      </w:r>
      <w:r>
        <w:rPr/>
        <w:t>этапов сам по себе оказывается более выполнимым.</w:t>
      </w:r>
    </w:p>
    <w:p>
      <w:pPr>
        <w:pStyle w:val="BodyText"/>
        <w:spacing w:line="230" w:lineRule="auto"/>
      </w:pPr>
      <w:r>
        <w:rPr/>
        <w:t>Ключевой</w:t>
      </w:r>
      <w:r>
        <w:rPr>
          <w:spacing w:val="-7"/>
        </w:rPr>
        <w:t> </w:t>
      </w:r>
      <w:r>
        <w:rPr/>
        <w:t>здесь</w:t>
      </w:r>
      <w:r>
        <w:rPr>
          <w:spacing w:val="-7"/>
        </w:rPr>
        <w:t> </w:t>
      </w:r>
      <w:r>
        <w:rPr/>
        <w:t>является</w:t>
      </w:r>
      <w:r>
        <w:rPr>
          <w:spacing w:val="-7"/>
        </w:rPr>
        <w:t> </w:t>
      </w:r>
      <w:r>
        <w:rPr/>
        <w:t>метафора</w:t>
      </w:r>
      <w:r>
        <w:rPr>
          <w:spacing w:val="-7"/>
        </w:rPr>
        <w:t> </w:t>
      </w:r>
      <w:r>
        <w:rPr/>
        <w:t>пиццы,</w:t>
      </w:r>
      <w:r>
        <w:rPr>
          <w:spacing w:val="-7"/>
        </w:rPr>
        <w:t> </w:t>
      </w:r>
      <w:r>
        <w:rPr/>
        <w:t>которую</w:t>
      </w:r>
      <w:r>
        <w:rPr>
          <w:spacing w:val="-7"/>
        </w:rPr>
        <w:t> </w:t>
      </w:r>
      <w:r>
        <w:rPr/>
        <w:t>мы</w:t>
      </w:r>
      <w:r>
        <w:rPr>
          <w:spacing w:val="-7"/>
        </w:rPr>
        <w:t> </w:t>
      </w:r>
      <w:r>
        <w:rPr/>
        <w:t>делим</w:t>
      </w:r>
      <w:r>
        <w:rPr>
          <w:spacing w:val="-7"/>
        </w:rPr>
        <w:t> </w:t>
      </w:r>
      <w:r>
        <w:rPr/>
        <w:t>на</w:t>
      </w:r>
      <w:r>
        <w:rPr>
          <w:spacing w:val="-7"/>
        </w:rPr>
        <w:t> </w:t>
      </w:r>
      <w:r>
        <w:rPr/>
        <w:t>кусочки.</w:t>
      </w:r>
      <w:r>
        <w:rPr>
          <w:spacing w:val="-7"/>
        </w:rPr>
        <w:t> </w:t>
      </w:r>
      <w:r>
        <w:rPr/>
        <w:t>Так</w:t>
      </w:r>
      <w:r>
        <w:rPr>
          <w:spacing w:val="-7"/>
        </w:rPr>
        <w:t> </w:t>
      </w:r>
      <w:r>
        <w:rPr/>
        <w:t>же и крупное дело нужно делить на ряд небольших: чтобы достигнуть цели, мы делим движение к ней на этапы – «кусочки пиццы».</w:t>
      </w:r>
    </w:p>
    <w:p>
      <w:pPr>
        <w:pStyle w:val="BodyText"/>
        <w:spacing w:line="230" w:lineRule="auto"/>
        <w:ind w:right="140"/>
      </w:pPr>
      <w:r>
        <w:rPr/>
        <w:t>Для проведения техники понадобится лист бумаги формата А3 или А2, а также материалы для рисования.</w:t>
      </w:r>
    </w:p>
    <w:p>
      <w:pPr>
        <w:pStyle w:val="ListParagraph"/>
        <w:numPr>
          <w:ilvl w:val="0"/>
          <w:numId w:val="200"/>
        </w:numPr>
        <w:tabs>
          <w:tab w:pos="423" w:val="left" w:leader="none"/>
          <w:tab w:pos="425" w:val="left" w:leader="none"/>
        </w:tabs>
        <w:spacing w:line="230" w:lineRule="auto" w:before="47" w:after="0"/>
        <w:ind w:left="425" w:right="140" w:hanging="284"/>
        <w:jc w:val="both"/>
        <w:rPr>
          <w:sz w:val="20"/>
        </w:rPr>
      </w:pPr>
      <w:r>
        <w:rPr>
          <w:sz w:val="20"/>
        </w:rPr>
        <w:t>Психолог предлагает ребенку нарисовать пиццу и озаглавить ее в соответствии с жизненной целью (большим делом, требующим решения).</w:t>
      </w:r>
    </w:p>
    <w:p>
      <w:pPr>
        <w:pStyle w:val="ListParagraph"/>
        <w:numPr>
          <w:ilvl w:val="0"/>
          <w:numId w:val="200"/>
        </w:numPr>
        <w:tabs>
          <w:tab w:pos="423" w:val="left" w:leader="none"/>
          <w:tab w:pos="425" w:val="left" w:leader="none"/>
        </w:tabs>
        <w:spacing w:line="230" w:lineRule="auto" w:before="55" w:after="0"/>
        <w:ind w:left="425" w:right="139" w:hanging="284"/>
        <w:jc w:val="both"/>
        <w:rPr>
          <w:sz w:val="20"/>
        </w:rPr>
      </w:pPr>
      <w:r>
        <w:rPr>
          <w:sz w:val="20"/>
        </w:rPr>
        <w:t>Ребенок</w:t>
      </w:r>
      <w:r>
        <w:rPr>
          <w:spacing w:val="-8"/>
          <w:sz w:val="20"/>
        </w:rPr>
        <w:t> </w:t>
      </w:r>
      <w:r>
        <w:rPr>
          <w:sz w:val="20"/>
        </w:rPr>
        <w:t>делит</w:t>
      </w:r>
      <w:r>
        <w:rPr>
          <w:spacing w:val="-8"/>
          <w:sz w:val="20"/>
        </w:rPr>
        <w:t> </w:t>
      </w:r>
      <w:r>
        <w:rPr>
          <w:sz w:val="20"/>
        </w:rPr>
        <w:t>«пиццу»-цель</w:t>
      </w:r>
      <w:r>
        <w:rPr>
          <w:spacing w:val="-8"/>
          <w:sz w:val="20"/>
        </w:rPr>
        <w:t> </w:t>
      </w:r>
      <w:r>
        <w:rPr>
          <w:sz w:val="20"/>
        </w:rPr>
        <w:t>на</w:t>
      </w:r>
      <w:r>
        <w:rPr>
          <w:spacing w:val="-8"/>
          <w:sz w:val="20"/>
        </w:rPr>
        <w:t> </w:t>
      </w:r>
      <w:r>
        <w:rPr>
          <w:sz w:val="20"/>
        </w:rPr>
        <w:t>кусочки,</w:t>
      </w:r>
      <w:r>
        <w:rPr>
          <w:spacing w:val="-8"/>
          <w:sz w:val="20"/>
        </w:rPr>
        <w:t> </w:t>
      </w:r>
      <w:r>
        <w:rPr>
          <w:sz w:val="20"/>
        </w:rPr>
        <w:t>подписывает</w:t>
      </w:r>
      <w:r>
        <w:rPr>
          <w:spacing w:val="-8"/>
          <w:sz w:val="20"/>
        </w:rPr>
        <w:t> </w:t>
      </w:r>
      <w:r>
        <w:rPr>
          <w:sz w:val="20"/>
        </w:rPr>
        <w:t>каждый</w:t>
      </w:r>
      <w:r>
        <w:rPr>
          <w:spacing w:val="-8"/>
          <w:sz w:val="20"/>
        </w:rPr>
        <w:t> </w:t>
      </w:r>
      <w:r>
        <w:rPr>
          <w:sz w:val="20"/>
        </w:rPr>
        <w:t>из</w:t>
      </w:r>
      <w:r>
        <w:rPr>
          <w:spacing w:val="-8"/>
          <w:sz w:val="20"/>
        </w:rPr>
        <w:t> </w:t>
      </w:r>
      <w:r>
        <w:rPr>
          <w:sz w:val="20"/>
        </w:rPr>
        <w:t>них</w:t>
      </w:r>
      <w:r>
        <w:rPr>
          <w:spacing w:val="-8"/>
          <w:sz w:val="20"/>
        </w:rPr>
        <w:t> </w:t>
      </w:r>
      <w:r>
        <w:rPr>
          <w:sz w:val="20"/>
        </w:rPr>
        <w:t>и</w:t>
      </w:r>
      <w:r>
        <w:rPr>
          <w:spacing w:val="-8"/>
          <w:sz w:val="20"/>
        </w:rPr>
        <w:t> </w:t>
      </w:r>
      <w:r>
        <w:rPr>
          <w:sz w:val="20"/>
        </w:rPr>
        <w:t>определя- ет</w:t>
      </w:r>
      <w:r>
        <w:rPr>
          <w:spacing w:val="-13"/>
          <w:sz w:val="20"/>
        </w:rPr>
        <w:t> </w:t>
      </w:r>
      <w:r>
        <w:rPr>
          <w:sz w:val="20"/>
        </w:rPr>
        <w:t>результат:</w:t>
      </w:r>
      <w:r>
        <w:rPr>
          <w:spacing w:val="-12"/>
          <w:sz w:val="20"/>
        </w:rPr>
        <w:t> </w:t>
      </w:r>
      <w:r>
        <w:rPr>
          <w:sz w:val="20"/>
        </w:rPr>
        <w:t>как</w:t>
      </w:r>
      <w:r>
        <w:rPr>
          <w:spacing w:val="-13"/>
          <w:sz w:val="20"/>
        </w:rPr>
        <w:t> </w:t>
      </w:r>
      <w:r>
        <w:rPr>
          <w:sz w:val="20"/>
        </w:rPr>
        <w:t>можно</w:t>
      </w:r>
      <w:r>
        <w:rPr>
          <w:spacing w:val="-12"/>
          <w:sz w:val="20"/>
        </w:rPr>
        <w:t> </w:t>
      </w:r>
      <w:r>
        <w:rPr>
          <w:sz w:val="20"/>
        </w:rPr>
        <w:t>понять,</w:t>
      </w:r>
      <w:r>
        <w:rPr>
          <w:spacing w:val="-13"/>
          <w:sz w:val="20"/>
        </w:rPr>
        <w:t> </w:t>
      </w:r>
      <w:r>
        <w:rPr>
          <w:sz w:val="20"/>
        </w:rPr>
        <w:t>что</w:t>
      </w:r>
      <w:r>
        <w:rPr>
          <w:spacing w:val="-12"/>
          <w:sz w:val="20"/>
        </w:rPr>
        <w:t> </w:t>
      </w:r>
      <w:r>
        <w:rPr>
          <w:sz w:val="20"/>
        </w:rPr>
        <w:t>«кусок</w:t>
      </w:r>
      <w:r>
        <w:rPr>
          <w:spacing w:val="-13"/>
          <w:sz w:val="20"/>
        </w:rPr>
        <w:t> </w:t>
      </w:r>
      <w:r>
        <w:rPr>
          <w:sz w:val="20"/>
        </w:rPr>
        <w:t>съеден»,</w:t>
      </w:r>
      <w:r>
        <w:rPr>
          <w:spacing w:val="-12"/>
          <w:sz w:val="20"/>
        </w:rPr>
        <w:t> </w:t>
      </w:r>
      <w:r>
        <w:rPr>
          <w:sz w:val="20"/>
        </w:rPr>
        <w:t>а</w:t>
      </w:r>
      <w:r>
        <w:rPr>
          <w:spacing w:val="-13"/>
          <w:sz w:val="20"/>
        </w:rPr>
        <w:t> </w:t>
      </w:r>
      <w:r>
        <w:rPr>
          <w:sz w:val="20"/>
        </w:rPr>
        <w:t>дело</w:t>
      </w:r>
      <w:r>
        <w:rPr>
          <w:spacing w:val="-12"/>
          <w:sz w:val="20"/>
        </w:rPr>
        <w:t> </w:t>
      </w:r>
      <w:r>
        <w:rPr>
          <w:sz w:val="20"/>
        </w:rPr>
        <w:t>сделано.</w:t>
      </w:r>
      <w:r>
        <w:rPr>
          <w:spacing w:val="-13"/>
          <w:sz w:val="20"/>
        </w:rPr>
        <w:t> </w:t>
      </w:r>
      <w:r>
        <w:rPr>
          <w:sz w:val="20"/>
        </w:rPr>
        <w:t>Психолог</w:t>
      </w:r>
      <w:r>
        <w:rPr>
          <w:spacing w:val="-12"/>
          <w:sz w:val="20"/>
        </w:rPr>
        <w:t> </w:t>
      </w:r>
      <w:r>
        <w:rPr>
          <w:sz w:val="20"/>
        </w:rPr>
        <w:t>сле- дит, чтобы достижение каждой из маленьких целей было максимально простым, понятным и достижимым.</w:t>
      </w:r>
    </w:p>
    <w:p>
      <w:pPr>
        <w:pStyle w:val="ListParagraph"/>
        <w:numPr>
          <w:ilvl w:val="0"/>
          <w:numId w:val="200"/>
        </w:numPr>
        <w:tabs>
          <w:tab w:pos="423" w:val="left" w:leader="none"/>
          <w:tab w:pos="425" w:val="left" w:leader="none"/>
        </w:tabs>
        <w:spacing w:line="230" w:lineRule="auto" w:before="54" w:after="0"/>
        <w:ind w:left="425" w:right="139" w:hanging="284"/>
        <w:jc w:val="both"/>
        <w:rPr>
          <w:sz w:val="20"/>
        </w:rPr>
      </w:pPr>
      <w:r>
        <w:rPr>
          <w:sz w:val="20"/>
        </w:rPr>
        <w:t>На следующих встречах психолог может интересоваться, как идет процесс «пое- дания», то есть выполнения дел.</w:t>
      </w:r>
    </w:p>
    <w:p>
      <w:pPr>
        <w:pStyle w:val="BodyText"/>
        <w:spacing w:line="230" w:lineRule="auto"/>
      </w:pPr>
      <w:r>
        <w:rPr/>
        <w:t>Метафора</w:t>
      </w:r>
      <w:r>
        <w:rPr>
          <w:spacing w:val="-13"/>
        </w:rPr>
        <w:t> </w:t>
      </w:r>
      <w:r>
        <w:rPr/>
        <w:t>пиццы</w:t>
      </w:r>
      <w:r>
        <w:rPr>
          <w:spacing w:val="-12"/>
        </w:rPr>
        <w:t> </w:t>
      </w:r>
      <w:r>
        <w:rPr/>
        <w:t>создает</w:t>
      </w:r>
      <w:r>
        <w:rPr>
          <w:spacing w:val="-13"/>
        </w:rPr>
        <w:t> </w:t>
      </w:r>
      <w:r>
        <w:rPr/>
        <w:t>игровой/шуточный</w:t>
      </w:r>
      <w:r>
        <w:rPr>
          <w:spacing w:val="-12"/>
        </w:rPr>
        <w:t> </w:t>
      </w:r>
      <w:r>
        <w:rPr/>
        <w:t>контекст</w:t>
      </w:r>
      <w:r>
        <w:rPr>
          <w:spacing w:val="-13"/>
        </w:rPr>
        <w:t> </w:t>
      </w:r>
      <w:r>
        <w:rPr/>
        <w:t>выполнения</w:t>
      </w:r>
      <w:r>
        <w:rPr>
          <w:spacing w:val="-12"/>
        </w:rPr>
        <w:t> </w:t>
      </w:r>
      <w:r>
        <w:rPr/>
        <w:t>сложных</w:t>
      </w:r>
      <w:r>
        <w:rPr>
          <w:spacing w:val="-13"/>
        </w:rPr>
        <w:t> </w:t>
      </w:r>
      <w:r>
        <w:rPr/>
        <w:t>задач и помогает сделать контроль со стороны взрослого менее неприятным и более под- </w:t>
      </w:r>
      <w:r>
        <w:rPr>
          <w:spacing w:val="-2"/>
        </w:rPr>
        <w:t>держивающим.</w:t>
      </w:r>
    </w:p>
    <w:p>
      <w:pPr>
        <w:spacing w:line="225" w:lineRule="exact" w:before="102"/>
        <w:ind w:left="425" w:right="0" w:firstLine="0"/>
        <w:jc w:val="both"/>
        <w:rPr>
          <w:b/>
          <w:i/>
          <w:sz w:val="20"/>
        </w:rPr>
      </w:pPr>
      <w:r>
        <w:rPr>
          <w:b/>
          <w:i/>
          <w:spacing w:val="-2"/>
          <w:sz w:val="20"/>
        </w:rPr>
        <w:t>Техника</w:t>
      </w:r>
      <w:r>
        <w:rPr>
          <w:b/>
          <w:i/>
          <w:spacing w:val="-3"/>
          <w:sz w:val="20"/>
        </w:rPr>
        <w:t> </w:t>
      </w:r>
      <w:r>
        <w:rPr>
          <w:b/>
          <w:i/>
          <w:spacing w:val="-2"/>
          <w:sz w:val="20"/>
        </w:rPr>
        <w:t>«Коллаж</w:t>
      </w:r>
      <w:r>
        <w:rPr>
          <w:b/>
          <w:i/>
          <w:spacing w:val="-3"/>
          <w:sz w:val="20"/>
        </w:rPr>
        <w:t> </w:t>
      </w:r>
      <w:r>
        <w:rPr>
          <w:b/>
          <w:i/>
          <w:spacing w:val="-2"/>
          <w:sz w:val="20"/>
        </w:rPr>
        <w:t>ценностей»</w:t>
      </w:r>
    </w:p>
    <w:p>
      <w:pPr>
        <w:pStyle w:val="BodyText"/>
        <w:spacing w:line="230" w:lineRule="auto" w:before="2"/>
        <w:ind w:right="140"/>
      </w:pPr>
      <w:r>
        <w:rPr>
          <w:i/>
        </w:rPr>
        <w:t>Цель:</w:t>
      </w:r>
      <w:r>
        <w:rPr>
          <w:i/>
          <w:spacing w:val="-13"/>
        </w:rPr>
        <w:t> </w:t>
      </w:r>
      <w:r>
        <w:rPr/>
        <w:t>интеграция</w:t>
      </w:r>
      <w:r>
        <w:rPr>
          <w:spacing w:val="-12"/>
        </w:rPr>
        <w:t> </w:t>
      </w:r>
      <w:r>
        <w:rPr/>
        <w:t>переживаний,</w:t>
      </w:r>
      <w:r>
        <w:rPr>
          <w:spacing w:val="-13"/>
        </w:rPr>
        <w:t> </w:t>
      </w:r>
      <w:r>
        <w:rPr/>
        <w:t>аспектов</w:t>
      </w:r>
      <w:r>
        <w:rPr>
          <w:spacing w:val="-12"/>
        </w:rPr>
        <w:t> </w:t>
      </w:r>
      <w:r>
        <w:rPr/>
        <w:t>жизненной</w:t>
      </w:r>
      <w:r>
        <w:rPr>
          <w:spacing w:val="-13"/>
        </w:rPr>
        <w:t> </w:t>
      </w:r>
      <w:r>
        <w:rPr/>
        <w:t>истории,</w:t>
      </w:r>
      <w:r>
        <w:rPr>
          <w:spacing w:val="-12"/>
        </w:rPr>
        <w:t> </w:t>
      </w:r>
      <w:r>
        <w:rPr/>
        <w:t>самопредставлений и представлений о мире, обеспечивающая основу формирования идентичности.</w:t>
      </w:r>
    </w:p>
    <w:p>
      <w:pPr>
        <w:spacing w:line="216" w:lineRule="exact" w:before="0"/>
        <w:ind w:left="425" w:right="0" w:firstLine="0"/>
        <w:jc w:val="both"/>
        <w:rPr>
          <w:sz w:val="20"/>
        </w:rPr>
      </w:pPr>
      <w:r>
        <w:rPr>
          <w:i/>
          <w:sz w:val="20"/>
        </w:rPr>
        <w:t>Рекомендованный</w:t>
      </w:r>
      <w:r>
        <w:rPr>
          <w:i/>
          <w:spacing w:val="-10"/>
          <w:sz w:val="20"/>
        </w:rPr>
        <w:t> </w:t>
      </w:r>
      <w:r>
        <w:rPr>
          <w:i/>
          <w:sz w:val="20"/>
        </w:rPr>
        <w:t>возраст:</w:t>
      </w:r>
      <w:r>
        <w:rPr>
          <w:i/>
          <w:spacing w:val="-10"/>
          <w:sz w:val="20"/>
        </w:rPr>
        <w:t> </w:t>
      </w:r>
      <w:r>
        <w:rPr>
          <w:sz w:val="20"/>
        </w:rPr>
        <w:t>от</w:t>
      </w:r>
      <w:r>
        <w:rPr>
          <w:spacing w:val="-10"/>
          <w:sz w:val="20"/>
        </w:rPr>
        <w:t> </w:t>
      </w:r>
      <w:r>
        <w:rPr>
          <w:sz w:val="20"/>
        </w:rPr>
        <w:t>10</w:t>
      </w:r>
      <w:r>
        <w:rPr>
          <w:spacing w:val="-10"/>
          <w:sz w:val="20"/>
        </w:rPr>
        <w:t> </w:t>
      </w:r>
      <w:r>
        <w:rPr>
          <w:spacing w:val="-4"/>
          <w:sz w:val="20"/>
        </w:rPr>
        <w:t>лет.</w:t>
      </w:r>
    </w:p>
    <w:p>
      <w:pPr>
        <w:pStyle w:val="BodyText"/>
        <w:spacing w:line="230" w:lineRule="auto" w:before="3"/>
      </w:pPr>
      <w:r>
        <w:rPr>
          <w:i/>
        </w:rPr>
        <w:t>Источник: </w:t>
      </w:r>
      <w:r>
        <w:rPr/>
        <w:t>широко применяемая в тренингах идея, описана О.Е. Хухлаевым (Хухлаев, Павлова и др., 2022).</w:t>
      </w:r>
    </w:p>
    <w:p>
      <w:pPr>
        <w:pStyle w:val="BodyText"/>
        <w:spacing w:line="230" w:lineRule="auto"/>
      </w:pPr>
      <w:r>
        <w:rPr/>
        <w:t>Для работы понадобится большое количество старых журналов с цветными кар- тинками. Важно, чтобы они были тематически разными и в них встречались макси- мально разнообразные иллюстрации. Также заранее необходимо заготовить ножни- цы, клей и лист ватмана или бумаги формата А4 или А3.</w:t>
      </w:r>
    </w:p>
    <w:p>
      <w:pPr>
        <w:pStyle w:val="ListParagraph"/>
        <w:numPr>
          <w:ilvl w:val="0"/>
          <w:numId w:val="201"/>
        </w:numPr>
        <w:tabs>
          <w:tab w:pos="423" w:val="left" w:leader="none"/>
          <w:tab w:pos="425" w:val="left" w:leader="none"/>
        </w:tabs>
        <w:spacing w:line="230" w:lineRule="auto" w:before="0" w:after="0"/>
        <w:ind w:left="425" w:right="139" w:hanging="284"/>
        <w:jc w:val="both"/>
        <w:rPr>
          <w:sz w:val="20"/>
        </w:rPr>
      </w:pPr>
      <w:r>
        <w:rPr>
          <w:sz w:val="20"/>
        </w:rPr>
        <w:t>Психолог предлагает ребенку рассмотреть журналы и вырезать из них картинки, которые обозначают:</w:t>
      </w:r>
    </w:p>
    <w:p>
      <w:pPr>
        <w:pStyle w:val="BodyText"/>
        <w:spacing w:line="216" w:lineRule="exact"/>
        <w:ind w:left="425" w:right="0" w:firstLine="0"/>
        <w:jc w:val="left"/>
      </w:pPr>
      <w:r>
        <w:rPr/>
        <w:t>−</w:t>
      </w:r>
      <w:r>
        <w:rPr>
          <w:spacing w:val="-3"/>
        </w:rPr>
        <w:t> </w:t>
      </w:r>
      <w:r>
        <w:rPr/>
        <w:t>что</w:t>
      </w:r>
      <w:r>
        <w:rPr>
          <w:spacing w:val="-2"/>
        </w:rPr>
        <w:t> </w:t>
      </w:r>
      <w:r>
        <w:rPr/>
        <w:t>для</w:t>
      </w:r>
      <w:r>
        <w:rPr>
          <w:spacing w:val="-3"/>
        </w:rPr>
        <w:t> </w:t>
      </w:r>
      <w:r>
        <w:rPr/>
        <w:t>него</w:t>
      </w:r>
      <w:r>
        <w:rPr>
          <w:spacing w:val="-2"/>
        </w:rPr>
        <w:t> </w:t>
      </w:r>
      <w:r>
        <w:rPr/>
        <w:t>важно</w:t>
      </w:r>
      <w:r>
        <w:rPr>
          <w:spacing w:val="-2"/>
        </w:rPr>
        <w:t> </w:t>
      </w:r>
      <w:r>
        <w:rPr/>
        <w:t>в</w:t>
      </w:r>
      <w:r>
        <w:rPr>
          <w:spacing w:val="-3"/>
        </w:rPr>
        <w:t> </w:t>
      </w:r>
      <w:r>
        <w:rPr>
          <w:spacing w:val="-2"/>
        </w:rPr>
        <w:t>жизни,</w:t>
      </w:r>
    </w:p>
    <w:p>
      <w:pPr>
        <w:pStyle w:val="BodyText"/>
        <w:spacing w:line="220" w:lineRule="exact"/>
        <w:ind w:left="425" w:right="0" w:firstLine="0"/>
        <w:jc w:val="left"/>
      </w:pPr>
      <w:r>
        <w:rPr/>
        <w:t>−</w:t>
      </w:r>
      <w:r>
        <w:rPr>
          <w:spacing w:val="-2"/>
        </w:rPr>
        <w:t> </w:t>
      </w:r>
      <w:r>
        <w:rPr/>
        <w:t>что</w:t>
      </w:r>
      <w:r>
        <w:rPr>
          <w:spacing w:val="-2"/>
        </w:rPr>
        <w:t> </w:t>
      </w:r>
      <w:r>
        <w:rPr/>
        <w:t>он</w:t>
      </w:r>
      <w:r>
        <w:rPr>
          <w:spacing w:val="-2"/>
        </w:rPr>
        <w:t> </w:t>
      </w:r>
      <w:r>
        <w:rPr/>
        <w:t>считает</w:t>
      </w:r>
      <w:r>
        <w:rPr>
          <w:spacing w:val="-1"/>
        </w:rPr>
        <w:t> </w:t>
      </w:r>
      <w:r>
        <w:rPr>
          <w:spacing w:val="-2"/>
        </w:rPr>
        <w:t>правильным,</w:t>
      </w:r>
    </w:p>
    <w:p>
      <w:pPr>
        <w:pStyle w:val="BodyText"/>
        <w:spacing w:line="223" w:lineRule="exact"/>
        <w:ind w:left="425" w:right="0" w:firstLine="0"/>
        <w:jc w:val="left"/>
      </w:pPr>
      <w:r>
        <w:rPr/>
        <w:t>−</w:t>
      </w:r>
      <w:r>
        <w:rPr>
          <w:spacing w:val="-1"/>
        </w:rPr>
        <w:t> </w:t>
      </w:r>
      <w:r>
        <w:rPr/>
        <w:t>что</w:t>
      </w:r>
      <w:r>
        <w:rPr>
          <w:spacing w:val="-1"/>
        </w:rPr>
        <w:t> </w:t>
      </w:r>
      <w:r>
        <w:rPr/>
        <w:t>–</w:t>
      </w:r>
      <w:r>
        <w:rPr>
          <w:spacing w:val="-1"/>
        </w:rPr>
        <w:t> </w:t>
      </w:r>
      <w:r>
        <w:rPr>
          <w:spacing w:val="-2"/>
        </w:rPr>
        <w:t>неправильным.</w:t>
      </w:r>
    </w:p>
    <w:p>
      <w:pPr>
        <w:pStyle w:val="BodyText"/>
        <w:spacing w:line="226" w:lineRule="exact"/>
        <w:ind w:left="425" w:right="0" w:firstLine="0"/>
        <w:jc w:val="left"/>
      </w:pPr>
      <w:r>
        <w:rPr/>
        <w:t>Для</w:t>
      </w:r>
      <w:r>
        <w:rPr>
          <w:spacing w:val="-4"/>
        </w:rPr>
        <w:t> </w:t>
      </w:r>
      <w:r>
        <w:rPr/>
        <w:t>ребенка</w:t>
      </w:r>
      <w:r>
        <w:rPr>
          <w:spacing w:val="-3"/>
        </w:rPr>
        <w:t> </w:t>
      </w:r>
      <w:r>
        <w:rPr/>
        <w:t>постарше</w:t>
      </w:r>
      <w:r>
        <w:rPr>
          <w:spacing w:val="-3"/>
        </w:rPr>
        <w:t> </w:t>
      </w:r>
      <w:r>
        <w:rPr/>
        <w:t>можно</w:t>
      </w:r>
      <w:r>
        <w:rPr>
          <w:spacing w:val="-3"/>
        </w:rPr>
        <w:t> </w:t>
      </w:r>
      <w:r>
        <w:rPr/>
        <w:t>дополнить</w:t>
      </w:r>
      <w:r>
        <w:rPr>
          <w:spacing w:val="-3"/>
        </w:rPr>
        <w:t> </w:t>
      </w:r>
      <w:r>
        <w:rPr>
          <w:spacing w:val="-2"/>
        </w:rPr>
        <w:t>инструкцию:</w:t>
      </w:r>
    </w:p>
    <w:p>
      <w:pPr>
        <w:spacing w:line="235" w:lineRule="auto" w:before="0"/>
        <w:ind w:left="141" w:right="0" w:firstLine="283"/>
        <w:jc w:val="left"/>
        <w:rPr>
          <w:i/>
          <w:sz w:val="20"/>
        </w:rPr>
      </w:pPr>
      <w:r>
        <w:rPr>
          <w:i/>
          <w:sz w:val="20"/>
        </w:rPr>
        <w:t>– Вырежи картинки, которые могут сказать что-то о тебе, отражают твои </w:t>
      </w:r>
      <w:r>
        <w:rPr>
          <w:i/>
          <w:spacing w:val="-2"/>
          <w:sz w:val="20"/>
        </w:rPr>
        <w:t>особенности.</w:t>
      </w:r>
    </w:p>
    <w:p>
      <w:pPr>
        <w:spacing w:after="0" w:line="235" w:lineRule="auto"/>
        <w:jc w:val="left"/>
        <w:rPr>
          <w:i/>
          <w:sz w:val="20"/>
        </w:rPr>
        <w:sectPr>
          <w:pgSz w:w="8400" w:h="11910"/>
          <w:pgMar w:header="0" w:footer="529" w:top="400" w:bottom="740" w:left="425" w:right="425"/>
        </w:sectPr>
      </w:pPr>
    </w:p>
    <w:p>
      <w:pPr>
        <w:pStyle w:val="ListParagraph"/>
        <w:numPr>
          <w:ilvl w:val="1"/>
          <w:numId w:val="201"/>
        </w:numPr>
        <w:tabs>
          <w:tab w:pos="455" w:val="left" w:leader="none"/>
        </w:tabs>
        <w:spacing w:line="240" w:lineRule="auto" w:before="80" w:after="0"/>
        <w:ind w:left="455" w:right="0" w:hanging="314"/>
        <w:jc w:val="both"/>
        <w:rPr>
          <w:rFonts w:ascii="Georgia" w:hAnsi="Georgia"/>
          <w:sz w:val="18"/>
        </w:rPr>
      </w:pPr>
      <w:r>
        <w:rPr>
          <w:rFonts w:ascii="Georgia" w:hAnsi="Georgia"/>
          <w:color w:val="231F20"/>
          <w:sz w:val="18"/>
        </w:rPr>
        <w:t>Приемы</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2"/>
          <w:sz w:val="18"/>
        </w:rPr>
        <w:t> </w:t>
      </w:r>
      <w:r>
        <w:rPr>
          <w:rFonts w:ascii="Georgia" w:hAnsi="Georgia"/>
          <w:color w:val="231F20"/>
          <w:sz w:val="18"/>
        </w:rPr>
        <w:t>с</w:t>
      </w:r>
      <w:r>
        <w:rPr>
          <w:rFonts w:ascii="Georgia" w:hAnsi="Georgia"/>
          <w:color w:val="231F20"/>
          <w:spacing w:val="2"/>
          <w:sz w:val="18"/>
        </w:rPr>
        <w:t> </w:t>
      </w:r>
      <w:r>
        <w:rPr>
          <w:rFonts w:ascii="Georgia" w:hAnsi="Georgia"/>
          <w:color w:val="231F20"/>
          <w:sz w:val="18"/>
        </w:rPr>
        <w:t>психологической</w:t>
      </w:r>
      <w:r>
        <w:rPr>
          <w:rFonts w:ascii="Georgia" w:hAnsi="Georgia"/>
          <w:color w:val="231F20"/>
          <w:spacing w:val="2"/>
          <w:sz w:val="18"/>
        </w:rPr>
        <w:t> </w:t>
      </w:r>
      <w:r>
        <w:rPr>
          <w:rFonts w:ascii="Georgia" w:hAnsi="Georgia"/>
          <w:color w:val="231F20"/>
          <w:spacing w:val="-2"/>
          <w:sz w:val="18"/>
        </w:rPr>
        <w:t>травмой</w:t>
      </w:r>
    </w:p>
    <w:p>
      <w:pPr>
        <w:pStyle w:val="ListParagraph"/>
        <w:numPr>
          <w:ilvl w:val="0"/>
          <w:numId w:val="201"/>
        </w:numPr>
        <w:tabs>
          <w:tab w:pos="373" w:val="left" w:leader="none"/>
          <w:tab w:pos="425" w:val="left" w:leader="none"/>
        </w:tabs>
        <w:spacing w:line="240" w:lineRule="auto" w:before="112" w:after="0"/>
        <w:ind w:left="425" w:right="139" w:hanging="284"/>
        <w:jc w:val="both"/>
        <w:rPr>
          <w:sz w:val="20"/>
        </w:rPr>
      </w:pPr>
      <w:r>
        <w:rPr>
          <w:sz w:val="20"/>
        </w:rPr>
        <w:t>Из этих картинок ребенку предлагается сделать коллаж на тему «Мои ценности: что для меня важно в жизни».</w:t>
      </w:r>
    </w:p>
    <w:p>
      <w:pPr>
        <w:pStyle w:val="ListParagraph"/>
        <w:numPr>
          <w:ilvl w:val="0"/>
          <w:numId w:val="201"/>
        </w:numPr>
        <w:tabs>
          <w:tab w:pos="370" w:val="left" w:leader="none"/>
          <w:tab w:pos="425" w:val="left" w:leader="none"/>
        </w:tabs>
        <w:spacing w:line="240" w:lineRule="auto" w:before="57" w:after="0"/>
        <w:ind w:left="425" w:right="139" w:hanging="284"/>
        <w:jc w:val="both"/>
        <w:rPr>
          <w:sz w:val="20"/>
        </w:rPr>
      </w:pPr>
      <w:r>
        <w:rPr>
          <w:sz w:val="20"/>
        </w:rPr>
        <w:t>После завершения работы психолог расспрашивает ребенка о содержании карти- нок,</w:t>
      </w:r>
      <w:r>
        <w:rPr>
          <w:spacing w:val="-13"/>
          <w:sz w:val="20"/>
        </w:rPr>
        <w:t> </w:t>
      </w:r>
      <w:r>
        <w:rPr>
          <w:sz w:val="20"/>
        </w:rPr>
        <w:t>стараясь</w:t>
      </w:r>
      <w:r>
        <w:rPr>
          <w:spacing w:val="-12"/>
          <w:sz w:val="20"/>
        </w:rPr>
        <w:t> </w:t>
      </w:r>
      <w:r>
        <w:rPr>
          <w:sz w:val="20"/>
        </w:rPr>
        <w:t>вывести</w:t>
      </w:r>
      <w:r>
        <w:rPr>
          <w:spacing w:val="-13"/>
          <w:sz w:val="20"/>
        </w:rPr>
        <w:t> </w:t>
      </w:r>
      <w:r>
        <w:rPr>
          <w:sz w:val="20"/>
        </w:rPr>
        <w:t>разговор</w:t>
      </w:r>
      <w:r>
        <w:rPr>
          <w:spacing w:val="-12"/>
          <w:sz w:val="20"/>
        </w:rPr>
        <w:t> </w:t>
      </w:r>
      <w:r>
        <w:rPr>
          <w:sz w:val="20"/>
        </w:rPr>
        <w:t>на</w:t>
      </w:r>
      <w:r>
        <w:rPr>
          <w:spacing w:val="-13"/>
          <w:sz w:val="20"/>
        </w:rPr>
        <w:t> </w:t>
      </w:r>
      <w:r>
        <w:rPr>
          <w:sz w:val="20"/>
        </w:rPr>
        <w:t>ценности.</w:t>
      </w:r>
      <w:r>
        <w:rPr>
          <w:spacing w:val="-12"/>
          <w:sz w:val="20"/>
        </w:rPr>
        <w:t> </w:t>
      </w:r>
      <w:r>
        <w:rPr>
          <w:sz w:val="20"/>
        </w:rPr>
        <w:t>При</w:t>
      </w:r>
      <w:r>
        <w:rPr>
          <w:spacing w:val="-13"/>
          <w:sz w:val="20"/>
        </w:rPr>
        <w:t> </w:t>
      </w:r>
      <w:r>
        <w:rPr>
          <w:sz w:val="20"/>
        </w:rPr>
        <w:t>этом</w:t>
      </w:r>
      <w:r>
        <w:rPr>
          <w:spacing w:val="-12"/>
          <w:sz w:val="20"/>
        </w:rPr>
        <w:t> </w:t>
      </w:r>
      <w:r>
        <w:rPr>
          <w:sz w:val="20"/>
        </w:rPr>
        <w:t>не</w:t>
      </w:r>
      <w:r>
        <w:rPr>
          <w:spacing w:val="-13"/>
          <w:sz w:val="20"/>
        </w:rPr>
        <w:t> </w:t>
      </w:r>
      <w:r>
        <w:rPr>
          <w:sz w:val="20"/>
        </w:rPr>
        <w:t>обязательно</w:t>
      </w:r>
      <w:r>
        <w:rPr>
          <w:spacing w:val="-12"/>
          <w:sz w:val="20"/>
        </w:rPr>
        <w:t> </w:t>
      </w:r>
      <w:r>
        <w:rPr>
          <w:sz w:val="20"/>
        </w:rPr>
        <w:t>употреблять термин</w:t>
      </w:r>
      <w:r>
        <w:rPr>
          <w:spacing w:val="-13"/>
          <w:sz w:val="20"/>
        </w:rPr>
        <w:t> </w:t>
      </w:r>
      <w:r>
        <w:rPr>
          <w:sz w:val="20"/>
        </w:rPr>
        <w:t>«ценности»:</w:t>
      </w:r>
      <w:r>
        <w:rPr>
          <w:spacing w:val="-12"/>
          <w:sz w:val="20"/>
        </w:rPr>
        <w:t> </w:t>
      </w:r>
      <w:r>
        <w:rPr>
          <w:sz w:val="20"/>
        </w:rPr>
        <w:t>можно</w:t>
      </w:r>
      <w:r>
        <w:rPr>
          <w:spacing w:val="-13"/>
          <w:sz w:val="20"/>
        </w:rPr>
        <w:t> </w:t>
      </w:r>
      <w:r>
        <w:rPr>
          <w:sz w:val="20"/>
        </w:rPr>
        <w:t>обсуждать,</w:t>
      </w:r>
      <w:r>
        <w:rPr>
          <w:spacing w:val="-12"/>
          <w:sz w:val="20"/>
        </w:rPr>
        <w:t> </w:t>
      </w:r>
      <w:r>
        <w:rPr>
          <w:sz w:val="20"/>
        </w:rPr>
        <w:t>что</w:t>
      </w:r>
      <w:r>
        <w:rPr>
          <w:spacing w:val="-13"/>
          <w:sz w:val="20"/>
        </w:rPr>
        <w:t> </w:t>
      </w:r>
      <w:r>
        <w:rPr>
          <w:sz w:val="20"/>
        </w:rPr>
        <w:t>важно</w:t>
      </w:r>
      <w:r>
        <w:rPr>
          <w:spacing w:val="-12"/>
          <w:sz w:val="20"/>
        </w:rPr>
        <w:t> </w:t>
      </w:r>
      <w:r>
        <w:rPr>
          <w:sz w:val="20"/>
        </w:rPr>
        <w:t>в</w:t>
      </w:r>
      <w:r>
        <w:rPr>
          <w:spacing w:val="-13"/>
          <w:sz w:val="20"/>
        </w:rPr>
        <w:t> </w:t>
      </w:r>
      <w:r>
        <w:rPr>
          <w:sz w:val="20"/>
        </w:rPr>
        <w:t>жизни,</w:t>
      </w:r>
      <w:r>
        <w:rPr>
          <w:spacing w:val="-12"/>
          <w:sz w:val="20"/>
        </w:rPr>
        <w:t> </w:t>
      </w:r>
      <w:r>
        <w:rPr>
          <w:sz w:val="20"/>
        </w:rPr>
        <w:t>как</w:t>
      </w:r>
      <w:r>
        <w:rPr>
          <w:spacing w:val="-13"/>
          <w:sz w:val="20"/>
        </w:rPr>
        <w:t> </w:t>
      </w:r>
      <w:r>
        <w:rPr>
          <w:sz w:val="20"/>
        </w:rPr>
        <w:t>делать</w:t>
      </w:r>
      <w:r>
        <w:rPr>
          <w:spacing w:val="-12"/>
          <w:sz w:val="20"/>
        </w:rPr>
        <w:t> </w:t>
      </w:r>
      <w:r>
        <w:rPr>
          <w:sz w:val="20"/>
        </w:rPr>
        <w:t>правильно,</w:t>
      </w:r>
      <w:r>
        <w:rPr>
          <w:spacing w:val="-13"/>
          <w:sz w:val="20"/>
        </w:rPr>
        <w:t> </w:t>
      </w:r>
      <w:r>
        <w:rPr>
          <w:sz w:val="20"/>
        </w:rPr>
        <w:t>а как неправильно, к чему ребенок стремится и пр.</w:t>
      </w:r>
    </w:p>
    <w:p>
      <w:pPr>
        <w:pStyle w:val="BodyText"/>
        <w:ind w:right="140"/>
      </w:pPr>
      <w:r>
        <w:rPr/>
        <w:t>Никаким образом не стоит оценивать слова и выводы ребенка. Задача техники – помочь в осознании ценностей, а не воспитать «правильные».</w:t>
      </w:r>
    </w:p>
    <w:p>
      <w:pPr>
        <w:spacing w:before="113"/>
        <w:ind w:left="425" w:right="0" w:firstLine="0"/>
        <w:jc w:val="both"/>
        <w:rPr>
          <w:b/>
          <w:i/>
          <w:sz w:val="20"/>
        </w:rPr>
      </w:pPr>
      <w:r>
        <w:rPr>
          <w:b/>
          <w:i/>
          <w:sz w:val="20"/>
        </w:rPr>
        <w:t>Техника</w:t>
      </w:r>
      <w:r>
        <w:rPr>
          <w:b/>
          <w:i/>
          <w:spacing w:val="-8"/>
          <w:sz w:val="20"/>
        </w:rPr>
        <w:t> </w:t>
      </w:r>
      <w:r>
        <w:rPr>
          <w:b/>
          <w:i/>
          <w:sz w:val="20"/>
        </w:rPr>
        <w:t>«Дорога</w:t>
      </w:r>
      <w:r>
        <w:rPr>
          <w:b/>
          <w:i/>
          <w:spacing w:val="-8"/>
          <w:sz w:val="20"/>
        </w:rPr>
        <w:t> </w:t>
      </w:r>
      <w:r>
        <w:rPr>
          <w:b/>
          <w:i/>
          <w:spacing w:val="-2"/>
          <w:sz w:val="20"/>
        </w:rPr>
        <w:t>жизни»</w:t>
      </w:r>
    </w:p>
    <w:p>
      <w:pPr>
        <w:pStyle w:val="BodyText"/>
      </w:pPr>
      <w:r>
        <w:rPr>
          <w:i/>
        </w:rPr>
        <w:t>Цель: </w:t>
      </w:r>
      <w:r>
        <w:rPr/>
        <w:t>осознание непрерывности жизненного пути, интеграция переживаний, аспектов</w:t>
      </w:r>
      <w:r>
        <w:rPr>
          <w:spacing w:val="-10"/>
        </w:rPr>
        <w:t> </w:t>
      </w:r>
      <w:r>
        <w:rPr/>
        <w:t>жизненной</w:t>
      </w:r>
      <w:r>
        <w:rPr>
          <w:spacing w:val="-10"/>
        </w:rPr>
        <w:t> </w:t>
      </w:r>
      <w:r>
        <w:rPr/>
        <w:t>истории,</w:t>
      </w:r>
      <w:r>
        <w:rPr>
          <w:spacing w:val="-10"/>
        </w:rPr>
        <w:t> </w:t>
      </w:r>
      <w:r>
        <w:rPr/>
        <w:t>самопредставлений</w:t>
      </w:r>
      <w:r>
        <w:rPr>
          <w:spacing w:val="-10"/>
        </w:rPr>
        <w:t> </w:t>
      </w:r>
      <w:r>
        <w:rPr/>
        <w:t>и</w:t>
      </w:r>
      <w:r>
        <w:rPr>
          <w:spacing w:val="-10"/>
        </w:rPr>
        <w:t> </w:t>
      </w:r>
      <w:r>
        <w:rPr/>
        <w:t>представлений</w:t>
      </w:r>
      <w:r>
        <w:rPr>
          <w:spacing w:val="-10"/>
        </w:rPr>
        <w:t> </w:t>
      </w:r>
      <w:r>
        <w:rPr/>
        <w:t>о</w:t>
      </w:r>
      <w:r>
        <w:rPr>
          <w:spacing w:val="-10"/>
        </w:rPr>
        <w:t> </w:t>
      </w:r>
      <w:r>
        <w:rPr/>
        <w:t>мире,</w:t>
      </w:r>
      <w:r>
        <w:rPr>
          <w:spacing w:val="-10"/>
        </w:rPr>
        <w:t> </w:t>
      </w:r>
      <w:r>
        <w:rPr/>
        <w:t>обеспечи- вающих основу формирования идентичности.</w:t>
      </w:r>
    </w:p>
    <w:p>
      <w:pPr>
        <w:spacing w:before="0"/>
        <w:ind w:left="425" w:right="0" w:firstLine="0"/>
        <w:jc w:val="both"/>
        <w:rPr>
          <w:sz w:val="20"/>
        </w:rPr>
      </w:pPr>
      <w:r>
        <w:rPr>
          <w:i/>
          <w:sz w:val="20"/>
        </w:rPr>
        <w:t>Рекомендованный</w:t>
      </w:r>
      <w:r>
        <w:rPr>
          <w:i/>
          <w:spacing w:val="-10"/>
          <w:sz w:val="20"/>
        </w:rPr>
        <w:t> </w:t>
      </w:r>
      <w:r>
        <w:rPr>
          <w:i/>
          <w:sz w:val="20"/>
        </w:rPr>
        <w:t>возраст:</w:t>
      </w:r>
      <w:r>
        <w:rPr>
          <w:i/>
          <w:spacing w:val="-10"/>
          <w:sz w:val="20"/>
        </w:rPr>
        <w:t> </w:t>
      </w:r>
      <w:r>
        <w:rPr>
          <w:sz w:val="20"/>
        </w:rPr>
        <w:t>от</w:t>
      </w:r>
      <w:r>
        <w:rPr>
          <w:spacing w:val="-10"/>
          <w:sz w:val="20"/>
        </w:rPr>
        <w:t> </w:t>
      </w:r>
      <w:r>
        <w:rPr>
          <w:sz w:val="20"/>
        </w:rPr>
        <w:t>10</w:t>
      </w:r>
      <w:r>
        <w:rPr>
          <w:spacing w:val="-10"/>
          <w:sz w:val="20"/>
        </w:rPr>
        <w:t> </w:t>
      </w:r>
      <w:r>
        <w:rPr>
          <w:spacing w:val="-4"/>
          <w:sz w:val="20"/>
        </w:rPr>
        <w:t>лет.</w:t>
      </w:r>
    </w:p>
    <w:p>
      <w:pPr>
        <w:pStyle w:val="BodyText"/>
      </w:pPr>
      <w:r>
        <w:rPr>
          <w:i/>
        </w:rPr>
        <w:t>Источник:</w:t>
      </w:r>
      <w:r>
        <w:rPr>
          <w:i/>
          <w:spacing w:val="-10"/>
        </w:rPr>
        <w:t> </w:t>
      </w:r>
      <w:r>
        <w:rPr/>
        <w:t>методическое</w:t>
      </w:r>
      <w:r>
        <w:rPr>
          <w:spacing w:val="-10"/>
        </w:rPr>
        <w:t> </w:t>
      </w:r>
      <w:r>
        <w:rPr/>
        <w:t>пособие</w:t>
      </w:r>
      <w:r>
        <w:rPr>
          <w:spacing w:val="-10"/>
        </w:rPr>
        <w:t> </w:t>
      </w:r>
      <w:r>
        <w:rPr/>
        <w:t>«Как</w:t>
      </w:r>
      <w:r>
        <w:rPr>
          <w:spacing w:val="-10"/>
        </w:rPr>
        <w:t> </w:t>
      </w:r>
      <w:r>
        <w:rPr/>
        <w:t>жить</w:t>
      </w:r>
      <w:r>
        <w:rPr>
          <w:spacing w:val="-10"/>
        </w:rPr>
        <w:t> </w:t>
      </w:r>
      <w:r>
        <w:rPr/>
        <w:t>после</w:t>
      </w:r>
      <w:r>
        <w:rPr>
          <w:spacing w:val="-10"/>
        </w:rPr>
        <w:t> </w:t>
      </w:r>
      <w:r>
        <w:rPr/>
        <w:t>психической</w:t>
      </w:r>
      <w:r>
        <w:rPr>
          <w:spacing w:val="-10"/>
        </w:rPr>
        <w:t> </w:t>
      </w:r>
      <w:r>
        <w:rPr/>
        <w:t>травмы»</w:t>
      </w:r>
      <w:r>
        <w:rPr>
          <w:spacing w:val="-10"/>
        </w:rPr>
        <w:t> </w:t>
      </w:r>
      <w:r>
        <w:rPr/>
        <w:t>(Колод- зин, 1992) (Хухлаев, Павлова и др., 2022).</w:t>
      </w:r>
    </w:p>
    <w:p>
      <w:pPr>
        <w:pStyle w:val="BodyText"/>
      </w:pPr>
      <w:r>
        <w:rPr/>
        <w:t>Для</w:t>
      </w:r>
      <w:r>
        <w:rPr>
          <w:spacing w:val="-4"/>
        </w:rPr>
        <w:t> </w:t>
      </w:r>
      <w:r>
        <w:rPr/>
        <w:t>работы</w:t>
      </w:r>
      <w:r>
        <w:rPr>
          <w:spacing w:val="-4"/>
        </w:rPr>
        <w:t> </w:t>
      </w:r>
      <w:r>
        <w:rPr/>
        <w:t>понадобятся</w:t>
      </w:r>
      <w:r>
        <w:rPr>
          <w:spacing w:val="-4"/>
        </w:rPr>
        <w:t> </w:t>
      </w:r>
      <w:r>
        <w:rPr/>
        <w:t>бумага</w:t>
      </w:r>
      <w:r>
        <w:rPr>
          <w:spacing w:val="-4"/>
        </w:rPr>
        <w:t> </w:t>
      </w:r>
      <w:r>
        <w:rPr/>
        <w:t>формата</w:t>
      </w:r>
      <w:r>
        <w:rPr>
          <w:spacing w:val="-4"/>
        </w:rPr>
        <w:t> </w:t>
      </w:r>
      <w:r>
        <w:rPr/>
        <w:t>А4</w:t>
      </w:r>
      <w:r>
        <w:rPr>
          <w:spacing w:val="-4"/>
        </w:rPr>
        <w:t> </w:t>
      </w:r>
      <w:r>
        <w:rPr/>
        <w:t>и</w:t>
      </w:r>
      <w:r>
        <w:rPr>
          <w:spacing w:val="-4"/>
        </w:rPr>
        <w:t> </w:t>
      </w:r>
      <w:r>
        <w:rPr/>
        <w:t>карандаш:</w:t>
      </w:r>
      <w:r>
        <w:rPr>
          <w:spacing w:val="-4"/>
        </w:rPr>
        <w:t> </w:t>
      </w:r>
      <w:r>
        <w:rPr/>
        <w:t>ребенка</w:t>
      </w:r>
      <w:r>
        <w:rPr>
          <w:spacing w:val="-4"/>
        </w:rPr>
        <w:t> </w:t>
      </w:r>
      <w:r>
        <w:rPr/>
        <w:t>надо</w:t>
      </w:r>
      <w:r>
        <w:rPr>
          <w:spacing w:val="-4"/>
        </w:rPr>
        <w:t> </w:t>
      </w:r>
      <w:r>
        <w:rPr/>
        <w:t>предупре- дить, что время от времени нужно будет кое-что записать.</w:t>
      </w:r>
    </w:p>
    <w:p>
      <w:pPr>
        <w:pStyle w:val="ListParagraph"/>
        <w:numPr>
          <w:ilvl w:val="0"/>
          <w:numId w:val="202"/>
        </w:numPr>
        <w:tabs>
          <w:tab w:pos="423" w:val="left" w:leader="none"/>
          <w:tab w:pos="425" w:val="left" w:leader="none"/>
        </w:tabs>
        <w:spacing w:line="240" w:lineRule="auto" w:before="0" w:after="0"/>
        <w:ind w:left="425" w:right="139" w:hanging="284"/>
        <w:jc w:val="both"/>
        <w:rPr>
          <w:sz w:val="20"/>
        </w:rPr>
      </w:pPr>
      <w:r>
        <w:rPr>
          <w:spacing w:val="-2"/>
          <w:sz w:val="20"/>
        </w:rPr>
        <w:t>До</w:t>
      </w:r>
      <w:r>
        <w:rPr>
          <w:spacing w:val="-4"/>
          <w:sz w:val="20"/>
        </w:rPr>
        <w:t> </w:t>
      </w:r>
      <w:r>
        <w:rPr>
          <w:spacing w:val="-2"/>
          <w:sz w:val="20"/>
        </w:rPr>
        <w:t>начала</w:t>
      </w:r>
      <w:r>
        <w:rPr>
          <w:spacing w:val="-4"/>
          <w:sz w:val="20"/>
        </w:rPr>
        <w:t> </w:t>
      </w:r>
      <w:r>
        <w:rPr>
          <w:spacing w:val="-2"/>
          <w:sz w:val="20"/>
        </w:rPr>
        <w:t>работы</w:t>
      </w:r>
      <w:r>
        <w:rPr>
          <w:spacing w:val="-4"/>
          <w:sz w:val="20"/>
        </w:rPr>
        <w:t> </w:t>
      </w:r>
      <w:r>
        <w:rPr>
          <w:spacing w:val="-2"/>
          <w:sz w:val="20"/>
        </w:rPr>
        <w:t>психолог</w:t>
      </w:r>
      <w:r>
        <w:rPr>
          <w:spacing w:val="-4"/>
          <w:sz w:val="20"/>
        </w:rPr>
        <w:t> </w:t>
      </w:r>
      <w:r>
        <w:rPr>
          <w:spacing w:val="-2"/>
          <w:sz w:val="20"/>
        </w:rPr>
        <w:t>дает</w:t>
      </w:r>
      <w:r>
        <w:rPr>
          <w:spacing w:val="-4"/>
          <w:sz w:val="20"/>
        </w:rPr>
        <w:t> </w:t>
      </w:r>
      <w:r>
        <w:rPr>
          <w:spacing w:val="-2"/>
          <w:sz w:val="20"/>
        </w:rPr>
        <w:t>ребенку</w:t>
      </w:r>
      <w:r>
        <w:rPr>
          <w:spacing w:val="-4"/>
          <w:sz w:val="20"/>
        </w:rPr>
        <w:t> </w:t>
      </w:r>
      <w:r>
        <w:rPr>
          <w:spacing w:val="-2"/>
          <w:sz w:val="20"/>
        </w:rPr>
        <w:t>вводную</w:t>
      </w:r>
      <w:r>
        <w:rPr>
          <w:spacing w:val="-4"/>
          <w:sz w:val="20"/>
        </w:rPr>
        <w:t> </w:t>
      </w:r>
      <w:r>
        <w:rPr>
          <w:spacing w:val="-2"/>
          <w:sz w:val="20"/>
        </w:rPr>
        <w:t>о</w:t>
      </w:r>
      <w:r>
        <w:rPr>
          <w:spacing w:val="-4"/>
          <w:sz w:val="20"/>
        </w:rPr>
        <w:t> </w:t>
      </w:r>
      <w:r>
        <w:rPr>
          <w:spacing w:val="-2"/>
          <w:sz w:val="20"/>
        </w:rPr>
        <w:t>том,</w:t>
      </w:r>
      <w:r>
        <w:rPr>
          <w:spacing w:val="-4"/>
          <w:sz w:val="20"/>
        </w:rPr>
        <w:t> </w:t>
      </w:r>
      <w:r>
        <w:rPr>
          <w:spacing w:val="-2"/>
          <w:sz w:val="20"/>
        </w:rPr>
        <w:t>что</w:t>
      </w:r>
      <w:r>
        <w:rPr>
          <w:spacing w:val="-4"/>
          <w:sz w:val="20"/>
        </w:rPr>
        <w:t> </w:t>
      </w:r>
      <w:r>
        <w:rPr>
          <w:spacing w:val="-2"/>
          <w:sz w:val="20"/>
        </w:rPr>
        <w:t>техника</w:t>
      </w:r>
      <w:r>
        <w:rPr>
          <w:spacing w:val="-4"/>
          <w:sz w:val="20"/>
        </w:rPr>
        <w:t> </w:t>
      </w:r>
      <w:r>
        <w:rPr>
          <w:spacing w:val="-2"/>
          <w:sz w:val="20"/>
        </w:rPr>
        <w:t>предполагает </w:t>
      </w:r>
      <w:r>
        <w:rPr>
          <w:sz w:val="20"/>
        </w:rPr>
        <w:t>активную</w:t>
      </w:r>
      <w:r>
        <w:rPr>
          <w:spacing w:val="-13"/>
          <w:sz w:val="20"/>
        </w:rPr>
        <w:t> </w:t>
      </w:r>
      <w:r>
        <w:rPr>
          <w:sz w:val="20"/>
        </w:rPr>
        <w:t>роль</w:t>
      </w:r>
      <w:r>
        <w:rPr>
          <w:spacing w:val="-12"/>
          <w:sz w:val="20"/>
        </w:rPr>
        <w:t> </w:t>
      </w:r>
      <w:r>
        <w:rPr>
          <w:sz w:val="20"/>
        </w:rPr>
        <w:t>воображения,</w:t>
      </w:r>
      <w:r>
        <w:rPr>
          <w:spacing w:val="-13"/>
          <w:sz w:val="20"/>
        </w:rPr>
        <w:t> </w:t>
      </w:r>
      <w:r>
        <w:rPr>
          <w:sz w:val="20"/>
        </w:rPr>
        <w:t>фантазии.</w:t>
      </w:r>
      <w:r>
        <w:rPr>
          <w:spacing w:val="-12"/>
          <w:sz w:val="20"/>
        </w:rPr>
        <w:t> </w:t>
      </w:r>
      <w:r>
        <w:rPr>
          <w:sz w:val="20"/>
        </w:rPr>
        <w:t>Одновременно</w:t>
      </w:r>
      <w:r>
        <w:rPr>
          <w:spacing w:val="-13"/>
          <w:sz w:val="20"/>
        </w:rPr>
        <w:t> </w:t>
      </w:r>
      <w:r>
        <w:rPr>
          <w:sz w:val="20"/>
        </w:rPr>
        <w:t>психолог</w:t>
      </w:r>
      <w:r>
        <w:rPr>
          <w:spacing w:val="-12"/>
          <w:sz w:val="20"/>
        </w:rPr>
        <w:t> </w:t>
      </w:r>
      <w:r>
        <w:rPr>
          <w:sz w:val="20"/>
        </w:rPr>
        <w:t>может</w:t>
      </w:r>
      <w:r>
        <w:rPr>
          <w:spacing w:val="-13"/>
          <w:sz w:val="20"/>
        </w:rPr>
        <w:t> </w:t>
      </w:r>
      <w:r>
        <w:rPr>
          <w:sz w:val="20"/>
        </w:rPr>
        <w:t>предупре- дить:</w:t>
      </w:r>
      <w:r>
        <w:rPr>
          <w:spacing w:val="-7"/>
          <w:sz w:val="20"/>
        </w:rPr>
        <w:t> </w:t>
      </w:r>
      <w:r>
        <w:rPr>
          <w:sz w:val="20"/>
        </w:rPr>
        <w:t>«Если</w:t>
      </w:r>
      <w:r>
        <w:rPr>
          <w:spacing w:val="-7"/>
          <w:sz w:val="20"/>
        </w:rPr>
        <w:t> </w:t>
      </w:r>
      <w:r>
        <w:rPr>
          <w:sz w:val="20"/>
        </w:rPr>
        <w:t>у</w:t>
      </w:r>
      <w:r>
        <w:rPr>
          <w:spacing w:val="-7"/>
          <w:sz w:val="20"/>
        </w:rPr>
        <w:t> </w:t>
      </w:r>
      <w:r>
        <w:rPr>
          <w:sz w:val="20"/>
        </w:rPr>
        <w:t>тебя</w:t>
      </w:r>
      <w:r>
        <w:rPr>
          <w:spacing w:val="-7"/>
          <w:sz w:val="20"/>
        </w:rPr>
        <w:t> </w:t>
      </w:r>
      <w:r>
        <w:rPr>
          <w:sz w:val="20"/>
        </w:rPr>
        <w:t>не</w:t>
      </w:r>
      <w:r>
        <w:rPr>
          <w:spacing w:val="-7"/>
          <w:sz w:val="20"/>
        </w:rPr>
        <w:t> </w:t>
      </w:r>
      <w:r>
        <w:rPr>
          <w:sz w:val="20"/>
        </w:rPr>
        <w:t>очень</w:t>
      </w:r>
      <w:r>
        <w:rPr>
          <w:spacing w:val="-7"/>
          <w:sz w:val="20"/>
        </w:rPr>
        <w:t> </w:t>
      </w:r>
      <w:r>
        <w:rPr>
          <w:sz w:val="20"/>
        </w:rPr>
        <w:t>богатая</w:t>
      </w:r>
      <w:r>
        <w:rPr>
          <w:spacing w:val="-7"/>
          <w:sz w:val="20"/>
        </w:rPr>
        <w:t> </w:t>
      </w:r>
      <w:r>
        <w:rPr>
          <w:sz w:val="20"/>
        </w:rPr>
        <w:t>фантазия,</w:t>
      </w:r>
      <w:r>
        <w:rPr>
          <w:spacing w:val="-7"/>
          <w:sz w:val="20"/>
        </w:rPr>
        <w:t> </w:t>
      </w:r>
      <w:r>
        <w:rPr>
          <w:sz w:val="20"/>
        </w:rPr>
        <w:t>не</w:t>
      </w:r>
      <w:r>
        <w:rPr>
          <w:spacing w:val="-7"/>
          <w:sz w:val="20"/>
        </w:rPr>
        <w:t> </w:t>
      </w:r>
      <w:r>
        <w:rPr>
          <w:sz w:val="20"/>
        </w:rPr>
        <w:t>важно</w:t>
      </w:r>
      <w:r>
        <w:rPr>
          <w:spacing w:val="-7"/>
          <w:sz w:val="20"/>
        </w:rPr>
        <w:t> </w:t>
      </w:r>
      <w:r>
        <w:rPr>
          <w:sz w:val="20"/>
        </w:rPr>
        <w:t>–</w:t>
      </w:r>
      <w:r>
        <w:rPr>
          <w:spacing w:val="-7"/>
          <w:sz w:val="20"/>
        </w:rPr>
        <w:t> </w:t>
      </w:r>
      <w:r>
        <w:rPr>
          <w:sz w:val="20"/>
        </w:rPr>
        <w:t>так,</w:t>
      </w:r>
      <w:r>
        <w:rPr>
          <w:spacing w:val="-7"/>
          <w:sz w:val="20"/>
        </w:rPr>
        <w:t> </w:t>
      </w:r>
      <w:r>
        <w:rPr>
          <w:sz w:val="20"/>
        </w:rPr>
        <w:t>как</w:t>
      </w:r>
      <w:r>
        <w:rPr>
          <w:spacing w:val="-7"/>
          <w:sz w:val="20"/>
        </w:rPr>
        <w:t> </w:t>
      </w:r>
      <w:r>
        <w:rPr>
          <w:sz w:val="20"/>
        </w:rPr>
        <w:t>будет</w:t>
      </w:r>
      <w:r>
        <w:rPr>
          <w:spacing w:val="-7"/>
          <w:sz w:val="20"/>
        </w:rPr>
        <w:t> </w:t>
      </w:r>
      <w:r>
        <w:rPr>
          <w:sz w:val="20"/>
        </w:rPr>
        <w:t>получать- ся, так и надо».</w:t>
      </w:r>
    </w:p>
    <w:p>
      <w:pPr>
        <w:pStyle w:val="ListParagraph"/>
        <w:numPr>
          <w:ilvl w:val="0"/>
          <w:numId w:val="202"/>
        </w:numPr>
        <w:tabs>
          <w:tab w:pos="423" w:val="left" w:leader="none"/>
        </w:tabs>
        <w:spacing w:line="240" w:lineRule="auto" w:before="57" w:after="0"/>
        <w:ind w:left="423" w:right="0" w:hanging="282"/>
        <w:jc w:val="both"/>
        <w:rPr>
          <w:sz w:val="20"/>
        </w:rPr>
      </w:pPr>
      <w:r>
        <w:rPr>
          <w:sz w:val="20"/>
        </w:rPr>
        <w:t>Психолог</w:t>
      </w:r>
      <w:r>
        <w:rPr>
          <w:spacing w:val="-7"/>
          <w:sz w:val="20"/>
        </w:rPr>
        <w:t> </w:t>
      </w:r>
      <w:r>
        <w:rPr>
          <w:sz w:val="20"/>
        </w:rPr>
        <w:t>предлагает</w:t>
      </w:r>
      <w:r>
        <w:rPr>
          <w:spacing w:val="-6"/>
          <w:sz w:val="20"/>
        </w:rPr>
        <w:t> </w:t>
      </w:r>
      <w:r>
        <w:rPr>
          <w:sz w:val="20"/>
        </w:rPr>
        <w:t>ребенку</w:t>
      </w:r>
      <w:r>
        <w:rPr>
          <w:spacing w:val="-6"/>
          <w:sz w:val="20"/>
        </w:rPr>
        <w:t> </w:t>
      </w:r>
      <w:r>
        <w:rPr>
          <w:sz w:val="20"/>
        </w:rPr>
        <w:t>мысленно</w:t>
      </w:r>
      <w:r>
        <w:rPr>
          <w:spacing w:val="-6"/>
          <w:sz w:val="20"/>
        </w:rPr>
        <w:t> </w:t>
      </w:r>
      <w:r>
        <w:rPr>
          <w:sz w:val="20"/>
        </w:rPr>
        <w:t>попутешествовать</w:t>
      </w:r>
      <w:r>
        <w:rPr>
          <w:spacing w:val="-7"/>
          <w:sz w:val="20"/>
        </w:rPr>
        <w:t> </w:t>
      </w:r>
      <w:r>
        <w:rPr>
          <w:sz w:val="20"/>
        </w:rPr>
        <w:t>по</w:t>
      </w:r>
      <w:r>
        <w:rPr>
          <w:spacing w:val="-6"/>
          <w:sz w:val="20"/>
        </w:rPr>
        <w:t> </w:t>
      </w:r>
      <w:r>
        <w:rPr>
          <w:sz w:val="20"/>
        </w:rPr>
        <w:t>дороге</w:t>
      </w:r>
      <w:r>
        <w:rPr>
          <w:spacing w:val="-6"/>
          <w:sz w:val="20"/>
        </w:rPr>
        <w:t> </w:t>
      </w:r>
      <w:r>
        <w:rPr>
          <w:sz w:val="20"/>
        </w:rPr>
        <w:t>его</w:t>
      </w:r>
      <w:r>
        <w:rPr>
          <w:spacing w:val="-5"/>
          <w:sz w:val="20"/>
        </w:rPr>
        <w:t> </w:t>
      </w:r>
      <w:r>
        <w:rPr>
          <w:spacing w:val="-2"/>
          <w:sz w:val="20"/>
        </w:rPr>
        <w:t>жизни.</w:t>
      </w:r>
    </w:p>
    <w:p>
      <w:pPr>
        <w:spacing w:before="2"/>
        <w:ind w:left="425" w:right="0" w:firstLine="0"/>
        <w:jc w:val="left"/>
        <w:rPr>
          <w:i/>
          <w:sz w:val="20"/>
        </w:rPr>
      </w:pPr>
      <w:r>
        <w:rPr>
          <w:i/>
          <w:spacing w:val="-2"/>
          <w:sz w:val="20"/>
        </w:rPr>
        <w:t>Инструкция:</w:t>
      </w:r>
    </w:p>
    <w:p>
      <w:pPr>
        <w:spacing w:line="242" w:lineRule="auto" w:before="2"/>
        <w:ind w:left="141" w:right="139" w:firstLine="283"/>
        <w:jc w:val="both"/>
        <w:rPr>
          <w:i/>
          <w:sz w:val="20"/>
        </w:rPr>
      </w:pPr>
      <w:r>
        <w:rPr>
          <w:sz w:val="20"/>
        </w:rPr>
        <w:t>(2.1)</w:t>
      </w:r>
      <w:r>
        <w:rPr>
          <w:spacing w:val="-11"/>
          <w:sz w:val="20"/>
        </w:rPr>
        <w:t> </w:t>
      </w:r>
      <w:r>
        <w:rPr>
          <w:i/>
          <w:sz w:val="20"/>
        </w:rPr>
        <w:t>–</w:t>
      </w:r>
      <w:r>
        <w:rPr>
          <w:i/>
          <w:spacing w:val="-11"/>
          <w:sz w:val="20"/>
        </w:rPr>
        <w:t> </w:t>
      </w:r>
      <w:r>
        <w:rPr>
          <w:i/>
          <w:sz w:val="20"/>
        </w:rPr>
        <w:t>Я</w:t>
      </w:r>
      <w:r>
        <w:rPr>
          <w:i/>
          <w:spacing w:val="-11"/>
          <w:sz w:val="20"/>
        </w:rPr>
        <w:t> </w:t>
      </w:r>
      <w:r>
        <w:rPr>
          <w:i/>
          <w:sz w:val="20"/>
        </w:rPr>
        <w:t>предлагаю</w:t>
      </w:r>
      <w:r>
        <w:rPr>
          <w:i/>
          <w:spacing w:val="-11"/>
          <w:sz w:val="20"/>
        </w:rPr>
        <w:t> </w:t>
      </w:r>
      <w:r>
        <w:rPr>
          <w:i/>
          <w:sz w:val="20"/>
        </w:rPr>
        <w:t>тебе</w:t>
      </w:r>
      <w:r>
        <w:rPr>
          <w:i/>
          <w:spacing w:val="-11"/>
          <w:sz w:val="20"/>
        </w:rPr>
        <w:t> </w:t>
      </w:r>
      <w:r>
        <w:rPr>
          <w:i/>
          <w:sz w:val="20"/>
        </w:rPr>
        <w:t>представить</w:t>
      </w:r>
      <w:r>
        <w:rPr>
          <w:i/>
          <w:spacing w:val="-11"/>
          <w:sz w:val="20"/>
        </w:rPr>
        <w:t> </w:t>
      </w:r>
      <w:r>
        <w:rPr>
          <w:i/>
          <w:sz w:val="20"/>
        </w:rPr>
        <w:t>свою</w:t>
      </w:r>
      <w:r>
        <w:rPr>
          <w:i/>
          <w:spacing w:val="-11"/>
          <w:sz w:val="20"/>
        </w:rPr>
        <w:t> </w:t>
      </w:r>
      <w:r>
        <w:rPr>
          <w:i/>
          <w:sz w:val="20"/>
        </w:rPr>
        <w:t>жизнь</w:t>
      </w:r>
      <w:r>
        <w:rPr>
          <w:i/>
          <w:spacing w:val="-11"/>
          <w:sz w:val="20"/>
        </w:rPr>
        <w:t> </w:t>
      </w:r>
      <w:r>
        <w:rPr>
          <w:i/>
          <w:sz w:val="20"/>
        </w:rPr>
        <w:t>в</w:t>
      </w:r>
      <w:r>
        <w:rPr>
          <w:i/>
          <w:spacing w:val="-11"/>
          <w:sz w:val="20"/>
        </w:rPr>
        <w:t> </w:t>
      </w:r>
      <w:r>
        <w:rPr>
          <w:i/>
          <w:sz w:val="20"/>
        </w:rPr>
        <w:t>виде</w:t>
      </w:r>
      <w:r>
        <w:rPr>
          <w:i/>
          <w:spacing w:val="-11"/>
          <w:sz w:val="20"/>
        </w:rPr>
        <w:t> </w:t>
      </w:r>
      <w:r>
        <w:rPr>
          <w:i/>
          <w:sz w:val="20"/>
        </w:rPr>
        <w:t>дороги.</w:t>
      </w:r>
      <w:r>
        <w:rPr>
          <w:i/>
          <w:spacing w:val="-11"/>
          <w:sz w:val="20"/>
        </w:rPr>
        <w:t> </w:t>
      </w:r>
      <w:r>
        <w:rPr>
          <w:i/>
          <w:sz w:val="20"/>
        </w:rPr>
        <w:t>Представь,</w:t>
      </w:r>
      <w:r>
        <w:rPr>
          <w:i/>
          <w:spacing w:val="-11"/>
          <w:sz w:val="20"/>
        </w:rPr>
        <w:t> </w:t>
      </w:r>
      <w:r>
        <w:rPr>
          <w:i/>
          <w:sz w:val="20"/>
        </w:rPr>
        <w:t>что сидишь</w:t>
      </w:r>
      <w:r>
        <w:rPr>
          <w:i/>
          <w:spacing w:val="-9"/>
          <w:sz w:val="20"/>
        </w:rPr>
        <w:t> </w:t>
      </w:r>
      <w:r>
        <w:rPr>
          <w:i/>
          <w:sz w:val="20"/>
        </w:rPr>
        <w:t>на</w:t>
      </w:r>
      <w:r>
        <w:rPr>
          <w:i/>
          <w:spacing w:val="-9"/>
          <w:sz w:val="20"/>
        </w:rPr>
        <w:t> </w:t>
      </w:r>
      <w:r>
        <w:rPr>
          <w:i/>
          <w:sz w:val="20"/>
        </w:rPr>
        <w:t>отдаленном</w:t>
      </w:r>
      <w:r>
        <w:rPr>
          <w:i/>
          <w:spacing w:val="-9"/>
          <w:sz w:val="20"/>
        </w:rPr>
        <w:t> </w:t>
      </w:r>
      <w:r>
        <w:rPr>
          <w:i/>
          <w:sz w:val="20"/>
        </w:rPr>
        <w:t>высоком</w:t>
      </w:r>
      <w:r>
        <w:rPr>
          <w:i/>
          <w:spacing w:val="-9"/>
          <w:sz w:val="20"/>
        </w:rPr>
        <w:t> </w:t>
      </w:r>
      <w:r>
        <w:rPr>
          <w:i/>
          <w:sz w:val="20"/>
        </w:rPr>
        <w:t>холме</w:t>
      </w:r>
      <w:r>
        <w:rPr>
          <w:i/>
          <w:spacing w:val="-9"/>
          <w:sz w:val="20"/>
        </w:rPr>
        <w:t> </w:t>
      </w:r>
      <w:r>
        <w:rPr>
          <w:i/>
          <w:sz w:val="20"/>
        </w:rPr>
        <w:t>и</w:t>
      </w:r>
      <w:r>
        <w:rPr>
          <w:i/>
          <w:spacing w:val="-9"/>
          <w:sz w:val="20"/>
        </w:rPr>
        <w:t> </w:t>
      </w:r>
      <w:r>
        <w:rPr>
          <w:i/>
          <w:sz w:val="20"/>
        </w:rPr>
        <w:t>с</w:t>
      </w:r>
      <w:r>
        <w:rPr>
          <w:i/>
          <w:spacing w:val="-9"/>
          <w:sz w:val="20"/>
        </w:rPr>
        <w:t> </w:t>
      </w:r>
      <w:r>
        <w:rPr>
          <w:i/>
          <w:sz w:val="20"/>
        </w:rPr>
        <w:t>высоты</w:t>
      </w:r>
      <w:r>
        <w:rPr>
          <w:i/>
          <w:spacing w:val="-9"/>
          <w:sz w:val="20"/>
        </w:rPr>
        <w:t> </w:t>
      </w:r>
      <w:r>
        <w:rPr>
          <w:i/>
          <w:sz w:val="20"/>
        </w:rPr>
        <w:t>смотришь</w:t>
      </w:r>
      <w:r>
        <w:rPr>
          <w:i/>
          <w:spacing w:val="-9"/>
          <w:sz w:val="20"/>
        </w:rPr>
        <w:t> </w:t>
      </w:r>
      <w:r>
        <w:rPr>
          <w:i/>
          <w:sz w:val="20"/>
        </w:rPr>
        <w:t>на</w:t>
      </w:r>
      <w:r>
        <w:rPr>
          <w:i/>
          <w:spacing w:val="-9"/>
          <w:sz w:val="20"/>
        </w:rPr>
        <w:t> </w:t>
      </w:r>
      <w:r>
        <w:rPr>
          <w:i/>
          <w:sz w:val="20"/>
        </w:rPr>
        <w:t>дорогу</w:t>
      </w:r>
      <w:r>
        <w:rPr>
          <w:i/>
          <w:spacing w:val="-9"/>
          <w:sz w:val="20"/>
        </w:rPr>
        <w:t> </w:t>
      </w:r>
      <w:r>
        <w:rPr>
          <w:i/>
          <w:sz w:val="20"/>
        </w:rPr>
        <w:t>своей</w:t>
      </w:r>
      <w:r>
        <w:rPr>
          <w:i/>
          <w:spacing w:val="-9"/>
          <w:sz w:val="20"/>
        </w:rPr>
        <w:t> </w:t>
      </w:r>
      <w:r>
        <w:rPr>
          <w:i/>
          <w:sz w:val="20"/>
        </w:rPr>
        <w:t>жизни. Дорога</w:t>
      </w:r>
      <w:r>
        <w:rPr>
          <w:i/>
          <w:spacing w:val="-13"/>
          <w:sz w:val="20"/>
        </w:rPr>
        <w:t> </w:t>
      </w:r>
      <w:r>
        <w:rPr>
          <w:i/>
          <w:sz w:val="20"/>
        </w:rPr>
        <w:t>простирается</w:t>
      </w:r>
      <w:r>
        <w:rPr>
          <w:i/>
          <w:spacing w:val="-12"/>
          <w:sz w:val="20"/>
        </w:rPr>
        <w:t> </w:t>
      </w:r>
      <w:r>
        <w:rPr>
          <w:i/>
          <w:sz w:val="20"/>
        </w:rPr>
        <w:t>перед</w:t>
      </w:r>
      <w:r>
        <w:rPr>
          <w:i/>
          <w:spacing w:val="-13"/>
          <w:sz w:val="20"/>
        </w:rPr>
        <w:t> </w:t>
      </w:r>
      <w:r>
        <w:rPr>
          <w:i/>
          <w:sz w:val="20"/>
        </w:rPr>
        <w:t>тобой.</w:t>
      </w:r>
      <w:r>
        <w:rPr>
          <w:i/>
          <w:spacing w:val="-12"/>
          <w:sz w:val="20"/>
        </w:rPr>
        <w:t> </w:t>
      </w:r>
      <w:r>
        <w:rPr>
          <w:i/>
          <w:sz w:val="20"/>
        </w:rPr>
        <w:t>Она</w:t>
      </w:r>
      <w:r>
        <w:rPr>
          <w:i/>
          <w:spacing w:val="-13"/>
          <w:sz w:val="20"/>
        </w:rPr>
        <w:t> </w:t>
      </w:r>
      <w:r>
        <w:rPr>
          <w:i/>
          <w:sz w:val="20"/>
        </w:rPr>
        <w:t>может</w:t>
      </w:r>
      <w:r>
        <w:rPr>
          <w:i/>
          <w:spacing w:val="-12"/>
          <w:sz w:val="20"/>
        </w:rPr>
        <w:t> </w:t>
      </w:r>
      <w:r>
        <w:rPr>
          <w:i/>
          <w:sz w:val="20"/>
        </w:rPr>
        <w:t>быть</w:t>
      </w:r>
      <w:r>
        <w:rPr>
          <w:i/>
          <w:spacing w:val="-13"/>
          <w:sz w:val="20"/>
        </w:rPr>
        <w:t> </w:t>
      </w:r>
      <w:r>
        <w:rPr>
          <w:i/>
          <w:sz w:val="20"/>
        </w:rPr>
        <w:t>прямой</w:t>
      </w:r>
      <w:r>
        <w:rPr>
          <w:i/>
          <w:spacing w:val="-12"/>
          <w:sz w:val="20"/>
        </w:rPr>
        <w:t> </w:t>
      </w:r>
      <w:r>
        <w:rPr>
          <w:i/>
          <w:sz w:val="20"/>
        </w:rPr>
        <w:t>или</w:t>
      </w:r>
      <w:r>
        <w:rPr>
          <w:i/>
          <w:spacing w:val="-13"/>
          <w:sz w:val="20"/>
        </w:rPr>
        <w:t> </w:t>
      </w:r>
      <w:r>
        <w:rPr>
          <w:i/>
          <w:sz w:val="20"/>
        </w:rPr>
        <w:t>извилистой,</w:t>
      </w:r>
      <w:r>
        <w:rPr>
          <w:i/>
          <w:spacing w:val="-12"/>
          <w:sz w:val="20"/>
        </w:rPr>
        <w:t> </w:t>
      </w:r>
      <w:r>
        <w:rPr>
          <w:i/>
          <w:sz w:val="20"/>
        </w:rPr>
        <w:t>на</w:t>
      </w:r>
      <w:r>
        <w:rPr>
          <w:i/>
          <w:spacing w:val="-13"/>
          <w:sz w:val="20"/>
        </w:rPr>
        <w:t> </w:t>
      </w:r>
      <w:r>
        <w:rPr>
          <w:i/>
          <w:sz w:val="20"/>
        </w:rPr>
        <w:t>ней могут быть пригорки, долины и что-то еще. Заметь, какая это дорога.</w:t>
      </w:r>
    </w:p>
    <w:p>
      <w:pPr>
        <w:spacing w:line="242" w:lineRule="auto" w:before="0"/>
        <w:ind w:left="141" w:right="139" w:firstLine="283"/>
        <w:jc w:val="both"/>
        <w:rPr>
          <w:i/>
          <w:sz w:val="20"/>
        </w:rPr>
      </w:pPr>
      <w:r>
        <w:rPr>
          <w:sz w:val="20"/>
        </w:rPr>
        <w:t>(2.2</w:t>
      </w:r>
      <w:r>
        <w:rPr>
          <w:i/>
          <w:sz w:val="20"/>
        </w:rPr>
        <w:t>)</w:t>
      </w:r>
      <w:r>
        <w:rPr>
          <w:i/>
          <w:spacing w:val="-13"/>
          <w:sz w:val="20"/>
        </w:rPr>
        <w:t> </w:t>
      </w:r>
      <w:r>
        <w:rPr>
          <w:i/>
          <w:sz w:val="20"/>
        </w:rPr>
        <w:t>–</w:t>
      </w:r>
      <w:r>
        <w:rPr>
          <w:i/>
          <w:spacing w:val="-12"/>
          <w:sz w:val="20"/>
        </w:rPr>
        <w:t> </w:t>
      </w:r>
      <w:r>
        <w:rPr>
          <w:i/>
          <w:sz w:val="20"/>
        </w:rPr>
        <w:t>Посмотри</w:t>
      </w:r>
      <w:r>
        <w:rPr>
          <w:i/>
          <w:spacing w:val="-13"/>
          <w:sz w:val="20"/>
        </w:rPr>
        <w:t> </w:t>
      </w:r>
      <w:r>
        <w:rPr>
          <w:i/>
          <w:sz w:val="20"/>
        </w:rPr>
        <w:t>в</w:t>
      </w:r>
      <w:r>
        <w:rPr>
          <w:i/>
          <w:spacing w:val="-12"/>
          <w:sz w:val="20"/>
        </w:rPr>
        <w:t> </w:t>
      </w:r>
      <w:r>
        <w:rPr>
          <w:i/>
          <w:sz w:val="20"/>
        </w:rPr>
        <w:t>одну</w:t>
      </w:r>
      <w:r>
        <w:rPr>
          <w:i/>
          <w:spacing w:val="-13"/>
          <w:sz w:val="20"/>
        </w:rPr>
        <w:t> </w:t>
      </w:r>
      <w:r>
        <w:rPr>
          <w:i/>
          <w:sz w:val="20"/>
        </w:rPr>
        <w:t>сторону</w:t>
      </w:r>
      <w:r>
        <w:rPr>
          <w:i/>
          <w:spacing w:val="-12"/>
          <w:sz w:val="20"/>
        </w:rPr>
        <w:t> </w:t>
      </w:r>
      <w:r>
        <w:rPr>
          <w:i/>
          <w:sz w:val="20"/>
        </w:rPr>
        <w:t>как</w:t>
      </w:r>
      <w:r>
        <w:rPr>
          <w:i/>
          <w:spacing w:val="-13"/>
          <w:sz w:val="20"/>
        </w:rPr>
        <w:t> </w:t>
      </w:r>
      <w:r>
        <w:rPr>
          <w:i/>
          <w:sz w:val="20"/>
        </w:rPr>
        <w:t>бы</w:t>
      </w:r>
      <w:r>
        <w:rPr>
          <w:i/>
          <w:spacing w:val="-12"/>
          <w:sz w:val="20"/>
        </w:rPr>
        <w:t> </w:t>
      </w:r>
      <w:r>
        <w:rPr>
          <w:i/>
          <w:sz w:val="20"/>
        </w:rPr>
        <w:t>в</w:t>
      </w:r>
      <w:r>
        <w:rPr>
          <w:i/>
          <w:spacing w:val="-13"/>
          <w:sz w:val="20"/>
        </w:rPr>
        <w:t> </w:t>
      </w:r>
      <w:r>
        <w:rPr>
          <w:i/>
          <w:sz w:val="20"/>
        </w:rPr>
        <w:t>бинокль</w:t>
      </w:r>
      <w:r>
        <w:rPr>
          <w:i/>
          <w:spacing w:val="-12"/>
          <w:sz w:val="20"/>
        </w:rPr>
        <w:t> </w:t>
      </w:r>
      <w:r>
        <w:rPr>
          <w:i/>
          <w:sz w:val="20"/>
        </w:rPr>
        <w:t>–</w:t>
      </w:r>
      <w:r>
        <w:rPr>
          <w:i/>
          <w:spacing w:val="-13"/>
          <w:sz w:val="20"/>
        </w:rPr>
        <w:t> </w:t>
      </w:r>
      <w:r>
        <w:rPr>
          <w:i/>
          <w:sz w:val="20"/>
        </w:rPr>
        <w:t>далеко-далеко.</w:t>
      </w:r>
      <w:r>
        <w:rPr>
          <w:i/>
          <w:spacing w:val="-12"/>
          <w:sz w:val="20"/>
        </w:rPr>
        <w:t> </w:t>
      </w:r>
      <w:r>
        <w:rPr>
          <w:i/>
          <w:sz w:val="20"/>
        </w:rPr>
        <w:t>Там</w:t>
      </w:r>
      <w:r>
        <w:rPr>
          <w:i/>
          <w:spacing w:val="-13"/>
          <w:sz w:val="20"/>
        </w:rPr>
        <w:t> </w:t>
      </w:r>
      <w:r>
        <w:rPr>
          <w:i/>
          <w:sz w:val="20"/>
        </w:rPr>
        <w:t>начинает- ся дорога – там ты родился. Пристально вглядись в начало дороги, говоря себе при этом: «Здесь я родился».</w:t>
      </w:r>
    </w:p>
    <w:p>
      <w:pPr>
        <w:spacing w:line="242" w:lineRule="auto" w:before="0"/>
        <w:ind w:left="141" w:right="139" w:firstLine="283"/>
        <w:jc w:val="both"/>
        <w:rPr>
          <w:i/>
          <w:sz w:val="20"/>
        </w:rPr>
      </w:pPr>
      <w:r>
        <w:rPr>
          <w:sz w:val="20"/>
        </w:rPr>
        <w:t>(2.3) </w:t>
      </w:r>
      <w:r>
        <w:rPr>
          <w:i/>
          <w:sz w:val="20"/>
        </w:rPr>
        <w:t>– Затем медленно веди биноклем вдоль дороги, говоря себе: «А потом...» Остановись</w:t>
      </w:r>
      <w:r>
        <w:rPr>
          <w:i/>
          <w:spacing w:val="-11"/>
          <w:sz w:val="20"/>
        </w:rPr>
        <w:t> </w:t>
      </w:r>
      <w:r>
        <w:rPr>
          <w:i/>
          <w:sz w:val="20"/>
        </w:rPr>
        <w:t>на</w:t>
      </w:r>
      <w:r>
        <w:rPr>
          <w:i/>
          <w:spacing w:val="-11"/>
          <w:sz w:val="20"/>
        </w:rPr>
        <w:t> </w:t>
      </w:r>
      <w:r>
        <w:rPr>
          <w:i/>
          <w:sz w:val="20"/>
        </w:rPr>
        <w:t>том</w:t>
      </w:r>
      <w:r>
        <w:rPr>
          <w:i/>
          <w:spacing w:val="-11"/>
          <w:sz w:val="20"/>
        </w:rPr>
        <w:t> </w:t>
      </w:r>
      <w:r>
        <w:rPr>
          <w:i/>
          <w:sz w:val="20"/>
        </w:rPr>
        <w:t>месте,</w:t>
      </w:r>
      <w:r>
        <w:rPr>
          <w:i/>
          <w:spacing w:val="-11"/>
          <w:sz w:val="20"/>
        </w:rPr>
        <w:t> </w:t>
      </w:r>
      <w:r>
        <w:rPr>
          <w:i/>
          <w:sz w:val="20"/>
        </w:rPr>
        <w:t>которое</w:t>
      </w:r>
      <w:r>
        <w:rPr>
          <w:i/>
          <w:spacing w:val="-11"/>
          <w:sz w:val="20"/>
        </w:rPr>
        <w:t> </w:t>
      </w:r>
      <w:r>
        <w:rPr>
          <w:i/>
          <w:sz w:val="20"/>
        </w:rPr>
        <w:t>покажется</w:t>
      </w:r>
      <w:r>
        <w:rPr>
          <w:i/>
          <w:spacing w:val="-11"/>
          <w:sz w:val="20"/>
        </w:rPr>
        <w:t> </w:t>
      </w:r>
      <w:r>
        <w:rPr>
          <w:i/>
          <w:sz w:val="20"/>
        </w:rPr>
        <w:t>тебе</w:t>
      </w:r>
      <w:r>
        <w:rPr>
          <w:i/>
          <w:spacing w:val="-11"/>
          <w:sz w:val="20"/>
        </w:rPr>
        <w:t> </w:t>
      </w:r>
      <w:r>
        <w:rPr>
          <w:i/>
          <w:sz w:val="20"/>
        </w:rPr>
        <w:t>важным,</w:t>
      </w:r>
      <w:r>
        <w:rPr>
          <w:i/>
          <w:spacing w:val="-11"/>
          <w:sz w:val="20"/>
        </w:rPr>
        <w:t> </w:t>
      </w:r>
      <w:r>
        <w:rPr>
          <w:i/>
          <w:sz w:val="20"/>
        </w:rPr>
        <w:t>значительным.</w:t>
      </w:r>
      <w:r>
        <w:rPr>
          <w:i/>
          <w:spacing w:val="-11"/>
          <w:sz w:val="20"/>
        </w:rPr>
        <w:t> </w:t>
      </w:r>
      <w:r>
        <w:rPr>
          <w:i/>
          <w:sz w:val="20"/>
        </w:rPr>
        <w:t>Вгля- дись,</w:t>
      </w:r>
      <w:r>
        <w:rPr>
          <w:i/>
          <w:spacing w:val="-7"/>
          <w:sz w:val="20"/>
        </w:rPr>
        <w:t> </w:t>
      </w:r>
      <w:r>
        <w:rPr>
          <w:i/>
          <w:sz w:val="20"/>
        </w:rPr>
        <w:t>что</w:t>
      </w:r>
      <w:r>
        <w:rPr>
          <w:i/>
          <w:spacing w:val="-7"/>
          <w:sz w:val="20"/>
        </w:rPr>
        <w:t> </w:t>
      </w:r>
      <w:r>
        <w:rPr>
          <w:i/>
          <w:sz w:val="20"/>
        </w:rPr>
        <w:t>там</w:t>
      </w:r>
      <w:r>
        <w:rPr>
          <w:i/>
          <w:spacing w:val="-7"/>
          <w:sz w:val="20"/>
        </w:rPr>
        <w:t> </w:t>
      </w:r>
      <w:r>
        <w:rPr>
          <w:i/>
          <w:sz w:val="20"/>
        </w:rPr>
        <w:t>происходит.</w:t>
      </w:r>
      <w:r>
        <w:rPr>
          <w:i/>
          <w:spacing w:val="-7"/>
          <w:sz w:val="20"/>
        </w:rPr>
        <w:t> </w:t>
      </w:r>
      <w:r>
        <w:rPr>
          <w:i/>
          <w:sz w:val="20"/>
        </w:rPr>
        <w:t>Смотри</w:t>
      </w:r>
      <w:r>
        <w:rPr>
          <w:i/>
          <w:spacing w:val="-7"/>
          <w:sz w:val="20"/>
        </w:rPr>
        <w:t> </w:t>
      </w:r>
      <w:r>
        <w:rPr>
          <w:i/>
          <w:sz w:val="20"/>
        </w:rPr>
        <w:t>сколько</w:t>
      </w:r>
      <w:r>
        <w:rPr>
          <w:i/>
          <w:spacing w:val="-7"/>
          <w:sz w:val="20"/>
        </w:rPr>
        <w:t> </w:t>
      </w:r>
      <w:r>
        <w:rPr>
          <w:i/>
          <w:sz w:val="20"/>
        </w:rPr>
        <w:t>хочешь.</w:t>
      </w:r>
      <w:r>
        <w:rPr>
          <w:i/>
          <w:spacing w:val="-7"/>
          <w:sz w:val="20"/>
        </w:rPr>
        <w:t> </w:t>
      </w:r>
      <w:r>
        <w:rPr>
          <w:i/>
          <w:sz w:val="20"/>
        </w:rPr>
        <w:t>Когда</w:t>
      </w:r>
      <w:r>
        <w:rPr>
          <w:i/>
          <w:spacing w:val="-7"/>
          <w:sz w:val="20"/>
        </w:rPr>
        <w:t> </w:t>
      </w:r>
      <w:r>
        <w:rPr>
          <w:i/>
          <w:sz w:val="20"/>
        </w:rPr>
        <w:t>закончишь,</w:t>
      </w:r>
      <w:r>
        <w:rPr>
          <w:i/>
          <w:spacing w:val="-7"/>
          <w:sz w:val="20"/>
        </w:rPr>
        <w:t> </w:t>
      </w:r>
      <w:r>
        <w:rPr>
          <w:i/>
          <w:sz w:val="20"/>
        </w:rPr>
        <w:t>отвлекись</w:t>
      </w:r>
      <w:r>
        <w:rPr>
          <w:i/>
          <w:spacing w:val="-7"/>
          <w:sz w:val="20"/>
        </w:rPr>
        <w:t> </w:t>
      </w:r>
      <w:r>
        <w:rPr>
          <w:i/>
          <w:sz w:val="20"/>
        </w:rPr>
        <w:t>на секунду и запиши ключевое слово про это место, чтобы не забыть.</w:t>
      </w:r>
    </w:p>
    <w:p>
      <w:pPr>
        <w:spacing w:line="242" w:lineRule="auto" w:before="0"/>
        <w:ind w:left="141" w:right="139" w:firstLine="283"/>
        <w:jc w:val="both"/>
        <w:rPr>
          <w:i/>
          <w:sz w:val="20"/>
        </w:rPr>
      </w:pPr>
      <w:r>
        <w:rPr>
          <w:sz w:val="20"/>
        </w:rPr>
        <w:t>(2.4) </w:t>
      </w:r>
      <w:r>
        <w:rPr>
          <w:i/>
          <w:sz w:val="20"/>
        </w:rPr>
        <w:t>– Опять подними бинокль и двигайся дальше. Продолжай поиск, снова по- вторяя: «А потом...», пока не наткнешься на следующее важное событие. Опять вглядись, запиши ключевое слово и двигайся дальше.</w:t>
      </w:r>
    </w:p>
    <w:p>
      <w:pPr>
        <w:spacing w:line="229" w:lineRule="exact" w:before="0"/>
        <w:ind w:left="425" w:right="0" w:firstLine="0"/>
        <w:jc w:val="both"/>
        <w:rPr>
          <w:i/>
          <w:sz w:val="20"/>
        </w:rPr>
      </w:pPr>
      <w:r>
        <w:rPr>
          <w:sz w:val="20"/>
        </w:rPr>
        <w:t>(2.5)</w:t>
      </w:r>
      <w:r>
        <w:rPr>
          <w:spacing w:val="-4"/>
          <w:sz w:val="20"/>
        </w:rPr>
        <w:t> </w:t>
      </w:r>
      <w:r>
        <w:rPr>
          <w:i/>
          <w:sz w:val="20"/>
        </w:rPr>
        <w:t>–</w:t>
      </w:r>
      <w:r>
        <w:rPr>
          <w:i/>
          <w:spacing w:val="-2"/>
          <w:sz w:val="20"/>
        </w:rPr>
        <w:t> </w:t>
      </w:r>
      <w:r>
        <w:rPr>
          <w:i/>
          <w:sz w:val="20"/>
        </w:rPr>
        <w:t>Продолжай</w:t>
      </w:r>
      <w:r>
        <w:rPr>
          <w:i/>
          <w:spacing w:val="-1"/>
          <w:sz w:val="20"/>
        </w:rPr>
        <w:t> </w:t>
      </w:r>
      <w:r>
        <w:rPr>
          <w:i/>
          <w:sz w:val="20"/>
        </w:rPr>
        <w:t>так</w:t>
      </w:r>
      <w:r>
        <w:rPr>
          <w:i/>
          <w:spacing w:val="-2"/>
          <w:sz w:val="20"/>
        </w:rPr>
        <w:t> </w:t>
      </w:r>
      <w:r>
        <w:rPr>
          <w:i/>
          <w:sz w:val="20"/>
        </w:rPr>
        <w:t>до</w:t>
      </w:r>
      <w:r>
        <w:rPr>
          <w:i/>
          <w:spacing w:val="-1"/>
          <w:sz w:val="20"/>
        </w:rPr>
        <w:t> </w:t>
      </w:r>
      <w:r>
        <w:rPr>
          <w:i/>
          <w:sz w:val="20"/>
        </w:rPr>
        <w:t>тех</w:t>
      </w:r>
      <w:r>
        <w:rPr>
          <w:i/>
          <w:spacing w:val="-2"/>
          <w:sz w:val="20"/>
        </w:rPr>
        <w:t> </w:t>
      </w:r>
      <w:r>
        <w:rPr>
          <w:i/>
          <w:sz w:val="20"/>
        </w:rPr>
        <w:t>пор,</w:t>
      </w:r>
      <w:r>
        <w:rPr>
          <w:i/>
          <w:spacing w:val="-2"/>
          <w:sz w:val="20"/>
        </w:rPr>
        <w:t> </w:t>
      </w:r>
      <w:r>
        <w:rPr>
          <w:i/>
          <w:sz w:val="20"/>
        </w:rPr>
        <w:t>пока</w:t>
      </w:r>
      <w:r>
        <w:rPr>
          <w:i/>
          <w:spacing w:val="-1"/>
          <w:sz w:val="20"/>
        </w:rPr>
        <w:t> </w:t>
      </w:r>
      <w:r>
        <w:rPr>
          <w:i/>
          <w:sz w:val="20"/>
        </w:rPr>
        <w:t>не</w:t>
      </w:r>
      <w:r>
        <w:rPr>
          <w:i/>
          <w:spacing w:val="-2"/>
          <w:sz w:val="20"/>
        </w:rPr>
        <w:t> </w:t>
      </w:r>
      <w:r>
        <w:rPr>
          <w:i/>
          <w:sz w:val="20"/>
        </w:rPr>
        <w:t>дойдешь</w:t>
      </w:r>
      <w:r>
        <w:rPr>
          <w:i/>
          <w:spacing w:val="-2"/>
          <w:sz w:val="20"/>
        </w:rPr>
        <w:t> </w:t>
      </w:r>
      <w:r>
        <w:rPr>
          <w:i/>
          <w:sz w:val="20"/>
        </w:rPr>
        <w:t>до</w:t>
      </w:r>
      <w:r>
        <w:rPr>
          <w:i/>
          <w:spacing w:val="-2"/>
          <w:sz w:val="20"/>
        </w:rPr>
        <w:t> </w:t>
      </w:r>
      <w:r>
        <w:rPr>
          <w:i/>
          <w:sz w:val="20"/>
        </w:rPr>
        <w:t>настоящего</w:t>
      </w:r>
      <w:r>
        <w:rPr>
          <w:i/>
          <w:spacing w:val="-1"/>
          <w:sz w:val="20"/>
        </w:rPr>
        <w:t> </w:t>
      </w:r>
      <w:r>
        <w:rPr>
          <w:i/>
          <w:spacing w:val="-2"/>
          <w:sz w:val="20"/>
        </w:rPr>
        <w:t>времени.</w:t>
      </w:r>
    </w:p>
    <w:p>
      <w:pPr>
        <w:pStyle w:val="ListParagraph"/>
        <w:numPr>
          <w:ilvl w:val="0"/>
          <w:numId w:val="202"/>
        </w:numPr>
        <w:tabs>
          <w:tab w:pos="423" w:val="left" w:leader="none"/>
          <w:tab w:pos="425" w:val="left" w:leader="none"/>
        </w:tabs>
        <w:spacing w:line="242" w:lineRule="auto" w:before="56" w:after="0"/>
        <w:ind w:left="425" w:right="139" w:hanging="284"/>
        <w:jc w:val="both"/>
        <w:rPr>
          <w:sz w:val="20"/>
        </w:rPr>
      </w:pPr>
      <w:r>
        <w:rPr>
          <w:sz w:val="20"/>
        </w:rPr>
        <w:t>После окончания путешествия ведущий предлагает посмотреть на лист с запися- ми – что получилось.</w:t>
      </w:r>
    </w:p>
    <w:p>
      <w:pPr>
        <w:pStyle w:val="ListParagraph"/>
        <w:numPr>
          <w:ilvl w:val="0"/>
          <w:numId w:val="202"/>
        </w:numPr>
        <w:tabs>
          <w:tab w:pos="423" w:val="left" w:leader="none"/>
          <w:tab w:pos="425" w:val="left" w:leader="none"/>
        </w:tabs>
        <w:spacing w:line="240" w:lineRule="auto" w:before="56" w:after="0"/>
        <w:ind w:left="425" w:right="139" w:hanging="284"/>
        <w:jc w:val="both"/>
        <w:rPr>
          <w:sz w:val="20"/>
        </w:rPr>
      </w:pPr>
      <w:r>
        <w:rPr>
          <w:sz w:val="20"/>
        </w:rPr>
        <w:t>Затем</w:t>
      </w:r>
      <w:r>
        <w:rPr>
          <w:spacing w:val="-8"/>
          <w:sz w:val="20"/>
        </w:rPr>
        <w:t> </w:t>
      </w:r>
      <w:r>
        <w:rPr>
          <w:sz w:val="20"/>
        </w:rPr>
        <w:t>следует</w:t>
      </w:r>
      <w:r>
        <w:rPr>
          <w:spacing w:val="-8"/>
          <w:sz w:val="20"/>
        </w:rPr>
        <w:t> </w:t>
      </w:r>
      <w:r>
        <w:rPr>
          <w:sz w:val="20"/>
        </w:rPr>
        <w:t>обсуждение</w:t>
      </w:r>
      <w:r>
        <w:rPr>
          <w:spacing w:val="-8"/>
          <w:sz w:val="20"/>
        </w:rPr>
        <w:t> </w:t>
      </w:r>
      <w:r>
        <w:rPr>
          <w:sz w:val="20"/>
        </w:rPr>
        <w:t>в</w:t>
      </w:r>
      <w:r>
        <w:rPr>
          <w:spacing w:val="-8"/>
          <w:sz w:val="20"/>
        </w:rPr>
        <w:t> </w:t>
      </w:r>
      <w:r>
        <w:rPr>
          <w:sz w:val="20"/>
        </w:rPr>
        <w:t>свободной</w:t>
      </w:r>
      <w:r>
        <w:rPr>
          <w:spacing w:val="-8"/>
          <w:sz w:val="20"/>
        </w:rPr>
        <w:t> </w:t>
      </w:r>
      <w:r>
        <w:rPr>
          <w:sz w:val="20"/>
        </w:rPr>
        <w:t>форме.</w:t>
      </w:r>
      <w:r>
        <w:rPr>
          <w:spacing w:val="-8"/>
          <w:sz w:val="20"/>
        </w:rPr>
        <w:t> </w:t>
      </w:r>
      <w:r>
        <w:rPr>
          <w:sz w:val="20"/>
        </w:rPr>
        <w:t>Не</w:t>
      </w:r>
      <w:r>
        <w:rPr>
          <w:spacing w:val="-8"/>
          <w:sz w:val="20"/>
        </w:rPr>
        <w:t> </w:t>
      </w:r>
      <w:r>
        <w:rPr>
          <w:sz w:val="20"/>
        </w:rPr>
        <w:t>стоит</w:t>
      </w:r>
      <w:r>
        <w:rPr>
          <w:spacing w:val="-8"/>
          <w:sz w:val="20"/>
        </w:rPr>
        <w:t> </w:t>
      </w:r>
      <w:r>
        <w:rPr>
          <w:sz w:val="20"/>
        </w:rPr>
        <w:t>настаивать</w:t>
      </w:r>
      <w:r>
        <w:rPr>
          <w:spacing w:val="-8"/>
          <w:sz w:val="20"/>
        </w:rPr>
        <w:t> </w:t>
      </w:r>
      <w:r>
        <w:rPr>
          <w:sz w:val="20"/>
        </w:rPr>
        <w:t>на</w:t>
      </w:r>
      <w:r>
        <w:rPr>
          <w:spacing w:val="-8"/>
          <w:sz w:val="20"/>
        </w:rPr>
        <w:t> </w:t>
      </w:r>
      <w:r>
        <w:rPr>
          <w:sz w:val="20"/>
        </w:rPr>
        <w:t>том,</w:t>
      </w:r>
      <w:r>
        <w:rPr>
          <w:spacing w:val="-8"/>
          <w:sz w:val="20"/>
        </w:rPr>
        <w:t> </w:t>
      </w:r>
      <w:r>
        <w:rPr>
          <w:sz w:val="20"/>
        </w:rPr>
        <w:t>чтобы ребенок что-то сказал. Единственная необходимая обратная связь – сведения о состоянии</w:t>
      </w:r>
      <w:r>
        <w:rPr>
          <w:spacing w:val="-3"/>
          <w:sz w:val="20"/>
        </w:rPr>
        <w:t> </w:t>
      </w:r>
      <w:r>
        <w:rPr>
          <w:sz w:val="20"/>
        </w:rPr>
        <w:t>ребенка</w:t>
      </w:r>
      <w:r>
        <w:rPr>
          <w:spacing w:val="-3"/>
          <w:sz w:val="20"/>
        </w:rPr>
        <w:t> </w:t>
      </w:r>
      <w:r>
        <w:rPr>
          <w:sz w:val="20"/>
        </w:rPr>
        <w:t>и</w:t>
      </w:r>
      <w:r>
        <w:rPr>
          <w:spacing w:val="-3"/>
          <w:sz w:val="20"/>
        </w:rPr>
        <w:t> </w:t>
      </w:r>
      <w:r>
        <w:rPr>
          <w:sz w:val="20"/>
        </w:rPr>
        <w:t>его</w:t>
      </w:r>
      <w:r>
        <w:rPr>
          <w:spacing w:val="-3"/>
          <w:sz w:val="20"/>
        </w:rPr>
        <w:t> </w:t>
      </w:r>
      <w:r>
        <w:rPr>
          <w:sz w:val="20"/>
        </w:rPr>
        <w:t>ощущениях</w:t>
      </w:r>
      <w:r>
        <w:rPr>
          <w:spacing w:val="-3"/>
          <w:sz w:val="20"/>
        </w:rPr>
        <w:t> </w:t>
      </w:r>
      <w:r>
        <w:rPr>
          <w:sz w:val="20"/>
        </w:rPr>
        <w:t>в</w:t>
      </w:r>
      <w:r>
        <w:rPr>
          <w:spacing w:val="-3"/>
          <w:sz w:val="20"/>
        </w:rPr>
        <w:t> </w:t>
      </w:r>
      <w:r>
        <w:rPr>
          <w:sz w:val="20"/>
        </w:rPr>
        <w:t>теле.</w:t>
      </w:r>
      <w:r>
        <w:rPr>
          <w:spacing w:val="-3"/>
          <w:sz w:val="20"/>
        </w:rPr>
        <w:t> </w:t>
      </w:r>
      <w:r>
        <w:rPr>
          <w:sz w:val="20"/>
        </w:rPr>
        <w:t>Возможно,</w:t>
      </w:r>
      <w:r>
        <w:rPr>
          <w:spacing w:val="-3"/>
          <w:sz w:val="20"/>
        </w:rPr>
        <w:t> </w:t>
      </w:r>
      <w:r>
        <w:rPr>
          <w:sz w:val="20"/>
        </w:rPr>
        <w:t>ребенку</w:t>
      </w:r>
      <w:r>
        <w:rPr>
          <w:spacing w:val="-3"/>
          <w:sz w:val="20"/>
        </w:rPr>
        <w:t> </w:t>
      </w:r>
      <w:r>
        <w:rPr>
          <w:sz w:val="20"/>
        </w:rPr>
        <w:t>потребуется</w:t>
      </w:r>
      <w:r>
        <w:rPr>
          <w:spacing w:val="-3"/>
          <w:sz w:val="20"/>
        </w:rPr>
        <w:t> </w:t>
      </w:r>
      <w:r>
        <w:rPr>
          <w:sz w:val="20"/>
        </w:rPr>
        <w:t>под-</w:t>
      </w:r>
    </w:p>
    <w:p>
      <w:pPr>
        <w:pStyle w:val="ListParagraph"/>
        <w:spacing w:after="0" w:line="240" w:lineRule="auto"/>
        <w:jc w:val="both"/>
        <w:rPr>
          <w:sz w:val="20"/>
        </w:rPr>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line="235" w:lineRule="auto" w:before="116"/>
        <w:ind w:left="425" w:firstLine="0"/>
      </w:pPr>
      <w:r>
        <w:rPr/>
        <w:t>держка,</w:t>
      </w:r>
      <w:r>
        <w:rPr>
          <w:spacing w:val="-1"/>
        </w:rPr>
        <w:t> </w:t>
      </w:r>
      <w:r>
        <w:rPr/>
        <w:t>поэтому</w:t>
      </w:r>
      <w:r>
        <w:rPr>
          <w:spacing w:val="-1"/>
        </w:rPr>
        <w:t> </w:t>
      </w:r>
      <w:r>
        <w:rPr/>
        <w:t>психологу</w:t>
      </w:r>
      <w:r>
        <w:rPr>
          <w:spacing w:val="-1"/>
        </w:rPr>
        <w:t> </w:t>
      </w:r>
      <w:r>
        <w:rPr/>
        <w:t>надо</w:t>
      </w:r>
      <w:r>
        <w:rPr>
          <w:spacing w:val="-1"/>
        </w:rPr>
        <w:t> </w:t>
      </w:r>
      <w:r>
        <w:rPr/>
        <w:t>быть</w:t>
      </w:r>
      <w:r>
        <w:rPr>
          <w:spacing w:val="-1"/>
        </w:rPr>
        <w:t> </w:t>
      </w:r>
      <w:r>
        <w:rPr/>
        <w:t>внимательным</w:t>
      </w:r>
      <w:r>
        <w:rPr>
          <w:spacing w:val="-1"/>
        </w:rPr>
        <w:t> </w:t>
      </w:r>
      <w:r>
        <w:rPr/>
        <w:t>к</w:t>
      </w:r>
      <w:r>
        <w:rPr>
          <w:spacing w:val="-1"/>
        </w:rPr>
        <w:t> </w:t>
      </w:r>
      <w:r>
        <w:rPr/>
        <w:t>возникновению</w:t>
      </w:r>
      <w:r>
        <w:rPr>
          <w:spacing w:val="-1"/>
        </w:rPr>
        <w:t> </w:t>
      </w:r>
      <w:r>
        <w:rPr/>
        <w:t>напряже- ния после упражнения.</w:t>
      </w:r>
    </w:p>
    <w:p>
      <w:pPr>
        <w:pStyle w:val="BodyText"/>
        <w:spacing w:line="235" w:lineRule="auto" w:before="1"/>
      </w:pPr>
      <w:r>
        <w:rPr/>
        <w:t>Иногда</w:t>
      </w:r>
      <w:r>
        <w:rPr>
          <w:spacing w:val="-7"/>
        </w:rPr>
        <w:t> </w:t>
      </w:r>
      <w:r>
        <w:rPr/>
        <w:t>на</w:t>
      </w:r>
      <w:r>
        <w:rPr>
          <w:spacing w:val="-7"/>
        </w:rPr>
        <w:t> </w:t>
      </w:r>
      <w:r>
        <w:rPr/>
        <w:t>«дороге»</w:t>
      </w:r>
      <w:r>
        <w:rPr>
          <w:spacing w:val="-7"/>
        </w:rPr>
        <w:t> </w:t>
      </w:r>
      <w:r>
        <w:rPr/>
        <w:t>могут</w:t>
      </w:r>
      <w:r>
        <w:rPr>
          <w:spacing w:val="-7"/>
        </w:rPr>
        <w:t> </w:t>
      </w:r>
      <w:r>
        <w:rPr/>
        <w:t>появляться</w:t>
      </w:r>
      <w:r>
        <w:rPr>
          <w:spacing w:val="-7"/>
        </w:rPr>
        <w:t> </w:t>
      </w:r>
      <w:r>
        <w:rPr/>
        <w:t>травматичные</w:t>
      </w:r>
      <w:r>
        <w:rPr>
          <w:spacing w:val="-7"/>
        </w:rPr>
        <w:t> </w:t>
      </w:r>
      <w:r>
        <w:rPr/>
        <w:t>эпизоды.</w:t>
      </w:r>
      <w:r>
        <w:rPr>
          <w:spacing w:val="-7"/>
        </w:rPr>
        <w:t> </w:t>
      </w:r>
      <w:r>
        <w:rPr/>
        <w:t>В</w:t>
      </w:r>
      <w:r>
        <w:rPr>
          <w:spacing w:val="-7"/>
        </w:rPr>
        <w:t> </w:t>
      </w:r>
      <w:r>
        <w:rPr/>
        <w:t>этот</w:t>
      </w:r>
      <w:r>
        <w:rPr>
          <w:spacing w:val="-7"/>
        </w:rPr>
        <w:t> </w:t>
      </w:r>
      <w:r>
        <w:rPr/>
        <w:t>момент</w:t>
      </w:r>
      <w:r>
        <w:rPr>
          <w:spacing w:val="-7"/>
        </w:rPr>
        <w:t> </w:t>
      </w:r>
      <w:r>
        <w:rPr/>
        <w:t>пси- хологу нужно быть особо внимательным к реакциям ребенка, в том числе и теле- сным.</w:t>
      </w:r>
      <w:r>
        <w:rPr>
          <w:spacing w:val="-9"/>
        </w:rPr>
        <w:t> </w:t>
      </w:r>
      <w:r>
        <w:rPr/>
        <w:t>При</w:t>
      </w:r>
      <w:r>
        <w:rPr>
          <w:spacing w:val="-9"/>
        </w:rPr>
        <w:t> </w:t>
      </w:r>
      <w:r>
        <w:rPr/>
        <w:t>малейшем</w:t>
      </w:r>
      <w:r>
        <w:rPr>
          <w:spacing w:val="-9"/>
        </w:rPr>
        <w:t> </w:t>
      </w:r>
      <w:r>
        <w:rPr/>
        <w:t>признаке</w:t>
      </w:r>
      <w:r>
        <w:rPr>
          <w:spacing w:val="-9"/>
        </w:rPr>
        <w:t> </w:t>
      </w:r>
      <w:r>
        <w:rPr/>
        <w:t>ухудшения</w:t>
      </w:r>
      <w:r>
        <w:rPr>
          <w:spacing w:val="-9"/>
        </w:rPr>
        <w:t> </w:t>
      </w:r>
      <w:r>
        <w:rPr/>
        <w:t>самочувствия</w:t>
      </w:r>
      <w:r>
        <w:rPr>
          <w:spacing w:val="-9"/>
        </w:rPr>
        <w:t> </w:t>
      </w:r>
      <w:r>
        <w:rPr/>
        <w:t>стоит</w:t>
      </w:r>
      <w:r>
        <w:rPr>
          <w:spacing w:val="-9"/>
        </w:rPr>
        <w:t> </w:t>
      </w:r>
      <w:r>
        <w:rPr/>
        <w:t>прервать</w:t>
      </w:r>
      <w:r>
        <w:rPr>
          <w:spacing w:val="-9"/>
        </w:rPr>
        <w:t> </w:t>
      </w:r>
      <w:r>
        <w:rPr/>
        <w:t>выполнение техники и перейти к ресурсным техникам из компонента 2.</w:t>
      </w:r>
    </w:p>
    <w:p>
      <w:pPr>
        <w:pStyle w:val="BodyText"/>
        <w:spacing w:line="232" w:lineRule="auto" w:before="4"/>
      </w:pPr>
      <w:r>
        <w:rPr/>
        <w:t>Рекомендуемая продолжительность техники «Дорога жизни» при первых предъ- явлениях – 20–30 минут, поэтому сначала стоит ограничиться десятью ключевыми </w:t>
      </w:r>
      <w:r>
        <w:rPr>
          <w:spacing w:val="-2"/>
        </w:rPr>
        <w:t>эпизодами.</w:t>
      </w:r>
    </w:p>
    <w:p>
      <w:pPr>
        <w:pStyle w:val="BodyText"/>
        <w:spacing w:line="232" w:lineRule="auto" w:before="1"/>
      </w:pPr>
      <w:r>
        <w:rPr/>
        <w:t>В ряде случаев (необходимость должна быть четко осознана психологом) можно строить обсуждение по вопросам. Например:</w:t>
      </w:r>
    </w:p>
    <w:p>
      <w:pPr>
        <w:spacing w:line="232" w:lineRule="auto" w:before="0"/>
        <w:ind w:left="141" w:right="139" w:firstLine="283"/>
        <w:jc w:val="both"/>
        <w:rPr>
          <w:i/>
          <w:sz w:val="20"/>
        </w:rPr>
      </w:pPr>
      <w:r>
        <w:rPr>
          <w:i/>
          <w:sz w:val="20"/>
        </w:rPr>
        <w:t>−</w:t>
      </w:r>
      <w:r>
        <w:rPr>
          <w:i/>
          <w:spacing w:val="-11"/>
          <w:sz w:val="20"/>
        </w:rPr>
        <w:t> </w:t>
      </w:r>
      <w:r>
        <w:rPr>
          <w:i/>
          <w:sz w:val="20"/>
        </w:rPr>
        <w:t>Какие</w:t>
      </w:r>
      <w:r>
        <w:rPr>
          <w:i/>
          <w:spacing w:val="-11"/>
          <w:sz w:val="20"/>
        </w:rPr>
        <w:t> </w:t>
      </w:r>
      <w:r>
        <w:rPr>
          <w:i/>
          <w:sz w:val="20"/>
        </w:rPr>
        <w:t>из</w:t>
      </w:r>
      <w:r>
        <w:rPr>
          <w:i/>
          <w:spacing w:val="-11"/>
          <w:sz w:val="20"/>
        </w:rPr>
        <w:t> </w:t>
      </w:r>
      <w:r>
        <w:rPr>
          <w:i/>
          <w:sz w:val="20"/>
        </w:rPr>
        <w:t>ключевых</w:t>
      </w:r>
      <w:r>
        <w:rPr>
          <w:i/>
          <w:spacing w:val="-11"/>
          <w:sz w:val="20"/>
        </w:rPr>
        <w:t> </w:t>
      </w:r>
      <w:r>
        <w:rPr>
          <w:i/>
          <w:sz w:val="20"/>
        </w:rPr>
        <w:t>слов,</w:t>
      </w:r>
      <w:r>
        <w:rPr>
          <w:i/>
          <w:spacing w:val="-11"/>
          <w:sz w:val="20"/>
        </w:rPr>
        <w:t> </w:t>
      </w:r>
      <w:r>
        <w:rPr>
          <w:i/>
          <w:sz w:val="20"/>
        </w:rPr>
        <w:t>записанных</w:t>
      </w:r>
      <w:r>
        <w:rPr>
          <w:i/>
          <w:spacing w:val="-11"/>
          <w:sz w:val="20"/>
        </w:rPr>
        <w:t> </w:t>
      </w:r>
      <w:r>
        <w:rPr>
          <w:i/>
          <w:sz w:val="20"/>
        </w:rPr>
        <w:t>тобой,</w:t>
      </w:r>
      <w:r>
        <w:rPr>
          <w:i/>
          <w:spacing w:val="-11"/>
          <w:sz w:val="20"/>
        </w:rPr>
        <w:t> </w:t>
      </w:r>
      <w:r>
        <w:rPr>
          <w:i/>
          <w:sz w:val="20"/>
        </w:rPr>
        <w:t>напоминают</w:t>
      </w:r>
      <w:r>
        <w:rPr>
          <w:i/>
          <w:spacing w:val="-11"/>
          <w:sz w:val="20"/>
        </w:rPr>
        <w:t> </w:t>
      </w:r>
      <w:r>
        <w:rPr>
          <w:i/>
          <w:sz w:val="20"/>
        </w:rPr>
        <w:t>о</w:t>
      </w:r>
      <w:r>
        <w:rPr>
          <w:i/>
          <w:spacing w:val="-11"/>
          <w:sz w:val="20"/>
        </w:rPr>
        <w:t> </w:t>
      </w:r>
      <w:r>
        <w:rPr>
          <w:i/>
          <w:sz w:val="20"/>
        </w:rPr>
        <w:t>событиях,</w:t>
      </w:r>
      <w:r>
        <w:rPr>
          <w:i/>
          <w:spacing w:val="-11"/>
          <w:sz w:val="20"/>
        </w:rPr>
        <w:t> </w:t>
      </w:r>
      <w:r>
        <w:rPr>
          <w:i/>
          <w:sz w:val="20"/>
        </w:rPr>
        <w:t>когда</w:t>
      </w:r>
      <w:r>
        <w:rPr>
          <w:i/>
          <w:spacing w:val="-11"/>
          <w:sz w:val="20"/>
        </w:rPr>
        <w:t> </w:t>
      </w:r>
      <w:r>
        <w:rPr>
          <w:i/>
          <w:sz w:val="20"/>
        </w:rPr>
        <w:t>ты был уверен в себе, гордился собой?</w:t>
      </w:r>
    </w:p>
    <w:p>
      <w:pPr>
        <w:spacing w:line="232" w:lineRule="auto" w:before="0"/>
        <w:ind w:left="141" w:right="139" w:firstLine="283"/>
        <w:jc w:val="both"/>
        <w:rPr>
          <w:i/>
          <w:sz w:val="20"/>
        </w:rPr>
      </w:pPr>
      <w:r>
        <w:rPr>
          <w:i/>
          <w:sz w:val="20"/>
        </w:rPr>
        <w:t>− Какие из ключевых слов, записанных тобой, рождают прямо противополож- ные воспоминания?</w:t>
      </w:r>
    </w:p>
    <w:p>
      <w:pPr>
        <w:spacing w:line="232" w:lineRule="auto" w:before="0"/>
        <w:ind w:left="141" w:right="139" w:firstLine="283"/>
        <w:jc w:val="both"/>
        <w:rPr>
          <w:i/>
          <w:sz w:val="20"/>
        </w:rPr>
      </w:pPr>
      <w:r>
        <w:rPr>
          <w:i/>
          <w:sz w:val="20"/>
        </w:rPr>
        <w:t>− Каких событий, встреченных на дороге, ты хотел бы, чтобы в твоей жизни было больше? Каких – меньше?</w:t>
      </w:r>
    </w:p>
    <w:p>
      <w:pPr>
        <w:pStyle w:val="BodyText"/>
        <w:spacing w:line="232" w:lineRule="auto"/>
      </w:pPr>
      <w:r>
        <w:rPr/>
        <w:t>Если</w:t>
      </w:r>
      <w:r>
        <w:rPr>
          <w:spacing w:val="-8"/>
        </w:rPr>
        <w:t> </w:t>
      </w:r>
      <w:r>
        <w:rPr/>
        <w:t>ребенок</w:t>
      </w:r>
      <w:r>
        <w:rPr>
          <w:spacing w:val="-8"/>
        </w:rPr>
        <w:t> </w:t>
      </w:r>
      <w:r>
        <w:rPr/>
        <w:t>открыто</w:t>
      </w:r>
      <w:r>
        <w:rPr>
          <w:spacing w:val="-8"/>
        </w:rPr>
        <w:t> </w:t>
      </w:r>
      <w:r>
        <w:rPr/>
        <w:t>говорит</w:t>
      </w:r>
      <w:r>
        <w:rPr>
          <w:spacing w:val="-8"/>
        </w:rPr>
        <w:t> </w:t>
      </w:r>
      <w:r>
        <w:rPr/>
        <w:t>о</w:t>
      </w:r>
      <w:r>
        <w:rPr>
          <w:spacing w:val="-8"/>
        </w:rPr>
        <w:t> </w:t>
      </w:r>
      <w:r>
        <w:rPr/>
        <w:t>травматическом</w:t>
      </w:r>
      <w:r>
        <w:rPr>
          <w:spacing w:val="-8"/>
        </w:rPr>
        <w:t> </w:t>
      </w:r>
      <w:r>
        <w:rPr/>
        <w:t>эпизоде</w:t>
      </w:r>
      <w:r>
        <w:rPr>
          <w:spacing w:val="-8"/>
        </w:rPr>
        <w:t> </w:t>
      </w:r>
      <w:r>
        <w:rPr/>
        <w:t>и</w:t>
      </w:r>
      <w:r>
        <w:rPr>
          <w:spacing w:val="-8"/>
        </w:rPr>
        <w:t> </w:t>
      </w:r>
      <w:r>
        <w:rPr/>
        <w:t>эмоционально</w:t>
      </w:r>
      <w:r>
        <w:rPr>
          <w:spacing w:val="-8"/>
        </w:rPr>
        <w:t> </w:t>
      </w:r>
      <w:r>
        <w:rPr/>
        <w:t>готов</w:t>
      </w:r>
      <w:r>
        <w:rPr>
          <w:spacing w:val="-8"/>
        </w:rPr>
        <w:t> </w:t>
      </w:r>
      <w:r>
        <w:rPr/>
        <w:t>к общению о нем, возможно модифицировать технику, углубить ее.</w:t>
      </w:r>
    </w:p>
    <w:p>
      <w:pPr>
        <w:pStyle w:val="ListParagraph"/>
        <w:numPr>
          <w:ilvl w:val="0"/>
          <w:numId w:val="203"/>
        </w:numPr>
        <w:tabs>
          <w:tab w:pos="423" w:val="left" w:leader="none"/>
          <w:tab w:pos="425" w:val="left" w:leader="none"/>
        </w:tabs>
        <w:spacing w:line="232" w:lineRule="auto" w:before="46" w:after="0"/>
        <w:ind w:left="425" w:right="139" w:hanging="284"/>
        <w:jc w:val="both"/>
        <w:rPr>
          <w:sz w:val="20"/>
        </w:rPr>
      </w:pPr>
      <w:r>
        <w:rPr>
          <w:sz w:val="20"/>
        </w:rPr>
        <w:t>В процессе наблюдения за «дорогой» психолог просит специально отметить ме- сто травмы (неприятного события).</w:t>
      </w:r>
    </w:p>
    <w:p>
      <w:pPr>
        <w:pStyle w:val="ListParagraph"/>
        <w:numPr>
          <w:ilvl w:val="0"/>
          <w:numId w:val="203"/>
        </w:numPr>
        <w:tabs>
          <w:tab w:pos="423" w:val="left" w:leader="none"/>
          <w:tab w:pos="425" w:val="left" w:leader="none"/>
        </w:tabs>
        <w:spacing w:line="232" w:lineRule="auto" w:before="55" w:after="0"/>
        <w:ind w:left="425" w:right="139" w:hanging="284"/>
        <w:jc w:val="both"/>
        <w:rPr>
          <w:sz w:val="20"/>
        </w:rPr>
      </w:pPr>
      <w:r>
        <w:rPr>
          <w:sz w:val="20"/>
        </w:rPr>
        <w:t>Психолог просит ребенка внимательно рассмотреть окрестности и обратить вни- мание, где на «дороге жизни» начинается и где заканчивается травма. Если ре- бенок не может увидеть окончание, нужно попросить представить, как могла бы выглядеть</w:t>
      </w:r>
      <w:r>
        <w:rPr>
          <w:spacing w:val="-12"/>
          <w:sz w:val="20"/>
        </w:rPr>
        <w:t> </w:t>
      </w:r>
      <w:r>
        <w:rPr>
          <w:sz w:val="20"/>
        </w:rPr>
        <w:t>дорога,</w:t>
      </w:r>
      <w:r>
        <w:rPr>
          <w:spacing w:val="-12"/>
          <w:sz w:val="20"/>
        </w:rPr>
        <w:t> </w:t>
      </w:r>
      <w:r>
        <w:rPr>
          <w:sz w:val="20"/>
        </w:rPr>
        <w:t>если</w:t>
      </w:r>
      <w:r>
        <w:rPr>
          <w:spacing w:val="-12"/>
          <w:sz w:val="20"/>
        </w:rPr>
        <w:t> </w:t>
      </w:r>
      <w:r>
        <w:rPr>
          <w:sz w:val="20"/>
        </w:rPr>
        <w:t>бы</w:t>
      </w:r>
      <w:r>
        <w:rPr>
          <w:spacing w:val="-12"/>
          <w:sz w:val="20"/>
        </w:rPr>
        <w:t> </w:t>
      </w:r>
      <w:r>
        <w:rPr>
          <w:sz w:val="20"/>
        </w:rPr>
        <w:t>неприятное</w:t>
      </w:r>
      <w:r>
        <w:rPr>
          <w:spacing w:val="-12"/>
          <w:sz w:val="20"/>
        </w:rPr>
        <w:t> </w:t>
      </w:r>
      <w:r>
        <w:rPr>
          <w:sz w:val="20"/>
        </w:rPr>
        <w:t>событие</w:t>
      </w:r>
      <w:r>
        <w:rPr>
          <w:spacing w:val="-12"/>
          <w:sz w:val="20"/>
        </w:rPr>
        <w:t> </w:t>
      </w:r>
      <w:r>
        <w:rPr>
          <w:sz w:val="20"/>
        </w:rPr>
        <w:t>закончилось.</w:t>
      </w:r>
      <w:r>
        <w:rPr>
          <w:spacing w:val="-12"/>
          <w:sz w:val="20"/>
        </w:rPr>
        <w:t> </w:t>
      </w:r>
      <w:r>
        <w:rPr>
          <w:sz w:val="20"/>
        </w:rPr>
        <w:t>Важно</w:t>
      </w:r>
      <w:r>
        <w:rPr>
          <w:spacing w:val="-12"/>
          <w:sz w:val="20"/>
        </w:rPr>
        <w:t> </w:t>
      </w:r>
      <w:r>
        <w:rPr>
          <w:sz w:val="20"/>
        </w:rPr>
        <w:t>обратить</w:t>
      </w:r>
      <w:r>
        <w:rPr>
          <w:spacing w:val="-12"/>
          <w:sz w:val="20"/>
        </w:rPr>
        <w:t> </w:t>
      </w:r>
      <w:r>
        <w:rPr>
          <w:sz w:val="20"/>
        </w:rPr>
        <w:t>осо- бое</w:t>
      </w:r>
      <w:r>
        <w:rPr>
          <w:spacing w:val="-6"/>
          <w:sz w:val="20"/>
        </w:rPr>
        <w:t> </w:t>
      </w:r>
      <w:r>
        <w:rPr>
          <w:sz w:val="20"/>
        </w:rPr>
        <w:t>внимание</w:t>
      </w:r>
      <w:r>
        <w:rPr>
          <w:spacing w:val="-6"/>
          <w:sz w:val="20"/>
        </w:rPr>
        <w:t> </w:t>
      </w:r>
      <w:r>
        <w:rPr>
          <w:sz w:val="20"/>
        </w:rPr>
        <w:t>на</w:t>
      </w:r>
      <w:r>
        <w:rPr>
          <w:spacing w:val="-6"/>
          <w:sz w:val="20"/>
        </w:rPr>
        <w:t> </w:t>
      </w:r>
      <w:r>
        <w:rPr>
          <w:sz w:val="20"/>
        </w:rPr>
        <w:t>точку</w:t>
      </w:r>
      <w:r>
        <w:rPr>
          <w:spacing w:val="-6"/>
          <w:sz w:val="20"/>
        </w:rPr>
        <w:t> </w:t>
      </w:r>
      <w:r>
        <w:rPr>
          <w:sz w:val="20"/>
        </w:rPr>
        <w:t>перехода</w:t>
      </w:r>
      <w:r>
        <w:rPr>
          <w:spacing w:val="-6"/>
          <w:sz w:val="20"/>
        </w:rPr>
        <w:t> </w:t>
      </w:r>
      <w:r>
        <w:rPr>
          <w:sz w:val="20"/>
        </w:rPr>
        <w:t>между</w:t>
      </w:r>
      <w:r>
        <w:rPr>
          <w:spacing w:val="-6"/>
          <w:sz w:val="20"/>
        </w:rPr>
        <w:t> </w:t>
      </w:r>
      <w:r>
        <w:rPr>
          <w:sz w:val="20"/>
        </w:rPr>
        <w:t>травмой</w:t>
      </w:r>
      <w:r>
        <w:rPr>
          <w:spacing w:val="-6"/>
          <w:sz w:val="20"/>
        </w:rPr>
        <w:t> </w:t>
      </w:r>
      <w:r>
        <w:rPr>
          <w:sz w:val="20"/>
        </w:rPr>
        <w:t>и</w:t>
      </w:r>
      <w:r>
        <w:rPr>
          <w:spacing w:val="-6"/>
          <w:sz w:val="20"/>
        </w:rPr>
        <w:t> </w:t>
      </w:r>
      <w:r>
        <w:rPr>
          <w:sz w:val="20"/>
        </w:rPr>
        <w:t>ее</w:t>
      </w:r>
      <w:r>
        <w:rPr>
          <w:spacing w:val="-6"/>
          <w:sz w:val="20"/>
        </w:rPr>
        <w:t> </w:t>
      </w:r>
      <w:r>
        <w:rPr>
          <w:sz w:val="20"/>
        </w:rPr>
        <w:t>отсутствием.</w:t>
      </w:r>
      <w:r>
        <w:rPr>
          <w:spacing w:val="-6"/>
          <w:sz w:val="20"/>
        </w:rPr>
        <w:t> </w:t>
      </w:r>
      <w:r>
        <w:rPr>
          <w:sz w:val="20"/>
        </w:rPr>
        <w:t>Таким</w:t>
      </w:r>
      <w:r>
        <w:rPr>
          <w:spacing w:val="-6"/>
          <w:sz w:val="20"/>
        </w:rPr>
        <w:t> </w:t>
      </w:r>
      <w:r>
        <w:rPr>
          <w:sz w:val="20"/>
        </w:rPr>
        <w:t>образом выстраиваются границы травмы.</w:t>
      </w:r>
    </w:p>
    <w:p>
      <w:pPr>
        <w:pStyle w:val="ListParagraph"/>
        <w:numPr>
          <w:ilvl w:val="0"/>
          <w:numId w:val="203"/>
        </w:numPr>
        <w:tabs>
          <w:tab w:pos="423" w:val="left" w:leader="none"/>
          <w:tab w:pos="425" w:val="left" w:leader="none"/>
        </w:tabs>
        <w:spacing w:line="232" w:lineRule="auto" w:before="50" w:after="0"/>
        <w:ind w:left="425" w:right="139" w:hanging="284"/>
        <w:jc w:val="both"/>
        <w:rPr>
          <w:sz w:val="20"/>
        </w:rPr>
      </w:pPr>
      <w:r>
        <w:rPr>
          <w:sz w:val="20"/>
        </w:rPr>
        <w:t>Психолог предлагает ребенку посмотреть на всю жизнь (на всю «дорогу») и как бы сделать панорамное фото. После этого он просит ребенка сообщить, какую часть «кадра» занимает травма (неприятное событие). Это можно также изобра- зить на схеме на листе бумаги.</w:t>
      </w:r>
    </w:p>
    <w:p>
      <w:pPr>
        <w:pStyle w:val="BodyText"/>
        <w:spacing w:line="232" w:lineRule="auto"/>
      </w:pPr>
      <w:r>
        <w:rPr/>
        <w:t>Если место травмы в «панораме жизни» значительно больше половины, можно попросить ребенка как бы отойти подальше, чтобы пространство травмы уменьши- лось (как и всё, от чего мы отдаляемся).</w:t>
      </w:r>
    </w:p>
    <w:p>
      <w:pPr>
        <w:pStyle w:val="ListParagraph"/>
        <w:numPr>
          <w:ilvl w:val="0"/>
          <w:numId w:val="203"/>
        </w:numPr>
        <w:tabs>
          <w:tab w:pos="423" w:val="left" w:leader="none"/>
          <w:tab w:pos="425" w:val="left" w:leader="none"/>
        </w:tabs>
        <w:spacing w:line="232" w:lineRule="auto" w:before="49" w:after="0"/>
        <w:ind w:left="425" w:right="139" w:hanging="284"/>
        <w:jc w:val="both"/>
        <w:rPr>
          <w:sz w:val="20"/>
        </w:rPr>
      </w:pPr>
      <w:r>
        <w:rPr>
          <w:sz w:val="20"/>
        </w:rPr>
        <w:t>Психолог просит ребенка вглядеться в события, не связанные с травмой. Можно </w:t>
      </w:r>
      <w:r>
        <w:rPr>
          <w:spacing w:val="-2"/>
          <w:sz w:val="20"/>
        </w:rPr>
        <w:t>выбрать</w:t>
      </w:r>
      <w:r>
        <w:rPr>
          <w:spacing w:val="-5"/>
          <w:sz w:val="20"/>
        </w:rPr>
        <w:t> </w:t>
      </w:r>
      <w:r>
        <w:rPr>
          <w:spacing w:val="-2"/>
          <w:sz w:val="20"/>
        </w:rPr>
        <w:t>одно</w:t>
      </w:r>
      <w:r>
        <w:rPr>
          <w:spacing w:val="-5"/>
          <w:sz w:val="20"/>
        </w:rPr>
        <w:t> </w:t>
      </w:r>
      <w:r>
        <w:rPr>
          <w:spacing w:val="-2"/>
          <w:sz w:val="20"/>
        </w:rPr>
        <w:t>из</w:t>
      </w:r>
      <w:r>
        <w:rPr>
          <w:spacing w:val="-5"/>
          <w:sz w:val="20"/>
        </w:rPr>
        <w:t> </w:t>
      </w:r>
      <w:r>
        <w:rPr>
          <w:spacing w:val="-2"/>
          <w:sz w:val="20"/>
        </w:rPr>
        <w:t>них</w:t>
      </w:r>
      <w:r>
        <w:rPr>
          <w:spacing w:val="-5"/>
          <w:sz w:val="20"/>
        </w:rPr>
        <w:t> </w:t>
      </w:r>
      <w:r>
        <w:rPr>
          <w:spacing w:val="-2"/>
          <w:sz w:val="20"/>
        </w:rPr>
        <w:t>или</w:t>
      </w:r>
      <w:r>
        <w:rPr>
          <w:spacing w:val="-5"/>
          <w:sz w:val="20"/>
        </w:rPr>
        <w:t> </w:t>
      </w:r>
      <w:r>
        <w:rPr>
          <w:spacing w:val="-2"/>
          <w:sz w:val="20"/>
        </w:rPr>
        <w:t>несколько</w:t>
      </w:r>
      <w:r>
        <w:rPr>
          <w:spacing w:val="-5"/>
          <w:sz w:val="20"/>
        </w:rPr>
        <w:t> </w:t>
      </w:r>
      <w:r>
        <w:rPr>
          <w:spacing w:val="-2"/>
          <w:sz w:val="20"/>
        </w:rPr>
        <w:t>по</w:t>
      </w:r>
      <w:r>
        <w:rPr>
          <w:spacing w:val="-5"/>
          <w:sz w:val="20"/>
        </w:rPr>
        <w:t> </w:t>
      </w:r>
      <w:r>
        <w:rPr>
          <w:spacing w:val="-2"/>
          <w:sz w:val="20"/>
        </w:rPr>
        <w:t>очереди.</w:t>
      </w:r>
      <w:r>
        <w:rPr>
          <w:spacing w:val="-5"/>
          <w:sz w:val="20"/>
        </w:rPr>
        <w:t> </w:t>
      </w:r>
      <w:r>
        <w:rPr>
          <w:spacing w:val="-2"/>
          <w:sz w:val="20"/>
        </w:rPr>
        <w:t>При</w:t>
      </w:r>
      <w:r>
        <w:rPr>
          <w:spacing w:val="-5"/>
          <w:sz w:val="20"/>
        </w:rPr>
        <w:t> </w:t>
      </w:r>
      <w:r>
        <w:rPr>
          <w:spacing w:val="-2"/>
          <w:sz w:val="20"/>
        </w:rPr>
        <w:t>этом</w:t>
      </w:r>
      <w:r>
        <w:rPr>
          <w:spacing w:val="-5"/>
          <w:sz w:val="20"/>
        </w:rPr>
        <w:t> </w:t>
      </w:r>
      <w:r>
        <w:rPr>
          <w:spacing w:val="-2"/>
          <w:sz w:val="20"/>
        </w:rPr>
        <w:t>психолог</w:t>
      </w:r>
      <w:r>
        <w:rPr>
          <w:spacing w:val="-5"/>
          <w:sz w:val="20"/>
        </w:rPr>
        <w:t> </w:t>
      </w:r>
      <w:r>
        <w:rPr>
          <w:spacing w:val="-2"/>
          <w:sz w:val="20"/>
        </w:rPr>
        <w:t>просит</w:t>
      </w:r>
      <w:r>
        <w:rPr>
          <w:spacing w:val="-5"/>
          <w:sz w:val="20"/>
        </w:rPr>
        <w:t> </w:t>
      </w:r>
      <w:r>
        <w:rPr>
          <w:spacing w:val="-2"/>
          <w:sz w:val="20"/>
        </w:rPr>
        <w:t>ребенка </w:t>
      </w:r>
      <w:r>
        <w:rPr>
          <w:sz w:val="20"/>
        </w:rPr>
        <w:t>следить</w:t>
      </w:r>
      <w:r>
        <w:rPr>
          <w:spacing w:val="-3"/>
          <w:sz w:val="20"/>
        </w:rPr>
        <w:t> </w:t>
      </w:r>
      <w:r>
        <w:rPr>
          <w:sz w:val="20"/>
        </w:rPr>
        <w:t>за</w:t>
      </w:r>
      <w:r>
        <w:rPr>
          <w:spacing w:val="-3"/>
          <w:sz w:val="20"/>
        </w:rPr>
        <w:t> </w:t>
      </w:r>
      <w:r>
        <w:rPr>
          <w:sz w:val="20"/>
        </w:rPr>
        <w:t>ощущениями</w:t>
      </w:r>
      <w:r>
        <w:rPr>
          <w:spacing w:val="-3"/>
          <w:sz w:val="20"/>
        </w:rPr>
        <w:t> </w:t>
      </w:r>
      <w:r>
        <w:rPr>
          <w:sz w:val="20"/>
        </w:rPr>
        <w:t>в</w:t>
      </w:r>
      <w:r>
        <w:rPr>
          <w:spacing w:val="-3"/>
          <w:sz w:val="20"/>
        </w:rPr>
        <w:t> </w:t>
      </w:r>
      <w:r>
        <w:rPr>
          <w:sz w:val="20"/>
        </w:rPr>
        <w:t>теле.</w:t>
      </w:r>
      <w:r>
        <w:rPr>
          <w:spacing w:val="-3"/>
          <w:sz w:val="20"/>
        </w:rPr>
        <w:t> </w:t>
      </w:r>
      <w:r>
        <w:rPr>
          <w:sz w:val="20"/>
        </w:rPr>
        <w:t>Через</w:t>
      </w:r>
      <w:r>
        <w:rPr>
          <w:spacing w:val="-3"/>
          <w:sz w:val="20"/>
        </w:rPr>
        <w:t> </w:t>
      </w:r>
      <w:r>
        <w:rPr>
          <w:sz w:val="20"/>
        </w:rPr>
        <w:t>некоторое</w:t>
      </w:r>
      <w:r>
        <w:rPr>
          <w:spacing w:val="-3"/>
          <w:sz w:val="20"/>
        </w:rPr>
        <w:t> </w:t>
      </w:r>
      <w:r>
        <w:rPr>
          <w:sz w:val="20"/>
        </w:rPr>
        <w:t>время</w:t>
      </w:r>
      <w:r>
        <w:rPr>
          <w:spacing w:val="-3"/>
          <w:sz w:val="20"/>
        </w:rPr>
        <w:t> </w:t>
      </w:r>
      <w:r>
        <w:rPr>
          <w:sz w:val="20"/>
        </w:rPr>
        <w:t>можно</w:t>
      </w:r>
      <w:r>
        <w:rPr>
          <w:spacing w:val="-3"/>
          <w:sz w:val="20"/>
        </w:rPr>
        <w:t> </w:t>
      </w:r>
      <w:r>
        <w:rPr>
          <w:sz w:val="20"/>
        </w:rPr>
        <w:t>попросить</w:t>
      </w:r>
      <w:r>
        <w:rPr>
          <w:spacing w:val="-3"/>
          <w:sz w:val="20"/>
        </w:rPr>
        <w:t> </w:t>
      </w:r>
      <w:r>
        <w:rPr>
          <w:sz w:val="20"/>
        </w:rPr>
        <w:t>ребенка вновь посмотреть на «панораму жизни». Психолог спрашивает, увеличилась ли</w:t>
      </w:r>
      <w:r>
        <w:rPr>
          <w:spacing w:val="80"/>
          <w:sz w:val="20"/>
        </w:rPr>
        <w:t> </w:t>
      </w:r>
      <w:r>
        <w:rPr>
          <w:sz w:val="20"/>
        </w:rPr>
        <w:t>в размерах часть, не связанная с травмой (неприятным событием). Постепенно это должно произойти, если эпизоды из жизни, выбранные для сосредоточения, связаны со значимыми ресурсными событиями.</w:t>
      </w:r>
    </w:p>
    <w:p>
      <w:pPr>
        <w:pStyle w:val="BodyText"/>
        <w:spacing w:line="235" w:lineRule="auto"/>
      </w:pPr>
      <w:r>
        <w:rPr>
          <w:spacing w:val="-2"/>
        </w:rPr>
        <w:t>Крайне</w:t>
      </w:r>
      <w:r>
        <w:rPr>
          <w:spacing w:val="-8"/>
        </w:rPr>
        <w:t> </w:t>
      </w:r>
      <w:r>
        <w:rPr>
          <w:spacing w:val="-2"/>
        </w:rPr>
        <w:t>важно</w:t>
      </w:r>
      <w:r>
        <w:rPr>
          <w:spacing w:val="-8"/>
        </w:rPr>
        <w:t> </w:t>
      </w:r>
      <w:r>
        <w:rPr>
          <w:spacing w:val="-2"/>
        </w:rPr>
        <w:t>во</w:t>
      </w:r>
      <w:r>
        <w:rPr>
          <w:spacing w:val="-8"/>
        </w:rPr>
        <w:t> </w:t>
      </w:r>
      <w:r>
        <w:rPr>
          <w:spacing w:val="-2"/>
        </w:rPr>
        <w:t>время</w:t>
      </w:r>
      <w:r>
        <w:rPr>
          <w:spacing w:val="-8"/>
        </w:rPr>
        <w:t> </w:t>
      </w:r>
      <w:r>
        <w:rPr>
          <w:spacing w:val="-2"/>
        </w:rPr>
        <w:t>выполнения</w:t>
      </w:r>
      <w:r>
        <w:rPr>
          <w:spacing w:val="-8"/>
        </w:rPr>
        <w:t> </w:t>
      </w:r>
      <w:r>
        <w:rPr>
          <w:spacing w:val="-2"/>
        </w:rPr>
        <w:t>техники</w:t>
      </w:r>
      <w:r>
        <w:rPr>
          <w:spacing w:val="-8"/>
        </w:rPr>
        <w:t> </w:t>
      </w:r>
      <w:r>
        <w:rPr>
          <w:spacing w:val="-2"/>
        </w:rPr>
        <w:t>быть</w:t>
      </w:r>
      <w:r>
        <w:rPr>
          <w:spacing w:val="-8"/>
        </w:rPr>
        <w:t> </w:t>
      </w:r>
      <w:r>
        <w:rPr>
          <w:spacing w:val="-2"/>
        </w:rPr>
        <w:t>особо</w:t>
      </w:r>
      <w:r>
        <w:rPr>
          <w:spacing w:val="-8"/>
        </w:rPr>
        <w:t> </w:t>
      </w:r>
      <w:r>
        <w:rPr>
          <w:spacing w:val="-2"/>
        </w:rPr>
        <w:t>внимательным</w:t>
      </w:r>
      <w:r>
        <w:rPr>
          <w:spacing w:val="-8"/>
        </w:rPr>
        <w:t> </w:t>
      </w:r>
      <w:r>
        <w:rPr>
          <w:spacing w:val="-2"/>
        </w:rPr>
        <w:t>к</w:t>
      </w:r>
      <w:r>
        <w:rPr>
          <w:spacing w:val="-8"/>
        </w:rPr>
        <w:t> </w:t>
      </w:r>
      <w:r>
        <w:rPr>
          <w:spacing w:val="-2"/>
        </w:rPr>
        <w:t>реакциям ребенка,</w:t>
      </w:r>
      <w:r>
        <w:rPr>
          <w:spacing w:val="-13"/>
        </w:rPr>
        <w:t> </w:t>
      </w:r>
      <w:r>
        <w:rPr>
          <w:spacing w:val="-2"/>
        </w:rPr>
        <w:t>в</w:t>
      </w:r>
      <w:r>
        <w:rPr>
          <w:spacing w:val="-10"/>
        </w:rPr>
        <w:t> </w:t>
      </w:r>
      <w:r>
        <w:rPr>
          <w:spacing w:val="-2"/>
        </w:rPr>
        <w:t>том</w:t>
      </w:r>
      <w:r>
        <w:rPr>
          <w:spacing w:val="-11"/>
        </w:rPr>
        <w:t> </w:t>
      </w:r>
      <w:r>
        <w:rPr>
          <w:spacing w:val="-2"/>
        </w:rPr>
        <w:t>числе</w:t>
      </w:r>
      <w:r>
        <w:rPr>
          <w:spacing w:val="-10"/>
        </w:rPr>
        <w:t> </w:t>
      </w:r>
      <w:r>
        <w:rPr>
          <w:spacing w:val="-2"/>
        </w:rPr>
        <w:t>и</w:t>
      </w:r>
      <w:r>
        <w:rPr>
          <w:spacing w:val="-11"/>
        </w:rPr>
        <w:t> </w:t>
      </w:r>
      <w:r>
        <w:rPr>
          <w:spacing w:val="-2"/>
        </w:rPr>
        <w:t>телесным.</w:t>
      </w:r>
      <w:r>
        <w:rPr>
          <w:spacing w:val="-10"/>
        </w:rPr>
        <w:t> </w:t>
      </w:r>
      <w:r>
        <w:rPr>
          <w:spacing w:val="-2"/>
        </w:rPr>
        <w:t>Если</w:t>
      </w:r>
      <w:r>
        <w:rPr>
          <w:spacing w:val="-11"/>
        </w:rPr>
        <w:t> </w:t>
      </w:r>
      <w:r>
        <w:rPr>
          <w:spacing w:val="-2"/>
        </w:rPr>
        <w:t>заметили</w:t>
      </w:r>
      <w:r>
        <w:rPr>
          <w:spacing w:val="-10"/>
        </w:rPr>
        <w:t> </w:t>
      </w:r>
      <w:r>
        <w:rPr>
          <w:spacing w:val="-2"/>
        </w:rPr>
        <w:t>реакцию</w:t>
      </w:r>
      <w:r>
        <w:rPr>
          <w:spacing w:val="-11"/>
        </w:rPr>
        <w:t> </w:t>
      </w:r>
      <w:r>
        <w:rPr>
          <w:spacing w:val="-2"/>
        </w:rPr>
        <w:t>стресса</w:t>
      </w:r>
      <w:r>
        <w:rPr>
          <w:spacing w:val="-10"/>
        </w:rPr>
        <w:t> </w:t>
      </w:r>
      <w:r>
        <w:rPr>
          <w:spacing w:val="-2"/>
        </w:rPr>
        <w:t>–</w:t>
      </w:r>
      <w:r>
        <w:rPr>
          <w:spacing w:val="-11"/>
        </w:rPr>
        <w:t> </w:t>
      </w:r>
      <w:r>
        <w:rPr>
          <w:spacing w:val="-2"/>
        </w:rPr>
        <w:t>замирание,</w:t>
      </w:r>
      <w:r>
        <w:rPr>
          <w:spacing w:val="-10"/>
        </w:rPr>
        <w:t> </w:t>
      </w:r>
      <w:r>
        <w:rPr>
          <w:spacing w:val="-2"/>
        </w:rPr>
        <w:t>учащен- </w:t>
      </w:r>
      <w:r>
        <w:rPr/>
        <w:t>ное</w:t>
      </w:r>
      <w:r>
        <w:rPr>
          <w:spacing w:val="-6"/>
        </w:rPr>
        <w:t> </w:t>
      </w:r>
      <w:r>
        <w:rPr/>
        <w:t>дыхание</w:t>
      </w:r>
      <w:r>
        <w:rPr>
          <w:spacing w:val="-6"/>
        </w:rPr>
        <w:t> </w:t>
      </w:r>
      <w:r>
        <w:rPr/>
        <w:t>или</w:t>
      </w:r>
      <w:r>
        <w:rPr>
          <w:spacing w:val="-6"/>
        </w:rPr>
        <w:t> </w:t>
      </w:r>
      <w:r>
        <w:rPr/>
        <w:t>невозможность</w:t>
      </w:r>
      <w:r>
        <w:rPr>
          <w:spacing w:val="-6"/>
        </w:rPr>
        <w:t> </w:t>
      </w:r>
      <w:r>
        <w:rPr/>
        <w:t>вздохнуть,</w:t>
      </w:r>
      <w:r>
        <w:rPr>
          <w:spacing w:val="-6"/>
        </w:rPr>
        <w:t> </w:t>
      </w:r>
      <w:r>
        <w:rPr/>
        <w:t>спросите</w:t>
      </w:r>
      <w:r>
        <w:rPr>
          <w:spacing w:val="-6"/>
        </w:rPr>
        <w:t> </w:t>
      </w:r>
      <w:r>
        <w:rPr/>
        <w:t>у</w:t>
      </w:r>
      <w:r>
        <w:rPr>
          <w:spacing w:val="-6"/>
        </w:rPr>
        <w:t> </w:t>
      </w:r>
      <w:r>
        <w:rPr/>
        <w:t>ребенка,</w:t>
      </w:r>
      <w:r>
        <w:rPr>
          <w:spacing w:val="-6"/>
        </w:rPr>
        <w:t> </w:t>
      </w:r>
      <w:r>
        <w:rPr/>
        <w:t>что</w:t>
      </w:r>
      <w:r>
        <w:rPr>
          <w:spacing w:val="-6"/>
        </w:rPr>
        <w:t> </w:t>
      </w:r>
      <w:r>
        <w:rPr/>
        <w:t>он</w:t>
      </w:r>
      <w:r>
        <w:rPr>
          <w:spacing w:val="-6"/>
        </w:rPr>
        <w:t> </w:t>
      </w:r>
      <w:r>
        <w:rPr/>
        <w:t>чувствует</w:t>
      </w:r>
      <w:r>
        <w:rPr>
          <w:spacing w:val="-6"/>
        </w:rPr>
        <w:t> </w:t>
      </w:r>
      <w:r>
        <w:rPr/>
        <w:t>и</w:t>
      </w:r>
      <w:r>
        <w:rPr>
          <w:spacing w:val="-6"/>
        </w:rPr>
        <w:t> </w:t>
      </w:r>
      <w:r>
        <w:rPr/>
        <w:t>о </w:t>
      </w:r>
      <w:r>
        <w:rPr>
          <w:spacing w:val="-2"/>
        </w:rPr>
        <w:t>чем</w:t>
      </w:r>
      <w:r>
        <w:rPr>
          <w:spacing w:val="-3"/>
        </w:rPr>
        <w:t> </w:t>
      </w:r>
      <w:r>
        <w:rPr>
          <w:spacing w:val="-2"/>
        </w:rPr>
        <w:t>думает</w:t>
      </w:r>
      <w:r>
        <w:rPr>
          <w:spacing w:val="-3"/>
        </w:rPr>
        <w:t> </w:t>
      </w:r>
      <w:r>
        <w:rPr>
          <w:spacing w:val="-2"/>
        </w:rPr>
        <w:t>и</w:t>
      </w:r>
      <w:r>
        <w:rPr>
          <w:spacing w:val="-4"/>
        </w:rPr>
        <w:t> </w:t>
      </w:r>
      <w:r>
        <w:rPr>
          <w:spacing w:val="-2"/>
        </w:rPr>
        <w:t>не</w:t>
      </w:r>
      <w:r>
        <w:rPr>
          <w:spacing w:val="-3"/>
        </w:rPr>
        <w:t> </w:t>
      </w:r>
      <w:r>
        <w:rPr>
          <w:spacing w:val="-2"/>
        </w:rPr>
        <w:t>торопитесь</w:t>
      </w:r>
      <w:r>
        <w:rPr>
          <w:spacing w:val="-4"/>
        </w:rPr>
        <w:t> </w:t>
      </w:r>
      <w:r>
        <w:rPr>
          <w:spacing w:val="-2"/>
        </w:rPr>
        <w:t>возвращаться</w:t>
      </w:r>
      <w:r>
        <w:rPr>
          <w:spacing w:val="-3"/>
        </w:rPr>
        <w:t> </w:t>
      </w:r>
      <w:r>
        <w:rPr>
          <w:spacing w:val="-2"/>
        </w:rPr>
        <w:t>к</w:t>
      </w:r>
      <w:r>
        <w:rPr>
          <w:spacing w:val="-3"/>
        </w:rPr>
        <w:t> </w:t>
      </w:r>
      <w:r>
        <w:rPr>
          <w:spacing w:val="-2"/>
        </w:rPr>
        <w:t>обсуждению,</w:t>
      </w:r>
      <w:r>
        <w:rPr>
          <w:spacing w:val="-3"/>
        </w:rPr>
        <w:t> </w:t>
      </w:r>
      <w:r>
        <w:rPr>
          <w:spacing w:val="-2"/>
        </w:rPr>
        <w:t>пока</w:t>
      </w:r>
      <w:r>
        <w:rPr>
          <w:spacing w:val="-3"/>
        </w:rPr>
        <w:t> </w:t>
      </w:r>
      <w:r>
        <w:rPr>
          <w:spacing w:val="-2"/>
        </w:rPr>
        <w:t>ребенок</w:t>
      </w:r>
      <w:r>
        <w:rPr>
          <w:spacing w:val="-3"/>
        </w:rPr>
        <w:t> </w:t>
      </w:r>
      <w:r>
        <w:rPr>
          <w:spacing w:val="-2"/>
        </w:rPr>
        <w:t>не</w:t>
      </w:r>
      <w:r>
        <w:rPr>
          <w:spacing w:val="-3"/>
        </w:rPr>
        <w:t> </w:t>
      </w:r>
      <w:r>
        <w:rPr>
          <w:spacing w:val="-2"/>
        </w:rPr>
        <w:t>успокоится.</w:t>
      </w:r>
    </w:p>
    <w:p>
      <w:pPr>
        <w:pStyle w:val="BodyText"/>
        <w:spacing w:after="0" w:line="235" w:lineRule="auto"/>
        <w:sectPr>
          <w:pgSz w:w="8400" w:h="11910"/>
          <w:pgMar w:header="0" w:footer="529" w:top="400" w:bottom="740" w:left="425" w:right="425"/>
        </w:sectPr>
      </w:pPr>
    </w:p>
    <w:p>
      <w:pPr>
        <w:pStyle w:val="ListParagraph"/>
        <w:numPr>
          <w:ilvl w:val="1"/>
          <w:numId w:val="204"/>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Приемы</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2"/>
          <w:sz w:val="18"/>
        </w:rPr>
        <w:t> </w:t>
      </w:r>
      <w:r>
        <w:rPr>
          <w:rFonts w:ascii="Georgia" w:hAnsi="Georgia"/>
          <w:color w:val="231F20"/>
          <w:sz w:val="18"/>
        </w:rPr>
        <w:t>с</w:t>
      </w:r>
      <w:r>
        <w:rPr>
          <w:rFonts w:ascii="Georgia" w:hAnsi="Georgia"/>
          <w:color w:val="231F20"/>
          <w:spacing w:val="2"/>
          <w:sz w:val="18"/>
        </w:rPr>
        <w:t> </w:t>
      </w:r>
      <w:r>
        <w:rPr>
          <w:rFonts w:ascii="Georgia" w:hAnsi="Georgia"/>
          <w:color w:val="231F20"/>
          <w:sz w:val="18"/>
        </w:rPr>
        <w:t>психологической</w:t>
      </w:r>
      <w:r>
        <w:rPr>
          <w:rFonts w:ascii="Georgia" w:hAnsi="Georgia"/>
          <w:color w:val="231F20"/>
          <w:spacing w:val="2"/>
          <w:sz w:val="18"/>
        </w:rPr>
        <w:t> </w:t>
      </w:r>
      <w:r>
        <w:rPr>
          <w:rFonts w:ascii="Georgia" w:hAnsi="Georgia"/>
          <w:color w:val="231F20"/>
          <w:spacing w:val="-2"/>
          <w:sz w:val="18"/>
        </w:rPr>
        <w:t>травмой</w:t>
      </w:r>
    </w:p>
    <w:p>
      <w:pPr>
        <w:spacing w:line="228" w:lineRule="exact" w:before="109"/>
        <w:ind w:left="425" w:right="0" w:firstLine="0"/>
        <w:jc w:val="both"/>
        <w:rPr>
          <w:b/>
          <w:i/>
          <w:sz w:val="20"/>
        </w:rPr>
      </w:pPr>
      <w:r>
        <w:rPr>
          <w:b/>
          <w:i/>
          <w:sz w:val="20"/>
        </w:rPr>
        <w:t>Техника</w:t>
      </w:r>
      <w:r>
        <w:rPr>
          <w:b/>
          <w:i/>
          <w:spacing w:val="-7"/>
          <w:sz w:val="20"/>
        </w:rPr>
        <w:t> </w:t>
      </w:r>
      <w:r>
        <w:rPr>
          <w:b/>
          <w:i/>
          <w:sz w:val="20"/>
        </w:rPr>
        <w:t>«Шаг</w:t>
      </w:r>
      <w:r>
        <w:rPr>
          <w:b/>
          <w:i/>
          <w:spacing w:val="-7"/>
          <w:sz w:val="20"/>
        </w:rPr>
        <w:t> </w:t>
      </w:r>
      <w:r>
        <w:rPr>
          <w:b/>
          <w:i/>
          <w:sz w:val="20"/>
        </w:rPr>
        <w:t>в</w:t>
      </w:r>
      <w:r>
        <w:rPr>
          <w:b/>
          <w:i/>
          <w:spacing w:val="-6"/>
          <w:sz w:val="20"/>
        </w:rPr>
        <w:t> </w:t>
      </w:r>
      <w:r>
        <w:rPr>
          <w:b/>
          <w:i/>
          <w:spacing w:val="-2"/>
          <w:sz w:val="20"/>
        </w:rPr>
        <w:t>будущее»</w:t>
      </w:r>
    </w:p>
    <w:p>
      <w:pPr>
        <w:pStyle w:val="BodyText"/>
        <w:spacing w:line="235" w:lineRule="auto" w:before="2"/>
      </w:pPr>
      <w:r>
        <w:rPr>
          <w:i/>
        </w:rPr>
        <w:t>Цель: </w:t>
      </w:r>
      <w:r>
        <w:rPr/>
        <w:t>содействие в представлении собственного конструктивного будущего, по- становке</w:t>
      </w:r>
      <w:r>
        <w:rPr>
          <w:spacing w:val="-3"/>
        </w:rPr>
        <w:t> </w:t>
      </w:r>
      <w:r>
        <w:rPr/>
        <w:t>значимых</w:t>
      </w:r>
      <w:r>
        <w:rPr>
          <w:spacing w:val="-3"/>
        </w:rPr>
        <w:t> </w:t>
      </w:r>
      <w:r>
        <w:rPr/>
        <w:t>личных</w:t>
      </w:r>
      <w:r>
        <w:rPr>
          <w:spacing w:val="-3"/>
        </w:rPr>
        <w:t> </w:t>
      </w:r>
      <w:r>
        <w:rPr/>
        <w:t>целей,</w:t>
      </w:r>
      <w:r>
        <w:rPr>
          <w:spacing w:val="-3"/>
        </w:rPr>
        <w:t> </w:t>
      </w:r>
      <w:r>
        <w:rPr/>
        <w:t>а</w:t>
      </w:r>
      <w:r>
        <w:rPr>
          <w:spacing w:val="-3"/>
        </w:rPr>
        <w:t> </w:t>
      </w:r>
      <w:r>
        <w:rPr/>
        <w:t>также</w:t>
      </w:r>
      <w:r>
        <w:rPr>
          <w:spacing w:val="-3"/>
        </w:rPr>
        <w:t> </w:t>
      </w:r>
      <w:r>
        <w:rPr/>
        <w:t>в</w:t>
      </w:r>
      <w:r>
        <w:rPr>
          <w:spacing w:val="-3"/>
        </w:rPr>
        <w:t> </w:t>
      </w:r>
      <w:r>
        <w:rPr/>
        <w:t>создании</w:t>
      </w:r>
      <w:r>
        <w:rPr>
          <w:spacing w:val="-3"/>
        </w:rPr>
        <w:t> </w:t>
      </w:r>
      <w:r>
        <w:rPr/>
        <w:t>конкретной</w:t>
      </w:r>
      <w:r>
        <w:rPr>
          <w:spacing w:val="-3"/>
        </w:rPr>
        <w:t> </w:t>
      </w:r>
      <w:r>
        <w:rPr/>
        <w:t>структуры</w:t>
      </w:r>
      <w:r>
        <w:rPr>
          <w:spacing w:val="-3"/>
        </w:rPr>
        <w:t> </w:t>
      </w:r>
      <w:r>
        <w:rPr/>
        <w:t>для</w:t>
      </w:r>
      <w:r>
        <w:rPr>
          <w:spacing w:val="-3"/>
        </w:rPr>
        <w:t> </w:t>
      </w:r>
      <w:r>
        <w:rPr/>
        <w:t>по- мощи в достижении этих целей.</w:t>
      </w:r>
    </w:p>
    <w:p>
      <w:pPr>
        <w:spacing w:line="226" w:lineRule="exact" w:before="0"/>
        <w:ind w:left="425" w:right="0" w:firstLine="0"/>
        <w:jc w:val="both"/>
        <w:rPr>
          <w:sz w:val="20"/>
        </w:rPr>
      </w:pPr>
      <w:r>
        <w:rPr>
          <w:i/>
          <w:sz w:val="20"/>
        </w:rPr>
        <w:t>Рекомендованный</w:t>
      </w:r>
      <w:r>
        <w:rPr>
          <w:i/>
          <w:spacing w:val="-10"/>
          <w:sz w:val="20"/>
        </w:rPr>
        <w:t> </w:t>
      </w:r>
      <w:r>
        <w:rPr>
          <w:i/>
          <w:sz w:val="20"/>
        </w:rPr>
        <w:t>возраст:</w:t>
      </w:r>
      <w:r>
        <w:rPr>
          <w:i/>
          <w:spacing w:val="-10"/>
          <w:sz w:val="20"/>
        </w:rPr>
        <w:t> </w:t>
      </w:r>
      <w:r>
        <w:rPr>
          <w:sz w:val="20"/>
        </w:rPr>
        <w:t>от</w:t>
      </w:r>
      <w:r>
        <w:rPr>
          <w:spacing w:val="-10"/>
          <w:sz w:val="20"/>
        </w:rPr>
        <w:t> </w:t>
      </w:r>
      <w:r>
        <w:rPr>
          <w:sz w:val="20"/>
        </w:rPr>
        <w:t>10</w:t>
      </w:r>
      <w:r>
        <w:rPr>
          <w:spacing w:val="-10"/>
          <w:sz w:val="20"/>
        </w:rPr>
        <w:t> </w:t>
      </w:r>
      <w:r>
        <w:rPr>
          <w:spacing w:val="-4"/>
          <w:sz w:val="20"/>
        </w:rPr>
        <w:t>лет.</w:t>
      </w:r>
    </w:p>
    <w:p>
      <w:pPr>
        <w:pStyle w:val="BodyText"/>
        <w:spacing w:line="235" w:lineRule="auto" w:before="1"/>
      </w:pPr>
      <w:r>
        <w:rPr>
          <w:i/>
        </w:rPr>
        <w:t>Источник:</w:t>
      </w:r>
      <w:r>
        <w:rPr>
          <w:i/>
          <w:spacing w:val="-13"/>
        </w:rPr>
        <w:t> </w:t>
      </w:r>
      <w:r>
        <w:rPr/>
        <w:t>описано</w:t>
      </w:r>
      <w:r>
        <w:rPr>
          <w:spacing w:val="-12"/>
        </w:rPr>
        <w:t> </w:t>
      </w:r>
      <w:r>
        <w:rPr/>
        <w:t>Л.А.</w:t>
      </w:r>
      <w:r>
        <w:rPr>
          <w:spacing w:val="-13"/>
        </w:rPr>
        <w:t> </w:t>
      </w:r>
      <w:r>
        <w:rPr/>
        <w:t>Могуновой</w:t>
      </w:r>
      <w:r>
        <w:rPr>
          <w:spacing w:val="-12"/>
        </w:rPr>
        <w:t> </w:t>
      </w:r>
      <w:r>
        <w:rPr/>
        <w:t>по</w:t>
      </w:r>
      <w:r>
        <w:rPr>
          <w:spacing w:val="-13"/>
        </w:rPr>
        <w:t> </w:t>
      </w:r>
      <w:r>
        <w:rPr/>
        <w:t>психодраматической</w:t>
      </w:r>
      <w:r>
        <w:rPr>
          <w:spacing w:val="-12"/>
        </w:rPr>
        <w:t> </w:t>
      </w:r>
      <w:r>
        <w:rPr/>
        <w:t>технике</w:t>
      </w:r>
      <w:r>
        <w:rPr>
          <w:spacing w:val="-13"/>
        </w:rPr>
        <w:t> </w:t>
      </w:r>
      <w:r>
        <w:rPr/>
        <w:t>работы</w:t>
      </w:r>
      <w:r>
        <w:rPr>
          <w:spacing w:val="-12"/>
        </w:rPr>
        <w:t> </w:t>
      </w:r>
      <w:r>
        <w:rPr/>
        <w:t>с</w:t>
      </w:r>
      <w:r>
        <w:rPr>
          <w:spacing w:val="-13"/>
        </w:rPr>
        <w:t> </w:t>
      </w:r>
      <w:r>
        <w:rPr/>
        <w:t>об- разом будущего (Хухлаев, Павлова и др., 2022).</w:t>
      </w:r>
    </w:p>
    <w:p>
      <w:pPr>
        <w:pStyle w:val="BodyText"/>
        <w:spacing w:line="235" w:lineRule="auto" w:before="2"/>
      </w:pPr>
      <w:r>
        <w:rPr/>
        <w:t>Технику</w:t>
      </w:r>
      <w:r>
        <w:rPr>
          <w:spacing w:val="-11"/>
        </w:rPr>
        <w:t> </w:t>
      </w:r>
      <w:r>
        <w:rPr/>
        <w:t>можно</w:t>
      </w:r>
      <w:r>
        <w:rPr>
          <w:spacing w:val="-11"/>
        </w:rPr>
        <w:t> </w:t>
      </w:r>
      <w:r>
        <w:rPr/>
        <w:t>применять,</w:t>
      </w:r>
      <w:r>
        <w:rPr>
          <w:spacing w:val="-11"/>
        </w:rPr>
        <w:t> </w:t>
      </w:r>
      <w:r>
        <w:rPr/>
        <w:t>если</w:t>
      </w:r>
      <w:r>
        <w:rPr>
          <w:spacing w:val="-11"/>
        </w:rPr>
        <w:t> </w:t>
      </w:r>
      <w:r>
        <w:rPr/>
        <w:t>ребенок</w:t>
      </w:r>
      <w:r>
        <w:rPr>
          <w:spacing w:val="-11"/>
        </w:rPr>
        <w:t> </w:t>
      </w:r>
      <w:r>
        <w:rPr/>
        <w:t>испытывает</w:t>
      </w:r>
      <w:r>
        <w:rPr>
          <w:spacing w:val="-12"/>
        </w:rPr>
        <w:t> </w:t>
      </w:r>
      <w:r>
        <w:rPr/>
        <w:t>затруднения</w:t>
      </w:r>
      <w:r>
        <w:rPr>
          <w:spacing w:val="-11"/>
        </w:rPr>
        <w:t> </w:t>
      </w:r>
      <w:r>
        <w:rPr/>
        <w:t>в</w:t>
      </w:r>
      <w:r>
        <w:rPr>
          <w:spacing w:val="-11"/>
        </w:rPr>
        <w:t> </w:t>
      </w:r>
      <w:r>
        <w:rPr/>
        <w:t>выборе,</w:t>
      </w:r>
      <w:r>
        <w:rPr>
          <w:spacing w:val="-12"/>
        </w:rPr>
        <w:t> </w:t>
      </w:r>
      <w:r>
        <w:rPr/>
        <w:t>стал- киваясь с дилеммой, не может принять решение, нуждается в дополнительной под- держке</w:t>
      </w:r>
      <w:r>
        <w:rPr>
          <w:spacing w:val="-6"/>
        </w:rPr>
        <w:t> </w:t>
      </w:r>
      <w:r>
        <w:rPr/>
        <w:t>в</w:t>
      </w:r>
      <w:r>
        <w:rPr>
          <w:spacing w:val="-6"/>
        </w:rPr>
        <w:t> </w:t>
      </w:r>
      <w:r>
        <w:rPr/>
        <w:t>сложных</w:t>
      </w:r>
      <w:r>
        <w:rPr>
          <w:spacing w:val="-6"/>
        </w:rPr>
        <w:t> </w:t>
      </w:r>
      <w:r>
        <w:rPr/>
        <w:t>обстоятельствах.</w:t>
      </w:r>
      <w:r>
        <w:rPr>
          <w:spacing w:val="-6"/>
        </w:rPr>
        <w:t> </w:t>
      </w:r>
      <w:r>
        <w:rPr/>
        <w:t>Обычно</w:t>
      </w:r>
      <w:r>
        <w:rPr>
          <w:spacing w:val="-6"/>
        </w:rPr>
        <w:t> </w:t>
      </w:r>
      <w:r>
        <w:rPr/>
        <w:t>люди</w:t>
      </w:r>
      <w:r>
        <w:rPr>
          <w:spacing w:val="-6"/>
        </w:rPr>
        <w:t> </w:t>
      </w:r>
      <w:r>
        <w:rPr/>
        <w:t>представляют</w:t>
      </w:r>
      <w:r>
        <w:rPr>
          <w:spacing w:val="-6"/>
        </w:rPr>
        <w:t> </w:t>
      </w:r>
      <w:r>
        <w:rPr/>
        <w:t>будущее</w:t>
      </w:r>
      <w:r>
        <w:rPr>
          <w:spacing w:val="-6"/>
        </w:rPr>
        <w:t> </w:t>
      </w:r>
      <w:r>
        <w:rPr/>
        <w:t>в</w:t>
      </w:r>
      <w:r>
        <w:rPr>
          <w:spacing w:val="-6"/>
        </w:rPr>
        <w:t> </w:t>
      </w:r>
      <w:r>
        <w:rPr/>
        <w:t>позитив- ном свете, и роль «Я в будущем» является ресурсной, в чем-то идеальной.</w:t>
      </w:r>
    </w:p>
    <w:p>
      <w:pPr>
        <w:pStyle w:val="ListParagraph"/>
        <w:numPr>
          <w:ilvl w:val="0"/>
          <w:numId w:val="205"/>
        </w:numPr>
        <w:tabs>
          <w:tab w:pos="423" w:val="left" w:leader="none"/>
          <w:tab w:pos="425" w:val="left" w:leader="none"/>
        </w:tabs>
        <w:spacing w:line="235" w:lineRule="auto" w:before="59" w:after="0"/>
        <w:ind w:left="425" w:right="139" w:hanging="284"/>
        <w:jc w:val="both"/>
        <w:rPr>
          <w:sz w:val="20"/>
        </w:rPr>
      </w:pPr>
      <w:r>
        <w:rPr>
          <w:sz w:val="20"/>
        </w:rPr>
        <w:t>Психолог ставит стул и говорит, что это место обозначает настоящее время. Он просит</w:t>
      </w:r>
      <w:r>
        <w:rPr>
          <w:spacing w:val="-11"/>
          <w:sz w:val="20"/>
        </w:rPr>
        <w:t> </w:t>
      </w:r>
      <w:r>
        <w:rPr>
          <w:sz w:val="20"/>
        </w:rPr>
        <w:t>ребенка</w:t>
      </w:r>
      <w:r>
        <w:rPr>
          <w:spacing w:val="-11"/>
          <w:sz w:val="20"/>
        </w:rPr>
        <w:t> </w:t>
      </w:r>
      <w:r>
        <w:rPr>
          <w:sz w:val="20"/>
        </w:rPr>
        <w:t>сесть</w:t>
      </w:r>
      <w:r>
        <w:rPr>
          <w:spacing w:val="-11"/>
          <w:sz w:val="20"/>
        </w:rPr>
        <w:t> </w:t>
      </w:r>
      <w:r>
        <w:rPr>
          <w:sz w:val="20"/>
        </w:rPr>
        <w:t>на</w:t>
      </w:r>
      <w:r>
        <w:rPr>
          <w:spacing w:val="-11"/>
          <w:sz w:val="20"/>
        </w:rPr>
        <w:t> </w:t>
      </w:r>
      <w:r>
        <w:rPr>
          <w:sz w:val="20"/>
        </w:rPr>
        <w:t>стул.</w:t>
      </w:r>
      <w:r>
        <w:rPr>
          <w:spacing w:val="-11"/>
          <w:sz w:val="20"/>
        </w:rPr>
        <w:t> </w:t>
      </w:r>
      <w:r>
        <w:rPr>
          <w:sz w:val="20"/>
        </w:rPr>
        <w:t>Можно</w:t>
      </w:r>
      <w:r>
        <w:rPr>
          <w:spacing w:val="-11"/>
          <w:sz w:val="20"/>
        </w:rPr>
        <w:t> </w:t>
      </w:r>
      <w:r>
        <w:rPr>
          <w:sz w:val="20"/>
        </w:rPr>
        <w:t>дополнительно</w:t>
      </w:r>
      <w:r>
        <w:rPr>
          <w:spacing w:val="-11"/>
          <w:sz w:val="20"/>
        </w:rPr>
        <w:t> </w:t>
      </w:r>
      <w:r>
        <w:rPr>
          <w:sz w:val="20"/>
        </w:rPr>
        <w:t>ввести</w:t>
      </w:r>
      <w:r>
        <w:rPr>
          <w:spacing w:val="-11"/>
          <w:sz w:val="20"/>
        </w:rPr>
        <w:t> </w:t>
      </w:r>
      <w:r>
        <w:rPr>
          <w:sz w:val="20"/>
        </w:rPr>
        <w:t>его</w:t>
      </w:r>
      <w:r>
        <w:rPr>
          <w:spacing w:val="-11"/>
          <w:sz w:val="20"/>
        </w:rPr>
        <w:t> </w:t>
      </w:r>
      <w:r>
        <w:rPr>
          <w:sz w:val="20"/>
        </w:rPr>
        <w:t>в</w:t>
      </w:r>
      <w:r>
        <w:rPr>
          <w:spacing w:val="-11"/>
          <w:sz w:val="20"/>
        </w:rPr>
        <w:t> </w:t>
      </w:r>
      <w:r>
        <w:rPr>
          <w:sz w:val="20"/>
        </w:rPr>
        <w:t>ощущение</w:t>
      </w:r>
      <w:r>
        <w:rPr>
          <w:spacing w:val="-11"/>
          <w:sz w:val="20"/>
        </w:rPr>
        <w:t> </w:t>
      </w:r>
      <w:r>
        <w:rPr>
          <w:sz w:val="20"/>
        </w:rPr>
        <w:t>акту- ального момента:</w:t>
      </w:r>
    </w:p>
    <w:p>
      <w:pPr>
        <w:pStyle w:val="ListParagraph"/>
        <w:numPr>
          <w:ilvl w:val="1"/>
          <w:numId w:val="205"/>
        </w:numPr>
        <w:tabs>
          <w:tab w:pos="591" w:val="left" w:leader="none"/>
        </w:tabs>
        <w:spacing w:line="235" w:lineRule="auto" w:before="2" w:after="0"/>
        <w:ind w:left="141" w:right="139" w:firstLine="283"/>
        <w:jc w:val="both"/>
        <w:rPr>
          <w:i/>
          <w:sz w:val="20"/>
        </w:rPr>
      </w:pPr>
      <w:r>
        <w:rPr>
          <w:i/>
          <w:sz w:val="20"/>
        </w:rPr>
        <w:t>Итак, это точка настоящего. Подумай о себе, о своей жизни сейчас, о том, что</w:t>
      </w:r>
      <w:r>
        <w:rPr>
          <w:i/>
          <w:spacing w:val="-2"/>
          <w:sz w:val="20"/>
        </w:rPr>
        <w:t> </w:t>
      </w:r>
      <w:r>
        <w:rPr>
          <w:i/>
          <w:sz w:val="20"/>
        </w:rPr>
        <w:t>важно</w:t>
      </w:r>
      <w:r>
        <w:rPr>
          <w:i/>
          <w:spacing w:val="-2"/>
          <w:sz w:val="20"/>
        </w:rPr>
        <w:t> </w:t>
      </w:r>
      <w:r>
        <w:rPr>
          <w:i/>
          <w:sz w:val="20"/>
        </w:rPr>
        <w:t>для</w:t>
      </w:r>
      <w:r>
        <w:rPr>
          <w:i/>
          <w:spacing w:val="-2"/>
          <w:sz w:val="20"/>
        </w:rPr>
        <w:t> </w:t>
      </w:r>
      <w:r>
        <w:rPr>
          <w:i/>
          <w:sz w:val="20"/>
        </w:rPr>
        <w:t>тебя,</w:t>
      </w:r>
      <w:r>
        <w:rPr>
          <w:i/>
          <w:spacing w:val="-2"/>
          <w:sz w:val="20"/>
        </w:rPr>
        <w:t> </w:t>
      </w:r>
      <w:r>
        <w:rPr>
          <w:i/>
          <w:sz w:val="20"/>
        </w:rPr>
        <w:t>что</w:t>
      </w:r>
      <w:r>
        <w:rPr>
          <w:i/>
          <w:spacing w:val="-2"/>
          <w:sz w:val="20"/>
        </w:rPr>
        <w:t> </w:t>
      </w:r>
      <w:r>
        <w:rPr>
          <w:i/>
          <w:sz w:val="20"/>
        </w:rPr>
        <w:t>ты</w:t>
      </w:r>
      <w:r>
        <w:rPr>
          <w:i/>
          <w:spacing w:val="-2"/>
          <w:sz w:val="20"/>
        </w:rPr>
        <w:t> </w:t>
      </w:r>
      <w:r>
        <w:rPr>
          <w:i/>
          <w:sz w:val="20"/>
        </w:rPr>
        <w:t>любишь,</w:t>
      </w:r>
      <w:r>
        <w:rPr>
          <w:i/>
          <w:spacing w:val="-2"/>
          <w:sz w:val="20"/>
        </w:rPr>
        <w:t> </w:t>
      </w:r>
      <w:r>
        <w:rPr>
          <w:i/>
          <w:sz w:val="20"/>
        </w:rPr>
        <w:t>кто</w:t>
      </w:r>
      <w:r>
        <w:rPr>
          <w:i/>
          <w:spacing w:val="-2"/>
          <w:sz w:val="20"/>
        </w:rPr>
        <w:t> </w:t>
      </w:r>
      <w:r>
        <w:rPr>
          <w:i/>
          <w:sz w:val="20"/>
        </w:rPr>
        <w:t>для</w:t>
      </w:r>
      <w:r>
        <w:rPr>
          <w:i/>
          <w:spacing w:val="-2"/>
          <w:sz w:val="20"/>
        </w:rPr>
        <w:t> </w:t>
      </w:r>
      <w:r>
        <w:rPr>
          <w:i/>
          <w:sz w:val="20"/>
        </w:rPr>
        <w:t>тебя</w:t>
      </w:r>
      <w:r>
        <w:rPr>
          <w:i/>
          <w:spacing w:val="-2"/>
          <w:sz w:val="20"/>
        </w:rPr>
        <w:t> </w:t>
      </w:r>
      <w:r>
        <w:rPr>
          <w:i/>
          <w:sz w:val="20"/>
        </w:rPr>
        <w:t>значим,</w:t>
      </w:r>
      <w:r>
        <w:rPr>
          <w:i/>
          <w:spacing w:val="-2"/>
          <w:sz w:val="20"/>
        </w:rPr>
        <w:t> </w:t>
      </w:r>
      <w:r>
        <w:rPr>
          <w:i/>
          <w:sz w:val="20"/>
        </w:rPr>
        <w:t>что</w:t>
      </w:r>
      <w:r>
        <w:rPr>
          <w:i/>
          <w:spacing w:val="-2"/>
          <w:sz w:val="20"/>
        </w:rPr>
        <w:t> </w:t>
      </w:r>
      <w:r>
        <w:rPr>
          <w:i/>
          <w:sz w:val="20"/>
        </w:rPr>
        <w:t>вдохновляет</w:t>
      </w:r>
      <w:r>
        <w:rPr>
          <w:i/>
          <w:spacing w:val="-2"/>
          <w:sz w:val="20"/>
        </w:rPr>
        <w:t> </w:t>
      </w:r>
      <w:r>
        <w:rPr>
          <w:i/>
          <w:sz w:val="20"/>
        </w:rPr>
        <w:t>тебя, а</w:t>
      </w:r>
      <w:r>
        <w:rPr>
          <w:i/>
          <w:spacing w:val="-12"/>
          <w:sz w:val="20"/>
        </w:rPr>
        <w:t> </w:t>
      </w:r>
      <w:r>
        <w:rPr>
          <w:i/>
          <w:sz w:val="20"/>
        </w:rPr>
        <w:t>что</w:t>
      </w:r>
      <w:r>
        <w:rPr>
          <w:i/>
          <w:spacing w:val="-12"/>
          <w:sz w:val="20"/>
        </w:rPr>
        <w:t> </w:t>
      </w:r>
      <w:r>
        <w:rPr>
          <w:i/>
          <w:sz w:val="20"/>
        </w:rPr>
        <w:t>может</w:t>
      </w:r>
      <w:r>
        <w:rPr>
          <w:i/>
          <w:spacing w:val="-12"/>
          <w:sz w:val="20"/>
        </w:rPr>
        <w:t> </w:t>
      </w:r>
      <w:r>
        <w:rPr>
          <w:i/>
          <w:sz w:val="20"/>
        </w:rPr>
        <w:t>расстроить</w:t>
      </w:r>
      <w:r>
        <w:rPr>
          <w:i/>
          <w:spacing w:val="-12"/>
          <w:sz w:val="20"/>
        </w:rPr>
        <w:t> </w:t>
      </w:r>
      <w:r>
        <w:rPr>
          <w:i/>
          <w:sz w:val="20"/>
        </w:rPr>
        <w:t>или</w:t>
      </w:r>
      <w:r>
        <w:rPr>
          <w:i/>
          <w:spacing w:val="-12"/>
          <w:sz w:val="20"/>
        </w:rPr>
        <w:t> </w:t>
      </w:r>
      <w:r>
        <w:rPr>
          <w:i/>
          <w:sz w:val="20"/>
        </w:rPr>
        <w:t>рассердить.</w:t>
      </w:r>
      <w:r>
        <w:rPr>
          <w:i/>
          <w:spacing w:val="-12"/>
          <w:sz w:val="20"/>
        </w:rPr>
        <w:t> </w:t>
      </w:r>
      <w:r>
        <w:rPr>
          <w:i/>
          <w:sz w:val="20"/>
        </w:rPr>
        <w:t>Подумай</w:t>
      </w:r>
      <w:r>
        <w:rPr>
          <w:i/>
          <w:spacing w:val="-12"/>
          <w:sz w:val="20"/>
        </w:rPr>
        <w:t> </w:t>
      </w:r>
      <w:r>
        <w:rPr>
          <w:i/>
          <w:sz w:val="20"/>
        </w:rPr>
        <w:t>о</w:t>
      </w:r>
      <w:r>
        <w:rPr>
          <w:i/>
          <w:spacing w:val="-12"/>
          <w:sz w:val="20"/>
        </w:rPr>
        <w:t> </w:t>
      </w:r>
      <w:r>
        <w:rPr>
          <w:i/>
          <w:sz w:val="20"/>
        </w:rPr>
        <w:t>моментах,</w:t>
      </w:r>
      <w:r>
        <w:rPr>
          <w:i/>
          <w:spacing w:val="-12"/>
          <w:sz w:val="20"/>
        </w:rPr>
        <w:t> </w:t>
      </w:r>
      <w:r>
        <w:rPr>
          <w:i/>
          <w:sz w:val="20"/>
        </w:rPr>
        <w:t>когда</w:t>
      </w:r>
      <w:r>
        <w:rPr>
          <w:i/>
          <w:spacing w:val="-12"/>
          <w:sz w:val="20"/>
        </w:rPr>
        <w:t> </w:t>
      </w:r>
      <w:r>
        <w:rPr>
          <w:i/>
          <w:sz w:val="20"/>
        </w:rPr>
        <w:t>тебе</w:t>
      </w:r>
      <w:r>
        <w:rPr>
          <w:i/>
          <w:spacing w:val="-12"/>
          <w:sz w:val="20"/>
        </w:rPr>
        <w:t> </w:t>
      </w:r>
      <w:r>
        <w:rPr>
          <w:i/>
          <w:sz w:val="20"/>
        </w:rPr>
        <w:t>трудно или</w:t>
      </w:r>
      <w:r>
        <w:rPr>
          <w:i/>
          <w:spacing w:val="-2"/>
          <w:sz w:val="20"/>
        </w:rPr>
        <w:t> </w:t>
      </w:r>
      <w:r>
        <w:rPr>
          <w:i/>
          <w:sz w:val="20"/>
        </w:rPr>
        <w:t>обуревают</w:t>
      </w:r>
      <w:r>
        <w:rPr>
          <w:i/>
          <w:spacing w:val="-2"/>
          <w:sz w:val="20"/>
        </w:rPr>
        <w:t> </w:t>
      </w:r>
      <w:r>
        <w:rPr>
          <w:i/>
          <w:sz w:val="20"/>
        </w:rPr>
        <w:t>сомнения.</w:t>
      </w:r>
      <w:r>
        <w:rPr>
          <w:i/>
          <w:spacing w:val="-2"/>
          <w:sz w:val="20"/>
        </w:rPr>
        <w:t> </w:t>
      </w:r>
      <w:r>
        <w:rPr>
          <w:i/>
          <w:sz w:val="20"/>
        </w:rPr>
        <w:t>Каково</w:t>
      </w:r>
      <w:r>
        <w:rPr>
          <w:i/>
          <w:spacing w:val="-2"/>
          <w:sz w:val="20"/>
        </w:rPr>
        <w:t> </w:t>
      </w:r>
      <w:r>
        <w:rPr>
          <w:i/>
          <w:sz w:val="20"/>
        </w:rPr>
        <w:t>сидеть</w:t>
      </w:r>
      <w:r>
        <w:rPr>
          <w:i/>
          <w:spacing w:val="-2"/>
          <w:sz w:val="20"/>
        </w:rPr>
        <w:t> </w:t>
      </w:r>
      <w:r>
        <w:rPr>
          <w:i/>
          <w:sz w:val="20"/>
        </w:rPr>
        <w:t>сейчас</w:t>
      </w:r>
      <w:r>
        <w:rPr>
          <w:i/>
          <w:spacing w:val="-2"/>
          <w:sz w:val="20"/>
        </w:rPr>
        <w:t> </w:t>
      </w:r>
      <w:r>
        <w:rPr>
          <w:i/>
          <w:sz w:val="20"/>
        </w:rPr>
        <w:t>здесь?</w:t>
      </w:r>
      <w:r>
        <w:rPr>
          <w:i/>
          <w:spacing w:val="-2"/>
          <w:sz w:val="20"/>
        </w:rPr>
        <w:t> </w:t>
      </w:r>
      <w:r>
        <w:rPr>
          <w:i/>
          <w:sz w:val="20"/>
        </w:rPr>
        <w:t>О</w:t>
      </w:r>
      <w:r>
        <w:rPr>
          <w:i/>
          <w:spacing w:val="-2"/>
          <w:sz w:val="20"/>
        </w:rPr>
        <w:t> </w:t>
      </w:r>
      <w:r>
        <w:rPr>
          <w:i/>
          <w:sz w:val="20"/>
        </w:rPr>
        <w:t>чем</w:t>
      </w:r>
      <w:r>
        <w:rPr>
          <w:i/>
          <w:spacing w:val="-2"/>
          <w:sz w:val="20"/>
        </w:rPr>
        <w:t> </w:t>
      </w:r>
      <w:r>
        <w:rPr>
          <w:i/>
          <w:sz w:val="20"/>
        </w:rPr>
        <w:t>ты</w:t>
      </w:r>
      <w:r>
        <w:rPr>
          <w:i/>
          <w:spacing w:val="-2"/>
          <w:sz w:val="20"/>
        </w:rPr>
        <w:t> </w:t>
      </w:r>
      <w:r>
        <w:rPr>
          <w:i/>
          <w:sz w:val="20"/>
        </w:rPr>
        <w:t>подумал(а)?</w:t>
      </w:r>
      <w:r>
        <w:rPr>
          <w:i/>
          <w:spacing w:val="-2"/>
          <w:sz w:val="20"/>
        </w:rPr>
        <w:t> </w:t>
      </w:r>
      <w:r>
        <w:rPr>
          <w:i/>
          <w:sz w:val="20"/>
        </w:rPr>
        <w:t>Поде- лись, что ты чувствуешь.</w:t>
      </w:r>
    </w:p>
    <w:p>
      <w:pPr>
        <w:pStyle w:val="BodyText"/>
        <w:spacing w:line="229" w:lineRule="exact"/>
        <w:ind w:left="425" w:right="0" w:firstLine="0"/>
      </w:pPr>
      <w:r>
        <w:rPr/>
        <w:t>Психолог</w:t>
      </w:r>
      <w:r>
        <w:rPr>
          <w:spacing w:val="-7"/>
        </w:rPr>
        <w:t> </w:t>
      </w:r>
      <w:r>
        <w:rPr/>
        <w:t>слушает</w:t>
      </w:r>
      <w:r>
        <w:rPr>
          <w:spacing w:val="-3"/>
        </w:rPr>
        <w:t> </w:t>
      </w:r>
      <w:r>
        <w:rPr/>
        <w:t>ребенка</w:t>
      </w:r>
      <w:r>
        <w:rPr>
          <w:spacing w:val="-3"/>
        </w:rPr>
        <w:t> </w:t>
      </w:r>
      <w:r>
        <w:rPr/>
        <w:t>и</w:t>
      </w:r>
      <w:r>
        <w:rPr>
          <w:spacing w:val="-4"/>
        </w:rPr>
        <w:t> </w:t>
      </w:r>
      <w:r>
        <w:rPr/>
        <w:t>откликается</w:t>
      </w:r>
      <w:r>
        <w:rPr>
          <w:spacing w:val="-4"/>
        </w:rPr>
        <w:t> </w:t>
      </w:r>
      <w:r>
        <w:rPr/>
        <w:t>на</w:t>
      </w:r>
      <w:r>
        <w:rPr>
          <w:spacing w:val="-3"/>
        </w:rPr>
        <w:t> </w:t>
      </w:r>
      <w:r>
        <w:rPr/>
        <w:t>то,</w:t>
      </w:r>
      <w:r>
        <w:rPr>
          <w:spacing w:val="-3"/>
        </w:rPr>
        <w:t> </w:t>
      </w:r>
      <w:r>
        <w:rPr/>
        <w:t>чем</w:t>
      </w:r>
      <w:r>
        <w:rPr>
          <w:spacing w:val="-3"/>
        </w:rPr>
        <w:t> </w:t>
      </w:r>
      <w:r>
        <w:rPr/>
        <w:t>он</w:t>
      </w:r>
      <w:r>
        <w:rPr>
          <w:spacing w:val="-4"/>
        </w:rPr>
        <w:t> </w:t>
      </w:r>
      <w:r>
        <w:rPr>
          <w:spacing w:val="-2"/>
        </w:rPr>
        <w:t>делится.</w:t>
      </w:r>
    </w:p>
    <w:p>
      <w:pPr>
        <w:pStyle w:val="ListParagraph"/>
        <w:numPr>
          <w:ilvl w:val="0"/>
          <w:numId w:val="205"/>
        </w:numPr>
        <w:tabs>
          <w:tab w:pos="423" w:val="left" w:leader="none"/>
          <w:tab w:pos="425" w:val="left" w:leader="none"/>
        </w:tabs>
        <w:spacing w:line="235" w:lineRule="auto" w:before="56" w:after="0"/>
        <w:ind w:left="425" w:right="139" w:hanging="284"/>
        <w:jc w:val="both"/>
        <w:rPr>
          <w:sz w:val="20"/>
        </w:rPr>
      </w:pPr>
      <w:r>
        <w:rPr>
          <w:sz w:val="20"/>
        </w:rPr>
        <w:t>Психолог предлагает ребенку подумать, какой значимый промежуток времени должен пройти, чтобы он оказался в будущем, где что-то будет по-другому и его актуальные</w:t>
      </w:r>
      <w:r>
        <w:rPr>
          <w:spacing w:val="-13"/>
          <w:sz w:val="20"/>
        </w:rPr>
        <w:t> </w:t>
      </w:r>
      <w:r>
        <w:rPr>
          <w:sz w:val="20"/>
        </w:rPr>
        <w:t>трудности</w:t>
      </w:r>
      <w:r>
        <w:rPr>
          <w:spacing w:val="-12"/>
          <w:sz w:val="20"/>
        </w:rPr>
        <w:t> </w:t>
      </w:r>
      <w:r>
        <w:rPr>
          <w:sz w:val="20"/>
        </w:rPr>
        <w:t>будут</w:t>
      </w:r>
      <w:r>
        <w:rPr>
          <w:spacing w:val="-13"/>
          <w:sz w:val="20"/>
        </w:rPr>
        <w:t> </w:t>
      </w:r>
      <w:r>
        <w:rPr>
          <w:sz w:val="20"/>
        </w:rPr>
        <w:t>уже</w:t>
      </w:r>
      <w:r>
        <w:rPr>
          <w:spacing w:val="-12"/>
          <w:sz w:val="20"/>
        </w:rPr>
        <w:t> </w:t>
      </w:r>
      <w:r>
        <w:rPr>
          <w:sz w:val="20"/>
        </w:rPr>
        <w:t>преодолены.</w:t>
      </w:r>
      <w:r>
        <w:rPr>
          <w:spacing w:val="-13"/>
          <w:sz w:val="20"/>
        </w:rPr>
        <w:t> </w:t>
      </w:r>
      <w:r>
        <w:rPr>
          <w:sz w:val="20"/>
        </w:rPr>
        <w:t>Это</w:t>
      </w:r>
      <w:r>
        <w:rPr>
          <w:spacing w:val="-12"/>
          <w:sz w:val="20"/>
        </w:rPr>
        <w:t> </w:t>
      </w:r>
      <w:r>
        <w:rPr>
          <w:sz w:val="20"/>
        </w:rPr>
        <w:t>может</w:t>
      </w:r>
      <w:r>
        <w:rPr>
          <w:spacing w:val="-13"/>
          <w:sz w:val="20"/>
        </w:rPr>
        <w:t> </w:t>
      </w:r>
      <w:r>
        <w:rPr>
          <w:sz w:val="20"/>
        </w:rPr>
        <w:t>быть</w:t>
      </w:r>
      <w:r>
        <w:rPr>
          <w:spacing w:val="-12"/>
          <w:sz w:val="20"/>
        </w:rPr>
        <w:t> </w:t>
      </w:r>
      <w:r>
        <w:rPr>
          <w:sz w:val="20"/>
        </w:rPr>
        <w:t>и</w:t>
      </w:r>
      <w:r>
        <w:rPr>
          <w:spacing w:val="-13"/>
          <w:sz w:val="20"/>
        </w:rPr>
        <w:t> </w:t>
      </w:r>
      <w:r>
        <w:rPr>
          <w:sz w:val="20"/>
        </w:rPr>
        <w:t>месяц,</w:t>
      </w:r>
      <w:r>
        <w:rPr>
          <w:spacing w:val="-12"/>
          <w:sz w:val="20"/>
        </w:rPr>
        <w:t> </w:t>
      </w:r>
      <w:r>
        <w:rPr>
          <w:sz w:val="20"/>
        </w:rPr>
        <w:t>и</w:t>
      </w:r>
      <w:r>
        <w:rPr>
          <w:spacing w:val="-13"/>
          <w:sz w:val="20"/>
        </w:rPr>
        <w:t> </w:t>
      </w:r>
      <w:r>
        <w:rPr>
          <w:sz w:val="20"/>
        </w:rPr>
        <w:t>пять</w:t>
      </w:r>
      <w:r>
        <w:rPr>
          <w:spacing w:val="-12"/>
          <w:sz w:val="20"/>
        </w:rPr>
        <w:t> </w:t>
      </w:r>
      <w:r>
        <w:rPr>
          <w:sz w:val="20"/>
        </w:rPr>
        <w:t>лет: интервал субъективен.</w:t>
      </w:r>
    </w:p>
    <w:p>
      <w:pPr>
        <w:pStyle w:val="ListParagraph"/>
        <w:numPr>
          <w:ilvl w:val="0"/>
          <w:numId w:val="205"/>
        </w:numPr>
        <w:tabs>
          <w:tab w:pos="423" w:val="left" w:leader="none"/>
          <w:tab w:pos="425" w:val="left" w:leader="none"/>
        </w:tabs>
        <w:spacing w:line="235" w:lineRule="auto" w:before="59" w:after="0"/>
        <w:ind w:left="425" w:right="139" w:hanging="284"/>
        <w:jc w:val="both"/>
        <w:rPr>
          <w:sz w:val="20"/>
        </w:rPr>
      </w:pPr>
      <w:r>
        <w:rPr>
          <w:sz w:val="20"/>
        </w:rPr>
        <w:t>Когда ребенок выбирает и называет время, психолог ставит второй стул на рас- стоянии</w:t>
      </w:r>
      <w:r>
        <w:rPr>
          <w:spacing w:val="-13"/>
          <w:sz w:val="20"/>
        </w:rPr>
        <w:t> </w:t>
      </w:r>
      <w:r>
        <w:rPr>
          <w:sz w:val="20"/>
        </w:rPr>
        <w:t>трех-четырех</w:t>
      </w:r>
      <w:r>
        <w:rPr>
          <w:spacing w:val="-12"/>
          <w:sz w:val="20"/>
        </w:rPr>
        <w:t> </w:t>
      </w:r>
      <w:r>
        <w:rPr>
          <w:sz w:val="20"/>
        </w:rPr>
        <w:t>метров</w:t>
      </w:r>
      <w:r>
        <w:rPr>
          <w:spacing w:val="-13"/>
          <w:sz w:val="20"/>
        </w:rPr>
        <w:t> </w:t>
      </w:r>
      <w:r>
        <w:rPr>
          <w:sz w:val="20"/>
        </w:rPr>
        <w:t>спинкой</w:t>
      </w:r>
      <w:r>
        <w:rPr>
          <w:spacing w:val="-12"/>
          <w:sz w:val="20"/>
        </w:rPr>
        <w:t> </w:t>
      </w:r>
      <w:r>
        <w:rPr>
          <w:sz w:val="20"/>
        </w:rPr>
        <w:t>к</w:t>
      </w:r>
      <w:r>
        <w:rPr>
          <w:spacing w:val="-13"/>
          <w:sz w:val="20"/>
        </w:rPr>
        <w:t> </w:t>
      </w:r>
      <w:r>
        <w:rPr>
          <w:sz w:val="20"/>
        </w:rPr>
        <w:t>ребенку.</w:t>
      </w:r>
      <w:r>
        <w:rPr>
          <w:spacing w:val="-12"/>
          <w:sz w:val="20"/>
        </w:rPr>
        <w:t> </w:t>
      </w:r>
      <w:r>
        <w:rPr>
          <w:sz w:val="20"/>
        </w:rPr>
        <w:t>Два</w:t>
      </w:r>
      <w:r>
        <w:rPr>
          <w:spacing w:val="-13"/>
          <w:sz w:val="20"/>
        </w:rPr>
        <w:t> </w:t>
      </w:r>
      <w:r>
        <w:rPr>
          <w:sz w:val="20"/>
        </w:rPr>
        <w:t>стула</w:t>
      </w:r>
      <w:r>
        <w:rPr>
          <w:spacing w:val="-12"/>
          <w:sz w:val="20"/>
        </w:rPr>
        <w:t> </w:t>
      </w:r>
      <w:r>
        <w:rPr>
          <w:sz w:val="20"/>
        </w:rPr>
        <w:t>оказываются</w:t>
      </w:r>
      <w:r>
        <w:rPr>
          <w:spacing w:val="-13"/>
          <w:sz w:val="20"/>
        </w:rPr>
        <w:t> </w:t>
      </w:r>
      <w:r>
        <w:rPr>
          <w:sz w:val="20"/>
        </w:rPr>
        <w:t>на</w:t>
      </w:r>
      <w:r>
        <w:rPr>
          <w:spacing w:val="-12"/>
          <w:sz w:val="20"/>
        </w:rPr>
        <w:t> </w:t>
      </w:r>
      <w:r>
        <w:rPr>
          <w:sz w:val="20"/>
        </w:rPr>
        <w:t>одной </w:t>
      </w:r>
      <w:r>
        <w:rPr>
          <w:spacing w:val="-2"/>
          <w:sz w:val="20"/>
        </w:rPr>
        <w:t>линии.</w:t>
      </w:r>
    </w:p>
    <w:p>
      <w:pPr>
        <w:spacing w:line="226" w:lineRule="exact" w:before="0"/>
        <w:ind w:left="425" w:right="0" w:firstLine="0"/>
        <w:jc w:val="left"/>
        <w:rPr>
          <w:i/>
          <w:sz w:val="20"/>
        </w:rPr>
      </w:pPr>
      <w:r>
        <w:rPr>
          <w:i/>
          <w:spacing w:val="-2"/>
          <w:sz w:val="20"/>
        </w:rPr>
        <w:t>Инструкция</w:t>
      </w:r>
    </w:p>
    <w:p>
      <w:pPr>
        <w:pStyle w:val="ListParagraph"/>
        <w:numPr>
          <w:ilvl w:val="1"/>
          <w:numId w:val="205"/>
        </w:numPr>
        <w:tabs>
          <w:tab w:pos="593" w:val="left" w:leader="none"/>
        </w:tabs>
        <w:spacing w:line="235" w:lineRule="auto" w:before="2" w:after="0"/>
        <w:ind w:left="141" w:right="139" w:firstLine="283"/>
        <w:jc w:val="both"/>
        <w:rPr>
          <w:i/>
          <w:sz w:val="20"/>
        </w:rPr>
      </w:pPr>
      <w:r>
        <w:rPr>
          <w:i/>
          <w:sz w:val="20"/>
        </w:rPr>
        <w:t>Этот стул – точка в будущем, где тебе … лет. Я прошу тебя пересесть на второй</w:t>
      </w:r>
      <w:r>
        <w:rPr>
          <w:i/>
          <w:spacing w:val="-5"/>
          <w:sz w:val="20"/>
        </w:rPr>
        <w:t> </w:t>
      </w:r>
      <w:r>
        <w:rPr>
          <w:i/>
          <w:sz w:val="20"/>
        </w:rPr>
        <w:t>стул,</w:t>
      </w:r>
      <w:r>
        <w:rPr>
          <w:i/>
          <w:spacing w:val="-6"/>
          <w:sz w:val="20"/>
        </w:rPr>
        <w:t> </w:t>
      </w:r>
      <w:r>
        <w:rPr>
          <w:i/>
          <w:sz w:val="20"/>
        </w:rPr>
        <w:t>но</w:t>
      </w:r>
      <w:r>
        <w:rPr>
          <w:i/>
          <w:spacing w:val="-5"/>
          <w:sz w:val="20"/>
        </w:rPr>
        <w:t> </w:t>
      </w:r>
      <w:r>
        <w:rPr>
          <w:i/>
          <w:sz w:val="20"/>
        </w:rPr>
        <w:t>не</w:t>
      </w:r>
      <w:r>
        <w:rPr>
          <w:i/>
          <w:spacing w:val="-6"/>
          <w:sz w:val="20"/>
        </w:rPr>
        <w:t> </w:t>
      </w:r>
      <w:r>
        <w:rPr>
          <w:i/>
          <w:sz w:val="20"/>
        </w:rPr>
        <w:t>торопись:</w:t>
      </w:r>
      <w:r>
        <w:rPr>
          <w:i/>
          <w:spacing w:val="-5"/>
          <w:sz w:val="20"/>
        </w:rPr>
        <w:t> </w:t>
      </w:r>
      <w:r>
        <w:rPr>
          <w:i/>
          <w:sz w:val="20"/>
        </w:rPr>
        <w:t>когда</w:t>
      </w:r>
      <w:r>
        <w:rPr>
          <w:i/>
          <w:spacing w:val="-6"/>
          <w:sz w:val="20"/>
        </w:rPr>
        <w:t> </w:t>
      </w:r>
      <w:r>
        <w:rPr>
          <w:i/>
          <w:sz w:val="20"/>
        </w:rPr>
        <w:t>сядешь</w:t>
      </w:r>
      <w:r>
        <w:rPr>
          <w:i/>
          <w:spacing w:val="-6"/>
          <w:sz w:val="20"/>
        </w:rPr>
        <w:t> </w:t>
      </w:r>
      <w:r>
        <w:rPr>
          <w:i/>
          <w:sz w:val="20"/>
        </w:rPr>
        <w:t>на</w:t>
      </w:r>
      <w:r>
        <w:rPr>
          <w:i/>
          <w:spacing w:val="-5"/>
          <w:sz w:val="20"/>
        </w:rPr>
        <w:t> </w:t>
      </w:r>
      <w:r>
        <w:rPr>
          <w:i/>
          <w:sz w:val="20"/>
        </w:rPr>
        <w:t>него,</w:t>
      </w:r>
      <w:r>
        <w:rPr>
          <w:i/>
          <w:spacing w:val="-6"/>
          <w:sz w:val="20"/>
        </w:rPr>
        <w:t> </w:t>
      </w:r>
      <w:r>
        <w:rPr>
          <w:i/>
          <w:sz w:val="20"/>
        </w:rPr>
        <w:t>ты</w:t>
      </w:r>
      <w:r>
        <w:rPr>
          <w:i/>
          <w:spacing w:val="-5"/>
          <w:sz w:val="20"/>
        </w:rPr>
        <w:t> </w:t>
      </w:r>
      <w:r>
        <w:rPr>
          <w:i/>
          <w:sz w:val="20"/>
        </w:rPr>
        <w:t>уже</w:t>
      </w:r>
      <w:r>
        <w:rPr>
          <w:i/>
          <w:spacing w:val="-6"/>
          <w:sz w:val="20"/>
        </w:rPr>
        <w:t> </w:t>
      </w:r>
      <w:r>
        <w:rPr>
          <w:i/>
          <w:sz w:val="20"/>
        </w:rPr>
        <w:t>окажешься</w:t>
      </w:r>
      <w:r>
        <w:rPr>
          <w:i/>
          <w:spacing w:val="-5"/>
          <w:sz w:val="20"/>
        </w:rPr>
        <w:t> </w:t>
      </w:r>
      <w:r>
        <w:rPr>
          <w:i/>
          <w:sz w:val="20"/>
        </w:rPr>
        <w:t>в</w:t>
      </w:r>
      <w:r>
        <w:rPr>
          <w:i/>
          <w:spacing w:val="-6"/>
          <w:sz w:val="20"/>
        </w:rPr>
        <w:t> </w:t>
      </w:r>
      <w:r>
        <w:rPr>
          <w:i/>
          <w:sz w:val="20"/>
        </w:rPr>
        <w:t>роли</w:t>
      </w:r>
      <w:r>
        <w:rPr>
          <w:i/>
          <w:spacing w:val="-5"/>
          <w:sz w:val="20"/>
        </w:rPr>
        <w:t> </w:t>
      </w:r>
      <w:r>
        <w:rPr>
          <w:i/>
          <w:sz w:val="20"/>
        </w:rPr>
        <w:t>себя, но через … лет/месяцев.</w:t>
      </w:r>
    </w:p>
    <w:p>
      <w:pPr>
        <w:pStyle w:val="ListParagraph"/>
        <w:numPr>
          <w:ilvl w:val="0"/>
          <w:numId w:val="205"/>
        </w:numPr>
        <w:tabs>
          <w:tab w:pos="423" w:val="left" w:leader="none"/>
          <w:tab w:pos="425" w:val="left" w:leader="none"/>
        </w:tabs>
        <w:spacing w:line="235" w:lineRule="auto" w:before="58" w:after="0"/>
        <w:ind w:left="425" w:right="139" w:hanging="284"/>
        <w:jc w:val="both"/>
        <w:rPr>
          <w:sz w:val="20"/>
        </w:rPr>
      </w:pPr>
      <w:r>
        <w:rPr>
          <w:sz w:val="20"/>
        </w:rPr>
        <w:t>Когда ребенок оказывается на втором стуле, психолог максимально реалистично вводит</w:t>
      </w:r>
      <w:r>
        <w:rPr>
          <w:spacing w:val="-10"/>
          <w:sz w:val="20"/>
        </w:rPr>
        <w:t> </w:t>
      </w:r>
      <w:r>
        <w:rPr>
          <w:sz w:val="20"/>
        </w:rPr>
        <w:t>его</w:t>
      </w:r>
      <w:r>
        <w:rPr>
          <w:spacing w:val="-10"/>
          <w:sz w:val="20"/>
        </w:rPr>
        <w:t> </w:t>
      </w:r>
      <w:r>
        <w:rPr>
          <w:sz w:val="20"/>
        </w:rPr>
        <w:t>в</w:t>
      </w:r>
      <w:r>
        <w:rPr>
          <w:spacing w:val="-10"/>
          <w:sz w:val="20"/>
        </w:rPr>
        <w:t> </w:t>
      </w:r>
      <w:r>
        <w:rPr>
          <w:sz w:val="20"/>
        </w:rPr>
        <w:t>роль</w:t>
      </w:r>
      <w:r>
        <w:rPr>
          <w:spacing w:val="-10"/>
          <w:sz w:val="20"/>
        </w:rPr>
        <w:t> </w:t>
      </w:r>
      <w:r>
        <w:rPr>
          <w:sz w:val="20"/>
        </w:rPr>
        <w:t>«Я</w:t>
      </w:r>
      <w:r>
        <w:rPr>
          <w:spacing w:val="-10"/>
          <w:sz w:val="20"/>
        </w:rPr>
        <w:t> </w:t>
      </w:r>
      <w:r>
        <w:rPr>
          <w:sz w:val="20"/>
        </w:rPr>
        <w:t>в</w:t>
      </w:r>
      <w:r>
        <w:rPr>
          <w:spacing w:val="-10"/>
          <w:sz w:val="20"/>
        </w:rPr>
        <w:t> </w:t>
      </w:r>
      <w:r>
        <w:rPr>
          <w:sz w:val="20"/>
        </w:rPr>
        <w:t>будущем».</w:t>
      </w:r>
      <w:r>
        <w:rPr>
          <w:spacing w:val="-10"/>
          <w:sz w:val="20"/>
        </w:rPr>
        <w:t> </w:t>
      </w:r>
      <w:r>
        <w:rPr>
          <w:sz w:val="20"/>
        </w:rPr>
        <w:t>Для</w:t>
      </w:r>
      <w:r>
        <w:rPr>
          <w:spacing w:val="-10"/>
          <w:sz w:val="20"/>
        </w:rPr>
        <w:t> </w:t>
      </w:r>
      <w:r>
        <w:rPr>
          <w:sz w:val="20"/>
        </w:rPr>
        <w:t>этого</w:t>
      </w:r>
      <w:r>
        <w:rPr>
          <w:spacing w:val="-10"/>
          <w:sz w:val="20"/>
        </w:rPr>
        <w:t> </w:t>
      </w:r>
      <w:r>
        <w:rPr>
          <w:sz w:val="20"/>
        </w:rPr>
        <w:t>можно</w:t>
      </w:r>
      <w:r>
        <w:rPr>
          <w:spacing w:val="-10"/>
          <w:sz w:val="20"/>
        </w:rPr>
        <w:t> </w:t>
      </w:r>
      <w:r>
        <w:rPr>
          <w:sz w:val="20"/>
        </w:rPr>
        <w:t>задавать</w:t>
      </w:r>
      <w:r>
        <w:rPr>
          <w:spacing w:val="-10"/>
          <w:sz w:val="20"/>
        </w:rPr>
        <w:t> </w:t>
      </w:r>
      <w:r>
        <w:rPr>
          <w:sz w:val="20"/>
        </w:rPr>
        <w:t>вопросы</w:t>
      </w:r>
      <w:r>
        <w:rPr>
          <w:spacing w:val="-10"/>
          <w:sz w:val="20"/>
        </w:rPr>
        <w:t> </w:t>
      </w:r>
      <w:r>
        <w:rPr>
          <w:sz w:val="20"/>
        </w:rPr>
        <w:t>в</w:t>
      </w:r>
      <w:r>
        <w:rPr>
          <w:spacing w:val="-10"/>
          <w:sz w:val="20"/>
        </w:rPr>
        <w:t> </w:t>
      </w:r>
      <w:r>
        <w:rPr>
          <w:sz w:val="20"/>
        </w:rPr>
        <w:t>настоящем времени про разные аспекты жизни:</w:t>
      </w:r>
    </w:p>
    <w:p>
      <w:pPr>
        <w:spacing w:line="226" w:lineRule="exact" w:before="0"/>
        <w:ind w:left="425" w:right="0" w:firstLine="0"/>
        <w:jc w:val="left"/>
        <w:rPr>
          <w:i/>
          <w:sz w:val="20"/>
        </w:rPr>
      </w:pPr>
      <w:r>
        <w:rPr>
          <w:i/>
          <w:sz w:val="20"/>
        </w:rPr>
        <w:t>−</w:t>
      </w:r>
      <w:r>
        <w:rPr>
          <w:i/>
          <w:spacing w:val="-2"/>
          <w:sz w:val="20"/>
        </w:rPr>
        <w:t> </w:t>
      </w:r>
      <w:r>
        <w:rPr>
          <w:i/>
          <w:sz w:val="20"/>
        </w:rPr>
        <w:t>Где</w:t>
      </w:r>
      <w:r>
        <w:rPr>
          <w:i/>
          <w:spacing w:val="-2"/>
          <w:sz w:val="20"/>
        </w:rPr>
        <w:t> </w:t>
      </w:r>
      <w:r>
        <w:rPr>
          <w:i/>
          <w:sz w:val="20"/>
        </w:rPr>
        <w:t>ты</w:t>
      </w:r>
      <w:r>
        <w:rPr>
          <w:i/>
          <w:spacing w:val="-2"/>
          <w:sz w:val="20"/>
        </w:rPr>
        <w:t> </w:t>
      </w:r>
      <w:r>
        <w:rPr>
          <w:i/>
          <w:sz w:val="20"/>
        </w:rPr>
        <w:t>сейчас</w:t>
      </w:r>
      <w:r>
        <w:rPr>
          <w:i/>
          <w:spacing w:val="-1"/>
          <w:sz w:val="20"/>
        </w:rPr>
        <w:t> </w:t>
      </w:r>
      <w:r>
        <w:rPr>
          <w:i/>
          <w:spacing w:val="-2"/>
          <w:sz w:val="20"/>
        </w:rPr>
        <w:t>живешь?</w:t>
      </w:r>
    </w:p>
    <w:p>
      <w:pPr>
        <w:spacing w:line="226" w:lineRule="exact" w:before="0"/>
        <w:ind w:left="425" w:right="0" w:firstLine="0"/>
        <w:jc w:val="left"/>
        <w:rPr>
          <w:i/>
          <w:sz w:val="20"/>
        </w:rPr>
      </w:pPr>
      <w:r>
        <w:rPr>
          <w:i/>
          <w:sz w:val="20"/>
        </w:rPr>
        <w:t>−</w:t>
      </w:r>
      <w:r>
        <w:rPr>
          <w:i/>
          <w:spacing w:val="-4"/>
          <w:sz w:val="20"/>
        </w:rPr>
        <w:t> </w:t>
      </w:r>
      <w:r>
        <w:rPr>
          <w:i/>
          <w:sz w:val="20"/>
        </w:rPr>
        <w:t>Чем</w:t>
      </w:r>
      <w:r>
        <w:rPr>
          <w:i/>
          <w:spacing w:val="-3"/>
          <w:sz w:val="20"/>
        </w:rPr>
        <w:t> </w:t>
      </w:r>
      <w:r>
        <w:rPr>
          <w:i/>
          <w:spacing w:val="-2"/>
          <w:sz w:val="20"/>
        </w:rPr>
        <w:t>занимаешься?</w:t>
      </w:r>
    </w:p>
    <w:p>
      <w:pPr>
        <w:spacing w:line="226" w:lineRule="exact" w:before="0"/>
        <w:ind w:left="425" w:right="0" w:firstLine="0"/>
        <w:jc w:val="left"/>
        <w:rPr>
          <w:i/>
          <w:sz w:val="20"/>
        </w:rPr>
      </w:pPr>
      <w:r>
        <w:rPr>
          <w:i/>
          <w:sz w:val="20"/>
        </w:rPr>
        <w:t>−</w:t>
      </w:r>
      <w:r>
        <w:rPr>
          <w:i/>
          <w:spacing w:val="-4"/>
          <w:sz w:val="20"/>
        </w:rPr>
        <w:t> </w:t>
      </w:r>
      <w:r>
        <w:rPr>
          <w:i/>
          <w:sz w:val="20"/>
        </w:rPr>
        <w:t>Ты</w:t>
      </w:r>
      <w:r>
        <w:rPr>
          <w:i/>
          <w:spacing w:val="-3"/>
          <w:sz w:val="20"/>
        </w:rPr>
        <w:t> </w:t>
      </w:r>
      <w:r>
        <w:rPr>
          <w:i/>
          <w:sz w:val="20"/>
        </w:rPr>
        <w:t>живешь</w:t>
      </w:r>
      <w:r>
        <w:rPr>
          <w:i/>
          <w:spacing w:val="-4"/>
          <w:sz w:val="20"/>
        </w:rPr>
        <w:t> </w:t>
      </w:r>
      <w:r>
        <w:rPr>
          <w:i/>
          <w:sz w:val="20"/>
        </w:rPr>
        <w:t>один</w:t>
      </w:r>
      <w:r>
        <w:rPr>
          <w:i/>
          <w:spacing w:val="-4"/>
          <w:sz w:val="20"/>
        </w:rPr>
        <w:t> </w:t>
      </w:r>
      <w:r>
        <w:rPr>
          <w:i/>
          <w:sz w:val="20"/>
        </w:rPr>
        <w:t>или</w:t>
      </w:r>
      <w:r>
        <w:rPr>
          <w:i/>
          <w:spacing w:val="-3"/>
          <w:sz w:val="20"/>
        </w:rPr>
        <w:t> </w:t>
      </w:r>
      <w:r>
        <w:rPr>
          <w:i/>
          <w:sz w:val="20"/>
        </w:rPr>
        <w:t>с</w:t>
      </w:r>
      <w:r>
        <w:rPr>
          <w:i/>
          <w:spacing w:val="-3"/>
          <w:sz w:val="20"/>
        </w:rPr>
        <w:t> </w:t>
      </w:r>
      <w:r>
        <w:rPr>
          <w:i/>
          <w:spacing w:val="-2"/>
          <w:sz w:val="20"/>
        </w:rPr>
        <w:t>семьей?</w:t>
      </w:r>
    </w:p>
    <w:p>
      <w:pPr>
        <w:spacing w:line="226" w:lineRule="exact" w:before="0"/>
        <w:ind w:left="425" w:right="0" w:firstLine="0"/>
        <w:jc w:val="left"/>
        <w:rPr>
          <w:i/>
          <w:sz w:val="20"/>
        </w:rPr>
      </w:pPr>
      <w:r>
        <w:rPr>
          <w:i/>
          <w:sz w:val="20"/>
        </w:rPr>
        <w:t>−</w:t>
      </w:r>
      <w:r>
        <w:rPr>
          <w:i/>
          <w:spacing w:val="-3"/>
          <w:sz w:val="20"/>
        </w:rPr>
        <w:t> </w:t>
      </w:r>
      <w:r>
        <w:rPr>
          <w:i/>
          <w:sz w:val="20"/>
        </w:rPr>
        <w:t>Кто</w:t>
      </w:r>
      <w:r>
        <w:rPr>
          <w:i/>
          <w:spacing w:val="-3"/>
          <w:sz w:val="20"/>
        </w:rPr>
        <w:t> </w:t>
      </w:r>
      <w:r>
        <w:rPr>
          <w:i/>
          <w:sz w:val="20"/>
        </w:rPr>
        <w:t>ты</w:t>
      </w:r>
      <w:r>
        <w:rPr>
          <w:i/>
          <w:spacing w:val="-3"/>
          <w:sz w:val="20"/>
        </w:rPr>
        <w:t> </w:t>
      </w:r>
      <w:r>
        <w:rPr>
          <w:i/>
          <w:sz w:val="20"/>
        </w:rPr>
        <w:t>по</w:t>
      </w:r>
      <w:r>
        <w:rPr>
          <w:i/>
          <w:spacing w:val="-3"/>
          <w:sz w:val="20"/>
        </w:rPr>
        <w:t> </w:t>
      </w:r>
      <w:r>
        <w:rPr>
          <w:i/>
          <w:sz w:val="20"/>
        </w:rPr>
        <w:t>профессии?</w:t>
      </w:r>
      <w:r>
        <w:rPr>
          <w:i/>
          <w:spacing w:val="-3"/>
          <w:sz w:val="20"/>
        </w:rPr>
        <w:t> </w:t>
      </w:r>
      <w:r>
        <w:rPr>
          <w:i/>
          <w:sz w:val="20"/>
        </w:rPr>
        <w:t>Расскажи</w:t>
      </w:r>
      <w:r>
        <w:rPr>
          <w:i/>
          <w:spacing w:val="-3"/>
          <w:sz w:val="20"/>
        </w:rPr>
        <w:t> </w:t>
      </w:r>
      <w:r>
        <w:rPr>
          <w:i/>
          <w:sz w:val="20"/>
        </w:rPr>
        <w:t>немного,</w:t>
      </w:r>
      <w:r>
        <w:rPr>
          <w:i/>
          <w:spacing w:val="-2"/>
          <w:sz w:val="20"/>
        </w:rPr>
        <w:t> </w:t>
      </w:r>
      <w:r>
        <w:rPr>
          <w:i/>
          <w:sz w:val="20"/>
        </w:rPr>
        <w:t>что</w:t>
      </w:r>
      <w:r>
        <w:rPr>
          <w:i/>
          <w:spacing w:val="-3"/>
          <w:sz w:val="20"/>
        </w:rPr>
        <w:t> </w:t>
      </w:r>
      <w:r>
        <w:rPr>
          <w:i/>
          <w:sz w:val="20"/>
        </w:rPr>
        <w:t>ты</w:t>
      </w:r>
      <w:r>
        <w:rPr>
          <w:i/>
          <w:spacing w:val="-3"/>
          <w:sz w:val="20"/>
        </w:rPr>
        <w:t> </w:t>
      </w:r>
      <w:r>
        <w:rPr>
          <w:i/>
          <w:spacing w:val="-2"/>
          <w:sz w:val="20"/>
        </w:rPr>
        <w:t>делаешь?</w:t>
      </w:r>
    </w:p>
    <w:p>
      <w:pPr>
        <w:spacing w:line="226" w:lineRule="exact" w:before="0"/>
        <w:ind w:left="425" w:right="0" w:firstLine="0"/>
        <w:jc w:val="left"/>
        <w:rPr>
          <w:i/>
          <w:sz w:val="20"/>
        </w:rPr>
      </w:pPr>
      <w:r>
        <w:rPr>
          <w:i/>
          <w:sz w:val="20"/>
        </w:rPr>
        <w:t>−</w:t>
      </w:r>
      <w:r>
        <w:rPr>
          <w:i/>
          <w:spacing w:val="-2"/>
          <w:sz w:val="20"/>
        </w:rPr>
        <w:t> </w:t>
      </w:r>
      <w:r>
        <w:rPr>
          <w:i/>
          <w:sz w:val="20"/>
        </w:rPr>
        <w:t>Как</w:t>
      </w:r>
      <w:r>
        <w:rPr>
          <w:i/>
          <w:spacing w:val="-1"/>
          <w:sz w:val="20"/>
        </w:rPr>
        <w:t> </w:t>
      </w:r>
      <w:r>
        <w:rPr>
          <w:i/>
          <w:sz w:val="20"/>
        </w:rPr>
        <w:t>ты</w:t>
      </w:r>
      <w:r>
        <w:rPr>
          <w:i/>
          <w:spacing w:val="-2"/>
          <w:sz w:val="20"/>
        </w:rPr>
        <w:t> </w:t>
      </w:r>
      <w:r>
        <w:rPr>
          <w:i/>
          <w:sz w:val="20"/>
        </w:rPr>
        <w:t>стал</w:t>
      </w:r>
      <w:r>
        <w:rPr>
          <w:i/>
          <w:spacing w:val="-2"/>
          <w:sz w:val="20"/>
        </w:rPr>
        <w:t> </w:t>
      </w:r>
      <w:r>
        <w:rPr>
          <w:i/>
          <w:sz w:val="20"/>
        </w:rPr>
        <w:t>тем,</w:t>
      </w:r>
      <w:r>
        <w:rPr>
          <w:i/>
          <w:spacing w:val="-1"/>
          <w:sz w:val="20"/>
        </w:rPr>
        <w:t> </w:t>
      </w:r>
      <w:r>
        <w:rPr>
          <w:i/>
          <w:sz w:val="20"/>
        </w:rPr>
        <w:t>кто</w:t>
      </w:r>
      <w:r>
        <w:rPr>
          <w:i/>
          <w:spacing w:val="-1"/>
          <w:sz w:val="20"/>
        </w:rPr>
        <w:t> </w:t>
      </w:r>
      <w:r>
        <w:rPr>
          <w:i/>
          <w:sz w:val="20"/>
        </w:rPr>
        <w:t>ты</w:t>
      </w:r>
      <w:r>
        <w:rPr>
          <w:i/>
          <w:spacing w:val="-2"/>
          <w:sz w:val="20"/>
        </w:rPr>
        <w:t> сейчас?</w:t>
      </w:r>
    </w:p>
    <w:p>
      <w:pPr>
        <w:spacing w:line="226" w:lineRule="exact" w:before="0"/>
        <w:ind w:left="425" w:right="0" w:firstLine="0"/>
        <w:jc w:val="left"/>
        <w:rPr>
          <w:i/>
          <w:sz w:val="20"/>
        </w:rPr>
      </w:pPr>
      <w:r>
        <w:rPr>
          <w:i/>
          <w:sz w:val="20"/>
        </w:rPr>
        <w:t>−</w:t>
      </w:r>
      <w:r>
        <w:rPr>
          <w:i/>
          <w:spacing w:val="-4"/>
          <w:sz w:val="20"/>
        </w:rPr>
        <w:t> </w:t>
      </w:r>
      <w:r>
        <w:rPr>
          <w:i/>
          <w:sz w:val="20"/>
        </w:rPr>
        <w:t>Как</w:t>
      </w:r>
      <w:r>
        <w:rPr>
          <w:i/>
          <w:spacing w:val="-3"/>
          <w:sz w:val="20"/>
        </w:rPr>
        <w:t> </w:t>
      </w:r>
      <w:r>
        <w:rPr>
          <w:i/>
          <w:sz w:val="20"/>
        </w:rPr>
        <w:t>ты</w:t>
      </w:r>
      <w:r>
        <w:rPr>
          <w:i/>
          <w:spacing w:val="-4"/>
          <w:sz w:val="20"/>
        </w:rPr>
        <w:t> </w:t>
      </w:r>
      <w:r>
        <w:rPr>
          <w:i/>
          <w:sz w:val="20"/>
        </w:rPr>
        <w:t>проводишь</w:t>
      </w:r>
      <w:r>
        <w:rPr>
          <w:i/>
          <w:spacing w:val="-4"/>
          <w:sz w:val="20"/>
        </w:rPr>
        <w:t> </w:t>
      </w:r>
      <w:r>
        <w:rPr>
          <w:i/>
          <w:spacing w:val="-2"/>
          <w:sz w:val="20"/>
        </w:rPr>
        <w:t>выходные?</w:t>
      </w:r>
    </w:p>
    <w:p>
      <w:pPr>
        <w:pStyle w:val="BodyText"/>
        <w:spacing w:line="235" w:lineRule="auto" w:before="2"/>
        <w:ind w:right="0"/>
        <w:jc w:val="left"/>
      </w:pPr>
      <w:r>
        <w:rPr/>
        <w:t>Психолог</w:t>
      </w:r>
      <w:r>
        <w:rPr>
          <w:spacing w:val="-9"/>
        </w:rPr>
        <w:t> </w:t>
      </w:r>
      <w:r>
        <w:rPr/>
        <w:t>помогает</w:t>
      </w:r>
      <w:r>
        <w:rPr>
          <w:spacing w:val="-9"/>
        </w:rPr>
        <w:t> </w:t>
      </w:r>
      <w:r>
        <w:rPr/>
        <w:t>ребенку</w:t>
      </w:r>
      <w:r>
        <w:rPr>
          <w:spacing w:val="-9"/>
        </w:rPr>
        <w:t> </w:t>
      </w:r>
      <w:r>
        <w:rPr/>
        <w:t>раскрепоститься</w:t>
      </w:r>
      <w:r>
        <w:rPr>
          <w:spacing w:val="-9"/>
        </w:rPr>
        <w:t> </w:t>
      </w:r>
      <w:r>
        <w:rPr/>
        <w:t>в</w:t>
      </w:r>
      <w:r>
        <w:rPr>
          <w:spacing w:val="-9"/>
        </w:rPr>
        <w:t> </w:t>
      </w:r>
      <w:r>
        <w:rPr/>
        <w:t>роли,</w:t>
      </w:r>
      <w:r>
        <w:rPr>
          <w:spacing w:val="-9"/>
        </w:rPr>
        <w:t> </w:t>
      </w:r>
      <w:r>
        <w:rPr/>
        <w:t>задает</w:t>
      </w:r>
      <w:r>
        <w:rPr>
          <w:spacing w:val="-9"/>
        </w:rPr>
        <w:t> </w:t>
      </w:r>
      <w:r>
        <w:rPr/>
        <w:t>неформальные</w:t>
      </w:r>
      <w:r>
        <w:rPr>
          <w:spacing w:val="-9"/>
        </w:rPr>
        <w:t> </w:t>
      </w:r>
      <w:r>
        <w:rPr/>
        <w:t>вопро- сы, не торопится, слушает, откликается, поддерживает, восхищается.</w:t>
      </w:r>
    </w:p>
    <w:p>
      <w:pPr>
        <w:pStyle w:val="ListParagraph"/>
        <w:numPr>
          <w:ilvl w:val="0"/>
          <w:numId w:val="205"/>
        </w:numPr>
        <w:tabs>
          <w:tab w:pos="423" w:val="left" w:leader="none"/>
          <w:tab w:pos="425" w:val="left" w:leader="none"/>
        </w:tabs>
        <w:spacing w:line="235" w:lineRule="auto" w:before="58" w:after="0"/>
        <w:ind w:left="425" w:right="139" w:hanging="284"/>
        <w:jc w:val="left"/>
        <w:rPr>
          <w:sz w:val="20"/>
        </w:rPr>
      </w:pPr>
      <w:r>
        <w:rPr>
          <w:sz w:val="20"/>
        </w:rPr>
        <w:t>После того как роль освоена, психолог предлагает ребенку выйти из нее и вер-</w:t>
      </w:r>
      <w:r>
        <w:rPr>
          <w:spacing w:val="40"/>
          <w:sz w:val="20"/>
        </w:rPr>
        <w:t> </w:t>
      </w:r>
      <w:r>
        <w:rPr>
          <w:sz w:val="20"/>
        </w:rPr>
        <w:t>нуться в настоящее.</w:t>
      </w:r>
    </w:p>
    <w:p>
      <w:pPr>
        <w:pStyle w:val="ListParagraph"/>
        <w:spacing w:after="0" w:line="235" w:lineRule="auto"/>
        <w:jc w:val="left"/>
        <w:rPr>
          <w:sz w:val="20"/>
        </w:rPr>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line="235" w:lineRule="auto" w:before="116"/>
      </w:pPr>
      <w:r>
        <w:rPr/>
        <w:t>Когда ребенок садится на стул настоящего, психолог подходит к стулу будущего и</w:t>
      </w:r>
      <w:r>
        <w:rPr>
          <w:spacing w:val="-5"/>
        </w:rPr>
        <w:t> </w:t>
      </w:r>
      <w:r>
        <w:rPr/>
        <w:t>в</w:t>
      </w:r>
      <w:r>
        <w:rPr>
          <w:spacing w:val="-5"/>
        </w:rPr>
        <w:t> </w:t>
      </w:r>
      <w:r>
        <w:rPr/>
        <w:t>манере</w:t>
      </w:r>
      <w:r>
        <w:rPr>
          <w:spacing w:val="-5"/>
        </w:rPr>
        <w:t> </w:t>
      </w:r>
      <w:r>
        <w:rPr/>
        <w:t>ребенка</w:t>
      </w:r>
      <w:r>
        <w:rPr>
          <w:spacing w:val="-5"/>
        </w:rPr>
        <w:t> </w:t>
      </w:r>
      <w:r>
        <w:rPr/>
        <w:t>озвучивает</w:t>
      </w:r>
      <w:r>
        <w:rPr>
          <w:spacing w:val="-5"/>
        </w:rPr>
        <w:t> </w:t>
      </w:r>
      <w:r>
        <w:rPr/>
        <w:t>роль</w:t>
      </w:r>
      <w:r>
        <w:rPr>
          <w:spacing w:val="-5"/>
        </w:rPr>
        <w:t> </w:t>
      </w:r>
      <w:r>
        <w:rPr/>
        <w:t>«Я</w:t>
      </w:r>
      <w:r>
        <w:rPr>
          <w:spacing w:val="-5"/>
        </w:rPr>
        <w:t> </w:t>
      </w:r>
      <w:r>
        <w:rPr/>
        <w:t>в</w:t>
      </w:r>
      <w:r>
        <w:rPr>
          <w:spacing w:val="-5"/>
        </w:rPr>
        <w:t> </w:t>
      </w:r>
      <w:r>
        <w:rPr/>
        <w:t>будущем»,</w:t>
      </w:r>
      <w:r>
        <w:rPr>
          <w:spacing w:val="-5"/>
        </w:rPr>
        <w:t> </w:t>
      </w:r>
      <w:r>
        <w:rPr/>
        <w:t>чтобы</w:t>
      </w:r>
      <w:r>
        <w:rPr>
          <w:spacing w:val="-5"/>
        </w:rPr>
        <w:t> </w:t>
      </w:r>
      <w:r>
        <w:rPr/>
        <w:t>ребенок</w:t>
      </w:r>
      <w:r>
        <w:rPr>
          <w:spacing w:val="-5"/>
        </w:rPr>
        <w:t> </w:t>
      </w:r>
      <w:r>
        <w:rPr/>
        <w:t>посмотрел</w:t>
      </w:r>
      <w:r>
        <w:rPr>
          <w:spacing w:val="-5"/>
        </w:rPr>
        <w:t> </w:t>
      </w:r>
      <w:r>
        <w:rPr/>
        <w:t>на</w:t>
      </w:r>
      <w:r>
        <w:rPr>
          <w:spacing w:val="-5"/>
        </w:rPr>
        <w:t> </w:t>
      </w:r>
      <w:r>
        <w:rPr/>
        <w:t>нее с первого стула.</w:t>
      </w:r>
    </w:p>
    <w:p>
      <w:pPr>
        <w:pStyle w:val="BodyText"/>
        <w:spacing w:line="226" w:lineRule="exact"/>
        <w:ind w:left="425" w:right="0" w:firstLine="0"/>
        <w:jc w:val="left"/>
      </w:pPr>
      <w:r>
        <w:rPr/>
        <w:t>Затем</w:t>
      </w:r>
      <w:r>
        <w:rPr>
          <w:spacing w:val="-7"/>
        </w:rPr>
        <w:t> </w:t>
      </w:r>
      <w:r>
        <w:rPr/>
        <w:t>психолог</w:t>
      </w:r>
      <w:r>
        <w:rPr>
          <w:spacing w:val="-8"/>
        </w:rPr>
        <w:t> </w:t>
      </w:r>
      <w:r>
        <w:rPr/>
        <w:t>выходит</w:t>
      </w:r>
      <w:r>
        <w:rPr>
          <w:spacing w:val="-6"/>
        </w:rPr>
        <w:t> </w:t>
      </w:r>
      <w:r>
        <w:rPr/>
        <w:t>из</w:t>
      </w:r>
      <w:r>
        <w:rPr>
          <w:spacing w:val="-7"/>
        </w:rPr>
        <w:t> </w:t>
      </w:r>
      <w:r>
        <w:rPr/>
        <w:t>роли</w:t>
      </w:r>
      <w:r>
        <w:rPr>
          <w:spacing w:val="-7"/>
        </w:rPr>
        <w:t> </w:t>
      </w:r>
      <w:r>
        <w:rPr/>
        <w:t>и</w:t>
      </w:r>
      <w:r>
        <w:rPr>
          <w:spacing w:val="-8"/>
        </w:rPr>
        <w:t> </w:t>
      </w:r>
      <w:r>
        <w:rPr/>
        <w:t>спрашивает</w:t>
      </w:r>
      <w:r>
        <w:rPr>
          <w:spacing w:val="-6"/>
        </w:rPr>
        <w:t> </w:t>
      </w:r>
      <w:r>
        <w:rPr>
          <w:spacing w:val="-2"/>
        </w:rPr>
        <w:t>ребенка:</w:t>
      </w:r>
    </w:p>
    <w:p>
      <w:pPr>
        <w:spacing w:line="226" w:lineRule="exact" w:before="0"/>
        <w:ind w:left="425" w:right="0" w:firstLine="0"/>
        <w:jc w:val="left"/>
        <w:rPr>
          <w:i/>
          <w:sz w:val="20"/>
        </w:rPr>
      </w:pPr>
      <w:r>
        <w:rPr>
          <w:i/>
          <w:sz w:val="20"/>
        </w:rPr>
        <w:t>−</w:t>
      </w:r>
      <w:r>
        <w:rPr>
          <w:i/>
          <w:spacing w:val="-4"/>
          <w:sz w:val="20"/>
        </w:rPr>
        <w:t> </w:t>
      </w:r>
      <w:r>
        <w:rPr>
          <w:i/>
          <w:sz w:val="20"/>
        </w:rPr>
        <w:t>Как</w:t>
      </w:r>
      <w:r>
        <w:rPr>
          <w:i/>
          <w:spacing w:val="-1"/>
          <w:sz w:val="20"/>
        </w:rPr>
        <w:t> </w:t>
      </w:r>
      <w:r>
        <w:rPr>
          <w:i/>
          <w:sz w:val="20"/>
        </w:rPr>
        <w:t>тебе</w:t>
      </w:r>
      <w:r>
        <w:rPr>
          <w:i/>
          <w:spacing w:val="-1"/>
          <w:sz w:val="20"/>
        </w:rPr>
        <w:t> </w:t>
      </w:r>
      <w:r>
        <w:rPr>
          <w:i/>
          <w:sz w:val="20"/>
        </w:rPr>
        <w:t>ты</w:t>
      </w:r>
      <w:r>
        <w:rPr>
          <w:i/>
          <w:spacing w:val="-2"/>
          <w:sz w:val="20"/>
        </w:rPr>
        <w:t> </w:t>
      </w:r>
      <w:r>
        <w:rPr>
          <w:i/>
          <w:sz w:val="20"/>
        </w:rPr>
        <w:t>через</w:t>
      </w:r>
      <w:r>
        <w:rPr>
          <w:i/>
          <w:spacing w:val="-2"/>
          <w:sz w:val="20"/>
        </w:rPr>
        <w:t> </w:t>
      </w:r>
      <w:r>
        <w:rPr>
          <w:i/>
          <w:sz w:val="20"/>
        </w:rPr>
        <w:t>…</w:t>
      </w:r>
      <w:r>
        <w:rPr>
          <w:i/>
          <w:spacing w:val="-2"/>
          <w:sz w:val="20"/>
        </w:rPr>
        <w:t> </w:t>
      </w:r>
      <w:r>
        <w:rPr>
          <w:i/>
          <w:spacing w:val="-4"/>
          <w:sz w:val="20"/>
        </w:rPr>
        <w:t>лет?</w:t>
      </w:r>
    </w:p>
    <w:p>
      <w:pPr>
        <w:spacing w:line="228" w:lineRule="exact" w:before="0"/>
        <w:ind w:left="425" w:right="0" w:firstLine="0"/>
        <w:jc w:val="left"/>
        <w:rPr>
          <w:i/>
          <w:sz w:val="20"/>
        </w:rPr>
      </w:pPr>
      <w:r>
        <w:rPr>
          <w:i/>
          <w:sz w:val="20"/>
        </w:rPr>
        <w:t>−</w:t>
      </w:r>
      <w:r>
        <w:rPr>
          <w:i/>
          <w:spacing w:val="-3"/>
          <w:sz w:val="20"/>
        </w:rPr>
        <w:t> </w:t>
      </w:r>
      <w:r>
        <w:rPr>
          <w:i/>
          <w:sz w:val="20"/>
        </w:rPr>
        <w:t>Что</w:t>
      </w:r>
      <w:r>
        <w:rPr>
          <w:i/>
          <w:spacing w:val="-2"/>
          <w:sz w:val="20"/>
        </w:rPr>
        <w:t> </w:t>
      </w:r>
      <w:r>
        <w:rPr>
          <w:i/>
          <w:sz w:val="20"/>
        </w:rPr>
        <w:t>ты</w:t>
      </w:r>
      <w:r>
        <w:rPr>
          <w:i/>
          <w:spacing w:val="-4"/>
          <w:sz w:val="20"/>
        </w:rPr>
        <w:t> </w:t>
      </w:r>
      <w:r>
        <w:rPr>
          <w:i/>
          <w:sz w:val="20"/>
        </w:rPr>
        <w:t>чувствуешь</w:t>
      </w:r>
      <w:r>
        <w:rPr>
          <w:i/>
          <w:spacing w:val="-3"/>
          <w:sz w:val="20"/>
        </w:rPr>
        <w:t> </w:t>
      </w:r>
      <w:r>
        <w:rPr>
          <w:i/>
          <w:sz w:val="20"/>
        </w:rPr>
        <w:t>к</w:t>
      </w:r>
      <w:r>
        <w:rPr>
          <w:i/>
          <w:spacing w:val="-2"/>
          <w:sz w:val="20"/>
        </w:rPr>
        <w:t> нему?</w:t>
      </w:r>
    </w:p>
    <w:p>
      <w:pPr>
        <w:pStyle w:val="ListParagraph"/>
        <w:numPr>
          <w:ilvl w:val="0"/>
          <w:numId w:val="205"/>
        </w:numPr>
        <w:tabs>
          <w:tab w:pos="423" w:val="left" w:leader="none"/>
          <w:tab w:pos="425" w:val="left" w:leader="none"/>
        </w:tabs>
        <w:spacing w:line="235" w:lineRule="auto" w:before="56" w:after="0"/>
        <w:ind w:left="425" w:right="139" w:hanging="284"/>
        <w:jc w:val="both"/>
        <w:rPr>
          <w:sz w:val="20"/>
        </w:rPr>
      </w:pPr>
      <w:r>
        <w:rPr>
          <w:sz w:val="20"/>
        </w:rPr>
        <w:t>Психолог поворачивает стул будущего лицом к ребенку, но оставляет его на том же месте. В этот момент ребенку предлагается задать вопрос себе в будущем – любой,</w:t>
      </w:r>
      <w:r>
        <w:rPr>
          <w:spacing w:val="-10"/>
          <w:sz w:val="20"/>
        </w:rPr>
        <w:t> </w:t>
      </w:r>
      <w:r>
        <w:rPr>
          <w:sz w:val="20"/>
        </w:rPr>
        <w:t>какой</w:t>
      </w:r>
      <w:r>
        <w:rPr>
          <w:spacing w:val="-10"/>
          <w:sz w:val="20"/>
        </w:rPr>
        <w:t> </w:t>
      </w:r>
      <w:r>
        <w:rPr>
          <w:sz w:val="20"/>
        </w:rPr>
        <w:t>хочется:</w:t>
      </w:r>
      <w:r>
        <w:rPr>
          <w:spacing w:val="-10"/>
          <w:sz w:val="20"/>
        </w:rPr>
        <w:t> </w:t>
      </w:r>
      <w:r>
        <w:rPr>
          <w:sz w:val="20"/>
        </w:rPr>
        <w:t>может,</w:t>
      </w:r>
      <w:r>
        <w:rPr>
          <w:spacing w:val="-10"/>
          <w:sz w:val="20"/>
        </w:rPr>
        <w:t> </w:t>
      </w:r>
      <w:r>
        <w:rPr>
          <w:sz w:val="20"/>
        </w:rPr>
        <w:t>нужны</w:t>
      </w:r>
      <w:r>
        <w:rPr>
          <w:spacing w:val="-10"/>
          <w:sz w:val="20"/>
        </w:rPr>
        <w:t> </w:t>
      </w:r>
      <w:r>
        <w:rPr>
          <w:sz w:val="20"/>
        </w:rPr>
        <w:t>помощь</w:t>
      </w:r>
      <w:r>
        <w:rPr>
          <w:spacing w:val="-10"/>
          <w:sz w:val="20"/>
        </w:rPr>
        <w:t> </w:t>
      </w:r>
      <w:r>
        <w:rPr>
          <w:sz w:val="20"/>
        </w:rPr>
        <w:t>или</w:t>
      </w:r>
      <w:r>
        <w:rPr>
          <w:spacing w:val="-10"/>
          <w:sz w:val="20"/>
        </w:rPr>
        <w:t> </w:t>
      </w:r>
      <w:r>
        <w:rPr>
          <w:sz w:val="20"/>
        </w:rPr>
        <w:t>совет,</w:t>
      </w:r>
      <w:r>
        <w:rPr>
          <w:spacing w:val="-10"/>
          <w:sz w:val="20"/>
        </w:rPr>
        <w:t> </w:t>
      </w:r>
      <w:r>
        <w:rPr>
          <w:sz w:val="20"/>
        </w:rPr>
        <w:t>передача</w:t>
      </w:r>
      <w:r>
        <w:rPr>
          <w:spacing w:val="-10"/>
          <w:sz w:val="20"/>
        </w:rPr>
        <w:t> </w:t>
      </w:r>
      <w:r>
        <w:rPr>
          <w:sz w:val="20"/>
        </w:rPr>
        <w:t>опыта,</w:t>
      </w:r>
      <w:r>
        <w:rPr>
          <w:spacing w:val="-10"/>
          <w:sz w:val="20"/>
        </w:rPr>
        <w:t> </w:t>
      </w:r>
      <w:r>
        <w:rPr>
          <w:sz w:val="20"/>
        </w:rPr>
        <w:t>а</w:t>
      </w:r>
      <w:r>
        <w:rPr>
          <w:spacing w:val="-10"/>
          <w:sz w:val="20"/>
        </w:rPr>
        <w:t> </w:t>
      </w:r>
      <w:r>
        <w:rPr>
          <w:sz w:val="20"/>
        </w:rPr>
        <w:t>может, есть потребность в контакте.</w:t>
      </w:r>
    </w:p>
    <w:p>
      <w:pPr>
        <w:pStyle w:val="ListParagraph"/>
        <w:numPr>
          <w:ilvl w:val="0"/>
          <w:numId w:val="205"/>
        </w:numPr>
        <w:tabs>
          <w:tab w:pos="423" w:val="left" w:leader="none"/>
          <w:tab w:pos="425" w:val="left" w:leader="none"/>
        </w:tabs>
        <w:spacing w:line="235" w:lineRule="auto" w:before="59" w:after="0"/>
        <w:ind w:left="425" w:right="139" w:hanging="284"/>
        <w:jc w:val="both"/>
        <w:rPr>
          <w:sz w:val="20"/>
        </w:rPr>
      </w:pPr>
      <w:r>
        <w:rPr>
          <w:sz w:val="20"/>
        </w:rPr>
        <w:t>Когда</w:t>
      </w:r>
      <w:r>
        <w:rPr>
          <w:spacing w:val="-8"/>
          <w:sz w:val="20"/>
        </w:rPr>
        <w:t> </w:t>
      </w:r>
      <w:r>
        <w:rPr>
          <w:sz w:val="20"/>
        </w:rPr>
        <w:t>вопрос</w:t>
      </w:r>
      <w:r>
        <w:rPr>
          <w:spacing w:val="-8"/>
          <w:sz w:val="20"/>
        </w:rPr>
        <w:t> </w:t>
      </w:r>
      <w:r>
        <w:rPr>
          <w:sz w:val="20"/>
        </w:rPr>
        <w:t>задан,</w:t>
      </w:r>
      <w:r>
        <w:rPr>
          <w:spacing w:val="-8"/>
          <w:sz w:val="20"/>
        </w:rPr>
        <w:t> </w:t>
      </w:r>
      <w:r>
        <w:rPr>
          <w:sz w:val="20"/>
        </w:rPr>
        <w:t>психолог</w:t>
      </w:r>
      <w:r>
        <w:rPr>
          <w:spacing w:val="-8"/>
          <w:sz w:val="20"/>
        </w:rPr>
        <w:t> </w:t>
      </w:r>
      <w:r>
        <w:rPr>
          <w:sz w:val="20"/>
        </w:rPr>
        <w:t>просит</w:t>
      </w:r>
      <w:r>
        <w:rPr>
          <w:spacing w:val="-8"/>
          <w:sz w:val="20"/>
        </w:rPr>
        <w:t> </w:t>
      </w:r>
      <w:r>
        <w:rPr>
          <w:sz w:val="20"/>
        </w:rPr>
        <w:t>ребенка</w:t>
      </w:r>
      <w:r>
        <w:rPr>
          <w:spacing w:val="-8"/>
          <w:sz w:val="20"/>
        </w:rPr>
        <w:t> </w:t>
      </w:r>
      <w:r>
        <w:rPr>
          <w:sz w:val="20"/>
        </w:rPr>
        <w:t>пересесть</w:t>
      </w:r>
      <w:r>
        <w:rPr>
          <w:spacing w:val="-8"/>
          <w:sz w:val="20"/>
        </w:rPr>
        <w:t> </w:t>
      </w:r>
      <w:r>
        <w:rPr>
          <w:sz w:val="20"/>
        </w:rPr>
        <w:t>на</w:t>
      </w:r>
      <w:r>
        <w:rPr>
          <w:spacing w:val="-8"/>
          <w:sz w:val="20"/>
        </w:rPr>
        <w:t> </w:t>
      </w:r>
      <w:r>
        <w:rPr>
          <w:sz w:val="20"/>
        </w:rPr>
        <w:t>стул</w:t>
      </w:r>
      <w:r>
        <w:rPr>
          <w:spacing w:val="-8"/>
          <w:sz w:val="20"/>
        </w:rPr>
        <w:t> </w:t>
      </w:r>
      <w:r>
        <w:rPr>
          <w:sz w:val="20"/>
        </w:rPr>
        <w:t>будущего,</w:t>
      </w:r>
      <w:r>
        <w:rPr>
          <w:spacing w:val="-8"/>
          <w:sz w:val="20"/>
        </w:rPr>
        <w:t> </w:t>
      </w:r>
      <w:r>
        <w:rPr>
          <w:sz w:val="20"/>
        </w:rPr>
        <w:t>выслу- шать оттуда вопрос и ответить на него.</w:t>
      </w:r>
    </w:p>
    <w:p>
      <w:pPr>
        <w:pStyle w:val="BodyText"/>
        <w:spacing w:line="235" w:lineRule="auto" w:before="2"/>
      </w:pPr>
      <w:r>
        <w:rPr/>
        <w:t>Роль «Я в настоящем» озвучивает психолог, максимально точно повторяя слова вопроса,</w:t>
      </w:r>
      <w:r>
        <w:rPr>
          <w:spacing w:val="-9"/>
        </w:rPr>
        <w:t> </w:t>
      </w:r>
      <w:r>
        <w:rPr/>
        <w:t>позу</w:t>
      </w:r>
      <w:r>
        <w:rPr>
          <w:spacing w:val="-9"/>
        </w:rPr>
        <w:t> </w:t>
      </w:r>
      <w:r>
        <w:rPr/>
        <w:t>и</w:t>
      </w:r>
      <w:r>
        <w:rPr>
          <w:spacing w:val="-9"/>
        </w:rPr>
        <w:t> </w:t>
      </w:r>
      <w:r>
        <w:rPr/>
        <w:t>интонацию.</w:t>
      </w:r>
      <w:r>
        <w:rPr>
          <w:spacing w:val="-8"/>
        </w:rPr>
        <w:t> </w:t>
      </w:r>
      <w:r>
        <w:rPr/>
        <w:t>Ребенок</w:t>
      </w:r>
      <w:r>
        <w:rPr>
          <w:spacing w:val="-9"/>
        </w:rPr>
        <w:t> </w:t>
      </w:r>
      <w:r>
        <w:rPr/>
        <w:t>из</w:t>
      </w:r>
      <w:r>
        <w:rPr>
          <w:spacing w:val="-9"/>
        </w:rPr>
        <w:t> </w:t>
      </w:r>
      <w:r>
        <w:rPr/>
        <w:t>роли</w:t>
      </w:r>
      <w:r>
        <w:rPr>
          <w:spacing w:val="-9"/>
        </w:rPr>
        <w:t> </w:t>
      </w:r>
      <w:r>
        <w:rPr/>
        <w:t>«Я</w:t>
      </w:r>
      <w:r>
        <w:rPr>
          <w:spacing w:val="-9"/>
        </w:rPr>
        <w:t> </w:t>
      </w:r>
      <w:r>
        <w:rPr/>
        <w:t>в</w:t>
      </w:r>
      <w:r>
        <w:rPr>
          <w:spacing w:val="-9"/>
        </w:rPr>
        <w:t> </w:t>
      </w:r>
      <w:r>
        <w:rPr/>
        <w:t>будущем»</w:t>
      </w:r>
      <w:r>
        <w:rPr>
          <w:spacing w:val="-9"/>
        </w:rPr>
        <w:t> </w:t>
      </w:r>
      <w:r>
        <w:rPr/>
        <w:t>дает</w:t>
      </w:r>
      <w:r>
        <w:rPr>
          <w:spacing w:val="-9"/>
        </w:rPr>
        <w:t> </w:t>
      </w:r>
      <w:r>
        <w:rPr/>
        <w:t>ответ.</w:t>
      </w:r>
      <w:r>
        <w:rPr>
          <w:spacing w:val="-9"/>
        </w:rPr>
        <w:t> </w:t>
      </w:r>
      <w:r>
        <w:rPr/>
        <w:t>Психолог</w:t>
      </w:r>
      <w:r>
        <w:rPr>
          <w:spacing w:val="-9"/>
        </w:rPr>
        <w:t> </w:t>
      </w:r>
      <w:r>
        <w:rPr/>
        <w:t>по- могает</w:t>
      </w:r>
      <w:r>
        <w:rPr>
          <w:spacing w:val="-8"/>
        </w:rPr>
        <w:t> </w:t>
      </w:r>
      <w:r>
        <w:rPr/>
        <w:t>ему</w:t>
      </w:r>
      <w:r>
        <w:rPr>
          <w:spacing w:val="-8"/>
        </w:rPr>
        <w:t> </w:t>
      </w:r>
      <w:r>
        <w:rPr/>
        <w:t>отреагировать</w:t>
      </w:r>
      <w:r>
        <w:rPr>
          <w:spacing w:val="-8"/>
        </w:rPr>
        <w:t> </w:t>
      </w:r>
      <w:r>
        <w:rPr/>
        <w:t>развернуто,</w:t>
      </w:r>
      <w:r>
        <w:rPr>
          <w:spacing w:val="-8"/>
        </w:rPr>
        <w:t> </w:t>
      </w:r>
      <w:r>
        <w:rPr/>
        <w:t>озвучить</w:t>
      </w:r>
      <w:r>
        <w:rPr>
          <w:spacing w:val="-8"/>
        </w:rPr>
        <w:t> </w:t>
      </w:r>
      <w:r>
        <w:rPr/>
        <w:t>чувства,</w:t>
      </w:r>
      <w:r>
        <w:rPr>
          <w:spacing w:val="-8"/>
        </w:rPr>
        <w:t> </w:t>
      </w:r>
      <w:r>
        <w:rPr/>
        <w:t>отношение,</w:t>
      </w:r>
      <w:r>
        <w:rPr>
          <w:spacing w:val="-8"/>
        </w:rPr>
        <w:t> </w:t>
      </w:r>
      <w:r>
        <w:rPr/>
        <w:t>поддержку.</w:t>
      </w:r>
      <w:r>
        <w:rPr>
          <w:spacing w:val="-8"/>
        </w:rPr>
        <w:t> </w:t>
      </w:r>
      <w:r>
        <w:rPr/>
        <w:t>При необходимости психолог из роли самого себя задает наводящие вопросы:</w:t>
      </w:r>
    </w:p>
    <w:p>
      <w:pPr>
        <w:pStyle w:val="ListParagraph"/>
        <w:numPr>
          <w:ilvl w:val="1"/>
          <w:numId w:val="205"/>
        </w:numPr>
        <w:tabs>
          <w:tab w:pos="568" w:val="left" w:leader="none"/>
        </w:tabs>
        <w:spacing w:line="232" w:lineRule="auto" w:before="0" w:after="0"/>
        <w:ind w:left="141" w:right="139" w:firstLine="283"/>
        <w:jc w:val="both"/>
        <w:rPr>
          <w:i/>
          <w:sz w:val="20"/>
        </w:rPr>
      </w:pPr>
      <w:r>
        <w:rPr>
          <w:i/>
          <w:spacing w:val="-2"/>
          <w:sz w:val="20"/>
        </w:rPr>
        <w:t>Как</w:t>
      </w:r>
      <w:r>
        <w:rPr>
          <w:i/>
          <w:spacing w:val="-13"/>
          <w:sz w:val="20"/>
        </w:rPr>
        <w:t> </w:t>
      </w:r>
      <w:r>
        <w:rPr>
          <w:i/>
          <w:spacing w:val="-2"/>
          <w:sz w:val="20"/>
        </w:rPr>
        <w:t>получилось</w:t>
      </w:r>
      <w:r>
        <w:rPr>
          <w:i/>
          <w:spacing w:val="-10"/>
          <w:sz w:val="20"/>
        </w:rPr>
        <w:t> </w:t>
      </w:r>
      <w:r>
        <w:rPr>
          <w:i/>
          <w:spacing w:val="-2"/>
          <w:sz w:val="20"/>
        </w:rPr>
        <w:t>это</w:t>
      </w:r>
      <w:r>
        <w:rPr>
          <w:i/>
          <w:spacing w:val="-11"/>
          <w:sz w:val="20"/>
        </w:rPr>
        <w:t> </w:t>
      </w:r>
      <w:r>
        <w:rPr>
          <w:i/>
          <w:spacing w:val="-2"/>
          <w:sz w:val="20"/>
        </w:rPr>
        <w:t>преодолеть?</w:t>
      </w:r>
      <w:r>
        <w:rPr>
          <w:i/>
          <w:spacing w:val="-10"/>
          <w:sz w:val="20"/>
        </w:rPr>
        <w:t> </w:t>
      </w:r>
      <w:r>
        <w:rPr>
          <w:i/>
          <w:spacing w:val="-2"/>
          <w:sz w:val="20"/>
        </w:rPr>
        <w:t>Что</w:t>
      </w:r>
      <w:r>
        <w:rPr>
          <w:i/>
          <w:spacing w:val="-11"/>
          <w:sz w:val="20"/>
        </w:rPr>
        <w:t> </w:t>
      </w:r>
      <w:r>
        <w:rPr>
          <w:i/>
          <w:spacing w:val="-2"/>
          <w:sz w:val="20"/>
        </w:rPr>
        <w:t>помогло?</w:t>
      </w:r>
      <w:r>
        <w:rPr>
          <w:i/>
          <w:spacing w:val="-10"/>
          <w:sz w:val="20"/>
        </w:rPr>
        <w:t> </w:t>
      </w:r>
      <w:r>
        <w:rPr>
          <w:i/>
          <w:spacing w:val="-2"/>
          <w:sz w:val="20"/>
        </w:rPr>
        <w:t>Там</w:t>
      </w:r>
      <w:r>
        <w:rPr>
          <w:i/>
          <w:spacing w:val="-11"/>
          <w:sz w:val="20"/>
        </w:rPr>
        <w:t> </w:t>
      </w:r>
      <w:r>
        <w:rPr>
          <w:i/>
          <w:spacing w:val="-2"/>
          <w:sz w:val="20"/>
        </w:rPr>
        <w:t>сидит</w:t>
      </w:r>
      <w:r>
        <w:rPr>
          <w:i/>
          <w:spacing w:val="-10"/>
          <w:sz w:val="20"/>
        </w:rPr>
        <w:t> </w:t>
      </w:r>
      <w:r>
        <w:rPr>
          <w:i/>
          <w:spacing w:val="-2"/>
          <w:sz w:val="20"/>
        </w:rPr>
        <w:t>мальчик</w:t>
      </w:r>
      <w:r>
        <w:rPr>
          <w:i/>
          <w:spacing w:val="-11"/>
          <w:sz w:val="20"/>
        </w:rPr>
        <w:t> </w:t>
      </w:r>
      <w:r>
        <w:rPr>
          <w:i/>
          <w:spacing w:val="-2"/>
          <w:sz w:val="20"/>
        </w:rPr>
        <w:t>(девочка),</w:t>
      </w:r>
      <w:r>
        <w:rPr>
          <w:i/>
          <w:spacing w:val="-10"/>
          <w:sz w:val="20"/>
        </w:rPr>
        <w:t> </w:t>
      </w:r>
      <w:r>
        <w:rPr>
          <w:i/>
          <w:spacing w:val="-2"/>
          <w:sz w:val="20"/>
        </w:rPr>
        <w:t>ко- </w:t>
      </w:r>
      <w:r>
        <w:rPr>
          <w:i/>
          <w:spacing w:val="-4"/>
          <w:sz w:val="20"/>
        </w:rPr>
        <w:t>торый(ая)</w:t>
      </w:r>
      <w:r>
        <w:rPr>
          <w:i/>
          <w:spacing w:val="-3"/>
          <w:sz w:val="20"/>
        </w:rPr>
        <w:t> </w:t>
      </w:r>
      <w:r>
        <w:rPr>
          <w:i/>
          <w:spacing w:val="-4"/>
          <w:sz w:val="20"/>
        </w:rPr>
        <w:t>пока</w:t>
      </w:r>
      <w:r>
        <w:rPr>
          <w:i/>
          <w:spacing w:val="-3"/>
          <w:sz w:val="20"/>
        </w:rPr>
        <w:t> </w:t>
      </w:r>
      <w:r>
        <w:rPr>
          <w:i/>
          <w:spacing w:val="-4"/>
          <w:sz w:val="20"/>
        </w:rPr>
        <w:t>не</w:t>
      </w:r>
      <w:r>
        <w:rPr>
          <w:i/>
          <w:spacing w:val="-3"/>
          <w:sz w:val="20"/>
        </w:rPr>
        <w:t> </w:t>
      </w:r>
      <w:r>
        <w:rPr>
          <w:i/>
          <w:spacing w:val="-4"/>
          <w:sz w:val="20"/>
        </w:rPr>
        <w:t>знает,</w:t>
      </w:r>
      <w:r>
        <w:rPr>
          <w:i/>
          <w:spacing w:val="-3"/>
          <w:sz w:val="20"/>
        </w:rPr>
        <w:t> </w:t>
      </w:r>
      <w:r>
        <w:rPr>
          <w:i/>
          <w:spacing w:val="-4"/>
          <w:sz w:val="20"/>
        </w:rPr>
        <w:t>как</w:t>
      </w:r>
      <w:r>
        <w:rPr>
          <w:i/>
          <w:spacing w:val="-3"/>
          <w:sz w:val="20"/>
        </w:rPr>
        <w:t> </w:t>
      </w:r>
      <w:r>
        <w:rPr>
          <w:i/>
          <w:spacing w:val="-4"/>
          <w:sz w:val="20"/>
        </w:rPr>
        <w:t>ему</w:t>
      </w:r>
      <w:r>
        <w:rPr>
          <w:i/>
          <w:spacing w:val="-3"/>
          <w:sz w:val="20"/>
        </w:rPr>
        <w:t> </w:t>
      </w:r>
      <w:r>
        <w:rPr>
          <w:i/>
          <w:spacing w:val="-4"/>
          <w:sz w:val="20"/>
        </w:rPr>
        <w:t>(ей)</w:t>
      </w:r>
      <w:r>
        <w:rPr>
          <w:i/>
          <w:spacing w:val="-2"/>
          <w:sz w:val="20"/>
        </w:rPr>
        <w:t> </w:t>
      </w:r>
      <w:r>
        <w:rPr>
          <w:i/>
          <w:spacing w:val="-4"/>
          <w:sz w:val="20"/>
        </w:rPr>
        <w:t>поступить,</w:t>
      </w:r>
      <w:r>
        <w:rPr>
          <w:i/>
          <w:spacing w:val="-3"/>
          <w:sz w:val="20"/>
        </w:rPr>
        <w:t> </w:t>
      </w:r>
      <w:r>
        <w:rPr>
          <w:i/>
          <w:spacing w:val="-4"/>
          <w:sz w:val="20"/>
        </w:rPr>
        <w:t>и</w:t>
      </w:r>
      <w:r>
        <w:rPr>
          <w:i/>
          <w:spacing w:val="-3"/>
          <w:sz w:val="20"/>
        </w:rPr>
        <w:t> </w:t>
      </w:r>
      <w:r>
        <w:rPr>
          <w:i/>
          <w:spacing w:val="-4"/>
          <w:sz w:val="20"/>
        </w:rPr>
        <w:t>ему</w:t>
      </w:r>
      <w:r>
        <w:rPr>
          <w:i/>
          <w:spacing w:val="-3"/>
          <w:sz w:val="20"/>
        </w:rPr>
        <w:t> </w:t>
      </w:r>
      <w:r>
        <w:rPr>
          <w:i/>
          <w:spacing w:val="-4"/>
          <w:sz w:val="20"/>
        </w:rPr>
        <w:t>(ей)</w:t>
      </w:r>
      <w:r>
        <w:rPr>
          <w:i/>
          <w:spacing w:val="-3"/>
          <w:sz w:val="20"/>
        </w:rPr>
        <w:t> </w:t>
      </w:r>
      <w:r>
        <w:rPr>
          <w:i/>
          <w:spacing w:val="-4"/>
          <w:sz w:val="20"/>
        </w:rPr>
        <w:t>очень</w:t>
      </w:r>
      <w:r>
        <w:rPr>
          <w:i/>
          <w:spacing w:val="-3"/>
          <w:sz w:val="20"/>
        </w:rPr>
        <w:t> </w:t>
      </w:r>
      <w:r>
        <w:rPr>
          <w:i/>
          <w:spacing w:val="-4"/>
          <w:sz w:val="20"/>
        </w:rPr>
        <w:t>нужна</w:t>
      </w:r>
      <w:r>
        <w:rPr>
          <w:i/>
          <w:spacing w:val="-2"/>
          <w:sz w:val="20"/>
        </w:rPr>
        <w:t> </w:t>
      </w:r>
      <w:r>
        <w:rPr>
          <w:i/>
          <w:spacing w:val="-4"/>
          <w:sz w:val="20"/>
        </w:rPr>
        <w:t>поддержка…</w:t>
      </w:r>
    </w:p>
    <w:p>
      <w:pPr>
        <w:pStyle w:val="ListParagraph"/>
        <w:numPr>
          <w:ilvl w:val="0"/>
          <w:numId w:val="205"/>
        </w:numPr>
        <w:tabs>
          <w:tab w:pos="423" w:val="left" w:leader="none"/>
          <w:tab w:pos="425" w:val="left" w:leader="none"/>
        </w:tabs>
        <w:spacing w:line="232" w:lineRule="auto" w:before="50" w:after="0"/>
        <w:ind w:left="425" w:right="139" w:hanging="284"/>
        <w:jc w:val="both"/>
        <w:rPr>
          <w:sz w:val="20"/>
        </w:rPr>
      </w:pPr>
      <w:r>
        <w:rPr>
          <w:sz w:val="20"/>
        </w:rPr>
        <w:t>Психолог</w:t>
      </w:r>
      <w:r>
        <w:rPr>
          <w:spacing w:val="-4"/>
          <w:sz w:val="20"/>
        </w:rPr>
        <w:t> </w:t>
      </w:r>
      <w:r>
        <w:rPr>
          <w:sz w:val="20"/>
        </w:rPr>
        <w:t>просит</w:t>
      </w:r>
      <w:r>
        <w:rPr>
          <w:spacing w:val="-4"/>
          <w:sz w:val="20"/>
        </w:rPr>
        <w:t> </w:t>
      </w:r>
      <w:r>
        <w:rPr>
          <w:sz w:val="20"/>
        </w:rPr>
        <w:t>ребенка</w:t>
      </w:r>
      <w:r>
        <w:rPr>
          <w:spacing w:val="-4"/>
          <w:sz w:val="20"/>
        </w:rPr>
        <w:t> </w:t>
      </w:r>
      <w:r>
        <w:rPr>
          <w:sz w:val="20"/>
        </w:rPr>
        <w:t>пересесть</w:t>
      </w:r>
      <w:r>
        <w:rPr>
          <w:spacing w:val="-4"/>
          <w:sz w:val="20"/>
        </w:rPr>
        <w:t> </w:t>
      </w:r>
      <w:r>
        <w:rPr>
          <w:sz w:val="20"/>
        </w:rPr>
        <w:t>на</w:t>
      </w:r>
      <w:r>
        <w:rPr>
          <w:spacing w:val="-4"/>
          <w:sz w:val="20"/>
        </w:rPr>
        <w:t> </w:t>
      </w:r>
      <w:r>
        <w:rPr>
          <w:sz w:val="20"/>
        </w:rPr>
        <w:t>стул</w:t>
      </w:r>
      <w:r>
        <w:rPr>
          <w:spacing w:val="-4"/>
          <w:sz w:val="20"/>
        </w:rPr>
        <w:t> </w:t>
      </w:r>
      <w:r>
        <w:rPr>
          <w:sz w:val="20"/>
        </w:rPr>
        <w:t>настоящего</w:t>
      </w:r>
      <w:r>
        <w:rPr>
          <w:spacing w:val="-4"/>
          <w:sz w:val="20"/>
        </w:rPr>
        <w:t> </w:t>
      </w:r>
      <w:r>
        <w:rPr>
          <w:sz w:val="20"/>
        </w:rPr>
        <w:t>и</w:t>
      </w:r>
      <w:r>
        <w:rPr>
          <w:spacing w:val="-4"/>
          <w:sz w:val="20"/>
        </w:rPr>
        <w:t> </w:t>
      </w:r>
      <w:r>
        <w:rPr>
          <w:sz w:val="20"/>
        </w:rPr>
        <w:t>выслушать</w:t>
      </w:r>
      <w:r>
        <w:rPr>
          <w:spacing w:val="-4"/>
          <w:sz w:val="20"/>
        </w:rPr>
        <w:t> </w:t>
      </w:r>
      <w:r>
        <w:rPr>
          <w:sz w:val="20"/>
        </w:rPr>
        <w:t>ответ,</w:t>
      </w:r>
      <w:r>
        <w:rPr>
          <w:spacing w:val="-4"/>
          <w:sz w:val="20"/>
        </w:rPr>
        <w:t> </w:t>
      </w:r>
      <w:r>
        <w:rPr>
          <w:sz w:val="20"/>
        </w:rPr>
        <w:t>кото- рый психолог дословно транслирует ему со стула будущего.</w:t>
      </w:r>
    </w:p>
    <w:p>
      <w:pPr>
        <w:pStyle w:val="BodyText"/>
        <w:spacing w:line="232" w:lineRule="auto"/>
      </w:pPr>
      <w:r>
        <w:rPr/>
        <w:t>В</w:t>
      </w:r>
      <w:r>
        <w:rPr>
          <w:spacing w:val="-11"/>
        </w:rPr>
        <w:t> </w:t>
      </w:r>
      <w:r>
        <w:rPr/>
        <w:t>этой</w:t>
      </w:r>
      <w:r>
        <w:rPr>
          <w:spacing w:val="-11"/>
        </w:rPr>
        <w:t> </w:t>
      </w:r>
      <w:r>
        <w:rPr/>
        <w:t>технике</w:t>
      </w:r>
      <w:r>
        <w:rPr>
          <w:spacing w:val="-11"/>
        </w:rPr>
        <w:t> </w:t>
      </w:r>
      <w:r>
        <w:rPr/>
        <w:t>может</w:t>
      </w:r>
      <w:r>
        <w:rPr>
          <w:spacing w:val="-11"/>
        </w:rPr>
        <w:t> </w:t>
      </w:r>
      <w:r>
        <w:rPr/>
        <w:t>оказаться</w:t>
      </w:r>
      <w:r>
        <w:rPr>
          <w:spacing w:val="-11"/>
        </w:rPr>
        <w:t> </w:t>
      </w:r>
      <w:r>
        <w:rPr/>
        <w:t>необходимым</w:t>
      </w:r>
      <w:r>
        <w:rPr>
          <w:spacing w:val="-11"/>
        </w:rPr>
        <w:t> </w:t>
      </w:r>
      <w:r>
        <w:rPr/>
        <w:t>пересаживаться</w:t>
      </w:r>
      <w:r>
        <w:rPr>
          <w:spacing w:val="-11"/>
        </w:rPr>
        <w:t> </w:t>
      </w:r>
      <w:r>
        <w:rPr/>
        <w:t>из</w:t>
      </w:r>
      <w:r>
        <w:rPr>
          <w:spacing w:val="-11"/>
        </w:rPr>
        <w:t> </w:t>
      </w:r>
      <w:r>
        <w:rPr/>
        <w:t>роли</w:t>
      </w:r>
      <w:r>
        <w:rPr>
          <w:spacing w:val="-11"/>
        </w:rPr>
        <w:t> </w:t>
      </w:r>
      <w:r>
        <w:rPr/>
        <w:t>в</w:t>
      </w:r>
      <w:r>
        <w:rPr>
          <w:spacing w:val="-11"/>
        </w:rPr>
        <w:t> </w:t>
      </w:r>
      <w:r>
        <w:rPr/>
        <w:t>роль</w:t>
      </w:r>
      <w:r>
        <w:rPr>
          <w:spacing w:val="-11"/>
        </w:rPr>
        <w:t> </w:t>
      </w:r>
      <w:r>
        <w:rPr/>
        <w:t>два- три раза. Техника провоцирует разговор с самим собой: ребенок из одной роли дает реакцию, а из другой получает ответ или отклик. Важно помнить, что заканчивать всегда надо на позиции настоящего.</w:t>
      </w:r>
    </w:p>
    <w:p>
      <w:pPr>
        <w:pStyle w:val="ListParagraph"/>
        <w:numPr>
          <w:ilvl w:val="0"/>
          <w:numId w:val="205"/>
        </w:numPr>
        <w:tabs>
          <w:tab w:pos="423" w:val="left" w:leader="none"/>
          <w:tab w:pos="425" w:val="left" w:leader="none"/>
        </w:tabs>
        <w:spacing w:line="232" w:lineRule="auto" w:before="51" w:after="0"/>
        <w:ind w:left="425" w:right="139" w:hanging="284"/>
        <w:jc w:val="both"/>
        <w:rPr>
          <w:sz w:val="20"/>
        </w:rPr>
      </w:pPr>
      <w:r>
        <w:rPr>
          <w:sz w:val="20"/>
        </w:rPr>
        <w:t>После</w:t>
      </w:r>
      <w:r>
        <w:rPr>
          <w:spacing w:val="-11"/>
          <w:sz w:val="20"/>
        </w:rPr>
        <w:t> </w:t>
      </w:r>
      <w:r>
        <w:rPr>
          <w:sz w:val="20"/>
        </w:rPr>
        <w:t>завершения</w:t>
      </w:r>
      <w:r>
        <w:rPr>
          <w:spacing w:val="-11"/>
          <w:sz w:val="20"/>
        </w:rPr>
        <w:t> </w:t>
      </w:r>
      <w:r>
        <w:rPr>
          <w:sz w:val="20"/>
        </w:rPr>
        <w:t>разговора</w:t>
      </w:r>
      <w:r>
        <w:rPr>
          <w:spacing w:val="-11"/>
          <w:sz w:val="20"/>
        </w:rPr>
        <w:t> </w:t>
      </w:r>
      <w:r>
        <w:rPr>
          <w:sz w:val="20"/>
        </w:rPr>
        <w:t>психолог</w:t>
      </w:r>
      <w:r>
        <w:rPr>
          <w:spacing w:val="-11"/>
          <w:sz w:val="20"/>
        </w:rPr>
        <w:t> </w:t>
      </w:r>
      <w:r>
        <w:rPr>
          <w:sz w:val="20"/>
        </w:rPr>
        <w:t>убирает</w:t>
      </w:r>
      <w:r>
        <w:rPr>
          <w:spacing w:val="-11"/>
          <w:sz w:val="20"/>
        </w:rPr>
        <w:t> </w:t>
      </w:r>
      <w:r>
        <w:rPr>
          <w:sz w:val="20"/>
        </w:rPr>
        <w:t>стулья</w:t>
      </w:r>
      <w:r>
        <w:rPr>
          <w:spacing w:val="-11"/>
          <w:sz w:val="20"/>
        </w:rPr>
        <w:t> </w:t>
      </w:r>
      <w:r>
        <w:rPr>
          <w:sz w:val="20"/>
        </w:rPr>
        <w:t>и</w:t>
      </w:r>
      <w:r>
        <w:rPr>
          <w:spacing w:val="-11"/>
          <w:sz w:val="20"/>
        </w:rPr>
        <w:t> </w:t>
      </w:r>
      <w:r>
        <w:rPr>
          <w:sz w:val="20"/>
        </w:rPr>
        <w:t>просит</w:t>
      </w:r>
      <w:r>
        <w:rPr>
          <w:spacing w:val="-11"/>
          <w:sz w:val="20"/>
        </w:rPr>
        <w:t> </w:t>
      </w:r>
      <w:r>
        <w:rPr>
          <w:sz w:val="20"/>
        </w:rPr>
        <w:t>ребенка</w:t>
      </w:r>
      <w:r>
        <w:rPr>
          <w:spacing w:val="-11"/>
          <w:sz w:val="20"/>
        </w:rPr>
        <w:t> </w:t>
      </w:r>
      <w:r>
        <w:rPr>
          <w:sz w:val="20"/>
        </w:rPr>
        <w:t>поделить- ся впечатлениями в свободной форме.</w:t>
      </w:r>
    </w:p>
    <w:p>
      <w:pPr>
        <w:spacing w:line="232" w:lineRule="auto" w:before="168"/>
        <w:ind w:left="425" w:right="0" w:firstLine="0"/>
        <w:jc w:val="left"/>
        <w:rPr>
          <w:b/>
          <w:sz w:val="20"/>
        </w:rPr>
      </w:pPr>
      <w:r>
        <w:rPr>
          <w:b/>
          <w:sz w:val="20"/>
        </w:rPr>
        <w:t>Компонент</w:t>
      </w:r>
      <w:r>
        <w:rPr>
          <w:b/>
          <w:spacing w:val="24"/>
          <w:sz w:val="20"/>
        </w:rPr>
        <w:t> </w:t>
      </w:r>
      <w:r>
        <w:rPr>
          <w:b/>
          <w:sz w:val="20"/>
        </w:rPr>
        <w:t>3.2.</w:t>
      </w:r>
      <w:r>
        <w:rPr>
          <w:b/>
          <w:spacing w:val="24"/>
          <w:sz w:val="20"/>
        </w:rPr>
        <w:t> </w:t>
      </w:r>
      <w:r>
        <w:rPr>
          <w:b/>
          <w:sz w:val="20"/>
        </w:rPr>
        <w:t>Линия</w:t>
      </w:r>
      <w:r>
        <w:rPr>
          <w:b/>
          <w:spacing w:val="24"/>
          <w:sz w:val="20"/>
        </w:rPr>
        <w:t> </w:t>
      </w:r>
      <w:r>
        <w:rPr>
          <w:b/>
          <w:sz w:val="20"/>
        </w:rPr>
        <w:t>жизни</w:t>
      </w:r>
      <w:r>
        <w:rPr>
          <w:b/>
          <w:spacing w:val="24"/>
          <w:sz w:val="20"/>
        </w:rPr>
        <w:t> </w:t>
      </w:r>
      <w:r>
        <w:rPr>
          <w:b/>
          <w:sz w:val="20"/>
        </w:rPr>
        <w:t>(прошлое,</w:t>
      </w:r>
      <w:r>
        <w:rPr>
          <w:b/>
          <w:spacing w:val="24"/>
          <w:sz w:val="20"/>
        </w:rPr>
        <w:t> </w:t>
      </w:r>
      <w:r>
        <w:rPr>
          <w:b/>
          <w:sz w:val="20"/>
        </w:rPr>
        <w:t>настоящее</w:t>
      </w:r>
      <w:r>
        <w:rPr>
          <w:b/>
          <w:spacing w:val="24"/>
          <w:sz w:val="20"/>
        </w:rPr>
        <w:t> </w:t>
      </w:r>
      <w:r>
        <w:rPr>
          <w:b/>
          <w:sz w:val="20"/>
        </w:rPr>
        <w:t>и</w:t>
      </w:r>
      <w:r>
        <w:rPr>
          <w:b/>
          <w:spacing w:val="24"/>
          <w:sz w:val="20"/>
        </w:rPr>
        <w:t> </w:t>
      </w:r>
      <w:r>
        <w:rPr>
          <w:b/>
          <w:sz w:val="20"/>
        </w:rPr>
        <w:t>будущее):</w:t>
      </w:r>
      <w:r>
        <w:rPr>
          <w:b/>
          <w:spacing w:val="24"/>
          <w:sz w:val="20"/>
        </w:rPr>
        <w:t> </w:t>
      </w:r>
      <w:r>
        <w:rPr>
          <w:b/>
          <w:sz w:val="20"/>
        </w:rPr>
        <w:t>содействие конструктивной работе горя</w:t>
      </w:r>
    </w:p>
    <w:p>
      <w:pPr>
        <w:pStyle w:val="BodyText"/>
        <w:spacing w:line="232" w:lineRule="auto"/>
        <w:ind w:right="0"/>
        <w:jc w:val="left"/>
      </w:pPr>
      <w:r>
        <w:rPr>
          <w:i/>
        </w:rPr>
        <w:t>Цель: </w:t>
      </w:r>
      <w:r>
        <w:rPr/>
        <w:t>психологическая помощь при появлении у ребенка ярких симптомов трав- матического горя.</w:t>
      </w:r>
    </w:p>
    <w:p>
      <w:pPr>
        <w:spacing w:line="218" w:lineRule="exact" w:before="0"/>
        <w:ind w:left="425" w:right="0" w:firstLine="0"/>
        <w:jc w:val="left"/>
        <w:rPr>
          <w:i/>
          <w:sz w:val="20"/>
        </w:rPr>
      </w:pPr>
      <w:r>
        <w:rPr>
          <w:i/>
          <w:spacing w:val="-2"/>
          <w:sz w:val="20"/>
        </w:rPr>
        <w:t>Задачи:</w:t>
      </w:r>
    </w:p>
    <w:p>
      <w:pPr>
        <w:pStyle w:val="ListParagraph"/>
        <w:numPr>
          <w:ilvl w:val="0"/>
          <w:numId w:val="206"/>
        </w:numPr>
        <w:tabs>
          <w:tab w:pos="424" w:val="left" w:leader="none"/>
        </w:tabs>
        <w:spacing w:line="222" w:lineRule="exact" w:before="0" w:after="0"/>
        <w:ind w:left="424" w:right="0" w:hanging="283"/>
        <w:jc w:val="left"/>
        <w:rPr>
          <w:sz w:val="20"/>
        </w:rPr>
      </w:pPr>
      <w:r>
        <w:rPr>
          <w:sz w:val="20"/>
        </w:rPr>
        <w:t>психологическое</w:t>
      </w:r>
      <w:r>
        <w:rPr>
          <w:spacing w:val="-3"/>
          <w:sz w:val="20"/>
        </w:rPr>
        <w:t> </w:t>
      </w:r>
      <w:r>
        <w:rPr>
          <w:sz w:val="20"/>
        </w:rPr>
        <w:t>просвещение</w:t>
      </w:r>
      <w:r>
        <w:rPr>
          <w:spacing w:val="-2"/>
          <w:sz w:val="20"/>
        </w:rPr>
        <w:t> </w:t>
      </w:r>
      <w:r>
        <w:rPr>
          <w:sz w:val="20"/>
        </w:rPr>
        <w:t>по</w:t>
      </w:r>
      <w:r>
        <w:rPr>
          <w:spacing w:val="-2"/>
          <w:sz w:val="20"/>
        </w:rPr>
        <w:t> </w:t>
      </w:r>
      <w:r>
        <w:rPr>
          <w:sz w:val="20"/>
        </w:rPr>
        <w:t>вопросам</w:t>
      </w:r>
      <w:r>
        <w:rPr>
          <w:spacing w:val="-2"/>
          <w:sz w:val="20"/>
        </w:rPr>
        <w:t> горя;</w:t>
      </w:r>
    </w:p>
    <w:p>
      <w:pPr>
        <w:pStyle w:val="ListParagraph"/>
        <w:numPr>
          <w:ilvl w:val="0"/>
          <w:numId w:val="206"/>
        </w:numPr>
        <w:tabs>
          <w:tab w:pos="425" w:val="left" w:leader="none"/>
        </w:tabs>
        <w:spacing w:line="232" w:lineRule="auto" w:before="0" w:after="0"/>
        <w:ind w:left="425" w:right="139" w:hanging="284"/>
        <w:jc w:val="left"/>
        <w:rPr>
          <w:sz w:val="20"/>
        </w:rPr>
      </w:pPr>
      <w:r>
        <w:rPr>
          <w:sz w:val="20"/>
        </w:rPr>
        <w:t>отгоревание потери и разрешение амбивалентных чувств по отношению к роди- </w:t>
      </w:r>
      <w:r>
        <w:rPr>
          <w:spacing w:val="-2"/>
          <w:sz w:val="20"/>
        </w:rPr>
        <w:t>телям;</w:t>
      </w:r>
    </w:p>
    <w:p>
      <w:pPr>
        <w:pStyle w:val="ListParagraph"/>
        <w:numPr>
          <w:ilvl w:val="0"/>
          <w:numId w:val="206"/>
        </w:numPr>
        <w:tabs>
          <w:tab w:pos="425" w:val="left" w:leader="none"/>
        </w:tabs>
        <w:spacing w:line="232" w:lineRule="auto" w:before="0" w:after="0"/>
        <w:ind w:left="425" w:right="140" w:hanging="284"/>
        <w:jc w:val="left"/>
        <w:rPr>
          <w:sz w:val="20"/>
        </w:rPr>
      </w:pPr>
      <w:r>
        <w:rPr>
          <w:sz w:val="20"/>
        </w:rPr>
        <w:t>сохранение</w:t>
      </w:r>
      <w:r>
        <w:rPr>
          <w:spacing w:val="-1"/>
          <w:sz w:val="20"/>
        </w:rPr>
        <w:t> </w:t>
      </w:r>
      <w:r>
        <w:rPr>
          <w:sz w:val="20"/>
        </w:rPr>
        <w:t>положительных</w:t>
      </w:r>
      <w:r>
        <w:rPr>
          <w:spacing w:val="-1"/>
          <w:sz w:val="20"/>
        </w:rPr>
        <w:t> </w:t>
      </w:r>
      <w:r>
        <w:rPr>
          <w:sz w:val="20"/>
        </w:rPr>
        <w:t>воспоминаний</w:t>
      </w:r>
      <w:r>
        <w:rPr>
          <w:spacing w:val="-1"/>
          <w:sz w:val="20"/>
        </w:rPr>
        <w:t> </w:t>
      </w:r>
      <w:r>
        <w:rPr>
          <w:sz w:val="20"/>
        </w:rPr>
        <w:t>и</w:t>
      </w:r>
      <w:r>
        <w:rPr>
          <w:spacing w:val="-1"/>
          <w:sz w:val="20"/>
        </w:rPr>
        <w:t> </w:t>
      </w:r>
      <w:r>
        <w:rPr>
          <w:sz w:val="20"/>
        </w:rPr>
        <w:t>конструктивного</w:t>
      </w:r>
      <w:r>
        <w:rPr>
          <w:spacing w:val="-1"/>
          <w:sz w:val="20"/>
        </w:rPr>
        <w:t> </w:t>
      </w:r>
      <w:r>
        <w:rPr>
          <w:sz w:val="20"/>
        </w:rPr>
        <w:t>опыта,</w:t>
      </w:r>
      <w:r>
        <w:rPr>
          <w:spacing w:val="-1"/>
          <w:sz w:val="20"/>
        </w:rPr>
        <w:t> </w:t>
      </w:r>
      <w:r>
        <w:rPr>
          <w:sz w:val="20"/>
        </w:rPr>
        <w:t>связанного с потерей;</w:t>
      </w:r>
    </w:p>
    <w:p>
      <w:pPr>
        <w:pStyle w:val="ListParagraph"/>
        <w:numPr>
          <w:ilvl w:val="0"/>
          <w:numId w:val="206"/>
        </w:numPr>
        <w:tabs>
          <w:tab w:pos="425" w:val="left" w:leader="none"/>
        </w:tabs>
        <w:spacing w:line="232" w:lineRule="auto" w:before="0" w:after="0"/>
        <w:ind w:left="425" w:right="139" w:hanging="284"/>
        <w:jc w:val="left"/>
        <w:rPr>
          <w:sz w:val="20"/>
        </w:rPr>
      </w:pPr>
      <w:r>
        <w:rPr>
          <w:sz w:val="20"/>
        </w:rPr>
        <w:t>переосмысление отношений и формирование приверженности нынешним отно- </w:t>
      </w:r>
      <w:r>
        <w:rPr>
          <w:spacing w:val="-2"/>
          <w:sz w:val="20"/>
        </w:rPr>
        <w:t>шениям.</w:t>
      </w:r>
    </w:p>
    <w:p>
      <w:pPr>
        <w:pStyle w:val="BodyText"/>
        <w:spacing w:line="235" w:lineRule="auto"/>
      </w:pPr>
      <w:r>
        <w:rPr/>
        <w:t>Психологическая</w:t>
      </w:r>
      <w:r>
        <w:rPr>
          <w:spacing w:val="-13"/>
        </w:rPr>
        <w:t> </w:t>
      </w:r>
      <w:r>
        <w:rPr/>
        <w:t>работа</w:t>
      </w:r>
      <w:r>
        <w:rPr>
          <w:spacing w:val="-12"/>
        </w:rPr>
        <w:t> </w:t>
      </w:r>
      <w:r>
        <w:rPr/>
        <w:t>с</w:t>
      </w:r>
      <w:r>
        <w:rPr>
          <w:spacing w:val="-13"/>
        </w:rPr>
        <w:t> </w:t>
      </w:r>
      <w:r>
        <w:rPr/>
        <w:t>этим</w:t>
      </w:r>
      <w:r>
        <w:rPr>
          <w:spacing w:val="-12"/>
        </w:rPr>
        <w:t> </w:t>
      </w:r>
      <w:r>
        <w:rPr/>
        <w:t>компонентом</w:t>
      </w:r>
      <w:r>
        <w:rPr>
          <w:spacing w:val="-13"/>
        </w:rPr>
        <w:t> </w:t>
      </w:r>
      <w:r>
        <w:rPr/>
        <w:t>очень</w:t>
      </w:r>
      <w:r>
        <w:rPr>
          <w:spacing w:val="-12"/>
        </w:rPr>
        <w:t> </w:t>
      </w:r>
      <w:r>
        <w:rPr/>
        <w:t>важна</w:t>
      </w:r>
      <w:r>
        <w:rPr>
          <w:spacing w:val="-13"/>
        </w:rPr>
        <w:t> </w:t>
      </w:r>
      <w:r>
        <w:rPr/>
        <w:t>в</w:t>
      </w:r>
      <w:r>
        <w:rPr>
          <w:spacing w:val="-12"/>
        </w:rPr>
        <w:t> </w:t>
      </w:r>
      <w:r>
        <w:rPr/>
        <w:t>случае</w:t>
      </w:r>
      <w:r>
        <w:rPr>
          <w:spacing w:val="-13"/>
        </w:rPr>
        <w:t> </w:t>
      </w:r>
      <w:r>
        <w:rPr/>
        <w:t>потери</w:t>
      </w:r>
      <w:r>
        <w:rPr>
          <w:spacing w:val="-12"/>
        </w:rPr>
        <w:t> </w:t>
      </w:r>
      <w:r>
        <w:rPr/>
        <w:t>кого-то из значимых близких ребенка. Частый вопрос, который возникает у родителей или других</w:t>
      </w:r>
      <w:r>
        <w:rPr>
          <w:spacing w:val="-1"/>
        </w:rPr>
        <w:t> </w:t>
      </w:r>
      <w:r>
        <w:rPr/>
        <w:t>попечителей</w:t>
      </w:r>
      <w:r>
        <w:rPr>
          <w:spacing w:val="-1"/>
        </w:rPr>
        <w:t> </w:t>
      </w:r>
      <w:r>
        <w:rPr/>
        <w:t>после</w:t>
      </w:r>
      <w:r>
        <w:rPr>
          <w:spacing w:val="-1"/>
        </w:rPr>
        <w:t> </w:t>
      </w:r>
      <w:r>
        <w:rPr/>
        <w:t>травмирующей</w:t>
      </w:r>
      <w:r>
        <w:rPr>
          <w:spacing w:val="-1"/>
        </w:rPr>
        <w:t> </w:t>
      </w:r>
      <w:r>
        <w:rPr/>
        <w:t>смерти</w:t>
      </w:r>
      <w:r>
        <w:rPr>
          <w:spacing w:val="-1"/>
        </w:rPr>
        <w:t> </w:t>
      </w:r>
      <w:r>
        <w:rPr/>
        <w:t>–</w:t>
      </w:r>
      <w:r>
        <w:rPr>
          <w:spacing w:val="-1"/>
        </w:rPr>
        <w:t> </w:t>
      </w:r>
      <w:r>
        <w:rPr/>
        <w:t>должен</w:t>
      </w:r>
      <w:r>
        <w:rPr>
          <w:spacing w:val="-1"/>
        </w:rPr>
        <w:t> </w:t>
      </w:r>
      <w:r>
        <w:rPr/>
        <w:t>ли</w:t>
      </w:r>
      <w:r>
        <w:rPr>
          <w:spacing w:val="-1"/>
        </w:rPr>
        <w:t> </w:t>
      </w:r>
      <w:r>
        <w:rPr/>
        <w:t>ребенок</w:t>
      </w:r>
      <w:r>
        <w:rPr>
          <w:spacing w:val="-1"/>
        </w:rPr>
        <w:t> </w:t>
      </w:r>
      <w:r>
        <w:rPr/>
        <w:t>знать</w:t>
      </w:r>
      <w:r>
        <w:rPr>
          <w:spacing w:val="-1"/>
        </w:rPr>
        <w:t> </w:t>
      </w:r>
      <w:r>
        <w:rPr/>
        <w:t>правду о том, как умер человек.</w:t>
      </w:r>
    </w:p>
    <w:p>
      <w:pPr>
        <w:pStyle w:val="BodyText"/>
        <w:spacing w:line="235" w:lineRule="auto"/>
      </w:pPr>
      <w:r>
        <w:rPr/>
        <w:t>Считается,</w:t>
      </w:r>
      <w:r>
        <w:rPr>
          <w:spacing w:val="-3"/>
        </w:rPr>
        <w:t> </w:t>
      </w:r>
      <w:r>
        <w:rPr/>
        <w:t>что</w:t>
      </w:r>
      <w:r>
        <w:rPr>
          <w:spacing w:val="-3"/>
        </w:rPr>
        <w:t> </w:t>
      </w:r>
      <w:r>
        <w:rPr/>
        <w:t>для</w:t>
      </w:r>
      <w:r>
        <w:rPr>
          <w:spacing w:val="-3"/>
        </w:rPr>
        <w:t> </w:t>
      </w:r>
      <w:r>
        <w:rPr/>
        <w:t>ребенка</w:t>
      </w:r>
      <w:r>
        <w:rPr>
          <w:spacing w:val="-3"/>
        </w:rPr>
        <w:t> </w:t>
      </w:r>
      <w:r>
        <w:rPr/>
        <w:t>важно</w:t>
      </w:r>
      <w:r>
        <w:rPr>
          <w:spacing w:val="-3"/>
        </w:rPr>
        <w:t> </w:t>
      </w:r>
      <w:r>
        <w:rPr/>
        <w:t>узнать</w:t>
      </w:r>
      <w:r>
        <w:rPr>
          <w:spacing w:val="-3"/>
        </w:rPr>
        <w:t> </w:t>
      </w:r>
      <w:r>
        <w:rPr/>
        <w:t>правду</w:t>
      </w:r>
      <w:r>
        <w:rPr>
          <w:spacing w:val="-3"/>
        </w:rPr>
        <w:t> </w:t>
      </w:r>
      <w:r>
        <w:rPr/>
        <w:t>о</w:t>
      </w:r>
      <w:r>
        <w:rPr>
          <w:spacing w:val="-3"/>
        </w:rPr>
        <w:t> </w:t>
      </w:r>
      <w:r>
        <w:rPr/>
        <w:t>том,</w:t>
      </w:r>
      <w:r>
        <w:rPr>
          <w:spacing w:val="-3"/>
        </w:rPr>
        <w:t> </w:t>
      </w:r>
      <w:r>
        <w:rPr/>
        <w:t>как</w:t>
      </w:r>
      <w:r>
        <w:rPr>
          <w:spacing w:val="-3"/>
        </w:rPr>
        <w:t> </w:t>
      </w:r>
      <w:r>
        <w:rPr/>
        <w:t>произошла</w:t>
      </w:r>
      <w:r>
        <w:rPr>
          <w:spacing w:val="-3"/>
        </w:rPr>
        <w:t> </w:t>
      </w:r>
      <w:r>
        <w:rPr/>
        <w:t>смерть,</w:t>
      </w:r>
      <w:r>
        <w:rPr>
          <w:spacing w:val="-3"/>
        </w:rPr>
        <w:t> </w:t>
      </w:r>
      <w:r>
        <w:rPr/>
        <w:t>но при</w:t>
      </w:r>
      <w:r>
        <w:rPr>
          <w:spacing w:val="3"/>
        </w:rPr>
        <w:t> </w:t>
      </w:r>
      <w:r>
        <w:rPr/>
        <w:t>этом</w:t>
      </w:r>
      <w:r>
        <w:rPr>
          <w:spacing w:val="5"/>
        </w:rPr>
        <w:t> </w:t>
      </w:r>
      <w:r>
        <w:rPr/>
        <w:t>необходимо</w:t>
      </w:r>
      <w:r>
        <w:rPr>
          <w:spacing w:val="5"/>
        </w:rPr>
        <w:t> </w:t>
      </w:r>
      <w:r>
        <w:rPr/>
        <w:t>учитывать</w:t>
      </w:r>
      <w:r>
        <w:rPr>
          <w:spacing w:val="6"/>
        </w:rPr>
        <w:t> </w:t>
      </w:r>
      <w:r>
        <w:rPr/>
        <w:t>возраст</w:t>
      </w:r>
      <w:r>
        <w:rPr>
          <w:spacing w:val="5"/>
        </w:rPr>
        <w:t> </w:t>
      </w:r>
      <w:r>
        <w:rPr/>
        <w:t>ребенка</w:t>
      </w:r>
      <w:r>
        <w:rPr>
          <w:spacing w:val="5"/>
        </w:rPr>
        <w:t> </w:t>
      </w:r>
      <w:r>
        <w:rPr/>
        <w:t>и</w:t>
      </w:r>
      <w:r>
        <w:rPr>
          <w:spacing w:val="6"/>
        </w:rPr>
        <w:t> </w:t>
      </w:r>
      <w:r>
        <w:rPr/>
        <w:t>особенности</w:t>
      </w:r>
      <w:r>
        <w:rPr>
          <w:spacing w:val="5"/>
        </w:rPr>
        <w:t> </w:t>
      </w:r>
      <w:r>
        <w:rPr/>
        <w:t>его</w:t>
      </w:r>
      <w:r>
        <w:rPr>
          <w:spacing w:val="5"/>
        </w:rPr>
        <w:t> </w:t>
      </w:r>
      <w:r>
        <w:rPr/>
        <w:t>развития.</w:t>
      </w:r>
      <w:r>
        <w:rPr>
          <w:spacing w:val="6"/>
        </w:rPr>
        <w:t> </w:t>
      </w:r>
      <w:r>
        <w:rPr>
          <w:spacing w:val="-2"/>
        </w:rPr>
        <w:t>Роди-</w:t>
      </w:r>
    </w:p>
    <w:p>
      <w:pPr>
        <w:pStyle w:val="BodyText"/>
        <w:spacing w:after="0" w:line="235" w:lineRule="auto"/>
        <w:sectPr>
          <w:pgSz w:w="8400" w:h="11910"/>
          <w:pgMar w:header="0" w:footer="529" w:top="400" w:bottom="740" w:left="425" w:right="425"/>
        </w:sectPr>
      </w:pPr>
    </w:p>
    <w:p>
      <w:pPr>
        <w:pStyle w:val="ListParagraph"/>
        <w:numPr>
          <w:ilvl w:val="1"/>
          <w:numId w:val="207"/>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Приемы</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2"/>
          <w:sz w:val="18"/>
        </w:rPr>
        <w:t> </w:t>
      </w:r>
      <w:r>
        <w:rPr>
          <w:rFonts w:ascii="Georgia" w:hAnsi="Georgia"/>
          <w:color w:val="231F20"/>
          <w:sz w:val="18"/>
        </w:rPr>
        <w:t>с</w:t>
      </w:r>
      <w:r>
        <w:rPr>
          <w:rFonts w:ascii="Georgia" w:hAnsi="Georgia"/>
          <w:color w:val="231F20"/>
          <w:spacing w:val="2"/>
          <w:sz w:val="18"/>
        </w:rPr>
        <w:t> </w:t>
      </w:r>
      <w:r>
        <w:rPr>
          <w:rFonts w:ascii="Georgia" w:hAnsi="Georgia"/>
          <w:color w:val="231F20"/>
          <w:sz w:val="18"/>
        </w:rPr>
        <w:t>психологической</w:t>
      </w:r>
      <w:r>
        <w:rPr>
          <w:rFonts w:ascii="Georgia" w:hAnsi="Georgia"/>
          <w:color w:val="231F20"/>
          <w:spacing w:val="2"/>
          <w:sz w:val="18"/>
        </w:rPr>
        <w:t> </w:t>
      </w:r>
      <w:r>
        <w:rPr>
          <w:rFonts w:ascii="Georgia" w:hAnsi="Georgia"/>
          <w:color w:val="231F20"/>
          <w:spacing w:val="-2"/>
          <w:sz w:val="18"/>
        </w:rPr>
        <w:t>травмой</w:t>
      </w:r>
    </w:p>
    <w:p>
      <w:pPr>
        <w:pStyle w:val="BodyText"/>
        <w:spacing w:line="235" w:lineRule="auto" w:before="116"/>
        <w:ind w:firstLine="0"/>
      </w:pPr>
      <w:r>
        <w:rPr/>
        <w:t>тели</w:t>
      </w:r>
      <w:r>
        <w:rPr>
          <w:spacing w:val="-7"/>
        </w:rPr>
        <w:t> </w:t>
      </w:r>
      <w:r>
        <w:rPr/>
        <w:t>и</w:t>
      </w:r>
      <w:r>
        <w:rPr>
          <w:spacing w:val="-7"/>
        </w:rPr>
        <w:t> </w:t>
      </w:r>
      <w:r>
        <w:rPr/>
        <w:t>другие</w:t>
      </w:r>
      <w:r>
        <w:rPr>
          <w:spacing w:val="-7"/>
        </w:rPr>
        <w:t> </w:t>
      </w:r>
      <w:r>
        <w:rPr/>
        <w:t>взрослые,</w:t>
      </w:r>
      <w:r>
        <w:rPr>
          <w:spacing w:val="-7"/>
        </w:rPr>
        <w:t> </w:t>
      </w:r>
      <w:r>
        <w:rPr/>
        <w:t>включая</w:t>
      </w:r>
      <w:r>
        <w:rPr>
          <w:spacing w:val="-7"/>
        </w:rPr>
        <w:t> </w:t>
      </w:r>
      <w:r>
        <w:rPr/>
        <w:t>психологов,</w:t>
      </w:r>
      <w:r>
        <w:rPr>
          <w:spacing w:val="-7"/>
        </w:rPr>
        <w:t> </w:t>
      </w:r>
      <w:r>
        <w:rPr/>
        <w:t>часто</w:t>
      </w:r>
      <w:r>
        <w:rPr>
          <w:spacing w:val="-7"/>
        </w:rPr>
        <w:t> </w:t>
      </w:r>
      <w:r>
        <w:rPr/>
        <w:t>оберегают</w:t>
      </w:r>
      <w:r>
        <w:rPr>
          <w:spacing w:val="-7"/>
        </w:rPr>
        <w:t> </w:t>
      </w:r>
      <w:r>
        <w:rPr/>
        <w:t>детей</w:t>
      </w:r>
      <w:r>
        <w:rPr>
          <w:spacing w:val="-7"/>
        </w:rPr>
        <w:t> </w:t>
      </w:r>
      <w:r>
        <w:rPr/>
        <w:t>от</w:t>
      </w:r>
      <w:r>
        <w:rPr>
          <w:spacing w:val="-7"/>
        </w:rPr>
        <w:t> </w:t>
      </w:r>
      <w:r>
        <w:rPr/>
        <w:t>темы</w:t>
      </w:r>
      <w:r>
        <w:rPr>
          <w:spacing w:val="-7"/>
        </w:rPr>
        <w:t> </w:t>
      </w:r>
      <w:r>
        <w:rPr/>
        <w:t>смерти, отчасти из-за естественного желания отсрочить знакомство с этой весьма печаль- ной частью действительности, или, возможно, из-за личного избегания разговоров о смерти, к которому склонны родители или психотерапевт.</w:t>
      </w:r>
    </w:p>
    <w:p>
      <w:pPr>
        <w:pStyle w:val="BodyText"/>
        <w:spacing w:line="235" w:lineRule="auto" w:before="2"/>
      </w:pPr>
      <w:r>
        <w:rPr/>
        <w:t>Психологам, специализирующимся на детской травме, необходимо научиться спокойно говорить о смерти с детьми и, когда это необходимо, активно побуждать близких</w:t>
      </w:r>
      <w:r>
        <w:rPr>
          <w:spacing w:val="-13"/>
        </w:rPr>
        <w:t> </w:t>
      </w:r>
      <w:r>
        <w:rPr/>
        <w:t>делать</w:t>
      </w:r>
      <w:r>
        <w:rPr>
          <w:spacing w:val="-12"/>
        </w:rPr>
        <w:t> </w:t>
      </w:r>
      <w:r>
        <w:rPr/>
        <w:t>то</w:t>
      </w:r>
      <w:r>
        <w:rPr>
          <w:spacing w:val="-13"/>
        </w:rPr>
        <w:t> </w:t>
      </w:r>
      <w:r>
        <w:rPr/>
        <w:t>же</w:t>
      </w:r>
      <w:r>
        <w:rPr>
          <w:spacing w:val="-12"/>
        </w:rPr>
        <w:t> </w:t>
      </w:r>
      <w:r>
        <w:rPr/>
        <w:t>самое.</w:t>
      </w:r>
      <w:r>
        <w:rPr>
          <w:spacing w:val="-13"/>
        </w:rPr>
        <w:t> </w:t>
      </w:r>
      <w:r>
        <w:rPr/>
        <w:t>Сокрытие</w:t>
      </w:r>
      <w:r>
        <w:rPr>
          <w:spacing w:val="-12"/>
        </w:rPr>
        <w:t> </w:t>
      </w:r>
      <w:r>
        <w:rPr/>
        <w:t>правды</w:t>
      </w:r>
      <w:r>
        <w:rPr>
          <w:spacing w:val="-13"/>
        </w:rPr>
        <w:t> </w:t>
      </w:r>
      <w:r>
        <w:rPr/>
        <w:t>чревато</w:t>
      </w:r>
      <w:r>
        <w:rPr>
          <w:spacing w:val="-12"/>
        </w:rPr>
        <w:t> </w:t>
      </w:r>
      <w:r>
        <w:rPr/>
        <w:t>тем,</w:t>
      </w:r>
      <w:r>
        <w:rPr>
          <w:spacing w:val="-13"/>
        </w:rPr>
        <w:t> </w:t>
      </w:r>
      <w:r>
        <w:rPr/>
        <w:t>что</w:t>
      </w:r>
      <w:r>
        <w:rPr>
          <w:spacing w:val="-12"/>
        </w:rPr>
        <w:t> </w:t>
      </w:r>
      <w:r>
        <w:rPr/>
        <w:t>ребенок,</w:t>
      </w:r>
      <w:r>
        <w:rPr>
          <w:spacing w:val="-13"/>
        </w:rPr>
        <w:t> </w:t>
      </w:r>
      <w:r>
        <w:rPr/>
        <w:t>скорее</w:t>
      </w:r>
      <w:r>
        <w:rPr>
          <w:spacing w:val="-12"/>
        </w:rPr>
        <w:t> </w:t>
      </w:r>
      <w:r>
        <w:rPr/>
        <w:t>всего, почувствует</w:t>
      </w:r>
      <w:r>
        <w:rPr>
          <w:spacing w:val="-10"/>
        </w:rPr>
        <w:t> </w:t>
      </w:r>
      <w:r>
        <w:rPr/>
        <w:t>себя</w:t>
      </w:r>
      <w:r>
        <w:rPr>
          <w:spacing w:val="-10"/>
        </w:rPr>
        <w:t> </w:t>
      </w:r>
      <w:r>
        <w:rPr/>
        <w:t>преданным</w:t>
      </w:r>
      <w:r>
        <w:rPr>
          <w:spacing w:val="-10"/>
        </w:rPr>
        <w:t> </w:t>
      </w:r>
      <w:r>
        <w:rPr/>
        <w:t>(если</w:t>
      </w:r>
      <w:r>
        <w:rPr>
          <w:spacing w:val="-10"/>
        </w:rPr>
        <w:t> </w:t>
      </w:r>
      <w:r>
        <w:rPr/>
        <w:t>не</w:t>
      </w:r>
      <w:r>
        <w:rPr>
          <w:spacing w:val="-10"/>
        </w:rPr>
        <w:t> </w:t>
      </w:r>
      <w:r>
        <w:rPr/>
        <w:t>сразу,</w:t>
      </w:r>
      <w:r>
        <w:rPr>
          <w:spacing w:val="-10"/>
        </w:rPr>
        <w:t> </w:t>
      </w:r>
      <w:r>
        <w:rPr/>
        <w:t>то</w:t>
      </w:r>
      <w:r>
        <w:rPr>
          <w:spacing w:val="-10"/>
        </w:rPr>
        <w:t> </w:t>
      </w:r>
      <w:r>
        <w:rPr/>
        <w:t>в</w:t>
      </w:r>
      <w:r>
        <w:rPr>
          <w:spacing w:val="-10"/>
        </w:rPr>
        <w:t> </w:t>
      </w:r>
      <w:r>
        <w:rPr/>
        <w:t>будущем),</w:t>
      </w:r>
      <w:r>
        <w:rPr>
          <w:spacing w:val="-10"/>
        </w:rPr>
        <w:t> </w:t>
      </w:r>
      <w:r>
        <w:rPr/>
        <w:t>когда</w:t>
      </w:r>
      <w:r>
        <w:rPr>
          <w:spacing w:val="-10"/>
        </w:rPr>
        <w:t> </w:t>
      </w:r>
      <w:r>
        <w:rPr/>
        <w:t>узнает,</w:t>
      </w:r>
      <w:r>
        <w:rPr>
          <w:spacing w:val="-10"/>
        </w:rPr>
        <w:t> </w:t>
      </w:r>
      <w:r>
        <w:rPr/>
        <w:t>что</w:t>
      </w:r>
      <w:r>
        <w:rPr>
          <w:spacing w:val="-10"/>
        </w:rPr>
        <w:t> </w:t>
      </w:r>
      <w:r>
        <w:rPr/>
        <w:t>близкие не были искренними с ним в отношении такой важной информации.</w:t>
      </w:r>
    </w:p>
    <w:p>
      <w:pPr>
        <w:pStyle w:val="BodyText"/>
        <w:spacing w:line="232" w:lineRule="auto" w:before="5"/>
      </w:pPr>
      <w:r>
        <w:rPr/>
        <w:t>Говоря о смерти, важно это делать в деликатной и соответствующей развитию ребенка форме. Важно не сообщать ребенку деталей, которые слишком специфич- ны,</w:t>
      </w:r>
      <w:r>
        <w:rPr>
          <w:spacing w:val="-10"/>
        </w:rPr>
        <w:t> </w:t>
      </w:r>
      <w:r>
        <w:rPr/>
        <w:t>чрезмерны</w:t>
      </w:r>
      <w:r>
        <w:rPr>
          <w:spacing w:val="-10"/>
        </w:rPr>
        <w:t> </w:t>
      </w:r>
      <w:r>
        <w:rPr/>
        <w:t>или</w:t>
      </w:r>
      <w:r>
        <w:rPr>
          <w:spacing w:val="-10"/>
        </w:rPr>
        <w:t> </w:t>
      </w:r>
      <w:r>
        <w:rPr/>
        <w:t>невыносимы</w:t>
      </w:r>
      <w:r>
        <w:rPr>
          <w:spacing w:val="-10"/>
        </w:rPr>
        <w:t> </w:t>
      </w:r>
      <w:r>
        <w:rPr/>
        <w:t>для</w:t>
      </w:r>
      <w:r>
        <w:rPr>
          <w:spacing w:val="-10"/>
        </w:rPr>
        <w:t> </w:t>
      </w:r>
      <w:r>
        <w:rPr/>
        <w:t>возможностей</w:t>
      </w:r>
      <w:r>
        <w:rPr>
          <w:spacing w:val="-10"/>
        </w:rPr>
        <w:t> </w:t>
      </w:r>
      <w:r>
        <w:rPr/>
        <w:t>совладания</w:t>
      </w:r>
      <w:r>
        <w:rPr>
          <w:spacing w:val="-10"/>
        </w:rPr>
        <w:t> </w:t>
      </w:r>
      <w:r>
        <w:rPr/>
        <w:t>ребенка</w:t>
      </w:r>
      <w:r>
        <w:rPr>
          <w:spacing w:val="-10"/>
        </w:rPr>
        <w:t> </w:t>
      </w:r>
      <w:r>
        <w:rPr/>
        <w:t>на</w:t>
      </w:r>
      <w:r>
        <w:rPr>
          <w:spacing w:val="-10"/>
        </w:rPr>
        <w:t> </w:t>
      </w:r>
      <w:r>
        <w:rPr/>
        <w:t>его</w:t>
      </w:r>
      <w:r>
        <w:rPr>
          <w:spacing w:val="-10"/>
        </w:rPr>
        <w:t> </w:t>
      </w:r>
      <w:r>
        <w:rPr/>
        <w:t>уровне общего и когнитивного развития. Повышенный риск проблем с психическим здоро- вьем, возникающий в результате горя у некоторых детей, служит обоснованием для психологической работы, помогающей снизить эти риски.</w:t>
      </w:r>
    </w:p>
    <w:p>
      <w:pPr>
        <w:spacing w:line="226" w:lineRule="exact" w:before="101"/>
        <w:ind w:left="425" w:right="0" w:firstLine="0"/>
        <w:jc w:val="both"/>
        <w:rPr>
          <w:b/>
          <w:i/>
          <w:sz w:val="20"/>
        </w:rPr>
      </w:pPr>
      <w:r>
        <w:rPr>
          <w:b/>
          <w:i/>
          <w:sz w:val="20"/>
        </w:rPr>
        <w:t>Техника</w:t>
      </w:r>
      <w:r>
        <w:rPr>
          <w:b/>
          <w:i/>
          <w:spacing w:val="-13"/>
          <w:sz w:val="20"/>
        </w:rPr>
        <w:t> </w:t>
      </w:r>
      <w:r>
        <w:rPr>
          <w:b/>
          <w:i/>
          <w:sz w:val="20"/>
        </w:rPr>
        <w:t>«Пустой</w:t>
      </w:r>
      <w:r>
        <w:rPr>
          <w:b/>
          <w:i/>
          <w:spacing w:val="-10"/>
          <w:sz w:val="20"/>
        </w:rPr>
        <w:t> </w:t>
      </w:r>
      <w:r>
        <w:rPr>
          <w:b/>
          <w:i/>
          <w:spacing w:val="-4"/>
          <w:sz w:val="20"/>
        </w:rPr>
        <w:t>стул»</w:t>
      </w:r>
    </w:p>
    <w:p>
      <w:pPr>
        <w:pStyle w:val="BodyText"/>
        <w:spacing w:line="222" w:lineRule="exact"/>
        <w:ind w:left="425" w:right="0" w:firstLine="0"/>
      </w:pPr>
      <w:r>
        <w:rPr/>
        <w:t>Мы</w:t>
      </w:r>
      <w:r>
        <w:rPr>
          <w:spacing w:val="-4"/>
        </w:rPr>
        <w:t> </w:t>
      </w:r>
      <w:r>
        <w:rPr/>
        <w:t>ставим</w:t>
      </w:r>
      <w:r>
        <w:rPr>
          <w:spacing w:val="-4"/>
        </w:rPr>
        <w:t> </w:t>
      </w:r>
      <w:r>
        <w:rPr/>
        <w:t>напротив</w:t>
      </w:r>
      <w:r>
        <w:rPr>
          <w:spacing w:val="-5"/>
        </w:rPr>
        <w:t> </w:t>
      </w:r>
      <w:r>
        <w:rPr/>
        <w:t>пустой</w:t>
      </w:r>
      <w:r>
        <w:rPr>
          <w:spacing w:val="-4"/>
        </w:rPr>
        <w:t> </w:t>
      </w:r>
      <w:r>
        <w:rPr/>
        <w:t>стул</w:t>
      </w:r>
      <w:r>
        <w:rPr>
          <w:spacing w:val="-4"/>
        </w:rPr>
        <w:t> </w:t>
      </w:r>
      <w:r>
        <w:rPr/>
        <w:t>и</w:t>
      </w:r>
      <w:r>
        <w:rPr>
          <w:spacing w:val="-4"/>
        </w:rPr>
        <w:t> </w:t>
      </w:r>
      <w:r>
        <w:rPr>
          <w:spacing w:val="-2"/>
        </w:rPr>
        <w:t>говорим:</w:t>
      </w:r>
    </w:p>
    <w:p>
      <w:pPr>
        <w:pStyle w:val="ListParagraph"/>
        <w:numPr>
          <w:ilvl w:val="0"/>
          <w:numId w:val="208"/>
        </w:numPr>
        <w:tabs>
          <w:tab w:pos="571" w:val="left" w:leader="none"/>
        </w:tabs>
        <w:spacing w:line="232" w:lineRule="auto" w:before="2" w:after="0"/>
        <w:ind w:left="141" w:right="139" w:firstLine="283"/>
        <w:jc w:val="both"/>
        <w:rPr>
          <w:i/>
          <w:sz w:val="20"/>
        </w:rPr>
      </w:pPr>
      <w:r>
        <w:rPr>
          <w:i/>
          <w:sz w:val="20"/>
        </w:rPr>
        <w:t>Представь,</w:t>
      </w:r>
      <w:r>
        <w:rPr>
          <w:i/>
          <w:spacing w:val="-10"/>
          <w:sz w:val="20"/>
        </w:rPr>
        <w:t> </w:t>
      </w:r>
      <w:r>
        <w:rPr>
          <w:i/>
          <w:sz w:val="20"/>
        </w:rPr>
        <w:t>что</w:t>
      </w:r>
      <w:r>
        <w:rPr>
          <w:i/>
          <w:spacing w:val="-10"/>
          <w:sz w:val="20"/>
        </w:rPr>
        <w:t> </w:t>
      </w:r>
      <w:r>
        <w:rPr>
          <w:i/>
          <w:sz w:val="20"/>
        </w:rPr>
        <w:t>на</w:t>
      </w:r>
      <w:r>
        <w:rPr>
          <w:i/>
          <w:spacing w:val="-10"/>
          <w:sz w:val="20"/>
        </w:rPr>
        <w:t> </w:t>
      </w:r>
      <w:r>
        <w:rPr>
          <w:i/>
          <w:sz w:val="20"/>
        </w:rPr>
        <w:t>этом</w:t>
      </w:r>
      <w:r>
        <w:rPr>
          <w:i/>
          <w:spacing w:val="-10"/>
          <w:sz w:val="20"/>
        </w:rPr>
        <w:t> </w:t>
      </w:r>
      <w:r>
        <w:rPr>
          <w:i/>
          <w:sz w:val="20"/>
        </w:rPr>
        <w:t>стуле</w:t>
      </w:r>
      <w:r>
        <w:rPr>
          <w:i/>
          <w:spacing w:val="-10"/>
          <w:sz w:val="20"/>
        </w:rPr>
        <w:t> </w:t>
      </w:r>
      <w:r>
        <w:rPr>
          <w:i/>
          <w:sz w:val="20"/>
        </w:rPr>
        <w:t>сейчас</w:t>
      </w:r>
      <w:r>
        <w:rPr>
          <w:i/>
          <w:spacing w:val="-10"/>
          <w:sz w:val="20"/>
        </w:rPr>
        <w:t> </w:t>
      </w:r>
      <w:r>
        <w:rPr>
          <w:i/>
          <w:sz w:val="20"/>
        </w:rPr>
        <w:t>сидит</w:t>
      </w:r>
      <w:r>
        <w:rPr>
          <w:i/>
          <w:spacing w:val="-10"/>
          <w:sz w:val="20"/>
        </w:rPr>
        <w:t> </w:t>
      </w:r>
      <w:r>
        <w:rPr>
          <w:i/>
          <w:sz w:val="20"/>
        </w:rPr>
        <w:t>твой</w:t>
      </w:r>
      <w:r>
        <w:rPr>
          <w:i/>
          <w:spacing w:val="-10"/>
          <w:sz w:val="20"/>
        </w:rPr>
        <w:t> </w:t>
      </w:r>
      <w:r>
        <w:rPr>
          <w:i/>
          <w:sz w:val="20"/>
        </w:rPr>
        <w:t>умерший</w:t>
      </w:r>
      <w:r>
        <w:rPr>
          <w:i/>
          <w:spacing w:val="-10"/>
          <w:sz w:val="20"/>
        </w:rPr>
        <w:t> </w:t>
      </w:r>
      <w:r>
        <w:rPr>
          <w:i/>
          <w:sz w:val="20"/>
        </w:rPr>
        <w:t>отец/мама/близкий и ты можешь высказать им то, что чувствуешь. Возможно, тебе его не хватает, ты скучаешь или, наоборот, сердишься, что он ушел и оставил тебя.</w:t>
      </w:r>
    </w:p>
    <w:p>
      <w:pPr>
        <w:pStyle w:val="BodyText"/>
        <w:spacing w:line="232" w:lineRule="auto"/>
        <w:ind w:left="425" w:firstLine="0"/>
      </w:pPr>
      <w:r>
        <w:rPr/>
        <w:t>После</w:t>
      </w:r>
      <w:r>
        <w:rPr>
          <w:spacing w:val="-10"/>
        </w:rPr>
        <w:t> </w:t>
      </w:r>
      <w:r>
        <w:rPr/>
        <w:t>того</w:t>
      </w:r>
      <w:r>
        <w:rPr>
          <w:spacing w:val="-10"/>
        </w:rPr>
        <w:t> </w:t>
      </w:r>
      <w:r>
        <w:rPr/>
        <w:t>как</w:t>
      </w:r>
      <w:r>
        <w:rPr>
          <w:spacing w:val="-10"/>
        </w:rPr>
        <w:t> </w:t>
      </w:r>
      <w:r>
        <w:rPr/>
        <w:t>ребенок</w:t>
      </w:r>
      <w:r>
        <w:rPr>
          <w:spacing w:val="-10"/>
        </w:rPr>
        <w:t> </w:t>
      </w:r>
      <w:r>
        <w:rPr/>
        <w:t>высказался,</w:t>
      </w:r>
      <w:r>
        <w:rPr>
          <w:spacing w:val="-10"/>
        </w:rPr>
        <w:t> </w:t>
      </w:r>
      <w:r>
        <w:rPr/>
        <w:t>мы</w:t>
      </w:r>
      <w:r>
        <w:rPr>
          <w:spacing w:val="-10"/>
        </w:rPr>
        <w:t> </w:t>
      </w:r>
      <w:r>
        <w:rPr/>
        <w:t>просим</w:t>
      </w:r>
      <w:r>
        <w:rPr>
          <w:spacing w:val="-10"/>
        </w:rPr>
        <w:t> </w:t>
      </w:r>
      <w:r>
        <w:rPr/>
        <w:t>представить,</w:t>
      </w:r>
      <w:r>
        <w:rPr>
          <w:spacing w:val="-10"/>
        </w:rPr>
        <w:t> </w:t>
      </w:r>
      <w:r>
        <w:rPr/>
        <w:t>что</w:t>
      </w:r>
      <w:r>
        <w:rPr>
          <w:spacing w:val="-10"/>
        </w:rPr>
        <w:t> </w:t>
      </w:r>
      <w:r>
        <w:rPr/>
        <w:t>бы</w:t>
      </w:r>
      <w:r>
        <w:rPr>
          <w:spacing w:val="-10"/>
        </w:rPr>
        <w:t> </w:t>
      </w:r>
      <w:r>
        <w:rPr/>
        <w:t>они</w:t>
      </w:r>
      <w:r>
        <w:rPr>
          <w:spacing w:val="-10"/>
        </w:rPr>
        <w:t> </w:t>
      </w:r>
      <w:r>
        <w:rPr/>
        <w:t>ответили. Если</w:t>
      </w:r>
      <w:r>
        <w:rPr>
          <w:spacing w:val="-4"/>
        </w:rPr>
        <w:t> </w:t>
      </w:r>
      <w:r>
        <w:rPr/>
        <w:t>ответ</w:t>
      </w:r>
      <w:r>
        <w:rPr>
          <w:spacing w:val="-4"/>
        </w:rPr>
        <w:t> </w:t>
      </w:r>
      <w:r>
        <w:rPr/>
        <w:t>будет</w:t>
      </w:r>
      <w:r>
        <w:rPr>
          <w:spacing w:val="-4"/>
        </w:rPr>
        <w:t> </w:t>
      </w:r>
      <w:r>
        <w:rPr/>
        <w:t>осуждающий</w:t>
      </w:r>
      <w:r>
        <w:rPr>
          <w:spacing w:val="-4"/>
        </w:rPr>
        <w:t> </w:t>
      </w:r>
      <w:r>
        <w:rPr/>
        <w:t>ребенка</w:t>
      </w:r>
      <w:r>
        <w:rPr>
          <w:spacing w:val="-4"/>
        </w:rPr>
        <w:t> </w:t>
      </w:r>
      <w:r>
        <w:rPr/>
        <w:t>за</w:t>
      </w:r>
      <w:r>
        <w:rPr>
          <w:spacing w:val="-4"/>
        </w:rPr>
        <w:t> </w:t>
      </w:r>
      <w:r>
        <w:rPr/>
        <w:t>такие</w:t>
      </w:r>
      <w:r>
        <w:rPr>
          <w:spacing w:val="-4"/>
        </w:rPr>
        <w:t> </w:t>
      </w:r>
      <w:r>
        <w:rPr/>
        <w:t>мысли</w:t>
      </w:r>
      <w:r>
        <w:rPr>
          <w:spacing w:val="-4"/>
        </w:rPr>
        <w:t> </w:t>
      </w:r>
      <w:r>
        <w:rPr/>
        <w:t>по</w:t>
      </w:r>
      <w:r>
        <w:rPr>
          <w:spacing w:val="-4"/>
        </w:rPr>
        <w:t> </w:t>
      </w:r>
      <w:r>
        <w:rPr/>
        <w:t>отношению</w:t>
      </w:r>
      <w:r>
        <w:rPr>
          <w:spacing w:val="-4"/>
        </w:rPr>
        <w:t> </w:t>
      </w:r>
      <w:r>
        <w:rPr/>
        <w:t>к</w:t>
      </w:r>
      <w:r>
        <w:rPr>
          <w:spacing w:val="-4"/>
        </w:rPr>
        <w:t> </w:t>
      </w:r>
      <w:r>
        <w:rPr/>
        <w:t>близким,</w:t>
      </w:r>
    </w:p>
    <w:p>
      <w:pPr>
        <w:pStyle w:val="BodyText"/>
        <w:spacing w:line="218" w:lineRule="exact"/>
        <w:ind w:right="0" w:firstLine="0"/>
      </w:pPr>
      <w:r>
        <w:rPr/>
        <w:t>психолог</w:t>
      </w:r>
      <w:r>
        <w:rPr>
          <w:spacing w:val="-9"/>
        </w:rPr>
        <w:t> </w:t>
      </w:r>
      <w:r>
        <w:rPr/>
        <w:t>вмешивается</w:t>
      </w:r>
      <w:r>
        <w:rPr>
          <w:spacing w:val="-7"/>
        </w:rPr>
        <w:t> </w:t>
      </w:r>
      <w:r>
        <w:rPr/>
        <w:t>и</w:t>
      </w:r>
      <w:r>
        <w:rPr>
          <w:spacing w:val="-8"/>
        </w:rPr>
        <w:t> </w:t>
      </w:r>
      <w:r>
        <w:rPr>
          <w:spacing w:val="-2"/>
        </w:rPr>
        <w:t>говорит:</w:t>
      </w:r>
    </w:p>
    <w:p>
      <w:pPr>
        <w:pStyle w:val="ListParagraph"/>
        <w:numPr>
          <w:ilvl w:val="0"/>
          <w:numId w:val="208"/>
        </w:numPr>
        <w:tabs>
          <w:tab w:pos="593" w:val="left" w:leader="none"/>
        </w:tabs>
        <w:spacing w:line="232" w:lineRule="auto" w:before="0" w:after="0"/>
        <w:ind w:left="141" w:right="139" w:firstLine="283"/>
        <w:jc w:val="both"/>
        <w:rPr>
          <w:i/>
          <w:sz w:val="20"/>
        </w:rPr>
      </w:pPr>
      <w:r>
        <w:rPr>
          <w:i/>
          <w:sz w:val="20"/>
        </w:rPr>
        <w:t>Не думаю, чтобы папа/мама так думали. Они же видят, сколько тебе и вам всем</w:t>
      </w:r>
      <w:r>
        <w:rPr>
          <w:i/>
          <w:spacing w:val="-13"/>
          <w:sz w:val="20"/>
        </w:rPr>
        <w:t> </w:t>
      </w:r>
      <w:r>
        <w:rPr>
          <w:i/>
          <w:sz w:val="20"/>
        </w:rPr>
        <w:t>пришлось</w:t>
      </w:r>
      <w:r>
        <w:rPr>
          <w:i/>
          <w:spacing w:val="-12"/>
          <w:sz w:val="20"/>
        </w:rPr>
        <w:t> </w:t>
      </w:r>
      <w:r>
        <w:rPr>
          <w:i/>
          <w:sz w:val="20"/>
        </w:rPr>
        <w:t>пережить.</w:t>
      </w:r>
      <w:r>
        <w:rPr>
          <w:i/>
          <w:spacing w:val="-13"/>
          <w:sz w:val="20"/>
        </w:rPr>
        <w:t> </w:t>
      </w:r>
      <w:r>
        <w:rPr>
          <w:i/>
          <w:sz w:val="20"/>
        </w:rPr>
        <w:t>Я</w:t>
      </w:r>
      <w:r>
        <w:rPr>
          <w:i/>
          <w:spacing w:val="-12"/>
          <w:sz w:val="20"/>
        </w:rPr>
        <w:t> </w:t>
      </w:r>
      <w:r>
        <w:rPr>
          <w:i/>
          <w:sz w:val="20"/>
        </w:rPr>
        <w:t>думаю,</w:t>
      </w:r>
      <w:r>
        <w:rPr>
          <w:i/>
          <w:spacing w:val="-13"/>
          <w:sz w:val="20"/>
        </w:rPr>
        <w:t> </w:t>
      </w:r>
      <w:r>
        <w:rPr>
          <w:i/>
          <w:sz w:val="20"/>
        </w:rPr>
        <w:t>они</w:t>
      </w:r>
      <w:r>
        <w:rPr>
          <w:i/>
          <w:spacing w:val="-12"/>
          <w:sz w:val="20"/>
        </w:rPr>
        <w:t> </w:t>
      </w:r>
      <w:r>
        <w:rPr>
          <w:i/>
          <w:sz w:val="20"/>
        </w:rPr>
        <w:t>очень</w:t>
      </w:r>
      <w:r>
        <w:rPr>
          <w:i/>
          <w:spacing w:val="-13"/>
          <w:sz w:val="20"/>
        </w:rPr>
        <w:t> </w:t>
      </w:r>
      <w:r>
        <w:rPr>
          <w:i/>
          <w:sz w:val="20"/>
        </w:rPr>
        <w:t>любили</w:t>
      </w:r>
      <w:r>
        <w:rPr>
          <w:i/>
          <w:spacing w:val="-12"/>
          <w:sz w:val="20"/>
        </w:rPr>
        <w:t> </w:t>
      </w:r>
      <w:r>
        <w:rPr>
          <w:i/>
          <w:sz w:val="20"/>
        </w:rPr>
        <w:t>тебя</w:t>
      </w:r>
      <w:r>
        <w:rPr>
          <w:i/>
          <w:spacing w:val="-13"/>
          <w:sz w:val="20"/>
        </w:rPr>
        <w:t> </w:t>
      </w:r>
      <w:r>
        <w:rPr>
          <w:i/>
          <w:sz w:val="20"/>
        </w:rPr>
        <w:t>и</w:t>
      </w:r>
      <w:r>
        <w:rPr>
          <w:i/>
          <w:spacing w:val="-12"/>
          <w:sz w:val="20"/>
        </w:rPr>
        <w:t> </w:t>
      </w:r>
      <w:r>
        <w:rPr>
          <w:i/>
          <w:sz w:val="20"/>
        </w:rPr>
        <w:t>очень</w:t>
      </w:r>
      <w:r>
        <w:rPr>
          <w:i/>
          <w:spacing w:val="-13"/>
          <w:sz w:val="20"/>
        </w:rPr>
        <w:t> </w:t>
      </w:r>
      <w:r>
        <w:rPr>
          <w:i/>
          <w:sz w:val="20"/>
        </w:rPr>
        <w:t>хотели</w:t>
      </w:r>
      <w:r>
        <w:rPr>
          <w:i/>
          <w:spacing w:val="-12"/>
          <w:sz w:val="20"/>
        </w:rPr>
        <w:t> </w:t>
      </w:r>
      <w:r>
        <w:rPr>
          <w:i/>
          <w:sz w:val="20"/>
        </w:rPr>
        <w:t>бы,</w:t>
      </w:r>
      <w:r>
        <w:rPr>
          <w:i/>
          <w:spacing w:val="-13"/>
          <w:sz w:val="20"/>
        </w:rPr>
        <w:t> </w:t>
      </w:r>
      <w:r>
        <w:rPr>
          <w:i/>
          <w:sz w:val="20"/>
        </w:rPr>
        <w:t>чтобы ты</w:t>
      </w:r>
      <w:r>
        <w:rPr>
          <w:i/>
          <w:spacing w:val="-7"/>
          <w:sz w:val="20"/>
        </w:rPr>
        <w:t> </w:t>
      </w:r>
      <w:r>
        <w:rPr>
          <w:i/>
          <w:sz w:val="20"/>
        </w:rPr>
        <w:t>мог</w:t>
      </w:r>
      <w:r>
        <w:rPr>
          <w:i/>
          <w:spacing w:val="-7"/>
          <w:sz w:val="20"/>
        </w:rPr>
        <w:t> </w:t>
      </w:r>
      <w:r>
        <w:rPr>
          <w:i/>
          <w:sz w:val="20"/>
        </w:rPr>
        <w:t>радоваться</w:t>
      </w:r>
      <w:r>
        <w:rPr>
          <w:i/>
          <w:spacing w:val="-7"/>
          <w:sz w:val="20"/>
        </w:rPr>
        <w:t> </w:t>
      </w:r>
      <w:r>
        <w:rPr>
          <w:i/>
          <w:sz w:val="20"/>
        </w:rPr>
        <w:t>жизни.</w:t>
      </w:r>
      <w:r>
        <w:rPr>
          <w:i/>
          <w:spacing w:val="-7"/>
          <w:sz w:val="20"/>
        </w:rPr>
        <w:t> </w:t>
      </w:r>
      <w:r>
        <w:rPr>
          <w:i/>
          <w:sz w:val="20"/>
        </w:rPr>
        <w:t>И</w:t>
      </w:r>
      <w:r>
        <w:rPr>
          <w:i/>
          <w:spacing w:val="-7"/>
          <w:sz w:val="20"/>
        </w:rPr>
        <w:t> </w:t>
      </w:r>
      <w:r>
        <w:rPr>
          <w:i/>
          <w:sz w:val="20"/>
        </w:rPr>
        <w:t>пожелали</w:t>
      </w:r>
      <w:r>
        <w:rPr>
          <w:i/>
          <w:spacing w:val="-7"/>
          <w:sz w:val="20"/>
        </w:rPr>
        <w:t> </w:t>
      </w:r>
      <w:r>
        <w:rPr>
          <w:i/>
          <w:sz w:val="20"/>
        </w:rPr>
        <w:t>бы</w:t>
      </w:r>
      <w:r>
        <w:rPr>
          <w:i/>
          <w:spacing w:val="-7"/>
          <w:sz w:val="20"/>
        </w:rPr>
        <w:t> </w:t>
      </w:r>
      <w:r>
        <w:rPr>
          <w:i/>
          <w:sz w:val="20"/>
        </w:rPr>
        <w:t>тебе</w:t>
      </w:r>
      <w:r>
        <w:rPr>
          <w:i/>
          <w:spacing w:val="-7"/>
          <w:sz w:val="20"/>
        </w:rPr>
        <w:t> </w:t>
      </w:r>
      <w:r>
        <w:rPr>
          <w:i/>
          <w:sz w:val="20"/>
        </w:rPr>
        <w:t>найти</w:t>
      </w:r>
      <w:r>
        <w:rPr>
          <w:i/>
          <w:spacing w:val="-7"/>
          <w:sz w:val="20"/>
        </w:rPr>
        <w:t> </w:t>
      </w:r>
      <w:r>
        <w:rPr>
          <w:i/>
          <w:sz w:val="20"/>
        </w:rPr>
        <w:t>свой</w:t>
      </w:r>
      <w:r>
        <w:rPr>
          <w:i/>
          <w:spacing w:val="-7"/>
          <w:sz w:val="20"/>
        </w:rPr>
        <w:t> </w:t>
      </w:r>
      <w:r>
        <w:rPr>
          <w:i/>
          <w:sz w:val="20"/>
        </w:rPr>
        <w:t>путь</w:t>
      </w:r>
      <w:r>
        <w:rPr>
          <w:i/>
          <w:spacing w:val="-7"/>
          <w:sz w:val="20"/>
        </w:rPr>
        <w:t> </w:t>
      </w:r>
      <w:r>
        <w:rPr>
          <w:i/>
          <w:sz w:val="20"/>
        </w:rPr>
        <w:t>к</w:t>
      </w:r>
      <w:r>
        <w:rPr>
          <w:i/>
          <w:spacing w:val="-7"/>
          <w:sz w:val="20"/>
        </w:rPr>
        <w:t> </w:t>
      </w:r>
      <w:r>
        <w:rPr>
          <w:i/>
          <w:sz w:val="20"/>
        </w:rPr>
        <w:t>счастью,</w:t>
      </w:r>
      <w:r>
        <w:rPr>
          <w:i/>
          <w:spacing w:val="-7"/>
          <w:sz w:val="20"/>
        </w:rPr>
        <w:t> </w:t>
      </w:r>
      <w:r>
        <w:rPr>
          <w:i/>
          <w:sz w:val="20"/>
        </w:rPr>
        <w:t>несмо- тря на все, что случилось.</w:t>
      </w:r>
    </w:p>
    <w:p>
      <w:pPr>
        <w:pStyle w:val="BodyText"/>
        <w:spacing w:line="232" w:lineRule="auto"/>
      </w:pPr>
      <w:r>
        <w:rPr/>
        <w:t>Далее</w:t>
      </w:r>
      <w:r>
        <w:rPr>
          <w:spacing w:val="-6"/>
        </w:rPr>
        <w:t> </w:t>
      </w:r>
      <w:r>
        <w:rPr/>
        <w:t>можно</w:t>
      </w:r>
      <w:r>
        <w:rPr>
          <w:spacing w:val="-6"/>
        </w:rPr>
        <w:t> </w:t>
      </w:r>
      <w:r>
        <w:rPr/>
        <w:t>предложить</w:t>
      </w:r>
      <w:r>
        <w:rPr>
          <w:spacing w:val="-6"/>
        </w:rPr>
        <w:t> </w:t>
      </w:r>
      <w:r>
        <w:rPr/>
        <w:t>ребенку</w:t>
      </w:r>
      <w:r>
        <w:rPr>
          <w:spacing w:val="-6"/>
        </w:rPr>
        <w:t> </w:t>
      </w:r>
      <w:r>
        <w:rPr/>
        <w:t>сказать</w:t>
      </w:r>
      <w:r>
        <w:rPr>
          <w:spacing w:val="-6"/>
        </w:rPr>
        <w:t> </w:t>
      </w:r>
      <w:r>
        <w:rPr/>
        <w:t>им</w:t>
      </w:r>
      <w:r>
        <w:rPr>
          <w:spacing w:val="-6"/>
        </w:rPr>
        <w:t> </w:t>
      </w:r>
      <w:r>
        <w:rPr/>
        <w:t>–</w:t>
      </w:r>
      <w:r>
        <w:rPr>
          <w:spacing w:val="-6"/>
        </w:rPr>
        <w:t> </w:t>
      </w:r>
      <w:r>
        <w:rPr/>
        <w:t>за</w:t>
      </w:r>
      <w:r>
        <w:rPr>
          <w:spacing w:val="-6"/>
        </w:rPr>
        <w:t> </w:t>
      </w:r>
      <w:r>
        <w:rPr/>
        <w:t>что</w:t>
      </w:r>
      <w:r>
        <w:rPr>
          <w:spacing w:val="-6"/>
        </w:rPr>
        <w:t> </w:t>
      </w:r>
      <w:r>
        <w:rPr/>
        <w:t>есть</w:t>
      </w:r>
      <w:r>
        <w:rPr>
          <w:spacing w:val="-6"/>
        </w:rPr>
        <w:t> </w:t>
      </w:r>
      <w:r>
        <w:rPr/>
        <w:t>благодарность,</w:t>
      </w:r>
      <w:r>
        <w:rPr>
          <w:spacing w:val="-6"/>
        </w:rPr>
        <w:t> </w:t>
      </w:r>
      <w:r>
        <w:rPr/>
        <w:t>почему ребенок скучает. И предложить закрыть глаза, обнять себя за предплечья (или взять подушку или большую мягкую игрушку) и представить, что это обнимает мама или папа.</w:t>
      </w:r>
      <w:r>
        <w:rPr>
          <w:spacing w:val="-8"/>
        </w:rPr>
        <w:t> </w:t>
      </w:r>
      <w:r>
        <w:rPr/>
        <w:t>Если</w:t>
      </w:r>
      <w:r>
        <w:rPr>
          <w:spacing w:val="-5"/>
        </w:rPr>
        <w:t> </w:t>
      </w:r>
      <w:r>
        <w:rPr/>
        <w:t>позитивных</w:t>
      </w:r>
      <w:r>
        <w:rPr>
          <w:spacing w:val="-5"/>
        </w:rPr>
        <w:t> </w:t>
      </w:r>
      <w:r>
        <w:rPr/>
        <w:t>воспоминаний</w:t>
      </w:r>
      <w:r>
        <w:rPr>
          <w:spacing w:val="-5"/>
        </w:rPr>
        <w:t> </w:t>
      </w:r>
      <w:r>
        <w:rPr/>
        <w:t>нет,</w:t>
      </w:r>
      <w:r>
        <w:rPr>
          <w:spacing w:val="-5"/>
        </w:rPr>
        <w:t> </w:t>
      </w:r>
      <w:r>
        <w:rPr/>
        <w:t>значит</w:t>
      </w:r>
      <w:r>
        <w:rPr>
          <w:spacing w:val="-5"/>
        </w:rPr>
        <w:t> </w:t>
      </w:r>
      <w:r>
        <w:rPr/>
        <w:t>еще</w:t>
      </w:r>
      <w:r>
        <w:rPr>
          <w:spacing w:val="-6"/>
        </w:rPr>
        <w:t> </w:t>
      </w:r>
      <w:r>
        <w:rPr/>
        <w:t>не</w:t>
      </w:r>
      <w:r>
        <w:rPr>
          <w:spacing w:val="-5"/>
        </w:rPr>
        <w:t> </w:t>
      </w:r>
      <w:r>
        <w:rPr/>
        <w:t>вся</w:t>
      </w:r>
      <w:r>
        <w:rPr>
          <w:spacing w:val="-5"/>
        </w:rPr>
        <w:t> </w:t>
      </w:r>
      <w:r>
        <w:rPr/>
        <w:t>обида</w:t>
      </w:r>
      <w:r>
        <w:rPr>
          <w:spacing w:val="-5"/>
        </w:rPr>
        <w:t> </w:t>
      </w:r>
      <w:r>
        <w:rPr/>
        <w:t>и</w:t>
      </w:r>
      <w:r>
        <w:rPr>
          <w:spacing w:val="-5"/>
        </w:rPr>
        <w:t> </w:t>
      </w:r>
      <w:r>
        <w:rPr/>
        <w:t>злость</w:t>
      </w:r>
      <w:r>
        <w:rPr>
          <w:spacing w:val="-5"/>
        </w:rPr>
        <w:t> </w:t>
      </w:r>
      <w:r>
        <w:rPr>
          <w:spacing w:val="-2"/>
        </w:rPr>
        <w:t>прошли.</w:t>
      </w:r>
    </w:p>
    <w:p>
      <w:pPr>
        <w:spacing w:line="226" w:lineRule="exact" w:before="154"/>
        <w:ind w:left="425" w:right="0" w:firstLine="0"/>
        <w:jc w:val="left"/>
        <w:rPr>
          <w:b/>
          <w:sz w:val="20"/>
        </w:rPr>
      </w:pPr>
      <w:r>
        <w:rPr>
          <w:b/>
          <w:sz w:val="20"/>
        </w:rPr>
        <w:t>Компонент</w:t>
      </w:r>
      <w:r>
        <w:rPr>
          <w:b/>
          <w:spacing w:val="-6"/>
          <w:sz w:val="20"/>
        </w:rPr>
        <w:t> </w:t>
      </w:r>
      <w:r>
        <w:rPr>
          <w:b/>
          <w:sz w:val="20"/>
        </w:rPr>
        <w:t>4.</w:t>
      </w:r>
      <w:r>
        <w:rPr>
          <w:b/>
          <w:spacing w:val="-6"/>
          <w:sz w:val="20"/>
        </w:rPr>
        <w:t> </w:t>
      </w:r>
      <w:r>
        <w:rPr>
          <w:b/>
          <w:sz w:val="20"/>
        </w:rPr>
        <w:t>Я</w:t>
      </w:r>
      <w:r>
        <w:rPr>
          <w:b/>
          <w:spacing w:val="-6"/>
          <w:sz w:val="20"/>
        </w:rPr>
        <w:t> </w:t>
      </w:r>
      <w:r>
        <w:rPr>
          <w:b/>
          <w:sz w:val="20"/>
        </w:rPr>
        <w:t>и</w:t>
      </w:r>
      <w:r>
        <w:rPr>
          <w:b/>
          <w:spacing w:val="-5"/>
          <w:sz w:val="20"/>
        </w:rPr>
        <w:t> </w:t>
      </w:r>
      <w:r>
        <w:rPr>
          <w:b/>
          <w:spacing w:val="-2"/>
          <w:sz w:val="20"/>
        </w:rPr>
        <w:t>другие</w:t>
      </w:r>
    </w:p>
    <w:p>
      <w:pPr>
        <w:pStyle w:val="BodyText"/>
        <w:spacing w:line="222" w:lineRule="exact"/>
        <w:ind w:left="425" w:right="0" w:firstLine="0"/>
        <w:jc w:val="left"/>
      </w:pPr>
      <w:r>
        <w:rPr>
          <w:i/>
        </w:rPr>
        <w:t>Цель:</w:t>
      </w:r>
      <w:r>
        <w:rPr>
          <w:i/>
          <w:spacing w:val="-8"/>
        </w:rPr>
        <w:t> </w:t>
      </w:r>
      <w:r>
        <w:rPr/>
        <w:t>обеспечить</w:t>
      </w:r>
      <w:r>
        <w:rPr>
          <w:spacing w:val="-6"/>
        </w:rPr>
        <w:t> </w:t>
      </w:r>
      <w:r>
        <w:rPr/>
        <w:t>включение</w:t>
      </w:r>
      <w:r>
        <w:rPr>
          <w:spacing w:val="-5"/>
        </w:rPr>
        <w:t> </w:t>
      </w:r>
      <w:r>
        <w:rPr/>
        <w:t>ребенка</w:t>
      </w:r>
      <w:r>
        <w:rPr>
          <w:spacing w:val="-5"/>
        </w:rPr>
        <w:t> </w:t>
      </w:r>
      <w:r>
        <w:rPr/>
        <w:t>в</w:t>
      </w:r>
      <w:r>
        <w:rPr>
          <w:spacing w:val="-6"/>
        </w:rPr>
        <w:t> </w:t>
      </w:r>
      <w:r>
        <w:rPr/>
        <w:t>широкое</w:t>
      </w:r>
      <w:r>
        <w:rPr>
          <w:spacing w:val="-5"/>
        </w:rPr>
        <w:t> </w:t>
      </w:r>
      <w:r>
        <w:rPr/>
        <w:t>социальное</w:t>
      </w:r>
      <w:r>
        <w:rPr>
          <w:spacing w:val="-5"/>
        </w:rPr>
        <w:t> </w:t>
      </w:r>
      <w:r>
        <w:rPr>
          <w:spacing w:val="-2"/>
        </w:rPr>
        <w:t>пространство.</w:t>
      </w:r>
    </w:p>
    <w:p>
      <w:pPr>
        <w:spacing w:line="224" w:lineRule="exact" w:before="0"/>
        <w:ind w:left="425" w:right="0" w:firstLine="0"/>
        <w:jc w:val="left"/>
        <w:rPr>
          <w:i/>
          <w:sz w:val="20"/>
        </w:rPr>
      </w:pPr>
      <w:r>
        <w:rPr>
          <w:i/>
          <w:spacing w:val="-2"/>
          <w:sz w:val="20"/>
        </w:rPr>
        <w:t>Задачи:</w:t>
      </w:r>
    </w:p>
    <w:p>
      <w:pPr>
        <w:pStyle w:val="ListParagraph"/>
        <w:numPr>
          <w:ilvl w:val="2"/>
          <w:numId w:val="207"/>
        </w:numPr>
        <w:tabs>
          <w:tab w:pos="424" w:val="left" w:leader="none"/>
        </w:tabs>
        <w:spacing w:line="226" w:lineRule="exact" w:before="0" w:after="0"/>
        <w:ind w:left="424" w:right="0" w:hanging="283"/>
        <w:jc w:val="left"/>
        <w:rPr>
          <w:sz w:val="20"/>
        </w:rPr>
      </w:pPr>
      <w:r>
        <w:rPr>
          <w:sz w:val="20"/>
        </w:rPr>
        <w:t>организация</w:t>
      </w:r>
      <w:r>
        <w:rPr>
          <w:spacing w:val="-7"/>
          <w:sz w:val="20"/>
        </w:rPr>
        <w:t> </w:t>
      </w:r>
      <w:r>
        <w:rPr>
          <w:sz w:val="20"/>
        </w:rPr>
        <w:t>активностей,</w:t>
      </w:r>
      <w:r>
        <w:rPr>
          <w:spacing w:val="-3"/>
          <w:sz w:val="20"/>
        </w:rPr>
        <w:t> </w:t>
      </w:r>
      <w:r>
        <w:rPr>
          <w:sz w:val="20"/>
        </w:rPr>
        <w:t>включающих</w:t>
      </w:r>
      <w:r>
        <w:rPr>
          <w:spacing w:val="-4"/>
          <w:sz w:val="20"/>
        </w:rPr>
        <w:t> </w:t>
      </w:r>
      <w:r>
        <w:rPr>
          <w:sz w:val="20"/>
        </w:rPr>
        <w:t>ребенка</w:t>
      </w:r>
      <w:r>
        <w:rPr>
          <w:spacing w:val="-4"/>
          <w:sz w:val="20"/>
        </w:rPr>
        <w:t> </w:t>
      </w:r>
      <w:r>
        <w:rPr>
          <w:sz w:val="20"/>
        </w:rPr>
        <w:t>в</w:t>
      </w:r>
      <w:r>
        <w:rPr>
          <w:spacing w:val="-4"/>
          <w:sz w:val="20"/>
        </w:rPr>
        <w:t> </w:t>
      </w:r>
      <w:r>
        <w:rPr>
          <w:sz w:val="20"/>
        </w:rPr>
        <w:t>широкий</w:t>
      </w:r>
      <w:r>
        <w:rPr>
          <w:spacing w:val="-4"/>
          <w:sz w:val="20"/>
        </w:rPr>
        <w:t> </w:t>
      </w:r>
      <w:r>
        <w:rPr>
          <w:spacing w:val="-2"/>
          <w:sz w:val="20"/>
        </w:rPr>
        <w:t>социум;</w:t>
      </w:r>
    </w:p>
    <w:p>
      <w:pPr>
        <w:pStyle w:val="ListParagraph"/>
        <w:numPr>
          <w:ilvl w:val="2"/>
          <w:numId w:val="207"/>
        </w:numPr>
        <w:tabs>
          <w:tab w:pos="424" w:val="left" w:leader="none"/>
        </w:tabs>
        <w:spacing w:line="226" w:lineRule="exact" w:before="0" w:after="0"/>
        <w:ind w:left="424" w:right="0" w:hanging="283"/>
        <w:jc w:val="left"/>
        <w:rPr>
          <w:sz w:val="20"/>
        </w:rPr>
      </w:pPr>
      <w:r>
        <w:rPr>
          <w:sz w:val="20"/>
        </w:rPr>
        <w:t>обучение</w:t>
      </w:r>
      <w:r>
        <w:rPr>
          <w:spacing w:val="-6"/>
          <w:sz w:val="20"/>
        </w:rPr>
        <w:t> </w:t>
      </w:r>
      <w:r>
        <w:rPr>
          <w:sz w:val="20"/>
        </w:rPr>
        <w:t>навыкам</w:t>
      </w:r>
      <w:r>
        <w:rPr>
          <w:spacing w:val="-5"/>
          <w:sz w:val="20"/>
        </w:rPr>
        <w:t> </w:t>
      </w:r>
      <w:r>
        <w:rPr>
          <w:sz w:val="20"/>
        </w:rPr>
        <w:t>формирования</w:t>
      </w:r>
      <w:r>
        <w:rPr>
          <w:spacing w:val="-5"/>
          <w:sz w:val="20"/>
        </w:rPr>
        <w:t> </w:t>
      </w:r>
      <w:r>
        <w:rPr>
          <w:sz w:val="20"/>
        </w:rPr>
        <w:t>здоровых</w:t>
      </w:r>
      <w:r>
        <w:rPr>
          <w:spacing w:val="-5"/>
          <w:sz w:val="20"/>
        </w:rPr>
        <w:t> </w:t>
      </w:r>
      <w:r>
        <w:rPr>
          <w:sz w:val="20"/>
        </w:rPr>
        <w:t>социальных</w:t>
      </w:r>
      <w:r>
        <w:rPr>
          <w:spacing w:val="-5"/>
          <w:sz w:val="20"/>
        </w:rPr>
        <w:t> </w:t>
      </w:r>
      <w:r>
        <w:rPr>
          <w:spacing w:val="-2"/>
          <w:sz w:val="20"/>
        </w:rPr>
        <w:t>связей;</w:t>
      </w:r>
    </w:p>
    <w:p>
      <w:pPr>
        <w:pStyle w:val="ListParagraph"/>
        <w:numPr>
          <w:ilvl w:val="2"/>
          <w:numId w:val="207"/>
        </w:numPr>
        <w:tabs>
          <w:tab w:pos="424" w:val="left" w:leader="none"/>
        </w:tabs>
        <w:spacing w:line="226" w:lineRule="exact" w:before="0" w:after="0"/>
        <w:ind w:left="424" w:right="0" w:hanging="283"/>
        <w:jc w:val="left"/>
        <w:rPr>
          <w:sz w:val="20"/>
        </w:rPr>
      </w:pPr>
      <w:r>
        <w:rPr>
          <w:sz w:val="20"/>
        </w:rPr>
        <w:t>обучение</w:t>
      </w:r>
      <w:r>
        <w:rPr>
          <w:spacing w:val="-7"/>
          <w:sz w:val="20"/>
        </w:rPr>
        <w:t> </w:t>
      </w:r>
      <w:r>
        <w:rPr>
          <w:sz w:val="20"/>
        </w:rPr>
        <w:t>навыкам</w:t>
      </w:r>
      <w:r>
        <w:rPr>
          <w:spacing w:val="-5"/>
          <w:sz w:val="20"/>
        </w:rPr>
        <w:t> </w:t>
      </w:r>
      <w:r>
        <w:rPr>
          <w:sz w:val="20"/>
        </w:rPr>
        <w:t>личной</w:t>
      </w:r>
      <w:r>
        <w:rPr>
          <w:spacing w:val="-6"/>
          <w:sz w:val="20"/>
        </w:rPr>
        <w:t> </w:t>
      </w:r>
      <w:r>
        <w:rPr>
          <w:sz w:val="20"/>
        </w:rPr>
        <w:t>безопасности</w:t>
      </w:r>
      <w:r>
        <w:rPr>
          <w:spacing w:val="-6"/>
          <w:sz w:val="20"/>
        </w:rPr>
        <w:t> </w:t>
      </w:r>
      <w:r>
        <w:rPr>
          <w:sz w:val="20"/>
        </w:rPr>
        <w:t>и</w:t>
      </w:r>
      <w:r>
        <w:rPr>
          <w:spacing w:val="-6"/>
          <w:sz w:val="20"/>
        </w:rPr>
        <w:t> </w:t>
      </w:r>
      <w:r>
        <w:rPr>
          <w:sz w:val="20"/>
        </w:rPr>
        <w:t>ассертивного</w:t>
      </w:r>
      <w:r>
        <w:rPr>
          <w:spacing w:val="-4"/>
          <w:sz w:val="20"/>
        </w:rPr>
        <w:t> </w:t>
      </w:r>
      <w:r>
        <w:rPr>
          <w:spacing w:val="-2"/>
          <w:sz w:val="20"/>
        </w:rPr>
        <w:t>общения;</w:t>
      </w:r>
    </w:p>
    <w:p>
      <w:pPr>
        <w:pStyle w:val="ListParagraph"/>
        <w:numPr>
          <w:ilvl w:val="2"/>
          <w:numId w:val="207"/>
        </w:numPr>
        <w:tabs>
          <w:tab w:pos="425" w:val="left" w:leader="none"/>
        </w:tabs>
        <w:spacing w:line="235" w:lineRule="auto" w:before="2" w:after="0"/>
        <w:ind w:left="425" w:right="139" w:hanging="284"/>
        <w:jc w:val="left"/>
        <w:rPr>
          <w:sz w:val="20"/>
        </w:rPr>
      </w:pPr>
      <w:r>
        <w:rPr>
          <w:sz w:val="20"/>
        </w:rPr>
        <w:t>повышение осведомленности о способах решения жизненных проблем и/или со- циальных навыках.</w:t>
      </w:r>
    </w:p>
    <w:p>
      <w:pPr>
        <w:spacing w:line="228" w:lineRule="exact" w:before="111"/>
        <w:ind w:left="425" w:right="0" w:firstLine="0"/>
        <w:jc w:val="left"/>
        <w:rPr>
          <w:b/>
          <w:i/>
          <w:sz w:val="20"/>
        </w:rPr>
      </w:pPr>
      <w:r>
        <w:rPr>
          <w:b/>
          <w:i/>
          <w:color w:val="231F20"/>
          <w:sz w:val="20"/>
        </w:rPr>
        <w:t>Техника</w:t>
      </w:r>
      <w:r>
        <w:rPr>
          <w:b/>
          <w:i/>
          <w:color w:val="231F20"/>
          <w:spacing w:val="-12"/>
          <w:sz w:val="20"/>
        </w:rPr>
        <w:t> </w:t>
      </w:r>
      <w:r>
        <w:rPr>
          <w:b/>
          <w:i/>
          <w:color w:val="231F20"/>
          <w:sz w:val="20"/>
        </w:rPr>
        <w:t>«Социальный</w:t>
      </w:r>
      <w:r>
        <w:rPr>
          <w:b/>
          <w:i/>
          <w:color w:val="231F20"/>
          <w:spacing w:val="-12"/>
          <w:sz w:val="20"/>
        </w:rPr>
        <w:t> </w:t>
      </w:r>
      <w:r>
        <w:rPr>
          <w:b/>
          <w:i/>
          <w:color w:val="231F20"/>
          <w:spacing w:val="-2"/>
          <w:sz w:val="20"/>
        </w:rPr>
        <w:t>атом»</w:t>
      </w:r>
    </w:p>
    <w:p>
      <w:pPr>
        <w:pStyle w:val="BodyText"/>
        <w:spacing w:line="226" w:lineRule="exact"/>
        <w:ind w:left="425" w:right="0" w:firstLine="0"/>
        <w:jc w:val="left"/>
      </w:pPr>
      <w:r>
        <w:rPr>
          <w:i/>
          <w:color w:val="231F20"/>
        </w:rPr>
        <w:t>Цель:</w:t>
      </w:r>
      <w:r>
        <w:rPr>
          <w:i/>
          <w:color w:val="231F20"/>
          <w:spacing w:val="-7"/>
        </w:rPr>
        <w:t> </w:t>
      </w:r>
      <w:r>
        <w:rPr>
          <w:color w:val="231F20"/>
        </w:rPr>
        <w:t>организация</w:t>
      </w:r>
      <w:r>
        <w:rPr>
          <w:color w:val="231F20"/>
          <w:spacing w:val="-4"/>
        </w:rPr>
        <w:t> </w:t>
      </w:r>
      <w:r>
        <w:rPr>
          <w:color w:val="231F20"/>
        </w:rPr>
        <w:t>активностей,</w:t>
      </w:r>
      <w:r>
        <w:rPr>
          <w:color w:val="231F20"/>
          <w:spacing w:val="-4"/>
        </w:rPr>
        <w:t> </w:t>
      </w:r>
      <w:r>
        <w:rPr>
          <w:color w:val="231F20"/>
        </w:rPr>
        <w:t>включающих</w:t>
      </w:r>
      <w:r>
        <w:rPr>
          <w:color w:val="231F20"/>
          <w:spacing w:val="-4"/>
        </w:rPr>
        <w:t> </w:t>
      </w:r>
      <w:r>
        <w:rPr>
          <w:color w:val="231F20"/>
        </w:rPr>
        <w:t>ребенка</w:t>
      </w:r>
      <w:r>
        <w:rPr>
          <w:color w:val="231F20"/>
          <w:spacing w:val="-4"/>
        </w:rPr>
        <w:t> </w:t>
      </w:r>
      <w:r>
        <w:rPr>
          <w:color w:val="231F20"/>
        </w:rPr>
        <w:t>в</w:t>
      </w:r>
      <w:r>
        <w:rPr>
          <w:color w:val="231F20"/>
          <w:spacing w:val="-5"/>
        </w:rPr>
        <w:t> </w:t>
      </w:r>
      <w:r>
        <w:rPr>
          <w:color w:val="231F20"/>
        </w:rPr>
        <w:t>широкий</w:t>
      </w:r>
      <w:r>
        <w:rPr>
          <w:color w:val="231F20"/>
          <w:spacing w:val="-4"/>
        </w:rPr>
        <w:t> </w:t>
      </w:r>
      <w:r>
        <w:rPr>
          <w:color w:val="231F20"/>
          <w:spacing w:val="-2"/>
        </w:rPr>
        <w:t>социум.</w:t>
      </w:r>
    </w:p>
    <w:p>
      <w:pPr>
        <w:spacing w:line="226" w:lineRule="exact" w:before="0"/>
        <w:ind w:left="425" w:right="0" w:firstLine="0"/>
        <w:jc w:val="left"/>
        <w:rPr>
          <w:sz w:val="20"/>
        </w:rPr>
      </w:pPr>
      <w:r>
        <w:rPr>
          <w:i/>
          <w:color w:val="231F20"/>
          <w:sz w:val="20"/>
        </w:rPr>
        <w:t>Рекомендованный</w:t>
      </w:r>
      <w:r>
        <w:rPr>
          <w:i/>
          <w:color w:val="231F20"/>
          <w:spacing w:val="-11"/>
          <w:sz w:val="20"/>
        </w:rPr>
        <w:t> </w:t>
      </w:r>
      <w:r>
        <w:rPr>
          <w:i/>
          <w:color w:val="231F20"/>
          <w:sz w:val="20"/>
        </w:rPr>
        <w:t>возраст</w:t>
      </w:r>
      <w:r>
        <w:rPr>
          <w:color w:val="231F20"/>
          <w:sz w:val="20"/>
        </w:rPr>
        <w:t>:</w:t>
      </w:r>
      <w:r>
        <w:rPr>
          <w:color w:val="231F20"/>
          <w:spacing w:val="-11"/>
          <w:sz w:val="20"/>
        </w:rPr>
        <w:t> </w:t>
      </w:r>
      <w:r>
        <w:rPr>
          <w:color w:val="231F20"/>
          <w:sz w:val="20"/>
        </w:rPr>
        <w:t>от</w:t>
      </w:r>
      <w:r>
        <w:rPr>
          <w:color w:val="231F20"/>
          <w:spacing w:val="-11"/>
          <w:sz w:val="20"/>
        </w:rPr>
        <w:t> </w:t>
      </w:r>
      <w:r>
        <w:rPr>
          <w:color w:val="231F20"/>
          <w:sz w:val="20"/>
        </w:rPr>
        <w:t>6</w:t>
      </w:r>
      <w:r>
        <w:rPr>
          <w:color w:val="231F20"/>
          <w:spacing w:val="-11"/>
          <w:sz w:val="20"/>
        </w:rPr>
        <w:t> </w:t>
      </w:r>
      <w:r>
        <w:rPr>
          <w:color w:val="231F20"/>
          <w:spacing w:val="-4"/>
          <w:sz w:val="20"/>
        </w:rPr>
        <w:t>лет.</w:t>
      </w:r>
    </w:p>
    <w:p>
      <w:pPr>
        <w:pStyle w:val="BodyText"/>
        <w:spacing w:line="235" w:lineRule="auto" w:before="2"/>
        <w:ind w:right="0"/>
        <w:jc w:val="left"/>
      </w:pPr>
      <w:r>
        <w:rPr>
          <w:i/>
          <w:color w:val="231F20"/>
        </w:rPr>
        <w:t>Источник:</w:t>
      </w:r>
      <w:r>
        <w:rPr>
          <w:i/>
          <w:color w:val="231F20"/>
          <w:spacing w:val="-12"/>
        </w:rPr>
        <w:t> </w:t>
      </w:r>
      <w:r>
        <w:rPr>
          <w:color w:val="231F20"/>
        </w:rPr>
        <w:t>концепция</w:t>
      </w:r>
      <w:r>
        <w:rPr>
          <w:color w:val="231F20"/>
          <w:spacing w:val="-12"/>
        </w:rPr>
        <w:t> </w:t>
      </w:r>
      <w:r>
        <w:rPr>
          <w:color w:val="231F20"/>
        </w:rPr>
        <w:t>социального</w:t>
      </w:r>
      <w:r>
        <w:rPr>
          <w:color w:val="231F20"/>
          <w:spacing w:val="-12"/>
        </w:rPr>
        <w:t> </w:t>
      </w:r>
      <w:r>
        <w:rPr>
          <w:color w:val="231F20"/>
        </w:rPr>
        <w:t>атома</w:t>
      </w:r>
      <w:r>
        <w:rPr>
          <w:color w:val="231F20"/>
          <w:spacing w:val="-12"/>
        </w:rPr>
        <w:t> </w:t>
      </w:r>
      <w:r>
        <w:rPr>
          <w:color w:val="231F20"/>
        </w:rPr>
        <w:t>Я.Л.</w:t>
      </w:r>
      <w:r>
        <w:rPr>
          <w:color w:val="231F20"/>
          <w:spacing w:val="-12"/>
        </w:rPr>
        <w:t> </w:t>
      </w:r>
      <w:r>
        <w:rPr>
          <w:color w:val="231F20"/>
        </w:rPr>
        <w:t>Морено</w:t>
      </w:r>
      <w:r>
        <w:rPr>
          <w:color w:val="231F20"/>
          <w:spacing w:val="-12"/>
        </w:rPr>
        <w:t> </w:t>
      </w:r>
      <w:r>
        <w:rPr>
          <w:color w:val="231F20"/>
        </w:rPr>
        <w:t>(Лейтц,</w:t>
      </w:r>
      <w:r>
        <w:rPr>
          <w:color w:val="231F20"/>
          <w:spacing w:val="-12"/>
        </w:rPr>
        <w:t> </w:t>
      </w:r>
      <w:r>
        <w:rPr>
          <w:color w:val="231F20"/>
        </w:rPr>
        <w:t>2022)</w:t>
      </w:r>
      <w:r>
        <w:rPr>
          <w:color w:val="231F20"/>
          <w:spacing w:val="-12"/>
        </w:rPr>
        <w:t> </w:t>
      </w:r>
      <w:r>
        <w:rPr>
          <w:color w:val="231F20"/>
        </w:rPr>
        <w:t>–</w:t>
      </w:r>
      <w:r>
        <w:rPr>
          <w:color w:val="231F20"/>
          <w:spacing w:val="-12"/>
        </w:rPr>
        <w:t> </w:t>
      </w:r>
      <w:r>
        <w:rPr>
          <w:color w:val="231F20"/>
        </w:rPr>
        <w:t>описание</w:t>
      </w:r>
      <w:r>
        <w:rPr>
          <w:color w:val="231F20"/>
          <w:spacing w:val="-12"/>
        </w:rPr>
        <w:t> </w:t>
      </w:r>
      <w:r>
        <w:rPr>
          <w:color w:val="231F20"/>
        </w:rPr>
        <w:t>и адаптация Л.А. Могуновой </w:t>
      </w:r>
      <w:r>
        <w:rPr/>
        <w:t>(Хухлаев, Павлова и др., 2022).</w:t>
      </w:r>
    </w:p>
    <w:p>
      <w:pPr>
        <w:pStyle w:val="BodyText"/>
        <w:spacing w:after="0" w:line="235" w:lineRule="auto"/>
        <w:jc w:val="left"/>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line="235" w:lineRule="auto" w:before="116"/>
      </w:pPr>
      <w:r>
        <w:rPr>
          <w:color w:val="231F20"/>
        </w:rPr>
        <w:t>Техника подходит для того, чтобы поговорить с ребенком о нем самом и о его жизни, понять, чем ребенок готов делиться открыто, а где присутствует избегание,</w:t>
      </w:r>
      <w:r>
        <w:rPr>
          <w:color w:val="231F20"/>
          <w:spacing w:val="80"/>
        </w:rPr>
        <w:t> </w:t>
      </w:r>
      <w:r>
        <w:rPr>
          <w:color w:val="231F20"/>
        </w:rPr>
        <w:t>о каких членах семьи или сферах жизни он предпочитает умалчивать, что отрицает.</w:t>
      </w:r>
    </w:p>
    <w:p>
      <w:pPr>
        <w:pStyle w:val="BodyText"/>
        <w:spacing w:line="230" w:lineRule="auto"/>
      </w:pPr>
      <w:r>
        <w:rPr>
          <w:color w:val="231F20"/>
        </w:rPr>
        <w:t>Технику можно проводить как в виде рисования на листе бумаги (понадобится лист формата А4 и материалы для рисования), так и с помощью размещения фигу- рок</w:t>
      </w:r>
      <w:r>
        <w:rPr>
          <w:color w:val="231F20"/>
          <w:spacing w:val="-2"/>
        </w:rPr>
        <w:t> </w:t>
      </w:r>
      <w:r>
        <w:rPr>
          <w:color w:val="231F20"/>
        </w:rPr>
        <w:t>(животных)</w:t>
      </w:r>
      <w:r>
        <w:rPr>
          <w:color w:val="231F20"/>
          <w:spacing w:val="-2"/>
        </w:rPr>
        <w:t> </w:t>
      </w:r>
      <w:r>
        <w:rPr>
          <w:color w:val="231F20"/>
        </w:rPr>
        <w:t>или</w:t>
      </w:r>
      <w:r>
        <w:rPr>
          <w:color w:val="231F20"/>
          <w:spacing w:val="-2"/>
        </w:rPr>
        <w:t> </w:t>
      </w:r>
      <w:r>
        <w:rPr>
          <w:color w:val="231F20"/>
        </w:rPr>
        <w:t>предметов</w:t>
      </w:r>
      <w:r>
        <w:rPr>
          <w:color w:val="231F20"/>
          <w:spacing w:val="-3"/>
        </w:rPr>
        <w:t> </w:t>
      </w:r>
      <w:r>
        <w:rPr>
          <w:color w:val="231F20"/>
        </w:rPr>
        <w:t>на</w:t>
      </w:r>
      <w:r>
        <w:rPr>
          <w:color w:val="231F20"/>
          <w:spacing w:val="-2"/>
        </w:rPr>
        <w:t> </w:t>
      </w:r>
      <w:r>
        <w:rPr>
          <w:color w:val="231F20"/>
        </w:rPr>
        <w:t>устойчивой</w:t>
      </w:r>
      <w:r>
        <w:rPr>
          <w:color w:val="231F20"/>
          <w:spacing w:val="-3"/>
        </w:rPr>
        <w:t> </w:t>
      </w:r>
      <w:r>
        <w:rPr>
          <w:color w:val="231F20"/>
        </w:rPr>
        <w:t>поверхности</w:t>
      </w:r>
      <w:r>
        <w:rPr>
          <w:color w:val="231F20"/>
          <w:spacing w:val="-3"/>
        </w:rPr>
        <w:t> </w:t>
      </w:r>
      <w:r>
        <w:rPr>
          <w:color w:val="231F20"/>
        </w:rPr>
        <w:t>(понадобятся</w:t>
      </w:r>
      <w:r>
        <w:rPr>
          <w:color w:val="231F20"/>
          <w:spacing w:val="-3"/>
        </w:rPr>
        <w:t> </w:t>
      </w:r>
      <w:r>
        <w:rPr>
          <w:color w:val="231F20"/>
        </w:rPr>
        <w:t>небольшие игрушки или фигурки).</w:t>
      </w:r>
    </w:p>
    <w:p>
      <w:pPr>
        <w:pStyle w:val="ListParagraph"/>
        <w:numPr>
          <w:ilvl w:val="0"/>
          <w:numId w:val="209"/>
        </w:numPr>
        <w:tabs>
          <w:tab w:pos="376" w:val="left" w:leader="none"/>
          <w:tab w:pos="425" w:val="left" w:leader="none"/>
        </w:tabs>
        <w:spacing w:line="230" w:lineRule="auto" w:before="53" w:after="0"/>
        <w:ind w:left="425" w:right="139" w:hanging="284"/>
        <w:jc w:val="both"/>
        <w:rPr>
          <w:sz w:val="20"/>
        </w:rPr>
      </w:pPr>
      <w:r>
        <w:rPr>
          <w:color w:val="231F20"/>
          <w:sz w:val="20"/>
        </w:rPr>
        <w:t>Психолог предлагает ребенку показать себя и свое окружение в виде различных символов. Первый символ ребенок выбирает для себя и располагает его в центре листа/стола. Затем выбирает обозначения для людей, которые есть в его жизни,</w:t>
      </w:r>
      <w:r>
        <w:rPr>
          <w:color w:val="231F20"/>
          <w:spacing w:val="80"/>
          <w:sz w:val="20"/>
        </w:rPr>
        <w:t> </w:t>
      </w:r>
      <w:r>
        <w:rPr>
          <w:color w:val="231F20"/>
          <w:sz w:val="20"/>
        </w:rPr>
        <w:t>и</w:t>
      </w:r>
      <w:r>
        <w:rPr>
          <w:color w:val="231F20"/>
          <w:spacing w:val="-1"/>
          <w:sz w:val="20"/>
        </w:rPr>
        <w:t> </w:t>
      </w:r>
      <w:r>
        <w:rPr>
          <w:color w:val="231F20"/>
          <w:sz w:val="20"/>
        </w:rPr>
        <w:t>размещает</w:t>
      </w:r>
      <w:r>
        <w:rPr>
          <w:color w:val="231F20"/>
          <w:spacing w:val="-1"/>
          <w:sz w:val="20"/>
        </w:rPr>
        <w:t> </w:t>
      </w:r>
      <w:r>
        <w:rPr>
          <w:color w:val="231F20"/>
          <w:sz w:val="20"/>
        </w:rPr>
        <w:t>их</w:t>
      </w:r>
      <w:r>
        <w:rPr>
          <w:color w:val="231F20"/>
          <w:spacing w:val="-1"/>
          <w:sz w:val="20"/>
        </w:rPr>
        <w:t> </w:t>
      </w:r>
      <w:r>
        <w:rPr>
          <w:color w:val="231F20"/>
          <w:sz w:val="20"/>
        </w:rPr>
        <w:t>вокруг</w:t>
      </w:r>
      <w:r>
        <w:rPr>
          <w:color w:val="231F20"/>
          <w:spacing w:val="-1"/>
          <w:sz w:val="20"/>
        </w:rPr>
        <w:t> </w:t>
      </w:r>
      <w:r>
        <w:rPr>
          <w:color w:val="231F20"/>
          <w:sz w:val="20"/>
        </w:rPr>
        <w:t>первого</w:t>
      </w:r>
      <w:r>
        <w:rPr>
          <w:color w:val="231F20"/>
          <w:spacing w:val="-1"/>
          <w:sz w:val="20"/>
        </w:rPr>
        <w:t> </w:t>
      </w:r>
      <w:r>
        <w:rPr>
          <w:color w:val="231F20"/>
          <w:sz w:val="20"/>
        </w:rPr>
        <w:t>символа</w:t>
      </w:r>
      <w:r>
        <w:rPr>
          <w:color w:val="231F20"/>
          <w:spacing w:val="-1"/>
          <w:sz w:val="20"/>
        </w:rPr>
        <w:t> </w:t>
      </w:r>
      <w:r>
        <w:rPr>
          <w:color w:val="231F20"/>
          <w:sz w:val="20"/>
        </w:rPr>
        <w:t>(себя),</w:t>
      </w:r>
      <w:r>
        <w:rPr>
          <w:color w:val="231F20"/>
          <w:spacing w:val="-1"/>
          <w:sz w:val="20"/>
        </w:rPr>
        <w:t> </w:t>
      </w:r>
      <w:r>
        <w:rPr>
          <w:color w:val="231F20"/>
          <w:sz w:val="20"/>
        </w:rPr>
        <w:t>находя</w:t>
      </w:r>
      <w:r>
        <w:rPr>
          <w:color w:val="231F20"/>
          <w:spacing w:val="-1"/>
          <w:sz w:val="20"/>
        </w:rPr>
        <w:t> </w:t>
      </w:r>
      <w:r>
        <w:rPr>
          <w:color w:val="231F20"/>
          <w:sz w:val="20"/>
        </w:rPr>
        <w:t>каждому</w:t>
      </w:r>
      <w:r>
        <w:rPr>
          <w:color w:val="231F20"/>
          <w:spacing w:val="-1"/>
          <w:sz w:val="20"/>
        </w:rPr>
        <w:t> </w:t>
      </w:r>
      <w:r>
        <w:rPr>
          <w:color w:val="231F20"/>
          <w:sz w:val="20"/>
        </w:rPr>
        <w:t>место</w:t>
      </w:r>
      <w:r>
        <w:rPr>
          <w:color w:val="231F20"/>
          <w:spacing w:val="-1"/>
          <w:sz w:val="20"/>
        </w:rPr>
        <w:t> </w:t>
      </w:r>
      <w:r>
        <w:rPr>
          <w:color w:val="231F20"/>
          <w:sz w:val="20"/>
        </w:rPr>
        <w:t>ближе</w:t>
      </w:r>
      <w:r>
        <w:rPr>
          <w:color w:val="231F20"/>
          <w:spacing w:val="-1"/>
          <w:sz w:val="20"/>
        </w:rPr>
        <w:t> </w:t>
      </w:r>
      <w:r>
        <w:rPr>
          <w:color w:val="231F20"/>
          <w:sz w:val="20"/>
        </w:rPr>
        <w:t>или </w:t>
      </w:r>
      <w:r>
        <w:rPr>
          <w:color w:val="231F20"/>
          <w:spacing w:val="-2"/>
          <w:sz w:val="20"/>
        </w:rPr>
        <w:t>дальше.</w:t>
      </w:r>
    </w:p>
    <w:p>
      <w:pPr>
        <w:pStyle w:val="ListParagraph"/>
        <w:numPr>
          <w:ilvl w:val="0"/>
          <w:numId w:val="209"/>
        </w:numPr>
        <w:tabs>
          <w:tab w:pos="362" w:val="left" w:leader="none"/>
          <w:tab w:pos="425" w:val="left" w:leader="none"/>
        </w:tabs>
        <w:spacing w:line="230" w:lineRule="auto" w:before="53" w:after="0"/>
        <w:ind w:left="425" w:right="139" w:hanging="284"/>
        <w:jc w:val="left"/>
        <w:rPr>
          <w:sz w:val="20"/>
        </w:rPr>
      </w:pPr>
      <w:r>
        <w:rPr>
          <w:color w:val="231F20"/>
          <w:sz w:val="20"/>
        </w:rPr>
        <w:t>Психолог</w:t>
      </w:r>
      <w:r>
        <w:rPr>
          <w:color w:val="231F20"/>
          <w:spacing w:val="-3"/>
          <w:sz w:val="20"/>
        </w:rPr>
        <w:t> </w:t>
      </w:r>
      <w:r>
        <w:rPr>
          <w:color w:val="231F20"/>
          <w:sz w:val="20"/>
        </w:rPr>
        <w:t>просит</w:t>
      </w:r>
      <w:r>
        <w:rPr>
          <w:color w:val="231F20"/>
          <w:spacing w:val="-3"/>
          <w:sz w:val="20"/>
        </w:rPr>
        <w:t> </w:t>
      </w:r>
      <w:r>
        <w:rPr>
          <w:color w:val="231F20"/>
          <w:sz w:val="20"/>
        </w:rPr>
        <w:t>ребенка</w:t>
      </w:r>
      <w:r>
        <w:rPr>
          <w:color w:val="231F20"/>
          <w:spacing w:val="-3"/>
          <w:sz w:val="20"/>
        </w:rPr>
        <w:t> </w:t>
      </w:r>
      <w:r>
        <w:rPr>
          <w:color w:val="231F20"/>
          <w:sz w:val="20"/>
        </w:rPr>
        <w:t>представить</w:t>
      </w:r>
      <w:r>
        <w:rPr>
          <w:color w:val="231F20"/>
          <w:spacing w:val="-3"/>
          <w:sz w:val="20"/>
        </w:rPr>
        <w:t> </w:t>
      </w:r>
      <w:r>
        <w:rPr>
          <w:color w:val="231F20"/>
          <w:sz w:val="20"/>
        </w:rPr>
        <w:t>каждого</w:t>
      </w:r>
      <w:r>
        <w:rPr>
          <w:color w:val="231F20"/>
          <w:spacing w:val="-3"/>
          <w:sz w:val="20"/>
        </w:rPr>
        <w:t> </w:t>
      </w:r>
      <w:r>
        <w:rPr>
          <w:color w:val="231F20"/>
          <w:sz w:val="20"/>
        </w:rPr>
        <w:t>в</w:t>
      </w:r>
      <w:r>
        <w:rPr>
          <w:color w:val="231F20"/>
          <w:spacing w:val="-3"/>
          <w:sz w:val="20"/>
        </w:rPr>
        <w:t> </w:t>
      </w:r>
      <w:r>
        <w:rPr>
          <w:color w:val="231F20"/>
          <w:sz w:val="20"/>
        </w:rPr>
        <w:t>композиции,</w:t>
      </w:r>
      <w:r>
        <w:rPr>
          <w:color w:val="231F20"/>
          <w:spacing w:val="-3"/>
          <w:sz w:val="20"/>
        </w:rPr>
        <w:t> </w:t>
      </w:r>
      <w:r>
        <w:rPr>
          <w:color w:val="231F20"/>
          <w:sz w:val="20"/>
        </w:rPr>
        <w:t>описать</w:t>
      </w:r>
      <w:r>
        <w:rPr>
          <w:color w:val="231F20"/>
          <w:spacing w:val="-3"/>
          <w:sz w:val="20"/>
        </w:rPr>
        <w:t> </w:t>
      </w:r>
      <w:r>
        <w:rPr>
          <w:color w:val="231F20"/>
          <w:sz w:val="20"/>
        </w:rPr>
        <w:t>отношения с ним и рассказать, почему был выбран тот или иной символ/рисунок/фигурка. Важно дать</w:t>
      </w:r>
      <w:r>
        <w:rPr>
          <w:color w:val="231F20"/>
          <w:spacing w:val="-1"/>
          <w:sz w:val="20"/>
        </w:rPr>
        <w:t> </w:t>
      </w:r>
      <w:r>
        <w:rPr>
          <w:color w:val="231F20"/>
          <w:sz w:val="20"/>
        </w:rPr>
        <w:t>ребенку свободу в</w:t>
      </w:r>
      <w:r>
        <w:rPr>
          <w:color w:val="231F20"/>
          <w:spacing w:val="-1"/>
          <w:sz w:val="20"/>
        </w:rPr>
        <w:t> </w:t>
      </w:r>
      <w:r>
        <w:rPr>
          <w:color w:val="231F20"/>
          <w:sz w:val="20"/>
        </w:rPr>
        <w:t>выборе людей, которых он</w:t>
      </w:r>
      <w:r>
        <w:rPr>
          <w:color w:val="231F20"/>
          <w:spacing w:val="-1"/>
          <w:sz w:val="20"/>
        </w:rPr>
        <w:t> </w:t>
      </w:r>
      <w:r>
        <w:rPr>
          <w:color w:val="231F20"/>
          <w:sz w:val="20"/>
        </w:rPr>
        <w:t>разместит вокруг</w:t>
      </w:r>
      <w:r>
        <w:rPr>
          <w:color w:val="231F20"/>
          <w:spacing w:val="-1"/>
          <w:sz w:val="20"/>
        </w:rPr>
        <w:t> </w:t>
      </w:r>
      <w:r>
        <w:rPr>
          <w:color w:val="231F20"/>
          <w:sz w:val="20"/>
        </w:rPr>
        <w:t>себя. Психолог может задавать вопросы:</w:t>
      </w:r>
    </w:p>
    <w:p>
      <w:pPr>
        <w:spacing w:line="214" w:lineRule="exact" w:before="0"/>
        <w:ind w:left="425" w:right="0" w:firstLine="0"/>
        <w:jc w:val="left"/>
        <w:rPr>
          <w:i/>
          <w:sz w:val="20"/>
        </w:rPr>
      </w:pPr>
      <w:r>
        <w:rPr>
          <w:i/>
          <w:color w:val="231F20"/>
          <w:sz w:val="20"/>
        </w:rPr>
        <w:t>−</w:t>
      </w:r>
      <w:r>
        <w:rPr>
          <w:i/>
          <w:color w:val="231F20"/>
          <w:spacing w:val="-4"/>
          <w:sz w:val="20"/>
        </w:rPr>
        <w:t> </w:t>
      </w:r>
      <w:r>
        <w:rPr>
          <w:i/>
          <w:color w:val="231F20"/>
          <w:sz w:val="20"/>
        </w:rPr>
        <w:t>Что</w:t>
      </w:r>
      <w:r>
        <w:rPr>
          <w:i/>
          <w:color w:val="231F20"/>
          <w:spacing w:val="-3"/>
          <w:sz w:val="20"/>
        </w:rPr>
        <w:t> </w:t>
      </w:r>
      <w:r>
        <w:rPr>
          <w:i/>
          <w:color w:val="231F20"/>
          <w:sz w:val="20"/>
        </w:rPr>
        <w:t>значит</w:t>
      </w:r>
      <w:r>
        <w:rPr>
          <w:i/>
          <w:color w:val="231F20"/>
          <w:spacing w:val="-3"/>
          <w:sz w:val="20"/>
        </w:rPr>
        <w:t> </w:t>
      </w:r>
      <w:r>
        <w:rPr>
          <w:i/>
          <w:color w:val="231F20"/>
          <w:sz w:val="20"/>
        </w:rPr>
        <w:t>для</w:t>
      </w:r>
      <w:r>
        <w:rPr>
          <w:i/>
          <w:color w:val="231F20"/>
          <w:spacing w:val="-4"/>
          <w:sz w:val="20"/>
        </w:rPr>
        <w:t> </w:t>
      </w:r>
      <w:r>
        <w:rPr>
          <w:i/>
          <w:color w:val="231F20"/>
          <w:sz w:val="20"/>
        </w:rPr>
        <w:t>тебя</w:t>
      </w:r>
      <w:r>
        <w:rPr>
          <w:i/>
          <w:color w:val="231F20"/>
          <w:spacing w:val="-3"/>
          <w:sz w:val="20"/>
        </w:rPr>
        <w:t> </w:t>
      </w:r>
      <w:r>
        <w:rPr>
          <w:i/>
          <w:color w:val="231F20"/>
          <w:sz w:val="20"/>
        </w:rPr>
        <w:t>этот</w:t>
      </w:r>
      <w:r>
        <w:rPr>
          <w:i/>
          <w:color w:val="231F20"/>
          <w:spacing w:val="-3"/>
          <w:sz w:val="20"/>
        </w:rPr>
        <w:t> </w:t>
      </w:r>
      <w:r>
        <w:rPr>
          <w:i/>
          <w:color w:val="231F20"/>
          <w:spacing w:val="-2"/>
          <w:sz w:val="20"/>
        </w:rPr>
        <w:t>человек?</w:t>
      </w:r>
    </w:p>
    <w:p>
      <w:pPr>
        <w:spacing w:line="220" w:lineRule="exact" w:before="0"/>
        <w:ind w:left="425" w:right="0" w:firstLine="0"/>
        <w:jc w:val="left"/>
        <w:rPr>
          <w:i/>
          <w:sz w:val="20"/>
        </w:rPr>
      </w:pPr>
      <w:r>
        <w:rPr>
          <w:i/>
          <w:color w:val="231F20"/>
          <w:spacing w:val="-4"/>
          <w:sz w:val="20"/>
        </w:rPr>
        <w:t>−</w:t>
      </w:r>
      <w:r>
        <w:rPr>
          <w:i/>
          <w:color w:val="231F20"/>
          <w:spacing w:val="-6"/>
          <w:sz w:val="20"/>
        </w:rPr>
        <w:t> </w:t>
      </w:r>
      <w:r>
        <w:rPr>
          <w:i/>
          <w:color w:val="231F20"/>
          <w:spacing w:val="-4"/>
          <w:sz w:val="20"/>
        </w:rPr>
        <w:t>Как</w:t>
      </w:r>
      <w:r>
        <w:rPr>
          <w:i/>
          <w:color w:val="231F20"/>
          <w:spacing w:val="-9"/>
          <w:sz w:val="20"/>
        </w:rPr>
        <w:t> </w:t>
      </w:r>
      <w:r>
        <w:rPr>
          <w:i/>
          <w:color w:val="231F20"/>
          <w:spacing w:val="-4"/>
          <w:sz w:val="20"/>
        </w:rPr>
        <w:t>бы</w:t>
      </w:r>
      <w:r>
        <w:rPr>
          <w:i/>
          <w:color w:val="231F20"/>
          <w:spacing w:val="-9"/>
          <w:sz w:val="20"/>
        </w:rPr>
        <w:t> </w:t>
      </w:r>
      <w:r>
        <w:rPr>
          <w:i/>
          <w:color w:val="231F20"/>
          <w:spacing w:val="-4"/>
          <w:sz w:val="20"/>
        </w:rPr>
        <w:t>ты</w:t>
      </w:r>
      <w:r>
        <w:rPr>
          <w:i/>
          <w:color w:val="231F20"/>
          <w:spacing w:val="-9"/>
          <w:sz w:val="20"/>
        </w:rPr>
        <w:t> </w:t>
      </w:r>
      <w:r>
        <w:rPr>
          <w:i/>
          <w:color w:val="231F20"/>
          <w:spacing w:val="-4"/>
          <w:sz w:val="20"/>
        </w:rPr>
        <w:t>охарактеризовал(а)</w:t>
      </w:r>
      <w:r>
        <w:rPr>
          <w:i/>
          <w:color w:val="231F20"/>
          <w:spacing w:val="-9"/>
          <w:sz w:val="20"/>
        </w:rPr>
        <w:t> </w:t>
      </w:r>
      <w:r>
        <w:rPr>
          <w:i/>
          <w:color w:val="231F20"/>
          <w:spacing w:val="-4"/>
          <w:sz w:val="20"/>
        </w:rPr>
        <w:t>ваши</w:t>
      </w:r>
      <w:r>
        <w:rPr>
          <w:i/>
          <w:color w:val="231F20"/>
          <w:spacing w:val="-9"/>
          <w:sz w:val="20"/>
        </w:rPr>
        <w:t> </w:t>
      </w:r>
      <w:r>
        <w:rPr>
          <w:i/>
          <w:color w:val="231F20"/>
          <w:spacing w:val="-4"/>
          <w:sz w:val="20"/>
        </w:rPr>
        <w:t>отношения?</w:t>
      </w:r>
      <w:r>
        <w:rPr>
          <w:i/>
          <w:color w:val="231F20"/>
          <w:spacing w:val="-10"/>
          <w:sz w:val="20"/>
        </w:rPr>
        <w:t> </w:t>
      </w:r>
      <w:r>
        <w:rPr>
          <w:i/>
          <w:color w:val="231F20"/>
          <w:spacing w:val="-4"/>
          <w:sz w:val="20"/>
        </w:rPr>
        <w:t>Что</w:t>
      </w:r>
      <w:r>
        <w:rPr>
          <w:i/>
          <w:color w:val="231F20"/>
          <w:spacing w:val="-9"/>
          <w:sz w:val="20"/>
        </w:rPr>
        <w:t> </w:t>
      </w:r>
      <w:r>
        <w:rPr>
          <w:i/>
          <w:color w:val="231F20"/>
          <w:spacing w:val="-4"/>
          <w:sz w:val="20"/>
        </w:rPr>
        <w:t>в</w:t>
      </w:r>
      <w:r>
        <w:rPr>
          <w:i/>
          <w:color w:val="231F20"/>
          <w:spacing w:val="-9"/>
          <w:sz w:val="20"/>
        </w:rPr>
        <w:t> </w:t>
      </w:r>
      <w:r>
        <w:rPr>
          <w:i/>
          <w:color w:val="231F20"/>
          <w:spacing w:val="-4"/>
          <w:sz w:val="20"/>
        </w:rPr>
        <w:t>них</w:t>
      </w:r>
      <w:r>
        <w:rPr>
          <w:i/>
          <w:color w:val="231F20"/>
          <w:spacing w:val="-9"/>
          <w:sz w:val="20"/>
        </w:rPr>
        <w:t> </w:t>
      </w:r>
      <w:r>
        <w:rPr>
          <w:i/>
          <w:color w:val="231F20"/>
          <w:spacing w:val="-4"/>
          <w:sz w:val="20"/>
        </w:rPr>
        <w:t>нравится,</w:t>
      </w:r>
      <w:r>
        <w:rPr>
          <w:i/>
          <w:color w:val="231F20"/>
          <w:spacing w:val="-9"/>
          <w:sz w:val="20"/>
        </w:rPr>
        <w:t> </w:t>
      </w:r>
      <w:r>
        <w:rPr>
          <w:i/>
          <w:color w:val="231F20"/>
          <w:spacing w:val="-4"/>
          <w:sz w:val="20"/>
        </w:rPr>
        <w:t>а</w:t>
      </w:r>
      <w:r>
        <w:rPr>
          <w:i/>
          <w:color w:val="231F20"/>
          <w:spacing w:val="-9"/>
          <w:sz w:val="20"/>
        </w:rPr>
        <w:t> </w:t>
      </w:r>
      <w:r>
        <w:rPr>
          <w:i/>
          <w:color w:val="231F20"/>
          <w:spacing w:val="-4"/>
          <w:sz w:val="20"/>
        </w:rPr>
        <w:t>что</w:t>
      </w:r>
      <w:r>
        <w:rPr>
          <w:i/>
          <w:color w:val="231F20"/>
          <w:spacing w:val="-9"/>
          <w:sz w:val="20"/>
        </w:rPr>
        <w:t> </w:t>
      </w:r>
      <w:r>
        <w:rPr>
          <w:i/>
          <w:color w:val="231F20"/>
          <w:spacing w:val="-4"/>
          <w:sz w:val="20"/>
        </w:rPr>
        <w:t>нет?</w:t>
      </w:r>
    </w:p>
    <w:p>
      <w:pPr>
        <w:spacing w:line="220" w:lineRule="exact" w:before="0"/>
        <w:ind w:left="425" w:right="0" w:firstLine="0"/>
        <w:jc w:val="left"/>
        <w:rPr>
          <w:i/>
          <w:sz w:val="20"/>
        </w:rPr>
      </w:pPr>
      <w:r>
        <w:rPr>
          <w:i/>
          <w:color w:val="231F20"/>
          <w:sz w:val="20"/>
        </w:rPr>
        <w:t>−</w:t>
      </w:r>
      <w:r>
        <w:rPr>
          <w:i/>
          <w:color w:val="231F20"/>
          <w:spacing w:val="-3"/>
          <w:sz w:val="20"/>
        </w:rPr>
        <w:t> </w:t>
      </w:r>
      <w:r>
        <w:rPr>
          <w:i/>
          <w:color w:val="231F20"/>
          <w:sz w:val="20"/>
        </w:rPr>
        <w:t>Кого</w:t>
      </w:r>
      <w:r>
        <w:rPr>
          <w:i/>
          <w:color w:val="231F20"/>
          <w:spacing w:val="-3"/>
          <w:sz w:val="20"/>
        </w:rPr>
        <w:t> </w:t>
      </w:r>
      <w:r>
        <w:rPr>
          <w:i/>
          <w:color w:val="231F20"/>
          <w:sz w:val="20"/>
        </w:rPr>
        <w:t>бы</w:t>
      </w:r>
      <w:r>
        <w:rPr>
          <w:i/>
          <w:color w:val="231F20"/>
          <w:spacing w:val="-3"/>
          <w:sz w:val="20"/>
        </w:rPr>
        <w:t> </w:t>
      </w:r>
      <w:r>
        <w:rPr>
          <w:i/>
          <w:color w:val="231F20"/>
          <w:sz w:val="20"/>
        </w:rPr>
        <w:t>ты</w:t>
      </w:r>
      <w:r>
        <w:rPr>
          <w:i/>
          <w:color w:val="231F20"/>
          <w:spacing w:val="-3"/>
          <w:sz w:val="20"/>
        </w:rPr>
        <w:t> </w:t>
      </w:r>
      <w:r>
        <w:rPr>
          <w:i/>
          <w:color w:val="231F20"/>
          <w:sz w:val="20"/>
        </w:rPr>
        <w:t>еще</w:t>
      </w:r>
      <w:r>
        <w:rPr>
          <w:i/>
          <w:color w:val="231F20"/>
          <w:spacing w:val="-3"/>
          <w:sz w:val="20"/>
        </w:rPr>
        <w:t> </w:t>
      </w:r>
      <w:r>
        <w:rPr>
          <w:i/>
          <w:color w:val="231F20"/>
          <w:sz w:val="20"/>
        </w:rPr>
        <w:t>хотел(а)</w:t>
      </w:r>
      <w:r>
        <w:rPr>
          <w:i/>
          <w:color w:val="231F20"/>
          <w:spacing w:val="-2"/>
          <w:sz w:val="20"/>
        </w:rPr>
        <w:t> разместить?</w:t>
      </w:r>
    </w:p>
    <w:p>
      <w:pPr>
        <w:spacing w:line="220" w:lineRule="exact" w:before="0"/>
        <w:ind w:left="425" w:right="0" w:firstLine="0"/>
        <w:jc w:val="left"/>
        <w:rPr>
          <w:i/>
          <w:sz w:val="20"/>
        </w:rPr>
      </w:pPr>
      <w:r>
        <w:rPr>
          <w:i/>
          <w:color w:val="231F20"/>
          <w:sz w:val="20"/>
        </w:rPr>
        <w:t>−</w:t>
      </w:r>
      <w:r>
        <w:rPr>
          <w:i/>
          <w:color w:val="231F20"/>
          <w:spacing w:val="-2"/>
          <w:sz w:val="20"/>
        </w:rPr>
        <w:t> </w:t>
      </w:r>
      <w:r>
        <w:rPr>
          <w:i/>
          <w:color w:val="231F20"/>
          <w:sz w:val="20"/>
        </w:rPr>
        <w:t>Каких</w:t>
      </w:r>
      <w:r>
        <w:rPr>
          <w:i/>
          <w:color w:val="231F20"/>
          <w:spacing w:val="-2"/>
          <w:sz w:val="20"/>
        </w:rPr>
        <w:t> </w:t>
      </w:r>
      <w:r>
        <w:rPr>
          <w:i/>
          <w:color w:val="231F20"/>
          <w:sz w:val="20"/>
        </w:rPr>
        <w:t>людей</w:t>
      </w:r>
      <w:r>
        <w:rPr>
          <w:i/>
          <w:color w:val="231F20"/>
          <w:spacing w:val="-1"/>
          <w:sz w:val="20"/>
        </w:rPr>
        <w:t> </w:t>
      </w:r>
      <w:r>
        <w:rPr>
          <w:i/>
          <w:color w:val="231F20"/>
          <w:sz w:val="20"/>
        </w:rPr>
        <w:t>теперь</w:t>
      </w:r>
      <w:r>
        <w:rPr>
          <w:i/>
          <w:color w:val="231F20"/>
          <w:spacing w:val="-3"/>
          <w:sz w:val="20"/>
        </w:rPr>
        <w:t> </w:t>
      </w:r>
      <w:r>
        <w:rPr>
          <w:i/>
          <w:color w:val="231F20"/>
          <w:sz w:val="20"/>
        </w:rPr>
        <w:t>здесь</w:t>
      </w:r>
      <w:r>
        <w:rPr>
          <w:i/>
          <w:color w:val="231F20"/>
          <w:spacing w:val="-2"/>
          <w:sz w:val="20"/>
        </w:rPr>
        <w:t> </w:t>
      </w:r>
      <w:r>
        <w:rPr>
          <w:i/>
          <w:color w:val="231F20"/>
          <w:spacing w:val="-4"/>
          <w:sz w:val="20"/>
        </w:rPr>
        <w:t>нет?</w:t>
      </w:r>
    </w:p>
    <w:p>
      <w:pPr>
        <w:pStyle w:val="BodyText"/>
        <w:spacing w:line="230" w:lineRule="auto" w:before="2"/>
        <w:ind w:right="140"/>
      </w:pPr>
      <w:r>
        <w:rPr>
          <w:color w:val="231F20"/>
        </w:rPr>
        <w:t>Психологу</w:t>
      </w:r>
      <w:r>
        <w:rPr>
          <w:color w:val="231F20"/>
          <w:spacing w:val="-2"/>
        </w:rPr>
        <w:t> </w:t>
      </w:r>
      <w:r>
        <w:rPr>
          <w:color w:val="231F20"/>
        </w:rPr>
        <w:t>не</w:t>
      </w:r>
      <w:r>
        <w:rPr>
          <w:color w:val="231F20"/>
          <w:spacing w:val="-2"/>
        </w:rPr>
        <w:t> </w:t>
      </w:r>
      <w:r>
        <w:rPr>
          <w:color w:val="231F20"/>
        </w:rPr>
        <w:t>стоит</w:t>
      </w:r>
      <w:r>
        <w:rPr>
          <w:color w:val="231F20"/>
          <w:spacing w:val="-2"/>
        </w:rPr>
        <w:t> </w:t>
      </w:r>
      <w:r>
        <w:rPr>
          <w:color w:val="231F20"/>
        </w:rPr>
        <w:t>давать</w:t>
      </w:r>
      <w:r>
        <w:rPr>
          <w:color w:val="231F20"/>
          <w:spacing w:val="-2"/>
        </w:rPr>
        <w:t> </w:t>
      </w:r>
      <w:r>
        <w:rPr>
          <w:color w:val="231F20"/>
        </w:rPr>
        <w:t>советы,</w:t>
      </w:r>
      <w:r>
        <w:rPr>
          <w:color w:val="231F20"/>
          <w:spacing w:val="-2"/>
        </w:rPr>
        <w:t> </w:t>
      </w:r>
      <w:r>
        <w:rPr>
          <w:color w:val="231F20"/>
        </w:rPr>
        <w:t>предлагать</w:t>
      </w:r>
      <w:r>
        <w:rPr>
          <w:color w:val="231F20"/>
          <w:spacing w:val="-2"/>
        </w:rPr>
        <w:t> </w:t>
      </w:r>
      <w:r>
        <w:rPr>
          <w:color w:val="231F20"/>
        </w:rPr>
        <w:t>добавить</w:t>
      </w:r>
      <w:r>
        <w:rPr>
          <w:color w:val="231F20"/>
          <w:spacing w:val="-2"/>
        </w:rPr>
        <w:t> </w:t>
      </w:r>
      <w:r>
        <w:rPr>
          <w:color w:val="231F20"/>
        </w:rPr>
        <w:t>кого-то</w:t>
      </w:r>
      <w:r>
        <w:rPr>
          <w:color w:val="231F20"/>
          <w:spacing w:val="-2"/>
        </w:rPr>
        <w:t> </w:t>
      </w:r>
      <w:r>
        <w:rPr>
          <w:color w:val="231F20"/>
        </w:rPr>
        <w:t>конкретного</w:t>
      </w:r>
      <w:r>
        <w:rPr>
          <w:color w:val="231F20"/>
          <w:spacing w:val="-2"/>
        </w:rPr>
        <w:t> </w:t>
      </w:r>
      <w:r>
        <w:rPr>
          <w:color w:val="231F20"/>
        </w:rPr>
        <w:t>или оценивать отношения. Важно предоставить ребенку пространство для выражения мыслей и чувств по поводу его окружения.</w:t>
      </w:r>
    </w:p>
    <w:p>
      <w:pPr>
        <w:spacing w:line="225" w:lineRule="exact" w:before="104"/>
        <w:ind w:left="425" w:right="0" w:firstLine="0"/>
        <w:jc w:val="both"/>
        <w:rPr>
          <w:b/>
          <w:i/>
          <w:sz w:val="20"/>
        </w:rPr>
      </w:pPr>
      <w:r>
        <w:rPr>
          <w:b/>
          <w:i/>
          <w:color w:val="231F20"/>
          <w:sz w:val="20"/>
        </w:rPr>
        <w:t>Техника</w:t>
      </w:r>
      <w:r>
        <w:rPr>
          <w:b/>
          <w:i/>
          <w:color w:val="231F20"/>
          <w:spacing w:val="-9"/>
          <w:sz w:val="20"/>
        </w:rPr>
        <w:t> </w:t>
      </w:r>
      <w:r>
        <w:rPr>
          <w:b/>
          <w:i/>
          <w:color w:val="231F20"/>
          <w:sz w:val="20"/>
        </w:rPr>
        <w:t>«Стратегии</w:t>
      </w:r>
      <w:r>
        <w:rPr>
          <w:b/>
          <w:i/>
          <w:color w:val="231F20"/>
          <w:spacing w:val="-8"/>
          <w:sz w:val="20"/>
        </w:rPr>
        <w:t> </w:t>
      </w:r>
      <w:r>
        <w:rPr>
          <w:b/>
          <w:i/>
          <w:color w:val="231F20"/>
          <w:sz w:val="20"/>
        </w:rPr>
        <w:t>поведения</w:t>
      </w:r>
      <w:r>
        <w:rPr>
          <w:b/>
          <w:i/>
          <w:color w:val="231F20"/>
          <w:spacing w:val="-9"/>
          <w:sz w:val="20"/>
        </w:rPr>
        <w:t> </w:t>
      </w:r>
      <w:r>
        <w:rPr>
          <w:b/>
          <w:i/>
          <w:color w:val="231F20"/>
          <w:sz w:val="20"/>
        </w:rPr>
        <w:t>в</w:t>
      </w:r>
      <w:r>
        <w:rPr>
          <w:b/>
          <w:i/>
          <w:color w:val="231F20"/>
          <w:spacing w:val="-8"/>
          <w:sz w:val="20"/>
        </w:rPr>
        <w:t> </w:t>
      </w:r>
      <w:r>
        <w:rPr>
          <w:b/>
          <w:i/>
          <w:color w:val="231F20"/>
          <w:spacing w:val="-2"/>
          <w:sz w:val="20"/>
        </w:rPr>
        <w:t>конфликте»</w:t>
      </w:r>
    </w:p>
    <w:p>
      <w:pPr>
        <w:pStyle w:val="BodyText"/>
        <w:spacing w:line="230" w:lineRule="auto" w:before="2"/>
      </w:pPr>
      <w:r>
        <w:rPr>
          <w:i/>
          <w:color w:val="231F20"/>
        </w:rPr>
        <w:t>Цели: </w:t>
      </w:r>
      <w:r>
        <w:rPr>
          <w:color w:val="231F20"/>
        </w:rPr>
        <w:t>обучение навыкам личной безопасности и ассертивного общения; повы- шение осведомленности о навыках решения жизненных проблем и/или социальных </w:t>
      </w:r>
      <w:r>
        <w:rPr>
          <w:color w:val="231F20"/>
          <w:spacing w:val="-2"/>
        </w:rPr>
        <w:t>навыках.</w:t>
      </w:r>
    </w:p>
    <w:p>
      <w:pPr>
        <w:spacing w:line="215" w:lineRule="exact" w:before="0"/>
        <w:ind w:left="425" w:right="0" w:firstLine="0"/>
        <w:jc w:val="both"/>
        <w:rPr>
          <w:sz w:val="20"/>
        </w:rPr>
      </w:pPr>
      <w:r>
        <w:rPr>
          <w:i/>
          <w:color w:val="231F20"/>
          <w:sz w:val="20"/>
        </w:rPr>
        <w:t>Рекомендованный</w:t>
      </w:r>
      <w:r>
        <w:rPr>
          <w:i/>
          <w:color w:val="231F20"/>
          <w:spacing w:val="-10"/>
          <w:sz w:val="20"/>
        </w:rPr>
        <w:t> </w:t>
      </w:r>
      <w:r>
        <w:rPr>
          <w:i/>
          <w:color w:val="231F20"/>
          <w:sz w:val="20"/>
        </w:rPr>
        <w:t>возраст:</w:t>
      </w:r>
      <w:r>
        <w:rPr>
          <w:i/>
          <w:color w:val="231F20"/>
          <w:spacing w:val="-10"/>
          <w:sz w:val="20"/>
        </w:rPr>
        <w:t> </w:t>
      </w:r>
      <w:r>
        <w:rPr>
          <w:color w:val="231F20"/>
          <w:sz w:val="20"/>
        </w:rPr>
        <w:t>от</w:t>
      </w:r>
      <w:r>
        <w:rPr>
          <w:color w:val="231F20"/>
          <w:spacing w:val="-10"/>
          <w:sz w:val="20"/>
        </w:rPr>
        <w:t> </w:t>
      </w:r>
      <w:r>
        <w:rPr>
          <w:color w:val="231F20"/>
          <w:sz w:val="20"/>
        </w:rPr>
        <w:t>12</w:t>
      </w:r>
      <w:r>
        <w:rPr>
          <w:color w:val="231F20"/>
          <w:spacing w:val="-10"/>
          <w:sz w:val="20"/>
        </w:rPr>
        <w:t> </w:t>
      </w:r>
      <w:r>
        <w:rPr>
          <w:color w:val="231F20"/>
          <w:spacing w:val="-4"/>
          <w:sz w:val="20"/>
        </w:rPr>
        <w:t>лет.</w:t>
      </w:r>
    </w:p>
    <w:p>
      <w:pPr>
        <w:pStyle w:val="BodyText"/>
        <w:spacing w:line="230" w:lineRule="auto" w:before="3"/>
      </w:pPr>
      <w:r>
        <w:rPr>
          <w:i/>
          <w:color w:val="231F20"/>
        </w:rPr>
        <w:t>Источник:</w:t>
      </w:r>
      <w:r>
        <w:rPr>
          <w:i/>
          <w:color w:val="231F20"/>
          <w:spacing w:val="-1"/>
        </w:rPr>
        <w:t> </w:t>
      </w:r>
      <w:r>
        <w:rPr>
          <w:color w:val="231F20"/>
        </w:rPr>
        <w:t>техника</w:t>
      </w:r>
      <w:r>
        <w:rPr>
          <w:color w:val="231F20"/>
          <w:spacing w:val="-1"/>
        </w:rPr>
        <w:t> </w:t>
      </w:r>
      <w:r>
        <w:rPr>
          <w:color w:val="231F20"/>
        </w:rPr>
        <w:t>описана</w:t>
      </w:r>
      <w:r>
        <w:rPr>
          <w:color w:val="231F20"/>
          <w:spacing w:val="-1"/>
        </w:rPr>
        <w:t> </w:t>
      </w:r>
      <w:r>
        <w:rPr>
          <w:color w:val="231F20"/>
        </w:rPr>
        <w:t>С.С.</w:t>
      </w:r>
      <w:r>
        <w:rPr>
          <w:color w:val="231F20"/>
          <w:spacing w:val="-1"/>
        </w:rPr>
        <w:t> </w:t>
      </w:r>
      <w:r>
        <w:rPr>
          <w:color w:val="231F20"/>
        </w:rPr>
        <w:t>Смирновой</w:t>
      </w:r>
      <w:r>
        <w:rPr>
          <w:color w:val="231F20"/>
          <w:spacing w:val="-1"/>
        </w:rPr>
        <w:t> </w:t>
      </w:r>
      <w:r>
        <w:rPr>
          <w:color w:val="231F20"/>
        </w:rPr>
        <w:t>на</w:t>
      </w:r>
      <w:r>
        <w:rPr>
          <w:color w:val="231F20"/>
          <w:spacing w:val="-1"/>
        </w:rPr>
        <w:t> </w:t>
      </w:r>
      <w:r>
        <w:rPr>
          <w:color w:val="231F20"/>
        </w:rPr>
        <w:t>основании</w:t>
      </w:r>
      <w:r>
        <w:rPr>
          <w:color w:val="231F20"/>
          <w:spacing w:val="-1"/>
        </w:rPr>
        <w:t> </w:t>
      </w:r>
      <w:r>
        <w:rPr>
          <w:color w:val="231F20"/>
        </w:rPr>
        <w:t>модели</w:t>
      </w:r>
      <w:r>
        <w:rPr>
          <w:color w:val="231F20"/>
          <w:spacing w:val="-1"/>
        </w:rPr>
        <w:t> </w:t>
      </w:r>
      <w:r>
        <w:rPr>
          <w:color w:val="231F20"/>
        </w:rPr>
        <w:t>вариантов</w:t>
      </w:r>
      <w:r>
        <w:rPr>
          <w:color w:val="231F20"/>
          <w:spacing w:val="-1"/>
        </w:rPr>
        <w:t> </w:t>
      </w:r>
      <w:r>
        <w:rPr>
          <w:color w:val="231F20"/>
        </w:rPr>
        <w:t>по- ведения в конфликтной ситуации, предложенной К. Томасом и Р. Килманном (Дух- новский, 2009).</w:t>
      </w:r>
    </w:p>
    <w:p>
      <w:pPr>
        <w:pStyle w:val="BodyText"/>
        <w:spacing w:line="230" w:lineRule="auto"/>
      </w:pPr>
      <w:r>
        <w:rPr>
          <w:color w:val="231F20"/>
        </w:rPr>
        <w:t>Техника</w:t>
      </w:r>
      <w:r>
        <w:rPr>
          <w:color w:val="231F20"/>
          <w:spacing w:val="-4"/>
        </w:rPr>
        <w:t> </w:t>
      </w:r>
      <w:r>
        <w:rPr>
          <w:color w:val="231F20"/>
        </w:rPr>
        <w:t>основана</w:t>
      </w:r>
      <w:r>
        <w:rPr>
          <w:color w:val="231F20"/>
          <w:spacing w:val="-4"/>
        </w:rPr>
        <w:t> </w:t>
      </w:r>
      <w:r>
        <w:rPr>
          <w:color w:val="231F20"/>
        </w:rPr>
        <w:t>на</w:t>
      </w:r>
      <w:r>
        <w:rPr>
          <w:color w:val="231F20"/>
          <w:spacing w:val="-4"/>
        </w:rPr>
        <w:t> </w:t>
      </w:r>
      <w:r>
        <w:rPr>
          <w:color w:val="231F20"/>
        </w:rPr>
        <w:t>модели</w:t>
      </w:r>
      <w:r>
        <w:rPr>
          <w:color w:val="231F20"/>
          <w:spacing w:val="-4"/>
        </w:rPr>
        <w:t> </w:t>
      </w:r>
      <w:r>
        <w:rPr>
          <w:color w:val="231F20"/>
        </w:rPr>
        <w:t>пяти</w:t>
      </w:r>
      <w:r>
        <w:rPr>
          <w:color w:val="231F20"/>
          <w:spacing w:val="-4"/>
        </w:rPr>
        <w:t> </w:t>
      </w:r>
      <w:r>
        <w:rPr>
          <w:color w:val="231F20"/>
        </w:rPr>
        <w:t>вариантов</w:t>
      </w:r>
      <w:r>
        <w:rPr>
          <w:color w:val="231F20"/>
          <w:spacing w:val="-4"/>
        </w:rPr>
        <w:t> </w:t>
      </w:r>
      <w:r>
        <w:rPr>
          <w:color w:val="231F20"/>
        </w:rPr>
        <w:t>поведения</w:t>
      </w:r>
      <w:r>
        <w:rPr>
          <w:color w:val="231F20"/>
          <w:spacing w:val="-4"/>
        </w:rPr>
        <w:t> </w:t>
      </w:r>
      <w:r>
        <w:rPr>
          <w:color w:val="231F20"/>
        </w:rPr>
        <w:t>в</w:t>
      </w:r>
      <w:r>
        <w:rPr>
          <w:color w:val="231F20"/>
          <w:spacing w:val="-4"/>
        </w:rPr>
        <w:t> </w:t>
      </w:r>
      <w:r>
        <w:rPr>
          <w:color w:val="231F20"/>
        </w:rPr>
        <w:t>конфликтной</w:t>
      </w:r>
      <w:r>
        <w:rPr>
          <w:color w:val="231F20"/>
          <w:spacing w:val="-4"/>
        </w:rPr>
        <w:t> </w:t>
      </w:r>
      <w:r>
        <w:rPr>
          <w:color w:val="231F20"/>
        </w:rPr>
        <w:t>ситуации. Модель</w:t>
      </w:r>
      <w:r>
        <w:rPr>
          <w:color w:val="231F20"/>
          <w:spacing w:val="-6"/>
        </w:rPr>
        <w:t> </w:t>
      </w:r>
      <w:r>
        <w:rPr>
          <w:color w:val="231F20"/>
        </w:rPr>
        <w:t>часто</w:t>
      </w:r>
      <w:r>
        <w:rPr>
          <w:color w:val="231F20"/>
          <w:spacing w:val="-6"/>
        </w:rPr>
        <w:t> </w:t>
      </w:r>
      <w:r>
        <w:rPr>
          <w:color w:val="231F20"/>
        </w:rPr>
        <w:t>используется</w:t>
      </w:r>
      <w:r>
        <w:rPr>
          <w:color w:val="231F20"/>
          <w:spacing w:val="-6"/>
        </w:rPr>
        <w:t> </w:t>
      </w:r>
      <w:r>
        <w:rPr>
          <w:color w:val="231F20"/>
        </w:rPr>
        <w:t>при</w:t>
      </w:r>
      <w:r>
        <w:rPr>
          <w:color w:val="231F20"/>
          <w:spacing w:val="-6"/>
        </w:rPr>
        <w:t> </w:t>
      </w:r>
      <w:r>
        <w:rPr>
          <w:color w:val="231F20"/>
        </w:rPr>
        <w:t>тестировании</w:t>
      </w:r>
      <w:r>
        <w:rPr>
          <w:color w:val="231F20"/>
          <w:spacing w:val="-6"/>
        </w:rPr>
        <w:t> </w:t>
      </w:r>
      <w:r>
        <w:rPr>
          <w:color w:val="231F20"/>
        </w:rPr>
        <w:t>на</w:t>
      </w:r>
      <w:r>
        <w:rPr>
          <w:color w:val="231F20"/>
          <w:spacing w:val="-6"/>
        </w:rPr>
        <w:t> </w:t>
      </w:r>
      <w:r>
        <w:rPr>
          <w:color w:val="231F20"/>
        </w:rPr>
        <w:t>предпочитаемый</w:t>
      </w:r>
      <w:r>
        <w:rPr>
          <w:color w:val="231F20"/>
          <w:spacing w:val="-6"/>
        </w:rPr>
        <w:t> </w:t>
      </w:r>
      <w:r>
        <w:rPr>
          <w:color w:val="231F20"/>
        </w:rPr>
        <w:t>стиль</w:t>
      </w:r>
      <w:r>
        <w:rPr>
          <w:color w:val="231F20"/>
          <w:spacing w:val="-6"/>
        </w:rPr>
        <w:t> </w:t>
      </w:r>
      <w:r>
        <w:rPr>
          <w:color w:val="231F20"/>
        </w:rPr>
        <w:t>поведения</w:t>
      </w:r>
      <w:r>
        <w:rPr>
          <w:color w:val="231F20"/>
          <w:spacing w:val="-6"/>
        </w:rPr>
        <w:t> </w:t>
      </w:r>
      <w:r>
        <w:rPr>
          <w:color w:val="231F20"/>
        </w:rPr>
        <w:t>в конфликте,</w:t>
      </w:r>
      <w:r>
        <w:rPr>
          <w:color w:val="231F20"/>
          <w:spacing w:val="-9"/>
        </w:rPr>
        <w:t> </w:t>
      </w:r>
      <w:r>
        <w:rPr>
          <w:color w:val="231F20"/>
        </w:rPr>
        <w:t>однако</w:t>
      </w:r>
      <w:r>
        <w:rPr>
          <w:color w:val="231F20"/>
          <w:spacing w:val="-9"/>
        </w:rPr>
        <w:t> </w:t>
      </w:r>
      <w:r>
        <w:rPr>
          <w:color w:val="231F20"/>
        </w:rPr>
        <w:t>она</w:t>
      </w:r>
      <w:r>
        <w:rPr>
          <w:color w:val="231F20"/>
          <w:spacing w:val="-9"/>
        </w:rPr>
        <w:t> </w:t>
      </w:r>
      <w:r>
        <w:rPr>
          <w:color w:val="231F20"/>
        </w:rPr>
        <w:t>также</w:t>
      </w:r>
      <w:r>
        <w:rPr>
          <w:color w:val="231F20"/>
          <w:spacing w:val="-9"/>
        </w:rPr>
        <w:t> </w:t>
      </w:r>
      <w:r>
        <w:rPr>
          <w:color w:val="231F20"/>
        </w:rPr>
        <w:t>хорошо</w:t>
      </w:r>
      <w:r>
        <w:rPr>
          <w:color w:val="231F20"/>
          <w:spacing w:val="-9"/>
        </w:rPr>
        <w:t> </w:t>
      </w:r>
      <w:r>
        <w:rPr>
          <w:color w:val="231F20"/>
        </w:rPr>
        <w:t>подходит</w:t>
      </w:r>
      <w:r>
        <w:rPr>
          <w:color w:val="231F20"/>
          <w:spacing w:val="-9"/>
        </w:rPr>
        <w:t> </w:t>
      </w:r>
      <w:r>
        <w:rPr>
          <w:color w:val="231F20"/>
        </w:rPr>
        <w:t>для</w:t>
      </w:r>
      <w:r>
        <w:rPr>
          <w:color w:val="231F20"/>
          <w:spacing w:val="-9"/>
        </w:rPr>
        <w:t> </w:t>
      </w:r>
      <w:r>
        <w:rPr>
          <w:color w:val="231F20"/>
        </w:rPr>
        <w:t>расширения</w:t>
      </w:r>
      <w:r>
        <w:rPr>
          <w:color w:val="231F20"/>
          <w:spacing w:val="-9"/>
        </w:rPr>
        <w:t> </w:t>
      </w:r>
      <w:r>
        <w:rPr>
          <w:color w:val="231F20"/>
        </w:rPr>
        <w:t>ролевого</w:t>
      </w:r>
      <w:r>
        <w:rPr>
          <w:color w:val="231F20"/>
          <w:spacing w:val="-9"/>
        </w:rPr>
        <w:t> </w:t>
      </w:r>
      <w:r>
        <w:rPr>
          <w:color w:val="231F20"/>
        </w:rPr>
        <w:t>репертуара ребенка в ситуации трудной коммуникации с другими людьми.</w:t>
      </w:r>
    </w:p>
    <w:p>
      <w:pPr>
        <w:pStyle w:val="ListParagraph"/>
        <w:numPr>
          <w:ilvl w:val="0"/>
          <w:numId w:val="210"/>
        </w:numPr>
        <w:tabs>
          <w:tab w:pos="423" w:val="left" w:leader="none"/>
          <w:tab w:pos="425" w:val="left" w:leader="none"/>
        </w:tabs>
        <w:spacing w:line="230" w:lineRule="auto" w:before="51" w:after="0"/>
        <w:ind w:left="425" w:right="139" w:hanging="284"/>
        <w:jc w:val="both"/>
        <w:rPr>
          <w:sz w:val="20"/>
        </w:rPr>
      </w:pPr>
      <w:r>
        <w:rPr>
          <w:color w:val="231F20"/>
          <w:sz w:val="20"/>
        </w:rPr>
        <w:t>Психолог в свободной форме знакомит ребенка с пятью стратегиями поведения</w:t>
      </w:r>
      <w:r>
        <w:rPr>
          <w:color w:val="231F20"/>
          <w:spacing w:val="80"/>
          <w:sz w:val="20"/>
        </w:rPr>
        <w:t> </w:t>
      </w:r>
      <w:r>
        <w:rPr>
          <w:color w:val="231F20"/>
          <w:sz w:val="20"/>
        </w:rPr>
        <w:t>в</w:t>
      </w:r>
      <w:r>
        <w:rPr>
          <w:color w:val="231F20"/>
          <w:spacing w:val="-5"/>
          <w:sz w:val="20"/>
        </w:rPr>
        <w:t> </w:t>
      </w:r>
      <w:r>
        <w:rPr>
          <w:color w:val="231F20"/>
          <w:sz w:val="20"/>
        </w:rPr>
        <w:t>конфликтной</w:t>
      </w:r>
      <w:r>
        <w:rPr>
          <w:color w:val="231F20"/>
          <w:spacing w:val="-5"/>
          <w:sz w:val="20"/>
        </w:rPr>
        <w:t> </w:t>
      </w:r>
      <w:r>
        <w:rPr>
          <w:color w:val="231F20"/>
          <w:sz w:val="20"/>
        </w:rPr>
        <w:t>ситуации.</w:t>
      </w:r>
      <w:r>
        <w:rPr>
          <w:color w:val="231F20"/>
          <w:spacing w:val="-5"/>
          <w:sz w:val="20"/>
        </w:rPr>
        <w:t> </w:t>
      </w:r>
      <w:r>
        <w:rPr>
          <w:color w:val="231F20"/>
          <w:sz w:val="20"/>
        </w:rPr>
        <w:t>Можно</w:t>
      </w:r>
      <w:r>
        <w:rPr>
          <w:color w:val="231F20"/>
          <w:spacing w:val="-5"/>
          <w:sz w:val="20"/>
        </w:rPr>
        <w:t> </w:t>
      </w:r>
      <w:r>
        <w:rPr>
          <w:color w:val="231F20"/>
          <w:sz w:val="20"/>
        </w:rPr>
        <w:t>использовать</w:t>
      </w:r>
      <w:r>
        <w:rPr>
          <w:color w:val="231F20"/>
          <w:spacing w:val="-5"/>
          <w:sz w:val="20"/>
        </w:rPr>
        <w:t> </w:t>
      </w:r>
      <w:r>
        <w:rPr>
          <w:color w:val="231F20"/>
          <w:sz w:val="20"/>
        </w:rPr>
        <w:t>определения</w:t>
      </w:r>
      <w:r>
        <w:rPr>
          <w:color w:val="231F20"/>
          <w:spacing w:val="-5"/>
          <w:sz w:val="20"/>
        </w:rPr>
        <w:t> </w:t>
      </w:r>
      <w:r>
        <w:rPr>
          <w:color w:val="231F20"/>
          <w:sz w:val="20"/>
        </w:rPr>
        <w:t>стратегий,</w:t>
      </w:r>
      <w:r>
        <w:rPr>
          <w:color w:val="231F20"/>
          <w:spacing w:val="-5"/>
          <w:sz w:val="20"/>
        </w:rPr>
        <w:t> </w:t>
      </w:r>
      <w:r>
        <w:rPr>
          <w:color w:val="231F20"/>
          <w:sz w:val="20"/>
        </w:rPr>
        <w:t>представ- ленные</w:t>
      </w:r>
      <w:r>
        <w:rPr>
          <w:color w:val="231F20"/>
          <w:spacing w:val="-13"/>
          <w:sz w:val="20"/>
        </w:rPr>
        <w:t> </w:t>
      </w:r>
      <w:r>
        <w:rPr>
          <w:color w:val="231F20"/>
          <w:sz w:val="20"/>
        </w:rPr>
        <w:t>в</w:t>
      </w:r>
      <w:r>
        <w:rPr>
          <w:color w:val="231F20"/>
          <w:spacing w:val="-12"/>
          <w:sz w:val="20"/>
        </w:rPr>
        <w:t> </w:t>
      </w:r>
      <w:r>
        <w:rPr>
          <w:color w:val="231F20"/>
          <w:sz w:val="20"/>
        </w:rPr>
        <w:t>описании</w:t>
      </w:r>
      <w:r>
        <w:rPr>
          <w:color w:val="231F20"/>
          <w:spacing w:val="-13"/>
          <w:sz w:val="20"/>
        </w:rPr>
        <w:t> </w:t>
      </w:r>
      <w:r>
        <w:rPr>
          <w:color w:val="231F20"/>
          <w:sz w:val="20"/>
        </w:rPr>
        <w:t>теста</w:t>
      </w:r>
      <w:r>
        <w:rPr>
          <w:color w:val="231F20"/>
          <w:spacing w:val="-12"/>
          <w:sz w:val="20"/>
        </w:rPr>
        <w:t> </w:t>
      </w:r>
      <w:r>
        <w:rPr>
          <w:color w:val="231F20"/>
          <w:sz w:val="20"/>
        </w:rPr>
        <w:t>(см.</w:t>
      </w:r>
      <w:r>
        <w:rPr>
          <w:color w:val="231F20"/>
          <w:spacing w:val="-13"/>
          <w:sz w:val="20"/>
        </w:rPr>
        <w:t> </w:t>
      </w:r>
      <w:r>
        <w:rPr>
          <w:color w:val="231F20"/>
          <w:sz w:val="20"/>
        </w:rPr>
        <w:t>Методику</w:t>
      </w:r>
      <w:r>
        <w:rPr>
          <w:color w:val="231F20"/>
          <w:spacing w:val="-12"/>
          <w:sz w:val="20"/>
        </w:rPr>
        <w:t> </w:t>
      </w:r>
      <w:r>
        <w:rPr>
          <w:color w:val="231F20"/>
          <w:sz w:val="20"/>
        </w:rPr>
        <w:t>Томаса-Килманна</w:t>
      </w:r>
      <w:r>
        <w:rPr>
          <w:color w:val="231F20"/>
          <w:spacing w:val="-13"/>
          <w:sz w:val="20"/>
        </w:rPr>
        <w:t> </w:t>
      </w:r>
      <w:r>
        <w:rPr>
          <w:color w:val="231F20"/>
          <w:sz w:val="20"/>
        </w:rPr>
        <w:t>на</w:t>
      </w:r>
      <w:r>
        <w:rPr>
          <w:color w:val="231F20"/>
          <w:spacing w:val="-12"/>
          <w:sz w:val="20"/>
        </w:rPr>
        <w:t> </w:t>
      </w:r>
      <w:r>
        <w:rPr>
          <w:color w:val="231F20"/>
          <w:sz w:val="20"/>
        </w:rPr>
        <w:t>выявление</w:t>
      </w:r>
      <w:r>
        <w:rPr>
          <w:color w:val="231F20"/>
          <w:spacing w:val="-13"/>
          <w:sz w:val="20"/>
        </w:rPr>
        <w:t> </w:t>
      </w:r>
      <w:r>
        <w:rPr>
          <w:color w:val="231F20"/>
          <w:sz w:val="20"/>
        </w:rPr>
        <w:t>ведущего поведения</w:t>
      </w:r>
      <w:r>
        <w:rPr>
          <w:color w:val="231F20"/>
          <w:spacing w:val="-1"/>
          <w:sz w:val="20"/>
        </w:rPr>
        <w:t> </w:t>
      </w:r>
      <w:r>
        <w:rPr>
          <w:color w:val="231F20"/>
          <w:sz w:val="20"/>
        </w:rPr>
        <w:t>в</w:t>
      </w:r>
      <w:r>
        <w:rPr>
          <w:color w:val="231F20"/>
          <w:spacing w:val="-1"/>
          <w:sz w:val="20"/>
        </w:rPr>
        <w:t> </w:t>
      </w:r>
      <w:r>
        <w:rPr>
          <w:color w:val="231F20"/>
          <w:sz w:val="20"/>
        </w:rPr>
        <w:t>конфликтной</w:t>
      </w:r>
      <w:r>
        <w:rPr>
          <w:color w:val="231F20"/>
          <w:spacing w:val="-1"/>
          <w:sz w:val="20"/>
        </w:rPr>
        <w:t> </w:t>
      </w:r>
      <w:r>
        <w:rPr>
          <w:color w:val="231F20"/>
          <w:sz w:val="20"/>
        </w:rPr>
        <w:t>ситуации).</w:t>
      </w:r>
      <w:r>
        <w:rPr>
          <w:color w:val="231F20"/>
          <w:spacing w:val="-1"/>
          <w:sz w:val="20"/>
        </w:rPr>
        <w:t> </w:t>
      </w:r>
      <w:r>
        <w:rPr>
          <w:color w:val="231F20"/>
          <w:sz w:val="20"/>
        </w:rPr>
        <w:t>Если</w:t>
      </w:r>
      <w:r>
        <w:rPr>
          <w:color w:val="231F20"/>
          <w:spacing w:val="-1"/>
          <w:sz w:val="20"/>
        </w:rPr>
        <w:t> </w:t>
      </w:r>
      <w:r>
        <w:rPr>
          <w:color w:val="231F20"/>
          <w:sz w:val="20"/>
        </w:rPr>
        <w:t>есть</w:t>
      </w:r>
      <w:r>
        <w:rPr>
          <w:color w:val="231F20"/>
          <w:spacing w:val="-1"/>
          <w:sz w:val="20"/>
        </w:rPr>
        <w:t> </w:t>
      </w:r>
      <w:r>
        <w:rPr>
          <w:color w:val="231F20"/>
          <w:sz w:val="20"/>
        </w:rPr>
        <w:t>время</w:t>
      </w:r>
      <w:r>
        <w:rPr>
          <w:color w:val="231F20"/>
          <w:spacing w:val="-1"/>
          <w:sz w:val="20"/>
        </w:rPr>
        <w:t> </w:t>
      </w:r>
      <w:r>
        <w:rPr>
          <w:color w:val="231F20"/>
          <w:sz w:val="20"/>
        </w:rPr>
        <w:t>и/или</w:t>
      </w:r>
      <w:r>
        <w:rPr>
          <w:color w:val="231F20"/>
          <w:spacing w:val="-1"/>
          <w:sz w:val="20"/>
        </w:rPr>
        <w:t> </w:t>
      </w:r>
      <w:r>
        <w:rPr>
          <w:color w:val="231F20"/>
          <w:sz w:val="20"/>
        </w:rPr>
        <w:t>подросток</w:t>
      </w:r>
      <w:r>
        <w:rPr>
          <w:color w:val="231F20"/>
          <w:spacing w:val="-1"/>
          <w:sz w:val="20"/>
        </w:rPr>
        <w:t> </w:t>
      </w:r>
      <w:r>
        <w:rPr>
          <w:color w:val="231F20"/>
          <w:sz w:val="20"/>
        </w:rPr>
        <w:t>любит</w:t>
      </w:r>
      <w:r>
        <w:rPr>
          <w:color w:val="231F20"/>
          <w:spacing w:val="-1"/>
          <w:sz w:val="20"/>
        </w:rPr>
        <w:t> </w:t>
      </w:r>
      <w:r>
        <w:rPr>
          <w:color w:val="231F20"/>
          <w:sz w:val="20"/>
        </w:rPr>
        <w:t>те- стирование, можно провести соответствующий тест, однако это не обязательно.</w:t>
      </w:r>
    </w:p>
    <w:p>
      <w:pPr>
        <w:pStyle w:val="ListParagraph"/>
        <w:numPr>
          <w:ilvl w:val="0"/>
          <w:numId w:val="210"/>
        </w:numPr>
        <w:tabs>
          <w:tab w:pos="423" w:val="left" w:leader="none"/>
        </w:tabs>
        <w:spacing w:line="225" w:lineRule="exact" w:before="45" w:after="0"/>
        <w:ind w:left="423" w:right="0" w:hanging="282"/>
        <w:jc w:val="both"/>
        <w:rPr>
          <w:sz w:val="20"/>
        </w:rPr>
      </w:pPr>
      <w:r>
        <w:rPr>
          <w:color w:val="231F20"/>
          <w:spacing w:val="-4"/>
          <w:sz w:val="20"/>
        </w:rPr>
        <w:t>После</w:t>
      </w:r>
      <w:r>
        <w:rPr>
          <w:color w:val="231F20"/>
          <w:spacing w:val="-5"/>
          <w:sz w:val="20"/>
        </w:rPr>
        <w:t> </w:t>
      </w:r>
      <w:r>
        <w:rPr>
          <w:color w:val="231F20"/>
          <w:spacing w:val="-4"/>
          <w:sz w:val="20"/>
        </w:rPr>
        <w:t>рассказа о стратегиях психолог выстраивает диалог по следующим вопросам:</w:t>
      </w:r>
    </w:p>
    <w:p>
      <w:pPr>
        <w:spacing w:line="220" w:lineRule="exact" w:before="0"/>
        <w:ind w:left="425" w:right="0" w:firstLine="0"/>
        <w:jc w:val="both"/>
        <w:rPr>
          <w:i/>
          <w:sz w:val="20"/>
        </w:rPr>
      </w:pPr>
      <w:r>
        <w:rPr>
          <w:i/>
          <w:color w:val="231F20"/>
          <w:sz w:val="20"/>
        </w:rPr>
        <w:t>−</w:t>
      </w:r>
      <w:r>
        <w:rPr>
          <w:i/>
          <w:color w:val="231F20"/>
          <w:spacing w:val="-4"/>
          <w:sz w:val="20"/>
        </w:rPr>
        <w:t> </w:t>
      </w:r>
      <w:r>
        <w:rPr>
          <w:i/>
          <w:color w:val="231F20"/>
          <w:sz w:val="20"/>
        </w:rPr>
        <w:t>Какую</w:t>
      </w:r>
      <w:r>
        <w:rPr>
          <w:i/>
          <w:color w:val="231F20"/>
          <w:spacing w:val="-5"/>
          <w:sz w:val="20"/>
        </w:rPr>
        <w:t> </w:t>
      </w:r>
      <w:r>
        <w:rPr>
          <w:i/>
          <w:color w:val="231F20"/>
          <w:sz w:val="20"/>
        </w:rPr>
        <w:t>стратегию</w:t>
      </w:r>
      <w:r>
        <w:rPr>
          <w:i/>
          <w:color w:val="231F20"/>
          <w:spacing w:val="-4"/>
          <w:sz w:val="20"/>
        </w:rPr>
        <w:t> </w:t>
      </w:r>
      <w:r>
        <w:rPr>
          <w:i/>
          <w:color w:val="231F20"/>
          <w:sz w:val="20"/>
        </w:rPr>
        <w:t>ты</w:t>
      </w:r>
      <w:r>
        <w:rPr>
          <w:i/>
          <w:color w:val="231F20"/>
          <w:spacing w:val="-4"/>
          <w:sz w:val="20"/>
        </w:rPr>
        <w:t> </w:t>
      </w:r>
      <w:r>
        <w:rPr>
          <w:i/>
          <w:color w:val="231F20"/>
          <w:sz w:val="20"/>
        </w:rPr>
        <w:t>используешь</w:t>
      </w:r>
      <w:r>
        <w:rPr>
          <w:i/>
          <w:color w:val="231F20"/>
          <w:spacing w:val="-5"/>
          <w:sz w:val="20"/>
        </w:rPr>
        <w:t> </w:t>
      </w:r>
      <w:r>
        <w:rPr>
          <w:i/>
          <w:color w:val="231F20"/>
          <w:sz w:val="20"/>
        </w:rPr>
        <w:t>чаще</w:t>
      </w:r>
      <w:r>
        <w:rPr>
          <w:i/>
          <w:color w:val="231F20"/>
          <w:spacing w:val="-3"/>
          <w:sz w:val="20"/>
        </w:rPr>
        <w:t> </w:t>
      </w:r>
      <w:r>
        <w:rPr>
          <w:i/>
          <w:color w:val="231F20"/>
          <w:spacing w:val="-2"/>
          <w:sz w:val="20"/>
        </w:rPr>
        <w:t>всего?</w:t>
      </w:r>
    </w:p>
    <w:p>
      <w:pPr>
        <w:spacing w:line="223" w:lineRule="exact" w:before="0"/>
        <w:ind w:left="425" w:right="0" w:firstLine="0"/>
        <w:jc w:val="both"/>
        <w:rPr>
          <w:i/>
          <w:sz w:val="20"/>
        </w:rPr>
      </w:pPr>
      <w:r>
        <w:rPr>
          <w:i/>
          <w:color w:val="231F20"/>
          <w:sz w:val="20"/>
        </w:rPr>
        <w:t>−</w:t>
      </w:r>
      <w:r>
        <w:rPr>
          <w:i/>
          <w:color w:val="231F20"/>
          <w:spacing w:val="-4"/>
          <w:sz w:val="20"/>
        </w:rPr>
        <w:t> </w:t>
      </w:r>
      <w:r>
        <w:rPr>
          <w:i/>
          <w:color w:val="231F20"/>
          <w:sz w:val="20"/>
        </w:rPr>
        <w:t>Какая</w:t>
      </w:r>
      <w:r>
        <w:rPr>
          <w:i/>
          <w:color w:val="231F20"/>
          <w:spacing w:val="-3"/>
          <w:sz w:val="20"/>
        </w:rPr>
        <w:t> </w:t>
      </w:r>
      <w:r>
        <w:rPr>
          <w:i/>
          <w:color w:val="231F20"/>
          <w:sz w:val="20"/>
        </w:rPr>
        <w:t>стратегия</w:t>
      </w:r>
      <w:r>
        <w:rPr>
          <w:i/>
          <w:color w:val="231F20"/>
          <w:spacing w:val="-3"/>
          <w:sz w:val="20"/>
        </w:rPr>
        <w:t> </w:t>
      </w:r>
      <w:r>
        <w:rPr>
          <w:i/>
          <w:color w:val="231F20"/>
          <w:sz w:val="20"/>
        </w:rPr>
        <w:t>тебе</w:t>
      </w:r>
      <w:r>
        <w:rPr>
          <w:i/>
          <w:color w:val="231F20"/>
          <w:spacing w:val="-3"/>
          <w:sz w:val="20"/>
        </w:rPr>
        <w:t> </w:t>
      </w:r>
      <w:r>
        <w:rPr>
          <w:i/>
          <w:color w:val="231F20"/>
          <w:sz w:val="20"/>
        </w:rPr>
        <w:t>нравится</w:t>
      </w:r>
      <w:r>
        <w:rPr>
          <w:i/>
          <w:color w:val="231F20"/>
          <w:spacing w:val="-3"/>
          <w:sz w:val="20"/>
        </w:rPr>
        <w:t> </w:t>
      </w:r>
      <w:r>
        <w:rPr>
          <w:i/>
          <w:color w:val="231F20"/>
          <w:sz w:val="20"/>
        </w:rPr>
        <w:t>больше</w:t>
      </w:r>
      <w:r>
        <w:rPr>
          <w:i/>
          <w:color w:val="231F20"/>
          <w:spacing w:val="-3"/>
          <w:sz w:val="20"/>
        </w:rPr>
        <w:t> </w:t>
      </w:r>
      <w:r>
        <w:rPr>
          <w:i/>
          <w:color w:val="231F20"/>
          <w:sz w:val="20"/>
        </w:rPr>
        <w:t>всего?</w:t>
      </w:r>
      <w:r>
        <w:rPr>
          <w:i/>
          <w:color w:val="231F20"/>
          <w:spacing w:val="-3"/>
          <w:sz w:val="20"/>
        </w:rPr>
        <w:t> </w:t>
      </w:r>
      <w:r>
        <w:rPr>
          <w:i/>
          <w:color w:val="231F20"/>
          <w:sz w:val="20"/>
        </w:rPr>
        <w:t>Чем</w:t>
      </w:r>
      <w:r>
        <w:rPr>
          <w:i/>
          <w:color w:val="231F20"/>
          <w:spacing w:val="-4"/>
          <w:sz w:val="20"/>
        </w:rPr>
        <w:t> </w:t>
      </w:r>
      <w:r>
        <w:rPr>
          <w:i/>
          <w:color w:val="231F20"/>
          <w:sz w:val="20"/>
        </w:rPr>
        <w:t>она</w:t>
      </w:r>
      <w:r>
        <w:rPr>
          <w:i/>
          <w:color w:val="231F20"/>
          <w:spacing w:val="-3"/>
          <w:sz w:val="20"/>
        </w:rPr>
        <w:t> </w:t>
      </w:r>
      <w:r>
        <w:rPr>
          <w:i/>
          <w:color w:val="231F20"/>
          <w:sz w:val="20"/>
        </w:rPr>
        <w:t>тебе</w:t>
      </w:r>
      <w:r>
        <w:rPr>
          <w:i/>
          <w:color w:val="231F20"/>
          <w:spacing w:val="-3"/>
          <w:sz w:val="20"/>
        </w:rPr>
        <w:t> </w:t>
      </w:r>
      <w:r>
        <w:rPr>
          <w:i/>
          <w:color w:val="231F20"/>
          <w:spacing w:val="-2"/>
          <w:sz w:val="20"/>
        </w:rPr>
        <w:t>нравится?</w:t>
      </w:r>
    </w:p>
    <w:p>
      <w:pPr>
        <w:spacing w:line="235" w:lineRule="auto" w:before="2"/>
        <w:ind w:left="141" w:right="139" w:firstLine="283"/>
        <w:jc w:val="both"/>
        <w:rPr>
          <w:i/>
          <w:sz w:val="20"/>
        </w:rPr>
      </w:pPr>
      <w:r>
        <w:rPr>
          <w:i/>
          <w:color w:val="231F20"/>
          <w:sz w:val="20"/>
        </w:rPr>
        <w:t>− Как ты думаешь, существует ли наилучшая стратегия? Авторы теста счи- тают, что лучшая стратегия – сотрудничество. Насколько ты с ними согласен?</w:t>
      </w:r>
    </w:p>
    <w:p>
      <w:pPr>
        <w:spacing w:after="0" w:line="235" w:lineRule="auto"/>
        <w:jc w:val="both"/>
        <w:rPr>
          <w:i/>
          <w:sz w:val="20"/>
        </w:rPr>
        <w:sectPr>
          <w:pgSz w:w="8400" w:h="11910"/>
          <w:pgMar w:header="0" w:footer="529" w:top="400" w:bottom="740" w:left="425" w:right="425"/>
        </w:sectPr>
      </w:pPr>
    </w:p>
    <w:p>
      <w:pPr>
        <w:pStyle w:val="ListParagraph"/>
        <w:numPr>
          <w:ilvl w:val="1"/>
          <w:numId w:val="211"/>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Приемы</w:t>
      </w:r>
      <w:r>
        <w:rPr>
          <w:rFonts w:ascii="Georgia" w:hAnsi="Georgia"/>
          <w:color w:val="231F20"/>
          <w:spacing w:val="1"/>
          <w:sz w:val="18"/>
        </w:rPr>
        <w:t> </w:t>
      </w:r>
      <w:r>
        <w:rPr>
          <w:rFonts w:ascii="Georgia" w:hAnsi="Georgia"/>
          <w:color w:val="231F20"/>
          <w:sz w:val="18"/>
        </w:rPr>
        <w:t>работы</w:t>
      </w:r>
      <w:r>
        <w:rPr>
          <w:rFonts w:ascii="Georgia" w:hAnsi="Georgia"/>
          <w:color w:val="231F20"/>
          <w:spacing w:val="2"/>
          <w:sz w:val="18"/>
        </w:rPr>
        <w:t> </w:t>
      </w:r>
      <w:r>
        <w:rPr>
          <w:rFonts w:ascii="Georgia" w:hAnsi="Georgia"/>
          <w:color w:val="231F20"/>
          <w:sz w:val="18"/>
        </w:rPr>
        <w:t>с</w:t>
      </w:r>
      <w:r>
        <w:rPr>
          <w:rFonts w:ascii="Georgia" w:hAnsi="Georgia"/>
          <w:color w:val="231F20"/>
          <w:spacing w:val="2"/>
          <w:sz w:val="18"/>
        </w:rPr>
        <w:t> </w:t>
      </w:r>
      <w:r>
        <w:rPr>
          <w:rFonts w:ascii="Georgia" w:hAnsi="Georgia"/>
          <w:color w:val="231F20"/>
          <w:sz w:val="18"/>
        </w:rPr>
        <w:t>психологической</w:t>
      </w:r>
      <w:r>
        <w:rPr>
          <w:rFonts w:ascii="Georgia" w:hAnsi="Georgia"/>
          <w:color w:val="231F20"/>
          <w:spacing w:val="2"/>
          <w:sz w:val="18"/>
        </w:rPr>
        <w:t> </w:t>
      </w:r>
      <w:r>
        <w:rPr>
          <w:rFonts w:ascii="Georgia" w:hAnsi="Georgia"/>
          <w:color w:val="231F20"/>
          <w:spacing w:val="-2"/>
          <w:sz w:val="18"/>
        </w:rPr>
        <w:t>травмой</w:t>
      </w:r>
    </w:p>
    <w:p>
      <w:pPr>
        <w:pStyle w:val="ListParagraph"/>
        <w:numPr>
          <w:ilvl w:val="0"/>
          <w:numId w:val="210"/>
        </w:numPr>
        <w:tabs>
          <w:tab w:pos="423" w:val="left" w:leader="none"/>
          <w:tab w:pos="425" w:val="left" w:leader="none"/>
        </w:tabs>
        <w:spacing w:line="235" w:lineRule="auto" w:before="116" w:after="0"/>
        <w:ind w:left="425" w:right="139" w:hanging="284"/>
        <w:jc w:val="both"/>
        <w:rPr>
          <w:sz w:val="20"/>
        </w:rPr>
      </w:pPr>
      <w:r>
        <w:rPr>
          <w:color w:val="231F20"/>
          <w:sz w:val="20"/>
        </w:rPr>
        <w:t>Психолог</w:t>
      </w:r>
      <w:r>
        <w:rPr>
          <w:color w:val="231F20"/>
          <w:spacing w:val="-13"/>
          <w:sz w:val="20"/>
        </w:rPr>
        <w:t> </w:t>
      </w:r>
      <w:r>
        <w:rPr>
          <w:color w:val="231F20"/>
          <w:sz w:val="20"/>
        </w:rPr>
        <w:t>предлагает</w:t>
      </w:r>
      <w:r>
        <w:rPr>
          <w:color w:val="231F20"/>
          <w:spacing w:val="-12"/>
          <w:sz w:val="20"/>
        </w:rPr>
        <w:t> </w:t>
      </w:r>
      <w:r>
        <w:rPr>
          <w:color w:val="231F20"/>
          <w:sz w:val="20"/>
        </w:rPr>
        <w:t>выбрать</w:t>
      </w:r>
      <w:r>
        <w:rPr>
          <w:color w:val="231F20"/>
          <w:spacing w:val="-13"/>
          <w:sz w:val="20"/>
        </w:rPr>
        <w:t> </w:t>
      </w:r>
      <w:r>
        <w:rPr>
          <w:color w:val="231F20"/>
          <w:sz w:val="20"/>
        </w:rPr>
        <w:t>любую</w:t>
      </w:r>
      <w:r>
        <w:rPr>
          <w:color w:val="231F20"/>
          <w:spacing w:val="-12"/>
          <w:sz w:val="20"/>
        </w:rPr>
        <w:t> </w:t>
      </w:r>
      <w:r>
        <w:rPr>
          <w:color w:val="231F20"/>
          <w:sz w:val="20"/>
        </w:rPr>
        <w:t>конфликтную</w:t>
      </w:r>
      <w:r>
        <w:rPr>
          <w:color w:val="231F20"/>
          <w:spacing w:val="-13"/>
          <w:sz w:val="20"/>
        </w:rPr>
        <w:t> </w:t>
      </w:r>
      <w:r>
        <w:rPr>
          <w:color w:val="231F20"/>
          <w:sz w:val="20"/>
        </w:rPr>
        <w:t>ситуацию</w:t>
      </w:r>
      <w:r>
        <w:rPr>
          <w:color w:val="231F20"/>
          <w:spacing w:val="-12"/>
          <w:sz w:val="20"/>
        </w:rPr>
        <w:t> </w:t>
      </w:r>
      <w:r>
        <w:rPr>
          <w:color w:val="231F20"/>
          <w:sz w:val="20"/>
        </w:rPr>
        <w:t>из</w:t>
      </w:r>
      <w:r>
        <w:rPr>
          <w:color w:val="231F20"/>
          <w:spacing w:val="-13"/>
          <w:sz w:val="20"/>
        </w:rPr>
        <w:t> </w:t>
      </w:r>
      <w:r>
        <w:rPr>
          <w:color w:val="231F20"/>
          <w:sz w:val="20"/>
        </w:rPr>
        <w:t>жизни</w:t>
      </w:r>
      <w:r>
        <w:rPr>
          <w:color w:val="231F20"/>
          <w:spacing w:val="-12"/>
          <w:sz w:val="20"/>
        </w:rPr>
        <w:t> </w:t>
      </w:r>
      <w:r>
        <w:rPr>
          <w:color w:val="231F20"/>
          <w:sz w:val="20"/>
        </w:rPr>
        <w:t>подростка (с одноклассниками, учителями, взрослыми из семьи) и разыграть сценку, как он может себя вести, используя все пять стратегий. Для разыгрывания можно при- менять игрушки, используя их в качестве актеров. Разыгрывается пять сцен – по одной на каждую стратегию поведения в конфликте.</w:t>
      </w:r>
    </w:p>
    <w:p>
      <w:pPr>
        <w:pStyle w:val="ListParagraph"/>
        <w:numPr>
          <w:ilvl w:val="0"/>
          <w:numId w:val="210"/>
        </w:numPr>
        <w:tabs>
          <w:tab w:pos="423" w:val="left" w:leader="none"/>
          <w:tab w:pos="425" w:val="left" w:leader="none"/>
        </w:tabs>
        <w:spacing w:line="235" w:lineRule="auto" w:before="60" w:after="0"/>
        <w:ind w:left="425" w:right="139" w:hanging="284"/>
        <w:jc w:val="both"/>
        <w:rPr>
          <w:sz w:val="20"/>
        </w:rPr>
      </w:pPr>
      <w:r>
        <w:rPr>
          <w:color w:val="231F20"/>
          <w:sz w:val="20"/>
        </w:rPr>
        <w:t>Психолог</w:t>
      </w:r>
      <w:r>
        <w:rPr>
          <w:color w:val="231F20"/>
          <w:spacing w:val="-12"/>
          <w:sz w:val="20"/>
        </w:rPr>
        <w:t> </w:t>
      </w:r>
      <w:r>
        <w:rPr>
          <w:color w:val="231F20"/>
          <w:sz w:val="20"/>
        </w:rPr>
        <w:t>предлагает</w:t>
      </w:r>
      <w:r>
        <w:rPr>
          <w:color w:val="231F20"/>
          <w:spacing w:val="-12"/>
          <w:sz w:val="20"/>
        </w:rPr>
        <w:t> </w:t>
      </w:r>
      <w:r>
        <w:rPr>
          <w:color w:val="231F20"/>
          <w:sz w:val="20"/>
        </w:rPr>
        <w:t>обсуждение,</w:t>
      </w:r>
      <w:r>
        <w:rPr>
          <w:color w:val="231F20"/>
          <w:spacing w:val="-12"/>
          <w:sz w:val="20"/>
        </w:rPr>
        <w:t> </w:t>
      </w:r>
      <w:r>
        <w:rPr>
          <w:color w:val="231F20"/>
          <w:sz w:val="20"/>
        </w:rPr>
        <w:t>задачей</w:t>
      </w:r>
      <w:r>
        <w:rPr>
          <w:color w:val="231F20"/>
          <w:spacing w:val="-12"/>
          <w:sz w:val="20"/>
        </w:rPr>
        <w:t> </w:t>
      </w:r>
      <w:r>
        <w:rPr>
          <w:color w:val="231F20"/>
          <w:sz w:val="20"/>
        </w:rPr>
        <w:t>которого</w:t>
      </w:r>
      <w:r>
        <w:rPr>
          <w:color w:val="231F20"/>
          <w:spacing w:val="-12"/>
          <w:sz w:val="20"/>
        </w:rPr>
        <w:t> </w:t>
      </w:r>
      <w:r>
        <w:rPr>
          <w:color w:val="231F20"/>
          <w:sz w:val="20"/>
        </w:rPr>
        <w:t>является</w:t>
      </w:r>
      <w:r>
        <w:rPr>
          <w:color w:val="231F20"/>
          <w:spacing w:val="-12"/>
          <w:sz w:val="20"/>
        </w:rPr>
        <w:t> </w:t>
      </w:r>
      <w:r>
        <w:rPr>
          <w:color w:val="231F20"/>
          <w:sz w:val="20"/>
        </w:rPr>
        <w:t>освоение</w:t>
      </w:r>
      <w:r>
        <w:rPr>
          <w:color w:val="231F20"/>
          <w:spacing w:val="-12"/>
          <w:sz w:val="20"/>
        </w:rPr>
        <w:t> </w:t>
      </w:r>
      <w:r>
        <w:rPr>
          <w:color w:val="231F20"/>
          <w:sz w:val="20"/>
        </w:rPr>
        <w:t>различных поведенческих</w:t>
      </w:r>
      <w:r>
        <w:rPr>
          <w:color w:val="231F20"/>
          <w:spacing w:val="-13"/>
          <w:sz w:val="20"/>
        </w:rPr>
        <w:t> </w:t>
      </w:r>
      <w:r>
        <w:rPr>
          <w:color w:val="231F20"/>
          <w:sz w:val="20"/>
        </w:rPr>
        <w:t>стратегий,</w:t>
      </w:r>
      <w:r>
        <w:rPr>
          <w:color w:val="231F20"/>
          <w:spacing w:val="-12"/>
          <w:sz w:val="20"/>
        </w:rPr>
        <w:t> </w:t>
      </w:r>
      <w:r>
        <w:rPr>
          <w:color w:val="231F20"/>
          <w:sz w:val="20"/>
        </w:rPr>
        <w:t>расширение</w:t>
      </w:r>
      <w:r>
        <w:rPr>
          <w:color w:val="231F20"/>
          <w:spacing w:val="-13"/>
          <w:sz w:val="20"/>
        </w:rPr>
        <w:t> </w:t>
      </w:r>
      <w:r>
        <w:rPr>
          <w:color w:val="231F20"/>
          <w:sz w:val="20"/>
        </w:rPr>
        <w:t>репертуара</w:t>
      </w:r>
      <w:r>
        <w:rPr>
          <w:color w:val="231F20"/>
          <w:spacing w:val="-12"/>
          <w:sz w:val="20"/>
        </w:rPr>
        <w:t> </w:t>
      </w:r>
      <w:r>
        <w:rPr>
          <w:color w:val="231F20"/>
          <w:sz w:val="20"/>
        </w:rPr>
        <w:t>поведения</w:t>
      </w:r>
      <w:r>
        <w:rPr>
          <w:color w:val="231F20"/>
          <w:spacing w:val="-13"/>
          <w:sz w:val="20"/>
        </w:rPr>
        <w:t> </w:t>
      </w:r>
      <w:r>
        <w:rPr>
          <w:color w:val="231F20"/>
          <w:sz w:val="20"/>
        </w:rPr>
        <w:t>подростка</w:t>
      </w:r>
      <w:r>
        <w:rPr>
          <w:color w:val="231F20"/>
          <w:spacing w:val="-12"/>
          <w:sz w:val="20"/>
        </w:rPr>
        <w:t> </w:t>
      </w:r>
      <w:r>
        <w:rPr>
          <w:color w:val="231F20"/>
          <w:sz w:val="20"/>
        </w:rPr>
        <w:t>в</w:t>
      </w:r>
      <w:r>
        <w:rPr>
          <w:color w:val="231F20"/>
          <w:spacing w:val="-13"/>
          <w:sz w:val="20"/>
        </w:rPr>
        <w:t> </w:t>
      </w:r>
      <w:r>
        <w:rPr>
          <w:color w:val="231F20"/>
          <w:sz w:val="20"/>
        </w:rPr>
        <w:t>социуме и</w:t>
      </w:r>
      <w:r>
        <w:rPr>
          <w:color w:val="231F20"/>
          <w:spacing w:val="-1"/>
          <w:sz w:val="20"/>
        </w:rPr>
        <w:t> </w:t>
      </w:r>
      <w:r>
        <w:rPr>
          <w:color w:val="231F20"/>
          <w:sz w:val="20"/>
        </w:rPr>
        <w:t>осознание</w:t>
      </w:r>
      <w:r>
        <w:rPr>
          <w:color w:val="231F20"/>
          <w:spacing w:val="-1"/>
          <w:sz w:val="20"/>
        </w:rPr>
        <w:t> </w:t>
      </w:r>
      <w:r>
        <w:rPr>
          <w:color w:val="231F20"/>
          <w:sz w:val="20"/>
        </w:rPr>
        <w:t>применимости</w:t>
      </w:r>
      <w:r>
        <w:rPr>
          <w:color w:val="231F20"/>
          <w:spacing w:val="-1"/>
          <w:sz w:val="20"/>
        </w:rPr>
        <w:t> </w:t>
      </w:r>
      <w:r>
        <w:rPr>
          <w:color w:val="231F20"/>
          <w:sz w:val="20"/>
        </w:rPr>
        <w:t>той</w:t>
      </w:r>
      <w:r>
        <w:rPr>
          <w:color w:val="231F20"/>
          <w:spacing w:val="-1"/>
          <w:sz w:val="20"/>
        </w:rPr>
        <w:t> </w:t>
      </w:r>
      <w:r>
        <w:rPr>
          <w:color w:val="231F20"/>
          <w:sz w:val="20"/>
        </w:rPr>
        <w:t>или</w:t>
      </w:r>
      <w:r>
        <w:rPr>
          <w:color w:val="231F20"/>
          <w:spacing w:val="-1"/>
          <w:sz w:val="20"/>
        </w:rPr>
        <w:t> </w:t>
      </w:r>
      <w:r>
        <w:rPr>
          <w:color w:val="231F20"/>
          <w:sz w:val="20"/>
        </w:rPr>
        <w:t>иной</w:t>
      </w:r>
      <w:r>
        <w:rPr>
          <w:color w:val="231F20"/>
          <w:spacing w:val="-1"/>
          <w:sz w:val="20"/>
        </w:rPr>
        <w:t> </w:t>
      </w:r>
      <w:r>
        <w:rPr>
          <w:color w:val="231F20"/>
          <w:sz w:val="20"/>
        </w:rPr>
        <w:t>стратегии</w:t>
      </w:r>
      <w:r>
        <w:rPr>
          <w:color w:val="231F20"/>
          <w:spacing w:val="-1"/>
          <w:sz w:val="20"/>
        </w:rPr>
        <w:t> </w:t>
      </w:r>
      <w:r>
        <w:rPr>
          <w:color w:val="231F20"/>
          <w:sz w:val="20"/>
        </w:rPr>
        <w:t>к</w:t>
      </w:r>
      <w:r>
        <w:rPr>
          <w:color w:val="231F20"/>
          <w:spacing w:val="-1"/>
          <w:sz w:val="20"/>
        </w:rPr>
        <w:t> </w:t>
      </w:r>
      <w:r>
        <w:rPr>
          <w:color w:val="231F20"/>
          <w:sz w:val="20"/>
        </w:rPr>
        <w:t>конкретной</w:t>
      </w:r>
      <w:r>
        <w:rPr>
          <w:color w:val="231F20"/>
          <w:spacing w:val="-1"/>
          <w:sz w:val="20"/>
        </w:rPr>
        <w:t> </w:t>
      </w:r>
      <w:r>
        <w:rPr>
          <w:color w:val="231F20"/>
          <w:sz w:val="20"/>
        </w:rPr>
        <w:t>ситуации.</w:t>
      </w:r>
      <w:r>
        <w:rPr>
          <w:color w:val="231F20"/>
          <w:spacing w:val="-1"/>
          <w:sz w:val="20"/>
        </w:rPr>
        <w:t> </w:t>
      </w:r>
      <w:r>
        <w:rPr>
          <w:color w:val="231F20"/>
          <w:sz w:val="20"/>
        </w:rPr>
        <w:t>Важ- но обсудить:</w:t>
      </w:r>
    </w:p>
    <w:p>
      <w:pPr>
        <w:spacing w:line="227" w:lineRule="exact" w:before="0"/>
        <w:ind w:left="425" w:right="0" w:firstLine="0"/>
        <w:jc w:val="left"/>
        <w:rPr>
          <w:i/>
          <w:sz w:val="20"/>
        </w:rPr>
      </w:pPr>
      <w:r>
        <w:rPr>
          <w:i/>
          <w:color w:val="231F20"/>
          <w:sz w:val="20"/>
        </w:rPr>
        <w:t>−</w:t>
      </w:r>
      <w:r>
        <w:rPr>
          <w:i/>
          <w:color w:val="231F20"/>
          <w:spacing w:val="-6"/>
          <w:sz w:val="20"/>
        </w:rPr>
        <w:t> </w:t>
      </w:r>
      <w:r>
        <w:rPr>
          <w:i/>
          <w:color w:val="231F20"/>
          <w:sz w:val="20"/>
        </w:rPr>
        <w:t>Какой</w:t>
      </w:r>
      <w:r>
        <w:rPr>
          <w:i/>
          <w:color w:val="231F20"/>
          <w:spacing w:val="-6"/>
          <w:sz w:val="20"/>
        </w:rPr>
        <w:t> </w:t>
      </w:r>
      <w:r>
        <w:rPr>
          <w:i/>
          <w:color w:val="231F20"/>
          <w:sz w:val="20"/>
        </w:rPr>
        <w:t>способ/стратегия</w:t>
      </w:r>
      <w:r>
        <w:rPr>
          <w:i/>
          <w:color w:val="231F20"/>
          <w:spacing w:val="-6"/>
          <w:sz w:val="20"/>
        </w:rPr>
        <w:t> </w:t>
      </w:r>
      <w:r>
        <w:rPr>
          <w:i/>
          <w:color w:val="231F20"/>
          <w:sz w:val="20"/>
        </w:rPr>
        <w:t>больше</w:t>
      </w:r>
      <w:r>
        <w:rPr>
          <w:i/>
          <w:color w:val="231F20"/>
          <w:spacing w:val="-6"/>
          <w:sz w:val="20"/>
        </w:rPr>
        <w:t> </w:t>
      </w:r>
      <w:r>
        <w:rPr>
          <w:i/>
          <w:color w:val="231F20"/>
          <w:spacing w:val="-2"/>
          <w:sz w:val="20"/>
        </w:rPr>
        <w:t>нравится?</w:t>
      </w:r>
    </w:p>
    <w:p>
      <w:pPr>
        <w:spacing w:line="226" w:lineRule="exact" w:before="0"/>
        <w:ind w:left="425" w:right="0" w:firstLine="0"/>
        <w:jc w:val="left"/>
        <w:rPr>
          <w:i/>
          <w:sz w:val="20"/>
        </w:rPr>
      </w:pPr>
      <w:r>
        <w:rPr>
          <w:i/>
          <w:color w:val="231F20"/>
          <w:sz w:val="20"/>
        </w:rPr>
        <w:t>−</w:t>
      </w:r>
      <w:r>
        <w:rPr>
          <w:i/>
          <w:color w:val="231F20"/>
          <w:spacing w:val="-5"/>
          <w:sz w:val="20"/>
        </w:rPr>
        <w:t> </w:t>
      </w:r>
      <w:r>
        <w:rPr>
          <w:i/>
          <w:color w:val="231F20"/>
          <w:sz w:val="20"/>
        </w:rPr>
        <w:t>К</w:t>
      </w:r>
      <w:r>
        <w:rPr>
          <w:i/>
          <w:color w:val="231F20"/>
          <w:spacing w:val="-3"/>
          <w:sz w:val="20"/>
        </w:rPr>
        <w:t> </w:t>
      </w:r>
      <w:r>
        <w:rPr>
          <w:i/>
          <w:color w:val="231F20"/>
          <w:sz w:val="20"/>
        </w:rPr>
        <w:t>каким</w:t>
      </w:r>
      <w:r>
        <w:rPr>
          <w:i/>
          <w:color w:val="231F20"/>
          <w:spacing w:val="-4"/>
          <w:sz w:val="20"/>
        </w:rPr>
        <w:t> </w:t>
      </w:r>
      <w:r>
        <w:rPr>
          <w:i/>
          <w:color w:val="231F20"/>
          <w:sz w:val="20"/>
        </w:rPr>
        <w:t>последствиям</w:t>
      </w:r>
      <w:r>
        <w:rPr>
          <w:i/>
          <w:color w:val="231F20"/>
          <w:spacing w:val="-3"/>
          <w:sz w:val="20"/>
        </w:rPr>
        <w:t> </w:t>
      </w:r>
      <w:r>
        <w:rPr>
          <w:i/>
          <w:color w:val="231F20"/>
          <w:sz w:val="20"/>
        </w:rPr>
        <w:t>приведет</w:t>
      </w:r>
      <w:r>
        <w:rPr>
          <w:i/>
          <w:color w:val="231F20"/>
          <w:spacing w:val="-4"/>
          <w:sz w:val="20"/>
        </w:rPr>
        <w:t> </w:t>
      </w:r>
      <w:r>
        <w:rPr>
          <w:i/>
          <w:color w:val="231F20"/>
          <w:sz w:val="20"/>
        </w:rPr>
        <w:t>та</w:t>
      </w:r>
      <w:r>
        <w:rPr>
          <w:i/>
          <w:color w:val="231F20"/>
          <w:spacing w:val="-2"/>
          <w:sz w:val="20"/>
        </w:rPr>
        <w:t> </w:t>
      </w:r>
      <w:r>
        <w:rPr>
          <w:i/>
          <w:color w:val="231F20"/>
          <w:sz w:val="20"/>
        </w:rPr>
        <w:t>или</w:t>
      </w:r>
      <w:r>
        <w:rPr>
          <w:i/>
          <w:color w:val="231F20"/>
          <w:spacing w:val="-3"/>
          <w:sz w:val="20"/>
        </w:rPr>
        <w:t> </w:t>
      </w:r>
      <w:r>
        <w:rPr>
          <w:i/>
          <w:color w:val="231F20"/>
          <w:sz w:val="20"/>
        </w:rPr>
        <w:t>иная</w:t>
      </w:r>
      <w:r>
        <w:rPr>
          <w:i/>
          <w:color w:val="231F20"/>
          <w:spacing w:val="-2"/>
          <w:sz w:val="20"/>
        </w:rPr>
        <w:t> стратегия?</w:t>
      </w:r>
    </w:p>
    <w:p>
      <w:pPr>
        <w:spacing w:line="228" w:lineRule="exact" w:before="0"/>
        <w:ind w:left="425" w:right="0" w:firstLine="0"/>
        <w:jc w:val="left"/>
        <w:rPr>
          <w:i/>
          <w:sz w:val="20"/>
        </w:rPr>
      </w:pPr>
      <w:r>
        <w:rPr>
          <w:i/>
          <w:color w:val="231F20"/>
          <w:sz w:val="20"/>
        </w:rPr>
        <w:t>−</w:t>
      </w:r>
      <w:r>
        <w:rPr>
          <w:i/>
          <w:color w:val="231F20"/>
          <w:spacing w:val="-4"/>
          <w:sz w:val="20"/>
        </w:rPr>
        <w:t> </w:t>
      </w:r>
      <w:r>
        <w:rPr>
          <w:i/>
          <w:color w:val="231F20"/>
          <w:sz w:val="20"/>
        </w:rPr>
        <w:t>Плюсы</w:t>
      </w:r>
      <w:r>
        <w:rPr>
          <w:i/>
          <w:color w:val="231F20"/>
          <w:spacing w:val="-4"/>
          <w:sz w:val="20"/>
        </w:rPr>
        <w:t> </w:t>
      </w:r>
      <w:r>
        <w:rPr>
          <w:i/>
          <w:color w:val="231F20"/>
          <w:sz w:val="20"/>
        </w:rPr>
        <w:t>и</w:t>
      </w:r>
      <w:r>
        <w:rPr>
          <w:i/>
          <w:color w:val="231F20"/>
          <w:spacing w:val="-3"/>
          <w:sz w:val="20"/>
        </w:rPr>
        <w:t> </w:t>
      </w:r>
      <w:r>
        <w:rPr>
          <w:i/>
          <w:color w:val="231F20"/>
          <w:sz w:val="20"/>
        </w:rPr>
        <w:t>минусы</w:t>
      </w:r>
      <w:r>
        <w:rPr>
          <w:i/>
          <w:color w:val="231F20"/>
          <w:spacing w:val="-4"/>
          <w:sz w:val="20"/>
        </w:rPr>
        <w:t> </w:t>
      </w:r>
      <w:r>
        <w:rPr>
          <w:i/>
          <w:color w:val="231F20"/>
          <w:sz w:val="20"/>
        </w:rPr>
        <w:t>каждой</w:t>
      </w:r>
      <w:r>
        <w:rPr>
          <w:i/>
          <w:color w:val="231F20"/>
          <w:spacing w:val="-3"/>
          <w:sz w:val="20"/>
        </w:rPr>
        <w:t> </w:t>
      </w:r>
      <w:r>
        <w:rPr>
          <w:i/>
          <w:color w:val="231F20"/>
          <w:spacing w:val="-2"/>
          <w:sz w:val="20"/>
        </w:rPr>
        <w:t>стратегии.</w:t>
      </w:r>
    </w:p>
    <w:p>
      <w:pPr>
        <w:spacing w:after="0" w:line="228" w:lineRule="exact"/>
        <w:jc w:val="left"/>
        <w:rPr>
          <w:i/>
          <w:sz w:val="20"/>
        </w:rPr>
        <w:sectPr>
          <w:pgSz w:w="8400" w:h="11910"/>
          <w:pgMar w:header="0" w:footer="529" w:top="400" w:bottom="740" w:left="425" w:right="425"/>
        </w:sectPr>
      </w:pPr>
    </w:p>
    <w:p>
      <w:pPr>
        <w:spacing w:before="80"/>
        <w:ind w:left="141" w:right="139" w:firstLine="0"/>
        <w:jc w:val="right"/>
        <w:rPr>
          <w:rFonts w:ascii="Georgia" w:hAnsi="Georgia"/>
          <w:sz w:val="18"/>
        </w:rPr>
      </w:pPr>
      <w:bookmarkStart w:name="_bookmark75" w:id="77"/>
      <w:bookmarkEnd w:id="77"/>
      <w:r>
        <w:rPr/>
      </w:r>
      <w:r>
        <w:rPr>
          <w:rFonts w:ascii="Georgia" w:hAnsi="Georgia"/>
          <w:color w:val="231F20"/>
          <w:spacing w:val="-2"/>
          <w:sz w:val="18"/>
        </w:rPr>
        <w:t>Раздел</w:t>
      </w:r>
      <w:r>
        <w:rPr>
          <w:rFonts w:ascii="Georgia" w:hAnsi="Georgia"/>
          <w:color w:val="231F20"/>
          <w:spacing w:val="-5"/>
          <w:sz w:val="18"/>
        </w:rPr>
        <w:t> 1.</w:t>
      </w:r>
    </w:p>
    <w:p>
      <w:pPr>
        <w:numPr>
          <w:ilvl w:val="1"/>
          <w:numId w:val="204"/>
        </w:numPr>
        <w:tabs>
          <w:tab w:pos="558" w:val="left" w:leader="none"/>
        </w:tabs>
        <w:spacing w:before="109"/>
        <w:ind w:left="558" w:right="0" w:hanging="350"/>
        <w:jc w:val="left"/>
        <w:rPr>
          <w:b/>
          <w:color w:val="231F20"/>
          <w:sz w:val="20"/>
        </w:rPr>
      </w:pPr>
      <w:r>
        <w:rPr>
          <w:b/>
          <w:color w:val="231F20"/>
          <w:sz w:val="20"/>
        </w:rPr>
        <w:t>Метод</w:t>
      </w:r>
      <w:r>
        <w:rPr>
          <w:b/>
          <w:color w:val="231F20"/>
          <w:spacing w:val="-12"/>
          <w:sz w:val="20"/>
        </w:rPr>
        <w:t> </w:t>
      </w:r>
      <w:r>
        <w:rPr>
          <w:b/>
          <w:color w:val="231F20"/>
          <w:sz w:val="20"/>
        </w:rPr>
        <w:t>диалогического</w:t>
      </w:r>
      <w:r>
        <w:rPr>
          <w:b/>
          <w:color w:val="231F20"/>
          <w:spacing w:val="-9"/>
          <w:sz w:val="20"/>
        </w:rPr>
        <w:t> </w:t>
      </w:r>
      <w:r>
        <w:rPr>
          <w:b/>
          <w:color w:val="231F20"/>
          <w:sz w:val="20"/>
        </w:rPr>
        <w:t>рассказывания</w:t>
      </w:r>
      <w:r>
        <w:rPr>
          <w:b/>
          <w:color w:val="231F20"/>
          <w:spacing w:val="-9"/>
          <w:sz w:val="20"/>
        </w:rPr>
        <w:t> </w:t>
      </w:r>
      <w:r>
        <w:rPr>
          <w:b/>
          <w:color w:val="231F20"/>
          <w:sz w:val="20"/>
        </w:rPr>
        <w:t>историй:</w:t>
      </w:r>
      <w:r>
        <w:rPr>
          <w:b/>
          <w:color w:val="231F20"/>
          <w:spacing w:val="-9"/>
          <w:sz w:val="20"/>
        </w:rPr>
        <w:t> </w:t>
      </w:r>
      <w:r>
        <w:rPr>
          <w:b/>
          <w:color w:val="231F20"/>
          <w:sz w:val="20"/>
        </w:rPr>
        <w:t>методическое</w:t>
      </w:r>
      <w:r>
        <w:rPr>
          <w:b/>
          <w:color w:val="231F20"/>
          <w:spacing w:val="-9"/>
          <w:sz w:val="20"/>
        </w:rPr>
        <w:t> </w:t>
      </w:r>
      <w:r>
        <w:rPr>
          <w:b/>
          <w:color w:val="231F20"/>
          <w:spacing w:val="-2"/>
          <w:sz w:val="20"/>
        </w:rPr>
        <w:t>руководство</w:t>
      </w:r>
    </w:p>
    <w:p>
      <w:pPr>
        <w:spacing w:before="166"/>
        <w:ind w:left="425" w:right="0" w:firstLine="5898"/>
        <w:jc w:val="both"/>
        <w:rPr>
          <w:i/>
          <w:sz w:val="20"/>
        </w:rPr>
      </w:pPr>
      <w:r>
        <w:rPr>
          <w:i/>
          <w:color w:val="231F20"/>
          <w:sz w:val="20"/>
        </w:rPr>
        <w:t>О.Е.</w:t>
      </w:r>
      <w:r>
        <w:rPr>
          <w:i/>
          <w:color w:val="231F20"/>
          <w:spacing w:val="-2"/>
          <w:sz w:val="20"/>
        </w:rPr>
        <w:t> Хухлаев</w:t>
      </w:r>
    </w:p>
    <w:p>
      <w:pPr>
        <w:pStyle w:val="BodyText"/>
        <w:spacing w:line="235" w:lineRule="auto" w:before="113"/>
      </w:pPr>
      <w:r>
        <w:rPr>
          <w:b/>
          <w:i/>
        </w:rPr>
        <w:t>Общее описание. </w:t>
      </w:r>
      <w:r>
        <w:rPr>
          <w:color w:val="231F20"/>
        </w:rPr>
        <w:t>Метод диалогического рассказывания историй (ДРИ) разрабо- тан Р.</w:t>
      </w:r>
      <w:r>
        <w:rPr>
          <w:color w:val="231F20"/>
          <w:spacing w:val="-8"/>
        </w:rPr>
        <w:t> </w:t>
      </w:r>
      <w:r>
        <w:rPr>
          <w:color w:val="231F20"/>
        </w:rPr>
        <w:t>Гарднером в 1960-х гг. На русском языке с методом можно подробно ознако- </w:t>
      </w:r>
      <w:r>
        <w:rPr>
          <w:color w:val="231F20"/>
          <w:spacing w:val="-2"/>
        </w:rPr>
        <w:t>миться:</w:t>
      </w:r>
    </w:p>
    <w:p>
      <w:pPr>
        <w:pStyle w:val="BodyText"/>
        <w:spacing w:line="232" w:lineRule="auto" w:before="4"/>
      </w:pPr>
      <w:r>
        <w:rPr>
          <w:color w:val="171B1E"/>
        </w:rPr>
        <w:t>Гарднер,</w:t>
      </w:r>
      <w:r>
        <w:rPr>
          <w:color w:val="171B1E"/>
          <w:spacing w:val="-2"/>
        </w:rPr>
        <w:t> </w:t>
      </w:r>
      <w:r>
        <w:rPr>
          <w:color w:val="171B1E"/>
        </w:rPr>
        <w:t>Ричард.</w:t>
      </w:r>
      <w:r>
        <w:rPr>
          <w:color w:val="171B1E"/>
          <w:spacing w:val="-2"/>
        </w:rPr>
        <w:t> </w:t>
      </w:r>
      <w:r>
        <w:rPr>
          <w:color w:val="171B1E"/>
        </w:rPr>
        <w:t>Психотерапия</w:t>
      </w:r>
      <w:r>
        <w:rPr>
          <w:color w:val="171B1E"/>
          <w:spacing w:val="-2"/>
        </w:rPr>
        <w:t> </w:t>
      </w:r>
      <w:r>
        <w:rPr>
          <w:color w:val="171B1E"/>
        </w:rPr>
        <w:t>детских</w:t>
      </w:r>
      <w:r>
        <w:rPr>
          <w:color w:val="171B1E"/>
          <w:spacing w:val="-2"/>
        </w:rPr>
        <w:t> </w:t>
      </w:r>
      <w:r>
        <w:rPr>
          <w:color w:val="171B1E"/>
        </w:rPr>
        <w:t>проблем</w:t>
      </w:r>
      <w:r>
        <w:rPr>
          <w:color w:val="171B1E"/>
          <w:spacing w:val="-2"/>
        </w:rPr>
        <w:t> </w:t>
      </w:r>
      <w:r>
        <w:rPr>
          <w:color w:val="171B1E"/>
        </w:rPr>
        <w:t>/</w:t>
      </w:r>
      <w:r>
        <w:rPr>
          <w:color w:val="171B1E"/>
          <w:spacing w:val="-2"/>
        </w:rPr>
        <w:t> </w:t>
      </w:r>
      <w:r>
        <w:rPr>
          <w:color w:val="171B1E"/>
        </w:rPr>
        <w:t>Ричард</w:t>
      </w:r>
      <w:r>
        <w:rPr>
          <w:color w:val="171B1E"/>
          <w:spacing w:val="-2"/>
        </w:rPr>
        <w:t> </w:t>
      </w:r>
      <w:r>
        <w:rPr>
          <w:color w:val="171B1E"/>
        </w:rPr>
        <w:t>Гарднер;</w:t>
      </w:r>
      <w:r>
        <w:rPr>
          <w:color w:val="171B1E"/>
          <w:spacing w:val="-2"/>
        </w:rPr>
        <w:t> </w:t>
      </w:r>
      <w:r>
        <w:rPr>
          <w:color w:val="171B1E"/>
        </w:rPr>
        <w:t>[Пер.</w:t>
      </w:r>
      <w:r>
        <w:rPr>
          <w:color w:val="171B1E"/>
          <w:spacing w:val="-2"/>
        </w:rPr>
        <w:t> </w:t>
      </w:r>
      <w:r>
        <w:rPr>
          <w:color w:val="171B1E"/>
        </w:rPr>
        <w:t>с</w:t>
      </w:r>
      <w:r>
        <w:rPr>
          <w:color w:val="171B1E"/>
          <w:spacing w:val="-2"/>
        </w:rPr>
        <w:t> </w:t>
      </w:r>
      <w:r>
        <w:rPr>
          <w:color w:val="171B1E"/>
        </w:rPr>
        <w:t>англ.: Н. Алексеева и др.]. – СПб.: Речь, 2002. – 415 [1] с.; 21 см. (Современная психотера- пия) ISBN 5-9268-0071-4.</w:t>
      </w:r>
    </w:p>
    <w:p>
      <w:pPr>
        <w:pStyle w:val="BodyText"/>
        <w:spacing w:line="232" w:lineRule="auto" w:before="3"/>
      </w:pPr>
      <w:r>
        <w:rPr/>
        <w:t>Хухлаев О.Е. Диалогические истории в индивидуальной психологической рабо- те</w:t>
      </w:r>
      <w:r>
        <w:rPr>
          <w:spacing w:val="-8"/>
        </w:rPr>
        <w:t> </w:t>
      </w:r>
      <w:r>
        <w:rPr/>
        <w:t>с</w:t>
      </w:r>
      <w:r>
        <w:rPr>
          <w:spacing w:val="-8"/>
        </w:rPr>
        <w:t> </w:t>
      </w:r>
      <w:r>
        <w:rPr/>
        <w:t>детьми-мигрантами</w:t>
      </w:r>
      <w:r>
        <w:rPr>
          <w:spacing w:val="-9"/>
        </w:rPr>
        <w:t> </w:t>
      </w:r>
      <w:r>
        <w:rPr/>
        <w:t>//</w:t>
      </w:r>
      <w:r>
        <w:rPr>
          <w:spacing w:val="-8"/>
        </w:rPr>
        <w:t> </w:t>
      </w:r>
      <w:r>
        <w:rPr/>
        <w:t>Технологии</w:t>
      </w:r>
      <w:r>
        <w:rPr>
          <w:spacing w:val="-8"/>
        </w:rPr>
        <w:t> </w:t>
      </w:r>
      <w:r>
        <w:rPr/>
        <w:t>психологического</w:t>
      </w:r>
      <w:r>
        <w:rPr>
          <w:spacing w:val="-8"/>
        </w:rPr>
        <w:t> </w:t>
      </w:r>
      <w:r>
        <w:rPr/>
        <w:t>сопровождения</w:t>
      </w:r>
      <w:r>
        <w:rPr>
          <w:spacing w:val="-8"/>
        </w:rPr>
        <w:t> </w:t>
      </w:r>
      <w:r>
        <w:rPr/>
        <w:t>интеграции мигрантов в образовательной среде. Учебно-методическое пособие.</w:t>
      </w:r>
    </w:p>
    <w:p>
      <w:pPr>
        <w:pStyle w:val="BodyText"/>
        <w:spacing w:line="224" w:lineRule="exact"/>
        <w:ind w:left="425" w:right="0" w:firstLine="0"/>
        <w:jc w:val="left"/>
      </w:pPr>
      <w:r>
        <w:rPr>
          <w:color w:val="2255A6"/>
          <w:spacing w:val="-2"/>
          <w:u w:val="single" w:color="2255A6"/>
        </w:rPr>
        <w:t>https://psyjournals.ru/soprovozhdenie_migrantov/issue/66986.shtml</w:t>
      </w:r>
    </w:p>
    <w:p>
      <w:pPr>
        <w:spacing w:line="232" w:lineRule="auto" w:before="2"/>
        <w:ind w:left="141" w:right="0" w:firstLine="283"/>
        <w:jc w:val="left"/>
        <w:rPr>
          <w:sz w:val="20"/>
        </w:rPr>
      </w:pPr>
      <w:r>
        <w:rPr>
          <w:b/>
          <w:i/>
          <w:sz w:val="20"/>
        </w:rPr>
        <w:t>Сильные стороны практики. </w:t>
      </w:r>
      <w:r>
        <w:rPr>
          <w:color w:val="231F20"/>
          <w:sz w:val="20"/>
        </w:rPr>
        <w:t>В работе с детьми из семей мигрантов этот метод имеет следующие преимущества.</w:t>
      </w:r>
    </w:p>
    <w:p>
      <w:pPr>
        <w:pStyle w:val="ListParagraph"/>
        <w:numPr>
          <w:ilvl w:val="0"/>
          <w:numId w:val="212"/>
        </w:numPr>
        <w:tabs>
          <w:tab w:pos="425" w:val="left" w:leader="none"/>
        </w:tabs>
        <w:spacing w:line="232" w:lineRule="auto" w:before="2" w:after="0"/>
        <w:ind w:left="425" w:right="139" w:hanging="284"/>
        <w:jc w:val="both"/>
        <w:rPr>
          <w:sz w:val="20"/>
        </w:rPr>
      </w:pPr>
      <w:r>
        <w:rPr>
          <w:color w:val="231F20"/>
          <w:sz w:val="20"/>
        </w:rPr>
        <w:t>Он является скорее «формальным», чем «концептуальным», то есть не связан с конкретной парадигмой в психологии. Сочетается с широким спектром терапев- тических подходов – от психодинамического до когнитивно-поведенческого.</w:t>
      </w:r>
    </w:p>
    <w:p>
      <w:pPr>
        <w:pStyle w:val="ListParagraph"/>
        <w:numPr>
          <w:ilvl w:val="0"/>
          <w:numId w:val="212"/>
        </w:numPr>
        <w:tabs>
          <w:tab w:pos="425" w:val="left" w:leader="none"/>
        </w:tabs>
        <w:spacing w:line="232" w:lineRule="auto" w:before="3" w:after="0"/>
        <w:ind w:left="425" w:right="139" w:hanging="284"/>
        <w:jc w:val="both"/>
        <w:rPr>
          <w:sz w:val="20"/>
        </w:rPr>
      </w:pPr>
      <w:r>
        <w:rPr>
          <w:color w:val="231F20"/>
          <w:sz w:val="20"/>
        </w:rPr>
        <w:t>Несмотря</w:t>
      </w:r>
      <w:r>
        <w:rPr>
          <w:color w:val="231F20"/>
          <w:spacing w:val="-9"/>
          <w:sz w:val="20"/>
        </w:rPr>
        <w:t> </w:t>
      </w:r>
      <w:r>
        <w:rPr>
          <w:color w:val="231F20"/>
          <w:sz w:val="20"/>
        </w:rPr>
        <w:t>на</w:t>
      </w:r>
      <w:r>
        <w:rPr>
          <w:color w:val="231F20"/>
          <w:spacing w:val="-9"/>
          <w:sz w:val="20"/>
        </w:rPr>
        <w:t> </w:t>
      </w:r>
      <w:r>
        <w:rPr>
          <w:color w:val="231F20"/>
          <w:sz w:val="20"/>
        </w:rPr>
        <w:t>вербальный</w:t>
      </w:r>
      <w:r>
        <w:rPr>
          <w:color w:val="231F20"/>
          <w:spacing w:val="-9"/>
          <w:sz w:val="20"/>
        </w:rPr>
        <w:t> </w:t>
      </w:r>
      <w:r>
        <w:rPr>
          <w:color w:val="231F20"/>
          <w:sz w:val="20"/>
        </w:rPr>
        <w:t>характер,</w:t>
      </w:r>
      <w:r>
        <w:rPr>
          <w:color w:val="231F20"/>
          <w:spacing w:val="-9"/>
          <w:sz w:val="20"/>
        </w:rPr>
        <w:t> </w:t>
      </w:r>
      <w:r>
        <w:rPr>
          <w:color w:val="231F20"/>
          <w:sz w:val="20"/>
        </w:rPr>
        <w:t>он</w:t>
      </w:r>
      <w:r>
        <w:rPr>
          <w:color w:val="231F20"/>
          <w:spacing w:val="-9"/>
          <w:sz w:val="20"/>
        </w:rPr>
        <w:t> </w:t>
      </w:r>
      <w:r>
        <w:rPr>
          <w:color w:val="231F20"/>
          <w:sz w:val="20"/>
        </w:rPr>
        <w:t>основан</w:t>
      </w:r>
      <w:r>
        <w:rPr>
          <w:color w:val="231F20"/>
          <w:spacing w:val="-9"/>
          <w:sz w:val="20"/>
        </w:rPr>
        <w:t> </w:t>
      </w:r>
      <w:r>
        <w:rPr>
          <w:color w:val="231F20"/>
          <w:sz w:val="20"/>
        </w:rPr>
        <w:t>на</w:t>
      </w:r>
      <w:r>
        <w:rPr>
          <w:color w:val="231F20"/>
          <w:spacing w:val="-9"/>
          <w:sz w:val="20"/>
        </w:rPr>
        <w:t> </w:t>
      </w:r>
      <w:r>
        <w:rPr>
          <w:color w:val="231F20"/>
          <w:sz w:val="20"/>
        </w:rPr>
        <w:t>системе</w:t>
      </w:r>
      <w:r>
        <w:rPr>
          <w:color w:val="231F20"/>
          <w:spacing w:val="-9"/>
          <w:sz w:val="20"/>
        </w:rPr>
        <w:t> </w:t>
      </w:r>
      <w:r>
        <w:rPr>
          <w:color w:val="231F20"/>
          <w:sz w:val="20"/>
        </w:rPr>
        <w:t>коммуникации,</w:t>
      </w:r>
      <w:r>
        <w:rPr>
          <w:color w:val="231F20"/>
          <w:spacing w:val="-9"/>
          <w:sz w:val="20"/>
        </w:rPr>
        <w:t> </w:t>
      </w:r>
      <w:r>
        <w:rPr>
          <w:color w:val="231F20"/>
          <w:sz w:val="20"/>
        </w:rPr>
        <w:t>доступ- ной практически всем детям вне зависимости от культурных традиций.</w:t>
      </w:r>
    </w:p>
    <w:p>
      <w:pPr>
        <w:pStyle w:val="ListParagraph"/>
        <w:numPr>
          <w:ilvl w:val="0"/>
          <w:numId w:val="212"/>
        </w:numPr>
        <w:tabs>
          <w:tab w:pos="425" w:val="left" w:leader="none"/>
        </w:tabs>
        <w:spacing w:line="232" w:lineRule="auto" w:before="2" w:after="0"/>
        <w:ind w:left="425" w:right="139" w:hanging="284"/>
        <w:jc w:val="both"/>
        <w:rPr>
          <w:sz w:val="20"/>
        </w:rPr>
      </w:pPr>
      <w:r>
        <w:rPr>
          <w:color w:val="231F20"/>
          <w:sz w:val="20"/>
        </w:rPr>
        <w:t>Метод</w:t>
      </w:r>
      <w:r>
        <w:rPr>
          <w:color w:val="231F20"/>
          <w:spacing w:val="-6"/>
          <w:sz w:val="20"/>
        </w:rPr>
        <w:t> </w:t>
      </w:r>
      <w:r>
        <w:rPr>
          <w:color w:val="231F20"/>
          <w:sz w:val="20"/>
        </w:rPr>
        <w:t>достаточно</w:t>
      </w:r>
      <w:r>
        <w:rPr>
          <w:color w:val="231F20"/>
          <w:spacing w:val="-6"/>
          <w:sz w:val="20"/>
        </w:rPr>
        <w:t> </w:t>
      </w:r>
      <w:r>
        <w:rPr>
          <w:color w:val="231F20"/>
          <w:sz w:val="20"/>
        </w:rPr>
        <w:t>эффективен</w:t>
      </w:r>
      <w:r>
        <w:rPr>
          <w:color w:val="231F20"/>
          <w:spacing w:val="-6"/>
          <w:sz w:val="20"/>
        </w:rPr>
        <w:t> </w:t>
      </w:r>
      <w:r>
        <w:rPr>
          <w:color w:val="231F20"/>
          <w:sz w:val="20"/>
        </w:rPr>
        <w:t>и</w:t>
      </w:r>
      <w:r>
        <w:rPr>
          <w:color w:val="231F20"/>
          <w:spacing w:val="-6"/>
          <w:sz w:val="20"/>
        </w:rPr>
        <w:t> </w:t>
      </w:r>
      <w:r>
        <w:rPr>
          <w:color w:val="231F20"/>
          <w:sz w:val="20"/>
        </w:rPr>
        <w:t>направлен</w:t>
      </w:r>
      <w:r>
        <w:rPr>
          <w:color w:val="231F20"/>
          <w:spacing w:val="-6"/>
          <w:sz w:val="20"/>
        </w:rPr>
        <w:t> </w:t>
      </w:r>
      <w:r>
        <w:rPr>
          <w:color w:val="231F20"/>
          <w:sz w:val="20"/>
        </w:rPr>
        <w:t>на</w:t>
      </w:r>
      <w:r>
        <w:rPr>
          <w:color w:val="231F20"/>
          <w:spacing w:val="-6"/>
          <w:sz w:val="20"/>
        </w:rPr>
        <w:t> </w:t>
      </w:r>
      <w:r>
        <w:rPr>
          <w:color w:val="231F20"/>
          <w:sz w:val="20"/>
        </w:rPr>
        <w:t>решение</w:t>
      </w:r>
      <w:r>
        <w:rPr>
          <w:color w:val="231F20"/>
          <w:spacing w:val="-6"/>
          <w:sz w:val="20"/>
        </w:rPr>
        <w:t> </w:t>
      </w:r>
      <w:r>
        <w:rPr>
          <w:color w:val="231F20"/>
          <w:sz w:val="20"/>
        </w:rPr>
        <w:t>первоочередных</w:t>
      </w:r>
      <w:r>
        <w:rPr>
          <w:color w:val="231F20"/>
          <w:spacing w:val="-6"/>
          <w:sz w:val="20"/>
        </w:rPr>
        <w:t> </w:t>
      </w:r>
      <w:r>
        <w:rPr>
          <w:color w:val="231F20"/>
          <w:sz w:val="20"/>
        </w:rPr>
        <w:t>проблем ребенка,</w:t>
      </w:r>
      <w:r>
        <w:rPr>
          <w:color w:val="231F20"/>
          <w:spacing w:val="-12"/>
          <w:sz w:val="20"/>
        </w:rPr>
        <w:t> </w:t>
      </w:r>
      <w:r>
        <w:rPr>
          <w:color w:val="231F20"/>
          <w:sz w:val="20"/>
        </w:rPr>
        <w:t>что</w:t>
      </w:r>
      <w:r>
        <w:rPr>
          <w:color w:val="231F20"/>
          <w:spacing w:val="-12"/>
          <w:sz w:val="20"/>
        </w:rPr>
        <w:t> </w:t>
      </w:r>
      <w:r>
        <w:rPr>
          <w:color w:val="231F20"/>
          <w:sz w:val="20"/>
        </w:rPr>
        <w:t>особенно</w:t>
      </w:r>
      <w:r>
        <w:rPr>
          <w:color w:val="231F20"/>
          <w:spacing w:val="-12"/>
          <w:sz w:val="20"/>
        </w:rPr>
        <w:t> </w:t>
      </w:r>
      <w:r>
        <w:rPr>
          <w:color w:val="231F20"/>
          <w:sz w:val="20"/>
        </w:rPr>
        <w:t>важно</w:t>
      </w:r>
      <w:r>
        <w:rPr>
          <w:color w:val="231F20"/>
          <w:spacing w:val="-12"/>
          <w:sz w:val="20"/>
        </w:rPr>
        <w:t> </w:t>
      </w:r>
      <w:r>
        <w:rPr>
          <w:color w:val="231F20"/>
          <w:sz w:val="20"/>
        </w:rPr>
        <w:t>в</w:t>
      </w:r>
      <w:r>
        <w:rPr>
          <w:color w:val="231F20"/>
          <w:spacing w:val="-12"/>
          <w:sz w:val="20"/>
        </w:rPr>
        <w:t> </w:t>
      </w:r>
      <w:r>
        <w:rPr>
          <w:color w:val="231F20"/>
          <w:sz w:val="20"/>
        </w:rPr>
        <w:t>ситуации,</w:t>
      </w:r>
      <w:r>
        <w:rPr>
          <w:color w:val="231F20"/>
          <w:spacing w:val="-12"/>
          <w:sz w:val="20"/>
        </w:rPr>
        <w:t> </w:t>
      </w:r>
      <w:r>
        <w:rPr>
          <w:color w:val="231F20"/>
          <w:sz w:val="20"/>
        </w:rPr>
        <w:t>когда</w:t>
      </w:r>
      <w:r>
        <w:rPr>
          <w:color w:val="231F20"/>
          <w:spacing w:val="-12"/>
          <w:sz w:val="20"/>
        </w:rPr>
        <w:t> </w:t>
      </w:r>
      <w:r>
        <w:rPr>
          <w:color w:val="231F20"/>
          <w:sz w:val="20"/>
        </w:rPr>
        <w:t>психотерапия</w:t>
      </w:r>
      <w:r>
        <w:rPr>
          <w:color w:val="231F20"/>
          <w:spacing w:val="-12"/>
          <w:sz w:val="20"/>
        </w:rPr>
        <w:t> </w:t>
      </w:r>
      <w:r>
        <w:rPr>
          <w:color w:val="231F20"/>
          <w:sz w:val="20"/>
        </w:rPr>
        <w:t>кратковременна</w:t>
      </w:r>
      <w:r>
        <w:rPr>
          <w:color w:val="231F20"/>
          <w:spacing w:val="-12"/>
          <w:sz w:val="20"/>
        </w:rPr>
        <w:t> </w:t>
      </w:r>
      <w:r>
        <w:rPr>
          <w:color w:val="231F20"/>
          <w:sz w:val="20"/>
        </w:rPr>
        <w:t>или может резко прерваться.</w:t>
      </w:r>
    </w:p>
    <w:p>
      <w:pPr>
        <w:pStyle w:val="ListParagraph"/>
        <w:numPr>
          <w:ilvl w:val="0"/>
          <w:numId w:val="212"/>
        </w:numPr>
        <w:tabs>
          <w:tab w:pos="425" w:val="left" w:leader="none"/>
        </w:tabs>
        <w:spacing w:line="232" w:lineRule="auto" w:before="2" w:after="0"/>
        <w:ind w:left="425" w:right="139" w:hanging="284"/>
        <w:jc w:val="both"/>
        <w:rPr>
          <w:sz w:val="20"/>
        </w:rPr>
      </w:pPr>
      <w:r>
        <w:rPr>
          <w:color w:val="231F20"/>
          <w:sz w:val="20"/>
        </w:rPr>
        <w:t>Негативные последствия резкого прерывания минимизируются законченностью каждой сессии, представляющей собой самостоятельный психотерапевтический </w:t>
      </w:r>
      <w:r>
        <w:rPr>
          <w:color w:val="231F20"/>
          <w:spacing w:val="-2"/>
          <w:sz w:val="20"/>
        </w:rPr>
        <w:t>процесс.</w:t>
      </w:r>
    </w:p>
    <w:p>
      <w:pPr>
        <w:pStyle w:val="BodyText"/>
        <w:spacing w:line="232" w:lineRule="auto" w:before="3"/>
      </w:pPr>
      <w:r>
        <w:rPr>
          <w:b/>
          <w:i/>
        </w:rPr>
        <w:t>Требования к проведению. </w:t>
      </w:r>
      <w:r>
        <w:rPr/>
        <w:t>Требования преимущественно организационные: не- обходимо отдельное помещение для индивидуальной работы и диктофон (подойдет </w:t>
      </w:r>
      <w:r>
        <w:rPr>
          <w:spacing w:val="-2"/>
        </w:rPr>
        <w:t>диктофон, встроенный в смартфон). Дополнительная подготовка не требуется, однако </w:t>
      </w:r>
      <w:r>
        <w:rPr/>
        <w:t>рекомендуется внимательно проработать данное руководство.</w:t>
      </w:r>
    </w:p>
    <w:p>
      <w:pPr>
        <w:pStyle w:val="BodyText"/>
        <w:spacing w:line="232" w:lineRule="auto" w:before="4"/>
      </w:pPr>
      <w:r>
        <w:rPr>
          <w:b/>
          <w:i/>
        </w:rPr>
        <w:t>Доказательность практики. </w:t>
      </w:r>
      <w:r>
        <w:rPr/>
        <w:t>Нарративные практики, к которым </w:t>
      </w:r>
      <w:r>
        <w:rPr/>
        <w:t>относится</w:t>
      </w:r>
      <w:r>
        <w:rPr>
          <w:spacing w:val="40"/>
        </w:rPr>
        <w:t> </w:t>
      </w:r>
      <w:r>
        <w:rPr/>
        <w:t>ДРИ, рассматриваются как пример консультативного инструмента, позволяющего учитывать культурные различия (Morris, 2006). Эффективность нарративных прак- тик для оказания помощи детям с миграционным опытом, в том числе пережива- ющими последствия психологической травмы, была доказана рядом исследований (</w:t>
      </w:r>
      <w:r>
        <w:rPr>
          <w:color w:val="16191D"/>
        </w:rPr>
        <w:t>Gwozdziewycz, Mehl-Madrona, 2013; Kangaslampi, Garoff, Peltonen, 2015</w:t>
      </w:r>
      <w:r>
        <w:rPr/>
        <w:t>).</w:t>
      </w:r>
    </w:p>
    <w:p>
      <w:pPr>
        <w:spacing w:line="227" w:lineRule="exact" w:before="113"/>
        <w:ind w:left="425" w:right="0" w:firstLine="0"/>
        <w:jc w:val="both"/>
        <w:rPr>
          <w:b/>
          <w:sz w:val="20"/>
        </w:rPr>
      </w:pPr>
      <w:r>
        <w:rPr>
          <w:b/>
          <w:sz w:val="20"/>
        </w:rPr>
        <w:t>Мануал</w:t>
      </w:r>
      <w:r>
        <w:rPr>
          <w:b/>
          <w:spacing w:val="-1"/>
          <w:sz w:val="20"/>
        </w:rPr>
        <w:t> </w:t>
      </w:r>
      <w:r>
        <w:rPr>
          <w:b/>
          <w:sz w:val="20"/>
        </w:rPr>
        <w:t>по</w:t>
      </w:r>
      <w:r>
        <w:rPr>
          <w:b/>
          <w:spacing w:val="-1"/>
          <w:sz w:val="20"/>
        </w:rPr>
        <w:t> </w:t>
      </w:r>
      <w:r>
        <w:rPr>
          <w:b/>
          <w:spacing w:val="-2"/>
          <w:sz w:val="20"/>
        </w:rPr>
        <w:t>проведению</w:t>
      </w:r>
    </w:p>
    <w:p>
      <w:pPr>
        <w:pStyle w:val="BodyText"/>
        <w:spacing w:line="235" w:lineRule="auto" w:before="1"/>
      </w:pPr>
      <w:r>
        <w:rPr>
          <w:color w:val="231F20"/>
        </w:rPr>
        <w:t>Процедура проведения психотерапевтической сессии по методу ДРИ заключа- ется в следующем (описание процедуры изменено по сравнению с оригинальным, которое предлагал Гарднер, в силу изменения социальных реалий). После уста- новления первичного контакта психолог спрашивает ребенка, не хочет ли он стать участником воображаемой радиопередачи, «поиграть в радио» или в ведущего под- каст/блог.</w:t>
      </w:r>
      <w:r>
        <w:rPr>
          <w:color w:val="231F20"/>
          <w:spacing w:val="-11"/>
        </w:rPr>
        <w:t> </w:t>
      </w:r>
      <w:r>
        <w:rPr>
          <w:color w:val="231F20"/>
        </w:rPr>
        <w:t>И</w:t>
      </w:r>
      <w:r>
        <w:rPr>
          <w:color w:val="231F20"/>
          <w:spacing w:val="-11"/>
        </w:rPr>
        <w:t> </w:t>
      </w:r>
      <w:r>
        <w:rPr>
          <w:color w:val="231F20"/>
        </w:rPr>
        <w:t>уточняет:</w:t>
      </w:r>
      <w:r>
        <w:rPr>
          <w:color w:val="231F20"/>
          <w:spacing w:val="-11"/>
        </w:rPr>
        <w:t> </w:t>
      </w:r>
      <w:r>
        <w:rPr>
          <w:color w:val="231F20"/>
        </w:rPr>
        <w:t>«Мы</w:t>
      </w:r>
      <w:r>
        <w:rPr>
          <w:color w:val="231F20"/>
          <w:spacing w:val="-11"/>
        </w:rPr>
        <w:t> </w:t>
      </w:r>
      <w:r>
        <w:rPr>
          <w:color w:val="231F20"/>
        </w:rPr>
        <w:t>будем</w:t>
      </w:r>
      <w:r>
        <w:rPr>
          <w:color w:val="231F20"/>
          <w:spacing w:val="-11"/>
        </w:rPr>
        <w:t> </w:t>
      </w:r>
      <w:r>
        <w:rPr>
          <w:color w:val="231F20"/>
        </w:rPr>
        <w:t>играть</w:t>
      </w:r>
      <w:r>
        <w:rPr>
          <w:color w:val="231F20"/>
          <w:spacing w:val="-11"/>
        </w:rPr>
        <w:t> </w:t>
      </w:r>
      <w:r>
        <w:rPr>
          <w:color w:val="231F20"/>
        </w:rPr>
        <w:t>по-настоящему,</w:t>
      </w:r>
      <w:r>
        <w:rPr>
          <w:color w:val="231F20"/>
          <w:spacing w:val="-11"/>
        </w:rPr>
        <w:t> </w:t>
      </w:r>
      <w:r>
        <w:rPr>
          <w:color w:val="231F20"/>
        </w:rPr>
        <w:t>будем</w:t>
      </w:r>
      <w:r>
        <w:rPr>
          <w:color w:val="231F20"/>
          <w:spacing w:val="-11"/>
        </w:rPr>
        <w:t> </w:t>
      </w:r>
      <w:r>
        <w:rPr>
          <w:color w:val="231F20"/>
        </w:rPr>
        <w:t>все</w:t>
      </w:r>
      <w:r>
        <w:rPr>
          <w:color w:val="231F20"/>
          <w:spacing w:val="-11"/>
        </w:rPr>
        <w:t> </w:t>
      </w:r>
      <w:r>
        <w:rPr>
          <w:color w:val="231F20"/>
        </w:rPr>
        <w:t>записывать</w:t>
      </w:r>
      <w:r>
        <w:rPr>
          <w:color w:val="231F20"/>
          <w:spacing w:val="-11"/>
        </w:rPr>
        <w:t> </w:t>
      </w:r>
      <w:r>
        <w:rPr>
          <w:color w:val="231F20"/>
        </w:rPr>
        <w:t>и</w:t>
      </w:r>
      <w:r>
        <w:rPr>
          <w:color w:val="231F20"/>
          <w:spacing w:val="-11"/>
        </w:rPr>
        <w:t> </w:t>
      </w:r>
      <w:r>
        <w:rPr>
          <w:color w:val="231F20"/>
        </w:rPr>
        <w:t>это можно</w:t>
      </w:r>
      <w:r>
        <w:rPr>
          <w:color w:val="231F20"/>
          <w:spacing w:val="-7"/>
        </w:rPr>
        <w:t> </w:t>
      </w:r>
      <w:r>
        <w:rPr>
          <w:color w:val="231F20"/>
        </w:rPr>
        <w:t>потом</w:t>
      </w:r>
      <w:r>
        <w:rPr>
          <w:color w:val="231F20"/>
          <w:spacing w:val="-7"/>
        </w:rPr>
        <w:t> </w:t>
      </w:r>
      <w:r>
        <w:rPr>
          <w:color w:val="231F20"/>
        </w:rPr>
        <w:t>послушать»,</w:t>
      </w:r>
      <w:r>
        <w:rPr>
          <w:color w:val="231F20"/>
          <w:spacing w:val="-7"/>
        </w:rPr>
        <w:t> </w:t>
      </w:r>
      <w:r>
        <w:rPr>
          <w:color w:val="231F20"/>
        </w:rPr>
        <w:t>здесь</w:t>
      </w:r>
      <w:r>
        <w:rPr>
          <w:color w:val="231F20"/>
          <w:spacing w:val="-7"/>
        </w:rPr>
        <w:t> </w:t>
      </w:r>
      <w:r>
        <w:rPr>
          <w:color w:val="231F20"/>
        </w:rPr>
        <w:t>предъявляется</w:t>
      </w:r>
      <w:r>
        <w:rPr>
          <w:color w:val="231F20"/>
          <w:spacing w:val="-7"/>
        </w:rPr>
        <w:t> </w:t>
      </w:r>
      <w:r>
        <w:rPr>
          <w:color w:val="231F20"/>
        </w:rPr>
        <w:t>смартфон.</w:t>
      </w:r>
      <w:r>
        <w:rPr>
          <w:color w:val="231F20"/>
          <w:spacing w:val="-7"/>
        </w:rPr>
        <w:t> </w:t>
      </w:r>
      <w:r>
        <w:rPr>
          <w:color w:val="231F20"/>
        </w:rPr>
        <w:t>Если</w:t>
      </w:r>
      <w:r>
        <w:rPr>
          <w:color w:val="231F20"/>
          <w:spacing w:val="-7"/>
        </w:rPr>
        <w:t> </w:t>
      </w:r>
      <w:r>
        <w:rPr>
          <w:color w:val="231F20"/>
        </w:rPr>
        <w:t>ребенок</w:t>
      </w:r>
      <w:r>
        <w:rPr>
          <w:color w:val="231F20"/>
          <w:spacing w:val="-7"/>
        </w:rPr>
        <w:t> </w:t>
      </w:r>
      <w:r>
        <w:rPr>
          <w:color w:val="231F20"/>
        </w:rPr>
        <w:t>соглашается (а</w:t>
      </w:r>
      <w:r>
        <w:rPr>
          <w:color w:val="231F20"/>
          <w:spacing w:val="18"/>
        </w:rPr>
        <w:t> </w:t>
      </w:r>
      <w:r>
        <w:rPr>
          <w:color w:val="231F20"/>
        </w:rPr>
        <w:t>так</w:t>
      </w:r>
      <w:r>
        <w:rPr>
          <w:color w:val="231F20"/>
          <w:spacing w:val="19"/>
        </w:rPr>
        <w:t> </w:t>
      </w:r>
      <w:r>
        <w:rPr>
          <w:color w:val="231F20"/>
        </w:rPr>
        <w:t>чаще</w:t>
      </w:r>
      <w:r>
        <w:rPr>
          <w:color w:val="231F20"/>
          <w:spacing w:val="18"/>
        </w:rPr>
        <w:t> </w:t>
      </w:r>
      <w:r>
        <w:rPr>
          <w:color w:val="231F20"/>
        </w:rPr>
        <w:t>всего</w:t>
      </w:r>
      <w:r>
        <w:rPr>
          <w:color w:val="231F20"/>
          <w:spacing w:val="19"/>
        </w:rPr>
        <w:t> </w:t>
      </w:r>
      <w:r>
        <w:rPr>
          <w:color w:val="231F20"/>
        </w:rPr>
        <w:t>и</w:t>
      </w:r>
      <w:r>
        <w:rPr>
          <w:color w:val="231F20"/>
          <w:spacing w:val="19"/>
        </w:rPr>
        <w:t> </w:t>
      </w:r>
      <w:r>
        <w:rPr>
          <w:color w:val="231F20"/>
        </w:rPr>
        <w:t>бывает),</w:t>
      </w:r>
      <w:r>
        <w:rPr>
          <w:color w:val="231F20"/>
          <w:spacing w:val="18"/>
        </w:rPr>
        <w:t> </w:t>
      </w:r>
      <w:r>
        <w:rPr>
          <w:color w:val="231F20"/>
        </w:rPr>
        <w:t>то</w:t>
      </w:r>
      <w:r>
        <w:rPr>
          <w:color w:val="231F20"/>
          <w:spacing w:val="19"/>
        </w:rPr>
        <w:t> </w:t>
      </w:r>
      <w:r>
        <w:rPr>
          <w:color w:val="231F20"/>
        </w:rPr>
        <w:t>ему</w:t>
      </w:r>
      <w:r>
        <w:rPr>
          <w:color w:val="231F20"/>
          <w:spacing w:val="18"/>
        </w:rPr>
        <w:t> </w:t>
      </w:r>
      <w:r>
        <w:rPr>
          <w:color w:val="231F20"/>
        </w:rPr>
        <w:t>предлагается</w:t>
      </w:r>
      <w:r>
        <w:rPr>
          <w:color w:val="231F20"/>
          <w:spacing w:val="19"/>
        </w:rPr>
        <w:t> </w:t>
      </w:r>
      <w:r>
        <w:rPr>
          <w:color w:val="231F20"/>
        </w:rPr>
        <w:t>придумать</w:t>
      </w:r>
      <w:r>
        <w:rPr>
          <w:color w:val="231F20"/>
          <w:spacing w:val="19"/>
        </w:rPr>
        <w:t> </w:t>
      </w:r>
      <w:r>
        <w:rPr>
          <w:color w:val="231F20"/>
        </w:rPr>
        <w:t>название</w:t>
      </w:r>
      <w:r>
        <w:rPr>
          <w:color w:val="231F20"/>
          <w:spacing w:val="18"/>
        </w:rPr>
        <w:t> </w:t>
      </w:r>
      <w:r>
        <w:rPr>
          <w:color w:val="231F20"/>
        </w:rPr>
        <w:t>для</w:t>
      </w:r>
      <w:r>
        <w:rPr>
          <w:color w:val="231F20"/>
          <w:spacing w:val="19"/>
        </w:rPr>
        <w:t> </w:t>
      </w:r>
      <w:r>
        <w:rPr>
          <w:color w:val="231F20"/>
        </w:rPr>
        <w:t>«его</w:t>
      </w:r>
      <w:r>
        <w:rPr>
          <w:color w:val="231F20"/>
          <w:spacing w:val="18"/>
        </w:rPr>
        <w:t> </w:t>
      </w:r>
      <w:r>
        <w:rPr>
          <w:color w:val="231F20"/>
          <w:spacing w:val="-5"/>
        </w:rPr>
        <w:t>ра-</w:t>
      </w:r>
    </w:p>
    <w:p>
      <w:pPr>
        <w:pStyle w:val="BodyText"/>
        <w:spacing w:after="0" w:line="235" w:lineRule="auto"/>
        <w:sectPr>
          <w:pgSz w:w="8400" w:h="11910"/>
          <w:pgMar w:header="0" w:footer="529" w:top="400" w:bottom="740" w:left="425" w:right="425"/>
        </w:sectPr>
      </w:pPr>
    </w:p>
    <w:p>
      <w:pPr>
        <w:pStyle w:val="ListParagraph"/>
        <w:numPr>
          <w:ilvl w:val="1"/>
          <w:numId w:val="211"/>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Метод</w:t>
      </w:r>
      <w:r>
        <w:rPr>
          <w:rFonts w:ascii="Georgia" w:hAnsi="Georgia"/>
          <w:color w:val="231F20"/>
          <w:spacing w:val="-6"/>
          <w:sz w:val="18"/>
        </w:rPr>
        <w:t> </w:t>
      </w:r>
      <w:r>
        <w:rPr>
          <w:rFonts w:ascii="Georgia" w:hAnsi="Georgia"/>
          <w:color w:val="231F20"/>
          <w:sz w:val="18"/>
        </w:rPr>
        <w:t>диалогического</w:t>
      </w:r>
      <w:r>
        <w:rPr>
          <w:rFonts w:ascii="Georgia" w:hAnsi="Georgia"/>
          <w:color w:val="231F20"/>
          <w:spacing w:val="-5"/>
          <w:sz w:val="18"/>
        </w:rPr>
        <w:t> </w:t>
      </w:r>
      <w:r>
        <w:rPr>
          <w:rFonts w:ascii="Georgia" w:hAnsi="Georgia"/>
          <w:color w:val="231F20"/>
          <w:sz w:val="18"/>
        </w:rPr>
        <w:t>рассказывания</w:t>
      </w:r>
      <w:r>
        <w:rPr>
          <w:rFonts w:ascii="Georgia" w:hAnsi="Georgia"/>
          <w:color w:val="231F20"/>
          <w:spacing w:val="-6"/>
          <w:sz w:val="18"/>
        </w:rPr>
        <w:t> </w:t>
      </w:r>
      <w:r>
        <w:rPr>
          <w:rFonts w:ascii="Georgia" w:hAnsi="Georgia"/>
          <w:color w:val="231F20"/>
          <w:sz w:val="18"/>
        </w:rPr>
        <w:t>историй:</w:t>
      </w:r>
      <w:r>
        <w:rPr>
          <w:rFonts w:ascii="Georgia" w:hAnsi="Georgia"/>
          <w:color w:val="231F20"/>
          <w:spacing w:val="-5"/>
          <w:sz w:val="18"/>
        </w:rPr>
        <w:t> </w:t>
      </w:r>
      <w:r>
        <w:rPr>
          <w:rFonts w:ascii="Georgia" w:hAnsi="Georgia"/>
          <w:color w:val="231F20"/>
          <w:sz w:val="18"/>
        </w:rPr>
        <w:t>методическое</w:t>
      </w:r>
      <w:r>
        <w:rPr>
          <w:rFonts w:ascii="Georgia" w:hAnsi="Georgia"/>
          <w:color w:val="231F20"/>
          <w:spacing w:val="-5"/>
          <w:sz w:val="18"/>
        </w:rPr>
        <w:t> </w:t>
      </w:r>
      <w:r>
        <w:rPr>
          <w:rFonts w:ascii="Georgia" w:hAnsi="Georgia"/>
          <w:color w:val="231F20"/>
          <w:spacing w:val="-2"/>
          <w:sz w:val="18"/>
        </w:rPr>
        <w:t>руководство</w:t>
      </w:r>
    </w:p>
    <w:p>
      <w:pPr>
        <w:pStyle w:val="BodyText"/>
        <w:spacing w:line="228" w:lineRule="exact" w:before="112"/>
        <w:ind w:right="0" w:firstLine="0"/>
      </w:pPr>
      <w:r>
        <w:rPr>
          <w:color w:val="231F20"/>
        </w:rPr>
        <w:t>дио»/</w:t>
      </w:r>
      <w:r>
        <w:rPr>
          <w:color w:val="231F20"/>
          <w:spacing w:val="-5"/>
        </w:rPr>
        <w:t> </w:t>
      </w:r>
      <w:r>
        <w:rPr>
          <w:color w:val="231F20"/>
        </w:rPr>
        <w:t>«его</w:t>
      </w:r>
      <w:r>
        <w:rPr>
          <w:color w:val="231F20"/>
          <w:spacing w:val="-5"/>
        </w:rPr>
        <w:t> </w:t>
      </w:r>
      <w:r>
        <w:rPr>
          <w:color w:val="231F20"/>
        </w:rPr>
        <w:t>подкаста/блога».</w:t>
      </w:r>
      <w:r>
        <w:rPr>
          <w:color w:val="231F20"/>
          <w:spacing w:val="-4"/>
        </w:rPr>
        <w:t> </w:t>
      </w:r>
      <w:r>
        <w:rPr>
          <w:color w:val="231F20"/>
        </w:rPr>
        <w:t>Затем</w:t>
      </w:r>
      <w:r>
        <w:rPr>
          <w:color w:val="231F20"/>
          <w:spacing w:val="-5"/>
        </w:rPr>
        <w:t> </w:t>
      </w:r>
      <w:r>
        <w:rPr>
          <w:color w:val="231F20"/>
        </w:rPr>
        <w:t>психолог</w:t>
      </w:r>
      <w:r>
        <w:rPr>
          <w:color w:val="231F20"/>
          <w:spacing w:val="-5"/>
        </w:rPr>
        <w:t> </w:t>
      </w:r>
      <w:r>
        <w:rPr>
          <w:color w:val="231F20"/>
        </w:rPr>
        <w:t>включает</w:t>
      </w:r>
      <w:r>
        <w:rPr>
          <w:color w:val="231F20"/>
          <w:spacing w:val="-4"/>
        </w:rPr>
        <w:t> </w:t>
      </w:r>
      <w:r>
        <w:rPr>
          <w:color w:val="231F20"/>
        </w:rPr>
        <w:t>диктофон</w:t>
      </w:r>
      <w:r>
        <w:rPr>
          <w:color w:val="231F20"/>
          <w:spacing w:val="-5"/>
        </w:rPr>
        <w:t> </w:t>
      </w:r>
      <w:r>
        <w:rPr>
          <w:color w:val="231F20"/>
        </w:rPr>
        <w:t>на</w:t>
      </w:r>
      <w:r>
        <w:rPr>
          <w:color w:val="231F20"/>
          <w:spacing w:val="-5"/>
        </w:rPr>
        <w:t> </w:t>
      </w:r>
      <w:r>
        <w:rPr>
          <w:color w:val="231F20"/>
        </w:rPr>
        <w:t>запись</w:t>
      </w:r>
      <w:r>
        <w:rPr>
          <w:color w:val="231F20"/>
          <w:spacing w:val="-4"/>
        </w:rPr>
        <w:t> </w:t>
      </w:r>
      <w:r>
        <w:rPr>
          <w:color w:val="231F20"/>
        </w:rPr>
        <w:t>и</w:t>
      </w:r>
      <w:r>
        <w:rPr>
          <w:color w:val="231F20"/>
          <w:spacing w:val="-5"/>
        </w:rPr>
        <w:t> </w:t>
      </w:r>
      <w:r>
        <w:rPr>
          <w:color w:val="231F20"/>
          <w:spacing w:val="-2"/>
        </w:rPr>
        <w:t>говорит:</w:t>
      </w:r>
    </w:p>
    <w:p>
      <w:pPr>
        <w:pStyle w:val="BodyText"/>
        <w:spacing w:line="232" w:lineRule="auto" w:before="4"/>
        <w:ind w:firstLine="0"/>
      </w:pPr>
      <w:r>
        <w:rPr>
          <w:color w:val="231F20"/>
        </w:rPr>
        <w:t>«Уважаемые слушатели! Сегодня</w:t>
      </w:r>
      <w:r>
        <w:rPr>
          <w:color w:val="231F20"/>
          <w:spacing w:val="-1"/>
        </w:rPr>
        <w:t> </w:t>
      </w:r>
      <w:r>
        <w:rPr>
          <w:color w:val="231F20"/>
        </w:rPr>
        <w:t>на нашем радио... (название, которое дал ребенок) открывается новая передача. Она называется «Час рассказа». В ней специально для вас (имя ребенка) расскажет удивительную, занимательную и увлекательную исто- рию.</w:t>
      </w:r>
      <w:r>
        <w:rPr>
          <w:color w:val="231F20"/>
          <w:spacing w:val="-1"/>
        </w:rPr>
        <w:t> </w:t>
      </w:r>
      <w:r>
        <w:rPr>
          <w:color w:val="231F20"/>
        </w:rPr>
        <w:t>Напоминаю,</w:t>
      </w:r>
      <w:r>
        <w:rPr>
          <w:color w:val="231F20"/>
          <w:spacing w:val="-1"/>
        </w:rPr>
        <w:t> </w:t>
      </w:r>
      <w:r>
        <w:rPr>
          <w:color w:val="231F20"/>
        </w:rPr>
        <w:t>что</w:t>
      </w:r>
      <w:r>
        <w:rPr>
          <w:color w:val="231F20"/>
          <w:spacing w:val="-1"/>
        </w:rPr>
        <w:t> </w:t>
      </w:r>
      <w:r>
        <w:rPr>
          <w:color w:val="231F20"/>
        </w:rPr>
        <w:t>по</w:t>
      </w:r>
      <w:r>
        <w:rPr>
          <w:color w:val="231F20"/>
          <w:spacing w:val="-1"/>
        </w:rPr>
        <w:t> </w:t>
      </w:r>
      <w:r>
        <w:rPr>
          <w:color w:val="231F20"/>
        </w:rPr>
        <w:t>нашим</w:t>
      </w:r>
      <w:r>
        <w:rPr>
          <w:color w:val="231F20"/>
          <w:spacing w:val="-1"/>
        </w:rPr>
        <w:t> </w:t>
      </w:r>
      <w:r>
        <w:rPr>
          <w:color w:val="231F20"/>
        </w:rPr>
        <w:t>правилам</w:t>
      </w:r>
      <w:r>
        <w:rPr>
          <w:color w:val="231F20"/>
          <w:spacing w:val="-1"/>
        </w:rPr>
        <w:t> </w:t>
      </w:r>
      <w:r>
        <w:rPr>
          <w:color w:val="231F20"/>
        </w:rPr>
        <w:t>нельзя</w:t>
      </w:r>
      <w:r>
        <w:rPr>
          <w:color w:val="231F20"/>
          <w:spacing w:val="-1"/>
        </w:rPr>
        <w:t> </w:t>
      </w:r>
      <w:r>
        <w:rPr>
          <w:color w:val="231F20"/>
        </w:rPr>
        <w:t>рассказывать</w:t>
      </w:r>
      <w:r>
        <w:rPr>
          <w:color w:val="231F20"/>
          <w:spacing w:val="-1"/>
        </w:rPr>
        <w:t> </w:t>
      </w:r>
      <w:r>
        <w:rPr>
          <w:color w:val="231F20"/>
        </w:rPr>
        <w:t>о</w:t>
      </w:r>
      <w:r>
        <w:rPr>
          <w:color w:val="231F20"/>
          <w:spacing w:val="-1"/>
        </w:rPr>
        <w:t> </w:t>
      </w:r>
      <w:r>
        <w:rPr>
          <w:color w:val="231F20"/>
        </w:rPr>
        <w:t>том,</w:t>
      </w:r>
      <w:r>
        <w:rPr>
          <w:color w:val="231F20"/>
          <w:spacing w:val="-1"/>
        </w:rPr>
        <w:t> </w:t>
      </w:r>
      <w:r>
        <w:rPr>
          <w:color w:val="231F20"/>
        </w:rPr>
        <w:t>что</w:t>
      </w:r>
      <w:r>
        <w:rPr>
          <w:color w:val="231F20"/>
          <w:spacing w:val="-1"/>
        </w:rPr>
        <w:t> </w:t>
      </w:r>
      <w:r>
        <w:rPr>
          <w:color w:val="231F20"/>
        </w:rPr>
        <w:t>вы</w:t>
      </w:r>
      <w:r>
        <w:rPr>
          <w:color w:val="231F20"/>
          <w:spacing w:val="-1"/>
        </w:rPr>
        <w:t> </w:t>
      </w:r>
      <w:r>
        <w:rPr>
          <w:color w:val="231F20"/>
        </w:rPr>
        <w:t>видели в кино, по телевизору или читали в книжке».</w:t>
      </w:r>
    </w:p>
    <w:p>
      <w:pPr>
        <w:pStyle w:val="BodyText"/>
        <w:spacing w:line="232" w:lineRule="auto"/>
      </w:pPr>
      <w:r>
        <w:rPr>
          <w:color w:val="231F20"/>
        </w:rPr>
        <w:t>Далее</w:t>
      </w:r>
      <w:r>
        <w:rPr>
          <w:color w:val="231F20"/>
          <w:spacing w:val="-3"/>
        </w:rPr>
        <w:t> </w:t>
      </w:r>
      <w:r>
        <w:rPr>
          <w:color w:val="231F20"/>
        </w:rPr>
        <w:t>психолог</w:t>
      </w:r>
      <w:r>
        <w:rPr>
          <w:color w:val="231F20"/>
          <w:spacing w:val="-3"/>
        </w:rPr>
        <w:t> </w:t>
      </w:r>
      <w:r>
        <w:rPr>
          <w:color w:val="231F20"/>
        </w:rPr>
        <w:t>спрашивает</w:t>
      </w:r>
      <w:r>
        <w:rPr>
          <w:color w:val="231F20"/>
          <w:spacing w:val="-3"/>
        </w:rPr>
        <w:t> </w:t>
      </w:r>
      <w:r>
        <w:rPr>
          <w:color w:val="231F20"/>
        </w:rPr>
        <w:t>ребенка,</w:t>
      </w:r>
      <w:r>
        <w:rPr>
          <w:color w:val="231F20"/>
          <w:spacing w:val="-3"/>
        </w:rPr>
        <w:t> </w:t>
      </w:r>
      <w:r>
        <w:rPr>
          <w:color w:val="231F20"/>
        </w:rPr>
        <w:t>нужно</w:t>
      </w:r>
      <w:r>
        <w:rPr>
          <w:color w:val="231F20"/>
          <w:spacing w:val="-3"/>
        </w:rPr>
        <w:t> </w:t>
      </w:r>
      <w:r>
        <w:rPr>
          <w:color w:val="231F20"/>
        </w:rPr>
        <w:t>ли</w:t>
      </w:r>
      <w:r>
        <w:rPr>
          <w:color w:val="231F20"/>
          <w:spacing w:val="-3"/>
        </w:rPr>
        <w:t> </w:t>
      </w:r>
      <w:r>
        <w:rPr>
          <w:color w:val="231F20"/>
        </w:rPr>
        <w:t>ему</w:t>
      </w:r>
      <w:r>
        <w:rPr>
          <w:color w:val="231F20"/>
          <w:spacing w:val="-3"/>
        </w:rPr>
        <w:t> </w:t>
      </w:r>
      <w:r>
        <w:rPr>
          <w:color w:val="231F20"/>
        </w:rPr>
        <w:t>подготовиться</w:t>
      </w:r>
      <w:r>
        <w:rPr>
          <w:color w:val="231F20"/>
          <w:spacing w:val="-3"/>
        </w:rPr>
        <w:t> </w:t>
      </w:r>
      <w:r>
        <w:rPr>
          <w:color w:val="231F20"/>
        </w:rPr>
        <w:t>или</w:t>
      </w:r>
      <w:r>
        <w:rPr>
          <w:color w:val="231F20"/>
          <w:spacing w:val="-3"/>
        </w:rPr>
        <w:t> </w:t>
      </w:r>
      <w:r>
        <w:rPr>
          <w:color w:val="231F20"/>
        </w:rPr>
        <w:t>он</w:t>
      </w:r>
      <w:r>
        <w:rPr>
          <w:color w:val="231F20"/>
          <w:spacing w:val="-3"/>
        </w:rPr>
        <w:t> </w:t>
      </w:r>
      <w:r>
        <w:rPr>
          <w:color w:val="231F20"/>
        </w:rPr>
        <w:t>расска- жет сразу. Если ребенок хочет подготовиться, психолог ненавязчиво дает дополни- тельную инструкцию: «Твоя история может быть короткой или длинной, смешной или грустной, глупой или умной, страшной или веселой, в общем – какой ты сам захочешь. Рассказывать можно про что угодно». После такого введения дети охотно начинают рассказывать историю, подчас буквально взахлеб. Задача психолога здесь заключается</w:t>
      </w:r>
      <w:r>
        <w:rPr>
          <w:color w:val="231F20"/>
          <w:spacing w:val="-3"/>
        </w:rPr>
        <w:t> </w:t>
      </w:r>
      <w:r>
        <w:rPr>
          <w:color w:val="231F20"/>
        </w:rPr>
        <w:t>в</w:t>
      </w:r>
      <w:r>
        <w:rPr>
          <w:color w:val="231F20"/>
          <w:spacing w:val="-3"/>
        </w:rPr>
        <w:t> </w:t>
      </w:r>
      <w:r>
        <w:rPr>
          <w:color w:val="231F20"/>
        </w:rPr>
        <w:t>том,</w:t>
      </w:r>
      <w:r>
        <w:rPr>
          <w:color w:val="231F20"/>
          <w:spacing w:val="-3"/>
        </w:rPr>
        <w:t> </w:t>
      </w:r>
      <w:r>
        <w:rPr>
          <w:color w:val="231F20"/>
        </w:rPr>
        <w:t>чтобы</w:t>
      </w:r>
      <w:r>
        <w:rPr>
          <w:color w:val="231F20"/>
          <w:spacing w:val="-3"/>
        </w:rPr>
        <w:t> </w:t>
      </w:r>
      <w:r>
        <w:rPr>
          <w:color w:val="231F20"/>
        </w:rPr>
        <w:t>разобраться</w:t>
      </w:r>
      <w:r>
        <w:rPr>
          <w:color w:val="231F20"/>
          <w:spacing w:val="-3"/>
        </w:rPr>
        <w:t> </w:t>
      </w:r>
      <w:r>
        <w:rPr>
          <w:color w:val="231F20"/>
        </w:rPr>
        <w:t>в</w:t>
      </w:r>
      <w:r>
        <w:rPr>
          <w:color w:val="231F20"/>
          <w:spacing w:val="-3"/>
        </w:rPr>
        <w:t> </w:t>
      </w:r>
      <w:r>
        <w:rPr>
          <w:color w:val="231F20"/>
        </w:rPr>
        <w:t>содержании</w:t>
      </w:r>
      <w:r>
        <w:rPr>
          <w:color w:val="231F20"/>
          <w:spacing w:val="-3"/>
        </w:rPr>
        <w:t> </w:t>
      </w:r>
      <w:r>
        <w:rPr>
          <w:color w:val="231F20"/>
        </w:rPr>
        <w:t>истории.</w:t>
      </w:r>
      <w:r>
        <w:rPr>
          <w:color w:val="231F20"/>
          <w:spacing w:val="-3"/>
        </w:rPr>
        <w:t> </w:t>
      </w:r>
      <w:r>
        <w:rPr>
          <w:color w:val="231F20"/>
        </w:rPr>
        <w:t>Допустимо</w:t>
      </w:r>
      <w:r>
        <w:rPr>
          <w:color w:val="231F20"/>
          <w:spacing w:val="-3"/>
        </w:rPr>
        <w:t> </w:t>
      </w:r>
      <w:r>
        <w:rPr>
          <w:color w:val="231F20"/>
        </w:rPr>
        <w:t>осторожно прерывать</w:t>
      </w:r>
      <w:r>
        <w:rPr>
          <w:color w:val="231F20"/>
          <w:spacing w:val="-3"/>
        </w:rPr>
        <w:t> </w:t>
      </w:r>
      <w:r>
        <w:rPr>
          <w:color w:val="231F20"/>
        </w:rPr>
        <w:t>ребенка,</w:t>
      </w:r>
      <w:r>
        <w:rPr>
          <w:color w:val="231F20"/>
          <w:spacing w:val="-3"/>
        </w:rPr>
        <w:t> </w:t>
      </w:r>
      <w:r>
        <w:rPr>
          <w:color w:val="231F20"/>
        </w:rPr>
        <w:t>спрашивая</w:t>
      </w:r>
      <w:r>
        <w:rPr>
          <w:color w:val="231F20"/>
          <w:spacing w:val="-3"/>
        </w:rPr>
        <w:t> </w:t>
      </w:r>
      <w:r>
        <w:rPr>
          <w:color w:val="231F20"/>
        </w:rPr>
        <w:t>о</w:t>
      </w:r>
      <w:r>
        <w:rPr>
          <w:color w:val="231F20"/>
          <w:spacing w:val="-3"/>
        </w:rPr>
        <w:t> </w:t>
      </w:r>
      <w:r>
        <w:rPr>
          <w:color w:val="231F20"/>
        </w:rPr>
        <w:t>подробностях,</w:t>
      </w:r>
      <w:r>
        <w:rPr>
          <w:color w:val="231F20"/>
          <w:spacing w:val="-3"/>
        </w:rPr>
        <w:t> </w:t>
      </w:r>
      <w:r>
        <w:rPr>
          <w:color w:val="231F20"/>
        </w:rPr>
        <w:t>необходимых</w:t>
      </w:r>
      <w:r>
        <w:rPr>
          <w:color w:val="231F20"/>
          <w:spacing w:val="-3"/>
        </w:rPr>
        <w:t> </w:t>
      </w:r>
      <w:r>
        <w:rPr>
          <w:color w:val="231F20"/>
        </w:rPr>
        <w:t>для</w:t>
      </w:r>
      <w:r>
        <w:rPr>
          <w:color w:val="231F20"/>
          <w:spacing w:val="-3"/>
        </w:rPr>
        <w:t> </w:t>
      </w:r>
      <w:r>
        <w:rPr>
          <w:color w:val="231F20"/>
        </w:rPr>
        <w:t>понимания.</w:t>
      </w:r>
      <w:r>
        <w:rPr>
          <w:color w:val="231F20"/>
          <w:spacing w:val="-2"/>
        </w:rPr>
        <w:t> </w:t>
      </w:r>
      <w:r>
        <w:rPr>
          <w:color w:val="231F20"/>
        </w:rPr>
        <w:t>После получения ответа на вопрос следует «вернуть» ребенка к месту прерывания, напом- нив его последние слова перед вопросом психолога. Если это не будет сделано, то вмешательство</w:t>
      </w:r>
      <w:r>
        <w:rPr>
          <w:color w:val="231F20"/>
          <w:spacing w:val="-3"/>
        </w:rPr>
        <w:t> </w:t>
      </w:r>
      <w:r>
        <w:rPr>
          <w:color w:val="231F20"/>
        </w:rPr>
        <w:t>может</w:t>
      </w:r>
      <w:r>
        <w:rPr>
          <w:color w:val="231F20"/>
          <w:spacing w:val="-3"/>
        </w:rPr>
        <w:t> </w:t>
      </w:r>
      <w:r>
        <w:rPr>
          <w:color w:val="231F20"/>
        </w:rPr>
        <w:t>привести</w:t>
      </w:r>
      <w:r>
        <w:rPr>
          <w:color w:val="231F20"/>
          <w:spacing w:val="-3"/>
        </w:rPr>
        <w:t> </w:t>
      </w:r>
      <w:r>
        <w:rPr>
          <w:color w:val="231F20"/>
        </w:rPr>
        <w:t>к</w:t>
      </w:r>
      <w:r>
        <w:rPr>
          <w:color w:val="231F20"/>
          <w:spacing w:val="-3"/>
        </w:rPr>
        <w:t> </w:t>
      </w:r>
      <w:r>
        <w:rPr>
          <w:color w:val="231F20"/>
        </w:rPr>
        <w:t>существенным</w:t>
      </w:r>
      <w:r>
        <w:rPr>
          <w:color w:val="231F20"/>
          <w:spacing w:val="-3"/>
        </w:rPr>
        <w:t> </w:t>
      </w:r>
      <w:r>
        <w:rPr>
          <w:color w:val="231F20"/>
        </w:rPr>
        <w:t>изменениям</w:t>
      </w:r>
      <w:r>
        <w:rPr>
          <w:color w:val="231F20"/>
          <w:spacing w:val="-3"/>
        </w:rPr>
        <w:t> </w:t>
      </w:r>
      <w:r>
        <w:rPr>
          <w:color w:val="231F20"/>
        </w:rPr>
        <w:t>в</w:t>
      </w:r>
      <w:r>
        <w:rPr>
          <w:color w:val="231F20"/>
          <w:spacing w:val="-3"/>
        </w:rPr>
        <w:t> </w:t>
      </w:r>
      <w:r>
        <w:rPr>
          <w:color w:val="231F20"/>
        </w:rPr>
        <w:t>содержании</w:t>
      </w:r>
      <w:r>
        <w:rPr>
          <w:color w:val="231F20"/>
          <w:spacing w:val="-3"/>
        </w:rPr>
        <w:t> </w:t>
      </w:r>
      <w:r>
        <w:rPr>
          <w:color w:val="231F20"/>
        </w:rPr>
        <w:t>рассказа по</w:t>
      </w:r>
      <w:r>
        <w:rPr>
          <w:color w:val="231F20"/>
          <w:spacing w:val="-13"/>
        </w:rPr>
        <w:t> </w:t>
      </w:r>
      <w:r>
        <w:rPr>
          <w:color w:val="231F20"/>
        </w:rPr>
        <w:t>сравнению</w:t>
      </w:r>
      <w:r>
        <w:rPr>
          <w:color w:val="231F20"/>
          <w:spacing w:val="-12"/>
        </w:rPr>
        <w:t> </w:t>
      </w:r>
      <w:r>
        <w:rPr>
          <w:color w:val="231F20"/>
        </w:rPr>
        <w:t>со</w:t>
      </w:r>
      <w:r>
        <w:rPr>
          <w:color w:val="231F20"/>
          <w:spacing w:val="-13"/>
        </w:rPr>
        <w:t> </w:t>
      </w:r>
      <w:r>
        <w:rPr>
          <w:color w:val="231F20"/>
        </w:rPr>
        <w:t>спонтанным</w:t>
      </w:r>
      <w:r>
        <w:rPr>
          <w:color w:val="231F20"/>
          <w:spacing w:val="-12"/>
        </w:rPr>
        <w:t> </w:t>
      </w:r>
      <w:r>
        <w:rPr>
          <w:color w:val="231F20"/>
        </w:rPr>
        <w:t>творчеством.</w:t>
      </w:r>
      <w:r>
        <w:rPr>
          <w:color w:val="231F20"/>
          <w:spacing w:val="-13"/>
        </w:rPr>
        <w:t> </w:t>
      </w:r>
      <w:r>
        <w:rPr>
          <w:color w:val="231F20"/>
        </w:rPr>
        <w:t>После</w:t>
      </w:r>
      <w:r>
        <w:rPr>
          <w:color w:val="231F20"/>
          <w:spacing w:val="-12"/>
        </w:rPr>
        <w:t> </w:t>
      </w:r>
      <w:r>
        <w:rPr>
          <w:color w:val="231F20"/>
        </w:rPr>
        <w:t>завершения</w:t>
      </w:r>
      <w:r>
        <w:rPr>
          <w:color w:val="231F20"/>
          <w:spacing w:val="-13"/>
        </w:rPr>
        <w:t> </w:t>
      </w:r>
      <w:r>
        <w:rPr>
          <w:color w:val="231F20"/>
        </w:rPr>
        <w:t>рассказа</w:t>
      </w:r>
      <w:r>
        <w:rPr>
          <w:color w:val="231F20"/>
          <w:spacing w:val="-12"/>
        </w:rPr>
        <w:t> </w:t>
      </w:r>
      <w:r>
        <w:rPr>
          <w:color w:val="231F20"/>
        </w:rPr>
        <w:t>психолог</w:t>
      </w:r>
      <w:r>
        <w:rPr>
          <w:color w:val="231F20"/>
          <w:spacing w:val="-13"/>
        </w:rPr>
        <w:t> </w:t>
      </w:r>
      <w:r>
        <w:rPr>
          <w:color w:val="231F20"/>
        </w:rPr>
        <w:t>про- сит ребенка подумать над тем, какую мораль содержит в себе его история. Зачастую слово</w:t>
      </w:r>
      <w:r>
        <w:rPr>
          <w:color w:val="231F20"/>
          <w:spacing w:val="-1"/>
        </w:rPr>
        <w:t> </w:t>
      </w:r>
      <w:r>
        <w:rPr>
          <w:color w:val="231F20"/>
        </w:rPr>
        <w:t>«мораль»</w:t>
      </w:r>
      <w:r>
        <w:rPr>
          <w:color w:val="231F20"/>
          <w:spacing w:val="-1"/>
        </w:rPr>
        <w:t> </w:t>
      </w:r>
      <w:r>
        <w:rPr>
          <w:color w:val="231F20"/>
        </w:rPr>
        <w:t>непонятно детям.</w:t>
      </w:r>
      <w:r>
        <w:rPr>
          <w:color w:val="231F20"/>
          <w:spacing w:val="-1"/>
        </w:rPr>
        <w:t> </w:t>
      </w:r>
      <w:r>
        <w:rPr>
          <w:color w:val="231F20"/>
        </w:rPr>
        <w:t>В</w:t>
      </w:r>
      <w:r>
        <w:rPr>
          <w:color w:val="231F20"/>
          <w:spacing w:val="-1"/>
        </w:rPr>
        <w:t> </w:t>
      </w:r>
      <w:r>
        <w:rPr>
          <w:color w:val="231F20"/>
        </w:rPr>
        <w:t>этом</w:t>
      </w:r>
      <w:r>
        <w:rPr>
          <w:color w:val="231F20"/>
          <w:spacing w:val="-1"/>
        </w:rPr>
        <w:t> </w:t>
      </w:r>
      <w:r>
        <w:rPr>
          <w:color w:val="231F20"/>
        </w:rPr>
        <w:t>случае</w:t>
      </w:r>
      <w:r>
        <w:rPr>
          <w:color w:val="231F20"/>
          <w:spacing w:val="-1"/>
        </w:rPr>
        <w:t> </w:t>
      </w:r>
      <w:r>
        <w:rPr>
          <w:color w:val="231F20"/>
        </w:rPr>
        <w:t>необходимо</w:t>
      </w:r>
      <w:r>
        <w:rPr>
          <w:color w:val="231F20"/>
          <w:spacing w:val="-1"/>
        </w:rPr>
        <w:t> </w:t>
      </w:r>
      <w:r>
        <w:rPr>
          <w:color w:val="231F20"/>
        </w:rPr>
        <w:t>привести</w:t>
      </w:r>
      <w:r>
        <w:rPr>
          <w:color w:val="231F20"/>
          <w:spacing w:val="-1"/>
        </w:rPr>
        <w:t> </w:t>
      </w:r>
      <w:r>
        <w:rPr>
          <w:color w:val="231F20"/>
        </w:rPr>
        <w:t>примеры,</w:t>
      </w:r>
      <w:r>
        <w:rPr>
          <w:color w:val="231F20"/>
          <w:spacing w:val="-1"/>
        </w:rPr>
        <w:t> </w:t>
      </w:r>
      <w:r>
        <w:rPr>
          <w:color w:val="231F20"/>
        </w:rPr>
        <w:t>по- добные следующему: «История о человеке, который много трудился и потом нашел мешок</w:t>
      </w:r>
      <w:r>
        <w:rPr>
          <w:color w:val="231F20"/>
          <w:spacing w:val="-7"/>
        </w:rPr>
        <w:t> </w:t>
      </w:r>
      <w:r>
        <w:rPr>
          <w:color w:val="231F20"/>
        </w:rPr>
        <w:t>золота,</w:t>
      </w:r>
      <w:r>
        <w:rPr>
          <w:color w:val="231F20"/>
          <w:spacing w:val="-7"/>
        </w:rPr>
        <w:t> </w:t>
      </w:r>
      <w:r>
        <w:rPr>
          <w:color w:val="231F20"/>
        </w:rPr>
        <w:t>говорит</w:t>
      </w:r>
      <w:r>
        <w:rPr>
          <w:color w:val="231F20"/>
          <w:spacing w:val="-7"/>
        </w:rPr>
        <w:t> </w:t>
      </w:r>
      <w:r>
        <w:rPr>
          <w:color w:val="231F20"/>
        </w:rPr>
        <w:t>о</w:t>
      </w:r>
      <w:r>
        <w:rPr>
          <w:color w:val="231F20"/>
          <w:spacing w:val="-7"/>
        </w:rPr>
        <w:t> </w:t>
      </w:r>
      <w:r>
        <w:rPr>
          <w:color w:val="231F20"/>
        </w:rPr>
        <w:t>том,</w:t>
      </w:r>
      <w:r>
        <w:rPr>
          <w:color w:val="231F20"/>
          <w:spacing w:val="-7"/>
        </w:rPr>
        <w:t> </w:t>
      </w:r>
      <w:r>
        <w:rPr>
          <w:color w:val="231F20"/>
        </w:rPr>
        <w:t>что</w:t>
      </w:r>
      <w:r>
        <w:rPr>
          <w:color w:val="231F20"/>
          <w:spacing w:val="-7"/>
        </w:rPr>
        <w:t> </w:t>
      </w:r>
      <w:r>
        <w:rPr>
          <w:color w:val="231F20"/>
        </w:rPr>
        <w:t>трудиться</w:t>
      </w:r>
      <w:r>
        <w:rPr>
          <w:color w:val="231F20"/>
          <w:spacing w:val="-7"/>
        </w:rPr>
        <w:t> </w:t>
      </w:r>
      <w:r>
        <w:rPr>
          <w:color w:val="231F20"/>
        </w:rPr>
        <w:t>–</w:t>
      </w:r>
      <w:r>
        <w:rPr>
          <w:color w:val="231F20"/>
          <w:spacing w:val="-7"/>
        </w:rPr>
        <w:t> </w:t>
      </w:r>
      <w:r>
        <w:rPr>
          <w:color w:val="231F20"/>
        </w:rPr>
        <w:t>хорошо»</w:t>
      </w:r>
      <w:r>
        <w:rPr>
          <w:color w:val="231F20"/>
          <w:spacing w:val="-7"/>
        </w:rPr>
        <w:t> </w:t>
      </w:r>
      <w:r>
        <w:rPr>
          <w:color w:val="231F20"/>
        </w:rPr>
        <w:t>–</w:t>
      </w:r>
      <w:r>
        <w:rPr>
          <w:color w:val="231F20"/>
          <w:spacing w:val="-7"/>
        </w:rPr>
        <w:t> </w:t>
      </w:r>
      <w:r>
        <w:rPr>
          <w:color w:val="231F20"/>
        </w:rPr>
        <w:t>и</w:t>
      </w:r>
      <w:r>
        <w:rPr>
          <w:color w:val="231F20"/>
          <w:spacing w:val="-7"/>
        </w:rPr>
        <w:t> </w:t>
      </w:r>
      <w:r>
        <w:rPr>
          <w:color w:val="231F20"/>
        </w:rPr>
        <w:t>попросить</w:t>
      </w:r>
      <w:r>
        <w:rPr>
          <w:color w:val="231F20"/>
          <w:spacing w:val="-7"/>
        </w:rPr>
        <w:t> </w:t>
      </w:r>
      <w:r>
        <w:rPr>
          <w:color w:val="231F20"/>
        </w:rPr>
        <w:t>придумать</w:t>
      </w:r>
      <w:r>
        <w:rPr>
          <w:color w:val="231F20"/>
          <w:spacing w:val="-7"/>
        </w:rPr>
        <w:t> </w:t>
      </w:r>
      <w:r>
        <w:rPr>
          <w:color w:val="231F20"/>
        </w:rPr>
        <w:t>ана- логичный</w:t>
      </w:r>
      <w:r>
        <w:rPr>
          <w:color w:val="231F20"/>
          <w:spacing w:val="-13"/>
        </w:rPr>
        <w:t> </w:t>
      </w:r>
      <w:r>
        <w:rPr>
          <w:color w:val="231F20"/>
        </w:rPr>
        <w:t>«урок»,</w:t>
      </w:r>
      <w:r>
        <w:rPr>
          <w:color w:val="231F20"/>
          <w:spacing w:val="-12"/>
        </w:rPr>
        <w:t> </w:t>
      </w:r>
      <w:r>
        <w:rPr>
          <w:color w:val="231F20"/>
        </w:rPr>
        <w:t>«вывод»</w:t>
      </w:r>
      <w:r>
        <w:rPr>
          <w:color w:val="231F20"/>
          <w:spacing w:val="-13"/>
        </w:rPr>
        <w:t> </w:t>
      </w:r>
      <w:r>
        <w:rPr>
          <w:color w:val="231F20"/>
        </w:rPr>
        <w:t>из</w:t>
      </w:r>
      <w:r>
        <w:rPr>
          <w:color w:val="231F20"/>
          <w:spacing w:val="-12"/>
        </w:rPr>
        <w:t> </w:t>
      </w:r>
      <w:r>
        <w:rPr>
          <w:color w:val="231F20"/>
        </w:rPr>
        <w:t>своей</w:t>
      </w:r>
      <w:r>
        <w:rPr>
          <w:color w:val="231F20"/>
          <w:spacing w:val="-13"/>
        </w:rPr>
        <w:t> </w:t>
      </w:r>
      <w:r>
        <w:rPr>
          <w:color w:val="231F20"/>
        </w:rPr>
        <w:t>истории,</w:t>
      </w:r>
      <w:r>
        <w:rPr>
          <w:color w:val="231F20"/>
          <w:spacing w:val="-12"/>
        </w:rPr>
        <w:t> </w:t>
      </w:r>
      <w:r>
        <w:rPr>
          <w:color w:val="231F20"/>
        </w:rPr>
        <w:t>сказать,</w:t>
      </w:r>
      <w:r>
        <w:rPr>
          <w:color w:val="231F20"/>
          <w:spacing w:val="-13"/>
        </w:rPr>
        <w:t> </w:t>
      </w:r>
      <w:r>
        <w:rPr>
          <w:color w:val="231F20"/>
        </w:rPr>
        <w:t>«чему</w:t>
      </w:r>
      <w:r>
        <w:rPr>
          <w:color w:val="231F20"/>
          <w:spacing w:val="-12"/>
        </w:rPr>
        <w:t> </w:t>
      </w:r>
      <w:r>
        <w:rPr>
          <w:color w:val="231F20"/>
        </w:rPr>
        <w:t>она</w:t>
      </w:r>
      <w:r>
        <w:rPr>
          <w:color w:val="231F20"/>
          <w:spacing w:val="-13"/>
        </w:rPr>
        <w:t> </w:t>
      </w:r>
      <w:r>
        <w:rPr>
          <w:color w:val="231F20"/>
        </w:rPr>
        <w:t>учит».</w:t>
      </w:r>
      <w:r>
        <w:rPr>
          <w:color w:val="231F20"/>
          <w:spacing w:val="-12"/>
        </w:rPr>
        <w:t> </w:t>
      </w:r>
      <w:r>
        <w:rPr>
          <w:color w:val="231F20"/>
        </w:rPr>
        <w:t>Как</w:t>
      </w:r>
      <w:r>
        <w:rPr>
          <w:color w:val="231F20"/>
          <w:spacing w:val="-13"/>
        </w:rPr>
        <w:t> </w:t>
      </w:r>
      <w:r>
        <w:rPr>
          <w:color w:val="231F20"/>
        </w:rPr>
        <w:t>показыва- ет</w:t>
      </w:r>
      <w:r>
        <w:rPr>
          <w:color w:val="231F20"/>
          <w:spacing w:val="-13"/>
        </w:rPr>
        <w:t> </w:t>
      </w:r>
      <w:r>
        <w:rPr>
          <w:color w:val="231F20"/>
        </w:rPr>
        <w:t>практика,</w:t>
      </w:r>
      <w:r>
        <w:rPr>
          <w:color w:val="231F20"/>
          <w:spacing w:val="-12"/>
        </w:rPr>
        <w:t> </w:t>
      </w:r>
      <w:r>
        <w:rPr>
          <w:color w:val="231F20"/>
        </w:rPr>
        <w:t>примерно</w:t>
      </w:r>
      <w:r>
        <w:rPr>
          <w:color w:val="231F20"/>
          <w:spacing w:val="-13"/>
        </w:rPr>
        <w:t> </w:t>
      </w:r>
      <w:r>
        <w:rPr>
          <w:color w:val="231F20"/>
        </w:rPr>
        <w:t>с</w:t>
      </w:r>
      <w:r>
        <w:rPr>
          <w:color w:val="231F20"/>
          <w:spacing w:val="-12"/>
        </w:rPr>
        <w:t> </w:t>
      </w:r>
      <w:r>
        <w:rPr>
          <w:color w:val="231F20"/>
        </w:rPr>
        <w:t>8–9</w:t>
      </w:r>
      <w:r>
        <w:rPr>
          <w:color w:val="231F20"/>
          <w:spacing w:val="-13"/>
        </w:rPr>
        <w:t> </w:t>
      </w:r>
      <w:r>
        <w:rPr>
          <w:color w:val="231F20"/>
        </w:rPr>
        <w:t>лет</w:t>
      </w:r>
      <w:r>
        <w:rPr>
          <w:color w:val="231F20"/>
          <w:spacing w:val="-12"/>
        </w:rPr>
        <w:t> </w:t>
      </w:r>
      <w:r>
        <w:rPr>
          <w:color w:val="231F20"/>
        </w:rPr>
        <w:t>дети</w:t>
      </w:r>
      <w:r>
        <w:rPr>
          <w:color w:val="231F20"/>
          <w:spacing w:val="-13"/>
        </w:rPr>
        <w:t> </w:t>
      </w:r>
      <w:r>
        <w:rPr>
          <w:color w:val="231F20"/>
        </w:rPr>
        <w:t>справляются</w:t>
      </w:r>
      <w:r>
        <w:rPr>
          <w:color w:val="231F20"/>
          <w:spacing w:val="-12"/>
        </w:rPr>
        <w:t> </w:t>
      </w:r>
      <w:r>
        <w:rPr>
          <w:color w:val="231F20"/>
        </w:rPr>
        <w:t>с</w:t>
      </w:r>
      <w:r>
        <w:rPr>
          <w:color w:val="231F20"/>
          <w:spacing w:val="-13"/>
        </w:rPr>
        <w:t> </w:t>
      </w:r>
      <w:r>
        <w:rPr>
          <w:color w:val="231F20"/>
        </w:rPr>
        <w:t>таким</w:t>
      </w:r>
      <w:r>
        <w:rPr>
          <w:color w:val="231F20"/>
          <w:spacing w:val="-12"/>
        </w:rPr>
        <w:t> </w:t>
      </w:r>
      <w:r>
        <w:rPr>
          <w:color w:val="231F20"/>
        </w:rPr>
        <w:t>заданием,</w:t>
      </w:r>
      <w:r>
        <w:rPr>
          <w:color w:val="231F20"/>
          <w:spacing w:val="-13"/>
        </w:rPr>
        <w:t> </w:t>
      </w:r>
      <w:r>
        <w:rPr>
          <w:color w:val="231F20"/>
        </w:rPr>
        <w:t>если</w:t>
      </w:r>
      <w:r>
        <w:rPr>
          <w:color w:val="231F20"/>
          <w:spacing w:val="-12"/>
        </w:rPr>
        <w:t> </w:t>
      </w:r>
      <w:r>
        <w:rPr>
          <w:color w:val="231F20"/>
        </w:rPr>
        <w:t>содержание и</w:t>
      </w:r>
      <w:r>
        <w:rPr>
          <w:color w:val="231F20"/>
          <w:spacing w:val="-11"/>
        </w:rPr>
        <w:t> </w:t>
      </w:r>
      <w:r>
        <w:rPr>
          <w:color w:val="231F20"/>
        </w:rPr>
        <w:t>основная</w:t>
      </w:r>
      <w:r>
        <w:rPr>
          <w:color w:val="231F20"/>
          <w:spacing w:val="-11"/>
        </w:rPr>
        <w:t> </w:t>
      </w:r>
      <w:r>
        <w:rPr>
          <w:color w:val="231F20"/>
        </w:rPr>
        <w:t>проблема</w:t>
      </w:r>
      <w:r>
        <w:rPr>
          <w:color w:val="231F20"/>
          <w:spacing w:val="-11"/>
        </w:rPr>
        <w:t> </w:t>
      </w:r>
      <w:r>
        <w:rPr>
          <w:color w:val="231F20"/>
        </w:rPr>
        <w:t>истории</w:t>
      </w:r>
      <w:r>
        <w:rPr>
          <w:color w:val="231F20"/>
          <w:spacing w:val="-11"/>
        </w:rPr>
        <w:t> </w:t>
      </w:r>
      <w:r>
        <w:rPr>
          <w:color w:val="231F20"/>
        </w:rPr>
        <w:t>хотя</w:t>
      </w:r>
      <w:r>
        <w:rPr>
          <w:color w:val="231F20"/>
          <w:spacing w:val="-11"/>
        </w:rPr>
        <w:t> </w:t>
      </w:r>
      <w:r>
        <w:rPr>
          <w:color w:val="231F20"/>
        </w:rPr>
        <w:t>бы</w:t>
      </w:r>
      <w:r>
        <w:rPr>
          <w:color w:val="231F20"/>
          <w:spacing w:val="-11"/>
        </w:rPr>
        <w:t> </w:t>
      </w:r>
      <w:r>
        <w:rPr>
          <w:color w:val="231F20"/>
        </w:rPr>
        <w:t>отчасти</w:t>
      </w:r>
      <w:r>
        <w:rPr>
          <w:color w:val="231F20"/>
          <w:spacing w:val="-11"/>
        </w:rPr>
        <w:t> </w:t>
      </w:r>
      <w:r>
        <w:rPr>
          <w:color w:val="231F20"/>
        </w:rPr>
        <w:t>ими</w:t>
      </w:r>
      <w:r>
        <w:rPr>
          <w:color w:val="231F20"/>
          <w:spacing w:val="-11"/>
        </w:rPr>
        <w:t> </w:t>
      </w:r>
      <w:r>
        <w:rPr>
          <w:color w:val="231F20"/>
        </w:rPr>
        <w:t>осознаются.</w:t>
      </w:r>
      <w:r>
        <w:rPr>
          <w:color w:val="231F20"/>
          <w:spacing w:val="-11"/>
        </w:rPr>
        <w:t> </w:t>
      </w:r>
      <w:r>
        <w:rPr>
          <w:color w:val="231F20"/>
        </w:rPr>
        <w:t>Этот</w:t>
      </w:r>
      <w:r>
        <w:rPr>
          <w:color w:val="231F20"/>
          <w:spacing w:val="-11"/>
        </w:rPr>
        <w:t> </w:t>
      </w:r>
      <w:r>
        <w:rPr>
          <w:color w:val="231F20"/>
        </w:rPr>
        <w:t>«вывод»</w:t>
      </w:r>
      <w:r>
        <w:rPr>
          <w:color w:val="231F20"/>
          <w:spacing w:val="-11"/>
        </w:rPr>
        <w:t> </w:t>
      </w:r>
      <w:r>
        <w:rPr>
          <w:color w:val="231F20"/>
        </w:rPr>
        <w:t>являет- ся</w:t>
      </w:r>
      <w:r>
        <w:rPr>
          <w:color w:val="231F20"/>
          <w:spacing w:val="-3"/>
        </w:rPr>
        <w:t> </w:t>
      </w:r>
      <w:r>
        <w:rPr>
          <w:color w:val="231F20"/>
        </w:rPr>
        <w:t>очень</w:t>
      </w:r>
      <w:r>
        <w:rPr>
          <w:color w:val="231F20"/>
          <w:spacing w:val="-3"/>
        </w:rPr>
        <w:t> </w:t>
      </w:r>
      <w:r>
        <w:rPr>
          <w:color w:val="231F20"/>
        </w:rPr>
        <w:t>значимым,</w:t>
      </w:r>
      <w:r>
        <w:rPr>
          <w:color w:val="231F20"/>
          <w:spacing w:val="-3"/>
        </w:rPr>
        <w:t> </w:t>
      </w:r>
      <w:r>
        <w:rPr>
          <w:color w:val="231F20"/>
        </w:rPr>
        <w:t>он</w:t>
      </w:r>
      <w:r>
        <w:rPr>
          <w:color w:val="231F20"/>
          <w:spacing w:val="-3"/>
        </w:rPr>
        <w:t> </w:t>
      </w:r>
      <w:r>
        <w:rPr>
          <w:color w:val="231F20"/>
        </w:rPr>
        <w:t>показывает,</w:t>
      </w:r>
      <w:r>
        <w:rPr>
          <w:color w:val="231F20"/>
          <w:spacing w:val="-3"/>
        </w:rPr>
        <w:t> </w:t>
      </w:r>
      <w:r>
        <w:rPr>
          <w:color w:val="231F20"/>
        </w:rPr>
        <w:t>какие</w:t>
      </w:r>
      <w:r>
        <w:rPr>
          <w:color w:val="231F20"/>
          <w:spacing w:val="-3"/>
        </w:rPr>
        <w:t> </w:t>
      </w:r>
      <w:r>
        <w:rPr>
          <w:color w:val="231F20"/>
        </w:rPr>
        <w:t>смысловые</w:t>
      </w:r>
      <w:r>
        <w:rPr>
          <w:color w:val="231F20"/>
          <w:spacing w:val="-3"/>
        </w:rPr>
        <w:t> </w:t>
      </w:r>
      <w:r>
        <w:rPr>
          <w:color w:val="231F20"/>
        </w:rPr>
        <w:t>акценты</w:t>
      </w:r>
      <w:r>
        <w:rPr>
          <w:color w:val="231F20"/>
          <w:spacing w:val="-3"/>
        </w:rPr>
        <w:t> </w:t>
      </w:r>
      <w:r>
        <w:rPr>
          <w:color w:val="231F20"/>
        </w:rPr>
        <w:t>в</w:t>
      </w:r>
      <w:r>
        <w:rPr>
          <w:color w:val="231F20"/>
          <w:spacing w:val="-3"/>
        </w:rPr>
        <w:t> </w:t>
      </w:r>
      <w:r>
        <w:rPr>
          <w:color w:val="231F20"/>
        </w:rPr>
        <w:t>истории</w:t>
      </w:r>
      <w:r>
        <w:rPr>
          <w:color w:val="231F20"/>
          <w:spacing w:val="-3"/>
        </w:rPr>
        <w:t> </w:t>
      </w:r>
      <w:r>
        <w:rPr>
          <w:color w:val="231F20"/>
        </w:rPr>
        <w:t>расставляет сам ребенок, и позволяет избегать ненужных или неадекватных интервенций. Если смысл</w:t>
      </w:r>
      <w:r>
        <w:rPr>
          <w:color w:val="231F20"/>
          <w:spacing w:val="-5"/>
        </w:rPr>
        <w:t> </w:t>
      </w:r>
      <w:r>
        <w:rPr>
          <w:color w:val="231F20"/>
        </w:rPr>
        <w:t>истории</w:t>
      </w:r>
      <w:r>
        <w:rPr>
          <w:color w:val="231F20"/>
          <w:spacing w:val="-5"/>
        </w:rPr>
        <w:t> </w:t>
      </w:r>
      <w:r>
        <w:rPr>
          <w:color w:val="231F20"/>
        </w:rPr>
        <w:t>не</w:t>
      </w:r>
      <w:r>
        <w:rPr>
          <w:color w:val="231F20"/>
          <w:spacing w:val="-5"/>
        </w:rPr>
        <w:t> </w:t>
      </w:r>
      <w:r>
        <w:rPr>
          <w:color w:val="231F20"/>
        </w:rPr>
        <w:t>ясен</w:t>
      </w:r>
      <w:r>
        <w:rPr>
          <w:color w:val="231F20"/>
          <w:spacing w:val="-5"/>
        </w:rPr>
        <w:t> </w:t>
      </w:r>
      <w:r>
        <w:rPr>
          <w:color w:val="231F20"/>
        </w:rPr>
        <w:t>для</w:t>
      </w:r>
      <w:r>
        <w:rPr>
          <w:color w:val="231F20"/>
          <w:spacing w:val="-5"/>
        </w:rPr>
        <w:t> </w:t>
      </w:r>
      <w:r>
        <w:rPr>
          <w:color w:val="231F20"/>
        </w:rPr>
        <w:t>терапевта,</w:t>
      </w:r>
      <w:r>
        <w:rPr>
          <w:color w:val="231F20"/>
          <w:spacing w:val="-5"/>
        </w:rPr>
        <w:t> </w:t>
      </w:r>
      <w:r>
        <w:rPr>
          <w:color w:val="231F20"/>
        </w:rPr>
        <w:t>он</w:t>
      </w:r>
      <w:r>
        <w:rPr>
          <w:color w:val="231F20"/>
          <w:spacing w:val="-5"/>
        </w:rPr>
        <w:t> </w:t>
      </w:r>
      <w:r>
        <w:rPr>
          <w:color w:val="231F20"/>
        </w:rPr>
        <w:t>не</w:t>
      </w:r>
      <w:r>
        <w:rPr>
          <w:color w:val="231F20"/>
          <w:spacing w:val="-5"/>
        </w:rPr>
        <w:t> </w:t>
      </w:r>
      <w:r>
        <w:rPr>
          <w:color w:val="231F20"/>
        </w:rPr>
        <w:t>может</w:t>
      </w:r>
      <w:r>
        <w:rPr>
          <w:color w:val="231F20"/>
          <w:spacing w:val="-5"/>
        </w:rPr>
        <w:t> </w:t>
      </w:r>
      <w:r>
        <w:rPr>
          <w:color w:val="231F20"/>
        </w:rPr>
        <w:t>«расшифровать»</w:t>
      </w:r>
      <w:r>
        <w:rPr>
          <w:color w:val="231F20"/>
          <w:spacing w:val="-5"/>
        </w:rPr>
        <w:t> </w:t>
      </w:r>
      <w:r>
        <w:rPr>
          <w:color w:val="231F20"/>
        </w:rPr>
        <w:t>переживания</w:t>
      </w:r>
      <w:r>
        <w:rPr>
          <w:color w:val="231F20"/>
          <w:spacing w:val="-5"/>
        </w:rPr>
        <w:t> </w:t>
      </w:r>
      <w:r>
        <w:rPr>
          <w:color w:val="231F20"/>
        </w:rPr>
        <w:t>ре- бенка,</w:t>
      </w:r>
      <w:r>
        <w:rPr>
          <w:color w:val="231F20"/>
          <w:spacing w:val="-7"/>
        </w:rPr>
        <w:t> </w:t>
      </w:r>
      <w:r>
        <w:rPr>
          <w:color w:val="231F20"/>
        </w:rPr>
        <w:t>можно</w:t>
      </w:r>
      <w:r>
        <w:rPr>
          <w:color w:val="231F20"/>
          <w:spacing w:val="-7"/>
        </w:rPr>
        <w:t> </w:t>
      </w:r>
      <w:r>
        <w:rPr>
          <w:color w:val="231F20"/>
        </w:rPr>
        <w:t>попросить</w:t>
      </w:r>
      <w:r>
        <w:rPr>
          <w:color w:val="231F20"/>
          <w:spacing w:val="-7"/>
        </w:rPr>
        <w:t> </w:t>
      </w:r>
      <w:r>
        <w:rPr>
          <w:color w:val="231F20"/>
        </w:rPr>
        <w:t>ребенка</w:t>
      </w:r>
      <w:r>
        <w:rPr>
          <w:color w:val="231F20"/>
          <w:spacing w:val="-7"/>
        </w:rPr>
        <w:t> </w:t>
      </w:r>
      <w:r>
        <w:rPr>
          <w:color w:val="231F20"/>
        </w:rPr>
        <w:t>идентифицировать</w:t>
      </w:r>
      <w:r>
        <w:rPr>
          <w:color w:val="231F20"/>
          <w:spacing w:val="-7"/>
        </w:rPr>
        <w:t> </w:t>
      </w:r>
      <w:r>
        <w:rPr>
          <w:color w:val="231F20"/>
        </w:rPr>
        <w:t>себя</w:t>
      </w:r>
      <w:r>
        <w:rPr>
          <w:color w:val="231F20"/>
          <w:spacing w:val="-7"/>
        </w:rPr>
        <w:t> </w:t>
      </w:r>
      <w:r>
        <w:rPr>
          <w:color w:val="231F20"/>
        </w:rPr>
        <w:t>и</w:t>
      </w:r>
      <w:r>
        <w:rPr>
          <w:color w:val="231F20"/>
          <w:spacing w:val="-7"/>
        </w:rPr>
        <w:t> </w:t>
      </w:r>
      <w:r>
        <w:rPr>
          <w:color w:val="231F20"/>
        </w:rPr>
        <w:t>своих</w:t>
      </w:r>
      <w:r>
        <w:rPr>
          <w:color w:val="231F20"/>
          <w:spacing w:val="-7"/>
        </w:rPr>
        <w:t> </w:t>
      </w:r>
      <w:r>
        <w:rPr>
          <w:color w:val="231F20"/>
        </w:rPr>
        <w:t>близких</w:t>
      </w:r>
      <w:r>
        <w:rPr>
          <w:color w:val="231F20"/>
          <w:spacing w:val="-7"/>
        </w:rPr>
        <w:t> </w:t>
      </w:r>
      <w:r>
        <w:rPr>
          <w:color w:val="231F20"/>
        </w:rPr>
        <w:t>или</w:t>
      </w:r>
      <w:r>
        <w:rPr>
          <w:color w:val="231F20"/>
          <w:spacing w:val="-7"/>
        </w:rPr>
        <w:t> </w:t>
      </w:r>
      <w:r>
        <w:rPr>
          <w:color w:val="231F20"/>
        </w:rPr>
        <w:t>знако- мых</w:t>
      </w:r>
      <w:r>
        <w:rPr>
          <w:color w:val="231F20"/>
          <w:spacing w:val="-4"/>
        </w:rPr>
        <w:t> </w:t>
      </w:r>
      <w:r>
        <w:rPr>
          <w:color w:val="231F20"/>
        </w:rPr>
        <w:t>с</w:t>
      </w:r>
      <w:r>
        <w:rPr>
          <w:color w:val="231F20"/>
          <w:spacing w:val="-4"/>
        </w:rPr>
        <w:t> </w:t>
      </w:r>
      <w:r>
        <w:rPr>
          <w:color w:val="231F20"/>
        </w:rPr>
        <w:t>героями</w:t>
      </w:r>
      <w:r>
        <w:rPr>
          <w:color w:val="231F20"/>
          <w:spacing w:val="-4"/>
        </w:rPr>
        <w:t> </w:t>
      </w:r>
      <w:r>
        <w:rPr>
          <w:color w:val="231F20"/>
        </w:rPr>
        <w:t>истории:</w:t>
      </w:r>
      <w:r>
        <w:rPr>
          <w:color w:val="231F20"/>
          <w:spacing w:val="-4"/>
        </w:rPr>
        <w:t> </w:t>
      </w:r>
      <w:r>
        <w:rPr>
          <w:color w:val="231F20"/>
        </w:rPr>
        <w:t>«Если</w:t>
      </w:r>
      <w:r>
        <w:rPr>
          <w:color w:val="231F20"/>
          <w:spacing w:val="-4"/>
        </w:rPr>
        <w:t> </w:t>
      </w:r>
      <w:r>
        <w:rPr>
          <w:color w:val="231F20"/>
        </w:rPr>
        <w:t>бы</w:t>
      </w:r>
      <w:r>
        <w:rPr>
          <w:color w:val="231F20"/>
          <w:spacing w:val="-4"/>
        </w:rPr>
        <w:t> </w:t>
      </w:r>
      <w:r>
        <w:rPr>
          <w:color w:val="231F20"/>
        </w:rPr>
        <w:t>ты</w:t>
      </w:r>
      <w:r>
        <w:rPr>
          <w:color w:val="231F20"/>
          <w:spacing w:val="-4"/>
        </w:rPr>
        <w:t> </w:t>
      </w:r>
      <w:r>
        <w:rPr>
          <w:color w:val="231F20"/>
        </w:rPr>
        <w:t>был</w:t>
      </w:r>
      <w:r>
        <w:rPr>
          <w:color w:val="231F20"/>
          <w:spacing w:val="-4"/>
        </w:rPr>
        <w:t> </w:t>
      </w:r>
      <w:r>
        <w:rPr>
          <w:color w:val="231F20"/>
        </w:rPr>
        <w:t>волшебником,</w:t>
      </w:r>
      <w:r>
        <w:rPr>
          <w:color w:val="231F20"/>
          <w:spacing w:val="-4"/>
        </w:rPr>
        <w:t> </w:t>
      </w:r>
      <w:r>
        <w:rPr>
          <w:color w:val="231F20"/>
        </w:rPr>
        <w:t>то</w:t>
      </w:r>
      <w:r>
        <w:rPr>
          <w:color w:val="231F20"/>
          <w:spacing w:val="-4"/>
        </w:rPr>
        <w:t> </w:t>
      </w:r>
      <w:r>
        <w:rPr>
          <w:color w:val="231F20"/>
        </w:rPr>
        <w:t>в</w:t>
      </w:r>
      <w:r>
        <w:rPr>
          <w:color w:val="231F20"/>
          <w:spacing w:val="-4"/>
        </w:rPr>
        <w:t> </w:t>
      </w:r>
      <w:r>
        <w:rPr>
          <w:color w:val="231F20"/>
        </w:rPr>
        <w:t>кого</w:t>
      </w:r>
      <w:r>
        <w:rPr>
          <w:color w:val="231F20"/>
          <w:spacing w:val="-4"/>
        </w:rPr>
        <w:t> </w:t>
      </w:r>
      <w:r>
        <w:rPr>
          <w:color w:val="231F20"/>
        </w:rPr>
        <w:t>бы</w:t>
      </w:r>
      <w:r>
        <w:rPr>
          <w:color w:val="231F20"/>
          <w:spacing w:val="-4"/>
        </w:rPr>
        <w:t> </w:t>
      </w:r>
      <w:r>
        <w:rPr>
          <w:color w:val="231F20"/>
        </w:rPr>
        <w:t>превратился?». Как правило, полученные сведения весьма информативны, однако надо учитывать специфику защитных механизмов, которые могут привести к тому, что заявленная ребенком идентификация (прежде всего – самого себя) не будет соответствовать су- ществовавшей</w:t>
      </w:r>
      <w:r>
        <w:rPr>
          <w:color w:val="231F20"/>
          <w:spacing w:val="-13"/>
        </w:rPr>
        <w:t> </w:t>
      </w:r>
      <w:r>
        <w:rPr>
          <w:color w:val="231F20"/>
        </w:rPr>
        <w:t>в</w:t>
      </w:r>
      <w:r>
        <w:rPr>
          <w:color w:val="231F20"/>
          <w:spacing w:val="-12"/>
        </w:rPr>
        <w:t> </w:t>
      </w:r>
      <w:r>
        <w:rPr>
          <w:color w:val="231F20"/>
        </w:rPr>
        <w:t>момент</w:t>
      </w:r>
      <w:r>
        <w:rPr>
          <w:color w:val="231F20"/>
          <w:spacing w:val="-13"/>
        </w:rPr>
        <w:t> </w:t>
      </w:r>
      <w:r>
        <w:rPr>
          <w:color w:val="231F20"/>
        </w:rPr>
        <w:t>рассказывания.</w:t>
      </w:r>
      <w:r>
        <w:rPr>
          <w:color w:val="231F20"/>
          <w:spacing w:val="-12"/>
        </w:rPr>
        <w:t> </w:t>
      </w:r>
      <w:r>
        <w:rPr>
          <w:color w:val="231F20"/>
        </w:rPr>
        <w:t>Когда</w:t>
      </w:r>
      <w:r>
        <w:rPr>
          <w:color w:val="231F20"/>
          <w:spacing w:val="-13"/>
        </w:rPr>
        <w:t> </w:t>
      </w:r>
      <w:r>
        <w:rPr>
          <w:color w:val="231F20"/>
        </w:rPr>
        <w:t>все</w:t>
      </w:r>
      <w:r>
        <w:rPr>
          <w:color w:val="231F20"/>
          <w:spacing w:val="-12"/>
        </w:rPr>
        <w:t> </w:t>
      </w:r>
      <w:r>
        <w:rPr>
          <w:color w:val="231F20"/>
        </w:rPr>
        <w:t>выяснено,</w:t>
      </w:r>
      <w:r>
        <w:rPr>
          <w:color w:val="231F20"/>
          <w:spacing w:val="-13"/>
        </w:rPr>
        <w:t> </w:t>
      </w:r>
      <w:r>
        <w:rPr>
          <w:color w:val="231F20"/>
        </w:rPr>
        <w:t>объявляется</w:t>
      </w:r>
      <w:r>
        <w:rPr>
          <w:color w:val="231F20"/>
          <w:spacing w:val="-12"/>
        </w:rPr>
        <w:t> </w:t>
      </w:r>
      <w:r>
        <w:rPr>
          <w:color w:val="231F20"/>
        </w:rPr>
        <w:t>«рекламная пауза»,</w:t>
      </w:r>
      <w:r>
        <w:rPr>
          <w:color w:val="231F20"/>
          <w:spacing w:val="-3"/>
        </w:rPr>
        <w:t> </w:t>
      </w:r>
      <w:r>
        <w:rPr>
          <w:color w:val="231F20"/>
        </w:rPr>
        <w:t>во</w:t>
      </w:r>
      <w:r>
        <w:rPr>
          <w:color w:val="231F20"/>
          <w:spacing w:val="-3"/>
        </w:rPr>
        <w:t> </w:t>
      </w:r>
      <w:r>
        <w:rPr>
          <w:color w:val="231F20"/>
        </w:rPr>
        <w:t>время</w:t>
      </w:r>
      <w:r>
        <w:rPr>
          <w:color w:val="231F20"/>
          <w:spacing w:val="-3"/>
        </w:rPr>
        <w:t> </w:t>
      </w:r>
      <w:r>
        <w:rPr>
          <w:color w:val="231F20"/>
        </w:rPr>
        <w:t>которой</w:t>
      </w:r>
      <w:r>
        <w:rPr>
          <w:color w:val="231F20"/>
          <w:spacing w:val="-3"/>
        </w:rPr>
        <w:t> </w:t>
      </w:r>
      <w:r>
        <w:rPr>
          <w:color w:val="231F20"/>
        </w:rPr>
        <w:t>ребенок</w:t>
      </w:r>
      <w:r>
        <w:rPr>
          <w:color w:val="231F20"/>
          <w:spacing w:val="-3"/>
        </w:rPr>
        <w:t> </w:t>
      </w:r>
      <w:r>
        <w:rPr>
          <w:color w:val="231F20"/>
        </w:rPr>
        <w:t>может</w:t>
      </w:r>
      <w:r>
        <w:rPr>
          <w:color w:val="231F20"/>
          <w:spacing w:val="-3"/>
        </w:rPr>
        <w:t> </w:t>
      </w:r>
      <w:r>
        <w:rPr>
          <w:color w:val="231F20"/>
        </w:rPr>
        <w:t>рисовать</w:t>
      </w:r>
      <w:r>
        <w:rPr>
          <w:color w:val="231F20"/>
          <w:spacing w:val="-3"/>
        </w:rPr>
        <w:t> </w:t>
      </w:r>
      <w:r>
        <w:rPr>
          <w:color w:val="231F20"/>
        </w:rPr>
        <w:t>«рекламу»,</w:t>
      </w:r>
      <w:r>
        <w:rPr>
          <w:color w:val="231F20"/>
          <w:spacing w:val="-3"/>
        </w:rPr>
        <w:t> </w:t>
      </w:r>
      <w:r>
        <w:rPr>
          <w:color w:val="231F20"/>
        </w:rPr>
        <w:t>просто</w:t>
      </w:r>
      <w:r>
        <w:rPr>
          <w:color w:val="231F20"/>
          <w:spacing w:val="-3"/>
        </w:rPr>
        <w:t> </w:t>
      </w:r>
      <w:r>
        <w:rPr>
          <w:color w:val="231F20"/>
        </w:rPr>
        <w:t>иллюстрации</w:t>
      </w:r>
      <w:r>
        <w:rPr>
          <w:color w:val="231F20"/>
          <w:spacing w:val="-3"/>
        </w:rPr>
        <w:t> </w:t>
      </w:r>
      <w:r>
        <w:rPr>
          <w:color w:val="231F20"/>
        </w:rPr>
        <w:t>к истории, или прослушивать сделанную запись. Психолог в это время придумывает </w:t>
      </w:r>
      <w:r>
        <w:rPr>
          <w:color w:val="231F20"/>
          <w:spacing w:val="-2"/>
        </w:rPr>
        <w:t>свою, «ответную» историю, являющуюся модификацией услышанной. Рассказ ребен- </w:t>
      </w:r>
      <w:r>
        <w:rPr>
          <w:color w:val="231F20"/>
        </w:rPr>
        <w:t>ка</w:t>
      </w:r>
      <w:r>
        <w:rPr>
          <w:color w:val="231F20"/>
          <w:spacing w:val="-9"/>
        </w:rPr>
        <w:t> </w:t>
      </w:r>
      <w:r>
        <w:rPr>
          <w:color w:val="231F20"/>
        </w:rPr>
        <w:t>рассматривается</w:t>
      </w:r>
      <w:r>
        <w:rPr>
          <w:color w:val="231F20"/>
          <w:spacing w:val="-9"/>
        </w:rPr>
        <w:t> </w:t>
      </w:r>
      <w:r>
        <w:rPr>
          <w:color w:val="231F20"/>
        </w:rPr>
        <w:t>как</w:t>
      </w:r>
      <w:r>
        <w:rPr>
          <w:color w:val="231F20"/>
          <w:spacing w:val="-9"/>
        </w:rPr>
        <w:t> </w:t>
      </w:r>
      <w:r>
        <w:rPr>
          <w:color w:val="231F20"/>
        </w:rPr>
        <w:t>некое</w:t>
      </w:r>
      <w:r>
        <w:rPr>
          <w:color w:val="231F20"/>
          <w:spacing w:val="-9"/>
        </w:rPr>
        <w:t> </w:t>
      </w:r>
      <w:r>
        <w:rPr>
          <w:color w:val="231F20"/>
        </w:rPr>
        <w:t>послание</w:t>
      </w:r>
      <w:r>
        <w:rPr>
          <w:color w:val="231F20"/>
          <w:spacing w:val="-9"/>
        </w:rPr>
        <w:t> </w:t>
      </w:r>
      <w:r>
        <w:rPr>
          <w:color w:val="231F20"/>
        </w:rPr>
        <w:t>терапевту,</w:t>
      </w:r>
      <w:r>
        <w:rPr>
          <w:color w:val="231F20"/>
          <w:spacing w:val="-9"/>
        </w:rPr>
        <w:t> </w:t>
      </w:r>
      <w:r>
        <w:rPr>
          <w:color w:val="231F20"/>
        </w:rPr>
        <w:t>в</w:t>
      </w:r>
      <w:r>
        <w:rPr>
          <w:color w:val="231F20"/>
          <w:spacing w:val="-9"/>
        </w:rPr>
        <w:t> </w:t>
      </w:r>
      <w:r>
        <w:rPr>
          <w:color w:val="231F20"/>
        </w:rPr>
        <w:t>котором</w:t>
      </w:r>
      <w:r>
        <w:rPr>
          <w:color w:val="231F20"/>
          <w:spacing w:val="-9"/>
        </w:rPr>
        <w:t> </w:t>
      </w:r>
      <w:r>
        <w:rPr>
          <w:color w:val="231F20"/>
        </w:rPr>
        <w:t>отражаются</w:t>
      </w:r>
      <w:r>
        <w:rPr>
          <w:color w:val="231F20"/>
          <w:spacing w:val="-9"/>
        </w:rPr>
        <w:t> </w:t>
      </w:r>
      <w:r>
        <w:rPr>
          <w:color w:val="231F20"/>
        </w:rPr>
        <w:t>актуальные проблемы и (что особенно важно) способы их решения (часто неадекватные), кото- рыми пользуется ребенок. В ответ психолог сообщает свой, более конструктивный вариант интерпретации событий, в форме истории с теми же героями.</w:t>
      </w:r>
    </w:p>
    <w:p>
      <w:pPr>
        <w:pStyle w:val="BodyText"/>
        <w:spacing w:line="209" w:lineRule="exact"/>
        <w:ind w:left="425" w:right="0" w:firstLine="0"/>
      </w:pPr>
      <w:r>
        <w:rPr>
          <w:color w:val="231F20"/>
        </w:rPr>
        <w:t>Основные</w:t>
      </w:r>
      <w:r>
        <w:rPr>
          <w:color w:val="231F20"/>
          <w:spacing w:val="2"/>
        </w:rPr>
        <w:t> </w:t>
      </w:r>
      <w:r>
        <w:rPr>
          <w:color w:val="231F20"/>
        </w:rPr>
        <w:t>принципы</w:t>
      </w:r>
      <w:r>
        <w:rPr>
          <w:color w:val="231F20"/>
          <w:spacing w:val="2"/>
        </w:rPr>
        <w:t> </w:t>
      </w:r>
      <w:r>
        <w:rPr>
          <w:color w:val="231F20"/>
        </w:rPr>
        <w:t>построения</w:t>
      </w:r>
      <w:r>
        <w:rPr>
          <w:color w:val="231F20"/>
          <w:spacing w:val="2"/>
        </w:rPr>
        <w:t> </w:t>
      </w:r>
      <w:r>
        <w:rPr>
          <w:color w:val="231F20"/>
        </w:rPr>
        <w:t>«целительной»</w:t>
      </w:r>
      <w:r>
        <w:rPr>
          <w:color w:val="231F20"/>
          <w:spacing w:val="3"/>
        </w:rPr>
        <w:t> </w:t>
      </w:r>
      <w:r>
        <w:rPr>
          <w:color w:val="231F20"/>
          <w:spacing w:val="-2"/>
        </w:rPr>
        <w:t>истории:</w:t>
      </w:r>
    </w:p>
    <w:p>
      <w:pPr>
        <w:pStyle w:val="ListParagraph"/>
        <w:numPr>
          <w:ilvl w:val="0"/>
          <w:numId w:val="213"/>
        </w:numPr>
        <w:tabs>
          <w:tab w:pos="425" w:val="left" w:leader="none"/>
        </w:tabs>
        <w:spacing w:line="235" w:lineRule="auto" w:before="0" w:after="0"/>
        <w:ind w:left="425" w:right="139" w:hanging="284"/>
        <w:jc w:val="both"/>
        <w:rPr>
          <w:sz w:val="20"/>
        </w:rPr>
      </w:pPr>
      <w:r>
        <w:rPr>
          <w:color w:val="231F20"/>
          <w:sz w:val="20"/>
        </w:rPr>
        <w:t>Она</w:t>
      </w:r>
      <w:r>
        <w:rPr>
          <w:color w:val="231F20"/>
          <w:spacing w:val="-11"/>
          <w:sz w:val="20"/>
        </w:rPr>
        <w:t> </w:t>
      </w:r>
      <w:r>
        <w:rPr>
          <w:color w:val="231F20"/>
          <w:sz w:val="20"/>
        </w:rPr>
        <w:t>должна</w:t>
      </w:r>
      <w:r>
        <w:rPr>
          <w:color w:val="231F20"/>
          <w:spacing w:val="-11"/>
          <w:sz w:val="20"/>
        </w:rPr>
        <w:t> </w:t>
      </w:r>
      <w:r>
        <w:rPr>
          <w:color w:val="231F20"/>
          <w:sz w:val="20"/>
        </w:rPr>
        <w:t>быть</w:t>
      </w:r>
      <w:r>
        <w:rPr>
          <w:color w:val="231F20"/>
          <w:spacing w:val="-11"/>
          <w:sz w:val="20"/>
        </w:rPr>
        <w:t> </w:t>
      </w:r>
      <w:r>
        <w:rPr>
          <w:color w:val="231F20"/>
          <w:sz w:val="20"/>
        </w:rPr>
        <w:t>посвящена</w:t>
      </w:r>
      <w:r>
        <w:rPr>
          <w:color w:val="231F20"/>
          <w:spacing w:val="-11"/>
          <w:sz w:val="20"/>
        </w:rPr>
        <w:t> </w:t>
      </w:r>
      <w:r>
        <w:rPr>
          <w:color w:val="231F20"/>
          <w:sz w:val="20"/>
        </w:rPr>
        <w:t>наиболее</w:t>
      </w:r>
      <w:r>
        <w:rPr>
          <w:color w:val="231F20"/>
          <w:spacing w:val="-11"/>
          <w:sz w:val="20"/>
        </w:rPr>
        <w:t> </w:t>
      </w:r>
      <w:r>
        <w:rPr>
          <w:color w:val="231F20"/>
          <w:sz w:val="20"/>
        </w:rPr>
        <w:t>актуальной,</w:t>
      </w:r>
      <w:r>
        <w:rPr>
          <w:color w:val="231F20"/>
          <w:spacing w:val="-11"/>
          <w:sz w:val="20"/>
        </w:rPr>
        <w:t> </w:t>
      </w:r>
      <w:r>
        <w:rPr>
          <w:color w:val="231F20"/>
          <w:sz w:val="20"/>
        </w:rPr>
        <w:t>по</w:t>
      </w:r>
      <w:r>
        <w:rPr>
          <w:color w:val="231F20"/>
          <w:spacing w:val="-11"/>
          <w:sz w:val="20"/>
        </w:rPr>
        <w:t> </w:t>
      </w:r>
      <w:r>
        <w:rPr>
          <w:color w:val="231F20"/>
          <w:sz w:val="20"/>
        </w:rPr>
        <w:t>мнению</w:t>
      </w:r>
      <w:r>
        <w:rPr>
          <w:color w:val="231F20"/>
          <w:spacing w:val="-11"/>
          <w:sz w:val="20"/>
        </w:rPr>
        <w:t> </w:t>
      </w:r>
      <w:r>
        <w:rPr>
          <w:color w:val="231F20"/>
          <w:sz w:val="20"/>
        </w:rPr>
        <w:t>психолога,</w:t>
      </w:r>
      <w:r>
        <w:rPr>
          <w:color w:val="231F20"/>
          <w:spacing w:val="-11"/>
          <w:sz w:val="20"/>
        </w:rPr>
        <w:t> </w:t>
      </w:r>
      <w:r>
        <w:rPr>
          <w:color w:val="231F20"/>
          <w:sz w:val="20"/>
        </w:rPr>
        <w:t>пробле- ме в рассказе ребенка.</w:t>
      </w:r>
    </w:p>
    <w:p>
      <w:pPr>
        <w:pStyle w:val="ListParagraph"/>
        <w:numPr>
          <w:ilvl w:val="0"/>
          <w:numId w:val="213"/>
        </w:numPr>
        <w:tabs>
          <w:tab w:pos="425" w:val="left" w:leader="none"/>
        </w:tabs>
        <w:spacing w:line="235" w:lineRule="auto" w:before="0" w:after="0"/>
        <w:ind w:left="425" w:right="139" w:hanging="284"/>
        <w:jc w:val="both"/>
        <w:rPr>
          <w:sz w:val="20"/>
        </w:rPr>
      </w:pPr>
      <w:r>
        <w:rPr>
          <w:color w:val="231F20"/>
          <w:sz w:val="20"/>
        </w:rPr>
        <w:t>В ней воспроизводится максимальное количество смысловых элементов из дет- ского рассказа при условии, что они не расходятся с ее содержанием.</w:t>
      </w:r>
    </w:p>
    <w:p>
      <w:pPr>
        <w:pStyle w:val="ListParagraph"/>
        <w:spacing w:after="0" w:line="235" w:lineRule="auto"/>
        <w:jc w:val="both"/>
        <w:rPr>
          <w:sz w:val="20"/>
        </w:rPr>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ListParagraph"/>
        <w:numPr>
          <w:ilvl w:val="0"/>
          <w:numId w:val="213"/>
        </w:numPr>
        <w:tabs>
          <w:tab w:pos="425" w:val="left" w:leader="none"/>
        </w:tabs>
        <w:spacing w:line="235" w:lineRule="auto" w:before="116" w:after="0"/>
        <w:ind w:left="425" w:right="139" w:hanging="284"/>
        <w:jc w:val="both"/>
        <w:rPr>
          <w:sz w:val="20"/>
        </w:rPr>
      </w:pPr>
      <w:r>
        <w:rPr>
          <w:color w:val="231F20"/>
          <w:sz w:val="20"/>
        </w:rPr>
        <w:t>В случае если рассказ ребенка уже содержит в себе способ решения проблемы (пусть</w:t>
      </w:r>
      <w:r>
        <w:rPr>
          <w:color w:val="231F20"/>
          <w:spacing w:val="-4"/>
          <w:sz w:val="20"/>
        </w:rPr>
        <w:t> </w:t>
      </w:r>
      <w:r>
        <w:rPr>
          <w:color w:val="231F20"/>
          <w:sz w:val="20"/>
        </w:rPr>
        <w:t>и</w:t>
      </w:r>
      <w:r>
        <w:rPr>
          <w:color w:val="231F20"/>
          <w:spacing w:val="-4"/>
          <w:sz w:val="20"/>
        </w:rPr>
        <w:t> </w:t>
      </w:r>
      <w:r>
        <w:rPr>
          <w:color w:val="231F20"/>
          <w:sz w:val="20"/>
        </w:rPr>
        <w:t>совсем</w:t>
      </w:r>
      <w:r>
        <w:rPr>
          <w:color w:val="231F20"/>
          <w:spacing w:val="-4"/>
          <w:sz w:val="20"/>
        </w:rPr>
        <w:t> </w:t>
      </w:r>
      <w:r>
        <w:rPr>
          <w:color w:val="231F20"/>
          <w:sz w:val="20"/>
        </w:rPr>
        <w:t>неадекватный),</w:t>
      </w:r>
      <w:r>
        <w:rPr>
          <w:color w:val="231F20"/>
          <w:spacing w:val="-4"/>
          <w:sz w:val="20"/>
        </w:rPr>
        <w:t> </w:t>
      </w:r>
      <w:r>
        <w:rPr>
          <w:color w:val="231F20"/>
          <w:sz w:val="20"/>
        </w:rPr>
        <w:t>психолог</w:t>
      </w:r>
      <w:r>
        <w:rPr>
          <w:color w:val="231F20"/>
          <w:spacing w:val="-4"/>
          <w:sz w:val="20"/>
        </w:rPr>
        <w:t> </w:t>
      </w:r>
      <w:r>
        <w:rPr>
          <w:color w:val="231F20"/>
          <w:sz w:val="20"/>
        </w:rPr>
        <w:t>не</w:t>
      </w:r>
      <w:r>
        <w:rPr>
          <w:color w:val="231F20"/>
          <w:spacing w:val="-4"/>
          <w:sz w:val="20"/>
        </w:rPr>
        <w:t> </w:t>
      </w:r>
      <w:r>
        <w:rPr>
          <w:color w:val="231F20"/>
          <w:sz w:val="20"/>
        </w:rPr>
        <w:t>старается</w:t>
      </w:r>
      <w:r>
        <w:rPr>
          <w:color w:val="231F20"/>
          <w:spacing w:val="-4"/>
          <w:sz w:val="20"/>
        </w:rPr>
        <w:t> </w:t>
      </w:r>
      <w:r>
        <w:rPr>
          <w:color w:val="231F20"/>
          <w:sz w:val="20"/>
        </w:rPr>
        <w:t>разрушить</w:t>
      </w:r>
      <w:r>
        <w:rPr>
          <w:color w:val="231F20"/>
          <w:spacing w:val="-4"/>
          <w:sz w:val="20"/>
        </w:rPr>
        <w:t> </w:t>
      </w:r>
      <w:r>
        <w:rPr>
          <w:color w:val="231F20"/>
          <w:sz w:val="20"/>
        </w:rPr>
        <w:t>или</w:t>
      </w:r>
      <w:r>
        <w:rPr>
          <w:color w:val="231F20"/>
          <w:spacing w:val="-4"/>
          <w:sz w:val="20"/>
        </w:rPr>
        <w:t> </w:t>
      </w:r>
      <w:r>
        <w:rPr>
          <w:color w:val="231F20"/>
          <w:sz w:val="20"/>
        </w:rPr>
        <w:t>обесценить его, а дает возможность увидеть более адаптивный путь.</w:t>
      </w:r>
    </w:p>
    <w:p>
      <w:pPr>
        <w:pStyle w:val="ListParagraph"/>
        <w:numPr>
          <w:ilvl w:val="0"/>
          <w:numId w:val="213"/>
        </w:numPr>
        <w:tabs>
          <w:tab w:pos="425" w:val="left" w:leader="none"/>
        </w:tabs>
        <w:spacing w:line="230" w:lineRule="auto" w:before="0" w:after="0"/>
        <w:ind w:left="425" w:right="139" w:hanging="284"/>
        <w:jc w:val="both"/>
        <w:rPr>
          <w:sz w:val="20"/>
        </w:rPr>
      </w:pPr>
      <w:r>
        <w:rPr>
          <w:color w:val="231F20"/>
          <w:sz w:val="20"/>
        </w:rPr>
        <w:t>Если</w:t>
      </w:r>
      <w:r>
        <w:rPr>
          <w:color w:val="231F20"/>
          <w:spacing w:val="-6"/>
          <w:sz w:val="20"/>
        </w:rPr>
        <w:t> </w:t>
      </w:r>
      <w:r>
        <w:rPr>
          <w:color w:val="231F20"/>
          <w:sz w:val="20"/>
        </w:rPr>
        <w:t>в</w:t>
      </w:r>
      <w:r>
        <w:rPr>
          <w:color w:val="231F20"/>
          <w:spacing w:val="-6"/>
          <w:sz w:val="20"/>
        </w:rPr>
        <w:t> </w:t>
      </w:r>
      <w:r>
        <w:rPr>
          <w:color w:val="231F20"/>
          <w:sz w:val="20"/>
        </w:rPr>
        <w:t>детском</w:t>
      </w:r>
      <w:r>
        <w:rPr>
          <w:color w:val="231F20"/>
          <w:spacing w:val="-6"/>
          <w:sz w:val="20"/>
        </w:rPr>
        <w:t> </w:t>
      </w:r>
      <w:r>
        <w:rPr>
          <w:color w:val="231F20"/>
          <w:sz w:val="20"/>
        </w:rPr>
        <w:t>рассказе</w:t>
      </w:r>
      <w:r>
        <w:rPr>
          <w:color w:val="231F20"/>
          <w:spacing w:val="-6"/>
          <w:sz w:val="20"/>
        </w:rPr>
        <w:t> </w:t>
      </w:r>
      <w:r>
        <w:rPr>
          <w:color w:val="231F20"/>
          <w:sz w:val="20"/>
        </w:rPr>
        <w:t>отсутствует</w:t>
      </w:r>
      <w:r>
        <w:rPr>
          <w:color w:val="231F20"/>
          <w:spacing w:val="-6"/>
          <w:sz w:val="20"/>
        </w:rPr>
        <w:t> </w:t>
      </w:r>
      <w:r>
        <w:rPr>
          <w:color w:val="231F20"/>
          <w:sz w:val="20"/>
        </w:rPr>
        <w:t>чувство</w:t>
      </w:r>
      <w:r>
        <w:rPr>
          <w:color w:val="231F20"/>
          <w:spacing w:val="-6"/>
          <w:sz w:val="20"/>
        </w:rPr>
        <w:t> </w:t>
      </w:r>
      <w:r>
        <w:rPr>
          <w:color w:val="231F20"/>
          <w:sz w:val="20"/>
        </w:rPr>
        <w:t>безопасности,</w:t>
      </w:r>
      <w:r>
        <w:rPr>
          <w:color w:val="231F20"/>
          <w:spacing w:val="-6"/>
          <w:sz w:val="20"/>
        </w:rPr>
        <w:t> </w:t>
      </w:r>
      <w:r>
        <w:rPr>
          <w:color w:val="231F20"/>
          <w:sz w:val="20"/>
        </w:rPr>
        <w:t>значит,</w:t>
      </w:r>
      <w:r>
        <w:rPr>
          <w:color w:val="231F20"/>
          <w:spacing w:val="-6"/>
          <w:sz w:val="20"/>
        </w:rPr>
        <w:t> </w:t>
      </w:r>
      <w:r>
        <w:rPr>
          <w:color w:val="231F20"/>
          <w:sz w:val="20"/>
        </w:rPr>
        <w:t>в</w:t>
      </w:r>
      <w:r>
        <w:rPr>
          <w:color w:val="231F20"/>
          <w:spacing w:val="-6"/>
          <w:sz w:val="20"/>
        </w:rPr>
        <w:t> </w:t>
      </w:r>
      <w:r>
        <w:rPr>
          <w:color w:val="231F20"/>
          <w:sz w:val="20"/>
        </w:rPr>
        <w:t>первую</w:t>
      </w:r>
      <w:r>
        <w:rPr>
          <w:color w:val="231F20"/>
          <w:spacing w:val="-6"/>
          <w:sz w:val="20"/>
        </w:rPr>
        <w:t> </w:t>
      </w:r>
      <w:r>
        <w:rPr>
          <w:color w:val="231F20"/>
          <w:sz w:val="20"/>
        </w:rPr>
        <w:t>оче- редь,</w:t>
      </w:r>
      <w:r>
        <w:rPr>
          <w:color w:val="231F20"/>
          <w:spacing w:val="-3"/>
          <w:sz w:val="20"/>
        </w:rPr>
        <w:t> </w:t>
      </w:r>
      <w:r>
        <w:rPr>
          <w:color w:val="231F20"/>
          <w:sz w:val="20"/>
        </w:rPr>
        <w:t>именно</w:t>
      </w:r>
      <w:r>
        <w:rPr>
          <w:color w:val="231F20"/>
          <w:spacing w:val="-3"/>
          <w:sz w:val="20"/>
        </w:rPr>
        <w:t> </w:t>
      </w:r>
      <w:r>
        <w:rPr>
          <w:color w:val="231F20"/>
          <w:sz w:val="20"/>
        </w:rPr>
        <w:t>на</w:t>
      </w:r>
      <w:r>
        <w:rPr>
          <w:color w:val="231F20"/>
          <w:spacing w:val="-3"/>
          <w:sz w:val="20"/>
        </w:rPr>
        <w:t> </w:t>
      </w:r>
      <w:r>
        <w:rPr>
          <w:color w:val="231F20"/>
          <w:sz w:val="20"/>
        </w:rPr>
        <w:t>его</w:t>
      </w:r>
      <w:r>
        <w:rPr>
          <w:color w:val="231F20"/>
          <w:spacing w:val="-3"/>
          <w:sz w:val="20"/>
        </w:rPr>
        <w:t> </w:t>
      </w:r>
      <w:r>
        <w:rPr>
          <w:color w:val="231F20"/>
          <w:sz w:val="20"/>
        </w:rPr>
        <w:t>формирование</w:t>
      </w:r>
      <w:r>
        <w:rPr>
          <w:color w:val="231F20"/>
          <w:spacing w:val="-3"/>
          <w:sz w:val="20"/>
        </w:rPr>
        <w:t> </w:t>
      </w:r>
      <w:r>
        <w:rPr>
          <w:color w:val="231F20"/>
          <w:sz w:val="20"/>
        </w:rPr>
        <w:t>и</w:t>
      </w:r>
      <w:r>
        <w:rPr>
          <w:color w:val="231F20"/>
          <w:spacing w:val="-3"/>
          <w:sz w:val="20"/>
        </w:rPr>
        <w:t> </w:t>
      </w:r>
      <w:r>
        <w:rPr>
          <w:color w:val="231F20"/>
          <w:sz w:val="20"/>
        </w:rPr>
        <w:t>должны</w:t>
      </w:r>
      <w:r>
        <w:rPr>
          <w:color w:val="231F20"/>
          <w:spacing w:val="-3"/>
          <w:sz w:val="20"/>
        </w:rPr>
        <w:t> </w:t>
      </w:r>
      <w:r>
        <w:rPr>
          <w:color w:val="231F20"/>
          <w:sz w:val="20"/>
        </w:rPr>
        <w:t>быть</w:t>
      </w:r>
      <w:r>
        <w:rPr>
          <w:color w:val="231F20"/>
          <w:spacing w:val="-3"/>
          <w:sz w:val="20"/>
        </w:rPr>
        <w:t> </w:t>
      </w:r>
      <w:r>
        <w:rPr>
          <w:color w:val="231F20"/>
          <w:sz w:val="20"/>
        </w:rPr>
        <w:t>направлены</w:t>
      </w:r>
      <w:r>
        <w:rPr>
          <w:color w:val="231F20"/>
          <w:spacing w:val="-3"/>
          <w:sz w:val="20"/>
        </w:rPr>
        <w:t> </w:t>
      </w:r>
      <w:r>
        <w:rPr>
          <w:color w:val="231F20"/>
          <w:sz w:val="20"/>
        </w:rPr>
        <w:t>«психотерапевти- ческие сообщения».</w:t>
      </w:r>
    </w:p>
    <w:p>
      <w:pPr>
        <w:pStyle w:val="ListParagraph"/>
        <w:numPr>
          <w:ilvl w:val="0"/>
          <w:numId w:val="213"/>
        </w:numPr>
        <w:tabs>
          <w:tab w:pos="425" w:val="left" w:leader="none"/>
        </w:tabs>
        <w:spacing w:line="230" w:lineRule="auto" w:before="0" w:after="0"/>
        <w:ind w:left="425" w:right="139" w:hanging="284"/>
        <w:jc w:val="both"/>
        <w:rPr>
          <w:sz w:val="20"/>
        </w:rPr>
      </w:pPr>
      <w:r>
        <w:rPr>
          <w:color w:val="231F20"/>
          <w:sz w:val="20"/>
        </w:rPr>
        <w:t>Психолог использует принцип интерпретации, наиболее подходящий к содержа- нию предъявленной истории. Это может быть анализ с точки зрения «здравого смысла»,</w:t>
      </w:r>
      <w:r>
        <w:rPr>
          <w:color w:val="231F20"/>
          <w:spacing w:val="-4"/>
          <w:sz w:val="20"/>
        </w:rPr>
        <w:t> </w:t>
      </w:r>
      <w:r>
        <w:rPr>
          <w:color w:val="231F20"/>
          <w:sz w:val="20"/>
        </w:rPr>
        <w:t>соотнесение</w:t>
      </w:r>
      <w:r>
        <w:rPr>
          <w:color w:val="231F20"/>
          <w:spacing w:val="-4"/>
          <w:sz w:val="20"/>
        </w:rPr>
        <w:t> </w:t>
      </w:r>
      <w:r>
        <w:rPr>
          <w:color w:val="231F20"/>
          <w:sz w:val="20"/>
        </w:rPr>
        <w:t>с</w:t>
      </w:r>
      <w:r>
        <w:rPr>
          <w:color w:val="231F20"/>
          <w:spacing w:val="-4"/>
          <w:sz w:val="20"/>
        </w:rPr>
        <w:t> </w:t>
      </w:r>
      <w:r>
        <w:rPr>
          <w:color w:val="231F20"/>
          <w:sz w:val="20"/>
        </w:rPr>
        <w:t>реальными</w:t>
      </w:r>
      <w:r>
        <w:rPr>
          <w:color w:val="231F20"/>
          <w:spacing w:val="-4"/>
          <w:sz w:val="20"/>
        </w:rPr>
        <w:t> </w:t>
      </w:r>
      <w:r>
        <w:rPr>
          <w:color w:val="231F20"/>
          <w:sz w:val="20"/>
        </w:rPr>
        <w:t>жизненными</w:t>
      </w:r>
      <w:r>
        <w:rPr>
          <w:color w:val="231F20"/>
          <w:spacing w:val="-4"/>
          <w:sz w:val="20"/>
        </w:rPr>
        <w:t> </w:t>
      </w:r>
      <w:r>
        <w:rPr>
          <w:color w:val="231F20"/>
          <w:sz w:val="20"/>
        </w:rPr>
        <w:t>событиями</w:t>
      </w:r>
      <w:r>
        <w:rPr>
          <w:color w:val="231F20"/>
          <w:spacing w:val="-4"/>
          <w:sz w:val="20"/>
        </w:rPr>
        <w:t> </w:t>
      </w:r>
      <w:r>
        <w:rPr>
          <w:color w:val="231F20"/>
          <w:sz w:val="20"/>
        </w:rPr>
        <w:t>или</w:t>
      </w:r>
      <w:r>
        <w:rPr>
          <w:color w:val="231F20"/>
          <w:spacing w:val="-4"/>
          <w:sz w:val="20"/>
        </w:rPr>
        <w:t> </w:t>
      </w:r>
      <w:r>
        <w:rPr>
          <w:color w:val="231F20"/>
          <w:sz w:val="20"/>
        </w:rPr>
        <w:t>психодинамиче- ская интерпретация.</w:t>
      </w:r>
    </w:p>
    <w:p>
      <w:pPr>
        <w:pStyle w:val="BodyText"/>
        <w:spacing w:line="230" w:lineRule="auto" w:before="107"/>
      </w:pPr>
      <w:r>
        <w:rPr>
          <w:color w:val="231F20"/>
        </w:rPr>
        <w:t>Используя «ДРИ» в работе с детьми, мы вывели базовые </w:t>
      </w:r>
      <w:r>
        <w:rPr>
          <w:b/>
          <w:color w:val="231F20"/>
        </w:rPr>
        <w:t>категории интерпре- тации </w:t>
      </w:r>
      <w:r>
        <w:rPr>
          <w:color w:val="231F20"/>
        </w:rPr>
        <w:t>детских историй. Их использование может помочь, во-первых, более струк- турированно вести каждую сессию, во-вторых, отслеживать динамику изменений и осуществлять проверку результативности терапевтических посланий, а, в–третьих, позволит применять метод более «точечно» и тем самым</w:t>
      </w:r>
      <w:r>
        <w:rPr>
          <w:color w:val="231F20"/>
          <w:spacing w:val="-1"/>
        </w:rPr>
        <w:t> </w:t>
      </w:r>
      <w:r>
        <w:rPr>
          <w:color w:val="231F20"/>
        </w:rPr>
        <w:t>добиваться большего тера- певтического эффекта.</w:t>
      </w:r>
    </w:p>
    <w:p>
      <w:pPr>
        <w:pStyle w:val="BodyText"/>
        <w:spacing w:line="232" w:lineRule="auto" w:before="4"/>
      </w:pPr>
      <w:r>
        <w:rPr>
          <w:color w:val="231F20"/>
        </w:rPr>
        <w:t>Каждая из категорий интерпретации представляет собой пару признаков: «деза- даптивное</w:t>
      </w:r>
      <w:r>
        <w:rPr>
          <w:color w:val="231F20"/>
          <w:spacing w:val="-6"/>
        </w:rPr>
        <w:t> </w:t>
      </w:r>
      <w:r>
        <w:rPr>
          <w:color w:val="231F20"/>
        </w:rPr>
        <w:t>–</w:t>
      </w:r>
      <w:r>
        <w:rPr>
          <w:color w:val="231F20"/>
          <w:spacing w:val="-6"/>
        </w:rPr>
        <w:t> </w:t>
      </w:r>
      <w:r>
        <w:rPr>
          <w:color w:val="231F20"/>
        </w:rPr>
        <w:t>адаптивное</w:t>
      </w:r>
      <w:r>
        <w:rPr>
          <w:color w:val="231F20"/>
          <w:spacing w:val="-6"/>
        </w:rPr>
        <w:t> </w:t>
      </w:r>
      <w:r>
        <w:rPr>
          <w:color w:val="231F20"/>
        </w:rPr>
        <w:t>поведение».</w:t>
      </w:r>
      <w:r>
        <w:rPr>
          <w:color w:val="231F20"/>
          <w:spacing w:val="-6"/>
        </w:rPr>
        <w:t> </w:t>
      </w:r>
      <w:r>
        <w:rPr>
          <w:color w:val="231F20"/>
        </w:rPr>
        <w:t>Пользоваться</w:t>
      </w:r>
      <w:r>
        <w:rPr>
          <w:color w:val="231F20"/>
          <w:spacing w:val="-6"/>
        </w:rPr>
        <w:t> </w:t>
      </w:r>
      <w:r>
        <w:rPr>
          <w:color w:val="231F20"/>
        </w:rPr>
        <w:t>ими</w:t>
      </w:r>
      <w:r>
        <w:rPr>
          <w:color w:val="231F20"/>
          <w:spacing w:val="-6"/>
        </w:rPr>
        <w:t> </w:t>
      </w:r>
      <w:r>
        <w:rPr>
          <w:color w:val="231F20"/>
        </w:rPr>
        <w:t>очень</w:t>
      </w:r>
      <w:r>
        <w:rPr>
          <w:color w:val="231F20"/>
          <w:spacing w:val="-6"/>
        </w:rPr>
        <w:t> </w:t>
      </w:r>
      <w:r>
        <w:rPr>
          <w:color w:val="231F20"/>
        </w:rPr>
        <w:t>просто.</w:t>
      </w:r>
      <w:r>
        <w:rPr>
          <w:color w:val="231F20"/>
          <w:spacing w:val="-6"/>
        </w:rPr>
        <w:t> </w:t>
      </w:r>
      <w:r>
        <w:rPr>
          <w:color w:val="231F20"/>
        </w:rPr>
        <w:t>Психолог,</w:t>
      </w:r>
      <w:r>
        <w:rPr>
          <w:color w:val="231F20"/>
          <w:spacing w:val="-6"/>
        </w:rPr>
        <w:t> </w:t>
      </w:r>
      <w:r>
        <w:rPr>
          <w:color w:val="231F20"/>
        </w:rPr>
        <w:t>ана- лизируя детскую историю, находит в ней признаки того или иного дезадаптивного, т.е.</w:t>
      </w:r>
      <w:r>
        <w:rPr>
          <w:color w:val="231F20"/>
          <w:spacing w:val="-3"/>
        </w:rPr>
        <w:t> </w:t>
      </w:r>
      <w:r>
        <w:rPr>
          <w:color w:val="231F20"/>
        </w:rPr>
        <w:t>неадекватного</w:t>
      </w:r>
      <w:r>
        <w:rPr>
          <w:color w:val="231F20"/>
          <w:spacing w:val="-3"/>
        </w:rPr>
        <w:t> </w:t>
      </w:r>
      <w:r>
        <w:rPr>
          <w:color w:val="231F20"/>
        </w:rPr>
        <w:t>ситуации</w:t>
      </w:r>
      <w:r>
        <w:rPr>
          <w:color w:val="231F20"/>
          <w:spacing w:val="-3"/>
        </w:rPr>
        <w:t> </w:t>
      </w:r>
      <w:r>
        <w:rPr>
          <w:color w:val="231F20"/>
        </w:rPr>
        <w:t>варианта</w:t>
      </w:r>
      <w:r>
        <w:rPr>
          <w:color w:val="231F20"/>
          <w:spacing w:val="-3"/>
        </w:rPr>
        <w:t> </w:t>
      </w:r>
      <w:r>
        <w:rPr>
          <w:color w:val="231F20"/>
        </w:rPr>
        <w:t>поведения.</w:t>
      </w:r>
      <w:r>
        <w:rPr>
          <w:color w:val="231F20"/>
          <w:spacing w:val="-3"/>
        </w:rPr>
        <w:t> </w:t>
      </w:r>
      <w:r>
        <w:rPr>
          <w:color w:val="231F20"/>
        </w:rPr>
        <w:t>По</w:t>
      </w:r>
      <w:r>
        <w:rPr>
          <w:color w:val="231F20"/>
          <w:spacing w:val="-3"/>
        </w:rPr>
        <w:t> </w:t>
      </w:r>
      <w:r>
        <w:rPr>
          <w:color w:val="231F20"/>
        </w:rPr>
        <w:t>этим</w:t>
      </w:r>
      <w:r>
        <w:rPr>
          <w:color w:val="231F20"/>
          <w:spacing w:val="-3"/>
        </w:rPr>
        <w:t> </w:t>
      </w:r>
      <w:r>
        <w:rPr>
          <w:color w:val="231F20"/>
        </w:rPr>
        <w:t>признакам</w:t>
      </w:r>
      <w:r>
        <w:rPr>
          <w:color w:val="231F20"/>
          <w:spacing w:val="-3"/>
        </w:rPr>
        <w:t> </w:t>
      </w:r>
      <w:r>
        <w:rPr>
          <w:color w:val="231F20"/>
        </w:rPr>
        <w:t>он</w:t>
      </w:r>
      <w:r>
        <w:rPr>
          <w:color w:val="231F20"/>
          <w:spacing w:val="-3"/>
        </w:rPr>
        <w:t> </w:t>
      </w:r>
      <w:r>
        <w:rPr>
          <w:color w:val="231F20"/>
        </w:rPr>
        <w:t>может</w:t>
      </w:r>
      <w:r>
        <w:rPr>
          <w:color w:val="231F20"/>
          <w:spacing w:val="-3"/>
        </w:rPr>
        <w:t> </w:t>
      </w:r>
      <w:r>
        <w:rPr>
          <w:color w:val="231F20"/>
        </w:rPr>
        <w:t>отне- сти послание ребенка к той или иной дезадаптивной категории (например, «депрес- сивность»). Каждой из них, в свою очередь соответствуют адаптивные позиции, на которые</w:t>
      </w:r>
      <w:r>
        <w:rPr>
          <w:color w:val="231F20"/>
          <w:spacing w:val="-9"/>
        </w:rPr>
        <w:t> </w:t>
      </w:r>
      <w:r>
        <w:rPr>
          <w:color w:val="231F20"/>
        </w:rPr>
        <w:t>необходимо</w:t>
      </w:r>
      <w:r>
        <w:rPr>
          <w:color w:val="231F20"/>
          <w:spacing w:val="-9"/>
        </w:rPr>
        <w:t> </w:t>
      </w:r>
      <w:r>
        <w:rPr>
          <w:color w:val="231F20"/>
        </w:rPr>
        <w:t>опираться</w:t>
      </w:r>
      <w:r>
        <w:rPr>
          <w:color w:val="231F20"/>
          <w:spacing w:val="-9"/>
        </w:rPr>
        <w:t> </w:t>
      </w:r>
      <w:r>
        <w:rPr>
          <w:color w:val="231F20"/>
        </w:rPr>
        <w:t>психологу,</w:t>
      </w:r>
      <w:r>
        <w:rPr>
          <w:color w:val="231F20"/>
          <w:spacing w:val="-9"/>
        </w:rPr>
        <w:t> </w:t>
      </w:r>
      <w:r>
        <w:rPr>
          <w:color w:val="231F20"/>
        </w:rPr>
        <w:t>выстраивая</w:t>
      </w:r>
      <w:r>
        <w:rPr>
          <w:color w:val="231F20"/>
          <w:spacing w:val="-9"/>
        </w:rPr>
        <w:t> </w:t>
      </w:r>
      <w:r>
        <w:rPr>
          <w:color w:val="231F20"/>
        </w:rPr>
        <w:t>собственное</w:t>
      </w:r>
      <w:r>
        <w:rPr>
          <w:color w:val="231F20"/>
          <w:spacing w:val="-9"/>
        </w:rPr>
        <w:t> </w:t>
      </w:r>
      <w:r>
        <w:rPr>
          <w:color w:val="231F20"/>
        </w:rPr>
        <w:t>терапевтическое послание. Так противоположностью «депрессивности» будет «активность».</w:t>
      </w:r>
    </w:p>
    <w:p>
      <w:pPr>
        <w:pStyle w:val="BodyText"/>
        <w:spacing w:line="232" w:lineRule="auto"/>
      </w:pPr>
      <w:r>
        <w:rPr>
          <w:color w:val="231F20"/>
        </w:rPr>
        <w:t>Подчеркнем, что названия категорий достаточно условны и не всегда отражают традиционное</w:t>
      </w:r>
      <w:r>
        <w:rPr>
          <w:color w:val="231F20"/>
          <w:spacing w:val="-9"/>
        </w:rPr>
        <w:t> </w:t>
      </w:r>
      <w:r>
        <w:rPr>
          <w:color w:val="231F20"/>
        </w:rPr>
        <w:t>понимание</w:t>
      </w:r>
      <w:r>
        <w:rPr>
          <w:color w:val="231F20"/>
          <w:spacing w:val="-9"/>
        </w:rPr>
        <w:t> </w:t>
      </w:r>
      <w:r>
        <w:rPr>
          <w:color w:val="231F20"/>
        </w:rPr>
        <w:t>употребляемых</w:t>
      </w:r>
      <w:r>
        <w:rPr>
          <w:color w:val="231F20"/>
          <w:spacing w:val="-9"/>
        </w:rPr>
        <w:t> </w:t>
      </w:r>
      <w:r>
        <w:rPr>
          <w:color w:val="231F20"/>
        </w:rPr>
        <w:t>терминов</w:t>
      </w:r>
      <w:r>
        <w:rPr>
          <w:color w:val="231F20"/>
          <w:spacing w:val="-9"/>
        </w:rPr>
        <w:t> </w:t>
      </w:r>
      <w:r>
        <w:rPr>
          <w:color w:val="231F20"/>
        </w:rPr>
        <w:t>–</w:t>
      </w:r>
      <w:r>
        <w:rPr>
          <w:color w:val="231F20"/>
          <w:spacing w:val="-9"/>
        </w:rPr>
        <w:t> </w:t>
      </w:r>
      <w:r>
        <w:rPr>
          <w:color w:val="231F20"/>
        </w:rPr>
        <w:t>скорее,</w:t>
      </w:r>
      <w:r>
        <w:rPr>
          <w:color w:val="231F20"/>
          <w:spacing w:val="-9"/>
        </w:rPr>
        <w:t> </w:t>
      </w:r>
      <w:r>
        <w:rPr>
          <w:color w:val="231F20"/>
        </w:rPr>
        <w:t>они</w:t>
      </w:r>
      <w:r>
        <w:rPr>
          <w:color w:val="231F20"/>
          <w:spacing w:val="-9"/>
        </w:rPr>
        <w:t> </w:t>
      </w:r>
      <w:r>
        <w:rPr>
          <w:color w:val="231F20"/>
        </w:rPr>
        <w:t>ограничивают</w:t>
      </w:r>
      <w:r>
        <w:rPr>
          <w:color w:val="231F20"/>
          <w:spacing w:val="-9"/>
        </w:rPr>
        <w:t> </w:t>
      </w:r>
      <w:r>
        <w:rPr>
          <w:color w:val="231F20"/>
        </w:rPr>
        <w:t>круг определенных</w:t>
      </w:r>
      <w:r>
        <w:rPr>
          <w:color w:val="231F20"/>
          <w:spacing w:val="-3"/>
        </w:rPr>
        <w:t> </w:t>
      </w:r>
      <w:r>
        <w:rPr>
          <w:color w:val="231F20"/>
        </w:rPr>
        <w:t>явлений,</w:t>
      </w:r>
      <w:r>
        <w:rPr>
          <w:color w:val="231F20"/>
          <w:spacing w:val="-3"/>
        </w:rPr>
        <w:t> </w:t>
      </w:r>
      <w:r>
        <w:rPr>
          <w:color w:val="231F20"/>
        </w:rPr>
        <w:t>проявляющихся</w:t>
      </w:r>
      <w:r>
        <w:rPr>
          <w:color w:val="231F20"/>
          <w:spacing w:val="-3"/>
        </w:rPr>
        <w:t> </w:t>
      </w:r>
      <w:r>
        <w:rPr>
          <w:color w:val="231F20"/>
        </w:rPr>
        <w:t>в</w:t>
      </w:r>
      <w:r>
        <w:rPr>
          <w:color w:val="231F20"/>
          <w:spacing w:val="-3"/>
        </w:rPr>
        <w:t> </w:t>
      </w:r>
      <w:r>
        <w:rPr>
          <w:color w:val="231F20"/>
        </w:rPr>
        <w:t>детских</w:t>
      </w:r>
      <w:r>
        <w:rPr>
          <w:color w:val="231F20"/>
          <w:spacing w:val="-3"/>
        </w:rPr>
        <w:t> </w:t>
      </w:r>
      <w:r>
        <w:rPr>
          <w:color w:val="231F20"/>
        </w:rPr>
        <w:t>историях,</w:t>
      </w:r>
      <w:r>
        <w:rPr>
          <w:color w:val="231F20"/>
          <w:spacing w:val="-3"/>
        </w:rPr>
        <w:t> </w:t>
      </w:r>
      <w:r>
        <w:rPr>
          <w:color w:val="231F20"/>
        </w:rPr>
        <w:t>и</w:t>
      </w:r>
      <w:r>
        <w:rPr>
          <w:color w:val="231F20"/>
          <w:spacing w:val="-3"/>
        </w:rPr>
        <w:t> </w:t>
      </w:r>
      <w:r>
        <w:rPr>
          <w:color w:val="231F20"/>
        </w:rPr>
        <w:t>близких</w:t>
      </w:r>
      <w:r>
        <w:rPr>
          <w:color w:val="231F20"/>
          <w:spacing w:val="-3"/>
        </w:rPr>
        <w:t> </w:t>
      </w:r>
      <w:r>
        <w:rPr>
          <w:color w:val="231F20"/>
        </w:rPr>
        <w:t>друг</w:t>
      </w:r>
      <w:r>
        <w:rPr>
          <w:color w:val="231F20"/>
          <w:spacing w:val="-3"/>
        </w:rPr>
        <w:t> </w:t>
      </w:r>
      <w:r>
        <w:rPr>
          <w:color w:val="231F20"/>
        </w:rPr>
        <w:t>к</w:t>
      </w:r>
      <w:r>
        <w:rPr>
          <w:color w:val="231F20"/>
          <w:spacing w:val="-3"/>
        </w:rPr>
        <w:t> </w:t>
      </w:r>
      <w:r>
        <w:rPr>
          <w:color w:val="231F20"/>
        </w:rPr>
        <w:t>другу. Таким образом, они сформулированы не в виде научных терминов, а скорее как ме- тафоры состояний.</w:t>
      </w:r>
    </w:p>
    <w:p>
      <w:pPr>
        <w:pStyle w:val="BodyText"/>
        <w:spacing w:line="232" w:lineRule="auto"/>
      </w:pPr>
      <w:r>
        <w:rPr>
          <w:color w:val="231F20"/>
        </w:rPr>
        <w:t>Далее</w:t>
      </w:r>
      <w:r>
        <w:rPr>
          <w:color w:val="231F20"/>
          <w:spacing w:val="-3"/>
        </w:rPr>
        <w:t> </w:t>
      </w:r>
      <w:r>
        <w:rPr>
          <w:color w:val="231F20"/>
        </w:rPr>
        <w:t>приведем</w:t>
      </w:r>
      <w:r>
        <w:rPr>
          <w:color w:val="231F20"/>
          <w:spacing w:val="-4"/>
        </w:rPr>
        <w:t> </w:t>
      </w:r>
      <w:r>
        <w:rPr>
          <w:color w:val="231F20"/>
        </w:rPr>
        <w:t>эти</w:t>
      </w:r>
      <w:r>
        <w:rPr>
          <w:color w:val="231F20"/>
          <w:spacing w:val="-3"/>
        </w:rPr>
        <w:t> </w:t>
      </w:r>
      <w:r>
        <w:rPr>
          <w:color w:val="231F20"/>
        </w:rPr>
        <w:t>категории</w:t>
      </w:r>
      <w:r>
        <w:rPr>
          <w:color w:val="231F20"/>
          <w:spacing w:val="-3"/>
        </w:rPr>
        <w:t> </w:t>
      </w:r>
      <w:r>
        <w:rPr>
          <w:color w:val="231F20"/>
        </w:rPr>
        <w:t>и</w:t>
      </w:r>
      <w:r>
        <w:rPr>
          <w:color w:val="231F20"/>
          <w:spacing w:val="-3"/>
        </w:rPr>
        <w:t> </w:t>
      </w:r>
      <w:r>
        <w:rPr>
          <w:color w:val="231F20"/>
        </w:rPr>
        <w:t>проиллюстрируем</w:t>
      </w:r>
      <w:r>
        <w:rPr>
          <w:color w:val="231F20"/>
          <w:spacing w:val="-3"/>
        </w:rPr>
        <w:t> </w:t>
      </w:r>
      <w:r>
        <w:rPr>
          <w:color w:val="231F20"/>
        </w:rPr>
        <w:t>их</w:t>
      </w:r>
      <w:r>
        <w:rPr>
          <w:color w:val="231F20"/>
          <w:spacing w:val="-3"/>
        </w:rPr>
        <w:t> </w:t>
      </w:r>
      <w:r>
        <w:rPr>
          <w:color w:val="231F20"/>
        </w:rPr>
        <w:t>на</w:t>
      </w:r>
      <w:r>
        <w:rPr>
          <w:color w:val="231F20"/>
          <w:spacing w:val="-3"/>
        </w:rPr>
        <w:t> </w:t>
      </w:r>
      <w:r>
        <w:rPr>
          <w:color w:val="231F20"/>
        </w:rPr>
        <w:t>примерах</w:t>
      </w:r>
      <w:r>
        <w:rPr>
          <w:color w:val="231F20"/>
          <w:spacing w:val="-4"/>
        </w:rPr>
        <w:t> </w:t>
      </w:r>
      <w:r>
        <w:rPr>
          <w:color w:val="231F20"/>
        </w:rPr>
        <w:t>применения</w:t>
      </w:r>
      <w:r>
        <w:rPr>
          <w:color w:val="231F20"/>
          <w:spacing w:val="-3"/>
        </w:rPr>
        <w:t> </w:t>
      </w:r>
      <w:r>
        <w:rPr>
          <w:color w:val="231F20"/>
        </w:rPr>
        <w:t>в реальной индивидуальной работе.</w:t>
      </w:r>
    </w:p>
    <w:p>
      <w:pPr>
        <w:numPr>
          <w:ilvl w:val="0"/>
          <w:numId w:val="214"/>
        </w:numPr>
        <w:tabs>
          <w:tab w:pos="424" w:val="left" w:leader="none"/>
        </w:tabs>
        <w:spacing w:line="226" w:lineRule="exact" w:before="35"/>
        <w:ind w:left="424" w:right="0" w:hanging="283"/>
        <w:jc w:val="both"/>
        <w:rPr>
          <w:b/>
          <w:sz w:val="20"/>
        </w:rPr>
      </w:pPr>
      <w:r>
        <w:rPr>
          <w:b/>
          <w:color w:val="231F20"/>
          <w:sz w:val="20"/>
        </w:rPr>
        <w:t>Опасность – </w:t>
      </w:r>
      <w:r>
        <w:rPr>
          <w:b/>
          <w:color w:val="231F20"/>
          <w:spacing w:val="-2"/>
          <w:sz w:val="20"/>
        </w:rPr>
        <w:t>безопасность</w:t>
      </w:r>
    </w:p>
    <w:p>
      <w:pPr>
        <w:pStyle w:val="BodyText"/>
        <w:spacing w:line="230" w:lineRule="auto" w:before="3"/>
      </w:pPr>
      <w:r>
        <w:rPr>
          <w:color w:val="231F20"/>
          <w:spacing w:val="-2"/>
        </w:rPr>
        <w:t>Признаки</w:t>
      </w:r>
      <w:r>
        <w:rPr>
          <w:color w:val="231F20"/>
          <w:spacing w:val="-7"/>
        </w:rPr>
        <w:t> </w:t>
      </w:r>
      <w:r>
        <w:rPr>
          <w:color w:val="231F20"/>
          <w:spacing w:val="-2"/>
        </w:rPr>
        <w:t>«опасности»:</w:t>
      </w:r>
      <w:r>
        <w:rPr>
          <w:color w:val="231F20"/>
          <w:spacing w:val="-7"/>
        </w:rPr>
        <w:t> </w:t>
      </w:r>
      <w:r>
        <w:rPr>
          <w:color w:val="231F20"/>
          <w:spacing w:val="-2"/>
        </w:rPr>
        <w:t>на</w:t>
      </w:r>
      <w:r>
        <w:rPr>
          <w:color w:val="231F20"/>
          <w:spacing w:val="-7"/>
        </w:rPr>
        <w:t> </w:t>
      </w:r>
      <w:r>
        <w:rPr>
          <w:color w:val="231F20"/>
          <w:spacing w:val="-2"/>
        </w:rPr>
        <w:t>героя</w:t>
      </w:r>
      <w:r>
        <w:rPr>
          <w:color w:val="231F20"/>
          <w:spacing w:val="-7"/>
        </w:rPr>
        <w:t> </w:t>
      </w:r>
      <w:r>
        <w:rPr>
          <w:color w:val="231F20"/>
          <w:spacing w:val="-2"/>
        </w:rPr>
        <w:t>нападают,</w:t>
      </w:r>
      <w:r>
        <w:rPr>
          <w:color w:val="231F20"/>
          <w:spacing w:val="-7"/>
        </w:rPr>
        <w:t> </w:t>
      </w:r>
      <w:r>
        <w:rPr>
          <w:color w:val="231F20"/>
          <w:spacing w:val="-2"/>
        </w:rPr>
        <w:t>его</w:t>
      </w:r>
      <w:r>
        <w:rPr>
          <w:color w:val="231F20"/>
          <w:spacing w:val="-7"/>
        </w:rPr>
        <w:t> </w:t>
      </w:r>
      <w:r>
        <w:rPr>
          <w:color w:val="231F20"/>
          <w:spacing w:val="-2"/>
        </w:rPr>
        <w:t>уничтожают,</w:t>
      </w:r>
      <w:r>
        <w:rPr>
          <w:color w:val="231F20"/>
          <w:spacing w:val="-7"/>
        </w:rPr>
        <w:t> </w:t>
      </w:r>
      <w:r>
        <w:rPr>
          <w:color w:val="231F20"/>
          <w:spacing w:val="-2"/>
        </w:rPr>
        <w:t>а</w:t>
      </w:r>
      <w:r>
        <w:rPr>
          <w:color w:val="231F20"/>
          <w:spacing w:val="-7"/>
        </w:rPr>
        <w:t> </w:t>
      </w:r>
      <w:r>
        <w:rPr>
          <w:color w:val="231F20"/>
          <w:spacing w:val="-2"/>
        </w:rPr>
        <w:t>он</w:t>
      </w:r>
      <w:r>
        <w:rPr>
          <w:color w:val="231F20"/>
          <w:spacing w:val="-7"/>
        </w:rPr>
        <w:t> </w:t>
      </w:r>
      <w:r>
        <w:rPr>
          <w:color w:val="231F20"/>
          <w:spacing w:val="-2"/>
        </w:rPr>
        <w:t>абсолютно</w:t>
      </w:r>
      <w:r>
        <w:rPr>
          <w:color w:val="231F20"/>
          <w:spacing w:val="-7"/>
        </w:rPr>
        <w:t> </w:t>
      </w:r>
      <w:r>
        <w:rPr>
          <w:color w:val="231F20"/>
          <w:spacing w:val="-2"/>
        </w:rPr>
        <w:t>беспо- </w:t>
      </w:r>
      <w:r>
        <w:rPr>
          <w:color w:val="231F20"/>
        </w:rPr>
        <w:t>мощен перед нападением; герой постоянно находится в опасности не по своей воле, при этом он испытывает паническую тревогу, в ряде случаев переходящую в ужас.</w:t>
      </w:r>
    </w:p>
    <w:p>
      <w:pPr>
        <w:pStyle w:val="BodyText"/>
        <w:spacing w:line="230" w:lineRule="auto"/>
      </w:pPr>
      <w:r>
        <w:rPr>
          <w:color w:val="231F20"/>
        </w:rPr>
        <w:t>Признаки</w:t>
      </w:r>
      <w:r>
        <w:rPr>
          <w:color w:val="231F20"/>
          <w:spacing w:val="-9"/>
        </w:rPr>
        <w:t> </w:t>
      </w:r>
      <w:r>
        <w:rPr>
          <w:color w:val="231F20"/>
        </w:rPr>
        <w:t>«безопасности»:</w:t>
      </w:r>
      <w:r>
        <w:rPr>
          <w:color w:val="231F20"/>
          <w:spacing w:val="-9"/>
        </w:rPr>
        <w:t> </w:t>
      </w:r>
      <w:r>
        <w:rPr>
          <w:color w:val="231F20"/>
        </w:rPr>
        <w:t>герой</w:t>
      </w:r>
      <w:r>
        <w:rPr>
          <w:color w:val="231F20"/>
          <w:spacing w:val="-9"/>
        </w:rPr>
        <w:t> </w:t>
      </w:r>
      <w:r>
        <w:rPr>
          <w:color w:val="231F20"/>
        </w:rPr>
        <w:t>получает</w:t>
      </w:r>
      <w:r>
        <w:rPr>
          <w:color w:val="231F20"/>
          <w:spacing w:val="-9"/>
        </w:rPr>
        <w:t> </w:t>
      </w:r>
      <w:r>
        <w:rPr>
          <w:color w:val="231F20"/>
        </w:rPr>
        <w:t>защиту,</w:t>
      </w:r>
      <w:r>
        <w:rPr>
          <w:color w:val="231F20"/>
          <w:spacing w:val="-9"/>
        </w:rPr>
        <w:t> </w:t>
      </w:r>
      <w:r>
        <w:rPr>
          <w:color w:val="231F20"/>
        </w:rPr>
        <w:t>он</w:t>
      </w:r>
      <w:r>
        <w:rPr>
          <w:color w:val="231F20"/>
          <w:spacing w:val="-9"/>
        </w:rPr>
        <w:t> </w:t>
      </w:r>
      <w:r>
        <w:rPr>
          <w:color w:val="231F20"/>
        </w:rPr>
        <w:t>попадает</w:t>
      </w:r>
      <w:r>
        <w:rPr>
          <w:color w:val="231F20"/>
          <w:spacing w:val="-9"/>
        </w:rPr>
        <w:t> </w:t>
      </w:r>
      <w:r>
        <w:rPr>
          <w:color w:val="231F20"/>
        </w:rPr>
        <w:t>в</w:t>
      </w:r>
      <w:r>
        <w:rPr>
          <w:color w:val="231F20"/>
          <w:spacing w:val="-9"/>
        </w:rPr>
        <w:t> </w:t>
      </w:r>
      <w:r>
        <w:rPr>
          <w:color w:val="231F20"/>
        </w:rPr>
        <w:t>ситуацию,</w:t>
      </w:r>
      <w:r>
        <w:rPr>
          <w:color w:val="231F20"/>
          <w:spacing w:val="-9"/>
        </w:rPr>
        <w:t> </w:t>
      </w:r>
      <w:r>
        <w:rPr>
          <w:color w:val="231F20"/>
        </w:rPr>
        <w:t>когда опасность отсутствует, побеждена, когда он становится недоступен для пугающего объекта. Главная задача терапевта – донести до ребенка представление о возможно- сти «быть в безопасности».</w:t>
      </w:r>
    </w:p>
    <w:p>
      <w:pPr>
        <w:pStyle w:val="BodyText"/>
        <w:spacing w:line="230" w:lineRule="auto"/>
      </w:pPr>
      <w:r>
        <w:rPr>
          <w:color w:val="231F20"/>
        </w:rPr>
        <w:t>Эту</w:t>
      </w:r>
      <w:r>
        <w:rPr>
          <w:color w:val="231F20"/>
          <w:spacing w:val="-4"/>
        </w:rPr>
        <w:t> </w:t>
      </w:r>
      <w:r>
        <w:rPr>
          <w:color w:val="231F20"/>
        </w:rPr>
        <w:t>историю</w:t>
      </w:r>
      <w:r>
        <w:rPr>
          <w:color w:val="231F20"/>
          <w:spacing w:val="-4"/>
        </w:rPr>
        <w:t> </w:t>
      </w:r>
      <w:r>
        <w:rPr>
          <w:color w:val="231F20"/>
        </w:rPr>
        <w:t>рассказал</w:t>
      </w:r>
      <w:r>
        <w:rPr>
          <w:color w:val="231F20"/>
          <w:spacing w:val="-4"/>
        </w:rPr>
        <w:t> </w:t>
      </w:r>
      <w:r>
        <w:rPr>
          <w:color w:val="231F20"/>
        </w:rPr>
        <w:t>восьмилетний</w:t>
      </w:r>
      <w:r>
        <w:rPr>
          <w:color w:val="231F20"/>
          <w:spacing w:val="-4"/>
        </w:rPr>
        <w:t> </w:t>
      </w:r>
      <w:r>
        <w:rPr>
          <w:color w:val="231F20"/>
        </w:rPr>
        <w:t>мальчик</w:t>
      </w:r>
      <w:r>
        <w:rPr>
          <w:color w:val="231F20"/>
          <w:spacing w:val="-4"/>
        </w:rPr>
        <w:t> </w:t>
      </w:r>
      <w:r>
        <w:rPr>
          <w:color w:val="231F20"/>
        </w:rPr>
        <w:t>из</w:t>
      </w:r>
      <w:r>
        <w:rPr>
          <w:color w:val="231F20"/>
          <w:spacing w:val="-4"/>
        </w:rPr>
        <w:t> </w:t>
      </w:r>
      <w:r>
        <w:rPr>
          <w:color w:val="231F20"/>
        </w:rPr>
        <w:t>семьи</w:t>
      </w:r>
      <w:r>
        <w:rPr>
          <w:color w:val="231F20"/>
          <w:spacing w:val="-4"/>
        </w:rPr>
        <w:t> </w:t>
      </w:r>
      <w:r>
        <w:rPr>
          <w:color w:val="231F20"/>
        </w:rPr>
        <w:t>беженцев</w:t>
      </w:r>
      <w:r>
        <w:rPr>
          <w:color w:val="231F20"/>
          <w:spacing w:val="-4"/>
        </w:rPr>
        <w:t> </w:t>
      </w:r>
      <w:r>
        <w:rPr>
          <w:color w:val="231F20"/>
        </w:rPr>
        <w:t>из</w:t>
      </w:r>
      <w:r>
        <w:rPr>
          <w:color w:val="231F20"/>
          <w:spacing w:val="-4"/>
        </w:rPr>
        <w:t> </w:t>
      </w:r>
      <w:r>
        <w:rPr>
          <w:color w:val="231F20"/>
        </w:rPr>
        <w:t>Ирака,</w:t>
      </w:r>
      <w:r>
        <w:rPr>
          <w:color w:val="231F20"/>
          <w:spacing w:val="-4"/>
        </w:rPr>
        <w:t> </w:t>
      </w:r>
      <w:r>
        <w:rPr>
          <w:color w:val="231F20"/>
        </w:rPr>
        <w:t>стра- дающий от жестокого обращения родителей и переживающий многочисленные не- вротические страхи.</w:t>
      </w:r>
    </w:p>
    <w:p>
      <w:pPr>
        <w:spacing w:line="235" w:lineRule="auto" w:before="104"/>
        <w:ind w:left="141" w:right="139" w:firstLine="283"/>
        <w:jc w:val="both"/>
        <w:rPr>
          <w:i/>
          <w:sz w:val="20"/>
        </w:rPr>
      </w:pPr>
      <w:r>
        <w:rPr>
          <w:i/>
          <w:color w:val="231F20"/>
          <w:sz w:val="20"/>
        </w:rPr>
        <w:t>Один</w:t>
      </w:r>
      <w:r>
        <w:rPr>
          <w:i/>
          <w:color w:val="231F20"/>
          <w:spacing w:val="-9"/>
          <w:sz w:val="20"/>
        </w:rPr>
        <w:t> </w:t>
      </w:r>
      <w:r>
        <w:rPr>
          <w:i/>
          <w:color w:val="231F20"/>
          <w:sz w:val="20"/>
        </w:rPr>
        <w:t>мальчик</w:t>
      </w:r>
      <w:r>
        <w:rPr>
          <w:i/>
          <w:color w:val="231F20"/>
          <w:spacing w:val="-9"/>
          <w:sz w:val="20"/>
        </w:rPr>
        <w:t> </w:t>
      </w:r>
      <w:r>
        <w:rPr>
          <w:i/>
          <w:color w:val="231F20"/>
          <w:sz w:val="20"/>
        </w:rPr>
        <w:t>маленький.</w:t>
      </w:r>
      <w:r>
        <w:rPr>
          <w:i/>
          <w:color w:val="231F20"/>
          <w:spacing w:val="-9"/>
          <w:sz w:val="20"/>
        </w:rPr>
        <w:t> </w:t>
      </w:r>
      <w:r>
        <w:rPr>
          <w:i/>
          <w:color w:val="231F20"/>
          <w:sz w:val="20"/>
        </w:rPr>
        <w:t>У</w:t>
      </w:r>
      <w:r>
        <w:rPr>
          <w:i/>
          <w:color w:val="231F20"/>
          <w:spacing w:val="-9"/>
          <w:sz w:val="20"/>
        </w:rPr>
        <w:t> </w:t>
      </w:r>
      <w:r>
        <w:rPr>
          <w:i/>
          <w:color w:val="231F20"/>
          <w:sz w:val="20"/>
        </w:rPr>
        <w:t>него</w:t>
      </w:r>
      <w:r>
        <w:rPr>
          <w:i/>
          <w:color w:val="231F20"/>
          <w:spacing w:val="-9"/>
          <w:sz w:val="20"/>
        </w:rPr>
        <w:t> </w:t>
      </w:r>
      <w:r>
        <w:rPr>
          <w:i/>
          <w:color w:val="231F20"/>
          <w:sz w:val="20"/>
        </w:rPr>
        <w:t>не</w:t>
      </w:r>
      <w:r>
        <w:rPr>
          <w:i/>
          <w:color w:val="231F20"/>
          <w:spacing w:val="-9"/>
          <w:sz w:val="20"/>
        </w:rPr>
        <w:t> </w:t>
      </w:r>
      <w:r>
        <w:rPr>
          <w:i/>
          <w:color w:val="231F20"/>
          <w:sz w:val="20"/>
        </w:rPr>
        <w:t>было</w:t>
      </w:r>
      <w:r>
        <w:rPr>
          <w:i/>
          <w:color w:val="231F20"/>
          <w:spacing w:val="-9"/>
          <w:sz w:val="20"/>
        </w:rPr>
        <w:t> </w:t>
      </w:r>
      <w:r>
        <w:rPr>
          <w:i/>
          <w:color w:val="231F20"/>
          <w:sz w:val="20"/>
        </w:rPr>
        <w:t>мамы</w:t>
      </w:r>
      <w:r>
        <w:rPr>
          <w:i/>
          <w:color w:val="231F20"/>
          <w:spacing w:val="-9"/>
          <w:sz w:val="20"/>
        </w:rPr>
        <w:t> </w:t>
      </w:r>
      <w:r>
        <w:rPr>
          <w:i/>
          <w:color w:val="231F20"/>
          <w:sz w:val="20"/>
        </w:rPr>
        <w:t>и</w:t>
      </w:r>
      <w:r>
        <w:rPr>
          <w:i/>
          <w:color w:val="231F20"/>
          <w:spacing w:val="-9"/>
          <w:sz w:val="20"/>
        </w:rPr>
        <w:t> </w:t>
      </w:r>
      <w:r>
        <w:rPr>
          <w:i/>
          <w:color w:val="231F20"/>
          <w:sz w:val="20"/>
        </w:rPr>
        <w:t>папы.</w:t>
      </w:r>
      <w:r>
        <w:rPr>
          <w:i/>
          <w:color w:val="231F20"/>
          <w:spacing w:val="-9"/>
          <w:sz w:val="20"/>
        </w:rPr>
        <w:t> </w:t>
      </w:r>
      <w:r>
        <w:rPr>
          <w:i/>
          <w:color w:val="231F20"/>
          <w:sz w:val="20"/>
        </w:rPr>
        <w:t>Он</w:t>
      </w:r>
      <w:r>
        <w:rPr>
          <w:i/>
          <w:color w:val="231F20"/>
          <w:spacing w:val="-9"/>
          <w:sz w:val="20"/>
        </w:rPr>
        <w:t> </w:t>
      </w:r>
      <w:r>
        <w:rPr>
          <w:i/>
          <w:color w:val="231F20"/>
          <w:sz w:val="20"/>
        </w:rPr>
        <w:t>пошел</w:t>
      </w:r>
      <w:r>
        <w:rPr>
          <w:i/>
          <w:color w:val="231F20"/>
          <w:spacing w:val="-9"/>
          <w:sz w:val="20"/>
        </w:rPr>
        <w:t> </w:t>
      </w:r>
      <w:r>
        <w:rPr>
          <w:i/>
          <w:color w:val="231F20"/>
          <w:sz w:val="20"/>
        </w:rPr>
        <w:t>гулять</w:t>
      </w:r>
      <w:r>
        <w:rPr>
          <w:i/>
          <w:color w:val="231F20"/>
          <w:spacing w:val="-9"/>
          <w:sz w:val="20"/>
        </w:rPr>
        <w:t> </w:t>
      </w:r>
      <w:r>
        <w:rPr>
          <w:i/>
          <w:color w:val="231F20"/>
          <w:sz w:val="20"/>
        </w:rPr>
        <w:t>один.</w:t>
      </w:r>
      <w:r>
        <w:rPr>
          <w:i/>
          <w:color w:val="231F20"/>
          <w:spacing w:val="-9"/>
          <w:sz w:val="20"/>
        </w:rPr>
        <w:t> </w:t>
      </w:r>
      <w:r>
        <w:rPr>
          <w:i/>
          <w:color w:val="231F20"/>
          <w:sz w:val="20"/>
        </w:rPr>
        <w:t>Его не кормили, ничего ему не давали. Увидел он страшного бегемота… нет, обезьяну. Мальчик сказал: «Хочешь, я принесу тебе бананы?»</w:t>
      </w:r>
    </w:p>
    <w:p>
      <w:pPr>
        <w:spacing w:after="0" w:line="235" w:lineRule="auto"/>
        <w:jc w:val="both"/>
        <w:rPr>
          <w:i/>
          <w:sz w:val="20"/>
        </w:rPr>
        <w:sectPr>
          <w:pgSz w:w="8400" w:h="11910"/>
          <w:pgMar w:header="0" w:footer="529" w:top="400" w:bottom="740" w:left="425" w:right="425"/>
        </w:sectPr>
      </w:pPr>
    </w:p>
    <w:p>
      <w:pPr>
        <w:pStyle w:val="ListParagraph"/>
        <w:numPr>
          <w:ilvl w:val="1"/>
          <w:numId w:val="207"/>
        </w:numPr>
        <w:tabs>
          <w:tab w:pos="455" w:val="left" w:leader="none"/>
        </w:tabs>
        <w:spacing w:line="240" w:lineRule="auto" w:before="80" w:after="0"/>
        <w:ind w:left="455" w:right="0" w:hanging="314"/>
        <w:jc w:val="both"/>
        <w:rPr>
          <w:rFonts w:ascii="Georgia" w:hAnsi="Georgia"/>
          <w:sz w:val="18"/>
        </w:rPr>
      </w:pPr>
      <w:r>
        <w:rPr>
          <w:rFonts w:ascii="Georgia" w:hAnsi="Georgia"/>
          <w:color w:val="231F20"/>
          <w:sz w:val="18"/>
        </w:rPr>
        <w:t>Метод</w:t>
      </w:r>
      <w:r>
        <w:rPr>
          <w:rFonts w:ascii="Georgia" w:hAnsi="Georgia"/>
          <w:color w:val="231F20"/>
          <w:spacing w:val="-6"/>
          <w:sz w:val="18"/>
        </w:rPr>
        <w:t> </w:t>
      </w:r>
      <w:r>
        <w:rPr>
          <w:rFonts w:ascii="Georgia" w:hAnsi="Georgia"/>
          <w:color w:val="231F20"/>
          <w:sz w:val="18"/>
        </w:rPr>
        <w:t>диалогического</w:t>
      </w:r>
      <w:r>
        <w:rPr>
          <w:rFonts w:ascii="Georgia" w:hAnsi="Georgia"/>
          <w:color w:val="231F20"/>
          <w:spacing w:val="-5"/>
          <w:sz w:val="18"/>
        </w:rPr>
        <w:t> </w:t>
      </w:r>
      <w:r>
        <w:rPr>
          <w:rFonts w:ascii="Georgia" w:hAnsi="Georgia"/>
          <w:color w:val="231F20"/>
          <w:sz w:val="18"/>
        </w:rPr>
        <w:t>рассказывания</w:t>
      </w:r>
      <w:r>
        <w:rPr>
          <w:rFonts w:ascii="Georgia" w:hAnsi="Georgia"/>
          <w:color w:val="231F20"/>
          <w:spacing w:val="-6"/>
          <w:sz w:val="18"/>
        </w:rPr>
        <w:t> </w:t>
      </w:r>
      <w:r>
        <w:rPr>
          <w:rFonts w:ascii="Georgia" w:hAnsi="Georgia"/>
          <w:color w:val="231F20"/>
          <w:sz w:val="18"/>
        </w:rPr>
        <w:t>историй:</w:t>
      </w:r>
      <w:r>
        <w:rPr>
          <w:rFonts w:ascii="Georgia" w:hAnsi="Georgia"/>
          <w:color w:val="231F20"/>
          <w:spacing w:val="-5"/>
          <w:sz w:val="18"/>
        </w:rPr>
        <w:t> </w:t>
      </w:r>
      <w:r>
        <w:rPr>
          <w:rFonts w:ascii="Georgia" w:hAnsi="Georgia"/>
          <w:color w:val="231F20"/>
          <w:sz w:val="18"/>
        </w:rPr>
        <w:t>методическое</w:t>
      </w:r>
      <w:r>
        <w:rPr>
          <w:rFonts w:ascii="Georgia" w:hAnsi="Georgia"/>
          <w:color w:val="231F20"/>
          <w:spacing w:val="-5"/>
          <w:sz w:val="18"/>
        </w:rPr>
        <w:t> </w:t>
      </w:r>
      <w:r>
        <w:rPr>
          <w:rFonts w:ascii="Georgia" w:hAnsi="Georgia"/>
          <w:color w:val="231F20"/>
          <w:spacing w:val="-2"/>
          <w:sz w:val="18"/>
        </w:rPr>
        <w:t>руководство</w:t>
      </w:r>
    </w:p>
    <w:p>
      <w:pPr>
        <w:spacing w:line="228" w:lineRule="exact" w:before="112"/>
        <w:ind w:left="425" w:right="0" w:firstLine="0"/>
        <w:jc w:val="both"/>
        <w:rPr>
          <w:i/>
          <w:sz w:val="20"/>
        </w:rPr>
      </w:pPr>
      <w:r>
        <w:rPr>
          <w:i/>
          <w:color w:val="231F20"/>
          <w:sz w:val="20"/>
        </w:rPr>
        <w:t>На</w:t>
      </w:r>
      <w:r>
        <w:rPr>
          <w:i/>
          <w:color w:val="231F20"/>
          <w:spacing w:val="-3"/>
          <w:sz w:val="20"/>
        </w:rPr>
        <w:t> </w:t>
      </w:r>
      <w:r>
        <w:rPr>
          <w:i/>
          <w:color w:val="231F20"/>
          <w:sz w:val="20"/>
        </w:rPr>
        <w:t>другой</w:t>
      </w:r>
      <w:r>
        <w:rPr>
          <w:i/>
          <w:color w:val="231F20"/>
          <w:spacing w:val="-3"/>
          <w:sz w:val="20"/>
        </w:rPr>
        <w:t> </w:t>
      </w:r>
      <w:r>
        <w:rPr>
          <w:i/>
          <w:color w:val="231F20"/>
          <w:sz w:val="20"/>
        </w:rPr>
        <w:t>раз</w:t>
      </w:r>
      <w:r>
        <w:rPr>
          <w:i/>
          <w:color w:val="231F20"/>
          <w:spacing w:val="-3"/>
          <w:sz w:val="20"/>
        </w:rPr>
        <w:t> </w:t>
      </w:r>
      <w:r>
        <w:rPr>
          <w:i/>
          <w:color w:val="231F20"/>
          <w:sz w:val="20"/>
        </w:rPr>
        <w:t>они</w:t>
      </w:r>
      <w:r>
        <w:rPr>
          <w:i/>
          <w:color w:val="231F20"/>
          <w:spacing w:val="-2"/>
          <w:sz w:val="20"/>
        </w:rPr>
        <w:t> </w:t>
      </w:r>
      <w:r>
        <w:rPr>
          <w:i/>
          <w:color w:val="231F20"/>
          <w:sz w:val="20"/>
        </w:rPr>
        <w:t>пошли</w:t>
      </w:r>
      <w:r>
        <w:rPr>
          <w:i/>
          <w:color w:val="231F20"/>
          <w:spacing w:val="-3"/>
          <w:sz w:val="20"/>
        </w:rPr>
        <w:t> </w:t>
      </w:r>
      <w:r>
        <w:rPr>
          <w:i/>
          <w:color w:val="231F20"/>
          <w:sz w:val="20"/>
        </w:rPr>
        <w:t>искать</w:t>
      </w:r>
      <w:r>
        <w:rPr>
          <w:i/>
          <w:color w:val="231F20"/>
          <w:spacing w:val="-3"/>
          <w:sz w:val="20"/>
        </w:rPr>
        <w:t> </w:t>
      </w:r>
      <w:r>
        <w:rPr>
          <w:i/>
          <w:color w:val="231F20"/>
          <w:sz w:val="20"/>
        </w:rPr>
        <w:t>маму</w:t>
      </w:r>
      <w:r>
        <w:rPr>
          <w:i/>
          <w:color w:val="231F20"/>
          <w:spacing w:val="-3"/>
          <w:sz w:val="20"/>
        </w:rPr>
        <w:t> </w:t>
      </w:r>
      <w:r>
        <w:rPr>
          <w:i/>
          <w:color w:val="231F20"/>
          <w:sz w:val="20"/>
        </w:rPr>
        <w:t>и</w:t>
      </w:r>
      <w:r>
        <w:rPr>
          <w:i/>
          <w:color w:val="231F20"/>
          <w:spacing w:val="-2"/>
          <w:sz w:val="20"/>
        </w:rPr>
        <w:t> </w:t>
      </w:r>
      <w:r>
        <w:rPr>
          <w:i/>
          <w:color w:val="231F20"/>
          <w:sz w:val="20"/>
        </w:rPr>
        <w:t>папу.</w:t>
      </w:r>
      <w:r>
        <w:rPr>
          <w:i/>
          <w:color w:val="231F20"/>
          <w:spacing w:val="-3"/>
          <w:sz w:val="20"/>
        </w:rPr>
        <w:t> </w:t>
      </w:r>
      <w:r>
        <w:rPr>
          <w:i/>
          <w:color w:val="231F20"/>
          <w:sz w:val="20"/>
        </w:rPr>
        <w:t>Мальчик</w:t>
      </w:r>
      <w:r>
        <w:rPr>
          <w:i/>
          <w:color w:val="231F20"/>
          <w:spacing w:val="-3"/>
          <w:sz w:val="20"/>
        </w:rPr>
        <w:t> </w:t>
      </w:r>
      <w:r>
        <w:rPr>
          <w:i/>
          <w:color w:val="231F20"/>
          <w:sz w:val="20"/>
        </w:rPr>
        <w:t>плакал.</w:t>
      </w:r>
      <w:r>
        <w:rPr>
          <w:i/>
          <w:color w:val="231F20"/>
          <w:spacing w:val="-3"/>
          <w:sz w:val="20"/>
        </w:rPr>
        <w:t> </w:t>
      </w:r>
      <w:r>
        <w:rPr>
          <w:i/>
          <w:color w:val="231F20"/>
          <w:sz w:val="20"/>
        </w:rPr>
        <w:t>Обезьяна</w:t>
      </w:r>
      <w:r>
        <w:rPr>
          <w:i/>
          <w:color w:val="231F20"/>
          <w:spacing w:val="-2"/>
          <w:sz w:val="20"/>
        </w:rPr>
        <w:t> сказала:</w:t>
      </w:r>
    </w:p>
    <w:p>
      <w:pPr>
        <w:spacing w:line="235" w:lineRule="auto" w:before="2"/>
        <w:ind w:left="141" w:right="139" w:firstLine="0"/>
        <w:jc w:val="both"/>
        <w:rPr>
          <w:i/>
          <w:sz w:val="20"/>
        </w:rPr>
      </w:pPr>
      <w:r>
        <w:rPr>
          <w:i/>
          <w:color w:val="231F20"/>
          <w:sz w:val="20"/>
        </w:rPr>
        <w:t>«Найду</w:t>
      </w:r>
      <w:r>
        <w:rPr>
          <w:i/>
          <w:color w:val="231F20"/>
          <w:spacing w:val="-8"/>
          <w:sz w:val="20"/>
        </w:rPr>
        <w:t> </w:t>
      </w:r>
      <w:r>
        <w:rPr>
          <w:i/>
          <w:color w:val="231F20"/>
          <w:sz w:val="20"/>
        </w:rPr>
        <w:t>сейчас</w:t>
      </w:r>
      <w:r>
        <w:rPr>
          <w:i/>
          <w:color w:val="231F20"/>
          <w:spacing w:val="-8"/>
          <w:sz w:val="20"/>
        </w:rPr>
        <w:t> </w:t>
      </w:r>
      <w:r>
        <w:rPr>
          <w:i/>
          <w:color w:val="231F20"/>
          <w:sz w:val="20"/>
        </w:rPr>
        <w:t>маму</w:t>
      </w:r>
      <w:r>
        <w:rPr>
          <w:i/>
          <w:color w:val="231F20"/>
          <w:spacing w:val="-8"/>
          <w:sz w:val="20"/>
        </w:rPr>
        <w:t> </w:t>
      </w:r>
      <w:r>
        <w:rPr>
          <w:i/>
          <w:color w:val="231F20"/>
          <w:sz w:val="20"/>
        </w:rPr>
        <w:t>и</w:t>
      </w:r>
      <w:r>
        <w:rPr>
          <w:i/>
          <w:color w:val="231F20"/>
          <w:spacing w:val="-8"/>
          <w:sz w:val="20"/>
        </w:rPr>
        <w:t> </w:t>
      </w:r>
      <w:r>
        <w:rPr>
          <w:i/>
          <w:color w:val="231F20"/>
          <w:sz w:val="20"/>
        </w:rPr>
        <w:t>папу.</w:t>
      </w:r>
      <w:r>
        <w:rPr>
          <w:i/>
          <w:color w:val="231F20"/>
          <w:spacing w:val="-8"/>
          <w:sz w:val="20"/>
        </w:rPr>
        <w:t> </w:t>
      </w:r>
      <w:r>
        <w:rPr>
          <w:i/>
          <w:color w:val="231F20"/>
          <w:sz w:val="20"/>
        </w:rPr>
        <w:t>Ты</w:t>
      </w:r>
      <w:r>
        <w:rPr>
          <w:i/>
          <w:color w:val="231F20"/>
          <w:spacing w:val="-8"/>
          <w:sz w:val="20"/>
        </w:rPr>
        <w:t> </w:t>
      </w:r>
      <w:r>
        <w:rPr>
          <w:i/>
          <w:color w:val="231F20"/>
          <w:sz w:val="20"/>
        </w:rPr>
        <w:t>иди</w:t>
      </w:r>
      <w:r>
        <w:rPr>
          <w:i/>
          <w:color w:val="231F20"/>
          <w:spacing w:val="-8"/>
          <w:sz w:val="20"/>
        </w:rPr>
        <w:t> </w:t>
      </w:r>
      <w:r>
        <w:rPr>
          <w:i/>
          <w:color w:val="231F20"/>
          <w:sz w:val="20"/>
        </w:rPr>
        <w:t>ко</w:t>
      </w:r>
      <w:r>
        <w:rPr>
          <w:i/>
          <w:color w:val="231F20"/>
          <w:spacing w:val="-8"/>
          <w:sz w:val="20"/>
        </w:rPr>
        <w:t> </w:t>
      </w:r>
      <w:r>
        <w:rPr>
          <w:i/>
          <w:color w:val="231F20"/>
          <w:sz w:val="20"/>
        </w:rPr>
        <w:t>мне</w:t>
      </w:r>
      <w:r>
        <w:rPr>
          <w:i/>
          <w:color w:val="231F20"/>
          <w:spacing w:val="-8"/>
          <w:sz w:val="20"/>
        </w:rPr>
        <w:t> </w:t>
      </w:r>
      <w:r>
        <w:rPr>
          <w:i/>
          <w:color w:val="231F20"/>
          <w:sz w:val="20"/>
        </w:rPr>
        <w:t>домой,</w:t>
      </w:r>
      <w:r>
        <w:rPr>
          <w:i/>
          <w:color w:val="231F20"/>
          <w:spacing w:val="-8"/>
          <w:sz w:val="20"/>
        </w:rPr>
        <w:t> </w:t>
      </w:r>
      <w:r>
        <w:rPr>
          <w:i/>
          <w:color w:val="231F20"/>
          <w:sz w:val="20"/>
        </w:rPr>
        <w:t>а</w:t>
      </w:r>
      <w:r>
        <w:rPr>
          <w:i/>
          <w:color w:val="231F20"/>
          <w:spacing w:val="-8"/>
          <w:sz w:val="20"/>
        </w:rPr>
        <w:t> </w:t>
      </w:r>
      <w:r>
        <w:rPr>
          <w:i/>
          <w:color w:val="231F20"/>
          <w:sz w:val="20"/>
        </w:rPr>
        <w:t>я</w:t>
      </w:r>
      <w:r>
        <w:rPr>
          <w:i/>
          <w:color w:val="231F20"/>
          <w:spacing w:val="-8"/>
          <w:sz w:val="20"/>
        </w:rPr>
        <w:t> </w:t>
      </w:r>
      <w:r>
        <w:rPr>
          <w:i/>
          <w:color w:val="231F20"/>
          <w:sz w:val="20"/>
        </w:rPr>
        <w:t>пойду</w:t>
      </w:r>
      <w:r>
        <w:rPr>
          <w:i/>
          <w:color w:val="231F20"/>
          <w:spacing w:val="-8"/>
          <w:sz w:val="20"/>
        </w:rPr>
        <w:t> </w:t>
      </w:r>
      <w:r>
        <w:rPr>
          <w:i/>
          <w:color w:val="231F20"/>
          <w:sz w:val="20"/>
        </w:rPr>
        <w:t>искать».</w:t>
      </w:r>
      <w:r>
        <w:rPr>
          <w:i/>
          <w:color w:val="231F20"/>
          <w:spacing w:val="-8"/>
          <w:sz w:val="20"/>
        </w:rPr>
        <w:t> </w:t>
      </w:r>
      <w:r>
        <w:rPr>
          <w:i/>
          <w:color w:val="231F20"/>
          <w:sz w:val="20"/>
        </w:rPr>
        <w:t>Обезьяна</w:t>
      </w:r>
      <w:r>
        <w:rPr>
          <w:i/>
          <w:color w:val="231F20"/>
          <w:spacing w:val="-8"/>
          <w:sz w:val="20"/>
        </w:rPr>
        <w:t> </w:t>
      </w:r>
      <w:r>
        <w:rPr>
          <w:i/>
          <w:color w:val="231F20"/>
          <w:sz w:val="20"/>
        </w:rPr>
        <w:t>пошла искать</w:t>
      </w:r>
      <w:r>
        <w:rPr>
          <w:i/>
          <w:color w:val="231F20"/>
          <w:spacing w:val="10"/>
          <w:sz w:val="20"/>
        </w:rPr>
        <w:t> </w:t>
      </w:r>
      <w:r>
        <w:rPr>
          <w:i/>
          <w:color w:val="231F20"/>
          <w:sz w:val="20"/>
        </w:rPr>
        <w:t>и</w:t>
      </w:r>
      <w:r>
        <w:rPr>
          <w:i/>
          <w:color w:val="231F20"/>
          <w:spacing w:val="13"/>
          <w:sz w:val="20"/>
        </w:rPr>
        <w:t> </w:t>
      </w:r>
      <w:r>
        <w:rPr>
          <w:i/>
          <w:color w:val="231F20"/>
          <w:sz w:val="20"/>
        </w:rPr>
        <w:t>увидела</w:t>
      </w:r>
      <w:r>
        <w:rPr>
          <w:i/>
          <w:color w:val="231F20"/>
          <w:spacing w:val="13"/>
          <w:sz w:val="20"/>
        </w:rPr>
        <w:t> </w:t>
      </w:r>
      <w:r>
        <w:rPr>
          <w:i/>
          <w:color w:val="231F20"/>
          <w:sz w:val="20"/>
        </w:rPr>
        <w:t>страшного</w:t>
      </w:r>
      <w:r>
        <w:rPr>
          <w:i/>
          <w:color w:val="231F20"/>
          <w:spacing w:val="13"/>
          <w:sz w:val="20"/>
        </w:rPr>
        <w:t> </w:t>
      </w:r>
      <w:r>
        <w:rPr>
          <w:i/>
          <w:color w:val="231F20"/>
          <w:sz w:val="20"/>
        </w:rPr>
        <w:t>тигра.</w:t>
      </w:r>
      <w:r>
        <w:rPr>
          <w:i/>
          <w:color w:val="231F20"/>
          <w:spacing w:val="12"/>
          <w:sz w:val="20"/>
        </w:rPr>
        <w:t> </w:t>
      </w:r>
      <w:r>
        <w:rPr>
          <w:i/>
          <w:color w:val="231F20"/>
          <w:sz w:val="20"/>
        </w:rPr>
        <w:t>Тигр</w:t>
      </w:r>
      <w:r>
        <w:rPr>
          <w:i/>
          <w:color w:val="231F20"/>
          <w:spacing w:val="13"/>
          <w:sz w:val="20"/>
        </w:rPr>
        <w:t> </w:t>
      </w:r>
      <w:r>
        <w:rPr>
          <w:i/>
          <w:color w:val="231F20"/>
          <w:sz w:val="20"/>
        </w:rPr>
        <w:t>взял</w:t>
      </w:r>
      <w:r>
        <w:rPr>
          <w:i/>
          <w:color w:val="231F20"/>
          <w:spacing w:val="13"/>
          <w:sz w:val="20"/>
        </w:rPr>
        <w:t> </w:t>
      </w:r>
      <w:r>
        <w:rPr>
          <w:i/>
          <w:color w:val="231F20"/>
          <w:sz w:val="20"/>
        </w:rPr>
        <w:t>ее</w:t>
      </w:r>
      <w:r>
        <w:rPr>
          <w:i/>
          <w:color w:val="231F20"/>
          <w:spacing w:val="13"/>
          <w:sz w:val="20"/>
        </w:rPr>
        <w:t> </w:t>
      </w:r>
      <w:r>
        <w:rPr>
          <w:i/>
          <w:color w:val="231F20"/>
          <w:sz w:val="20"/>
        </w:rPr>
        <w:t>и</w:t>
      </w:r>
      <w:r>
        <w:rPr>
          <w:i/>
          <w:color w:val="231F20"/>
          <w:spacing w:val="12"/>
          <w:sz w:val="20"/>
        </w:rPr>
        <w:t> </w:t>
      </w:r>
      <w:r>
        <w:rPr>
          <w:i/>
          <w:color w:val="231F20"/>
          <w:sz w:val="20"/>
        </w:rPr>
        <w:t>спросил:</w:t>
      </w:r>
      <w:r>
        <w:rPr>
          <w:i/>
          <w:color w:val="231F20"/>
          <w:spacing w:val="13"/>
          <w:sz w:val="20"/>
        </w:rPr>
        <w:t> </w:t>
      </w:r>
      <w:r>
        <w:rPr>
          <w:i/>
          <w:color w:val="231F20"/>
          <w:sz w:val="20"/>
        </w:rPr>
        <w:t>«Ты</w:t>
      </w:r>
      <w:r>
        <w:rPr>
          <w:i/>
          <w:color w:val="231F20"/>
          <w:spacing w:val="13"/>
          <w:sz w:val="20"/>
        </w:rPr>
        <w:t> </w:t>
      </w:r>
      <w:r>
        <w:rPr>
          <w:i/>
          <w:color w:val="231F20"/>
          <w:sz w:val="20"/>
        </w:rPr>
        <w:t>куда?».</w:t>
      </w:r>
      <w:r>
        <w:rPr>
          <w:i/>
          <w:color w:val="231F20"/>
          <w:spacing w:val="13"/>
          <w:sz w:val="20"/>
        </w:rPr>
        <w:t> </w:t>
      </w:r>
      <w:r>
        <w:rPr>
          <w:i/>
          <w:color w:val="231F20"/>
          <w:spacing w:val="-2"/>
          <w:sz w:val="20"/>
        </w:rPr>
        <w:t>Обезьяна:</w:t>
      </w:r>
    </w:p>
    <w:p>
      <w:pPr>
        <w:spacing w:line="232" w:lineRule="auto" w:before="3"/>
        <w:ind w:left="141" w:right="139" w:firstLine="0"/>
        <w:jc w:val="both"/>
        <w:rPr>
          <w:i/>
          <w:sz w:val="20"/>
        </w:rPr>
      </w:pPr>
      <w:r>
        <w:rPr>
          <w:i/>
          <w:color w:val="231F20"/>
          <w:sz w:val="20"/>
        </w:rPr>
        <w:t>«Один</w:t>
      </w:r>
      <w:r>
        <w:rPr>
          <w:i/>
          <w:color w:val="231F20"/>
          <w:spacing w:val="-9"/>
          <w:sz w:val="20"/>
        </w:rPr>
        <w:t> </w:t>
      </w:r>
      <w:r>
        <w:rPr>
          <w:i/>
          <w:color w:val="231F20"/>
          <w:sz w:val="20"/>
        </w:rPr>
        <w:t>мальчик</w:t>
      </w:r>
      <w:r>
        <w:rPr>
          <w:i/>
          <w:color w:val="231F20"/>
          <w:spacing w:val="-9"/>
          <w:sz w:val="20"/>
        </w:rPr>
        <w:t> </w:t>
      </w:r>
      <w:r>
        <w:rPr>
          <w:i/>
          <w:color w:val="231F20"/>
          <w:sz w:val="20"/>
        </w:rPr>
        <w:t>хотел</w:t>
      </w:r>
      <w:r>
        <w:rPr>
          <w:i/>
          <w:color w:val="231F20"/>
          <w:spacing w:val="-9"/>
          <w:sz w:val="20"/>
        </w:rPr>
        <w:t> </w:t>
      </w:r>
      <w:r>
        <w:rPr>
          <w:i/>
          <w:color w:val="231F20"/>
          <w:sz w:val="20"/>
        </w:rPr>
        <w:t>маму</w:t>
      </w:r>
      <w:r>
        <w:rPr>
          <w:i/>
          <w:color w:val="231F20"/>
          <w:spacing w:val="-9"/>
          <w:sz w:val="20"/>
        </w:rPr>
        <w:t> </w:t>
      </w:r>
      <w:r>
        <w:rPr>
          <w:i/>
          <w:color w:val="231F20"/>
          <w:sz w:val="20"/>
        </w:rPr>
        <w:t>свою,</w:t>
      </w:r>
      <w:r>
        <w:rPr>
          <w:i/>
          <w:color w:val="231F20"/>
          <w:spacing w:val="-9"/>
          <w:sz w:val="20"/>
        </w:rPr>
        <w:t> </w:t>
      </w:r>
      <w:r>
        <w:rPr>
          <w:i/>
          <w:color w:val="231F20"/>
          <w:sz w:val="20"/>
        </w:rPr>
        <w:t>я</w:t>
      </w:r>
      <w:r>
        <w:rPr>
          <w:i/>
          <w:color w:val="231F20"/>
          <w:spacing w:val="-9"/>
          <w:sz w:val="20"/>
        </w:rPr>
        <w:t> </w:t>
      </w:r>
      <w:r>
        <w:rPr>
          <w:i/>
          <w:color w:val="231F20"/>
          <w:sz w:val="20"/>
        </w:rPr>
        <w:t>ее</w:t>
      </w:r>
      <w:r>
        <w:rPr>
          <w:i/>
          <w:color w:val="231F20"/>
          <w:spacing w:val="-9"/>
          <w:sz w:val="20"/>
        </w:rPr>
        <w:t> </w:t>
      </w:r>
      <w:r>
        <w:rPr>
          <w:i/>
          <w:color w:val="231F20"/>
          <w:sz w:val="20"/>
        </w:rPr>
        <w:t>ищу».</w:t>
      </w:r>
      <w:r>
        <w:rPr>
          <w:i/>
          <w:color w:val="231F20"/>
          <w:spacing w:val="-9"/>
          <w:sz w:val="20"/>
        </w:rPr>
        <w:t> </w:t>
      </w:r>
      <w:r>
        <w:rPr>
          <w:i/>
          <w:color w:val="231F20"/>
          <w:sz w:val="20"/>
        </w:rPr>
        <w:t>Они</w:t>
      </w:r>
      <w:r>
        <w:rPr>
          <w:i/>
          <w:color w:val="231F20"/>
          <w:spacing w:val="-9"/>
          <w:sz w:val="20"/>
        </w:rPr>
        <w:t> </w:t>
      </w:r>
      <w:r>
        <w:rPr>
          <w:i/>
          <w:color w:val="231F20"/>
          <w:sz w:val="20"/>
        </w:rPr>
        <w:t>пошли</w:t>
      </w:r>
      <w:r>
        <w:rPr>
          <w:i/>
          <w:color w:val="231F20"/>
          <w:spacing w:val="-9"/>
          <w:sz w:val="20"/>
        </w:rPr>
        <w:t> </w:t>
      </w:r>
      <w:r>
        <w:rPr>
          <w:i/>
          <w:color w:val="231F20"/>
          <w:sz w:val="20"/>
        </w:rPr>
        <w:t>вместе</w:t>
      </w:r>
      <w:r>
        <w:rPr>
          <w:i/>
          <w:color w:val="231F20"/>
          <w:spacing w:val="-9"/>
          <w:sz w:val="20"/>
        </w:rPr>
        <w:t> </w:t>
      </w:r>
      <w:r>
        <w:rPr>
          <w:i/>
          <w:color w:val="231F20"/>
          <w:sz w:val="20"/>
        </w:rPr>
        <w:t>искать.</w:t>
      </w:r>
      <w:r>
        <w:rPr>
          <w:i/>
          <w:color w:val="231F20"/>
          <w:spacing w:val="-9"/>
          <w:sz w:val="20"/>
        </w:rPr>
        <w:t> </w:t>
      </w:r>
      <w:r>
        <w:rPr>
          <w:i/>
          <w:color w:val="231F20"/>
          <w:sz w:val="20"/>
        </w:rPr>
        <w:t>Очень</w:t>
      </w:r>
      <w:r>
        <w:rPr>
          <w:i/>
          <w:color w:val="231F20"/>
          <w:spacing w:val="-9"/>
          <w:sz w:val="20"/>
        </w:rPr>
        <w:t> </w:t>
      </w:r>
      <w:r>
        <w:rPr>
          <w:i/>
          <w:color w:val="231F20"/>
          <w:sz w:val="20"/>
        </w:rPr>
        <w:t>далеко пошли. Посмотрели – мама и папа мальчика на воде – их укусил страшный Шрек- монстр. Потом Шрек убил тигра и обезьяну.</w:t>
      </w:r>
    </w:p>
    <w:p>
      <w:pPr>
        <w:spacing w:line="232" w:lineRule="auto" w:before="0"/>
        <w:ind w:left="425" w:right="767" w:firstLine="0"/>
        <w:jc w:val="both"/>
        <w:rPr>
          <w:i/>
          <w:sz w:val="20"/>
        </w:rPr>
      </w:pPr>
      <w:r>
        <w:rPr>
          <w:i/>
          <w:color w:val="231F20"/>
          <w:sz w:val="20"/>
        </w:rPr>
        <w:t>Потом</w:t>
      </w:r>
      <w:r>
        <w:rPr>
          <w:i/>
          <w:color w:val="231F20"/>
          <w:spacing w:val="-6"/>
          <w:sz w:val="20"/>
        </w:rPr>
        <w:t> </w:t>
      </w:r>
      <w:r>
        <w:rPr>
          <w:i/>
          <w:color w:val="231F20"/>
          <w:sz w:val="20"/>
        </w:rPr>
        <w:t>мальчик</w:t>
      </w:r>
      <w:r>
        <w:rPr>
          <w:i/>
          <w:color w:val="231F20"/>
          <w:spacing w:val="-5"/>
          <w:sz w:val="20"/>
        </w:rPr>
        <w:t> </w:t>
      </w:r>
      <w:r>
        <w:rPr>
          <w:i/>
          <w:color w:val="231F20"/>
          <w:sz w:val="20"/>
        </w:rPr>
        <w:t>пошел</w:t>
      </w:r>
      <w:r>
        <w:rPr>
          <w:i/>
          <w:color w:val="231F20"/>
          <w:spacing w:val="-5"/>
          <w:sz w:val="20"/>
        </w:rPr>
        <w:t> </w:t>
      </w:r>
      <w:r>
        <w:rPr>
          <w:i/>
          <w:color w:val="231F20"/>
          <w:sz w:val="20"/>
        </w:rPr>
        <w:t>–</w:t>
      </w:r>
      <w:r>
        <w:rPr>
          <w:i/>
          <w:color w:val="231F20"/>
          <w:spacing w:val="-5"/>
          <w:sz w:val="20"/>
        </w:rPr>
        <w:t> </w:t>
      </w:r>
      <w:r>
        <w:rPr>
          <w:i/>
          <w:color w:val="231F20"/>
          <w:sz w:val="20"/>
        </w:rPr>
        <w:t>увидел</w:t>
      </w:r>
      <w:r>
        <w:rPr>
          <w:i/>
          <w:color w:val="231F20"/>
          <w:spacing w:val="-5"/>
          <w:sz w:val="20"/>
        </w:rPr>
        <w:t> </w:t>
      </w:r>
      <w:r>
        <w:rPr>
          <w:i/>
          <w:color w:val="231F20"/>
          <w:sz w:val="20"/>
        </w:rPr>
        <w:t>маму</w:t>
      </w:r>
      <w:r>
        <w:rPr>
          <w:i/>
          <w:color w:val="231F20"/>
          <w:spacing w:val="-5"/>
          <w:sz w:val="20"/>
        </w:rPr>
        <w:t> </w:t>
      </w:r>
      <w:r>
        <w:rPr>
          <w:i/>
          <w:color w:val="231F20"/>
          <w:sz w:val="20"/>
        </w:rPr>
        <w:t>и</w:t>
      </w:r>
      <w:r>
        <w:rPr>
          <w:i/>
          <w:color w:val="231F20"/>
          <w:spacing w:val="-5"/>
          <w:sz w:val="20"/>
        </w:rPr>
        <w:t> </w:t>
      </w:r>
      <w:r>
        <w:rPr>
          <w:i/>
          <w:color w:val="231F20"/>
          <w:sz w:val="20"/>
        </w:rPr>
        <w:t>папу,</w:t>
      </w:r>
      <w:r>
        <w:rPr>
          <w:i/>
          <w:color w:val="231F20"/>
          <w:spacing w:val="-5"/>
          <w:sz w:val="20"/>
        </w:rPr>
        <w:t> </w:t>
      </w:r>
      <w:r>
        <w:rPr>
          <w:i/>
          <w:color w:val="231F20"/>
          <w:sz w:val="20"/>
        </w:rPr>
        <w:t>а</w:t>
      </w:r>
      <w:r>
        <w:rPr>
          <w:i/>
          <w:color w:val="231F20"/>
          <w:spacing w:val="-5"/>
          <w:sz w:val="20"/>
        </w:rPr>
        <w:t> </w:t>
      </w:r>
      <w:r>
        <w:rPr>
          <w:i/>
          <w:color w:val="231F20"/>
          <w:sz w:val="20"/>
        </w:rPr>
        <w:t>Шрек</w:t>
      </w:r>
      <w:r>
        <w:rPr>
          <w:i/>
          <w:color w:val="231F20"/>
          <w:spacing w:val="-5"/>
          <w:sz w:val="20"/>
        </w:rPr>
        <w:t> </w:t>
      </w:r>
      <w:r>
        <w:rPr>
          <w:i/>
          <w:color w:val="231F20"/>
          <w:sz w:val="20"/>
        </w:rPr>
        <w:t>его</w:t>
      </w:r>
      <w:r>
        <w:rPr>
          <w:i/>
          <w:color w:val="231F20"/>
          <w:spacing w:val="-5"/>
          <w:sz w:val="20"/>
        </w:rPr>
        <w:t> </w:t>
      </w:r>
      <w:r>
        <w:rPr>
          <w:i/>
          <w:color w:val="231F20"/>
          <w:sz w:val="20"/>
        </w:rPr>
        <w:t>укусил,</w:t>
      </w:r>
      <w:r>
        <w:rPr>
          <w:i/>
          <w:color w:val="231F20"/>
          <w:spacing w:val="-5"/>
          <w:sz w:val="20"/>
        </w:rPr>
        <w:t> </w:t>
      </w:r>
      <w:r>
        <w:rPr>
          <w:i/>
          <w:color w:val="231F20"/>
          <w:sz w:val="20"/>
        </w:rPr>
        <w:t>и</w:t>
      </w:r>
      <w:r>
        <w:rPr>
          <w:i/>
          <w:color w:val="231F20"/>
          <w:spacing w:val="-5"/>
          <w:sz w:val="20"/>
        </w:rPr>
        <w:t> </w:t>
      </w:r>
      <w:r>
        <w:rPr>
          <w:i/>
          <w:color w:val="231F20"/>
          <w:sz w:val="20"/>
        </w:rPr>
        <w:t>он</w:t>
      </w:r>
      <w:r>
        <w:rPr>
          <w:i/>
          <w:color w:val="231F20"/>
          <w:spacing w:val="-6"/>
          <w:sz w:val="20"/>
        </w:rPr>
        <w:t> </w:t>
      </w:r>
      <w:r>
        <w:rPr>
          <w:i/>
          <w:color w:val="231F20"/>
          <w:sz w:val="20"/>
        </w:rPr>
        <w:t>умер. Урока здесь нет.</w:t>
      </w:r>
    </w:p>
    <w:p>
      <w:pPr>
        <w:pStyle w:val="BodyText"/>
        <w:spacing w:line="232" w:lineRule="auto" w:before="108"/>
      </w:pPr>
      <w:r>
        <w:rPr>
          <w:color w:val="231F20"/>
        </w:rPr>
        <w:t>В</w:t>
      </w:r>
      <w:r>
        <w:rPr>
          <w:color w:val="231F20"/>
          <w:spacing w:val="-4"/>
        </w:rPr>
        <w:t> </w:t>
      </w:r>
      <w:r>
        <w:rPr>
          <w:color w:val="231F20"/>
        </w:rPr>
        <w:t>истории</w:t>
      </w:r>
      <w:r>
        <w:rPr>
          <w:color w:val="231F20"/>
          <w:spacing w:val="-4"/>
        </w:rPr>
        <w:t> </w:t>
      </w:r>
      <w:r>
        <w:rPr>
          <w:color w:val="231F20"/>
        </w:rPr>
        <w:t>ясно</w:t>
      </w:r>
      <w:r>
        <w:rPr>
          <w:color w:val="231F20"/>
          <w:spacing w:val="-4"/>
        </w:rPr>
        <w:t> </w:t>
      </w:r>
      <w:r>
        <w:rPr>
          <w:color w:val="231F20"/>
        </w:rPr>
        <w:t>видно</w:t>
      </w:r>
      <w:r>
        <w:rPr>
          <w:color w:val="231F20"/>
          <w:spacing w:val="-4"/>
        </w:rPr>
        <w:t> </w:t>
      </w:r>
      <w:r>
        <w:rPr>
          <w:color w:val="231F20"/>
        </w:rPr>
        <w:t>стойкое</w:t>
      </w:r>
      <w:r>
        <w:rPr>
          <w:color w:val="231F20"/>
          <w:spacing w:val="-4"/>
        </w:rPr>
        <w:t> </w:t>
      </w:r>
      <w:r>
        <w:rPr>
          <w:color w:val="231F20"/>
        </w:rPr>
        <w:t>чувство</w:t>
      </w:r>
      <w:r>
        <w:rPr>
          <w:color w:val="231F20"/>
          <w:spacing w:val="-4"/>
        </w:rPr>
        <w:t> </w:t>
      </w:r>
      <w:r>
        <w:rPr>
          <w:color w:val="231F20"/>
        </w:rPr>
        <w:t>опасности,</w:t>
      </w:r>
      <w:r>
        <w:rPr>
          <w:color w:val="231F20"/>
          <w:spacing w:val="-4"/>
        </w:rPr>
        <w:t> </w:t>
      </w:r>
      <w:r>
        <w:rPr>
          <w:color w:val="231F20"/>
        </w:rPr>
        <w:t>проявляемое</w:t>
      </w:r>
      <w:r>
        <w:rPr>
          <w:color w:val="231F20"/>
          <w:spacing w:val="-4"/>
        </w:rPr>
        <w:t> </w:t>
      </w:r>
      <w:r>
        <w:rPr>
          <w:color w:val="231F20"/>
        </w:rPr>
        <w:t>и</w:t>
      </w:r>
      <w:r>
        <w:rPr>
          <w:color w:val="231F20"/>
          <w:spacing w:val="-4"/>
        </w:rPr>
        <w:t> </w:t>
      </w:r>
      <w:r>
        <w:rPr>
          <w:color w:val="231F20"/>
        </w:rPr>
        <w:t>в</w:t>
      </w:r>
      <w:r>
        <w:rPr>
          <w:color w:val="231F20"/>
          <w:spacing w:val="-4"/>
        </w:rPr>
        <w:t> </w:t>
      </w:r>
      <w:r>
        <w:rPr>
          <w:color w:val="231F20"/>
        </w:rPr>
        <w:t>поведении</w:t>
      </w:r>
      <w:r>
        <w:rPr>
          <w:color w:val="231F20"/>
          <w:spacing w:val="-4"/>
        </w:rPr>
        <w:t> </w:t>
      </w:r>
      <w:r>
        <w:rPr>
          <w:color w:val="231F20"/>
        </w:rPr>
        <w:t>ре- бенка.</w:t>
      </w:r>
      <w:r>
        <w:rPr>
          <w:color w:val="231F20"/>
          <w:spacing w:val="-3"/>
        </w:rPr>
        <w:t> </w:t>
      </w:r>
      <w:r>
        <w:rPr>
          <w:color w:val="231F20"/>
        </w:rPr>
        <w:t>В</w:t>
      </w:r>
      <w:r>
        <w:rPr>
          <w:color w:val="231F20"/>
          <w:spacing w:val="-3"/>
        </w:rPr>
        <w:t> </w:t>
      </w:r>
      <w:r>
        <w:rPr>
          <w:color w:val="231F20"/>
        </w:rPr>
        <w:t>ответ</w:t>
      </w:r>
      <w:r>
        <w:rPr>
          <w:color w:val="231F20"/>
          <w:spacing w:val="-3"/>
        </w:rPr>
        <w:t> </w:t>
      </w:r>
      <w:r>
        <w:rPr>
          <w:color w:val="231F20"/>
        </w:rPr>
        <w:t>психолог</w:t>
      </w:r>
      <w:r>
        <w:rPr>
          <w:color w:val="231F20"/>
          <w:spacing w:val="-3"/>
        </w:rPr>
        <w:t> </w:t>
      </w:r>
      <w:r>
        <w:rPr>
          <w:color w:val="231F20"/>
        </w:rPr>
        <w:t>рассказал</w:t>
      </w:r>
      <w:r>
        <w:rPr>
          <w:color w:val="231F20"/>
          <w:spacing w:val="-3"/>
        </w:rPr>
        <w:t> </w:t>
      </w:r>
      <w:r>
        <w:rPr>
          <w:color w:val="231F20"/>
        </w:rPr>
        <w:t>историю,</w:t>
      </w:r>
      <w:r>
        <w:rPr>
          <w:color w:val="231F20"/>
          <w:spacing w:val="-3"/>
        </w:rPr>
        <w:t> </w:t>
      </w:r>
      <w:r>
        <w:rPr>
          <w:color w:val="231F20"/>
        </w:rPr>
        <w:t>акцентирующую</w:t>
      </w:r>
      <w:r>
        <w:rPr>
          <w:color w:val="231F20"/>
          <w:spacing w:val="-3"/>
        </w:rPr>
        <w:t> </w:t>
      </w:r>
      <w:r>
        <w:rPr>
          <w:color w:val="231F20"/>
        </w:rPr>
        <w:t>внимание</w:t>
      </w:r>
      <w:r>
        <w:rPr>
          <w:color w:val="231F20"/>
          <w:spacing w:val="-3"/>
        </w:rPr>
        <w:t> </w:t>
      </w:r>
      <w:r>
        <w:rPr>
          <w:color w:val="231F20"/>
        </w:rPr>
        <w:t>на</w:t>
      </w:r>
      <w:r>
        <w:rPr>
          <w:color w:val="231F20"/>
          <w:spacing w:val="-3"/>
        </w:rPr>
        <w:t> </w:t>
      </w:r>
      <w:r>
        <w:rPr>
          <w:color w:val="231F20"/>
        </w:rPr>
        <w:t>«безопас- ности»,</w:t>
      </w:r>
      <w:r>
        <w:rPr>
          <w:color w:val="231F20"/>
          <w:spacing w:val="-7"/>
        </w:rPr>
        <w:t> </w:t>
      </w:r>
      <w:r>
        <w:rPr>
          <w:color w:val="231F20"/>
        </w:rPr>
        <w:t>демонстрируемой</w:t>
      </w:r>
      <w:r>
        <w:rPr>
          <w:color w:val="231F20"/>
          <w:spacing w:val="-5"/>
        </w:rPr>
        <w:t> </w:t>
      </w:r>
      <w:r>
        <w:rPr>
          <w:color w:val="231F20"/>
        </w:rPr>
        <w:t>через</w:t>
      </w:r>
      <w:r>
        <w:rPr>
          <w:color w:val="231F20"/>
          <w:spacing w:val="-5"/>
        </w:rPr>
        <w:t> </w:t>
      </w:r>
      <w:r>
        <w:rPr>
          <w:color w:val="231F20"/>
        </w:rPr>
        <w:t>возможность</w:t>
      </w:r>
      <w:r>
        <w:rPr>
          <w:color w:val="231F20"/>
          <w:spacing w:val="-5"/>
        </w:rPr>
        <w:t> </w:t>
      </w:r>
      <w:r>
        <w:rPr>
          <w:color w:val="231F20"/>
        </w:rPr>
        <w:t>победы</w:t>
      </w:r>
      <w:r>
        <w:rPr>
          <w:color w:val="231F20"/>
          <w:spacing w:val="-5"/>
        </w:rPr>
        <w:t> </w:t>
      </w:r>
      <w:r>
        <w:rPr>
          <w:color w:val="231F20"/>
        </w:rPr>
        <w:t>над</w:t>
      </w:r>
      <w:r>
        <w:rPr>
          <w:color w:val="231F20"/>
          <w:spacing w:val="-5"/>
        </w:rPr>
        <w:t> </w:t>
      </w:r>
      <w:r>
        <w:rPr>
          <w:color w:val="231F20"/>
        </w:rPr>
        <w:t>«страшным»</w:t>
      </w:r>
      <w:r>
        <w:rPr>
          <w:color w:val="231F20"/>
          <w:spacing w:val="-4"/>
        </w:rPr>
        <w:t> </w:t>
      </w:r>
      <w:r>
        <w:rPr>
          <w:color w:val="231F20"/>
          <w:spacing w:val="-2"/>
        </w:rPr>
        <w:t>противником.</w:t>
      </w:r>
    </w:p>
    <w:p>
      <w:pPr>
        <w:spacing w:line="232" w:lineRule="auto" w:before="110"/>
        <w:ind w:left="141" w:right="139" w:firstLine="283"/>
        <w:jc w:val="both"/>
        <w:rPr>
          <w:i/>
          <w:sz w:val="20"/>
        </w:rPr>
      </w:pPr>
      <w:r>
        <w:rPr>
          <w:i/>
          <w:color w:val="231F20"/>
          <w:sz w:val="20"/>
        </w:rPr>
        <w:t>Жил был один мальчик без мамы и папы. Его родители раньше пошли в лес и их поймал монстр-Шрек. Связал их и повесил у себя в темнице. Кричат они, но вы- рваться не могут.</w:t>
      </w:r>
    </w:p>
    <w:p>
      <w:pPr>
        <w:spacing w:line="232" w:lineRule="auto" w:before="0"/>
        <w:ind w:left="141" w:right="139" w:firstLine="283"/>
        <w:jc w:val="both"/>
        <w:rPr>
          <w:i/>
          <w:sz w:val="20"/>
        </w:rPr>
      </w:pPr>
      <w:r>
        <w:rPr>
          <w:i/>
          <w:color w:val="231F20"/>
          <w:sz w:val="20"/>
        </w:rPr>
        <w:t>Мальчику было очень грустно. Он увидел обезьяну. Они подружились. Обезьяна решила помочь мальчику. Она пошла и встретила тигра. Они отправились вместе помогать</w:t>
      </w:r>
      <w:r>
        <w:rPr>
          <w:i/>
          <w:color w:val="231F20"/>
          <w:spacing w:val="-10"/>
          <w:sz w:val="20"/>
        </w:rPr>
        <w:t> </w:t>
      </w:r>
      <w:r>
        <w:rPr>
          <w:i/>
          <w:color w:val="231F20"/>
          <w:sz w:val="20"/>
        </w:rPr>
        <w:t>мальчику.</w:t>
      </w:r>
      <w:r>
        <w:rPr>
          <w:i/>
          <w:color w:val="231F20"/>
          <w:spacing w:val="-10"/>
          <w:sz w:val="20"/>
        </w:rPr>
        <w:t> </w:t>
      </w:r>
      <w:r>
        <w:rPr>
          <w:i/>
          <w:color w:val="231F20"/>
          <w:sz w:val="20"/>
        </w:rPr>
        <w:t>И</w:t>
      </w:r>
      <w:r>
        <w:rPr>
          <w:i/>
          <w:color w:val="231F20"/>
          <w:spacing w:val="-10"/>
          <w:sz w:val="20"/>
        </w:rPr>
        <w:t> </w:t>
      </w:r>
      <w:r>
        <w:rPr>
          <w:i/>
          <w:color w:val="231F20"/>
          <w:sz w:val="20"/>
        </w:rPr>
        <w:t>вот</w:t>
      </w:r>
      <w:r>
        <w:rPr>
          <w:i/>
          <w:color w:val="231F20"/>
          <w:spacing w:val="-10"/>
          <w:sz w:val="20"/>
        </w:rPr>
        <w:t> </w:t>
      </w:r>
      <w:r>
        <w:rPr>
          <w:i/>
          <w:color w:val="231F20"/>
          <w:sz w:val="20"/>
        </w:rPr>
        <w:t>они</w:t>
      </w:r>
      <w:r>
        <w:rPr>
          <w:i/>
          <w:color w:val="231F20"/>
          <w:spacing w:val="-10"/>
          <w:sz w:val="20"/>
        </w:rPr>
        <w:t> </w:t>
      </w:r>
      <w:r>
        <w:rPr>
          <w:i/>
          <w:color w:val="231F20"/>
          <w:sz w:val="20"/>
        </w:rPr>
        <w:t>напали</w:t>
      </w:r>
      <w:r>
        <w:rPr>
          <w:i/>
          <w:color w:val="231F20"/>
          <w:spacing w:val="-10"/>
          <w:sz w:val="20"/>
        </w:rPr>
        <w:t> </w:t>
      </w:r>
      <w:r>
        <w:rPr>
          <w:i/>
          <w:color w:val="231F20"/>
          <w:sz w:val="20"/>
        </w:rPr>
        <w:t>на</w:t>
      </w:r>
      <w:r>
        <w:rPr>
          <w:i/>
          <w:color w:val="231F20"/>
          <w:spacing w:val="-10"/>
          <w:sz w:val="20"/>
        </w:rPr>
        <w:t> </w:t>
      </w:r>
      <w:r>
        <w:rPr>
          <w:i/>
          <w:color w:val="231F20"/>
          <w:sz w:val="20"/>
        </w:rPr>
        <w:t>Шрека.</w:t>
      </w:r>
      <w:r>
        <w:rPr>
          <w:i/>
          <w:color w:val="231F20"/>
          <w:spacing w:val="-10"/>
          <w:sz w:val="20"/>
        </w:rPr>
        <w:t> </w:t>
      </w:r>
      <w:r>
        <w:rPr>
          <w:i/>
          <w:color w:val="231F20"/>
          <w:sz w:val="20"/>
        </w:rPr>
        <w:t>Они</w:t>
      </w:r>
      <w:r>
        <w:rPr>
          <w:i/>
          <w:color w:val="231F20"/>
          <w:spacing w:val="-10"/>
          <w:sz w:val="20"/>
        </w:rPr>
        <w:t> </w:t>
      </w:r>
      <w:r>
        <w:rPr>
          <w:i/>
          <w:color w:val="231F20"/>
          <w:sz w:val="20"/>
        </w:rPr>
        <w:t>сильно-сильно</w:t>
      </w:r>
      <w:r>
        <w:rPr>
          <w:i/>
          <w:color w:val="231F20"/>
          <w:spacing w:val="-10"/>
          <w:sz w:val="20"/>
        </w:rPr>
        <w:t> </w:t>
      </w:r>
      <w:r>
        <w:rPr>
          <w:i/>
          <w:color w:val="231F20"/>
          <w:sz w:val="20"/>
        </w:rPr>
        <w:t>дрались</w:t>
      </w:r>
      <w:r>
        <w:rPr>
          <w:i/>
          <w:color w:val="231F20"/>
          <w:spacing w:val="-10"/>
          <w:sz w:val="20"/>
        </w:rPr>
        <w:t> </w:t>
      </w:r>
      <w:r>
        <w:rPr>
          <w:i/>
          <w:color w:val="231F20"/>
          <w:sz w:val="20"/>
        </w:rPr>
        <w:t>…так… так…и</w:t>
      </w:r>
      <w:r>
        <w:rPr>
          <w:i/>
          <w:color w:val="231F20"/>
          <w:spacing w:val="-10"/>
          <w:sz w:val="20"/>
        </w:rPr>
        <w:t> </w:t>
      </w:r>
      <w:r>
        <w:rPr>
          <w:i/>
          <w:color w:val="231F20"/>
          <w:sz w:val="20"/>
        </w:rPr>
        <w:t>Шрек</w:t>
      </w:r>
      <w:r>
        <w:rPr>
          <w:i/>
          <w:color w:val="231F20"/>
          <w:spacing w:val="-10"/>
          <w:sz w:val="20"/>
        </w:rPr>
        <w:t> </w:t>
      </w:r>
      <w:r>
        <w:rPr>
          <w:i/>
          <w:color w:val="231F20"/>
          <w:sz w:val="20"/>
        </w:rPr>
        <w:t>их</w:t>
      </w:r>
      <w:r>
        <w:rPr>
          <w:i/>
          <w:color w:val="231F20"/>
          <w:spacing w:val="-10"/>
          <w:sz w:val="20"/>
        </w:rPr>
        <w:t> </w:t>
      </w:r>
      <w:r>
        <w:rPr>
          <w:i/>
          <w:color w:val="231F20"/>
          <w:sz w:val="20"/>
        </w:rPr>
        <w:t>победил,</w:t>
      </w:r>
      <w:r>
        <w:rPr>
          <w:i/>
          <w:color w:val="231F20"/>
          <w:spacing w:val="-10"/>
          <w:sz w:val="20"/>
        </w:rPr>
        <w:t> </w:t>
      </w:r>
      <w:r>
        <w:rPr>
          <w:i/>
          <w:color w:val="231F20"/>
          <w:sz w:val="20"/>
        </w:rPr>
        <w:t>но</w:t>
      </w:r>
      <w:r>
        <w:rPr>
          <w:i/>
          <w:color w:val="231F20"/>
          <w:spacing w:val="-10"/>
          <w:sz w:val="20"/>
        </w:rPr>
        <w:t> </w:t>
      </w:r>
      <w:r>
        <w:rPr>
          <w:i/>
          <w:color w:val="231F20"/>
          <w:sz w:val="20"/>
        </w:rPr>
        <w:t>потратил</w:t>
      </w:r>
      <w:r>
        <w:rPr>
          <w:i/>
          <w:color w:val="231F20"/>
          <w:spacing w:val="-10"/>
          <w:sz w:val="20"/>
        </w:rPr>
        <w:t> </w:t>
      </w:r>
      <w:r>
        <w:rPr>
          <w:i/>
          <w:color w:val="231F20"/>
          <w:sz w:val="20"/>
        </w:rPr>
        <w:t>слишком</w:t>
      </w:r>
      <w:r>
        <w:rPr>
          <w:i/>
          <w:color w:val="231F20"/>
          <w:spacing w:val="-10"/>
          <w:sz w:val="20"/>
        </w:rPr>
        <w:t> </w:t>
      </w:r>
      <w:r>
        <w:rPr>
          <w:i/>
          <w:color w:val="231F20"/>
          <w:sz w:val="20"/>
        </w:rPr>
        <w:t>много</w:t>
      </w:r>
      <w:r>
        <w:rPr>
          <w:i/>
          <w:color w:val="231F20"/>
          <w:spacing w:val="-10"/>
          <w:sz w:val="20"/>
        </w:rPr>
        <w:t> </w:t>
      </w:r>
      <w:r>
        <w:rPr>
          <w:i/>
          <w:color w:val="231F20"/>
          <w:sz w:val="20"/>
        </w:rPr>
        <w:t>сил,</w:t>
      </w:r>
      <w:r>
        <w:rPr>
          <w:i/>
          <w:color w:val="231F20"/>
          <w:spacing w:val="-10"/>
          <w:sz w:val="20"/>
        </w:rPr>
        <w:t> </w:t>
      </w:r>
      <w:r>
        <w:rPr>
          <w:i/>
          <w:color w:val="231F20"/>
          <w:sz w:val="20"/>
        </w:rPr>
        <w:t>так</w:t>
      </w:r>
      <w:r>
        <w:rPr>
          <w:i/>
          <w:color w:val="231F20"/>
          <w:spacing w:val="-10"/>
          <w:sz w:val="20"/>
        </w:rPr>
        <w:t> </w:t>
      </w:r>
      <w:r>
        <w:rPr>
          <w:i/>
          <w:color w:val="231F20"/>
          <w:sz w:val="20"/>
        </w:rPr>
        <w:t>что</w:t>
      </w:r>
      <w:r>
        <w:rPr>
          <w:i/>
          <w:color w:val="231F20"/>
          <w:spacing w:val="-10"/>
          <w:sz w:val="20"/>
        </w:rPr>
        <w:t> </w:t>
      </w:r>
      <w:r>
        <w:rPr>
          <w:i/>
          <w:color w:val="231F20"/>
          <w:sz w:val="20"/>
        </w:rPr>
        <w:t>стал</w:t>
      </w:r>
      <w:r>
        <w:rPr>
          <w:i/>
          <w:color w:val="231F20"/>
          <w:spacing w:val="-10"/>
          <w:sz w:val="20"/>
        </w:rPr>
        <w:t> </w:t>
      </w:r>
      <w:r>
        <w:rPr>
          <w:i/>
          <w:color w:val="231F20"/>
          <w:sz w:val="20"/>
        </w:rPr>
        <w:t>совсем</w:t>
      </w:r>
      <w:r>
        <w:rPr>
          <w:i/>
          <w:color w:val="231F20"/>
          <w:spacing w:val="-10"/>
          <w:sz w:val="20"/>
        </w:rPr>
        <w:t> </w:t>
      </w:r>
      <w:r>
        <w:rPr>
          <w:i/>
          <w:color w:val="231F20"/>
          <w:sz w:val="20"/>
        </w:rPr>
        <w:t>сла- бым. Он даже тарелку не мог поднять. Даже тетрадку не мог поднять.</w:t>
      </w:r>
    </w:p>
    <w:p>
      <w:pPr>
        <w:spacing w:line="232" w:lineRule="auto" w:before="0"/>
        <w:ind w:left="141" w:right="139" w:firstLine="283"/>
        <w:jc w:val="both"/>
        <w:rPr>
          <w:i/>
          <w:sz w:val="20"/>
        </w:rPr>
      </w:pPr>
      <w:r>
        <w:rPr>
          <w:i/>
          <w:color w:val="231F20"/>
          <w:spacing w:val="-2"/>
          <w:sz w:val="20"/>
        </w:rPr>
        <w:t>А</w:t>
      </w:r>
      <w:r>
        <w:rPr>
          <w:i/>
          <w:color w:val="231F20"/>
          <w:spacing w:val="-6"/>
          <w:sz w:val="20"/>
        </w:rPr>
        <w:t> </w:t>
      </w:r>
      <w:r>
        <w:rPr>
          <w:i/>
          <w:color w:val="231F20"/>
          <w:spacing w:val="-2"/>
          <w:sz w:val="20"/>
        </w:rPr>
        <w:t>мальчик</w:t>
      </w:r>
      <w:r>
        <w:rPr>
          <w:i/>
          <w:color w:val="231F20"/>
          <w:spacing w:val="-6"/>
          <w:sz w:val="20"/>
        </w:rPr>
        <w:t> </w:t>
      </w:r>
      <w:r>
        <w:rPr>
          <w:i/>
          <w:color w:val="231F20"/>
          <w:spacing w:val="-2"/>
          <w:sz w:val="20"/>
        </w:rPr>
        <w:t>подождал</w:t>
      </w:r>
      <w:r>
        <w:rPr>
          <w:i/>
          <w:color w:val="231F20"/>
          <w:spacing w:val="-6"/>
          <w:sz w:val="20"/>
        </w:rPr>
        <w:t> </w:t>
      </w:r>
      <w:r>
        <w:rPr>
          <w:i/>
          <w:color w:val="231F20"/>
          <w:spacing w:val="-2"/>
          <w:sz w:val="20"/>
        </w:rPr>
        <w:t>тигра</w:t>
      </w:r>
      <w:r>
        <w:rPr>
          <w:i/>
          <w:color w:val="231F20"/>
          <w:spacing w:val="-6"/>
          <w:sz w:val="20"/>
        </w:rPr>
        <w:t> </w:t>
      </w:r>
      <w:r>
        <w:rPr>
          <w:i/>
          <w:color w:val="231F20"/>
          <w:spacing w:val="-2"/>
          <w:sz w:val="20"/>
        </w:rPr>
        <w:t>с</w:t>
      </w:r>
      <w:r>
        <w:rPr>
          <w:i/>
          <w:color w:val="231F20"/>
          <w:spacing w:val="-6"/>
          <w:sz w:val="20"/>
        </w:rPr>
        <w:t> </w:t>
      </w:r>
      <w:r>
        <w:rPr>
          <w:i/>
          <w:color w:val="231F20"/>
          <w:spacing w:val="-2"/>
          <w:sz w:val="20"/>
        </w:rPr>
        <w:t>обезьяной,</w:t>
      </w:r>
      <w:r>
        <w:rPr>
          <w:i/>
          <w:color w:val="231F20"/>
          <w:spacing w:val="-6"/>
          <w:sz w:val="20"/>
        </w:rPr>
        <w:t> </w:t>
      </w:r>
      <w:r>
        <w:rPr>
          <w:i/>
          <w:color w:val="231F20"/>
          <w:spacing w:val="-2"/>
          <w:sz w:val="20"/>
        </w:rPr>
        <w:t>увидел,</w:t>
      </w:r>
      <w:r>
        <w:rPr>
          <w:i/>
          <w:color w:val="231F20"/>
          <w:spacing w:val="-6"/>
          <w:sz w:val="20"/>
        </w:rPr>
        <w:t> </w:t>
      </w:r>
      <w:r>
        <w:rPr>
          <w:i/>
          <w:color w:val="231F20"/>
          <w:spacing w:val="-2"/>
          <w:sz w:val="20"/>
        </w:rPr>
        <w:t>что</w:t>
      </w:r>
      <w:r>
        <w:rPr>
          <w:i/>
          <w:color w:val="231F20"/>
          <w:spacing w:val="-6"/>
          <w:sz w:val="20"/>
        </w:rPr>
        <w:t> </w:t>
      </w:r>
      <w:r>
        <w:rPr>
          <w:i/>
          <w:color w:val="231F20"/>
          <w:spacing w:val="-2"/>
          <w:sz w:val="20"/>
        </w:rPr>
        <w:t>они</w:t>
      </w:r>
      <w:r>
        <w:rPr>
          <w:i/>
          <w:color w:val="231F20"/>
          <w:spacing w:val="-6"/>
          <w:sz w:val="20"/>
        </w:rPr>
        <w:t> </w:t>
      </w:r>
      <w:r>
        <w:rPr>
          <w:i/>
          <w:color w:val="231F20"/>
          <w:spacing w:val="-2"/>
          <w:sz w:val="20"/>
        </w:rPr>
        <w:t>не</w:t>
      </w:r>
      <w:r>
        <w:rPr>
          <w:i/>
          <w:color w:val="231F20"/>
          <w:spacing w:val="-6"/>
          <w:sz w:val="20"/>
        </w:rPr>
        <w:t> </w:t>
      </w:r>
      <w:r>
        <w:rPr>
          <w:i/>
          <w:color w:val="231F20"/>
          <w:spacing w:val="-2"/>
          <w:sz w:val="20"/>
        </w:rPr>
        <w:t>приходят,</w:t>
      </w:r>
      <w:r>
        <w:rPr>
          <w:i/>
          <w:color w:val="231F20"/>
          <w:spacing w:val="-6"/>
          <w:sz w:val="20"/>
        </w:rPr>
        <w:t> </w:t>
      </w:r>
      <w:r>
        <w:rPr>
          <w:i/>
          <w:color w:val="231F20"/>
          <w:spacing w:val="-2"/>
          <w:sz w:val="20"/>
        </w:rPr>
        <w:t>и</w:t>
      </w:r>
      <w:r>
        <w:rPr>
          <w:i/>
          <w:color w:val="231F20"/>
          <w:spacing w:val="-6"/>
          <w:sz w:val="20"/>
        </w:rPr>
        <w:t> </w:t>
      </w:r>
      <w:r>
        <w:rPr>
          <w:i/>
          <w:color w:val="231F20"/>
          <w:spacing w:val="-2"/>
          <w:sz w:val="20"/>
        </w:rPr>
        <w:t>пошел</w:t>
      </w:r>
      <w:r>
        <w:rPr>
          <w:i/>
          <w:color w:val="231F20"/>
          <w:spacing w:val="-6"/>
          <w:sz w:val="20"/>
        </w:rPr>
        <w:t> </w:t>
      </w:r>
      <w:r>
        <w:rPr>
          <w:i/>
          <w:color w:val="231F20"/>
          <w:spacing w:val="-2"/>
          <w:sz w:val="20"/>
        </w:rPr>
        <w:t>сам. </w:t>
      </w:r>
      <w:r>
        <w:rPr>
          <w:i/>
          <w:color w:val="231F20"/>
          <w:spacing w:val="-4"/>
          <w:sz w:val="20"/>
        </w:rPr>
        <w:t>Увидел</w:t>
      </w:r>
      <w:r>
        <w:rPr>
          <w:i/>
          <w:color w:val="231F20"/>
          <w:spacing w:val="-9"/>
          <w:sz w:val="20"/>
        </w:rPr>
        <w:t> </w:t>
      </w:r>
      <w:r>
        <w:rPr>
          <w:i/>
          <w:color w:val="231F20"/>
          <w:spacing w:val="-4"/>
          <w:sz w:val="20"/>
        </w:rPr>
        <w:t>Шрека,</w:t>
      </w:r>
      <w:r>
        <w:rPr>
          <w:i/>
          <w:color w:val="231F20"/>
          <w:spacing w:val="-8"/>
          <w:sz w:val="20"/>
        </w:rPr>
        <w:t> </w:t>
      </w:r>
      <w:r>
        <w:rPr>
          <w:i/>
          <w:color w:val="231F20"/>
          <w:spacing w:val="-4"/>
          <w:sz w:val="20"/>
        </w:rPr>
        <w:t>сначала</w:t>
      </w:r>
      <w:r>
        <w:rPr>
          <w:i/>
          <w:color w:val="231F20"/>
          <w:spacing w:val="-9"/>
          <w:sz w:val="20"/>
        </w:rPr>
        <w:t> </w:t>
      </w:r>
      <w:r>
        <w:rPr>
          <w:i/>
          <w:color w:val="231F20"/>
          <w:spacing w:val="-4"/>
          <w:sz w:val="20"/>
        </w:rPr>
        <w:t>испугался</w:t>
      </w:r>
      <w:r>
        <w:rPr>
          <w:i/>
          <w:color w:val="231F20"/>
          <w:spacing w:val="-8"/>
          <w:sz w:val="20"/>
        </w:rPr>
        <w:t> </w:t>
      </w:r>
      <w:r>
        <w:rPr>
          <w:i/>
          <w:color w:val="231F20"/>
          <w:spacing w:val="-4"/>
          <w:sz w:val="20"/>
        </w:rPr>
        <w:t>и</w:t>
      </w:r>
      <w:r>
        <w:rPr>
          <w:i/>
          <w:color w:val="231F20"/>
          <w:spacing w:val="-9"/>
          <w:sz w:val="20"/>
        </w:rPr>
        <w:t> </w:t>
      </w:r>
      <w:r>
        <w:rPr>
          <w:i/>
          <w:color w:val="231F20"/>
          <w:spacing w:val="-4"/>
          <w:sz w:val="20"/>
        </w:rPr>
        <w:t>хотел</w:t>
      </w:r>
      <w:r>
        <w:rPr>
          <w:i/>
          <w:color w:val="231F20"/>
          <w:spacing w:val="-8"/>
          <w:sz w:val="20"/>
        </w:rPr>
        <w:t> </w:t>
      </w:r>
      <w:r>
        <w:rPr>
          <w:i/>
          <w:color w:val="231F20"/>
          <w:spacing w:val="-4"/>
          <w:sz w:val="20"/>
        </w:rPr>
        <w:t>убежать,</w:t>
      </w:r>
      <w:r>
        <w:rPr>
          <w:i/>
          <w:color w:val="231F20"/>
          <w:spacing w:val="-9"/>
          <w:sz w:val="20"/>
        </w:rPr>
        <w:t> </w:t>
      </w:r>
      <w:r>
        <w:rPr>
          <w:i/>
          <w:color w:val="231F20"/>
          <w:spacing w:val="-4"/>
          <w:sz w:val="20"/>
        </w:rPr>
        <w:t>но</w:t>
      </w:r>
      <w:r>
        <w:rPr>
          <w:i/>
          <w:color w:val="231F20"/>
          <w:spacing w:val="-8"/>
          <w:sz w:val="20"/>
        </w:rPr>
        <w:t> </w:t>
      </w:r>
      <w:r>
        <w:rPr>
          <w:i/>
          <w:color w:val="231F20"/>
          <w:spacing w:val="-4"/>
          <w:sz w:val="20"/>
        </w:rPr>
        <w:t>потом</w:t>
      </w:r>
      <w:r>
        <w:rPr>
          <w:i/>
          <w:color w:val="231F20"/>
          <w:spacing w:val="-9"/>
          <w:sz w:val="20"/>
        </w:rPr>
        <w:t> </w:t>
      </w:r>
      <w:r>
        <w:rPr>
          <w:i/>
          <w:color w:val="231F20"/>
          <w:spacing w:val="-4"/>
          <w:sz w:val="20"/>
        </w:rPr>
        <w:t>заметил,</w:t>
      </w:r>
      <w:r>
        <w:rPr>
          <w:i/>
          <w:color w:val="231F20"/>
          <w:spacing w:val="-8"/>
          <w:sz w:val="20"/>
        </w:rPr>
        <w:t> </w:t>
      </w:r>
      <w:r>
        <w:rPr>
          <w:i/>
          <w:color w:val="231F20"/>
          <w:spacing w:val="-4"/>
          <w:sz w:val="20"/>
        </w:rPr>
        <w:t>что</w:t>
      </w:r>
      <w:r>
        <w:rPr>
          <w:i/>
          <w:color w:val="231F20"/>
          <w:spacing w:val="-9"/>
          <w:sz w:val="20"/>
        </w:rPr>
        <w:t> </w:t>
      </w:r>
      <w:r>
        <w:rPr>
          <w:i/>
          <w:color w:val="231F20"/>
          <w:spacing w:val="-4"/>
          <w:sz w:val="20"/>
        </w:rPr>
        <w:t>монстр</w:t>
      </w:r>
      <w:r>
        <w:rPr>
          <w:i/>
          <w:color w:val="231F20"/>
          <w:spacing w:val="-8"/>
          <w:sz w:val="20"/>
        </w:rPr>
        <w:t> </w:t>
      </w:r>
      <w:r>
        <w:rPr>
          <w:i/>
          <w:color w:val="231F20"/>
          <w:spacing w:val="-4"/>
          <w:sz w:val="20"/>
        </w:rPr>
        <w:t>еле ходит.</w:t>
      </w:r>
      <w:r>
        <w:rPr>
          <w:i/>
          <w:color w:val="231F20"/>
          <w:spacing w:val="-11"/>
          <w:sz w:val="20"/>
        </w:rPr>
        <w:t> </w:t>
      </w:r>
      <w:r>
        <w:rPr>
          <w:i/>
          <w:color w:val="231F20"/>
          <w:spacing w:val="-4"/>
          <w:sz w:val="20"/>
        </w:rPr>
        <w:t>Тогда</w:t>
      </w:r>
      <w:r>
        <w:rPr>
          <w:i/>
          <w:color w:val="231F20"/>
          <w:spacing w:val="-8"/>
          <w:sz w:val="20"/>
        </w:rPr>
        <w:t> </w:t>
      </w:r>
      <w:r>
        <w:rPr>
          <w:i/>
          <w:color w:val="231F20"/>
          <w:spacing w:val="-4"/>
          <w:sz w:val="20"/>
        </w:rPr>
        <w:t>он</w:t>
      </w:r>
      <w:r>
        <w:rPr>
          <w:i/>
          <w:color w:val="231F20"/>
          <w:spacing w:val="-9"/>
          <w:sz w:val="20"/>
        </w:rPr>
        <w:t> </w:t>
      </w:r>
      <w:r>
        <w:rPr>
          <w:i/>
          <w:color w:val="231F20"/>
          <w:spacing w:val="-4"/>
          <w:sz w:val="20"/>
        </w:rPr>
        <w:t>подбежал</w:t>
      </w:r>
      <w:r>
        <w:rPr>
          <w:i/>
          <w:color w:val="231F20"/>
          <w:spacing w:val="-8"/>
          <w:sz w:val="20"/>
        </w:rPr>
        <w:t> </w:t>
      </w:r>
      <w:r>
        <w:rPr>
          <w:i/>
          <w:color w:val="231F20"/>
          <w:spacing w:val="-4"/>
          <w:sz w:val="20"/>
        </w:rPr>
        <w:t>к</w:t>
      </w:r>
      <w:r>
        <w:rPr>
          <w:i/>
          <w:color w:val="231F20"/>
          <w:spacing w:val="-9"/>
          <w:sz w:val="20"/>
        </w:rPr>
        <w:t> </w:t>
      </w:r>
      <w:r>
        <w:rPr>
          <w:i/>
          <w:color w:val="231F20"/>
          <w:spacing w:val="-4"/>
          <w:sz w:val="20"/>
        </w:rPr>
        <w:t>Шреку</w:t>
      </w:r>
      <w:r>
        <w:rPr>
          <w:i/>
          <w:color w:val="231F20"/>
          <w:spacing w:val="-8"/>
          <w:sz w:val="20"/>
        </w:rPr>
        <w:t> </w:t>
      </w:r>
      <w:r>
        <w:rPr>
          <w:i/>
          <w:color w:val="231F20"/>
          <w:spacing w:val="-4"/>
          <w:sz w:val="20"/>
        </w:rPr>
        <w:t>и</w:t>
      </w:r>
      <w:r>
        <w:rPr>
          <w:i/>
          <w:color w:val="231F20"/>
          <w:spacing w:val="-9"/>
          <w:sz w:val="20"/>
        </w:rPr>
        <w:t> </w:t>
      </w:r>
      <w:r>
        <w:rPr>
          <w:i/>
          <w:color w:val="231F20"/>
          <w:spacing w:val="-4"/>
          <w:sz w:val="20"/>
        </w:rPr>
        <w:t>так</w:t>
      </w:r>
      <w:r>
        <w:rPr>
          <w:i/>
          <w:color w:val="231F20"/>
          <w:spacing w:val="-8"/>
          <w:sz w:val="20"/>
        </w:rPr>
        <w:t> </w:t>
      </w:r>
      <w:r>
        <w:rPr>
          <w:i/>
          <w:color w:val="231F20"/>
          <w:spacing w:val="-4"/>
          <w:sz w:val="20"/>
        </w:rPr>
        <w:t>его…так.</w:t>
      </w:r>
      <w:r>
        <w:rPr>
          <w:i/>
          <w:color w:val="231F20"/>
          <w:spacing w:val="-9"/>
          <w:sz w:val="20"/>
        </w:rPr>
        <w:t> </w:t>
      </w:r>
      <w:r>
        <w:rPr>
          <w:i/>
          <w:color w:val="231F20"/>
          <w:spacing w:val="-4"/>
          <w:sz w:val="20"/>
        </w:rPr>
        <w:t>Поймал</w:t>
      </w:r>
      <w:r>
        <w:rPr>
          <w:i/>
          <w:color w:val="231F20"/>
          <w:spacing w:val="-8"/>
          <w:sz w:val="20"/>
        </w:rPr>
        <w:t> </w:t>
      </w:r>
      <w:r>
        <w:rPr>
          <w:i/>
          <w:color w:val="231F20"/>
          <w:spacing w:val="-4"/>
          <w:sz w:val="20"/>
        </w:rPr>
        <w:t>и</w:t>
      </w:r>
      <w:r>
        <w:rPr>
          <w:i/>
          <w:color w:val="231F20"/>
          <w:spacing w:val="-9"/>
          <w:sz w:val="20"/>
        </w:rPr>
        <w:t> </w:t>
      </w:r>
      <w:r>
        <w:rPr>
          <w:i/>
          <w:color w:val="231F20"/>
          <w:spacing w:val="-4"/>
          <w:sz w:val="20"/>
        </w:rPr>
        <w:t>засунул</w:t>
      </w:r>
      <w:r>
        <w:rPr>
          <w:i/>
          <w:color w:val="231F20"/>
          <w:spacing w:val="-8"/>
          <w:sz w:val="20"/>
        </w:rPr>
        <w:t> </w:t>
      </w:r>
      <w:r>
        <w:rPr>
          <w:i/>
          <w:color w:val="231F20"/>
          <w:spacing w:val="-4"/>
          <w:sz w:val="20"/>
        </w:rPr>
        <w:t>в</w:t>
      </w:r>
      <w:r>
        <w:rPr>
          <w:i/>
          <w:color w:val="231F20"/>
          <w:spacing w:val="-9"/>
          <w:sz w:val="20"/>
        </w:rPr>
        <w:t> </w:t>
      </w:r>
      <w:r>
        <w:rPr>
          <w:i/>
          <w:color w:val="231F20"/>
          <w:spacing w:val="-4"/>
          <w:sz w:val="20"/>
        </w:rPr>
        <w:t>клетку.</w:t>
      </w:r>
      <w:r>
        <w:rPr>
          <w:i/>
          <w:color w:val="231F20"/>
          <w:spacing w:val="-8"/>
          <w:sz w:val="20"/>
        </w:rPr>
        <w:t> </w:t>
      </w:r>
      <w:r>
        <w:rPr>
          <w:i/>
          <w:color w:val="231F20"/>
          <w:spacing w:val="-4"/>
          <w:sz w:val="20"/>
        </w:rPr>
        <w:t>Мальчик </w:t>
      </w:r>
      <w:r>
        <w:rPr>
          <w:i/>
          <w:color w:val="231F20"/>
          <w:spacing w:val="-2"/>
          <w:sz w:val="20"/>
        </w:rPr>
        <w:t>освободил</w:t>
      </w:r>
      <w:r>
        <w:rPr>
          <w:i/>
          <w:color w:val="231F20"/>
          <w:spacing w:val="-10"/>
          <w:sz w:val="20"/>
        </w:rPr>
        <w:t> </w:t>
      </w:r>
      <w:r>
        <w:rPr>
          <w:i/>
          <w:color w:val="231F20"/>
          <w:spacing w:val="-2"/>
          <w:sz w:val="20"/>
        </w:rPr>
        <w:t>маму</w:t>
      </w:r>
      <w:r>
        <w:rPr>
          <w:i/>
          <w:color w:val="231F20"/>
          <w:spacing w:val="-10"/>
          <w:sz w:val="20"/>
        </w:rPr>
        <w:t> </w:t>
      </w:r>
      <w:r>
        <w:rPr>
          <w:i/>
          <w:color w:val="231F20"/>
          <w:spacing w:val="-2"/>
          <w:sz w:val="20"/>
        </w:rPr>
        <w:t>с</w:t>
      </w:r>
      <w:r>
        <w:rPr>
          <w:i/>
          <w:color w:val="231F20"/>
          <w:spacing w:val="-10"/>
          <w:sz w:val="20"/>
        </w:rPr>
        <w:t> </w:t>
      </w:r>
      <w:r>
        <w:rPr>
          <w:i/>
          <w:color w:val="231F20"/>
          <w:spacing w:val="-2"/>
          <w:sz w:val="20"/>
        </w:rPr>
        <w:t>папой,</w:t>
      </w:r>
      <w:r>
        <w:rPr>
          <w:i/>
          <w:color w:val="231F20"/>
          <w:spacing w:val="-10"/>
          <w:sz w:val="20"/>
        </w:rPr>
        <w:t> </w:t>
      </w:r>
      <w:r>
        <w:rPr>
          <w:i/>
          <w:color w:val="231F20"/>
          <w:spacing w:val="-2"/>
          <w:sz w:val="20"/>
        </w:rPr>
        <w:t>и</w:t>
      </w:r>
      <w:r>
        <w:rPr>
          <w:i/>
          <w:color w:val="231F20"/>
          <w:spacing w:val="-10"/>
          <w:sz w:val="20"/>
        </w:rPr>
        <w:t> </w:t>
      </w:r>
      <w:r>
        <w:rPr>
          <w:i/>
          <w:color w:val="231F20"/>
          <w:spacing w:val="-2"/>
          <w:sz w:val="20"/>
        </w:rPr>
        <w:t>они</w:t>
      </w:r>
      <w:r>
        <w:rPr>
          <w:i/>
          <w:color w:val="231F20"/>
          <w:spacing w:val="-10"/>
          <w:sz w:val="20"/>
        </w:rPr>
        <w:t> </w:t>
      </w:r>
      <w:r>
        <w:rPr>
          <w:i/>
          <w:color w:val="231F20"/>
          <w:spacing w:val="-2"/>
          <w:sz w:val="20"/>
        </w:rPr>
        <w:t>жили</w:t>
      </w:r>
      <w:r>
        <w:rPr>
          <w:i/>
          <w:color w:val="231F20"/>
          <w:spacing w:val="-10"/>
          <w:sz w:val="20"/>
        </w:rPr>
        <w:t> </w:t>
      </w:r>
      <w:r>
        <w:rPr>
          <w:i/>
          <w:color w:val="231F20"/>
          <w:spacing w:val="-2"/>
          <w:sz w:val="20"/>
        </w:rPr>
        <w:t>дружно,</w:t>
      </w:r>
      <w:r>
        <w:rPr>
          <w:i/>
          <w:color w:val="231F20"/>
          <w:spacing w:val="-10"/>
          <w:sz w:val="20"/>
        </w:rPr>
        <w:t> </w:t>
      </w:r>
      <w:r>
        <w:rPr>
          <w:i/>
          <w:color w:val="231F20"/>
          <w:spacing w:val="-2"/>
          <w:sz w:val="20"/>
        </w:rPr>
        <w:t>весело</w:t>
      </w:r>
      <w:r>
        <w:rPr>
          <w:i/>
          <w:color w:val="231F20"/>
          <w:spacing w:val="-10"/>
          <w:sz w:val="20"/>
        </w:rPr>
        <w:t> </w:t>
      </w:r>
      <w:r>
        <w:rPr>
          <w:i/>
          <w:color w:val="231F20"/>
          <w:spacing w:val="-2"/>
          <w:sz w:val="20"/>
        </w:rPr>
        <w:t>и</w:t>
      </w:r>
      <w:r>
        <w:rPr>
          <w:i/>
          <w:color w:val="231F20"/>
          <w:spacing w:val="-10"/>
          <w:sz w:val="20"/>
        </w:rPr>
        <w:t> </w:t>
      </w:r>
      <w:r>
        <w:rPr>
          <w:i/>
          <w:color w:val="231F20"/>
          <w:spacing w:val="-2"/>
          <w:sz w:val="20"/>
        </w:rPr>
        <w:t>никто</w:t>
      </w:r>
      <w:r>
        <w:rPr>
          <w:i/>
          <w:color w:val="231F20"/>
          <w:spacing w:val="-10"/>
          <w:sz w:val="20"/>
        </w:rPr>
        <w:t> </w:t>
      </w:r>
      <w:r>
        <w:rPr>
          <w:i/>
          <w:color w:val="231F20"/>
          <w:spacing w:val="-2"/>
          <w:sz w:val="20"/>
        </w:rPr>
        <w:t>на</w:t>
      </w:r>
      <w:r>
        <w:rPr>
          <w:i/>
          <w:color w:val="231F20"/>
          <w:spacing w:val="-10"/>
          <w:sz w:val="20"/>
        </w:rPr>
        <w:t> </w:t>
      </w:r>
      <w:r>
        <w:rPr>
          <w:i/>
          <w:color w:val="231F20"/>
          <w:spacing w:val="-2"/>
          <w:sz w:val="20"/>
        </w:rPr>
        <w:t>них</w:t>
      </w:r>
      <w:r>
        <w:rPr>
          <w:i/>
          <w:color w:val="231F20"/>
          <w:spacing w:val="-10"/>
          <w:sz w:val="20"/>
        </w:rPr>
        <w:t> </w:t>
      </w:r>
      <w:r>
        <w:rPr>
          <w:i/>
          <w:color w:val="231F20"/>
          <w:spacing w:val="-2"/>
          <w:sz w:val="20"/>
        </w:rPr>
        <w:t>больше</w:t>
      </w:r>
      <w:r>
        <w:rPr>
          <w:i/>
          <w:color w:val="231F20"/>
          <w:spacing w:val="-10"/>
          <w:sz w:val="20"/>
        </w:rPr>
        <w:t> </w:t>
      </w:r>
      <w:r>
        <w:rPr>
          <w:i/>
          <w:color w:val="231F20"/>
          <w:spacing w:val="-2"/>
          <w:sz w:val="20"/>
        </w:rPr>
        <w:t>не</w:t>
      </w:r>
      <w:r>
        <w:rPr>
          <w:i/>
          <w:color w:val="231F20"/>
          <w:spacing w:val="-10"/>
          <w:sz w:val="20"/>
        </w:rPr>
        <w:t> </w:t>
      </w:r>
      <w:r>
        <w:rPr>
          <w:i/>
          <w:color w:val="231F20"/>
          <w:spacing w:val="-2"/>
          <w:sz w:val="20"/>
        </w:rPr>
        <w:t>нападал.</w:t>
      </w:r>
    </w:p>
    <w:p>
      <w:pPr>
        <w:spacing w:line="220" w:lineRule="exact" w:before="0"/>
        <w:ind w:left="425" w:right="0" w:firstLine="0"/>
        <w:jc w:val="both"/>
        <w:rPr>
          <w:i/>
          <w:sz w:val="20"/>
        </w:rPr>
      </w:pPr>
      <w:r>
        <w:rPr>
          <w:i/>
          <w:color w:val="231F20"/>
          <w:sz w:val="20"/>
        </w:rPr>
        <w:t>Урок.</w:t>
      </w:r>
      <w:r>
        <w:rPr>
          <w:i/>
          <w:color w:val="231F20"/>
          <w:spacing w:val="-7"/>
          <w:sz w:val="20"/>
        </w:rPr>
        <w:t> </w:t>
      </w:r>
      <w:r>
        <w:rPr>
          <w:i/>
          <w:color w:val="231F20"/>
          <w:sz w:val="20"/>
        </w:rPr>
        <w:t>Даже</w:t>
      </w:r>
      <w:r>
        <w:rPr>
          <w:i/>
          <w:color w:val="231F20"/>
          <w:spacing w:val="-4"/>
          <w:sz w:val="20"/>
        </w:rPr>
        <w:t> </w:t>
      </w:r>
      <w:r>
        <w:rPr>
          <w:i/>
          <w:color w:val="231F20"/>
          <w:sz w:val="20"/>
        </w:rPr>
        <w:t>если</w:t>
      </w:r>
      <w:r>
        <w:rPr>
          <w:i/>
          <w:color w:val="231F20"/>
          <w:spacing w:val="-5"/>
          <w:sz w:val="20"/>
        </w:rPr>
        <w:t> </w:t>
      </w:r>
      <w:r>
        <w:rPr>
          <w:i/>
          <w:color w:val="231F20"/>
          <w:sz w:val="20"/>
        </w:rPr>
        <w:t>очень</w:t>
      </w:r>
      <w:r>
        <w:rPr>
          <w:i/>
          <w:color w:val="231F20"/>
          <w:spacing w:val="-5"/>
          <w:sz w:val="20"/>
        </w:rPr>
        <w:t> </w:t>
      </w:r>
      <w:r>
        <w:rPr>
          <w:i/>
          <w:color w:val="231F20"/>
          <w:sz w:val="20"/>
        </w:rPr>
        <w:t>страшно,</w:t>
      </w:r>
      <w:r>
        <w:rPr>
          <w:i/>
          <w:color w:val="231F20"/>
          <w:spacing w:val="-5"/>
          <w:sz w:val="20"/>
        </w:rPr>
        <w:t> </w:t>
      </w:r>
      <w:r>
        <w:rPr>
          <w:i/>
          <w:color w:val="231F20"/>
          <w:sz w:val="20"/>
        </w:rPr>
        <w:t>то</w:t>
      </w:r>
      <w:r>
        <w:rPr>
          <w:i/>
          <w:color w:val="231F20"/>
          <w:spacing w:val="-4"/>
          <w:sz w:val="20"/>
        </w:rPr>
        <w:t> </w:t>
      </w:r>
      <w:r>
        <w:rPr>
          <w:i/>
          <w:color w:val="231F20"/>
          <w:sz w:val="20"/>
        </w:rPr>
        <w:t>в</w:t>
      </w:r>
      <w:r>
        <w:rPr>
          <w:i/>
          <w:color w:val="231F20"/>
          <w:spacing w:val="-6"/>
          <w:sz w:val="20"/>
        </w:rPr>
        <w:t> </w:t>
      </w:r>
      <w:r>
        <w:rPr>
          <w:i/>
          <w:color w:val="231F20"/>
          <w:sz w:val="20"/>
        </w:rPr>
        <w:t>конце</w:t>
      </w:r>
      <w:r>
        <w:rPr>
          <w:i/>
          <w:color w:val="231F20"/>
          <w:spacing w:val="-4"/>
          <w:sz w:val="20"/>
        </w:rPr>
        <w:t> </w:t>
      </w:r>
      <w:r>
        <w:rPr>
          <w:i/>
          <w:color w:val="231F20"/>
          <w:sz w:val="20"/>
        </w:rPr>
        <w:t>все</w:t>
      </w:r>
      <w:r>
        <w:rPr>
          <w:i/>
          <w:color w:val="231F20"/>
          <w:spacing w:val="-5"/>
          <w:sz w:val="20"/>
        </w:rPr>
        <w:t> </w:t>
      </w:r>
      <w:r>
        <w:rPr>
          <w:i/>
          <w:color w:val="231F20"/>
          <w:sz w:val="20"/>
        </w:rPr>
        <w:t>может</w:t>
      </w:r>
      <w:r>
        <w:rPr>
          <w:i/>
          <w:color w:val="231F20"/>
          <w:spacing w:val="-5"/>
          <w:sz w:val="20"/>
        </w:rPr>
        <w:t> </w:t>
      </w:r>
      <w:r>
        <w:rPr>
          <w:i/>
          <w:color w:val="231F20"/>
          <w:sz w:val="20"/>
        </w:rPr>
        <w:t>быть</w:t>
      </w:r>
      <w:r>
        <w:rPr>
          <w:i/>
          <w:color w:val="231F20"/>
          <w:spacing w:val="-5"/>
          <w:sz w:val="20"/>
        </w:rPr>
        <w:t> </w:t>
      </w:r>
      <w:r>
        <w:rPr>
          <w:i/>
          <w:color w:val="231F20"/>
          <w:spacing w:val="-2"/>
          <w:sz w:val="20"/>
        </w:rPr>
        <w:t>хорошо.</w:t>
      </w:r>
    </w:p>
    <w:p>
      <w:pPr>
        <w:numPr>
          <w:ilvl w:val="0"/>
          <w:numId w:val="214"/>
        </w:numPr>
        <w:tabs>
          <w:tab w:pos="424" w:val="left" w:leader="none"/>
        </w:tabs>
        <w:spacing w:line="226" w:lineRule="exact" w:before="97"/>
        <w:ind w:left="424" w:right="0" w:hanging="283"/>
        <w:jc w:val="both"/>
        <w:rPr>
          <w:b/>
          <w:sz w:val="20"/>
        </w:rPr>
      </w:pPr>
      <w:r>
        <w:rPr>
          <w:b/>
          <w:color w:val="231F20"/>
          <w:sz w:val="20"/>
        </w:rPr>
        <w:t>Депрессивность</w:t>
      </w:r>
      <w:r>
        <w:rPr>
          <w:b/>
          <w:color w:val="231F20"/>
          <w:spacing w:val="2"/>
          <w:sz w:val="20"/>
        </w:rPr>
        <w:t> </w:t>
      </w:r>
      <w:r>
        <w:rPr>
          <w:b/>
          <w:color w:val="231F20"/>
          <w:sz w:val="20"/>
        </w:rPr>
        <w:t>–</w:t>
      </w:r>
      <w:r>
        <w:rPr>
          <w:b/>
          <w:color w:val="231F20"/>
          <w:spacing w:val="2"/>
          <w:sz w:val="20"/>
        </w:rPr>
        <w:t> </w:t>
      </w:r>
      <w:r>
        <w:rPr>
          <w:b/>
          <w:color w:val="231F20"/>
          <w:spacing w:val="-2"/>
          <w:sz w:val="20"/>
        </w:rPr>
        <w:t>активность</w:t>
      </w:r>
    </w:p>
    <w:p>
      <w:pPr>
        <w:pStyle w:val="BodyText"/>
        <w:spacing w:line="232" w:lineRule="auto" w:before="2"/>
      </w:pPr>
      <w:r>
        <w:rPr>
          <w:color w:val="231F20"/>
        </w:rPr>
        <w:t>Признаки</w:t>
      </w:r>
      <w:r>
        <w:rPr>
          <w:color w:val="231F20"/>
          <w:spacing w:val="-1"/>
        </w:rPr>
        <w:t> </w:t>
      </w:r>
      <w:r>
        <w:rPr>
          <w:color w:val="231F20"/>
        </w:rPr>
        <w:t>«депрессивности»:</w:t>
      </w:r>
      <w:r>
        <w:rPr>
          <w:color w:val="231F20"/>
          <w:spacing w:val="-1"/>
        </w:rPr>
        <w:t> </w:t>
      </w:r>
      <w:r>
        <w:rPr>
          <w:color w:val="231F20"/>
        </w:rPr>
        <w:t>пугающие</w:t>
      </w:r>
      <w:r>
        <w:rPr>
          <w:color w:val="231F20"/>
          <w:spacing w:val="-1"/>
        </w:rPr>
        <w:t> </w:t>
      </w:r>
      <w:r>
        <w:rPr>
          <w:color w:val="231F20"/>
        </w:rPr>
        <w:t>объекты</w:t>
      </w:r>
      <w:r>
        <w:rPr>
          <w:color w:val="231F20"/>
          <w:spacing w:val="-1"/>
        </w:rPr>
        <w:t> </w:t>
      </w:r>
      <w:r>
        <w:rPr>
          <w:color w:val="231F20"/>
        </w:rPr>
        <w:t>могут</w:t>
      </w:r>
      <w:r>
        <w:rPr>
          <w:color w:val="231F20"/>
          <w:spacing w:val="-1"/>
        </w:rPr>
        <w:t> </w:t>
      </w:r>
      <w:r>
        <w:rPr>
          <w:color w:val="231F20"/>
        </w:rPr>
        <w:t>быть</w:t>
      </w:r>
      <w:r>
        <w:rPr>
          <w:color w:val="231F20"/>
          <w:spacing w:val="-1"/>
        </w:rPr>
        <w:t> </w:t>
      </w:r>
      <w:r>
        <w:rPr>
          <w:color w:val="231F20"/>
        </w:rPr>
        <w:t>или</w:t>
      </w:r>
      <w:r>
        <w:rPr>
          <w:color w:val="231F20"/>
          <w:spacing w:val="-1"/>
        </w:rPr>
        <w:t> </w:t>
      </w:r>
      <w:r>
        <w:rPr>
          <w:color w:val="231F20"/>
        </w:rPr>
        <w:t>слабо</w:t>
      </w:r>
      <w:r>
        <w:rPr>
          <w:color w:val="231F20"/>
          <w:spacing w:val="-1"/>
        </w:rPr>
        <w:t> </w:t>
      </w:r>
      <w:r>
        <w:rPr>
          <w:color w:val="231F20"/>
        </w:rPr>
        <w:t>выражен- ными,</w:t>
      </w:r>
      <w:r>
        <w:rPr>
          <w:color w:val="231F20"/>
          <w:spacing w:val="-11"/>
        </w:rPr>
        <w:t> </w:t>
      </w:r>
      <w:r>
        <w:rPr>
          <w:color w:val="231F20"/>
        </w:rPr>
        <w:t>или</w:t>
      </w:r>
      <w:r>
        <w:rPr>
          <w:color w:val="231F20"/>
          <w:spacing w:val="-11"/>
        </w:rPr>
        <w:t> </w:t>
      </w:r>
      <w:r>
        <w:rPr>
          <w:color w:val="231F20"/>
        </w:rPr>
        <w:t>вообще</w:t>
      </w:r>
      <w:r>
        <w:rPr>
          <w:color w:val="231F20"/>
          <w:spacing w:val="-11"/>
        </w:rPr>
        <w:t> </w:t>
      </w:r>
      <w:r>
        <w:rPr>
          <w:color w:val="231F20"/>
        </w:rPr>
        <w:t>отсутствовать</w:t>
      </w:r>
      <w:r>
        <w:rPr>
          <w:color w:val="231F20"/>
          <w:spacing w:val="-11"/>
        </w:rPr>
        <w:t> </w:t>
      </w:r>
      <w:r>
        <w:rPr>
          <w:color w:val="231F20"/>
        </w:rPr>
        <w:t>в</w:t>
      </w:r>
      <w:r>
        <w:rPr>
          <w:color w:val="231F20"/>
          <w:spacing w:val="-11"/>
        </w:rPr>
        <w:t> </w:t>
      </w:r>
      <w:r>
        <w:rPr>
          <w:color w:val="231F20"/>
        </w:rPr>
        <w:t>тексте</w:t>
      </w:r>
      <w:r>
        <w:rPr>
          <w:color w:val="231F20"/>
          <w:spacing w:val="-11"/>
        </w:rPr>
        <w:t> </w:t>
      </w:r>
      <w:r>
        <w:rPr>
          <w:color w:val="231F20"/>
        </w:rPr>
        <w:t>повествования,</w:t>
      </w:r>
      <w:r>
        <w:rPr>
          <w:color w:val="231F20"/>
          <w:spacing w:val="-11"/>
        </w:rPr>
        <w:t> </w:t>
      </w:r>
      <w:r>
        <w:rPr>
          <w:color w:val="231F20"/>
        </w:rPr>
        <w:t>однако</w:t>
      </w:r>
      <w:r>
        <w:rPr>
          <w:color w:val="231F20"/>
          <w:spacing w:val="-11"/>
        </w:rPr>
        <w:t> </w:t>
      </w:r>
      <w:r>
        <w:rPr>
          <w:color w:val="231F20"/>
        </w:rPr>
        <w:t>герой</w:t>
      </w:r>
      <w:r>
        <w:rPr>
          <w:color w:val="231F20"/>
          <w:spacing w:val="-11"/>
        </w:rPr>
        <w:t> </w:t>
      </w:r>
      <w:r>
        <w:rPr>
          <w:color w:val="231F20"/>
        </w:rPr>
        <w:t>все</w:t>
      </w:r>
      <w:r>
        <w:rPr>
          <w:color w:val="231F20"/>
          <w:spacing w:val="-11"/>
        </w:rPr>
        <w:t> </w:t>
      </w:r>
      <w:r>
        <w:rPr>
          <w:color w:val="231F20"/>
        </w:rPr>
        <w:t>равно</w:t>
      </w:r>
      <w:r>
        <w:rPr>
          <w:color w:val="231F20"/>
          <w:spacing w:val="-11"/>
        </w:rPr>
        <w:t> </w:t>
      </w:r>
      <w:r>
        <w:rPr>
          <w:color w:val="231F20"/>
        </w:rPr>
        <w:t>ока- зывается в ситуации безысходности и беспомощности. Зачастую герой может вне- запно,</w:t>
      </w:r>
      <w:r>
        <w:rPr>
          <w:color w:val="231F20"/>
          <w:spacing w:val="-11"/>
        </w:rPr>
        <w:t> </w:t>
      </w:r>
      <w:r>
        <w:rPr>
          <w:color w:val="231F20"/>
        </w:rPr>
        <w:t>без</w:t>
      </w:r>
      <w:r>
        <w:rPr>
          <w:color w:val="231F20"/>
          <w:spacing w:val="-11"/>
        </w:rPr>
        <w:t> </w:t>
      </w:r>
      <w:r>
        <w:rPr>
          <w:color w:val="231F20"/>
        </w:rPr>
        <w:t>явной</w:t>
      </w:r>
      <w:r>
        <w:rPr>
          <w:color w:val="231F20"/>
          <w:spacing w:val="-11"/>
        </w:rPr>
        <w:t> </w:t>
      </w:r>
      <w:r>
        <w:rPr>
          <w:color w:val="231F20"/>
        </w:rPr>
        <w:t>причины</w:t>
      </w:r>
      <w:r>
        <w:rPr>
          <w:color w:val="231F20"/>
          <w:spacing w:val="-11"/>
        </w:rPr>
        <w:t> </w:t>
      </w:r>
      <w:r>
        <w:rPr>
          <w:color w:val="231F20"/>
        </w:rPr>
        <w:t>погибнуть</w:t>
      </w:r>
      <w:r>
        <w:rPr>
          <w:color w:val="231F20"/>
          <w:spacing w:val="-11"/>
        </w:rPr>
        <w:t> </w:t>
      </w:r>
      <w:r>
        <w:rPr>
          <w:color w:val="231F20"/>
        </w:rPr>
        <w:t>или</w:t>
      </w:r>
      <w:r>
        <w:rPr>
          <w:color w:val="231F20"/>
          <w:spacing w:val="-11"/>
        </w:rPr>
        <w:t> </w:t>
      </w:r>
      <w:r>
        <w:rPr>
          <w:color w:val="231F20"/>
        </w:rPr>
        <w:t>получить</w:t>
      </w:r>
      <w:r>
        <w:rPr>
          <w:color w:val="231F20"/>
          <w:spacing w:val="-11"/>
        </w:rPr>
        <w:t> </w:t>
      </w:r>
      <w:r>
        <w:rPr>
          <w:color w:val="231F20"/>
        </w:rPr>
        <w:t>травму.</w:t>
      </w:r>
      <w:r>
        <w:rPr>
          <w:color w:val="231F20"/>
          <w:spacing w:val="-11"/>
        </w:rPr>
        <w:t> </w:t>
      </w:r>
      <w:r>
        <w:rPr>
          <w:color w:val="231F20"/>
        </w:rPr>
        <w:t>Также</w:t>
      </w:r>
      <w:r>
        <w:rPr>
          <w:color w:val="231F20"/>
          <w:spacing w:val="-11"/>
        </w:rPr>
        <w:t> </w:t>
      </w:r>
      <w:r>
        <w:rPr>
          <w:color w:val="231F20"/>
        </w:rPr>
        <w:t>могут</w:t>
      </w:r>
      <w:r>
        <w:rPr>
          <w:color w:val="231F20"/>
          <w:spacing w:val="-11"/>
        </w:rPr>
        <w:t> </w:t>
      </w:r>
      <w:r>
        <w:rPr>
          <w:color w:val="231F20"/>
        </w:rPr>
        <w:t>наблюдаться отражения</w:t>
      </w:r>
      <w:r>
        <w:rPr>
          <w:color w:val="231F20"/>
          <w:spacing w:val="-7"/>
        </w:rPr>
        <w:t> </w:t>
      </w:r>
      <w:r>
        <w:rPr>
          <w:color w:val="231F20"/>
        </w:rPr>
        <w:t>суицидальных</w:t>
      </w:r>
      <w:r>
        <w:rPr>
          <w:color w:val="231F20"/>
          <w:spacing w:val="-7"/>
        </w:rPr>
        <w:t> </w:t>
      </w:r>
      <w:r>
        <w:rPr>
          <w:color w:val="231F20"/>
        </w:rPr>
        <w:t>мыслей</w:t>
      </w:r>
      <w:r>
        <w:rPr>
          <w:color w:val="231F20"/>
          <w:spacing w:val="-7"/>
        </w:rPr>
        <w:t> </w:t>
      </w:r>
      <w:r>
        <w:rPr>
          <w:color w:val="231F20"/>
        </w:rPr>
        <w:t>и</w:t>
      </w:r>
      <w:r>
        <w:rPr>
          <w:color w:val="231F20"/>
          <w:spacing w:val="-7"/>
        </w:rPr>
        <w:t> </w:t>
      </w:r>
      <w:r>
        <w:rPr>
          <w:color w:val="231F20"/>
        </w:rPr>
        <w:t>аутоагрессия.</w:t>
      </w:r>
      <w:r>
        <w:rPr>
          <w:color w:val="231F20"/>
          <w:spacing w:val="-7"/>
        </w:rPr>
        <w:t> </w:t>
      </w:r>
      <w:r>
        <w:rPr>
          <w:color w:val="231F20"/>
        </w:rPr>
        <w:t>Главная</w:t>
      </w:r>
      <w:r>
        <w:rPr>
          <w:color w:val="231F20"/>
          <w:spacing w:val="-7"/>
        </w:rPr>
        <w:t> </w:t>
      </w:r>
      <w:r>
        <w:rPr>
          <w:color w:val="231F20"/>
        </w:rPr>
        <w:t>особенность</w:t>
      </w:r>
      <w:r>
        <w:rPr>
          <w:color w:val="231F20"/>
          <w:spacing w:val="-7"/>
        </w:rPr>
        <w:t> </w:t>
      </w:r>
      <w:r>
        <w:rPr>
          <w:color w:val="231F20"/>
        </w:rPr>
        <w:t>истории</w:t>
      </w:r>
      <w:r>
        <w:rPr>
          <w:color w:val="231F20"/>
          <w:spacing w:val="-7"/>
        </w:rPr>
        <w:t> </w:t>
      </w:r>
      <w:r>
        <w:rPr>
          <w:color w:val="231F20"/>
        </w:rPr>
        <w:t>–</w:t>
      </w:r>
      <w:r>
        <w:rPr>
          <w:color w:val="231F20"/>
          <w:spacing w:val="-7"/>
        </w:rPr>
        <w:t> </w:t>
      </w:r>
      <w:r>
        <w:rPr>
          <w:color w:val="231F20"/>
        </w:rPr>
        <w:t>ге- </w:t>
      </w:r>
      <w:r>
        <w:rPr>
          <w:color w:val="231F20"/>
          <w:spacing w:val="-2"/>
        </w:rPr>
        <w:t>рой</w:t>
      </w:r>
      <w:r>
        <w:rPr>
          <w:color w:val="231F20"/>
          <w:spacing w:val="-5"/>
        </w:rPr>
        <w:t> </w:t>
      </w:r>
      <w:r>
        <w:rPr>
          <w:color w:val="231F20"/>
          <w:spacing w:val="-2"/>
        </w:rPr>
        <w:t>не</w:t>
      </w:r>
      <w:r>
        <w:rPr>
          <w:color w:val="231F20"/>
          <w:spacing w:val="-5"/>
        </w:rPr>
        <w:t> </w:t>
      </w:r>
      <w:r>
        <w:rPr>
          <w:color w:val="231F20"/>
          <w:spacing w:val="-2"/>
        </w:rPr>
        <w:t>влияет</w:t>
      </w:r>
      <w:r>
        <w:rPr>
          <w:color w:val="231F20"/>
          <w:spacing w:val="-5"/>
        </w:rPr>
        <w:t> </w:t>
      </w:r>
      <w:r>
        <w:rPr>
          <w:color w:val="231F20"/>
          <w:spacing w:val="-2"/>
        </w:rPr>
        <w:t>(не</w:t>
      </w:r>
      <w:r>
        <w:rPr>
          <w:color w:val="231F20"/>
          <w:spacing w:val="-5"/>
        </w:rPr>
        <w:t> </w:t>
      </w:r>
      <w:r>
        <w:rPr>
          <w:color w:val="231F20"/>
          <w:spacing w:val="-2"/>
        </w:rPr>
        <w:t>может</w:t>
      </w:r>
      <w:r>
        <w:rPr>
          <w:color w:val="231F20"/>
          <w:spacing w:val="-5"/>
        </w:rPr>
        <w:t> </w:t>
      </w:r>
      <w:r>
        <w:rPr>
          <w:color w:val="231F20"/>
          <w:spacing w:val="-2"/>
        </w:rPr>
        <w:t>или</w:t>
      </w:r>
      <w:r>
        <w:rPr>
          <w:color w:val="231F20"/>
          <w:spacing w:val="-5"/>
        </w:rPr>
        <w:t> </w:t>
      </w:r>
      <w:r>
        <w:rPr>
          <w:color w:val="231F20"/>
          <w:spacing w:val="-2"/>
        </w:rPr>
        <w:t>не</w:t>
      </w:r>
      <w:r>
        <w:rPr>
          <w:color w:val="231F20"/>
          <w:spacing w:val="-5"/>
        </w:rPr>
        <w:t> </w:t>
      </w:r>
      <w:r>
        <w:rPr>
          <w:color w:val="231F20"/>
          <w:spacing w:val="-2"/>
        </w:rPr>
        <w:t>хочет)</w:t>
      </w:r>
      <w:r>
        <w:rPr>
          <w:color w:val="231F20"/>
          <w:spacing w:val="-5"/>
        </w:rPr>
        <w:t> </w:t>
      </w:r>
      <w:r>
        <w:rPr>
          <w:color w:val="231F20"/>
          <w:spacing w:val="-2"/>
        </w:rPr>
        <w:t>на</w:t>
      </w:r>
      <w:r>
        <w:rPr>
          <w:color w:val="231F20"/>
          <w:spacing w:val="-5"/>
        </w:rPr>
        <w:t> </w:t>
      </w:r>
      <w:r>
        <w:rPr>
          <w:color w:val="231F20"/>
          <w:spacing w:val="-2"/>
        </w:rPr>
        <w:t>развитие</w:t>
      </w:r>
      <w:r>
        <w:rPr>
          <w:color w:val="231F20"/>
          <w:spacing w:val="-5"/>
        </w:rPr>
        <w:t> </w:t>
      </w:r>
      <w:r>
        <w:rPr>
          <w:color w:val="231F20"/>
          <w:spacing w:val="-2"/>
        </w:rPr>
        <w:t>сюжета,</w:t>
      </w:r>
      <w:r>
        <w:rPr>
          <w:color w:val="231F20"/>
          <w:spacing w:val="-5"/>
        </w:rPr>
        <w:t> </w:t>
      </w:r>
      <w:r>
        <w:rPr>
          <w:color w:val="231F20"/>
          <w:spacing w:val="-2"/>
        </w:rPr>
        <w:t>а</w:t>
      </w:r>
      <w:r>
        <w:rPr>
          <w:color w:val="231F20"/>
          <w:spacing w:val="-5"/>
        </w:rPr>
        <w:t> </w:t>
      </w:r>
      <w:r>
        <w:rPr>
          <w:color w:val="231F20"/>
          <w:spacing w:val="-2"/>
        </w:rPr>
        <w:t>покорно</w:t>
      </w:r>
      <w:r>
        <w:rPr>
          <w:color w:val="231F20"/>
          <w:spacing w:val="-5"/>
        </w:rPr>
        <w:t> </w:t>
      </w:r>
      <w:r>
        <w:rPr>
          <w:color w:val="231F20"/>
          <w:spacing w:val="-2"/>
        </w:rPr>
        <w:t>поддается</w:t>
      </w:r>
      <w:r>
        <w:rPr>
          <w:color w:val="231F20"/>
          <w:spacing w:val="-5"/>
        </w:rPr>
        <w:t> </w:t>
      </w:r>
      <w:r>
        <w:rPr>
          <w:color w:val="231F20"/>
          <w:spacing w:val="-2"/>
        </w:rPr>
        <w:t>внеш- </w:t>
      </w:r>
      <w:r>
        <w:rPr>
          <w:color w:val="231F20"/>
        </w:rPr>
        <w:t>ним воздействиям.</w:t>
      </w:r>
    </w:p>
    <w:p>
      <w:pPr>
        <w:pStyle w:val="BodyText"/>
        <w:spacing w:line="232" w:lineRule="auto"/>
      </w:pPr>
      <w:r>
        <w:rPr>
          <w:color w:val="231F20"/>
        </w:rPr>
        <w:t>Признаки</w:t>
      </w:r>
      <w:r>
        <w:rPr>
          <w:color w:val="231F20"/>
          <w:spacing w:val="-9"/>
        </w:rPr>
        <w:t> </w:t>
      </w:r>
      <w:r>
        <w:rPr>
          <w:color w:val="231F20"/>
        </w:rPr>
        <w:t>«активности»:</w:t>
      </w:r>
      <w:r>
        <w:rPr>
          <w:color w:val="231F20"/>
          <w:spacing w:val="-9"/>
        </w:rPr>
        <w:t> </w:t>
      </w:r>
      <w:r>
        <w:rPr>
          <w:color w:val="231F20"/>
        </w:rPr>
        <w:t>герой</w:t>
      </w:r>
      <w:r>
        <w:rPr>
          <w:color w:val="231F20"/>
          <w:spacing w:val="-9"/>
        </w:rPr>
        <w:t> </w:t>
      </w:r>
      <w:r>
        <w:rPr>
          <w:color w:val="231F20"/>
        </w:rPr>
        <w:t>активно</w:t>
      </w:r>
      <w:r>
        <w:rPr>
          <w:color w:val="231F20"/>
          <w:spacing w:val="-9"/>
        </w:rPr>
        <w:t> </w:t>
      </w:r>
      <w:r>
        <w:rPr>
          <w:color w:val="231F20"/>
        </w:rPr>
        <w:t>выступает</w:t>
      </w:r>
      <w:r>
        <w:rPr>
          <w:color w:val="231F20"/>
          <w:spacing w:val="-9"/>
        </w:rPr>
        <w:t> </w:t>
      </w:r>
      <w:r>
        <w:rPr>
          <w:color w:val="231F20"/>
        </w:rPr>
        <w:t>против</w:t>
      </w:r>
      <w:r>
        <w:rPr>
          <w:color w:val="231F20"/>
          <w:spacing w:val="-9"/>
        </w:rPr>
        <w:t> </w:t>
      </w:r>
      <w:r>
        <w:rPr>
          <w:color w:val="231F20"/>
        </w:rPr>
        <w:t>объекта</w:t>
      </w:r>
      <w:r>
        <w:rPr>
          <w:color w:val="231F20"/>
          <w:spacing w:val="-9"/>
        </w:rPr>
        <w:t> </w:t>
      </w:r>
      <w:r>
        <w:rPr>
          <w:color w:val="231F20"/>
        </w:rPr>
        <w:t>страха,</w:t>
      </w:r>
      <w:r>
        <w:rPr>
          <w:color w:val="231F20"/>
          <w:spacing w:val="-9"/>
        </w:rPr>
        <w:t> </w:t>
      </w:r>
      <w:r>
        <w:rPr>
          <w:color w:val="231F20"/>
        </w:rPr>
        <w:t>обнару- </w:t>
      </w:r>
      <w:r>
        <w:rPr>
          <w:color w:val="231F20"/>
          <w:spacing w:val="-2"/>
        </w:rPr>
        <w:t>живает</w:t>
      </w:r>
      <w:r>
        <w:rPr>
          <w:color w:val="231F20"/>
          <w:spacing w:val="-6"/>
        </w:rPr>
        <w:t> </w:t>
      </w:r>
      <w:r>
        <w:rPr>
          <w:color w:val="231F20"/>
          <w:spacing w:val="-2"/>
        </w:rPr>
        <w:t>его</w:t>
      </w:r>
      <w:r>
        <w:rPr>
          <w:color w:val="231F20"/>
          <w:spacing w:val="-6"/>
        </w:rPr>
        <w:t> </w:t>
      </w:r>
      <w:r>
        <w:rPr>
          <w:color w:val="231F20"/>
          <w:spacing w:val="-2"/>
        </w:rPr>
        <w:t>и</w:t>
      </w:r>
      <w:r>
        <w:rPr>
          <w:color w:val="231F20"/>
          <w:spacing w:val="-6"/>
        </w:rPr>
        <w:t> </w:t>
      </w:r>
      <w:r>
        <w:rPr>
          <w:color w:val="231F20"/>
          <w:spacing w:val="-2"/>
        </w:rPr>
        <w:t>побеждает,</w:t>
      </w:r>
      <w:r>
        <w:rPr>
          <w:color w:val="231F20"/>
          <w:spacing w:val="-6"/>
        </w:rPr>
        <w:t> </w:t>
      </w:r>
      <w:r>
        <w:rPr>
          <w:color w:val="231F20"/>
          <w:spacing w:val="-2"/>
        </w:rPr>
        <w:t>призывая</w:t>
      </w:r>
      <w:r>
        <w:rPr>
          <w:color w:val="231F20"/>
          <w:spacing w:val="-6"/>
        </w:rPr>
        <w:t> </w:t>
      </w:r>
      <w:r>
        <w:rPr>
          <w:color w:val="231F20"/>
          <w:spacing w:val="-2"/>
        </w:rPr>
        <w:t>на</w:t>
      </w:r>
      <w:r>
        <w:rPr>
          <w:color w:val="231F20"/>
          <w:spacing w:val="-6"/>
        </w:rPr>
        <w:t> </w:t>
      </w:r>
      <w:r>
        <w:rPr>
          <w:color w:val="231F20"/>
          <w:spacing w:val="-2"/>
        </w:rPr>
        <w:t>помощь</w:t>
      </w:r>
      <w:r>
        <w:rPr>
          <w:color w:val="231F20"/>
          <w:spacing w:val="-6"/>
        </w:rPr>
        <w:t> </w:t>
      </w:r>
      <w:r>
        <w:rPr>
          <w:color w:val="231F20"/>
          <w:spacing w:val="-2"/>
        </w:rPr>
        <w:t>всех,</w:t>
      </w:r>
      <w:r>
        <w:rPr>
          <w:color w:val="231F20"/>
          <w:spacing w:val="-6"/>
        </w:rPr>
        <w:t> </w:t>
      </w:r>
      <w:r>
        <w:rPr>
          <w:color w:val="231F20"/>
          <w:spacing w:val="-2"/>
        </w:rPr>
        <w:t>кого</w:t>
      </w:r>
      <w:r>
        <w:rPr>
          <w:color w:val="231F20"/>
          <w:spacing w:val="-6"/>
        </w:rPr>
        <w:t> </w:t>
      </w:r>
      <w:r>
        <w:rPr>
          <w:color w:val="231F20"/>
          <w:spacing w:val="-2"/>
        </w:rPr>
        <w:t>возможно,</w:t>
      </w:r>
      <w:r>
        <w:rPr>
          <w:color w:val="231F20"/>
          <w:spacing w:val="-6"/>
        </w:rPr>
        <w:t> </w:t>
      </w:r>
      <w:r>
        <w:rPr>
          <w:color w:val="231F20"/>
          <w:spacing w:val="-2"/>
        </w:rPr>
        <w:t>исходя</w:t>
      </w:r>
      <w:r>
        <w:rPr>
          <w:color w:val="231F20"/>
          <w:spacing w:val="-6"/>
        </w:rPr>
        <w:t> </w:t>
      </w:r>
      <w:r>
        <w:rPr>
          <w:color w:val="231F20"/>
          <w:spacing w:val="-2"/>
        </w:rPr>
        <w:t>из</w:t>
      </w:r>
      <w:r>
        <w:rPr>
          <w:color w:val="231F20"/>
          <w:spacing w:val="-6"/>
        </w:rPr>
        <w:t> </w:t>
      </w:r>
      <w:r>
        <w:rPr>
          <w:color w:val="231F20"/>
          <w:spacing w:val="-2"/>
        </w:rPr>
        <w:t>базового </w:t>
      </w:r>
      <w:r>
        <w:rPr>
          <w:color w:val="231F20"/>
        </w:rPr>
        <w:t>сюжета. Главная задача психолога – донести до ребенка представление о «небезна- дежности»</w:t>
      </w:r>
      <w:r>
        <w:rPr>
          <w:color w:val="231F20"/>
          <w:spacing w:val="-7"/>
        </w:rPr>
        <w:t> </w:t>
      </w:r>
      <w:r>
        <w:rPr>
          <w:color w:val="231F20"/>
        </w:rPr>
        <w:t>активных</w:t>
      </w:r>
      <w:r>
        <w:rPr>
          <w:color w:val="231F20"/>
          <w:spacing w:val="-7"/>
        </w:rPr>
        <w:t> </w:t>
      </w:r>
      <w:r>
        <w:rPr>
          <w:color w:val="231F20"/>
        </w:rPr>
        <w:t>действий</w:t>
      </w:r>
      <w:r>
        <w:rPr>
          <w:color w:val="231F20"/>
          <w:spacing w:val="-7"/>
        </w:rPr>
        <w:t> </w:t>
      </w:r>
      <w:r>
        <w:rPr>
          <w:color w:val="231F20"/>
        </w:rPr>
        <w:t>и,</w:t>
      </w:r>
      <w:r>
        <w:rPr>
          <w:color w:val="231F20"/>
          <w:spacing w:val="-7"/>
        </w:rPr>
        <w:t> </w:t>
      </w:r>
      <w:r>
        <w:rPr>
          <w:color w:val="231F20"/>
        </w:rPr>
        <w:t>более</w:t>
      </w:r>
      <w:r>
        <w:rPr>
          <w:color w:val="231F20"/>
          <w:spacing w:val="-7"/>
        </w:rPr>
        <w:t> </w:t>
      </w:r>
      <w:r>
        <w:rPr>
          <w:color w:val="231F20"/>
        </w:rPr>
        <w:t>того,</w:t>
      </w:r>
      <w:r>
        <w:rPr>
          <w:color w:val="231F20"/>
          <w:spacing w:val="-7"/>
        </w:rPr>
        <w:t> </w:t>
      </w:r>
      <w:r>
        <w:rPr>
          <w:color w:val="231F20"/>
        </w:rPr>
        <w:t>их</w:t>
      </w:r>
      <w:r>
        <w:rPr>
          <w:color w:val="231F20"/>
          <w:spacing w:val="-7"/>
        </w:rPr>
        <w:t> </w:t>
      </w:r>
      <w:r>
        <w:rPr>
          <w:color w:val="231F20"/>
        </w:rPr>
        <w:t>необходимости</w:t>
      </w:r>
      <w:r>
        <w:rPr>
          <w:color w:val="231F20"/>
          <w:spacing w:val="-7"/>
        </w:rPr>
        <w:t> </w:t>
      </w:r>
      <w:r>
        <w:rPr>
          <w:color w:val="231F20"/>
        </w:rPr>
        <w:t>для</w:t>
      </w:r>
      <w:r>
        <w:rPr>
          <w:color w:val="231F20"/>
          <w:spacing w:val="-7"/>
        </w:rPr>
        <w:t> </w:t>
      </w:r>
      <w:r>
        <w:rPr>
          <w:color w:val="231F20"/>
        </w:rPr>
        <w:t>решения</w:t>
      </w:r>
      <w:r>
        <w:rPr>
          <w:color w:val="231F20"/>
          <w:spacing w:val="-7"/>
        </w:rPr>
        <w:t> </w:t>
      </w:r>
      <w:r>
        <w:rPr>
          <w:color w:val="231F20"/>
        </w:rPr>
        <w:t>пробле- мы (например, победы над чудовищем).</w:t>
      </w:r>
    </w:p>
    <w:p>
      <w:pPr>
        <w:pStyle w:val="BodyText"/>
        <w:spacing w:line="232" w:lineRule="auto"/>
      </w:pPr>
      <w:r>
        <w:rPr>
          <w:color w:val="231F20"/>
        </w:rPr>
        <w:t>Вот еще одна история, рассказанная тем же восьмилетним мальчиком из семьи иракских беженцев.</w:t>
      </w:r>
    </w:p>
    <w:p>
      <w:pPr>
        <w:spacing w:line="235" w:lineRule="auto" w:before="96"/>
        <w:ind w:left="141" w:right="139" w:firstLine="283"/>
        <w:jc w:val="both"/>
        <w:rPr>
          <w:i/>
          <w:sz w:val="20"/>
        </w:rPr>
      </w:pPr>
      <w:r>
        <w:rPr>
          <w:i/>
          <w:color w:val="231F20"/>
          <w:sz w:val="20"/>
        </w:rPr>
        <w:t>Шли по улице одна девочка и один мальчик. Пришел Супермен и сказал: «Давай драться».</w:t>
      </w:r>
      <w:r>
        <w:rPr>
          <w:i/>
          <w:color w:val="231F20"/>
          <w:spacing w:val="-9"/>
          <w:sz w:val="20"/>
        </w:rPr>
        <w:t> </w:t>
      </w:r>
      <w:r>
        <w:rPr>
          <w:i/>
          <w:color w:val="231F20"/>
          <w:sz w:val="20"/>
        </w:rPr>
        <w:t>Они</w:t>
      </w:r>
      <w:r>
        <w:rPr>
          <w:i/>
          <w:color w:val="231F20"/>
          <w:spacing w:val="-9"/>
          <w:sz w:val="20"/>
        </w:rPr>
        <w:t> </w:t>
      </w:r>
      <w:r>
        <w:rPr>
          <w:i/>
          <w:color w:val="231F20"/>
          <w:sz w:val="20"/>
        </w:rPr>
        <w:t>не</w:t>
      </w:r>
      <w:r>
        <w:rPr>
          <w:i/>
          <w:color w:val="231F20"/>
          <w:spacing w:val="-9"/>
          <w:sz w:val="20"/>
        </w:rPr>
        <w:t> </w:t>
      </w:r>
      <w:r>
        <w:rPr>
          <w:i/>
          <w:color w:val="231F20"/>
          <w:sz w:val="20"/>
        </w:rPr>
        <w:t>захотели.</w:t>
      </w:r>
      <w:r>
        <w:rPr>
          <w:i/>
          <w:color w:val="231F20"/>
          <w:spacing w:val="-9"/>
          <w:sz w:val="20"/>
        </w:rPr>
        <w:t> </w:t>
      </w:r>
      <w:r>
        <w:rPr>
          <w:i/>
          <w:color w:val="231F20"/>
          <w:sz w:val="20"/>
        </w:rPr>
        <w:t>Супермен</w:t>
      </w:r>
      <w:r>
        <w:rPr>
          <w:i/>
          <w:color w:val="231F20"/>
          <w:spacing w:val="-9"/>
          <w:sz w:val="20"/>
        </w:rPr>
        <w:t> </w:t>
      </w:r>
      <w:r>
        <w:rPr>
          <w:i/>
          <w:color w:val="231F20"/>
          <w:sz w:val="20"/>
        </w:rPr>
        <w:t>тогда:</w:t>
      </w:r>
      <w:r>
        <w:rPr>
          <w:i/>
          <w:color w:val="231F20"/>
          <w:spacing w:val="-9"/>
          <w:sz w:val="20"/>
        </w:rPr>
        <w:t> </w:t>
      </w:r>
      <w:r>
        <w:rPr>
          <w:i/>
          <w:color w:val="231F20"/>
          <w:sz w:val="20"/>
        </w:rPr>
        <w:t>«Давай</w:t>
      </w:r>
      <w:r>
        <w:rPr>
          <w:i/>
          <w:color w:val="231F20"/>
          <w:spacing w:val="-9"/>
          <w:sz w:val="20"/>
        </w:rPr>
        <w:t> </w:t>
      </w:r>
      <w:r>
        <w:rPr>
          <w:i/>
          <w:color w:val="231F20"/>
          <w:sz w:val="20"/>
        </w:rPr>
        <w:t>друзьями</w:t>
      </w:r>
      <w:r>
        <w:rPr>
          <w:i/>
          <w:color w:val="231F20"/>
          <w:spacing w:val="-9"/>
          <w:sz w:val="20"/>
        </w:rPr>
        <w:t> </w:t>
      </w:r>
      <w:r>
        <w:rPr>
          <w:i/>
          <w:color w:val="231F20"/>
          <w:sz w:val="20"/>
        </w:rPr>
        <w:t>будем,</w:t>
      </w:r>
      <w:r>
        <w:rPr>
          <w:i/>
          <w:color w:val="231F20"/>
          <w:spacing w:val="-9"/>
          <w:sz w:val="20"/>
        </w:rPr>
        <w:t> </w:t>
      </w:r>
      <w:r>
        <w:rPr>
          <w:i/>
          <w:color w:val="231F20"/>
          <w:sz w:val="20"/>
        </w:rPr>
        <w:t>если</w:t>
      </w:r>
      <w:r>
        <w:rPr>
          <w:i/>
          <w:color w:val="231F20"/>
          <w:spacing w:val="-9"/>
          <w:sz w:val="20"/>
        </w:rPr>
        <w:t> </w:t>
      </w:r>
      <w:r>
        <w:rPr>
          <w:i/>
          <w:color w:val="231F20"/>
          <w:sz w:val="20"/>
        </w:rPr>
        <w:t>не</w:t>
      </w:r>
      <w:r>
        <w:rPr>
          <w:i/>
          <w:color w:val="231F20"/>
          <w:spacing w:val="-9"/>
          <w:sz w:val="20"/>
        </w:rPr>
        <w:t> </w:t>
      </w:r>
      <w:r>
        <w:rPr>
          <w:i/>
          <w:color w:val="231F20"/>
          <w:sz w:val="20"/>
        </w:rPr>
        <w:t>хочешь </w:t>
      </w:r>
      <w:r>
        <w:rPr>
          <w:i/>
          <w:color w:val="231F20"/>
          <w:spacing w:val="-2"/>
          <w:sz w:val="20"/>
        </w:rPr>
        <w:t>драться».</w:t>
      </w:r>
    </w:p>
    <w:p>
      <w:pPr>
        <w:spacing w:line="226" w:lineRule="exact" w:before="0"/>
        <w:ind w:left="425" w:right="0" w:firstLine="0"/>
        <w:jc w:val="both"/>
        <w:rPr>
          <w:i/>
          <w:sz w:val="20"/>
        </w:rPr>
      </w:pPr>
      <w:r>
        <w:rPr>
          <w:i/>
          <w:color w:val="231F20"/>
          <w:sz w:val="20"/>
        </w:rPr>
        <w:t>Потом</w:t>
      </w:r>
      <w:r>
        <w:rPr>
          <w:i/>
          <w:color w:val="231F20"/>
          <w:spacing w:val="-2"/>
          <w:sz w:val="20"/>
        </w:rPr>
        <w:t> </w:t>
      </w:r>
      <w:r>
        <w:rPr>
          <w:i/>
          <w:color w:val="231F20"/>
          <w:sz w:val="20"/>
        </w:rPr>
        <w:t>одна девочка-монстр, она страшная</w:t>
      </w:r>
      <w:r>
        <w:rPr>
          <w:i/>
          <w:color w:val="231F20"/>
          <w:spacing w:val="1"/>
          <w:sz w:val="20"/>
        </w:rPr>
        <w:t> </w:t>
      </w:r>
      <w:r>
        <w:rPr>
          <w:i/>
          <w:color w:val="231F20"/>
          <w:sz w:val="20"/>
        </w:rPr>
        <w:t>была, она хотела убить</w:t>
      </w:r>
      <w:r>
        <w:rPr>
          <w:i/>
          <w:color w:val="231F20"/>
          <w:spacing w:val="1"/>
          <w:sz w:val="20"/>
        </w:rPr>
        <w:t> </w:t>
      </w:r>
      <w:r>
        <w:rPr>
          <w:i/>
          <w:color w:val="231F20"/>
          <w:spacing w:val="-2"/>
          <w:sz w:val="20"/>
        </w:rPr>
        <w:t>Супермена.</w:t>
      </w:r>
    </w:p>
    <w:p>
      <w:pPr>
        <w:spacing w:line="228" w:lineRule="exact" w:before="0"/>
        <w:ind w:left="141" w:right="0" w:firstLine="0"/>
        <w:jc w:val="both"/>
        <w:rPr>
          <w:i/>
          <w:sz w:val="20"/>
        </w:rPr>
      </w:pPr>
      <w:r>
        <w:rPr>
          <w:i/>
          <w:color w:val="231F20"/>
          <w:sz w:val="20"/>
        </w:rPr>
        <w:t>А</w:t>
      </w:r>
      <w:r>
        <w:rPr>
          <w:i/>
          <w:color w:val="231F20"/>
          <w:spacing w:val="-3"/>
          <w:sz w:val="20"/>
        </w:rPr>
        <w:t> </w:t>
      </w:r>
      <w:r>
        <w:rPr>
          <w:i/>
          <w:color w:val="231F20"/>
          <w:sz w:val="20"/>
        </w:rPr>
        <w:t>их</w:t>
      </w:r>
      <w:r>
        <w:rPr>
          <w:i/>
          <w:color w:val="231F20"/>
          <w:spacing w:val="-2"/>
          <w:sz w:val="20"/>
        </w:rPr>
        <w:t> </w:t>
      </w:r>
      <w:r>
        <w:rPr>
          <w:i/>
          <w:color w:val="231F20"/>
          <w:sz w:val="20"/>
        </w:rPr>
        <w:t>друзья</w:t>
      </w:r>
      <w:r>
        <w:rPr>
          <w:i/>
          <w:color w:val="231F20"/>
          <w:spacing w:val="-2"/>
          <w:sz w:val="20"/>
        </w:rPr>
        <w:t> </w:t>
      </w:r>
      <w:r>
        <w:rPr>
          <w:i/>
          <w:color w:val="231F20"/>
          <w:sz w:val="20"/>
        </w:rPr>
        <w:t>взяли</w:t>
      </w:r>
      <w:r>
        <w:rPr>
          <w:i/>
          <w:color w:val="231F20"/>
          <w:spacing w:val="-3"/>
          <w:sz w:val="20"/>
        </w:rPr>
        <w:t> </w:t>
      </w:r>
      <w:r>
        <w:rPr>
          <w:i/>
          <w:color w:val="231F20"/>
          <w:sz w:val="20"/>
        </w:rPr>
        <w:t>в</w:t>
      </w:r>
      <w:r>
        <w:rPr>
          <w:i/>
          <w:color w:val="231F20"/>
          <w:spacing w:val="-3"/>
          <w:sz w:val="20"/>
        </w:rPr>
        <w:t> </w:t>
      </w:r>
      <w:r>
        <w:rPr>
          <w:i/>
          <w:color w:val="231F20"/>
          <w:sz w:val="20"/>
        </w:rPr>
        <w:t>девочку</w:t>
      </w:r>
      <w:r>
        <w:rPr>
          <w:i/>
          <w:color w:val="231F20"/>
          <w:spacing w:val="-2"/>
          <w:sz w:val="20"/>
        </w:rPr>
        <w:t> </w:t>
      </w:r>
      <w:r>
        <w:rPr>
          <w:i/>
          <w:color w:val="231F20"/>
          <w:sz w:val="20"/>
        </w:rPr>
        <w:t>бросали</w:t>
      </w:r>
      <w:r>
        <w:rPr>
          <w:i/>
          <w:color w:val="231F20"/>
          <w:spacing w:val="-3"/>
          <w:sz w:val="20"/>
        </w:rPr>
        <w:t> </w:t>
      </w:r>
      <w:r>
        <w:rPr>
          <w:i/>
          <w:color w:val="231F20"/>
          <w:sz w:val="20"/>
        </w:rPr>
        <w:t>чего-то,</w:t>
      </w:r>
      <w:r>
        <w:rPr>
          <w:i/>
          <w:color w:val="231F20"/>
          <w:spacing w:val="-2"/>
          <w:sz w:val="20"/>
        </w:rPr>
        <w:t> </w:t>
      </w:r>
      <w:r>
        <w:rPr>
          <w:i/>
          <w:color w:val="231F20"/>
          <w:sz w:val="20"/>
        </w:rPr>
        <w:t>и</w:t>
      </w:r>
      <w:r>
        <w:rPr>
          <w:i/>
          <w:color w:val="231F20"/>
          <w:spacing w:val="-2"/>
          <w:sz w:val="20"/>
        </w:rPr>
        <w:t> </w:t>
      </w:r>
      <w:r>
        <w:rPr>
          <w:i/>
          <w:color w:val="231F20"/>
          <w:sz w:val="20"/>
        </w:rPr>
        <w:t>она</w:t>
      </w:r>
      <w:r>
        <w:rPr>
          <w:i/>
          <w:color w:val="231F20"/>
          <w:spacing w:val="-2"/>
          <w:sz w:val="20"/>
        </w:rPr>
        <w:t> умерла.</w:t>
      </w:r>
    </w:p>
    <w:p>
      <w:pPr>
        <w:spacing w:after="0" w:line="228" w:lineRule="exact"/>
        <w:jc w:val="both"/>
        <w:rPr>
          <w:i/>
          <w:sz w:val="20"/>
        </w:rPr>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spacing w:line="235" w:lineRule="auto" w:before="116"/>
        <w:ind w:left="141" w:right="139" w:firstLine="283"/>
        <w:jc w:val="both"/>
        <w:rPr>
          <w:i/>
          <w:sz w:val="20"/>
        </w:rPr>
      </w:pPr>
      <w:r>
        <w:rPr>
          <w:i/>
          <w:color w:val="231F20"/>
          <w:sz w:val="20"/>
        </w:rPr>
        <w:t>Муж страшной девочки хотел найти свою жену. Он пошел, нашел ее и видит – она умерла. Потом он нож взял и себя убил.</w:t>
      </w:r>
    </w:p>
    <w:p>
      <w:pPr>
        <w:spacing w:line="225" w:lineRule="exact" w:before="0"/>
        <w:ind w:left="425" w:right="0" w:firstLine="0"/>
        <w:jc w:val="both"/>
        <w:rPr>
          <w:i/>
          <w:sz w:val="20"/>
        </w:rPr>
      </w:pPr>
      <w:r>
        <w:rPr>
          <w:i/>
          <w:color w:val="231F20"/>
          <w:sz w:val="20"/>
        </w:rPr>
        <w:t>Бэтмен</w:t>
      </w:r>
      <w:r>
        <w:rPr>
          <w:i/>
          <w:color w:val="231F20"/>
          <w:spacing w:val="-8"/>
          <w:sz w:val="20"/>
        </w:rPr>
        <w:t> </w:t>
      </w:r>
      <w:r>
        <w:rPr>
          <w:i/>
          <w:color w:val="231F20"/>
          <w:sz w:val="20"/>
        </w:rPr>
        <w:t>с</w:t>
      </w:r>
      <w:r>
        <w:rPr>
          <w:i/>
          <w:color w:val="231F20"/>
          <w:spacing w:val="-7"/>
          <w:sz w:val="20"/>
        </w:rPr>
        <w:t> </w:t>
      </w:r>
      <w:r>
        <w:rPr>
          <w:i/>
          <w:color w:val="231F20"/>
          <w:sz w:val="20"/>
        </w:rPr>
        <w:t>друзьями</w:t>
      </w:r>
      <w:r>
        <w:rPr>
          <w:i/>
          <w:color w:val="231F20"/>
          <w:spacing w:val="-7"/>
          <w:sz w:val="20"/>
        </w:rPr>
        <w:t> </w:t>
      </w:r>
      <w:r>
        <w:rPr>
          <w:i/>
          <w:color w:val="231F20"/>
          <w:sz w:val="20"/>
        </w:rPr>
        <w:t>хотели</w:t>
      </w:r>
      <w:r>
        <w:rPr>
          <w:i/>
          <w:color w:val="231F20"/>
          <w:spacing w:val="-7"/>
          <w:sz w:val="20"/>
        </w:rPr>
        <w:t> </w:t>
      </w:r>
      <w:r>
        <w:rPr>
          <w:i/>
          <w:color w:val="231F20"/>
          <w:sz w:val="20"/>
        </w:rPr>
        <w:t>найти</w:t>
      </w:r>
      <w:r>
        <w:rPr>
          <w:i/>
          <w:color w:val="231F20"/>
          <w:spacing w:val="-8"/>
          <w:sz w:val="20"/>
        </w:rPr>
        <w:t> </w:t>
      </w:r>
      <w:r>
        <w:rPr>
          <w:i/>
          <w:color w:val="231F20"/>
          <w:sz w:val="20"/>
        </w:rPr>
        <w:t>мужа</w:t>
      </w:r>
      <w:r>
        <w:rPr>
          <w:i/>
          <w:color w:val="231F20"/>
          <w:spacing w:val="-7"/>
          <w:sz w:val="20"/>
        </w:rPr>
        <w:t> </w:t>
      </w:r>
      <w:r>
        <w:rPr>
          <w:i/>
          <w:color w:val="231F20"/>
          <w:sz w:val="20"/>
        </w:rPr>
        <w:t>страшной</w:t>
      </w:r>
      <w:r>
        <w:rPr>
          <w:i/>
          <w:color w:val="231F20"/>
          <w:spacing w:val="-7"/>
          <w:sz w:val="20"/>
        </w:rPr>
        <w:t> </w:t>
      </w:r>
      <w:r>
        <w:rPr>
          <w:i/>
          <w:color w:val="231F20"/>
          <w:sz w:val="20"/>
        </w:rPr>
        <w:t>девочки;</w:t>
      </w:r>
      <w:r>
        <w:rPr>
          <w:i/>
          <w:color w:val="231F20"/>
          <w:spacing w:val="-7"/>
          <w:sz w:val="20"/>
        </w:rPr>
        <w:t> </w:t>
      </w:r>
      <w:r>
        <w:rPr>
          <w:i/>
          <w:color w:val="231F20"/>
          <w:sz w:val="20"/>
        </w:rPr>
        <w:t>видят</w:t>
      </w:r>
      <w:r>
        <w:rPr>
          <w:i/>
          <w:color w:val="231F20"/>
          <w:spacing w:val="-8"/>
          <w:sz w:val="20"/>
        </w:rPr>
        <w:t> </w:t>
      </w:r>
      <w:r>
        <w:rPr>
          <w:i/>
          <w:color w:val="231F20"/>
          <w:sz w:val="20"/>
        </w:rPr>
        <w:t>–</w:t>
      </w:r>
      <w:r>
        <w:rPr>
          <w:i/>
          <w:color w:val="231F20"/>
          <w:spacing w:val="-7"/>
          <w:sz w:val="20"/>
        </w:rPr>
        <w:t> </w:t>
      </w:r>
      <w:r>
        <w:rPr>
          <w:i/>
          <w:color w:val="231F20"/>
          <w:sz w:val="20"/>
        </w:rPr>
        <w:t>он</w:t>
      </w:r>
      <w:r>
        <w:rPr>
          <w:i/>
          <w:color w:val="231F20"/>
          <w:spacing w:val="-7"/>
          <w:sz w:val="20"/>
        </w:rPr>
        <w:t> </w:t>
      </w:r>
      <w:r>
        <w:rPr>
          <w:i/>
          <w:color w:val="231F20"/>
          <w:sz w:val="20"/>
        </w:rPr>
        <w:t>уже</w:t>
      </w:r>
      <w:r>
        <w:rPr>
          <w:i/>
          <w:color w:val="231F20"/>
          <w:spacing w:val="-7"/>
          <w:sz w:val="20"/>
        </w:rPr>
        <w:t> </w:t>
      </w:r>
      <w:r>
        <w:rPr>
          <w:i/>
          <w:color w:val="231F20"/>
          <w:spacing w:val="-2"/>
          <w:sz w:val="20"/>
        </w:rPr>
        <w:t>умер.</w:t>
      </w:r>
    </w:p>
    <w:p>
      <w:pPr>
        <w:spacing w:line="235" w:lineRule="auto" w:before="2"/>
        <w:ind w:left="141" w:right="139" w:firstLine="0"/>
        <w:jc w:val="both"/>
        <w:rPr>
          <w:i/>
          <w:sz w:val="20"/>
        </w:rPr>
      </w:pPr>
      <w:r>
        <w:rPr>
          <w:i/>
          <w:color w:val="231F20"/>
          <w:sz w:val="20"/>
        </w:rPr>
        <w:t>… На другой год они (Бэтмен и Супермен) дома хотели воду пить, но ее не было, и они умерли от голода. Все умерли.</w:t>
      </w:r>
    </w:p>
    <w:p>
      <w:pPr>
        <w:spacing w:line="227" w:lineRule="exact" w:before="0"/>
        <w:ind w:left="425" w:right="0" w:firstLine="0"/>
        <w:jc w:val="both"/>
        <w:rPr>
          <w:i/>
          <w:sz w:val="20"/>
        </w:rPr>
      </w:pPr>
      <w:r>
        <w:rPr>
          <w:i/>
          <w:color w:val="231F20"/>
          <w:sz w:val="20"/>
        </w:rPr>
        <w:t>Урок</w:t>
      </w:r>
      <w:r>
        <w:rPr>
          <w:i/>
          <w:color w:val="231F20"/>
          <w:spacing w:val="-7"/>
          <w:sz w:val="20"/>
        </w:rPr>
        <w:t> </w:t>
      </w:r>
      <w:r>
        <w:rPr>
          <w:i/>
          <w:color w:val="231F20"/>
          <w:sz w:val="20"/>
        </w:rPr>
        <w:t>(не</w:t>
      </w:r>
      <w:r>
        <w:rPr>
          <w:i/>
          <w:color w:val="231F20"/>
          <w:spacing w:val="-7"/>
          <w:sz w:val="20"/>
        </w:rPr>
        <w:t> </w:t>
      </w:r>
      <w:r>
        <w:rPr>
          <w:i/>
          <w:color w:val="231F20"/>
          <w:sz w:val="20"/>
        </w:rPr>
        <w:t>может</w:t>
      </w:r>
      <w:r>
        <w:rPr>
          <w:i/>
          <w:color w:val="231F20"/>
          <w:spacing w:val="-7"/>
          <w:sz w:val="20"/>
        </w:rPr>
        <w:t> </w:t>
      </w:r>
      <w:r>
        <w:rPr>
          <w:i/>
          <w:color w:val="231F20"/>
          <w:spacing w:val="-2"/>
          <w:sz w:val="20"/>
        </w:rPr>
        <w:t>сформулировать).</w:t>
      </w:r>
    </w:p>
    <w:p>
      <w:pPr>
        <w:pStyle w:val="BodyText"/>
        <w:spacing w:line="235" w:lineRule="auto" w:before="113"/>
        <w:ind w:right="138"/>
      </w:pPr>
      <w:r>
        <w:rPr>
          <w:color w:val="231F20"/>
        </w:rPr>
        <w:t>В истории отчетливо видны депрессивные установки ребенка, а также обращают на себя внимание определенные суицидальные наклонности, судя по особенностям родителей, имеющие отчасти наследственную подоплеку. В ответ была рассказана следующая история:</w:t>
      </w:r>
    </w:p>
    <w:p>
      <w:pPr>
        <w:spacing w:line="235" w:lineRule="auto" w:before="116"/>
        <w:ind w:left="141" w:right="139" w:firstLine="283"/>
        <w:jc w:val="both"/>
        <w:rPr>
          <w:i/>
          <w:sz w:val="20"/>
        </w:rPr>
      </w:pPr>
      <w:r>
        <w:rPr>
          <w:i/>
          <w:color w:val="231F20"/>
          <w:sz w:val="20"/>
        </w:rPr>
        <w:t>Жили-были</w:t>
      </w:r>
      <w:r>
        <w:rPr>
          <w:i/>
          <w:color w:val="231F20"/>
          <w:spacing w:val="-2"/>
          <w:sz w:val="20"/>
        </w:rPr>
        <w:t> </w:t>
      </w:r>
      <w:r>
        <w:rPr>
          <w:i/>
          <w:color w:val="231F20"/>
          <w:sz w:val="20"/>
        </w:rPr>
        <w:t>мальчик</w:t>
      </w:r>
      <w:r>
        <w:rPr>
          <w:i/>
          <w:color w:val="231F20"/>
          <w:spacing w:val="-2"/>
          <w:sz w:val="20"/>
        </w:rPr>
        <w:t> </w:t>
      </w:r>
      <w:r>
        <w:rPr>
          <w:i/>
          <w:color w:val="231F20"/>
          <w:sz w:val="20"/>
        </w:rPr>
        <w:t>и</w:t>
      </w:r>
      <w:r>
        <w:rPr>
          <w:i/>
          <w:color w:val="231F20"/>
          <w:spacing w:val="-2"/>
          <w:sz w:val="20"/>
        </w:rPr>
        <w:t> </w:t>
      </w:r>
      <w:r>
        <w:rPr>
          <w:i/>
          <w:color w:val="231F20"/>
          <w:sz w:val="20"/>
        </w:rPr>
        <w:t>девочка.</w:t>
      </w:r>
      <w:r>
        <w:rPr>
          <w:i/>
          <w:color w:val="231F20"/>
          <w:spacing w:val="-2"/>
          <w:sz w:val="20"/>
        </w:rPr>
        <w:t> </w:t>
      </w:r>
      <w:r>
        <w:rPr>
          <w:i/>
          <w:color w:val="231F20"/>
          <w:sz w:val="20"/>
        </w:rPr>
        <w:t>Они</w:t>
      </w:r>
      <w:r>
        <w:rPr>
          <w:i/>
          <w:color w:val="231F20"/>
          <w:spacing w:val="-2"/>
          <w:sz w:val="20"/>
        </w:rPr>
        <w:t> </w:t>
      </w:r>
      <w:r>
        <w:rPr>
          <w:i/>
          <w:color w:val="231F20"/>
          <w:sz w:val="20"/>
        </w:rPr>
        <w:t>шли</w:t>
      </w:r>
      <w:r>
        <w:rPr>
          <w:i/>
          <w:color w:val="231F20"/>
          <w:spacing w:val="-2"/>
          <w:sz w:val="20"/>
        </w:rPr>
        <w:t> </w:t>
      </w:r>
      <w:r>
        <w:rPr>
          <w:i/>
          <w:color w:val="231F20"/>
          <w:sz w:val="20"/>
        </w:rPr>
        <w:t>по</w:t>
      </w:r>
      <w:r>
        <w:rPr>
          <w:i/>
          <w:color w:val="231F20"/>
          <w:spacing w:val="-2"/>
          <w:sz w:val="20"/>
        </w:rPr>
        <w:t> </w:t>
      </w:r>
      <w:r>
        <w:rPr>
          <w:i/>
          <w:color w:val="231F20"/>
          <w:sz w:val="20"/>
        </w:rPr>
        <w:t>дороге</w:t>
      </w:r>
      <w:r>
        <w:rPr>
          <w:i/>
          <w:color w:val="231F20"/>
          <w:spacing w:val="-2"/>
          <w:sz w:val="20"/>
        </w:rPr>
        <w:t> </w:t>
      </w:r>
      <w:r>
        <w:rPr>
          <w:i/>
          <w:color w:val="231F20"/>
          <w:sz w:val="20"/>
        </w:rPr>
        <w:t>и</w:t>
      </w:r>
      <w:r>
        <w:rPr>
          <w:i/>
          <w:color w:val="231F20"/>
          <w:spacing w:val="-2"/>
          <w:sz w:val="20"/>
        </w:rPr>
        <w:t> </w:t>
      </w:r>
      <w:r>
        <w:rPr>
          <w:i/>
          <w:color w:val="231F20"/>
          <w:sz w:val="20"/>
        </w:rPr>
        <w:t>встретили</w:t>
      </w:r>
      <w:r>
        <w:rPr>
          <w:i/>
          <w:color w:val="231F20"/>
          <w:spacing w:val="-2"/>
          <w:sz w:val="20"/>
        </w:rPr>
        <w:t> </w:t>
      </w:r>
      <w:r>
        <w:rPr>
          <w:i/>
          <w:color w:val="231F20"/>
          <w:sz w:val="20"/>
        </w:rPr>
        <w:t>супермена.</w:t>
      </w:r>
      <w:r>
        <w:rPr>
          <w:i/>
          <w:color w:val="231F20"/>
          <w:spacing w:val="-2"/>
          <w:sz w:val="20"/>
        </w:rPr>
        <w:t> </w:t>
      </w:r>
      <w:r>
        <w:rPr>
          <w:i/>
          <w:color w:val="231F20"/>
          <w:sz w:val="20"/>
        </w:rPr>
        <w:t>Он</w:t>
      </w:r>
      <w:r>
        <w:rPr>
          <w:i/>
          <w:color w:val="231F20"/>
          <w:spacing w:val="-2"/>
          <w:sz w:val="20"/>
        </w:rPr>
        <w:t> </w:t>
      </w:r>
      <w:r>
        <w:rPr>
          <w:i/>
          <w:color w:val="231F20"/>
          <w:sz w:val="20"/>
        </w:rPr>
        <w:t>им говорит: «Давайте драться». Дети в ответ: «нет, мы не хотим». Супермен тогда говорит: «Раз так, будем друзьями». И они пошли дальше вместе.</w:t>
      </w:r>
    </w:p>
    <w:p>
      <w:pPr>
        <w:spacing w:line="235" w:lineRule="auto" w:before="2"/>
        <w:ind w:left="141" w:right="139" w:firstLine="283"/>
        <w:jc w:val="both"/>
        <w:rPr>
          <w:i/>
          <w:sz w:val="20"/>
        </w:rPr>
      </w:pPr>
      <w:r>
        <w:rPr>
          <w:i/>
          <w:color w:val="231F20"/>
          <w:sz w:val="20"/>
        </w:rPr>
        <w:t>Как-то</w:t>
      </w:r>
      <w:r>
        <w:rPr>
          <w:i/>
          <w:color w:val="231F20"/>
          <w:spacing w:val="-5"/>
          <w:sz w:val="20"/>
        </w:rPr>
        <w:t> </w:t>
      </w:r>
      <w:r>
        <w:rPr>
          <w:i/>
          <w:color w:val="231F20"/>
          <w:sz w:val="20"/>
        </w:rPr>
        <w:t>раз</w:t>
      </w:r>
      <w:r>
        <w:rPr>
          <w:i/>
          <w:color w:val="231F20"/>
          <w:spacing w:val="-5"/>
          <w:sz w:val="20"/>
        </w:rPr>
        <w:t> </w:t>
      </w:r>
      <w:r>
        <w:rPr>
          <w:i/>
          <w:color w:val="231F20"/>
          <w:sz w:val="20"/>
        </w:rPr>
        <w:t>они</w:t>
      </w:r>
      <w:r>
        <w:rPr>
          <w:i/>
          <w:color w:val="231F20"/>
          <w:spacing w:val="-5"/>
          <w:sz w:val="20"/>
        </w:rPr>
        <w:t> </w:t>
      </w:r>
      <w:r>
        <w:rPr>
          <w:i/>
          <w:color w:val="231F20"/>
          <w:sz w:val="20"/>
        </w:rPr>
        <w:t>гуляли</w:t>
      </w:r>
      <w:r>
        <w:rPr>
          <w:i/>
          <w:color w:val="231F20"/>
          <w:spacing w:val="-5"/>
          <w:sz w:val="20"/>
        </w:rPr>
        <w:t> </w:t>
      </w:r>
      <w:r>
        <w:rPr>
          <w:i/>
          <w:color w:val="231F20"/>
          <w:sz w:val="20"/>
        </w:rPr>
        <w:t>вместе</w:t>
      </w:r>
      <w:r>
        <w:rPr>
          <w:i/>
          <w:color w:val="231F20"/>
          <w:spacing w:val="-5"/>
          <w:sz w:val="20"/>
        </w:rPr>
        <w:t> </w:t>
      </w:r>
      <w:r>
        <w:rPr>
          <w:i/>
          <w:color w:val="231F20"/>
          <w:sz w:val="20"/>
        </w:rPr>
        <w:t>с</w:t>
      </w:r>
      <w:r>
        <w:rPr>
          <w:i/>
          <w:color w:val="231F20"/>
          <w:spacing w:val="-5"/>
          <w:sz w:val="20"/>
        </w:rPr>
        <w:t> </w:t>
      </w:r>
      <w:r>
        <w:rPr>
          <w:i/>
          <w:color w:val="231F20"/>
          <w:sz w:val="20"/>
        </w:rPr>
        <w:t>Бэтменом</w:t>
      </w:r>
      <w:r>
        <w:rPr>
          <w:i/>
          <w:color w:val="231F20"/>
          <w:spacing w:val="-5"/>
          <w:sz w:val="20"/>
        </w:rPr>
        <w:t> </w:t>
      </w:r>
      <w:r>
        <w:rPr>
          <w:i/>
          <w:color w:val="231F20"/>
          <w:sz w:val="20"/>
        </w:rPr>
        <w:t>и</w:t>
      </w:r>
      <w:r>
        <w:rPr>
          <w:i/>
          <w:color w:val="231F20"/>
          <w:spacing w:val="-5"/>
          <w:sz w:val="20"/>
        </w:rPr>
        <w:t> </w:t>
      </w:r>
      <w:r>
        <w:rPr>
          <w:i/>
          <w:color w:val="231F20"/>
          <w:sz w:val="20"/>
        </w:rPr>
        <w:t>вдруг</w:t>
      </w:r>
      <w:r>
        <w:rPr>
          <w:i/>
          <w:color w:val="231F20"/>
          <w:spacing w:val="-5"/>
          <w:sz w:val="20"/>
        </w:rPr>
        <w:t> </w:t>
      </w:r>
      <w:r>
        <w:rPr>
          <w:i/>
          <w:color w:val="231F20"/>
          <w:sz w:val="20"/>
        </w:rPr>
        <w:t>видят</w:t>
      </w:r>
      <w:r>
        <w:rPr>
          <w:i/>
          <w:color w:val="231F20"/>
          <w:spacing w:val="-5"/>
          <w:sz w:val="20"/>
        </w:rPr>
        <w:t> </w:t>
      </w:r>
      <w:r>
        <w:rPr>
          <w:i/>
          <w:color w:val="231F20"/>
          <w:sz w:val="20"/>
        </w:rPr>
        <w:t>страшную</w:t>
      </w:r>
      <w:r>
        <w:rPr>
          <w:i/>
          <w:color w:val="231F20"/>
          <w:spacing w:val="-5"/>
          <w:sz w:val="20"/>
        </w:rPr>
        <w:t> </w:t>
      </w:r>
      <w:r>
        <w:rPr>
          <w:i/>
          <w:color w:val="231F20"/>
          <w:sz w:val="20"/>
        </w:rPr>
        <w:t>девочку.</w:t>
      </w:r>
      <w:r>
        <w:rPr>
          <w:i/>
          <w:color w:val="231F20"/>
          <w:spacing w:val="-5"/>
          <w:sz w:val="20"/>
        </w:rPr>
        <w:t> </w:t>
      </w:r>
      <w:r>
        <w:rPr>
          <w:i/>
          <w:color w:val="231F20"/>
          <w:sz w:val="20"/>
        </w:rPr>
        <w:t>Она напала на них и хотела убить Супермена. Но друзья его спасли – взяли, что-то бро- сили в нее, и она умерла.</w:t>
      </w:r>
    </w:p>
    <w:p>
      <w:pPr>
        <w:spacing w:line="235" w:lineRule="auto" w:before="1"/>
        <w:ind w:left="141" w:right="139" w:firstLine="283"/>
        <w:jc w:val="both"/>
        <w:rPr>
          <w:i/>
          <w:sz w:val="20"/>
        </w:rPr>
      </w:pPr>
      <w:r>
        <w:rPr>
          <w:i/>
          <w:color w:val="231F20"/>
          <w:sz w:val="20"/>
        </w:rPr>
        <w:t>А у этой девочки был муж. Он хотел ее найти, искал-искал, наконец, нашел и видит – она умерла. Заплакал он горючими слезами и решил взять нож, чтобы себя убить. Но тут ему пришла в голову мысль: «А может быть что-то можно сде- лать?».</w:t>
      </w:r>
      <w:r>
        <w:rPr>
          <w:i/>
          <w:color w:val="231F20"/>
          <w:spacing w:val="-6"/>
          <w:sz w:val="20"/>
        </w:rPr>
        <w:t> </w:t>
      </w:r>
      <w:r>
        <w:rPr>
          <w:i/>
          <w:color w:val="231F20"/>
          <w:sz w:val="20"/>
        </w:rPr>
        <w:t>Подумал</w:t>
      </w:r>
      <w:r>
        <w:rPr>
          <w:i/>
          <w:color w:val="231F20"/>
          <w:spacing w:val="-6"/>
          <w:sz w:val="20"/>
        </w:rPr>
        <w:t> </w:t>
      </w:r>
      <w:r>
        <w:rPr>
          <w:i/>
          <w:color w:val="231F20"/>
          <w:sz w:val="20"/>
        </w:rPr>
        <w:t>он</w:t>
      </w:r>
      <w:r>
        <w:rPr>
          <w:i/>
          <w:color w:val="231F20"/>
          <w:spacing w:val="-6"/>
          <w:sz w:val="20"/>
        </w:rPr>
        <w:t> </w:t>
      </w:r>
      <w:r>
        <w:rPr>
          <w:i/>
          <w:color w:val="231F20"/>
          <w:sz w:val="20"/>
        </w:rPr>
        <w:t>и</w:t>
      </w:r>
      <w:r>
        <w:rPr>
          <w:i/>
          <w:color w:val="231F20"/>
          <w:spacing w:val="-6"/>
          <w:sz w:val="20"/>
        </w:rPr>
        <w:t> </w:t>
      </w:r>
      <w:r>
        <w:rPr>
          <w:i/>
          <w:color w:val="231F20"/>
          <w:sz w:val="20"/>
        </w:rPr>
        <w:t>пошел</w:t>
      </w:r>
      <w:r>
        <w:rPr>
          <w:i/>
          <w:color w:val="231F20"/>
          <w:spacing w:val="-6"/>
          <w:sz w:val="20"/>
        </w:rPr>
        <w:t> </w:t>
      </w:r>
      <w:r>
        <w:rPr>
          <w:i/>
          <w:color w:val="231F20"/>
          <w:sz w:val="20"/>
        </w:rPr>
        <w:t>к</w:t>
      </w:r>
      <w:r>
        <w:rPr>
          <w:i/>
          <w:color w:val="231F20"/>
          <w:spacing w:val="-6"/>
          <w:sz w:val="20"/>
        </w:rPr>
        <w:t> </w:t>
      </w:r>
      <w:r>
        <w:rPr>
          <w:i/>
          <w:color w:val="231F20"/>
          <w:sz w:val="20"/>
        </w:rPr>
        <w:t>волшебнику.</w:t>
      </w:r>
      <w:r>
        <w:rPr>
          <w:i/>
          <w:color w:val="231F20"/>
          <w:spacing w:val="-6"/>
          <w:sz w:val="20"/>
        </w:rPr>
        <w:t> </w:t>
      </w:r>
      <w:r>
        <w:rPr>
          <w:i/>
          <w:color w:val="231F20"/>
          <w:sz w:val="20"/>
        </w:rPr>
        <w:t>Тот</w:t>
      </w:r>
      <w:r>
        <w:rPr>
          <w:i/>
          <w:color w:val="231F20"/>
          <w:spacing w:val="-6"/>
          <w:sz w:val="20"/>
        </w:rPr>
        <w:t> </w:t>
      </w:r>
      <w:r>
        <w:rPr>
          <w:i/>
          <w:color w:val="231F20"/>
          <w:sz w:val="20"/>
        </w:rPr>
        <w:t>дал</w:t>
      </w:r>
      <w:r>
        <w:rPr>
          <w:i/>
          <w:color w:val="231F20"/>
          <w:spacing w:val="-6"/>
          <w:sz w:val="20"/>
        </w:rPr>
        <w:t> </w:t>
      </w:r>
      <w:r>
        <w:rPr>
          <w:i/>
          <w:color w:val="231F20"/>
          <w:sz w:val="20"/>
        </w:rPr>
        <w:t>ему</w:t>
      </w:r>
      <w:r>
        <w:rPr>
          <w:i/>
          <w:color w:val="231F20"/>
          <w:spacing w:val="-6"/>
          <w:sz w:val="20"/>
        </w:rPr>
        <w:t> </w:t>
      </w:r>
      <w:r>
        <w:rPr>
          <w:i/>
          <w:color w:val="231F20"/>
          <w:sz w:val="20"/>
        </w:rPr>
        <w:t>живую</w:t>
      </w:r>
      <w:r>
        <w:rPr>
          <w:i/>
          <w:color w:val="231F20"/>
          <w:spacing w:val="-6"/>
          <w:sz w:val="20"/>
        </w:rPr>
        <w:t> </w:t>
      </w:r>
      <w:r>
        <w:rPr>
          <w:i/>
          <w:color w:val="231F20"/>
          <w:sz w:val="20"/>
        </w:rPr>
        <w:t>воду.</w:t>
      </w:r>
      <w:r>
        <w:rPr>
          <w:i/>
          <w:color w:val="231F20"/>
          <w:spacing w:val="-6"/>
          <w:sz w:val="20"/>
        </w:rPr>
        <w:t> </w:t>
      </w:r>
      <w:r>
        <w:rPr>
          <w:i/>
          <w:color w:val="231F20"/>
          <w:sz w:val="20"/>
        </w:rPr>
        <w:t>Он</w:t>
      </w:r>
      <w:r>
        <w:rPr>
          <w:i/>
          <w:color w:val="231F20"/>
          <w:spacing w:val="-6"/>
          <w:sz w:val="20"/>
        </w:rPr>
        <w:t> </w:t>
      </w:r>
      <w:r>
        <w:rPr>
          <w:i/>
          <w:color w:val="231F20"/>
          <w:sz w:val="20"/>
        </w:rPr>
        <w:t>принес</w:t>
      </w:r>
      <w:r>
        <w:rPr>
          <w:i/>
          <w:color w:val="231F20"/>
          <w:spacing w:val="-6"/>
          <w:sz w:val="20"/>
        </w:rPr>
        <w:t> </w:t>
      </w:r>
      <w:r>
        <w:rPr>
          <w:i/>
          <w:color w:val="231F20"/>
          <w:sz w:val="20"/>
        </w:rPr>
        <w:t>воду, полил</w:t>
      </w:r>
      <w:r>
        <w:rPr>
          <w:i/>
          <w:color w:val="231F20"/>
          <w:spacing w:val="-6"/>
          <w:sz w:val="20"/>
        </w:rPr>
        <w:t> </w:t>
      </w:r>
      <w:r>
        <w:rPr>
          <w:i/>
          <w:color w:val="231F20"/>
          <w:sz w:val="20"/>
        </w:rPr>
        <w:t>на</w:t>
      </w:r>
      <w:r>
        <w:rPr>
          <w:i/>
          <w:color w:val="231F20"/>
          <w:spacing w:val="-6"/>
          <w:sz w:val="20"/>
        </w:rPr>
        <w:t> </w:t>
      </w:r>
      <w:r>
        <w:rPr>
          <w:i/>
          <w:color w:val="231F20"/>
          <w:sz w:val="20"/>
        </w:rPr>
        <w:t>страшную</w:t>
      </w:r>
      <w:r>
        <w:rPr>
          <w:i/>
          <w:color w:val="231F20"/>
          <w:spacing w:val="-6"/>
          <w:sz w:val="20"/>
        </w:rPr>
        <w:t> </w:t>
      </w:r>
      <w:r>
        <w:rPr>
          <w:i/>
          <w:color w:val="231F20"/>
          <w:sz w:val="20"/>
        </w:rPr>
        <w:t>девочку</w:t>
      </w:r>
      <w:r>
        <w:rPr>
          <w:i/>
          <w:color w:val="231F20"/>
          <w:spacing w:val="-6"/>
          <w:sz w:val="20"/>
        </w:rPr>
        <w:t> </w:t>
      </w:r>
      <w:r>
        <w:rPr>
          <w:i/>
          <w:color w:val="231F20"/>
          <w:sz w:val="20"/>
        </w:rPr>
        <w:t>и</w:t>
      </w:r>
      <w:r>
        <w:rPr>
          <w:i/>
          <w:color w:val="231F20"/>
          <w:spacing w:val="-6"/>
          <w:sz w:val="20"/>
        </w:rPr>
        <w:t> </w:t>
      </w:r>
      <w:r>
        <w:rPr>
          <w:i/>
          <w:color w:val="231F20"/>
          <w:sz w:val="20"/>
        </w:rPr>
        <w:t>она</w:t>
      </w:r>
      <w:r>
        <w:rPr>
          <w:i/>
          <w:color w:val="231F20"/>
          <w:spacing w:val="-6"/>
          <w:sz w:val="20"/>
        </w:rPr>
        <w:t> </w:t>
      </w:r>
      <w:r>
        <w:rPr>
          <w:i/>
          <w:color w:val="231F20"/>
          <w:sz w:val="20"/>
        </w:rPr>
        <w:t>ожила.</w:t>
      </w:r>
      <w:r>
        <w:rPr>
          <w:i/>
          <w:color w:val="231F20"/>
          <w:spacing w:val="-6"/>
          <w:sz w:val="20"/>
        </w:rPr>
        <w:t> </w:t>
      </w:r>
      <w:r>
        <w:rPr>
          <w:i/>
          <w:color w:val="231F20"/>
          <w:sz w:val="20"/>
        </w:rPr>
        <w:t>Открыла</w:t>
      </w:r>
      <w:r>
        <w:rPr>
          <w:i/>
          <w:color w:val="231F20"/>
          <w:spacing w:val="-6"/>
          <w:sz w:val="20"/>
        </w:rPr>
        <w:t> </w:t>
      </w:r>
      <w:r>
        <w:rPr>
          <w:i/>
          <w:color w:val="231F20"/>
          <w:sz w:val="20"/>
        </w:rPr>
        <w:t>она</w:t>
      </w:r>
      <w:r>
        <w:rPr>
          <w:i/>
          <w:color w:val="231F20"/>
          <w:spacing w:val="-6"/>
          <w:sz w:val="20"/>
        </w:rPr>
        <w:t> </w:t>
      </w:r>
      <w:r>
        <w:rPr>
          <w:i/>
          <w:color w:val="231F20"/>
          <w:sz w:val="20"/>
        </w:rPr>
        <w:t>глаза</w:t>
      </w:r>
      <w:r>
        <w:rPr>
          <w:i/>
          <w:color w:val="231F20"/>
          <w:spacing w:val="-6"/>
          <w:sz w:val="20"/>
        </w:rPr>
        <w:t> </w:t>
      </w:r>
      <w:r>
        <w:rPr>
          <w:i/>
          <w:color w:val="231F20"/>
          <w:sz w:val="20"/>
        </w:rPr>
        <w:t>и</w:t>
      </w:r>
      <w:r>
        <w:rPr>
          <w:i/>
          <w:color w:val="231F20"/>
          <w:spacing w:val="-6"/>
          <w:sz w:val="20"/>
        </w:rPr>
        <w:t> </w:t>
      </w:r>
      <w:r>
        <w:rPr>
          <w:i/>
          <w:color w:val="231F20"/>
          <w:sz w:val="20"/>
        </w:rPr>
        <w:t>говорит:</w:t>
      </w:r>
      <w:r>
        <w:rPr>
          <w:i/>
          <w:color w:val="231F20"/>
          <w:spacing w:val="-6"/>
          <w:sz w:val="20"/>
        </w:rPr>
        <w:t> </w:t>
      </w:r>
      <w:r>
        <w:rPr>
          <w:i/>
          <w:color w:val="231F20"/>
          <w:sz w:val="20"/>
        </w:rPr>
        <w:t>«Ой,</w:t>
      </w:r>
      <w:r>
        <w:rPr>
          <w:i/>
          <w:color w:val="231F20"/>
          <w:spacing w:val="-6"/>
          <w:sz w:val="20"/>
        </w:rPr>
        <w:t> </w:t>
      </w:r>
      <w:r>
        <w:rPr>
          <w:i/>
          <w:color w:val="231F20"/>
          <w:sz w:val="20"/>
        </w:rPr>
        <w:t>что</w:t>
      </w:r>
      <w:r>
        <w:rPr>
          <w:i/>
          <w:color w:val="231F20"/>
          <w:spacing w:val="-6"/>
          <w:sz w:val="20"/>
        </w:rPr>
        <w:t> </w:t>
      </w:r>
      <w:r>
        <w:rPr>
          <w:i/>
          <w:color w:val="231F20"/>
          <w:sz w:val="20"/>
        </w:rPr>
        <w:t>со мной было!?».</w:t>
      </w:r>
    </w:p>
    <w:p>
      <w:pPr>
        <w:pStyle w:val="ListParagraph"/>
        <w:numPr>
          <w:ilvl w:val="0"/>
          <w:numId w:val="215"/>
        </w:numPr>
        <w:tabs>
          <w:tab w:pos="575" w:val="left" w:leader="none"/>
        </w:tabs>
        <w:spacing w:line="228" w:lineRule="exact" w:before="0" w:after="0"/>
        <w:ind w:left="575" w:right="0" w:hanging="150"/>
        <w:jc w:val="both"/>
        <w:rPr>
          <w:i/>
          <w:sz w:val="20"/>
        </w:rPr>
      </w:pPr>
      <w:r>
        <w:rPr>
          <w:i/>
          <w:color w:val="231F20"/>
          <w:sz w:val="20"/>
        </w:rPr>
        <w:t>Ты</w:t>
      </w:r>
      <w:r>
        <w:rPr>
          <w:i/>
          <w:color w:val="231F20"/>
          <w:spacing w:val="-6"/>
          <w:sz w:val="20"/>
        </w:rPr>
        <w:t> </w:t>
      </w:r>
      <w:r>
        <w:rPr>
          <w:i/>
          <w:color w:val="231F20"/>
          <w:sz w:val="20"/>
        </w:rPr>
        <w:t>умерла,</w:t>
      </w:r>
      <w:r>
        <w:rPr>
          <w:i/>
          <w:color w:val="231F20"/>
          <w:spacing w:val="-5"/>
          <w:sz w:val="20"/>
        </w:rPr>
        <w:t> </w:t>
      </w:r>
      <w:r>
        <w:rPr>
          <w:i/>
          <w:color w:val="231F20"/>
          <w:sz w:val="20"/>
        </w:rPr>
        <w:t>а</w:t>
      </w:r>
      <w:r>
        <w:rPr>
          <w:i/>
          <w:color w:val="231F20"/>
          <w:spacing w:val="-4"/>
          <w:sz w:val="20"/>
        </w:rPr>
        <w:t> </w:t>
      </w:r>
      <w:r>
        <w:rPr>
          <w:i/>
          <w:color w:val="231F20"/>
          <w:sz w:val="20"/>
        </w:rPr>
        <w:t>теперь</w:t>
      </w:r>
      <w:r>
        <w:rPr>
          <w:i/>
          <w:color w:val="231F20"/>
          <w:spacing w:val="-6"/>
          <w:sz w:val="20"/>
        </w:rPr>
        <w:t> </w:t>
      </w:r>
      <w:r>
        <w:rPr>
          <w:i/>
          <w:color w:val="231F20"/>
          <w:sz w:val="20"/>
        </w:rPr>
        <w:t>ты</w:t>
      </w:r>
      <w:r>
        <w:rPr>
          <w:i/>
          <w:color w:val="231F20"/>
          <w:spacing w:val="-5"/>
          <w:sz w:val="20"/>
        </w:rPr>
        <w:t> </w:t>
      </w:r>
      <w:r>
        <w:rPr>
          <w:i/>
          <w:color w:val="231F20"/>
          <w:sz w:val="20"/>
        </w:rPr>
        <w:t>ожила.</w:t>
      </w:r>
      <w:r>
        <w:rPr>
          <w:i/>
          <w:color w:val="231F20"/>
          <w:spacing w:val="-5"/>
          <w:sz w:val="20"/>
        </w:rPr>
        <w:t> </w:t>
      </w:r>
      <w:r>
        <w:rPr>
          <w:i/>
          <w:color w:val="231F20"/>
          <w:sz w:val="20"/>
        </w:rPr>
        <w:t>Я</w:t>
      </w:r>
      <w:r>
        <w:rPr>
          <w:i/>
          <w:color w:val="231F20"/>
          <w:spacing w:val="-5"/>
          <w:sz w:val="20"/>
        </w:rPr>
        <w:t> </w:t>
      </w:r>
      <w:r>
        <w:rPr>
          <w:i/>
          <w:color w:val="231F20"/>
          <w:sz w:val="20"/>
        </w:rPr>
        <w:t>тебя</w:t>
      </w:r>
      <w:r>
        <w:rPr>
          <w:i/>
          <w:color w:val="231F20"/>
          <w:spacing w:val="-5"/>
          <w:sz w:val="20"/>
        </w:rPr>
        <w:t> </w:t>
      </w:r>
      <w:r>
        <w:rPr>
          <w:i/>
          <w:color w:val="231F20"/>
          <w:sz w:val="20"/>
        </w:rPr>
        <w:t>оживил,</w:t>
      </w:r>
      <w:r>
        <w:rPr>
          <w:i/>
          <w:color w:val="231F20"/>
          <w:spacing w:val="-4"/>
          <w:sz w:val="20"/>
        </w:rPr>
        <w:t> </w:t>
      </w:r>
      <w:r>
        <w:rPr>
          <w:i/>
          <w:color w:val="231F20"/>
          <w:sz w:val="20"/>
        </w:rPr>
        <w:t>–</w:t>
      </w:r>
      <w:r>
        <w:rPr>
          <w:i/>
          <w:color w:val="231F20"/>
          <w:spacing w:val="-5"/>
          <w:sz w:val="20"/>
        </w:rPr>
        <w:t> </w:t>
      </w:r>
      <w:r>
        <w:rPr>
          <w:i/>
          <w:color w:val="231F20"/>
          <w:sz w:val="20"/>
        </w:rPr>
        <w:t>говорит</w:t>
      </w:r>
      <w:r>
        <w:rPr>
          <w:i/>
          <w:color w:val="231F20"/>
          <w:spacing w:val="-5"/>
          <w:sz w:val="20"/>
        </w:rPr>
        <w:t> </w:t>
      </w:r>
      <w:r>
        <w:rPr>
          <w:i/>
          <w:color w:val="231F20"/>
          <w:spacing w:val="-4"/>
          <w:sz w:val="20"/>
        </w:rPr>
        <w:t>муж.</w:t>
      </w:r>
    </w:p>
    <w:p>
      <w:pPr>
        <w:pStyle w:val="ListParagraph"/>
        <w:numPr>
          <w:ilvl w:val="0"/>
          <w:numId w:val="215"/>
        </w:numPr>
        <w:tabs>
          <w:tab w:pos="575" w:val="left" w:leader="none"/>
        </w:tabs>
        <w:spacing w:line="235" w:lineRule="auto" w:before="2" w:after="0"/>
        <w:ind w:left="141" w:right="139" w:firstLine="283"/>
        <w:jc w:val="both"/>
        <w:rPr>
          <w:i/>
          <w:sz w:val="20"/>
        </w:rPr>
      </w:pPr>
      <w:r>
        <w:rPr>
          <w:i/>
          <w:color w:val="231F20"/>
          <w:sz w:val="20"/>
        </w:rPr>
        <w:t>Ой,</w:t>
      </w:r>
      <w:r>
        <w:rPr>
          <w:i/>
          <w:color w:val="231F20"/>
          <w:spacing w:val="-3"/>
          <w:sz w:val="20"/>
        </w:rPr>
        <w:t> </w:t>
      </w:r>
      <w:r>
        <w:rPr>
          <w:i/>
          <w:color w:val="231F20"/>
          <w:sz w:val="20"/>
        </w:rPr>
        <w:t>спасибо.</w:t>
      </w:r>
      <w:r>
        <w:rPr>
          <w:i/>
          <w:color w:val="231F20"/>
          <w:spacing w:val="-3"/>
          <w:sz w:val="20"/>
        </w:rPr>
        <w:t> </w:t>
      </w:r>
      <w:r>
        <w:rPr>
          <w:i/>
          <w:color w:val="231F20"/>
          <w:sz w:val="20"/>
        </w:rPr>
        <w:t>Ты</w:t>
      </w:r>
      <w:r>
        <w:rPr>
          <w:i/>
          <w:color w:val="231F20"/>
          <w:spacing w:val="-3"/>
          <w:sz w:val="20"/>
        </w:rPr>
        <w:t> </w:t>
      </w:r>
      <w:r>
        <w:rPr>
          <w:i/>
          <w:color w:val="231F20"/>
          <w:sz w:val="20"/>
        </w:rPr>
        <w:t>знаешь,</w:t>
      </w:r>
      <w:r>
        <w:rPr>
          <w:i/>
          <w:color w:val="231F20"/>
          <w:spacing w:val="-3"/>
          <w:sz w:val="20"/>
        </w:rPr>
        <w:t> </w:t>
      </w:r>
      <w:r>
        <w:rPr>
          <w:i/>
          <w:color w:val="231F20"/>
          <w:sz w:val="20"/>
        </w:rPr>
        <w:t>я</w:t>
      </w:r>
      <w:r>
        <w:rPr>
          <w:i/>
          <w:color w:val="231F20"/>
          <w:spacing w:val="-3"/>
          <w:sz w:val="20"/>
        </w:rPr>
        <w:t> </w:t>
      </w:r>
      <w:r>
        <w:rPr>
          <w:i/>
          <w:color w:val="231F20"/>
          <w:sz w:val="20"/>
        </w:rPr>
        <w:t>была</w:t>
      </w:r>
      <w:r>
        <w:rPr>
          <w:i/>
          <w:color w:val="231F20"/>
          <w:spacing w:val="-3"/>
          <w:sz w:val="20"/>
        </w:rPr>
        <w:t> </w:t>
      </w:r>
      <w:r>
        <w:rPr>
          <w:i/>
          <w:color w:val="231F20"/>
          <w:sz w:val="20"/>
        </w:rPr>
        <w:t>страшная</w:t>
      </w:r>
      <w:r>
        <w:rPr>
          <w:i/>
          <w:color w:val="231F20"/>
          <w:spacing w:val="-3"/>
          <w:sz w:val="20"/>
        </w:rPr>
        <w:t> </w:t>
      </w:r>
      <w:r>
        <w:rPr>
          <w:i/>
          <w:color w:val="231F20"/>
          <w:sz w:val="20"/>
        </w:rPr>
        <w:t>и</w:t>
      </w:r>
      <w:r>
        <w:rPr>
          <w:i/>
          <w:color w:val="231F20"/>
          <w:spacing w:val="-3"/>
          <w:sz w:val="20"/>
        </w:rPr>
        <w:t> </w:t>
      </w:r>
      <w:r>
        <w:rPr>
          <w:i/>
          <w:color w:val="231F20"/>
          <w:sz w:val="20"/>
        </w:rPr>
        <w:t>хотела</w:t>
      </w:r>
      <w:r>
        <w:rPr>
          <w:i/>
          <w:color w:val="231F20"/>
          <w:spacing w:val="-3"/>
          <w:sz w:val="20"/>
        </w:rPr>
        <w:t> </w:t>
      </w:r>
      <w:r>
        <w:rPr>
          <w:i/>
          <w:color w:val="231F20"/>
          <w:sz w:val="20"/>
        </w:rPr>
        <w:t>убить</w:t>
      </w:r>
      <w:r>
        <w:rPr>
          <w:i/>
          <w:color w:val="231F20"/>
          <w:spacing w:val="-3"/>
          <w:sz w:val="20"/>
        </w:rPr>
        <w:t> </w:t>
      </w:r>
      <w:r>
        <w:rPr>
          <w:i/>
          <w:color w:val="231F20"/>
          <w:sz w:val="20"/>
        </w:rPr>
        <w:t>Бэтмена.</w:t>
      </w:r>
      <w:r>
        <w:rPr>
          <w:i/>
          <w:color w:val="231F20"/>
          <w:spacing w:val="-3"/>
          <w:sz w:val="20"/>
        </w:rPr>
        <w:t> </w:t>
      </w:r>
      <w:r>
        <w:rPr>
          <w:i/>
          <w:color w:val="231F20"/>
          <w:sz w:val="20"/>
        </w:rPr>
        <w:t>Но</w:t>
      </w:r>
      <w:r>
        <w:rPr>
          <w:i/>
          <w:color w:val="231F20"/>
          <w:spacing w:val="-3"/>
          <w:sz w:val="20"/>
        </w:rPr>
        <w:t> </w:t>
      </w:r>
      <w:r>
        <w:rPr>
          <w:i/>
          <w:color w:val="231F20"/>
          <w:sz w:val="20"/>
        </w:rPr>
        <w:t>теперь я поняла – я хочу быть доброй.</w:t>
      </w:r>
    </w:p>
    <w:p>
      <w:pPr>
        <w:spacing w:line="235" w:lineRule="auto" w:before="1"/>
        <w:ind w:left="141" w:right="139" w:firstLine="283"/>
        <w:jc w:val="right"/>
        <w:rPr>
          <w:i/>
          <w:sz w:val="20"/>
        </w:rPr>
      </w:pPr>
      <w:r>
        <w:rPr>
          <w:i/>
          <w:color w:val="231F20"/>
          <w:sz w:val="20"/>
        </w:rPr>
        <w:t>И</w:t>
      </w:r>
      <w:r>
        <w:rPr>
          <w:i/>
          <w:color w:val="231F20"/>
          <w:spacing w:val="-6"/>
          <w:sz w:val="20"/>
        </w:rPr>
        <w:t> </w:t>
      </w:r>
      <w:r>
        <w:rPr>
          <w:i/>
          <w:color w:val="231F20"/>
          <w:sz w:val="20"/>
        </w:rPr>
        <w:t>они</w:t>
      </w:r>
      <w:r>
        <w:rPr>
          <w:i/>
          <w:color w:val="231F20"/>
          <w:spacing w:val="-6"/>
          <w:sz w:val="20"/>
        </w:rPr>
        <w:t> </w:t>
      </w:r>
      <w:r>
        <w:rPr>
          <w:i/>
          <w:color w:val="231F20"/>
          <w:sz w:val="20"/>
        </w:rPr>
        <w:t>построили</w:t>
      </w:r>
      <w:r>
        <w:rPr>
          <w:i/>
          <w:color w:val="231F20"/>
          <w:spacing w:val="-6"/>
          <w:sz w:val="20"/>
        </w:rPr>
        <w:t> </w:t>
      </w:r>
      <w:r>
        <w:rPr>
          <w:i/>
          <w:color w:val="231F20"/>
          <w:sz w:val="20"/>
        </w:rPr>
        <w:t>большой</w:t>
      </w:r>
      <w:r>
        <w:rPr>
          <w:i/>
          <w:color w:val="231F20"/>
          <w:spacing w:val="-6"/>
          <w:sz w:val="20"/>
        </w:rPr>
        <w:t> </w:t>
      </w:r>
      <w:r>
        <w:rPr>
          <w:i/>
          <w:color w:val="231F20"/>
          <w:sz w:val="20"/>
        </w:rPr>
        <w:t>дом,</w:t>
      </w:r>
      <w:r>
        <w:rPr>
          <w:i/>
          <w:color w:val="231F20"/>
          <w:spacing w:val="-6"/>
          <w:sz w:val="20"/>
        </w:rPr>
        <w:t> </w:t>
      </w:r>
      <w:r>
        <w:rPr>
          <w:i/>
          <w:color w:val="231F20"/>
          <w:sz w:val="20"/>
        </w:rPr>
        <w:t>у</w:t>
      </w:r>
      <w:r>
        <w:rPr>
          <w:i/>
          <w:color w:val="231F20"/>
          <w:spacing w:val="-6"/>
          <w:sz w:val="20"/>
        </w:rPr>
        <w:t> </w:t>
      </w:r>
      <w:r>
        <w:rPr>
          <w:i/>
          <w:color w:val="231F20"/>
          <w:sz w:val="20"/>
        </w:rPr>
        <w:t>них</w:t>
      </w:r>
      <w:r>
        <w:rPr>
          <w:i/>
          <w:color w:val="231F20"/>
          <w:spacing w:val="-6"/>
          <w:sz w:val="20"/>
        </w:rPr>
        <w:t> </w:t>
      </w:r>
      <w:r>
        <w:rPr>
          <w:i/>
          <w:color w:val="231F20"/>
          <w:sz w:val="20"/>
        </w:rPr>
        <w:t>было</w:t>
      </w:r>
      <w:r>
        <w:rPr>
          <w:i/>
          <w:color w:val="231F20"/>
          <w:spacing w:val="-6"/>
          <w:sz w:val="20"/>
        </w:rPr>
        <w:t> </w:t>
      </w:r>
      <w:r>
        <w:rPr>
          <w:i/>
          <w:color w:val="231F20"/>
          <w:sz w:val="20"/>
        </w:rPr>
        <w:t>много</w:t>
      </w:r>
      <w:r>
        <w:rPr>
          <w:i/>
          <w:color w:val="231F20"/>
          <w:spacing w:val="-6"/>
          <w:sz w:val="20"/>
        </w:rPr>
        <w:t> </w:t>
      </w:r>
      <w:r>
        <w:rPr>
          <w:i/>
          <w:color w:val="231F20"/>
          <w:sz w:val="20"/>
        </w:rPr>
        <w:t>вкусной</w:t>
      </w:r>
      <w:r>
        <w:rPr>
          <w:i/>
          <w:color w:val="231F20"/>
          <w:spacing w:val="-6"/>
          <w:sz w:val="20"/>
        </w:rPr>
        <w:t> </w:t>
      </w:r>
      <w:r>
        <w:rPr>
          <w:i/>
          <w:color w:val="231F20"/>
          <w:sz w:val="20"/>
        </w:rPr>
        <w:t>еды,</w:t>
      </w:r>
      <w:r>
        <w:rPr>
          <w:i/>
          <w:color w:val="231F20"/>
          <w:spacing w:val="-6"/>
          <w:sz w:val="20"/>
        </w:rPr>
        <w:t> </w:t>
      </w:r>
      <w:r>
        <w:rPr>
          <w:i/>
          <w:color w:val="231F20"/>
          <w:sz w:val="20"/>
        </w:rPr>
        <w:t>и</w:t>
      </w:r>
      <w:r>
        <w:rPr>
          <w:i/>
          <w:color w:val="231F20"/>
          <w:spacing w:val="-6"/>
          <w:sz w:val="20"/>
        </w:rPr>
        <w:t> </w:t>
      </w:r>
      <w:r>
        <w:rPr>
          <w:i/>
          <w:color w:val="231F20"/>
          <w:sz w:val="20"/>
        </w:rPr>
        <w:t>они</w:t>
      </w:r>
      <w:r>
        <w:rPr>
          <w:i/>
          <w:color w:val="231F20"/>
          <w:spacing w:val="-6"/>
          <w:sz w:val="20"/>
        </w:rPr>
        <w:t> </w:t>
      </w:r>
      <w:r>
        <w:rPr>
          <w:i/>
          <w:color w:val="231F20"/>
          <w:sz w:val="20"/>
        </w:rPr>
        <w:t>всех</w:t>
      </w:r>
      <w:r>
        <w:rPr>
          <w:i/>
          <w:color w:val="231F20"/>
          <w:spacing w:val="-6"/>
          <w:sz w:val="20"/>
        </w:rPr>
        <w:t> </w:t>
      </w:r>
      <w:r>
        <w:rPr>
          <w:i/>
          <w:color w:val="231F20"/>
          <w:sz w:val="20"/>
        </w:rPr>
        <w:t>угощали. А с Бэтменом и его друзьями случилось вот что. На другой год у них кончилась</w:t>
      </w:r>
      <w:r>
        <w:rPr>
          <w:i/>
          <w:color w:val="231F20"/>
          <w:spacing w:val="80"/>
          <w:sz w:val="20"/>
        </w:rPr>
        <w:t> </w:t>
      </w:r>
      <w:r>
        <w:rPr>
          <w:i/>
          <w:color w:val="231F20"/>
          <w:sz w:val="20"/>
        </w:rPr>
        <w:t>вода</w:t>
      </w:r>
      <w:r>
        <w:rPr>
          <w:i/>
          <w:color w:val="231F20"/>
          <w:spacing w:val="-8"/>
          <w:sz w:val="20"/>
        </w:rPr>
        <w:t> </w:t>
      </w:r>
      <w:r>
        <w:rPr>
          <w:i/>
          <w:color w:val="231F20"/>
          <w:sz w:val="20"/>
        </w:rPr>
        <w:t>и</w:t>
      </w:r>
      <w:r>
        <w:rPr>
          <w:i/>
          <w:color w:val="231F20"/>
          <w:spacing w:val="-8"/>
          <w:sz w:val="20"/>
        </w:rPr>
        <w:t> </w:t>
      </w:r>
      <w:r>
        <w:rPr>
          <w:i/>
          <w:color w:val="231F20"/>
          <w:sz w:val="20"/>
        </w:rPr>
        <w:t>еда.</w:t>
      </w:r>
      <w:r>
        <w:rPr>
          <w:i/>
          <w:color w:val="231F20"/>
          <w:spacing w:val="-8"/>
          <w:sz w:val="20"/>
        </w:rPr>
        <w:t> </w:t>
      </w:r>
      <w:r>
        <w:rPr>
          <w:i/>
          <w:color w:val="231F20"/>
          <w:sz w:val="20"/>
        </w:rPr>
        <w:t>Что</w:t>
      </w:r>
      <w:r>
        <w:rPr>
          <w:i/>
          <w:color w:val="231F20"/>
          <w:spacing w:val="-8"/>
          <w:sz w:val="20"/>
        </w:rPr>
        <w:t> </w:t>
      </w:r>
      <w:r>
        <w:rPr>
          <w:i/>
          <w:color w:val="231F20"/>
          <w:sz w:val="20"/>
        </w:rPr>
        <w:t>же</w:t>
      </w:r>
      <w:r>
        <w:rPr>
          <w:i/>
          <w:color w:val="231F20"/>
          <w:spacing w:val="-8"/>
          <w:sz w:val="20"/>
        </w:rPr>
        <w:t> </w:t>
      </w:r>
      <w:r>
        <w:rPr>
          <w:i/>
          <w:color w:val="231F20"/>
          <w:sz w:val="20"/>
        </w:rPr>
        <w:t>им</w:t>
      </w:r>
      <w:r>
        <w:rPr>
          <w:i/>
          <w:color w:val="231F20"/>
          <w:spacing w:val="-8"/>
          <w:sz w:val="20"/>
        </w:rPr>
        <w:t> </w:t>
      </w:r>
      <w:r>
        <w:rPr>
          <w:i/>
          <w:color w:val="231F20"/>
          <w:sz w:val="20"/>
        </w:rPr>
        <w:t>делать?</w:t>
      </w:r>
      <w:r>
        <w:rPr>
          <w:i/>
          <w:color w:val="231F20"/>
          <w:spacing w:val="-8"/>
          <w:sz w:val="20"/>
        </w:rPr>
        <w:t> </w:t>
      </w:r>
      <w:r>
        <w:rPr>
          <w:i/>
          <w:color w:val="231F20"/>
          <w:sz w:val="20"/>
        </w:rPr>
        <w:t>Решили</w:t>
      </w:r>
      <w:r>
        <w:rPr>
          <w:i/>
          <w:color w:val="231F20"/>
          <w:spacing w:val="-8"/>
          <w:sz w:val="20"/>
        </w:rPr>
        <w:t> </w:t>
      </w:r>
      <w:r>
        <w:rPr>
          <w:i/>
          <w:color w:val="231F20"/>
          <w:sz w:val="20"/>
        </w:rPr>
        <w:t>друзья,</w:t>
      </w:r>
      <w:r>
        <w:rPr>
          <w:i/>
          <w:color w:val="231F20"/>
          <w:spacing w:val="-8"/>
          <w:sz w:val="20"/>
        </w:rPr>
        <w:t> </w:t>
      </w:r>
      <w:r>
        <w:rPr>
          <w:i/>
          <w:color w:val="231F20"/>
          <w:sz w:val="20"/>
        </w:rPr>
        <w:t>что</w:t>
      </w:r>
      <w:r>
        <w:rPr>
          <w:i/>
          <w:color w:val="231F20"/>
          <w:spacing w:val="-8"/>
          <w:sz w:val="20"/>
        </w:rPr>
        <w:t> </w:t>
      </w:r>
      <w:r>
        <w:rPr>
          <w:i/>
          <w:color w:val="231F20"/>
          <w:sz w:val="20"/>
        </w:rPr>
        <w:t>пора</w:t>
      </w:r>
      <w:r>
        <w:rPr>
          <w:i/>
          <w:color w:val="231F20"/>
          <w:spacing w:val="-8"/>
          <w:sz w:val="20"/>
        </w:rPr>
        <w:t> </w:t>
      </w:r>
      <w:r>
        <w:rPr>
          <w:i/>
          <w:color w:val="231F20"/>
          <w:sz w:val="20"/>
        </w:rPr>
        <w:t>умирать.</w:t>
      </w:r>
      <w:r>
        <w:rPr>
          <w:i/>
          <w:color w:val="231F20"/>
          <w:spacing w:val="-8"/>
          <w:sz w:val="20"/>
        </w:rPr>
        <w:t> </w:t>
      </w:r>
      <w:r>
        <w:rPr>
          <w:i/>
          <w:color w:val="231F20"/>
          <w:sz w:val="20"/>
        </w:rPr>
        <w:t>Но</w:t>
      </w:r>
      <w:r>
        <w:rPr>
          <w:i/>
          <w:color w:val="231F20"/>
          <w:spacing w:val="-8"/>
          <w:sz w:val="20"/>
        </w:rPr>
        <w:t> </w:t>
      </w:r>
      <w:r>
        <w:rPr>
          <w:i/>
          <w:color w:val="231F20"/>
          <w:sz w:val="20"/>
        </w:rPr>
        <w:t>тут</w:t>
      </w:r>
      <w:r>
        <w:rPr>
          <w:i/>
          <w:color w:val="231F20"/>
          <w:spacing w:val="-7"/>
          <w:sz w:val="20"/>
        </w:rPr>
        <w:t> </w:t>
      </w:r>
      <w:r>
        <w:rPr>
          <w:i/>
          <w:color w:val="231F20"/>
          <w:spacing w:val="-2"/>
          <w:sz w:val="20"/>
        </w:rPr>
        <w:t>Супермен</w:t>
      </w:r>
    </w:p>
    <w:p>
      <w:pPr>
        <w:spacing w:line="226" w:lineRule="exact" w:before="0"/>
        <w:ind w:left="141" w:right="0" w:firstLine="0"/>
        <w:jc w:val="both"/>
        <w:rPr>
          <w:i/>
          <w:sz w:val="20"/>
        </w:rPr>
      </w:pPr>
      <w:r>
        <w:rPr>
          <w:i/>
          <w:color w:val="231F20"/>
          <w:sz w:val="20"/>
        </w:rPr>
        <w:t>сказал:</w:t>
      </w:r>
      <w:r>
        <w:rPr>
          <w:i/>
          <w:color w:val="231F20"/>
          <w:spacing w:val="-4"/>
          <w:sz w:val="20"/>
        </w:rPr>
        <w:t> </w:t>
      </w:r>
      <w:r>
        <w:rPr>
          <w:i/>
          <w:color w:val="231F20"/>
          <w:sz w:val="20"/>
        </w:rPr>
        <w:t>«А</w:t>
      </w:r>
      <w:r>
        <w:rPr>
          <w:i/>
          <w:color w:val="231F20"/>
          <w:spacing w:val="-4"/>
          <w:sz w:val="20"/>
        </w:rPr>
        <w:t> </w:t>
      </w:r>
      <w:r>
        <w:rPr>
          <w:i/>
          <w:color w:val="231F20"/>
          <w:sz w:val="20"/>
        </w:rPr>
        <w:t>чего</w:t>
      </w:r>
      <w:r>
        <w:rPr>
          <w:i/>
          <w:color w:val="231F20"/>
          <w:spacing w:val="-3"/>
          <w:sz w:val="20"/>
        </w:rPr>
        <w:t> </w:t>
      </w:r>
      <w:r>
        <w:rPr>
          <w:i/>
          <w:color w:val="231F20"/>
          <w:sz w:val="20"/>
        </w:rPr>
        <w:t>нам</w:t>
      </w:r>
      <w:r>
        <w:rPr>
          <w:i/>
          <w:color w:val="231F20"/>
          <w:spacing w:val="-4"/>
          <w:sz w:val="20"/>
        </w:rPr>
        <w:t> </w:t>
      </w:r>
      <w:r>
        <w:rPr>
          <w:i/>
          <w:color w:val="231F20"/>
          <w:sz w:val="20"/>
        </w:rPr>
        <w:t>умирать!</w:t>
      </w:r>
      <w:r>
        <w:rPr>
          <w:i/>
          <w:color w:val="231F20"/>
          <w:spacing w:val="-4"/>
          <w:sz w:val="20"/>
        </w:rPr>
        <w:t> </w:t>
      </w:r>
      <w:r>
        <w:rPr>
          <w:i/>
          <w:color w:val="231F20"/>
          <w:sz w:val="20"/>
        </w:rPr>
        <w:t>Давайте</w:t>
      </w:r>
      <w:r>
        <w:rPr>
          <w:i/>
          <w:color w:val="231F20"/>
          <w:spacing w:val="-4"/>
          <w:sz w:val="20"/>
        </w:rPr>
        <w:t> </w:t>
      </w:r>
      <w:r>
        <w:rPr>
          <w:i/>
          <w:color w:val="231F20"/>
          <w:sz w:val="20"/>
        </w:rPr>
        <w:t>попробуем,</w:t>
      </w:r>
      <w:r>
        <w:rPr>
          <w:i/>
          <w:color w:val="231F20"/>
          <w:spacing w:val="-3"/>
          <w:sz w:val="20"/>
        </w:rPr>
        <w:t> </w:t>
      </w:r>
      <w:r>
        <w:rPr>
          <w:i/>
          <w:color w:val="231F20"/>
          <w:sz w:val="20"/>
        </w:rPr>
        <w:t>поищем</w:t>
      </w:r>
      <w:r>
        <w:rPr>
          <w:i/>
          <w:color w:val="231F20"/>
          <w:spacing w:val="-4"/>
          <w:sz w:val="20"/>
        </w:rPr>
        <w:t> </w:t>
      </w:r>
      <w:r>
        <w:rPr>
          <w:i/>
          <w:color w:val="231F20"/>
          <w:spacing w:val="-2"/>
          <w:sz w:val="20"/>
        </w:rPr>
        <w:t>еду».</w:t>
      </w:r>
    </w:p>
    <w:p>
      <w:pPr>
        <w:pStyle w:val="ListParagraph"/>
        <w:numPr>
          <w:ilvl w:val="0"/>
          <w:numId w:val="215"/>
        </w:numPr>
        <w:tabs>
          <w:tab w:pos="575" w:val="left" w:leader="none"/>
        </w:tabs>
        <w:spacing w:line="226" w:lineRule="exact" w:before="0" w:after="0"/>
        <w:ind w:left="575" w:right="0" w:hanging="150"/>
        <w:jc w:val="both"/>
        <w:rPr>
          <w:i/>
          <w:sz w:val="20"/>
        </w:rPr>
      </w:pPr>
      <w:r>
        <w:rPr>
          <w:i/>
          <w:color w:val="231F20"/>
          <w:sz w:val="20"/>
        </w:rPr>
        <w:t>Да</w:t>
      </w:r>
      <w:r>
        <w:rPr>
          <w:i/>
          <w:color w:val="231F20"/>
          <w:spacing w:val="-1"/>
          <w:sz w:val="20"/>
        </w:rPr>
        <w:t> </w:t>
      </w:r>
      <w:r>
        <w:rPr>
          <w:i/>
          <w:color w:val="231F20"/>
          <w:sz w:val="20"/>
        </w:rPr>
        <w:t>нет,</w:t>
      </w:r>
      <w:r>
        <w:rPr>
          <w:i/>
          <w:color w:val="231F20"/>
          <w:spacing w:val="-2"/>
          <w:sz w:val="20"/>
        </w:rPr>
        <w:t> </w:t>
      </w:r>
      <w:r>
        <w:rPr>
          <w:i/>
          <w:color w:val="231F20"/>
          <w:sz w:val="20"/>
        </w:rPr>
        <w:t>мы</w:t>
      </w:r>
      <w:r>
        <w:rPr>
          <w:i/>
          <w:color w:val="231F20"/>
          <w:spacing w:val="-1"/>
          <w:sz w:val="20"/>
        </w:rPr>
        <w:t> </w:t>
      </w:r>
      <w:r>
        <w:rPr>
          <w:i/>
          <w:color w:val="231F20"/>
          <w:sz w:val="20"/>
        </w:rPr>
        <w:t>не</w:t>
      </w:r>
      <w:r>
        <w:rPr>
          <w:i/>
          <w:color w:val="231F20"/>
          <w:spacing w:val="-1"/>
          <w:sz w:val="20"/>
        </w:rPr>
        <w:t> </w:t>
      </w:r>
      <w:r>
        <w:rPr>
          <w:i/>
          <w:color w:val="231F20"/>
          <w:sz w:val="20"/>
        </w:rPr>
        <w:t>найдем</w:t>
      </w:r>
      <w:r>
        <w:rPr>
          <w:i/>
          <w:color w:val="231F20"/>
          <w:spacing w:val="-2"/>
          <w:sz w:val="20"/>
        </w:rPr>
        <w:t> </w:t>
      </w:r>
      <w:r>
        <w:rPr>
          <w:i/>
          <w:color w:val="231F20"/>
          <w:sz w:val="20"/>
        </w:rPr>
        <w:t>ее</w:t>
      </w:r>
      <w:r>
        <w:rPr>
          <w:i/>
          <w:color w:val="231F20"/>
          <w:spacing w:val="-1"/>
          <w:sz w:val="20"/>
        </w:rPr>
        <w:t> </w:t>
      </w:r>
      <w:r>
        <w:rPr>
          <w:i/>
          <w:color w:val="231F20"/>
          <w:sz w:val="20"/>
        </w:rPr>
        <w:t>нигде,</w:t>
      </w:r>
      <w:r>
        <w:rPr>
          <w:i/>
          <w:color w:val="231F20"/>
          <w:spacing w:val="-1"/>
          <w:sz w:val="20"/>
        </w:rPr>
        <w:t> </w:t>
      </w:r>
      <w:r>
        <w:rPr>
          <w:i/>
          <w:color w:val="231F20"/>
          <w:sz w:val="20"/>
        </w:rPr>
        <w:t>–</w:t>
      </w:r>
      <w:r>
        <w:rPr>
          <w:i/>
          <w:color w:val="231F20"/>
          <w:spacing w:val="-2"/>
          <w:sz w:val="20"/>
        </w:rPr>
        <w:t> </w:t>
      </w:r>
      <w:r>
        <w:rPr>
          <w:i/>
          <w:color w:val="231F20"/>
          <w:sz w:val="20"/>
        </w:rPr>
        <w:t>говорит</w:t>
      </w:r>
      <w:r>
        <w:rPr>
          <w:i/>
          <w:color w:val="231F20"/>
          <w:spacing w:val="-1"/>
          <w:sz w:val="20"/>
        </w:rPr>
        <w:t> </w:t>
      </w:r>
      <w:r>
        <w:rPr>
          <w:i/>
          <w:color w:val="231F20"/>
          <w:spacing w:val="-2"/>
          <w:sz w:val="20"/>
        </w:rPr>
        <w:t>девочка.</w:t>
      </w:r>
    </w:p>
    <w:p>
      <w:pPr>
        <w:pStyle w:val="ListParagraph"/>
        <w:numPr>
          <w:ilvl w:val="0"/>
          <w:numId w:val="215"/>
        </w:numPr>
        <w:tabs>
          <w:tab w:pos="575" w:val="left" w:leader="none"/>
        </w:tabs>
        <w:spacing w:line="226" w:lineRule="exact" w:before="0" w:after="0"/>
        <w:ind w:left="575" w:right="0" w:hanging="150"/>
        <w:jc w:val="both"/>
        <w:rPr>
          <w:i/>
          <w:sz w:val="20"/>
        </w:rPr>
      </w:pPr>
      <w:r>
        <w:rPr>
          <w:i/>
          <w:color w:val="231F20"/>
          <w:sz w:val="20"/>
        </w:rPr>
        <w:t>Ну</w:t>
      </w:r>
      <w:r>
        <w:rPr>
          <w:i/>
          <w:color w:val="231F20"/>
          <w:spacing w:val="-2"/>
          <w:sz w:val="20"/>
        </w:rPr>
        <w:t> </w:t>
      </w:r>
      <w:r>
        <w:rPr>
          <w:i/>
          <w:color w:val="231F20"/>
          <w:sz w:val="20"/>
        </w:rPr>
        <w:t>пойдем,</w:t>
      </w:r>
      <w:r>
        <w:rPr>
          <w:i/>
          <w:color w:val="231F20"/>
          <w:spacing w:val="-1"/>
          <w:sz w:val="20"/>
        </w:rPr>
        <w:t> </w:t>
      </w:r>
      <w:r>
        <w:rPr>
          <w:i/>
          <w:color w:val="231F20"/>
          <w:spacing w:val="-2"/>
          <w:sz w:val="20"/>
        </w:rPr>
        <w:t>поищем.</w:t>
      </w:r>
    </w:p>
    <w:p>
      <w:pPr>
        <w:spacing w:line="235" w:lineRule="auto" w:before="2"/>
        <w:ind w:left="141" w:right="139" w:firstLine="283"/>
        <w:jc w:val="both"/>
        <w:rPr>
          <w:i/>
          <w:sz w:val="20"/>
        </w:rPr>
      </w:pPr>
      <w:r>
        <w:rPr>
          <w:i/>
          <w:color w:val="231F20"/>
          <w:sz w:val="20"/>
        </w:rPr>
        <w:t>Все согласились и пошли на поиски. Один день шли, два дня – очень устали, тя- жело.</w:t>
      </w:r>
      <w:r>
        <w:rPr>
          <w:i/>
          <w:color w:val="231F20"/>
          <w:spacing w:val="-13"/>
          <w:sz w:val="20"/>
        </w:rPr>
        <w:t> </w:t>
      </w:r>
      <w:r>
        <w:rPr>
          <w:i/>
          <w:color w:val="231F20"/>
          <w:sz w:val="20"/>
        </w:rPr>
        <w:t>Почти</w:t>
      </w:r>
      <w:r>
        <w:rPr>
          <w:i/>
          <w:color w:val="231F20"/>
          <w:spacing w:val="-12"/>
          <w:sz w:val="20"/>
        </w:rPr>
        <w:t> </w:t>
      </w:r>
      <w:r>
        <w:rPr>
          <w:i/>
          <w:color w:val="231F20"/>
          <w:sz w:val="20"/>
        </w:rPr>
        <w:t>кончились</w:t>
      </w:r>
      <w:r>
        <w:rPr>
          <w:i/>
          <w:color w:val="231F20"/>
          <w:spacing w:val="-13"/>
          <w:sz w:val="20"/>
        </w:rPr>
        <w:t> </w:t>
      </w:r>
      <w:r>
        <w:rPr>
          <w:i/>
          <w:color w:val="231F20"/>
          <w:sz w:val="20"/>
        </w:rPr>
        <w:t>силы.</w:t>
      </w:r>
      <w:r>
        <w:rPr>
          <w:i/>
          <w:color w:val="231F20"/>
          <w:spacing w:val="-12"/>
          <w:sz w:val="20"/>
        </w:rPr>
        <w:t> </w:t>
      </w:r>
      <w:r>
        <w:rPr>
          <w:i/>
          <w:color w:val="231F20"/>
          <w:sz w:val="20"/>
        </w:rPr>
        <w:t>Вдруг</w:t>
      </w:r>
      <w:r>
        <w:rPr>
          <w:i/>
          <w:color w:val="231F20"/>
          <w:spacing w:val="-13"/>
          <w:sz w:val="20"/>
        </w:rPr>
        <w:t> </w:t>
      </w:r>
      <w:r>
        <w:rPr>
          <w:i/>
          <w:color w:val="231F20"/>
          <w:sz w:val="20"/>
        </w:rPr>
        <w:t>видят</w:t>
      </w:r>
      <w:r>
        <w:rPr>
          <w:i/>
          <w:color w:val="231F20"/>
          <w:spacing w:val="-12"/>
          <w:sz w:val="20"/>
        </w:rPr>
        <w:t> </w:t>
      </w:r>
      <w:r>
        <w:rPr>
          <w:i/>
          <w:color w:val="231F20"/>
          <w:sz w:val="20"/>
        </w:rPr>
        <w:t>–</w:t>
      </w:r>
      <w:r>
        <w:rPr>
          <w:i/>
          <w:color w:val="231F20"/>
          <w:spacing w:val="-13"/>
          <w:sz w:val="20"/>
        </w:rPr>
        <w:t> </w:t>
      </w:r>
      <w:r>
        <w:rPr>
          <w:i/>
          <w:color w:val="231F20"/>
          <w:sz w:val="20"/>
        </w:rPr>
        <w:t>домик.</w:t>
      </w:r>
      <w:r>
        <w:rPr>
          <w:i/>
          <w:color w:val="231F20"/>
          <w:spacing w:val="-12"/>
          <w:sz w:val="20"/>
        </w:rPr>
        <w:t> </w:t>
      </w:r>
      <w:r>
        <w:rPr>
          <w:i/>
          <w:color w:val="231F20"/>
          <w:sz w:val="20"/>
        </w:rPr>
        <w:t>А</w:t>
      </w:r>
      <w:r>
        <w:rPr>
          <w:i/>
          <w:color w:val="231F20"/>
          <w:spacing w:val="-13"/>
          <w:sz w:val="20"/>
        </w:rPr>
        <w:t> </w:t>
      </w:r>
      <w:r>
        <w:rPr>
          <w:i/>
          <w:color w:val="231F20"/>
          <w:sz w:val="20"/>
        </w:rPr>
        <w:t>это</w:t>
      </w:r>
      <w:r>
        <w:rPr>
          <w:i/>
          <w:color w:val="231F20"/>
          <w:spacing w:val="-12"/>
          <w:sz w:val="20"/>
        </w:rPr>
        <w:t> </w:t>
      </w:r>
      <w:r>
        <w:rPr>
          <w:i/>
          <w:color w:val="231F20"/>
          <w:sz w:val="20"/>
        </w:rPr>
        <w:t>был</w:t>
      </w:r>
      <w:r>
        <w:rPr>
          <w:i/>
          <w:color w:val="231F20"/>
          <w:spacing w:val="-12"/>
          <w:sz w:val="20"/>
        </w:rPr>
        <w:t> </w:t>
      </w:r>
      <w:r>
        <w:rPr>
          <w:i/>
          <w:color w:val="231F20"/>
          <w:sz w:val="20"/>
        </w:rPr>
        <w:t>тот</w:t>
      </w:r>
      <w:r>
        <w:rPr>
          <w:i/>
          <w:color w:val="231F20"/>
          <w:spacing w:val="-13"/>
          <w:sz w:val="20"/>
        </w:rPr>
        <w:t> </w:t>
      </w:r>
      <w:r>
        <w:rPr>
          <w:i/>
          <w:color w:val="231F20"/>
          <w:sz w:val="20"/>
        </w:rPr>
        <w:t>самый</w:t>
      </w:r>
      <w:r>
        <w:rPr>
          <w:i/>
          <w:color w:val="231F20"/>
          <w:spacing w:val="-12"/>
          <w:sz w:val="20"/>
        </w:rPr>
        <w:t> </w:t>
      </w:r>
      <w:r>
        <w:rPr>
          <w:i/>
          <w:color w:val="231F20"/>
          <w:sz w:val="20"/>
        </w:rPr>
        <w:t>дом,</w:t>
      </w:r>
      <w:r>
        <w:rPr>
          <w:i/>
          <w:color w:val="231F20"/>
          <w:spacing w:val="-13"/>
          <w:sz w:val="20"/>
        </w:rPr>
        <w:t> </w:t>
      </w:r>
      <w:r>
        <w:rPr>
          <w:i/>
          <w:color w:val="231F20"/>
          <w:sz w:val="20"/>
        </w:rPr>
        <w:t>кото- рый</w:t>
      </w:r>
      <w:r>
        <w:rPr>
          <w:i/>
          <w:color w:val="231F20"/>
          <w:spacing w:val="-3"/>
          <w:sz w:val="20"/>
        </w:rPr>
        <w:t> </w:t>
      </w:r>
      <w:r>
        <w:rPr>
          <w:i/>
          <w:color w:val="231F20"/>
          <w:sz w:val="20"/>
        </w:rPr>
        <w:t>построили</w:t>
      </w:r>
      <w:r>
        <w:rPr>
          <w:i/>
          <w:color w:val="231F20"/>
          <w:spacing w:val="-3"/>
          <w:sz w:val="20"/>
        </w:rPr>
        <w:t> </w:t>
      </w:r>
      <w:r>
        <w:rPr>
          <w:i/>
          <w:color w:val="231F20"/>
          <w:sz w:val="20"/>
        </w:rPr>
        <w:t>девочка,</w:t>
      </w:r>
      <w:r>
        <w:rPr>
          <w:i/>
          <w:color w:val="231F20"/>
          <w:spacing w:val="-3"/>
          <w:sz w:val="20"/>
        </w:rPr>
        <w:t> </w:t>
      </w:r>
      <w:r>
        <w:rPr>
          <w:i/>
          <w:color w:val="231F20"/>
          <w:sz w:val="20"/>
        </w:rPr>
        <w:t>которая</w:t>
      </w:r>
      <w:r>
        <w:rPr>
          <w:i/>
          <w:color w:val="231F20"/>
          <w:spacing w:val="-3"/>
          <w:sz w:val="20"/>
        </w:rPr>
        <w:t> </w:t>
      </w:r>
      <w:r>
        <w:rPr>
          <w:i/>
          <w:color w:val="231F20"/>
          <w:sz w:val="20"/>
        </w:rPr>
        <w:t>раньше</w:t>
      </w:r>
      <w:r>
        <w:rPr>
          <w:i/>
          <w:color w:val="231F20"/>
          <w:spacing w:val="-3"/>
          <w:sz w:val="20"/>
        </w:rPr>
        <w:t> </w:t>
      </w:r>
      <w:r>
        <w:rPr>
          <w:i/>
          <w:color w:val="231F20"/>
          <w:sz w:val="20"/>
        </w:rPr>
        <w:t>была</w:t>
      </w:r>
      <w:r>
        <w:rPr>
          <w:i/>
          <w:color w:val="231F20"/>
          <w:spacing w:val="-3"/>
          <w:sz w:val="20"/>
        </w:rPr>
        <w:t> </w:t>
      </w:r>
      <w:r>
        <w:rPr>
          <w:i/>
          <w:color w:val="231F20"/>
          <w:sz w:val="20"/>
        </w:rPr>
        <w:t>страшной,</w:t>
      </w:r>
      <w:r>
        <w:rPr>
          <w:i/>
          <w:color w:val="231F20"/>
          <w:spacing w:val="-3"/>
          <w:sz w:val="20"/>
        </w:rPr>
        <w:t> </w:t>
      </w:r>
      <w:r>
        <w:rPr>
          <w:i/>
          <w:color w:val="231F20"/>
          <w:sz w:val="20"/>
        </w:rPr>
        <w:t>и</w:t>
      </w:r>
      <w:r>
        <w:rPr>
          <w:i/>
          <w:color w:val="231F20"/>
          <w:spacing w:val="-3"/>
          <w:sz w:val="20"/>
        </w:rPr>
        <w:t> </w:t>
      </w:r>
      <w:r>
        <w:rPr>
          <w:i/>
          <w:color w:val="231F20"/>
          <w:sz w:val="20"/>
        </w:rPr>
        <w:t>ее</w:t>
      </w:r>
      <w:r>
        <w:rPr>
          <w:i/>
          <w:color w:val="231F20"/>
          <w:spacing w:val="-3"/>
          <w:sz w:val="20"/>
        </w:rPr>
        <w:t> </w:t>
      </w:r>
      <w:r>
        <w:rPr>
          <w:i/>
          <w:color w:val="231F20"/>
          <w:sz w:val="20"/>
        </w:rPr>
        <w:t>муж.</w:t>
      </w:r>
      <w:r>
        <w:rPr>
          <w:i/>
          <w:color w:val="231F20"/>
          <w:spacing w:val="-3"/>
          <w:sz w:val="20"/>
        </w:rPr>
        <w:t> </w:t>
      </w:r>
      <w:r>
        <w:rPr>
          <w:i/>
          <w:color w:val="231F20"/>
          <w:sz w:val="20"/>
        </w:rPr>
        <w:t>Они</w:t>
      </w:r>
      <w:r>
        <w:rPr>
          <w:i/>
          <w:color w:val="231F20"/>
          <w:spacing w:val="-3"/>
          <w:sz w:val="20"/>
        </w:rPr>
        <w:t> </w:t>
      </w:r>
      <w:r>
        <w:rPr>
          <w:i/>
          <w:color w:val="231F20"/>
          <w:sz w:val="20"/>
        </w:rPr>
        <w:t>встретили друзей, накормили и дали много вкусной еды с собой. Потом Бэтмен и его друзья построили рядом свой дом, и у них всегда было много вкусной еды.</w:t>
      </w:r>
    </w:p>
    <w:p>
      <w:pPr>
        <w:spacing w:line="235" w:lineRule="auto" w:before="3"/>
        <w:ind w:left="141" w:right="139" w:firstLine="283"/>
        <w:jc w:val="both"/>
        <w:rPr>
          <w:i/>
          <w:sz w:val="20"/>
        </w:rPr>
      </w:pPr>
      <w:r>
        <w:rPr>
          <w:i/>
          <w:color w:val="231F20"/>
          <w:sz w:val="20"/>
        </w:rPr>
        <w:t>Урок.</w:t>
      </w:r>
      <w:r>
        <w:rPr>
          <w:i/>
          <w:color w:val="231F20"/>
          <w:spacing w:val="-1"/>
          <w:sz w:val="20"/>
        </w:rPr>
        <w:t> </w:t>
      </w:r>
      <w:r>
        <w:rPr>
          <w:i/>
          <w:color w:val="231F20"/>
          <w:sz w:val="20"/>
        </w:rPr>
        <w:t>Если</w:t>
      </w:r>
      <w:r>
        <w:rPr>
          <w:i/>
          <w:color w:val="231F20"/>
          <w:spacing w:val="-1"/>
          <w:sz w:val="20"/>
        </w:rPr>
        <w:t> </w:t>
      </w:r>
      <w:r>
        <w:rPr>
          <w:i/>
          <w:color w:val="231F20"/>
          <w:sz w:val="20"/>
        </w:rPr>
        <w:t>грустно</w:t>
      </w:r>
      <w:r>
        <w:rPr>
          <w:i/>
          <w:color w:val="231F20"/>
          <w:spacing w:val="-1"/>
          <w:sz w:val="20"/>
        </w:rPr>
        <w:t> </w:t>
      </w:r>
      <w:r>
        <w:rPr>
          <w:i/>
          <w:color w:val="231F20"/>
          <w:sz w:val="20"/>
        </w:rPr>
        <w:t>и</w:t>
      </w:r>
      <w:r>
        <w:rPr>
          <w:i/>
          <w:color w:val="231F20"/>
          <w:spacing w:val="-1"/>
          <w:sz w:val="20"/>
        </w:rPr>
        <w:t> </w:t>
      </w:r>
      <w:r>
        <w:rPr>
          <w:i/>
          <w:color w:val="231F20"/>
          <w:sz w:val="20"/>
        </w:rPr>
        <w:t>плохо,</w:t>
      </w:r>
      <w:r>
        <w:rPr>
          <w:i/>
          <w:color w:val="231F20"/>
          <w:spacing w:val="-1"/>
          <w:sz w:val="20"/>
        </w:rPr>
        <w:t> </w:t>
      </w:r>
      <w:r>
        <w:rPr>
          <w:i/>
          <w:color w:val="231F20"/>
          <w:sz w:val="20"/>
        </w:rPr>
        <w:t>то</w:t>
      </w:r>
      <w:r>
        <w:rPr>
          <w:i/>
          <w:color w:val="231F20"/>
          <w:spacing w:val="-1"/>
          <w:sz w:val="20"/>
        </w:rPr>
        <w:t> </w:t>
      </w:r>
      <w:r>
        <w:rPr>
          <w:i/>
          <w:color w:val="231F20"/>
          <w:sz w:val="20"/>
        </w:rPr>
        <w:t>надо</w:t>
      </w:r>
      <w:r>
        <w:rPr>
          <w:i/>
          <w:color w:val="231F20"/>
          <w:spacing w:val="-1"/>
          <w:sz w:val="20"/>
        </w:rPr>
        <w:t> </w:t>
      </w:r>
      <w:r>
        <w:rPr>
          <w:i/>
          <w:color w:val="231F20"/>
          <w:sz w:val="20"/>
        </w:rPr>
        <w:t>стараться</w:t>
      </w:r>
      <w:r>
        <w:rPr>
          <w:i/>
          <w:color w:val="231F20"/>
          <w:spacing w:val="-1"/>
          <w:sz w:val="20"/>
        </w:rPr>
        <w:t> </w:t>
      </w:r>
      <w:r>
        <w:rPr>
          <w:i/>
          <w:color w:val="231F20"/>
          <w:sz w:val="20"/>
        </w:rPr>
        <w:t>что-то</w:t>
      </w:r>
      <w:r>
        <w:rPr>
          <w:i/>
          <w:color w:val="231F20"/>
          <w:spacing w:val="-1"/>
          <w:sz w:val="20"/>
        </w:rPr>
        <w:t> </w:t>
      </w:r>
      <w:r>
        <w:rPr>
          <w:i/>
          <w:color w:val="231F20"/>
          <w:sz w:val="20"/>
        </w:rPr>
        <w:t>делать,</w:t>
      </w:r>
      <w:r>
        <w:rPr>
          <w:i/>
          <w:color w:val="231F20"/>
          <w:spacing w:val="-1"/>
          <w:sz w:val="20"/>
        </w:rPr>
        <w:t> </w:t>
      </w:r>
      <w:r>
        <w:rPr>
          <w:i/>
          <w:color w:val="231F20"/>
          <w:sz w:val="20"/>
        </w:rPr>
        <w:t>пробовать</w:t>
      </w:r>
      <w:r>
        <w:rPr>
          <w:i/>
          <w:color w:val="231F20"/>
          <w:spacing w:val="-1"/>
          <w:sz w:val="20"/>
        </w:rPr>
        <w:t> </w:t>
      </w:r>
      <w:r>
        <w:rPr>
          <w:i/>
          <w:color w:val="231F20"/>
          <w:sz w:val="20"/>
        </w:rPr>
        <w:t>най- ти выход, а не убивать себя, тогда все будет хорошо.</w:t>
      </w:r>
    </w:p>
    <w:p>
      <w:pPr>
        <w:pStyle w:val="BodyText"/>
        <w:spacing w:line="235" w:lineRule="auto" w:before="115"/>
      </w:pPr>
      <w:r>
        <w:rPr>
          <w:color w:val="231F20"/>
          <w:spacing w:val="-2"/>
        </w:rPr>
        <w:t>Подчеркнем,</w:t>
      </w:r>
      <w:r>
        <w:rPr>
          <w:color w:val="231F20"/>
          <w:spacing w:val="-7"/>
        </w:rPr>
        <w:t> </w:t>
      </w:r>
      <w:r>
        <w:rPr>
          <w:color w:val="231F20"/>
          <w:spacing w:val="-2"/>
        </w:rPr>
        <w:t>что</w:t>
      </w:r>
      <w:r>
        <w:rPr>
          <w:color w:val="231F20"/>
          <w:spacing w:val="-7"/>
        </w:rPr>
        <w:t> </w:t>
      </w:r>
      <w:r>
        <w:rPr>
          <w:color w:val="231F20"/>
          <w:spacing w:val="-2"/>
        </w:rPr>
        <w:t>депрессивность</w:t>
      </w:r>
      <w:r>
        <w:rPr>
          <w:color w:val="231F20"/>
          <w:spacing w:val="-7"/>
        </w:rPr>
        <w:t> </w:t>
      </w:r>
      <w:r>
        <w:rPr>
          <w:color w:val="231F20"/>
          <w:spacing w:val="-2"/>
        </w:rPr>
        <w:t>ситуационную</w:t>
      </w:r>
      <w:r>
        <w:rPr>
          <w:color w:val="231F20"/>
          <w:spacing w:val="-7"/>
        </w:rPr>
        <w:t> </w:t>
      </w:r>
      <w:r>
        <w:rPr>
          <w:color w:val="231F20"/>
          <w:spacing w:val="-2"/>
        </w:rPr>
        <w:t>(данный</w:t>
      </w:r>
      <w:r>
        <w:rPr>
          <w:color w:val="231F20"/>
          <w:spacing w:val="-7"/>
        </w:rPr>
        <w:t> </w:t>
      </w:r>
      <w:r>
        <w:rPr>
          <w:color w:val="231F20"/>
          <w:spacing w:val="-2"/>
        </w:rPr>
        <w:t>случай)</w:t>
      </w:r>
      <w:r>
        <w:rPr>
          <w:color w:val="231F20"/>
          <w:spacing w:val="-7"/>
        </w:rPr>
        <w:t> </w:t>
      </w:r>
      <w:r>
        <w:rPr>
          <w:color w:val="231F20"/>
          <w:spacing w:val="-2"/>
        </w:rPr>
        <w:t>или</w:t>
      </w:r>
      <w:r>
        <w:rPr>
          <w:color w:val="231F20"/>
          <w:spacing w:val="-7"/>
        </w:rPr>
        <w:t> </w:t>
      </w:r>
      <w:r>
        <w:rPr>
          <w:color w:val="231F20"/>
          <w:spacing w:val="-2"/>
        </w:rPr>
        <w:t>характероло- </w:t>
      </w:r>
      <w:r>
        <w:rPr>
          <w:color w:val="231F20"/>
        </w:rPr>
        <w:t>гическую</w:t>
      </w:r>
      <w:r>
        <w:rPr>
          <w:color w:val="231F20"/>
          <w:spacing w:val="-6"/>
        </w:rPr>
        <w:t> </w:t>
      </w:r>
      <w:r>
        <w:rPr>
          <w:color w:val="231F20"/>
        </w:rPr>
        <w:t>крайне</w:t>
      </w:r>
      <w:r>
        <w:rPr>
          <w:color w:val="231F20"/>
          <w:spacing w:val="-6"/>
        </w:rPr>
        <w:t> </w:t>
      </w:r>
      <w:r>
        <w:rPr>
          <w:color w:val="231F20"/>
        </w:rPr>
        <w:t>важно</w:t>
      </w:r>
      <w:r>
        <w:rPr>
          <w:color w:val="231F20"/>
          <w:spacing w:val="-6"/>
        </w:rPr>
        <w:t> </w:t>
      </w:r>
      <w:r>
        <w:rPr>
          <w:color w:val="231F20"/>
        </w:rPr>
        <w:t>отличать</w:t>
      </w:r>
      <w:r>
        <w:rPr>
          <w:color w:val="231F20"/>
          <w:spacing w:val="-6"/>
        </w:rPr>
        <w:t> </w:t>
      </w:r>
      <w:r>
        <w:rPr>
          <w:color w:val="231F20"/>
        </w:rPr>
        <w:t>от</w:t>
      </w:r>
      <w:r>
        <w:rPr>
          <w:color w:val="231F20"/>
          <w:spacing w:val="-6"/>
        </w:rPr>
        <w:t> </w:t>
      </w:r>
      <w:r>
        <w:rPr>
          <w:color w:val="231F20"/>
        </w:rPr>
        <w:t>посттравматической</w:t>
      </w:r>
      <w:r>
        <w:rPr>
          <w:color w:val="231F20"/>
          <w:spacing w:val="-6"/>
        </w:rPr>
        <w:t> </w:t>
      </w:r>
      <w:r>
        <w:rPr>
          <w:color w:val="231F20"/>
        </w:rPr>
        <w:t>депрессии,</w:t>
      </w:r>
      <w:r>
        <w:rPr>
          <w:color w:val="231F20"/>
          <w:spacing w:val="-6"/>
        </w:rPr>
        <w:t> </w:t>
      </w:r>
      <w:r>
        <w:rPr>
          <w:color w:val="231F20"/>
        </w:rPr>
        <w:t>логика</w:t>
      </w:r>
      <w:r>
        <w:rPr>
          <w:color w:val="231F20"/>
          <w:spacing w:val="-6"/>
        </w:rPr>
        <w:t> </w:t>
      </w:r>
      <w:r>
        <w:rPr>
          <w:color w:val="231F20"/>
        </w:rPr>
        <w:t>работы</w:t>
      </w:r>
      <w:r>
        <w:rPr>
          <w:color w:val="231F20"/>
          <w:spacing w:val="-6"/>
        </w:rPr>
        <w:t> </w:t>
      </w:r>
      <w:r>
        <w:rPr>
          <w:color w:val="231F20"/>
        </w:rPr>
        <w:t>с </w:t>
      </w:r>
      <w:r>
        <w:rPr>
          <w:color w:val="231F20"/>
          <w:spacing w:val="-2"/>
        </w:rPr>
        <w:t>которой будет полностью противоположной. Дифференциальная диагностика данных </w:t>
      </w:r>
      <w:r>
        <w:rPr>
          <w:color w:val="231F20"/>
          <w:spacing w:val="-4"/>
        </w:rPr>
        <w:t>депрессивных проявлений затруднена тем, что в реальности они крайне редко выступа- ют</w:t>
      </w:r>
      <w:r>
        <w:rPr>
          <w:color w:val="231F20"/>
          <w:spacing w:val="-6"/>
        </w:rPr>
        <w:t> </w:t>
      </w:r>
      <w:r>
        <w:rPr>
          <w:color w:val="231F20"/>
          <w:spacing w:val="-4"/>
        </w:rPr>
        <w:t>обособленно.</w:t>
      </w:r>
      <w:r>
        <w:rPr>
          <w:color w:val="231F20"/>
          <w:spacing w:val="-6"/>
        </w:rPr>
        <w:t> </w:t>
      </w:r>
      <w:r>
        <w:rPr>
          <w:color w:val="231F20"/>
          <w:spacing w:val="-4"/>
        </w:rPr>
        <w:t>Единственным</w:t>
      </w:r>
      <w:r>
        <w:rPr>
          <w:color w:val="231F20"/>
          <w:spacing w:val="-6"/>
        </w:rPr>
        <w:t> </w:t>
      </w:r>
      <w:r>
        <w:rPr>
          <w:color w:val="231F20"/>
          <w:spacing w:val="-4"/>
        </w:rPr>
        <w:t>объективным</w:t>
      </w:r>
      <w:r>
        <w:rPr>
          <w:color w:val="231F20"/>
          <w:spacing w:val="-6"/>
        </w:rPr>
        <w:t> </w:t>
      </w:r>
      <w:r>
        <w:rPr>
          <w:color w:val="231F20"/>
          <w:spacing w:val="-4"/>
        </w:rPr>
        <w:t>маркером</w:t>
      </w:r>
      <w:r>
        <w:rPr>
          <w:color w:val="231F20"/>
          <w:spacing w:val="-6"/>
        </w:rPr>
        <w:t> </w:t>
      </w:r>
      <w:r>
        <w:rPr>
          <w:color w:val="231F20"/>
          <w:spacing w:val="-4"/>
        </w:rPr>
        <w:t>является</w:t>
      </w:r>
      <w:r>
        <w:rPr>
          <w:color w:val="231F20"/>
          <w:spacing w:val="-6"/>
        </w:rPr>
        <w:t> </w:t>
      </w:r>
      <w:r>
        <w:rPr>
          <w:color w:val="231F20"/>
          <w:spacing w:val="-4"/>
        </w:rPr>
        <w:t>наличие</w:t>
      </w:r>
      <w:r>
        <w:rPr>
          <w:color w:val="231F20"/>
          <w:spacing w:val="-6"/>
        </w:rPr>
        <w:t> </w:t>
      </w:r>
      <w:r>
        <w:rPr>
          <w:color w:val="231F20"/>
          <w:spacing w:val="-4"/>
        </w:rPr>
        <w:t>в</w:t>
      </w:r>
      <w:r>
        <w:rPr>
          <w:color w:val="231F20"/>
          <w:spacing w:val="-6"/>
        </w:rPr>
        <w:t> </w:t>
      </w:r>
      <w:r>
        <w:rPr>
          <w:color w:val="231F20"/>
          <w:spacing w:val="-4"/>
        </w:rPr>
        <w:t>истории</w:t>
      </w:r>
      <w:r>
        <w:rPr>
          <w:color w:val="231F20"/>
          <w:spacing w:val="-6"/>
        </w:rPr>
        <w:t> </w:t>
      </w:r>
      <w:r>
        <w:rPr>
          <w:color w:val="231F20"/>
          <w:spacing w:val="-4"/>
        </w:rPr>
        <w:t>ре- бенка очевидных травматических переживаний, в первую очередь связанных с потерей.</w:t>
      </w:r>
    </w:p>
    <w:p>
      <w:pPr>
        <w:pStyle w:val="BodyText"/>
        <w:spacing w:after="0" w:line="235" w:lineRule="auto"/>
        <w:sectPr>
          <w:pgSz w:w="8400" w:h="11910"/>
          <w:pgMar w:header="0" w:footer="529" w:top="400" w:bottom="720" w:left="425" w:right="425"/>
        </w:sectPr>
      </w:pPr>
    </w:p>
    <w:p>
      <w:pPr>
        <w:pStyle w:val="ListParagraph"/>
        <w:numPr>
          <w:ilvl w:val="1"/>
          <w:numId w:val="197"/>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Метод</w:t>
      </w:r>
      <w:r>
        <w:rPr>
          <w:rFonts w:ascii="Georgia" w:hAnsi="Georgia"/>
          <w:color w:val="231F20"/>
          <w:spacing w:val="-6"/>
          <w:sz w:val="18"/>
        </w:rPr>
        <w:t> </w:t>
      </w:r>
      <w:r>
        <w:rPr>
          <w:rFonts w:ascii="Georgia" w:hAnsi="Georgia"/>
          <w:color w:val="231F20"/>
          <w:sz w:val="18"/>
        </w:rPr>
        <w:t>диалогического</w:t>
      </w:r>
      <w:r>
        <w:rPr>
          <w:rFonts w:ascii="Georgia" w:hAnsi="Georgia"/>
          <w:color w:val="231F20"/>
          <w:spacing w:val="-5"/>
          <w:sz w:val="18"/>
        </w:rPr>
        <w:t> </w:t>
      </w:r>
      <w:r>
        <w:rPr>
          <w:rFonts w:ascii="Georgia" w:hAnsi="Georgia"/>
          <w:color w:val="231F20"/>
          <w:sz w:val="18"/>
        </w:rPr>
        <w:t>рассказывания</w:t>
      </w:r>
      <w:r>
        <w:rPr>
          <w:rFonts w:ascii="Georgia" w:hAnsi="Georgia"/>
          <w:color w:val="231F20"/>
          <w:spacing w:val="-6"/>
          <w:sz w:val="18"/>
        </w:rPr>
        <w:t> </w:t>
      </w:r>
      <w:r>
        <w:rPr>
          <w:rFonts w:ascii="Georgia" w:hAnsi="Georgia"/>
          <w:color w:val="231F20"/>
          <w:sz w:val="18"/>
        </w:rPr>
        <w:t>историй:</w:t>
      </w:r>
      <w:r>
        <w:rPr>
          <w:rFonts w:ascii="Georgia" w:hAnsi="Georgia"/>
          <w:color w:val="231F20"/>
          <w:spacing w:val="-5"/>
          <w:sz w:val="18"/>
        </w:rPr>
        <w:t> </w:t>
      </w:r>
      <w:r>
        <w:rPr>
          <w:rFonts w:ascii="Georgia" w:hAnsi="Georgia"/>
          <w:color w:val="231F20"/>
          <w:sz w:val="18"/>
        </w:rPr>
        <w:t>методическое</w:t>
      </w:r>
      <w:r>
        <w:rPr>
          <w:rFonts w:ascii="Georgia" w:hAnsi="Georgia"/>
          <w:color w:val="231F20"/>
          <w:spacing w:val="-5"/>
          <w:sz w:val="18"/>
        </w:rPr>
        <w:t> </w:t>
      </w:r>
      <w:r>
        <w:rPr>
          <w:rFonts w:ascii="Georgia" w:hAnsi="Georgia"/>
          <w:color w:val="231F20"/>
          <w:spacing w:val="-2"/>
          <w:sz w:val="18"/>
        </w:rPr>
        <w:t>руководство</w:t>
      </w:r>
    </w:p>
    <w:p>
      <w:pPr>
        <w:pStyle w:val="BodyText"/>
        <w:spacing w:line="235" w:lineRule="auto" w:before="116"/>
      </w:pPr>
      <w:r>
        <w:rPr>
          <w:color w:val="231F20"/>
        </w:rPr>
        <w:t>В</w:t>
      </w:r>
      <w:r>
        <w:rPr>
          <w:color w:val="231F20"/>
          <w:spacing w:val="-8"/>
        </w:rPr>
        <w:t> </w:t>
      </w:r>
      <w:r>
        <w:rPr>
          <w:color w:val="231F20"/>
        </w:rPr>
        <w:t>этом</w:t>
      </w:r>
      <w:r>
        <w:rPr>
          <w:color w:val="231F20"/>
          <w:spacing w:val="-8"/>
        </w:rPr>
        <w:t> </w:t>
      </w:r>
      <w:r>
        <w:rPr>
          <w:color w:val="231F20"/>
        </w:rPr>
        <w:t>случае</w:t>
      </w:r>
      <w:r>
        <w:rPr>
          <w:color w:val="231F20"/>
          <w:spacing w:val="-8"/>
        </w:rPr>
        <w:t> </w:t>
      </w:r>
      <w:r>
        <w:rPr>
          <w:color w:val="231F20"/>
        </w:rPr>
        <w:t>не</w:t>
      </w:r>
      <w:r>
        <w:rPr>
          <w:color w:val="231F20"/>
          <w:spacing w:val="-8"/>
        </w:rPr>
        <w:t> </w:t>
      </w:r>
      <w:r>
        <w:rPr>
          <w:color w:val="231F20"/>
        </w:rPr>
        <w:t>следует</w:t>
      </w:r>
      <w:r>
        <w:rPr>
          <w:color w:val="231F20"/>
          <w:spacing w:val="-8"/>
        </w:rPr>
        <w:t> </w:t>
      </w:r>
      <w:r>
        <w:rPr>
          <w:color w:val="231F20"/>
        </w:rPr>
        <w:t>вводить</w:t>
      </w:r>
      <w:r>
        <w:rPr>
          <w:color w:val="231F20"/>
          <w:spacing w:val="-8"/>
        </w:rPr>
        <w:t> </w:t>
      </w:r>
      <w:r>
        <w:rPr>
          <w:color w:val="231F20"/>
        </w:rPr>
        <w:t>в</w:t>
      </w:r>
      <w:r>
        <w:rPr>
          <w:color w:val="231F20"/>
          <w:spacing w:val="-8"/>
        </w:rPr>
        <w:t> </w:t>
      </w:r>
      <w:r>
        <w:rPr>
          <w:color w:val="231F20"/>
        </w:rPr>
        <w:t>историю</w:t>
      </w:r>
      <w:r>
        <w:rPr>
          <w:color w:val="231F20"/>
          <w:spacing w:val="-8"/>
        </w:rPr>
        <w:t> </w:t>
      </w:r>
      <w:r>
        <w:rPr>
          <w:color w:val="231F20"/>
        </w:rPr>
        <w:t>активные</w:t>
      </w:r>
      <w:r>
        <w:rPr>
          <w:color w:val="231F20"/>
          <w:spacing w:val="-8"/>
        </w:rPr>
        <w:t> </w:t>
      </w:r>
      <w:r>
        <w:rPr>
          <w:color w:val="231F20"/>
        </w:rPr>
        <w:t>действия.</w:t>
      </w:r>
      <w:r>
        <w:rPr>
          <w:color w:val="231F20"/>
          <w:spacing w:val="-8"/>
        </w:rPr>
        <w:t> </w:t>
      </w:r>
      <w:r>
        <w:rPr>
          <w:color w:val="231F20"/>
        </w:rPr>
        <w:t>Основная</w:t>
      </w:r>
      <w:r>
        <w:rPr>
          <w:color w:val="231F20"/>
          <w:spacing w:val="-8"/>
        </w:rPr>
        <w:t> </w:t>
      </w:r>
      <w:r>
        <w:rPr>
          <w:color w:val="231F20"/>
        </w:rPr>
        <w:t>логика работы</w:t>
      </w:r>
      <w:r>
        <w:rPr>
          <w:color w:val="231F20"/>
          <w:spacing w:val="-12"/>
        </w:rPr>
        <w:t> </w:t>
      </w:r>
      <w:r>
        <w:rPr>
          <w:color w:val="231F20"/>
        </w:rPr>
        <w:t>в</w:t>
      </w:r>
      <w:r>
        <w:rPr>
          <w:color w:val="231F20"/>
          <w:spacing w:val="-12"/>
        </w:rPr>
        <w:t> </w:t>
      </w:r>
      <w:r>
        <w:rPr>
          <w:color w:val="231F20"/>
        </w:rPr>
        <w:t>этом</w:t>
      </w:r>
      <w:r>
        <w:rPr>
          <w:color w:val="231F20"/>
          <w:spacing w:val="-12"/>
        </w:rPr>
        <w:t> </w:t>
      </w:r>
      <w:r>
        <w:rPr>
          <w:color w:val="231F20"/>
        </w:rPr>
        <w:t>случае,</w:t>
      </w:r>
      <w:r>
        <w:rPr>
          <w:color w:val="231F20"/>
          <w:spacing w:val="-12"/>
        </w:rPr>
        <w:t> </w:t>
      </w:r>
      <w:r>
        <w:rPr>
          <w:color w:val="231F20"/>
        </w:rPr>
        <w:t>внося</w:t>
      </w:r>
      <w:r>
        <w:rPr>
          <w:color w:val="231F20"/>
          <w:spacing w:val="-12"/>
        </w:rPr>
        <w:t> </w:t>
      </w:r>
      <w:r>
        <w:rPr>
          <w:color w:val="231F20"/>
        </w:rPr>
        <w:t>крайне</w:t>
      </w:r>
      <w:r>
        <w:rPr>
          <w:color w:val="231F20"/>
          <w:spacing w:val="-12"/>
        </w:rPr>
        <w:t> </w:t>
      </w:r>
      <w:r>
        <w:rPr>
          <w:color w:val="231F20"/>
        </w:rPr>
        <w:t>незначительные</w:t>
      </w:r>
      <w:r>
        <w:rPr>
          <w:color w:val="231F20"/>
          <w:spacing w:val="-12"/>
        </w:rPr>
        <w:t> </w:t>
      </w:r>
      <w:r>
        <w:rPr>
          <w:color w:val="231F20"/>
        </w:rPr>
        <w:t>изменения</w:t>
      </w:r>
      <w:r>
        <w:rPr>
          <w:color w:val="231F20"/>
          <w:spacing w:val="-12"/>
        </w:rPr>
        <w:t> </w:t>
      </w:r>
      <w:r>
        <w:rPr>
          <w:color w:val="231F20"/>
        </w:rPr>
        <w:t>в</w:t>
      </w:r>
      <w:r>
        <w:rPr>
          <w:color w:val="231F20"/>
          <w:spacing w:val="-12"/>
        </w:rPr>
        <w:t> </w:t>
      </w:r>
      <w:r>
        <w:rPr>
          <w:color w:val="231F20"/>
        </w:rPr>
        <w:t>историю,</w:t>
      </w:r>
      <w:r>
        <w:rPr>
          <w:color w:val="231F20"/>
          <w:spacing w:val="-12"/>
        </w:rPr>
        <w:t> </w:t>
      </w:r>
      <w:r>
        <w:rPr>
          <w:color w:val="231F20"/>
        </w:rPr>
        <w:t>«удлинять время», то есть заменять метафору смерти, используемую ребенком, на метафору сна, а затем как можно более естественно приводить к разрешению. Здесь полезна модель</w:t>
      </w:r>
      <w:r>
        <w:rPr>
          <w:color w:val="231F20"/>
          <w:spacing w:val="-6"/>
        </w:rPr>
        <w:t> </w:t>
      </w:r>
      <w:r>
        <w:rPr>
          <w:color w:val="231F20"/>
        </w:rPr>
        <w:t>сказки</w:t>
      </w:r>
      <w:r>
        <w:rPr>
          <w:color w:val="231F20"/>
          <w:spacing w:val="-6"/>
        </w:rPr>
        <w:t> </w:t>
      </w:r>
      <w:r>
        <w:rPr>
          <w:color w:val="231F20"/>
        </w:rPr>
        <w:t>«Спящая</w:t>
      </w:r>
      <w:r>
        <w:rPr>
          <w:color w:val="231F20"/>
          <w:spacing w:val="-6"/>
        </w:rPr>
        <w:t> </w:t>
      </w:r>
      <w:r>
        <w:rPr>
          <w:color w:val="231F20"/>
        </w:rPr>
        <w:t>красавица»,</w:t>
      </w:r>
      <w:r>
        <w:rPr>
          <w:color w:val="231F20"/>
          <w:spacing w:val="-6"/>
        </w:rPr>
        <w:t> </w:t>
      </w:r>
      <w:r>
        <w:rPr>
          <w:color w:val="231F20"/>
        </w:rPr>
        <w:t>которую</w:t>
      </w:r>
      <w:r>
        <w:rPr>
          <w:color w:val="231F20"/>
          <w:spacing w:val="-6"/>
        </w:rPr>
        <w:t> </w:t>
      </w:r>
      <w:r>
        <w:rPr>
          <w:color w:val="231F20"/>
        </w:rPr>
        <w:t>можно,</w:t>
      </w:r>
      <w:r>
        <w:rPr>
          <w:color w:val="231F20"/>
          <w:spacing w:val="-6"/>
        </w:rPr>
        <w:t> </w:t>
      </w:r>
      <w:r>
        <w:rPr>
          <w:color w:val="231F20"/>
        </w:rPr>
        <w:t>видоизменяя,</w:t>
      </w:r>
      <w:r>
        <w:rPr>
          <w:color w:val="231F20"/>
          <w:spacing w:val="-6"/>
        </w:rPr>
        <w:t> </w:t>
      </w:r>
      <w:r>
        <w:rPr>
          <w:color w:val="231F20"/>
        </w:rPr>
        <w:t>использовать</w:t>
      </w:r>
      <w:r>
        <w:rPr>
          <w:color w:val="231F20"/>
          <w:spacing w:val="-6"/>
        </w:rPr>
        <w:t> </w:t>
      </w:r>
      <w:r>
        <w:rPr>
          <w:color w:val="231F20"/>
        </w:rPr>
        <w:t>для конструирования ответной истории. Также успешно используется метафора смены времен года. Ответ на историю ребенка, приведенную выше, можно было сконстру- ировать так: Бэтмен и Супермен, оставшись без еды, уснули, как медведи во время зимней</w:t>
      </w:r>
      <w:r>
        <w:rPr>
          <w:color w:val="231F20"/>
          <w:spacing w:val="-3"/>
        </w:rPr>
        <w:t> </w:t>
      </w:r>
      <w:r>
        <w:rPr>
          <w:color w:val="231F20"/>
        </w:rPr>
        <w:t>спячки,</w:t>
      </w:r>
      <w:r>
        <w:rPr>
          <w:color w:val="231F20"/>
          <w:spacing w:val="-3"/>
        </w:rPr>
        <w:t> </w:t>
      </w:r>
      <w:r>
        <w:rPr>
          <w:color w:val="231F20"/>
        </w:rPr>
        <w:t>а</w:t>
      </w:r>
      <w:r>
        <w:rPr>
          <w:color w:val="231F20"/>
          <w:spacing w:val="-3"/>
        </w:rPr>
        <w:t> </w:t>
      </w:r>
      <w:r>
        <w:rPr>
          <w:color w:val="231F20"/>
        </w:rPr>
        <w:t>когда</w:t>
      </w:r>
      <w:r>
        <w:rPr>
          <w:color w:val="231F20"/>
          <w:spacing w:val="-3"/>
        </w:rPr>
        <w:t> </w:t>
      </w:r>
      <w:r>
        <w:rPr>
          <w:color w:val="231F20"/>
        </w:rPr>
        <w:t>проснулись</w:t>
      </w:r>
      <w:r>
        <w:rPr>
          <w:color w:val="231F20"/>
          <w:spacing w:val="-3"/>
        </w:rPr>
        <w:t> </w:t>
      </w:r>
      <w:r>
        <w:rPr>
          <w:color w:val="231F20"/>
        </w:rPr>
        <w:t>–</w:t>
      </w:r>
      <w:r>
        <w:rPr>
          <w:color w:val="231F20"/>
          <w:spacing w:val="-3"/>
        </w:rPr>
        <w:t> </w:t>
      </w:r>
      <w:r>
        <w:rPr>
          <w:color w:val="231F20"/>
        </w:rPr>
        <w:t>была</w:t>
      </w:r>
      <w:r>
        <w:rPr>
          <w:color w:val="231F20"/>
          <w:spacing w:val="-3"/>
        </w:rPr>
        <w:t> </w:t>
      </w:r>
      <w:r>
        <w:rPr>
          <w:color w:val="231F20"/>
        </w:rPr>
        <w:t>весна,</w:t>
      </w:r>
      <w:r>
        <w:rPr>
          <w:color w:val="231F20"/>
          <w:spacing w:val="-3"/>
        </w:rPr>
        <w:t> </w:t>
      </w:r>
      <w:r>
        <w:rPr>
          <w:color w:val="231F20"/>
        </w:rPr>
        <w:t>и</w:t>
      </w:r>
      <w:r>
        <w:rPr>
          <w:color w:val="231F20"/>
          <w:spacing w:val="-3"/>
        </w:rPr>
        <w:t> </w:t>
      </w:r>
      <w:r>
        <w:rPr>
          <w:color w:val="231F20"/>
        </w:rPr>
        <w:t>стали</w:t>
      </w:r>
      <w:r>
        <w:rPr>
          <w:color w:val="231F20"/>
          <w:spacing w:val="-3"/>
        </w:rPr>
        <w:t> </w:t>
      </w:r>
      <w:r>
        <w:rPr>
          <w:color w:val="231F20"/>
        </w:rPr>
        <w:t>появляться</w:t>
      </w:r>
      <w:r>
        <w:rPr>
          <w:color w:val="231F20"/>
          <w:spacing w:val="-3"/>
        </w:rPr>
        <w:t> </w:t>
      </w:r>
      <w:r>
        <w:rPr>
          <w:color w:val="231F20"/>
        </w:rPr>
        <w:t>всяческие</w:t>
      </w:r>
      <w:r>
        <w:rPr>
          <w:color w:val="231F20"/>
          <w:spacing w:val="-3"/>
        </w:rPr>
        <w:t> </w:t>
      </w:r>
      <w:r>
        <w:rPr>
          <w:color w:val="231F20"/>
        </w:rPr>
        <w:t>вкус- ные плоды. Такая схема работы при посттравматической депрессии одновременно разрешает ребенку «отгоревать» потерю и дает осознание перспективы завершения горевания в будущем.</w:t>
      </w:r>
    </w:p>
    <w:p>
      <w:pPr>
        <w:numPr>
          <w:ilvl w:val="0"/>
          <w:numId w:val="214"/>
        </w:numPr>
        <w:tabs>
          <w:tab w:pos="424" w:val="left" w:leader="none"/>
        </w:tabs>
        <w:spacing w:line="227" w:lineRule="exact" w:before="168"/>
        <w:ind w:left="424" w:right="0" w:hanging="283"/>
        <w:jc w:val="left"/>
        <w:rPr>
          <w:b/>
          <w:sz w:val="20"/>
        </w:rPr>
      </w:pPr>
      <w:r>
        <w:rPr>
          <w:b/>
          <w:color w:val="231F20"/>
          <w:sz w:val="20"/>
        </w:rPr>
        <w:t>Инфантильность – </w:t>
      </w:r>
      <w:r>
        <w:rPr>
          <w:b/>
          <w:color w:val="231F20"/>
          <w:spacing w:val="-2"/>
          <w:sz w:val="20"/>
        </w:rPr>
        <w:t>самостоятельность</w:t>
      </w:r>
    </w:p>
    <w:p>
      <w:pPr>
        <w:pStyle w:val="BodyText"/>
        <w:spacing w:line="232" w:lineRule="auto" w:before="2"/>
        <w:jc w:val="right"/>
      </w:pPr>
      <w:r>
        <w:rPr>
          <w:color w:val="231F20"/>
        </w:rPr>
        <w:t>Признаки «инфантильности»: зависимость от поддержки извне (победа только с чужой помощью); регрессивное (с точки зрения возраста ребенка) поведение героя; герой уверен в невозможности действовать самостоятельно; фантастичность «побе- ды»</w:t>
      </w:r>
      <w:r>
        <w:rPr>
          <w:color w:val="231F20"/>
          <w:spacing w:val="-5"/>
        </w:rPr>
        <w:t> </w:t>
      </w:r>
      <w:r>
        <w:rPr>
          <w:color w:val="231F20"/>
        </w:rPr>
        <w:t>над</w:t>
      </w:r>
      <w:r>
        <w:rPr>
          <w:color w:val="231F20"/>
          <w:spacing w:val="-5"/>
        </w:rPr>
        <w:t> </w:t>
      </w:r>
      <w:r>
        <w:rPr>
          <w:color w:val="231F20"/>
        </w:rPr>
        <w:t>страхом</w:t>
      </w:r>
      <w:r>
        <w:rPr>
          <w:color w:val="231F20"/>
          <w:spacing w:val="-5"/>
        </w:rPr>
        <w:t> </w:t>
      </w:r>
      <w:r>
        <w:rPr>
          <w:color w:val="231F20"/>
        </w:rPr>
        <w:t>–</w:t>
      </w:r>
      <w:r>
        <w:rPr>
          <w:color w:val="231F20"/>
          <w:spacing w:val="-5"/>
        </w:rPr>
        <w:t> </w:t>
      </w:r>
      <w:r>
        <w:rPr>
          <w:color w:val="231F20"/>
        </w:rPr>
        <w:t>помощь</w:t>
      </w:r>
      <w:r>
        <w:rPr>
          <w:color w:val="231F20"/>
          <w:spacing w:val="-5"/>
        </w:rPr>
        <w:t> </w:t>
      </w:r>
      <w:r>
        <w:rPr>
          <w:color w:val="231F20"/>
        </w:rPr>
        <w:t>волшебника</w:t>
      </w:r>
      <w:r>
        <w:rPr>
          <w:color w:val="231F20"/>
          <w:spacing w:val="-5"/>
        </w:rPr>
        <w:t> </w:t>
      </w:r>
      <w:r>
        <w:rPr>
          <w:color w:val="231F20"/>
        </w:rPr>
        <w:t>или</w:t>
      </w:r>
      <w:r>
        <w:rPr>
          <w:color w:val="231F20"/>
          <w:spacing w:val="-5"/>
        </w:rPr>
        <w:t> </w:t>
      </w:r>
      <w:r>
        <w:rPr>
          <w:color w:val="231F20"/>
        </w:rPr>
        <w:t>неких</w:t>
      </w:r>
      <w:r>
        <w:rPr>
          <w:color w:val="231F20"/>
          <w:spacing w:val="-5"/>
        </w:rPr>
        <w:t> </w:t>
      </w:r>
      <w:r>
        <w:rPr>
          <w:color w:val="231F20"/>
        </w:rPr>
        <w:t>магических</w:t>
      </w:r>
      <w:r>
        <w:rPr>
          <w:color w:val="231F20"/>
          <w:spacing w:val="-5"/>
        </w:rPr>
        <w:t> </w:t>
      </w:r>
      <w:r>
        <w:rPr>
          <w:color w:val="231F20"/>
        </w:rPr>
        <w:t>сил</w:t>
      </w:r>
      <w:r>
        <w:rPr>
          <w:color w:val="231F20"/>
          <w:spacing w:val="-5"/>
        </w:rPr>
        <w:t> </w:t>
      </w:r>
      <w:r>
        <w:rPr>
          <w:color w:val="231F20"/>
        </w:rPr>
        <w:t>без</w:t>
      </w:r>
      <w:r>
        <w:rPr>
          <w:color w:val="231F20"/>
          <w:spacing w:val="-5"/>
        </w:rPr>
        <w:t> </w:t>
      </w:r>
      <w:r>
        <w:rPr>
          <w:color w:val="231F20"/>
        </w:rPr>
        <w:t>участия</w:t>
      </w:r>
      <w:r>
        <w:rPr>
          <w:color w:val="231F20"/>
          <w:spacing w:val="-5"/>
        </w:rPr>
        <w:t> </w:t>
      </w:r>
      <w:r>
        <w:rPr>
          <w:color w:val="231F20"/>
        </w:rPr>
        <w:t>героя. Признаки «самостоятельности»: герой прикладывает собственные силы для прео- доления</w:t>
      </w:r>
      <w:r>
        <w:rPr>
          <w:color w:val="231F20"/>
          <w:spacing w:val="-12"/>
        </w:rPr>
        <w:t> </w:t>
      </w:r>
      <w:r>
        <w:rPr>
          <w:color w:val="231F20"/>
        </w:rPr>
        <w:t>препятствия</w:t>
      </w:r>
      <w:r>
        <w:rPr>
          <w:color w:val="231F20"/>
          <w:spacing w:val="-12"/>
        </w:rPr>
        <w:t> </w:t>
      </w:r>
      <w:r>
        <w:rPr>
          <w:color w:val="231F20"/>
        </w:rPr>
        <w:t>и</w:t>
      </w:r>
      <w:r>
        <w:rPr>
          <w:color w:val="231F20"/>
          <w:spacing w:val="-12"/>
        </w:rPr>
        <w:t> </w:t>
      </w:r>
      <w:r>
        <w:rPr>
          <w:color w:val="231F20"/>
        </w:rPr>
        <w:t>решения</w:t>
      </w:r>
      <w:r>
        <w:rPr>
          <w:color w:val="231F20"/>
          <w:spacing w:val="-12"/>
        </w:rPr>
        <w:t> </w:t>
      </w:r>
      <w:r>
        <w:rPr>
          <w:color w:val="231F20"/>
        </w:rPr>
        <w:t>проблемы;</w:t>
      </w:r>
      <w:r>
        <w:rPr>
          <w:color w:val="231F20"/>
          <w:spacing w:val="-12"/>
        </w:rPr>
        <w:t> </w:t>
      </w:r>
      <w:r>
        <w:rPr>
          <w:color w:val="231F20"/>
        </w:rPr>
        <w:t>герой</w:t>
      </w:r>
      <w:r>
        <w:rPr>
          <w:color w:val="231F20"/>
          <w:spacing w:val="-12"/>
        </w:rPr>
        <w:t> </w:t>
      </w:r>
      <w:r>
        <w:rPr>
          <w:color w:val="231F20"/>
        </w:rPr>
        <w:t>опирается</w:t>
      </w:r>
      <w:r>
        <w:rPr>
          <w:color w:val="231F20"/>
          <w:spacing w:val="-12"/>
        </w:rPr>
        <w:t> </w:t>
      </w:r>
      <w:r>
        <w:rPr>
          <w:color w:val="231F20"/>
        </w:rPr>
        <w:t>в</w:t>
      </w:r>
      <w:r>
        <w:rPr>
          <w:color w:val="231F20"/>
          <w:spacing w:val="-12"/>
        </w:rPr>
        <w:t> </w:t>
      </w:r>
      <w:r>
        <w:rPr>
          <w:color w:val="231F20"/>
        </w:rPr>
        <w:t>первую</w:t>
      </w:r>
      <w:r>
        <w:rPr>
          <w:color w:val="231F20"/>
          <w:spacing w:val="-12"/>
        </w:rPr>
        <w:t> </w:t>
      </w:r>
      <w:r>
        <w:rPr>
          <w:color w:val="231F20"/>
        </w:rPr>
        <w:t>очередь</w:t>
      </w:r>
      <w:r>
        <w:rPr>
          <w:color w:val="231F20"/>
          <w:spacing w:val="-12"/>
        </w:rPr>
        <w:t> </w:t>
      </w:r>
      <w:r>
        <w:rPr>
          <w:color w:val="231F20"/>
        </w:rPr>
        <w:t>на</w:t>
      </w:r>
      <w:r>
        <w:rPr>
          <w:color w:val="231F20"/>
          <w:spacing w:val="-12"/>
        </w:rPr>
        <w:t> </w:t>
      </w:r>
      <w:r>
        <w:rPr>
          <w:color w:val="231F20"/>
        </w:rPr>
        <w:t>соб- ственные</w:t>
      </w:r>
      <w:r>
        <w:rPr>
          <w:color w:val="231F20"/>
          <w:spacing w:val="5"/>
        </w:rPr>
        <w:t> </w:t>
      </w:r>
      <w:r>
        <w:rPr>
          <w:color w:val="231F20"/>
        </w:rPr>
        <w:t>силы;</w:t>
      </w:r>
      <w:r>
        <w:rPr>
          <w:color w:val="231F20"/>
          <w:spacing w:val="8"/>
        </w:rPr>
        <w:t> </w:t>
      </w:r>
      <w:r>
        <w:rPr>
          <w:color w:val="231F20"/>
        </w:rPr>
        <w:t>герой</w:t>
      </w:r>
      <w:r>
        <w:rPr>
          <w:color w:val="231F20"/>
          <w:spacing w:val="8"/>
        </w:rPr>
        <w:t> </w:t>
      </w:r>
      <w:r>
        <w:rPr>
          <w:color w:val="231F20"/>
        </w:rPr>
        <w:t>удостоверяется</w:t>
      </w:r>
      <w:r>
        <w:rPr>
          <w:color w:val="231F20"/>
          <w:spacing w:val="7"/>
        </w:rPr>
        <w:t> </w:t>
      </w:r>
      <w:r>
        <w:rPr>
          <w:color w:val="231F20"/>
        </w:rPr>
        <w:t>в</w:t>
      </w:r>
      <w:r>
        <w:rPr>
          <w:color w:val="231F20"/>
          <w:spacing w:val="8"/>
        </w:rPr>
        <w:t> </w:t>
      </w:r>
      <w:r>
        <w:rPr>
          <w:color w:val="231F20"/>
        </w:rPr>
        <w:t>возможности</w:t>
      </w:r>
      <w:r>
        <w:rPr>
          <w:color w:val="231F20"/>
          <w:spacing w:val="8"/>
        </w:rPr>
        <w:t> </w:t>
      </w:r>
      <w:r>
        <w:rPr>
          <w:color w:val="231F20"/>
        </w:rPr>
        <w:t>самостоятельного</w:t>
      </w:r>
      <w:r>
        <w:rPr>
          <w:color w:val="231F20"/>
          <w:spacing w:val="8"/>
        </w:rPr>
        <w:t> </w:t>
      </w:r>
      <w:r>
        <w:rPr>
          <w:color w:val="231F20"/>
          <w:spacing w:val="-2"/>
        </w:rPr>
        <w:t>разрешения</w:t>
      </w:r>
    </w:p>
    <w:p>
      <w:pPr>
        <w:pStyle w:val="BodyText"/>
        <w:spacing w:line="227" w:lineRule="exact" w:before="1"/>
        <w:ind w:right="0" w:firstLine="0"/>
      </w:pPr>
      <w:r>
        <w:rPr>
          <w:color w:val="231F20"/>
        </w:rPr>
        <w:t>ситуации;</w:t>
      </w:r>
      <w:r>
        <w:rPr>
          <w:color w:val="231F20"/>
          <w:spacing w:val="-2"/>
        </w:rPr>
        <w:t> </w:t>
      </w:r>
      <w:r>
        <w:rPr>
          <w:color w:val="231F20"/>
        </w:rPr>
        <w:t>реалистичность</w:t>
      </w:r>
      <w:r>
        <w:rPr>
          <w:color w:val="231F20"/>
          <w:spacing w:val="-1"/>
        </w:rPr>
        <w:t> </w:t>
      </w:r>
      <w:r>
        <w:rPr>
          <w:color w:val="231F20"/>
          <w:spacing w:val="-2"/>
        </w:rPr>
        <w:t>истории.</w:t>
      </w:r>
    </w:p>
    <w:p>
      <w:pPr>
        <w:pStyle w:val="BodyText"/>
        <w:spacing w:line="232" w:lineRule="auto" w:before="3"/>
      </w:pPr>
      <w:r>
        <w:rPr>
          <w:color w:val="231F20"/>
        </w:rPr>
        <w:t>Главная задача психолога – донести до ребенка представление о возможности и необходимости приложения собственных усилий для разрешения проблем (борьбы со страхом).</w:t>
      </w:r>
    </w:p>
    <w:p>
      <w:pPr>
        <w:pStyle w:val="BodyText"/>
        <w:spacing w:line="232" w:lineRule="auto" w:before="2"/>
        <w:ind w:right="141"/>
      </w:pPr>
      <w:r>
        <w:rPr>
          <w:color w:val="231F20"/>
        </w:rPr>
        <w:t>Эту историю рассказал семилетний мальчик из семьи афганских мигрантов. Его основной</w:t>
      </w:r>
      <w:r>
        <w:rPr>
          <w:color w:val="231F20"/>
          <w:spacing w:val="-9"/>
        </w:rPr>
        <w:t> </w:t>
      </w:r>
      <w:r>
        <w:rPr>
          <w:color w:val="231F20"/>
        </w:rPr>
        <w:t>проблемой</w:t>
      </w:r>
      <w:r>
        <w:rPr>
          <w:color w:val="231F20"/>
          <w:spacing w:val="-9"/>
        </w:rPr>
        <w:t> </w:t>
      </w:r>
      <w:r>
        <w:rPr>
          <w:color w:val="231F20"/>
        </w:rPr>
        <w:t>являлось</w:t>
      </w:r>
      <w:r>
        <w:rPr>
          <w:color w:val="231F20"/>
          <w:spacing w:val="-9"/>
        </w:rPr>
        <w:t> </w:t>
      </w:r>
      <w:r>
        <w:rPr>
          <w:color w:val="231F20"/>
        </w:rPr>
        <w:t>наличие</w:t>
      </w:r>
      <w:r>
        <w:rPr>
          <w:color w:val="231F20"/>
          <w:spacing w:val="-9"/>
        </w:rPr>
        <w:t> </w:t>
      </w:r>
      <w:r>
        <w:rPr>
          <w:color w:val="231F20"/>
        </w:rPr>
        <w:t>большого</w:t>
      </w:r>
      <w:r>
        <w:rPr>
          <w:color w:val="231F20"/>
          <w:spacing w:val="-9"/>
        </w:rPr>
        <w:t> </w:t>
      </w:r>
      <w:r>
        <w:rPr>
          <w:color w:val="231F20"/>
        </w:rPr>
        <w:t>количества</w:t>
      </w:r>
      <w:r>
        <w:rPr>
          <w:color w:val="231F20"/>
          <w:spacing w:val="-9"/>
        </w:rPr>
        <w:t> </w:t>
      </w:r>
      <w:r>
        <w:rPr>
          <w:color w:val="231F20"/>
        </w:rPr>
        <w:t>невротических</w:t>
      </w:r>
      <w:r>
        <w:rPr>
          <w:color w:val="231F20"/>
          <w:spacing w:val="-9"/>
        </w:rPr>
        <w:t> </w:t>
      </w:r>
      <w:r>
        <w:rPr>
          <w:color w:val="231F20"/>
          <w:spacing w:val="-2"/>
        </w:rPr>
        <w:t>страхов.</w:t>
      </w:r>
    </w:p>
    <w:p>
      <w:pPr>
        <w:spacing w:line="232" w:lineRule="auto" w:before="116"/>
        <w:ind w:left="141" w:right="139" w:firstLine="283"/>
        <w:jc w:val="both"/>
        <w:rPr>
          <w:i/>
          <w:sz w:val="20"/>
        </w:rPr>
      </w:pPr>
      <w:r>
        <w:rPr>
          <w:i/>
          <w:color w:val="231F20"/>
          <w:sz w:val="20"/>
        </w:rPr>
        <w:t>Один</w:t>
      </w:r>
      <w:r>
        <w:rPr>
          <w:i/>
          <w:color w:val="231F20"/>
          <w:spacing w:val="-3"/>
          <w:sz w:val="20"/>
        </w:rPr>
        <w:t> </w:t>
      </w:r>
      <w:r>
        <w:rPr>
          <w:i/>
          <w:color w:val="231F20"/>
          <w:sz w:val="20"/>
        </w:rPr>
        <w:t>раз</w:t>
      </w:r>
      <w:r>
        <w:rPr>
          <w:i/>
          <w:color w:val="231F20"/>
          <w:spacing w:val="-4"/>
          <w:sz w:val="20"/>
        </w:rPr>
        <w:t> </w:t>
      </w:r>
      <w:r>
        <w:rPr>
          <w:i/>
          <w:color w:val="231F20"/>
          <w:sz w:val="20"/>
        </w:rPr>
        <w:t>я</w:t>
      </w:r>
      <w:r>
        <w:rPr>
          <w:i/>
          <w:color w:val="231F20"/>
          <w:spacing w:val="-3"/>
          <w:sz w:val="20"/>
        </w:rPr>
        <w:t> </w:t>
      </w:r>
      <w:r>
        <w:rPr>
          <w:i/>
          <w:color w:val="231F20"/>
          <w:sz w:val="20"/>
        </w:rPr>
        <w:t>шел</w:t>
      </w:r>
      <w:r>
        <w:rPr>
          <w:i/>
          <w:color w:val="231F20"/>
          <w:spacing w:val="-3"/>
          <w:sz w:val="20"/>
        </w:rPr>
        <w:t> </w:t>
      </w:r>
      <w:r>
        <w:rPr>
          <w:i/>
          <w:color w:val="231F20"/>
          <w:sz w:val="20"/>
        </w:rPr>
        <w:t>и</w:t>
      </w:r>
      <w:r>
        <w:rPr>
          <w:i/>
          <w:color w:val="231F20"/>
          <w:spacing w:val="-4"/>
          <w:sz w:val="20"/>
        </w:rPr>
        <w:t> </w:t>
      </w:r>
      <w:r>
        <w:rPr>
          <w:i/>
          <w:color w:val="231F20"/>
          <w:sz w:val="20"/>
        </w:rPr>
        <w:t>увидел</w:t>
      </w:r>
      <w:r>
        <w:rPr>
          <w:i/>
          <w:color w:val="231F20"/>
          <w:spacing w:val="-4"/>
          <w:sz w:val="20"/>
        </w:rPr>
        <w:t> </w:t>
      </w:r>
      <w:r>
        <w:rPr>
          <w:i/>
          <w:color w:val="231F20"/>
          <w:sz w:val="20"/>
        </w:rPr>
        <w:t>одного</w:t>
      </w:r>
      <w:r>
        <w:rPr>
          <w:i/>
          <w:color w:val="231F20"/>
          <w:spacing w:val="-3"/>
          <w:sz w:val="20"/>
        </w:rPr>
        <w:t> </w:t>
      </w:r>
      <w:r>
        <w:rPr>
          <w:i/>
          <w:color w:val="231F20"/>
          <w:sz w:val="20"/>
        </w:rPr>
        <w:t>человека,</w:t>
      </w:r>
      <w:r>
        <w:rPr>
          <w:i/>
          <w:color w:val="231F20"/>
          <w:spacing w:val="-3"/>
          <w:sz w:val="20"/>
        </w:rPr>
        <w:t> </w:t>
      </w:r>
      <w:r>
        <w:rPr>
          <w:i/>
          <w:color w:val="231F20"/>
          <w:sz w:val="20"/>
        </w:rPr>
        <w:t>он</w:t>
      </w:r>
      <w:r>
        <w:rPr>
          <w:i/>
          <w:color w:val="231F20"/>
          <w:spacing w:val="-4"/>
          <w:sz w:val="20"/>
        </w:rPr>
        <w:t> </w:t>
      </w:r>
      <w:r>
        <w:rPr>
          <w:i/>
          <w:color w:val="231F20"/>
          <w:sz w:val="20"/>
        </w:rPr>
        <w:t>с</w:t>
      </w:r>
      <w:r>
        <w:rPr>
          <w:i/>
          <w:color w:val="231F20"/>
          <w:spacing w:val="-3"/>
          <w:sz w:val="20"/>
        </w:rPr>
        <w:t> </w:t>
      </w:r>
      <w:r>
        <w:rPr>
          <w:i/>
          <w:color w:val="231F20"/>
          <w:sz w:val="20"/>
        </w:rPr>
        <w:t>пистолетом</w:t>
      </w:r>
      <w:r>
        <w:rPr>
          <w:i/>
          <w:color w:val="231F20"/>
          <w:spacing w:val="-4"/>
          <w:sz w:val="20"/>
        </w:rPr>
        <w:t> </w:t>
      </w:r>
      <w:r>
        <w:rPr>
          <w:i/>
          <w:color w:val="231F20"/>
          <w:sz w:val="20"/>
        </w:rPr>
        <w:t>был.</w:t>
      </w:r>
      <w:r>
        <w:rPr>
          <w:i/>
          <w:color w:val="231F20"/>
          <w:spacing w:val="-3"/>
          <w:sz w:val="20"/>
        </w:rPr>
        <w:t> </w:t>
      </w:r>
      <w:r>
        <w:rPr>
          <w:i/>
          <w:color w:val="231F20"/>
          <w:sz w:val="20"/>
        </w:rPr>
        <w:t>Он</w:t>
      </w:r>
      <w:r>
        <w:rPr>
          <w:i/>
          <w:color w:val="231F20"/>
          <w:spacing w:val="-3"/>
          <w:sz w:val="20"/>
        </w:rPr>
        <w:t> </w:t>
      </w:r>
      <w:r>
        <w:rPr>
          <w:i/>
          <w:color w:val="231F20"/>
          <w:sz w:val="20"/>
        </w:rPr>
        <w:t>сказал:</w:t>
      </w:r>
      <w:r>
        <w:rPr>
          <w:i/>
          <w:color w:val="231F20"/>
          <w:spacing w:val="-3"/>
          <w:sz w:val="20"/>
        </w:rPr>
        <w:t> </w:t>
      </w:r>
      <w:r>
        <w:rPr>
          <w:i/>
          <w:color w:val="231F20"/>
          <w:sz w:val="20"/>
        </w:rPr>
        <w:t>«Куда </w:t>
      </w:r>
      <w:r>
        <w:rPr>
          <w:i/>
          <w:color w:val="231F20"/>
          <w:spacing w:val="-2"/>
          <w:sz w:val="20"/>
        </w:rPr>
        <w:t>идешь?»</w:t>
      </w:r>
    </w:p>
    <w:p>
      <w:pPr>
        <w:pStyle w:val="ListParagraph"/>
        <w:numPr>
          <w:ilvl w:val="0"/>
          <w:numId w:val="216"/>
        </w:numPr>
        <w:tabs>
          <w:tab w:pos="575" w:val="left" w:leader="none"/>
        </w:tabs>
        <w:spacing w:line="223" w:lineRule="exact" w:before="0" w:after="0"/>
        <w:ind w:left="575" w:right="0" w:hanging="150"/>
        <w:jc w:val="both"/>
        <w:rPr>
          <w:i/>
          <w:sz w:val="20"/>
        </w:rPr>
      </w:pPr>
      <w:r>
        <w:rPr>
          <w:i/>
          <w:color w:val="231F20"/>
          <w:spacing w:val="-2"/>
          <w:sz w:val="20"/>
        </w:rPr>
        <w:t>Домой.</w:t>
      </w:r>
    </w:p>
    <w:p>
      <w:pPr>
        <w:pStyle w:val="ListParagraph"/>
        <w:numPr>
          <w:ilvl w:val="0"/>
          <w:numId w:val="216"/>
        </w:numPr>
        <w:tabs>
          <w:tab w:pos="575" w:val="left" w:leader="none"/>
        </w:tabs>
        <w:spacing w:line="224" w:lineRule="exact" w:before="0" w:after="0"/>
        <w:ind w:left="575" w:right="0" w:hanging="150"/>
        <w:jc w:val="both"/>
        <w:rPr>
          <w:i/>
          <w:sz w:val="20"/>
        </w:rPr>
      </w:pPr>
      <w:r>
        <w:rPr>
          <w:i/>
          <w:color w:val="231F20"/>
          <w:spacing w:val="-2"/>
          <w:sz w:val="20"/>
        </w:rPr>
        <w:t>Стой.</w:t>
      </w:r>
    </w:p>
    <w:p>
      <w:pPr>
        <w:spacing w:line="232" w:lineRule="auto" w:before="2"/>
        <w:ind w:left="141" w:right="139" w:firstLine="283"/>
        <w:jc w:val="both"/>
        <w:rPr>
          <w:i/>
          <w:sz w:val="20"/>
        </w:rPr>
      </w:pPr>
      <w:r>
        <w:rPr>
          <w:i/>
          <w:color w:val="231F20"/>
          <w:sz w:val="20"/>
        </w:rPr>
        <w:t>Потом пришли еще двое и превратились в ужасы. Страшные. Они хотели меня скушать. Я убежал от них и к Сергею</w:t>
      </w:r>
      <w:r>
        <w:rPr>
          <w:i/>
          <w:color w:val="231F20"/>
          <w:sz w:val="20"/>
          <w:vertAlign w:val="superscript"/>
        </w:rPr>
        <w:t>1</w:t>
      </w:r>
      <w:r>
        <w:rPr>
          <w:i/>
          <w:color w:val="231F20"/>
          <w:sz w:val="20"/>
          <w:vertAlign w:val="baseline"/>
        </w:rPr>
        <w:t> пришел. Там спрятался. Когда они ушли, я тоже ушел. Пришел домой и рассказал все маме. Мама говорит: «Давай со мной ходить на улицу. Один не ходи, а то тебя скушают». Я пошел с мамой, гулял с ней. Опять они появились. Они были с корабля, с большой летающей тарелки. Оттуда они пришли.</w:t>
      </w:r>
    </w:p>
    <w:p>
      <w:pPr>
        <w:spacing w:line="235" w:lineRule="auto" w:before="0"/>
        <w:ind w:left="141" w:right="139" w:firstLine="283"/>
        <w:jc w:val="both"/>
        <w:rPr>
          <w:i/>
          <w:sz w:val="20"/>
        </w:rPr>
      </w:pPr>
      <w:r>
        <w:rPr>
          <w:i/>
          <w:color w:val="231F20"/>
          <w:sz w:val="20"/>
        </w:rPr>
        <w:t>Один раз я придумал такой бум, чтобы их уничтожить. Взял три хлопушки и </w:t>
      </w:r>
      <w:r>
        <w:rPr>
          <w:i/>
          <w:color w:val="231F20"/>
          <w:spacing w:val="-2"/>
          <w:sz w:val="20"/>
        </w:rPr>
        <w:t>завизжал.</w:t>
      </w:r>
    </w:p>
    <w:p>
      <w:pPr>
        <w:spacing w:line="235" w:lineRule="auto" w:before="0"/>
        <w:ind w:left="141" w:right="140" w:firstLine="283"/>
        <w:jc w:val="both"/>
        <w:rPr>
          <w:i/>
          <w:sz w:val="20"/>
        </w:rPr>
      </w:pPr>
      <w:r>
        <w:rPr>
          <w:i/>
          <w:color w:val="231F20"/>
          <w:sz w:val="20"/>
        </w:rPr>
        <w:t>Однажды они пришли, я это все поставил и взорвалась хлопушка. Два умерло, а один еще жив был. Он пошел своих друзей привел, много на землю напасть.</w:t>
      </w:r>
    </w:p>
    <w:p>
      <w:pPr>
        <w:spacing w:line="225" w:lineRule="exact" w:before="0"/>
        <w:ind w:left="425" w:right="0" w:firstLine="0"/>
        <w:jc w:val="both"/>
        <w:rPr>
          <w:i/>
          <w:sz w:val="20"/>
        </w:rPr>
      </w:pPr>
      <w:r>
        <w:rPr>
          <w:i/>
          <w:color w:val="231F20"/>
          <w:sz w:val="20"/>
        </w:rPr>
        <w:t>Я</w:t>
      </w:r>
      <w:r>
        <w:rPr>
          <w:i/>
          <w:color w:val="231F20"/>
          <w:spacing w:val="-5"/>
          <w:sz w:val="20"/>
        </w:rPr>
        <w:t> </w:t>
      </w:r>
      <w:r>
        <w:rPr>
          <w:i/>
          <w:color w:val="231F20"/>
          <w:sz w:val="20"/>
        </w:rPr>
        <w:t>рассказал</w:t>
      </w:r>
      <w:r>
        <w:rPr>
          <w:i/>
          <w:color w:val="231F20"/>
          <w:spacing w:val="-4"/>
          <w:sz w:val="20"/>
        </w:rPr>
        <w:t> </w:t>
      </w:r>
      <w:r>
        <w:rPr>
          <w:i/>
          <w:color w:val="231F20"/>
          <w:sz w:val="20"/>
        </w:rPr>
        <w:t>всем</w:t>
      </w:r>
      <w:r>
        <w:rPr>
          <w:i/>
          <w:color w:val="231F20"/>
          <w:spacing w:val="-5"/>
          <w:sz w:val="20"/>
        </w:rPr>
        <w:t> </w:t>
      </w:r>
      <w:r>
        <w:rPr>
          <w:i/>
          <w:color w:val="231F20"/>
          <w:sz w:val="20"/>
        </w:rPr>
        <w:t>на</w:t>
      </w:r>
      <w:r>
        <w:rPr>
          <w:i/>
          <w:color w:val="231F20"/>
          <w:spacing w:val="-4"/>
          <w:sz w:val="20"/>
        </w:rPr>
        <w:t> </w:t>
      </w:r>
      <w:r>
        <w:rPr>
          <w:i/>
          <w:color w:val="231F20"/>
          <w:spacing w:val="-2"/>
          <w:sz w:val="20"/>
        </w:rPr>
        <w:t>Земле.</w:t>
      </w:r>
    </w:p>
    <w:p>
      <w:pPr>
        <w:pStyle w:val="ListParagraph"/>
        <w:numPr>
          <w:ilvl w:val="0"/>
          <w:numId w:val="216"/>
        </w:numPr>
        <w:tabs>
          <w:tab w:pos="575" w:val="left" w:leader="none"/>
        </w:tabs>
        <w:spacing w:line="228" w:lineRule="exact" w:before="0" w:after="0"/>
        <w:ind w:left="575" w:right="0" w:hanging="150"/>
        <w:jc w:val="both"/>
        <w:rPr>
          <w:i/>
          <w:sz w:val="20"/>
        </w:rPr>
      </w:pPr>
      <w:r>
        <w:rPr>
          <w:i/>
          <w:color w:val="231F20"/>
          <w:sz w:val="20"/>
        </w:rPr>
        <w:t>Давайте</w:t>
      </w:r>
      <w:r>
        <w:rPr>
          <w:i/>
          <w:color w:val="231F20"/>
          <w:spacing w:val="-3"/>
          <w:sz w:val="20"/>
        </w:rPr>
        <w:t> </w:t>
      </w:r>
      <w:r>
        <w:rPr>
          <w:i/>
          <w:color w:val="231F20"/>
          <w:sz w:val="20"/>
        </w:rPr>
        <w:t>будем</w:t>
      </w:r>
      <w:r>
        <w:rPr>
          <w:i/>
          <w:color w:val="231F20"/>
          <w:spacing w:val="-4"/>
          <w:sz w:val="20"/>
        </w:rPr>
        <w:t> </w:t>
      </w:r>
      <w:r>
        <w:rPr>
          <w:i/>
          <w:color w:val="231F20"/>
          <w:sz w:val="20"/>
        </w:rPr>
        <w:t>готовы</w:t>
      </w:r>
      <w:r>
        <w:rPr>
          <w:i/>
          <w:color w:val="231F20"/>
          <w:spacing w:val="-4"/>
          <w:sz w:val="20"/>
        </w:rPr>
        <w:t> </w:t>
      </w:r>
      <w:r>
        <w:rPr>
          <w:i/>
          <w:color w:val="231F20"/>
          <w:sz w:val="20"/>
        </w:rPr>
        <w:t>к</w:t>
      </w:r>
      <w:r>
        <w:rPr>
          <w:i/>
          <w:color w:val="231F20"/>
          <w:spacing w:val="-2"/>
          <w:sz w:val="20"/>
        </w:rPr>
        <w:t> </w:t>
      </w:r>
      <w:r>
        <w:rPr>
          <w:i/>
          <w:color w:val="231F20"/>
          <w:sz w:val="20"/>
        </w:rPr>
        <w:t>битве,</w:t>
      </w:r>
      <w:r>
        <w:rPr>
          <w:i/>
          <w:color w:val="231F20"/>
          <w:spacing w:val="-3"/>
          <w:sz w:val="20"/>
        </w:rPr>
        <w:t> </w:t>
      </w:r>
      <w:r>
        <w:rPr>
          <w:i/>
          <w:color w:val="231F20"/>
          <w:sz w:val="20"/>
        </w:rPr>
        <w:t>–</w:t>
      </w:r>
      <w:r>
        <w:rPr>
          <w:i/>
          <w:color w:val="231F20"/>
          <w:spacing w:val="-3"/>
          <w:sz w:val="20"/>
        </w:rPr>
        <w:t> </w:t>
      </w:r>
      <w:r>
        <w:rPr>
          <w:i/>
          <w:color w:val="231F20"/>
          <w:sz w:val="20"/>
        </w:rPr>
        <w:t>ответили</w:t>
      </w:r>
      <w:r>
        <w:rPr>
          <w:i/>
          <w:color w:val="231F20"/>
          <w:spacing w:val="-2"/>
          <w:sz w:val="20"/>
        </w:rPr>
        <w:t> </w:t>
      </w:r>
      <w:r>
        <w:rPr>
          <w:i/>
          <w:color w:val="231F20"/>
          <w:spacing w:val="-4"/>
          <w:sz w:val="20"/>
        </w:rPr>
        <w:t>мне.</w:t>
      </w:r>
    </w:p>
    <w:p>
      <w:pPr>
        <w:pStyle w:val="BodyText"/>
        <w:spacing w:before="5"/>
        <w:ind w:left="0" w:right="0" w:firstLine="0"/>
        <w:jc w:val="left"/>
        <w:rPr>
          <w:i/>
          <w:sz w:val="9"/>
        </w:rPr>
      </w:pPr>
      <w:r>
        <w:rPr>
          <w:i/>
          <w:sz w:val="9"/>
        </w:rPr>
        <mc:AlternateContent>
          <mc:Choice Requires="wps">
            <w:drawing>
              <wp:anchor distT="0" distB="0" distL="0" distR="0" allowOverlap="1" layoutInCell="1" locked="0" behindDoc="1" simplePos="0" relativeHeight="487635456">
                <wp:simplePos x="0" y="0"/>
                <wp:positionH relativeFrom="page">
                  <wp:posOffset>360000</wp:posOffset>
                </wp:positionH>
                <wp:positionV relativeFrom="paragraph">
                  <wp:posOffset>84251</wp:posOffset>
                </wp:positionV>
                <wp:extent cx="1440180" cy="1270"/>
                <wp:effectExtent l="0" t="0" r="0" b="0"/>
                <wp:wrapTopAndBottom/>
                <wp:docPr id="147" name="Graphic 147"/>
                <wp:cNvGraphicFramePr>
                  <a:graphicFrameLocks/>
                </wp:cNvGraphicFramePr>
                <a:graphic>
                  <a:graphicData uri="http://schemas.microsoft.com/office/word/2010/wordprocessingShape">
                    <wps:wsp>
                      <wps:cNvPr id="147" name="Graphic 147"/>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5pt;margin-top:6.634003pt;width:113.4pt;height:.1pt;mso-position-horizontal-relative:page;mso-position-vertical-relative:paragraph;z-index:-15681024;mso-wrap-distance-left:0;mso-wrap-distance-right:0" id="docshape95" coordorigin="567,133" coordsize="2268,0" path="m567,133l2835,133e" filled="false" stroked="true" strokeweight=".5pt" strokecolor="#231f20">
                <v:path arrowok="t"/>
                <v:stroke dashstyle="solid"/>
                <w10:wrap type="topAndBottom"/>
              </v:shape>
            </w:pict>
          </mc:Fallback>
        </mc:AlternateContent>
      </w:r>
    </w:p>
    <w:p>
      <w:pPr>
        <w:tabs>
          <w:tab w:pos="425" w:val="left" w:leader="none"/>
        </w:tabs>
        <w:spacing w:line="232" w:lineRule="auto" w:before="32"/>
        <w:ind w:left="141" w:right="140" w:firstLine="0"/>
        <w:jc w:val="left"/>
        <w:rPr>
          <w:sz w:val="18"/>
        </w:rPr>
      </w:pPr>
      <w:r>
        <w:rPr>
          <w:color w:val="231F20"/>
          <w:spacing w:val="-10"/>
          <w:sz w:val="18"/>
          <w:vertAlign w:val="superscript"/>
        </w:rPr>
        <w:t>1</w:t>
      </w:r>
      <w:r>
        <w:rPr>
          <w:color w:val="231F20"/>
          <w:sz w:val="18"/>
          <w:vertAlign w:val="baseline"/>
        </w:rPr>
        <w:tab/>
        <w:t>Сергей</w:t>
      </w:r>
      <w:r>
        <w:rPr>
          <w:color w:val="231F20"/>
          <w:spacing w:val="-3"/>
          <w:sz w:val="18"/>
          <w:vertAlign w:val="baseline"/>
        </w:rPr>
        <w:t> </w:t>
      </w:r>
      <w:r>
        <w:rPr>
          <w:color w:val="231F20"/>
          <w:sz w:val="18"/>
          <w:vertAlign w:val="baseline"/>
        </w:rPr>
        <w:t>–</w:t>
      </w:r>
      <w:r>
        <w:rPr>
          <w:color w:val="231F20"/>
          <w:spacing w:val="-3"/>
          <w:sz w:val="18"/>
          <w:vertAlign w:val="baseline"/>
        </w:rPr>
        <w:t> </w:t>
      </w:r>
      <w:r>
        <w:rPr>
          <w:color w:val="231F20"/>
          <w:sz w:val="18"/>
          <w:vertAlign w:val="baseline"/>
        </w:rPr>
        <w:t>социальный</w:t>
      </w:r>
      <w:r>
        <w:rPr>
          <w:color w:val="231F20"/>
          <w:spacing w:val="-3"/>
          <w:sz w:val="18"/>
          <w:vertAlign w:val="baseline"/>
        </w:rPr>
        <w:t> </w:t>
      </w:r>
      <w:r>
        <w:rPr>
          <w:color w:val="231F20"/>
          <w:sz w:val="18"/>
          <w:vertAlign w:val="baseline"/>
        </w:rPr>
        <w:t>работник</w:t>
      </w:r>
      <w:r>
        <w:rPr>
          <w:color w:val="231F20"/>
          <w:spacing w:val="-3"/>
          <w:sz w:val="18"/>
          <w:vertAlign w:val="baseline"/>
        </w:rPr>
        <w:t> </w:t>
      </w:r>
      <w:r>
        <w:rPr>
          <w:color w:val="231F20"/>
          <w:sz w:val="18"/>
          <w:vertAlign w:val="baseline"/>
        </w:rPr>
        <w:t>в</w:t>
      </w:r>
      <w:r>
        <w:rPr>
          <w:color w:val="231F20"/>
          <w:spacing w:val="-3"/>
          <w:sz w:val="18"/>
          <w:vertAlign w:val="baseline"/>
        </w:rPr>
        <w:t> </w:t>
      </w:r>
      <w:r>
        <w:rPr>
          <w:color w:val="231F20"/>
          <w:sz w:val="18"/>
          <w:vertAlign w:val="baseline"/>
        </w:rPr>
        <w:t>центре</w:t>
      </w:r>
      <w:r>
        <w:rPr>
          <w:color w:val="231F20"/>
          <w:spacing w:val="-3"/>
          <w:sz w:val="18"/>
          <w:vertAlign w:val="baseline"/>
        </w:rPr>
        <w:t> </w:t>
      </w:r>
      <w:r>
        <w:rPr>
          <w:color w:val="231F20"/>
          <w:sz w:val="18"/>
          <w:vertAlign w:val="baseline"/>
        </w:rPr>
        <w:t>временного</w:t>
      </w:r>
      <w:r>
        <w:rPr>
          <w:color w:val="231F20"/>
          <w:spacing w:val="-3"/>
          <w:sz w:val="18"/>
          <w:vertAlign w:val="baseline"/>
        </w:rPr>
        <w:t> </w:t>
      </w:r>
      <w:r>
        <w:rPr>
          <w:color w:val="231F20"/>
          <w:sz w:val="18"/>
          <w:vertAlign w:val="baseline"/>
        </w:rPr>
        <w:t>размещения,</w:t>
      </w:r>
      <w:r>
        <w:rPr>
          <w:color w:val="231F20"/>
          <w:spacing w:val="-3"/>
          <w:sz w:val="18"/>
          <w:vertAlign w:val="baseline"/>
        </w:rPr>
        <w:t> </w:t>
      </w:r>
      <w:r>
        <w:rPr>
          <w:color w:val="231F20"/>
          <w:sz w:val="18"/>
          <w:vertAlign w:val="baseline"/>
        </w:rPr>
        <w:t>где</w:t>
      </w:r>
      <w:r>
        <w:rPr>
          <w:color w:val="231F20"/>
          <w:spacing w:val="-3"/>
          <w:sz w:val="18"/>
          <w:vertAlign w:val="baseline"/>
        </w:rPr>
        <w:t> </w:t>
      </w:r>
      <w:r>
        <w:rPr>
          <w:color w:val="231F20"/>
          <w:sz w:val="18"/>
          <w:vertAlign w:val="baseline"/>
        </w:rPr>
        <w:t>проживает</w:t>
      </w:r>
      <w:r>
        <w:rPr>
          <w:color w:val="231F20"/>
          <w:spacing w:val="-3"/>
          <w:sz w:val="18"/>
          <w:vertAlign w:val="baseline"/>
        </w:rPr>
        <w:t> </w:t>
      </w:r>
      <w:r>
        <w:rPr>
          <w:color w:val="231F20"/>
          <w:sz w:val="18"/>
          <w:vertAlign w:val="baseline"/>
        </w:rPr>
        <w:t>семья</w:t>
      </w:r>
      <w:r>
        <w:rPr>
          <w:color w:val="231F20"/>
          <w:spacing w:val="-3"/>
          <w:sz w:val="18"/>
          <w:vertAlign w:val="baseline"/>
        </w:rPr>
        <w:t> </w:t>
      </w:r>
      <w:r>
        <w:rPr>
          <w:color w:val="231F20"/>
          <w:sz w:val="18"/>
          <w:vertAlign w:val="baseline"/>
        </w:rPr>
        <w:t>ре- </w:t>
      </w:r>
      <w:r>
        <w:rPr>
          <w:color w:val="231F20"/>
          <w:spacing w:val="-2"/>
          <w:sz w:val="18"/>
          <w:vertAlign w:val="baseline"/>
        </w:rPr>
        <w:t>бенка.</w:t>
      </w:r>
    </w:p>
    <w:p>
      <w:pPr>
        <w:spacing w:after="0" w:line="232" w:lineRule="auto"/>
        <w:jc w:val="left"/>
        <w:rPr>
          <w:sz w:val="18"/>
        </w:rPr>
        <w:sectPr>
          <w:pgSz w:w="8400" w:h="11910"/>
          <w:pgMar w:header="0" w:footer="529"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spacing w:line="235" w:lineRule="auto" w:before="116"/>
        <w:ind w:left="425" w:right="2994" w:firstLine="0"/>
        <w:jc w:val="left"/>
        <w:rPr>
          <w:i/>
          <w:sz w:val="20"/>
        </w:rPr>
      </w:pPr>
      <w:r>
        <w:rPr>
          <w:i/>
          <w:color w:val="231F20"/>
          <w:sz w:val="20"/>
        </w:rPr>
        <w:t>Они</w:t>
      </w:r>
      <w:r>
        <w:rPr>
          <w:i/>
          <w:color w:val="231F20"/>
          <w:spacing w:val="-4"/>
          <w:sz w:val="20"/>
        </w:rPr>
        <w:t> </w:t>
      </w:r>
      <w:r>
        <w:rPr>
          <w:i/>
          <w:color w:val="231F20"/>
          <w:sz w:val="20"/>
        </w:rPr>
        <w:t>пришли</w:t>
      </w:r>
      <w:r>
        <w:rPr>
          <w:i/>
          <w:color w:val="231F20"/>
          <w:spacing w:val="-4"/>
          <w:sz w:val="20"/>
        </w:rPr>
        <w:t> </w:t>
      </w:r>
      <w:r>
        <w:rPr>
          <w:i/>
          <w:color w:val="231F20"/>
          <w:sz w:val="20"/>
        </w:rPr>
        <w:t>и</w:t>
      </w:r>
      <w:r>
        <w:rPr>
          <w:i/>
          <w:color w:val="231F20"/>
          <w:spacing w:val="-4"/>
          <w:sz w:val="20"/>
        </w:rPr>
        <w:t> </w:t>
      </w:r>
      <w:r>
        <w:rPr>
          <w:i/>
          <w:color w:val="231F20"/>
          <w:sz w:val="20"/>
        </w:rPr>
        <w:t>спросили:</w:t>
      </w:r>
      <w:r>
        <w:rPr>
          <w:i/>
          <w:color w:val="231F20"/>
          <w:spacing w:val="-4"/>
          <w:sz w:val="20"/>
        </w:rPr>
        <w:t> </w:t>
      </w:r>
      <w:r>
        <w:rPr>
          <w:i/>
          <w:color w:val="231F20"/>
          <w:sz w:val="20"/>
        </w:rPr>
        <w:t>«Вы</w:t>
      </w:r>
      <w:r>
        <w:rPr>
          <w:i/>
          <w:color w:val="231F20"/>
          <w:spacing w:val="-5"/>
          <w:sz w:val="20"/>
        </w:rPr>
        <w:t> </w:t>
      </w:r>
      <w:r>
        <w:rPr>
          <w:i/>
          <w:color w:val="231F20"/>
          <w:sz w:val="20"/>
        </w:rPr>
        <w:t>к</w:t>
      </w:r>
      <w:r>
        <w:rPr>
          <w:i/>
          <w:color w:val="231F20"/>
          <w:spacing w:val="-4"/>
          <w:sz w:val="20"/>
        </w:rPr>
        <w:t> </w:t>
      </w:r>
      <w:r>
        <w:rPr>
          <w:i/>
          <w:color w:val="231F20"/>
          <w:sz w:val="20"/>
        </w:rPr>
        <w:t>битве</w:t>
      </w:r>
      <w:r>
        <w:rPr>
          <w:i/>
          <w:color w:val="231F20"/>
          <w:spacing w:val="-4"/>
          <w:sz w:val="20"/>
        </w:rPr>
        <w:t> </w:t>
      </w:r>
      <w:r>
        <w:rPr>
          <w:i/>
          <w:color w:val="231F20"/>
          <w:sz w:val="20"/>
        </w:rPr>
        <w:t>готовы?» – Да.</w:t>
      </w:r>
    </w:p>
    <w:p>
      <w:pPr>
        <w:spacing w:line="235" w:lineRule="auto" w:before="1"/>
        <w:ind w:left="141" w:right="140" w:firstLine="283"/>
        <w:jc w:val="both"/>
        <w:rPr>
          <w:i/>
          <w:sz w:val="20"/>
        </w:rPr>
      </w:pPr>
      <w:r>
        <w:rPr>
          <w:i/>
          <w:color w:val="231F20"/>
          <w:sz w:val="20"/>
        </w:rPr>
        <w:t>Мы все хлопушки сделали, чтобы их взорвать, когда они побегут на нас. Так и случилось. Мы брали, все зажигали и бросали, и они умерли.</w:t>
      </w:r>
    </w:p>
    <w:p>
      <w:pPr>
        <w:spacing w:line="227" w:lineRule="exact" w:before="0"/>
        <w:ind w:left="425" w:right="0" w:firstLine="0"/>
        <w:jc w:val="both"/>
        <w:rPr>
          <w:i/>
          <w:sz w:val="20"/>
        </w:rPr>
      </w:pPr>
      <w:r>
        <w:rPr>
          <w:i/>
          <w:color w:val="231F20"/>
          <w:sz w:val="20"/>
        </w:rPr>
        <w:t>Урок:</w:t>
      </w:r>
      <w:r>
        <w:rPr>
          <w:i/>
          <w:color w:val="231F20"/>
          <w:spacing w:val="-7"/>
          <w:sz w:val="20"/>
        </w:rPr>
        <w:t> </w:t>
      </w:r>
      <w:r>
        <w:rPr>
          <w:i/>
          <w:color w:val="231F20"/>
          <w:sz w:val="20"/>
        </w:rPr>
        <w:t>Если</w:t>
      </w:r>
      <w:r>
        <w:rPr>
          <w:i/>
          <w:color w:val="231F20"/>
          <w:spacing w:val="-5"/>
          <w:sz w:val="20"/>
        </w:rPr>
        <w:t> </w:t>
      </w:r>
      <w:r>
        <w:rPr>
          <w:i/>
          <w:color w:val="231F20"/>
          <w:sz w:val="20"/>
        </w:rPr>
        <w:t>кто-то</w:t>
      </w:r>
      <w:r>
        <w:rPr>
          <w:i/>
          <w:color w:val="231F20"/>
          <w:spacing w:val="-5"/>
          <w:sz w:val="20"/>
        </w:rPr>
        <w:t> </w:t>
      </w:r>
      <w:r>
        <w:rPr>
          <w:i/>
          <w:color w:val="231F20"/>
          <w:sz w:val="20"/>
        </w:rPr>
        <w:t>хочет</w:t>
      </w:r>
      <w:r>
        <w:rPr>
          <w:i/>
          <w:color w:val="231F20"/>
          <w:spacing w:val="-5"/>
          <w:sz w:val="20"/>
        </w:rPr>
        <w:t> </w:t>
      </w:r>
      <w:r>
        <w:rPr>
          <w:i/>
          <w:color w:val="231F20"/>
          <w:sz w:val="20"/>
        </w:rPr>
        <w:t>напасть,</w:t>
      </w:r>
      <w:r>
        <w:rPr>
          <w:i/>
          <w:color w:val="231F20"/>
          <w:spacing w:val="-5"/>
          <w:sz w:val="20"/>
        </w:rPr>
        <w:t> </w:t>
      </w:r>
      <w:r>
        <w:rPr>
          <w:i/>
          <w:color w:val="231F20"/>
          <w:sz w:val="20"/>
        </w:rPr>
        <w:t>нужно</w:t>
      </w:r>
      <w:r>
        <w:rPr>
          <w:i/>
          <w:color w:val="231F20"/>
          <w:spacing w:val="-5"/>
          <w:sz w:val="20"/>
        </w:rPr>
        <w:t> </w:t>
      </w:r>
      <w:r>
        <w:rPr>
          <w:i/>
          <w:color w:val="231F20"/>
          <w:sz w:val="20"/>
        </w:rPr>
        <w:t>сказать</w:t>
      </w:r>
      <w:r>
        <w:rPr>
          <w:i/>
          <w:color w:val="231F20"/>
          <w:spacing w:val="-6"/>
          <w:sz w:val="20"/>
        </w:rPr>
        <w:t> </w:t>
      </w:r>
      <w:r>
        <w:rPr>
          <w:i/>
          <w:color w:val="231F20"/>
          <w:sz w:val="20"/>
        </w:rPr>
        <w:t>всем,</w:t>
      </w:r>
      <w:r>
        <w:rPr>
          <w:i/>
          <w:color w:val="231F20"/>
          <w:spacing w:val="-4"/>
          <w:sz w:val="20"/>
        </w:rPr>
        <w:t> </w:t>
      </w:r>
      <w:r>
        <w:rPr>
          <w:i/>
          <w:color w:val="231F20"/>
          <w:sz w:val="20"/>
        </w:rPr>
        <w:t>и</w:t>
      </w:r>
      <w:r>
        <w:rPr>
          <w:i/>
          <w:color w:val="231F20"/>
          <w:spacing w:val="-5"/>
          <w:sz w:val="20"/>
        </w:rPr>
        <w:t> </w:t>
      </w:r>
      <w:r>
        <w:rPr>
          <w:i/>
          <w:color w:val="231F20"/>
          <w:sz w:val="20"/>
        </w:rPr>
        <w:t>тогда</w:t>
      </w:r>
      <w:r>
        <w:rPr>
          <w:i/>
          <w:color w:val="231F20"/>
          <w:spacing w:val="-5"/>
          <w:sz w:val="20"/>
        </w:rPr>
        <w:t> </w:t>
      </w:r>
      <w:r>
        <w:rPr>
          <w:i/>
          <w:color w:val="231F20"/>
          <w:sz w:val="20"/>
        </w:rPr>
        <w:t>мы</w:t>
      </w:r>
      <w:r>
        <w:rPr>
          <w:i/>
          <w:color w:val="231F20"/>
          <w:spacing w:val="-5"/>
          <w:sz w:val="20"/>
        </w:rPr>
        <w:t> </w:t>
      </w:r>
      <w:r>
        <w:rPr>
          <w:i/>
          <w:color w:val="231F20"/>
          <w:spacing w:val="-2"/>
          <w:sz w:val="20"/>
        </w:rPr>
        <w:t>победим.</w:t>
      </w:r>
    </w:p>
    <w:p>
      <w:pPr>
        <w:pStyle w:val="BodyText"/>
        <w:spacing w:line="235" w:lineRule="auto" w:before="113"/>
      </w:pPr>
      <w:r>
        <w:rPr>
          <w:color w:val="231F20"/>
        </w:rPr>
        <w:t>Рассказанная</w:t>
      </w:r>
      <w:r>
        <w:rPr>
          <w:color w:val="231F20"/>
          <w:spacing w:val="-7"/>
        </w:rPr>
        <w:t> </w:t>
      </w:r>
      <w:r>
        <w:rPr>
          <w:color w:val="231F20"/>
        </w:rPr>
        <w:t>история</w:t>
      </w:r>
      <w:r>
        <w:rPr>
          <w:color w:val="231F20"/>
          <w:spacing w:val="-7"/>
        </w:rPr>
        <w:t> </w:t>
      </w:r>
      <w:r>
        <w:rPr>
          <w:color w:val="231F20"/>
        </w:rPr>
        <w:t>достаточно</w:t>
      </w:r>
      <w:r>
        <w:rPr>
          <w:color w:val="231F20"/>
          <w:spacing w:val="-7"/>
        </w:rPr>
        <w:t> </w:t>
      </w:r>
      <w:r>
        <w:rPr>
          <w:color w:val="231F20"/>
        </w:rPr>
        <w:t>конструктивна,</w:t>
      </w:r>
      <w:r>
        <w:rPr>
          <w:color w:val="231F20"/>
          <w:spacing w:val="-7"/>
        </w:rPr>
        <w:t> </w:t>
      </w:r>
      <w:r>
        <w:rPr>
          <w:color w:val="231F20"/>
        </w:rPr>
        <w:t>особенно</w:t>
      </w:r>
      <w:r>
        <w:rPr>
          <w:color w:val="231F20"/>
          <w:spacing w:val="-7"/>
        </w:rPr>
        <w:t> </w:t>
      </w:r>
      <w:r>
        <w:rPr>
          <w:color w:val="231F20"/>
        </w:rPr>
        <w:t>в</w:t>
      </w:r>
      <w:r>
        <w:rPr>
          <w:color w:val="231F20"/>
          <w:spacing w:val="-7"/>
        </w:rPr>
        <w:t> </w:t>
      </w:r>
      <w:r>
        <w:rPr>
          <w:color w:val="231F20"/>
        </w:rPr>
        <w:t>свете</w:t>
      </w:r>
      <w:r>
        <w:rPr>
          <w:color w:val="231F20"/>
          <w:spacing w:val="-7"/>
        </w:rPr>
        <w:t> </w:t>
      </w:r>
      <w:r>
        <w:rPr>
          <w:color w:val="231F20"/>
        </w:rPr>
        <w:t>реальных</w:t>
      </w:r>
      <w:r>
        <w:rPr>
          <w:color w:val="231F20"/>
          <w:spacing w:val="-7"/>
        </w:rPr>
        <w:t> </w:t>
      </w:r>
      <w:r>
        <w:rPr>
          <w:color w:val="231F20"/>
        </w:rPr>
        <w:t>про- блем ребенка. Она показывает, что процесс «самопсихотерапии» движется доста- точно успешно. В данном случае следует акцентировать внимание на возможности достижения результата самостоятельным путем. Соответственно была рассказана следующая история.</w:t>
      </w:r>
    </w:p>
    <w:p>
      <w:pPr>
        <w:spacing w:line="235" w:lineRule="auto" w:before="117"/>
        <w:ind w:left="425" w:right="2757" w:firstLine="0"/>
        <w:jc w:val="both"/>
        <w:rPr>
          <w:i/>
          <w:sz w:val="20"/>
        </w:rPr>
      </w:pPr>
      <w:r>
        <w:rPr>
          <w:i/>
          <w:color w:val="231F20"/>
          <w:sz w:val="20"/>
        </w:rPr>
        <w:t>Однажды</w:t>
      </w:r>
      <w:r>
        <w:rPr>
          <w:i/>
          <w:color w:val="231F20"/>
          <w:spacing w:val="-7"/>
          <w:sz w:val="20"/>
        </w:rPr>
        <w:t> </w:t>
      </w:r>
      <w:r>
        <w:rPr>
          <w:i/>
          <w:color w:val="231F20"/>
          <w:sz w:val="20"/>
        </w:rPr>
        <w:t>я</w:t>
      </w:r>
      <w:r>
        <w:rPr>
          <w:i/>
          <w:color w:val="231F20"/>
          <w:spacing w:val="-6"/>
          <w:sz w:val="20"/>
        </w:rPr>
        <w:t> </w:t>
      </w:r>
      <w:r>
        <w:rPr>
          <w:i/>
          <w:color w:val="231F20"/>
          <w:sz w:val="20"/>
        </w:rPr>
        <w:t>шел</w:t>
      </w:r>
      <w:r>
        <w:rPr>
          <w:i/>
          <w:color w:val="231F20"/>
          <w:spacing w:val="-6"/>
          <w:sz w:val="20"/>
        </w:rPr>
        <w:t> </w:t>
      </w:r>
      <w:r>
        <w:rPr>
          <w:i/>
          <w:color w:val="231F20"/>
          <w:sz w:val="20"/>
        </w:rPr>
        <w:t>по</w:t>
      </w:r>
      <w:r>
        <w:rPr>
          <w:i/>
          <w:color w:val="231F20"/>
          <w:spacing w:val="-6"/>
          <w:sz w:val="20"/>
        </w:rPr>
        <w:t> </w:t>
      </w:r>
      <w:r>
        <w:rPr>
          <w:i/>
          <w:color w:val="231F20"/>
          <w:sz w:val="20"/>
        </w:rPr>
        <w:t>улице</w:t>
      </w:r>
      <w:r>
        <w:rPr>
          <w:i/>
          <w:color w:val="231F20"/>
          <w:spacing w:val="-6"/>
          <w:sz w:val="20"/>
        </w:rPr>
        <w:t> </w:t>
      </w:r>
      <w:r>
        <w:rPr>
          <w:i/>
          <w:color w:val="231F20"/>
          <w:sz w:val="20"/>
        </w:rPr>
        <w:t>и</w:t>
      </w:r>
      <w:r>
        <w:rPr>
          <w:i/>
          <w:color w:val="231F20"/>
          <w:spacing w:val="-6"/>
          <w:sz w:val="20"/>
        </w:rPr>
        <w:t> </w:t>
      </w:r>
      <w:r>
        <w:rPr>
          <w:i/>
          <w:color w:val="231F20"/>
          <w:sz w:val="20"/>
        </w:rPr>
        <w:t>увидел</w:t>
      </w:r>
      <w:r>
        <w:rPr>
          <w:i/>
          <w:color w:val="231F20"/>
          <w:spacing w:val="-6"/>
          <w:sz w:val="20"/>
        </w:rPr>
        <w:t> </w:t>
      </w:r>
      <w:r>
        <w:rPr>
          <w:i/>
          <w:color w:val="231F20"/>
          <w:sz w:val="20"/>
        </w:rPr>
        <w:t>одного</w:t>
      </w:r>
      <w:r>
        <w:rPr>
          <w:i/>
          <w:color w:val="231F20"/>
          <w:spacing w:val="-6"/>
          <w:sz w:val="20"/>
        </w:rPr>
        <w:t> </w:t>
      </w:r>
      <w:r>
        <w:rPr>
          <w:i/>
          <w:color w:val="231F20"/>
          <w:sz w:val="20"/>
        </w:rPr>
        <w:t>человека. Он спросил меня: «Ты куда идешь?»</w:t>
      </w:r>
    </w:p>
    <w:p>
      <w:pPr>
        <w:pStyle w:val="ListParagraph"/>
        <w:numPr>
          <w:ilvl w:val="0"/>
          <w:numId w:val="216"/>
        </w:numPr>
        <w:tabs>
          <w:tab w:pos="575" w:val="left" w:leader="none"/>
        </w:tabs>
        <w:spacing w:line="225" w:lineRule="exact" w:before="0" w:after="0"/>
        <w:ind w:left="575" w:right="0" w:hanging="150"/>
        <w:jc w:val="both"/>
        <w:rPr>
          <w:i/>
          <w:sz w:val="20"/>
        </w:rPr>
      </w:pPr>
      <w:r>
        <w:rPr>
          <w:i/>
          <w:color w:val="231F20"/>
          <w:sz w:val="20"/>
        </w:rPr>
        <w:t>Я</w:t>
      </w:r>
      <w:r>
        <w:rPr>
          <w:i/>
          <w:color w:val="231F20"/>
          <w:spacing w:val="-5"/>
          <w:sz w:val="20"/>
        </w:rPr>
        <w:t> </w:t>
      </w:r>
      <w:r>
        <w:rPr>
          <w:i/>
          <w:color w:val="231F20"/>
          <w:sz w:val="20"/>
        </w:rPr>
        <w:t>иду</w:t>
      </w:r>
      <w:r>
        <w:rPr>
          <w:i/>
          <w:color w:val="231F20"/>
          <w:spacing w:val="-1"/>
          <w:sz w:val="20"/>
        </w:rPr>
        <w:t> </w:t>
      </w:r>
      <w:r>
        <w:rPr>
          <w:i/>
          <w:color w:val="231F20"/>
          <w:spacing w:val="-2"/>
          <w:sz w:val="20"/>
        </w:rPr>
        <w:t>домой.</w:t>
      </w:r>
    </w:p>
    <w:p>
      <w:pPr>
        <w:spacing w:line="237" w:lineRule="auto" w:before="0"/>
        <w:ind w:left="141" w:right="139" w:firstLine="283"/>
        <w:jc w:val="both"/>
        <w:rPr>
          <w:i/>
          <w:sz w:val="20"/>
        </w:rPr>
      </w:pPr>
      <w:r>
        <w:rPr>
          <w:i/>
          <w:color w:val="231F20"/>
          <w:sz w:val="20"/>
        </w:rPr>
        <w:t>Тут подошли еще два страшных ужаса и хотели меня съесть. Я убежал от них к</w:t>
      </w:r>
      <w:r>
        <w:rPr>
          <w:i/>
          <w:color w:val="231F20"/>
          <w:spacing w:val="-6"/>
          <w:sz w:val="20"/>
        </w:rPr>
        <w:t> </w:t>
      </w:r>
      <w:r>
        <w:rPr>
          <w:i/>
          <w:color w:val="231F20"/>
          <w:sz w:val="20"/>
        </w:rPr>
        <w:t>Сергею</w:t>
      </w:r>
      <w:r>
        <w:rPr>
          <w:i/>
          <w:color w:val="231F20"/>
          <w:spacing w:val="-6"/>
          <w:sz w:val="20"/>
        </w:rPr>
        <w:t> </w:t>
      </w:r>
      <w:r>
        <w:rPr>
          <w:i/>
          <w:color w:val="231F20"/>
          <w:sz w:val="20"/>
        </w:rPr>
        <w:t>Сергеевичу</w:t>
      </w:r>
      <w:r>
        <w:rPr>
          <w:i/>
          <w:color w:val="231F20"/>
          <w:spacing w:val="-6"/>
          <w:sz w:val="20"/>
        </w:rPr>
        <w:t> </w:t>
      </w:r>
      <w:r>
        <w:rPr>
          <w:i/>
          <w:color w:val="231F20"/>
          <w:sz w:val="20"/>
        </w:rPr>
        <w:t>и</w:t>
      </w:r>
      <w:r>
        <w:rPr>
          <w:i/>
          <w:color w:val="231F20"/>
          <w:spacing w:val="-6"/>
          <w:sz w:val="20"/>
        </w:rPr>
        <w:t> </w:t>
      </w:r>
      <w:r>
        <w:rPr>
          <w:i/>
          <w:color w:val="231F20"/>
          <w:sz w:val="20"/>
        </w:rPr>
        <w:t>спрятался.</w:t>
      </w:r>
      <w:r>
        <w:rPr>
          <w:i/>
          <w:color w:val="231F20"/>
          <w:spacing w:val="-6"/>
          <w:sz w:val="20"/>
        </w:rPr>
        <w:t> </w:t>
      </w:r>
      <w:r>
        <w:rPr>
          <w:i/>
          <w:color w:val="231F20"/>
          <w:sz w:val="20"/>
        </w:rPr>
        <w:t>Потом</w:t>
      </w:r>
      <w:r>
        <w:rPr>
          <w:i/>
          <w:color w:val="231F20"/>
          <w:spacing w:val="-6"/>
          <w:sz w:val="20"/>
        </w:rPr>
        <w:t> </w:t>
      </w:r>
      <w:r>
        <w:rPr>
          <w:i/>
          <w:color w:val="231F20"/>
          <w:sz w:val="20"/>
        </w:rPr>
        <w:t>все</w:t>
      </w:r>
      <w:r>
        <w:rPr>
          <w:i/>
          <w:color w:val="231F20"/>
          <w:spacing w:val="-6"/>
          <w:sz w:val="20"/>
        </w:rPr>
        <w:t> </w:t>
      </w:r>
      <w:r>
        <w:rPr>
          <w:i/>
          <w:color w:val="231F20"/>
          <w:sz w:val="20"/>
        </w:rPr>
        <w:t>рассказал</w:t>
      </w:r>
      <w:r>
        <w:rPr>
          <w:i/>
          <w:color w:val="231F20"/>
          <w:spacing w:val="-6"/>
          <w:sz w:val="20"/>
        </w:rPr>
        <w:t> </w:t>
      </w:r>
      <w:r>
        <w:rPr>
          <w:i/>
          <w:color w:val="231F20"/>
          <w:sz w:val="20"/>
        </w:rPr>
        <w:t>маме.</w:t>
      </w:r>
      <w:r>
        <w:rPr>
          <w:i/>
          <w:color w:val="231F20"/>
          <w:spacing w:val="-6"/>
          <w:sz w:val="20"/>
        </w:rPr>
        <w:t> </w:t>
      </w:r>
      <w:r>
        <w:rPr>
          <w:i/>
          <w:color w:val="231F20"/>
          <w:sz w:val="20"/>
        </w:rPr>
        <w:t>Мама</w:t>
      </w:r>
      <w:r>
        <w:rPr>
          <w:i/>
          <w:color w:val="231F20"/>
          <w:spacing w:val="-6"/>
          <w:sz w:val="20"/>
        </w:rPr>
        <w:t> </w:t>
      </w:r>
      <w:r>
        <w:rPr>
          <w:i/>
          <w:color w:val="231F20"/>
          <w:sz w:val="20"/>
        </w:rPr>
        <w:t>говорит:</w:t>
      </w:r>
      <w:r>
        <w:rPr>
          <w:i/>
          <w:color w:val="231F20"/>
          <w:spacing w:val="-6"/>
          <w:sz w:val="20"/>
        </w:rPr>
        <w:t> </w:t>
      </w:r>
      <w:r>
        <w:rPr>
          <w:i/>
          <w:color w:val="231F20"/>
          <w:sz w:val="20"/>
        </w:rPr>
        <w:t>«Один не ходи улицу». После этого я ходил только с мамой. Но все равно я боялся.</w:t>
      </w:r>
    </w:p>
    <w:p>
      <w:pPr>
        <w:spacing w:before="1"/>
        <w:ind w:left="141" w:right="139" w:firstLine="283"/>
        <w:jc w:val="both"/>
        <w:rPr>
          <w:i/>
          <w:sz w:val="20"/>
        </w:rPr>
      </w:pPr>
      <w:r>
        <w:rPr>
          <w:i/>
          <w:color w:val="231F20"/>
          <w:sz w:val="20"/>
        </w:rPr>
        <w:t>А потом я подумал: «Чем больше я их боюсь, тем они сильнее». И я решил их не </w:t>
      </w:r>
      <w:r>
        <w:rPr>
          <w:i/>
          <w:color w:val="231F20"/>
          <w:spacing w:val="-2"/>
          <w:sz w:val="20"/>
        </w:rPr>
        <w:t>бояться.</w:t>
      </w:r>
    </w:p>
    <w:p>
      <w:pPr>
        <w:spacing w:before="0"/>
        <w:ind w:left="141" w:right="139" w:firstLine="283"/>
        <w:jc w:val="both"/>
        <w:rPr>
          <w:i/>
          <w:sz w:val="20"/>
        </w:rPr>
      </w:pPr>
      <w:r>
        <w:rPr>
          <w:i/>
          <w:color w:val="231F20"/>
          <w:sz w:val="20"/>
        </w:rPr>
        <w:t>И вот когда они опять появились, прилетели на своей летающей тарелке, я при- думал</w:t>
      </w:r>
      <w:r>
        <w:rPr>
          <w:i/>
          <w:color w:val="231F20"/>
          <w:spacing w:val="-4"/>
          <w:sz w:val="20"/>
        </w:rPr>
        <w:t> </w:t>
      </w:r>
      <w:r>
        <w:rPr>
          <w:i/>
          <w:color w:val="231F20"/>
          <w:sz w:val="20"/>
        </w:rPr>
        <w:t>бомбу.</w:t>
      </w:r>
      <w:r>
        <w:rPr>
          <w:i/>
          <w:color w:val="231F20"/>
          <w:spacing w:val="-4"/>
          <w:sz w:val="20"/>
        </w:rPr>
        <w:t> </w:t>
      </w:r>
      <w:r>
        <w:rPr>
          <w:i/>
          <w:color w:val="231F20"/>
          <w:sz w:val="20"/>
        </w:rPr>
        <w:t>Просто-напросто</w:t>
      </w:r>
      <w:r>
        <w:rPr>
          <w:i/>
          <w:color w:val="231F20"/>
          <w:spacing w:val="-4"/>
          <w:sz w:val="20"/>
        </w:rPr>
        <w:t> </w:t>
      </w:r>
      <w:r>
        <w:rPr>
          <w:i/>
          <w:color w:val="231F20"/>
          <w:sz w:val="20"/>
        </w:rPr>
        <w:t>взял</w:t>
      </w:r>
      <w:r>
        <w:rPr>
          <w:i/>
          <w:color w:val="231F20"/>
          <w:spacing w:val="-4"/>
          <w:sz w:val="20"/>
        </w:rPr>
        <w:t> </w:t>
      </w:r>
      <w:r>
        <w:rPr>
          <w:i/>
          <w:color w:val="231F20"/>
          <w:sz w:val="20"/>
        </w:rPr>
        <w:t>три</w:t>
      </w:r>
      <w:r>
        <w:rPr>
          <w:i/>
          <w:color w:val="231F20"/>
          <w:spacing w:val="-4"/>
          <w:sz w:val="20"/>
        </w:rPr>
        <w:t> </w:t>
      </w:r>
      <w:r>
        <w:rPr>
          <w:i/>
          <w:color w:val="231F20"/>
          <w:sz w:val="20"/>
        </w:rPr>
        <w:t>хлопушки</w:t>
      </w:r>
      <w:r>
        <w:rPr>
          <w:i/>
          <w:color w:val="231F20"/>
          <w:spacing w:val="-4"/>
          <w:sz w:val="20"/>
        </w:rPr>
        <w:t> </w:t>
      </w:r>
      <w:r>
        <w:rPr>
          <w:i/>
          <w:color w:val="231F20"/>
          <w:sz w:val="20"/>
        </w:rPr>
        <w:t>и</w:t>
      </w:r>
      <w:r>
        <w:rPr>
          <w:i/>
          <w:color w:val="231F20"/>
          <w:spacing w:val="-4"/>
          <w:sz w:val="20"/>
        </w:rPr>
        <w:t> </w:t>
      </w:r>
      <w:r>
        <w:rPr>
          <w:i/>
          <w:color w:val="231F20"/>
          <w:sz w:val="20"/>
        </w:rPr>
        <w:t>взорвал</w:t>
      </w:r>
      <w:r>
        <w:rPr>
          <w:i/>
          <w:color w:val="231F20"/>
          <w:spacing w:val="-4"/>
          <w:sz w:val="20"/>
        </w:rPr>
        <w:t> </w:t>
      </w:r>
      <w:r>
        <w:rPr>
          <w:i/>
          <w:color w:val="231F20"/>
          <w:sz w:val="20"/>
        </w:rPr>
        <w:t>их.</w:t>
      </w:r>
      <w:r>
        <w:rPr>
          <w:i/>
          <w:color w:val="231F20"/>
          <w:spacing w:val="-4"/>
          <w:sz w:val="20"/>
        </w:rPr>
        <w:t> </w:t>
      </w:r>
      <w:r>
        <w:rPr>
          <w:i/>
          <w:color w:val="231F20"/>
          <w:sz w:val="20"/>
        </w:rPr>
        <w:t>Двое</w:t>
      </w:r>
      <w:r>
        <w:rPr>
          <w:i/>
          <w:color w:val="231F20"/>
          <w:spacing w:val="-4"/>
          <w:sz w:val="20"/>
        </w:rPr>
        <w:t> </w:t>
      </w:r>
      <w:r>
        <w:rPr>
          <w:i/>
          <w:color w:val="231F20"/>
          <w:sz w:val="20"/>
        </w:rPr>
        <w:t>умерли,</w:t>
      </w:r>
      <w:r>
        <w:rPr>
          <w:i/>
          <w:color w:val="231F20"/>
          <w:spacing w:val="-4"/>
          <w:sz w:val="20"/>
        </w:rPr>
        <w:t> </w:t>
      </w:r>
      <w:r>
        <w:rPr>
          <w:i/>
          <w:color w:val="231F20"/>
          <w:sz w:val="20"/>
        </w:rPr>
        <w:t>а</w:t>
      </w:r>
      <w:r>
        <w:rPr>
          <w:i/>
          <w:color w:val="231F20"/>
          <w:spacing w:val="-4"/>
          <w:sz w:val="20"/>
        </w:rPr>
        <w:t> </w:t>
      </w:r>
      <w:r>
        <w:rPr>
          <w:i/>
          <w:color w:val="231F20"/>
          <w:sz w:val="20"/>
        </w:rPr>
        <w:t>один остался жив, и он пошел к себе домой и привел много-много друзей.</w:t>
      </w:r>
    </w:p>
    <w:p>
      <w:pPr>
        <w:spacing w:before="0"/>
        <w:ind w:left="141" w:right="140" w:firstLine="283"/>
        <w:jc w:val="both"/>
        <w:rPr>
          <w:i/>
          <w:sz w:val="20"/>
        </w:rPr>
      </w:pPr>
      <w:r>
        <w:rPr>
          <w:i/>
          <w:color w:val="231F20"/>
          <w:sz w:val="20"/>
        </w:rPr>
        <w:t>Тогда я побежал к своим друзьям и сказал: «На нас монстры хотят напасть, скорее на помощь!».</w:t>
      </w:r>
    </w:p>
    <w:p>
      <w:pPr>
        <w:pStyle w:val="ListParagraph"/>
        <w:numPr>
          <w:ilvl w:val="0"/>
          <w:numId w:val="216"/>
        </w:numPr>
        <w:tabs>
          <w:tab w:pos="576" w:val="left" w:leader="none"/>
        </w:tabs>
        <w:spacing w:line="240" w:lineRule="auto" w:before="0" w:after="0"/>
        <w:ind w:left="141" w:right="139" w:firstLine="283"/>
        <w:jc w:val="both"/>
        <w:rPr>
          <w:i/>
          <w:sz w:val="20"/>
        </w:rPr>
      </w:pPr>
      <w:r>
        <w:rPr>
          <w:i/>
          <w:color w:val="231F20"/>
          <w:sz w:val="20"/>
        </w:rPr>
        <w:t>Да</w:t>
      </w:r>
      <w:r>
        <w:rPr>
          <w:i/>
          <w:color w:val="231F20"/>
          <w:spacing w:val="-2"/>
          <w:sz w:val="20"/>
        </w:rPr>
        <w:t> </w:t>
      </w:r>
      <w:r>
        <w:rPr>
          <w:i/>
          <w:color w:val="231F20"/>
          <w:sz w:val="20"/>
        </w:rPr>
        <w:t>ну,</w:t>
      </w:r>
      <w:r>
        <w:rPr>
          <w:i/>
          <w:color w:val="231F20"/>
          <w:spacing w:val="-2"/>
          <w:sz w:val="20"/>
        </w:rPr>
        <w:t> </w:t>
      </w:r>
      <w:r>
        <w:rPr>
          <w:i/>
          <w:color w:val="231F20"/>
          <w:sz w:val="20"/>
        </w:rPr>
        <w:t>это</w:t>
      </w:r>
      <w:r>
        <w:rPr>
          <w:i/>
          <w:color w:val="231F20"/>
          <w:spacing w:val="-2"/>
          <w:sz w:val="20"/>
        </w:rPr>
        <w:t> </w:t>
      </w:r>
      <w:r>
        <w:rPr>
          <w:i/>
          <w:color w:val="231F20"/>
          <w:sz w:val="20"/>
        </w:rPr>
        <w:t>ерунда.</w:t>
      </w:r>
      <w:r>
        <w:rPr>
          <w:i/>
          <w:color w:val="231F20"/>
          <w:spacing w:val="-2"/>
          <w:sz w:val="20"/>
        </w:rPr>
        <w:t> </w:t>
      </w:r>
      <w:r>
        <w:rPr>
          <w:i/>
          <w:color w:val="231F20"/>
          <w:sz w:val="20"/>
        </w:rPr>
        <w:t>Какое</w:t>
      </w:r>
      <w:r>
        <w:rPr>
          <w:i/>
          <w:color w:val="231F20"/>
          <w:spacing w:val="-2"/>
          <w:sz w:val="20"/>
        </w:rPr>
        <w:t> </w:t>
      </w:r>
      <w:r>
        <w:rPr>
          <w:i/>
          <w:color w:val="231F20"/>
          <w:sz w:val="20"/>
        </w:rPr>
        <w:t>нам</w:t>
      </w:r>
      <w:r>
        <w:rPr>
          <w:i/>
          <w:color w:val="231F20"/>
          <w:spacing w:val="-2"/>
          <w:sz w:val="20"/>
        </w:rPr>
        <w:t> </w:t>
      </w:r>
      <w:r>
        <w:rPr>
          <w:i/>
          <w:color w:val="231F20"/>
          <w:sz w:val="20"/>
        </w:rPr>
        <w:t>дело</w:t>
      </w:r>
      <w:r>
        <w:rPr>
          <w:i/>
          <w:color w:val="231F20"/>
          <w:spacing w:val="-2"/>
          <w:sz w:val="20"/>
        </w:rPr>
        <w:t> </w:t>
      </w:r>
      <w:r>
        <w:rPr>
          <w:i/>
          <w:color w:val="231F20"/>
          <w:sz w:val="20"/>
        </w:rPr>
        <w:t>до</w:t>
      </w:r>
      <w:r>
        <w:rPr>
          <w:i/>
          <w:color w:val="231F20"/>
          <w:spacing w:val="-2"/>
          <w:sz w:val="20"/>
        </w:rPr>
        <w:t> </w:t>
      </w:r>
      <w:r>
        <w:rPr>
          <w:i/>
          <w:color w:val="231F20"/>
          <w:sz w:val="20"/>
        </w:rPr>
        <w:t>монстров,</w:t>
      </w:r>
      <w:r>
        <w:rPr>
          <w:i/>
          <w:color w:val="231F20"/>
          <w:spacing w:val="-1"/>
          <w:sz w:val="20"/>
        </w:rPr>
        <w:t> </w:t>
      </w:r>
      <w:r>
        <w:rPr>
          <w:i/>
          <w:color w:val="231F20"/>
          <w:sz w:val="20"/>
        </w:rPr>
        <w:t>они</w:t>
      </w:r>
      <w:r>
        <w:rPr>
          <w:i/>
          <w:color w:val="231F20"/>
          <w:spacing w:val="-2"/>
          <w:sz w:val="20"/>
        </w:rPr>
        <w:t> </w:t>
      </w:r>
      <w:r>
        <w:rPr>
          <w:i/>
          <w:color w:val="231F20"/>
          <w:sz w:val="20"/>
        </w:rPr>
        <w:t>на</w:t>
      </w:r>
      <w:r>
        <w:rPr>
          <w:i/>
          <w:color w:val="231F20"/>
          <w:spacing w:val="-2"/>
          <w:sz w:val="20"/>
        </w:rPr>
        <w:t> </w:t>
      </w:r>
      <w:r>
        <w:rPr>
          <w:i/>
          <w:color w:val="231F20"/>
          <w:sz w:val="20"/>
        </w:rPr>
        <w:t>тебя</w:t>
      </w:r>
      <w:r>
        <w:rPr>
          <w:i/>
          <w:color w:val="231F20"/>
          <w:spacing w:val="-2"/>
          <w:sz w:val="20"/>
        </w:rPr>
        <w:t> </w:t>
      </w:r>
      <w:r>
        <w:rPr>
          <w:i/>
          <w:color w:val="231F20"/>
          <w:sz w:val="20"/>
        </w:rPr>
        <w:t>хотят</w:t>
      </w:r>
      <w:r>
        <w:rPr>
          <w:i/>
          <w:color w:val="231F20"/>
          <w:spacing w:val="-2"/>
          <w:sz w:val="20"/>
        </w:rPr>
        <w:t> </w:t>
      </w:r>
      <w:r>
        <w:rPr>
          <w:i/>
          <w:color w:val="231F20"/>
          <w:sz w:val="20"/>
        </w:rPr>
        <w:t>напасть,</w:t>
      </w:r>
      <w:r>
        <w:rPr>
          <w:i/>
          <w:color w:val="231F20"/>
          <w:spacing w:val="-2"/>
          <w:sz w:val="20"/>
        </w:rPr>
        <w:t> </w:t>
      </w:r>
      <w:r>
        <w:rPr>
          <w:i/>
          <w:color w:val="231F20"/>
          <w:sz w:val="20"/>
        </w:rPr>
        <w:t>а не на нас, – ответили друзья.</w:t>
      </w:r>
    </w:p>
    <w:p>
      <w:pPr>
        <w:spacing w:before="0"/>
        <w:ind w:left="141" w:right="139" w:firstLine="283"/>
        <w:jc w:val="both"/>
        <w:rPr>
          <w:i/>
          <w:sz w:val="20"/>
        </w:rPr>
      </w:pPr>
      <w:r>
        <w:rPr>
          <w:i/>
          <w:color w:val="231F20"/>
          <w:sz w:val="20"/>
        </w:rPr>
        <w:t>Я задумался: «Что же делать? Ведь монстры на меня нападут, а я с ними один на один остался». И вот, что я придумал. Я догадался, куда они будут прилетать на своих летающих тарелках, и выкопал там большую яму. Долго-долго трудился, так устал, что подумал: «Не бросить ли мне это дело?». Но затем решил: «Нет,</w:t>
      </w:r>
      <w:r>
        <w:rPr>
          <w:i/>
          <w:color w:val="231F20"/>
          <w:spacing w:val="80"/>
          <w:w w:val="150"/>
          <w:sz w:val="20"/>
        </w:rPr>
        <w:t> </w:t>
      </w:r>
      <w:r>
        <w:rPr>
          <w:i/>
          <w:color w:val="231F20"/>
          <w:sz w:val="20"/>
        </w:rPr>
        <w:t>я одолею монстров!» и выкопал громадную, громадную яму. Пот с меня лил ручьем, но</w:t>
      </w:r>
      <w:r>
        <w:rPr>
          <w:i/>
          <w:color w:val="231F20"/>
          <w:spacing w:val="-1"/>
          <w:sz w:val="20"/>
        </w:rPr>
        <w:t> </w:t>
      </w:r>
      <w:r>
        <w:rPr>
          <w:i/>
          <w:color w:val="231F20"/>
          <w:sz w:val="20"/>
        </w:rPr>
        <w:t>еще</w:t>
      </w:r>
      <w:r>
        <w:rPr>
          <w:i/>
          <w:color w:val="231F20"/>
          <w:spacing w:val="-1"/>
          <w:sz w:val="20"/>
        </w:rPr>
        <w:t> </w:t>
      </w:r>
      <w:r>
        <w:rPr>
          <w:i/>
          <w:color w:val="231F20"/>
          <w:sz w:val="20"/>
        </w:rPr>
        <w:t>работа</w:t>
      </w:r>
      <w:r>
        <w:rPr>
          <w:i/>
          <w:color w:val="231F20"/>
          <w:spacing w:val="-1"/>
          <w:sz w:val="20"/>
        </w:rPr>
        <w:t> </w:t>
      </w:r>
      <w:r>
        <w:rPr>
          <w:i/>
          <w:color w:val="231F20"/>
          <w:sz w:val="20"/>
        </w:rPr>
        <w:t>моя</w:t>
      </w:r>
      <w:r>
        <w:rPr>
          <w:i/>
          <w:color w:val="231F20"/>
          <w:spacing w:val="-1"/>
          <w:sz w:val="20"/>
        </w:rPr>
        <w:t> </w:t>
      </w:r>
      <w:r>
        <w:rPr>
          <w:i/>
          <w:color w:val="231F20"/>
          <w:sz w:val="20"/>
        </w:rPr>
        <w:t>была</w:t>
      </w:r>
      <w:r>
        <w:rPr>
          <w:i/>
          <w:color w:val="231F20"/>
          <w:spacing w:val="-1"/>
          <w:sz w:val="20"/>
        </w:rPr>
        <w:t> </w:t>
      </w:r>
      <w:r>
        <w:rPr>
          <w:i/>
          <w:color w:val="231F20"/>
          <w:sz w:val="20"/>
        </w:rPr>
        <w:t>не</w:t>
      </w:r>
      <w:r>
        <w:rPr>
          <w:i/>
          <w:color w:val="231F20"/>
          <w:spacing w:val="-1"/>
          <w:sz w:val="20"/>
        </w:rPr>
        <w:t> </w:t>
      </w:r>
      <w:r>
        <w:rPr>
          <w:i/>
          <w:color w:val="231F20"/>
          <w:sz w:val="20"/>
        </w:rPr>
        <w:t>закончена.</w:t>
      </w:r>
      <w:r>
        <w:rPr>
          <w:i/>
          <w:color w:val="231F20"/>
          <w:spacing w:val="-1"/>
          <w:sz w:val="20"/>
        </w:rPr>
        <w:t> </w:t>
      </w:r>
      <w:r>
        <w:rPr>
          <w:i/>
          <w:color w:val="231F20"/>
          <w:sz w:val="20"/>
        </w:rPr>
        <w:t>Я</w:t>
      </w:r>
      <w:r>
        <w:rPr>
          <w:i/>
          <w:color w:val="231F20"/>
          <w:spacing w:val="-1"/>
          <w:sz w:val="20"/>
        </w:rPr>
        <w:t> </w:t>
      </w:r>
      <w:r>
        <w:rPr>
          <w:i/>
          <w:color w:val="231F20"/>
          <w:sz w:val="20"/>
        </w:rPr>
        <w:t>нарубил</w:t>
      </w:r>
      <w:r>
        <w:rPr>
          <w:i/>
          <w:color w:val="231F20"/>
          <w:spacing w:val="-1"/>
          <w:sz w:val="20"/>
        </w:rPr>
        <w:t> </w:t>
      </w:r>
      <w:r>
        <w:rPr>
          <w:i/>
          <w:color w:val="231F20"/>
          <w:sz w:val="20"/>
        </w:rPr>
        <w:t>палок</w:t>
      </w:r>
      <w:r>
        <w:rPr>
          <w:i/>
          <w:color w:val="231F20"/>
          <w:spacing w:val="-1"/>
          <w:sz w:val="20"/>
        </w:rPr>
        <w:t> </w:t>
      </w:r>
      <w:r>
        <w:rPr>
          <w:i/>
          <w:color w:val="231F20"/>
          <w:sz w:val="20"/>
        </w:rPr>
        <w:t>и</w:t>
      </w:r>
      <w:r>
        <w:rPr>
          <w:i/>
          <w:color w:val="231F20"/>
          <w:spacing w:val="-1"/>
          <w:sz w:val="20"/>
        </w:rPr>
        <w:t> </w:t>
      </w:r>
      <w:r>
        <w:rPr>
          <w:i/>
          <w:color w:val="231F20"/>
          <w:sz w:val="20"/>
        </w:rPr>
        <w:t>заложил</w:t>
      </w:r>
      <w:r>
        <w:rPr>
          <w:i/>
          <w:color w:val="231F20"/>
          <w:spacing w:val="-1"/>
          <w:sz w:val="20"/>
        </w:rPr>
        <w:t> </w:t>
      </w:r>
      <w:r>
        <w:rPr>
          <w:i/>
          <w:color w:val="231F20"/>
          <w:sz w:val="20"/>
        </w:rPr>
        <w:t>ими</w:t>
      </w:r>
      <w:r>
        <w:rPr>
          <w:i/>
          <w:color w:val="231F20"/>
          <w:spacing w:val="-1"/>
          <w:sz w:val="20"/>
        </w:rPr>
        <w:t> </w:t>
      </w:r>
      <w:r>
        <w:rPr>
          <w:i/>
          <w:color w:val="231F20"/>
          <w:sz w:val="20"/>
        </w:rPr>
        <w:t>яму.</w:t>
      </w:r>
      <w:r>
        <w:rPr>
          <w:i/>
          <w:color w:val="231F20"/>
          <w:spacing w:val="-1"/>
          <w:sz w:val="20"/>
        </w:rPr>
        <w:t> </w:t>
      </w:r>
      <w:r>
        <w:rPr>
          <w:i/>
          <w:color w:val="231F20"/>
          <w:sz w:val="20"/>
        </w:rPr>
        <w:t>А</w:t>
      </w:r>
      <w:r>
        <w:rPr>
          <w:i/>
          <w:color w:val="231F20"/>
          <w:spacing w:val="-1"/>
          <w:sz w:val="20"/>
        </w:rPr>
        <w:t> </w:t>
      </w:r>
      <w:r>
        <w:rPr>
          <w:i/>
          <w:color w:val="231F20"/>
          <w:sz w:val="20"/>
        </w:rPr>
        <w:t>сверху положил</w:t>
      </w:r>
      <w:r>
        <w:rPr>
          <w:i/>
          <w:color w:val="231F20"/>
          <w:spacing w:val="-6"/>
          <w:sz w:val="20"/>
        </w:rPr>
        <w:t> </w:t>
      </w:r>
      <w:r>
        <w:rPr>
          <w:i/>
          <w:color w:val="231F20"/>
          <w:sz w:val="20"/>
        </w:rPr>
        <w:t>листья.</w:t>
      </w:r>
      <w:r>
        <w:rPr>
          <w:i/>
          <w:color w:val="231F20"/>
          <w:spacing w:val="-6"/>
          <w:sz w:val="20"/>
        </w:rPr>
        <w:t> </w:t>
      </w:r>
      <w:r>
        <w:rPr>
          <w:i/>
          <w:color w:val="231F20"/>
          <w:sz w:val="20"/>
        </w:rPr>
        <w:t>И</w:t>
      </w:r>
      <w:r>
        <w:rPr>
          <w:i/>
          <w:color w:val="231F20"/>
          <w:spacing w:val="-6"/>
          <w:sz w:val="20"/>
        </w:rPr>
        <w:t> </w:t>
      </w:r>
      <w:r>
        <w:rPr>
          <w:i/>
          <w:color w:val="231F20"/>
          <w:sz w:val="20"/>
        </w:rPr>
        <w:t>получилась</w:t>
      </w:r>
      <w:r>
        <w:rPr>
          <w:i/>
          <w:color w:val="231F20"/>
          <w:spacing w:val="-6"/>
          <w:sz w:val="20"/>
        </w:rPr>
        <w:t> </w:t>
      </w:r>
      <w:r>
        <w:rPr>
          <w:i/>
          <w:color w:val="231F20"/>
          <w:sz w:val="20"/>
        </w:rPr>
        <w:t>яма</w:t>
      </w:r>
      <w:r>
        <w:rPr>
          <w:i/>
          <w:color w:val="231F20"/>
          <w:spacing w:val="-6"/>
          <w:sz w:val="20"/>
        </w:rPr>
        <w:t> </w:t>
      </w:r>
      <w:r>
        <w:rPr>
          <w:i/>
          <w:color w:val="231F20"/>
          <w:sz w:val="20"/>
        </w:rPr>
        <w:t>незаметная.</w:t>
      </w:r>
      <w:r>
        <w:rPr>
          <w:i/>
          <w:color w:val="231F20"/>
          <w:spacing w:val="-6"/>
          <w:sz w:val="20"/>
        </w:rPr>
        <w:t> </w:t>
      </w:r>
      <w:r>
        <w:rPr>
          <w:i/>
          <w:color w:val="231F20"/>
          <w:sz w:val="20"/>
        </w:rPr>
        <w:t>Про</w:t>
      </w:r>
      <w:r>
        <w:rPr>
          <w:i/>
          <w:color w:val="231F20"/>
          <w:spacing w:val="-6"/>
          <w:sz w:val="20"/>
        </w:rPr>
        <w:t> </w:t>
      </w:r>
      <w:r>
        <w:rPr>
          <w:i/>
          <w:color w:val="231F20"/>
          <w:sz w:val="20"/>
        </w:rPr>
        <w:t>нее</w:t>
      </w:r>
      <w:r>
        <w:rPr>
          <w:i/>
          <w:color w:val="231F20"/>
          <w:spacing w:val="-6"/>
          <w:sz w:val="20"/>
        </w:rPr>
        <w:t> </w:t>
      </w:r>
      <w:r>
        <w:rPr>
          <w:i/>
          <w:color w:val="231F20"/>
          <w:sz w:val="20"/>
        </w:rPr>
        <w:t>знал</w:t>
      </w:r>
      <w:r>
        <w:rPr>
          <w:i/>
          <w:color w:val="231F20"/>
          <w:spacing w:val="-6"/>
          <w:sz w:val="20"/>
        </w:rPr>
        <w:t> </w:t>
      </w:r>
      <w:r>
        <w:rPr>
          <w:i/>
          <w:color w:val="231F20"/>
          <w:sz w:val="20"/>
        </w:rPr>
        <w:t>только</w:t>
      </w:r>
      <w:r>
        <w:rPr>
          <w:i/>
          <w:color w:val="231F20"/>
          <w:spacing w:val="-6"/>
          <w:sz w:val="20"/>
        </w:rPr>
        <w:t> </w:t>
      </w:r>
      <w:r>
        <w:rPr>
          <w:i/>
          <w:color w:val="231F20"/>
          <w:sz w:val="20"/>
        </w:rPr>
        <w:t>я.</w:t>
      </w:r>
      <w:r>
        <w:rPr>
          <w:i/>
          <w:color w:val="231F20"/>
          <w:spacing w:val="-6"/>
          <w:sz w:val="20"/>
        </w:rPr>
        <w:t> </w:t>
      </w:r>
      <w:r>
        <w:rPr>
          <w:i/>
          <w:color w:val="231F20"/>
          <w:sz w:val="20"/>
        </w:rPr>
        <w:t>А</w:t>
      </w:r>
      <w:r>
        <w:rPr>
          <w:i/>
          <w:color w:val="231F20"/>
          <w:spacing w:val="-6"/>
          <w:sz w:val="20"/>
        </w:rPr>
        <w:t> </w:t>
      </w:r>
      <w:r>
        <w:rPr>
          <w:i/>
          <w:color w:val="231F20"/>
          <w:sz w:val="20"/>
        </w:rPr>
        <w:t>на</w:t>
      </w:r>
      <w:r>
        <w:rPr>
          <w:i/>
          <w:color w:val="231F20"/>
          <w:spacing w:val="-6"/>
          <w:sz w:val="20"/>
        </w:rPr>
        <w:t> </w:t>
      </w:r>
      <w:r>
        <w:rPr>
          <w:i/>
          <w:color w:val="231F20"/>
          <w:sz w:val="20"/>
        </w:rPr>
        <w:t>дно</w:t>
      </w:r>
      <w:r>
        <w:rPr>
          <w:i/>
          <w:color w:val="231F20"/>
          <w:spacing w:val="-6"/>
          <w:sz w:val="20"/>
        </w:rPr>
        <w:t> </w:t>
      </w:r>
      <w:r>
        <w:rPr>
          <w:i/>
          <w:color w:val="231F20"/>
          <w:sz w:val="20"/>
        </w:rPr>
        <w:t>ямы я положил хлопушки. Много-много сделал хлопушек.</w:t>
      </w:r>
    </w:p>
    <w:p>
      <w:pPr>
        <w:spacing w:before="0"/>
        <w:ind w:left="141" w:right="139" w:firstLine="283"/>
        <w:jc w:val="right"/>
        <w:rPr>
          <w:i/>
          <w:sz w:val="20"/>
        </w:rPr>
      </w:pPr>
      <w:r>
        <w:rPr>
          <w:i/>
          <w:color w:val="231F20"/>
          <w:spacing w:val="-2"/>
          <w:sz w:val="20"/>
        </w:rPr>
        <w:t>Когда</w:t>
      </w:r>
      <w:r>
        <w:rPr>
          <w:i/>
          <w:color w:val="231F20"/>
          <w:spacing w:val="-11"/>
          <w:sz w:val="20"/>
        </w:rPr>
        <w:t> </w:t>
      </w:r>
      <w:r>
        <w:rPr>
          <w:i/>
          <w:color w:val="231F20"/>
          <w:spacing w:val="-2"/>
          <w:sz w:val="20"/>
        </w:rPr>
        <w:t>я</w:t>
      </w:r>
      <w:r>
        <w:rPr>
          <w:i/>
          <w:color w:val="231F20"/>
          <w:spacing w:val="-10"/>
          <w:sz w:val="20"/>
        </w:rPr>
        <w:t> </w:t>
      </w:r>
      <w:r>
        <w:rPr>
          <w:i/>
          <w:color w:val="231F20"/>
          <w:spacing w:val="-2"/>
          <w:sz w:val="20"/>
        </w:rPr>
        <w:t>делал</w:t>
      </w:r>
      <w:r>
        <w:rPr>
          <w:i/>
          <w:color w:val="231F20"/>
          <w:spacing w:val="-11"/>
          <w:sz w:val="20"/>
        </w:rPr>
        <w:t> </w:t>
      </w:r>
      <w:r>
        <w:rPr>
          <w:i/>
          <w:color w:val="231F20"/>
          <w:spacing w:val="-2"/>
          <w:sz w:val="20"/>
        </w:rPr>
        <w:t>первую,</w:t>
      </w:r>
      <w:r>
        <w:rPr>
          <w:i/>
          <w:color w:val="231F20"/>
          <w:spacing w:val="-10"/>
          <w:sz w:val="20"/>
        </w:rPr>
        <w:t> </w:t>
      </w:r>
      <w:r>
        <w:rPr>
          <w:i/>
          <w:color w:val="231F20"/>
          <w:spacing w:val="-2"/>
          <w:sz w:val="20"/>
        </w:rPr>
        <w:t>то</w:t>
      </w:r>
      <w:r>
        <w:rPr>
          <w:i/>
          <w:color w:val="231F20"/>
          <w:spacing w:val="-11"/>
          <w:sz w:val="20"/>
        </w:rPr>
        <w:t> </w:t>
      </w:r>
      <w:r>
        <w:rPr>
          <w:i/>
          <w:color w:val="231F20"/>
          <w:spacing w:val="-2"/>
          <w:sz w:val="20"/>
        </w:rPr>
        <w:t>очень</w:t>
      </w:r>
      <w:r>
        <w:rPr>
          <w:i/>
          <w:color w:val="231F20"/>
          <w:spacing w:val="-10"/>
          <w:sz w:val="20"/>
        </w:rPr>
        <w:t> </w:t>
      </w:r>
      <w:r>
        <w:rPr>
          <w:i/>
          <w:color w:val="231F20"/>
          <w:spacing w:val="-2"/>
          <w:sz w:val="20"/>
        </w:rPr>
        <w:t>устал</w:t>
      </w:r>
      <w:r>
        <w:rPr>
          <w:i/>
          <w:color w:val="231F20"/>
          <w:spacing w:val="-11"/>
          <w:sz w:val="20"/>
        </w:rPr>
        <w:t> </w:t>
      </w:r>
      <w:r>
        <w:rPr>
          <w:i/>
          <w:color w:val="231F20"/>
          <w:spacing w:val="-2"/>
          <w:sz w:val="20"/>
        </w:rPr>
        <w:t>и</w:t>
      </w:r>
      <w:r>
        <w:rPr>
          <w:i/>
          <w:color w:val="231F20"/>
          <w:spacing w:val="-10"/>
          <w:sz w:val="20"/>
        </w:rPr>
        <w:t> </w:t>
      </w:r>
      <w:r>
        <w:rPr>
          <w:i/>
          <w:color w:val="231F20"/>
          <w:spacing w:val="-2"/>
          <w:sz w:val="20"/>
        </w:rPr>
        <w:t>подумал:</w:t>
      </w:r>
      <w:r>
        <w:rPr>
          <w:i/>
          <w:color w:val="231F20"/>
          <w:spacing w:val="-11"/>
          <w:sz w:val="20"/>
        </w:rPr>
        <w:t> </w:t>
      </w:r>
      <w:r>
        <w:rPr>
          <w:i/>
          <w:color w:val="231F20"/>
          <w:spacing w:val="-2"/>
          <w:sz w:val="20"/>
        </w:rPr>
        <w:t>«Я</w:t>
      </w:r>
      <w:r>
        <w:rPr>
          <w:i/>
          <w:color w:val="231F20"/>
          <w:spacing w:val="-10"/>
          <w:sz w:val="20"/>
        </w:rPr>
        <w:t> </w:t>
      </w:r>
      <w:r>
        <w:rPr>
          <w:i/>
          <w:color w:val="231F20"/>
          <w:spacing w:val="-2"/>
          <w:sz w:val="20"/>
        </w:rPr>
        <w:t>больше</w:t>
      </w:r>
      <w:r>
        <w:rPr>
          <w:i/>
          <w:color w:val="231F20"/>
          <w:spacing w:val="-11"/>
          <w:sz w:val="20"/>
        </w:rPr>
        <w:t> </w:t>
      </w:r>
      <w:r>
        <w:rPr>
          <w:i/>
          <w:color w:val="231F20"/>
          <w:spacing w:val="-2"/>
          <w:sz w:val="20"/>
        </w:rPr>
        <w:t>не</w:t>
      </w:r>
      <w:r>
        <w:rPr>
          <w:i/>
          <w:color w:val="231F20"/>
          <w:spacing w:val="-10"/>
          <w:sz w:val="20"/>
        </w:rPr>
        <w:t> </w:t>
      </w:r>
      <w:r>
        <w:rPr>
          <w:i/>
          <w:color w:val="231F20"/>
          <w:spacing w:val="-2"/>
          <w:sz w:val="20"/>
        </w:rPr>
        <w:t>могу!»,</w:t>
      </w:r>
      <w:r>
        <w:rPr>
          <w:i/>
          <w:color w:val="231F20"/>
          <w:spacing w:val="-11"/>
          <w:sz w:val="20"/>
        </w:rPr>
        <w:t> </w:t>
      </w:r>
      <w:r>
        <w:rPr>
          <w:i/>
          <w:color w:val="231F20"/>
          <w:spacing w:val="-2"/>
          <w:sz w:val="20"/>
        </w:rPr>
        <w:t>но</w:t>
      </w:r>
      <w:r>
        <w:rPr>
          <w:i/>
          <w:color w:val="231F20"/>
          <w:spacing w:val="-10"/>
          <w:sz w:val="20"/>
        </w:rPr>
        <w:t> </w:t>
      </w:r>
      <w:r>
        <w:rPr>
          <w:i/>
          <w:color w:val="231F20"/>
          <w:spacing w:val="-2"/>
          <w:sz w:val="20"/>
        </w:rPr>
        <w:t>потом</w:t>
      </w:r>
      <w:r>
        <w:rPr>
          <w:i/>
          <w:color w:val="231F20"/>
          <w:spacing w:val="-11"/>
          <w:sz w:val="20"/>
        </w:rPr>
        <w:t> </w:t>
      </w:r>
      <w:r>
        <w:rPr>
          <w:i/>
          <w:color w:val="231F20"/>
          <w:spacing w:val="-2"/>
          <w:sz w:val="20"/>
        </w:rPr>
        <w:t>ре- </w:t>
      </w:r>
      <w:r>
        <w:rPr>
          <w:i/>
          <w:color w:val="231F20"/>
          <w:spacing w:val="-4"/>
          <w:sz w:val="20"/>
        </w:rPr>
        <w:t>шил:</w:t>
      </w:r>
      <w:r>
        <w:rPr>
          <w:i/>
          <w:color w:val="231F20"/>
          <w:spacing w:val="-6"/>
          <w:sz w:val="20"/>
        </w:rPr>
        <w:t> </w:t>
      </w:r>
      <w:r>
        <w:rPr>
          <w:i/>
          <w:color w:val="231F20"/>
          <w:spacing w:val="-4"/>
          <w:sz w:val="20"/>
        </w:rPr>
        <w:t>«Нет,</w:t>
      </w:r>
      <w:r>
        <w:rPr>
          <w:i/>
          <w:color w:val="231F20"/>
          <w:spacing w:val="-6"/>
          <w:sz w:val="20"/>
        </w:rPr>
        <w:t> </w:t>
      </w:r>
      <w:r>
        <w:rPr>
          <w:i/>
          <w:color w:val="231F20"/>
          <w:spacing w:val="-4"/>
          <w:sz w:val="20"/>
        </w:rPr>
        <w:t>мне</w:t>
      </w:r>
      <w:r>
        <w:rPr>
          <w:i/>
          <w:color w:val="231F20"/>
          <w:spacing w:val="-6"/>
          <w:sz w:val="20"/>
        </w:rPr>
        <w:t> </w:t>
      </w:r>
      <w:r>
        <w:rPr>
          <w:i/>
          <w:color w:val="231F20"/>
          <w:spacing w:val="-4"/>
          <w:sz w:val="20"/>
        </w:rPr>
        <w:t>надо</w:t>
      </w:r>
      <w:r>
        <w:rPr>
          <w:i/>
          <w:color w:val="231F20"/>
          <w:spacing w:val="-6"/>
          <w:sz w:val="20"/>
        </w:rPr>
        <w:t> </w:t>
      </w:r>
      <w:r>
        <w:rPr>
          <w:i/>
          <w:color w:val="231F20"/>
          <w:spacing w:val="-4"/>
          <w:sz w:val="20"/>
        </w:rPr>
        <w:t>победить</w:t>
      </w:r>
      <w:r>
        <w:rPr>
          <w:i/>
          <w:color w:val="231F20"/>
          <w:spacing w:val="-6"/>
          <w:sz w:val="20"/>
        </w:rPr>
        <w:t> </w:t>
      </w:r>
      <w:r>
        <w:rPr>
          <w:i/>
          <w:color w:val="231F20"/>
          <w:spacing w:val="-4"/>
          <w:sz w:val="20"/>
        </w:rPr>
        <w:t>монстров»,</w:t>
      </w:r>
      <w:r>
        <w:rPr>
          <w:i/>
          <w:color w:val="231F20"/>
          <w:spacing w:val="-6"/>
          <w:sz w:val="20"/>
        </w:rPr>
        <w:t> </w:t>
      </w:r>
      <w:r>
        <w:rPr>
          <w:i/>
          <w:color w:val="231F20"/>
          <w:spacing w:val="-4"/>
          <w:sz w:val="20"/>
        </w:rPr>
        <w:t>наделал</w:t>
      </w:r>
      <w:r>
        <w:rPr>
          <w:i/>
          <w:color w:val="231F20"/>
          <w:spacing w:val="-6"/>
          <w:sz w:val="20"/>
        </w:rPr>
        <w:t> </w:t>
      </w:r>
      <w:r>
        <w:rPr>
          <w:i/>
          <w:color w:val="231F20"/>
          <w:spacing w:val="-4"/>
          <w:sz w:val="20"/>
        </w:rPr>
        <w:t>много</w:t>
      </w:r>
      <w:r>
        <w:rPr>
          <w:i/>
          <w:color w:val="231F20"/>
          <w:spacing w:val="-6"/>
          <w:sz w:val="20"/>
        </w:rPr>
        <w:t> </w:t>
      </w:r>
      <w:r>
        <w:rPr>
          <w:i/>
          <w:color w:val="231F20"/>
          <w:spacing w:val="-4"/>
          <w:sz w:val="20"/>
        </w:rPr>
        <w:t>хлопушек</w:t>
      </w:r>
      <w:r>
        <w:rPr>
          <w:i/>
          <w:color w:val="231F20"/>
          <w:spacing w:val="-6"/>
          <w:sz w:val="20"/>
        </w:rPr>
        <w:t> </w:t>
      </w:r>
      <w:r>
        <w:rPr>
          <w:i/>
          <w:color w:val="231F20"/>
          <w:spacing w:val="-4"/>
          <w:sz w:val="20"/>
        </w:rPr>
        <w:t>и</w:t>
      </w:r>
      <w:r>
        <w:rPr>
          <w:i/>
          <w:color w:val="231F20"/>
          <w:spacing w:val="-6"/>
          <w:sz w:val="20"/>
        </w:rPr>
        <w:t> </w:t>
      </w:r>
      <w:r>
        <w:rPr>
          <w:i/>
          <w:color w:val="231F20"/>
          <w:spacing w:val="-4"/>
          <w:sz w:val="20"/>
        </w:rPr>
        <w:t>положил</w:t>
      </w:r>
      <w:r>
        <w:rPr>
          <w:i/>
          <w:color w:val="231F20"/>
          <w:spacing w:val="-6"/>
          <w:sz w:val="20"/>
        </w:rPr>
        <w:t> </w:t>
      </w:r>
      <w:r>
        <w:rPr>
          <w:i/>
          <w:color w:val="231F20"/>
          <w:spacing w:val="-4"/>
          <w:sz w:val="20"/>
        </w:rPr>
        <w:t>их</w:t>
      </w:r>
      <w:r>
        <w:rPr>
          <w:i/>
          <w:color w:val="231F20"/>
          <w:spacing w:val="-6"/>
          <w:sz w:val="20"/>
        </w:rPr>
        <w:t> </w:t>
      </w:r>
      <w:r>
        <w:rPr>
          <w:i/>
          <w:color w:val="231F20"/>
          <w:spacing w:val="-4"/>
          <w:sz w:val="20"/>
        </w:rPr>
        <w:t>в</w:t>
      </w:r>
      <w:r>
        <w:rPr>
          <w:i/>
          <w:color w:val="231F20"/>
          <w:spacing w:val="-6"/>
          <w:sz w:val="20"/>
        </w:rPr>
        <w:t> </w:t>
      </w:r>
      <w:r>
        <w:rPr>
          <w:i/>
          <w:color w:val="231F20"/>
          <w:spacing w:val="-4"/>
          <w:sz w:val="20"/>
        </w:rPr>
        <w:t>яму. </w:t>
      </w:r>
      <w:r>
        <w:rPr>
          <w:i/>
          <w:color w:val="231F20"/>
          <w:sz w:val="20"/>
        </w:rPr>
        <w:t>И</w:t>
      </w:r>
      <w:r>
        <w:rPr>
          <w:i/>
          <w:color w:val="231F20"/>
          <w:spacing w:val="-13"/>
          <w:sz w:val="20"/>
        </w:rPr>
        <w:t> </w:t>
      </w:r>
      <w:r>
        <w:rPr>
          <w:i/>
          <w:color w:val="231F20"/>
          <w:sz w:val="20"/>
        </w:rPr>
        <w:t>вот</w:t>
      </w:r>
      <w:r>
        <w:rPr>
          <w:i/>
          <w:color w:val="231F20"/>
          <w:spacing w:val="-12"/>
          <w:sz w:val="20"/>
        </w:rPr>
        <w:t> </w:t>
      </w:r>
      <w:r>
        <w:rPr>
          <w:i/>
          <w:color w:val="231F20"/>
          <w:sz w:val="20"/>
        </w:rPr>
        <w:t>прилетели</w:t>
      </w:r>
      <w:r>
        <w:rPr>
          <w:i/>
          <w:color w:val="231F20"/>
          <w:spacing w:val="-13"/>
          <w:sz w:val="20"/>
        </w:rPr>
        <w:t> </w:t>
      </w:r>
      <w:r>
        <w:rPr>
          <w:i/>
          <w:color w:val="231F20"/>
          <w:sz w:val="20"/>
        </w:rPr>
        <w:t>монстры.</w:t>
      </w:r>
      <w:r>
        <w:rPr>
          <w:i/>
          <w:color w:val="231F20"/>
          <w:spacing w:val="-12"/>
          <w:sz w:val="20"/>
        </w:rPr>
        <w:t> </w:t>
      </w:r>
      <w:r>
        <w:rPr>
          <w:i/>
          <w:color w:val="231F20"/>
          <w:sz w:val="20"/>
        </w:rPr>
        <w:t>«Здесь</w:t>
      </w:r>
      <w:r>
        <w:rPr>
          <w:i/>
          <w:color w:val="231F20"/>
          <w:spacing w:val="-13"/>
          <w:sz w:val="20"/>
        </w:rPr>
        <w:t> </w:t>
      </w:r>
      <w:r>
        <w:rPr>
          <w:i/>
          <w:color w:val="231F20"/>
          <w:sz w:val="20"/>
        </w:rPr>
        <w:t>хорошая</w:t>
      </w:r>
      <w:r>
        <w:rPr>
          <w:i/>
          <w:color w:val="231F20"/>
          <w:spacing w:val="-12"/>
          <w:sz w:val="20"/>
        </w:rPr>
        <w:t> </w:t>
      </w:r>
      <w:r>
        <w:rPr>
          <w:i/>
          <w:color w:val="231F20"/>
          <w:sz w:val="20"/>
        </w:rPr>
        <w:t>полянка,</w:t>
      </w:r>
      <w:r>
        <w:rPr>
          <w:i/>
          <w:color w:val="231F20"/>
          <w:spacing w:val="-13"/>
          <w:sz w:val="20"/>
        </w:rPr>
        <w:t> </w:t>
      </w:r>
      <w:r>
        <w:rPr>
          <w:i/>
          <w:color w:val="231F20"/>
          <w:sz w:val="20"/>
        </w:rPr>
        <w:t>здесь</w:t>
      </w:r>
      <w:r>
        <w:rPr>
          <w:i/>
          <w:color w:val="231F20"/>
          <w:spacing w:val="-12"/>
          <w:sz w:val="20"/>
        </w:rPr>
        <w:t> </w:t>
      </w:r>
      <w:r>
        <w:rPr>
          <w:i/>
          <w:color w:val="231F20"/>
          <w:sz w:val="20"/>
        </w:rPr>
        <w:t>мы</w:t>
      </w:r>
      <w:r>
        <w:rPr>
          <w:i/>
          <w:color w:val="231F20"/>
          <w:spacing w:val="-13"/>
          <w:sz w:val="20"/>
        </w:rPr>
        <w:t> </w:t>
      </w:r>
      <w:r>
        <w:rPr>
          <w:i/>
          <w:color w:val="231F20"/>
          <w:sz w:val="20"/>
        </w:rPr>
        <w:t>все</w:t>
      </w:r>
      <w:r>
        <w:rPr>
          <w:i/>
          <w:color w:val="231F20"/>
          <w:spacing w:val="-12"/>
          <w:sz w:val="20"/>
        </w:rPr>
        <w:t> </w:t>
      </w:r>
      <w:r>
        <w:rPr>
          <w:i/>
          <w:color w:val="231F20"/>
          <w:sz w:val="20"/>
        </w:rPr>
        <w:t>сядем»,</w:t>
      </w:r>
      <w:r>
        <w:rPr>
          <w:i/>
          <w:color w:val="231F20"/>
          <w:spacing w:val="-13"/>
          <w:sz w:val="20"/>
        </w:rPr>
        <w:t> </w:t>
      </w:r>
      <w:r>
        <w:rPr>
          <w:i/>
          <w:color w:val="231F20"/>
          <w:sz w:val="20"/>
        </w:rPr>
        <w:t>–</w:t>
      </w:r>
      <w:r>
        <w:rPr>
          <w:i/>
          <w:color w:val="231F20"/>
          <w:spacing w:val="-12"/>
          <w:sz w:val="20"/>
        </w:rPr>
        <w:t> </w:t>
      </w:r>
      <w:r>
        <w:rPr>
          <w:i/>
          <w:color w:val="231F20"/>
          <w:sz w:val="20"/>
        </w:rPr>
        <w:t>подума-</w:t>
      </w:r>
    </w:p>
    <w:p>
      <w:pPr>
        <w:spacing w:before="0"/>
        <w:ind w:left="141" w:right="139" w:firstLine="0"/>
        <w:jc w:val="right"/>
        <w:rPr>
          <w:i/>
          <w:sz w:val="20"/>
        </w:rPr>
      </w:pPr>
      <w:r>
        <w:rPr>
          <w:i/>
          <w:color w:val="231F20"/>
          <w:spacing w:val="-2"/>
          <w:sz w:val="20"/>
        </w:rPr>
        <w:t>ли</w:t>
      </w:r>
      <w:r>
        <w:rPr>
          <w:i/>
          <w:color w:val="231F20"/>
          <w:spacing w:val="-5"/>
          <w:sz w:val="20"/>
        </w:rPr>
        <w:t> </w:t>
      </w:r>
      <w:r>
        <w:rPr>
          <w:i/>
          <w:color w:val="231F20"/>
          <w:spacing w:val="-2"/>
          <w:sz w:val="20"/>
        </w:rPr>
        <w:t>они.</w:t>
      </w:r>
      <w:r>
        <w:rPr>
          <w:i/>
          <w:color w:val="231F20"/>
          <w:spacing w:val="-5"/>
          <w:sz w:val="20"/>
        </w:rPr>
        <w:t> </w:t>
      </w:r>
      <w:r>
        <w:rPr>
          <w:i/>
          <w:color w:val="231F20"/>
          <w:spacing w:val="-2"/>
          <w:sz w:val="20"/>
        </w:rPr>
        <w:t>Приземлились</w:t>
      </w:r>
      <w:r>
        <w:rPr>
          <w:i/>
          <w:color w:val="231F20"/>
          <w:spacing w:val="-6"/>
          <w:sz w:val="20"/>
        </w:rPr>
        <w:t> </w:t>
      </w:r>
      <w:r>
        <w:rPr>
          <w:i/>
          <w:color w:val="231F20"/>
          <w:spacing w:val="-2"/>
          <w:sz w:val="20"/>
        </w:rPr>
        <w:t>прямо</w:t>
      </w:r>
      <w:r>
        <w:rPr>
          <w:i/>
          <w:color w:val="231F20"/>
          <w:spacing w:val="-5"/>
          <w:sz w:val="20"/>
        </w:rPr>
        <w:t> </w:t>
      </w:r>
      <w:r>
        <w:rPr>
          <w:i/>
          <w:color w:val="231F20"/>
          <w:spacing w:val="-2"/>
          <w:sz w:val="20"/>
        </w:rPr>
        <w:t>сюда.</w:t>
      </w:r>
      <w:r>
        <w:rPr>
          <w:i/>
          <w:color w:val="231F20"/>
          <w:spacing w:val="-5"/>
          <w:sz w:val="20"/>
        </w:rPr>
        <w:t> </w:t>
      </w:r>
      <w:r>
        <w:rPr>
          <w:i/>
          <w:color w:val="231F20"/>
          <w:spacing w:val="-2"/>
          <w:sz w:val="20"/>
        </w:rPr>
        <w:t>А</w:t>
      </w:r>
      <w:r>
        <w:rPr>
          <w:i/>
          <w:color w:val="231F20"/>
          <w:spacing w:val="-5"/>
          <w:sz w:val="20"/>
        </w:rPr>
        <w:t> </w:t>
      </w:r>
      <w:r>
        <w:rPr>
          <w:i/>
          <w:color w:val="231F20"/>
          <w:spacing w:val="-2"/>
          <w:sz w:val="20"/>
        </w:rPr>
        <w:t>у</w:t>
      </w:r>
      <w:r>
        <w:rPr>
          <w:i/>
          <w:color w:val="231F20"/>
          <w:spacing w:val="-5"/>
          <w:sz w:val="20"/>
        </w:rPr>
        <w:t> </w:t>
      </w:r>
      <w:r>
        <w:rPr>
          <w:i/>
          <w:color w:val="231F20"/>
          <w:spacing w:val="-2"/>
          <w:sz w:val="20"/>
        </w:rPr>
        <w:t>них</w:t>
      </w:r>
      <w:r>
        <w:rPr>
          <w:i/>
          <w:color w:val="231F20"/>
          <w:spacing w:val="-5"/>
          <w:sz w:val="20"/>
        </w:rPr>
        <w:t> </w:t>
      </w:r>
      <w:r>
        <w:rPr>
          <w:i/>
          <w:color w:val="231F20"/>
          <w:spacing w:val="-2"/>
          <w:sz w:val="20"/>
        </w:rPr>
        <w:t>были</w:t>
      </w:r>
      <w:r>
        <w:rPr>
          <w:i/>
          <w:color w:val="231F20"/>
          <w:spacing w:val="-5"/>
          <w:sz w:val="20"/>
        </w:rPr>
        <w:t> </w:t>
      </w:r>
      <w:r>
        <w:rPr>
          <w:i/>
          <w:color w:val="231F20"/>
          <w:spacing w:val="-2"/>
          <w:sz w:val="20"/>
        </w:rPr>
        <w:t>тяжелые</w:t>
      </w:r>
      <w:r>
        <w:rPr>
          <w:i/>
          <w:color w:val="231F20"/>
          <w:spacing w:val="-5"/>
          <w:sz w:val="20"/>
        </w:rPr>
        <w:t> </w:t>
      </w:r>
      <w:r>
        <w:rPr>
          <w:i/>
          <w:color w:val="231F20"/>
          <w:spacing w:val="-2"/>
          <w:sz w:val="20"/>
        </w:rPr>
        <w:t>железные</w:t>
      </w:r>
      <w:r>
        <w:rPr>
          <w:i/>
          <w:color w:val="231F20"/>
          <w:spacing w:val="-5"/>
          <w:sz w:val="20"/>
        </w:rPr>
        <w:t> </w:t>
      </w:r>
      <w:r>
        <w:rPr>
          <w:i/>
          <w:color w:val="231F20"/>
          <w:spacing w:val="-2"/>
          <w:sz w:val="20"/>
        </w:rPr>
        <w:t>летающие</w:t>
      </w:r>
      <w:r>
        <w:rPr>
          <w:i/>
          <w:color w:val="231F20"/>
          <w:spacing w:val="-5"/>
          <w:sz w:val="20"/>
        </w:rPr>
        <w:t> </w:t>
      </w:r>
      <w:r>
        <w:rPr>
          <w:i/>
          <w:color w:val="231F20"/>
          <w:spacing w:val="-2"/>
          <w:sz w:val="20"/>
        </w:rPr>
        <w:t>тарел- </w:t>
      </w:r>
      <w:r>
        <w:rPr>
          <w:i/>
          <w:color w:val="231F20"/>
          <w:spacing w:val="-4"/>
          <w:sz w:val="20"/>
        </w:rPr>
        <w:t>ки,</w:t>
      </w:r>
      <w:r>
        <w:rPr>
          <w:i/>
          <w:color w:val="231F20"/>
          <w:spacing w:val="-7"/>
          <w:sz w:val="20"/>
        </w:rPr>
        <w:t> </w:t>
      </w:r>
      <w:r>
        <w:rPr>
          <w:i/>
          <w:color w:val="231F20"/>
          <w:spacing w:val="-4"/>
          <w:sz w:val="20"/>
        </w:rPr>
        <w:t>поэтому</w:t>
      </w:r>
      <w:r>
        <w:rPr>
          <w:i/>
          <w:color w:val="231F20"/>
          <w:spacing w:val="-7"/>
          <w:sz w:val="20"/>
        </w:rPr>
        <w:t> </w:t>
      </w:r>
      <w:r>
        <w:rPr>
          <w:i/>
          <w:color w:val="231F20"/>
          <w:spacing w:val="-4"/>
          <w:sz w:val="20"/>
        </w:rPr>
        <w:t>ветки</w:t>
      </w:r>
      <w:r>
        <w:rPr>
          <w:i/>
          <w:color w:val="231F20"/>
          <w:spacing w:val="-7"/>
          <w:sz w:val="20"/>
        </w:rPr>
        <w:t> </w:t>
      </w:r>
      <w:r>
        <w:rPr>
          <w:i/>
          <w:color w:val="231F20"/>
          <w:spacing w:val="-4"/>
          <w:sz w:val="20"/>
        </w:rPr>
        <w:t>сразу</w:t>
      </w:r>
      <w:r>
        <w:rPr>
          <w:i/>
          <w:color w:val="231F20"/>
          <w:spacing w:val="-7"/>
          <w:sz w:val="20"/>
        </w:rPr>
        <w:t> </w:t>
      </w:r>
      <w:r>
        <w:rPr>
          <w:i/>
          <w:color w:val="231F20"/>
          <w:spacing w:val="-4"/>
          <w:sz w:val="20"/>
        </w:rPr>
        <w:t>проломились.</w:t>
      </w:r>
      <w:r>
        <w:rPr>
          <w:i/>
          <w:color w:val="231F20"/>
          <w:spacing w:val="-7"/>
          <w:sz w:val="20"/>
        </w:rPr>
        <w:t> </w:t>
      </w:r>
      <w:r>
        <w:rPr>
          <w:i/>
          <w:color w:val="231F20"/>
          <w:spacing w:val="-4"/>
          <w:sz w:val="20"/>
        </w:rPr>
        <w:t>И</w:t>
      </w:r>
      <w:r>
        <w:rPr>
          <w:i/>
          <w:color w:val="231F20"/>
          <w:spacing w:val="-7"/>
          <w:sz w:val="20"/>
        </w:rPr>
        <w:t> </w:t>
      </w:r>
      <w:r>
        <w:rPr>
          <w:i/>
          <w:color w:val="231F20"/>
          <w:spacing w:val="-4"/>
          <w:sz w:val="20"/>
        </w:rPr>
        <w:t>бу-бух</w:t>
      </w:r>
      <w:r>
        <w:rPr>
          <w:i/>
          <w:color w:val="231F20"/>
          <w:spacing w:val="-7"/>
          <w:sz w:val="20"/>
        </w:rPr>
        <w:t> </w:t>
      </w:r>
      <w:r>
        <w:rPr>
          <w:i/>
          <w:color w:val="231F20"/>
          <w:spacing w:val="-4"/>
          <w:sz w:val="20"/>
        </w:rPr>
        <w:t>–</w:t>
      </w:r>
      <w:r>
        <w:rPr>
          <w:i/>
          <w:color w:val="231F20"/>
          <w:spacing w:val="-7"/>
          <w:sz w:val="20"/>
        </w:rPr>
        <w:t> </w:t>
      </w:r>
      <w:r>
        <w:rPr>
          <w:i/>
          <w:color w:val="231F20"/>
          <w:spacing w:val="-4"/>
          <w:sz w:val="20"/>
        </w:rPr>
        <w:t>все</w:t>
      </w:r>
      <w:r>
        <w:rPr>
          <w:i/>
          <w:color w:val="231F20"/>
          <w:spacing w:val="-7"/>
          <w:sz w:val="20"/>
        </w:rPr>
        <w:t> </w:t>
      </w:r>
      <w:r>
        <w:rPr>
          <w:i/>
          <w:color w:val="231F20"/>
          <w:spacing w:val="-4"/>
          <w:sz w:val="20"/>
        </w:rPr>
        <w:t>монстры</w:t>
      </w:r>
      <w:r>
        <w:rPr>
          <w:i/>
          <w:color w:val="231F20"/>
          <w:spacing w:val="-7"/>
          <w:sz w:val="20"/>
        </w:rPr>
        <w:t> </w:t>
      </w:r>
      <w:r>
        <w:rPr>
          <w:i/>
          <w:color w:val="231F20"/>
          <w:spacing w:val="-4"/>
          <w:sz w:val="20"/>
        </w:rPr>
        <w:t>взорвались</w:t>
      </w:r>
      <w:r>
        <w:rPr>
          <w:i/>
          <w:color w:val="231F20"/>
          <w:spacing w:val="-7"/>
          <w:sz w:val="20"/>
        </w:rPr>
        <w:t> </w:t>
      </w:r>
      <w:r>
        <w:rPr>
          <w:i/>
          <w:color w:val="231F20"/>
          <w:spacing w:val="-4"/>
          <w:sz w:val="20"/>
        </w:rPr>
        <w:t>на</w:t>
      </w:r>
      <w:r>
        <w:rPr>
          <w:i/>
          <w:color w:val="231F20"/>
          <w:spacing w:val="-7"/>
          <w:sz w:val="20"/>
        </w:rPr>
        <w:t> </w:t>
      </w:r>
      <w:r>
        <w:rPr>
          <w:i/>
          <w:color w:val="231F20"/>
          <w:spacing w:val="-4"/>
          <w:sz w:val="20"/>
        </w:rPr>
        <w:t>хлопушках. </w:t>
      </w:r>
      <w:r>
        <w:rPr>
          <w:i/>
          <w:color w:val="231F20"/>
          <w:sz w:val="20"/>
        </w:rPr>
        <w:t>А</w:t>
      </w:r>
      <w:r>
        <w:rPr>
          <w:i/>
          <w:color w:val="231F20"/>
          <w:spacing w:val="-9"/>
          <w:sz w:val="20"/>
        </w:rPr>
        <w:t> </w:t>
      </w:r>
      <w:r>
        <w:rPr>
          <w:i/>
          <w:color w:val="231F20"/>
          <w:sz w:val="20"/>
        </w:rPr>
        <w:t>я,</w:t>
      </w:r>
      <w:r>
        <w:rPr>
          <w:i/>
          <w:color w:val="231F20"/>
          <w:spacing w:val="-9"/>
          <w:sz w:val="20"/>
        </w:rPr>
        <w:t> </w:t>
      </w:r>
      <w:r>
        <w:rPr>
          <w:i/>
          <w:color w:val="231F20"/>
          <w:sz w:val="20"/>
        </w:rPr>
        <w:t>гордый</w:t>
      </w:r>
      <w:r>
        <w:rPr>
          <w:i/>
          <w:color w:val="231F20"/>
          <w:spacing w:val="-9"/>
          <w:sz w:val="20"/>
        </w:rPr>
        <w:t> </w:t>
      </w:r>
      <w:r>
        <w:rPr>
          <w:i/>
          <w:color w:val="231F20"/>
          <w:sz w:val="20"/>
        </w:rPr>
        <w:t>и</w:t>
      </w:r>
      <w:r>
        <w:rPr>
          <w:i/>
          <w:color w:val="231F20"/>
          <w:spacing w:val="-9"/>
          <w:sz w:val="20"/>
        </w:rPr>
        <w:t> </w:t>
      </w:r>
      <w:r>
        <w:rPr>
          <w:i/>
          <w:color w:val="231F20"/>
          <w:sz w:val="20"/>
        </w:rPr>
        <w:t>довольный,</w:t>
      </w:r>
      <w:r>
        <w:rPr>
          <w:i/>
          <w:color w:val="231F20"/>
          <w:spacing w:val="-9"/>
          <w:sz w:val="20"/>
        </w:rPr>
        <w:t> </w:t>
      </w:r>
      <w:r>
        <w:rPr>
          <w:i/>
          <w:color w:val="231F20"/>
          <w:sz w:val="20"/>
        </w:rPr>
        <w:t>пошел</w:t>
      </w:r>
      <w:r>
        <w:rPr>
          <w:i/>
          <w:color w:val="231F20"/>
          <w:spacing w:val="-9"/>
          <w:sz w:val="20"/>
        </w:rPr>
        <w:t> </w:t>
      </w:r>
      <w:r>
        <w:rPr>
          <w:i/>
          <w:color w:val="231F20"/>
          <w:sz w:val="20"/>
        </w:rPr>
        <w:t>домой,</w:t>
      </w:r>
      <w:r>
        <w:rPr>
          <w:i/>
          <w:color w:val="231F20"/>
          <w:spacing w:val="-9"/>
          <w:sz w:val="20"/>
        </w:rPr>
        <w:t> </w:t>
      </w:r>
      <w:r>
        <w:rPr>
          <w:i/>
          <w:color w:val="231F20"/>
          <w:sz w:val="20"/>
        </w:rPr>
        <w:t>привел</w:t>
      </w:r>
      <w:r>
        <w:rPr>
          <w:i/>
          <w:color w:val="231F20"/>
          <w:spacing w:val="-9"/>
          <w:sz w:val="20"/>
        </w:rPr>
        <w:t> </w:t>
      </w:r>
      <w:r>
        <w:rPr>
          <w:i/>
          <w:color w:val="231F20"/>
          <w:sz w:val="20"/>
        </w:rPr>
        <w:t>к</w:t>
      </w:r>
      <w:r>
        <w:rPr>
          <w:i/>
          <w:color w:val="231F20"/>
          <w:spacing w:val="-9"/>
          <w:sz w:val="20"/>
        </w:rPr>
        <w:t> </w:t>
      </w:r>
      <w:r>
        <w:rPr>
          <w:i/>
          <w:color w:val="231F20"/>
          <w:sz w:val="20"/>
        </w:rPr>
        <w:t>яме</w:t>
      </w:r>
      <w:r>
        <w:rPr>
          <w:i/>
          <w:color w:val="231F20"/>
          <w:spacing w:val="-9"/>
          <w:sz w:val="20"/>
        </w:rPr>
        <w:t> </w:t>
      </w:r>
      <w:r>
        <w:rPr>
          <w:i/>
          <w:color w:val="231F20"/>
          <w:sz w:val="20"/>
        </w:rPr>
        <w:t>всех</w:t>
      </w:r>
      <w:r>
        <w:rPr>
          <w:i/>
          <w:color w:val="231F20"/>
          <w:spacing w:val="-9"/>
          <w:sz w:val="20"/>
        </w:rPr>
        <w:t> </w:t>
      </w:r>
      <w:r>
        <w:rPr>
          <w:i/>
          <w:color w:val="231F20"/>
          <w:sz w:val="20"/>
        </w:rPr>
        <w:t>своих</w:t>
      </w:r>
      <w:r>
        <w:rPr>
          <w:i/>
          <w:color w:val="231F20"/>
          <w:spacing w:val="-9"/>
          <w:sz w:val="20"/>
        </w:rPr>
        <w:t> </w:t>
      </w:r>
      <w:r>
        <w:rPr>
          <w:i/>
          <w:color w:val="231F20"/>
          <w:sz w:val="20"/>
        </w:rPr>
        <w:t>друзей</w:t>
      </w:r>
      <w:r>
        <w:rPr>
          <w:i/>
          <w:color w:val="231F20"/>
          <w:spacing w:val="-9"/>
          <w:sz w:val="20"/>
        </w:rPr>
        <w:t> </w:t>
      </w:r>
      <w:r>
        <w:rPr>
          <w:i/>
          <w:color w:val="231F20"/>
          <w:sz w:val="20"/>
        </w:rPr>
        <w:t>и</w:t>
      </w:r>
      <w:r>
        <w:rPr>
          <w:i/>
          <w:color w:val="231F20"/>
          <w:spacing w:val="-9"/>
          <w:sz w:val="20"/>
        </w:rPr>
        <w:t> </w:t>
      </w:r>
      <w:r>
        <w:rPr>
          <w:i/>
          <w:color w:val="231F20"/>
          <w:sz w:val="20"/>
        </w:rPr>
        <w:t>сказал:</w:t>
      </w:r>
      <w:r>
        <w:rPr>
          <w:i/>
          <w:color w:val="231F20"/>
          <w:spacing w:val="-9"/>
          <w:sz w:val="20"/>
        </w:rPr>
        <w:t> </w:t>
      </w:r>
      <w:r>
        <w:rPr>
          <w:i/>
          <w:color w:val="231F20"/>
          <w:sz w:val="20"/>
        </w:rPr>
        <w:t>«По-</w:t>
      </w:r>
    </w:p>
    <w:p>
      <w:pPr>
        <w:spacing w:line="224" w:lineRule="exact" w:before="0"/>
        <w:ind w:left="141" w:right="0" w:firstLine="0"/>
        <w:jc w:val="left"/>
        <w:rPr>
          <w:i/>
          <w:sz w:val="20"/>
        </w:rPr>
      </w:pPr>
      <w:r>
        <w:rPr>
          <w:i/>
          <w:color w:val="231F20"/>
          <w:spacing w:val="-2"/>
          <w:sz w:val="20"/>
        </w:rPr>
        <w:t>смотрите,</w:t>
      </w:r>
      <w:r>
        <w:rPr>
          <w:i/>
          <w:color w:val="231F20"/>
          <w:spacing w:val="-4"/>
          <w:sz w:val="20"/>
        </w:rPr>
        <w:t> </w:t>
      </w:r>
      <w:r>
        <w:rPr>
          <w:i/>
          <w:color w:val="231F20"/>
          <w:spacing w:val="-2"/>
          <w:sz w:val="20"/>
        </w:rPr>
        <w:t>это</w:t>
      </w:r>
      <w:r>
        <w:rPr>
          <w:i/>
          <w:color w:val="231F20"/>
          <w:spacing w:val="-4"/>
          <w:sz w:val="20"/>
        </w:rPr>
        <w:t> </w:t>
      </w:r>
      <w:r>
        <w:rPr>
          <w:i/>
          <w:color w:val="231F20"/>
          <w:spacing w:val="-2"/>
          <w:sz w:val="20"/>
        </w:rPr>
        <w:t>монстры,</w:t>
      </w:r>
      <w:r>
        <w:rPr>
          <w:i/>
          <w:color w:val="231F20"/>
          <w:spacing w:val="-3"/>
          <w:sz w:val="20"/>
        </w:rPr>
        <w:t> </w:t>
      </w:r>
      <w:r>
        <w:rPr>
          <w:i/>
          <w:color w:val="231F20"/>
          <w:spacing w:val="-2"/>
          <w:sz w:val="20"/>
        </w:rPr>
        <w:t>с</w:t>
      </w:r>
      <w:r>
        <w:rPr>
          <w:i/>
          <w:color w:val="231F20"/>
          <w:spacing w:val="-4"/>
          <w:sz w:val="20"/>
        </w:rPr>
        <w:t> </w:t>
      </w:r>
      <w:r>
        <w:rPr>
          <w:i/>
          <w:color w:val="231F20"/>
          <w:spacing w:val="-2"/>
          <w:sz w:val="20"/>
        </w:rPr>
        <w:t>которыми</w:t>
      </w:r>
      <w:r>
        <w:rPr>
          <w:i/>
          <w:color w:val="231F20"/>
          <w:spacing w:val="-3"/>
          <w:sz w:val="20"/>
        </w:rPr>
        <w:t> </w:t>
      </w:r>
      <w:r>
        <w:rPr>
          <w:i/>
          <w:color w:val="231F20"/>
          <w:spacing w:val="-2"/>
          <w:sz w:val="20"/>
        </w:rPr>
        <w:t>я</w:t>
      </w:r>
      <w:r>
        <w:rPr>
          <w:i/>
          <w:color w:val="231F20"/>
          <w:spacing w:val="-4"/>
          <w:sz w:val="20"/>
        </w:rPr>
        <w:t> </w:t>
      </w:r>
      <w:r>
        <w:rPr>
          <w:i/>
          <w:color w:val="231F20"/>
          <w:spacing w:val="-2"/>
          <w:sz w:val="20"/>
        </w:rPr>
        <w:t>справился</w:t>
      </w:r>
      <w:r>
        <w:rPr>
          <w:i/>
          <w:color w:val="231F20"/>
          <w:spacing w:val="-3"/>
          <w:sz w:val="20"/>
        </w:rPr>
        <w:t> </w:t>
      </w:r>
      <w:r>
        <w:rPr>
          <w:i/>
          <w:color w:val="231F20"/>
          <w:spacing w:val="-2"/>
          <w:sz w:val="20"/>
        </w:rPr>
        <w:t>один,</w:t>
      </w:r>
      <w:r>
        <w:rPr>
          <w:i/>
          <w:color w:val="231F20"/>
          <w:spacing w:val="-4"/>
          <w:sz w:val="20"/>
        </w:rPr>
        <w:t> </w:t>
      </w:r>
      <w:r>
        <w:rPr>
          <w:i/>
          <w:color w:val="231F20"/>
          <w:spacing w:val="-2"/>
          <w:sz w:val="20"/>
        </w:rPr>
        <w:t>когда</w:t>
      </w:r>
      <w:r>
        <w:rPr>
          <w:i/>
          <w:color w:val="231F20"/>
          <w:spacing w:val="-3"/>
          <w:sz w:val="20"/>
        </w:rPr>
        <w:t> </w:t>
      </w:r>
      <w:r>
        <w:rPr>
          <w:i/>
          <w:color w:val="231F20"/>
          <w:spacing w:val="-2"/>
          <w:sz w:val="20"/>
        </w:rPr>
        <w:t>вы</w:t>
      </w:r>
      <w:r>
        <w:rPr>
          <w:i/>
          <w:color w:val="231F20"/>
          <w:spacing w:val="-5"/>
          <w:sz w:val="20"/>
        </w:rPr>
        <w:t> </w:t>
      </w:r>
      <w:r>
        <w:rPr>
          <w:i/>
          <w:color w:val="231F20"/>
          <w:spacing w:val="-2"/>
          <w:sz w:val="20"/>
        </w:rPr>
        <w:t>не</w:t>
      </w:r>
      <w:r>
        <w:rPr>
          <w:i/>
          <w:color w:val="231F20"/>
          <w:spacing w:val="-3"/>
          <w:sz w:val="20"/>
        </w:rPr>
        <w:t> </w:t>
      </w:r>
      <w:r>
        <w:rPr>
          <w:i/>
          <w:color w:val="231F20"/>
          <w:spacing w:val="-2"/>
          <w:sz w:val="20"/>
        </w:rPr>
        <w:t>помогали</w:t>
      </w:r>
      <w:r>
        <w:rPr>
          <w:i/>
          <w:color w:val="231F20"/>
          <w:spacing w:val="-4"/>
          <w:sz w:val="20"/>
        </w:rPr>
        <w:t> </w:t>
      </w:r>
      <w:r>
        <w:rPr>
          <w:i/>
          <w:color w:val="231F20"/>
          <w:spacing w:val="-2"/>
          <w:sz w:val="20"/>
        </w:rPr>
        <w:t>мне».</w:t>
      </w:r>
    </w:p>
    <w:p>
      <w:pPr>
        <w:spacing w:line="235" w:lineRule="auto" w:before="2"/>
        <w:ind w:left="141" w:right="139" w:firstLine="283"/>
        <w:jc w:val="left"/>
        <w:rPr>
          <w:i/>
          <w:sz w:val="20"/>
        </w:rPr>
      </w:pPr>
      <w:r>
        <w:rPr>
          <w:i/>
          <w:color w:val="231F20"/>
          <w:sz w:val="20"/>
        </w:rPr>
        <w:t>С</w:t>
      </w:r>
      <w:r>
        <w:rPr>
          <w:i/>
          <w:color w:val="231F20"/>
          <w:spacing w:val="-13"/>
          <w:sz w:val="20"/>
        </w:rPr>
        <w:t> </w:t>
      </w:r>
      <w:r>
        <w:rPr>
          <w:i/>
          <w:color w:val="231F20"/>
          <w:sz w:val="20"/>
        </w:rPr>
        <w:t>этого</w:t>
      </w:r>
      <w:r>
        <w:rPr>
          <w:i/>
          <w:color w:val="231F20"/>
          <w:spacing w:val="-12"/>
          <w:sz w:val="20"/>
        </w:rPr>
        <w:t> </w:t>
      </w:r>
      <w:r>
        <w:rPr>
          <w:i/>
          <w:color w:val="231F20"/>
          <w:sz w:val="20"/>
        </w:rPr>
        <w:t>момента</w:t>
      </w:r>
      <w:r>
        <w:rPr>
          <w:i/>
          <w:color w:val="231F20"/>
          <w:spacing w:val="-13"/>
          <w:sz w:val="20"/>
        </w:rPr>
        <w:t> </w:t>
      </w:r>
      <w:r>
        <w:rPr>
          <w:i/>
          <w:color w:val="231F20"/>
          <w:sz w:val="20"/>
        </w:rPr>
        <w:t>я</w:t>
      </w:r>
      <w:r>
        <w:rPr>
          <w:i/>
          <w:color w:val="231F20"/>
          <w:spacing w:val="-12"/>
          <w:sz w:val="20"/>
        </w:rPr>
        <w:t> </w:t>
      </w:r>
      <w:r>
        <w:rPr>
          <w:i/>
          <w:color w:val="231F20"/>
          <w:sz w:val="20"/>
        </w:rPr>
        <w:t>знал,</w:t>
      </w:r>
      <w:r>
        <w:rPr>
          <w:i/>
          <w:color w:val="231F20"/>
          <w:spacing w:val="-13"/>
          <w:sz w:val="20"/>
        </w:rPr>
        <w:t> </w:t>
      </w:r>
      <w:r>
        <w:rPr>
          <w:i/>
          <w:color w:val="231F20"/>
          <w:sz w:val="20"/>
        </w:rPr>
        <w:t>что</w:t>
      </w:r>
      <w:r>
        <w:rPr>
          <w:i/>
          <w:color w:val="231F20"/>
          <w:spacing w:val="-12"/>
          <w:sz w:val="20"/>
        </w:rPr>
        <w:t> </w:t>
      </w:r>
      <w:r>
        <w:rPr>
          <w:i/>
          <w:color w:val="231F20"/>
          <w:sz w:val="20"/>
        </w:rPr>
        <w:t>всегда,</w:t>
      </w:r>
      <w:r>
        <w:rPr>
          <w:i/>
          <w:color w:val="231F20"/>
          <w:spacing w:val="-13"/>
          <w:sz w:val="20"/>
        </w:rPr>
        <w:t> </w:t>
      </w:r>
      <w:r>
        <w:rPr>
          <w:i/>
          <w:color w:val="231F20"/>
          <w:sz w:val="20"/>
        </w:rPr>
        <w:t>если</w:t>
      </w:r>
      <w:r>
        <w:rPr>
          <w:i/>
          <w:color w:val="231F20"/>
          <w:spacing w:val="-12"/>
          <w:sz w:val="20"/>
        </w:rPr>
        <w:t> </w:t>
      </w:r>
      <w:r>
        <w:rPr>
          <w:i/>
          <w:color w:val="231F20"/>
          <w:sz w:val="20"/>
        </w:rPr>
        <w:t>возникнет</w:t>
      </w:r>
      <w:r>
        <w:rPr>
          <w:i/>
          <w:color w:val="231F20"/>
          <w:spacing w:val="-13"/>
          <w:sz w:val="20"/>
        </w:rPr>
        <w:t> </w:t>
      </w:r>
      <w:r>
        <w:rPr>
          <w:i/>
          <w:color w:val="231F20"/>
          <w:sz w:val="20"/>
        </w:rPr>
        <w:t>какая-то</w:t>
      </w:r>
      <w:r>
        <w:rPr>
          <w:i/>
          <w:color w:val="231F20"/>
          <w:spacing w:val="-12"/>
          <w:sz w:val="20"/>
        </w:rPr>
        <w:t> </w:t>
      </w:r>
      <w:r>
        <w:rPr>
          <w:i/>
          <w:color w:val="231F20"/>
          <w:sz w:val="20"/>
        </w:rPr>
        <w:t>трудность,</w:t>
      </w:r>
      <w:r>
        <w:rPr>
          <w:i/>
          <w:color w:val="231F20"/>
          <w:spacing w:val="-13"/>
          <w:sz w:val="20"/>
        </w:rPr>
        <w:t> </w:t>
      </w:r>
      <w:r>
        <w:rPr>
          <w:i/>
          <w:color w:val="231F20"/>
          <w:sz w:val="20"/>
        </w:rPr>
        <w:t>я</w:t>
      </w:r>
      <w:r>
        <w:rPr>
          <w:i/>
          <w:color w:val="231F20"/>
          <w:spacing w:val="-12"/>
          <w:sz w:val="20"/>
        </w:rPr>
        <w:t> </w:t>
      </w:r>
      <w:r>
        <w:rPr>
          <w:i/>
          <w:color w:val="231F20"/>
          <w:sz w:val="20"/>
        </w:rPr>
        <w:t>смогу с ней справится один.</w:t>
      </w:r>
    </w:p>
    <w:p>
      <w:pPr>
        <w:spacing w:line="235" w:lineRule="auto" w:before="1"/>
        <w:ind w:left="141" w:right="0" w:firstLine="283"/>
        <w:jc w:val="left"/>
        <w:rPr>
          <w:i/>
          <w:sz w:val="20"/>
        </w:rPr>
      </w:pPr>
      <w:r>
        <w:rPr>
          <w:i/>
          <w:color w:val="231F20"/>
          <w:sz w:val="20"/>
        </w:rPr>
        <w:t>Урок: даже если тебе никто не помогает, ты можешь трудиться сам и спра- виться с проблемой. Старайся, и у тебя все может получиться.</w:t>
      </w:r>
    </w:p>
    <w:p>
      <w:pPr>
        <w:spacing w:after="0" w:line="235" w:lineRule="auto"/>
        <w:jc w:val="left"/>
        <w:rPr>
          <w:i/>
          <w:sz w:val="20"/>
        </w:rPr>
        <w:sectPr>
          <w:pgSz w:w="8400" w:h="11910"/>
          <w:pgMar w:header="0" w:footer="529" w:top="400" w:bottom="740" w:left="425" w:right="425"/>
        </w:sectPr>
      </w:pPr>
    </w:p>
    <w:p>
      <w:pPr>
        <w:pStyle w:val="ListParagraph"/>
        <w:numPr>
          <w:ilvl w:val="1"/>
          <w:numId w:val="195"/>
        </w:numPr>
        <w:tabs>
          <w:tab w:pos="455" w:val="left" w:leader="none"/>
        </w:tabs>
        <w:spacing w:line="240" w:lineRule="auto" w:before="80" w:after="0"/>
        <w:ind w:left="455" w:right="0" w:hanging="314"/>
        <w:jc w:val="both"/>
        <w:rPr>
          <w:rFonts w:ascii="Georgia" w:hAnsi="Georgia"/>
          <w:sz w:val="18"/>
        </w:rPr>
      </w:pPr>
      <w:r>
        <w:rPr>
          <w:rFonts w:ascii="Georgia" w:hAnsi="Georgia"/>
          <w:color w:val="231F20"/>
          <w:sz w:val="18"/>
        </w:rPr>
        <w:t>Метод</w:t>
      </w:r>
      <w:r>
        <w:rPr>
          <w:rFonts w:ascii="Georgia" w:hAnsi="Georgia"/>
          <w:color w:val="231F20"/>
          <w:spacing w:val="-6"/>
          <w:sz w:val="18"/>
        </w:rPr>
        <w:t> </w:t>
      </w:r>
      <w:r>
        <w:rPr>
          <w:rFonts w:ascii="Georgia" w:hAnsi="Georgia"/>
          <w:color w:val="231F20"/>
          <w:sz w:val="18"/>
        </w:rPr>
        <w:t>диалогического</w:t>
      </w:r>
      <w:r>
        <w:rPr>
          <w:rFonts w:ascii="Georgia" w:hAnsi="Georgia"/>
          <w:color w:val="231F20"/>
          <w:spacing w:val="-5"/>
          <w:sz w:val="18"/>
        </w:rPr>
        <w:t> </w:t>
      </w:r>
      <w:r>
        <w:rPr>
          <w:rFonts w:ascii="Georgia" w:hAnsi="Georgia"/>
          <w:color w:val="231F20"/>
          <w:sz w:val="18"/>
        </w:rPr>
        <w:t>рассказывания</w:t>
      </w:r>
      <w:r>
        <w:rPr>
          <w:rFonts w:ascii="Georgia" w:hAnsi="Georgia"/>
          <w:color w:val="231F20"/>
          <w:spacing w:val="-6"/>
          <w:sz w:val="18"/>
        </w:rPr>
        <w:t> </w:t>
      </w:r>
      <w:r>
        <w:rPr>
          <w:rFonts w:ascii="Georgia" w:hAnsi="Georgia"/>
          <w:color w:val="231F20"/>
          <w:sz w:val="18"/>
        </w:rPr>
        <w:t>историй:</w:t>
      </w:r>
      <w:r>
        <w:rPr>
          <w:rFonts w:ascii="Georgia" w:hAnsi="Georgia"/>
          <w:color w:val="231F20"/>
          <w:spacing w:val="-5"/>
          <w:sz w:val="18"/>
        </w:rPr>
        <w:t> </w:t>
      </w:r>
      <w:r>
        <w:rPr>
          <w:rFonts w:ascii="Georgia" w:hAnsi="Georgia"/>
          <w:color w:val="231F20"/>
          <w:sz w:val="18"/>
        </w:rPr>
        <w:t>методическое</w:t>
      </w:r>
      <w:r>
        <w:rPr>
          <w:rFonts w:ascii="Georgia" w:hAnsi="Georgia"/>
          <w:color w:val="231F20"/>
          <w:spacing w:val="-5"/>
          <w:sz w:val="18"/>
        </w:rPr>
        <w:t> </w:t>
      </w:r>
      <w:r>
        <w:rPr>
          <w:rFonts w:ascii="Georgia" w:hAnsi="Georgia"/>
          <w:color w:val="231F20"/>
          <w:spacing w:val="-2"/>
          <w:sz w:val="18"/>
        </w:rPr>
        <w:t>руководство</w:t>
      </w:r>
    </w:p>
    <w:p>
      <w:pPr>
        <w:numPr>
          <w:ilvl w:val="0"/>
          <w:numId w:val="214"/>
        </w:numPr>
        <w:tabs>
          <w:tab w:pos="424" w:val="left" w:leader="none"/>
        </w:tabs>
        <w:spacing w:line="228" w:lineRule="exact" w:before="109"/>
        <w:ind w:left="424" w:right="0" w:hanging="283"/>
        <w:jc w:val="both"/>
        <w:rPr>
          <w:b/>
          <w:sz w:val="20"/>
        </w:rPr>
      </w:pPr>
      <w:r>
        <w:rPr>
          <w:b/>
          <w:color w:val="231F20"/>
          <w:sz w:val="20"/>
        </w:rPr>
        <w:t>Деструктивная</w:t>
      </w:r>
      <w:r>
        <w:rPr>
          <w:b/>
          <w:color w:val="231F20"/>
          <w:spacing w:val="-2"/>
          <w:sz w:val="20"/>
        </w:rPr>
        <w:t> </w:t>
      </w:r>
      <w:r>
        <w:rPr>
          <w:b/>
          <w:color w:val="231F20"/>
          <w:sz w:val="20"/>
        </w:rPr>
        <w:t>враждебность</w:t>
      </w:r>
      <w:r>
        <w:rPr>
          <w:b/>
          <w:color w:val="231F20"/>
          <w:spacing w:val="-1"/>
          <w:sz w:val="20"/>
        </w:rPr>
        <w:t> </w:t>
      </w:r>
      <w:r>
        <w:rPr>
          <w:b/>
          <w:color w:val="231F20"/>
          <w:sz w:val="20"/>
        </w:rPr>
        <w:t>–</w:t>
      </w:r>
      <w:r>
        <w:rPr>
          <w:b/>
          <w:color w:val="231F20"/>
          <w:spacing w:val="-2"/>
          <w:sz w:val="20"/>
        </w:rPr>
        <w:t> </w:t>
      </w:r>
      <w:r>
        <w:rPr>
          <w:b/>
          <w:color w:val="231F20"/>
          <w:sz w:val="20"/>
        </w:rPr>
        <w:t>канализированная</w:t>
      </w:r>
      <w:r>
        <w:rPr>
          <w:b/>
          <w:color w:val="231F20"/>
          <w:spacing w:val="-1"/>
          <w:sz w:val="20"/>
        </w:rPr>
        <w:t> </w:t>
      </w:r>
      <w:r>
        <w:rPr>
          <w:b/>
          <w:color w:val="231F20"/>
          <w:spacing w:val="-2"/>
          <w:sz w:val="20"/>
        </w:rPr>
        <w:t>враждебность</w:t>
      </w:r>
    </w:p>
    <w:p>
      <w:pPr>
        <w:pStyle w:val="BodyText"/>
        <w:spacing w:line="235" w:lineRule="auto" w:before="2"/>
      </w:pPr>
      <w:r>
        <w:rPr>
          <w:color w:val="231F20"/>
        </w:rPr>
        <w:t>Признаки «деструктивной враждебности»: агрессивные проявления, неадекват- ные</w:t>
      </w:r>
      <w:r>
        <w:rPr>
          <w:color w:val="231F20"/>
          <w:spacing w:val="-8"/>
        </w:rPr>
        <w:t> </w:t>
      </w:r>
      <w:r>
        <w:rPr>
          <w:color w:val="231F20"/>
        </w:rPr>
        <w:t>ситуации;</w:t>
      </w:r>
      <w:r>
        <w:rPr>
          <w:color w:val="231F20"/>
          <w:spacing w:val="-8"/>
        </w:rPr>
        <w:t> </w:t>
      </w:r>
      <w:r>
        <w:rPr>
          <w:color w:val="231F20"/>
        </w:rPr>
        <w:t>враждебность</w:t>
      </w:r>
      <w:r>
        <w:rPr>
          <w:color w:val="231F20"/>
          <w:spacing w:val="-8"/>
        </w:rPr>
        <w:t> </w:t>
      </w:r>
      <w:r>
        <w:rPr>
          <w:color w:val="231F20"/>
        </w:rPr>
        <w:t>как</w:t>
      </w:r>
      <w:r>
        <w:rPr>
          <w:color w:val="231F20"/>
          <w:spacing w:val="-8"/>
        </w:rPr>
        <w:t> </w:t>
      </w:r>
      <w:r>
        <w:rPr>
          <w:color w:val="231F20"/>
        </w:rPr>
        <w:t>способ</w:t>
      </w:r>
      <w:r>
        <w:rPr>
          <w:color w:val="231F20"/>
          <w:spacing w:val="-8"/>
        </w:rPr>
        <w:t> </w:t>
      </w:r>
      <w:r>
        <w:rPr>
          <w:color w:val="231F20"/>
        </w:rPr>
        <w:t>привлечения</w:t>
      </w:r>
      <w:r>
        <w:rPr>
          <w:color w:val="231F20"/>
          <w:spacing w:val="-8"/>
        </w:rPr>
        <w:t> </w:t>
      </w:r>
      <w:r>
        <w:rPr>
          <w:color w:val="231F20"/>
        </w:rPr>
        <w:t>внимания;</w:t>
      </w:r>
      <w:r>
        <w:rPr>
          <w:color w:val="231F20"/>
          <w:spacing w:val="-8"/>
        </w:rPr>
        <w:t> </w:t>
      </w:r>
      <w:r>
        <w:rPr>
          <w:color w:val="231F20"/>
        </w:rPr>
        <w:t>агрессия</w:t>
      </w:r>
      <w:r>
        <w:rPr>
          <w:color w:val="231F20"/>
          <w:spacing w:val="-8"/>
        </w:rPr>
        <w:t> </w:t>
      </w:r>
      <w:r>
        <w:rPr>
          <w:color w:val="231F20"/>
        </w:rPr>
        <w:t>как</w:t>
      </w:r>
      <w:r>
        <w:rPr>
          <w:color w:val="231F20"/>
          <w:spacing w:val="-8"/>
        </w:rPr>
        <w:t> </w:t>
      </w:r>
      <w:r>
        <w:rPr>
          <w:color w:val="231F20"/>
        </w:rPr>
        <w:t>«выме- щение» полученного ранее негативного опыта.</w:t>
      </w:r>
    </w:p>
    <w:p>
      <w:pPr>
        <w:pStyle w:val="BodyText"/>
        <w:spacing w:line="235" w:lineRule="auto" w:before="1"/>
        <w:jc w:val="right"/>
      </w:pPr>
      <w:r>
        <w:rPr>
          <w:color w:val="231F20"/>
          <w:spacing w:val="-2"/>
        </w:rPr>
        <w:t>Признаки «канализированной враждебности»: использование агрессии только при </w:t>
      </w:r>
      <w:r>
        <w:rPr>
          <w:color w:val="231F20"/>
        </w:rPr>
        <w:t>необходимости (самозащита от нанесения ущерба, угроза жизни, спортивные состя- зания и пр.); умение цивилизованно (через диалог) выражать чувства гнева, злости, обиды;</w:t>
      </w:r>
      <w:r>
        <w:rPr>
          <w:color w:val="231F20"/>
          <w:spacing w:val="-2"/>
        </w:rPr>
        <w:t> </w:t>
      </w:r>
      <w:r>
        <w:rPr>
          <w:color w:val="231F20"/>
        </w:rPr>
        <w:t>умение</w:t>
      </w:r>
      <w:r>
        <w:rPr>
          <w:color w:val="231F20"/>
          <w:spacing w:val="-2"/>
        </w:rPr>
        <w:t> </w:t>
      </w:r>
      <w:r>
        <w:rPr>
          <w:color w:val="231F20"/>
        </w:rPr>
        <w:t>достигать</w:t>
      </w:r>
      <w:r>
        <w:rPr>
          <w:color w:val="231F20"/>
          <w:spacing w:val="-3"/>
        </w:rPr>
        <w:t> </w:t>
      </w:r>
      <w:r>
        <w:rPr>
          <w:color w:val="231F20"/>
        </w:rPr>
        <w:t>компромисса</w:t>
      </w:r>
      <w:r>
        <w:rPr>
          <w:color w:val="231F20"/>
          <w:spacing w:val="-2"/>
        </w:rPr>
        <w:t> </w:t>
      </w:r>
      <w:r>
        <w:rPr>
          <w:color w:val="231F20"/>
        </w:rPr>
        <w:t>через</w:t>
      </w:r>
      <w:r>
        <w:rPr>
          <w:color w:val="231F20"/>
          <w:spacing w:val="-2"/>
        </w:rPr>
        <w:t> </w:t>
      </w:r>
      <w:r>
        <w:rPr>
          <w:color w:val="231F20"/>
        </w:rPr>
        <w:t>диалог</w:t>
      </w:r>
      <w:r>
        <w:rPr>
          <w:color w:val="231F20"/>
          <w:spacing w:val="-3"/>
        </w:rPr>
        <w:t> </w:t>
      </w:r>
      <w:r>
        <w:rPr>
          <w:color w:val="231F20"/>
        </w:rPr>
        <w:t>с</w:t>
      </w:r>
      <w:r>
        <w:rPr>
          <w:color w:val="231F20"/>
          <w:spacing w:val="-2"/>
        </w:rPr>
        <w:t> </w:t>
      </w:r>
      <w:r>
        <w:rPr>
          <w:color w:val="231F20"/>
        </w:rPr>
        <w:t>потенциальным</w:t>
      </w:r>
      <w:r>
        <w:rPr>
          <w:color w:val="231F20"/>
          <w:spacing w:val="-2"/>
        </w:rPr>
        <w:t> </w:t>
      </w:r>
      <w:r>
        <w:rPr>
          <w:color w:val="231F20"/>
        </w:rPr>
        <w:t>противником. Главная задача психолога – донести до ребенка представление о возможности и необходимости диалога с предполагаемым противником; о том, что его агрессия за- частую</w:t>
      </w:r>
      <w:r>
        <w:rPr>
          <w:color w:val="231F20"/>
          <w:spacing w:val="-5"/>
        </w:rPr>
        <w:t> </w:t>
      </w:r>
      <w:r>
        <w:rPr>
          <w:color w:val="231F20"/>
        </w:rPr>
        <w:t>вызвана</w:t>
      </w:r>
      <w:r>
        <w:rPr>
          <w:color w:val="231F20"/>
          <w:spacing w:val="-5"/>
        </w:rPr>
        <w:t> </w:t>
      </w:r>
      <w:r>
        <w:rPr>
          <w:color w:val="231F20"/>
        </w:rPr>
        <w:t>не</w:t>
      </w:r>
      <w:r>
        <w:rPr>
          <w:color w:val="231F20"/>
          <w:spacing w:val="-5"/>
        </w:rPr>
        <w:t> </w:t>
      </w:r>
      <w:r>
        <w:rPr>
          <w:color w:val="231F20"/>
        </w:rPr>
        <w:t>желанием</w:t>
      </w:r>
      <w:r>
        <w:rPr>
          <w:color w:val="231F20"/>
          <w:spacing w:val="-5"/>
        </w:rPr>
        <w:t> </w:t>
      </w:r>
      <w:r>
        <w:rPr>
          <w:color w:val="231F20"/>
        </w:rPr>
        <w:t>уничтожить</w:t>
      </w:r>
      <w:r>
        <w:rPr>
          <w:color w:val="231F20"/>
          <w:spacing w:val="-5"/>
        </w:rPr>
        <w:t> </w:t>
      </w:r>
      <w:r>
        <w:rPr>
          <w:color w:val="231F20"/>
        </w:rPr>
        <w:t>героя</w:t>
      </w:r>
      <w:r>
        <w:rPr>
          <w:color w:val="231F20"/>
          <w:spacing w:val="-5"/>
        </w:rPr>
        <w:t> </w:t>
      </w:r>
      <w:r>
        <w:rPr>
          <w:color w:val="231F20"/>
        </w:rPr>
        <w:t>(ребенка),</w:t>
      </w:r>
      <w:r>
        <w:rPr>
          <w:color w:val="231F20"/>
          <w:spacing w:val="-5"/>
        </w:rPr>
        <w:t> </w:t>
      </w:r>
      <w:r>
        <w:rPr>
          <w:color w:val="231F20"/>
        </w:rPr>
        <w:t>а</w:t>
      </w:r>
      <w:r>
        <w:rPr>
          <w:color w:val="231F20"/>
          <w:spacing w:val="-5"/>
        </w:rPr>
        <w:t> </w:t>
      </w:r>
      <w:r>
        <w:rPr>
          <w:color w:val="231F20"/>
        </w:rPr>
        <w:t>непониманием</w:t>
      </w:r>
      <w:r>
        <w:rPr>
          <w:color w:val="231F20"/>
          <w:spacing w:val="-5"/>
        </w:rPr>
        <w:t> </w:t>
      </w:r>
      <w:r>
        <w:rPr>
          <w:color w:val="231F20"/>
        </w:rPr>
        <w:t>действий героя.</w:t>
      </w:r>
      <w:r>
        <w:rPr>
          <w:color w:val="231F20"/>
          <w:spacing w:val="-7"/>
        </w:rPr>
        <w:t> </w:t>
      </w:r>
      <w:r>
        <w:rPr>
          <w:color w:val="231F20"/>
        </w:rPr>
        <w:t>Здесь</w:t>
      </w:r>
      <w:r>
        <w:rPr>
          <w:color w:val="231F20"/>
          <w:spacing w:val="-7"/>
        </w:rPr>
        <w:t> </w:t>
      </w:r>
      <w:r>
        <w:rPr>
          <w:color w:val="231F20"/>
        </w:rPr>
        <w:t>крайне</w:t>
      </w:r>
      <w:r>
        <w:rPr>
          <w:color w:val="231F20"/>
          <w:spacing w:val="-7"/>
        </w:rPr>
        <w:t> </w:t>
      </w:r>
      <w:r>
        <w:rPr>
          <w:color w:val="231F20"/>
        </w:rPr>
        <w:t>важно,</w:t>
      </w:r>
      <w:r>
        <w:rPr>
          <w:color w:val="231F20"/>
          <w:spacing w:val="-7"/>
        </w:rPr>
        <w:t> </w:t>
      </w:r>
      <w:r>
        <w:rPr>
          <w:color w:val="231F20"/>
        </w:rPr>
        <w:t>чтобы</w:t>
      </w:r>
      <w:r>
        <w:rPr>
          <w:color w:val="231F20"/>
          <w:spacing w:val="-7"/>
        </w:rPr>
        <w:t> </w:t>
      </w:r>
      <w:r>
        <w:rPr>
          <w:color w:val="231F20"/>
        </w:rPr>
        <w:t>терапевт</w:t>
      </w:r>
      <w:r>
        <w:rPr>
          <w:color w:val="231F20"/>
          <w:spacing w:val="-7"/>
        </w:rPr>
        <w:t> </w:t>
      </w:r>
      <w:r>
        <w:rPr>
          <w:color w:val="231F20"/>
        </w:rPr>
        <w:t>умел</w:t>
      </w:r>
      <w:r>
        <w:rPr>
          <w:color w:val="231F20"/>
          <w:spacing w:val="-7"/>
        </w:rPr>
        <w:t> </w:t>
      </w:r>
      <w:r>
        <w:rPr>
          <w:color w:val="231F20"/>
        </w:rPr>
        <w:t>отделять</w:t>
      </w:r>
      <w:r>
        <w:rPr>
          <w:color w:val="231F20"/>
          <w:spacing w:val="-8"/>
        </w:rPr>
        <w:t> </w:t>
      </w:r>
      <w:r>
        <w:rPr>
          <w:color w:val="231F20"/>
        </w:rPr>
        <w:t>примеры</w:t>
      </w:r>
      <w:r>
        <w:rPr>
          <w:color w:val="231F20"/>
          <w:spacing w:val="-7"/>
        </w:rPr>
        <w:t> </w:t>
      </w:r>
      <w:r>
        <w:rPr>
          <w:color w:val="231F20"/>
        </w:rPr>
        <w:t>и</w:t>
      </w:r>
      <w:r>
        <w:rPr>
          <w:color w:val="231F20"/>
          <w:spacing w:val="-7"/>
        </w:rPr>
        <w:t> </w:t>
      </w:r>
      <w:r>
        <w:rPr>
          <w:color w:val="231F20"/>
        </w:rPr>
        <w:t>советы,</w:t>
      </w:r>
      <w:r>
        <w:rPr>
          <w:color w:val="231F20"/>
          <w:spacing w:val="-7"/>
        </w:rPr>
        <w:t> </w:t>
      </w:r>
      <w:r>
        <w:rPr>
          <w:color w:val="231F20"/>
        </w:rPr>
        <w:t>направ- ленные</w:t>
      </w:r>
      <w:r>
        <w:rPr>
          <w:color w:val="231F20"/>
          <w:spacing w:val="-7"/>
        </w:rPr>
        <w:t> </w:t>
      </w:r>
      <w:r>
        <w:rPr>
          <w:color w:val="231F20"/>
        </w:rPr>
        <w:t>на</w:t>
      </w:r>
      <w:r>
        <w:rPr>
          <w:color w:val="231F20"/>
          <w:spacing w:val="-4"/>
        </w:rPr>
        <w:t> </w:t>
      </w:r>
      <w:r>
        <w:rPr>
          <w:color w:val="231F20"/>
        </w:rPr>
        <w:t>обучение</w:t>
      </w:r>
      <w:r>
        <w:rPr>
          <w:color w:val="231F20"/>
          <w:spacing w:val="-4"/>
        </w:rPr>
        <w:t> </w:t>
      </w:r>
      <w:r>
        <w:rPr>
          <w:color w:val="231F20"/>
        </w:rPr>
        <w:t>управления</w:t>
      </w:r>
      <w:r>
        <w:rPr>
          <w:color w:val="231F20"/>
          <w:spacing w:val="-4"/>
        </w:rPr>
        <w:t> </w:t>
      </w:r>
      <w:r>
        <w:rPr>
          <w:color w:val="231F20"/>
        </w:rPr>
        <w:t>агрессией,</w:t>
      </w:r>
      <w:r>
        <w:rPr>
          <w:color w:val="231F20"/>
          <w:spacing w:val="-4"/>
        </w:rPr>
        <w:t> </w:t>
      </w:r>
      <w:r>
        <w:rPr>
          <w:color w:val="231F20"/>
        </w:rPr>
        <w:t>от</w:t>
      </w:r>
      <w:r>
        <w:rPr>
          <w:color w:val="231F20"/>
          <w:spacing w:val="-5"/>
        </w:rPr>
        <w:t> </w:t>
      </w:r>
      <w:r>
        <w:rPr>
          <w:color w:val="231F20"/>
        </w:rPr>
        <w:t>моральных</w:t>
      </w:r>
      <w:r>
        <w:rPr>
          <w:color w:val="231F20"/>
          <w:spacing w:val="-4"/>
        </w:rPr>
        <w:t> </w:t>
      </w:r>
      <w:r>
        <w:rPr>
          <w:color w:val="231F20"/>
        </w:rPr>
        <w:t>установок</w:t>
      </w:r>
      <w:r>
        <w:rPr>
          <w:color w:val="231F20"/>
          <w:spacing w:val="-4"/>
        </w:rPr>
        <w:t> </w:t>
      </w:r>
      <w:r>
        <w:rPr>
          <w:color w:val="231F20"/>
        </w:rPr>
        <w:t>(«драться</w:t>
      </w:r>
      <w:r>
        <w:rPr>
          <w:color w:val="231F20"/>
          <w:spacing w:val="-4"/>
        </w:rPr>
        <w:t> </w:t>
      </w:r>
      <w:r>
        <w:rPr>
          <w:color w:val="231F20"/>
        </w:rPr>
        <w:t>–</w:t>
      </w:r>
      <w:r>
        <w:rPr>
          <w:color w:val="231F20"/>
          <w:spacing w:val="-4"/>
        </w:rPr>
        <w:t> пло-</w:t>
      </w:r>
    </w:p>
    <w:p>
      <w:pPr>
        <w:pStyle w:val="BodyText"/>
        <w:spacing w:line="228" w:lineRule="exact" w:before="2"/>
        <w:ind w:right="0" w:firstLine="0"/>
      </w:pPr>
      <w:r>
        <w:rPr>
          <w:color w:val="231F20"/>
        </w:rPr>
        <w:t>хо»</w:t>
      </w:r>
      <w:r>
        <w:rPr>
          <w:color w:val="231F20"/>
          <w:spacing w:val="-5"/>
        </w:rPr>
        <w:t> </w:t>
      </w:r>
      <w:r>
        <w:rPr>
          <w:color w:val="231F20"/>
        </w:rPr>
        <w:t>и</w:t>
      </w:r>
      <w:r>
        <w:rPr>
          <w:color w:val="231F20"/>
          <w:spacing w:val="-4"/>
        </w:rPr>
        <w:t> </w:t>
      </w:r>
      <w:r>
        <w:rPr>
          <w:color w:val="231F20"/>
          <w:spacing w:val="-2"/>
        </w:rPr>
        <w:t>т.п.).</w:t>
      </w:r>
    </w:p>
    <w:p>
      <w:pPr>
        <w:pStyle w:val="BodyText"/>
        <w:spacing w:line="235" w:lineRule="auto" w:before="2"/>
      </w:pPr>
      <w:r>
        <w:rPr>
          <w:color w:val="231F20"/>
        </w:rPr>
        <w:t>Эту</w:t>
      </w:r>
      <w:r>
        <w:rPr>
          <w:color w:val="231F20"/>
          <w:spacing w:val="-9"/>
        </w:rPr>
        <w:t> </w:t>
      </w:r>
      <w:r>
        <w:rPr>
          <w:color w:val="231F20"/>
        </w:rPr>
        <w:t>историю</w:t>
      </w:r>
      <w:r>
        <w:rPr>
          <w:color w:val="231F20"/>
          <w:spacing w:val="-9"/>
        </w:rPr>
        <w:t> </w:t>
      </w:r>
      <w:r>
        <w:rPr>
          <w:color w:val="231F20"/>
        </w:rPr>
        <w:t>рассказал</w:t>
      </w:r>
      <w:r>
        <w:rPr>
          <w:color w:val="231F20"/>
          <w:spacing w:val="-9"/>
        </w:rPr>
        <w:t> </w:t>
      </w:r>
      <w:r>
        <w:rPr>
          <w:color w:val="231F20"/>
        </w:rPr>
        <w:t>на</w:t>
      </w:r>
      <w:r>
        <w:rPr>
          <w:color w:val="231F20"/>
          <w:spacing w:val="-9"/>
        </w:rPr>
        <w:t> </w:t>
      </w:r>
      <w:r>
        <w:rPr>
          <w:color w:val="231F20"/>
        </w:rPr>
        <w:t>шестом</w:t>
      </w:r>
      <w:r>
        <w:rPr>
          <w:color w:val="231F20"/>
          <w:spacing w:val="-9"/>
        </w:rPr>
        <w:t> </w:t>
      </w:r>
      <w:r>
        <w:rPr>
          <w:color w:val="231F20"/>
        </w:rPr>
        <w:t>занятии</w:t>
      </w:r>
      <w:r>
        <w:rPr>
          <w:color w:val="231F20"/>
          <w:spacing w:val="-9"/>
        </w:rPr>
        <w:t> </w:t>
      </w:r>
      <w:r>
        <w:rPr>
          <w:color w:val="231F20"/>
        </w:rPr>
        <w:t>мальчик</w:t>
      </w:r>
      <w:r>
        <w:rPr>
          <w:color w:val="231F20"/>
          <w:spacing w:val="-9"/>
        </w:rPr>
        <w:t> </w:t>
      </w:r>
      <w:r>
        <w:rPr>
          <w:color w:val="231F20"/>
        </w:rPr>
        <w:t>восьми</w:t>
      </w:r>
      <w:r>
        <w:rPr>
          <w:color w:val="231F20"/>
          <w:spacing w:val="-9"/>
        </w:rPr>
        <w:t> </w:t>
      </w:r>
      <w:r>
        <w:rPr>
          <w:color w:val="231F20"/>
        </w:rPr>
        <w:t>лет</w:t>
      </w:r>
      <w:r>
        <w:rPr>
          <w:color w:val="231F20"/>
          <w:spacing w:val="-9"/>
        </w:rPr>
        <w:t> </w:t>
      </w:r>
      <w:r>
        <w:rPr>
          <w:color w:val="231F20"/>
        </w:rPr>
        <w:t>из</w:t>
      </w:r>
      <w:r>
        <w:rPr>
          <w:color w:val="231F20"/>
          <w:spacing w:val="-9"/>
        </w:rPr>
        <w:t> </w:t>
      </w:r>
      <w:r>
        <w:rPr>
          <w:color w:val="231F20"/>
        </w:rPr>
        <w:t>семьи</w:t>
      </w:r>
      <w:r>
        <w:rPr>
          <w:color w:val="231F20"/>
          <w:spacing w:val="-9"/>
        </w:rPr>
        <w:t> </w:t>
      </w:r>
      <w:r>
        <w:rPr>
          <w:color w:val="231F20"/>
        </w:rPr>
        <w:t>беженцев из</w:t>
      </w:r>
      <w:r>
        <w:rPr>
          <w:color w:val="231F20"/>
          <w:spacing w:val="-10"/>
        </w:rPr>
        <w:t> </w:t>
      </w:r>
      <w:r>
        <w:rPr>
          <w:color w:val="231F20"/>
        </w:rPr>
        <w:t>Анголы,</w:t>
      </w:r>
      <w:r>
        <w:rPr>
          <w:color w:val="231F20"/>
          <w:spacing w:val="-10"/>
        </w:rPr>
        <w:t> </w:t>
      </w:r>
      <w:r>
        <w:rPr>
          <w:color w:val="231F20"/>
        </w:rPr>
        <w:t>живущий</w:t>
      </w:r>
      <w:r>
        <w:rPr>
          <w:color w:val="231F20"/>
          <w:spacing w:val="-10"/>
        </w:rPr>
        <w:t> </w:t>
      </w:r>
      <w:r>
        <w:rPr>
          <w:color w:val="231F20"/>
        </w:rPr>
        <w:t>без</w:t>
      </w:r>
      <w:r>
        <w:rPr>
          <w:color w:val="231F20"/>
          <w:spacing w:val="-10"/>
        </w:rPr>
        <w:t> </w:t>
      </w:r>
      <w:r>
        <w:rPr>
          <w:color w:val="231F20"/>
        </w:rPr>
        <w:t>матери</w:t>
      </w:r>
      <w:r>
        <w:rPr>
          <w:color w:val="231F20"/>
          <w:spacing w:val="-10"/>
        </w:rPr>
        <w:t> </w:t>
      </w:r>
      <w:r>
        <w:rPr>
          <w:color w:val="231F20"/>
        </w:rPr>
        <w:t>с</w:t>
      </w:r>
      <w:r>
        <w:rPr>
          <w:color w:val="231F20"/>
          <w:spacing w:val="-10"/>
        </w:rPr>
        <w:t> </w:t>
      </w:r>
      <w:r>
        <w:rPr>
          <w:color w:val="231F20"/>
        </w:rPr>
        <w:t>приемным</w:t>
      </w:r>
      <w:r>
        <w:rPr>
          <w:color w:val="231F20"/>
          <w:spacing w:val="-10"/>
        </w:rPr>
        <w:t> </w:t>
      </w:r>
      <w:r>
        <w:rPr>
          <w:color w:val="231F20"/>
        </w:rPr>
        <w:t>отцом</w:t>
      </w:r>
      <w:r>
        <w:rPr>
          <w:color w:val="231F20"/>
          <w:spacing w:val="-10"/>
        </w:rPr>
        <w:t> </w:t>
      </w:r>
      <w:r>
        <w:rPr>
          <w:color w:val="231F20"/>
        </w:rPr>
        <w:t>и</w:t>
      </w:r>
      <w:r>
        <w:rPr>
          <w:color w:val="231F20"/>
          <w:spacing w:val="-10"/>
        </w:rPr>
        <w:t> </w:t>
      </w:r>
      <w:r>
        <w:rPr>
          <w:color w:val="231F20"/>
        </w:rPr>
        <w:t>имеющий</w:t>
      </w:r>
      <w:r>
        <w:rPr>
          <w:color w:val="231F20"/>
          <w:spacing w:val="-10"/>
        </w:rPr>
        <w:t> </w:t>
      </w:r>
      <w:r>
        <w:rPr>
          <w:color w:val="231F20"/>
        </w:rPr>
        <w:t>проблемы</w:t>
      </w:r>
      <w:r>
        <w:rPr>
          <w:color w:val="231F20"/>
          <w:spacing w:val="-10"/>
        </w:rPr>
        <w:t> </w:t>
      </w:r>
      <w:r>
        <w:rPr>
          <w:color w:val="231F20"/>
        </w:rPr>
        <w:t>в</w:t>
      </w:r>
      <w:r>
        <w:rPr>
          <w:color w:val="231F20"/>
          <w:spacing w:val="-10"/>
        </w:rPr>
        <w:t> </w:t>
      </w:r>
      <w:r>
        <w:rPr>
          <w:color w:val="231F20"/>
        </w:rPr>
        <w:t>контакте со сверстниками.</w:t>
      </w:r>
    </w:p>
    <w:p>
      <w:pPr>
        <w:spacing w:line="235" w:lineRule="auto" w:before="115"/>
        <w:ind w:left="141" w:right="139" w:firstLine="283"/>
        <w:jc w:val="both"/>
        <w:rPr>
          <w:i/>
          <w:sz w:val="20"/>
        </w:rPr>
      </w:pPr>
      <w:r>
        <w:rPr>
          <w:i/>
          <w:color w:val="231F20"/>
          <w:sz w:val="20"/>
        </w:rPr>
        <w:t>Жил-был тигр. Он пошел в зоопарк. Там увидел слона. Слон убежал в Москву из зоопарка в Мытищах. Слон взял книжку и хочет в школу пойти тоже. И в море купаться тоже. Все убежали от него, потому что испугались. Он злой был. Если бы слон смеялся, то никто бы не убежал. Слон сказал: «Уйдите все отсюда!». Все убежали, даже мамы, папы, дедушки и бабушки разных детей убежали.</w:t>
      </w:r>
    </w:p>
    <w:p>
      <w:pPr>
        <w:spacing w:line="235" w:lineRule="auto" w:before="3"/>
        <w:ind w:left="141" w:right="139" w:firstLine="283"/>
        <w:jc w:val="both"/>
        <w:rPr>
          <w:i/>
          <w:sz w:val="20"/>
        </w:rPr>
      </w:pPr>
      <w:r>
        <w:rPr>
          <w:i/>
          <w:color w:val="231F20"/>
          <w:sz w:val="20"/>
        </w:rPr>
        <w:t>Слон</w:t>
      </w:r>
      <w:r>
        <w:rPr>
          <w:i/>
          <w:color w:val="231F20"/>
          <w:spacing w:val="-2"/>
          <w:sz w:val="20"/>
        </w:rPr>
        <w:t> </w:t>
      </w:r>
      <w:r>
        <w:rPr>
          <w:i/>
          <w:color w:val="231F20"/>
          <w:sz w:val="20"/>
        </w:rPr>
        <w:t>пошел</w:t>
      </w:r>
      <w:r>
        <w:rPr>
          <w:i/>
          <w:color w:val="231F20"/>
          <w:spacing w:val="-2"/>
          <w:sz w:val="20"/>
        </w:rPr>
        <w:t> </w:t>
      </w:r>
      <w:r>
        <w:rPr>
          <w:i/>
          <w:color w:val="231F20"/>
          <w:sz w:val="20"/>
        </w:rPr>
        <w:t>в</w:t>
      </w:r>
      <w:r>
        <w:rPr>
          <w:i/>
          <w:color w:val="231F20"/>
          <w:spacing w:val="-2"/>
          <w:sz w:val="20"/>
        </w:rPr>
        <w:t> </w:t>
      </w:r>
      <w:r>
        <w:rPr>
          <w:i/>
          <w:color w:val="231F20"/>
          <w:sz w:val="20"/>
        </w:rPr>
        <w:t>Москву.</w:t>
      </w:r>
      <w:r>
        <w:rPr>
          <w:i/>
          <w:color w:val="231F20"/>
          <w:spacing w:val="-2"/>
          <w:sz w:val="20"/>
        </w:rPr>
        <w:t> </w:t>
      </w:r>
      <w:r>
        <w:rPr>
          <w:i/>
          <w:color w:val="231F20"/>
          <w:sz w:val="20"/>
        </w:rPr>
        <w:t>Там</w:t>
      </w:r>
      <w:r>
        <w:rPr>
          <w:i/>
          <w:color w:val="231F20"/>
          <w:spacing w:val="-2"/>
          <w:sz w:val="20"/>
        </w:rPr>
        <w:t> </w:t>
      </w:r>
      <w:r>
        <w:rPr>
          <w:i/>
          <w:color w:val="231F20"/>
          <w:sz w:val="20"/>
        </w:rPr>
        <w:t>хорошо,</w:t>
      </w:r>
      <w:r>
        <w:rPr>
          <w:i/>
          <w:color w:val="231F20"/>
          <w:spacing w:val="-2"/>
          <w:sz w:val="20"/>
        </w:rPr>
        <w:t> </w:t>
      </w:r>
      <w:r>
        <w:rPr>
          <w:i/>
          <w:color w:val="231F20"/>
          <w:sz w:val="20"/>
        </w:rPr>
        <w:t>жарко,</w:t>
      </w:r>
      <w:r>
        <w:rPr>
          <w:i/>
          <w:color w:val="231F20"/>
          <w:spacing w:val="-2"/>
          <w:sz w:val="20"/>
        </w:rPr>
        <w:t> </w:t>
      </w:r>
      <w:r>
        <w:rPr>
          <w:i/>
          <w:color w:val="231F20"/>
          <w:sz w:val="20"/>
        </w:rPr>
        <w:t>было</w:t>
      </w:r>
      <w:r>
        <w:rPr>
          <w:i/>
          <w:color w:val="231F20"/>
          <w:spacing w:val="-2"/>
          <w:sz w:val="20"/>
        </w:rPr>
        <w:t> </w:t>
      </w:r>
      <w:r>
        <w:rPr>
          <w:i/>
          <w:color w:val="231F20"/>
          <w:sz w:val="20"/>
        </w:rPr>
        <w:t>место,</w:t>
      </w:r>
      <w:r>
        <w:rPr>
          <w:i/>
          <w:color w:val="231F20"/>
          <w:spacing w:val="-2"/>
          <w:sz w:val="20"/>
        </w:rPr>
        <w:t> </w:t>
      </w:r>
      <w:r>
        <w:rPr>
          <w:i/>
          <w:color w:val="231F20"/>
          <w:sz w:val="20"/>
        </w:rPr>
        <w:t>где</w:t>
      </w:r>
      <w:r>
        <w:rPr>
          <w:i/>
          <w:color w:val="231F20"/>
          <w:spacing w:val="-2"/>
          <w:sz w:val="20"/>
        </w:rPr>
        <w:t> </w:t>
      </w:r>
      <w:r>
        <w:rPr>
          <w:i/>
          <w:color w:val="231F20"/>
          <w:sz w:val="20"/>
        </w:rPr>
        <w:t>жить.</w:t>
      </w:r>
      <w:r>
        <w:rPr>
          <w:i/>
          <w:color w:val="231F20"/>
          <w:spacing w:val="-2"/>
          <w:sz w:val="20"/>
        </w:rPr>
        <w:t> </w:t>
      </w:r>
      <w:r>
        <w:rPr>
          <w:i/>
          <w:color w:val="231F20"/>
          <w:sz w:val="20"/>
        </w:rPr>
        <w:t>Потом</w:t>
      </w:r>
      <w:r>
        <w:rPr>
          <w:i/>
          <w:color w:val="231F20"/>
          <w:spacing w:val="-2"/>
          <w:sz w:val="20"/>
        </w:rPr>
        <w:t> </w:t>
      </w:r>
      <w:r>
        <w:rPr>
          <w:i/>
          <w:color w:val="231F20"/>
          <w:sz w:val="20"/>
        </w:rPr>
        <w:t>он</w:t>
      </w:r>
      <w:r>
        <w:rPr>
          <w:i/>
          <w:color w:val="231F20"/>
          <w:spacing w:val="-2"/>
          <w:sz w:val="20"/>
        </w:rPr>
        <w:t> </w:t>
      </w:r>
      <w:r>
        <w:rPr>
          <w:i/>
          <w:color w:val="231F20"/>
          <w:sz w:val="20"/>
        </w:rPr>
        <w:t>по- шел</w:t>
      </w:r>
      <w:r>
        <w:rPr>
          <w:i/>
          <w:color w:val="231F20"/>
          <w:spacing w:val="-2"/>
          <w:sz w:val="20"/>
        </w:rPr>
        <w:t> </w:t>
      </w:r>
      <w:r>
        <w:rPr>
          <w:i/>
          <w:color w:val="231F20"/>
          <w:sz w:val="20"/>
        </w:rPr>
        <w:t>обратно</w:t>
      </w:r>
      <w:r>
        <w:rPr>
          <w:i/>
          <w:color w:val="231F20"/>
          <w:spacing w:val="-2"/>
          <w:sz w:val="20"/>
        </w:rPr>
        <w:t> </w:t>
      </w:r>
      <w:r>
        <w:rPr>
          <w:i/>
          <w:color w:val="231F20"/>
          <w:sz w:val="20"/>
        </w:rPr>
        <w:t>в</w:t>
      </w:r>
      <w:r>
        <w:rPr>
          <w:i/>
          <w:color w:val="231F20"/>
          <w:spacing w:val="-2"/>
          <w:sz w:val="20"/>
        </w:rPr>
        <w:t> </w:t>
      </w:r>
      <w:r>
        <w:rPr>
          <w:i/>
          <w:color w:val="231F20"/>
          <w:sz w:val="20"/>
        </w:rPr>
        <w:t>зоопарк.</w:t>
      </w:r>
      <w:r>
        <w:rPr>
          <w:i/>
          <w:color w:val="231F20"/>
          <w:spacing w:val="-2"/>
          <w:sz w:val="20"/>
        </w:rPr>
        <w:t> </w:t>
      </w:r>
      <w:r>
        <w:rPr>
          <w:i/>
          <w:color w:val="231F20"/>
          <w:sz w:val="20"/>
        </w:rPr>
        <w:t>Все</w:t>
      </w:r>
      <w:r>
        <w:rPr>
          <w:i/>
          <w:color w:val="231F20"/>
          <w:spacing w:val="-2"/>
          <w:sz w:val="20"/>
        </w:rPr>
        <w:t> </w:t>
      </w:r>
      <w:r>
        <w:rPr>
          <w:i/>
          <w:color w:val="231F20"/>
          <w:sz w:val="20"/>
        </w:rPr>
        <w:t>его</w:t>
      </w:r>
      <w:r>
        <w:rPr>
          <w:i/>
          <w:color w:val="231F20"/>
          <w:spacing w:val="-2"/>
          <w:sz w:val="20"/>
        </w:rPr>
        <w:t> </w:t>
      </w:r>
      <w:r>
        <w:rPr>
          <w:i/>
          <w:color w:val="231F20"/>
          <w:sz w:val="20"/>
        </w:rPr>
        <w:t>поздравляли.</w:t>
      </w:r>
      <w:r>
        <w:rPr>
          <w:i/>
          <w:color w:val="231F20"/>
          <w:spacing w:val="-2"/>
          <w:sz w:val="20"/>
        </w:rPr>
        <w:t> </w:t>
      </w:r>
      <w:r>
        <w:rPr>
          <w:i/>
          <w:color w:val="231F20"/>
          <w:sz w:val="20"/>
        </w:rPr>
        <w:t>Все</w:t>
      </w:r>
      <w:r>
        <w:rPr>
          <w:i/>
          <w:color w:val="231F20"/>
          <w:spacing w:val="-2"/>
          <w:sz w:val="20"/>
        </w:rPr>
        <w:t> </w:t>
      </w:r>
      <w:r>
        <w:rPr>
          <w:i/>
          <w:color w:val="231F20"/>
          <w:sz w:val="20"/>
        </w:rPr>
        <w:t>маленькие</w:t>
      </w:r>
      <w:r>
        <w:rPr>
          <w:i/>
          <w:color w:val="231F20"/>
          <w:spacing w:val="-2"/>
          <w:sz w:val="20"/>
        </w:rPr>
        <w:t> </w:t>
      </w:r>
      <w:r>
        <w:rPr>
          <w:i/>
          <w:color w:val="231F20"/>
          <w:sz w:val="20"/>
        </w:rPr>
        <w:t>катались</w:t>
      </w:r>
      <w:r>
        <w:rPr>
          <w:i/>
          <w:color w:val="231F20"/>
          <w:spacing w:val="-2"/>
          <w:sz w:val="20"/>
        </w:rPr>
        <w:t> </w:t>
      </w:r>
      <w:r>
        <w:rPr>
          <w:i/>
          <w:color w:val="231F20"/>
          <w:sz w:val="20"/>
        </w:rPr>
        <w:t>на</w:t>
      </w:r>
      <w:r>
        <w:rPr>
          <w:i/>
          <w:color w:val="231F20"/>
          <w:spacing w:val="-2"/>
          <w:sz w:val="20"/>
        </w:rPr>
        <w:t> </w:t>
      </w:r>
      <w:r>
        <w:rPr>
          <w:i/>
          <w:color w:val="231F20"/>
          <w:sz w:val="20"/>
        </w:rPr>
        <w:t>нем.</w:t>
      </w:r>
      <w:r>
        <w:rPr>
          <w:i/>
          <w:color w:val="231F20"/>
          <w:spacing w:val="-2"/>
          <w:sz w:val="20"/>
        </w:rPr>
        <w:t> </w:t>
      </w:r>
      <w:r>
        <w:rPr>
          <w:i/>
          <w:color w:val="231F20"/>
          <w:sz w:val="20"/>
        </w:rPr>
        <w:t>И</w:t>
      </w:r>
      <w:r>
        <w:rPr>
          <w:i/>
          <w:color w:val="231F20"/>
          <w:spacing w:val="-2"/>
          <w:sz w:val="20"/>
        </w:rPr>
        <w:t> </w:t>
      </w:r>
      <w:r>
        <w:rPr>
          <w:i/>
          <w:color w:val="231F20"/>
          <w:sz w:val="20"/>
        </w:rPr>
        <w:t>тут пришел</w:t>
      </w:r>
      <w:r>
        <w:rPr>
          <w:i/>
          <w:color w:val="231F20"/>
          <w:spacing w:val="-1"/>
          <w:sz w:val="20"/>
        </w:rPr>
        <w:t> </w:t>
      </w:r>
      <w:r>
        <w:rPr>
          <w:i/>
          <w:color w:val="231F20"/>
          <w:sz w:val="20"/>
        </w:rPr>
        <w:t>тигр.</w:t>
      </w:r>
      <w:r>
        <w:rPr>
          <w:i/>
          <w:color w:val="231F20"/>
          <w:spacing w:val="-1"/>
          <w:sz w:val="20"/>
        </w:rPr>
        <w:t> </w:t>
      </w:r>
      <w:r>
        <w:rPr>
          <w:i/>
          <w:color w:val="231F20"/>
          <w:sz w:val="20"/>
        </w:rPr>
        <w:t>Он</w:t>
      </w:r>
      <w:r>
        <w:rPr>
          <w:i/>
          <w:color w:val="231F20"/>
          <w:spacing w:val="-1"/>
          <w:sz w:val="20"/>
        </w:rPr>
        <w:t> </w:t>
      </w:r>
      <w:r>
        <w:rPr>
          <w:i/>
          <w:color w:val="231F20"/>
          <w:sz w:val="20"/>
        </w:rPr>
        <w:t>хотел</w:t>
      </w:r>
      <w:r>
        <w:rPr>
          <w:i/>
          <w:color w:val="231F20"/>
          <w:spacing w:val="-1"/>
          <w:sz w:val="20"/>
        </w:rPr>
        <w:t> </w:t>
      </w:r>
      <w:r>
        <w:rPr>
          <w:i/>
          <w:color w:val="231F20"/>
          <w:sz w:val="20"/>
        </w:rPr>
        <w:t>всех</w:t>
      </w:r>
      <w:r>
        <w:rPr>
          <w:i/>
          <w:color w:val="231F20"/>
          <w:spacing w:val="-1"/>
          <w:sz w:val="20"/>
        </w:rPr>
        <w:t> </w:t>
      </w:r>
      <w:r>
        <w:rPr>
          <w:i/>
          <w:color w:val="231F20"/>
          <w:sz w:val="20"/>
        </w:rPr>
        <w:t>проглотить,</w:t>
      </w:r>
      <w:r>
        <w:rPr>
          <w:i/>
          <w:color w:val="231F20"/>
          <w:spacing w:val="-1"/>
          <w:sz w:val="20"/>
        </w:rPr>
        <w:t> </w:t>
      </w:r>
      <w:r>
        <w:rPr>
          <w:i/>
          <w:color w:val="231F20"/>
          <w:sz w:val="20"/>
        </w:rPr>
        <w:t>укусить</w:t>
      </w:r>
      <w:r>
        <w:rPr>
          <w:i/>
          <w:color w:val="231F20"/>
          <w:spacing w:val="-1"/>
          <w:sz w:val="20"/>
        </w:rPr>
        <w:t> </w:t>
      </w:r>
      <w:r>
        <w:rPr>
          <w:i/>
          <w:color w:val="231F20"/>
          <w:sz w:val="20"/>
        </w:rPr>
        <w:t>и</w:t>
      </w:r>
      <w:r>
        <w:rPr>
          <w:i/>
          <w:color w:val="231F20"/>
          <w:spacing w:val="-1"/>
          <w:sz w:val="20"/>
        </w:rPr>
        <w:t> </w:t>
      </w:r>
      <w:r>
        <w:rPr>
          <w:i/>
          <w:color w:val="231F20"/>
          <w:sz w:val="20"/>
        </w:rPr>
        <w:t>съесть.</w:t>
      </w:r>
      <w:r>
        <w:rPr>
          <w:i/>
          <w:color w:val="231F20"/>
          <w:spacing w:val="-1"/>
          <w:sz w:val="20"/>
        </w:rPr>
        <w:t> </w:t>
      </w:r>
      <w:r>
        <w:rPr>
          <w:i/>
          <w:color w:val="231F20"/>
          <w:sz w:val="20"/>
        </w:rPr>
        <w:t>Какой-то</w:t>
      </w:r>
      <w:r>
        <w:rPr>
          <w:i/>
          <w:color w:val="231F20"/>
          <w:spacing w:val="-1"/>
          <w:sz w:val="20"/>
        </w:rPr>
        <w:t> </w:t>
      </w:r>
      <w:r>
        <w:rPr>
          <w:i/>
          <w:color w:val="231F20"/>
          <w:sz w:val="20"/>
        </w:rPr>
        <w:t>дядя</w:t>
      </w:r>
      <w:r>
        <w:rPr>
          <w:i/>
          <w:color w:val="231F20"/>
          <w:spacing w:val="-1"/>
          <w:sz w:val="20"/>
        </w:rPr>
        <w:t> </w:t>
      </w:r>
      <w:r>
        <w:rPr>
          <w:i/>
          <w:color w:val="231F20"/>
          <w:sz w:val="20"/>
        </w:rPr>
        <w:t>взял</w:t>
      </w:r>
      <w:r>
        <w:rPr>
          <w:i/>
          <w:color w:val="231F20"/>
          <w:spacing w:val="-1"/>
          <w:sz w:val="20"/>
        </w:rPr>
        <w:t> </w:t>
      </w:r>
      <w:r>
        <w:rPr>
          <w:i/>
          <w:color w:val="231F20"/>
          <w:sz w:val="20"/>
        </w:rPr>
        <w:t>ти- гра и посадил на место.</w:t>
      </w:r>
    </w:p>
    <w:p>
      <w:pPr>
        <w:spacing w:line="229" w:lineRule="exact" w:before="0"/>
        <w:ind w:left="425" w:right="0" w:firstLine="0"/>
        <w:jc w:val="both"/>
        <w:rPr>
          <w:i/>
          <w:sz w:val="20"/>
        </w:rPr>
      </w:pPr>
      <w:r>
        <w:rPr>
          <w:i/>
          <w:color w:val="231F20"/>
          <w:sz w:val="20"/>
        </w:rPr>
        <w:t>Урок.</w:t>
      </w:r>
      <w:r>
        <w:rPr>
          <w:i/>
          <w:color w:val="231F20"/>
          <w:spacing w:val="-8"/>
          <w:sz w:val="20"/>
        </w:rPr>
        <w:t> </w:t>
      </w:r>
      <w:r>
        <w:rPr>
          <w:i/>
          <w:color w:val="231F20"/>
          <w:sz w:val="20"/>
        </w:rPr>
        <w:t>Все</w:t>
      </w:r>
      <w:r>
        <w:rPr>
          <w:i/>
          <w:color w:val="231F20"/>
          <w:spacing w:val="-7"/>
          <w:sz w:val="20"/>
        </w:rPr>
        <w:t> </w:t>
      </w:r>
      <w:r>
        <w:rPr>
          <w:i/>
          <w:color w:val="231F20"/>
          <w:sz w:val="20"/>
        </w:rPr>
        <w:t>любят</w:t>
      </w:r>
      <w:r>
        <w:rPr>
          <w:i/>
          <w:color w:val="231F20"/>
          <w:spacing w:val="-8"/>
          <w:sz w:val="20"/>
        </w:rPr>
        <w:t> </w:t>
      </w:r>
      <w:r>
        <w:rPr>
          <w:i/>
          <w:color w:val="231F20"/>
          <w:spacing w:val="-2"/>
          <w:sz w:val="20"/>
        </w:rPr>
        <w:t>зоопарк.</w:t>
      </w:r>
    </w:p>
    <w:p>
      <w:pPr>
        <w:pStyle w:val="BodyText"/>
        <w:spacing w:line="235" w:lineRule="auto" w:before="113"/>
      </w:pPr>
      <w:r>
        <w:rPr>
          <w:color w:val="231F20"/>
        </w:rPr>
        <w:t>Очевидно, что агрессивность слона носила характер самоутверждения. В реаль- ности ребенок страдал от коммуникативных затруднений и неприятия его сверстни- ками.</w:t>
      </w:r>
      <w:r>
        <w:rPr>
          <w:color w:val="231F20"/>
          <w:spacing w:val="-11"/>
        </w:rPr>
        <w:t> </w:t>
      </w:r>
      <w:r>
        <w:rPr>
          <w:color w:val="231F20"/>
        </w:rPr>
        <w:t>В</w:t>
      </w:r>
      <w:r>
        <w:rPr>
          <w:color w:val="231F20"/>
          <w:spacing w:val="-11"/>
        </w:rPr>
        <w:t> </w:t>
      </w:r>
      <w:r>
        <w:rPr>
          <w:color w:val="231F20"/>
        </w:rPr>
        <w:t>истории</w:t>
      </w:r>
      <w:r>
        <w:rPr>
          <w:color w:val="231F20"/>
          <w:spacing w:val="-11"/>
        </w:rPr>
        <w:t> </w:t>
      </w:r>
      <w:r>
        <w:rPr>
          <w:color w:val="231F20"/>
        </w:rPr>
        <w:t>проявилось</w:t>
      </w:r>
      <w:r>
        <w:rPr>
          <w:color w:val="231F20"/>
          <w:spacing w:val="-11"/>
        </w:rPr>
        <w:t> </w:t>
      </w:r>
      <w:r>
        <w:rPr>
          <w:color w:val="231F20"/>
        </w:rPr>
        <w:t>его</w:t>
      </w:r>
      <w:r>
        <w:rPr>
          <w:color w:val="231F20"/>
          <w:spacing w:val="-11"/>
        </w:rPr>
        <w:t> </w:t>
      </w:r>
      <w:r>
        <w:rPr>
          <w:color w:val="231F20"/>
        </w:rPr>
        <w:t>желание</w:t>
      </w:r>
      <w:r>
        <w:rPr>
          <w:color w:val="231F20"/>
          <w:spacing w:val="-11"/>
        </w:rPr>
        <w:t> </w:t>
      </w:r>
      <w:r>
        <w:rPr>
          <w:color w:val="231F20"/>
        </w:rPr>
        <w:t>–</w:t>
      </w:r>
      <w:r>
        <w:rPr>
          <w:color w:val="231F20"/>
          <w:spacing w:val="-11"/>
        </w:rPr>
        <w:t> </w:t>
      </w:r>
      <w:r>
        <w:rPr>
          <w:color w:val="231F20"/>
        </w:rPr>
        <w:t>быть</w:t>
      </w:r>
      <w:r>
        <w:rPr>
          <w:color w:val="231F20"/>
          <w:spacing w:val="-11"/>
        </w:rPr>
        <w:t> </w:t>
      </w:r>
      <w:r>
        <w:rPr>
          <w:color w:val="231F20"/>
        </w:rPr>
        <w:t>сильным,</w:t>
      </w:r>
      <w:r>
        <w:rPr>
          <w:color w:val="231F20"/>
          <w:spacing w:val="-11"/>
        </w:rPr>
        <w:t> </w:t>
      </w:r>
      <w:r>
        <w:rPr>
          <w:color w:val="231F20"/>
        </w:rPr>
        <w:t>чтобы</w:t>
      </w:r>
      <w:r>
        <w:rPr>
          <w:color w:val="231F20"/>
          <w:spacing w:val="-11"/>
        </w:rPr>
        <w:t> </w:t>
      </w:r>
      <w:r>
        <w:rPr>
          <w:color w:val="231F20"/>
        </w:rPr>
        <w:t>его</w:t>
      </w:r>
      <w:r>
        <w:rPr>
          <w:color w:val="231F20"/>
          <w:spacing w:val="-11"/>
        </w:rPr>
        <w:t> </w:t>
      </w:r>
      <w:r>
        <w:rPr>
          <w:color w:val="231F20"/>
        </w:rPr>
        <w:t>боялись.</w:t>
      </w:r>
      <w:r>
        <w:rPr>
          <w:color w:val="231F20"/>
          <w:spacing w:val="-11"/>
        </w:rPr>
        <w:t> </w:t>
      </w:r>
      <w:r>
        <w:rPr>
          <w:color w:val="231F20"/>
        </w:rPr>
        <w:t>Однако это сила не конструктивная, потому что с реальной опасностью (тигр) справляется какой-то посторонний (дядя). Поэтому в ответ была рассказана следующая история:</w:t>
      </w:r>
    </w:p>
    <w:p>
      <w:pPr>
        <w:spacing w:line="235" w:lineRule="auto" w:before="117"/>
        <w:ind w:left="141" w:right="139" w:firstLine="283"/>
        <w:jc w:val="both"/>
        <w:rPr>
          <w:i/>
          <w:sz w:val="20"/>
        </w:rPr>
      </w:pPr>
      <w:r>
        <w:rPr>
          <w:i/>
          <w:color w:val="231F20"/>
          <w:sz w:val="20"/>
        </w:rPr>
        <w:t>Жил-был слон. Он был маленький, его все дразнили и обзывали нехорошими сло- вами. Ему хотелось убежать или стать большим и растоптать своих обидчиков. Но как-то раз он услышал волшебный голос: «Стань сильным и все будет хорошо».</w:t>
      </w:r>
    </w:p>
    <w:p>
      <w:pPr>
        <w:spacing w:line="235" w:lineRule="auto" w:before="2"/>
        <w:ind w:left="141" w:right="139" w:firstLine="283"/>
        <w:jc w:val="both"/>
        <w:rPr>
          <w:i/>
          <w:sz w:val="20"/>
        </w:rPr>
      </w:pPr>
      <w:r>
        <w:rPr>
          <w:i/>
          <w:color w:val="231F20"/>
          <w:sz w:val="20"/>
        </w:rPr>
        <w:t>Слон решил стать сильным и начал всех топтать и прогонять всех, кто был меньше его ростом. Но через некоторое время он заметил, что с ним все равно ни- кто не дружит. «Значит, я что-то делаю не так» – решил слон.</w:t>
      </w:r>
    </w:p>
    <w:p>
      <w:pPr>
        <w:spacing w:line="235" w:lineRule="auto" w:before="2"/>
        <w:ind w:left="141" w:right="139" w:firstLine="283"/>
        <w:jc w:val="both"/>
        <w:rPr>
          <w:i/>
          <w:sz w:val="20"/>
        </w:rPr>
      </w:pPr>
      <w:r>
        <w:rPr>
          <w:i/>
          <w:color w:val="231F20"/>
          <w:sz w:val="20"/>
        </w:rPr>
        <w:t>И тут он понял, что сильный – это тот, кто себя защищает, но никого не оби- жает. Теперь слон стал всех защищать и у него появились друзья.</w:t>
      </w:r>
    </w:p>
    <w:p>
      <w:pPr>
        <w:spacing w:line="235" w:lineRule="auto" w:before="1"/>
        <w:ind w:left="141" w:right="139" w:firstLine="283"/>
        <w:jc w:val="both"/>
        <w:rPr>
          <w:i/>
          <w:sz w:val="20"/>
        </w:rPr>
      </w:pPr>
      <w:r>
        <w:rPr>
          <w:i/>
          <w:color w:val="231F20"/>
          <w:sz w:val="20"/>
        </w:rPr>
        <w:t>И</w:t>
      </w:r>
      <w:r>
        <w:rPr>
          <w:i/>
          <w:color w:val="231F20"/>
          <w:spacing w:val="-4"/>
          <w:sz w:val="20"/>
        </w:rPr>
        <w:t> </w:t>
      </w:r>
      <w:r>
        <w:rPr>
          <w:i/>
          <w:color w:val="231F20"/>
          <w:sz w:val="20"/>
        </w:rPr>
        <w:t>вот</w:t>
      </w:r>
      <w:r>
        <w:rPr>
          <w:i/>
          <w:color w:val="231F20"/>
          <w:spacing w:val="-4"/>
          <w:sz w:val="20"/>
        </w:rPr>
        <w:t> </w:t>
      </w:r>
      <w:r>
        <w:rPr>
          <w:i/>
          <w:color w:val="231F20"/>
          <w:sz w:val="20"/>
        </w:rPr>
        <w:t>прошло</w:t>
      </w:r>
      <w:r>
        <w:rPr>
          <w:i/>
          <w:color w:val="231F20"/>
          <w:spacing w:val="-4"/>
          <w:sz w:val="20"/>
        </w:rPr>
        <w:t> </w:t>
      </w:r>
      <w:r>
        <w:rPr>
          <w:i/>
          <w:color w:val="231F20"/>
          <w:sz w:val="20"/>
        </w:rPr>
        <w:t>много</w:t>
      </w:r>
      <w:r>
        <w:rPr>
          <w:i/>
          <w:color w:val="231F20"/>
          <w:spacing w:val="-3"/>
          <w:sz w:val="20"/>
        </w:rPr>
        <w:t> </w:t>
      </w:r>
      <w:r>
        <w:rPr>
          <w:i/>
          <w:color w:val="231F20"/>
          <w:sz w:val="20"/>
        </w:rPr>
        <w:t>лет.</w:t>
      </w:r>
      <w:r>
        <w:rPr>
          <w:i/>
          <w:color w:val="231F20"/>
          <w:spacing w:val="-4"/>
          <w:sz w:val="20"/>
        </w:rPr>
        <w:t> </w:t>
      </w:r>
      <w:r>
        <w:rPr>
          <w:i/>
          <w:color w:val="231F20"/>
          <w:sz w:val="20"/>
        </w:rPr>
        <w:t>Слон</w:t>
      </w:r>
      <w:r>
        <w:rPr>
          <w:i/>
          <w:color w:val="231F20"/>
          <w:spacing w:val="-4"/>
          <w:sz w:val="20"/>
        </w:rPr>
        <w:t> </w:t>
      </w:r>
      <w:r>
        <w:rPr>
          <w:i/>
          <w:color w:val="231F20"/>
          <w:sz w:val="20"/>
        </w:rPr>
        <w:t>вырос</w:t>
      </w:r>
      <w:r>
        <w:rPr>
          <w:i/>
          <w:color w:val="231F20"/>
          <w:spacing w:val="-3"/>
          <w:sz w:val="20"/>
        </w:rPr>
        <w:t> </w:t>
      </w:r>
      <w:r>
        <w:rPr>
          <w:i/>
          <w:color w:val="231F20"/>
          <w:sz w:val="20"/>
        </w:rPr>
        <w:t>и</w:t>
      </w:r>
      <w:r>
        <w:rPr>
          <w:i/>
          <w:color w:val="231F20"/>
          <w:spacing w:val="-4"/>
          <w:sz w:val="20"/>
        </w:rPr>
        <w:t> </w:t>
      </w:r>
      <w:r>
        <w:rPr>
          <w:i/>
          <w:color w:val="231F20"/>
          <w:sz w:val="20"/>
        </w:rPr>
        <w:t>стал</w:t>
      </w:r>
      <w:r>
        <w:rPr>
          <w:i/>
          <w:color w:val="231F20"/>
          <w:spacing w:val="-4"/>
          <w:sz w:val="20"/>
        </w:rPr>
        <w:t> </w:t>
      </w:r>
      <w:r>
        <w:rPr>
          <w:i/>
          <w:color w:val="231F20"/>
          <w:sz w:val="20"/>
        </w:rPr>
        <w:t>большим.</w:t>
      </w:r>
      <w:r>
        <w:rPr>
          <w:i/>
          <w:color w:val="231F20"/>
          <w:spacing w:val="-3"/>
          <w:sz w:val="20"/>
        </w:rPr>
        <w:t> </w:t>
      </w:r>
      <w:r>
        <w:rPr>
          <w:i/>
          <w:color w:val="231F20"/>
          <w:sz w:val="20"/>
        </w:rPr>
        <w:t>Как-то</w:t>
      </w:r>
      <w:r>
        <w:rPr>
          <w:i/>
          <w:color w:val="231F20"/>
          <w:spacing w:val="-4"/>
          <w:sz w:val="20"/>
        </w:rPr>
        <w:t> </w:t>
      </w:r>
      <w:r>
        <w:rPr>
          <w:i/>
          <w:color w:val="231F20"/>
          <w:sz w:val="20"/>
        </w:rPr>
        <w:t>раз</w:t>
      </w:r>
      <w:r>
        <w:rPr>
          <w:i/>
          <w:color w:val="231F20"/>
          <w:spacing w:val="-4"/>
          <w:sz w:val="20"/>
        </w:rPr>
        <w:t> </w:t>
      </w:r>
      <w:r>
        <w:rPr>
          <w:i/>
          <w:color w:val="231F20"/>
          <w:sz w:val="20"/>
        </w:rPr>
        <w:t>в</w:t>
      </w:r>
      <w:r>
        <w:rPr>
          <w:i/>
          <w:color w:val="231F20"/>
          <w:spacing w:val="-4"/>
          <w:sz w:val="20"/>
        </w:rPr>
        <w:t> </w:t>
      </w:r>
      <w:r>
        <w:rPr>
          <w:i/>
          <w:color w:val="231F20"/>
          <w:sz w:val="20"/>
        </w:rPr>
        <w:t>зоопарк</w:t>
      </w:r>
      <w:r>
        <w:rPr>
          <w:i/>
          <w:color w:val="231F20"/>
          <w:spacing w:val="-4"/>
          <w:sz w:val="20"/>
        </w:rPr>
        <w:t> </w:t>
      </w:r>
      <w:r>
        <w:rPr>
          <w:i/>
          <w:color w:val="231F20"/>
          <w:sz w:val="20"/>
        </w:rPr>
        <w:t>при- шел тигр, который хотел всех съесть. Все испугались и убежали, остался только один слон. Он схватил тигра и прижал к земле, так что тот задрыгал лапами и закричал:</w:t>
      </w:r>
      <w:r>
        <w:rPr>
          <w:i/>
          <w:color w:val="231F20"/>
          <w:spacing w:val="-5"/>
          <w:sz w:val="20"/>
        </w:rPr>
        <w:t> </w:t>
      </w:r>
      <w:r>
        <w:rPr>
          <w:i/>
          <w:color w:val="231F20"/>
          <w:sz w:val="20"/>
        </w:rPr>
        <w:t>«Я</w:t>
      </w:r>
      <w:r>
        <w:rPr>
          <w:i/>
          <w:color w:val="231F20"/>
          <w:spacing w:val="-5"/>
          <w:sz w:val="20"/>
        </w:rPr>
        <w:t> </w:t>
      </w:r>
      <w:r>
        <w:rPr>
          <w:i/>
          <w:color w:val="231F20"/>
          <w:sz w:val="20"/>
        </w:rPr>
        <w:t>сдаюсь!</w:t>
      </w:r>
      <w:r>
        <w:rPr>
          <w:i/>
          <w:color w:val="231F20"/>
          <w:spacing w:val="-5"/>
          <w:sz w:val="20"/>
        </w:rPr>
        <w:t> </w:t>
      </w:r>
      <w:r>
        <w:rPr>
          <w:i/>
          <w:color w:val="231F20"/>
          <w:sz w:val="20"/>
        </w:rPr>
        <w:t>Отпустите!</w:t>
      </w:r>
      <w:r>
        <w:rPr>
          <w:i/>
          <w:color w:val="231F20"/>
          <w:spacing w:val="-5"/>
          <w:sz w:val="20"/>
        </w:rPr>
        <w:t> </w:t>
      </w:r>
      <w:r>
        <w:rPr>
          <w:i/>
          <w:color w:val="231F20"/>
          <w:sz w:val="20"/>
        </w:rPr>
        <w:t>Помилуйте!».</w:t>
      </w:r>
      <w:r>
        <w:rPr>
          <w:i/>
          <w:color w:val="231F20"/>
          <w:spacing w:val="-5"/>
          <w:sz w:val="20"/>
        </w:rPr>
        <w:t> </w:t>
      </w:r>
      <w:r>
        <w:rPr>
          <w:i/>
          <w:color w:val="231F20"/>
          <w:sz w:val="20"/>
        </w:rPr>
        <w:t>Слон</w:t>
      </w:r>
      <w:r>
        <w:rPr>
          <w:i/>
          <w:color w:val="231F20"/>
          <w:spacing w:val="-5"/>
          <w:sz w:val="20"/>
        </w:rPr>
        <w:t> </w:t>
      </w:r>
      <w:r>
        <w:rPr>
          <w:i/>
          <w:color w:val="231F20"/>
          <w:sz w:val="20"/>
        </w:rPr>
        <w:t>отпустил</w:t>
      </w:r>
      <w:r>
        <w:rPr>
          <w:i/>
          <w:color w:val="231F20"/>
          <w:spacing w:val="-5"/>
          <w:sz w:val="20"/>
        </w:rPr>
        <w:t> </w:t>
      </w:r>
      <w:r>
        <w:rPr>
          <w:i/>
          <w:color w:val="231F20"/>
          <w:sz w:val="20"/>
        </w:rPr>
        <w:t>тигра,</w:t>
      </w:r>
      <w:r>
        <w:rPr>
          <w:i/>
          <w:color w:val="231F20"/>
          <w:spacing w:val="-5"/>
          <w:sz w:val="20"/>
        </w:rPr>
        <w:t> </w:t>
      </w:r>
      <w:r>
        <w:rPr>
          <w:i/>
          <w:color w:val="231F20"/>
          <w:sz w:val="20"/>
        </w:rPr>
        <w:t>и</w:t>
      </w:r>
      <w:r>
        <w:rPr>
          <w:i/>
          <w:color w:val="231F20"/>
          <w:spacing w:val="-5"/>
          <w:sz w:val="20"/>
        </w:rPr>
        <w:t> </w:t>
      </w:r>
      <w:r>
        <w:rPr>
          <w:i/>
          <w:color w:val="231F20"/>
          <w:sz w:val="20"/>
        </w:rPr>
        <w:t>тот</w:t>
      </w:r>
      <w:r>
        <w:rPr>
          <w:i/>
          <w:color w:val="231F20"/>
          <w:spacing w:val="-4"/>
          <w:sz w:val="20"/>
        </w:rPr>
        <w:t> стал</w:t>
      </w:r>
    </w:p>
    <w:p>
      <w:pPr>
        <w:spacing w:after="0" w:line="235" w:lineRule="auto"/>
        <w:jc w:val="both"/>
        <w:rPr>
          <w:i/>
          <w:sz w:val="20"/>
        </w:rPr>
        <w:sectPr>
          <w:pgSz w:w="8400" w:h="11910"/>
          <w:pgMar w:header="0" w:footer="529"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spacing w:line="235" w:lineRule="auto" w:before="116"/>
        <w:ind w:left="141" w:right="139" w:firstLine="0"/>
        <w:jc w:val="both"/>
        <w:rPr>
          <w:i/>
          <w:sz w:val="20"/>
        </w:rPr>
      </w:pPr>
      <w:r>
        <w:rPr>
          <w:i/>
          <w:color w:val="231F20"/>
          <w:sz w:val="20"/>
        </w:rPr>
        <w:t>жить</w:t>
      </w:r>
      <w:r>
        <w:rPr>
          <w:i/>
          <w:color w:val="231F20"/>
          <w:spacing w:val="-2"/>
          <w:sz w:val="20"/>
        </w:rPr>
        <w:t> </w:t>
      </w:r>
      <w:r>
        <w:rPr>
          <w:i/>
          <w:color w:val="231F20"/>
          <w:sz w:val="20"/>
        </w:rPr>
        <w:t>у</w:t>
      </w:r>
      <w:r>
        <w:rPr>
          <w:i/>
          <w:color w:val="231F20"/>
          <w:spacing w:val="-2"/>
          <w:sz w:val="20"/>
        </w:rPr>
        <w:t> </w:t>
      </w:r>
      <w:r>
        <w:rPr>
          <w:i/>
          <w:color w:val="231F20"/>
          <w:sz w:val="20"/>
        </w:rPr>
        <w:t>них</w:t>
      </w:r>
      <w:r>
        <w:rPr>
          <w:i/>
          <w:color w:val="231F20"/>
          <w:spacing w:val="-2"/>
          <w:sz w:val="20"/>
        </w:rPr>
        <w:t> </w:t>
      </w:r>
      <w:r>
        <w:rPr>
          <w:i/>
          <w:color w:val="231F20"/>
          <w:sz w:val="20"/>
        </w:rPr>
        <w:t>в</w:t>
      </w:r>
      <w:r>
        <w:rPr>
          <w:i/>
          <w:color w:val="231F20"/>
          <w:spacing w:val="-2"/>
          <w:sz w:val="20"/>
        </w:rPr>
        <w:t> </w:t>
      </w:r>
      <w:r>
        <w:rPr>
          <w:i/>
          <w:color w:val="231F20"/>
          <w:sz w:val="20"/>
        </w:rPr>
        <w:t>зоопарке</w:t>
      </w:r>
      <w:r>
        <w:rPr>
          <w:i/>
          <w:color w:val="231F20"/>
          <w:spacing w:val="-2"/>
          <w:sz w:val="20"/>
        </w:rPr>
        <w:t> </w:t>
      </w:r>
      <w:r>
        <w:rPr>
          <w:i/>
          <w:color w:val="231F20"/>
          <w:sz w:val="20"/>
        </w:rPr>
        <w:t>и</w:t>
      </w:r>
      <w:r>
        <w:rPr>
          <w:i/>
          <w:color w:val="231F20"/>
          <w:spacing w:val="-2"/>
          <w:sz w:val="20"/>
        </w:rPr>
        <w:t> </w:t>
      </w:r>
      <w:r>
        <w:rPr>
          <w:i/>
          <w:color w:val="231F20"/>
          <w:sz w:val="20"/>
        </w:rPr>
        <w:t>больше</w:t>
      </w:r>
      <w:r>
        <w:rPr>
          <w:i/>
          <w:color w:val="231F20"/>
          <w:spacing w:val="-2"/>
          <w:sz w:val="20"/>
        </w:rPr>
        <w:t> </w:t>
      </w:r>
      <w:r>
        <w:rPr>
          <w:i/>
          <w:color w:val="231F20"/>
          <w:sz w:val="20"/>
        </w:rPr>
        <w:t>никого</w:t>
      </w:r>
      <w:r>
        <w:rPr>
          <w:i/>
          <w:color w:val="231F20"/>
          <w:spacing w:val="-2"/>
          <w:sz w:val="20"/>
        </w:rPr>
        <w:t> </w:t>
      </w:r>
      <w:r>
        <w:rPr>
          <w:i/>
          <w:color w:val="231F20"/>
          <w:sz w:val="20"/>
        </w:rPr>
        <w:t>не</w:t>
      </w:r>
      <w:r>
        <w:rPr>
          <w:i/>
          <w:color w:val="231F20"/>
          <w:spacing w:val="-2"/>
          <w:sz w:val="20"/>
        </w:rPr>
        <w:t> </w:t>
      </w:r>
      <w:r>
        <w:rPr>
          <w:i/>
          <w:color w:val="231F20"/>
          <w:sz w:val="20"/>
        </w:rPr>
        <w:t>обижал.</w:t>
      </w:r>
      <w:r>
        <w:rPr>
          <w:i/>
          <w:color w:val="231F20"/>
          <w:spacing w:val="-2"/>
          <w:sz w:val="20"/>
        </w:rPr>
        <w:t> </w:t>
      </w:r>
      <w:r>
        <w:rPr>
          <w:i/>
          <w:color w:val="231F20"/>
          <w:sz w:val="20"/>
        </w:rPr>
        <w:t>А</w:t>
      </w:r>
      <w:r>
        <w:rPr>
          <w:i/>
          <w:color w:val="231F20"/>
          <w:spacing w:val="-2"/>
          <w:sz w:val="20"/>
        </w:rPr>
        <w:t> </w:t>
      </w:r>
      <w:r>
        <w:rPr>
          <w:i/>
          <w:color w:val="231F20"/>
          <w:sz w:val="20"/>
        </w:rPr>
        <w:t>на</w:t>
      </w:r>
      <w:r>
        <w:rPr>
          <w:i/>
          <w:color w:val="231F20"/>
          <w:spacing w:val="-2"/>
          <w:sz w:val="20"/>
        </w:rPr>
        <w:t> </w:t>
      </w:r>
      <w:r>
        <w:rPr>
          <w:i/>
          <w:color w:val="231F20"/>
          <w:sz w:val="20"/>
        </w:rPr>
        <w:t>слоне</w:t>
      </w:r>
      <w:r>
        <w:rPr>
          <w:i/>
          <w:color w:val="231F20"/>
          <w:spacing w:val="-2"/>
          <w:sz w:val="20"/>
        </w:rPr>
        <w:t> </w:t>
      </w:r>
      <w:r>
        <w:rPr>
          <w:i/>
          <w:color w:val="231F20"/>
          <w:sz w:val="20"/>
        </w:rPr>
        <w:t>все</w:t>
      </w:r>
      <w:r>
        <w:rPr>
          <w:i/>
          <w:color w:val="231F20"/>
          <w:spacing w:val="-2"/>
          <w:sz w:val="20"/>
        </w:rPr>
        <w:t> </w:t>
      </w:r>
      <w:r>
        <w:rPr>
          <w:i/>
          <w:color w:val="231F20"/>
          <w:sz w:val="20"/>
        </w:rPr>
        <w:t>катались,</w:t>
      </w:r>
      <w:r>
        <w:rPr>
          <w:i/>
          <w:color w:val="231F20"/>
          <w:spacing w:val="-2"/>
          <w:sz w:val="20"/>
        </w:rPr>
        <w:t> </w:t>
      </w:r>
      <w:r>
        <w:rPr>
          <w:i/>
          <w:color w:val="231F20"/>
          <w:sz w:val="20"/>
        </w:rPr>
        <w:t>хвалили его и кормили вкусными конфетами.</w:t>
      </w:r>
    </w:p>
    <w:p>
      <w:pPr>
        <w:spacing w:line="235" w:lineRule="auto" w:before="1"/>
        <w:ind w:left="141" w:right="139" w:firstLine="283"/>
        <w:jc w:val="both"/>
        <w:rPr>
          <w:i/>
          <w:sz w:val="20"/>
        </w:rPr>
      </w:pPr>
      <w:r>
        <w:rPr>
          <w:i/>
          <w:color w:val="231F20"/>
          <w:sz w:val="20"/>
        </w:rPr>
        <w:t>Урок.</w:t>
      </w:r>
      <w:r>
        <w:rPr>
          <w:i/>
          <w:color w:val="231F20"/>
          <w:spacing w:val="-7"/>
          <w:sz w:val="20"/>
        </w:rPr>
        <w:t> </w:t>
      </w:r>
      <w:r>
        <w:rPr>
          <w:i/>
          <w:color w:val="231F20"/>
          <w:sz w:val="20"/>
        </w:rPr>
        <w:t>Сильный</w:t>
      </w:r>
      <w:r>
        <w:rPr>
          <w:i/>
          <w:color w:val="231F20"/>
          <w:spacing w:val="-7"/>
          <w:sz w:val="20"/>
        </w:rPr>
        <w:t> </w:t>
      </w:r>
      <w:r>
        <w:rPr>
          <w:i/>
          <w:color w:val="231F20"/>
          <w:sz w:val="20"/>
        </w:rPr>
        <w:t>это</w:t>
      </w:r>
      <w:r>
        <w:rPr>
          <w:i/>
          <w:color w:val="231F20"/>
          <w:spacing w:val="-7"/>
          <w:sz w:val="20"/>
        </w:rPr>
        <w:t> </w:t>
      </w:r>
      <w:r>
        <w:rPr>
          <w:i/>
          <w:color w:val="231F20"/>
          <w:sz w:val="20"/>
        </w:rPr>
        <w:t>тот,</w:t>
      </w:r>
      <w:r>
        <w:rPr>
          <w:i/>
          <w:color w:val="231F20"/>
          <w:spacing w:val="-7"/>
          <w:sz w:val="20"/>
        </w:rPr>
        <w:t> </w:t>
      </w:r>
      <w:r>
        <w:rPr>
          <w:i/>
          <w:color w:val="231F20"/>
          <w:sz w:val="20"/>
        </w:rPr>
        <w:t>кто</w:t>
      </w:r>
      <w:r>
        <w:rPr>
          <w:i/>
          <w:color w:val="231F20"/>
          <w:spacing w:val="-7"/>
          <w:sz w:val="20"/>
        </w:rPr>
        <w:t> </w:t>
      </w:r>
      <w:r>
        <w:rPr>
          <w:i/>
          <w:color w:val="231F20"/>
          <w:sz w:val="20"/>
        </w:rPr>
        <w:t>не</w:t>
      </w:r>
      <w:r>
        <w:rPr>
          <w:i/>
          <w:color w:val="231F20"/>
          <w:spacing w:val="-7"/>
          <w:sz w:val="20"/>
        </w:rPr>
        <w:t> </w:t>
      </w:r>
      <w:r>
        <w:rPr>
          <w:i/>
          <w:color w:val="231F20"/>
          <w:sz w:val="20"/>
        </w:rPr>
        <w:t>обижает</w:t>
      </w:r>
      <w:r>
        <w:rPr>
          <w:i/>
          <w:color w:val="231F20"/>
          <w:spacing w:val="-7"/>
          <w:sz w:val="20"/>
        </w:rPr>
        <w:t> </w:t>
      </w:r>
      <w:r>
        <w:rPr>
          <w:i/>
          <w:color w:val="231F20"/>
          <w:sz w:val="20"/>
        </w:rPr>
        <w:t>других;</w:t>
      </w:r>
      <w:r>
        <w:rPr>
          <w:i/>
          <w:color w:val="231F20"/>
          <w:spacing w:val="-7"/>
          <w:sz w:val="20"/>
        </w:rPr>
        <w:t> </w:t>
      </w:r>
      <w:r>
        <w:rPr>
          <w:i/>
          <w:color w:val="231F20"/>
          <w:sz w:val="20"/>
        </w:rPr>
        <w:t>силу</w:t>
      </w:r>
      <w:r>
        <w:rPr>
          <w:i/>
          <w:color w:val="231F20"/>
          <w:spacing w:val="-7"/>
          <w:sz w:val="20"/>
        </w:rPr>
        <w:t> </w:t>
      </w:r>
      <w:r>
        <w:rPr>
          <w:i/>
          <w:color w:val="231F20"/>
          <w:sz w:val="20"/>
        </w:rPr>
        <w:t>можно</w:t>
      </w:r>
      <w:r>
        <w:rPr>
          <w:i/>
          <w:color w:val="231F20"/>
          <w:spacing w:val="-7"/>
          <w:sz w:val="20"/>
        </w:rPr>
        <w:t> </w:t>
      </w:r>
      <w:r>
        <w:rPr>
          <w:i/>
          <w:color w:val="231F20"/>
          <w:sz w:val="20"/>
        </w:rPr>
        <w:t>и</w:t>
      </w:r>
      <w:r>
        <w:rPr>
          <w:i/>
          <w:color w:val="231F20"/>
          <w:spacing w:val="-7"/>
          <w:sz w:val="20"/>
        </w:rPr>
        <w:t> </w:t>
      </w:r>
      <w:r>
        <w:rPr>
          <w:i/>
          <w:color w:val="231F20"/>
          <w:sz w:val="20"/>
        </w:rPr>
        <w:t>нужно</w:t>
      </w:r>
      <w:r>
        <w:rPr>
          <w:i/>
          <w:color w:val="231F20"/>
          <w:spacing w:val="-7"/>
          <w:sz w:val="20"/>
        </w:rPr>
        <w:t> </w:t>
      </w:r>
      <w:r>
        <w:rPr>
          <w:i/>
          <w:color w:val="231F20"/>
          <w:sz w:val="20"/>
        </w:rPr>
        <w:t>использо- вать для самозащиты.</w:t>
      </w:r>
    </w:p>
    <w:p>
      <w:pPr>
        <w:numPr>
          <w:ilvl w:val="0"/>
          <w:numId w:val="214"/>
        </w:numPr>
        <w:tabs>
          <w:tab w:pos="424" w:val="left" w:leader="none"/>
        </w:tabs>
        <w:spacing w:line="228" w:lineRule="exact" w:before="111"/>
        <w:ind w:left="424" w:right="0" w:hanging="283"/>
        <w:jc w:val="both"/>
        <w:rPr>
          <w:b/>
          <w:sz w:val="20"/>
        </w:rPr>
      </w:pPr>
      <w:r>
        <w:rPr>
          <w:b/>
          <w:color w:val="231F20"/>
          <w:sz w:val="20"/>
        </w:rPr>
        <w:t>Неуязвимость</w:t>
      </w:r>
      <w:r>
        <w:rPr>
          <w:b/>
          <w:color w:val="231F20"/>
          <w:spacing w:val="-9"/>
          <w:sz w:val="20"/>
        </w:rPr>
        <w:t> </w:t>
      </w:r>
      <w:r>
        <w:rPr>
          <w:b/>
          <w:color w:val="231F20"/>
          <w:sz w:val="20"/>
        </w:rPr>
        <w:t>–</w:t>
      </w:r>
      <w:r>
        <w:rPr>
          <w:b/>
          <w:color w:val="231F20"/>
          <w:spacing w:val="-8"/>
          <w:sz w:val="20"/>
        </w:rPr>
        <w:t> </w:t>
      </w:r>
      <w:r>
        <w:rPr>
          <w:b/>
          <w:color w:val="231F20"/>
          <w:spacing w:val="-2"/>
          <w:sz w:val="20"/>
        </w:rPr>
        <w:t>реалистичность</w:t>
      </w:r>
    </w:p>
    <w:p>
      <w:pPr>
        <w:pStyle w:val="BodyText"/>
        <w:spacing w:line="235" w:lineRule="auto" w:before="2"/>
      </w:pPr>
      <w:r>
        <w:rPr>
          <w:color w:val="231F20"/>
        </w:rPr>
        <w:t>Признаки</w:t>
      </w:r>
      <w:r>
        <w:rPr>
          <w:color w:val="231F20"/>
          <w:spacing w:val="-10"/>
        </w:rPr>
        <w:t> </w:t>
      </w:r>
      <w:r>
        <w:rPr>
          <w:color w:val="231F20"/>
        </w:rPr>
        <w:t>«неуязвимости»:</w:t>
      </w:r>
      <w:r>
        <w:rPr>
          <w:color w:val="231F20"/>
          <w:spacing w:val="-10"/>
        </w:rPr>
        <w:t> </w:t>
      </w:r>
      <w:r>
        <w:rPr>
          <w:color w:val="231F20"/>
        </w:rPr>
        <w:t>в</w:t>
      </w:r>
      <w:r>
        <w:rPr>
          <w:color w:val="231F20"/>
          <w:spacing w:val="-10"/>
        </w:rPr>
        <w:t> </w:t>
      </w:r>
      <w:r>
        <w:rPr>
          <w:color w:val="231F20"/>
        </w:rPr>
        <w:t>поведении</w:t>
      </w:r>
      <w:r>
        <w:rPr>
          <w:color w:val="231F20"/>
          <w:spacing w:val="-10"/>
        </w:rPr>
        <w:t> </w:t>
      </w:r>
      <w:r>
        <w:rPr>
          <w:color w:val="231F20"/>
        </w:rPr>
        <w:t>героя</w:t>
      </w:r>
      <w:r>
        <w:rPr>
          <w:color w:val="231F20"/>
          <w:spacing w:val="-10"/>
        </w:rPr>
        <w:t> </w:t>
      </w:r>
      <w:r>
        <w:rPr>
          <w:color w:val="231F20"/>
        </w:rPr>
        <w:t>явно</w:t>
      </w:r>
      <w:r>
        <w:rPr>
          <w:color w:val="231F20"/>
          <w:spacing w:val="-10"/>
        </w:rPr>
        <w:t> </w:t>
      </w:r>
      <w:r>
        <w:rPr>
          <w:color w:val="231F20"/>
        </w:rPr>
        <w:t>отражаются</w:t>
      </w:r>
      <w:r>
        <w:rPr>
          <w:color w:val="231F20"/>
          <w:spacing w:val="-10"/>
        </w:rPr>
        <w:t> </w:t>
      </w:r>
      <w:r>
        <w:rPr>
          <w:color w:val="231F20"/>
        </w:rPr>
        <w:t>фантазии</w:t>
      </w:r>
      <w:r>
        <w:rPr>
          <w:color w:val="231F20"/>
          <w:spacing w:val="-10"/>
        </w:rPr>
        <w:t> </w:t>
      </w:r>
      <w:r>
        <w:rPr>
          <w:color w:val="231F20"/>
        </w:rPr>
        <w:t>величия автора; герой предстает абсолютно неподвластным воздействию внешнего мира, он побеждает всегда, вне зависимости от его реальных действий. «Неуязвимость» при- водит к тому, что все происходит как будто «само собой».</w:t>
      </w:r>
    </w:p>
    <w:p>
      <w:pPr>
        <w:pStyle w:val="BodyText"/>
        <w:spacing w:line="235" w:lineRule="auto" w:before="2"/>
      </w:pPr>
      <w:r>
        <w:rPr>
          <w:color w:val="231F20"/>
        </w:rPr>
        <w:t>Признаки</w:t>
      </w:r>
      <w:r>
        <w:rPr>
          <w:color w:val="231F20"/>
          <w:spacing w:val="-13"/>
        </w:rPr>
        <w:t> </w:t>
      </w:r>
      <w:r>
        <w:rPr>
          <w:color w:val="231F20"/>
        </w:rPr>
        <w:t>«реалистичности»:</w:t>
      </w:r>
      <w:r>
        <w:rPr>
          <w:color w:val="231F20"/>
          <w:spacing w:val="-12"/>
        </w:rPr>
        <w:t> </w:t>
      </w:r>
      <w:r>
        <w:rPr>
          <w:color w:val="231F20"/>
        </w:rPr>
        <w:t>герой</w:t>
      </w:r>
      <w:r>
        <w:rPr>
          <w:color w:val="231F20"/>
          <w:spacing w:val="-13"/>
        </w:rPr>
        <w:t> </w:t>
      </w:r>
      <w:r>
        <w:rPr>
          <w:color w:val="231F20"/>
        </w:rPr>
        <w:t>способен</w:t>
      </w:r>
      <w:r>
        <w:rPr>
          <w:color w:val="231F20"/>
          <w:spacing w:val="-12"/>
        </w:rPr>
        <w:t> </w:t>
      </w:r>
      <w:r>
        <w:rPr>
          <w:color w:val="231F20"/>
        </w:rPr>
        <w:t>трезво</w:t>
      </w:r>
      <w:r>
        <w:rPr>
          <w:color w:val="231F20"/>
          <w:spacing w:val="-13"/>
        </w:rPr>
        <w:t> </w:t>
      </w:r>
      <w:r>
        <w:rPr>
          <w:color w:val="231F20"/>
        </w:rPr>
        <w:t>оценивать</w:t>
      </w:r>
      <w:r>
        <w:rPr>
          <w:color w:val="231F20"/>
          <w:spacing w:val="-12"/>
        </w:rPr>
        <w:t> </w:t>
      </w:r>
      <w:r>
        <w:rPr>
          <w:color w:val="231F20"/>
        </w:rPr>
        <w:t>опасность,</w:t>
      </w:r>
      <w:r>
        <w:rPr>
          <w:color w:val="231F20"/>
          <w:spacing w:val="-13"/>
        </w:rPr>
        <w:t> </w:t>
      </w:r>
      <w:r>
        <w:rPr>
          <w:color w:val="231F20"/>
        </w:rPr>
        <w:t>исходя- щую</w:t>
      </w:r>
      <w:r>
        <w:rPr>
          <w:color w:val="231F20"/>
          <w:spacing w:val="-12"/>
        </w:rPr>
        <w:t> </w:t>
      </w:r>
      <w:r>
        <w:rPr>
          <w:color w:val="231F20"/>
        </w:rPr>
        <w:t>из</w:t>
      </w:r>
      <w:r>
        <w:rPr>
          <w:color w:val="231F20"/>
          <w:spacing w:val="-12"/>
        </w:rPr>
        <w:t> </w:t>
      </w:r>
      <w:r>
        <w:rPr>
          <w:color w:val="231F20"/>
        </w:rPr>
        <w:t>внешнего</w:t>
      </w:r>
      <w:r>
        <w:rPr>
          <w:color w:val="231F20"/>
          <w:spacing w:val="-12"/>
        </w:rPr>
        <w:t> </w:t>
      </w:r>
      <w:r>
        <w:rPr>
          <w:color w:val="231F20"/>
        </w:rPr>
        <w:t>мира,</w:t>
      </w:r>
      <w:r>
        <w:rPr>
          <w:color w:val="231F20"/>
          <w:spacing w:val="-12"/>
        </w:rPr>
        <w:t> </w:t>
      </w:r>
      <w:r>
        <w:rPr>
          <w:color w:val="231F20"/>
        </w:rPr>
        <w:t>вступать</w:t>
      </w:r>
      <w:r>
        <w:rPr>
          <w:color w:val="231F20"/>
          <w:spacing w:val="-12"/>
        </w:rPr>
        <w:t> </w:t>
      </w:r>
      <w:r>
        <w:rPr>
          <w:color w:val="231F20"/>
        </w:rPr>
        <w:t>в</w:t>
      </w:r>
      <w:r>
        <w:rPr>
          <w:color w:val="231F20"/>
          <w:spacing w:val="-12"/>
        </w:rPr>
        <w:t> </w:t>
      </w:r>
      <w:r>
        <w:rPr>
          <w:color w:val="231F20"/>
        </w:rPr>
        <w:t>партнерские</w:t>
      </w:r>
      <w:r>
        <w:rPr>
          <w:color w:val="231F20"/>
          <w:spacing w:val="-12"/>
        </w:rPr>
        <w:t> </w:t>
      </w:r>
      <w:r>
        <w:rPr>
          <w:color w:val="231F20"/>
        </w:rPr>
        <w:t>отношения.</w:t>
      </w:r>
      <w:r>
        <w:rPr>
          <w:color w:val="231F20"/>
          <w:spacing w:val="-12"/>
        </w:rPr>
        <w:t> </w:t>
      </w:r>
      <w:r>
        <w:rPr>
          <w:color w:val="231F20"/>
        </w:rPr>
        <w:t>Он</w:t>
      </w:r>
      <w:r>
        <w:rPr>
          <w:color w:val="231F20"/>
          <w:spacing w:val="-12"/>
        </w:rPr>
        <w:t> </w:t>
      </w:r>
      <w:r>
        <w:rPr>
          <w:color w:val="231F20"/>
        </w:rPr>
        <w:t>справляется</w:t>
      </w:r>
      <w:r>
        <w:rPr>
          <w:color w:val="231F20"/>
          <w:spacing w:val="-12"/>
        </w:rPr>
        <w:t> </w:t>
      </w:r>
      <w:r>
        <w:rPr>
          <w:color w:val="231F20"/>
        </w:rPr>
        <w:t>с</w:t>
      </w:r>
      <w:r>
        <w:rPr>
          <w:color w:val="231F20"/>
          <w:spacing w:val="-12"/>
        </w:rPr>
        <w:t> </w:t>
      </w:r>
      <w:r>
        <w:rPr>
          <w:color w:val="231F20"/>
        </w:rPr>
        <w:t>трудно- стями</w:t>
      </w:r>
      <w:r>
        <w:rPr>
          <w:color w:val="231F20"/>
          <w:spacing w:val="-4"/>
        </w:rPr>
        <w:t> </w:t>
      </w:r>
      <w:r>
        <w:rPr>
          <w:color w:val="231F20"/>
        </w:rPr>
        <w:t>как</w:t>
      </w:r>
      <w:r>
        <w:rPr>
          <w:color w:val="231F20"/>
          <w:spacing w:val="-4"/>
        </w:rPr>
        <w:t> </w:t>
      </w:r>
      <w:r>
        <w:rPr>
          <w:color w:val="231F20"/>
        </w:rPr>
        <w:t>самостоятельно,</w:t>
      </w:r>
      <w:r>
        <w:rPr>
          <w:color w:val="231F20"/>
          <w:spacing w:val="-4"/>
        </w:rPr>
        <w:t> </w:t>
      </w:r>
      <w:r>
        <w:rPr>
          <w:color w:val="231F20"/>
        </w:rPr>
        <w:t>прилагая</w:t>
      </w:r>
      <w:r>
        <w:rPr>
          <w:color w:val="231F20"/>
          <w:spacing w:val="-4"/>
        </w:rPr>
        <w:t> </w:t>
      </w:r>
      <w:r>
        <w:rPr>
          <w:color w:val="231F20"/>
        </w:rPr>
        <w:t>для</w:t>
      </w:r>
      <w:r>
        <w:rPr>
          <w:color w:val="231F20"/>
          <w:spacing w:val="-4"/>
        </w:rPr>
        <w:t> </w:t>
      </w:r>
      <w:r>
        <w:rPr>
          <w:color w:val="231F20"/>
        </w:rPr>
        <w:t>этого</w:t>
      </w:r>
      <w:r>
        <w:rPr>
          <w:color w:val="231F20"/>
          <w:spacing w:val="-4"/>
        </w:rPr>
        <w:t> </w:t>
      </w:r>
      <w:r>
        <w:rPr>
          <w:color w:val="231F20"/>
        </w:rPr>
        <w:t>определенные</w:t>
      </w:r>
      <w:r>
        <w:rPr>
          <w:color w:val="231F20"/>
          <w:spacing w:val="-4"/>
        </w:rPr>
        <w:t> </w:t>
      </w:r>
      <w:r>
        <w:rPr>
          <w:color w:val="231F20"/>
        </w:rPr>
        <w:t>усилия,</w:t>
      </w:r>
      <w:r>
        <w:rPr>
          <w:color w:val="231F20"/>
          <w:spacing w:val="-4"/>
        </w:rPr>
        <w:t> </w:t>
      </w:r>
      <w:r>
        <w:rPr>
          <w:color w:val="231F20"/>
        </w:rPr>
        <w:t>так</w:t>
      </w:r>
      <w:r>
        <w:rPr>
          <w:color w:val="231F20"/>
          <w:spacing w:val="-4"/>
        </w:rPr>
        <w:t> </w:t>
      </w:r>
      <w:r>
        <w:rPr>
          <w:color w:val="231F20"/>
        </w:rPr>
        <w:t>и</w:t>
      </w:r>
      <w:r>
        <w:rPr>
          <w:color w:val="231F20"/>
          <w:spacing w:val="-4"/>
        </w:rPr>
        <w:t> </w:t>
      </w:r>
      <w:r>
        <w:rPr>
          <w:color w:val="231F20"/>
        </w:rPr>
        <w:t>принимая помощь других. Однако следует подчеркнуть, что в «целительной истории» на этом уровне</w:t>
      </w:r>
      <w:r>
        <w:rPr>
          <w:color w:val="231F20"/>
          <w:spacing w:val="-12"/>
        </w:rPr>
        <w:t> </w:t>
      </w:r>
      <w:r>
        <w:rPr>
          <w:color w:val="231F20"/>
        </w:rPr>
        <w:t>герой</w:t>
      </w:r>
      <w:r>
        <w:rPr>
          <w:color w:val="231F20"/>
          <w:spacing w:val="-12"/>
        </w:rPr>
        <w:t> </w:t>
      </w:r>
      <w:r>
        <w:rPr>
          <w:color w:val="231F20"/>
        </w:rPr>
        <w:t>должен</w:t>
      </w:r>
      <w:r>
        <w:rPr>
          <w:color w:val="231F20"/>
          <w:spacing w:val="-12"/>
        </w:rPr>
        <w:t> </w:t>
      </w:r>
      <w:r>
        <w:rPr>
          <w:color w:val="231F20"/>
        </w:rPr>
        <w:t>сталкиваться</w:t>
      </w:r>
      <w:r>
        <w:rPr>
          <w:color w:val="231F20"/>
          <w:spacing w:val="-12"/>
        </w:rPr>
        <w:t> </w:t>
      </w:r>
      <w:r>
        <w:rPr>
          <w:color w:val="231F20"/>
        </w:rPr>
        <w:t>только</w:t>
      </w:r>
      <w:r>
        <w:rPr>
          <w:color w:val="231F20"/>
          <w:spacing w:val="-12"/>
        </w:rPr>
        <w:t> </w:t>
      </w:r>
      <w:r>
        <w:rPr>
          <w:color w:val="231F20"/>
        </w:rPr>
        <w:t>с</w:t>
      </w:r>
      <w:r>
        <w:rPr>
          <w:color w:val="231F20"/>
          <w:spacing w:val="-12"/>
        </w:rPr>
        <w:t> </w:t>
      </w:r>
      <w:r>
        <w:rPr>
          <w:color w:val="231F20"/>
        </w:rPr>
        <w:t>«преодолеваемой»,</w:t>
      </w:r>
      <w:r>
        <w:rPr>
          <w:color w:val="231F20"/>
          <w:spacing w:val="-12"/>
        </w:rPr>
        <w:t> </w:t>
      </w:r>
      <w:r>
        <w:rPr>
          <w:color w:val="231F20"/>
        </w:rPr>
        <w:t>исходя</w:t>
      </w:r>
      <w:r>
        <w:rPr>
          <w:color w:val="231F20"/>
          <w:spacing w:val="-12"/>
        </w:rPr>
        <w:t> </w:t>
      </w:r>
      <w:r>
        <w:rPr>
          <w:color w:val="231F20"/>
        </w:rPr>
        <w:t>из</w:t>
      </w:r>
      <w:r>
        <w:rPr>
          <w:color w:val="231F20"/>
          <w:spacing w:val="-12"/>
        </w:rPr>
        <w:t> </w:t>
      </w:r>
      <w:r>
        <w:rPr>
          <w:color w:val="231F20"/>
        </w:rPr>
        <w:t>внутренней логики истории, трудностью.</w:t>
      </w:r>
    </w:p>
    <w:p>
      <w:pPr>
        <w:pStyle w:val="BodyText"/>
        <w:spacing w:line="228" w:lineRule="exact"/>
        <w:ind w:left="425" w:right="0" w:firstLine="0"/>
      </w:pPr>
      <w:r>
        <w:rPr>
          <w:color w:val="231F20"/>
        </w:rPr>
        <w:t>Главная</w:t>
      </w:r>
      <w:r>
        <w:rPr>
          <w:color w:val="231F20"/>
          <w:spacing w:val="12"/>
        </w:rPr>
        <w:t> </w:t>
      </w:r>
      <w:r>
        <w:rPr>
          <w:color w:val="231F20"/>
        </w:rPr>
        <w:t>задача</w:t>
      </w:r>
      <w:r>
        <w:rPr>
          <w:color w:val="231F20"/>
          <w:spacing w:val="12"/>
        </w:rPr>
        <w:t> </w:t>
      </w:r>
      <w:r>
        <w:rPr>
          <w:color w:val="231F20"/>
        </w:rPr>
        <w:t>психолога</w:t>
      </w:r>
      <w:r>
        <w:rPr>
          <w:color w:val="231F20"/>
          <w:spacing w:val="13"/>
        </w:rPr>
        <w:t> </w:t>
      </w:r>
      <w:r>
        <w:rPr>
          <w:color w:val="231F20"/>
        </w:rPr>
        <w:t>–</w:t>
      </w:r>
      <w:r>
        <w:rPr>
          <w:color w:val="231F20"/>
          <w:spacing w:val="12"/>
        </w:rPr>
        <w:t> </w:t>
      </w:r>
      <w:r>
        <w:rPr>
          <w:color w:val="231F20"/>
        </w:rPr>
        <w:t>донести</w:t>
      </w:r>
      <w:r>
        <w:rPr>
          <w:color w:val="231F20"/>
          <w:spacing w:val="12"/>
        </w:rPr>
        <w:t> </w:t>
      </w:r>
      <w:r>
        <w:rPr>
          <w:color w:val="231F20"/>
        </w:rPr>
        <w:t>до</w:t>
      </w:r>
      <w:r>
        <w:rPr>
          <w:color w:val="231F20"/>
          <w:spacing w:val="12"/>
        </w:rPr>
        <w:t> </w:t>
      </w:r>
      <w:r>
        <w:rPr>
          <w:color w:val="231F20"/>
        </w:rPr>
        <w:t>ребенка</w:t>
      </w:r>
      <w:r>
        <w:rPr>
          <w:color w:val="231F20"/>
          <w:spacing w:val="13"/>
        </w:rPr>
        <w:t> </w:t>
      </w:r>
      <w:r>
        <w:rPr>
          <w:color w:val="231F20"/>
        </w:rPr>
        <w:t>представление</w:t>
      </w:r>
      <w:r>
        <w:rPr>
          <w:color w:val="231F20"/>
          <w:spacing w:val="13"/>
        </w:rPr>
        <w:t> </w:t>
      </w:r>
      <w:r>
        <w:rPr>
          <w:color w:val="231F20"/>
        </w:rPr>
        <w:t>о</w:t>
      </w:r>
      <w:r>
        <w:rPr>
          <w:color w:val="231F20"/>
          <w:spacing w:val="12"/>
        </w:rPr>
        <w:t> </w:t>
      </w:r>
      <w:r>
        <w:rPr>
          <w:color w:val="231F20"/>
        </w:rPr>
        <w:t>том,</w:t>
      </w:r>
      <w:r>
        <w:rPr>
          <w:color w:val="231F20"/>
          <w:spacing w:val="12"/>
        </w:rPr>
        <w:t> </w:t>
      </w:r>
      <w:r>
        <w:rPr>
          <w:color w:val="231F20"/>
        </w:rPr>
        <w:t>что</w:t>
      </w:r>
      <w:r>
        <w:rPr>
          <w:color w:val="231F20"/>
          <w:spacing w:val="12"/>
        </w:rPr>
        <w:t> </w:t>
      </w:r>
      <w:r>
        <w:rPr>
          <w:color w:val="231F20"/>
          <w:spacing w:val="-2"/>
        </w:rPr>
        <w:t>кроме</w:t>
      </w:r>
    </w:p>
    <w:p>
      <w:pPr>
        <w:pStyle w:val="BodyText"/>
        <w:spacing w:line="235" w:lineRule="auto" w:before="2"/>
        <w:ind w:firstLine="0"/>
      </w:pPr>
      <w:r>
        <w:rPr>
          <w:color w:val="231F20"/>
        </w:rPr>
        <w:t>«Я»</w:t>
      </w:r>
      <w:r>
        <w:rPr>
          <w:color w:val="231F20"/>
          <w:spacing w:val="-12"/>
        </w:rPr>
        <w:t> </w:t>
      </w:r>
      <w:r>
        <w:rPr>
          <w:color w:val="231F20"/>
        </w:rPr>
        <w:t>существует</w:t>
      </w:r>
      <w:r>
        <w:rPr>
          <w:color w:val="231F20"/>
          <w:spacing w:val="-12"/>
        </w:rPr>
        <w:t> </w:t>
      </w:r>
      <w:r>
        <w:rPr>
          <w:color w:val="231F20"/>
        </w:rPr>
        <w:t>еще</w:t>
      </w:r>
      <w:r>
        <w:rPr>
          <w:color w:val="231F20"/>
          <w:spacing w:val="-12"/>
        </w:rPr>
        <w:t> </w:t>
      </w:r>
      <w:r>
        <w:rPr>
          <w:color w:val="231F20"/>
        </w:rPr>
        <w:t>и</w:t>
      </w:r>
      <w:r>
        <w:rPr>
          <w:color w:val="231F20"/>
          <w:spacing w:val="-12"/>
        </w:rPr>
        <w:t> </w:t>
      </w:r>
      <w:r>
        <w:rPr>
          <w:color w:val="231F20"/>
        </w:rPr>
        <w:t>окружающий</w:t>
      </w:r>
      <w:r>
        <w:rPr>
          <w:color w:val="231F20"/>
          <w:spacing w:val="-12"/>
        </w:rPr>
        <w:t> </w:t>
      </w:r>
      <w:r>
        <w:rPr>
          <w:color w:val="231F20"/>
        </w:rPr>
        <w:t>мир</w:t>
      </w:r>
      <w:r>
        <w:rPr>
          <w:color w:val="231F20"/>
          <w:spacing w:val="-12"/>
        </w:rPr>
        <w:t> </w:t>
      </w:r>
      <w:r>
        <w:rPr>
          <w:color w:val="231F20"/>
        </w:rPr>
        <w:t>и,</w:t>
      </w:r>
      <w:r>
        <w:rPr>
          <w:color w:val="231F20"/>
          <w:spacing w:val="-12"/>
        </w:rPr>
        <w:t> </w:t>
      </w:r>
      <w:r>
        <w:rPr>
          <w:color w:val="231F20"/>
        </w:rPr>
        <w:t>что</w:t>
      </w:r>
      <w:r>
        <w:rPr>
          <w:color w:val="231F20"/>
          <w:spacing w:val="-12"/>
        </w:rPr>
        <w:t> </w:t>
      </w:r>
      <w:r>
        <w:rPr>
          <w:color w:val="231F20"/>
        </w:rPr>
        <w:t>контакт</w:t>
      </w:r>
      <w:r>
        <w:rPr>
          <w:color w:val="231F20"/>
          <w:spacing w:val="-12"/>
        </w:rPr>
        <w:t> </w:t>
      </w:r>
      <w:r>
        <w:rPr>
          <w:color w:val="231F20"/>
        </w:rPr>
        <w:t>с</w:t>
      </w:r>
      <w:r>
        <w:rPr>
          <w:color w:val="231F20"/>
          <w:spacing w:val="-12"/>
        </w:rPr>
        <w:t> </w:t>
      </w:r>
      <w:r>
        <w:rPr>
          <w:color w:val="231F20"/>
        </w:rPr>
        <w:t>этим</w:t>
      </w:r>
      <w:r>
        <w:rPr>
          <w:color w:val="231F20"/>
          <w:spacing w:val="-12"/>
        </w:rPr>
        <w:t> </w:t>
      </w:r>
      <w:r>
        <w:rPr>
          <w:color w:val="231F20"/>
        </w:rPr>
        <w:t>миром</w:t>
      </w:r>
      <w:r>
        <w:rPr>
          <w:color w:val="231F20"/>
          <w:spacing w:val="-12"/>
        </w:rPr>
        <w:t> </w:t>
      </w:r>
      <w:r>
        <w:rPr>
          <w:color w:val="231F20"/>
        </w:rPr>
        <w:t>может</w:t>
      </w:r>
      <w:r>
        <w:rPr>
          <w:color w:val="231F20"/>
          <w:spacing w:val="-12"/>
        </w:rPr>
        <w:t> </w:t>
      </w:r>
      <w:r>
        <w:rPr>
          <w:color w:val="231F20"/>
        </w:rPr>
        <w:t>принести пользу и удовольствие.</w:t>
      </w:r>
    </w:p>
    <w:p>
      <w:pPr>
        <w:pStyle w:val="BodyText"/>
      </w:pPr>
      <w:r>
        <w:rPr>
          <w:color w:val="231F20"/>
        </w:rPr>
        <w:t>Следующую историю рассказал девятилетний мальчик из семьи вынужденных мигрантов</w:t>
      </w:r>
      <w:r>
        <w:rPr>
          <w:color w:val="231F20"/>
          <w:spacing w:val="-12"/>
        </w:rPr>
        <w:t> </w:t>
      </w:r>
      <w:r>
        <w:rPr>
          <w:color w:val="231F20"/>
        </w:rPr>
        <w:t>из</w:t>
      </w:r>
      <w:r>
        <w:rPr>
          <w:color w:val="231F20"/>
          <w:spacing w:val="-12"/>
        </w:rPr>
        <w:t> </w:t>
      </w:r>
      <w:r>
        <w:rPr>
          <w:color w:val="231F20"/>
        </w:rPr>
        <w:t>Ирака.</w:t>
      </w:r>
      <w:r>
        <w:rPr>
          <w:color w:val="231F20"/>
          <w:spacing w:val="-12"/>
        </w:rPr>
        <w:t> </w:t>
      </w:r>
      <w:r>
        <w:rPr>
          <w:color w:val="231F20"/>
        </w:rPr>
        <w:t>Во</w:t>
      </w:r>
      <w:r>
        <w:rPr>
          <w:color w:val="231F20"/>
          <w:spacing w:val="-12"/>
        </w:rPr>
        <w:t> </w:t>
      </w:r>
      <w:r>
        <w:rPr>
          <w:color w:val="231F20"/>
        </w:rPr>
        <w:t>время</w:t>
      </w:r>
      <w:r>
        <w:rPr>
          <w:color w:val="231F20"/>
          <w:spacing w:val="-12"/>
        </w:rPr>
        <w:t> </w:t>
      </w:r>
      <w:r>
        <w:rPr>
          <w:color w:val="231F20"/>
        </w:rPr>
        <w:t>психологической</w:t>
      </w:r>
      <w:r>
        <w:rPr>
          <w:color w:val="231F20"/>
          <w:spacing w:val="-12"/>
        </w:rPr>
        <w:t> </w:t>
      </w:r>
      <w:r>
        <w:rPr>
          <w:color w:val="231F20"/>
        </w:rPr>
        <w:t>работы</w:t>
      </w:r>
      <w:r>
        <w:rPr>
          <w:color w:val="231F20"/>
          <w:spacing w:val="-12"/>
        </w:rPr>
        <w:t> </w:t>
      </w:r>
      <w:r>
        <w:rPr>
          <w:color w:val="231F20"/>
        </w:rPr>
        <w:t>в</w:t>
      </w:r>
      <w:r>
        <w:rPr>
          <w:color w:val="231F20"/>
          <w:spacing w:val="-12"/>
        </w:rPr>
        <w:t> </w:t>
      </w:r>
      <w:r>
        <w:rPr>
          <w:color w:val="231F20"/>
        </w:rPr>
        <w:t>его</w:t>
      </w:r>
      <w:r>
        <w:rPr>
          <w:color w:val="231F20"/>
          <w:spacing w:val="-12"/>
        </w:rPr>
        <w:t> </w:t>
      </w:r>
      <w:r>
        <w:rPr>
          <w:color w:val="231F20"/>
        </w:rPr>
        <w:t>семье</w:t>
      </w:r>
      <w:r>
        <w:rPr>
          <w:color w:val="231F20"/>
          <w:spacing w:val="-12"/>
        </w:rPr>
        <w:t> </w:t>
      </w:r>
      <w:r>
        <w:rPr>
          <w:color w:val="231F20"/>
        </w:rPr>
        <w:t>сложилась</w:t>
      </w:r>
      <w:r>
        <w:rPr>
          <w:color w:val="231F20"/>
          <w:spacing w:val="-12"/>
        </w:rPr>
        <w:t> </w:t>
      </w:r>
      <w:r>
        <w:rPr>
          <w:color w:val="231F20"/>
        </w:rPr>
        <w:t>крайне неблагоприятная</w:t>
      </w:r>
      <w:r>
        <w:rPr>
          <w:color w:val="231F20"/>
          <w:spacing w:val="-12"/>
        </w:rPr>
        <w:t> </w:t>
      </w:r>
      <w:r>
        <w:rPr>
          <w:color w:val="231F20"/>
        </w:rPr>
        <w:t>ситуация,</w:t>
      </w:r>
      <w:r>
        <w:rPr>
          <w:color w:val="231F20"/>
          <w:spacing w:val="-12"/>
        </w:rPr>
        <w:t> </w:t>
      </w:r>
      <w:r>
        <w:rPr>
          <w:color w:val="231F20"/>
        </w:rPr>
        <w:t>которая</w:t>
      </w:r>
      <w:r>
        <w:rPr>
          <w:color w:val="231F20"/>
          <w:spacing w:val="-12"/>
        </w:rPr>
        <w:t> </w:t>
      </w:r>
      <w:r>
        <w:rPr>
          <w:color w:val="231F20"/>
        </w:rPr>
        <w:t>привела</w:t>
      </w:r>
      <w:r>
        <w:rPr>
          <w:color w:val="231F20"/>
          <w:spacing w:val="-12"/>
        </w:rPr>
        <w:t> </w:t>
      </w:r>
      <w:r>
        <w:rPr>
          <w:color w:val="231F20"/>
        </w:rPr>
        <w:t>к</w:t>
      </w:r>
      <w:r>
        <w:rPr>
          <w:color w:val="231F20"/>
          <w:spacing w:val="-12"/>
        </w:rPr>
        <w:t> </w:t>
      </w:r>
      <w:r>
        <w:rPr>
          <w:color w:val="231F20"/>
        </w:rPr>
        <w:t>тому,</w:t>
      </w:r>
      <w:r>
        <w:rPr>
          <w:color w:val="231F20"/>
          <w:spacing w:val="-12"/>
        </w:rPr>
        <w:t> </w:t>
      </w:r>
      <w:r>
        <w:rPr>
          <w:color w:val="231F20"/>
        </w:rPr>
        <w:t>что</w:t>
      </w:r>
      <w:r>
        <w:rPr>
          <w:color w:val="231F20"/>
          <w:spacing w:val="-12"/>
        </w:rPr>
        <w:t> </w:t>
      </w:r>
      <w:r>
        <w:rPr>
          <w:color w:val="231F20"/>
        </w:rPr>
        <w:t>мальчик</w:t>
      </w:r>
      <w:r>
        <w:rPr>
          <w:color w:val="231F20"/>
          <w:spacing w:val="-12"/>
        </w:rPr>
        <w:t> </w:t>
      </w:r>
      <w:r>
        <w:rPr>
          <w:color w:val="231F20"/>
        </w:rPr>
        <w:t>испытывал</w:t>
      </w:r>
      <w:r>
        <w:rPr>
          <w:color w:val="231F20"/>
          <w:spacing w:val="-12"/>
        </w:rPr>
        <w:t> </w:t>
      </w:r>
      <w:r>
        <w:rPr>
          <w:color w:val="231F20"/>
        </w:rPr>
        <w:t>сильней- шее</w:t>
      </w:r>
      <w:r>
        <w:rPr>
          <w:color w:val="231F20"/>
          <w:spacing w:val="-1"/>
        </w:rPr>
        <w:t> </w:t>
      </w:r>
      <w:r>
        <w:rPr>
          <w:color w:val="231F20"/>
        </w:rPr>
        <w:t>внутренне</w:t>
      </w:r>
      <w:r>
        <w:rPr>
          <w:color w:val="231F20"/>
          <w:spacing w:val="-1"/>
        </w:rPr>
        <w:t> </w:t>
      </w:r>
      <w:r>
        <w:rPr>
          <w:color w:val="231F20"/>
        </w:rPr>
        <w:t>напряжение,</w:t>
      </w:r>
      <w:r>
        <w:rPr>
          <w:color w:val="231F20"/>
          <w:spacing w:val="-1"/>
        </w:rPr>
        <w:t> </w:t>
      </w:r>
      <w:r>
        <w:rPr>
          <w:color w:val="231F20"/>
        </w:rPr>
        <w:t>что</w:t>
      </w:r>
      <w:r>
        <w:rPr>
          <w:color w:val="231F20"/>
          <w:spacing w:val="-1"/>
        </w:rPr>
        <w:t> </w:t>
      </w:r>
      <w:r>
        <w:rPr>
          <w:color w:val="231F20"/>
        </w:rPr>
        <w:t>проявлялось</w:t>
      </w:r>
      <w:r>
        <w:rPr>
          <w:color w:val="231F20"/>
          <w:spacing w:val="-1"/>
        </w:rPr>
        <w:t> </w:t>
      </w:r>
      <w:r>
        <w:rPr>
          <w:color w:val="231F20"/>
        </w:rPr>
        <w:t>во</w:t>
      </w:r>
      <w:r>
        <w:rPr>
          <w:color w:val="231F20"/>
          <w:spacing w:val="-1"/>
        </w:rPr>
        <w:t> </w:t>
      </w:r>
      <w:r>
        <w:rPr>
          <w:color w:val="231F20"/>
        </w:rPr>
        <w:t>вспышках</w:t>
      </w:r>
      <w:r>
        <w:rPr>
          <w:color w:val="231F20"/>
          <w:spacing w:val="-1"/>
        </w:rPr>
        <w:t> </w:t>
      </w:r>
      <w:r>
        <w:rPr>
          <w:color w:val="231F20"/>
        </w:rPr>
        <w:t>немотивированной</w:t>
      </w:r>
      <w:r>
        <w:rPr>
          <w:color w:val="231F20"/>
          <w:spacing w:val="-1"/>
        </w:rPr>
        <w:t> </w:t>
      </w:r>
      <w:r>
        <w:rPr>
          <w:color w:val="231F20"/>
        </w:rPr>
        <w:t>агрес- сии, вегетативных расстройствах и нарушении памяти.</w:t>
      </w:r>
    </w:p>
    <w:p>
      <w:pPr>
        <w:spacing w:before="111"/>
        <w:ind w:left="141" w:right="140" w:firstLine="283"/>
        <w:jc w:val="both"/>
        <w:rPr>
          <w:i/>
          <w:sz w:val="20"/>
        </w:rPr>
      </w:pPr>
      <w:r>
        <w:rPr>
          <w:i/>
          <w:color w:val="231F20"/>
          <w:sz w:val="20"/>
        </w:rPr>
        <w:t>Бэтмен пошел гулять. Там пришли фашисты детей украсть. Бэтмен защищал детей. Он их спас и фашистов убил.</w:t>
      </w:r>
    </w:p>
    <w:p>
      <w:pPr>
        <w:spacing w:before="0"/>
        <w:ind w:left="425" w:right="0" w:firstLine="0"/>
        <w:jc w:val="both"/>
        <w:rPr>
          <w:i/>
          <w:sz w:val="20"/>
        </w:rPr>
      </w:pPr>
      <w:r>
        <w:rPr>
          <w:i/>
          <w:color w:val="231F20"/>
          <w:sz w:val="20"/>
        </w:rPr>
        <w:t>Потом</w:t>
      </w:r>
      <w:r>
        <w:rPr>
          <w:i/>
          <w:color w:val="231F20"/>
          <w:spacing w:val="-7"/>
          <w:sz w:val="20"/>
        </w:rPr>
        <w:t> </w:t>
      </w:r>
      <w:r>
        <w:rPr>
          <w:i/>
          <w:color w:val="231F20"/>
          <w:sz w:val="20"/>
        </w:rPr>
        <w:t>у</w:t>
      </w:r>
      <w:r>
        <w:rPr>
          <w:i/>
          <w:color w:val="231F20"/>
          <w:spacing w:val="-4"/>
          <w:sz w:val="20"/>
        </w:rPr>
        <w:t> </w:t>
      </w:r>
      <w:r>
        <w:rPr>
          <w:i/>
          <w:color w:val="231F20"/>
          <w:sz w:val="20"/>
        </w:rPr>
        <w:t>одного</w:t>
      </w:r>
      <w:r>
        <w:rPr>
          <w:i/>
          <w:color w:val="231F20"/>
          <w:spacing w:val="-4"/>
          <w:sz w:val="20"/>
        </w:rPr>
        <w:t> </w:t>
      </w:r>
      <w:r>
        <w:rPr>
          <w:i/>
          <w:color w:val="231F20"/>
          <w:sz w:val="20"/>
        </w:rPr>
        <w:t>мальчика</w:t>
      </w:r>
      <w:r>
        <w:rPr>
          <w:i/>
          <w:color w:val="231F20"/>
          <w:spacing w:val="-5"/>
          <w:sz w:val="20"/>
        </w:rPr>
        <w:t> </w:t>
      </w:r>
      <w:r>
        <w:rPr>
          <w:i/>
          <w:color w:val="231F20"/>
          <w:sz w:val="20"/>
        </w:rPr>
        <w:t>дом</w:t>
      </w:r>
      <w:r>
        <w:rPr>
          <w:i/>
          <w:color w:val="231F20"/>
          <w:spacing w:val="-4"/>
          <w:sz w:val="20"/>
        </w:rPr>
        <w:t> </w:t>
      </w:r>
      <w:r>
        <w:rPr>
          <w:i/>
          <w:color w:val="231F20"/>
          <w:sz w:val="20"/>
        </w:rPr>
        <w:t>загорелся.</w:t>
      </w:r>
      <w:r>
        <w:rPr>
          <w:i/>
          <w:color w:val="231F20"/>
          <w:spacing w:val="-4"/>
          <w:sz w:val="20"/>
        </w:rPr>
        <w:t> </w:t>
      </w:r>
      <w:r>
        <w:rPr>
          <w:i/>
          <w:color w:val="231F20"/>
          <w:sz w:val="20"/>
        </w:rPr>
        <w:t>Бэтмен</w:t>
      </w:r>
      <w:r>
        <w:rPr>
          <w:i/>
          <w:color w:val="231F20"/>
          <w:spacing w:val="-5"/>
          <w:sz w:val="20"/>
        </w:rPr>
        <w:t> </w:t>
      </w:r>
      <w:r>
        <w:rPr>
          <w:i/>
          <w:color w:val="231F20"/>
          <w:sz w:val="20"/>
        </w:rPr>
        <w:t>летал</w:t>
      </w:r>
      <w:r>
        <w:rPr>
          <w:i/>
          <w:color w:val="231F20"/>
          <w:spacing w:val="-4"/>
          <w:sz w:val="20"/>
        </w:rPr>
        <w:t> </w:t>
      </w:r>
      <w:r>
        <w:rPr>
          <w:i/>
          <w:color w:val="231F20"/>
          <w:sz w:val="20"/>
        </w:rPr>
        <w:t>и</w:t>
      </w:r>
      <w:r>
        <w:rPr>
          <w:i/>
          <w:color w:val="231F20"/>
          <w:spacing w:val="-4"/>
          <w:sz w:val="20"/>
        </w:rPr>
        <w:t> </w:t>
      </w:r>
      <w:r>
        <w:rPr>
          <w:i/>
          <w:color w:val="231F20"/>
          <w:sz w:val="20"/>
        </w:rPr>
        <w:t>его</w:t>
      </w:r>
      <w:r>
        <w:rPr>
          <w:i/>
          <w:color w:val="231F20"/>
          <w:spacing w:val="-4"/>
          <w:sz w:val="20"/>
        </w:rPr>
        <w:t> </w:t>
      </w:r>
      <w:r>
        <w:rPr>
          <w:i/>
          <w:color w:val="231F20"/>
          <w:spacing w:val="-2"/>
          <w:sz w:val="20"/>
        </w:rPr>
        <w:t>спасал.</w:t>
      </w:r>
    </w:p>
    <w:p>
      <w:pPr>
        <w:spacing w:before="0"/>
        <w:ind w:left="141" w:right="139" w:firstLine="283"/>
        <w:jc w:val="both"/>
        <w:rPr>
          <w:i/>
          <w:sz w:val="20"/>
        </w:rPr>
      </w:pPr>
      <w:r>
        <w:rPr>
          <w:i/>
          <w:color w:val="231F20"/>
          <w:sz w:val="20"/>
        </w:rPr>
        <w:t>Бэтмен полетел в магазин. Там драку начинает один хулиган. Бэтмен здесь всех </w:t>
      </w:r>
      <w:r>
        <w:rPr>
          <w:i/>
          <w:color w:val="231F20"/>
          <w:spacing w:val="-2"/>
          <w:sz w:val="20"/>
        </w:rPr>
        <w:t>защищает.</w:t>
      </w:r>
    </w:p>
    <w:p>
      <w:pPr>
        <w:spacing w:before="0"/>
        <w:ind w:left="425" w:right="0" w:firstLine="0"/>
        <w:jc w:val="both"/>
        <w:rPr>
          <w:i/>
          <w:sz w:val="20"/>
        </w:rPr>
      </w:pPr>
      <w:r>
        <w:rPr>
          <w:i/>
          <w:color w:val="231F20"/>
          <w:sz w:val="20"/>
        </w:rPr>
        <w:t>Урок</w:t>
      </w:r>
      <w:r>
        <w:rPr>
          <w:i/>
          <w:color w:val="231F20"/>
          <w:spacing w:val="-7"/>
          <w:sz w:val="20"/>
        </w:rPr>
        <w:t> </w:t>
      </w:r>
      <w:r>
        <w:rPr>
          <w:i/>
          <w:color w:val="231F20"/>
          <w:sz w:val="20"/>
        </w:rPr>
        <w:t>–</w:t>
      </w:r>
      <w:r>
        <w:rPr>
          <w:i/>
          <w:color w:val="231F20"/>
          <w:spacing w:val="-5"/>
          <w:sz w:val="20"/>
        </w:rPr>
        <w:t> </w:t>
      </w:r>
      <w:r>
        <w:rPr>
          <w:i/>
          <w:color w:val="231F20"/>
          <w:sz w:val="20"/>
        </w:rPr>
        <w:t>Бэтмен</w:t>
      </w:r>
      <w:r>
        <w:rPr>
          <w:i/>
          <w:color w:val="231F20"/>
          <w:spacing w:val="-6"/>
          <w:sz w:val="20"/>
        </w:rPr>
        <w:t> </w:t>
      </w:r>
      <w:r>
        <w:rPr>
          <w:i/>
          <w:color w:val="231F20"/>
          <w:sz w:val="20"/>
        </w:rPr>
        <w:t>хорошо</w:t>
      </w:r>
      <w:r>
        <w:rPr>
          <w:i/>
          <w:color w:val="231F20"/>
          <w:spacing w:val="-5"/>
          <w:sz w:val="20"/>
        </w:rPr>
        <w:t> </w:t>
      </w:r>
      <w:r>
        <w:rPr>
          <w:i/>
          <w:color w:val="231F20"/>
          <w:sz w:val="20"/>
        </w:rPr>
        <w:t>всех</w:t>
      </w:r>
      <w:r>
        <w:rPr>
          <w:i/>
          <w:color w:val="231F20"/>
          <w:spacing w:val="-5"/>
          <w:sz w:val="20"/>
        </w:rPr>
        <w:t> </w:t>
      </w:r>
      <w:r>
        <w:rPr>
          <w:i/>
          <w:color w:val="231F20"/>
          <w:sz w:val="20"/>
        </w:rPr>
        <w:t>спасает.</w:t>
      </w:r>
      <w:r>
        <w:rPr>
          <w:i/>
          <w:color w:val="231F20"/>
          <w:spacing w:val="-5"/>
          <w:sz w:val="20"/>
        </w:rPr>
        <w:t> </w:t>
      </w:r>
      <w:r>
        <w:rPr>
          <w:i/>
          <w:color w:val="231F20"/>
          <w:sz w:val="20"/>
        </w:rPr>
        <w:t>Я</w:t>
      </w:r>
      <w:r>
        <w:rPr>
          <w:i/>
          <w:color w:val="231F20"/>
          <w:spacing w:val="-6"/>
          <w:sz w:val="20"/>
        </w:rPr>
        <w:t> </w:t>
      </w:r>
      <w:r>
        <w:rPr>
          <w:i/>
          <w:color w:val="231F20"/>
          <w:sz w:val="20"/>
        </w:rPr>
        <w:t>буду</w:t>
      </w:r>
      <w:r>
        <w:rPr>
          <w:i/>
          <w:color w:val="231F20"/>
          <w:spacing w:val="-5"/>
          <w:sz w:val="20"/>
        </w:rPr>
        <w:t> </w:t>
      </w:r>
      <w:r>
        <w:rPr>
          <w:i/>
          <w:color w:val="231F20"/>
          <w:sz w:val="20"/>
        </w:rPr>
        <w:t>таким</w:t>
      </w:r>
      <w:r>
        <w:rPr>
          <w:i/>
          <w:color w:val="231F20"/>
          <w:spacing w:val="-5"/>
          <w:sz w:val="20"/>
        </w:rPr>
        <w:t> же.</w:t>
      </w:r>
    </w:p>
    <w:p>
      <w:pPr>
        <w:pStyle w:val="BodyText"/>
        <w:spacing w:before="114"/>
      </w:pPr>
      <w:r>
        <w:rPr>
          <w:color w:val="231F20"/>
        </w:rPr>
        <w:t>В истории главный герой – Бэтмен. При этом тема спасения имеет навязчивый характер и схожа с аутостимуляцией. В истории нет никаких подробностей побед Бэтмена</w:t>
      </w:r>
      <w:r>
        <w:rPr>
          <w:color w:val="231F20"/>
          <w:spacing w:val="-9"/>
        </w:rPr>
        <w:t> </w:t>
      </w:r>
      <w:r>
        <w:rPr>
          <w:color w:val="231F20"/>
        </w:rPr>
        <w:t>над</w:t>
      </w:r>
      <w:r>
        <w:rPr>
          <w:color w:val="231F20"/>
          <w:spacing w:val="-9"/>
        </w:rPr>
        <w:t> </w:t>
      </w:r>
      <w:r>
        <w:rPr>
          <w:color w:val="231F20"/>
        </w:rPr>
        <w:t>противником</w:t>
      </w:r>
      <w:r>
        <w:rPr>
          <w:color w:val="231F20"/>
          <w:spacing w:val="-9"/>
        </w:rPr>
        <w:t> </w:t>
      </w:r>
      <w:r>
        <w:rPr>
          <w:color w:val="231F20"/>
        </w:rPr>
        <w:t>–</w:t>
      </w:r>
      <w:r>
        <w:rPr>
          <w:color w:val="231F20"/>
          <w:spacing w:val="-9"/>
        </w:rPr>
        <w:t> </w:t>
      </w:r>
      <w:r>
        <w:rPr>
          <w:color w:val="231F20"/>
        </w:rPr>
        <w:t>они</w:t>
      </w:r>
      <w:r>
        <w:rPr>
          <w:color w:val="231F20"/>
          <w:spacing w:val="-9"/>
        </w:rPr>
        <w:t> </w:t>
      </w:r>
      <w:r>
        <w:rPr>
          <w:color w:val="231F20"/>
        </w:rPr>
        <w:t>рассматриваются</w:t>
      </w:r>
      <w:r>
        <w:rPr>
          <w:color w:val="231F20"/>
          <w:spacing w:val="-9"/>
        </w:rPr>
        <w:t> </w:t>
      </w:r>
      <w:r>
        <w:rPr>
          <w:color w:val="231F20"/>
        </w:rPr>
        <w:t>ребенком</w:t>
      </w:r>
      <w:r>
        <w:rPr>
          <w:color w:val="231F20"/>
          <w:spacing w:val="-9"/>
        </w:rPr>
        <w:t> </w:t>
      </w:r>
      <w:r>
        <w:rPr>
          <w:color w:val="231F20"/>
        </w:rPr>
        <w:t>как</w:t>
      </w:r>
      <w:r>
        <w:rPr>
          <w:color w:val="231F20"/>
          <w:spacing w:val="-9"/>
        </w:rPr>
        <w:t> </w:t>
      </w:r>
      <w:r>
        <w:rPr>
          <w:color w:val="231F20"/>
        </w:rPr>
        <w:t>само</w:t>
      </w:r>
      <w:r>
        <w:rPr>
          <w:color w:val="231F20"/>
          <w:spacing w:val="-9"/>
        </w:rPr>
        <w:t> </w:t>
      </w:r>
      <w:r>
        <w:rPr>
          <w:color w:val="231F20"/>
        </w:rPr>
        <w:t>собой</w:t>
      </w:r>
      <w:r>
        <w:rPr>
          <w:color w:val="231F20"/>
          <w:spacing w:val="-9"/>
        </w:rPr>
        <w:t> </w:t>
      </w:r>
      <w:r>
        <w:rPr>
          <w:color w:val="231F20"/>
        </w:rPr>
        <w:t>разумею- щееся. В отличие от этой позиции наша история рассказывает о первом событии из детского</w:t>
      </w:r>
      <w:r>
        <w:rPr>
          <w:color w:val="231F20"/>
          <w:spacing w:val="-5"/>
        </w:rPr>
        <w:t> </w:t>
      </w:r>
      <w:r>
        <w:rPr>
          <w:color w:val="231F20"/>
        </w:rPr>
        <w:t>повествования,</w:t>
      </w:r>
      <w:r>
        <w:rPr>
          <w:color w:val="231F20"/>
          <w:spacing w:val="-5"/>
        </w:rPr>
        <w:t> </w:t>
      </w:r>
      <w:r>
        <w:rPr>
          <w:color w:val="231F20"/>
        </w:rPr>
        <w:t>только</w:t>
      </w:r>
      <w:r>
        <w:rPr>
          <w:color w:val="231F20"/>
          <w:spacing w:val="-5"/>
        </w:rPr>
        <w:t> </w:t>
      </w:r>
      <w:r>
        <w:rPr>
          <w:color w:val="231F20"/>
        </w:rPr>
        <w:t>немного</w:t>
      </w:r>
      <w:r>
        <w:rPr>
          <w:color w:val="231F20"/>
          <w:spacing w:val="-5"/>
        </w:rPr>
        <w:t> </w:t>
      </w:r>
      <w:r>
        <w:rPr>
          <w:color w:val="231F20"/>
        </w:rPr>
        <w:t>с</w:t>
      </w:r>
      <w:r>
        <w:rPr>
          <w:color w:val="231F20"/>
          <w:spacing w:val="-5"/>
        </w:rPr>
        <w:t> </w:t>
      </w:r>
      <w:r>
        <w:rPr>
          <w:color w:val="231F20"/>
        </w:rPr>
        <w:t>другой</w:t>
      </w:r>
      <w:r>
        <w:rPr>
          <w:color w:val="231F20"/>
          <w:spacing w:val="-5"/>
        </w:rPr>
        <w:t> </w:t>
      </w:r>
      <w:r>
        <w:rPr>
          <w:color w:val="231F20"/>
        </w:rPr>
        <w:t>точки</w:t>
      </w:r>
      <w:r>
        <w:rPr>
          <w:color w:val="231F20"/>
          <w:spacing w:val="-5"/>
        </w:rPr>
        <w:t> </w:t>
      </w:r>
      <w:r>
        <w:rPr>
          <w:color w:val="231F20"/>
        </w:rPr>
        <w:t>зрения.</w:t>
      </w:r>
      <w:r>
        <w:rPr>
          <w:color w:val="231F20"/>
          <w:spacing w:val="-5"/>
        </w:rPr>
        <w:t> </w:t>
      </w:r>
      <w:r>
        <w:rPr>
          <w:color w:val="231F20"/>
        </w:rPr>
        <w:t>Причем</w:t>
      </w:r>
      <w:r>
        <w:rPr>
          <w:color w:val="231F20"/>
          <w:spacing w:val="-5"/>
        </w:rPr>
        <w:t> </w:t>
      </w:r>
      <w:r>
        <w:rPr>
          <w:color w:val="231F20"/>
        </w:rPr>
        <w:t>мы</w:t>
      </w:r>
      <w:r>
        <w:rPr>
          <w:color w:val="231F20"/>
          <w:spacing w:val="-5"/>
        </w:rPr>
        <w:t> </w:t>
      </w:r>
      <w:r>
        <w:rPr>
          <w:color w:val="231F20"/>
        </w:rPr>
        <w:t>оставля- ем</w:t>
      </w:r>
      <w:r>
        <w:rPr>
          <w:color w:val="231F20"/>
          <w:spacing w:val="-5"/>
        </w:rPr>
        <w:t> </w:t>
      </w:r>
      <w:r>
        <w:rPr>
          <w:color w:val="231F20"/>
        </w:rPr>
        <w:t>возможность</w:t>
      </w:r>
      <w:r>
        <w:rPr>
          <w:color w:val="231F20"/>
          <w:spacing w:val="-5"/>
        </w:rPr>
        <w:t> </w:t>
      </w:r>
      <w:r>
        <w:rPr>
          <w:color w:val="231F20"/>
        </w:rPr>
        <w:t>появления</w:t>
      </w:r>
      <w:r>
        <w:rPr>
          <w:color w:val="231F20"/>
          <w:spacing w:val="-5"/>
        </w:rPr>
        <w:t> </w:t>
      </w:r>
      <w:r>
        <w:rPr>
          <w:color w:val="231F20"/>
        </w:rPr>
        <w:t>«всемогущего</w:t>
      </w:r>
      <w:r>
        <w:rPr>
          <w:color w:val="231F20"/>
          <w:spacing w:val="-5"/>
        </w:rPr>
        <w:t> </w:t>
      </w:r>
      <w:r>
        <w:rPr>
          <w:color w:val="231F20"/>
        </w:rPr>
        <w:t>Я»,</w:t>
      </w:r>
      <w:r>
        <w:rPr>
          <w:color w:val="231F20"/>
          <w:spacing w:val="-5"/>
        </w:rPr>
        <w:t> </w:t>
      </w:r>
      <w:r>
        <w:rPr>
          <w:color w:val="231F20"/>
        </w:rPr>
        <w:t>но</w:t>
      </w:r>
      <w:r>
        <w:rPr>
          <w:color w:val="231F20"/>
          <w:spacing w:val="-4"/>
        </w:rPr>
        <w:t> </w:t>
      </w:r>
      <w:r>
        <w:rPr>
          <w:color w:val="231F20"/>
        </w:rPr>
        <w:t>только</w:t>
      </w:r>
      <w:r>
        <w:rPr>
          <w:color w:val="231F20"/>
          <w:spacing w:val="-5"/>
        </w:rPr>
        <w:t> </w:t>
      </w:r>
      <w:r>
        <w:rPr>
          <w:color w:val="231F20"/>
        </w:rPr>
        <w:t>тогда,</w:t>
      </w:r>
      <w:r>
        <w:rPr>
          <w:color w:val="231F20"/>
          <w:spacing w:val="-5"/>
        </w:rPr>
        <w:t> </w:t>
      </w:r>
      <w:r>
        <w:rPr>
          <w:color w:val="231F20"/>
        </w:rPr>
        <w:t>когда</w:t>
      </w:r>
      <w:r>
        <w:rPr>
          <w:color w:val="231F20"/>
          <w:spacing w:val="-5"/>
        </w:rPr>
        <w:t> </w:t>
      </w:r>
      <w:r>
        <w:rPr>
          <w:color w:val="231F20"/>
        </w:rPr>
        <w:t>это</w:t>
      </w:r>
      <w:r>
        <w:rPr>
          <w:color w:val="231F20"/>
          <w:spacing w:val="-5"/>
        </w:rPr>
        <w:t> </w:t>
      </w:r>
      <w:r>
        <w:rPr>
          <w:color w:val="231F20"/>
        </w:rPr>
        <w:t>необходимо ребенку для психического выживания.</w:t>
      </w:r>
    </w:p>
    <w:p>
      <w:pPr>
        <w:spacing w:before="113"/>
        <w:ind w:left="141" w:right="139" w:firstLine="283"/>
        <w:jc w:val="both"/>
        <w:rPr>
          <w:i/>
          <w:sz w:val="20"/>
        </w:rPr>
      </w:pPr>
      <w:r>
        <w:rPr>
          <w:i/>
          <w:color w:val="231F20"/>
          <w:sz w:val="20"/>
        </w:rPr>
        <w:t>Однажды маленький мальчик пошел гулять. Он долго гулял и случайно забрел в большой парк. Там были еще дети, с которыми он очень весело играл. Вдруг он ус- лышал странные звуки. Мальчик насторожился и прислушался. За кустами что-то </w:t>
      </w:r>
      <w:r>
        <w:rPr>
          <w:i/>
          <w:color w:val="231F20"/>
          <w:spacing w:val="-2"/>
          <w:sz w:val="20"/>
        </w:rPr>
        <w:t>скрипело.</w:t>
      </w:r>
    </w:p>
    <w:p>
      <w:pPr>
        <w:spacing w:line="235" w:lineRule="auto" w:before="0"/>
        <w:ind w:left="141" w:right="139" w:firstLine="283"/>
        <w:jc w:val="both"/>
        <w:rPr>
          <w:i/>
          <w:sz w:val="20"/>
        </w:rPr>
      </w:pPr>
      <w:r>
        <w:rPr>
          <w:i/>
          <w:color w:val="231F20"/>
          <w:sz w:val="20"/>
        </w:rPr>
        <w:t>Тогда мальчик решил спрятаться под кустом и посмотреть, что будет. И он увидел,</w:t>
      </w:r>
      <w:r>
        <w:rPr>
          <w:i/>
          <w:color w:val="231F20"/>
          <w:spacing w:val="-6"/>
          <w:sz w:val="20"/>
        </w:rPr>
        <w:t> </w:t>
      </w:r>
      <w:r>
        <w:rPr>
          <w:i/>
          <w:color w:val="231F20"/>
          <w:sz w:val="20"/>
        </w:rPr>
        <w:t>как</w:t>
      </w:r>
      <w:r>
        <w:rPr>
          <w:i/>
          <w:color w:val="231F20"/>
          <w:spacing w:val="-6"/>
          <w:sz w:val="20"/>
        </w:rPr>
        <w:t> </w:t>
      </w:r>
      <w:r>
        <w:rPr>
          <w:i/>
          <w:color w:val="231F20"/>
          <w:sz w:val="20"/>
        </w:rPr>
        <w:t>на</w:t>
      </w:r>
      <w:r>
        <w:rPr>
          <w:i/>
          <w:color w:val="231F20"/>
          <w:spacing w:val="-6"/>
          <w:sz w:val="20"/>
        </w:rPr>
        <w:t> </w:t>
      </w:r>
      <w:r>
        <w:rPr>
          <w:i/>
          <w:color w:val="231F20"/>
          <w:sz w:val="20"/>
        </w:rPr>
        <w:t>поляну</w:t>
      </w:r>
      <w:r>
        <w:rPr>
          <w:i/>
          <w:color w:val="231F20"/>
          <w:spacing w:val="-6"/>
          <w:sz w:val="20"/>
        </w:rPr>
        <w:t> </w:t>
      </w:r>
      <w:r>
        <w:rPr>
          <w:i/>
          <w:color w:val="231F20"/>
          <w:sz w:val="20"/>
        </w:rPr>
        <w:t>выскочили</w:t>
      </w:r>
      <w:r>
        <w:rPr>
          <w:i/>
          <w:color w:val="231F20"/>
          <w:spacing w:val="-6"/>
          <w:sz w:val="20"/>
        </w:rPr>
        <w:t> </w:t>
      </w:r>
      <w:r>
        <w:rPr>
          <w:i/>
          <w:color w:val="231F20"/>
          <w:sz w:val="20"/>
        </w:rPr>
        <w:t>фашисты</w:t>
      </w:r>
      <w:r>
        <w:rPr>
          <w:i/>
          <w:color w:val="231F20"/>
          <w:spacing w:val="-6"/>
          <w:sz w:val="20"/>
        </w:rPr>
        <w:t> </w:t>
      </w:r>
      <w:r>
        <w:rPr>
          <w:i/>
          <w:color w:val="231F20"/>
          <w:sz w:val="20"/>
        </w:rPr>
        <w:t>–</w:t>
      </w:r>
      <w:r>
        <w:rPr>
          <w:i/>
          <w:color w:val="231F20"/>
          <w:spacing w:val="-6"/>
          <w:sz w:val="20"/>
        </w:rPr>
        <w:t> </w:t>
      </w:r>
      <w:r>
        <w:rPr>
          <w:i/>
          <w:color w:val="231F20"/>
          <w:sz w:val="20"/>
        </w:rPr>
        <w:t>они</w:t>
      </w:r>
      <w:r>
        <w:rPr>
          <w:i/>
          <w:color w:val="231F20"/>
          <w:spacing w:val="-6"/>
          <w:sz w:val="20"/>
        </w:rPr>
        <w:t> </w:t>
      </w:r>
      <w:r>
        <w:rPr>
          <w:i/>
          <w:color w:val="231F20"/>
          <w:sz w:val="20"/>
        </w:rPr>
        <w:t>воровали</w:t>
      </w:r>
      <w:r>
        <w:rPr>
          <w:i/>
          <w:color w:val="231F20"/>
          <w:spacing w:val="-6"/>
          <w:sz w:val="20"/>
        </w:rPr>
        <w:t> </w:t>
      </w:r>
      <w:r>
        <w:rPr>
          <w:i/>
          <w:color w:val="231F20"/>
          <w:sz w:val="20"/>
        </w:rPr>
        <w:t>детей</w:t>
      </w:r>
      <w:r>
        <w:rPr>
          <w:i/>
          <w:color w:val="231F20"/>
          <w:spacing w:val="-6"/>
          <w:sz w:val="20"/>
        </w:rPr>
        <w:t> </w:t>
      </w:r>
      <w:r>
        <w:rPr>
          <w:i/>
          <w:color w:val="231F20"/>
          <w:sz w:val="20"/>
        </w:rPr>
        <w:t>и</w:t>
      </w:r>
      <w:r>
        <w:rPr>
          <w:i/>
          <w:color w:val="231F20"/>
          <w:spacing w:val="-6"/>
          <w:sz w:val="20"/>
        </w:rPr>
        <w:t> </w:t>
      </w:r>
      <w:r>
        <w:rPr>
          <w:i/>
          <w:color w:val="231F20"/>
          <w:sz w:val="20"/>
        </w:rPr>
        <w:t>продавали</w:t>
      </w:r>
      <w:r>
        <w:rPr>
          <w:i/>
          <w:color w:val="231F20"/>
          <w:spacing w:val="-6"/>
          <w:sz w:val="20"/>
        </w:rPr>
        <w:t> </w:t>
      </w:r>
      <w:r>
        <w:rPr>
          <w:i/>
          <w:color w:val="231F20"/>
          <w:sz w:val="20"/>
        </w:rPr>
        <w:t>их.</w:t>
      </w:r>
      <w:r>
        <w:rPr>
          <w:i/>
          <w:color w:val="231F20"/>
          <w:spacing w:val="-6"/>
          <w:sz w:val="20"/>
        </w:rPr>
        <w:t> </w:t>
      </w:r>
      <w:r>
        <w:rPr>
          <w:i/>
          <w:color w:val="231F20"/>
          <w:sz w:val="20"/>
        </w:rPr>
        <w:t>Они покидали всех детей в мешок, а затем стали смотреть по сторонам.</w:t>
      </w:r>
    </w:p>
    <w:p>
      <w:pPr>
        <w:spacing w:after="0" w:line="235" w:lineRule="auto"/>
        <w:jc w:val="both"/>
        <w:rPr>
          <w:i/>
          <w:sz w:val="20"/>
        </w:rPr>
        <w:sectPr>
          <w:pgSz w:w="8400" w:h="11910"/>
          <w:pgMar w:header="0" w:footer="529" w:top="400" w:bottom="740" w:left="425" w:right="425"/>
        </w:sectPr>
      </w:pPr>
    </w:p>
    <w:p>
      <w:pPr>
        <w:pStyle w:val="ListParagraph"/>
        <w:numPr>
          <w:ilvl w:val="1"/>
          <w:numId w:val="193"/>
        </w:numPr>
        <w:tabs>
          <w:tab w:pos="455" w:val="left" w:leader="none"/>
        </w:tabs>
        <w:spacing w:line="240" w:lineRule="auto" w:before="80" w:after="0"/>
        <w:ind w:left="455" w:right="0" w:hanging="314"/>
        <w:jc w:val="both"/>
        <w:rPr>
          <w:rFonts w:ascii="Georgia" w:hAnsi="Georgia"/>
          <w:sz w:val="18"/>
        </w:rPr>
      </w:pPr>
      <w:r>
        <w:rPr>
          <w:rFonts w:ascii="Georgia" w:hAnsi="Georgia"/>
          <w:color w:val="231F20"/>
          <w:sz w:val="18"/>
        </w:rPr>
        <w:t>Метод</w:t>
      </w:r>
      <w:r>
        <w:rPr>
          <w:rFonts w:ascii="Georgia" w:hAnsi="Georgia"/>
          <w:color w:val="231F20"/>
          <w:spacing w:val="-6"/>
          <w:sz w:val="18"/>
        </w:rPr>
        <w:t> </w:t>
      </w:r>
      <w:r>
        <w:rPr>
          <w:rFonts w:ascii="Georgia" w:hAnsi="Georgia"/>
          <w:color w:val="231F20"/>
          <w:sz w:val="18"/>
        </w:rPr>
        <w:t>диалогического</w:t>
      </w:r>
      <w:r>
        <w:rPr>
          <w:rFonts w:ascii="Georgia" w:hAnsi="Georgia"/>
          <w:color w:val="231F20"/>
          <w:spacing w:val="-5"/>
          <w:sz w:val="18"/>
        </w:rPr>
        <w:t> </w:t>
      </w:r>
      <w:r>
        <w:rPr>
          <w:rFonts w:ascii="Georgia" w:hAnsi="Georgia"/>
          <w:color w:val="231F20"/>
          <w:sz w:val="18"/>
        </w:rPr>
        <w:t>рассказывания</w:t>
      </w:r>
      <w:r>
        <w:rPr>
          <w:rFonts w:ascii="Georgia" w:hAnsi="Georgia"/>
          <w:color w:val="231F20"/>
          <w:spacing w:val="-6"/>
          <w:sz w:val="18"/>
        </w:rPr>
        <w:t> </w:t>
      </w:r>
      <w:r>
        <w:rPr>
          <w:rFonts w:ascii="Georgia" w:hAnsi="Georgia"/>
          <w:color w:val="231F20"/>
          <w:sz w:val="18"/>
        </w:rPr>
        <w:t>историй:</w:t>
      </w:r>
      <w:r>
        <w:rPr>
          <w:rFonts w:ascii="Georgia" w:hAnsi="Georgia"/>
          <w:color w:val="231F20"/>
          <w:spacing w:val="-5"/>
          <w:sz w:val="18"/>
        </w:rPr>
        <w:t> </w:t>
      </w:r>
      <w:r>
        <w:rPr>
          <w:rFonts w:ascii="Georgia" w:hAnsi="Georgia"/>
          <w:color w:val="231F20"/>
          <w:sz w:val="18"/>
        </w:rPr>
        <w:t>методическое</w:t>
      </w:r>
      <w:r>
        <w:rPr>
          <w:rFonts w:ascii="Georgia" w:hAnsi="Georgia"/>
          <w:color w:val="231F20"/>
          <w:spacing w:val="-5"/>
          <w:sz w:val="18"/>
        </w:rPr>
        <w:t> </w:t>
      </w:r>
      <w:r>
        <w:rPr>
          <w:rFonts w:ascii="Georgia" w:hAnsi="Georgia"/>
          <w:color w:val="231F20"/>
          <w:spacing w:val="-2"/>
          <w:sz w:val="18"/>
        </w:rPr>
        <w:t>руководство</w:t>
      </w:r>
    </w:p>
    <w:p>
      <w:pPr>
        <w:spacing w:line="228" w:lineRule="exact" w:before="112"/>
        <w:ind w:left="425" w:right="0" w:firstLine="0"/>
        <w:jc w:val="both"/>
        <w:rPr>
          <w:i/>
          <w:sz w:val="20"/>
        </w:rPr>
      </w:pPr>
      <w:r>
        <w:rPr>
          <w:i/>
          <w:color w:val="231F20"/>
          <w:sz w:val="20"/>
        </w:rPr>
        <w:t>–</w:t>
      </w:r>
      <w:r>
        <w:rPr>
          <w:i/>
          <w:color w:val="231F20"/>
          <w:spacing w:val="-7"/>
          <w:sz w:val="20"/>
        </w:rPr>
        <w:t> </w:t>
      </w:r>
      <w:r>
        <w:rPr>
          <w:i/>
          <w:color w:val="231F20"/>
          <w:sz w:val="20"/>
        </w:rPr>
        <w:t>Где</w:t>
      </w:r>
      <w:r>
        <w:rPr>
          <w:i/>
          <w:color w:val="231F20"/>
          <w:spacing w:val="-6"/>
          <w:sz w:val="20"/>
        </w:rPr>
        <w:t> </w:t>
      </w:r>
      <w:r>
        <w:rPr>
          <w:i/>
          <w:color w:val="231F20"/>
          <w:sz w:val="20"/>
        </w:rPr>
        <w:t>же</w:t>
      </w:r>
      <w:r>
        <w:rPr>
          <w:i/>
          <w:color w:val="231F20"/>
          <w:spacing w:val="-6"/>
          <w:sz w:val="20"/>
        </w:rPr>
        <w:t> </w:t>
      </w:r>
      <w:r>
        <w:rPr>
          <w:i/>
          <w:color w:val="231F20"/>
          <w:sz w:val="20"/>
        </w:rPr>
        <w:t>еще</w:t>
      </w:r>
      <w:r>
        <w:rPr>
          <w:i/>
          <w:color w:val="231F20"/>
          <w:spacing w:val="-6"/>
          <w:sz w:val="20"/>
        </w:rPr>
        <w:t> </w:t>
      </w:r>
      <w:r>
        <w:rPr>
          <w:i/>
          <w:color w:val="231F20"/>
          <w:sz w:val="20"/>
        </w:rPr>
        <w:t>один,</w:t>
      </w:r>
      <w:r>
        <w:rPr>
          <w:i/>
          <w:color w:val="231F20"/>
          <w:spacing w:val="-6"/>
          <w:sz w:val="20"/>
        </w:rPr>
        <w:t> </w:t>
      </w:r>
      <w:r>
        <w:rPr>
          <w:i/>
          <w:color w:val="231F20"/>
          <w:sz w:val="20"/>
        </w:rPr>
        <w:t>–</w:t>
      </w:r>
      <w:r>
        <w:rPr>
          <w:i/>
          <w:color w:val="231F20"/>
          <w:spacing w:val="-6"/>
          <w:sz w:val="20"/>
        </w:rPr>
        <w:t> </w:t>
      </w:r>
      <w:r>
        <w:rPr>
          <w:i/>
          <w:color w:val="231F20"/>
          <w:sz w:val="20"/>
        </w:rPr>
        <w:t>сказал</w:t>
      </w:r>
      <w:r>
        <w:rPr>
          <w:i/>
          <w:color w:val="231F20"/>
          <w:spacing w:val="-6"/>
          <w:sz w:val="20"/>
        </w:rPr>
        <w:t> </w:t>
      </w:r>
      <w:r>
        <w:rPr>
          <w:i/>
          <w:color w:val="231F20"/>
          <w:sz w:val="20"/>
        </w:rPr>
        <w:t>главный</w:t>
      </w:r>
      <w:r>
        <w:rPr>
          <w:i/>
          <w:color w:val="231F20"/>
          <w:spacing w:val="-6"/>
          <w:sz w:val="20"/>
        </w:rPr>
        <w:t> </w:t>
      </w:r>
      <w:r>
        <w:rPr>
          <w:i/>
          <w:color w:val="231F20"/>
          <w:sz w:val="20"/>
        </w:rPr>
        <w:t>фашист,</w:t>
      </w:r>
      <w:r>
        <w:rPr>
          <w:i/>
          <w:color w:val="231F20"/>
          <w:spacing w:val="-6"/>
          <w:sz w:val="20"/>
        </w:rPr>
        <w:t> </w:t>
      </w:r>
      <w:r>
        <w:rPr>
          <w:i/>
          <w:color w:val="231F20"/>
          <w:sz w:val="20"/>
        </w:rPr>
        <w:t>–</w:t>
      </w:r>
      <w:r>
        <w:rPr>
          <w:i/>
          <w:color w:val="231F20"/>
          <w:spacing w:val="-6"/>
          <w:sz w:val="20"/>
        </w:rPr>
        <w:t> </w:t>
      </w:r>
      <w:r>
        <w:rPr>
          <w:i/>
          <w:color w:val="231F20"/>
          <w:sz w:val="20"/>
        </w:rPr>
        <w:t>я</w:t>
      </w:r>
      <w:r>
        <w:rPr>
          <w:i/>
          <w:color w:val="231F20"/>
          <w:spacing w:val="-6"/>
          <w:sz w:val="20"/>
        </w:rPr>
        <w:t> </w:t>
      </w:r>
      <w:r>
        <w:rPr>
          <w:i/>
          <w:color w:val="231F20"/>
          <w:sz w:val="20"/>
        </w:rPr>
        <w:t>точно</w:t>
      </w:r>
      <w:r>
        <w:rPr>
          <w:i/>
          <w:color w:val="231F20"/>
          <w:spacing w:val="-6"/>
          <w:sz w:val="20"/>
        </w:rPr>
        <w:t> </w:t>
      </w:r>
      <w:r>
        <w:rPr>
          <w:i/>
          <w:color w:val="231F20"/>
          <w:sz w:val="20"/>
        </w:rPr>
        <w:t>видел,</w:t>
      </w:r>
      <w:r>
        <w:rPr>
          <w:i/>
          <w:color w:val="231F20"/>
          <w:spacing w:val="-6"/>
          <w:sz w:val="20"/>
        </w:rPr>
        <w:t> </w:t>
      </w:r>
      <w:r>
        <w:rPr>
          <w:i/>
          <w:color w:val="231F20"/>
          <w:sz w:val="20"/>
        </w:rPr>
        <w:t>что</w:t>
      </w:r>
      <w:r>
        <w:rPr>
          <w:i/>
          <w:color w:val="231F20"/>
          <w:spacing w:val="-6"/>
          <w:sz w:val="20"/>
        </w:rPr>
        <w:t> </w:t>
      </w:r>
      <w:r>
        <w:rPr>
          <w:i/>
          <w:color w:val="231F20"/>
          <w:sz w:val="20"/>
        </w:rPr>
        <w:t>был</w:t>
      </w:r>
      <w:r>
        <w:rPr>
          <w:i/>
          <w:color w:val="231F20"/>
          <w:spacing w:val="-6"/>
          <w:sz w:val="20"/>
        </w:rPr>
        <w:t> </w:t>
      </w:r>
      <w:r>
        <w:rPr>
          <w:i/>
          <w:color w:val="231F20"/>
          <w:sz w:val="20"/>
        </w:rPr>
        <w:t>еще</w:t>
      </w:r>
      <w:r>
        <w:rPr>
          <w:i/>
          <w:color w:val="231F20"/>
          <w:spacing w:val="-6"/>
          <w:sz w:val="20"/>
        </w:rPr>
        <w:t> </w:t>
      </w:r>
      <w:r>
        <w:rPr>
          <w:i/>
          <w:color w:val="231F20"/>
          <w:spacing w:val="-2"/>
          <w:sz w:val="20"/>
        </w:rPr>
        <w:t>один.</w:t>
      </w:r>
    </w:p>
    <w:p>
      <w:pPr>
        <w:spacing w:line="223" w:lineRule="exact" w:before="0"/>
        <w:ind w:left="141" w:right="0" w:firstLine="0"/>
        <w:jc w:val="both"/>
        <w:rPr>
          <w:i/>
          <w:sz w:val="20"/>
        </w:rPr>
      </w:pPr>
      <w:r>
        <w:rPr>
          <w:i/>
          <w:color w:val="231F20"/>
          <w:sz w:val="20"/>
        </w:rPr>
        <w:t>Давайте</w:t>
      </w:r>
      <w:r>
        <w:rPr>
          <w:i/>
          <w:color w:val="231F20"/>
          <w:spacing w:val="-5"/>
          <w:sz w:val="20"/>
        </w:rPr>
        <w:t> </w:t>
      </w:r>
      <w:r>
        <w:rPr>
          <w:i/>
          <w:color w:val="231F20"/>
          <w:sz w:val="20"/>
        </w:rPr>
        <w:t>его</w:t>
      </w:r>
      <w:r>
        <w:rPr>
          <w:i/>
          <w:color w:val="231F20"/>
          <w:spacing w:val="-2"/>
          <w:sz w:val="20"/>
        </w:rPr>
        <w:t> </w:t>
      </w:r>
      <w:r>
        <w:rPr>
          <w:i/>
          <w:color w:val="231F20"/>
          <w:sz w:val="20"/>
        </w:rPr>
        <w:t>искать.</w:t>
      </w:r>
      <w:r>
        <w:rPr>
          <w:i/>
          <w:color w:val="231F20"/>
          <w:spacing w:val="-2"/>
          <w:sz w:val="20"/>
        </w:rPr>
        <w:t> </w:t>
      </w:r>
      <w:r>
        <w:rPr>
          <w:i/>
          <w:color w:val="231F20"/>
          <w:sz w:val="20"/>
        </w:rPr>
        <w:t>Пока</w:t>
      </w:r>
      <w:r>
        <w:rPr>
          <w:i/>
          <w:color w:val="231F20"/>
          <w:spacing w:val="-2"/>
          <w:sz w:val="20"/>
        </w:rPr>
        <w:t> </w:t>
      </w:r>
      <w:r>
        <w:rPr>
          <w:i/>
          <w:color w:val="231F20"/>
          <w:sz w:val="20"/>
        </w:rPr>
        <w:t>не</w:t>
      </w:r>
      <w:r>
        <w:rPr>
          <w:i/>
          <w:color w:val="231F20"/>
          <w:spacing w:val="-3"/>
          <w:sz w:val="20"/>
        </w:rPr>
        <w:t> </w:t>
      </w:r>
      <w:r>
        <w:rPr>
          <w:i/>
          <w:color w:val="231F20"/>
          <w:sz w:val="20"/>
        </w:rPr>
        <w:t>найдете</w:t>
      </w:r>
      <w:r>
        <w:rPr>
          <w:i/>
          <w:color w:val="231F20"/>
          <w:spacing w:val="-2"/>
          <w:sz w:val="20"/>
        </w:rPr>
        <w:t> </w:t>
      </w:r>
      <w:r>
        <w:rPr>
          <w:i/>
          <w:color w:val="231F20"/>
          <w:sz w:val="20"/>
        </w:rPr>
        <w:t>–</w:t>
      </w:r>
      <w:r>
        <w:rPr>
          <w:i/>
          <w:color w:val="231F20"/>
          <w:spacing w:val="-2"/>
          <w:sz w:val="20"/>
        </w:rPr>
        <w:t> </w:t>
      </w:r>
      <w:r>
        <w:rPr>
          <w:i/>
          <w:color w:val="231F20"/>
          <w:sz w:val="20"/>
        </w:rPr>
        <w:t>не</w:t>
      </w:r>
      <w:r>
        <w:rPr>
          <w:i/>
          <w:color w:val="231F20"/>
          <w:spacing w:val="-2"/>
          <w:sz w:val="20"/>
        </w:rPr>
        <w:t> </w:t>
      </w:r>
      <w:r>
        <w:rPr>
          <w:i/>
          <w:color w:val="231F20"/>
          <w:sz w:val="20"/>
        </w:rPr>
        <w:t>уйдем</w:t>
      </w:r>
      <w:r>
        <w:rPr>
          <w:i/>
          <w:color w:val="231F20"/>
          <w:spacing w:val="-3"/>
          <w:sz w:val="20"/>
        </w:rPr>
        <w:t> </w:t>
      </w:r>
      <w:r>
        <w:rPr>
          <w:i/>
          <w:color w:val="231F20"/>
          <w:spacing w:val="-2"/>
          <w:sz w:val="20"/>
        </w:rPr>
        <w:t>отсюда.</w:t>
      </w:r>
    </w:p>
    <w:p>
      <w:pPr>
        <w:spacing w:line="230" w:lineRule="auto" w:before="3"/>
        <w:ind w:left="141" w:right="139" w:firstLine="283"/>
        <w:jc w:val="both"/>
        <w:rPr>
          <w:i/>
          <w:sz w:val="20"/>
        </w:rPr>
      </w:pPr>
      <w:r>
        <w:rPr>
          <w:i/>
          <w:color w:val="231F20"/>
          <w:sz w:val="20"/>
        </w:rPr>
        <w:t>И</w:t>
      </w:r>
      <w:r>
        <w:rPr>
          <w:i/>
          <w:color w:val="231F20"/>
          <w:spacing w:val="-13"/>
          <w:sz w:val="20"/>
        </w:rPr>
        <w:t> </w:t>
      </w:r>
      <w:r>
        <w:rPr>
          <w:i/>
          <w:color w:val="231F20"/>
          <w:sz w:val="20"/>
        </w:rPr>
        <w:t>фашисты</w:t>
      </w:r>
      <w:r>
        <w:rPr>
          <w:i/>
          <w:color w:val="231F20"/>
          <w:spacing w:val="-12"/>
          <w:sz w:val="20"/>
        </w:rPr>
        <w:t> </w:t>
      </w:r>
      <w:r>
        <w:rPr>
          <w:i/>
          <w:color w:val="231F20"/>
          <w:sz w:val="20"/>
        </w:rPr>
        <w:t>стали</w:t>
      </w:r>
      <w:r>
        <w:rPr>
          <w:i/>
          <w:color w:val="231F20"/>
          <w:spacing w:val="-13"/>
          <w:sz w:val="20"/>
        </w:rPr>
        <w:t> </w:t>
      </w:r>
      <w:r>
        <w:rPr>
          <w:i/>
          <w:color w:val="231F20"/>
          <w:sz w:val="20"/>
        </w:rPr>
        <w:t>искать</w:t>
      </w:r>
      <w:r>
        <w:rPr>
          <w:i/>
          <w:color w:val="231F20"/>
          <w:spacing w:val="-12"/>
          <w:sz w:val="20"/>
        </w:rPr>
        <w:t> </w:t>
      </w:r>
      <w:r>
        <w:rPr>
          <w:i/>
          <w:color w:val="231F20"/>
          <w:sz w:val="20"/>
        </w:rPr>
        <w:t>мальчика.</w:t>
      </w:r>
      <w:r>
        <w:rPr>
          <w:i/>
          <w:color w:val="231F20"/>
          <w:spacing w:val="-13"/>
          <w:sz w:val="20"/>
        </w:rPr>
        <w:t> </w:t>
      </w:r>
      <w:r>
        <w:rPr>
          <w:i/>
          <w:color w:val="231F20"/>
          <w:sz w:val="20"/>
        </w:rPr>
        <w:t>Он</w:t>
      </w:r>
      <w:r>
        <w:rPr>
          <w:i/>
          <w:color w:val="231F20"/>
          <w:spacing w:val="-12"/>
          <w:sz w:val="20"/>
        </w:rPr>
        <w:t> </w:t>
      </w:r>
      <w:r>
        <w:rPr>
          <w:i/>
          <w:color w:val="231F20"/>
          <w:sz w:val="20"/>
        </w:rPr>
        <w:t>испугался</w:t>
      </w:r>
      <w:r>
        <w:rPr>
          <w:i/>
          <w:color w:val="231F20"/>
          <w:spacing w:val="-13"/>
          <w:sz w:val="20"/>
        </w:rPr>
        <w:t> </w:t>
      </w:r>
      <w:r>
        <w:rPr>
          <w:i/>
          <w:color w:val="231F20"/>
          <w:sz w:val="20"/>
        </w:rPr>
        <w:t>и</w:t>
      </w:r>
      <w:r>
        <w:rPr>
          <w:i/>
          <w:color w:val="231F20"/>
          <w:spacing w:val="-12"/>
          <w:sz w:val="20"/>
        </w:rPr>
        <w:t> </w:t>
      </w:r>
      <w:r>
        <w:rPr>
          <w:i/>
          <w:color w:val="231F20"/>
          <w:sz w:val="20"/>
        </w:rPr>
        <w:t>подумал,</w:t>
      </w:r>
      <w:r>
        <w:rPr>
          <w:i/>
          <w:color w:val="231F20"/>
          <w:spacing w:val="-13"/>
          <w:sz w:val="20"/>
        </w:rPr>
        <w:t> </w:t>
      </w:r>
      <w:r>
        <w:rPr>
          <w:i/>
          <w:color w:val="231F20"/>
          <w:sz w:val="20"/>
        </w:rPr>
        <w:t>что</w:t>
      </w:r>
      <w:r>
        <w:rPr>
          <w:i/>
          <w:color w:val="231F20"/>
          <w:spacing w:val="-12"/>
          <w:sz w:val="20"/>
        </w:rPr>
        <w:t> </w:t>
      </w:r>
      <w:r>
        <w:rPr>
          <w:i/>
          <w:color w:val="231F20"/>
          <w:sz w:val="20"/>
        </w:rPr>
        <w:t>же</w:t>
      </w:r>
      <w:r>
        <w:rPr>
          <w:i/>
          <w:color w:val="231F20"/>
          <w:spacing w:val="-13"/>
          <w:sz w:val="20"/>
        </w:rPr>
        <w:t> </w:t>
      </w:r>
      <w:r>
        <w:rPr>
          <w:i/>
          <w:color w:val="231F20"/>
          <w:sz w:val="20"/>
        </w:rPr>
        <w:t>делать.</w:t>
      </w:r>
      <w:r>
        <w:rPr>
          <w:i/>
          <w:color w:val="231F20"/>
          <w:spacing w:val="-12"/>
          <w:sz w:val="20"/>
        </w:rPr>
        <w:t> </w:t>
      </w:r>
      <w:r>
        <w:rPr>
          <w:i/>
          <w:color w:val="231F20"/>
          <w:sz w:val="20"/>
        </w:rPr>
        <w:t>По- том он огляделся и увидел рядом большую яму, взял камень и кинул в яму. Фашисты побежали посмотреть и упали туда. В это время мальчик выбежал из-за куста и быстро-быстро</w:t>
      </w:r>
      <w:r>
        <w:rPr>
          <w:i/>
          <w:color w:val="231F20"/>
          <w:spacing w:val="-12"/>
          <w:sz w:val="20"/>
        </w:rPr>
        <w:t> </w:t>
      </w:r>
      <w:r>
        <w:rPr>
          <w:i/>
          <w:color w:val="231F20"/>
          <w:sz w:val="20"/>
        </w:rPr>
        <w:t>побежал</w:t>
      </w:r>
      <w:r>
        <w:rPr>
          <w:i/>
          <w:color w:val="231F20"/>
          <w:spacing w:val="-12"/>
          <w:sz w:val="20"/>
        </w:rPr>
        <w:t> </w:t>
      </w:r>
      <w:r>
        <w:rPr>
          <w:i/>
          <w:color w:val="231F20"/>
          <w:sz w:val="20"/>
        </w:rPr>
        <w:t>–</w:t>
      </w:r>
      <w:r>
        <w:rPr>
          <w:i/>
          <w:color w:val="231F20"/>
          <w:spacing w:val="-12"/>
          <w:sz w:val="20"/>
        </w:rPr>
        <w:t> </w:t>
      </w:r>
      <w:r>
        <w:rPr>
          <w:i/>
          <w:color w:val="231F20"/>
          <w:sz w:val="20"/>
        </w:rPr>
        <w:t>ведь</w:t>
      </w:r>
      <w:r>
        <w:rPr>
          <w:i/>
          <w:color w:val="231F20"/>
          <w:spacing w:val="-12"/>
          <w:sz w:val="20"/>
        </w:rPr>
        <w:t> </w:t>
      </w:r>
      <w:r>
        <w:rPr>
          <w:i/>
          <w:color w:val="231F20"/>
          <w:sz w:val="20"/>
        </w:rPr>
        <w:t>фашисты</w:t>
      </w:r>
      <w:r>
        <w:rPr>
          <w:i/>
          <w:color w:val="231F20"/>
          <w:spacing w:val="-12"/>
          <w:sz w:val="20"/>
        </w:rPr>
        <w:t> </w:t>
      </w:r>
      <w:r>
        <w:rPr>
          <w:i/>
          <w:color w:val="231F20"/>
          <w:sz w:val="20"/>
        </w:rPr>
        <w:t>могли</w:t>
      </w:r>
      <w:r>
        <w:rPr>
          <w:i/>
          <w:color w:val="231F20"/>
          <w:spacing w:val="-12"/>
          <w:sz w:val="20"/>
        </w:rPr>
        <w:t> </w:t>
      </w:r>
      <w:r>
        <w:rPr>
          <w:i/>
          <w:color w:val="231F20"/>
          <w:sz w:val="20"/>
        </w:rPr>
        <w:t>в</w:t>
      </w:r>
      <w:r>
        <w:rPr>
          <w:i/>
          <w:color w:val="231F20"/>
          <w:spacing w:val="-12"/>
          <w:sz w:val="20"/>
        </w:rPr>
        <w:t> </w:t>
      </w:r>
      <w:r>
        <w:rPr>
          <w:i/>
          <w:color w:val="231F20"/>
          <w:sz w:val="20"/>
        </w:rPr>
        <w:t>любую</w:t>
      </w:r>
      <w:r>
        <w:rPr>
          <w:i/>
          <w:color w:val="231F20"/>
          <w:spacing w:val="-12"/>
          <w:sz w:val="20"/>
        </w:rPr>
        <w:t> </w:t>
      </w:r>
      <w:r>
        <w:rPr>
          <w:i/>
          <w:color w:val="231F20"/>
          <w:sz w:val="20"/>
        </w:rPr>
        <w:t>минуту</w:t>
      </w:r>
      <w:r>
        <w:rPr>
          <w:i/>
          <w:color w:val="231F20"/>
          <w:spacing w:val="-12"/>
          <w:sz w:val="20"/>
        </w:rPr>
        <w:t> </w:t>
      </w:r>
      <w:r>
        <w:rPr>
          <w:i/>
          <w:color w:val="231F20"/>
          <w:sz w:val="20"/>
        </w:rPr>
        <w:t>выбраться</w:t>
      </w:r>
      <w:r>
        <w:rPr>
          <w:i/>
          <w:color w:val="231F20"/>
          <w:spacing w:val="-12"/>
          <w:sz w:val="20"/>
        </w:rPr>
        <w:t> </w:t>
      </w:r>
      <w:r>
        <w:rPr>
          <w:i/>
          <w:color w:val="231F20"/>
          <w:sz w:val="20"/>
        </w:rPr>
        <w:t>из</w:t>
      </w:r>
      <w:r>
        <w:rPr>
          <w:i/>
          <w:color w:val="231F20"/>
          <w:spacing w:val="-12"/>
          <w:sz w:val="20"/>
        </w:rPr>
        <w:t> </w:t>
      </w:r>
      <w:r>
        <w:rPr>
          <w:i/>
          <w:color w:val="231F20"/>
          <w:sz w:val="20"/>
        </w:rPr>
        <w:t>ямы. Он добежал до телефонной будки и позвонил в полицию.</w:t>
      </w:r>
    </w:p>
    <w:p>
      <w:pPr>
        <w:spacing w:line="230" w:lineRule="auto" w:before="0"/>
        <w:ind w:left="141" w:right="139" w:firstLine="283"/>
        <w:jc w:val="both"/>
        <w:rPr>
          <w:i/>
          <w:sz w:val="20"/>
        </w:rPr>
      </w:pPr>
      <w:r>
        <w:rPr>
          <w:i/>
          <w:color w:val="231F20"/>
          <w:sz w:val="20"/>
        </w:rPr>
        <w:t>Полицейская машина тут же выехала, но уже в дороге главный полицейский ре- шил,</w:t>
      </w:r>
      <w:r>
        <w:rPr>
          <w:i/>
          <w:color w:val="231F20"/>
          <w:spacing w:val="-4"/>
          <w:sz w:val="20"/>
        </w:rPr>
        <w:t> </w:t>
      </w:r>
      <w:r>
        <w:rPr>
          <w:i/>
          <w:color w:val="231F20"/>
          <w:sz w:val="20"/>
        </w:rPr>
        <w:t>что</w:t>
      </w:r>
      <w:r>
        <w:rPr>
          <w:i/>
          <w:color w:val="231F20"/>
          <w:spacing w:val="-4"/>
          <w:sz w:val="20"/>
        </w:rPr>
        <w:t> </w:t>
      </w:r>
      <w:r>
        <w:rPr>
          <w:i/>
          <w:color w:val="231F20"/>
          <w:sz w:val="20"/>
        </w:rPr>
        <w:t>они</w:t>
      </w:r>
      <w:r>
        <w:rPr>
          <w:i/>
          <w:color w:val="231F20"/>
          <w:spacing w:val="-4"/>
          <w:sz w:val="20"/>
        </w:rPr>
        <w:t> </w:t>
      </w:r>
      <w:r>
        <w:rPr>
          <w:i/>
          <w:color w:val="231F20"/>
          <w:sz w:val="20"/>
        </w:rPr>
        <w:t>могут</w:t>
      </w:r>
      <w:r>
        <w:rPr>
          <w:i/>
          <w:color w:val="231F20"/>
          <w:spacing w:val="-4"/>
          <w:sz w:val="20"/>
        </w:rPr>
        <w:t> </w:t>
      </w:r>
      <w:r>
        <w:rPr>
          <w:i/>
          <w:color w:val="231F20"/>
          <w:sz w:val="20"/>
        </w:rPr>
        <w:t>не</w:t>
      </w:r>
      <w:r>
        <w:rPr>
          <w:i/>
          <w:color w:val="231F20"/>
          <w:spacing w:val="-4"/>
          <w:sz w:val="20"/>
        </w:rPr>
        <w:t> </w:t>
      </w:r>
      <w:r>
        <w:rPr>
          <w:i/>
          <w:color w:val="231F20"/>
          <w:sz w:val="20"/>
        </w:rPr>
        <w:t>успеть.</w:t>
      </w:r>
      <w:r>
        <w:rPr>
          <w:i/>
          <w:color w:val="231F20"/>
          <w:spacing w:val="-4"/>
          <w:sz w:val="20"/>
        </w:rPr>
        <w:t> </w:t>
      </w:r>
      <w:r>
        <w:rPr>
          <w:i/>
          <w:color w:val="231F20"/>
          <w:sz w:val="20"/>
        </w:rPr>
        <w:t>Тогда</w:t>
      </w:r>
      <w:r>
        <w:rPr>
          <w:i/>
          <w:color w:val="231F20"/>
          <w:spacing w:val="-4"/>
          <w:sz w:val="20"/>
        </w:rPr>
        <w:t> </w:t>
      </w:r>
      <w:r>
        <w:rPr>
          <w:i/>
          <w:color w:val="231F20"/>
          <w:sz w:val="20"/>
        </w:rPr>
        <w:t>он</w:t>
      </w:r>
      <w:r>
        <w:rPr>
          <w:i/>
          <w:color w:val="231F20"/>
          <w:spacing w:val="-4"/>
          <w:sz w:val="20"/>
        </w:rPr>
        <w:t> </w:t>
      </w:r>
      <w:r>
        <w:rPr>
          <w:i/>
          <w:color w:val="231F20"/>
          <w:sz w:val="20"/>
        </w:rPr>
        <w:t>позвонил</w:t>
      </w:r>
      <w:r>
        <w:rPr>
          <w:i/>
          <w:color w:val="231F20"/>
          <w:spacing w:val="-4"/>
          <w:sz w:val="20"/>
        </w:rPr>
        <w:t> </w:t>
      </w:r>
      <w:r>
        <w:rPr>
          <w:i/>
          <w:color w:val="231F20"/>
          <w:sz w:val="20"/>
        </w:rPr>
        <w:t>Бэтмену</w:t>
      </w:r>
      <w:r>
        <w:rPr>
          <w:i/>
          <w:color w:val="231F20"/>
          <w:spacing w:val="-4"/>
          <w:sz w:val="20"/>
        </w:rPr>
        <w:t> </w:t>
      </w:r>
      <w:r>
        <w:rPr>
          <w:i/>
          <w:color w:val="231F20"/>
          <w:sz w:val="20"/>
        </w:rPr>
        <w:t>и</w:t>
      </w:r>
      <w:r>
        <w:rPr>
          <w:i/>
          <w:color w:val="231F20"/>
          <w:spacing w:val="-4"/>
          <w:sz w:val="20"/>
        </w:rPr>
        <w:t> </w:t>
      </w:r>
      <w:r>
        <w:rPr>
          <w:i/>
          <w:color w:val="231F20"/>
          <w:sz w:val="20"/>
        </w:rPr>
        <w:t>попросил</w:t>
      </w:r>
      <w:r>
        <w:rPr>
          <w:i/>
          <w:color w:val="231F20"/>
          <w:spacing w:val="-4"/>
          <w:sz w:val="20"/>
        </w:rPr>
        <w:t> </w:t>
      </w:r>
      <w:r>
        <w:rPr>
          <w:i/>
          <w:color w:val="231F20"/>
          <w:sz w:val="20"/>
        </w:rPr>
        <w:t>помощи.</w:t>
      </w:r>
      <w:r>
        <w:rPr>
          <w:i/>
          <w:color w:val="231F20"/>
          <w:spacing w:val="-4"/>
          <w:sz w:val="20"/>
        </w:rPr>
        <w:t> </w:t>
      </w:r>
      <w:r>
        <w:rPr>
          <w:i/>
          <w:color w:val="231F20"/>
          <w:sz w:val="20"/>
        </w:rPr>
        <w:t>Бэт- мен</w:t>
      </w:r>
      <w:r>
        <w:rPr>
          <w:i/>
          <w:color w:val="231F20"/>
          <w:spacing w:val="-11"/>
          <w:sz w:val="20"/>
        </w:rPr>
        <w:t> </w:t>
      </w:r>
      <w:r>
        <w:rPr>
          <w:i/>
          <w:color w:val="231F20"/>
          <w:sz w:val="20"/>
        </w:rPr>
        <w:t>быстро</w:t>
      </w:r>
      <w:r>
        <w:rPr>
          <w:i/>
          <w:color w:val="231F20"/>
          <w:spacing w:val="-11"/>
          <w:sz w:val="20"/>
        </w:rPr>
        <w:t> </w:t>
      </w:r>
      <w:r>
        <w:rPr>
          <w:i/>
          <w:color w:val="231F20"/>
          <w:sz w:val="20"/>
        </w:rPr>
        <w:t>прилетел</w:t>
      </w:r>
      <w:r>
        <w:rPr>
          <w:i/>
          <w:color w:val="231F20"/>
          <w:spacing w:val="-11"/>
          <w:sz w:val="20"/>
        </w:rPr>
        <w:t> </w:t>
      </w:r>
      <w:r>
        <w:rPr>
          <w:i/>
          <w:color w:val="231F20"/>
          <w:sz w:val="20"/>
        </w:rPr>
        <w:t>и</w:t>
      </w:r>
      <w:r>
        <w:rPr>
          <w:i/>
          <w:color w:val="231F20"/>
          <w:spacing w:val="-11"/>
          <w:sz w:val="20"/>
        </w:rPr>
        <w:t> </w:t>
      </w:r>
      <w:r>
        <w:rPr>
          <w:i/>
          <w:color w:val="231F20"/>
          <w:sz w:val="20"/>
        </w:rPr>
        <w:t>задержал</w:t>
      </w:r>
      <w:r>
        <w:rPr>
          <w:i/>
          <w:color w:val="231F20"/>
          <w:spacing w:val="-11"/>
          <w:sz w:val="20"/>
        </w:rPr>
        <w:t> </w:t>
      </w:r>
      <w:r>
        <w:rPr>
          <w:i/>
          <w:color w:val="231F20"/>
          <w:sz w:val="20"/>
        </w:rPr>
        <w:t>фашистов.</w:t>
      </w:r>
      <w:r>
        <w:rPr>
          <w:i/>
          <w:color w:val="231F20"/>
          <w:spacing w:val="-11"/>
          <w:sz w:val="20"/>
        </w:rPr>
        <w:t> </w:t>
      </w:r>
      <w:r>
        <w:rPr>
          <w:i/>
          <w:color w:val="231F20"/>
          <w:sz w:val="20"/>
        </w:rPr>
        <w:t>Тут</w:t>
      </w:r>
      <w:r>
        <w:rPr>
          <w:i/>
          <w:color w:val="231F20"/>
          <w:spacing w:val="-11"/>
          <w:sz w:val="20"/>
        </w:rPr>
        <w:t> </w:t>
      </w:r>
      <w:r>
        <w:rPr>
          <w:i/>
          <w:color w:val="231F20"/>
          <w:sz w:val="20"/>
        </w:rPr>
        <w:t>подъехали</w:t>
      </w:r>
      <w:r>
        <w:rPr>
          <w:i/>
          <w:color w:val="231F20"/>
          <w:spacing w:val="-11"/>
          <w:sz w:val="20"/>
        </w:rPr>
        <w:t> </w:t>
      </w:r>
      <w:r>
        <w:rPr>
          <w:i/>
          <w:color w:val="231F20"/>
          <w:sz w:val="20"/>
        </w:rPr>
        <w:t>полицейские,</w:t>
      </w:r>
      <w:r>
        <w:rPr>
          <w:i/>
          <w:color w:val="231F20"/>
          <w:spacing w:val="-11"/>
          <w:sz w:val="20"/>
        </w:rPr>
        <w:t> </w:t>
      </w:r>
      <w:r>
        <w:rPr>
          <w:i/>
          <w:color w:val="231F20"/>
          <w:sz w:val="20"/>
        </w:rPr>
        <w:t>арестова- ли всех фашистов и освободили детей.</w:t>
      </w:r>
    </w:p>
    <w:p>
      <w:pPr>
        <w:spacing w:line="232" w:lineRule="auto" w:before="0"/>
        <w:ind w:left="425" w:right="232" w:firstLine="0"/>
        <w:jc w:val="both"/>
        <w:rPr>
          <w:i/>
          <w:sz w:val="20"/>
        </w:rPr>
      </w:pPr>
      <w:r>
        <w:rPr>
          <w:i/>
          <w:color w:val="231F20"/>
          <w:sz w:val="20"/>
        </w:rPr>
        <w:t>А</w:t>
      </w:r>
      <w:r>
        <w:rPr>
          <w:i/>
          <w:color w:val="231F20"/>
          <w:spacing w:val="-5"/>
          <w:sz w:val="20"/>
        </w:rPr>
        <w:t> </w:t>
      </w:r>
      <w:r>
        <w:rPr>
          <w:i/>
          <w:color w:val="231F20"/>
          <w:sz w:val="20"/>
        </w:rPr>
        <w:t>мальчику</w:t>
      </w:r>
      <w:r>
        <w:rPr>
          <w:i/>
          <w:color w:val="231F20"/>
          <w:spacing w:val="-5"/>
          <w:sz w:val="20"/>
        </w:rPr>
        <w:t> </w:t>
      </w:r>
      <w:r>
        <w:rPr>
          <w:i/>
          <w:color w:val="231F20"/>
          <w:sz w:val="20"/>
        </w:rPr>
        <w:t>дали</w:t>
      </w:r>
      <w:r>
        <w:rPr>
          <w:i/>
          <w:color w:val="231F20"/>
          <w:spacing w:val="-5"/>
          <w:sz w:val="20"/>
        </w:rPr>
        <w:t> </w:t>
      </w:r>
      <w:r>
        <w:rPr>
          <w:i/>
          <w:color w:val="231F20"/>
          <w:sz w:val="20"/>
        </w:rPr>
        <w:t>большой</w:t>
      </w:r>
      <w:r>
        <w:rPr>
          <w:i/>
          <w:color w:val="231F20"/>
          <w:spacing w:val="-5"/>
          <w:sz w:val="20"/>
        </w:rPr>
        <w:t> </w:t>
      </w:r>
      <w:r>
        <w:rPr>
          <w:i/>
          <w:color w:val="231F20"/>
          <w:sz w:val="20"/>
        </w:rPr>
        <w:t>орден.</w:t>
      </w:r>
      <w:r>
        <w:rPr>
          <w:i/>
          <w:color w:val="231F20"/>
          <w:spacing w:val="-5"/>
          <w:sz w:val="20"/>
        </w:rPr>
        <w:t> </w:t>
      </w:r>
      <w:r>
        <w:rPr>
          <w:i/>
          <w:color w:val="231F20"/>
          <w:sz w:val="20"/>
        </w:rPr>
        <w:t>Он</w:t>
      </w:r>
      <w:r>
        <w:rPr>
          <w:i/>
          <w:color w:val="231F20"/>
          <w:spacing w:val="-6"/>
          <w:sz w:val="20"/>
        </w:rPr>
        <w:t> </w:t>
      </w:r>
      <w:r>
        <w:rPr>
          <w:i/>
          <w:color w:val="231F20"/>
          <w:sz w:val="20"/>
        </w:rPr>
        <w:t>повесил</w:t>
      </w:r>
      <w:r>
        <w:rPr>
          <w:i/>
          <w:color w:val="231F20"/>
          <w:spacing w:val="-5"/>
          <w:sz w:val="20"/>
        </w:rPr>
        <w:t> </w:t>
      </w:r>
      <w:r>
        <w:rPr>
          <w:i/>
          <w:color w:val="231F20"/>
          <w:sz w:val="20"/>
        </w:rPr>
        <w:t>его</w:t>
      </w:r>
      <w:r>
        <w:rPr>
          <w:i/>
          <w:color w:val="231F20"/>
          <w:spacing w:val="-5"/>
          <w:sz w:val="20"/>
        </w:rPr>
        <w:t> </w:t>
      </w:r>
      <w:r>
        <w:rPr>
          <w:i/>
          <w:color w:val="231F20"/>
          <w:sz w:val="20"/>
        </w:rPr>
        <w:t>на</w:t>
      </w:r>
      <w:r>
        <w:rPr>
          <w:i/>
          <w:color w:val="231F20"/>
          <w:spacing w:val="-5"/>
          <w:sz w:val="20"/>
        </w:rPr>
        <w:t> </w:t>
      </w:r>
      <w:r>
        <w:rPr>
          <w:i/>
          <w:color w:val="231F20"/>
          <w:sz w:val="20"/>
        </w:rPr>
        <w:t>грудь</w:t>
      </w:r>
      <w:r>
        <w:rPr>
          <w:i/>
          <w:color w:val="231F20"/>
          <w:spacing w:val="-6"/>
          <w:sz w:val="20"/>
        </w:rPr>
        <w:t> </w:t>
      </w:r>
      <w:r>
        <w:rPr>
          <w:i/>
          <w:color w:val="231F20"/>
          <w:sz w:val="20"/>
        </w:rPr>
        <w:t>и</w:t>
      </w:r>
      <w:r>
        <w:rPr>
          <w:i/>
          <w:color w:val="231F20"/>
          <w:spacing w:val="-5"/>
          <w:sz w:val="20"/>
        </w:rPr>
        <w:t> </w:t>
      </w:r>
      <w:r>
        <w:rPr>
          <w:i/>
          <w:color w:val="231F20"/>
          <w:sz w:val="20"/>
        </w:rPr>
        <w:t>пошел</w:t>
      </w:r>
      <w:r>
        <w:rPr>
          <w:i/>
          <w:color w:val="231F20"/>
          <w:spacing w:val="-5"/>
          <w:sz w:val="20"/>
        </w:rPr>
        <w:t> </w:t>
      </w:r>
      <w:r>
        <w:rPr>
          <w:i/>
          <w:color w:val="231F20"/>
          <w:sz w:val="20"/>
        </w:rPr>
        <w:t>дальше</w:t>
      </w:r>
      <w:r>
        <w:rPr>
          <w:i/>
          <w:color w:val="231F20"/>
          <w:spacing w:val="-5"/>
          <w:sz w:val="20"/>
        </w:rPr>
        <w:t> </w:t>
      </w:r>
      <w:r>
        <w:rPr>
          <w:i/>
          <w:color w:val="231F20"/>
          <w:sz w:val="20"/>
        </w:rPr>
        <w:t>гулять. Урок: умей вовремя спрятаться и позвать на помощь.</w:t>
      </w:r>
    </w:p>
    <w:p>
      <w:pPr>
        <w:numPr>
          <w:ilvl w:val="0"/>
          <w:numId w:val="214"/>
        </w:numPr>
        <w:tabs>
          <w:tab w:pos="424" w:val="left" w:leader="none"/>
        </w:tabs>
        <w:spacing w:line="227" w:lineRule="exact" w:before="104"/>
        <w:ind w:left="424" w:right="0" w:hanging="283"/>
        <w:jc w:val="both"/>
        <w:rPr>
          <w:b/>
          <w:sz w:val="20"/>
        </w:rPr>
      </w:pPr>
      <w:r>
        <w:rPr>
          <w:b/>
          <w:color w:val="231F20"/>
          <w:sz w:val="20"/>
        </w:rPr>
        <w:t>Сдерживание</w:t>
      </w:r>
      <w:r>
        <w:rPr>
          <w:b/>
          <w:color w:val="231F20"/>
          <w:spacing w:val="-4"/>
          <w:sz w:val="20"/>
        </w:rPr>
        <w:t> </w:t>
      </w:r>
      <w:r>
        <w:rPr>
          <w:b/>
          <w:color w:val="231F20"/>
          <w:sz w:val="20"/>
        </w:rPr>
        <w:t>чувств</w:t>
      </w:r>
      <w:r>
        <w:rPr>
          <w:b/>
          <w:color w:val="231F20"/>
          <w:spacing w:val="-3"/>
          <w:sz w:val="20"/>
        </w:rPr>
        <w:t> </w:t>
      </w:r>
      <w:r>
        <w:rPr>
          <w:b/>
          <w:color w:val="231F20"/>
          <w:sz w:val="20"/>
        </w:rPr>
        <w:t>–</w:t>
      </w:r>
      <w:r>
        <w:rPr>
          <w:b/>
          <w:color w:val="231F20"/>
          <w:spacing w:val="-3"/>
          <w:sz w:val="20"/>
        </w:rPr>
        <w:t> </w:t>
      </w:r>
      <w:r>
        <w:rPr>
          <w:b/>
          <w:color w:val="231F20"/>
          <w:sz w:val="20"/>
        </w:rPr>
        <w:t>свободное</w:t>
      </w:r>
      <w:r>
        <w:rPr>
          <w:b/>
          <w:color w:val="231F20"/>
          <w:spacing w:val="-3"/>
          <w:sz w:val="20"/>
        </w:rPr>
        <w:t> </w:t>
      </w:r>
      <w:r>
        <w:rPr>
          <w:b/>
          <w:color w:val="231F20"/>
          <w:sz w:val="20"/>
        </w:rPr>
        <w:t>выражение</w:t>
      </w:r>
      <w:r>
        <w:rPr>
          <w:b/>
          <w:color w:val="231F20"/>
          <w:spacing w:val="-3"/>
          <w:sz w:val="20"/>
        </w:rPr>
        <w:t> </w:t>
      </w:r>
      <w:r>
        <w:rPr>
          <w:b/>
          <w:color w:val="231F20"/>
          <w:spacing w:val="-2"/>
          <w:sz w:val="20"/>
        </w:rPr>
        <w:t>чувств</w:t>
      </w:r>
    </w:p>
    <w:p>
      <w:pPr>
        <w:pStyle w:val="BodyText"/>
        <w:spacing w:line="232" w:lineRule="auto" w:before="3"/>
      </w:pPr>
      <w:r>
        <w:rPr>
          <w:color w:val="231F20"/>
        </w:rPr>
        <w:t>Признаки «сдерживания чувств»: герой не проявляет чувств, адекватных ситуа- ции</w:t>
      </w:r>
      <w:r>
        <w:rPr>
          <w:color w:val="231F20"/>
          <w:spacing w:val="-4"/>
        </w:rPr>
        <w:t> </w:t>
      </w:r>
      <w:r>
        <w:rPr>
          <w:color w:val="231F20"/>
        </w:rPr>
        <w:t>(чаще</w:t>
      </w:r>
      <w:r>
        <w:rPr>
          <w:color w:val="231F20"/>
          <w:spacing w:val="-4"/>
        </w:rPr>
        <w:t> </w:t>
      </w:r>
      <w:r>
        <w:rPr>
          <w:color w:val="231F20"/>
        </w:rPr>
        <w:t>всего</w:t>
      </w:r>
      <w:r>
        <w:rPr>
          <w:color w:val="231F20"/>
          <w:spacing w:val="-4"/>
        </w:rPr>
        <w:t> </w:t>
      </w:r>
      <w:r>
        <w:rPr>
          <w:color w:val="231F20"/>
        </w:rPr>
        <w:t>сдерживается</w:t>
      </w:r>
      <w:r>
        <w:rPr>
          <w:color w:val="231F20"/>
          <w:spacing w:val="-4"/>
        </w:rPr>
        <w:t> </w:t>
      </w:r>
      <w:r>
        <w:rPr>
          <w:color w:val="231F20"/>
        </w:rPr>
        <w:t>враждебность),</w:t>
      </w:r>
      <w:r>
        <w:rPr>
          <w:color w:val="231F20"/>
          <w:spacing w:val="-4"/>
        </w:rPr>
        <w:t> </w:t>
      </w:r>
      <w:r>
        <w:rPr>
          <w:color w:val="231F20"/>
        </w:rPr>
        <w:t>что</w:t>
      </w:r>
      <w:r>
        <w:rPr>
          <w:color w:val="231F20"/>
          <w:spacing w:val="-4"/>
        </w:rPr>
        <w:t> </w:t>
      </w:r>
      <w:r>
        <w:rPr>
          <w:color w:val="231F20"/>
        </w:rPr>
        <w:t>часто</w:t>
      </w:r>
      <w:r>
        <w:rPr>
          <w:color w:val="231F20"/>
          <w:spacing w:val="-4"/>
        </w:rPr>
        <w:t> </w:t>
      </w:r>
      <w:r>
        <w:rPr>
          <w:color w:val="231F20"/>
        </w:rPr>
        <w:t>выражается</w:t>
      </w:r>
      <w:r>
        <w:rPr>
          <w:color w:val="231F20"/>
          <w:spacing w:val="-4"/>
        </w:rPr>
        <w:t> </w:t>
      </w:r>
      <w:r>
        <w:rPr>
          <w:color w:val="231F20"/>
        </w:rPr>
        <w:t>уходом</w:t>
      </w:r>
      <w:r>
        <w:rPr>
          <w:color w:val="231F20"/>
          <w:spacing w:val="-4"/>
        </w:rPr>
        <w:t> </w:t>
      </w:r>
      <w:r>
        <w:rPr>
          <w:color w:val="231F20"/>
        </w:rPr>
        <w:t>из</w:t>
      </w:r>
      <w:r>
        <w:rPr>
          <w:color w:val="231F20"/>
          <w:spacing w:val="-4"/>
        </w:rPr>
        <w:t> </w:t>
      </w:r>
      <w:r>
        <w:rPr>
          <w:color w:val="231F20"/>
        </w:rPr>
        <w:t>ситу- ации (побег из дома). Другой вариант – когда герой остается наказан за проявление чувств</w:t>
      </w:r>
      <w:r>
        <w:rPr>
          <w:color w:val="231F20"/>
          <w:spacing w:val="-5"/>
        </w:rPr>
        <w:t> </w:t>
      </w:r>
      <w:r>
        <w:rPr>
          <w:color w:val="231F20"/>
        </w:rPr>
        <w:t>(например,</w:t>
      </w:r>
      <w:r>
        <w:rPr>
          <w:color w:val="231F20"/>
          <w:spacing w:val="-5"/>
        </w:rPr>
        <w:t> </w:t>
      </w:r>
      <w:r>
        <w:rPr>
          <w:color w:val="231F20"/>
        </w:rPr>
        <w:t>его</w:t>
      </w:r>
      <w:r>
        <w:rPr>
          <w:color w:val="231F20"/>
          <w:spacing w:val="-5"/>
        </w:rPr>
        <w:t> </w:t>
      </w:r>
      <w:r>
        <w:rPr>
          <w:color w:val="231F20"/>
        </w:rPr>
        <w:t>«съедают</w:t>
      </w:r>
      <w:r>
        <w:rPr>
          <w:color w:val="231F20"/>
          <w:spacing w:val="-5"/>
        </w:rPr>
        <w:t> </w:t>
      </w:r>
      <w:r>
        <w:rPr>
          <w:color w:val="231F20"/>
        </w:rPr>
        <w:t>злые</w:t>
      </w:r>
      <w:r>
        <w:rPr>
          <w:color w:val="231F20"/>
          <w:spacing w:val="-5"/>
        </w:rPr>
        <w:t> </w:t>
      </w:r>
      <w:r>
        <w:rPr>
          <w:color w:val="231F20"/>
        </w:rPr>
        <w:t>монстры»).</w:t>
      </w:r>
      <w:r>
        <w:rPr>
          <w:color w:val="231F20"/>
          <w:spacing w:val="-5"/>
        </w:rPr>
        <w:t> </w:t>
      </w:r>
      <w:r>
        <w:rPr>
          <w:color w:val="231F20"/>
        </w:rPr>
        <w:t>Часто</w:t>
      </w:r>
      <w:r>
        <w:rPr>
          <w:color w:val="231F20"/>
          <w:spacing w:val="-5"/>
        </w:rPr>
        <w:t> </w:t>
      </w:r>
      <w:r>
        <w:rPr>
          <w:color w:val="231F20"/>
        </w:rPr>
        <w:t>признаками</w:t>
      </w:r>
      <w:r>
        <w:rPr>
          <w:color w:val="231F20"/>
          <w:spacing w:val="-5"/>
        </w:rPr>
        <w:t> </w:t>
      </w:r>
      <w:r>
        <w:rPr>
          <w:color w:val="231F20"/>
        </w:rPr>
        <w:t>сдерживания</w:t>
      </w:r>
      <w:r>
        <w:rPr>
          <w:color w:val="231F20"/>
          <w:spacing w:val="-5"/>
        </w:rPr>
        <w:t> </w:t>
      </w:r>
      <w:r>
        <w:rPr>
          <w:color w:val="231F20"/>
        </w:rPr>
        <w:t>яв- ляются различные физиологические нарушения героя (неумение говорить, ходить), или желание кричать, визжать и пр., которое находится под запретом.</w:t>
      </w:r>
    </w:p>
    <w:p>
      <w:pPr>
        <w:pStyle w:val="BodyText"/>
        <w:spacing w:line="232" w:lineRule="auto" w:before="6"/>
      </w:pPr>
      <w:r>
        <w:rPr>
          <w:color w:val="231F20"/>
        </w:rPr>
        <w:t>Признаки</w:t>
      </w:r>
      <w:r>
        <w:rPr>
          <w:color w:val="231F20"/>
          <w:spacing w:val="-6"/>
        </w:rPr>
        <w:t> </w:t>
      </w:r>
      <w:r>
        <w:rPr>
          <w:color w:val="231F20"/>
        </w:rPr>
        <w:t>«свободного</w:t>
      </w:r>
      <w:r>
        <w:rPr>
          <w:color w:val="231F20"/>
          <w:spacing w:val="-6"/>
        </w:rPr>
        <w:t> </w:t>
      </w:r>
      <w:r>
        <w:rPr>
          <w:color w:val="231F20"/>
        </w:rPr>
        <w:t>выражения</w:t>
      </w:r>
      <w:r>
        <w:rPr>
          <w:color w:val="231F20"/>
          <w:spacing w:val="-6"/>
        </w:rPr>
        <w:t> </w:t>
      </w:r>
      <w:r>
        <w:rPr>
          <w:color w:val="231F20"/>
        </w:rPr>
        <w:t>чувств»:</w:t>
      </w:r>
      <w:r>
        <w:rPr>
          <w:color w:val="231F20"/>
          <w:spacing w:val="-6"/>
        </w:rPr>
        <w:t> </w:t>
      </w:r>
      <w:r>
        <w:rPr>
          <w:color w:val="231F20"/>
        </w:rPr>
        <w:t>возможность</w:t>
      </w:r>
      <w:r>
        <w:rPr>
          <w:color w:val="231F20"/>
          <w:spacing w:val="-6"/>
        </w:rPr>
        <w:t> </w:t>
      </w:r>
      <w:r>
        <w:rPr>
          <w:color w:val="231F20"/>
        </w:rPr>
        <w:t>признаться</w:t>
      </w:r>
      <w:r>
        <w:rPr>
          <w:color w:val="231F20"/>
          <w:spacing w:val="-6"/>
        </w:rPr>
        <w:t> </w:t>
      </w:r>
      <w:r>
        <w:rPr>
          <w:color w:val="231F20"/>
        </w:rPr>
        <w:t>самому</w:t>
      </w:r>
      <w:r>
        <w:rPr>
          <w:color w:val="231F20"/>
          <w:spacing w:val="-6"/>
        </w:rPr>
        <w:t> </w:t>
      </w:r>
      <w:r>
        <w:rPr>
          <w:color w:val="231F20"/>
        </w:rPr>
        <w:t>себе в</w:t>
      </w:r>
      <w:r>
        <w:rPr>
          <w:color w:val="231F20"/>
          <w:spacing w:val="-1"/>
        </w:rPr>
        <w:t> </w:t>
      </w:r>
      <w:r>
        <w:rPr>
          <w:color w:val="231F20"/>
        </w:rPr>
        <w:t>существовании</w:t>
      </w:r>
      <w:r>
        <w:rPr>
          <w:color w:val="231F20"/>
          <w:spacing w:val="-1"/>
        </w:rPr>
        <w:t> </w:t>
      </w:r>
      <w:r>
        <w:rPr>
          <w:color w:val="231F20"/>
        </w:rPr>
        <w:t>негативных</w:t>
      </w:r>
      <w:r>
        <w:rPr>
          <w:color w:val="231F20"/>
          <w:spacing w:val="-1"/>
        </w:rPr>
        <w:t> </w:t>
      </w:r>
      <w:r>
        <w:rPr>
          <w:color w:val="231F20"/>
        </w:rPr>
        <w:t>чувств</w:t>
      </w:r>
      <w:r>
        <w:rPr>
          <w:color w:val="231F20"/>
          <w:spacing w:val="-1"/>
        </w:rPr>
        <w:t> </w:t>
      </w:r>
      <w:r>
        <w:rPr>
          <w:color w:val="231F20"/>
        </w:rPr>
        <w:t>по</w:t>
      </w:r>
      <w:r>
        <w:rPr>
          <w:color w:val="231F20"/>
          <w:spacing w:val="-1"/>
        </w:rPr>
        <w:t> </w:t>
      </w:r>
      <w:r>
        <w:rPr>
          <w:color w:val="231F20"/>
        </w:rPr>
        <w:t>отношению</w:t>
      </w:r>
      <w:r>
        <w:rPr>
          <w:color w:val="231F20"/>
          <w:spacing w:val="-1"/>
        </w:rPr>
        <w:t> </w:t>
      </w:r>
      <w:r>
        <w:rPr>
          <w:color w:val="231F20"/>
        </w:rPr>
        <w:t>к</w:t>
      </w:r>
      <w:r>
        <w:rPr>
          <w:color w:val="231F20"/>
          <w:spacing w:val="-1"/>
        </w:rPr>
        <w:t> </w:t>
      </w:r>
      <w:r>
        <w:rPr>
          <w:color w:val="231F20"/>
        </w:rPr>
        <w:t>значимым</w:t>
      </w:r>
      <w:r>
        <w:rPr>
          <w:color w:val="231F20"/>
          <w:spacing w:val="-1"/>
        </w:rPr>
        <w:t> </w:t>
      </w:r>
      <w:r>
        <w:rPr>
          <w:color w:val="231F20"/>
        </w:rPr>
        <w:t>объектам</w:t>
      </w:r>
      <w:r>
        <w:rPr>
          <w:color w:val="231F20"/>
          <w:spacing w:val="-1"/>
        </w:rPr>
        <w:t> </w:t>
      </w:r>
      <w:r>
        <w:rPr>
          <w:color w:val="231F20"/>
        </w:rPr>
        <w:t>(в</w:t>
      </w:r>
      <w:r>
        <w:rPr>
          <w:color w:val="231F20"/>
          <w:spacing w:val="-1"/>
        </w:rPr>
        <w:t> </w:t>
      </w:r>
      <w:r>
        <w:rPr>
          <w:color w:val="231F20"/>
        </w:rPr>
        <w:t>первую очередь, взрослым); принципиальное знание о возможности «высказать» накоплен- ное при соотнесении с характером реальной ситуации.</w:t>
      </w:r>
    </w:p>
    <w:p>
      <w:pPr>
        <w:pStyle w:val="BodyText"/>
        <w:spacing w:line="232" w:lineRule="auto" w:before="3"/>
      </w:pPr>
      <w:r>
        <w:rPr>
          <w:color w:val="231F20"/>
        </w:rPr>
        <w:t>Главная задача психолога – донести до ребенка необходимость диалога со сво- ими чувствами, их принятия и возможности выражения, адекватном реальности. Следует подчеркнуть, что, работая с мигрантами из культур, где распространен ав- торитарный стиль воспитания, крайне важно не провоцировать ребенка на открытое выражение всех негативных чувств, так как это может привести к дестабилизации семейной обстановки.</w:t>
      </w:r>
    </w:p>
    <w:p>
      <w:pPr>
        <w:pStyle w:val="BodyText"/>
        <w:spacing w:line="232" w:lineRule="auto" w:before="6"/>
      </w:pPr>
      <w:r>
        <w:rPr>
          <w:color w:val="231F20"/>
        </w:rPr>
        <w:t>Эту историю рассказал на первой сессии двенадцатилетний мальчик из Афгани- стана,</w:t>
      </w:r>
      <w:r>
        <w:rPr>
          <w:color w:val="231F20"/>
          <w:spacing w:val="-6"/>
        </w:rPr>
        <w:t> </w:t>
      </w:r>
      <w:r>
        <w:rPr>
          <w:color w:val="231F20"/>
        </w:rPr>
        <w:t>у</w:t>
      </w:r>
      <w:r>
        <w:rPr>
          <w:color w:val="231F20"/>
          <w:spacing w:val="-6"/>
        </w:rPr>
        <w:t> </w:t>
      </w:r>
      <w:r>
        <w:rPr>
          <w:color w:val="231F20"/>
        </w:rPr>
        <w:t>которого</w:t>
      </w:r>
      <w:r>
        <w:rPr>
          <w:color w:val="231F20"/>
          <w:spacing w:val="-6"/>
        </w:rPr>
        <w:t> </w:t>
      </w:r>
      <w:r>
        <w:rPr>
          <w:color w:val="231F20"/>
        </w:rPr>
        <w:t>мать,</w:t>
      </w:r>
      <w:r>
        <w:rPr>
          <w:color w:val="231F20"/>
          <w:spacing w:val="-6"/>
        </w:rPr>
        <w:t> </w:t>
      </w:r>
      <w:r>
        <w:rPr>
          <w:color w:val="231F20"/>
        </w:rPr>
        <w:t>женщина</w:t>
      </w:r>
      <w:r>
        <w:rPr>
          <w:color w:val="231F20"/>
          <w:spacing w:val="-6"/>
        </w:rPr>
        <w:t> </w:t>
      </w:r>
      <w:r>
        <w:rPr>
          <w:color w:val="231F20"/>
        </w:rPr>
        <w:t>с</w:t>
      </w:r>
      <w:r>
        <w:rPr>
          <w:color w:val="231F20"/>
          <w:spacing w:val="-6"/>
        </w:rPr>
        <w:t> </w:t>
      </w:r>
      <w:r>
        <w:rPr>
          <w:color w:val="231F20"/>
        </w:rPr>
        <w:t>серьезными</w:t>
      </w:r>
      <w:r>
        <w:rPr>
          <w:color w:val="231F20"/>
          <w:spacing w:val="-6"/>
        </w:rPr>
        <w:t> </w:t>
      </w:r>
      <w:r>
        <w:rPr>
          <w:color w:val="231F20"/>
        </w:rPr>
        <w:t>нарушениями</w:t>
      </w:r>
      <w:r>
        <w:rPr>
          <w:color w:val="231F20"/>
          <w:spacing w:val="-6"/>
        </w:rPr>
        <w:t> </w:t>
      </w:r>
      <w:r>
        <w:rPr>
          <w:color w:val="231F20"/>
        </w:rPr>
        <w:t>психики,</w:t>
      </w:r>
      <w:r>
        <w:rPr>
          <w:color w:val="231F20"/>
          <w:spacing w:val="-6"/>
        </w:rPr>
        <w:t> </w:t>
      </w:r>
      <w:r>
        <w:rPr>
          <w:color w:val="231F20"/>
        </w:rPr>
        <w:t>регулярно</w:t>
      </w:r>
      <w:r>
        <w:rPr>
          <w:color w:val="231F20"/>
          <w:spacing w:val="-6"/>
        </w:rPr>
        <w:t> </w:t>
      </w:r>
      <w:r>
        <w:rPr>
          <w:color w:val="231F20"/>
        </w:rPr>
        <w:t>де- монстрировала неадекватное поведение и немотивированно жестоко обращалась с детьми при попустительстве отца.</w:t>
      </w:r>
    </w:p>
    <w:p>
      <w:pPr>
        <w:spacing w:line="232" w:lineRule="auto" w:before="117"/>
        <w:ind w:left="141" w:right="139" w:firstLine="283"/>
        <w:jc w:val="both"/>
        <w:rPr>
          <w:i/>
          <w:sz w:val="20"/>
        </w:rPr>
      </w:pPr>
      <w:r>
        <w:rPr>
          <w:i/>
          <w:color w:val="231F20"/>
          <w:sz w:val="20"/>
        </w:rPr>
        <w:t>Жила-была</w:t>
      </w:r>
      <w:r>
        <w:rPr>
          <w:i/>
          <w:color w:val="231F20"/>
          <w:spacing w:val="-9"/>
          <w:sz w:val="20"/>
        </w:rPr>
        <w:t> </w:t>
      </w:r>
      <w:r>
        <w:rPr>
          <w:i/>
          <w:color w:val="231F20"/>
          <w:sz w:val="20"/>
        </w:rPr>
        <w:t>в</w:t>
      </w:r>
      <w:r>
        <w:rPr>
          <w:i/>
          <w:color w:val="231F20"/>
          <w:spacing w:val="-9"/>
          <w:sz w:val="20"/>
        </w:rPr>
        <w:t> </w:t>
      </w:r>
      <w:r>
        <w:rPr>
          <w:i/>
          <w:color w:val="231F20"/>
          <w:sz w:val="20"/>
        </w:rPr>
        <w:t>Москве</w:t>
      </w:r>
      <w:r>
        <w:rPr>
          <w:i/>
          <w:color w:val="231F20"/>
          <w:spacing w:val="-9"/>
          <w:sz w:val="20"/>
        </w:rPr>
        <w:t> </w:t>
      </w:r>
      <w:r>
        <w:rPr>
          <w:i/>
          <w:color w:val="231F20"/>
          <w:sz w:val="20"/>
        </w:rPr>
        <w:t>одна</w:t>
      </w:r>
      <w:r>
        <w:rPr>
          <w:i/>
          <w:color w:val="231F20"/>
          <w:spacing w:val="-9"/>
          <w:sz w:val="20"/>
        </w:rPr>
        <w:t> </w:t>
      </w:r>
      <w:r>
        <w:rPr>
          <w:i/>
          <w:color w:val="231F20"/>
          <w:sz w:val="20"/>
        </w:rPr>
        <w:t>семья.</w:t>
      </w:r>
      <w:r>
        <w:rPr>
          <w:i/>
          <w:color w:val="231F20"/>
          <w:spacing w:val="-9"/>
          <w:sz w:val="20"/>
        </w:rPr>
        <w:t> </w:t>
      </w:r>
      <w:r>
        <w:rPr>
          <w:i/>
          <w:color w:val="231F20"/>
          <w:sz w:val="20"/>
        </w:rPr>
        <w:t>Жила</w:t>
      </w:r>
      <w:r>
        <w:rPr>
          <w:i/>
          <w:color w:val="231F20"/>
          <w:spacing w:val="-9"/>
          <w:sz w:val="20"/>
        </w:rPr>
        <w:t> </w:t>
      </w:r>
      <w:r>
        <w:rPr>
          <w:i/>
          <w:color w:val="231F20"/>
          <w:sz w:val="20"/>
        </w:rPr>
        <w:t>она</w:t>
      </w:r>
      <w:r>
        <w:rPr>
          <w:i/>
          <w:color w:val="231F20"/>
          <w:spacing w:val="-9"/>
          <w:sz w:val="20"/>
        </w:rPr>
        <w:t> </w:t>
      </w:r>
      <w:r>
        <w:rPr>
          <w:i/>
          <w:color w:val="231F20"/>
          <w:sz w:val="20"/>
        </w:rPr>
        <w:t>на</w:t>
      </w:r>
      <w:r>
        <w:rPr>
          <w:i/>
          <w:color w:val="231F20"/>
          <w:spacing w:val="-9"/>
          <w:sz w:val="20"/>
        </w:rPr>
        <w:t> </w:t>
      </w:r>
      <w:r>
        <w:rPr>
          <w:i/>
          <w:color w:val="231F20"/>
          <w:sz w:val="20"/>
        </w:rPr>
        <w:t>станции</w:t>
      </w:r>
      <w:r>
        <w:rPr>
          <w:i/>
          <w:color w:val="231F20"/>
          <w:spacing w:val="-9"/>
          <w:sz w:val="20"/>
        </w:rPr>
        <w:t> </w:t>
      </w:r>
      <w:r>
        <w:rPr>
          <w:i/>
          <w:color w:val="231F20"/>
          <w:sz w:val="20"/>
        </w:rPr>
        <w:t>метро</w:t>
      </w:r>
      <w:r>
        <w:rPr>
          <w:i/>
          <w:color w:val="231F20"/>
          <w:spacing w:val="-9"/>
          <w:sz w:val="20"/>
        </w:rPr>
        <w:t> </w:t>
      </w:r>
      <w:r>
        <w:rPr>
          <w:i/>
          <w:color w:val="231F20"/>
          <w:sz w:val="20"/>
        </w:rPr>
        <w:t>Южная.</w:t>
      </w:r>
      <w:r>
        <w:rPr>
          <w:i/>
          <w:color w:val="231F20"/>
          <w:spacing w:val="-9"/>
          <w:sz w:val="20"/>
        </w:rPr>
        <w:t> </w:t>
      </w:r>
      <w:r>
        <w:rPr>
          <w:i/>
          <w:color w:val="231F20"/>
          <w:sz w:val="20"/>
        </w:rPr>
        <w:t>В</w:t>
      </w:r>
      <w:r>
        <w:rPr>
          <w:i/>
          <w:color w:val="231F20"/>
          <w:spacing w:val="-9"/>
          <w:sz w:val="20"/>
        </w:rPr>
        <w:t> </w:t>
      </w:r>
      <w:r>
        <w:rPr>
          <w:i/>
          <w:color w:val="231F20"/>
          <w:sz w:val="20"/>
        </w:rPr>
        <w:t>этой</w:t>
      </w:r>
      <w:r>
        <w:rPr>
          <w:i/>
          <w:color w:val="231F20"/>
          <w:spacing w:val="-9"/>
          <w:sz w:val="20"/>
        </w:rPr>
        <w:t> </w:t>
      </w:r>
      <w:r>
        <w:rPr>
          <w:i/>
          <w:color w:val="231F20"/>
          <w:sz w:val="20"/>
        </w:rPr>
        <w:t>се- мье</w:t>
      </w:r>
      <w:r>
        <w:rPr>
          <w:i/>
          <w:color w:val="231F20"/>
          <w:spacing w:val="-9"/>
          <w:sz w:val="20"/>
        </w:rPr>
        <w:t> </w:t>
      </w:r>
      <w:r>
        <w:rPr>
          <w:i/>
          <w:color w:val="231F20"/>
          <w:sz w:val="20"/>
        </w:rPr>
        <w:t>были</w:t>
      </w:r>
      <w:r>
        <w:rPr>
          <w:i/>
          <w:color w:val="231F20"/>
          <w:spacing w:val="-9"/>
          <w:sz w:val="20"/>
        </w:rPr>
        <w:t> </w:t>
      </w:r>
      <w:r>
        <w:rPr>
          <w:i/>
          <w:color w:val="231F20"/>
          <w:sz w:val="20"/>
        </w:rPr>
        <w:t>мама,</w:t>
      </w:r>
      <w:r>
        <w:rPr>
          <w:i/>
          <w:color w:val="231F20"/>
          <w:spacing w:val="-9"/>
          <w:sz w:val="20"/>
        </w:rPr>
        <w:t> </w:t>
      </w:r>
      <w:r>
        <w:rPr>
          <w:i/>
          <w:color w:val="231F20"/>
          <w:sz w:val="20"/>
        </w:rPr>
        <w:t>папа,</w:t>
      </w:r>
      <w:r>
        <w:rPr>
          <w:i/>
          <w:color w:val="231F20"/>
          <w:spacing w:val="-9"/>
          <w:sz w:val="20"/>
        </w:rPr>
        <w:t> </w:t>
      </w:r>
      <w:r>
        <w:rPr>
          <w:i/>
          <w:color w:val="231F20"/>
          <w:sz w:val="20"/>
        </w:rPr>
        <w:t>Омача</w:t>
      </w:r>
      <w:r>
        <w:rPr>
          <w:i/>
          <w:color w:val="231F20"/>
          <w:spacing w:val="-9"/>
          <w:sz w:val="20"/>
        </w:rPr>
        <w:t> </w:t>
      </w:r>
      <w:r>
        <w:rPr>
          <w:i/>
          <w:color w:val="231F20"/>
          <w:sz w:val="20"/>
        </w:rPr>
        <w:t>и</w:t>
      </w:r>
      <w:r>
        <w:rPr>
          <w:i/>
          <w:color w:val="231F20"/>
          <w:spacing w:val="-9"/>
          <w:sz w:val="20"/>
        </w:rPr>
        <w:t> </w:t>
      </w:r>
      <w:r>
        <w:rPr>
          <w:i/>
          <w:color w:val="231F20"/>
          <w:sz w:val="20"/>
        </w:rPr>
        <w:t>его</w:t>
      </w:r>
      <w:r>
        <w:rPr>
          <w:i/>
          <w:color w:val="231F20"/>
          <w:spacing w:val="-9"/>
          <w:sz w:val="20"/>
        </w:rPr>
        <w:t> </w:t>
      </w:r>
      <w:r>
        <w:rPr>
          <w:i/>
          <w:color w:val="231F20"/>
          <w:sz w:val="20"/>
        </w:rPr>
        <w:t>брат,</w:t>
      </w:r>
      <w:r>
        <w:rPr>
          <w:i/>
          <w:color w:val="231F20"/>
          <w:spacing w:val="-9"/>
          <w:sz w:val="20"/>
        </w:rPr>
        <w:t> </w:t>
      </w:r>
      <w:r>
        <w:rPr>
          <w:i/>
          <w:color w:val="231F20"/>
          <w:sz w:val="20"/>
        </w:rPr>
        <w:t>Джелани.</w:t>
      </w:r>
      <w:r>
        <w:rPr>
          <w:i/>
          <w:color w:val="231F20"/>
          <w:spacing w:val="-9"/>
          <w:sz w:val="20"/>
        </w:rPr>
        <w:t> </w:t>
      </w:r>
      <w:r>
        <w:rPr>
          <w:i/>
          <w:color w:val="231F20"/>
          <w:sz w:val="20"/>
        </w:rPr>
        <w:t>Омача</w:t>
      </w:r>
      <w:r>
        <w:rPr>
          <w:i/>
          <w:color w:val="231F20"/>
          <w:spacing w:val="-9"/>
          <w:sz w:val="20"/>
        </w:rPr>
        <w:t> </w:t>
      </w:r>
      <w:r>
        <w:rPr>
          <w:i/>
          <w:color w:val="231F20"/>
          <w:sz w:val="20"/>
        </w:rPr>
        <w:t>и</w:t>
      </w:r>
      <w:r>
        <w:rPr>
          <w:i/>
          <w:color w:val="231F20"/>
          <w:spacing w:val="-9"/>
          <w:sz w:val="20"/>
        </w:rPr>
        <w:t> </w:t>
      </w:r>
      <w:r>
        <w:rPr>
          <w:i/>
          <w:color w:val="231F20"/>
          <w:sz w:val="20"/>
        </w:rPr>
        <w:t>Джелани</w:t>
      </w:r>
      <w:r>
        <w:rPr>
          <w:i/>
          <w:color w:val="231F20"/>
          <w:spacing w:val="-9"/>
          <w:sz w:val="20"/>
        </w:rPr>
        <w:t> </w:t>
      </w:r>
      <w:r>
        <w:rPr>
          <w:i/>
          <w:color w:val="231F20"/>
          <w:sz w:val="20"/>
        </w:rPr>
        <w:t>ходили</w:t>
      </w:r>
      <w:r>
        <w:rPr>
          <w:i/>
          <w:color w:val="231F20"/>
          <w:spacing w:val="-9"/>
          <w:sz w:val="20"/>
        </w:rPr>
        <w:t> </w:t>
      </w:r>
      <w:r>
        <w:rPr>
          <w:i/>
          <w:color w:val="231F20"/>
          <w:sz w:val="20"/>
        </w:rPr>
        <w:t>в</w:t>
      </w:r>
      <w:r>
        <w:rPr>
          <w:i/>
          <w:color w:val="231F20"/>
          <w:spacing w:val="-9"/>
          <w:sz w:val="20"/>
        </w:rPr>
        <w:t> </w:t>
      </w:r>
      <w:r>
        <w:rPr>
          <w:i/>
          <w:color w:val="231F20"/>
          <w:sz w:val="20"/>
        </w:rPr>
        <w:t>школу, Джелани был старше, Омача младше. И вот как-то раз в этой семье мама начала бить Омачу, а старший брат защищал Омачу. Омаче было грустно. Ему хотелось, что бы мама больше не била его. Он злился на маму. Его мама позвонила его папе, а папа</w:t>
      </w:r>
      <w:r>
        <w:rPr>
          <w:i/>
          <w:color w:val="231F20"/>
          <w:spacing w:val="-11"/>
          <w:sz w:val="20"/>
        </w:rPr>
        <w:t> </w:t>
      </w:r>
      <w:r>
        <w:rPr>
          <w:i/>
          <w:color w:val="231F20"/>
          <w:sz w:val="20"/>
        </w:rPr>
        <w:t>вызвал</w:t>
      </w:r>
      <w:r>
        <w:rPr>
          <w:i/>
          <w:color w:val="231F20"/>
          <w:spacing w:val="-11"/>
          <w:sz w:val="20"/>
        </w:rPr>
        <w:t> </w:t>
      </w:r>
      <w:r>
        <w:rPr>
          <w:i/>
          <w:color w:val="231F20"/>
          <w:sz w:val="20"/>
        </w:rPr>
        <w:t>к</w:t>
      </w:r>
      <w:r>
        <w:rPr>
          <w:i/>
          <w:color w:val="231F20"/>
          <w:spacing w:val="-11"/>
          <w:sz w:val="20"/>
        </w:rPr>
        <w:t> </w:t>
      </w:r>
      <w:r>
        <w:rPr>
          <w:i/>
          <w:color w:val="231F20"/>
          <w:sz w:val="20"/>
        </w:rPr>
        <w:t>себе</w:t>
      </w:r>
      <w:r>
        <w:rPr>
          <w:i/>
          <w:color w:val="231F20"/>
          <w:spacing w:val="-11"/>
          <w:sz w:val="20"/>
        </w:rPr>
        <w:t> </w:t>
      </w:r>
      <w:r>
        <w:rPr>
          <w:i/>
          <w:color w:val="231F20"/>
          <w:sz w:val="20"/>
        </w:rPr>
        <w:t>в</w:t>
      </w:r>
      <w:r>
        <w:rPr>
          <w:i/>
          <w:color w:val="231F20"/>
          <w:spacing w:val="-11"/>
          <w:sz w:val="20"/>
        </w:rPr>
        <w:t> </w:t>
      </w:r>
      <w:r>
        <w:rPr>
          <w:i/>
          <w:color w:val="231F20"/>
          <w:sz w:val="20"/>
        </w:rPr>
        <w:t>магазин</w:t>
      </w:r>
      <w:r>
        <w:rPr>
          <w:i/>
          <w:color w:val="231F20"/>
          <w:spacing w:val="-11"/>
          <w:sz w:val="20"/>
        </w:rPr>
        <w:t> </w:t>
      </w:r>
      <w:r>
        <w:rPr>
          <w:i/>
          <w:color w:val="231F20"/>
          <w:sz w:val="20"/>
        </w:rPr>
        <w:t>Джелани.</w:t>
      </w:r>
      <w:r>
        <w:rPr>
          <w:i/>
          <w:color w:val="231F20"/>
          <w:spacing w:val="-11"/>
          <w:sz w:val="20"/>
        </w:rPr>
        <w:t> </w:t>
      </w:r>
      <w:r>
        <w:rPr>
          <w:i/>
          <w:color w:val="231F20"/>
          <w:sz w:val="20"/>
        </w:rPr>
        <w:t>Омача</w:t>
      </w:r>
      <w:r>
        <w:rPr>
          <w:i/>
          <w:color w:val="231F20"/>
          <w:spacing w:val="-11"/>
          <w:sz w:val="20"/>
        </w:rPr>
        <w:t> </w:t>
      </w:r>
      <w:r>
        <w:rPr>
          <w:i/>
          <w:color w:val="231F20"/>
          <w:sz w:val="20"/>
        </w:rPr>
        <w:t>в</w:t>
      </w:r>
      <w:r>
        <w:rPr>
          <w:i/>
          <w:color w:val="231F20"/>
          <w:spacing w:val="-11"/>
          <w:sz w:val="20"/>
        </w:rPr>
        <w:t> </w:t>
      </w:r>
      <w:r>
        <w:rPr>
          <w:i/>
          <w:color w:val="231F20"/>
          <w:sz w:val="20"/>
        </w:rPr>
        <w:t>этот</w:t>
      </w:r>
      <w:r>
        <w:rPr>
          <w:i/>
          <w:color w:val="231F20"/>
          <w:spacing w:val="-11"/>
          <w:sz w:val="20"/>
        </w:rPr>
        <w:t> </w:t>
      </w:r>
      <w:r>
        <w:rPr>
          <w:i/>
          <w:color w:val="231F20"/>
          <w:sz w:val="20"/>
        </w:rPr>
        <w:t>момент</w:t>
      </w:r>
      <w:r>
        <w:rPr>
          <w:i/>
          <w:color w:val="231F20"/>
          <w:spacing w:val="-11"/>
          <w:sz w:val="20"/>
        </w:rPr>
        <w:t> </w:t>
      </w:r>
      <w:r>
        <w:rPr>
          <w:i/>
          <w:color w:val="231F20"/>
          <w:sz w:val="20"/>
        </w:rPr>
        <w:t>плакал,</w:t>
      </w:r>
      <w:r>
        <w:rPr>
          <w:i/>
          <w:color w:val="231F20"/>
          <w:spacing w:val="-11"/>
          <w:sz w:val="20"/>
        </w:rPr>
        <w:t> </w:t>
      </w:r>
      <w:r>
        <w:rPr>
          <w:i/>
          <w:color w:val="231F20"/>
          <w:sz w:val="20"/>
        </w:rPr>
        <w:t>ему</w:t>
      </w:r>
      <w:r>
        <w:rPr>
          <w:i/>
          <w:color w:val="231F20"/>
          <w:spacing w:val="-11"/>
          <w:sz w:val="20"/>
        </w:rPr>
        <w:t> </w:t>
      </w:r>
      <w:r>
        <w:rPr>
          <w:i/>
          <w:color w:val="231F20"/>
          <w:sz w:val="20"/>
        </w:rPr>
        <w:t>было</w:t>
      </w:r>
      <w:r>
        <w:rPr>
          <w:i/>
          <w:color w:val="231F20"/>
          <w:spacing w:val="-11"/>
          <w:sz w:val="20"/>
        </w:rPr>
        <w:t> </w:t>
      </w:r>
      <w:r>
        <w:rPr>
          <w:i/>
          <w:color w:val="231F20"/>
          <w:sz w:val="20"/>
        </w:rPr>
        <w:t>очень грустно.</w:t>
      </w:r>
      <w:r>
        <w:rPr>
          <w:i/>
          <w:color w:val="231F20"/>
          <w:spacing w:val="-4"/>
          <w:sz w:val="20"/>
        </w:rPr>
        <w:t> </w:t>
      </w:r>
      <w:r>
        <w:rPr>
          <w:i/>
          <w:color w:val="231F20"/>
          <w:sz w:val="20"/>
        </w:rPr>
        <w:t>Он</w:t>
      </w:r>
      <w:r>
        <w:rPr>
          <w:i/>
          <w:color w:val="231F20"/>
          <w:spacing w:val="-4"/>
          <w:sz w:val="20"/>
        </w:rPr>
        <w:t> </w:t>
      </w:r>
      <w:r>
        <w:rPr>
          <w:i/>
          <w:color w:val="231F20"/>
          <w:sz w:val="20"/>
        </w:rPr>
        <w:t>сидел</w:t>
      </w:r>
      <w:r>
        <w:rPr>
          <w:i/>
          <w:color w:val="231F20"/>
          <w:spacing w:val="-4"/>
          <w:sz w:val="20"/>
        </w:rPr>
        <w:t> </w:t>
      </w:r>
      <w:r>
        <w:rPr>
          <w:i/>
          <w:color w:val="231F20"/>
          <w:sz w:val="20"/>
        </w:rPr>
        <w:t>дома,</w:t>
      </w:r>
      <w:r>
        <w:rPr>
          <w:i/>
          <w:color w:val="231F20"/>
          <w:spacing w:val="-4"/>
          <w:sz w:val="20"/>
        </w:rPr>
        <w:t> </w:t>
      </w:r>
      <w:r>
        <w:rPr>
          <w:i/>
          <w:color w:val="231F20"/>
          <w:sz w:val="20"/>
        </w:rPr>
        <w:t>в</w:t>
      </w:r>
      <w:r>
        <w:rPr>
          <w:i/>
          <w:color w:val="231F20"/>
          <w:spacing w:val="-4"/>
          <w:sz w:val="20"/>
        </w:rPr>
        <w:t> </w:t>
      </w:r>
      <w:r>
        <w:rPr>
          <w:i/>
          <w:color w:val="231F20"/>
          <w:sz w:val="20"/>
        </w:rPr>
        <w:t>комнате.</w:t>
      </w:r>
      <w:r>
        <w:rPr>
          <w:i/>
          <w:color w:val="231F20"/>
          <w:spacing w:val="-4"/>
          <w:sz w:val="20"/>
        </w:rPr>
        <w:t> </w:t>
      </w:r>
      <w:r>
        <w:rPr>
          <w:i/>
          <w:color w:val="231F20"/>
          <w:sz w:val="20"/>
        </w:rPr>
        <w:t>В</w:t>
      </w:r>
      <w:r>
        <w:rPr>
          <w:i/>
          <w:color w:val="231F20"/>
          <w:spacing w:val="-4"/>
          <w:sz w:val="20"/>
        </w:rPr>
        <w:t> </w:t>
      </w:r>
      <w:r>
        <w:rPr>
          <w:i/>
          <w:color w:val="231F20"/>
          <w:sz w:val="20"/>
        </w:rPr>
        <w:t>комнате</w:t>
      </w:r>
      <w:r>
        <w:rPr>
          <w:i/>
          <w:color w:val="231F20"/>
          <w:spacing w:val="-4"/>
          <w:sz w:val="20"/>
        </w:rPr>
        <w:t> </w:t>
      </w:r>
      <w:r>
        <w:rPr>
          <w:i/>
          <w:color w:val="231F20"/>
          <w:sz w:val="20"/>
        </w:rPr>
        <w:t>был</w:t>
      </w:r>
      <w:r>
        <w:rPr>
          <w:i/>
          <w:color w:val="231F20"/>
          <w:spacing w:val="-4"/>
          <w:sz w:val="20"/>
        </w:rPr>
        <w:t> </w:t>
      </w:r>
      <w:r>
        <w:rPr>
          <w:i/>
          <w:color w:val="231F20"/>
          <w:sz w:val="20"/>
        </w:rPr>
        <w:t>чёрный</w:t>
      </w:r>
      <w:r>
        <w:rPr>
          <w:i/>
          <w:color w:val="231F20"/>
          <w:spacing w:val="-4"/>
          <w:sz w:val="20"/>
        </w:rPr>
        <w:t> </w:t>
      </w:r>
      <w:r>
        <w:rPr>
          <w:i/>
          <w:color w:val="231F20"/>
          <w:sz w:val="20"/>
        </w:rPr>
        <w:t>телевизор,</w:t>
      </w:r>
      <w:r>
        <w:rPr>
          <w:i/>
          <w:color w:val="231F20"/>
          <w:spacing w:val="-4"/>
          <w:sz w:val="20"/>
        </w:rPr>
        <w:t> </w:t>
      </w:r>
      <w:r>
        <w:rPr>
          <w:i/>
          <w:color w:val="231F20"/>
          <w:sz w:val="20"/>
        </w:rPr>
        <w:t>чёрное</w:t>
      </w:r>
      <w:r>
        <w:rPr>
          <w:i/>
          <w:color w:val="231F20"/>
          <w:spacing w:val="-4"/>
          <w:sz w:val="20"/>
        </w:rPr>
        <w:t> </w:t>
      </w:r>
      <w:r>
        <w:rPr>
          <w:i/>
          <w:color w:val="231F20"/>
          <w:sz w:val="20"/>
        </w:rPr>
        <w:t>видео, кассета, диван с белой поверхностью и телефон. Омача хотел позвонить папе, но мама не разрешала. Мама отключила телефон, и он не мог позвонить папе. Омаче было</w:t>
      </w:r>
      <w:r>
        <w:rPr>
          <w:i/>
          <w:color w:val="231F20"/>
          <w:spacing w:val="-10"/>
          <w:sz w:val="20"/>
        </w:rPr>
        <w:t> </w:t>
      </w:r>
      <w:r>
        <w:rPr>
          <w:i/>
          <w:color w:val="231F20"/>
          <w:sz w:val="20"/>
        </w:rPr>
        <w:t>грустно</w:t>
      </w:r>
      <w:r>
        <w:rPr>
          <w:i/>
          <w:color w:val="231F20"/>
          <w:spacing w:val="-10"/>
          <w:sz w:val="20"/>
        </w:rPr>
        <w:t> </w:t>
      </w:r>
      <w:r>
        <w:rPr>
          <w:i/>
          <w:color w:val="231F20"/>
          <w:sz w:val="20"/>
        </w:rPr>
        <w:t>и</w:t>
      </w:r>
      <w:r>
        <w:rPr>
          <w:i/>
          <w:color w:val="231F20"/>
          <w:spacing w:val="-10"/>
          <w:sz w:val="20"/>
        </w:rPr>
        <w:t> </w:t>
      </w:r>
      <w:r>
        <w:rPr>
          <w:i/>
          <w:color w:val="231F20"/>
          <w:sz w:val="20"/>
        </w:rPr>
        <w:t>обидно.</w:t>
      </w:r>
      <w:r>
        <w:rPr>
          <w:i/>
          <w:color w:val="231F20"/>
          <w:spacing w:val="-10"/>
          <w:sz w:val="20"/>
        </w:rPr>
        <w:t> </w:t>
      </w:r>
      <w:r>
        <w:rPr>
          <w:i/>
          <w:color w:val="231F20"/>
          <w:sz w:val="20"/>
        </w:rPr>
        <w:t>Было</w:t>
      </w:r>
      <w:r>
        <w:rPr>
          <w:i/>
          <w:color w:val="231F20"/>
          <w:spacing w:val="-10"/>
          <w:sz w:val="20"/>
        </w:rPr>
        <w:t> </w:t>
      </w:r>
      <w:r>
        <w:rPr>
          <w:i/>
          <w:color w:val="231F20"/>
          <w:sz w:val="20"/>
        </w:rPr>
        <w:t>страшно.</w:t>
      </w:r>
      <w:r>
        <w:rPr>
          <w:i/>
          <w:color w:val="231F20"/>
          <w:spacing w:val="-10"/>
          <w:sz w:val="20"/>
        </w:rPr>
        <w:t> </w:t>
      </w:r>
      <w:r>
        <w:rPr>
          <w:i/>
          <w:color w:val="231F20"/>
          <w:sz w:val="20"/>
        </w:rPr>
        <w:t>Омача</w:t>
      </w:r>
      <w:r>
        <w:rPr>
          <w:i/>
          <w:color w:val="231F20"/>
          <w:spacing w:val="-10"/>
          <w:sz w:val="20"/>
        </w:rPr>
        <w:t> </w:t>
      </w:r>
      <w:r>
        <w:rPr>
          <w:i/>
          <w:color w:val="231F20"/>
          <w:sz w:val="20"/>
        </w:rPr>
        <w:t>сидел</w:t>
      </w:r>
      <w:r>
        <w:rPr>
          <w:i/>
          <w:color w:val="231F20"/>
          <w:spacing w:val="-10"/>
          <w:sz w:val="20"/>
        </w:rPr>
        <w:t> </w:t>
      </w:r>
      <w:r>
        <w:rPr>
          <w:i/>
          <w:color w:val="231F20"/>
          <w:sz w:val="20"/>
        </w:rPr>
        <w:t>и</w:t>
      </w:r>
      <w:r>
        <w:rPr>
          <w:i/>
          <w:color w:val="231F20"/>
          <w:spacing w:val="-10"/>
          <w:sz w:val="20"/>
        </w:rPr>
        <w:t> </w:t>
      </w:r>
      <w:r>
        <w:rPr>
          <w:i/>
          <w:color w:val="231F20"/>
          <w:sz w:val="20"/>
        </w:rPr>
        <w:t>плакал.</w:t>
      </w:r>
      <w:r>
        <w:rPr>
          <w:i/>
          <w:color w:val="231F20"/>
          <w:spacing w:val="-10"/>
          <w:sz w:val="20"/>
        </w:rPr>
        <w:t> </w:t>
      </w:r>
      <w:r>
        <w:rPr>
          <w:i/>
          <w:color w:val="231F20"/>
          <w:sz w:val="20"/>
        </w:rPr>
        <w:t>Он</w:t>
      </w:r>
      <w:r>
        <w:rPr>
          <w:i/>
          <w:color w:val="231F20"/>
          <w:spacing w:val="-10"/>
          <w:sz w:val="20"/>
        </w:rPr>
        <w:t> </w:t>
      </w:r>
      <w:r>
        <w:rPr>
          <w:i/>
          <w:color w:val="231F20"/>
          <w:sz w:val="20"/>
        </w:rPr>
        <w:t>слышал,</w:t>
      </w:r>
      <w:r>
        <w:rPr>
          <w:i/>
          <w:color w:val="231F20"/>
          <w:spacing w:val="-10"/>
          <w:sz w:val="20"/>
        </w:rPr>
        <w:t> </w:t>
      </w:r>
      <w:r>
        <w:rPr>
          <w:i/>
          <w:color w:val="231F20"/>
          <w:sz w:val="20"/>
        </w:rPr>
        <w:t>как</w:t>
      </w:r>
      <w:r>
        <w:rPr>
          <w:i/>
          <w:color w:val="231F20"/>
          <w:spacing w:val="-10"/>
          <w:sz w:val="20"/>
        </w:rPr>
        <w:t> </w:t>
      </w:r>
      <w:r>
        <w:rPr>
          <w:i/>
          <w:color w:val="231F20"/>
          <w:sz w:val="20"/>
        </w:rPr>
        <w:t>его</w:t>
      </w:r>
      <w:r>
        <w:rPr>
          <w:i/>
          <w:color w:val="231F20"/>
          <w:spacing w:val="-10"/>
          <w:sz w:val="20"/>
        </w:rPr>
        <w:t> </w:t>
      </w:r>
      <w:r>
        <w:rPr>
          <w:i/>
          <w:color w:val="231F20"/>
          <w:sz w:val="20"/>
        </w:rPr>
        <w:t>об- зывала</w:t>
      </w:r>
      <w:r>
        <w:rPr>
          <w:i/>
          <w:color w:val="231F20"/>
          <w:spacing w:val="-5"/>
          <w:sz w:val="20"/>
        </w:rPr>
        <w:t> </w:t>
      </w:r>
      <w:r>
        <w:rPr>
          <w:i/>
          <w:color w:val="231F20"/>
          <w:sz w:val="20"/>
        </w:rPr>
        <w:t>мама.</w:t>
      </w:r>
      <w:r>
        <w:rPr>
          <w:i/>
          <w:color w:val="231F20"/>
          <w:spacing w:val="-3"/>
          <w:sz w:val="20"/>
        </w:rPr>
        <w:t> </w:t>
      </w:r>
      <w:r>
        <w:rPr>
          <w:i/>
          <w:color w:val="231F20"/>
          <w:sz w:val="20"/>
        </w:rPr>
        <w:t>Обзывала</w:t>
      </w:r>
      <w:r>
        <w:rPr>
          <w:i/>
          <w:color w:val="231F20"/>
          <w:spacing w:val="-3"/>
          <w:sz w:val="20"/>
        </w:rPr>
        <w:t> </w:t>
      </w:r>
      <w:r>
        <w:rPr>
          <w:i/>
          <w:color w:val="231F20"/>
          <w:sz w:val="20"/>
        </w:rPr>
        <w:t>плохими</w:t>
      </w:r>
      <w:r>
        <w:rPr>
          <w:i/>
          <w:color w:val="231F20"/>
          <w:spacing w:val="-2"/>
          <w:sz w:val="20"/>
        </w:rPr>
        <w:t> </w:t>
      </w:r>
      <w:r>
        <w:rPr>
          <w:i/>
          <w:color w:val="231F20"/>
          <w:sz w:val="20"/>
        </w:rPr>
        <w:t>словами.</w:t>
      </w:r>
      <w:r>
        <w:rPr>
          <w:i/>
          <w:color w:val="231F20"/>
          <w:spacing w:val="-3"/>
          <w:sz w:val="20"/>
        </w:rPr>
        <w:t> </w:t>
      </w:r>
      <w:r>
        <w:rPr>
          <w:i/>
          <w:color w:val="231F20"/>
          <w:sz w:val="20"/>
        </w:rPr>
        <w:t>Я</w:t>
      </w:r>
      <w:r>
        <w:rPr>
          <w:i/>
          <w:color w:val="231F20"/>
          <w:spacing w:val="-3"/>
          <w:sz w:val="20"/>
        </w:rPr>
        <w:t> </w:t>
      </w:r>
      <w:r>
        <w:rPr>
          <w:i/>
          <w:color w:val="231F20"/>
          <w:sz w:val="20"/>
        </w:rPr>
        <w:t>не</w:t>
      </w:r>
      <w:r>
        <w:rPr>
          <w:i/>
          <w:color w:val="231F20"/>
          <w:spacing w:val="-2"/>
          <w:sz w:val="20"/>
        </w:rPr>
        <w:t> </w:t>
      </w:r>
      <w:r>
        <w:rPr>
          <w:i/>
          <w:color w:val="231F20"/>
          <w:sz w:val="20"/>
        </w:rPr>
        <w:t>беру</w:t>
      </w:r>
      <w:r>
        <w:rPr>
          <w:i/>
          <w:color w:val="231F20"/>
          <w:spacing w:val="-3"/>
          <w:sz w:val="20"/>
        </w:rPr>
        <w:t> </w:t>
      </w:r>
      <w:r>
        <w:rPr>
          <w:i/>
          <w:color w:val="231F20"/>
          <w:sz w:val="20"/>
        </w:rPr>
        <w:t>их</w:t>
      </w:r>
      <w:r>
        <w:rPr>
          <w:i/>
          <w:color w:val="231F20"/>
          <w:spacing w:val="-3"/>
          <w:sz w:val="20"/>
        </w:rPr>
        <w:t> </w:t>
      </w:r>
      <w:r>
        <w:rPr>
          <w:i/>
          <w:color w:val="231F20"/>
          <w:sz w:val="20"/>
        </w:rPr>
        <w:t>в</w:t>
      </w:r>
      <w:r>
        <w:rPr>
          <w:i/>
          <w:color w:val="231F20"/>
          <w:spacing w:val="-3"/>
          <w:sz w:val="20"/>
        </w:rPr>
        <w:t> </w:t>
      </w:r>
      <w:r>
        <w:rPr>
          <w:i/>
          <w:color w:val="231F20"/>
          <w:sz w:val="20"/>
        </w:rPr>
        <w:t>голову,</w:t>
      </w:r>
      <w:r>
        <w:rPr>
          <w:i/>
          <w:color w:val="231F20"/>
          <w:spacing w:val="-2"/>
          <w:sz w:val="20"/>
        </w:rPr>
        <w:t> </w:t>
      </w:r>
      <w:r>
        <w:rPr>
          <w:i/>
          <w:color w:val="231F20"/>
          <w:sz w:val="20"/>
        </w:rPr>
        <w:t>так</w:t>
      </w:r>
      <w:r>
        <w:rPr>
          <w:i/>
          <w:color w:val="231F20"/>
          <w:spacing w:val="-3"/>
          <w:sz w:val="20"/>
        </w:rPr>
        <w:t> </w:t>
      </w:r>
      <w:r>
        <w:rPr>
          <w:i/>
          <w:color w:val="231F20"/>
          <w:sz w:val="20"/>
        </w:rPr>
        <w:t>мне</w:t>
      </w:r>
      <w:r>
        <w:rPr>
          <w:i/>
          <w:color w:val="231F20"/>
          <w:spacing w:val="-3"/>
          <w:sz w:val="20"/>
        </w:rPr>
        <w:t> </w:t>
      </w:r>
      <w:r>
        <w:rPr>
          <w:i/>
          <w:color w:val="231F20"/>
          <w:sz w:val="20"/>
        </w:rPr>
        <w:t>папа</w:t>
      </w:r>
      <w:r>
        <w:rPr>
          <w:i/>
          <w:color w:val="231F20"/>
          <w:spacing w:val="-2"/>
          <w:sz w:val="20"/>
        </w:rPr>
        <w:t> сказал.</w:t>
      </w:r>
    </w:p>
    <w:p>
      <w:pPr>
        <w:spacing w:after="0" w:line="232" w:lineRule="auto"/>
        <w:jc w:val="both"/>
        <w:rPr>
          <w:i/>
          <w:sz w:val="20"/>
        </w:rPr>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spacing w:line="235" w:lineRule="auto" w:before="116"/>
        <w:ind w:left="141" w:right="139" w:firstLine="0"/>
        <w:jc w:val="both"/>
        <w:rPr>
          <w:i/>
          <w:sz w:val="20"/>
        </w:rPr>
      </w:pPr>
      <w:r>
        <w:rPr>
          <w:i/>
          <w:color w:val="231F20"/>
          <w:sz w:val="20"/>
        </w:rPr>
        <w:t>Когда</w:t>
      </w:r>
      <w:r>
        <w:rPr>
          <w:i/>
          <w:color w:val="231F20"/>
          <w:spacing w:val="-7"/>
          <w:sz w:val="20"/>
        </w:rPr>
        <w:t> </w:t>
      </w:r>
      <w:r>
        <w:rPr>
          <w:i/>
          <w:color w:val="231F20"/>
          <w:sz w:val="20"/>
        </w:rPr>
        <w:t>папа</w:t>
      </w:r>
      <w:r>
        <w:rPr>
          <w:i/>
          <w:color w:val="231F20"/>
          <w:spacing w:val="-7"/>
          <w:sz w:val="20"/>
        </w:rPr>
        <w:t> </w:t>
      </w:r>
      <w:r>
        <w:rPr>
          <w:i/>
          <w:color w:val="231F20"/>
          <w:sz w:val="20"/>
        </w:rPr>
        <w:t>приходит,</w:t>
      </w:r>
      <w:r>
        <w:rPr>
          <w:i/>
          <w:color w:val="231F20"/>
          <w:spacing w:val="-7"/>
          <w:sz w:val="20"/>
        </w:rPr>
        <w:t> </w:t>
      </w:r>
      <w:r>
        <w:rPr>
          <w:i/>
          <w:color w:val="231F20"/>
          <w:sz w:val="20"/>
        </w:rPr>
        <w:t>не</w:t>
      </w:r>
      <w:r>
        <w:rPr>
          <w:i/>
          <w:color w:val="231F20"/>
          <w:spacing w:val="-7"/>
          <w:sz w:val="20"/>
        </w:rPr>
        <w:t> </w:t>
      </w:r>
      <w:r>
        <w:rPr>
          <w:i/>
          <w:color w:val="231F20"/>
          <w:sz w:val="20"/>
        </w:rPr>
        <w:t>обзывает</w:t>
      </w:r>
      <w:r>
        <w:rPr>
          <w:i/>
          <w:color w:val="231F20"/>
          <w:spacing w:val="-7"/>
          <w:sz w:val="20"/>
        </w:rPr>
        <w:t> </w:t>
      </w:r>
      <w:r>
        <w:rPr>
          <w:i/>
          <w:color w:val="231F20"/>
          <w:sz w:val="20"/>
        </w:rPr>
        <w:t>и</w:t>
      </w:r>
      <w:r>
        <w:rPr>
          <w:i/>
          <w:color w:val="231F20"/>
          <w:spacing w:val="-7"/>
          <w:sz w:val="20"/>
        </w:rPr>
        <w:t> </w:t>
      </w:r>
      <w:r>
        <w:rPr>
          <w:i/>
          <w:color w:val="231F20"/>
          <w:sz w:val="20"/>
        </w:rPr>
        <w:t>не</w:t>
      </w:r>
      <w:r>
        <w:rPr>
          <w:i/>
          <w:color w:val="231F20"/>
          <w:spacing w:val="-7"/>
          <w:sz w:val="20"/>
        </w:rPr>
        <w:t> </w:t>
      </w:r>
      <w:r>
        <w:rPr>
          <w:i/>
          <w:color w:val="231F20"/>
          <w:sz w:val="20"/>
        </w:rPr>
        <w:t>бьет,</w:t>
      </w:r>
      <w:r>
        <w:rPr>
          <w:i/>
          <w:color w:val="231F20"/>
          <w:spacing w:val="-7"/>
          <w:sz w:val="20"/>
        </w:rPr>
        <w:t> </w:t>
      </w:r>
      <w:r>
        <w:rPr>
          <w:i/>
          <w:color w:val="231F20"/>
          <w:sz w:val="20"/>
        </w:rPr>
        <w:t>а</w:t>
      </w:r>
      <w:r>
        <w:rPr>
          <w:i/>
          <w:color w:val="231F20"/>
          <w:spacing w:val="-7"/>
          <w:sz w:val="20"/>
        </w:rPr>
        <w:t> </w:t>
      </w:r>
      <w:r>
        <w:rPr>
          <w:i/>
          <w:color w:val="231F20"/>
          <w:sz w:val="20"/>
        </w:rPr>
        <w:t>когда</w:t>
      </w:r>
      <w:r>
        <w:rPr>
          <w:i/>
          <w:color w:val="231F20"/>
          <w:spacing w:val="-7"/>
          <w:sz w:val="20"/>
        </w:rPr>
        <w:t> </w:t>
      </w:r>
      <w:r>
        <w:rPr>
          <w:i/>
          <w:color w:val="231F20"/>
          <w:sz w:val="20"/>
        </w:rPr>
        <w:t>уходит,</w:t>
      </w:r>
      <w:r>
        <w:rPr>
          <w:i/>
          <w:color w:val="231F20"/>
          <w:spacing w:val="-7"/>
          <w:sz w:val="20"/>
        </w:rPr>
        <w:t> </w:t>
      </w:r>
      <w:r>
        <w:rPr>
          <w:i/>
          <w:color w:val="231F20"/>
          <w:sz w:val="20"/>
        </w:rPr>
        <w:t>снова</w:t>
      </w:r>
      <w:r>
        <w:rPr>
          <w:i/>
          <w:color w:val="231F20"/>
          <w:spacing w:val="-7"/>
          <w:sz w:val="20"/>
        </w:rPr>
        <w:t> </w:t>
      </w:r>
      <w:r>
        <w:rPr>
          <w:i/>
          <w:color w:val="231F20"/>
          <w:sz w:val="20"/>
        </w:rPr>
        <w:t>начинает.</w:t>
      </w:r>
      <w:r>
        <w:rPr>
          <w:i/>
          <w:color w:val="231F20"/>
          <w:spacing w:val="-7"/>
          <w:sz w:val="20"/>
        </w:rPr>
        <w:t> </w:t>
      </w:r>
      <w:r>
        <w:rPr>
          <w:i/>
          <w:color w:val="231F20"/>
          <w:sz w:val="20"/>
        </w:rPr>
        <w:t>Каж- дый день так. Омача слышал шум машин, птиц. Окна были открыты. Было лето. Было</w:t>
      </w:r>
      <w:r>
        <w:rPr>
          <w:i/>
          <w:color w:val="231F20"/>
          <w:spacing w:val="-8"/>
          <w:sz w:val="20"/>
        </w:rPr>
        <w:t> </w:t>
      </w:r>
      <w:r>
        <w:rPr>
          <w:i/>
          <w:color w:val="231F20"/>
          <w:sz w:val="20"/>
        </w:rPr>
        <w:t>холодно.</w:t>
      </w:r>
      <w:r>
        <w:rPr>
          <w:i/>
          <w:color w:val="231F20"/>
          <w:spacing w:val="-8"/>
          <w:sz w:val="20"/>
        </w:rPr>
        <w:t> </w:t>
      </w:r>
      <w:r>
        <w:rPr>
          <w:i/>
          <w:color w:val="231F20"/>
          <w:sz w:val="20"/>
        </w:rPr>
        <w:t>Потом</w:t>
      </w:r>
      <w:r>
        <w:rPr>
          <w:i/>
          <w:color w:val="231F20"/>
          <w:spacing w:val="-8"/>
          <w:sz w:val="20"/>
        </w:rPr>
        <w:t> </w:t>
      </w:r>
      <w:r>
        <w:rPr>
          <w:i/>
          <w:color w:val="231F20"/>
          <w:sz w:val="20"/>
        </w:rPr>
        <w:t>Омача</w:t>
      </w:r>
      <w:r>
        <w:rPr>
          <w:i/>
          <w:color w:val="231F20"/>
          <w:spacing w:val="-8"/>
          <w:sz w:val="20"/>
        </w:rPr>
        <w:t> </w:t>
      </w:r>
      <w:r>
        <w:rPr>
          <w:i/>
          <w:color w:val="231F20"/>
          <w:sz w:val="20"/>
        </w:rPr>
        <w:t>прекратил</w:t>
      </w:r>
      <w:r>
        <w:rPr>
          <w:i/>
          <w:color w:val="231F20"/>
          <w:spacing w:val="-8"/>
          <w:sz w:val="20"/>
        </w:rPr>
        <w:t> </w:t>
      </w:r>
      <w:r>
        <w:rPr>
          <w:i/>
          <w:color w:val="231F20"/>
          <w:sz w:val="20"/>
        </w:rPr>
        <w:t>грустить.</w:t>
      </w:r>
      <w:r>
        <w:rPr>
          <w:i/>
          <w:color w:val="231F20"/>
          <w:spacing w:val="-8"/>
          <w:sz w:val="20"/>
        </w:rPr>
        <w:t> </w:t>
      </w:r>
      <w:r>
        <w:rPr>
          <w:i/>
          <w:color w:val="231F20"/>
          <w:sz w:val="20"/>
        </w:rPr>
        <w:t>Он</w:t>
      </w:r>
      <w:r>
        <w:rPr>
          <w:i/>
          <w:color w:val="231F20"/>
          <w:spacing w:val="-8"/>
          <w:sz w:val="20"/>
        </w:rPr>
        <w:t> </w:t>
      </w:r>
      <w:r>
        <w:rPr>
          <w:i/>
          <w:color w:val="231F20"/>
          <w:sz w:val="20"/>
        </w:rPr>
        <w:t>думал,</w:t>
      </w:r>
      <w:r>
        <w:rPr>
          <w:i/>
          <w:color w:val="231F20"/>
          <w:spacing w:val="-8"/>
          <w:sz w:val="20"/>
        </w:rPr>
        <w:t> </w:t>
      </w:r>
      <w:r>
        <w:rPr>
          <w:i/>
          <w:color w:val="231F20"/>
          <w:sz w:val="20"/>
        </w:rPr>
        <w:t>что</w:t>
      </w:r>
      <w:r>
        <w:rPr>
          <w:i/>
          <w:color w:val="231F20"/>
          <w:spacing w:val="-8"/>
          <w:sz w:val="20"/>
        </w:rPr>
        <w:t> </w:t>
      </w:r>
      <w:r>
        <w:rPr>
          <w:i/>
          <w:color w:val="231F20"/>
          <w:sz w:val="20"/>
        </w:rPr>
        <w:t>мама</w:t>
      </w:r>
      <w:r>
        <w:rPr>
          <w:i/>
          <w:color w:val="231F20"/>
          <w:spacing w:val="-8"/>
          <w:sz w:val="20"/>
        </w:rPr>
        <w:t> </w:t>
      </w:r>
      <w:r>
        <w:rPr>
          <w:i/>
          <w:color w:val="231F20"/>
          <w:sz w:val="20"/>
        </w:rPr>
        <w:t>поправится, а потом тихо смотрел телевизор.</w:t>
      </w:r>
    </w:p>
    <w:p>
      <w:pPr>
        <w:spacing w:line="229" w:lineRule="exact" w:before="0"/>
        <w:ind w:left="425" w:right="0" w:firstLine="0"/>
        <w:jc w:val="both"/>
        <w:rPr>
          <w:i/>
          <w:sz w:val="20"/>
        </w:rPr>
      </w:pPr>
      <w:r>
        <w:rPr>
          <w:i/>
          <w:color w:val="231F20"/>
          <w:sz w:val="20"/>
        </w:rPr>
        <w:t>Урок.</w:t>
      </w:r>
      <w:r>
        <w:rPr>
          <w:i/>
          <w:color w:val="231F20"/>
          <w:spacing w:val="-5"/>
          <w:sz w:val="20"/>
        </w:rPr>
        <w:t> </w:t>
      </w:r>
      <w:r>
        <w:rPr>
          <w:i/>
          <w:color w:val="231F20"/>
          <w:sz w:val="20"/>
        </w:rPr>
        <w:t>Не</w:t>
      </w:r>
      <w:r>
        <w:rPr>
          <w:i/>
          <w:color w:val="231F20"/>
          <w:spacing w:val="-4"/>
          <w:sz w:val="20"/>
        </w:rPr>
        <w:t> </w:t>
      </w:r>
      <w:r>
        <w:rPr>
          <w:i/>
          <w:color w:val="231F20"/>
          <w:spacing w:val="-2"/>
          <w:sz w:val="20"/>
        </w:rPr>
        <w:t>знаю.</w:t>
      </w:r>
    </w:p>
    <w:p>
      <w:pPr>
        <w:pStyle w:val="BodyText"/>
        <w:spacing w:line="232" w:lineRule="auto" w:before="115"/>
      </w:pPr>
      <w:r>
        <w:rPr>
          <w:color w:val="231F20"/>
        </w:rPr>
        <w:t>Из текста видно, что переживания практически не подвергаются символизации:</w:t>
      </w:r>
      <w:r>
        <w:rPr>
          <w:color w:val="231F20"/>
          <w:spacing w:val="40"/>
        </w:rPr>
        <w:t> </w:t>
      </w:r>
      <w:r>
        <w:rPr>
          <w:color w:val="231F20"/>
        </w:rPr>
        <w:t>в «выдуманной» истории мальчик открыто говорит о себе. В процессе рассказа и дополнительных расспросов стало заметно, что наиболее яркой эмоцией является грусть, а негативные эмоции по отношению к матери сдерживаются. Вероятно, при- чиной</w:t>
      </w:r>
      <w:r>
        <w:rPr>
          <w:color w:val="231F20"/>
          <w:spacing w:val="-13"/>
        </w:rPr>
        <w:t> </w:t>
      </w:r>
      <w:r>
        <w:rPr>
          <w:color w:val="231F20"/>
        </w:rPr>
        <w:t>этого</w:t>
      </w:r>
      <w:r>
        <w:rPr>
          <w:color w:val="231F20"/>
          <w:spacing w:val="-12"/>
        </w:rPr>
        <w:t> </w:t>
      </w:r>
      <w:r>
        <w:rPr>
          <w:color w:val="231F20"/>
        </w:rPr>
        <w:t>являлись</w:t>
      </w:r>
      <w:r>
        <w:rPr>
          <w:color w:val="231F20"/>
          <w:spacing w:val="-13"/>
        </w:rPr>
        <w:t> </w:t>
      </w:r>
      <w:r>
        <w:rPr>
          <w:color w:val="231F20"/>
        </w:rPr>
        <w:t>как</w:t>
      </w:r>
      <w:r>
        <w:rPr>
          <w:color w:val="231F20"/>
          <w:spacing w:val="-12"/>
        </w:rPr>
        <w:t> </w:t>
      </w:r>
      <w:r>
        <w:rPr>
          <w:color w:val="231F20"/>
        </w:rPr>
        <w:t>культурные</w:t>
      </w:r>
      <w:r>
        <w:rPr>
          <w:color w:val="231F20"/>
          <w:spacing w:val="-13"/>
        </w:rPr>
        <w:t> </w:t>
      </w:r>
      <w:r>
        <w:rPr>
          <w:color w:val="231F20"/>
        </w:rPr>
        <w:t>особенности</w:t>
      </w:r>
      <w:r>
        <w:rPr>
          <w:color w:val="231F20"/>
          <w:spacing w:val="-12"/>
        </w:rPr>
        <w:t> </w:t>
      </w:r>
      <w:r>
        <w:rPr>
          <w:color w:val="231F20"/>
        </w:rPr>
        <w:t>афганцев,</w:t>
      </w:r>
      <w:r>
        <w:rPr>
          <w:color w:val="231F20"/>
          <w:spacing w:val="-13"/>
        </w:rPr>
        <w:t> </w:t>
      </w:r>
      <w:r>
        <w:rPr>
          <w:color w:val="231F20"/>
        </w:rPr>
        <w:t>не</w:t>
      </w:r>
      <w:r>
        <w:rPr>
          <w:color w:val="231F20"/>
          <w:spacing w:val="-12"/>
        </w:rPr>
        <w:t> </w:t>
      </w:r>
      <w:r>
        <w:rPr>
          <w:color w:val="231F20"/>
        </w:rPr>
        <w:t>позволяющие</w:t>
      </w:r>
      <w:r>
        <w:rPr>
          <w:color w:val="231F20"/>
          <w:spacing w:val="-13"/>
        </w:rPr>
        <w:t> </w:t>
      </w:r>
      <w:r>
        <w:rPr>
          <w:color w:val="231F20"/>
        </w:rPr>
        <w:t>отрыто выражать</w:t>
      </w:r>
      <w:r>
        <w:rPr>
          <w:color w:val="231F20"/>
          <w:spacing w:val="-8"/>
        </w:rPr>
        <w:t> </w:t>
      </w:r>
      <w:r>
        <w:rPr>
          <w:color w:val="231F20"/>
        </w:rPr>
        <w:t>негативные</w:t>
      </w:r>
      <w:r>
        <w:rPr>
          <w:color w:val="231F20"/>
          <w:spacing w:val="-8"/>
        </w:rPr>
        <w:t> </w:t>
      </w:r>
      <w:r>
        <w:rPr>
          <w:color w:val="231F20"/>
        </w:rPr>
        <w:t>чувства</w:t>
      </w:r>
      <w:r>
        <w:rPr>
          <w:color w:val="231F20"/>
          <w:spacing w:val="-8"/>
        </w:rPr>
        <w:t> </w:t>
      </w:r>
      <w:r>
        <w:rPr>
          <w:color w:val="231F20"/>
        </w:rPr>
        <w:t>к</w:t>
      </w:r>
      <w:r>
        <w:rPr>
          <w:color w:val="231F20"/>
          <w:spacing w:val="-8"/>
        </w:rPr>
        <w:t> </w:t>
      </w:r>
      <w:r>
        <w:rPr>
          <w:color w:val="231F20"/>
        </w:rPr>
        <w:t>родителям,</w:t>
      </w:r>
      <w:r>
        <w:rPr>
          <w:color w:val="231F20"/>
          <w:spacing w:val="-8"/>
        </w:rPr>
        <w:t> </w:t>
      </w:r>
      <w:r>
        <w:rPr>
          <w:color w:val="231F20"/>
        </w:rPr>
        <w:t>так</w:t>
      </w:r>
      <w:r>
        <w:rPr>
          <w:color w:val="231F20"/>
          <w:spacing w:val="-8"/>
        </w:rPr>
        <w:t> </w:t>
      </w:r>
      <w:r>
        <w:rPr>
          <w:color w:val="231F20"/>
        </w:rPr>
        <w:t>и</w:t>
      </w:r>
      <w:r>
        <w:rPr>
          <w:color w:val="231F20"/>
          <w:spacing w:val="-8"/>
        </w:rPr>
        <w:t> </w:t>
      </w:r>
      <w:r>
        <w:rPr>
          <w:color w:val="231F20"/>
        </w:rPr>
        <w:t>стремление</w:t>
      </w:r>
      <w:r>
        <w:rPr>
          <w:color w:val="231F20"/>
          <w:spacing w:val="-8"/>
        </w:rPr>
        <w:t> </w:t>
      </w:r>
      <w:r>
        <w:rPr>
          <w:color w:val="231F20"/>
        </w:rPr>
        <w:t>отца</w:t>
      </w:r>
      <w:r>
        <w:rPr>
          <w:color w:val="231F20"/>
          <w:spacing w:val="-8"/>
        </w:rPr>
        <w:t> </w:t>
      </w:r>
      <w:r>
        <w:rPr>
          <w:color w:val="231F20"/>
        </w:rPr>
        <w:t>«не</w:t>
      </w:r>
      <w:r>
        <w:rPr>
          <w:color w:val="231F20"/>
          <w:spacing w:val="-8"/>
        </w:rPr>
        <w:t> </w:t>
      </w:r>
      <w:r>
        <w:rPr>
          <w:color w:val="231F20"/>
        </w:rPr>
        <w:t>придавать</w:t>
      </w:r>
      <w:r>
        <w:rPr>
          <w:color w:val="231F20"/>
          <w:spacing w:val="-8"/>
        </w:rPr>
        <w:t> </w:t>
      </w:r>
      <w:r>
        <w:rPr>
          <w:color w:val="231F20"/>
        </w:rPr>
        <w:t>зна- чения» сложившейся ситуации.</w:t>
      </w:r>
    </w:p>
    <w:p>
      <w:pPr>
        <w:pStyle w:val="BodyText"/>
        <w:spacing w:line="232" w:lineRule="auto" w:before="4"/>
      </w:pPr>
      <w:r>
        <w:rPr>
          <w:color w:val="231F20"/>
        </w:rPr>
        <w:t>Поэтому мы рассказали историю, в начале которой актуализируются пережива- ния, связанные с описываемой ситуацией, затем демонстрируется неосознаваемый выбор, сделанный в данном случае ребенком («не злиться»), а в конце показывается возможность альтернативного разрешения: осознавать свою злость и уметь ее кон- структивно отреагировать.</w:t>
      </w:r>
    </w:p>
    <w:p>
      <w:pPr>
        <w:spacing w:line="232" w:lineRule="auto" w:before="108"/>
        <w:ind w:left="141" w:right="139" w:firstLine="283"/>
        <w:jc w:val="both"/>
        <w:rPr>
          <w:i/>
          <w:sz w:val="20"/>
        </w:rPr>
      </w:pPr>
      <w:r>
        <w:rPr>
          <w:i/>
          <w:color w:val="231F20"/>
          <w:sz w:val="20"/>
        </w:rPr>
        <w:t>Жил</w:t>
      </w:r>
      <w:r>
        <w:rPr>
          <w:i/>
          <w:color w:val="231F20"/>
          <w:spacing w:val="-9"/>
          <w:sz w:val="20"/>
        </w:rPr>
        <w:t> </w:t>
      </w:r>
      <w:r>
        <w:rPr>
          <w:i/>
          <w:color w:val="231F20"/>
          <w:sz w:val="20"/>
        </w:rPr>
        <w:t>да</w:t>
      </w:r>
      <w:r>
        <w:rPr>
          <w:i/>
          <w:color w:val="231F20"/>
          <w:spacing w:val="-9"/>
          <w:sz w:val="20"/>
        </w:rPr>
        <w:t> </w:t>
      </w:r>
      <w:r>
        <w:rPr>
          <w:i/>
          <w:color w:val="231F20"/>
          <w:sz w:val="20"/>
        </w:rPr>
        <w:t>был</w:t>
      </w:r>
      <w:r>
        <w:rPr>
          <w:i/>
          <w:color w:val="231F20"/>
          <w:spacing w:val="-9"/>
          <w:sz w:val="20"/>
        </w:rPr>
        <w:t> </w:t>
      </w:r>
      <w:r>
        <w:rPr>
          <w:i/>
          <w:color w:val="231F20"/>
          <w:sz w:val="20"/>
        </w:rPr>
        <w:t>мальчик</w:t>
      </w:r>
      <w:r>
        <w:rPr>
          <w:i/>
          <w:color w:val="231F20"/>
          <w:spacing w:val="-9"/>
          <w:sz w:val="20"/>
        </w:rPr>
        <w:t> </w:t>
      </w:r>
      <w:r>
        <w:rPr>
          <w:i/>
          <w:color w:val="231F20"/>
          <w:sz w:val="20"/>
        </w:rPr>
        <w:t>в</w:t>
      </w:r>
      <w:r>
        <w:rPr>
          <w:i/>
          <w:color w:val="231F20"/>
          <w:spacing w:val="-9"/>
          <w:sz w:val="20"/>
        </w:rPr>
        <w:t> </w:t>
      </w:r>
      <w:r>
        <w:rPr>
          <w:i/>
          <w:color w:val="231F20"/>
          <w:sz w:val="20"/>
        </w:rPr>
        <w:t>Москве</w:t>
      </w:r>
      <w:r>
        <w:rPr>
          <w:i/>
          <w:color w:val="231F20"/>
          <w:spacing w:val="-9"/>
          <w:sz w:val="20"/>
        </w:rPr>
        <w:t> </w:t>
      </w:r>
      <w:r>
        <w:rPr>
          <w:i/>
          <w:color w:val="231F20"/>
          <w:sz w:val="20"/>
        </w:rPr>
        <w:t>на</w:t>
      </w:r>
      <w:r>
        <w:rPr>
          <w:i/>
          <w:color w:val="231F20"/>
          <w:spacing w:val="-9"/>
          <w:sz w:val="20"/>
        </w:rPr>
        <w:t> </w:t>
      </w:r>
      <w:r>
        <w:rPr>
          <w:i/>
          <w:color w:val="231F20"/>
          <w:sz w:val="20"/>
        </w:rPr>
        <w:t>станции</w:t>
      </w:r>
      <w:r>
        <w:rPr>
          <w:i/>
          <w:color w:val="231F20"/>
          <w:spacing w:val="-9"/>
          <w:sz w:val="20"/>
        </w:rPr>
        <w:t> </w:t>
      </w:r>
      <w:r>
        <w:rPr>
          <w:i/>
          <w:color w:val="231F20"/>
          <w:sz w:val="20"/>
        </w:rPr>
        <w:t>метро</w:t>
      </w:r>
      <w:r>
        <w:rPr>
          <w:i/>
          <w:color w:val="231F20"/>
          <w:spacing w:val="-9"/>
          <w:sz w:val="20"/>
        </w:rPr>
        <w:t> </w:t>
      </w:r>
      <w:r>
        <w:rPr>
          <w:i/>
          <w:color w:val="231F20"/>
          <w:sz w:val="20"/>
        </w:rPr>
        <w:t>Южная,</w:t>
      </w:r>
      <w:r>
        <w:rPr>
          <w:i/>
          <w:color w:val="231F20"/>
          <w:spacing w:val="-9"/>
          <w:sz w:val="20"/>
        </w:rPr>
        <w:t> </w:t>
      </w:r>
      <w:r>
        <w:rPr>
          <w:i/>
          <w:color w:val="231F20"/>
          <w:sz w:val="20"/>
        </w:rPr>
        <w:t>у</w:t>
      </w:r>
      <w:r>
        <w:rPr>
          <w:i/>
          <w:color w:val="231F20"/>
          <w:spacing w:val="-9"/>
          <w:sz w:val="20"/>
        </w:rPr>
        <w:t> </w:t>
      </w:r>
      <w:r>
        <w:rPr>
          <w:i/>
          <w:color w:val="231F20"/>
          <w:sz w:val="20"/>
        </w:rPr>
        <w:t>него</w:t>
      </w:r>
      <w:r>
        <w:rPr>
          <w:i/>
          <w:color w:val="231F20"/>
          <w:spacing w:val="-9"/>
          <w:sz w:val="20"/>
        </w:rPr>
        <w:t> </w:t>
      </w:r>
      <w:r>
        <w:rPr>
          <w:i/>
          <w:color w:val="231F20"/>
          <w:sz w:val="20"/>
        </w:rPr>
        <w:t>были</w:t>
      </w:r>
      <w:r>
        <w:rPr>
          <w:i/>
          <w:color w:val="231F20"/>
          <w:spacing w:val="-9"/>
          <w:sz w:val="20"/>
        </w:rPr>
        <w:t> </w:t>
      </w:r>
      <w:r>
        <w:rPr>
          <w:i/>
          <w:color w:val="231F20"/>
          <w:sz w:val="20"/>
        </w:rPr>
        <w:t>мама,</w:t>
      </w:r>
      <w:r>
        <w:rPr>
          <w:i/>
          <w:color w:val="231F20"/>
          <w:spacing w:val="-9"/>
          <w:sz w:val="20"/>
        </w:rPr>
        <w:t> </w:t>
      </w:r>
      <w:r>
        <w:rPr>
          <w:i/>
          <w:color w:val="231F20"/>
          <w:sz w:val="20"/>
        </w:rPr>
        <w:t>папа, брат. Может был кто-то ещё, но для нашей истории это не важно. Как-то раз случилось</w:t>
      </w:r>
      <w:r>
        <w:rPr>
          <w:i/>
          <w:color w:val="231F20"/>
          <w:spacing w:val="-13"/>
          <w:sz w:val="20"/>
        </w:rPr>
        <w:t> </w:t>
      </w:r>
      <w:r>
        <w:rPr>
          <w:i/>
          <w:color w:val="231F20"/>
          <w:sz w:val="20"/>
        </w:rPr>
        <w:t>так,</w:t>
      </w:r>
      <w:r>
        <w:rPr>
          <w:i/>
          <w:color w:val="231F20"/>
          <w:spacing w:val="-12"/>
          <w:sz w:val="20"/>
        </w:rPr>
        <w:t> </w:t>
      </w:r>
      <w:r>
        <w:rPr>
          <w:i/>
          <w:color w:val="231F20"/>
          <w:sz w:val="20"/>
        </w:rPr>
        <w:t>что</w:t>
      </w:r>
      <w:r>
        <w:rPr>
          <w:i/>
          <w:color w:val="231F20"/>
          <w:spacing w:val="-13"/>
          <w:sz w:val="20"/>
        </w:rPr>
        <w:t> </w:t>
      </w:r>
      <w:r>
        <w:rPr>
          <w:i/>
          <w:color w:val="231F20"/>
          <w:sz w:val="20"/>
        </w:rPr>
        <w:t>мама</w:t>
      </w:r>
      <w:r>
        <w:rPr>
          <w:i/>
          <w:color w:val="231F20"/>
          <w:spacing w:val="-12"/>
          <w:sz w:val="20"/>
        </w:rPr>
        <w:t> </w:t>
      </w:r>
      <w:r>
        <w:rPr>
          <w:i/>
          <w:color w:val="231F20"/>
          <w:sz w:val="20"/>
        </w:rPr>
        <w:t>этого</w:t>
      </w:r>
      <w:r>
        <w:rPr>
          <w:i/>
          <w:color w:val="231F20"/>
          <w:spacing w:val="-13"/>
          <w:sz w:val="20"/>
        </w:rPr>
        <w:t> </w:t>
      </w:r>
      <w:r>
        <w:rPr>
          <w:i/>
          <w:color w:val="231F20"/>
          <w:sz w:val="20"/>
        </w:rPr>
        <w:t>мальчика…</w:t>
      </w:r>
      <w:r>
        <w:rPr>
          <w:i/>
          <w:color w:val="231F20"/>
          <w:spacing w:val="-12"/>
          <w:sz w:val="20"/>
        </w:rPr>
        <w:t> </w:t>
      </w:r>
      <w:r>
        <w:rPr>
          <w:i/>
          <w:color w:val="231F20"/>
          <w:sz w:val="20"/>
        </w:rPr>
        <w:t>С</w:t>
      </w:r>
      <w:r>
        <w:rPr>
          <w:i/>
          <w:color w:val="231F20"/>
          <w:spacing w:val="-13"/>
          <w:sz w:val="20"/>
        </w:rPr>
        <w:t> </w:t>
      </w:r>
      <w:r>
        <w:rPr>
          <w:i/>
          <w:color w:val="231F20"/>
          <w:sz w:val="20"/>
        </w:rPr>
        <w:t>ней</w:t>
      </w:r>
      <w:r>
        <w:rPr>
          <w:i/>
          <w:color w:val="231F20"/>
          <w:spacing w:val="-12"/>
          <w:sz w:val="20"/>
        </w:rPr>
        <w:t> </w:t>
      </w:r>
      <w:r>
        <w:rPr>
          <w:i/>
          <w:color w:val="231F20"/>
          <w:sz w:val="20"/>
        </w:rPr>
        <w:t>что-то</w:t>
      </w:r>
      <w:r>
        <w:rPr>
          <w:i/>
          <w:color w:val="231F20"/>
          <w:spacing w:val="-13"/>
          <w:sz w:val="20"/>
        </w:rPr>
        <w:t> </w:t>
      </w:r>
      <w:r>
        <w:rPr>
          <w:i/>
          <w:color w:val="231F20"/>
          <w:sz w:val="20"/>
        </w:rPr>
        <w:t>случилось.</w:t>
      </w:r>
      <w:r>
        <w:rPr>
          <w:i/>
          <w:color w:val="231F20"/>
          <w:spacing w:val="-12"/>
          <w:sz w:val="20"/>
        </w:rPr>
        <w:t> </w:t>
      </w:r>
      <w:r>
        <w:rPr>
          <w:i/>
          <w:color w:val="231F20"/>
          <w:sz w:val="20"/>
        </w:rPr>
        <w:t>Она</w:t>
      </w:r>
      <w:r>
        <w:rPr>
          <w:i/>
          <w:color w:val="231F20"/>
          <w:spacing w:val="-13"/>
          <w:sz w:val="20"/>
        </w:rPr>
        <w:t> </w:t>
      </w:r>
      <w:r>
        <w:rPr>
          <w:i/>
          <w:color w:val="231F20"/>
          <w:sz w:val="20"/>
        </w:rPr>
        <w:t>стала</w:t>
      </w:r>
      <w:r>
        <w:rPr>
          <w:i/>
          <w:color w:val="231F20"/>
          <w:spacing w:val="-12"/>
          <w:sz w:val="20"/>
        </w:rPr>
        <w:t> </w:t>
      </w:r>
      <w:r>
        <w:rPr>
          <w:i/>
          <w:color w:val="231F20"/>
          <w:sz w:val="20"/>
        </w:rPr>
        <w:t>очень сильно кричать на этого мальчика, она его ударила. А когда мальчик попробовал по телефону</w:t>
      </w:r>
      <w:r>
        <w:rPr>
          <w:i/>
          <w:color w:val="231F20"/>
          <w:spacing w:val="-12"/>
          <w:sz w:val="20"/>
        </w:rPr>
        <w:t> </w:t>
      </w:r>
      <w:r>
        <w:rPr>
          <w:i/>
          <w:color w:val="231F20"/>
          <w:sz w:val="20"/>
        </w:rPr>
        <w:t>позвонить</w:t>
      </w:r>
      <w:r>
        <w:rPr>
          <w:i/>
          <w:color w:val="231F20"/>
          <w:spacing w:val="-12"/>
          <w:sz w:val="20"/>
        </w:rPr>
        <w:t> </w:t>
      </w:r>
      <w:r>
        <w:rPr>
          <w:i/>
          <w:color w:val="231F20"/>
          <w:sz w:val="20"/>
        </w:rPr>
        <w:t>папе,</w:t>
      </w:r>
      <w:r>
        <w:rPr>
          <w:i/>
          <w:color w:val="231F20"/>
          <w:spacing w:val="-12"/>
          <w:sz w:val="20"/>
        </w:rPr>
        <w:t> </w:t>
      </w:r>
      <w:r>
        <w:rPr>
          <w:i/>
          <w:color w:val="231F20"/>
          <w:sz w:val="20"/>
        </w:rPr>
        <w:t>она</w:t>
      </w:r>
      <w:r>
        <w:rPr>
          <w:i/>
          <w:color w:val="231F20"/>
          <w:spacing w:val="-12"/>
          <w:sz w:val="20"/>
        </w:rPr>
        <w:t> </w:t>
      </w:r>
      <w:r>
        <w:rPr>
          <w:i/>
          <w:color w:val="231F20"/>
          <w:sz w:val="20"/>
        </w:rPr>
        <w:t>не</w:t>
      </w:r>
      <w:r>
        <w:rPr>
          <w:i/>
          <w:color w:val="231F20"/>
          <w:spacing w:val="-12"/>
          <w:sz w:val="20"/>
        </w:rPr>
        <w:t> </w:t>
      </w:r>
      <w:r>
        <w:rPr>
          <w:i/>
          <w:color w:val="231F20"/>
          <w:sz w:val="20"/>
        </w:rPr>
        <w:t>дала</w:t>
      </w:r>
      <w:r>
        <w:rPr>
          <w:i/>
          <w:color w:val="231F20"/>
          <w:spacing w:val="-12"/>
          <w:sz w:val="20"/>
        </w:rPr>
        <w:t> </w:t>
      </w:r>
      <w:r>
        <w:rPr>
          <w:i/>
          <w:color w:val="231F20"/>
          <w:sz w:val="20"/>
        </w:rPr>
        <w:t>ему</w:t>
      </w:r>
      <w:r>
        <w:rPr>
          <w:i/>
          <w:color w:val="231F20"/>
          <w:spacing w:val="-12"/>
          <w:sz w:val="20"/>
        </w:rPr>
        <w:t> </w:t>
      </w:r>
      <w:r>
        <w:rPr>
          <w:i/>
          <w:color w:val="231F20"/>
          <w:sz w:val="20"/>
        </w:rPr>
        <w:t>это</w:t>
      </w:r>
      <w:r>
        <w:rPr>
          <w:i/>
          <w:color w:val="231F20"/>
          <w:spacing w:val="-12"/>
          <w:sz w:val="20"/>
        </w:rPr>
        <w:t> </w:t>
      </w:r>
      <w:r>
        <w:rPr>
          <w:i/>
          <w:color w:val="231F20"/>
          <w:sz w:val="20"/>
        </w:rPr>
        <w:t>сделать,</w:t>
      </w:r>
      <w:r>
        <w:rPr>
          <w:i/>
          <w:color w:val="231F20"/>
          <w:spacing w:val="-12"/>
          <w:sz w:val="20"/>
        </w:rPr>
        <w:t> </w:t>
      </w:r>
      <w:r>
        <w:rPr>
          <w:i/>
          <w:color w:val="231F20"/>
          <w:sz w:val="20"/>
        </w:rPr>
        <w:t>стала</w:t>
      </w:r>
      <w:r>
        <w:rPr>
          <w:i/>
          <w:color w:val="231F20"/>
          <w:spacing w:val="-12"/>
          <w:sz w:val="20"/>
        </w:rPr>
        <w:t> </w:t>
      </w:r>
      <w:r>
        <w:rPr>
          <w:i/>
          <w:color w:val="231F20"/>
          <w:sz w:val="20"/>
        </w:rPr>
        <w:t>обзывать</w:t>
      </w:r>
      <w:r>
        <w:rPr>
          <w:i/>
          <w:color w:val="231F20"/>
          <w:spacing w:val="-12"/>
          <w:sz w:val="20"/>
        </w:rPr>
        <w:t> </w:t>
      </w:r>
      <w:r>
        <w:rPr>
          <w:i/>
          <w:color w:val="231F20"/>
          <w:sz w:val="20"/>
        </w:rPr>
        <w:t>его</w:t>
      </w:r>
      <w:r>
        <w:rPr>
          <w:i/>
          <w:color w:val="231F20"/>
          <w:spacing w:val="-12"/>
          <w:sz w:val="20"/>
        </w:rPr>
        <w:t> </w:t>
      </w:r>
      <w:r>
        <w:rPr>
          <w:i/>
          <w:color w:val="231F20"/>
          <w:sz w:val="20"/>
        </w:rPr>
        <w:t>плохими словами… такими словами, которые даже тяжело вспоминать.</w:t>
      </w:r>
    </w:p>
    <w:p>
      <w:pPr>
        <w:spacing w:line="232" w:lineRule="auto" w:before="0"/>
        <w:ind w:left="141" w:right="139" w:firstLine="283"/>
        <w:jc w:val="right"/>
        <w:rPr>
          <w:i/>
          <w:sz w:val="20"/>
        </w:rPr>
      </w:pPr>
      <w:r>
        <w:rPr>
          <w:i/>
          <w:color w:val="231F20"/>
          <w:sz w:val="20"/>
        </w:rPr>
        <w:t>Мальчику</w:t>
      </w:r>
      <w:r>
        <w:rPr>
          <w:i/>
          <w:color w:val="231F20"/>
          <w:spacing w:val="-13"/>
          <w:sz w:val="20"/>
        </w:rPr>
        <w:t> </w:t>
      </w:r>
      <w:r>
        <w:rPr>
          <w:i/>
          <w:color w:val="231F20"/>
          <w:sz w:val="20"/>
        </w:rPr>
        <w:t>было</w:t>
      </w:r>
      <w:r>
        <w:rPr>
          <w:i/>
          <w:color w:val="231F20"/>
          <w:spacing w:val="-12"/>
          <w:sz w:val="20"/>
        </w:rPr>
        <w:t> </w:t>
      </w:r>
      <w:r>
        <w:rPr>
          <w:i/>
          <w:color w:val="231F20"/>
          <w:sz w:val="20"/>
        </w:rPr>
        <w:t>очень</w:t>
      </w:r>
      <w:r>
        <w:rPr>
          <w:i/>
          <w:color w:val="231F20"/>
          <w:spacing w:val="-13"/>
          <w:sz w:val="20"/>
        </w:rPr>
        <w:t> </w:t>
      </w:r>
      <w:r>
        <w:rPr>
          <w:i/>
          <w:color w:val="231F20"/>
          <w:sz w:val="20"/>
        </w:rPr>
        <w:t>больно</w:t>
      </w:r>
      <w:r>
        <w:rPr>
          <w:i/>
          <w:color w:val="231F20"/>
          <w:spacing w:val="-12"/>
          <w:sz w:val="20"/>
        </w:rPr>
        <w:t> </w:t>
      </w:r>
      <w:r>
        <w:rPr>
          <w:i/>
          <w:color w:val="231F20"/>
          <w:sz w:val="20"/>
        </w:rPr>
        <w:t>и</w:t>
      </w:r>
      <w:r>
        <w:rPr>
          <w:i/>
          <w:color w:val="231F20"/>
          <w:spacing w:val="-13"/>
          <w:sz w:val="20"/>
        </w:rPr>
        <w:t> </w:t>
      </w:r>
      <w:r>
        <w:rPr>
          <w:i/>
          <w:color w:val="231F20"/>
          <w:sz w:val="20"/>
        </w:rPr>
        <w:t>очень</w:t>
      </w:r>
      <w:r>
        <w:rPr>
          <w:i/>
          <w:color w:val="231F20"/>
          <w:spacing w:val="-12"/>
          <w:sz w:val="20"/>
        </w:rPr>
        <w:t> </w:t>
      </w:r>
      <w:r>
        <w:rPr>
          <w:i/>
          <w:color w:val="231F20"/>
          <w:sz w:val="20"/>
        </w:rPr>
        <w:t>обидно.</w:t>
      </w:r>
      <w:r>
        <w:rPr>
          <w:i/>
          <w:color w:val="231F20"/>
          <w:spacing w:val="-13"/>
          <w:sz w:val="20"/>
        </w:rPr>
        <w:t> </w:t>
      </w:r>
      <w:r>
        <w:rPr>
          <w:i/>
          <w:color w:val="231F20"/>
          <w:sz w:val="20"/>
        </w:rPr>
        <w:t>Он</w:t>
      </w:r>
      <w:r>
        <w:rPr>
          <w:i/>
          <w:color w:val="231F20"/>
          <w:spacing w:val="-12"/>
          <w:sz w:val="20"/>
        </w:rPr>
        <w:t> </w:t>
      </w:r>
      <w:r>
        <w:rPr>
          <w:i/>
          <w:color w:val="231F20"/>
          <w:sz w:val="20"/>
        </w:rPr>
        <w:t>сел</w:t>
      </w:r>
      <w:r>
        <w:rPr>
          <w:i/>
          <w:color w:val="231F20"/>
          <w:spacing w:val="-13"/>
          <w:sz w:val="20"/>
        </w:rPr>
        <w:t> </w:t>
      </w:r>
      <w:r>
        <w:rPr>
          <w:i/>
          <w:color w:val="231F20"/>
          <w:sz w:val="20"/>
        </w:rPr>
        <w:t>на</w:t>
      </w:r>
      <w:r>
        <w:rPr>
          <w:i/>
          <w:color w:val="231F20"/>
          <w:spacing w:val="-12"/>
          <w:sz w:val="20"/>
        </w:rPr>
        <w:t> </w:t>
      </w:r>
      <w:r>
        <w:rPr>
          <w:i/>
          <w:color w:val="231F20"/>
          <w:sz w:val="20"/>
        </w:rPr>
        <w:t>пол</w:t>
      </w:r>
      <w:r>
        <w:rPr>
          <w:i/>
          <w:color w:val="231F20"/>
          <w:spacing w:val="-13"/>
          <w:sz w:val="20"/>
        </w:rPr>
        <w:t> </w:t>
      </w:r>
      <w:r>
        <w:rPr>
          <w:i/>
          <w:color w:val="231F20"/>
          <w:sz w:val="20"/>
        </w:rPr>
        <w:t>и</w:t>
      </w:r>
      <w:r>
        <w:rPr>
          <w:i/>
          <w:color w:val="231F20"/>
          <w:spacing w:val="-12"/>
          <w:sz w:val="20"/>
        </w:rPr>
        <w:t> </w:t>
      </w:r>
      <w:r>
        <w:rPr>
          <w:i/>
          <w:color w:val="231F20"/>
          <w:sz w:val="20"/>
        </w:rPr>
        <w:t>заплакал.</w:t>
      </w:r>
      <w:r>
        <w:rPr>
          <w:i/>
          <w:color w:val="231F20"/>
          <w:spacing w:val="-13"/>
          <w:sz w:val="20"/>
        </w:rPr>
        <w:t> </w:t>
      </w:r>
      <w:r>
        <w:rPr>
          <w:i/>
          <w:color w:val="231F20"/>
          <w:sz w:val="20"/>
        </w:rPr>
        <w:t>Он</w:t>
      </w:r>
      <w:r>
        <w:rPr>
          <w:i/>
          <w:color w:val="231F20"/>
          <w:spacing w:val="-12"/>
          <w:sz w:val="20"/>
        </w:rPr>
        <w:t> </w:t>
      </w:r>
      <w:r>
        <w:rPr>
          <w:i/>
          <w:color w:val="231F20"/>
          <w:sz w:val="20"/>
        </w:rPr>
        <w:t>чувство- вал очень-очень сильный страх. Ему было очень обидно, потому что он не ожидал услышать такое от самого близкого человека. Ему было очень-очень-очень больно. Невообразимая</w:t>
      </w:r>
      <w:r>
        <w:rPr>
          <w:i/>
          <w:color w:val="231F20"/>
          <w:spacing w:val="-6"/>
          <w:sz w:val="20"/>
        </w:rPr>
        <w:t> </w:t>
      </w:r>
      <w:r>
        <w:rPr>
          <w:i/>
          <w:color w:val="231F20"/>
          <w:sz w:val="20"/>
        </w:rPr>
        <w:t>боль,</w:t>
      </w:r>
      <w:r>
        <w:rPr>
          <w:i/>
          <w:color w:val="231F20"/>
          <w:spacing w:val="-6"/>
          <w:sz w:val="20"/>
        </w:rPr>
        <w:t> </w:t>
      </w:r>
      <w:r>
        <w:rPr>
          <w:i/>
          <w:color w:val="231F20"/>
          <w:sz w:val="20"/>
        </w:rPr>
        <w:t>которая</w:t>
      </w:r>
      <w:r>
        <w:rPr>
          <w:i/>
          <w:color w:val="231F20"/>
          <w:spacing w:val="-6"/>
          <w:sz w:val="20"/>
        </w:rPr>
        <w:t> </w:t>
      </w:r>
      <w:r>
        <w:rPr>
          <w:i/>
          <w:color w:val="231F20"/>
          <w:sz w:val="20"/>
        </w:rPr>
        <w:t>рождала</w:t>
      </w:r>
      <w:r>
        <w:rPr>
          <w:i/>
          <w:color w:val="231F20"/>
          <w:spacing w:val="-6"/>
          <w:sz w:val="20"/>
        </w:rPr>
        <w:t> </w:t>
      </w:r>
      <w:r>
        <w:rPr>
          <w:i/>
          <w:color w:val="231F20"/>
          <w:sz w:val="20"/>
        </w:rPr>
        <w:t>большие</w:t>
      </w:r>
      <w:r>
        <w:rPr>
          <w:i/>
          <w:color w:val="231F20"/>
          <w:spacing w:val="-6"/>
          <w:sz w:val="20"/>
        </w:rPr>
        <w:t> </w:t>
      </w:r>
      <w:r>
        <w:rPr>
          <w:i/>
          <w:color w:val="231F20"/>
          <w:sz w:val="20"/>
        </w:rPr>
        <w:t>слёзы.</w:t>
      </w:r>
      <w:r>
        <w:rPr>
          <w:i/>
          <w:color w:val="231F20"/>
          <w:spacing w:val="-6"/>
          <w:sz w:val="20"/>
        </w:rPr>
        <w:t> </w:t>
      </w:r>
      <w:r>
        <w:rPr>
          <w:i/>
          <w:color w:val="231F20"/>
          <w:sz w:val="20"/>
        </w:rPr>
        <w:t>Он</w:t>
      </w:r>
      <w:r>
        <w:rPr>
          <w:i/>
          <w:color w:val="231F20"/>
          <w:spacing w:val="-6"/>
          <w:sz w:val="20"/>
        </w:rPr>
        <w:t> </w:t>
      </w:r>
      <w:r>
        <w:rPr>
          <w:i/>
          <w:color w:val="231F20"/>
          <w:sz w:val="20"/>
        </w:rPr>
        <w:t>даже</w:t>
      </w:r>
      <w:r>
        <w:rPr>
          <w:i/>
          <w:color w:val="231F20"/>
          <w:spacing w:val="-6"/>
          <w:sz w:val="20"/>
        </w:rPr>
        <w:t> </w:t>
      </w:r>
      <w:r>
        <w:rPr>
          <w:i/>
          <w:color w:val="231F20"/>
          <w:sz w:val="20"/>
        </w:rPr>
        <w:t>не</w:t>
      </w:r>
      <w:r>
        <w:rPr>
          <w:i/>
          <w:color w:val="231F20"/>
          <w:spacing w:val="-6"/>
          <w:sz w:val="20"/>
        </w:rPr>
        <w:t> </w:t>
      </w:r>
      <w:r>
        <w:rPr>
          <w:i/>
          <w:color w:val="231F20"/>
          <w:sz w:val="20"/>
        </w:rPr>
        <w:t>замечал,</w:t>
      </w:r>
      <w:r>
        <w:rPr>
          <w:i/>
          <w:color w:val="231F20"/>
          <w:spacing w:val="-6"/>
          <w:sz w:val="20"/>
        </w:rPr>
        <w:t> </w:t>
      </w:r>
      <w:r>
        <w:rPr>
          <w:i/>
          <w:color w:val="231F20"/>
          <w:sz w:val="20"/>
        </w:rPr>
        <w:t>что</w:t>
      </w:r>
      <w:r>
        <w:rPr>
          <w:i/>
          <w:color w:val="231F20"/>
          <w:spacing w:val="-6"/>
          <w:sz w:val="20"/>
        </w:rPr>
        <w:t> </w:t>
      </w:r>
      <w:r>
        <w:rPr>
          <w:i/>
          <w:color w:val="231F20"/>
          <w:sz w:val="20"/>
        </w:rPr>
        <w:t>его </w:t>
      </w:r>
      <w:r>
        <w:rPr>
          <w:i/>
          <w:color w:val="231F20"/>
          <w:spacing w:val="-2"/>
          <w:sz w:val="20"/>
        </w:rPr>
        <w:t>окружает.</w:t>
      </w:r>
      <w:r>
        <w:rPr>
          <w:i/>
          <w:color w:val="231F20"/>
          <w:spacing w:val="-6"/>
          <w:sz w:val="20"/>
        </w:rPr>
        <w:t> </w:t>
      </w:r>
      <w:r>
        <w:rPr>
          <w:i/>
          <w:color w:val="231F20"/>
          <w:spacing w:val="-2"/>
          <w:sz w:val="20"/>
        </w:rPr>
        <w:t>Это</w:t>
      </w:r>
      <w:r>
        <w:rPr>
          <w:i/>
          <w:color w:val="231F20"/>
          <w:spacing w:val="-6"/>
          <w:sz w:val="20"/>
        </w:rPr>
        <w:t> </w:t>
      </w:r>
      <w:r>
        <w:rPr>
          <w:i/>
          <w:color w:val="231F20"/>
          <w:spacing w:val="-2"/>
          <w:sz w:val="20"/>
        </w:rPr>
        <w:t>было</w:t>
      </w:r>
      <w:r>
        <w:rPr>
          <w:i/>
          <w:color w:val="231F20"/>
          <w:spacing w:val="-6"/>
          <w:sz w:val="20"/>
        </w:rPr>
        <w:t> </w:t>
      </w:r>
      <w:r>
        <w:rPr>
          <w:i/>
          <w:color w:val="231F20"/>
          <w:spacing w:val="-2"/>
          <w:sz w:val="20"/>
        </w:rPr>
        <w:t>лето,</w:t>
      </w:r>
      <w:r>
        <w:rPr>
          <w:i/>
          <w:color w:val="231F20"/>
          <w:spacing w:val="-6"/>
          <w:sz w:val="20"/>
        </w:rPr>
        <w:t> </w:t>
      </w:r>
      <w:r>
        <w:rPr>
          <w:i/>
          <w:color w:val="231F20"/>
          <w:spacing w:val="-2"/>
          <w:sz w:val="20"/>
        </w:rPr>
        <w:t>вокруг</w:t>
      </w:r>
      <w:r>
        <w:rPr>
          <w:i/>
          <w:color w:val="231F20"/>
          <w:spacing w:val="-6"/>
          <w:sz w:val="20"/>
        </w:rPr>
        <w:t> </w:t>
      </w:r>
      <w:r>
        <w:rPr>
          <w:i/>
          <w:color w:val="231F20"/>
          <w:spacing w:val="-2"/>
          <w:sz w:val="20"/>
        </w:rPr>
        <w:t>было</w:t>
      </w:r>
      <w:r>
        <w:rPr>
          <w:i/>
          <w:color w:val="231F20"/>
          <w:spacing w:val="-6"/>
          <w:sz w:val="20"/>
        </w:rPr>
        <w:t> </w:t>
      </w:r>
      <w:r>
        <w:rPr>
          <w:i/>
          <w:color w:val="231F20"/>
          <w:spacing w:val="-2"/>
          <w:sz w:val="20"/>
        </w:rPr>
        <w:t>тепло,</w:t>
      </w:r>
      <w:r>
        <w:rPr>
          <w:i/>
          <w:color w:val="231F20"/>
          <w:spacing w:val="-6"/>
          <w:sz w:val="20"/>
        </w:rPr>
        <w:t> </w:t>
      </w:r>
      <w:r>
        <w:rPr>
          <w:i/>
          <w:color w:val="231F20"/>
          <w:spacing w:val="-2"/>
          <w:sz w:val="20"/>
        </w:rPr>
        <w:t>но</w:t>
      </w:r>
      <w:r>
        <w:rPr>
          <w:i/>
          <w:color w:val="231F20"/>
          <w:spacing w:val="-6"/>
          <w:sz w:val="20"/>
        </w:rPr>
        <w:t> </w:t>
      </w:r>
      <w:r>
        <w:rPr>
          <w:i/>
          <w:color w:val="231F20"/>
          <w:spacing w:val="-2"/>
          <w:sz w:val="20"/>
        </w:rPr>
        <w:t>мальчику</w:t>
      </w:r>
      <w:r>
        <w:rPr>
          <w:i/>
          <w:color w:val="231F20"/>
          <w:spacing w:val="-6"/>
          <w:sz w:val="20"/>
        </w:rPr>
        <w:t> </w:t>
      </w:r>
      <w:r>
        <w:rPr>
          <w:i/>
          <w:color w:val="231F20"/>
          <w:spacing w:val="-2"/>
          <w:sz w:val="20"/>
        </w:rPr>
        <w:t>всё</w:t>
      </w:r>
      <w:r>
        <w:rPr>
          <w:i/>
          <w:color w:val="231F20"/>
          <w:spacing w:val="-6"/>
          <w:sz w:val="20"/>
        </w:rPr>
        <w:t> </w:t>
      </w:r>
      <w:r>
        <w:rPr>
          <w:i/>
          <w:color w:val="231F20"/>
          <w:spacing w:val="-2"/>
          <w:sz w:val="20"/>
        </w:rPr>
        <w:t>равно</w:t>
      </w:r>
      <w:r>
        <w:rPr>
          <w:i/>
          <w:color w:val="231F20"/>
          <w:spacing w:val="-6"/>
          <w:sz w:val="20"/>
        </w:rPr>
        <w:t> </w:t>
      </w:r>
      <w:r>
        <w:rPr>
          <w:i/>
          <w:color w:val="231F20"/>
          <w:spacing w:val="-2"/>
          <w:sz w:val="20"/>
        </w:rPr>
        <w:t>было</w:t>
      </w:r>
      <w:r>
        <w:rPr>
          <w:i/>
          <w:color w:val="231F20"/>
          <w:spacing w:val="-6"/>
          <w:sz w:val="20"/>
        </w:rPr>
        <w:t> </w:t>
      </w:r>
      <w:r>
        <w:rPr>
          <w:i/>
          <w:color w:val="231F20"/>
          <w:spacing w:val="-2"/>
          <w:sz w:val="20"/>
        </w:rPr>
        <w:t>холодно.</w:t>
      </w:r>
      <w:r>
        <w:rPr>
          <w:i/>
          <w:color w:val="231F20"/>
          <w:spacing w:val="-6"/>
          <w:sz w:val="20"/>
        </w:rPr>
        <w:t> </w:t>
      </w:r>
      <w:r>
        <w:rPr>
          <w:i/>
          <w:color w:val="231F20"/>
          <w:spacing w:val="-2"/>
          <w:sz w:val="20"/>
        </w:rPr>
        <w:t>И </w:t>
      </w:r>
      <w:r>
        <w:rPr>
          <w:i/>
          <w:color w:val="231F20"/>
          <w:sz w:val="20"/>
        </w:rPr>
        <w:t>рядом</w:t>
      </w:r>
      <w:r>
        <w:rPr>
          <w:i/>
          <w:color w:val="231F20"/>
          <w:spacing w:val="-6"/>
          <w:sz w:val="20"/>
        </w:rPr>
        <w:t> </w:t>
      </w:r>
      <w:r>
        <w:rPr>
          <w:i/>
          <w:color w:val="231F20"/>
          <w:sz w:val="20"/>
        </w:rPr>
        <w:t>не</w:t>
      </w:r>
      <w:r>
        <w:rPr>
          <w:i/>
          <w:color w:val="231F20"/>
          <w:spacing w:val="-6"/>
          <w:sz w:val="20"/>
        </w:rPr>
        <w:t> </w:t>
      </w:r>
      <w:r>
        <w:rPr>
          <w:i/>
          <w:color w:val="231F20"/>
          <w:sz w:val="20"/>
        </w:rPr>
        <w:t>было</w:t>
      </w:r>
      <w:r>
        <w:rPr>
          <w:i/>
          <w:color w:val="231F20"/>
          <w:spacing w:val="-6"/>
          <w:sz w:val="20"/>
        </w:rPr>
        <w:t> </w:t>
      </w:r>
      <w:r>
        <w:rPr>
          <w:i/>
          <w:color w:val="231F20"/>
          <w:sz w:val="20"/>
        </w:rPr>
        <w:t>Джелани,</w:t>
      </w:r>
      <w:r>
        <w:rPr>
          <w:i/>
          <w:color w:val="231F20"/>
          <w:spacing w:val="-6"/>
          <w:sz w:val="20"/>
        </w:rPr>
        <w:t> </w:t>
      </w:r>
      <w:r>
        <w:rPr>
          <w:i/>
          <w:color w:val="231F20"/>
          <w:sz w:val="20"/>
        </w:rPr>
        <w:t>который</w:t>
      </w:r>
      <w:r>
        <w:rPr>
          <w:i/>
          <w:color w:val="231F20"/>
          <w:spacing w:val="-6"/>
          <w:sz w:val="20"/>
        </w:rPr>
        <w:t> </w:t>
      </w:r>
      <w:r>
        <w:rPr>
          <w:i/>
          <w:color w:val="231F20"/>
          <w:sz w:val="20"/>
        </w:rPr>
        <w:t>мог</w:t>
      </w:r>
      <w:r>
        <w:rPr>
          <w:i/>
          <w:color w:val="231F20"/>
          <w:spacing w:val="-6"/>
          <w:sz w:val="20"/>
        </w:rPr>
        <w:t> </w:t>
      </w:r>
      <w:r>
        <w:rPr>
          <w:i/>
          <w:color w:val="231F20"/>
          <w:sz w:val="20"/>
        </w:rPr>
        <w:t>бы</w:t>
      </w:r>
      <w:r>
        <w:rPr>
          <w:i/>
          <w:color w:val="231F20"/>
          <w:spacing w:val="-6"/>
          <w:sz w:val="20"/>
        </w:rPr>
        <w:t> </w:t>
      </w:r>
      <w:r>
        <w:rPr>
          <w:i/>
          <w:color w:val="231F20"/>
          <w:sz w:val="20"/>
        </w:rPr>
        <w:t>его</w:t>
      </w:r>
      <w:r>
        <w:rPr>
          <w:i/>
          <w:color w:val="231F20"/>
          <w:spacing w:val="-6"/>
          <w:sz w:val="20"/>
        </w:rPr>
        <w:t> </w:t>
      </w:r>
      <w:r>
        <w:rPr>
          <w:i/>
          <w:color w:val="231F20"/>
          <w:sz w:val="20"/>
        </w:rPr>
        <w:t>защитить,</w:t>
      </w:r>
      <w:r>
        <w:rPr>
          <w:i/>
          <w:color w:val="231F20"/>
          <w:spacing w:val="-6"/>
          <w:sz w:val="20"/>
        </w:rPr>
        <w:t> </w:t>
      </w:r>
      <w:r>
        <w:rPr>
          <w:i/>
          <w:color w:val="231F20"/>
          <w:sz w:val="20"/>
        </w:rPr>
        <w:t>потому</w:t>
      </w:r>
      <w:r>
        <w:rPr>
          <w:i/>
          <w:color w:val="231F20"/>
          <w:spacing w:val="-6"/>
          <w:sz w:val="20"/>
        </w:rPr>
        <w:t> </w:t>
      </w:r>
      <w:r>
        <w:rPr>
          <w:i/>
          <w:color w:val="231F20"/>
          <w:sz w:val="20"/>
        </w:rPr>
        <w:t>что</w:t>
      </w:r>
      <w:r>
        <w:rPr>
          <w:i/>
          <w:color w:val="231F20"/>
          <w:spacing w:val="-6"/>
          <w:sz w:val="20"/>
        </w:rPr>
        <w:t> </w:t>
      </w:r>
      <w:r>
        <w:rPr>
          <w:i/>
          <w:color w:val="231F20"/>
          <w:sz w:val="20"/>
        </w:rPr>
        <w:t>он</w:t>
      </w:r>
      <w:r>
        <w:rPr>
          <w:i/>
          <w:color w:val="231F20"/>
          <w:spacing w:val="-6"/>
          <w:sz w:val="20"/>
        </w:rPr>
        <w:t> </w:t>
      </w:r>
      <w:r>
        <w:rPr>
          <w:i/>
          <w:color w:val="231F20"/>
          <w:sz w:val="20"/>
        </w:rPr>
        <w:t>был</w:t>
      </w:r>
      <w:r>
        <w:rPr>
          <w:i/>
          <w:color w:val="231F20"/>
          <w:spacing w:val="-6"/>
          <w:sz w:val="20"/>
        </w:rPr>
        <w:t> </w:t>
      </w:r>
      <w:r>
        <w:rPr>
          <w:i/>
          <w:color w:val="231F20"/>
          <w:sz w:val="20"/>
        </w:rPr>
        <w:t>у</w:t>
      </w:r>
      <w:r>
        <w:rPr>
          <w:i/>
          <w:color w:val="231F20"/>
          <w:spacing w:val="-6"/>
          <w:sz w:val="20"/>
        </w:rPr>
        <w:t> </w:t>
      </w:r>
      <w:r>
        <w:rPr>
          <w:i/>
          <w:color w:val="231F20"/>
          <w:sz w:val="20"/>
        </w:rPr>
        <w:t>папы. И</w:t>
      </w:r>
      <w:r>
        <w:rPr>
          <w:i/>
          <w:color w:val="231F20"/>
          <w:spacing w:val="35"/>
          <w:sz w:val="20"/>
        </w:rPr>
        <w:t> </w:t>
      </w:r>
      <w:r>
        <w:rPr>
          <w:i/>
          <w:color w:val="231F20"/>
          <w:sz w:val="20"/>
        </w:rPr>
        <w:t>у</w:t>
      </w:r>
      <w:r>
        <w:rPr>
          <w:i/>
          <w:color w:val="231F20"/>
          <w:spacing w:val="35"/>
          <w:sz w:val="20"/>
        </w:rPr>
        <w:t> </w:t>
      </w:r>
      <w:r>
        <w:rPr>
          <w:i/>
          <w:color w:val="231F20"/>
          <w:sz w:val="20"/>
        </w:rPr>
        <w:t>него</w:t>
      </w:r>
      <w:r>
        <w:rPr>
          <w:i/>
          <w:color w:val="231F20"/>
          <w:spacing w:val="35"/>
          <w:sz w:val="20"/>
        </w:rPr>
        <w:t> </w:t>
      </w:r>
      <w:r>
        <w:rPr>
          <w:i/>
          <w:color w:val="231F20"/>
          <w:sz w:val="20"/>
        </w:rPr>
        <w:t>возник</w:t>
      </w:r>
      <w:r>
        <w:rPr>
          <w:i/>
          <w:color w:val="231F20"/>
          <w:spacing w:val="35"/>
          <w:sz w:val="20"/>
        </w:rPr>
        <w:t> </w:t>
      </w:r>
      <w:r>
        <w:rPr>
          <w:i/>
          <w:color w:val="231F20"/>
          <w:sz w:val="20"/>
        </w:rPr>
        <w:t>очень</w:t>
      </w:r>
      <w:r>
        <w:rPr>
          <w:i/>
          <w:color w:val="231F20"/>
          <w:spacing w:val="35"/>
          <w:sz w:val="20"/>
        </w:rPr>
        <w:t> </w:t>
      </w:r>
      <w:r>
        <w:rPr>
          <w:i/>
          <w:color w:val="231F20"/>
          <w:sz w:val="20"/>
        </w:rPr>
        <w:t>большой</w:t>
      </w:r>
      <w:r>
        <w:rPr>
          <w:i/>
          <w:color w:val="231F20"/>
          <w:spacing w:val="35"/>
          <w:sz w:val="20"/>
        </w:rPr>
        <w:t> </w:t>
      </w:r>
      <w:r>
        <w:rPr>
          <w:i/>
          <w:color w:val="231F20"/>
          <w:sz w:val="20"/>
        </w:rPr>
        <w:t>страх.</w:t>
      </w:r>
      <w:r>
        <w:rPr>
          <w:i/>
          <w:color w:val="231F20"/>
          <w:spacing w:val="35"/>
          <w:sz w:val="20"/>
        </w:rPr>
        <w:t> </w:t>
      </w:r>
      <w:r>
        <w:rPr>
          <w:i/>
          <w:color w:val="231F20"/>
          <w:sz w:val="20"/>
        </w:rPr>
        <w:t>Он</w:t>
      </w:r>
      <w:r>
        <w:rPr>
          <w:i/>
          <w:color w:val="231F20"/>
          <w:spacing w:val="35"/>
          <w:sz w:val="20"/>
        </w:rPr>
        <w:t> </w:t>
      </w:r>
      <w:r>
        <w:rPr>
          <w:i/>
          <w:color w:val="231F20"/>
          <w:sz w:val="20"/>
        </w:rPr>
        <w:t>почувствовал</w:t>
      </w:r>
      <w:r>
        <w:rPr>
          <w:i/>
          <w:color w:val="231F20"/>
          <w:spacing w:val="35"/>
          <w:sz w:val="20"/>
        </w:rPr>
        <w:t> </w:t>
      </w:r>
      <w:r>
        <w:rPr>
          <w:i/>
          <w:color w:val="231F20"/>
          <w:sz w:val="20"/>
        </w:rPr>
        <w:t>злость.</w:t>
      </w:r>
      <w:r>
        <w:rPr>
          <w:i/>
          <w:color w:val="231F20"/>
          <w:spacing w:val="35"/>
          <w:sz w:val="20"/>
        </w:rPr>
        <w:t> </w:t>
      </w:r>
      <w:r>
        <w:rPr>
          <w:i/>
          <w:color w:val="231F20"/>
          <w:sz w:val="20"/>
        </w:rPr>
        <w:t>Злость</w:t>
      </w:r>
      <w:r>
        <w:rPr>
          <w:i/>
          <w:color w:val="231F20"/>
          <w:spacing w:val="35"/>
          <w:sz w:val="20"/>
        </w:rPr>
        <w:t> </w:t>
      </w:r>
      <w:r>
        <w:rPr>
          <w:i/>
          <w:color w:val="231F20"/>
          <w:sz w:val="20"/>
        </w:rPr>
        <w:t>на</w:t>
      </w:r>
      <w:r>
        <w:rPr>
          <w:i/>
          <w:color w:val="231F20"/>
          <w:spacing w:val="35"/>
          <w:sz w:val="20"/>
        </w:rPr>
        <w:t> </w:t>
      </w:r>
      <w:r>
        <w:rPr>
          <w:i/>
          <w:color w:val="231F20"/>
          <w:sz w:val="20"/>
        </w:rPr>
        <w:t>то, что</w:t>
      </w:r>
      <w:r>
        <w:rPr>
          <w:i/>
          <w:color w:val="231F20"/>
          <w:spacing w:val="-2"/>
          <w:sz w:val="20"/>
        </w:rPr>
        <w:t> </w:t>
      </w:r>
      <w:r>
        <w:rPr>
          <w:i/>
          <w:color w:val="231F20"/>
          <w:sz w:val="20"/>
        </w:rPr>
        <w:t>его</w:t>
      </w:r>
      <w:r>
        <w:rPr>
          <w:i/>
          <w:color w:val="231F20"/>
          <w:spacing w:val="-2"/>
          <w:sz w:val="20"/>
        </w:rPr>
        <w:t> </w:t>
      </w:r>
      <w:r>
        <w:rPr>
          <w:i/>
          <w:color w:val="231F20"/>
          <w:sz w:val="20"/>
        </w:rPr>
        <w:t>так</w:t>
      </w:r>
      <w:r>
        <w:rPr>
          <w:i/>
          <w:color w:val="231F20"/>
          <w:spacing w:val="-2"/>
          <w:sz w:val="20"/>
        </w:rPr>
        <w:t> </w:t>
      </w:r>
      <w:r>
        <w:rPr>
          <w:i/>
          <w:color w:val="231F20"/>
          <w:sz w:val="20"/>
        </w:rPr>
        <w:t>оскорбляют.</w:t>
      </w:r>
      <w:r>
        <w:rPr>
          <w:i/>
          <w:color w:val="231F20"/>
          <w:spacing w:val="-2"/>
          <w:sz w:val="20"/>
        </w:rPr>
        <w:t> </w:t>
      </w:r>
      <w:r>
        <w:rPr>
          <w:i/>
          <w:color w:val="231F20"/>
          <w:sz w:val="20"/>
        </w:rPr>
        <w:t>Но</w:t>
      </w:r>
      <w:r>
        <w:rPr>
          <w:i/>
          <w:color w:val="231F20"/>
          <w:spacing w:val="-2"/>
          <w:sz w:val="20"/>
        </w:rPr>
        <w:t> </w:t>
      </w:r>
      <w:r>
        <w:rPr>
          <w:i/>
          <w:color w:val="231F20"/>
          <w:sz w:val="20"/>
        </w:rPr>
        <w:t>потом</w:t>
      </w:r>
      <w:r>
        <w:rPr>
          <w:i/>
          <w:color w:val="231F20"/>
          <w:spacing w:val="-2"/>
          <w:sz w:val="20"/>
        </w:rPr>
        <w:t> </w:t>
      </w:r>
      <w:r>
        <w:rPr>
          <w:i/>
          <w:color w:val="231F20"/>
          <w:sz w:val="20"/>
        </w:rPr>
        <w:t>эта</w:t>
      </w:r>
      <w:r>
        <w:rPr>
          <w:i/>
          <w:color w:val="231F20"/>
          <w:spacing w:val="-2"/>
          <w:sz w:val="20"/>
        </w:rPr>
        <w:t> </w:t>
      </w:r>
      <w:r>
        <w:rPr>
          <w:i/>
          <w:color w:val="231F20"/>
          <w:sz w:val="20"/>
        </w:rPr>
        <w:t>злость</w:t>
      </w:r>
      <w:r>
        <w:rPr>
          <w:i/>
          <w:color w:val="231F20"/>
          <w:spacing w:val="-2"/>
          <w:sz w:val="20"/>
        </w:rPr>
        <w:t> </w:t>
      </w:r>
      <w:r>
        <w:rPr>
          <w:i/>
          <w:color w:val="231F20"/>
          <w:sz w:val="20"/>
        </w:rPr>
        <w:t>очень</w:t>
      </w:r>
      <w:r>
        <w:rPr>
          <w:i/>
          <w:color w:val="231F20"/>
          <w:spacing w:val="-2"/>
          <w:sz w:val="20"/>
        </w:rPr>
        <w:t> </w:t>
      </w:r>
      <w:r>
        <w:rPr>
          <w:i/>
          <w:color w:val="231F20"/>
          <w:sz w:val="20"/>
        </w:rPr>
        <w:t>быстро</w:t>
      </w:r>
      <w:r>
        <w:rPr>
          <w:i/>
          <w:color w:val="231F20"/>
          <w:spacing w:val="-2"/>
          <w:sz w:val="20"/>
        </w:rPr>
        <w:t> </w:t>
      </w:r>
      <w:r>
        <w:rPr>
          <w:i/>
          <w:color w:val="231F20"/>
          <w:sz w:val="20"/>
        </w:rPr>
        <w:t>ушла,</w:t>
      </w:r>
      <w:r>
        <w:rPr>
          <w:i/>
          <w:color w:val="231F20"/>
          <w:spacing w:val="-2"/>
          <w:sz w:val="20"/>
        </w:rPr>
        <w:t> </w:t>
      </w:r>
      <w:r>
        <w:rPr>
          <w:i/>
          <w:color w:val="231F20"/>
          <w:sz w:val="20"/>
        </w:rPr>
        <w:t>потому</w:t>
      </w:r>
      <w:r>
        <w:rPr>
          <w:i/>
          <w:color w:val="231F20"/>
          <w:spacing w:val="-2"/>
          <w:sz w:val="20"/>
        </w:rPr>
        <w:t> </w:t>
      </w:r>
      <w:r>
        <w:rPr>
          <w:i/>
          <w:color w:val="231F20"/>
          <w:sz w:val="20"/>
        </w:rPr>
        <w:t>что</w:t>
      </w:r>
      <w:r>
        <w:rPr>
          <w:i/>
          <w:color w:val="231F20"/>
          <w:spacing w:val="-2"/>
          <w:sz w:val="20"/>
        </w:rPr>
        <w:t> </w:t>
      </w:r>
      <w:r>
        <w:rPr>
          <w:i/>
          <w:color w:val="231F20"/>
          <w:sz w:val="20"/>
        </w:rPr>
        <w:t>он подумал, что это очень плохо – злиться на маму. Может быть, это помешает ей поправится. Может быть, эта злость может сделать маме что-то плохое. Его главным желанием стало «Я хочу, чтобы мама поправилась» и он решил сделать</w:t>
      </w:r>
      <w:r>
        <w:rPr>
          <w:i/>
          <w:color w:val="231F20"/>
          <w:spacing w:val="40"/>
          <w:sz w:val="20"/>
        </w:rPr>
        <w:t> </w:t>
      </w:r>
      <w:r>
        <w:rPr>
          <w:i/>
          <w:color w:val="231F20"/>
          <w:sz w:val="20"/>
        </w:rPr>
        <w:t>для</w:t>
      </w:r>
      <w:r>
        <w:rPr>
          <w:i/>
          <w:color w:val="231F20"/>
          <w:spacing w:val="5"/>
          <w:sz w:val="20"/>
        </w:rPr>
        <w:t> </w:t>
      </w:r>
      <w:r>
        <w:rPr>
          <w:i/>
          <w:color w:val="231F20"/>
          <w:sz w:val="20"/>
        </w:rPr>
        <w:t>этого</w:t>
      </w:r>
      <w:r>
        <w:rPr>
          <w:i/>
          <w:color w:val="231F20"/>
          <w:spacing w:val="5"/>
          <w:sz w:val="20"/>
        </w:rPr>
        <w:t> </w:t>
      </w:r>
      <w:r>
        <w:rPr>
          <w:i/>
          <w:color w:val="231F20"/>
          <w:sz w:val="20"/>
        </w:rPr>
        <w:t>всё,</w:t>
      </w:r>
      <w:r>
        <w:rPr>
          <w:i/>
          <w:color w:val="231F20"/>
          <w:spacing w:val="5"/>
          <w:sz w:val="20"/>
        </w:rPr>
        <w:t> </w:t>
      </w:r>
      <w:r>
        <w:rPr>
          <w:i/>
          <w:color w:val="231F20"/>
          <w:sz w:val="20"/>
        </w:rPr>
        <w:t>что</w:t>
      </w:r>
      <w:r>
        <w:rPr>
          <w:i/>
          <w:color w:val="231F20"/>
          <w:spacing w:val="5"/>
          <w:sz w:val="20"/>
        </w:rPr>
        <w:t> </w:t>
      </w:r>
      <w:r>
        <w:rPr>
          <w:i/>
          <w:color w:val="231F20"/>
          <w:sz w:val="20"/>
        </w:rPr>
        <w:t>он</w:t>
      </w:r>
      <w:r>
        <w:rPr>
          <w:i/>
          <w:color w:val="231F20"/>
          <w:spacing w:val="5"/>
          <w:sz w:val="20"/>
        </w:rPr>
        <w:t> </w:t>
      </w:r>
      <w:r>
        <w:rPr>
          <w:i/>
          <w:color w:val="231F20"/>
          <w:sz w:val="20"/>
        </w:rPr>
        <w:t>может.</w:t>
      </w:r>
      <w:r>
        <w:rPr>
          <w:i/>
          <w:color w:val="231F20"/>
          <w:spacing w:val="5"/>
          <w:sz w:val="20"/>
        </w:rPr>
        <w:t> </w:t>
      </w:r>
      <w:r>
        <w:rPr>
          <w:i/>
          <w:color w:val="231F20"/>
          <w:sz w:val="20"/>
        </w:rPr>
        <w:t>И</w:t>
      </w:r>
      <w:r>
        <w:rPr>
          <w:i/>
          <w:color w:val="231F20"/>
          <w:spacing w:val="5"/>
          <w:sz w:val="20"/>
        </w:rPr>
        <w:t> </w:t>
      </w:r>
      <w:r>
        <w:rPr>
          <w:i/>
          <w:color w:val="231F20"/>
          <w:sz w:val="20"/>
        </w:rPr>
        <w:t>одна</w:t>
      </w:r>
      <w:r>
        <w:rPr>
          <w:i/>
          <w:color w:val="231F20"/>
          <w:spacing w:val="5"/>
          <w:sz w:val="20"/>
        </w:rPr>
        <w:t> </w:t>
      </w:r>
      <w:r>
        <w:rPr>
          <w:i/>
          <w:color w:val="231F20"/>
          <w:sz w:val="20"/>
        </w:rPr>
        <w:t>из</w:t>
      </w:r>
      <w:r>
        <w:rPr>
          <w:i/>
          <w:color w:val="231F20"/>
          <w:spacing w:val="5"/>
          <w:sz w:val="20"/>
        </w:rPr>
        <w:t> </w:t>
      </w:r>
      <w:r>
        <w:rPr>
          <w:i/>
          <w:color w:val="231F20"/>
          <w:sz w:val="20"/>
        </w:rPr>
        <w:t>вещей,</w:t>
      </w:r>
      <w:r>
        <w:rPr>
          <w:i/>
          <w:color w:val="231F20"/>
          <w:spacing w:val="5"/>
          <w:sz w:val="20"/>
        </w:rPr>
        <w:t> </w:t>
      </w:r>
      <w:r>
        <w:rPr>
          <w:i/>
          <w:color w:val="231F20"/>
          <w:sz w:val="20"/>
        </w:rPr>
        <w:t>которые</w:t>
      </w:r>
      <w:r>
        <w:rPr>
          <w:i/>
          <w:color w:val="231F20"/>
          <w:spacing w:val="5"/>
          <w:sz w:val="20"/>
        </w:rPr>
        <w:t> </w:t>
      </w:r>
      <w:r>
        <w:rPr>
          <w:i/>
          <w:color w:val="231F20"/>
          <w:sz w:val="20"/>
        </w:rPr>
        <w:t>он</w:t>
      </w:r>
      <w:r>
        <w:rPr>
          <w:i/>
          <w:color w:val="231F20"/>
          <w:spacing w:val="5"/>
          <w:sz w:val="20"/>
        </w:rPr>
        <w:t> </w:t>
      </w:r>
      <w:r>
        <w:rPr>
          <w:i/>
          <w:color w:val="231F20"/>
          <w:sz w:val="20"/>
        </w:rPr>
        <w:t>решил</w:t>
      </w:r>
      <w:r>
        <w:rPr>
          <w:i/>
          <w:color w:val="231F20"/>
          <w:spacing w:val="5"/>
          <w:sz w:val="20"/>
        </w:rPr>
        <w:t> </w:t>
      </w:r>
      <w:r>
        <w:rPr>
          <w:i/>
          <w:color w:val="231F20"/>
          <w:sz w:val="20"/>
        </w:rPr>
        <w:t>делать</w:t>
      </w:r>
      <w:r>
        <w:rPr>
          <w:i/>
          <w:color w:val="231F20"/>
          <w:spacing w:val="5"/>
          <w:sz w:val="20"/>
        </w:rPr>
        <w:t> </w:t>
      </w:r>
      <w:r>
        <w:rPr>
          <w:i/>
          <w:color w:val="231F20"/>
          <w:sz w:val="20"/>
        </w:rPr>
        <w:t>–</w:t>
      </w:r>
      <w:r>
        <w:rPr>
          <w:i/>
          <w:color w:val="231F20"/>
          <w:spacing w:val="5"/>
          <w:sz w:val="20"/>
        </w:rPr>
        <w:t> </w:t>
      </w:r>
      <w:r>
        <w:rPr>
          <w:i/>
          <w:color w:val="231F20"/>
          <w:sz w:val="20"/>
        </w:rPr>
        <w:t>это</w:t>
      </w:r>
      <w:r>
        <w:rPr>
          <w:i/>
          <w:color w:val="231F20"/>
          <w:spacing w:val="6"/>
          <w:sz w:val="20"/>
        </w:rPr>
        <w:t> </w:t>
      </w:r>
      <w:r>
        <w:rPr>
          <w:i/>
          <w:color w:val="231F20"/>
          <w:spacing w:val="-5"/>
          <w:sz w:val="20"/>
        </w:rPr>
        <w:t>не</w:t>
      </w:r>
    </w:p>
    <w:p>
      <w:pPr>
        <w:spacing w:line="207" w:lineRule="exact" w:before="0"/>
        <w:ind w:left="141" w:right="0" w:firstLine="0"/>
        <w:jc w:val="both"/>
        <w:rPr>
          <w:i/>
          <w:sz w:val="20"/>
        </w:rPr>
      </w:pPr>
      <w:r>
        <w:rPr>
          <w:i/>
          <w:color w:val="231F20"/>
          <w:sz w:val="20"/>
        </w:rPr>
        <w:t>злиться,</w:t>
      </w:r>
      <w:r>
        <w:rPr>
          <w:i/>
          <w:color w:val="231F20"/>
          <w:spacing w:val="-8"/>
          <w:sz w:val="20"/>
        </w:rPr>
        <w:t> </w:t>
      </w:r>
      <w:r>
        <w:rPr>
          <w:i/>
          <w:color w:val="231F20"/>
          <w:sz w:val="20"/>
        </w:rPr>
        <w:t>сдерживать</w:t>
      </w:r>
      <w:r>
        <w:rPr>
          <w:i/>
          <w:color w:val="231F20"/>
          <w:spacing w:val="-7"/>
          <w:sz w:val="20"/>
        </w:rPr>
        <w:t> </w:t>
      </w:r>
      <w:r>
        <w:rPr>
          <w:i/>
          <w:color w:val="231F20"/>
          <w:spacing w:val="-2"/>
          <w:sz w:val="20"/>
        </w:rPr>
        <w:t>злость.</w:t>
      </w:r>
    </w:p>
    <w:p>
      <w:pPr>
        <w:spacing w:line="232" w:lineRule="auto" w:before="0"/>
        <w:ind w:left="141" w:right="139" w:firstLine="283"/>
        <w:jc w:val="both"/>
        <w:rPr>
          <w:i/>
          <w:sz w:val="20"/>
        </w:rPr>
      </w:pPr>
      <w:r>
        <w:rPr>
          <w:i/>
          <w:color w:val="231F20"/>
          <w:sz w:val="20"/>
        </w:rPr>
        <w:t>Такое было не один раз и не два. Этот мальчик ходил школу, и там сначала всё было</w:t>
      </w:r>
      <w:r>
        <w:rPr>
          <w:i/>
          <w:color w:val="231F20"/>
          <w:spacing w:val="-3"/>
          <w:sz w:val="20"/>
        </w:rPr>
        <w:t> </w:t>
      </w:r>
      <w:r>
        <w:rPr>
          <w:i/>
          <w:color w:val="231F20"/>
          <w:sz w:val="20"/>
        </w:rPr>
        <w:t>в</w:t>
      </w:r>
      <w:r>
        <w:rPr>
          <w:i/>
          <w:color w:val="231F20"/>
          <w:spacing w:val="-3"/>
          <w:sz w:val="20"/>
        </w:rPr>
        <w:t> </w:t>
      </w:r>
      <w:r>
        <w:rPr>
          <w:i/>
          <w:color w:val="231F20"/>
          <w:sz w:val="20"/>
        </w:rPr>
        <w:t>порядке.</w:t>
      </w:r>
      <w:r>
        <w:rPr>
          <w:i/>
          <w:color w:val="231F20"/>
          <w:spacing w:val="-3"/>
          <w:sz w:val="20"/>
        </w:rPr>
        <w:t> </w:t>
      </w:r>
      <w:r>
        <w:rPr>
          <w:i/>
          <w:color w:val="231F20"/>
          <w:sz w:val="20"/>
        </w:rPr>
        <w:t>Злость,</w:t>
      </w:r>
      <w:r>
        <w:rPr>
          <w:i/>
          <w:color w:val="231F20"/>
          <w:spacing w:val="-3"/>
          <w:sz w:val="20"/>
        </w:rPr>
        <w:t> </w:t>
      </w:r>
      <w:r>
        <w:rPr>
          <w:i/>
          <w:color w:val="231F20"/>
          <w:sz w:val="20"/>
        </w:rPr>
        <w:t>которую</w:t>
      </w:r>
      <w:r>
        <w:rPr>
          <w:i/>
          <w:color w:val="231F20"/>
          <w:spacing w:val="-3"/>
          <w:sz w:val="20"/>
        </w:rPr>
        <w:t> </w:t>
      </w:r>
      <w:r>
        <w:rPr>
          <w:i/>
          <w:color w:val="231F20"/>
          <w:sz w:val="20"/>
        </w:rPr>
        <w:t>мальчик</w:t>
      </w:r>
      <w:r>
        <w:rPr>
          <w:i/>
          <w:color w:val="231F20"/>
          <w:spacing w:val="-3"/>
          <w:sz w:val="20"/>
        </w:rPr>
        <w:t> </w:t>
      </w:r>
      <w:r>
        <w:rPr>
          <w:i/>
          <w:color w:val="231F20"/>
          <w:sz w:val="20"/>
        </w:rPr>
        <w:t>сдерживал</w:t>
      </w:r>
      <w:r>
        <w:rPr>
          <w:i/>
          <w:color w:val="231F20"/>
          <w:spacing w:val="-3"/>
          <w:sz w:val="20"/>
        </w:rPr>
        <w:t> </w:t>
      </w:r>
      <w:r>
        <w:rPr>
          <w:i/>
          <w:color w:val="231F20"/>
          <w:sz w:val="20"/>
        </w:rPr>
        <w:t>в</w:t>
      </w:r>
      <w:r>
        <w:rPr>
          <w:i/>
          <w:color w:val="231F20"/>
          <w:spacing w:val="-3"/>
          <w:sz w:val="20"/>
        </w:rPr>
        <w:t> </w:t>
      </w:r>
      <w:r>
        <w:rPr>
          <w:i/>
          <w:color w:val="231F20"/>
          <w:sz w:val="20"/>
        </w:rPr>
        <w:t>себе,</w:t>
      </w:r>
      <w:r>
        <w:rPr>
          <w:i/>
          <w:color w:val="231F20"/>
          <w:spacing w:val="-3"/>
          <w:sz w:val="20"/>
        </w:rPr>
        <w:t> </w:t>
      </w:r>
      <w:r>
        <w:rPr>
          <w:i/>
          <w:color w:val="231F20"/>
          <w:sz w:val="20"/>
        </w:rPr>
        <w:t>стала</w:t>
      </w:r>
      <w:r>
        <w:rPr>
          <w:i/>
          <w:color w:val="231F20"/>
          <w:spacing w:val="-3"/>
          <w:sz w:val="20"/>
        </w:rPr>
        <w:t> </w:t>
      </w:r>
      <w:r>
        <w:rPr>
          <w:i/>
          <w:color w:val="231F20"/>
          <w:sz w:val="20"/>
        </w:rPr>
        <w:t>накапливаться</w:t>
      </w:r>
      <w:r>
        <w:rPr>
          <w:i/>
          <w:color w:val="231F20"/>
          <w:spacing w:val="-3"/>
          <w:sz w:val="20"/>
        </w:rPr>
        <w:t> </w:t>
      </w:r>
      <w:r>
        <w:rPr>
          <w:i/>
          <w:color w:val="231F20"/>
          <w:sz w:val="20"/>
        </w:rPr>
        <w:t>и накапливаться.</w:t>
      </w:r>
      <w:r>
        <w:rPr>
          <w:i/>
          <w:color w:val="231F20"/>
          <w:spacing w:val="-7"/>
          <w:sz w:val="20"/>
        </w:rPr>
        <w:t> </w:t>
      </w:r>
      <w:r>
        <w:rPr>
          <w:i/>
          <w:color w:val="231F20"/>
          <w:sz w:val="20"/>
        </w:rPr>
        <w:t>И</w:t>
      </w:r>
      <w:r>
        <w:rPr>
          <w:i/>
          <w:color w:val="231F20"/>
          <w:spacing w:val="-7"/>
          <w:sz w:val="20"/>
        </w:rPr>
        <w:t> </w:t>
      </w:r>
      <w:r>
        <w:rPr>
          <w:i/>
          <w:color w:val="231F20"/>
          <w:sz w:val="20"/>
        </w:rPr>
        <w:t>вот</w:t>
      </w:r>
      <w:r>
        <w:rPr>
          <w:i/>
          <w:color w:val="231F20"/>
          <w:spacing w:val="-7"/>
          <w:sz w:val="20"/>
        </w:rPr>
        <w:t> </w:t>
      </w:r>
      <w:r>
        <w:rPr>
          <w:i/>
          <w:color w:val="231F20"/>
          <w:sz w:val="20"/>
        </w:rPr>
        <w:t>иногда</w:t>
      </w:r>
      <w:r>
        <w:rPr>
          <w:i/>
          <w:color w:val="231F20"/>
          <w:spacing w:val="-7"/>
          <w:sz w:val="20"/>
        </w:rPr>
        <w:t> </w:t>
      </w:r>
      <w:r>
        <w:rPr>
          <w:i/>
          <w:color w:val="231F20"/>
          <w:sz w:val="20"/>
        </w:rPr>
        <w:t>она</w:t>
      </w:r>
      <w:r>
        <w:rPr>
          <w:i/>
          <w:color w:val="231F20"/>
          <w:spacing w:val="-7"/>
          <w:sz w:val="20"/>
        </w:rPr>
        <w:t> </w:t>
      </w:r>
      <w:r>
        <w:rPr>
          <w:i/>
          <w:color w:val="231F20"/>
          <w:sz w:val="20"/>
        </w:rPr>
        <w:t>стала</w:t>
      </w:r>
      <w:r>
        <w:rPr>
          <w:i/>
          <w:color w:val="231F20"/>
          <w:spacing w:val="-7"/>
          <w:sz w:val="20"/>
        </w:rPr>
        <w:t> </w:t>
      </w:r>
      <w:r>
        <w:rPr>
          <w:i/>
          <w:color w:val="231F20"/>
          <w:sz w:val="20"/>
        </w:rPr>
        <w:t>прорываться,</w:t>
      </w:r>
      <w:r>
        <w:rPr>
          <w:i/>
          <w:color w:val="231F20"/>
          <w:spacing w:val="-7"/>
          <w:sz w:val="20"/>
        </w:rPr>
        <w:t> </w:t>
      </w:r>
      <w:r>
        <w:rPr>
          <w:i/>
          <w:color w:val="231F20"/>
          <w:sz w:val="20"/>
        </w:rPr>
        <w:t>как</w:t>
      </w:r>
      <w:r>
        <w:rPr>
          <w:i/>
          <w:color w:val="231F20"/>
          <w:spacing w:val="-7"/>
          <w:sz w:val="20"/>
        </w:rPr>
        <w:t> </w:t>
      </w:r>
      <w:r>
        <w:rPr>
          <w:i/>
          <w:color w:val="231F20"/>
          <w:sz w:val="20"/>
        </w:rPr>
        <w:t>прорывается</w:t>
      </w:r>
      <w:r>
        <w:rPr>
          <w:i/>
          <w:color w:val="231F20"/>
          <w:spacing w:val="-7"/>
          <w:sz w:val="20"/>
        </w:rPr>
        <w:t> </w:t>
      </w:r>
      <w:r>
        <w:rPr>
          <w:i/>
          <w:color w:val="231F20"/>
          <w:sz w:val="20"/>
        </w:rPr>
        <w:t>пар</w:t>
      </w:r>
      <w:r>
        <w:rPr>
          <w:i/>
          <w:color w:val="231F20"/>
          <w:spacing w:val="-7"/>
          <w:sz w:val="20"/>
        </w:rPr>
        <w:t> </w:t>
      </w:r>
      <w:r>
        <w:rPr>
          <w:i/>
          <w:color w:val="231F20"/>
          <w:sz w:val="20"/>
        </w:rPr>
        <w:t>из</w:t>
      </w:r>
      <w:r>
        <w:rPr>
          <w:i/>
          <w:color w:val="231F20"/>
          <w:spacing w:val="-7"/>
          <w:sz w:val="20"/>
        </w:rPr>
        <w:t> </w:t>
      </w:r>
      <w:r>
        <w:rPr>
          <w:i/>
          <w:color w:val="231F20"/>
          <w:sz w:val="20"/>
        </w:rPr>
        <w:t>кипя- щей</w:t>
      </w:r>
      <w:r>
        <w:rPr>
          <w:i/>
          <w:color w:val="231F20"/>
          <w:spacing w:val="-4"/>
          <w:sz w:val="20"/>
        </w:rPr>
        <w:t> </w:t>
      </w:r>
      <w:r>
        <w:rPr>
          <w:i/>
          <w:color w:val="231F20"/>
          <w:sz w:val="20"/>
        </w:rPr>
        <w:t>кастрюли.</w:t>
      </w:r>
      <w:r>
        <w:rPr>
          <w:i/>
          <w:color w:val="231F20"/>
          <w:spacing w:val="-4"/>
          <w:sz w:val="20"/>
        </w:rPr>
        <w:t> </w:t>
      </w:r>
      <w:r>
        <w:rPr>
          <w:i/>
          <w:color w:val="231F20"/>
          <w:sz w:val="20"/>
        </w:rPr>
        <w:t>Мальчик</w:t>
      </w:r>
      <w:r>
        <w:rPr>
          <w:i/>
          <w:color w:val="231F20"/>
          <w:spacing w:val="-4"/>
          <w:sz w:val="20"/>
        </w:rPr>
        <w:t> </w:t>
      </w:r>
      <w:r>
        <w:rPr>
          <w:i/>
          <w:color w:val="231F20"/>
          <w:sz w:val="20"/>
        </w:rPr>
        <w:t>выпускал</w:t>
      </w:r>
      <w:r>
        <w:rPr>
          <w:i/>
          <w:color w:val="231F20"/>
          <w:spacing w:val="-4"/>
          <w:sz w:val="20"/>
        </w:rPr>
        <w:t> </w:t>
      </w:r>
      <w:r>
        <w:rPr>
          <w:i/>
          <w:color w:val="231F20"/>
          <w:sz w:val="20"/>
        </w:rPr>
        <w:t>всю</w:t>
      </w:r>
      <w:r>
        <w:rPr>
          <w:i/>
          <w:color w:val="231F20"/>
          <w:spacing w:val="-4"/>
          <w:sz w:val="20"/>
        </w:rPr>
        <w:t> </w:t>
      </w:r>
      <w:r>
        <w:rPr>
          <w:i/>
          <w:color w:val="231F20"/>
          <w:sz w:val="20"/>
        </w:rPr>
        <w:t>накопившуюся</w:t>
      </w:r>
      <w:r>
        <w:rPr>
          <w:i/>
          <w:color w:val="231F20"/>
          <w:spacing w:val="-4"/>
          <w:sz w:val="20"/>
        </w:rPr>
        <w:t> </w:t>
      </w:r>
      <w:r>
        <w:rPr>
          <w:i/>
          <w:color w:val="231F20"/>
          <w:sz w:val="20"/>
        </w:rPr>
        <w:t>злость.</w:t>
      </w:r>
      <w:r>
        <w:rPr>
          <w:i/>
          <w:color w:val="231F20"/>
          <w:spacing w:val="-4"/>
          <w:sz w:val="20"/>
        </w:rPr>
        <w:t> </w:t>
      </w:r>
      <w:r>
        <w:rPr>
          <w:i/>
          <w:color w:val="231F20"/>
          <w:sz w:val="20"/>
        </w:rPr>
        <w:t>И</w:t>
      </w:r>
      <w:r>
        <w:rPr>
          <w:i/>
          <w:color w:val="231F20"/>
          <w:spacing w:val="-4"/>
          <w:sz w:val="20"/>
        </w:rPr>
        <w:t> </w:t>
      </w:r>
      <w:r>
        <w:rPr>
          <w:i/>
          <w:color w:val="231F20"/>
          <w:sz w:val="20"/>
        </w:rPr>
        <w:t>получалось</w:t>
      </w:r>
      <w:r>
        <w:rPr>
          <w:i/>
          <w:color w:val="231F20"/>
          <w:spacing w:val="-4"/>
          <w:sz w:val="20"/>
        </w:rPr>
        <w:t> </w:t>
      </w:r>
      <w:r>
        <w:rPr>
          <w:i/>
          <w:color w:val="231F20"/>
          <w:sz w:val="20"/>
        </w:rPr>
        <w:t>так,</w:t>
      </w:r>
      <w:r>
        <w:rPr>
          <w:i/>
          <w:color w:val="231F20"/>
          <w:spacing w:val="-4"/>
          <w:sz w:val="20"/>
        </w:rPr>
        <w:t> </w:t>
      </w:r>
      <w:r>
        <w:rPr>
          <w:i/>
          <w:color w:val="231F20"/>
          <w:sz w:val="20"/>
        </w:rPr>
        <w:t>что люди,</w:t>
      </w:r>
      <w:r>
        <w:rPr>
          <w:i/>
          <w:color w:val="231F20"/>
          <w:spacing w:val="-2"/>
          <w:sz w:val="20"/>
        </w:rPr>
        <w:t> </w:t>
      </w:r>
      <w:r>
        <w:rPr>
          <w:i/>
          <w:color w:val="231F20"/>
          <w:sz w:val="20"/>
        </w:rPr>
        <w:t>которые</w:t>
      </w:r>
      <w:r>
        <w:rPr>
          <w:i/>
          <w:color w:val="231F20"/>
          <w:spacing w:val="-2"/>
          <w:sz w:val="20"/>
        </w:rPr>
        <w:t> </w:t>
      </w:r>
      <w:r>
        <w:rPr>
          <w:i/>
          <w:color w:val="231F20"/>
          <w:sz w:val="20"/>
        </w:rPr>
        <w:t>смотрели</w:t>
      </w:r>
      <w:r>
        <w:rPr>
          <w:i/>
          <w:color w:val="231F20"/>
          <w:spacing w:val="-2"/>
          <w:sz w:val="20"/>
        </w:rPr>
        <w:t> </w:t>
      </w:r>
      <w:r>
        <w:rPr>
          <w:i/>
          <w:color w:val="231F20"/>
          <w:sz w:val="20"/>
        </w:rPr>
        <w:t>со</w:t>
      </w:r>
      <w:r>
        <w:rPr>
          <w:i/>
          <w:color w:val="231F20"/>
          <w:spacing w:val="-2"/>
          <w:sz w:val="20"/>
        </w:rPr>
        <w:t> </w:t>
      </w:r>
      <w:r>
        <w:rPr>
          <w:i/>
          <w:color w:val="231F20"/>
          <w:sz w:val="20"/>
        </w:rPr>
        <w:t>стороны,</w:t>
      </w:r>
      <w:r>
        <w:rPr>
          <w:i/>
          <w:color w:val="231F20"/>
          <w:spacing w:val="-2"/>
          <w:sz w:val="20"/>
        </w:rPr>
        <w:t> </w:t>
      </w:r>
      <w:r>
        <w:rPr>
          <w:i/>
          <w:color w:val="231F20"/>
          <w:sz w:val="20"/>
        </w:rPr>
        <w:t>удивлялись.</w:t>
      </w:r>
      <w:r>
        <w:rPr>
          <w:i/>
          <w:color w:val="231F20"/>
          <w:spacing w:val="-2"/>
          <w:sz w:val="20"/>
        </w:rPr>
        <w:t> </w:t>
      </w:r>
      <w:r>
        <w:rPr>
          <w:i/>
          <w:color w:val="231F20"/>
          <w:sz w:val="20"/>
        </w:rPr>
        <w:t>Странно,</w:t>
      </w:r>
      <w:r>
        <w:rPr>
          <w:i/>
          <w:color w:val="231F20"/>
          <w:spacing w:val="-2"/>
          <w:sz w:val="20"/>
        </w:rPr>
        <w:t> </w:t>
      </w:r>
      <w:r>
        <w:rPr>
          <w:i/>
          <w:color w:val="231F20"/>
          <w:sz w:val="20"/>
        </w:rPr>
        <w:t>вроде</w:t>
      </w:r>
      <w:r>
        <w:rPr>
          <w:i/>
          <w:color w:val="231F20"/>
          <w:spacing w:val="-2"/>
          <w:sz w:val="20"/>
        </w:rPr>
        <w:t> </w:t>
      </w:r>
      <w:r>
        <w:rPr>
          <w:i/>
          <w:color w:val="231F20"/>
          <w:sz w:val="20"/>
        </w:rPr>
        <w:t>бы</w:t>
      </w:r>
      <w:r>
        <w:rPr>
          <w:i/>
          <w:color w:val="231F20"/>
          <w:spacing w:val="-2"/>
          <w:sz w:val="20"/>
        </w:rPr>
        <w:t> </w:t>
      </w:r>
      <w:r>
        <w:rPr>
          <w:i/>
          <w:color w:val="231F20"/>
          <w:sz w:val="20"/>
        </w:rPr>
        <w:t>это</w:t>
      </w:r>
      <w:r>
        <w:rPr>
          <w:i/>
          <w:color w:val="231F20"/>
          <w:spacing w:val="-2"/>
          <w:sz w:val="20"/>
        </w:rPr>
        <w:t> </w:t>
      </w:r>
      <w:r>
        <w:rPr>
          <w:i/>
          <w:color w:val="231F20"/>
          <w:sz w:val="20"/>
        </w:rPr>
        <w:t>совсем</w:t>
      </w:r>
      <w:r>
        <w:rPr>
          <w:i/>
          <w:color w:val="231F20"/>
          <w:spacing w:val="-2"/>
          <w:sz w:val="20"/>
        </w:rPr>
        <w:t> </w:t>
      </w:r>
      <w:r>
        <w:rPr>
          <w:i/>
          <w:color w:val="231F20"/>
          <w:sz w:val="20"/>
        </w:rPr>
        <w:t>не злой мальчик. Что такое? Почему это прорывается? И так происходило несколько раз. В этих ситуациях мальчик был прав, но та злость, которая в нём возникала, была вызвана не только этим случаем. Мальчику это тоже было неприятно, но он не знал, что с этим поделать.</w:t>
      </w:r>
    </w:p>
    <w:p>
      <w:pPr>
        <w:spacing w:after="0" w:line="232" w:lineRule="auto"/>
        <w:jc w:val="both"/>
        <w:rPr>
          <w:i/>
          <w:sz w:val="20"/>
        </w:rPr>
        <w:sectPr>
          <w:pgSz w:w="8400" w:h="11910"/>
          <w:pgMar w:header="0" w:footer="529" w:top="400" w:bottom="740" w:left="425" w:right="425"/>
        </w:sectPr>
      </w:pPr>
    </w:p>
    <w:p>
      <w:pPr>
        <w:pStyle w:val="ListParagraph"/>
        <w:numPr>
          <w:ilvl w:val="1"/>
          <w:numId w:val="191"/>
        </w:numPr>
        <w:tabs>
          <w:tab w:pos="455" w:val="left" w:leader="none"/>
        </w:tabs>
        <w:spacing w:line="240" w:lineRule="auto" w:before="80" w:after="0"/>
        <w:ind w:left="455" w:right="0" w:hanging="314"/>
        <w:jc w:val="both"/>
        <w:rPr>
          <w:rFonts w:ascii="Georgia" w:hAnsi="Georgia"/>
          <w:sz w:val="18"/>
        </w:rPr>
      </w:pPr>
      <w:r>
        <w:rPr>
          <w:rFonts w:ascii="Georgia" w:hAnsi="Georgia"/>
          <w:color w:val="231F20"/>
          <w:sz w:val="18"/>
        </w:rPr>
        <w:t>Метод</w:t>
      </w:r>
      <w:r>
        <w:rPr>
          <w:rFonts w:ascii="Georgia" w:hAnsi="Georgia"/>
          <w:color w:val="231F20"/>
          <w:spacing w:val="-6"/>
          <w:sz w:val="18"/>
        </w:rPr>
        <w:t> </w:t>
      </w:r>
      <w:r>
        <w:rPr>
          <w:rFonts w:ascii="Georgia" w:hAnsi="Georgia"/>
          <w:color w:val="231F20"/>
          <w:sz w:val="18"/>
        </w:rPr>
        <w:t>диалогического</w:t>
      </w:r>
      <w:r>
        <w:rPr>
          <w:rFonts w:ascii="Georgia" w:hAnsi="Georgia"/>
          <w:color w:val="231F20"/>
          <w:spacing w:val="-5"/>
          <w:sz w:val="18"/>
        </w:rPr>
        <w:t> </w:t>
      </w:r>
      <w:r>
        <w:rPr>
          <w:rFonts w:ascii="Georgia" w:hAnsi="Georgia"/>
          <w:color w:val="231F20"/>
          <w:sz w:val="18"/>
        </w:rPr>
        <w:t>рассказывания</w:t>
      </w:r>
      <w:r>
        <w:rPr>
          <w:rFonts w:ascii="Georgia" w:hAnsi="Georgia"/>
          <w:color w:val="231F20"/>
          <w:spacing w:val="-6"/>
          <w:sz w:val="18"/>
        </w:rPr>
        <w:t> </w:t>
      </w:r>
      <w:r>
        <w:rPr>
          <w:rFonts w:ascii="Georgia" w:hAnsi="Georgia"/>
          <w:color w:val="231F20"/>
          <w:sz w:val="18"/>
        </w:rPr>
        <w:t>историй:</w:t>
      </w:r>
      <w:r>
        <w:rPr>
          <w:rFonts w:ascii="Georgia" w:hAnsi="Georgia"/>
          <w:color w:val="231F20"/>
          <w:spacing w:val="-5"/>
          <w:sz w:val="18"/>
        </w:rPr>
        <w:t> </w:t>
      </w:r>
      <w:r>
        <w:rPr>
          <w:rFonts w:ascii="Georgia" w:hAnsi="Georgia"/>
          <w:color w:val="231F20"/>
          <w:sz w:val="18"/>
        </w:rPr>
        <w:t>методическое</w:t>
      </w:r>
      <w:r>
        <w:rPr>
          <w:rFonts w:ascii="Georgia" w:hAnsi="Georgia"/>
          <w:color w:val="231F20"/>
          <w:spacing w:val="-5"/>
          <w:sz w:val="18"/>
        </w:rPr>
        <w:t> </w:t>
      </w:r>
      <w:r>
        <w:rPr>
          <w:rFonts w:ascii="Georgia" w:hAnsi="Georgia"/>
          <w:color w:val="231F20"/>
          <w:spacing w:val="-2"/>
          <w:sz w:val="18"/>
        </w:rPr>
        <w:t>руководство</w:t>
      </w:r>
    </w:p>
    <w:p>
      <w:pPr>
        <w:spacing w:line="235" w:lineRule="auto" w:before="116"/>
        <w:ind w:left="141" w:right="139" w:firstLine="283"/>
        <w:jc w:val="both"/>
        <w:rPr>
          <w:i/>
          <w:sz w:val="20"/>
        </w:rPr>
      </w:pPr>
      <w:r>
        <w:rPr>
          <w:i/>
          <w:color w:val="231F20"/>
          <w:sz w:val="20"/>
        </w:rPr>
        <w:t>И вот случилось как-то история. Он шёл по улице, и к нему прилетела птичка. Это</w:t>
      </w:r>
      <w:r>
        <w:rPr>
          <w:i/>
          <w:color w:val="231F20"/>
          <w:spacing w:val="-10"/>
          <w:sz w:val="20"/>
        </w:rPr>
        <w:t> </w:t>
      </w:r>
      <w:r>
        <w:rPr>
          <w:i/>
          <w:color w:val="231F20"/>
          <w:sz w:val="20"/>
        </w:rPr>
        <w:t>была</w:t>
      </w:r>
      <w:r>
        <w:rPr>
          <w:i/>
          <w:color w:val="231F20"/>
          <w:spacing w:val="-10"/>
          <w:sz w:val="20"/>
        </w:rPr>
        <w:t> </w:t>
      </w:r>
      <w:r>
        <w:rPr>
          <w:i/>
          <w:color w:val="231F20"/>
          <w:sz w:val="20"/>
        </w:rPr>
        <w:t>не</w:t>
      </w:r>
      <w:r>
        <w:rPr>
          <w:i/>
          <w:color w:val="231F20"/>
          <w:spacing w:val="-10"/>
          <w:sz w:val="20"/>
        </w:rPr>
        <w:t> </w:t>
      </w:r>
      <w:r>
        <w:rPr>
          <w:i/>
          <w:color w:val="231F20"/>
          <w:sz w:val="20"/>
        </w:rPr>
        <w:t>обычная</w:t>
      </w:r>
      <w:r>
        <w:rPr>
          <w:i/>
          <w:color w:val="231F20"/>
          <w:spacing w:val="-9"/>
          <w:sz w:val="20"/>
        </w:rPr>
        <w:t> </w:t>
      </w:r>
      <w:r>
        <w:rPr>
          <w:i/>
          <w:color w:val="231F20"/>
          <w:sz w:val="20"/>
        </w:rPr>
        <w:t>птичка,</w:t>
      </w:r>
      <w:r>
        <w:rPr>
          <w:i/>
          <w:color w:val="231F20"/>
          <w:spacing w:val="-10"/>
          <w:sz w:val="20"/>
        </w:rPr>
        <w:t> </w:t>
      </w:r>
      <w:r>
        <w:rPr>
          <w:i/>
          <w:color w:val="231F20"/>
          <w:sz w:val="20"/>
        </w:rPr>
        <w:t>а</w:t>
      </w:r>
      <w:r>
        <w:rPr>
          <w:i/>
          <w:color w:val="231F20"/>
          <w:spacing w:val="-10"/>
          <w:sz w:val="20"/>
        </w:rPr>
        <w:t> </w:t>
      </w:r>
      <w:r>
        <w:rPr>
          <w:i/>
          <w:color w:val="231F20"/>
          <w:sz w:val="20"/>
        </w:rPr>
        <w:t>волшебная.</w:t>
      </w:r>
      <w:r>
        <w:rPr>
          <w:i/>
          <w:color w:val="231F20"/>
          <w:spacing w:val="-10"/>
          <w:sz w:val="20"/>
        </w:rPr>
        <w:t> </w:t>
      </w:r>
      <w:r>
        <w:rPr>
          <w:i/>
          <w:color w:val="231F20"/>
          <w:sz w:val="20"/>
        </w:rPr>
        <w:t>Она</w:t>
      </w:r>
      <w:r>
        <w:rPr>
          <w:i/>
          <w:color w:val="231F20"/>
          <w:spacing w:val="-10"/>
          <w:sz w:val="20"/>
        </w:rPr>
        <w:t> </w:t>
      </w:r>
      <w:r>
        <w:rPr>
          <w:i/>
          <w:color w:val="231F20"/>
          <w:sz w:val="20"/>
        </w:rPr>
        <w:t>стала</w:t>
      </w:r>
      <w:r>
        <w:rPr>
          <w:i/>
          <w:color w:val="231F20"/>
          <w:spacing w:val="-10"/>
          <w:sz w:val="20"/>
        </w:rPr>
        <w:t> </w:t>
      </w:r>
      <w:r>
        <w:rPr>
          <w:i/>
          <w:color w:val="231F20"/>
          <w:sz w:val="20"/>
        </w:rPr>
        <w:t>ему</w:t>
      </w:r>
      <w:r>
        <w:rPr>
          <w:i/>
          <w:color w:val="231F20"/>
          <w:spacing w:val="-10"/>
          <w:sz w:val="20"/>
        </w:rPr>
        <w:t> </w:t>
      </w:r>
      <w:r>
        <w:rPr>
          <w:i/>
          <w:color w:val="231F20"/>
          <w:sz w:val="20"/>
        </w:rPr>
        <w:t>что-то</w:t>
      </w:r>
      <w:r>
        <w:rPr>
          <w:i/>
          <w:color w:val="231F20"/>
          <w:spacing w:val="-9"/>
          <w:sz w:val="20"/>
        </w:rPr>
        <w:t> </w:t>
      </w:r>
      <w:r>
        <w:rPr>
          <w:i/>
          <w:color w:val="231F20"/>
          <w:sz w:val="20"/>
        </w:rPr>
        <w:t>чирикать,</w:t>
      </w:r>
      <w:r>
        <w:rPr>
          <w:i/>
          <w:color w:val="231F20"/>
          <w:spacing w:val="-10"/>
          <w:sz w:val="20"/>
        </w:rPr>
        <w:t> </w:t>
      </w:r>
      <w:r>
        <w:rPr>
          <w:i/>
          <w:color w:val="231F20"/>
          <w:sz w:val="20"/>
        </w:rPr>
        <w:t>и</w:t>
      </w:r>
      <w:r>
        <w:rPr>
          <w:i/>
          <w:color w:val="231F20"/>
          <w:spacing w:val="-10"/>
          <w:sz w:val="20"/>
        </w:rPr>
        <w:t> </w:t>
      </w:r>
      <w:r>
        <w:rPr>
          <w:i/>
          <w:color w:val="231F20"/>
          <w:sz w:val="20"/>
        </w:rPr>
        <w:t>вдруг мальчик почувствовал, что птичка не просто чирикает, а птичка говорит ему ка- кие-то</w:t>
      </w:r>
      <w:r>
        <w:rPr>
          <w:i/>
          <w:color w:val="231F20"/>
          <w:spacing w:val="-7"/>
          <w:sz w:val="20"/>
        </w:rPr>
        <w:t> </w:t>
      </w:r>
      <w:r>
        <w:rPr>
          <w:i/>
          <w:color w:val="231F20"/>
          <w:sz w:val="20"/>
        </w:rPr>
        <w:t>слова.</w:t>
      </w:r>
      <w:r>
        <w:rPr>
          <w:i/>
          <w:color w:val="231F20"/>
          <w:spacing w:val="-7"/>
          <w:sz w:val="20"/>
        </w:rPr>
        <w:t> </w:t>
      </w:r>
      <w:r>
        <w:rPr>
          <w:i/>
          <w:color w:val="231F20"/>
          <w:sz w:val="20"/>
        </w:rPr>
        <w:t>И</w:t>
      </w:r>
      <w:r>
        <w:rPr>
          <w:i/>
          <w:color w:val="231F20"/>
          <w:spacing w:val="-7"/>
          <w:sz w:val="20"/>
        </w:rPr>
        <w:t> </w:t>
      </w:r>
      <w:r>
        <w:rPr>
          <w:i/>
          <w:color w:val="231F20"/>
          <w:sz w:val="20"/>
        </w:rPr>
        <w:t>эта</w:t>
      </w:r>
      <w:r>
        <w:rPr>
          <w:i/>
          <w:color w:val="231F20"/>
          <w:spacing w:val="-7"/>
          <w:sz w:val="20"/>
        </w:rPr>
        <w:t> </w:t>
      </w:r>
      <w:r>
        <w:rPr>
          <w:i/>
          <w:color w:val="231F20"/>
          <w:sz w:val="20"/>
        </w:rPr>
        <w:t>птичка</w:t>
      </w:r>
      <w:r>
        <w:rPr>
          <w:i/>
          <w:color w:val="231F20"/>
          <w:spacing w:val="-7"/>
          <w:sz w:val="20"/>
        </w:rPr>
        <w:t> </w:t>
      </w:r>
      <w:r>
        <w:rPr>
          <w:i/>
          <w:color w:val="231F20"/>
          <w:sz w:val="20"/>
        </w:rPr>
        <w:t>объяснила</w:t>
      </w:r>
      <w:r>
        <w:rPr>
          <w:i/>
          <w:color w:val="231F20"/>
          <w:spacing w:val="-7"/>
          <w:sz w:val="20"/>
        </w:rPr>
        <w:t> </w:t>
      </w:r>
      <w:r>
        <w:rPr>
          <w:i/>
          <w:color w:val="231F20"/>
          <w:sz w:val="20"/>
        </w:rPr>
        <w:t>ему,</w:t>
      </w:r>
      <w:r>
        <w:rPr>
          <w:i/>
          <w:color w:val="231F20"/>
          <w:spacing w:val="-7"/>
          <w:sz w:val="20"/>
        </w:rPr>
        <w:t> </w:t>
      </w:r>
      <w:r>
        <w:rPr>
          <w:i/>
          <w:color w:val="231F20"/>
          <w:sz w:val="20"/>
        </w:rPr>
        <w:t>что</w:t>
      </w:r>
      <w:r>
        <w:rPr>
          <w:i/>
          <w:color w:val="231F20"/>
          <w:spacing w:val="-7"/>
          <w:sz w:val="20"/>
        </w:rPr>
        <w:t> </w:t>
      </w:r>
      <w:r>
        <w:rPr>
          <w:i/>
          <w:color w:val="231F20"/>
          <w:sz w:val="20"/>
        </w:rPr>
        <w:t>злость</w:t>
      </w:r>
      <w:r>
        <w:rPr>
          <w:i/>
          <w:color w:val="231F20"/>
          <w:spacing w:val="-7"/>
          <w:sz w:val="20"/>
        </w:rPr>
        <w:t> </w:t>
      </w:r>
      <w:r>
        <w:rPr>
          <w:i/>
          <w:color w:val="231F20"/>
          <w:sz w:val="20"/>
        </w:rPr>
        <w:t>–</w:t>
      </w:r>
      <w:r>
        <w:rPr>
          <w:i/>
          <w:color w:val="231F20"/>
          <w:spacing w:val="-7"/>
          <w:sz w:val="20"/>
        </w:rPr>
        <w:t> </w:t>
      </w:r>
      <w:r>
        <w:rPr>
          <w:i/>
          <w:color w:val="231F20"/>
          <w:sz w:val="20"/>
        </w:rPr>
        <w:t>это</w:t>
      </w:r>
      <w:r>
        <w:rPr>
          <w:i/>
          <w:color w:val="231F20"/>
          <w:spacing w:val="-7"/>
          <w:sz w:val="20"/>
        </w:rPr>
        <w:t> </w:t>
      </w:r>
      <w:r>
        <w:rPr>
          <w:i/>
          <w:color w:val="231F20"/>
          <w:sz w:val="20"/>
        </w:rPr>
        <w:t>нормально,</w:t>
      </w:r>
      <w:r>
        <w:rPr>
          <w:i/>
          <w:color w:val="231F20"/>
          <w:spacing w:val="-7"/>
          <w:sz w:val="20"/>
        </w:rPr>
        <w:t> </w:t>
      </w:r>
      <w:r>
        <w:rPr>
          <w:i/>
          <w:color w:val="231F20"/>
          <w:sz w:val="20"/>
        </w:rPr>
        <w:t>и</w:t>
      </w:r>
      <w:r>
        <w:rPr>
          <w:i/>
          <w:color w:val="231F20"/>
          <w:spacing w:val="-7"/>
          <w:sz w:val="20"/>
        </w:rPr>
        <w:t> </w:t>
      </w:r>
      <w:r>
        <w:rPr>
          <w:i/>
          <w:color w:val="231F20"/>
          <w:sz w:val="20"/>
        </w:rPr>
        <w:t>что,</w:t>
      </w:r>
      <w:r>
        <w:rPr>
          <w:i/>
          <w:color w:val="231F20"/>
          <w:spacing w:val="-7"/>
          <w:sz w:val="20"/>
        </w:rPr>
        <w:t> </w:t>
      </w:r>
      <w:r>
        <w:rPr>
          <w:i/>
          <w:color w:val="231F20"/>
          <w:sz w:val="20"/>
        </w:rPr>
        <w:t>если он на кого-то злится, это не влияет на то, поправится этот человек или нет. Она объяснила, что иногда возникает злость на близких людей, это – жизнь, и такое бывает. Она сказала так: «Конечно, ты не можешь говорить маме о том, что ты злишься.</w:t>
      </w:r>
      <w:r>
        <w:rPr>
          <w:i/>
          <w:color w:val="231F20"/>
          <w:spacing w:val="-13"/>
          <w:sz w:val="20"/>
        </w:rPr>
        <w:t> </w:t>
      </w:r>
      <w:r>
        <w:rPr>
          <w:i/>
          <w:color w:val="231F20"/>
          <w:sz w:val="20"/>
        </w:rPr>
        <w:t>Она</w:t>
      </w:r>
      <w:r>
        <w:rPr>
          <w:i/>
          <w:color w:val="231F20"/>
          <w:spacing w:val="-12"/>
          <w:sz w:val="20"/>
        </w:rPr>
        <w:t> </w:t>
      </w:r>
      <w:r>
        <w:rPr>
          <w:i/>
          <w:color w:val="231F20"/>
          <w:sz w:val="20"/>
        </w:rPr>
        <w:t>может</w:t>
      </w:r>
      <w:r>
        <w:rPr>
          <w:i/>
          <w:color w:val="231F20"/>
          <w:spacing w:val="-13"/>
          <w:sz w:val="20"/>
        </w:rPr>
        <w:t> </w:t>
      </w:r>
      <w:r>
        <w:rPr>
          <w:i/>
          <w:color w:val="231F20"/>
          <w:sz w:val="20"/>
        </w:rPr>
        <w:t>тебя</w:t>
      </w:r>
      <w:r>
        <w:rPr>
          <w:i/>
          <w:color w:val="231F20"/>
          <w:spacing w:val="-12"/>
          <w:sz w:val="20"/>
        </w:rPr>
        <w:t> </w:t>
      </w:r>
      <w:r>
        <w:rPr>
          <w:i/>
          <w:color w:val="231F20"/>
          <w:sz w:val="20"/>
        </w:rPr>
        <w:t>не</w:t>
      </w:r>
      <w:r>
        <w:rPr>
          <w:i/>
          <w:color w:val="231F20"/>
          <w:spacing w:val="-13"/>
          <w:sz w:val="20"/>
        </w:rPr>
        <w:t> </w:t>
      </w:r>
      <w:r>
        <w:rPr>
          <w:i/>
          <w:color w:val="231F20"/>
          <w:sz w:val="20"/>
        </w:rPr>
        <w:t>понять.</w:t>
      </w:r>
      <w:r>
        <w:rPr>
          <w:i/>
          <w:color w:val="231F20"/>
          <w:spacing w:val="-12"/>
          <w:sz w:val="20"/>
        </w:rPr>
        <w:t> </w:t>
      </w:r>
      <w:r>
        <w:rPr>
          <w:i/>
          <w:color w:val="231F20"/>
          <w:sz w:val="20"/>
        </w:rPr>
        <w:t>Этого</w:t>
      </w:r>
      <w:r>
        <w:rPr>
          <w:i/>
          <w:color w:val="231F20"/>
          <w:spacing w:val="-13"/>
          <w:sz w:val="20"/>
        </w:rPr>
        <w:t> </w:t>
      </w:r>
      <w:r>
        <w:rPr>
          <w:i/>
          <w:color w:val="231F20"/>
          <w:sz w:val="20"/>
        </w:rPr>
        <w:t>делать</w:t>
      </w:r>
      <w:r>
        <w:rPr>
          <w:i/>
          <w:color w:val="231F20"/>
          <w:spacing w:val="-12"/>
          <w:sz w:val="20"/>
        </w:rPr>
        <w:t> </w:t>
      </w:r>
      <w:r>
        <w:rPr>
          <w:i/>
          <w:color w:val="231F20"/>
          <w:sz w:val="20"/>
        </w:rPr>
        <w:t>не</w:t>
      </w:r>
      <w:r>
        <w:rPr>
          <w:i/>
          <w:color w:val="231F20"/>
          <w:spacing w:val="-13"/>
          <w:sz w:val="20"/>
        </w:rPr>
        <w:t> </w:t>
      </w:r>
      <w:r>
        <w:rPr>
          <w:i/>
          <w:color w:val="231F20"/>
          <w:sz w:val="20"/>
        </w:rPr>
        <w:t>нужно,</w:t>
      </w:r>
      <w:r>
        <w:rPr>
          <w:i/>
          <w:color w:val="231F20"/>
          <w:spacing w:val="-12"/>
          <w:sz w:val="20"/>
        </w:rPr>
        <w:t> </w:t>
      </w:r>
      <w:r>
        <w:rPr>
          <w:i/>
          <w:color w:val="231F20"/>
          <w:sz w:val="20"/>
        </w:rPr>
        <w:t>но</w:t>
      </w:r>
      <w:r>
        <w:rPr>
          <w:i/>
          <w:color w:val="231F20"/>
          <w:spacing w:val="-13"/>
          <w:sz w:val="20"/>
        </w:rPr>
        <w:t> </w:t>
      </w:r>
      <w:r>
        <w:rPr>
          <w:i/>
          <w:color w:val="231F20"/>
          <w:sz w:val="20"/>
        </w:rPr>
        <w:t>и</w:t>
      </w:r>
      <w:r>
        <w:rPr>
          <w:i/>
          <w:color w:val="231F20"/>
          <w:spacing w:val="-12"/>
          <w:sz w:val="20"/>
        </w:rPr>
        <w:t> </w:t>
      </w:r>
      <w:r>
        <w:rPr>
          <w:i/>
          <w:color w:val="231F20"/>
          <w:sz w:val="20"/>
        </w:rPr>
        <w:t>не</w:t>
      </w:r>
      <w:r>
        <w:rPr>
          <w:i/>
          <w:color w:val="231F20"/>
          <w:spacing w:val="-13"/>
          <w:sz w:val="20"/>
        </w:rPr>
        <w:t> </w:t>
      </w:r>
      <w:r>
        <w:rPr>
          <w:i/>
          <w:color w:val="231F20"/>
          <w:sz w:val="20"/>
        </w:rPr>
        <w:t>нужно</w:t>
      </w:r>
      <w:r>
        <w:rPr>
          <w:i/>
          <w:color w:val="231F20"/>
          <w:spacing w:val="-12"/>
          <w:sz w:val="20"/>
        </w:rPr>
        <w:t> </w:t>
      </w:r>
      <w:r>
        <w:rPr>
          <w:i/>
          <w:color w:val="231F20"/>
          <w:sz w:val="20"/>
        </w:rPr>
        <w:t>застав- лять себя говорить, что ты не злишься. Тогда злость пройдет сама собой».</w:t>
      </w:r>
    </w:p>
    <w:p>
      <w:pPr>
        <w:spacing w:line="235" w:lineRule="auto" w:before="6"/>
        <w:ind w:left="141" w:right="139" w:firstLine="283"/>
        <w:jc w:val="both"/>
        <w:rPr>
          <w:i/>
          <w:sz w:val="20"/>
        </w:rPr>
      </w:pPr>
      <w:r>
        <w:rPr>
          <w:i/>
          <w:color w:val="231F20"/>
          <w:sz w:val="20"/>
        </w:rPr>
        <w:t>Птичка</w:t>
      </w:r>
      <w:r>
        <w:rPr>
          <w:i/>
          <w:color w:val="231F20"/>
          <w:spacing w:val="-7"/>
          <w:sz w:val="20"/>
        </w:rPr>
        <w:t> </w:t>
      </w:r>
      <w:r>
        <w:rPr>
          <w:i/>
          <w:color w:val="231F20"/>
          <w:sz w:val="20"/>
        </w:rPr>
        <w:t>исчезла.</w:t>
      </w:r>
      <w:r>
        <w:rPr>
          <w:i/>
          <w:color w:val="231F20"/>
          <w:spacing w:val="-7"/>
          <w:sz w:val="20"/>
        </w:rPr>
        <w:t> </w:t>
      </w:r>
      <w:r>
        <w:rPr>
          <w:i/>
          <w:color w:val="231F20"/>
          <w:sz w:val="20"/>
        </w:rPr>
        <w:t>А</w:t>
      </w:r>
      <w:r>
        <w:rPr>
          <w:i/>
          <w:color w:val="231F20"/>
          <w:spacing w:val="-7"/>
          <w:sz w:val="20"/>
        </w:rPr>
        <w:t> </w:t>
      </w:r>
      <w:r>
        <w:rPr>
          <w:i/>
          <w:color w:val="231F20"/>
          <w:sz w:val="20"/>
        </w:rPr>
        <w:t>мальчик</w:t>
      </w:r>
      <w:r>
        <w:rPr>
          <w:i/>
          <w:color w:val="231F20"/>
          <w:spacing w:val="-7"/>
          <w:sz w:val="20"/>
        </w:rPr>
        <w:t> </w:t>
      </w:r>
      <w:r>
        <w:rPr>
          <w:i/>
          <w:color w:val="231F20"/>
          <w:sz w:val="20"/>
        </w:rPr>
        <w:t>послушался</w:t>
      </w:r>
      <w:r>
        <w:rPr>
          <w:i/>
          <w:color w:val="231F20"/>
          <w:spacing w:val="-7"/>
          <w:sz w:val="20"/>
        </w:rPr>
        <w:t> </w:t>
      </w:r>
      <w:r>
        <w:rPr>
          <w:i/>
          <w:color w:val="231F20"/>
          <w:sz w:val="20"/>
        </w:rPr>
        <w:t>птичку.</w:t>
      </w:r>
      <w:r>
        <w:rPr>
          <w:i/>
          <w:color w:val="231F20"/>
          <w:spacing w:val="-7"/>
          <w:sz w:val="20"/>
        </w:rPr>
        <w:t> </w:t>
      </w:r>
      <w:r>
        <w:rPr>
          <w:i/>
          <w:color w:val="231F20"/>
          <w:sz w:val="20"/>
        </w:rPr>
        <w:t>Часть</w:t>
      </w:r>
      <w:r>
        <w:rPr>
          <w:i/>
          <w:color w:val="231F20"/>
          <w:spacing w:val="-7"/>
          <w:sz w:val="20"/>
        </w:rPr>
        <w:t> </w:t>
      </w:r>
      <w:r>
        <w:rPr>
          <w:i/>
          <w:color w:val="231F20"/>
          <w:sz w:val="20"/>
        </w:rPr>
        <w:t>злости</w:t>
      </w:r>
      <w:r>
        <w:rPr>
          <w:i/>
          <w:color w:val="231F20"/>
          <w:spacing w:val="-6"/>
          <w:sz w:val="20"/>
        </w:rPr>
        <w:t> </w:t>
      </w:r>
      <w:r>
        <w:rPr>
          <w:i/>
          <w:color w:val="231F20"/>
          <w:sz w:val="20"/>
        </w:rPr>
        <w:t>он</w:t>
      </w:r>
      <w:r>
        <w:rPr>
          <w:i/>
          <w:color w:val="231F20"/>
          <w:spacing w:val="-7"/>
          <w:sz w:val="20"/>
        </w:rPr>
        <w:t> </w:t>
      </w:r>
      <w:r>
        <w:rPr>
          <w:i/>
          <w:color w:val="231F20"/>
          <w:sz w:val="20"/>
        </w:rPr>
        <w:t>мог</w:t>
      </w:r>
      <w:r>
        <w:rPr>
          <w:i/>
          <w:color w:val="231F20"/>
          <w:spacing w:val="-7"/>
          <w:sz w:val="20"/>
        </w:rPr>
        <w:t> </w:t>
      </w:r>
      <w:r>
        <w:rPr>
          <w:i/>
          <w:color w:val="231F20"/>
          <w:sz w:val="20"/>
        </w:rPr>
        <w:t>выместить с футбольным мячиком, попинать его об стенку. Самое главное, что он разрешил этой злости быть. Он сказал самому себе, что это нормально, что так </w:t>
      </w:r>
      <w:r>
        <w:rPr>
          <w:i/>
          <w:color w:val="231F20"/>
          <w:sz w:val="20"/>
        </w:rPr>
        <w:t>может быть. И тогда эта злость вышла сама собой, он заметил, что и маму он стал лю- бить больше, чем раньше. Когда позволил себе злиться. У него наладились отноше- ния</w:t>
      </w:r>
      <w:r>
        <w:rPr>
          <w:i/>
          <w:color w:val="231F20"/>
          <w:spacing w:val="-13"/>
          <w:sz w:val="20"/>
        </w:rPr>
        <w:t> </w:t>
      </w:r>
      <w:r>
        <w:rPr>
          <w:i/>
          <w:color w:val="231F20"/>
          <w:sz w:val="20"/>
        </w:rPr>
        <w:t>в</w:t>
      </w:r>
      <w:r>
        <w:rPr>
          <w:i/>
          <w:color w:val="231F20"/>
          <w:spacing w:val="-12"/>
          <w:sz w:val="20"/>
        </w:rPr>
        <w:t> </w:t>
      </w:r>
      <w:r>
        <w:rPr>
          <w:i/>
          <w:color w:val="231F20"/>
          <w:sz w:val="20"/>
        </w:rPr>
        <w:t>школе.</w:t>
      </w:r>
      <w:r>
        <w:rPr>
          <w:i/>
          <w:color w:val="231F20"/>
          <w:spacing w:val="-13"/>
          <w:sz w:val="20"/>
        </w:rPr>
        <w:t> </w:t>
      </w:r>
      <w:r>
        <w:rPr>
          <w:i/>
          <w:color w:val="231F20"/>
          <w:sz w:val="20"/>
        </w:rPr>
        <w:t>Были</w:t>
      </w:r>
      <w:r>
        <w:rPr>
          <w:i/>
          <w:color w:val="231F20"/>
          <w:spacing w:val="-12"/>
          <w:sz w:val="20"/>
        </w:rPr>
        <w:t> </w:t>
      </w:r>
      <w:r>
        <w:rPr>
          <w:i/>
          <w:color w:val="231F20"/>
          <w:sz w:val="20"/>
        </w:rPr>
        <w:t>ссоры,</w:t>
      </w:r>
      <w:r>
        <w:rPr>
          <w:i/>
          <w:color w:val="231F20"/>
          <w:spacing w:val="-13"/>
          <w:sz w:val="20"/>
        </w:rPr>
        <w:t> </w:t>
      </w:r>
      <w:r>
        <w:rPr>
          <w:i/>
          <w:color w:val="231F20"/>
          <w:sz w:val="20"/>
        </w:rPr>
        <w:t>но</w:t>
      </w:r>
      <w:r>
        <w:rPr>
          <w:i/>
          <w:color w:val="231F20"/>
          <w:spacing w:val="-12"/>
          <w:sz w:val="20"/>
        </w:rPr>
        <w:t> </w:t>
      </w:r>
      <w:r>
        <w:rPr>
          <w:i/>
          <w:color w:val="231F20"/>
          <w:sz w:val="20"/>
        </w:rPr>
        <w:t>они</w:t>
      </w:r>
      <w:r>
        <w:rPr>
          <w:i/>
          <w:color w:val="231F20"/>
          <w:spacing w:val="-13"/>
          <w:sz w:val="20"/>
        </w:rPr>
        <w:t> </w:t>
      </w:r>
      <w:r>
        <w:rPr>
          <w:i/>
          <w:color w:val="231F20"/>
          <w:sz w:val="20"/>
        </w:rPr>
        <w:t>были</w:t>
      </w:r>
      <w:r>
        <w:rPr>
          <w:i/>
          <w:color w:val="231F20"/>
          <w:spacing w:val="-12"/>
          <w:sz w:val="20"/>
        </w:rPr>
        <w:t> </w:t>
      </w:r>
      <w:r>
        <w:rPr>
          <w:i/>
          <w:color w:val="231F20"/>
          <w:sz w:val="20"/>
        </w:rPr>
        <w:t>совершенно</w:t>
      </w:r>
      <w:r>
        <w:rPr>
          <w:i/>
          <w:color w:val="231F20"/>
          <w:spacing w:val="-13"/>
          <w:sz w:val="20"/>
        </w:rPr>
        <w:t> </w:t>
      </w:r>
      <w:r>
        <w:rPr>
          <w:i/>
          <w:color w:val="231F20"/>
          <w:sz w:val="20"/>
        </w:rPr>
        <w:t>обычные,</w:t>
      </w:r>
      <w:r>
        <w:rPr>
          <w:i/>
          <w:color w:val="231F20"/>
          <w:spacing w:val="-12"/>
          <w:sz w:val="20"/>
        </w:rPr>
        <w:t> </w:t>
      </w:r>
      <w:r>
        <w:rPr>
          <w:i/>
          <w:color w:val="231F20"/>
          <w:sz w:val="20"/>
        </w:rPr>
        <w:t>как</w:t>
      </w:r>
      <w:r>
        <w:rPr>
          <w:i/>
          <w:color w:val="231F20"/>
          <w:spacing w:val="-13"/>
          <w:sz w:val="20"/>
        </w:rPr>
        <w:t> </w:t>
      </w:r>
      <w:r>
        <w:rPr>
          <w:i/>
          <w:color w:val="231F20"/>
          <w:sz w:val="20"/>
        </w:rPr>
        <w:t>у</w:t>
      </w:r>
      <w:r>
        <w:rPr>
          <w:i/>
          <w:color w:val="231F20"/>
          <w:spacing w:val="-12"/>
          <w:sz w:val="20"/>
        </w:rPr>
        <w:t> </w:t>
      </w:r>
      <w:r>
        <w:rPr>
          <w:i/>
          <w:color w:val="231F20"/>
          <w:sz w:val="20"/>
        </w:rPr>
        <w:t>всех</w:t>
      </w:r>
      <w:r>
        <w:rPr>
          <w:i/>
          <w:color w:val="231F20"/>
          <w:spacing w:val="-13"/>
          <w:sz w:val="20"/>
        </w:rPr>
        <w:t> </w:t>
      </w:r>
      <w:r>
        <w:rPr>
          <w:i/>
          <w:color w:val="231F20"/>
          <w:sz w:val="20"/>
        </w:rPr>
        <w:t>школьников.</w:t>
      </w:r>
      <w:r>
        <w:rPr>
          <w:i/>
          <w:color w:val="231F20"/>
          <w:spacing w:val="-12"/>
          <w:sz w:val="20"/>
        </w:rPr>
        <w:t> </w:t>
      </w:r>
      <w:r>
        <w:rPr>
          <w:i/>
          <w:color w:val="231F20"/>
          <w:sz w:val="20"/>
        </w:rPr>
        <w:t>Он стал лучше учиться. Та злость, которая раньше кипела в нём, больше не отвлекала его.</w:t>
      </w:r>
      <w:r>
        <w:rPr>
          <w:i/>
          <w:color w:val="231F20"/>
          <w:spacing w:val="-9"/>
          <w:sz w:val="20"/>
        </w:rPr>
        <w:t> </w:t>
      </w:r>
      <w:r>
        <w:rPr>
          <w:i/>
          <w:color w:val="231F20"/>
          <w:sz w:val="20"/>
        </w:rPr>
        <w:t>Мы</w:t>
      </w:r>
      <w:r>
        <w:rPr>
          <w:i/>
          <w:color w:val="231F20"/>
          <w:spacing w:val="-9"/>
          <w:sz w:val="20"/>
        </w:rPr>
        <w:t> </w:t>
      </w:r>
      <w:r>
        <w:rPr>
          <w:i/>
          <w:color w:val="231F20"/>
          <w:sz w:val="20"/>
        </w:rPr>
        <w:t>не</w:t>
      </w:r>
      <w:r>
        <w:rPr>
          <w:i/>
          <w:color w:val="231F20"/>
          <w:spacing w:val="-9"/>
          <w:sz w:val="20"/>
        </w:rPr>
        <w:t> </w:t>
      </w:r>
      <w:r>
        <w:rPr>
          <w:i/>
          <w:color w:val="231F20"/>
          <w:sz w:val="20"/>
        </w:rPr>
        <w:t>знаем,</w:t>
      </w:r>
      <w:r>
        <w:rPr>
          <w:i/>
          <w:color w:val="231F20"/>
          <w:spacing w:val="-9"/>
          <w:sz w:val="20"/>
        </w:rPr>
        <w:t> </w:t>
      </w:r>
      <w:r>
        <w:rPr>
          <w:i/>
          <w:color w:val="231F20"/>
          <w:sz w:val="20"/>
        </w:rPr>
        <w:t>что</w:t>
      </w:r>
      <w:r>
        <w:rPr>
          <w:i/>
          <w:color w:val="231F20"/>
          <w:spacing w:val="-9"/>
          <w:sz w:val="20"/>
        </w:rPr>
        <w:t> </w:t>
      </w:r>
      <w:r>
        <w:rPr>
          <w:i/>
          <w:color w:val="231F20"/>
          <w:sz w:val="20"/>
        </w:rPr>
        <w:t>случилось</w:t>
      </w:r>
      <w:r>
        <w:rPr>
          <w:i/>
          <w:color w:val="231F20"/>
          <w:spacing w:val="-9"/>
          <w:sz w:val="20"/>
        </w:rPr>
        <w:t> </w:t>
      </w:r>
      <w:r>
        <w:rPr>
          <w:i/>
          <w:color w:val="231F20"/>
          <w:sz w:val="20"/>
        </w:rPr>
        <w:t>дальше:</w:t>
      </w:r>
      <w:r>
        <w:rPr>
          <w:i/>
          <w:color w:val="231F20"/>
          <w:spacing w:val="-9"/>
          <w:sz w:val="20"/>
        </w:rPr>
        <w:t> </w:t>
      </w:r>
      <w:r>
        <w:rPr>
          <w:i/>
          <w:color w:val="231F20"/>
          <w:sz w:val="20"/>
        </w:rPr>
        <w:t>может</w:t>
      </w:r>
      <w:r>
        <w:rPr>
          <w:i/>
          <w:color w:val="231F20"/>
          <w:spacing w:val="-9"/>
          <w:sz w:val="20"/>
        </w:rPr>
        <w:t> </w:t>
      </w:r>
      <w:r>
        <w:rPr>
          <w:i/>
          <w:color w:val="231F20"/>
          <w:sz w:val="20"/>
        </w:rPr>
        <w:t>быть,</w:t>
      </w:r>
      <w:r>
        <w:rPr>
          <w:i/>
          <w:color w:val="231F20"/>
          <w:spacing w:val="-9"/>
          <w:sz w:val="20"/>
        </w:rPr>
        <w:t> </w:t>
      </w:r>
      <w:r>
        <w:rPr>
          <w:i/>
          <w:color w:val="231F20"/>
          <w:sz w:val="20"/>
        </w:rPr>
        <w:t>мама</w:t>
      </w:r>
      <w:r>
        <w:rPr>
          <w:i/>
          <w:color w:val="231F20"/>
          <w:spacing w:val="-9"/>
          <w:sz w:val="20"/>
        </w:rPr>
        <w:t> </w:t>
      </w:r>
      <w:r>
        <w:rPr>
          <w:i/>
          <w:color w:val="231F20"/>
          <w:sz w:val="20"/>
        </w:rPr>
        <w:t>поправилась,</w:t>
      </w:r>
      <w:r>
        <w:rPr>
          <w:i/>
          <w:color w:val="231F20"/>
          <w:spacing w:val="-9"/>
          <w:sz w:val="20"/>
        </w:rPr>
        <w:t> </w:t>
      </w:r>
      <w:r>
        <w:rPr>
          <w:i/>
          <w:color w:val="231F20"/>
          <w:sz w:val="20"/>
        </w:rPr>
        <w:t>может,</w:t>
      </w:r>
      <w:r>
        <w:rPr>
          <w:i/>
          <w:color w:val="231F20"/>
          <w:spacing w:val="-9"/>
          <w:sz w:val="20"/>
        </w:rPr>
        <w:t> </w:t>
      </w:r>
      <w:r>
        <w:rPr>
          <w:i/>
          <w:color w:val="231F20"/>
          <w:sz w:val="20"/>
        </w:rPr>
        <w:t>и нет. Главное, что мы знаем: мальчик сделал всё, чтобы это случилось.</w:t>
      </w:r>
    </w:p>
    <w:p>
      <w:pPr>
        <w:spacing w:before="1"/>
        <w:ind w:left="425" w:right="0" w:firstLine="0"/>
        <w:jc w:val="both"/>
        <w:rPr>
          <w:i/>
          <w:sz w:val="20"/>
        </w:rPr>
      </w:pPr>
      <w:r>
        <w:rPr>
          <w:i/>
          <w:color w:val="231F20"/>
          <w:sz w:val="20"/>
        </w:rPr>
        <w:t>Урок.</w:t>
      </w:r>
      <w:r>
        <w:rPr>
          <w:i/>
          <w:color w:val="231F20"/>
          <w:spacing w:val="-8"/>
          <w:sz w:val="20"/>
        </w:rPr>
        <w:t> </w:t>
      </w:r>
      <w:r>
        <w:rPr>
          <w:i/>
          <w:color w:val="231F20"/>
          <w:sz w:val="20"/>
        </w:rPr>
        <w:t>Можно</w:t>
      </w:r>
      <w:r>
        <w:rPr>
          <w:i/>
          <w:color w:val="231F20"/>
          <w:spacing w:val="-8"/>
          <w:sz w:val="20"/>
        </w:rPr>
        <w:t> </w:t>
      </w:r>
      <w:r>
        <w:rPr>
          <w:i/>
          <w:color w:val="231F20"/>
          <w:sz w:val="20"/>
        </w:rPr>
        <w:t>разрешить</w:t>
      </w:r>
      <w:r>
        <w:rPr>
          <w:i/>
          <w:color w:val="231F20"/>
          <w:spacing w:val="-9"/>
          <w:sz w:val="20"/>
        </w:rPr>
        <w:t> </w:t>
      </w:r>
      <w:r>
        <w:rPr>
          <w:i/>
          <w:color w:val="231F20"/>
          <w:sz w:val="20"/>
        </w:rPr>
        <w:t>себе</w:t>
      </w:r>
      <w:r>
        <w:rPr>
          <w:i/>
          <w:color w:val="231F20"/>
          <w:spacing w:val="-7"/>
          <w:sz w:val="20"/>
        </w:rPr>
        <w:t> </w:t>
      </w:r>
      <w:r>
        <w:rPr>
          <w:i/>
          <w:color w:val="231F20"/>
          <w:spacing w:val="-2"/>
          <w:sz w:val="20"/>
        </w:rPr>
        <w:t>злиться.</w:t>
      </w:r>
    </w:p>
    <w:p>
      <w:pPr>
        <w:numPr>
          <w:ilvl w:val="0"/>
          <w:numId w:val="214"/>
        </w:numPr>
        <w:tabs>
          <w:tab w:pos="424" w:val="left" w:leader="none"/>
        </w:tabs>
        <w:spacing w:line="228" w:lineRule="exact" w:before="110"/>
        <w:ind w:left="424" w:right="0" w:hanging="283"/>
        <w:jc w:val="both"/>
        <w:rPr>
          <w:b/>
          <w:sz w:val="20"/>
        </w:rPr>
      </w:pPr>
      <w:r>
        <w:rPr>
          <w:b/>
          <w:color w:val="231F20"/>
          <w:sz w:val="20"/>
        </w:rPr>
        <w:t>Прямолинейность</w:t>
      </w:r>
      <w:r>
        <w:rPr>
          <w:b/>
          <w:color w:val="231F20"/>
          <w:spacing w:val="-7"/>
          <w:sz w:val="20"/>
        </w:rPr>
        <w:t> </w:t>
      </w:r>
      <w:r>
        <w:rPr>
          <w:b/>
          <w:color w:val="231F20"/>
          <w:sz w:val="20"/>
        </w:rPr>
        <w:t>–</w:t>
      </w:r>
      <w:r>
        <w:rPr>
          <w:b/>
          <w:color w:val="231F20"/>
          <w:spacing w:val="-4"/>
          <w:sz w:val="20"/>
        </w:rPr>
        <w:t> </w:t>
      </w:r>
      <w:r>
        <w:rPr>
          <w:b/>
          <w:color w:val="231F20"/>
          <w:spacing w:val="-2"/>
          <w:sz w:val="20"/>
        </w:rPr>
        <w:t>пластичность</w:t>
      </w:r>
    </w:p>
    <w:p>
      <w:pPr>
        <w:pStyle w:val="BodyText"/>
        <w:spacing w:line="235" w:lineRule="auto" w:before="2"/>
      </w:pPr>
      <w:r>
        <w:rPr>
          <w:color w:val="231F20"/>
        </w:rPr>
        <w:t>Признаки «прямолинейности»: ригидность притязаний героя, желание абсолют- ной победы («только пятерки»), непонимание необратимости времени, попытки ре- шения</w:t>
      </w:r>
      <w:r>
        <w:rPr>
          <w:color w:val="231F20"/>
          <w:spacing w:val="-1"/>
        </w:rPr>
        <w:t> </w:t>
      </w:r>
      <w:r>
        <w:rPr>
          <w:color w:val="231F20"/>
        </w:rPr>
        <w:t>принципиально</w:t>
      </w:r>
      <w:r>
        <w:rPr>
          <w:color w:val="231F20"/>
          <w:spacing w:val="-1"/>
        </w:rPr>
        <w:t> </w:t>
      </w:r>
      <w:r>
        <w:rPr>
          <w:color w:val="231F20"/>
        </w:rPr>
        <w:t>неразрешимой</w:t>
      </w:r>
      <w:r>
        <w:rPr>
          <w:color w:val="231F20"/>
          <w:spacing w:val="-1"/>
        </w:rPr>
        <w:t> </w:t>
      </w:r>
      <w:r>
        <w:rPr>
          <w:color w:val="231F20"/>
        </w:rPr>
        <w:t>проблемы</w:t>
      </w:r>
      <w:r>
        <w:rPr>
          <w:color w:val="231F20"/>
          <w:spacing w:val="-1"/>
        </w:rPr>
        <w:t> </w:t>
      </w:r>
      <w:r>
        <w:rPr>
          <w:color w:val="231F20"/>
        </w:rPr>
        <w:t>(например,</w:t>
      </w:r>
      <w:r>
        <w:rPr>
          <w:color w:val="231F20"/>
          <w:spacing w:val="-1"/>
        </w:rPr>
        <w:t> </w:t>
      </w:r>
      <w:r>
        <w:rPr>
          <w:color w:val="231F20"/>
        </w:rPr>
        <w:t>получение</w:t>
      </w:r>
      <w:r>
        <w:rPr>
          <w:color w:val="231F20"/>
          <w:spacing w:val="-1"/>
        </w:rPr>
        <w:t> </w:t>
      </w:r>
      <w:r>
        <w:rPr>
          <w:color w:val="231F20"/>
        </w:rPr>
        <w:t>любви</w:t>
      </w:r>
      <w:r>
        <w:rPr>
          <w:color w:val="231F20"/>
          <w:spacing w:val="-1"/>
        </w:rPr>
        <w:t> </w:t>
      </w:r>
      <w:r>
        <w:rPr>
          <w:color w:val="231F20"/>
        </w:rPr>
        <w:t>от</w:t>
      </w:r>
      <w:r>
        <w:rPr>
          <w:color w:val="231F20"/>
          <w:spacing w:val="-1"/>
        </w:rPr>
        <w:t> </w:t>
      </w:r>
      <w:r>
        <w:rPr>
          <w:color w:val="231F20"/>
        </w:rPr>
        <w:t>ро- дителя в случае его смерти, отъезда или тяжелой болезни), настрой на обязательное разрешение проблемы «здесь-и-сейчас».</w:t>
      </w:r>
    </w:p>
    <w:p>
      <w:pPr>
        <w:pStyle w:val="BodyText"/>
        <w:spacing w:line="235" w:lineRule="auto" w:before="3"/>
        <w:ind w:right="138"/>
      </w:pPr>
      <w:r>
        <w:rPr>
          <w:color w:val="231F20"/>
        </w:rPr>
        <w:t>Признаки «пластичности»: умение принимать поражение и не переносить его на всю жизнь; при столкновении с «непреодолимым» сохранять чувство собственной значимости, не впадая при этом в «иллюзию всемогущества», и использовать «об- ходные пути» для достижения цели (например, при эмоционально холодной матери получение любви и внимания от тети); ориентация на будущее разрешение проблем («в будущем у меня будет жена, которая будет любить меня сильно-сильно»).</w:t>
      </w:r>
    </w:p>
    <w:p>
      <w:pPr>
        <w:pStyle w:val="BodyText"/>
        <w:spacing w:line="235" w:lineRule="auto" w:before="3"/>
      </w:pPr>
      <w:r>
        <w:rPr>
          <w:color w:val="231F20"/>
        </w:rPr>
        <w:t>Главная</w:t>
      </w:r>
      <w:r>
        <w:rPr>
          <w:color w:val="231F20"/>
          <w:spacing w:val="-2"/>
        </w:rPr>
        <w:t> </w:t>
      </w:r>
      <w:r>
        <w:rPr>
          <w:color w:val="231F20"/>
        </w:rPr>
        <w:t>задача</w:t>
      </w:r>
      <w:r>
        <w:rPr>
          <w:color w:val="231F20"/>
          <w:spacing w:val="-2"/>
        </w:rPr>
        <w:t> </w:t>
      </w:r>
      <w:r>
        <w:rPr>
          <w:color w:val="231F20"/>
        </w:rPr>
        <w:t>психолога</w:t>
      </w:r>
      <w:r>
        <w:rPr>
          <w:color w:val="231F20"/>
          <w:spacing w:val="-2"/>
        </w:rPr>
        <w:t> </w:t>
      </w:r>
      <w:r>
        <w:rPr>
          <w:color w:val="231F20"/>
        </w:rPr>
        <w:t>–</w:t>
      </w:r>
      <w:r>
        <w:rPr>
          <w:color w:val="231F20"/>
          <w:spacing w:val="-2"/>
        </w:rPr>
        <w:t> </w:t>
      </w:r>
      <w:r>
        <w:rPr>
          <w:color w:val="231F20"/>
        </w:rPr>
        <w:t>донести</w:t>
      </w:r>
      <w:r>
        <w:rPr>
          <w:color w:val="231F20"/>
          <w:spacing w:val="-2"/>
        </w:rPr>
        <w:t> </w:t>
      </w:r>
      <w:r>
        <w:rPr>
          <w:color w:val="231F20"/>
        </w:rPr>
        <w:t>до</w:t>
      </w:r>
      <w:r>
        <w:rPr>
          <w:color w:val="231F20"/>
          <w:spacing w:val="-2"/>
        </w:rPr>
        <w:t> </w:t>
      </w:r>
      <w:r>
        <w:rPr>
          <w:color w:val="231F20"/>
        </w:rPr>
        <w:t>ребенка</w:t>
      </w:r>
      <w:r>
        <w:rPr>
          <w:color w:val="231F20"/>
          <w:spacing w:val="-2"/>
        </w:rPr>
        <w:t> </w:t>
      </w:r>
      <w:r>
        <w:rPr>
          <w:color w:val="231F20"/>
        </w:rPr>
        <w:t>представление</w:t>
      </w:r>
      <w:r>
        <w:rPr>
          <w:color w:val="231F20"/>
          <w:spacing w:val="-2"/>
        </w:rPr>
        <w:t> </w:t>
      </w:r>
      <w:r>
        <w:rPr>
          <w:color w:val="231F20"/>
        </w:rPr>
        <w:t>о</w:t>
      </w:r>
      <w:r>
        <w:rPr>
          <w:color w:val="231F20"/>
          <w:spacing w:val="-2"/>
        </w:rPr>
        <w:t> </w:t>
      </w:r>
      <w:r>
        <w:rPr>
          <w:color w:val="231F20"/>
        </w:rPr>
        <w:t>«нормальности» его ситуации и о том, что для решения проблемы необходимо меняться самому.</w:t>
      </w:r>
    </w:p>
    <w:p>
      <w:pPr>
        <w:pStyle w:val="BodyText"/>
        <w:spacing w:line="235" w:lineRule="auto" w:before="2"/>
      </w:pPr>
      <w:r>
        <w:rPr>
          <w:color w:val="231F20"/>
        </w:rPr>
        <w:t>Приведенная ниже история была рассказана мальчиком 11 лет из семьи бежен- цев из Афганистана на восьмом занятии после проработки ряда других проблем. У него</w:t>
      </w:r>
      <w:r>
        <w:rPr>
          <w:color w:val="231F20"/>
          <w:spacing w:val="-2"/>
        </w:rPr>
        <w:t> </w:t>
      </w:r>
      <w:r>
        <w:rPr>
          <w:color w:val="231F20"/>
        </w:rPr>
        <w:t>наблюдались</w:t>
      </w:r>
      <w:r>
        <w:rPr>
          <w:color w:val="231F20"/>
          <w:spacing w:val="-2"/>
        </w:rPr>
        <w:t> </w:t>
      </w:r>
      <w:r>
        <w:rPr>
          <w:color w:val="231F20"/>
        </w:rPr>
        <w:t>последствия</w:t>
      </w:r>
      <w:r>
        <w:rPr>
          <w:color w:val="231F20"/>
          <w:spacing w:val="-2"/>
        </w:rPr>
        <w:t> </w:t>
      </w:r>
      <w:r>
        <w:rPr>
          <w:color w:val="231F20"/>
        </w:rPr>
        <w:t>пережитого</w:t>
      </w:r>
      <w:r>
        <w:rPr>
          <w:color w:val="231F20"/>
          <w:spacing w:val="-2"/>
        </w:rPr>
        <w:t> </w:t>
      </w:r>
      <w:r>
        <w:rPr>
          <w:color w:val="231F20"/>
        </w:rPr>
        <w:t>в</w:t>
      </w:r>
      <w:r>
        <w:rPr>
          <w:color w:val="231F20"/>
          <w:spacing w:val="-2"/>
        </w:rPr>
        <w:t> </w:t>
      </w:r>
      <w:r>
        <w:rPr>
          <w:color w:val="231F20"/>
        </w:rPr>
        <w:t>дошкольном</w:t>
      </w:r>
      <w:r>
        <w:rPr>
          <w:color w:val="231F20"/>
          <w:spacing w:val="-2"/>
        </w:rPr>
        <w:t> </w:t>
      </w:r>
      <w:r>
        <w:rPr>
          <w:color w:val="231F20"/>
        </w:rPr>
        <w:t>возрасте</w:t>
      </w:r>
      <w:r>
        <w:rPr>
          <w:color w:val="231F20"/>
          <w:spacing w:val="-2"/>
        </w:rPr>
        <w:t> </w:t>
      </w:r>
      <w:r>
        <w:rPr>
          <w:color w:val="231F20"/>
        </w:rPr>
        <w:t>травматического стресса и на этом фоне присутствовали конфликты с отцом.</w:t>
      </w:r>
    </w:p>
    <w:p>
      <w:pPr>
        <w:spacing w:line="228" w:lineRule="exact" w:before="112"/>
        <w:ind w:left="425" w:right="0" w:firstLine="0"/>
        <w:jc w:val="left"/>
        <w:rPr>
          <w:i/>
          <w:sz w:val="20"/>
        </w:rPr>
      </w:pPr>
      <w:r>
        <w:rPr>
          <w:i/>
          <w:color w:val="231F20"/>
          <w:sz w:val="20"/>
        </w:rPr>
        <w:t>Один</w:t>
      </w:r>
      <w:r>
        <w:rPr>
          <w:i/>
          <w:color w:val="231F20"/>
          <w:spacing w:val="-5"/>
          <w:sz w:val="20"/>
        </w:rPr>
        <w:t> </w:t>
      </w:r>
      <w:r>
        <w:rPr>
          <w:i/>
          <w:color w:val="231F20"/>
          <w:sz w:val="20"/>
        </w:rPr>
        <w:t>раз</w:t>
      </w:r>
      <w:r>
        <w:rPr>
          <w:i/>
          <w:color w:val="231F20"/>
          <w:spacing w:val="-5"/>
          <w:sz w:val="20"/>
        </w:rPr>
        <w:t> </w:t>
      </w:r>
      <w:r>
        <w:rPr>
          <w:i/>
          <w:color w:val="231F20"/>
          <w:sz w:val="20"/>
        </w:rPr>
        <w:t>папа</w:t>
      </w:r>
      <w:r>
        <w:rPr>
          <w:i/>
          <w:color w:val="231F20"/>
          <w:spacing w:val="-4"/>
          <w:sz w:val="20"/>
        </w:rPr>
        <w:t> </w:t>
      </w:r>
      <w:r>
        <w:rPr>
          <w:i/>
          <w:color w:val="231F20"/>
          <w:sz w:val="20"/>
        </w:rPr>
        <w:t>сказал</w:t>
      </w:r>
      <w:r>
        <w:rPr>
          <w:i/>
          <w:color w:val="231F20"/>
          <w:spacing w:val="-4"/>
          <w:sz w:val="20"/>
        </w:rPr>
        <w:t> </w:t>
      </w:r>
      <w:r>
        <w:rPr>
          <w:i/>
          <w:color w:val="231F20"/>
          <w:sz w:val="20"/>
        </w:rPr>
        <w:t>своему</w:t>
      </w:r>
      <w:r>
        <w:rPr>
          <w:i/>
          <w:color w:val="231F20"/>
          <w:spacing w:val="-3"/>
          <w:sz w:val="20"/>
        </w:rPr>
        <w:t> </w:t>
      </w:r>
      <w:r>
        <w:rPr>
          <w:i/>
          <w:color w:val="231F20"/>
          <w:spacing w:val="-2"/>
          <w:sz w:val="20"/>
        </w:rPr>
        <w:t>мальчику:</w:t>
      </w:r>
    </w:p>
    <w:p>
      <w:pPr>
        <w:pStyle w:val="ListParagraph"/>
        <w:numPr>
          <w:ilvl w:val="0"/>
          <w:numId w:val="217"/>
        </w:numPr>
        <w:tabs>
          <w:tab w:pos="575" w:val="left" w:leader="none"/>
        </w:tabs>
        <w:spacing w:line="226" w:lineRule="exact" w:before="0" w:after="0"/>
        <w:ind w:left="575" w:right="0" w:hanging="150"/>
        <w:jc w:val="left"/>
        <w:rPr>
          <w:i/>
          <w:sz w:val="20"/>
        </w:rPr>
      </w:pPr>
      <w:r>
        <w:rPr>
          <w:i/>
          <w:color w:val="231F20"/>
          <w:sz w:val="20"/>
        </w:rPr>
        <w:t>Пойдем</w:t>
      </w:r>
      <w:r>
        <w:rPr>
          <w:i/>
          <w:color w:val="231F20"/>
          <w:spacing w:val="-4"/>
          <w:sz w:val="20"/>
        </w:rPr>
        <w:t> </w:t>
      </w:r>
      <w:r>
        <w:rPr>
          <w:i/>
          <w:color w:val="231F20"/>
          <w:spacing w:val="-2"/>
          <w:sz w:val="20"/>
        </w:rPr>
        <w:t>гулять?</w:t>
      </w:r>
    </w:p>
    <w:p>
      <w:pPr>
        <w:pStyle w:val="ListParagraph"/>
        <w:numPr>
          <w:ilvl w:val="0"/>
          <w:numId w:val="217"/>
        </w:numPr>
        <w:tabs>
          <w:tab w:pos="575" w:val="left" w:leader="none"/>
        </w:tabs>
        <w:spacing w:line="226" w:lineRule="exact" w:before="0" w:after="0"/>
        <w:ind w:left="575" w:right="0" w:hanging="150"/>
        <w:jc w:val="left"/>
        <w:rPr>
          <w:i/>
          <w:sz w:val="20"/>
        </w:rPr>
      </w:pPr>
      <w:r>
        <w:rPr>
          <w:i/>
          <w:color w:val="231F20"/>
          <w:sz w:val="20"/>
        </w:rPr>
        <w:t>Не</w:t>
      </w:r>
      <w:r>
        <w:rPr>
          <w:i/>
          <w:color w:val="231F20"/>
          <w:spacing w:val="-3"/>
          <w:sz w:val="20"/>
        </w:rPr>
        <w:t> </w:t>
      </w:r>
      <w:r>
        <w:rPr>
          <w:i/>
          <w:color w:val="231F20"/>
          <w:sz w:val="20"/>
        </w:rPr>
        <w:t>хочу</w:t>
      </w:r>
      <w:r>
        <w:rPr>
          <w:i/>
          <w:color w:val="231F20"/>
          <w:spacing w:val="-3"/>
          <w:sz w:val="20"/>
        </w:rPr>
        <w:t> </w:t>
      </w:r>
      <w:r>
        <w:rPr>
          <w:i/>
          <w:color w:val="231F20"/>
          <w:sz w:val="20"/>
        </w:rPr>
        <w:t>с</w:t>
      </w:r>
      <w:r>
        <w:rPr>
          <w:i/>
          <w:color w:val="231F20"/>
          <w:spacing w:val="-3"/>
          <w:sz w:val="20"/>
        </w:rPr>
        <w:t> </w:t>
      </w:r>
      <w:r>
        <w:rPr>
          <w:i/>
          <w:color w:val="231F20"/>
          <w:sz w:val="20"/>
        </w:rPr>
        <w:t>тобой</w:t>
      </w:r>
      <w:r>
        <w:rPr>
          <w:i/>
          <w:color w:val="231F20"/>
          <w:spacing w:val="-3"/>
          <w:sz w:val="20"/>
        </w:rPr>
        <w:t> </w:t>
      </w:r>
      <w:r>
        <w:rPr>
          <w:i/>
          <w:color w:val="231F20"/>
          <w:sz w:val="20"/>
        </w:rPr>
        <w:t>идти,</w:t>
      </w:r>
      <w:r>
        <w:rPr>
          <w:i/>
          <w:color w:val="231F20"/>
          <w:spacing w:val="-3"/>
          <w:sz w:val="20"/>
        </w:rPr>
        <w:t> </w:t>
      </w:r>
      <w:r>
        <w:rPr>
          <w:i/>
          <w:color w:val="231F20"/>
          <w:sz w:val="20"/>
        </w:rPr>
        <w:t>–</w:t>
      </w:r>
      <w:r>
        <w:rPr>
          <w:i/>
          <w:color w:val="231F20"/>
          <w:spacing w:val="-3"/>
          <w:sz w:val="20"/>
        </w:rPr>
        <w:t> </w:t>
      </w:r>
      <w:r>
        <w:rPr>
          <w:i/>
          <w:color w:val="231F20"/>
          <w:sz w:val="20"/>
        </w:rPr>
        <w:t>ответил</w:t>
      </w:r>
      <w:r>
        <w:rPr>
          <w:i/>
          <w:color w:val="231F20"/>
          <w:spacing w:val="-2"/>
          <w:sz w:val="20"/>
        </w:rPr>
        <w:t> мальчик.</w:t>
      </w:r>
    </w:p>
    <w:p>
      <w:pPr>
        <w:pStyle w:val="ListParagraph"/>
        <w:numPr>
          <w:ilvl w:val="0"/>
          <w:numId w:val="217"/>
        </w:numPr>
        <w:tabs>
          <w:tab w:pos="575" w:val="left" w:leader="none"/>
        </w:tabs>
        <w:spacing w:line="226" w:lineRule="exact" w:before="0" w:after="0"/>
        <w:ind w:left="575" w:right="0" w:hanging="150"/>
        <w:jc w:val="left"/>
        <w:rPr>
          <w:i/>
          <w:sz w:val="20"/>
        </w:rPr>
      </w:pPr>
      <w:r>
        <w:rPr>
          <w:i/>
          <w:color w:val="231F20"/>
          <w:sz w:val="20"/>
        </w:rPr>
        <w:t>Хорошо,</w:t>
      </w:r>
      <w:r>
        <w:rPr>
          <w:i/>
          <w:color w:val="231F20"/>
          <w:spacing w:val="-5"/>
          <w:sz w:val="20"/>
        </w:rPr>
        <w:t> </w:t>
      </w:r>
      <w:r>
        <w:rPr>
          <w:i/>
          <w:color w:val="231F20"/>
          <w:sz w:val="20"/>
        </w:rPr>
        <w:t>я</w:t>
      </w:r>
      <w:r>
        <w:rPr>
          <w:i/>
          <w:color w:val="231F20"/>
          <w:spacing w:val="-2"/>
          <w:sz w:val="20"/>
        </w:rPr>
        <w:t> </w:t>
      </w:r>
      <w:r>
        <w:rPr>
          <w:i/>
          <w:color w:val="231F20"/>
          <w:sz w:val="20"/>
        </w:rPr>
        <w:t>не</w:t>
      </w:r>
      <w:r>
        <w:rPr>
          <w:i/>
          <w:color w:val="231F20"/>
          <w:spacing w:val="-3"/>
          <w:sz w:val="20"/>
        </w:rPr>
        <w:t> </w:t>
      </w:r>
      <w:r>
        <w:rPr>
          <w:i/>
          <w:color w:val="231F20"/>
          <w:sz w:val="20"/>
        </w:rPr>
        <w:t>пойду</w:t>
      </w:r>
      <w:r>
        <w:rPr>
          <w:i/>
          <w:color w:val="231F20"/>
          <w:spacing w:val="-2"/>
          <w:sz w:val="20"/>
        </w:rPr>
        <w:t> </w:t>
      </w:r>
      <w:r>
        <w:rPr>
          <w:i/>
          <w:color w:val="231F20"/>
          <w:sz w:val="20"/>
        </w:rPr>
        <w:t>с</w:t>
      </w:r>
      <w:r>
        <w:rPr>
          <w:i/>
          <w:color w:val="231F20"/>
          <w:spacing w:val="-3"/>
          <w:sz w:val="20"/>
        </w:rPr>
        <w:t> </w:t>
      </w:r>
      <w:r>
        <w:rPr>
          <w:i/>
          <w:color w:val="231F20"/>
          <w:sz w:val="20"/>
        </w:rPr>
        <w:t>тобой,</w:t>
      </w:r>
      <w:r>
        <w:rPr>
          <w:i/>
          <w:color w:val="231F20"/>
          <w:spacing w:val="-2"/>
          <w:sz w:val="20"/>
        </w:rPr>
        <w:t> </w:t>
      </w:r>
      <w:r>
        <w:rPr>
          <w:i/>
          <w:color w:val="231F20"/>
          <w:sz w:val="20"/>
        </w:rPr>
        <w:t>а</w:t>
      </w:r>
      <w:r>
        <w:rPr>
          <w:i/>
          <w:color w:val="231F20"/>
          <w:spacing w:val="-2"/>
          <w:sz w:val="20"/>
        </w:rPr>
        <w:t> </w:t>
      </w:r>
      <w:r>
        <w:rPr>
          <w:i/>
          <w:color w:val="231F20"/>
          <w:sz w:val="20"/>
        </w:rPr>
        <w:t>пойду</w:t>
      </w:r>
      <w:r>
        <w:rPr>
          <w:i/>
          <w:color w:val="231F20"/>
          <w:spacing w:val="-3"/>
          <w:sz w:val="20"/>
        </w:rPr>
        <w:t> </w:t>
      </w:r>
      <w:r>
        <w:rPr>
          <w:i/>
          <w:color w:val="231F20"/>
          <w:sz w:val="20"/>
        </w:rPr>
        <w:t>с</w:t>
      </w:r>
      <w:r>
        <w:rPr>
          <w:i/>
          <w:color w:val="231F20"/>
          <w:spacing w:val="-2"/>
          <w:sz w:val="20"/>
        </w:rPr>
        <w:t> </w:t>
      </w:r>
      <w:r>
        <w:rPr>
          <w:i/>
          <w:color w:val="231F20"/>
          <w:sz w:val="20"/>
        </w:rPr>
        <w:t>мужчинами,</w:t>
      </w:r>
      <w:r>
        <w:rPr>
          <w:i/>
          <w:color w:val="231F20"/>
          <w:spacing w:val="-3"/>
          <w:sz w:val="20"/>
        </w:rPr>
        <w:t> </w:t>
      </w:r>
      <w:r>
        <w:rPr>
          <w:i/>
          <w:color w:val="231F20"/>
          <w:sz w:val="20"/>
        </w:rPr>
        <w:t>–</w:t>
      </w:r>
      <w:r>
        <w:rPr>
          <w:i/>
          <w:color w:val="231F20"/>
          <w:spacing w:val="-2"/>
          <w:sz w:val="20"/>
        </w:rPr>
        <w:t> </w:t>
      </w:r>
      <w:r>
        <w:rPr>
          <w:i/>
          <w:color w:val="231F20"/>
          <w:sz w:val="20"/>
        </w:rPr>
        <w:t>сказал</w:t>
      </w:r>
      <w:r>
        <w:rPr>
          <w:i/>
          <w:color w:val="231F20"/>
          <w:spacing w:val="-2"/>
          <w:sz w:val="20"/>
        </w:rPr>
        <w:t> папа.</w:t>
      </w:r>
    </w:p>
    <w:p>
      <w:pPr>
        <w:spacing w:line="235" w:lineRule="auto" w:before="1"/>
        <w:ind w:left="141" w:right="0" w:firstLine="283"/>
        <w:jc w:val="left"/>
        <w:rPr>
          <w:i/>
          <w:sz w:val="20"/>
        </w:rPr>
      </w:pPr>
      <w:r>
        <w:rPr>
          <w:i/>
          <w:color w:val="231F20"/>
          <w:sz w:val="20"/>
        </w:rPr>
        <w:t>А мальчик пошел гулять с другими мальчиками, потому что он не хотел с папой гулять.</w:t>
      </w:r>
      <w:r>
        <w:rPr>
          <w:i/>
          <w:color w:val="231F20"/>
          <w:spacing w:val="-13"/>
          <w:sz w:val="20"/>
        </w:rPr>
        <w:t> </w:t>
      </w:r>
      <w:r>
        <w:rPr>
          <w:i/>
          <w:color w:val="231F20"/>
          <w:sz w:val="20"/>
        </w:rPr>
        <w:t>Почему?</w:t>
      </w:r>
      <w:r>
        <w:rPr>
          <w:i/>
          <w:color w:val="231F20"/>
          <w:spacing w:val="-10"/>
          <w:sz w:val="20"/>
        </w:rPr>
        <w:t> </w:t>
      </w:r>
      <w:r>
        <w:rPr>
          <w:i/>
          <w:color w:val="231F20"/>
          <w:sz w:val="20"/>
        </w:rPr>
        <w:t>Он</w:t>
      </w:r>
      <w:r>
        <w:rPr>
          <w:i/>
          <w:color w:val="231F20"/>
          <w:spacing w:val="-11"/>
          <w:sz w:val="20"/>
        </w:rPr>
        <w:t> </w:t>
      </w:r>
      <w:r>
        <w:rPr>
          <w:i/>
          <w:color w:val="231F20"/>
          <w:sz w:val="20"/>
        </w:rPr>
        <w:t>не</w:t>
      </w:r>
      <w:r>
        <w:rPr>
          <w:i/>
          <w:color w:val="231F20"/>
          <w:spacing w:val="-10"/>
          <w:sz w:val="20"/>
        </w:rPr>
        <w:t> </w:t>
      </w:r>
      <w:r>
        <w:rPr>
          <w:i/>
          <w:color w:val="231F20"/>
          <w:sz w:val="20"/>
        </w:rPr>
        <w:t>любил</w:t>
      </w:r>
      <w:r>
        <w:rPr>
          <w:i/>
          <w:color w:val="231F20"/>
          <w:spacing w:val="-11"/>
          <w:sz w:val="20"/>
        </w:rPr>
        <w:t> </w:t>
      </w:r>
      <w:r>
        <w:rPr>
          <w:i/>
          <w:color w:val="231F20"/>
          <w:sz w:val="20"/>
        </w:rPr>
        <w:t>своего</w:t>
      </w:r>
      <w:r>
        <w:rPr>
          <w:i/>
          <w:color w:val="231F20"/>
          <w:spacing w:val="-10"/>
          <w:sz w:val="20"/>
        </w:rPr>
        <w:t> </w:t>
      </w:r>
      <w:r>
        <w:rPr>
          <w:i/>
          <w:color w:val="231F20"/>
          <w:sz w:val="20"/>
        </w:rPr>
        <w:t>папу.</w:t>
      </w:r>
      <w:r>
        <w:rPr>
          <w:i/>
          <w:color w:val="231F20"/>
          <w:spacing w:val="-11"/>
          <w:sz w:val="20"/>
        </w:rPr>
        <w:t> </w:t>
      </w:r>
      <w:r>
        <w:rPr>
          <w:i/>
          <w:color w:val="231F20"/>
          <w:sz w:val="20"/>
        </w:rPr>
        <w:t>Затем</w:t>
      </w:r>
      <w:r>
        <w:rPr>
          <w:i/>
          <w:color w:val="231F20"/>
          <w:spacing w:val="-10"/>
          <w:sz w:val="20"/>
        </w:rPr>
        <w:t> </w:t>
      </w:r>
      <w:r>
        <w:rPr>
          <w:i/>
          <w:color w:val="231F20"/>
          <w:sz w:val="20"/>
        </w:rPr>
        <w:t>он</w:t>
      </w:r>
      <w:r>
        <w:rPr>
          <w:i/>
          <w:color w:val="231F20"/>
          <w:spacing w:val="-11"/>
          <w:sz w:val="20"/>
        </w:rPr>
        <w:t> </w:t>
      </w:r>
      <w:r>
        <w:rPr>
          <w:i/>
          <w:color w:val="231F20"/>
          <w:sz w:val="20"/>
        </w:rPr>
        <w:t>пришел</w:t>
      </w:r>
      <w:r>
        <w:rPr>
          <w:i/>
          <w:color w:val="231F20"/>
          <w:spacing w:val="-10"/>
          <w:sz w:val="20"/>
        </w:rPr>
        <w:t> </w:t>
      </w:r>
      <w:r>
        <w:rPr>
          <w:i/>
          <w:color w:val="231F20"/>
          <w:sz w:val="20"/>
        </w:rPr>
        <w:t>домой,</w:t>
      </w:r>
      <w:r>
        <w:rPr>
          <w:i/>
          <w:color w:val="231F20"/>
          <w:spacing w:val="-11"/>
          <w:sz w:val="20"/>
        </w:rPr>
        <w:t> </w:t>
      </w:r>
      <w:r>
        <w:rPr>
          <w:i/>
          <w:color w:val="231F20"/>
          <w:sz w:val="20"/>
        </w:rPr>
        <w:t>а</w:t>
      </w:r>
      <w:r>
        <w:rPr>
          <w:i/>
          <w:color w:val="231F20"/>
          <w:spacing w:val="-10"/>
          <w:sz w:val="20"/>
        </w:rPr>
        <w:t> </w:t>
      </w:r>
      <w:r>
        <w:rPr>
          <w:i/>
          <w:color w:val="231F20"/>
          <w:sz w:val="20"/>
        </w:rPr>
        <w:t>папа</w:t>
      </w:r>
      <w:r>
        <w:rPr>
          <w:i/>
          <w:color w:val="231F20"/>
          <w:spacing w:val="-11"/>
          <w:sz w:val="20"/>
        </w:rPr>
        <w:t> </w:t>
      </w:r>
      <w:r>
        <w:rPr>
          <w:i/>
          <w:color w:val="231F20"/>
          <w:sz w:val="20"/>
        </w:rPr>
        <w:t>ему</w:t>
      </w:r>
      <w:r>
        <w:rPr>
          <w:i/>
          <w:color w:val="231F20"/>
          <w:spacing w:val="-10"/>
          <w:sz w:val="20"/>
        </w:rPr>
        <w:t> </w:t>
      </w:r>
      <w:r>
        <w:rPr>
          <w:i/>
          <w:color w:val="231F20"/>
          <w:spacing w:val="-2"/>
          <w:sz w:val="20"/>
        </w:rPr>
        <w:t>сказал:</w:t>
      </w:r>
    </w:p>
    <w:p>
      <w:pPr>
        <w:pStyle w:val="ListParagraph"/>
        <w:numPr>
          <w:ilvl w:val="0"/>
          <w:numId w:val="217"/>
        </w:numPr>
        <w:tabs>
          <w:tab w:pos="575" w:val="left" w:leader="none"/>
        </w:tabs>
        <w:spacing w:line="227" w:lineRule="exact" w:before="0" w:after="0"/>
        <w:ind w:left="575" w:right="0" w:hanging="150"/>
        <w:jc w:val="left"/>
        <w:rPr>
          <w:i/>
          <w:sz w:val="20"/>
        </w:rPr>
      </w:pPr>
      <w:r>
        <w:rPr>
          <w:i/>
          <w:color w:val="231F20"/>
          <w:sz w:val="20"/>
        </w:rPr>
        <w:t>Почему,</w:t>
      </w:r>
      <w:r>
        <w:rPr>
          <w:i/>
          <w:color w:val="231F20"/>
          <w:spacing w:val="-6"/>
          <w:sz w:val="20"/>
        </w:rPr>
        <w:t> </w:t>
      </w:r>
      <w:r>
        <w:rPr>
          <w:i/>
          <w:color w:val="231F20"/>
          <w:sz w:val="20"/>
        </w:rPr>
        <w:t>когда</w:t>
      </w:r>
      <w:r>
        <w:rPr>
          <w:i/>
          <w:color w:val="231F20"/>
          <w:spacing w:val="-6"/>
          <w:sz w:val="20"/>
        </w:rPr>
        <w:t> </w:t>
      </w:r>
      <w:r>
        <w:rPr>
          <w:i/>
          <w:color w:val="231F20"/>
          <w:sz w:val="20"/>
        </w:rPr>
        <w:t>я</w:t>
      </w:r>
      <w:r>
        <w:rPr>
          <w:i/>
          <w:color w:val="231F20"/>
          <w:spacing w:val="-6"/>
          <w:sz w:val="20"/>
        </w:rPr>
        <w:t> </w:t>
      </w:r>
      <w:r>
        <w:rPr>
          <w:i/>
          <w:color w:val="231F20"/>
          <w:sz w:val="20"/>
        </w:rPr>
        <w:t>тебя</w:t>
      </w:r>
      <w:r>
        <w:rPr>
          <w:i/>
          <w:color w:val="231F20"/>
          <w:spacing w:val="-6"/>
          <w:sz w:val="20"/>
        </w:rPr>
        <w:t> </w:t>
      </w:r>
      <w:r>
        <w:rPr>
          <w:i/>
          <w:color w:val="231F20"/>
          <w:sz w:val="20"/>
        </w:rPr>
        <w:t>позвал</w:t>
      </w:r>
      <w:r>
        <w:rPr>
          <w:i/>
          <w:color w:val="231F20"/>
          <w:spacing w:val="-6"/>
          <w:sz w:val="20"/>
        </w:rPr>
        <w:t> </w:t>
      </w:r>
      <w:r>
        <w:rPr>
          <w:i/>
          <w:color w:val="231F20"/>
          <w:sz w:val="20"/>
        </w:rPr>
        <w:t>гулять,</w:t>
      </w:r>
      <w:r>
        <w:rPr>
          <w:i/>
          <w:color w:val="231F20"/>
          <w:spacing w:val="-6"/>
          <w:sz w:val="20"/>
        </w:rPr>
        <w:t> </w:t>
      </w:r>
      <w:r>
        <w:rPr>
          <w:i/>
          <w:color w:val="231F20"/>
          <w:sz w:val="20"/>
        </w:rPr>
        <w:t>ты</w:t>
      </w:r>
      <w:r>
        <w:rPr>
          <w:i/>
          <w:color w:val="231F20"/>
          <w:spacing w:val="-7"/>
          <w:sz w:val="20"/>
        </w:rPr>
        <w:t> </w:t>
      </w:r>
      <w:r>
        <w:rPr>
          <w:i/>
          <w:color w:val="231F20"/>
          <w:sz w:val="20"/>
        </w:rPr>
        <w:t>не</w:t>
      </w:r>
      <w:r>
        <w:rPr>
          <w:i/>
          <w:color w:val="231F20"/>
          <w:spacing w:val="-6"/>
          <w:sz w:val="20"/>
        </w:rPr>
        <w:t> </w:t>
      </w:r>
      <w:r>
        <w:rPr>
          <w:i/>
          <w:color w:val="231F20"/>
          <w:sz w:val="20"/>
        </w:rPr>
        <w:t>пошел,</w:t>
      </w:r>
      <w:r>
        <w:rPr>
          <w:i/>
          <w:color w:val="231F20"/>
          <w:spacing w:val="-6"/>
          <w:sz w:val="20"/>
        </w:rPr>
        <w:t> </w:t>
      </w:r>
      <w:r>
        <w:rPr>
          <w:i/>
          <w:color w:val="231F20"/>
          <w:sz w:val="20"/>
        </w:rPr>
        <w:t>а</w:t>
      </w:r>
      <w:r>
        <w:rPr>
          <w:i/>
          <w:color w:val="231F20"/>
          <w:spacing w:val="-6"/>
          <w:sz w:val="20"/>
        </w:rPr>
        <w:t> </w:t>
      </w:r>
      <w:r>
        <w:rPr>
          <w:i/>
          <w:color w:val="231F20"/>
          <w:sz w:val="20"/>
        </w:rPr>
        <w:t>с</w:t>
      </w:r>
      <w:r>
        <w:rPr>
          <w:i/>
          <w:color w:val="231F20"/>
          <w:spacing w:val="-6"/>
          <w:sz w:val="20"/>
        </w:rPr>
        <w:t> </w:t>
      </w:r>
      <w:r>
        <w:rPr>
          <w:i/>
          <w:color w:val="231F20"/>
          <w:sz w:val="20"/>
        </w:rPr>
        <w:t>мальчиками</w:t>
      </w:r>
      <w:r>
        <w:rPr>
          <w:i/>
          <w:color w:val="231F20"/>
          <w:spacing w:val="-5"/>
          <w:sz w:val="20"/>
        </w:rPr>
        <w:t> </w:t>
      </w:r>
      <w:r>
        <w:rPr>
          <w:i/>
          <w:color w:val="231F20"/>
          <w:spacing w:val="-2"/>
          <w:sz w:val="20"/>
        </w:rPr>
        <w:t>пошел.</w:t>
      </w:r>
    </w:p>
    <w:p>
      <w:pPr>
        <w:pStyle w:val="ListParagraph"/>
        <w:spacing w:after="0" w:line="227" w:lineRule="exact"/>
        <w:jc w:val="left"/>
        <w:rPr>
          <w:i/>
          <w:sz w:val="20"/>
        </w:rPr>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ListParagraph"/>
        <w:numPr>
          <w:ilvl w:val="0"/>
          <w:numId w:val="217"/>
        </w:numPr>
        <w:tabs>
          <w:tab w:pos="575" w:val="left" w:leader="none"/>
        </w:tabs>
        <w:spacing w:line="228" w:lineRule="exact" w:before="112" w:after="0"/>
        <w:ind w:left="575" w:right="0" w:hanging="150"/>
        <w:jc w:val="left"/>
        <w:rPr>
          <w:i/>
          <w:sz w:val="20"/>
        </w:rPr>
      </w:pPr>
      <w:r>
        <w:rPr>
          <w:i/>
          <w:color w:val="231F20"/>
          <w:sz w:val="20"/>
        </w:rPr>
        <w:t>Тебя</w:t>
      </w:r>
      <w:r>
        <w:rPr>
          <w:i/>
          <w:color w:val="231F20"/>
          <w:spacing w:val="-6"/>
          <w:sz w:val="20"/>
        </w:rPr>
        <w:t> </w:t>
      </w:r>
      <w:r>
        <w:rPr>
          <w:i/>
          <w:color w:val="231F20"/>
          <w:sz w:val="20"/>
        </w:rPr>
        <w:t>это</w:t>
      </w:r>
      <w:r>
        <w:rPr>
          <w:i/>
          <w:color w:val="231F20"/>
          <w:spacing w:val="-6"/>
          <w:sz w:val="20"/>
        </w:rPr>
        <w:t> </w:t>
      </w:r>
      <w:r>
        <w:rPr>
          <w:i/>
          <w:color w:val="231F20"/>
          <w:sz w:val="20"/>
        </w:rPr>
        <w:t>не</w:t>
      </w:r>
      <w:r>
        <w:rPr>
          <w:i/>
          <w:color w:val="231F20"/>
          <w:spacing w:val="-6"/>
          <w:sz w:val="20"/>
        </w:rPr>
        <w:t> </w:t>
      </w:r>
      <w:r>
        <w:rPr>
          <w:i/>
          <w:color w:val="231F20"/>
          <w:sz w:val="20"/>
        </w:rPr>
        <w:t>касается,</w:t>
      </w:r>
      <w:r>
        <w:rPr>
          <w:i/>
          <w:color w:val="231F20"/>
          <w:spacing w:val="-6"/>
          <w:sz w:val="20"/>
        </w:rPr>
        <w:t> </w:t>
      </w:r>
      <w:r>
        <w:rPr>
          <w:i/>
          <w:color w:val="231F20"/>
          <w:sz w:val="20"/>
        </w:rPr>
        <w:t>–</w:t>
      </w:r>
      <w:r>
        <w:rPr>
          <w:i/>
          <w:color w:val="231F20"/>
          <w:spacing w:val="-6"/>
          <w:sz w:val="20"/>
        </w:rPr>
        <w:t> </w:t>
      </w:r>
      <w:r>
        <w:rPr>
          <w:i/>
          <w:color w:val="231F20"/>
          <w:sz w:val="20"/>
        </w:rPr>
        <w:t>ответил</w:t>
      </w:r>
      <w:r>
        <w:rPr>
          <w:i/>
          <w:color w:val="231F20"/>
          <w:spacing w:val="-6"/>
          <w:sz w:val="20"/>
        </w:rPr>
        <w:t> </w:t>
      </w:r>
      <w:r>
        <w:rPr>
          <w:i/>
          <w:color w:val="231F20"/>
          <w:spacing w:val="-2"/>
          <w:sz w:val="20"/>
        </w:rPr>
        <w:t>мальчик.</w:t>
      </w:r>
    </w:p>
    <w:p>
      <w:pPr>
        <w:pStyle w:val="ListParagraph"/>
        <w:numPr>
          <w:ilvl w:val="0"/>
          <w:numId w:val="217"/>
        </w:numPr>
        <w:tabs>
          <w:tab w:pos="575" w:val="left" w:leader="none"/>
        </w:tabs>
        <w:spacing w:line="226" w:lineRule="exact" w:before="0" w:after="0"/>
        <w:ind w:left="575" w:right="0" w:hanging="150"/>
        <w:jc w:val="left"/>
        <w:rPr>
          <w:i/>
          <w:sz w:val="20"/>
        </w:rPr>
      </w:pPr>
      <w:r>
        <w:rPr>
          <w:i/>
          <w:color w:val="231F20"/>
          <w:sz w:val="20"/>
        </w:rPr>
        <w:t>Ладно,</w:t>
      </w:r>
      <w:r>
        <w:rPr>
          <w:i/>
          <w:color w:val="231F20"/>
          <w:spacing w:val="-3"/>
          <w:sz w:val="20"/>
        </w:rPr>
        <w:t> </w:t>
      </w:r>
      <w:r>
        <w:rPr>
          <w:i/>
          <w:color w:val="231F20"/>
          <w:sz w:val="20"/>
        </w:rPr>
        <w:t>–</w:t>
      </w:r>
      <w:r>
        <w:rPr>
          <w:i/>
          <w:color w:val="231F20"/>
          <w:spacing w:val="-3"/>
          <w:sz w:val="20"/>
        </w:rPr>
        <w:t> </w:t>
      </w:r>
      <w:r>
        <w:rPr>
          <w:i/>
          <w:color w:val="231F20"/>
          <w:sz w:val="20"/>
        </w:rPr>
        <w:t>сказал</w:t>
      </w:r>
      <w:r>
        <w:rPr>
          <w:i/>
          <w:color w:val="231F20"/>
          <w:spacing w:val="-3"/>
          <w:sz w:val="20"/>
        </w:rPr>
        <w:t> </w:t>
      </w:r>
      <w:r>
        <w:rPr>
          <w:i/>
          <w:color w:val="231F20"/>
          <w:sz w:val="20"/>
        </w:rPr>
        <w:t>папа,</w:t>
      </w:r>
      <w:r>
        <w:rPr>
          <w:i/>
          <w:color w:val="231F20"/>
          <w:spacing w:val="-2"/>
          <w:sz w:val="20"/>
        </w:rPr>
        <w:t> </w:t>
      </w:r>
      <w:r>
        <w:rPr>
          <w:i/>
          <w:color w:val="231F20"/>
          <w:sz w:val="20"/>
        </w:rPr>
        <w:t>–</w:t>
      </w:r>
      <w:r>
        <w:rPr>
          <w:i/>
          <w:color w:val="231F20"/>
          <w:spacing w:val="-3"/>
          <w:sz w:val="20"/>
        </w:rPr>
        <w:t> </w:t>
      </w:r>
      <w:r>
        <w:rPr>
          <w:i/>
          <w:color w:val="231F20"/>
          <w:sz w:val="20"/>
        </w:rPr>
        <w:t>не</w:t>
      </w:r>
      <w:r>
        <w:rPr>
          <w:i/>
          <w:color w:val="231F20"/>
          <w:spacing w:val="-3"/>
          <w:sz w:val="20"/>
        </w:rPr>
        <w:t> </w:t>
      </w:r>
      <w:r>
        <w:rPr>
          <w:i/>
          <w:color w:val="231F20"/>
          <w:sz w:val="20"/>
        </w:rPr>
        <w:t>хочешь,</w:t>
      </w:r>
      <w:r>
        <w:rPr>
          <w:i/>
          <w:color w:val="231F20"/>
          <w:spacing w:val="-3"/>
          <w:sz w:val="20"/>
        </w:rPr>
        <w:t> </w:t>
      </w:r>
      <w:r>
        <w:rPr>
          <w:i/>
          <w:color w:val="231F20"/>
          <w:sz w:val="20"/>
        </w:rPr>
        <w:t>как</w:t>
      </w:r>
      <w:r>
        <w:rPr>
          <w:i/>
          <w:color w:val="231F20"/>
          <w:spacing w:val="-2"/>
          <w:sz w:val="20"/>
        </w:rPr>
        <w:t> хочешь.</w:t>
      </w:r>
    </w:p>
    <w:p>
      <w:pPr>
        <w:pStyle w:val="ListParagraph"/>
        <w:numPr>
          <w:ilvl w:val="0"/>
          <w:numId w:val="217"/>
        </w:numPr>
        <w:tabs>
          <w:tab w:pos="575" w:val="left" w:leader="none"/>
        </w:tabs>
        <w:spacing w:line="235" w:lineRule="auto" w:before="2" w:after="0"/>
        <w:ind w:left="425" w:right="2406" w:firstLine="0"/>
        <w:jc w:val="left"/>
        <w:rPr>
          <w:i/>
          <w:sz w:val="20"/>
        </w:rPr>
      </w:pPr>
      <w:r>
        <w:rPr>
          <w:i/>
          <w:color w:val="231F20"/>
          <w:sz w:val="20"/>
        </w:rPr>
        <w:t>Я</w:t>
      </w:r>
      <w:r>
        <w:rPr>
          <w:i/>
          <w:color w:val="231F20"/>
          <w:spacing w:val="-8"/>
          <w:sz w:val="20"/>
        </w:rPr>
        <w:t> </w:t>
      </w:r>
      <w:r>
        <w:rPr>
          <w:i/>
          <w:color w:val="231F20"/>
          <w:sz w:val="20"/>
        </w:rPr>
        <w:t>с</w:t>
      </w:r>
      <w:r>
        <w:rPr>
          <w:i/>
          <w:color w:val="231F20"/>
          <w:spacing w:val="-7"/>
          <w:sz w:val="20"/>
        </w:rPr>
        <w:t> </w:t>
      </w:r>
      <w:r>
        <w:rPr>
          <w:i/>
          <w:color w:val="231F20"/>
          <w:sz w:val="20"/>
        </w:rPr>
        <w:t>тобой</w:t>
      </w:r>
      <w:r>
        <w:rPr>
          <w:i/>
          <w:color w:val="231F20"/>
          <w:spacing w:val="-7"/>
          <w:sz w:val="20"/>
        </w:rPr>
        <w:t> </w:t>
      </w:r>
      <w:r>
        <w:rPr>
          <w:i/>
          <w:color w:val="231F20"/>
          <w:sz w:val="20"/>
        </w:rPr>
        <w:t>никогда</w:t>
      </w:r>
      <w:r>
        <w:rPr>
          <w:i/>
          <w:color w:val="231F20"/>
          <w:spacing w:val="-7"/>
          <w:sz w:val="20"/>
        </w:rPr>
        <w:t> </w:t>
      </w:r>
      <w:r>
        <w:rPr>
          <w:i/>
          <w:color w:val="231F20"/>
          <w:sz w:val="20"/>
        </w:rPr>
        <w:t>не</w:t>
      </w:r>
      <w:r>
        <w:rPr>
          <w:i/>
          <w:color w:val="231F20"/>
          <w:spacing w:val="-7"/>
          <w:sz w:val="20"/>
        </w:rPr>
        <w:t> </w:t>
      </w:r>
      <w:r>
        <w:rPr>
          <w:i/>
          <w:color w:val="231F20"/>
          <w:sz w:val="20"/>
        </w:rPr>
        <w:t>пойду</w:t>
      </w:r>
      <w:r>
        <w:rPr>
          <w:i/>
          <w:color w:val="231F20"/>
          <w:spacing w:val="-7"/>
          <w:sz w:val="20"/>
        </w:rPr>
        <w:t> </w:t>
      </w:r>
      <w:r>
        <w:rPr>
          <w:i/>
          <w:color w:val="231F20"/>
          <w:sz w:val="20"/>
        </w:rPr>
        <w:t>гулять,</w:t>
      </w:r>
      <w:r>
        <w:rPr>
          <w:i/>
          <w:color w:val="231F20"/>
          <w:spacing w:val="-7"/>
          <w:sz w:val="20"/>
        </w:rPr>
        <w:t> </w:t>
      </w:r>
      <w:r>
        <w:rPr>
          <w:i/>
          <w:color w:val="231F20"/>
          <w:sz w:val="20"/>
        </w:rPr>
        <w:t>–</w:t>
      </w:r>
      <w:r>
        <w:rPr>
          <w:i/>
          <w:color w:val="231F20"/>
          <w:spacing w:val="-7"/>
          <w:sz w:val="20"/>
        </w:rPr>
        <w:t> </w:t>
      </w:r>
      <w:r>
        <w:rPr>
          <w:i/>
          <w:color w:val="231F20"/>
          <w:sz w:val="20"/>
        </w:rPr>
        <w:t>сказал</w:t>
      </w:r>
      <w:r>
        <w:rPr>
          <w:i/>
          <w:color w:val="231F20"/>
          <w:spacing w:val="-7"/>
          <w:sz w:val="20"/>
        </w:rPr>
        <w:t> </w:t>
      </w:r>
      <w:r>
        <w:rPr>
          <w:i/>
          <w:color w:val="231F20"/>
          <w:sz w:val="20"/>
        </w:rPr>
        <w:t>мальчик. Почему мальчик так сказал?</w:t>
      </w:r>
    </w:p>
    <w:p>
      <w:pPr>
        <w:spacing w:line="227" w:lineRule="exact" w:before="0"/>
        <w:ind w:left="425" w:right="0" w:firstLine="0"/>
        <w:jc w:val="left"/>
        <w:rPr>
          <w:i/>
          <w:sz w:val="20"/>
        </w:rPr>
      </w:pPr>
      <w:r>
        <w:rPr>
          <w:i/>
          <w:color w:val="231F20"/>
          <w:sz w:val="20"/>
        </w:rPr>
        <w:t>Потому</w:t>
      </w:r>
      <w:r>
        <w:rPr>
          <w:i/>
          <w:color w:val="231F20"/>
          <w:spacing w:val="-3"/>
          <w:sz w:val="20"/>
        </w:rPr>
        <w:t> </w:t>
      </w:r>
      <w:r>
        <w:rPr>
          <w:i/>
          <w:color w:val="231F20"/>
          <w:sz w:val="20"/>
        </w:rPr>
        <w:t>что</w:t>
      </w:r>
      <w:r>
        <w:rPr>
          <w:i/>
          <w:color w:val="231F20"/>
          <w:spacing w:val="-3"/>
          <w:sz w:val="20"/>
        </w:rPr>
        <w:t> </w:t>
      </w:r>
      <w:r>
        <w:rPr>
          <w:i/>
          <w:color w:val="231F20"/>
          <w:sz w:val="20"/>
        </w:rPr>
        <w:t>он</w:t>
      </w:r>
      <w:r>
        <w:rPr>
          <w:i/>
          <w:color w:val="231F20"/>
          <w:spacing w:val="-4"/>
          <w:sz w:val="20"/>
        </w:rPr>
        <w:t> </w:t>
      </w:r>
      <w:r>
        <w:rPr>
          <w:i/>
          <w:color w:val="231F20"/>
          <w:sz w:val="20"/>
        </w:rPr>
        <w:t>не</w:t>
      </w:r>
      <w:r>
        <w:rPr>
          <w:i/>
          <w:color w:val="231F20"/>
          <w:spacing w:val="-3"/>
          <w:sz w:val="20"/>
        </w:rPr>
        <w:t> </w:t>
      </w:r>
      <w:r>
        <w:rPr>
          <w:i/>
          <w:color w:val="231F20"/>
          <w:sz w:val="20"/>
        </w:rPr>
        <w:t>любил</w:t>
      </w:r>
      <w:r>
        <w:rPr>
          <w:i/>
          <w:color w:val="231F20"/>
          <w:spacing w:val="-3"/>
          <w:sz w:val="20"/>
        </w:rPr>
        <w:t> </w:t>
      </w:r>
      <w:r>
        <w:rPr>
          <w:i/>
          <w:color w:val="231F20"/>
          <w:sz w:val="20"/>
        </w:rPr>
        <w:t>своего</w:t>
      </w:r>
      <w:r>
        <w:rPr>
          <w:i/>
          <w:color w:val="231F20"/>
          <w:spacing w:val="-2"/>
          <w:sz w:val="20"/>
        </w:rPr>
        <w:t> папу.</w:t>
      </w:r>
    </w:p>
    <w:p>
      <w:pPr>
        <w:spacing w:line="226" w:lineRule="exact" w:before="0"/>
        <w:ind w:left="425" w:right="0" w:firstLine="0"/>
        <w:jc w:val="left"/>
        <w:rPr>
          <w:i/>
          <w:sz w:val="20"/>
        </w:rPr>
      </w:pPr>
      <w:r>
        <w:rPr>
          <w:i/>
          <w:color w:val="231F20"/>
          <w:sz w:val="20"/>
        </w:rPr>
        <w:t>Урок:</w:t>
      </w:r>
      <w:r>
        <w:rPr>
          <w:i/>
          <w:color w:val="231F20"/>
          <w:spacing w:val="-6"/>
          <w:sz w:val="20"/>
        </w:rPr>
        <w:t> </w:t>
      </w:r>
      <w:r>
        <w:rPr>
          <w:i/>
          <w:color w:val="231F20"/>
          <w:sz w:val="20"/>
        </w:rPr>
        <w:t>Эта</w:t>
      </w:r>
      <w:r>
        <w:rPr>
          <w:i/>
          <w:color w:val="231F20"/>
          <w:spacing w:val="-3"/>
          <w:sz w:val="20"/>
        </w:rPr>
        <w:t> </w:t>
      </w:r>
      <w:r>
        <w:rPr>
          <w:i/>
          <w:color w:val="231F20"/>
          <w:sz w:val="20"/>
        </w:rPr>
        <w:t>история</w:t>
      </w:r>
      <w:r>
        <w:rPr>
          <w:i/>
          <w:color w:val="231F20"/>
          <w:spacing w:val="-4"/>
          <w:sz w:val="20"/>
        </w:rPr>
        <w:t> </w:t>
      </w:r>
      <w:r>
        <w:rPr>
          <w:i/>
          <w:color w:val="231F20"/>
          <w:sz w:val="20"/>
        </w:rPr>
        <w:t>учит,</w:t>
      </w:r>
      <w:r>
        <w:rPr>
          <w:i/>
          <w:color w:val="231F20"/>
          <w:spacing w:val="-3"/>
          <w:sz w:val="20"/>
        </w:rPr>
        <w:t> </w:t>
      </w:r>
      <w:r>
        <w:rPr>
          <w:i/>
          <w:color w:val="231F20"/>
          <w:sz w:val="20"/>
        </w:rPr>
        <w:t>как</w:t>
      </w:r>
      <w:r>
        <w:rPr>
          <w:i/>
          <w:color w:val="231F20"/>
          <w:spacing w:val="-3"/>
          <w:sz w:val="20"/>
        </w:rPr>
        <w:t> </w:t>
      </w:r>
      <w:r>
        <w:rPr>
          <w:i/>
          <w:color w:val="231F20"/>
          <w:sz w:val="20"/>
        </w:rPr>
        <w:t>неправильно.</w:t>
      </w:r>
      <w:r>
        <w:rPr>
          <w:i/>
          <w:color w:val="231F20"/>
          <w:spacing w:val="-4"/>
          <w:sz w:val="20"/>
        </w:rPr>
        <w:t> </w:t>
      </w:r>
      <w:r>
        <w:rPr>
          <w:i/>
          <w:color w:val="231F20"/>
          <w:sz w:val="20"/>
        </w:rPr>
        <w:t>Плохо</w:t>
      </w:r>
      <w:r>
        <w:rPr>
          <w:i/>
          <w:color w:val="231F20"/>
          <w:spacing w:val="-3"/>
          <w:sz w:val="20"/>
        </w:rPr>
        <w:t> </w:t>
      </w:r>
      <w:r>
        <w:rPr>
          <w:i/>
          <w:color w:val="231F20"/>
          <w:sz w:val="20"/>
        </w:rPr>
        <w:t>сказал</w:t>
      </w:r>
      <w:r>
        <w:rPr>
          <w:i/>
          <w:color w:val="231F20"/>
          <w:spacing w:val="-4"/>
          <w:sz w:val="20"/>
        </w:rPr>
        <w:t> </w:t>
      </w:r>
      <w:r>
        <w:rPr>
          <w:i/>
          <w:color w:val="231F20"/>
          <w:sz w:val="20"/>
        </w:rPr>
        <w:t>мальчик,</w:t>
      </w:r>
      <w:r>
        <w:rPr>
          <w:i/>
          <w:color w:val="231F20"/>
          <w:spacing w:val="-3"/>
          <w:sz w:val="20"/>
        </w:rPr>
        <w:t> </w:t>
      </w:r>
      <w:r>
        <w:rPr>
          <w:i/>
          <w:color w:val="231F20"/>
          <w:sz w:val="20"/>
        </w:rPr>
        <w:t>так</w:t>
      </w:r>
      <w:r>
        <w:rPr>
          <w:i/>
          <w:color w:val="231F20"/>
          <w:spacing w:val="-3"/>
          <w:sz w:val="20"/>
        </w:rPr>
        <w:t> </w:t>
      </w:r>
      <w:r>
        <w:rPr>
          <w:i/>
          <w:color w:val="231F20"/>
          <w:spacing w:val="-2"/>
          <w:sz w:val="20"/>
        </w:rPr>
        <w:t>нельзя.</w:t>
      </w:r>
    </w:p>
    <w:p>
      <w:pPr>
        <w:pStyle w:val="BodyText"/>
        <w:spacing w:line="232" w:lineRule="auto" w:before="115"/>
      </w:pPr>
      <w:r>
        <w:rPr>
          <w:color w:val="231F20"/>
        </w:rPr>
        <w:t>В этой истории наблюдается «сдерживание чувств», потому что, несмотря на до- статочно откровенные высказывания мальчика по отношению к папе, они получили негативную</w:t>
      </w:r>
      <w:r>
        <w:rPr>
          <w:color w:val="231F20"/>
          <w:spacing w:val="-12"/>
        </w:rPr>
        <w:t> </w:t>
      </w:r>
      <w:r>
        <w:rPr>
          <w:color w:val="231F20"/>
        </w:rPr>
        <w:t>оценку</w:t>
      </w:r>
      <w:r>
        <w:rPr>
          <w:color w:val="231F20"/>
          <w:spacing w:val="-12"/>
        </w:rPr>
        <w:t> </w:t>
      </w:r>
      <w:r>
        <w:rPr>
          <w:color w:val="231F20"/>
        </w:rPr>
        <w:t>в</w:t>
      </w:r>
      <w:r>
        <w:rPr>
          <w:color w:val="231F20"/>
          <w:spacing w:val="-12"/>
        </w:rPr>
        <w:t> </w:t>
      </w:r>
      <w:r>
        <w:rPr>
          <w:color w:val="231F20"/>
        </w:rPr>
        <w:t>«уроке».</w:t>
      </w:r>
      <w:r>
        <w:rPr>
          <w:color w:val="231F20"/>
          <w:spacing w:val="-12"/>
        </w:rPr>
        <w:t> </w:t>
      </w:r>
      <w:r>
        <w:rPr>
          <w:color w:val="231F20"/>
        </w:rPr>
        <w:t>Это</w:t>
      </w:r>
      <w:r>
        <w:rPr>
          <w:color w:val="231F20"/>
          <w:spacing w:val="-12"/>
        </w:rPr>
        <w:t> </w:t>
      </w:r>
      <w:r>
        <w:rPr>
          <w:color w:val="231F20"/>
        </w:rPr>
        <w:t>предположение</w:t>
      </w:r>
      <w:r>
        <w:rPr>
          <w:color w:val="231F20"/>
          <w:spacing w:val="-12"/>
        </w:rPr>
        <w:t> </w:t>
      </w:r>
      <w:r>
        <w:rPr>
          <w:color w:val="231F20"/>
        </w:rPr>
        <w:t>подтверждали</w:t>
      </w:r>
      <w:r>
        <w:rPr>
          <w:color w:val="231F20"/>
          <w:spacing w:val="-12"/>
        </w:rPr>
        <w:t> </w:t>
      </w:r>
      <w:r>
        <w:rPr>
          <w:color w:val="231F20"/>
        </w:rPr>
        <w:t>и</w:t>
      </w:r>
      <w:r>
        <w:rPr>
          <w:color w:val="231F20"/>
          <w:spacing w:val="-12"/>
        </w:rPr>
        <w:t> </w:t>
      </w:r>
      <w:r>
        <w:rPr>
          <w:color w:val="231F20"/>
        </w:rPr>
        <w:t>наши</w:t>
      </w:r>
      <w:r>
        <w:rPr>
          <w:color w:val="231F20"/>
          <w:spacing w:val="-12"/>
        </w:rPr>
        <w:t> </w:t>
      </w:r>
      <w:r>
        <w:rPr>
          <w:color w:val="231F20"/>
        </w:rPr>
        <w:t>знания</w:t>
      </w:r>
      <w:r>
        <w:rPr>
          <w:color w:val="231F20"/>
          <w:spacing w:val="-12"/>
        </w:rPr>
        <w:t> </w:t>
      </w:r>
      <w:r>
        <w:rPr>
          <w:color w:val="231F20"/>
        </w:rPr>
        <w:t>о</w:t>
      </w:r>
      <w:r>
        <w:rPr>
          <w:color w:val="231F20"/>
          <w:spacing w:val="-12"/>
        </w:rPr>
        <w:t> </w:t>
      </w:r>
      <w:r>
        <w:rPr>
          <w:color w:val="231F20"/>
        </w:rPr>
        <w:t>ре- альном внутрисемейном поведении ребенка. Также здесь можно говорить о «прямо- линейности»,</w:t>
      </w:r>
      <w:r>
        <w:rPr>
          <w:color w:val="231F20"/>
          <w:spacing w:val="-10"/>
        </w:rPr>
        <w:t> </w:t>
      </w:r>
      <w:r>
        <w:rPr>
          <w:color w:val="231F20"/>
        </w:rPr>
        <w:t>потому</w:t>
      </w:r>
      <w:r>
        <w:rPr>
          <w:color w:val="231F20"/>
          <w:spacing w:val="-10"/>
        </w:rPr>
        <w:t> </w:t>
      </w:r>
      <w:r>
        <w:rPr>
          <w:color w:val="231F20"/>
        </w:rPr>
        <w:t>что</w:t>
      </w:r>
      <w:r>
        <w:rPr>
          <w:color w:val="231F20"/>
          <w:spacing w:val="-10"/>
        </w:rPr>
        <w:t> </w:t>
      </w:r>
      <w:r>
        <w:rPr>
          <w:color w:val="231F20"/>
        </w:rPr>
        <w:t>нежелание</w:t>
      </w:r>
      <w:r>
        <w:rPr>
          <w:color w:val="231F20"/>
          <w:spacing w:val="-10"/>
        </w:rPr>
        <w:t> </w:t>
      </w:r>
      <w:r>
        <w:rPr>
          <w:color w:val="231F20"/>
        </w:rPr>
        <w:t>следовать</w:t>
      </w:r>
      <w:r>
        <w:rPr>
          <w:color w:val="231F20"/>
          <w:spacing w:val="-10"/>
        </w:rPr>
        <w:t> </w:t>
      </w:r>
      <w:r>
        <w:rPr>
          <w:color w:val="231F20"/>
        </w:rPr>
        <w:t>родительским</w:t>
      </w:r>
      <w:r>
        <w:rPr>
          <w:color w:val="231F20"/>
          <w:spacing w:val="-10"/>
        </w:rPr>
        <w:t> </w:t>
      </w:r>
      <w:r>
        <w:rPr>
          <w:color w:val="231F20"/>
        </w:rPr>
        <w:t>указаниям</w:t>
      </w:r>
      <w:r>
        <w:rPr>
          <w:color w:val="231F20"/>
          <w:spacing w:val="-10"/>
        </w:rPr>
        <w:t> </w:t>
      </w:r>
      <w:r>
        <w:rPr>
          <w:color w:val="231F20"/>
        </w:rPr>
        <w:t>интерпрети- руется</w:t>
      </w:r>
      <w:r>
        <w:rPr>
          <w:color w:val="231F20"/>
          <w:spacing w:val="-13"/>
        </w:rPr>
        <w:t> </w:t>
      </w:r>
      <w:r>
        <w:rPr>
          <w:color w:val="231F20"/>
        </w:rPr>
        <w:t>автором</w:t>
      </w:r>
      <w:r>
        <w:rPr>
          <w:color w:val="231F20"/>
          <w:spacing w:val="-12"/>
        </w:rPr>
        <w:t> </w:t>
      </w:r>
      <w:r>
        <w:rPr>
          <w:color w:val="231F20"/>
        </w:rPr>
        <w:t>истории</w:t>
      </w:r>
      <w:r>
        <w:rPr>
          <w:color w:val="231F20"/>
          <w:spacing w:val="-13"/>
        </w:rPr>
        <w:t> </w:t>
      </w:r>
      <w:r>
        <w:rPr>
          <w:color w:val="231F20"/>
        </w:rPr>
        <w:t>как</w:t>
      </w:r>
      <w:r>
        <w:rPr>
          <w:color w:val="231F20"/>
          <w:spacing w:val="-12"/>
        </w:rPr>
        <w:t> </w:t>
      </w:r>
      <w:r>
        <w:rPr>
          <w:color w:val="231F20"/>
        </w:rPr>
        <w:t>«нелюбовь».</w:t>
      </w:r>
      <w:r>
        <w:rPr>
          <w:color w:val="231F20"/>
          <w:spacing w:val="-13"/>
        </w:rPr>
        <w:t> </w:t>
      </w:r>
      <w:r>
        <w:rPr>
          <w:color w:val="231F20"/>
        </w:rPr>
        <w:t>Такая</w:t>
      </w:r>
      <w:r>
        <w:rPr>
          <w:color w:val="231F20"/>
          <w:spacing w:val="-12"/>
        </w:rPr>
        <w:t> </w:t>
      </w:r>
      <w:r>
        <w:rPr>
          <w:color w:val="231F20"/>
        </w:rPr>
        <w:t>интерпретация</w:t>
      </w:r>
      <w:r>
        <w:rPr>
          <w:color w:val="231F20"/>
          <w:spacing w:val="-13"/>
        </w:rPr>
        <w:t> </w:t>
      </w:r>
      <w:r>
        <w:rPr>
          <w:color w:val="231F20"/>
        </w:rPr>
        <w:t>вызывает</w:t>
      </w:r>
      <w:r>
        <w:rPr>
          <w:color w:val="231F20"/>
          <w:spacing w:val="-12"/>
        </w:rPr>
        <w:t> </w:t>
      </w:r>
      <w:r>
        <w:rPr>
          <w:color w:val="231F20"/>
        </w:rPr>
        <w:t>сильнейший внутренний</w:t>
      </w:r>
      <w:r>
        <w:rPr>
          <w:color w:val="231F20"/>
          <w:spacing w:val="-7"/>
        </w:rPr>
        <w:t> </w:t>
      </w:r>
      <w:r>
        <w:rPr>
          <w:color w:val="231F20"/>
        </w:rPr>
        <w:t>конфликт,</w:t>
      </w:r>
      <w:r>
        <w:rPr>
          <w:color w:val="231F20"/>
          <w:spacing w:val="-7"/>
        </w:rPr>
        <w:t> </w:t>
      </w:r>
      <w:r>
        <w:rPr>
          <w:color w:val="231F20"/>
        </w:rPr>
        <w:t>потому</w:t>
      </w:r>
      <w:r>
        <w:rPr>
          <w:color w:val="231F20"/>
          <w:spacing w:val="-7"/>
        </w:rPr>
        <w:t> </w:t>
      </w:r>
      <w:r>
        <w:rPr>
          <w:color w:val="231F20"/>
        </w:rPr>
        <w:t>что</w:t>
      </w:r>
      <w:r>
        <w:rPr>
          <w:color w:val="231F20"/>
          <w:spacing w:val="-7"/>
        </w:rPr>
        <w:t> </w:t>
      </w:r>
      <w:r>
        <w:rPr>
          <w:color w:val="231F20"/>
        </w:rPr>
        <w:t>любое,</w:t>
      </w:r>
      <w:r>
        <w:rPr>
          <w:color w:val="231F20"/>
          <w:spacing w:val="-7"/>
        </w:rPr>
        <w:t> </w:t>
      </w:r>
      <w:r>
        <w:rPr>
          <w:color w:val="231F20"/>
        </w:rPr>
        <w:t>даже</w:t>
      </w:r>
      <w:r>
        <w:rPr>
          <w:color w:val="231F20"/>
          <w:spacing w:val="-7"/>
        </w:rPr>
        <w:t> </w:t>
      </w:r>
      <w:r>
        <w:rPr>
          <w:color w:val="231F20"/>
        </w:rPr>
        <w:t>внутреннее</w:t>
      </w:r>
      <w:r>
        <w:rPr>
          <w:color w:val="231F20"/>
          <w:spacing w:val="-7"/>
        </w:rPr>
        <w:t> </w:t>
      </w:r>
      <w:r>
        <w:rPr>
          <w:color w:val="231F20"/>
        </w:rPr>
        <w:t>сопротивление</w:t>
      </w:r>
      <w:r>
        <w:rPr>
          <w:color w:val="231F20"/>
          <w:spacing w:val="-7"/>
        </w:rPr>
        <w:t> </w:t>
      </w:r>
      <w:r>
        <w:rPr>
          <w:color w:val="231F20"/>
        </w:rPr>
        <w:t>родитель- скому авторитету ребенок идентифицирует как проявление «нелюбви» и начинает винить себя за это. В связи с этим была рассказана следующая история.</w:t>
      </w:r>
    </w:p>
    <w:p>
      <w:pPr>
        <w:spacing w:line="226" w:lineRule="exact" w:before="106"/>
        <w:ind w:left="425" w:right="0" w:firstLine="0"/>
        <w:jc w:val="left"/>
        <w:rPr>
          <w:i/>
          <w:sz w:val="20"/>
        </w:rPr>
      </w:pPr>
      <w:r>
        <w:rPr>
          <w:i/>
          <w:color w:val="231F20"/>
          <w:sz w:val="20"/>
        </w:rPr>
        <w:t>Жил-был</w:t>
      </w:r>
      <w:r>
        <w:rPr>
          <w:i/>
          <w:color w:val="231F20"/>
          <w:spacing w:val="-3"/>
          <w:sz w:val="20"/>
        </w:rPr>
        <w:t> </w:t>
      </w:r>
      <w:r>
        <w:rPr>
          <w:i/>
          <w:color w:val="231F20"/>
          <w:sz w:val="20"/>
        </w:rPr>
        <w:t>на</w:t>
      </w:r>
      <w:r>
        <w:rPr>
          <w:i/>
          <w:color w:val="231F20"/>
          <w:spacing w:val="-3"/>
          <w:sz w:val="20"/>
        </w:rPr>
        <w:t> </w:t>
      </w:r>
      <w:r>
        <w:rPr>
          <w:i/>
          <w:color w:val="231F20"/>
          <w:sz w:val="20"/>
        </w:rPr>
        <w:t>свете</w:t>
      </w:r>
      <w:r>
        <w:rPr>
          <w:i/>
          <w:color w:val="231F20"/>
          <w:spacing w:val="-3"/>
          <w:sz w:val="20"/>
        </w:rPr>
        <w:t> </w:t>
      </w:r>
      <w:r>
        <w:rPr>
          <w:i/>
          <w:color w:val="231F20"/>
          <w:sz w:val="20"/>
        </w:rPr>
        <w:t>один</w:t>
      </w:r>
      <w:r>
        <w:rPr>
          <w:i/>
          <w:color w:val="231F20"/>
          <w:spacing w:val="-4"/>
          <w:sz w:val="20"/>
        </w:rPr>
        <w:t> </w:t>
      </w:r>
      <w:r>
        <w:rPr>
          <w:i/>
          <w:color w:val="231F20"/>
          <w:sz w:val="20"/>
        </w:rPr>
        <w:t>мальчик.</w:t>
      </w:r>
      <w:r>
        <w:rPr>
          <w:i/>
          <w:color w:val="231F20"/>
          <w:spacing w:val="-3"/>
          <w:sz w:val="20"/>
        </w:rPr>
        <w:t> </w:t>
      </w:r>
      <w:r>
        <w:rPr>
          <w:i/>
          <w:color w:val="231F20"/>
          <w:sz w:val="20"/>
        </w:rPr>
        <w:t>Как-то</w:t>
      </w:r>
      <w:r>
        <w:rPr>
          <w:i/>
          <w:color w:val="231F20"/>
          <w:spacing w:val="-3"/>
          <w:sz w:val="20"/>
        </w:rPr>
        <w:t> </w:t>
      </w:r>
      <w:r>
        <w:rPr>
          <w:i/>
          <w:color w:val="231F20"/>
          <w:sz w:val="20"/>
        </w:rPr>
        <w:t>раз</w:t>
      </w:r>
      <w:r>
        <w:rPr>
          <w:i/>
          <w:color w:val="231F20"/>
          <w:spacing w:val="-4"/>
          <w:sz w:val="20"/>
        </w:rPr>
        <w:t> </w:t>
      </w:r>
      <w:r>
        <w:rPr>
          <w:i/>
          <w:color w:val="231F20"/>
          <w:sz w:val="20"/>
        </w:rPr>
        <w:t>ему</w:t>
      </w:r>
      <w:r>
        <w:rPr>
          <w:i/>
          <w:color w:val="231F20"/>
          <w:spacing w:val="-3"/>
          <w:sz w:val="20"/>
        </w:rPr>
        <w:t> </w:t>
      </w:r>
      <w:r>
        <w:rPr>
          <w:i/>
          <w:color w:val="231F20"/>
          <w:sz w:val="20"/>
        </w:rPr>
        <w:t>папа</w:t>
      </w:r>
      <w:r>
        <w:rPr>
          <w:i/>
          <w:color w:val="231F20"/>
          <w:spacing w:val="-2"/>
          <w:sz w:val="20"/>
        </w:rPr>
        <w:t> сказал:</w:t>
      </w:r>
    </w:p>
    <w:p>
      <w:pPr>
        <w:pStyle w:val="ListParagraph"/>
        <w:numPr>
          <w:ilvl w:val="0"/>
          <w:numId w:val="217"/>
        </w:numPr>
        <w:tabs>
          <w:tab w:pos="575" w:val="left" w:leader="none"/>
        </w:tabs>
        <w:spacing w:line="222" w:lineRule="exact" w:before="0" w:after="0"/>
        <w:ind w:left="575" w:right="0" w:hanging="150"/>
        <w:jc w:val="left"/>
        <w:rPr>
          <w:i/>
          <w:sz w:val="20"/>
        </w:rPr>
      </w:pPr>
      <w:r>
        <w:rPr>
          <w:i/>
          <w:color w:val="231F20"/>
          <w:sz w:val="20"/>
        </w:rPr>
        <w:t>Пойдем</w:t>
      </w:r>
      <w:r>
        <w:rPr>
          <w:i/>
          <w:color w:val="231F20"/>
          <w:spacing w:val="-4"/>
          <w:sz w:val="20"/>
        </w:rPr>
        <w:t> </w:t>
      </w:r>
      <w:r>
        <w:rPr>
          <w:i/>
          <w:color w:val="231F20"/>
          <w:spacing w:val="-2"/>
          <w:sz w:val="20"/>
        </w:rPr>
        <w:t>гулять?</w:t>
      </w:r>
    </w:p>
    <w:p>
      <w:pPr>
        <w:pStyle w:val="ListParagraph"/>
        <w:numPr>
          <w:ilvl w:val="0"/>
          <w:numId w:val="217"/>
        </w:numPr>
        <w:tabs>
          <w:tab w:pos="575" w:val="left" w:leader="none"/>
        </w:tabs>
        <w:spacing w:line="222" w:lineRule="exact" w:before="0" w:after="0"/>
        <w:ind w:left="575" w:right="0" w:hanging="150"/>
        <w:jc w:val="left"/>
        <w:rPr>
          <w:i/>
          <w:sz w:val="20"/>
        </w:rPr>
      </w:pPr>
      <w:r>
        <w:rPr>
          <w:i/>
          <w:color w:val="231F20"/>
          <w:sz w:val="20"/>
        </w:rPr>
        <w:t>Не</w:t>
      </w:r>
      <w:r>
        <w:rPr>
          <w:i/>
          <w:color w:val="231F20"/>
          <w:spacing w:val="-3"/>
          <w:sz w:val="20"/>
        </w:rPr>
        <w:t> </w:t>
      </w:r>
      <w:r>
        <w:rPr>
          <w:i/>
          <w:color w:val="231F20"/>
          <w:sz w:val="20"/>
        </w:rPr>
        <w:t>хочу</w:t>
      </w:r>
      <w:r>
        <w:rPr>
          <w:i/>
          <w:color w:val="231F20"/>
          <w:spacing w:val="-3"/>
          <w:sz w:val="20"/>
        </w:rPr>
        <w:t> </w:t>
      </w:r>
      <w:r>
        <w:rPr>
          <w:i/>
          <w:color w:val="231F20"/>
          <w:sz w:val="20"/>
        </w:rPr>
        <w:t>с</w:t>
      </w:r>
      <w:r>
        <w:rPr>
          <w:i/>
          <w:color w:val="231F20"/>
          <w:spacing w:val="-3"/>
          <w:sz w:val="20"/>
        </w:rPr>
        <w:t> </w:t>
      </w:r>
      <w:r>
        <w:rPr>
          <w:i/>
          <w:color w:val="231F20"/>
          <w:sz w:val="20"/>
        </w:rPr>
        <w:t>тобой</w:t>
      </w:r>
      <w:r>
        <w:rPr>
          <w:i/>
          <w:color w:val="231F20"/>
          <w:spacing w:val="-3"/>
          <w:sz w:val="20"/>
        </w:rPr>
        <w:t> </w:t>
      </w:r>
      <w:r>
        <w:rPr>
          <w:i/>
          <w:color w:val="231F20"/>
          <w:sz w:val="20"/>
        </w:rPr>
        <w:t>идти,</w:t>
      </w:r>
      <w:r>
        <w:rPr>
          <w:i/>
          <w:color w:val="231F20"/>
          <w:spacing w:val="-3"/>
          <w:sz w:val="20"/>
        </w:rPr>
        <w:t> </w:t>
      </w:r>
      <w:r>
        <w:rPr>
          <w:i/>
          <w:color w:val="231F20"/>
          <w:sz w:val="20"/>
        </w:rPr>
        <w:t>–</w:t>
      </w:r>
      <w:r>
        <w:rPr>
          <w:i/>
          <w:color w:val="231F20"/>
          <w:spacing w:val="-3"/>
          <w:sz w:val="20"/>
        </w:rPr>
        <w:t> </w:t>
      </w:r>
      <w:r>
        <w:rPr>
          <w:i/>
          <w:color w:val="231F20"/>
          <w:sz w:val="20"/>
        </w:rPr>
        <w:t>ответил</w:t>
      </w:r>
      <w:r>
        <w:rPr>
          <w:i/>
          <w:color w:val="231F20"/>
          <w:spacing w:val="-2"/>
          <w:sz w:val="20"/>
        </w:rPr>
        <w:t> мальчик.</w:t>
      </w:r>
    </w:p>
    <w:p>
      <w:pPr>
        <w:pStyle w:val="ListParagraph"/>
        <w:numPr>
          <w:ilvl w:val="0"/>
          <w:numId w:val="217"/>
        </w:numPr>
        <w:tabs>
          <w:tab w:pos="575" w:val="left" w:leader="none"/>
        </w:tabs>
        <w:spacing w:line="222" w:lineRule="exact" w:before="0" w:after="0"/>
        <w:ind w:left="575" w:right="0" w:hanging="150"/>
        <w:jc w:val="left"/>
        <w:rPr>
          <w:i/>
          <w:sz w:val="20"/>
        </w:rPr>
      </w:pPr>
      <w:r>
        <w:rPr>
          <w:i/>
          <w:color w:val="231F20"/>
          <w:sz w:val="20"/>
        </w:rPr>
        <w:t>Хорошо,</w:t>
      </w:r>
      <w:r>
        <w:rPr>
          <w:i/>
          <w:color w:val="231F20"/>
          <w:spacing w:val="-3"/>
          <w:sz w:val="20"/>
        </w:rPr>
        <w:t> </w:t>
      </w:r>
      <w:r>
        <w:rPr>
          <w:i/>
          <w:color w:val="231F20"/>
          <w:sz w:val="20"/>
        </w:rPr>
        <w:t>я</w:t>
      </w:r>
      <w:r>
        <w:rPr>
          <w:i/>
          <w:color w:val="231F20"/>
          <w:spacing w:val="-3"/>
          <w:sz w:val="20"/>
        </w:rPr>
        <w:t> </w:t>
      </w:r>
      <w:r>
        <w:rPr>
          <w:i/>
          <w:color w:val="231F20"/>
          <w:sz w:val="20"/>
        </w:rPr>
        <w:t>не</w:t>
      </w:r>
      <w:r>
        <w:rPr>
          <w:i/>
          <w:color w:val="231F20"/>
          <w:spacing w:val="-2"/>
          <w:sz w:val="20"/>
        </w:rPr>
        <w:t> </w:t>
      </w:r>
      <w:r>
        <w:rPr>
          <w:i/>
          <w:color w:val="231F20"/>
          <w:sz w:val="20"/>
        </w:rPr>
        <w:t>пойду</w:t>
      </w:r>
      <w:r>
        <w:rPr>
          <w:i/>
          <w:color w:val="231F20"/>
          <w:spacing w:val="-3"/>
          <w:sz w:val="20"/>
        </w:rPr>
        <w:t> </w:t>
      </w:r>
      <w:r>
        <w:rPr>
          <w:i/>
          <w:color w:val="231F20"/>
          <w:sz w:val="20"/>
        </w:rPr>
        <w:t>с</w:t>
      </w:r>
      <w:r>
        <w:rPr>
          <w:i/>
          <w:color w:val="231F20"/>
          <w:spacing w:val="-3"/>
          <w:sz w:val="20"/>
        </w:rPr>
        <w:t> </w:t>
      </w:r>
      <w:r>
        <w:rPr>
          <w:i/>
          <w:color w:val="231F20"/>
          <w:sz w:val="20"/>
        </w:rPr>
        <w:t>тобой,</w:t>
      </w:r>
      <w:r>
        <w:rPr>
          <w:i/>
          <w:color w:val="231F20"/>
          <w:spacing w:val="-2"/>
          <w:sz w:val="20"/>
        </w:rPr>
        <w:t> </w:t>
      </w:r>
      <w:r>
        <w:rPr>
          <w:i/>
          <w:color w:val="231F20"/>
          <w:sz w:val="20"/>
        </w:rPr>
        <w:t>пойду</w:t>
      </w:r>
      <w:r>
        <w:rPr>
          <w:i/>
          <w:color w:val="231F20"/>
          <w:spacing w:val="-3"/>
          <w:sz w:val="20"/>
        </w:rPr>
        <w:t> </w:t>
      </w:r>
      <w:r>
        <w:rPr>
          <w:i/>
          <w:color w:val="231F20"/>
          <w:sz w:val="20"/>
        </w:rPr>
        <w:t>с</w:t>
      </w:r>
      <w:r>
        <w:rPr>
          <w:i/>
          <w:color w:val="231F20"/>
          <w:spacing w:val="-3"/>
          <w:sz w:val="20"/>
        </w:rPr>
        <w:t> </w:t>
      </w:r>
      <w:r>
        <w:rPr>
          <w:i/>
          <w:color w:val="231F20"/>
          <w:sz w:val="20"/>
        </w:rPr>
        <w:t>мужчинами,</w:t>
      </w:r>
      <w:r>
        <w:rPr>
          <w:i/>
          <w:color w:val="231F20"/>
          <w:spacing w:val="-2"/>
          <w:sz w:val="20"/>
        </w:rPr>
        <w:t> </w:t>
      </w:r>
      <w:r>
        <w:rPr>
          <w:i/>
          <w:color w:val="231F20"/>
          <w:sz w:val="20"/>
        </w:rPr>
        <w:t>–</w:t>
      </w:r>
      <w:r>
        <w:rPr>
          <w:i/>
          <w:color w:val="231F20"/>
          <w:spacing w:val="-3"/>
          <w:sz w:val="20"/>
        </w:rPr>
        <w:t> </w:t>
      </w:r>
      <w:r>
        <w:rPr>
          <w:i/>
          <w:color w:val="231F20"/>
          <w:sz w:val="20"/>
        </w:rPr>
        <w:t>сказал</w:t>
      </w:r>
      <w:r>
        <w:rPr>
          <w:i/>
          <w:color w:val="231F20"/>
          <w:spacing w:val="-2"/>
          <w:sz w:val="20"/>
        </w:rPr>
        <w:t> папа.</w:t>
      </w:r>
    </w:p>
    <w:p>
      <w:pPr>
        <w:spacing w:line="232" w:lineRule="auto" w:before="1"/>
        <w:ind w:left="141" w:right="139" w:firstLine="283"/>
        <w:jc w:val="both"/>
        <w:rPr>
          <w:i/>
          <w:sz w:val="20"/>
        </w:rPr>
      </w:pPr>
      <w:r>
        <w:rPr>
          <w:i/>
          <w:color w:val="231F20"/>
          <w:sz w:val="20"/>
        </w:rPr>
        <w:t>И мальчик пошел гулять с другими мальчиками. Почему он так поступил? Он не хотел гулять с папой, так как был обижен на него. За что, я не знаю, но это было именно так. Затем он пришел домой, и папа спросил:</w:t>
      </w:r>
    </w:p>
    <w:p>
      <w:pPr>
        <w:pStyle w:val="ListParagraph"/>
        <w:numPr>
          <w:ilvl w:val="0"/>
          <w:numId w:val="217"/>
        </w:numPr>
        <w:tabs>
          <w:tab w:pos="575" w:val="left" w:leader="none"/>
        </w:tabs>
        <w:spacing w:line="217" w:lineRule="exact" w:before="0" w:after="0"/>
        <w:ind w:left="575" w:right="0" w:hanging="150"/>
        <w:jc w:val="left"/>
        <w:rPr>
          <w:i/>
          <w:sz w:val="20"/>
        </w:rPr>
      </w:pPr>
      <w:r>
        <w:rPr>
          <w:i/>
          <w:color w:val="231F20"/>
          <w:sz w:val="20"/>
        </w:rPr>
        <w:t>Почему,</w:t>
      </w:r>
      <w:r>
        <w:rPr>
          <w:i/>
          <w:color w:val="231F20"/>
          <w:spacing w:val="-6"/>
          <w:sz w:val="20"/>
        </w:rPr>
        <w:t> </w:t>
      </w:r>
      <w:r>
        <w:rPr>
          <w:i/>
          <w:color w:val="231F20"/>
          <w:sz w:val="20"/>
        </w:rPr>
        <w:t>когда</w:t>
      </w:r>
      <w:r>
        <w:rPr>
          <w:i/>
          <w:color w:val="231F20"/>
          <w:spacing w:val="-6"/>
          <w:sz w:val="20"/>
        </w:rPr>
        <w:t> </w:t>
      </w:r>
      <w:r>
        <w:rPr>
          <w:i/>
          <w:color w:val="231F20"/>
          <w:sz w:val="20"/>
        </w:rPr>
        <w:t>я</w:t>
      </w:r>
      <w:r>
        <w:rPr>
          <w:i/>
          <w:color w:val="231F20"/>
          <w:spacing w:val="-6"/>
          <w:sz w:val="20"/>
        </w:rPr>
        <w:t> </w:t>
      </w:r>
      <w:r>
        <w:rPr>
          <w:i/>
          <w:color w:val="231F20"/>
          <w:sz w:val="20"/>
        </w:rPr>
        <w:t>тебя</w:t>
      </w:r>
      <w:r>
        <w:rPr>
          <w:i/>
          <w:color w:val="231F20"/>
          <w:spacing w:val="-6"/>
          <w:sz w:val="20"/>
        </w:rPr>
        <w:t> </w:t>
      </w:r>
      <w:r>
        <w:rPr>
          <w:i/>
          <w:color w:val="231F20"/>
          <w:sz w:val="20"/>
        </w:rPr>
        <w:t>позвал</w:t>
      </w:r>
      <w:r>
        <w:rPr>
          <w:i/>
          <w:color w:val="231F20"/>
          <w:spacing w:val="-6"/>
          <w:sz w:val="20"/>
        </w:rPr>
        <w:t> </w:t>
      </w:r>
      <w:r>
        <w:rPr>
          <w:i/>
          <w:color w:val="231F20"/>
          <w:sz w:val="20"/>
        </w:rPr>
        <w:t>гулять,</w:t>
      </w:r>
      <w:r>
        <w:rPr>
          <w:i/>
          <w:color w:val="231F20"/>
          <w:spacing w:val="-6"/>
          <w:sz w:val="20"/>
        </w:rPr>
        <w:t> </w:t>
      </w:r>
      <w:r>
        <w:rPr>
          <w:i/>
          <w:color w:val="231F20"/>
          <w:sz w:val="20"/>
        </w:rPr>
        <w:t>ты</w:t>
      </w:r>
      <w:r>
        <w:rPr>
          <w:i/>
          <w:color w:val="231F20"/>
          <w:spacing w:val="-7"/>
          <w:sz w:val="20"/>
        </w:rPr>
        <w:t> </w:t>
      </w:r>
      <w:r>
        <w:rPr>
          <w:i/>
          <w:color w:val="231F20"/>
          <w:sz w:val="20"/>
        </w:rPr>
        <w:t>не</w:t>
      </w:r>
      <w:r>
        <w:rPr>
          <w:i/>
          <w:color w:val="231F20"/>
          <w:spacing w:val="-6"/>
          <w:sz w:val="20"/>
        </w:rPr>
        <w:t> </w:t>
      </w:r>
      <w:r>
        <w:rPr>
          <w:i/>
          <w:color w:val="231F20"/>
          <w:sz w:val="20"/>
        </w:rPr>
        <w:t>пошел,</w:t>
      </w:r>
      <w:r>
        <w:rPr>
          <w:i/>
          <w:color w:val="231F20"/>
          <w:spacing w:val="-6"/>
          <w:sz w:val="20"/>
        </w:rPr>
        <w:t> </w:t>
      </w:r>
      <w:r>
        <w:rPr>
          <w:i/>
          <w:color w:val="231F20"/>
          <w:sz w:val="20"/>
        </w:rPr>
        <w:t>а</w:t>
      </w:r>
      <w:r>
        <w:rPr>
          <w:i/>
          <w:color w:val="231F20"/>
          <w:spacing w:val="-6"/>
          <w:sz w:val="20"/>
        </w:rPr>
        <w:t> </w:t>
      </w:r>
      <w:r>
        <w:rPr>
          <w:i/>
          <w:color w:val="231F20"/>
          <w:sz w:val="20"/>
        </w:rPr>
        <w:t>с</w:t>
      </w:r>
      <w:r>
        <w:rPr>
          <w:i/>
          <w:color w:val="231F20"/>
          <w:spacing w:val="-6"/>
          <w:sz w:val="20"/>
        </w:rPr>
        <w:t> </w:t>
      </w:r>
      <w:r>
        <w:rPr>
          <w:i/>
          <w:color w:val="231F20"/>
          <w:sz w:val="20"/>
        </w:rPr>
        <w:t>мальчиками</w:t>
      </w:r>
      <w:r>
        <w:rPr>
          <w:i/>
          <w:color w:val="231F20"/>
          <w:spacing w:val="-5"/>
          <w:sz w:val="20"/>
        </w:rPr>
        <w:t> </w:t>
      </w:r>
      <w:r>
        <w:rPr>
          <w:i/>
          <w:color w:val="231F20"/>
          <w:spacing w:val="-2"/>
          <w:sz w:val="20"/>
        </w:rPr>
        <w:t>пошел?</w:t>
      </w:r>
    </w:p>
    <w:p>
      <w:pPr>
        <w:pStyle w:val="ListParagraph"/>
        <w:numPr>
          <w:ilvl w:val="0"/>
          <w:numId w:val="217"/>
        </w:numPr>
        <w:tabs>
          <w:tab w:pos="575" w:val="left" w:leader="none"/>
        </w:tabs>
        <w:spacing w:line="222" w:lineRule="exact" w:before="0" w:after="0"/>
        <w:ind w:left="575" w:right="0" w:hanging="150"/>
        <w:jc w:val="left"/>
        <w:rPr>
          <w:i/>
          <w:sz w:val="20"/>
        </w:rPr>
      </w:pPr>
      <w:r>
        <w:rPr>
          <w:i/>
          <w:color w:val="231F20"/>
          <w:sz w:val="20"/>
        </w:rPr>
        <w:t>Тебя</w:t>
      </w:r>
      <w:r>
        <w:rPr>
          <w:i/>
          <w:color w:val="231F20"/>
          <w:spacing w:val="-6"/>
          <w:sz w:val="20"/>
        </w:rPr>
        <w:t> </w:t>
      </w:r>
      <w:r>
        <w:rPr>
          <w:i/>
          <w:color w:val="231F20"/>
          <w:sz w:val="20"/>
        </w:rPr>
        <w:t>это</w:t>
      </w:r>
      <w:r>
        <w:rPr>
          <w:i/>
          <w:color w:val="231F20"/>
          <w:spacing w:val="-6"/>
          <w:sz w:val="20"/>
        </w:rPr>
        <w:t> </w:t>
      </w:r>
      <w:r>
        <w:rPr>
          <w:i/>
          <w:color w:val="231F20"/>
          <w:sz w:val="20"/>
        </w:rPr>
        <w:t>не</w:t>
      </w:r>
      <w:r>
        <w:rPr>
          <w:i/>
          <w:color w:val="231F20"/>
          <w:spacing w:val="-6"/>
          <w:sz w:val="20"/>
        </w:rPr>
        <w:t> </w:t>
      </w:r>
      <w:r>
        <w:rPr>
          <w:i/>
          <w:color w:val="231F20"/>
          <w:sz w:val="20"/>
        </w:rPr>
        <w:t>касается,</w:t>
      </w:r>
      <w:r>
        <w:rPr>
          <w:i/>
          <w:color w:val="231F20"/>
          <w:spacing w:val="-6"/>
          <w:sz w:val="20"/>
        </w:rPr>
        <w:t> </w:t>
      </w:r>
      <w:r>
        <w:rPr>
          <w:i/>
          <w:color w:val="231F20"/>
          <w:sz w:val="20"/>
        </w:rPr>
        <w:t>–</w:t>
      </w:r>
      <w:r>
        <w:rPr>
          <w:i/>
          <w:color w:val="231F20"/>
          <w:spacing w:val="-6"/>
          <w:sz w:val="20"/>
        </w:rPr>
        <w:t> </w:t>
      </w:r>
      <w:r>
        <w:rPr>
          <w:i/>
          <w:color w:val="231F20"/>
          <w:sz w:val="20"/>
        </w:rPr>
        <w:t>ответил</w:t>
      </w:r>
      <w:r>
        <w:rPr>
          <w:i/>
          <w:color w:val="231F20"/>
          <w:spacing w:val="-6"/>
          <w:sz w:val="20"/>
        </w:rPr>
        <w:t> </w:t>
      </w:r>
      <w:r>
        <w:rPr>
          <w:i/>
          <w:color w:val="231F20"/>
          <w:spacing w:val="-2"/>
          <w:sz w:val="20"/>
        </w:rPr>
        <w:t>мальчик.</w:t>
      </w:r>
    </w:p>
    <w:p>
      <w:pPr>
        <w:pStyle w:val="ListParagraph"/>
        <w:numPr>
          <w:ilvl w:val="0"/>
          <w:numId w:val="217"/>
        </w:numPr>
        <w:tabs>
          <w:tab w:pos="575" w:val="left" w:leader="none"/>
        </w:tabs>
        <w:spacing w:line="222" w:lineRule="exact" w:before="0" w:after="0"/>
        <w:ind w:left="575" w:right="0" w:hanging="150"/>
        <w:jc w:val="left"/>
        <w:rPr>
          <w:i/>
          <w:sz w:val="20"/>
        </w:rPr>
      </w:pPr>
      <w:r>
        <w:rPr>
          <w:i/>
          <w:color w:val="231F20"/>
          <w:sz w:val="20"/>
        </w:rPr>
        <w:t>Ладно,</w:t>
      </w:r>
      <w:r>
        <w:rPr>
          <w:i/>
          <w:color w:val="231F20"/>
          <w:spacing w:val="-3"/>
          <w:sz w:val="20"/>
        </w:rPr>
        <w:t> </w:t>
      </w:r>
      <w:r>
        <w:rPr>
          <w:i/>
          <w:color w:val="231F20"/>
          <w:sz w:val="20"/>
        </w:rPr>
        <w:t>–</w:t>
      </w:r>
      <w:r>
        <w:rPr>
          <w:i/>
          <w:color w:val="231F20"/>
          <w:spacing w:val="-3"/>
          <w:sz w:val="20"/>
        </w:rPr>
        <w:t> </w:t>
      </w:r>
      <w:r>
        <w:rPr>
          <w:i/>
          <w:color w:val="231F20"/>
          <w:sz w:val="20"/>
        </w:rPr>
        <w:t>сказал</w:t>
      </w:r>
      <w:r>
        <w:rPr>
          <w:i/>
          <w:color w:val="231F20"/>
          <w:spacing w:val="-3"/>
          <w:sz w:val="20"/>
        </w:rPr>
        <w:t> </w:t>
      </w:r>
      <w:r>
        <w:rPr>
          <w:i/>
          <w:color w:val="231F20"/>
          <w:sz w:val="20"/>
        </w:rPr>
        <w:t>папа,</w:t>
      </w:r>
      <w:r>
        <w:rPr>
          <w:i/>
          <w:color w:val="231F20"/>
          <w:spacing w:val="-2"/>
          <w:sz w:val="20"/>
        </w:rPr>
        <w:t> </w:t>
      </w:r>
      <w:r>
        <w:rPr>
          <w:i/>
          <w:color w:val="231F20"/>
          <w:sz w:val="20"/>
        </w:rPr>
        <w:t>–</w:t>
      </w:r>
      <w:r>
        <w:rPr>
          <w:i/>
          <w:color w:val="231F20"/>
          <w:spacing w:val="-3"/>
          <w:sz w:val="20"/>
        </w:rPr>
        <w:t> </w:t>
      </w:r>
      <w:r>
        <w:rPr>
          <w:i/>
          <w:color w:val="231F20"/>
          <w:sz w:val="20"/>
        </w:rPr>
        <w:t>не</w:t>
      </w:r>
      <w:r>
        <w:rPr>
          <w:i/>
          <w:color w:val="231F20"/>
          <w:spacing w:val="-3"/>
          <w:sz w:val="20"/>
        </w:rPr>
        <w:t> </w:t>
      </w:r>
      <w:r>
        <w:rPr>
          <w:i/>
          <w:color w:val="231F20"/>
          <w:sz w:val="20"/>
        </w:rPr>
        <w:t>хочешь,</w:t>
      </w:r>
      <w:r>
        <w:rPr>
          <w:i/>
          <w:color w:val="231F20"/>
          <w:spacing w:val="-3"/>
          <w:sz w:val="20"/>
        </w:rPr>
        <w:t> </w:t>
      </w:r>
      <w:r>
        <w:rPr>
          <w:i/>
          <w:color w:val="231F20"/>
          <w:sz w:val="20"/>
        </w:rPr>
        <w:t>как</w:t>
      </w:r>
      <w:r>
        <w:rPr>
          <w:i/>
          <w:color w:val="231F20"/>
          <w:spacing w:val="-2"/>
          <w:sz w:val="20"/>
        </w:rPr>
        <w:t> хочешь.</w:t>
      </w:r>
    </w:p>
    <w:p>
      <w:pPr>
        <w:pStyle w:val="ListParagraph"/>
        <w:numPr>
          <w:ilvl w:val="0"/>
          <w:numId w:val="217"/>
        </w:numPr>
        <w:tabs>
          <w:tab w:pos="568" w:val="left" w:leader="none"/>
        </w:tabs>
        <w:spacing w:line="222" w:lineRule="exact" w:before="0" w:after="0"/>
        <w:ind w:left="568" w:right="0" w:hanging="143"/>
        <w:jc w:val="left"/>
        <w:rPr>
          <w:i/>
          <w:sz w:val="20"/>
        </w:rPr>
      </w:pPr>
      <w:r>
        <w:rPr>
          <w:i/>
          <w:color w:val="231F20"/>
          <w:spacing w:val="-4"/>
          <w:sz w:val="20"/>
        </w:rPr>
        <w:t>Я</w:t>
      </w:r>
      <w:r>
        <w:rPr>
          <w:i/>
          <w:color w:val="231F20"/>
          <w:spacing w:val="-2"/>
          <w:sz w:val="20"/>
        </w:rPr>
        <w:t> </w:t>
      </w:r>
      <w:r>
        <w:rPr>
          <w:i/>
          <w:color w:val="231F20"/>
          <w:spacing w:val="-4"/>
          <w:sz w:val="20"/>
        </w:rPr>
        <w:t>с</w:t>
      </w:r>
      <w:r>
        <w:rPr>
          <w:i/>
          <w:color w:val="231F20"/>
          <w:spacing w:val="-2"/>
          <w:sz w:val="20"/>
        </w:rPr>
        <w:t> </w:t>
      </w:r>
      <w:r>
        <w:rPr>
          <w:i/>
          <w:color w:val="231F20"/>
          <w:spacing w:val="-4"/>
          <w:sz w:val="20"/>
        </w:rPr>
        <w:t>тобой</w:t>
      </w:r>
      <w:r>
        <w:rPr>
          <w:i/>
          <w:color w:val="231F20"/>
          <w:spacing w:val="-1"/>
          <w:sz w:val="20"/>
        </w:rPr>
        <w:t> </w:t>
      </w:r>
      <w:r>
        <w:rPr>
          <w:i/>
          <w:color w:val="231F20"/>
          <w:spacing w:val="-4"/>
          <w:sz w:val="20"/>
        </w:rPr>
        <w:t>никогда</w:t>
      </w:r>
      <w:r>
        <w:rPr>
          <w:i/>
          <w:color w:val="231F20"/>
          <w:spacing w:val="-2"/>
          <w:sz w:val="20"/>
        </w:rPr>
        <w:t> </w:t>
      </w:r>
      <w:r>
        <w:rPr>
          <w:i/>
          <w:color w:val="231F20"/>
          <w:spacing w:val="-4"/>
          <w:sz w:val="20"/>
        </w:rPr>
        <w:t>не</w:t>
      </w:r>
      <w:r>
        <w:rPr>
          <w:i/>
          <w:color w:val="231F20"/>
          <w:spacing w:val="-2"/>
          <w:sz w:val="20"/>
        </w:rPr>
        <w:t> </w:t>
      </w:r>
      <w:r>
        <w:rPr>
          <w:i/>
          <w:color w:val="231F20"/>
          <w:spacing w:val="-4"/>
          <w:sz w:val="20"/>
        </w:rPr>
        <w:t>пойду</w:t>
      </w:r>
      <w:r>
        <w:rPr>
          <w:i/>
          <w:color w:val="231F20"/>
          <w:spacing w:val="-1"/>
          <w:sz w:val="20"/>
        </w:rPr>
        <w:t> </w:t>
      </w:r>
      <w:r>
        <w:rPr>
          <w:i/>
          <w:color w:val="231F20"/>
          <w:spacing w:val="-4"/>
          <w:sz w:val="20"/>
        </w:rPr>
        <w:t>гулять,</w:t>
      </w:r>
      <w:r>
        <w:rPr>
          <w:i/>
          <w:color w:val="231F20"/>
          <w:spacing w:val="-2"/>
          <w:sz w:val="20"/>
        </w:rPr>
        <w:t> </w:t>
      </w:r>
      <w:r>
        <w:rPr>
          <w:i/>
          <w:color w:val="231F20"/>
          <w:spacing w:val="-4"/>
          <w:sz w:val="20"/>
        </w:rPr>
        <w:t>–</w:t>
      </w:r>
      <w:r>
        <w:rPr>
          <w:i/>
          <w:color w:val="231F20"/>
          <w:spacing w:val="-2"/>
          <w:sz w:val="20"/>
        </w:rPr>
        <w:t> </w:t>
      </w:r>
      <w:r>
        <w:rPr>
          <w:i/>
          <w:color w:val="231F20"/>
          <w:spacing w:val="-4"/>
          <w:sz w:val="20"/>
        </w:rPr>
        <w:t>сказал</w:t>
      </w:r>
      <w:r>
        <w:rPr>
          <w:i/>
          <w:color w:val="231F20"/>
          <w:spacing w:val="-1"/>
          <w:sz w:val="20"/>
        </w:rPr>
        <w:t> </w:t>
      </w:r>
      <w:r>
        <w:rPr>
          <w:i/>
          <w:color w:val="231F20"/>
          <w:spacing w:val="-4"/>
          <w:sz w:val="20"/>
        </w:rPr>
        <w:t>мальчик</w:t>
      </w:r>
      <w:r>
        <w:rPr>
          <w:i/>
          <w:color w:val="231F20"/>
          <w:spacing w:val="-2"/>
          <w:sz w:val="20"/>
        </w:rPr>
        <w:t> </w:t>
      </w:r>
      <w:r>
        <w:rPr>
          <w:i/>
          <w:color w:val="231F20"/>
          <w:spacing w:val="-4"/>
          <w:sz w:val="20"/>
        </w:rPr>
        <w:t>и</w:t>
      </w:r>
      <w:r>
        <w:rPr>
          <w:i/>
          <w:color w:val="231F20"/>
          <w:spacing w:val="-1"/>
          <w:sz w:val="20"/>
        </w:rPr>
        <w:t> </w:t>
      </w:r>
      <w:r>
        <w:rPr>
          <w:i/>
          <w:color w:val="231F20"/>
          <w:spacing w:val="-4"/>
          <w:sz w:val="20"/>
        </w:rPr>
        <w:t>отправился</w:t>
      </w:r>
      <w:r>
        <w:rPr>
          <w:i/>
          <w:color w:val="231F20"/>
          <w:spacing w:val="-2"/>
          <w:sz w:val="20"/>
        </w:rPr>
        <w:t> </w:t>
      </w:r>
      <w:r>
        <w:rPr>
          <w:i/>
          <w:color w:val="231F20"/>
          <w:spacing w:val="-4"/>
          <w:sz w:val="20"/>
        </w:rPr>
        <w:t>дальше</w:t>
      </w:r>
      <w:r>
        <w:rPr>
          <w:i/>
          <w:color w:val="231F20"/>
          <w:spacing w:val="-2"/>
          <w:sz w:val="20"/>
        </w:rPr>
        <w:t> </w:t>
      </w:r>
      <w:r>
        <w:rPr>
          <w:i/>
          <w:color w:val="231F20"/>
          <w:spacing w:val="-4"/>
          <w:sz w:val="20"/>
        </w:rPr>
        <w:t>гулять.</w:t>
      </w:r>
    </w:p>
    <w:p>
      <w:pPr>
        <w:spacing w:line="232" w:lineRule="auto" w:before="2"/>
        <w:ind w:left="141" w:right="139" w:firstLine="283"/>
        <w:jc w:val="left"/>
        <w:rPr>
          <w:i/>
          <w:sz w:val="20"/>
        </w:rPr>
      </w:pPr>
      <w:r>
        <w:rPr>
          <w:i/>
          <w:color w:val="231F20"/>
          <w:sz w:val="20"/>
        </w:rPr>
        <w:t>Думал</w:t>
      </w:r>
      <w:r>
        <w:rPr>
          <w:i/>
          <w:color w:val="231F20"/>
          <w:spacing w:val="-5"/>
          <w:sz w:val="20"/>
        </w:rPr>
        <w:t> </w:t>
      </w:r>
      <w:r>
        <w:rPr>
          <w:i/>
          <w:color w:val="231F20"/>
          <w:sz w:val="20"/>
        </w:rPr>
        <w:t>он</w:t>
      </w:r>
      <w:r>
        <w:rPr>
          <w:i/>
          <w:color w:val="231F20"/>
          <w:spacing w:val="-5"/>
          <w:sz w:val="20"/>
        </w:rPr>
        <w:t> </w:t>
      </w:r>
      <w:r>
        <w:rPr>
          <w:i/>
          <w:color w:val="231F20"/>
          <w:sz w:val="20"/>
        </w:rPr>
        <w:t>над</w:t>
      </w:r>
      <w:r>
        <w:rPr>
          <w:i/>
          <w:color w:val="231F20"/>
          <w:spacing w:val="-5"/>
          <w:sz w:val="20"/>
        </w:rPr>
        <w:t> </w:t>
      </w:r>
      <w:r>
        <w:rPr>
          <w:i/>
          <w:color w:val="231F20"/>
          <w:sz w:val="20"/>
        </w:rPr>
        <w:t>своим</w:t>
      </w:r>
      <w:r>
        <w:rPr>
          <w:i/>
          <w:color w:val="231F20"/>
          <w:spacing w:val="-5"/>
          <w:sz w:val="20"/>
        </w:rPr>
        <w:t> </w:t>
      </w:r>
      <w:r>
        <w:rPr>
          <w:i/>
          <w:color w:val="231F20"/>
          <w:sz w:val="20"/>
        </w:rPr>
        <w:t>ответом</w:t>
      </w:r>
      <w:r>
        <w:rPr>
          <w:i/>
          <w:color w:val="231F20"/>
          <w:spacing w:val="-5"/>
          <w:sz w:val="20"/>
        </w:rPr>
        <w:t> </w:t>
      </w:r>
      <w:r>
        <w:rPr>
          <w:i/>
          <w:color w:val="231F20"/>
          <w:sz w:val="20"/>
        </w:rPr>
        <w:t>папе</w:t>
      </w:r>
      <w:r>
        <w:rPr>
          <w:i/>
          <w:color w:val="231F20"/>
          <w:spacing w:val="-5"/>
          <w:sz w:val="20"/>
        </w:rPr>
        <w:t> </w:t>
      </w:r>
      <w:r>
        <w:rPr>
          <w:i/>
          <w:color w:val="231F20"/>
          <w:sz w:val="20"/>
        </w:rPr>
        <w:t>и</w:t>
      </w:r>
      <w:r>
        <w:rPr>
          <w:i/>
          <w:color w:val="231F20"/>
          <w:spacing w:val="-5"/>
          <w:sz w:val="20"/>
        </w:rPr>
        <w:t> </w:t>
      </w:r>
      <w:r>
        <w:rPr>
          <w:i/>
          <w:color w:val="231F20"/>
          <w:sz w:val="20"/>
        </w:rPr>
        <w:t>решил,</w:t>
      </w:r>
      <w:r>
        <w:rPr>
          <w:i/>
          <w:color w:val="231F20"/>
          <w:spacing w:val="-5"/>
          <w:sz w:val="20"/>
        </w:rPr>
        <w:t> </w:t>
      </w:r>
      <w:r>
        <w:rPr>
          <w:i/>
          <w:color w:val="231F20"/>
          <w:sz w:val="20"/>
        </w:rPr>
        <w:t>что</w:t>
      </w:r>
      <w:r>
        <w:rPr>
          <w:i/>
          <w:color w:val="231F20"/>
          <w:spacing w:val="-5"/>
          <w:sz w:val="20"/>
        </w:rPr>
        <w:t> </w:t>
      </w:r>
      <w:r>
        <w:rPr>
          <w:i/>
          <w:color w:val="231F20"/>
          <w:sz w:val="20"/>
        </w:rPr>
        <w:t>он</w:t>
      </w:r>
      <w:r>
        <w:rPr>
          <w:i/>
          <w:color w:val="231F20"/>
          <w:spacing w:val="-5"/>
          <w:sz w:val="20"/>
        </w:rPr>
        <w:t> </w:t>
      </w:r>
      <w:r>
        <w:rPr>
          <w:i/>
          <w:color w:val="231F20"/>
          <w:sz w:val="20"/>
        </w:rPr>
        <w:t>не</w:t>
      </w:r>
      <w:r>
        <w:rPr>
          <w:i/>
          <w:color w:val="231F20"/>
          <w:spacing w:val="-5"/>
          <w:sz w:val="20"/>
        </w:rPr>
        <w:t> </w:t>
      </w:r>
      <w:r>
        <w:rPr>
          <w:i/>
          <w:color w:val="231F20"/>
          <w:sz w:val="20"/>
        </w:rPr>
        <w:t>любит</w:t>
      </w:r>
      <w:r>
        <w:rPr>
          <w:i/>
          <w:color w:val="231F20"/>
          <w:spacing w:val="-5"/>
          <w:sz w:val="20"/>
        </w:rPr>
        <w:t> </w:t>
      </w:r>
      <w:r>
        <w:rPr>
          <w:i/>
          <w:color w:val="231F20"/>
          <w:sz w:val="20"/>
        </w:rPr>
        <w:t>своего</w:t>
      </w:r>
      <w:r>
        <w:rPr>
          <w:i/>
          <w:color w:val="231F20"/>
          <w:spacing w:val="-5"/>
          <w:sz w:val="20"/>
        </w:rPr>
        <w:t> </w:t>
      </w:r>
      <w:r>
        <w:rPr>
          <w:i/>
          <w:color w:val="231F20"/>
          <w:sz w:val="20"/>
        </w:rPr>
        <w:t>папу.</w:t>
      </w:r>
      <w:r>
        <w:rPr>
          <w:i/>
          <w:color w:val="231F20"/>
          <w:spacing w:val="-5"/>
          <w:sz w:val="20"/>
        </w:rPr>
        <w:t> </w:t>
      </w:r>
      <w:r>
        <w:rPr>
          <w:i/>
          <w:color w:val="231F20"/>
          <w:sz w:val="20"/>
        </w:rPr>
        <w:t>И</w:t>
      </w:r>
      <w:r>
        <w:rPr>
          <w:i/>
          <w:color w:val="231F20"/>
          <w:spacing w:val="-5"/>
          <w:sz w:val="20"/>
        </w:rPr>
        <w:t> </w:t>
      </w:r>
      <w:r>
        <w:rPr>
          <w:i/>
          <w:color w:val="231F20"/>
          <w:sz w:val="20"/>
        </w:rPr>
        <w:t>запел он громко-громко: «Я не люблю папу, я не люблю папу!». Поет и прыгает.</w:t>
      </w:r>
    </w:p>
    <w:p>
      <w:pPr>
        <w:spacing w:line="218" w:lineRule="exact" w:before="0"/>
        <w:ind w:left="425" w:right="0" w:firstLine="0"/>
        <w:jc w:val="left"/>
        <w:rPr>
          <w:i/>
          <w:sz w:val="20"/>
        </w:rPr>
      </w:pPr>
      <w:r>
        <w:rPr>
          <w:i/>
          <w:color w:val="231F20"/>
          <w:sz w:val="20"/>
        </w:rPr>
        <w:t>А</w:t>
      </w:r>
      <w:r>
        <w:rPr>
          <w:i/>
          <w:color w:val="231F20"/>
          <w:spacing w:val="-5"/>
          <w:sz w:val="20"/>
        </w:rPr>
        <w:t> </w:t>
      </w:r>
      <w:r>
        <w:rPr>
          <w:i/>
          <w:color w:val="231F20"/>
          <w:sz w:val="20"/>
        </w:rPr>
        <w:t>тут</w:t>
      </w:r>
      <w:r>
        <w:rPr>
          <w:i/>
          <w:color w:val="231F20"/>
          <w:spacing w:val="-3"/>
          <w:sz w:val="20"/>
        </w:rPr>
        <w:t> </w:t>
      </w:r>
      <w:r>
        <w:rPr>
          <w:i/>
          <w:color w:val="231F20"/>
          <w:sz w:val="20"/>
        </w:rPr>
        <w:t>мимо</w:t>
      </w:r>
      <w:r>
        <w:rPr>
          <w:i/>
          <w:color w:val="231F20"/>
          <w:spacing w:val="-3"/>
          <w:sz w:val="20"/>
        </w:rPr>
        <w:t> </w:t>
      </w:r>
      <w:r>
        <w:rPr>
          <w:i/>
          <w:color w:val="231F20"/>
          <w:sz w:val="20"/>
        </w:rPr>
        <w:t>пролетала</w:t>
      </w:r>
      <w:r>
        <w:rPr>
          <w:i/>
          <w:color w:val="231F20"/>
          <w:spacing w:val="-2"/>
          <w:sz w:val="20"/>
        </w:rPr>
        <w:t> </w:t>
      </w:r>
      <w:r>
        <w:rPr>
          <w:i/>
          <w:color w:val="231F20"/>
          <w:sz w:val="20"/>
        </w:rPr>
        <w:t>птичка-синичка.</w:t>
      </w:r>
      <w:r>
        <w:rPr>
          <w:i/>
          <w:color w:val="231F20"/>
          <w:spacing w:val="-3"/>
          <w:sz w:val="20"/>
        </w:rPr>
        <w:t> </w:t>
      </w:r>
      <w:r>
        <w:rPr>
          <w:i/>
          <w:color w:val="231F20"/>
          <w:sz w:val="20"/>
        </w:rPr>
        <w:t>Удивилась</w:t>
      </w:r>
      <w:r>
        <w:rPr>
          <w:i/>
          <w:color w:val="231F20"/>
          <w:spacing w:val="-3"/>
          <w:sz w:val="20"/>
        </w:rPr>
        <w:t> </w:t>
      </w:r>
      <w:r>
        <w:rPr>
          <w:i/>
          <w:color w:val="231F20"/>
          <w:sz w:val="20"/>
        </w:rPr>
        <w:t>она</w:t>
      </w:r>
      <w:r>
        <w:rPr>
          <w:i/>
          <w:color w:val="231F20"/>
          <w:spacing w:val="-3"/>
          <w:sz w:val="20"/>
        </w:rPr>
        <w:t> </w:t>
      </w:r>
      <w:r>
        <w:rPr>
          <w:i/>
          <w:color w:val="231F20"/>
          <w:sz w:val="20"/>
        </w:rPr>
        <w:t>и</w:t>
      </w:r>
      <w:r>
        <w:rPr>
          <w:i/>
          <w:color w:val="231F20"/>
          <w:spacing w:val="-2"/>
          <w:sz w:val="20"/>
        </w:rPr>
        <w:t> спросила:</w:t>
      </w:r>
    </w:p>
    <w:p>
      <w:pPr>
        <w:pStyle w:val="ListParagraph"/>
        <w:numPr>
          <w:ilvl w:val="0"/>
          <w:numId w:val="217"/>
        </w:numPr>
        <w:tabs>
          <w:tab w:pos="575" w:val="left" w:leader="none"/>
        </w:tabs>
        <w:spacing w:line="222" w:lineRule="exact" w:before="0" w:after="0"/>
        <w:ind w:left="575" w:right="0" w:hanging="150"/>
        <w:jc w:val="left"/>
        <w:rPr>
          <w:i/>
          <w:sz w:val="20"/>
        </w:rPr>
      </w:pPr>
      <w:r>
        <w:rPr>
          <w:i/>
          <w:color w:val="231F20"/>
          <w:sz w:val="20"/>
        </w:rPr>
        <w:t>Ты</w:t>
      </w:r>
      <w:r>
        <w:rPr>
          <w:i/>
          <w:color w:val="231F20"/>
          <w:spacing w:val="-8"/>
          <w:sz w:val="20"/>
        </w:rPr>
        <w:t> </w:t>
      </w:r>
      <w:r>
        <w:rPr>
          <w:i/>
          <w:color w:val="231F20"/>
          <w:sz w:val="20"/>
        </w:rPr>
        <w:t>что</w:t>
      </w:r>
      <w:r>
        <w:rPr>
          <w:i/>
          <w:color w:val="231F20"/>
          <w:spacing w:val="-4"/>
          <w:sz w:val="20"/>
        </w:rPr>
        <w:t> </w:t>
      </w:r>
      <w:r>
        <w:rPr>
          <w:i/>
          <w:color w:val="231F20"/>
          <w:sz w:val="20"/>
        </w:rPr>
        <w:t>такую</w:t>
      </w:r>
      <w:r>
        <w:rPr>
          <w:i/>
          <w:color w:val="231F20"/>
          <w:spacing w:val="-5"/>
          <w:sz w:val="20"/>
        </w:rPr>
        <w:t> </w:t>
      </w:r>
      <w:r>
        <w:rPr>
          <w:i/>
          <w:color w:val="231F20"/>
          <w:sz w:val="20"/>
        </w:rPr>
        <w:t>странную</w:t>
      </w:r>
      <w:r>
        <w:rPr>
          <w:i/>
          <w:color w:val="231F20"/>
          <w:spacing w:val="-5"/>
          <w:sz w:val="20"/>
        </w:rPr>
        <w:t> </w:t>
      </w:r>
      <w:r>
        <w:rPr>
          <w:i/>
          <w:color w:val="231F20"/>
          <w:sz w:val="20"/>
        </w:rPr>
        <w:t>песню</w:t>
      </w:r>
      <w:r>
        <w:rPr>
          <w:i/>
          <w:color w:val="231F20"/>
          <w:spacing w:val="-5"/>
          <w:sz w:val="20"/>
        </w:rPr>
        <w:t> </w:t>
      </w:r>
      <w:r>
        <w:rPr>
          <w:i/>
          <w:color w:val="231F20"/>
          <w:spacing w:val="-2"/>
          <w:sz w:val="20"/>
        </w:rPr>
        <w:t>поешь.</w:t>
      </w:r>
    </w:p>
    <w:p>
      <w:pPr>
        <w:pStyle w:val="ListParagraph"/>
        <w:numPr>
          <w:ilvl w:val="0"/>
          <w:numId w:val="217"/>
        </w:numPr>
        <w:tabs>
          <w:tab w:pos="575" w:val="left" w:leader="none"/>
        </w:tabs>
        <w:spacing w:line="222" w:lineRule="exact" w:before="0" w:after="0"/>
        <w:ind w:left="575" w:right="0" w:hanging="150"/>
        <w:jc w:val="left"/>
        <w:rPr>
          <w:i/>
          <w:sz w:val="20"/>
        </w:rPr>
      </w:pPr>
      <w:r>
        <w:rPr>
          <w:i/>
          <w:color w:val="231F20"/>
          <w:sz w:val="20"/>
        </w:rPr>
        <w:t>Я</w:t>
      </w:r>
      <w:r>
        <w:rPr>
          <w:i/>
          <w:color w:val="231F20"/>
          <w:spacing w:val="-4"/>
          <w:sz w:val="20"/>
        </w:rPr>
        <w:t> </w:t>
      </w:r>
      <w:r>
        <w:rPr>
          <w:i/>
          <w:color w:val="231F20"/>
          <w:sz w:val="20"/>
        </w:rPr>
        <w:t>пою</w:t>
      </w:r>
      <w:r>
        <w:rPr>
          <w:i/>
          <w:color w:val="231F20"/>
          <w:spacing w:val="-4"/>
          <w:sz w:val="20"/>
        </w:rPr>
        <w:t> </w:t>
      </w:r>
      <w:r>
        <w:rPr>
          <w:i/>
          <w:color w:val="231F20"/>
          <w:sz w:val="20"/>
        </w:rPr>
        <w:t>о</w:t>
      </w:r>
      <w:r>
        <w:rPr>
          <w:i/>
          <w:color w:val="231F20"/>
          <w:spacing w:val="-3"/>
          <w:sz w:val="20"/>
        </w:rPr>
        <w:t> </w:t>
      </w:r>
      <w:r>
        <w:rPr>
          <w:i/>
          <w:color w:val="231F20"/>
          <w:sz w:val="20"/>
        </w:rPr>
        <w:t>том,</w:t>
      </w:r>
      <w:r>
        <w:rPr>
          <w:i/>
          <w:color w:val="231F20"/>
          <w:spacing w:val="-3"/>
          <w:sz w:val="20"/>
        </w:rPr>
        <w:t> </w:t>
      </w:r>
      <w:r>
        <w:rPr>
          <w:i/>
          <w:color w:val="231F20"/>
          <w:sz w:val="20"/>
        </w:rPr>
        <w:t>что</w:t>
      </w:r>
      <w:r>
        <w:rPr>
          <w:i/>
          <w:color w:val="231F20"/>
          <w:spacing w:val="-3"/>
          <w:sz w:val="20"/>
        </w:rPr>
        <w:t> </w:t>
      </w:r>
      <w:r>
        <w:rPr>
          <w:i/>
          <w:color w:val="231F20"/>
          <w:sz w:val="20"/>
        </w:rPr>
        <w:t>не</w:t>
      </w:r>
      <w:r>
        <w:rPr>
          <w:i/>
          <w:color w:val="231F20"/>
          <w:spacing w:val="-4"/>
          <w:sz w:val="20"/>
        </w:rPr>
        <w:t> </w:t>
      </w:r>
      <w:r>
        <w:rPr>
          <w:i/>
          <w:color w:val="231F20"/>
          <w:sz w:val="20"/>
        </w:rPr>
        <w:t>люблю</w:t>
      </w:r>
      <w:r>
        <w:rPr>
          <w:i/>
          <w:color w:val="231F20"/>
          <w:spacing w:val="-3"/>
          <w:sz w:val="20"/>
        </w:rPr>
        <w:t> </w:t>
      </w:r>
      <w:r>
        <w:rPr>
          <w:i/>
          <w:color w:val="231F20"/>
          <w:sz w:val="20"/>
        </w:rPr>
        <w:t>своего</w:t>
      </w:r>
      <w:r>
        <w:rPr>
          <w:i/>
          <w:color w:val="231F20"/>
          <w:spacing w:val="-3"/>
          <w:sz w:val="20"/>
        </w:rPr>
        <w:t> </w:t>
      </w:r>
      <w:r>
        <w:rPr>
          <w:i/>
          <w:color w:val="231F20"/>
          <w:spacing w:val="-2"/>
          <w:sz w:val="20"/>
        </w:rPr>
        <w:t>папу.</w:t>
      </w:r>
    </w:p>
    <w:p>
      <w:pPr>
        <w:pStyle w:val="ListParagraph"/>
        <w:numPr>
          <w:ilvl w:val="0"/>
          <w:numId w:val="217"/>
        </w:numPr>
        <w:tabs>
          <w:tab w:pos="579" w:val="left" w:leader="none"/>
        </w:tabs>
        <w:spacing w:line="232" w:lineRule="auto" w:before="2" w:after="0"/>
        <w:ind w:left="141" w:right="139" w:firstLine="283"/>
        <w:jc w:val="both"/>
        <w:rPr>
          <w:i/>
          <w:sz w:val="20"/>
        </w:rPr>
      </w:pPr>
      <w:r>
        <w:rPr>
          <w:i/>
          <w:color w:val="231F20"/>
          <w:sz w:val="20"/>
        </w:rPr>
        <w:t>Как</w:t>
      </w:r>
      <w:r>
        <w:rPr>
          <w:i/>
          <w:color w:val="231F20"/>
          <w:spacing w:val="-2"/>
          <w:sz w:val="20"/>
        </w:rPr>
        <w:t> </w:t>
      </w:r>
      <w:r>
        <w:rPr>
          <w:i/>
          <w:color w:val="231F20"/>
          <w:sz w:val="20"/>
        </w:rPr>
        <w:t>интересно!</w:t>
      </w:r>
      <w:r>
        <w:rPr>
          <w:i/>
          <w:color w:val="231F20"/>
          <w:spacing w:val="-2"/>
          <w:sz w:val="20"/>
        </w:rPr>
        <w:t> </w:t>
      </w:r>
      <w:r>
        <w:rPr>
          <w:i/>
          <w:color w:val="231F20"/>
          <w:sz w:val="20"/>
        </w:rPr>
        <w:t>А</w:t>
      </w:r>
      <w:r>
        <w:rPr>
          <w:i/>
          <w:color w:val="231F20"/>
          <w:spacing w:val="-2"/>
          <w:sz w:val="20"/>
        </w:rPr>
        <w:t> </w:t>
      </w:r>
      <w:r>
        <w:rPr>
          <w:i/>
          <w:color w:val="231F20"/>
          <w:sz w:val="20"/>
        </w:rPr>
        <w:t>почему,</w:t>
      </w:r>
      <w:r>
        <w:rPr>
          <w:i/>
          <w:color w:val="231F20"/>
          <w:spacing w:val="-2"/>
          <w:sz w:val="20"/>
        </w:rPr>
        <w:t> </w:t>
      </w:r>
      <w:r>
        <w:rPr>
          <w:i/>
          <w:color w:val="231F20"/>
          <w:sz w:val="20"/>
        </w:rPr>
        <w:t>расскажи?</w:t>
      </w:r>
      <w:r>
        <w:rPr>
          <w:i/>
          <w:color w:val="231F20"/>
          <w:spacing w:val="-2"/>
          <w:sz w:val="20"/>
        </w:rPr>
        <w:t> </w:t>
      </w:r>
      <w:r>
        <w:rPr>
          <w:i/>
          <w:color w:val="231F20"/>
          <w:sz w:val="20"/>
        </w:rPr>
        <w:t>Ведь</w:t>
      </w:r>
      <w:r>
        <w:rPr>
          <w:i/>
          <w:color w:val="231F20"/>
          <w:spacing w:val="-2"/>
          <w:sz w:val="20"/>
        </w:rPr>
        <w:t> </w:t>
      </w:r>
      <w:r>
        <w:rPr>
          <w:i/>
          <w:color w:val="231F20"/>
          <w:sz w:val="20"/>
        </w:rPr>
        <w:t>обычно</w:t>
      </w:r>
      <w:r>
        <w:rPr>
          <w:i/>
          <w:color w:val="231F20"/>
          <w:spacing w:val="-2"/>
          <w:sz w:val="20"/>
        </w:rPr>
        <w:t> </w:t>
      </w:r>
      <w:r>
        <w:rPr>
          <w:i/>
          <w:color w:val="231F20"/>
          <w:sz w:val="20"/>
        </w:rPr>
        <w:t>все</w:t>
      </w:r>
      <w:r>
        <w:rPr>
          <w:i/>
          <w:color w:val="231F20"/>
          <w:spacing w:val="-2"/>
          <w:sz w:val="20"/>
        </w:rPr>
        <w:t> </w:t>
      </w:r>
      <w:r>
        <w:rPr>
          <w:i/>
          <w:color w:val="231F20"/>
          <w:sz w:val="20"/>
        </w:rPr>
        <w:t>дети</w:t>
      </w:r>
      <w:r>
        <w:rPr>
          <w:i/>
          <w:color w:val="231F20"/>
          <w:spacing w:val="-2"/>
          <w:sz w:val="20"/>
        </w:rPr>
        <w:t> </w:t>
      </w:r>
      <w:r>
        <w:rPr>
          <w:i/>
          <w:color w:val="231F20"/>
          <w:sz w:val="20"/>
        </w:rPr>
        <w:t>любят</w:t>
      </w:r>
      <w:r>
        <w:rPr>
          <w:i/>
          <w:color w:val="231F20"/>
          <w:spacing w:val="-2"/>
          <w:sz w:val="20"/>
        </w:rPr>
        <w:t> </w:t>
      </w:r>
      <w:r>
        <w:rPr>
          <w:i/>
          <w:color w:val="231F20"/>
          <w:sz w:val="20"/>
        </w:rPr>
        <w:t>своих</w:t>
      </w:r>
      <w:r>
        <w:rPr>
          <w:i/>
          <w:color w:val="231F20"/>
          <w:spacing w:val="-2"/>
          <w:sz w:val="20"/>
        </w:rPr>
        <w:t> </w:t>
      </w:r>
      <w:r>
        <w:rPr>
          <w:i/>
          <w:color w:val="231F20"/>
          <w:sz w:val="20"/>
        </w:rPr>
        <w:t>роди- телей. Даже если они их иногда обижают.</w:t>
      </w:r>
    </w:p>
    <w:p>
      <w:pPr>
        <w:pStyle w:val="ListParagraph"/>
        <w:numPr>
          <w:ilvl w:val="0"/>
          <w:numId w:val="217"/>
        </w:numPr>
        <w:tabs>
          <w:tab w:pos="572" w:val="left" w:leader="none"/>
        </w:tabs>
        <w:spacing w:line="232" w:lineRule="auto" w:before="0" w:after="0"/>
        <w:ind w:left="141" w:right="139" w:firstLine="283"/>
        <w:jc w:val="both"/>
        <w:rPr>
          <w:i/>
          <w:sz w:val="20"/>
        </w:rPr>
      </w:pPr>
      <w:r>
        <w:rPr>
          <w:i/>
          <w:color w:val="231F20"/>
          <w:sz w:val="20"/>
        </w:rPr>
        <w:t>Ну</w:t>
      </w:r>
      <w:r>
        <w:rPr>
          <w:i/>
          <w:color w:val="231F20"/>
          <w:spacing w:val="-7"/>
          <w:sz w:val="20"/>
        </w:rPr>
        <w:t> </w:t>
      </w:r>
      <w:r>
        <w:rPr>
          <w:i/>
          <w:color w:val="231F20"/>
          <w:sz w:val="20"/>
        </w:rPr>
        <w:t>как</w:t>
      </w:r>
      <w:r>
        <w:rPr>
          <w:i/>
          <w:color w:val="231F20"/>
          <w:spacing w:val="-7"/>
          <w:sz w:val="20"/>
        </w:rPr>
        <w:t> </w:t>
      </w:r>
      <w:r>
        <w:rPr>
          <w:i/>
          <w:color w:val="231F20"/>
          <w:sz w:val="20"/>
        </w:rPr>
        <w:t>почему!</w:t>
      </w:r>
      <w:r>
        <w:rPr>
          <w:i/>
          <w:color w:val="231F20"/>
          <w:spacing w:val="-7"/>
          <w:sz w:val="20"/>
        </w:rPr>
        <w:t> </w:t>
      </w:r>
      <w:r>
        <w:rPr>
          <w:i/>
          <w:color w:val="231F20"/>
          <w:sz w:val="20"/>
        </w:rPr>
        <w:t>Я</w:t>
      </w:r>
      <w:r>
        <w:rPr>
          <w:i/>
          <w:color w:val="231F20"/>
          <w:spacing w:val="-7"/>
          <w:sz w:val="20"/>
        </w:rPr>
        <w:t> </w:t>
      </w:r>
      <w:r>
        <w:rPr>
          <w:i/>
          <w:color w:val="231F20"/>
          <w:sz w:val="20"/>
        </w:rPr>
        <w:t>обижаюсь</w:t>
      </w:r>
      <w:r>
        <w:rPr>
          <w:i/>
          <w:color w:val="231F20"/>
          <w:spacing w:val="-7"/>
          <w:sz w:val="20"/>
        </w:rPr>
        <w:t> </w:t>
      </w:r>
      <w:r>
        <w:rPr>
          <w:i/>
          <w:color w:val="231F20"/>
          <w:sz w:val="20"/>
        </w:rPr>
        <w:t>на</w:t>
      </w:r>
      <w:r>
        <w:rPr>
          <w:i/>
          <w:color w:val="231F20"/>
          <w:spacing w:val="-7"/>
          <w:sz w:val="20"/>
        </w:rPr>
        <w:t> </w:t>
      </w:r>
      <w:r>
        <w:rPr>
          <w:i/>
          <w:color w:val="231F20"/>
          <w:sz w:val="20"/>
        </w:rPr>
        <w:t>папу.</w:t>
      </w:r>
      <w:r>
        <w:rPr>
          <w:i/>
          <w:color w:val="231F20"/>
          <w:spacing w:val="-7"/>
          <w:sz w:val="20"/>
        </w:rPr>
        <w:t> </w:t>
      </w:r>
      <w:r>
        <w:rPr>
          <w:i/>
          <w:color w:val="231F20"/>
          <w:sz w:val="20"/>
        </w:rPr>
        <w:t>Мне</w:t>
      </w:r>
      <w:r>
        <w:rPr>
          <w:i/>
          <w:color w:val="231F20"/>
          <w:spacing w:val="-7"/>
          <w:sz w:val="20"/>
        </w:rPr>
        <w:t> </w:t>
      </w:r>
      <w:r>
        <w:rPr>
          <w:i/>
          <w:color w:val="231F20"/>
          <w:sz w:val="20"/>
        </w:rPr>
        <w:t>обидно,</w:t>
      </w:r>
      <w:r>
        <w:rPr>
          <w:i/>
          <w:color w:val="231F20"/>
          <w:spacing w:val="-7"/>
          <w:sz w:val="20"/>
        </w:rPr>
        <w:t> </w:t>
      </w:r>
      <w:r>
        <w:rPr>
          <w:i/>
          <w:color w:val="231F20"/>
          <w:sz w:val="20"/>
        </w:rPr>
        <w:t>когда</w:t>
      </w:r>
      <w:r>
        <w:rPr>
          <w:i/>
          <w:color w:val="231F20"/>
          <w:spacing w:val="-7"/>
          <w:sz w:val="20"/>
        </w:rPr>
        <w:t> </w:t>
      </w:r>
      <w:r>
        <w:rPr>
          <w:i/>
          <w:color w:val="231F20"/>
          <w:sz w:val="20"/>
        </w:rPr>
        <w:t>он</w:t>
      </w:r>
      <w:r>
        <w:rPr>
          <w:i/>
          <w:color w:val="231F20"/>
          <w:spacing w:val="-7"/>
          <w:sz w:val="20"/>
        </w:rPr>
        <w:t> </w:t>
      </w:r>
      <w:r>
        <w:rPr>
          <w:i/>
          <w:color w:val="231F20"/>
          <w:sz w:val="20"/>
        </w:rPr>
        <w:t>меня</w:t>
      </w:r>
      <w:r>
        <w:rPr>
          <w:i/>
          <w:color w:val="231F20"/>
          <w:spacing w:val="-7"/>
          <w:sz w:val="20"/>
        </w:rPr>
        <w:t> </w:t>
      </w:r>
      <w:r>
        <w:rPr>
          <w:i/>
          <w:color w:val="231F20"/>
          <w:sz w:val="20"/>
        </w:rPr>
        <w:t>что-то</w:t>
      </w:r>
      <w:r>
        <w:rPr>
          <w:i/>
          <w:color w:val="231F20"/>
          <w:spacing w:val="-7"/>
          <w:sz w:val="20"/>
        </w:rPr>
        <w:t> </w:t>
      </w:r>
      <w:r>
        <w:rPr>
          <w:i/>
          <w:color w:val="231F20"/>
          <w:sz w:val="20"/>
        </w:rPr>
        <w:t>просит сделать, а я не хочу. Тогда мне обидно. Поэтому я ему грубо отвечаю. Это все зна- чит, что я не люблю своего папу.</w:t>
      </w:r>
    </w:p>
    <w:p>
      <w:pPr>
        <w:pStyle w:val="ListParagraph"/>
        <w:numPr>
          <w:ilvl w:val="0"/>
          <w:numId w:val="217"/>
        </w:numPr>
        <w:tabs>
          <w:tab w:pos="575" w:val="left" w:leader="none"/>
        </w:tabs>
        <w:spacing w:line="217" w:lineRule="exact" w:before="0" w:after="0"/>
        <w:ind w:left="575" w:right="0" w:hanging="150"/>
        <w:jc w:val="left"/>
        <w:rPr>
          <w:i/>
          <w:sz w:val="20"/>
        </w:rPr>
      </w:pPr>
      <w:r>
        <w:rPr>
          <w:i/>
          <w:color w:val="231F20"/>
          <w:sz w:val="20"/>
        </w:rPr>
        <w:t>Ха-ха-ха,</w:t>
      </w:r>
      <w:r>
        <w:rPr>
          <w:i/>
          <w:color w:val="231F20"/>
          <w:spacing w:val="-4"/>
          <w:sz w:val="20"/>
        </w:rPr>
        <w:t> </w:t>
      </w:r>
      <w:r>
        <w:rPr>
          <w:i/>
          <w:color w:val="231F20"/>
          <w:sz w:val="20"/>
        </w:rPr>
        <w:t>–</w:t>
      </w:r>
      <w:r>
        <w:rPr>
          <w:i/>
          <w:color w:val="231F20"/>
          <w:spacing w:val="-4"/>
          <w:sz w:val="20"/>
        </w:rPr>
        <w:t> </w:t>
      </w:r>
      <w:r>
        <w:rPr>
          <w:i/>
          <w:color w:val="231F20"/>
          <w:sz w:val="20"/>
        </w:rPr>
        <w:t>засмеялась</w:t>
      </w:r>
      <w:r>
        <w:rPr>
          <w:i/>
          <w:color w:val="231F20"/>
          <w:spacing w:val="-4"/>
          <w:sz w:val="20"/>
        </w:rPr>
        <w:t> </w:t>
      </w:r>
      <w:r>
        <w:rPr>
          <w:i/>
          <w:color w:val="231F20"/>
          <w:sz w:val="20"/>
        </w:rPr>
        <w:t>птичка,</w:t>
      </w:r>
      <w:r>
        <w:rPr>
          <w:i/>
          <w:color w:val="231F20"/>
          <w:spacing w:val="-4"/>
          <w:sz w:val="20"/>
        </w:rPr>
        <w:t> </w:t>
      </w:r>
      <w:r>
        <w:rPr>
          <w:i/>
          <w:color w:val="231F20"/>
          <w:sz w:val="20"/>
        </w:rPr>
        <w:t>–</w:t>
      </w:r>
      <w:r>
        <w:rPr>
          <w:i/>
          <w:color w:val="231F20"/>
          <w:spacing w:val="-4"/>
          <w:sz w:val="20"/>
        </w:rPr>
        <w:t> </w:t>
      </w:r>
      <w:r>
        <w:rPr>
          <w:i/>
          <w:color w:val="231F20"/>
          <w:sz w:val="20"/>
        </w:rPr>
        <w:t>глупышка,</w:t>
      </w:r>
      <w:r>
        <w:rPr>
          <w:i/>
          <w:color w:val="231F20"/>
          <w:spacing w:val="-3"/>
          <w:sz w:val="20"/>
        </w:rPr>
        <w:t> </w:t>
      </w:r>
      <w:r>
        <w:rPr>
          <w:i/>
          <w:color w:val="231F20"/>
          <w:sz w:val="20"/>
        </w:rPr>
        <w:t>ведь</w:t>
      </w:r>
      <w:r>
        <w:rPr>
          <w:i/>
          <w:color w:val="231F20"/>
          <w:spacing w:val="-5"/>
          <w:sz w:val="20"/>
        </w:rPr>
        <w:t> </w:t>
      </w:r>
      <w:r>
        <w:rPr>
          <w:i/>
          <w:color w:val="231F20"/>
          <w:sz w:val="20"/>
        </w:rPr>
        <w:t>ты</w:t>
      </w:r>
      <w:r>
        <w:rPr>
          <w:i/>
          <w:color w:val="231F20"/>
          <w:spacing w:val="-4"/>
          <w:sz w:val="20"/>
        </w:rPr>
        <w:t> </w:t>
      </w:r>
      <w:r>
        <w:rPr>
          <w:i/>
          <w:color w:val="231F20"/>
          <w:spacing w:val="-2"/>
          <w:sz w:val="20"/>
        </w:rPr>
        <w:t>ошибся!!!</w:t>
      </w:r>
    </w:p>
    <w:p>
      <w:pPr>
        <w:pStyle w:val="ListParagraph"/>
        <w:numPr>
          <w:ilvl w:val="0"/>
          <w:numId w:val="217"/>
        </w:numPr>
        <w:tabs>
          <w:tab w:pos="575" w:val="left" w:leader="none"/>
        </w:tabs>
        <w:spacing w:line="222" w:lineRule="exact" w:before="0" w:after="0"/>
        <w:ind w:left="575" w:right="0" w:hanging="150"/>
        <w:jc w:val="left"/>
        <w:rPr>
          <w:i/>
          <w:sz w:val="20"/>
        </w:rPr>
      </w:pPr>
      <w:r>
        <w:rPr>
          <w:i/>
          <w:color w:val="231F20"/>
          <w:sz w:val="20"/>
        </w:rPr>
        <w:t>Почему</w:t>
      </w:r>
      <w:r>
        <w:rPr>
          <w:i/>
          <w:color w:val="231F20"/>
          <w:spacing w:val="-3"/>
          <w:sz w:val="20"/>
        </w:rPr>
        <w:t> </w:t>
      </w:r>
      <w:r>
        <w:rPr>
          <w:i/>
          <w:color w:val="231F20"/>
          <w:sz w:val="20"/>
        </w:rPr>
        <w:t>это</w:t>
      </w:r>
      <w:r>
        <w:rPr>
          <w:i/>
          <w:color w:val="231F20"/>
          <w:spacing w:val="-3"/>
          <w:sz w:val="20"/>
        </w:rPr>
        <w:t> </w:t>
      </w:r>
      <w:r>
        <w:rPr>
          <w:i/>
          <w:color w:val="231F20"/>
          <w:sz w:val="20"/>
        </w:rPr>
        <w:t>я</w:t>
      </w:r>
      <w:r>
        <w:rPr>
          <w:i/>
          <w:color w:val="231F20"/>
          <w:spacing w:val="-2"/>
          <w:sz w:val="20"/>
        </w:rPr>
        <w:t> </w:t>
      </w:r>
      <w:r>
        <w:rPr>
          <w:i/>
          <w:color w:val="231F20"/>
          <w:sz w:val="20"/>
        </w:rPr>
        <w:t>ошибся?</w:t>
      </w:r>
      <w:r>
        <w:rPr>
          <w:i/>
          <w:color w:val="231F20"/>
          <w:spacing w:val="-3"/>
          <w:sz w:val="20"/>
        </w:rPr>
        <w:t> </w:t>
      </w:r>
      <w:r>
        <w:rPr>
          <w:i/>
          <w:color w:val="231F20"/>
          <w:sz w:val="20"/>
        </w:rPr>
        <w:t>–</w:t>
      </w:r>
      <w:r>
        <w:rPr>
          <w:i/>
          <w:color w:val="231F20"/>
          <w:spacing w:val="-3"/>
          <w:sz w:val="20"/>
        </w:rPr>
        <w:t> </w:t>
      </w:r>
      <w:r>
        <w:rPr>
          <w:i/>
          <w:color w:val="231F20"/>
          <w:sz w:val="20"/>
        </w:rPr>
        <w:t>удивился</w:t>
      </w:r>
      <w:r>
        <w:rPr>
          <w:i/>
          <w:color w:val="231F20"/>
          <w:spacing w:val="-2"/>
          <w:sz w:val="20"/>
        </w:rPr>
        <w:t> мальчик.</w:t>
      </w:r>
    </w:p>
    <w:p>
      <w:pPr>
        <w:pStyle w:val="ListParagraph"/>
        <w:numPr>
          <w:ilvl w:val="0"/>
          <w:numId w:val="217"/>
        </w:numPr>
        <w:tabs>
          <w:tab w:pos="575" w:val="left" w:leader="none"/>
        </w:tabs>
        <w:spacing w:line="222" w:lineRule="exact" w:before="0" w:after="0"/>
        <w:ind w:left="575" w:right="0" w:hanging="150"/>
        <w:jc w:val="left"/>
        <w:rPr>
          <w:i/>
          <w:sz w:val="20"/>
        </w:rPr>
      </w:pPr>
      <w:r>
        <w:rPr>
          <w:i/>
          <w:color w:val="231F20"/>
          <w:sz w:val="20"/>
        </w:rPr>
        <w:t>Из</w:t>
      </w:r>
      <w:r>
        <w:rPr>
          <w:i/>
          <w:color w:val="231F20"/>
          <w:spacing w:val="-5"/>
          <w:sz w:val="20"/>
        </w:rPr>
        <w:t> </w:t>
      </w:r>
      <w:r>
        <w:rPr>
          <w:i/>
          <w:color w:val="231F20"/>
          <w:sz w:val="20"/>
        </w:rPr>
        <w:t>того</w:t>
      </w:r>
      <w:r>
        <w:rPr>
          <w:i/>
          <w:color w:val="231F20"/>
          <w:spacing w:val="-2"/>
          <w:sz w:val="20"/>
        </w:rPr>
        <w:t> </w:t>
      </w:r>
      <w:r>
        <w:rPr>
          <w:i/>
          <w:color w:val="231F20"/>
          <w:sz w:val="20"/>
        </w:rPr>
        <w:t>что</w:t>
      </w:r>
      <w:r>
        <w:rPr>
          <w:i/>
          <w:color w:val="231F20"/>
          <w:spacing w:val="-2"/>
          <w:sz w:val="20"/>
        </w:rPr>
        <w:t> </w:t>
      </w:r>
      <w:r>
        <w:rPr>
          <w:i/>
          <w:color w:val="231F20"/>
          <w:sz w:val="20"/>
        </w:rPr>
        <w:t>ты</w:t>
      </w:r>
      <w:r>
        <w:rPr>
          <w:i/>
          <w:color w:val="231F20"/>
          <w:spacing w:val="-3"/>
          <w:sz w:val="20"/>
        </w:rPr>
        <w:t> </w:t>
      </w:r>
      <w:r>
        <w:rPr>
          <w:i/>
          <w:color w:val="231F20"/>
          <w:sz w:val="20"/>
        </w:rPr>
        <w:t>сказал</w:t>
      </w:r>
      <w:r>
        <w:rPr>
          <w:i/>
          <w:color w:val="231F20"/>
          <w:spacing w:val="-2"/>
          <w:sz w:val="20"/>
        </w:rPr>
        <w:t> </w:t>
      </w:r>
      <w:r>
        <w:rPr>
          <w:i/>
          <w:color w:val="231F20"/>
          <w:sz w:val="20"/>
        </w:rPr>
        <w:t>не</w:t>
      </w:r>
      <w:r>
        <w:rPr>
          <w:i/>
          <w:color w:val="231F20"/>
          <w:spacing w:val="-1"/>
          <w:sz w:val="20"/>
        </w:rPr>
        <w:t> </w:t>
      </w:r>
      <w:r>
        <w:rPr>
          <w:i/>
          <w:color w:val="231F20"/>
          <w:sz w:val="20"/>
        </w:rPr>
        <w:t>следует,</w:t>
      </w:r>
      <w:r>
        <w:rPr>
          <w:i/>
          <w:color w:val="231F20"/>
          <w:spacing w:val="-2"/>
          <w:sz w:val="20"/>
        </w:rPr>
        <w:t> </w:t>
      </w:r>
      <w:r>
        <w:rPr>
          <w:i/>
          <w:color w:val="231F20"/>
          <w:sz w:val="20"/>
        </w:rPr>
        <w:t>что</w:t>
      </w:r>
      <w:r>
        <w:rPr>
          <w:i/>
          <w:color w:val="231F20"/>
          <w:spacing w:val="-2"/>
          <w:sz w:val="20"/>
        </w:rPr>
        <w:t> </w:t>
      </w:r>
      <w:r>
        <w:rPr>
          <w:i/>
          <w:color w:val="231F20"/>
          <w:sz w:val="20"/>
        </w:rPr>
        <w:t>ты</w:t>
      </w:r>
      <w:r>
        <w:rPr>
          <w:i/>
          <w:color w:val="231F20"/>
          <w:spacing w:val="-3"/>
          <w:sz w:val="20"/>
        </w:rPr>
        <w:t> </w:t>
      </w:r>
      <w:r>
        <w:rPr>
          <w:i/>
          <w:color w:val="231F20"/>
          <w:sz w:val="20"/>
        </w:rPr>
        <w:t>не</w:t>
      </w:r>
      <w:r>
        <w:rPr>
          <w:i/>
          <w:color w:val="231F20"/>
          <w:spacing w:val="-2"/>
          <w:sz w:val="20"/>
        </w:rPr>
        <w:t> </w:t>
      </w:r>
      <w:r>
        <w:rPr>
          <w:i/>
          <w:color w:val="231F20"/>
          <w:sz w:val="20"/>
        </w:rPr>
        <w:t>любишь</w:t>
      </w:r>
      <w:r>
        <w:rPr>
          <w:i/>
          <w:color w:val="231F20"/>
          <w:spacing w:val="-3"/>
          <w:sz w:val="20"/>
        </w:rPr>
        <w:t> </w:t>
      </w:r>
      <w:r>
        <w:rPr>
          <w:i/>
          <w:color w:val="231F20"/>
          <w:sz w:val="20"/>
        </w:rPr>
        <w:t>своего</w:t>
      </w:r>
      <w:r>
        <w:rPr>
          <w:i/>
          <w:color w:val="231F20"/>
          <w:spacing w:val="-1"/>
          <w:sz w:val="20"/>
        </w:rPr>
        <w:t> </w:t>
      </w:r>
      <w:r>
        <w:rPr>
          <w:i/>
          <w:color w:val="231F20"/>
          <w:spacing w:val="-2"/>
          <w:sz w:val="20"/>
        </w:rPr>
        <w:t>папу!</w:t>
      </w:r>
    </w:p>
    <w:p>
      <w:pPr>
        <w:pStyle w:val="ListParagraph"/>
        <w:numPr>
          <w:ilvl w:val="0"/>
          <w:numId w:val="217"/>
        </w:numPr>
        <w:tabs>
          <w:tab w:pos="575" w:val="left" w:leader="none"/>
        </w:tabs>
        <w:spacing w:line="222" w:lineRule="exact" w:before="0" w:after="0"/>
        <w:ind w:left="575" w:right="0" w:hanging="150"/>
        <w:jc w:val="left"/>
        <w:rPr>
          <w:i/>
          <w:sz w:val="20"/>
        </w:rPr>
      </w:pPr>
      <w:r>
        <w:rPr>
          <w:i/>
          <w:color w:val="231F20"/>
          <w:sz w:val="20"/>
        </w:rPr>
        <w:t>А</w:t>
      </w:r>
      <w:r>
        <w:rPr>
          <w:i/>
          <w:color w:val="231F20"/>
          <w:spacing w:val="-1"/>
          <w:sz w:val="20"/>
        </w:rPr>
        <w:t> </w:t>
      </w:r>
      <w:r>
        <w:rPr>
          <w:i/>
          <w:color w:val="231F20"/>
          <w:sz w:val="20"/>
        </w:rPr>
        <w:t>что</w:t>
      </w:r>
      <w:r>
        <w:rPr>
          <w:i/>
          <w:color w:val="231F20"/>
          <w:spacing w:val="-1"/>
          <w:sz w:val="20"/>
        </w:rPr>
        <w:t> </w:t>
      </w:r>
      <w:r>
        <w:rPr>
          <w:i/>
          <w:color w:val="231F20"/>
          <w:sz w:val="20"/>
        </w:rPr>
        <w:t>же</w:t>
      </w:r>
      <w:r>
        <w:rPr>
          <w:i/>
          <w:color w:val="231F20"/>
          <w:spacing w:val="-1"/>
          <w:sz w:val="20"/>
        </w:rPr>
        <w:t> </w:t>
      </w:r>
      <w:r>
        <w:rPr>
          <w:i/>
          <w:color w:val="231F20"/>
          <w:spacing w:val="-2"/>
          <w:sz w:val="20"/>
        </w:rPr>
        <w:t>тогда?</w:t>
      </w:r>
    </w:p>
    <w:p>
      <w:pPr>
        <w:pStyle w:val="ListParagraph"/>
        <w:numPr>
          <w:ilvl w:val="0"/>
          <w:numId w:val="217"/>
        </w:numPr>
        <w:tabs>
          <w:tab w:pos="575" w:val="left" w:leader="none"/>
        </w:tabs>
        <w:spacing w:line="222" w:lineRule="exact" w:before="0" w:after="0"/>
        <w:ind w:left="575" w:right="0" w:hanging="150"/>
        <w:jc w:val="left"/>
        <w:rPr>
          <w:i/>
          <w:sz w:val="20"/>
        </w:rPr>
      </w:pPr>
      <w:r>
        <w:rPr>
          <w:i/>
          <w:color w:val="231F20"/>
          <w:sz w:val="20"/>
        </w:rPr>
        <w:t>Просто</w:t>
      </w:r>
      <w:r>
        <w:rPr>
          <w:i/>
          <w:color w:val="231F20"/>
          <w:spacing w:val="-3"/>
          <w:sz w:val="20"/>
        </w:rPr>
        <w:t> </w:t>
      </w:r>
      <w:r>
        <w:rPr>
          <w:i/>
          <w:color w:val="231F20"/>
          <w:sz w:val="20"/>
        </w:rPr>
        <w:t>ты</w:t>
      </w:r>
      <w:r>
        <w:rPr>
          <w:i/>
          <w:color w:val="231F20"/>
          <w:spacing w:val="-3"/>
          <w:sz w:val="20"/>
        </w:rPr>
        <w:t> </w:t>
      </w:r>
      <w:r>
        <w:rPr>
          <w:i/>
          <w:color w:val="231F20"/>
          <w:sz w:val="20"/>
        </w:rPr>
        <w:t>обижаешься</w:t>
      </w:r>
      <w:r>
        <w:rPr>
          <w:i/>
          <w:color w:val="231F20"/>
          <w:spacing w:val="-2"/>
          <w:sz w:val="20"/>
        </w:rPr>
        <w:t> </w:t>
      </w:r>
      <w:r>
        <w:rPr>
          <w:i/>
          <w:color w:val="231F20"/>
          <w:sz w:val="20"/>
        </w:rPr>
        <w:t>на</w:t>
      </w:r>
      <w:r>
        <w:rPr>
          <w:i/>
          <w:color w:val="231F20"/>
          <w:spacing w:val="-2"/>
          <w:sz w:val="20"/>
        </w:rPr>
        <w:t> него.</w:t>
      </w:r>
    </w:p>
    <w:p>
      <w:pPr>
        <w:pStyle w:val="ListParagraph"/>
        <w:numPr>
          <w:ilvl w:val="0"/>
          <w:numId w:val="217"/>
        </w:numPr>
        <w:tabs>
          <w:tab w:pos="575" w:val="left" w:leader="none"/>
        </w:tabs>
        <w:spacing w:line="224" w:lineRule="exact" w:before="0" w:after="0"/>
        <w:ind w:left="575" w:right="0" w:hanging="150"/>
        <w:jc w:val="left"/>
        <w:rPr>
          <w:i/>
          <w:sz w:val="20"/>
        </w:rPr>
      </w:pPr>
      <w:r>
        <w:rPr>
          <w:i/>
          <w:color w:val="231F20"/>
          <w:sz w:val="20"/>
        </w:rPr>
        <w:t>Конечно,</w:t>
      </w:r>
      <w:r>
        <w:rPr>
          <w:i/>
          <w:color w:val="231F20"/>
          <w:spacing w:val="-2"/>
          <w:sz w:val="20"/>
        </w:rPr>
        <w:t> </w:t>
      </w:r>
      <w:r>
        <w:rPr>
          <w:i/>
          <w:color w:val="231F20"/>
          <w:sz w:val="20"/>
        </w:rPr>
        <w:t>и</w:t>
      </w:r>
      <w:r>
        <w:rPr>
          <w:i/>
          <w:color w:val="231F20"/>
          <w:spacing w:val="-2"/>
          <w:sz w:val="20"/>
        </w:rPr>
        <w:t> </w:t>
      </w:r>
      <w:r>
        <w:rPr>
          <w:i/>
          <w:color w:val="231F20"/>
          <w:sz w:val="20"/>
        </w:rPr>
        <w:t>это</w:t>
      </w:r>
      <w:r>
        <w:rPr>
          <w:i/>
          <w:color w:val="231F20"/>
          <w:spacing w:val="-2"/>
          <w:sz w:val="20"/>
        </w:rPr>
        <w:t> </w:t>
      </w:r>
      <w:r>
        <w:rPr>
          <w:i/>
          <w:color w:val="231F20"/>
          <w:sz w:val="20"/>
        </w:rPr>
        <w:t>значит,</w:t>
      </w:r>
      <w:r>
        <w:rPr>
          <w:i/>
          <w:color w:val="231F20"/>
          <w:spacing w:val="-1"/>
          <w:sz w:val="20"/>
        </w:rPr>
        <w:t> </w:t>
      </w:r>
      <w:r>
        <w:rPr>
          <w:i/>
          <w:color w:val="231F20"/>
          <w:sz w:val="20"/>
        </w:rPr>
        <w:t>что</w:t>
      </w:r>
      <w:r>
        <w:rPr>
          <w:i/>
          <w:color w:val="231F20"/>
          <w:spacing w:val="-2"/>
          <w:sz w:val="20"/>
        </w:rPr>
        <w:t> </w:t>
      </w:r>
      <w:r>
        <w:rPr>
          <w:i/>
          <w:color w:val="231F20"/>
          <w:sz w:val="20"/>
        </w:rPr>
        <w:t>я</w:t>
      </w:r>
      <w:r>
        <w:rPr>
          <w:i/>
          <w:color w:val="231F20"/>
          <w:spacing w:val="-2"/>
          <w:sz w:val="20"/>
        </w:rPr>
        <w:t> </w:t>
      </w:r>
      <w:r>
        <w:rPr>
          <w:i/>
          <w:color w:val="231F20"/>
          <w:sz w:val="20"/>
        </w:rPr>
        <w:t>его</w:t>
      </w:r>
      <w:r>
        <w:rPr>
          <w:i/>
          <w:color w:val="231F20"/>
          <w:spacing w:val="-2"/>
          <w:sz w:val="20"/>
        </w:rPr>
        <w:t> </w:t>
      </w:r>
      <w:r>
        <w:rPr>
          <w:i/>
          <w:color w:val="231F20"/>
          <w:sz w:val="20"/>
        </w:rPr>
        <w:t>не</w:t>
      </w:r>
      <w:r>
        <w:rPr>
          <w:i/>
          <w:color w:val="231F20"/>
          <w:spacing w:val="-1"/>
          <w:sz w:val="20"/>
        </w:rPr>
        <w:t> </w:t>
      </w:r>
      <w:r>
        <w:rPr>
          <w:i/>
          <w:color w:val="231F20"/>
          <w:spacing w:val="-2"/>
          <w:sz w:val="20"/>
        </w:rPr>
        <w:t>люблю.</w:t>
      </w:r>
    </w:p>
    <w:p>
      <w:pPr>
        <w:pStyle w:val="ListParagraph"/>
        <w:numPr>
          <w:ilvl w:val="0"/>
          <w:numId w:val="217"/>
        </w:numPr>
        <w:tabs>
          <w:tab w:pos="585" w:val="left" w:leader="none"/>
        </w:tabs>
        <w:spacing w:line="235" w:lineRule="auto" w:before="0" w:after="0"/>
        <w:ind w:left="141" w:right="139" w:firstLine="283"/>
        <w:jc w:val="both"/>
        <w:rPr>
          <w:i/>
          <w:sz w:val="20"/>
        </w:rPr>
      </w:pPr>
      <w:r>
        <w:rPr>
          <w:i/>
          <w:color w:val="231F20"/>
          <w:sz w:val="20"/>
        </w:rPr>
        <w:t>Если ты обижаешься на папу, это не значит, что ты его не любишь. Многие дети</w:t>
      </w:r>
      <w:r>
        <w:rPr>
          <w:i/>
          <w:color w:val="231F20"/>
          <w:spacing w:val="-13"/>
          <w:sz w:val="20"/>
        </w:rPr>
        <w:t> </w:t>
      </w:r>
      <w:r>
        <w:rPr>
          <w:i/>
          <w:color w:val="231F20"/>
          <w:sz w:val="20"/>
        </w:rPr>
        <w:t>на</w:t>
      </w:r>
      <w:r>
        <w:rPr>
          <w:i/>
          <w:color w:val="231F20"/>
          <w:spacing w:val="-12"/>
          <w:sz w:val="20"/>
        </w:rPr>
        <w:t> </w:t>
      </w:r>
      <w:r>
        <w:rPr>
          <w:i/>
          <w:color w:val="231F20"/>
          <w:sz w:val="20"/>
        </w:rPr>
        <w:t>свете,</w:t>
      </w:r>
      <w:r>
        <w:rPr>
          <w:i/>
          <w:color w:val="231F20"/>
          <w:spacing w:val="-13"/>
          <w:sz w:val="20"/>
        </w:rPr>
        <w:t> </w:t>
      </w:r>
      <w:r>
        <w:rPr>
          <w:i/>
          <w:color w:val="231F20"/>
          <w:sz w:val="20"/>
        </w:rPr>
        <w:t>в</w:t>
      </w:r>
      <w:r>
        <w:rPr>
          <w:i/>
          <w:color w:val="231F20"/>
          <w:spacing w:val="-12"/>
          <w:sz w:val="20"/>
        </w:rPr>
        <w:t> </w:t>
      </w:r>
      <w:r>
        <w:rPr>
          <w:i/>
          <w:color w:val="231F20"/>
          <w:sz w:val="20"/>
        </w:rPr>
        <w:t>Афганистане,</w:t>
      </w:r>
      <w:r>
        <w:rPr>
          <w:i/>
          <w:color w:val="231F20"/>
          <w:spacing w:val="-13"/>
          <w:sz w:val="20"/>
        </w:rPr>
        <w:t> </w:t>
      </w:r>
      <w:r>
        <w:rPr>
          <w:i/>
          <w:color w:val="231F20"/>
          <w:sz w:val="20"/>
        </w:rPr>
        <w:t>в</w:t>
      </w:r>
      <w:r>
        <w:rPr>
          <w:i/>
          <w:color w:val="231F20"/>
          <w:spacing w:val="-12"/>
          <w:sz w:val="20"/>
        </w:rPr>
        <w:t> </w:t>
      </w:r>
      <w:r>
        <w:rPr>
          <w:i/>
          <w:color w:val="231F20"/>
          <w:sz w:val="20"/>
        </w:rPr>
        <w:t>Америке</w:t>
      </w:r>
      <w:r>
        <w:rPr>
          <w:i/>
          <w:color w:val="231F20"/>
          <w:spacing w:val="-13"/>
          <w:sz w:val="20"/>
        </w:rPr>
        <w:t> </w:t>
      </w:r>
      <w:r>
        <w:rPr>
          <w:i/>
          <w:color w:val="231F20"/>
          <w:sz w:val="20"/>
        </w:rPr>
        <w:t>и</w:t>
      </w:r>
      <w:r>
        <w:rPr>
          <w:i/>
          <w:color w:val="231F20"/>
          <w:spacing w:val="-12"/>
          <w:sz w:val="20"/>
        </w:rPr>
        <w:t> </w:t>
      </w:r>
      <w:r>
        <w:rPr>
          <w:i/>
          <w:color w:val="231F20"/>
          <w:sz w:val="20"/>
        </w:rPr>
        <w:t>в</w:t>
      </w:r>
      <w:r>
        <w:rPr>
          <w:i/>
          <w:color w:val="231F20"/>
          <w:spacing w:val="-13"/>
          <w:sz w:val="20"/>
        </w:rPr>
        <w:t> </w:t>
      </w:r>
      <w:r>
        <w:rPr>
          <w:i/>
          <w:color w:val="231F20"/>
          <w:sz w:val="20"/>
        </w:rPr>
        <w:t>России</w:t>
      </w:r>
      <w:r>
        <w:rPr>
          <w:i/>
          <w:color w:val="231F20"/>
          <w:spacing w:val="-12"/>
          <w:sz w:val="20"/>
        </w:rPr>
        <w:t> </w:t>
      </w:r>
      <w:r>
        <w:rPr>
          <w:i/>
          <w:color w:val="231F20"/>
          <w:sz w:val="20"/>
        </w:rPr>
        <w:t>обижаются</w:t>
      </w:r>
      <w:r>
        <w:rPr>
          <w:i/>
          <w:color w:val="231F20"/>
          <w:spacing w:val="-13"/>
          <w:sz w:val="20"/>
        </w:rPr>
        <w:t> </w:t>
      </w:r>
      <w:r>
        <w:rPr>
          <w:i/>
          <w:color w:val="231F20"/>
          <w:sz w:val="20"/>
        </w:rPr>
        <w:t>на</w:t>
      </w:r>
      <w:r>
        <w:rPr>
          <w:i/>
          <w:color w:val="231F20"/>
          <w:spacing w:val="-12"/>
          <w:sz w:val="20"/>
        </w:rPr>
        <w:t> </w:t>
      </w:r>
      <w:r>
        <w:rPr>
          <w:i/>
          <w:color w:val="231F20"/>
          <w:sz w:val="20"/>
        </w:rPr>
        <w:t>своих</w:t>
      </w:r>
      <w:r>
        <w:rPr>
          <w:i/>
          <w:color w:val="231F20"/>
          <w:spacing w:val="-13"/>
          <w:sz w:val="20"/>
        </w:rPr>
        <w:t> </w:t>
      </w:r>
      <w:r>
        <w:rPr>
          <w:i/>
          <w:color w:val="231F20"/>
          <w:sz w:val="20"/>
        </w:rPr>
        <w:t>родителей. Но все они любят их.</w:t>
      </w:r>
    </w:p>
    <w:p>
      <w:pPr>
        <w:pStyle w:val="ListParagraph"/>
        <w:spacing w:after="0" w:line="235" w:lineRule="auto"/>
        <w:jc w:val="both"/>
        <w:rPr>
          <w:i/>
          <w:sz w:val="20"/>
        </w:rPr>
        <w:sectPr>
          <w:pgSz w:w="8400" w:h="11910"/>
          <w:pgMar w:header="0" w:footer="529" w:top="400" w:bottom="740" w:left="425" w:right="425"/>
        </w:sectPr>
      </w:pPr>
    </w:p>
    <w:p>
      <w:pPr>
        <w:pStyle w:val="ListParagraph"/>
        <w:numPr>
          <w:ilvl w:val="1"/>
          <w:numId w:val="187"/>
        </w:numPr>
        <w:tabs>
          <w:tab w:pos="455" w:val="left" w:leader="none"/>
        </w:tabs>
        <w:spacing w:line="240" w:lineRule="auto" w:before="80" w:after="0"/>
        <w:ind w:left="455" w:right="0" w:hanging="314"/>
        <w:jc w:val="both"/>
        <w:rPr>
          <w:rFonts w:ascii="Georgia" w:hAnsi="Georgia"/>
          <w:sz w:val="18"/>
        </w:rPr>
      </w:pPr>
      <w:r>
        <w:rPr>
          <w:rFonts w:ascii="Georgia" w:hAnsi="Georgia"/>
          <w:color w:val="231F20"/>
          <w:sz w:val="18"/>
        </w:rPr>
        <w:t>Метод</w:t>
      </w:r>
      <w:r>
        <w:rPr>
          <w:rFonts w:ascii="Georgia" w:hAnsi="Georgia"/>
          <w:color w:val="231F20"/>
          <w:spacing w:val="-6"/>
          <w:sz w:val="18"/>
        </w:rPr>
        <w:t> </w:t>
      </w:r>
      <w:r>
        <w:rPr>
          <w:rFonts w:ascii="Georgia" w:hAnsi="Georgia"/>
          <w:color w:val="231F20"/>
          <w:sz w:val="18"/>
        </w:rPr>
        <w:t>диалогического</w:t>
      </w:r>
      <w:r>
        <w:rPr>
          <w:rFonts w:ascii="Georgia" w:hAnsi="Georgia"/>
          <w:color w:val="231F20"/>
          <w:spacing w:val="-5"/>
          <w:sz w:val="18"/>
        </w:rPr>
        <w:t> </w:t>
      </w:r>
      <w:r>
        <w:rPr>
          <w:rFonts w:ascii="Georgia" w:hAnsi="Georgia"/>
          <w:color w:val="231F20"/>
          <w:sz w:val="18"/>
        </w:rPr>
        <w:t>рассказывания</w:t>
      </w:r>
      <w:r>
        <w:rPr>
          <w:rFonts w:ascii="Georgia" w:hAnsi="Georgia"/>
          <w:color w:val="231F20"/>
          <w:spacing w:val="-6"/>
          <w:sz w:val="18"/>
        </w:rPr>
        <w:t> </w:t>
      </w:r>
      <w:r>
        <w:rPr>
          <w:rFonts w:ascii="Georgia" w:hAnsi="Georgia"/>
          <w:color w:val="231F20"/>
          <w:sz w:val="18"/>
        </w:rPr>
        <w:t>историй:</w:t>
      </w:r>
      <w:r>
        <w:rPr>
          <w:rFonts w:ascii="Georgia" w:hAnsi="Georgia"/>
          <w:color w:val="231F20"/>
          <w:spacing w:val="-5"/>
          <w:sz w:val="18"/>
        </w:rPr>
        <w:t> </w:t>
      </w:r>
      <w:r>
        <w:rPr>
          <w:rFonts w:ascii="Georgia" w:hAnsi="Georgia"/>
          <w:color w:val="231F20"/>
          <w:sz w:val="18"/>
        </w:rPr>
        <w:t>методическое</w:t>
      </w:r>
      <w:r>
        <w:rPr>
          <w:rFonts w:ascii="Georgia" w:hAnsi="Georgia"/>
          <w:color w:val="231F20"/>
          <w:spacing w:val="-5"/>
          <w:sz w:val="18"/>
        </w:rPr>
        <w:t> </w:t>
      </w:r>
      <w:r>
        <w:rPr>
          <w:rFonts w:ascii="Georgia" w:hAnsi="Georgia"/>
          <w:color w:val="231F20"/>
          <w:spacing w:val="-2"/>
          <w:sz w:val="18"/>
        </w:rPr>
        <w:t>руководство</w:t>
      </w:r>
    </w:p>
    <w:p>
      <w:pPr>
        <w:pStyle w:val="ListParagraph"/>
        <w:numPr>
          <w:ilvl w:val="2"/>
          <w:numId w:val="187"/>
        </w:numPr>
        <w:tabs>
          <w:tab w:pos="575" w:val="left" w:leader="none"/>
        </w:tabs>
        <w:spacing w:line="228" w:lineRule="exact" w:before="112" w:after="0"/>
        <w:ind w:left="575" w:right="0" w:hanging="150"/>
        <w:jc w:val="both"/>
        <w:rPr>
          <w:i/>
          <w:sz w:val="20"/>
        </w:rPr>
      </w:pPr>
      <w:r>
        <w:rPr>
          <w:i/>
          <w:color w:val="231F20"/>
          <w:sz w:val="20"/>
        </w:rPr>
        <w:t>Даже</w:t>
      </w:r>
      <w:r>
        <w:rPr>
          <w:i/>
          <w:color w:val="231F20"/>
          <w:spacing w:val="-4"/>
          <w:sz w:val="20"/>
        </w:rPr>
        <w:t> </w:t>
      </w:r>
      <w:r>
        <w:rPr>
          <w:i/>
          <w:color w:val="231F20"/>
          <w:sz w:val="20"/>
        </w:rPr>
        <w:t>если</w:t>
      </w:r>
      <w:r>
        <w:rPr>
          <w:i/>
          <w:color w:val="231F20"/>
          <w:spacing w:val="-3"/>
          <w:sz w:val="20"/>
        </w:rPr>
        <w:t> </w:t>
      </w:r>
      <w:r>
        <w:rPr>
          <w:i/>
          <w:color w:val="231F20"/>
          <w:sz w:val="20"/>
        </w:rPr>
        <w:t>обижаются?</w:t>
      </w:r>
      <w:r>
        <w:rPr>
          <w:i/>
          <w:color w:val="231F20"/>
          <w:spacing w:val="-3"/>
          <w:sz w:val="20"/>
        </w:rPr>
        <w:t> </w:t>
      </w:r>
      <w:r>
        <w:rPr>
          <w:i/>
          <w:color w:val="231F20"/>
          <w:sz w:val="20"/>
        </w:rPr>
        <w:t>–</w:t>
      </w:r>
      <w:r>
        <w:rPr>
          <w:i/>
          <w:color w:val="231F20"/>
          <w:spacing w:val="-3"/>
          <w:sz w:val="20"/>
        </w:rPr>
        <w:t> </w:t>
      </w:r>
      <w:r>
        <w:rPr>
          <w:i/>
          <w:color w:val="231F20"/>
          <w:sz w:val="20"/>
        </w:rPr>
        <w:t>удивился</w:t>
      </w:r>
      <w:r>
        <w:rPr>
          <w:i/>
          <w:color w:val="231F20"/>
          <w:spacing w:val="-4"/>
          <w:sz w:val="20"/>
        </w:rPr>
        <w:t> </w:t>
      </w:r>
      <w:r>
        <w:rPr>
          <w:i/>
          <w:color w:val="231F20"/>
          <w:sz w:val="20"/>
        </w:rPr>
        <w:t>мальчик,</w:t>
      </w:r>
      <w:r>
        <w:rPr>
          <w:i/>
          <w:color w:val="231F20"/>
          <w:spacing w:val="-3"/>
          <w:sz w:val="20"/>
        </w:rPr>
        <w:t> </w:t>
      </w:r>
      <w:r>
        <w:rPr>
          <w:i/>
          <w:color w:val="231F20"/>
          <w:sz w:val="20"/>
        </w:rPr>
        <w:t>–</w:t>
      </w:r>
      <w:r>
        <w:rPr>
          <w:i/>
          <w:color w:val="231F20"/>
          <w:spacing w:val="-3"/>
          <w:sz w:val="20"/>
        </w:rPr>
        <w:t> </w:t>
      </w:r>
      <w:r>
        <w:rPr>
          <w:i/>
          <w:color w:val="231F20"/>
          <w:sz w:val="20"/>
        </w:rPr>
        <w:t>так</w:t>
      </w:r>
      <w:r>
        <w:rPr>
          <w:i/>
          <w:color w:val="231F20"/>
          <w:spacing w:val="-3"/>
          <w:sz w:val="20"/>
        </w:rPr>
        <w:t> </w:t>
      </w:r>
      <w:r>
        <w:rPr>
          <w:i/>
          <w:color w:val="231F20"/>
          <w:sz w:val="20"/>
        </w:rPr>
        <w:t>значит</w:t>
      </w:r>
      <w:r>
        <w:rPr>
          <w:i/>
          <w:color w:val="231F20"/>
          <w:spacing w:val="-4"/>
          <w:sz w:val="20"/>
        </w:rPr>
        <w:t> </w:t>
      </w:r>
      <w:r>
        <w:rPr>
          <w:i/>
          <w:color w:val="231F20"/>
          <w:spacing w:val="-5"/>
          <w:sz w:val="20"/>
        </w:rPr>
        <w:t>я…</w:t>
      </w:r>
    </w:p>
    <w:p>
      <w:pPr>
        <w:pStyle w:val="ListParagraph"/>
        <w:numPr>
          <w:ilvl w:val="2"/>
          <w:numId w:val="187"/>
        </w:numPr>
        <w:tabs>
          <w:tab w:pos="575" w:val="left" w:leader="none"/>
        </w:tabs>
        <w:spacing w:line="226" w:lineRule="exact" w:before="0" w:after="0"/>
        <w:ind w:left="575" w:right="0" w:hanging="150"/>
        <w:jc w:val="both"/>
        <w:rPr>
          <w:i/>
          <w:sz w:val="20"/>
        </w:rPr>
      </w:pPr>
      <w:r>
        <w:rPr>
          <w:i/>
          <w:color w:val="231F20"/>
          <w:sz w:val="20"/>
        </w:rPr>
        <w:t>Конечно,</w:t>
      </w:r>
      <w:r>
        <w:rPr>
          <w:i/>
          <w:color w:val="231F20"/>
          <w:spacing w:val="-7"/>
          <w:sz w:val="20"/>
        </w:rPr>
        <w:t> </w:t>
      </w:r>
      <w:r>
        <w:rPr>
          <w:i/>
          <w:color w:val="231F20"/>
          <w:sz w:val="20"/>
        </w:rPr>
        <w:t>ты</w:t>
      </w:r>
      <w:r>
        <w:rPr>
          <w:i/>
          <w:color w:val="231F20"/>
          <w:spacing w:val="-7"/>
          <w:sz w:val="20"/>
        </w:rPr>
        <w:t> </w:t>
      </w:r>
      <w:r>
        <w:rPr>
          <w:i/>
          <w:color w:val="231F20"/>
          <w:sz w:val="20"/>
        </w:rPr>
        <w:t>любишь</w:t>
      </w:r>
      <w:r>
        <w:rPr>
          <w:i/>
          <w:color w:val="231F20"/>
          <w:spacing w:val="-7"/>
          <w:sz w:val="20"/>
        </w:rPr>
        <w:t> </w:t>
      </w:r>
      <w:r>
        <w:rPr>
          <w:i/>
          <w:color w:val="231F20"/>
          <w:spacing w:val="-4"/>
          <w:sz w:val="20"/>
        </w:rPr>
        <w:t>папу.</w:t>
      </w:r>
    </w:p>
    <w:p>
      <w:pPr>
        <w:spacing w:line="232" w:lineRule="auto" w:before="4"/>
        <w:ind w:left="141" w:right="139" w:firstLine="283"/>
        <w:jc w:val="both"/>
        <w:rPr>
          <w:i/>
          <w:sz w:val="20"/>
        </w:rPr>
      </w:pPr>
      <w:r>
        <w:rPr>
          <w:i/>
          <w:color w:val="231F20"/>
          <w:sz w:val="20"/>
        </w:rPr>
        <w:t>Мальчик</w:t>
      </w:r>
      <w:r>
        <w:rPr>
          <w:i/>
          <w:color w:val="231F20"/>
          <w:spacing w:val="-7"/>
          <w:sz w:val="20"/>
        </w:rPr>
        <w:t> </w:t>
      </w:r>
      <w:r>
        <w:rPr>
          <w:i/>
          <w:color w:val="231F20"/>
          <w:sz w:val="20"/>
        </w:rPr>
        <w:t>поверил</w:t>
      </w:r>
      <w:r>
        <w:rPr>
          <w:i/>
          <w:color w:val="231F20"/>
          <w:spacing w:val="-7"/>
          <w:sz w:val="20"/>
        </w:rPr>
        <w:t> </w:t>
      </w:r>
      <w:r>
        <w:rPr>
          <w:i/>
          <w:color w:val="231F20"/>
          <w:sz w:val="20"/>
        </w:rPr>
        <w:t>птичке</w:t>
      </w:r>
      <w:r>
        <w:rPr>
          <w:i/>
          <w:color w:val="231F20"/>
          <w:spacing w:val="-7"/>
          <w:sz w:val="20"/>
        </w:rPr>
        <w:t> </w:t>
      </w:r>
      <w:r>
        <w:rPr>
          <w:i/>
          <w:color w:val="231F20"/>
          <w:sz w:val="20"/>
        </w:rPr>
        <w:t>и</w:t>
      </w:r>
      <w:r>
        <w:rPr>
          <w:i/>
          <w:color w:val="231F20"/>
          <w:spacing w:val="-8"/>
          <w:sz w:val="20"/>
        </w:rPr>
        <w:t> </w:t>
      </w:r>
      <w:r>
        <w:rPr>
          <w:i/>
          <w:color w:val="231F20"/>
          <w:sz w:val="20"/>
        </w:rPr>
        <w:t>вернулся</w:t>
      </w:r>
      <w:r>
        <w:rPr>
          <w:i/>
          <w:color w:val="231F20"/>
          <w:spacing w:val="-8"/>
          <w:sz w:val="20"/>
        </w:rPr>
        <w:t> </w:t>
      </w:r>
      <w:r>
        <w:rPr>
          <w:i/>
          <w:color w:val="231F20"/>
          <w:sz w:val="20"/>
        </w:rPr>
        <w:t>домой.</w:t>
      </w:r>
      <w:r>
        <w:rPr>
          <w:i/>
          <w:color w:val="231F20"/>
          <w:spacing w:val="-7"/>
          <w:sz w:val="20"/>
        </w:rPr>
        <w:t> </w:t>
      </w:r>
      <w:r>
        <w:rPr>
          <w:i/>
          <w:color w:val="231F20"/>
          <w:sz w:val="20"/>
        </w:rPr>
        <w:t>Когда</w:t>
      </w:r>
      <w:r>
        <w:rPr>
          <w:i/>
          <w:color w:val="231F20"/>
          <w:spacing w:val="-7"/>
          <w:sz w:val="20"/>
        </w:rPr>
        <w:t> </w:t>
      </w:r>
      <w:r>
        <w:rPr>
          <w:i/>
          <w:color w:val="231F20"/>
          <w:sz w:val="20"/>
        </w:rPr>
        <w:t>его</w:t>
      </w:r>
      <w:r>
        <w:rPr>
          <w:i/>
          <w:color w:val="231F20"/>
          <w:spacing w:val="-8"/>
          <w:sz w:val="20"/>
        </w:rPr>
        <w:t> </w:t>
      </w:r>
      <w:r>
        <w:rPr>
          <w:i/>
          <w:color w:val="231F20"/>
          <w:sz w:val="20"/>
        </w:rPr>
        <w:t>папа</w:t>
      </w:r>
      <w:r>
        <w:rPr>
          <w:i/>
          <w:color w:val="231F20"/>
          <w:spacing w:val="-7"/>
          <w:sz w:val="20"/>
        </w:rPr>
        <w:t> </w:t>
      </w:r>
      <w:r>
        <w:rPr>
          <w:i/>
          <w:color w:val="231F20"/>
          <w:sz w:val="20"/>
        </w:rPr>
        <w:t>опять</w:t>
      </w:r>
      <w:r>
        <w:rPr>
          <w:i/>
          <w:color w:val="231F20"/>
          <w:spacing w:val="-7"/>
          <w:sz w:val="20"/>
        </w:rPr>
        <w:t> </w:t>
      </w:r>
      <w:r>
        <w:rPr>
          <w:i/>
          <w:color w:val="231F20"/>
          <w:sz w:val="20"/>
        </w:rPr>
        <w:t>попросил</w:t>
      </w:r>
      <w:r>
        <w:rPr>
          <w:i/>
          <w:color w:val="231F20"/>
          <w:spacing w:val="-8"/>
          <w:sz w:val="20"/>
        </w:rPr>
        <w:t> </w:t>
      </w:r>
      <w:r>
        <w:rPr>
          <w:i/>
          <w:color w:val="231F20"/>
          <w:sz w:val="20"/>
        </w:rPr>
        <w:t>его</w:t>
      </w:r>
      <w:r>
        <w:rPr>
          <w:i/>
          <w:color w:val="231F20"/>
          <w:spacing w:val="-8"/>
          <w:sz w:val="20"/>
        </w:rPr>
        <w:t> </w:t>
      </w:r>
      <w:r>
        <w:rPr>
          <w:i/>
          <w:color w:val="231F20"/>
          <w:sz w:val="20"/>
        </w:rPr>
        <w:t>че- го-то</w:t>
      </w:r>
      <w:r>
        <w:rPr>
          <w:i/>
          <w:color w:val="231F20"/>
          <w:spacing w:val="-11"/>
          <w:sz w:val="20"/>
        </w:rPr>
        <w:t> </w:t>
      </w:r>
      <w:r>
        <w:rPr>
          <w:i/>
          <w:color w:val="231F20"/>
          <w:sz w:val="20"/>
        </w:rPr>
        <w:t>сделать,</w:t>
      </w:r>
      <w:r>
        <w:rPr>
          <w:i/>
          <w:color w:val="231F20"/>
          <w:spacing w:val="-11"/>
          <w:sz w:val="20"/>
        </w:rPr>
        <w:t> </w:t>
      </w:r>
      <w:r>
        <w:rPr>
          <w:i/>
          <w:color w:val="231F20"/>
          <w:sz w:val="20"/>
        </w:rPr>
        <w:t>он</w:t>
      </w:r>
      <w:r>
        <w:rPr>
          <w:i/>
          <w:color w:val="231F20"/>
          <w:spacing w:val="-11"/>
          <w:sz w:val="20"/>
        </w:rPr>
        <w:t> </w:t>
      </w:r>
      <w:r>
        <w:rPr>
          <w:i/>
          <w:color w:val="231F20"/>
          <w:sz w:val="20"/>
        </w:rPr>
        <w:t>как</w:t>
      </w:r>
      <w:r>
        <w:rPr>
          <w:i/>
          <w:color w:val="231F20"/>
          <w:spacing w:val="-11"/>
          <w:sz w:val="20"/>
        </w:rPr>
        <w:t> </w:t>
      </w:r>
      <w:r>
        <w:rPr>
          <w:i/>
          <w:color w:val="231F20"/>
          <w:sz w:val="20"/>
        </w:rPr>
        <w:t>всегда</w:t>
      </w:r>
      <w:r>
        <w:rPr>
          <w:i/>
          <w:color w:val="231F20"/>
          <w:spacing w:val="-11"/>
          <w:sz w:val="20"/>
        </w:rPr>
        <w:t> </w:t>
      </w:r>
      <w:r>
        <w:rPr>
          <w:i/>
          <w:color w:val="231F20"/>
          <w:sz w:val="20"/>
        </w:rPr>
        <w:t>обиделся,</w:t>
      </w:r>
      <w:r>
        <w:rPr>
          <w:i/>
          <w:color w:val="231F20"/>
          <w:spacing w:val="-11"/>
          <w:sz w:val="20"/>
        </w:rPr>
        <w:t> </w:t>
      </w:r>
      <w:r>
        <w:rPr>
          <w:i/>
          <w:color w:val="231F20"/>
          <w:sz w:val="20"/>
        </w:rPr>
        <w:t>но</w:t>
      </w:r>
      <w:r>
        <w:rPr>
          <w:i/>
          <w:color w:val="231F20"/>
          <w:spacing w:val="-11"/>
          <w:sz w:val="20"/>
        </w:rPr>
        <w:t> </w:t>
      </w:r>
      <w:r>
        <w:rPr>
          <w:i/>
          <w:color w:val="231F20"/>
          <w:sz w:val="20"/>
        </w:rPr>
        <w:t>не</w:t>
      </w:r>
      <w:r>
        <w:rPr>
          <w:i/>
          <w:color w:val="231F20"/>
          <w:spacing w:val="-11"/>
          <w:sz w:val="20"/>
        </w:rPr>
        <w:t> </w:t>
      </w:r>
      <w:r>
        <w:rPr>
          <w:i/>
          <w:color w:val="231F20"/>
          <w:sz w:val="20"/>
        </w:rPr>
        <w:t>удивился</w:t>
      </w:r>
      <w:r>
        <w:rPr>
          <w:i/>
          <w:color w:val="231F20"/>
          <w:spacing w:val="-11"/>
          <w:sz w:val="20"/>
        </w:rPr>
        <w:t> </w:t>
      </w:r>
      <w:r>
        <w:rPr>
          <w:i/>
          <w:color w:val="231F20"/>
          <w:sz w:val="20"/>
        </w:rPr>
        <w:t>этому.</w:t>
      </w:r>
      <w:r>
        <w:rPr>
          <w:i/>
          <w:color w:val="231F20"/>
          <w:spacing w:val="-11"/>
          <w:sz w:val="20"/>
        </w:rPr>
        <w:t> </w:t>
      </w:r>
      <w:r>
        <w:rPr>
          <w:i/>
          <w:color w:val="231F20"/>
          <w:sz w:val="20"/>
        </w:rPr>
        <w:t>Он</w:t>
      </w:r>
      <w:r>
        <w:rPr>
          <w:i/>
          <w:color w:val="231F20"/>
          <w:spacing w:val="-11"/>
          <w:sz w:val="20"/>
        </w:rPr>
        <w:t> </w:t>
      </w:r>
      <w:r>
        <w:rPr>
          <w:i/>
          <w:color w:val="231F20"/>
          <w:sz w:val="20"/>
        </w:rPr>
        <w:t>посмотрел</w:t>
      </w:r>
      <w:r>
        <w:rPr>
          <w:i/>
          <w:color w:val="231F20"/>
          <w:spacing w:val="-11"/>
          <w:sz w:val="20"/>
        </w:rPr>
        <w:t> </w:t>
      </w:r>
      <w:r>
        <w:rPr>
          <w:i/>
          <w:color w:val="231F20"/>
          <w:sz w:val="20"/>
        </w:rPr>
        <w:t>на</w:t>
      </w:r>
      <w:r>
        <w:rPr>
          <w:i/>
          <w:color w:val="231F20"/>
          <w:spacing w:val="-11"/>
          <w:sz w:val="20"/>
        </w:rPr>
        <w:t> </w:t>
      </w:r>
      <w:r>
        <w:rPr>
          <w:i/>
          <w:color w:val="231F20"/>
          <w:sz w:val="20"/>
        </w:rPr>
        <w:t>папу</w:t>
      </w:r>
      <w:r>
        <w:rPr>
          <w:i/>
          <w:color w:val="231F20"/>
          <w:spacing w:val="-11"/>
          <w:sz w:val="20"/>
        </w:rPr>
        <w:t> </w:t>
      </w:r>
      <w:r>
        <w:rPr>
          <w:i/>
          <w:color w:val="231F20"/>
          <w:sz w:val="20"/>
        </w:rPr>
        <w:t>и захотел</w:t>
      </w:r>
      <w:r>
        <w:rPr>
          <w:i/>
          <w:color w:val="231F20"/>
          <w:spacing w:val="-13"/>
          <w:sz w:val="20"/>
        </w:rPr>
        <w:t> </w:t>
      </w:r>
      <w:r>
        <w:rPr>
          <w:i/>
          <w:color w:val="231F20"/>
          <w:sz w:val="20"/>
        </w:rPr>
        <w:t>сказать</w:t>
      </w:r>
      <w:r>
        <w:rPr>
          <w:i/>
          <w:color w:val="231F20"/>
          <w:spacing w:val="-12"/>
          <w:sz w:val="20"/>
        </w:rPr>
        <w:t> </w:t>
      </w:r>
      <w:r>
        <w:rPr>
          <w:i/>
          <w:color w:val="231F20"/>
          <w:sz w:val="20"/>
        </w:rPr>
        <w:t>ему</w:t>
      </w:r>
      <w:r>
        <w:rPr>
          <w:i/>
          <w:color w:val="231F20"/>
          <w:spacing w:val="-13"/>
          <w:sz w:val="20"/>
        </w:rPr>
        <w:t> </w:t>
      </w:r>
      <w:r>
        <w:rPr>
          <w:i/>
          <w:color w:val="231F20"/>
          <w:sz w:val="20"/>
        </w:rPr>
        <w:t>о</w:t>
      </w:r>
      <w:r>
        <w:rPr>
          <w:i/>
          <w:color w:val="231F20"/>
          <w:spacing w:val="-12"/>
          <w:sz w:val="20"/>
        </w:rPr>
        <w:t> </w:t>
      </w:r>
      <w:r>
        <w:rPr>
          <w:i/>
          <w:color w:val="231F20"/>
          <w:sz w:val="20"/>
        </w:rPr>
        <w:t>своей</w:t>
      </w:r>
      <w:r>
        <w:rPr>
          <w:i/>
          <w:color w:val="231F20"/>
          <w:spacing w:val="-13"/>
          <w:sz w:val="20"/>
        </w:rPr>
        <w:t> </w:t>
      </w:r>
      <w:r>
        <w:rPr>
          <w:i/>
          <w:color w:val="231F20"/>
          <w:sz w:val="20"/>
        </w:rPr>
        <w:t>обиде.</w:t>
      </w:r>
      <w:r>
        <w:rPr>
          <w:i/>
          <w:color w:val="231F20"/>
          <w:spacing w:val="-12"/>
          <w:sz w:val="20"/>
        </w:rPr>
        <w:t> </w:t>
      </w:r>
      <w:r>
        <w:rPr>
          <w:i/>
          <w:color w:val="231F20"/>
          <w:sz w:val="20"/>
        </w:rPr>
        <w:t>Но</w:t>
      </w:r>
      <w:r>
        <w:rPr>
          <w:i/>
          <w:color w:val="231F20"/>
          <w:spacing w:val="-13"/>
          <w:sz w:val="20"/>
        </w:rPr>
        <w:t> </w:t>
      </w:r>
      <w:r>
        <w:rPr>
          <w:i/>
          <w:color w:val="231F20"/>
          <w:sz w:val="20"/>
        </w:rPr>
        <w:t>папа</w:t>
      </w:r>
      <w:r>
        <w:rPr>
          <w:i/>
          <w:color w:val="231F20"/>
          <w:spacing w:val="-12"/>
          <w:sz w:val="20"/>
        </w:rPr>
        <w:t> </w:t>
      </w:r>
      <w:r>
        <w:rPr>
          <w:i/>
          <w:color w:val="231F20"/>
          <w:sz w:val="20"/>
        </w:rPr>
        <w:t>был</w:t>
      </w:r>
      <w:r>
        <w:rPr>
          <w:i/>
          <w:color w:val="231F20"/>
          <w:spacing w:val="-13"/>
          <w:sz w:val="20"/>
        </w:rPr>
        <w:t> </w:t>
      </w:r>
      <w:r>
        <w:rPr>
          <w:i/>
          <w:color w:val="231F20"/>
          <w:sz w:val="20"/>
        </w:rPr>
        <w:t>такой</w:t>
      </w:r>
      <w:r>
        <w:rPr>
          <w:i/>
          <w:color w:val="231F20"/>
          <w:spacing w:val="-12"/>
          <w:sz w:val="20"/>
        </w:rPr>
        <w:t> </w:t>
      </w:r>
      <w:r>
        <w:rPr>
          <w:i/>
          <w:color w:val="231F20"/>
          <w:sz w:val="20"/>
        </w:rPr>
        <w:t>усталый,</w:t>
      </w:r>
      <w:r>
        <w:rPr>
          <w:i/>
          <w:color w:val="231F20"/>
          <w:spacing w:val="-13"/>
          <w:sz w:val="20"/>
        </w:rPr>
        <w:t> </w:t>
      </w:r>
      <w:r>
        <w:rPr>
          <w:i/>
          <w:color w:val="231F20"/>
          <w:sz w:val="20"/>
        </w:rPr>
        <w:t>больной</w:t>
      </w:r>
      <w:r>
        <w:rPr>
          <w:i/>
          <w:color w:val="231F20"/>
          <w:spacing w:val="-12"/>
          <w:sz w:val="20"/>
        </w:rPr>
        <w:t> </w:t>
      </w:r>
      <w:r>
        <w:rPr>
          <w:i/>
          <w:color w:val="231F20"/>
          <w:sz w:val="20"/>
        </w:rPr>
        <w:t>и</w:t>
      </w:r>
      <w:r>
        <w:rPr>
          <w:i/>
          <w:color w:val="231F20"/>
          <w:spacing w:val="-13"/>
          <w:sz w:val="20"/>
        </w:rPr>
        <w:t> </w:t>
      </w:r>
      <w:r>
        <w:rPr>
          <w:i/>
          <w:color w:val="231F20"/>
          <w:sz w:val="20"/>
        </w:rPr>
        <w:t>грустный, что</w:t>
      </w:r>
      <w:r>
        <w:rPr>
          <w:i/>
          <w:color w:val="231F20"/>
          <w:spacing w:val="-3"/>
          <w:sz w:val="20"/>
        </w:rPr>
        <w:t> </w:t>
      </w:r>
      <w:r>
        <w:rPr>
          <w:i/>
          <w:color w:val="231F20"/>
          <w:sz w:val="20"/>
        </w:rPr>
        <w:t>мальчику</w:t>
      </w:r>
      <w:r>
        <w:rPr>
          <w:i/>
          <w:color w:val="231F20"/>
          <w:spacing w:val="-4"/>
          <w:sz w:val="20"/>
        </w:rPr>
        <w:t> </w:t>
      </w:r>
      <w:r>
        <w:rPr>
          <w:i/>
          <w:color w:val="231F20"/>
          <w:sz w:val="20"/>
        </w:rPr>
        <w:t>расхотелось</w:t>
      </w:r>
      <w:r>
        <w:rPr>
          <w:i/>
          <w:color w:val="231F20"/>
          <w:spacing w:val="-4"/>
          <w:sz w:val="20"/>
        </w:rPr>
        <w:t> </w:t>
      </w:r>
      <w:r>
        <w:rPr>
          <w:i/>
          <w:color w:val="231F20"/>
          <w:sz w:val="20"/>
        </w:rPr>
        <w:t>говорить.</w:t>
      </w:r>
      <w:r>
        <w:rPr>
          <w:i/>
          <w:color w:val="231F20"/>
          <w:spacing w:val="-3"/>
          <w:sz w:val="20"/>
        </w:rPr>
        <w:t> </w:t>
      </w:r>
      <w:r>
        <w:rPr>
          <w:i/>
          <w:color w:val="231F20"/>
          <w:sz w:val="20"/>
        </w:rPr>
        <w:t>Да</w:t>
      </w:r>
      <w:r>
        <w:rPr>
          <w:i/>
          <w:color w:val="231F20"/>
          <w:spacing w:val="-3"/>
          <w:sz w:val="20"/>
        </w:rPr>
        <w:t> </w:t>
      </w:r>
      <w:r>
        <w:rPr>
          <w:i/>
          <w:color w:val="231F20"/>
          <w:sz w:val="20"/>
        </w:rPr>
        <w:t>и</w:t>
      </w:r>
      <w:r>
        <w:rPr>
          <w:i/>
          <w:color w:val="231F20"/>
          <w:spacing w:val="-3"/>
          <w:sz w:val="20"/>
        </w:rPr>
        <w:t> </w:t>
      </w:r>
      <w:r>
        <w:rPr>
          <w:i/>
          <w:color w:val="231F20"/>
          <w:sz w:val="20"/>
        </w:rPr>
        <w:t>обида</w:t>
      </w:r>
      <w:r>
        <w:rPr>
          <w:i/>
          <w:color w:val="231F20"/>
          <w:spacing w:val="-4"/>
          <w:sz w:val="20"/>
        </w:rPr>
        <w:t> </w:t>
      </w:r>
      <w:r>
        <w:rPr>
          <w:i/>
          <w:color w:val="231F20"/>
          <w:sz w:val="20"/>
        </w:rPr>
        <w:t>вся</w:t>
      </w:r>
      <w:r>
        <w:rPr>
          <w:i/>
          <w:color w:val="231F20"/>
          <w:spacing w:val="-3"/>
          <w:sz w:val="20"/>
        </w:rPr>
        <w:t> </w:t>
      </w:r>
      <w:r>
        <w:rPr>
          <w:i/>
          <w:color w:val="231F20"/>
          <w:sz w:val="20"/>
        </w:rPr>
        <w:t>куда-то</w:t>
      </w:r>
      <w:r>
        <w:rPr>
          <w:i/>
          <w:color w:val="231F20"/>
          <w:spacing w:val="-3"/>
          <w:sz w:val="20"/>
        </w:rPr>
        <w:t> </w:t>
      </w:r>
      <w:r>
        <w:rPr>
          <w:i/>
          <w:color w:val="231F20"/>
          <w:sz w:val="20"/>
        </w:rPr>
        <w:t>ушла.</w:t>
      </w:r>
      <w:r>
        <w:rPr>
          <w:i/>
          <w:color w:val="231F20"/>
          <w:spacing w:val="-3"/>
          <w:sz w:val="20"/>
        </w:rPr>
        <w:t> </w:t>
      </w:r>
      <w:r>
        <w:rPr>
          <w:i/>
          <w:color w:val="231F20"/>
          <w:sz w:val="20"/>
        </w:rPr>
        <w:t>«Но</w:t>
      </w:r>
      <w:r>
        <w:rPr>
          <w:i/>
          <w:color w:val="231F20"/>
          <w:spacing w:val="-3"/>
          <w:sz w:val="20"/>
        </w:rPr>
        <w:t> </w:t>
      </w:r>
      <w:r>
        <w:rPr>
          <w:i/>
          <w:color w:val="231F20"/>
          <w:sz w:val="20"/>
        </w:rPr>
        <w:t>это</w:t>
      </w:r>
      <w:r>
        <w:rPr>
          <w:i/>
          <w:color w:val="231F20"/>
          <w:spacing w:val="-3"/>
          <w:sz w:val="20"/>
        </w:rPr>
        <w:t> </w:t>
      </w:r>
      <w:r>
        <w:rPr>
          <w:i/>
          <w:color w:val="231F20"/>
          <w:sz w:val="20"/>
        </w:rPr>
        <w:t>ничего» – подумал мальчик и пошел делать то, что просил папа. Он теперь не боялся своей обиды</w:t>
      </w:r>
      <w:r>
        <w:rPr>
          <w:i/>
          <w:color w:val="231F20"/>
          <w:spacing w:val="-11"/>
          <w:sz w:val="20"/>
        </w:rPr>
        <w:t> </w:t>
      </w:r>
      <w:r>
        <w:rPr>
          <w:i/>
          <w:color w:val="231F20"/>
          <w:sz w:val="20"/>
        </w:rPr>
        <w:t>и</w:t>
      </w:r>
      <w:r>
        <w:rPr>
          <w:i/>
          <w:color w:val="231F20"/>
          <w:spacing w:val="-11"/>
          <w:sz w:val="20"/>
        </w:rPr>
        <w:t> </w:t>
      </w:r>
      <w:r>
        <w:rPr>
          <w:i/>
          <w:color w:val="231F20"/>
          <w:sz w:val="20"/>
        </w:rPr>
        <w:t>знал,</w:t>
      </w:r>
      <w:r>
        <w:rPr>
          <w:i/>
          <w:color w:val="231F20"/>
          <w:spacing w:val="-11"/>
          <w:sz w:val="20"/>
        </w:rPr>
        <w:t> </w:t>
      </w:r>
      <w:r>
        <w:rPr>
          <w:i/>
          <w:color w:val="231F20"/>
          <w:sz w:val="20"/>
        </w:rPr>
        <w:t>что</w:t>
      </w:r>
      <w:r>
        <w:rPr>
          <w:i/>
          <w:color w:val="231F20"/>
          <w:spacing w:val="-11"/>
          <w:sz w:val="20"/>
        </w:rPr>
        <w:t> </w:t>
      </w:r>
      <w:r>
        <w:rPr>
          <w:i/>
          <w:color w:val="231F20"/>
          <w:sz w:val="20"/>
        </w:rPr>
        <w:t>когда</w:t>
      </w:r>
      <w:r>
        <w:rPr>
          <w:i/>
          <w:color w:val="231F20"/>
          <w:spacing w:val="-11"/>
          <w:sz w:val="20"/>
        </w:rPr>
        <w:t> </w:t>
      </w:r>
      <w:r>
        <w:rPr>
          <w:i/>
          <w:color w:val="231F20"/>
          <w:sz w:val="20"/>
        </w:rPr>
        <w:t>захочет,</w:t>
      </w:r>
      <w:r>
        <w:rPr>
          <w:i/>
          <w:color w:val="231F20"/>
          <w:spacing w:val="-11"/>
          <w:sz w:val="20"/>
        </w:rPr>
        <w:t> </w:t>
      </w:r>
      <w:r>
        <w:rPr>
          <w:i/>
          <w:color w:val="231F20"/>
          <w:sz w:val="20"/>
        </w:rPr>
        <w:t>то</w:t>
      </w:r>
      <w:r>
        <w:rPr>
          <w:i/>
          <w:color w:val="231F20"/>
          <w:spacing w:val="-11"/>
          <w:sz w:val="20"/>
        </w:rPr>
        <w:t> </w:t>
      </w:r>
      <w:r>
        <w:rPr>
          <w:i/>
          <w:color w:val="231F20"/>
          <w:sz w:val="20"/>
        </w:rPr>
        <w:t>сможет</w:t>
      </w:r>
      <w:r>
        <w:rPr>
          <w:i/>
          <w:color w:val="231F20"/>
          <w:spacing w:val="-11"/>
          <w:sz w:val="20"/>
        </w:rPr>
        <w:t> </w:t>
      </w:r>
      <w:r>
        <w:rPr>
          <w:i/>
          <w:color w:val="231F20"/>
          <w:sz w:val="20"/>
        </w:rPr>
        <w:t>рассказать</w:t>
      </w:r>
      <w:r>
        <w:rPr>
          <w:i/>
          <w:color w:val="231F20"/>
          <w:spacing w:val="-11"/>
          <w:sz w:val="20"/>
        </w:rPr>
        <w:t> </w:t>
      </w:r>
      <w:r>
        <w:rPr>
          <w:i/>
          <w:color w:val="231F20"/>
          <w:sz w:val="20"/>
        </w:rPr>
        <w:t>о</w:t>
      </w:r>
      <w:r>
        <w:rPr>
          <w:i/>
          <w:color w:val="231F20"/>
          <w:spacing w:val="-11"/>
          <w:sz w:val="20"/>
        </w:rPr>
        <w:t> </w:t>
      </w:r>
      <w:r>
        <w:rPr>
          <w:i/>
          <w:color w:val="231F20"/>
          <w:sz w:val="20"/>
        </w:rPr>
        <w:t>ней</w:t>
      </w:r>
      <w:r>
        <w:rPr>
          <w:i/>
          <w:color w:val="231F20"/>
          <w:spacing w:val="-11"/>
          <w:sz w:val="20"/>
        </w:rPr>
        <w:t> </w:t>
      </w:r>
      <w:r>
        <w:rPr>
          <w:i/>
          <w:color w:val="231F20"/>
          <w:sz w:val="20"/>
        </w:rPr>
        <w:t>своему</w:t>
      </w:r>
      <w:r>
        <w:rPr>
          <w:i/>
          <w:color w:val="231F20"/>
          <w:spacing w:val="-11"/>
          <w:sz w:val="20"/>
        </w:rPr>
        <w:t> </w:t>
      </w:r>
      <w:r>
        <w:rPr>
          <w:i/>
          <w:color w:val="231F20"/>
          <w:sz w:val="20"/>
        </w:rPr>
        <w:t>папе.</w:t>
      </w:r>
      <w:r>
        <w:rPr>
          <w:i/>
          <w:color w:val="231F20"/>
          <w:spacing w:val="-11"/>
          <w:sz w:val="20"/>
        </w:rPr>
        <w:t> </w:t>
      </w:r>
      <w:r>
        <w:rPr>
          <w:i/>
          <w:color w:val="231F20"/>
          <w:sz w:val="20"/>
        </w:rPr>
        <w:t>А</w:t>
      </w:r>
      <w:r>
        <w:rPr>
          <w:i/>
          <w:color w:val="231F20"/>
          <w:spacing w:val="-11"/>
          <w:sz w:val="20"/>
        </w:rPr>
        <w:t> </w:t>
      </w:r>
      <w:r>
        <w:rPr>
          <w:i/>
          <w:color w:val="231F20"/>
          <w:sz w:val="20"/>
        </w:rPr>
        <w:t>еще</w:t>
      </w:r>
      <w:r>
        <w:rPr>
          <w:i/>
          <w:color w:val="231F20"/>
          <w:spacing w:val="-11"/>
          <w:sz w:val="20"/>
        </w:rPr>
        <w:t> </w:t>
      </w:r>
      <w:r>
        <w:rPr>
          <w:i/>
          <w:color w:val="231F20"/>
          <w:sz w:val="20"/>
        </w:rPr>
        <w:t>он знал что, несмотря на это, он все равно любит своего папу.</w:t>
      </w:r>
    </w:p>
    <w:p>
      <w:pPr>
        <w:spacing w:line="232" w:lineRule="auto" w:before="0"/>
        <w:ind w:left="141" w:right="139" w:firstLine="283"/>
        <w:jc w:val="both"/>
        <w:rPr>
          <w:i/>
          <w:sz w:val="20"/>
        </w:rPr>
      </w:pPr>
      <w:r>
        <w:rPr>
          <w:i/>
          <w:color w:val="231F20"/>
          <w:sz w:val="20"/>
        </w:rPr>
        <w:t>Урок. Во-первых, если ты обижаешься на папу, это не значит, что ты его не любишь. Во-вторых, обижаться – это нормально; об этом можно даже сказать своему</w:t>
      </w:r>
      <w:r>
        <w:rPr>
          <w:i/>
          <w:color w:val="231F20"/>
          <w:spacing w:val="-2"/>
          <w:sz w:val="20"/>
        </w:rPr>
        <w:t> </w:t>
      </w:r>
      <w:r>
        <w:rPr>
          <w:i/>
          <w:color w:val="231F20"/>
          <w:sz w:val="20"/>
        </w:rPr>
        <w:t>папе,</w:t>
      </w:r>
      <w:r>
        <w:rPr>
          <w:i/>
          <w:color w:val="231F20"/>
          <w:spacing w:val="-2"/>
          <w:sz w:val="20"/>
        </w:rPr>
        <w:t> </w:t>
      </w:r>
      <w:r>
        <w:rPr>
          <w:i/>
          <w:color w:val="231F20"/>
          <w:sz w:val="20"/>
        </w:rPr>
        <w:t>только</w:t>
      </w:r>
      <w:r>
        <w:rPr>
          <w:i/>
          <w:color w:val="231F20"/>
          <w:spacing w:val="-2"/>
          <w:sz w:val="20"/>
        </w:rPr>
        <w:t> </w:t>
      </w:r>
      <w:r>
        <w:rPr>
          <w:i/>
          <w:color w:val="231F20"/>
          <w:sz w:val="20"/>
        </w:rPr>
        <w:t>подобрав</w:t>
      </w:r>
      <w:r>
        <w:rPr>
          <w:i/>
          <w:color w:val="231F20"/>
          <w:spacing w:val="-2"/>
          <w:sz w:val="20"/>
        </w:rPr>
        <w:t> </w:t>
      </w:r>
      <w:r>
        <w:rPr>
          <w:i/>
          <w:color w:val="231F20"/>
          <w:sz w:val="20"/>
        </w:rPr>
        <w:t>подходящее</w:t>
      </w:r>
      <w:r>
        <w:rPr>
          <w:i/>
          <w:color w:val="231F20"/>
          <w:spacing w:val="-2"/>
          <w:sz w:val="20"/>
        </w:rPr>
        <w:t> </w:t>
      </w:r>
      <w:r>
        <w:rPr>
          <w:i/>
          <w:color w:val="231F20"/>
          <w:sz w:val="20"/>
        </w:rPr>
        <w:t>время.</w:t>
      </w:r>
      <w:r>
        <w:rPr>
          <w:i/>
          <w:color w:val="231F20"/>
          <w:spacing w:val="-2"/>
          <w:sz w:val="20"/>
        </w:rPr>
        <w:t> </w:t>
      </w:r>
      <w:r>
        <w:rPr>
          <w:i/>
          <w:color w:val="231F20"/>
          <w:sz w:val="20"/>
        </w:rPr>
        <w:t>И,</w:t>
      </w:r>
      <w:r>
        <w:rPr>
          <w:i/>
          <w:color w:val="231F20"/>
          <w:spacing w:val="-2"/>
          <w:sz w:val="20"/>
        </w:rPr>
        <w:t> </w:t>
      </w:r>
      <w:r>
        <w:rPr>
          <w:i/>
          <w:color w:val="231F20"/>
          <w:sz w:val="20"/>
        </w:rPr>
        <w:t>если</w:t>
      </w:r>
      <w:r>
        <w:rPr>
          <w:i/>
          <w:color w:val="231F20"/>
          <w:spacing w:val="-2"/>
          <w:sz w:val="20"/>
        </w:rPr>
        <w:t> </w:t>
      </w:r>
      <w:r>
        <w:rPr>
          <w:i/>
          <w:color w:val="231F20"/>
          <w:sz w:val="20"/>
        </w:rPr>
        <w:t>не</w:t>
      </w:r>
      <w:r>
        <w:rPr>
          <w:i/>
          <w:color w:val="231F20"/>
          <w:spacing w:val="-2"/>
          <w:sz w:val="20"/>
        </w:rPr>
        <w:t> </w:t>
      </w:r>
      <w:r>
        <w:rPr>
          <w:i/>
          <w:color w:val="231F20"/>
          <w:sz w:val="20"/>
        </w:rPr>
        <w:t>захочешь</w:t>
      </w:r>
      <w:r>
        <w:rPr>
          <w:i/>
          <w:color w:val="231F20"/>
          <w:spacing w:val="-2"/>
          <w:sz w:val="20"/>
        </w:rPr>
        <w:t> </w:t>
      </w:r>
      <w:r>
        <w:rPr>
          <w:i/>
          <w:color w:val="231F20"/>
          <w:sz w:val="20"/>
        </w:rPr>
        <w:t>и</w:t>
      </w:r>
      <w:r>
        <w:rPr>
          <w:i/>
          <w:color w:val="231F20"/>
          <w:spacing w:val="-2"/>
          <w:sz w:val="20"/>
        </w:rPr>
        <w:t> </w:t>
      </w:r>
      <w:r>
        <w:rPr>
          <w:i/>
          <w:color w:val="231F20"/>
          <w:sz w:val="20"/>
        </w:rPr>
        <w:t>не</w:t>
      </w:r>
      <w:r>
        <w:rPr>
          <w:i/>
          <w:color w:val="231F20"/>
          <w:spacing w:val="-2"/>
          <w:sz w:val="20"/>
        </w:rPr>
        <w:t> </w:t>
      </w:r>
      <w:r>
        <w:rPr>
          <w:i/>
          <w:color w:val="231F20"/>
          <w:sz w:val="20"/>
        </w:rPr>
        <w:t>сможешь сказать</w:t>
      </w:r>
      <w:r>
        <w:rPr>
          <w:i/>
          <w:color w:val="231F20"/>
          <w:spacing w:val="-7"/>
          <w:sz w:val="20"/>
        </w:rPr>
        <w:t> </w:t>
      </w:r>
      <w:r>
        <w:rPr>
          <w:i/>
          <w:color w:val="231F20"/>
          <w:sz w:val="20"/>
        </w:rPr>
        <w:t>сейчас,</w:t>
      </w:r>
      <w:r>
        <w:rPr>
          <w:i/>
          <w:color w:val="231F20"/>
          <w:spacing w:val="-7"/>
          <w:sz w:val="20"/>
        </w:rPr>
        <w:t> </w:t>
      </w:r>
      <w:r>
        <w:rPr>
          <w:i/>
          <w:color w:val="231F20"/>
          <w:sz w:val="20"/>
        </w:rPr>
        <w:t>то</w:t>
      </w:r>
      <w:r>
        <w:rPr>
          <w:i/>
          <w:color w:val="231F20"/>
          <w:spacing w:val="-7"/>
          <w:sz w:val="20"/>
        </w:rPr>
        <w:t> </w:t>
      </w:r>
      <w:r>
        <w:rPr>
          <w:i/>
          <w:color w:val="231F20"/>
          <w:sz w:val="20"/>
        </w:rPr>
        <w:t>скажешь</w:t>
      </w:r>
      <w:r>
        <w:rPr>
          <w:i/>
          <w:color w:val="231F20"/>
          <w:spacing w:val="-7"/>
          <w:sz w:val="20"/>
        </w:rPr>
        <w:t> </w:t>
      </w:r>
      <w:r>
        <w:rPr>
          <w:i/>
          <w:color w:val="231F20"/>
          <w:sz w:val="20"/>
        </w:rPr>
        <w:t>потом.</w:t>
      </w:r>
      <w:r>
        <w:rPr>
          <w:i/>
          <w:color w:val="231F20"/>
          <w:spacing w:val="-7"/>
          <w:sz w:val="20"/>
        </w:rPr>
        <w:t> </w:t>
      </w:r>
      <w:r>
        <w:rPr>
          <w:i/>
          <w:color w:val="231F20"/>
          <w:sz w:val="20"/>
        </w:rPr>
        <w:t>А</w:t>
      </w:r>
      <w:r>
        <w:rPr>
          <w:i/>
          <w:color w:val="231F20"/>
          <w:spacing w:val="-7"/>
          <w:sz w:val="20"/>
        </w:rPr>
        <w:t> </w:t>
      </w:r>
      <w:r>
        <w:rPr>
          <w:i/>
          <w:color w:val="231F20"/>
          <w:sz w:val="20"/>
        </w:rPr>
        <w:t>если</w:t>
      </w:r>
      <w:r>
        <w:rPr>
          <w:i/>
          <w:color w:val="231F20"/>
          <w:spacing w:val="-7"/>
          <w:sz w:val="20"/>
        </w:rPr>
        <w:t> </w:t>
      </w:r>
      <w:r>
        <w:rPr>
          <w:i/>
          <w:color w:val="231F20"/>
          <w:sz w:val="20"/>
        </w:rPr>
        <w:t>не</w:t>
      </w:r>
      <w:r>
        <w:rPr>
          <w:i/>
          <w:color w:val="231F20"/>
          <w:spacing w:val="-7"/>
          <w:sz w:val="20"/>
        </w:rPr>
        <w:t> </w:t>
      </w:r>
      <w:r>
        <w:rPr>
          <w:i/>
          <w:color w:val="231F20"/>
          <w:sz w:val="20"/>
        </w:rPr>
        <w:t>захочешь</w:t>
      </w:r>
      <w:r>
        <w:rPr>
          <w:i/>
          <w:color w:val="231F20"/>
          <w:spacing w:val="-7"/>
          <w:sz w:val="20"/>
        </w:rPr>
        <w:t> </w:t>
      </w:r>
      <w:r>
        <w:rPr>
          <w:i/>
          <w:color w:val="231F20"/>
          <w:sz w:val="20"/>
        </w:rPr>
        <w:t>сказать</w:t>
      </w:r>
      <w:r>
        <w:rPr>
          <w:i/>
          <w:color w:val="231F20"/>
          <w:spacing w:val="-7"/>
          <w:sz w:val="20"/>
        </w:rPr>
        <w:t> </w:t>
      </w:r>
      <w:r>
        <w:rPr>
          <w:i/>
          <w:color w:val="231F20"/>
          <w:sz w:val="20"/>
        </w:rPr>
        <w:t>вслух</w:t>
      </w:r>
      <w:r>
        <w:rPr>
          <w:i/>
          <w:color w:val="231F20"/>
          <w:spacing w:val="-7"/>
          <w:sz w:val="20"/>
        </w:rPr>
        <w:t> </w:t>
      </w:r>
      <w:r>
        <w:rPr>
          <w:i/>
          <w:color w:val="231F20"/>
          <w:sz w:val="20"/>
        </w:rPr>
        <w:t>–</w:t>
      </w:r>
      <w:r>
        <w:rPr>
          <w:i/>
          <w:color w:val="231F20"/>
          <w:spacing w:val="-7"/>
          <w:sz w:val="20"/>
        </w:rPr>
        <w:t> </w:t>
      </w:r>
      <w:r>
        <w:rPr>
          <w:i/>
          <w:color w:val="231F20"/>
          <w:sz w:val="20"/>
        </w:rPr>
        <w:t>главное</w:t>
      </w:r>
      <w:r>
        <w:rPr>
          <w:i/>
          <w:color w:val="231F20"/>
          <w:spacing w:val="-7"/>
          <w:sz w:val="20"/>
        </w:rPr>
        <w:t> </w:t>
      </w:r>
      <w:r>
        <w:rPr>
          <w:i/>
          <w:color w:val="231F20"/>
          <w:sz w:val="20"/>
        </w:rPr>
        <w:t>ска- зать «про себя».</w:t>
      </w:r>
    </w:p>
    <w:p>
      <w:pPr>
        <w:numPr>
          <w:ilvl w:val="0"/>
          <w:numId w:val="214"/>
        </w:numPr>
        <w:tabs>
          <w:tab w:pos="424" w:val="left" w:leader="none"/>
        </w:tabs>
        <w:spacing w:line="226" w:lineRule="exact" w:before="95"/>
        <w:ind w:left="424" w:right="0" w:hanging="283"/>
        <w:jc w:val="both"/>
        <w:rPr>
          <w:b/>
          <w:sz w:val="20"/>
        </w:rPr>
      </w:pPr>
      <w:r>
        <w:rPr>
          <w:b/>
          <w:color w:val="231F20"/>
          <w:sz w:val="20"/>
        </w:rPr>
        <w:t>Неприятие</w:t>
      </w:r>
      <w:r>
        <w:rPr>
          <w:b/>
          <w:color w:val="231F20"/>
          <w:spacing w:val="-4"/>
          <w:sz w:val="20"/>
        </w:rPr>
        <w:t> </w:t>
      </w:r>
      <w:r>
        <w:rPr>
          <w:b/>
          <w:color w:val="231F20"/>
          <w:sz w:val="20"/>
        </w:rPr>
        <w:t>«Я»</w:t>
      </w:r>
      <w:r>
        <w:rPr>
          <w:b/>
          <w:color w:val="231F20"/>
          <w:spacing w:val="-1"/>
          <w:sz w:val="20"/>
        </w:rPr>
        <w:t> </w:t>
      </w:r>
      <w:r>
        <w:rPr>
          <w:b/>
          <w:color w:val="231F20"/>
          <w:sz w:val="20"/>
        </w:rPr>
        <w:t>–</w:t>
      </w:r>
      <w:r>
        <w:rPr>
          <w:b/>
          <w:color w:val="231F20"/>
          <w:spacing w:val="-2"/>
          <w:sz w:val="20"/>
        </w:rPr>
        <w:t> </w:t>
      </w:r>
      <w:r>
        <w:rPr>
          <w:b/>
          <w:color w:val="231F20"/>
          <w:sz w:val="20"/>
        </w:rPr>
        <w:t>принятие</w:t>
      </w:r>
      <w:r>
        <w:rPr>
          <w:b/>
          <w:color w:val="231F20"/>
          <w:spacing w:val="-1"/>
          <w:sz w:val="20"/>
        </w:rPr>
        <w:t> </w:t>
      </w:r>
      <w:r>
        <w:rPr>
          <w:b/>
          <w:color w:val="231F20"/>
          <w:spacing w:val="-5"/>
          <w:sz w:val="20"/>
        </w:rPr>
        <w:t>«Я»</w:t>
      </w:r>
    </w:p>
    <w:p>
      <w:pPr>
        <w:pStyle w:val="BodyText"/>
        <w:spacing w:line="232" w:lineRule="auto" w:before="1"/>
      </w:pPr>
      <w:r>
        <w:rPr>
          <w:color w:val="231F20"/>
        </w:rPr>
        <w:t>Признаки</w:t>
      </w:r>
      <w:r>
        <w:rPr>
          <w:color w:val="231F20"/>
          <w:spacing w:val="-12"/>
        </w:rPr>
        <w:t> </w:t>
      </w:r>
      <w:r>
        <w:rPr>
          <w:color w:val="231F20"/>
        </w:rPr>
        <w:t>«неприятия</w:t>
      </w:r>
      <w:r>
        <w:rPr>
          <w:color w:val="231F20"/>
          <w:spacing w:val="-12"/>
        </w:rPr>
        <w:t> </w:t>
      </w:r>
      <w:r>
        <w:rPr>
          <w:color w:val="231F20"/>
        </w:rPr>
        <w:t>«Я»:</w:t>
      </w:r>
      <w:r>
        <w:rPr>
          <w:color w:val="231F20"/>
          <w:spacing w:val="-12"/>
        </w:rPr>
        <w:t> </w:t>
      </w:r>
      <w:r>
        <w:rPr>
          <w:color w:val="231F20"/>
        </w:rPr>
        <w:t>чувство</w:t>
      </w:r>
      <w:r>
        <w:rPr>
          <w:color w:val="231F20"/>
          <w:spacing w:val="-12"/>
        </w:rPr>
        <w:t> </w:t>
      </w:r>
      <w:r>
        <w:rPr>
          <w:color w:val="231F20"/>
        </w:rPr>
        <w:t>вины</w:t>
      </w:r>
      <w:r>
        <w:rPr>
          <w:color w:val="231F20"/>
          <w:spacing w:val="-12"/>
        </w:rPr>
        <w:t> </w:t>
      </w:r>
      <w:r>
        <w:rPr>
          <w:color w:val="231F20"/>
        </w:rPr>
        <w:t>у</w:t>
      </w:r>
      <w:r>
        <w:rPr>
          <w:color w:val="231F20"/>
          <w:spacing w:val="-12"/>
        </w:rPr>
        <w:t> </w:t>
      </w:r>
      <w:r>
        <w:rPr>
          <w:color w:val="231F20"/>
        </w:rPr>
        <w:t>героя</w:t>
      </w:r>
      <w:r>
        <w:rPr>
          <w:color w:val="231F20"/>
          <w:spacing w:val="-12"/>
        </w:rPr>
        <w:t> </w:t>
      </w:r>
      <w:r>
        <w:rPr>
          <w:color w:val="231F20"/>
        </w:rPr>
        <w:t>за</w:t>
      </w:r>
      <w:r>
        <w:rPr>
          <w:color w:val="231F20"/>
          <w:spacing w:val="-12"/>
        </w:rPr>
        <w:t> </w:t>
      </w:r>
      <w:r>
        <w:rPr>
          <w:color w:val="231F20"/>
        </w:rPr>
        <w:t>какие-либо</w:t>
      </w:r>
      <w:r>
        <w:rPr>
          <w:color w:val="231F20"/>
          <w:spacing w:val="-12"/>
        </w:rPr>
        <w:t> </w:t>
      </w:r>
      <w:r>
        <w:rPr>
          <w:color w:val="231F20"/>
        </w:rPr>
        <w:t>поступки</w:t>
      </w:r>
      <w:r>
        <w:rPr>
          <w:color w:val="231F20"/>
          <w:spacing w:val="-12"/>
        </w:rPr>
        <w:t> </w:t>
      </w:r>
      <w:r>
        <w:rPr>
          <w:color w:val="231F20"/>
        </w:rPr>
        <w:t>или</w:t>
      </w:r>
      <w:r>
        <w:rPr>
          <w:color w:val="231F20"/>
          <w:spacing w:val="-12"/>
        </w:rPr>
        <w:t> </w:t>
      </w:r>
      <w:r>
        <w:rPr>
          <w:color w:val="231F20"/>
        </w:rPr>
        <w:t>мыс- ли</w:t>
      </w:r>
      <w:r>
        <w:rPr>
          <w:color w:val="231F20"/>
          <w:spacing w:val="-13"/>
        </w:rPr>
        <w:t> </w:t>
      </w:r>
      <w:r>
        <w:rPr>
          <w:color w:val="231F20"/>
        </w:rPr>
        <w:t>(например</w:t>
      </w:r>
      <w:r>
        <w:rPr>
          <w:color w:val="231F20"/>
          <w:spacing w:val="-12"/>
        </w:rPr>
        <w:t> </w:t>
      </w:r>
      <w:r>
        <w:rPr>
          <w:color w:val="231F20"/>
        </w:rPr>
        <w:t>за</w:t>
      </w:r>
      <w:r>
        <w:rPr>
          <w:color w:val="231F20"/>
          <w:spacing w:val="-13"/>
        </w:rPr>
        <w:t> </w:t>
      </w:r>
      <w:r>
        <w:rPr>
          <w:color w:val="231F20"/>
        </w:rPr>
        <w:t>враждебность</w:t>
      </w:r>
      <w:r>
        <w:rPr>
          <w:color w:val="231F20"/>
          <w:spacing w:val="-12"/>
        </w:rPr>
        <w:t> </w:t>
      </w:r>
      <w:r>
        <w:rPr>
          <w:color w:val="231F20"/>
        </w:rPr>
        <w:t>по</w:t>
      </w:r>
      <w:r>
        <w:rPr>
          <w:color w:val="231F20"/>
          <w:spacing w:val="-13"/>
        </w:rPr>
        <w:t> </w:t>
      </w:r>
      <w:r>
        <w:rPr>
          <w:color w:val="231F20"/>
        </w:rPr>
        <w:t>отношению</w:t>
      </w:r>
      <w:r>
        <w:rPr>
          <w:color w:val="231F20"/>
          <w:spacing w:val="-12"/>
        </w:rPr>
        <w:t> </w:t>
      </w:r>
      <w:r>
        <w:rPr>
          <w:color w:val="231F20"/>
        </w:rPr>
        <w:t>к</w:t>
      </w:r>
      <w:r>
        <w:rPr>
          <w:color w:val="231F20"/>
          <w:spacing w:val="-13"/>
        </w:rPr>
        <w:t> </w:t>
      </w:r>
      <w:r>
        <w:rPr>
          <w:color w:val="231F20"/>
        </w:rPr>
        <w:t>родителям),</w:t>
      </w:r>
      <w:r>
        <w:rPr>
          <w:color w:val="231F20"/>
          <w:spacing w:val="-12"/>
        </w:rPr>
        <w:t> </w:t>
      </w:r>
      <w:r>
        <w:rPr>
          <w:color w:val="231F20"/>
        </w:rPr>
        <w:t>переживания</w:t>
      </w:r>
      <w:r>
        <w:rPr>
          <w:color w:val="231F20"/>
          <w:spacing w:val="-13"/>
        </w:rPr>
        <w:t> </w:t>
      </w:r>
      <w:r>
        <w:rPr>
          <w:color w:val="231F20"/>
        </w:rPr>
        <w:t>отвержения со</w:t>
      </w:r>
      <w:r>
        <w:rPr>
          <w:color w:val="231F20"/>
          <w:spacing w:val="-2"/>
        </w:rPr>
        <w:t> </w:t>
      </w:r>
      <w:r>
        <w:rPr>
          <w:color w:val="231F20"/>
        </w:rPr>
        <w:t>стороны</w:t>
      </w:r>
      <w:r>
        <w:rPr>
          <w:color w:val="231F20"/>
          <w:spacing w:val="-2"/>
        </w:rPr>
        <w:t> </w:t>
      </w:r>
      <w:r>
        <w:rPr>
          <w:color w:val="231F20"/>
        </w:rPr>
        <w:t>родителей</w:t>
      </w:r>
      <w:r>
        <w:rPr>
          <w:color w:val="231F20"/>
          <w:spacing w:val="-2"/>
        </w:rPr>
        <w:t> </w:t>
      </w:r>
      <w:r>
        <w:rPr>
          <w:color w:val="231F20"/>
        </w:rPr>
        <w:t>(страх</w:t>
      </w:r>
      <w:r>
        <w:rPr>
          <w:color w:val="231F20"/>
          <w:spacing w:val="-2"/>
        </w:rPr>
        <w:t> </w:t>
      </w:r>
      <w:r>
        <w:rPr>
          <w:color w:val="231F20"/>
        </w:rPr>
        <w:t>потери</w:t>
      </w:r>
      <w:r>
        <w:rPr>
          <w:color w:val="231F20"/>
          <w:spacing w:val="-2"/>
        </w:rPr>
        <w:t> </w:t>
      </w:r>
      <w:r>
        <w:rPr>
          <w:color w:val="231F20"/>
        </w:rPr>
        <w:t>объекта),</w:t>
      </w:r>
      <w:r>
        <w:rPr>
          <w:color w:val="231F20"/>
          <w:spacing w:val="-2"/>
        </w:rPr>
        <w:t> </w:t>
      </w:r>
      <w:r>
        <w:rPr>
          <w:color w:val="231F20"/>
        </w:rPr>
        <w:t>негативные</w:t>
      </w:r>
      <w:r>
        <w:rPr>
          <w:color w:val="231F20"/>
          <w:spacing w:val="-1"/>
        </w:rPr>
        <w:t> </w:t>
      </w:r>
      <w:r>
        <w:rPr>
          <w:color w:val="231F20"/>
        </w:rPr>
        <w:t>идентификации,</w:t>
      </w:r>
      <w:r>
        <w:rPr>
          <w:color w:val="231F20"/>
          <w:spacing w:val="-2"/>
        </w:rPr>
        <w:t> </w:t>
      </w:r>
      <w:r>
        <w:rPr>
          <w:color w:val="231F20"/>
        </w:rPr>
        <w:t>отторже- ние своих качеств или поведенческих характеристик.</w:t>
      </w:r>
    </w:p>
    <w:p>
      <w:pPr>
        <w:pStyle w:val="BodyText"/>
        <w:spacing w:line="232" w:lineRule="auto"/>
      </w:pPr>
      <w:r>
        <w:rPr>
          <w:color w:val="231F20"/>
        </w:rPr>
        <w:t>Признаки</w:t>
      </w:r>
      <w:r>
        <w:rPr>
          <w:color w:val="231F20"/>
          <w:spacing w:val="-8"/>
        </w:rPr>
        <w:t> </w:t>
      </w:r>
      <w:r>
        <w:rPr>
          <w:color w:val="231F20"/>
        </w:rPr>
        <w:t>«принятия</w:t>
      </w:r>
      <w:r>
        <w:rPr>
          <w:color w:val="231F20"/>
          <w:spacing w:val="-8"/>
        </w:rPr>
        <w:t> </w:t>
      </w:r>
      <w:r>
        <w:rPr>
          <w:color w:val="231F20"/>
        </w:rPr>
        <w:t>«Я»:</w:t>
      </w:r>
      <w:r>
        <w:rPr>
          <w:color w:val="231F20"/>
          <w:spacing w:val="-8"/>
        </w:rPr>
        <w:t> </w:t>
      </w:r>
      <w:r>
        <w:rPr>
          <w:color w:val="231F20"/>
        </w:rPr>
        <w:t>представление</w:t>
      </w:r>
      <w:r>
        <w:rPr>
          <w:color w:val="231F20"/>
          <w:spacing w:val="-8"/>
        </w:rPr>
        <w:t> </w:t>
      </w:r>
      <w:r>
        <w:rPr>
          <w:color w:val="231F20"/>
        </w:rPr>
        <w:t>о</w:t>
      </w:r>
      <w:r>
        <w:rPr>
          <w:color w:val="231F20"/>
          <w:spacing w:val="-8"/>
        </w:rPr>
        <w:t> </w:t>
      </w:r>
      <w:r>
        <w:rPr>
          <w:color w:val="231F20"/>
        </w:rPr>
        <w:t>«нормальности»</w:t>
      </w:r>
      <w:r>
        <w:rPr>
          <w:color w:val="231F20"/>
          <w:spacing w:val="-8"/>
        </w:rPr>
        <w:t> </w:t>
      </w:r>
      <w:r>
        <w:rPr>
          <w:color w:val="231F20"/>
        </w:rPr>
        <w:t>своих</w:t>
      </w:r>
      <w:r>
        <w:rPr>
          <w:color w:val="231F20"/>
          <w:spacing w:val="-8"/>
        </w:rPr>
        <w:t> </w:t>
      </w:r>
      <w:r>
        <w:rPr>
          <w:color w:val="231F20"/>
        </w:rPr>
        <w:t>действий,</w:t>
      </w:r>
      <w:r>
        <w:rPr>
          <w:color w:val="231F20"/>
          <w:spacing w:val="-8"/>
        </w:rPr>
        <w:t> </w:t>
      </w:r>
      <w:r>
        <w:rPr>
          <w:color w:val="231F20"/>
        </w:rPr>
        <w:t>мыс- лей и чувств, самостоятельный активный поиск либидного объекта.</w:t>
      </w:r>
    </w:p>
    <w:p>
      <w:pPr>
        <w:pStyle w:val="BodyText"/>
        <w:spacing w:line="232" w:lineRule="auto"/>
      </w:pPr>
      <w:r>
        <w:rPr>
          <w:color w:val="231F20"/>
        </w:rPr>
        <w:t>Главная</w:t>
      </w:r>
      <w:r>
        <w:rPr>
          <w:color w:val="231F20"/>
          <w:spacing w:val="-1"/>
        </w:rPr>
        <w:t> </w:t>
      </w:r>
      <w:r>
        <w:rPr>
          <w:color w:val="231F20"/>
        </w:rPr>
        <w:t>задача</w:t>
      </w:r>
      <w:r>
        <w:rPr>
          <w:color w:val="231F20"/>
          <w:spacing w:val="-1"/>
        </w:rPr>
        <w:t> </w:t>
      </w:r>
      <w:r>
        <w:rPr>
          <w:color w:val="231F20"/>
        </w:rPr>
        <w:t>психолога</w:t>
      </w:r>
      <w:r>
        <w:rPr>
          <w:color w:val="231F20"/>
          <w:spacing w:val="-1"/>
        </w:rPr>
        <w:t> </w:t>
      </w:r>
      <w:r>
        <w:rPr>
          <w:color w:val="231F20"/>
        </w:rPr>
        <w:t>–</w:t>
      </w:r>
      <w:r>
        <w:rPr>
          <w:color w:val="231F20"/>
          <w:spacing w:val="-1"/>
        </w:rPr>
        <w:t> </w:t>
      </w:r>
      <w:r>
        <w:rPr>
          <w:color w:val="231F20"/>
        </w:rPr>
        <w:t>донести</w:t>
      </w:r>
      <w:r>
        <w:rPr>
          <w:color w:val="231F20"/>
          <w:spacing w:val="-1"/>
        </w:rPr>
        <w:t> </w:t>
      </w:r>
      <w:r>
        <w:rPr>
          <w:color w:val="231F20"/>
        </w:rPr>
        <w:t>до</w:t>
      </w:r>
      <w:r>
        <w:rPr>
          <w:color w:val="231F20"/>
          <w:spacing w:val="-1"/>
        </w:rPr>
        <w:t> </w:t>
      </w:r>
      <w:r>
        <w:rPr>
          <w:color w:val="231F20"/>
        </w:rPr>
        <w:t>ребенка</w:t>
      </w:r>
      <w:r>
        <w:rPr>
          <w:color w:val="231F20"/>
          <w:spacing w:val="-1"/>
        </w:rPr>
        <w:t> </w:t>
      </w:r>
      <w:r>
        <w:rPr>
          <w:color w:val="231F20"/>
        </w:rPr>
        <w:t>возможность</w:t>
      </w:r>
      <w:r>
        <w:rPr>
          <w:color w:val="231F20"/>
          <w:spacing w:val="-1"/>
        </w:rPr>
        <w:t> </w:t>
      </w:r>
      <w:r>
        <w:rPr>
          <w:color w:val="231F20"/>
        </w:rPr>
        <w:t>принятия</w:t>
      </w:r>
      <w:r>
        <w:rPr>
          <w:color w:val="231F20"/>
          <w:spacing w:val="-1"/>
        </w:rPr>
        <w:t> </w:t>
      </w:r>
      <w:r>
        <w:rPr>
          <w:color w:val="231F20"/>
        </w:rPr>
        <w:t>собствен- ных отличий вне зависимости от внешней оценки.</w:t>
      </w:r>
    </w:p>
    <w:p>
      <w:pPr>
        <w:pStyle w:val="BodyText"/>
        <w:spacing w:line="232" w:lineRule="auto"/>
      </w:pPr>
      <w:r>
        <w:rPr>
          <w:color w:val="231F20"/>
        </w:rPr>
        <w:t>В</w:t>
      </w:r>
      <w:r>
        <w:rPr>
          <w:color w:val="231F20"/>
          <w:spacing w:val="-6"/>
        </w:rPr>
        <w:t> </w:t>
      </w:r>
      <w:r>
        <w:rPr>
          <w:color w:val="231F20"/>
        </w:rPr>
        <w:t>работе</w:t>
      </w:r>
      <w:r>
        <w:rPr>
          <w:color w:val="231F20"/>
          <w:spacing w:val="-6"/>
        </w:rPr>
        <w:t> </w:t>
      </w:r>
      <w:r>
        <w:rPr>
          <w:color w:val="231F20"/>
        </w:rPr>
        <w:t>с</w:t>
      </w:r>
      <w:r>
        <w:rPr>
          <w:color w:val="231F20"/>
          <w:spacing w:val="-6"/>
        </w:rPr>
        <w:t> </w:t>
      </w:r>
      <w:r>
        <w:rPr>
          <w:color w:val="231F20"/>
        </w:rPr>
        <w:t>«трудными</w:t>
      </w:r>
      <w:r>
        <w:rPr>
          <w:color w:val="231F20"/>
          <w:spacing w:val="-6"/>
        </w:rPr>
        <w:t> </w:t>
      </w:r>
      <w:r>
        <w:rPr>
          <w:color w:val="231F20"/>
        </w:rPr>
        <w:t>клиентами»</w:t>
      </w:r>
      <w:r>
        <w:rPr>
          <w:color w:val="231F20"/>
          <w:spacing w:val="-6"/>
        </w:rPr>
        <w:t> </w:t>
      </w:r>
      <w:r>
        <w:rPr>
          <w:color w:val="231F20"/>
        </w:rPr>
        <w:t>психолог</w:t>
      </w:r>
      <w:r>
        <w:rPr>
          <w:color w:val="231F20"/>
          <w:spacing w:val="-6"/>
        </w:rPr>
        <w:t> </w:t>
      </w:r>
      <w:r>
        <w:rPr>
          <w:color w:val="231F20"/>
        </w:rPr>
        <w:t>редко</w:t>
      </w:r>
      <w:r>
        <w:rPr>
          <w:color w:val="231F20"/>
          <w:spacing w:val="-5"/>
        </w:rPr>
        <w:t> </w:t>
      </w:r>
      <w:r>
        <w:rPr>
          <w:color w:val="231F20"/>
        </w:rPr>
        <w:t>сталкивается</w:t>
      </w:r>
      <w:r>
        <w:rPr>
          <w:color w:val="231F20"/>
          <w:spacing w:val="-6"/>
        </w:rPr>
        <w:t> </w:t>
      </w:r>
      <w:r>
        <w:rPr>
          <w:color w:val="231F20"/>
        </w:rPr>
        <w:t>с</w:t>
      </w:r>
      <w:r>
        <w:rPr>
          <w:color w:val="231F20"/>
          <w:spacing w:val="-6"/>
        </w:rPr>
        <w:t> </w:t>
      </w:r>
      <w:r>
        <w:rPr>
          <w:color w:val="231F20"/>
        </w:rPr>
        <w:t>тем,</w:t>
      </w:r>
      <w:r>
        <w:rPr>
          <w:color w:val="231F20"/>
          <w:spacing w:val="-6"/>
        </w:rPr>
        <w:t> </w:t>
      </w:r>
      <w:r>
        <w:rPr>
          <w:color w:val="231F20"/>
        </w:rPr>
        <w:t>что</w:t>
      </w:r>
      <w:r>
        <w:rPr>
          <w:color w:val="231F20"/>
          <w:spacing w:val="-5"/>
        </w:rPr>
        <w:t> </w:t>
      </w:r>
      <w:r>
        <w:rPr>
          <w:color w:val="231F20"/>
        </w:rPr>
        <w:t>данная позиция</w:t>
      </w:r>
      <w:r>
        <w:rPr>
          <w:color w:val="231F20"/>
          <w:spacing w:val="-2"/>
        </w:rPr>
        <w:t> </w:t>
      </w:r>
      <w:r>
        <w:rPr>
          <w:color w:val="231F20"/>
        </w:rPr>
        <w:t>является</w:t>
      </w:r>
      <w:r>
        <w:rPr>
          <w:color w:val="231F20"/>
          <w:spacing w:val="-2"/>
        </w:rPr>
        <w:t> </w:t>
      </w:r>
      <w:r>
        <w:rPr>
          <w:color w:val="231F20"/>
        </w:rPr>
        <w:t>центральной</w:t>
      </w:r>
      <w:r>
        <w:rPr>
          <w:color w:val="231F20"/>
          <w:spacing w:val="-2"/>
        </w:rPr>
        <w:t> </w:t>
      </w:r>
      <w:r>
        <w:rPr>
          <w:color w:val="231F20"/>
        </w:rPr>
        <w:t>темой</w:t>
      </w:r>
      <w:r>
        <w:rPr>
          <w:color w:val="231F20"/>
          <w:spacing w:val="-2"/>
        </w:rPr>
        <w:t> </w:t>
      </w:r>
      <w:r>
        <w:rPr>
          <w:color w:val="231F20"/>
        </w:rPr>
        <w:t>истории.</w:t>
      </w:r>
      <w:r>
        <w:rPr>
          <w:color w:val="231F20"/>
          <w:spacing w:val="-2"/>
        </w:rPr>
        <w:t> </w:t>
      </w:r>
      <w:r>
        <w:rPr>
          <w:color w:val="231F20"/>
        </w:rPr>
        <w:t>Обычно</w:t>
      </w:r>
      <w:r>
        <w:rPr>
          <w:color w:val="231F20"/>
          <w:spacing w:val="-2"/>
        </w:rPr>
        <w:t> </w:t>
      </w:r>
      <w:r>
        <w:rPr>
          <w:color w:val="231F20"/>
        </w:rPr>
        <w:t>за</w:t>
      </w:r>
      <w:r>
        <w:rPr>
          <w:color w:val="231F20"/>
          <w:spacing w:val="-2"/>
        </w:rPr>
        <w:t> </w:t>
      </w:r>
      <w:r>
        <w:rPr>
          <w:color w:val="231F20"/>
        </w:rPr>
        <w:t>«непринятием</w:t>
      </w:r>
      <w:r>
        <w:rPr>
          <w:color w:val="231F20"/>
          <w:spacing w:val="-2"/>
        </w:rPr>
        <w:t> </w:t>
      </w:r>
      <w:r>
        <w:rPr>
          <w:color w:val="231F20"/>
        </w:rPr>
        <w:t>себя»</w:t>
      </w:r>
      <w:r>
        <w:rPr>
          <w:color w:val="231F20"/>
          <w:spacing w:val="-2"/>
        </w:rPr>
        <w:t> </w:t>
      </w:r>
      <w:r>
        <w:rPr>
          <w:color w:val="231F20"/>
        </w:rPr>
        <w:t>стоит более актуальная для ребенка проблема – тревога, фантазия «неуязвимости» и пр. Однако</w:t>
      </w:r>
      <w:r>
        <w:rPr>
          <w:color w:val="231F20"/>
          <w:spacing w:val="-10"/>
        </w:rPr>
        <w:t> </w:t>
      </w:r>
      <w:r>
        <w:rPr>
          <w:color w:val="231F20"/>
        </w:rPr>
        <w:t>иногда,</w:t>
      </w:r>
      <w:r>
        <w:rPr>
          <w:color w:val="231F20"/>
          <w:spacing w:val="-10"/>
        </w:rPr>
        <w:t> </w:t>
      </w:r>
      <w:r>
        <w:rPr>
          <w:color w:val="231F20"/>
        </w:rPr>
        <w:t>в</w:t>
      </w:r>
      <w:r>
        <w:rPr>
          <w:color w:val="231F20"/>
          <w:spacing w:val="-10"/>
        </w:rPr>
        <w:t> </w:t>
      </w:r>
      <w:r>
        <w:rPr>
          <w:color w:val="231F20"/>
        </w:rPr>
        <w:t>частности</w:t>
      </w:r>
      <w:r>
        <w:rPr>
          <w:color w:val="231F20"/>
          <w:spacing w:val="-10"/>
        </w:rPr>
        <w:t> </w:t>
      </w:r>
      <w:r>
        <w:rPr>
          <w:color w:val="231F20"/>
        </w:rPr>
        <w:t>при</w:t>
      </w:r>
      <w:r>
        <w:rPr>
          <w:color w:val="231F20"/>
          <w:spacing w:val="-10"/>
        </w:rPr>
        <w:t> </w:t>
      </w:r>
      <w:r>
        <w:rPr>
          <w:color w:val="231F20"/>
        </w:rPr>
        <w:t>работе</w:t>
      </w:r>
      <w:r>
        <w:rPr>
          <w:color w:val="231F20"/>
          <w:spacing w:val="-10"/>
        </w:rPr>
        <w:t> </w:t>
      </w:r>
      <w:r>
        <w:rPr>
          <w:color w:val="231F20"/>
        </w:rPr>
        <w:t>с</w:t>
      </w:r>
      <w:r>
        <w:rPr>
          <w:color w:val="231F20"/>
          <w:spacing w:val="-10"/>
        </w:rPr>
        <w:t> </w:t>
      </w:r>
      <w:r>
        <w:rPr>
          <w:color w:val="231F20"/>
        </w:rPr>
        <w:t>детьми-сиротами,</w:t>
      </w:r>
      <w:r>
        <w:rPr>
          <w:color w:val="231F20"/>
          <w:spacing w:val="-10"/>
        </w:rPr>
        <w:t> </w:t>
      </w:r>
      <w:r>
        <w:rPr>
          <w:color w:val="231F20"/>
        </w:rPr>
        <w:t>«непринятие</w:t>
      </w:r>
      <w:r>
        <w:rPr>
          <w:color w:val="231F20"/>
          <w:spacing w:val="-10"/>
        </w:rPr>
        <w:t> </w:t>
      </w:r>
      <w:r>
        <w:rPr>
          <w:color w:val="231F20"/>
        </w:rPr>
        <w:t>себя»</w:t>
      </w:r>
      <w:r>
        <w:rPr>
          <w:color w:val="231F20"/>
          <w:spacing w:val="-10"/>
        </w:rPr>
        <w:t> </w:t>
      </w:r>
      <w:r>
        <w:rPr>
          <w:color w:val="231F20"/>
        </w:rPr>
        <w:t>может являться ведущей позицией в истории.</w:t>
      </w:r>
    </w:p>
    <w:p>
      <w:pPr>
        <w:pStyle w:val="BodyText"/>
        <w:spacing w:line="232" w:lineRule="auto" w:before="4"/>
      </w:pPr>
      <w:r>
        <w:rPr>
          <w:color w:val="231F20"/>
        </w:rPr>
        <w:t>В остальных случаях «непринятие себя» выступает как причина и/или симптом социальных трудностей ребенка, зачастую толкая его на неадекватные ситуации по- ступки.</w:t>
      </w:r>
      <w:r>
        <w:rPr>
          <w:color w:val="231F20"/>
          <w:spacing w:val="-13"/>
        </w:rPr>
        <w:t> </w:t>
      </w:r>
      <w:r>
        <w:rPr>
          <w:color w:val="231F20"/>
        </w:rPr>
        <w:t>В</w:t>
      </w:r>
      <w:r>
        <w:rPr>
          <w:color w:val="231F20"/>
          <w:spacing w:val="-12"/>
        </w:rPr>
        <w:t> </w:t>
      </w:r>
      <w:r>
        <w:rPr>
          <w:color w:val="231F20"/>
        </w:rPr>
        <w:t>этом</w:t>
      </w:r>
      <w:r>
        <w:rPr>
          <w:color w:val="231F20"/>
          <w:spacing w:val="-13"/>
        </w:rPr>
        <w:t> </w:t>
      </w:r>
      <w:r>
        <w:rPr>
          <w:color w:val="231F20"/>
        </w:rPr>
        <w:t>случае,</w:t>
      </w:r>
      <w:r>
        <w:rPr>
          <w:color w:val="231F20"/>
          <w:spacing w:val="-12"/>
        </w:rPr>
        <w:t> </w:t>
      </w:r>
      <w:r>
        <w:rPr>
          <w:color w:val="231F20"/>
        </w:rPr>
        <w:t>замечая</w:t>
      </w:r>
      <w:r>
        <w:rPr>
          <w:color w:val="231F20"/>
          <w:spacing w:val="-13"/>
        </w:rPr>
        <w:t> </w:t>
      </w:r>
      <w:r>
        <w:rPr>
          <w:color w:val="231F20"/>
        </w:rPr>
        <w:t>негативное</w:t>
      </w:r>
      <w:r>
        <w:rPr>
          <w:color w:val="231F20"/>
          <w:spacing w:val="-12"/>
        </w:rPr>
        <w:t> </w:t>
      </w:r>
      <w:r>
        <w:rPr>
          <w:color w:val="231F20"/>
        </w:rPr>
        <w:t>отношение</w:t>
      </w:r>
      <w:r>
        <w:rPr>
          <w:color w:val="231F20"/>
          <w:spacing w:val="-13"/>
        </w:rPr>
        <w:t> </w:t>
      </w:r>
      <w:r>
        <w:rPr>
          <w:color w:val="231F20"/>
        </w:rPr>
        <w:t>ребенка</w:t>
      </w:r>
      <w:r>
        <w:rPr>
          <w:color w:val="231F20"/>
          <w:spacing w:val="-12"/>
        </w:rPr>
        <w:t> </w:t>
      </w:r>
      <w:r>
        <w:rPr>
          <w:color w:val="231F20"/>
        </w:rPr>
        <w:t>к</w:t>
      </w:r>
      <w:r>
        <w:rPr>
          <w:color w:val="231F20"/>
          <w:spacing w:val="-13"/>
        </w:rPr>
        <w:t> </w:t>
      </w:r>
      <w:r>
        <w:rPr>
          <w:color w:val="231F20"/>
        </w:rPr>
        <w:t>самому</w:t>
      </w:r>
      <w:r>
        <w:rPr>
          <w:color w:val="231F20"/>
          <w:spacing w:val="-12"/>
        </w:rPr>
        <w:t> </w:t>
      </w:r>
      <w:r>
        <w:rPr>
          <w:color w:val="231F20"/>
        </w:rPr>
        <w:t>себе,</w:t>
      </w:r>
      <w:r>
        <w:rPr>
          <w:color w:val="231F20"/>
          <w:spacing w:val="-13"/>
        </w:rPr>
        <w:t> </w:t>
      </w:r>
      <w:r>
        <w:rPr>
          <w:color w:val="231F20"/>
        </w:rPr>
        <w:t>в</w:t>
      </w:r>
      <w:r>
        <w:rPr>
          <w:color w:val="231F20"/>
          <w:spacing w:val="-12"/>
        </w:rPr>
        <w:t> </w:t>
      </w:r>
      <w:r>
        <w:rPr>
          <w:color w:val="231F20"/>
        </w:rPr>
        <w:t>ответ- ной</w:t>
      </w:r>
      <w:r>
        <w:rPr>
          <w:color w:val="231F20"/>
          <w:spacing w:val="-10"/>
        </w:rPr>
        <w:t> </w:t>
      </w:r>
      <w:r>
        <w:rPr>
          <w:color w:val="231F20"/>
        </w:rPr>
        <w:t>истории</w:t>
      </w:r>
      <w:r>
        <w:rPr>
          <w:color w:val="231F20"/>
          <w:spacing w:val="-10"/>
        </w:rPr>
        <w:t> </w:t>
      </w:r>
      <w:r>
        <w:rPr>
          <w:color w:val="231F20"/>
        </w:rPr>
        <w:t>мы</w:t>
      </w:r>
      <w:r>
        <w:rPr>
          <w:color w:val="231F20"/>
          <w:spacing w:val="-10"/>
        </w:rPr>
        <w:t> </w:t>
      </w:r>
      <w:r>
        <w:rPr>
          <w:color w:val="231F20"/>
        </w:rPr>
        <w:t>проговариваем</w:t>
      </w:r>
      <w:r>
        <w:rPr>
          <w:color w:val="231F20"/>
          <w:spacing w:val="-10"/>
        </w:rPr>
        <w:t> </w:t>
      </w:r>
      <w:r>
        <w:rPr>
          <w:color w:val="231F20"/>
        </w:rPr>
        <w:t>это</w:t>
      </w:r>
      <w:r>
        <w:rPr>
          <w:color w:val="231F20"/>
          <w:spacing w:val="-10"/>
        </w:rPr>
        <w:t> </w:t>
      </w:r>
      <w:r>
        <w:rPr>
          <w:color w:val="231F20"/>
        </w:rPr>
        <w:t>отношение</w:t>
      </w:r>
      <w:r>
        <w:rPr>
          <w:color w:val="231F20"/>
          <w:spacing w:val="-10"/>
        </w:rPr>
        <w:t> </w:t>
      </w:r>
      <w:r>
        <w:rPr>
          <w:color w:val="231F20"/>
        </w:rPr>
        <w:t>(обычно</w:t>
      </w:r>
      <w:r>
        <w:rPr>
          <w:color w:val="231F20"/>
          <w:spacing w:val="-10"/>
        </w:rPr>
        <w:t> </w:t>
      </w:r>
      <w:r>
        <w:rPr>
          <w:color w:val="231F20"/>
        </w:rPr>
        <w:t>через</w:t>
      </w:r>
      <w:r>
        <w:rPr>
          <w:color w:val="231F20"/>
          <w:spacing w:val="-10"/>
        </w:rPr>
        <w:t> </w:t>
      </w:r>
      <w:r>
        <w:rPr>
          <w:color w:val="231F20"/>
        </w:rPr>
        <w:t>размышления</w:t>
      </w:r>
      <w:r>
        <w:rPr>
          <w:color w:val="231F20"/>
          <w:spacing w:val="-10"/>
        </w:rPr>
        <w:t> </w:t>
      </w:r>
      <w:r>
        <w:rPr>
          <w:color w:val="231F20"/>
        </w:rPr>
        <w:t>главного героя),</w:t>
      </w:r>
      <w:r>
        <w:rPr>
          <w:color w:val="231F20"/>
          <w:spacing w:val="-13"/>
        </w:rPr>
        <w:t> </w:t>
      </w:r>
      <w:r>
        <w:rPr>
          <w:color w:val="231F20"/>
        </w:rPr>
        <w:t>а</w:t>
      </w:r>
      <w:r>
        <w:rPr>
          <w:color w:val="231F20"/>
          <w:spacing w:val="-12"/>
        </w:rPr>
        <w:t> </w:t>
      </w:r>
      <w:r>
        <w:rPr>
          <w:color w:val="231F20"/>
        </w:rPr>
        <w:t>затем</w:t>
      </w:r>
      <w:r>
        <w:rPr>
          <w:color w:val="231F20"/>
          <w:spacing w:val="-13"/>
        </w:rPr>
        <w:t> </w:t>
      </w:r>
      <w:r>
        <w:rPr>
          <w:color w:val="231F20"/>
        </w:rPr>
        <w:t>даем</w:t>
      </w:r>
      <w:r>
        <w:rPr>
          <w:color w:val="231F20"/>
          <w:spacing w:val="-12"/>
        </w:rPr>
        <w:t> </w:t>
      </w:r>
      <w:r>
        <w:rPr>
          <w:color w:val="231F20"/>
        </w:rPr>
        <w:t>как</w:t>
      </w:r>
      <w:r>
        <w:rPr>
          <w:color w:val="231F20"/>
          <w:spacing w:val="-13"/>
        </w:rPr>
        <w:t> </w:t>
      </w:r>
      <w:r>
        <w:rPr>
          <w:color w:val="231F20"/>
        </w:rPr>
        <w:t>можно</w:t>
      </w:r>
      <w:r>
        <w:rPr>
          <w:color w:val="231F20"/>
          <w:spacing w:val="-12"/>
        </w:rPr>
        <w:t> </w:t>
      </w:r>
      <w:r>
        <w:rPr>
          <w:color w:val="231F20"/>
        </w:rPr>
        <w:t>более</w:t>
      </w:r>
      <w:r>
        <w:rPr>
          <w:color w:val="231F20"/>
          <w:spacing w:val="-13"/>
        </w:rPr>
        <w:t> </w:t>
      </w:r>
      <w:r>
        <w:rPr>
          <w:color w:val="231F20"/>
        </w:rPr>
        <w:t>четкую</w:t>
      </w:r>
      <w:r>
        <w:rPr>
          <w:color w:val="231F20"/>
          <w:spacing w:val="-12"/>
        </w:rPr>
        <w:t> </w:t>
      </w:r>
      <w:r>
        <w:rPr>
          <w:color w:val="231F20"/>
        </w:rPr>
        <w:t>инструкцию,</w:t>
      </w:r>
      <w:r>
        <w:rPr>
          <w:color w:val="231F20"/>
          <w:spacing w:val="-13"/>
        </w:rPr>
        <w:t> </w:t>
      </w:r>
      <w:r>
        <w:rPr>
          <w:color w:val="231F20"/>
        </w:rPr>
        <w:t>что</w:t>
      </w:r>
      <w:r>
        <w:rPr>
          <w:color w:val="231F20"/>
          <w:spacing w:val="-12"/>
        </w:rPr>
        <w:t> </w:t>
      </w:r>
      <w:r>
        <w:rPr>
          <w:color w:val="231F20"/>
        </w:rPr>
        <w:t>реально</w:t>
      </w:r>
      <w:r>
        <w:rPr>
          <w:color w:val="231F20"/>
          <w:spacing w:val="-13"/>
        </w:rPr>
        <w:t> </w:t>
      </w:r>
      <w:r>
        <w:rPr>
          <w:color w:val="231F20"/>
        </w:rPr>
        <w:t>ребенок</w:t>
      </w:r>
      <w:r>
        <w:rPr>
          <w:color w:val="231F20"/>
          <w:spacing w:val="-12"/>
        </w:rPr>
        <w:t> </w:t>
      </w:r>
      <w:r>
        <w:rPr>
          <w:color w:val="231F20"/>
        </w:rPr>
        <w:t>может сделать, чтобы улучшить отношение к себе. Приведем пример такой работы с маль- чиком</w:t>
      </w:r>
      <w:r>
        <w:rPr>
          <w:color w:val="231F20"/>
          <w:spacing w:val="-5"/>
        </w:rPr>
        <w:t> </w:t>
      </w:r>
      <w:r>
        <w:rPr>
          <w:color w:val="231F20"/>
        </w:rPr>
        <w:t>из</w:t>
      </w:r>
      <w:r>
        <w:rPr>
          <w:color w:val="231F20"/>
          <w:spacing w:val="-5"/>
        </w:rPr>
        <w:t> </w:t>
      </w:r>
      <w:r>
        <w:rPr>
          <w:color w:val="231F20"/>
        </w:rPr>
        <w:t>Афганистана</w:t>
      </w:r>
      <w:r>
        <w:rPr>
          <w:color w:val="231F20"/>
          <w:spacing w:val="-5"/>
        </w:rPr>
        <w:t> </w:t>
      </w:r>
      <w:r>
        <w:rPr>
          <w:color w:val="231F20"/>
        </w:rPr>
        <w:t>13</w:t>
      </w:r>
      <w:r>
        <w:rPr>
          <w:color w:val="231F20"/>
          <w:spacing w:val="-5"/>
        </w:rPr>
        <w:t> </w:t>
      </w:r>
      <w:r>
        <w:rPr>
          <w:color w:val="231F20"/>
        </w:rPr>
        <w:t>лет,</w:t>
      </w:r>
      <w:r>
        <w:rPr>
          <w:color w:val="231F20"/>
          <w:spacing w:val="-5"/>
        </w:rPr>
        <w:t> </w:t>
      </w:r>
      <w:r>
        <w:rPr>
          <w:color w:val="231F20"/>
        </w:rPr>
        <w:t>отличающимся</w:t>
      </w:r>
      <w:r>
        <w:rPr>
          <w:color w:val="231F20"/>
          <w:spacing w:val="-5"/>
        </w:rPr>
        <w:t> </w:t>
      </w:r>
      <w:r>
        <w:rPr>
          <w:color w:val="231F20"/>
        </w:rPr>
        <w:t>сложностями</w:t>
      </w:r>
      <w:r>
        <w:rPr>
          <w:color w:val="231F20"/>
          <w:spacing w:val="-5"/>
        </w:rPr>
        <w:t> </w:t>
      </w:r>
      <w:r>
        <w:rPr>
          <w:color w:val="231F20"/>
        </w:rPr>
        <w:t>в</w:t>
      </w:r>
      <w:r>
        <w:rPr>
          <w:color w:val="231F20"/>
          <w:spacing w:val="-5"/>
        </w:rPr>
        <w:t> </w:t>
      </w:r>
      <w:r>
        <w:rPr>
          <w:color w:val="231F20"/>
        </w:rPr>
        <w:t>социальных</w:t>
      </w:r>
      <w:r>
        <w:rPr>
          <w:color w:val="231F20"/>
          <w:spacing w:val="-5"/>
        </w:rPr>
        <w:t> </w:t>
      </w:r>
      <w:r>
        <w:rPr>
          <w:color w:val="231F20"/>
        </w:rPr>
        <w:t>контактах, повышенной рефлексивностью и трудностями самоидентичности.</w:t>
      </w:r>
    </w:p>
    <w:p>
      <w:pPr>
        <w:spacing w:line="227" w:lineRule="exact" w:before="115"/>
        <w:ind w:left="425" w:right="0" w:firstLine="0"/>
        <w:jc w:val="both"/>
        <w:rPr>
          <w:i/>
          <w:sz w:val="20"/>
        </w:rPr>
      </w:pPr>
      <w:r>
        <w:rPr>
          <w:i/>
          <w:color w:val="231F20"/>
          <w:sz w:val="20"/>
        </w:rPr>
        <w:t>Мама</w:t>
      </w:r>
      <w:r>
        <w:rPr>
          <w:i/>
          <w:color w:val="231F20"/>
          <w:spacing w:val="4"/>
          <w:sz w:val="20"/>
        </w:rPr>
        <w:t> </w:t>
      </w:r>
      <w:r>
        <w:rPr>
          <w:i/>
          <w:color w:val="231F20"/>
          <w:sz w:val="20"/>
        </w:rPr>
        <w:t>купила</w:t>
      </w:r>
      <w:r>
        <w:rPr>
          <w:i/>
          <w:color w:val="231F20"/>
          <w:spacing w:val="4"/>
          <w:sz w:val="20"/>
        </w:rPr>
        <w:t> </w:t>
      </w:r>
      <w:r>
        <w:rPr>
          <w:i/>
          <w:color w:val="231F20"/>
          <w:sz w:val="20"/>
        </w:rPr>
        <w:t>сливы</w:t>
      </w:r>
      <w:r>
        <w:rPr>
          <w:i/>
          <w:color w:val="231F20"/>
          <w:spacing w:val="5"/>
          <w:sz w:val="20"/>
        </w:rPr>
        <w:t> </w:t>
      </w:r>
      <w:r>
        <w:rPr>
          <w:i/>
          <w:color w:val="231F20"/>
          <w:sz w:val="20"/>
        </w:rPr>
        <w:t>и</w:t>
      </w:r>
      <w:r>
        <w:rPr>
          <w:i/>
          <w:color w:val="231F20"/>
          <w:spacing w:val="4"/>
          <w:sz w:val="20"/>
        </w:rPr>
        <w:t> </w:t>
      </w:r>
      <w:r>
        <w:rPr>
          <w:i/>
          <w:color w:val="231F20"/>
          <w:sz w:val="20"/>
        </w:rPr>
        <w:t>принесла</w:t>
      </w:r>
      <w:r>
        <w:rPr>
          <w:i/>
          <w:color w:val="231F20"/>
          <w:spacing w:val="5"/>
          <w:sz w:val="20"/>
        </w:rPr>
        <w:t> </w:t>
      </w:r>
      <w:r>
        <w:rPr>
          <w:i/>
          <w:color w:val="231F20"/>
          <w:sz w:val="20"/>
        </w:rPr>
        <w:t>их</w:t>
      </w:r>
      <w:r>
        <w:rPr>
          <w:i/>
          <w:color w:val="231F20"/>
          <w:spacing w:val="4"/>
          <w:sz w:val="20"/>
        </w:rPr>
        <w:t> </w:t>
      </w:r>
      <w:r>
        <w:rPr>
          <w:i/>
          <w:color w:val="231F20"/>
          <w:sz w:val="20"/>
        </w:rPr>
        <w:t>домой.</w:t>
      </w:r>
      <w:r>
        <w:rPr>
          <w:i/>
          <w:color w:val="231F20"/>
          <w:spacing w:val="4"/>
          <w:sz w:val="20"/>
        </w:rPr>
        <w:t> </w:t>
      </w:r>
      <w:r>
        <w:rPr>
          <w:i/>
          <w:color w:val="231F20"/>
          <w:sz w:val="20"/>
        </w:rPr>
        <w:t>Она</w:t>
      </w:r>
      <w:r>
        <w:rPr>
          <w:i/>
          <w:color w:val="231F20"/>
          <w:spacing w:val="5"/>
          <w:sz w:val="20"/>
        </w:rPr>
        <w:t> </w:t>
      </w:r>
      <w:r>
        <w:rPr>
          <w:i/>
          <w:color w:val="231F20"/>
          <w:sz w:val="20"/>
        </w:rPr>
        <w:t>пригласила</w:t>
      </w:r>
      <w:r>
        <w:rPr>
          <w:i/>
          <w:color w:val="231F20"/>
          <w:spacing w:val="4"/>
          <w:sz w:val="20"/>
        </w:rPr>
        <w:t> </w:t>
      </w:r>
      <w:r>
        <w:rPr>
          <w:i/>
          <w:color w:val="231F20"/>
          <w:sz w:val="20"/>
        </w:rPr>
        <w:t>гостей</w:t>
      </w:r>
      <w:r>
        <w:rPr>
          <w:i/>
          <w:color w:val="231F20"/>
          <w:spacing w:val="5"/>
          <w:sz w:val="20"/>
        </w:rPr>
        <w:t> </w:t>
      </w:r>
      <w:r>
        <w:rPr>
          <w:i/>
          <w:color w:val="231F20"/>
          <w:sz w:val="20"/>
        </w:rPr>
        <w:t>и</w:t>
      </w:r>
      <w:r>
        <w:rPr>
          <w:i/>
          <w:color w:val="231F20"/>
          <w:spacing w:val="4"/>
          <w:sz w:val="20"/>
        </w:rPr>
        <w:t> </w:t>
      </w:r>
      <w:r>
        <w:rPr>
          <w:i/>
          <w:color w:val="231F20"/>
          <w:sz w:val="20"/>
        </w:rPr>
        <w:t>сказала</w:t>
      </w:r>
      <w:r>
        <w:rPr>
          <w:i/>
          <w:color w:val="231F20"/>
          <w:spacing w:val="5"/>
          <w:sz w:val="20"/>
        </w:rPr>
        <w:t> </w:t>
      </w:r>
      <w:r>
        <w:rPr>
          <w:i/>
          <w:color w:val="231F20"/>
          <w:spacing w:val="-2"/>
          <w:sz w:val="20"/>
        </w:rPr>
        <w:t>сыну:</w:t>
      </w:r>
    </w:p>
    <w:p>
      <w:pPr>
        <w:spacing w:line="232" w:lineRule="auto" w:before="3"/>
        <w:ind w:left="141" w:right="139" w:firstLine="0"/>
        <w:jc w:val="both"/>
        <w:rPr>
          <w:i/>
          <w:sz w:val="20"/>
        </w:rPr>
      </w:pPr>
      <w:r>
        <w:rPr>
          <w:i/>
          <w:color w:val="231F20"/>
          <w:sz w:val="20"/>
        </w:rPr>
        <w:t>«Положи десять штук в каждую тарелку». Мальчик посмотрел маме в глаза: «Ну ладно, помогу».</w:t>
      </w:r>
    </w:p>
    <w:p>
      <w:pPr>
        <w:spacing w:line="232" w:lineRule="auto" w:before="0"/>
        <w:ind w:left="141" w:right="139" w:firstLine="283"/>
        <w:jc w:val="both"/>
        <w:rPr>
          <w:i/>
          <w:sz w:val="20"/>
        </w:rPr>
      </w:pPr>
      <w:r>
        <w:rPr>
          <w:i/>
          <w:color w:val="231F20"/>
          <w:sz w:val="20"/>
        </w:rPr>
        <w:t>Тарелок</w:t>
      </w:r>
      <w:r>
        <w:rPr>
          <w:i/>
          <w:color w:val="231F20"/>
          <w:spacing w:val="-9"/>
          <w:sz w:val="20"/>
        </w:rPr>
        <w:t> </w:t>
      </w:r>
      <w:r>
        <w:rPr>
          <w:i/>
          <w:color w:val="231F20"/>
          <w:sz w:val="20"/>
        </w:rPr>
        <w:t>было</w:t>
      </w:r>
      <w:r>
        <w:rPr>
          <w:i/>
          <w:color w:val="231F20"/>
          <w:spacing w:val="-9"/>
          <w:sz w:val="20"/>
        </w:rPr>
        <w:t> </w:t>
      </w:r>
      <w:r>
        <w:rPr>
          <w:i/>
          <w:color w:val="231F20"/>
          <w:sz w:val="20"/>
        </w:rPr>
        <w:t>мало.</w:t>
      </w:r>
      <w:r>
        <w:rPr>
          <w:i/>
          <w:color w:val="231F20"/>
          <w:spacing w:val="-9"/>
          <w:sz w:val="20"/>
        </w:rPr>
        <w:t> </w:t>
      </w:r>
      <w:r>
        <w:rPr>
          <w:i/>
          <w:color w:val="231F20"/>
          <w:sz w:val="20"/>
        </w:rPr>
        <w:t>Мальчик</w:t>
      </w:r>
      <w:r>
        <w:rPr>
          <w:i/>
          <w:color w:val="231F20"/>
          <w:spacing w:val="-9"/>
          <w:sz w:val="20"/>
        </w:rPr>
        <w:t> </w:t>
      </w:r>
      <w:r>
        <w:rPr>
          <w:i/>
          <w:color w:val="231F20"/>
          <w:sz w:val="20"/>
        </w:rPr>
        <w:t>подумал:</w:t>
      </w:r>
      <w:r>
        <w:rPr>
          <w:i/>
          <w:color w:val="231F20"/>
          <w:spacing w:val="-9"/>
          <w:sz w:val="20"/>
        </w:rPr>
        <w:t> </w:t>
      </w:r>
      <w:r>
        <w:rPr>
          <w:i/>
          <w:color w:val="231F20"/>
          <w:sz w:val="20"/>
        </w:rPr>
        <w:t>«Надо</w:t>
      </w:r>
      <w:r>
        <w:rPr>
          <w:i/>
          <w:color w:val="231F20"/>
          <w:spacing w:val="-9"/>
          <w:sz w:val="20"/>
        </w:rPr>
        <w:t> </w:t>
      </w:r>
      <w:r>
        <w:rPr>
          <w:i/>
          <w:color w:val="231F20"/>
          <w:sz w:val="20"/>
        </w:rPr>
        <w:t>что-нибудь</w:t>
      </w:r>
      <w:r>
        <w:rPr>
          <w:i/>
          <w:color w:val="231F20"/>
          <w:spacing w:val="-9"/>
          <w:sz w:val="20"/>
        </w:rPr>
        <w:t> </w:t>
      </w:r>
      <w:r>
        <w:rPr>
          <w:i/>
          <w:color w:val="231F20"/>
          <w:sz w:val="20"/>
        </w:rPr>
        <w:t>стырить»,</w:t>
      </w:r>
      <w:r>
        <w:rPr>
          <w:i/>
          <w:color w:val="231F20"/>
          <w:spacing w:val="-9"/>
          <w:sz w:val="20"/>
        </w:rPr>
        <w:t> </w:t>
      </w:r>
      <w:r>
        <w:rPr>
          <w:i/>
          <w:color w:val="231F20"/>
          <w:sz w:val="20"/>
        </w:rPr>
        <w:t>и</w:t>
      </w:r>
      <w:r>
        <w:rPr>
          <w:i/>
          <w:color w:val="231F20"/>
          <w:spacing w:val="-9"/>
          <w:sz w:val="20"/>
        </w:rPr>
        <w:t> </w:t>
      </w:r>
      <w:r>
        <w:rPr>
          <w:i/>
          <w:color w:val="231F20"/>
          <w:sz w:val="20"/>
        </w:rPr>
        <w:t>решил</w:t>
      </w:r>
      <w:r>
        <w:rPr>
          <w:i/>
          <w:color w:val="231F20"/>
          <w:spacing w:val="-9"/>
          <w:sz w:val="20"/>
        </w:rPr>
        <w:t> </w:t>
      </w:r>
      <w:r>
        <w:rPr>
          <w:i/>
          <w:color w:val="231F20"/>
          <w:sz w:val="20"/>
        </w:rPr>
        <w:t>сде- лать</w:t>
      </w:r>
      <w:r>
        <w:rPr>
          <w:i/>
          <w:color w:val="231F20"/>
          <w:spacing w:val="-1"/>
          <w:sz w:val="20"/>
        </w:rPr>
        <w:t> </w:t>
      </w:r>
      <w:r>
        <w:rPr>
          <w:i/>
          <w:color w:val="231F20"/>
          <w:sz w:val="20"/>
        </w:rPr>
        <w:t>наоборот</w:t>
      </w:r>
      <w:r>
        <w:rPr>
          <w:i/>
          <w:color w:val="231F20"/>
          <w:spacing w:val="-1"/>
          <w:sz w:val="20"/>
        </w:rPr>
        <w:t> </w:t>
      </w:r>
      <w:r>
        <w:rPr>
          <w:i/>
          <w:color w:val="231F20"/>
          <w:sz w:val="20"/>
        </w:rPr>
        <w:t>–</w:t>
      </w:r>
      <w:r>
        <w:rPr>
          <w:i/>
          <w:color w:val="231F20"/>
          <w:spacing w:val="-1"/>
          <w:sz w:val="20"/>
        </w:rPr>
        <w:t> </w:t>
      </w:r>
      <w:r>
        <w:rPr>
          <w:i/>
          <w:color w:val="231F20"/>
          <w:sz w:val="20"/>
        </w:rPr>
        <w:t>положил</w:t>
      </w:r>
      <w:r>
        <w:rPr>
          <w:i/>
          <w:color w:val="231F20"/>
          <w:spacing w:val="-1"/>
          <w:sz w:val="20"/>
        </w:rPr>
        <w:t> </w:t>
      </w:r>
      <w:r>
        <w:rPr>
          <w:i/>
          <w:color w:val="231F20"/>
          <w:sz w:val="20"/>
        </w:rPr>
        <w:t>в</w:t>
      </w:r>
      <w:r>
        <w:rPr>
          <w:i/>
          <w:color w:val="231F20"/>
          <w:spacing w:val="-1"/>
          <w:sz w:val="20"/>
        </w:rPr>
        <w:t> </w:t>
      </w:r>
      <w:r>
        <w:rPr>
          <w:i/>
          <w:color w:val="231F20"/>
          <w:sz w:val="20"/>
        </w:rPr>
        <w:t>каждую</w:t>
      </w:r>
      <w:r>
        <w:rPr>
          <w:i/>
          <w:color w:val="231F20"/>
          <w:spacing w:val="-1"/>
          <w:sz w:val="20"/>
        </w:rPr>
        <w:t> </w:t>
      </w:r>
      <w:r>
        <w:rPr>
          <w:i/>
          <w:color w:val="231F20"/>
          <w:sz w:val="20"/>
        </w:rPr>
        <w:t>тарелку</w:t>
      </w:r>
      <w:r>
        <w:rPr>
          <w:i/>
          <w:color w:val="231F20"/>
          <w:spacing w:val="-1"/>
          <w:sz w:val="20"/>
        </w:rPr>
        <w:t> </w:t>
      </w:r>
      <w:r>
        <w:rPr>
          <w:i/>
          <w:color w:val="231F20"/>
          <w:sz w:val="20"/>
        </w:rPr>
        <w:t>побольше,</w:t>
      </w:r>
      <w:r>
        <w:rPr>
          <w:i/>
          <w:color w:val="231F20"/>
          <w:spacing w:val="-1"/>
          <w:sz w:val="20"/>
        </w:rPr>
        <w:t> </w:t>
      </w:r>
      <w:r>
        <w:rPr>
          <w:i/>
          <w:color w:val="231F20"/>
          <w:sz w:val="20"/>
        </w:rPr>
        <w:t>по</w:t>
      </w:r>
      <w:r>
        <w:rPr>
          <w:i/>
          <w:color w:val="231F20"/>
          <w:spacing w:val="-1"/>
          <w:sz w:val="20"/>
        </w:rPr>
        <w:t> </w:t>
      </w:r>
      <w:r>
        <w:rPr>
          <w:i/>
          <w:color w:val="231F20"/>
          <w:sz w:val="20"/>
        </w:rPr>
        <w:t>15</w:t>
      </w:r>
      <w:r>
        <w:rPr>
          <w:i/>
          <w:color w:val="231F20"/>
          <w:spacing w:val="-1"/>
          <w:sz w:val="20"/>
        </w:rPr>
        <w:t> </w:t>
      </w:r>
      <w:r>
        <w:rPr>
          <w:i/>
          <w:color w:val="231F20"/>
          <w:sz w:val="20"/>
        </w:rPr>
        <w:t>штук.</w:t>
      </w:r>
      <w:r>
        <w:rPr>
          <w:i/>
          <w:color w:val="231F20"/>
          <w:spacing w:val="-1"/>
          <w:sz w:val="20"/>
        </w:rPr>
        <w:t> </w:t>
      </w:r>
      <w:r>
        <w:rPr>
          <w:i/>
          <w:color w:val="231F20"/>
          <w:sz w:val="20"/>
        </w:rPr>
        <w:t>А</w:t>
      </w:r>
      <w:r>
        <w:rPr>
          <w:i/>
          <w:color w:val="231F20"/>
          <w:spacing w:val="-1"/>
          <w:sz w:val="20"/>
        </w:rPr>
        <w:t> </w:t>
      </w:r>
      <w:r>
        <w:rPr>
          <w:i/>
          <w:color w:val="231F20"/>
          <w:sz w:val="20"/>
        </w:rPr>
        <w:t>ему</w:t>
      </w:r>
      <w:r>
        <w:rPr>
          <w:i/>
          <w:color w:val="231F20"/>
          <w:spacing w:val="-1"/>
          <w:sz w:val="20"/>
        </w:rPr>
        <w:t> </w:t>
      </w:r>
      <w:r>
        <w:rPr>
          <w:i/>
          <w:color w:val="231F20"/>
          <w:sz w:val="20"/>
        </w:rPr>
        <w:t>в</w:t>
      </w:r>
      <w:r>
        <w:rPr>
          <w:i/>
          <w:color w:val="231F20"/>
          <w:spacing w:val="-1"/>
          <w:sz w:val="20"/>
        </w:rPr>
        <w:t> </w:t>
      </w:r>
      <w:r>
        <w:rPr>
          <w:i/>
          <w:color w:val="231F20"/>
          <w:sz w:val="20"/>
        </w:rPr>
        <w:t>резуль- тате досталась одна слива, когда гости пришли. Сестра маме рассказала все.</w:t>
      </w:r>
    </w:p>
    <w:p>
      <w:pPr>
        <w:spacing w:line="223" w:lineRule="exact" w:before="0"/>
        <w:ind w:left="425" w:right="0" w:firstLine="0"/>
        <w:jc w:val="both"/>
        <w:rPr>
          <w:i/>
          <w:sz w:val="20"/>
        </w:rPr>
      </w:pPr>
      <w:r>
        <w:rPr>
          <w:i/>
          <w:color w:val="231F20"/>
          <w:sz w:val="20"/>
        </w:rPr>
        <w:t>Урок.</w:t>
      </w:r>
      <w:r>
        <w:rPr>
          <w:i/>
          <w:color w:val="231F20"/>
          <w:spacing w:val="-11"/>
          <w:sz w:val="20"/>
        </w:rPr>
        <w:t> </w:t>
      </w:r>
      <w:r>
        <w:rPr>
          <w:i/>
          <w:color w:val="231F20"/>
          <w:sz w:val="20"/>
        </w:rPr>
        <w:t>Ты</w:t>
      </w:r>
      <w:r>
        <w:rPr>
          <w:i/>
          <w:color w:val="231F20"/>
          <w:spacing w:val="-10"/>
          <w:sz w:val="20"/>
        </w:rPr>
        <w:t> </w:t>
      </w:r>
      <w:r>
        <w:rPr>
          <w:i/>
          <w:color w:val="231F20"/>
          <w:sz w:val="20"/>
        </w:rPr>
        <w:t>никогда</w:t>
      </w:r>
      <w:r>
        <w:rPr>
          <w:i/>
          <w:color w:val="231F20"/>
          <w:spacing w:val="-8"/>
          <w:sz w:val="20"/>
        </w:rPr>
        <w:t> </w:t>
      </w:r>
      <w:r>
        <w:rPr>
          <w:i/>
          <w:color w:val="231F20"/>
          <w:sz w:val="20"/>
        </w:rPr>
        <w:t>не</w:t>
      </w:r>
      <w:r>
        <w:rPr>
          <w:i/>
          <w:color w:val="231F20"/>
          <w:spacing w:val="-9"/>
          <w:sz w:val="20"/>
        </w:rPr>
        <w:t> </w:t>
      </w:r>
      <w:r>
        <w:rPr>
          <w:i/>
          <w:color w:val="231F20"/>
          <w:sz w:val="20"/>
        </w:rPr>
        <w:t>сможешь</w:t>
      </w:r>
      <w:r>
        <w:rPr>
          <w:i/>
          <w:color w:val="231F20"/>
          <w:spacing w:val="-10"/>
          <w:sz w:val="20"/>
        </w:rPr>
        <w:t> </w:t>
      </w:r>
      <w:r>
        <w:rPr>
          <w:i/>
          <w:color w:val="231F20"/>
          <w:sz w:val="20"/>
        </w:rPr>
        <w:t>обмануть,</w:t>
      </w:r>
      <w:r>
        <w:rPr>
          <w:i/>
          <w:color w:val="231F20"/>
          <w:spacing w:val="-8"/>
          <w:sz w:val="20"/>
        </w:rPr>
        <w:t> </w:t>
      </w:r>
      <w:r>
        <w:rPr>
          <w:i/>
          <w:color w:val="231F20"/>
          <w:sz w:val="20"/>
        </w:rPr>
        <w:t>только</w:t>
      </w:r>
      <w:r>
        <w:rPr>
          <w:i/>
          <w:color w:val="231F20"/>
          <w:spacing w:val="-9"/>
          <w:sz w:val="20"/>
        </w:rPr>
        <w:t> </w:t>
      </w:r>
      <w:r>
        <w:rPr>
          <w:i/>
          <w:color w:val="231F20"/>
          <w:sz w:val="20"/>
        </w:rPr>
        <w:t>самого</w:t>
      </w:r>
      <w:r>
        <w:rPr>
          <w:i/>
          <w:color w:val="231F20"/>
          <w:spacing w:val="-9"/>
          <w:sz w:val="20"/>
        </w:rPr>
        <w:t> </w:t>
      </w:r>
      <w:r>
        <w:rPr>
          <w:i/>
          <w:color w:val="231F20"/>
          <w:sz w:val="20"/>
        </w:rPr>
        <w:t>себя</w:t>
      </w:r>
      <w:r>
        <w:rPr>
          <w:i/>
          <w:color w:val="231F20"/>
          <w:spacing w:val="-8"/>
          <w:sz w:val="20"/>
        </w:rPr>
        <w:t> </w:t>
      </w:r>
      <w:r>
        <w:rPr>
          <w:i/>
          <w:color w:val="231F20"/>
          <w:spacing w:val="-2"/>
          <w:sz w:val="20"/>
        </w:rPr>
        <w:t>обманешь.</w:t>
      </w:r>
    </w:p>
    <w:p>
      <w:pPr>
        <w:spacing w:line="235" w:lineRule="auto" w:before="2"/>
        <w:ind w:left="141" w:right="139" w:firstLine="283"/>
        <w:jc w:val="both"/>
        <w:rPr>
          <w:i/>
          <w:sz w:val="20"/>
        </w:rPr>
      </w:pPr>
      <w:r>
        <w:rPr>
          <w:i/>
          <w:color w:val="231F20"/>
          <w:sz w:val="20"/>
        </w:rPr>
        <w:t>Можно</w:t>
      </w:r>
      <w:r>
        <w:rPr>
          <w:i/>
          <w:color w:val="231F20"/>
          <w:spacing w:val="-8"/>
          <w:sz w:val="20"/>
        </w:rPr>
        <w:t> </w:t>
      </w:r>
      <w:r>
        <w:rPr>
          <w:i/>
          <w:color w:val="231F20"/>
          <w:sz w:val="20"/>
        </w:rPr>
        <w:t>заметить,</w:t>
      </w:r>
      <w:r>
        <w:rPr>
          <w:i/>
          <w:color w:val="231F20"/>
          <w:spacing w:val="-8"/>
          <w:sz w:val="20"/>
        </w:rPr>
        <w:t> </w:t>
      </w:r>
      <w:r>
        <w:rPr>
          <w:i/>
          <w:color w:val="231F20"/>
          <w:sz w:val="20"/>
        </w:rPr>
        <w:t>что</w:t>
      </w:r>
      <w:r>
        <w:rPr>
          <w:i/>
          <w:color w:val="231F20"/>
          <w:spacing w:val="-8"/>
          <w:sz w:val="20"/>
        </w:rPr>
        <w:t> </w:t>
      </w:r>
      <w:r>
        <w:rPr>
          <w:i/>
          <w:color w:val="231F20"/>
          <w:sz w:val="20"/>
        </w:rPr>
        <w:t>за</w:t>
      </w:r>
      <w:r>
        <w:rPr>
          <w:i/>
          <w:color w:val="231F20"/>
          <w:spacing w:val="-8"/>
          <w:sz w:val="20"/>
        </w:rPr>
        <w:t> </w:t>
      </w:r>
      <w:r>
        <w:rPr>
          <w:i/>
          <w:color w:val="231F20"/>
          <w:sz w:val="20"/>
        </w:rPr>
        <w:t>«высокоморальным»</w:t>
      </w:r>
      <w:r>
        <w:rPr>
          <w:i/>
          <w:color w:val="231F20"/>
          <w:spacing w:val="-8"/>
          <w:sz w:val="20"/>
        </w:rPr>
        <w:t> </w:t>
      </w:r>
      <w:r>
        <w:rPr>
          <w:i/>
          <w:color w:val="231F20"/>
          <w:sz w:val="20"/>
        </w:rPr>
        <w:t>обобщением</w:t>
      </w:r>
      <w:r>
        <w:rPr>
          <w:i/>
          <w:color w:val="231F20"/>
          <w:spacing w:val="-8"/>
          <w:sz w:val="20"/>
        </w:rPr>
        <w:t> </w:t>
      </w:r>
      <w:r>
        <w:rPr>
          <w:i/>
          <w:color w:val="231F20"/>
          <w:sz w:val="20"/>
        </w:rPr>
        <w:t>скрывается</w:t>
      </w:r>
      <w:r>
        <w:rPr>
          <w:i/>
          <w:color w:val="231F20"/>
          <w:spacing w:val="-8"/>
          <w:sz w:val="20"/>
        </w:rPr>
        <w:t> </w:t>
      </w:r>
      <w:r>
        <w:rPr>
          <w:i/>
          <w:color w:val="231F20"/>
          <w:sz w:val="20"/>
        </w:rPr>
        <w:t>печаль</w:t>
      </w:r>
      <w:r>
        <w:rPr>
          <w:i/>
          <w:color w:val="231F20"/>
          <w:spacing w:val="-8"/>
          <w:sz w:val="20"/>
        </w:rPr>
        <w:t> </w:t>
      </w:r>
      <w:r>
        <w:rPr>
          <w:i/>
          <w:color w:val="231F20"/>
          <w:sz w:val="20"/>
        </w:rPr>
        <w:t>и негативное</w:t>
      </w:r>
      <w:r>
        <w:rPr>
          <w:i/>
          <w:color w:val="231F20"/>
          <w:spacing w:val="-1"/>
          <w:sz w:val="20"/>
        </w:rPr>
        <w:t> </w:t>
      </w:r>
      <w:r>
        <w:rPr>
          <w:i/>
          <w:color w:val="231F20"/>
          <w:sz w:val="20"/>
        </w:rPr>
        <w:t>самоотношение:</w:t>
      </w:r>
      <w:r>
        <w:rPr>
          <w:i/>
          <w:color w:val="231F20"/>
          <w:spacing w:val="-1"/>
          <w:sz w:val="20"/>
        </w:rPr>
        <w:t> </w:t>
      </w:r>
      <w:r>
        <w:rPr>
          <w:i/>
          <w:color w:val="231F20"/>
          <w:sz w:val="20"/>
        </w:rPr>
        <w:t>«Даже</w:t>
      </w:r>
      <w:r>
        <w:rPr>
          <w:i/>
          <w:color w:val="231F20"/>
          <w:spacing w:val="-1"/>
          <w:sz w:val="20"/>
        </w:rPr>
        <w:t> </w:t>
      </w:r>
      <w:r>
        <w:rPr>
          <w:i/>
          <w:color w:val="231F20"/>
          <w:sz w:val="20"/>
        </w:rPr>
        <w:t>украсть,</w:t>
      </w:r>
      <w:r>
        <w:rPr>
          <w:i/>
          <w:color w:val="231F20"/>
          <w:spacing w:val="-1"/>
          <w:sz w:val="20"/>
        </w:rPr>
        <w:t> </w:t>
      </w:r>
      <w:r>
        <w:rPr>
          <w:i/>
          <w:color w:val="231F20"/>
          <w:sz w:val="20"/>
        </w:rPr>
        <w:t>и</w:t>
      </w:r>
      <w:r>
        <w:rPr>
          <w:i/>
          <w:color w:val="231F20"/>
          <w:spacing w:val="-1"/>
          <w:sz w:val="20"/>
        </w:rPr>
        <w:t> </w:t>
      </w:r>
      <w:r>
        <w:rPr>
          <w:i/>
          <w:color w:val="231F20"/>
          <w:sz w:val="20"/>
        </w:rPr>
        <w:t>то</w:t>
      </w:r>
      <w:r>
        <w:rPr>
          <w:i/>
          <w:color w:val="231F20"/>
          <w:spacing w:val="-1"/>
          <w:sz w:val="20"/>
        </w:rPr>
        <w:t> </w:t>
      </w:r>
      <w:r>
        <w:rPr>
          <w:i/>
          <w:color w:val="231F20"/>
          <w:sz w:val="20"/>
        </w:rPr>
        <w:t>не</w:t>
      </w:r>
      <w:r>
        <w:rPr>
          <w:i/>
          <w:color w:val="231F20"/>
          <w:spacing w:val="-1"/>
          <w:sz w:val="20"/>
        </w:rPr>
        <w:t> </w:t>
      </w:r>
      <w:r>
        <w:rPr>
          <w:i/>
          <w:color w:val="231F20"/>
          <w:sz w:val="20"/>
        </w:rPr>
        <w:t>смогу».</w:t>
      </w:r>
      <w:r>
        <w:rPr>
          <w:i/>
          <w:color w:val="231F20"/>
          <w:spacing w:val="-1"/>
          <w:sz w:val="20"/>
        </w:rPr>
        <w:t> </w:t>
      </w:r>
      <w:r>
        <w:rPr>
          <w:i/>
          <w:color w:val="231F20"/>
          <w:sz w:val="20"/>
        </w:rPr>
        <w:t>Однако</w:t>
      </w:r>
      <w:r>
        <w:rPr>
          <w:i/>
          <w:color w:val="231F20"/>
          <w:spacing w:val="-1"/>
          <w:sz w:val="20"/>
        </w:rPr>
        <w:t> </w:t>
      </w:r>
      <w:r>
        <w:rPr>
          <w:i/>
          <w:color w:val="231F20"/>
          <w:sz w:val="20"/>
        </w:rPr>
        <w:t>смысл</w:t>
      </w:r>
      <w:r>
        <w:rPr>
          <w:i/>
          <w:color w:val="231F20"/>
          <w:spacing w:val="-1"/>
          <w:sz w:val="20"/>
        </w:rPr>
        <w:t> </w:t>
      </w:r>
      <w:r>
        <w:rPr>
          <w:i/>
          <w:color w:val="231F20"/>
          <w:spacing w:val="-2"/>
          <w:sz w:val="20"/>
        </w:rPr>
        <w:t>ответ-</w:t>
      </w:r>
    </w:p>
    <w:p>
      <w:pPr>
        <w:spacing w:after="0" w:line="235" w:lineRule="auto"/>
        <w:jc w:val="both"/>
        <w:rPr>
          <w:i/>
          <w:sz w:val="20"/>
        </w:rPr>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spacing w:line="232" w:lineRule="auto" w:before="118"/>
        <w:ind w:left="141" w:right="139" w:firstLine="0"/>
        <w:jc w:val="both"/>
        <w:rPr>
          <w:i/>
          <w:sz w:val="20"/>
        </w:rPr>
      </w:pPr>
      <w:r>
        <w:rPr>
          <w:i/>
          <w:color w:val="231F20"/>
          <w:sz w:val="20"/>
        </w:rPr>
        <w:t>ной истории, безусловно, не должен заключаться в том, что «воровать можно на- учиться».</w:t>
      </w:r>
      <w:r>
        <w:rPr>
          <w:i/>
          <w:color w:val="231F20"/>
          <w:spacing w:val="-1"/>
          <w:sz w:val="20"/>
        </w:rPr>
        <w:t> </w:t>
      </w:r>
      <w:r>
        <w:rPr>
          <w:i/>
          <w:color w:val="231F20"/>
          <w:sz w:val="20"/>
        </w:rPr>
        <w:t>Задача</w:t>
      </w:r>
      <w:r>
        <w:rPr>
          <w:i/>
          <w:color w:val="231F20"/>
          <w:spacing w:val="-1"/>
          <w:sz w:val="20"/>
        </w:rPr>
        <w:t> </w:t>
      </w:r>
      <w:r>
        <w:rPr>
          <w:i/>
          <w:color w:val="231F20"/>
          <w:sz w:val="20"/>
        </w:rPr>
        <w:t>послания</w:t>
      </w:r>
      <w:r>
        <w:rPr>
          <w:i/>
          <w:color w:val="231F20"/>
          <w:spacing w:val="-1"/>
          <w:sz w:val="20"/>
        </w:rPr>
        <w:t> </w:t>
      </w:r>
      <w:r>
        <w:rPr>
          <w:i/>
          <w:color w:val="231F20"/>
          <w:sz w:val="20"/>
        </w:rPr>
        <w:t>психолога</w:t>
      </w:r>
      <w:r>
        <w:rPr>
          <w:i/>
          <w:color w:val="231F20"/>
          <w:spacing w:val="-1"/>
          <w:sz w:val="20"/>
        </w:rPr>
        <w:t> </w:t>
      </w:r>
      <w:r>
        <w:rPr>
          <w:i/>
          <w:color w:val="231F20"/>
          <w:sz w:val="20"/>
        </w:rPr>
        <w:t>состояла</w:t>
      </w:r>
      <w:r>
        <w:rPr>
          <w:i/>
          <w:color w:val="231F20"/>
          <w:spacing w:val="-1"/>
          <w:sz w:val="20"/>
        </w:rPr>
        <w:t> </w:t>
      </w:r>
      <w:r>
        <w:rPr>
          <w:i/>
          <w:color w:val="231F20"/>
          <w:sz w:val="20"/>
        </w:rPr>
        <w:t>в</w:t>
      </w:r>
      <w:r>
        <w:rPr>
          <w:i/>
          <w:color w:val="231F20"/>
          <w:spacing w:val="-1"/>
          <w:sz w:val="20"/>
        </w:rPr>
        <w:t> </w:t>
      </w:r>
      <w:r>
        <w:rPr>
          <w:i/>
          <w:color w:val="231F20"/>
          <w:sz w:val="20"/>
        </w:rPr>
        <w:t>демонстрации</w:t>
      </w:r>
      <w:r>
        <w:rPr>
          <w:i/>
          <w:color w:val="231F20"/>
          <w:spacing w:val="-1"/>
          <w:sz w:val="20"/>
        </w:rPr>
        <w:t> </w:t>
      </w:r>
      <w:r>
        <w:rPr>
          <w:i/>
          <w:color w:val="231F20"/>
          <w:sz w:val="20"/>
        </w:rPr>
        <w:t>поведения,</w:t>
      </w:r>
      <w:r>
        <w:rPr>
          <w:i/>
          <w:color w:val="231F20"/>
          <w:spacing w:val="-1"/>
          <w:sz w:val="20"/>
        </w:rPr>
        <w:t> </w:t>
      </w:r>
      <w:r>
        <w:rPr>
          <w:i/>
          <w:color w:val="231F20"/>
          <w:sz w:val="20"/>
        </w:rPr>
        <w:t>которое было</w:t>
      </w:r>
      <w:r>
        <w:rPr>
          <w:i/>
          <w:color w:val="231F20"/>
          <w:spacing w:val="-1"/>
          <w:sz w:val="20"/>
        </w:rPr>
        <w:t> </w:t>
      </w:r>
      <w:r>
        <w:rPr>
          <w:i/>
          <w:color w:val="231F20"/>
          <w:sz w:val="20"/>
        </w:rPr>
        <w:t>бы</w:t>
      </w:r>
      <w:r>
        <w:rPr>
          <w:i/>
          <w:color w:val="231F20"/>
          <w:spacing w:val="-1"/>
          <w:sz w:val="20"/>
        </w:rPr>
        <w:t> </w:t>
      </w:r>
      <w:r>
        <w:rPr>
          <w:i/>
          <w:color w:val="231F20"/>
          <w:sz w:val="20"/>
        </w:rPr>
        <w:t>адекватным</w:t>
      </w:r>
      <w:r>
        <w:rPr>
          <w:i/>
          <w:color w:val="231F20"/>
          <w:spacing w:val="-1"/>
          <w:sz w:val="20"/>
        </w:rPr>
        <w:t> </w:t>
      </w:r>
      <w:r>
        <w:rPr>
          <w:i/>
          <w:color w:val="231F20"/>
          <w:sz w:val="20"/>
        </w:rPr>
        <w:t>данной</w:t>
      </w:r>
      <w:r>
        <w:rPr>
          <w:i/>
          <w:color w:val="231F20"/>
          <w:spacing w:val="-1"/>
          <w:sz w:val="20"/>
        </w:rPr>
        <w:t> </w:t>
      </w:r>
      <w:r>
        <w:rPr>
          <w:i/>
          <w:color w:val="231F20"/>
          <w:sz w:val="20"/>
        </w:rPr>
        <w:t>ситуации</w:t>
      </w:r>
      <w:r>
        <w:rPr>
          <w:i/>
          <w:color w:val="231F20"/>
          <w:spacing w:val="-1"/>
          <w:sz w:val="20"/>
        </w:rPr>
        <w:t> </w:t>
      </w:r>
      <w:r>
        <w:rPr>
          <w:i/>
          <w:color w:val="231F20"/>
          <w:sz w:val="20"/>
        </w:rPr>
        <w:t>и</w:t>
      </w:r>
      <w:r>
        <w:rPr>
          <w:i/>
          <w:color w:val="231F20"/>
          <w:spacing w:val="-1"/>
          <w:sz w:val="20"/>
        </w:rPr>
        <w:t> </w:t>
      </w:r>
      <w:r>
        <w:rPr>
          <w:i/>
          <w:color w:val="231F20"/>
          <w:sz w:val="20"/>
        </w:rPr>
        <w:t>с</w:t>
      </w:r>
      <w:r>
        <w:rPr>
          <w:i/>
          <w:color w:val="231F20"/>
          <w:spacing w:val="-1"/>
          <w:sz w:val="20"/>
        </w:rPr>
        <w:t> </w:t>
      </w:r>
      <w:r>
        <w:rPr>
          <w:i/>
          <w:color w:val="231F20"/>
          <w:sz w:val="20"/>
        </w:rPr>
        <w:t>неизбежностью</w:t>
      </w:r>
      <w:r>
        <w:rPr>
          <w:i/>
          <w:color w:val="231F20"/>
          <w:spacing w:val="-1"/>
          <w:sz w:val="20"/>
        </w:rPr>
        <w:t> </w:t>
      </w:r>
      <w:r>
        <w:rPr>
          <w:i/>
          <w:color w:val="231F20"/>
          <w:sz w:val="20"/>
        </w:rPr>
        <w:t>приводило</w:t>
      </w:r>
      <w:r>
        <w:rPr>
          <w:i/>
          <w:color w:val="231F20"/>
          <w:spacing w:val="-1"/>
          <w:sz w:val="20"/>
        </w:rPr>
        <w:t> </w:t>
      </w:r>
      <w:r>
        <w:rPr>
          <w:i/>
          <w:color w:val="231F20"/>
          <w:sz w:val="20"/>
        </w:rPr>
        <w:t>бы</w:t>
      </w:r>
      <w:r>
        <w:rPr>
          <w:i/>
          <w:color w:val="231F20"/>
          <w:spacing w:val="-1"/>
          <w:sz w:val="20"/>
        </w:rPr>
        <w:t> </w:t>
      </w:r>
      <w:r>
        <w:rPr>
          <w:i/>
          <w:color w:val="231F20"/>
          <w:sz w:val="20"/>
        </w:rPr>
        <w:t>к</w:t>
      </w:r>
      <w:r>
        <w:rPr>
          <w:i/>
          <w:color w:val="231F20"/>
          <w:spacing w:val="-1"/>
          <w:sz w:val="20"/>
        </w:rPr>
        <w:t> </w:t>
      </w:r>
      <w:r>
        <w:rPr>
          <w:i/>
          <w:color w:val="231F20"/>
          <w:sz w:val="20"/>
        </w:rPr>
        <w:t>повыше- нию «принятия «Я».</w:t>
      </w:r>
    </w:p>
    <w:p>
      <w:pPr>
        <w:spacing w:line="220" w:lineRule="exact" w:before="0"/>
        <w:ind w:left="425" w:right="0" w:firstLine="0"/>
        <w:jc w:val="both"/>
        <w:rPr>
          <w:i/>
          <w:sz w:val="20"/>
        </w:rPr>
      </w:pPr>
      <w:r>
        <w:rPr>
          <w:i/>
          <w:color w:val="231F20"/>
          <w:sz w:val="20"/>
        </w:rPr>
        <w:t>Мама</w:t>
      </w:r>
      <w:r>
        <w:rPr>
          <w:i/>
          <w:color w:val="231F20"/>
          <w:spacing w:val="4"/>
          <w:sz w:val="20"/>
        </w:rPr>
        <w:t> </w:t>
      </w:r>
      <w:r>
        <w:rPr>
          <w:i/>
          <w:color w:val="231F20"/>
          <w:sz w:val="20"/>
        </w:rPr>
        <w:t>купила</w:t>
      </w:r>
      <w:r>
        <w:rPr>
          <w:i/>
          <w:color w:val="231F20"/>
          <w:spacing w:val="4"/>
          <w:sz w:val="20"/>
        </w:rPr>
        <w:t> </w:t>
      </w:r>
      <w:r>
        <w:rPr>
          <w:i/>
          <w:color w:val="231F20"/>
          <w:sz w:val="20"/>
        </w:rPr>
        <w:t>сливы</w:t>
      </w:r>
      <w:r>
        <w:rPr>
          <w:i/>
          <w:color w:val="231F20"/>
          <w:spacing w:val="5"/>
          <w:sz w:val="20"/>
        </w:rPr>
        <w:t> </w:t>
      </w:r>
      <w:r>
        <w:rPr>
          <w:i/>
          <w:color w:val="231F20"/>
          <w:sz w:val="20"/>
        </w:rPr>
        <w:t>и</w:t>
      </w:r>
      <w:r>
        <w:rPr>
          <w:i/>
          <w:color w:val="231F20"/>
          <w:spacing w:val="4"/>
          <w:sz w:val="20"/>
        </w:rPr>
        <w:t> </w:t>
      </w:r>
      <w:r>
        <w:rPr>
          <w:i/>
          <w:color w:val="231F20"/>
          <w:sz w:val="20"/>
        </w:rPr>
        <w:t>принесла</w:t>
      </w:r>
      <w:r>
        <w:rPr>
          <w:i/>
          <w:color w:val="231F20"/>
          <w:spacing w:val="5"/>
          <w:sz w:val="20"/>
        </w:rPr>
        <w:t> </w:t>
      </w:r>
      <w:r>
        <w:rPr>
          <w:i/>
          <w:color w:val="231F20"/>
          <w:sz w:val="20"/>
        </w:rPr>
        <w:t>их</w:t>
      </w:r>
      <w:r>
        <w:rPr>
          <w:i/>
          <w:color w:val="231F20"/>
          <w:spacing w:val="4"/>
          <w:sz w:val="20"/>
        </w:rPr>
        <w:t> </w:t>
      </w:r>
      <w:r>
        <w:rPr>
          <w:i/>
          <w:color w:val="231F20"/>
          <w:sz w:val="20"/>
        </w:rPr>
        <w:t>домой.</w:t>
      </w:r>
      <w:r>
        <w:rPr>
          <w:i/>
          <w:color w:val="231F20"/>
          <w:spacing w:val="4"/>
          <w:sz w:val="20"/>
        </w:rPr>
        <w:t> </w:t>
      </w:r>
      <w:r>
        <w:rPr>
          <w:i/>
          <w:color w:val="231F20"/>
          <w:sz w:val="20"/>
        </w:rPr>
        <w:t>Она</w:t>
      </w:r>
      <w:r>
        <w:rPr>
          <w:i/>
          <w:color w:val="231F20"/>
          <w:spacing w:val="5"/>
          <w:sz w:val="20"/>
        </w:rPr>
        <w:t> </w:t>
      </w:r>
      <w:r>
        <w:rPr>
          <w:i/>
          <w:color w:val="231F20"/>
          <w:sz w:val="20"/>
        </w:rPr>
        <w:t>пригласила</w:t>
      </w:r>
      <w:r>
        <w:rPr>
          <w:i/>
          <w:color w:val="231F20"/>
          <w:spacing w:val="4"/>
          <w:sz w:val="20"/>
        </w:rPr>
        <w:t> </w:t>
      </w:r>
      <w:r>
        <w:rPr>
          <w:i/>
          <w:color w:val="231F20"/>
          <w:sz w:val="20"/>
        </w:rPr>
        <w:t>гостей</w:t>
      </w:r>
      <w:r>
        <w:rPr>
          <w:i/>
          <w:color w:val="231F20"/>
          <w:spacing w:val="5"/>
          <w:sz w:val="20"/>
        </w:rPr>
        <w:t> </w:t>
      </w:r>
      <w:r>
        <w:rPr>
          <w:i/>
          <w:color w:val="231F20"/>
          <w:sz w:val="20"/>
        </w:rPr>
        <w:t>и</w:t>
      </w:r>
      <w:r>
        <w:rPr>
          <w:i/>
          <w:color w:val="231F20"/>
          <w:spacing w:val="4"/>
          <w:sz w:val="20"/>
        </w:rPr>
        <w:t> </w:t>
      </w:r>
      <w:r>
        <w:rPr>
          <w:i/>
          <w:color w:val="231F20"/>
          <w:sz w:val="20"/>
        </w:rPr>
        <w:t>сказала</w:t>
      </w:r>
      <w:r>
        <w:rPr>
          <w:i/>
          <w:color w:val="231F20"/>
          <w:spacing w:val="5"/>
          <w:sz w:val="20"/>
        </w:rPr>
        <w:t> </w:t>
      </w:r>
      <w:r>
        <w:rPr>
          <w:i/>
          <w:color w:val="231F20"/>
          <w:spacing w:val="-2"/>
          <w:sz w:val="20"/>
        </w:rPr>
        <w:t>сыну:</w:t>
      </w:r>
    </w:p>
    <w:p>
      <w:pPr>
        <w:spacing w:line="232" w:lineRule="auto" w:before="1"/>
        <w:ind w:left="141" w:right="139" w:firstLine="0"/>
        <w:jc w:val="both"/>
        <w:rPr>
          <w:i/>
          <w:sz w:val="20"/>
        </w:rPr>
      </w:pPr>
      <w:r>
        <w:rPr>
          <w:i/>
          <w:color w:val="231F20"/>
          <w:sz w:val="20"/>
        </w:rPr>
        <w:t>«Положи десять штук в каждую тарелку». Мальчик посмотрел маме в глаза: «Ну ладно, помогу».</w:t>
      </w:r>
    </w:p>
    <w:p>
      <w:pPr>
        <w:spacing w:line="232" w:lineRule="auto" w:before="0"/>
        <w:ind w:left="141" w:right="139" w:firstLine="283"/>
        <w:jc w:val="both"/>
        <w:rPr>
          <w:i/>
          <w:sz w:val="20"/>
        </w:rPr>
      </w:pPr>
      <w:r>
        <w:rPr>
          <w:i/>
          <w:color w:val="231F20"/>
          <w:sz w:val="20"/>
        </w:rPr>
        <w:t>Однако</w:t>
      </w:r>
      <w:r>
        <w:rPr>
          <w:i/>
          <w:color w:val="231F20"/>
          <w:spacing w:val="-12"/>
          <w:sz w:val="20"/>
        </w:rPr>
        <w:t> </w:t>
      </w:r>
      <w:r>
        <w:rPr>
          <w:i/>
          <w:color w:val="231F20"/>
          <w:sz w:val="20"/>
        </w:rPr>
        <w:t>он</w:t>
      </w:r>
      <w:r>
        <w:rPr>
          <w:i/>
          <w:color w:val="231F20"/>
          <w:spacing w:val="-12"/>
          <w:sz w:val="20"/>
        </w:rPr>
        <w:t> </w:t>
      </w:r>
      <w:r>
        <w:rPr>
          <w:i/>
          <w:color w:val="231F20"/>
          <w:sz w:val="20"/>
        </w:rPr>
        <w:t>очень</w:t>
      </w:r>
      <w:r>
        <w:rPr>
          <w:i/>
          <w:color w:val="231F20"/>
          <w:spacing w:val="-12"/>
          <w:sz w:val="20"/>
        </w:rPr>
        <w:t> </w:t>
      </w:r>
      <w:r>
        <w:rPr>
          <w:i/>
          <w:color w:val="231F20"/>
          <w:sz w:val="20"/>
        </w:rPr>
        <w:t>хотел,</w:t>
      </w:r>
      <w:r>
        <w:rPr>
          <w:i/>
          <w:color w:val="231F20"/>
          <w:spacing w:val="-12"/>
          <w:sz w:val="20"/>
        </w:rPr>
        <w:t> </w:t>
      </w:r>
      <w:r>
        <w:rPr>
          <w:i/>
          <w:color w:val="231F20"/>
          <w:sz w:val="20"/>
        </w:rPr>
        <w:t>чтобы</w:t>
      </w:r>
      <w:r>
        <w:rPr>
          <w:i/>
          <w:color w:val="231F20"/>
          <w:spacing w:val="-12"/>
          <w:sz w:val="20"/>
        </w:rPr>
        <w:t> </w:t>
      </w:r>
      <w:r>
        <w:rPr>
          <w:i/>
          <w:color w:val="231F20"/>
          <w:sz w:val="20"/>
        </w:rPr>
        <w:t>все</w:t>
      </w:r>
      <w:r>
        <w:rPr>
          <w:i/>
          <w:color w:val="231F20"/>
          <w:spacing w:val="-12"/>
          <w:sz w:val="20"/>
        </w:rPr>
        <w:t> </w:t>
      </w:r>
      <w:r>
        <w:rPr>
          <w:i/>
          <w:color w:val="231F20"/>
          <w:sz w:val="20"/>
        </w:rPr>
        <w:t>на</w:t>
      </w:r>
      <w:r>
        <w:rPr>
          <w:i/>
          <w:color w:val="231F20"/>
          <w:spacing w:val="-12"/>
          <w:sz w:val="20"/>
        </w:rPr>
        <w:t> </w:t>
      </w:r>
      <w:r>
        <w:rPr>
          <w:i/>
          <w:color w:val="231F20"/>
          <w:sz w:val="20"/>
        </w:rPr>
        <w:t>него</w:t>
      </w:r>
      <w:r>
        <w:rPr>
          <w:i/>
          <w:color w:val="231F20"/>
          <w:spacing w:val="-12"/>
          <w:sz w:val="20"/>
        </w:rPr>
        <w:t> </w:t>
      </w:r>
      <w:r>
        <w:rPr>
          <w:i/>
          <w:color w:val="231F20"/>
          <w:sz w:val="20"/>
        </w:rPr>
        <w:t>обратили</w:t>
      </w:r>
      <w:r>
        <w:rPr>
          <w:i/>
          <w:color w:val="231F20"/>
          <w:spacing w:val="-12"/>
          <w:sz w:val="20"/>
        </w:rPr>
        <w:t> </w:t>
      </w:r>
      <w:r>
        <w:rPr>
          <w:i/>
          <w:color w:val="231F20"/>
          <w:sz w:val="20"/>
        </w:rPr>
        <w:t>внимание.</w:t>
      </w:r>
      <w:r>
        <w:rPr>
          <w:i/>
          <w:color w:val="231F20"/>
          <w:spacing w:val="-11"/>
          <w:sz w:val="20"/>
        </w:rPr>
        <w:t> </w:t>
      </w:r>
      <w:r>
        <w:rPr>
          <w:i/>
          <w:color w:val="231F20"/>
          <w:sz w:val="20"/>
        </w:rPr>
        <w:t>Поэтому</w:t>
      </w:r>
      <w:r>
        <w:rPr>
          <w:i/>
          <w:color w:val="231F20"/>
          <w:spacing w:val="-12"/>
          <w:sz w:val="20"/>
        </w:rPr>
        <w:t> </w:t>
      </w:r>
      <w:r>
        <w:rPr>
          <w:i/>
          <w:color w:val="231F20"/>
          <w:sz w:val="20"/>
        </w:rPr>
        <w:t>он</w:t>
      </w:r>
      <w:r>
        <w:rPr>
          <w:i/>
          <w:color w:val="231F20"/>
          <w:spacing w:val="-12"/>
          <w:sz w:val="20"/>
        </w:rPr>
        <w:t> </w:t>
      </w:r>
      <w:r>
        <w:rPr>
          <w:i/>
          <w:color w:val="231F20"/>
          <w:sz w:val="20"/>
        </w:rPr>
        <w:t>решил сделать что-то необычное и положил каждому по 15, а</w:t>
      </w:r>
      <w:r>
        <w:rPr>
          <w:i/>
          <w:color w:val="231F20"/>
          <w:spacing w:val="-1"/>
          <w:sz w:val="20"/>
        </w:rPr>
        <w:t> </w:t>
      </w:r>
      <w:r>
        <w:rPr>
          <w:i/>
          <w:color w:val="231F20"/>
          <w:sz w:val="20"/>
        </w:rPr>
        <w:t>не по 10 слив.</w:t>
      </w:r>
      <w:r>
        <w:rPr>
          <w:i/>
          <w:color w:val="231F20"/>
          <w:spacing w:val="-1"/>
          <w:sz w:val="20"/>
        </w:rPr>
        <w:t> </w:t>
      </w:r>
      <w:r>
        <w:rPr>
          <w:i/>
          <w:color w:val="231F20"/>
          <w:sz w:val="20"/>
        </w:rPr>
        <w:t>Но, когда</w:t>
      </w:r>
      <w:r>
        <w:rPr>
          <w:i/>
          <w:color w:val="231F20"/>
          <w:spacing w:val="-1"/>
          <w:sz w:val="20"/>
        </w:rPr>
        <w:t> </w:t>
      </w:r>
      <w:r>
        <w:rPr>
          <w:i/>
          <w:color w:val="231F20"/>
          <w:sz w:val="20"/>
        </w:rPr>
        <w:t>го- сти пришли, оказалось, что ему в результате досталась только одна слива.</w:t>
      </w:r>
    </w:p>
    <w:p>
      <w:pPr>
        <w:spacing w:line="217" w:lineRule="exact" w:before="0"/>
        <w:ind w:left="425" w:right="0" w:firstLine="0"/>
        <w:jc w:val="both"/>
        <w:rPr>
          <w:i/>
          <w:sz w:val="20"/>
        </w:rPr>
      </w:pPr>
      <w:r>
        <w:rPr>
          <w:i/>
          <w:color w:val="231F20"/>
          <w:sz w:val="20"/>
        </w:rPr>
        <w:t>Мальчику</w:t>
      </w:r>
      <w:r>
        <w:rPr>
          <w:i/>
          <w:color w:val="231F20"/>
          <w:spacing w:val="-5"/>
          <w:sz w:val="20"/>
        </w:rPr>
        <w:t> </w:t>
      </w:r>
      <w:r>
        <w:rPr>
          <w:i/>
          <w:color w:val="231F20"/>
          <w:sz w:val="20"/>
        </w:rPr>
        <w:t>стало</w:t>
      </w:r>
      <w:r>
        <w:rPr>
          <w:i/>
          <w:color w:val="231F20"/>
          <w:spacing w:val="-3"/>
          <w:sz w:val="20"/>
        </w:rPr>
        <w:t> </w:t>
      </w:r>
      <w:r>
        <w:rPr>
          <w:i/>
          <w:color w:val="231F20"/>
          <w:sz w:val="20"/>
        </w:rPr>
        <w:t>очень</w:t>
      </w:r>
      <w:r>
        <w:rPr>
          <w:i/>
          <w:color w:val="231F20"/>
          <w:spacing w:val="-4"/>
          <w:sz w:val="20"/>
        </w:rPr>
        <w:t> </w:t>
      </w:r>
      <w:r>
        <w:rPr>
          <w:i/>
          <w:color w:val="231F20"/>
          <w:sz w:val="20"/>
        </w:rPr>
        <w:t>грустно.</w:t>
      </w:r>
      <w:r>
        <w:rPr>
          <w:i/>
          <w:color w:val="231F20"/>
          <w:spacing w:val="-3"/>
          <w:sz w:val="20"/>
        </w:rPr>
        <w:t> </w:t>
      </w:r>
      <w:r>
        <w:rPr>
          <w:i/>
          <w:color w:val="231F20"/>
          <w:sz w:val="20"/>
        </w:rPr>
        <w:t>Это</w:t>
      </w:r>
      <w:r>
        <w:rPr>
          <w:i/>
          <w:color w:val="231F20"/>
          <w:spacing w:val="-3"/>
          <w:sz w:val="20"/>
        </w:rPr>
        <w:t> </w:t>
      </w:r>
      <w:r>
        <w:rPr>
          <w:i/>
          <w:color w:val="231F20"/>
          <w:sz w:val="20"/>
        </w:rPr>
        <w:t>заметил</w:t>
      </w:r>
      <w:r>
        <w:rPr>
          <w:i/>
          <w:color w:val="231F20"/>
          <w:spacing w:val="-2"/>
          <w:sz w:val="20"/>
        </w:rPr>
        <w:t> </w:t>
      </w:r>
      <w:r>
        <w:rPr>
          <w:i/>
          <w:color w:val="231F20"/>
          <w:sz w:val="20"/>
        </w:rPr>
        <w:t>один</w:t>
      </w:r>
      <w:r>
        <w:rPr>
          <w:i/>
          <w:color w:val="231F20"/>
          <w:spacing w:val="-4"/>
          <w:sz w:val="20"/>
        </w:rPr>
        <w:t> </w:t>
      </w:r>
      <w:r>
        <w:rPr>
          <w:i/>
          <w:color w:val="231F20"/>
          <w:sz w:val="20"/>
        </w:rPr>
        <w:t>из</w:t>
      </w:r>
      <w:r>
        <w:rPr>
          <w:i/>
          <w:color w:val="231F20"/>
          <w:spacing w:val="-4"/>
          <w:sz w:val="20"/>
        </w:rPr>
        <w:t> </w:t>
      </w:r>
      <w:r>
        <w:rPr>
          <w:i/>
          <w:color w:val="231F20"/>
          <w:sz w:val="20"/>
        </w:rPr>
        <w:t>гостей</w:t>
      </w:r>
      <w:r>
        <w:rPr>
          <w:i/>
          <w:color w:val="231F20"/>
          <w:spacing w:val="-3"/>
          <w:sz w:val="20"/>
        </w:rPr>
        <w:t> </w:t>
      </w:r>
      <w:r>
        <w:rPr>
          <w:i/>
          <w:color w:val="231F20"/>
          <w:sz w:val="20"/>
        </w:rPr>
        <w:t>и</w:t>
      </w:r>
      <w:r>
        <w:rPr>
          <w:i/>
          <w:color w:val="231F20"/>
          <w:spacing w:val="-3"/>
          <w:sz w:val="20"/>
        </w:rPr>
        <w:t> </w:t>
      </w:r>
      <w:r>
        <w:rPr>
          <w:i/>
          <w:color w:val="231F20"/>
          <w:sz w:val="20"/>
        </w:rPr>
        <w:t>спросил</w:t>
      </w:r>
      <w:r>
        <w:rPr>
          <w:i/>
          <w:color w:val="231F20"/>
          <w:spacing w:val="-2"/>
          <w:sz w:val="20"/>
        </w:rPr>
        <w:t> </w:t>
      </w:r>
      <w:r>
        <w:rPr>
          <w:i/>
          <w:color w:val="231F20"/>
          <w:spacing w:val="-4"/>
          <w:sz w:val="20"/>
        </w:rPr>
        <w:t>его:</w:t>
      </w:r>
    </w:p>
    <w:p>
      <w:pPr>
        <w:pStyle w:val="ListParagraph"/>
        <w:numPr>
          <w:ilvl w:val="0"/>
          <w:numId w:val="218"/>
        </w:numPr>
        <w:tabs>
          <w:tab w:pos="575" w:val="left" w:leader="none"/>
        </w:tabs>
        <w:spacing w:line="222" w:lineRule="exact" w:before="0" w:after="0"/>
        <w:ind w:left="575" w:right="0" w:hanging="150"/>
        <w:jc w:val="both"/>
        <w:rPr>
          <w:i/>
          <w:sz w:val="20"/>
        </w:rPr>
      </w:pPr>
      <w:r>
        <w:rPr>
          <w:i/>
          <w:color w:val="231F20"/>
          <w:sz w:val="20"/>
        </w:rPr>
        <w:t>Что с </w:t>
      </w:r>
      <w:r>
        <w:rPr>
          <w:i/>
          <w:color w:val="231F20"/>
          <w:spacing w:val="-2"/>
          <w:sz w:val="20"/>
        </w:rPr>
        <w:t>тобой?</w:t>
      </w:r>
    </w:p>
    <w:p>
      <w:pPr>
        <w:pStyle w:val="ListParagraph"/>
        <w:numPr>
          <w:ilvl w:val="0"/>
          <w:numId w:val="218"/>
        </w:numPr>
        <w:tabs>
          <w:tab w:pos="580" w:val="left" w:leader="none"/>
        </w:tabs>
        <w:spacing w:line="232" w:lineRule="auto" w:before="0" w:after="0"/>
        <w:ind w:left="141" w:right="139" w:firstLine="283"/>
        <w:jc w:val="both"/>
        <w:rPr>
          <w:i/>
          <w:sz w:val="20"/>
        </w:rPr>
      </w:pPr>
      <w:r>
        <w:rPr>
          <w:i/>
          <w:color w:val="231F20"/>
          <w:sz w:val="20"/>
        </w:rPr>
        <w:t>Я хотел, чтобы мной гордились, и сделал необычную вещь. А оказалось только хуже, – ответил мальчик.</w:t>
      </w:r>
    </w:p>
    <w:p>
      <w:pPr>
        <w:pStyle w:val="ListParagraph"/>
        <w:numPr>
          <w:ilvl w:val="0"/>
          <w:numId w:val="218"/>
        </w:numPr>
        <w:tabs>
          <w:tab w:pos="575" w:val="left" w:leader="none"/>
        </w:tabs>
        <w:spacing w:line="218" w:lineRule="exact" w:before="0" w:after="0"/>
        <w:ind w:left="575" w:right="0" w:hanging="150"/>
        <w:jc w:val="both"/>
        <w:rPr>
          <w:i/>
          <w:sz w:val="20"/>
        </w:rPr>
      </w:pPr>
      <w:r>
        <w:rPr>
          <w:i/>
          <w:color w:val="231F20"/>
          <w:sz w:val="20"/>
        </w:rPr>
        <w:t>Послушай!</w:t>
      </w:r>
      <w:r>
        <w:rPr>
          <w:i/>
          <w:color w:val="231F20"/>
          <w:spacing w:val="-5"/>
          <w:sz w:val="20"/>
        </w:rPr>
        <w:t> </w:t>
      </w:r>
      <w:r>
        <w:rPr>
          <w:i/>
          <w:color w:val="231F20"/>
          <w:sz w:val="20"/>
        </w:rPr>
        <w:t>Чтобы</w:t>
      </w:r>
      <w:r>
        <w:rPr>
          <w:i/>
          <w:color w:val="231F20"/>
          <w:spacing w:val="-6"/>
          <w:sz w:val="20"/>
        </w:rPr>
        <w:t> </w:t>
      </w:r>
      <w:r>
        <w:rPr>
          <w:i/>
          <w:color w:val="231F20"/>
          <w:sz w:val="20"/>
        </w:rPr>
        <w:t>тобой</w:t>
      </w:r>
      <w:r>
        <w:rPr>
          <w:i/>
          <w:color w:val="231F20"/>
          <w:spacing w:val="-5"/>
          <w:sz w:val="20"/>
        </w:rPr>
        <w:t> </w:t>
      </w:r>
      <w:r>
        <w:rPr>
          <w:i/>
          <w:color w:val="231F20"/>
          <w:sz w:val="20"/>
        </w:rPr>
        <w:t>гордились</w:t>
      </w:r>
      <w:r>
        <w:rPr>
          <w:i/>
          <w:color w:val="231F20"/>
          <w:spacing w:val="-6"/>
          <w:sz w:val="20"/>
        </w:rPr>
        <w:t> </w:t>
      </w:r>
      <w:r>
        <w:rPr>
          <w:i/>
          <w:color w:val="231F20"/>
          <w:sz w:val="20"/>
        </w:rPr>
        <w:t>можно</w:t>
      </w:r>
      <w:r>
        <w:rPr>
          <w:i/>
          <w:color w:val="231F20"/>
          <w:spacing w:val="-5"/>
          <w:sz w:val="20"/>
        </w:rPr>
        <w:t> </w:t>
      </w:r>
      <w:r>
        <w:rPr>
          <w:i/>
          <w:color w:val="231F20"/>
          <w:sz w:val="20"/>
        </w:rPr>
        <w:t>делать</w:t>
      </w:r>
      <w:r>
        <w:rPr>
          <w:i/>
          <w:color w:val="231F20"/>
          <w:spacing w:val="-5"/>
          <w:sz w:val="20"/>
        </w:rPr>
        <w:t> </w:t>
      </w:r>
      <w:r>
        <w:rPr>
          <w:i/>
          <w:color w:val="231F20"/>
          <w:spacing w:val="-2"/>
          <w:sz w:val="20"/>
        </w:rPr>
        <w:t>проще.</w:t>
      </w:r>
    </w:p>
    <w:p>
      <w:pPr>
        <w:pStyle w:val="ListParagraph"/>
        <w:numPr>
          <w:ilvl w:val="0"/>
          <w:numId w:val="218"/>
        </w:numPr>
        <w:tabs>
          <w:tab w:pos="575" w:val="left" w:leader="none"/>
        </w:tabs>
        <w:spacing w:line="222" w:lineRule="exact" w:before="0" w:after="0"/>
        <w:ind w:left="575" w:right="0" w:hanging="150"/>
        <w:jc w:val="both"/>
        <w:rPr>
          <w:i/>
          <w:sz w:val="20"/>
        </w:rPr>
      </w:pPr>
      <w:r>
        <w:rPr>
          <w:i/>
          <w:color w:val="231F20"/>
          <w:spacing w:val="-4"/>
          <w:sz w:val="20"/>
        </w:rPr>
        <w:t>Как?</w:t>
      </w:r>
    </w:p>
    <w:p>
      <w:pPr>
        <w:pStyle w:val="ListParagraph"/>
        <w:numPr>
          <w:ilvl w:val="0"/>
          <w:numId w:val="218"/>
        </w:numPr>
        <w:tabs>
          <w:tab w:pos="574" w:val="left" w:leader="none"/>
        </w:tabs>
        <w:spacing w:line="232" w:lineRule="auto" w:before="1" w:after="0"/>
        <w:ind w:left="141" w:right="139" w:firstLine="283"/>
        <w:jc w:val="both"/>
        <w:rPr>
          <w:i/>
          <w:sz w:val="20"/>
        </w:rPr>
      </w:pPr>
      <w:r>
        <w:rPr>
          <w:i/>
          <w:color w:val="231F20"/>
          <w:sz w:val="20"/>
        </w:rPr>
        <w:t>Не</w:t>
      </w:r>
      <w:r>
        <w:rPr>
          <w:i/>
          <w:color w:val="231F20"/>
          <w:spacing w:val="-4"/>
          <w:sz w:val="20"/>
        </w:rPr>
        <w:t> </w:t>
      </w:r>
      <w:r>
        <w:rPr>
          <w:i/>
          <w:color w:val="231F20"/>
          <w:sz w:val="20"/>
        </w:rPr>
        <w:t>стоит</w:t>
      </w:r>
      <w:r>
        <w:rPr>
          <w:i/>
          <w:color w:val="231F20"/>
          <w:spacing w:val="-4"/>
          <w:sz w:val="20"/>
        </w:rPr>
        <w:t> </w:t>
      </w:r>
      <w:r>
        <w:rPr>
          <w:i/>
          <w:color w:val="231F20"/>
          <w:sz w:val="20"/>
        </w:rPr>
        <w:t>обманывать</w:t>
      </w:r>
      <w:r>
        <w:rPr>
          <w:i/>
          <w:color w:val="231F20"/>
          <w:spacing w:val="-4"/>
          <w:sz w:val="20"/>
        </w:rPr>
        <w:t> </w:t>
      </w:r>
      <w:r>
        <w:rPr>
          <w:i/>
          <w:color w:val="231F20"/>
          <w:sz w:val="20"/>
        </w:rPr>
        <w:t>и</w:t>
      </w:r>
      <w:r>
        <w:rPr>
          <w:i/>
          <w:color w:val="231F20"/>
          <w:spacing w:val="-4"/>
          <w:sz w:val="20"/>
        </w:rPr>
        <w:t> </w:t>
      </w:r>
      <w:r>
        <w:rPr>
          <w:i/>
          <w:color w:val="231F20"/>
          <w:sz w:val="20"/>
        </w:rPr>
        <w:t>хитрить,</w:t>
      </w:r>
      <w:r>
        <w:rPr>
          <w:i/>
          <w:color w:val="231F20"/>
          <w:spacing w:val="-4"/>
          <w:sz w:val="20"/>
        </w:rPr>
        <w:t> </w:t>
      </w:r>
      <w:r>
        <w:rPr>
          <w:i/>
          <w:color w:val="231F20"/>
          <w:sz w:val="20"/>
        </w:rPr>
        <w:t>а</w:t>
      </w:r>
      <w:r>
        <w:rPr>
          <w:i/>
          <w:color w:val="231F20"/>
          <w:spacing w:val="-4"/>
          <w:sz w:val="20"/>
        </w:rPr>
        <w:t> </w:t>
      </w:r>
      <w:r>
        <w:rPr>
          <w:i/>
          <w:color w:val="231F20"/>
          <w:sz w:val="20"/>
        </w:rPr>
        <w:t>надо</w:t>
      </w:r>
      <w:r>
        <w:rPr>
          <w:i/>
          <w:color w:val="231F20"/>
          <w:spacing w:val="-4"/>
          <w:sz w:val="20"/>
        </w:rPr>
        <w:t> </w:t>
      </w:r>
      <w:r>
        <w:rPr>
          <w:i/>
          <w:color w:val="231F20"/>
          <w:sz w:val="20"/>
        </w:rPr>
        <w:t>посмотреть</w:t>
      </w:r>
      <w:r>
        <w:rPr>
          <w:i/>
          <w:color w:val="231F20"/>
          <w:spacing w:val="-4"/>
          <w:sz w:val="20"/>
        </w:rPr>
        <w:t> </w:t>
      </w:r>
      <w:r>
        <w:rPr>
          <w:i/>
          <w:color w:val="231F20"/>
          <w:sz w:val="20"/>
        </w:rPr>
        <w:t>–</w:t>
      </w:r>
      <w:r>
        <w:rPr>
          <w:i/>
          <w:color w:val="231F20"/>
          <w:spacing w:val="-4"/>
          <w:sz w:val="20"/>
        </w:rPr>
        <w:t> </w:t>
      </w:r>
      <w:r>
        <w:rPr>
          <w:i/>
          <w:color w:val="231F20"/>
          <w:sz w:val="20"/>
        </w:rPr>
        <w:t>в</w:t>
      </w:r>
      <w:r>
        <w:rPr>
          <w:i/>
          <w:color w:val="231F20"/>
          <w:spacing w:val="-4"/>
          <w:sz w:val="20"/>
        </w:rPr>
        <w:t> </w:t>
      </w:r>
      <w:r>
        <w:rPr>
          <w:i/>
          <w:color w:val="231F20"/>
          <w:sz w:val="20"/>
        </w:rPr>
        <w:t>чем</w:t>
      </w:r>
      <w:r>
        <w:rPr>
          <w:i/>
          <w:color w:val="231F20"/>
          <w:spacing w:val="-4"/>
          <w:sz w:val="20"/>
        </w:rPr>
        <w:t> </w:t>
      </w:r>
      <w:r>
        <w:rPr>
          <w:i/>
          <w:color w:val="231F20"/>
          <w:sz w:val="20"/>
        </w:rPr>
        <w:t>ты</w:t>
      </w:r>
      <w:r>
        <w:rPr>
          <w:i/>
          <w:color w:val="231F20"/>
          <w:spacing w:val="-4"/>
          <w:sz w:val="20"/>
        </w:rPr>
        <w:t> </w:t>
      </w:r>
      <w:r>
        <w:rPr>
          <w:i/>
          <w:color w:val="231F20"/>
          <w:sz w:val="20"/>
        </w:rPr>
        <w:t>сам</w:t>
      </w:r>
      <w:r>
        <w:rPr>
          <w:i/>
          <w:color w:val="231F20"/>
          <w:spacing w:val="-4"/>
          <w:sz w:val="20"/>
        </w:rPr>
        <w:t> </w:t>
      </w:r>
      <w:r>
        <w:rPr>
          <w:i/>
          <w:color w:val="231F20"/>
          <w:sz w:val="20"/>
        </w:rPr>
        <w:t>отлича- ешься от других, в чем ты – особенный.</w:t>
      </w:r>
    </w:p>
    <w:p>
      <w:pPr>
        <w:pStyle w:val="ListParagraph"/>
        <w:numPr>
          <w:ilvl w:val="0"/>
          <w:numId w:val="218"/>
        </w:numPr>
        <w:tabs>
          <w:tab w:pos="575" w:val="left" w:leader="none"/>
        </w:tabs>
        <w:spacing w:line="218" w:lineRule="exact" w:before="0" w:after="0"/>
        <w:ind w:left="575" w:right="0" w:hanging="150"/>
        <w:jc w:val="both"/>
        <w:rPr>
          <w:i/>
          <w:sz w:val="20"/>
        </w:rPr>
      </w:pPr>
      <w:r>
        <w:rPr>
          <w:i/>
          <w:color w:val="231F20"/>
          <w:sz w:val="20"/>
        </w:rPr>
        <w:t>Я?</w:t>
      </w:r>
      <w:r>
        <w:rPr>
          <w:i/>
          <w:color w:val="231F20"/>
          <w:spacing w:val="-3"/>
          <w:sz w:val="20"/>
        </w:rPr>
        <w:t> </w:t>
      </w:r>
      <w:r>
        <w:rPr>
          <w:i/>
          <w:color w:val="231F20"/>
          <w:sz w:val="20"/>
        </w:rPr>
        <w:t>Я</w:t>
      </w:r>
      <w:r>
        <w:rPr>
          <w:i/>
          <w:color w:val="231F20"/>
          <w:spacing w:val="-4"/>
          <w:sz w:val="20"/>
        </w:rPr>
        <w:t> </w:t>
      </w:r>
      <w:r>
        <w:rPr>
          <w:i/>
          <w:color w:val="231F20"/>
          <w:sz w:val="20"/>
        </w:rPr>
        <w:t>...</w:t>
      </w:r>
      <w:r>
        <w:rPr>
          <w:i/>
          <w:color w:val="231F20"/>
          <w:spacing w:val="-3"/>
          <w:sz w:val="20"/>
        </w:rPr>
        <w:t> </w:t>
      </w:r>
      <w:r>
        <w:rPr>
          <w:i/>
          <w:color w:val="231F20"/>
          <w:sz w:val="20"/>
        </w:rPr>
        <w:t>умею</w:t>
      </w:r>
      <w:r>
        <w:rPr>
          <w:i/>
          <w:color w:val="231F20"/>
          <w:spacing w:val="-3"/>
          <w:sz w:val="20"/>
        </w:rPr>
        <w:t> </w:t>
      </w:r>
      <w:r>
        <w:rPr>
          <w:i/>
          <w:color w:val="231F20"/>
          <w:sz w:val="20"/>
        </w:rPr>
        <w:t>придумывать...</w:t>
      </w:r>
      <w:r>
        <w:rPr>
          <w:i/>
          <w:color w:val="231F20"/>
          <w:spacing w:val="-3"/>
          <w:sz w:val="20"/>
        </w:rPr>
        <w:t> </w:t>
      </w:r>
      <w:r>
        <w:rPr>
          <w:i/>
          <w:color w:val="231F20"/>
          <w:sz w:val="20"/>
        </w:rPr>
        <w:t>но</w:t>
      </w:r>
      <w:r>
        <w:rPr>
          <w:i/>
          <w:color w:val="231F20"/>
          <w:spacing w:val="-3"/>
          <w:sz w:val="20"/>
        </w:rPr>
        <w:t> </w:t>
      </w:r>
      <w:r>
        <w:rPr>
          <w:i/>
          <w:color w:val="231F20"/>
          <w:sz w:val="20"/>
        </w:rPr>
        <w:t>это,</w:t>
      </w:r>
      <w:r>
        <w:rPr>
          <w:i/>
          <w:color w:val="231F20"/>
          <w:spacing w:val="-3"/>
          <w:sz w:val="20"/>
        </w:rPr>
        <w:t> </w:t>
      </w:r>
      <w:r>
        <w:rPr>
          <w:i/>
          <w:color w:val="231F20"/>
          <w:sz w:val="20"/>
        </w:rPr>
        <w:t>наверное,</w:t>
      </w:r>
      <w:r>
        <w:rPr>
          <w:i/>
          <w:color w:val="231F20"/>
          <w:spacing w:val="-2"/>
          <w:sz w:val="20"/>
        </w:rPr>
        <w:t> неважно?</w:t>
      </w:r>
    </w:p>
    <w:p>
      <w:pPr>
        <w:pStyle w:val="ListParagraph"/>
        <w:numPr>
          <w:ilvl w:val="0"/>
          <w:numId w:val="218"/>
        </w:numPr>
        <w:tabs>
          <w:tab w:pos="571" w:val="left" w:leader="none"/>
        </w:tabs>
        <w:spacing w:line="232" w:lineRule="auto" w:before="2" w:after="0"/>
        <w:ind w:left="141" w:right="140" w:firstLine="283"/>
        <w:jc w:val="both"/>
        <w:rPr>
          <w:i/>
          <w:sz w:val="20"/>
        </w:rPr>
      </w:pPr>
      <w:r>
        <w:rPr>
          <w:i/>
          <w:color w:val="231F20"/>
          <w:sz w:val="20"/>
        </w:rPr>
        <w:t>Как</w:t>
      </w:r>
      <w:r>
        <w:rPr>
          <w:i/>
          <w:color w:val="231F20"/>
          <w:spacing w:val="-8"/>
          <w:sz w:val="20"/>
        </w:rPr>
        <w:t> </w:t>
      </w:r>
      <w:r>
        <w:rPr>
          <w:i/>
          <w:color w:val="231F20"/>
          <w:sz w:val="20"/>
        </w:rPr>
        <w:t>же,</w:t>
      </w:r>
      <w:r>
        <w:rPr>
          <w:i/>
          <w:color w:val="231F20"/>
          <w:spacing w:val="-8"/>
          <w:sz w:val="20"/>
        </w:rPr>
        <w:t> </w:t>
      </w:r>
      <w:r>
        <w:rPr>
          <w:i/>
          <w:color w:val="231F20"/>
          <w:sz w:val="20"/>
        </w:rPr>
        <w:t>это</w:t>
      </w:r>
      <w:r>
        <w:rPr>
          <w:i/>
          <w:color w:val="231F20"/>
          <w:spacing w:val="-8"/>
          <w:sz w:val="20"/>
        </w:rPr>
        <w:t> </w:t>
      </w:r>
      <w:r>
        <w:rPr>
          <w:i/>
          <w:color w:val="231F20"/>
          <w:sz w:val="20"/>
        </w:rPr>
        <w:t>очень</w:t>
      </w:r>
      <w:r>
        <w:rPr>
          <w:i/>
          <w:color w:val="231F20"/>
          <w:spacing w:val="-8"/>
          <w:sz w:val="20"/>
        </w:rPr>
        <w:t> </w:t>
      </w:r>
      <w:r>
        <w:rPr>
          <w:i/>
          <w:color w:val="231F20"/>
          <w:sz w:val="20"/>
        </w:rPr>
        <w:t>здорово.</w:t>
      </w:r>
      <w:r>
        <w:rPr>
          <w:i/>
          <w:color w:val="231F20"/>
          <w:spacing w:val="-8"/>
          <w:sz w:val="20"/>
        </w:rPr>
        <w:t> </w:t>
      </w:r>
      <w:r>
        <w:rPr>
          <w:i/>
          <w:color w:val="231F20"/>
          <w:sz w:val="20"/>
        </w:rPr>
        <w:t>Когда</w:t>
      </w:r>
      <w:r>
        <w:rPr>
          <w:i/>
          <w:color w:val="231F20"/>
          <w:spacing w:val="-8"/>
          <w:sz w:val="20"/>
        </w:rPr>
        <w:t> </w:t>
      </w:r>
      <w:r>
        <w:rPr>
          <w:i/>
          <w:color w:val="231F20"/>
          <w:sz w:val="20"/>
        </w:rPr>
        <w:t>гости</w:t>
      </w:r>
      <w:r>
        <w:rPr>
          <w:i/>
          <w:color w:val="231F20"/>
          <w:spacing w:val="-8"/>
          <w:sz w:val="20"/>
        </w:rPr>
        <w:t> </w:t>
      </w:r>
      <w:r>
        <w:rPr>
          <w:i/>
          <w:color w:val="231F20"/>
          <w:sz w:val="20"/>
        </w:rPr>
        <w:t>устанут,</w:t>
      </w:r>
      <w:r>
        <w:rPr>
          <w:i/>
          <w:color w:val="231F20"/>
          <w:spacing w:val="-8"/>
          <w:sz w:val="20"/>
        </w:rPr>
        <w:t> </w:t>
      </w:r>
      <w:r>
        <w:rPr>
          <w:i/>
          <w:color w:val="231F20"/>
          <w:sz w:val="20"/>
        </w:rPr>
        <w:t>ты</w:t>
      </w:r>
      <w:r>
        <w:rPr>
          <w:i/>
          <w:color w:val="231F20"/>
          <w:spacing w:val="-8"/>
          <w:sz w:val="20"/>
        </w:rPr>
        <w:t> </w:t>
      </w:r>
      <w:r>
        <w:rPr>
          <w:i/>
          <w:color w:val="231F20"/>
          <w:sz w:val="20"/>
        </w:rPr>
        <w:t>сможешь</w:t>
      </w:r>
      <w:r>
        <w:rPr>
          <w:i/>
          <w:color w:val="231F20"/>
          <w:spacing w:val="-8"/>
          <w:sz w:val="20"/>
        </w:rPr>
        <w:t> </w:t>
      </w:r>
      <w:r>
        <w:rPr>
          <w:i/>
          <w:color w:val="231F20"/>
          <w:sz w:val="20"/>
        </w:rPr>
        <w:t>им</w:t>
      </w:r>
      <w:r>
        <w:rPr>
          <w:i/>
          <w:color w:val="231F20"/>
          <w:spacing w:val="-8"/>
          <w:sz w:val="20"/>
        </w:rPr>
        <w:t> </w:t>
      </w:r>
      <w:r>
        <w:rPr>
          <w:i/>
          <w:color w:val="231F20"/>
          <w:sz w:val="20"/>
        </w:rPr>
        <w:t>рассказать интересную историю, правда?</w:t>
      </w:r>
    </w:p>
    <w:p>
      <w:pPr>
        <w:pStyle w:val="ListParagraph"/>
        <w:numPr>
          <w:ilvl w:val="0"/>
          <w:numId w:val="218"/>
        </w:numPr>
        <w:tabs>
          <w:tab w:pos="575" w:val="left" w:leader="none"/>
        </w:tabs>
        <w:spacing w:line="218" w:lineRule="exact" w:before="0" w:after="0"/>
        <w:ind w:left="575" w:right="0" w:hanging="150"/>
        <w:jc w:val="both"/>
        <w:rPr>
          <w:i/>
          <w:sz w:val="20"/>
        </w:rPr>
      </w:pPr>
      <w:r>
        <w:rPr>
          <w:i/>
          <w:color w:val="231F20"/>
          <w:sz w:val="20"/>
        </w:rPr>
        <w:t>Конечно!!!</w:t>
      </w:r>
      <w:r>
        <w:rPr>
          <w:i/>
          <w:color w:val="231F20"/>
          <w:spacing w:val="-7"/>
          <w:sz w:val="20"/>
        </w:rPr>
        <w:t> </w:t>
      </w:r>
      <w:r>
        <w:rPr>
          <w:i/>
          <w:color w:val="231F20"/>
          <w:sz w:val="20"/>
        </w:rPr>
        <w:t>–</w:t>
      </w:r>
      <w:r>
        <w:rPr>
          <w:i/>
          <w:color w:val="231F20"/>
          <w:spacing w:val="-6"/>
          <w:sz w:val="20"/>
        </w:rPr>
        <w:t> </w:t>
      </w:r>
      <w:r>
        <w:rPr>
          <w:i/>
          <w:color w:val="231F20"/>
          <w:sz w:val="20"/>
        </w:rPr>
        <w:t>обрадовался</w:t>
      </w:r>
      <w:r>
        <w:rPr>
          <w:i/>
          <w:color w:val="231F20"/>
          <w:spacing w:val="-6"/>
          <w:sz w:val="20"/>
        </w:rPr>
        <w:t> </w:t>
      </w:r>
      <w:r>
        <w:rPr>
          <w:i/>
          <w:color w:val="231F20"/>
          <w:spacing w:val="-2"/>
          <w:sz w:val="20"/>
        </w:rPr>
        <w:t>мальчик.</w:t>
      </w:r>
    </w:p>
    <w:p>
      <w:pPr>
        <w:spacing w:line="232" w:lineRule="auto" w:before="2"/>
        <w:ind w:left="141" w:right="139" w:firstLine="283"/>
        <w:jc w:val="both"/>
        <w:rPr>
          <w:i/>
          <w:sz w:val="20"/>
        </w:rPr>
      </w:pPr>
      <w:r>
        <w:rPr>
          <w:i/>
          <w:color w:val="231F20"/>
          <w:sz w:val="20"/>
        </w:rPr>
        <w:t>Он</w:t>
      </w:r>
      <w:r>
        <w:rPr>
          <w:i/>
          <w:color w:val="231F20"/>
          <w:spacing w:val="-13"/>
          <w:sz w:val="20"/>
        </w:rPr>
        <w:t> </w:t>
      </w:r>
      <w:r>
        <w:rPr>
          <w:i/>
          <w:color w:val="231F20"/>
          <w:sz w:val="20"/>
        </w:rPr>
        <w:t>так</w:t>
      </w:r>
      <w:r>
        <w:rPr>
          <w:i/>
          <w:color w:val="231F20"/>
          <w:spacing w:val="-12"/>
          <w:sz w:val="20"/>
        </w:rPr>
        <w:t> </w:t>
      </w:r>
      <w:r>
        <w:rPr>
          <w:i/>
          <w:color w:val="231F20"/>
          <w:sz w:val="20"/>
        </w:rPr>
        <w:t>и</w:t>
      </w:r>
      <w:r>
        <w:rPr>
          <w:i/>
          <w:color w:val="231F20"/>
          <w:spacing w:val="-13"/>
          <w:sz w:val="20"/>
        </w:rPr>
        <w:t> </w:t>
      </w:r>
      <w:r>
        <w:rPr>
          <w:i/>
          <w:color w:val="231F20"/>
          <w:sz w:val="20"/>
        </w:rPr>
        <w:t>поступил,</w:t>
      </w:r>
      <w:r>
        <w:rPr>
          <w:i/>
          <w:color w:val="231F20"/>
          <w:spacing w:val="-12"/>
          <w:sz w:val="20"/>
        </w:rPr>
        <w:t> </w:t>
      </w:r>
      <w:r>
        <w:rPr>
          <w:i/>
          <w:color w:val="231F20"/>
          <w:sz w:val="20"/>
        </w:rPr>
        <w:t>как</w:t>
      </w:r>
      <w:r>
        <w:rPr>
          <w:i/>
          <w:color w:val="231F20"/>
          <w:spacing w:val="-13"/>
          <w:sz w:val="20"/>
        </w:rPr>
        <w:t> </w:t>
      </w:r>
      <w:r>
        <w:rPr>
          <w:i/>
          <w:color w:val="231F20"/>
          <w:sz w:val="20"/>
        </w:rPr>
        <w:t>советовал</w:t>
      </w:r>
      <w:r>
        <w:rPr>
          <w:i/>
          <w:color w:val="231F20"/>
          <w:spacing w:val="-12"/>
          <w:sz w:val="20"/>
        </w:rPr>
        <w:t> </w:t>
      </w:r>
      <w:r>
        <w:rPr>
          <w:i/>
          <w:color w:val="231F20"/>
          <w:sz w:val="20"/>
        </w:rPr>
        <w:t>гость.</w:t>
      </w:r>
      <w:r>
        <w:rPr>
          <w:i/>
          <w:color w:val="231F20"/>
          <w:spacing w:val="-13"/>
          <w:sz w:val="20"/>
        </w:rPr>
        <w:t> </w:t>
      </w:r>
      <w:r>
        <w:rPr>
          <w:i/>
          <w:color w:val="231F20"/>
          <w:sz w:val="20"/>
        </w:rPr>
        <w:t>Все</w:t>
      </w:r>
      <w:r>
        <w:rPr>
          <w:i/>
          <w:color w:val="231F20"/>
          <w:spacing w:val="-12"/>
          <w:sz w:val="20"/>
        </w:rPr>
        <w:t> </w:t>
      </w:r>
      <w:r>
        <w:rPr>
          <w:i/>
          <w:color w:val="231F20"/>
          <w:sz w:val="20"/>
        </w:rPr>
        <w:t>гости</w:t>
      </w:r>
      <w:r>
        <w:rPr>
          <w:i/>
          <w:color w:val="231F20"/>
          <w:spacing w:val="-13"/>
          <w:sz w:val="20"/>
        </w:rPr>
        <w:t> </w:t>
      </w:r>
      <w:r>
        <w:rPr>
          <w:i/>
          <w:color w:val="231F20"/>
          <w:sz w:val="20"/>
        </w:rPr>
        <w:t>были</w:t>
      </w:r>
      <w:r>
        <w:rPr>
          <w:i/>
          <w:color w:val="231F20"/>
          <w:spacing w:val="-12"/>
          <w:sz w:val="20"/>
        </w:rPr>
        <w:t> </w:t>
      </w:r>
      <w:r>
        <w:rPr>
          <w:i/>
          <w:color w:val="231F20"/>
          <w:sz w:val="20"/>
        </w:rPr>
        <w:t>очень</w:t>
      </w:r>
      <w:r>
        <w:rPr>
          <w:i/>
          <w:color w:val="231F20"/>
          <w:spacing w:val="-13"/>
          <w:sz w:val="20"/>
        </w:rPr>
        <w:t> </w:t>
      </w:r>
      <w:r>
        <w:rPr>
          <w:i/>
          <w:color w:val="231F20"/>
          <w:sz w:val="20"/>
        </w:rPr>
        <w:t>довольны</w:t>
      </w:r>
      <w:r>
        <w:rPr>
          <w:i/>
          <w:color w:val="231F20"/>
          <w:spacing w:val="-12"/>
          <w:sz w:val="20"/>
        </w:rPr>
        <w:t> </w:t>
      </w:r>
      <w:r>
        <w:rPr>
          <w:i/>
          <w:color w:val="231F20"/>
          <w:sz w:val="20"/>
        </w:rPr>
        <w:t>и</w:t>
      </w:r>
      <w:r>
        <w:rPr>
          <w:i/>
          <w:color w:val="231F20"/>
          <w:spacing w:val="-13"/>
          <w:sz w:val="20"/>
        </w:rPr>
        <w:t> </w:t>
      </w:r>
      <w:r>
        <w:rPr>
          <w:i/>
          <w:color w:val="231F20"/>
          <w:sz w:val="20"/>
        </w:rPr>
        <w:t>громко хлопали, а мама с радостью смотрела на мальчика и в конце произнесла: «Какой у меня замечательный сын».</w:t>
      </w:r>
    </w:p>
    <w:p>
      <w:pPr>
        <w:spacing w:line="232" w:lineRule="auto" w:before="0"/>
        <w:ind w:left="141" w:right="139" w:firstLine="283"/>
        <w:jc w:val="both"/>
        <w:rPr>
          <w:i/>
          <w:sz w:val="20"/>
        </w:rPr>
      </w:pPr>
      <w:r>
        <w:rPr>
          <w:i/>
          <w:color w:val="231F20"/>
          <w:sz w:val="20"/>
        </w:rPr>
        <w:t>Урок.</w:t>
      </w:r>
      <w:r>
        <w:rPr>
          <w:i/>
          <w:color w:val="231F20"/>
          <w:spacing w:val="-12"/>
          <w:sz w:val="20"/>
        </w:rPr>
        <w:t> </w:t>
      </w:r>
      <w:r>
        <w:rPr>
          <w:i/>
          <w:color w:val="231F20"/>
          <w:sz w:val="20"/>
        </w:rPr>
        <w:t>Хочешь,</w:t>
      </w:r>
      <w:r>
        <w:rPr>
          <w:i/>
          <w:color w:val="231F20"/>
          <w:spacing w:val="-12"/>
          <w:sz w:val="20"/>
        </w:rPr>
        <w:t> </w:t>
      </w:r>
      <w:r>
        <w:rPr>
          <w:i/>
          <w:color w:val="231F20"/>
          <w:sz w:val="20"/>
        </w:rPr>
        <w:t>чтобы</w:t>
      </w:r>
      <w:r>
        <w:rPr>
          <w:i/>
          <w:color w:val="231F20"/>
          <w:spacing w:val="-12"/>
          <w:sz w:val="20"/>
        </w:rPr>
        <w:t> </w:t>
      </w:r>
      <w:r>
        <w:rPr>
          <w:i/>
          <w:color w:val="231F20"/>
          <w:sz w:val="20"/>
        </w:rPr>
        <w:t>на</w:t>
      </w:r>
      <w:r>
        <w:rPr>
          <w:i/>
          <w:color w:val="231F20"/>
          <w:spacing w:val="-12"/>
          <w:sz w:val="20"/>
        </w:rPr>
        <w:t> </w:t>
      </w:r>
      <w:r>
        <w:rPr>
          <w:i/>
          <w:color w:val="231F20"/>
          <w:sz w:val="20"/>
        </w:rPr>
        <w:t>тебя</w:t>
      </w:r>
      <w:r>
        <w:rPr>
          <w:i/>
          <w:color w:val="231F20"/>
          <w:spacing w:val="-12"/>
          <w:sz w:val="20"/>
        </w:rPr>
        <w:t> </w:t>
      </w:r>
      <w:r>
        <w:rPr>
          <w:i/>
          <w:color w:val="231F20"/>
          <w:sz w:val="20"/>
        </w:rPr>
        <w:t>обращали</w:t>
      </w:r>
      <w:r>
        <w:rPr>
          <w:i/>
          <w:color w:val="231F20"/>
          <w:spacing w:val="-12"/>
          <w:sz w:val="20"/>
        </w:rPr>
        <w:t> </w:t>
      </w:r>
      <w:r>
        <w:rPr>
          <w:i/>
          <w:color w:val="231F20"/>
          <w:sz w:val="20"/>
        </w:rPr>
        <w:t>внимание?</w:t>
      </w:r>
      <w:r>
        <w:rPr>
          <w:i/>
          <w:color w:val="231F20"/>
          <w:spacing w:val="-12"/>
          <w:sz w:val="20"/>
        </w:rPr>
        <w:t> </w:t>
      </w:r>
      <w:r>
        <w:rPr>
          <w:i/>
          <w:color w:val="231F20"/>
          <w:sz w:val="20"/>
        </w:rPr>
        <w:t>Подумай,</w:t>
      </w:r>
      <w:r>
        <w:rPr>
          <w:i/>
          <w:color w:val="231F20"/>
          <w:spacing w:val="-12"/>
          <w:sz w:val="20"/>
        </w:rPr>
        <w:t> </w:t>
      </w:r>
      <w:r>
        <w:rPr>
          <w:i/>
          <w:color w:val="231F20"/>
          <w:sz w:val="20"/>
        </w:rPr>
        <w:t>в</w:t>
      </w:r>
      <w:r>
        <w:rPr>
          <w:i/>
          <w:color w:val="231F20"/>
          <w:spacing w:val="-12"/>
          <w:sz w:val="20"/>
        </w:rPr>
        <w:t> </w:t>
      </w:r>
      <w:r>
        <w:rPr>
          <w:i/>
          <w:color w:val="231F20"/>
          <w:sz w:val="20"/>
        </w:rPr>
        <w:t>чем</w:t>
      </w:r>
      <w:r>
        <w:rPr>
          <w:i/>
          <w:color w:val="231F20"/>
          <w:spacing w:val="-12"/>
          <w:sz w:val="20"/>
        </w:rPr>
        <w:t> </w:t>
      </w:r>
      <w:r>
        <w:rPr>
          <w:i/>
          <w:color w:val="231F20"/>
          <w:sz w:val="20"/>
        </w:rPr>
        <w:t>ты</w:t>
      </w:r>
      <w:r>
        <w:rPr>
          <w:i/>
          <w:color w:val="231F20"/>
          <w:spacing w:val="-12"/>
          <w:sz w:val="20"/>
        </w:rPr>
        <w:t> </w:t>
      </w:r>
      <w:r>
        <w:rPr>
          <w:i/>
          <w:color w:val="231F20"/>
          <w:sz w:val="20"/>
        </w:rPr>
        <w:t>особенный и покажи это всем!</w:t>
      </w:r>
    </w:p>
    <w:p>
      <w:pPr>
        <w:pStyle w:val="BodyText"/>
        <w:spacing w:line="232" w:lineRule="auto" w:before="108"/>
      </w:pPr>
      <w:r>
        <w:rPr>
          <w:color w:val="231F20"/>
        </w:rPr>
        <w:t>Общие</w:t>
      </w:r>
      <w:r>
        <w:rPr>
          <w:color w:val="231F20"/>
          <w:spacing w:val="-4"/>
        </w:rPr>
        <w:t> </w:t>
      </w:r>
      <w:r>
        <w:rPr>
          <w:color w:val="231F20"/>
        </w:rPr>
        <w:t>закономерности</w:t>
      </w:r>
      <w:r>
        <w:rPr>
          <w:color w:val="231F20"/>
          <w:spacing w:val="-4"/>
        </w:rPr>
        <w:t> </w:t>
      </w:r>
      <w:r>
        <w:rPr>
          <w:color w:val="231F20"/>
        </w:rPr>
        <w:t>работы</w:t>
      </w:r>
      <w:r>
        <w:rPr>
          <w:color w:val="231F20"/>
          <w:spacing w:val="-4"/>
        </w:rPr>
        <w:t> </w:t>
      </w:r>
      <w:r>
        <w:rPr>
          <w:color w:val="231F20"/>
        </w:rPr>
        <w:t>с</w:t>
      </w:r>
      <w:r>
        <w:rPr>
          <w:color w:val="231F20"/>
          <w:spacing w:val="-4"/>
        </w:rPr>
        <w:t> </w:t>
      </w:r>
      <w:r>
        <w:rPr>
          <w:color w:val="231F20"/>
        </w:rPr>
        <w:t>данными</w:t>
      </w:r>
      <w:r>
        <w:rPr>
          <w:color w:val="231F20"/>
          <w:spacing w:val="-4"/>
        </w:rPr>
        <w:t> </w:t>
      </w:r>
      <w:r>
        <w:rPr>
          <w:color w:val="231F20"/>
        </w:rPr>
        <w:t>категориями</w:t>
      </w:r>
      <w:r>
        <w:rPr>
          <w:color w:val="231F20"/>
          <w:spacing w:val="-4"/>
        </w:rPr>
        <w:t> </w:t>
      </w:r>
      <w:r>
        <w:rPr>
          <w:color w:val="231F20"/>
        </w:rPr>
        <w:t>достаточно</w:t>
      </w:r>
      <w:r>
        <w:rPr>
          <w:color w:val="231F20"/>
          <w:spacing w:val="-4"/>
        </w:rPr>
        <w:t> </w:t>
      </w:r>
      <w:r>
        <w:rPr>
          <w:color w:val="231F20"/>
        </w:rPr>
        <w:t>просты.</w:t>
      </w:r>
      <w:r>
        <w:rPr>
          <w:color w:val="231F20"/>
          <w:spacing w:val="-4"/>
        </w:rPr>
        <w:t> </w:t>
      </w:r>
      <w:r>
        <w:rPr>
          <w:color w:val="231F20"/>
        </w:rPr>
        <w:t>Если в истории ясно выражена только одна линия, работа строится только в ее рамках. Если же в детском рассказе переплетено несколько моделей дезадаптивного пове- дения, в этом случае работа ведется с наиболее глубинным уровнем дезадаптации, который можно определить по таблице, где первый уровень – наиболее глубинный.</w:t>
      </w:r>
    </w:p>
    <w:p>
      <w:pPr>
        <w:pStyle w:val="BodyText"/>
        <w:spacing w:before="5"/>
        <w:ind w:left="0" w:right="0" w:firstLine="0"/>
        <w:jc w:val="left"/>
        <w:rPr>
          <w:sz w:val="13"/>
        </w:rPr>
      </w:pPr>
    </w:p>
    <w:tbl>
      <w:tblPr>
        <w:tblW w:w="0" w:type="auto"/>
        <w:jc w:val="left"/>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147"/>
        <w:gridCol w:w="1966"/>
        <w:gridCol w:w="1525"/>
        <w:gridCol w:w="842"/>
        <w:gridCol w:w="1767"/>
      </w:tblGrid>
      <w:tr>
        <w:trPr>
          <w:trHeight w:val="225" w:hRule="atLeast"/>
        </w:trPr>
        <w:tc>
          <w:tcPr>
            <w:tcW w:w="1147" w:type="dxa"/>
          </w:tcPr>
          <w:p>
            <w:pPr>
              <w:pStyle w:val="TableParagraph"/>
              <w:spacing w:line="200" w:lineRule="exact" w:before="5"/>
              <w:ind w:left="10"/>
              <w:jc w:val="center"/>
              <w:rPr>
                <w:b/>
                <w:sz w:val="18"/>
              </w:rPr>
            </w:pPr>
            <w:r>
              <w:rPr>
                <w:b/>
                <w:color w:val="231F20"/>
                <w:spacing w:val="-2"/>
                <w:sz w:val="18"/>
              </w:rPr>
              <w:t>Уровень</w:t>
            </w:r>
          </w:p>
        </w:tc>
        <w:tc>
          <w:tcPr>
            <w:tcW w:w="6100" w:type="dxa"/>
            <w:gridSpan w:val="4"/>
          </w:tcPr>
          <w:p>
            <w:pPr>
              <w:pStyle w:val="TableParagraph"/>
              <w:spacing w:line="200" w:lineRule="exact" w:before="5"/>
              <w:ind w:left="9"/>
              <w:jc w:val="center"/>
              <w:rPr>
                <w:b/>
                <w:sz w:val="18"/>
              </w:rPr>
            </w:pPr>
            <w:r>
              <w:rPr>
                <w:b/>
                <w:color w:val="231F20"/>
                <w:sz w:val="18"/>
              </w:rPr>
              <w:t>Вид </w:t>
            </w:r>
            <w:r>
              <w:rPr>
                <w:b/>
                <w:color w:val="231F20"/>
                <w:spacing w:val="-2"/>
                <w:sz w:val="18"/>
              </w:rPr>
              <w:t>дезадаптации</w:t>
            </w:r>
          </w:p>
        </w:tc>
      </w:tr>
      <w:tr>
        <w:trPr>
          <w:trHeight w:val="228" w:hRule="atLeast"/>
        </w:trPr>
        <w:tc>
          <w:tcPr>
            <w:tcW w:w="1147" w:type="dxa"/>
          </w:tcPr>
          <w:p>
            <w:pPr>
              <w:pStyle w:val="TableParagraph"/>
              <w:spacing w:line="200" w:lineRule="exact" w:before="8"/>
              <w:ind w:left="10" w:right="1"/>
              <w:jc w:val="center"/>
              <w:rPr>
                <w:sz w:val="18"/>
              </w:rPr>
            </w:pPr>
            <w:r>
              <w:rPr>
                <w:color w:val="231F20"/>
                <w:spacing w:val="-10"/>
                <w:sz w:val="18"/>
              </w:rPr>
              <w:t>1</w:t>
            </w:r>
          </w:p>
        </w:tc>
        <w:tc>
          <w:tcPr>
            <w:tcW w:w="6100" w:type="dxa"/>
            <w:gridSpan w:val="4"/>
          </w:tcPr>
          <w:p>
            <w:pPr>
              <w:pStyle w:val="TableParagraph"/>
              <w:spacing w:line="200" w:lineRule="exact" w:before="8"/>
              <w:ind w:left="9"/>
              <w:jc w:val="center"/>
              <w:rPr>
                <w:sz w:val="18"/>
              </w:rPr>
            </w:pPr>
            <w:r>
              <w:rPr>
                <w:color w:val="231F20"/>
                <w:spacing w:val="-2"/>
                <w:sz w:val="18"/>
              </w:rPr>
              <w:t>Опасность</w:t>
            </w:r>
          </w:p>
        </w:tc>
      </w:tr>
      <w:tr>
        <w:trPr>
          <w:trHeight w:val="228" w:hRule="atLeast"/>
        </w:trPr>
        <w:tc>
          <w:tcPr>
            <w:tcW w:w="1147" w:type="dxa"/>
          </w:tcPr>
          <w:p>
            <w:pPr>
              <w:pStyle w:val="TableParagraph"/>
              <w:spacing w:line="200" w:lineRule="exact" w:before="8"/>
              <w:ind w:left="10" w:right="1"/>
              <w:jc w:val="center"/>
              <w:rPr>
                <w:sz w:val="18"/>
              </w:rPr>
            </w:pPr>
            <w:r>
              <w:rPr>
                <w:color w:val="231F20"/>
                <w:spacing w:val="-10"/>
                <w:sz w:val="18"/>
              </w:rPr>
              <w:t>2</w:t>
            </w:r>
          </w:p>
        </w:tc>
        <w:tc>
          <w:tcPr>
            <w:tcW w:w="6100" w:type="dxa"/>
            <w:gridSpan w:val="4"/>
          </w:tcPr>
          <w:p>
            <w:pPr>
              <w:pStyle w:val="TableParagraph"/>
              <w:spacing w:line="200" w:lineRule="exact" w:before="8"/>
              <w:ind w:left="9"/>
              <w:jc w:val="center"/>
              <w:rPr>
                <w:sz w:val="18"/>
              </w:rPr>
            </w:pPr>
            <w:r>
              <w:rPr>
                <w:color w:val="231F20"/>
                <w:spacing w:val="-2"/>
                <w:sz w:val="18"/>
              </w:rPr>
              <w:t>Депрессивность</w:t>
            </w:r>
          </w:p>
        </w:tc>
      </w:tr>
      <w:tr>
        <w:trPr>
          <w:trHeight w:val="228" w:hRule="atLeast"/>
        </w:trPr>
        <w:tc>
          <w:tcPr>
            <w:tcW w:w="1147" w:type="dxa"/>
          </w:tcPr>
          <w:p>
            <w:pPr>
              <w:pStyle w:val="TableParagraph"/>
              <w:spacing w:line="200" w:lineRule="exact" w:before="8"/>
              <w:ind w:left="10" w:right="1"/>
              <w:jc w:val="center"/>
              <w:rPr>
                <w:sz w:val="18"/>
              </w:rPr>
            </w:pPr>
            <w:r>
              <w:rPr>
                <w:color w:val="231F20"/>
                <w:spacing w:val="-10"/>
                <w:sz w:val="18"/>
              </w:rPr>
              <w:t>3</w:t>
            </w:r>
          </w:p>
        </w:tc>
        <w:tc>
          <w:tcPr>
            <w:tcW w:w="6100" w:type="dxa"/>
            <w:gridSpan w:val="4"/>
          </w:tcPr>
          <w:p>
            <w:pPr>
              <w:pStyle w:val="TableParagraph"/>
              <w:spacing w:line="200" w:lineRule="exact" w:before="8"/>
              <w:ind w:left="9"/>
              <w:jc w:val="center"/>
              <w:rPr>
                <w:sz w:val="18"/>
              </w:rPr>
            </w:pPr>
            <w:r>
              <w:rPr>
                <w:color w:val="231F20"/>
                <w:spacing w:val="-2"/>
                <w:sz w:val="18"/>
              </w:rPr>
              <w:t>Инфантильность</w:t>
            </w:r>
          </w:p>
        </w:tc>
      </w:tr>
      <w:tr>
        <w:trPr>
          <w:trHeight w:val="228" w:hRule="atLeast"/>
        </w:trPr>
        <w:tc>
          <w:tcPr>
            <w:tcW w:w="1147" w:type="dxa"/>
          </w:tcPr>
          <w:p>
            <w:pPr>
              <w:pStyle w:val="TableParagraph"/>
              <w:spacing w:line="200" w:lineRule="exact" w:before="8"/>
              <w:ind w:left="10" w:right="1"/>
              <w:jc w:val="center"/>
              <w:rPr>
                <w:sz w:val="18"/>
              </w:rPr>
            </w:pPr>
            <w:r>
              <w:rPr>
                <w:color w:val="231F20"/>
                <w:spacing w:val="-10"/>
                <w:sz w:val="18"/>
              </w:rPr>
              <w:t>4</w:t>
            </w:r>
          </w:p>
        </w:tc>
        <w:tc>
          <w:tcPr>
            <w:tcW w:w="3491" w:type="dxa"/>
            <w:gridSpan w:val="2"/>
          </w:tcPr>
          <w:p>
            <w:pPr>
              <w:pStyle w:val="TableParagraph"/>
              <w:spacing w:line="200" w:lineRule="exact" w:before="8"/>
              <w:ind w:left="610"/>
              <w:rPr>
                <w:sz w:val="18"/>
              </w:rPr>
            </w:pPr>
            <w:r>
              <w:rPr>
                <w:color w:val="231F20"/>
                <w:sz w:val="18"/>
              </w:rPr>
              <w:t>Деструктивная</w:t>
            </w:r>
            <w:r>
              <w:rPr>
                <w:color w:val="231F20"/>
                <w:spacing w:val="2"/>
                <w:sz w:val="18"/>
              </w:rPr>
              <w:t> </w:t>
            </w:r>
            <w:r>
              <w:rPr>
                <w:color w:val="231F20"/>
                <w:spacing w:val="-2"/>
                <w:sz w:val="18"/>
              </w:rPr>
              <w:t>враждебность</w:t>
            </w:r>
          </w:p>
        </w:tc>
        <w:tc>
          <w:tcPr>
            <w:tcW w:w="2609" w:type="dxa"/>
            <w:gridSpan w:val="2"/>
          </w:tcPr>
          <w:p>
            <w:pPr>
              <w:pStyle w:val="TableParagraph"/>
              <w:spacing w:line="200" w:lineRule="exact" w:before="8"/>
              <w:ind w:left="766"/>
              <w:rPr>
                <w:sz w:val="18"/>
              </w:rPr>
            </w:pPr>
            <w:r>
              <w:rPr>
                <w:color w:val="231F20"/>
                <w:spacing w:val="-2"/>
                <w:sz w:val="18"/>
              </w:rPr>
              <w:t>Неуязвимость</w:t>
            </w:r>
          </w:p>
        </w:tc>
      </w:tr>
      <w:tr>
        <w:trPr>
          <w:trHeight w:val="228" w:hRule="atLeast"/>
        </w:trPr>
        <w:tc>
          <w:tcPr>
            <w:tcW w:w="1147" w:type="dxa"/>
          </w:tcPr>
          <w:p>
            <w:pPr>
              <w:pStyle w:val="TableParagraph"/>
              <w:spacing w:line="200" w:lineRule="exact" w:before="8"/>
              <w:ind w:left="10" w:right="1"/>
              <w:jc w:val="center"/>
              <w:rPr>
                <w:sz w:val="18"/>
              </w:rPr>
            </w:pPr>
            <w:r>
              <w:rPr>
                <w:color w:val="231F20"/>
                <w:spacing w:val="-10"/>
                <w:sz w:val="18"/>
              </w:rPr>
              <w:t>5</w:t>
            </w:r>
          </w:p>
        </w:tc>
        <w:tc>
          <w:tcPr>
            <w:tcW w:w="1966" w:type="dxa"/>
          </w:tcPr>
          <w:p>
            <w:pPr>
              <w:pStyle w:val="TableParagraph"/>
              <w:spacing w:line="200" w:lineRule="exact" w:before="8"/>
              <w:ind w:left="187"/>
              <w:rPr>
                <w:sz w:val="18"/>
              </w:rPr>
            </w:pPr>
            <w:r>
              <w:rPr>
                <w:color w:val="231F20"/>
                <w:sz w:val="18"/>
              </w:rPr>
              <w:t>Сдерживание</w:t>
            </w:r>
            <w:r>
              <w:rPr>
                <w:color w:val="231F20"/>
                <w:spacing w:val="-9"/>
                <w:sz w:val="18"/>
              </w:rPr>
              <w:t> </w:t>
            </w:r>
            <w:r>
              <w:rPr>
                <w:color w:val="231F20"/>
                <w:spacing w:val="-2"/>
                <w:sz w:val="18"/>
              </w:rPr>
              <w:t>чувств</w:t>
            </w:r>
          </w:p>
        </w:tc>
        <w:tc>
          <w:tcPr>
            <w:tcW w:w="2367" w:type="dxa"/>
            <w:gridSpan w:val="2"/>
          </w:tcPr>
          <w:p>
            <w:pPr>
              <w:pStyle w:val="TableParagraph"/>
              <w:spacing w:line="200" w:lineRule="exact" w:before="8"/>
              <w:ind w:left="486"/>
              <w:rPr>
                <w:sz w:val="18"/>
              </w:rPr>
            </w:pPr>
            <w:r>
              <w:rPr>
                <w:color w:val="231F20"/>
                <w:spacing w:val="-2"/>
                <w:sz w:val="18"/>
              </w:rPr>
              <w:t>Прямолинейность</w:t>
            </w:r>
          </w:p>
        </w:tc>
        <w:tc>
          <w:tcPr>
            <w:tcW w:w="1767" w:type="dxa"/>
          </w:tcPr>
          <w:p>
            <w:pPr>
              <w:pStyle w:val="TableParagraph"/>
              <w:spacing w:line="200" w:lineRule="exact" w:before="8"/>
              <w:ind w:left="295"/>
              <w:rPr>
                <w:sz w:val="18"/>
              </w:rPr>
            </w:pPr>
            <w:r>
              <w:rPr>
                <w:color w:val="231F20"/>
                <w:sz w:val="18"/>
              </w:rPr>
              <w:t>Неприятие </w:t>
            </w:r>
            <w:r>
              <w:rPr>
                <w:color w:val="231F20"/>
                <w:spacing w:val="-5"/>
                <w:sz w:val="18"/>
              </w:rPr>
              <w:t>«Я»</w:t>
            </w:r>
          </w:p>
        </w:tc>
      </w:tr>
    </w:tbl>
    <w:p>
      <w:pPr>
        <w:pStyle w:val="BodyText"/>
        <w:spacing w:line="235" w:lineRule="auto" w:before="77"/>
        <w:ind w:right="138"/>
      </w:pPr>
      <w:r>
        <w:rPr>
          <w:color w:val="231F20"/>
        </w:rPr>
        <w:t>Использование вышеуказанных категорий необходимо строить по принципу ие- рархичности: сначала прорабатывается более «насущная» первичная категория, и только затем терапевт обращает внимание на обращение ребенка к более сложным темам.</w:t>
      </w:r>
      <w:r>
        <w:rPr>
          <w:color w:val="231F20"/>
          <w:spacing w:val="21"/>
        </w:rPr>
        <w:t> </w:t>
      </w:r>
      <w:r>
        <w:rPr>
          <w:color w:val="231F20"/>
        </w:rPr>
        <w:t>Пока</w:t>
      </w:r>
      <w:r>
        <w:rPr>
          <w:color w:val="231F20"/>
          <w:spacing w:val="21"/>
        </w:rPr>
        <w:t> </w:t>
      </w:r>
      <w:r>
        <w:rPr>
          <w:color w:val="231F20"/>
        </w:rPr>
        <w:t>ребенок</w:t>
      </w:r>
      <w:r>
        <w:rPr>
          <w:color w:val="231F20"/>
          <w:spacing w:val="21"/>
        </w:rPr>
        <w:t> </w:t>
      </w:r>
      <w:r>
        <w:rPr>
          <w:color w:val="231F20"/>
        </w:rPr>
        <w:t>не</w:t>
      </w:r>
      <w:r>
        <w:rPr>
          <w:color w:val="231F20"/>
          <w:spacing w:val="21"/>
        </w:rPr>
        <w:t> </w:t>
      </w:r>
      <w:r>
        <w:rPr>
          <w:color w:val="231F20"/>
        </w:rPr>
        <w:t>усвоил</w:t>
      </w:r>
      <w:r>
        <w:rPr>
          <w:color w:val="231F20"/>
          <w:spacing w:val="21"/>
        </w:rPr>
        <w:t> </w:t>
      </w:r>
      <w:r>
        <w:rPr>
          <w:color w:val="231F20"/>
        </w:rPr>
        <w:t>«послания»</w:t>
      </w:r>
      <w:r>
        <w:rPr>
          <w:color w:val="231F20"/>
          <w:spacing w:val="21"/>
        </w:rPr>
        <w:t> </w:t>
      </w:r>
      <w:r>
        <w:rPr>
          <w:color w:val="231F20"/>
        </w:rPr>
        <w:t>одного</w:t>
      </w:r>
      <w:r>
        <w:rPr>
          <w:color w:val="231F20"/>
          <w:spacing w:val="21"/>
        </w:rPr>
        <w:t> </w:t>
      </w:r>
      <w:r>
        <w:rPr>
          <w:color w:val="231F20"/>
        </w:rPr>
        <w:t>уровня,</w:t>
      </w:r>
      <w:r>
        <w:rPr>
          <w:color w:val="231F20"/>
          <w:spacing w:val="21"/>
        </w:rPr>
        <w:t> </w:t>
      </w:r>
      <w:r>
        <w:rPr>
          <w:color w:val="231F20"/>
        </w:rPr>
        <w:t>не</w:t>
      </w:r>
      <w:r>
        <w:rPr>
          <w:color w:val="231F20"/>
          <w:spacing w:val="21"/>
        </w:rPr>
        <w:t> </w:t>
      </w:r>
      <w:r>
        <w:rPr>
          <w:color w:val="231F20"/>
        </w:rPr>
        <w:t>следует</w:t>
      </w:r>
      <w:r>
        <w:rPr>
          <w:color w:val="231F20"/>
          <w:spacing w:val="21"/>
        </w:rPr>
        <w:t> </w:t>
      </w:r>
      <w:r>
        <w:rPr>
          <w:color w:val="231F20"/>
        </w:rPr>
        <w:t>переходить к другим сообщениям. Так, если ребенок в своих историях демонстрирует стойкое ощущение опасности в сочетании с деструктивной враждебностью, то работа по ка-</w:t>
      </w:r>
    </w:p>
    <w:p>
      <w:pPr>
        <w:pStyle w:val="BodyText"/>
        <w:spacing w:after="0" w:line="235" w:lineRule="auto"/>
        <w:sectPr>
          <w:pgSz w:w="8400" w:h="11910"/>
          <w:pgMar w:header="0" w:footer="529" w:top="400" w:bottom="740" w:left="425" w:right="425"/>
        </w:sectPr>
      </w:pPr>
    </w:p>
    <w:p>
      <w:pPr>
        <w:pStyle w:val="ListParagraph"/>
        <w:numPr>
          <w:ilvl w:val="1"/>
          <w:numId w:val="183"/>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Метод</w:t>
      </w:r>
      <w:r>
        <w:rPr>
          <w:rFonts w:ascii="Georgia" w:hAnsi="Georgia"/>
          <w:color w:val="231F20"/>
          <w:spacing w:val="-6"/>
          <w:sz w:val="18"/>
        </w:rPr>
        <w:t> </w:t>
      </w:r>
      <w:r>
        <w:rPr>
          <w:rFonts w:ascii="Georgia" w:hAnsi="Georgia"/>
          <w:color w:val="231F20"/>
          <w:sz w:val="18"/>
        </w:rPr>
        <w:t>диалогического</w:t>
      </w:r>
      <w:r>
        <w:rPr>
          <w:rFonts w:ascii="Georgia" w:hAnsi="Georgia"/>
          <w:color w:val="231F20"/>
          <w:spacing w:val="-5"/>
          <w:sz w:val="18"/>
        </w:rPr>
        <w:t> </w:t>
      </w:r>
      <w:r>
        <w:rPr>
          <w:rFonts w:ascii="Georgia" w:hAnsi="Georgia"/>
          <w:color w:val="231F20"/>
          <w:sz w:val="18"/>
        </w:rPr>
        <w:t>рассказывания</w:t>
      </w:r>
      <w:r>
        <w:rPr>
          <w:rFonts w:ascii="Georgia" w:hAnsi="Georgia"/>
          <w:color w:val="231F20"/>
          <w:spacing w:val="-6"/>
          <w:sz w:val="18"/>
        </w:rPr>
        <w:t> </w:t>
      </w:r>
      <w:r>
        <w:rPr>
          <w:rFonts w:ascii="Georgia" w:hAnsi="Georgia"/>
          <w:color w:val="231F20"/>
          <w:sz w:val="18"/>
        </w:rPr>
        <w:t>историй:</w:t>
      </w:r>
      <w:r>
        <w:rPr>
          <w:rFonts w:ascii="Georgia" w:hAnsi="Georgia"/>
          <w:color w:val="231F20"/>
          <w:spacing w:val="-5"/>
          <w:sz w:val="18"/>
        </w:rPr>
        <w:t> </w:t>
      </w:r>
      <w:r>
        <w:rPr>
          <w:rFonts w:ascii="Georgia" w:hAnsi="Georgia"/>
          <w:color w:val="231F20"/>
          <w:sz w:val="18"/>
        </w:rPr>
        <w:t>методическое</w:t>
      </w:r>
      <w:r>
        <w:rPr>
          <w:rFonts w:ascii="Georgia" w:hAnsi="Georgia"/>
          <w:color w:val="231F20"/>
          <w:spacing w:val="-5"/>
          <w:sz w:val="18"/>
        </w:rPr>
        <w:t> </w:t>
      </w:r>
      <w:r>
        <w:rPr>
          <w:rFonts w:ascii="Georgia" w:hAnsi="Georgia"/>
          <w:color w:val="231F20"/>
          <w:spacing w:val="-2"/>
          <w:sz w:val="18"/>
        </w:rPr>
        <w:t>руководство</w:t>
      </w:r>
    </w:p>
    <w:p>
      <w:pPr>
        <w:pStyle w:val="BodyText"/>
        <w:spacing w:line="235" w:lineRule="auto" w:before="116"/>
        <w:ind w:firstLine="0"/>
      </w:pPr>
      <w:r>
        <w:rPr>
          <w:color w:val="231F20"/>
        </w:rPr>
        <w:t>нализированию</w:t>
      </w:r>
      <w:r>
        <w:rPr>
          <w:color w:val="231F20"/>
          <w:spacing w:val="-2"/>
        </w:rPr>
        <w:t> </w:t>
      </w:r>
      <w:r>
        <w:rPr>
          <w:color w:val="231F20"/>
        </w:rPr>
        <w:t>агрессии</w:t>
      </w:r>
      <w:r>
        <w:rPr>
          <w:color w:val="231F20"/>
          <w:spacing w:val="-2"/>
        </w:rPr>
        <w:t> </w:t>
      </w:r>
      <w:r>
        <w:rPr>
          <w:color w:val="231F20"/>
        </w:rPr>
        <w:t>возможна</w:t>
      </w:r>
      <w:r>
        <w:rPr>
          <w:color w:val="231F20"/>
          <w:spacing w:val="-2"/>
        </w:rPr>
        <w:t> </w:t>
      </w:r>
      <w:r>
        <w:rPr>
          <w:color w:val="231F20"/>
        </w:rPr>
        <w:t>лишь</w:t>
      </w:r>
      <w:r>
        <w:rPr>
          <w:color w:val="231F20"/>
          <w:spacing w:val="-2"/>
        </w:rPr>
        <w:t> </w:t>
      </w:r>
      <w:r>
        <w:rPr>
          <w:color w:val="231F20"/>
        </w:rPr>
        <w:t>тогда,</w:t>
      </w:r>
      <w:r>
        <w:rPr>
          <w:color w:val="231F20"/>
          <w:spacing w:val="-2"/>
        </w:rPr>
        <w:t> </w:t>
      </w:r>
      <w:r>
        <w:rPr>
          <w:color w:val="231F20"/>
        </w:rPr>
        <w:t>когда</w:t>
      </w:r>
      <w:r>
        <w:rPr>
          <w:color w:val="231F20"/>
          <w:spacing w:val="-2"/>
        </w:rPr>
        <w:t> </w:t>
      </w:r>
      <w:r>
        <w:rPr>
          <w:color w:val="231F20"/>
        </w:rPr>
        <w:t>у</w:t>
      </w:r>
      <w:r>
        <w:rPr>
          <w:color w:val="231F20"/>
          <w:spacing w:val="-2"/>
        </w:rPr>
        <w:t> </w:t>
      </w:r>
      <w:r>
        <w:rPr>
          <w:color w:val="231F20"/>
        </w:rPr>
        <w:t>ребенка</w:t>
      </w:r>
      <w:r>
        <w:rPr>
          <w:color w:val="231F20"/>
          <w:spacing w:val="-2"/>
        </w:rPr>
        <w:t> </w:t>
      </w:r>
      <w:r>
        <w:rPr>
          <w:color w:val="231F20"/>
        </w:rPr>
        <w:t>появится</w:t>
      </w:r>
      <w:r>
        <w:rPr>
          <w:color w:val="231F20"/>
          <w:spacing w:val="-2"/>
        </w:rPr>
        <w:t> </w:t>
      </w:r>
      <w:r>
        <w:rPr>
          <w:color w:val="231F20"/>
        </w:rPr>
        <w:t>ощущение </w:t>
      </w:r>
      <w:r>
        <w:rPr>
          <w:color w:val="231F20"/>
          <w:spacing w:val="-2"/>
        </w:rPr>
        <w:t>безопасности.</w:t>
      </w:r>
    </w:p>
    <w:p>
      <w:pPr>
        <w:pStyle w:val="BodyText"/>
        <w:spacing w:line="235" w:lineRule="auto" w:before="1"/>
      </w:pPr>
      <w:r>
        <w:rPr>
          <w:color w:val="231F20"/>
        </w:rPr>
        <w:t>В одной ответной истории прорабатывается только одна категория, исключение можно</w:t>
      </w:r>
      <w:r>
        <w:rPr>
          <w:color w:val="231F20"/>
          <w:spacing w:val="-13"/>
        </w:rPr>
        <w:t> </w:t>
      </w:r>
      <w:r>
        <w:rPr>
          <w:color w:val="231F20"/>
        </w:rPr>
        <w:t>делать</w:t>
      </w:r>
      <w:r>
        <w:rPr>
          <w:color w:val="231F20"/>
          <w:spacing w:val="-12"/>
        </w:rPr>
        <w:t> </w:t>
      </w:r>
      <w:r>
        <w:rPr>
          <w:color w:val="231F20"/>
        </w:rPr>
        <w:t>только</w:t>
      </w:r>
      <w:r>
        <w:rPr>
          <w:color w:val="231F20"/>
          <w:spacing w:val="-13"/>
        </w:rPr>
        <w:t> </w:t>
      </w:r>
      <w:r>
        <w:rPr>
          <w:color w:val="231F20"/>
        </w:rPr>
        <w:t>при</w:t>
      </w:r>
      <w:r>
        <w:rPr>
          <w:color w:val="231F20"/>
          <w:spacing w:val="-12"/>
        </w:rPr>
        <w:t> </w:t>
      </w:r>
      <w:r>
        <w:rPr>
          <w:color w:val="231F20"/>
        </w:rPr>
        <w:t>глубинной</w:t>
      </w:r>
      <w:r>
        <w:rPr>
          <w:color w:val="231F20"/>
          <w:spacing w:val="-13"/>
        </w:rPr>
        <w:t> </w:t>
      </w:r>
      <w:r>
        <w:rPr>
          <w:color w:val="231F20"/>
        </w:rPr>
        <w:t>работе,</w:t>
      </w:r>
      <w:r>
        <w:rPr>
          <w:color w:val="231F20"/>
          <w:spacing w:val="-12"/>
        </w:rPr>
        <w:t> </w:t>
      </w:r>
      <w:r>
        <w:rPr>
          <w:color w:val="231F20"/>
        </w:rPr>
        <w:t>когда</w:t>
      </w:r>
      <w:r>
        <w:rPr>
          <w:color w:val="231F20"/>
          <w:spacing w:val="-13"/>
        </w:rPr>
        <w:t> </w:t>
      </w:r>
      <w:r>
        <w:rPr>
          <w:color w:val="231F20"/>
        </w:rPr>
        <w:t>тематика</w:t>
      </w:r>
      <w:r>
        <w:rPr>
          <w:color w:val="231F20"/>
          <w:spacing w:val="-12"/>
        </w:rPr>
        <w:t> </w:t>
      </w:r>
      <w:r>
        <w:rPr>
          <w:color w:val="231F20"/>
        </w:rPr>
        <w:t>переплетается</w:t>
      </w:r>
      <w:r>
        <w:rPr>
          <w:color w:val="231F20"/>
          <w:spacing w:val="-13"/>
        </w:rPr>
        <w:t> </w:t>
      </w:r>
      <w:r>
        <w:rPr>
          <w:color w:val="231F20"/>
        </w:rPr>
        <w:t>настолько, </w:t>
      </w:r>
      <w:r>
        <w:rPr>
          <w:color w:val="231F20"/>
          <w:spacing w:val="-2"/>
        </w:rPr>
        <w:t>что</w:t>
      </w:r>
      <w:r>
        <w:rPr>
          <w:color w:val="231F20"/>
          <w:spacing w:val="-4"/>
        </w:rPr>
        <w:t> </w:t>
      </w:r>
      <w:r>
        <w:rPr>
          <w:color w:val="231F20"/>
          <w:spacing w:val="-2"/>
        </w:rPr>
        <w:t>разделение</w:t>
      </w:r>
      <w:r>
        <w:rPr>
          <w:color w:val="231F20"/>
          <w:spacing w:val="-4"/>
        </w:rPr>
        <w:t> </w:t>
      </w:r>
      <w:r>
        <w:rPr>
          <w:color w:val="231F20"/>
          <w:spacing w:val="-2"/>
        </w:rPr>
        <w:t>невозможно.</w:t>
      </w:r>
      <w:r>
        <w:rPr>
          <w:color w:val="231F20"/>
          <w:spacing w:val="-4"/>
        </w:rPr>
        <w:t> </w:t>
      </w:r>
      <w:r>
        <w:rPr>
          <w:color w:val="231F20"/>
          <w:spacing w:val="-2"/>
        </w:rPr>
        <w:t>Однако</w:t>
      </w:r>
      <w:r>
        <w:rPr>
          <w:color w:val="231F20"/>
          <w:spacing w:val="-4"/>
        </w:rPr>
        <w:t> </w:t>
      </w:r>
      <w:r>
        <w:rPr>
          <w:color w:val="231F20"/>
          <w:spacing w:val="-2"/>
        </w:rPr>
        <w:t>наш</w:t>
      </w:r>
      <w:r>
        <w:rPr>
          <w:color w:val="231F20"/>
          <w:spacing w:val="-4"/>
        </w:rPr>
        <w:t> </w:t>
      </w:r>
      <w:r>
        <w:rPr>
          <w:color w:val="231F20"/>
          <w:spacing w:val="-2"/>
        </w:rPr>
        <w:t>опыт</w:t>
      </w:r>
      <w:r>
        <w:rPr>
          <w:color w:val="231F20"/>
          <w:spacing w:val="-4"/>
        </w:rPr>
        <w:t> </w:t>
      </w:r>
      <w:r>
        <w:rPr>
          <w:color w:val="231F20"/>
          <w:spacing w:val="-2"/>
        </w:rPr>
        <w:t>говорит</w:t>
      </w:r>
      <w:r>
        <w:rPr>
          <w:color w:val="231F20"/>
          <w:spacing w:val="-4"/>
        </w:rPr>
        <w:t> </w:t>
      </w:r>
      <w:r>
        <w:rPr>
          <w:color w:val="231F20"/>
          <w:spacing w:val="-2"/>
        </w:rPr>
        <w:t>о</w:t>
      </w:r>
      <w:r>
        <w:rPr>
          <w:color w:val="231F20"/>
          <w:spacing w:val="-4"/>
        </w:rPr>
        <w:t> </w:t>
      </w:r>
      <w:r>
        <w:rPr>
          <w:color w:val="231F20"/>
          <w:spacing w:val="-2"/>
        </w:rPr>
        <w:t>том,</w:t>
      </w:r>
      <w:r>
        <w:rPr>
          <w:color w:val="231F20"/>
          <w:spacing w:val="-4"/>
        </w:rPr>
        <w:t> </w:t>
      </w:r>
      <w:r>
        <w:rPr>
          <w:color w:val="231F20"/>
          <w:spacing w:val="-2"/>
        </w:rPr>
        <w:t>что</w:t>
      </w:r>
      <w:r>
        <w:rPr>
          <w:color w:val="231F20"/>
          <w:spacing w:val="-4"/>
        </w:rPr>
        <w:t> </w:t>
      </w:r>
      <w:r>
        <w:rPr>
          <w:color w:val="231F20"/>
          <w:spacing w:val="-2"/>
        </w:rPr>
        <w:t>наибольший</w:t>
      </w:r>
      <w:r>
        <w:rPr>
          <w:color w:val="231F20"/>
          <w:spacing w:val="-4"/>
        </w:rPr>
        <w:t> </w:t>
      </w:r>
      <w:r>
        <w:rPr>
          <w:color w:val="231F20"/>
          <w:spacing w:val="-2"/>
        </w:rPr>
        <w:t>эффект </w:t>
      </w:r>
      <w:r>
        <w:rPr>
          <w:color w:val="231F20"/>
        </w:rPr>
        <w:t>оказывают</w:t>
      </w:r>
      <w:r>
        <w:rPr>
          <w:color w:val="231F20"/>
          <w:spacing w:val="-3"/>
        </w:rPr>
        <w:t> </w:t>
      </w:r>
      <w:r>
        <w:rPr>
          <w:color w:val="231F20"/>
        </w:rPr>
        <w:t>ответные</w:t>
      </w:r>
      <w:r>
        <w:rPr>
          <w:color w:val="231F20"/>
          <w:spacing w:val="-3"/>
        </w:rPr>
        <w:t> </w:t>
      </w:r>
      <w:r>
        <w:rPr>
          <w:color w:val="231F20"/>
        </w:rPr>
        <w:t>истории,</w:t>
      </w:r>
      <w:r>
        <w:rPr>
          <w:color w:val="231F20"/>
          <w:spacing w:val="-3"/>
        </w:rPr>
        <w:t> </w:t>
      </w:r>
      <w:r>
        <w:rPr>
          <w:color w:val="231F20"/>
        </w:rPr>
        <w:t>сконцентрированные</w:t>
      </w:r>
      <w:r>
        <w:rPr>
          <w:color w:val="231F20"/>
          <w:spacing w:val="-3"/>
        </w:rPr>
        <w:t> </w:t>
      </w:r>
      <w:r>
        <w:rPr>
          <w:color w:val="231F20"/>
        </w:rPr>
        <w:t>на</w:t>
      </w:r>
      <w:r>
        <w:rPr>
          <w:color w:val="231F20"/>
          <w:spacing w:val="-3"/>
        </w:rPr>
        <w:t> </w:t>
      </w:r>
      <w:r>
        <w:rPr>
          <w:color w:val="231F20"/>
        </w:rPr>
        <w:t>наиболее</w:t>
      </w:r>
      <w:r>
        <w:rPr>
          <w:color w:val="231F20"/>
          <w:spacing w:val="-3"/>
        </w:rPr>
        <w:t> </w:t>
      </w:r>
      <w:r>
        <w:rPr>
          <w:color w:val="231F20"/>
        </w:rPr>
        <w:t>энергетически</w:t>
      </w:r>
      <w:r>
        <w:rPr>
          <w:color w:val="231F20"/>
          <w:spacing w:val="-3"/>
        </w:rPr>
        <w:t> </w:t>
      </w:r>
      <w:r>
        <w:rPr>
          <w:color w:val="231F20"/>
        </w:rPr>
        <w:t>заря- женном</w:t>
      </w:r>
      <w:r>
        <w:rPr>
          <w:color w:val="231F20"/>
          <w:spacing w:val="-1"/>
        </w:rPr>
        <w:t> </w:t>
      </w:r>
      <w:r>
        <w:rPr>
          <w:color w:val="231F20"/>
        </w:rPr>
        <w:t>аспекте</w:t>
      </w:r>
      <w:r>
        <w:rPr>
          <w:color w:val="231F20"/>
          <w:spacing w:val="-1"/>
        </w:rPr>
        <w:t> </w:t>
      </w:r>
      <w:r>
        <w:rPr>
          <w:color w:val="231F20"/>
        </w:rPr>
        <w:t>детского</w:t>
      </w:r>
      <w:r>
        <w:rPr>
          <w:color w:val="231F20"/>
          <w:spacing w:val="-1"/>
        </w:rPr>
        <w:t> </w:t>
      </w:r>
      <w:r>
        <w:rPr>
          <w:color w:val="231F20"/>
        </w:rPr>
        <w:t>послания,</w:t>
      </w:r>
      <w:r>
        <w:rPr>
          <w:color w:val="231F20"/>
          <w:spacing w:val="-1"/>
        </w:rPr>
        <w:t> </w:t>
      </w:r>
      <w:r>
        <w:rPr>
          <w:color w:val="231F20"/>
        </w:rPr>
        <w:t>который</w:t>
      </w:r>
      <w:r>
        <w:rPr>
          <w:color w:val="231F20"/>
          <w:spacing w:val="-1"/>
        </w:rPr>
        <w:t> </w:t>
      </w:r>
      <w:r>
        <w:rPr>
          <w:color w:val="231F20"/>
        </w:rPr>
        <w:t>максимально</w:t>
      </w:r>
      <w:r>
        <w:rPr>
          <w:color w:val="231F20"/>
          <w:spacing w:val="-1"/>
        </w:rPr>
        <w:t> </w:t>
      </w:r>
      <w:r>
        <w:rPr>
          <w:color w:val="231F20"/>
        </w:rPr>
        <w:t>доступен</w:t>
      </w:r>
      <w:r>
        <w:rPr>
          <w:color w:val="231F20"/>
          <w:spacing w:val="-1"/>
        </w:rPr>
        <w:t> </w:t>
      </w:r>
      <w:r>
        <w:rPr>
          <w:color w:val="231F20"/>
        </w:rPr>
        <w:t>для</w:t>
      </w:r>
      <w:r>
        <w:rPr>
          <w:color w:val="231F20"/>
          <w:spacing w:val="-1"/>
        </w:rPr>
        <w:t> </w:t>
      </w:r>
      <w:r>
        <w:rPr>
          <w:color w:val="231F20"/>
        </w:rPr>
        <w:t>осознания</w:t>
      </w:r>
      <w:r>
        <w:rPr>
          <w:color w:val="231F20"/>
          <w:spacing w:val="-1"/>
        </w:rPr>
        <w:t> </w:t>
      </w:r>
      <w:r>
        <w:rPr>
          <w:color w:val="231F20"/>
        </w:rPr>
        <w:t>в </w:t>
      </w:r>
      <w:r>
        <w:rPr>
          <w:color w:val="231F20"/>
          <w:spacing w:val="-2"/>
        </w:rPr>
        <w:t>настоящее время. Поэтому необходимо тщательно фиксировать невербальное поведе- </w:t>
      </w:r>
      <w:r>
        <w:rPr>
          <w:color w:val="231F20"/>
        </w:rPr>
        <w:t>ние ребенка во время того, как он рассказывает свою историю.</w:t>
      </w:r>
    </w:p>
    <w:p>
      <w:pPr>
        <w:spacing w:line="228" w:lineRule="exact" w:before="171"/>
        <w:ind w:left="425" w:right="0" w:firstLine="0"/>
        <w:jc w:val="both"/>
        <w:rPr>
          <w:b/>
          <w:sz w:val="20"/>
        </w:rPr>
      </w:pPr>
      <w:r>
        <w:rPr>
          <w:b/>
          <w:color w:val="231F20"/>
          <w:sz w:val="20"/>
        </w:rPr>
        <w:t>Пример</w:t>
      </w:r>
      <w:r>
        <w:rPr>
          <w:b/>
          <w:color w:val="231F20"/>
          <w:spacing w:val="-6"/>
          <w:sz w:val="20"/>
        </w:rPr>
        <w:t> </w:t>
      </w:r>
      <w:r>
        <w:rPr>
          <w:b/>
          <w:color w:val="231F20"/>
          <w:spacing w:val="-2"/>
          <w:sz w:val="20"/>
        </w:rPr>
        <w:t>использования</w:t>
      </w:r>
    </w:p>
    <w:p>
      <w:pPr>
        <w:pStyle w:val="BodyText"/>
        <w:spacing w:line="235" w:lineRule="auto" w:before="1"/>
      </w:pPr>
      <w:r>
        <w:rPr>
          <w:b/>
          <w:color w:val="231F20"/>
        </w:rPr>
        <w:t>П</w:t>
      </w:r>
      <w:r>
        <w:rPr>
          <w:color w:val="231F20"/>
        </w:rPr>
        <w:t>риведем случай применения методики в индивидуальной работе с мальчиком Р.,</w:t>
      </w:r>
      <w:r>
        <w:rPr>
          <w:color w:val="231F20"/>
          <w:spacing w:val="-3"/>
        </w:rPr>
        <w:t> </w:t>
      </w:r>
      <w:r>
        <w:rPr>
          <w:color w:val="231F20"/>
        </w:rPr>
        <w:t>9</w:t>
      </w:r>
      <w:r>
        <w:rPr>
          <w:color w:val="231F20"/>
          <w:spacing w:val="-3"/>
        </w:rPr>
        <w:t> </w:t>
      </w:r>
      <w:r>
        <w:rPr>
          <w:color w:val="231F20"/>
        </w:rPr>
        <w:t>лет,</w:t>
      </w:r>
      <w:r>
        <w:rPr>
          <w:color w:val="231F20"/>
          <w:spacing w:val="-3"/>
        </w:rPr>
        <w:t> </w:t>
      </w:r>
      <w:r>
        <w:rPr>
          <w:color w:val="231F20"/>
        </w:rPr>
        <w:t>для</w:t>
      </w:r>
      <w:r>
        <w:rPr>
          <w:color w:val="231F20"/>
          <w:spacing w:val="-3"/>
        </w:rPr>
        <w:t> </w:t>
      </w:r>
      <w:r>
        <w:rPr>
          <w:color w:val="231F20"/>
        </w:rPr>
        <w:t>которого</w:t>
      </w:r>
      <w:r>
        <w:rPr>
          <w:color w:val="231F20"/>
          <w:spacing w:val="-3"/>
        </w:rPr>
        <w:t> </w:t>
      </w:r>
      <w:r>
        <w:rPr>
          <w:color w:val="231F20"/>
        </w:rPr>
        <w:t>были</w:t>
      </w:r>
      <w:r>
        <w:rPr>
          <w:color w:val="231F20"/>
          <w:spacing w:val="-3"/>
        </w:rPr>
        <w:t> </w:t>
      </w:r>
      <w:r>
        <w:rPr>
          <w:color w:val="231F20"/>
        </w:rPr>
        <w:t>характерны</w:t>
      </w:r>
      <w:r>
        <w:rPr>
          <w:color w:val="231F20"/>
          <w:spacing w:val="-3"/>
        </w:rPr>
        <w:t> </w:t>
      </w:r>
      <w:r>
        <w:rPr>
          <w:color w:val="231F20"/>
        </w:rPr>
        <w:t>сильные</w:t>
      </w:r>
      <w:r>
        <w:rPr>
          <w:color w:val="231F20"/>
          <w:spacing w:val="-3"/>
        </w:rPr>
        <w:t> </w:t>
      </w:r>
      <w:r>
        <w:rPr>
          <w:color w:val="231F20"/>
        </w:rPr>
        <w:t>перепады</w:t>
      </w:r>
      <w:r>
        <w:rPr>
          <w:color w:val="231F20"/>
          <w:spacing w:val="-3"/>
        </w:rPr>
        <w:t> </w:t>
      </w:r>
      <w:r>
        <w:rPr>
          <w:color w:val="231F20"/>
        </w:rPr>
        <w:t>настроения,</w:t>
      </w:r>
      <w:r>
        <w:rPr>
          <w:color w:val="231F20"/>
          <w:spacing w:val="-3"/>
        </w:rPr>
        <w:t> </w:t>
      </w:r>
      <w:r>
        <w:rPr>
          <w:color w:val="231F20"/>
        </w:rPr>
        <w:t>повышенная тревожность, расстройство социального поведения. Эти нарушения, по результатам предварительного</w:t>
      </w:r>
      <w:r>
        <w:rPr>
          <w:color w:val="231F20"/>
          <w:spacing w:val="-5"/>
        </w:rPr>
        <w:t> </w:t>
      </w:r>
      <w:r>
        <w:rPr>
          <w:color w:val="231F20"/>
        </w:rPr>
        <w:t>обследования,</w:t>
      </w:r>
      <w:r>
        <w:rPr>
          <w:color w:val="231F20"/>
          <w:spacing w:val="-6"/>
        </w:rPr>
        <w:t> </w:t>
      </w:r>
      <w:r>
        <w:rPr>
          <w:color w:val="231F20"/>
        </w:rPr>
        <w:t>были</w:t>
      </w:r>
      <w:r>
        <w:rPr>
          <w:color w:val="231F20"/>
          <w:spacing w:val="-6"/>
        </w:rPr>
        <w:t> </w:t>
      </w:r>
      <w:r>
        <w:rPr>
          <w:color w:val="231F20"/>
        </w:rPr>
        <w:t>во</w:t>
      </w:r>
      <w:r>
        <w:rPr>
          <w:color w:val="231F20"/>
          <w:spacing w:val="-5"/>
        </w:rPr>
        <w:t> </w:t>
      </w:r>
      <w:r>
        <w:rPr>
          <w:color w:val="231F20"/>
        </w:rPr>
        <w:t>многом</w:t>
      </w:r>
      <w:r>
        <w:rPr>
          <w:color w:val="231F20"/>
          <w:spacing w:val="-5"/>
        </w:rPr>
        <w:t> </w:t>
      </w:r>
      <w:r>
        <w:rPr>
          <w:color w:val="231F20"/>
        </w:rPr>
        <w:t>вызваны</w:t>
      </w:r>
      <w:r>
        <w:rPr>
          <w:color w:val="231F20"/>
          <w:spacing w:val="-6"/>
        </w:rPr>
        <w:t> </w:t>
      </w:r>
      <w:r>
        <w:rPr>
          <w:color w:val="231F20"/>
        </w:rPr>
        <w:t>пережитой</w:t>
      </w:r>
      <w:r>
        <w:rPr>
          <w:color w:val="231F20"/>
          <w:spacing w:val="-6"/>
        </w:rPr>
        <w:t> </w:t>
      </w:r>
      <w:r>
        <w:rPr>
          <w:color w:val="231F20"/>
        </w:rPr>
        <w:t>в</w:t>
      </w:r>
      <w:r>
        <w:rPr>
          <w:color w:val="231F20"/>
          <w:spacing w:val="-6"/>
        </w:rPr>
        <w:t> </w:t>
      </w:r>
      <w:r>
        <w:rPr>
          <w:color w:val="231F20"/>
        </w:rPr>
        <w:t>дошкольном возрасте психической травмой, связанной с боевыми действиями в Афганистане. Р. охотно</w:t>
      </w:r>
      <w:r>
        <w:rPr>
          <w:color w:val="231F20"/>
          <w:spacing w:val="-1"/>
        </w:rPr>
        <w:t> </w:t>
      </w:r>
      <w:r>
        <w:rPr>
          <w:color w:val="231F20"/>
        </w:rPr>
        <w:t>взялся</w:t>
      </w:r>
      <w:r>
        <w:rPr>
          <w:color w:val="231F20"/>
          <w:spacing w:val="2"/>
        </w:rPr>
        <w:t> </w:t>
      </w:r>
      <w:r>
        <w:rPr>
          <w:color w:val="231F20"/>
        </w:rPr>
        <w:t>за</w:t>
      </w:r>
      <w:r>
        <w:rPr>
          <w:color w:val="231F20"/>
          <w:spacing w:val="2"/>
        </w:rPr>
        <w:t> </w:t>
      </w:r>
      <w:r>
        <w:rPr>
          <w:color w:val="231F20"/>
        </w:rPr>
        <w:t>сочинение</w:t>
      </w:r>
      <w:r>
        <w:rPr>
          <w:color w:val="231F20"/>
          <w:spacing w:val="2"/>
        </w:rPr>
        <w:t> </w:t>
      </w:r>
      <w:r>
        <w:rPr>
          <w:color w:val="231F20"/>
        </w:rPr>
        <w:t>историй,</w:t>
      </w:r>
      <w:r>
        <w:rPr>
          <w:color w:val="231F20"/>
          <w:spacing w:val="2"/>
        </w:rPr>
        <w:t> </w:t>
      </w:r>
      <w:r>
        <w:rPr>
          <w:color w:val="231F20"/>
        </w:rPr>
        <w:t>проявляя</w:t>
      </w:r>
      <w:r>
        <w:rPr>
          <w:color w:val="231F20"/>
          <w:spacing w:val="1"/>
        </w:rPr>
        <w:t> </w:t>
      </w:r>
      <w:r>
        <w:rPr>
          <w:color w:val="231F20"/>
        </w:rPr>
        <w:t>живой</w:t>
      </w:r>
      <w:r>
        <w:rPr>
          <w:color w:val="231F20"/>
          <w:spacing w:val="2"/>
        </w:rPr>
        <w:t> </w:t>
      </w:r>
      <w:r>
        <w:rPr>
          <w:color w:val="231F20"/>
        </w:rPr>
        <w:t>интерес.</w:t>
      </w:r>
      <w:r>
        <w:rPr>
          <w:color w:val="231F20"/>
          <w:spacing w:val="2"/>
        </w:rPr>
        <w:t> </w:t>
      </w:r>
      <w:r>
        <w:rPr>
          <w:color w:val="231F20"/>
        </w:rPr>
        <w:t>Свое</w:t>
      </w:r>
      <w:r>
        <w:rPr>
          <w:color w:val="231F20"/>
          <w:spacing w:val="2"/>
        </w:rPr>
        <w:t> </w:t>
      </w:r>
      <w:r>
        <w:rPr>
          <w:color w:val="231F20"/>
        </w:rPr>
        <w:t>радио</w:t>
      </w:r>
      <w:r>
        <w:rPr>
          <w:color w:val="231F20"/>
          <w:spacing w:val="2"/>
        </w:rPr>
        <w:t> </w:t>
      </w:r>
      <w:r>
        <w:rPr>
          <w:color w:val="231F20"/>
        </w:rPr>
        <w:t>он</w:t>
      </w:r>
      <w:r>
        <w:rPr>
          <w:color w:val="231F20"/>
          <w:spacing w:val="2"/>
        </w:rPr>
        <w:t> </w:t>
      </w:r>
      <w:r>
        <w:rPr>
          <w:color w:val="231F20"/>
          <w:spacing w:val="-2"/>
        </w:rPr>
        <w:t>назвал</w:t>
      </w:r>
    </w:p>
    <w:p>
      <w:pPr>
        <w:pStyle w:val="BodyText"/>
        <w:spacing w:line="235" w:lineRule="auto"/>
        <w:ind w:firstLine="0"/>
      </w:pPr>
      <w:r>
        <w:rPr>
          <w:color w:val="231F20"/>
        </w:rPr>
        <w:t>«Магнитофон»,</w:t>
      </w:r>
      <w:r>
        <w:rPr>
          <w:color w:val="231F20"/>
          <w:spacing w:val="-2"/>
        </w:rPr>
        <w:t> </w:t>
      </w:r>
      <w:r>
        <w:rPr>
          <w:color w:val="231F20"/>
        </w:rPr>
        <w:t>и</w:t>
      </w:r>
      <w:r>
        <w:rPr>
          <w:color w:val="231F20"/>
          <w:spacing w:val="-2"/>
        </w:rPr>
        <w:t> </w:t>
      </w:r>
      <w:r>
        <w:rPr>
          <w:color w:val="231F20"/>
        </w:rPr>
        <w:t>первая</w:t>
      </w:r>
      <w:r>
        <w:rPr>
          <w:color w:val="231F20"/>
          <w:spacing w:val="-2"/>
        </w:rPr>
        <w:t> </w:t>
      </w:r>
      <w:r>
        <w:rPr>
          <w:color w:val="231F20"/>
        </w:rPr>
        <w:t>сочиненная</w:t>
      </w:r>
      <w:r>
        <w:rPr>
          <w:color w:val="231F20"/>
          <w:spacing w:val="-2"/>
        </w:rPr>
        <w:t> </w:t>
      </w:r>
      <w:r>
        <w:rPr>
          <w:color w:val="231F20"/>
        </w:rPr>
        <w:t>им</w:t>
      </w:r>
      <w:r>
        <w:rPr>
          <w:color w:val="231F20"/>
          <w:spacing w:val="-2"/>
        </w:rPr>
        <w:t> </w:t>
      </w:r>
      <w:r>
        <w:rPr>
          <w:color w:val="231F20"/>
        </w:rPr>
        <w:t>история</w:t>
      </w:r>
      <w:r>
        <w:rPr>
          <w:color w:val="231F20"/>
          <w:spacing w:val="-2"/>
        </w:rPr>
        <w:t> </w:t>
      </w:r>
      <w:r>
        <w:rPr>
          <w:color w:val="231F20"/>
        </w:rPr>
        <w:t>была</w:t>
      </w:r>
      <w:r>
        <w:rPr>
          <w:color w:val="231F20"/>
          <w:spacing w:val="-2"/>
        </w:rPr>
        <w:t> </w:t>
      </w:r>
      <w:r>
        <w:rPr>
          <w:color w:val="231F20"/>
        </w:rPr>
        <w:t>«Человек-паук</w:t>
      </w:r>
      <w:r>
        <w:rPr>
          <w:color w:val="231F20"/>
          <w:spacing w:val="-2"/>
        </w:rPr>
        <w:t> </w:t>
      </w:r>
      <w:r>
        <w:rPr>
          <w:color w:val="231F20"/>
        </w:rPr>
        <w:t>встречается</w:t>
      </w:r>
      <w:r>
        <w:rPr>
          <w:color w:val="231F20"/>
          <w:spacing w:val="-2"/>
        </w:rPr>
        <w:t> </w:t>
      </w:r>
      <w:r>
        <w:rPr>
          <w:color w:val="231F20"/>
        </w:rPr>
        <w:t>со всеми героями».</w:t>
      </w:r>
    </w:p>
    <w:p>
      <w:pPr>
        <w:spacing w:line="235" w:lineRule="auto" w:before="115"/>
        <w:ind w:left="141" w:right="139" w:firstLine="283"/>
        <w:jc w:val="both"/>
        <w:rPr>
          <w:i/>
          <w:sz w:val="20"/>
        </w:rPr>
      </w:pPr>
      <w:r>
        <w:rPr>
          <w:i/>
          <w:color w:val="231F20"/>
          <w:sz w:val="20"/>
        </w:rPr>
        <w:t>Один раз Человек-паук пошел в Америку. Он встречался там со всеми своими друзьями.</w:t>
      </w:r>
      <w:r>
        <w:rPr>
          <w:i/>
          <w:color w:val="231F20"/>
          <w:spacing w:val="-10"/>
          <w:sz w:val="20"/>
        </w:rPr>
        <w:t> </w:t>
      </w:r>
      <w:r>
        <w:rPr>
          <w:i/>
          <w:color w:val="231F20"/>
          <w:sz w:val="20"/>
        </w:rPr>
        <w:t>Потом</w:t>
      </w:r>
      <w:r>
        <w:rPr>
          <w:i/>
          <w:color w:val="231F20"/>
          <w:spacing w:val="-10"/>
          <w:sz w:val="20"/>
        </w:rPr>
        <w:t> </w:t>
      </w:r>
      <w:r>
        <w:rPr>
          <w:i/>
          <w:color w:val="231F20"/>
          <w:sz w:val="20"/>
        </w:rPr>
        <w:t>они</w:t>
      </w:r>
      <w:r>
        <w:rPr>
          <w:i/>
          <w:color w:val="231F20"/>
          <w:spacing w:val="-10"/>
          <w:sz w:val="20"/>
        </w:rPr>
        <w:t> </w:t>
      </w:r>
      <w:r>
        <w:rPr>
          <w:i/>
          <w:color w:val="231F20"/>
          <w:sz w:val="20"/>
        </w:rPr>
        <w:t>ушли</w:t>
      </w:r>
      <w:r>
        <w:rPr>
          <w:i/>
          <w:color w:val="231F20"/>
          <w:spacing w:val="-11"/>
          <w:sz w:val="20"/>
        </w:rPr>
        <w:t> </w:t>
      </w:r>
      <w:r>
        <w:rPr>
          <w:i/>
          <w:color w:val="231F20"/>
          <w:sz w:val="20"/>
        </w:rPr>
        <w:t>в</w:t>
      </w:r>
      <w:r>
        <w:rPr>
          <w:i/>
          <w:color w:val="231F20"/>
          <w:spacing w:val="-10"/>
          <w:sz w:val="20"/>
        </w:rPr>
        <w:t> </w:t>
      </w:r>
      <w:r>
        <w:rPr>
          <w:i/>
          <w:color w:val="231F20"/>
          <w:sz w:val="20"/>
        </w:rPr>
        <w:t>Россию.</w:t>
      </w:r>
      <w:r>
        <w:rPr>
          <w:i/>
          <w:color w:val="231F20"/>
          <w:spacing w:val="-11"/>
          <w:sz w:val="20"/>
        </w:rPr>
        <w:t> </w:t>
      </w:r>
      <w:r>
        <w:rPr>
          <w:i/>
          <w:color w:val="231F20"/>
          <w:sz w:val="20"/>
        </w:rPr>
        <w:t>Там</w:t>
      </w:r>
      <w:r>
        <w:rPr>
          <w:i/>
          <w:color w:val="231F20"/>
          <w:spacing w:val="-10"/>
          <w:sz w:val="20"/>
        </w:rPr>
        <w:t> </w:t>
      </w:r>
      <w:r>
        <w:rPr>
          <w:i/>
          <w:color w:val="231F20"/>
          <w:sz w:val="20"/>
        </w:rPr>
        <w:t>он</w:t>
      </w:r>
      <w:r>
        <w:rPr>
          <w:i/>
          <w:color w:val="231F20"/>
          <w:spacing w:val="-10"/>
          <w:sz w:val="20"/>
        </w:rPr>
        <w:t> </w:t>
      </w:r>
      <w:r>
        <w:rPr>
          <w:i/>
          <w:color w:val="231F20"/>
          <w:sz w:val="20"/>
        </w:rPr>
        <w:t>встретил</w:t>
      </w:r>
      <w:r>
        <w:rPr>
          <w:i/>
          <w:color w:val="231F20"/>
          <w:spacing w:val="-10"/>
          <w:sz w:val="20"/>
        </w:rPr>
        <w:t> </w:t>
      </w:r>
      <w:r>
        <w:rPr>
          <w:i/>
          <w:color w:val="231F20"/>
          <w:sz w:val="20"/>
        </w:rPr>
        <w:t>Бэтмена</w:t>
      </w:r>
      <w:r>
        <w:rPr>
          <w:i/>
          <w:color w:val="231F20"/>
          <w:spacing w:val="-10"/>
          <w:sz w:val="20"/>
        </w:rPr>
        <w:t> </w:t>
      </w:r>
      <w:r>
        <w:rPr>
          <w:i/>
          <w:color w:val="231F20"/>
          <w:sz w:val="20"/>
        </w:rPr>
        <w:t>и</w:t>
      </w:r>
      <w:r>
        <w:rPr>
          <w:i/>
          <w:color w:val="231F20"/>
          <w:spacing w:val="-10"/>
          <w:sz w:val="20"/>
        </w:rPr>
        <w:t> </w:t>
      </w:r>
      <w:r>
        <w:rPr>
          <w:i/>
          <w:color w:val="231F20"/>
          <w:sz w:val="20"/>
        </w:rPr>
        <w:t>других</w:t>
      </w:r>
      <w:r>
        <w:rPr>
          <w:i/>
          <w:color w:val="231F20"/>
          <w:spacing w:val="-10"/>
          <w:sz w:val="20"/>
        </w:rPr>
        <w:t> </w:t>
      </w:r>
      <w:r>
        <w:rPr>
          <w:i/>
          <w:color w:val="231F20"/>
          <w:sz w:val="20"/>
        </w:rPr>
        <w:t>друзей.</w:t>
      </w:r>
      <w:r>
        <w:rPr>
          <w:i/>
          <w:color w:val="231F20"/>
          <w:spacing w:val="-10"/>
          <w:sz w:val="20"/>
        </w:rPr>
        <w:t> </w:t>
      </w:r>
      <w:r>
        <w:rPr>
          <w:i/>
          <w:color w:val="231F20"/>
          <w:sz w:val="20"/>
        </w:rPr>
        <w:t>Они пошли домой к Человеку-пауку. Они праздновали и на следующий день ушли. Чело- век-паук</w:t>
      </w:r>
      <w:r>
        <w:rPr>
          <w:i/>
          <w:color w:val="231F20"/>
          <w:spacing w:val="-13"/>
          <w:sz w:val="20"/>
        </w:rPr>
        <w:t> </w:t>
      </w:r>
      <w:r>
        <w:rPr>
          <w:i/>
          <w:color w:val="231F20"/>
          <w:sz w:val="20"/>
        </w:rPr>
        <w:t>пошел</w:t>
      </w:r>
      <w:r>
        <w:rPr>
          <w:i/>
          <w:color w:val="231F20"/>
          <w:spacing w:val="-12"/>
          <w:sz w:val="20"/>
        </w:rPr>
        <w:t> </w:t>
      </w:r>
      <w:r>
        <w:rPr>
          <w:i/>
          <w:color w:val="231F20"/>
          <w:sz w:val="20"/>
        </w:rPr>
        <w:t>к</w:t>
      </w:r>
      <w:r>
        <w:rPr>
          <w:i/>
          <w:color w:val="231F20"/>
          <w:spacing w:val="-13"/>
          <w:sz w:val="20"/>
        </w:rPr>
        <w:t> </w:t>
      </w:r>
      <w:r>
        <w:rPr>
          <w:i/>
          <w:color w:val="231F20"/>
          <w:sz w:val="20"/>
        </w:rPr>
        <w:t>Супермену.</w:t>
      </w:r>
      <w:r>
        <w:rPr>
          <w:i/>
          <w:color w:val="231F20"/>
          <w:spacing w:val="-12"/>
          <w:sz w:val="20"/>
        </w:rPr>
        <w:t> </w:t>
      </w:r>
      <w:r>
        <w:rPr>
          <w:i/>
          <w:color w:val="231F20"/>
          <w:sz w:val="20"/>
        </w:rPr>
        <w:t>Супермен</w:t>
      </w:r>
      <w:r>
        <w:rPr>
          <w:i/>
          <w:color w:val="231F20"/>
          <w:spacing w:val="-13"/>
          <w:sz w:val="20"/>
        </w:rPr>
        <w:t> </w:t>
      </w:r>
      <w:r>
        <w:rPr>
          <w:i/>
          <w:color w:val="231F20"/>
          <w:sz w:val="20"/>
        </w:rPr>
        <w:t>сказал:</w:t>
      </w:r>
      <w:r>
        <w:rPr>
          <w:i/>
          <w:color w:val="231F20"/>
          <w:spacing w:val="-12"/>
          <w:sz w:val="20"/>
        </w:rPr>
        <w:t> </w:t>
      </w:r>
      <w:r>
        <w:rPr>
          <w:i/>
          <w:color w:val="231F20"/>
          <w:sz w:val="20"/>
        </w:rPr>
        <w:t>«Чего</w:t>
      </w:r>
      <w:r>
        <w:rPr>
          <w:i/>
          <w:color w:val="231F20"/>
          <w:spacing w:val="-13"/>
          <w:sz w:val="20"/>
        </w:rPr>
        <w:t> </w:t>
      </w:r>
      <w:r>
        <w:rPr>
          <w:i/>
          <w:color w:val="231F20"/>
          <w:sz w:val="20"/>
        </w:rPr>
        <w:t>тебе</w:t>
      </w:r>
      <w:r>
        <w:rPr>
          <w:i/>
          <w:color w:val="231F20"/>
          <w:spacing w:val="-12"/>
          <w:sz w:val="20"/>
        </w:rPr>
        <w:t> </w:t>
      </w:r>
      <w:r>
        <w:rPr>
          <w:i/>
          <w:color w:val="231F20"/>
          <w:sz w:val="20"/>
        </w:rPr>
        <w:t>надо,</w:t>
      </w:r>
      <w:r>
        <w:rPr>
          <w:i/>
          <w:color w:val="231F20"/>
          <w:spacing w:val="-13"/>
          <w:sz w:val="20"/>
        </w:rPr>
        <w:t> </w:t>
      </w:r>
      <w:r>
        <w:rPr>
          <w:i/>
          <w:color w:val="231F20"/>
          <w:sz w:val="20"/>
        </w:rPr>
        <w:t>друг?».</w:t>
      </w:r>
      <w:r>
        <w:rPr>
          <w:i/>
          <w:color w:val="231F20"/>
          <w:spacing w:val="-12"/>
          <w:sz w:val="20"/>
        </w:rPr>
        <w:t> </w:t>
      </w:r>
      <w:r>
        <w:rPr>
          <w:i/>
          <w:color w:val="231F20"/>
          <w:sz w:val="20"/>
        </w:rPr>
        <w:t>Человек-паук отвечает:</w:t>
      </w:r>
      <w:r>
        <w:rPr>
          <w:i/>
          <w:color w:val="231F20"/>
          <w:spacing w:val="-11"/>
          <w:sz w:val="20"/>
        </w:rPr>
        <w:t> </w:t>
      </w:r>
      <w:r>
        <w:rPr>
          <w:i/>
          <w:color w:val="231F20"/>
          <w:sz w:val="20"/>
        </w:rPr>
        <w:t>«Мне</w:t>
      </w:r>
      <w:r>
        <w:rPr>
          <w:i/>
          <w:color w:val="231F20"/>
          <w:spacing w:val="-11"/>
          <w:sz w:val="20"/>
        </w:rPr>
        <w:t> </w:t>
      </w:r>
      <w:r>
        <w:rPr>
          <w:i/>
          <w:color w:val="231F20"/>
          <w:sz w:val="20"/>
        </w:rPr>
        <w:t>нужно</w:t>
      </w:r>
      <w:r>
        <w:rPr>
          <w:i/>
          <w:color w:val="231F20"/>
          <w:spacing w:val="-11"/>
          <w:sz w:val="20"/>
        </w:rPr>
        <w:t> </w:t>
      </w:r>
      <w:r>
        <w:rPr>
          <w:i/>
          <w:color w:val="231F20"/>
          <w:sz w:val="20"/>
        </w:rPr>
        <w:t>быстро</w:t>
      </w:r>
      <w:r>
        <w:rPr>
          <w:i/>
          <w:color w:val="231F20"/>
          <w:spacing w:val="-11"/>
          <w:sz w:val="20"/>
        </w:rPr>
        <w:t> </w:t>
      </w:r>
      <w:r>
        <w:rPr>
          <w:i/>
          <w:color w:val="231F20"/>
          <w:sz w:val="20"/>
        </w:rPr>
        <w:t>в</w:t>
      </w:r>
      <w:r>
        <w:rPr>
          <w:i/>
          <w:color w:val="231F20"/>
          <w:spacing w:val="-11"/>
          <w:sz w:val="20"/>
        </w:rPr>
        <w:t> </w:t>
      </w:r>
      <w:r>
        <w:rPr>
          <w:i/>
          <w:color w:val="231F20"/>
          <w:sz w:val="20"/>
        </w:rPr>
        <w:t>космос</w:t>
      </w:r>
      <w:r>
        <w:rPr>
          <w:i/>
          <w:color w:val="231F20"/>
          <w:spacing w:val="-11"/>
          <w:sz w:val="20"/>
        </w:rPr>
        <w:t> </w:t>
      </w:r>
      <w:r>
        <w:rPr>
          <w:i/>
          <w:color w:val="231F20"/>
          <w:sz w:val="20"/>
        </w:rPr>
        <w:t>идти».</w:t>
      </w:r>
      <w:r>
        <w:rPr>
          <w:i/>
          <w:color w:val="231F20"/>
          <w:spacing w:val="-11"/>
          <w:sz w:val="20"/>
        </w:rPr>
        <w:t> </w:t>
      </w:r>
      <w:r>
        <w:rPr>
          <w:i/>
          <w:color w:val="231F20"/>
          <w:sz w:val="20"/>
        </w:rPr>
        <w:t>И</w:t>
      </w:r>
      <w:r>
        <w:rPr>
          <w:i/>
          <w:color w:val="231F20"/>
          <w:spacing w:val="-11"/>
          <w:sz w:val="20"/>
        </w:rPr>
        <w:t> </w:t>
      </w:r>
      <w:r>
        <w:rPr>
          <w:i/>
          <w:color w:val="231F20"/>
          <w:sz w:val="20"/>
        </w:rPr>
        <w:t>отвез</w:t>
      </w:r>
      <w:r>
        <w:rPr>
          <w:i/>
          <w:color w:val="231F20"/>
          <w:spacing w:val="-11"/>
          <w:sz w:val="20"/>
        </w:rPr>
        <w:t> </w:t>
      </w:r>
      <w:r>
        <w:rPr>
          <w:i/>
          <w:color w:val="231F20"/>
          <w:sz w:val="20"/>
        </w:rPr>
        <w:t>его</w:t>
      </w:r>
      <w:r>
        <w:rPr>
          <w:i/>
          <w:color w:val="231F20"/>
          <w:spacing w:val="-11"/>
          <w:sz w:val="20"/>
        </w:rPr>
        <w:t> </w:t>
      </w:r>
      <w:r>
        <w:rPr>
          <w:i/>
          <w:color w:val="231F20"/>
          <w:sz w:val="20"/>
        </w:rPr>
        <w:t>в</w:t>
      </w:r>
      <w:r>
        <w:rPr>
          <w:i/>
          <w:color w:val="231F20"/>
          <w:spacing w:val="-11"/>
          <w:sz w:val="20"/>
        </w:rPr>
        <w:t> </w:t>
      </w:r>
      <w:r>
        <w:rPr>
          <w:i/>
          <w:color w:val="231F20"/>
          <w:sz w:val="20"/>
        </w:rPr>
        <w:t>космос.</w:t>
      </w:r>
      <w:r>
        <w:rPr>
          <w:i/>
          <w:color w:val="231F20"/>
          <w:spacing w:val="-11"/>
          <w:sz w:val="20"/>
        </w:rPr>
        <w:t> </w:t>
      </w:r>
      <w:r>
        <w:rPr>
          <w:i/>
          <w:color w:val="231F20"/>
          <w:sz w:val="20"/>
        </w:rPr>
        <w:t>Там</w:t>
      </w:r>
      <w:r>
        <w:rPr>
          <w:i/>
          <w:color w:val="231F20"/>
          <w:spacing w:val="-11"/>
          <w:sz w:val="20"/>
        </w:rPr>
        <w:t> </w:t>
      </w:r>
      <w:r>
        <w:rPr>
          <w:i/>
          <w:color w:val="231F20"/>
          <w:sz w:val="20"/>
        </w:rPr>
        <w:t>была</w:t>
      </w:r>
      <w:r>
        <w:rPr>
          <w:i/>
          <w:color w:val="231F20"/>
          <w:spacing w:val="-11"/>
          <w:sz w:val="20"/>
        </w:rPr>
        <w:t> </w:t>
      </w:r>
      <w:r>
        <w:rPr>
          <w:i/>
          <w:color w:val="231F20"/>
          <w:sz w:val="20"/>
        </w:rPr>
        <w:t>Злая ведьма, которая хотела нашу родину погубить, весь наш космос разрушить. </w:t>
      </w:r>
      <w:r>
        <w:rPr>
          <w:i/>
          <w:color w:val="231F20"/>
          <w:sz w:val="20"/>
        </w:rPr>
        <w:t>Чело- век-паук</w:t>
      </w:r>
      <w:r>
        <w:rPr>
          <w:i/>
          <w:color w:val="231F20"/>
          <w:spacing w:val="-8"/>
          <w:sz w:val="20"/>
        </w:rPr>
        <w:t> </w:t>
      </w:r>
      <w:r>
        <w:rPr>
          <w:i/>
          <w:color w:val="231F20"/>
          <w:sz w:val="20"/>
        </w:rPr>
        <w:t>пошел</w:t>
      </w:r>
      <w:r>
        <w:rPr>
          <w:i/>
          <w:color w:val="231F20"/>
          <w:spacing w:val="-6"/>
          <w:sz w:val="20"/>
        </w:rPr>
        <w:t> </w:t>
      </w:r>
      <w:r>
        <w:rPr>
          <w:i/>
          <w:color w:val="231F20"/>
          <w:sz w:val="20"/>
        </w:rPr>
        <w:t>в</w:t>
      </w:r>
      <w:r>
        <w:rPr>
          <w:i/>
          <w:color w:val="231F20"/>
          <w:spacing w:val="-5"/>
          <w:sz w:val="20"/>
        </w:rPr>
        <w:t> </w:t>
      </w:r>
      <w:r>
        <w:rPr>
          <w:i/>
          <w:color w:val="231F20"/>
          <w:sz w:val="20"/>
        </w:rPr>
        <w:t>космос</w:t>
      </w:r>
      <w:r>
        <w:rPr>
          <w:i/>
          <w:color w:val="231F20"/>
          <w:spacing w:val="-6"/>
          <w:sz w:val="20"/>
        </w:rPr>
        <w:t> </w:t>
      </w:r>
      <w:r>
        <w:rPr>
          <w:i/>
          <w:color w:val="231F20"/>
          <w:sz w:val="20"/>
        </w:rPr>
        <w:t>и</w:t>
      </w:r>
      <w:r>
        <w:rPr>
          <w:i/>
          <w:color w:val="231F20"/>
          <w:spacing w:val="-5"/>
          <w:sz w:val="20"/>
        </w:rPr>
        <w:t> </w:t>
      </w:r>
      <w:r>
        <w:rPr>
          <w:i/>
          <w:color w:val="231F20"/>
          <w:sz w:val="20"/>
        </w:rPr>
        <w:t>видит</w:t>
      </w:r>
      <w:r>
        <w:rPr>
          <w:i/>
          <w:color w:val="231F20"/>
          <w:spacing w:val="-6"/>
          <w:sz w:val="20"/>
        </w:rPr>
        <w:t> </w:t>
      </w:r>
      <w:r>
        <w:rPr>
          <w:i/>
          <w:color w:val="231F20"/>
          <w:sz w:val="20"/>
        </w:rPr>
        <w:t>–</w:t>
      </w:r>
      <w:r>
        <w:rPr>
          <w:i/>
          <w:color w:val="231F20"/>
          <w:spacing w:val="-5"/>
          <w:sz w:val="20"/>
        </w:rPr>
        <w:t> </w:t>
      </w:r>
      <w:r>
        <w:rPr>
          <w:i/>
          <w:color w:val="231F20"/>
          <w:sz w:val="20"/>
        </w:rPr>
        <w:t>Злая</w:t>
      </w:r>
      <w:r>
        <w:rPr>
          <w:i/>
          <w:color w:val="231F20"/>
          <w:spacing w:val="-6"/>
          <w:sz w:val="20"/>
        </w:rPr>
        <w:t> </w:t>
      </w:r>
      <w:r>
        <w:rPr>
          <w:i/>
          <w:color w:val="231F20"/>
          <w:sz w:val="20"/>
        </w:rPr>
        <w:t>ведьма</w:t>
      </w:r>
      <w:r>
        <w:rPr>
          <w:i/>
          <w:color w:val="231F20"/>
          <w:spacing w:val="-5"/>
          <w:sz w:val="20"/>
        </w:rPr>
        <w:t> </w:t>
      </w:r>
      <w:r>
        <w:rPr>
          <w:i/>
          <w:color w:val="231F20"/>
          <w:sz w:val="20"/>
        </w:rPr>
        <w:t>хочет</w:t>
      </w:r>
      <w:r>
        <w:rPr>
          <w:i/>
          <w:color w:val="231F20"/>
          <w:spacing w:val="-6"/>
          <w:sz w:val="20"/>
        </w:rPr>
        <w:t> </w:t>
      </w:r>
      <w:r>
        <w:rPr>
          <w:i/>
          <w:color w:val="231F20"/>
          <w:sz w:val="20"/>
        </w:rPr>
        <w:t>Марс</w:t>
      </w:r>
      <w:r>
        <w:rPr>
          <w:i/>
          <w:color w:val="231F20"/>
          <w:spacing w:val="-5"/>
          <w:sz w:val="20"/>
        </w:rPr>
        <w:t> </w:t>
      </w:r>
      <w:r>
        <w:rPr>
          <w:i/>
          <w:color w:val="231F20"/>
          <w:sz w:val="20"/>
        </w:rPr>
        <w:t>уничтожить.</w:t>
      </w:r>
      <w:r>
        <w:rPr>
          <w:i/>
          <w:color w:val="231F20"/>
          <w:spacing w:val="-6"/>
          <w:sz w:val="20"/>
        </w:rPr>
        <w:t> </w:t>
      </w:r>
      <w:r>
        <w:rPr>
          <w:i/>
          <w:color w:val="231F20"/>
          <w:sz w:val="20"/>
        </w:rPr>
        <w:t>Он</w:t>
      </w:r>
      <w:r>
        <w:rPr>
          <w:i/>
          <w:color w:val="231F20"/>
          <w:spacing w:val="-5"/>
          <w:sz w:val="20"/>
        </w:rPr>
        <w:t> </w:t>
      </w:r>
      <w:r>
        <w:rPr>
          <w:i/>
          <w:color w:val="231F20"/>
          <w:spacing w:val="-2"/>
          <w:sz w:val="20"/>
        </w:rPr>
        <w:t>сказал:</w:t>
      </w:r>
    </w:p>
    <w:p>
      <w:pPr>
        <w:spacing w:line="235" w:lineRule="auto" w:before="4"/>
        <w:ind w:left="141" w:right="139" w:firstLine="0"/>
        <w:jc w:val="both"/>
        <w:rPr>
          <w:i/>
          <w:sz w:val="20"/>
        </w:rPr>
      </w:pPr>
      <w:r>
        <w:rPr>
          <w:i/>
          <w:color w:val="231F20"/>
          <w:sz w:val="20"/>
        </w:rPr>
        <w:t>«Не надо, ты погубишь нашу страну – мы тебя погубим!» Злая ведьма куда-то по- шла. Они (Человек-паук, Супермен, Бэтмен и др.) думали, что домой. Они пошли к дому</w:t>
      </w:r>
      <w:r>
        <w:rPr>
          <w:i/>
          <w:color w:val="231F20"/>
          <w:spacing w:val="-4"/>
          <w:sz w:val="20"/>
        </w:rPr>
        <w:t> </w:t>
      </w:r>
      <w:r>
        <w:rPr>
          <w:i/>
          <w:color w:val="231F20"/>
          <w:sz w:val="20"/>
        </w:rPr>
        <w:t>Злой</w:t>
      </w:r>
      <w:r>
        <w:rPr>
          <w:i/>
          <w:color w:val="231F20"/>
          <w:spacing w:val="-4"/>
          <w:sz w:val="20"/>
        </w:rPr>
        <w:t> </w:t>
      </w:r>
      <w:r>
        <w:rPr>
          <w:i/>
          <w:color w:val="231F20"/>
          <w:sz w:val="20"/>
        </w:rPr>
        <w:t>ведьмы;</w:t>
      </w:r>
      <w:r>
        <w:rPr>
          <w:i/>
          <w:color w:val="231F20"/>
          <w:spacing w:val="-4"/>
          <w:sz w:val="20"/>
        </w:rPr>
        <w:t> </w:t>
      </w:r>
      <w:r>
        <w:rPr>
          <w:i/>
          <w:color w:val="231F20"/>
          <w:sz w:val="20"/>
        </w:rPr>
        <w:t>увидели</w:t>
      </w:r>
      <w:r>
        <w:rPr>
          <w:i/>
          <w:color w:val="231F20"/>
          <w:spacing w:val="-4"/>
          <w:sz w:val="20"/>
        </w:rPr>
        <w:t> </w:t>
      </w:r>
      <w:r>
        <w:rPr>
          <w:i/>
          <w:color w:val="231F20"/>
          <w:sz w:val="20"/>
        </w:rPr>
        <w:t>–</w:t>
      </w:r>
      <w:r>
        <w:rPr>
          <w:i/>
          <w:color w:val="231F20"/>
          <w:spacing w:val="-4"/>
          <w:sz w:val="20"/>
        </w:rPr>
        <w:t> </w:t>
      </w:r>
      <w:r>
        <w:rPr>
          <w:i/>
          <w:color w:val="231F20"/>
          <w:sz w:val="20"/>
        </w:rPr>
        <w:t>дома</w:t>
      </w:r>
      <w:r>
        <w:rPr>
          <w:i/>
          <w:color w:val="231F20"/>
          <w:spacing w:val="-4"/>
          <w:sz w:val="20"/>
        </w:rPr>
        <w:t> </w:t>
      </w:r>
      <w:r>
        <w:rPr>
          <w:i/>
          <w:color w:val="231F20"/>
          <w:sz w:val="20"/>
        </w:rPr>
        <w:t>ее</w:t>
      </w:r>
      <w:r>
        <w:rPr>
          <w:i/>
          <w:color w:val="231F20"/>
          <w:spacing w:val="-4"/>
          <w:sz w:val="20"/>
        </w:rPr>
        <w:t> </w:t>
      </w:r>
      <w:r>
        <w:rPr>
          <w:i/>
          <w:color w:val="231F20"/>
          <w:sz w:val="20"/>
        </w:rPr>
        <w:t>нету.</w:t>
      </w:r>
      <w:r>
        <w:rPr>
          <w:i/>
          <w:color w:val="231F20"/>
          <w:spacing w:val="-4"/>
          <w:sz w:val="20"/>
        </w:rPr>
        <w:t> </w:t>
      </w:r>
      <w:r>
        <w:rPr>
          <w:i/>
          <w:color w:val="231F20"/>
          <w:sz w:val="20"/>
        </w:rPr>
        <w:t>Они</w:t>
      </w:r>
      <w:r>
        <w:rPr>
          <w:i/>
          <w:color w:val="231F20"/>
          <w:spacing w:val="-4"/>
          <w:sz w:val="20"/>
        </w:rPr>
        <w:t> </w:t>
      </w:r>
      <w:r>
        <w:rPr>
          <w:i/>
          <w:color w:val="231F20"/>
          <w:sz w:val="20"/>
        </w:rPr>
        <w:t>ее</w:t>
      </w:r>
      <w:r>
        <w:rPr>
          <w:i/>
          <w:color w:val="231F20"/>
          <w:spacing w:val="-4"/>
          <w:sz w:val="20"/>
        </w:rPr>
        <w:t> </w:t>
      </w:r>
      <w:r>
        <w:rPr>
          <w:i/>
          <w:color w:val="231F20"/>
          <w:sz w:val="20"/>
        </w:rPr>
        <w:t>дом</w:t>
      </w:r>
      <w:r>
        <w:rPr>
          <w:i/>
          <w:color w:val="231F20"/>
          <w:spacing w:val="-4"/>
          <w:sz w:val="20"/>
        </w:rPr>
        <w:t> </w:t>
      </w:r>
      <w:r>
        <w:rPr>
          <w:i/>
          <w:color w:val="231F20"/>
          <w:sz w:val="20"/>
        </w:rPr>
        <w:t>сломали.</w:t>
      </w:r>
      <w:r>
        <w:rPr>
          <w:i/>
          <w:color w:val="231F20"/>
          <w:spacing w:val="-4"/>
          <w:sz w:val="20"/>
        </w:rPr>
        <w:t> </w:t>
      </w:r>
      <w:r>
        <w:rPr>
          <w:i/>
          <w:color w:val="231F20"/>
          <w:sz w:val="20"/>
        </w:rPr>
        <w:t>Злая</w:t>
      </w:r>
      <w:r>
        <w:rPr>
          <w:i/>
          <w:color w:val="231F20"/>
          <w:spacing w:val="-4"/>
          <w:sz w:val="20"/>
        </w:rPr>
        <w:t> </w:t>
      </w:r>
      <w:r>
        <w:rPr>
          <w:i/>
          <w:color w:val="231F20"/>
          <w:sz w:val="20"/>
        </w:rPr>
        <w:t>ведьма</w:t>
      </w:r>
      <w:r>
        <w:rPr>
          <w:i/>
          <w:color w:val="231F20"/>
          <w:spacing w:val="-4"/>
          <w:sz w:val="20"/>
        </w:rPr>
        <w:t> </w:t>
      </w:r>
      <w:r>
        <w:rPr>
          <w:i/>
          <w:color w:val="231F20"/>
          <w:sz w:val="20"/>
        </w:rPr>
        <w:t>пришла, видит</w:t>
      </w:r>
      <w:r>
        <w:rPr>
          <w:i/>
          <w:color w:val="231F20"/>
          <w:spacing w:val="-13"/>
          <w:sz w:val="20"/>
        </w:rPr>
        <w:t> </w:t>
      </w:r>
      <w:r>
        <w:rPr>
          <w:i/>
          <w:color w:val="231F20"/>
          <w:sz w:val="20"/>
        </w:rPr>
        <w:t>–</w:t>
      </w:r>
      <w:r>
        <w:rPr>
          <w:i/>
          <w:color w:val="231F20"/>
          <w:spacing w:val="-12"/>
          <w:sz w:val="20"/>
        </w:rPr>
        <w:t> </w:t>
      </w:r>
      <w:r>
        <w:rPr>
          <w:i/>
          <w:color w:val="231F20"/>
          <w:sz w:val="20"/>
        </w:rPr>
        <w:t>дом</w:t>
      </w:r>
      <w:r>
        <w:rPr>
          <w:i/>
          <w:color w:val="231F20"/>
          <w:spacing w:val="-13"/>
          <w:sz w:val="20"/>
        </w:rPr>
        <w:t> </w:t>
      </w:r>
      <w:r>
        <w:rPr>
          <w:i/>
          <w:color w:val="231F20"/>
          <w:sz w:val="20"/>
        </w:rPr>
        <w:t>сломали</w:t>
      </w:r>
      <w:r>
        <w:rPr>
          <w:i/>
          <w:color w:val="231F20"/>
          <w:spacing w:val="-12"/>
          <w:sz w:val="20"/>
        </w:rPr>
        <w:t> </w:t>
      </w:r>
      <w:r>
        <w:rPr>
          <w:i/>
          <w:color w:val="231F20"/>
          <w:sz w:val="20"/>
        </w:rPr>
        <w:t>эти</w:t>
      </w:r>
      <w:r>
        <w:rPr>
          <w:i/>
          <w:color w:val="231F20"/>
          <w:spacing w:val="-13"/>
          <w:sz w:val="20"/>
        </w:rPr>
        <w:t> </w:t>
      </w:r>
      <w:r>
        <w:rPr>
          <w:i/>
          <w:color w:val="231F20"/>
          <w:sz w:val="20"/>
        </w:rPr>
        <w:t>люди.</w:t>
      </w:r>
      <w:r>
        <w:rPr>
          <w:i/>
          <w:color w:val="231F20"/>
          <w:spacing w:val="-12"/>
          <w:sz w:val="20"/>
        </w:rPr>
        <w:t> </w:t>
      </w:r>
      <w:r>
        <w:rPr>
          <w:i/>
          <w:color w:val="231F20"/>
          <w:sz w:val="20"/>
        </w:rPr>
        <w:t>Потом</w:t>
      </w:r>
      <w:r>
        <w:rPr>
          <w:i/>
          <w:color w:val="231F20"/>
          <w:spacing w:val="-13"/>
          <w:sz w:val="20"/>
        </w:rPr>
        <w:t> </w:t>
      </w:r>
      <w:r>
        <w:rPr>
          <w:i/>
          <w:color w:val="231F20"/>
          <w:sz w:val="20"/>
        </w:rPr>
        <w:t>Человек-паук</w:t>
      </w:r>
      <w:r>
        <w:rPr>
          <w:i/>
          <w:color w:val="231F20"/>
          <w:spacing w:val="-12"/>
          <w:sz w:val="20"/>
        </w:rPr>
        <w:t> </w:t>
      </w:r>
      <w:r>
        <w:rPr>
          <w:i/>
          <w:color w:val="231F20"/>
          <w:sz w:val="20"/>
        </w:rPr>
        <w:t>с</w:t>
      </w:r>
      <w:r>
        <w:rPr>
          <w:i/>
          <w:color w:val="231F20"/>
          <w:spacing w:val="-13"/>
          <w:sz w:val="20"/>
        </w:rPr>
        <w:t> </w:t>
      </w:r>
      <w:r>
        <w:rPr>
          <w:i/>
          <w:color w:val="231F20"/>
          <w:sz w:val="20"/>
        </w:rPr>
        <w:t>друзьями</w:t>
      </w:r>
      <w:r>
        <w:rPr>
          <w:i/>
          <w:color w:val="231F20"/>
          <w:spacing w:val="-12"/>
          <w:sz w:val="20"/>
        </w:rPr>
        <w:t> </w:t>
      </w:r>
      <w:r>
        <w:rPr>
          <w:i/>
          <w:color w:val="231F20"/>
          <w:sz w:val="20"/>
        </w:rPr>
        <w:t>посмотрели</w:t>
      </w:r>
      <w:r>
        <w:rPr>
          <w:i/>
          <w:color w:val="231F20"/>
          <w:spacing w:val="-13"/>
          <w:sz w:val="20"/>
        </w:rPr>
        <w:t> </w:t>
      </w:r>
      <w:r>
        <w:rPr>
          <w:i/>
          <w:color w:val="231F20"/>
          <w:sz w:val="20"/>
        </w:rPr>
        <w:t>в</w:t>
      </w:r>
      <w:r>
        <w:rPr>
          <w:i/>
          <w:color w:val="231F20"/>
          <w:spacing w:val="-12"/>
          <w:sz w:val="20"/>
        </w:rPr>
        <w:t> </w:t>
      </w:r>
      <w:r>
        <w:rPr>
          <w:i/>
          <w:color w:val="231F20"/>
          <w:sz w:val="20"/>
        </w:rPr>
        <w:t>космос и видят – там рука Злой ведьмы. И они пошли опять. И она так рассердилась, что чуть весь космос не разрушила. Супермен взял один большой-большой камень и в ее рот</w:t>
      </w:r>
      <w:r>
        <w:rPr>
          <w:i/>
          <w:color w:val="231F20"/>
          <w:spacing w:val="-13"/>
          <w:sz w:val="20"/>
        </w:rPr>
        <w:t> </w:t>
      </w:r>
      <w:r>
        <w:rPr>
          <w:i/>
          <w:color w:val="231F20"/>
          <w:sz w:val="20"/>
        </w:rPr>
        <w:t>засунул,</w:t>
      </w:r>
      <w:r>
        <w:rPr>
          <w:i/>
          <w:color w:val="231F20"/>
          <w:spacing w:val="-12"/>
          <w:sz w:val="20"/>
        </w:rPr>
        <w:t> </w:t>
      </w:r>
      <w:r>
        <w:rPr>
          <w:i/>
          <w:color w:val="231F20"/>
          <w:sz w:val="20"/>
        </w:rPr>
        <w:t>чтобы</w:t>
      </w:r>
      <w:r>
        <w:rPr>
          <w:i/>
          <w:color w:val="231F20"/>
          <w:spacing w:val="-13"/>
          <w:sz w:val="20"/>
        </w:rPr>
        <w:t> </w:t>
      </w:r>
      <w:r>
        <w:rPr>
          <w:i/>
          <w:color w:val="231F20"/>
          <w:sz w:val="20"/>
        </w:rPr>
        <w:t>она</w:t>
      </w:r>
      <w:r>
        <w:rPr>
          <w:i/>
          <w:color w:val="231F20"/>
          <w:spacing w:val="-12"/>
          <w:sz w:val="20"/>
        </w:rPr>
        <w:t> </w:t>
      </w:r>
      <w:r>
        <w:rPr>
          <w:i/>
          <w:color w:val="231F20"/>
          <w:sz w:val="20"/>
        </w:rPr>
        <w:t>не</w:t>
      </w:r>
      <w:r>
        <w:rPr>
          <w:i/>
          <w:color w:val="231F20"/>
          <w:spacing w:val="-13"/>
          <w:sz w:val="20"/>
        </w:rPr>
        <w:t> </w:t>
      </w:r>
      <w:r>
        <w:rPr>
          <w:i/>
          <w:color w:val="231F20"/>
          <w:sz w:val="20"/>
        </w:rPr>
        <w:t>кричала,</w:t>
      </w:r>
      <w:r>
        <w:rPr>
          <w:i/>
          <w:color w:val="231F20"/>
          <w:spacing w:val="-12"/>
          <w:sz w:val="20"/>
        </w:rPr>
        <w:t> </w:t>
      </w:r>
      <w:r>
        <w:rPr>
          <w:i/>
          <w:color w:val="231F20"/>
          <w:sz w:val="20"/>
        </w:rPr>
        <w:t>чтобы</w:t>
      </w:r>
      <w:r>
        <w:rPr>
          <w:i/>
          <w:color w:val="231F20"/>
          <w:spacing w:val="-13"/>
          <w:sz w:val="20"/>
        </w:rPr>
        <w:t> </w:t>
      </w:r>
      <w:r>
        <w:rPr>
          <w:i/>
          <w:color w:val="231F20"/>
          <w:sz w:val="20"/>
        </w:rPr>
        <w:t>не</w:t>
      </w:r>
      <w:r>
        <w:rPr>
          <w:i/>
          <w:color w:val="231F20"/>
          <w:spacing w:val="-12"/>
          <w:sz w:val="20"/>
        </w:rPr>
        <w:t> </w:t>
      </w:r>
      <w:r>
        <w:rPr>
          <w:i/>
          <w:color w:val="231F20"/>
          <w:sz w:val="20"/>
        </w:rPr>
        <w:t>сломался</w:t>
      </w:r>
      <w:r>
        <w:rPr>
          <w:i/>
          <w:color w:val="231F20"/>
          <w:spacing w:val="-13"/>
          <w:sz w:val="20"/>
        </w:rPr>
        <w:t> </w:t>
      </w:r>
      <w:r>
        <w:rPr>
          <w:i/>
          <w:color w:val="231F20"/>
          <w:sz w:val="20"/>
        </w:rPr>
        <w:t>космос.</w:t>
      </w:r>
      <w:r>
        <w:rPr>
          <w:i/>
          <w:color w:val="231F20"/>
          <w:spacing w:val="-12"/>
          <w:sz w:val="20"/>
        </w:rPr>
        <w:t> </w:t>
      </w:r>
      <w:r>
        <w:rPr>
          <w:i/>
          <w:color w:val="231F20"/>
          <w:sz w:val="20"/>
        </w:rPr>
        <w:t>И</w:t>
      </w:r>
      <w:r>
        <w:rPr>
          <w:i/>
          <w:color w:val="231F20"/>
          <w:spacing w:val="-13"/>
          <w:sz w:val="20"/>
        </w:rPr>
        <w:t> </w:t>
      </w:r>
      <w:r>
        <w:rPr>
          <w:i/>
          <w:color w:val="231F20"/>
          <w:sz w:val="20"/>
        </w:rPr>
        <w:t>когда</w:t>
      </w:r>
      <w:r>
        <w:rPr>
          <w:i/>
          <w:color w:val="231F20"/>
          <w:spacing w:val="-12"/>
          <w:sz w:val="20"/>
        </w:rPr>
        <w:t> </w:t>
      </w:r>
      <w:r>
        <w:rPr>
          <w:i/>
          <w:color w:val="231F20"/>
          <w:sz w:val="20"/>
        </w:rPr>
        <w:t>ей</w:t>
      </w:r>
      <w:r>
        <w:rPr>
          <w:i/>
          <w:color w:val="231F20"/>
          <w:spacing w:val="-13"/>
          <w:sz w:val="20"/>
        </w:rPr>
        <w:t> </w:t>
      </w:r>
      <w:r>
        <w:rPr>
          <w:i/>
          <w:color w:val="231F20"/>
          <w:sz w:val="20"/>
        </w:rPr>
        <w:t>рот</w:t>
      </w:r>
      <w:r>
        <w:rPr>
          <w:i/>
          <w:color w:val="231F20"/>
          <w:spacing w:val="-12"/>
          <w:sz w:val="20"/>
        </w:rPr>
        <w:t> </w:t>
      </w:r>
      <w:r>
        <w:rPr>
          <w:i/>
          <w:color w:val="231F20"/>
          <w:sz w:val="20"/>
        </w:rPr>
        <w:t>закры- ли,</w:t>
      </w:r>
      <w:r>
        <w:rPr>
          <w:i/>
          <w:color w:val="231F20"/>
          <w:spacing w:val="-8"/>
          <w:sz w:val="20"/>
        </w:rPr>
        <w:t> </w:t>
      </w:r>
      <w:r>
        <w:rPr>
          <w:i/>
          <w:color w:val="231F20"/>
          <w:sz w:val="20"/>
        </w:rPr>
        <w:t>и</w:t>
      </w:r>
      <w:r>
        <w:rPr>
          <w:i/>
          <w:color w:val="231F20"/>
          <w:spacing w:val="-8"/>
          <w:sz w:val="20"/>
        </w:rPr>
        <w:t> </w:t>
      </w:r>
      <w:r>
        <w:rPr>
          <w:i/>
          <w:color w:val="231F20"/>
          <w:sz w:val="20"/>
        </w:rPr>
        <w:t>два</w:t>
      </w:r>
      <w:r>
        <w:rPr>
          <w:i/>
          <w:color w:val="231F20"/>
          <w:spacing w:val="-8"/>
          <w:sz w:val="20"/>
        </w:rPr>
        <w:t> </w:t>
      </w:r>
      <w:r>
        <w:rPr>
          <w:i/>
          <w:color w:val="231F20"/>
          <w:sz w:val="20"/>
        </w:rPr>
        <w:t>камня</w:t>
      </w:r>
      <w:r>
        <w:rPr>
          <w:i/>
          <w:color w:val="231F20"/>
          <w:spacing w:val="-8"/>
          <w:sz w:val="20"/>
        </w:rPr>
        <w:t> </w:t>
      </w:r>
      <w:r>
        <w:rPr>
          <w:i/>
          <w:color w:val="231F20"/>
          <w:sz w:val="20"/>
        </w:rPr>
        <w:t>в</w:t>
      </w:r>
      <w:r>
        <w:rPr>
          <w:i/>
          <w:color w:val="231F20"/>
          <w:spacing w:val="-8"/>
          <w:sz w:val="20"/>
        </w:rPr>
        <w:t> </w:t>
      </w:r>
      <w:r>
        <w:rPr>
          <w:i/>
          <w:color w:val="231F20"/>
          <w:sz w:val="20"/>
        </w:rPr>
        <w:t>нос...</w:t>
      </w:r>
      <w:r>
        <w:rPr>
          <w:i/>
          <w:color w:val="231F20"/>
          <w:spacing w:val="-8"/>
          <w:sz w:val="20"/>
        </w:rPr>
        <w:t> </w:t>
      </w:r>
      <w:r>
        <w:rPr>
          <w:i/>
          <w:color w:val="231F20"/>
          <w:sz w:val="20"/>
        </w:rPr>
        <w:t>и</w:t>
      </w:r>
      <w:r>
        <w:rPr>
          <w:i/>
          <w:color w:val="231F20"/>
          <w:spacing w:val="-8"/>
          <w:sz w:val="20"/>
        </w:rPr>
        <w:t> </w:t>
      </w:r>
      <w:r>
        <w:rPr>
          <w:i/>
          <w:color w:val="231F20"/>
          <w:sz w:val="20"/>
        </w:rPr>
        <w:t>она</w:t>
      </w:r>
      <w:r>
        <w:rPr>
          <w:i/>
          <w:color w:val="231F20"/>
          <w:spacing w:val="-8"/>
          <w:sz w:val="20"/>
        </w:rPr>
        <w:t> </w:t>
      </w:r>
      <w:r>
        <w:rPr>
          <w:i/>
          <w:color w:val="231F20"/>
          <w:sz w:val="20"/>
        </w:rPr>
        <w:t>взорвалась.</w:t>
      </w:r>
      <w:r>
        <w:rPr>
          <w:i/>
          <w:color w:val="231F20"/>
          <w:spacing w:val="-8"/>
          <w:sz w:val="20"/>
        </w:rPr>
        <w:t> </w:t>
      </w:r>
      <w:r>
        <w:rPr>
          <w:i/>
          <w:color w:val="231F20"/>
          <w:sz w:val="20"/>
        </w:rPr>
        <w:t>И</w:t>
      </w:r>
      <w:r>
        <w:rPr>
          <w:i/>
          <w:color w:val="231F20"/>
          <w:spacing w:val="-8"/>
          <w:sz w:val="20"/>
        </w:rPr>
        <w:t> </w:t>
      </w:r>
      <w:r>
        <w:rPr>
          <w:i/>
          <w:color w:val="231F20"/>
          <w:sz w:val="20"/>
        </w:rPr>
        <w:t>они</w:t>
      </w:r>
      <w:r>
        <w:rPr>
          <w:i/>
          <w:color w:val="231F20"/>
          <w:spacing w:val="-8"/>
          <w:sz w:val="20"/>
        </w:rPr>
        <w:t> </w:t>
      </w:r>
      <w:r>
        <w:rPr>
          <w:i/>
          <w:color w:val="231F20"/>
          <w:sz w:val="20"/>
        </w:rPr>
        <w:t>пошли</w:t>
      </w:r>
      <w:r>
        <w:rPr>
          <w:i/>
          <w:color w:val="231F20"/>
          <w:spacing w:val="-8"/>
          <w:sz w:val="20"/>
        </w:rPr>
        <w:t> </w:t>
      </w:r>
      <w:r>
        <w:rPr>
          <w:i/>
          <w:color w:val="231F20"/>
          <w:sz w:val="20"/>
        </w:rPr>
        <w:t>домой</w:t>
      </w:r>
      <w:r>
        <w:rPr>
          <w:i/>
          <w:color w:val="231F20"/>
          <w:spacing w:val="-8"/>
          <w:sz w:val="20"/>
        </w:rPr>
        <w:t> </w:t>
      </w:r>
      <w:r>
        <w:rPr>
          <w:i/>
          <w:color w:val="231F20"/>
          <w:sz w:val="20"/>
        </w:rPr>
        <w:t>все</w:t>
      </w:r>
      <w:r>
        <w:rPr>
          <w:i/>
          <w:color w:val="231F20"/>
          <w:spacing w:val="-8"/>
          <w:sz w:val="20"/>
        </w:rPr>
        <w:t> </w:t>
      </w:r>
      <w:r>
        <w:rPr>
          <w:i/>
          <w:color w:val="231F20"/>
          <w:sz w:val="20"/>
        </w:rPr>
        <w:t>вместе</w:t>
      </w:r>
      <w:r>
        <w:rPr>
          <w:i/>
          <w:color w:val="231F20"/>
          <w:spacing w:val="-8"/>
          <w:sz w:val="20"/>
        </w:rPr>
        <w:t> </w:t>
      </w:r>
      <w:r>
        <w:rPr>
          <w:i/>
          <w:color w:val="231F20"/>
          <w:sz w:val="20"/>
        </w:rPr>
        <w:t>праздновать: Человек-паук и друзья. Урок: если кто-то хочет твою землю погубить, то его надо убить, это твой враг.</w:t>
      </w:r>
    </w:p>
    <w:p>
      <w:pPr>
        <w:pStyle w:val="BodyText"/>
        <w:spacing w:line="235" w:lineRule="auto" w:before="59"/>
      </w:pPr>
      <w:r>
        <w:rPr>
          <w:b/>
          <w:color w:val="231F20"/>
        </w:rPr>
        <w:t>П</w:t>
      </w:r>
      <w:r>
        <w:rPr>
          <w:color w:val="231F20"/>
        </w:rPr>
        <w:t>ри</w:t>
      </w:r>
      <w:r>
        <w:rPr>
          <w:color w:val="231F20"/>
          <w:spacing w:val="-7"/>
        </w:rPr>
        <w:t> </w:t>
      </w:r>
      <w:r>
        <w:rPr>
          <w:color w:val="231F20"/>
        </w:rPr>
        <w:t>анализе</w:t>
      </w:r>
      <w:r>
        <w:rPr>
          <w:color w:val="231F20"/>
          <w:spacing w:val="-7"/>
        </w:rPr>
        <w:t> </w:t>
      </w:r>
      <w:r>
        <w:rPr>
          <w:color w:val="231F20"/>
        </w:rPr>
        <w:t>этой</w:t>
      </w:r>
      <w:r>
        <w:rPr>
          <w:color w:val="231F20"/>
          <w:spacing w:val="-7"/>
        </w:rPr>
        <w:t> </w:t>
      </w:r>
      <w:r>
        <w:rPr>
          <w:color w:val="231F20"/>
        </w:rPr>
        <w:t>истории</w:t>
      </w:r>
      <w:r>
        <w:rPr>
          <w:color w:val="231F20"/>
          <w:spacing w:val="-7"/>
        </w:rPr>
        <w:t> </w:t>
      </w:r>
      <w:r>
        <w:rPr>
          <w:color w:val="231F20"/>
        </w:rPr>
        <w:t>мы</w:t>
      </w:r>
      <w:r>
        <w:rPr>
          <w:color w:val="231F20"/>
          <w:spacing w:val="-7"/>
        </w:rPr>
        <w:t> </w:t>
      </w:r>
      <w:r>
        <w:rPr>
          <w:color w:val="231F20"/>
        </w:rPr>
        <w:t>пришли</w:t>
      </w:r>
      <w:r>
        <w:rPr>
          <w:color w:val="231F20"/>
          <w:spacing w:val="-7"/>
        </w:rPr>
        <w:t> </w:t>
      </w:r>
      <w:r>
        <w:rPr>
          <w:color w:val="231F20"/>
        </w:rPr>
        <w:t>к</w:t>
      </w:r>
      <w:r>
        <w:rPr>
          <w:color w:val="231F20"/>
          <w:spacing w:val="-7"/>
        </w:rPr>
        <w:t> </w:t>
      </w:r>
      <w:r>
        <w:rPr>
          <w:color w:val="231F20"/>
        </w:rPr>
        <w:t>выводу,</w:t>
      </w:r>
      <w:r>
        <w:rPr>
          <w:color w:val="231F20"/>
          <w:spacing w:val="-7"/>
        </w:rPr>
        <w:t> </w:t>
      </w:r>
      <w:r>
        <w:rPr>
          <w:color w:val="231F20"/>
        </w:rPr>
        <w:t>что</w:t>
      </w:r>
      <w:r>
        <w:rPr>
          <w:color w:val="231F20"/>
          <w:spacing w:val="-7"/>
        </w:rPr>
        <w:t> </w:t>
      </w:r>
      <w:r>
        <w:rPr>
          <w:color w:val="231F20"/>
        </w:rPr>
        <w:t>ее</w:t>
      </w:r>
      <w:r>
        <w:rPr>
          <w:color w:val="231F20"/>
          <w:spacing w:val="-7"/>
        </w:rPr>
        <w:t> </w:t>
      </w:r>
      <w:r>
        <w:rPr>
          <w:color w:val="231F20"/>
        </w:rPr>
        <w:t>содержание</w:t>
      </w:r>
      <w:r>
        <w:rPr>
          <w:color w:val="231F20"/>
          <w:spacing w:val="-7"/>
        </w:rPr>
        <w:t> </w:t>
      </w:r>
      <w:r>
        <w:rPr>
          <w:color w:val="231F20"/>
        </w:rPr>
        <w:t>отражает</w:t>
      </w:r>
      <w:r>
        <w:rPr>
          <w:color w:val="231F20"/>
          <w:spacing w:val="-7"/>
        </w:rPr>
        <w:t> </w:t>
      </w:r>
      <w:r>
        <w:rPr>
          <w:color w:val="231F20"/>
        </w:rPr>
        <w:t>вну- треннюю ситуацию ребенка. Поэтому адекватной может представляться психодина- мическая</w:t>
      </w:r>
      <w:r>
        <w:rPr>
          <w:color w:val="231F20"/>
          <w:spacing w:val="-2"/>
        </w:rPr>
        <w:t> </w:t>
      </w:r>
      <w:r>
        <w:rPr>
          <w:color w:val="231F20"/>
        </w:rPr>
        <w:t>интерпретация,</w:t>
      </w:r>
      <w:r>
        <w:rPr>
          <w:color w:val="231F20"/>
          <w:spacing w:val="-2"/>
        </w:rPr>
        <w:t> </w:t>
      </w:r>
      <w:r>
        <w:rPr>
          <w:color w:val="231F20"/>
        </w:rPr>
        <w:t>когда</w:t>
      </w:r>
      <w:r>
        <w:rPr>
          <w:color w:val="231F20"/>
          <w:spacing w:val="-2"/>
        </w:rPr>
        <w:t> </w:t>
      </w:r>
      <w:r>
        <w:rPr>
          <w:color w:val="231F20"/>
        </w:rPr>
        <w:t>содержание</w:t>
      </w:r>
      <w:r>
        <w:rPr>
          <w:color w:val="231F20"/>
          <w:spacing w:val="-2"/>
        </w:rPr>
        <w:t> </w:t>
      </w:r>
      <w:r>
        <w:rPr>
          <w:color w:val="231F20"/>
        </w:rPr>
        <w:t>истории</w:t>
      </w:r>
      <w:r>
        <w:rPr>
          <w:color w:val="231F20"/>
          <w:spacing w:val="-2"/>
        </w:rPr>
        <w:t> </w:t>
      </w:r>
      <w:r>
        <w:rPr>
          <w:color w:val="231F20"/>
        </w:rPr>
        <w:t>рассматривается</w:t>
      </w:r>
      <w:r>
        <w:rPr>
          <w:color w:val="231F20"/>
          <w:spacing w:val="-2"/>
        </w:rPr>
        <w:t> </w:t>
      </w:r>
      <w:r>
        <w:rPr>
          <w:color w:val="231F20"/>
        </w:rPr>
        <w:t>как</w:t>
      </w:r>
      <w:r>
        <w:rPr>
          <w:color w:val="231F20"/>
          <w:spacing w:val="-2"/>
        </w:rPr>
        <w:t> </w:t>
      </w:r>
      <w:r>
        <w:rPr>
          <w:color w:val="231F20"/>
        </w:rPr>
        <w:t>отражение динамики интрапсихических процессов. С этой точки зрения образ Ведьмы можно интерпретировать как репрезентацию бессознательных неуправляемых процессов. Страх</w:t>
      </w:r>
      <w:r>
        <w:rPr>
          <w:color w:val="231F20"/>
          <w:spacing w:val="-2"/>
        </w:rPr>
        <w:t> </w:t>
      </w:r>
      <w:r>
        <w:rPr>
          <w:color w:val="231F20"/>
        </w:rPr>
        <w:t>перед</w:t>
      </w:r>
      <w:r>
        <w:rPr>
          <w:color w:val="231F20"/>
          <w:spacing w:val="-2"/>
        </w:rPr>
        <w:t> </w:t>
      </w:r>
      <w:r>
        <w:rPr>
          <w:color w:val="231F20"/>
        </w:rPr>
        <w:t>ней</w:t>
      </w:r>
      <w:r>
        <w:rPr>
          <w:color w:val="231F20"/>
          <w:spacing w:val="-2"/>
        </w:rPr>
        <w:t> </w:t>
      </w:r>
      <w:r>
        <w:rPr>
          <w:color w:val="231F20"/>
        </w:rPr>
        <w:t>в</w:t>
      </w:r>
      <w:r>
        <w:rPr>
          <w:color w:val="231F20"/>
          <w:spacing w:val="-2"/>
        </w:rPr>
        <w:t> </w:t>
      </w:r>
      <w:r>
        <w:rPr>
          <w:color w:val="231F20"/>
        </w:rPr>
        <w:t>данном</w:t>
      </w:r>
      <w:r>
        <w:rPr>
          <w:color w:val="231F20"/>
          <w:spacing w:val="-2"/>
        </w:rPr>
        <w:t> </w:t>
      </w:r>
      <w:r>
        <w:rPr>
          <w:color w:val="231F20"/>
        </w:rPr>
        <w:t>случае</w:t>
      </w:r>
      <w:r>
        <w:rPr>
          <w:color w:val="231F20"/>
          <w:spacing w:val="-3"/>
        </w:rPr>
        <w:t> </w:t>
      </w:r>
      <w:r>
        <w:rPr>
          <w:color w:val="231F20"/>
        </w:rPr>
        <w:t>связан</w:t>
      </w:r>
      <w:r>
        <w:rPr>
          <w:color w:val="231F20"/>
          <w:spacing w:val="-2"/>
        </w:rPr>
        <w:t> </w:t>
      </w:r>
      <w:r>
        <w:rPr>
          <w:color w:val="231F20"/>
        </w:rPr>
        <w:t>не</w:t>
      </w:r>
      <w:r>
        <w:rPr>
          <w:color w:val="231F20"/>
          <w:spacing w:val="-2"/>
        </w:rPr>
        <w:t> </w:t>
      </w:r>
      <w:r>
        <w:rPr>
          <w:color w:val="231F20"/>
        </w:rPr>
        <w:t>только</w:t>
      </w:r>
      <w:r>
        <w:rPr>
          <w:color w:val="231F20"/>
          <w:spacing w:val="-2"/>
        </w:rPr>
        <w:t> </w:t>
      </w:r>
      <w:r>
        <w:rPr>
          <w:color w:val="231F20"/>
        </w:rPr>
        <w:t>и</w:t>
      </w:r>
      <w:r>
        <w:rPr>
          <w:color w:val="231F20"/>
          <w:spacing w:val="-2"/>
        </w:rPr>
        <w:t> </w:t>
      </w:r>
      <w:r>
        <w:rPr>
          <w:color w:val="231F20"/>
        </w:rPr>
        <w:t>не</w:t>
      </w:r>
      <w:r>
        <w:rPr>
          <w:color w:val="231F20"/>
          <w:spacing w:val="-2"/>
        </w:rPr>
        <w:t> </w:t>
      </w:r>
      <w:r>
        <w:rPr>
          <w:color w:val="231F20"/>
        </w:rPr>
        <w:t>столько</w:t>
      </w:r>
      <w:r>
        <w:rPr>
          <w:color w:val="231F20"/>
          <w:spacing w:val="-2"/>
        </w:rPr>
        <w:t> </w:t>
      </w:r>
      <w:r>
        <w:rPr>
          <w:color w:val="231F20"/>
        </w:rPr>
        <w:t>с</w:t>
      </w:r>
      <w:r>
        <w:rPr>
          <w:color w:val="231F20"/>
          <w:spacing w:val="-2"/>
        </w:rPr>
        <w:t> </w:t>
      </w:r>
      <w:r>
        <w:rPr>
          <w:color w:val="231F20"/>
        </w:rPr>
        <w:t>ее</w:t>
      </w:r>
      <w:r>
        <w:rPr>
          <w:color w:val="231F20"/>
          <w:spacing w:val="-2"/>
        </w:rPr>
        <w:t> </w:t>
      </w:r>
      <w:r>
        <w:rPr>
          <w:color w:val="231F20"/>
        </w:rPr>
        <w:t>агрессивностью, сколько</w:t>
      </w:r>
      <w:r>
        <w:rPr>
          <w:color w:val="231F20"/>
          <w:spacing w:val="3"/>
        </w:rPr>
        <w:t> </w:t>
      </w:r>
      <w:r>
        <w:rPr>
          <w:color w:val="231F20"/>
        </w:rPr>
        <w:t>с</w:t>
      </w:r>
      <w:r>
        <w:rPr>
          <w:color w:val="231F20"/>
          <w:spacing w:val="3"/>
        </w:rPr>
        <w:t> </w:t>
      </w:r>
      <w:r>
        <w:rPr>
          <w:color w:val="231F20"/>
        </w:rPr>
        <w:t>неконтролируемостью,</w:t>
      </w:r>
      <w:r>
        <w:rPr>
          <w:color w:val="231F20"/>
          <w:spacing w:val="4"/>
        </w:rPr>
        <w:t> </w:t>
      </w:r>
      <w:r>
        <w:rPr>
          <w:color w:val="231F20"/>
        </w:rPr>
        <w:t>при</w:t>
      </w:r>
      <w:r>
        <w:rPr>
          <w:color w:val="231F20"/>
          <w:spacing w:val="3"/>
        </w:rPr>
        <w:t> </w:t>
      </w:r>
      <w:r>
        <w:rPr>
          <w:color w:val="231F20"/>
        </w:rPr>
        <w:t>этом</w:t>
      </w:r>
      <w:r>
        <w:rPr>
          <w:color w:val="231F20"/>
          <w:spacing w:val="4"/>
        </w:rPr>
        <w:t> </w:t>
      </w:r>
      <w:r>
        <w:rPr>
          <w:color w:val="231F20"/>
        </w:rPr>
        <w:t>следование</w:t>
      </w:r>
      <w:r>
        <w:rPr>
          <w:color w:val="231F20"/>
          <w:spacing w:val="3"/>
        </w:rPr>
        <w:t> </w:t>
      </w:r>
      <w:r>
        <w:rPr>
          <w:color w:val="231F20"/>
        </w:rPr>
        <w:t>ее</w:t>
      </w:r>
      <w:r>
        <w:rPr>
          <w:color w:val="231F20"/>
          <w:spacing w:val="4"/>
        </w:rPr>
        <w:t> </w:t>
      </w:r>
      <w:r>
        <w:rPr>
          <w:color w:val="231F20"/>
        </w:rPr>
        <w:t>желаниям</w:t>
      </w:r>
      <w:r>
        <w:rPr>
          <w:color w:val="231F20"/>
          <w:spacing w:val="3"/>
        </w:rPr>
        <w:t> </w:t>
      </w:r>
      <w:r>
        <w:rPr>
          <w:color w:val="231F20"/>
        </w:rPr>
        <w:t>может</w:t>
      </w:r>
      <w:r>
        <w:rPr>
          <w:color w:val="231F20"/>
          <w:spacing w:val="4"/>
        </w:rPr>
        <w:t> </w:t>
      </w:r>
      <w:r>
        <w:rPr>
          <w:color w:val="231F20"/>
          <w:spacing w:val="-2"/>
        </w:rPr>
        <w:t>погубить</w:t>
      </w:r>
    </w:p>
    <w:p>
      <w:pPr>
        <w:pStyle w:val="BodyText"/>
        <w:spacing w:line="235" w:lineRule="auto" w:before="4"/>
        <w:ind w:firstLine="0"/>
      </w:pPr>
      <w:r>
        <w:rPr>
          <w:color w:val="231F20"/>
        </w:rPr>
        <w:t>«космос», то есть микрокосм психики ребенка. Именно с Суперменом скорее всего идентифицирует</w:t>
      </w:r>
      <w:r>
        <w:rPr>
          <w:color w:val="231F20"/>
          <w:spacing w:val="-6"/>
        </w:rPr>
        <w:t> </w:t>
      </w:r>
      <w:r>
        <w:rPr>
          <w:color w:val="231F20"/>
        </w:rPr>
        <w:t>себя</w:t>
      </w:r>
      <w:r>
        <w:rPr>
          <w:color w:val="231F20"/>
          <w:spacing w:val="-5"/>
        </w:rPr>
        <w:t> </w:t>
      </w:r>
      <w:r>
        <w:rPr>
          <w:color w:val="231F20"/>
        </w:rPr>
        <w:t>ребенок,</w:t>
      </w:r>
      <w:r>
        <w:rPr>
          <w:color w:val="231F20"/>
          <w:spacing w:val="-6"/>
        </w:rPr>
        <w:t> </w:t>
      </w:r>
      <w:r>
        <w:rPr>
          <w:color w:val="231F20"/>
        </w:rPr>
        <w:t>что</w:t>
      </w:r>
      <w:r>
        <w:rPr>
          <w:color w:val="231F20"/>
          <w:spacing w:val="-5"/>
        </w:rPr>
        <w:t> </w:t>
      </w:r>
      <w:r>
        <w:rPr>
          <w:color w:val="231F20"/>
        </w:rPr>
        <w:t>в</w:t>
      </w:r>
      <w:r>
        <w:rPr>
          <w:color w:val="231F20"/>
          <w:spacing w:val="-5"/>
        </w:rPr>
        <w:t> </w:t>
      </w:r>
      <w:r>
        <w:rPr>
          <w:color w:val="231F20"/>
        </w:rPr>
        <w:t>данном</w:t>
      </w:r>
      <w:r>
        <w:rPr>
          <w:color w:val="231F20"/>
          <w:spacing w:val="-6"/>
        </w:rPr>
        <w:t> </w:t>
      </w:r>
      <w:r>
        <w:rPr>
          <w:color w:val="231F20"/>
        </w:rPr>
        <w:t>случае</w:t>
      </w:r>
      <w:r>
        <w:rPr>
          <w:color w:val="231F20"/>
          <w:spacing w:val="-5"/>
        </w:rPr>
        <w:t> </w:t>
      </w:r>
      <w:r>
        <w:rPr>
          <w:color w:val="231F20"/>
        </w:rPr>
        <w:t>–</w:t>
      </w:r>
      <w:r>
        <w:rPr>
          <w:color w:val="231F20"/>
          <w:spacing w:val="-6"/>
        </w:rPr>
        <w:t> </w:t>
      </w:r>
      <w:r>
        <w:rPr>
          <w:color w:val="231F20"/>
        </w:rPr>
        <w:t>достаточно</w:t>
      </w:r>
      <w:r>
        <w:rPr>
          <w:color w:val="231F20"/>
          <w:spacing w:val="-5"/>
        </w:rPr>
        <w:t> </w:t>
      </w:r>
      <w:r>
        <w:rPr>
          <w:color w:val="231F20"/>
        </w:rPr>
        <w:t>конструктивная</w:t>
      </w:r>
      <w:r>
        <w:rPr>
          <w:color w:val="231F20"/>
          <w:spacing w:val="-5"/>
        </w:rPr>
        <w:t> по-</w:t>
      </w:r>
    </w:p>
    <w:p>
      <w:pPr>
        <w:pStyle w:val="BodyText"/>
        <w:spacing w:after="0" w:line="235" w:lineRule="auto"/>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line="235" w:lineRule="auto" w:before="116"/>
        <w:ind w:firstLine="0"/>
      </w:pPr>
      <w:r>
        <w:rPr>
          <w:color w:val="231F20"/>
        </w:rPr>
        <w:t>зиция.</w:t>
      </w:r>
      <w:r>
        <w:rPr>
          <w:color w:val="231F20"/>
          <w:spacing w:val="-12"/>
        </w:rPr>
        <w:t> </w:t>
      </w:r>
      <w:r>
        <w:rPr>
          <w:color w:val="231F20"/>
        </w:rPr>
        <w:t>Негативным</w:t>
      </w:r>
      <w:r>
        <w:rPr>
          <w:color w:val="231F20"/>
          <w:spacing w:val="-12"/>
        </w:rPr>
        <w:t> </w:t>
      </w:r>
      <w:r>
        <w:rPr>
          <w:color w:val="231F20"/>
        </w:rPr>
        <w:t>является</w:t>
      </w:r>
      <w:r>
        <w:rPr>
          <w:color w:val="231F20"/>
          <w:spacing w:val="-12"/>
        </w:rPr>
        <w:t> </w:t>
      </w:r>
      <w:r>
        <w:rPr>
          <w:color w:val="231F20"/>
        </w:rPr>
        <w:t>конфликт</w:t>
      </w:r>
      <w:r>
        <w:rPr>
          <w:color w:val="231F20"/>
          <w:spacing w:val="-12"/>
        </w:rPr>
        <w:t> </w:t>
      </w:r>
      <w:r>
        <w:rPr>
          <w:color w:val="231F20"/>
        </w:rPr>
        <w:t>между</w:t>
      </w:r>
      <w:r>
        <w:rPr>
          <w:color w:val="231F20"/>
          <w:spacing w:val="-12"/>
        </w:rPr>
        <w:t> </w:t>
      </w:r>
      <w:r>
        <w:rPr>
          <w:color w:val="231F20"/>
        </w:rPr>
        <w:t>Ведьмой</w:t>
      </w:r>
      <w:r>
        <w:rPr>
          <w:color w:val="231F20"/>
          <w:spacing w:val="-12"/>
        </w:rPr>
        <w:t> </w:t>
      </w:r>
      <w:r>
        <w:rPr>
          <w:color w:val="231F20"/>
        </w:rPr>
        <w:t>и</w:t>
      </w:r>
      <w:r>
        <w:rPr>
          <w:color w:val="231F20"/>
          <w:spacing w:val="-12"/>
        </w:rPr>
        <w:t> </w:t>
      </w:r>
      <w:r>
        <w:rPr>
          <w:color w:val="231F20"/>
        </w:rPr>
        <w:t>Суперменом,</w:t>
      </w:r>
      <w:r>
        <w:rPr>
          <w:color w:val="231F20"/>
          <w:spacing w:val="-12"/>
        </w:rPr>
        <w:t> </w:t>
      </w:r>
      <w:r>
        <w:rPr>
          <w:color w:val="231F20"/>
        </w:rPr>
        <w:t>репрезентиру- ющий, по нашему мнению, основной внутриличностный конфликт этого мальчика. Мы выбрали путь его разрешения через введение идеи контроля как противополож- ности «борьбы». Наивно было бы надеяться, что ребенок за одну историю поймет необходимость</w:t>
      </w:r>
      <w:r>
        <w:rPr>
          <w:color w:val="231F20"/>
          <w:spacing w:val="-13"/>
        </w:rPr>
        <w:t> </w:t>
      </w:r>
      <w:r>
        <w:rPr>
          <w:color w:val="231F20"/>
        </w:rPr>
        <w:t>гармонии</w:t>
      </w:r>
      <w:r>
        <w:rPr>
          <w:color w:val="231F20"/>
          <w:spacing w:val="-12"/>
        </w:rPr>
        <w:t> </w:t>
      </w:r>
      <w:r>
        <w:rPr>
          <w:color w:val="231F20"/>
        </w:rPr>
        <w:t>с</w:t>
      </w:r>
      <w:r>
        <w:rPr>
          <w:color w:val="231F20"/>
          <w:spacing w:val="-13"/>
        </w:rPr>
        <w:t> </w:t>
      </w:r>
      <w:r>
        <w:rPr>
          <w:color w:val="231F20"/>
        </w:rPr>
        <w:t>бессознательным.</w:t>
      </w:r>
      <w:r>
        <w:rPr>
          <w:color w:val="231F20"/>
          <w:spacing w:val="-12"/>
        </w:rPr>
        <w:t> </w:t>
      </w:r>
      <w:r>
        <w:rPr>
          <w:color w:val="231F20"/>
        </w:rPr>
        <w:t>Поэтому</w:t>
      </w:r>
      <w:r>
        <w:rPr>
          <w:color w:val="231F20"/>
          <w:spacing w:val="-13"/>
        </w:rPr>
        <w:t> </w:t>
      </w:r>
      <w:r>
        <w:rPr>
          <w:color w:val="231F20"/>
        </w:rPr>
        <w:t>мы</w:t>
      </w:r>
      <w:r>
        <w:rPr>
          <w:color w:val="231F20"/>
          <w:spacing w:val="-12"/>
        </w:rPr>
        <w:t> </w:t>
      </w:r>
      <w:r>
        <w:rPr>
          <w:color w:val="231F20"/>
        </w:rPr>
        <w:t>решили</w:t>
      </w:r>
      <w:r>
        <w:rPr>
          <w:color w:val="231F20"/>
          <w:spacing w:val="-13"/>
        </w:rPr>
        <w:t> </w:t>
      </w:r>
      <w:r>
        <w:rPr>
          <w:color w:val="231F20"/>
        </w:rPr>
        <w:t>показать</w:t>
      </w:r>
      <w:r>
        <w:rPr>
          <w:color w:val="231F20"/>
          <w:spacing w:val="-12"/>
        </w:rPr>
        <w:t> </w:t>
      </w:r>
      <w:r>
        <w:rPr>
          <w:color w:val="231F20"/>
        </w:rPr>
        <w:t>альтерна- тиву – взаимодействие между конфликтующими фигурами и разрешение проблемы через установление контроля над бессознательными импульсами. Соответственно, психологом была рассказана следующая история.</w:t>
      </w:r>
    </w:p>
    <w:p>
      <w:pPr>
        <w:spacing w:line="235" w:lineRule="auto" w:before="118"/>
        <w:ind w:left="141" w:right="139" w:firstLine="283"/>
        <w:jc w:val="both"/>
        <w:rPr>
          <w:i/>
          <w:sz w:val="20"/>
        </w:rPr>
      </w:pPr>
      <w:r>
        <w:rPr>
          <w:i/>
          <w:color w:val="231F20"/>
          <w:sz w:val="20"/>
        </w:rPr>
        <w:t>Человек-паук</w:t>
      </w:r>
      <w:r>
        <w:rPr>
          <w:i/>
          <w:color w:val="231F20"/>
          <w:spacing w:val="-6"/>
          <w:sz w:val="20"/>
        </w:rPr>
        <w:t> </w:t>
      </w:r>
      <w:r>
        <w:rPr>
          <w:i/>
          <w:color w:val="231F20"/>
          <w:sz w:val="20"/>
        </w:rPr>
        <w:t>поехал</w:t>
      </w:r>
      <w:r>
        <w:rPr>
          <w:i/>
          <w:color w:val="231F20"/>
          <w:spacing w:val="-6"/>
          <w:sz w:val="20"/>
        </w:rPr>
        <w:t> </w:t>
      </w:r>
      <w:r>
        <w:rPr>
          <w:i/>
          <w:color w:val="231F20"/>
          <w:sz w:val="20"/>
        </w:rPr>
        <w:t>в</w:t>
      </w:r>
      <w:r>
        <w:rPr>
          <w:i/>
          <w:color w:val="231F20"/>
          <w:spacing w:val="-6"/>
          <w:sz w:val="20"/>
        </w:rPr>
        <w:t> </w:t>
      </w:r>
      <w:r>
        <w:rPr>
          <w:i/>
          <w:color w:val="231F20"/>
          <w:sz w:val="20"/>
        </w:rPr>
        <w:t>Америку.</w:t>
      </w:r>
      <w:r>
        <w:rPr>
          <w:i/>
          <w:color w:val="231F20"/>
          <w:spacing w:val="-6"/>
          <w:sz w:val="20"/>
        </w:rPr>
        <w:t> </w:t>
      </w:r>
      <w:r>
        <w:rPr>
          <w:i/>
          <w:color w:val="231F20"/>
          <w:sz w:val="20"/>
        </w:rPr>
        <w:t>Встретился</w:t>
      </w:r>
      <w:r>
        <w:rPr>
          <w:i/>
          <w:color w:val="231F20"/>
          <w:spacing w:val="-6"/>
          <w:sz w:val="20"/>
        </w:rPr>
        <w:t> </w:t>
      </w:r>
      <w:r>
        <w:rPr>
          <w:i/>
          <w:color w:val="231F20"/>
          <w:sz w:val="20"/>
        </w:rPr>
        <w:t>там</w:t>
      </w:r>
      <w:r>
        <w:rPr>
          <w:i/>
          <w:color w:val="231F20"/>
          <w:spacing w:val="-6"/>
          <w:sz w:val="20"/>
        </w:rPr>
        <w:t> </w:t>
      </w:r>
      <w:r>
        <w:rPr>
          <w:i/>
          <w:color w:val="231F20"/>
          <w:sz w:val="20"/>
        </w:rPr>
        <w:t>с</w:t>
      </w:r>
      <w:r>
        <w:rPr>
          <w:i/>
          <w:color w:val="231F20"/>
          <w:spacing w:val="-6"/>
          <w:sz w:val="20"/>
        </w:rPr>
        <w:t> </w:t>
      </w:r>
      <w:r>
        <w:rPr>
          <w:i/>
          <w:color w:val="231F20"/>
          <w:sz w:val="20"/>
        </w:rPr>
        <w:t>другом</w:t>
      </w:r>
      <w:r>
        <w:rPr>
          <w:i/>
          <w:color w:val="231F20"/>
          <w:spacing w:val="-6"/>
          <w:sz w:val="20"/>
        </w:rPr>
        <w:t> </w:t>
      </w:r>
      <w:r>
        <w:rPr>
          <w:i/>
          <w:color w:val="231F20"/>
          <w:sz w:val="20"/>
        </w:rPr>
        <w:t>Суперменом</w:t>
      </w:r>
      <w:r>
        <w:rPr>
          <w:i/>
          <w:color w:val="231F20"/>
          <w:spacing w:val="-6"/>
          <w:sz w:val="20"/>
        </w:rPr>
        <w:t> </w:t>
      </w:r>
      <w:r>
        <w:rPr>
          <w:i/>
          <w:color w:val="231F20"/>
          <w:sz w:val="20"/>
        </w:rPr>
        <w:t>и</w:t>
      </w:r>
      <w:r>
        <w:rPr>
          <w:i/>
          <w:color w:val="231F20"/>
          <w:spacing w:val="-6"/>
          <w:sz w:val="20"/>
        </w:rPr>
        <w:t> </w:t>
      </w:r>
      <w:r>
        <w:rPr>
          <w:i/>
          <w:color w:val="231F20"/>
          <w:sz w:val="20"/>
        </w:rPr>
        <w:t>осталь- ными</w:t>
      </w:r>
      <w:r>
        <w:rPr>
          <w:i/>
          <w:color w:val="231F20"/>
          <w:spacing w:val="-13"/>
          <w:sz w:val="20"/>
        </w:rPr>
        <w:t> </w:t>
      </w:r>
      <w:r>
        <w:rPr>
          <w:i/>
          <w:color w:val="231F20"/>
          <w:sz w:val="20"/>
        </w:rPr>
        <w:t>друзьями.</w:t>
      </w:r>
      <w:r>
        <w:rPr>
          <w:i/>
          <w:color w:val="231F20"/>
          <w:spacing w:val="-12"/>
          <w:sz w:val="20"/>
        </w:rPr>
        <w:t> </w:t>
      </w:r>
      <w:r>
        <w:rPr>
          <w:i/>
          <w:color w:val="231F20"/>
          <w:sz w:val="20"/>
        </w:rPr>
        <w:t>Они</w:t>
      </w:r>
      <w:r>
        <w:rPr>
          <w:i/>
          <w:color w:val="231F20"/>
          <w:spacing w:val="-13"/>
          <w:sz w:val="20"/>
        </w:rPr>
        <w:t> </w:t>
      </w:r>
      <w:r>
        <w:rPr>
          <w:i/>
          <w:color w:val="231F20"/>
          <w:sz w:val="20"/>
        </w:rPr>
        <w:t>вместе</w:t>
      </w:r>
      <w:r>
        <w:rPr>
          <w:i/>
          <w:color w:val="231F20"/>
          <w:spacing w:val="-12"/>
          <w:sz w:val="20"/>
        </w:rPr>
        <w:t> </w:t>
      </w:r>
      <w:r>
        <w:rPr>
          <w:i/>
          <w:color w:val="231F20"/>
          <w:sz w:val="20"/>
        </w:rPr>
        <w:t>поехали</w:t>
      </w:r>
      <w:r>
        <w:rPr>
          <w:i/>
          <w:color w:val="231F20"/>
          <w:spacing w:val="-13"/>
          <w:sz w:val="20"/>
        </w:rPr>
        <w:t> </w:t>
      </w:r>
      <w:r>
        <w:rPr>
          <w:i/>
          <w:color w:val="231F20"/>
          <w:sz w:val="20"/>
        </w:rPr>
        <w:t>в</w:t>
      </w:r>
      <w:r>
        <w:rPr>
          <w:i/>
          <w:color w:val="231F20"/>
          <w:spacing w:val="-12"/>
          <w:sz w:val="20"/>
        </w:rPr>
        <w:t> </w:t>
      </w:r>
      <w:r>
        <w:rPr>
          <w:i/>
          <w:color w:val="231F20"/>
          <w:sz w:val="20"/>
        </w:rPr>
        <w:t>Россию,</w:t>
      </w:r>
      <w:r>
        <w:rPr>
          <w:i/>
          <w:color w:val="231F20"/>
          <w:spacing w:val="-13"/>
          <w:sz w:val="20"/>
        </w:rPr>
        <w:t> </w:t>
      </w:r>
      <w:r>
        <w:rPr>
          <w:i/>
          <w:color w:val="231F20"/>
          <w:sz w:val="20"/>
        </w:rPr>
        <w:t>встретили</w:t>
      </w:r>
      <w:r>
        <w:rPr>
          <w:i/>
          <w:color w:val="231F20"/>
          <w:spacing w:val="-12"/>
          <w:sz w:val="20"/>
        </w:rPr>
        <w:t> </w:t>
      </w:r>
      <w:r>
        <w:rPr>
          <w:i/>
          <w:color w:val="231F20"/>
          <w:sz w:val="20"/>
        </w:rPr>
        <w:t>там</w:t>
      </w:r>
      <w:r>
        <w:rPr>
          <w:i/>
          <w:color w:val="231F20"/>
          <w:spacing w:val="-13"/>
          <w:sz w:val="20"/>
        </w:rPr>
        <w:t> </w:t>
      </w:r>
      <w:r>
        <w:rPr>
          <w:i/>
          <w:color w:val="231F20"/>
          <w:sz w:val="20"/>
        </w:rPr>
        <w:t>Бэтмена</w:t>
      </w:r>
      <w:r>
        <w:rPr>
          <w:i/>
          <w:color w:val="231F20"/>
          <w:spacing w:val="-12"/>
          <w:sz w:val="20"/>
        </w:rPr>
        <w:t> </w:t>
      </w:r>
      <w:r>
        <w:rPr>
          <w:i/>
          <w:color w:val="231F20"/>
          <w:sz w:val="20"/>
        </w:rPr>
        <w:t>и</w:t>
      </w:r>
      <w:r>
        <w:rPr>
          <w:i/>
          <w:color w:val="231F20"/>
          <w:spacing w:val="-13"/>
          <w:sz w:val="20"/>
        </w:rPr>
        <w:t> </w:t>
      </w:r>
      <w:r>
        <w:rPr>
          <w:i/>
          <w:color w:val="231F20"/>
          <w:sz w:val="20"/>
        </w:rPr>
        <w:t>остальных друзей. И пошли к Человеку-пауку домой. Они отпраздновали и назавтра все ушли. Человек-паук пошел к Супермену. Тот его спрашивает:</w:t>
      </w:r>
    </w:p>
    <w:p>
      <w:pPr>
        <w:pStyle w:val="ListParagraph"/>
        <w:numPr>
          <w:ilvl w:val="0"/>
          <w:numId w:val="219"/>
        </w:numPr>
        <w:tabs>
          <w:tab w:pos="575" w:val="left" w:leader="none"/>
        </w:tabs>
        <w:spacing w:line="227" w:lineRule="exact" w:before="0" w:after="0"/>
        <w:ind w:left="575" w:right="0" w:hanging="150"/>
        <w:jc w:val="left"/>
        <w:rPr>
          <w:i/>
          <w:sz w:val="20"/>
        </w:rPr>
      </w:pPr>
      <w:r>
        <w:rPr>
          <w:i/>
          <w:color w:val="231F20"/>
          <w:sz w:val="20"/>
        </w:rPr>
        <w:t>Чего</w:t>
      </w:r>
      <w:r>
        <w:rPr>
          <w:i/>
          <w:color w:val="231F20"/>
          <w:spacing w:val="-3"/>
          <w:sz w:val="20"/>
        </w:rPr>
        <w:t> </w:t>
      </w:r>
      <w:r>
        <w:rPr>
          <w:i/>
          <w:color w:val="231F20"/>
          <w:sz w:val="20"/>
        </w:rPr>
        <w:t>тебе</w:t>
      </w:r>
      <w:r>
        <w:rPr>
          <w:i/>
          <w:color w:val="231F20"/>
          <w:spacing w:val="-1"/>
          <w:sz w:val="20"/>
        </w:rPr>
        <w:t> </w:t>
      </w:r>
      <w:r>
        <w:rPr>
          <w:i/>
          <w:color w:val="231F20"/>
          <w:sz w:val="20"/>
        </w:rPr>
        <w:t>надо,</w:t>
      </w:r>
      <w:r>
        <w:rPr>
          <w:i/>
          <w:color w:val="231F20"/>
          <w:spacing w:val="-1"/>
          <w:sz w:val="20"/>
        </w:rPr>
        <w:t> </w:t>
      </w:r>
      <w:r>
        <w:rPr>
          <w:i/>
          <w:color w:val="231F20"/>
          <w:spacing w:val="-4"/>
          <w:sz w:val="20"/>
        </w:rPr>
        <w:t>друг?</w:t>
      </w:r>
    </w:p>
    <w:p>
      <w:pPr>
        <w:pStyle w:val="ListParagraph"/>
        <w:numPr>
          <w:ilvl w:val="0"/>
          <w:numId w:val="219"/>
        </w:numPr>
        <w:tabs>
          <w:tab w:pos="575" w:val="left" w:leader="none"/>
        </w:tabs>
        <w:spacing w:line="226" w:lineRule="exact" w:before="0" w:after="0"/>
        <w:ind w:left="575" w:right="0" w:hanging="150"/>
        <w:jc w:val="left"/>
        <w:rPr>
          <w:i/>
          <w:sz w:val="20"/>
        </w:rPr>
      </w:pPr>
      <w:r>
        <w:rPr>
          <w:i/>
          <w:color w:val="231F20"/>
          <w:sz w:val="20"/>
        </w:rPr>
        <w:t>Нужно</w:t>
      </w:r>
      <w:r>
        <w:rPr>
          <w:i/>
          <w:color w:val="231F20"/>
          <w:spacing w:val="-4"/>
          <w:sz w:val="20"/>
        </w:rPr>
        <w:t> </w:t>
      </w:r>
      <w:r>
        <w:rPr>
          <w:i/>
          <w:color w:val="231F20"/>
          <w:sz w:val="20"/>
        </w:rPr>
        <w:t>быстро</w:t>
      </w:r>
      <w:r>
        <w:rPr>
          <w:i/>
          <w:color w:val="231F20"/>
          <w:spacing w:val="-3"/>
          <w:sz w:val="20"/>
        </w:rPr>
        <w:t> </w:t>
      </w:r>
      <w:r>
        <w:rPr>
          <w:i/>
          <w:color w:val="231F20"/>
          <w:sz w:val="20"/>
        </w:rPr>
        <w:t>в</w:t>
      </w:r>
      <w:r>
        <w:rPr>
          <w:i/>
          <w:color w:val="231F20"/>
          <w:spacing w:val="-4"/>
          <w:sz w:val="20"/>
        </w:rPr>
        <w:t> </w:t>
      </w:r>
      <w:r>
        <w:rPr>
          <w:i/>
          <w:color w:val="231F20"/>
          <w:sz w:val="20"/>
        </w:rPr>
        <w:t>космос</w:t>
      </w:r>
      <w:r>
        <w:rPr>
          <w:i/>
          <w:color w:val="231F20"/>
          <w:spacing w:val="-3"/>
          <w:sz w:val="20"/>
        </w:rPr>
        <w:t> </w:t>
      </w:r>
      <w:r>
        <w:rPr>
          <w:i/>
          <w:color w:val="231F20"/>
          <w:spacing w:val="-2"/>
          <w:sz w:val="20"/>
        </w:rPr>
        <w:t>идти.</w:t>
      </w:r>
    </w:p>
    <w:p>
      <w:pPr>
        <w:pStyle w:val="ListParagraph"/>
        <w:numPr>
          <w:ilvl w:val="0"/>
          <w:numId w:val="219"/>
        </w:numPr>
        <w:tabs>
          <w:tab w:pos="575" w:val="left" w:leader="none"/>
        </w:tabs>
        <w:spacing w:line="226" w:lineRule="exact" w:before="0" w:after="0"/>
        <w:ind w:left="575" w:right="0" w:hanging="150"/>
        <w:jc w:val="left"/>
        <w:rPr>
          <w:i/>
          <w:sz w:val="20"/>
        </w:rPr>
      </w:pPr>
      <w:r>
        <w:rPr>
          <w:i/>
          <w:color w:val="231F20"/>
          <w:spacing w:val="-2"/>
          <w:sz w:val="20"/>
        </w:rPr>
        <w:t>Почему?</w:t>
      </w:r>
    </w:p>
    <w:p>
      <w:pPr>
        <w:pStyle w:val="ListParagraph"/>
        <w:numPr>
          <w:ilvl w:val="0"/>
          <w:numId w:val="219"/>
        </w:numPr>
        <w:tabs>
          <w:tab w:pos="574" w:val="left" w:leader="none"/>
        </w:tabs>
        <w:spacing w:line="235" w:lineRule="auto" w:before="2" w:after="0"/>
        <w:ind w:left="141" w:right="139" w:firstLine="283"/>
        <w:jc w:val="both"/>
        <w:rPr>
          <w:i/>
          <w:sz w:val="20"/>
        </w:rPr>
      </w:pPr>
      <w:r>
        <w:rPr>
          <w:i/>
          <w:color w:val="231F20"/>
          <w:sz w:val="20"/>
        </w:rPr>
        <w:t>В космосе страшно Злая ведьма. Она хочет нашу родину погубить и космос </w:t>
      </w:r>
      <w:r>
        <w:rPr>
          <w:i/>
          <w:color w:val="231F20"/>
          <w:spacing w:val="-2"/>
          <w:sz w:val="20"/>
        </w:rPr>
        <w:t>убить.</w:t>
      </w:r>
    </w:p>
    <w:p>
      <w:pPr>
        <w:pStyle w:val="ListParagraph"/>
        <w:numPr>
          <w:ilvl w:val="0"/>
          <w:numId w:val="219"/>
        </w:numPr>
        <w:tabs>
          <w:tab w:pos="574" w:val="left" w:leader="none"/>
        </w:tabs>
        <w:spacing w:line="235" w:lineRule="auto" w:before="1" w:after="0"/>
        <w:ind w:left="141" w:right="139" w:firstLine="283"/>
        <w:jc w:val="both"/>
        <w:rPr>
          <w:i/>
          <w:sz w:val="20"/>
        </w:rPr>
      </w:pPr>
      <w:r>
        <w:rPr>
          <w:i/>
          <w:color w:val="231F20"/>
          <w:sz w:val="20"/>
        </w:rPr>
        <w:t>Я</w:t>
      </w:r>
      <w:r>
        <w:rPr>
          <w:i/>
          <w:color w:val="231F20"/>
          <w:spacing w:val="-9"/>
          <w:sz w:val="20"/>
        </w:rPr>
        <w:t> </w:t>
      </w:r>
      <w:r>
        <w:rPr>
          <w:i/>
          <w:color w:val="231F20"/>
          <w:sz w:val="20"/>
        </w:rPr>
        <w:t>с</w:t>
      </w:r>
      <w:r>
        <w:rPr>
          <w:i/>
          <w:color w:val="231F20"/>
          <w:spacing w:val="-9"/>
          <w:sz w:val="20"/>
        </w:rPr>
        <w:t> </w:t>
      </w:r>
      <w:r>
        <w:rPr>
          <w:i/>
          <w:color w:val="231F20"/>
          <w:sz w:val="20"/>
        </w:rPr>
        <w:t>тобой!</w:t>
      </w:r>
      <w:r>
        <w:rPr>
          <w:i/>
          <w:color w:val="231F20"/>
          <w:spacing w:val="-9"/>
          <w:sz w:val="20"/>
        </w:rPr>
        <w:t> </w:t>
      </w:r>
      <w:r>
        <w:rPr>
          <w:i/>
          <w:color w:val="231F20"/>
          <w:sz w:val="20"/>
        </w:rPr>
        <w:t>Мы</w:t>
      </w:r>
      <w:r>
        <w:rPr>
          <w:i/>
          <w:color w:val="231F20"/>
          <w:spacing w:val="-9"/>
          <w:sz w:val="20"/>
        </w:rPr>
        <w:t> </w:t>
      </w:r>
      <w:r>
        <w:rPr>
          <w:i/>
          <w:color w:val="231F20"/>
          <w:sz w:val="20"/>
        </w:rPr>
        <w:t>соберем</w:t>
      </w:r>
      <w:r>
        <w:rPr>
          <w:i/>
          <w:color w:val="231F20"/>
          <w:spacing w:val="-9"/>
          <w:sz w:val="20"/>
        </w:rPr>
        <w:t> </w:t>
      </w:r>
      <w:r>
        <w:rPr>
          <w:i/>
          <w:color w:val="231F20"/>
          <w:sz w:val="20"/>
        </w:rPr>
        <w:t>всех</w:t>
      </w:r>
      <w:r>
        <w:rPr>
          <w:i/>
          <w:color w:val="231F20"/>
          <w:spacing w:val="-9"/>
          <w:sz w:val="20"/>
        </w:rPr>
        <w:t> </w:t>
      </w:r>
      <w:r>
        <w:rPr>
          <w:i/>
          <w:color w:val="231F20"/>
          <w:sz w:val="20"/>
        </w:rPr>
        <w:t>наших</w:t>
      </w:r>
      <w:r>
        <w:rPr>
          <w:i/>
          <w:color w:val="231F20"/>
          <w:spacing w:val="-9"/>
          <w:sz w:val="20"/>
        </w:rPr>
        <w:t> </w:t>
      </w:r>
      <w:r>
        <w:rPr>
          <w:i/>
          <w:color w:val="231F20"/>
          <w:sz w:val="20"/>
        </w:rPr>
        <w:t>друзей!</w:t>
      </w:r>
      <w:r>
        <w:rPr>
          <w:i/>
          <w:color w:val="231F20"/>
          <w:spacing w:val="-9"/>
          <w:sz w:val="20"/>
        </w:rPr>
        <w:t> </w:t>
      </w:r>
      <w:r>
        <w:rPr>
          <w:i/>
          <w:color w:val="231F20"/>
          <w:sz w:val="20"/>
        </w:rPr>
        <w:t>Мы</w:t>
      </w:r>
      <w:r>
        <w:rPr>
          <w:i/>
          <w:color w:val="231F20"/>
          <w:spacing w:val="-9"/>
          <w:sz w:val="20"/>
        </w:rPr>
        <w:t> </w:t>
      </w:r>
      <w:r>
        <w:rPr>
          <w:i/>
          <w:color w:val="231F20"/>
          <w:sz w:val="20"/>
        </w:rPr>
        <w:t>обязательно</w:t>
      </w:r>
      <w:r>
        <w:rPr>
          <w:i/>
          <w:color w:val="231F20"/>
          <w:spacing w:val="-9"/>
          <w:sz w:val="20"/>
        </w:rPr>
        <w:t> </w:t>
      </w:r>
      <w:r>
        <w:rPr>
          <w:i/>
          <w:color w:val="231F20"/>
          <w:sz w:val="20"/>
        </w:rPr>
        <w:t>победим</w:t>
      </w:r>
      <w:r>
        <w:rPr>
          <w:i/>
          <w:color w:val="231F20"/>
          <w:spacing w:val="-9"/>
          <w:sz w:val="20"/>
        </w:rPr>
        <w:t> </w:t>
      </w:r>
      <w:r>
        <w:rPr>
          <w:i/>
          <w:color w:val="231F20"/>
          <w:sz w:val="20"/>
        </w:rPr>
        <w:t>Злую</w:t>
      </w:r>
      <w:r>
        <w:rPr>
          <w:i/>
          <w:color w:val="231F20"/>
          <w:spacing w:val="-9"/>
          <w:sz w:val="20"/>
        </w:rPr>
        <w:t> </w:t>
      </w:r>
      <w:r>
        <w:rPr>
          <w:i/>
          <w:color w:val="231F20"/>
          <w:sz w:val="20"/>
        </w:rPr>
        <w:t>ведь- му! – ответил Супермен.</w:t>
      </w:r>
    </w:p>
    <w:p>
      <w:pPr>
        <w:pStyle w:val="ListParagraph"/>
        <w:numPr>
          <w:ilvl w:val="0"/>
          <w:numId w:val="219"/>
        </w:numPr>
        <w:tabs>
          <w:tab w:pos="574" w:val="left" w:leader="none"/>
        </w:tabs>
        <w:spacing w:line="235" w:lineRule="auto" w:before="1" w:after="0"/>
        <w:ind w:left="141" w:right="139" w:firstLine="283"/>
        <w:jc w:val="both"/>
        <w:rPr>
          <w:i/>
          <w:sz w:val="20"/>
        </w:rPr>
      </w:pPr>
      <w:r>
        <w:rPr>
          <w:i/>
          <w:color w:val="231F20"/>
          <w:sz w:val="20"/>
        </w:rPr>
        <w:t>Я не сомневаюсь! Конечно, мы сильнее Злой ведьмы. Но надо спешить. Надо поторопиться! – сказал Человек-паук.</w:t>
      </w:r>
    </w:p>
    <w:p>
      <w:pPr>
        <w:spacing w:line="235" w:lineRule="auto" w:before="2"/>
        <w:ind w:left="141" w:right="139" w:firstLine="283"/>
        <w:jc w:val="both"/>
        <w:rPr>
          <w:i/>
          <w:sz w:val="20"/>
        </w:rPr>
      </w:pPr>
      <w:r>
        <w:rPr>
          <w:i/>
          <w:color w:val="231F20"/>
          <w:sz w:val="20"/>
        </w:rPr>
        <w:t>И</w:t>
      </w:r>
      <w:r>
        <w:rPr>
          <w:i/>
          <w:color w:val="231F20"/>
          <w:spacing w:val="-7"/>
          <w:sz w:val="20"/>
        </w:rPr>
        <w:t> </w:t>
      </w:r>
      <w:r>
        <w:rPr>
          <w:i/>
          <w:color w:val="231F20"/>
          <w:sz w:val="20"/>
        </w:rPr>
        <w:t>Человек-паук</w:t>
      </w:r>
      <w:r>
        <w:rPr>
          <w:i/>
          <w:color w:val="231F20"/>
          <w:spacing w:val="-7"/>
          <w:sz w:val="20"/>
        </w:rPr>
        <w:t> </w:t>
      </w:r>
      <w:r>
        <w:rPr>
          <w:i/>
          <w:color w:val="231F20"/>
          <w:sz w:val="20"/>
        </w:rPr>
        <w:t>вместе</w:t>
      </w:r>
      <w:r>
        <w:rPr>
          <w:i/>
          <w:color w:val="231F20"/>
          <w:spacing w:val="-7"/>
          <w:sz w:val="20"/>
        </w:rPr>
        <w:t> </w:t>
      </w:r>
      <w:r>
        <w:rPr>
          <w:i/>
          <w:color w:val="231F20"/>
          <w:sz w:val="20"/>
        </w:rPr>
        <w:t>с</w:t>
      </w:r>
      <w:r>
        <w:rPr>
          <w:i/>
          <w:color w:val="231F20"/>
          <w:spacing w:val="-7"/>
          <w:sz w:val="20"/>
        </w:rPr>
        <w:t> </w:t>
      </w:r>
      <w:r>
        <w:rPr>
          <w:i/>
          <w:color w:val="231F20"/>
          <w:sz w:val="20"/>
        </w:rPr>
        <w:t>друзьями</w:t>
      </w:r>
      <w:r>
        <w:rPr>
          <w:i/>
          <w:color w:val="231F20"/>
          <w:spacing w:val="-7"/>
          <w:sz w:val="20"/>
        </w:rPr>
        <w:t> </w:t>
      </w:r>
      <w:r>
        <w:rPr>
          <w:i/>
          <w:color w:val="231F20"/>
          <w:sz w:val="20"/>
        </w:rPr>
        <w:t>пошел</w:t>
      </w:r>
      <w:r>
        <w:rPr>
          <w:i/>
          <w:color w:val="231F20"/>
          <w:spacing w:val="-7"/>
          <w:sz w:val="20"/>
        </w:rPr>
        <w:t> </w:t>
      </w:r>
      <w:r>
        <w:rPr>
          <w:i/>
          <w:color w:val="231F20"/>
          <w:sz w:val="20"/>
        </w:rPr>
        <w:t>в</w:t>
      </w:r>
      <w:r>
        <w:rPr>
          <w:i/>
          <w:color w:val="231F20"/>
          <w:spacing w:val="-7"/>
          <w:sz w:val="20"/>
        </w:rPr>
        <w:t> </w:t>
      </w:r>
      <w:r>
        <w:rPr>
          <w:i/>
          <w:color w:val="231F20"/>
          <w:sz w:val="20"/>
        </w:rPr>
        <w:t>космос.</w:t>
      </w:r>
      <w:r>
        <w:rPr>
          <w:i/>
          <w:color w:val="231F20"/>
          <w:spacing w:val="-7"/>
          <w:sz w:val="20"/>
        </w:rPr>
        <w:t> </w:t>
      </w:r>
      <w:r>
        <w:rPr>
          <w:i/>
          <w:color w:val="231F20"/>
          <w:sz w:val="20"/>
        </w:rPr>
        <w:t>Видит</w:t>
      </w:r>
      <w:r>
        <w:rPr>
          <w:i/>
          <w:color w:val="231F20"/>
          <w:spacing w:val="-7"/>
          <w:sz w:val="20"/>
        </w:rPr>
        <w:t> </w:t>
      </w:r>
      <w:r>
        <w:rPr>
          <w:i/>
          <w:color w:val="231F20"/>
          <w:sz w:val="20"/>
        </w:rPr>
        <w:t>–</w:t>
      </w:r>
      <w:r>
        <w:rPr>
          <w:i/>
          <w:color w:val="231F20"/>
          <w:spacing w:val="-7"/>
          <w:sz w:val="20"/>
        </w:rPr>
        <w:t> </w:t>
      </w:r>
      <w:r>
        <w:rPr>
          <w:i/>
          <w:color w:val="231F20"/>
          <w:sz w:val="20"/>
        </w:rPr>
        <w:t>там</w:t>
      </w:r>
      <w:r>
        <w:rPr>
          <w:i/>
          <w:color w:val="231F20"/>
          <w:spacing w:val="-7"/>
          <w:sz w:val="20"/>
        </w:rPr>
        <w:t> </w:t>
      </w:r>
      <w:r>
        <w:rPr>
          <w:i/>
          <w:color w:val="231F20"/>
          <w:sz w:val="20"/>
        </w:rPr>
        <w:t>Злая</w:t>
      </w:r>
      <w:r>
        <w:rPr>
          <w:i/>
          <w:color w:val="231F20"/>
          <w:spacing w:val="-7"/>
          <w:sz w:val="20"/>
        </w:rPr>
        <w:t> </w:t>
      </w:r>
      <w:r>
        <w:rPr>
          <w:i/>
          <w:color w:val="231F20"/>
          <w:sz w:val="20"/>
        </w:rPr>
        <w:t>ведьма.</w:t>
      </w:r>
      <w:r>
        <w:rPr>
          <w:i/>
          <w:color w:val="231F20"/>
          <w:spacing w:val="-7"/>
          <w:sz w:val="20"/>
        </w:rPr>
        <w:t> </w:t>
      </w:r>
      <w:r>
        <w:rPr>
          <w:i/>
          <w:color w:val="231F20"/>
          <w:sz w:val="20"/>
        </w:rPr>
        <w:t>Хо- чет она сперва Марс уничтожить. А я вам сейчас расскажу, как она уничтожала. </w:t>
      </w:r>
      <w:r>
        <w:rPr>
          <w:i/>
          <w:color w:val="231F20"/>
          <w:spacing w:val="-2"/>
          <w:sz w:val="20"/>
        </w:rPr>
        <w:t>Она</w:t>
      </w:r>
      <w:r>
        <w:rPr>
          <w:i/>
          <w:color w:val="231F20"/>
          <w:spacing w:val="-5"/>
          <w:sz w:val="20"/>
        </w:rPr>
        <w:t> </w:t>
      </w:r>
      <w:r>
        <w:rPr>
          <w:i/>
          <w:color w:val="231F20"/>
          <w:spacing w:val="-2"/>
          <w:sz w:val="20"/>
        </w:rPr>
        <w:t>была</w:t>
      </w:r>
      <w:r>
        <w:rPr>
          <w:i/>
          <w:color w:val="231F20"/>
          <w:spacing w:val="-5"/>
          <w:sz w:val="20"/>
        </w:rPr>
        <w:t> </w:t>
      </w:r>
      <w:r>
        <w:rPr>
          <w:i/>
          <w:color w:val="231F20"/>
          <w:spacing w:val="-2"/>
          <w:sz w:val="20"/>
        </w:rPr>
        <w:t>такая</w:t>
      </w:r>
      <w:r>
        <w:rPr>
          <w:i/>
          <w:color w:val="231F20"/>
          <w:spacing w:val="-5"/>
          <w:sz w:val="20"/>
        </w:rPr>
        <w:t> </w:t>
      </w:r>
      <w:r>
        <w:rPr>
          <w:i/>
          <w:color w:val="231F20"/>
          <w:spacing w:val="-2"/>
          <w:sz w:val="20"/>
        </w:rPr>
        <w:t>злая,</w:t>
      </w:r>
      <w:r>
        <w:rPr>
          <w:i/>
          <w:color w:val="231F20"/>
          <w:spacing w:val="-5"/>
          <w:sz w:val="20"/>
        </w:rPr>
        <w:t> </w:t>
      </w:r>
      <w:r>
        <w:rPr>
          <w:i/>
          <w:color w:val="231F20"/>
          <w:spacing w:val="-2"/>
          <w:sz w:val="20"/>
        </w:rPr>
        <w:t>что</w:t>
      </w:r>
      <w:r>
        <w:rPr>
          <w:i/>
          <w:color w:val="231F20"/>
          <w:spacing w:val="-5"/>
          <w:sz w:val="20"/>
        </w:rPr>
        <w:t> </w:t>
      </w:r>
      <w:r>
        <w:rPr>
          <w:i/>
          <w:color w:val="231F20"/>
          <w:spacing w:val="-2"/>
          <w:sz w:val="20"/>
        </w:rPr>
        <w:t>как</w:t>
      </w:r>
      <w:r>
        <w:rPr>
          <w:i/>
          <w:color w:val="231F20"/>
          <w:spacing w:val="-5"/>
          <w:sz w:val="20"/>
        </w:rPr>
        <w:t> </w:t>
      </w:r>
      <w:r>
        <w:rPr>
          <w:i/>
          <w:color w:val="231F20"/>
          <w:spacing w:val="-2"/>
          <w:sz w:val="20"/>
        </w:rPr>
        <w:t>закричит</w:t>
      </w:r>
      <w:r>
        <w:rPr>
          <w:i/>
          <w:color w:val="231F20"/>
          <w:spacing w:val="-5"/>
          <w:sz w:val="20"/>
        </w:rPr>
        <w:t> </w:t>
      </w:r>
      <w:r>
        <w:rPr>
          <w:i/>
          <w:color w:val="231F20"/>
          <w:spacing w:val="-2"/>
          <w:sz w:val="20"/>
        </w:rPr>
        <w:t>громко-громко,</w:t>
      </w:r>
      <w:r>
        <w:rPr>
          <w:i/>
          <w:color w:val="231F20"/>
          <w:spacing w:val="-5"/>
          <w:sz w:val="20"/>
        </w:rPr>
        <w:t> </w:t>
      </w:r>
      <w:r>
        <w:rPr>
          <w:i/>
          <w:color w:val="231F20"/>
          <w:spacing w:val="-2"/>
          <w:sz w:val="20"/>
        </w:rPr>
        <w:t>так</w:t>
      </w:r>
      <w:r>
        <w:rPr>
          <w:i/>
          <w:color w:val="231F20"/>
          <w:spacing w:val="-5"/>
          <w:sz w:val="20"/>
        </w:rPr>
        <w:t> </w:t>
      </w:r>
      <w:r>
        <w:rPr>
          <w:i/>
          <w:color w:val="231F20"/>
          <w:spacing w:val="-2"/>
          <w:sz w:val="20"/>
        </w:rPr>
        <w:t>вся</w:t>
      </w:r>
      <w:r>
        <w:rPr>
          <w:i/>
          <w:color w:val="231F20"/>
          <w:spacing w:val="-5"/>
          <w:sz w:val="20"/>
        </w:rPr>
        <w:t> </w:t>
      </w:r>
      <w:r>
        <w:rPr>
          <w:i/>
          <w:color w:val="231F20"/>
          <w:spacing w:val="-2"/>
          <w:sz w:val="20"/>
        </w:rPr>
        <w:t>планета</w:t>
      </w:r>
      <w:r>
        <w:rPr>
          <w:i/>
          <w:color w:val="231F20"/>
          <w:spacing w:val="-5"/>
          <w:sz w:val="20"/>
        </w:rPr>
        <w:t> </w:t>
      </w:r>
      <w:r>
        <w:rPr>
          <w:i/>
          <w:color w:val="231F20"/>
          <w:spacing w:val="-2"/>
          <w:sz w:val="20"/>
        </w:rPr>
        <w:t>и</w:t>
      </w:r>
      <w:r>
        <w:rPr>
          <w:i/>
          <w:color w:val="231F20"/>
          <w:spacing w:val="-5"/>
          <w:sz w:val="20"/>
        </w:rPr>
        <w:t> </w:t>
      </w:r>
      <w:r>
        <w:rPr>
          <w:i/>
          <w:color w:val="231F20"/>
          <w:spacing w:val="-2"/>
          <w:sz w:val="20"/>
        </w:rPr>
        <w:t>разрушит- </w:t>
      </w:r>
      <w:r>
        <w:rPr>
          <w:i/>
          <w:color w:val="231F20"/>
          <w:sz w:val="20"/>
        </w:rPr>
        <w:t>ся.</w:t>
      </w:r>
      <w:r>
        <w:rPr>
          <w:i/>
          <w:color w:val="231F20"/>
          <w:spacing w:val="-13"/>
          <w:sz w:val="20"/>
        </w:rPr>
        <w:t> </w:t>
      </w:r>
      <w:r>
        <w:rPr>
          <w:i/>
          <w:color w:val="231F20"/>
          <w:sz w:val="20"/>
        </w:rPr>
        <w:t>Сначала</w:t>
      </w:r>
      <w:r>
        <w:rPr>
          <w:i/>
          <w:color w:val="231F20"/>
          <w:spacing w:val="-12"/>
          <w:sz w:val="20"/>
        </w:rPr>
        <w:t> </w:t>
      </w:r>
      <w:r>
        <w:rPr>
          <w:i/>
          <w:color w:val="231F20"/>
          <w:sz w:val="20"/>
        </w:rPr>
        <w:t>Марс,</w:t>
      </w:r>
      <w:r>
        <w:rPr>
          <w:i/>
          <w:color w:val="231F20"/>
          <w:spacing w:val="-13"/>
          <w:sz w:val="20"/>
        </w:rPr>
        <w:t> </w:t>
      </w:r>
      <w:r>
        <w:rPr>
          <w:i/>
          <w:color w:val="231F20"/>
          <w:sz w:val="20"/>
        </w:rPr>
        <w:t>а</w:t>
      </w:r>
      <w:r>
        <w:rPr>
          <w:i/>
          <w:color w:val="231F20"/>
          <w:spacing w:val="-12"/>
          <w:sz w:val="20"/>
        </w:rPr>
        <w:t> </w:t>
      </w:r>
      <w:r>
        <w:rPr>
          <w:i/>
          <w:color w:val="231F20"/>
          <w:sz w:val="20"/>
        </w:rPr>
        <w:t>потом</w:t>
      </w:r>
      <w:r>
        <w:rPr>
          <w:i/>
          <w:color w:val="231F20"/>
          <w:spacing w:val="-13"/>
          <w:sz w:val="20"/>
        </w:rPr>
        <w:t> </w:t>
      </w:r>
      <w:r>
        <w:rPr>
          <w:i/>
          <w:color w:val="231F20"/>
          <w:sz w:val="20"/>
        </w:rPr>
        <w:t>она,</w:t>
      </w:r>
      <w:r>
        <w:rPr>
          <w:i/>
          <w:color w:val="231F20"/>
          <w:spacing w:val="-12"/>
          <w:sz w:val="20"/>
        </w:rPr>
        <w:t> </w:t>
      </w:r>
      <w:r>
        <w:rPr>
          <w:i/>
          <w:color w:val="231F20"/>
          <w:sz w:val="20"/>
        </w:rPr>
        <w:t>наверное,</w:t>
      </w:r>
      <w:r>
        <w:rPr>
          <w:i/>
          <w:color w:val="231F20"/>
          <w:spacing w:val="-13"/>
          <w:sz w:val="20"/>
        </w:rPr>
        <w:t> </w:t>
      </w:r>
      <w:r>
        <w:rPr>
          <w:i/>
          <w:color w:val="231F20"/>
          <w:sz w:val="20"/>
        </w:rPr>
        <w:t>переключилась</w:t>
      </w:r>
      <w:r>
        <w:rPr>
          <w:i/>
          <w:color w:val="231F20"/>
          <w:spacing w:val="-12"/>
          <w:sz w:val="20"/>
        </w:rPr>
        <w:t> </w:t>
      </w:r>
      <w:r>
        <w:rPr>
          <w:i/>
          <w:color w:val="231F20"/>
          <w:sz w:val="20"/>
        </w:rPr>
        <w:t>бы</w:t>
      </w:r>
      <w:r>
        <w:rPr>
          <w:i/>
          <w:color w:val="231F20"/>
          <w:spacing w:val="-13"/>
          <w:sz w:val="20"/>
        </w:rPr>
        <w:t> </w:t>
      </w:r>
      <w:r>
        <w:rPr>
          <w:i/>
          <w:color w:val="231F20"/>
          <w:sz w:val="20"/>
        </w:rPr>
        <w:t>и</w:t>
      </w:r>
      <w:r>
        <w:rPr>
          <w:i/>
          <w:color w:val="231F20"/>
          <w:spacing w:val="-12"/>
          <w:sz w:val="20"/>
        </w:rPr>
        <w:t> </w:t>
      </w:r>
      <w:r>
        <w:rPr>
          <w:i/>
          <w:color w:val="231F20"/>
          <w:sz w:val="20"/>
        </w:rPr>
        <w:t>на</w:t>
      </w:r>
      <w:r>
        <w:rPr>
          <w:i/>
          <w:color w:val="231F20"/>
          <w:spacing w:val="-13"/>
          <w:sz w:val="20"/>
        </w:rPr>
        <w:t> </w:t>
      </w:r>
      <w:r>
        <w:rPr>
          <w:i/>
          <w:color w:val="231F20"/>
          <w:sz w:val="20"/>
        </w:rPr>
        <w:t>Землю.</w:t>
      </w:r>
      <w:r>
        <w:rPr>
          <w:i/>
          <w:color w:val="231F20"/>
          <w:spacing w:val="-12"/>
          <w:sz w:val="20"/>
        </w:rPr>
        <w:t> </w:t>
      </w:r>
      <w:r>
        <w:rPr>
          <w:i/>
          <w:color w:val="231F20"/>
          <w:sz w:val="20"/>
        </w:rPr>
        <w:t>И</w:t>
      </w:r>
      <w:r>
        <w:rPr>
          <w:i/>
          <w:color w:val="231F20"/>
          <w:spacing w:val="-13"/>
          <w:sz w:val="20"/>
        </w:rPr>
        <w:t> </w:t>
      </w:r>
      <w:r>
        <w:rPr>
          <w:i/>
          <w:color w:val="231F20"/>
          <w:sz w:val="20"/>
        </w:rPr>
        <w:t>вот</w:t>
      </w:r>
      <w:r>
        <w:rPr>
          <w:i/>
          <w:color w:val="231F20"/>
          <w:spacing w:val="-12"/>
          <w:sz w:val="20"/>
        </w:rPr>
        <w:t> </w:t>
      </w:r>
      <w:r>
        <w:rPr>
          <w:i/>
          <w:color w:val="231F20"/>
          <w:sz w:val="20"/>
        </w:rPr>
        <w:t>Супер- </w:t>
      </w:r>
      <w:r>
        <w:rPr>
          <w:i/>
          <w:color w:val="231F20"/>
          <w:spacing w:val="-2"/>
          <w:sz w:val="20"/>
        </w:rPr>
        <w:t>мен</w:t>
      </w:r>
      <w:r>
        <w:rPr>
          <w:i/>
          <w:color w:val="231F20"/>
          <w:spacing w:val="-13"/>
          <w:sz w:val="20"/>
        </w:rPr>
        <w:t> </w:t>
      </w:r>
      <w:r>
        <w:rPr>
          <w:i/>
          <w:color w:val="231F20"/>
          <w:spacing w:val="-2"/>
          <w:sz w:val="20"/>
        </w:rPr>
        <w:t>и</w:t>
      </w:r>
      <w:r>
        <w:rPr>
          <w:i/>
          <w:color w:val="231F20"/>
          <w:spacing w:val="-10"/>
          <w:sz w:val="20"/>
        </w:rPr>
        <w:t> </w:t>
      </w:r>
      <w:r>
        <w:rPr>
          <w:i/>
          <w:color w:val="231F20"/>
          <w:spacing w:val="-2"/>
          <w:sz w:val="20"/>
        </w:rPr>
        <w:t>Человек-паук</w:t>
      </w:r>
      <w:r>
        <w:rPr>
          <w:i/>
          <w:color w:val="231F20"/>
          <w:spacing w:val="-11"/>
          <w:sz w:val="20"/>
        </w:rPr>
        <w:t> </w:t>
      </w:r>
      <w:r>
        <w:rPr>
          <w:i/>
          <w:color w:val="231F20"/>
          <w:spacing w:val="-2"/>
          <w:sz w:val="20"/>
        </w:rPr>
        <w:t>приготовили</w:t>
      </w:r>
      <w:r>
        <w:rPr>
          <w:i/>
          <w:color w:val="231F20"/>
          <w:spacing w:val="-10"/>
          <w:sz w:val="20"/>
        </w:rPr>
        <w:t> </w:t>
      </w:r>
      <w:r>
        <w:rPr>
          <w:i/>
          <w:color w:val="231F20"/>
          <w:spacing w:val="-2"/>
          <w:sz w:val="20"/>
        </w:rPr>
        <w:t>большие</w:t>
      </w:r>
      <w:r>
        <w:rPr>
          <w:i/>
          <w:color w:val="231F20"/>
          <w:spacing w:val="-11"/>
          <w:sz w:val="20"/>
        </w:rPr>
        <w:t> </w:t>
      </w:r>
      <w:r>
        <w:rPr>
          <w:i/>
          <w:color w:val="231F20"/>
          <w:spacing w:val="-2"/>
          <w:sz w:val="20"/>
        </w:rPr>
        <w:t>камни</w:t>
      </w:r>
      <w:r>
        <w:rPr>
          <w:i/>
          <w:color w:val="231F20"/>
          <w:spacing w:val="-10"/>
          <w:sz w:val="20"/>
        </w:rPr>
        <w:t> </w:t>
      </w:r>
      <w:r>
        <w:rPr>
          <w:i/>
          <w:color w:val="231F20"/>
          <w:spacing w:val="-2"/>
          <w:sz w:val="20"/>
        </w:rPr>
        <w:t>и</w:t>
      </w:r>
      <w:r>
        <w:rPr>
          <w:i/>
          <w:color w:val="231F20"/>
          <w:spacing w:val="-11"/>
          <w:sz w:val="20"/>
        </w:rPr>
        <w:t> </w:t>
      </w:r>
      <w:r>
        <w:rPr>
          <w:i/>
          <w:color w:val="231F20"/>
          <w:spacing w:val="-2"/>
          <w:sz w:val="20"/>
        </w:rPr>
        <w:t>стали</w:t>
      </w:r>
      <w:r>
        <w:rPr>
          <w:i/>
          <w:color w:val="231F20"/>
          <w:spacing w:val="-10"/>
          <w:sz w:val="20"/>
        </w:rPr>
        <w:t> </w:t>
      </w:r>
      <w:r>
        <w:rPr>
          <w:i/>
          <w:color w:val="231F20"/>
          <w:spacing w:val="-2"/>
          <w:sz w:val="20"/>
        </w:rPr>
        <w:t>кидать</w:t>
      </w:r>
      <w:r>
        <w:rPr>
          <w:i/>
          <w:color w:val="231F20"/>
          <w:spacing w:val="-11"/>
          <w:sz w:val="20"/>
        </w:rPr>
        <w:t> </w:t>
      </w:r>
      <w:r>
        <w:rPr>
          <w:i/>
          <w:color w:val="231F20"/>
          <w:spacing w:val="-2"/>
          <w:sz w:val="20"/>
        </w:rPr>
        <w:t>в</w:t>
      </w:r>
      <w:r>
        <w:rPr>
          <w:i/>
          <w:color w:val="231F20"/>
          <w:spacing w:val="-10"/>
          <w:sz w:val="20"/>
        </w:rPr>
        <w:t> </w:t>
      </w:r>
      <w:r>
        <w:rPr>
          <w:i/>
          <w:color w:val="231F20"/>
          <w:spacing w:val="-2"/>
          <w:sz w:val="20"/>
        </w:rPr>
        <w:t>ведьму.</w:t>
      </w:r>
      <w:r>
        <w:rPr>
          <w:i/>
          <w:color w:val="231F20"/>
          <w:spacing w:val="-11"/>
          <w:sz w:val="20"/>
        </w:rPr>
        <w:t> </w:t>
      </w:r>
      <w:r>
        <w:rPr>
          <w:i/>
          <w:color w:val="231F20"/>
          <w:spacing w:val="-2"/>
          <w:sz w:val="20"/>
        </w:rPr>
        <w:t>«Бу-у-мм!»</w:t>
      </w:r>
      <w:r>
        <w:rPr>
          <w:i/>
          <w:color w:val="231F20"/>
          <w:spacing w:val="-10"/>
          <w:sz w:val="20"/>
        </w:rPr>
        <w:t> </w:t>
      </w:r>
      <w:r>
        <w:rPr>
          <w:i/>
          <w:color w:val="231F20"/>
          <w:spacing w:val="-2"/>
          <w:sz w:val="20"/>
        </w:rPr>
        <w:t>– </w:t>
      </w:r>
      <w:r>
        <w:rPr>
          <w:i/>
          <w:color w:val="231F20"/>
          <w:sz w:val="20"/>
        </w:rPr>
        <w:t>камень стукнул ее по плечу. Злая ведьма закричала: «Ой, мне больно, что вы делае- те?!» Тут она увидела Супермена и Человека-паука. «Что вы делаете! Зачем?» – испугавшись,</w:t>
      </w:r>
      <w:r>
        <w:rPr>
          <w:i/>
          <w:color w:val="231F20"/>
          <w:spacing w:val="-10"/>
          <w:sz w:val="20"/>
        </w:rPr>
        <w:t> </w:t>
      </w:r>
      <w:r>
        <w:rPr>
          <w:i/>
          <w:color w:val="231F20"/>
          <w:sz w:val="20"/>
        </w:rPr>
        <w:t>закричала</w:t>
      </w:r>
      <w:r>
        <w:rPr>
          <w:i/>
          <w:color w:val="231F20"/>
          <w:spacing w:val="-10"/>
          <w:sz w:val="20"/>
        </w:rPr>
        <w:t> </w:t>
      </w:r>
      <w:r>
        <w:rPr>
          <w:i/>
          <w:color w:val="231F20"/>
          <w:sz w:val="20"/>
        </w:rPr>
        <w:t>им</w:t>
      </w:r>
      <w:r>
        <w:rPr>
          <w:i/>
          <w:color w:val="231F20"/>
          <w:spacing w:val="-10"/>
          <w:sz w:val="20"/>
        </w:rPr>
        <w:t> </w:t>
      </w:r>
      <w:r>
        <w:rPr>
          <w:i/>
          <w:color w:val="231F20"/>
          <w:sz w:val="20"/>
        </w:rPr>
        <w:t>Ведьма,</w:t>
      </w:r>
      <w:r>
        <w:rPr>
          <w:i/>
          <w:color w:val="231F20"/>
          <w:spacing w:val="-10"/>
          <w:sz w:val="20"/>
        </w:rPr>
        <w:t> </w:t>
      </w:r>
      <w:r>
        <w:rPr>
          <w:i/>
          <w:color w:val="231F20"/>
          <w:sz w:val="20"/>
        </w:rPr>
        <w:t>а</w:t>
      </w:r>
      <w:r>
        <w:rPr>
          <w:i/>
          <w:color w:val="231F20"/>
          <w:spacing w:val="-10"/>
          <w:sz w:val="20"/>
        </w:rPr>
        <w:t> </w:t>
      </w:r>
      <w:r>
        <w:rPr>
          <w:i/>
          <w:color w:val="231F20"/>
          <w:sz w:val="20"/>
        </w:rPr>
        <w:t>Человек-паук</w:t>
      </w:r>
      <w:r>
        <w:rPr>
          <w:i/>
          <w:color w:val="231F20"/>
          <w:spacing w:val="-10"/>
          <w:sz w:val="20"/>
        </w:rPr>
        <w:t> </w:t>
      </w:r>
      <w:r>
        <w:rPr>
          <w:i/>
          <w:color w:val="231F20"/>
          <w:sz w:val="20"/>
        </w:rPr>
        <w:t>сказал:</w:t>
      </w:r>
      <w:r>
        <w:rPr>
          <w:i/>
          <w:color w:val="231F20"/>
          <w:spacing w:val="-10"/>
          <w:sz w:val="20"/>
        </w:rPr>
        <w:t> </w:t>
      </w:r>
      <w:r>
        <w:rPr>
          <w:i/>
          <w:color w:val="231F20"/>
          <w:sz w:val="20"/>
        </w:rPr>
        <w:t>«Мы</w:t>
      </w:r>
      <w:r>
        <w:rPr>
          <w:i/>
          <w:color w:val="231F20"/>
          <w:spacing w:val="-10"/>
          <w:sz w:val="20"/>
        </w:rPr>
        <w:t> </w:t>
      </w:r>
      <w:r>
        <w:rPr>
          <w:i/>
          <w:color w:val="231F20"/>
          <w:sz w:val="20"/>
        </w:rPr>
        <w:t>хотим</w:t>
      </w:r>
      <w:r>
        <w:rPr>
          <w:i/>
          <w:color w:val="231F20"/>
          <w:spacing w:val="-10"/>
          <w:sz w:val="20"/>
        </w:rPr>
        <w:t> </w:t>
      </w:r>
      <w:r>
        <w:rPr>
          <w:i/>
          <w:color w:val="231F20"/>
          <w:sz w:val="20"/>
        </w:rPr>
        <w:t>тебя</w:t>
      </w:r>
      <w:r>
        <w:rPr>
          <w:i/>
          <w:color w:val="231F20"/>
          <w:spacing w:val="-10"/>
          <w:sz w:val="20"/>
        </w:rPr>
        <w:t> </w:t>
      </w:r>
      <w:r>
        <w:rPr>
          <w:i/>
          <w:color w:val="231F20"/>
          <w:sz w:val="20"/>
        </w:rPr>
        <w:t>убить!»</w:t>
      </w:r>
    </w:p>
    <w:p>
      <w:pPr>
        <w:pStyle w:val="ListParagraph"/>
        <w:numPr>
          <w:ilvl w:val="0"/>
          <w:numId w:val="219"/>
        </w:numPr>
        <w:tabs>
          <w:tab w:pos="570" w:val="left" w:leader="none"/>
        </w:tabs>
        <w:spacing w:line="228" w:lineRule="exact" w:before="1" w:after="0"/>
        <w:ind w:left="570" w:right="0" w:hanging="145"/>
        <w:jc w:val="left"/>
        <w:rPr>
          <w:i/>
          <w:sz w:val="20"/>
        </w:rPr>
      </w:pPr>
      <w:r>
        <w:rPr>
          <w:i/>
          <w:color w:val="231F20"/>
          <w:spacing w:val="-4"/>
          <w:sz w:val="20"/>
        </w:rPr>
        <w:t>Почему,</w:t>
      </w:r>
      <w:r>
        <w:rPr>
          <w:i/>
          <w:color w:val="231F20"/>
          <w:spacing w:val="-8"/>
          <w:sz w:val="20"/>
        </w:rPr>
        <w:t> </w:t>
      </w:r>
      <w:r>
        <w:rPr>
          <w:i/>
          <w:color w:val="231F20"/>
          <w:spacing w:val="-4"/>
          <w:sz w:val="20"/>
        </w:rPr>
        <w:t>за</w:t>
      </w:r>
      <w:r>
        <w:rPr>
          <w:i/>
          <w:color w:val="231F20"/>
          <w:spacing w:val="-8"/>
          <w:sz w:val="20"/>
        </w:rPr>
        <w:t> </w:t>
      </w:r>
      <w:r>
        <w:rPr>
          <w:i/>
          <w:color w:val="231F20"/>
          <w:spacing w:val="-4"/>
          <w:sz w:val="20"/>
        </w:rPr>
        <w:t>что?</w:t>
      </w:r>
    </w:p>
    <w:p>
      <w:pPr>
        <w:pStyle w:val="ListParagraph"/>
        <w:numPr>
          <w:ilvl w:val="0"/>
          <w:numId w:val="219"/>
        </w:numPr>
        <w:tabs>
          <w:tab w:pos="570" w:val="left" w:leader="none"/>
        </w:tabs>
        <w:spacing w:line="226" w:lineRule="exact" w:before="0" w:after="0"/>
        <w:ind w:left="570" w:right="0" w:hanging="145"/>
        <w:jc w:val="left"/>
        <w:rPr>
          <w:i/>
          <w:sz w:val="20"/>
        </w:rPr>
      </w:pPr>
      <w:r>
        <w:rPr>
          <w:i/>
          <w:color w:val="231F20"/>
          <w:sz w:val="20"/>
        </w:rPr>
        <w:t>Потому,</w:t>
      </w:r>
      <w:r>
        <w:rPr>
          <w:i/>
          <w:color w:val="231F20"/>
          <w:spacing w:val="-12"/>
          <w:sz w:val="20"/>
        </w:rPr>
        <w:t> </w:t>
      </w:r>
      <w:r>
        <w:rPr>
          <w:i/>
          <w:color w:val="231F20"/>
          <w:sz w:val="20"/>
        </w:rPr>
        <w:t>что</w:t>
      </w:r>
      <w:r>
        <w:rPr>
          <w:i/>
          <w:color w:val="231F20"/>
          <w:spacing w:val="-9"/>
          <w:sz w:val="20"/>
        </w:rPr>
        <w:t> </w:t>
      </w:r>
      <w:r>
        <w:rPr>
          <w:i/>
          <w:color w:val="231F20"/>
          <w:sz w:val="20"/>
        </w:rPr>
        <w:t>ты</w:t>
      </w:r>
      <w:r>
        <w:rPr>
          <w:i/>
          <w:color w:val="231F20"/>
          <w:spacing w:val="-9"/>
          <w:sz w:val="20"/>
        </w:rPr>
        <w:t> </w:t>
      </w:r>
      <w:r>
        <w:rPr>
          <w:i/>
          <w:color w:val="231F20"/>
          <w:sz w:val="20"/>
        </w:rPr>
        <w:t>хочешь</w:t>
      </w:r>
      <w:r>
        <w:rPr>
          <w:i/>
          <w:color w:val="231F20"/>
          <w:spacing w:val="-9"/>
          <w:sz w:val="20"/>
        </w:rPr>
        <w:t> </w:t>
      </w:r>
      <w:r>
        <w:rPr>
          <w:i/>
          <w:color w:val="231F20"/>
          <w:sz w:val="20"/>
        </w:rPr>
        <w:t>уничтожить</w:t>
      </w:r>
      <w:r>
        <w:rPr>
          <w:i/>
          <w:color w:val="231F20"/>
          <w:spacing w:val="-9"/>
          <w:sz w:val="20"/>
        </w:rPr>
        <w:t> </w:t>
      </w:r>
      <w:r>
        <w:rPr>
          <w:i/>
          <w:color w:val="231F20"/>
          <w:sz w:val="20"/>
        </w:rPr>
        <w:t>Марс,</w:t>
      </w:r>
      <w:r>
        <w:rPr>
          <w:i/>
          <w:color w:val="231F20"/>
          <w:spacing w:val="-9"/>
          <w:sz w:val="20"/>
        </w:rPr>
        <w:t> </w:t>
      </w:r>
      <w:r>
        <w:rPr>
          <w:i/>
          <w:color w:val="231F20"/>
          <w:sz w:val="20"/>
        </w:rPr>
        <w:t>а</w:t>
      </w:r>
      <w:r>
        <w:rPr>
          <w:i/>
          <w:color w:val="231F20"/>
          <w:spacing w:val="-9"/>
          <w:sz w:val="20"/>
        </w:rPr>
        <w:t> </w:t>
      </w:r>
      <w:r>
        <w:rPr>
          <w:i/>
          <w:color w:val="231F20"/>
          <w:sz w:val="20"/>
        </w:rPr>
        <w:t>затем</w:t>
      </w:r>
      <w:r>
        <w:rPr>
          <w:i/>
          <w:color w:val="231F20"/>
          <w:spacing w:val="-9"/>
          <w:sz w:val="20"/>
        </w:rPr>
        <w:t> </w:t>
      </w:r>
      <w:r>
        <w:rPr>
          <w:i/>
          <w:color w:val="231F20"/>
          <w:sz w:val="20"/>
        </w:rPr>
        <w:t>и</w:t>
      </w:r>
      <w:r>
        <w:rPr>
          <w:i/>
          <w:color w:val="231F20"/>
          <w:spacing w:val="-9"/>
          <w:sz w:val="20"/>
        </w:rPr>
        <w:t> </w:t>
      </w:r>
      <w:r>
        <w:rPr>
          <w:i/>
          <w:color w:val="231F20"/>
          <w:sz w:val="20"/>
        </w:rPr>
        <w:t>наш</w:t>
      </w:r>
      <w:r>
        <w:rPr>
          <w:i/>
          <w:color w:val="231F20"/>
          <w:spacing w:val="-9"/>
          <w:sz w:val="20"/>
        </w:rPr>
        <w:t> </w:t>
      </w:r>
      <w:r>
        <w:rPr>
          <w:i/>
          <w:color w:val="231F20"/>
          <w:sz w:val="20"/>
        </w:rPr>
        <w:t>мир.</w:t>
      </w:r>
      <w:r>
        <w:rPr>
          <w:i/>
          <w:color w:val="231F20"/>
          <w:spacing w:val="-9"/>
          <w:sz w:val="20"/>
        </w:rPr>
        <w:t> </w:t>
      </w:r>
      <w:r>
        <w:rPr>
          <w:i/>
          <w:color w:val="231F20"/>
          <w:sz w:val="20"/>
        </w:rPr>
        <w:t>Мы</w:t>
      </w:r>
      <w:r>
        <w:rPr>
          <w:i/>
          <w:color w:val="231F20"/>
          <w:spacing w:val="-9"/>
          <w:sz w:val="20"/>
        </w:rPr>
        <w:t> </w:t>
      </w:r>
      <w:r>
        <w:rPr>
          <w:i/>
          <w:color w:val="231F20"/>
          <w:sz w:val="20"/>
        </w:rPr>
        <w:t>это</w:t>
      </w:r>
      <w:r>
        <w:rPr>
          <w:i/>
          <w:color w:val="231F20"/>
          <w:spacing w:val="-9"/>
          <w:sz w:val="20"/>
        </w:rPr>
        <w:t> </w:t>
      </w:r>
      <w:r>
        <w:rPr>
          <w:i/>
          <w:color w:val="231F20"/>
          <w:spacing w:val="-2"/>
          <w:sz w:val="20"/>
        </w:rPr>
        <w:t>знаем.</w:t>
      </w:r>
    </w:p>
    <w:p>
      <w:pPr>
        <w:pStyle w:val="ListParagraph"/>
        <w:numPr>
          <w:ilvl w:val="0"/>
          <w:numId w:val="219"/>
        </w:numPr>
        <w:tabs>
          <w:tab w:pos="575" w:val="left" w:leader="none"/>
        </w:tabs>
        <w:spacing w:line="226" w:lineRule="exact" w:before="0" w:after="0"/>
        <w:ind w:left="575" w:right="0" w:hanging="150"/>
        <w:jc w:val="left"/>
        <w:rPr>
          <w:i/>
          <w:sz w:val="20"/>
        </w:rPr>
      </w:pPr>
      <w:r>
        <w:rPr>
          <w:i/>
          <w:color w:val="231F20"/>
          <w:sz w:val="20"/>
        </w:rPr>
        <w:t>Не</w:t>
      </w:r>
      <w:r>
        <w:rPr>
          <w:i/>
          <w:color w:val="231F20"/>
          <w:spacing w:val="-4"/>
          <w:sz w:val="20"/>
        </w:rPr>
        <w:t> </w:t>
      </w:r>
      <w:r>
        <w:rPr>
          <w:i/>
          <w:color w:val="231F20"/>
          <w:sz w:val="20"/>
        </w:rPr>
        <w:t>убивайте</w:t>
      </w:r>
      <w:r>
        <w:rPr>
          <w:i/>
          <w:color w:val="231F20"/>
          <w:spacing w:val="-2"/>
          <w:sz w:val="20"/>
        </w:rPr>
        <w:t> </w:t>
      </w:r>
      <w:r>
        <w:rPr>
          <w:i/>
          <w:color w:val="231F20"/>
          <w:sz w:val="20"/>
        </w:rPr>
        <w:t>меня,</w:t>
      </w:r>
      <w:r>
        <w:rPr>
          <w:i/>
          <w:color w:val="231F20"/>
          <w:spacing w:val="-2"/>
          <w:sz w:val="20"/>
        </w:rPr>
        <w:t> </w:t>
      </w:r>
      <w:r>
        <w:rPr>
          <w:i/>
          <w:color w:val="231F20"/>
          <w:sz w:val="20"/>
        </w:rPr>
        <w:t>пожалуйста!</w:t>
      </w:r>
      <w:r>
        <w:rPr>
          <w:i/>
          <w:color w:val="231F20"/>
          <w:spacing w:val="-2"/>
          <w:sz w:val="20"/>
        </w:rPr>
        <w:t> </w:t>
      </w:r>
      <w:r>
        <w:rPr>
          <w:i/>
          <w:color w:val="231F20"/>
          <w:sz w:val="20"/>
        </w:rPr>
        <w:t>–</w:t>
      </w:r>
      <w:r>
        <w:rPr>
          <w:i/>
          <w:color w:val="231F20"/>
          <w:spacing w:val="-2"/>
          <w:sz w:val="20"/>
        </w:rPr>
        <w:t> </w:t>
      </w:r>
      <w:r>
        <w:rPr>
          <w:i/>
          <w:color w:val="231F20"/>
          <w:sz w:val="20"/>
        </w:rPr>
        <w:t>закричала</w:t>
      </w:r>
      <w:r>
        <w:rPr>
          <w:i/>
          <w:color w:val="231F20"/>
          <w:spacing w:val="-2"/>
          <w:sz w:val="20"/>
        </w:rPr>
        <w:t> </w:t>
      </w:r>
      <w:r>
        <w:rPr>
          <w:i/>
          <w:color w:val="231F20"/>
          <w:sz w:val="20"/>
        </w:rPr>
        <w:t>Злая</w:t>
      </w:r>
      <w:r>
        <w:rPr>
          <w:i/>
          <w:color w:val="231F20"/>
          <w:spacing w:val="-1"/>
          <w:sz w:val="20"/>
        </w:rPr>
        <w:t> </w:t>
      </w:r>
      <w:r>
        <w:rPr>
          <w:i/>
          <w:color w:val="231F20"/>
          <w:spacing w:val="-2"/>
          <w:sz w:val="20"/>
        </w:rPr>
        <w:t>ведьма.</w:t>
      </w:r>
    </w:p>
    <w:p>
      <w:pPr>
        <w:pStyle w:val="ListParagraph"/>
        <w:numPr>
          <w:ilvl w:val="0"/>
          <w:numId w:val="219"/>
        </w:numPr>
        <w:tabs>
          <w:tab w:pos="568" w:val="left" w:leader="none"/>
        </w:tabs>
        <w:spacing w:line="235" w:lineRule="auto" w:before="2" w:after="0"/>
        <w:ind w:left="141" w:right="140" w:firstLine="283"/>
        <w:jc w:val="left"/>
        <w:rPr>
          <w:i/>
          <w:sz w:val="20"/>
        </w:rPr>
      </w:pPr>
      <w:r>
        <w:rPr>
          <w:i/>
          <w:color w:val="231F20"/>
          <w:spacing w:val="-2"/>
          <w:sz w:val="20"/>
        </w:rPr>
        <w:t>Нет,</w:t>
      </w:r>
      <w:r>
        <w:rPr>
          <w:i/>
          <w:color w:val="231F20"/>
          <w:spacing w:val="-11"/>
          <w:sz w:val="20"/>
        </w:rPr>
        <w:t> </w:t>
      </w:r>
      <w:r>
        <w:rPr>
          <w:i/>
          <w:color w:val="231F20"/>
          <w:spacing w:val="-2"/>
          <w:sz w:val="20"/>
        </w:rPr>
        <w:t>мы</w:t>
      </w:r>
      <w:r>
        <w:rPr>
          <w:i/>
          <w:color w:val="231F20"/>
          <w:spacing w:val="-10"/>
          <w:sz w:val="20"/>
        </w:rPr>
        <w:t> </w:t>
      </w:r>
      <w:r>
        <w:rPr>
          <w:i/>
          <w:color w:val="231F20"/>
          <w:spacing w:val="-2"/>
          <w:sz w:val="20"/>
        </w:rPr>
        <w:t>должны</w:t>
      </w:r>
      <w:r>
        <w:rPr>
          <w:i/>
          <w:color w:val="231F20"/>
          <w:spacing w:val="-11"/>
          <w:sz w:val="20"/>
        </w:rPr>
        <w:t> </w:t>
      </w:r>
      <w:r>
        <w:rPr>
          <w:i/>
          <w:color w:val="231F20"/>
          <w:spacing w:val="-2"/>
          <w:sz w:val="20"/>
        </w:rPr>
        <w:t>тебя</w:t>
      </w:r>
      <w:r>
        <w:rPr>
          <w:i/>
          <w:color w:val="231F20"/>
          <w:spacing w:val="-10"/>
          <w:sz w:val="20"/>
        </w:rPr>
        <w:t> </w:t>
      </w:r>
      <w:r>
        <w:rPr>
          <w:i/>
          <w:color w:val="231F20"/>
          <w:spacing w:val="-2"/>
          <w:sz w:val="20"/>
        </w:rPr>
        <w:t>убить,</w:t>
      </w:r>
      <w:r>
        <w:rPr>
          <w:i/>
          <w:color w:val="231F20"/>
          <w:spacing w:val="-11"/>
          <w:sz w:val="20"/>
        </w:rPr>
        <w:t> </w:t>
      </w:r>
      <w:r>
        <w:rPr>
          <w:i/>
          <w:color w:val="231F20"/>
          <w:spacing w:val="-2"/>
          <w:sz w:val="20"/>
        </w:rPr>
        <w:t>иначе</w:t>
      </w:r>
      <w:r>
        <w:rPr>
          <w:i/>
          <w:color w:val="231F20"/>
          <w:spacing w:val="-10"/>
          <w:sz w:val="20"/>
        </w:rPr>
        <w:t> </w:t>
      </w:r>
      <w:r>
        <w:rPr>
          <w:i/>
          <w:color w:val="231F20"/>
          <w:spacing w:val="-2"/>
          <w:sz w:val="20"/>
        </w:rPr>
        <w:t>ты</w:t>
      </w:r>
      <w:r>
        <w:rPr>
          <w:i/>
          <w:color w:val="231F20"/>
          <w:spacing w:val="-11"/>
          <w:sz w:val="20"/>
        </w:rPr>
        <w:t> </w:t>
      </w:r>
      <w:r>
        <w:rPr>
          <w:i/>
          <w:color w:val="231F20"/>
          <w:spacing w:val="-2"/>
          <w:sz w:val="20"/>
        </w:rPr>
        <w:t>уничтожишь</w:t>
      </w:r>
      <w:r>
        <w:rPr>
          <w:i/>
          <w:color w:val="231F20"/>
          <w:spacing w:val="-10"/>
          <w:sz w:val="20"/>
        </w:rPr>
        <w:t> </w:t>
      </w:r>
      <w:r>
        <w:rPr>
          <w:i/>
          <w:color w:val="231F20"/>
          <w:spacing w:val="-2"/>
          <w:sz w:val="20"/>
        </w:rPr>
        <w:t>наш</w:t>
      </w:r>
      <w:r>
        <w:rPr>
          <w:i/>
          <w:color w:val="231F20"/>
          <w:spacing w:val="-11"/>
          <w:sz w:val="20"/>
        </w:rPr>
        <w:t> </w:t>
      </w:r>
      <w:r>
        <w:rPr>
          <w:i/>
          <w:color w:val="231F20"/>
          <w:spacing w:val="-2"/>
          <w:sz w:val="20"/>
        </w:rPr>
        <w:t>мир!</w:t>
      </w:r>
      <w:r>
        <w:rPr>
          <w:i/>
          <w:color w:val="231F20"/>
          <w:spacing w:val="-10"/>
          <w:sz w:val="20"/>
        </w:rPr>
        <w:t> </w:t>
      </w:r>
      <w:r>
        <w:rPr>
          <w:i/>
          <w:color w:val="231F20"/>
          <w:spacing w:val="-2"/>
          <w:sz w:val="20"/>
        </w:rPr>
        <w:t>–</w:t>
      </w:r>
      <w:r>
        <w:rPr>
          <w:i/>
          <w:color w:val="231F20"/>
          <w:spacing w:val="-11"/>
          <w:sz w:val="20"/>
        </w:rPr>
        <w:t> </w:t>
      </w:r>
      <w:r>
        <w:rPr>
          <w:i/>
          <w:color w:val="231F20"/>
          <w:spacing w:val="-2"/>
          <w:sz w:val="20"/>
        </w:rPr>
        <w:t>сказал</w:t>
      </w:r>
      <w:r>
        <w:rPr>
          <w:i/>
          <w:color w:val="231F20"/>
          <w:spacing w:val="-10"/>
          <w:sz w:val="20"/>
        </w:rPr>
        <w:t> </w:t>
      </w:r>
      <w:r>
        <w:rPr>
          <w:i/>
          <w:color w:val="231F20"/>
          <w:spacing w:val="-2"/>
          <w:sz w:val="20"/>
        </w:rPr>
        <w:t>Человек- паук.</w:t>
      </w:r>
    </w:p>
    <w:p>
      <w:pPr>
        <w:pStyle w:val="ListParagraph"/>
        <w:numPr>
          <w:ilvl w:val="0"/>
          <w:numId w:val="219"/>
        </w:numPr>
        <w:tabs>
          <w:tab w:pos="575" w:val="left" w:leader="none"/>
        </w:tabs>
        <w:spacing w:line="235" w:lineRule="auto" w:before="1" w:after="0"/>
        <w:ind w:left="425" w:right="2131" w:firstLine="0"/>
        <w:jc w:val="left"/>
        <w:rPr>
          <w:i/>
          <w:sz w:val="20"/>
        </w:rPr>
      </w:pPr>
      <w:r>
        <w:rPr>
          <w:i/>
          <w:color w:val="231F20"/>
          <w:sz w:val="20"/>
        </w:rPr>
        <w:t>Пожалуйста,</w:t>
      </w:r>
      <w:r>
        <w:rPr>
          <w:i/>
          <w:color w:val="231F20"/>
          <w:spacing w:val="-6"/>
          <w:sz w:val="20"/>
        </w:rPr>
        <w:t> </w:t>
      </w:r>
      <w:r>
        <w:rPr>
          <w:i/>
          <w:color w:val="231F20"/>
          <w:sz w:val="20"/>
        </w:rPr>
        <w:t>не</w:t>
      </w:r>
      <w:r>
        <w:rPr>
          <w:i/>
          <w:color w:val="231F20"/>
          <w:spacing w:val="-6"/>
          <w:sz w:val="20"/>
        </w:rPr>
        <w:t> </w:t>
      </w:r>
      <w:r>
        <w:rPr>
          <w:i/>
          <w:color w:val="231F20"/>
          <w:sz w:val="20"/>
        </w:rPr>
        <w:t>убивайте</w:t>
      </w:r>
      <w:r>
        <w:rPr>
          <w:i/>
          <w:color w:val="231F20"/>
          <w:spacing w:val="-6"/>
          <w:sz w:val="20"/>
        </w:rPr>
        <w:t> </w:t>
      </w:r>
      <w:r>
        <w:rPr>
          <w:i/>
          <w:color w:val="231F20"/>
          <w:sz w:val="20"/>
        </w:rPr>
        <w:t>меня!</w:t>
      </w:r>
      <w:r>
        <w:rPr>
          <w:i/>
          <w:color w:val="231F20"/>
          <w:spacing w:val="-6"/>
          <w:sz w:val="20"/>
        </w:rPr>
        <w:t> </w:t>
      </w:r>
      <w:r>
        <w:rPr>
          <w:i/>
          <w:color w:val="231F20"/>
          <w:sz w:val="20"/>
        </w:rPr>
        <w:t>–</w:t>
      </w:r>
      <w:r>
        <w:rPr>
          <w:i/>
          <w:color w:val="231F20"/>
          <w:spacing w:val="-6"/>
          <w:sz w:val="20"/>
        </w:rPr>
        <w:t> </w:t>
      </w:r>
      <w:r>
        <w:rPr>
          <w:i/>
          <w:color w:val="231F20"/>
          <w:sz w:val="20"/>
        </w:rPr>
        <w:t>говорит</w:t>
      </w:r>
      <w:r>
        <w:rPr>
          <w:i/>
          <w:color w:val="231F20"/>
          <w:spacing w:val="-7"/>
          <w:sz w:val="20"/>
        </w:rPr>
        <w:t> </w:t>
      </w:r>
      <w:r>
        <w:rPr>
          <w:i/>
          <w:color w:val="231F20"/>
          <w:sz w:val="20"/>
        </w:rPr>
        <w:t>Злая</w:t>
      </w:r>
      <w:r>
        <w:rPr>
          <w:i/>
          <w:color w:val="231F20"/>
          <w:spacing w:val="-6"/>
          <w:sz w:val="20"/>
        </w:rPr>
        <w:t> </w:t>
      </w:r>
      <w:r>
        <w:rPr>
          <w:i/>
          <w:color w:val="231F20"/>
          <w:sz w:val="20"/>
        </w:rPr>
        <w:t>ведьма. Тут</w:t>
      </w:r>
      <w:r>
        <w:rPr>
          <w:i/>
          <w:color w:val="231F20"/>
          <w:spacing w:val="-10"/>
          <w:sz w:val="20"/>
        </w:rPr>
        <w:t> </w:t>
      </w:r>
      <w:r>
        <w:rPr>
          <w:i/>
          <w:color w:val="231F20"/>
          <w:sz w:val="20"/>
        </w:rPr>
        <w:t>Человек-паук</w:t>
      </w:r>
      <w:r>
        <w:rPr>
          <w:i/>
          <w:color w:val="231F20"/>
          <w:spacing w:val="-9"/>
          <w:sz w:val="20"/>
        </w:rPr>
        <w:t> </w:t>
      </w:r>
      <w:r>
        <w:rPr>
          <w:i/>
          <w:color w:val="231F20"/>
          <w:sz w:val="20"/>
        </w:rPr>
        <w:t>призадумался.</w:t>
      </w:r>
      <w:r>
        <w:rPr>
          <w:i/>
          <w:color w:val="231F20"/>
          <w:spacing w:val="-9"/>
          <w:sz w:val="20"/>
        </w:rPr>
        <w:t> </w:t>
      </w:r>
      <w:r>
        <w:rPr>
          <w:i/>
          <w:color w:val="231F20"/>
          <w:sz w:val="20"/>
        </w:rPr>
        <w:t>Спрашивает</w:t>
      </w:r>
      <w:r>
        <w:rPr>
          <w:i/>
          <w:color w:val="231F20"/>
          <w:spacing w:val="-10"/>
          <w:sz w:val="20"/>
        </w:rPr>
        <w:t> </w:t>
      </w:r>
      <w:r>
        <w:rPr>
          <w:i/>
          <w:color w:val="231F20"/>
          <w:sz w:val="20"/>
        </w:rPr>
        <w:t>Супермена:</w:t>
      </w:r>
    </w:p>
    <w:p>
      <w:pPr>
        <w:pStyle w:val="ListParagraph"/>
        <w:numPr>
          <w:ilvl w:val="0"/>
          <w:numId w:val="219"/>
        </w:numPr>
        <w:tabs>
          <w:tab w:pos="575" w:val="left" w:leader="none"/>
        </w:tabs>
        <w:spacing w:line="225" w:lineRule="exact" w:before="0" w:after="0"/>
        <w:ind w:left="575" w:right="0" w:hanging="150"/>
        <w:jc w:val="left"/>
        <w:rPr>
          <w:i/>
          <w:sz w:val="20"/>
        </w:rPr>
      </w:pPr>
      <w:r>
        <w:rPr>
          <w:i/>
          <w:color w:val="231F20"/>
          <w:sz w:val="20"/>
        </w:rPr>
        <w:t>Что</w:t>
      </w:r>
      <w:r>
        <w:rPr>
          <w:i/>
          <w:color w:val="231F20"/>
          <w:spacing w:val="-6"/>
          <w:sz w:val="20"/>
        </w:rPr>
        <w:t> </w:t>
      </w:r>
      <w:r>
        <w:rPr>
          <w:i/>
          <w:color w:val="231F20"/>
          <w:sz w:val="20"/>
        </w:rPr>
        <w:t>же</w:t>
      </w:r>
      <w:r>
        <w:rPr>
          <w:i/>
          <w:color w:val="231F20"/>
          <w:spacing w:val="-5"/>
          <w:sz w:val="20"/>
        </w:rPr>
        <w:t> </w:t>
      </w:r>
      <w:r>
        <w:rPr>
          <w:i/>
          <w:color w:val="231F20"/>
          <w:sz w:val="20"/>
        </w:rPr>
        <w:t>делать?</w:t>
      </w:r>
      <w:r>
        <w:rPr>
          <w:i/>
          <w:color w:val="231F20"/>
          <w:spacing w:val="-5"/>
          <w:sz w:val="20"/>
        </w:rPr>
        <w:t> </w:t>
      </w:r>
      <w:r>
        <w:rPr>
          <w:i/>
          <w:color w:val="231F20"/>
          <w:sz w:val="20"/>
        </w:rPr>
        <w:t>Тебе</w:t>
      </w:r>
      <w:r>
        <w:rPr>
          <w:i/>
          <w:color w:val="231F20"/>
          <w:spacing w:val="-5"/>
          <w:sz w:val="20"/>
        </w:rPr>
        <w:t> </w:t>
      </w:r>
      <w:r>
        <w:rPr>
          <w:i/>
          <w:color w:val="231F20"/>
          <w:sz w:val="20"/>
        </w:rPr>
        <w:t>жалко</w:t>
      </w:r>
      <w:r>
        <w:rPr>
          <w:i/>
          <w:color w:val="231F20"/>
          <w:spacing w:val="-5"/>
          <w:sz w:val="20"/>
        </w:rPr>
        <w:t> ее?</w:t>
      </w:r>
    </w:p>
    <w:p>
      <w:pPr>
        <w:pStyle w:val="ListParagraph"/>
        <w:numPr>
          <w:ilvl w:val="0"/>
          <w:numId w:val="219"/>
        </w:numPr>
        <w:tabs>
          <w:tab w:pos="573" w:val="left" w:leader="none"/>
        </w:tabs>
        <w:spacing w:line="235" w:lineRule="auto" w:before="1" w:after="0"/>
        <w:ind w:left="141" w:right="139" w:firstLine="283"/>
        <w:jc w:val="left"/>
        <w:rPr>
          <w:i/>
          <w:sz w:val="20"/>
        </w:rPr>
      </w:pPr>
      <w:r>
        <w:rPr>
          <w:i/>
          <w:color w:val="231F20"/>
          <w:sz w:val="20"/>
        </w:rPr>
        <w:t>Да,</w:t>
      </w:r>
      <w:r>
        <w:rPr>
          <w:i/>
          <w:color w:val="231F20"/>
          <w:spacing w:val="-7"/>
          <w:sz w:val="20"/>
        </w:rPr>
        <w:t> </w:t>
      </w:r>
      <w:r>
        <w:rPr>
          <w:i/>
          <w:color w:val="231F20"/>
          <w:sz w:val="20"/>
        </w:rPr>
        <w:t>мне</w:t>
      </w:r>
      <w:r>
        <w:rPr>
          <w:i/>
          <w:color w:val="231F20"/>
          <w:spacing w:val="-7"/>
          <w:sz w:val="20"/>
        </w:rPr>
        <w:t> </w:t>
      </w:r>
      <w:r>
        <w:rPr>
          <w:i/>
          <w:color w:val="231F20"/>
          <w:sz w:val="20"/>
        </w:rPr>
        <w:t>жалко,</w:t>
      </w:r>
      <w:r>
        <w:rPr>
          <w:i/>
          <w:color w:val="231F20"/>
          <w:spacing w:val="-7"/>
          <w:sz w:val="20"/>
        </w:rPr>
        <w:t> </w:t>
      </w:r>
      <w:r>
        <w:rPr>
          <w:i/>
          <w:color w:val="231F20"/>
          <w:sz w:val="20"/>
        </w:rPr>
        <w:t>но</w:t>
      </w:r>
      <w:r>
        <w:rPr>
          <w:i/>
          <w:color w:val="231F20"/>
          <w:spacing w:val="-7"/>
          <w:sz w:val="20"/>
        </w:rPr>
        <w:t> </w:t>
      </w:r>
      <w:r>
        <w:rPr>
          <w:i/>
          <w:color w:val="231F20"/>
          <w:sz w:val="20"/>
        </w:rPr>
        <w:t>ничего</w:t>
      </w:r>
      <w:r>
        <w:rPr>
          <w:i/>
          <w:color w:val="231F20"/>
          <w:spacing w:val="-7"/>
          <w:sz w:val="20"/>
        </w:rPr>
        <w:t> </w:t>
      </w:r>
      <w:r>
        <w:rPr>
          <w:i/>
          <w:color w:val="231F20"/>
          <w:sz w:val="20"/>
        </w:rPr>
        <w:t>не</w:t>
      </w:r>
      <w:r>
        <w:rPr>
          <w:i/>
          <w:color w:val="231F20"/>
          <w:spacing w:val="-7"/>
          <w:sz w:val="20"/>
        </w:rPr>
        <w:t> </w:t>
      </w:r>
      <w:r>
        <w:rPr>
          <w:i/>
          <w:color w:val="231F20"/>
          <w:sz w:val="20"/>
        </w:rPr>
        <w:t>поделаешь,</w:t>
      </w:r>
      <w:r>
        <w:rPr>
          <w:i/>
          <w:color w:val="231F20"/>
          <w:spacing w:val="-8"/>
          <w:sz w:val="20"/>
        </w:rPr>
        <w:t> </w:t>
      </w:r>
      <w:r>
        <w:rPr>
          <w:i/>
          <w:color w:val="231F20"/>
          <w:sz w:val="20"/>
        </w:rPr>
        <w:t>–</w:t>
      </w:r>
      <w:r>
        <w:rPr>
          <w:i/>
          <w:color w:val="231F20"/>
          <w:spacing w:val="-7"/>
          <w:sz w:val="20"/>
        </w:rPr>
        <w:t> </w:t>
      </w:r>
      <w:r>
        <w:rPr>
          <w:i/>
          <w:color w:val="231F20"/>
          <w:sz w:val="20"/>
        </w:rPr>
        <w:t>ответил</w:t>
      </w:r>
      <w:r>
        <w:rPr>
          <w:i/>
          <w:color w:val="231F20"/>
          <w:spacing w:val="-7"/>
          <w:sz w:val="20"/>
        </w:rPr>
        <w:t> </w:t>
      </w:r>
      <w:r>
        <w:rPr>
          <w:i/>
          <w:color w:val="231F20"/>
          <w:sz w:val="20"/>
        </w:rPr>
        <w:t>Супермен.</w:t>
      </w:r>
      <w:r>
        <w:rPr>
          <w:i/>
          <w:color w:val="231F20"/>
          <w:spacing w:val="-7"/>
          <w:sz w:val="20"/>
        </w:rPr>
        <w:t> </w:t>
      </w:r>
      <w:r>
        <w:rPr>
          <w:i/>
          <w:color w:val="231F20"/>
          <w:sz w:val="20"/>
        </w:rPr>
        <w:t>Тут</w:t>
      </w:r>
      <w:r>
        <w:rPr>
          <w:i/>
          <w:color w:val="231F20"/>
          <w:spacing w:val="-8"/>
          <w:sz w:val="20"/>
        </w:rPr>
        <w:t> </w:t>
      </w:r>
      <w:r>
        <w:rPr>
          <w:i/>
          <w:color w:val="231F20"/>
          <w:sz w:val="20"/>
        </w:rPr>
        <w:t>Человек-паук решил спросить Ведьму:</w:t>
      </w:r>
    </w:p>
    <w:p>
      <w:pPr>
        <w:pStyle w:val="ListParagraph"/>
        <w:numPr>
          <w:ilvl w:val="0"/>
          <w:numId w:val="219"/>
        </w:numPr>
        <w:tabs>
          <w:tab w:pos="575" w:val="left" w:leader="none"/>
        </w:tabs>
        <w:spacing w:line="225" w:lineRule="exact" w:before="0" w:after="0"/>
        <w:ind w:left="575" w:right="0" w:hanging="150"/>
        <w:jc w:val="left"/>
        <w:rPr>
          <w:i/>
          <w:sz w:val="20"/>
        </w:rPr>
      </w:pPr>
      <w:r>
        <w:rPr>
          <w:i/>
          <w:color w:val="231F20"/>
          <w:sz w:val="20"/>
        </w:rPr>
        <w:t>Почему</w:t>
      </w:r>
      <w:r>
        <w:rPr>
          <w:i/>
          <w:color w:val="231F20"/>
          <w:spacing w:val="-7"/>
          <w:sz w:val="20"/>
        </w:rPr>
        <w:t> </w:t>
      </w:r>
      <w:r>
        <w:rPr>
          <w:i/>
          <w:color w:val="231F20"/>
          <w:sz w:val="20"/>
        </w:rPr>
        <w:t>ты</w:t>
      </w:r>
      <w:r>
        <w:rPr>
          <w:i/>
          <w:color w:val="231F20"/>
          <w:spacing w:val="-8"/>
          <w:sz w:val="20"/>
        </w:rPr>
        <w:t> </w:t>
      </w:r>
      <w:r>
        <w:rPr>
          <w:i/>
          <w:color w:val="231F20"/>
          <w:sz w:val="20"/>
        </w:rPr>
        <w:t>хочешь</w:t>
      </w:r>
      <w:r>
        <w:rPr>
          <w:i/>
          <w:color w:val="231F20"/>
          <w:spacing w:val="-8"/>
          <w:sz w:val="20"/>
        </w:rPr>
        <w:t> </w:t>
      </w:r>
      <w:r>
        <w:rPr>
          <w:i/>
          <w:color w:val="231F20"/>
          <w:sz w:val="20"/>
        </w:rPr>
        <w:t>уничтожить</w:t>
      </w:r>
      <w:r>
        <w:rPr>
          <w:i/>
          <w:color w:val="231F20"/>
          <w:spacing w:val="-8"/>
          <w:sz w:val="20"/>
        </w:rPr>
        <w:t> </w:t>
      </w:r>
      <w:r>
        <w:rPr>
          <w:i/>
          <w:color w:val="231F20"/>
          <w:sz w:val="20"/>
        </w:rPr>
        <w:t>наш</w:t>
      </w:r>
      <w:r>
        <w:rPr>
          <w:i/>
          <w:color w:val="231F20"/>
          <w:spacing w:val="-6"/>
          <w:sz w:val="20"/>
        </w:rPr>
        <w:t> </w:t>
      </w:r>
      <w:r>
        <w:rPr>
          <w:i/>
          <w:color w:val="231F20"/>
          <w:spacing w:val="-4"/>
          <w:sz w:val="20"/>
        </w:rPr>
        <w:t>мир?</w:t>
      </w:r>
    </w:p>
    <w:p>
      <w:pPr>
        <w:pStyle w:val="ListParagraph"/>
        <w:numPr>
          <w:ilvl w:val="0"/>
          <w:numId w:val="219"/>
        </w:numPr>
        <w:tabs>
          <w:tab w:pos="575" w:val="left" w:leader="none"/>
        </w:tabs>
        <w:spacing w:line="226" w:lineRule="exact" w:before="0" w:after="0"/>
        <w:ind w:left="575" w:right="0" w:hanging="150"/>
        <w:jc w:val="left"/>
        <w:rPr>
          <w:i/>
          <w:sz w:val="20"/>
        </w:rPr>
      </w:pPr>
      <w:r>
        <w:rPr>
          <w:i/>
          <w:color w:val="231F20"/>
          <w:sz w:val="20"/>
        </w:rPr>
        <w:t>Я,</w:t>
      </w:r>
      <w:r>
        <w:rPr>
          <w:i/>
          <w:color w:val="231F20"/>
          <w:spacing w:val="-7"/>
          <w:sz w:val="20"/>
        </w:rPr>
        <w:t> </w:t>
      </w:r>
      <w:r>
        <w:rPr>
          <w:i/>
          <w:color w:val="231F20"/>
          <w:sz w:val="20"/>
        </w:rPr>
        <w:t>в</w:t>
      </w:r>
      <w:r>
        <w:rPr>
          <w:i/>
          <w:color w:val="231F20"/>
          <w:spacing w:val="-5"/>
          <w:sz w:val="20"/>
        </w:rPr>
        <w:t> </w:t>
      </w:r>
      <w:r>
        <w:rPr>
          <w:i/>
          <w:color w:val="231F20"/>
          <w:sz w:val="20"/>
        </w:rPr>
        <w:t>общем-то,</w:t>
      </w:r>
      <w:r>
        <w:rPr>
          <w:i/>
          <w:color w:val="231F20"/>
          <w:spacing w:val="-4"/>
          <w:sz w:val="20"/>
        </w:rPr>
        <w:t> </w:t>
      </w:r>
      <w:r>
        <w:rPr>
          <w:i/>
          <w:color w:val="231F20"/>
          <w:sz w:val="20"/>
        </w:rPr>
        <w:t>и</w:t>
      </w:r>
      <w:r>
        <w:rPr>
          <w:i/>
          <w:color w:val="231F20"/>
          <w:spacing w:val="-4"/>
          <w:sz w:val="20"/>
        </w:rPr>
        <w:t> </w:t>
      </w:r>
      <w:r>
        <w:rPr>
          <w:i/>
          <w:color w:val="231F20"/>
          <w:sz w:val="20"/>
        </w:rPr>
        <w:t>не</w:t>
      </w:r>
      <w:r>
        <w:rPr>
          <w:i/>
          <w:color w:val="231F20"/>
          <w:spacing w:val="-4"/>
          <w:sz w:val="20"/>
        </w:rPr>
        <w:t> </w:t>
      </w:r>
      <w:r>
        <w:rPr>
          <w:i/>
          <w:color w:val="231F20"/>
          <w:sz w:val="20"/>
        </w:rPr>
        <w:t>хочу.</w:t>
      </w:r>
      <w:r>
        <w:rPr>
          <w:i/>
          <w:color w:val="231F20"/>
          <w:spacing w:val="-5"/>
          <w:sz w:val="20"/>
        </w:rPr>
        <w:t> </w:t>
      </w:r>
      <w:r>
        <w:rPr>
          <w:i/>
          <w:color w:val="231F20"/>
          <w:sz w:val="20"/>
        </w:rPr>
        <w:t>Оно</w:t>
      </w:r>
      <w:r>
        <w:rPr>
          <w:i/>
          <w:color w:val="231F20"/>
          <w:spacing w:val="-4"/>
          <w:sz w:val="20"/>
        </w:rPr>
        <w:t> </w:t>
      </w:r>
      <w:r>
        <w:rPr>
          <w:i/>
          <w:color w:val="231F20"/>
          <w:sz w:val="20"/>
        </w:rPr>
        <w:t>само</w:t>
      </w:r>
      <w:r>
        <w:rPr>
          <w:i/>
          <w:color w:val="231F20"/>
          <w:spacing w:val="-4"/>
          <w:sz w:val="20"/>
        </w:rPr>
        <w:t> </w:t>
      </w:r>
      <w:r>
        <w:rPr>
          <w:i/>
          <w:color w:val="231F20"/>
          <w:sz w:val="20"/>
        </w:rPr>
        <w:t>получается,</w:t>
      </w:r>
      <w:r>
        <w:rPr>
          <w:i/>
          <w:color w:val="231F20"/>
          <w:spacing w:val="-4"/>
          <w:sz w:val="20"/>
        </w:rPr>
        <w:t> </w:t>
      </w:r>
      <w:r>
        <w:rPr>
          <w:i/>
          <w:color w:val="231F20"/>
          <w:sz w:val="20"/>
        </w:rPr>
        <w:t>–</w:t>
      </w:r>
      <w:r>
        <w:rPr>
          <w:i/>
          <w:color w:val="231F20"/>
          <w:spacing w:val="-4"/>
          <w:sz w:val="20"/>
        </w:rPr>
        <w:t> </w:t>
      </w:r>
      <w:r>
        <w:rPr>
          <w:i/>
          <w:color w:val="231F20"/>
          <w:sz w:val="20"/>
        </w:rPr>
        <w:t>ответила</w:t>
      </w:r>
      <w:r>
        <w:rPr>
          <w:i/>
          <w:color w:val="231F20"/>
          <w:spacing w:val="-4"/>
          <w:sz w:val="20"/>
        </w:rPr>
        <w:t> </w:t>
      </w:r>
      <w:r>
        <w:rPr>
          <w:i/>
          <w:color w:val="231F20"/>
          <w:spacing w:val="-2"/>
          <w:sz w:val="20"/>
        </w:rPr>
        <w:t>Ведьма.</w:t>
      </w:r>
    </w:p>
    <w:p>
      <w:pPr>
        <w:pStyle w:val="ListParagraph"/>
        <w:numPr>
          <w:ilvl w:val="0"/>
          <w:numId w:val="219"/>
        </w:numPr>
        <w:tabs>
          <w:tab w:pos="575" w:val="left" w:leader="none"/>
        </w:tabs>
        <w:spacing w:line="226" w:lineRule="exact" w:before="0" w:after="0"/>
        <w:ind w:left="575" w:right="0" w:hanging="150"/>
        <w:jc w:val="left"/>
        <w:rPr>
          <w:i/>
          <w:sz w:val="20"/>
        </w:rPr>
      </w:pPr>
      <w:r>
        <w:rPr>
          <w:i/>
          <w:color w:val="231F20"/>
          <w:sz w:val="20"/>
        </w:rPr>
        <w:t>Как</w:t>
      </w:r>
      <w:r>
        <w:rPr>
          <w:i/>
          <w:color w:val="231F20"/>
          <w:spacing w:val="-3"/>
          <w:sz w:val="20"/>
        </w:rPr>
        <w:t> </w:t>
      </w:r>
      <w:r>
        <w:rPr>
          <w:i/>
          <w:color w:val="231F20"/>
          <w:sz w:val="20"/>
        </w:rPr>
        <w:t>само?</w:t>
      </w:r>
      <w:r>
        <w:rPr>
          <w:i/>
          <w:color w:val="231F20"/>
          <w:spacing w:val="-2"/>
          <w:sz w:val="20"/>
        </w:rPr>
        <w:t> </w:t>
      </w:r>
      <w:r>
        <w:rPr>
          <w:i/>
          <w:color w:val="231F20"/>
          <w:sz w:val="20"/>
        </w:rPr>
        <w:t>–</w:t>
      </w:r>
      <w:r>
        <w:rPr>
          <w:i/>
          <w:color w:val="231F20"/>
          <w:spacing w:val="-2"/>
          <w:sz w:val="20"/>
        </w:rPr>
        <w:t> </w:t>
      </w:r>
      <w:r>
        <w:rPr>
          <w:i/>
          <w:color w:val="231F20"/>
          <w:sz w:val="20"/>
        </w:rPr>
        <w:t>удивился</w:t>
      </w:r>
      <w:r>
        <w:rPr>
          <w:i/>
          <w:color w:val="231F20"/>
          <w:spacing w:val="-2"/>
          <w:sz w:val="20"/>
        </w:rPr>
        <w:t> </w:t>
      </w:r>
      <w:r>
        <w:rPr>
          <w:i/>
          <w:color w:val="231F20"/>
          <w:sz w:val="20"/>
        </w:rPr>
        <w:t>Человек-</w:t>
      </w:r>
      <w:r>
        <w:rPr>
          <w:i/>
          <w:color w:val="231F20"/>
          <w:spacing w:val="-2"/>
          <w:sz w:val="20"/>
        </w:rPr>
        <w:t>паук.</w:t>
      </w:r>
    </w:p>
    <w:p>
      <w:pPr>
        <w:pStyle w:val="ListParagraph"/>
        <w:numPr>
          <w:ilvl w:val="0"/>
          <w:numId w:val="219"/>
        </w:numPr>
        <w:tabs>
          <w:tab w:pos="585" w:val="left" w:leader="none"/>
        </w:tabs>
        <w:spacing w:line="235" w:lineRule="auto" w:before="2" w:after="0"/>
        <w:ind w:left="141" w:right="139" w:firstLine="283"/>
        <w:jc w:val="left"/>
        <w:rPr>
          <w:i/>
          <w:sz w:val="20"/>
        </w:rPr>
      </w:pPr>
      <w:r>
        <w:rPr>
          <w:i/>
          <w:color w:val="231F20"/>
          <w:sz w:val="20"/>
        </w:rPr>
        <w:t>Вы же знаете, что я уничтожаю весь мир своим криком, – начала объяснять </w:t>
      </w:r>
      <w:r>
        <w:rPr>
          <w:i/>
          <w:color w:val="231F20"/>
          <w:spacing w:val="-2"/>
          <w:sz w:val="20"/>
        </w:rPr>
        <w:t>Ведьма.</w:t>
      </w:r>
    </w:p>
    <w:p>
      <w:pPr>
        <w:pStyle w:val="ListParagraph"/>
        <w:numPr>
          <w:ilvl w:val="0"/>
          <w:numId w:val="219"/>
        </w:numPr>
        <w:tabs>
          <w:tab w:pos="575" w:val="left" w:leader="none"/>
        </w:tabs>
        <w:spacing w:line="227" w:lineRule="exact" w:before="0" w:after="0"/>
        <w:ind w:left="575" w:right="0" w:hanging="150"/>
        <w:jc w:val="left"/>
        <w:rPr>
          <w:i/>
          <w:sz w:val="20"/>
        </w:rPr>
      </w:pPr>
      <w:r>
        <w:rPr>
          <w:i/>
          <w:color w:val="231F20"/>
          <w:sz w:val="20"/>
        </w:rPr>
        <w:t>Да,</w:t>
      </w:r>
      <w:r>
        <w:rPr>
          <w:i/>
          <w:color w:val="231F20"/>
          <w:spacing w:val="-6"/>
          <w:sz w:val="20"/>
        </w:rPr>
        <w:t> </w:t>
      </w:r>
      <w:r>
        <w:rPr>
          <w:i/>
          <w:color w:val="231F20"/>
          <w:sz w:val="20"/>
        </w:rPr>
        <w:t>конечно,</w:t>
      </w:r>
      <w:r>
        <w:rPr>
          <w:i/>
          <w:color w:val="231F20"/>
          <w:spacing w:val="-4"/>
          <w:sz w:val="20"/>
        </w:rPr>
        <w:t> </w:t>
      </w:r>
      <w:r>
        <w:rPr>
          <w:i/>
          <w:color w:val="231F20"/>
          <w:sz w:val="20"/>
        </w:rPr>
        <w:t>за</w:t>
      </w:r>
      <w:r>
        <w:rPr>
          <w:i/>
          <w:color w:val="231F20"/>
          <w:spacing w:val="-4"/>
          <w:sz w:val="20"/>
        </w:rPr>
        <w:t> </w:t>
      </w:r>
      <w:r>
        <w:rPr>
          <w:i/>
          <w:color w:val="231F20"/>
          <w:sz w:val="20"/>
        </w:rPr>
        <w:t>это</w:t>
      </w:r>
      <w:r>
        <w:rPr>
          <w:i/>
          <w:color w:val="231F20"/>
          <w:spacing w:val="-4"/>
          <w:sz w:val="20"/>
        </w:rPr>
        <w:t> </w:t>
      </w:r>
      <w:r>
        <w:rPr>
          <w:i/>
          <w:color w:val="231F20"/>
          <w:sz w:val="20"/>
        </w:rPr>
        <w:t>мы</w:t>
      </w:r>
      <w:r>
        <w:rPr>
          <w:i/>
          <w:color w:val="231F20"/>
          <w:spacing w:val="-5"/>
          <w:sz w:val="20"/>
        </w:rPr>
        <w:t> </w:t>
      </w:r>
      <w:r>
        <w:rPr>
          <w:i/>
          <w:color w:val="231F20"/>
          <w:sz w:val="20"/>
        </w:rPr>
        <w:t>тебя</w:t>
      </w:r>
      <w:r>
        <w:rPr>
          <w:i/>
          <w:color w:val="231F20"/>
          <w:spacing w:val="-4"/>
          <w:sz w:val="20"/>
        </w:rPr>
        <w:t> </w:t>
      </w:r>
      <w:r>
        <w:rPr>
          <w:i/>
          <w:color w:val="231F20"/>
          <w:sz w:val="20"/>
        </w:rPr>
        <w:t>и</w:t>
      </w:r>
      <w:r>
        <w:rPr>
          <w:i/>
          <w:color w:val="231F20"/>
          <w:spacing w:val="-4"/>
          <w:sz w:val="20"/>
        </w:rPr>
        <w:t> </w:t>
      </w:r>
      <w:r>
        <w:rPr>
          <w:i/>
          <w:color w:val="231F20"/>
          <w:sz w:val="20"/>
        </w:rPr>
        <w:t>хотим</w:t>
      </w:r>
      <w:r>
        <w:rPr>
          <w:i/>
          <w:color w:val="231F20"/>
          <w:spacing w:val="-4"/>
          <w:sz w:val="20"/>
        </w:rPr>
        <w:t> </w:t>
      </w:r>
      <w:r>
        <w:rPr>
          <w:i/>
          <w:color w:val="231F20"/>
          <w:spacing w:val="-2"/>
          <w:sz w:val="20"/>
        </w:rPr>
        <w:t>убить.</w:t>
      </w:r>
    </w:p>
    <w:p>
      <w:pPr>
        <w:pStyle w:val="ListParagraph"/>
        <w:spacing w:after="0" w:line="227" w:lineRule="exact"/>
        <w:jc w:val="left"/>
        <w:rPr>
          <w:i/>
          <w:sz w:val="20"/>
        </w:rPr>
        <w:sectPr>
          <w:pgSz w:w="8400" w:h="11910"/>
          <w:pgMar w:header="0" w:footer="529" w:top="400" w:bottom="720" w:left="425" w:right="425"/>
        </w:sectPr>
      </w:pPr>
    </w:p>
    <w:p>
      <w:pPr>
        <w:pStyle w:val="ListParagraph"/>
        <w:numPr>
          <w:ilvl w:val="1"/>
          <w:numId w:val="220"/>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Метод</w:t>
      </w:r>
      <w:r>
        <w:rPr>
          <w:rFonts w:ascii="Georgia" w:hAnsi="Georgia"/>
          <w:color w:val="231F20"/>
          <w:spacing w:val="-6"/>
          <w:sz w:val="18"/>
        </w:rPr>
        <w:t> </w:t>
      </w:r>
      <w:r>
        <w:rPr>
          <w:rFonts w:ascii="Georgia" w:hAnsi="Georgia"/>
          <w:color w:val="231F20"/>
          <w:sz w:val="18"/>
        </w:rPr>
        <w:t>диалогического</w:t>
      </w:r>
      <w:r>
        <w:rPr>
          <w:rFonts w:ascii="Georgia" w:hAnsi="Georgia"/>
          <w:color w:val="231F20"/>
          <w:spacing w:val="-5"/>
          <w:sz w:val="18"/>
        </w:rPr>
        <w:t> </w:t>
      </w:r>
      <w:r>
        <w:rPr>
          <w:rFonts w:ascii="Georgia" w:hAnsi="Georgia"/>
          <w:color w:val="231F20"/>
          <w:sz w:val="18"/>
        </w:rPr>
        <w:t>рассказывания</w:t>
      </w:r>
      <w:r>
        <w:rPr>
          <w:rFonts w:ascii="Georgia" w:hAnsi="Georgia"/>
          <w:color w:val="231F20"/>
          <w:spacing w:val="-6"/>
          <w:sz w:val="18"/>
        </w:rPr>
        <w:t> </w:t>
      </w:r>
      <w:r>
        <w:rPr>
          <w:rFonts w:ascii="Georgia" w:hAnsi="Georgia"/>
          <w:color w:val="231F20"/>
          <w:sz w:val="18"/>
        </w:rPr>
        <w:t>историй:</w:t>
      </w:r>
      <w:r>
        <w:rPr>
          <w:rFonts w:ascii="Georgia" w:hAnsi="Georgia"/>
          <w:color w:val="231F20"/>
          <w:spacing w:val="-5"/>
          <w:sz w:val="18"/>
        </w:rPr>
        <w:t> </w:t>
      </w:r>
      <w:r>
        <w:rPr>
          <w:rFonts w:ascii="Georgia" w:hAnsi="Georgia"/>
          <w:color w:val="231F20"/>
          <w:sz w:val="18"/>
        </w:rPr>
        <w:t>методическое</w:t>
      </w:r>
      <w:r>
        <w:rPr>
          <w:rFonts w:ascii="Georgia" w:hAnsi="Georgia"/>
          <w:color w:val="231F20"/>
          <w:spacing w:val="-5"/>
          <w:sz w:val="18"/>
        </w:rPr>
        <w:t> </w:t>
      </w:r>
      <w:r>
        <w:rPr>
          <w:rFonts w:ascii="Georgia" w:hAnsi="Georgia"/>
          <w:color w:val="231F20"/>
          <w:spacing w:val="-2"/>
          <w:sz w:val="18"/>
        </w:rPr>
        <w:t>руководство</w:t>
      </w:r>
    </w:p>
    <w:p>
      <w:pPr>
        <w:pStyle w:val="ListParagraph"/>
        <w:numPr>
          <w:ilvl w:val="2"/>
          <w:numId w:val="220"/>
        </w:numPr>
        <w:tabs>
          <w:tab w:pos="595" w:val="left" w:leader="none"/>
        </w:tabs>
        <w:spacing w:line="235" w:lineRule="auto" w:before="116" w:after="0"/>
        <w:ind w:left="141" w:right="139" w:firstLine="283"/>
        <w:jc w:val="both"/>
        <w:rPr>
          <w:i/>
          <w:color w:val="231F20"/>
          <w:sz w:val="20"/>
        </w:rPr>
      </w:pPr>
      <w:r>
        <w:rPr>
          <w:i/>
          <w:color w:val="231F20"/>
          <w:sz w:val="20"/>
        </w:rPr>
        <w:t>Я просто такая злая родилась. Во мне так много злости, что когда она на- капливается, как в мешке, – ее становится уже так много, что я не могу ее сдер- живать. И она тогда – п-у-у-х – вылетает из меня. И чтоб я сама не порвалась, я начинаю кричать. И такой получается злой крик, что все вокруг рушится. Я сама, может</w:t>
      </w:r>
      <w:r>
        <w:rPr>
          <w:i/>
          <w:color w:val="231F20"/>
          <w:spacing w:val="-6"/>
          <w:sz w:val="20"/>
        </w:rPr>
        <w:t> </w:t>
      </w:r>
      <w:r>
        <w:rPr>
          <w:i/>
          <w:color w:val="231F20"/>
          <w:sz w:val="20"/>
        </w:rPr>
        <w:t>быть,</w:t>
      </w:r>
      <w:r>
        <w:rPr>
          <w:i/>
          <w:color w:val="231F20"/>
          <w:spacing w:val="-6"/>
          <w:sz w:val="20"/>
        </w:rPr>
        <w:t> </w:t>
      </w:r>
      <w:r>
        <w:rPr>
          <w:i/>
          <w:color w:val="231F20"/>
          <w:sz w:val="20"/>
        </w:rPr>
        <w:t>и</w:t>
      </w:r>
      <w:r>
        <w:rPr>
          <w:i/>
          <w:color w:val="231F20"/>
          <w:spacing w:val="-6"/>
          <w:sz w:val="20"/>
        </w:rPr>
        <w:t> </w:t>
      </w:r>
      <w:r>
        <w:rPr>
          <w:i/>
          <w:color w:val="231F20"/>
          <w:sz w:val="20"/>
        </w:rPr>
        <w:t>не</w:t>
      </w:r>
      <w:r>
        <w:rPr>
          <w:i/>
          <w:color w:val="231F20"/>
          <w:spacing w:val="-6"/>
          <w:sz w:val="20"/>
        </w:rPr>
        <w:t> </w:t>
      </w:r>
      <w:r>
        <w:rPr>
          <w:i/>
          <w:color w:val="231F20"/>
          <w:sz w:val="20"/>
        </w:rPr>
        <w:t>хотела,</w:t>
      </w:r>
      <w:r>
        <w:rPr>
          <w:i/>
          <w:color w:val="231F20"/>
          <w:spacing w:val="-6"/>
          <w:sz w:val="20"/>
        </w:rPr>
        <w:t> </w:t>
      </w:r>
      <w:r>
        <w:rPr>
          <w:i/>
          <w:color w:val="231F20"/>
          <w:sz w:val="20"/>
        </w:rPr>
        <w:t>но</w:t>
      </w:r>
      <w:r>
        <w:rPr>
          <w:i/>
          <w:color w:val="231F20"/>
          <w:spacing w:val="-6"/>
          <w:sz w:val="20"/>
        </w:rPr>
        <w:t> </w:t>
      </w:r>
      <w:r>
        <w:rPr>
          <w:i/>
          <w:color w:val="231F20"/>
          <w:sz w:val="20"/>
        </w:rPr>
        <w:t>так</w:t>
      </w:r>
      <w:r>
        <w:rPr>
          <w:i/>
          <w:color w:val="231F20"/>
          <w:spacing w:val="-6"/>
          <w:sz w:val="20"/>
        </w:rPr>
        <w:t> </w:t>
      </w:r>
      <w:r>
        <w:rPr>
          <w:i/>
          <w:color w:val="231F20"/>
          <w:sz w:val="20"/>
        </w:rPr>
        <w:t>оно</w:t>
      </w:r>
      <w:r>
        <w:rPr>
          <w:i/>
          <w:color w:val="231F20"/>
          <w:spacing w:val="-6"/>
          <w:sz w:val="20"/>
        </w:rPr>
        <w:t> </w:t>
      </w:r>
      <w:r>
        <w:rPr>
          <w:i/>
          <w:color w:val="231F20"/>
          <w:sz w:val="20"/>
        </w:rPr>
        <w:t>получается.</w:t>
      </w:r>
      <w:r>
        <w:rPr>
          <w:i/>
          <w:color w:val="231F20"/>
          <w:spacing w:val="-6"/>
          <w:sz w:val="20"/>
        </w:rPr>
        <w:t> </w:t>
      </w:r>
      <w:r>
        <w:rPr>
          <w:i/>
          <w:color w:val="231F20"/>
          <w:sz w:val="20"/>
        </w:rPr>
        <w:t>Если</w:t>
      </w:r>
      <w:r>
        <w:rPr>
          <w:i/>
          <w:color w:val="231F20"/>
          <w:spacing w:val="-6"/>
          <w:sz w:val="20"/>
        </w:rPr>
        <w:t> </w:t>
      </w:r>
      <w:r>
        <w:rPr>
          <w:i/>
          <w:color w:val="231F20"/>
          <w:sz w:val="20"/>
        </w:rPr>
        <w:t>вы</w:t>
      </w:r>
      <w:r>
        <w:rPr>
          <w:i/>
          <w:color w:val="231F20"/>
          <w:spacing w:val="-6"/>
          <w:sz w:val="20"/>
        </w:rPr>
        <w:t> </w:t>
      </w:r>
      <w:r>
        <w:rPr>
          <w:i/>
          <w:color w:val="231F20"/>
          <w:sz w:val="20"/>
        </w:rPr>
        <w:t>поможете</w:t>
      </w:r>
      <w:r>
        <w:rPr>
          <w:i/>
          <w:color w:val="231F20"/>
          <w:spacing w:val="-6"/>
          <w:sz w:val="20"/>
        </w:rPr>
        <w:t> </w:t>
      </w:r>
      <w:r>
        <w:rPr>
          <w:i/>
          <w:color w:val="231F20"/>
          <w:sz w:val="20"/>
        </w:rPr>
        <w:t>мне</w:t>
      </w:r>
      <w:r>
        <w:rPr>
          <w:i/>
          <w:color w:val="231F20"/>
          <w:spacing w:val="-6"/>
          <w:sz w:val="20"/>
        </w:rPr>
        <w:t> </w:t>
      </w:r>
      <w:r>
        <w:rPr>
          <w:i/>
          <w:color w:val="231F20"/>
          <w:sz w:val="20"/>
        </w:rPr>
        <w:t>выйти</w:t>
      </w:r>
      <w:r>
        <w:rPr>
          <w:i/>
          <w:color w:val="231F20"/>
          <w:spacing w:val="-6"/>
          <w:sz w:val="20"/>
        </w:rPr>
        <w:t> </w:t>
      </w:r>
      <w:r>
        <w:rPr>
          <w:i/>
          <w:color w:val="231F20"/>
          <w:sz w:val="20"/>
        </w:rPr>
        <w:t>из положения, все будет хорошо.</w:t>
      </w:r>
    </w:p>
    <w:p>
      <w:pPr>
        <w:spacing w:line="235" w:lineRule="auto" w:before="4"/>
        <w:ind w:left="141" w:right="139" w:firstLine="283"/>
        <w:jc w:val="both"/>
        <w:rPr>
          <w:i/>
          <w:sz w:val="20"/>
        </w:rPr>
      </w:pPr>
      <w:r>
        <w:rPr>
          <w:i/>
          <w:color w:val="231F20"/>
          <w:spacing w:val="-2"/>
          <w:sz w:val="20"/>
        </w:rPr>
        <w:t>Человек-паук</w:t>
      </w:r>
      <w:r>
        <w:rPr>
          <w:i/>
          <w:color w:val="231F20"/>
          <w:spacing w:val="-5"/>
          <w:sz w:val="20"/>
        </w:rPr>
        <w:t> </w:t>
      </w:r>
      <w:r>
        <w:rPr>
          <w:i/>
          <w:color w:val="231F20"/>
          <w:spacing w:val="-2"/>
          <w:sz w:val="20"/>
        </w:rPr>
        <w:t>задумался.</w:t>
      </w:r>
      <w:r>
        <w:rPr>
          <w:i/>
          <w:color w:val="231F20"/>
          <w:spacing w:val="-5"/>
          <w:sz w:val="20"/>
        </w:rPr>
        <w:t> </w:t>
      </w:r>
      <w:r>
        <w:rPr>
          <w:i/>
          <w:color w:val="231F20"/>
          <w:spacing w:val="-2"/>
          <w:sz w:val="20"/>
        </w:rPr>
        <w:t>Он</w:t>
      </w:r>
      <w:r>
        <w:rPr>
          <w:i/>
          <w:color w:val="231F20"/>
          <w:spacing w:val="-5"/>
          <w:sz w:val="20"/>
        </w:rPr>
        <w:t> </w:t>
      </w:r>
      <w:r>
        <w:rPr>
          <w:i/>
          <w:color w:val="231F20"/>
          <w:spacing w:val="-2"/>
          <w:sz w:val="20"/>
        </w:rPr>
        <w:t>собрал</w:t>
      </w:r>
      <w:r>
        <w:rPr>
          <w:i/>
          <w:color w:val="231F20"/>
          <w:spacing w:val="-5"/>
          <w:sz w:val="20"/>
        </w:rPr>
        <w:t> </w:t>
      </w:r>
      <w:r>
        <w:rPr>
          <w:i/>
          <w:color w:val="231F20"/>
          <w:spacing w:val="-2"/>
          <w:sz w:val="20"/>
        </w:rPr>
        <w:t>всех</w:t>
      </w:r>
      <w:r>
        <w:rPr>
          <w:i/>
          <w:color w:val="231F20"/>
          <w:spacing w:val="-5"/>
          <w:sz w:val="20"/>
        </w:rPr>
        <w:t> </w:t>
      </w:r>
      <w:r>
        <w:rPr>
          <w:i/>
          <w:color w:val="231F20"/>
          <w:spacing w:val="-2"/>
          <w:sz w:val="20"/>
        </w:rPr>
        <w:t>своих</w:t>
      </w:r>
      <w:r>
        <w:rPr>
          <w:i/>
          <w:color w:val="231F20"/>
          <w:spacing w:val="-5"/>
          <w:sz w:val="20"/>
        </w:rPr>
        <w:t> </w:t>
      </w:r>
      <w:r>
        <w:rPr>
          <w:i/>
          <w:color w:val="231F20"/>
          <w:spacing w:val="-2"/>
          <w:sz w:val="20"/>
        </w:rPr>
        <w:t>друзей</w:t>
      </w:r>
      <w:r>
        <w:rPr>
          <w:i/>
          <w:color w:val="231F20"/>
          <w:spacing w:val="-5"/>
          <w:sz w:val="20"/>
        </w:rPr>
        <w:t> </w:t>
      </w:r>
      <w:r>
        <w:rPr>
          <w:i/>
          <w:color w:val="231F20"/>
          <w:spacing w:val="-2"/>
          <w:sz w:val="20"/>
        </w:rPr>
        <w:t>на</w:t>
      </w:r>
      <w:r>
        <w:rPr>
          <w:i/>
          <w:color w:val="231F20"/>
          <w:spacing w:val="-5"/>
          <w:sz w:val="20"/>
        </w:rPr>
        <w:t> </w:t>
      </w:r>
      <w:r>
        <w:rPr>
          <w:i/>
          <w:color w:val="231F20"/>
          <w:spacing w:val="-2"/>
          <w:sz w:val="20"/>
        </w:rPr>
        <w:t>совет.</w:t>
      </w:r>
      <w:r>
        <w:rPr>
          <w:i/>
          <w:color w:val="231F20"/>
          <w:spacing w:val="-5"/>
          <w:sz w:val="20"/>
        </w:rPr>
        <w:t> </w:t>
      </w:r>
      <w:r>
        <w:rPr>
          <w:i/>
          <w:color w:val="231F20"/>
          <w:spacing w:val="-2"/>
          <w:sz w:val="20"/>
        </w:rPr>
        <w:t>Потом</w:t>
      </w:r>
      <w:r>
        <w:rPr>
          <w:i/>
          <w:color w:val="231F20"/>
          <w:spacing w:val="-5"/>
          <w:sz w:val="20"/>
        </w:rPr>
        <w:t> </w:t>
      </w:r>
      <w:r>
        <w:rPr>
          <w:i/>
          <w:color w:val="231F20"/>
          <w:spacing w:val="-2"/>
          <w:sz w:val="20"/>
        </w:rPr>
        <w:t>Человек-па- </w:t>
      </w:r>
      <w:r>
        <w:rPr>
          <w:i/>
          <w:color w:val="231F20"/>
          <w:sz w:val="20"/>
        </w:rPr>
        <w:t>ук сказал:</w:t>
      </w:r>
    </w:p>
    <w:p>
      <w:pPr>
        <w:pStyle w:val="ListParagraph"/>
        <w:numPr>
          <w:ilvl w:val="2"/>
          <w:numId w:val="220"/>
        </w:numPr>
        <w:tabs>
          <w:tab w:pos="567" w:val="left" w:leader="none"/>
        </w:tabs>
        <w:spacing w:line="235" w:lineRule="auto" w:before="1" w:after="0"/>
        <w:ind w:left="141" w:right="139" w:firstLine="283"/>
        <w:jc w:val="both"/>
        <w:rPr>
          <w:i/>
          <w:color w:val="231F20"/>
          <w:sz w:val="20"/>
        </w:rPr>
      </w:pPr>
      <w:r>
        <w:rPr>
          <w:i/>
          <w:color w:val="231F20"/>
          <w:sz w:val="20"/>
        </w:rPr>
        <w:t>Как</w:t>
      </w:r>
      <w:r>
        <w:rPr>
          <w:i/>
          <w:color w:val="231F20"/>
          <w:spacing w:val="-11"/>
          <w:sz w:val="20"/>
        </w:rPr>
        <w:t> </w:t>
      </w:r>
      <w:r>
        <w:rPr>
          <w:i/>
          <w:color w:val="231F20"/>
          <w:sz w:val="20"/>
        </w:rPr>
        <w:t>же</w:t>
      </w:r>
      <w:r>
        <w:rPr>
          <w:i/>
          <w:color w:val="231F20"/>
          <w:spacing w:val="-11"/>
          <w:sz w:val="20"/>
        </w:rPr>
        <w:t> </w:t>
      </w:r>
      <w:r>
        <w:rPr>
          <w:i/>
          <w:color w:val="231F20"/>
          <w:sz w:val="20"/>
        </w:rPr>
        <w:t>это</w:t>
      </w:r>
      <w:r>
        <w:rPr>
          <w:i/>
          <w:color w:val="231F20"/>
          <w:spacing w:val="-11"/>
          <w:sz w:val="20"/>
        </w:rPr>
        <w:t> </w:t>
      </w:r>
      <w:r>
        <w:rPr>
          <w:i/>
          <w:color w:val="231F20"/>
          <w:sz w:val="20"/>
        </w:rPr>
        <w:t>я</w:t>
      </w:r>
      <w:r>
        <w:rPr>
          <w:i/>
          <w:color w:val="231F20"/>
          <w:spacing w:val="-11"/>
          <w:sz w:val="20"/>
        </w:rPr>
        <w:t> </w:t>
      </w:r>
      <w:r>
        <w:rPr>
          <w:i/>
          <w:color w:val="231F20"/>
          <w:sz w:val="20"/>
        </w:rPr>
        <w:t>раньше</w:t>
      </w:r>
      <w:r>
        <w:rPr>
          <w:i/>
          <w:color w:val="231F20"/>
          <w:spacing w:val="-11"/>
          <w:sz w:val="20"/>
        </w:rPr>
        <w:t> </w:t>
      </w:r>
      <w:r>
        <w:rPr>
          <w:i/>
          <w:color w:val="231F20"/>
          <w:sz w:val="20"/>
        </w:rPr>
        <w:t>не</w:t>
      </w:r>
      <w:r>
        <w:rPr>
          <w:i/>
          <w:color w:val="231F20"/>
          <w:spacing w:val="-11"/>
          <w:sz w:val="20"/>
        </w:rPr>
        <w:t> </w:t>
      </w:r>
      <w:r>
        <w:rPr>
          <w:i/>
          <w:color w:val="231F20"/>
          <w:sz w:val="20"/>
        </w:rPr>
        <w:t>догадался!</w:t>
      </w:r>
      <w:r>
        <w:rPr>
          <w:i/>
          <w:color w:val="231F20"/>
          <w:spacing w:val="-11"/>
          <w:sz w:val="20"/>
        </w:rPr>
        <w:t> </w:t>
      </w:r>
      <w:r>
        <w:rPr>
          <w:i/>
          <w:color w:val="231F20"/>
          <w:sz w:val="20"/>
        </w:rPr>
        <w:t>Ведь</w:t>
      </w:r>
      <w:r>
        <w:rPr>
          <w:i/>
          <w:color w:val="231F20"/>
          <w:spacing w:val="-11"/>
          <w:sz w:val="20"/>
        </w:rPr>
        <w:t> </w:t>
      </w:r>
      <w:r>
        <w:rPr>
          <w:i/>
          <w:color w:val="231F20"/>
          <w:sz w:val="20"/>
        </w:rPr>
        <w:t>я</w:t>
      </w:r>
      <w:r>
        <w:rPr>
          <w:i/>
          <w:color w:val="231F20"/>
          <w:spacing w:val="-11"/>
          <w:sz w:val="20"/>
        </w:rPr>
        <w:t> </w:t>
      </w:r>
      <w:r>
        <w:rPr>
          <w:i/>
          <w:color w:val="231F20"/>
          <w:sz w:val="20"/>
        </w:rPr>
        <w:t>уже</w:t>
      </w:r>
      <w:r>
        <w:rPr>
          <w:i/>
          <w:color w:val="231F20"/>
          <w:spacing w:val="-11"/>
          <w:sz w:val="20"/>
        </w:rPr>
        <w:t> </w:t>
      </w:r>
      <w:r>
        <w:rPr>
          <w:i/>
          <w:color w:val="231F20"/>
          <w:sz w:val="20"/>
        </w:rPr>
        <w:t>в</w:t>
      </w:r>
      <w:r>
        <w:rPr>
          <w:i/>
          <w:color w:val="231F20"/>
          <w:spacing w:val="-11"/>
          <w:sz w:val="20"/>
        </w:rPr>
        <w:t> </w:t>
      </w:r>
      <w:r>
        <w:rPr>
          <w:i/>
          <w:color w:val="231F20"/>
          <w:sz w:val="20"/>
        </w:rPr>
        <w:t>школу</w:t>
      </w:r>
      <w:r>
        <w:rPr>
          <w:i/>
          <w:color w:val="231F20"/>
          <w:spacing w:val="-11"/>
          <w:sz w:val="20"/>
        </w:rPr>
        <w:t> </w:t>
      </w:r>
      <w:r>
        <w:rPr>
          <w:i/>
          <w:color w:val="231F20"/>
          <w:sz w:val="20"/>
        </w:rPr>
        <w:t>много</w:t>
      </w:r>
      <w:r>
        <w:rPr>
          <w:i/>
          <w:color w:val="231F20"/>
          <w:spacing w:val="-11"/>
          <w:sz w:val="20"/>
        </w:rPr>
        <w:t> </w:t>
      </w:r>
      <w:r>
        <w:rPr>
          <w:i/>
          <w:color w:val="231F20"/>
          <w:sz w:val="20"/>
        </w:rPr>
        <w:t>ходил</w:t>
      </w:r>
      <w:r>
        <w:rPr>
          <w:i/>
          <w:color w:val="231F20"/>
          <w:spacing w:val="-11"/>
          <w:sz w:val="20"/>
        </w:rPr>
        <w:t> </w:t>
      </w:r>
      <w:r>
        <w:rPr>
          <w:i/>
          <w:color w:val="231F20"/>
          <w:sz w:val="20"/>
        </w:rPr>
        <w:t>и</w:t>
      </w:r>
      <w:r>
        <w:rPr>
          <w:i/>
          <w:color w:val="231F20"/>
          <w:spacing w:val="-11"/>
          <w:sz w:val="20"/>
        </w:rPr>
        <w:t> </w:t>
      </w:r>
      <w:r>
        <w:rPr>
          <w:i/>
          <w:color w:val="231F20"/>
          <w:sz w:val="20"/>
        </w:rPr>
        <w:t>много</w:t>
      </w:r>
      <w:r>
        <w:rPr>
          <w:i/>
          <w:color w:val="231F20"/>
          <w:spacing w:val="-11"/>
          <w:sz w:val="20"/>
        </w:rPr>
        <w:t> </w:t>
      </w:r>
      <w:r>
        <w:rPr>
          <w:i/>
          <w:color w:val="231F20"/>
          <w:sz w:val="20"/>
        </w:rPr>
        <w:t>чего </w:t>
      </w:r>
      <w:r>
        <w:rPr>
          <w:i/>
          <w:color w:val="231F20"/>
          <w:spacing w:val="-2"/>
          <w:sz w:val="20"/>
        </w:rPr>
        <w:t>знаю.</w:t>
      </w:r>
    </w:p>
    <w:p>
      <w:pPr>
        <w:spacing w:line="235" w:lineRule="auto" w:before="1"/>
        <w:ind w:left="141" w:right="139" w:firstLine="283"/>
        <w:jc w:val="both"/>
        <w:rPr>
          <w:i/>
          <w:sz w:val="20"/>
        </w:rPr>
      </w:pPr>
      <w:r>
        <w:rPr>
          <w:i/>
          <w:color w:val="231F20"/>
          <w:sz w:val="20"/>
        </w:rPr>
        <w:t>И он предложил использовать специальные наушники. Они все вместе пошли к Ведьме, и Человек-паук сказал:</w:t>
      </w:r>
    </w:p>
    <w:p>
      <w:pPr>
        <w:pStyle w:val="ListParagraph"/>
        <w:numPr>
          <w:ilvl w:val="2"/>
          <w:numId w:val="220"/>
        </w:numPr>
        <w:tabs>
          <w:tab w:pos="569" w:val="left" w:leader="none"/>
        </w:tabs>
        <w:spacing w:line="235" w:lineRule="auto" w:before="1" w:after="0"/>
        <w:ind w:left="141" w:right="1197" w:firstLine="283"/>
        <w:jc w:val="both"/>
        <w:rPr>
          <w:i/>
          <w:color w:val="231F20"/>
          <w:sz w:val="20"/>
        </w:rPr>
      </w:pPr>
      <w:r>
        <w:rPr>
          <w:i/>
          <w:sz w:val="20"/>
        </w:rPr>
        <w:drawing>
          <wp:anchor distT="0" distB="0" distL="0" distR="0" allowOverlap="1" layoutInCell="1" locked="0" behindDoc="0" simplePos="0" relativeHeight="15776768">
            <wp:simplePos x="0" y="0"/>
            <wp:positionH relativeFrom="page">
              <wp:posOffset>4367924</wp:posOffset>
            </wp:positionH>
            <wp:positionV relativeFrom="paragraph">
              <wp:posOffset>43947</wp:posOffset>
            </wp:positionV>
            <wp:extent cx="600073" cy="547204"/>
            <wp:effectExtent l="0" t="0" r="0" b="0"/>
            <wp:wrapNone/>
            <wp:docPr id="148" name="Image 148" descr="Изображение выглядит как наушники, электроника  Автоматически созданное описание"/>
            <wp:cNvGraphicFramePr>
              <a:graphicFrameLocks/>
            </wp:cNvGraphicFramePr>
            <a:graphic>
              <a:graphicData uri="http://schemas.openxmlformats.org/drawingml/2006/picture">
                <pic:pic>
                  <pic:nvPicPr>
                    <pic:cNvPr id="148" name="Image 148" descr="Изображение выглядит как наушники, электроника  Автоматически созданное описание"/>
                    <pic:cNvPicPr/>
                  </pic:nvPicPr>
                  <pic:blipFill>
                    <a:blip r:embed="rId211" cstate="print"/>
                    <a:stretch>
                      <a:fillRect/>
                    </a:stretch>
                  </pic:blipFill>
                  <pic:spPr>
                    <a:xfrm>
                      <a:off x="0" y="0"/>
                      <a:ext cx="600073" cy="547204"/>
                    </a:xfrm>
                    <a:prstGeom prst="rect">
                      <a:avLst/>
                    </a:prstGeom>
                  </pic:spPr>
                </pic:pic>
              </a:graphicData>
            </a:graphic>
          </wp:anchor>
        </w:drawing>
      </w:r>
      <w:r>
        <w:rPr>
          <w:i/>
          <w:color w:val="231F20"/>
          <w:sz w:val="20"/>
        </w:rPr>
        <w:t>Ведьма!</w:t>
      </w:r>
      <w:r>
        <w:rPr>
          <w:i/>
          <w:color w:val="231F20"/>
          <w:spacing w:val="-12"/>
          <w:sz w:val="20"/>
        </w:rPr>
        <w:t> </w:t>
      </w:r>
      <w:r>
        <w:rPr>
          <w:i/>
          <w:color w:val="231F20"/>
          <w:sz w:val="20"/>
        </w:rPr>
        <w:t>Мы</w:t>
      </w:r>
      <w:r>
        <w:rPr>
          <w:i/>
          <w:color w:val="231F20"/>
          <w:spacing w:val="-12"/>
          <w:sz w:val="20"/>
        </w:rPr>
        <w:t> </w:t>
      </w:r>
      <w:r>
        <w:rPr>
          <w:i/>
          <w:color w:val="231F20"/>
          <w:sz w:val="20"/>
        </w:rPr>
        <w:t>придумали</w:t>
      </w:r>
      <w:r>
        <w:rPr>
          <w:i/>
          <w:color w:val="231F20"/>
          <w:spacing w:val="-12"/>
          <w:sz w:val="20"/>
        </w:rPr>
        <w:t> </w:t>
      </w:r>
      <w:r>
        <w:rPr>
          <w:i/>
          <w:color w:val="231F20"/>
          <w:sz w:val="20"/>
        </w:rPr>
        <w:t>выход!</w:t>
      </w:r>
      <w:r>
        <w:rPr>
          <w:i/>
          <w:color w:val="231F20"/>
          <w:spacing w:val="-12"/>
          <w:sz w:val="20"/>
        </w:rPr>
        <w:t> </w:t>
      </w:r>
      <w:r>
        <w:rPr>
          <w:i/>
          <w:color w:val="231F20"/>
          <w:sz w:val="20"/>
        </w:rPr>
        <w:t>Мы</w:t>
      </w:r>
      <w:r>
        <w:rPr>
          <w:i/>
          <w:color w:val="231F20"/>
          <w:spacing w:val="-12"/>
          <w:sz w:val="20"/>
        </w:rPr>
        <w:t> </w:t>
      </w:r>
      <w:r>
        <w:rPr>
          <w:i/>
          <w:color w:val="231F20"/>
          <w:sz w:val="20"/>
        </w:rPr>
        <w:t>сделаем</w:t>
      </w:r>
      <w:r>
        <w:rPr>
          <w:i/>
          <w:color w:val="231F20"/>
          <w:spacing w:val="-12"/>
          <w:sz w:val="20"/>
        </w:rPr>
        <w:t> </w:t>
      </w:r>
      <w:r>
        <w:rPr>
          <w:i/>
          <w:color w:val="231F20"/>
          <w:sz w:val="20"/>
        </w:rPr>
        <w:t>для</w:t>
      </w:r>
      <w:r>
        <w:rPr>
          <w:i/>
          <w:color w:val="231F20"/>
          <w:spacing w:val="-12"/>
          <w:sz w:val="20"/>
        </w:rPr>
        <w:t> </w:t>
      </w:r>
      <w:r>
        <w:rPr>
          <w:i/>
          <w:color w:val="231F20"/>
          <w:sz w:val="20"/>
        </w:rPr>
        <w:t>всех</w:t>
      </w:r>
      <w:r>
        <w:rPr>
          <w:i/>
          <w:color w:val="231F20"/>
          <w:spacing w:val="-12"/>
          <w:sz w:val="20"/>
        </w:rPr>
        <w:t> </w:t>
      </w:r>
      <w:r>
        <w:rPr>
          <w:i/>
          <w:color w:val="231F20"/>
          <w:sz w:val="20"/>
        </w:rPr>
        <w:t>жителей</w:t>
      </w:r>
      <w:r>
        <w:rPr>
          <w:i/>
          <w:color w:val="231F20"/>
          <w:spacing w:val="-12"/>
          <w:sz w:val="20"/>
        </w:rPr>
        <w:t> </w:t>
      </w:r>
      <w:r>
        <w:rPr>
          <w:i/>
          <w:color w:val="231F20"/>
          <w:sz w:val="20"/>
        </w:rPr>
        <w:t>Земли волшебные наушники. Они будут носить их в кармане. Когда тебе за- хочется закричать, ты позвони мне по телефону и скажи, что хочешь кричать.</w:t>
      </w:r>
      <w:r>
        <w:rPr>
          <w:i/>
          <w:color w:val="231F20"/>
          <w:spacing w:val="10"/>
          <w:sz w:val="20"/>
        </w:rPr>
        <w:t> </w:t>
      </w:r>
      <w:r>
        <w:rPr>
          <w:i/>
          <w:color w:val="231F20"/>
          <w:sz w:val="20"/>
        </w:rPr>
        <w:t>Я</w:t>
      </w:r>
      <w:r>
        <w:rPr>
          <w:i/>
          <w:color w:val="231F20"/>
          <w:spacing w:val="11"/>
          <w:sz w:val="20"/>
        </w:rPr>
        <w:t> </w:t>
      </w:r>
      <w:r>
        <w:rPr>
          <w:i/>
          <w:color w:val="231F20"/>
          <w:sz w:val="20"/>
        </w:rPr>
        <w:t>тогда</w:t>
      </w:r>
      <w:r>
        <w:rPr>
          <w:i/>
          <w:color w:val="231F20"/>
          <w:spacing w:val="10"/>
          <w:sz w:val="20"/>
        </w:rPr>
        <w:t> </w:t>
      </w:r>
      <w:r>
        <w:rPr>
          <w:i/>
          <w:color w:val="231F20"/>
          <w:sz w:val="20"/>
        </w:rPr>
        <w:t>нажму</w:t>
      </w:r>
      <w:r>
        <w:rPr>
          <w:i/>
          <w:color w:val="231F20"/>
          <w:spacing w:val="11"/>
          <w:sz w:val="20"/>
        </w:rPr>
        <w:t> </w:t>
      </w:r>
      <w:r>
        <w:rPr>
          <w:i/>
          <w:color w:val="231F20"/>
          <w:sz w:val="20"/>
        </w:rPr>
        <w:t>на</w:t>
      </w:r>
      <w:r>
        <w:rPr>
          <w:i/>
          <w:color w:val="231F20"/>
          <w:spacing w:val="10"/>
          <w:sz w:val="20"/>
        </w:rPr>
        <w:t> </w:t>
      </w:r>
      <w:r>
        <w:rPr>
          <w:i/>
          <w:color w:val="231F20"/>
          <w:sz w:val="20"/>
        </w:rPr>
        <w:t>специальную</w:t>
      </w:r>
      <w:r>
        <w:rPr>
          <w:i/>
          <w:color w:val="231F20"/>
          <w:spacing w:val="11"/>
          <w:sz w:val="20"/>
        </w:rPr>
        <w:t> </w:t>
      </w:r>
      <w:r>
        <w:rPr>
          <w:i/>
          <w:color w:val="231F20"/>
          <w:sz w:val="20"/>
        </w:rPr>
        <w:t>кнопку.</w:t>
      </w:r>
      <w:r>
        <w:rPr>
          <w:i/>
          <w:color w:val="231F20"/>
          <w:spacing w:val="10"/>
          <w:sz w:val="20"/>
        </w:rPr>
        <w:t> </w:t>
      </w:r>
      <w:r>
        <w:rPr>
          <w:i/>
          <w:color w:val="231F20"/>
          <w:sz w:val="20"/>
        </w:rPr>
        <w:t>Тогда</w:t>
      </w:r>
      <w:r>
        <w:rPr>
          <w:i/>
          <w:color w:val="231F20"/>
          <w:spacing w:val="11"/>
          <w:sz w:val="20"/>
        </w:rPr>
        <w:t> </w:t>
      </w:r>
      <w:r>
        <w:rPr>
          <w:i/>
          <w:color w:val="231F20"/>
          <w:sz w:val="20"/>
        </w:rPr>
        <w:t>по</w:t>
      </w:r>
      <w:r>
        <w:rPr>
          <w:i/>
          <w:color w:val="231F20"/>
          <w:spacing w:val="11"/>
          <w:sz w:val="20"/>
        </w:rPr>
        <w:t> </w:t>
      </w:r>
      <w:r>
        <w:rPr>
          <w:i/>
          <w:color w:val="231F20"/>
          <w:spacing w:val="-2"/>
          <w:sz w:val="20"/>
        </w:rPr>
        <w:t>волшебству</w:t>
      </w:r>
    </w:p>
    <w:p>
      <w:pPr>
        <w:spacing w:line="235" w:lineRule="auto" w:before="3"/>
        <w:ind w:left="141" w:right="139" w:firstLine="0"/>
        <w:jc w:val="both"/>
        <w:rPr>
          <w:i/>
          <w:sz w:val="20"/>
        </w:rPr>
      </w:pPr>
      <w:r>
        <w:rPr>
          <w:i/>
          <w:color w:val="231F20"/>
          <w:sz w:val="20"/>
        </w:rPr>
        <w:t>все</w:t>
      </w:r>
      <w:r>
        <w:rPr>
          <w:i/>
          <w:color w:val="231F20"/>
          <w:spacing w:val="-10"/>
          <w:sz w:val="20"/>
        </w:rPr>
        <w:t> </w:t>
      </w:r>
      <w:r>
        <w:rPr>
          <w:i/>
          <w:color w:val="231F20"/>
          <w:sz w:val="20"/>
        </w:rPr>
        <w:t>жители</w:t>
      </w:r>
      <w:r>
        <w:rPr>
          <w:i/>
          <w:color w:val="231F20"/>
          <w:spacing w:val="-10"/>
          <w:sz w:val="20"/>
        </w:rPr>
        <w:t> </w:t>
      </w:r>
      <w:r>
        <w:rPr>
          <w:i/>
          <w:color w:val="231F20"/>
          <w:sz w:val="20"/>
        </w:rPr>
        <w:t>Земли</w:t>
      </w:r>
      <w:r>
        <w:rPr>
          <w:i/>
          <w:color w:val="231F20"/>
          <w:spacing w:val="-10"/>
          <w:sz w:val="20"/>
        </w:rPr>
        <w:t> </w:t>
      </w:r>
      <w:r>
        <w:rPr>
          <w:i/>
          <w:color w:val="231F20"/>
          <w:sz w:val="20"/>
        </w:rPr>
        <w:t>наденут</w:t>
      </w:r>
      <w:r>
        <w:rPr>
          <w:i/>
          <w:color w:val="231F20"/>
          <w:spacing w:val="-10"/>
          <w:sz w:val="20"/>
        </w:rPr>
        <w:t> </w:t>
      </w:r>
      <w:r>
        <w:rPr>
          <w:i/>
          <w:color w:val="231F20"/>
          <w:sz w:val="20"/>
        </w:rPr>
        <w:t>наушники,</w:t>
      </w:r>
      <w:r>
        <w:rPr>
          <w:i/>
          <w:color w:val="231F20"/>
          <w:spacing w:val="-10"/>
          <w:sz w:val="20"/>
        </w:rPr>
        <w:t> </w:t>
      </w:r>
      <w:r>
        <w:rPr>
          <w:i/>
          <w:color w:val="231F20"/>
          <w:sz w:val="20"/>
        </w:rPr>
        <w:t>и</w:t>
      </w:r>
      <w:r>
        <w:rPr>
          <w:i/>
          <w:color w:val="231F20"/>
          <w:spacing w:val="-10"/>
          <w:sz w:val="20"/>
        </w:rPr>
        <w:t> </w:t>
      </w:r>
      <w:r>
        <w:rPr>
          <w:i/>
          <w:color w:val="231F20"/>
          <w:sz w:val="20"/>
        </w:rPr>
        <w:t>ты</w:t>
      </w:r>
      <w:r>
        <w:rPr>
          <w:i/>
          <w:color w:val="231F20"/>
          <w:spacing w:val="-10"/>
          <w:sz w:val="20"/>
        </w:rPr>
        <w:t> </w:t>
      </w:r>
      <w:r>
        <w:rPr>
          <w:i/>
          <w:color w:val="231F20"/>
          <w:sz w:val="20"/>
        </w:rPr>
        <w:t>сможешь</w:t>
      </w:r>
      <w:r>
        <w:rPr>
          <w:i/>
          <w:color w:val="231F20"/>
          <w:spacing w:val="-10"/>
          <w:sz w:val="20"/>
        </w:rPr>
        <w:t> </w:t>
      </w:r>
      <w:r>
        <w:rPr>
          <w:i/>
          <w:color w:val="231F20"/>
          <w:sz w:val="20"/>
        </w:rPr>
        <w:t>две</w:t>
      </w:r>
      <w:r>
        <w:rPr>
          <w:i/>
          <w:color w:val="231F20"/>
          <w:spacing w:val="-10"/>
          <w:sz w:val="20"/>
        </w:rPr>
        <w:t> </w:t>
      </w:r>
      <w:r>
        <w:rPr>
          <w:i/>
          <w:color w:val="231F20"/>
          <w:sz w:val="20"/>
        </w:rPr>
        <w:t>минуты</w:t>
      </w:r>
      <w:r>
        <w:rPr>
          <w:i/>
          <w:color w:val="231F20"/>
          <w:spacing w:val="-10"/>
          <w:sz w:val="20"/>
        </w:rPr>
        <w:t> </w:t>
      </w:r>
      <w:r>
        <w:rPr>
          <w:i/>
          <w:color w:val="231F20"/>
          <w:sz w:val="20"/>
        </w:rPr>
        <w:t>кричать,</w:t>
      </w:r>
      <w:r>
        <w:rPr>
          <w:i/>
          <w:color w:val="231F20"/>
          <w:spacing w:val="-10"/>
          <w:sz w:val="20"/>
        </w:rPr>
        <w:t> </w:t>
      </w:r>
      <w:r>
        <w:rPr>
          <w:i/>
          <w:color w:val="231F20"/>
          <w:sz w:val="20"/>
        </w:rPr>
        <w:t>как</w:t>
      </w:r>
      <w:r>
        <w:rPr>
          <w:i/>
          <w:color w:val="231F20"/>
          <w:spacing w:val="-10"/>
          <w:sz w:val="20"/>
        </w:rPr>
        <w:t> </w:t>
      </w:r>
      <w:r>
        <w:rPr>
          <w:i/>
          <w:color w:val="231F20"/>
          <w:sz w:val="20"/>
        </w:rPr>
        <w:t>тебе захочется,</w:t>
      </w:r>
      <w:r>
        <w:rPr>
          <w:i/>
          <w:color w:val="231F20"/>
          <w:spacing w:val="-6"/>
          <w:sz w:val="20"/>
        </w:rPr>
        <w:t> </w:t>
      </w:r>
      <w:r>
        <w:rPr>
          <w:i/>
          <w:color w:val="231F20"/>
          <w:sz w:val="20"/>
        </w:rPr>
        <w:t>а</w:t>
      </w:r>
      <w:r>
        <w:rPr>
          <w:i/>
          <w:color w:val="231F20"/>
          <w:spacing w:val="-6"/>
          <w:sz w:val="20"/>
        </w:rPr>
        <w:t> </w:t>
      </w:r>
      <w:r>
        <w:rPr>
          <w:i/>
          <w:color w:val="231F20"/>
          <w:sz w:val="20"/>
        </w:rPr>
        <w:t>все</w:t>
      </w:r>
      <w:r>
        <w:rPr>
          <w:i/>
          <w:color w:val="231F20"/>
          <w:spacing w:val="-6"/>
          <w:sz w:val="20"/>
        </w:rPr>
        <w:t> </w:t>
      </w:r>
      <w:r>
        <w:rPr>
          <w:i/>
          <w:color w:val="231F20"/>
          <w:sz w:val="20"/>
        </w:rPr>
        <w:t>жители</w:t>
      </w:r>
      <w:r>
        <w:rPr>
          <w:i/>
          <w:color w:val="231F20"/>
          <w:spacing w:val="-6"/>
          <w:sz w:val="20"/>
        </w:rPr>
        <w:t> </w:t>
      </w:r>
      <w:r>
        <w:rPr>
          <w:i/>
          <w:color w:val="231F20"/>
          <w:sz w:val="20"/>
        </w:rPr>
        <w:t>Земли</w:t>
      </w:r>
      <w:r>
        <w:rPr>
          <w:i/>
          <w:color w:val="231F20"/>
          <w:spacing w:val="-6"/>
          <w:sz w:val="20"/>
        </w:rPr>
        <w:t> </w:t>
      </w:r>
      <w:r>
        <w:rPr>
          <w:i/>
          <w:color w:val="231F20"/>
          <w:sz w:val="20"/>
        </w:rPr>
        <w:t>останутся</w:t>
      </w:r>
      <w:r>
        <w:rPr>
          <w:i/>
          <w:color w:val="231F20"/>
          <w:spacing w:val="-6"/>
          <w:sz w:val="20"/>
        </w:rPr>
        <w:t> </w:t>
      </w:r>
      <w:r>
        <w:rPr>
          <w:i/>
          <w:color w:val="231F20"/>
          <w:sz w:val="20"/>
        </w:rPr>
        <w:t>живые</w:t>
      </w:r>
      <w:r>
        <w:rPr>
          <w:i/>
          <w:color w:val="231F20"/>
          <w:spacing w:val="-6"/>
          <w:sz w:val="20"/>
        </w:rPr>
        <w:t> </w:t>
      </w:r>
      <w:r>
        <w:rPr>
          <w:i/>
          <w:color w:val="231F20"/>
          <w:sz w:val="20"/>
        </w:rPr>
        <w:t>и</w:t>
      </w:r>
      <w:r>
        <w:rPr>
          <w:i/>
          <w:color w:val="231F20"/>
          <w:spacing w:val="-6"/>
          <w:sz w:val="20"/>
        </w:rPr>
        <w:t> </w:t>
      </w:r>
      <w:r>
        <w:rPr>
          <w:i/>
          <w:color w:val="231F20"/>
          <w:sz w:val="20"/>
        </w:rPr>
        <w:t>здоровые.</w:t>
      </w:r>
      <w:r>
        <w:rPr>
          <w:i/>
          <w:color w:val="231F20"/>
          <w:spacing w:val="-6"/>
          <w:sz w:val="20"/>
        </w:rPr>
        <w:t> </w:t>
      </w:r>
      <w:r>
        <w:rPr>
          <w:i/>
          <w:color w:val="231F20"/>
          <w:sz w:val="20"/>
        </w:rPr>
        <w:t>Когда</w:t>
      </w:r>
      <w:r>
        <w:rPr>
          <w:i/>
          <w:color w:val="231F20"/>
          <w:spacing w:val="-6"/>
          <w:sz w:val="20"/>
        </w:rPr>
        <w:t> </w:t>
      </w:r>
      <w:r>
        <w:rPr>
          <w:i/>
          <w:color w:val="231F20"/>
          <w:sz w:val="20"/>
        </w:rPr>
        <w:t>ты</w:t>
      </w:r>
      <w:r>
        <w:rPr>
          <w:i/>
          <w:color w:val="231F20"/>
          <w:spacing w:val="-6"/>
          <w:sz w:val="20"/>
        </w:rPr>
        <w:t> </w:t>
      </w:r>
      <w:r>
        <w:rPr>
          <w:i/>
          <w:color w:val="231F20"/>
          <w:sz w:val="20"/>
        </w:rPr>
        <w:t>закончишь, то</w:t>
      </w:r>
      <w:r>
        <w:rPr>
          <w:i/>
          <w:color w:val="231F20"/>
          <w:spacing w:val="-1"/>
          <w:sz w:val="20"/>
        </w:rPr>
        <w:t> </w:t>
      </w:r>
      <w:r>
        <w:rPr>
          <w:i/>
          <w:color w:val="231F20"/>
          <w:sz w:val="20"/>
        </w:rPr>
        <w:t>позвонишь</w:t>
      </w:r>
      <w:r>
        <w:rPr>
          <w:i/>
          <w:color w:val="231F20"/>
          <w:spacing w:val="-1"/>
          <w:sz w:val="20"/>
        </w:rPr>
        <w:t> </w:t>
      </w:r>
      <w:r>
        <w:rPr>
          <w:i/>
          <w:color w:val="231F20"/>
          <w:sz w:val="20"/>
        </w:rPr>
        <w:t>мне.</w:t>
      </w:r>
      <w:r>
        <w:rPr>
          <w:i/>
          <w:color w:val="231F20"/>
          <w:spacing w:val="-1"/>
          <w:sz w:val="20"/>
        </w:rPr>
        <w:t> </w:t>
      </w:r>
      <w:r>
        <w:rPr>
          <w:i/>
          <w:color w:val="231F20"/>
          <w:sz w:val="20"/>
        </w:rPr>
        <w:t>Я</w:t>
      </w:r>
      <w:r>
        <w:rPr>
          <w:i/>
          <w:color w:val="231F20"/>
          <w:spacing w:val="-1"/>
          <w:sz w:val="20"/>
        </w:rPr>
        <w:t> </w:t>
      </w:r>
      <w:r>
        <w:rPr>
          <w:i/>
          <w:color w:val="231F20"/>
          <w:sz w:val="20"/>
        </w:rPr>
        <w:t>нажму</w:t>
      </w:r>
      <w:r>
        <w:rPr>
          <w:i/>
          <w:color w:val="231F20"/>
          <w:spacing w:val="-1"/>
          <w:sz w:val="20"/>
        </w:rPr>
        <w:t> </w:t>
      </w:r>
      <w:r>
        <w:rPr>
          <w:i/>
          <w:color w:val="231F20"/>
          <w:sz w:val="20"/>
        </w:rPr>
        <w:t>специальную</w:t>
      </w:r>
      <w:r>
        <w:rPr>
          <w:i/>
          <w:color w:val="231F20"/>
          <w:spacing w:val="-1"/>
          <w:sz w:val="20"/>
        </w:rPr>
        <w:t> </w:t>
      </w:r>
      <w:r>
        <w:rPr>
          <w:i/>
          <w:color w:val="231F20"/>
          <w:sz w:val="20"/>
        </w:rPr>
        <w:t>кнопку</w:t>
      </w:r>
      <w:r>
        <w:rPr>
          <w:i/>
          <w:color w:val="231F20"/>
          <w:spacing w:val="-1"/>
          <w:sz w:val="20"/>
        </w:rPr>
        <w:t> </w:t>
      </w:r>
      <w:r>
        <w:rPr>
          <w:i/>
          <w:color w:val="231F20"/>
          <w:sz w:val="20"/>
        </w:rPr>
        <w:t>–</w:t>
      </w:r>
      <w:r>
        <w:rPr>
          <w:i/>
          <w:color w:val="231F20"/>
          <w:spacing w:val="-1"/>
          <w:sz w:val="20"/>
        </w:rPr>
        <w:t> </w:t>
      </w:r>
      <w:r>
        <w:rPr>
          <w:i/>
          <w:color w:val="231F20"/>
          <w:sz w:val="20"/>
        </w:rPr>
        <w:t>все</w:t>
      </w:r>
      <w:r>
        <w:rPr>
          <w:i/>
          <w:color w:val="231F20"/>
          <w:spacing w:val="-1"/>
          <w:sz w:val="20"/>
        </w:rPr>
        <w:t> </w:t>
      </w:r>
      <w:r>
        <w:rPr>
          <w:i/>
          <w:color w:val="231F20"/>
          <w:sz w:val="20"/>
        </w:rPr>
        <w:t>жители</w:t>
      </w:r>
      <w:r>
        <w:rPr>
          <w:i/>
          <w:color w:val="231F20"/>
          <w:spacing w:val="-1"/>
          <w:sz w:val="20"/>
        </w:rPr>
        <w:t> </w:t>
      </w:r>
      <w:r>
        <w:rPr>
          <w:i/>
          <w:color w:val="231F20"/>
          <w:sz w:val="20"/>
        </w:rPr>
        <w:t>Земли</w:t>
      </w:r>
      <w:r>
        <w:rPr>
          <w:i/>
          <w:color w:val="231F20"/>
          <w:spacing w:val="-1"/>
          <w:sz w:val="20"/>
        </w:rPr>
        <w:t> </w:t>
      </w:r>
      <w:r>
        <w:rPr>
          <w:i/>
          <w:color w:val="231F20"/>
          <w:sz w:val="20"/>
        </w:rPr>
        <w:t>снимут</w:t>
      </w:r>
      <w:r>
        <w:rPr>
          <w:i/>
          <w:color w:val="231F20"/>
          <w:spacing w:val="-1"/>
          <w:sz w:val="20"/>
        </w:rPr>
        <w:t> </w:t>
      </w:r>
      <w:r>
        <w:rPr>
          <w:i/>
          <w:color w:val="231F20"/>
          <w:sz w:val="20"/>
        </w:rPr>
        <w:t>науш- ники и отправятся по своим делам. И ты накричишься, сколько хочешь, и мы оста- немся живыми и здоровыми.</w:t>
      </w:r>
    </w:p>
    <w:p>
      <w:pPr>
        <w:spacing w:line="227" w:lineRule="exact" w:before="0"/>
        <w:ind w:left="425" w:right="0" w:firstLine="0"/>
        <w:jc w:val="both"/>
        <w:rPr>
          <w:i/>
          <w:sz w:val="20"/>
        </w:rPr>
      </w:pPr>
      <w:r>
        <w:rPr>
          <w:i/>
          <w:color w:val="231F20"/>
          <w:sz w:val="20"/>
        </w:rPr>
        <w:t>Ведьма</w:t>
      </w:r>
      <w:r>
        <w:rPr>
          <w:i/>
          <w:color w:val="231F20"/>
          <w:spacing w:val="-5"/>
          <w:sz w:val="20"/>
        </w:rPr>
        <w:t> </w:t>
      </w:r>
      <w:r>
        <w:rPr>
          <w:i/>
          <w:color w:val="231F20"/>
          <w:spacing w:val="-2"/>
          <w:sz w:val="20"/>
        </w:rPr>
        <w:t>отвечает:</w:t>
      </w:r>
    </w:p>
    <w:p>
      <w:pPr>
        <w:pStyle w:val="ListParagraph"/>
        <w:numPr>
          <w:ilvl w:val="2"/>
          <w:numId w:val="220"/>
        </w:numPr>
        <w:tabs>
          <w:tab w:pos="575" w:val="left" w:leader="none"/>
        </w:tabs>
        <w:spacing w:line="226" w:lineRule="exact" w:before="0" w:after="0"/>
        <w:ind w:left="575" w:right="0" w:hanging="150"/>
        <w:jc w:val="both"/>
        <w:rPr>
          <w:i/>
          <w:color w:val="231F20"/>
          <w:sz w:val="20"/>
        </w:rPr>
      </w:pPr>
      <w:r>
        <w:rPr>
          <w:i/>
          <w:color w:val="231F20"/>
          <w:sz w:val="20"/>
        </w:rPr>
        <w:t>Спасибо!</w:t>
      </w:r>
      <w:r>
        <w:rPr>
          <w:i/>
          <w:color w:val="231F20"/>
          <w:spacing w:val="-2"/>
          <w:sz w:val="20"/>
        </w:rPr>
        <w:t> </w:t>
      </w:r>
      <w:r>
        <w:rPr>
          <w:i/>
          <w:color w:val="231F20"/>
          <w:sz w:val="20"/>
        </w:rPr>
        <w:t>Я</w:t>
      </w:r>
      <w:r>
        <w:rPr>
          <w:i/>
          <w:color w:val="231F20"/>
          <w:spacing w:val="-2"/>
          <w:sz w:val="20"/>
        </w:rPr>
        <w:t> согласна!</w:t>
      </w:r>
    </w:p>
    <w:p>
      <w:pPr>
        <w:spacing w:line="235" w:lineRule="auto" w:before="2"/>
        <w:ind w:left="141" w:right="0" w:firstLine="283"/>
        <w:jc w:val="left"/>
        <w:rPr>
          <w:i/>
          <w:sz w:val="20"/>
        </w:rPr>
      </w:pPr>
      <w:r>
        <w:rPr>
          <w:i/>
          <w:color w:val="231F20"/>
          <w:sz w:val="20"/>
        </w:rPr>
        <w:t>И</w:t>
      </w:r>
      <w:r>
        <w:rPr>
          <w:i/>
          <w:color w:val="231F20"/>
          <w:spacing w:val="-8"/>
          <w:sz w:val="20"/>
        </w:rPr>
        <w:t> </w:t>
      </w:r>
      <w:r>
        <w:rPr>
          <w:i/>
          <w:color w:val="231F20"/>
          <w:sz w:val="20"/>
        </w:rPr>
        <w:t>вот</w:t>
      </w:r>
      <w:r>
        <w:rPr>
          <w:i/>
          <w:color w:val="231F20"/>
          <w:spacing w:val="-8"/>
          <w:sz w:val="20"/>
        </w:rPr>
        <w:t> </w:t>
      </w:r>
      <w:r>
        <w:rPr>
          <w:i/>
          <w:color w:val="231F20"/>
          <w:sz w:val="20"/>
        </w:rPr>
        <w:t>они</w:t>
      </w:r>
      <w:r>
        <w:rPr>
          <w:i/>
          <w:color w:val="231F20"/>
          <w:spacing w:val="-8"/>
          <w:sz w:val="20"/>
        </w:rPr>
        <w:t> </w:t>
      </w:r>
      <w:r>
        <w:rPr>
          <w:i/>
          <w:color w:val="231F20"/>
          <w:sz w:val="20"/>
        </w:rPr>
        <w:t>изготовили</w:t>
      </w:r>
      <w:r>
        <w:rPr>
          <w:i/>
          <w:color w:val="231F20"/>
          <w:spacing w:val="-8"/>
          <w:sz w:val="20"/>
        </w:rPr>
        <w:t> </w:t>
      </w:r>
      <w:r>
        <w:rPr>
          <w:i/>
          <w:color w:val="231F20"/>
          <w:sz w:val="20"/>
        </w:rPr>
        <w:t>наушники,</w:t>
      </w:r>
      <w:r>
        <w:rPr>
          <w:i/>
          <w:color w:val="231F20"/>
          <w:spacing w:val="-8"/>
          <w:sz w:val="20"/>
        </w:rPr>
        <w:t> </w:t>
      </w:r>
      <w:r>
        <w:rPr>
          <w:i/>
          <w:color w:val="231F20"/>
          <w:sz w:val="20"/>
        </w:rPr>
        <w:t>и</w:t>
      </w:r>
      <w:r>
        <w:rPr>
          <w:i/>
          <w:color w:val="231F20"/>
          <w:spacing w:val="-8"/>
          <w:sz w:val="20"/>
        </w:rPr>
        <w:t> </w:t>
      </w:r>
      <w:r>
        <w:rPr>
          <w:i/>
          <w:color w:val="231F20"/>
          <w:sz w:val="20"/>
        </w:rPr>
        <w:t>Ведьма</w:t>
      </w:r>
      <w:r>
        <w:rPr>
          <w:i/>
          <w:color w:val="231F20"/>
          <w:spacing w:val="-8"/>
          <w:sz w:val="20"/>
        </w:rPr>
        <w:t> </w:t>
      </w:r>
      <w:r>
        <w:rPr>
          <w:i/>
          <w:color w:val="231F20"/>
          <w:sz w:val="20"/>
        </w:rPr>
        <w:t>терпела-терпела,</w:t>
      </w:r>
      <w:r>
        <w:rPr>
          <w:i/>
          <w:color w:val="231F20"/>
          <w:spacing w:val="-8"/>
          <w:sz w:val="20"/>
        </w:rPr>
        <w:t> </w:t>
      </w:r>
      <w:r>
        <w:rPr>
          <w:i/>
          <w:color w:val="231F20"/>
          <w:sz w:val="20"/>
        </w:rPr>
        <w:t>но</w:t>
      </w:r>
      <w:r>
        <w:rPr>
          <w:i/>
          <w:color w:val="231F20"/>
          <w:spacing w:val="-8"/>
          <w:sz w:val="20"/>
        </w:rPr>
        <w:t> </w:t>
      </w:r>
      <w:r>
        <w:rPr>
          <w:i/>
          <w:color w:val="231F20"/>
          <w:sz w:val="20"/>
        </w:rPr>
        <w:t>вот</w:t>
      </w:r>
      <w:r>
        <w:rPr>
          <w:i/>
          <w:color w:val="231F20"/>
          <w:spacing w:val="-8"/>
          <w:sz w:val="20"/>
        </w:rPr>
        <w:t> </w:t>
      </w:r>
      <w:r>
        <w:rPr>
          <w:i/>
          <w:color w:val="231F20"/>
          <w:sz w:val="20"/>
        </w:rPr>
        <w:t>настал</w:t>
      </w:r>
      <w:r>
        <w:rPr>
          <w:i/>
          <w:color w:val="231F20"/>
          <w:spacing w:val="-8"/>
          <w:sz w:val="20"/>
        </w:rPr>
        <w:t> </w:t>
      </w:r>
      <w:r>
        <w:rPr>
          <w:i/>
          <w:color w:val="231F20"/>
          <w:sz w:val="20"/>
        </w:rPr>
        <w:t>день, когда она уже не могла терпеть. Тогда она позвонила по телефону.</w:t>
      </w:r>
    </w:p>
    <w:p>
      <w:pPr>
        <w:pStyle w:val="ListParagraph"/>
        <w:numPr>
          <w:ilvl w:val="2"/>
          <w:numId w:val="220"/>
        </w:numPr>
        <w:tabs>
          <w:tab w:pos="575" w:val="left" w:leader="none"/>
        </w:tabs>
        <w:spacing w:line="225" w:lineRule="exact" w:before="0" w:after="0"/>
        <w:ind w:left="575" w:right="0" w:hanging="150"/>
        <w:jc w:val="left"/>
        <w:rPr>
          <w:i/>
          <w:color w:val="231F20"/>
          <w:sz w:val="20"/>
        </w:rPr>
      </w:pPr>
      <w:r>
        <w:rPr>
          <w:i/>
          <w:color w:val="231F20"/>
          <w:sz w:val="20"/>
        </w:rPr>
        <w:t>Это</w:t>
      </w:r>
      <w:r>
        <w:rPr>
          <w:i/>
          <w:color w:val="231F20"/>
          <w:spacing w:val="-3"/>
          <w:sz w:val="20"/>
        </w:rPr>
        <w:t> </w:t>
      </w:r>
      <w:r>
        <w:rPr>
          <w:i/>
          <w:color w:val="231F20"/>
          <w:sz w:val="20"/>
        </w:rPr>
        <w:t>Человек-</w:t>
      </w:r>
      <w:r>
        <w:rPr>
          <w:i/>
          <w:color w:val="231F20"/>
          <w:spacing w:val="-2"/>
          <w:sz w:val="20"/>
        </w:rPr>
        <w:t>паук?</w:t>
      </w:r>
    </w:p>
    <w:p>
      <w:pPr>
        <w:pStyle w:val="ListParagraph"/>
        <w:numPr>
          <w:ilvl w:val="2"/>
          <w:numId w:val="220"/>
        </w:numPr>
        <w:tabs>
          <w:tab w:pos="575" w:val="left" w:leader="none"/>
        </w:tabs>
        <w:spacing w:line="226" w:lineRule="exact" w:before="0" w:after="0"/>
        <w:ind w:left="575" w:right="0" w:hanging="150"/>
        <w:jc w:val="left"/>
        <w:rPr>
          <w:i/>
          <w:color w:val="231F20"/>
          <w:sz w:val="20"/>
        </w:rPr>
      </w:pPr>
      <w:r>
        <w:rPr>
          <w:i/>
          <w:color w:val="231F20"/>
          <w:spacing w:val="-5"/>
          <w:sz w:val="20"/>
        </w:rPr>
        <w:t>Да.</w:t>
      </w:r>
    </w:p>
    <w:p>
      <w:pPr>
        <w:pStyle w:val="ListParagraph"/>
        <w:numPr>
          <w:ilvl w:val="2"/>
          <w:numId w:val="220"/>
        </w:numPr>
        <w:tabs>
          <w:tab w:pos="575" w:val="left" w:leader="none"/>
        </w:tabs>
        <w:spacing w:line="226" w:lineRule="exact" w:before="0" w:after="0"/>
        <w:ind w:left="575" w:right="0" w:hanging="150"/>
        <w:jc w:val="left"/>
        <w:rPr>
          <w:i/>
          <w:color w:val="231F20"/>
          <w:sz w:val="20"/>
        </w:rPr>
      </w:pPr>
      <w:r>
        <w:rPr>
          <w:i/>
          <w:color w:val="231F20"/>
          <w:sz w:val="20"/>
        </w:rPr>
        <w:t>Это</w:t>
      </w:r>
      <w:r>
        <w:rPr>
          <w:i/>
          <w:color w:val="231F20"/>
          <w:spacing w:val="-5"/>
          <w:sz w:val="20"/>
        </w:rPr>
        <w:t> </w:t>
      </w:r>
      <w:r>
        <w:rPr>
          <w:i/>
          <w:color w:val="231F20"/>
          <w:sz w:val="20"/>
        </w:rPr>
        <w:t>Ведьма,</w:t>
      </w:r>
      <w:r>
        <w:rPr>
          <w:i/>
          <w:color w:val="231F20"/>
          <w:spacing w:val="-4"/>
          <w:sz w:val="20"/>
        </w:rPr>
        <w:t> </w:t>
      </w:r>
      <w:r>
        <w:rPr>
          <w:i/>
          <w:color w:val="231F20"/>
          <w:sz w:val="20"/>
        </w:rPr>
        <w:t>я</w:t>
      </w:r>
      <w:r>
        <w:rPr>
          <w:i/>
          <w:color w:val="231F20"/>
          <w:spacing w:val="-4"/>
          <w:sz w:val="20"/>
        </w:rPr>
        <w:t> </w:t>
      </w:r>
      <w:r>
        <w:rPr>
          <w:i/>
          <w:color w:val="231F20"/>
          <w:sz w:val="20"/>
        </w:rPr>
        <w:t>хочу</w:t>
      </w:r>
      <w:r>
        <w:rPr>
          <w:i/>
          <w:color w:val="231F20"/>
          <w:spacing w:val="-4"/>
          <w:sz w:val="20"/>
        </w:rPr>
        <w:t> </w:t>
      </w:r>
      <w:r>
        <w:rPr>
          <w:i/>
          <w:color w:val="231F20"/>
          <w:spacing w:val="-2"/>
          <w:sz w:val="20"/>
        </w:rPr>
        <w:t>кричать.</w:t>
      </w:r>
    </w:p>
    <w:p>
      <w:pPr>
        <w:pStyle w:val="ListParagraph"/>
        <w:numPr>
          <w:ilvl w:val="2"/>
          <w:numId w:val="220"/>
        </w:numPr>
        <w:tabs>
          <w:tab w:pos="575" w:val="left" w:leader="none"/>
        </w:tabs>
        <w:spacing w:line="226" w:lineRule="exact" w:before="0" w:after="0"/>
        <w:ind w:left="575" w:right="0" w:hanging="150"/>
        <w:jc w:val="left"/>
        <w:rPr>
          <w:i/>
          <w:color w:val="231F20"/>
          <w:sz w:val="20"/>
        </w:rPr>
      </w:pPr>
      <w:r>
        <w:rPr>
          <w:i/>
          <w:color w:val="231F20"/>
          <w:spacing w:val="-2"/>
          <w:sz w:val="20"/>
        </w:rPr>
        <w:t>Хорошо.</w:t>
      </w:r>
    </w:p>
    <w:p>
      <w:pPr>
        <w:spacing w:line="235" w:lineRule="auto" w:before="1"/>
        <w:ind w:left="141" w:right="139" w:firstLine="283"/>
        <w:jc w:val="both"/>
        <w:rPr>
          <w:i/>
          <w:sz w:val="20"/>
        </w:rPr>
      </w:pPr>
      <w:r>
        <w:rPr>
          <w:i/>
          <w:color w:val="231F20"/>
          <w:sz w:val="20"/>
        </w:rPr>
        <w:t>Все</w:t>
      </w:r>
      <w:r>
        <w:rPr>
          <w:i/>
          <w:color w:val="231F20"/>
          <w:spacing w:val="-13"/>
          <w:sz w:val="20"/>
        </w:rPr>
        <w:t> </w:t>
      </w:r>
      <w:r>
        <w:rPr>
          <w:i/>
          <w:color w:val="231F20"/>
          <w:sz w:val="20"/>
        </w:rPr>
        <w:t>надели</w:t>
      </w:r>
      <w:r>
        <w:rPr>
          <w:i/>
          <w:color w:val="231F20"/>
          <w:spacing w:val="-12"/>
          <w:sz w:val="20"/>
        </w:rPr>
        <w:t> </w:t>
      </w:r>
      <w:r>
        <w:rPr>
          <w:i/>
          <w:color w:val="231F20"/>
          <w:sz w:val="20"/>
        </w:rPr>
        <w:t>наушники.</w:t>
      </w:r>
      <w:r>
        <w:rPr>
          <w:i/>
          <w:color w:val="231F20"/>
          <w:spacing w:val="-13"/>
          <w:sz w:val="20"/>
        </w:rPr>
        <w:t> </w:t>
      </w:r>
      <w:r>
        <w:rPr>
          <w:i/>
          <w:color w:val="231F20"/>
          <w:sz w:val="20"/>
        </w:rPr>
        <w:t>Ведьма</w:t>
      </w:r>
      <w:r>
        <w:rPr>
          <w:i/>
          <w:color w:val="231F20"/>
          <w:spacing w:val="-12"/>
          <w:sz w:val="20"/>
        </w:rPr>
        <w:t> </w:t>
      </w:r>
      <w:r>
        <w:rPr>
          <w:i/>
          <w:color w:val="231F20"/>
          <w:sz w:val="20"/>
        </w:rPr>
        <w:t>ка-а-к</w:t>
      </w:r>
      <w:r>
        <w:rPr>
          <w:i/>
          <w:color w:val="231F20"/>
          <w:spacing w:val="-13"/>
          <w:sz w:val="20"/>
        </w:rPr>
        <w:t> </w:t>
      </w:r>
      <w:r>
        <w:rPr>
          <w:i/>
          <w:color w:val="231F20"/>
          <w:sz w:val="20"/>
        </w:rPr>
        <w:t>закричит!</w:t>
      </w:r>
      <w:r>
        <w:rPr>
          <w:i/>
          <w:color w:val="231F20"/>
          <w:spacing w:val="-12"/>
          <w:sz w:val="20"/>
        </w:rPr>
        <w:t> </w:t>
      </w:r>
      <w:r>
        <w:rPr>
          <w:i/>
          <w:color w:val="231F20"/>
          <w:sz w:val="20"/>
        </w:rPr>
        <w:t>Но</w:t>
      </w:r>
      <w:r>
        <w:rPr>
          <w:i/>
          <w:color w:val="231F20"/>
          <w:spacing w:val="-13"/>
          <w:sz w:val="20"/>
        </w:rPr>
        <w:t> </w:t>
      </w:r>
      <w:r>
        <w:rPr>
          <w:i/>
          <w:color w:val="231F20"/>
          <w:sz w:val="20"/>
        </w:rPr>
        <w:t>все</w:t>
      </w:r>
      <w:r>
        <w:rPr>
          <w:i/>
          <w:color w:val="231F20"/>
          <w:spacing w:val="-12"/>
          <w:sz w:val="20"/>
        </w:rPr>
        <w:t> </w:t>
      </w:r>
      <w:r>
        <w:rPr>
          <w:i/>
          <w:color w:val="231F20"/>
          <w:sz w:val="20"/>
        </w:rPr>
        <w:t>в</w:t>
      </w:r>
      <w:r>
        <w:rPr>
          <w:i/>
          <w:color w:val="231F20"/>
          <w:spacing w:val="-13"/>
          <w:sz w:val="20"/>
        </w:rPr>
        <w:t> </w:t>
      </w:r>
      <w:r>
        <w:rPr>
          <w:i/>
          <w:color w:val="231F20"/>
          <w:sz w:val="20"/>
        </w:rPr>
        <w:t>наушниках</w:t>
      </w:r>
      <w:r>
        <w:rPr>
          <w:i/>
          <w:color w:val="231F20"/>
          <w:spacing w:val="-12"/>
          <w:sz w:val="20"/>
        </w:rPr>
        <w:t> </w:t>
      </w:r>
      <w:r>
        <w:rPr>
          <w:i/>
          <w:color w:val="231F20"/>
          <w:sz w:val="20"/>
        </w:rPr>
        <w:t>–</w:t>
      </w:r>
      <w:r>
        <w:rPr>
          <w:i/>
          <w:color w:val="231F20"/>
          <w:spacing w:val="-13"/>
          <w:sz w:val="20"/>
        </w:rPr>
        <w:t> </w:t>
      </w:r>
      <w:r>
        <w:rPr>
          <w:i/>
          <w:color w:val="231F20"/>
          <w:sz w:val="20"/>
        </w:rPr>
        <w:t>все</w:t>
      </w:r>
      <w:r>
        <w:rPr>
          <w:i/>
          <w:color w:val="231F20"/>
          <w:spacing w:val="-12"/>
          <w:sz w:val="20"/>
        </w:rPr>
        <w:t> </w:t>
      </w:r>
      <w:r>
        <w:rPr>
          <w:i/>
          <w:color w:val="231F20"/>
          <w:sz w:val="20"/>
        </w:rPr>
        <w:t>в</w:t>
      </w:r>
      <w:r>
        <w:rPr>
          <w:i/>
          <w:color w:val="231F20"/>
          <w:spacing w:val="-13"/>
          <w:sz w:val="20"/>
        </w:rPr>
        <w:t> </w:t>
      </w:r>
      <w:r>
        <w:rPr>
          <w:i/>
          <w:color w:val="231F20"/>
          <w:sz w:val="20"/>
        </w:rPr>
        <w:t>порядке. Накричалась</w:t>
      </w:r>
      <w:r>
        <w:rPr>
          <w:i/>
          <w:color w:val="231F20"/>
          <w:spacing w:val="-8"/>
          <w:sz w:val="20"/>
        </w:rPr>
        <w:t> </w:t>
      </w:r>
      <w:r>
        <w:rPr>
          <w:i/>
          <w:color w:val="231F20"/>
          <w:sz w:val="20"/>
        </w:rPr>
        <w:t>она.</w:t>
      </w:r>
      <w:r>
        <w:rPr>
          <w:i/>
          <w:color w:val="231F20"/>
          <w:spacing w:val="-8"/>
          <w:sz w:val="20"/>
        </w:rPr>
        <w:t> </w:t>
      </w:r>
      <w:r>
        <w:rPr>
          <w:i/>
          <w:color w:val="231F20"/>
          <w:sz w:val="20"/>
        </w:rPr>
        <w:t>Позвонила</w:t>
      </w:r>
      <w:r>
        <w:rPr>
          <w:i/>
          <w:color w:val="231F20"/>
          <w:spacing w:val="-8"/>
          <w:sz w:val="20"/>
        </w:rPr>
        <w:t> </w:t>
      </w:r>
      <w:r>
        <w:rPr>
          <w:i/>
          <w:color w:val="231F20"/>
          <w:sz w:val="20"/>
        </w:rPr>
        <w:t>по</w:t>
      </w:r>
      <w:r>
        <w:rPr>
          <w:i/>
          <w:color w:val="231F20"/>
          <w:spacing w:val="-8"/>
          <w:sz w:val="20"/>
        </w:rPr>
        <w:t> </w:t>
      </w:r>
      <w:r>
        <w:rPr>
          <w:i/>
          <w:color w:val="231F20"/>
          <w:sz w:val="20"/>
        </w:rPr>
        <w:t>телефону</w:t>
      </w:r>
      <w:r>
        <w:rPr>
          <w:i/>
          <w:color w:val="231F20"/>
          <w:spacing w:val="-8"/>
          <w:sz w:val="20"/>
        </w:rPr>
        <w:t> </w:t>
      </w:r>
      <w:r>
        <w:rPr>
          <w:i/>
          <w:color w:val="231F20"/>
          <w:sz w:val="20"/>
        </w:rPr>
        <w:t>Человеку-пауку.</w:t>
      </w:r>
      <w:r>
        <w:rPr>
          <w:i/>
          <w:color w:val="231F20"/>
          <w:spacing w:val="-8"/>
          <w:sz w:val="20"/>
        </w:rPr>
        <w:t> </w:t>
      </w:r>
      <w:r>
        <w:rPr>
          <w:i/>
          <w:color w:val="231F20"/>
          <w:sz w:val="20"/>
        </w:rPr>
        <w:t>Он</w:t>
      </w:r>
      <w:r>
        <w:rPr>
          <w:i/>
          <w:color w:val="231F20"/>
          <w:spacing w:val="-8"/>
          <w:sz w:val="20"/>
        </w:rPr>
        <w:t> </w:t>
      </w:r>
      <w:r>
        <w:rPr>
          <w:i/>
          <w:color w:val="231F20"/>
          <w:sz w:val="20"/>
        </w:rPr>
        <w:t>нажал</w:t>
      </w:r>
      <w:r>
        <w:rPr>
          <w:i/>
          <w:color w:val="231F20"/>
          <w:spacing w:val="-8"/>
          <w:sz w:val="20"/>
        </w:rPr>
        <w:t> </w:t>
      </w:r>
      <w:r>
        <w:rPr>
          <w:i/>
          <w:color w:val="231F20"/>
          <w:sz w:val="20"/>
        </w:rPr>
        <w:t>кнопку</w:t>
      </w:r>
      <w:r>
        <w:rPr>
          <w:i/>
          <w:color w:val="231F20"/>
          <w:spacing w:val="-8"/>
          <w:sz w:val="20"/>
        </w:rPr>
        <w:t> </w:t>
      </w:r>
      <w:r>
        <w:rPr>
          <w:i/>
          <w:color w:val="231F20"/>
          <w:sz w:val="20"/>
        </w:rPr>
        <w:t>–</w:t>
      </w:r>
      <w:r>
        <w:rPr>
          <w:i/>
          <w:color w:val="231F20"/>
          <w:spacing w:val="-8"/>
          <w:sz w:val="20"/>
        </w:rPr>
        <w:t> </w:t>
      </w:r>
      <w:r>
        <w:rPr>
          <w:i/>
          <w:color w:val="231F20"/>
          <w:sz w:val="20"/>
        </w:rPr>
        <w:t>все</w:t>
      </w:r>
      <w:r>
        <w:rPr>
          <w:i/>
          <w:color w:val="231F20"/>
          <w:spacing w:val="-8"/>
          <w:sz w:val="20"/>
        </w:rPr>
        <w:t> </w:t>
      </w:r>
      <w:r>
        <w:rPr>
          <w:i/>
          <w:color w:val="231F20"/>
          <w:sz w:val="20"/>
        </w:rPr>
        <w:t>на- ушники</w:t>
      </w:r>
      <w:r>
        <w:rPr>
          <w:i/>
          <w:color w:val="231F20"/>
          <w:spacing w:val="-9"/>
          <w:sz w:val="20"/>
        </w:rPr>
        <w:t> </w:t>
      </w:r>
      <w:r>
        <w:rPr>
          <w:i/>
          <w:color w:val="231F20"/>
          <w:sz w:val="20"/>
        </w:rPr>
        <w:t>сняли.</w:t>
      </w:r>
      <w:r>
        <w:rPr>
          <w:i/>
          <w:color w:val="231F20"/>
          <w:spacing w:val="-9"/>
          <w:sz w:val="20"/>
        </w:rPr>
        <w:t> </w:t>
      </w:r>
      <w:r>
        <w:rPr>
          <w:i/>
          <w:color w:val="231F20"/>
          <w:sz w:val="20"/>
        </w:rPr>
        <w:t>И</w:t>
      </w:r>
      <w:r>
        <w:rPr>
          <w:i/>
          <w:color w:val="231F20"/>
          <w:spacing w:val="-9"/>
          <w:sz w:val="20"/>
        </w:rPr>
        <w:t> </w:t>
      </w:r>
      <w:r>
        <w:rPr>
          <w:i/>
          <w:color w:val="231F20"/>
          <w:sz w:val="20"/>
        </w:rPr>
        <w:t>Ведьма</w:t>
      </w:r>
      <w:r>
        <w:rPr>
          <w:i/>
          <w:color w:val="231F20"/>
          <w:spacing w:val="-9"/>
          <w:sz w:val="20"/>
        </w:rPr>
        <w:t> </w:t>
      </w:r>
      <w:r>
        <w:rPr>
          <w:i/>
          <w:color w:val="231F20"/>
          <w:sz w:val="20"/>
        </w:rPr>
        <w:t>довольная</w:t>
      </w:r>
      <w:r>
        <w:rPr>
          <w:i/>
          <w:color w:val="231F20"/>
          <w:spacing w:val="-9"/>
          <w:sz w:val="20"/>
        </w:rPr>
        <w:t> </w:t>
      </w:r>
      <w:r>
        <w:rPr>
          <w:i/>
          <w:color w:val="231F20"/>
          <w:sz w:val="20"/>
        </w:rPr>
        <w:t>и</w:t>
      </w:r>
      <w:r>
        <w:rPr>
          <w:i/>
          <w:color w:val="231F20"/>
          <w:spacing w:val="-9"/>
          <w:sz w:val="20"/>
        </w:rPr>
        <w:t> </w:t>
      </w:r>
      <w:r>
        <w:rPr>
          <w:i/>
          <w:color w:val="231F20"/>
          <w:sz w:val="20"/>
        </w:rPr>
        <w:t>счастливая</w:t>
      </w:r>
      <w:r>
        <w:rPr>
          <w:i/>
          <w:color w:val="231F20"/>
          <w:spacing w:val="-9"/>
          <w:sz w:val="20"/>
        </w:rPr>
        <w:t> </w:t>
      </w:r>
      <w:r>
        <w:rPr>
          <w:i/>
          <w:color w:val="231F20"/>
          <w:sz w:val="20"/>
        </w:rPr>
        <w:t>пришла</w:t>
      </w:r>
      <w:r>
        <w:rPr>
          <w:i/>
          <w:color w:val="231F20"/>
          <w:spacing w:val="-9"/>
          <w:sz w:val="20"/>
        </w:rPr>
        <w:t> </w:t>
      </w:r>
      <w:r>
        <w:rPr>
          <w:i/>
          <w:color w:val="231F20"/>
          <w:sz w:val="20"/>
        </w:rPr>
        <w:t>к</w:t>
      </w:r>
      <w:r>
        <w:rPr>
          <w:i/>
          <w:color w:val="231F20"/>
          <w:spacing w:val="-9"/>
          <w:sz w:val="20"/>
        </w:rPr>
        <w:t> </w:t>
      </w:r>
      <w:r>
        <w:rPr>
          <w:i/>
          <w:color w:val="231F20"/>
          <w:sz w:val="20"/>
        </w:rPr>
        <w:t>Человеку-пауку</w:t>
      </w:r>
      <w:r>
        <w:rPr>
          <w:i/>
          <w:color w:val="231F20"/>
          <w:spacing w:val="-9"/>
          <w:sz w:val="20"/>
        </w:rPr>
        <w:t> </w:t>
      </w:r>
      <w:r>
        <w:rPr>
          <w:i/>
          <w:color w:val="231F20"/>
          <w:sz w:val="20"/>
        </w:rPr>
        <w:t>и</w:t>
      </w:r>
      <w:r>
        <w:rPr>
          <w:i/>
          <w:color w:val="231F20"/>
          <w:spacing w:val="-9"/>
          <w:sz w:val="20"/>
        </w:rPr>
        <w:t> </w:t>
      </w:r>
      <w:r>
        <w:rPr>
          <w:i/>
          <w:color w:val="231F20"/>
          <w:sz w:val="20"/>
        </w:rPr>
        <w:t>принесла ему</w:t>
      </w:r>
      <w:r>
        <w:rPr>
          <w:i/>
          <w:color w:val="231F20"/>
          <w:spacing w:val="-8"/>
          <w:sz w:val="20"/>
        </w:rPr>
        <w:t> </w:t>
      </w:r>
      <w:r>
        <w:rPr>
          <w:i/>
          <w:color w:val="231F20"/>
          <w:sz w:val="20"/>
        </w:rPr>
        <w:t>большой</w:t>
      </w:r>
      <w:r>
        <w:rPr>
          <w:i/>
          <w:color w:val="231F20"/>
          <w:spacing w:val="-8"/>
          <w:sz w:val="20"/>
        </w:rPr>
        <w:t> </w:t>
      </w:r>
      <w:r>
        <w:rPr>
          <w:i/>
          <w:color w:val="231F20"/>
          <w:sz w:val="20"/>
        </w:rPr>
        <w:t>торт</w:t>
      </w:r>
      <w:r>
        <w:rPr>
          <w:i/>
          <w:color w:val="231F20"/>
          <w:spacing w:val="-8"/>
          <w:sz w:val="20"/>
        </w:rPr>
        <w:t> </w:t>
      </w:r>
      <w:r>
        <w:rPr>
          <w:i/>
          <w:color w:val="231F20"/>
          <w:sz w:val="20"/>
        </w:rPr>
        <w:t>и</w:t>
      </w:r>
      <w:r>
        <w:rPr>
          <w:i/>
          <w:color w:val="231F20"/>
          <w:spacing w:val="-8"/>
          <w:sz w:val="20"/>
        </w:rPr>
        <w:t> </w:t>
      </w:r>
      <w:r>
        <w:rPr>
          <w:i/>
          <w:color w:val="231F20"/>
          <w:sz w:val="20"/>
        </w:rPr>
        <w:t>ящик</w:t>
      </w:r>
      <w:r>
        <w:rPr>
          <w:i/>
          <w:color w:val="231F20"/>
          <w:spacing w:val="-8"/>
          <w:sz w:val="20"/>
        </w:rPr>
        <w:t> </w:t>
      </w:r>
      <w:r>
        <w:rPr>
          <w:i/>
          <w:color w:val="231F20"/>
          <w:sz w:val="20"/>
        </w:rPr>
        <w:t>пепси-колы.</w:t>
      </w:r>
      <w:r>
        <w:rPr>
          <w:i/>
          <w:color w:val="231F20"/>
          <w:spacing w:val="-8"/>
          <w:sz w:val="20"/>
        </w:rPr>
        <w:t> </w:t>
      </w:r>
      <w:r>
        <w:rPr>
          <w:i/>
          <w:color w:val="231F20"/>
          <w:sz w:val="20"/>
        </w:rPr>
        <w:t>Он</w:t>
      </w:r>
      <w:r>
        <w:rPr>
          <w:i/>
          <w:color w:val="231F20"/>
          <w:spacing w:val="-8"/>
          <w:sz w:val="20"/>
        </w:rPr>
        <w:t> </w:t>
      </w:r>
      <w:r>
        <w:rPr>
          <w:i/>
          <w:color w:val="231F20"/>
          <w:sz w:val="20"/>
        </w:rPr>
        <w:t>собрал</w:t>
      </w:r>
      <w:r>
        <w:rPr>
          <w:i/>
          <w:color w:val="231F20"/>
          <w:spacing w:val="-8"/>
          <w:sz w:val="20"/>
        </w:rPr>
        <w:t> </w:t>
      </w:r>
      <w:r>
        <w:rPr>
          <w:i/>
          <w:color w:val="231F20"/>
          <w:sz w:val="20"/>
        </w:rPr>
        <w:t>своих</w:t>
      </w:r>
      <w:r>
        <w:rPr>
          <w:i/>
          <w:color w:val="231F20"/>
          <w:spacing w:val="-8"/>
          <w:sz w:val="20"/>
        </w:rPr>
        <w:t> </w:t>
      </w:r>
      <w:r>
        <w:rPr>
          <w:i/>
          <w:color w:val="231F20"/>
          <w:sz w:val="20"/>
        </w:rPr>
        <w:t>друзей.</w:t>
      </w:r>
      <w:r>
        <w:rPr>
          <w:i/>
          <w:color w:val="231F20"/>
          <w:spacing w:val="-8"/>
          <w:sz w:val="20"/>
        </w:rPr>
        <w:t> </w:t>
      </w:r>
      <w:r>
        <w:rPr>
          <w:i/>
          <w:color w:val="231F20"/>
          <w:sz w:val="20"/>
        </w:rPr>
        <w:t>Они</w:t>
      </w:r>
      <w:r>
        <w:rPr>
          <w:i/>
          <w:color w:val="231F20"/>
          <w:spacing w:val="-8"/>
          <w:sz w:val="20"/>
        </w:rPr>
        <w:t> </w:t>
      </w:r>
      <w:r>
        <w:rPr>
          <w:i/>
          <w:color w:val="231F20"/>
          <w:sz w:val="20"/>
        </w:rPr>
        <w:t>ели</w:t>
      </w:r>
      <w:r>
        <w:rPr>
          <w:i/>
          <w:color w:val="231F20"/>
          <w:spacing w:val="-8"/>
          <w:sz w:val="20"/>
        </w:rPr>
        <w:t> </w:t>
      </w:r>
      <w:r>
        <w:rPr>
          <w:i/>
          <w:color w:val="231F20"/>
          <w:sz w:val="20"/>
        </w:rPr>
        <w:t>торт</w:t>
      </w:r>
      <w:r>
        <w:rPr>
          <w:i/>
          <w:color w:val="231F20"/>
          <w:spacing w:val="-8"/>
          <w:sz w:val="20"/>
        </w:rPr>
        <w:t> </w:t>
      </w:r>
      <w:r>
        <w:rPr>
          <w:i/>
          <w:color w:val="231F20"/>
          <w:sz w:val="20"/>
        </w:rPr>
        <w:t>и</w:t>
      </w:r>
      <w:r>
        <w:rPr>
          <w:i/>
          <w:color w:val="231F20"/>
          <w:spacing w:val="-8"/>
          <w:sz w:val="20"/>
        </w:rPr>
        <w:t> </w:t>
      </w:r>
      <w:r>
        <w:rPr>
          <w:i/>
          <w:color w:val="231F20"/>
          <w:sz w:val="20"/>
        </w:rPr>
        <w:t>радо- вались, что все у них так хорошо получилось!</w:t>
      </w:r>
    </w:p>
    <w:p>
      <w:pPr>
        <w:spacing w:line="227" w:lineRule="exact" w:before="0"/>
        <w:ind w:left="425" w:right="0" w:firstLine="0"/>
        <w:jc w:val="both"/>
        <w:rPr>
          <w:i/>
          <w:sz w:val="20"/>
        </w:rPr>
      </w:pPr>
      <w:r>
        <w:rPr>
          <w:b/>
          <w:color w:val="231F20"/>
          <w:sz w:val="20"/>
        </w:rPr>
        <w:t>Психолог.</w:t>
      </w:r>
      <w:r>
        <w:rPr>
          <w:b/>
          <w:color w:val="231F20"/>
          <w:spacing w:val="-12"/>
          <w:sz w:val="20"/>
        </w:rPr>
        <w:t> </w:t>
      </w:r>
      <w:r>
        <w:rPr>
          <w:i/>
          <w:color w:val="231F20"/>
          <w:sz w:val="20"/>
        </w:rPr>
        <w:t>Чему</w:t>
      </w:r>
      <w:r>
        <w:rPr>
          <w:i/>
          <w:color w:val="231F20"/>
          <w:spacing w:val="-12"/>
          <w:sz w:val="20"/>
        </w:rPr>
        <w:t> </w:t>
      </w:r>
      <w:r>
        <w:rPr>
          <w:i/>
          <w:color w:val="231F20"/>
          <w:sz w:val="20"/>
        </w:rPr>
        <w:t>учит</w:t>
      </w:r>
      <w:r>
        <w:rPr>
          <w:i/>
          <w:color w:val="231F20"/>
          <w:spacing w:val="-13"/>
          <w:sz w:val="20"/>
        </w:rPr>
        <w:t> </w:t>
      </w:r>
      <w:r>
        <w:rPr>
          <w:i/>
          <w:color w:val="231F20"/>
          <w:sz w:val="20"/>
        </w:rPr>
        <w:t>моя</w:t>
      </w:r>
      <w:r>
        <w:rPr>
          <w:i/>
          <w:color w:val="231F20"/>
          <w:spacing w:val="-11"/>
          <w:sz w:val="20"/>
        </w:rPr>
        <w:t> </w:t>
      </w:r>
      <w:r>
        <w:rPr>
          <w:i/>
          <w:color w:val="231F20"/>
          <w:spacing w:val="-2"/>
          <w:sz w:val="20"/>
        </w:rPr>
        <w:t>история?</w:t>
      </w:r>
    </w:p>
    <w:p>
      <w:pPr>
        <w:spacing w:line="226" w:lineRule="exact" w:before="0"/>
        <w:ind w:left="425" w:right="0" w:firstLine="0"/>
        <w:jc w:val="both"/>
        <w:rPr>
          <w:i/>
          <w:sz w:val="20"/>
        </w:rPr>
      </w:pPr>
      <w:r>
        <w:rPr>
          <w:b/>
          <w:color w:val="231F20"/>
          <w:sz w:val="20"/>
        </w:rPr>
        <w:t>Р.</w:t>
      </w:r>
      <w:r>
        <w:rPr>
          <w:b/>
          <w:color w:val="231F20"/>
          <w:spacing w:val="-9"/>
          <w:sz w:val="20"/>
        </w:rPr>
        <w:t> </w:t>
      </w:r>
      <w:r>
        <w:rPr>
          <w:i/>
          <w:color w:val="231F20"/>
          <w:sz w:val="20"/>
        </w:rPr>
        <w:t>Не</w:t>
      </w:r>
      <w:r>
        <w:rPr>
          <w:i/>
          <w:color w:val="231F20"/>
          <w:spacing w:val="-8"/>
          <w:sz w:val="20"/>
        </w:rPr>
        <w:t> </w:t>
      </w:r>
      <w:r>
        <w:rPr>
          <w:i/>
          <w:color w:val="231F20"/>
          <w:sz w:val="20"/>
        </w:rPr>
        <w:t>надо</w:t>
      </w:r>
      <w:r>
        <w:rPr>
          <w:i/>
          <w:color w:val="231F20"/>
          <w:spacing w:val="-8"/>
          <w:sz w:val="20"/>
        </w:rPr>
        <w:t> </w:t>
      </w:r>
      <w:r>
        <w:rPr>
          <w:i/>
          <w:color w:val="231F20"/>
          <w:sz w:val="20"/>
        </w:rPr>
        <w:t>убивать</w:t>
      </w:r>
      <w:r>
        <w:rPr>
          <w:i/>
          <w:color w:val="231F20"/>
          <w:spacing w:val="-8"/>
          <w:sz w:val="20"/>
        </w:rPr>
        <w:t> </w:t>
      </w:r>
      <w:r>
        <w:rPr>
          <w:i/>
          <w:color w:val="231F20"/>
          <w:spacing w:val="-2"/>
          <w:sz w:val="20"/>
        </w:rPr>
        <w:t>другого.</w:t>
      </w:r>
    </w:p>
    <w:p>
      <w:pPr>
        <w:spacing w:line="235" w:lineRule="auto" w:before="2"/>
        <w:ind w:left="141" w:right="139" w:firstLine="283"/>
        <w:jc w:val="both"/>
        <w:rPr>
          <w:i/>
          <w:sz w:val="20"/>
        </w:rPr>
      </w:pPr>
      <w:r>
        <w:rPr>
          <w:b/>
          <w:color w:val="231F20"/>
          <w:sz w:val="20"/>
        </w:rPr>
        <w:t>Психолог. </w:t>
      </w:r>
      <w:r>
        <w:rPr>
          <w:i/>
          <w:color w:val="231F20"/>
          <w:sz w:val="20"/>
        </w:rPr>
        <w:t>Ты прав, но еще она учит вот чему. Если ты думаешь, что кто-то твой враг, – попробуй с ним сначала поговорить: может быть, с ним можно дого- вориться и сделать так, чтобы было хорошо вам обоим. И еще: не все те, про кого ты думаешь, что они тебе враги, желают тебе зла. А скажи, что больше всего </w:t>
      </w:r>
      <w:r>
        <w:rPr>
          <w:i/>
          <w:color w:val="231F20"/>
          <w:spacing w:val="-2"/>
          <w:sz w:val="20"/>
        </w:rPr>
        <w:t>понравилось?</w:t>
      </w:r>
    </w:p>
    <w:p>
      <w:pPr>
        <w:spacing w:line="229" w:lineRule="exact" w:before="0"/>
        <w:ind w:left="425" w:right="0" w:firstLine="0"/>
        <w:jc w:val="both"/>
        <w:rPr>
          <w:i/>
          <w:sz w:val="20"/>
        </w:rPr>
      </w:pPr>
      <w:r>
        <w:rPr>
          <w:b/>
          <w:color w:val="231F20"/>
          <w:sz w:val="20"/>
        </w:rPr>
        <w:t>Р.</w:t>
      </w:r>
      <w:r>
        <w:rPr>
          <w:b/>
          <w:color w:val="231F20"/>
          <w:spacing w:val="-8"/>
          <w:sz w:val="20"/>
        </w:rPr>
        <w:t> </w:t>
      </w:r>
      <w:r>
        <w:rPr>
          <w:i/>
          <w:color w:val="231F20"/>
          <w:sz w:val="20"/>
        </w:rPr>
        <w:t>Когда</w:t>
      </w:r>
      <w:r>
        <w:rPr>
          <w:i/>
          <w:color w:val="231F20"/>
          <w:spacing w:val="-7"/>
          <w:sz w:val="20"/>
        </w:rPr>
        <w:t> </w:t>
      </w:r>
      <w:r>
        <w:rPr>
          <w:i/>
          <w:color w:val="231F20"/>
          <w:sz w:val="20"/>
        </w:rPr>
        <w:t>торт</w:t>
      </w:r>
      <w:r>
        <w:rPr>
          <w:i/>
          <w:color w:val="231F20"/>
          <w:spacing w:val="-8"/>
          <w:sz w:val="20"/>
        </w:rPr>
        <w:t> </w:t>
      </w:r>
      <w:r>
        <w:rPr>
          <w:i/>
          <w:color w:val="231F20"/>
          <w:sz w:val="20"/>
        </w:rPr>
        <w:t>и</w:t>
      </w:r>
      <w:r>
        <w:rPr>
          <w:i/>
          <w:color w:val="231F20"/>
          <w:spacing w:val="-7"/>
          <w:sz w:val="20"/>
        </w:rPr>
        <w:t> </w:t>
      </w:r>
      <w:r>
        <w:rPr>
          <w:i/>
          <w:color w:val="231F20"/>
          <w:sz w:val="20"/>
        </w:rPr>
        <w:t>пепси</w:t>
      </w:r>
      <w:r>
        <w:rPr>
          <w:i/>
          <w:color w:val="231F20"/>
          <w:spacing w:val="-7"/>
          <w:sz w:val="20"/>
        </w:rPr>
        <w:t> </w:t>
      </w:r>
      <w:r>
        <w:rPr>
          <w:i/>
          <w:color w:val="231F20"/>
          <w:spacing w:val="-2"/>
          <w:sz w:val="20"/>
        </w:rPr>
        <w:t>принесли.</w:t>
      </w:r>
    </w:p>
    <w:p>
      <w:pPr>
        <w:pStyle w:val="BodyText"/>
        <w:spacing w:line="235" w:lineRule="auto" w:before="113"/>
      </w:pPr>
      <w:r>
        <w:rPr>
          <w:color w:val="231F20"/>
        </w:rPr>
        <w:t>По наблюдениям за Р. было видно, что предложенный вариант взаимодействия вместо конфликта отзывается в душе ребенка. Это подтверждает и его ответ на во- прос</w:t>
      </w:r>
      <w:r>
        <w:rPr>
          <w:color w:val="231F20"/>
          <w:spacing w:val="-7"/>
        </w:rPr>
        <w:t> </w:t>
      </w:r>
      <w:r>
        <w:rPr>
          <w:color w:val="231F20"/>
        </w:rPr>
        <w:t>о</w:t>
      </w:r>
      <w:r>
        <w:rPr>
          <w:color w:val="231F20"/>
          <w:spacing w:val="-5"/>
        </w:rPr>
        <w:t> </w:t>
      </w:r>
      <w:r>
        <w:rPr>
          <w:color w:val="231F20"/>
        </w:rPr>
        <w:t>том,</w:t>
      </w:r>
      <w:r>
        <w:rPr>
          <w:color w:val="231F20"/>
          <w:spacing w:val="-4"/>
        </w:rPr>
        <w:t> </w:t>
      </w:r>
      <w:r>
        <w:rPr>
          <w:color w:val="231F20"/>
        </w:rPr>
        <w:t>что</w:t>
      </w:r>
      <w:r>
        <w:rPr>
          <w:color w:val="231F20"/>
          <w:spacing w:val="-5"/>
        </w:rPr>
        <w:t> </w:t>
      </w:r>
      <w:r>
        <w:rPr>
          <w:color w:val="231F20"/>
        </w:rPr>
        <w:t>понравилось</w:t>
      </w:r>
      <w:r>
        <w:rPr>
          <w:color w:val="231F20"/>
          <w:spacing w:val="-5"/>
        </w:rPr>
        <w:t> </w:t>
      </w:r>
      <w:r>
        <w:rPr>
          <w:color w:val="231F20"/>
        </w:rPr>
        <w:t>в</w:t>
      </w:r>
      <w:r>
        <w:rPr>
          <w:color w:val="231F20"/>
          <w:spacing w:val="-4"/>
        </w:rPr>
        <w:t> </w:t>
      </w:r>
      <w:r>
        <w:rPr>
          <w:color w:val="231F20"/>
        </w:rPr>
        <w:t>истории</w:t>
      </w:r>
      <w:r>
        <w:rPr>
          <w:color w:val="231F20"/>
          <w:spacing w:val="-5"/>
        </w:rPr>
        <w:t> </w:t>
      </w:r>
      <w:r>
        <w:rPr>
          <w:color w:val="231F20"/>
        </w:rPr>
        <w:t>терапевта.</w:t>
      </w:r>
      <w:r>
        <w:rPr>
          <w:color w:val="231F20"/>
          <w:spacing w:val="-4"/>
        </w:rPr>
        <w:t> </w:t>
      </w:r>
      <w:r>
        <w:rPr>
          <w:color w:val="231F20"/>
        </w:rPr>
        <w:t>К</w:t>
      </w:r>
      <w:r>
        <w:rPr>
          <w:color w:val="231F20"/>
          <w:spacing w:val="-5"/>
        </w:rPr>
        <w:t> </w:t>
      </w:r>
      <w:r>
        <w:rPr>
          <w:color w:val="231F20"/>
        </w:rPr>
        <w:t>сожалению,</w:t>
      </w:r>
      <w:r>
        <w:rPr>
          <w:color w:val="231F20"/>
          <w:spacing w:val="-4"/>
        </w:rPr>
        <w:t> </w:t>
      </w:r>
      <w:r>
        <w:rPr>
          <w:color w:val="231F20"/>
        </w:rPr>
        <w:t>из-за</w:t>
      </w:r>
      <w:r>
        <w:rPr>
          <w:color w:val="231F20"/>
          <w:spacing w:val="-4"/>
        </w:rPr>
        <w:t> </w:t>
      </w:r>
      <w:r>
        <w:rPr>
          <w:color w:val="231F20"/>
        </w:rPr>
        <w:t>болезни</w:t>
      </w:r>
      <w:r>
        <w:rPr>
          <w:color w:val="231F20"/>
          <w:spacing w:val="-5"/>
        </w:rPr>
        <w:t> </w:t>
      </w:r>
      <w:r>
        <w:rPr>
          <w:color w:val="231F20"/>
        </w:rPr>
        <w:t>Р.</w:t>
      </w:r>
      <w:r>
        <w:rPr>
          <w:color w:val="231F20"/>
          <w:spacing w:val="-4"/>
        </w:rPr>
        <w:t> </w:t>
      </w:r>
      <w:r>
        <w:rPr>
          <w:color w:val="231F20"/>
          <w:spacing w:val="-5"/>
        </w:rPr>
        <w:t>нам</w:t>
      </w:r>
    </w:p>
    <w:p>
      <w:pPr>
        <w:pStyle w:val="BodyText"/>
        <w:spacing w:after="0" w:line="235" w:lineRule="auto"/>
        <w:sectPr>
          <w:pgSz w:w="8400" w:h="11910"/>
          <w:pgMar w:header="0" w:footer="529"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line="235" w:lineRule="auto" w:before="116"/>
        <w:ind w:firstLine="0"/>
      </w:pPr>
      <w:r>
        <w:rPr>
          <w:color w:val="231F20"/>
        </w:rPr>
        <w:t>пришлось сделать вынужденный перерыв почти на месяц. На второй встрече пред- полагалось начать все сначала. Однако Р. сообщил, что он, когда лежал в больнице, </w:t>
      </w:r>
      <w:r>
        <w:rPr>
          <w:color w:val="231F20"/>
          <w:spacing w:val="-2"/>
        </w:rPr>
        <w:t>вспоминал</w:t>
      </w:r>
      <w:r>
        <w:rPr>
          <w:color w:val="231F20"/>
          <w:spacing w:val="-4"/>
        </w:rPr>
        <w:t> </w:t>
      </w:r>
      <w:r>
        <w:rPr>
          <w:color w:val="231F20"/>
          <w:spacing w:val="-2"/>
        </w:rPr>
        <w:t>эту</w:t>
      </w:r>
      <w:r>
        <w:rPr>
          <w:color w:val="231F20"/>
          <w:spacing w:val="-4"/>
        </w:rPr>
        <w:t> </w:t>
      </w:r>
      <w:r>
        <w:rPr>
          <w:color w:val="231F20"/>
          <w:spacing w:val="-2"/>
        </w:rPr>
        <w:t>историю</w:t>
      </w:r>
      <w:r>
        <w:rPr>
          <w:color w:val="231F20"/>
          <w:spacing w:val="-4"/>
        </w:rPr>
        <w:t> </w:t>
      </w:r>
      <w:r>
        <w:rPr>
          <w:color w:val="231F20"/>
          <w:spacing w:val="-2"/>
        </w:rPr>
        <w:t>и,</w:t>
      </w:r>
      <w:r>
        <w:rPr>
          <w:color w:val="231F20"/>
          <w:spacing w:val="-4"/>
        </w:rPr>
        <w:t> </w:t>
      </w:r>
      <w:r>
        <w:rPr>
          <w:color w:val="231F20"/>
          <w:spacing w:val="-2"/>
        </w:rPr>
        <w:t>«если</w:t>
      </w:r>
      <w:r>
        <w:rPr>
          <w:color w:val="231F20"/>
          <w:spacing w:val="-4"/>
        </w:rPr>
        <w:t> </w:t>
      </w:r>
      <w:r>
        <w:rPr>
          <w:color w:val="231F20"/>
          <w:spacing w:val="-2"/>
        </w:rPr>
        <w:t>можно»,</w:t>
      </w:r>
      <w:r>
        <w:rPr>
          <w:color w:val="231F20"/>
          <w:spacing w:val="-4"/>
        </w:rPr>
        <w:t> </w:t>
      </w:r>
      <w:r>
        <w:rPr>
          <w:color w:val="231F20"/>
          <w:spacing w:val="-2"/>
        </w:rPr>
        <w:t>он</w:t>
      </w:r>
      <w:r>
        <w:rPr>
          <w:color w:val="231F20"/>
          <w:spacing w:val="-4"/>
        </w:rPr>
        <w:t> </w:t>
      </w:r>
      <w:r>
        <w:rPr>
          <w:color w:val="231F20"/>
          <w:spacing w:val="-2"/>
        </w:rPr>
        <w:t>хотел</w:t>
      </w:r>
      <w:r>
        <w:rPr>
          <w:color w:val="231F20"/>
          <w:spacing w:val="-4"/>
        </w:rPr>
        <w:t> </w:t>
      </w:r>
      <w:r>
        <w:rPr>
          <w:color w:val="231F20"/>
          <w:spacing w:val="-2"/>
        </w:rPr>
        <w:t>бы</w:t>
      </w:r>
      <w:r>
        <w:rPr>
          <w:color w:val="231F20"/>
          <w:spacing w:val="-4"/>
        </w:rPr>
        <w:t> </w:t>
      </w:r>
      <w:r>
        <w:rPr>
          <w:color w:val="231F20"/>
          <w:spacing w:val="-2"/>
        </w:rPr>
        <w:t>рассказать</w:t>
      </w:r>
      <w:r>
        <w:rPr>
          <w:color w:val="231F20"/>
          <w:spacing w:val="-4"/>
        </w:rPr>
        <w:t> </w:t>
      </w:r>
      <w:r>
        <w:rPr>
          <w:color w:val="231F20"/>
          <w:spacing w:val="-2"/>
        </w:rPr>
        <w:t>не</w:t>
      </w:r>
      <w:r>
        <w:rPr>
          <w:color w:val="231F20"/>
          <w:spacing w:val="-4"/>
        </w:rPr>
        <w:t> </w:t>
      </w:r>
      <w:r>
        <w:rPr>
          <w:color w:val="231F20"/>
          <w:spacing w:val="-2"/>
        </w:rPr>
        <w:t>что-нибудь</w:t>
      </w:r>
      <w:r>
        <w:rPr>
          <w:color w:val="231F20"/>
          <w:spacing w:val="-4"/>
        </w:rPr>
        <w:t> </w:t>
      </w:r>
      <w:r>
        <w:rPr>
          <w:color w:val="231F20"/>
          <w:spacing w:val="-2"/>
        </w:rPr>
        <w:t>новое, </w:t>
      </w:r>
      <w:r>
        <w:rPr>
          <w:color w:val="231F20"/>
        </w:rPr>
        <w:t>а продолжение. Оно звучало следующим образом.</w:t>
      </w:r>
    </w:p>
    <w:p>
      <w:pPr>
        <w:spacing w:line="235" w:lineRule="auto" w:before="116"/>
        <w:ind w:left="141" w:right="139" w:firstLine="283"/>
        <w:jc w:val="both"/>
        <w:rPr>
          <w:i/>
          <w:sz w:val="20"/>
        </w:rPr>
      </w:pPr>
      <w:r>
        <w:rPr>
          <w:i/>
          <w:color w:val="231F20"/>
          <w:sz w:val="20"/>
        </w:rPr>
        <w:t>Человек-паук</w:t>
      </w:r>
      <w:r>
        <w:rPr>
          <w:i/>
          <w:color w:val="231F20"/>
          <w:spacing w:val="-10"/>
          <w:sz w:val="20"/>
        </w:rPr>
        <w:t> </w:t>
      </w:r>
      <w:r>
        <w:rPr>
          <w:i/>
          <w:color w:val="231F20"/>
          <w:sz w:val="20"/>
        </w:rPr>
        <w:t>и</w:t>
      </w:r>
      <w:r>
        <w:rPr>
          <w:i/>
          <w:color w:val="231F20"/>
          <w:spacing w:val="-10"/>
          <w:sz w:val="20"/>
        </w:rPr>
        <w:t> </w:t>
      </w:r>
      <w:r>
        <w:rPr>
          <w:i/>
          <w:color w:val="231F20"/>
          <w:sz w:val="20"/>
        </w:rPr>
        <w:t>другие</w:t>
      </w:r>
      <w:r>
        <w:rPr>
          <w:i/>
          <w:color w:val="231F20"/>
          <w:spacing w:val="-10"/>
          <w:sz w:val="20"/>
        </w:rPr>
        <w:t> </w:t>
      </w:r>
      <w:r>
        <w:rPr>
          <w:i/>
          <w:color w:val="231F20"/>
          <w:sz w:val="20"/>
        </w:rPr>
        <w:t>ребята</w:t>
      </w:r>
      <w:r>
        <w:rPr>
          <w:i/>
          <w:color w:val="231F20"/>
          <w:spacing w:val="-10"/>
          <w:sz w:val="20"/>
        </w:rPr>
        <w:t> </w:t>
      </w:r>
      <w:r>
        <w:rPr>
          <w:i/>
          <w:color w:val="231F20"/>
          <w:sz w:val="20"/>
        </w:rPr>
        <w:t>праздновали.</w:t>
      </w:r>
      <w:r>
        <w:rPr>
          <w:i/>
          <w:color w:val="231F20"/>
          <w:spacing w:val="-10"/>
          <w:sz w:val="20"/>
        </w:rPr>
        <w:t> </w:t>
      </w:r>
      <w:r>
        <w:rPr>
          <w:i/>
          <w:color w:val="231F20"/>
          <w:sz w:val="20"/>
        </w:rPr>
        <w:t>Потом</w:t>
      </w:r>
      <w:r>
        <w:rPr>
          <w:i/>
          <w:color w:val="231F20"/>
          <w:spacing w:val="-10"/>
          <w:sz w:val="20"/>
        </w:rPr>
        <w:t> </w:t>
      </w:r>
      <w:r>
        <w:rPr>
          <w:i/>
          <w:color w:val="231F20"/>
          <w:sz w:val="20"/>
        </w:rPr>
        <w:t>Ведьма</w:t>
      </w:r>
      <w:r>
        <w:rPr>
          <w:i/>
          <w:color w:val="231F20"/>
          <w:spacing w:val="-10"/>
          <w:sz w:val="20"/>
        </w:rPr>
        <w:t> </w:t>
      </w:r>
      <w:r>
        <w:rPr>
          <w:i/>
          <w:color w:val="231F20"/>
          <w:sz w:val="20"/>
        </w:rPr>
        <w:t>родила</w:t>
      </w:r>
      <w:r>
        <w:rPr>
          <w:i/>
          <w:color w:val="231F20"/>
          <w:spacing w:val="-10"/>
          <w:sz w:val="20"/>
        </w:rPr>
        <w:t> </w:t>
      </w:r>
      <w:r>
        <w:rPr>
          <w:i/>
          <w:color w:val="231F20"/>
          <w:sz w:val="20"/>
        </w:rPr>
        <w:t>еще</w:t>
      </w:r>
      <w:r>
        <w:rPr>
          <w:i/>
          <w:color w:val="231F20"/>
          <w:spacing w:val="-10"/>
          <w:sz w:val="20"/>
        </w:rPr>
        <w:t> </w:t>
      </w:r>
      <w:r>
        <w:rPr>
          <w:i/>
          <w:color w:val="231F20"/>
          <w:sz w:val="20"/>
        </w:rPr>
        <w:t>монстров. А Человек-паук и другие не могли еще наушников купить. Ребенок Ведьмы каждый раз плакал. И это были дети – девочка и мальчик, им хотелось кричать. А мама не пускала их. Один раз они пошли на улицу и закричали. Бэтмен думает: «Что же произошло? Почему она не позвонила мне, что кричит?» И они поссорились с этой Ведьмой.</w:t>
      </w:r>
      <w:r>
        <w:rPr>
          <w:i/>
          <w:color w:val="231F20"/>
          <w:spacing w:val="-13"/>
          <w:sz w:val="20"/>
        </w:rPr>
        <w:t> </w:t>
      </w:r>
      <w:r>
        <w:rPr>
          <w:i/>
          <w:color w:val="231F20"/>
          <w:sz w:val="20"/>
        </w:rPr>
        <w:t>Человек-паук</w:t>
      </w:r>
      <w:r>
        <w:rPr>
          <w:i/>
          <w:color w:val="231F20"/>
          <w:spacing w:val="-12"/>
          <w:sz w:val="20"/>
        </w:rPr>
        <w:t> </w:t>
      </w:r>
      <w:r>
        <w:rPr>
          <w:i/>
          <w:color w:val="231F20"/>
          <w:sz w:val="20"/>
        </w:rPr>
        <w:t>говорит</w:t>
      </w:r>
      <w:r>
        <w:rPr>
          <w:i/>
          <w:color w:val="231F20"/>
          <w:spacing w:val="-13"/>
          <w:sz w:val="20"/>
        </w:rPr>
        <w:t> </w:t>
      </w:r>
      <w:r>
        <w:rPr>
          <w:i/>
          <w:color w:val="231F20"/>
          <w:sz w:val="20"/>
        </w:rPr>
        <w:t>Ведьме:</w:t>
      </w:r>
      <w:r>
        <w:rPr>
          <w:i/>
          <w:color w:val="231F20"/>
          <w:spacing w:val="-12"/>
          <w:sz w:val="20"/>
        </w:rPr>
        <w:t> </w:t>
      </w:r>
      <w:r>
        <w:rPr>
          <w:i/>
          <w:color w:val="231F20"/>
          <w:sz w:val="20"/>
        </w:rPr>
        <w:t>«Это</w:t>
      </w:r>
      <w:r>
        <w:rPr>
          <w:i/>
          <w:color w:val="231F20"/>
          <w:spacing w:val="-13"/>
          <w:sz w:val="20"/>
        </w:rPr>
        <w:t> </w:t>
      </w:r>
      <w:r>
        <w:rPr>
          <w:i/>
          <w:color w:val="231F20"/>
          <w:sz w:val="20"/>
        </w:rPr>
        <w:t>дети</w:t>
      </w:r>
      <w:r>
        <w:rPr>
          <w:i/>
          <w:color w:val="231F20"/>
          <w:spacing w:val="-12"/>
          <w:sz w:val="20"/>
        </w:rPr>
        <w:t> </w:t>
      </w:r>
      <w:r>
        <w:rPr>
          <w:i/>
          <w:color w:val="231F20"/>
          <w:sz w:val="20"/>
        </w:rPr>
        <w:t>или</w:t>
      </w:r>
      <w:r>
        <w:rPr>
          <w:i/>
          <w:color w:val="231F20"/>
          <w:spacing w:val="-13"/>
          <w:sz w:val="20"/>
        </w:rPr>
        <w:t> </w:t>
      </w:r>
      <w:r>
        <w:rPr>
          <w:i/>
          <w:color w:val="231F20"/>
          <w:sz w:val="20"/>
        </w:rPr>
        <w:t>сама</w:t>
      </w:r>
      <w:r>
        <w:rPr>
          <w:i/>
          <w:color w:val="231F20"/>
          <w:spacing w:val="-12"/>
          <w:sz w:val="20"/>
        </w:rPr>
        <w:t> </w:t>
      </w:r>
      <w:r>
        <w:rPr>
          <w:i/>
          <w:color w:val="231F20"/>
          <w:sz w:val="20"/>
        </w:rPr>
        <w:t>кричишь?»</w:t>
      </w:r>
      <w:r>
        <w:rPr>
          <w:i/>
          <w:color w:val="231F20"/>
          <w:spacing w:val="-13"/>
          <w:sz w:val="20"/>
        </w:rPr>
        <w:t> </w:t>
      </w:r>
      <w:r>
        <w:rPr>
          <w:i/>
          <w:color w:val="231F20"/>
          <w:sz w:val="20"/>
        </w:rPr>
        <w:t>Она</w:t>
      </w:r>
      <w:r>
        <w:rPr>
          <w:i/>
          <w:color w:val="231F20"/>
          <w:spacing w:val="-12"/>
          <w:sz w:val="20"/>
        </w:rPr>
        <w:t> </w:t>
      </w:r>
      <w:r>
        <w:rPr>
          <w:i/>
          <w:color w:val="231F20"/>
          <w:sz w:val="20"/>
        </w:rPr>
        <w:t>отвеча- ет:</w:t>
      </w:r>
      <w:r>
        <w:rPr>
          <w:i/>
          <w:color w:val="231F20"/>
          <w:spacing w:val="-7"/>
          <w:sz w:val="20"/>
        </w:rPr>
        <w:t> </w:t>
      </w:r>
      <w:r>
        <w:rPr>
          <w:i/>
          <w:color w:val="231F20"/>
          <w:sz w:val="20"/>
        </w:rPr>
        <w:t>«Мои</w:t>
      </w:r>
      <w:r>
        <w:rPr>
          <w:i/>
          <w:color w:val="231F20"/>
          <w:spacing w:val="-7"/>
          <w:sz w:val="20"/>
        </w:rPr>
        <w:t> </w:t>
      </w:r>
      <w:r>
        <w:rPr>
          <w:i/>
          <w:color w:val="231F20"/>
          <w:sz w:val="20"/>
        </w:rPr>
        <w:t>дети</w:t>
      </w:r>
      <w:r>
        <w:rPr>
          <w:i/>
          <w:color w:val="231F20"/>
          <w:spacing w:val="-7"/>
          <w:sz w:val="20"/>
        </w:rPr>
        <w:t> </w:t>
      </w:r>
      <w:r>
        <w:rPr>
          <w:i/>
          <w:color w:val="231F20"/>
          <w:sz w:val="20"/>
        </w:rPr>
        <w:t>хотят</w:t>
      </w:r>
      <w:r>
        <w:rPr>
          <w:i/>
          <w:color w:val="231F20"/>
          <w:spacing w:val="-7"/>
          <w:sz w:val="20"/>
        </w:rPr>
        <w:t> </w:t>
      </w:r>
      <w:r>
        <w:rPr>
          <w:i/>
          <w:color w:val="231F20"/>
          <w:sz w:val="20"/>
        </w:rPr>
        <w:t>кричать.</w:t>
      </w:r>
      <w:r>
        <w:rPr>
          <w:i/>
          <w:color w:val="231F20"/>
          <w:spacing w:val="-7"/>
          <w:sz w:val="20"/>
        </w:rPr>
        <w:t> </w:t>
      </w:r>
      <w:r>
        <w:rPr>
          <w:i/>
          <w:color w:val="231F20"/>
          <w:sz w:val="20"/>
        </w:rPr>
        <w:t>У</w:t>
      </w:r>
      <w:r>
        <w:rPr>
          <w:i/>
          <w:color w:val="231F20"/>
          <w:spacing w:val="-7"/>
          <w:sz w:val="20"/>
        </w:rPr>
        <w:t> </w:t>
      </w:r>
      <w:r>
        <w:rPr>
          <w:i/>
          <w:color w:val="231F20"/>
          <w:sz w:val="20"/>
        </w:rPr>
        <w:t>вас</w:t>
      </w:r>
      <w:r>
        <w:rPr>
          <w:i/>
          <w:color w:val="231F20"/>
          <w:spacing w:val="-7"/>
          <w:sz w:val="20"/>
        </w:rPr>
        <w:t> </w:t>
      </w:r>
      <w:r>
        <w:rPr>
          <w:i/>
          <w:color w:val="231F20"/>
          <w:sz w:val="20"/>
        </w:rPr>
        <w:t>нету</w:t>
      </w:r>
      <w:r>
        <w:rPr>
          <w:i/>
          <w:color w:val="231F20"/>
          <w:spacing w:val="-7"/>
          <w:sz w:val="20"/>
        </w:rPr>
        <w:t> </w:t>
      </w:r>
      <w:r>
        <w:rPr>
          <w:i/>
          <w:color w:val="231F20"/>
          <w:sz w:val="20"/>
        </w:rPr>
        <w:t>больше</w:t>
      </w:r>
      <w:r>
        <w:rPr>
          <w:i/>
          <w:color w:val="231F20"/>
          <w:spacing w:val="-7"/>
          <w:sz w:val="20"/>
        </w:rPr>
        <w:t> </w:t>
      </w:r>
      <w:r>
        <w:rPr>
          <w:i/>
          <w:color w:val="231F20"/>
          <w:sz w:val="20"/>
        </w:rPr>
        <w:t>наушников?»</w:t>
      </w:r>
      <w:r>
        <w:rPr>
          <w:i/>
          <w:color w:val="231F20"/>
          <w:spacing w:val="-7"/>
          <w:sz w:val="20"/>
        </w:rPr>
        <w:t> </w:t>
      </w:r>
      <w:r>
        <w:rPr>
          <w:i/>
          <w:color w:val="231F20"/>
          <w:sz w:val="20"/>
        </w:rPr>
        <w:t>«Нет!»</w:t>
      </w:r>
      <w:r>
        <w:rPr>
          <w:i/>
          <w:color w:val="231F20"/>
          <w:spacing w:val="-7"/>
          <w:sz w:val="20"/>
        </w:rPr>
        <w:t> </w:t>
      </w:r>
      <w:r>
        <w:rPr>
          <w:i/>
          <w:color w:val="231F20"/>
          <w:sz w:val="20"/>
        </w:rPr>
        <w:t>–</w:t>
      </w:r>
      <w:r>
        <w:rPr>
          <w:i/>
          <w:color w:val="231F20"/>
          <w:spacing w:val="-7"/>
          <w:sz w:val="20"/>
        </w:rPr>
        <w:t> </w:t>
      </w:r>
      <w:r>
        <w:rPr>
          <w:i/>
          <w:color w:val="231F20"/>
          <w:sz w:val="20"/>
        </w:rPr>
        <w:t>отвечает Человек-паук.</w:t>
      </w:r>
      <w:r>
        <w:rPr>
          <w:i/>
          <w:color w:val="231F20"/>
          <w:spacing w:val="-13"/>
          <w:sz w:val="20"/>
        </w:rPr>
        <w:t> </w:t>
      </w:r>
      <w:r>
        <w:rPr>
          <w:i/>
          <w:color w:val="231F20"/>
          <w:sz w:val="20"/>
        </w:rPr>
        <w:t>И</w:t>
      </w:r>
      <w:r>
        <w:rPr>
          <w:i/>
          <w:color w:val="231F20"/>
          <w:spacing w:val="-12"/>
          <w:sz w:val="20"/>
        </w:rPr>
        <w:t> </w:t>
      </w:r>
      <w:r>
        <w:rPr>
          <w:i/>
          <w:color w:val="231F20"/>
          <w:sz w:val="20"/>
        </w:rPr>
        <w:t>за</w:t>
      </w:r>
      <w:r>
        <w:rPr>
          <w:i/>
          <w:color w:val="231F20"/>
          <w:spacing w:val="-13"/>
          <w:sz w:val="20"/>
        </w:rPr>
        <w:t> </w:t>
      </w:r>
      <w:r>
        <w:rPr>
          <w:i/>
          <w:color w:val="231F20"/>
          <w:sz w:val="20"/>
        </w:rPr>
        <w:t>несколько</w:t>
      </w:r>
      <w:r>
        <w:rPr>
          <w:i/>
          <w:color w:val="231F20"/>
          <w:spacing w:val="-12"/>
          <w:sz w:val="20"/>
        </w:rPr>
        <w:t> </w:t>
      </w:r>
      <w:r>
        <w:rPr>
          <w:i/>
          <w:color w:val="231F20"/>
          <w:sz w:val="20"/>
        </w:rPr>
        <w:t>дней</w:t>
      </w:r>
      <w:r>
        <w:rPr>
          <w:i/>
          <w:color w:val="231F20"/>
          <w:spacing w:val="-13"/>
          <w:sz w:val="20"/>
        </w:rPr>
        <w:t> </w:t>
      </w:r>
      <w:r>
        <w:rPr>
          <w:i/>
          <w:color w:val="231F20"/>
          <w:sz w:val="20"/>
        </w:rPr>
        <w:t>детям</w:t>
      </w:r>
      <w:r>
        <w:rPr>
          <w:i/>
          <w:color w:val="231F20"/>
          <w:spacing w:val="-12"/>
          <w:sz w:val="20"/>
        </w:rPr>
        <w:t> </w:t>
      </w:r>
      <w:r>
        <w:rPr>
          <w:i/>
          <w:color w:val="231F20"/>
          <w:sz w:val="20"/>
        </w:rPr>
        <w:t>дали</w:t>
      </w:r>
      <w:r>
        <w:rPr>
          <w:i/>
          <w:color w:val="231F20"/>
          <w:spacing w:val="-13"/>
          <w:sz w:val="20"/>
        </w:rPr>
        <w:t> </w:t>
      </w:r>
      <w:r>
        <w:rPr>
          <w:i/>
          <w:color w:val="231F20"/>
          <w:sz w:val="20"/>
        </w:rPr>
        <w:t>десять</w:t>
      </w:r>
      <w:r>
        <w:rPr>
          <w:i/>
          <w:color w:val="231F20"/>
          <w:spacing w:val="-12"/>
          <w:sz w:val="20"/>
        </w:rPr>
        <w:t> </w:t>
      </w:r>
      <w:r>
        <w:rPr>
          <w:i/>
          <w:color w:val="231F20"/>
          <w:sz w:val="20"/>
        </w:rPr>
        <w:t>тысяч</w:t>
      </w:r>
      <w:r>
        <w:rPr>
          <w:i/>
          <w:color w:val="231F20"/>
          <w:spacing w:val="-13"/>
          <w:sz w:val="20"/>
        </w:rPr>
        <w:t> </w:t>
      </w:r>
      <w:r>
        <w:rPr>
          <w:i/>
          <w:color w:val="231F20"/>
          <w:sz w:val="20"/>
        </w:rPr>
        <w:t>миллионов</w:t>
      </w:r>
      <w:r>
        <w:rPr>
          <w:i/>
          <w:color w:val="231F20"/>
          <w:spacing w:val="-12"/>
          <w:sz w:val="20"/>
        </w:rPr>
        <w:t> </w:t>
      </w:r>
      <w:r>
        <w:rPr>
          <w:i/>
          <w:color w:val="231F20"/>
          <w:sz w:val="20"/>
        </w:rPr>
        <w:t>денег,</w:t>
      </w:r>
      <w:r>
        <w:rPr>
          <w:i/>
          <w:color w:val="231F20"/>
          <w:spacing w:val="-13"/>
          <w:sz w:val="20"/>
        </w:rPr>
        <w:t> </w:t>
      </w:r>
      <w:r>
        <w:rPr>
          <w:i/>
          <w:color w:val="231F20"/>
          <w:sz w:val="20"/>
        </w:rPr>
        <w:t>чтобы они чего-то купили и не кричали. И закончились деньги – а они еще хотят кричать. У них больше денег нет. Их мама хотела тоже кричать. Человек-паук с друзьями хотели убить их маму. Но ему было жалко ее. Человек-паук маленьких детей и их маму</w:t>
      </w:r>
      <w:r>
        <w:rPr>
          <w:i/>
          <w:color w:val="231F20"/>
          <w:spacing w:val="-5"/>
          <w:sz w:val="20"/>
        </w:rPr>
        <w:t> </w:t>
      </w:r>
      <w:r>
        <w:rPr>
          <w:i/>
          <w:color w:val="231F20"/>
          <w:sz w:val="20"/>
        </w:rPr>
        <w:t>угостил</w:t>
      </w:r>
      <w:r>
        <w:rPr>
          <w:i/>
          <w:color w:val="231F20"/>
          <w:spacing w:val="-5"/>
          <w:sz w:val="20"/>
        </w:rPr>
        <w:t> </w:t>
      </w:r>
      <w:r>
        <w:rPr>
          <w:i/>
          <w:color w:val="231F20"/>
          <w:sz w:val="20"/>
        </w:rPr>
        <w:t>тортом,</w:t>
      </w:r>
      <w:r>
        <w:rPr>
          <w:i/>
          <w:color w:val="231F20"/>
          <w:spacing w:val="-5"/>
          <w:sz w:val="20"/>
        </w:rPr>
        <w:t> </w:t>
      </w:r>
      <w:r>
        <w:rPr>
          <w:i/>
          <w:color w:val="231F20"/>
          <w:sz w:val="20"/>
        </w:rPr>
        <w:t>игрушки</w:t>
      </w:r>
      <w:r>
        <w:rPr>
          <w:i/>
          <w:color w:val="231F20"/>
          <w:spacing w:val="-5"/>
          <w:sz w:val="20"/>
        </w:rPr>
        <w:t> </w:t>
      </w:r>
      <w:r>
        <w:rPr>
          <w:i/>
          <w:color w:val="231F20"/>
          <w:sz w:val="20"/>
        </w:rPr>
        <w:t>дал,</w:t>
      </w:r>
      <w:r>
        <w:rPr>
          <w:i/>
          <w:color w:val="231F20"/>
          <w:spacing w:val="-5"/>
          <w:sz w:val="20"/>
        </w:rPr>
        <w:t> </w:t>
      </w:r>
      <w:r>
        <w:rPr>
          <w:i/>
          <w:color w:val="231F20"/>
          <w:sz w:val="20"/>
        </w:rPr>
        <w:t>чтоб</w:t>
      </w:r>
      <w:r>
        <w:rPr>
          <w:i/>
          <w:color w:val="231F20"/>
          <w:spacing w:val="-5"/>
          <w:sz w:val="20"/>
        </w:rPr>
        <w:t> </w:t>
      </w:r>
      <w:r>
        <w:rPr>
          <w:i/>
          <w:color w:val="231F20"/>
          <w:sz w:val="20"/>
        </w:rPr>
        <w:t>не</w:t>
      </w:r>
      <w:r>
        <w:rPr>
          <w:i/>
          <w:color w:val="231F20"/>
          <w:spacing w:val="-5"/>
          <w:sz w:val="20"/>
        </w:rPr>
        <w:t> </w:t>
      </w:r>
      <w:r>
        <w:rPr>
          <w:i/>
          <w:color w:val="231F20"/>
          <w:sz w:val="20"/>
        </w:rPr>
        <w:t>кричали.</w:t>
      </w:r>
      <w:r>
        <w:rPr>
          <w:i/>
          <w:color w:val="231F20"/>
          <w:spacing w:val="-5"/>
          <w:sz w:val="20"/>
        </w:rPr>
        <w:t> </w:t>
      </w:r>
      <w:r>
        <w:rPr>
          <w:i/>
          <w:color w:val="231F20"/>
          <w:sz w:val="20"/>
        </w:rPr>
        <w:t>И</w:t>
      </w:r>
      <w:r>
        <w:rPr>
          <w:i/>
          <w:color w:val="231F20"/>
          <w:spacing w:val="-5"/>
          <w:sz w:val="20"/>
        </w:rPr>
        <w:t> </w:t>
      </w:r>
      <w:r>
        <w:rPr>
          <w:i/>
          <w:color w:val="231F20"/>
          <w:sz w:val="20"/>
        </w:rPr>
        <w:t>мама</w:t>
      </w:r>
      <w:r>
        <w:rPr>
          <w:i/>
          <w:color w:val="231F20"/>
          <w:spacing w:val="-5"/>
          <w:sz w:val="20"/>
        </w:rPr>
        <w:t> </w:t>
      </w:r>
      <w:r>
        <w:rPr>
          <w:i/>
          <w:color w:val="231F20"/>
          <w:sz w:val="20"/>
        </w:rPr>
        <w:t>детей-монстров</w:t>
      </w:r>
      <w:r>
        <w:rPr>
          <w:i/>
          <w:color w:val="231F20"/>
          <w:spacing w:val="-5"/>
          <w:sz w:val="20"/>
        </w:rPr>
        <w:t> </w:t>
      </w:r>
      <w:r>
        <w:rPr>
          <w:i/>
          <w:color w:val="231F20"/>
          <w:sz w:val="20"/>
        </w:rPr>
        <w:t>дала Человеку-пауку деньги, чтобы он накормил детей, чтобы они не кричали (сама она не знала, как это делать). Человек-паук потом купил наушники для всех. И потом каждый раз, когда хотел ребенок кричать, мать звонила Человеку-пауку, а он всем говорил надеть наушники, и поэтому ничего не случалось.</w:t>
      </w:r>
    </w:p>
    <w:p>
      <w:pPr>
        <w:spacing w:before="6"/>
        <w:ind w:left="425" w:right="0" w:firstLine="0"/>
        <w:jc w:val="both"/>
        <w:rPr>
          <w:i/>
          <w:sz w:val="20"/>
        </w:rPr>
      </w:pPr>
      <w:r>
        <w:rPr>
          <w:i/>
          <w:color w:val="231F20"/>
          <w:sz w:val="20"/>
        </w:rPr>
        <w:t>Урок.</w:t>
      </w:r>
      <w:r>
        <w:rPr>
          <w:i/>
          <w:color w:val="231F20"/>
          <w:spacing w:val="-5"/>
          <w:sz w:val="20"/>
        </w:rPr>
        <w:t> </w:t>
      </w:r>
      <w:r>
        <w:rPr>
          <w:i/>
          <w:color w:val="231F20"/>
          <w:sz w:val="20"/>
        </w:rPr>
        <w:t>Не</w:t>
      </w:r>
      <w:r>
        <w:rPr>
          <w:i/>
          <w:color w:val="231F20"/>
          <w:spacing w:val="-4"/>
          <w:sz w:val="20"/>
        </w:rPr>
        <w:t> </w:t>
      </w:r>
      <w:r>
        <w:rPr>
          <w:i/>
          <w:color w:val="231F20"/>
          <w:spacing w:val="-2"/>
          <w:sz w:val="20"/>
        </w:rPr>
        <w:t>знаю.</w:t>
      </w:r>
    </w:p>
    <w:p>
      <w:pPr>
        <w:pStyle w:val="BodyText"/>
        <w:spacing w:line="235" w:lineRule="auto" w:before="113"/>
      </w:pPr>
      <w:r>
        <w:rPr>
          <w:color w:val="231F20"/>
        </w:rPr>
        <w:t>Оказалось, что Р. глубоко принял терапевтическое послание, интериоризировал его, при этом творчески переиначив, и попробовал самостоятельно, в собственном воображении, справиться с проблемой предлагаемым способом. Идентификация ге- роев истории с близкими людьми подтвердила предположения, положенные в осно- ву нашей интерпретации: себя Р. связывал с Человеком-пауком, друзей – со своими братьями и сестрами, а на вопрос: «Кто превратится в Ведьму?» – он ответил: «Я сам». Неподдельное удивление психолога: «Ты же Человек-паук?!» – он прервал за- мечанием: «А это тоже я!» Продолжая психодинамическую интерпретацию, можно отметить, что содержание импульсов бессознательного приобрело несколько более структурированную</w:t>
      </w:r>
      <w:r>
        <w:rPr>
          <w:color w:val="231F20"/>
          <w:spacing w:val="-10"/>
        </w:rPr>
        <w:t> </w:t>
      </w:r>
      <w:r>
        <w:rPr>
          <w:color w:val="231F20"/>
        </w:rPr>
        <w:t>форму</w:t>
      </w:r>
      <w:r>
        <w:rPr>
          <w:color w:val="231F20"/>
          <w:spacing w:val="-10"/>
        </w:rPr>
        <w:t> </w:t>
      </w:r>
      <w:r>
        <w:rPr>
          <w:color w:val="231F20"/>
        </w:rPr>
        <w:t>и</w:t>
      </w:r>
      <w:r>
        <w:rPr>
          <w:color w:val="231F20"/>
          <w:spacing w:val="-10"/>
        </w:rPr>
        <w:t> </w:t>
      </w:r>
      <w:r>
        <w:rPr>
          <w:color w:val="231F20"/>
        </w:rPr>
        <w:t>стало</w:t>
      </w:r>
      <w:r>
        <w:rPr>
          <w:color w:val="231F20"/>
          <w:spacing w:val="-10"/>
        </w:rPr>
        <w:t> </w:t>
      </w:r>
      <w:r>
        <w:rPr>
          <w:color w:val="231F20"/>
        </w:rPr>
        <w:t>связываться</w:t>
      </w:r>
      <w:r>
        <w:rPr>
          <w:color w:val="231F20"/>
          <w:spacing w:val="-10"/>
        </w:rPr>
        <w:t> </w:t>
      </w:r>
      <w:r>
        <w:rPr>
          <w:color w:val="231F20"/>
        </w:rPr>
        <w:t>в</w:t>
      </w:r>
      <w:r>
        <w:rPr>
          <w:color w:val="231F20"/>
          <w:spacing w:val="-10"/>
        </w:rPr>
        <w:t> </w:t>
      </w:r>
      <w:r>
        <w:rPr>
          <w:color w:val="231F20"/>
        </w:rPr>
        <w:t>первую</w:t>
      </w:r>
      <w:r>
        <w:rPr>
          <w:color w:val="231F20"/>
          <w:spacing w:val="-10"/>
        </w:rPr>
        <w:t> </w:t>
      </w:r>
      <w:r>
        <w:rPr>
          <w:color w:val="231F20"/>
        </w:rPr>
        <w:t>очередь</w:t>
      </w:r>
      <w:r>
        <w:rPr>
          <w:color w:val="231F20"/>
          <w:spacing w:val="-10"/>
        </w:rPr>
        <w:t> </w:t>
      </w:r>
      <w:r>
        <w:rPr>
          <w:color w:val="231F20"/>
        </w:rPr>
        <w:t>с</w:t>
      </w:r>
      <w:r>
        <w:rPr>
          <w:color w:val="231F20"/>
          <w:spacing w:val="-10"/>
        </w:rPr>
        <w:t> </w:t>
      </w:r>
      <w:r>
        <w:rPr>
          <w:color w:val="231F20"/>
        </w:rPr>
        <w:t>оральной</w:t>
      </w:r>
      <w:r>
        <w:rPr>
          <w:color w:val="231F20"/>
          <w:spacing w:val="-10"/>
        </w:rPr>
        <w:t> </w:t>
      </w:r>
      <w:r>
        <w:rPr>
          <w:color w:val="231F20"/>
        </w:rPr>
        <w:t>пробле- </w:t>
      </w:r>
      <w:r>
        <w:rPr>
          <w:color w:val="231F20"/>
          <w:spacing w:val="-2"/>
        </w:rPr>
        <w:t>матикой</w:t>
      </w:r>
      <w:r>
        <w:rPr>
          <w:color w:val="231F20"/>
          <w:spacing w:val="-3"/>
        </w:rPr>
        <w:t> </w:t>
      </w:r>
      <w:r>
        <w:rPr>
          <w:color w:val="231F20"/>
          <w:spacing w:val="-2"/>
        </w:rPr>
        <w:t>(привлечение</w:t>
      </w:r>
      <w:r>
        <w:rPr>
          <w:color w:val="231F20"/>
          <w:spacing w:val="-3"/>
        </w:rPr>
        <w:t> </w:t>
      </w:r>
      <w:r>
        <w:rPr>
          <w:color w:val="231F20"/>
          <w:spacing w:val="-2"/>
        </w:rPr>
        <w:t>внимания),</w:t>
      </w:r>
      <w:r>
        <w:rPr>
          <w:color w:val="231F20"/>
          <w:spacing w:val="-3"/>
        </w:rPr>
        <w:t> </w:t>
      </w:r>
      <w:r>
        <w:rPr>
          <w:color w:val="231F20"/>
          <w:spacing w:val="-2"/>
        </w:rPr>
        <w:t>что</w:t>
      </w:r>
      <w:r>
        <w:rPr>
          <w:color w:val="231F20"/>
          <w:spacing w:val="-3"/>
        </w:rPr>
        <w:t> </w:t>
      </w:r>
      <w:r>
        <w:rPr>
          <w:color w:val="231F20"/>
          <w:spacing w:val="-2"/>
        </w:rPr>
        <w:t>согласуется</w:t>
      </w:r>
      <w:r>
        <w:rPr>
          <w:color w:val="231F20"/>
          <w:spacing w:val="-3"/>
        </w:rPr>
        <w:t> </w:t>
      </w:r>
      <w:r>
        <w:rPr>
          <w:color w:val="231F20"/>
          <w:spacing w:val="-2"/>
        </w:rPr>
        <w:t>с</w:t>
      </w:r>
      <w:r>
        <w:rPr>
          <w:color w:val="231F20"/>
          <w:spacing w:val="-3"/>
        </w:rPr>
        <w:t> </w:t>
      </w:r>
      <w:r>
        <w:rPr>
          <w:color w:val="231F20"/>
          <w:spacing w:val="-2"/>
        </w:rPr>
        <w:t>нашим</w:t>
      </w:r>
      <w:r>
        <w:rPr>
          <w:color w:val="231F20"/>
          <w:spacing w:val="-3"/>
        </w:rPr>
        <w:t> </w:t>
      </w:r>
      <w:r>
        <w:rPr>
          <w:color w:val="231F20"/>
          <w:spacing w:val="-2"/>
        </w:rPr>
        <w:t>предположением</w:t>
      </w:r>
      <w:r>
        <w:rPr>
          <w:color w:val="231F20"/>
          <w:spacing w:val="-3"/>
        </w:rPr>
        <w:t> </w:t>
      </w:r>
      <w:r>
        <w:rPr>
          <w:color w:val="231F20"/>
          <w:spacing w:val="-2"/>
        </w:rPr>
        <w:t>о</w:t>
      </w:r>
      <w:r>
        <w:rPr>
          <w:color w:val="231F20"/>
          <w:spacing w:val="-3"/>
        </w:rPr>
        <w:t> </w:t>
      </w:r>
      <w:r>
        <w:rPr>
          <w:color w:val="231F20"/>
          <w:spacing w:val="-2"/>
        </w:rPr>
        <w:t>ранней </w:t>
      </w:r>
      <w:r>
        <w:rPr>
          <w:color w:val="231F20"/>
        </w:rPr>
        <w:t>травме и возможном посттравматическом регрессе. Предложенное ребенком разви- тие</w:t>
      </w:r>
      <w:r>
        <w:rPr>
          <w:color w:val="231F20"/>
          <w:spacing w:val="-7"/>
        </w:rPr>
        <w:t> </w:t>
      </w:r>
      <w:r>
        <w:rPr>
          <w:color w:val="231F20"/>
        </w:rPr>
        <w:t>(энергетический</w:t>
      </w:r>
      <w:r>
        <w:rPr>
          <w:color w:val="231F20"/>
          <w:spacing w:val="-7"/>
        </w:rPr>
        <w:t> </w:t>
      </w:r>
      <w:r>
        <w:rPr>
          <w:color w:val="231F20"/>
        </w:rPr>
        <w:t>обмен</w:t>
      </w:r>
      <w:r>
        <w:rPr>
          <w:color w:val="231F20"/>
          <w:spacing w:val="-7"/>
        </w:rPr>
        <w:t> </w:t>
      </w:r>
      <w:r>
        <w:rPr>
          <w:color w:val="231F20"/>
        </w:rPr>
        <w:t>и</w:t>
      </w:r>
      <w:r>
        <w:rPr>
          <w:color w:val="231F20"/>
          <w:spacing w:val="-7"/>
        </w:rPr>
        <w:t> </w:t>
      </w:r>
      <w:r>
        <w:rPr>
          <w:color w:val="231F20"/>
        </w:rPr>
        <w:t>укрепление</w:t>
      </w:r>
      <w:r>
        <w:rPr>
          <w:color w:val="231F20"/>
          <w:spacing w:val="-7"/>
        </w:rPr>
        <w:t> </w:t>
      </w:r>
      <w:r>
        <w:rPr>
          <w:color w:val="231F20"/>
        </w:rPr>
        <w:t>защиты)</w:t>
      </w:r>
      <w:r>
        <w:rPr>
          <w:color w:val="231F20"/>
          <w:spacing w:val="-7"/>
        </w:rPr>
        <w:t> </w:t>
      </w:r>
      <w:r>
        <w:rPr>
          <w:color w:val="231F20"/>
        </w:rPr>
        <w:t>психолог</w:t>
      </w:r>
      <w:r>
        <w:rPr>
          <w:color w:val="231F20"/>
          <w:spacing w:val="-7"/>
        </w:rPr>
        <w:t> </w:t>
      </w:r>
      <w:r>
        <w:rPr>
          <w:color w:val="231F20"/>
        </w:rPr>
        <w:t>расценил</w:t>
      </w:r>
      <w:r>
        <w:rPr>
          <w:color w:val="231F20"/>
          <w:spacing w:val="-7"/>
        </w:rPr>
        <w:t> </w:t>
      </w:r>
      <w:r>
        <w:rPr>
          <w:color w:val="231F20"/>
        </w:rPr>
        <w:t>как</w:t>
      </w:r>
      <w:r>
        <w:rPr>
          <w:color w:val="231F20"/>
          <w:spacing w:val="-7"/>
        </w:rPr>
        <w:t> </w:t>
      </w:r>
      <w:r>
        <w:rPr>
          <w:color w:val="231F20"/>
        </w:rPr>
        <w:t>достаточно конструктивное, однако решил усилить и подкрепить проделанную самостоятельно ребенком</w:t>
      </w:r>
      <w:r>
        <w:rPr>
          <w:color w:val="231F20"/>
          <w:spacing w:val="-13"/>
        </w:rPr>
        <w:t> </w:t>
      </w:r>
      <w:r>
        <w:rPr>
          <w:color w:val="231F20"/>
        </w:rPr>
        <w:t>внутреннюю</w:t>
      </w:r>
      <w:r>
        <w:rPr>
          <w:color w:val="231F20"/>
          <w:spacing w:val="-12"/>
        </w:rPr>
        <w:t> </w:t>
      </w:r>
      <w:r>
        <w:rPr>
          <w:color w:val="231F20"/>
        </w:rPr>
        <w:t>работу</w:t>
      </w:r>
      <w:r>
        <w:rPr>
          <w:color w:val="231F20"/>
          <w:spacing w:val="-13"/>
        </w:rPr>
        <w:t> </w:t>
      </w:r>
      <w:r>
        <w:rPr>
          <w:color w:val="231F20"/>
        </w:rPr>
        <w:t>и</w:t>
      </w:r>
      <w:r>
        <w:rPr>
          <w:color w:val="231F20"/>
          <w:spacing w:val="-12"/>
        </w:rPr>
        <w:t> </w:t>
      </w:r>
      <w:r>
        <w:rPr>
          <w:color w:val="231F20"/>
        </w:rPr>
        <w:t>направить</w:t>
      </w:r>
      <w:r>
        <w:rPr>
          <w:color w:val="231F20"/>
          <w:spacing w:val="-13"/>
        </w:rPr>
        <w:t> </w:t>
      </w:r>
      <w:r>
        <w:rPr>
          <w:color w:val="231F20"/>
        </w:rPr>
        <w:t>его</w:t>
      </w:r>
      <w:r>
        <w:rPr>
          <w:color w:val="231F20"/>
          <w:spacing w:val="-12"/>
        </w:rPr>
        <w:t> </w:t>
      </w:r>
      <w:r>
        <w:rPr>
          <w:color w:val="231F20"/>
        </w:rPr>
        <w:t>в</w:t>
      </w:r>
      <w:r>
        <w:rPr>
          <w:color w:val="231F20"/>
          <w:spacing w:val="-13"/>
        </w:rPr>
        <w:t> </w:t>
      </w:r>
      <w:r>
        <w:rPr>
          <w:color w:val="231F20"/>
        </w:rPr>
        <w:t>сторону</w:t>
      </w:r>
      <w:r>
        <w:rPr>
          <w:color w:val="231F20"/>
          <w:spacing w:val="-12"/>
        </w:rPr>
        <w:t> </w:t>
      </w:r>
      <w:r>
        <w:rPr>
          <w:color w:val="231F20"/>
        </w:rPr>
        <w:t>использования</w:t>
      </w:r>
      <w:r>
        <w:rPr>
          <w:color w:val="231F20"/>
          <w:spacing w:val="-13"/>
        </w:rPr>
        <w:t> </w:t>
      </w:r>
      <w:r>
        <w:rPr>
          <w:color w:val="231F20"/>
        </w:rPr>
        <w:t>ресурсов</w:t>
      </w:r>
      <w:r>
        <w:rPr>
          <w:color w:val="231F20"/>
          <w:spacing w:val="-12"/>
        </w:rPr>
        <w:t> </w:t>
      </w:r>
      <w:r>
        <w:rPr>
          <w:color w:val="231F20"/>
        </w:rPr>
        <w:t>бес- сознательного. Наша история звучала так.</w:t>
      </w:r>
    </w:p>
    <w:p>
      <w:pPr>
        <w:spacing w:line="235" w:lineRule="auto" w:before="123"/>
        <w:ind w:left="141" w:right="139" w:firstLine="283"/>
        <w:jc w:val="both"/>
        <w:rPr>
          <w:i/>
          <w:sz w:val="20"/>
        </w:rPr>
      </w:pPr>
      <w:r>
        <w:rPr>
          <w:i/>
          <w:color w:val="231F20"/>
          <w:sz w:val="20"/>
        </w:rPr>
        <w:t>Жил-был</w:t>
      </w:r>
      <w:r>
        <w:rPr>
          <w:i/>
          <w:color w:val="231F20"/>
          <w:spacing w:val="-8"/>
          <w:sz w:val="20"/>
        </w:rPr>
        <w:t> </w:t>
      </w:r>
      <w:r>
        <w:rPr>
          <w:i/>
          <w:color w:val="231F20"/>
          <w:sz w:val="20"/>
        </w:rPr>
        <w:t>Человек-паук.</w:t>
      </w:r>
      <w:r>
        <w:rPr>
          <w:i/>
          <w:color w:val="231F20"/>
          <w:spacing w:val="-8"/>
          <w:sz w:val="20"/>
        </w:rPr>
        <w:t> </w:t>
      </w:r>
      <w:r>
        <w:rPr>
          <w:i/>
          <w:color w:val="231F20"/>
          <w:sz w:val="20"/>
        </w:rPr>
        <w:t>И</w:t>
      </w:r>
      <w:r>
        <w:rPr>
          <w:i/>
          <w:color w:val="231F20"/>
          <w:spacing w:val="-8"/>
          <w:sz w:val="20"/>
        </w:rPr>
        <w:t> </w:t>
      </w:r>
      <w:r>
        <w:rPr>
          <w:i/>
          <w:color w:val="231F20"/>
          <w:sz w:val="20"/>
        </w:rPr>
        <w:t>вот</w:t>
      </w:r>
      <w:r>
        <w:rPr>
          <w:i/>
          <w:color w:val="231F20"/>
          <w:spacing w:val="-8"/>
          <w:sz w:val="20"/>
        </w:rPr>
        <w:t> </w:t>
      </w:r>
      <w:r>
        <w:rPr>
          <w:i/>
          <w:color w:val="231F20"/>
          <w:sz w:val="20"/>
        </w:rPr>
        <w:t>Мама-монстр</w:t>
      </w:r>
      <w:r>
        <w:rPr>
          <w:i/>
          <w:color w:val="231F20"/>
          <w:spacing w:val="-8"/>
          <w:sz w:val="20"/>
        </w:rPr>
        <w:t> </w:t>
      </w:r>
      <w:r>
        <w:rPr>
          <w:i/>
          <w:color w:val="231F20"/>
          <w:sz w:val="20"/>
        </w:rPr>
        <w:t>родила</w:t>
      </w:r>
      <w:r>
        <w:rPr>
          <w:i/>
          <w:color w:val="231F20"/>
          <w:spacing w:val="-8"/>
          <w:sz w:val="20"/>
        </w:rPr>
        <w:t> </w:t>
      </w:r>
      <w:r>
        <w:rPr>
          <w:i/>
          <w:color w:val="231F20"/>
          <w:sz w:val="20"/>
        </w:rPr>
        <w:t>еще</w:t>
      </w:r>
      <w:r>
        <w:rPr>
          <w:i/>
          <w:color w:val="231F20"/>
          <w:spacing w:val="-7"/>
          <w:sz w:val="20"/>
        </w:rPr>
        <w:t> </w:t>
      </w:r>
      <w:r>
        <w:rPr>
          <w:i/>
          <w:color w:val="231F20"/>
          <w:sz w:val="20"/>
        </w:rPr>
        <w:t>двух</w:t>
      </w:r>
      <w:r>
        <w:rPr>
          <w:i/>
          <w:color w:val="231F20"/>
          <w:spacing w:val="-7"/>
          <w:sz w:val="20"/>
        </w:rPr>
        <w:t> </w:t>
      </w:r>
      <w:r>
        <w:rPr>
          <w:i/>
          <w:color w:val="231F20"/>
          <w:sz w:val="20"/>
        </w:rPr>
        <w:t>монстров</w:t>
      </w:r>
      <w:r>
        <w:rPr>
          <w:i/>
          <w:color w:val="231F20"/>
          <w:spacing w:val="-8"/>
          <w:sz w:val="20"/>
        </w:rPr>
        <w:t> </w:t>
      </w:r>
      <w:r>
        <w:rPr>
          <w:i/>
          <w:color w:val="231F20"/>
          <w:sz w:val="20"/>
        </w:rPr>
        <w:t>–</w:t>
      </w:r>
      <w:r>
        <w:rPr>
          <w:i/>
          <w:color w:val="231F20"/>
          <w:spacing w:val="-8"/>
          <w:sz w:val="20"/>
        </w:rPr>
        <w:t> </w:t>
      </w:r>
      <w:r>
        <w:rPr>
          <w:i/>
          <w:color w:val="231F20"/>
          <w:sz w:val="20"/>
        </w:rPr>
        <w:t>девочку и мальчика. А как раз в это время Человек-паук и его друзья не смогли купить но- вые</w:t>
      </w:r>
      <w:r>
        <w:rPr>
          <w:i/>
          <w:color w:val="231F20"/>
          <w:spacing w:val="-13"/>
          <w:sz w:val="20"/>
        </w:rPr>
        <w:t> </w:t>
      </w:r>
      <w:r>
        <w:rPr>
          <w:i/>
          <w:color w:val="231F20"/>
          <w:sz w:val="20"/>
        </w:rPr>
        <w:t>наушники</w:t>
      </w:r>
      <w:r>
        <w:rPr>
          <w:i/>
          <w:color w:val="231F20"/>
          <w:spacing w:val="-12"/>
          <w:sz w:val="20"/>
        </w:rPr>
        <w:t> </w:t>
      </w:r>
      <w:r>
        <w:rPr>
          <w:color w:val="231F20"/>
          <w:sz w:val="20"/>
        </w:rPr>
        <w:t>для</w:t>
      </w:r>
      <w:r>
        <w:rPr>
          <w:color w:val="231F20"/>
          <w:spacing w:val="-13"/>
          <w:sz w:val="20"/>
        </w:rPr>
        <w:t> </w:t>
      </w:r>
      <w:r>
        <w:rPr>
          <w:color w:val="231F20"/>
          <w:sz w:val="20"/>
        </w:rPr>
        <w:t>других</w:t>
      </w:r>
      <w:r>
        <w:rPr>
          <w:color w:val="231F20"/>
          <w:spacing w:val="-12"/>
          <w:sz w:val="20"/>
        </w:rPr>
        <w:t> </w:t>
      </w:r>
      <w:r>
        <w:rPr>
          <w:color w:val="231F20"/>
          <w:sz w:val="20"/>
        </w:rPr>
        <w:t>людей.</w:t>
      </w:r>
      <w:r>
        <w:rPr>
          <w:color w:val="231F20"/>
          <w:spacing w:val="-13"/>
          <w:sz w:val="20"/>
        </w:rPr>
        <w:t> </w:t>
      </w:r>
      <w:r>
        <w:rPr>
          <w:i/>
          <w:color w:val="231F20"/>
          <w:sz w:val="20"/>
        </w:rPr>
        <w:t>Так</w:t>
      </w:r>
      <w:r>
        <w:rPr>
          <w:i/>
          <w:color w:val="231F20"/>
          <w:spacing w:val="-12"/>
          <w:sz w:val="20"/>
        </w:rPr>
        <w:t> </w:t>
      </w:r>
      <w:r>
        <w:rPr>
          <w:i/>
          <w:color w:val="231F20"/>
          <w:sz w:val="20"/>
        </w:rPr>
        <w:t>получилось,</w:t>
      </w:r>
      <w:r>
        <w:rPr>
          <w:i/>
          <w:color w:val="231F20"/>
          <w:spacing w:val="-13"/>
          <w:sz w:val="20"/>
        </w:rPr>
        <w:t> </w:t>
      </w:r>
      <w:r>
        <w:rPr>
          <w:i/>
          <w:color w:val="231F20"/>
          <w:sz w:val="20"/>
        </w:rPr>
        <w:t>что</w:t>
      </w:r>
      <w:r>
        <w:rPr>
          <w:i/>
          <w:color w:val="231F20"/>
          <w:spacing w:val="-12"/>
          <w:sz w:val="20"/>
        </w:rPr>
        <w:t> </w:t>
      </w:r>
      <w:r>
        <w:rPr>
          <w:i/>
          <w:color w:val="231F20"/>
          <w:sz w:val="20"/>
        </w:rPr>
        <w:t>эти</w:t>
      </w:r>
      <w:r>
        <w:rPr>
          <w:i/>
          <w:color w:val="231F20"/>
          <w:spacing w:val="-13"/>
          <w:sz w:val="20"/>
        </w:rPr>
        <w:t> </w:t>
      </w:r>
      <w:r>
        <w:rPr>
          <w:i/>
          <w:color w:val="231F20"/>
          <w:sz w:val="20"/>
        </w:rPr>
        <w:t>дети,</w:t>
      </w:r>
      <w:r>
        <w:rPr>
          <w:i/>
          <w:color w:val="231F20"/>
          <w:spacing w:val="-12"/>
          <w:sz w:val="20"/>
        </w:rPr>
        <w:t> </w:t>
      </w:r>
      <w:r>
        <w:rPr>
          <w:i/>
          <w:color w:val="231F20"/>
          <w:sz w:val="20"/>
        </w:rPr>
        <w:t>как</w:t>
      </w:r>
      <w:r>
        <w:rPr>
          <w:i/>
          <w:color w:val="231F20"/>
          <w:spacing w:val="-13"/>
          <w:sz w:val="20"/>
        </w:rPr>
        <w:t> </w:t>
      </w:r>
      <w:r>
        <w:rPr>
          <w:i/>
          <w:color w:val="231F20"/>
          <w:sz w:val="20"/>
        </w:rPr>
        <w:t>только</w:t>
      </w:r>
      <w:r>
        <w:rPr>
          <w:i/>
          <w:color w:val="231F20"/>
          <w:spacing w:val="-12"/>
          <w:sz w:val="20"/>
        </w:rPr>
        <w:t> </w:t>
      </w:r>
      <w:r>
        <w:rPr>
          <w:i/>
          <w:color w:val="231F20"/>
          <w:sz w:val="20"/>
        </w:rPr>
        <w:t>родились, сразу</w:t>
      </w:r>
      <w:r>
        <w:rPr>
          <w:i/>
          <w:color w:val="231F20"/>
          <w:spacing w:val="-2"/>
          <w:sz w:val="20"/>
        </w:rPr>
        <w:t> </w:t>
      </w:r>
      <w:r>
        <w:rPr>
          <w:i/>
          <w:color w:val="231F20"/>
          <w:sz w:val="20"/>
        </w:rPr>
        <w:t>захотели</w:t>
      </w:r>
      <w:r>
        <w:rPr>
          <w:i/>
          <w:color w:val="231F20"/>
          <w:spacing w:val="-2"/>
          <w:sz w:val="20"/>
        </w:rPr>
        <w:t> </w:t>
      </w:r>
      <w:r>
        <w:rPr>
          <w:i/>
          <w:color w:val="231F20"/>
          <w:sz w:val="20"/>
        </w:rPr>
        <w:t>громко-громко</w:t>
      </w:r>
      <w:r>
        <w:rPr>
          <w:i/>
          <w:color w:val="231F20"/>
          <w:spacing w:val="-2"/>
          <w:sz w:val="20"/>
        </w:rPr>
        <w:t> </w:t>
      </w:r>
      <w:r>
        <w:rPr>
          <w:i/>
          <w:color w:val="231F20"/>
          <w:sz w:val="20"/>
        </w:rPr>
        <w:t>кричать</w:t>
      </w:r>
      <w:r>
        <w:rPr>
          <w:i/>
          <w:color w:val="231F20"/>
          <w:spacing w:val="-2"/>
          <w:sz w:val="20"/>
        </w:rPr>
        <w:t> </w:t>
      </w:r>
      <w:r>
        <w:rPr>
          <w:color w:val="231F20"/>
          <w:sz w:val="20"/>
        </w:rPr>
        <w:t>(вздыхает).</w:t>
      </w:r>
      <w:r>
        <w:rPr>
          <w:color w:val="231F20"/>
          <w:spacing w:val="-2"/>
          <w:sz w:val="20"/>
        </w:rPr>
        <w:t> </w:t>
      </w:r>
      <w:r>
        <w:rPr>
          <w:i/>
          <w:color w:val="231F20"/>
          <w:sz w:val="20"/>
        </w:rPr>
        <w:t>Но</w:t>
      </w:r>
      <w:r>
        <w:rPr>
          <w:i/>
          <w:color w:val="231F20"/>
          <w:spacing w:val="-2"/>
          <w:sz w:val="20"/>
        </w:rPr>
        <w:t> </w:t>
      </w:r>
      <w:r>
        <w:rPr>
          <w:i/>
          <w:color w:val="231F20"/>
          <w:sz w:val="20"/>
        </w:rPr>
        <w:t>Мама</w:t>
      </w:r>
      <w:r>
        <w:rPr>
          <w:i/>
          <w:color w:val="231F20"/>
          <w:spacing w:val="-2"/>
          <w:sz w:val="20"/>
        </w:rPr>
        <w:t> </w:t>
      </w:r>
      <w:r>
        <w:rPr>
          <w:i/>
          <w:color w:val="231F20"/>
          <w:sz w:val="20"/>
        </w:rPr>
        <w:t>им</w:t>
      </w:r>
      <w:r>
        <w:rPr>
          <w:i/>
          <w:color w:val="231F20"/>
          <w:spacing w:val="-2"/>
          <w:sz w:val="20"/>
        </w:rPr>
        <w:t> </w:t>
      </w:r>
      <w:r>
        <w:rPr>
          <w:i/>
          <w:color w:val="231F20"/>
          <w:sz w:val="20"/>
        </w:rPr>
        <w:t>не</w:t>
      </w:r>
      <w:r>
        <w:rPr>
          <w:i/>
          <w:color w:val="231F20"/>
          <w:spacing w:val="-2"/>
          <w:sz w:val="20"/>
        </w:rPr>
        <w:t> </w:t>
      </w:r>
      <w:r>
        <w:rPr>
          <w:i/>
          <w:color w:val="231F20"/>
          <w:sz w:val="20"/>
        </w:rPr>
        <w:t>разрешала,</w:t>
      </w:r>
      <w:r>
        <w:rPr>
          <w:i/>
          <w:color w:val="231F20"/>
          <w:spacing w:val="-2"/>
          <w:sz w:val="20"/>
        </w:rPr>
        <w:t> </w:t>
      </w:r>
      <w:r>
        <w:rPr>
          <w:i/>
          <w:color w:val="231F20"/>
          <w:sz w:val="20"/>
        </w:rPr>
        <w:t>а</w:t>
      </w:r>
      <w:r>
        <w:rPr>
          <w:i/>
          <w:color w:val="231F20"/>
          <w:spacing w:val="-2"/>
          <w:sz w:val="20"/>
        </w:rPr>
        <w:t> </w:t>
      </w:r>
      <w:r>
        <w:rPr>
          <w:i/>
          <w:color w:val="231F20"/>
          <w:sz w:val="20"/>
        </w:rPr>
        <w:t>они не слушались ее и все равно кричали. Ведь им хотелось кричать – что же делать? Но наушников не было, и договор мог разрушиться. «Что же делать?» – подумала Мама.</w:t>
      </w:r>
      <w:r>
        <w:rPr>
          <w:i/>
          <w:color w:val="231F20"/>
          <w:spacing w:val="12"/>
          <w:sz w:val="20"/>
        </w:rPr>
        <w:t> </w:t>
      </w:r>
      <w:r>
        <w:rPr>
          <w:i/>
          <w:color w:val="231F20"/>
          <w:sz w:val="20"/>
        </w:rPr>
        <w:t>Про</w:t>
      </w:r>
      <w:r>
        <w:rPr>
          <w:i/>
          <w:color w:val="231F20"/>
          <w:spacing w:val="12"/>
          <w:sz w:val="20"/>
        </w:rPr>
        <w:t> </w:t>
      </w:r>
      <w:r>
        <w:rPr>
          <w:i/>
          <w:color w:val="231F20"/>
          <w:sz w:val="20"/>
        </w:rPr>
        <w:t>это</w:t>
      </w:r>
      <w:r>
        <w:rPr>
          <w:i/>
          <w:color w:val="231F20"/>
          <w:spacing w:val="12"/>
          <w:sz w:val="20"/>
        </w:rPr>
        <w:t> </w:t>
      </w:r>
      <w:r>
        <w:rPr>
          <w:i/>
          <w:color w:val="231F20"/>
          <w:sz w:val="20"/>
        </w:rPr>
        <w:t>узнал</w:t>
      </w:r>
      <w:r>
        <w:rPr>
          <w:i/>
          <w:color w:val="231F20"/>
          <w:spacing w:val="12"/>
          <w:sz w:val="20"/>
        </w:rPr>
        <w:t> </w:t>
      </w:r>
      <w:r>
        <w:rPr>
          <w:i/>
          <w:color w:val="231F20"/>
          <w:sz w:val="20"/>
        </w:rPr>
        <w:t>Человек-паук.</w:t>
      </w:r>
      <w:r>
        <w:rPr>
          <w:i/>
          <w:color w:val="231F20"/>
          <w:spacing w:val="12"/>
          <w:sz w:val="20"/>
        </w:rPr>
        <w:t> </w:t>
      </w:r>
      <w:r>
        <w:rPr>
          <w:i/>
          <w:color w:val="231F20"/>
          <w:sz w:val="20"/>
        </w:rPr>
        <w:t>Он</w:t>
      </w:r>
      <w:r>
        <w:rPr>
          <w:i/>
          <w:color w:val="231F20"/>
          <w:spacing w:val="12"/>
          <w:sz w:val="20"/>
        </w:rPr>
        <w:t> </w:t>
      </w:r>
      <w:r>
        <w:rPr>
          <w:i/>
          <w:color w:val="231F20"/>
          <w:sz w:val="20"/>
        </w:rPr>
        <w:t>встретился</w:t>
      </w:r>
      <w:r>
        <w:rPr>
          <w:i/>
          <w:color w:val="231F20"/>
          <w:spacing w:val="13"/>
          <w:sz w:val="20"/>
        </w:rPr>
        <w:t> </w:t>
      </w:r>
      <w:r>
        <w:rPr>
          <w:i/>
          <w:color w:val="231F20"/>
          <w:sz w:val="20"/>
        </w:rPr>
        <w:t>с</w:t>
      </w:r>
      <w:r>
        <w:rPr>
          <w:i/>
          <w:color w:val="231F20"/>
          <w:spacing w:val="12"/>
          <w:sz w:val="20"/>
        </w:rPr>
        <w:t> </w:t>
      </w:r>
      <w:r>
        <w:rPr>
          <w:i/>
          <w:color w:val="231F20"/>
          <w:sz w:val="20"/>
        </w:rPr>
        <w:t>Мамой</w:t>
      </w:r>
      <w:r>
        <w:rPr>
          <w:i/>
          <w:color w:val="231F20"/>
          <w:spacing w:val="12"/>
          <w:sz w:val="20"/>
        </w:rPr>
        <w:t> </w:t>
      </w:r>
      <w:r>
        <w:rPr>
          <w:i/>
          <w:color w:val="231F20"/>
          <w:sz w:val="20"/>
        </w:rPr>
        <w:t>и</w:t>
      </w:r>
      <w:r>
        <w:rPr>
          <w:i/>
          <w:color w:val="231F20"/>
          <w:spacing w:val="12"/>
          <w:sz w:val="20"/>
        </w:rPr>
        <w:t> </w:t>
      </w:r>
      <w:r>
        <w:rPr>
          <w:i/>
          <w:color w:val="231F20"/>
          <w:sz w:val="20"/>
        </w:rPr>
        <w:t>стал</w:t>
      </w:r>
      <w:r>
        <w:rPr>
          <w:i/>
          <w:color w:val="231F20"/>
          <w:spacing w:val="12"/>
          <w:sz w:val="20"/>
        </w:rPr>
        <w:t> </w:t>
      </w:r>
      <w:r>
        <w:rPr>
          <w:i/>
          <w:color w:val="231F20"/>
          <w:spacing w:val="-2"/>
          <w:sz w:val="20"/>
        </w:rPr>
        <w:t>советоваться.</w:t>
      </w:r>
    </w:p>
    <w:p>
      <w:pPr>
        <w:spacing w:after="0" w:line="235" w:lineRule="auto"/>
        <w:jc w:val="both"/>
        <w:rPr>
          <w:i/>
          <w:sz w:val="20"/>
        </w:rPr>
        <w:sectPr>
          <w:pgSz w:w="8400" w:h="11910"/>
          <w:pgMar w:header="0" w:footer="529" w:top="400" w:bottom="720" w:left="425" w:right="425"/>
        </w:sectPr>
      </w:pPr>
    </w:p>
    <w:p>
      <w:pPr>
        <w:pStyle w:val="ListParagraph"/>
        <w:numPr>
          <w:ilvl w:val="1"/>
          <w:numId w:val="221"/>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Метод</w:t>
      </w:r>
      <w:r>
        <w:rPr>
          <w:rFonts w:ascii="Georgia" w:hAnsi="Georgia"/>
          <w:color w:val="231F20"/>
          <w:spacing w:val="-6"/>
          <w:sz w:val="18"/>
        </w:rPr>
        <w:t> </w:t>
      </w:r>
      <w:r>
        <w:rPr>
          <w:rFonts w:ascii="Georgia" w:hAnsi="Georgia"/>
          <w:color w:val="231F20"/>
          <w:sz w:val="18"/>
        </w:rPr>
        <w:t>диалогического</w:t>
      </w:r>
      <w:r>
        <w:rPr>
          <w:rFonts w:ascii="Georgia" w:hAnsi="Georgia"/>
          <w:color w:val="231F20"/>
          <w:spacing w:val="-5"/>
          <w:sz w:val="18"/>
        </w:rPr>
        <w:t> </w:t>
      </w:r>
      <w:r>
        <w:rPr>
          <w:rFonts w:ascii="Georgia" w:hAnsi="Georgia"/>
          <w:color w:val="231F20"/>
          <w:sz w:val="18"/>
        </w:rPr>
        <w:t>рассказывания</w:t>
      </w:r>
      <w:r>
        <w:rPr>
          <w:rFonts w:ascii="Georgia" w:hAnsi="Georgia"/>
          <w:color w:val="231F20"/>
          <w:spacing w:val="-6"/>
          <w:sz w:val="18"/>
        </w:rPr>
        <w:t> </w:t>
      </w:r>
      <w:r>
        <w:rPr>
          <w:rFonts w:ascii="Georgia" w:hAnsi="Georgia"/>
          <w:color w:val="231F20"/>
          <w:sz w:val="18"/>
        </w:rPr>
        <w:t>историй:</w:t>
      </w:r>
      <w:r>
        <w:rPr>
          <w:rFonts w:ascii="Georgia" w:hAnsi="Georgia"/>
          <w:color w:val="231F20"/>
          <w:spacing w:val="-5"/>
          <w:sz w:val="18"/>
        </w:rPr>
        <w:t> </w:t>
      </w:r>
      <w:r>
        <w:rPr>
          <w:rFonts w:ascii="Georgia" w:hAnsi="Georgia"/>
          <w:color w:val="231F20"/>
          <w:sz w:val="18"/>
        </w:rPr>
        <w:t>методическое</w:t>
      </w:r>
      <w:r>
        <w:rPr>
          <w:rFonts w:ascii="Georgia" w:hAnsi="Georgia"/>
          <w:color w:val="231F20"/>
          <w:spacing w:val="-5"/>
          <w:sz w:val="18"/>
        </w:rPr>
        <w:t> </w:t>
      </w:r>
      <w:r>
        <w:rPr>
          <w:rFonts w:ascii="Georgia" w:hAnsi="Georgia"/>
          <w:color w:val="231F20"/>
          <w:spacing w:val="-2"/>
          <w:sz w:val="18"/>
        </w:rPr>
        <w:t>руководство</w:t>
      </w:r>
    </w:p>
    <w:p>
      <w:pPr>
        <w:spacing w:line="235" w:lineRule="auto" w:before="116"/>
        <w:ind w:left="141" w:right="139" w:firstLine="0"/>
        <w:jc w:val="both"/>
        <w:rPr>
          <w:i/>
          <w:sz w:val="20"/>
        </w:rPr>
      </w:pPr>
      <w:r>
        <w:rPr>
          <w:i/>
          <w:color w:val="231F20"/>
          <w:sz w:val="20"/>
        </w:rPr>
        <w:t>Они думали так: «Дети не могут не кричать. Они маленькие, они всегда кричат.</w:t>
      </w:r>
      <w:r>
        <w:rPr>
          <w:i/>
          <w:color w:val="231F20"/>
          <w:spacing w:val="40"/>
          <w:sz w:val="20"/>
        </w:rPr>
        <w:t> </w:t>
      </w:r>
      <w:r>
        <w:rPr>
          <w:i/>
          <w:color w:val="231F20"/>
          <w:sz w:val="20"/>
        </w:rPr>
        <w:t>Но</w:t>
      </w:r>
      <w:r>
        <w:rPr>
          <w:i/>
          <w:color w:val="231F20"/>
          <w:spacing w:val="-1"/>
          <w:sz w:val="20"/>
        </w:rPr>
        <w:t> </w:t>
      </w:r>
      <w:r>
        <w:rPr>
          <w:i/>
          <w:color w:val="231F20"/>
          <w:sz w:val="20"/>
        </w:rPr>
        <w:t>люди</w:t>
      </w:r>
      <w:r>
        <w:rPr>
          <w:i/>
          <w:color w:val="231F20"/>
          <w:spacing w:val="-1"/>
          <w:sz w:val="20"/>
        </w:rPr>
        <w:t> </w:t>
      </w:r>
      <w:r>
        <w:rPr>
          <w:i/>
          <w:color w:val="231F20"/>
          <w:sz w:val="20"/>
        </w:rPr>
        <w:t>тоже</w:t>
      </w:r>
      <w:r>
        <w:rPr>
          <w:i/>
          <w:color w:val="231F20"/>
          <w:spacing w:val="-1"/>
          <w:sz w:val="20"/>
        </w:rPr>
        <w:t> </w:t>
      </w:r>
      <w:r>
        <w:rPr>
          <w:i/>
          <w:color w:val="231F20"/>
          <w:sz w:val="20"/>
        </w:rPr>
        <w:t>не</w:t>
      </w:r>
      <w:r>
        <w:rPr>
          <w:i/>
          <w:color w:val="231F20"/>
          <w:spacing w:val="-1"/>
          <w:sz w:val="20"/>
        </w:rPr>
        <w:t> </w:t>
      </w:r>
      <w:r>
        <w:rPr>
          <w:i/>
          <w:color w:val="231F20"/>
          <w:sz w:val="20"/>
        </w:rPr>
        <w:t>могут</w:t>
      </w:r>
      <w:r>
        <w:rPr>
          <w:i/>
          <w:color w:val="231F20"/>
          <w:spacing w:val="-2"/>
          <w:sz w:val="20"/>
        </w:rPr>
        <w:t> </w:t>
      </w:r>
      <w:r>
        <w:rPr>
          <w:i/>
          <w:color w:val="231F20"/>
          <w:sz w:val="20"/>
        </w:rPr>
        <w:t>так</w:t>
      </w:r>
      <w:r>
        <w:rPr>
          <w:i/>
          <w:color w:val="231F20"/>
          <w:spacing w:val="-1"/>
          <w:sz w:val="20"/>
        </w:rPr>
        <w:t> </w:t>
      </w:r>
      <w:r>
        <w:rPr>
          <w:i/>
          <w:color w:val="231F20"/>
          <w:sz w:val="20"/>
        </w:rPr>
        <w:t>жить.</w:t>
      </w:r>
      <w:r>
        <w:rPr>
          <w:i/>
          <w:color w:val="231F20"/>
          <w:spacing w:val="-1"/>
          <w:sz w:val="20"/>
        </w:rPr>
        <w:t> </w:t>
      </w:r>
      <w:r>
        <w:rPr>
          <w:i/>
          <w:color w:val="231F20"/>
          <w:sz w:val="20"/>
        </w:rPr>
        <w:t>А</w:t>
      </w:r>
      <w:r>
        <w:rPr>
          <w:i/>
          <w:color w:val="231F20"/>
          <w:spacing w:val="-1"/>
          <w:sz w:val="20"/>
        </w:rPr>
        <w:t> </w:t>
      </w:r>
      <w:r>
        <w:rPr>
          <w:i/>
          <w:color w:val="231F20"/>
          <w:sz w:val="20"/>
        </w:rPr>
        <w:t>наушников</w:t>
      </w:r>
      <w:r>
        <w:rPr>
          <w:i/>
          <w:color w:val="231F20"/>
          <w:spacing w:val="-1"/>
          <w:sz w:val="20"/>
        </w:rPr>
        <w:t> </w:t>
      </w:r>
      <w:r>
        <w:rPr>
          <w:i/>
          <w:color w:val="231F20"/>
          <w:sz w:val="20"/>
        </w:rPr>
        <w:t>нету.</w:t>
      </w:r>
      <w:r>
        <w:rPr>
          <w:i/>
          <w:color w:val="231F20"/>
          <w:spacing w:val="-1"/>
          <w:sz w:val="20"/>
        </w:rPr>
        <w:t> </w:t>
      </w:r>
      <w:r>
        <w:rPr>
          <w:i/>
          <w:color w:val="231F20"/>
          <w:sz w:val="20"/>
        </w:rPr>
        <w:t>Что</w:t>
      </w:r>
      <w:r>
        <w:rPr>
          <w:i/>
          <w:color w:val="231F20"/>
          <w:spacing w:val="-1"/>
          <w:sz w:val="20"/>
        </w:rPr>
        <w:t> </w:t>
      </w:r>
      <w:r>
        <w:rPr>
          <w:i/>
          <w:color w:val="231F20"/>
          <w:sz w:val="20"/>
        </w:rPr>
        <w:t>делать?»</w:t>
      </w:r>
      <w:r>
        <w:rPr>
          <w:i/>
          <w:color w:val="231F20"/>
          <w:spacing w:val="-1"/>
          <w:sz w:val="20"/>
        </w:rPr>
        <w:t> </w:t>
      </w:r>
      <w:r>
        <w:rPr>
          <w:i/>
          <w:color w:val="231F20"/>
          <w:sz w:val="20"/>
        </w:rPr>
        <w:t>И</w:t>
      </w:r>
      <w:r>
        <w:rPr>
          <w:i/>
          <w:color w:val="231F20"/>
          <w:spacing w:val="-2"/>
          <w:sz w:val="20"/>
        </w:rPr>
        <w:t> </w:t>
      </w:r>
      <w:r>
        <w:rPr>
          <w:i/>
          <w:color w:val="231F20"/>
          <w:sz w:val="20"/>
        </w:rPr>
        <w:t>придумали они – пока наушников нету, надо дать этим детям какой-нибудь вкусной еды, раз- влечь,</w:t>
      </w:r>
      <w:r>
        <w:rPr>
          <w:i/>
          <w:color w:val="231F20"/>
          <w:spacing w:val="-2"/>
          <w:sz w:val="20"/>
        </w:rPr>
        <w:t> </w:t>
      </w:r>
      <w:r>
        <w:rPr>
          <w:i/>
          <w:color w:val="231F20"/>
          <w:sz w:val="20"/>
        </w:rPr>
        <w:t>поиграть</w:t>
      </w:r>
      <w:r>
        <w:rPr>
          <w:i/>
          <w:color w:val="231F20"/>
          <w:spacing w:val="-2"/>
          <w:sz w:val="20"/>
        </w:rPr>
        <w:t> </w:t>
      </w:r>
      <w:r>
        <w:rPr>
          <w:i/>
          <w:color w:val="231F20"/>
          <w:sz w:val="20"/>
        </w:rPr>
        <w:t>с</w:t>
      </w:r>
      <w:r>
        <w:rPr>
          <w:i/>
          <w:color w:val="231F20"/>
          <w:spacing w:val="-2"/>
          <w:sz w:val="20"/>
        </w:rPr>
        <w:t> </w:t>
      </w:r>
      <w:r>
        <w:rPr>
          <w:i/>
          <w:color w:val="231F20"/>
          <w:sz w:val="20"/>
        </w:rPr>
        <w:t>ними,</w:t>
      </w:r>
      <w:r>
        <w:rPr>
          <w:i/>
          <w:color w:val="231F20"/>
          <w:spacing w:val="-2"/>
          <w:sz w:val="20"/>
        </w:rPr>
        <w:t> </w:t>
      </w:r>
      <w:r>
        <w:rPr>
          <w:i/>
          <w:color w:val="231F20"/>
          <w:sz w:val="20"/>
        </w:rPr>
        <w:t>чтобы</w:t>
      </w:r>
      <w:r>
        <w:rPr>
          <w:i/>
          <w:color w:val="231F20"/>
          <w:spacing w:val="-2"/>
          <w:sz w:val="20"/>
        </w:rPr>
        <w:t> </w:t>
      </w:r>
      <w:r>
        <w:rPr>
          <w:i/>
          <w:color w:val="231F20"/>
          <w:sz w:val="20"/>
        </w:rPr>
        <w:t>они</w:t>
      </w:r>
      <w:r>
        <w:rPr>
          <w:i/>
          <w:color w:val="231F20"/>
          <w:spacing w:val="-2"/>
          <w:sz w:val="20"/>
        </w:rPr>
        <w:t> </w:t>
      </w:r>
      <w:r>
        <w:rPr>
          <w:i/>
          <w:color w:val="231F20"/>
          <w:sz w:val="20"/>
        </w:rPr>
        <w:t>развеселились</w:t>
      </w:r>
      <w:r>
        <w:rPr>
          <w:i/>
          <w:color w:val="231F20"/>
          <w:spacing w:val="-2"/>
          <w:sz w:val="20"/>
        </w:rPr>
        <w:t> </w:t>
      </w:r>
      <w:r>
        <w:rPr>
          <w:i/>
          <w:color w:val="231F20"/>
          <w:sz w:val="20"/>
        </w:rPr>
        <w:t>и</w:t>
      </w:r>
      <w:r>
        <w:rPr>
          <w:i/>
          <w:color w:val="231F20"/>
          <w:spacing w:val="-2"/>
          <w:sz w:val="20"/>
        </w:rPr>
        <w:t> </w:t>
      </w:r>
      <w:r>
        <w:rPr>
          <w:i/>
          <w:color w:val="231F20"/>
          <w:sz w:val="20"/>
        </w:rPr>
        <w:t>пока</w:t>
      </w:r>
      <w:r>
        <w:rPr>
          <w:i/>
          <w:color w:val="231F20"/>
          <w:spacing w:val="-2"/>
          <w:sz w:val="20"/>
        </w:rPr>
        <w:t> </w:t>
      </w:r>
      <w:r>
        <w:rPr>
          <w:i/>
          <w:color w:val="231F20"/>
          <w:sz w:val="20"/>
        </w:rPr>
        <w:t>не</w:t>
      </w:r>
      <w:r>
        <w:rPr>
          <w:i/>
          <w:color w:val="231F20"/>
          <w:spacing w:val="-2"/>
          <w:sz w:val="20"/>
        </w:rPr>
        <w:t> </w:t>
      </w:r>
      <w:r>
        <w:rPr>
          <w:i/>
          <w:color w:val="231F20"/>
          <w:sz w:val="20"/>
        </w:rPr>
        <w:t>кричали</w:t>
      </w:r>
      <w:r>
        <w:rPr>
          <w:i/>
          <w:color w:val="231F20"/>
          <w:spacing w:val="-2"/>
          <w:sz w:val="20"/>
        </w:rPr>
        <w:t> </w:t>
      </w:r>
      <w:r>
        <w:rPr>
          <w:i/>
          <w:color w:val="231F20"/>
          <w:sz w:val="20"/>
        </w:rPr>
        <w:t>какое-то</w:t>
      </w:r>
      <w:r>
        <w:rPr>
          <w:i/>
          <w:color w:val="231F20"/>
          <w:spacing w:val="-2"/>
          <w:sz w:val="20"/>
        </w:rPr>
        <w:t> </w:t>
      </w:r>
      <w:r>
        <w:rPr>
          <w:i/>
          <w:color w:val="231F20"/>
          <w:sz w:val="20"/>
        </w:rPr>
        <w:t>время; сделать этим детям что-нибудь приятное, то, что им нравится. А Мама </w:t>
      </w:r>
      <w:r>
        <w:rPr>
          <w:i/>
          <w:color w:val="231F20"/>
          <w:spacing w:val="-2"/>
          <w:sz w:val="20"/>
        </w:rPr>
        <w:t>говорит:</w:t>
      </w:r>
    </w:p>
    <w:p>
      <w:pPr>
        <w:spacing w:line="235" w:lineRule="auto" w:before="3"/>
        <w:ind w:left="141" w:right="139" w:firstLine="0"/>
        <w:jc w:val="both"/>
        <w:rPr>
          <w:i/>
          <w:sz w:val="20"/>
        </w:rPr>
      </w:pPr>
      <w:r>
        <w:rPr>
          <w:i/>
          <w:color w:val="231F20"/>
          <w:sz w:val="20"/>
        </w:rPr>
        <w:t>«Я не знаю, как еду покупать». Человек-паук отвечает: «Не проблема, я тебя нау- чу». Он научил ее, как в магазин ходить и еду покупать. И они поделились деньгами, поровну</w:t>
      </w:r>
      <w:r>
        <w:rPr>
          <w:i/>
          <w:color w:val="231F20"/>
          <w:spacing w:val="-7"/>
          <w:sz w:val="20"/>
        </w:rPr>
        <w:t> </w:t>
      </w:r>
      <w:r>
        <w:rPr>
          <w:i/>
          <w:color w:val="231F20"/>
          <w:sz w:val="20"/>
        </w:rPr>
        <w:t>их</w:t>
      </w:r>
      <w:r>
        <w:rPr>
          <w:i/>
          <w:color w:val="231F20"/>
          <w:spacing w:val="-7"/>
          <w:sz w:val="20"/>
        </w:rPr>
        <w:t> </w:t>
      </w:r>
      <w:r>
        <w:rPr>
          <w:i/>
          <w:color w:val="231F20"/>
          <w:sz w:val="20"/>
        </w:rPr>
        <w:t>разделили.</w:t>
      </w:r>
      <w:r>
        <w:rPr>
          <w:i/>
          <w:color w:val="231F20"/>
          <w:spacing w:val="-7"/>
          <w:sz w:val="20"/>
        </w:rPr>
        <w:t> </w:t>
      </w:r>
      <w:r>
        <w:rPr>
          <w:i/>
          <w:color w:val="231F20"/>
          <w:sz w:val="20"/>
        </w:rPr>
        <w:t>То</w:t>
      </w:r>
      <w:r>
        <w:rPr>
          <w:i/>
          <w:color w:val="231F20"/>
          <w:spacing w:val="-7"/>
          <w:sz w:val="20"/>
        </w:rPr>
        <w:t> </w:t>
      </w:r>
      <w:r>
        <w:rPr>
          <w:i/>
          <w:color w:val="231F20"/>
          <w:sz w:val="20"/>
        </w:rPr>
        <w:t>Человек-паук</w:t>
      </w:r>
      <w:r>
        <w:rPr>
          <w:i/>
          <w:color w:val="231F20"/>
          <w:spacing w:val="-7"/>
          <w:sz w:val="20"/>
        </w:rPr>
        <w:t> </w:t>
      </w:r>
      <w:r>
        <w:rPr>
          <w:i/>
          <w:color w:val="231F20"/>
          <w:sz w:val="20"/>
        </w:rPr>
        <w:t>поиграет</w:t>
      </w:r>
      <w:r>
        <w:rPr>
          <w:i/>
          <w:color w:val="231F20"/>
          <w:spacing w:val="-7"/>
          <w:sz w:val="20"/>
        </w:rPr>
        <w:t> </w:t>
      </w:r>
      <w:r>
        <w:rPr>
          <w:i/>
          <w:color w:val="231F20"/>
          <w:sz w:val="20"/>
        </w:rPr>
        <w:t>с</w:t>
      </w:r>
      <w:r>
        <w:rPr>
          <w:i/>
          <w:color w:val="231F20"/>
          <w:spacing w:val="-7"/>
          <w:sz w:val="20"/>
        </w:rPr>
        <w:t> </w:t>
      </w:r>
      <w:r>
        <w:rPr>
          <w:i/>
          <w:color w:val="231F20"/>
          <w:sz w:val="20"/>
        </w:rPr>
        <w:t>детьми,</w:t>
      </w:r>
      <w:r>
        <w:rPr>
          <w:i/>
          <w:color w:val="231F20"/>
          <w:spacing w:val="-7"/>
          <w:sz w:val="20"/>
        </w:rPr>
        <w:t> </w:t>
      </w:r>
      <w:r>
        <w:rPr>
          <w:i/>
          <w:color w:val="231F20"/>
          <w:sz w:val="20"/>
        </w:rPr>
        <w:t>то</w:t>
      </w:r>
      <w:r>
        <w:rPr>
          <w:i/>
          <w:color w:val="231F20"/>
          <w:spacing w:val="-7"/>
          <w:sz w:val="20"/>
        </w:rPr>
        <w:t> </w:t>
      </w:r>
      <w:r>
        <w:rPr>
          <w:i/>
          <w:color w:val="231F20"/>
          <w:sz w:val="20"/>
        </w:rPr>
        <w:t>что-нибудь</w:t>
      </w:r>
      <w:r>
        <w:rPr>
          <w:i/>
          <w:color w:val="231F20"/>
          <w:spacing w:val="-7"/>
          <w:sz w:val="20"/>
        </w:rPr>
        <w:t> </w:t>
      </w:r>
      <w:r>
        <w:rPr>
          <w:i/>
          <w:color w:val="231F20"/>
          <w:sz w:val="20"/>
        </w:rPr>
        <w:t>купит.</w:t>
      </w:r>
      <w:r>
        <w:rPr>
          <w:i/>
          <w:color w:val="231F20"/>
          <w:spacing w:val="-7"/>
          <w:sz w:val="20"/>
        </w:rPr>
        <w:t> </w:t>
      </w:r>
      <w:r>
        <w:rPr>
          <w:i/>
          <w:color w:val="231F20"/>
          <w:sz w:val="20"/>
        </w:rPr>
        <w:t>Он устанет – Мама-монстр поиграет и повеселит детей. Они сами даже не захотели кричать, потому что забыли про это. И вот, наконец, наступило время, когда поя- вились наушники. Человек-паук их раздал всем, и тут уж никаких проблем не было: дети</w:t>
      </w:r>
      <w:r>
        <w:rPr>
          <w:i/>
          <w:color w:val="231F20"/>
          <w:spacing w:val="-13"/>
          <w:sz w:val="20"/>
        </w:rPr>
        <w:t> </w:t>
      </w:r>
      <w:r>
        <w:rPr>
          <w:i/>
          <w:color w:val="231F20"/>
          <w:sz w:val="20"/>
        </w:rPr>
        <w:t>смогли</w:t>
      </w:r>
      <w:r>
        <w:rPr>
          <w:i/>
          <w:color w:val="231F20"/>
          <w:spacing w:val="-12"/>
          <w:sz w:val="20"/>
        </w:rPr>
        <w:t> </w:t>
      </w:r>
      <w:r>
        <w:rPr>
          <w:i/>
          <w:color w:val="231F20"/>
          <w:sz w:val="20"/>
        </w:rPr>
        <w:t>кричать,</w:t>
      </w:r>
      <w:r>
        <w:rPr>
          <w:i/>
          <w:color w:val="231F20"/>
          <w:spacing w:val="-13"/>
          <w:sz w:val="20"/>
        </w:rPr>
        <w:t> </w:t>
      </w:r>
      <w:r>
        <w:rPr>
          <w:i/>
          <w:color w:val="231F20"/>
          <w:sz w:val="20"/>
        </w:rPr>
        <w:t>сколько</w:t>
      </w:r>
      <w:r>
        <w:rPr>
          <w:i/>
          <w:color w:val="231F20"/>
          <w:spacing w:val="-12"/>
          <w:sz w:val="20"/>
        </w:rPr>
        <w:t> </w:t>
      </w:r>
      <w:r>
        <w:rPr>
          <w:i/>
          <w:color w:val="231F20"/>
          <w:sz w:val="20"/>
        </w:rPr>
        <w:t>вздумается</w:t>
      </w:r>
      <w:r>
        <w:rPr>
          <w:i/>
          <w:color w:val="231F20"/>
          <w:spacing w:val="-13"/>
          <w:sz w:val="20"/>
        </w:rPr>
        <w:t> </w:t>
      </w:r>
      <w:r>
        <w:rPr>
          <w:i/>
          <w:color w:val="231F20"/>
          <w:sz w:val="20"/>
        </w:rPr>
        <w:t>–</w:t>
      </w:r>
      <w:r>
        <w:rPr>
          <w:i/>
          <w:color w:val="231F20"/>
          <w:spacing w:val="-12"/>
          <w:sz w:val="20"/>
        </w:rPr>
        <w:t> </w:t>
      </w:r>
      <w:r>
        <w:rPr>
          <w:i/>
          <w:color w:val="231F20"/>
          <w:sz w:val="20"/>
        </w:rPr>
        <w:t>Мама-монстр</w:t>
      </w:r>
      <w:r>
        <w:rPr>
          <w:i/>
          <w:color w:val="231F20"/>
          <w:spacing w:val="-13"/>
          <w:sz w:val="20"/>
        </w:rPr>
        <w:t> </w:t>
      </w:r>
      <w:r>
        <w:rPr>
          <w:i/>
          <w:color w:val="231F20"/>
          <w:sz w:val="20"/>
        </w:rPr>
        <w:t>позвонила</w:t>
      </w:r>
      <w:r>
        <w:rPr>
          <w:i/>
          <w:color w:val="231F20"/>
          <w:spacing w:val="-12"/>
          <w:sz w:val="20"/>
        </w:rPr>
        <w:t> </w:t>
      </w:r>
      <w:r>
        <w:rPr>
          <w:i/>
          <w:color w:val="231F20"/>
          <w:sz w:val="20"/>
        </w:rPr>
        <w:t>бы,</w:t>
      </w:r>
      <w:r>
        <w:rPr>
          <w:i/>
          <w:color w:val="231F20"/>
          <w:spacing w:val="-13"/>
          <w:sz w:val="20"/>
        </w:rPr>
        <w:t> </w:t>
      </w:r>
      <w:r>
        <w:rPr>
          <w:i/>
          <w:color w:val="231F20"/>
          <w:sz w:val="20"/>
        </w:rPr>
        <w:t>и</w:t>
      </w:r>
      <w:r>
        <w:rPr>
          <w:i/>
          <w:color w:val="231F20"/>
          <w:spacing w:val="-12"/>
          <w:sz w:val="20"/>
        </w:rPr>
        <w:t> </w:t>
      </w:r>
      <w:r>
        <w:rPr>
          <w:i/>
          <w:color w:val="231F20"/>
          <w:sz w:val="20"/>
        </w:rPr>
        <w:t>все</w:t>
      </w:r>
      <w:r>
        <w:rPr>
          <w:i/>
          <w:color w:val="231F20"/>
          <w:spacing w:val="-13"/>
          <w:sz w:val="20"/>
        </w:rPr>
        <w:t> </w:t>
      </w:r>
      <w:r>
        <w:rPr>
          <w:i/>
          <w:color w:val="231F20"/>
          <w:sz w:val="20"/>
        </w:rPr>
        <w:t>надели бы наушники. Вот так они жили хорошо и счастливо, но вдруг на их страну напали инопланетяне,</w:t>
      </w:r>
      <w:r>
        <w:rPr>
          <w:i/>
          <w:color w:val="231F20"/>
          <w:spacing w:val="-4"/>
          <w:sz w:val="20"/>
        </w:rPr>
        <w:t> </w:t>
      </w:r>
      <w:r>
        <w:rPr>
          <w:i/>
          <w:color w:val="231F20"/>
          <w:sz w:val="20"/>
        </w:rPr>
        <w:t>чудовища</w:t>
      </w:r>
      <w:r>
        <w:rPr>
          <w:i/>
          <w:color w:val="231F20"/>
          <w:spacing w:val="-4"/>
          <w:sz w:val="20"/>
        </w:rPr>
        <w:t> </w:t>
      </w:r>
      <w:r>
        <w:rPr>
          <w:i/>
          <w:color w:val="231F20"/>
          <w:sz w:val="20"/>
        </w:rPr>
        <w:t>из</w:t>
      </w:r>
      <w:r>
        <w:rPr>
          <w:i/>
          <w:color w:val="231F20"/>
          <w:spacing w:val="-4"/>
          <w:sz w:val="20"/>
        </w:rPr>
        <w:t> </w:t>
      </w:r>
      <w:r>
        <w:rPr>
          <w:i/>
          <w:color w:val="231F20"/>
          <w:sz w:val="20"/>
        </w:rPr>
        <w:t>другой</w:t>
      </w:r>
      <w:r>
        <w:rPr>
          <w:i/>
          <w:color w:val="231F20"/>
          <w:spacing w:val="-4"/>
          <w:sz w:val="20"/>
        </w:rPr>
        <w:t> </w:t>
      </w:r>
      <w:r>
        <w:rPr>
          <w:i/>
          <w:color w:val="231F20"/>
          <w:sz w:val="20"/>
        </w:rPr>
        <w:t>страны.</w:t>
      </w:r>
      <w:r>
        <w:rPr>
          <w:i/>
          <w:color w:val="231F20"/>
          <w:spacing w:val="-4"/>
          <w:sz w:val="20"/>
        </w:rPr>
        <w:t> </w:t>
      </w:r>
      <w:r>
        <w:rPr>
          <w:i/>
          <w:color w:val="231F20"/>
          <w:sz w:val="20"/>
        </w:rPr>
        <w:t>Они</w:t>
      </w:r>
      <w:r>
        <w:rPr>
          <w:i/>
          <w:color w:val="231F20"/>
          <w:spacing w:val="-4"/>
          <w:sz w:val="20"/>
        </w:rPr>
        <w:t> </w:t>
      </w:r>
      <w:r>
        <w:rPr>
          <w:i/>
          <w:color w:val="231F20"/>
          <w:sz w:val="20"/>
        </w:rPr>
        <w:t>уже</w:t>
      </w:r>
      <w:r>
        <w:rPr>
          <w:i/>
          <w:color w:val="231F20"/>
          <w:spacing w:val="-4"/>
          <w:sz w:val="20"/>
        </w:rPr>
        <w:t> </w:t>
      </w:r>
      <w:r>
        <w:rPr>
          <w:i/>
          <w:color w:val="231F20"/>
          <w:sz w:val="20"/>
        </w:rPr>
        <w:t>приближались</w:t>
      </w:r>
      <w:r>
        <w:rPr>
          <w:i/>
          <w:color w:val="231F20"/>
          <w:spacing w:val="-4"/>
          <w:sz w:val="20"/>
        </w:rPr>
        <w:t> </w:t>
      </w:r>
      <w:r>
        <w:rPr>
          <w:i/>
          <w:color w:val="231F20"/>
          <w:sz w:val="20"/>
        </w:rPr>
        <w:t>к</w:t>
      </w:r>
      <w:r>
        <w:rPr>
          <w:i/>
          <w:color w:val="231F20"/>
          <w:spacing w:val="-4"/>
          <w:sz w:val="20"/>
        </w:rPr>
        <w:t> </w:t>
      </w:r>
      <w:r>
        <w:rPr>
          <w:i/>
          <w:color w:val="231F20"/>
          <w:sz w:val="20"/>
        </w:rPr>
        <w:t>границе,</w:t>
      </w:r>
      <w:r>
        <w:rPr>
          <w:i/>
          <w:color w:val="231F20"/>
          <w:spacing w:val="-4"/>
          <w:sz w:val="20"/>
        </w:rPr>
        <w:t> </w:t>
      </w:r>
      <w:r>
        <w:rPr>
          <w:i/>
          <w:color w:val="231F20"/>
          <w:sz w:val="20"/>
        </w:rPr>
        <w:t>и</w:t>
      </w:r>
      <w:r>
        <w:rPr>
          <w:i/>
          <w:color w:val="231F20"/>
          <w:spacing w:val="-4"/>
          <w:sz w:val="20"/>
        </w:rPr>
        <w:t> </w:t>
      </w:r>
      <w:r>
        <w:rPr>
          <w:i/>
          <w:color w:val="231F20"/>
          <w:sz w:val="20"/>
        </w:rPr>
        <w:t>был слышен</w:t>
      </w:r>
      <w:r>
        <w:rPr>
          <w:i/>
          <w:color w:val="231F20"/>
          <w:spacing w:val="-13"/>
          <w:sz w:val="20"/>
        </w:rPr>
        <w:t> </w:t>
      </w:r>
      <w:r>
        <w:rPr>
          <w:i/>
          <w:color w:val="231F20"/>
          <w:sz w:val="20"/>
        </w:rPr>
        <w:t>их</w:t>
      </w:r>
      <w:r>
        <w:rPr>
          <w:i/>
          <w:color w:val="231F20"/>
          <w:spacing w:val="-12"/>
          <w:sz w:val="20"/>
        </w:rPr>
        <w:t> </w:t>
      </w:r>
      <w:r>
        <w:rPr>
          <w:i/>
          <w:color w:val="231F20"/>
          <w:sz w:val="20"/>
        </w:rPr>
        <w:t>топот.</w:t>
      </w:r>
      <w:r>
        <w:rPr>
          <w:i/>
          <w:color w:val="231F20"/>
          <w:spacing w:val="-13"/>
          <w:sz w:val="20"/>
        </w:rPr>
        <w:t> </w:t>
      </w:r>
      <w:r>
        <w:rPr>
          <w:i/>
          <w:color w:val="231F20"/>
          <w:sz w:val="20"/>
        </w:rPr>
        <w:t>Все</w:t>
      </w:r>
      <w:r>
        <w:rPr>
          <w:i/>
          <w:color w:val="231F20"/>
          <w:spacing w:val="-12"/>
          <w:sz w:val="20"/>
        </w:rPr>
        <w:t> </w:t>
      </w:r>
      <w:r>
        <w:rPr>
          <w:i/>
          <w:color w:val="231F20"/>
          <w:sz w:val="20"/>
        </w:rPr>
        <w:t>испугались:</w:t>
      </w:r>
      <w:r>
        <w:rPr>
          <w:i/>
          <w:color w:val="231F20"/>
          <w:spacing w:val="-13"/>
          <w:sz w:val="20"/>
        </w:rPr>
        <w:t> </w:t>
      </w:r>
      <w:r>
        <w:rPr>
          <w:i/>
          <w:color w:val="231F20"/>
          <w:sz w:val="20"/>
        </w:rPr>
        <w:t>«Что</w:t>
      </w:r>
      <w:r>
        <w:rPr>
          <w:i/>
          <w:color w:val="231F20"/>
          <w:spacing w:val="-12"/>
          <w:sz w:val="20"/>
        </w:rPr>
        <w:t> </w:t>
      </w:r>
      <w:r>
        <w:rPr>
          <w:i/>
          <w:color w:val="231F20"/>
          <w:sz w:val="20"/>
        </w:rPr>
        <w:t>же</w:t>
      </w:r>
      <w:r>
        <w:rPr>
          <w:i/>
          <w:color w:val="231F20"/>
          <w:spacing w:val="-13"/>
          <w:sz w:val="20"/>
        </w:rPr>
        <w:t> </w:t>
      </w:r>
      <w:r>
        <w:rPr>
          <w:i/>
          <w:color w:val="231F20"/>
          <w:sz w:val="20"/>
        </w:rPr>
        <w:t>делать?»</w:t>
      </w:r>
      <w:r>
        <w:rPr>
          <w:i/>
          <w:color w:val="231F20"/>
          <w:spacing w:val="-12"/>
          <w:sz w:val="20"/>
        </w:rPr>
        <w:t> </w:t>
      </w:r>
      <w:r>
        <w:rPr>
          <w:i/>
          <w:color w:val="231F20"/>
          <w:sz w:val="20"/>
        </w:rPr>
        <w:t>Мама-монстр</w:t>
      </w:r>
      <w:r>
        <w:rPr>
          <w:i/>
          <w:color w:val="231F20"/>
          <w:spacing w:val="-13"/>
          <w:sz w:val="20"/>
        </w:rPr>
        <w:t> </w:t>
      </w:r>
      <w:r>
        <w:rPr>
          <w:i/>
          <w:color w:val="231F20"/>
          <w:sz w:val="20"/>
        </w:rPr>
        <w:t>и</w:t>
      </w:r>
      <w:r>
        <w:rPr>
          <w:i/>
          <w:color w:val="231F20"/>
          <w:spacing w:val="-12"/>
          <w:sz w:val="20"/>
        </w:rPr>
        <w:t> </w:t>
      </w:r>
      <w:r>
        <w:rPr>
          <w:i/>
          <w:color w:val="231F20"/>
          <w:sz w:val="20"/>
        </w:rPr>
        <w:t>ее</w:t>
      </w:r>
      <w:r>
        <w:rPr>
          <w:i/>
          <w:color w:val="231F20"/>
          <w:spacing w:val="-13"/>
          <w:sz w:val="20"/>
        </w:rPr>
        <w:t> </w:t>
      </w:r>
      <w:r>
        <w:rPr>
          <w:i/>
          <w:color w:val="231F20"/>
          <w:sz w:val="20"/>
        </w:rPr>
        <w:t>дети</w:t>
      </w:r>
      <w:r>
        <w:rPr>
          <w:i/>
          <w:color w:val="231F20"/>
          <w:spacing w:val="-12"/>
          <w:sz w:val="20"/>
        </w:rPr>
        <w:t> </w:t>
      </w:r>
      <w:r>
        <w:rPr>
          <w:i/>
          <w:color w:val="231F20"/>
          <w:sz w:val="20"/>
        </w:rPr>
        <w:t>тоже очень</w:t>
      </w:r>
      <w:r>
        <w:rPr>
          <w:i/>
          <w:color w:val="231F20"/>
          <w:spacing w:val="-8"/>
          <w:sz w:val="20"/>
        </w:rPr>
        <w:t> </w:t>
      </w:r>
      <w:r>
        <w:rPr>
          <w:i/>
          <w:color w:val="231F20"/>
          <w:sz w:val="20"/>
        </w:rPr>
        <w:t>испугались</w:t>
      </w:r>
      <w:r>
        <w:rPr>
          <w:i/>
          <w:color w:val="231F20"/>
          <w:spacing w:val="-8"/>
          <w:sz w:val="20"/>
        </w:rPr>
        <w:t> </w:t>
      </w:r>
      <w:r>
        <w:rPr>
          <w:i/>
          <w:color w:val="231F20"/>
          <w:sz w:val="20"/>
        </w:rPr>
        <w:t>и</w:t>
      </w:r>
      <w:r>
        <w:rPr>
          <w:i/>
          <w:color w:val="231F20"/>
          <w:spacing w:val="-8"/>
          <w:sz w:val="20"/>
        </w:rPr>
        <w:t> </w:t>
      </w:r>
      <w:r>
        <w:rPr>
          <w:i/>
          <w:color w:val="231F20"/>
          <w:sz w:val="20"/>
        </w:rPr>
        <w:t>от</w:t>
      </w:r>
      <w:r>
        <w:rPr>
          <w:i/>
          <w:color w:val="231F20"/>
          <w:spacing w:val="-8"/>
          <w:sz w:val="20"/>
        </w:rPr>
        <w:t> </w:t>
      </w:r>
      <w:r>
        <w:rPr>
          <w:i/>
          <w:color w:val="231F20"/>
          <w:sz w:val="20"/>
        </w:rPr>
        <w:t>страха</w:t>
      </w:r>
      <w:r>
        <w:rPr>
          <w:i/>
          <w:color w:val="231F20"/>
          <w:spacing w:val="-8"/>
          <w:sz w:val="20"/>
        </w:rPr>
        <w:t> </w:t>
      </w:r>
      <w:r>
        <w:rPr>
          <w:i/>
          <w:color w:val="231F20"/>
          <w:sz w:val="20"/>
        </w:rPr>
        <w:t>закричали:</w:t>
      </w:r>
      <w:r>
        <w:rPr>
          <w:i/>
          <w:color w:val="231F20"/>
          <w:spacing w:val="-8"/>
          <w:sz w:val="20"/>
        </w:rPr>
        <w:t> </w:t>
      </w:r>
      <w:r>
        <w:rPr>
          <w:i/>
          <w:color w:val="231F20"/>
          <w:sz w:val="20"/>
        </w:rPr>
        <w:t>«У-а-а-а!»</w:t>
      </w:r>
      <w:r>
        <w:rPr>
          <w:i/>
          <w:color w:val="231F20"/>
          <w:spacing w:val="-8"/>
          <w:sz w:val="20"/>
        </w:rPr>
        <w:t> </w:t>
      </w:r>
      <w:r>
        <w:rPr>
          <w:i/>
          <w:color w:val="231F20"/>
          <w:sz w:val="20"/>
        </w:rPr>
        <w:t>И</w:t>
      </w:r>
      <w:r>
        <w:rPr>
          <w:i/>
          <w:color w:val="231F20"/>
          <w:spacing w:val="-8"/>
          <w:sz w:val="20"/>
        </w:rPr>
        <w:t> </w:t>
      </w:r>
      <w:r>
        <w:rPr>
          <w:i/>
          <w:color w:val="231F20"/>
          <w:sz w:val="20"/>
        </w:rPr>
        <w:t>мама,</w:t>
      </w:r>
      <w:r>
        <w:rPr>
          <w:i/>
          <w:color w:val="231F20"/>
          <w:spacing w:val="-8"/>
          <w:sz w:val="20"/>
        </w:rPr>
        <w:t> </w:t>
      </w:r>
      <w:r>
        <w:rPr>
          <w:i/>
          <w:color w:val="231F20"/>
          <w:sz w:val="20"/>
        </w:rPr>
        <w:t>и</w:t>
      </w:r>
      <w:r>
        <w:rPr>
          <w:i/>
          <w:color w:val="231F20"/>
          <w:spacing w:val="-8"/>
          <w:sz w:val="20"/>
        </w:rPr>
        <w:t> </w:t>
      </w:r>
      <w:r>
        <w:rPr>
          <w:i/>
          <w:color w:val="231F20"/>
          <w:sz w:val="20"/>
        </w:rPr>
        <w:t>дети</w:t>
      </w:r>
      <w:r>
        <w:rPr>
          <w:i/>
          <w:color w:val="231F20"/>
          <w:spacing w:val="-8"/>
          <w:sz w:val="20"/>
        </w:rPr>
        <w:t> </w:t>
      </w:r>
      <w:r>
        <w:rPr>
          <w:i/>
          <w:color w:val="231F20"/>
          <w:sz w:val="20"/>
        </w:rPr>
        <w:t>кричали</w:t>
      </w:r>
      <w:r>
        <w:rPr>
          <w:i/>
          <w:color w:val="231F20"/>
          <w:spacing w:val="-8"/>
          <w:sz w:val="20"/>
        </w:rPr>
        <w:t> </w:t>
      </w:r>
      <w:r>
        <w:rPr>
          <w:i/>
          <w:color w:val="231F20"/>
          <w:sz w:val="20"/>
        </w:rPr>
        <w:t>вместе. И случилось вот что – все вражеские монстры от этого крика разлетелись. После </w:t>
      </w:r>
      <w:r>
        <w:rPr>
          <w:i/>
          <w:color w:val="231F20"/>
          <w:spacing w:val="-2"/>
          <w:sz w:val="20"/>
        </w:rPr>
        <w:t>этого</w:t>
      </w:r>
      <w:r>
        <w:rPr>
          <w:i/>
          <w:color w:val="231F20"/>
          <w:spacing w:val="-10"/>
          <w:sz w:val="20"/>
        </w:rPr>
        <w:t> </w:t>
      </w:r>
      <w:r>
        <w:rPr>
          <w:i/>
          <w:color w:val="231F20"/>
          <w:spacing w:val="-2"/>
          <w:sz w:val="20"/>
        </w:rPr>
        <w:t>все</w:t>
      </w:r>
      <w:r>
        <w:rPr>
          <w:i/>
          <w:color w:val="231F20"/>
          <w:spacing w:val="-10"/>
          <w:sz w:val="20"/>
        </w:rPr>
        <w:t> </w:t>
      </w:r>
      <w:r>
        <w:rPr>
          <w:i/>
          <w:color w:val="231F20"/>
          <w:spacing w:val="-2"/>
          <w:sz w:val="20"/>
        </w:rPr>
        <w:t>устроили</w:t>
      </w:r>
      <w:r>
        <w:rPr>
          <w:i/>
          <w:color w:val="231F20"/>
          <w:spacing w:val="-10"/>
          <w:sz w:val="20"/>
        </w:rPr>
        <w:t> </w:t>
      </w:r>
      <w:r>
        <w:rPr>
          <w:i/>
          <w:color w:val="231F20"/>
          <w:spacing w:val="-2"/>
          <w:sz w:val="20"/>
        </w:rPr>
        <w:t>большой</w:t>
      </w:r>
      <w:r>
        <w:rPr>
          <w:i/>
          <w:color w:val="231F20"/>
          <w:spacing w:val="-10"/>
          <w:sz w:val="20"/>
        </w:rPr>
        <w:t> </w:t>
      </w:r>
      <w:r>
        <w:rPr>
          <w:i/>
          <w:color w:val="231F20"/>
          <w:spacing w:val="-2"/>
          <w:sz w:val="20"/>
        </w:rPr>
        <w:t>пир</w:t>
      </w:r>
      <w:r>
        <w:rPr>
          <w:i/>
          <w:color w:val="231F20"/>
          <w:spacing w:val="-10"/>
          <w:sz w:val="20"/>
        </w:rPr>
        <w:t> </w:t>
      </w:r>
      <w:r>
        <w:rPr>
          <w:i/>
          <w:color w:val="231F20"/>
          <w:spacing w:val="-2"/>
          <w:sz w:val="20"/>
        </w:rPr>
        <w:t>и</w:t>
      </w:r>
      <w:r>
        <w:rPr>
          <w:i/>
          <w:color w:val="231F20"/>
          <w:spacing w:val="-10"/>
          <w:sz w:val="20"/>
        </w:rPr>
        <w:t> </w:t>
      </w:r>
      <w:r>
        <w:rPr>
          <w:i/>
          <w:color w:val="231F20"/>
          <w:spacing w:val="-2"/>
          <w:sz w:val="20"/>
        </w:rPr>
        <w:t>хвалили</w:t>
      </w:r>
      <w:r>
        <w:rPr>
          <w:i/>
          <w:color w:val="231F20"/>
          <w:spacing w:val="-10"/>
          <w:sz w:val="20"/>
        </w:rPr>
        <w:t> </w:t>
      </w:r>
      <w:r>
        <w:rPr>
          <w:i/>
          <w:color w:val="231F20"/>
          <w:spacing w:val="-2"/>
          <w:sz w:val="20"/>
        </w:rPr>
        <w:t>Монстров.</w:t>
      </w:r>
      <w:r>
        <w:rPr>
          <w:i/>
          <w:color w:val="231F20"/>
          <w:spacing w:val="-10"/>
          <w:sz w:val="20"/>
        </w:rPr>
        <w:t> </w:t>
      </w:r>
      <w:r>
        <w:rPr>
          <w:i/>
          <w:color w:val="231F20"/>
          <w:spacing w:val="-2"/>
          <w:sz w:val="20"/>
        </w:rPr>
        <w:t>А</w:t>
      </w:r>
      <w:r>
        <w:rPr>
          <w:i/>
          <w:color w:val="231F20"/>
          <w:spacing w:val="-10"/>
          <w:sz w:val="20"/>
        </w:rPr>
        <w:t> </w:t>
      </w:r>
      <w:r>
        <w:rPr>
          <w:i/>
          <w:color w:val="231F20"/>
          <w:spacing w:val="-2"/>
          <w:sz w:val="20"/>
        </w:rPr>
        <w:t>Человек-паук</w:t>
      </w:r>
      <w:r>
        <w:rPr>
          <w:i/>
          <w:color w:val="231F20"/>
          <w:spacing w:val="-10"/>
          <w:sz w:val="20"/>
        </w:rPr>
        <w:t> </w:t>
      </w:r>
      <w:r>
        <w:rPr>
          <w:i/>
          <w:color w:val="231F20"/>
          <w:spacing w:val="-2"/>
          <w:sz w:val="20"/>
        </w:rPr>
        <w:t>думал</w:t>
      </w:r>
      <w:r>
        <w:rPr>
          <w:i/>
          <w:color w:val="231F20"/>
          <w:spacing w:val="-10"/>
          <w:sz w:val="20"/>
        </w:rPr>
        <w:t> </w:t>
      </w:r>
      <w:r>
        <w:rPr>
          <w:i/>
          <w:color w:val="231F20"/>
          <w:spacing w:val="-2"/>
          <w:sz w:val="20"/>
        </w:rPr>
        <w:t>о</w:t>
      </w:r>
      <w:r>
        <w:rPr>
          <w:i/>
          <w:color w:val="231F20"/>
          <w:spacing w:val="-10"/>
          <w:sz w:val="20"/>
        </w:rPr>
        <w:t> </w:t>
      </w:r>
      <w:r>
        <w:rPr>
          <w:i/>
          <w:color w:val="231F20"/>
          <w:spacing w:val="-2"/>
          <w:sz w:val="20"/>
        </w:rPr>
        <w:t>том,</w:t>
      </w:r>
      <w:r>
        <w:rPr>
          <w:i/>
          <w:color w:val="231F20"/>
          <w:spacing w:val="-10"/>
          <w:sz w:val="20"/>
        </w:rPr>
        <w:t> </w:t>
      </w:r>
      <w:r>
        <w:rPr>
          <w:i/>
          <w:color w:val="231F20"/>
          <w:spacing w:val="-2"/>
          <w:sz w:val="20"/>
        </w:rPr>
        <w:t>ка- </w:t>
      </w:r>
      <w:r>
        <w:rPr>
          <w:i/>
          <w:color w:val="231F20"/>
          <w:sz w:val="20"/>
        </w:rPr>
        <w:t>кой</w:t>
      </w:r>
      <w:r>
        <w:rPr>
          <w:i/>
          <w:color w:val="231F20"/>
          <w:spacing w:val="-12"/>
          <w:sz w:val="20"/>
        </w:rPr>
        <w:t> </w:t>
      </w:r>
      <w:r>
        <w:rPr>
          <w:i/>
          <w:color w:val="231F20"/>
          <w:sz w:val="20"/>
        </w:rPr>
        <w:t>же</w:t>
      </w:r>
      <w:r>
        <w:rPr>
          <w:i/>
          <w:color w:val="231F20"/>
          <w:spacing w:val="-11"/>
          <w:sz w:val="20"/>
        </w:rPr>
        <w:t> </w:t>
      </w:r>
      <w:r>
        <w:rPr>
          <w:i/>
          <w:color w:val="231F20"/>
          <w:sz w:val="20"/>
        </w:rPr>
        <w:t>он</w:t>
      </w:r>
      <w:r>
        <w:rPr>
          <w:i/>
          <w:color w:val="231F20"/>
          <w:spacing w:val="-11"/>
          <w:sz w:val="20"/>
        </w:rPr>
        <w:t> </w:t>
      </w:r>
      <w:r>
        <w:rPr>
          <w:i/>
          <w:color w:val="231F20"/>
          <w:sz w:val="20"/>
        </w:rPr>
        <w:t>молодец,</w:t>
      </w:r>
      <w:r>
        <w:rPr>
          <w:i/>
          <w:color w:val="231F20"/>
          <w:spacing w:val="-12"/>
          <w:sz w:val="20"/>
        </w:rPr>
        <w:t> </w:t>
      </w:r>
      <w:r>
        <w:rPr>
          <w:i/>
          <w:color w:val="231F20"/>
          <w:sz w:val="20"/>
        </w:rPr>
        <w:t>что</w:t>
      </w:r>
      <w:r>
        <w:rPr>
          <w:i/>
          <w:color w:val="231F20"/>
          <w:spacing w:val="-11"/>
          <w:sz w:val="20"/>
        </w:rPr>
        <w:t> </w:t>
      </w:r>
      <w:r>
        <w:rPr>
          <w:i/>
          <w:color w:val="231F20"/>
          <w:sz w:val="20"/>
        </w:rPr>
        <w:t>вовремя</w:t>
      </w:r>
      <w:r>
        <w:rPr>
          <w:i/>
          <w:color w:val="231F20"/>
          <w:spacing w:val="-11"/>
          <w:sz w:val="20"/>
        </w:rPr>
        <w:t> </w:t>
      </w:r>
      <w:r>
        <w:rPr>
          <w:i/>
          <w:color w:val="231F20"/>
          <w:sz w:val="20"/>
        </w:rPr>
        <w:t>помог</w:t>
      </w:r>
      <w:r>
        <w:rPr>
          <w:i/>
          <w:color w:val="231F20"/>
          <w:spacing w:val="-12"/>
          <w:sz w:val="20"/>
        </w:rPr>
        <w:t> </w:t>
      </w:r>
      <w:r>
        <w:rPr>
          <w:i/>
          <w:color w:val="231F20"/>
          <w:sz w:val="20"/>
        </w:rPr>
        <w:t>Маме-монстру:</w:t>
      </w:r>
      <w:r>
        <w:rPr>
          <w:i/>
          <w:color w:val="231F20"/>
          <w:spacing w:val="-11"/>
          <w:sz w:val="20"/>
        </w:rPr>
        <w:t> </w:t>
      </w:r>
      <w:r>
        <w:rPr>
          <w:i/>
          <w:color w:val="231F20"/>
          <w:sz w:val="20"/>
        </w:rPr>
        <w:t>«Ведь</w:t>
      </w:r>
      <w:r>
        <w:rPr>
          <w:i/>
          <w:color w:val="231F20"/>
          <w:spacing w:val="-11"/>
          <w:sz w:val="20"/>
        </w:rPr>
        <w:t> </w:t>
      </w:r>
      <w:r>
        <w:rPr>
          <w:i/>
          <w:color w:val="231F20"/>
          <w:sz w:val="20"/>
        </w:rPr>
        <w:t>это</w:t>
      </w:r>
      <w:r>
        <w:rPr>
          <w:i/>
          <w:color w:val="231F20"/>
          <w:spacing w:val="-12"/>
          <w:sz w:val="20"/>
        </w:rPr>
        <w:t> </w:t>
      </w:r>
      <w:r>
        <w:rPr>
          <w:i/>
          <w:color w:val="231F20"/>
          <w:sz w:val="20"/>
        </w:rPr>
        <w:t>так</w:t>
      </w:r>
      <w:r>
        <w:rPr>
          <w:i/>
          <w:color w:val="231F20"/>
          <w:spacing w:val="-11"/>
          <w:sz w:val="20"/>
        </w:rPr>
        <w:t> </w:t>
      </w:r>
      <w:r>
        <w:rPr>
          <w:i/>
          <w:color w:val="231F20"/>
          <w:sz w:val="20"/>
        </w:rPr>
        <w:t>помогло</w:t>
      </w:r>
      <w:r>
        <w:rPr>
          <w:i/>
          <w:color w:val="231F20"/>
          <w:spacing w:val="-11"/>
          <w:sz w:val="20"/>
        </w:rPr>
        <w:t> </w:t>
      </w:r>
      <w:r>
        <w:rPr>
          <w:i/>
          <w:color w:val="231F20"/>
          <w:spacing w:val="-2"/>
          <w:sz w:val="20"/>
        </w:rPr>
        <w:t>нам!»</w:t>
      </w:r>
    </w:p>
    <w:p>
      <w:pPr>
        <w:spacing w:line="228" w:lineRule="exact" w:before="5"/>
        <w:ind w:left="425" w:right="0" w:firstLine="0"/>
        <w:jc w:val="left"/>
        <w:rPr>
          <w:i/>
          <w:sz w:val="20"/>
        </w:rPr>
      </w:pPr>
      <w:r>
        <w:rPr>
          <w:b/>
          <w:color w:val="231F20"/>
          <w:sz w:val="20"/>
        </w:rPr>
        <w:t>Психолог.</w:t>
      </w:r>
      <w:r>
        <w:rPr>
          <w:b/>
          <w:color w:val="231F20"/>
          <w:spacing w:val="-9"/>
          <w:sz w:val="20"/>
        </w:rPr>
        <w:t> </w:t>
      </w:r>
      <w:r>
        <w:rPr>
          <w:i/>
          <w:color w:val="231F20"/>
          <w:sz w:val="20"/>
        </w:rPr>
        <w:t>Ты</w:t>
      </w:r>
      <w:r>
        <w:rPr>
          <w:i/>
          <w:color w:val="231F20"/>
          <w:spacing w:val="-10"/>
          <w:sz w:val="20"/>
        </w:rPr>
        <w:t> </w:t>
      </w:r>
      <w:r>
        <w:rPr>
          <w:i/>
          <w:color w:val="231F20"/>
          <w:sz w:val="20"/>
        </w:rPr>
        <w:t>знаешь,</w:t>
      </w:r>
      <w:r>
        <w:rPr>
          <w:i/>
          <w:color w:val="231F20"/>
          <w:spacing w:val="-9"/>
          <w:sz w:val="20"/>
        </w:rPr>
        <w:t> </w:t>
      </w:r>
      <w:r>
        <w:rPr>
          <w:i/>
          <w:color w:val="231F20"/>
          <w:sz w:val="20"/>
        </w:rPr>
        <w:t>чему</w:t>
      </w:r>
      <w:r>
        <w:rPr>
          <w:i/>
          <w:color w:val="231F20"/>
          <w:spacing w:val="-9"/>
          <w:sz w:val="20"/>
        </w:rPr>
        <w:t> </w:t>
      </w:r>
      <w:r>
        <w:rPr>
          <w:i/>
          <w:color w:val="231F20"/>
          <w:sz w:val="20"/>
        </w:rPr>
        <w:t>учит</w:t>
      </w:r>
      <w:r>
        <w:rPr>
          <w:i/>
          <w:color w:val="231F20"/>
          <w:spacing w:val="-10"/>
          <w:sz w:val="20"/>
        </w:rPr>
        <w:t> </w:t>
      </w:r>
      <w:r>
        <w:rPr>
          <w:i/>
          <w:color w:val="231F20"/>
          <w:sz w:val="20"/>
        </w:rPr>
        <w:t>эта</w:t>
      </w:r>
      <w:r>
        <w:rPr>
          <w:i/>
          <w:color w:val="231F20"/>
          <w:spacing w:val="-8"/>
          <w:sz w:val="20"/>
        </w:rPr>
        <w:t> </w:t>
      </w:r>
      <w:r>
        <w:rPr>
          <w:i/>
          <w:color w:val="231F20"/>
          <w:spacing w:val="-2"/>
          <w:sz w:val="20"/>
        </w:rPr>
        <w:t>история?</w:t>
      </w:r>
    </w:p>
    <w:p>
      <w:pPr>
        <w:spacing w:line="226" w:lineRule="exact" w:before="0"/>
        <w:ind w:left="425" w:right="0" w:firstLine="0"/>
        <w:jc w:val="left"/>
        <w:rPr>
          <w:i/>
          <w:sz w:val="20"/>
        </w:rPr>
      </w:pPr>
      <w:r>
        <w:rPr>
          <w:b/>
          <w:color w:val="231F20"/>
          <w:sz w:val="20"/>
        </w:rPr>
        <w:t>Р.</w:t>
      </w:r>
      <w:r>
        <w:rPr>
          <w:b/>
          <w:color w:val="231F20"/>
          <w:spacing w:val="-13"/>
          <w:sz w:val="20"/>
        </w:rPr>
        <w:t> </w:t>
      </w:r>
      <w:r>
        <w:rPr>
          <w:i/>
          <w:color w:val="231F20"/>
          <w:sz w:val="20"/>
        </w:rPr>
        <w:t>Не</w:t>
      </w:r>
      <w:r>
        <w:rPr>
          <w:i/>
          <w:color w:val="231F20"/>
          <w:spacing w:val="-12"/>
          <w:sz w:val="20"/>
        </w:rPr>
        <w:t> </w:t>
      </w:r>
      <w:r>
        <w:rPr>
          <w:i/>
          <w:color w:val="231F20"/>
          <w:spacing w:val="-2"/>
          <w:sz w:val="20"/>
        </w:rPr>
        <w:t>знаю.</w:t>
      </w:r>
    </w:p>
    <w:p>
      <w:pPr>
        <w:spacing w:line="226" w:lineRule="exact" w:before="0"/>
        <w:ind w:left="425" w:right="0" w:firstLine="0"/>
        <w:jc w:val="left"/>
        <w:rPr>
          <w:i/>
          <w:sz w:val="20"/>
        </w:rPr>
      </w:pPr>
      <w:r>
        <w:rPr>
          <w:b/>
          <w:color w:val="231F20"/>
          <w:sz w:val="20"/>
        </w:rPr>
        <w:t>Психолог.</w:t>
      </w:r>
      <w:r>
        <w:rPr>
          <w:b/>
          <w:color w:val="231F20"/>
          <w:spacing w:val="-9"/>
          <w:sz w:val="20"/>
        </w:rPr>
        <w:t> </w:t>
      </w:r>
      <w:r>
        <w:rPr>
          <w:i/>
          <w:color w:val="231F20"/>
          <w:sz w:val="20"/>
        </w:rPr>
        <w:t>А</w:t>
      </w:r>
      <w:r>
        <w:rPr>
          <w:i/>
          <w:color w:val="231F20"/>
          <w:spacing w:val="-9"/>
          <w:sz w:val="20"/>
        </w:rPr>
        <w:t> </w:t>
      </w:r>
      <w:r>
        <w:rPr>
          <w:i/>
          <w:color w:val="231F20"/>
          <w:sz w:val="20"/>
        </w:rPr>
        <w:t>что</w:t>
      </w:r>
      <w:r>
        <w:rPr>
          <w:i/>
          <w:color w:val="231F20"/>
          <w:spacing w:val="-9"/>
          <w:sz w:val="20"/>
        </w:rPr>
        <w:t> </w:t>
      </w:r>
      <w:r>
        <w:rPr>
          <w:i/>
          <w:color w:val="231F20"/>
          <w:sz w:val="20"/>
        </w:rPr>
        <w:t>тебе</w:t>
      </w:r>
      <w:r>
        <w:rPr>
          <w:i/>
          <w:color w:val="231F20"/>
          <w:spacing w:val="-9"/>
          <w:sz w:val="20"/>
        </w:rPr>
        <w:t> </w:t>
      </w:r>
      <w:r>
        <w:rPr>
          <w:i/>
          <w:color w:val="231F20"/>
          <w:sz w:val="20"/>
        </w:rPr>
        <w:t>большое</w:t>
      </w:r>
      <w:r>
        <w:rPr>
          <w:i/>
          <w:color w:val="231F20"/>
          <w:spacing w:val="-9"/>
          <w:sz w:val="20"/>
        </w:rPr>
        <w:t> </w:t>
      </w:r>
      <w:r>
        <w:rPr>
          <w:i/>
          <w:color w:val="231F20"/>
          <w:sz w:val="20"/>
        </w:rPr>
        <w:t>всего</w:t>
      </w:r>
      <w:r>
        <w:rPr>
          <w:i/>
          <w:color w:val="231F20"/>
          <w:spacing w:val="-8"/>
          <w:sz w:val="20"/>
        </w:rPr>
        <w:t> </w:t>
      </w:r>
      <w:r>
        <w:rPr>
          <w:i/>
          <w:color w:val="231F20"/>
          <w:spacing w:val="-2"/>
          <w:sz w:val="20"/>
        </w:rPr>
        <w:t>понравилось?</w:t>
      </w:r>
    </w:p>
    <w:p>
      <w:pPr>
        <w:spacing w:line="228" w:lineRule="exact" w:before="0"/>
        <w:ind w:left="425" w:right="0" w:firstLine="0"/>
        <w:jc w:val="left"/>
        <w:rPr>
          <w:i/>
          <w:sz w:val="20"/>
        </w:rPr>
      </w:pPr>
      <w:r>
        <w:rPr>
          <w:b/>
          <w:color w:val="231F20"/>
          <w:spacing w:val="-2"/>
          <w:sz w:val="20"/>
        </w:rPr>
        <w:t>Р.</w:t>
      </w:r>
      <w:r>
        <w:rPr>
          <w:b/>
          <w:color w:val="231F20"/>
          <w:spacing w:val="-4"/>
          <w:sz w:val="20"/>
        </w:rPr>
        <w:t> </w:t>
      </w:r>
      <w:r>
        <w:rPr>
          <w:i/>
          <w:color w:val="231F20"/>
          <w:spacing w:val="-2"/>
          <w:sz w:val="20"/>
        </w:rPr>
        <w:t>Когда</w:t>
      </w:r>
      <w:r>
        <w:rPr>
          <w:i/>
          <w:color w:val="231F20"/>
          <w:spacing w:val="-3"/>
          <w:sz w:val="20"/>
        </w:rPr>
        <w:t> </w:t>
      </w:r>
      <w:r>
        <w:rPr>
          <w:i/>
          <w:color w:val="231F20"/>
          <w:spacing w:val="-2"/>
          <w:sz w:val="20"/>
        </w:rPr>
        <w:t>монстров</w:t>
      </w:r>
      <w:r>
        <w:rPr>
          <w:i/>
          <w:color w:val="231F20"/>
          <w:spacing w:val="-4"/>
          <w:sz w:val="20"/>
        </w:rPr>
        <w:t> </w:t>
      </w:r>
      <w:r>
        <w:rPr>
          <w:i/>
          <w:color w:val="231F20"/>
          <w:spacing w:val="-2"/>
          <w:sz w:val="20"/>
        </w:rPr>
        <w:t>победили.</w:t>
      </w:r>
    </w:p>
    <w:p>
      <w:pPr>
        <w:pStyle w:val="BodyText"/>
        <w:spacing w:line="235" w:lineRule="auto" w:before="113"/>
      </w:pPr>
      <w:r>
        <w:rPr>
          <w:color w:val="231F20"/>
        </w:rPr>
        <w:t>Из анализа дальнейшего взаимодействия стало ясно, что «разыгрывание» кон- фликтов между сказочными героями не является «главной темой» для ребенка. Уже на</w:t>
      </w:r>
      <w:r>
        <w:rPr>
          <w:color w:val="231F20"/>
          <w:spacing w:val="-7"/>
        </w:rPr>
        <w:t> </w:t>
      </w:r>
      <w:r>
        <w:rPr>
          <w:color w:val="231F20"/>
        </w:rPr>
        <w:t>следующей</w:t>
      </w:r>
      <w:r>
        <w:rPr>
          <w:color w:val="231F20"/>
          <w:spacing w:val="-7"/>
        </w:rPr>
        <w:t> </w:t>
      </w:r>
      <w:r>
        <w:rPr>
          <w:color w:val="231F20"/>
        </w:rPr>
        <w:t>сессии</w:t>
      </w:r>
      <w:r>
        <w:rPr>
          <w:color w:val="231F20"/>
          <w:spacing w:val="-7"/>
        </w:rPr>
        <w:t> </w:t>
      </w:r>
      <w:r>
        <w:rPr>
          <w:color w:val="231F20"/>
        </w:rPr>
        <w:t>мы</w:t>
      </w:r>
      <w:r>
        <w:rPr>
          <w:color w:val="231F20"/>
          <w:spacing w:val="-7"/>
        </w:rPr>
        <w:t> </w:t>
      </w:r>
      <w:r>
        <w:rPr>
          <w:color w:val="231F20"/>
        </w:rPr>
        <w:t>вышли</w:t>
      </w:r>
      <w:r>
        <w:rPr>
          <w:color w:val="231F20"/>
          <w:spacing w:val="-7"/>
        </w:rPr>
        <w:t> </w:t>
      </w:r>
      <w:r>
        <w:rPr>
          <w:color w:val="231F20"/>
        </w:rPr>
        <w:t>на</w:t>
      </w:r>
      <w:r>
        <w:rPr>
          <w:color w:val="231F20"/>
          <w:spacing w:val="-7"/>
        </w:rPr>
        <w:t> </w:t>
      </w:r>
      <w:r>
        <w:rPr>
          <w:color w:val="231F20"/>
        </w:rPr>
        <w:t>реальные</w:t>
      </w:r>
      <w:r>
        <w:rPr>
          <w:color w:val="231F20"/>
          <w:spacing w:val="-7"/>
        </w:rPr>
        <w:t> </w:t>
      </w:r>
      <w:r>
        <w:rPr>
          <w:color w:val="231F20"/>
        </w:rPr>
        <w:t>семейные</w:t>
      </w:r>
      <w:r>
        <w:rPr>
          <w:color w:val="231F20"/>
          <w:spacing w:val="-7"/>
        </w:rPr>
        <w:t> </w:t>
      </w:r>
      <w:r>
        <w:rPr>
          <w:color w:val="231F20"/>
        </w:rPr>
        <w:t>взаимоотношения.</w:t>
      </w:r>
      <w:r>
        <w:rPr>
          <w:color w:val="231F20"/>
          <w:spacing w:val="-7"/>
        </w:rPr>
        <w:t> </w:t>
      </w:r>
      <w:r>
        <w:rPr>
          <w:color w:val="231F20"/>
        </w:rPr>
        <w:t>Важность проделанной</w:t>
      </w:r>
      <w:r>
        <w:rPr>
          <w:color w:val="231F20"/>
          <w:spacing w:val="-7"/>
        </w:rPr>
        <w:t> </w:t>
      </w:r>
      <w:r>
        <w:rPr>
          <w:color w:val="231F20"/>
        </w:rPr>
        <w:t>работы</w:t>
      </w:r>
      <w:r>
        <w:rPr>
          <w:color w:val="231F20"/>
          <w:spacing w:val="-7"/>
        </w:rPr>
        <w:t> </w:t>
      </w:r>
      <w:r>
        <w:rPr>
          <w:color w:val="231F20"/>
        </w:rPr>
        <w:t>заключалась</w:t>
      </w:r>
      <w:r>
        <w:rPr>
          <w:color w:val="231F20"/>
          <w:spacing w:val="-7"/>
        </w:rPr>
        <w:t> </w:t>
      </w:r>
      <w:r>
        <w:rPr>
          <w:color w:val="231F20"/>
        </w:rPr>
        <w:t>в</w:t>
      </w:r>
      <w:r>
        <w:rPr>
          <w:color w:val="231F20"/>
          <w:spacing w:val="-7"/>
        </w:rPr>
        <w:t> </w:t>
      </w:r>
      <w:r>
        <w:rPr>
          <w:color w:val="231F20"/>
        </w:rPr>
        <w:t>снижении</w:t>
      </w:r>
      <w:r>
        <w:rPr>
          <w:color w:val="231F20"/>
          <w:spacing w:val="-7"/>
        </w:rPr>
        <w:t> </w:t>
      </w:r>
      <w:r>
        <w:rPr>
          <w:color w:val="231F20"/>
        </w:rPr>
        <w:t>внутреннего</w:t>
      </w:r>
      <w:r>
        <w:rPr>
          <w:color w:val="231F20"/>
          <w:spacing w:val="-7"/>
        </w:rPr>
        <w:t> </w:t>
      </w:r>
      <w:r>
        <w:rPr>
          <w:color w:val="231F20"/>
        </w:rPr>
        <w:t>напряжения</w:t>
      </w:r>
      <w:r>
        <w:rPr>
          <w:color w:val="231F20"/>
          <w:spacing w:val="-7"/>
        </w:rPr>
        <w:t> </w:t>
      </w:r>
      <w:r>
        <w:rPr>
          <w:color w:val="231F20"/>
        </w:rPr>
        <w:t>ребенка,</w:t>
      </w:r>
      <w:r>
        <w:rPr>
          <w:color w:val="231F20"/>
          <w:spacing w:val="-7"/>
        </w:rPr>
        <w:t> </w:t>
      </w:r>
      <w:r>
        <w:rPr>
          <w:color w:val="231F20"/>
        </w:rPr>
        <w:t>соз- дании необходимой базы для исследования реальных жизненных проблем. Из при- веденного</w:t>
      </w:r>
      <w:r>
        <w:rPr>
          <w:color w:val="231F20"/>
          <w:spacing w:val="-6"/>
        </w:rPr>
        <w:t> </w:t>
      </w:r>
      <w:r>
        <w:rPr>
          <w:color w:val="231F20"/>
        </w:rPr>
        <w:t>примера</w:t>
      </w:r>
      <w:r>
        <w:rPr>
          <w:color w:val="231F20"/>
          <w:spacing w:val="-6"/>
        </w:rPr>
        <w:t> </w:t>
      </w:r>
      <w:r>
        <w:rPr>
          <w:color w:val="231F20"/>
        </w:rPr>
        <w:t>видно</w:t>
      </w:r>
      <w:r>
        <w:rPr>
          <w:color w:val="231F20"/>
          <w:spacing w:val="-6"/>
        </w:rPr>
        <w:t> </w:t>
      </w:r>
      <w:r>
        <w:rPr>
          <w:color w:val="231F20"/>
        </w:rPr>
        <w:t>многоцелевое</w:t>
      </w:r>
      <w:r>
        <w:rPr>
          <w:color w:val="231F20"/>
          <w:spacing w:val="-6"/>
        </w:rPr>
        <w:t> </w:t>
      </w:r>
      <w:r>
        <w:rPr>
          <w:color w:val="231F20"/>
        </w:rPr>
        <w:t>предназначение</w:t>
      </w:r>
      <w:r>
        <w:rPr>
          <w:color w:val="231F20"/>
          <w:spacing w:val="-6"/>
        </w:rPr>
        <w:t> </w:t>
      </w:r>
      <w:r>
        <w:rPr>
          <w:color w:val="231F20"/>
        </w:rPr>
        <w:t>метода</w:t>
      </w:r>
      <w:r>
        <w:rPr>
          <w:color w:val="231F20"/>
          <w:spacing w:val="-6"/>
        </w:rPr>
        <w:t> </w:t>
      </w:r>
      <w:r>
        <w:rPr>
          <w:color w:val="231F20"/>
        </w:rPr>
        <w:t>–</w:t>
      </w:r>
      <w:r>
        <w:rPr>
          <w:color w:val="231F20"/>
          <w:spacing w:val="-6"/>
        </w:rPr>
        <w:t> </w:t>
      </w:r>
      <w:r>
        <w:rPr>
          <w:color w:val="231F20"/>
        </w:rPr>
        <w:t>от</w:t>
      </w:r>
      <w:r>
        <w:rPr>
          <w:color w:val="231F20"/>
          <w:spacing w:val="-6"/>
        </w:rPr>
        <w:t> </w:t>
      </w:r>
      <w:r>
        <w:rPr>
          <w:color w:val="231F20"/>
        </w:rPr>
        <w:t>предоставления ребенку возможности рассказать в символической форме о «наболевшем» до глубо- кой проработки внутренних конфликтов и психологических травм.</w:t>
      </w:r>
    </w:p>
    <w:p>
      <w:pPr>
        <w:pStyle w:val="BodyText"/>
        <w:spacing w:after="0" w:line="235" w:lineRule="auto"/>
        <w:sectPr>
          <w:pgSz w:w="8400" w:h="11910"/>
          <w:pgMar w:header="0" w:footer="529" w:top="400" w:bottom="740" w:left="425" w:right="425"/>
        </w:sectPr>
      </w:pPr>
    </w:p>
    <w:p>
      <w:pPr>
        <w:spacing w:before="80"/>
        <w:ind w:left="141" w:right="139" w:firstLine="0"/>
        <w:jc w:val="right"/>
        <w:rPr>
          <w:rFonts w:ascii="Georgia" w:hAnsi="Georgia"/>
          <w:sz w:val="18"/>
        </w:rPr>
      </w:pPr>
      <w:bookmarkStart w:name="_bookmark76" w:id="78"/>
      <w:bookmarkEnd w:id="78"/>
      <w:r>
        <w:rPr/>
      </w:r>
      <w:r>
        <w:rPr>
          <w:rFonts w:ascii="Georgia" w:hAnsi="Georgia"/>
          <w:color w:val="231F20"/>
          <w:spacing w:val="-2"/>
          <w:sz w:val="18"/>
        </w:rPr>
        <w:t>Раздел</w:t>
      </w:r>
      <w:r>
        <w:rPr>
          <w:rFonts w:ascii="Georgia" w:hAnsi="Georgia"/>
          <w:color w:val="231F20"/>
          <w:spacing w:val="-5"/>
          <w:sz w:val="18"/>
        </w:rPr>
        <w:t> 1.</w:t>
      </w:r>
    </w:p>
    <w:p>
      <w:pPr>
        <w:numPr>
          <w:ilvl w:val="1"/>
          <w:numId w:val="221"/>
        </w:numPr>
        <w:tabs>
          <w:tab w:pos="1173" w:val="left" w:leader="none"/>
        </w:tabs>
        <w:spacing w:line="235" w:lineRule="auto" w:before="113"/>
        <w:ind w:left="437" w:right="435" w:firstLine="386"/>
        <w:jc w:val="left"/>
        <w:rPr>
          <w:b/>
          <w:color w:val="231F20"/>
          <w:sz w:val="20"/>
        </w:rPr>
      </w:pPr>
      <w:r>
        <w:rPr>
          <w:b/>
          <w:color w:val="231F20"/>
          <w:sz w:val="20"/>
        </w:rPr>
        <w:t>Приемы обсуждения трудностей, связанных со становлением этнической,</w:t>
      </w:r>
      <w:r>
        <w:rPr>
          <w:b/>
          <w:color w:val="231F20"/>
          <w:spacing w:val="-10"/>
          <w:sz w:val="20"/>
        </w:rPr>
        <w:t> </w:t>
      </w:r>
      <w:r>
        <w:rPr>
          <w:b/>
          <w:color w:val="231F20"/>
          <w:sz w:val="20"/>
        </w:rPr>
        <w:t>культурной</w:t>
      </w:r>
      <w:r>
        <w:rPr>
          <w:b/>
          <w:color w:val="231F20"/>
          <w:spacing w:val="-11"/>
          <w:sz w:val="20"/>
        </w:rPr>
        <w:t> </w:t>
      </w:r>
      <w:r>
        <w:rPr>
          <w:b/>
          <w:color w:val="231F20"/>
          <w:sz w:val="20"/>
        </w:rPr>
        <w:t>и</w:t>
      </w:r>
      <w:r>
        <w:rPr>
          <w:b/>
          <w:color w:val="231F20"/>
          <w:spacing w:val="-11"/>
          <w:sz w:val="20"/>
        </w:rPr>
        <w:t> </w:t>
      </w:r>
      <w:r>
        <w:rPr>
          <w:b/>
          <w:color w:val="231F20"/>
          <w:sz w:val="20"/>
        </w:rPr>
        <w:t>гражданской</w:t>
      </w:r>
      <w:r>
        <w:rPr>
          <w:b/>
          <w:color w:val="231F20"/>
          <w:spacing w:val="-11"/>
          <w:sz w:val="20"/>
        </w:rPr>
        <w:t> </w:t>
      </w:r>
      <w:r>
        <w:rPr>
          <w:b/>
          <w:color w:val="231F20"/>
          <w:sz w:val="20"/>
        </w:rPr>
        <w:t>идентичности</w:t>
      </w:r>
      <w:r>
        <w:rPr>
          <w:b/>
          <w:color w:val="231F20"/>
          <w:spacing w:val="-11"/>
          <w:sz w:val="20"/>
        </w:rPr>
        <w:t> </w:t>
      </w:r>
      <w:r>
        <w:rPr>
          <w:b/>
          <w:color w:val="231F20"/>
          <w:sz w:val="20"/>
        </w:rPr>
        <w:t>ребенка-мигранта:</w:t>
      </w:r>
    </w:p>
    <w:p>
      <w:pPr>
        <w:spacing w:line="227" w:lineRule="exact" w:before="0"/>
        <w:ind w:left="2171" w:right="0" w:firstLine="0"/>
        <w:jc w:val="left"/>
        <w:rPr>
          <w:b/>
          <w:sz w:val="20"/>
        </w:rPr>
      </w:pPr>
      <w:r>
        <w:rPr>
          <w:b/>
          <w:color w:val="231F20"/>
          <w:sz w:val="20"/>
        </w:rPr>
        <w:t>описание</w:t>
      </w:r>
      <w:r>
        <w:rPr>
          <w:b/>
          <w:color w:val="231F20"/>
          <w:spacing w:val="-3"/>
          <w:sz w:val="20"/>
        </w:rPr>
        <w:t> </w:t>
      </w:r>
      <w:r>
        <w:rPr>
          <w:b/>
          <w:color w:val="231F20"/>
          <w:sz w:val="20"/>
        </w:rPr>
        <w:t>конкретных </w:t>
      </w:r>
      <w:r>
        <w:rPr>
          <w:b/>
          <w:color w:val="231F20"/>
          <w:spacing w:val="-2"/>
          <w:sz w:val="20"/>
        </w:rPr>
        <w:t>активностей</w:t>
      </w:r>
    </w:p>
    <w:p>
      <w:pPr>
        <w:spacing w:before="166"/>
        <w:ind w:left="425" w:right="0" w:firstLine="5642"/>
        <w:jc w:val="both"/>
        <w:rPr>
          <w:i/>
          <w:sz w:val="20"/>
        </w:rPr>
      </w:pPr>
      <w:r>
        <w:rPr>
          <w:i/>
          <w:color w:val="231F20"/>
          <w:sz w:val="20"/>
        </w:rPr>
        <w:t>М.Ю.</w:t>
      </w:r>
      <w:r>
        <w:rPr>
          <w:i/>
          <w:color w:val="231F20"/>
          <w:spacing w:val="-2"/>
          <w:sz w:val="20"/>
        </w:rPr>
        <w:t> Чибисова</w:t>
      </w:r>
    </w:p>
    <w:p>
      <w:pPr>
        <w:pStyle w:val="BodyText"/>
        <w:spacing w:before="109"/>
      </w:pPr>
      <w:r>
        <w:rPr>
          <w:b/>
        </w:rPr>
        <w:t>Общее описание</w:t>
      </w:r>
      <w:r>
        <w:rPr/>
        <w:t>. Активности, позволяющие обсудить трудности, связанные со становлением идентичности, представляют собой структурированное самораскры- тие. Ребенку предлагается выполнить творческое задание, для которого необходимо задуматься</w:t>
      </w:r>
      <w:r>
        <w:rPr>
          <w:spacing w:val="-10"/>
        </w:rPr>
        <w:t> </w:t>
      </w:r>
      <w:r>
        <w:rPr/>
        <w:t>о</w:t>
      </w:r>
      <w:r>
        <w:rPr>
          <w:spacing w:val="-10"/>
        </w:rPr>
        <w:t> </w:t>
      </w:r>
      <w:r>
        <w:rPr/>
        <w:t>своих</w:t>
      </w:r>
      <w:r>
        <w:rPr>
          <w:spacing w:val="-10"/>
        </w:rPr>
        <w:t> </w:t>
      </w:r>
      <w:r>
        <w:rPr/>
        <w:t>значимых</w:t>
      </w:r>
      <w:r>
        <w:rPr>
          <w:spacing w:val="-10"/>
        </w:rPr>
        <w:t> </w:t>
      </w:r>
      <w:r>
        <w:rPr/>
        <w:t>характеристиках</w:t>
      </w:r>
      <w:r>
        <w:rPr>
          <w:spacing w:val="-10"/>
        </w:rPr>
        <w:t> </w:t>
      </w:r>
      <w:r>
        <w:rPr/>
        <w:t>и</w:t>
      </w:r>
      <w:r>
        <w:rPr>
          <w:spacing w:val="-10"/>
        </w:rPr>
        <w:t> </w:t>
      </w:r>
      <w:r>
        <w:rPr/>
        <w:t>собственном</w:t>
      </w:r>
      <w:r>
        <w:rPr>
          <w:spacing w:val="-10"/>
        </w:rPr>
        <w:t> </w:t>
      </w:r>
      <w:r>
        <w:rPr/>
        <w:t>самоопределении.</w:t>
      </w:r>
      <w:r>
        <w:rPr>
          <w:spacing w:val="-10"/>
        </w:rPr>
        <w:t> </w:t>
      </w:r>
      <w:r>
        <w:rPr/>
        <w:t>При проведении данных упражнений сам термин «идентичность» вводить не нужно, од- нако</w:t>
      </w:r>
      <w:r>
        <w:rPr>
          <w:spacing w:val="-13"/>
        </w:rPr>
        <w:t> </w:t>
      </w:r>
      <w:r>
        <w:rPr/>
        <w:t>в</w:t>
      </w:r>
      <w:r>
        <w:rPr>
          <w:spacing w:val="-12"/>
        </w:rPr>
        <w:t> </w:t>
      </w:r>
      <w:r>
        <w:rPr/>
        <w:t>отдельных</w:t>
      </w:r>
      <w:r>
        <w:rPr>
          <w:spacing w:val="-13"/>
        </w:rPr>
        <w:t> </w:t>
      </w:r>
      <w:r>
        <w:rPr/>
        <w:t>случаях,</w:t>
      </w:r>
      <w:r>
        <w:rPr>
          <w:spacing w:val="-12"/>
        </w:rPr>
        <w:t> </w:t>
      </w:r>
      <w:r>
        <w:rPr/>
        <w:t>при</w:t>
      </w:r>
      <w:r>
        <w:rPr>
          <w:spacing w:val="-13"/>
        </w:rPr>
        <w:t> </w:t>
      </w:r>
      <w:r>
        <w:rPr/>
        <w:t>условии</w:t>
      </w:r>
      <w:r>
        <w:rPr>
          <w:spacing w:val="-12"/>
        </w:rPr>
        <w:t> </w:t>
      </w:r>
      <w:r>
        <w:rPr/>
        <w:t>достаточного</w:t>
      </w:r>
      <w:r>
        <w:rPr>
          <w:spacing w:val="-13"/>
        </w:rPr>
        <w:t> </w:t>
      </w:r>
      <w:r>
        <w:rPr/>
        <w:t>уровня</w:t>
      </w:r>
      <w:r>
        <w:rPr>
          <w:spacing w:val="-12"/>
        </w:rPr>
        <w:t> </w:t>
      </w:r>
      <w:r>
        <w:rPr/>
        <w:t>владения</w:t>
      </w:r>
      <w:r>
        <w:rPr>
          <w:spacing w:val="-13"/>
        </w:rPr>
        <w:t> </w:t>
      </w:r>
      <w:r>
        <w:rPr/>
        <w:t>языком</w:t>
      </w:r>
      <w:r>
        <w:rPr>
          <w:spacing w:val="-12"/>
        </w:rPr>
        <w:t> </w:t>
      </w:r>
      <w:r>
        <w:rPr/>
        <w:t>и</w:t>
      </w:r>
      <w:r>
        <w:rPr>
          <w:spacing w:val="-13"/>
        </w:rPr>
        <w:t> </w:t>
      </w:r>
      <w:r>
        <w:rPr/>
        <w:t>заин- тересованности учащегося, можно познакомить его с этим понятием.</w:t>
      </w:r>
    </w:p>
    <w:p>
      <w:pPr>
        <w:pStyle w:val="BodyText"/>
      </w:pPr>
      <w:r>
        <w:rPr>
          <w:b/>
        </w:rPr>
        <w:t>Сильные стороны практики</w:t>
      </w:r>
      <w:r>
        <w:rPr/>
        <w:t>.</w:t>
      </w:r>
      <w:r>
        <w:rPr>
          <w:spacing w:val="-5"/>
        </w:rPr>
        <w:t> </w:t>
      </w:r>
      <w:r>
        <w:rPr/>
        <w:t>Поскольку понятие идентичности является слож- ным</w:t>
      </w:r>
      <w:r>
        <w:rPr>
          <w:spacing w:val="-2"/>
        </w:rPr>
        <w:t> </w:t>
      </w:r>
      <w:r>
        <w:rPr/>
        <w:t>для</w:t>
      </w:r>
      <w:r>
        <w:rPr>
          <w:spacing w:val="-2"/>
        </w:rPr>
        <w:t> </w:t>
      </w:r>
      <w:r>
        <w:rPr/>
        <w:t>школьников,</w:t>
      </w:r>
      <w:r>
        <w:rPr>
          <w:spacing w:val="-2"/>
        </w:rPr>
        <w:t> </w:t>
      </w:r>
      <w:r>
        <w:rPr/>
        <w:t>тем</w:t>
      </w:r>
      <w:r>
        <w:rPr>
          <w:spacing w:val="-2"/>
        </w:rPr>
        <w:t> </w:t>
      </w:r>
      <w:r>
        <w:rPr/>
        <w:t>более</w:t>
      </w:r>
      <w:r>
        <w:rPr>
          <w:spacing w:val="-2"/>
        </w:rPr>
        <w:t> </w:t>
      </w:r>
      <w:r>
        <w:rPr/>
        <w:t>для</w:t>
      </w:r>
      <w:r>
        <w:rPr>
          <w:spacing w:val="-2"/>
        </w:rPr>
        <w:t> </w:t>
      </w:r>
      <w:r>
        <w:rPr/>
        <w:t>несовершеннолетних</w:t>
      </w:r>
      <w:r>
        <w:rPr>
          <w:spacing w:val="-2"/>
        </w:rPr>
        <w:t> </w:t>
      </w:r>
      <w:r>
        <w:rPr/>
        <w:t>иностранных</w:t>
      </w:r>
      <w:r>
        <w:rPr>
          <w:spacing w:val="-2"/>
        </w:rPr>
        <w:t> </w:t>
      </w:r>
      <w:r>
        <w:rPr/>
        <w:t>граждан,</w:t>
      </w:r>
      <w:r>
        <w:rPr>
          <w:spacing w:val="-2"/>
        </w:rPr>
        <w:t> </w:t>
      </w:r>
      <w:r>
        <w:rPr/>
        <w:t>не- достаточно</w:t>
      </w:r>
      <w:r>
        <w:rPr>
          <w:spacing w:val="-6"/>
        </w:rPr>
        <w:t> </w:t>
      </w:r>
      <w:r>
        <w:rPr/>
        <w:t>хорошо</w:t>
      </w:r>
      <w:r>
        <w:rPr>
          <w:spacing w:val="-6"/>
        </w:rPr>
        <w:t> </w:t>
      </w:r>
      <w:r>
        <w:rPr/>
        <w:t>владеющих</w:t>
      </w:r>
      <w:r>
        <w:rPr>
          <w:spacing w:val="-6"/>
        </w:rPr>
        <w:t> </w:t>
      </w:r>
      <w:r>
        <w:rPr/>
        <w:t>русским</w:t>
      </w:r>
      <w:r>
        <w:rPr>
          <w:spacing w:val="-6"/>
        </w:rPr>
        <w:t> </w:t>
      </w:r>
      <w:r>
        <w:rPr/>
        <w:t>языком,</w:t>
      </w:r>
      <w:r>
        <w:rPr>
          <w:spacing w:val="-6"/>
        </w:rPr>
        <w:t> </w:t>
      </w:r>
      <w:r>
        <w:rPr/>
        <w:t>обсуждение</w:t>
      </w:r>
      <w:r>
        <w:rPr>
          <w:spacing w:val="-6"/>
        </w:rPr>
        <w:t> </w:t>
      </w:r>
      <w:r>
        <w:rPr/>
        <w:t>трудностей,</w:t>
      </w:r>
      <w:r>
        <w:rPr>
          <w:spacing w:val="-6"/>
        </w:rPr>
        <w:t> </w:t>
      </w:r>
      <w:r>
        <w:rPr/>
        <w:t>связанных со</w:t>
      </w:r>
      <w:r>
        <w:rPr>
          <w:spacing w:val="-3"/>
        </w:rPr>
        <w:t> </w:t>
      </w:r>
      <w:r>
        <w:rPr/>
        <w:t>становлением</w:t>
      </w:r>
      <w:r>
        <w:rPr>
          <w:spacing w:val="-3"/>
        </w:rPr>
        <w:t> </w:t>
      </w:r>
      <w:r>
        <w:rPr/>
        <w:t>идентичности,</w:t>
      </w:r>
      <w:r>
        <w:rPr>
          <w:spacing w:val="-3"/>
        </w:rPr>
        <w:t> </w:t>
      </w:r>
      <w:r>
        <w:rPr/>
        <w:t>возможно</w:t>
      </w:r>
      <w:r>
        <w:rPr>
          <w:spacing w:val="-3"/>
        </w:rPr>
        <w:t> </w:t>
      </w:r>
      <w:r>
        <w:rPr/>
        <w:t>почти</w:t>
      </w:r>
      <w:r>
        <w:rPr>
          <w:spacing w:val="-3"/>
        </w:rPr>
        <w:t> </w:t>
      </w:r>
      <w:r>
        <w:rPr/>
        <w:t>исключительно</w:t>
      </w:r>
      <w:r>
        <w:rPr>
          <w:spacing w:val="-3"/>
        </w:rPr>
        <w:t> </w:t>
      </w:r>
      <w:r>
        <w:rPr/>
        <w:t>в</w:t>
      </w:r>
      <w:r>
        <w:rPr>
          <w:spacing w:val="-3"/>
        </w:rPr>
        <w:t> </w:t>
      </w:r>
      <w:r>
        <w:rPr/>
        <w:t>формате</w:t>
      </w:r>
      <w:r>
        <w:rPr>
          <w:spacing w:val="-3"/>
        </w:rPr>
        <w:t> </w:t>
      </w:r>
      <w:r>
        <w:rPr/>
        <w:t>активно- стей, направленных на самоисследование и самораскрытие. Данные активности по- зволяют</w:t>
      </w:r>
      <w:r>
        <w:rPr>
          <w:spacing w:val="-2"/>
        </w:rPr>
        <w:t> </w:t>
      </w:r>
      <w:r>
        <w:rPr/>
        <w:t>эксплицировать</w:t>
      </w:r>
      <w:r>
        <w:rPr>
          <w:spacing w:val="-2"/>
        </w:rPr>
        <w:t> </w:t>
      </w:r>
      <w:r>
        <w:rPr/>
        <w:t>возможные</w:t>
      </w:r>
      <w:r>
        <w:rPr>
          <w:spacing w:val="-2"/>
        </w:rPr>
        <w:t> </w:t>
      </w:r>
      <w:r>
        <w:rPr/>
        <w:t>противоречия</w:t>
      </w:r>
      <w:r>
        <w:rPr>
          <w:spacing w:val="-2"/>
        </w:rPr>
        <w:t> </w:t>
      </w:r>
      <w:r>
        <w:rPr/>
        <w:t>и</w:t>
      </w:r>
      <w:r>
        <w:rPr>
          <w:spacing w:val="-2"/>
        </w:rPr>
        <w:t> </w:t>
      </w:r>
      <w:r>
        <w:rPr/>
        <w:t>конфликты</w:t>
      </w:r>
      <w:r>
        <w:rPr>
          <w:spacing w:val="-2"/>
        </w:rPr>
        <w:t> </w:t>
      </w:r>
      <w:r>
        <w:rPr/>
        <w:t>между</w:t>
      </w:r>
      <w:r>
        <w:rPr>
          <w:spacing w:val="-2"/>
        </w:rPr>
        <w:t> </w:t>
      </w:r>
      <w:r>
        <w:rPr/>
        <w:t>различными видами идентичности.</w:t>
      </w:r>
    </w:p>
    <w:p>
      <w:pPr>
        <w:pStyle w:val="BodyText"/>
      </w:pPr>
      <w:r>
        <w:rPr>
          <w:b/>
        </w:rPr>
        <w:t>Требования</w:t>
      </w:r>
      <w:r>
        <w:rPr>
          <w:b/>
          <w:spacing w:val="-13"/>
        </w:rPr>
        <w:t> </w:t>
      </w:r>
      <w:r>
        <w:rPr>
          <w:b/>
        </w:rPr>
        <w:t>к</w:t>
      </w:r>
      <w:r>
        <w:rPr>
          <w:b/>
          <w:spacing w:val="-12"/>
        </w:rPr>
        <w:t> </w:t>
      </w:r>
      <w:r>
        <w:rPr>
          <w:b/>
        </w:rPr>
        <w:t>проведению</w:t>
      </w:r>
      <w:r>
        <w:rPr/>
        <w:t>.</w:t>
      </w:r>
      <w:r>
        <w:rPr>
          <w:spacing w:val="-13"/>
        </w:rPr>
        <w:t> </w:t>
      </w:r>
      <w:r>
        <w:rPr/>
        <w:t>Упражнения</w:t>
      </w:r>
      <w:r>
        <w:rPr>
          <w:spacing w:val="-12"/>
        </w:rPr>
        <w:t> </w:t>
      </w:r>
      <w:r>
        <w:rPr/>
        <w:t>по</w:t>
      </w:r>
      <w:r>
        <w:rPr>
          <w:spacing w:val="-13"/>
        </w:rPr>
        <w:t> </w:t>
      </w:r>
      <w:r>
        <w:rPr/>
        <w:t>теме</w:t>
      </w:r>
      <w:r>
        <w:rPr>
          <w:spacing w:val="-12"/>
        </w:rPr>
        <w:t> </w:t>
      </w:r>
      <w:r>
        <w:rPr/>
        <w:t>идентичности</w:t>
      </w:r>
      <w:r>
        <w:rPr>
          <w:spacing w:val="-13"/>
        </w:rPr>
        <w:t> </w:t>
      </w:r>
      <w:r>
        <w:rPr/>
        <w:t>проводятся</w:t>
      </w:r>
      <w:r>
        <w:rPr>
          <w:spacing w:val="-12"/>
        </w:rPr>
        <w:t> </w:t>
      </w:r>
      <w:r>
        <w:rPr/>
        <w:t>с</w:t>
      </w:r>
      <w:r>
        <w:rPr>
          <w:spacing w:val="-13"/>
        </w:rPr>
        <w:t> </w:t>
      </w:r>
      <w:r>
        <w:rPr/>
        <w:t>уча- щимися</w:t>
      </w:r>
      <w:r>
        <w:rPr>
          <w:spacing w:val="-13"/>
        </w:rPr>
        <w:t> </w:t>
      </w:r>
      <w:r>
        <w:rPr/>
        <w:t>средней</w:t>
      </w:r>
      <w:r>
        <w:rPr>
          <w:spacing w:val="-12"/>
        </w:rPr>
        <w:t> </w:t>
      </w:r>
      <w:r>
        <w:rPr/>
        <w:t>и</w:t>
      </w:r>
      <w:r>
        <w:rPr>
          <w:spacing w:val="-13"/>
        </w:rPr>
        <w:t> </w:t>
      </w:r>
      <w:r>
        <w:rPr/>
        <w:t>старшей</w:t>
      </w:r>
      <w:r>
        <w:rPr>
          <w:spacing w:val="-12"/>
        </w:rPr>
        <w:t> </w:t>
      </w:r>
      <w:r>
        <w:rPr/>
        <w:t>школы,</w:t>
      </w:r>
      <w:r>
        <w:rPr>
          <w:spacing w:val="-13"/>
        </w:rPr>
        <w:t> </w:t>
      </w:r>
      <w:r>
        <w:rPr/>
        <w:t>поскольку</w:t>
      </w:r>
      <w:r>
        <w:rPr>
          <w:spacing w:val="-12"/>
        </w:rPr>
        <w:t> </w:t>
      </w:r>
      <w:r>
        <w:rPr/>
        <w:t>подростковый</w:t>
      </w:r>
      <w:r>
        <w:rPr>
          <w:spacing w:val="-13"/>
        </w:rPr>
        <w:t> </w:t>
      </w:r>
      <w:r>
        <w:rPr/>
        <w:t>возраст</w:t>
      </w:r>
      <w:r>
        <w:rPr>
          <w:spacing w:val="-12"/>
        </w:rPr>
        <w:t> </w:t>
      </w:r>
      <w:r>
        <w:rPr/>
        <w:t>является</w:t>
      </w:r>
      <w:r>
        <w:rPr>
          <w:spacing w:val="-13"/>
        </w:rPr>
        <w:t> </w:t>
      </w:r>
      <w:r>
        <w:rPr/>
        <w:t>ключе- вым</w:t>
      </w:r>
      <w:r>
        <w:rPr>
          <w:spacing w:val="-10"/>
        </w:rPr>
        <w:t> </w:t>
      </w:r>
      <w:r>
        <w:rPr/>
        <w:t>периодом</w:t>
      </w:r>
      <w:r>
        <w:rPr>
          <w:spacing w:val="-10"/>
        </w:rPr>
        <w:t> </w:t>
      </w:r>
      <w:r>
        <w:rPr/>
        <w:t>формирования</w:t>
      </w:r>
      <w:r>
        <w:rPr>
          <w:spacing w:val="-10"/>
        </w:rPr>
        <w:t> </w:t>
      </w:r>
      <w:r>
        <w:rPr/>
        <w:t>идентичности.</w:t>
      </w:r>
      <w:r>
        <w:rPr>
          <w:spacing w:val="-10"/>
        </w:rPr>
        <w:t> </w:t>
      </w:r>
      <w:r>
        <w:rPr/>
        <w:t>С</w:t>
      </w:r>
      <w:r>
        <w:rPr>
          <w:spacing w:val="-10"/>
        </w:rPr>
        <w:t> </w:t>
      </w:r>
      <w:r>
        <w:rPr/>
        <w:t>детьми</w:t>
      </w:r>
      <w:r>
        <w:rPr>
          <w:spacing w:val="-10"/>
        </w:rPr>
        <w:t> </w:t>
      </w:r>
      <w:r>
        <w:rPr/>
        <w:t>более</w:t>
      </w:r>
      <w:r>
        <w:rPr>
          <w:spacing w:val="-10"/>
        </w:rPr>
        <w:t> </w:t>
      </w:r>
      <w:r>
        <w:rPr/>
        <w:t>раннего</w:t>
      </w:r>
      <w:r>
        <w:rPr>
          <w:spacing w:val="-10"/>
        </w:rPr>
        <w:t> </w:t>
      </w:r>
      <w:r>
        <w:rPr/>
        <w:t>возраста</w:t>
      </w:r>
      <w:r>
        <w:rPr>
          <w:spacing w:val="-10"/>
        </w:rPr>
        <w:t> </w:t>
      </w:r>
      <w:r>
        <w:rPr/>
        <w:t>можно проводить только упражнения «Языковой портрет» и «Рисунок моего имени». Все практики</w:t>
      </w:r>
      <w:r>
        <w:rPr>
          <w:spacing w:val="-2"/>
        </w:rPr>
        <w:t> </w:t>
      </w:r>
      <w:r>
        <w:rPr/>
        <w:t>данного</w:t>
      </w:r>
      <w:r>
        <w:rPr>
          <w:spacing w:val="-2"/>
        </w:rPr>
        <w:t> </w:t>
      </w:r>
      <w:r>
        <w:rPr/>
        <w:t>раздела</w:t>
      </w:r>
      <w:r>
        <w:rPr>
          <w:spacing w:val="-2"/>
        </w:rPr>
        <w:t> </w:t>
      </w:r>
      <w:r>
        <w:rPr/>
        <w:t>предполагают</w:t>
      </w:r>
      <w:r>
        <w:rPr>
          <w:spacing w:val="-2"/>
        </w:rPr>
        <w:t> </w:t>
      </w:r>
      <w:r>
        <w:rPr/>
        <w:t>достаточно</w:t>
      </w:r>
      <w:r>
        <w:rPr>
          <w:spacing w:val="-2"/>
        </w:rPr>
        <w:t> </w:t>
      </w:r>
      <w:r>
        <w:rPr/>
        <w:t>высокий</w:t>
      </w:r>
      <w:r>
        <w:rPr>
          <w:spacing w:val="-2"/>
        </w:rPr>
        <w:t> </w:t>
      </w:r>
      <w:r>
        <w:rPr/>
        <w:t>уровень</w:t>
      </w:r>
      <w:r>
        <w:rPr>
          <w:spacing w:val="-2"/>
        </w:rPr>
        <w:t> </w:t>
      </w:r>
      <w:r>
        <w:rPr/>
        <w:t>абстрагирова- ния и могут проводиться только с учащимися, владеющими русским языком на до- статочном уровне.</w:t>
      </w:r>
    </w:p>
    <w:p>
      <w:pPr>
        <w:pStyle w:val="BodyText"/>
        <w:spacing w:line="242" w:lineRule="auto" w:before="4"/>
      </w:pPr>
      <w:r>
        <w:rPr>
          <w:b/>
        </w:rPr>
        <w:t>Доказательность</w:t>
      </w:r>
      <w:r>
        <w:rPr>
          <w:b/>
          <w:spacing w:val="-12"/>
        </w:rPr>
        <w:t> </w:t>
      </w:r>
      <w:r>
        <w:rPr>
          <w:b/>
        </w:rPr>
        <w:t>практики</w:t>
      </w:r>
      <w:r>
        <w:rPr/>
        <w:t>.</w:t>
      </w:r>
      <w:r>
        <w:rPr>
          <w:spacing w:val="-12"/>
        </w:rPr>
        <w:t> </w:t>
      </w:r>
      <w:r>
        <w:rPr/>
        <w:t>Исследования</w:t>
      </w:r>
      <w:r>
        <w:rPr>
          <w:spacing w:val="-12"/>
        </w:rPr>
        <w:t> </w:t>
      </w:r>
      <w:r>
        <w:rPr/>
        <w:t>показывают,</w:t>
      </w:r>
      <w:r>
        <w:rPr>
          <w:spacing w:val="-12"/>
        </w:rPr>
        <w:t> </w:t>
      </w:r>
      <w:r>
        <w:rPr/>
        <w:t>что</w:t>
      </w:r>
      <w:r>
        <w:rPr>
          <w:spacing w:val="-12"/>
        </w:rPr>
        <w:t> </w:t>
      </w:r>
      <w:r>
        <w:rPr/>
        <w:t>позитивная</w:t>
      </w:r>
      <w:r>
        <w:rPr>
          <w:spacing w:val="-12"/>
        </w:rPr>
        <w:t> </w:t>
      </w:r>
      <w:r>
        <w:rPr/>
        <w:t>и</w:t>
      </w:r>
      <w:r>
        <w:rPr>
          <w:spacing w:val="-12"/>
        </w:rPr>
        <w:t> </w:t>
      </w:r>
      <w:r>
        <w:rPr/>
        <w:t>устой- чивая этническая идентичность связана с успешностью аккультурации и психологи- ческим благополучием мигрантов </w:t>
      </w:r>
      <w:r>
        <w:rPr>
          <w:color w:val="16191D"/>
        </w:rPr>
        <w:t>Balidemaj, Small, 2019</w:t>
      </w:r>
      <w:r>
        <w:rPr/>
        <w:t>)..</w:t>
      </w:r>
    </w:p>
    <w:p>
      <w:pPr>
        <w:spacing w:before="113"/>
        <w:ind w:left="425" w:right="0" w:firstLine="0"/>
        <w:jc w:val="both"/>
        <w:rPr>
          <w:sz w:val="20"/>
        </w:rPr>
      </w:pPr>
      <w:r>
        <w:rPr>
          <w:b/>
          <w:color w:val="231F20"/>
          <w:spacing w:val="-2"/>
          <w:sz w:val="20"/>
        </w:rPr>
        <w:t>«Языковой</w:t>
      </w:r>
      <w:r>
        <w:rPr>
          <w:b/>
          <w:color w:val="231F20"/>
          <w:spacing w:val="2"/>
          <w:sz w:val="20"/>
        </w:rPr>
        <w:t> </w:t>
      </w:r>
      <w:r>
        <w:rPr>
          <w:b/>
          <w:color w:val="231F20"/>
          <w:spacing w:val="-2"/>
          <w:sz w:val="20"/>
        </w:rPr>
        <w:t>портрет</w:t>
      </w:r>
      <w:r>
        <w:rPr>
          <w:color w:val="231F20"/>
          <w:spacing w:val="-2"/>
          <w:sz w:val="20"/>
        </w:rPr>
        <w:t>»</w:t>
      </w:r>
    </w:p>
    <w:p>
      <w:pPr>
        <w:spacing w:line="242" w:lineRule="auto" w:before="2"/>
        <w:ind w:left="141" w:right="139" w:firstLine="283"/>
        <w:jc w:val="both"/>
        <w:rPr>
          <w:i/>
          <w:sz w:val="20"/>
        </w:rPr>
      </w:pPr>
      <w:r>
        <w:rPr>
          <w:i/>
          <w:color w:val="231F20"/>
          <w:sz w:val="20"/>
        </w:rPr>
        <w:t>Источник:</w:t>
      </w:r>
      <w:r>
        <w:rPr>
          <w:i/>
          <w:color w:val="231F20"/>
          <w:spacing w:val="40"/>
          <w:sz w:val="20"/>
        </w:rPr>
        <w:t> </w:t>
      </w:r>
      <w:r>
        <w:rPr>
          <w:i/>
          <w:color w:val="231F20"/>
          <w:sz w:val="20"/>
        </w:rPr>
        <w:t>Camila</w:t>
      </w:r>
      <w:r>
        <w:rPr>
          <w:i/>
          <w:color w:val="231F20"/>
          <w:spacing w:val="40"/>
          <w:sz w:val="20"/>
        </w:rPr>
        <w:t> </w:t>
      </w:r>
      <w:r>
        <w:rPr>
          <w:i/>
          <w:color w:val="231F20"/>
          <w:sz w:val="20"/>
        </w:rPr>
        <w:t>Tabaro</w:t>
      </w:r>
      <w:r>
        <w:rPr>
          <w:i/>
          <w:color w:val="231F20"/>
          <w:spacing w:val="40"/>
          <w:sz w:val="20"/>
        </w:rPr>
        <w:t> </w:t>
      </w:r>
      <w:r>
        <w:rPr>
          <w:i/>
          <w:color w:val="231F20"/>
          <w:sz w:val="20"/>
        </w:rPr>
        <w:t>Soares,</w:t>
      </w:r>
      <w:r>
        <w:rPr>
          <w:i/>
          <w:color w:val="231F20"/>
          <w:spacing w:val="40"/>
          <w:sz w:val="20"/>
        </w:rPr>
        <w:t> </w:t>
      </w:r>
      <w:r>
        <w:rPr>
          <w:i/>
          <w:color w:val="231F20"/>
          <w:sz w:val="20"/>
        </w:rPr>
        <w:t>Joana</w:t>
      </w:r>
      <w:r>
        <w:rPr>
          <w:i/>
          <w:color w:val="231F20"/>
          <w:spacing w:val="40"/>
          <w:sz w:val="20"/>
        </w:rPr>
        <w:t> </w:t>
      </w:r>
      <w:r>
        <w:rPr>
          <w:i/>
          <w:color w:val="231F20"/>
          <w:sz w:val="20"/>
        </w:rPr>
        <w:t>Duarte</w:t>
      </w:r>
      <w:r>
        <w:rPr>
          <w:i/>
          <w:color w:val="231F20"/>
          <w:spacing w:val="40"/>
          <w:sz w:val="20"/>
        </w:rPr>
        <w:t> </w:t>
      </w:r>
      <w:r>
        <w:rPr>
          <w:i/>
          <w:color w:val="231F20"/>
          <w:sz w:val="20"/>
        </w:rPr>
        <w:t>&amp;</w:t>
      </w:r>
      <w:r>
        <w:rPr>
          <w:i/>
          <w:color w:val="231F20"/>
          <w:spacing w:val="40"/>
          <w:sz w:val="20"/>
        </w:rPr>
        <w:t> </w:t>
      </w:r>
      <w:r>
        <w:rPr>
          <w:i/>
          <w:color w:val="231F20"/>
          <w:sz w:val="20"/>
        </w:rPr>
        <w:t>Mirjam</w:t>
      </w:r>
      <w:r>
        <w:rPr>
          <w:i/>
          <w:color w:val="231F20"/>
          <w:spacing w:val="40"/>
          <w:sz w:val="20"/>
        </w:rPr>
        <w:t> </w:t>
      </w:r>
      <w:r>
        <w:rPr>
          <w:i/>
          <w:color w:val="231F20"/>
          <w:sz w:val="20"/>
        </w:rPr>
        <w:t>Günther-van</w:t>
      </w:r>
      <w:r>
        <w:rPr>
          <w:i/>
          <w:color w:val="231F20"/>
          <w:spacing w:val="40"/>
          <w:sz w:val="20"/>
        </w:rPr>
        <w:t> </w:t>
      </w:r>
      <w:r>
        <w:rPr>
          <w:i/>
          <w:color w:val="231F20"/>
          <w:sz w:val="20"/>
        </w:rPr>
        <w:t>der Meij (2021) ‘Red is the colour of the heart’: making young children’s multilingualism visible through language portraits, Language and Education, 35:1, 22-41, DOI: </w:t>
      </w:r>
      <w:r>
        <w:rPr>
          <w:i/>
          <w:color w:val="231F20"/>
          <w:spacing w:val="-2"/>
          <w:sz w:val="20"/>
        </w:rPr>
        <w:t>10.1080/09500782.2020.1833911</w:t>
      </w:r>
    </w:p>
    <w:p>
      <w:pPr>
        <w:pStyle w:val="BodyText"/>
        <w:spacing w:line="242" w:lineRule="auto"/>
      </w:pPr>
      <w:r>
        <w:rPr/>
        <w:t>Для проведения упражнения необходимы следующие материалы: </w:t>
      </w:r>
      <w:r>
        <w:rPr>
          <w:color w:val="231F20"/>
        </w:rPr>
        <w:t>бумажные фи- гурки человечков, цветные карандаши или фломастеры.</w:t>
      </w:r>
    </w:p>
    <w:p>
      <w:pPr>
        <w:pStyle w:val="BodyText"/>
        <w:spacing w:line="229" w:lineRule="exact"/>
        <w:ind w:left="425" w:right="0" w:firstLine="0"/>
        <w:jc w:val="left"/>
      </w:pPr>
      <w:r>
        <w:rPr>
          <w:color w:val="231F20"/>
          <w:spacing w:val="-2"/>
        </w:rPr>
        <w:t>Инструкция</w:t>
      </w:r>
    </w:p>
    <w:p>
      <w:pPr>
        <w:spacing w:before="1"/>
        <w:ind w:left="141" w:right="139" w:firstLine="283"/>
        <w:jc w:val="both"/>
        <w:rPr>
          <w:i/>
          <w:sz w:val="20"/>
        </w:rPr>
      </w:pPr>
      <w:r>
        <w:rPr>
          <w:i/>
          <w:color w:val="231F20"/>
          <w:sz w:val="20"/>
        </w:rPr>
        <w:t>– Вокруг каждого из нас существует множество разных языков. Это язык, на котором</w:t>
      </w:r>
      <w:r>
        <w:rPr>
          <w:i/>
          <w:color w:val="231F20"/>
          <w:spacing w:val="-6"/>
          <w:sz w:val="20"/>
        </w:rPr>
        <w:t> </w:t>
      </w:r>
      <w:r>
        <w:rPr>
          <w:i/>
          <w:color w:val="231F20"/>
          <w:sz w:val="20"/>
        </w:rPr>
        <w:t>говорим</w:t>
      </w:r>
      <w:r>
        <w:rPr>
          <w:i/>
          <w:color w:val="231F20"/>
          <w:spacing w:val="-6"/>
          <w:sz w:val="20"/>
        </w:rPr>
        <w:t> </w:t>
      </w:r>
      <w:r>
        <w:rPr>
          <w:i/>
          <w:color w:val="231F20"/>
          <w:sz w:val="20"/>
        </w:rPr>
        <w:t>мы</w:t>
      </w:r>
      <w:r>
        <w:rPr>
          <w:i/>
          <w:color w:val="231F20"/>
          <w:spacing w:val="-6"/>
          <w:sz w:val="20"/>
        </w:rPr>
        <w:t> </w:t>
      </w:r>
      <w:r>
        <w:rPr>
          <w:i/>
          <w:color w:val="231F20"/>
          <w:sz w:val="20"/>
        </w:rPr>
        <w:t>сами,</w:t>
      </w:r>
      <w:r>
        <w:rPr>
          <w:i/>
          <w:color w:val="231F20"/>
          <w:spacing w:val="-6"/>
          <w:sz w:val="20"/>
        </w:rPr>
        <w:t> </w:t>
      </w:r>
      <w:r>
        <w:rPr>
          <w:i/>
          <w:color w:val="231F20"/>
          <w:sz w:val="20"/>
        </w:rPr>
        <w:t>языки,</w:t>
      </w:r>
      <w:r>
        <w:rPr>
          <w:i/>
          <w:color w:val="231F20"/>
          <w:spacing w:val="-6"/>
          <w:sz w:val="20"/>
        </w:rPr>
        <w:t> </w:t>
      </w:r>
      <w:r>
        <w:rPr>
          <w:i/>
          <w:color w:val="231F20"/>
          <w:sz w:val="20"/>
        </w:rPr>
        <w:t>на</w:t>
      </w:r>
      <w:r>
        <w:rPr>
          <w:i/>
          <w:color w:val="231F20"/>
          <w:spacing w:val="-6"/>
          <w:sz w:val="20"/>
        </w:rPr>
        <w:t> </w:t>
      </w:r>
      <w:r>
        <w:rPr>
          <w:i/>
          <w:color w:val="231F20"/>
          <w:sz w:val="20"/>
        </w:rPr>
        <w:t>которых</w:t>
      </w:r>
      <w:r>
        <w:rPr>
          <w:i/>
          <w:color w:val="231F20"/>
          <w:spacing w:val="-6"/>
          <w:sz w:val="20"/>
        </w:rPr>
        <w:t> </w:t>
      </w:r>
      <w:r>
        <w:rPr>
          <w:i/>
          <w:color w:val="231F20"/>
          <w:sz w:val="20"/>
        </w:rPr>
        <w:t>говорили</w:t>
      </w:r>
      <w:r>
        <w:rPr>
          <w:i/>
          <w:color w:val="231F20"/>
          <w:spacing w:val="-6"/>
          <w:sz w:val="20"/>
        </w:rPr>
        <w:t> </w:t>
      </w:r>
      <w:r>
        <w:rPr>
          <w:i/>
          <w:color w:val="231F20"/>
          <w:sz w:val="20"/>
        </w:rPr>
        <w:t>наши</w:t>
      </w:r>
      <w:r>
        <w:rPr>
          <w:i/>
          <w:color w:val="231F20"/>
          <w:spacing w:val="-6"/>
          <w:sz w:val="20"/>
        </w:rPr>
        <w:t> </w:t>
      </w:r>
      <w:r>
        <w:rPr>
          <w:i/>
          <w:color w:val="231F20"/>
          <w:sz w:val="20"/>
        </w:rPr>
        <w:t>родители</w:t>
      </w:r>
      <w:r>
        <w:rPr>
          <w:i/>
          <w:color w:val="231F20"/>
          <w:spacing w:val="-6"/>
          <w:sz w:val="20"/>
        </w:rPr>
        <w:t> </w:t>
      </w:r>
      <w:r>
        <w:rPr>
          <w:i/>
          <w:color w:val="231F20"/>
          <w:sz w:val="20"/>
        </w:rPr>
        <w:t>или</w:t>
      </w:r>
      <w:r>
        <w:rPr>
          <w:i/>
          <w:color w:val="231F20"/>
          <w:spacing w:val="-6"/>
          <w:sz w:val="20"/>
        </w:rPr>
        <w:t> </w:t>
      </w:r>
      <w:r>
        <w:rPr>
          <w:i/>
          <w:color w:val="231F20"/>
          <w:sz w:val="20"/>
        </w:rPr>
        <w:t>бабушки с дедушками, языки, на которых говорят наши друзья или которые мы сами хотим выучить. Я попрошу тебя сделать твой языковой портрет. Подумай, какие языки ты бы хотел включить в свой портрет. Выбери цвет для каждого языка. Возьми фигурку</w:t>
      </w:r>
      <w:r>
        <w:rPr>
          <w:i/>
          <w:color w:val="231F20"/>
          <w:spacing w:val="-4"/>
          <w:sz w:val="20"/>
        </w:rPr>
        <w:t> </w:t>
      </w:r>
      <w:r>
        <w:rPr>
          <w:i/>
          <w:color w:val="231F20"/>
          <w:sz w:val="20"/>
        </w:rPr>
        <w:t>и</w:t>
      </w:r>
      <w:r>
        <w:rPr>
          <w:i/>
          <w:color w:val="231F20"/>
          <w:spacing w:val="-4"/>
          <w:sz w:val="20"/>
        </w:rPr>
        <w:t> </w:t>
      </w:r>
      <w:r>
        <w:rPr>
          <w:i/>
          <w:color w:val="231F20"/>
          <w:sz w:val="20"/>
        </w:rPr>
        <w:t>раскрась</w:t>
      </w:r>
      <w:r>
        <w:rPr>
          <w:i/>
          <w:color w:val="231F20"/>
          <w:spacing w:val="-4"/>
          <w:sz w:val="20"/>
        </w:rPr>
        <w:t> </w:t>
      </w:r>
      <w:r>
        <w:rPr>
          <w:i/>
          <w:color w:val="231F20"/>
          <w:sz w:val="20"/>
        </w:rPr>
        <w:t>ее</w:t>
      </w:r>
      <w:r>
        <w:rPr>
          <w:i/>
          <w:color w:val="231F20"/>
          <w:spacing w:val="-4"/>
          <w:sz w:val="20"/>
        </w:rPr>
        <w:t> </w:t>
      </w:r>
      <w:r>
        <w:rPr>
          <w:i/>
          <w:color w:val="231F20"/>
          <w:sz w:val="20"/>
        </w:rPr>
        <w:t>так,</w:t>
      </w:r>
      <w:r>
        <w:rPr>
          <w:i/>
          <w:color w:val="231F20"/>
          <w:spacing w:val="-4"/>
          <w:sz w:val="20"/>
        </w:rPr>
        <w:t> </w:t>
      </w:r>
      <w:r>
        <w:rPr>
          <w:i/>
          <w:color w:val="231F20"/>
          <w:sz w:val="20"/>
        </w:rPr>
        <w:t>чтобы</w:t>
      </w:r>
      <w:r>
        <w:rPr>
          <w:i/>
          <w:color w:val="231F20"/>
          <w:spacing w:val="-4"/>
          <w:sz w:val="20"/>
        </w:rPr>
        <w:t> </w:t>
      </w:r>
      <w:r>
        <w:rPr>
          <w:i/>
          <w:color w:val="231F20"/>
          <w:sz w:val="20"/>
        </w:rPr>
        <w:t>включить</w:t>
      </w:r>
      <w:r>
        <w:rPr>
          <w:i/>
          <w:color w:val="231F20"/>
          <w:spacing w:val="-4"/>
          <w:sz w:val="20"/>
        </w:rPr>
        <w:t> </w:t>
      </w:r>
      <w:r>
        <w:rPr>
          <w:i/>
          <w:color w:val="231F20"/>
          <w:sz w:val="20"/>
        </w:rPr>
        <w:t>туда</w:t>
      </w:r>
      <w:r>
        <w:rPr>
          <w:i/>
          <w:color w:val="231F20"/>
          <w:spacing w:val="-4"/>
          <w:sz w:val="20"/>
        </w:rPr>
        <w:t> </w:t>
      </w:r>
      <w:r>
        <w:rPr>
          <w:i/>
          <w:color w:val="231F20"/>
          <w:sz w:val="20"/>
        </w:rPr>
        <w:t>цвета</w:t>
      </w:r>
      <w:r>
        <w:rPr>
          <w:i/>
          <w:color w:val="231F20"/>
          <w:spacing w:val="-4"/>
          <w:sz w:val="20"/>
        </w:rPr>
        <w:t> </w:t>
      </w:r>
      <w:r>
        <w:rPr>
          <w:i/>
          <w:color w:val="231F20"/>
          <w:sz w:val="20"/>
        </w:rPr>
        <w:t>всех</w:t>
      </w:r>
      <w:r>
        <w:rPr>
          <w:i/>
          <w:color w:val="231F20"/>
          <w:spacing w:val="-4"/>
          <w:sz w:val="20"/>
        </w:rPr>
        <w:t> </w:t>
      </w:r>
      <w:r>
        <w:rPr>
          <w:i/>
          <w:color w:val="231F20"/>
          <w:sz w:val="20"/>
        </w:rPr>
        <w:t>языков,</w:t>
      </w:r>
      <w:r>
        <w:rPr>
          <w:i/>
          <w:color w:val="231F20"/>
          <w:spacing w:val="-4"/>
          <w:sz w:val="20"/>
        </w:rPr>
        <w:t> </w:t>
      </w:r>
      <w:r>
        <w:rPr>
          <w:i/>
          <w:color w:val="231F20"/>
          <w:sz w:val="20"/>
        </w:rPr>
        <w:t>которые</w:t>
      </w:r>
      <w:r>
        <w:rPr>
          <w:i/>
          <w:color w:val="231F20"/>
          <w:spacing w:val="-4"/>
          <w:sz w:val="20"/>
        </w:rPr>
        <w:t> </w:t>
      </w:r>
      <w:r>
        <w:rPr>
          <w:i/>
          <w:color w:val="231F20"/>
          <w:sz w:val="20"/>
        </w:rPr>
        <w:t>тебя </w:t>
      </w:r>
      <w:r>
        <w:rPr>
          <w:i/>
          <w:color w:val="231F20"/>
          <w:spacing w:val="-2"/>
          <w:sz w:val="20"/>
        </w:rPr>
        <w:t>окружают.</w:t>
      </w:r>
    </w:p>
    <w:p>
      <w:pPr>
        <w:spacing w:after="0"/>
        <w:jc w:val="both"/>
        <w:rPr>
          <w:i/>
          <w:sz w:val="20"/>
        </w:rPr>
        <w:sectPr>
          <w:pgSz w:w="8400" w:h="11910"/>
          <w:pgMar w:header="0" w:footer="529" w:top="400" w:bottom="740" w:left="425" w:right="425"/>
        </w:sectPr>
      </w:pPr>
    </w:p>
    <w:p>
      <w:pPr>
        <w:pStyle w:val="ListParagraph"/>
        <w:numPr>
          <w:ilvl w:val="1"/>
          <w:numId w:val="220"/>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Приемы</w:t>
      </w:r>
      <w:r>
        <w:rPr>
          <w:rFonts w:ascii="Georgia" w:hAnsi="Georgia"/>
          <w:color w:val="231F20"/>
          <w:spacing w:val="2"/>
          <w:sz w:val="18"/>
        </w:rPr>
        <w:t> </w:t>
      </w:r>
      <w:r>
        <w:rPr>
          <w:rFonts w:ascii="Georgia" w:hAnsi="Georgia"/>
          <w:color w:val="231F20"/>
          <w:sz w:val="18"/>
        </w:rPr>
        <w:t>обсуждения</w:t>
      </w:r>
      <w:r>
        <w:rPr>
          <w:rFonts w:ascii="Georgia" w:hAnsi="Georgia"/>
          <w:color w:val="231F20"/>
          <w:spacing w:val="2"/>
          <w:sz w:val="18"/>
        </w:rPr>
        <w:t> </w:t>
      </w:r>
      <w:r>
        <w:rPr>
          <w:rFonts w:ascii="Georgia" w:hAnsi="Georgia"/>
          <w:color w:val="231F20"/>
          <w:sz w:val="18"/>
        </w:rPr>
        <w:t>трудностей</w:t>
      </w:r>
      <w:r>
        <w:rPr>
          <w:rFonts w:ascii="Georgia" w:hAnsi="Georgia"/>
          <w:color w:val="231F20"/>
          <w:spacing w:val="2"/>
          <w:sz w:val="18"/>
        </w:rPr>
        <w:t> </w:t>
      </w:r>
      <w:r>
        <w:rPr>
          <w:rFonts w:ascii="Georgia" w:hAnsi="Georgia"/>
          <w:color w:val="231F20"/>
          <w:sz w:val="18"/>
        </w:rPr>
        <w:t>...</w:t>
      </w:r>
      <w:r>
        <w:rPr>
          <w:rFonts w:ascii="Georgia" w:hAnsi="Georgia"/>
          <w:color w:val="231F20"/>
          <w:spacing w:val="2"/>
          <w:sz w:val="18"/>
        </w:rPr>
        <w:t> </w:t>
      </w:r>
      <w:r>
        <w:rPr>
          <w:rFonts w:ascii="Georgia" w:hAnsi="Georgia"/>
          <w:color w:val="231F20"/>
          <w:sz w:val="18"/>
        </w:rPr>
        <w:t>описание</w:t>
      </w:r>
      <w:r>
        <w:rPr>
          <w:rFonts w:ascii="Georgia" w:hAnsi="Georgia"/>
          <w:color w:val="231F20"/>
          <w:spacing w:val="2"/>
          <w:sz w:val="18"/>
        </w:rPr>
        <w:t> </w:t>
      </w:r>
      <w:r>
        <w:rPr>
          <w:rFonts w:ascii="Georgia" w:hAnsi="Georgia"/>
          <w:color w:val="231F20"/>
          <w:sz w:val="18"/>
        </w:rPr>
        <w:t>конкретных</w:t>
      </w:r>
      <w:r>
        <w:rPr>
          <w:rFonts w:ascii="Georgia" w:hAnsi="Georgia"/>
          <w:color w:val="231F20"/>
          <w:spacing w:val="2"/>
          <w:sz w:val="18"/>
        </w:rPr>
        <w:t> </w:t>
      </w:r>
      <w:r>
        <w:rPr>
          <w:rFonts w:ascii="Georgia" w:hAnsi="Georgia"/>
          <w:color w:val="231F20"/>
          <w:spacing w:val="-2"/>
          <w:sz w:val="18"/>
        </w:rPr>
        <w:t>активностей</w:t>
      </w:r>
    </w:p>
    <w:p>
      <w:pPr>
        <w:pStyle w:val="BodyText"/>
        <w:spacing w:line="235" w:lineRule="auto" w:before="116"/>
      </w:pPr>
      <w:r>
        <w:rPr>
          <w:color w:val="231F20"/>
          <w:spacing w:val="-2"/>
        </w:rPr>
        <w:t>Когда</w:t>
      </w:r>
      <w:r>
        <w:rPr>
          <w:color w:val="231F20"/>
          <w:spacing w:val="-5"/>
        </w:rPr>
        <w:t> </w:t>
      </w:r>
      <w:r>
        <w:rPr>
          <w:color w:val="231F20"/>
          <w:spacing w:val="-2"/>
        </w:rPr>
        <w:t>ребенок</w:t>
      </w:r>
      <w:r>
        <w:rPr>
          <w:color w:val="231F20"/>
          <w:spacing w:val="-5"/>
        </w:rPr>
        <w:t> </w:t>
      </w:r>
      <w:r>
        <w:rPr>
          <w:color w:val="231F20"/>
          <w:spacing w:val="-2"/>
        </w:rPr>
        <w:t>завершает</w:t>
      </w:r>
      <w:r>
        <w:rPr>
          <w:color w:val="231F20"/>
          <w:spacing w:val="-5"/>
        </w:rPr>
        <w:t> </w:t>
      </w:r>
      <w:r>
        <w:rPr>
          <w:color w:val="231F20"/>
          <w:spacing w:val="-2"/>
        </w:rPr>
        <w:t>работу,</w:t>
      </w:r>
      <w:r>
        <w:rPr>
          <w:color w:val="231F20"/>
          <w:spacing w:val="-5"/>
        </w:rPr>
        <w:t> </w:t>
      </w:r>
      <w:r>
        <w:rPr>
          <w:color w:val="231F20"/>
          <w:spacing w:val="-2"/>
        </w:rPr>
        <w:t>необходимо</w:t>
      </w:r>
      <w:r>
        <w:rPr>
          <w:color w:val="231F20"/>
          <w:spacing w:val="-5"/>
        </w:rPr>
        <w:t> </w:t>
      </w:r>
      <w:r>
        <w:rPr>
          <w:color w:val="231F20"/>
          <w:spacing w:val="-2"/>
        </w:rPr>
        <w:t>попросить</w:t>
      </w:r>
      <w:r>
        <w:rPr>
          <w:color w:val="231F20"/>
          <w:spacing w:val="-5"/>
        </w:rPr>
        <w:t> </w:t>
      </w:r>
      <w:r>
        <w:rPr>
          <w:color w:val="231F20"/>
          <w:spacing w:val="-2"/>
        </w:rPr>
        <w:t>его</w:t>
      </w:r>
      <w:r>
        <w:rPr>
          <w:color w:val="231F20"/>
          <w:spacing w:val="-5"/>
        </w:rPr>
        <w:t> </w:t>
      </w:r>
      <w:r>
        <w:rPr>
          <w:color w:val="231F20"/>
          <w:spacing w:val="-2"/>
        </w:rPr>
        <w:t>рассказать,</w:t>
      </w:r>
      <w:r>
        <w:rPr>
          <w:color w:val="231F20"/>
          <w:spacing w:val="-5"/>
        </w:rPr>
        <w:t> </w:t>
      </w:r>
      <w:r>
        <w:rPr>
          <w:color w:val="231F20"/>
          <w:spacing w:val="-2"/>
        </w:rPr>
        <w:t>какие</w:t>
      </w:r>
      <w:r>
        <w:rPr>
          <w:color w:val="231F20"/>
          <w:spacing w:val="-5"/>
        </w:rPr>
        <w:t> </w:t>
      </w:r>
      <w:r>
        <w:rPr>
          <w:color w:val="231F20"/>
          <w:spacing w:val="-2"/>
        </w:rPr>
        <w:t>язы- </w:t>
      </w:r>
      <w:r>
        <w:rPr>
          <w:color w:val="231F20"/>
        </w:rPr>
        <w:t>ки он включил и почему.</w:t>
      </w:r>
    </w:p>
    <w:p>
      <w:pPr>
        <w:spacing w:line="228" w:lineRule="exact" w:before="111"/>
        <w:ind w:left="425" w:right="0" w:firstLine="0"/>
        <w:jc w:val="both"/>
        <w:rPr>
          <w:b/>
          <w:sz w:val="20"/>
        </w:rPr>
      </w:pPr>
      <w:r>
        <w:rPr>
          <w:b/>
          <w:color w:val="231F20"/>
          <w:sz w:val="20"/>
        </w:rPr>
        <w:t>«Рисунок</w:t>
      </w:r>
      <w:r>
        <w:rPr>
          <w:b/>
          <w:color w:val="231F20"/>
          <w:spacing w:val="-10"/>
          <w:sz w:val="20"/>
        </w:rPr>
        <w:t> </w:t>
      </w:r>
      <w:r>
        <w:rPr>
          <w:b/>
          <w:color w:val="231F20"/>
          <w:sz w:val="20"/>
        </w:rPr>
        <w:t>моего</w:t>
      </w:r>
      <w:r>
        <w:rPr>
          <w:b/>
          <w:color w:val="231F20"/>
          <w:spacing w:val="-8"/>
          <w:sz w:val="20"/>
        </w:rPr>
        <w:t> </w:t>
      </w:r>
      <w:r>
        <w:rPr>
          <w:b/>
          <w:color w:val="231F20"/>
          <w:spacing w:val="-2"/>
          <w:sz w:val="20"/>
        </w:rPr>
        <w:t>имени»</w:t>
      </w:r>
    </w:p>
    <w:p>
      <w:pPr>
        <w:spacing w:line="228" w:lineRule="exact" w:before="0"/>
        <w:ind w:left="425" w:right="0" w:firstLine="0"/>
        <w:jc w:val="both"/>
        <w:rPr>
          <w:i/>
          <w:sz w:val="20"/>
        </w:rPr>
      </w:pPr>
      <w:r>
        <w:rPr>
          <w:i/>
          <w:color w:val="231F20"/>
          <w:spacing w:val="-4"/>
          <w:sz w:val="20"/>
        </w:rPr>
        <w:t>Источник:</w:t>
      </w:r>
      <w:r>
        <w:rPr>
          <w:i/>
          <w:color w:val="231F20"/>
          <w:spacing w:val="-7"/>
          <w:sz w:val="20"/>
        </w:rPr>
        <w:t> </w:t>
      </w:r>
      <w:r>
        <w:rPr>
          <w:i/>
          <w:color w:val="231F20"/>
          <w:spacing w:val="-4"/>
          <w:sz w:val="20"/>
        </w:rPr>
        <w:t>выполненная</w:t>
      </w:r>
      <w:r>
        <w:rPr>
          <w:i/>
          <w:color w:val="231F20"/>
          <w:spacing w:val="-7"/>
          <w:sz w:val="20"/>
        </w:rPr>
        <w:t> </w:t>
      </w:r>
      <w:r>
        <w:rPr>
          <w:i/>
          <w:color w:val="231F20"/>
          <w:spacing w:val="-4"/>
          <w:sz w:val="20"/>
        </w:rPr>
        <w:t>М.Ю.</w:t>
      </w:r>
      <w:r>
        <w:rPr>
          <w:i/>
          <w:color w:val="231F20"/>
          <w:spacing w:val="-7"/>
          <w:sz w:val="20"/>
        </w:rPr>
        <w:t> </w:t>
      </w:r>
      <w:r>
        <w:rPr>
          <w:i/>
          <w:color w:val="231F20"/>
          <w:spacing w:val="-4"/>
          <w:sz w:val="20"/>
        </w:rPr>
        <w:t>Чибисовой</w:t>
      </w:r>
      <w:r>
        <w:rPr>
          <w:i/>
          <w:color w:val="231F20"/>
          <w:spacing w:val="-6"/>
          <w:sz w:val="20"/>
        </w:rPr>
        <w:t> </w:t>
      </w:r>
      <w:r>
        <w:rPr>
          <w:i/>
          <w:color w:val="231F20"/>
          <w:spacing w:val="-4"/>
          <w:sz w:val="20"/>
        </w:rPr>
        <w:t>модификация</w:t>
      </w:r>
      <w:r>
        <w:rPr>
          <w:i/>
          <w:color w:val="231F20"/>
          <w:spacing w:val="-7"/>
          <w:sz w:val="20"/>
        </w:rPr>
        <w:t> </w:t>
      </w:r>
      <w:r>
        <w:rPr>
          <w:i/>
          <w:color w:val="231F20"/>
          <w:spacing w:val="-4"/>
          <w:sz w:val="20"/>
        </w:rPr>
        <w:t>упражнения</w:t>
      </w:r>
      <w:r>
        <w:rPr>
          <w:i/>
          <w:color w:val="231F20"/>
          <w:spacing w:val="-7"/>
          <w:sz w:val="20"/>
        </w:rPr>
        <w:t> </w:t>
      </w:r>
      <w:r>
        <w:rPr>
          <w:i/>
          <w:color w:val="231F20"/>
          <w:spacing w:val="-4"/>
          <w:sz w:val="20"/>
        </w:rPr>
        <w:t>О.В.</w:t>
      </w:r>
      <w:r>
        <w:rPr>
          <w:i/>
          <w:color w:val="231F20"/>
          <w:spacing w:val="-6"/>
          <w:sz w:val="20"/>
        </w:rPr>
        <w:t> </w:t>
      </w:r>
      <w:r>
        <w:rPr>
          <w:i/>
          <w:color w:val="231F20"/>
          <w:spacing w:val="-4"/>
          <w:sz w:val="20"/>
        </w:rPr>
        <w:t>Хухлаевой.</w:t>
      </w:r>
    </w:p>
    <w:p>
      <w:pPr>
        <w:pStyle w:val="BodyText"/>
        <w:spacing w:line="235" w:lineRule="auto" w:before="56"/>
      </w:pPr>
      <w:r>
        <w:rPr>
          <w:color w:val="231F20"/>
        </w:rPr>
        <w:t>Психолог</w:t>
      </w:r>
      <w:r>
        <w:rPr>
          <w:color w:val="231F20"/>
          <w:spacing w:val="-9"/>
        </w:rPr>
        <w:t> </w:t>
      </w:r>
      <w:r>
        <w:rPr>
          <w:color w:val="231F20"/>
        </w:rPr>
        <w:t>проводит</w:t>
      </w:r>
      <w:r>
        <w:rPr>
          <w:color w:val="231F20"/>
          <w:spacing w:val="-9"/>
        </w:rPr>
        <w:t> </w:t>
      </w:r>
      <w:r>
        <w:rPr>
          <w:color w:val="231F20"/>
        </w:rPr>
        <w:t>с</w:t>
      </w:r>
      <w:r>
        <w:rPr>
          <w:color w:val="231F20"/>
          <w:spacing w:val="-9"/>
        </w:rPr>
        <w:t> </w:t>
      </w:r>
      <w:r>
        <w:rPr>
          <w:color w:val="231F20"/>
        </w:rPr>
        <w:t>ребенком</w:t>
      </w:r>
      <w:r>
        <w:rPr>
          <w:color w:val="231F20"/>
          <w:spacing w:val="-9"/>
        </w:rPr>
        <w:t> </w:t>
      </w:r>
      <w:r>
        <w:rPr>
          <w:color w:val="231F20"/>
        </w:rPr>
        <w:t>беседу</w:t>
      </w:r>
      <w:r>
        <w:rPr>
          <w:color w:val="231F20"/>
          <w:spacing w:val="-9"/>
        </w:rPr>
        <w:t> </w:t>
      </w:r>
      <w:r>
        <w:rPr>
          <w:color w:val="231F20"/>
        </w:rPr>
        <w:t>о</w:t>
      </w:r>
      <w:r>
        <w:rPr>
          <w:color w:val="231F20"/>
          <w:spacing w:val="-9"/>
        </w:rPr>
        <w:t> </w:t>
      </w:r>
      <w:r>
        <w:rPr>
          <w:color w:val="231F20"/>
        </w:rPr>
        <w:t>его</w:t>
      </w:r>
      <w:r>
        <w:rPr>
          <w:color w:val="231F20"/>
          <w:spacing w:val="-9"/>
        </w:rPr>
        <w:t> </w:t>
      </w:r>
      <w:r>
        <w:rPr>
          <w:color w:val="231F20"/>
        </w:rPr>
        <w:t>имени.</w:t>
      </w:r>
      <w:r>
        <w:rPr>
          <w:color w:val="231F20"/>
          <w:spacing w:val="-9"/>
        </w:rPr>
        <w:t> </w:t>
      </w:r>
      <w:r>
        <w:rPr>
          <w:color w:val="231F20"/>
        </w:rPr>
        <w:t>Важно</w:t>
      </w:r>
      <w:r>
        <w:rPr>
          <w:color w:val="231F20"/>
          <w:spacing w:val="-9"/>
        </w:rPr>
        <w:t> </w:t>
      </w:r>
      <w:r>
        <w:rPr>
          <w:color w:val="231F20"/>
        </w:rPr>
        <w:t>отметить,</w:t>
      </w:r>
      <w:r>
        <w:rPr>
          <w:color w:val="231F20"/>
          <w:spacing w:val="-9"/>
        </w:rPr>
        <w:t> </w:t>
      </w:r>
      <w:r>
        <w:rPr>
          <w:color w:val="231F20"/>
        </w:rPr>
        <w:t>что</w:t>
      </w:r>
      <w:r>
        <w:rPr>
          <w:color w:val="231F20"/>
          <w:spacing w:val="-9"/>
        </w:rPr>
        <w:t> </w:t>
      </w:r>
      <w:r>
        <w:rPr>
          <w:color w:val="231F20"/>
        </w:rPr>
        <w:t>имя</w:t>
      </w:r>
      <w:r>
        <w:rPr>
          <w:color w:val="231F20"/>
          <w:spacing w:val="-9"/>
        </w:rPr>
        <w:t> </w:t>
      </w:r>
      <w:r>
        <w:rPr>
          <w:color w:val="231F20"/>
        </w:rPr>
        <w:t>каж- дого человека показывает его уникальность. Вместе с тем имя – это связь с нашей семьей</w:t>
      </w:r>
      <w:r>
        <w:rPr>
          <w:color w:val="231F20"/>
          <w:spacing w:val="-13"/>
        </w:rPr>
        <w:t> </w:t>
      </w:r>
      <w:r>
        <w:rPr>
          <w:color w:val="231F20"/>
        </w:rPr>
        <w:t>и</w:t>
      </w:r>
      <w:r>
        <w:rPr>
          <w:color w:val="231F20"/>
          <w:spacing w:val="-12"/>
        </w:rPr>
        <w:t> </w:t>
      </w:r>
      <w:r>
        <w:rPr>
          <w:color w:val="231F20"/>
        </w:rPr>
        <w:t>с</w:t>
      </w:r>
      <w:r>
        <w:rPr>
          <w:color w:val="231F20"/>
          <w:spacing w:val="-13"/>
        </w:rPr>
        <w:t> </w:t>
      </w:r>
      <w:r>
        <w:rPr>
          <w:color w:val="231F20"/>
        </w:rPr>
        <w:t>нашей</w:t>
      </w:r>
      <w:r>
        <w:rPr>
          <w:color w:val="231F20"/>
          <w:spacing w:val="-12"/>
        </w:rPr>
        <w:t> </w:t>
      </w:r>
      <w:r>
        <w:rPr>
          <w:color w:val="231F20"/>
        </w:rPr>
        <w:t>культурой.</w:t>
      </w:r>
      <w:r>
        <w:rPr>
          <w:color w:val="231F20"/>
          <w:spacing w:val="-13"/>
        </w:rPr>
        <w:t> </w:t>
      </w:r>
      <w:r>
        <w:rPr>
          <w:color w:val="231F20"/>
        </w:rPr>
        <w:t>Психолог</w:t>
      </w:r>
      <w:r>
        <w:rPr>
          <w:color w:val="231F20"/>
          <w:spacing w:val="-12"/>
        </w:rPr>
        <w:t> </w:t>
      </w:r>
      <w:r>
        <w:rPr>
          <w:color w:val="231F20"/>
        </w:rPr>
        <w:t>может</w:t>
      </w:r>
      <w:r>
        <w:rPr>
          <w:color w:val="231F20"/>
          <w:spacing w:val="-13"/>
        </w:rPr>
        <w:t> </w:t>
      </w:r>
      <w:r>
        <w:rPr>
          <w:color w:val="231F20"/>
        </w:rPr>
        <w:t>поделиться</w:t>
      </w:r>
      <w:r>
        <w:rPr>
          <w:color w:val="231F20"/>
          <w:spacing w:val="-12"/>
        </w:rPr>
        <w:t> </w:t>
      </w:r>
      <w:r>
        <w:rPr>
          <w:color w:val="231F20"/>
        </w:rPr>
        <w:t>с</w:t>
      </w:r>
      <w:r>
        <w:rPr>
          <w:color w:val="231F20"/>
          <w:spacing w:val="-13"/>
        </w:rPr>
        <w:t> </w:t>
      </w:r>
      <w:r>
        <w:rPr>
          <w:color w:val="231F20"/>
        </w:rPr>
        <w:t>ребенком</w:t>
      </w:r>
      <w:r>
        <w:rPr>
          <w:color w:val="231F20"/>
          <w:spacing w:val="-12"/>
        </w:rPr>
        <w:t> </w:t>
      </w:r>
      <w:r>
        <w:rPr>
          <w:color w:val="231F20"/>
        </w:rPr>
        <w:t>историей</w:t>
      </w:r>
      <w:r>
        <w:rPr>
          <w:color w:val="231F20"/>
          <w:spacing w:val="-13"/>
        </w:rPr>
        <w:t> </w:t>
      </w:r>
      <w:r>
        <w:rPr>
          <w:color w:val="231F20"/>
        </w:rPr>
        <w:t>своего собственного имени, рассказать, что это имя означает и почему его назвали именно так. Психолог спрашивает ребенка, что значит его имя, почему его так назвали, есть ли</w:t>
      </w:r>
      <w:r>
        <w:rPr>
          <w:color w:val="231F20"/>
          <w:spacing w:val="-7"/>
        </w:rPr>
        <w:t> </w:t>
      </w:r>
      <w:r>
        <w:rPr>
          <w:color w:val="231F20"/>
        </w:rPr>
        <w:t>в</w:t>
      </w:r>
      <w:r>
        <w:rPr>
          <w:color w:val="231F20"/>
          <w:spacing w:val="-7"/>
        </w:rPr>
        <w:t> </w:t>
      </w:r>
      <w:r>
        <w:rPr>
          <w:color w:val="231F20"/>
        </w:rPr>
        <w:t>семье</w:t>
      </w:r>
      <w:r>
        <w:rPr>
          <w:color w:val="231F20"/>
          <w:spacing w:val="-7"/>
        </w:rPr>
        <w:t> </w:t>
      </w:r>
      <w:r>
        <w:rPr>
          <w:color w:val="231F20"/>
        </w:rPr>
        <w:t>еще</w:t>
      </w:r>
      <w:r>
        <w:rPr>
          <w:color w:val="231F20"/>
          <w:spacing w:val="-7"/>
        </w:rPr>
        <w:t> </w:t>
      </w:r>
      <w:r>
        <w:rPr>
          <w:color w:val="231F20"/>
        </w:rPr>
        <w:t>кто-то</w:t>
      </w:r>
      <w:r>
        <w:rPr>
          <w:color w:val="231F20"/>
          <w:spacing w:val="-7"/>
        </w:rPr>
        <w:t> </w:t>
      </w:r>
      <w:r>
        <w:rPr>
          <w:color w:val="231F20"/>
        </w:rPr>
        <w:t>с</w:t>
      </w:r>
      <w:r>
        <w:rPr>
          <w:color w:val="231F20"/>
          <w:spacing w:val="-7"/>
        </w:rPr>
        <w:t> </w:t>
      </w:r>
      <w:r>
        <w:rPr>
          <w:color w:val="231F20"/>
        </w:rPr>
        <w:t>таким</w:t>
      </w:r>
      <w:r>
        <w:rPr>
          <w:color w:val="231F20"/>
          <w:spacing w:val="-7"/>
        </w:rPr>
        <w:t> </w:t>
      </w:r>
      <w:r>
        <w:rPr>
          <w:color w:val="231F20"/>
        </w:rPr>
        <w:t>же</w:t>
      </w:r>
      <w:r>
        <w:rPr>
          <w:color w:val="231F20"/>
          <w:spacing w:val="-7"/>
        </w:rPr>
        <w:t> </w:t>
      </w:r>
      <w:r>
        <w:rPr>
          <w:color w:val="231F20"/>
        </w:rPr>
        <w:t>именем.</w:t>
      </w:r>
      <w:r>
        <w:rPr>
          <w:color w:val="231F20"/>
          <w:spacing w:val="-7"/>
        </w:rPr>
        <w:t> </w:t>
      </w:r>
      <w:r>
        <w:rPr>
          <w:color w:val="231F20"/>
        </w:rPr>
        <w:t>Затем</w:t>
      </w:r>
      <w:r>
        <w:rPr>
          <w:color w:val="231F20"/>
          <w:spacing w:val="-7"/>
        </w:rPr>
        <w:t> </w:t>
      </w:r>
      <w:r>
        <w:rPr>
          <w:color w:val="231F20"/>
        </w:rPr>
        <w:t>психолог</w:t>
      </w:r>
      <w:r>
        <w:rPr>
          <w:color w:val="231F20"/>
          <w:spacing w:val="-7"/>
        </w:rPr>
        <w:t> </w:t>
      </w:r>
      <w:r>
        <w:rPr>
          <w:color w:val="231F20"/>
        </w:rPr>
        <w:t>предлагает</w:t>
      </w:r>
      <w:r>
        <w:rPr>
          <w:color w:val="231F20"/>
          <w:spacing w:val="-7"/>
        </w:rPr>
        <w:t> </w:t>
      </w:r>
      <w:r>
        <w:rPr>
          <w:color w:val="231F20"/>
        </w:rPr>
        <w:t>ребенку</w:t>
      </w:r>
      <w:r>
        <w:rPr>
          <w:color w:val="231F20"/>
          <w:spacing w:val="-7"/>
        </w:rPr>
        <w:t> </w:t>
      </w:r>
      <w:r>
        <w:rPr>
          <w:color w:val="231F20"/>
        </w:rPr>
        <w:t>выпол- нить рисунок имени.</w:t>
      </w:r>
    </w:p>
    <w:p>
      <w:pPr>
        <w:pStyle w:val="BodyText"/>
        <w:spacing w:line="235" w:lineRule="auto" w:before="4"/>
      </w:pPr>
      <w:r>
        <w:rPr>
          <w:color w:val="231F20"/>
        </w:rPr>
        <w:t>Упражнение</w:t>
      </w:r>
      <w:r>
        <w:rPr>
          <w:color w:val="231F20"/>
          <w:spacing w:val="-8"/>
        </w:rPr>
        <w:t> </w:t>
      </w:r>
      <w:r>
        <w:rPr>
          <w:color w:val="231F20"/>
        </w:rPr>
        <w:t>может</w:t>
      </w:r>
      <w:r>
        <w:rPr>
          <w:color w:val="231F20"/>
          <w:spacing w:val="-8"/>
        </w:rPr>
        <w:t> </w:t>
      </w:r>
      <w:r>
        <w:rPr>
          <w:color w:val="231F20"/>
        </w:rPr>
        <w:t>проводиться</w:t>
      </w:r>
      <w:r>
        <w:rPr>
          <w:color w:val="231F20"/>
          <w:spacing w:val="-8"/>
        </w:rPr>
        <w:t> </w:t>
      </w:r>
      <w:r>
        <w:rPr>
          <w:color w:val="231F20"/>
        </w:rPr>
        <w:t>с</w:t>
      </w:r>
      <w:r>
        <w:rPr>
          <w:color w:val="231F20"/>
          <w:spacing w:val="-8"/>
        </w:rPr>
        <w:t> </w:t>
      </w:r>
      <w:r>
        <w:rPr>
          <w:color w:val="231F20"/>
        </w:rPr>
        <w:t>использованием</w:t>
      </w:r>
      <w:r>
        <w:rPr>
          <w:color w:val="231F20"/>
          <w:spacing w:val="-8"/>
        </w:rPr>
        <w:t> </w:t>
      </w:r>
      <w:r>
        <w:rPr>
          <w:color w:val="231F20"/>
        </w:rPr>
        <w:t>различных</w:t>
      </w:r>
      <w:r>
        <w:rPr>
          <w:color w:val="231F20"/>
          <w:spacing w:val="-8"/>
        </w:rPr>
        <w:t> </w:t>
      </w:r>
      <w:r>
        <w:rPr>
          <w:color w:val="231F20"/>
        </w:rPr>
        <w:t>техник:</w:t>
      </w:r>
      <w:r>
        <w:rPr>
          <w:color w:val="231F20"/>
          <w:spacing w:val="-8"/>
        </w:rPr>
        <w:t> </w:t>
      </w:r>
      <w:r>
        <w:rPr>
          <w:color w:val="231F20"/>
        </w:rPr>
        <w:t>рисование, отрывная</w:t>
      </w:r>
      <w:r>
        <w:rPr>
          <w:color w:val="231F20"/>
          <w:spacing w:val="-9"/>
        </w:rPr>
        <w:t> </w:t>
      </w:r>
      <w:r>
        <w:rPr>
          <w:color w:val="231F20"/>
        </w:rPr>
        <w:t>аппликация,</w:t>
      </w:r>
      <w:r>
        <w:rPr>
          <w:color w:val="231F20"/>
          <w:spacing w:val="-9"/>
        </w:rPr>
        <w:t> </w:t>
      </w:r>
      <w:r>
        <w:rPr>
          <w:color w:val="231F20"/>
        </w:rPr>
        <w:t>объемная</w:t>
      </w:r>
      <w:r>
        <w:rPr>
          <w:color w:val="231F20"/>
          <w:spacing w:val="-9"/>
        </w:rPr>
        <w:t> </w:t>
      </w:r>
      <w:r>
        <w:rPr>
          <w:color w:val="231F20"/>
        </w:rPr>
        <w:t>аппликация</w:t>
      </w:r>
      <w:r>
        <w:rPr>
          <w:color w:val="231F20"/>
          <w:spacing w:val="-9"/>
        </w:rPr>
        <w:t> </w:t>
      </w:r>
      <w:r>
        <w:rPr>
          <w:color w:val="231F20"/>
        </w:rPr>
        <w:t>с</w:t>
      </w:r>
      <w:r>
        <w:rPr>
          <w:color w:val="231F20"/>
          <w:spacing w:val="-9"/>
        </w:rPr>
        <w:t> </w:t>
      </w:r>
      <w:r>
        <w:rPr>
          <w:color w:val="231F20"/>
        </w:rPr>
        <w:t>использованием</w:t>
      </w:r>
      <w:r>
        <w:rPr>
          <w:color w:val="231F20"/>
          <w:spacing w:val="-9"/>
        </w:rPr>
        <w:t> </w:t>
      </w:r>
      <w:r>
        <w:rPr>
          <w:color w:val="231F20"/>
        </w:rPr>
        <w:t>пластилина</w:t>
      </w:r>
      <w:r>
        <w:rPr>
          <w:color w:val="231F20"/>
          <w:spacing w:val="-9"/>
        </w:rPr>
        <w:t> </w:t>
      </w:r>
      <w:r>
        <w:rPr>
          <w:color w:val="231F20"/>
        </w:rPr>
        <w:t>и</w:t>
      </w:r>
      <w:r>
        <w:rPr>
          <w:color w:val="231F20"/>
          <w:spacing w:val="-9"/>
        </w:rPr>
        <w:t> </w:t>
      </w:r>
      <w:r>
        <w:rPr>
          <w:color w:val="231F20"/>
        </w:rPr>
        <w:t>пр.</w:t>
      </w:r>
      <w:r>
        <w:rPr>
          <w:color w:val="231F20"/>
          <w:spacing w:val="-9"/>
        </w:rPr>
        <w:t> </w:t>
      </w:r>
      <w:r>
        <w:rPr>
          <w:color w:val="231F20"/>
        </w:rPr>
        <w:t>Так- же возможно выполнить упражнение с использованием песочницы.</w:t>
      </w:r>
    </w:p>
    <w:p>
      <w:pPr>
        <w:pStyle w:val="BodyText"/>
        <w:spacing w:line="235" w:lineRule="auto" w:before="2"/>
      </w:pPr>
      <w:r>
        <w:rPr>
          <w:color w:val="231F20"/>
        </w:rPr>
        <w:t>Когда</w:t>
      </w:r>
      <w:r>
        <w:rPr>
          <w:color w:val="231F20"/>
          <w:spacing w:val="-11"/>
        </w:rPr>
        <w:t> </w:t>
      </w:r>
      <w:r>
        <w:rPr>
          <w:color w:val="231F20"/>
        </w:rPr>
        <w:t>рисунок</w:t>
      </w:r>
      <w:r>
        <w:rPr>
          <w:color w:val="231F20"/>
          <w:spacing w:val="-11"/>
        </w:rPr>
        <w:t> </w:t>
      </w:r>
      <w:r>
        <w:rPr>
          <w:color w:val="231F20"/>
        </w:rPr>
        <w:t>готов,</w:t>
      </w:r>
      <w:r>
        <w:rPr>
          <w:color w:val="231F20"/>
          <w:spacing w:val="-11"/>
        </w:rPr>
        <w:t> </w:t>
      </w:r>
      <w:r>
        <w:rPr>
          <w:color w:val="231F20"/>
        </w:rPr>
        <w:t>психолог</w:t>
      </w:r>
      <w:r>
        <w:rPr>
          <w:color w:val="231F20"/>
          <w:spacing w:val="-11"/>
        </w:rPr>
        <w:t> </w:t>
      </w:r>
      <w:r>
        <w:rPr>
          <w:color w:val="231F20"/>
        </w:rPr>
        <w:t>обсуждает</w:t>
      </w:r>
      <w:r>
        <w:rPr>
          <w:color w:val="231F20"/>
          <w:spacing w:val="-11"/>
        </w:rPr>
        <w:t> </w:t>
      </w:r>
      <w:r>
        <w:rPr>
          <w:color w:val="231F20"/>
        </w:rPr>
        <w:t>с</w:t>
      </w:r>
      <w:r>
        <w:rPr>
          <w:color w:val="231F20"/>
          <w:spacing w:val="-11"/>
        </w:rPr>
        <w:t> </w:t>
      </w:r>
      <w:r>
        <w:rPr>
          <w:color w:val="231F20"/>
        </w:rPr>
        <w:t>ребенком,</w:t>
      </w:r>
      <w:r>
        <w:rPr>
          <w:color w:val="231F20"/>
          <w:spacing w:val="-11"/>
        </w:rPr>
        <w:t> </w:t>
      </w:r>
      <w:r>
        <w:rPr>
          <w:color w:val="231F20"/>
        </w:rPr>
        <w:t>какие</w:t>
      </w:r>
      <w:r>
        <w:rPr>
          <w:color w:val="231F20"/>
          <w:spacing w:val="-11"/>
        </w:rPr>
        <w:t> </w:t>
      </w:r>
      <w:r>
        <w:rPr>
          <w:color w:val="231F20"/>
        </w:rPr>
        <w:t>чувства</w:t>
      </w:r>
      <w:r>
        <w:rPr>
          <w:color w:val="231F20"/>
          <w:spacing w:val="-11"/>
        </w:rPr>
        <w:t> </w:t>
      </w:r>
      <w:r>
        <w:rPr>
          <w:color w:val="231F20"/>
        </w:rPr>
        <w:t>у</w:t>
      </w:r>
      <w:r>
        <w:rPr>
          <w:color w:val="231F20"/>
          <w:spacing w:val="-11"/>
        </w:rPr>
        <w:t> </w:t>
      </w:r>
      <w:r>
        <w:rPr>
          <w:color w:val="231F20"/>
        </w:rPr>
        <w:t>него</w:t>
      </w:r>
      <w:r>
        <w:rPr>
          <w:color w:val="231F20"/>
          <w:spacing w:val="-11"/>
        </w:rPr>
        <w:t> </w:t>
      </w:r>
      <w:r>
        <w:rPr>
          <w:color w:val="231F20"/>
        </w:rPr>
        <w:t>возни- кали в процессе рисования, а какие – когда он смотрит на готовый рисунок. Важно помочь ребенку увидеть, что его имя, вероятно, не похожее на имена других детей в классе, – это его ресурс.</w:t>
      </w:r>
    </w:p>
    <w:p>
      <w:pPr>
        <w:spacing w:line="228" w:lineRule="exact" w:before="112"/>
        <w:ind w:left="425" w:right="0" w:firstLine="0"/>
        <w:jc w:val="both"/>
        <w:rPr>
          <w:b/>
          <w:sz w:val="20"/>
        </w:rPr>
      </w:pPr>
      <w:r>
        <w:rPr>
          <w:b/>
          <w:color w:val="231F20"/>
          <w:sz w:val="20"/>
        </w:rPr>
        <w:t>«Схема</w:t>
      </w:r>
      <w:r>
        <w:rPr>
          <w:b/>
          <w:color w:val="231F20"/>
          <w:spacing w:val="-8"/>
          <w:sz w:val="20"/>
        </w:rPr>
        <w:t> </w:t>
      </w:r>
      <w:r>
        <w:rPr>
          <w:b/>
          <w:color w:val="231F20"/>
          <w:spacing w:val="-2"/>
          <w:sz w:val="20"/>
        </w:rPr>
        <w:t>идентичности»</w:t>
      </w:r>
    </w:p>
    <w:p>
      <w:pPr>
        <w:spacing w:line="235" w:lineRule="auto" w:before="2"/>
        <w:ind w:left="141" w:right="139" w:firstLine="283"/>
        <w:jc w:val="both"/>
        <w:rPr>
          <w:i/>
          <w:sz w:val="20"/>
        </w:rPr>
      </w:pPr>
      <w:r>
        <w:rPr>
          <w:i/>
          <w:color w:val="231F20"/>
          <w:sz w:val="20"/>
        </w:rPr>
        <w:t>Источник</w:t>
      </w:r>
      <w:r>
        <w:rPr>
          <w:b/>
          <w:i/>
          <w:color w:val="231F20"/>
          <w:sz w:val="20"/>
        </w:rPr>
        <w:t>: </w:t>
      </w:r>
      <w:r>
        <w:rPr>
          <w:i/>
          <w:color w:val="231F20"/>
          <w:sz w:val="20"/>
        </w:rPr>
        <w:t>Facing history and ourselves </w:t>
      </w:r>
      <w:hyperlink r:id="rId212">
        <w:r>
          <w:rPr>
            <w:i/>
            <w:color w:val="2255A6"/>
            <w:sz w:val="20"/>
            <w:u w:val="single" w:color="2255A6"/>
          </w:rPr>
          <w:t>https://www.facinghistory.org/resource-</w:t>
        </w:r>
      </w:hyperlink>
      <w:r>
        <w:rPr>
          <w:i/>
          <w:color w:val="2255A6"/>
          <w:sz w:val="20"/>
        </w:rPr>
        <w:t> </w:t>
      </w:r>
      <w:r>
        <w:rPr>
          <w:i/>
          <w:color w:val="2255A6"/>
          <w:spacing w:val="-2"/>
          <w:sz w:val="20"/>
          <w:u w:val="single" w:color="2255A6"/>
        </w:rPr>
        <w:t>library/identity-charts-1#lesson-plans</w:t>
      </w:r>
      <w:r>
        <w:rPr>
          <w:i/>
          <w:color w:val="231F20"/>
          <w:spacing w:val="-2"/>
          <w:sz w:val="20"/>
        </w:rPr>
        <w:t>.</w:t>
      </w:r>
    </w:p>
    <w:p>
      <w:pPr>
        <w:pStyle w:val="BodyText"/>
        <w:spacing w:line="235" w:lineRule="auto" w:before="58"/>
      </w:pPr>
      <w:r>
        <w:rPr>
          <w:color w:val="231F20"/>
        </w:rPr>
        <w:t>Психолог просит ребенка нарисовать круг или прямоугольник в центре листа и написать</w:t>
      </w:r>
      <w:r>
        <w:rPr>
          <w:color w:val="231F20"/>
          <w:spacing w:val="-13"/>
        </w:rPr>
        <w:t> </w:t>
      </w:r>
      <w:r>
        <w:rPr>
          <w:color w:val="231F20"/>
        </w:rPr>
        <w:t>в</w:t>
      </w:r>
      <w:r>
        <w:rPr>
          <w:color w:val="231F20"/>
          <w:spacing w:val="-12"/>
        </w:rPr>
        <w:t> </w:t>
      </w:r>
      <w:r>
        <w:rPr>
          <w:color w:val="231F20"/>
        </w:rPr>
        <w:t>этой</w:t>
      </w:r>
      <w:r>
        <w:rPr>
          <w:color w:val="231F20"/>
          <w:spacing w:val="-13"/>
        </w:rPr>
        <w:t> </w:t>
      </w:r>
      <w:r>
        <w:rPr>
          <w:color w:val="231F20"/>
        </w:rPr>
        <w:t>фигуре</w:t>
      </w:r>
      <w:r>
        <w:rPr>
          <w:color w:val="231F20"/>
          <w:spacing w:val="-12"/>
        </w:rPr>
        <w:t> </w:t>
      </w:r>
      <w:r>
        <w:rPr>
          <w:color w:val="231F20"/>
        </w:rPr>
        <w:t>свое</w:t>
      </w:r>
      <w:r>
        <w:rPr>
          <w:color w:val="231F20"/>
          <w:spacing w:val="-13"/>
        </w:rPr>
        <w:t> </w:t>
      </w:r>
      <w:r>
        <w:rPr>
          <w:color w:val="231F20"/>
        </w:rPr>
        <w:t>имя.</w:t>
      </w:r>
      <w:r>
        <w:rPr>
          <w:color w:val="231F20"/>
          <w:spacing w:val="-12"/>
        </w:rPr>
        <w:t> </w:t>
      </w:r>
      <w:r>
        <w:rPr>
          <w:color w:val="231F20"/>
        </w:rPr>
        <w:t>Затем</w:t>
      </w:r>
      <w:r>
        <w:rPr>
          <w:color w:val="231F20"/>
          <w:spacing w:val="-13"/>
        </w:rPr>
        <w:t> </w:t>
      </w:r>
      <w:r>
        <w:rPr>
          <w:color w:val="231F20"/>
        </w:rPr>
        <w:t>психолог</w:t>
      </w:r>
      <w:r>
        <w:rPr>
          <w:color w:val="231F20"/>
          <w:spacing w:val="-12"/>
        </w:rPr>
        <w:t> </w:t>
      </w:r>
      <w:r>
        <w:rPr>
          <w:color w:val="231F20"/>
        </w:rPr>
        <w:t>предлагает</w:t>
      </w:r>
      <w:r>
        <w:rPr>
          <w:color w:val="231F20"/>
          <w:spacing w:val="-13"/>
        </w:rPr>
        <w:t> </w:t>
      </w:r>
      <w:r>
        <w:rPr>
          <w:color w:val="231F20"/>
        </w:rPr>
        <w:t>ребенку</w:t>
      </w:r>
      <w:r>
        <w:rPr>
          <w:color w:val="231F20"/>
          <w:spacing w:val="-12"/>
        </w:rPr>
        <w:t> </w:t>
      </w:r>
      <w:r>
        <w:rPr>
          <w:color w:val="231F20"/>
        </w:rPr>
        <w:t>подумать,</w:t>
      </w:r>
      <w:r>
        <w:rPr>
          <w:color w:val="231F20"/>
          <w:spacing w:val="-13"/>
        </w:rPr>
        <w:t> </w:t>
      </w:r>
      <w:r>
        <w:rPr>
          <w:color w:val="231F20"/>
        </w:rPr>
        <w:t>какие ответы он мог бы дать на вопрос «Кто Я?», нарисовать лучи от центральной фигуры и написать эти ответы вокруг имени. По завершении работы психолог обсуждает с ребенком,</w:t>
      </w:r>
      <w:r>
        <w:rPr>
          <w:color w:val="231F20"/>
          <w:spacing w:val="-5"/>
        </w:rPr>
        <w:t> </w:t>
      </w:r>
      <w:r>
        <w:rPr>
          <w:color w:val="231F20"/>
        </w:rPr>
        <w:t>какие</w:t>
      </w:r>
      <w:r>
        <w:rPr>
          <w:color w:val="231F20"/>
          <w:spacing w:val="-5"/>
        </w:rPr>
        <w:t> </w:t>
      </w:r>
      <w:r>
        <w:rPr>
          <w:color w:val="231F20"/>
        </w:rPr>
        <w:t>ответы</w:t>
      </w:r>
      <w:r>
        <w:rPr>
          <w:color w:val="231F20"/>
          <w:spacing w:val="-5"/>
        </w:rPr>
        <w:t> </w:t>
      </w:r>
      <w:r>
        <w:rPr>
          <w:color w:val="231F20"/>
        </w:rPr>
        <w:t>он</w:t>
      </w:r>
      <w:r>
        <w:rPr>
          <w:color w:val="231F20"/>
          <w:spacing w:val="-5"/>
        </w:rPr>
        <w:t> </w:t>
      </w:r>
      <w:r>
        <w:rPr>
          <w:color w:val="231F20"/>
        </w:rPr>
        <w:t>выбрал,</w:t>
      </w:r>
      <w:r>
        <w:rPr>
          <w:color w:val="231F20"/>
          <w:spacing w:val="-5"/>
        </w:rPr>
        <w:t> </w:t>
      </w:r>
      <w:r>
        <w:rPr>
          <w:color w:val="231F20"/>
        </w:rPr>
        <w:t>какие</w:t>
      </w:r>
      <w:r>
        <w:rPr>
          <w:color w:val="231F20"/>
          <w:spacing w:val="-5"/>
        </w:rPr>
        <w:t> </w:t>
      </w:r>
      <w:r>
        <w:rPr>
          <w:color w:val="231F20"/>
        </w:rPr>
        <w:t>мысли</w:t>
      </w:r>
      <w:r>
        <w:rPr>
          <w:color w:val="231F20"/>
          <w:spacing w:val="-5"/>
        </w:rPr>
        <w:t> </w:t>
      </w:r>
      <w:r>
        <w:rPr>
          <w:color w:val="231F20"/>
        </w:rPr>
        <w:t>и</w:t>
      </w:r>
      <w:r>
        <w:rPr>
          <w:color w:val="231F20"/>
          <w:spacing w:val="-5"/>
        </w:rPr>
        <w:t> </w:t>
      </w:r>
      <w:r>
        <w:rPr>
          <w:color w:val="231F20"/>
        </w:rPr>
        <w:t>чувства</w:t>
      </w:r>
      <w:r>
        <w:rPr>
          <w:color w:val="231F20"/>
          <w:spacing w:val="-5"/>
        </w:rPr>
        <w:t> </w:t>
      </w:r>
      <w:r>
        <w:rPr>
          <w:color w:val="231F20"/>
        </w:rPr>
        <w:t>у</w:t>
      </w:r>
      <w:r>
        <w:rPr>
          <w:color w:val="231F20"/>
          <w:spacing w:val="-5"/>
        </w:rPr>
        <w:t> </w:t>
      </w:r>
      <w:r>
        <w:rPr>
          <w:color w:val="231F20"/>
        </w:rPr>
        <w:t>него</w:t>
      </w:r>
      <w:r>
        <w:rPr>
          <w:color w:val="231F20"/>
          <w:spacing w:val="-5"/>
        </w:rPr>
        <w:t> </w:t>
      </w:r>
      <w:r>
        <w:rPr>
          <w:color w:val="231F20"/>
        </w:rPr>
        <w:t>возникают,</w:t>
      </w:r>
      <w:r>
        <w:rPr>
          <w:color w:val="231F20"/>
          <w:spacing w:val="-5"/>
        </w:rPr>
        <w:t> </w:t>
      </w:r>
      <w:r>
        <w:rPr>
          <w:color w:val="231F20"/>
        </w:rPr>
        <w:t>кода</w:t>
      </w:r>
      <w:r>
        <w:rPr>
          <w:color w:val="231F20"/>
          <w:spacing w:val="-5"/>
        </w:rPr>
        <w:t> </w:t>
      </w:r>
      <w:r>
        <w:rPr>
          <w:color w:val="231F20"/>
        </w:rPr>
        <w:t>он смотрит</w:t>
      </w:r>
      <w:r>
        <w:rPr>
          <w:color w:val="231F20"/>
          <w:spacing w:val="-12"/>
        </w:rPr>
        <w:t> </w:t>
      </w:r>
      <w:r>
        <w:rPr>
          <w:color w:val="231F20"/>
        </w:rPr>
        <w:t>на</w:t>
      </w:r>
      <w:r>
        <w:rPr>
          <w:color w:val="231F20"/>
          <w:spacing w:val="-12"/>
        </w:rPr>
        <w:t> </w:t>
      </w:r>
      <w:r>
        <w:rPr>
          <w:color w:val="231F20"/>
        </w:rPr>
        <w:t>эту</w:t>
      </w:r>
      <w:r>
        <w:rPr>
          <w:color w:val="231F20"/>
          <w:spacing w:val="-12"/>
        </w:rPr>
        <w:t> </w:t>
      </w:r>
      <w:r>
        <w:rPr>
          <w:color w:val="231F20"/>
        </w:rPr>
        <w:t>схему.</w:t>
      </w:r>
      <w:r>
        <w:rPr>
          <w:color w:val="231F20"/>
          <w:spacing w:val="-12"/>
        </w:rPr>
        <w:t> </w:t>
      </w:r>
      <w:r>
        <w:rPr>
          <w:color w:val="231F20"/>
        </w:rPr>
        <w:t>Во-первых,</w:t>
      </w:r>
      <w:r>
        <w:rPr>
          <w:color w:val="231F20"/>
          <w:spacing w:val="-12"/>
        </w:rPr>
        <w:t> </w:t>
      </w:r>
      <w:r>
        <w:rPr>
          <w:color w:val="231F20"/>
        </w:rPr>
        <w:t>необходимо</w:t>
      </w:r>
      <w:r>
        <w:rPr>
          <w:color w:val="231F20"/>
          <w:spacing w:val="-12"/>
        </w:rPr>
        <w:t> </w:t>
      </w:r>
      <w:r>
        <w:rPr>
          <w:color w:val="231F20"/>
        </w:rPr>
        <w:t>подчеркнуть,</w:t>
      </w:r>
      <w:r>
        <w:rPr>
          <w:color w:val="231F20"/>
          <w:spacing w:val="-12"/>
        </w:rPr>
        <w:t> </w:t>
      </w:r>
      <w:r>
        <w:rPr>
          <w:color w:val="231F20"/>
        </w:rPr>
        <w:t>что,</w:t>
      </w:r>
      <w:r>
        <w:rPr>
          <w:color w:val="231F20"/>
          <w:spacing w:val="-12"/>
        </w:rPr>
        <w:t> </w:t>
      </w:r>
      <w:r>
        <w:rPr>
          <w:color w:val="231F20"/>
        </w:rPr>
        <w:t>идентичности</w:t>
      </w:r>
      <w:r>
        <w:rPr>
          <w:color w:val="231F20"/>
          <w:spacing w:val="-12"/>
        </w:rPr>
        <w:t> </w:t>
      </w:r>
      <w:r>
        <w:rPr>
          <w:color w:val="231F20"/>
        </w:rPr>
        <w:t>могут меняться, и это нормально. Во-вторых, важно обсудить с ребенком, что человек мо- жет одновременно чувствовать сопричастность к разным группам, можно в одно и то же время ощущать себя частью и своей семьи, и своей родной страны, и России.</w:t>
      </w:r>
    </w:p>
    <w:p>
      <w:pPr>
        <w:pStyle w:val="BodyText"/>
        <w:spacing w:before="8"/>
        <w:ind w:left="0" w:right="0" w:firstLine="0"/>
        <w:jc w:val="left"/>
        <w:rPr>
          <w:sz w:val="7"/>
        </w:rPr>
      </w:pPr>
      <w:r>
        <w:rPr>
          <w:sz w:val="7"/>
        </w:rPr>
        <w:drawing>
          <wp:anchor distT="0" distB="0" distL="0" distR="0" allowOverlap="1" layoutInCell="1" locked="0" behindDoc="1" simplePos="0" relativeHeight="487636480">
            <wp:simplePos x="0" y="0"/>
            <wp:positionH relativeFrom="page">
              <wp:posOffset>1687135</wp:posOffset>
            </wp:positionH>
            <wp:positionV relativeFrom="paragraph">
              <wp:posOffset>71891</wp:posOffset>
            </wp:positionV>
            <wp:extent cx="1954154" cy="1882520"/>
            <wp:effectExtent l="0" t="0" r="0" b="0"/>
            <wp:wrapTopAndBottom/>
            <wp:docPr id="149" name="Image 149"/>
            <wp:cNvGraphicFramePr>
              <a:graphicFrameLocks/>
            </wp:cNvGraphicFramePr>
            <a:graphic>
              <a:graphicData uri="http://schemas.openxmlformats.org/drawingml/2006/picture">
                <pic:pic>
                  <pic:nvPicPr>
                    <pic:cNvPr id="149" name="Image 149"/>
                    <pic:cNvPicPr/>
                  </pic:nvPicPr>
                  <pic:blipFill>
                    <a:blip r:embed="rId213" cstate="print"/>
                    <a:stretch>
                      <a:fillRect/>
                    </a:stretch>
                  </pic:blipFill>
                  <pic:spPr>
                    <a:xfrm>
                      <a:off x="0" y="0"/>
                      <a:ext cx="1954154" cy="1882520"/>
                    </a:xfrm>
                    <a:prstGeom prst="rect">
                      <a:avLst/>
                    </a:prstGeom>
                  </pic:spPr>
                </pic:pic>
              </a:graphicData>
            </a:graphic>
          </wp:anchor>
        </w:drawing>
      </w:r>
    </w:p>
    <w:p>
      <w:pPr>
        <w:pStyle w:val="BodyText"/>
        <w:spacing w:after="0"/>
        <w:jc w:val="left"/>
        <w:rPr>
          <w:sz w:val="7"/>
        </w:rPr>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spacing w:before="109"/>
        <w:ind w:left="425" w:right="0" w:firstLine="0"/>
        <w:jc w:val="left"/>
        <w:rPr>
          <w:b/>
          <w:sz w:val="20"/>
        </w:rPr>
      </w:pPr>
      <w:r>
        <w:rPr>
          <w:b/>
          <w:color w:val="231F20"/>
          <w:sz w:val="20"/>
        </w:rPr>
        <w:t>«История</w:t>
      </w:r>
      <w:r>
        <w:rPr>
          <w:b/>
          <w:color w:val="231F20"/>
          <w:spacing w:val="-6"/>
          <w:sz w:val="20"/>
        </w:rPr>
        <w:t> </w:t>
      </w:r>
      <w:r>
        <w:rPr>
          <w:b/>
          <w:color w:val="231F20"/>
          <w:sz w:val="20"/>
        </w:rPr>
        <w:t>моей</w:t>
      </w:r>
      <w:r>
        <w:rPr>
          <w:b/>
          <w:color w:val="231F20"/>
          <w:spacing w:val="-6"/>
          <w:sz w:val="20"/>
        </w:rPr>
        <w:t> </w:t>
      </w:r>
      <w:r>
        <w:rPr>
          <w:b/>
          <w:color w:val="231F20"/>
          <w:spacing w:val="-2"/>
          <w:sz w:val="20"/>
        </w:rPr>
        <w:t>идентичности»</w:t>
      </w:r>
    </w:p>
    <w:p>
      <w:pPr>
        <w:spacing w:line="224" w:lineRule="exact" w:before="0"/>
        <w:ind w:left="425" w:right="0" w:firstLine="0"/>
        <w:jc w:val="both"/>
        <w:rPr>
          <w:i/>
          <w:sz w:val="20"/>
        </w:rPr>
      </w:pPr>
      <w:r>
        <w:rPr>
          <w:color w:val="231F20"/>
          <w:sz w:val="20"/>
        </w:rPr>
        <w:t>Источник</w:t>
      </w:r>
      <w:r>
        <w:rPr>
          <w:b/>
          <w:color w:val="231F20"/>
          <w:sz w:val="20"/>
        </w:rPr>
        <w:t>:</w:t>
      </w:r>
      <w:r>
        <w:rPr>
          <w:b/>
          <w:color w:val="231F20"/>
          <w:spacing w:val="13"/>
          <w:sz w:val="20"/>
        </w:rPr>
        <w:t> </w:t>
      </w:r>
      <w:r>
        <w:rPr>
          <w:i/>
          <w:color w:val="231F20"/>
          <w:sz w:val="20"/>
        </w:rPr>
        <w:t>Diversity</w:t>
      </w:r>
      <w:r>
        <w:rPr>
          <w:i/>
          <w:color w:val="231F20"/>
          <w:spacing w:val="15"/>
          <w:sz w:val="20"/>
        </w:rPr>
        <w:t> </w:t>
      </w:r>
      <w:r>
        <w:rPr>
          <w:i/>
          <w:color w:val="231F20"/>
          <w:sz w:val="20"/>
        </w:rPr>
        <w:t>Kit:</w:t>
      </w:r>
      <w:r>
        <w:rPr>
          <w:i/>
          <w:color w:val="231F20"/>
          <w:spacing w:val="12"/>
          <w:sz w:val="20"/>
        </w:rPr>
        <w:t> </w:t>
      </w:r>
      <w:r>
        <w:rPr>
          <w:i/>
          <w:color w:val="231F20"/>
          <w:sz w:val="20"/>
        </w:rPr>
        <w:t>An</w:t>
      </w:r>
      <w:r>
        <w:rPr>
          <w:i/>
          <w:color w:val="231F20"/>
          <w:spacing w:val="15"/>
          <w:sz w:val="20"/>
        </w:rPr>
        <w:t> </w:t>
      </w:r>
      <w:r>
        <w:rPr>
          <w:i/>
          <w:color w:val="231F20"/>
          <w:sz w:val="20"/>
        </w:rPr>
        <w:t>Introductory</w:t>
      </w:r>
      <w:r>
        <w:rPr>
          <w:i/>
          <w:color w:val="231F20"/>
          <w:spacing w:val="16"/>
          <w:sz w:val="20"/>
        </w:rPr>
        <w:t> </w:t>
      </w:r>
      <w:r>
        <w:rPr>
          <w:i/>
          <w:color w:val="231F20"/>
          <w:sz w:val="20"/>
        </w:rPr>
        <w:t>Resource</w:t>
      </w:r>
      <w:r>
        <w:rPr>
          <w:i/>
          <w:color w:val="231F20"/>
          <w:spacing w:val="15"/>
          <w:sz w:val="20"/>
        </w:rPr>
        <w:t> </w:t>
      </w:r>
      <w:r>
        <w:rPr>
          <w:i/>
          <w:color w:val="231F20"/>
          <w:sz w:val="20"/>
        </w:rPr>
        <w:t>for</w:t>
      </w:r>
      <w:r>
        <w:rPr>
          <w:i/>
          <w:color w:val="231F20"/>
          <w:spacing w:val="15"/>
          <w:sz w:val="20"/>
        </w:rPr>
        <w:t> </w:t>
      </w:r>
      <w:r>
        <w:rPr>
          <w:i/>
          <w:color w:val="231F20"/>
          <w:sz w:val="20"/>
        </w:rPr>
        <w:t>Social</w:t>
      </w:r>
      <w:r>
        <w:rPr>
          <w:i/>
          <w:color w:val="231F20"/>
          <w:spacing w:val="16"/>
          <w:sz w:val="20"/>
        </w:rPr>
        <w:t> </w:t>
      </w:r>
      <w:r>
        <w:rPr>
          <w:i/>
          <w:color w:val="231F20"/>
          <w:sz w:val="20"/>
        </w:rPr>
        <w:t>Change</w:t>
      </w:r>
      <w:r>
        <w:rPr>
          <w:i/>
          <w:color w:val="231F20"/>
          <w:spacing w:val="15"/>
          <w:sz w:val="20"/>
        </w:rPr>
        <w:t> </w:t>
      </w:r>
      <w:r>
        <w:rPr>
          <w:i/>
          <w:color w:val="231F20"/>
          <w:sz w:val="20"/>
        </w:rPr>
        <w:t>in</w:t>
      </w:r>
      <w:r>
        <w:rPr>
          <w:i/>
          <w:color w:val="231F20"/>
          <w:spacing w:val="16"/>
          <w:sz w:val="20"/>
        </w:rPr>
        <w:t> </w:t>
      </w:r>
      <w:r>
        <w:rPr>
          <w:i/>
          <w:color w:val="231F20"/>
          <w:spacing w:val="-2"/>
          <w:sz w:val="20"/>
        </w:rPr>
        <w:t>Education.</w:t>
      </w:r>
    </w:p>
    <w:p>
      <w:pPr>
        <w:spacing w:line="228" w:lineRule="exact" w:before="0"/>
        <w:ind w:left="141" w:right="0" w:firstLine="0"/>
        <w:jc w:val="both"/>
        <w:rPr>
          <w:i/>
          <w:sz w:val="20"/>
        </w:rPr>
      </w:pPr>
      <w:r>
        <w:rPr>
          <w:i/>
          <w:color w:val="231F20"/>
          <w:sz w:val="20"/>
        </w:rPr>
        <w:t>Brown</w:t>
      </w:r>
      <w:r>
        <w:rPr>
          <w:i/>
          <w:color w:val="231F20"/>
          <w:spacing w:val="-11"/>
          <w:sz w:val="20"/>
        </w:rPr>
        <w:t> </w:t>
      </w:r>
      <w:r>
        <w:rPr>
          <w:i/>
          <w:color w:val="231F20"/>
          <w:sz w:val="20"/>
        </w:rPr>
        <w:t>University.</w:t>
      </w:r>
      <w:r>
        <w:rPr>
          <w:i/>
          <w:color w:val="231F20"/>
          <w:spacing w:val="-10"/>
          <w:sz w:val="20"/>
        </w:rPr>
        <w:t> </w:t>
      </w:r>
      <w:r>
        <w:rPr>
          <w:i/>
          <w:color w:val="231F20"/>
          <w:spacing w:val="-2"/>
          <w:sz w:val="20"/>
        </w:rPr>
        <w:t>2002.</w:t>
      </w:r>
    </w:p>
    <w:p>
      <w:pPr>
        <w:pStyle w:val="BodyText"/>
        <w:spacing w:line="228" w:lineRule="exact" w:before="52"/>
        <w:ind w:left="425" w:right="0" w:firstLine="0"/>
      </w:pPr>
      <w:r>
        <w:rPr>
          <w:color w:val="231F20"/>
        </w:rPr>
        <w:t>Материалы:</w:t>
      </w:r>
      <w:r>
        <w:rPr>
          <w:color w:val="231F20"/>
          <w:spacing w:val="-7"/>
        </w:rPr>
        <w:t> </w:t>
      </w:r>
      <w:r>
        <w:rPr>
          <w:color w:val="231F20"/>
        </w:rPr>
        <w:t>лист</w:t>
      </w:r>
      <w:r>
        <w:rPr>
          <w:color w:val="231F20"/>
          <w:spacing w:val="-6"/>
        </w:rPr>
        <w:t> </w:t>
      </w:r>
      <w:r>
        <w:rPr>
          <w:color w:val="231F20"/>
        </w:rPr>
        <w:t>бумаги</w:t>
      </w:r>
      <w:r>
        <w:rPr>
          <w:color w:val="231F20"/>
          <w:spacing w:val="-8"/>
        </w:rPr>
        <w:t> </w:t>
      </w:r>
      <w:r>
        <w:rPr>
          <w:color w:val="231F20"/>
        </w:rPr>
        <w:t>формата</w:t>
      </w:r>
      <w:r>
        <w:rPr>
          <w:color w:val="231F20"/>
          <w:spacing w:val="-6"/>
        </w:rPr>
        <w:t> </w:t>
      </w:r>
      <w:r>
        <w:rPr>
          <w:color w:val="231F20"/>
        </w:rPr>
        <w:t>А4,</w:t>
      </w:r>
      <w:r>
        <w:rPr>
          <w:color w:val="231F20"/>
          <w:spacing w:val="-7"/>
        </w:rPr>
        <w:t> </w:t>
      </w:r>
      <w:r>
        <w:rPr>
          <w:color w:val="231F20"/>
        </w:rPr>
        <w:t>карандаши,</w:t>
      </w:r>
      <w:r>
        <w:rPr>
          <w:color w:val="231F20"/>
          <w:spacing w:val="-6"/>
        </w:rPr>
        <w:t> </w:t>
      </w:r>
      <w:r>
        <w:rPr>
          <w:color w:val="231F20"/>
        </w:rPr>
        <w:t>фломастеры,</w:t>
      </w:r>
      <w:r>
        <w:rPr>
          <w:color w:val="231F20"/>
          <w:spacing w:val="-6"/>
        </w:rPr>
        <w:t> </w:t>
      </w:r>
      <w:r>
        <w:rPr>
          <w:color w:val="231F20"/>
          <w:spacing w:val="-2"/>
        </w:rPr>
        <w:t>мелки.</w:t>
      </w:r>
    </w:p>
    <w:p>
      <w:pPr>
        <w:pStyle w:val="BodyText"/>
        <w:spacing w:line="235" w:lineRule="auto" w:before="2"/>
      </w:pPr>
      <w:r>
        <w:rPr>
          <w:color w:val="231F20"/>
        </w:rPr>
        <w:t>Психолог обсуждает с ребенком, кем он себя считает с точки зрения этнической или</w:t>
      </w:r>
      <w:r>
        <w:rPr>
          <w:color w:val="231F20"/>
          <w:spacing w:val="-3"/>
        </w:rPr>
        <w:t> </w:t>
      </w:r>
      <w:r>
        <w:rPr>
          <w:color w:val="231F20"/>
        </w:rPr>
        <w:t>культурной</w:t>
      </w:r>
      <w:r>
        <w:rPr>
          <w:color w:val="231F20"/>
          <w:spacing w:val="-3"/>
        </w:rPr>
        <w:t> </w:t>
      </w:r>
      <w:r>
        <w:rPr>
          <w:color w:val="231F20"/>
        </w:rPr>
        <w:t>принадлежности,</w:t>
      </w:r>
      <w:r>
        <w:rPr>
          <w:color w:val="231F20"/>
          <w:spacing w:val="-3"/>
        </w:rPr>
        <w:t> </w:t>
      </w:r>
      <w:r>
        <w:rPr>
          <w:color w:val="231F20"/>
        </w:rPr>
        <w:t>когда</w:t>
      </w:r>
      <w:r>
        <w:rPr>
          <w:color w:val="231F20"/>
          <w:spacing w:val="-3"/>
        </w:rPr>
        <w:t> </w:t>
      </w:r>
      <w:r>
        <w:rPr>
          <w:color w:val="231F20"/>
        </w:rPr>
        <w:t>он</w:t>
      </w:r>
      <w:r>
        <w:rPr>
          <w:color w:val="231F20"/>
          <w:spacing w:val="-3"/>
        </w:rPr>
        <w:t> </w:t>
      </w:r>
      <w:r>
        <w:rPr>
          <w:color w:val="231F20"/>
        </w:rPr>
        <w:t>впервые</w:t>
      </w:r>
      <w:r>
        <w:rPr>
          <w:color w:val="231F20"/>
          <w:spacing w:val="-3"/>
        </w:rPr>
        <w:t> </w:t>
      </w:r>
      <w:r>
        <w:rPr>
          <w:color w:val="231F20"/>
        </w:rPr>
        <w:t>понял,</w:t>
      </w:r>
      <w:r>
        <w:rPr>
          <w:color w:val="231F20"/>
          <w:spacing w:val="-3"/>
        </w:rPr>
        <w:t> </w:t>
      </w:r>
      <w:r>
        <w:rPr>
          <w:color w:val="231F20"/>
        </w:rPr>
        <w:t>что</w:t>
      </w:r>
      <w:r>
        <w:rPr>
          <w:color w:val="231F20"/>
          <w:spacing w:val="-3"/>
        </w:rPr>
        <w:t> </w:t>
      </w:r>
      <w:r>
        <w:rPr>
          <w:color w:val="231F20"/>
        </w:rPr>
        <w:t>некоторые</w:t>
      </w:r>
      <w:r>
        <w:rPr>
          <w:color w:val="231F20"/>
          <w:spacing w:val="-3"/>
        </w:rPr>
        <w:t> </w:t>
      </w:r>
      <w:r>
        <w:rPr>
          <w:color w:val="231F20"/>
        </w:rPr>
        <w:t>люди</w:t>
      </w:r>
      <w:r>
        <w:rPr>
          <w:color w:val="231F20"/>
          <w:spacing w:val="-3"/>
        </w:rPr>
        <w:t> </w:t>
      </w:r>
      <w:r>
        <w:rPr>
          <w:color w:val="231F20"/>
        </w:rPr>
        <w:t>при- надлежат к тому же народу, а некоторые – нет.</w:t>
      </w:r>
    </w:p>
    <w:p>
      <w:pPr>
        <w:pStyle w:val="BodyText"/>
        <w:spacing w:line="226" w:lineRule="exact"/>
        <w:ind w:left="425" w:right="0" w:firstLine="0"/>
      </w:pPr>
      <w:r>
        <w:rPr>
          <w:color w:val="231F20"/>
        </w:rPr>
        <w:t>Далее</w:t>
      </w:r>
      <w:r>
        <w:rPr>
          <w:color w:val="231F20"/>
          <w:spacing w:val="-7"/>
        </w:rPr>
        <w:t> </w:t>
      </w:r>
      <w:r>
        <w:rPr>
          <w:color w:val="231F20"/>
        </w:rPr>
        <w:t>психолог</w:t>
      </w:r>
      <w:r>
        <w:rPr>
          <w:color w:val="231F20"/>
          <w:spacing w:val="-6"/>
        </w:rPr>
        <w:t> </w:t>
      </w:r>
      <w:r>
        <w:rPr>
          <w:color w:val="231F20"/>
          <w:spacing w:val="-2"/>
        </w:rPr>
        <w:t>говорит:</w:t>
      </w:r>
    </w:p>
    <w:p>
      <w:pPr>
        <w:spacing w:line="235" w:lineRule="auto" w:before="2"/>
        <w:ind w:left="141" w:right="139" w:firstLine="283"/>
        <w:jc w:val="both"/>
        <w:rPr>
          <w:i/>
          <w:sz w:val="20"/>
        </w:rPr>
      </w:pPr>
      <w:r>
        <w:rPr>
          <w:i/>
          <w:color w:val="231F20"/>
          <w:sz w:val="20"/>
        </w:rPr>
        <w:t>–</w:t>
      </w:r>
      <w:r>
        <w:rPr>
          <w:i/>
          <w:color w:val="231F20"/>
          <w:spacing w:val="21"/>
          <w:sz w:val="20"/>
        </w:rPr>
        <w:t> </w:t>
      </w:r>
      <w:r>
        <w:rPr>
          <w:i/>
          <w:color w:val="231F20"/>
          <w:sz w:val="20"/>
        </w:rPr>
        <w:t>Наша</w:t>
      </w:r>
      <w:r>
        <w:rPr>
          <w:i/>
          <w:color w:val="231F20"/>
          <w:spacing w:val="21"/>
          <w:sz w:val="20"/>
        </w:rPr>
        <w:t> </w:t>
      </w:r>
      <w:r>
        <w:rPr>
          <w:i/>
          <w:color w:val="231F20"/>
          <w:sz w:val="20"/>
        </w:rPr>
        <w:t>идентичность,</w:t>
      </w:r>
      <w:r>
        <w:rPr>
          <w:i/>
          <w:color w:val="231F20"/>
          <w:spacing w:val="21"/>
          <w:sz w:val="20"/>
        </w:rPr>
        <w:t> </w:t>
      </w:r>
      <w:r>
        <w:rPr>
          <w:i/>
          <w:color w:val="231F20"/>
          <w:sz w:val="20"/>
        </w:rPr>
        <w:t>то,</w:t>
      </w:r>
      <w:r>
        <w:rPr>
          <w:i/>
          <w:color w:val="231F20"/>
          <w:spacing w:val="21"/>
          <w:sz w:val="20"/>
        </w:rPr>
        <w:t> </w:t>
      </w:r>
      <w:r>
        <w:rPr>
          <w:i/>
          <w:color w:val="231F20"/>
          <w:sz w:val="20"/>
        </w:rPr>
        <w:t>кем</w:t>
      </w:r>
      <w:r>
        <w:rPr>
          <w:i/>
          <w:color w:val="231F20"/>
          <w:spacing w:val="21"/>
          <w:sz w:val="20"/>
        </w:rPr>
        <w:t> </w:t>
      </w:r>
      <w:r>
        <w:rPr>
          <w:i/>
          <w:color w:val="231F20"/>
          <w:sz w:val="20"/>
        </w:rPr>
        <w:t>мы</w:t>
      </w:r>
      <w:r>
        <w:rPr>
          <w:i/>
          <w:color w:val="231F20"/>
          <w:spacing w:val="21"/>
          <w:sz w:val="20"/>
        </w:rPr>
        <w:t> </w:t>
      </w:r>
      <w:r>
        <w:rPr>
          <w:i/>
          <w:color w:val="231F20"/>
          <w:sz w:val="20"/>
        </w:rPr>
        <w:t>себя</w:t>
      </w:r>
      <w:r>
        <w:rPr>
          <w:i/>
          <w:color w:val="231F20"/>
          <w:spacing w:val="21"/>
          <w:sz w:val="20"/>
        </w:rPr>
        <w:t> </w:t>
      </w:r>
      <w:r>
        <w:rPr>
          <w:i/>
          <w:color w:val="231F20"/>
          <w:sz w:val="20"/>
        </w:rPr>
        <w:t>считаем,</w:t>
      </w:r>
      <w:r>
        <w:rPr>
          <w:i/>
          <w:color w:val="231F20"/>
          <w:spacing w:val="21"/>
          <w:sz w:val="20"/>
        </w:rPr>
        <w:t> </w:t>
      </w:r>
      <w:r>
        <w:rPr>
          <w:i/>
          <w:color w:val="231F20"/>
          <w:sz w:val="20"/>
        </w:rPr>
        <w:t>–</w:t>
      </w:r>
      <w:r>
        <w:rPr>
          <w:i/>
          <w:color w:val="231F20"/>
          <w:spacing w:val="21"/>
          <w:sz w:val="20"/>
        </w:rPr>
        <w:t> </w:t>
      </w:r>
      <w:r>
        <w:rPr>
          <w:i/>
          <w:color w:val="231F20"/>
          <w:sz w:val="20"/>
        </w:rPr>
        <w:t>это</w:t>
      </w:r>
      <w:r>
        <w:rPr>
          <w:i/>
          <w:color w:val="231F20"/>
          <w:spacing w:val="21"/>
          <w:sz w:val="20"/>
        </w:rPr>
        <w:t> </w:t>
      </w:r>
      <w:r>
        <w:rPr>
          <w:i/>
          <w:color w:val="231F20"/>
          <w:sz w:val="20"/>
        </w:rPr>
        <w:t>своего</w:t>
      </w:r>
      <w:r>
        <w:rPr>
          <w:i/>
          <w:color w:val="231F20"/>
          <w:spacing w:val="21"/>
          <w:sz w:val="20"/>
        </w:rPr>
        <w:t> </w:t>
      </w:r>
      <w:r>
        <w:rPr>
          <w:i/>
          <w:color w:val="231F20"/>
          <w:sz w:val="20"/>
        </w:rPr>
        <w:t>рода</w:t>
      </w:r>
      <w:r>
        <w:rPr>
          <w:i/>
          <w:color w:val="231F20"/>
          <w:spacing w:val="21"/>
          <w:sz w:val="20"/>
        </w:rPr>
        <w:t> </w:t>
      </w:r>
      <w:r>
        <w:rPr>
          <w:i/>
          <w:color w:val="231F20"/>
          <w:sz w:val="20"/>
        </w:rPr>
        <w:t>история. У этой истории есть начало, продолжение, есть какие-то поворотные моменты. Чтобы написать эту историю, нам с тобой пришлось бы потратить очень много времени. Поэтому я попрошу тебя нарисовать к ней иллюстрации, как в книжке с </w:t>
      </w:r>
      <w:r>
        <w:rPr>
          <w:i/>
          <w:color w:val="231F20"/>
          <w:spacing w:val="-2"/>
          <w:sz w:val="20"/>
        </w:rPr>
        <w:t>картинками».</w:t>
      </w:r>
    </w:p>
    <w:p>
      <w:pPr>
        <w:pStyle w:val="BodyText"/>
        <w:spacing w:line="235" w:lineRule="auto" w:before="3"/>
      </w:pPr>
      <w:r>
        <w:rPr>
          <w:color w:val="231F20"/>
        </w:rPr>
        <w:t>В</w:t>
      </w:r>
      <w:r>
        <w:rPr>
          <w:color w:val="231F20"/>
          <w:spacing w:val="-12"/>
        </w:rPr>
        <w:t> </w:t>
      </w:r>
      <w:r>
        <w:rPr>
          <w:color w:val="231F20"/>
        </w:rPr>
        <w:t>итоге</w:t>
      </w:r>
      <w:r>
        <w:rPr>
          <w:color w:val="231F20"/>
          <w:spacing w:val="-12"/>
        </w:rPr>
        <w:t> </w:t>
      </w:r>
      <w:r>
        <w:rPr>
          <w:color w:val="231F20"/>
        </w:rPr>
        <w:t>у</w:t>
      </w:r>
      <w:r>
        <w:rPr>
          <w:color w:val="231F20"/>
          <w:spacing w:val="-12"/>
        </w:rPr>
        <w:t> </w:t>
      </w:r>
      <w:r>
        <w:rPr>
          <w:color w:val="231F20"/>
        </w:rPr>
        <w:t>ребенка</w:t>
      </w:r>
      <w:r>
        <w:rPr>
          <w:color w:val="231F20"/>
          <w:spacing w:val="-12"/>
        </w:rPr>
        <w:t> </w:t>
      </w:r>
      <w:r>
        <w:rPr>
          <w:color w:val="231F20"/>
        </w:rPr>
        <w:t>получается</w:t>
      </w:r>
      <w:r>
        <w:rPr>
          <w:color w:val="231F20"/>
          <w:spacing w:val="-12"/>
        </w:rPr>
        <w:t> </w:t>
      </w:r>
      <w:r>
        <w:rPr>
          <w:color w:val="231F20"/>
        </w:rPr>
        <w:t>«история</w:t>
      </w:r>
      <w:r>
        <w:rPr>
          <w:color w:val="231F20"/>
          <w:spacing w:val="-12"/>
        </w:rPr>
        <w:t> </w:t>
      </w:r>
      <w:r>
        <w:rPr>
          <w:color w:val="231F20"/>
        </w:rPr>
        <w:t>в</w:t>
      </w:r>
      <w:r>
        <w:rPr>
          <w:color w:val="231F20"/>
          <w:spacing w:val="-12"/>
        </w:rPr>
        <w:t> </w:t>
      </w:r>
      <w:r>
        <w:rPr>
          <w:color w:val="231F20"/>
        </w:rPr>
        <w:t>картинках».</w:t>
      </w:r>
      <w:r>
        <w:rPr>
          <w:color w:val="231F20"/>
          <w:spacing w:val="-12"/>
        </w:rPr>
        <w:t> </w:t>
      </w:r>
      <w:r>
        <w:rPr>
          <w:color w:val="231F20"/>
        </w:rPr>
        <w:t>Ребенок</w:t>
      </w:r>
      <w:r>
        <w:rPr>
          <w:color w:val="231F20"/>
          <w:spacing w:val="-12"/>
        </w:rPr>
        <w:t> </w:t>
      </w:r>
      <w:r>
        <w:rPr>
          <w:color w:val="231F20"/>
        </w:rPr>
        <w:t>может</w:t>
      </w:r>
      <w:r>
        <w:rPr>
          <w:color w:val="231F20"/>
          <w:spacing w:val="-12"/>
        </w:rPr>
        <w:t> </w:t>
      </w:r>
      <w:r>
        <w:rPr>
          <w:color w:val="231F20"/>
        </w:rPr>
        <w:t>комментиро- вать какие-то элементы рисунка непосредственно по время рисования или когда его </w:t>
      </w:r>
      <w:r>
        <w:rPr>
          <w:color w:val="231F20"/>
          <w:spacing w:val="-2"/>
        </w:rPr>
        <w:t>завершит.</w:t>
      </w:r>
    </w:p>
    <w:p>
      <w:pPr>
        <w:pStyle w:val="BodyText"/>
        <w:spacing w:line="235" w:lineRule="auto" w:before="2"/>
      </w:pPr>
      <w:r>
        <w:rPr/>
        <w:t>После того как рисунок готов, психолог просит ребенка прокомментировать, ка- кие мысли и чувства у него возникали во время рисования.</w:t>
      </w:r>
    </w:p>
    <w:p>
      <w:pPr>
        <w:spacing w:line="228" w:lineRule="exact" w:before="111"/>
        <w:ind w:left="425" w:right="0" w:firstLine="0"/>
        <w:jc w:val="both"/>
        <w:rPr>
          <w:b/>
          <w:sz w:val="20"/>
        </w:rPr>
      </w:pPr>
      <w:r>
        <w:rPr>
          <w:b/>
          <w:color w:val="231F20"/>
          <w:sz w:val="20"/>
        </w:rPr>
        <w:t>«Колесо</w:t>
      </w:r>
      <w:r>
        <w:rPr>
          <w:b/>
          <w:color w:val="231F20"/>
          <w:spacing w:val="-12"/>
          <w:sz w:val="20"/>
        </w:rPr>
        <w:t> </w:t>
      </w:r>
      <w:r>
        <w:rPr>
          <w:b/>
          <w:color w:val="231F20"/>
          <w:spacing w:val="-2"/>
          <w:sz w:val="20"/>
        </w:rPr>
        <w:t>идентичности»</w:t>
      </w:r>
    </w:p>
    <w:p>
      <w:pPr>
        <w:spacing w:line="235" w:lineRule="auto" w:before="1"/>
        <w:ind w:left="141" w:right="140" w:firstLine="283"/>
        <w:jc w:val="both"/>
        <w:rPr>
          <w:i/>
          <w:sz w:val="20"/>
        </w:rPr>
      </w:pPr>
      <w:r>
        <w:rPr>
          <w:i/>
          <w:color w:val="231F20"/>
          <w:sz w:val="20"/>
        </w:rPr>
        <w:t>Источник</w:t>
      </w:r>
      <w:r>
        <w:rPr>
          <w:b/>
          <w:i/>
          <w:color w:val="231F20"/>
          <w:sz w:val="20"/>
        </w:rPr>
        <w:t>: </w:t>
      </w:r>
      <w:r>
        <w:rPr>
          <w:i/>
          <w:color w:val="231F20"/>
          <w:sz w:val="20"/>
        </w:rPr>
        <w:t>Program on Intergroup Relations and the Spectrum Center, University of Michigan https://sites.lsa.umich.edu/inclusive-teaching/personal-identity-wheel/</w:t>
      </w:r>
    </w:p>
    <w:p>
      <w:pPr>
        <w:pStyle w:val="BodyText"/>
        <w:spacing w:line="235" w:lineRule="auto" w:before="58"/>
      </w:pPr>
      <w:r>
        <w:rPr/>
        <w:drawing>
          <wp:anchor distT="0" distB="0" distL="0" distR="0" allowOverlap="1" layoutInCell="1" locked="0" behindDoc="1" simplePos="0" relativeHeight="487636992">
            <wp:simplePos x="0" y="0"/>
            <wp:positionH relativeFrom="page">
              <wp:posOffset>1450136</wp:posOffset>
            </wp:positionH>
            <wp:positionV relativeFrom="paragraph">
              <wp:posOffset>1506969</wp:posOffset>
            </wp:positionV>
            <wp:extent cx="2435359" cy="1790700"/>
            <wp:effectExtent l="0" t="0" r="0" b="0"/>
            <wp:wrapTopAndBottom/>
            <wp:docPr id="150" name="Image 150"/>
            <wp:cNvGraphicFramePr>
              <a:graphicFrameLocks/>
            </wp:cNvGraphicFramePr>
            <a:graphic>
              <a:graphicData uri="http://schemas.openxmlformats.org/drawingml/2006/picture">
                <pic:pic>
                  <pic:nvPicPr>
                    <pic:cNvPr id="150" name="Image 150"/>
                    <pic:cNvPicPr/>
                  </pic:nvPicPr>
                  <pic:blipFill>
                    <a:blip r:embed="rId214" cstate="print"/>
                    <a:stretch>
                      <a:fillRect/>
                    </a:stretch>
                  </pic:blipFill>
                  <pic:spPr>
                    <a:xfrm>
                      <a:off x="0" y="0"/>
                      <a:ext cx="2435359" cy="1790700"/>
                    </a:xfrm>
                    <a:prstGeom prst="rect">
                      <a:avLst/>
                    </a:prstGeom>
                  </pic:spPr>
                </pic:pic>
              </a:graphicData>
            </a:graphic>
          </wp:anchor>
        </w:drawing>
      </w:r>
      <w:r>
        <w:rPr>
          <w:color w:val="231F20"/>
          <w:spacing w:val="-2"/>
        </w:rPr>
        <w:t>Психолог предлагает ребенку лист бумаги, на котором изображена нижеприведен- </w:t>
      </w:r>
      <w:r>
        <w:rPr>
          <w:color w:val="231F20"/>
        </w:rPr>
        <w:t>ная схема. В центре внутреннего круга ребенок пишет свое имя, а под ним – три прилагательных,</w:t>
      </w:r>
      <w:r>
        <w:rPr>
          <w:color w:val="231F20"/>
          <w:spacing w:val="-12"/>
        </w:rPr>
        <w:t> </w:t>
      </w:r>
      <w:r>
        <w:rPr>
          <w:color w:val="231F20"/>
        </w:rPr>
        <w:t>которые</w:t>
      </w:r>
      <w:r>
        <w:rPr>
          <w:color w:val="231F20"/>
          <w:spacing w:val="-12"/>
        </w:rPr>
        <w:t> </w:t>
      </w:r>
      <w:r>
        <w:rPr>
          <w:color w:val="231F20"/>
        </w:rPr>
        <w:t>описывают</w:t>
      </w:r>
      <w:r>
        <w:rPr>
          <w:color w:val="231F20"/>
          <w:spacing w:val="-12"/>
        </w:rPr>
        <w:t> </w:t>
      </w:r>
      <w:r>
        <w:rPr>
          <w:color w:val="231F20"/>
        </w:rPr>
        <w:t>его</w:t>
      </w:r>
      <w:r>
        <w:rPr>
          <w:color w:val="231F20"/>
          <w:spacing w:val="-12"/>
        </w:rPr>
        <w:t> </w:t>
      </w:r>
      <w:r>
        <w:rPr>
          <w:color w:val="231F20"/>
        </w:rPr>
        <w:t>лучше</w:t>
      </w:r>
      <w:r>
        <w:rPr>
          <w:color w:val="231F20"/>
          <w:spacing w:val="-12"/>
        </w:rPr>
        <w:t> </w:t>
      </w:r>
      <w:r>
        <w:rPr>
          <w:color w:val="231F20"/>
        </w:rPr>
        <w:t>всего.</w:t>
      </w:r>
      <w:r>
        <w:rPr>
          <w:color w:val="231F20"/>
          <w:spacing w:val="-12"/>
        </w:rPr>
        <w:t> </w:t>
      </w:r>
      <w:r>
        <w:rPr>
          <w:color w:val="231F20"/>
        </w:rPr>
        <w:t>Затем</w:t>
      </w:r>
      <w:r>
        <w:rPr>
          <w:color w:val="231F20"/>
          <w:spacing w:val="-12"/>
        </w:rPr>
        <w:t> </w:t>
      </w:r>
      <w:r>
        <w:rPr>
          <w:color w:val="231F20"/>
        </w:rPr>
        <w:t>психолог</w:t>
      </w:r>
      <w:r>
        <w:rPr>
          <w:color w:val="231F20"/>
          <w:spacing w:val="-12"/>
        </w:rPr>
        <w:t> </w:t>
      </w:r>
      <w:r>
        <w:rPr>
          <w:color w:val="231F20"/>
        </w:rPr>
        <w:t>предлагает</w:t>
      </w:r>
      <w:r>
        <w:rPr>
          <w:color w:val="231F20"/>
          <w:spacing w:val="-12"/>
        </w:rPr>
        <w:t> </w:t>
      </w:r>
      <w:r>
        <w:rPr>
          <w:color w:val="231F20"/>
        </w:rPr>
        <w:t>на- писать что-либо о себе в каждую секцию (между внутренним и внешним кругом). Можно дать ребенку возможность написать самостоятельно либо психолог может </w:t>
      </w:r>
      <w:r>
        <w:rPr>
          <w:color w:val="231F20"/>
          <w:spacing w:val="-2"/>
        </w:rPr>
        <w:t>подготовить</w:t>
      </w:r>
      <w:r>
        <w:rPr>
          <w:color w:val="231F20"/>
          <w:spacing w:val="-5"/>
        </w:rPr>
        <w:t> </w:t>
      </w:r>
      <w:r>
        <w:rPr>
          <w:color w:val="231F20"/>
          <w:spacing w:val="-2"/>
        </w:rPr>
        <w:t>вопросы,</w:t>
      </w:r>
      <w:r>
        <w:rPr>
          <w:color w:val="231F20"/>
          <w:spacing w:val="-5"/>
        </w:rPr>
        <w:t> </w:t>
      </w:r>
      <w:r>
        <w:rPr>
          <w:color w:val="231F20"/>
          <w:spacing w:val="-2"/>
        </w:rPr>
        <w:t>например:</w:t>
      </w:r>
      <w:r>
        <w:rPr>
          <w:color w:val="231F20"/>
          <w:spacing w:val="-5"/>
        </w:rPr>
        <w:t> </w:t>
      </w:r>
      <w:r>
        <w:rPr>
          <w:color w:val="231F20"/>
          <w:spacing w:val="-2"/>
        </w:rPr>
        <w:t>где</w:t>
      </w:r>
      <w:r>
        <w:rPr>
          <w:color w:val="231F20"/>
          <w:spacing w:val="-5"/>
        </w:rPr>
        <w:t> </w:t>
      </w:r>
      <w:r>
        <w:rPr>
          <w:color w:val="231F20"/>
          <w:spacing w:val="-2"/>
        </w:rPr>
        <w:t>ты</w:t>
      </w:r>
      <w:r>
        <w:rPr>
          <w:color w:val="231F20"/>
          <w:spacing w:val="-5"/>
        </w:rPr>
        <w:t> </w:t>
      </w:r>
      <w:r>
        <w:rPr>
          <w:color w:val="231F20"/>
          <w:spacing w:val="-2"/>
        </w:rPr>
        <w:t>родился,</w:t>
      </w:r>
      <w:r>
        <w:rPr>
          <w:color w:val="231F20"/>
          <w:spacing w:val="-5"/>
        </w:rPr>
        <w:t> </w:t>
      </w:r>
      <w:r>
        <w:rPr>
          <w:color w:val="231F20"/>
          <w:spacing w:val="-2"/>
        </w:rPr>
        <w:t>какой</w:t>
      </w:r>
      <w:r>
        <w:rPr>
          <w:color w:val="231F20"/>
          <w:spacing w:val="-5"/>
        </w:rPr>
        <w:t> </w:t>
      </w:r>
      <w:r>
        <w:rPr>
          <w:color w:val="231F20"/>
          <w:spacing w:val="-2"/>
        </w:rPr>
        <w:t>ты</w:t>
      </w:r>
      <w:r>
        <w:rPr>
          <w:color w:val="231F20"/>
          <w:spacing w:val="-5"/>
        </w:rPr>
        <w:t> </w:t>
      </w:r>
      <w:r>
        <w:rPr>
          <w:color w:val="231F20"/>
          <w:spacing w:val="-2"/>
        </w:rPr>
        <w:t>по</w:t>
      </w:r>
      <w:r>
        <w:rPr>
          <w:color w:val="231F20"/>
          <w:spacing w:val="-5"/>
        </w:rPr>
        <w:t> </w:t>
      </w:r>
      <w:r>
        <w:rPr>
          <w:color w:val="231F20"/>
          <w:spacing w:val="-2"/>
        </w:rPr>
        <w:t>порядку</w:t>
      </w:r>
      <w:r>
        <w:rPr>
          <w:color w:val="231F20"/>
          <w:spacing w:val="-5"/>
        </w:rPr>
        <w:t> </w:t>
      </w:r>
      <w:r>
        <w:rPr>
          <w:color w:val="231F20"/>
          <w:spacing w:val="-2"/>
        </w:rPr>
        <w:t>в</w:t>
      </w:r>
      <w:r>
        <w:rPr>
          <w:color w:val="231F20"/>
          <w:spacing w:val="-5"/>
        </w:rPr>
        <w:t> </w:t>
      </w:r>
      <w:r>
        <w:rPr>
          <w:color w:val="231F20"/>
          <w:spacing w:val="-2"/>
        </w:rPr>
        <w:t>семье,</w:t>
      </w:r>
      <w:r>
        <w:rPr>
          <w:color w:val="231F20"/>
          <w:spacing w:val="-5"/>
        </w:rPr>
        <w:t> </w:t>
      </w:r>
      <w:r>
        <w:rPr>
          <w:color w:val="231F20"/>
          <w:spacing w:val="-2"/>
        </w:rPr>
        <w:t>какой</w:t>
      </w:r>
      <w:r>
        <w:rPr>
          <w:color w:val="231F20"/>
          <w:spacing w:val="-5"/>
        </w:rPr>
        <w:t> </w:t>
      </w:r>
      <w:r>
        <w:rPr>
          <w:color w:val="231F20"/>
          <w:spacing w:val="-2"/>
        </w:rPr>
        <w:t>у </w:t>
      </w:r>
      <w:r>
        <w:rPr>
          <w:color w:val="231F20"/>
        </w:rPr>
        <w:t>тебя</w:t>
      </w:r>
      <w:r>
        <w:rPr>
          <w:color w:val="231F20"/>
          <w:spacing w:val="-13"/>
        </w:rPr>
        <w:t> </w:t>
      </w:r>
      <w:r>
        <w:rPr>
          <w:color w:val="231F20"/>
        </w:rPr>
        <w:t>родной</w:t>
      </w:r>
      <w:r>
        <w:rPr>
          <w:color w:val="231F20"/>
          <w:spacing w:val="-12"/>
        </w:rPr>
        <w:t> </w:t>
      </w:r>
      <w:r>
        <w:rPr>
          <w:color w:val="231F20"/>
        </w:rPr>
        <w:t>язык,</w:t>
      </w:r>
      <w:r>
        <w:rPr>
          <w:color w:val="231F20"/>
          <w:spacing w:val="-13"/>
        </w:rPr>
        <w:t> </w:t>
      </w:r>
      <w:r>
        <w:rPr>
          <w:color w:val="231F20"/>
        </w:rPr>
        <w:t>любимое</w:t>
      </w:r>
      <w:r>
        <w:rPr>
          <w:color w:val="231F20"/>
          <w:spacing w:val="-12"/>
        </w:rPr>
        <w:t> </w:t>
      </w:r>
      <w:r>
        <w:rPr>
          <w:color w:val="231F20"/>
        </w:rPr>
        <w:t>занятие</w:t>
      </w:r>
      <w:r>
        <w:rPr>
          <w:color w:val="231F20"/>
          <w:spacing w:val="-13"/>
        </w:rPr>
        <w:t> </w:t>
      </w:r>
      <w:r>
        <w:rPr>
          <w:color w:val="231F20"/>
        </w:rPr>
        <w:t>и</w:t>
      </w:r>
      <w:r>
        <w:rPr>
          <w:color w:val="231F20"/>
          <w:spacing w:val="-12"/>
        </w:rPr>
        <w:t> </w:t>
      </w:r>
      <w:r>
        <w:rPr>
          <w:color w:val="231F20"/>
        </w:rPr>
        <w:t>др.</w:t>
      </w:r>
      <w:r>
        <w:rPr>
          <w:color w:val="231F20"/>
          <w:spacing w:val="-13"/>
        </w:rPr>
        <w:t> </w:t>
      </w:r>
      <w:r>
        <w:rPr>
          <w:color w:val="231F20"/>
        </w:rPr>
        <w:t>Затем</w:t>
      </w:r>
      <w:r>
        <w:rPr>
          <w:color w:val="231F20"/>
          <w:spacing w:val="-12"/>
        </w:rPr>
        <w:t> </w:t>
      </w:r>
      <w:r>
        <w:rPr>
          <w:color w:val="231F20"/>
        </w:rPr>
        <w:t>психолог</w:t>
      </w:r>
      <w:r>
        <w:rPr>
          <w:color w:val="231F20"/>
          <w:spacing w:val="-13"/>
        </w:rPr>
        <w:t> </w:t>
      </w:r>
      <w:r>
        <w:rPr>
          <w:color w:val="231F20"/>
        </w:rPr>
        <w:t>предлагает</w:t>
      </w:r>
      <w:r>
        <w:rPr>
          <w:color w:val="231F20"/>
          <w:spacing w:val="-12"/>
        </w:rPr>
        <w:t> </w:t>
      </w:r>
      <w:r>
        <w:rPr>
          <w:color w:val="231F20"/>
        </w:rPr>
        <w:t>выбрать</w:t>
      </w:r>
      <w:r>
        <w:rPr>
          <w:color w:val="231F20"/>
          <w:spacing w:val="-13"/>
        </w:rPr>
        <w:t> </w:t>
      </w:r>
      <w:r>
        <w:rPr>
          <w:color w:val="231F20"/>
        </w:rPr>
        <w:t>цветной карандаш и раскрасить те секции, где указаны характеристики или идентичности, которыми</w:t>
      </w:r>
      <w:r>
        <w:rPr>
          <w:color w:val="231F20"/>
          <w:spacing w:val="-3"/>
        </w:rPr>
        <w:t> </w:t>
      </w:r>
      <w:r>
        <w:rPr>
          <w:color w:val="231F20"/>
        </w:rPr>
        <w:t>ребенок</w:t>
      </w:r>
      <w:r>
        <w:rPr>
          <w:color w:val="231F20"/>
          <w:spacing w:val="-3"/>
        </w:rPr>
        <w:t> </w:t>
      </w:r>
      <w:r>
        <w:rPr>
          <w:color w:val="231F20"/>
        </w:rPr>
        <w:t>гордится.</w:t>
      </w:r>
      <w:r>
        <w:rPr>
          <w:color w:val="231F20"/>
          <w:spacing w:val="-3"/>
        </w:rPr>
        <w:t> </w:t>
      </w:r>
      <w:r>
        <w:rPr>
          <w:color w:val="231F20"/>
        </w:rPr>
        <w:t>Важно</w:t>
      </w:r>
      <w:r>
        <w:rPr>
          <w:color w:val="231F20"/>
          <w:spacing w:val="-3"/>
        </w:rPr>
        <w:t> </w:t>
      </w:r>
      <w:r>
        <w:rPr>
          <w:color w:val="231F20"/>
        </w:rPr>
        <w:t>обсудить</w:t>
      </w:r>
      <w:r>
        <w:rPr>
          <w:color w:val="231F20"/>
          <w:spacing w:val="-3"/>
        </w:rPr>
        <w:t> </w:t>
      </w:r>
      <w:r>
        <w:rPr>
          <w:color w:val="231F20"/>
        </w:rPr>
        <w:t>с</w:t>
      </w:r>
      <w:r>
        <w:rPr>
          <w:color w:val="231F20"/>
          <w:spacing w:val="-3"/>
        </w:rPr>
        <w:t> </w:t>
      </w:r>
      <w:r>
        <w:rPr>
          <w:color w:val="231F20"/>
        </w:rPr>
        <w:t>ним,</w:t>
      </w:r>
      <w:r>
        <w:rPr>
          <w:color w:val="231F20"/>
          <w:spacing w:val="-3"/>
        </w:rPr>
        <w:t> </w:t>
      </w:r>
      <w:r>
        <w:rPr>
          <w:color w:val="231F20"/>
        </w:rPr>
        <w:t>что</w:t>
      </w:r>
      <w:r>
        <w:rPr>
          <w:color w:val="231F20"/>
          <w:spacing w:val="-3"/>
        </w:rPr>
        <w:t> </w:t>
      </w:r>
      <w:r>
        <w:rPr>
          <w:color w:val="231F20"/>
        </w:rPr>
        <w:t>все</w:t>
      </w:r>
      <w:r>
        <w:rPr>
          <w:color w:val="231F20"/>
          <w:spacing w:val="-3"/>
        </w:rPr>
        <w:t> </w:t>
      </w:r>
      <w:r>
        <w:rPr>
          <w:color w:val="231F20"/>
        </w:rPr>
        <w:t>составляющие</w:t>
      </w:r>
      <w:r>
        <w:rPr>
          <w:color w:val="231F20"/>
          <w:spacing w:val="-3"/>
        </w:rPr>
        <w:t> </w:t>
      </w:r>
      <w:r>
        <w:rPr>
          <w:color w:val="231F20"/>
        </w:rPr>
        <w:t>его</w:t>
      </w:r>
      <w:r>
        <w:rPr>
          <w:color w:val="231F20"/>
          <w:spacing w:val="-3"/>
        </w:rPr>
        <w:t> </w:t>
      </w:r>
      <w:r>
        <w:rPr>
          <w:color w:val="231F20"/>
        </w:rPr>
        <w:t>иден- тичности делают его уникальным и могут представлять собой повод для гордости.</w:t>
      </w:r>
    </w:p>
    <w:p>
      <w:pPr>
        <w:pStyle w:val="BodyText"/>
        <w:spacing w:after="0" w:line="235" w:lineRule="auto"/>
        <w:sectPr>
          <w:pgSz w:w="8400" w:h="11910"/>
          <w:pgMar w:header="0" w:footer="529" w:top="400" w:bottom="740" w:left="425" w:right="425"/>
        </w:sectPr>
      </w:pPr>
    </w:p>
    <w:p>
      <w:pPr>
        <w:numPr>
          <w:ilvl w:val="1"/>
          <w:numId w:val="220"/>
        </w:numPr>
        <w:tabs>
          <w:tab w:pos="2047" w:val="left" w:leader="none"/>
        </w:tabs>
        <w:spacing w:before="73"/>
        <w:ind w:left="2047" w:right="0" w:hanging="350"/>
        <w:jc w:val="left"/>
        <w:rPr>
          <w:b/>
          <w:color w:val="231F20"/>
          <w:sz w:val="20"/>
        </w:rPr>
      </w:pPr>
      <w:bookmarkStart w:name="_bookmark77" w:id="79"/>
      <w:bookmarkEnd w:id="79"/>
      <w:r>
        <w:rPr/>
      </w:r>
      <w:r>
        <w:rPr>
          <w:b/>
          <w:color w:val="231F20"/>
          <w:sz w:val="20"/>
        </w:rPr>
        <w:t>Ролевые</w:t>
      </w:r>
      <w:r>
        <w:rPr>
          <w:b/>
          <w:color w:val="231F20"/>
          <w:spacing w:val="-7"/>
          <w:sz w:val="20"/>
        </w:rPr>
        <w:t> </w:t>
      </w:r>
      <w:r>
        <w:rPr>
          <w:b/>
          <w:color w:val="231F20"/>
          <w:sz w:val="20"/>
        </w:rPr>
        <w:t>игры:</w:t>
      </w:r>
      <w:r>
        <w:rPr>
          <w:b/>
          <w:color w:val="231F20"/>
          <w:spacing w:val="-7"/>
          <w:sz w:val="20"/>
        </w:rPr>
        <w:t> </w:t>
      </w:r>
      <w:r>
        <w:rPr>
          <w:b/>
          <w:color w:val="231F20"/>
          <w:sz w:val="20"/>
        </w:rPr>
        <w:t>методическое</w:t>
      </w:r>
      <w:r>
        <w:rPr>
          <w:b/>
          <w:color w:val="231F20"/>
          <w:spacing w:val="-7"/>
          <w:sz w:val="20"/>
        </w:rPr>
        <w:t> </w:t>
      </w:r>
      <w:r>
        <w:rPr>
          <w:b/>
          <w:color w:val="231F20"/>
          <w:spacing w:val="-2"/>
          <w:sz w:val="20"/>
        </w:rPr>
        <w:t>руководство</w:t>
      </w:r>
    </w:p>
    <w:p>
      <w:pPr>
        <w:spacing w:before="166"/>
        <w:ind w:left="141" w:right="139" w:firstLine="0"/>
        <w:jc w:val="right"/>
        <w:rPr>
          <w:i/>
          <w:sz w:val="20"/>
        </w:rPr>
      </w:pPr>
      <w:r>
        <w:rPr>
          <w:i/>
          <w:color w:val="231F20"/>
          <w:sz w:val="20"/>
        </w:rPr>
        <w:t>М.Ю. </w:t>
      </w:r>
      <w:r>
        <w:rPr>
          <w:i/>
          <w:color w:val="231F20"/>
          <w:spacing w:val="-2"/>
          <w:sz w:val="20"/>
        </w:rPr>
        <w:t>Чибисова</w:t>
      </w:r>
    </w:p>
    <w:p>
      <w:pPr>
        <w:pStyle w:val="BodyText"/>
        <w:spacing w:before="110"/>
      </w:pPr>
      <w:r>
        <w:rPr>
          <w:b/>
        </w:rPr>
        <w:t>Общее</w:t>
      </w:r>
      <w:r>
        <w:rPr>
          <w:b/>
          <w:spacing w:val="-10"/>
        </w:rPr>
        <w:t> </w:t>
      </w:r>
      <w:r>
        <w:rPr>
          <w:b/>
        </w:rPr>
        <w:t>описание</w:t>
      </w:r>
      <w:r>
        <w:rPr/>
        <w:t>.</w:t>
      </w:r>
      <w:r>
        <w:rPr>
          <w:spacing w:val="-10"/>
        </w:rPr>
        <w:t> </w:t>
      </w:r>
      <w:r>
        <w:rPr>
          <w:color w:val="231F20"/>
        </w:rPr>
        <w:t>Ролевые</w:t>
      </w:r>
      <w:r>
        <w:rPr>
          <w:color w:val="231F20"/>
          <w:spacing w:val="-10"/>
        </w:rPr>
        <w:t> </w:t>
      </w:r>
      <w:r>
        <w:rPr>
          <w:color w:val="231F20"/>
        </w:rPr>
        <w:t>игры</w:t>
      </w:r>
      <w:r>
        <w:rPr>
          <w:color w:val="231F20"/>
          <w:spacing w:val="-10"/>
        </w:rPr>
        <w:t> </w:t>
      </w:r>
      <w:r>
        <w:rPr>
          <w:color w:val="231F20"/>
        </w:rPr>
        <w:t>представляют</w:t>
      </w:r>
      <w:r>
        <w:rPr>
          <w:color w:val="231F20"/>
          <w:spacing w:val="-10"/>
        </w:rPr>
        <w:t> </w:t>
      </w:r>
      <w:r>
        <w:rPr>
          <w:color w:val="231F20"/>
        </w:rPr>
        <w:t>собой</w:t>
      </w:r>
      <w:r>
        <w:rPr>
          <w:color w:val="231F20"/>
          <w:spacing w:val="-10"/>
        </w:rPr>
        <w:t> </w:t>
      </w:r>
      <w:r>
        <w:rPr>
          <w:color w:val="231F20"/>
        </w:rPr>
        <w:t>разновидность</w:t>
      </w:r>
      <w:r>
        <w:rPr>
          <w:color w:val="231F20"/>
          <w:spacing w:val="-10"/>
        </w:rPr>
        <w:t> </w:t>
      </w:r>
      <w:r>
        <w:rPr>
          <w:color w:val="231F20"/>
        </w:rPr>
        <w:t>директивной игровой терапии. В ролевой игре психолог и ребенок с помощью игрушек разыгры- вают ситуации повседневного взаимодействия. Ребенок сначала играет спонтанно, а затем пробует модели поведения, которые ему предлагает психолог.</w:t>
      </w:r>
    </w:p>
    <w:p>
      <w:pPr>
        <w:pStyle w:val="BodyText"/>
        <w:ind w:left="425" w:right="0" w:firstLine="0"/>
      </w:pPr>
      <w:r>
        <w:rPr>
          <w:color w:val="231F20"/>
        </w:rPr>
        <w:t>Ролевые</w:t>
      </w:r>
      <w:r>
        <w:rPr>
          <w:color w:val="231F20"/>
          <w:spacing w:val="-8"/>
        </w:rPr>
        <w:t> </w:t>
      </w:r>
      <w:r>
        <w:rPr>
          <w:color w:val="231F20"/>
        </w:rPr>
        <w:t>игры</w:t>
      </w:r>
      <w:r>
        <w:rPr>
          <w:color w:val="231F20"/>
          <w:spacing w:val="-5"/>
        </w:rPr>
        <w:t> </w:t>
      </w:r>
      <w:r>
        <w:rPr>
          <w:color w:val="231F20"/>
        </w:rPr>
        <w:t>подходят</w:t>
      </w:r>
      <w:r>
        <w:rPr>
          <w:color w:val="231F20"/>
          <w:spacing w:val="-6"/>
        </w:rPr>
        <w:t> </w:t>
      </w:r>
      <w:r>
        <w:rPr>
          <w:color w:val="231F20"/>
        </w:rPr>
        <w:t>для</w:t>
      </w:r>
      <w:r>
        <w:rPr>
          <w:color w:val="231F20"/>
          <w:spacing w:val="-5"/>
        </w:rPr>
        <w:t> </w:t>
      </w:r>
      <w:r>
        <w:rPr>
          <w:color w:val="231F20"/>
        </w:rPr>
        <w:t>работы</w:t>
      </w:r>
      <w:r>
        <w:rPr>
          <w:color w:val="231F20"/>
          <w:spacing w:val="-5"/>
        </w:rPr>
        <w:t> </w:t>
      </w:r>
      <w:r>
        <w:rPr>
          <w:color w:val="231F20"/>
        </w:rPr>
        <w:t>с</w:t>
      </w:r>
      <w:r>
        <w:rPr>
          <w:color w:val="231F20"/>
          <w:spacing w:val="-6"/>
        </w:rPr>
        <w:t> </w:t>
      </w:r>
      <w:r>
        <w:rPr>
          <w:color w:val="231F20"/>
        </w:rPr>
        <w:t>учащимися</w:t>
      </w:r>
      <w:r>
        <w:rPr>
          <w:color w:val="231F20"/>
          <w:spacing w:val="-5"/>
        </w:rPr>
        <w:t> </w:t>
      </w:r>
      <w:r>
        <w:rPr>
          <w:color w:val="231F20"/>
        </w:rPr>
        <w:t>начальной</w:t>
      </w:r>
      <w:r>
        <w:rPr>
          <w:color w:val="231F20"/>
          <w:spacing w:val="-6"/>
        </w:rPr>
        <w:t> </w:t>
      </w:r>
      <w:r>
        <w:rPr>
          <w:color w:val="231F20"/>
          <w:spacing w:val="-2"/>
        </w:rPr>
        <w:t>школы.</w:t>
      </w:r>
    </w:p>
    <w:p>
      <w:pPr>
        <w:pStyle w:val="BodyText"/>
      </w:pPr>
      <w:r>
        <w:rPr>
          <w:b/>
        </w:rPr>
        <w:t>Сильные</w:t>
      </w:r>
      <w:r>
        <w:rPr>
          <w:b/>
          <w:spacing w:val="-13"/>
        </w:rPr>
        <w:t> </w:t>
      </w:r>
      <w:r>
        <w:rPr>
          <w:b/>
        </w:rPr>
        <w:t>стороны</w:t>
      </w:r>
      <w:r>
        <w:rPr>
          <w:b/>
          <w:spacing w:val="-12"/>
        </w:rPr>
        <w:t> </w:t>
      </w:r>
      <w:r>
        <w:rPr>
          <w:b/>
        </w:rPr>
        <w:t>практики</w:t>
      </w:r>
      <w:r>
        <w:rPr/>
        <w:t>.</w:t>
      </w:r>
      <w:r>
        <w:rPr>
          <w:spacing w:val="-13"/>
        </w:rPr>
        <w:t> </w:t>
      </w:r>
      <w:r>
        <w:rPr>
          <w:color w:val="231F20"/>
        </w:rPr>
        <w:t>С</w:t>
      </w:r>
      <w:r>
        <w:rPr>
          <w:color w:val="231F20"/>
          <w:spacing w:val="-12"/>
        </w:rPr>
        <w:t> </w:t>
      </w:r>
      <w:r>
        <w:rPr>
          <w:color w:val="231F20"/>
        </w:rPr>
        <w:t>помощью</w:t>
      </w:r>
      <w:r>
        <w:rPr>
          <w:color w:val="231F20"/>
          <w:spacing w:val="-13"/>
        </w:rPr>
        <w:t> </w:t>
      </w:r>
      <w:r>
        <w:rPr>
          <w:color w:val="231F20"/>
        </w:rPr>
        <w:t>ролевой</w:t>
      </w:r>
      <w:r>
        <w:rPr>
          <w:color w:val="231F20"/>
          <w:spacing w:val="-12"/>
        </w:rPr>
        <w:t> </w:t>
      </w:r>
      <w:r>
        <w:rPr>
          <w:color w:val="231F20"/>
        </w:rPr>
        <w:t>игры</w:t>
      </w:r>
      <w:r>
        <w:rPr>
          <w:color w:val="231F20"/>
          <w:spacing w:val="-13"/>
        </w:rPr>
        <w:t> </w:t>
      </w:r>
      <w:r>
        <w:rPr>
          <w:color w:val="231F20"/>
        </w:rPr>
        <w:t>психолог</w:t>
      </w:r>
      <w:r>
        <w:rPr>
          <w:color w:val="231F20"/>
          <w:spacing w:val="-12"/>
        </w:rPr>
        <w:t> </w:t>
      </w:r>
      <w:r>
        <w:rPr>
          <w:color w:val="231F20"/>
        </w:rPr>
        <w:t>имеет</w:t>
      </w:r>
      <w:r>
        <w:rPr>
          <w:color w:val="231F20"/>
          <w:spacing w:val="-13"/>
        </w:rPr>
        <w:t> </w:t>
      </w:r>
      <w:r>
        <w:rPr>
          <w:color w:val="231F20"/>
        </w:rPr>
        <w:t>возмож- ность выявить актуальные социальные навыки учащегося-мигранта и содействовать формированию культурно релевантных навыков. Ролевая игра позволяет ребенку в комфортной</w:t>
      </w:r>
      <w:r>
        <w:rPr>
          <w:color w:val="231F20"/>
          <w:spacing w:val="-6"/>
        </w:rPr>
        <w:t> </w:t>
      </w:r>
      <w:r>
        <w:rPr>
          <w:color w:val="231F20"/>
        </w:rPr>
        <w:t>и</w:t>
      </w:r>
      <w:r>
        <w:rPr>
          <w:color w:val="231F20"/>
          <w:spacing w:val="-6"/>
        </w:rPr>
        <w:t> </w:t>
      </w:r>
      <w:r>
        <w:rPr>
          <w:color w:val="231F20"/>
        </w:rPr>
        <w:t>безопасной</w:t>
      </w:r>
      <w:r>
        <w:rPr>
          <w:color w:val="231F20"/>
          <w:spacing w:val="-6"/>
        </w:rPr>
        <w:t> </w:t>
      </w:r>
      <w:r>
        <w:rPr>
          <w:color w:val="231F20"/>
        </w:rPr>
        <w:t>форме</w:t>
      </w:r>
      <w:r>
        <w:rPr>
          <w:color w:val="231F20"/>
          <w:spacing w:val="-6"/>
        </w:rPr>
        <w:t> </w:t>
      </w:r>
      <w:r>
        <w:rPr>
          <w:color w:val="231F20"/>
        </w:rPr>
        <w:t>попрактиковаться</w:t>
      </w:r>
      <w:r>
        <w:rPr>
          <w:color w:val="231F20"/>
          <w:spacing w:val="-6"/>
        </w:rPr>
        <w:t> </w:t>
      </w:r>
      <w:r>
        <w:rPr>
          <w:color w:val="231F20"/>
        </w:rPr>
        <w:t>в</w:t>
      </w:r>
      <w:r>
        <w:rPr>
          <w:color w:val="231F20"/>
          <w:spacing w:val="-6"/>
        </w:rPr>
        <w:t> </w:t>
      </w:r>
      <w:r>
        <w:rPr>
          <w:color w:val="231F20"/>
        </w:rPr>
        <w:t>использовании</w:t>
      </w:r>
      <w:r>
        <w:rPr>
          <w:color w:val="231F20"/>
          <w:spacing w:val="-6"/>
        </w:rPr>
        <w:t> </w:t>
      </w:r>
      <w:r>
        <w:rPr>
          <w:color w:val="231F20"/>
        </w:rPr>
        <w:t>новых</w:t>
      </w:r>
      <w:r>
        <w:rPr>
          <w:color w:val="231F20"/>
          <w:spacing w:val="-6"/>
        </w:rPr>
        <w:t> </w:t>
      </w:r>
      <w:r>
        <w:rPr>
          <w:color w:val="231F20"/>
        </w:rPr>
        <w:t>поведен- ческих</w:t>
      </w:r>
      <w:r>
        <w:rPr>
          <w:color w:val="231F20"/>
          <w:spacing w:val="-2"/>
        </w:rPr>
        <w:t> </w:t>
      </w:r>
      <w:r>
        <w:rPr>
          <w:color w:val="231F20"/>
        </w:rPr>
        <w:t>моделей.</w:t>
      </w:r>
      <w:r>
        <w:rPr>
          <w:color w:val="231F20"/>
          <w:spacing w:val="-2"/>
        </w:rPr>
        <w:t> </w:t>
      </w:r>
      <w:r>
        <w:rPr>
          <w:color w:val="231F20"/>
        </w:rPr>
        <w:t>Ролевые</w:t>
      </w:r>
      <w:r>
        <w:rPr>
          <w:color w:val="231F20"/>
          <w:spacing w:val="-2"/>
        </w:rPr>
        <w:t> </w:t>
      </w:r>
      <w:r>
        <w:rPr>
          <w:color w:val="231F20"/>
        </w:rPr>
        <w:t>игры</w:t>
      </w:r>
      <w:r>
        <w:rPr>
          <w:color w:val="231F20"/>
          <w:spacing w:val="-2"/>
        </w:rPr>
        <w:t> </w:t>
      </w:r>
      <w:r>
        <w:rPr>
          <w:color w:val="231F20"/>
        </w:rPr>
        <w:t>могут</w:t>
      </w:r>
      <w:r>
        <w:rPr>
          <w:color w:val="231F20"/>
          <w:spacing w:val="-2"/>
        </w:rPr>
        <w:t> </w:t>
      </w:r>
      <w:r>
        <w:rPr>
          <w:color w:val="231F20"/>
        </w:rPr>
        <w:t>проводиться</w:t>
      </w:r>
      <w:r>
        <w:rPr>
          <w:color w:val="231F20"/>
          <w:spacing w:val="-2"/>
        </w:rPr>
        <w:t> </w:t>
      </w:r>
      <w:r>
        <w:rPr>
          <w:color w:val="231F20"/>
        </w:rPr>
        <w:t>многократно,</w:t>
      </w:r>
      <w:r>
        <w:rPr>
          <w:color w:val="231F20"/>
          <w:spacing w:val="-2"/>
        </w:rPr>
        <w:t> </w:t>
      </w:r>
      <w:r>
        <w:rPr>
          <w:color w:val="231F20"/>
        </w:rPr>
        <w:t>они</w:t>
      </w:r>
      <w:r>
        <w:rPr>
          <w:color w:val="231F20"/>
          <w:spacing w:val="-2"/>
        </w:rPr>
        <w:t> </w:t>
      </w:r>
      <w:r>
        <w:rPr>
          <w:color w:val="231F20"/>
        </w:rPr>
        <w:t>позволяют</w:t>
      </w:r>
      <w:r>
        <w:rPr>
          <w:color w:val="231F20"/>
          <w:spacing w:val="-2"/>
        </w:rPr>
        <w:t> </w:t>
      </w:r>
      <w:r>
        <w:rPr>
          <w:color w:val="231F20"/>
        </w:rPr>
        <w:t>про- работать широкий спектр ситуаций социального взаимодействия.</w:t>
      </w:r>
    </w:p>
    <w:p>
      <w:pPr>
        <w:pStyle w:val="BodyText"/>
      </w:pPr>
      <w:r>
        <w:rPr>
          <w:b/>
        </w:rPr>
        <w:t>Требования к проведению. </w:t>
      </w:r>
      <w:r>
        <w:rPr/>
        <w:t>Ролевые игры следует проводить в рамках индиви- дуального занятия в отдельном помещении (кабинете психолога). </w:t>
      </w:r>
      <w:r>
        <w:rPr>
          <w:color w:val="231F20"/>
        </w:rPr>
        <w:t>Для ролевой игры необходимы</w:t>
      </w:r>
      <w:r>
        <w:rPr>
          <w:color w:val="231F20"/>
          <w:spacing w:val="-11"/>
        </w:rPr>
        <w:t> </w:t>
      </w:r>
      <w:r>
        <w:rPr>
          <w:color w:val="231F20"/>
        </w:rPr>
        <w:t>игрушки</w:t>
      </w:r>
      <w:r>
        <w:rPr>
          <w:color w:val="231F20"/>
          <w:spacing w:val="-11"/>
        </w:rPr>
        <w:t> </w:t>
      </w:r>
      <w:r>
        <w:rPr>
          <w:color w:val="231F20"/>
        </w:rPr>
        <w:t>(маленькие</w:t>
      </w:r>
      <w:r>
        <w:rPr>
          <w:color w:val="231F20"/>
          <w:spacing w:val="-11"/>
        </w:rPr>
        <w:t> </w:t>
      </w:r>
      <w:r>
        <w:rPr>
          <w:color w:val="231F20"/>
        </w:rPr>
        <w:t>фигурки</w:t>
      </w:r>
      <w:r>
        <w:rPr>
          <w:color w:val="231F20"/>
          <w:spacing w:val="-11"/>
        </w:rPr>
        <w:t> </w:t>
      </w:r>
      <w:r>
        <w:rPr>
          <w:color w:val="231F20"/>
        </w:rPr>
        <w:t>животных</w:t>
      </w:r>
      <w:r>
        <w:rPr>
          <w:color w:val="231F20"/>
          <w:spacing w:val="-11"/>
        </w:rPr>
        <w:t> </w:t>
      </w:r>
      <w:r>
        <w:rPr>
          <w:color w:val="231F20"/>
        </w:rPr>
        <w:t>или</w:t>
      </w:r>
      <w:r>
        <w:rPr>
          <w:color w:val="231F20"/>
          <w:spacing w:val="-11"/>
        </w:rPr>
        <w:t> </w:t>
      </w:r>
      <w:r>
        <w:rPr>
          <w:color w:val="231F20"/>
        </w:rPr>
        <w:t>людей,</w:t>
      </w:r>
      <w:r>
        <w:rPr>
          <w:color w:val="231F20"/>
          <w:spacing w:val="-11"/>
        </w:rPr>
        <w:t> </w:t>
      </w:r>
      <w:r>
        <w:rPr>
          <w:color w:val="231F20"/>
        </w:rPr>
        <w:t>пальчиковые</w:t>
      </w:r>
      <w:r>
        <w:rPr>
          <w:color w:val="231F20"/>
          <w:spacing w:val="-11"/>
        </w:rPr>
        <w:t> </w:t>
      </w:r>
      <w:r>
        <w:rPr>
          <w:color w:val="231F20"/>
        </w:rPr>
        <w:t>куклы и т.д.).</w:t>
      </w:r>
    </w:p>
    <w:p>
      <w:pPr>
        <w:pStyle w:val="BodyText"/>
      </w:pPr>
      <w:r>
        <w:rPr>
          <w:b/>
        </w:rPr>
        <w:t>Доказательность практики. </w:t>
      </w:r>
      <w:r>
        <w:rPr/>
        <w:t>Эмпирические исследования доказывают эффек- тивность игровой терапии в работе с детьми-мигрантами (см. Методические реко- </w:t>
      </w:r>
      <w:r>
        <w:rPr>
          <w:spacing w:val="-2"/>
        </w:rPr>
        <w:t>мендации).</w:t>
      </w:r>
    </w:p>
    <w:p>
      <w:pPr>
        <w:spacing w:before="114"/>
        <w:ind w:left="425" w:right="0" w:firstLine="0"/>
        <w:jc w:val="both"/>
        <w:rPr>
          <w:b/>
          <w:sz w:val="20"/>
        </w:rPr>
      </w:pPr>
      <w:r>
        <w:rPr>
          <w:b/>
          <w:color w:val="231F20"/>
          <w:spacing w:val="-2"/>
          <w:sz w:val="20"/>
        </w:rPr>
        <w:t>Последовательность</w:t>
      </w:r>
      <w:r>
        <w:rPr>
          <w:b/>
          <w:color w:val="231F20"/>
          <w:spacing w:val="21"/>
          <w:sz w:val="20"/>
        </w:rPr>
        <w:t> </w:t>
      </w:r>
      <w:r>
        <w:rPr>
          <w:b/>
          <w:color w:val="231F20"/>
          <w:spacing w:val="-2"/>
          <w:sz w:val="20"/>
        </w:rPr>
        <w:t>проведения</w:t>
      </w:r>
    </w:p>
    <w:p>
      <w:pPr>
        <w:pStyle w:val="BodyText"/>
      </w:pPr>
      <w:r>
        <w:rPr>
          <w:color w:val="231F20"/>
        </w:rPr>
        <w:t>Предварительно</w:t>
      </w:r>
      <w:r>
        <w:rPr>
          <w:color w:val="231F20"/>
          <w:spacing w:val="-3"/>
        </w:rPr>
        <w:t> </w:t>
      </w:r>
      <w:r>
        <w:rPr>
          <w:color w:val="231F20"/>
        </w:rPr>
        <w:t>психолог</w:t>
      </w:r>
      <w:r>
        <w:rPr>
          <w:color w:val="231F20"/>
          <w:spacing w:val="-3"/>
        </w:rPr>
        <w:t> </w:t>
      </w:r>
      <w:r>
        <w:rPr>
          <w:color w:val="231F20"/>
        </w:rPr>
        <w:t>собирает</w:t>
      </w:r>
      <w:r>
        <w:rPr>
          <w:color w:val="231F20"/>
          <w:spacing w:val="-3"/>
        </w:rPr>
        <w:t> </w:t>
      </w:r>
      <w:r>
        <w:rPr>
          <w:color w:val="231F20"/>
        </w:rPr>
        <w:t>информацию</w:t>
      </w:r>
      <w:r>
        <w:rPr>
          <w:color w:val="231F20"/>
          <w:spacing w:val="-3"/>
        </w:rPr>
        <w:t> </w:t>
      </w:r>
      <w:r>
        <w:rPr>
          <w:color w:val="231F20"/>
        </w:rPr>
        <w:t>о</w:t>
      </w:r>
      <w:r>
        <w:rPr>
          <w:color w:val="231F20"/>
          <w:spacing w:val="-3"/>
        </w:rPr>
        <w:t> </w:t>
      </w:r>
      <w:r>
        <w:rPr>
          <w:color w:val="231F20"/>
        </w:rPr>
        <w:t>том,</w:t>
      </w:r>
      <w:r>
        <w:rPr>
          <w:color w:val="231F20"/>
          <w:spacing w:val="-3"/>
        </w:rPr>
        <w:t> </w:t>
      </w:r>
      <w:r>
        <w:rPr>
          <w:color w:val="231F20"/>
        </w:rPr>
        <w:t>какие</w:t>
      </w:r>
      <w:r>
        <w:rPr>
          <w:color w:val="231F20"/>
          <w:spacing w:val="-3"/>
        </w:rPr>
        <w:t> </w:t>
      </w:r>
      <w:r>
        <w:rPr>
          <w:color w:val="231F20"/>
        </w:rPr>
        <w:t>социальные</w:t>
      </w:r>
      <w:r>
        <w:rPr>
          <w:color w:val="231F20"/>
          <w:spacing w:val="-3"/>
        </w:rPr>
        <w:t> </w:t>
      </w:r>
      <w:r>
        <w:rPr>
          <w:color w:val="231F20"/>
        </w:rPr>
        <w:t>ситуа- ции</w:t>
      </w:r>
      <w:r>
        <w:rPr>
          <w:color w:val="231F20"/>
          <w:spacing w:val="-10"/>
        </w:rPr>
        <w:t> </w:t>
      </w:r>
      <w:r>
        <w:rPr>
          <w:color w:val="231F20"/>
        </w:rPr>
        <w:t>для</w:t>
      </w:r>
      <w:r>
        <w:rPr>
          <w:color w:val="231F20"/>
          <w:spacing w:val="-10"/>
        </w:rPr>
        <w:t> </w:t>
      </w:r>
      <w:r>
        <w:rPr>
          <w:color w:val="231F20"/>
        </w:rPr>
        <w:t>учащегося</w:t>
      </w:r>
      <w:r>
        <w:rPr>
          <w:color w:val="231F20"/>
          <w:spacing w:val="-10"/>
        </w:rPr>
        <w:t> </w:t>
      </w:r>
      <w:r>
        <w:rPr>
          <w:color w:val="231F20"/>
        </w:rPr>
        <w:t>максимально</w:t>
      </w:r>
      <w:r>
        <w:rPr>
          <w:color w:val="231F20"/>
          <w:spacing w:val="-10"/>
        </w:rPr>
        <w:t> </w:t>
      </w:r>
      <w:r>
        <w:rPr>
          <w:color w:val="231F20"/>
        </w:rPr>
        <w:t>сложны</w:t>
      </w:r>
      <w:r>
        <w:rPr>
          <w:color w:val="231F20"/>
          <w:spacing w:val="-10"/>
        </w:rPr>
        <w:t> </w:t>
      </w:r>
      <w:r>
        <w:rPr>
          <w:color w:val="231F20"/>
        </w:rPr>
        <w:t>и</w:t>
      </w:r>
      <w:r>
        <w:rPr>
          <w:color w:val="231F20"/>
          <w:spacing w:val="-10"/>
        </w:rPr>
        <w:t> </w:t>
      </w:r>
      <w:r>
        <w:rPr>
          <w:color w:val="231F20"/>
        </w:rPr>
        <w:t>как</w:t>
      </w:r>
      <w:r>
        <w:rPr>
          <w:color w:val="231F20"/>
          <w:spacing w:val="-10"/>
        </w:rPr>
        <w:t> </w:t>
      </w:r>
      <w:r>
        <w:rPr>
          <w:color w:val="231F20"/>
        </w:rPr>
        <w:t>он</w:t>
      </w:r>
      <w:r>
        <w:rPr>
          <w:color w:val="231F20"/>
          <w:spacing w:val="-10"/>
        </w:rPr>
        <w:t> </w:t>
      </w:r>
      <w:r>
        <w:rPr>
          <w:color w:val="231F20"/>
        </w:rPr>
        <w:t>обычно</w:t>
      </w:r>
      <w:r>
        <w:rPr>
          <w:color w:val="231F20"/>
          <w:spacing w:val="-10"/>
        </w:rPr>
        <w:t> </w:t>
      </w:r>
      <w:r>
        <w:rPr>
          <w:color w:val="231F20"/>
        </w:rPr>
        <w:t>себя</w:t>
      </w:r>
      <w:r>
        <w:rPr>
          <w:color w:val="231F20"/>
          <w:spacing w:val="-10"/>
        </w:rPr>
        <w:t> </w:t>
      </w:r>
      <w:r>
        <w:rPr>
          <w:color w:val="231F20"/>
        </w:rPr>
        <w:t>ведет</w:t>
      </w:r>
      <w:r>
        <w:rPr>
          <w:color w:val="231F20"/>
          <w:spacing w:val="-10"/>
        </w:rPr>
        <w:t> </w:t>
      </w:r>
      <w:r>
        <w:rPr>
          <w:color w:val="231F20"/>
        </w:rPr>
        <w:t>в</w:t>
      </w:r>
      <w:r>
        <w:rPr>
          <w:color w:val="231F20"/>
          <w:spacing w:val="-10"/>
        </w:rPr>
        <w:t> </w:t>
      </w:r>
      <w:r>
        <w:rPr>
          <w:color w:val="231F20"/>
        </w:rPr>
        <w:t>таких</w:t>
      </w:r>
      <w:r>
        <w:rPr>
          <w:color w:val="231F20"/>
          <w:spacing w:val="-10"/>
        </w:rPr>
        <w:t> </w:t>
      </w:r>
      <w:r>
        <w:rPr>
          <w:color w:val="231F20"/>
        </w:rPr>
        <w:t>ситуаци- ях</w:t>
      </w:r>
      <w:r>
        <w:rPr>
          <w:color w:val="231F20"/>
          <w:spacing w:val="-8"/>
        </w:rPr>
        <w:t> </w:t>
      </w:r>
      <w:r>
        <w:rPr>
          <w:color w:val="231F20"/>
        </w:rPr>
        <w:t>(например,</w:t>
      </w:r>
      <w:r>
        <w:rPr>
          <w:color w:val="231F20"/>
          <w:spacing w:val="-8"/>
        </w:rPr>
        <w:t> </w:t>
      </w:r>
      <w:r>
        <w:rPr>
          <w:color w:val="231F20"/>
        </w:rPr>
        <w:t>приходит</w:t>
      </w:r>
      <w:r>
        <w:rPr>
          <w:color w:val="231F20"/>
          <w:spacing w:val="-8"/>
        </w:rPr>
        <w:t> </w:t>
      </w:r>
      <w:r>
        <w:rPr>
          <w:color w:val="231F20"/>
        </w:rPr>
        <w:t>в</w:t>
      </w:r>
      <w:r>
        <w:rPr>
          <w:color w:val="231F20"/>
          <w:spacing w:val="-8"/>
        </w:rPr>
        <w:t> </w:t>
      </w:r>
      <w:r>
        <w:rPr>
          <w:color w:val="231F20"/>
        </w:rPr>
        <w:t>класс</w:t>
      </w:r>
      <w:r>
        <w:rPr>
          <w:color w:val="231F20"/>
          <w:spacing w:val="-8"/>
        </w:rPr>
        <w:t> </w:t>
      </w:r>
      <w:r>
        <w:rPr>
          <w:color w:val="231F20"/>
        </w:rPr>
        <w:t>и</w:t>
      </w:r>
      <w:r>
        <w:rPr>
          <w:color w:val="231F20"/>
          <w:spacing w:val="-8"/>
        </w:rPr>
        <w:t> </w:t>
      </w:r>
      <w:r>
        <w:rPr>
          <w:color w:val="231F20"/>
        </w:rPr>
        <w:t>не</w:t>
      </w:r>
      <w:r>
        <w:rPr>
          <w:color w:val="231F20"/>
          <w:spacing w:val="-8"/>
        </w:rPr>
        <w:t> </w:t>
      </w:r>
      <w:r>
        <w:rPr>
          <w:color w:val="231F20"/>
        </w:rPr>
        <w:t>приветствует</w:t>
      </w:r>
      <w:r>
        <w:rPr>
          <w:color w:val="231F20"/>
          <w:spacing w:val="-8"/>
        </w:rPr>
        <w:t> </w:t>
      </w:r>
      <w:r>
        <w:rPr>
          <w:color w:val="231F20"/>
        </w:rPr>
        <w:t>учителя</w:t>
      </w:r>
      <w:r>
        <w:rPr>
          <w:color w:val="231F20"/>
          <w:spacing w:val="-8"/>
        </w:rPr>
        <w:t> </w:t>
      </w:r>
      <w:r>
        <w:rPr>
          <w:color w:val="231F20"/>
        </w:rPr>
        <w:t>и</w:t>
      </w:r>
      <w:r>
        <w:rPr>
          <w:color w:val="231F20"/>
          <w:spacing w:val="-8"/>
        </w:rPr>
        <w:t> </w:t>
      </w:r>
      <w:r>
        <w:rPr>
          <w:color w:val="231F20"/>
        </w:rPr>
        <w:t>пр.).</w:t>
      </w:r>
      <w:r>
        <w:rPr>
          <w:color w:val="231F20"/>
          <w:spacing w:val="-8"/>
        </w:rPr>
        <w:t> </w:t>
      </w:r>
      <w:r>
        <w:rPr>
          <w:color w:val="231F20"/>
        </w:rPr>
        <w:t>Целесообразно</w:t>
      </w:r>
      <w:r>
        <w:rPr>
          <w:color w:val="231F20"/>
          <w:spacing w:val="-8"/>
        </w:rPr>
        <w:t> </w:t>
      </w:r>
      <w:r>
        <w:rPr>
          <w:color w:val="231F20"/>
        </w:rPr>
        <w:t>так- же понаблюдать за ребенком в учебной или внеучебной ситуации, чтобы составить представление о его обычном поведении.</w:t>
      </w:r>
    </w:p>
    <w:p>
      <w:pPr>
        <w:pStyle w:val="BodyText"/>
        <w:ind w:left="425" w:right="0" w:firstLine="0"/>
      </w:pPr>
      <w:r>
        <w:rPr>
          <w:color w:val="231F20"/>
        </w:rPr>
        <w:t>Последовательность</w:t>
      </w:r>
      <w:r>
        <w:rPr>
          <w:color w:val="231F20"/>
          <w:spacing w:val="-6"/>
        </w:rPr>
        <w:t> </w:t>
      </w:r>
      <w:r>
        <w:rPr>
          <w:color w:val="231F20"/>
        </w:rPr>
        <w:t>действий</w:t>
      </w:r>
      <w:r>
        <w:rPr>
          <w:color w:val="231F20"/>
          <w:spacing w:val="-6"/>
        </w:rPr>
        <w:t> </w:t>
      </w:r>
      <w:r>
        <w:rPr>
          <w:color w:val="231F20"/>
        </w:rPr>
        <w:t>при</w:t>
      </w:r>
      <w:r>
        <w:rPr>
          <w:color w:val="231F20"/>
          <w:spacing w:val="-6"/>
        </w:rPr>
        <w:t> </w:t>
      </w:r>
      <w:r>
        <w:rPr>
          <w:color w:val="231F20"/>
        </w:rPr>
        <w:t>ролевой</w:t>
      </w:r>
      <w:r>
        <w:rPr>
          <w:color w:val="231F20"/>
          <w:spacing w:val="-6"/>
        </w:rPr>
        <w:t> </w:t>
      </w:r>
      <w:r>
        <w:rPr>
          <w:color w:val="231F20"/>
        </w:rPr>
        <w:t>игре</w:t>
      </w:r>
      <w:r>
        <w:rPr>
          <w:color w:val="231F20"/>
          <w:spacing w:val="-4"/>
        </w:rPr>
        <w:t> </w:t>
      </w:r>
      <w:r>
        <w:rPr>
          <w:color w:val="231F20"/>
          <w:spacing w:val="-2"/>
        </w:rPr>
        <w:t>следующая:</w:t>
      </w:r>
    </w:p>
    <w:p>
      <w:pPr>
        <w:pStyle w:val="ListParagraph"/>
        <w:numPr>
          <w:ilvl w:val="0"/>
          <w:numId w:val="222"/>
        </w:numPr>
        <w:tabs>
          <w:tab w:pos="425" w:val="left" w:leader="none"/>
        </w:tabs>
        <w:spacing w:line="240" w:lineRule="auto" w:before="0" w:after="0"/>
        <w:ind w:left="425" w:right="139" w:hanging="284"/>
        <w:jc w:val="both"/>
        <w:rPr>
          <w:sz w:val="20"/>
        </w:rPr>
      </w:pPr>
      <w:r>
        <w:rPr>
          <w:color w:val="231F20"/>
          <w:sz w:val="20"/>
        </w:rPr>
        <w:t>Определение персонажей для игры. Психолог сообщает ребенку, что они сейчас будут</w:t>
      </w:r>
      <w:r>
        <w:rPr>
          <w:color w:val="231F20"/>
          <w:spacing w:val="-10"/>
          <w:sz w:val="20"/>
        </w:rPr>
        <w:t> </w:t>
      </w:r>
      <w:r>
        <w:rPr>
          <w:color w:val="231F20"/>
          <w:sz w:val="20"/>
        </w:rPr>
        <w:t>играть,</w:t>
      </w:r>
      <w:r>
        <w:rPr>
          <w:color w:val="231F20"/>
          <w:spacing w:val="-10"/>
          <w:sz w:val="20"/>
        </w:rPr>
        <w:t> </w:t>
      </w:r>
      <w:r>
        <w:rPr>
          <w:color w:val="231F20"/>
          <w:sz w:val="20"/>
        </w:rPr>
        <w:t>и</w:t>
      </w:r>
      <w:r>
        <w:rPr>
          <w:color w:val="231F20"/>
          <w:spacing w:val="-10"/>
          <w:sz w:val="20"/>
        </w:rPr>
        <w:t> </w:t>
      </w:r>
      <w:r>
        <w:rPr>
          <w:color w:val="231F20"/>
          <w:sz w:val="20"/>
        </w:rPr>
        <w:t>предлагает</w:t>
      </w:r>
      <w:r>
        <w:rPr>
          <w:color w:val="231F20"/>
          <w:spacing w:val="-10"/>
          <w:sz w:val="20"/>
        </w:rPr>
        <w:t> </w:t>
      </w:r>
      <w:r>
        <w:rPr>
          <w:color w:val="231F20"/>
          <w:sz w:val="20"/>
        </w:rPr>
        <w:t>выбрать</w:t>
      </w:r>
      <w:r>
        <w:rPr>
          <w:color w:val="231F20"/>
          <w:spacing w:val="-10"/>
          <w:sz w:val="20"/>
        </w:rPr>
        <w:t> </w:t>
      </w:r>
      <w:r>
        <w:rPr>
          <w:color w:val="231F20"/>
          <w:sz w:val="20"/>
        </w:rPr>
        <w:t>игрушки,</w:t>
      </w:r>
      <w:r>
        <w:rPr>
          <w:color w:val="231F20"/>
          <w:spacing w:val="-10"/>
          <w:sz w:val="20"/>
        </w:rPr>
        <w:t> </w:t>
      </w:r>
      <w:r>
        <w:rPr>
          <w:color w:val="231F20"/>
          <w:sz w:val="20"/>
        </w:rPr>
        <w:t>за</w:t>
      </w:r>
      <w:r>
        <w:rPr>
          <w:color w:val="231F20"/>
          <w:spacing w:val="-10"/>
          <w:sz w:val="20"/>
        </w:rPr>
        <w:t> </w:t>
      </w:r>
      <w:r>
        <w:rPr>
          <w:color w:val="231F20"/>
          <w:sz w:val="20"/>
        </w:rPr>
        <w:t>которые</w:t>
      </w:r>
      <w:r>
        <w:rPr>
          <w:color w:val="231F20"/>
          <w:spacing w:val="-10"/>
          <w:sz w:val="20"/>
        </w:rPr>
        <w:t> </w:t>
      </w:r>
      <w:r>
        <w:rPr>
          <w:color w:val="231F20"/>
          <w:sz w:val="20"/>
        </w:rPr>
        <w:t>будет</w:t>
      </w:r>
      <w:r>
        <w:rPr>
          <w:color w:val="231F20"/>
          <w:spacing w:val="-10"/>
          <w:sz w:val="20"/>
        </w:rPr>
        <w:t> </w:t>
      </w:r>
      <w:r>
        <w:rPr>
          <w:color w:val="231F20"/>
          <w:sz w:val="20"/>
        </w:rPr>
        <w:t>играть</w:t>
      </w:r>
      <w:r>
        <w:rPr>
          <w:color w:val="231F20"/>
          <w:spacing w:val="-10"/>
          <w:sz w:val="20"/>
        </w:rPr>
        <w:t> </w:t>
      </w:r>
      <w:r>
        <w:rPr>
          <w:color w:val="231F20"/>
          <w:sz w:val="20"/>
        </w:rPr>
        <w:t>ребенок.</w:t>
      </w:r>
      <w:r>
        <w:rPr>
          <w:color w:val="231F20"/>
          <w:spacing w:val="-10"/>
          <w:sz w:val="20"/>
        </w:rPr>
        <w:t> </w:t>
      </w:r>
      <w:r>
        <w:rPr>
          <w:color w:val="231F20"/>
          <w:sz w:val="20"/>
        </w:rPr>
        <w:t>Из оставшихся</w:t>
      </w:r>
      <w:r>
        <w:rPr>
          <w:color w:val="231F20"/>
          <w:spacing w:val="-1"/>
          <w:sz w:val="20"/>
        </w:rPr>
        <w:t> </w:t>
      </w:r>
      <w:r>
        <w:rPr>
          <w:color w:val="231F20"/>
          <w:sz w:val="20"/>
        </w:rPr>
        <w:t>игрушек</w:t>
      </w:r>
      <w:r>
        <w:rPr>
          <w:color w:val="231F20"/>
          <w:spacing w:val="-1"/>
          <w:sz w:val="20"/>
        </w:rPr>
        <w:t> </w:t>
      </w:r>
      <w:r>
        <w:rPr>
          <w:color w:val="231F20"/>
          <w:sz w:val="20"/>
        </w:rPr>
        <w:t>психолог</w:t>
      </w:r>
      <w:r>
        <w:rPr>
          <w:color w:val="231F20"/>
          <w:spacing w:val="-1"/>
          <w:sz w:val="20"/>
        </w:rPr>
        <w:t> </w:t>
      </w:r>
      <w:r>
        <w:rPr>
          <w:color w:val="231F20"/>
          <w:sz w:val="20"/>
        </w:rPr>
        <w:t>выбирает</w:t>
      </w:r>
      <w:r>
        <w:rPr>
          <w:color w:val="231F20"/>
          <w:spacing w:val="-1"/>
          <w:sz w:val="20"/>
        </w:rPr>
        <w:t> </w:t>
      </w:r>
      <w:r>
        <w:rPr>
          <w:color w:val="231F20"/>
          <w:sz w:val="20"/>
        </w:rPr>
        <w:t>те,</w:t>
      </w:r>
      <w:r>
        <w:rPr>
          <w:color w:val="231F20"/>
          <w:spacing w:val="-1"/>
          <w:sz w:val="20"/>
        </w:rPr>
        <w:t> </w:t>
      </w:r>
      <w:r>
        <w:rPr>
          <w:color w:val="231F20"/>
          <w:sz w:val="20"/>
        </w:rPr>
        <w:t>которыми</w:t>
      </w:r>
      <w:r>
        <w:rPr>
          <w:color w:val="231F20"/>
          <w:spacing w:val="-1"/>
          <w:sz w:val="20"/>
        </w:rPr>
        <w:t> </w:t>
      </w:r>
      <w:r>
        <w:rPr>
          <w:color w:val="231F20"/>
          <w:sz w:val="20"/>
        </w:rPr>
        <w:t>будет</w:t>
      </w:r>
      <w:r>
        <w:rPr>
          <w:color w:val="231F20"/>
          <w:spacing w:val="-1"/>
          <w:sz w:val="20"/>
        </w:rPr>
        <w:t> </w:t>
      </w:r>
      <w:r>
        <w:rPr>
          <w:color w:val="231F20"/>
          <w:sz w:val="20"/>
        </w:rPr>
        <w:t>играть</w:t>
      </w:r>
      <w:r>
        <w:rPr>
          <w:color w:val="231F20"/>
          <w:spacing w:val="-1"/>
          <w:sz w:val="20"/>
        </w:rPr>
        <w:t> </w:t>
      </w:r>
      <w:r>
        <w:rPr>
          <w:color w:val="231F20"/>
          <w:sz w:val="20"/>
        </w:rPr>
        <w:t>сам.</w:t>
      </w:r>
      <w:r>
        <w:rPr>
          <w:color w:val="231F20"/>
          <w:spacing w:val="-1"/>
          <w:sz w:val="20"/>
        </w:rPr>
        <w:t> </w:t>
      </w:r>
      <w:r>
        <w:rPr>
          <w:color w:val="231F20"/>
          <w:sz w:val="20"/>
        </w:rPr>
        <w:t>Для</w:t>
      </w:r>
      <w:r>
        <w:rPr>
          <w:color w:val="231F20"/>
          <w:spacing w:val="-1"/>
          <w:sz w:val="20"/>
        </w:rPr>
        <w:t> </w:t>
      </w:r>
      <w:r>
        <w:rPr>
          <w:color w:val="231F20"/>
          <w:sz w:val="20"/>
        </w:rPr>
        <w:t>раз- вития</w:t>
      </w:r>
      <w:r>
        <w:rPr>
          <w:color w:val="231F20"/>
          <w:spacing w:val="-13"/>
          <w:sz w:val="20"/>
        </w:rPr>
        <w:t> </w:t>
      </w:r>
      <w:r>
        <w:rPr>
          <w:color w:val="231F20"/>
          <w:sz w:val="20"/>
        </w:rPr>
        <w:t>сюжета</w:t>
      </w:r>
      <w:r>
        <w:rPr>
          <w:color w:val="231F20"/>
          <w:spacing w:val="-12"/>
          <w:sz w:val="20"/>
        </w:rPr>
        <w:t> </w:t>
      </w:r>
      <w:r>
        <w:rPr>
          <w:color w:val="231F20"/>
          <w:sz w:val="20"/>
        </w:rPr>
        <w:t>психологу</w:t>
      </w:r>
      <w:r>
        <w:rPr>
          <w:color w:val="231F20"/>
          <w:spacing w:val="-13"/>
          <w:sz w:val="20"/>
        </w:rPr>
        <w:t> </w:t>
      </w:r>
      <w:r>
        <w:rPr>
          <w:color w:val="231F20"/>
          <w:sz w:val="20"/>
        </w:rPr>
        <w:t>целесообразно</w:t>
      </w:r>
      <w:r>
        <w:rPr>
          <w:color w:val="231F20"/>
          <w:spacing w:val="-12"/>
          <w:sz w:val="20"/>
        </w:rPr>
        <w:t> </w:t>
      </w:r>
      <w:r>
        <w:rPr>
          <w:color w:val="231F20"/>
          <w:sz w:val="20"/>
        </w:rPr>
        <w:t>выбирать</w:t>
      </w:r>
      <w:r>
        <w:rPr>
          <w:color w:val="231F20"/>
          <w:spacing w:val="-13"/>
          <w:sz w:val="20"/>
        </w:rPr>
        <w:t> </w:t>
      </w:r>
      <w:r>
        <w:rPr>
          <w:color w:val="231F20"/>
          <w:sz w:val="20"/>
        </w:rPr>
        <w:t>игрушки,</w:t>
      </w:r>
      <w:r>
        <w:rPr>
          <w:color w:val="231F20"/>
          <w:spacing w:val="-12"/>
          <w:sz w:val="20"/>
        </w:rPr>
        <w:t> </w:t>
      </w:r>
      <w:r>
        <w:rPr>
          <w:color w:val="231F20"/>
          <w:sz w:val="20"/>
        </w:rPr>
        <w:t>которые</w:t>
      </w:r>
      <w:r>
        <w:rPr>
          <w:color w:val="231F20"/>
          <w:spacing w:val="-13"/>
          <w:sz w:val="20"/>
        </w:rPr>
        <w:t> </w:t>
      </w:r>
      <w:r>
        <w:rPr>
          <w:color w:val="231F20"/>
          <w:sz w:val="20"/>
        </w:rPr>
        <w:t>позволят</w:t>
      </w:r>
      <w:r>
        <w:rPr>
          <w:color w:val="231F20"/>
          <w:spacing w:val="-12"/>
          <w:sz w:val="20"/>
        </w:rPr>
        <w:t> </w:t>
      </w:r>
      <w:r>
        <w:rPr>
          <w:color w:val="231F20"/>
          <w:sz w:val="20"/>
        </w:rPr>
        <w:t>ему играть и за детей, и за взрослых (прежде всего педагогов).</w:t>
      </w:r>
    </w:p>
    <w:p>
      <w:pPr>
        <w:pStyle w:val="ListParagraph"/>
        <w:numPr>
          <w:ilvl w:val="0"/>
          <w:numId w:val="222"/>
        </w:numPr>
        <w:tabs>
          <w:tab w:pos="424" w:val="left" w:leader="none"/>
        </w:tabs>
        <w:spacing w:line="240" w:lineRule="auto" w:before="0" w:after="0"/>
        <w:ind w:left="424" w:right="0" w:hanging="283"/>
        <w:jc w:val="both"/>
        <w:rPr>
          <w:sz w:val="20"/>
        </w:rPr>
      </w:pPr>
      <w:r>
        <w:rPr>
          <w:color w:val="231F20"/>
          <w:spacing w:val="-2"/>
          <w:sz w:val="20"/>
        </w:rPr>
        <w:t>Определение</w:t>
      </w:r>
      <w:r>
        <w:rPr>
          <w:color w:val="231F20"/>
          <w:spacing w:val="-1"/>
          <w:sz w:val="20"/>
        </w:rPr>
        <w:t> </w:t>
      </w:r>
      <w:r>
        <w:rPr>
          <w:color w:val="231F20"/>
          <w:spacing w:val="-2"/>
          <w:sz w:val="20"/>
        </w:rPr>
        <w:t>сюжета</w:t>
      </w:r>
      <w:r>
        <w:rPr>
          <w:color w:val="231F20"/>
          <w:sz w:val="20"/>
        </w:rPr>
        <w:t> </w:t>
      </w:r>
      <w:r>
        <w:rPr>
          <w:color w:val="231F20"/>
          <w:spacing w:val="-2"/>
          <w:sz w:val="20"/>
        </w:rPr>
        <w:t>игры.</w:t>
      </w:r>
      <w:r>
        <w:rPr>
          <w:color w:val="231F20"/>
          <w:sz w:val="20"/>
        </w:rPr>
        <w:t> </w:t>
      </w:r>
      <w:r>
        <w:rPr>
          <w:color w:val="231F20"/>
          <w:spacing w:val="-2"/>
          <w:sz w:val="20"/>
        </w:rPr>
        <w:t>Оптимальный</w:t>
      </w:r>
      <w:r>
        <w:rPr>
          <w:color w:val="231F20"/>
          <w:sz w:val="20"/>
        </w:rPr>
        <w:t> </w:t>
      </w:r>
      <w:r>
        <w:rPr>
          <w:color w:val="231F20"/>
          <w:spacing w:val="-2"/>
          <w:sz w:val="20"/>
        </w:rPr>
        <w:t>вариант</w:t>
      </w:r>
      <w:r>
        <w:rPr>
          <w:color w:val="231F20"/>
          <w:sz w:val="20"/>
        </w:rPr>
        <w:t> </w:t>
      </w:r>
      <w:r>
        <w:rPr>
          <w:color w:val="231F20"/>
          <w:spacing w:val="-2"/>
          <w:sz w:val="20"/>
        </w:rPr>
        <w:t>–</w:t>
      </w:r>
      <w:r>
        <w:rPr>
          <w:color w:val="231F20"/>
          <w:sz w:val="20"/>
        </w:rPr>
        <w:t> </w:t>
      </w:r>
      <w:r>
        <w:rPr>
          <w:color w:val="231F20"/>
          <w:spacing w:val="-2"/>
          <w:sz w:val="20"/>
        </w:rPr>
        <w:t>предложить</w:t>
      </w:r>
      <w:r>
        <w:rPr>
          <w:color w:val="231F20"/>
          <w:sz w:val="20"/>
        </w:rPr>
        <w:t> </w:t>
      </w:r>
      <w:r>
        <w:rPr>
          <w:color w:val="231F20"/>
          <w:spacing w:val="-2"/>
          <w:sz w:val="20"/>
        </w:rPr>
        <w:t>ребенку</w:t>
      </w:r>
      <w:r>
        <w:rPr>
          <w:color w:val="231F20"/>
          <w:sz w:val="20"/>
        </w:rPr>
        <w:t> </w:t>
      </w:r>
      <w:r>
        <w:rPr>
          <w:color w:val="231F20"/>
          <w:spacing w:val="-2"/>
          <w:sz w:val="20"/>
        </w:rPr>
        <w:t>поиграть</w:t>
      </w:r>
    </w:p>
    <w:p>
      <w:pPr>
        <w:pStyle w:val="BodyText"/>
        <w:ind w:left="425" w:firstLine="0"/>
      </w:pPr>
      <w:r>
        <w:rPr>
          <w:color w:val="231F20"/>
        </w:rPr>
        <w:t>«в</w:t>
      </w:r>
      <w:r>
        <w:rPr>
          <w:color w:val="231F20"/>
          <w:spacing w:val="-13"/>
        </w:rPr>
        <w:t> </w:t>
      </w:r>
      <w:r>
        <w:rPr>
          <w:color w:val="231F20"/>
        </w:rPr>
        <w:t>школу»,</w:t>
      </w:r>
      <w:r>
        <w:rPr>
          <w:color w:val="231F20"/>
          <w:spacing w:val="-12"/>
        </w:rPr>
        <w:t> </w:t>
      </w:r>
      <w:r>
        <w:rPr>
          <w:color w:val="231F20"/>
        </w:rPr>
        <w:t>конкретные</w:t>
      </w:r>
      <w:r>
        <w:rPr>
          <w:color w:val="231F20"/>
          <w:spacing w:val="-13"/>
        </w:rPr>
        <w:t> </w:t>
      </w:r>
      <w:r>
        <w:rPr>
          <w:color w:val="231F20"/>
        </w:rPr>
        <w:t>ситуации</w:t>
      </w:r>
      <w:r>
        <w:rPr>
          <w:color w:val="231F20"/>
          <w:spacing w:val="-12"/>
        </w:rPr>
        <w:t> </w:t>
      </w:r>
      <w:r>
        <w:rPr>
          <w:color w:val="231F20"/>
        </w:rPr>
        <w:t>психолог</w:t>
      </w:r>
      <w:r>
        <w:rPr>
          <w:color w:val="231F20"/>
          <w:spacing w:val="-13"/>
        </w:rPr>
        <w:t> </w:t>
      </w:r>
      <w:r>
        <w:rPr>
          <w:color w:val="231F20"/>
        </w:rPr>
        <w:t>будет</w:t>
      </w:r>
      <w:r>
        <w:rPr>
          <w:color w:val="231F20"/>
          <w:spacing w:val="-12"/>
        </w:rPr>
        <w:t> </w:t>
      </w:r>
      <w:r>
        <w:rPr>
          <w:color w:val="231F20"/>
        </w:rPr>
        <w:t>вводить</w:t>
      </w:r>
      <w:r>
        <w:rPr>
          <w:color w:val="231F20"/>
          <w:spacing w:val="-13"/>
        </w:rPr>
        <w:t> </w:t>
      </w:r>
      <w:r>
        <w:rPr>
          <w:color w:val="231F20"/>
        </w:rPr>
        <w:t>в</w:t>
      </w:r>
      <w:r>
        <w:rPr>
          <w:color w:val="231F20"/>
          <w:spacing w:val="-12"/>
        </w:rPr>
        <w:t> </w:t>
      </w:r>
      <w:r>
        <w:rPr>
          <w:color w:val="231F20"/>
        </w:rPr>
        <w:t>игру</w:t>
      </w:r>
      <w:r>
        <w:rPr>
          <w:color w:val="231F20"/>
          <w:spacing w:val="-13"/>
        </w:rPr>
        <w:t> </w:t>
      </w:r>
      <w:r>
        <w:rPr>
          <w:color w:val="231F20"/>
        </w:rPr>
        <w:t>постепенно.</w:t>
      </w:r>
      <w:r>
        <w:rPr>
          <w:color w:val="231F20"/>
          <w:spacing w:val="-12"/>
        </w:rPr>
        <w:t> </w:t>
      </w:r>
      <w:r>
        <w:rPr>
          <w:color w:val="231F20"/>
        </w:rPr>
        <w:t>Если ребенок</w:t>
      </w:r>
      <w:r>
        <w:rPr>
          <w:color w:val="231F20"/>
          <w:spacing w:val="-13"/>
        </w:rPr>
        <w:t> </w:t>
      </w:r>
      <w:r>
        <w:rPr>
          <w:color w:val="231F20"/>
        </w:rPr>
        <w:t>отказывается</w:t>
      </w:r>
      <w:r>
        <w:rPr>
          <w:color w:val="231F20"/>
          <w:spacing w:val="-12"/>
        </w:rPr>
        <w:t> </w:t>
      </w:r>
      <w:r>
        <w:rPr>
          <w:color w:val="231F20"/>
        </w:rPr>
        <w:t>играть</w:t>
      </w:r>
      <w:r>
        <w:rPr>
          <w:color w:val="231F20"/>
          <w:spacing w:val="-13"/>
        </w:rPr>
        <w:t> </w:t>
      </w:r>
      <w:r>
        <w:rPr>
          <w:color w:val="231F20"/>
        </w:rPr>
        <w:t>«в</w:t>
      </w:r>
      <w:r>
        <w:rPr>
          <w:color w:val="231F20"/>
          <w:spacing w:val="-12"/>
        </w:rPr>
        <w:t> </w:t>
      </w:r>
      <w:r>
        <w:rPr>
          <w:color w:val="231F20"/>
        </w:rPr>
        <w:t>школу»,</w:t>
      </w:r>
      <w:r>
        <w:rPr>
          <w:color w:val="231F20"/>
          <w:spacing w:val="-13"/>
        </w:rPr>
        <w:t> </w:t>
      </w:r>
      <w:r>
        <w:rPr>
          <w:color w:val="231F20"/>
        </w:rPr>
        <w:t>можно</w:t>
      </w:r>
      <w:r>
        <w:rPr>
          <w:color w:val="231F20"/>
          <w:spacing w:val="-12"/>
        </w:rPr>
        <w:t> </w:t>
      </w:r>
      <w:r>
        <w:rPr>
          <w:color w:val="231F20"/>
        </w:rPr>
        <w:t>предложить</w:t>
      </w:r>
      <w:r>
        <w:rPr>
          <w:color w:val="231F20"/>
          <w:spacing w:val="-13"/>
        </w:rPr>
        <w:t> </w:t>
      </w:r>
      <w:r>
        <w:rPr>
          <w:color w:val="231F20"/>
        </w:rPr>
        <w:t>другой</w:t>
      </w:r>
      <w:r>
        <w:rPr>
          <w:color w:val="231F20"/>
          <w:spacing w:val="-12"/>
        </w:rPr>
        <w:t> </w:t>
      </w:r>
      <w:r>
        <w:rPr>
          <w:color w:val="231F20"/>
        </w:rPr>
        <w:t>сюжет</w:t>
      </w:r>
      <w:r>
        <w:rPr>
          <w:color w:val="231F20"/>
          <w:spacing w:val="-13"/>
        </w:rPr>
        <w:t> </w:t>
      </w:r>
      <w:r>
        <w:rPr>
          <w:color w:val="231F20"/>
        </w:rPr>
        <w:t>и</w:t>
      </w:r>
      <w:r>
        <w:rPr>
          <w:color w:val="231F20"/>
          <w:spacing w:val="-12"/>
        </w:rPr>
        <w:t> </w:t>
      </w:r>
      <w:r>
        <w:rPr>
          <w:color w:val="231F20"/>
        </w:rPr>
        <w:t>затем вернуться к школьному (на том же занятии или на следующем). Психолог может также</w:t>
      </w:r>
      <w:r>
        <w:rPr>
          <w:color w:val="231F20"/>
          <w:spacing w:val="-2"/>
        </w:rPr>
        <w:t> </w:t>
      </w:r>
      <w:r>
        <w:rPr>
          <w:color w:val="231F20"/>
        </w:rPr>
        <w:t>использовать</w:t>
      </w:r>
      <w:r>
        <w:rPr>
          <w:color w:val="231F20"/>
          <w:spacing w:val="-2"/>
        </w:rPr>
        <w:t> </w:t>
      </w:r>
      <w:r>
        <w:rPr>
          <w:color w:val="231F20"/>
        </w:rPr>
        <w:t>сказочное</w:t>
      </w:r>
      <w:r>
        <w:rPr>
          <w:color w:val="231F20"/>
          <w:spacing w:val="-2"/>
        </w:rPr>
        <w:t> </w:t>
      </w:r>
      <w:r>
        <w:rPr>
          <w:color w:val="231F20"/>
        </w:rPr>
        <w:t>начало</w:t>
      </w:r>
      <w:r>
        <w:rPr>
          <w:color w:val="231F20"/>
          <w:spacing w:val="-2"/>
        </w:rPr>
        <w:t> </w:t>
      </w:r>
      <w:r>
        <w:rPr>
          <w:color w:val="231F20"/>
        </w:rPr>
        <w:t>для</w:t>
      </w:r>
      <w:r>
        <w:rPr>
          <w:color w:val="231F20"/>
          <w:spacing w:val="-2"/>
        </w:rPr>
        <w:t> </w:t>
      </w:r>
      <w:r>
        <w:rPr>
          <w:color w:val="231F20"/>
        </w:rPr>
        <w:t>игры,</w:t>
      </w:r>
      <w:r>
        <w:rPr>
          <w:color w:val="231F20"/>
          <w:spacing w:val="-2"/>
        </w:rPr>
        <w:t> </w:t>
      </w:r>
      <w:r>
        <w:rPr>
          <w:color w:val="231F20"/>
        </w:rPr>
        <w:t>например:</w:t>
      </w:r>
      <w:r>
        <w:rPr>
          <w:color w:val="231F20"/>
          <w:spacing w:val="-2"/>
        </w:rPr>
        <w:t> </w:t>
      </w:r>
      <w:r>
        <w:rPr>
          <w:color w:val="231F20"/>
        </w:rPr>
        <w:t>«В</w:t>
      </w:r>
      <w:r>
        <w:rPr>
          <w:color w:val="231F20"/>
          <w:spacing w:val="-2"/>
        </w:rPr>
        <w:t> </w:t>
      </w:r>
      <w:r>
        <w:rPr>
          <w:color w:val="231F20"/>
        </w:rPr>
        <w:t>лесу</w:t>
      </w:r>
      <w:r>
        <w:rPr>
          <w:color w:val="231F20"/>
          <w:spacing w:val="-2"/>
        </w:rPr>
        <w:t> </w:t>
      </w:r>
      <w:r>
        <w:rPr>
          <w:color w:val="231F20"/>
        </w:rPr>
        <w:t>жил</w:t>
      </w:r>
      <w:r>
        <w:rPr>
          <w:color w:val="231F20"/>
          <w:spacing w:val="-2"/>
        </w:rPr>
        <w:t> </w:t>
      </w:r>
      <w:r>
        <w:rPr>
          <w:color w:val="231F20"/>
        </w:rPr>
        <w:t>зайчик,</w:t>
      </w:r>
      <w:r>
        <w:rPr>
          <w:color w:val="231F20"/>
          <w:spacing w:val="-2"/>
        </w:rPr>
        <w:t> </w:t>
      </w:r>
      <w:r>
        <w:rPr>
          <w:color w:val="231F20"/>
        </w:rPr>
        <w:t>и однажды</w:t>
      </w:r>
      <w:r>
        <w:rPr>
          <w:color w:val="231F20"/>
          <w:spacing w:val="-7"/>
        </w:rPr>
        <w:t> </w:t>
      </w:r>
      <w:r>
        <w:rPr>
          <w:color w:val="231F20"/>
        </w:rPr>
        <w:t>с</w:t>
      </w:r>
      <w:r>
        <w:rPr>
          <w:color w:val="231F20"/>
          <w:spacing w:val="-7"/>
        </w:rPr>
        <w:t> </w:t>
      </w:r>
      <w:r>
        <w:rPr>
          <w:color w:val="231F20"/>
        </w:rPr>
        <w:t>ним</w:t>
      </w:r>
      <w:r>
        <w:rPr>
          <w:color w:val="231F20"/>
          <w:spacing w:val="-6"/>
        </w:rPr>
        <w:t> </w:t>
      </w:r>
      <w:r>
        <w:rPr>
          <w:color w:val="231F20"/>
        </w:rPr>
        <w:t>случилась</w:t>
      </w:r>
      <w:r>
        <w:rPr>
          <w:color w:val="231F20"/>
          <w:spacing w:val="-7"/>
        </w:rPr>
        <w:t> </w:t>
      </w:r>
      <w:r>
        <w:rPr>
          <w:color w:val="231F20"/>
        </w:rPr>
        <w:t>интересная</w:t>
      </w:r>
      <w:r>
        <w:rPr>
          <w:color w:val="231F20"/>
          <w:spacing w:val="-7"/>
        </w:rPr>
        <w:t> </w:t>
      </w:r>
      <w:r>
        <w:rPr>
          <w:color w:val="231F20"/>
        </w:rPr>
        <w:t>история.</w:t>
      </w:r>
      <w:r>
        <w:rPr>
          <w:color w:val="231F20"/>
          <w:spacing w:val="-6"/>
        </w:rPr>
        <w:t> </w:t>
      </w:r>
      <w:r>
        <w:rPr>
          <w:color w:val="231F20"/>
        </w:rPr>
        <w:t>Сейчас</w:t>
      </w:r>
      <w:r>
        <w:rPr>
          <w:color w:val="231F20"/>
          <w:spacing w:val="-7"/>
        </w:rPr>
        <w:t> </w:t>
      </w:r>
      <w:r>
        <w:rPr>
          <w:color w:val="231F20"/>
        </w:rPr>
        <w:t>мы</w:t>
      </w:r>
      <w:r>
        <w:rPr>
          <w:color w:val="231F20"/>
          <w:spacing w:val="-7"/>
        </w:rPr>
        <w:t> </w:t>
      </w:r>
      <w:r>
        <w:rPr>
          <w:color w:val="231F20"/>
        </w:rPr>
        <w:t>с</w:t>
      </w:r>
      <w:r>
        <w:rPr>
          <w:color w:val="231F20"/>
          <w:spacing w:val="-6"/>
        </w:rPr>
        <w:t> </w:t>
      </w:r>
      <w:r>
        <w:rPr>
          <w:color w:val="231F20"/>
        </w:rPr>
        <w:t>тобой</w:t>
      </w:r>
      <w:r>
        <w:rPr>
          <w:color w:val="231F20"/>
          <w:spacing w:val="-7"/>
        </w:rPr>
        <w:t> </w:t>
      </w:r>
      <w:r>
        <w:rPr>
          <w:color w:val="231F20"/>
        </w:rPr>
        <w:t>в</w:t>
      </w:r>
      <w:r>
        <w:rPr>
          <w:color w:val="231F20"/>
          <w:spacing w:val="-7"/>
        </w:rPr>
        <w:t> </w:t>
      </w:r>
      <w:r>
        <w:rPr>
          <w:color w:val="231F20"/>
        </w:rPr>
        <w:t>это</w:t>
      </w:r>
      <w:r>
        <w:rPr>
          <w:color w:val="231F20"/>
          <w:spacing w:val="-6"/>
        </w:rPr>
        <w:t> </w:t>
      </w:r>
      <w:r>
        <w:rPr>
          <w:color w:val="231F20"/>
          <w:spacing w:val="-2"/>
        </w:rPr>
        <w:t>сыграем».</w:t>
      </w:r>
    </w:p>
    <w:p>
      <w:pPr>
        <w:pStyle w:val="ListParagraph"/>
        <w:numPr>
          <w:ilvl w:val="0"/>
          <w:numId w:val="222"/>
        </w:numPr>
        <w:tabs>
          <w:tab w:pos="424" w:val="left" w:leader="none"/>
        </w:tabs>
        <w:spacing w:line="220" w:lineRule="exact" w:before="0" w:after="0"/>
        <w:ind w:left="424" w:right="0" w:hanging="283"/>
        <w:jc w:val="both"/>
        <w:rPr>
          <w:sz w:val="20"/>
        </w:rPr>
      </w:pPr>
      <w:r>
        <w:rPr>
          <w:color w:val="231F20"/>
          <w:sz w:val="20"/>
        </w:rPr>
        <w:t>Подготовка.</w:t>
      </w:r>
      <w:r>
        <w:rPr>
          <w:color w:val="231F20"/>
          <w:spacing w:val="-12"/>
          <w:sz w:val="20"/>
        </w:rPr>
        <w:t> </w:t>
      </w:r>
      <w:r>
        <w:rPr>
          <w:color w:val="231F20"/>
          <w:sz w:val="20"/>
        </w:rPr>
        <w:t>Психолог</w:t>
      </w:r>
      <w:r>
        <w:rPr>
          <w:color w:val="231F20"/>
          <w:spacing w:val="-9"/>
          <w:sz w:val="20"/>
        </w:rPr>
        <w:t> </w:t>
      </w:r>
      <w:r>
        <w:rPr>
          <w:color w:val="231F20"/>
          <w:sz w:val="20"/>
        </w:rPr>
        <w:t>и</w:t>
      </w:r>
      <w:r>
        <w:rPr>
          <w:color w:val="231F20"/>
          <w:spacing w:val="-10"/>
          <w:sz w:val="20"/>
        </w:rPr>
        <w:t> </w:t>
      </w:r>
      <w:r>
        <w:rPr>
          <w:color w:val="231F20"/>
          <w:sz w:val="20"/>
        </w:rPr>
        <w:t>ребенок</w:t>
      </w:r>
      <w:r>
        <w:rPr>
          <w:color w:val="231F20"/>
          <w:spacing w:val="-9"/>
          <w:sz w:val="20"/>
        </w:rPr>
        <w:t> </w:t>
      </w:r>
      <w:r>
        <w:rPr>
          <w:color w:val="231F20"/>
          <w:sz w:val="20"/>
        </w:rPr>
        <w:t>организовывают</w:t>
      </w:r>
      <w:r>
        <w:rPr>
          <w:color w:val="231F20"/>
          <w:spacing w:val="-9"/>
          <w:sz w:val="20"/>
        </w:rPr>
        <w:t> </w:t>
      </w:r>
      <w:r>
        <w:rPr>
          <w:color w:val="231F20"/>
          <w:sz w:val="20"/>
        </w:rPr>
        <w:t>игровое</w:t>
      </w:r>
      <w:r>
        <w:rPr>
          <w:color w:val="231F20"/>
          <w:spacing w:val="-9"/>
          <w:sz w:val="20"/>
        </w:rPr>
        <w:t> </w:t>
      </w:r>
      <w:r>
        <w:rPr>
          <w:color w:val="231F20"/>
          <w:spacing w:val="-2"/>
          <w:sz w:val="20"/>
        </w:rPr>
        <w:t>пространство.</w:t>
      </w:r>
    </w:p>
    <w:p>
      <w:pPr>
        <w:pStyle w:val="ListParagraph"/>
        <w:numPr>
          <w:ilvl w:val="0"/>
          <w:numId w:val="222"/>
        </w:numPr>
        <w:tabs>
          <w:tab w:pos="425" w:val="left" w:leader="none"/>
        </w:tabs>
        <w:spacing w:line="235" w:lineRule="auto" w:before="2" w:after="0"/>
        <w:ind w:left="425" w:right="139" w:hanging="284"/>
        <w:jc w:val="both"/>
        <w:rPr>
          <w:sz w:val="20"/>
        </w:rPr>
      </w:pPr>
      <w:r>
        <w:rPr>
          <w:color w:val="231F20"/>
          <w:sz w:val="20"/>
        </w:rPr>
        <w:t>Начало</w:t>
      </w:r>
      <w:r>
        <w:rPr>
          <w:color w:val="231F20"/>
          <w:spacing w:val="-4"/>
          <w:sz w:val="20"/>
        </w:rPr>
        <w:t> </w:t>
      </w:r>
      <w:r>
        <w:rPr>
          <w:color w:val="231F20"/>
          <w:sz w:val="20"/>
        </w:rPr>
        <w:t>игры.</w:t>
      </w:r>
      <w:r>
        <w:rPr>
          <w:color w:val="231F20"/>
          <w:spacing w:val="-4"/>
          <w:sz w:val="20"/>
        </w:rPr>
        <w:t> </w:t>
      </w:r>
      <w:r>
        <w:rPr>
          <w:color w:val="231F20"/>
          <w:sz w:val="20"/>
        </w:rPr>
        <w:t>Психолог</w:t>
      </w:r>
      <w:r>
        <w:rPr>
          <w:color w:val="231F20"/>
          <w:spacing w:val="-4"/>
          <w:sz w:val="20"/>
        </w:rPr>
        <w:t> </w:t>
      </w:r>
      <w:r>
        <w:rPr>
          <w:color w:val="231F20"/>
          <w:sz w:val="20"/>
        </w:rPr>
        <w:t>с</w:t>
      </w:r>
      <w:r>
        <w:rPr>
          <w:color w:val="231F20"/>
          <w:spacing w:val="-4"/>
          <w:sz w:val="20"/>
        </w:rPr>
        <w:t> </w:t>
      </w:r>
      <w:r>
        <w:rPr>
          <w:color w:val="231F20"/>
          <w:sz w:val="20"/>
        </w:rPr>
        <w:t>ребенком</w:t>
      </w:r>
      <w:r>
        <w:rPr>
          <w:color w:val="231F20"/>
          <w:spacing w:val="-4"/>
          <w:sz w:val="20"/>
        </w:rPr>
        <w:t> </w:t>
      </w:r>
      <w:r>
        <w:rPr>
          <w:color w:val="231F20"/>
          <w:sz w:val="20"/>
        </w:rPr>
        <w:t>договариваются,</w:t>
      </w:r>
      <w:r>
        <w:rPr>
          <w:color w:val="231F20"/>
          <w:spacing w:val="-4"/>
          <w:sz w:val="20"/>
        </w:rPr>
        <w:t> </w:t>
      </w:r>
      <w:r>
        <w:rPr>
          <w:color w:val="231F20"/>
          <w:sz w:val="20"/>
        </w:rPr>
        <w:t>с</w:t>
      </w:r>
      <w:r>
        <w:rPr>
          <w:color w:val="231F20"/>
          <w:spacing w:val="-4"/>
          <w:sz w:val="20"/>
        </w:rPr>
        <w:t> </w:t>
      </w:r>
      <w:r>
        <w:rPr>
          <w:color w:val="231F20"/>
          <w:sz w:val="20"/>
        </w:rPr>
        <w:t>чего</w:t>
      </w:r>
      <w:r>
        <w:rPr>
          <w:color w:val="231F20"/>
          <w:spacing w:val="-4"/>
          <w:sz w:val="20"/>
        </w:rPr>
        <w:t> </w:t>
      </w:r>
      <w:r>
        <w:rPr>
          <w:color w:val="231F20"/>
          <w:sz w:val="20"/>
        </w:rPr>
        <w:t>начнется</w:t>
      </w:r>
      <w:r>
        <w:rPr>
          <w:color w:val="231F20"/>
          <w:spacing w:val="-4"/>
          <w:sz w:val="20"/>
        </w:rPr>
        <w:t> </w:t>
      </w:r>
      <w:r>
        <w:rPr>
          <w:color w:val="231F20"/>
          <w:sz w:val="20"/>
        </w:rPr>
        <w:t>игра</w:t>
      </w:r>
      <w:r>
        <w:rPr>
          <w:color w:val="231F20"/>
          <w:spacing w:val="-4"/>
          <w:sz w:val="20"/>
        </w:rPr>
        <w:t> </w:t>
      </w:r>
      <w:r>
        <w:rPr>
          <w:color w:val="231F20"/>
          <w:sz w:val="20"/>
        </w:rPr>
        <w:t>(напри- </w:t>
      </w:r>
      <w:r>
        <w:rPr>
          <w:color w:val="231F20"/>
          <w:spacing w:val="-2"/>
          <w:sz w:val="20"/>
        </w:rPr>
        <w:t>мер,</w:t>
      </w:r>
      <w:r>
        <w:rPr>
          <w:color w:val="231F20"/>
          <w:spacing w:val="-6"/>
          <w:sz w:val="20"/>
        </w:rPr>
        <w:t> </w:t>
      </w:r>
      <w:r>
        <w:rPr>
          <w:color w:val="231F20"/>
          <w:spacing w:val="-2"/>
          <w:sz w:val="20"/>
        </w:rPr>
        <w:t>утром</w:t>
      </w:r>
      <w:r>
        <w:rPr>
          <w:color w:val="231F20"/>
          <w:spacing w:val="-4"/>
          <w:sz w:val="20"/>
        </w:rPr>
        <w:t> </w:t>
      </w:r>
      <w:r>
        <w:rPr>
          <w:color w:val="231F20"/>
          <w:spacing w:val="-2"/>
          <w:sz w:val="20"/>
        </w:rPr>
        <w:t>персонажи</w:t>
      </w:r>
      <w:r>
        <w:rPr>
          <w:color w:val="231F20"/>
          <w:spacing w:val="-4"/>
          <w:sz w:val="20"/>
        </w:rPr>
        <w:t> </w:t>
      </w:r>
      <w:r>
        <w:rPr>
          <w:color w:val="231F20"/>
          <w:spacing w:val="-2"/>
          <w:sz w:val="20"/>
        </w:rPr>
        <w:t>приходят</w:t>
      </w:r>
      <w:r>
        <w:rPr>
          <w:color w:val="231F20"/>
          <w:spacing w:val="-6"/>
          <w:sz w:val="20"/>
        </w:rPr>
        <w:t> </w:t>
      </w:r>
      <w:r>
        <w:rPr>
          <w:color w:val="231F20"/>
          <w:spacing w:val="-2"/>
          <w:sz w:val="20"/>
        </w:rPr>
        <w:t>в</w:t>
      </w:r>
      <w:r>
        <w:rPr>
          <w:color w:val="231F20"/>
          <w:spacing w:val="-4"/>
          <w:sz w:val="20"/>
        </w:rPr>
        <w:t> </w:t>
      </w:r>
      <w:r>
        <w:rPr>
          <w:color w:val="231F20"/>
          <w:spacing w:val="-2"/>
          <w:sz w:val="20"/>
        </w:rPr>
        <w:t>школу),</w:t>
      </w:r>
      <w:r>
        <w:rPr>
          <w:color w:val="231F20"/>
          <w:spacing w:val="-4"/>
          <w:sz w:val="20"/>
        </w:rPr>
        <w:t> </w:t>
      </w:r>
      <w:r>
        <w:rPr>
          <w:color w:val="231F20"/>
          <w:spacing w:val="-2"/>
          <w:sz w:val="20"/>
        </w:rPr>
        <w:t>и</w:t>
      </w:r>
      <w:r>
        <w:rPr>
          <w:color w:val="231F20"/>
          <w:spacing w:val="-4"/>
          <w:sz w:val="20"/>
        </w:rPr>
        <w:t> </w:t>
      </w:r>
      <w:r>
        <w:rPr>
          <w:color w:val="231F20"/>
          <w:spacing w:val="-2"/>
          <w:sz w:val="20"/>
        </w:rPr>
        <w:t>начинают</w:t>
      </w:r>
      <w:r>
        <w:rPr>
          <w:color w:val="231F20"/>
          <w:spacing w:val="-4"/>
          <w:sz w:val="20"/>
        </w:rPr>
        <w:t> </w:t>
      </w:r>
      <w:r>
        <w:rPr>
          <w:color w:val="231F20"/>
          <w:spacing w:val="-2"/>
          <w:sz w:val="20"/>
        </w:rPr>
        <w:t>играть.</w:t>
      </w:r>
      <w:r>
        <w:rPr>
          <w:color w:val="231F20"/>
          <w:spacing w:val="-4"/>
          <w:sz w:val="20"/>
        </w:rPr>
        <w:t> </w:t>
      </w:r>
      <w:r>
        <w:rPr>
          <w:color w:val="231F20"/>
          <w:spacing w:val="-2"/>
          <w:sz w:val="20"/>
        </w:rPr>
        <w:t>Важно</w:t>
      </w:r>
      <w:r>
        <w:rPr>
          <w:color w:val="231F20"/>
          <w:spacing w:val="-4"/>
          <w:sz w:val="20"/>
        </w:rPr>
        <w:t> </w:t>
      </w:r>
      <w:r>
        <w:rPr>
          <w:color w:val="231F20"/>
          <w:spacing w:val="-2"/>
          <w:sz w:val="20"/>
        </w:rPr>
        <w:t>предоставить </w:t>
      </w:r>
      <w:r>
        <w:rPr>
          <w:color w:val="231F20"/>
          <w:sz w:val="20"/>
        </w:rPr>
        <w:t>ребенку достаточно возможностей для инициативы. Психолог может предлагать новые</w:t>
      </w:r>
      <w:r>
        <w:rPr>
          <w:color w:val="231F20"/>
          <w:spacing w:val="-13"/>
          <w:sz w:val="20"/>
        </w:rPr>
        <w:t> </w:t>
      </w:r>
      <w:r>
        <w:rPr>
          <w:color w:val="231F20"/>
          <w:sz w:val="20"/>
        </w:rPr>
        <w:t>этапы</w:t>
      </w:r>
      <w:r>
        <w:rPr>
          <w:color w:val="231F20"/>
          <w:spacing w:val="-12"/>
          <w:sz w:val="20"/>
        </w:rPr>
        <w:t> </w:t>
      </w:r>
      <w:r>
        <w:rPr>
          <w:color w:val="231F20"/>
          <w:sz w:val="20"/>
        </w:rPr>
        <w:t>игры</w:t>
      </w:r>
      <w:r>
        <w:rPr>
          <w:color w:val="231F20"/>
          <w:spacing w:val="-13"/>
          <w:sz w:val="20"/>
        </w:rPr>
        <w:t> </w:t>
      </w:r>
      <w:r>
        <w:rPr>
          <w:color w:val="231F20"/>
          <w:sz w:val="20"/>
        </w:rPr>
        <w:t>(«Давай</w:t>
      </w:r>
      <w:r>
        <w:rPr>
          <w:color w:val="231F20"/>
          <w:spacing w:val="-12"/>
          <w:sz w:val="20"/>
        </w:rPr>
        <w:t> </w:t>
      </w:r>
      <w:r>
        <w:rPr>
          <w:color w:val="231F20"/>
          <w:sz w:val="20"/>
        </w:rPr>
        <w:t>у</w:t>
      </w:r>
      <w:r>
        <w:rPr>
          <w:color w:val="231F20"/>
          <w:spacing w:val="-13"/>
          <w:sz w:val="20"/>
        </w:rPr>
        <w:t> </w:t>
      </w:r>
      <w:r>
        <w:rPr>
          <w:color w:val="231F20"/>
          <w:sz w:val="20"/>
        </w:rPr>
        <w:t>них</w:t>
      </w:r>
      <w:r>
        <w:rPr>
          <w:color w:val="231F20"/>
          <w:spacing w:val="-12"/>
          <w:sz w:val="20"/>
        </w:rPr>
        <w:t> </w:t>
      </w:r>
      <w:r>
        <w:rPr>
          <w:color w:val="231F20"/>
          <w:sz w:val="20"/>
        </w:rPr>
        <w:t>сейчас</w:t>
      </w:r>
      <w:r>
        <w:rPr>
          <w:color w:val="231F20"/>
          <w:spacing w:val="-13"/>
          <w:sz w:val="20"/>
        </w:rPr>
        <w:t> </w:t>
      </w:r>
      <w:r>
        <w:rPr>
          <w:color w:val="231F20"/>
          <w:sz w:val="20"/>
        </w:rPr>
        <w:t>начнется</w:t>
      </w:r>
      <w:r>
        <w:rPr>
          <w:color w:val="231F20"/>
          <w:spacing w:val="-12"/>
          <w:sz w:val="20"/>
        </w:rPr>
        <w:t> </w:t>
      </w:r>
      <w:r>
        <w:rPr>
          <w:color w:val="231F20"/>
          <w:sz w:val="20"/>
        </w:rPr>
        <w:t>урок»),</w:t>
      </w:r>
      <w:r>
        <w:rPr>
          <w:color w:val="231F20"/>
          <w:spacing w:val="-13"/>
          <w:sz w:val="20"/>
        </w:rPr>
        <w:t> </w:t>
      </w:r>
      <w:r>
        <w:rPr>
          <w:color w:val="231F20"/>
          <w:sz w:val="20"/>
        </w:rPr>
        <w:t>но</w:t>
      </w:r>
      <w:r>
        <w:rPr>
          <w:color w:val="231F20"/>
          <w:spacing w:val="-12"/>
          <w:sz w:val="20"/>
        </w:rPr>
        <w:t> </w:t>
      </w:r>
      <w:r>
        <w:rPr>
          <w:color w:val="231F20"/>
          <w:sz w:val="20"/>
        </w:rPr>
        <w:t>приоритетной</w:t>
      </w:r>
      <w:r>
        <w:rPr>
          <w:color w:val="231F20"/>
          <w:spacing w:val="-13"/>
          <w:sz w:val="20"/>
        </w:rPr>
        <w:t> </w:t>
      </w:r>
      <w:r>
        <w:rPr>
          <w:color w:val="231F20"/>
          <w:sz w:val="20"/>
        </w:rPr>
        <w:t>задачей</w:t>
      </w:r>
    </w:p>
    <w:p>
      <w:pPr>
        <w:pStyle w:val="ListParagraph"/>
        <w:spacing w:after="0" w:line="235" w:lineRule="auto"/>
        <w:jc w:val="both"/>
        <w:rPr>
          <w:sz w:val="20"/>
        </w:rPr>
        <w:sectPr>
          <w:pgSz w:w="8400" w:h="11910"/>
          <w:pgMar w:header="0" w:footer="529" w:top="72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line="235" w:lineRule="auto" w:before="116"/>
        <w:ind w:left="425" w:firstLine="0"/>
      </w:pPr>
      <w:r>
        <w:rPr>
          <w:color w:val="231F20"/>
        </w:rPr>
        <w:t>является наблюдение за ребенком и следование за его игровой инициативой. На этом этапе не стоит вводить в игру проблемные моменты.</w:t>
      </w:r>
    </w:p>
    <w:p>
      <w:pPr>
        <w:pStyle w:val="ListParagraph"/>
        <w:numPr>
          <w:ilvl w:val="0"/>
          <w:numId w:val="222"/>
        </w:numPr>
        <w:tabs>
          <w:tab w:pos="425" w:val="left" w:leader="none"/>
        </w:tabs>
        <w:spacing w:line="235" w:lineRule="auto" w:before="1" w:after="0"/>
        <w:ind w:left="425" w:right="139" w:hanging="284"/>
        <w:jc w:val="both"/>
        <w:rPr>
          <w:sz w:val="20"/>
        </w:rPr>
      </w:pPr>
      <w:r>
        <w:rPr>
          <w:color w:val="231F20"/>
          <w:sz w:val="20"/>
        </w:rPr>
        <w:t>Проблематизация.</w:t>
      </w:r>
      <w:r>
        <w:rPr>
          <w:color w:val="231F20"/>
          <w:spacing w:val="-7"/>
          <w:sz w:val="20"/>
        </w:rPr>
        <w:t> </w:t>
      </w:r>
      <w:r>
        <w:rPr>
          <w:color w:val="231F20"/>
          <w:sz w:val="20"/>
        </w:rPr>
        <w:t>Когда</w:t>
      </w:r>
      <w:r>
        <w:rPr>
          <w:color w:val="231F20"/>
          <w:spacing w:val="-7"/>
          <w:sz w:val="20"/>
        </w:rPr>
        <w:t> </w:t>
      </w:r>
      <w:r>
        <w:rPr>
          <w:color w:val="231F20"/>
          <w:sz w:val="20"/>
        </w:rPr>
        <w:t>ребенок</w:t>
      </w:r>
      <w:r>
        <w:rPr>
          <w:color w:val="231F20"/>
          <w:spacing w:val="-7"/>
          <w:sz w:val="20"/>
        </w:rPr>
        <w:t> </w:t>
      </w:r>
      <w:r>
        <w:rPr>
          <w:color w:val="231F20"/>
          <w:sz w:val="20"/>
        </w:rPr>
        <w:t>начинает</w:t>
      </w:r>
      <w:r>
        <w:rPr>
          <w:color w:val="231F20"/>
          <w:spacing w:val="-7"/>
          <w:sz w:val="20"/>
        </w:rPr>
        <w:t> </w:t>
      </w:r>
      <w:r>
        <w:rPr>
          <w:color w:val="231F20"/>
          <w:sz w:val="20"/>
        </w:rPr>
        <w:t>уверенно</w:t>
      </w:r>
      <w:r>
        <w:rPr>
          <w:color w:val="231F20"/>
          <w:spacing w:val="-7"/>
          <w:sz w:val="20"/>
        </w:rPr>
        <w:t> </w:t>
      </w:r>
      <w:r>
        <w:rPr>
          <w:color w:val="231F20"/>
          <w:sz w:val="20"/>
        </w:rPr>
        <w:t>играть</w:t>
      </w:r>
      <w:r>
        <w:rPr>
          <w:color w:val="231F20"/>
          <w:spacing w:val="-7"/>
          <w:sz w:val="20"/>
        </w:rPr>
        <w:t> </w:t>
      </w:r>
      <w:r>
        <w:rPr>
          <w:color w:val="231F20"/>
          <w:sz w:val="20"/>
        </w:rPr>
        <w:t>за</w:t>
      </w:r>
      <w:r>
        <w:rPr>
          <w:color w:val="231F20"/>
          <w:spacing w:val="-7"/>
          <w:sz w:val="20"/>
        </w:rPr>
        <w:t> </w:t>
      </w:r>
      <w:r>
        <w:rPr>
          <w:color w:val="231F20"/>
          <w:sz w:val="20"/>
        </w:rPr>
        <w:t>своих</w:t>
      </w:r>
      <w:r>
        <w:rPr>
          <w:color w:val="231F20"/>
          <w:spacing w:val="-7"/>
          <w:sz w:val="20"/>
        </w:rPr>
        <w:t> </w:t>
      </w:r>
      <w:r>
        <w:rPr>
          <w:color w:val="231F20"/>
          <w:sz w:val="20"/>
        </w:rPr>
        <w:t>персонажей, психолог получает возможность постепенно вводить в игру проблемные для ре- бенка</w:t>
      </w:r>
      <w:r>
        <w:rPr>
          <w:color w:val="231F20"/>
          <w:spacing w:val="-7"/>
          <w:sz w:val="20"/>
        </w:rPr>
        <w:t> </w:t>
      </w:r>
      <w:r>
        <w:rPr>
          <w:color w:val="231F20"/>
          <w:sz w:val="20"/>
        </w:rPr>
        <w:t>ситуации.</w:t>
      </w:r>
      <w:r>
        <w:rPr>
          <w:color w:val="231F20"/>
          <w:spacing w:val="-7"/>
          <w:sz w:val="20"/>
        </w:rPr>
        <w:t> </w:t>
      </w:r>
      <w:r>
        <w:rPr>
          <w:color w:val="231F20"/>
          <w:sz w:val="20"/>
        </w:rPr>
        <w:t>Для</w:t>
      </w:r>
      <w:r>
        <w:rPr>
          <w:color w:val="231F20"/>
          <w:spacing w:val="-7"/>
          <w:sz w:val="20"/>
        </w:rPr>
        <w:t> </w:t>
      </w:r>
      <w:r>
        <w:rPr>
          <w:color w:val="231F20"/>
          <w:sz w:val="20"/>
        </w:rPr>
        <w:t>этого</w:t>
      </w:r>
      <w:r>
        <w:rPr>
          <w:color w:val="231F20"/>
          <w:spacing w:val="-7"/>
          <w:sz w:val="20"/>
        </w:rPr>
        <w:t> </w:t>
      </w:r>
      <w:r>
        <w:rPr>
          <w:color w:val="231F20"/>
          <w:sz w:val="20"/>
        </w:rPr>
        <w:t>используются</w:t>
      </w:r>
      <w:r>
        <w:rPr>
          <w:color w:val="231F20"/>
          <w:spacing w:val="-7"/>
          <w:sz w:val="20"/>
        </w:rPr>
        <w:t> </w:t>
      </w:r>
      <w:r>
        <w:rPr>
          <w:color w:val="231F20"/>
          <w:sz w:val="20"/>
        </w:rPr>
        <w:t>персонажи,</w:t>
      </w:r>
      <w:r>
        <w:rPr>
          <w:color w:val="231F20"/>
          <w:spacing w:val="-7"/>
          <w:sz w:val="20"/>
        </w:rPr>
        <w:t> </w:t>
      </w:r>
      <w:r>
        <w:rPr>
          <w:color w:val="231F20"/>
          <w:sz w:val="20"/>
        </w:rPr>
        <w:t>за</w:t>
      </w:r>
      <w:r>
        <w:rPr>
          <w:color w:val="231F20"/>
          <w:spacing w:val="-7"/>
          <w:sz w:val="20"/>
        </w:rPr>
        <w:t> </w:t>
      </w:r>
      <w:r>
        <w:rPr>
          <w:color w:val="231F20"/>
          <w:sz w:val="20"/>
        </w:rPr>
        <w:t>которых</w:t>
      </w:r>
      <w:r>
        <w:rPr>
          <w:color w:val="231F20"/>
          <w:spacing w:val="-7"/>
          <w:sz w:val="20"/>
        </w:rPr>
        <w:t> </w:t>
      </w:r>
      <w:r>
        <w:rPr>
          <w:color w:val="231F20"/>
          <w:sz w:val="20"/>
        </w:rPr>
        <w:t>играет</w:t>
      </w:r>
      <w:r>
        <w:rPr>
          <w:color w:val="231F20"/>
          <w:spacing w:val="-7"/>
          <w:sz w:val="20"/>
        </w:rPr>
        <w:t> </w:t>
      </w:r>
      <w:r>
        <w:rPr>
          <w:color w:val="231F20"/>
          <w:sz w:val="20"/>
        </w:rPr>
        <w:t>психолог. Персонаж психолога инициирует ситуацию, представляющую для ребенка слож- ность</w:t>
      </w:r>
      <w:r>
        <w:rPr>
          <w:color w:val="231F20"/>
          <w:spacing w:val="-8"/>
          <w:sz w:val="20"/>
        </w:rPr>
        <w:t> </w:t>
      </w:r>
      <w:r>
        <w:rPr>
          <w:color w:val="231F20"/>
          <w:sz w:val="20"/>
        </w:rPr>
        <w:t>(здоровается,</w:t>
      </w:r>
      <w:r>
        <w:rPr>
          <w:color w:val="231F20"/>
          <w:spacing w:val="-8"/>
          <w:sz w:val="20"/>
        </w:rPr>
        <w:t> </w:t>
      </w:r>
      <w:r>
        <w:rPr>
          <w:color w:val="231F20"/>
          <w:sz w:val="20"/>
        </w:rPr>
        <w:t>начинает</w:t>
      </w:r>
      <w:r>
        <w:rPr>
          <w:color w:val="231F20"/>
          <w:spacing w:val="-8"/>
          <w:sz w:val="20"/>
        </w:rPr>
        <w:t> </w:t>
      </w:r>
      <w:r>
        <w:rPr>
          <w:color w:val="231F20"/>
          <w:sz w:val="20"/>
        </w:rPr>
        <w:t>спор</w:t>
      </w:r>
      <w:r>
        <w:rPr>
          <w:color w:val="231F20"/>
          <w:spacing w:val="-8"/>
          <w:sz w:val="20"/>
        </w:rPr>
        <w:t> </w:t>
      </w:r>
      <w:r>
        <w:rPr>
          <w:color w:val="231F20"/>
          <w:sz w:val="20"/>
        </w:rPr>
        <w:t>и</w:t>
      </w:r>
      <w:r>
        <w:rPr>
          <w:color w:val="231F20"/>
          <w:spacing w:val="-8"/>
          <w:sz w:val="20"/>
        </w:rPr>
        <w:t> </w:t>
      </w:r>
      <w:r>
        <w:rPr>
          <w:color w:val="231F20"/>
          <w:sz w:val="20"/>
        </w:rPr>
        <w:t>т.д.).</w:t>
      </w:r>
      <w:r>
        <w:rPr>
          <w:color w:val="231F20"/>
          <w:spacing w:val="-8"/>
          <w:sz w:val="20"/>
        </w:rPr>
        <w:t> </w:t>
      </w:r>
      <w:r>
        <w:rPr>
          <w:color w:val="231F20"/>
          <w:sz w:val="20"/>
        </w:rPr>
        <w:t>Ребенок</w:t>
      </w:r>
      <w:r>
        <w:rPr>
          <w:color w:val="231F20"/>
          <w:spacing w:val="-8"/>
          <w:sz w:val="20"/>
        </w:rPr>
        <w:t> </w:t>
      </w:r>
      <w:r>
        <w:rPr>
          <w:color w:val="231F20"/>
          <w:sz w:val="20"/>
        </w:rPr>
        <w:t>от</w:t>
      </w:r>
      <w:r>
        <w:rPr>
          <w:color w:val="231F20"/>
          <w:spacing w:val="-8"/>
          <w:sz w:val="20"/>
        </w:rPr>
        <w:t> </w:t>
      </w:r>
      <w:r>
        <w:rPr>
          <w:color w:val="231F20"/>
          <w:sz w:val="20"/>
        </w:rPr>
        <w:t>лица</w:t>
      </w:r>
      <w:r>
        <w:rPr>
          <w:color w:val="231F20"/>
          <w:spacing w:val="-8"/>
          <w:sz w:val="20"/>
        </w:rPr>
        <w:t> </w:t>
      </w:r>
      <w:r>
        <w:rPr>
          <w:color w:val="231F20"/>
          <w:sz w:val="20"/>
        </w:rPr>
        <w:t>своего</w:t>
      </w:r>
      <w:r>
        <w:rPr>
          <w:color w:val="231F20"/>
          <w:spacing w:val="-8"/>
          <w:sz w:val="20"/>
        </w:rPr>
        <w:t> </w:t>
      </w:r>
      <w:r>
        <w:rPr>
          <w:color w:val="231F20"/>
          <w:sz w:val="20"/>
        </w:rPr>
        <w:t>персонажа</w:t>
      </w:r>
      <w:r>
        <w:rPr>
          <w:color w:val="231F20"/>
          <w:spacing w:val="-8"/>
          <w:sz w:val="20"/>
        </w:rPr>
        <w:t> </w:t>
      </w:r>
      <w:r>
        <w:rPr>
          <w:color w:val="231F20"/>
          <w:sz w:val="20"/>
        </w:rPr>
        <w:t>отве- чает, как может. Если у ребенка не получается ответить, или он выбирает некон- структивный вариант, психолог предлагает ненадолго прервать игру.</w:t>
      </w:r>
    </w:p>
    <w:p>
      <w:pPr>
        <w:pStyle w:val="ListParagraph"/>
        <w:numPr>
          <w:ilvl w:val="0"/>
          <w:numId w:val="222"/>
        </w:numPr>
        <w:tabs>
          <w:tab w:pos="425" w:val="left" w:leader="none"/>
        </w:tabs>
        <w:spacing w:line="235" w:lineRule="auto" w:before="4" w:after="0"/>
        <w:ind w:left="425" w:right="139" w:hanging="284"/>
        <w:jc w:val="both"/>
        <w:rPr>
          <w:sz w:val="20"/>
        </w:rPr>
      </w:pPr>
      <w:r>
        <w:rPr>
          <w:color w:val="231F20"/>
          <w:sz w:val="20"/>
        </w:rPr>
        <w:t>Обсуждение. Психолог обсуждает с ребенком альтернативные варианты пове- дения в сыгранной ситуации. Ни в коем случае не следует осуждать или ругать ребенка за выбранный вариант. Также необходимо сначала выяснить, видит ли сам</w:t>
      </w:r>
      <w:r>
        <w:rPr>
          <w:color w:val="231F20"/>
          <w:spacing w:val="-11"/>
          <w:sz w:val="20"/>
        </w:rPr>
        <w:t> </w:t>
      </w:r>
      <w:r>
        <w:rPr>
          <w:color w:val="231F20"/>
          <w:sz w:val="20"/>
        </w:rPr>
        <w:t>ребенок</w:t>
      </w:r>
      <w:r>
        <w:rPr>
          <w:color w:val="231F20"/>
          <w:spacing w:val="-11"/>
          <w:sz w:val="20"/>
        </w:rPr>
        <w:t> </w:t>
      </w:r>
      <w:r>
        <w:rPr>
          <w:color w:val="231F20"/>
          <w:sz w:val="20"/>
        </w:rPr>
        <w:t>еще</w:t>
      </w:r>
      <w:r>
        <w:rPr>
          <w:color w:val="231F20"/>
          <w:spacing w:val="-11"/>
          <w:sz w:val="20"/>
        </w:rPr>
        <w:t> </w:t>
      </w:r>
      <w:r>
        <w:rPr>
          <w:color w:val="231F20"/>
          <w:sz w:val="20"/>
        </w:rPr>
        <w:t>какие-то</w:t>
      </w:r>
      <w:r>
        <w:rPr>
          <w:color w:val="231F20"/>
          <w:spacing w:val="-11"/>
          <w:sz w:val="20"/>
        </w:rPr>
        <w:t> </w:t>
      </w:r>
      <w:r>
        <w:rPr>
          <w:color w:val="231F20"/>
          <w:sz w:val="20"/>
        </w:rPr>
        <w:t>варианты.</w:t>
      </w:r>
      <w:r>
        <w:rPr>
          <w:color w:val="231F20"/>
          <w:spacing w:val="-11"/>
          <w:sz w:val="20"/>
        </w:rPr>
        <w:t> </w:t>
      </w:r>
      <w:r>
        <w:rPr>
          <w:color w:val="231F20"/>
          <w:sz w:val="20"/>
        </w:rPr>
        <w:t>Можно</w:t>
      </w:r>
      <w:r>
        <w:rPr>
          <w:color w:val="231F20"/>
          <w:spacing w:val="-11"/>
          <w:sz w:val="20"/>
        </w:rPr>
        <w:t> </w:t>
      </w:r>
      <w:r>
        <w:rPr>
          <w:color w:val="231F20"/>
          <w:sz w:val="20"/>
        </w:rPr>
        <w:t>сказать:</w:t>
      </w:r>
      <w:r>
        <w:rPr>
          <w:color w:val="231F20"/>
          <w:spacing w:val="-11"/>
          <w:sz w:val="20"/>
        </w:rPr>
        <w:t> </w:t>
      </w:r>
      <w:r>
        <w:rPr>
          <w:color w:val="231F20"/>
          <w:sz w:val="20"/>
        </w:rPr>
        <w:t>«Сейчас</w:t>
      </w:r>
      <w:r>
        <w:rPr>
          <w:color w:val="231F20"/>
          <w:spacing w:val="-11"/>
          <w:sz w:val="20"/>
        </w:rPr>
        <w:t> </w:t>
      </w:r>
      <w:r>
        <w:rPr>
          <w:color w:val="231F20"/>
          <w:sz w:val="20"/>
        </w:rPr>
        <w:t>с</w:t>
      </w:r>
      <w:r>
        <w:rPr>
          <w:color w:val="231F20"/>
          <w:spacing w:val="-11"/>
          <w:sz w:val="20"/>
        </w:rPr>
        <w:t> </w:t>
      </w:r>
      <w:r>
        <w:rPr>
          <w:color w:val="231F20"/>
          <w:sz w:val="20"/>
        </w:rPr>
        <w:t>твоим</w:t>
      </w:r>
      <w:r>
        <w:rPr>
          <w:color w:val="231F20"/>
          <w:spacing w:val="-11"/>
          <w:sz w:val="20"/>
        </w:rPr>
        <w:t> </w:t>
      </w:r>
      <w:r>
        <w:rPr>
          <w:color w:val="231F20"/>
          <w:sz w:val="20"/>
        </w:rPr>
        <w:t>персонажем поздоровался учитель, а твой персонаж ничего не ответил. Как ты думаешь, что можно было сделать в такой ситуации?»</w:t>
      </w:r>
    </w:p>
    <w:p>
      <w:pPr>
        <w:pStyle w:val="ListParagraph"/>
        <w:numPr>
          <w:ilvl w:val="0"/>
          <w:numId w:val="222"/>
        </w:numPr>
        <w:tabs>
          <w:tab w:pos="425" w:val="left" w:leader="none"/>
        </w:tabs>
        <w:spacing w:line="235" w:lineRule="auto" w:before="4" w:after="0"/>
        <w:ind w:left="425" w:right="139" w:hanging="284"/>
        <w:jc w:val="both"/>
        <w:rPr>
          <w:sz w:val="20"/>
        </w:rPr>
      </w:pPr>
      <w:r>
        <w:rPr>
          <w:color w:val="231F20"/>
          <w:sz w:val="20"/>
        </w:rPr>
        <w:t>Освоение</w:t>
      </w:r>
      <w:r>
        <w:rPr>
          <w:color w:val="231F20"/>
          <w:spacing w:val="-3"/>
          <w:sz w:val="20"/>
        </w:rPr>
        <w:t> </w:t>
      </w:r>
      <w:r>
        <w:rPr>
          <w:color w:val="231F20"/>
          <w:sz w:val="20"/>
        </w:rPr>
        <w:t>новых</w:t>
      </w:r>
      <w:r>
        <w:rPr>
          <w:color w:val="231F20"/>
          <w:spacing w:val="-3"/>
          <w:sz w:val="20"/>
        </w:rPr>
        <w:t> </w:t>
      </w:r>
      <w:r>
        <w:rPr>
          <w:color w:val="231F20"/>
          <w:sz w:val="20"/>
        </w:rPr>
        <w:t>способов</w:t>
      </w:r>
      <w:r>
        <w:rPr>
          <w:color w:val="231F20"/>
          <w:spacing w:val="-3"/>
          <w:sz w:val="20"/>
        </w:rPr>
        <w:t> </w:t>
      </w:r>
      <w:r>
        <w:rPr>
          <w:color w:val="231F20"/>
          <w:sz w:val="20"/>
        </w:rPr>
        <w:t>поведения.</w:t>
      </w:r>
      <w:r>
        <w:rPr>
          <w:color w:val="231F20"/>
          <w:spacing w:val="-3"/>
          <w:sz w:val="20"/>
        </w:rPr>
        <w:t> </w:t>
      </w:r>
      <w:r>
        <w:rPr>
          <w:color w:val="231F20"/>
          <w:sz w:val="20"/>
        </w:rPr>
        <w:t>Психолог</w:t>
      </w:r>
      <w:r>
        <w:rPr>
          <w:color w:val="231F20"/>
          <w:spacing w:val="-3"/>
          <w:sz w:val="20"/>
        </w:rPr>
        <w:t> </w:t>
      </w:r>
      <w:r>
        <w:rPr>
          <w:color w:val="231F20"/>
          <w:sz w:val="20"/>
        </w:rPr>
        <w:t>предлагает</w:t>
      </w:r>
      <w:r>
        <w:rPr>
          <w:color w:val="231F20"/>
          <w:spacing w:val="-3"/>
          <w:sz w:val="20"/>
        </w:rPr>
        <w:t> </w:t>
      </w:r>
      <w:r>
        <w:rPr>
          <w:color w:val="231F20"/>
          <w:sz w:val="20"/>
        </w:rPr>
        <w:t>ребенку</w:t>
      </w:r>
      <w:r>
        <w:rPr>
          <w:color w:val="231F20"/>
          <w:spacing w:val="-3"/>
          <w:sz w:val="20"/>
        </w:rPr>
        <w:t> </w:t>
      </w:r>
      <w:r>
        <w:rPr>
          <w:color w:val="231F20"/>
          <w:sz w:val="20"/>
        </w:rPr>
        <w:t>проиграть</w:t>
      </w:r>
      <w:r>
        <w:rPr>
          <w:color w:val="231F20"/>
          <w:spacing w:val="-3"/>
          <w:sz w:val="20"/>
        </w:rPr>
        <w:t> </w:t>
      </w:r>
      <w:r>
        <w:rPr>
          <w:color w:val="231F20"/>
          <w:sz w:val="20"/>
        </w:rPr>
        <w:t>ту же самую ситуацию еще раз, но уже с новым вариантом поведения персонажа ребенка. Если у ребенка получается, психологу следует это отметить, если нет, психолог говорит, что научиться этому непросто, и предлагает попробовать еще.</w:t>
      </w:r>
    </w:p>
    <w:p>
      <w:pPr>
        <w:pStyle w:val="ListParagraph"/>
        <w:numPr>
          <w:ilvl w:val="0"/>
          <w:numId w:val="222"/>
        </w:numPr>
        <w:tabs>
          <w:tab w:pos="425" w:val="left" w:leader="none"/>
        </w:tabs>
        <w:spacing w:line="235" w:lineRule="auto" w:before="3" w:after="0"/>
        <w:ind w:left="425" w:right="139" w:hanging="284"/>
        <w:jc w:val="both"/>
        <w:rPr>
          <w:sz w:val="20"/>
        </w:rPr>
      </w:pPr>
      <w:r>
        <w:rPr>
          <w:color w:val="231F20"/>
          <w:sz w:val="20"/>
        </w:rPr>
        <w:t>Продолжение</w:t>
      </w:r>
      <w:r>
        <w:rPr>
          <w:color w:val="231F20"/>
          <w:spacing w:val="-10"/>
          <w:sz w:val="20"/>
        </w:rPr>
        <w:t> </w:t>
      </w:r>
      <w:r>
        <w:rPr>
          <w:color w:val="231F20"/>
          <w:sz w:val="20"/>
        </w:rPr>
        <w:t>игры.</w:t>
      </w:r>
      <w:r>
        <w:rPr>
          <w:color w:val="231F20"/>
          <w:spacing w:val="-10"/>
          <w:sz w:val="20"/>
        </w:rPr>
        <w:t> </w:t>
      </w:r>
      <w:r>
        <w:rPr>
          <w:color w:val="231F20"/>
          <w:sz w:val="20"/>
        </w:rPr>
        <w:t>Не</w:t>
      </w:r>
      <w:r>
        <w:rPr>
          <w:color w:val="231F20"/>
          <w:spacing w:val="-10"/>
          <w:sz w:val="20"/>
        </w:rPr>
        <w:t> </w:t>
      </w:r>
      <w:r>
        <w:rPr>
          <w:color w:val="231F20"/>
          <w:sz w:val="20"/>
        </w:rPr>
        <w:t>нужно</w:t>
      </w:r>
      <w:r>
        <w:rPr>
          <w:color w:val="231F20"/>
          <w:spacing w:val="-10"/>
          <w:sz w:val="20"/>
        </w:rPr>
        <w:t> </w:t>
      </w:r>
      <w:r>
        <w:rPr>
          <w:color w:val="231F20"/>
          <w:sz w:val="20"/>
        </w:rPr>
        <w:t>завершать</w:t>
      </w:r>
      <w:r>
        <w:rPr>
          <w:color w:val="231F20"/>
          <w:spacing w:val="-10"/>
          <w:sz w:val="20"/>
        </w:rPr>
        <w:t> </w:t>
      </w:r>
      <w:r>
        <w:rPr>
          <w:color w:val="231F20"/>
          <w:sz w:val="20"/>
        </w:rPr>
        <w:t>игру</w:t>
      </w:r>
      <w:r>
        <w:rPr>
          <w:color w:val="231F20"/>
          <w:spacing w:val="-10"/>
          <w:sz w:val="20"/>
        </w:rPr>
        <w:t> </w:t>
      </w:r>
      <w:r>
        <w:rPr>
          <w:color w:val="231F20"/>
          <w:sz w:val="20"/>
        </w:rPr>
        <w:t>немедленно,</w:t>
      </w:r>
      <w:r>
        <w:rPr>
          <w:color w:val="231F20"/>
          <w:spacing w:val="-10"/>
          <w:sz w:val="20"/>
        </w:rPr>
        <w:t> </w:t>
      </w:r>
      <w:r>
        <w:rPr>
          <w:color w:val="231F20"/>
          <w:sz w:val="20"/>
        </w:rPr>
        <w:t>после</w:t>
      </w:r>
      <w:r>
        <w:rPr>
          <w:color w:val="231F20"/>
          <w:spacing w:val="-10"/>
          <w:sz w:val="20"/>
        </w:rPr>
        <w:t> </w:t>
      </w:r>
      <w:r>
        <w:rPr>
          <w:color w:val="231F20"/>
          <w:sz w:val="20"/>
        </w:rPr>
        <w:t>розыгрыша</w:t>
      </w:r>
      <w:r>
        <w:rPr>
          <w:color w:val="231F20"/>
          <w:spacing w:val="-10"/>
          <w:sz w:val="20"/>
        </w:rPr>
        <w:t> </w:t>
      </w:r>
      <w:r>
        <w:rPr>
          <w:color w:val="231F20"/>
          <w:sz w:val="20"/>
        </w:rPr>
        <w:t>пер- вого</w:t>
      </w:r>
      <w:r>
        <w:rPr>
          <w:color w:val="231F20"/>
          <w:spacing w:val="-13"/>
          <w:sz w:val="20"/>
        </w:rPr>
        <w:t> </w:t>
      </w:r>
      <w:r>
        <w:rPr>
          <w:color w:val="231F20"/>
          <w:sz w:val="20"/>
        </w:rPr>
        <w:t>варианта,</w:t>
      </w:r>
      <w:r>
        <w:rPr>
          <w:color w:val="231F20"/>
          <w:spacing w:val="-12"/>
          <w:sz w:val="20"/>
        </w:rPr>
        <w:t> </w:t>
      </w:r>
      <w:r>
        <w:rPr>
          <w:color w:val="231F20"/>
          <w:sz w:val="20"/>
        </w:rPr>
        <w:t>надо</w:t>
      </w:r>
      <w:r>
        <w:rPr>
          <w:color w:val="231F20"/>
          <w:spacing w:val="-13"/>
          <w:sz w:val="20"/>
        </w:rPr>
        <w:t> </w:t>
      </w:r>
      <w:r>
        <w:rPr>
          <w:color w:val="231F20"/>
          <w:sz w:val="20"/>
        </w:rPr>
        <w:t>ее</w:t>
      </w:r>
      <w:r>
        <w:rPr>
          <w:color w:val="231F20"/>
          <w:spacing w:val="-12"/>
          <w:sz w:val="20"/>
        </w:rPr>
        <w:t> </w:t>
      </w:r>
      <w:r>
        <w:rPr>
          <w:color w:val="231F20"/>
          <w:sz w:val="20"/>
        </w:rPr>
        <w:t>продолжить</w:t>
      </w:r>
      <w:r>
        <w:rPr>
          <w:color w:val="231F20"/>
          <w:spacing w:val="-13"/>
          <w:sz w:val="20"/>
        </w:rPr>
        <w:t> </w:t>
      </w:r>
      <w:r>
        <w:rPr>
          <w:color w:val="231F20"/>
          <w:sz w:val="20"/>
        </w:rPr>
        <w:t>и</w:t>
      </w:r>
      <w:r>
        <w:rPr>
          <w:color w:val="231F20"/>
          <w:spacing w:val="-12"/>
          <w:sz w:val="20"/>
        </w:rPr>
        <w:t> </w:t>
      </w:r>
      <w:r>
        <w:rPr>
          <w:color w:val="231F20"/>
          <w:sz w:val="20"/>
        </w:rPr>
        <w:t>по</w:t>
      </w:r>
      <w:r>
        <w:rPr>
          <w:color w:val="231F20"/>
          <w:spacing w:val="-13"/>
          <w:sz w:val="20"/>
        </w:rPr>
        <w:t> </w:t>
      </w:r>
      <w:r>
        <w:rPr>
          <w:color w:val="231F20"/>
          <w:sz w:val="20"/>
        </w:rPr>
        <w:t>возможности</w:t>
      </w:r>
      <w:r>
        <w:rPr>
          <w:color w:val="231F20"/>
          <w:spacing w:val="-12"/>
          <w:sz w:val="20"/>
        </w:rPr>
        <w:t> </w:t>
      </w:r>
      <w:r>
        <w:rPr>
          <w:color w:val="231F20"/>
          <w:sz w:val="20"/>
        </w:rPr>
        <w:t>добавить</w:t>
      </w:r>
      <w:r>
        <w:rPr>
          <w:color w:val="231F20"/>
          <w:spacing w:val="-13"/>
          <w:sz w:val="20"/>
        </w:rPr>
        <w:t> </w:t>
      </w:r>
      <w:r>
        <w:rPr>
          <w:color w:val="231F20"/>
          <w:sz w:val="20"/>
        </w:rPr>
        <w:t>новые</w:t>
      </w:r>
      <w:r>
        <w:rPr>
          <w:color w:val="231F20"/>
          <w:spacing w:val="-12"/>
          <w:sz w:val="20"/>
        </w:rPr>
        <w:t> </w:t>
      </w:r>
      <w:r>
        <w:rPr>
          <w:color w:val="231F20"/>
          <w:sz w:val="20"/>
        </w:rPr>
        <w:t>трудные</w:t>
      </w:r>
      <w:r>
        <w:rPr>
          <w:color w:val="231F20"/>
          <w:spacing w:val="-13"/>
          <w:sz w:val="20"/>
        </w:rPr>
        <w:t> </w:t>
      </w:r>
      <w:r>
        <w:rPr>
          <w:color w:val="231F20"/>
          <w:sz w:val="20"/>
        </w:rPr>
        <w:t>для ребенка ситуации.</w:t>
      </w:r>
    </w:p>
    <w:p>
      <w:pPr>
        <w:pStyle w:val="ListParagraph"/>
        <w:numPr>
          <w:ilvl w:val="0"/>
          <w:numId w:val="222"/>
        </w:numPr>
        <w:tabs>
          <w:tab w:pos="425" w:val="left" w:leader="none"/>
        </w:tabs>
        <w:spacing w:line="235" w:lineRule="auto" w:before="1" w:after="0"/>
        <w:ind w:left="425" w:right="139" w:hanging="284"/>
        <w:jc w:val="both"/>
        <w:rPr>
          <w:sz w:val="20"/>
        </w:rPr>
      </w:pPr>
      <w:r>
        <w:rPr>
          <w:color w:val="231F20"/>
          <w:spacing w:val="-2"/>
          <w:sz w:val="20"/>
        </w:rPr>
        <w:t>Подведение</w:t>
      </w:r>
      <w:r>
        <w:rPr>
          <w:color w:val="231F20"/>
          <w:spacing w:val="-4"/>
          <w:sz w:val="20"/>
        </w:rPr>
        <w:t> </w:t>
      </w:r>
      <w:r>
        <w:rPr>
          <w:color w:val="231F20"/>
          <w:spacing w:val="-2"/>
          <w:sz w:val="20"/>
        </w:rPr>
        <w:t>итогов.</w:t>
      </w:r>
      <w:r>
        <w:rPr>
          <w:color w:val="231F20"/>
          <w:spacing w:val="-4"/>
          <w:sz w:val="20"/>
        </w:rPr>
        <w:t> </w:t>
      </w:r>
      <w:r>
        <w:rPr>
          <w:color w:val="231F20"/>
          <w:spacing w:val="-2"/>
          <w:sz w:val="20"/>
        </w:rPr>
        <w:t>Психолог</w:t>
      </w:r>
      <w:r>
        <w:rPr>
          <w:color w:val="231F20"/>
          <w:spacing w:val="-4"/>
          <w:sz w:val="20"/>
        </w:rPr>
        <w:t> </w:t>
      </w:r>
      <w:r>
        <w:rPr>
          <w:color w:val="231F20"/>
          <w:spacing w:val="-2"/>
          <w:sz w:val="20"/>
        </w:rPr>
        <w:t>отмечает</w:t>
      </w:r>
      <w:r>
        <w:rPr>
          <w:color w:val="231F20"/>
          <w:spacing w:val="-4"/>
          <w:sz w:val="20"/>
        </w:rPr>
        <w:t> </w:t>
      </w:r>
      <w:r>
        <w:rPr>
          <w:color w:val="231F20"/>
          <w:spacing w:val="-2"/>
          <w:sz w:val="20"/>
        </w:rPr>
        <w:t>успехи</w:t>
      </w:r>
      <w:r>
        <w:rPr>
          <w:color w:val="231F20"/>
          <w:spacing w:val="-4"/>
          <w:sz w:val="20"/>
        </w:rPr>
        <w:t> </w:t>
      </w:r>
      <w:r>
        <w:rPr>
          <w:color w:val="231F20"/>
          <w:spacing w:val="-2"/>
          <w:sz w:val="20"/>
        </w:rPr>
        <w:t>ребенка</w:t>
      </w:r>
      <w:r>
        <w:rPr>
          <w:color w:val="231F20"/>
          <w:spacing w:val="-4"/>
          <w:sz w:val="20"/>
        </w:rPr>
        <w:t> </w:t>
      </w:r>
      <w:r>
        <w:rPr>
          <w:color w:val="231F20"/>
          <w:spacing w:val="-2"/>
          <w:sz w:val="20"/>
        </w:rPr>
        <w:t>и</w:t>
      </w:r>
      <w:r>
        <w:rPr>
          <w:color w:val="231F20"/>
          <w:spacing w:val="-4"/>
          <w:sz w:val="20"/>
        </w:rPr>
        <w:t> </w:t>
      </w:r>
      <w:r>
        <w:rPr>
          <w:color w:val="231F20"/>
          <w:spacing w:val="-2"/>
          <w:sz w:val="20"/>
        </w:rPr>
        <w:t>спрашивает,</w:t>
      </w:r>
      <w:r>
        <w:rPr>
          <w:color w:val="231F20"/>
          <w:spacing w:val="-4"/>
          <w:sz w:val="20"/>
        </w:rPr>
        <w:t> </w:t>
      </w:r>
      <w:r>
        <w:rPr>
          <w:color w:val="231F20"/>
          <w:spacing w:val="-2"/>
          <w:sz w:val="20"/>
        </w:rPr>
        <w:t>в</w:t>
      </w:r>
      <w:r>
        <w:rPr>
          <w:color w:val="231F20"/>
          <w:spacing w:val="-4"/>
          <w:sz w:val="20"/>
        </w:rPr>
        <w:t> </w:t>
      </w:r>
      <w:r>
        <w:rPr>
          <w:color w:val="231F20"/>
          <w:spacing w:val="-2"/>
          <w:sz w:val="20"/>
        </w:rPr>
        <w:t>каком</w:t>
      </w:r>
      <w:r>
        <w:rPr>
          <w:color w:val="231F20"/>
          <w:spacing w:val="-4"/>
          <w:sz w:val="20"/>
        </w:rPr>
        <w:t> </w:t>
      </w:r>
      <w:r>
        <w:rPr>
          <w:color w:val="231F20"/>
          <w:spacing w:val="-2"/>
          <w:sz w:val="20"/>
        </w:rPr>
        <w:t>слу- </w:t>
      </w:r>
      <w:r>
        <w:rPr>
          <w:color w:val="231F20"/>
          <w:sz w:val="20"/>
        </w:rPr>
        <w:t>чае он мог бы попробовать поступить так же, как его персонажи в игре. Если ребенок затрудняется ответить, предложить ему варианты.</w:t>
      </w:r>
    </w:p>
    <w:p>
      <w:pPr>
        <w:pStyle w:val="BodyText"/>
        <w:spacing w:line="235" w:lineRule="auto" w:before="2"/>
      </w:pPr>
      <w:r>
        <w:rPr>
          <w:color w:val="231F20"/>
        </w:rPr>
        <w:t>Подобные игры могут проводиться многократно. Возможно как повторное прои- грывание одной ситуации, если у ребенка возникают сложности, так и включение в игру различных ситуаций.</w:t>
      </w:r>
    </w:p>
    <w:p>
      <w:pPr>
        <w:pStyle w:val="BodyText"/>
        <w:spacing w:after="0" w:line="235" w:lineRule="auto"/>
        <w:sectPr>
          <w:pgSz w:w="8400" w:h="11910"/>
          <w:pgMar w:header="0" w:footer="529" w:top="400" w:bottom="740" w:left="425" w:right="425"/>
        </w:sectPr>
      </w:pPr>
    </w:p>
    <w:p>
      <w:pPr>
        <w:numPr>
          <w:ilvl w:val="1"/>
          <w:numId w:val="220"/>
        </w:numPr>
        <w:tabs>
          <w:tab w:pos="1932" w:val="left" w:leader="none"/>
        </w:tabs>
        <w:spacing w:line="235" w:lineRule="auto" w:before="77"/>
        <w:ind w:left="1294" w:right="1293" w:firstLine="288"/>
        <w:jc w:val="left"/>
        <w:rPr>
          <w:b/>
          <w:color w:val="231F20"/>
          <w:sz w:val="20"/>
        </w:rPr>
      </w:pPr>
      <w:bookmarkStart w:name="_bookmark78" w:id="80"/>
      <w:bookmarkEnd w:id="80"/>
      <w:r>
        <w:rPr/>
      </w:r>
      <w:r>
        <w:rPr>
          <w:b/>
          <w:color w:val="231F20"/>
          <w:sz w:val="20"/>
        </w:rPr>
        <w:t>Ролевое моделирование и решение ситуаций </w:t>
      </w:r>
      <w:r>
        <w:rPr>
          <w:b/>
          <w:color w:val="231F20"/>
          <w:spacing w:val="-2"/>
          <w:sz w:val="20"/>
        </w:rPr>
        <w:t>культурного ассимилятора: методическое руководство</w:t>
      </w:r>
    </w:p>
    <w:p>
      <w:pPr>
        <w:spacing w:before="168"/>
        <w:ind w:left="425" w:right="0" w:firstLine="5642"/>
        <w:jc w:val="left"/>
        <w:rPr>
          <w:i/>
          <w:sz w:val="20"/>
        </w:rPr>
      </w:pPr>
      <w:r>
        <w:rPr>
          <w:i/>
          <w:color w:val="231F20"/>
          <w:sz w:val="20"/>
        </w:rPr>
        <w:t>М.Ю.</w:t>
      </w:r>
      <w:r>
        <w:rPr>
          <w:i/>
          <w:color w:val="231F20"/>
          <w:spacing w:val="-2"/>
          <w:sz w:val="20"/>
        </w:rPr>
        <w:t> Чибисова</w:t>
      </w:r>
    </w:p>
    <w:p>
      <w:pPr>
        <w:pStyle w:val="BodyText"/>
        <w:spacing w:line="232" w:lineRule="auto" w:before="115"/>
      </w:pPr>
      <w:r>
        <w:rPr>
          <w:b/>
        </w:rPr>
        <w:t>Общее</w:t>
      </w:r>
      <w:r>
        <w:rPr>
          <w:b/>
          <w:spacing w:val="-1"/>
        </w:rPr>
        <w:t> </w:t>
      </w:r>
      <w:r>
        <w:rPr>
          <w:b/>
        </w:rPr>
        <w:t>описание</w:t>
      </w:r>
      <w:r>
        <w:rPr/>
        <w:t>.</w:t>
      </w:r>
      <w:r>
        <w:rPr>
          <w:spacing w:val="-1"/>
        </w:rPr>
        <w:t> </w:t>
      </w:r>
      <w:r>
        <w:rPr/>
        <w:t>Ролевое</w:t>
      </w:r>
      <w:r>
        <w:rPr>
          <w:spacing w:val="-1"/>
        </w:rPr>
        <w:t> </w:t>
      </w:r>
      <w:r>
        <w:rPr/>
        <w:t>моделирование</w:t>
      </w:r>
      <w:r>
        <w:rPr>
          <w:spacing w:val="-1"/>
        </w:rPr>
        <w:t> </w:t>
      </w:r>
      <w:r>
        <w:rPr/>
        <w:t>представляет</w:t>
      </w:r>
      <w:r>
        <w:rPr>
          <w:spacing w:val="-1"/>
        </w:rPr>
        <w:t> </w:t>
      </w:r>
      <w:r>
        <w:rPr/>
        <w:t>собой</w:t>
      </w:r>
      <w:r>
        <w:rPr>
          <w:spacing w:val="-1"/>
        </w:rPr>
        <w:t> </w:t>
      </w:r>
      <w:r>
        <w:rPr/>
        <w:t>своего</w:t>
      </w:r>
      <w:r>
        <w:rPr>
          <w:spacing w:val="-1"/>
        </w:rPr>
        <w:t> </w:t>
      </w:r>
      <w:r>
        <w:rPr/>
        <w:t>рода</w:t>
      </w:r>
      <w:r>
        <w:rPr>
          <w:spacing w:val="-1"/>
        </w:rPr>
        <w:t> </w:t>
      </w:r>
      <w:r>
        <w:rPr/>
        <w:t>моди- фикацию</w:t>
      </w:r>
      <w:r>
        <w:rPr>
          <w:spacing w:val="-7"/>
        </w:rPr>
        <w:t> </w:t>
      </w:r>
      <w:r>
        <w:rPr/>
        <w:t>ролевой</w:t>
      </w:r>
      <w:r>
        <w:rPr>
          <w:spacing w:val="-7"/>
        </w:rPr>
        <w:t> </w:t>
      </w:r>
      <w:r>
        <w:rPr/>
        <w:t>игры,</w:t>
      </w:r>
      <w:r>
        <w:rPr>
          <w:spacing w:val="-7"/>
        </w:rPr>
        <w:t> </w:t>
      </w:r>
      <w:r>
        <w:rPr/>
        <w:t>но</w:t>
      </w:r>
      <w:r>
        <w:rPr>
          <w:spacing w:val="-7"/>
        </w:rPr>
        <w:t> </w:t>
      </w:r>
      <w:r>
        <w:rPr/>
        <w:t>для</w:t>
      </w:r>
      <w:r>
        <w:rPr>
          <w:spacing w:val="-7"/>
        </w:rPr>
        <w:t> </w:t>
      </w:r>
      <w:r>
        <w:rPr/>
        <w:t>учащихся</w:t>
      </w:r>
      <w:r>
        <w:rPr>
          <w:spacing w:val="-7"/>
        </w:rPr>
        <w:t> </w:t>
      </w:r>
      <w:r>
        <w:rPr/>
        <w:t>средней</w:t>
      </w:r>
      <w:r>
        <w:rPr>
          <w:spacing w:val="-7"/>
        </w:rPr>
        <w:t> </w:t>
      </w:r>
      <w:r>
        <w:rPr/>
        <w:t>и</w:t>
      </w:r>
      <w:r>
        <w:rPr>
          <w:spacing w:val="-7"/>
        </w:rPr>
        <w:t> </w:t>
      </w:r>
      <w:r>
        <w:rPr/>
        <w:t>старшей</w:t>
      </w:r>
      <w:r>
        <w:rPr>
          <w:spacing w:val="-7"/>
        </w:rPr>
        <w:t> </w:t>
      </w:r>
      <w:r>
        <w:rPr/>
        <w:t>школы.</w:t>
      </w:r>
      <w:r>
        <w:rPr>
          <w:spacing w:val="-7"/>
        </w:rPr>
        <w:t> </w:t>
      </w:r>
      <w:r>
        <w:rPr/>
        <w:t>В</w:t>
      </w:r>
      <w:r>
        <w:rPr>
          <w:spacing w:val="-7"/>
        </w:rPr>
        <w:t> </w:t>
      </w:r>
      <w:r>
        <w:rPr/>
        <w:t>ходе</w:t>
      </w:r>
      <w:r>
        <w:rPr>
          <w:spacing w:val="-7"/>
        </w:rPr>
        <w:t> </w:t>
      </w:r>
      <w:r>
        <w:rPr/>
        <w:t>ролевого моделирования</w:t>
      </w:r>
      <w:r>
        <w:rPr>
          <w:spacing w:val="-1"/>
        </w:rPr>
        <w:t> </w:t>
      </w:r>
      <w:r>
        <w:rPr/>
        <w:t>во</w:t>
      </w:r>
      <w:r>
        <w:rPr>
          <w:spacing w:val="-1"/>
        </w:rPr>
        <w:t> </w:t>
      </w:r>
      <w:r>
        <w:rPr/>
        <w:t>взаимодействии</w:t>
      </w:r>
      <w:r>
        <w:rPr>
          <w:spacing w:val="-1"/>
        </w:rPr>
        <w:t> </w:t>
      </w:r>
      <w:r>
        <w:rPr/>
        <w:t>с</w:t>
      </w:r>
      <w:r>
        <w:rPr>
          <w:spacing w:val="-1"/>
        </w:rPr>
        <w:t> </w:t>
      </w:r>
      <w:r>
        <w:rPr/>
        <w:t>психологом</w:t>
      </w:r>
      <w:r>
        <w:rPr>
          <w:spacing w:val="-1"/>
        </w:rPr>
        <w:t> </w:t>
      </w:r>
      <w:r>
        <w:rPr/>
        <w:t>подросток</w:t>
      </w:r>
      <w:r>
        <w:rPr>
          <w:spacing w:val="-1"/>
        </w:rPr>
        <w:t> </w:t>
      </w:r>
      <w:r>
        <w:rPr/>
        <w:t>пробует</w:t>
      </w:r>
      <w:r>
        <w:rPr>
          <w:spacing w:val="-1"/>
        </w:rPr>
        <w:t> </w:t>
      </w:r>
      <w:r>
        <w:rPr/>
        <w:t>новые</w:t>
      </w:r>
      <w:r>
        <w:rPr>
          <w:spacing w:val="-1"/>
        </w:rPr>
        <w:t> </w:t>
      </w:r>
      <w:r>
        <w:rPr/>
        <w:t>поведен- ческие</w:t>
      </w:r>
      <w:r>
        <w:rPr>
          <w:spacing w:val="-6"/>
        </w:rPr>
        <w:t> </w:t>
      </w:r>
      <w:r>
        <w:rPr/>
        <w:t>модели.</w:t>
      </w:r>
      <w:r>
        <w:rPr>
          <w:spacing w:val="-6"/>
        </w:rPr>
        <w:t> </w:t>
      </w:r>
      <w:r>
        <w:rPr/>
        <w:t>Ролевое</w:t>
      </w:r>
      <w:r>
        <w:rPr>
          <w:spacing w:val="-6"/>
        </w:rPr>
        <w:t> </w:t>
      </w:r>
      <w:r>
        <w:rPr/>
        <w:t>моделирование</w:t>
      </w:r>
      <w:r>
        <w:rPr>
          <w:spacing w:val="-6"/>
        </w:rPr>
        <w:t> </w:t>
      </w:r>
      <w:r>
        <w:rPr/>
        <w:t>предполагает</w:t>
      </w:r>
      <w:r>
        <w:rPr>
          <w:spacing w:val="-6"/>
        </w:rPr>
        <w:t> </w:t>
      </w:r>
      <w:r>
        <w:rPr/>
        <w:t>отыгрывание</w:t>
      </w:r>
      <w:r>
        <w:rPr>
          <w:spacing w:val="-6"/>
        </w:rPr>
        <w:t> </w:t>
      </w:r>
      <w:r>
        <w:rPr/>
        <w:t>представляющих сложность</w:t>
      </w:r>
      <w:r>
        <w:rPr>
          <w:spacing w:val="-13"/>
        </w:rPr>
        <w:t> </w:t>
      </w:r>
      <w:r>
        <w:rPr/>
        <w:t>для</w:t>
      </w:r>
      <w:r>
        <w:rPr>
          <w:spacing w:val="-12"/>
        </w:rPr>
        <w:t> </w:t>
      </w:r>
      <w:r>
        <w:rPr/>
        <w:t>ребенка-мигранта</w:t>
      </w:r>
      <w:r>
        <w:rPr>
          <w:spacing w:val="-13"/>
        </w:rPr>
        <w:t> </w:t>
      </w:r>
      <w:r>
        <w:rPr/>
        <w:t>ситуаций</w:t>
      </w:r>
      <w:r>
        <w:rPr>
          <w:spacing w:val="-12"/>
        </w:rPr>
        <w:t> </w:t>
      </w:r>
      <w:r>
        <w:rPr/>
        <w:t>повседневного</w:t>
      </w:r>
      <w:r>
        <w:rPr>
          <w:spacing w:val="-13"/>
        </w:rPr>
        <w:t> </w:t>
      </w:r>
      <w:r>
        <w:rPr/>
        <w:t>взаимодействия</w:t>
      </w:r>
      <w:r>
        <w:rPr>
          <w:spacing w:val="-12"/>
        </w:rPr>
        <w:t> </w:t>
      </w:r>
      <w:r>
        <w:rPr/>
        <w:t>с</w:t>
      </w:r>
      <w:r>
        <w:rPr>
          <w:spacing w:val="-13"/>
        </w:rPr>
        <w:t> </w:t>
      </w:r>
      <w:r>
        <w:rPr/>
        <w:t>ровесни- ками и взрослыми.</w:t>
      </w:r>
    </w:p>
    <w:p>
      <w:pPr>
        <w:pStyle w:val="BodyText"/>
        <w:spacing w:line="232" w:lineRule="auto" w:before="5"/>
      </w:pPr>
      <w:r>
        <w:rPr>
          <w:b/>
        </w:rPr>
        <w:t>Сильные стороны практики</w:t>
      </w:r>
      <w:r>
        <w:rPr/>
        <w:t>. </w:t>
      </w:r>
      <w:r>
        <w:rPr>
          <w:color w:val="231F20"/>
        </w:rPr>
        <w:t>Как и в ходе ролевой игры, психолог имеет воз- можность выявить социальные навыки ученика-мигранта и содействовать форми- рованию</w:t>
      </w:r>
      <w:r>
        <w:rPr>
          <w:color w:val="231F20"/>
          <w:spacing w:val="-6"/>
        </w:rPr>
        <w:t> </w:t>
      </w:r>
      <w:r>
        <w:rPr>
          <w:color w:val="231F20"/>
        </w:rPr>
        <w:t>новых,</w:t>
      </w:r>
      <w:r>
        <w:rPr>
          <w:color w:val="231F20"/>
          <w:spacing w:val="-6"/>
        </w:rPr>
        <w:t> </w:t>
      </w:r>
      <w:r>
        <w:rPr>
          <w:color w:val="231F20"/>
        </w:rPr>
        <w:t>культурно</w:t>
      </w:r>
      <w:r>
        <w:rPr>
          <w:color w:val="231F20"/>
          <w:spacing w:val="-6"/>
        </w:rPr>
        <w:t> </w:t>
      </w:r>
      <w:r>
        <w:rPr>
          <w:color w:val="231F20"/>
        </w:rPr>
        <w:t>релевантных</w:t>
      </w:r>
      <w:r>
        <w:rPr>
          <w:color w:val="231F20"/>
          <w:spacing w:val="-6"/>
        </w:rPr>
        <w:t> </w:t>
      </w:r>
      <w:r>
        <w:rPr>
          <w:color w:val="231F20"/>
        </w:rPr>
        <w:t>навыков.</w:t>
      </w:r>
      <w:r>
        <w:rPr>
          <w:color w:val="231F20"/>
          <w:spacing w:val="-6"/>
        </w:rPr>
        <w:t> </w:t>
      </w:r>
      <w:r>
        <w:rPr>
          <w:color w:val="231F20"/>
        </w:rPr>
        <w:t>Ролевое</w:t>
      </w:r>
      <w:r>
        <w:rPr>
          <w:color w:val="231F20"/>
          <w:spacing w:val="-6"/>
        </w:rPr>
        <w:t> </w:t>
      </w:r>
      <w:r>
        <w:rPr>
          <w:color w:val="231F20"/>
        </w:rPr>
        <w:t>моделирование</w:t>
      </w:r>
      <w:r>
        <w:rPr>
          <w:color w:val="231F20"/>
          <w:spacing w:val="-6"/>
        </w:rPr>
        <w:t> </w:t>
      </w:r>
      <w:r>
        <w:rPr>
          <w:color w:val="231F20"/>
        </w:rPr>
        <w:t>позволяет ребенку</w:t>
      </w:r>
      <w:r>
        <w:rPr>
          <w:color w:val="231F20"/>
          <w:spacing w:val="-13"/>
        </w:rPr>
        <w:t> </w:t>
      </w:r>
      <w:r>
        <w:rPr>
          <w:color w:val="231F20"/>
        </w:rPr>
        <w:t>в</w:t>
      </w:r>
      <w:r>
        <w:rPr>
          <w:color w:val="231F20"/>
          <w:spacing w:val="-12"/>
        </w:rPr>
        <w:t> </w:t>
      </w:r>
      <w:r>
        <w:rPr>
          <w:color w:val="231F20"/>
        </w:rPr>
        <w:t>комфортной</w:t>
      </w:r>
      <w:r>
        <w:rPr>
          <w:color w:val="231F20"/>
          <w:spacing w:val="-13"/>
        </w:rPr>
        <w:t> </w:t>
      </w:r>
      <w:r>
        <w:rPr>
          <w:color w:val="231F20"/>
        </w:rPr>
        <w:t>и</w:t>
      </w:r>
      <w:r>
        <w:rPr>
          <w:color w:val="231F20"/>
          <w:spacing w:val="-12"/>
        </w:rPr>
        <w:t> </w:t>
      </w:r>
      <w:r>
        <w:rPr>
          <w:color w:val="231F20"/>
        </w:rPr>
        <w:t>безопасной</w:t>
      </w:r>
      <w:r>
        <w:rPr>
          <w:color w:val="231F20"/>
          <w:spacing w:val="-13"/>
        </w:rPr>
        <w:t> </w:t>
      </w:r>
      <w:r>
        <w:rPr>
          <w:color w:val="231F20"/>
        </w:rPr>
        <w:t>форме</w:t>
      </w:r>
      <w:r>
        <w:rPr>
          <w:color w:val="231F20"/>
          <w:spacing w:val="-12"/>
        </w:rPr>
        <w:t> </w:t>
      </w:r>
      <w:r>
        <w:rPr>
          <w:color w:val="231F20"/>
        </w:rPr>
        <w:t>попрактиковаться</w:t>
      </w:r>
      <w:r>
        <w:rPr>
          <w:color w:val="231F20"/>
          <w:spacing w:val="-13"/>
        </w:rPr>
        <w:t> </w:t>
      </w:r>
      <w:r>
        <w:rPr>
          <w:color w:val="231F20"/>
        </w:rPr>
        <w:t>в</w:t>
      </w:r>
      <w:r>
        <w:rPr>
          <w:color w:val="231F20"/>
          <w:spacing w:val="-12"/>
        </w:rPr>
        <w:t> </w:t>
      </w:r>
      <w:r>
        <w:rPr>
          <w:color w:val="231F20"/>
        </w:rPr>
        <w:t>использовании</w:t>
      </w:r>
      <w:r>
        <w:rPr>
          <w:color w:val="231F20"/>
          <w:spacing w:val="-13"/>
        </w:rPr>
        <w:t> </w:t>
      </w:r>
      <w:r>
        <w:rPr>
          <w:color w:val="231F20"/>
        </w:rPr>
        <w:t>новых поведенческих моделей. Ролевое моделирование может проводиться многократно, оно дает возможность проработать широкий спектр ситуаций социального взаимо- </w:t>
      </w:r>
      <w:r>
        <w:rPr>
          <w:color w:val="231F20"/>
          <w:spacing w:val="-2"/>
        </w:rPr>
        <w:t>действия.</w:t>
      </w:r>
    </w:p>
    <w:p>
      <w:pPr>
        <w:pStyle w:val="BodyText"/>
        <w:spacing w:line="232" w:lineRule="auto" w:before="7"/>
        <w:ind w:right="140"/>
      </w:pPr>
      <w:r>
        <w:rPr>
          <w:b/>
        </w:rPr>
        <w:t>Требования</w:t>
      </w:r>
      <w:r>
        <w:rPr>
          <w:b/>
          <w:spacing w:val="-1"/>
        </w:rPr>
        <w:t> </w:t>
      </w:r>
      <w:r>
        <w:rPr>
          <w:b/>
        </w:rPr>
        <w:t>к</w:t>
      </w:r>
      <w:r>
        <w:rPr>
          <w:b/>
          <w:spacing w:val="-2"/>
        </w:rPr>
        <w:t> </w:t>
      </w:r>
      <w:r>
        <w:rPr>
          <w:b/>
        </w:rPr>
        <w:t>проведению.</w:t>
      </w:r>
      <w:r>
        <w:rPr>
          <w:b/>
          <w:spacing w:val="-2"/>
        </w:rPr>
        <w:t> </w:t>
      </w:r>
      <w:r>
        <w:rPr/>
        <w:t>Особых</w:t>
      </w:r>
      <w:r>
        <w:rPr>
          <w:spacing w:val="-2"/>
        </w:rPr>
        <w:t> </w:t>
      </w:r>
      <w:r>
        <w:rPr/>
        <w:t>требований</w:t>
      </w:r>
      <w:r>
        <w:rPr>
          <w:spacing w:val="-1"/>
        </w:rPr>
        <w:t> </w:t>
      </w:r>
      <w:r>
        <w:rPr/>
        <w:t>к</w:t>
      </w:r>
      <w:r>
        <w:rPr>
          <w:spacing w:val="-2"/>
        </w:rPr>
        <w:t> </w:t>
      </w:r>
      <w:r>
        <w:rPr/>
        <w:t>проведению,</w:t>
      </w:r>
      <w:r>
        <w:rPr>
          <w:spacing w:val="-1"/>
        </w:rPr>
        <w:t> </w:t>
      </w:r>
      <w:r>
        <w:rPr/>
        <w:t>помимо</w:t>
      </w:r>
      <w:r>
        <w:rPr>
          <w:spacing w:val="-2"/>
        </w:rPr>
        <w:t> </w:t>
      </w:r>
      <w:r>
        <w:rPr/>
        <w:t>наличия помещения</w:t>
      </w:r>
      <w:r>
        <w:rPr>
          <w:spacing w:val="-3"/>
        </w:rPr>
        <w:t> </w:t>
      </w:r>
      <w:r>
        <w:rPr/>
        <w:t>для</w:t>
      </w:r>
      <w:r>
        <w:rPr>
          <w:spacing w:val="-3"/>
        </w:rPr>
        <w:t> </w:t>
      </w:r>
      <w:r>
        <w:rPr/>
        <w:t>индивидуальной</w:t>
      </w:r>
      <w:r>
        <w:rPr>
          <w:spacing w:val="-3"/>
        </w:rPr>
        <w:t> </w:t>
      </w:r>
      <w:r>
        <w:rPr/>
        <w:t>работы,</w:t>
      </w:r>
      <w:r>
        <w:rPr>
          <w:spacing w:val="-3"/>
        </w:rPr>
        <w:t> </w:t>
      </w:r>
      <w:r>
        <w:rPr/>
        <w:t>не</w:t>
      </w:r>
      <w:r>
        <w:rPr>
          <w:spacing w:val="-3"/>
        </w:rPr>
        <w:t> </w:t>
      </w:r>
      <w:r>
        <w:rPr/>
        <w:t>имеется,</w:t>
      </w:r>
      <w:r>
        <w:rPr>
          <w:spacing w:val="-3"/>
        </w:rPr>
        <w:t> </w:t>
      </w:r>
      <w:r>
        <w:rPr/>
        <w:t>однако</w:t>
      </w:r>
      <w:r>
        <w:rPr>
          <w:spacing w:val="-3"/>
        </w:rPr>
        <w:t> </w:t>
      </w:r>
      <w:r>
        <w:rPr/>
        <w:t>ролевое</w:t>
      </w:r>
      <w:r>
        <w:rPr>
          <w:spacing w:val="-3"/>
        </w:rPr>
        <w:t> </w:t>
      </w:r>
      <w:r>
        <w:rPr/>
        <w:t>моделирование требует достаточно высокого уровня владения русским языком у ребенка-мигранта.</w:t>
      </w:r>
    </w:p>
    <w:p>
      <w:pPr>
        <w:pStyle w:val="BodyText"/>
        <w:spacing w:line="232" w:lineRule="auto" w:before="2"/>
      </w:pPr>
      <w:r>
        <w:rPr>
          <w:b/>
        </w:rPr>
        <w:t>Доказательность практики</w:t>
      </w:r>
      <w:r>
        <w:rPr/>
        <w:t>. Эмпирические исследования показывают, что ин- тервенции,</w:t>
      </w:r>
      <w:r>
        <w:rPr>
          <w:spacing w:val="-3"/>
        </w:rPr>
        <w:t> </w:t>
      </w:r>
      <w:r>
        <w:rPr/>
        <w:t>основанные</w:t>
      </w:r>
      <w:r>
        <w:rPr>
          <w:spacing w:val="-3"/>
        </w:rPr>
        <w:t> </w:t>
      </w:r>
      <w:r>
        <w:rPr/>
        <w:t>на</w:t>
      </w:r>
      <w:r>
        <w:rPr>
          <w:spacing w:val="-3"/>
        </w:rPr>
        <w:t> </w:t>
      </w:r>
      <w:r>
        <w:rPr/>
        <w:t>модификации</w:t>
      </w:r>
      <w:r>
        <w:rPr>
          <w:spacing w:val="-3"/>
        </w:rPr>
        <w:t> </w:t>
      </w:r>
      <w:r>
        <w:rPr/>
        <w:t>поведения</w:t>
      </w:r>
      <w:r>
        <w:rPr>
          <w:spacing w:val="-3"/>
        </w:rPr>
        <w:t> </w:t>
      </w:r>
      <w:r>
        <w:rPr/>
        <w:t>учащихся-мигрантов,</w:t>
      </w:r>
      <w:r>
        <w:rPr>
          <w:spacing w:val="-3"/>
        </w:rPr>
        <w:t> </w:t>
      </w:r>
      <w:r>
        <w:rPr/>
        <w:t>эффектив- но решают проблемы их адаптации (</w:t>
      </w:r>
      <w:r>
        <w:rPr>
          <w:color w:val="231F20"/>
        </w:rPr>
        <w:t>Ogden, Sørlie, &amp; Hagen, 2007</w:t>
      </w:r>
      <w:r>
        <w:rPr/>
        <w:t>).</w:t>
      </w:r>
    </w:p>
    <w:p>
      <w:pPr>
        <w:spacing w:line="227" w:lineRule="exact" w:before="111"/>
        <w:ind w:left="425" w:right="0" w:firstLine="0"/>
        <w:jc w:val="both"/>
        <w:rPr>
          <w:b/>
          <w:sz w:val="20"/>
        </w:rPr>
      </w:pPr>
      <w:r>
        <w:rPr>
          <w:b/>
          <w:color w:val="231F20"/>
          <w:spacing w:val="-2"/>
          <w:sz w:val="20"/>
        </w:rPr>
        <w:t>Последовательность</w:t>
      </w:r>
      <w:r>
        <w:rPr>
          <w:b/>
          <w:color w:val="231F20"/>
          <w:spacing w:val="21"/>
          <w:sz w:val="20"/>
        </w:rPr>
        <w:t> </w:t>
      </w:r>
      <w:r>
        <w:rPr>
          <w:b/>
          <w:color w:val="231F20"/>
          <w:spacing w:val="-2"/>
          <w:sz w:val="20"/>
        </w:rPr>
        <w:t>проведения</w:t>
      </w:r>
    </w:p>
    <w:p>
      <w:pPr>
        <w:pStyle w:val="ListParagraph"/>
        <w:numPr>
          <w:ilvl w:val="0"/>
          <w:numId w:val="223"/>
        </w:numPr>
        <w:tabs>
          <w:tab w:pos="425" w:val="left" w:leader="none"/>
        </w:tabs>
        <w:spacing w:line="232" w:lineRule="auto" w:before="2" w:after="0"/>
        <w:ind w:left="425" w:right="139" w:hanging="284"/>
        <w:jc w:val="both"/>
        <w:rPr>
          <w:sz w:val="20"/>
        </w:rPr>
      </w:pPr>
      <w:r>
        <w:rPr>
          <w:color w:val="231F20"/>
          <w:sz w:val="20"/>
        </w:rPr>
        <w:t>Психолог</w:t>
      </w:r>
      <w:r>
        <w:rPr>
          <w:color w:val="231F20"/>
          <w:spacing w:val="-8"/>
          <w:sz w:val="20"/>
        </w:rPr>
        <w:t> </w:t>
      </w:r>
      <w:r>
        <w:rPr>
          <w:color w:val="231F20"/>
          <w:sz w:val="20"/>
        </w:rPr>
        <w:t>просит</w:t>
      </w:r>
      <w:r>
        <w:rPr>
          <w:color w:val="231F20"/>
          <w:spacing w:val="-8"/>
          <w:sz w:val="20"/>
        </w:rPr>
        <w:t> </w:t>
      </w:r>
      <w:r>
        <w:rPr>
          <w:color w:val="231F20"/>
          <w:sz w:val="20"/>
        </w:rPr>
        <w:t>ребенка</w:t>
      </w:r>
      <w:r>
        <w:rPr>
          <w:color w:val="231F20"/>
          <w:spacing w:val="-8"/>
          <w:sz w:val="20"/>
        </w:rPr>
        <w:t> </w:t>
      </w:r>
      <w:r>
        <w:rPr>
          <w:color w:val="231F20"/>
          <w:sz w:val="20"/>
        </w:rPr>
        <w:t>назвать</w:t>
      </w:r>
      <w:r>
        <w:rPr>
          <w:color w:val="231F20"/>
          <w:spacing w:val="-8"/>
          <w:sz w:val="20"/>
        </w:rPr>
        <w:t> </w:t>
      </w:r>
      <w:r>
        <w:rPr>
          <w:color w:val="231F20"/>
          <w:sz w:val="20"/>
        </w:rPr>
        <w:t>ситуацию,</w:t>
      </w:r>
      <w:r>
        <w:rPr>
          <w:color w:val="231F20"/>
          <w:spacing w:val="-8"/>
          <w:sz w:val="20"/>
        </w:rPr>
        <w:t> </w:t>
      </w:r>
      <w:r>
        <w:rPr>
          <w:color w:val="231F20"/>
          <w:sz w:val="20"/>
        </w:rPr>
        <w:t>вызывающую</w:t>
      </w:r>
      <w:r>
        <w:rPr>
          <w:color w:val="231F20"/>
          <w:spacing w:val="-8"/>
          <w:sz w:val="20"/>
        </w:rPr>
        <w:t> </w:t>
      </w:r>
      <w:r>
        <w:rPr>
          <w:color w:val="231F20"/>
          <w:sz w:val="20"/>
        </w:rPr>
        <w:t>наибольшие</w:t>
      </w:r>
      <w:r>
        <w:rPr>
          <w:color w:val="231F20"/>
          <w:spacing w:val="-8"/>
          <w:sz w:val="20"/>
        </w:rPr>
        <w:t> </w:t>
      </w:r>
      <w:r>
        <w:rPr>
          <w:color w:val="231F20"/>
          <w:sz w:val="20"/>
        </w:rPr>
        <w:t>затрудне- ния</w:t>
      </w:r>
      <w:r>
        <w:rPr>
          <w:color w:val="231F20"/>
          <w:spacing w:val="-2"/>
          <w:sz w:val="20"/>
        </w:rPr>
        <w:t> </w:t>
      </w:r>
      <w:r>
        <w:rPr>
          <w:color w:val="231F20"/>
          <w:sz w:val="20"/>
        </w:rPr>
        <w:t>в</w:t>
      </w:r>
      <w:r>
        <w:rPr>
          <w:color w:val="231F20"/>
          <w:spacing w:val="-3"/>
          <w:sz w:val="20"/>
        </w:rPr>
        <w:t> </w:t>
      </w:r>
      <w:r>
        <w:rPr>
          <w:color w:val="231F20"/>
          <w:sz w:val="20"/>
        </w:rPr>
        <w:t>общении.</w:t>
      </w:r>
      <w:r>
        <w:rPr>
          <w:color w:val="231F20"/>
          <w:spacing w:val="-3"/>
          <w:sz w:val="20"/>
        </w:rPr>
        <w:t> </w:t>
      </w:r>
      <w:r>
        <w:rPr>
          <w:color w:val="231F20"/>
          <w:sz w:val="20"/>
        </w:rPr>
        <w:t>В</w:t>
      </w:r>
      <w:r>
        <w:rPr>
          <w:color w:val="231F20"/>
          <w:spacing w:val="-3"/>
          <w:sz w:val="20"/>
        </w:rPr>
        <w:t> </w:t>
      </w:r>
      <w:r>
        <w:rPr>
          <w:color w:val="231F20"/>
          <w:sz w:val="20"/>
        </w:rPr>
        <w:t>некоторых</w:t>
      </w:r>
      <w:r>
        <w:rPr>
          <w:color w:val="231F20"/>
          <w:spacing w:val="-3"/>
          <w:sz w:val="20"/>
        </w:rPr>
        <w:t> </w:t>
      </w:r>
      <w:r>
        <w:rPr>
          <w:color w:val="231F20"/>
          <w:sz w:val="20"/>
        </w:rPr>
        <w:t>случаях</w:t>
      </w:r>
      <w:r>
        <w:rPr>
          <w:color w:val="231F20"/>
          <w:spacing w:val="-3"/>
          <w:sz w:val="20"/>
        </w:rPr>
        <w:t> </w:t>
      </w:r>
      <w:r>
        <w:rPr>
          <w:color w:val="231F20"/>
          <w:sz w:val="20"/>
        </w:rPr>
        <w:t>она</w:t>
      </w:r>
      <w:r>
        <w:rPr>
          <w:color w:val="231F20"/>
          <w:spacing w:val="-2"/>
          <w:sz w:val="20"/>
        </w:rPr>
        <w:t> </w:t>
      </w:r>
      <w:r>
        <w:rPr>
          <w:color w:val="231F20"/>
          <w:sz w:val="20"/>
        </w:rPr>
        <w:t>вырисовывается</w:t>
      </w:r>
      <w:r>
        <w:rPr>
          <w:color w:val="231F20"/>
          <w:spacing w:val="-3"/>
          <w:sz w:val="20"/>
        </w:rPr>
        <w:t> </w:t>
      </w:r>
      <w:r>
        <w:rPr>
          <w:color w:val="231F20"/>
          <w:sz w:val="20"/>
        </w:rPr>
        <w:t>на</w:t>
      </w:r>
      <w:r>
        <w:rPr>
          <w:color w:val="231F20"/>
          <w:spacing w:val="-2"/>
          <w:sz w:val="20"/>
        </w:rPr>
        <w:t> </w:t>
      </w:r>
      <w:r>
        <w:rPr>
          <w:color w:val="231F20"/>
          <w:sz w:val="20"/>
        </w:rPr>
        <w:t>предыдущих</w:t>
      </w:r>
      <w:r>
        <w:rPr>
          <w:color w:val="231F20"/>
          <w:spacing w:val="-3"/>
          <w:sz w:val="20"/>
        </w:rPr>
        <w:t> </w:t>
      </w:r>
      <w:r>
        <w:rPr>
          <w:color w:val="231F20"/>
          <w:sz w:val="20"/>
        </w:rPr>
        <w:t>этапах работы. Если ребенок затрудняется назвать ситуацию, ее может предложить сам психолог. Это может быть также ситуация, с которой ребенок не сталкивался, но это ему предстоит (например, нужно подойти к учителю и попросить дополни- тельное задание) или его пугает возможность появления такой ситуации (напри- мер, вдруг учитель что-то скажет, чего он не поймет).</w:t>
      </w:r>
    </w:p>
    <w:p>
      <w:pPr>
        <w:pStyle w:val="ListParagraph"/>
        <w:numPr>
          <w:ilvl w:val="0"/>
          <w:numId w:val="223"/>
        </w:numPr>
        <w:tabs>
          <w:tab w:pos="425" w:val="left" w:leader="none"/>
        </w:tabs>
        <w:spacing w:line="232" w:lineRule="auto" w:before="7" w:after="0"/>
        <w:ind w:left="425" w:right="139" w:hanging="284"/>
        <w:jc w:val="both"/>
        <w:rPr>
          <w:sz w:val="20"/>
        </w:rPr>
      </w:pPr>
      <w:r>
        <w:rPr>
          <w:color w:val="231F20"/>
          <w:sz w:val="20"/>
        </w:rPr>
        <w:t>Психолог и ребенок обсуждают типичное протекание данной ситуации: как она начинается,</w:t>
      </w:r>
      <w:r>
        <w:rPr>
          <w:color w:val="231F20"/>
          <w:spacing w:val="-13"/>
          <w:sz w:val="20"/>
        </w:rPr>
        <w:t> </w:t>
      </w:r>
      <w:r>
        <w:rPr>
          <w:color w:val="231F20"/>
          <w:sz w:val="20"/>
        </w:rPr>
        <w:t>как</w:t>
      </w:r>
      <w:r>
        <w:rPr>
          <w:color w:val="231F20"/>
          <w:spacing w:val="-12"/>
          <w:sz w:val="20"/>
        </w:rPr>
        <w:t> </w:t>
      </w:r>
      <w:r>
        <w:rPr>
          <w:color w:val="231F20"/>
          <w:sz w:val="20"/>
        </w:rPr>
        <w:t>реагирует</w:t>
      </w:r>
      <w:r>
        <w:rPr>
          <w:color w:val="231F20"/>
          <w:spacing w:val="-13"/>
          <w:sz w:val="20"/>
        </w:rPr>
        <w:t> </w:t>
      </w:r>
      <w:r>
        <w:rPr>
          <w:color w:val="231F20"/>
          <w:sz w:val="20"/>
        </w:rPr>
        <w:t>участник</w:t>
      </w:r>
      <w:r>
        <w:rPr>
          <w:color w:val="231F20"/>
          <w:spacing w:val="-12"/>
          <w:sz w:val="20"/>
        </w:rPr>
        <w:t> </w:t>
      </w:r>
      <w:r>
        <w:rPr>
          <w:color w:val="231F20"/>
          <w:sz w:val="20"/>
        </w:rPr>
        <w:t>общения,</w:t>
      </w:r>
      <w:r>
        <w:rPr>
          <w:color w:val="231F20"/>
          <w:spacing w:val="-13"/>
          <w:sz w:val="20"/>
        </w:rPr>
        <w:t> </w:t>
      </w:r>
      <w:r>
        <w:rPr>
          <w:color w:val="231F20"/>
          <w:sz w:val="20"/>
        </w:rPr>
        <w:t>чем</w:t>
      </w:r>
      <w:r>
        <w:rPr>
          <w:color w:val="231F20"/>
          <w:spacing w:val="-12"/>
          <w:sz w:val="20"/>
        </w:rPr>
        <w:t> </w:t>
      </w:r>
      <w:r>
        <w:rPr>
          <w:color w:val="231F20"/>
          <w:sz w:val="20"/>
        </w:rPr>
        <w:t>обычно</w:t>
      </w:r>
      <w:r>
        <w:rPr>
          <w:color w:val="231F20"/>
          <w:spacing w:val="-13"/>
          <w:sz w:val="20"/>
        </w:rPr>
        <w:t> </w:t>
      </w:r>
      <w:r>
        <w:rPr>
          <w:color w:val="231F20"/>
          <w:sz w:val="20"/>
        </w:rPr>
        <w:t>все</w:t>
      </w:r>
      <w:r>
        <w:rPr>
          <w:color w:val="231F20"/>
          <w:spacing w:val="-12"/>
          <w:sz w:val="20"/>
        </w:rPr>
        <w:t> </w:t>
      </w:r>
      <w:r>
        <w:rPr>
          <w:color w:val="231F20"/>
          <w:sz w:val="20"/>
        </w:rPr>
        <w:t>заканчивается.</w:t>
      </w:r>
      <w:r>
        <w:rPr>
          <w:color w:val="231F20"/>
          <w:spacing w:val="-13"/>
          <w:sz w:val="20"/>
        </w:rPr>
        <w:t> </w:t>
      </w:r>
      <w:r>
        <w:rPr>
          <w:color w:val="231F20"/>
          <w:sz w:val="20"/>
        </w:rPr>
        <w:t>Если ситуация</w:t>
      </w:r>
      <w:r>
        <w:rPr>
          <w:color w:val="231F20"/>
          <w:spacing w:val="-4"/>
          <w:sz w:val="20"/>
        </w:rPr>
        <w:t> </w:t>
      </w:r>
      <w:r>
        <w:rPr>
          <w:color w:val="231F20"/>
          <w:sz w:val="20"/>
        </w:rPr>
        <w:t>гипотетическая,</w:t>
      </w:r>
      <w:r>
        <w:rPr>
          <w:color w:val="231F20"/>
          <w:spacing w:val="-5"/>
          <w:sz w:val="20"/>
        </w:rPr>
        <w:t> </w:t>
      </w:r>
      <w:r>
        <w:rPr>
          <w:color w:val="231F20"/>
          <w:sz w:val="20"/>
        </w:rPr>
        <w:t>психолог</w:t>
      </w:r>
      <w:r>
        <w:rPr>
          <w:color w:val="231F20"/>
          <w:spacing w:val="-4"/>
          <w:sz w:val="20"/>
        </w:rPr>
        <w:t> </w:t>
      </w:r>
      <w:r>
        <w:rPr>
          <w:color w:val="231F20"/>
          <w:sz w:val="20"/>
        </w:rPr>
        <w:t>может</w:t>
      </w:r>
      <w:r>
        <w:rPr>
          <w:color w:val="231F20"/>
          <w:spacing w:val="-5"/>
          <w:sz w:val="20"/>
        </w:rPr>
        <w:t> </w:t>
      </w:r>
      <w:r>
        <w:rPr>
          <w:color w:val="231F20"/>
          <w:sz w:val="20"/>
        </w:rPr>
        <w:t>спросить</w:t>
      </w:r>
      <w:r>
        <w:rPr>
          <w:color w:val="231F20"/>
          <w:spacing w:val="-5"/>
          <w:sz w:val="20"/>
        </w:rPr>
        <w:t> </w:t>
      </w:r>
      <w:r>
        <w:rPr>
          <w:color w:val="231F20"/>
          <w:sz w:val="20"/>
        </w:rPr>
        <w:t>ребенка,</w:t>
      </w:r>
      <w:r>
        <w:rPr>
          <w:color w:val="231F20"/>
          <w:spacing w:val="-4"/>
          <w:sz w:val="20"/>
        </w:rPr>
        <w:t> </w:t>
      </w:r>
      <w:r>
        <w:rPr>
          <w:color w:val="231F20"/>
          <w:sz w:val="20"/>
        </w:rPr>
        <w:t>как,</w:t>
      </w:r>
      <w:r>
        <w:rPr>
          <w:color w:val="231F20"/>
          <w:spacing w:val="-4"/>
          <w:sz w:val="20"/>
        </w:rPr>
        <w:t> </w:t>
      </w:r>
      <w:r>
        <w:rPr>
          <w:color w:val="231F20"/>
          <w:sz w:val="20"/>
        </w:rPr>
        <w:t>с</w:t>
      </w:r>
      <w:r>
        <w:rPr>
          <w:color w:val="231F20"/>
          <w:spacing w:val="-4"/>
          <w:sz w:val="20"/>
        </w:rPr>
        <w:t> </w:t>
      </w:r>
      <w:r>
        <w:rPr>
          <w:color w:val="231F20"/>
          <w:sz w:val="20"/>
        </w:rPr>
        <w:t>его</w:t>
      </w:r>
      <w:r>
        <w:rPr>
          <w:color w:val="231F20"/>
          <w:spacing w:val="-5"/>
          <w:sz w:val="20"/>
        </w:rPr>
        <w:t> </w:t>
      </w:r>
      <w:r>
        <w:rPr>
          <w:color w:val="231F20"/>
          <w:sz w:val="20"/>
        </w:rPr>
        <w:t>точки</w:t>
      </w:r>
      <w:r>
        <w:rPr>
          <w:color w:val="231F20"/>
          <w:spacing w:val="-5"/>
          <w:sz w:val="20"/>
        </w:rPr>
        <w:t> </w:t>
      </w:r>
      <w:r>
        <w:rPr>
          <w:color w:val="231F20"/>
          <w:sz w:val="20"/>
        </w:rPr>
        <w:t>зре- </w:t>
      </w:r>
      <w:r>
        <w:rPr>
          <w:color w:val="231F20"/>
          <w:spacing w:val="-2"/>
          <w:sz w:val="20"/>
        </w:rPr>
        <w:t>ния,</w:t>
      </w:r>
      <w:r>
        <w:rPr>
          <w:color w:val="231F20"/>
          <w:spacing w:val="-3"/>
          <w:sz w:val="20"/>
        </w:rPr>
        <w:t> </w:t>
      </w:r>
      <w:r>
        <w:rPr>
          <w:color w:val="231F20"/>
          <w:spacing w:val="-2"/>
          <w:sz w:val="20"/>
        </w:rPr>
        <w:t>она</w:t>
      </w:r>
      <w:r>
        <w:rPr>
          <w:color w:val="231F20"/>
          <w:spacing w:val="-3"/>
          <w:sz w:val="20"/>
        </w:rPr>
        <w:t> </w:t>
      </w:r>
      <w:r>
        <w:rPr>
          <w:color w:val="231F20"/>
          <w:spacing w:val="-2"/>
          <w:sz w:val="20"/>
        </w:rPr>
        <w:t>может</w:t>
      </w:r>
      <w:r>
        <w:rPr>
          <w:color w:val="231F20"/>
          <w:spacing w:val="-3"/>
          <w:sz w:val="20"/>
        </w:rPr>
        <w:t> </w:t>
      </w:r>
      <w:r>
        <w:rPr>
          <w:color w:val="231F20"/>
          <w:spacing w:val="-2"/>
          <w:sz w:val="20"/>
        </w:rPr>
        <w:t>развиваться,</w:t>
      </w:r>
      <w:r>
        <w:rPr>
          <w:color w:val="231F20"/>
          <w:spacing w:val="-3"/>
          <w:sz w:val="20"/>
        </w:rPr>
        <w:t> </w:t>
      </w:r>
      <w:r>
        <w:rPr>
          <w:color w:val="231F20"/>
          <w:spacing w:val="-2"/>
          <w:sz w:val="20"/>
        </w:rPr>
        <w:t>что</w:t>
      </w:r>
      <w:r>
        <w:rPr>
          <w:color w:val="231F20"/>
          <w:spacing w:val="-3"/>
          <w:sz w:val="20"/>
        </w:rPr>
        <w:t> </w:t>
      </w:r>
      <w:r>
        <w:rPr>
          <w:color w:val="231F20"/>
          <w:spacing w:val="-2"/>
          <w:sz w:val="20"/>
        </w:rPr>
        <w:t>может</w:t>
      </w:r>
      <w:r>
        <w:rPr>
          <w:color w:val="231F20"/>
          <w:spacing w:val="-3"/>
          <w:sz w:val="20"/>
        </w:rPr>
        <w:t> </w:t>
      </w:r>
      <w:r>
        <w:rPr>
          <w:color w:val="231F20"/>
          <w:spacing w:val="-2"/>
          <w:sz w:val="20"/>
        </w:rPr>
        <w:t>случиться,</w:t>
      </w:r>
      <w:r>
        <w:rPr>
          <w:color w:val="231F20"/>
          <w:spacing w:val="-3"/>
          <w:sz w:val="20"/>
        </w:rPr>
        <w:t> </w:t>
      </w:r>
      <w:r>
        <w:rPr>
          <w:color w:val="231F20"/>
          <w:spacing w:val="-2"/>
          <w:sz w:val="20"/>
        </w:rPr>
        <w:t>что</w:t>
      </w:r>
      <w:r>
        <w:rPr>
          <w:color w:val="231F20"/>
          <w:spacing w:val="-3"/>
          <w:sz w:val="20"/>
        </w:rPr>
        <w:t> </w:t>
      </w:r>
      <w:r>
        <w:rPr>
          <w:color w:val="231F20"/>
          <w:spacing w:val="-2"/>
          <w:sz w:val="20"/>
        </w:rPr>
        <w:t>самое</w:t>
      </w:r>
      <w:r>
        <w:rPr>
          <w:color w:val="231F20"/>
          <w:spacing w:val="-3"/>
          <w:sz w:val="20"/>
        </w:rPr>
        <w:t> </w:t>
      </w:r>
      <w:r>
        <w:rPr>
          <w:color w:val="231F20"/>
          <w:spacing w:val="-2"/>
          <w:sz w:val="20"/>
        </w:rPr>
        <w:t>страшное</w:t>
      </w:r>
      <w:r>
        <w:rPr>
          <w:color w:val="231F20"/>
          <w:spacing w:val="-3"/>
          <w:sz w:val="20"/>
        </w:rPr>
        <w:t> </w:t>
      </w:r>
      <w:r>
        <w:rPr>
          <w:color w:val="231F20"/>
          <w:spacing w:val="-2"/>
          <w:sz w:val="20"/>
        </w:rPr>
        <w:t>произойдет.</w:t>
      </w:r>
    </w:p>
    <w:p>
      <w:pPr>
        <w:pStyle w:val="ListParagraph"/>
        <w:numPr>
          <w:ilvl w:val="0"/>
          <w:numId w:val="223"/>
        </w:numPr>
        <w:tabs>
          <w:tab w:pos="425" w:val="left" w:leader="none"/>
        </w:tabs>
        <w:spacing w:line="232" w:lineRule="auto" w:before="4" w:after="0"/>
        <w:ind w:left="425" w:right="139" w:hanging="284"/>
        <w:jc w:val="both"/>
        <w:rPr>
          <w:sz w:val="20"/>
        </w:rPr>
      </w:pPr>
      <w:r>
        <w:rPr>
          <w:color w:val="231F20"/>
          <w:sz w:val="20"/>
        </w:rPr>
        <w:t>При</w:t>
      </w:r>
      <w:r>
        <w:rPr>
          <w:color w:val="231F20"/>
          <w:spacing w:val="-7"/>
          <w:sz w:val="20"/>
        </w:rPr>
        <w:t> </w:t>
      </w:r>
      <w:r>
        <w:rPr>
          <w:color w:val="231F20"/>
          <w:sz w:val="20"/>
        </w:rPr>
        <w:t>первом</w:t>
      </w:r>
      <w:r>
        <w:rPr>
          <w:color w:val="231F20"/>
          <w:spacing w:val="-7"/>
          <w:sz w:val="20"/>
        </w:rPr>
        <w:t> </w:t>
      </w:r>
      <w:r>
        <w:rPr>
          <w:color w:val="231F20"/>
          <w:sz w:val="20"/>
        </w:rPr>
        <w:t>разыгрывании</w:t>
      </w:r>
      <w:r>
        <w:rPr>
          <w:color w:val="231F20"/>
          <w:spacing w:val="-7"/>
          <w:sz w:val="20"/>
        </w:rPr>
        <w:t> </w:t>
      </w:r>
      <w:r>
        <w:rPr>
          <w:color w:val="231F20"/>
          <w:sz w:val="20"/>
        </w:rPr>
        <w:t>ребенок</w:t>
      </w:r>
      <w:r>
        <w:rPr>
          <w:color w:val="231F20"/>
          <w:spacing w:val="-7"/>
          <w:sz w:val="20"/>
        </w:rPr>
        <w:t> </w:t>
      </w:r>
      <w:r>
        <w:rPr>
          <w:color w:val="231F20"/>
          <w:sz w:val="20"/>
        </w:rPr>
        <w:t>изображает</w:t>
      </w:r>
      <w:r>
        <w:rPr>
          <w:color w:val="231F20"/>
          <w:spacing w:val="-7"/>
          <w:sz w:val="20"/>
        </w:rPr>
        <w:t> </w:t>
      </w:r>
      <w:r>
        <w:rPr>
          <w:color w:val="231F20"/>
          <w:sz w:val="20"/>
        </w:rPr>
        <w:t>самого</w:t>
      </w:r>
      <w:r>
        <w:rPr>
          <w:color w:val="231F20"/>
          <w:spacing w:val="-7"/>
          <w:sz w:val="20"/>
        </w:rPr>
        <w:t> </w:t>
      </w:r>
      <w:r>
        <w:rPr>
          <w:color w:val="231F20"/>
          <w:sz w:val="20"/>
        </w:rPr>
        <w:t>себя,</w:t>
      </w:r>
      <w:r>
        <w:rPr>
          <w:color w:val="231F20"/>
          <w:spacing w:val="-7"/>
          <w:sz w:val="20"/>
        </w:rPr>
        <w:t> </w:t>
      </w:r>
      <w:r>
        <w:rPr>
          <w:color w:val="231F20"/>
          <w:sz w:val="20"/>
        </w:rPr>
        <w:t>а</w:t>
      </w:r>
      <w:r>
        <w:rPr>
          <w:color w:val="231F20"/>
          <w:spacing w:val="-7"/>
          <w:sz w:val="20"/>
        </w:rPr>
        <w:t> </w:t>
      </w:r>
      <w:r>
        <w:rPr>
          <w:color w:val="231F20"/>
          <w:sz w:val="20"/>
        </w:rPr>
        <w:t>психолог</w:t>
      </w:r>
      <w:r>
        <w:rPr>
          <w:color w:val="231F20"/>
          <w:spacing w:val="-7"/>
          <w:sz w:val="20"/>
        </w:rPr>
        <w:t> </w:t>
      </w:r>
      <w:r>
        <w:rPr>
          <w:color w:val="231F20"/>
          <w:sz w:val="20"/>
        </w:rPr>
        <w:t>–</w:t>
      </w:r>
      <w:r>
        <w:rPr>
          <w:color w:val="231F20"/>
          <w:spacing w:val="-7"/>
          <w:sz w:val="20"/>
        </w:rPr>
        <w:t> </w:t>
      </w:r>
      <w:r>
        <w:rPr>
          <w:color w:val="231F20"/>
          <w:sz w:val="20"/>
        </w:rPr>
        <w:t>его</w:t>
      </w:r>
      <w:r>
        <w:rPr>
          <w:color w:val="231F20"/>
          <w:spacing w:val="-7"/>
          <w:sz w:val="20"/>
        </w:rPr>
        <w:t> </w:t>
      </w:r>
      <w:r>
        <w:rPr>
          <w:color w:val="231F20"/>
          <w:sz w:val="20"/>
        </w:rPr>
        <w:t>пар- тнера.</w:t>
      </w:r>
      <w:r>
        <w:rPr>
          <w:color w:val="231F20"/>
          <w:spacing w:val="-8"/>
          <w:sz w:val="20"/>
        </w:rPr>
        <w:t> </w:t>
      </w:r>
      <w:r>
        <w:rPr>
          <w:color w:val="231F20"/>
          <w:sz w:val="20"/>
        </w:rPr>
        <w:t>Задача</w:t>
      </w:r>
      <w:r>
        <w:rPr>
          <w:color w:val="231F20"/>
          <w:spacing w:val="-8"/>
          <w:sz w:val="20"/>
        </w:rPr>
        <w:t> </w:t>
      </w:r>
      <w:r>
        <w:rPr>
          <w:color w:val="231F20"/>
          <w:sz w:val="20"/>
        </w:rPr>
        <w:t>психолога:</w:t>
      </w:r>
      <w:r>
        <w:rPr>
          <w:color w:val="231F20"/>
          <w:spacing w:val="-8"/>
          <w:sz w:val="20"/>
        </w:rPr>
        <w:t> </w:t>
      </w:r>
      <w:r>
        <w:rPr>
          <w:color w:val="231F20"/>
          <w:sz w:val="20"/>
        </w:rPr>
        <w:t>максимально</w:t>
      </w:r>
      <w:r>
        <w:rPr>
          <w:color w:val="231F20"/>
          <w:spacing w:val="-8"/>
          <w:sz w:val="20"/>
        </w:rPr>
        <w:t> </w:t>
      </w:r>
      <w:r>
        <w:rPr>
          <w:color w:val="231F20"/>
          <w:sz w:val="20"/>
        </w:rPr>
        <w:t>точно</w:t>
      </w:r>
      <w:r>
        <w:rPr>
          <w:color w:val="231F20"/>
          <w:spacing w:val="-8"/>
          <w:sz w:val="20"/>
        </w:rPr>
        <w:t> </w:t>
      </w:r>
      <w:r>
        <w:rPr>
          <w:color w:val="231F20"/>
          <w:sz w:val="20"/>
        </w:rPr>
        <w:t>воспроизвести</w:t>
      </w:r>
      <w:r>
        <w:rPr>
          <w:color w:val="231F20"/>
          <w:spacing w:val="-8"/>
          <w:sz w:val="20"/>
        </w:rPr>
        <w:t> </w:t>
      </w:r>
      <w:r>
        <w:rPr>
          <w:color w:val="231F20"/>
          <w:sz w:val="20"/>
        </w:rPr>
        <w:t>ситуацию</w:t>
      </w:r>
      <w:r>
        <w:rPr>
          <w:color w:val="231F20"/>
          <w:spacing w:val="-8"/>
          <w:sz w:val="20"/>
        </w:rPr>
        <w:t> </w:t>
      </w:r>
      <w:r>
        <w:rPr>
          <w:color w:val="231F20"/>
          <w:sz w:val="20"/>
        </w:rPr>
        <w:t>в</w:t>
      </w:r>
      <w:r>
        <w:rPr>
          <w:color w:val="231F20"/>
          <w:spacing w:val="-8"/>
          <w:sz w:val="20"/>
        </w:rPr>
        <w:t> </w:t>
      </w:r>
      <w:r>
        <w:rPr>
          <w:color w:val="231F20"/>
          <w:sz w:val="20"/>
        </w:rPr>
        <w:t>том</w:t>
      </w:r>
      <w:r>
        <w:rPr>
          <w:color w:val="231F20"/>
          <w:spacing w:val="-8"/>
          <w:sz w:val="20"/>
        </w:rPr>
        <w:t> </w:t>
      </w:r>
      <w:r>
        <w:rPr>
          <w:color w:val="231F20"/>
          <w:sz w:val="20"/>
        </w:rPr>
        <w:t>виде, в</w:t>
      </w:r>
      <w:r>
        <w:rPr>
          <w:color w:val="231F20"/>
          <w:spacing w:val="-10"/>
          <w:sz w:val="20"/>
        </w:rPr>
        <w:t> </w:t>
      </w:r>
      <w:r>
        <w:rPr>
          <w:color w:val="231F20"/>
          <w:sz w:val="20"/>
        </w:rPr>
        <w:t>котором</w:t>
      </w:r>
      <w:r>
        <w:rPr>
          <w:color w:val="231F20"/>
          <w:spacing w:val="-10"/>
          <w:sz w:val="20"/>
        </w:rPr>
        <w:t> </w:t>
      </w:r>
      <w:r>
        <w:rPr>
          <w:color w:val="231F20"/>
          <w:sz w:val="20"/>
        </w:rPr>
        <w:t>ее</w:t>
      </w:r>
      <w:r>
        <w:rPr>
          <w:color w:val="231F20"/>
          <w:spacing w:val="-10"/>
          <w:sz w:val="20"/>
        </w:rPr>
        <w:t> </w:t>
      </w:r>
      <w:r>
        <w:rPr>
          <w:color w:val="231F20"/>
          <w:sz w:val="20"/>
        </w:rPr>
        <w:t>представил</w:t>
      </w:r>
      <w:r>
        <w:rPr>
          <w:color w:val="231F20"/>
          <w:spacing w:val="-10"/>
          <w:sz w:val="20"/>
        </w:rPr>
        <w:t> </w:t>
      </w:r>
      <w:r>
        <w:rPr>
          <w:color w:val="231F20"/>
          <w:sz w:val="20"/>
        </w:rPr>
        <w:t>ученик,</w:t>
      </w:r>
      <w:r>
        <w:rPr>
          <w:color w:val="231F20"/>
          <w:spacing w:val="-10"/>
          <w:sz w:val="20"/>
        </w:rPr>
        <w:t> </w:t>
      </w:r>
      <w:r>
        <w:rPr>
          <w:color w:val="231F20"/>
          <w:sz w:val="20"/>
        </w:rPr>
        <w:t>и</w:t>
      </w:r>
      <w:r>
        <w:rPr>
          <w:color w:val="231F20"/>
          <w:spacing w:val="-10"/>
          <w:sz w:val="20"/>
        </w:rPr>
        <w:t> </w:t>
      </w:r>
      <w:r>
        <w:rPr>
          <w:color w:val="231F20"/>
          <w:sz w:val="20"/>
        </w:rPr>
        <w:t>параллельно</w:t>
      </w:r>
      <w:r>
        <w:rPr>
          <w:color w:val="231F20"/>
          <w:spacing w:val="-10"/>
          <w:sz w:val="20"/>
        </w:rPr>
        <w:t> </w:t>
      </w:r>
      <w:r>
        <w:rPr>
          <w:color w:val="231F20"/>
          <w:sz w:val="20"/>
        </w:rPr>
        <w:t>отследить</w:t>
      </w:r>
      <w:r>
        <w:rPr>
          <w:color w:val="231F20"/>
          <w:spacing w:val="-10"/>
          <w:sz w:val="20"/>
        </w:rPr>
        <w:t> </w:t>
      </w:r>
      <w:r>
        <w:rPr>
          <w:color w:val="231F20"/>
          <w:sz w:val="20"/>
        </w:rPr>
        <w:t>неэффективные</w:t>
      </w:r>
      <w:r>
        <w:rPr>
          <w:color w:val="231F20"/>
          <w:spacing w:val="-10"/>
          <w:sz w:val="20"/>
        </w:rPr>
        <w:t> </w:t>
      </w:r>
      <w:r>
        <w:rPr>
          <w:color w:val="231F20"/>
          <w:sz w:val="20"/>
        </w:rPr>
        <w:t>страте- гии его поведения.</w:t>
      </w:r>
    </w:p>
    <w:p>
      <w:pPr>
        <w:pStyle w:val="ListParagraph"/>
        <w:numPr>
          <w:ilvl w:val="0"/>
          <w:numId w:val="223"/>
        </w:numPr>
        <w:tabs>
          <w:tab w:pos="425" w:val="left" w:leader="none"/>
        </w:tabs>
        <w:spacing w:line="232" w:lineRule="auto" w:before="3" w:after="0"/>
        <w:ind w:left="425" w:right="139" w:hanging="284"/>
        <w:jc w:val="both"/>
        <w:rPr>
          <w:sz w:val="20"/>
        </w:rPr>
      </w:pPr>
      <w:r>
        <w:rPr>
          <w:color w:val="231F20"/>
          <w:sz w:val="20"/>
        </w:rPr>
        <w:t>Обсуждение.</w:t>
      </w:r>
      <w:r>
        <w:rPr>
          <w:color w:val="231F20"/>
          <w:spacing w:val="-13"/>
          <w:sz w:val="20"/>
        </w:rPr>
        <w:t> </w:t>
      </w:r>
      <w:r>
        <w:rPr>
          <w:color w:val="231F20"/>
          <w:sz w:val="20"/>
        </w:rPr>
        <w:t>Психолог</w:t>
      </w:r>
      <w:r>
        <w:rPr>
          <w:color w:val="231F20"/>
          <w:spacing w:val="-12"/>
          <w:sz w:val="20"/>
        </w:rPr>
        <w:t> </w:t>
      </w:r>
      <w:r>
        <w:rPr>
          <w:color w:val="231F20"/>
          <w:sz w:val="20"/>
        </w:rPr>
        <w:t>с</w:t>
      </w:r>
      <w:r>
        <w:rPr>
          <w:color w:val="231F20"/>
          <w:spacing w:val="-13"/>
          <w:sz w:val="20"/>
        </w:rPr>
        <w:t> </w:t>
      </w:r>
      <w:r>
        <w:rPr>
          <w:color w:val="231F20"/>
          <w:sz w:val="20"/>
        </w:rPr>
        <w:t>ребенком</w:t>
      </w:r>
      <w:r>
        <w:rPr>
          <w:color w:val="231F20"/>
          <w:spacing w:val="-12"/>
          <w:sz w:val="20"/>
        </w:rPr>
        <w:t> </w:t>
      </w:r>
      <w:r>
        <w:rPr>
          <w:color w:val="231F20"/>
          <w:sz w:val="20"/>
        </w:rPr>
        <w:t>обсуждают,</w:t>
      </w:r>
      <w:r>
        <w:rPr>
          <w:color w:val="231F20"/>
          <w:spacing w:val="-13"/>
          <w:sz w:val="20"/>
        </w:rPr>
        <w:t> </w:t>
      </w:r>
      <w:r>
        <w:rPr>
          <w:color w:val="231F20"/>
          <w:sz w:val="20"/>
        </w:rPr>
        <w:t>насколько</w:t>
      </w:r>
      <w:r>
        <w:rPr>
          <w:color w:val="231F20"/>
          <w:spacing w:val="-12"/>
          <w:sz w:val="20"/>
        </w:rPr>
        <w:t> </w:t>
      </w:r>
      <w:r>
        <w:rPr>
          <w:color w:val="231F20"/>
          <w:sz w:val="20"/>
        </w:rPr>
        <w:t>точно</w:t>
      </w:r>
      <w:r>
        <w:rPr>
          <w:color w:val="231F20"/>
          <w:spacing w:val="-13"/>
          <w:sz w:val="20"/>
        </w:rPr>
        <w:t> </w:t>
      </w:r>
      <w:r>
        <w:rPr>
          <w:color w:val="231F20"/>
          <w:sz w:val="20"/>
        </w:rPr>
        <w:t>была</w:t>
      </w:r>
      <w:r>
        <w:rPr>
          <w:color w:val="231F20"/>
          <w:spacing w:val="-12"/>
          <w:sz w:val="20"/>
        </w:rPr>
        <w:t> </w:t>
      </w:r>
      <w:r>
        <w:rPr>
          <w:color w:val="231F20"/>
          <w:sz w:val="20"/>
        </w:rPr>
        <w:t>воспроизве- дена ситуация.</w:t>
      </w:r>
    </w:p>
    <w:p>
      <w:pPr>
        <w:pStyle w:val="ListParagraph"/>
        <w:numPr>
          <w:ilvl w:val="0"/>
          <w:numId w:val="223"/>
        </w:numPr>
        <w:tabs>
          <w:tab w:pos="425" w:val="left" w:leader="none"/>
        </w:tabs>
        <w:spacing w:line="235" w:lineRule="auto" w:before="0" w:after="0"/>
        <w:ind w:left="425" w:right="139" w:hanging="284"/>
        <w:jc w:val="both"/>
        <w:rPr>
          <w:sz w:val="20"/>
        </w:rPr>
      </w:pPr>
      <w:r>
        <w:rPr>
          <w:color w:val="231F20"/>
          <w:sz w:val="20"/>
        </w:rPr>
        <w:t>Второе проигрывание: психолог играет ребенка, а ребенок – своего партнера по общению. Во время этого проигрывания психологу необходимо представить бо- лее</w:t>
      </w:r>
      <w:r>
        <w:rPr>
          <w:color w:val="231F20"/>
          <w:spacing w:val="-9"/>
          <w:sz w:val="20"/>
        </w:rPr>
        <w:t> </w:t>
      </w:r>
      <w:r>
        <w:rPr>
          <w:color w:val="231F20"/>
          <w:sz w:val="20"/>
        </w:rPr>
        <w:t>конструктивный</w:t>
      </w:r>
      <w:r>
        <w:rPr>
          <w:color w:val="231F20"/>
          <w:spacing w:val="-10"/>
          <w:sz w:val="20"/>
        </w:rPr>
        <w:t> </w:t>
      </w:r>
      <w:r>
        <w:rPr>
          <w:color w:val="231F20"/>
          <w:sz w:val="20"/>
        </w:rPr>
        <w:t>или</w:t>
      </w:r>
      <w:r>
        <w:rPr>
          <w:color w:val="231F20"/>
          <w:spacing w:val="-9"/>
          <w:sz w:val="20"/>
        </w:rPr>
        <w:t> </w:t>
      </w:r>
      <w:r>
        <w:rPr>
          <w:color w:val="231F20"/>
          <w:sz w:val="20"/>
        </w:rPr>
        <w:t>культурно</w:t>
      </w:r>
      <w:r>
        <w:rPr>
          <w:color w:val="231F20"/>
          <w:spacing w:val="-10"/>
          <w:sz w:val="20"/>
        </w:rPr>
        <w:t> </w:t>
      </w:r>
      <w:r>
        <w:rPr>
          <w:color w:val="231F20"/>
          <w:sz w:val="20"/>
        </w:rPr>
        <w:t>релевантный</w:t>
      </w:r>
      <w:r>
        <w:rPr>
          <w:color w:val="231F20"/>
          <w:spacing w:val="-9"/>
          <w:sz w:val="20"/>
        </w:rPr>
        <w:t> </w:t>
      </w:r>
      <w:r>
        <w:rPr>
          <w:color w:val="231F20"/>
          <w:sz w:val="20"/>
        </w:rPr>
        <w:t>вариант</w:t>
      </w:r>
      <w:r>
        <w:rPr>
          <w:color w:val="231F20"/>
          <w:spacing w:val="-10"/>
          <w:sz w:val="20"/>
        </w:rPr>
        <w:t> </w:t>
      </w:r>
      <w:r>
        <w:rPr>
          <w:color w:val="231F20"/>
          <w:sz w:val="20"/>
        </w:rPr>
        <w:t>поведения.</w:t>
      </w:r>
      <w:r>
        <w:rPr>
          <w:color w:val="231F20"/>
          <w:spacing w:val="-9"/>
          <w:sz w:val="20"/>
        </w:rPr>
        <w:t> </w:t>
      </w:r>
      <w:r>
        <w:rPr>
          <w:color w:val="231F20"/>
          <w:sz w:val="20"/>
        </w:rPr>
        <w:t>Стоит</w:t>
      </w:r>
      <w:r>
        <w:rPr>
          <w:color w:val="231F20"/>
          <w:spacing w:val="-10"/>
          <w:sz w:val="20"/>
        </w:rPr>
        <w:t> </w:t>
      </w:r>
      <w:r>
        <w:rPr>
          <w:color w:val="231F20"/>
          <w:sz w:val="20"/>
        </w:rPr>
        <w:t>также обратить</w:t>
      </w:r>
      <w:r>
        <w:rPr>
          <w:color w:val="231F20"/>
          <w:spacing w:val="-11"/>
          <w:sz w:val="20"/>
        </w:rPr>
        <w:t> </w:t>
      </w:r>
      <w:r>
        <w:rPr>
          <w:color w:val="231F20"/>
          <w:sz w:val="20"/>
        </w:rPr>
        <w:t>внимание,</w:t>
      </w:r>
      <w:r>
        <w:rPr>
          <w:color w:val="231F20"/>
          <w:spacing w:val="-11"/>
          <w:sz w:val="20"/>
        </w:rPr>
        <w:t> </w:t>
      </w:r>
      <w:r>
        <w:rPr>
          <w:color w:val="231F20"/>
          <w:sz w:val="20"/>
        </w:rPr>
        <w:t>каким</w:t>
      </w:r>
      <w:r>
        <w:rPr>
          <w:color w:val="231F20"/>
          <w:spacing w:val="-11"/>
          <w:sz w:val="20"/>
        </w:rPr>
        <w:t> </w:t>
      </w:r>
      <w:r>
        <w:rPr>
          <w:color w:val="231F20"/>
          <w:sz w:val="20"/>
        </w:rPr>
        <w:t>в</w:t>
      </w:r>
      <w:r>
        <w:rPr>
          <w:color w:val="231F20"/>
          <w:spacing w:val="-11"/>
          <w:sz w:val="20"/>
        </w:rPr>
        <w:t> </w:t>
      </w:r>
      <w:r>
        <w:rPr>
          <w:color w:val="231F20"/>
          <w:sz w:val="20"/>
        </w:rPr>
        <w:t>изображении</w:t>
      </w:r>
      <w:r>
        <w:rPr>
          <w:color w:val="231F20"/>
          <w:spacing w:val="-11"/>
          <w:sz w:val="20"/>
        </w:rPr>
        <w:t> </w:t>
      </w:r>
      <w:r>
        <w:rPr>
          <w:color w:val="231F20"/>
          <w:sz w:val="20"/>
        </w:rPr>
        <w:t>ребенка</w:t>
      </w:r>
      <w:r>
        <w:rPr>
          <w:color w:val="231F20"/>
          <w:spacing w:val="-11"/>
          <w:sz w:val="20"/>
        </w:rPr>
        <w:t> </w:t>
      </w:r>
      <w:r>
        <w:rPr>
          <w:color w:val="231F20"/>
          <w:sz w:val="20"/>
        </w:rPr>
        <w:t>предстает</w:t>
      </w:r>
      <w:r>
        <w:rPr>
          <w:color w:val="231F20"/>
          <w:spacing w:val="-11"/>
          <w:sz w:val="20"/>
        </w:rPr>
        <w:t> </w:t>
      </w:r>
      <w:r>
        <w:rPr>
          <w:color w:val="231F20"/>
          <w:sz w:val="20"/>
        </w:rPr>
        <w:t>его</w:t>
      </w:r>
      <w:r>
        <w:rPr>
          <w:color w:val="231F20"/>
          <w:spacing w:val="-11"/>
          <w:sz w:val="20"/>
        </w:rPr>
        <w:t> </w:t>
      </w:r>
      <w:r>
        <w:rPr>
          <w:color w:val="231F20"/>
          <w:sz w:val="20"/>
        </w:rPr>
        <w:t>партнер</w:t>
      </w:r>
      <w:r>
        <w:rPr>
          <w:color w:val="231F20"/>
          <w:spacing w:val="-11"/>
          <w:sz w:val="20"/>
        </w:rPr>
        <w:t> </w:t>
      </w:r>
      <w:r>
        <w:rPr>
          <w:color w:val="231F20"/>
          <w:sz w:val="20"/>
        </w:rPr>
        <w:t>по</w:t>
      </w:r>
      <w:r>
        <w:rPr>
          <w:color w:val="231F20"/>
          <w:spacing w:val="-11"/>
          <w:sz w:val="20"/>
        </w:rPr>
        <w:t> </w:t>
      </w:r>
      <w:r>
        <w:rPr>
          <w:color w:val="231F20"/>
          <w:sz w:val="20"/>
        </w:rPr>
        <w:t>обще-</w:t>
      </w:r>
    </w:p>
    <w:p>
      <w:pPr>
        <w:pStyle w:val="ListParagraph"/>
        <w:spacing w:after="0" w:line="235" w:lineRule="auto"/>
        <w:jc w:val="both"/>
        <w:rPr>
          <w:sz w:val="20"/>
        </w:rPr>
        <w:sectPr>
          <w:pgSz w:w="8400" w:h="11910"/>
          <w:pgMar w:header="0" w:footer="529" w:top="72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line="242" w:lineRule="auto" w:before="112"/>
        <w:ind w:left="425" w:right="140" w:firstLine="0"/>
      </w:pPr>
      <w:r>
        <w:rPr>
          <w:color w:val="231F20"/>
        </w:rPr>
        <w:t>нию. Если партнер кажется грубым/опасным, стоит расспросить ребенка, как он пришел к такому выводу.</w:t>
      </w:r>
    </w:p>
    <w:p>
      <w:pPr>
        <w:pStyle w:val="ListParagraph"/>
        <w:numPr>
          <w:ilvl w:val="0"/>
          <w:numId w:val="223"/>
        </w:numPr>
        <w:tabs>
          <w:tab w:pos="368" w:val="left" w:leader="none"/>
          <w:tab w:pos="425" w:val="left" w:leader="none"/>
        </w:tabs>
        <w:spacing w:line="242" w:lineRule="auto" w:before="0" w:after="0"/>
        <w:ind w:left="425" w:right="139" w:hanging="284"/>
        <w:jc w:val="both"/>
        <w:rPr>
          <w:sz w:val="20"/>
        </w:rPr>
      </w:pPr>
      <w:r>
        <w:rPr>
          <w:color w:val="231F20"/>
          <w:sz w:val="20"/>
        </w:rPr>
        <w:t>Обсуждение: что сделал психолог по-другому, чем его поведение отличается от поведения ребенка.</w:t>
      </w:r>
    </w:p>
    <w:p>
      <w:pPr>
        <w:pStyle w:val="ListParagraph"/>
        <w:numPr>
          <w:ilvl w:val="0"/>
          <w:numId w:val="223"/>
        </w:numPr>
        <w:tabs>
          <w:tab w:pos="332" w:val="left" w:leader="none"/>
          <w:tab w:pos="425" w:val="left" w:leader="none"/>
        </w:tabs>
        <w:spacing w:line="242" w:lineRule="auto" w:before="0" w:after="0"/>
        <w:ind w:left="425" w:right="138" w:hanging="284"/>
        <w:jc w:val="both"/>
        <w:rPr>
          <w:sz w:val="20"/>
        </w:rPr>
      </w:pPr>
      <w:r>
        <w:rPr>
          <w:color w:val="231F20"/>
          <w:spacing w:val="-2"/>
          <w:sz w:val="20"/>
        </w:rPr>
        <w:t>Третье</w:t>
      </w:r>
      <w:r>
        <w:rPr>
          <w:color w:val="231F20"/>
          <w:spacing w:val="-5"/>
          <w:sz w:val="20"/>
        </w:rPr>
        <w:t> </w:t>
      </w:r>
      <w:r>
        <w:rPr>
          <w:color w:val="231F20"/>
          <w:spacing w:val="-2"/>
          <w:sz w:val="20"/>
        </w:rPr>
        <w:t>проигрывание.</w:t>
      </w:r>
      <w:r>
        <w:rPr>
          <w:color w:val="231F20"/>
          <w:spacing w:val="-5"/>
          <w:sz w:val="20"/>
        </w:rPr>
        <w:t> </w:t>
      </w:r>
      <w:r>
        <w:rPr>
          <w:color w:val="231F20"/>
          <w:spacing w:val="-2"/>
          <w:sz w:val="20"/>
        </w:rPr>
        <w:t>Психолог</w:t>
      </w:r>
      <w:r>
        <w:rPr>
          <w:color w:val="231F20"/>
          <w:spacing w:val="-5"/>
          <w:sz w:val="20"/>
        </w:rPr>
        <w:t> </w:t>
      </w:r>
      <w:r>
        <w:rPr>
          <w:color w:val="231F20"/>
          <w:spacing w:val="-2"/>
          <w:sz w:val="20"/>
        </w:rPr>
        <w:t>и</w:t>
      </w:r>
      <w:r>
        <w:rPr>
          <w:color w:val="231F20"/>
          <w:spacing w:val="-5"/>
          <w:sz w:val="20"/>
        </w:rPr>
        <w:t> </w:t>
      </w:r>
      <w:r>
        <w:rPr>
          <w:color w:val="231F20"/>
          <w:spacing w:val="-2"/>
          <w:sz w:val="20"/>
        </w:rPr>
        <w:t>ребенок</w:t>
      </w:r>
      <w:r>
        <w:rPr>
          <w:color w:val="231F20"/>
          <w:spacing w:val="-5"/>
          <w:sz w:val="20"/>
        </w:rPr>
        <w:t> </w:t>
      </w:r>
      <w:r>
        <w:rPr>
          <w:color w:val="231F20"/>
          <w:spacing w:val="-2"/>
          <w:sz w:val="20"/>
        </w:rPr>
        <w:t>снова</w:t>
      </w:r>
      <w:r>
        <w:rPr>
          <w:color w:val="231F20"/>
          <w:spacing w:val="-5"/>
          <w:sz w:val="20"/>
        </w:rPr>
        <w:t> </w:t>
      </w:r>
      <w:r>
        <w:rPr>
          <w:color w:val="231F20"/>
          <w:spacing w:val="-2"/>
          <w:sz w:val="20"/>
        </w:rPr>
        <w:t>меняются</w:t>
      </w:r>
      <w:r>
        <w:rPr>
          <w:color w:val="231F20"/>
          <w:spacing w:val="-5"/>
          <w:sz w:val="20"/>
        </w:rPr>
        <w:t> </w:t>
      </w:r>
      <w:r>
        <w:rPr>
          <w:color w:val="231F20"/>
          <w:spacing w:val="-2"/>
          <w:sz w:val="20"/>
        </w:rPr>
        <w:t>ролями:</w:t>
      </w:r>
      <w:r>
        <w:rPr>
          <w:color w:val="231F20"/>
          <w:spacing w:val="-5"/>
          <w:sz w:val="20"/>
        </w:rPr>
        <w:t> </w:t>
      </w:r>
      <w:r>
        <w:rPr>
          <w:color w:val="231F20"/>
          <w:spacing w:val="-2"/>
          <w:sz w:val="20"/>
        </w:rPr>
        <w:t>психолог</w:t>
      </w:r>
      <w:r>
        <w:rPr>
          <w:color w:val="231F20"/>
          <w:spacing w:val="-5"/>
          <w:sz w:val="20"/>
        </w:rPr>
        <w:t> </w:t>
      </w:r>
      <w:r>
        <w:rPr>
          <w:color w:val="231F20"/>
          <w:spacing w:val="-2"/>
          <w:sz w:val="20"/>
        </w:rPr>
        <w:t>стано- </w:t>
      </w:r>
      <w:r>
        <w:rPr>
          <w:color w:val="231F20"/>
          <w:sz w:val="20"/>
        </w:rPr>
        <w:t>вится</w:t>
      </w:r>
      <w:r>
        <w:rPr>
          <w:color w:val="231F20"/>
          <w:spacing w:val="-9"/>
          <w:sz w:val="20"/>
        </w:rPr>
        <w:t> </w:t>
      </w:r>
      <w:r>
        <w:rPr>
          <w:color w:val="231F20"/>
          <w:sz w:val="20"/>
        </w:rPr>
        <w:t>партнером</w:t>
      </w:r>
      <w:r>
        <w:rPr>
          <w:color w:val="231F20"/>
          <w:spacing w:val="-9"/>
          <w:sz w:val="20"/>
        </w:rPr>
        <w:t> </w:t>
      </w:r>
      <w:r>
        <w:rPr>
          <w:color w:val="231F20"/>
          <w:sz w:val="20"/>
        </w:rPr>
        <w:t>ребенка,</w:t>
      </w:r>
      <w:r>
        <w:rPr>
          <w:color w:val="231F20"/>
          <w:spacing w:val="-9"/>
          <w:sz w:val="20"/>
        </w:rPr>
        <w:t> </w:t>
      </w:r>
      <w:r>
        <w:rPr>
          <w:color w:val="231F20"/>
          <w:sz w:val="20"/>
        </w:rPr>
        <w:t>а</w:t>
      </w:r>
      <w:r>
        <w:rPr>
          <w:color w:val="231F20"/>
          <w:spacing w:val="-9"/>
          <w:sz w:val="20"/>
        </w:rPr>
        <w:t> </w:t>
      </w:r>
      <w:r>
        <w:rPr>
          <w:color w:val="231F20"/>
          <w:sz w:val="20"/>
        </w:rPr>
        <w:t>ребенок</w:t>
      </w:r>
      <w:r>
        <w:rPr>
          <w:color w:val="231F20"/>
          <w:spacing w:val="-9"/>
          <w:sz w:val="20"/>
        </w:rPr>
        <w:t> </w:t>
      </w:r>
      <w:r>
        <w:rPr>
          <w:color w:val="231F20"/>
          <w:sz w:val="20"/>
        </w:rPr>
        <w:t>–</w:t>
      </w:r>
      <w:r>
        <w:rPr>
          <w:color w:val="231F20"/>
          <w:spacing w:val="-9"/>
          <w:sz w:val="20"/>
        </w:rPr>
        <w:t> </w:t>
      </w:r>
      <w:r>
        <w:rPr>
          <w:color w:val="231F20"/>
          <w:sz w:val="20"/>
        </w:rPr>
        <w:t>самим</w:t>
      </w:r>
      <w:r>
        <w:rPr>
          <w:color w:val="231F20"/>
          <w:spacing w:val="-9"/>
          <w:sz w:val="20"/>
        </w:rPr>
        <w:t> </w:t>
      </w:r>
      <w:r>
        <w:rPr>
          <w:color w:val="231F20"/>
          <w:sz w:val="20"/>
        </w:rPr>
        <w:t>собой,</w:t>
      </w:r>
      <w:r>
        <w:rPr>
          <w:color w:val="231F20"/>
          <w:spacing w:val="-9"/>
          <w:sz w:val="20"/>
        </w:rPr>
        <w:t> </w:t>
      </w:r>
      <w:r>
        <w:rPr>
          <w:color w:val="231F20"/>
          <w:sz w:val="20"/>
        </w:rPr>
        <w:t>причем</w:t>
      </w:r>
      <w:r>
        <w:rPr>
          <w:color w:val="231F20"/>
          <w:spacing w:val="-9"/>
          <w:sz w:val="20"/>
        </w:rPr>
        <w:t> </w:t>
      </w:r>
      <w:r>
        <w:rPr>
          <w:color w:val="231F20"/>
          <w:sz w:val="20"/>
        </w:rPr>
        <w:t>содержание</w:t>
      </w:r>
      <w:r>
        <w:rPr>
          <w:color w:val="231F20"/>
          <w:spacing w:val="-9"/>
          <w:sz w:val="20"/>
        </w:rPr>
        <w:t> </w:t>
      </w:r>
      <w:r>
        <w:rPr>
          <w:color w:val="231F20"/>
          <w:sz w:val="20"/>
        </w:rPr>
        <w:t>разговора остается</w:t>
      </w:r>
      <w:r>
        <w:rPr>
          <w:color w:val="231F20"/>
          <w:spacing w:val="-10"/>
          <w:sz w:val="20"/>
        </w:rPr>
        <w:t> </w:t>
      </w:r>
      <w:r>
        <w:rPr>
          <w:color w:val="231F20"/>
          <w:sz w:val="20"/>
        </w:rPr>
        <w:t>прежним.</w:t>
      </w:r>
      <w:r>
        <w:rPr>
          <w:color w:val="231F20"/>
          <w:spacing w:val="-10"/>
          <w:sz w:val="20"/>
        </w:rPr>
        <w:t> </w:t>
      </w:r>
      <w:r>
        <w:rPr>
          <w:color w:val="231F20"/>
          <w:sz w:val="20"/>
        </w:rPr>
        <w:t>Задача</w:t>
      </w:r>
      <w:r>
        <w:rPr>
          <w:color w:val="231F20"/>
          <w:spacing w:val="-10"/>
          <w:sz w:val="20"/>
        </w:rPr>
        <w:t> </w:t>
      </w:r>
      <w:r>
        <w:rPr>
          <w:color w:val="231F20"/>
          <w:sz w:val="20"/>
        </w:rPr>
        <w:t>ребенка:</w:t>
      </w:r>
      <w:r>
        <w:rPr>
          <w:color w:val="231F20"/>
          <w:spacing w:val="-10"/>
          <w:sz w:val="20"/>
        </w:rPr>
        <w:t> </w:t>
      </w:r>
      <w:r>
        <w:rPr>
          <w:color w:val="231F20"/>
          <w:sz w:val="20"/>
        </w:rPr>
        <w:t>не</w:t>
      </w:r>
      <w:r>
        <w:rPr>
          <w:color w:val="231F20"/>
          <w:spacing w:val="-10"/>
          <w:sz w:val="20"/>
        </w:rPr>
        <w:t> </w:t>
      </w:r>
      <w:r>
        <w:rPr>
          <w:color w:val="231F20"/>
          <w:sz w:val="20"/>
        </w:rPr>
        <w:t>воспроизвести</w:t>
      </w:r>
      <w:r>
        <w:rPr>
          <w:color w:val="231F20"/>
          <w:spacing w:val="-10"/>
          <w:sz w:val="20"/>
        </w:rPr>
        <w:t> </w:t>
      </w:r>
      <w:r>
        <w:rPr>
          <w:color w:val="231F20"/>
          <w:sz w:val="20"/>
        </w:rPr>
        <w:t>реплики</w:t>
      </w:r>
      <w:r>
        <w:rPr>
          <w:color w:val="231F20"/>
          <w:spacing w:val="-10"/>
          <w:sz w:val="20"/>
        </w:rPr>
        <w:t> </w:t>
      </w:r>
      <w:r>
        <w:rPr>
          <w:color w:val="231F20"/>
          <w:sz w:val="20"/>
        </w:rPr>
        <w:t>психолога,</w:t>
      </w:r>
      <w:r>
        <w:rPr>
          <w:color w:val="231F20"/>
          <w:spacing w:val="-10"/>
          <w:sz w:val="20"/>
        </w:rPr>
        <w:t> </w:t>
      </w:r>
      <w:r>
        <w:rPr>
          <w:color w:val="231F20"/>
          <w:sz w:val="20"/>
        </w:rPr>
        <w:t>а</w:t>
      </w:r>
      <w:r>
        <w:rPr>
          <w:color w:val="231F20"/>
          <w:spacing w:val="-10"/>
          <w:sz w:val="20"/>
        </w:rPr>
        <w:t> </w:t>
      </w:r>
      <w:r>
        <w:rPr>
          <w:color w:val="231F20"/>
          <w:sz w:val="20"/>
        </w:rPr>
        <w:t>попро- </w:t>
      </w:r>
      <w:r>
        <w:rPr>
          <w:color w:val="231F20"/>
          <w:spacing w:val="-2"/>
          <w:sz w:val="20"/>
        </w:rPr>
        <w:t>бовать</w:t>
      </w:r>
      <w:r>
        <w:rPr>
          <w:color w:val="231F20"/>
          <w:spacing w:val="-5"/>
          <w:sz w:val="20"/>
        </w:rPr>
        <w:t> </w:t>
      </w:r>
      <w:r>
        <w:rPr>
          <w:color w:val="231F20"/>
          <w:spacing w:val="-2"/>
          <w:sz w:val="20"/>
        </w:rPr>
        <w:t>новые</w:t>
      </w:r>
      <w:r>
        <w:rPr>
          <w:color w:val="231F20"/>
          <w:spacing w:val="-4"/>
          <w:sz w:val="20"/>
        </w:rPr>
        <w:t> </w:t>
      </w:r>
      <w:r>
        <w:rPr>
          <w:color w:val="231F20"/>
          <w:spacing w:val="-2"/>
          <w:sz w:val="20"/>
        </w:rPr>
        <w:t>формы</w:t>
      </w:r>
      <w:r>
        <w:rPr>
          <w:color w:val="231F20"/>
          <w:spacing w:val="-5"/>
          <w:sz w:val="20"/>
        </w:rPr>
        <w:t> </w:t>
      </w:r>
      <w:r>
        <w:rPr>
          <w:color w:val="231F20"/>
          <w:spacing w:val="-2"/>
          <w:sz w:val="20"/>
        </w:rPr>
        <w:t>поведения,</w:t>
      </w:r>
      <w:r>
        <w:rPr>
          <w:color w:val="231F20"/>
          <w:spacing w:val="-5"/>
          <w:sz w:val="20"/>
        </w:rPr>
        <w:t> </w:t>
      </w:r>
      <w:r>
        <w:rPr>
          <w:color w:val="231F20"/>
          <w:spacing w:val="-2"/>
          <w:sz w:val="20"/>
        </w:rPr>
        <w:t>примерить</w:t>
      </w:r>
      <w:r>
        <w:rPr>
          <w:color w:val="231F20"/>
          <w:spacing w:val="-5"/>
          <w:sz w:val="20"/>
        </w:rPr>
        <w:t> </w:t>
      </w:r>
      <w:r>
        <w:rPr>
          <w:color w:val="231F20"/>
          <w:spacing w:val="-2"/>
          <w:sz w:val="20"/>
        </w:rPr>
        <w:t>их</w:t>
      </w:r>
      <w:r>
        <w:rPr>
          <w:color w:val="231F20"/>
          <w:spacing w:val="-5"/>
          <w:sz w:val="20"/>
        </w:rPr>
        <w:t> </w:t>
      </w:r>
      <w:r>
        <w:rPr>
          <w:color w:val="231F20"/>
          <w:spacing w:val="-2"/>
          <w:sz w:val="20"/>
        </w:rPr>
        <w:t>на</w:t>
      </w:r>
      <w:r>
        <w:rPr>
          <w:color w:val="231F20"/>
          <w:spacing w:val="-4"/>
          <w:sz w:val="20"/>
        </w:rPr>
        <w:t> </w:t>
      </w:r>
      <w:r>
        <w:rPr>
          <w:color w:val="231F20"/>
          <w:spacing w:val="-2"/>
          <w:sz w:val="20"/>
        </w:rPr>
        <w:t>себя,</w:t>
      </w:r>
      <w:r>
        <w:rPr>
          <w:color w:val="231F20"/>
          <w:spacing w:val="-5"/>
          <w:sz w:val="20"/>
        </w:rPr>
        <w:t> </w:t>
      </w:r>
      <w:r>
        <w:rPr>
          <w:color w:val="231F20"/>
          <w:spacing w:val="-2"/>
          <w:sz w:val="20"/>
        </w:rPr>
        <w:t>выбрать</w:t>
      </w:r>
      <w:r>
        <w:rPr>
          <w:color w:val="231F20"/>
          <w:spacing w:val="-5"/>
          <w:sz w:val="20"/>
        </w:rPr>
        <w:t> </w:t>
      </w:r>
      <w:r>
        <w:rPr>
          <w:color w:val="231F20"/>
          <w:spacing w:val="-2"/>
          <w:sz w:val="20"/>
        </w:rPr>
        <w:t>то,</w:t>
      </w:r>
      <w:r>
        <w:rPr>
          <w:color w:val="231F20"/>
          <w:spacing w:val="-5"/>
          <w:sz w:val="20"/>
        </w:rPr>
        <w:t> </w:t>
      </w:r>
      <w:r>
        <w:rPr>
          <w:color w:val="231F20"/>
          <w:spacing w:val="-2"/>
          <w:sz w:val="20"/>
        </w:rPr>
        <w:t>что</w:t>
      </w:r>
      <w:r>
        <w:rPr>
          <w:color w:val="231F20"/>
          <w:spacing w:val="-5"/>
          <w:sz w:val="20"/>
        </w:rPr>
        <w:t> </w:t>
      </w:r>
      <w:r>
        <w:rPr>
          <w:color w:val="231F20"/>
          <w:spacing w:val="-2"/>
          <w:sz w:val="20"/>
        </w:rPr>
        <w:t>ему</w:t>
      </w:r>
      <w:r>
        <w:rPr>
          <w:color w:val="231F20"/>
          <w:spacing w:val="-5"/>
          <w:sz w:val="20"/>
        </w:rPr>
        <w:t> </w:t>
      </w:r>
      <w:r>
        <w:rPr>
          <w:color w:val="231F20"/>
          <w:spacing w:val="-2"/>
          <w:sz w:val="20"/>
        </w:rPr>
        <w:t>больше </w:t>
      </w:r>
      <w:r>
        <w:rPr>
          <w:color w:val="231F20"/>
          <w:sz w:val="20"/>
        </w:rPr>
        <w:t>подходит.</w:t>
      </w:r>
      <w:r>
        <w:rPr>
          <w:color w:val="231F20"/>
          <w:spacing w:val="-7"/>
          <w:sz w:val="20"/>
        </w:rPr>
        <w:t> </w:t>
      </w:r>
      <w:r>
        <w:rPr>
          <w:color w:val="231F20"/>
          <w:sz w:val="20"/>
        </w:rPr>
        <w:t>Психологу</w:t>
      </w:r>
      <w:r>
        <w:rPr>
          <w:color w:val="231F20"/>
          <w:spacing w:val="-7"/>
          <w:sz w:val="20"/>
        </w:rPr>
        <w:t> </w:t>
      </w:r>
      <w:r>
        <w:rPr>
          <w:color w:val="231F20"/>
          <w:sz w:val="20"/>
        </w:rPr>
        <w:t>же</w:t>
      </w:r>
      <w:r>
        <w:rPr>
          <w:color w:val="231F20"/>
          <w:spacing w:val="-7"/>
          <w:sz w:val="20"/>
        </w:rPr>
        <w:t> </w:t>
      </w:r>
      <w:r>
        <w:rPr>
          <w:color w:val="231F20"/>
          <w:sz w:val="20"/>
        </w:rPr>
        <w:t>при</w:t>
      </w:r>
      <w:r>
        <w:rPr>
          <w:color w:val="231F20"/>
          <w:spacing w:val="-7"/>
          <w:sz w:val="20"/>
        </w:rPr>
        <w:t> </w:t>
      </w:r>
      <w:r>
        <w:rPr>
          <w:color w:val="231F20"/>
          <w:sz w:val="20"/>
        </w:rPr>
        <w:t>исполнении</w:t>
      </w:r>
      <w:r>
        <w:rPr>
          <w:color w:val="231F20"/>
          <w:spacing w:val="-7"/>
          <w:sz w:val="20"/>
        </w:rPr>
        <w:t> </w:t>
      </w:r>
      <w:r>
        <w:rPr>
          <w:color w:val="231F20"/>
          <w:sz w:val="20"/>
        </w:rPr>
        <w:t>своей</w:t>
      </w:r>
      <w:r>
        <w:rPr>
          <w:color w:val="231F20"/>
          <w:spacing w:val="-7"/>
          <w:sz w:val="20"/>
        </w:rPr>
        <w:t> </w:t>
      </w:r>
      <w:r>
        <w:rPr>
          <w:color w:val="231F20"/>
          <w:sz w:val="20"/>
        </w:rPr>
        <w:t>роли</w:t>
      </w:r>
      <w:r>
        <w:rPr>
          <w:color w:val="231F20"/>
          <w:spacing w:val="-7"/>
          <w:sz w:val="20"/>
        </w:rPr>
        <w:t> </w:t>
      </w:r>
      <w:r>
        <w:rPr>
          <w:color w:val="231F20"/>
          <w:sz w:val="20"/>
        </w:rPr>
        <w:t>важно</w:t>
      </w:r>
      <w:r>
        <w:rPr>
          <w:color w:val="231F20"/>
          <w:spacing w:val="-7"/>
          <w:sz w:val="20"/>
        </w:rPr>
        <w:t> </w:t>
      </w:r>
      <w:r>
        <w:rPr>
          <w:color w:val="231F20"/>
          <w:sz w:val="20"/>
        </w:rPr>
        <w:t>постараться</w:t>
      </w:r>
      <w:r>
        <w:rPr>
          <w:color w:val="231F20"/>
          <w:spacing w:val="-7"/>
          <w:sz w:val="20"/>
        </w:rPr>
        <w:t> </w:t>
      </w:r>
      <w:r>
        <w:rPr>
          <w:color w:val="231F20"/>
          <w:sz w:val="20"/>
        </w:rPr>
        <w:t>наиболее точно передать образ партнера по общению таким, каким его видит ребенок.</w:t>
      </w:r>
    </w:p>
    <w:p>
      <w:pPr>
        <w:pStyle w:val="ListParagraph"/>
        <w:numPr>
          <w:ilvl w:val="0"/>
          <w:numId w:val="223"/>
        </w:numPr>
        <w:tabs>
          <w:tab w:pos="354" w:val="left" w:leader="none"/>
          <w:tab w:pos="425" w:val="left" w:leader="none"/>
        </w:tabs>
        <w:spacing w:line="242" w:lineRule="auto" w:before="0" w:after="0"/>
        <w:ind w:left="425" w:right="139" w:hanging="284"/>
        <w:jc w:val="both"/>
        <w:rPr>
          <w:sz w:val="20"/>
        </w:rPr>
      </w:pPr>
      <w:r>
        <w:rPr>
          <w:color w:val="231F20"/>
          <w:sz w:val="20"/>
        </w:rPr>
        <w:t>Обсуждение. Надо сделать акцент на том, легко или трудно было ребенку, может ли он попробовать вести себя подобным образом в реальной жизни. Здесь очень важна обратная связь от психолога. В зависимости от желания ученика можно повторить проигрывание с любым распределением ролей.</w:t>
      </w:r>
    </w:p>
    <w:p>
      <w:pPr>
        <w:pStyle w:val="BodyText"/>
        <w:spacing w:line="242" w:lineRule="auto" w:before="109"/>
      </w:pPr>
      <w:r>
        <w:rPr>
          <w:b/>
        </w:rPr>
        <w:t>Общее описание</w:t>
      </w:r>
      <w:r>
        <w:rPr/>
        <w:t>. Культурный ассимилятор – разновидность метода кейсов или критических инцидентов. Он представляет собой описание ситуации межкультур- ного взаимодействия, в которой возникает недопонимание между сторонами, и во- просами к этой ситуации. Культурные ассимиляторы предназначены для обучения корректным</w:t>
      </w:r>
      <w:r>
        <w:rPr>
          <w:spacing w:val="-13"/>
        </w:rPr>
        <w:t> </w:t>
      </w:r>
      <w:r>
        <w:rPr/>
        <w:t>атрибуциям,</w:t>
      </w:r>
      <w:r>
        <w:rPr>
          <w:spacing w:val="-12"/>
        </w:rPr>
        <w:t> </w:t>
      </w:r>
      <w:r>
        <w:rPr/>
        <w:t>то</w:t>
      </w:r>
      <w:r>
        <w:rPr>
          <w:spacing w:val="-13"/>
        </w:rPr>
        <w:t> </w:t>
      </w:r>
      <w:r>
        <w:rPr/>
        <w:t>есть</w:t>
      </w:r>
      <w:r>
        <w:rPr>
          <w:spacing w:val="-12"/>
        </w:rPr>
        <w:t> </w:t>
      </w:r>
      <w:r>
        <w:rPr/>
        <w:t>формируют</w:t>
      </w:r>
      <w:r>
        <w:rPr>
          <w:spacing w:val="-13"/>
        </w:rPr>
        <w:t> </w:t>
      </w:r>
      <w:r>
        <w:rPr/>
        <w:t>навык</w:t>
      </w:r>
      <w:r>
        <w:rPr>
          <w:spacing w:val="-12"/>
        </w:rPr>
        <w:t> </w:t>
      </w:r>
      <w:r>
        <w:rPr/>
        <w:t>анализа</w:t>
      </w:r>
      <w:r>
        <w:rPr>
          <w:spacing w:val="-13"/>
        </w:rPr>
        <w:t> </w:t>
      </w:r>
      <w:r>
        <w:rPr/>
        <w:t>ситуаций</w:t>
      </w:r>
      <w:r>
        <w:rPr>
          <w:spacing w:val="-12"/>
        </w:rPr>
        <w:t> </w:t>
      </w:r>
      <w:r>
        <w:rPr/>
        <w:t>межкультурно- го взаимодействия и формулирования наиболее корректных причин того или иного поведения человека другой культуры.</w:t>
      </w:r>
    </w:p>
    <w:p>
      <w:pPr>
        <w:pStyle w:val="BodyText"/>
        <w:spacing w:line="228" w:lineRule="exact"/>
        <w:ind w:left="425" w:right="0" w:firstLine="0"/>
      </w:pPr>
      <w:r>
        <w:rPr/>
        <w:t>Существуют</w:t>
      </w:r>
      <w:r>
        <w:rPr>
          <w:spacing w:val="-11"/>
        </w:rPr>
        <w:t> </w:t>
      </w:r>
      <w:r>
        <w:rPr/>
        <w:t>два</w:t>
      </w:r>
      <w:r>
        <w:rPr>
          <w:spacing w:val="-10"/>
        </w:rPr>
        <w:t> </w:t>
      </w:r>
      <w:r>
        <w:rPr/>
        <w:t>вида</w:t>
      </w:r>
      <w:r>
        <w:rPr>
          <w:spacing w:val="-10"/>
        </w:rPr>
        <w:t> </w:t>
      </w:r>
      <w:r>
        <w:rPr/>
        <w:t>культурных</w:t>
      </w:r>
      <w:r>
        <w:rPr>
          <w:spacing w:val="-10"/>
        </w:rPr>
        <w:t> </w:t>
      </w:r>
      <w:r>
        <w:rPr>
          <w:spacing w:val="-2"/>
        </w:rPr>
        <w:t>ассимиляторов:</w:t>
      </w:r>
    </w:p>
    <w:p>
      <w:pPr>
        <w:pStyle w:val="ListParagraph"/>
        <w:numPr>
          <w:ilvl w:val="1"/>
          <w:numId w:val="223"/>
        </w:numPr>
        <w:tabs>
          <w:tab w:pos="587" w:val="left" w:leader="none"/>
        </w:tabs>
        <w:spacing w:line="242" w:lineRule="auto" w:before="2" w:after="0"/>
        <w:ind w:left="141" w:right="139" w:firstLine="283"/>
        <w:jc w:val="both"/>
        <w:rPr>
          <w:sz w:val="20"/>
        </w:rPr>
      </w:pPr>
      <w:r>
        <w:rPr>
          <w:sz w:val="20"/>
        </w:rPr>
        <w:t>общекультурный, когда приводятся примеры взаимодействия людей из разных культур;</w:t>
      </w:r>
      <w:r>
        <w:rPr>
          <w:spacing w:val="-5"/>
          <w:sz w:val="20"/>
        </w:rPr>
        <w:t> </w:t>
      </w:r>
      <w:r>
        <w:rPr>
          <w:sz w:val="20"/>
        </w:rPr>
        <w:t>общекультурный</w:t>
      </w:r>
      <w:r>
        <w:rPr>
          <w:spacing w:val="-5"/>
          <w:sz w:val="20"/>
        </w:rPr>
        <w:t> </w:t>
      </w:r>
      <w:r>
        <w:rPr>
          <w:sz w:val="20"/>
        </w:rPr>
        <w:t>ассимилятор</w:t>
      </w:r>
      <w:r>
        <w:rPr>
          <w:spacing w:val="-5"/>
          <w:sz w:val="20"/>
        </w:rPr>
        <w:t> </w:t>
      </w:r>
      <w:r>
        <w:rPr>
          <w:sz w:val="20"/>
        </w:rPr>
        <w:t>развивает</w:t>
      </w:r>
      <w:r>
        <w:rPr>
          <w:spacing w:val="-5"/>
          <w:sz w:val="20"/>
        </w:rPr>
        <w:t> </w:t>
      </w:r>
      <w:r>
        <w:rPr>
          <w:sz w:val="20"/>
        </w:rPr>
        <w:t>межкультурную</w:t>
      </w:r>
      <w:r>
        <w:rPr>
          <w:spacing w:val="-5"/>
          <w:sz w:val="20"/>
        </w:rPr>
        <w:t> </w:t>
      </w:r>
      <w:r>
        <w:rPr>
          <w:sz w:val="20"/>
        </w:rPr>
        <w:t>компетентность</w:t>
      </w:r>
      <w:r>
        <w:rPr>
          <w:spacing w:val="-5"/>
          <w:sz w:val="20"/>
        </w:rPr>
        <w:t> </w:t>
      </w:r>
      <w:r>
        <w:rPr>
          <w:sz w:val="20"/>
        </w:rPr>
        <w:t>в целом, вне контекста отдельной культуры;</w:t>
      </w:r>
    </w:p>
    <w:p>
      <w:pPr>
        <w:pStyle w:val="ListParagraph"/>
        <w:numPr>
          <w:ilvl w:val="1"/>
          <w:numId w:val="223"/>
        </w:numPr>
        <w:tabs>
          <w:tab w:pos="576" w:val="left" w:leader="none"/>
        </w:tabs>
        <w:spacing w:line="242" w:lineRule="auto" w:before="0" w:after="0"/>
        <w:ind w:left="141" w:right="139" w:firstLine="283"/>
        <w:jc w:val="both"/>
        <w:rPr>
          <w:sz w:val="20"/>
        </w:rPr>
      </w:pPr>
      <w:r>
        <w:rPr>
          <w:sz w:val="20"/>
        </w:rPr>
        <w:t>культурно-специфический,</w:t>
      </w:r>
      <w:r>
        <w:rPr>
          <w:spacing w:val="-11"/>
          <w:sz w:val="20"/>
        </w:rPr>
        <w:t> </w:t>
      </w:r>
      <w:r>
        <w:rPr>
          <w:sz w:val="20"/>
        </w:rPr>
        <w:t>направленный</w:t>
      </w:r>
      <w:r>
        <w:rPr>
          <w:spacing w:val="-11"/>
          <w:sz w:val="20"/>
        </w:rPr>
        <w:t> </w:t>
      </w:r>
      <w:r>
        <w:rPr>
          <w:sz w:val="20"/>
        </w:rPr>
        <w:t>на</w:t>
      </w:r>
      <w:r>
        <w:rPr>
          <w:spacing w:val="-11"/>
          <w:sz w:val="20"/>
        </w:rPr>
        <w:t> </w:t>
      </w:r>
      <w:r>
        <w:rPr>
          <w:sz w:val="20"/>
        </w:rPr>
        <w:t>знакомство</w:t>
      </w:r>
      <w:r>
        <w:rPr>
          <w:spacing w:val="-11"/>
          <w:sz w:val="20"/>
        </w:rPr>
        <w:t> </w:t>
      </w:r>
      <w:r>
        <w:rPr>
          <w:sz w:val="20"/>
        </w:rPr>
        <w:t>с</w:t>
      </w:r>
      <w:r>
        <w:rPr>
          <w:spacing w:val="-11"/>
          <w:sz w:val="20"/>
        </w:rPr>
        <w:t> </w:t>
      </w:r>
      <w:r>
        <w:rPr>
          <w:sz w:val="20"/>
        </w:rPr>
        <w:t>нормами</w:t>
      </w:r>
      <w:r>
        <w:rPr>
          <w:spacing w:val="-11"/>
          <w:sz w:val="20"/>
        </w:rPr>
        <w:t> </w:t>
      </w:r>
      <w:r>
        <w:rPr>
          <w:sz w:val="20"/>
        </w:rPr>
        <w:t>конкретной культуры; все ситуации культурно-специфического ассимилятора знакомят с нор- мами конкретной культуры, специфика которых раскрывается во взаимодействии с представителями</w:t>
      </w:r>
      <w:r>
        <w:rPr>
          <w:spacing w:val="-9"/>
          <w:sz w:val="20"/>
        </w:rPr>
        <w:t> </w:t>
      </w:r>
      <w:r>
        <w:rPr>
          <w:sz w:val="20"/>
        </w:rPr>
        <w:t>той</w:t>
      </w:r>
      <w:r>
        <w:rPr>
          <w:spacing w:val="-9"/>
          <w:sz w:val="20"/>
        </w:rPr>
        <w:t> </w:t>
      </w:r>
      <w:r>
        <w:rPr>
          <w:sz w:val="20"/>
        </w:rPr>
        <w:t>культуры,</w:t>
      </w:r>
      <w:r>
        <w:rPr>
          <w:spacing w:val="-9"/>
          <w:sz w:val="20"/>
        </w:rPr>
        <w:t> </w:t>
      </w:r>
      <w:r>
        <w:rPr>
          <w:sz w:val="20"/>
        </w:rPr>
        <w:t>к</w:t>
      </w:r>
      <w:r>
        <w:rPr>
          <w:spacing w:val="-9"/>
          <w:sz w:val="20"/>
        </w:rPr>
        <w:t> </w:t>
      </w:r>
      <w:r>
        <w:rPr>
          <w:sz w:val="20"/>
        </w:rPr>
        <w:t>которой</w:t>
      </w:r>
      <w:r>
        <w:rPr>
          <w:spacing w:val="-9"/>
          <w:sz w:val="20"/>
        </w:rPr>
        <w:t> </w:t>
      </w:r>
      <w:r>
        <w:rPr>
          <w:sz w:val="20"/>
        </w:rPr>
        <w:t>принадлежат</w:t>
      </w:r>
      <w:r>
        <w:rPr>
          <w:spacing w:val="-9"/>
          <w:sz w:val="20"/>
        </w:rPr>
        <w:t> </w:t>
      </w:r>
      <w:r>
        <w:rPr>
          <w:sz w:val="20"/>
        </w:rPr>
        <w:t>обучающиеся.</w:t>
      </w:r>
      <w:r>
        <w:rPr>
          <w:spacing w:val="-9"/>
          <w:sz w:val="20"/>
        </w:rPr>
        <w:t> </w:t>
      </w:r>
      <w:r>
        <w:rPr>
          <w:sz w:val="20"/>
        </w:rPr>
        <w:t>Например,</w:t>
      </w:r>
      <w:r>
        <w:rPr>
          <w:spacing w:val="-9"/>
          <w:sz w:val="20"/>
        </w:rPr>
        <w:t> </w:t>
      </w:r>
      <w:r>
        <w:rPr>
          <w:sz w:val="20"/>
        </w:rPr>
        <w:t>та- кой ассимилятор может быть предназначен для узбеков, которые учатся взаимодей- ствию с русскими.</w:t>
      </w:r>
    </w:p>
    <w:p>
      <w:pPr>
        <w:pStyle w:val="BodyText"/>
        <w:spacing w:line="242" w:lineRule="auto"/>
      </w:pPr>
      <w:r>
        <w:rPr>
          <w:b/>
        </w:rPr>
        <w:t>Сильные стороны практики</w:t>
      </w:r>
      <w:r>
        <w:rPr/>
        <w:t>.</w:t>
      </w:r>
      <w:r>
        <w:rPr>
          <w:spacing w:val="-9"/>
        </w:rPr>
        <w:t> </w:t>
      </w:r>
      <w:r>
        <w:rPr/>
        <w:t>Культурный ассимилятор позволяет несовершен- нолетним иностранным гражданам на конкретных примерах освоить нормы прини- мающего общества и провести сопоставление с нормами культуры страны исхода.</w:t>
      </w:r>
    </w:p>
    <w:p>
      <w:pPr>
        <w:pStyle w:val="BodyText"/>
        <w:spacing w:line="242" w:lineRule="auto"/>
      </w:pPr>
      <w:r>
        <w:rPr>
          <w:b/>
        </w:rPr>
        <w:t>Требования к проведению. </w:t>
      </w:r>
      <w:r>
        <w:rPr/>
        <w:t>Наличие готовых заданий культурного ассимилято- ра. Разработка культурного ассимилятора осуществляется в соответствии со строго прописанной</w:t>
      </w:r>
      <w:r>
        <w:rPr>
          <w:spacing w:val="-4"/>
        </w:rPr>
        <w:t> </w:t>
      </w:r>
      <w:r>
        <w:rPr/>
        <w:t>процедурой,</w:t>
      </w:r>
      <w:r>
        <w:rPr>
          <w:spacing w:val="-4"/>
        </w:rPr>
        <w:t> </w:t>
      </w:r>
      <w:r>
        <w:rPr/>
        <w:t>что</w:t>
      </w:r>
      <w:r>
        <w:rPr>
          <w:spacing w:val="-4"/>
        </w:rPr>
        <w:t> </w:t>
      </w:r>
      <w:r>
        <w:rPr/>
        <w:t>позволяет</w:t>
      </w:r>
      <w:r>
        <w:rPr>
          <w:spacing w:val="-4"/>
        </w:rPr>
        <w:t> </w:t>
      </w:r>
      <w:r>
        <w:rPr/>
        <w:t>получить</w:t>
      </w:r>
      <w:r>
        <w:rPr>
          <w:spacing w:val="-4"/>
        </w:rPr>
        <w:t> </w:t>
      </w:r>
      <w:r>
        <w:rPr/>
        <w:t>надежный</w:t>
      </w:r>
      <w:r>
        <w:rPr>
          <w:spacing w:val="-4"/>
        </w:rPr>
        <w:t> </w:t>
      </w:r>
      <w:r>
        <w:rPr/>
        <w:t>инструмент.</w:t>
      </w:r>
      <w:r>
        <w:rPr>
          <w:spacing w:val="-4"/>
        </w:rPr>
        <w:t> </w:t>
      </w:r>
      <w:r>
        <w:rPr/>
        <w:t>Крайне</w:t>
      </w:r>
      <w:r>
        <w:rPr>
          <w:spacing w:val="-4"/>
        </w:rPr>
        <w:t> </w:t>
      </w:r>
      <w:r>
        <w:rPr/>
        <w:t>не рекомендуется</w:t>
      </w:r>
      <w:r>
        <w:rPr>
          <w:spacing w:val="-11"/>
        </w:rPr>
        <w:t> </w:t>
      </w:r>
      <w:r>
        <w:rPr/>
        <w:t>самостоятельно</w:t>
      </w:r>
      <w:r>
        <w:rPr>
          <w:spacing w:val="-11"/>
        </w:rPr>
        <w:t> </w:t>
      </w:r>
      <w:r>
        <w:rPr/>
        <w:t>разрабатывать</w:t>
      </w:r>
      <w:r>
        <w:rPr>
          <w:spacing w:val="-11"/>
        </w:rPr>
        <w:t> </w:t>
      </w:r>
      <w:r>
        <w:rPr/>
        <w:t>культурный</w:t>
      </w:r>
      <w:r>
        <w:rPr>
          <w:spacing w:val="-11"/>
        </w:rPr>
        <w:t> </w:t>
      </w:r>
      <w:r>
        <w:rPr/>
        <w:t>ассимилятор,</w:t>
      </w:r>
      <w:r>
        <w:rPr>
          <w:spacing w:val="-11"/>
        </w:rPr>
        <w:t> </w:t>
      </w:r>
      <w:r>
        <w:rPr/>
        <w:t>особенно</w:t>
      </w:r>
      <w:r>
        <w:rPr>
          <w:spacing w:val="-11"/>
        </w:rPr>
        <w:t> </w:t>
      </w:r>
      <w:r>
        <w:rPr/>
        <w:t>не имея дополнительной подготовки в этом вопросе.</w:t>
      </w:r>
    </w:p>
    <w:p>
      <w:pPr>
        <w:pStyle w:val="BodyText"/>
        <w:spacing w:line="242" w:lineRule="auto"/>
      </w:pPr>
      <w:r>
        <w:rPr>
          <w:b/>
        </w:rPr>
        <w:t>Доказательность практики </w:t>
      </w:r>
      <w:r>
        <w:rPr>
          <w:color w:val="231F20"/>
        </w:rPr>
        <w:t>Культурный ассимилятор представляет собой один из</w:t>
      </w:r>
      <w:r>
        <w:rPr>
          <w:color w:val="231F20"/>
          <w:spacing w:val="-6"/>
        </w:rPr>
        <w:t> </w:t>
      </w:r>
      <w:r>
        <w:rPr>
          <w:color w:val="231F20"/>
        </w:rPr>
        <w:t>наиболее</w:t>
      </w:r>
      <w:r>
        <w:rPr>
          <w:color w:val="231F20"/>
          <w:spacing w:val="-6"/>
        </w:rPr>
        <w:t> </w:t>
      </w:r>
      <w:r>
        <w:rPr>
          <w:color w:val="231F20"/>
        </w:rPr>
        <w:t>известных</w:t>
      </w:r>
      <w:r>
        <w:rPr>
          <w:color w:val="231F20"/>
          <w:spacing w:val="-6"/>
        </w:rPr>
        <w:t> </w:t>
      </w:r>
      <w:r>
        <w:rPr>
          <w:color w:val="231F20"/>
        </w:rPr>
        <w:t>методов</w:t>
      </w:r>
      <w:r>
        <w:rPr>
          <w:color w:val="231F20"/>
          <w:spacing w:val="-6"/>
        </w:rPr>
        <w:t> </w:t>
      </w:r>
      <w:r>
        <w:rPr>
          <w:color w:val="231F20"/>
        </w:rPr>
        <w:t>обучения</w:t>
      </w:r>
      <w:r>
        <w:rPr>
          <w:color w:val="231F20"/>
          <w:spacing w:val="-6"/>
        </w:rPr>
        <w:t> </w:t>
      </w:r>
      <w:r>
        <w:rPr>
          <w:color w:val="231F20"/>
        </w:rPr>
        <w:t>эффективному</w:t>
      </w:r>
      <w:r>
        <w:rPr>
          <w:color w:val="231F20"/>
          <w:spacing w:val="-6"/>
        </w:rPr>
        <w:t> </w:t>
      </w:r>
      <w:r>
        <w:rPr>
          <w:color w:val="231F20"/>
        </w:rPr>
        <w:t>кросс-культурному</w:t>
      </w:r>
      <w:r>
        <w:rPr>
          <w:color w:val="231F20"/>
          <w:spacing w:val="-6"/>
        </w:rPr>
        <w:t> </w:t>
      </w:r>
      <w:r>
        <w:rPr>
          <w:color w:val="231F20"/>
        </w:rPr>
        <w:t>взаимо- действию. Эффективность культурного ассимилятора многократно доказана в раз- личных исследованиях (см. Методические рекомендации).</w:t>
      </w:r>
    </w:p>
    <w:p>
      <w:pPr>
        <w:pStyle w:val="BodyText"/>
        <w:spacing w:after="0" w:line="242" w:lineRule="auto"/>
        <w:sectPr>
          <w:pgSz w:w="8400" w:h="11910"/>
          <w:pgMar w:header="0" w:footer="529" w:top="400" w:bottom="740" w:left="425" w:right="425"/>
        </w:sectPr>
      </w:pPr>
    </w:p>
    <w:p>
      <w:pPr>
        <w:pStyle w:val="ListParagraph"/>
        <w:numPr>
          <w:ilvl w:val="1"/>
          <w:numId w:val="58"/>
        </w:numPr>
        <w:tabs>
          <w:tab w:pos="455" w:val="left" w:leader="none"/>
        </w:tabs>
        <w:spacing w:line="240" w:lineRule="auto" w:before="80" w:after="0"/>
        <w:ind w:left="455" w:right="0" w:hanging="314"/>
        <w:jc w:val="both"/>
        <w:rPr>
          <w:rFonts w:ascii="Georgia" w:hAnsi="Georgia"/>
          <w:color w:val="231F20"/>
          <w:sz w:val="18"/>
        </w:rPr>
      </w:pPr>
      <w:r>
        <w:rPr>
          <w:rFonts w:ascii="Georgia" w:hAnsi="Georgia"/>
          <w:color w:val="231F20"/>
          <w:sz w:val="18"/>
        </w:rPr>
        <w:t>Ролевое</w:t>
      </w:r>
      <w:r>
        <w:rPr>
          <w:rFonts w:ascii="Georgia" w:hAnsi="Georgia"/>
          <w:color w:val="231F20"/>
          <w:spacing w:val="6"/>
          <w:sz w:val="18"/>
        </w:rPr>
        <w:t> </w:t>
      </w:r>
      <w:r>
        <w:rPr>
          <w:rFonts w:ascii="Georgia" w:hAnsi="Georgia"/>
          <w:color w:val="231F20"/>
          <w:sz w:val="18"/>
        </w:rPr>
        <w:t>моделирование</w:t>
      </w:r>
      <w:r>
        <w:rPr>
          <w:rFonts w:ascii="Georgia" w:hAnsi="Georgia"/>
          <w:color w:val="231F20"/>
          <w:spacing w:val="6"/>
          <w:sz w:val="18"/>
        </w:rPr>
        <w:t> </w:t>
      </w:r>
      <w:r>
        <w:rPr>
          <w:rFonts w:ascii="Georgia" w:hAnsi="Georgia"/>
          <w:color w:val="231F20"/>
          <w:sz w:val="18"/>
        </w:rPr>
        <w:t>и</w:t>
      </w:r>
      <w:r>
        <w:rPr>
          <w:rFonts w:ascii="Georgia" w:hAnsi="Georgia"/>
          <w:color w:val="231F20"/>
          <w:spacing w:val="7"/>
          <w:sz w:val="18"/>
        </w:rPr>
        <w:t> </w:t>
      </w:r>
      <w:r>
        <w:rPr>
          <w:rFonts w:ascii="Georgia" w:hAnsi="Georgia"/>
          <w:color w:val="231F20"/>
          <w:sz w:val="18"/>
        </w:rPr>
        <w:t>решение</w:t>
      </w:r>
      <w:r>
        <w:rPr>
          <w:rFonts w:ascii="Georgia" w:hAnsi="Georgia"/>
          <w:color w:val="231F20"/>
          <w:spacing w:val="6"/>
          <w:sz w:val="18"/>
        </w:rPr>
        <w:t> </w:t>
      </w:r>
      <w:r>
        <w:rPr>
          <w:rFonts w:ascii="Georgia" w:hAnsi="Georgia"/>
          <w:color w:val="231F20"/>
          <w:sz w:val="18"/>
        </w:rPr>
        <w:t>ситуации</w:t>
      </w:r>
      <w:r>
        <w:rPr>
          <w:rFonts w:ascii="Georgia" w:hAnsi="Georgia"/>
          <w:color w:val="231F20"/>
          <w:spacing w:val="7"/>
          <w:sz w:val="18"/>
        </w:rPr>
        <w:t> </w:t>
      </w:r>
      <w:r>
        <w:rPr>
          <w:rFonts w:ascii="Georgia" w:hAnsi="Georgia"/>
          <w:color w:val="231F20"/>
          <w:sz w:val="18"/>
        </w:rPr>
        <w:t>культурного</w:t>
      </w:r>
      <w:r>
        <w:rPr>
          <w:rFonts w:ascii="Georgia" w:hAnsi="Georgia"/>
          <w:color w:val="231F20"/>
          <w:spacing w:val="6"/>
          <w:sz w:val="18"/>
        </w:rPr>
        <w:t> </w:t>
      </w:r>
      <w:r>
        <w:rPr>
          <w:rFonts w:ascii="Georgia" w:hAnsi="Georgia"/>
          <w:color w:val="231F20"/>
          <w:spacing w:val="-2"/>
          <w:sz w:val="18"/>
        </w:rPr>
        <w:t>ассимилятора...</w:t>
      </w:r>
    </w:p>
    <w:p>
      <w:pPr>
        <w:pStyle w:val="BodyText"/>
        <w:spacing w:line="228" w:lineRule="exact" w:before="112"/>
        <w:ind w:left="425" w:right="0" w:firstLine="0"/>
      </w:pPr>
      <w:r>
        <w:rPr>
          <w:color w:val="231F20"/>
          <w:spacing w:val="-2"/>
        </w:rPr>
        <w:t>Культурные</w:t>
      </w:r>
      <w:r>
        <w:rPr>
          <w:color w:val="231F20"/>
          <w:spacing w:val="5"/>
        </w:rPr>
        <w:t> </w:t>
      </w:r>
      <w:r>
        <w:rPr>
          <w:color w:val="231F20"/>
          <w:spacing w:val="-2"/>
        </w:rPr>
        <w:t>ассимиляторы</w:t>
      </w:r>
      <w:r>
        <w:rPr>
          <w:color w:val="231F20"/>
          <w:spacing w:val="5"/>
        </w:rPr>
        <w:t> </w:t>
      </w:r>
      <w:r>
        <w:rPr>
          <w:color w:val="231F20"/>
          <w:spacing w:val="-2"/>
        </w:rPr>
        <w:t>состоят</w:t>
      </w:r>
      <w:r>
        <w:rPr>
          <w:color w:val="231F20"/>
          <w:spacing w:val="5"/>
        </w:rPr>
        <w:t> </w:t>
      </w:r>
      <w:r>
        <w:rPr>
          <w:color w:val="231F20"/>
          <w:spacing w:val="-5"/>
        </w:rPr>
        <w:t>из:</w:t>
      </w:r>
    </w:p>
    <w:p>
      <w:pPr>
        <w:pStyle w:val="ListParagraph"/>
        <w:numPr>
          <w:ilvl w:val="2"/>
          <w:numId w:val="58"/>
        </w:numPr>
        <w:tabs>
          <w:tab w:pos="425" w:val="left" w:leader="none"/>
        </w:tabs>
        <w:spacing w:line="235" w:lineRule="auto" w:before="2" w:after="0"/>
        <w:ind w:left="425" w:right="140" w:hanging="284"/>
        <w:jc w:val="both"/>
        <w:rPr>
          <w:sz w:val="20"/>
        </w:rPr>
      </w:pPr>
      <w:r>
        <w:rPr>
          <w:color w:val="231F20"/>
          <w:sz w:val="20"/>
        </w:rPr>
        <w:t>описания</w:t>
      </w:r>
      <w:r>
        <w:rPr>
          <w:color w:val="231F20"/>
          <w:spacing w:val="-9"/>
          <w:sz w:val="20"/>
        </w:rPr>
        <w:t> </w:t>
      </w:r>
      <w:r>
        <w:rPr>
          <w:color w:val="231F20"/>
          <w:sz w:val="20"/>
        </w:rPr>
        <w:t>ситуаций</w:t>
      </w:r>
      <w:r>
        <w:rPr>
          <w:color w:val="231F20"/>
          <w:spacing w:val="-9"/>
          <w:sz w:val="20"/>
        </w:rPr>
        <w:t> </w:t>
      </w:r>
      <w:r>
        <w:rPr>
          <w:color w:val="231F20"/>
          <w:sz w:val="20"/>
        </w:rPr>
        <w:t>(от</w:t>
      </w:r>
      <w:r>
        <w:rPr>
          <w:color w:val="231F20"/>
          <w:spacing w:val="-9"/>
          <w:sz w:val="20"/>
        </w:rPr>
        <w:t> </w:t>
      </w:r>
      <w:r>
        <w:rPr>
          <w:color w:val="231F20"/>
          <w:sz w:val="20"/>
        </w:rPr>
        <w:t>35</w:t>
      </w:r>
      <w:r>
        <w:rPr>
          <w:color w:val="231F20"/>
          <w:spacing w:val="-9"/>
          <w:sz w:val="20"/>
        </w:rPr>
        <w:t> </w:t>
      </w:r>
      <w:r>
        <w:rPr>
          <w:color w:val="231F20"/>
          <w:sz w:val="20"/>
        </w:rPr>
        <w:t>до</w:t>
      </w:r>
      <w:r>
        <w:rPr>
          <w:color w:val="231F20"/>
          <w:spacing w:val="-9"/>
          <w:sz w:val="20"/>
        </w:rPr>
        <w:t> </w:t>
      </w:r>
      <w:r>
        <w:rPr>
          <w:color w:val="231F20"/>
          <w:sz w:val="20"/>
        </w:rPr>
        <w:t>200),</w:t>
      </w:r>
      <w:r>
        <w:rPr>
          <w:color w:val="231F20"/>
          <w:spacing w:val="-9"/>
          <w:sz w:val="20"/>
        </w:rPr>
        <w:t> </w:t>
      </w:r>
      <w:r>
        <w:rPr>
          <w:color w:val="231F20"/>
          <w:sz w:val="20"/>
        </w:rPr>
        <w:t>в</w:t>
      </w:r>
      <w:r>
        <w:rPr>
          <w:color w:val="231F20"/>
          <w:spacing w:val="-9"/>
          <w:sz w:val="20"/>
        </w:rPr>
        <w:t> </w:t>
      </w:r>
      <w:r>
        <w:rPr>
          <w:color w:val="231F20"/>
          <w:sz w:val="20"/>
        </w:rPr>
        <w:t>которых</w:t>
      </w:r>
      <w:r>
        <w:rPr>
          <w:color w:val="231F20"/>
          <w:spacing w:val="-9"/>
          <w:sz w:val="20"/>
        </w:rPr>
        <w:t> </w:t>
      </w:r>
      <w:r>
        <w:rPr>
          <w:color w:val="231F20"/>
          <w:sz w:val="20"/>
        </w:rPr>
        <w:t>взаимодействуют</w:t>
      </w:r>
      <w:r>
        <w:rPr>
          <w:color w:val="231F20"/>
          <w:spacing w:val="-9"/>
          <w:sz w:val="20"/>
        </w:rPr>
        <w:t> </w:t>
      </w:r>
      <w:r>
        <w:rPr>
          <w:color w:val="231F20"/>
          <w:sz w:val="20"/>
        </w:rPr>
        <w:t>персонажи</w:t>
      </w:r>
      <w:r>
        <w:rPr>
          <w:color w:val="231F20"/>
          <w:spacing w:val="-9"/>
          <w:sz w:val="20"/>
        </w:rPr>
        <w:t> </w:t>
      </w:r>
      <w:r>
        <w:rPr>
          <w:color w:val="231F20"/>
          <w:sz w:val="20"/>
        </w:rPr>
        <w:t>из</w:t>
      </w:r>
      <w:r>
        <w:rPr>
          <w:color w:val="231F20"/>
          <w:spacing w:val="-9"/>
          <w:sz w:val="20"/>
        </w:rPr>
        <w:t> </w:t>
      </w:r>
      <w:r>
        <w:rPr>
          <w:color w:val="231F20"/>
          <w:sz w:val="20"/>
        </w:rPr>
        <w:t>двух </w:t>
      </w:r>
      <w:r>
        <w:rPr>
          <w:color w:val="231F20"/>
          <w:spacing w:val="-2"/>
          <w:sz w:val="20"/>
        </w:rPr>
        <w:t>культур;</w:t>
      </w:r>
    </w:p>
    <w:p>
      <w:pPr>
        <w:pStyle w:val="ListParagraph"/>
        <w:numPr>
          <w:ilvl w:val="2"/>
          <w:numId w:val="58"/>
        </w:numPr>
        <w:tabs>
          <w:tab w:pos="424" w:val="left" w:leader="none"/>
        </w:tabs>
        <w:spacing w:line="225" w:lineRule="exact" w:before="0" w:after="0"/>
        <w:ind w:left="424" w:right="0" w:hanging="283"/>
        <w:jc w:val="both"/>
        <w:rPr>
          <w:sz w:val="20"/>
        </w:rPr>
      </w:pPr>
      <w:r>
        <w:rPr>
          <w:color w:val="231F20"/>
          <w:sz w:val="20"/>
        </w:rPr>
        <w:t>четырех</w:t>
      </w:r>
      <w:r>
        <w:rPr>
          <w:color w:val="231F20"/>
          <w:spacing w:val="-2"/>
          <w:sz w:val="20"/>
        </w:rPr>
        <w:t> </w:t>
      </w:r>
      <w:r>
        <w:rPr>
          <w:color w:val="231F20"/>
          <w:sz w:val="20"/>
        </w:rPr>
        <w:t>интерпретаций</w:t>
      </w:r>
      <w:r>
        <w:rPr>
          <w:color w:val="231F20"/>
          <w:spacing w:val="-2"/>
          <w:sz w:val="20"/>
        </w:rPr>
        <w:t> </w:t>
      </w:r>
      <w:r>
        <w:rPr>
          <w:color w:val="231F20"/>
          <w:sz w:val="20"/>
        </w:rPr>
        <w:t>их</w:t>
      </w:r>
      <w:r>
        <w:rPr>
          <w:color w:val="231F20"/>
          <w:spacing w:val="-1"/>
          <w:sz w:val="20"/>
        </w:rPr>
        <w:t> </w:t>
      </w:r>
      <w:r>
        <w:rPr>
          <w:color w:val="231F20"/>
          <w:spacing w:val="-2"/>
          <w:sz w:val="20"/>
        </w:rPr>
        <w:t>поведения;</w:t>
      </w:r>
    </w:p>
    <w:p>
      <w:pPr>
        <w:pStyle w:val="ListParagraph"/>
        <w:numPr>
          <w:ilvl w:val="2"/>
          <w:numId w:val="58"/>
        </w:numPr>
        <w:tabs>
          <w:tab w:pos="425" w:val="left" w:leader="none"/>
        </w:tabs>
        <w:spacing w:line="235" w:lineRule="auto" w:before="2" w:after="0"/>
        <w:ind w:left="425" w:right="139" w:hanging="284"/>
        <w:jc w:val="both"/>
        <w:rPr>
          <w:sz w:val="20"/>
        </w:rPr>
      </w:pPr>
      <w:r>
        <w:rPr>
          <w:color w:val="231F20"/>
          <w:sz w:val="20"/>
        </w:rPr>
        <w:t>обратной</w:t>
      </w:r>
      <w:r>
        <w:rPr>
          <w:color w:val="231F20"/>
          <w:spacing w:val="-12"/>
          <w:sz w:val="20"/>
        </w:rPr>
        <w:t> </w:t>
      </w:r>
      <w:r>
        <w:rPr>
          <w:color w:val="231F20"/>
          <w:sz w:val="20"/>
        </w:rPr>
        <w:t>связи:</w:t>
      </w:r>
      <w:r>
        <w:rPr>
          <w:color w:val="231F20"/>
          <w:spacing w:val="-12"/>
          <w:sz w:val="20"/>
        </w:rPr>
        <w:t> </w:t>
      </w:r>
      <w:r>
        <w:rPr>
          <w:color w:val="231F20"/>
          <w:sz w:val="20"/>
        </w:rPr>
        <w:t>выделение</w:t>
      </w:r>
      <w:r>
        <w:rPr>
          <w:color w:val="231F20"/>
          <w:spacing w:val="-12"/>
          <w:sz w:val="20"/>
        </w:rPr>
        <w:t> </w:t>
      </w:r>
      <w:r>
        <w:rPr>
          <w:color w:val="231F20"/>
          <w:sz w:val="20"/>
        </w:rPr>
        <w:t>«правильной»</w:t>
      </w:r>
      <w:r>
        <w:rPr>
          <w:color w:val="231F20"/>
          <w:spacing w:val="-12"/>
          <w:sz w:val="20"/>
        </w:rPr>
        <w:t> </w:t>
      </w:r>
      <w:r>
        <w:rPr>
          <w:color w:val="231F20"/>
          <w:sz w:val="20"/>
        </w:rPr>
        <w:t>интерпретации,</w:t>
      </w:r>
      <w:r>
        <w:rPr>
          <w:color w:val="231F20"/>
          <w:spacing w:val="-12"/>
          <w:sz w:val="20"/>
        </w:rPr>
        <w:t> </w:t>
      </w:r>
      <w:r>
        <w:rPr>
          <w:color w:val="231F20"/>
          <w:sz w:val="20"/>
        </w:rPr>
        <w:t>с</w:t>
      </w:r>
      <w:r>
        <w:rPr>
          <w:color w:val="231F20"/>
          <w:spacing w:val="-12"/>
          <w:sz w:val="20"/>
        </w:rPr>
        <w:t> </w:t>
      </w:r>
      <w:r>
        <w:rPr>
          <w:color w:val="231F20"/>
          <w:sz w:val="20"/>
        </w:rPr>
        <w:t>точки</w:t>
      </w:r>
      <w:r>
        <w:rPr>
          <w:color w:val="231F20"/>
          <w:spacing w:val="-12"/>
          <w:sz w:val="20"/>
        </w:rPr>
        <w:t> </w:t>
      </w:r>
      <w:r>
        <w:rPr>
          <w:color w:val="231F20"/>
          <w:sz w:val="20"/>
        </w:rPr>
        <w:t>зрения</w:t>
      </w:r>
      <w:r>
        <w:rPr>
          <w:color w:val="231F20"/>
          <w:spacing w:val="-12"/>
          <w:sz w:val="20"/>
        </w:rPr>
        <w:t> </w:t>
      </w:r>
      <w:r>
        <w:rPr>
          <w:color w:val="231F20"/>
          <w:sz w:val="20"/>
        </w:rPr>
        <w:t>предста- вителей чужой для обучаемых культуры, и анализ ее особенностей.</w:t>
      </w:r>
    </w:p>
    <w:p>
      <w:pPr>
        <w:pStyle w:val="BodyText"/>
        <w:spacing w:line="235" w:lineRule="auto" w:before="1"/>
      </w:pPr>
      <w:r>
        <w:rPr>
          <w:color w:val="231F20"/>
        </w:rPr>
        <w:t>Задача обучаемых – выбрать ту интерпретацию поведения персонажей в каждой ситуации,</w:t>
      </w:r>
      <w:r>
        <w:rPr>
          <w:color w:val="231F20"/>
          <w:spacing w:val="-10"/>
        </w:rPr>
        <w:t> </w:t>
      </w:r>
      <w:r>
        <w:rPr>
          <w:color w:val="231F20"/>
        </w:rPr>
        <w:t>которая</w:t>
      </w:r>
      <w:r>
        <w:rPr>
          <w:color w:val="231F20"/>
          <w:spacing w:val="-10"/>
        </w:rPr>
        <w:t> </w:t>
      </w:r>
      <w:r>
        <w:rPr>
          <w:color w:val="231F20"/>
        </w:rPr>
        <w:t>соответствует</w:t>
      </w:r>
      <w:r>
        <w:rPr>
          <w:color w:val="231F20"/>
          <w:spacing w:val="-10"/>
        </w:rPr>
        <w:t> </w:t>
      </w:r>
      <w:r>
        <w:rPr>
          <w:color w:val="231F20"/>
        </w:rPr>
        <w:t>точке</w:t>
      </w:r>
      <w:r>
        <w:rPr>
          <w:color w:val="231F20"/>
          <w:spacing w:val="-10"/>
        </w:rPr>
        <w:t> </w:t>
      </w:r>
      <w:r>
        <w:rPr>
          <w:color w:val="231F20"/>
        </w:rPr>
        <w:t>зрения</w:t>
      </w:r>
      <w:r>
        <w:rPr>
          <w:color w:val="231F20"/>
          <w:spacing w:val="-10"/>
        </w:rPr>
        <w:t> </w:t>
      </w:r>
      <w:r>
        <w:rPr>
          <w:color w:val="231F20"/>
        </w:rPr>
        <w:t>представителей</w:t>
      </w:r>
      <w:r>
        <w:rPr>
          <w:color w:val="231F20"/>
          <w:spacing w:val="-10"/>
        </w:rPr>
        <w:t> </w:t>
      </w:r>
      <w:r>
        <w:rPr>
          <w:color w:val="231F20"/>
        </w:rPr>
        <w:t>чужой</w:t>
      </w:r>
      <w:r>
        <w:rPr>
          <w:color w:val="231F20"/>
          <w:spacing w:val="-10"/>
        </w:rPr>
        <w:t> </w:t>
      </w:r>
      <w:r>
        <w:rPr>
          <w:color w:val="231F20"/>
        </w:rPr>
        <w:t>для</w:t>
      </w:r>
      <w:r>
        <w:rPr>
          <w:color w:val="231F20"/>
          <w:spacing w:val="-10"/>
        </w:rPr>
        <w:t> </w:t>
      </w:r>
      <w:r>
        <w:rPr>
          <w:color w:val="231F20"/>
        </w:rPr>
        <w:t>них</w:t>
      </w:r>
      <w:r>
        <w:rPr>
          <w:color w:val="231F20"/>
          <w:spacing w:val="-10"/>
        </w:rPr>
        <w:t> </w:t>
      </w:r>
      <w:r>
        <w:rPr>
          <w:color w:val="231F20"/>
        </w:rPr>
        <w:t>группы (Стефаненко, 2013).</w:t>
      </w:r>
    </w:p>
    <w:p>
      <w:pPr>
        <w:pStyle w:val="BodyText"/>
        <w:spacing w:line="235" w:lineRule="auto" w:before="2"/>
        <w:ind w:right="140"/>
      </w:pPr>
      <w:r>
        <w:rPr>
          <w:color w:val="231F20"/>
        </w:rPr>
        <w:t>Культурный ассимилятор может проводиться с учащимися старшей школы. В рамках индивидуальной работы психолог решает с учащимися задания культурного ассимилятора, предназначенные для освоения норм российской культуры.</w:t>
      </w:r>
    </w:p>
    <w:p>
      <w:pPr>
        <w:pStyle w:val="BodyText"/>
        <w:spacing w:line="235" w:lineRule="auto" w:before="58"/>
        <w:ind w:right="140"/>
      </w:pPr>
      <w:r>
        <w:rPr>
          <w:color w:val="231F20"/>
        </w:rPr>
        <w:t>Рассмотрим пример ситуации из культурного ассимилятора (Практика работы .., </w:t>
      </w:r>
      <w:r>
        <w:rPr>
          <w:color w:val="231F20"/>
          <w:spacing w:val="-2"/>
        </w:rPr>
        <w:t>2014).</w:t>
      </w:r>
    </w:p>
    <w:p>
      <w:pPr>
        <w:spacing w:line="228" w:lineRule="exact" w:before="111"/>
        <w:ind w:left="425" w:right="0" w:firstLine="0"/>
        <w:jc w:val="both"/>
        <w:rPr>
          <w:b/>
          <w:i/>
          <w:sz w:val="20"/>
        </w:rPr>
      </w:pPr>
      <w:r>
        <w:rPr>
          <w:b/>
          <w:i/>
          <w:color w:val="231F20"/>
          <w:sz w:val="20"/>
        </w:rPr>
        <w:t>«Разговор</w:t>
      </w:r>
      <w:r>
        <w:rPr>
          <w:b/>
          <w:i/>
          <w:color w:val="231F20"/>
          <w:spacing w:val="-6"/>
          <w:sz w:val="20"/>
        </w:rPr>
        <w:t> </w:t>
      </w:r>
      <w:r>
        <w:rPr>
          <w:b/>
          <w:i/>
          <w:color w:val="231F20"/>
          <w:sz w:val="20"/>
        </w:rPr>
        <w:t>с</w:t>
      </w:r>
      <w:r>
        <w:rPr>
          <w:b/>
          <w:i/>
          <w:color w:val="231F20"/>
          <w:spacing w:val="-5"/>
          <w:sz w:val="20"/>
        </w:rPr>
        <w:t> </w:t>
      </w:r>
      <w:r>
        <w:rPr>
          <w:b/>
          <w:i/>
          <w:color w:val="231F20"/>
          <w:spacing w:val="-2"/>
          <w:sz w:val="20"/>
        </w:rPr>
        <w:t>учительницей»</w:t>
      </w:r>
    </w:p>
    <w:p>
      <w:pPr>
        <w:pStyle w:val="BodyText"/>
        <w:spacing w:line="235" w:lineRule="auto" w:before="2"/>
      </w:pPr>
      <w:r>
        <w:rPr>
          <w:color w:val="231F20"/>
        </w:rPr>
        <w:t>Учительница вызвала папу Ахрора в школу вместе с папой Сережи, потому что мальчики разбили лампочки в коридоре. Она долго отчитывала их. Папе Ахрора по- казалось, что она пристально смотрела им обоим в глаза. Он был смущен. Потом учительница</w:t>
      </w:r>
      <w:r>
        <w:rPr>
          <w:color w:val="231F20"/>
          <w:spacing w:val="-13"/>
        </w:rPr>
        <w:t> </w:t>
      </w:r>
      <w:r>
        <w:rPr>
          <w:color w:val="231F20"/>
        </w:rPr>
        <w:t>продолжила</w:t>
      </w:r>
      <w:r>
        <w:rPr>
          <w:color w:val="231F20"/>
          <w:spacing w:val="-12"/>
        </w:rPr>
        <w:t> </w:t>
      </w:r>
      <w:r>
        <w:rPr>
          <w:color w:val="231F20"/>
        </w:rPr>
        <w:t>говорить</w:t>
      </w:r>
      <w:r>
        <w:rPr>
          <w:color w:val="231F20"/>
          <w:spacing w:val="-13"/>
        </w:rPr>
        <w:t> </w:t>
      </w:r>
      <w:r>
        <w:rPr>
          <w:color w:val="231F20"/>
        </w:rPr>
        <w:t>и</w:t>
      </w:r>
      <w:r>
        <w:rPr>
          <w:color w:val="231F20"/>
          <w:spacing w:val="-12"/>
        </w:rPr>
        <w:t> </w:t>
      </w:r>
      <w:r>
        <w:rPr>
          <w:color w:val="231F20"/>
        </w:rPr>
        <w:t>сказала</w:t>
      </w:r>
      <w:r>
        <w:rPr>
          <w:color w:val="231F20"/>
          <w:spacing w:val="-13"/>
        </w:rPr>
        <w:t> </w:t>
      </w:r>
      <w:r>
        <w:rPr>
          <w:color w:val="231F20"/>
        </w:rPr>
        <w:t>о</w:t>
      </w:r>
      <w:r>
        <w:rPr>
          <w:color w:val="231F20"/>
          <w:spacing w:val="-12"/>
        </w:rPr>
        <w:t> </w:t>
      </w:r>
      <w:r>
        <w:rPr>
          <w:color w:val="231F20"/>
        </w:rPr>
        <w:t>том,</w:t>
      </w:r>
      <w:r>
        <w:rPr>
          <w:color w:val="231F20"/>
          <w:spacing w:val="-13"/>
        </w:rPr>
        <w:t> </w:t>
      </w:r>
      <w:r>
        <w:rPr>
          <w:color w:val="231F20"/>
        </w:rPr>
        <w:t>что</w:t>
      </w:r>
      <w:r>
        <w:rPr>
          <w:color w:val="231F20"/>
          <w:spacing w:val="-12"/>
        </w:rPr>
        <w:t> </w:t>
      </w:r>
      <w:r>
        <w:rPr>
          <w:color w:val="231F20"/>
        </w:rPr>
        <w:t>Ахрор</w:t>
      </w:r>
      <w:r>
        <w:rPr>
          <w:color w:val="231F20"/>
          <w:spacing w:val="-13"/>
        </w:rPr>
        <w:t> </w:t>
      </w:r>
      <w:r>
        <w:rPr>
          <w:color w:val="231F20"/>
        </w:rPr>
        <w:t>хорошо</w:t>
      </w:r>
      <w:r>
        <w:rPr>
          <w:color w:val="231F20"/>
          <w:spacing w:val="-12"/>
        </w:rPr>
        <w:t> </w:t>
      </w:r>
      <w:r>
        <w:rPr>
          <w:color w:val="231F20"/>
        </w:rPr>
        <w:t>написал</w:t>
      </w:r>
      <w:r>
        <w:rPr>
          <w:color w:val="231F20"/>
          <w:spacing w:val="-13"/>
        </w:rPr>
        <w:t> </w:t>
      </w:r>
      <w:r>
        <w:rPr>
          <w:color w:val="231F20"/>
        </w:rPr>
        <w:t>работу по математике, так же не сводя с отца глаз.</w:t>
      </w:r>
    </w:p>
    <w:p>
      <w:pPr>
        <w:pStyle w:val="BodyText"/>
        <w:spacing w:line="227" w:lineRule="exact"/>
        <w:ind w:left="425" w:right="0" w:firstLine="0"/>
      </w:pPr>
      <w:r>
        <w:rPr>
          <w:color w:val="231F20"/>
        </w:rPr>
        <w:t>Как</w:t>
      </w:r>
      <w:r>
        <w:rPr>
          <w:color w:val="231F20"/>
          <w:spacing w:val="-2"/>
        </w:rPr>
        <w:t> </w:t>
      </w:r>
      <w:r>
        <w:rPr>
          <w:color w:val="231F20"/>
        </w:rPr>
        <w:t>вы</w:t>
      </w:r>
      <w:r>
        <w:rPr>
          <w:color w:val="231F20"/>
          <w:spacing w:val="-2"/>
        </w:rPr>
        <w:t> </w:t>
      </w:r>
      <w:r>
        <w:rPr>
          <w:color w:val="231F20"/>
        </w:rPr>
        <w:t>объясните</w:t>
      </w:r>
      <w:r>
        <w:rPr>
          <w:color w:val="231F20"/>
          <w:spacing w:val="-2"/>
        </w:rPr>
        <w:t> </w:t>
      </w:r>
      <w:r>
        <w:rPr>
          <w:color w:val="231F20"/>
        </w:rPr>
        <w:t>папе</w:t>
      </w:r>
      <w:r>
        <w:rPr>
          <w:color w:val="231F20"/>
          <w:spacing w:val="-1"/>
        </w:rPr>
        <w:t> </w:t>
      </w:r>
      <w:r>
        <w:rPr>
          <w:color w:val="231F20"/>
        </w:rPr>
        <w:t>Ахрора,</w:t>
      </w:r>
      <w:r>
        <w:rPr>
          <w:color w:val="231F20"/>
          <w:spacing w:val="-2"/>
        </w:rPr>
        <w:t> </w:t>
      </w:r>
      <w:r>
        <w:rPr>
          <w:color w:val="231F20"/>
        </w:rPr>
        <w:t>почему</w:t>
      </w:r>
      <w:r>
        <w:rPr>
          <w:color w:val="231F20"/>
          <w:spacing w:val="-2"/>
        </w:rPr>
        <w:t> </w:t>
      </w:r>
      <w:r>
        <w:rPr>
          <w:color w:val="231F20"/>
        </w:rPr>
        <w:t>учительница</w:t>
      </w:r>
      <w:r>
        <w:rPr>
          <w:color w:val="231F20"/>
          <w:spacing w:val="-1"/>
        </w:rPr>
        <w:t> </w:t>
      </w:r>
      <w:r>
        <w:rPr>
          <w:color w:val="231F20"/>
        </w:rPr>
        <w:t>так</w:t>
      </w:r>
      <w:r>
        <w:rPr>
          <w:color w:val="231F20"/>
          <w:spacing w:val="-2"/>
        </w:rPr>
        <w:t> </w:t>
      </w:r>
      <w:r>
        <w:rPr>
          <w:color w:val="231F20"/>
        </w:rPr>
        <w:t>смотрела</w:t>
      </w:r>
      <w:r>
        <w:rPr>
          <w:color w:val="231F20"/>
          <w:spacing w:val="-2"/>
        </w:rPr>
        <w:t> </w:t>
      </w:r>
      <w:r>
        <w:rPr>
          <w:color w:val="231F20"/>
        </w:rPr>
        <w:t>на</w:t>
      </w:r>
      <w:r>
        <w:rPr>
          <w:color w:val="231F20"/>
          <w:spacing w:val="-1"/>
        </w:rPr>
        <w:t> </w:t>
      </w:r>
      <w:r>
        <w:rPr>
          <w:color w:val="231F20"/>
          <w:spacing w:val="-2"/>
        </w:rPr>
        <w:t>родителей?</w:t>
      </w:r>
    </w:p>
    <w:p>
      <w:pPr>
        <w:pStyle w:val="ListParagraph"/>
        <w:numPr>
          <w:ilvl w:val="0"/>
          <w:numId w:val="224"/>
        </w:numPr>
        <w:tabs>
          <w:tab w:pos="424" w:val="left" w:leader="none"/>
        </w:tabs>
        <w:spacing w:line="226" w:lineRule="exact" w:before="0" w:after="0"/>
        <w:ind w:left="424" w:right="0" w:hanging="283"/>
        <w:jc w:val="both"/>
        <w:rPr>
          <w:sz w:val="20"/>
        </w:rPr>
      </w:pPr>
      <w:r>
        <w:rPr>
          <w:color w:val="231F20"/>
          <w:sz w:val="20"/>
        </w:rPr>
        <w:t>Учительница</w:t>
      </w:r>
      <w:r>
        <w:rPr>
          <w:color w:val="231F20"/>
          <w:spacing w:val="-7"/>
          <w:sz w:val="20"/>
        </w:rPr>
        <w:t> </w:t>
      </w:r>
      <w:r>
        <w:rPr>
          <w:color w:val="231F20"/>
          <w:sz w:val="20"/>
        </w:rPr>
        <w:t>хотела</w:t>
      </w:r>
      <w:r>
        <w:rPr>
          <w:color w:val="231F20"/>
          <w:spacing w:val="-4"/>
          <w:sz w:val="20"/>
        </w:rPr>
        <w:t> </w:t>
      </w:r>
      <w:r>
        <w:rPr>
          <w:color w:val="231F20"/>
          <w:sz w:val="20"/>
        </w:rPr>
        <w:t>этим</w:t>
      </w:r>
      <w:r>
        <w:rPr>
          <w:color w:val="231F20"/>
          <w:spacing w:val="-4"/>
          <w:sz w:val="20"/>
        </w:rPr>
        <w:t> </w:t>
      </w:r>
      <w:r>
        <w:rPr>
          <w:color w:val="231F20"/>
          <w:sz w:val="20"/>
        </w:rPr>
        <w:t>показать,</w:t>
      </w:r>
      <w:r>
        <w:rPr>
          <w:color w:val="231F20"/>
          <w:spacing w:val="-4"/>
          <w:sz w:val="20"/>
        </w:rPr>
        <w:t> </w:t>
      </w:r>
      <w:r>
        <w:rPr>
          <w:color w:val="231F20"/>
          <w:sz w:val="20"/>
        </w:rPr>
        <w:t>как</w:t>
      </w:r>
      <w:r>
        <w:rPr>
          <w:color w:val="231F20"/>
          <w:spacing w:val="-4"/>
          <w:sz w:val="20"/>
        </w:rPr>
        <w:t> </w:t>
      </w:r>
      <w:r>
        <w:rPr>
          <w:color w:val="231F20"/>
          <w:sz w:val="20"/>
        </w:rPr>
        <w:t>ужасно</w:t>
      </w:r>
      <w:r>
        <w:rPr>
          <w:color w:val="231F20"/>
          <w:spacing w:val="-4"/>
          <w:sz w:val="20"/>
        </w:rPr>
        <w:t> </w:t>
      </w:r>
      <w:r>
        <w:rPr>
          <w:color w:val="231F20"/>
          <w:sz w:val="20"/>
        </w:rPr>
        <w:t>вели</w:t>
      </w:r>
      <w:r>
        <w:rPr>
          <w:color w:val="231F20"/>
          <w:spacing w:val="-5"/>
          <w:sz w:val="20"/>
        </w:rPr>
        <w:t> </w:t>
      </w:r>
      <w:r>
        <w:rPr>
          <w:color w:val="231F20"/>
          <w:sz w:val="20"/>
        </w:rPr>
        <w:t>себя</w:t>
      </w:r>
      <w:r>
        <w:rPr>
          <w:color w:val="231F20"/>
          <w:spacing w:val="-4"/>
          <w:sz w:val="20"/>
        </w:rPr>
        <w:t> </w:t>
      </w:r>
      <w:r>
        <w:rPr>
          <w:color w:val="231F20"/>
          <w:spacing w:val="-2"/>
          <w:sz w:val="20"/>
        </w:rPr>
        <w:t>дети.</w:t>
      </w:r>
    </w:p>
    <w:p>
      <w:pPr>
        <w:pStyle w:val="ListParagraph"/>
        <w:numPr>
          <w:ilvl w:val="0"/>
          <w:numId w:val="224"/>
        </w:numPr>
        <w:tabs>
          <w:tab w:pos="425" w:val="left" w:leader="none"/>
        </w:tabs>
        <w:spacing w:line="235" w:lineRule="auto" w:before="2" w:after="0"/>
        <w:ind w:left="425" w:right="139" w:hanging="284"/>
        <w:jc w:val="both"/>
        <w:rPr>
          <w:sz w:val="20"/>
        </w:rPr>
      </w:pPr>
      <w:r>
        <w:rPr>
          <w:color w:val="231F20"/>
          <w:sz w:val="20"/>
        </w:rPr>
        <w:t>Учительница</w:t>
      </w:r>
      <w:r>
        <w:rPr>
          <w:color w:val="231F20"/>
          <w:spacing w:val="-7"/>
          <w:sz w:val="20"/>
        </w:rPr>
        <w:t> </w:t>
      </w:r>
      <w:r>
        <w:rPr>
          <w:color w:val="231F20"/>
          <w:sz w:val="20"/>
        </w:rPr>
        <w:t>не</w:t>
      </w:r>
      <w:r>
        <w:rPr>
          <w:color w:val="231F20"/>
          <w:spacing w:val="-6"/>
          <w:sz w:val="20"/>
        </w:rPr>
        <w:t> </w:t>
      </w:r>
      <w:r>
        <w:rPr>
          <w:color w:val="231F20"/>
          <w:sz w:val="20"/>
        </w:rPr>
        <w:t>знала</w:t>
      </w:r>
      <w:r>
        <w:rPr>
          <w:color w:val="231F20"/>
          <w:spacing w:val="-7"/>
          <w:sz w:val="20"/>
        </w:rPr>
        <w:t> </w:t>
      </w:r>
      <w:r>
        <w:rPr>
          <w:color w:val="231F20"/>
          <w:sz w:val="20"/>
        </w:rPr>
        <w:t>или</w:t>
      </w:r>
      <w:r>
        <w:rPr>
          <w:color w:val="231F20"/>
          <w:spacing w:val="-7"/>
          <w:sz w:val="20"/>
        </w:rPr>
        <w:t> </w:t>
      </w:r>
      <w:r>
        <w:rPr>
          <w:color w:val="231F20"/>
          <w:sz w:val="20"/>
        </w:rPr>
        <w:t>не</w:t>
      </w:r>
      <w:r>
        <w:rPr>
          <w:color w:val="231F20"/>
          <w:spacing w:val="-6"/>
          <w:sz w:val="20"/>
        </w:rPr>
        <w:t> </w:t>
      </w:r>
      <w:r>
        <w:rPr>
          <w:color w:val="231F20"/>
          <w:sz w:val="20"/>
        </w:rPr>
        <w:t>учла,</w:t>
      </w:r>
      <w:r>
        <w:rPr>
          <w:color w:val="231F20"/>
          <w:spacing w:val="-7"/>
          <w:sz w:val="20"/>
        </w:rPr>
        <w:t> </w:t>
      </w:r>
      <w:r>
        <w:rPr>
          <w:color w:val="231F20"/>
          <w:sz w:val="20"/>
        </w:rPr>
        <w:t>что</w:t>
      </w:r>
      <w:r>
        <w:rPr>
          <w:color w:val="231F20"/>
          <w:spacing w:val="-6"/>
          <w:sz w:val="20"/>
        </w:rPr>
        <w:t> </w:t>
      </w:r>
      <w:r>
        <w:rPr>
          <w:color w:val="231F20"/>
          <w:sz w:val="20"/>
        </w:rPr>
        <w:t>в</w:t>
      </w:r>
      <w:r>
        <w:rPr>
          <w:color w:val="231F20"/>
          <w:spacing w:val="-7"/>
          <w:sz w:val="20"/>
        </w:rPr>
        <w:t> </w:t>
      </w:r>
      <w:r>
        <w:rPr>
          <w:color w:val="231F20"/>
          <w:sz w:val="20"/>
        </w:rPr>
        <w:t>мусульманской</w:t>
      </w:r>
      <w:r>
        <w:rPr>
          <w:color w:val="231F20"/>
          <w:spacing w:val="-7"/>
          <w:sz w:val="20"/>
        </w:rPr>
        <w:t> </w:t>
      </w:r>
      <w:r>
        <w:rPr>
          <w:color w:val="231F20"/>
          <w:sz w:val="20"/>
        </w:rPr>
        <w:t>культуре</w:t>
      </w:r>
      <w:r>
        <w:rPr>
          <w:color w:val="231F20"/>
          <w:spacing w:val="-7"/>
          <w:sz w:val="20"/>
        </w:rPr>
        <w:t> </w:t>
      </w:r>
      <w:r>
        <w:rPr>
          <w:color w:val="231F20"/>
          <w:sz w:val="20"/>
        </w:rPr>
        <w:t>женщине</w:t>
      </w:r>
      <w:r>
        <w:rPr>
          <w:color w:val="231F20"/>
          <w:spacing w:val="-6"/>
          <w:sz w:val="20"/>
        </w:rPr>
        <w:t> </w:t>
      </w:r>
      <w:r>
        <w:rPr>
          <w:color w:val="231F20"/>
          <w:sz w:val="20"/>
        </w:rPr>
        <w:t>в</w:t>
      </w:r>
      <w:r>
        <w:rPr>
          <w:color w:val="231F20"/>
          <w:spacing w:val="-7"/>
          <w:sz w:val="20"/>
        </w:rPr>
        <w:t> </w:t>
      </w:r>
      <w:r>
        <w:rPr>
          <w:color w:val="231F20"/>
          <w:sz w:val="20"/>
        </w:rPr>
        <w:t>раз- говоре с мужчиной полагается опускать глаза, а она, глядя в глаза папе Ахрора, смущает его.</w:t>
      </w:r>
    </w:p>
    <w:p>
      <w:pPr>
        <w:pStyle w:val="ListParagraph"/>
        <w:numPr>
          <w:ilvl w:val="0"/>
          <w:numId w:val="224"/>
        </w:numPr>
        <w:tabs>
          <w:tab w:pos="425" w:val="left" w:leader="none"/>
        </w:tabs>
        <w:spacing w:line="235" w:lineRule="auto" w:before="1" w:after="0"/>
        <w:ind w:left="425" w:right="139" w:hanging="284"/>
        <w:jc w:val="both"/>
        <w:rPr>
          <w:sz w:val="20"/>
        </w:rPr>
      </w:pPr>
      <w:r>
        <w:rPr>
          <w:color w:val="231F20"/>
          <w:sz w:val="20"/>
        </w:rPr>
        <w:t>Учительница знала особенности мусульманской традиции и специально издева- лась над папой Ахрора.</w:t>
      </w:r>
    </w:p>
    <w:p>
      <w:pPr>
        <w:pStyle w:val="ListParagraph"/>
        <w:numPr>
          <w:ilvl w:val="0"/>
          <w:numId w:val="224"/>
        </w:numPr>
        <w:tabs>
          <w:tab w:pos="425" w:val="left" w:leader="none"/>
        </w:tabs>
        <w:spacing w:line="235" w:lineRule="auto" w:before="2" w:after="0"/>
        <w:ind w:left="425" w:right="139" w:hanging="284"/>
        <w:jc w:val="both"/>
        <w:rPr>
          <w:sz w:val="20"/>
        </w:rPr>
      </w:pPr>
      <w:r>
        <w:rPr>
          <w:color w:val="231F20"/>
          <w:sz w:val="20"/>
        </w:rPr>
        <w:t>Учительница</w:t>
      </w:r>
      <w:r>
        <w:rPr>
          <w:color w:val="231F20"/>
          <w:spacing w:val="-6"/>
          <w:sz w:val="20"/>
        </w:rPr>
        <w:t> </w:t>
      </w:r>
      <w:r>
        <w:rPr>
          <w:color w:val="231F20"/>
          <w:sz w:val="20"/>
        </w:rPr>
        <w:t>–</w:t>
      </w:r>
      <w:r>
        <w:rPr>
          <w:color w:val="231F20"/>
          <w:spacing w:val="-6"/>
          <w:sz w:val="20"/>
        </w:rPr>
        <w:t> </w:t>
      </w:r>
      <w:r>
        <w:rPr>
          <w:color w:val="231F20"/>
          <w:sz w:val="20"/>
        </w:rPr>
        <w:t>невоспитанная</w:t>
      </w:r>
      <w:r>
        <w:rPr>
          <w:color w:val="231F20"/>
          <w:spacing w:val="-6"/>
          <w:sz w:val="20"/>
        </w:rPr>
        <w:t> </w:t>
      </w:r>
      <w:r>
        <w:rPr>
          <w:color w:val="231F20"/>
          <w:sz w:val="20"/>
        </w:rPr>
        <w:t>вульгарная</w:t>
      </w:r>
      <w:r>
        <w:rPr>
          <w:color w:val="231F20"/>
          <w:spacing w:val="-6"/>
          <w:sz w:val="20"/>
        </w:rPr>
        <w:t> </w:t>
      </w:r>
      <w:r>
        <w:rPr>
          <w:color w:val="231F20"/>
          <w:sz w:val="20"/>
        </w:rPr>
        <w:t>женщина,</w:t>
      </w:r>
      <w:r>
        <w:rPr>
          <w:color w:val="231F20"/>
          <w:spacing w:val="-6"/>
          <w:sz w:val="20"/>
        </w:rPr>
        <w:t> </w:t>
      </w:r>
      <w:r>
        <w:rPr>
          <w:color w:val="231F20"/>
          <w:sz w:val="20"/>
        </w:rPr>
        <w:t>она</w:t>
      </w:r>
      <w:r>
        <w:rPr>
          <w:color w:val="231F20"/>
          <w:spacing w:val="-6"/>
          <w:sz w:val="20"/>
        </w:rPr>
        <w:t> </w:t>
      </w:r>
      <w:r>
        <w:rPr>
          <w:color w:val="231F20"/>
          <w:sz w:val="20"/>
        </w:rPr>
        <w:t>всегда</w:t>
      </w:r>
      <w:r>
        <w:rPr>
          <w:color w:val="231F20"/>
          <w:spacing w:val="-6"/>
          <w:sz w:val="20"/>
        </w:rPr>
        <w:t> </w:t>
      </w:r>
      <w:r>
        <w:rPr>
          <w:color w:val="231F20"/>
          <w:sz w:val="20"/>
        </w:rPr>
        <w:t>так</w:t>
      </w:r>
      <w:r>
        <w:rPr>
          <w:color w:val="231F20"/>
          <w:spacing w:val="-6"/>
          <w:sz w:val="20"/>
        </w:rPr>
        <w:t> </w:t>
      </w:r>
      <w:r>
        <w:rPr>
          <w:color w:val="231F20"/>
          <w:sz w:val="20"/>
        </w:rPr>
        <w:t>разговаривает с мужчинами.</w:t>
      </w:r>
    </w:p>
    <w:p>
      <w:pPr>
        <w:pStyle w:val="BodyText"/>
        <w:spacing w:line="235" w:lineRule="auto" w:before="1"/>
        <w:jc w:val="right"/>
      </w:pPr>
      <w:r>
        <w:rPr>
          <w:color w:val="231F20"/>
        </w:rPr>
        <w:t>Вариант</w:t>
      </w:r>
      <w:r>
        <w:rPr>
          <w:color w:val="231F20"/>
          <w:spacing w:val="-4"/>
        </w:rPr>
        <w:t> </w:t>
      </w:r>
      <w:r>
        <w:rPr>
          <w:color w:val="231F20"/>
        </w:rPr>
        <w:t>1.</w:t>
      </w:r>
      <w:r>
        <w:rPr>
          <w:color w:val="231F20"/>
          <w:spacing w:val="-4"/>
        </w:rPr>
        <w:t> </w:t>
      </w:r>
      <w:r>
        <w:rPr>
          <w:color w:val="231F20"/>
        </w:rPr>
        <w:t>Это</w:t>
      </w:r>
      <w:r>
        <w:rPr>
          <w:color w:val="231F20"/>
          <w:spacing w:val="-4"/>
        </w:rPr>
        <w:t> </w:t>
      </w:r>
      <w:r>
        <w:rPr>
          <w:color w:val="231F20"/>
        </w:rPr>
        <w:t>неправильный</w:t>
      </w:r>
      <w:r>
        <w:rPr>
          <w:color w:val="231F20"/>
          <w:spacing w:val="-3"/>
        </w:rPr>
        <w:t> </w:t>
      </w:r>
      <w:r>
        <w:rPr>
          <w:color w:val="231F20"/>
        </w:rPr>
        <w:t>ответ.</w:t>
      </w:r>
      <w:r>
        <w:rPr>
          <w:color w:val="231F20"/>
          <w:spacing w:val="-4"/>
        </w:rPr>
        <w:t> </w:t>
      </w:r>
      <w:r>
        <w:rPr>
          <w:color w:val="231F20"/>
        </w:rPr>
        <w:t>Учительница</w:t>
      </w:r>
      <w:r>
        <w:rPr>
          <w:color w:val="231F20"/>
          <w:spacing w:val="-3"/>
        </w:rPr>
        <w:t> </w:t>
      </w:r>
      <w:r>
        <w:rPr>
          <w:color w:val="231F20"/>
        </w:rPr>
        <w:t>действительно</w:t>
      </w:r>
      <w:r>
        <w:rPr>
          <w:color w:val="231F20"/>
          <w:spacing w:val="-4"/>
        </w:rPr>
        <w:t> </w:t>
      </w:r>
      <w:r>
        <w:rPr>
          <w:color w:val="231F20"/>
        </w:rPr>
        <w:t>была</w:t>
      </w:r>
      <w:r>
        <w:rPr>
          <w:color w:val="231F20"/>
          <w:spacing w:val="-4"/>
        </w:rPr>
        <w:t> </w:t>
      </w:r>
      <w:r>
        <w:rPr>
          <w:color w:val="231F20"/>
        </w:rPr>
        <w:t>рассерже- на</w:t>
      </w:r>
      <w:r>
        <w:rPr>
          <w:color w:val="231F20"/>
          <w:spacing w:val="-3"/>
        </w:rPr>
        <w:t> </w:t>
      </w:r>
      <w:r>
        <w:rPr>
          <w:color w:val="231F20"/>
        </w:rPr>
        <w:t>на</w:t>
      </w:r>
      <w:r>
        <w:rPr>
          <w:color w:val="231F20"/>
          <w:spacing w:val="-3"/>
        </w:rPr>
        <w:t> </w:t>
      </w:r>
      <w:r>
        <w:rPr>
          <w:color w:val="231F20"/>
        </w:rPr>
        <w:t>мальчиков,</w:t>
      </w:r>
      <w:r>
        <w:rPr>
          <w:color w:val="231F20"/>
          <w:spacing w:val="-3"/>
        </w:rPr>
        <w:t> </w:t>
      </w:r>
      <w:r>
        <w:rPr>
          <w:color w:val="231F20"/>
        </w:rPr>
        <w:t>но</w:t>
      </w:r>
      <w:r>
        <w:rPr>
          <w:color w:val="231F20"/>
          <w:spacing w:val="-3"/>
        </w:rPr>
        <w:t> </w:t>
      </w:r>
      <w:r>
        <w:rPr>
          <w:color w:val="231F20"/>
        </w:rPr>
        <w:t>в</w:t>
      </w:r>
      <w:r>
        <w:rPr>
          <w:color w:val="231F20"/>
          <w:spacing w:val="-4"/>
        </w:rPr>
        <w:t> </w:t>
      </w:r>
      <w:r>
        <w:rPr>
          <w:color w:val="231F20"/>
        </w:rPr>
        <w:t>такой</w:t>
      </w:r>
      <w:r>
        <w:rPr>
          <w:color w:val="231F20"/>
          <w:spacing w:val="-4"/>
        </w:rPr>
        <w:t> </w:t>
      </w:r>
      <w:r>
        <w:rPr>
          <w:color w:val="231F20"/>
        </w:rPr>
        <w:t>же</w:t>
      </w:r>
      <w:r>
        <w:rPr>
          <w:color w:val="231F20"/>
          <w:spacing w:val="-3"/>
        </w:rPr>
        <w:t> </w:t>
      </w:r>
      <w:r>
        <w:rPr>
          <w:color w:val="231F20"/>
        </w:rPr>
        <w:t>манере</w:t>
      </w:r>
      <w:r>
        <w:rPr>
          <w:color w:val="231F20"/>
          <w:spacing w:val="-3"/>
        </w:rPr>
        <w:t> </w:t>
      </w:r>
      <w:r>
        <w:rPr>
          <w:color w:val="231F20"/>
        </w:rPr>
        <w:t>и</w:t>
      </w:r>
      <w:r>
        <w:rPr>
          <w:color w:val="231F20"/>
          <w:spacing w:val="-4"/>
        </w:rPr>
        <w:t> </w:t>
      </w:r>
      <w:r>
        <w:rPr>
          <w:color w:val="231F20"/>
        </w:rPr>
        <w:t>похвалила</w:t>
      </w:r>
      <w:r>
        <w:rPr>
          <w:color w:val="231F20"/>
          <w:spacing w:val="-3"/>
        </w:rPr>
        <w:t> </w:t>
      </w:r>
      <w:r>
        <w:rPr>
          <w:color w:val="231F20"/>
        </w:rPr>
        <w:t>Ахрора</w:t>
      </w:r>
      <w:r>
        <w:rPr>
          <w:color w:val="231F20"/>
          <w:spacing w:val="-3"/>
        </w:rPr>
        <w:t> </w:t>
      </w:r>
      <w:r>
        <w:rPr>
          <w:color w:val="231F20"/>
        </w:rPr>
        <w:t>за</w:t>
      </w:r>
      <w:r>
        <w:rPr>
          <w:color w:val="231F20"/>
          <w:spacing w:val="-3"/>
        </w:rPr>
        <w:t> </w:t>
      </w:r>
      <w:r>
        <w:rPr>
          <w:color w:val="231F20"/>
        </w:rPr>
        <w:t>работу</w:t>
      </w:r>
      <w:r>
        <w:rPr>
          <w:color w:val="231F20"/>
          <w:spacing w:val="-3"/>
        </w:rPr>
        <w:t> </w:t>
      </w:r>
      <w:r>
        <w:rPr>
          <w:color w:val="231F20"/>
        </w:rPr>
        <w:t>по</w:t>
      </w:r>
      <w:r>
        <w:rPr>
          <w:color w:val="231F20"/>
          <w:spacing w:val="-3"/>
        </w:rPr>
        <w:t> </w:t>
      </w:r>
      <w:r>
        <w:rPr>
          <w:color w:val="231F20"/>
        </w:rPr>
        <w:t>математике. Вариант 2. Это верный вариант ответа. Учительница могла не иметь представле-</w:t>
      </w:r>
      <w:r>
        <w:rPr>
          <w:color w:val="231F20"/>
          <w:spacing w:val="40"/>
        </w:rPr>
        <w:t> </w:t>
      </w:r>
      <w:r>
        <w:rPr>
          <w:color w:val="231F20"/>
        </w:rPr>
        <w:t>ния</w:t>
      </w:r>
      <w:r>
        <w:rPr>
          <w:color w:val="231F20"/>
          <w:spacing w:val="-4"/>
        </w:rPr>
        <w:t> </w:t>
      </w:r>
      <w:r>
        <w:rPr>
          <w:color w:val="231F20"/>
        </w:rPr>
        <w:t>о</w:t>
      </w:r>
      <w:r>
        <w:rPr>
          <w:color w:val="231F20"/>
          <w:spacing w:val="-4"/>
        </w:rPr>
        <w:t> </w:t>
      </w:r>
      <w:r>
        <w:rPr>
          <w:color w:val="231F20"/>
        </w:rPr>
        <w:t>традициях</w:t>
      </w:r>
      <w:r>
        <w:rPr>
          <w:color w:val="231F20"/>
          <w:spacing w:val="-4"/>
        </w:rPr>
        <w:t> </w:t>
      </w:r>
      <w:r>
        <w:rPr>
          <w:color w:val="231F20"/>
        </w:rPr>
        <w:t>другой</w:t>
      </w:r>
      <w:r>
        <w:rPr>
          <w:color w:val="231F20"/>
          <w:spacing w:val="-5"/>
        </w:rPr>
        <w:t> </w:t>
      </w:r>
      <w:r>
        <w:rPr>
          <w:color w:val="231F20"/>
        </w:rPr>
        <w:t>культуры,</w:t>
      </w:r>
      <w:r>
        <w:rPr>
          <w:color w:val="231F20"/>
          <w:spacing w:val="-4"/>
        </w:rPr>
        <w:t> </w:t>
      </w:r>
      <w:r>
        <w:rPr>
          <w:color w:val="231F20"/>
        </w:rPr>
        <w:t>а</w:t>
      </w:r>
      <w:r>
        <w:rPr>
          <w:color w:val="231F20"/>
          <w:spacing w:val="-4"/>
        </w:rPr>
        <w:t> </w:t>
      </w:r>
      <w:r>
        <w:rPr>
          <w:color w:val="231F20"/>
        </w:rPr>
        <w:t>даже</w:t>
      </w:r>
      <w:r>
        <w:rPr>
          <w:color w:val="231F20"/>
          <w:spacing w:val="-4"/>
        </w:rPr>
        <w:t> </w:t>
      </w:r>
      <w:r>
        <w:rPr>
          <w:color w:val="231F20"/>
        </w:rPr>
        <w:t>если</w:t>
      </w:r>
      <w:r>
        <w:rPr>
          <w:color w:val="231F20"/>
          <w:spacing w:val="-5"/>
        </w:rPr>
        <w:t> </w:t>
      </w:r>
      <w:r>
        <w:rPr>
          <w:color w:val="231F20"/>
        </w:rPr>
        <w:t>имеет,</w:t>
      </w:r>
      <w:r>
        <w:rPr>
          <w:color w:val="231F20"/>
          <w:spacing w:val="-4"/>
        </w:rPr>
        <w:t> </w:t>
      </w:r>
      <w:r>
        <w:rPr>
          <w:color w:val="231F20"/>
        </w:rPr>
        <w:t>то</w:t>
      </w:r>
      <w:r>
        <w:rPr>
          <w:color w:val="231F20"/>
          <w:spacing w:val="-4"/>
        </w:rPr>
        <w:t> </w:t>
      </w:r>
      <w:r>
        <w:rPr>
          <w:color w:val="231F20"/>
        </w:rPr>
        <w:t>не</w:t>
      </w:r>
      <w:r>
        <w:rPr>
          <w:color w:val="231F20"/>
          <w:spacing w:val="-4"/>
        </w:rPr>
        <w:t> </w:t>
      </w:r>
      <w:r>
        <w:rPr>
          <w:color w:val="231F20"/>
        </w:rPr>
        <w:t>учитывает</w:t>
      </w:r>
      <w:r>
        <w:rPr>
          <w:color w:val="231F20"/>
          <w:spacing w:val="-4"/>
        </w:rPr>
        <w:t> </w:t>
      </w:r>
      <w:r>
        <w:rPr>
          <w:color w:val="231F20"/>
        </w:rPr>
        <w:t>их</w:t>
      </w:r>
      <w:r>
        <w:rPr>
          <w:color w:val="231F20"/>
          <w:spacing w:val="-4"/>
        </w:rPr>
        <w:t> </w:t>
      </w:r>
      <w:r>
        <w:rPr>
          <w:color w:val="231F20"/>
        </w:rPr>
        <w:t>в</w:t>
      </w:r>
      <w:r>
        <w:rPr>
          <w:color w:val="231F20"/>
          <w:spacing w:val="-5"/>
        </w:rPr>
        <w:t> </w:t>
      </w:r>
      <w:r>
        <w:rPr>
          <w:color w:val="231F20"/>
        </w:rPr>
        <w:t>общении. Вариант 3. Это неверный вариант ответа. Учительница разговаривала таким об- разом</w:t>
      </w:r>
      <w:r>
        <w:rPr>
          <w:color w:val="231F20"/>
          <w:spacing w:val="-12"/>
        </w:rPr>
        <w:t> </w:t>
      </w:r>
      <w:r>
        <w:rPr>
          <w:color w:val="231F20"/>
        </w:rPr>
        <w:t>и</w:t>
      </w:r>
      <w:r>
        <w:rPr>
          <w:color w:val="231F20"/>
          <w:spacing w:val="-9"/>
        </w:rPr>
        <w:t> </w:t>
      </w:r>
      <w:r>
        <w:rPr>
          <w:color w:val="231F20"/>
        </w:rPr>
        <w:t>с</w:t>
      </w:r>
      <w:r>
        <w:rPr>
          <w:color w:val="231F20"/>
          <w:spacing w:val="-9"/>
        </w:rPr>
        <w:t> </w:t>
      </w:r>
      <w:r>
        <w:rPr>
          <w:color w:val="231F20"/>
        </w:rPr>
        <w:t>папой</w:t>
      </w:r>
      <w:r>
        <w:rPr>
          <w:color w:val="231F20"/>
          <w:spacing w:val="-9"/>
        </w:rPr>
        <w:t> </w:t>
      </w:r>
      <w:r>
        <w:rPr>
          <w:color w:val="231F20"/>
        </w:rPr>
        <w:t>другого</w:t>
      </w:r>
      <w:r>
        <w:rPr>
          <w:color w:val="231F20"/>
          <w:spacing w:val="-9"/>
        </w:rPr>
        <w:t> </w:t>
      </w:r>
      <w:r>
        <w:rPr>
          <w:color w:val="231F20"/>
        </w:rPr>
        <w:t>мальчика,</w:t>
      </w:r>
      <w:r>
        <w:rPr>
          <w:color w:val="231F20"/>
          <w:spacing w:val="-9"/>
        </w:rPr>
        <w:t> </w:t>
      </w:r>
      <w:r>
        <w:rPr>
          <w:color w:val="231F20"/>
        </w:rPr>
        <w:t>значит,</w:t>
      </w:r>
      <w:r>
        <w:rPr>
          <w:color w:val="231F20"/>
          <w:spacing w:val="-9"/>
        </w:rPr>
        <w:t> </w:t>
      </w:r>
      <w:r>
        <w:rPr>
          <w:color w:val="231F20"/>
        </w:rPr>
        <w:t>она</w:t>
      </w:r>
      <w:r>
        <w:rPr>
          <w:color w:val="231F20"/>
          <w:spacing w:val="-9"/>
        </w:rPr>
        <w:t> </w:t>
      </w:r>
      <w:r>
        <w:rPr>
          <w:color w:val="231F20"/>
        </w:rPr>
        <w:t>не</w:t>
      </w:r>
      <w:r>
        <w:rPr>
          <w:color w:val="231F20"/>
          <w:spacing w:val="-9"/>
        </w:rPr>
        <w:t> </w:t>
      </w:r>
      <w:r>
        <w:rPr>
          <w:color w:val="231F20"/>
        </w:rPr>
        <w:t>имела</w:t>
      </w:r>
      <w:r>
        <w:rPr>
          <w:color w:val="231F20"/>
          <w:spacing w:val="-9"/>
        </w:rPr>
        <w:t> </w:t>
      </w:r>
      <w:r>
        <w:rPr>
          <w:color w:val="231F20"/>
        </w:rPr>
        <w:t>ввиду</w:t>
      </w:r>
      <w:r>
        <w:rPr>
          <w:color w:val="231F20"/>
          <w:spacing w:val="-9"/>
        </w:rPr>
        <w:t> </w:t>
      </w:r>
      <w:r>
        <w:rPr>
          <w:color w:val="231F20"/>
        </w:rPr>
        <w:t>ничего</w:t>
      </w:r>
      <w:r>
        <w:rPr>
          <w:color w:val="231F20"/>
          <w:spacing w:val="-9"/>
        </w:rPr>
        <w:t> </w:t>
      </w:r>
      <w:r>
        <w:rPr>
          <w:color w:val="231F20"/>
        </w:rPr>
        <w:t>плохого</w:t>
      </w:r>
      <w:r>
        <w:rPr>
          <w:color w:val="231F20"/>
          <w:spacing w:val="-9"/>
        </w:rPr>
        <w:t> </w:t>
      </w:r>
      <w:r>
        <w:rPr>
          <w:color w:val="231F20"/>
        </w:rPr>
        <w:t>в</w:t>
      </w:r>
      <w:r>
        <w:rPr>
          <w:color w:val="231F20"/>
          <w:spacing w:val="-9"/>
        </w:rPr>
        <w:t> </w:t>
      </w:r>
      <w:r>
        <w:rPr>
          <w:color w:val="231F20"/>
          <w:spacing w:val="-2"/>
        </w:rPr>
        <w:t>отно-</w:t>
      </w:r>
    </w:p>
    <w:p>
      <w:pPr>
        <w:pStyle w:val="BodyText"/>
        <w:spacing w:line="228" w:lineRule="exact"/>
        <w:ind w:right="0" w:firstLine="0"/>
      </w:pPr>
      <w:r>
        <w:rPr>
          <w:color w:val="231F20"/>
        </w:rPr>
        <w:t>шении</w:t>
      </w:r>
      <w:r>
        <w:rPr>
          <w:color w:val="231F20"/>
          <w:spacing w:val="-5"/>
        </w:rPr>
        <w:t> </w:t>
      </w:r>
      <w:r>
        <w:rPr>
          <w:color w:val="231F20"/>
        </w:rPr>
        <w:t>папы</w:t>
      </w:r>
      <w:r>
        <w:rPr>
          <w:color w:val="231F20"/>
          <w:spacing w:val="-3"/>
        </w:rPr>
        <w:t> </w:t>
      </w:r>
      <w:r>
        <w:rPr>
          <w:color w:val="231F20"/>
          <w:spacing w:val="-2"/>
        </w:rPr>
        <w:t>Ахрора.</w:t>
      </w:r>
    </w:p>
    <w:p>
      <w:pPr>
        <w:pStyle w:val="BodyText"/>
        <w:spacing w:line="235" w:lineRule="auto" w:before="2"/>
      </w:pPr>
      <w:r>
        <w:rPr>
          <w:color w:val="231F20"/>
        </w:rPr>
        <w:t>Вариант 4. Это неверный ответ. В российской культуре женщины не опускают глаза при общении с мужчинами, и в поведении учительницы не было ничего нео- </w:t>
      </w:r>
      <w:r>
        <w:rPr>
          <w:color w:val="231F20"/>
          <w:spacing w:val="-2"/>
        </w:rPr>
        <w:t>бычного.</w:t>
      </w:r>
    </w:p>
    <w:p>
      <w:pPr>
        <w:pStyle w:val="BodyText"/>
        <w:spacing w:line="228" w:lineRule="exact"/>
        <w:ind w:left="425" w:right="0" w:firstLine="0"/>
      </w:pPr>
      <w:r>
        <w:rPr>
          <w:color w:val="231F20"/>
        </w:rPr>
        <w:t>(Автор</w:t>
      </w:r>
      <w:r>
        <w:rPr>
          <w:color w:val="231F20"/>
          <w:spacing w:val="-4"/>
        </w:rPr>
        <w:t> </w:t>
      </w:r>
      <w:r>
        <w:rPr>
          <w:color w:val="231F20"/>
        </w:rPr>
        <w:t>–</w:t>
      </w:r>
      <w:r>
        <w:rPr>
          <w:color w:val="231F20"/>
          <w:spacing w:val="-3"/>
        </w:rPr>
        <w:t> </w:t>
      </w:r>
      <w:r>
        <w:rPr>
          <w:color w:val="231F20"/>
        </w:rPr>
        <w:t>А.В.</w:t>
      </w:r>
      <w:r>
        <w:rPr>
          <w:color w:val="231F20"/>
          <w:spacing w:val="-3"/>
        </w:rPr>
        <w:t> </w:t>
      </w:r>
      <w:r>
        <w:rPr>
          <w:color w:val="231F20"/>
          <w:spacing w:val="-2"/>
        </w:rPr>
        <w:t>Соколова).</w:t>
      </w:r>
    </w:p>
    <w:p>
      <w:pPr>
        <w:pStyle w:val="BodyText"/>
        <w:spacing w:after="0" w:line="228" w:lineRule="exact"/>
        <w:sectPr>
          <w:pgSz w:w="8400" w:h="11910"/>
          <w:pgMar w:header="0" w:footer="529" w:top="400" w:bottom="740" w:left="425" w:right="425"/>
        </w:sectPr>
      </w:pPr>
    </w:p>
    <w:p>
      <w:pPr>
        <w:spacing w:before="80"/>
        <w:ind w:left="141" w:right="139" w:firstLine="0"/>
        <w:jc w:val="right"/>
        <w:rPr>
          <w:rFonts w:ascii="Georgia" w:hAnsi="Georgia"/>
          <w:sz w:val="18"/>
        </w:rPr>
      </w:pPr>
      <w:bookmarkStart w:name="_bookmark79" w:id="81"/>
      <w:bookmarkEnd w:id="81"/>
      <w:r>
        <w:rPr/>
      </w:r>
      <w:r>
        <w:rPr>
          <w:rFonts w:ascii="Georgia" w:hAnsi="Georgia"/>
          <w:color w:val="231F20"/>
          <w:spacing w:val="-2"/>
          <w:sz w:val="18"/>
        </w:rPr>
        <w:t>Раздел</w:t>
      </w:r>
      <w:r>
        <w:rPr>
          <w:rFonts w:ascii="Georgia" w:hAnsi="Georgia"/>
          <w:color w:val="231F20"/>
          <w:spacing w:val="-5"/>
          <w:sz w:val="18"/>
        </w:rPr>
        <w:t> 1.</w:t>
      </w:r>
    </w:p>
    <w:p>
      <w:pPr>
        <w:numPr>
          <w:ilvl w:val="1"/>
          <w:numId w:val="58"/>
        </w:numPr>
        <w:tabs>
          <w:tab w:pos="1561" w:val="left" w:leader="none"/>
          <w:tab w:pos="1834" w:val="left" w:leader="none"/>
        </w:tabs>
        <w:spacing w:line="235" w:lineRule="auto" w:before="113"/>
        <w:ind w:left="1834" w:right="1209" w:hanging="623"/>
        <w:jc w:val="left"/>
        <w:rPr>
          <w:b/>
          <w:color w:val="231F20"/>
          <w:sz w:val="20"/>
        </w:rPr>
      </w:pPr>
      <w:r>
        <w:rPr>
          <w:b/>
          <w:color w:val="231F20"/>
          <w:sz w:val="20"/>
        </w:rPr>
        <w:t>Арт-терапевтические</w:t>
      </w:r>
      <w:r>
        <w:rPr>
          <w:b/>
          <w:color w:val="231F20"/>
          <w:spacing w:val="-13"/>
          <w:sz w:val="20"/>
        </w:rPr>
        <w:t> </w:t>
      </w:r>
      <w:r>
        <w:rPr>
          <w:b/>
          <w:color w:val="231F20"/>
          <w:sz w:val="20"/>
        </w:rPr>
        <w:t>приемы</w:t>
      </w:r>
      <w:r>
        <w:rPr>
          <w:b/>
          <w:color w:val="231F20"/>
          <w:spacing w:val="-12"/>
          <w:sz w:val="20"/>
        </w:rPr>
        <w:t> </w:t>
      </w:r>
      <w:r>
        <w:rPr>
          <w:b/>
          <w:color w:val="231F20"/>
          <w:sz w:val="20"/>
        </w:rPr>
        <w:t>поддержки</w:t>
      </w:r>
      <w:r>
        <w:rPr>
          <w:b/>
          <w:color w:val="231F20"/>
          <w:spacing w:val="-13"/>
          <w:sz w:val="20"/>
        </w:rPr>
        <w:t> </w:t>
      </w:r>
      <w:r>
        <w:rPr>
          <w:b/>
          <w:color w:val="231F20"/>
          <w:sz w:val="20"/>
        </w:rPr>
        <w:t>адаптации на новом месте: методическое руководство</w:t>
      </w:r>
    </w:p>
    <w:p>
      <w:pPr>
        <w:spacing w:before="167"/>
        <w:ind w:left="425" w:right="0" w:firstLine="5642"/>
        <w:jc w:val="both"/>
        <w:rPr>
          <w:i/>
          <w:sz w:val="20"/>
        </w:rPr>
      </w:pPr>
      <w:r>
        <w:rPr>
          <w:i/>
          <w:color w:val="231F20"/>
          <w:sz w:val="20"/>
        </w:rPr>
        <w:t>М.Ю.</w:t>
      </w:r>
      <w:r>
        <w:rPr>
          <w:i/>
          <w:color w:val="231F20"/>
          <w:spacing w:val="-2"/>
          <w:sz w:val="20"/>
        </w:rPr>
        <w:t> Чибисова</w:t>
      </w:r>
    </w:p>
    <w:p>
      <w:pPr>
        <w:pStyle w:val="BodyText"/>
        <w:spacing w:line="235" w:lineRule="auto" w:before="113"/>
      </w:pPr>
      <w:r>
        <w:rPr>
          <w:b/>
        </w:rPr>
        <w:t>Общее описание</w:t>
      </w:r>
      <w:r>
        <w:rPr/>
        <w:t>. Арт-терапевтические технологии поддержки адаптации на но- вом месте представляют собой вариант директивной арт-терапии, то есть психолог предлагает</w:t>
      </w:r>
      <w:r>
        <w:rPr>
          <w:spacing w:val="-5"/>
        </w:rPr>
        <w:t> </w:t>
      </w:r>
      <w:r>
        <w:rPr/>
        <w:t>ребенку</w:t>
      </w:r>
      <w:r>
        <w:rPr>
          <w:spacing w:val="-5"/>
        </w:rPr>
        <w:t> </w:t>
      </w:r>
      <w:r>
        <w:rPr/>
        <w:t>творческие</w:t>
      </w:r>
      <w:r>
        <w:rPr>
          <w:spacing w:val="-5"/>
        </w:rPr>
        <w:t> </w:t>
      </w:r>
      <w:r>
        <w:rPr/>
        <w:t>задания,</w:t>
      </w:r>
      <w:r>
        <w:rPr>
          <w:spacing w:val="-6"/>
        </w:rPr>
        <w:t> </w:t>
      </w:r>
      <w:r>
        <w:rPr/>
        <w:t>которые</w:t>
      </w:r>
      <w:r>
        <w:rPr>
          <w:spacing w:val="-5"/>
        </w:rPr>
        <w:t> </w:t>
      </w:r>
      <w:r>
        <w:rPr/>
        <w:t>необходимо</w:t>
      </w:r>
      <w:r>
        <w:rPr>
          <w:spacing w:val="-5"/>
        </w:rPr>
        <w:t> </w:t>
      </w:r>
      <w:r>
        <w:rPr/>
        <w:t>выполнить</w:t>
      </w:r>
      <w:r>
        <w:rPr>
          <w:spacing w:val="-5"/>
        </w:rPr>
        <w:t> </w:t>
      </w:r>
      <w:r>
        <w:rPr/>
        <w:t>с</w:t>
      </w:r>
      <w:r>
        <w:rPr>
          <w:spacing w:val="-6"/>
        </w:rPr>
        <w:t> </w:t>
      </w:r>
      <w:r>
        <w:rPr/>
        <w:t>помощью рисования или другой продуктивной деятельности.</w:t>
      </w:r>
    </w:p>
    <w:p>
      <w:pPr>
        <w:pStyle w:val="BodyText"/>
        <w:spacing w:line="235" w:lineRule="auto" w:before="3"/>
      </w:pPr>
      <w:r>
        <w:rPr>
          <w:b/>
        </w:rPr>
        <w:t>Сильные стороны практики</w:t>
      </w:r>
      <w:r>
        <w:rPr/>
        <w:t>. Арт-терапевтические технологии предоставля-</w:t>
      </w:r>
      <w:r>
        <w:rPr>
          <w:spacing w:val="40"/>
        </w:rPr>
        <w:t> </w:t>
      </w:r>
      <w:r>
        <w:rPr/>
        <w:t>ют ребенку-мигранту возможность эксплицировать амбивалентные или негативные мысли</w:t>
      </w:r>
      <w:r>
        <w:rPr>
          <w:spacing w:val="-13"/>
        </w:rPr>
        <w:t> </w:t>
      </w:r>
      <w:r>
        <w:rPr/>
        <w:t>и</w:t>
      </w:r>
      <w:r>
        <w:rPr>
          <w:spacing w:val="-12"/>
        </w:rPr>
        <w:t> </w:t>
      </w:r>
      <w:r>
        <w:rPr/>
        <w:t>переживания</w:t>
      </w:r>
      <w:r>
        <w:rPr>
          <w:spacing w:val="-13"/>
        </w:rPr>
        <w:t> </w:t>
      </w:r>
      <w:r>
        <w:rPr/>
        <w:t>даже</w:t>
      </w:r>
      <w:r>
        <w:rPr>
          <w:spacing w:val="-12"/>
        </w:rPr>
        <w:t> </w:t>
      </w:r>
      <w:r>
        <w:rPr/>
        <w:t>при</w:t>
      </w:r>
      <w:r>
        <w:rPr>
          <w:spacing w:val="-13"/>
        </w:rPr>
        <w:t> </w:t>
      </w:r>
      <w:r>
        <w:rPr/>
        <w:t>недостаточном</w:t>
      </w:r>
      <w:r>
        <w:rPr>
          <w:spacing w:val="-12"/>
        </w:rPr>
        <w:t> </w:t>
      </w:r>
      <w:r>
        <w:rPr/>
        <w:t>уровне</w:t>
      </w:r>
      <w:r>
        <w:rPr>
          <w:spacing w:val="-13"/>
        </w:rPr>
        <w:t> </w:t>
      </w:r>
      <w:r>
        <w:rPr/>
        <w:t>владения</w:t>
      </w:r>
      <w:r>
        <w:rPr>
          <w:spacing w:val="-12"/>
        </w:rPr>
        <w:t> </w:t>
      </w:r>
      <w:r>
        <w:rPr/>
        <w:t>русским</w:t>
      </w:r>
      <w:r>
        <w:rPr>
          <w:spacing w:val="-13"/>
        </w:rPr>
        <w:t> </w:t>
      </w:r>
      <w:r>
        <w:rPr/>
        <w:t>языком.</w:t>
      </w:r>
      <w:r>
        <w:rPr>
          <w:spacing w:val="-12"/>
        </w:rPr>
        <w:t> </w:t>
      </w:r>
      <w:r>
        <w:rPr/>
        <w:t>Со- здание</w:t>
      </w:r>
      <w:r>
        <w:rPr>
          <w:spacing w:val="-8"/>
        </w:rPr>
        <w:t> </w:t>
      </w:r>
      <w:r>
        <w:rPr/>
        <w:t>арт-терапевтического</w:t>
      </w:r>
      <w:r>
        <w:rPr>
          <w:spacing w:val="-8"/>
        </w:rPr>
        <w:t> </w:t>
      </w:r>
      <w:r>
        <w:rPr/>
        <w:t>продукта</w:t>
      </w:r>
      <w:r>
        <w:rPr>
          <w:spacing w:val="-8"/>
        </w:rPr>
        <w:t> </w:t>
      </w:r>
      <w:r>
        <w:rPr/>
        <w:t>обеспечивает</w:t>
      </w:r>
      <w:r>
        <w:rPr>
          <w:spacing w:val="-8"/>
        </w:rPr>
        <w:t> </w:t>
      </w:r>
      <w:r>
        <w:rPr/>
        <w:t>глубокую</w:t>
      </w:r>
      <w:r>
        <w:rPr>
          <w:spacing w:val="-8"/>
        </w:rPr>
        <w:t> </w:t>
      </w:r>
      <w:r>
        <w:rPr/>
        <w:t>вовлеченность</w:t>
      </w:r>
      <w:r>
        <w:rPr>
          <w:spacing w:val="-8"/>
        </w:rPr>
        <w:t> </w:t>
      </w:r>
      <w:r>
        <w:rPr/>
        <w:t>ребен- ка во время работы</w:t>
      </w:r>
    </w:p>
    <w:p>
      <w:pPr>
        <w:pStyle w:val="BodyText"/>
        <w:spacing w:line="232" w:lineRule="auto" w:before="5"/>
      </w:pPr>
      <w:r>
        <w:rPr>
          <w:b/>
        </w:rPr>
        <w:t>Требования к проведению. </w:t>
      </w:r>
      <w:r>
        <w:rPr/>
        <w:t>Помещение для индивидуальной работы, необходи- мые материалы: бумага, карандаши, фломастеры, краски и пр.</w:t>
      </w:r>
    </w:p>
    <w:p>
      <w:pPr>
        <w:pStyle w:val="BodyText"/>
        <w:spacing w:line="232" w:lineRule="auto" w:before="2"/>
      </w:pPr>
      <w:r>
        <w:rPr>
          <w:b/>
          <w:spacing w:val="-2"/>
        </w:rPr>
        <w:t>Доказательность практики. </w:t>
      </w:r>
      <w:r>
        <w:rPr>
          <w:spacing w:val="-2"/>
        </w:rPr>
        <w:t>Эмпирические исследования доказывают эффектив- </w:t>
      </w:r>
      <w:r>
        <w:rPr/>
        <w:t>ность</w:t>
      </w:r>
      <w:r>
        <w:rPr>
          <w:spacing w:val="-3"/>
        </w:rPr>
        <w:t> </w:t>
      </w:r>
      <w:r>
        <w:rPr/>
        <w:t>арт-терапии</w:t>
      </w:r>
      <w:r>
        <w:rPr>
          <w:spacing w:val="-3"/>
        </w:rPr>
        <w:t> </w:t>
      </w:r>
      <w:r>
        <w:rPr/>
        <w:t>в</w:t>
      </w:r>
      <w:r>
        <w:rPr>
          <w:spacing w:val="-3"/>
        </w:rPr>
        <w:t> </w:t>
      </w:r>
      <w:r>
        <w:rPr/>
        <w:t>работе</w:t>
      </w:r>
      <w:r>
        <w:rPr>
          <w:spacing w:val="-2"/>
        </w:rPr>
        <w:t> </w:t>
      </w:r>
      <w:r>
        <w:rPr/>
        <w:t>с</w:t>
      </w:r>
      <w:r>
        <w:rPr>
          <w:spacing w:val="-2"/>
        </w:rPr>
        <w:t> </w:t>
      </w:r>
      <w:r>
        <w:rPr/>
        <w:t>детьми-мигрантами</w:t>
      </w:r>
      <w:r>
        <w:rPr>
          <w:spacing w:val="-3"/>
        </w:rPr>
        <w:t> </w:t>
      </w:r>
      <w:r>
        <w:rPr/>
        <w:t>(см.</w:t>
      </w:r>
      <w:r>
        <w:rPr>
          <w:spacing w:val="-2"/>
        </w:rPr>
        <w:t> </w:t>
      </w:r>
      <w:r>
        <w:rPr/>
        <w:t>Методические</w:t>
      </w:r>
      <w:r>
        <w:rPr>
          <w:spacing w:val="-2"/>
        </w:rPr>
        <w:t> </w:t>
      </w:r>
      <w:r>
        <w:rPr/>
        <w:t>рекомендации).</w:t>
      </w:r>
    </w:p>
    <w:p>
      <w:pPr>
        <w:spacing w:line="223" w:lineRule="exact" w:before="0"/>
        <w:ind w:left="425" w:right="0" w:firstLine="0"/>
        <w:jc w:val="both"/>
        <w:rPr>
          <w:b/>
          <w:sz w:val="20"/>
        </w:rPr>
      </w:pPr>
      <w:r>
        <w:rPr>
          <w:b/>
          <w:sz w:val="20"/>
        </w:rPr>
        <w:t>Виды </w:t>
      </w:r>
      <w:r>
        <w:rPr>
          <w:b/>
          <w:spacing w:val="-2"/>
          <w:sz w:val="20"/>
        </w:rPr>
        <w:t>приемов</w:t>
      </w:r>
    </w:p>
    <w:p>
      <w:pPr>
        <w:pStyle w:val="BodyText"/>
        <w:spacing w:line="232" w:lineRule="auto" w:before="2"/>
      </w:pPr>
      <w:r>
        <w:rPr>
          <w:color w:val="231F20"/>
        </w:rPr>
        <w:t>Для поддержки адаптации учащихся на новом месте можно использовать три ос- новные вида арт-терапевтических приемов.</w:t>
      </w:r>
    </w:p>
    <w:p>
      <w:pPr>
        <w:pStyle w:val="ListParagraph"/>
        <w:numPr>
          <w:ilvl w:val="0"/>
          <w:numId w:val="225"/>
        </w:numPr>
        <w:tabs>
          <w:tab w:pos="423" w:val="left" w:leader="none"/>
          <w:tab w:pos="425" w:val="left" w:leader="none"/>
        </w:tabs>
        <w:spacing w:line="232" w:lineRule="auto" w:before="2" w:after="0"/>
        <w:ind w:left="425" w:right="139" w:hanging="284"/>
        <w:jc w:val="both"/>
        <w:rPr>
          <w:sz w:val="20"/>
        </w:rPr>
      </w:pPr>
      <w:r>
        <w:rPr>
          <w:color w:val="231F20"/>
          <w:sz w:val="20"/>
        </w:rPr>
        <w:t>Приемы,</w:t>
      </w:r>
      <w:r>
        <w:rPr>
          <w:color w:val="231F20"/>
          <w:spacing w:val="-13"/>
          <w:sz w:val="20"/>
        </w:rPr>
        <w:t> </w:t>
      </w:r>
      <w:r>
        <w:rPr>
          <w:color w:val="231F20"/>
          <w:sz w:val="20"/>
        </w:rPr>
        <w:t>обеспечивающие</w:t>
      </w:r>
      <w:r>
        <w:rPr>
          <w:color w:val="231F20"/>
          <w:spacing w:val="-12"/>
          <w:sz w:val="20"/>
        </w:rPr>
        <w:t> </w:t>
      </w:r>
      <w:r>
        <w:rPr>
          <w:color w:val="231F20"/>
          <w:sz w:val="20"/>
        </w:rPr>
        <w:t>самораскрытие.</w:t>
      </w:r>
      <w:r>
        <w:rPr>
          <w:color w:val="231F20"/>
          <w:spacing w:val="-13"/>
          <w:sz w:val="20"/>
        </w:rPr>
        <w:t> </w:t>
      </w:r>
      <w:r>
        <w:rPr>
          <w:color w:val="231F20"/>
          <w:sz w:val="20"/>
        </w:rPr>
        <w:t>Они</w:t>
      </w:r>
      <w:r>
        <w:rPr>
          <w:color w:val="231F20"/>
          <w:spacing w:val="-12"/>
          <w:sz w:val="20"/>
        </w:rPr>
        <w:t> </w:t>
      </w:r>
      <w:r>
        <w:rPr>
          <w:color w:val="231F20"/>
          <w:sz w:val="20"/>
        </w:rPr>
        <w:t>позволяют</w:t>
      </w:r>
      <w:r>
        <w:rPr>
          <w:color w:val="231F20"/>
          <w:spacing w:val="-13"/>
          <w:sz w:val="20"/>
        </w:rPr>
        <w:t> </w:t>
      </w:r>
      <w:r>
        <w:rPr>
          <w:color w:val="231F20"/>
          <w:sz w:val="20"/>
        </w:rPr>
        <w:t>ребенку</w:t>
      </w:r>
      <w:r>
        <w:rPr>
          <w:color w:val="231F20"/>
          <w:spacing w:val="-12"/>
          <w:sz w:val="20"/>
        </w:rPr>
        <w:t> </w:t>
      </w:r>
      <w:r>
        <w:rPr>
          <w:color w:val="231F20"/>
          <w:sz w:val="20"/>
        </w:rPr>
        <w:t>высказать,</w:t>
      </w:r>
      <w:r>
        <w:rPr>
          <w:color w:val="231F20"/>
          <w:spacing w:val="-13"/>
          <w:sz w:val="20"/>
        </w:rPr>
        <w:t> </w:t>
      </w:r>
      <w:r>
        <w:rPr>
          <w:color w:val="231F20"/>
          <w:sz w:val="20"/>
        </w:rPr>
        <w:t>что беспокоит его в данный момент.</w:t>
      </w:r>
    </w:p>
    <w:p>
      <w:pPr>
        <w:pStyle w:val="ListParagraph"/>
        <w:numPr>
          <w:ilvl w:val="0"/>
          <w:numId w:val="225"/>
        </w:numPr>
        <w:tabs>
          <w:tab w:pos="423" w:val="left" w:leader="none"/>
          <w:tab w:pos="425" w:val="left" w:leader="none"/>
        </w:tabs>
        <w:spacing w:line="232" w:lineRule="auto" w:before="2" w:after="0"/>
        <w:ind w:left="425" w:right="139" w:hanging="284"/>
        <w:jc w:val="both"/>
        <w:rPr>
          <w:sz w:val="20"/>
        </w:rPr>
      </w:pPr>
      <w:r>
        <w:rPr>
          <w:color w:val="231F20"/>
          <w:sz w:val="20"/>
        </w:rPr>
        <w:t>Приемы, обеспечивающие рефлексию адаптации на новом месте. Позволяют со- поставить</w:t>
      </w:r>
      <w:r>
        <w:rPr>
          <w:color w:val="231F20"/>
          <w:spacing w:val="-1"/>
          <w:sz w:val="20"/>
        </w:rPr>
        <w:t> </w:t>
      </w:r>
      <w:r>
        <w:rPr>
          <w:color w:val="231F20"/>
          <w:sz w:val="20"/>
        </w:rPr>
        <w:t>важные</w:t>
      </w:r>
      <w:r>
        <w:rPr>
          <w:color w:val="231F20"/>
          <w:spacing w:val="-1"/>
          <w:sz w:val="20"/>
        </w:rPr>
        <w:t> </w:t>
      </w:r>
      <w:r>
        <w:rPr>
          <w:color w:val="231F20"/>
          <w:sz w:val="20"/>
        </w:rPr>
        <w:t>для</w:t>
      </w:r>
      <w:r>
        <w:rPr>
          <w:color w:val="231F20"/>
          <w:spacing w:val="-1"/>
          <w:sz w:val="20"/>
        </w:rPr>
        <w:t> </w:t>
      </w:r>
      <w:r>
        <w:rPr>
          <w:color w:val="231F20"/>
          <w:sz w:val="20"/>
        </w:rPr>
        <w:t>ребенка</w:t>
      </w:r>
      <w:r>
        <w:rPr>
          <w:color w:val="231F20"/>
          <w:spacing w:val="-1"/>
          <w:sz w:val="20"/>
        </w:rPr>
        <w:t> </w:t>
      </w:r>
      <w:r>
        <w:rPr>
          <w:color w:val="231F20"/>
          <w:sz w:val="20"/>
        </w:rPr>
        <w:t>аспекты</w:t>
      </w:r>
      <w:r>
        <w:rPr>
          <w:color w:val="231F20"/>
          <w:spacing w:val="-1"/>
          <w:sz w:val="20"/>
        </w:rPr>
        <w:t> </w:t>
      </w:r>
      <w:r>
        <w:rPr>
          <w:color w:val="231F20"/>
          <w:sz w:val="20"/>
        </w:rPr>
        <w:t>проживания</w:t>
      </w:r>
      <w:r>
        <w:rPr>
          <w:color w:val="231F20"/>
          <w:spacing w:val="-1"/>
          <w:sz w:val="20"/>
        </w:rPr>
        <w:t> </w:t>
      </w:r>
      <w:r>
        <w:rPr>
          <w:color w:val="231F20"/>
          <w:sz w:val="20"/>
        </w:rPr>
        <w:t>в</w:t>
      </w:r>
      <w:r>
        <w:rPr>
          <w:color w:val="231F20"/>
          <w:spacing w:val="-1"/>
          <w:sz w:val="20"/>
        </w:rPr>
        <w:t> </w:t>
      </w:r>
      <w:r>
        <w:rPr>
          <w:color w:val="231F20"/>
          <w:sz w:val="20"/>
        </w:rPr>
        <w:t>стране</w:t>
      </w:r>
      <w:r>
        <w:rPr>
          <w:color w:val="231F20"/>
          <w:spacing w:val="-1"/>
          <w:sz w:val="20"/>
        </w:rPr>
        <w:t> </w:t>
      </w:r>
      <w:r>
        <w:rPr>
          <w:color w:val="231F20"/>
          <w:sz w:val="20"/>
        </w:rPr>
        <w:t>исхода</w:t>
      </w:r>
      <w:r>
        <w:rPr>
          <w:color w:val="231F20"/>
          <w:spacing w:val="-1"/>
          <w:sz w:val="20"/>
        </w:rPr>
        <w:t> </w:t>
      </w:r>
      <w:r>
        <w:rPr>
          <w:color w:val="231F20"/>
          <w:sz w:val="20"/>
        </w:rPr>
        <w:t>и</w:t>
      </w:r>
      <w:r>
        <w:rPr>
          <w:color w:val="231F20"/>
          <w:spacing w:val="-1"/>
          <w:sz w:val="20"/>
        </w:rPr>
        <w:t> </w:t>
      </w:r>
      <w:r>
        <w:rPr>
          <w:color w:val="231F20"/>
          <w:sz w:val="20"/>
        </w:rPr>
        <w:t>в</w:t>
      </w:r>
      <w:r>
        <w:rPr>
          <w:color w:val="231F20"/>
          <w:spacing w:val="-1"/>
          <w:sz w:val="20"/>
        </w:rPr>
        <w:t> </w:t>
      </w:r>
      <w:r>
        <w:rPr>
          <w:color w:val="231F20"/>
          <w:sz w:val="20"/>
        </w:rPr>
        <w:t>России</w:t>
      </w:r>
      <w:r>
        <w:rPr>
          <w:color w:val="231F20"/>
          <w:spacing w:val="-1"/>
          <w:sz w:val="20"/>
        </w:rPr>
        <w:t> </w:t>
      </w:r>
      <w:r>
        <w:rPr>
          <w:color w:val="231F20"/>
          <w:sz w:val="20"/>
        </w:rPr>
        <w:t>и обсудить их с психологом.</w:t>
      </w:r>
    </w:p>
    <w:p>
      <w:pPr>
        <w:pStyle w:val="ListParagraph"/>
        <w:numPr>
          <w:ilvl w:val="0"/>
          <w:numId w:val="225"/>
        </w:numPr>
        <w:tabs>
          <w:tab w:pos="423" w:val="left" w:leader="none"/>
        </w:tabs>
        <w:spacing w:line="224" w:lineRule="exact" w:before="0" w:after="0"/>
        <w:ind w:left="423" w:right="0" w:hanging="282"/>
        <w:jc w:val="both"/>
        <w:rPr>
          <w:sz w:val="20"/>
        </w:rPr>
      </w:pPr>
      <w:r>
        <w:rPr>
          <w:color w:val="231F20"/>
          <w:sz w:val="20"/>
        </w:rPr>
        <w:t>Приемы,</w:t>
      </w:r>
      <w:r>
        <w:rPr>
          <w:color w:val="231F20"/>
          <w:spacing w:val="-7"/>
          <w:sz w:val="20"/>
        </w:rPr>
        <w:t> </w:t>
      </w:r>
      <w:r>
        <w:rPr>
          <w:color w:val="231F20"/>
          <w:sz w:val="20"/>
        </w:rPr>
        <w:t>позволяющие</w:t>
      </w:r>
      <w:r>
        <w:rPr>
          <w:color w:val="231F20"/>
          <w:spacing w:val="-5"/>
          <w:sz w:val="20"/>
        </w:rPr>
        <w:t> </w:t>
      </w:r>
      <w:r>
        <w:rPr>
          <w:color w:val="231F20"/>
          <w:sz w:val="20"/>
        </w:rPr>
        <w:t>обозначить</w:t>
      </w:r>
      <w:r>
        <w:rPr>
          <w:color w:val="231F20"/>
          <w:spacing w:val="-5"/>
          <w:sz w:val="20"/>
        </w:rPr>
        <w:t> </w:t>
      </w:r>
      <w:r>
        <w:rPr>
          <w:color w:val="231F20"/>
          <w:sz w:val="20"/>
        </w:rPr>
        <w:t>ресурсы</w:t>
      </w:r>
      <w:r>
        <w:rPr>
          <w:color w:val="231F20"/>
          <w:spacing w:val="-5"/>
          <w:sz w:val="20"/>
        </w:rPr>
        <w:t> </w:t>
      </w:r>
      <w:r>
        <w:rPr>
          <w:color w:val="231F20"/>
          <w:sz w:val="20"/>
        </w:rPr>
        <w:t>и</w:t>
      </w:r>
      <w:r>
        <w:rPr>
          <w:color w:val="231F20"/>
          <w:spacing w:val="-6"/>
          <w:sz w:val="20"/>
        </w:rPr>
        <w:t> </w:t>
      </w:r>
      <w:r>
        <w:rPr>
          <w:color w:val="231F20"/>
          <w:sz w:val="20"/>
        </w:rPr>
        <w:t>позитивные</w:t>
      </w:r>
      <w:r>
        <w:rPr>
          <w:color w:val="231F20"/>
          <w:spacing w:val="-4"/>
          <w:sz w:val="20"/>
        </w:rPr>
        <w:t> </w:t>
      </w:r>
      <w:r>
        <w:rPr>
          <w:color w:val="231F20"/>
          <w:sz w:val="20"/>
        </w:rPr>
        <w:t>копинг-</w:t>
      </w:r>
      <w:r>
        <w:rPr>
          <w:color w:val="231F20"/>
          <w:spacing w:val="-2"/>
          <w:sz w:val="20"/>
        </w:rPr>
        <w:t>стратегии.</w:t>
      </w:r>
    </w:p>
    <w:p>
      <w:pPr>
        <w:pStyle w:val="BodyText"/>
        <w:spacing w:line="232" w:lineRule="auto" w:before="2"/>
      </w:pPr>
      <w:r>
        <w:rPr>
          <w:color w:val="231F20"/>
        </w:rPr>
        <w:t>Предлагаемые в данном разделе приемы предназначены для учащихся средней и старшей</w:t>
      </w:r>
      <w:r>
        <w:rPr>
          <w:color w:val="231F20"/>
          <w:spacing w:val="-6"/>
        </w:rPr>
        <w:t> </w:t>
      </w:r>
      <w:r>
        <w:rPr>
          <w:color w:val="231F20"/>
        </w:rPr>
        <w:t>школы.</w:t>
      </w:r>
      <w:r>
        <w:rPr>
          <w:color w:val="231F20"/>
          <w:spacing w:val="-6"/>
        </w:rPr>
        <w:t> </w:t>
      </w:r>
      <w:r>
        <w:rPr>
          <w:color w:val="231F20"/>
        </w:rPr>
        <w:t>Для</w:t>
      </w:r>
      <w:r>
        <w:rPr>
          <w:color w:val="231F20"/>
          <w:spacing w:val="-6"/>
        </w:rPr>
        <w:t> </w:t>
      </w:r>
      <w:r>
        <w:rPr>
          <w:color w:val="231F20"/>
        </w:rPr>
        <w:t>детей</w:t>
      </w:r>
      <w:r>
        <w:rPr>
          <w:color w:val="231F20"/>
          <w:spacing w:val="-6"/>
        </w:rPr>
        <w:t> </w:t>
      </w:r>
      <w:r>
        <w:rPr>
          <w:color w:val="231F20"/>
        </w:rPr>
        <w:t>младшего</w:t>
      </w:r>
      <w:r>
        <w:rPr>
          <w:color w:val="231F20"/>
          <w:spacing w:val="-6"/>
        </w:rPr>
        <w:t> </w:t>
      </w:r>
      <w:r>
        <w:rPr>
          <w:color w:val="231F20"/>
        </w:rPr>
        <w:t>возраста</w:t>
      </w:r>
      <w:r>
        <w:rPr>
          <w:color w:val="231F20"/>
          <w:spacing w:val="-6"/>
        </w:rPr>
        <w:t> </w:t>
      </w:r>
      <w:r>
        <w:rPr>
          <w:color w:val="231F20"/>
        </w:rPr>
        <w:t>можно</w:t>
      </w:r>
      <w:r>
        <w:rPr>
          <w:color w:val="231F20"/>
          <w:spacing w:val="-6"/>
        </w:rPr>
        <w:t> </w:t>
      </w:r>
      <w:r>
        <w:rPr>
          <w:color w:val="231F20"/>
        </w:rPr>
        <w:t>воспользоваться</w:t>
      </w:r>
      <w:r>
        <w:rPr>
          <w:color w:val="231F20"/>
          <w:spacing w:val="-6"/>
        </w:rPr>
        <w:t> </w:t>
      </w:r>
      <w:r>
        <w:rPr>
          <w:color w:val="231F20"/>
        </w:rPr>
        <w:t>арт-альбомом</w:t>
      </w:r>
    </w:p>
    <w:p>
      <w:pPr>
        <w:pStyle w:val="BodyText"/>
        <w:spacing w:line="226" w:lineRule="exact"/>
        <w:ind w:right="0" w:firstLine="0"/>
      </w:pPr>
      <w:r>
        <w:rPr>
          <w:color w:val="231F20"/>
        </w:rPr>
        <w:t>«Моя</w:t>
      </w:r>
      <w:r>
        <w:rPr>
          <w:color w:val="231F20"/>
          <w:spacing w:val="-6"/>
        </w:rPr>
        <w:t> </w:t>
      </w:r>
      <w:r>
        <w:rPr>
          <w:color w:val="231F20"/>
        </w:rPr>
        <w:t>жизнь</w:t>
      </w:r>
      <w:r>
        <w:rPr>
          <w:color w:val="231F20"/>
          <w:spacing w:val="-6"/>
        </w:rPr>
        <w:t> </w:t>
      </w:r>
      <w:r>
        <w:rPr>
          <w:color w:val="231F20"/>
        </w:rPr>
        <w:t>на</w:t>
      </w:r>
      <w:r>
        <w:rPr>
          <w:color w:val="231F20"/>
          <w:spacing w:val="-6"/>
        </w:rPr>
        <w:t> </w:t>
      </w:r>
      <w:r>
        <w:rPr>
          <w:color w:val="231F20"/>
        </w:rPr>
        <w:t>новом</w:t>
      </w:r>
      <w:r>
        <w:rPr>
          <w:color w:val="231F20"/>
          <w:spacing w:val="-5"/>
        </w:rPr>
        <w:t> </w:t>
      </w:r>
      <w:r>
        <w:rPr>
          <w:color w:val="231F20"/>
          <w:spacing w:val="-2"/>
        </w:rPr>
        <w:t>месте».</w:t>
      </w:r>
    </w:p>
    <w:p>
      <w:pPr>
        <w:spacing w:before="108"/>
        <w:ind w:left="1839" w:right="0" w:firstLine="0"/>
        <w:jc w:val="both"/>
        <w:rPr>
          <w:b/>
          <w:sz w:val="20"/>
        </w:rPr>
      </w:pPr>
      <w:r>
        <w:rPr>
          <w:b/>
          <w:color w:val="231F20"/>
          <w:sz w:val="20"/>
        </w:rPr>
        <w:t>Приемы,</w:t>
      </w:r>
      <w:r>
        <w:rPr>
          <w:b/>
          <w:color w:val="231F20"/>
          <w:spacing w:val="-3"/>
          <w:sz w:val="20"/>
        </w:rPr>
        <w:t> </w:t>
      </w:r>
      <w:r>
        <w:rPr>
          <w:b/>
          <w:color w:val="231F20"/>
          <w:sz w:val="20"/>
        </w:rPr>
        <w:t>обеспечивающие</w:t>
      </w:r>
      <w:r>
        <w:rPr>
          <w:b/>
          <w:color w:val="231F20"/>
          <w:spacing w:val="-3"/>
          <w:sz w:val="20"/>
        </w:rPr>
        <w:t> </w:t>
      </w:r>
      <w:r>
        <w:rPr>
          <w:b/>
          <w:color w:val="231F20"/>
          <w:spacing w:val="-2"/>
          <w:sz w:val="20"/>
        </w:rPr>
        <w:t>самораскрытие</w:t>
      </w:r>
    </w:p>
    <w:p>
      <w:pPr>
        <w:spacing w:line="227" w:lineRule="exact" w:before="107"/>
        <w:ind w:left="425" w:right="0" w:firstLine="0"/>
        <w:jc w:val="both"/>
        <w:rPr>
          <w:b/>
          <w:i/>
          <w:sz w:val="20"/>
        </w:rPr>
      </w:pPr>
      <w:r>
        <w:rPr>
          <w:b/>
          <w:i/>
          <w:color w:val="231F20"/>
          <w:sz w:val="20"/>
        </w:rPr>
        <w:t>«Что</w:t>
      </w:r>
      <w:r>
        <w:rPr>
          <w:b/>
          <w:i/>
          <w:color w:val="231F20"/>
          <w:spacing w:val="-2"/>
          <w:sz w:val="20"/>
        </w:rPr>
        <w:t> </w:t>
      </w:r>
      <w:r>
        <w:rPr>
          <w:b/>
          <w:i/>
          <w:color w:val="231F20"/>
          <w:sz w:val="20"/>
        </w:rPr>
        <w:t>у</w:t>
      </w:r>
      <w:r>
        <w:rPr>
          <w:b/>
          <w:i/>
          <w:color w:val="231F20"/>
          <w:spacing w:val="-2"/>
          <w:sz w:val="20"/>
        </w:rPr>
        <w:t> </w:t>
      </w:r>
      <w:r>
        <w:rPr>
          <w:b/>
          <w:i/>
          <w:color w:val="231F20"/>
          <w:sz w:val="20"/>
        </w:rPr>
        <w:t>меня</w:t>
      </w:r>
      <w:r>
        <w:rPr>
          <w:b/>
          <w:i/>
          <w:color w:val="231F20"/>
          <w:spacing w:val="-2"/>
          <w:sz w:val="20"/>
        </w:rPr>
        <w:t> </w:t>
      </w:r>
      <w:r>
        <w:rPr>
          <w:b/>
          <w:i/>
          <w:color w:val="231F20"/>
          <w:sz w:val="20"/>
        </w:rPr>
        <w:t>в</w:t>
      </w:r>
      <w:r>
        <w:rPr>
          <w:b/>
          <w:i/>
          <w:color w:val="231F20"/>
          <w:spacing w:val="-1"/>
          <w:sz w:val="20"/>
        </w:rPr>
        <w:t> </w:t>
      </w:r>
      <w:r>
        <w:rPr>
          <w:b/>
          <w:i/>
          <w:color w:val="231F20"/>
          <w:spacing w:val="-2"/>
          <w:sz w:val="20"/>
        </w:rPr>
        <w:t>голове?»</w:t>
      </w:r>
    </w:p>
    <w:p>
      <w:pPr>
        <w:pStyle w:val="BodyText"/>
        <w:spacing w:line="224" w:lineRule="exact"/>
        <w:ind w:left="425" w:right="0" w:firstLine="0"/>
      </w:pPr>
      <w:r>
        <w:rPr>
          <w:color w:val="231F20"/>
        </w:rPr>
        <w:t>Материалы:</w:t>
      </w:r>
      <w:r>
        <w:rPr>
          <w:color w:val="231F20"/>
          <w:spacing w:val="-7"/>
        </w:rPr>
        <w:t> </w:t>
      </w:r>
      <w:r>
        <w:rPr>
          <w:color w:val="231F20"/>
        </w:rPr>
        <w:t>бумага</w:t>
      </w:r>
      <w:r>
        <w:rPr>
          <w:color w:val="231F20"/>
          <w:spacing w:val="-6"/>
        </w:rPr>
        <w:t> </w:t>
      </w:r>
      <w:r>
        <w:rPr>
          <w:color w:val="231F20"/>
        </w:rPr>
        <w:t>формата</w:t>
      </w:r>
      <w:r>
        <w:rPr>
          <w:color w:val="231F20"/>
          <w:spacing w:val="-6"/>
        </w:rPr>
        <w:t> </w:t>
      </w:r>
      <w:r>
        <w:rPr>
          <w:color w:val="231F20"/>
        </w:rPr>
        <w:t>А4,</w:t>
      </w:r>
      <w:r>
        <w:rPr>
          <w:color w:val="231F20"/>
          <w:spacing w:val="-7"/>
        </w:rPr>
        <w:t> </w:t>
      </w:r>
      <w:r>
        <w:rPr>
          <w:color w:val="231F20"/>
        </w:rPr>
        <w:t>цветные</w:t>
      </w:r>
      <w:r>
        <w:rPr>
          <w:color w:val="231F20"/>
          <w:spacing w:val="-6"/>
        </w:rPr>
        <w:t> </w:t>
      </w:r>
      <w:r>
        <w:rPr>
          <w:color w:val="231F20"/>
        </w:rPr>
        <w:t>карандаши</w:t>
      </w:r>
      <w:r>
        <w:rPr>
          <w:color w:val="231F20"/>
          <w:spacing w:val="-7"/>
        </w:rPr>
        <w:t> </w:t>
      </w:r>
      <w:r>
        <w:rPr>
          <w:color w:val="231F20"/>
        </w:rPr>
        <w:t>или</w:t>
      </w:r>
      <w:r>
        <w:rPr>
          <w:color w:val="231F20"/>
          <w:spacing w:val="-7"/>
        </w:rPr>
        <w:t> </w:t>
      </w:r>
      <w:r>
        <w:rPr>
          <w:color w:val="231F20"/>
          <w:spacing w:val="-2"/>
        </w:rPr>
        <w:t>фломастеры.</w:t>
      </w:r>
    </w:p>
    <w:p>
      <w:pPr>
        <w:pStyle w:val="BodyText"/>
        <w:spacing w:line="232" w:lineRule="auto" w:before="3"/>
      </w:pPr>
      <w:r>
        <w:rPr>
          <w:color w:val="231F20"/>
        </w:rPr>
        <w:t>Ход</w:t>
      </w:r>
      <w:r>
        <w:rPr>
          <w:color w:val="231F20"/>
          <w:spacing w:val="-11"/>
        </w:rPr>
        <w:t> </w:t>
      </w:r>
      <w:r>
        <w:rPr>
          <w:color w:val="231F20"/>
        </w:rPr>
        <w:t>упражнения.</w:t>
      </w:r>
      <w:r>
        <w:rPr>
          <w:color w:val="231F20"/>
          <w:spacing w:val="-11"/>
        </w:rPr>
        <w:t> </w:t>
      </w:r>
      <w:r>
        <w:rPr>
          <w:color w:val="231F20"/>
        </w:rPr>
        <w:t>Психолог</w:t>
      </w:r>
      <w:r>
        <w:rPr>
          <w:color w:val="231F20"/>
          <w:spacing w:val="-11"/>
        </w:rPr>
        <w:t> </w:t>
      </w:r>
      <w:r>
        <w:rPr>
          <w:color w:val="231F20"/>
        </w:rPr>
        <w:t>рисует</w:t>
      </w:r>
      <w:r>
        <w:rPr>
          <w:color w:val="231F20"/>
          <w:spacing w:val="-11"/>
        </w:rPr>
        <w:t> </w:t>
      </w:r>
      <w:r>
        <w:rPr>
          <w:color w:val="231F20"/>
        </w:rPr>
        <w:t>на</w:t>
      </w:r>
      <w:r>
        <w:rPr>
          <w:color w:val="231F20"/>
          <w:spacing w:val="-10"/>
        </w:rPr>
        <w:t> </w:t>
      </w:r>
      <w:r>
        <w:rPr>
          <w:color w:val="231F20"/>
        </w:rPr>
        <w:t>листе</w:t>
      </w:r>
      <w:r>
        <w:rPr>
          <w:color w:val="231F20"/>
          <w:spacing w:val="-11"/>
        </w:rPr>
        <w:t> </w:t>
      </w:r>
      <w:r>
        <w:rPr>
          <w:color w:val="231F20"/>
        </w:rPr>
        <w:t>бумаги</w:t>
      </w:r>
      <w:r>
        <w:rPr>
          <w:color w:val="231F20"/>
          <w:spacing w:val="-11"/>
        </w:rPr>
        <w:t> </w:t>
      </w:r>
      <w:r>
        <w:rPr>
          <w:color w:val="231F20"/>
        </w:rPr>
        <w:t>контур</w:t>
      </w:r>
      <w:r>
        <w:rPr>
          <w:color w:val="231F20"/>
          <w:spacing w:val="-11"/>
        </w:rPr>
        <w:t> </w:t>
      </w:r>
      <w:r>
        <w:rPr>
          <w:color w:val="231F20"/>
        </w:rPr>
        <w:t>головы</w:t>
      </w:r>
      <w:r>
        <w:rPr>
          <w:color w:val="231F20"/>
          <w:spacing w:val="-11"/>
        </w:rPr>
        <w:t> </w:t>
      </w:r>
      <w:r>
        <w:rPr>
          <w:color w:val="231F20"/>
        </w:rPr>
        <w:t>(в</w:t>
      </w:r>
      <w:r>
        <w:rPr>
          <w:color w:val="231F20"/>
          <w:spacing w:val="-11"/>
        </w:rPr>
        <w:t> </w:t>
      </w:r>
      <w:r>
        <w:rPr>
          <w:color w:val="231F20"/>
        </w:rPr>
        <w:t>профиль</w:t>
      </w:r>
      <w:r>
        <w:rPr>
          <w:color w:val="231F20"/>
          <w:spacing w:val="-10"/>
        </w:rPr>
        <w:t> </w:t>
      </w:r>
      <w:r>
        <w:rPr>
          <w:color w:val="231F20"/>
        </w:rPr>
        <w:t>или анфас) и предлагает ребенку инструкцию:</w:t>
      </w:r>
    </w:p>
    <w:p>
      <w:pPr>
        <w:spacing w:line="232" w:lineRule="auto" w:before="2"/>
        <w:ind w:left="141" w:right="139" w:firstLine="283"/>
        <w:jc w:val="both"/>
        <w:rPr>
          <w:i/>
          <w:sz w:val="20"/>
        </w:rPr>
      </w:pPr>
      <w:r>
        <w:rPr>
          <w:i/>
          <w:color w:val="231F20"/>
          <w:sz w:val="20"/>
        </w:rPr>
        <w:t>– У каждого человека в голове одновременно происходит много разного. Это и мысли о том, что беспокоит, и чувства, и воспоминания, и желания. Какие мысли, чувства,</w:t>
      </w:r>
      <w:r>
        <w:rPr>
          <w:i/>
          <w:color w:val="231F20"/>
          <w:spacing w:val="-8"/>
          <w:sz w:val="20"/>
        </w:rPr>
        <w:t> </w:t>
      </w:r>
      <w:r>
        <w:rPr>
          <w:i/>
          <w:color w:val="231F20"/>
          <w:sz w:val="20"/>
        </w:rPr>
        <w:t>воспоминания,</w:t>
      </w:r>
      <w:r>
        <w:rPr>
          <w:i/>
          <w:color w:val="231F20"/>
          <w:spacing w:val="-8"/>
          <w:sz w:val="20"/>
        </w:rPr>
        <w:t> </w:t>
      </w:r>
      <w:r>
        <w:rPr>
          <w:i/>
          <w:color w:val="231F20"/>
          <w:sz w:val="20"/>
        </w:rPr>
        <w:t>планы</w:t>
      </w:r>
      <w:r>
        <w:rPr>
          <w:i/>
          <w:color w:val="231F20"/>
          <w:spacing w:val="-8"/>
          <w:sz w:val="20"/>
        </w:rPr>
        <w:t> </w:t>
      </w:r>
      <w:r>
        <w:rPr>
          <w:i/>
          <w:color w:val="231F20"/>
          <w:sz w:val="20"/>
        </w:rPr>
        <w:t>сейчас</w:t>
      </w:r>
      <w:r>
        <w:rPr>
          <w:i/>
          <w:color w:val="231F20"/>
          <w:spacing w:val="-8"/>
          <w:sz w:val="20"/>
        </w:rPr>
        <w:t> </w:t>
      </w:r>
      <w:r>
        <w:rPr>
          <w:i/>
          <w:color w:val="231F20"/>
          <w:sz w:val="20"/>
        </w:rPr>
        <w:t>занимают</w:t>
      </w:r>
      <w:r>
        <w:rPr>
          <w:i/>
          <w:color w:val="231F20"/>
          <w:spacing w:val="-8"/>
          <w:sz w:val="20"/>
        </w:rPr>
        <w:t> </w:t>
      </w:r>
      <w:r>
        <w:rPr>
          <w:i/>
          <w:color w:val="231F20"/>
          <w:sz w:val="20"/>
        </w:rPr>
        <w:t>самое</w:t>
      </w:r>
      <w:r>
        <w:rPr>
          <w:i/>
          <w:color w:val="231F20"/>
          <w:spacing w:val="-8"/>
          <w:sz w:val="20"/>
        </w:rPr>
        <w:t> </w:t>
      </w:r>
      <w:r>
        <w:rPr>
          <w:i/>
          <w:color w:val="231F20"/>
          <w:sz w:val="20"/>
        </w:rPr>
        <w:t>большое</w:t>
      </w:r>
      <w:r>
        <w:rPr>
          <w:i/>
          <w:color w:val="231F20"/>
          <w:spacing w:val="-8"/>
          <w:sz w:val="20"/>
        </w:rPr>
        <w:t> </w:t>
      </w:r>
      <w:r>
        <w:rPr>
          <w:i/>
          <w:color w:val="231F20"/>
          <w:sz w:val="20"/>
        </w:rPr>
        <w:t>место</w:t>
      </w:r>
      <w:r>
        <w:rPr>
          <w:i/>
          <w:color w:val="231F20"/>
          <w:spacing w:val="-8"/>
          <w:sz w:val="20"/>
        </w:rPr>
        <w:t> </w:t>
      </w:r>
      <w:r>
        <w:rPr>
          <w:i/>
          <w:color w:val="231F20"/>
          <w:sz w:val="20"/>
        </w:rPr>
        <w:t>у</w:t>
      </w:r>
      <w:r>
        <w:rPr>
          <w:i/>
          <w:color w:val="231F20"/>
          <w:spacing w:val="-8"/>
          <w:sz w:val="20"/>
        </w:rPr>
        <w:t> </w:t>
      </w:r>
      <w:r>
        <w:rPr>
          <w:i/>
          <w:color w:val="231F20"/>
          <w:sz w:val="20"/>
        </w:rPr>
        <w:t>тебя</w:t>
      </w:r>
      <w:r>
        <w:rPr>
          <w:i/>
          <w:color w:val="231F20"/>
          <w:spacing w:val="-8"/>
          <w:sz w:val="20"/>
        </w:rPr>
        <w:t> </w:t>
      </w:r>
      <w:r>
        <w:rPr>
          <w:i/>
          <w:color w:val="231F20"/>
          <w:sz w:val="20"/>
        </w:rPr>
        <w:t>в</w:t>
      </w:r>
      <w:r>
        <w:rPr>
          <w:i/>
          <w:color w:val="231F20"/>
          <w:spacing w:val="-8"/>
          <w:sz w:val="20"/>
        </w:rPr>
        <w:t> </w:t>
      </w:r>
      <w:r>
        <w:rPr>
          <w:i/>
          <w:color w:val="231F20"/>
          <w:sz w:val="20"/>
        </w:rPr>
        <w:t>голо- ве? Нарисуй их в любом удобном для тебя виде.</w:t>
      </w:r>
    </w:p>
    <w:p>
      <w:pPr>
        <w:spacing w:line="228" w:lineRule="exact" w:before="113"/>
        <w:ind w:left="425" w:right="0" w:firstLine="0"/>
        <w:jc w:val="both"/>
        <w:rPr>
          <w:b/>
          <w:i/>
          <w:sz w:val="20"/>
        </w:rPr>
      </w:pPr>
      <w:r>
        <w:rPr>
          <w:b/>
          <w:i/>
          <w:color w:val="231F20"/>
          <w:sz w:val="20"/>
        </w:rPr>
        <w:t>«Карта</w:t>
      </w:r>
      <w:r>
        <w:rPr>
          <w:b/>
          <w:i/>
          <w:color w:val="231F20"/>
          <w:spacing w:val="-2"/>
          <w:sz w:val="20"/>
        </w:rPr>
        <w:t> </w:t>
      </w:r>
      <w:r>
        <w:rPr>
          <w:b/>
          <w:i/>
          <w:color w:val="231F20"/>
          <w:sz w:val="20"/>
        </w:rPr>
        <w:t>моего</w:t>
      </w:r>
      <w:r>
        <w:rPr>
          <w:b/>
          <w:i/>
          <w:color w:val="231F20"/>
          <w:spacing w:val="-2"/>
          <w:sz w:val="20"/>
        </w:rPr>
        <w:t> сердца»</w:t>
      </w:r>
    </w:p>
    <w:p>
      <w:pPr>
        <w:pStyle w:val="BodyText"/>
        <w:spacing w:line="235" w:lineRule="auto" w:before="2"/>
      </w:pPr>
      <w:r>
        <w:rPr/>
        <w:t>Автор идеи «Карты сердца» – американская писательница и поэтесса Джорджия Хёрд (Heard).</w:t>
      </w:r>
    </w:p>
    <w:p>
      <w:pPr>
        <w:pStyle w:val="BodyText"/>
        <w:spacing w:line="235" w:lineRule="auto" w:before="1"/>
      </w:pPr>
      <w:r>
        <w:rPr>
          <w:color w:val="231F20"/>
        </w:rPr>
        <w:t>Материал: </w:t>
      </w:r>
      <w:r>
        <w:rPr/>
        <w:t>схематическое изображение сердца на листе формата А4 или А3. Это сердце можно заранее разделить на небольшие части, а можно предложить участни- кам сделать это самим.</w:t>
      </w:r>
    </w:p>
    <w:p>
      <w:pPr>
        <w:pStyle w:val="BodyText"/>
        <w:spacing w:after="0" w:line="235" w:lineRule="auto"/>
        <w:sectPr>
          <w:pgSz w:w="8400" w:h="11910"/>
          <w:pgMar w:header="0" w:footer="529" w:top="400" w:bottom="720" w:left="425" w:right="425"/>
        </w:sectPr>
      </w:pPr>
    </w:p>
    <w:p>
      <w:pPr>
        <w:pStyle w:val="ListParagraph"/>
        <w:numPr>
          <w:ilvl w:val="1"/>
          <w:numId w:val="220"/>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Арт-терапевтические</w:t>
      </w:r>
      <w:r>
        <w:rPr>
          <w:rFonts w:ascii="Georgia" w:hAnsi="Georgia"/>
          <w:color w:val="231F20"/>
          <w:spacing w:val="4"/>
          <w:sz w:val="18"/>
        </w:rPr>
        <w:t> </w:t>
      </w:r>
      <w:r>
        <w:rPr>
          <w:rFonts w:ascii="Georgia" w:hAnsi="Georgia"/>
          <w:color w:val="231F20"/>
          <w:sz w:val="18"/>
        </w:rPr>
        <w:t>приемы</w:t>
      </w:r>
      <w:r>
        <w:rPr>
          <w:rFonts w:ascii="Georgia" w:hAnsi="Georgia"/>
          <w:color w:val="231F20"/>
          <w:spacing w:val="5"/>
          <w:sz w:val="18"/>
        </w:rPr>
        <w:t> </w:t>
      </w:r>
      <w:r>
        <w:rPr>
          <w:rFonts w:ascii="Georgia" w:hAnsi="Georgia"/>
          <w:color w:val="231F20"/>
          <w:sz w:val="18"/>
        </w:rPr>
        <w:t>поддержки</w:t>
      </w:r>
      <w:r>
        <w:rPr>
          <w:rFonts w:ascii="Georgia" w:hAnsi="Georgia"/>
          <w:color w:val="231F20"/>
          <w:spacing w:val="5"/>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на</w:t>
      </w:r>
      <w:r>
        <w:rPr>
          <w:rFonts w:ascii="Georgia" w:hAnsi="Georgia"/>
          <w:color w:val="231F20"/>
          <w:spacing w:val="5"/>
          <w:sz w:val="18"/>
        </w:rPr>
        <w:t> </w:t>
      </w:r>
      <w:r>
        <w:rPr>
          <w:rFonts w:ascii="Georgia" w:hAnsi="Georgia"/>
          <w:color w:val="231F20"/>
          <w:sz w:val="18"/>
        </w:rPr>
        <w:t>новом</w:t>
      </w:r>
      <w:r>
        <w:rPr>
          <w:rFonts w:ascii="Georgia" w:hAnsi="Georgia"/>
          <w:color w:val="231F20"/>
          <w:spacing w:val="5"/>
          <w:sz w:val="18"/>
        </w:rPr>
        <w:t> </w:t>
      </w:r>
      <w:r>
        <w:rPr>
          <w:rFonts w:ascii="Georgia" w:hAnsi="Georgia"/>
          <w:color w:val="231F20"/>
          <w:spacing w:val="-2"/>
          <w:sz w:val="18"/>
        </w:rPr>
        <w:t>месте...</w:t>
      </w:r>
    </w:p>
    <w:p>
      <w:pPr>
        <w:pStyle w:val="BodyText"/>
        <w:spacing w:line="228" w:lineRule="exact" w:before="112"/>
        <w:ind w:left="425" w:right="0" w:firstLine="0"/>
        <w:jc w:val="left"/>
      </w:pPr>
      <w:r>
        <w:rPr>
          <w:spacing w:val="-2"/>
        </w:rPr>
        <w:t>Инструкция</w:t>
      </w:r>
    </w:p>
    <w:p>
      <w:pPr>
        <w:pStyle w:val="ListParagraph"/>
        <w:numPr>
          <w:ilvl w:val="2"/>
          <w:numId w:val="220"/>
        </w:numPr>
        <w:tabs>
          <w:tab w:pos="579" w:val="left" w:leader="none"/>
        </w:tabs>
        <w:spacing w:line="235" w:lineRule="auto" w:before="2" w:after="0"/>
        <w:ind w:left="141" w:right="139" w:firstLine="283"/>
        <w:jc w:val="right"/>
        <w:rPr>
          <w:i/>
          <w:sz w:val="20"/>
        </w:rPr>
      </w:pPr>
      <w:r>
        <w:rPr>
          <w:i/>
          <w:sz w:val="20"/>
        </w:rPr>
        <w:t>Когда мы говорим о каких-то важных для себя вещах, о том, что любим, пом- ним, мы часто используем фразу: «Я сохраню это в своем сердце». В нашем сердце есть</w:t>
      </w:r>
      <w:r>
        <w:rPr>
          <w:i/>
          <w:spacing w:val="-9"/>
          <w:sz w:val="20"/>
        </w:rPr>
        <w:t> </w:t>
      </w:r>
      <w:r>
        <w:rPr>
          <w:i/>
          <w:sz w:val="20"/>
        </w:rPr>
        <w:t>место</w:t>
      </w:r>
      <w:r>
        <w:rPr>
          <w:i/>
          <w:spacing w:val="-9"/>
          <w:sz w:val="20"/>
        </w:rPr>
        <w:t> </w:t>
      </w:r>
      <w:r>
        <w:rPr>
          <w:i/>
          <w:sz w:val="20"/>
        </w:rPr>
        <w:t>для</w:t>
      </w:r>
      <w:r>
        <w:rPr>
          <w:i/>
          <w:spacing w:val="-9"/>
          <w:sz w:val="20"/>
        </w:rPr>
        <w:t> </w:t>
      </w:r>
      <w:r>
        <w:rPr>
          <w:i/>
          <w:sz w:val="20"/>
        </w:rPr>
        <w:t>людей,</w:t>
      </w:r>
      <w:r>
        <w:rPr>
          <w:i/>
          <w:spacing w:val="-9"/>
          <w:sz w:val="20"/>
        </w:rPr>
        <w:t> </w:t>
      </w:r>
      <w:r>
        <w:rPr>
          <w:i/>
          <w:sz w:val="20"/>
        </w:rPr>
        <w:t>занятий,</w:t>
      </w:r>
      <w:r>
        <w:rPr>
          <w:i/>
          <w:spacing w:val="-9"/>
          <w:sz w:val="20"/>
        </w:rPr>
        <w:t> </w:t>
      </w:r>
      <w:r>
        <w:rPr>
          <w:i/>
          <w:sz w:val="20"/>
        </w:rPr>
        <w:t>даже</w:t>
      </w:r>
      <w:r>
        <w:rPr>
          <w:i/>
          <w:spacing w:val="-9"/>
          <w:sz w:val="20"/>
        </w:rPr>
        <w:t> </w:t>
      </w:r>
      <w:r>
        <w:rPr>
          <w:i/>
          <w:sz w:val="20"/>
        </w:rPr>
        <w:t>для</w:t>
      </w:r>
      <w:r>
        <w:rPr>
          <w:i/>
          <w:spacing w:val="-9"/>
          <w:sz w:val="20"/>
        </w:rPr>
        <w:t> </w:t>
      </w:r>
      <w:r>
        <w:rPr>
          <w:i/>
          <w:sz w:val="20"/>
        </w:rPr>
        <w:t>каких-то</w:t>
      </w:r>
      <w:r>
        <w:rPr>
          <w:i/>
          <w:spacing w:val="-9"/>
          <w:sz w:val="20"/>
        </w:rPr>
        <w:t> </w:t>
      </w:r>
      <w:r>
        <w:rPr>
          <w:i/>
          <w:sz w:val="20"/>
        </w:rPr>
        <w:t>вещей</w:t>
      </w:r>
      <w:r>
        <w:rPr>
          <w:i/>
          <w:spacing w:val="-9"/>
          <w:sz w:val="20"/>
        </w:rPr>
        <w:t> </w:t>
      </w:r>
      <w:r>
        <w:rPr>
          <w:i/>
          <w:sz w:val="20"/>
        </w:rPr>
        <w:t>и</w:t>
      </w:r>
      <w:r>
        <w:rPr>
          <w:i/>
          <w:spacing w:val="-9"/>
          <w:sz w:val="20"/>
        </w:rPr>
        <w:t> </w:t>
      </w:r>
      <w:r>
        <w:rPr>
          <w:i/>
          <w:sz w:val="20"/>
        </w:rPr>
        <w:t>предметов.</w:t>
      </w:r>
      <w:r>
        <w:rPr>
          <w:i/>
          <w:spacing w:val="-9"/>
          <w:sz w:val="20"/>
        </w:rPr>
        <w:t> </w:t>
      </w:r>
      <w:r>
        <w:rPr>
          <w:i/>
          <w:sz w:val="20"/>
        </w:rPr>
        <w:t>Давайте</w:t>
      </w:r>
      <w:r>
        <w:rPr>
          <w:i/>
          <w:spacing w:val="-9"/>
          <w:sz w:val="20"/>
        </w:rPr>
        <w:t> </w:t>
      </w:r>
      <w:r>
        <w:rPr>
          <w:i/>
          <w:sz w:val="20"/>
        </w:rPr>
        <w:t>со- ставим</w:t>
      </w:r>
      <w:r>
        <w:rPr>
          <w:i/>
          <w:spacing w:val="-10"/>
          <w:sz w:val="20"/>
        </w:rPr>
        <w:t> </w:t>
      </w:r>
      <w:r>
        <w:rPr>
          <w:i/>
          <w:sz w:val="20"/>
        </w:rPr>
        <w:t>карту</w:t>
      </w:r>
      <w:r>
        <w:rPr>
          <w:i/>
          <w:spacing w:val="-6"/>
          <w:sz w:val="20"/>
        </w:rPr>
        <w:t> </w:t>
      </w:r>
      <w:r>
        <w:rPr>
          <w:i/>
          <w:sz w:val="20"/>
        </w:rPr>
        <w:t>твоего</w:t>
      </w:r>
      <w:r>
        <w:rPr>
          <w:i/>
          <w:spacing w:val="-7"/>
          <w:sz w:val="20"/>
        </w:rPr>
        <w:t> </w:t>
      </w:r>
      <w:r>
        <w:rPr>
          <w:i/>
          <w:sz w:val="20"/>
        </w:rPr>
        <w:t>сердца.</w:t>
      </w:r>
      <w:r>
        <w:rPr>
          <w:i/>
          <w:spacing w:val="-6"/>
          <w:sz w:val="20"/>
        </w:rPr>
        <w:t> </w:t>
      </w:r>
      <w:r>
        <w:rPr>
          <w:i/>
          <w:sz w:val="20"/>
        </w:rPr>
        <w:t>Она</w:t>
      </w:r>
      <w:r>
        <w:rPr>
          <w:i/>
          <w:spacing w:val="-6"/>
          <w:sz w:val="20"/>
        </w:rPr>
        <w:t> </w:t>
      </w:r>
      <w:r>
        <w:rPr>
          <w:i/>
          <w:sz w:val="20"/>
        </w:rPr>
        <w:t>поможет</w:t>
      </w:r>
      <w:r>
        <w:rPr>
          <w:i/>
          <w:spacing w:val="-8"/>
          <w:sz w:val="20"/>
        </w:rPr>
        <w:t> </w:t>
      </w:r>
      <w:r>
        <w:rPr>
          <w:i/>
          <w:sz w:val="20"/>
        </w:rPr>
        <w:t>другим</w:t>
      </w:r>
      <w:r>
        <w:rPr>
          <w:i/>
          <w:spacing w:val="-7"/>
          <w:sz w:val="20"/>
        </w:rPr>
        <w:t> </w:t>
      </w:r>
      <w:r>
        <w:rPr>
          <w:i/>
          <w:sz w:val="20"/>
        </w:rPr>
        <w:t>людям</w:t>
      </w:r>
      <w:r>
        <w:rPr>
          <w:i/>
          <w:spacing w:val="-7"/>
          <w:sz w:val="20"/>
        </w:rPr>
        <w:t> </w:t>
      </w:r>
      <w:r>
        <w:rPr>
          <w:i/>
          <w:sz w:val="20"/>
        </w:rPr>
        <w:t>побольше</w:t>
      </w:r>
      <w:r>
        <w:rPr>
          <w:i/>
          <w:spacing w:val="-7"/>
          <w:sz w:val="20"/>
        </w:rPr>
        <w:t> </w:t>
      </w:r>
      <w:r>
        <w:rPr>
          <w:i/>
          <w:sz w:val="20"/>
        </w:rPr>
        <w:t>узнать</w:t>
      </w:r>
      <w:r>
        <w:rPr>
          <w:i/>
          <w:spacing w:val="-7"/>
          <w:sz w:val="20"/>
        </w:rPr>
        <w:t> </w:t>
      </w:r>
      <w:r>
        <w:rPr>
          <w:i/>
          <w:sz w:val="20"/>
        </w:rPr>
        <w:t>о</w:t>
      </w:r>
      <w:r>
        <w:rPr>
          <w:i/>
          <w:spacing w:val="-6"/>
          <w:sz w:val="20"/>
        </w:rPr>
        <w:t> </w:t>
      </w:r>
      <w:r>
        <w:rPr>
          <w:i/>
          <w:spacing w:val="-2"/>
          <w:sz w:val="20"/>
        </w:rPr>
        <w:t>тебе.</w:t>
      </w:r>
    </w:p>
    <w:p>
      <w:pPr>
        <w:spacing w:line="235" w:lineRule="auto" w:before="2"/>
        <w:ind w:left="141" w:right="0" w:firstLine="283"/>
        <w:jc w:val="left"/>
        <w:rPr>
          <w:i/>
          <w:sz w:val="20"/>
        </w:rPr>
      </w:pPr>
      <w:r>
        <w:rPr>
          <w:i/>
          <w:sz w:val="20"/>
        </w:rPr>
        <w:t>Перед тобой – карта твоего сердца. Подумай, что ты хранишь в сердце, что</w:t>
      </w:r>
      <w:r>
        <w:rPr>
          <w:i/>
          <w:spacing w:val="40"/>
          <w:sz w:val="20"/>
        </w:rPr>
        <w:t> </w:t>
      </w:r>
      <w:r>
        <w:rPr>
          <w:i/>
          <w:sz w:val="20"/>
        </w:rPr>
        <w:t>любишь, что для тебя важно, и напиши об этом на карте.</w:t>
      </w:r>
    </w:p>
    <w:p>
      <w:pPr>
        <w:pStyle w:val="BodyText"/>
        <w:spacing w:line="235" w:lineRule="auto" w:before="1"/>
        <w:ind w:right="0"/>
        <w:jc w:val="left"/>
      </w:pPr>
      <w:r>
        <w:rPr/>
        <w:t>Когда карта готова, важно попросить ученика рассказать о ней. Для рефлексии можно задать такие вопросы:</w:t>
      </w:r>
    </w:p>
    <w:p>
      <w:pPr>
        <w:pStyle w:val="ListParagraph"/>
        <w:numPr>
          <w:ilvl w:val="2"/>
          <w:numId w:val="220"/>
        </w:numPr>
        <w:tabs>
          <w:tab w:pos="575" w:val="left" w:leader="none"/>
        </w:tabs>
        <w:spacing w:line="225" w:lineRule="exact" w:before="0" w:after="0"/>
        <w:ind w:left="575" w:right="0" w:hanging="150"/>
        <w:jc w:val="left"/>
        <w:rPr>
          <w:color w:val="231F20"/>
          <w:sz w:val="20"/>
        </w:rPr>
      </w:pPr>
      <w:r>
        <w:rPr>
          <w:sz w:val="20"/>
        </w:rPr>
        <w:t>Какие</w:t>
      </w:r>
      <w:r>
        <w:rPr>
          <w:spacing w:val="-6"/>
          <w:sz w:val="20"/>
        </w:rPr>
        <w:t> </w:t>
      </w:r>
      <w:r>
        <w:rPr>
          <w:sz w:val="20"/>
        </w:rPr>
        <w:t>мысли</w:t>
      </w:r>
      <w:r>
        <w:rPr>
          <w:spacing w:val="-4"/>
          <w:sz w:val="20"/>
        </w:rPr>
        <w:t> </w:t>
      </w:r>
      <w:r>
        <w:rPr>
          <w:sz w:val="20"/>
        </w:rPr>
        <w:t>и</w:t>
      </w:r>
      <w:r>
        <w:rPr>
          <w:spacing w:val="-5"/>
          <w:sz w:val="20"/>
        </w:rPr>
        <w:t> </w:t>
      </w:r>
      <w:r>
        <w:rPr>
          <w:sz w:val="20"/>
        </w:rPr>
        <w:t>чувства</w:t>
      </w:r>
      <w:r>
        <w:rPr>
          <w:spacing w:val="-3"/>
          <w:sz w:val="20"/>
        </w:rPr>
        <w:t> </w:t>
      </w:r>
      <w:r>
        <w:rPr>
          <w:sz w:val="20"/>
        </w:rPr>
        <w:t>возникали</w:t>
      </w:r>
      <w:r>
        <w:rPr>
          <w:spacing w:val="-5"/>
          <w:sz w:val="20"/>
        </w:rPr>
        <w:t> </w:t>
      </w:r>
      <w:r>
        <w:rPr>
          <w:sz w:val="20"/>
        </w:rPr>
        <w:t>при</w:t>
      </w:r>
      <w:r>
        <w:rPr>
          <w:spacing w:val="-4"/>
          <w:sz w:val="20"/>
        </w:rPr>
        <w:t> </w:t>
      </w:r>
      <w:r>
        <w:rPr>
          <w:sz w:val="20"/>
        </w:rPr>
        <w:t>составлении</w:t>
      </w:r>
      <w:r>
        <w:rPr>
          <w:spacing w:val="-4"/>
          <w:sz w:val="20"/>
        </w:rPr>
        <w:t> </w:t>
      </w:r>
      <w:r>
        <w:rPr>
          <w:spacing w:val="-2"/>
          <w:sz w:val="20"/>
        </w:rPr>
        <w:t>карты?</w:t>
      </w:r>
    </w:p>
    <w:p>
      <w:pPr>
        <w:pStyle w:val="ListParagraph"/>
        <w:numPr>
          <w:ilvl w:val="2"/>
          <w:numId w:val="220"/>
        </w:numPr>
        <w:tabs>
          <w:tab w:pos="575" w:val="left" w:leader="none"/>
        </w:tabs>
        <w:spacing w:line="226" w:lineRule="exact" w:before="0" w:after="0"/>
        <w:ind w:left="575" w:right="0" w:hanging="150"/>
        <w:jc w:val="left"/>
        <w:rPr>
          <w:color w:val="231F20"/>
          <w:sz w:val="20"/>
        </w:rPr>
      </w:pPr>
      <w:r>
        <w:rPr>
          <w:sz w:val="20"/>
        </w:rPr>
        <w:t>Что</w:t>
      </w:r>
      <w:r>
        <w:rPr>
          <w:spacing w:val="-2"/>
          <w:sz w:val="20"/>
        </w:rPr>
        <w:t> </w:t>
      </w:r>
      <w:r>
        <w:rPr>
          <w:sz w:val="20"/>
        </w:rPr>
        <w:t>первое</w:t>
      </w:r>
      <w:r>
        <w:rPr>
          <w:spacing w:val="-2"/>
          <w:sz w:val="20"/>
        </w:rPr>
        <w:t> </w:t>
      </w:r>
      <w:r>
        <w:rPr>
          <w:sz w:val="20"/>
        </w:rPr>
        <w:t>пришло</w:t>
      </w:r>
      <w:r>
        <w:rPr>
          <w:spacing w:val="-1"/>
          <w:sz w:val="20"/>
        </w:rPr>
        <w:t> </w:t>
      </w:r>
      <w:r>
        <w:rPr>
          <w:sz w:val="20"/>
        </w:rPr>
        <w:t>в</w:t>
      </w:r>
      <w:r>
        <w:rPr>
          <w:spacing w:val="-2"/>
          <w:sz w:val="20"/>
        </w:rPr>
        <w:t> голову?</w:t>
      </w:r>
    </w:p>
    <w:p>
      <w:pPr>
        <w:pStyle w:val="ListParagraph"/>
        <w:numPr>
          <w:ilvl w:val="2"/>
          <w:numId w:val="220"/>
        </w:numPr>
        <w:tabs>
          <w:tab w:pos="575" w:val="left" w:leader="none"/>
        </w:tabs>
        <w:spacing w:line="228" w:lineRule="exact" w:before="0" w:after="0"/>
        <w:ind w:left="575" w:right="0" w:hanging="150"/>
        <w:jc w:val="left"/>
        <w:rPr>
          <w:color w:val="231F20"/>
          <w:sz w:val="20"/>
        </w:rPr>
      </w:pPr>
      <w:r>
        <w:rPr>
          <w:sz w:val="20"/>
        </w:rPr>
        <w:t>Как</w:t>
      </w:r>
      <w:r>
        <w:rPr>
          <w:spacing w:val="-2"/>
          <w:sz w:val="20"/>
        </w:rPr>
        <w:t> </w:t>
      </w:r>
      <w:r>
        <w:rPr>
          <w:sz w:val="20"/>
        </w:rPr>
        <w:t>ты</w:t>
      </w:r>
      <w:r>
        <w:rPr>
          <w:spacing w:val="-1"/>
          <w:sz w:val="20"/>
        </w:rPr>
        <w:t> </w:t>
      </w:r>
      <w:r>
        <w:rPr>
          <w:sz w:val="20"/>
        </w:rPr>
        <w:t>выбирал,</w:t>
      </w:r>
      <w:r>
        <w:rPr>
          <w:spacing w:val="-1"/>
          <w:sz w:val="20"/>
        </w:rPr>
        <w:t> </w:t>
      </w:r>
      <w:r>
        <w:rPr>
          <w:sz w:val="20"/>
        </w:rPr>
        <w:t>что</w:t>
      </w:r>
      <w:r>
        <w:rPr>
          <w:spacing w:val="-1"/>
          <w:sz w:val="20"/>
        </w:rPr>
        <w:t> </w:t>
      </w:r>
      <w:r>
        <w:rPr>
          <w:sz w:val="20"/>
        </w:rPr>
        <w:t>именно</w:t>
      </w:r>
      <w:r>
        <w:rPr>
          <w:spacing w:val="-1"/>
          <w:sz w:val="20"/>
        </w:rPr>
        <w:t> </w:t>
      </w:r>
      <w:r>
        <w:rPr>
          <w:sz w:val="20"/>
        </w:rPr>
        <w:t>разместить</w:t>
      </w:r>
      <w:r>
        <w:rPr>
          <w:spacing w:val="-2"/>
          <w:sz w:val="20"/>
        </w:rPr>
        <w:t> </w:t>
      </w:r>
      <w:r>
        <w:rPr>
          <w:sz w:val="20"/>
        </w:rPr>
        <w:t>на</w:t>
      </w:r>
      <w:r>
        <w:rPr>
          <w:spacing w:val="-1"/>
          <w:sz w:val="20"/>
        </w:rPr>
        <w:t> </w:t>
      </w:r>
      <w:r>
        <w:rPr>
          <w:spacing w:val="-2"/>
          <w:sz w:val="20"/>
        </w:rPr>
        <w:t>карте?</w:t>
      </w:r>
    </w:p>
    <w:p>
      <w:pPr>
        <w:spacing w:before="110"/>
        <w:ind w:left="828" w:right="0" w:firstLine="0"/>
        <w:jc w:val="left"/>
        <w:rPr>
          <w:b/>
          <w:sz w:val="20"/>
        </w:rPr>
      </w:pPr>
      <w:r>
        <w:rPr>
          <w:b/>
          <w:color w:val="231F20"/>
          <w:sz w:val="20"/>
        </w:rPr>
        <w:t>Приемы,</w:t>
      </w:r>
      <w:r>
        <w:rPr>
          <w:b/>
          <w:color w:val="231F20"/>
          <w:spacing w:val="-8"/>
          <w:sz w:val="20"/>
        </w:rPr>
        <w:t> </w:t>
      </w:r>
      <w:r>
        <w:rPr>
          <w:b/>
          <w:color w:val="231F20"/>
          <w:sz w:val="20"/>
        </w:rPr>
        <w:t>обеспечивающие</w:t>
      </w:r>
      <w:r>
        <w:rPr>
          <w:b/>
          <w:color w:val="231F20"/>
          <w:spacing w:val="-6"/>
          <w:sz w:val="20"/>
        </w:rPr>
        <w:t> </w:t>
      </w:r>
      <w:r>
        <w:rPr>
          <w:b/>
          <w:color w:val="231F20"/>
          <w:sz w:val="20"/>
        </w:rPr>
        <w:t>рефлексию</w:t>
      </w:r>
      <w:r>
        <w:rPr>
          <w:b/>
          <w:color w:val="231F20"/>
          <w:spacing w:val="-7"/>
          <w:sz w:val="20"/>
        </w:rPr>
        <w:t> </w:t>
      </w:r>
      <w:r>
        <w:rPr>
          <w:b/>
          <w:color w:val="231F20"/>
          <w:sz w:val="20"/>
        </w:rPr>
        <w:t>адаптации</w:t>
      </w:r>
      <w:r>
        <w:rPr>
          <w:b/>
          <w:color w:val="231F20"/>
          <w:spacing w:val="-6"/>
          <w:sz w:val="20"/>
        </w:rPr>
        <w:t> </w:t>
      </w:r>
      <w:r>
        <w:rPr>
          <w:b/>
          <w:color w:val="231F20"/>
          <w:sz w:val="20"/>
        </w:rPr>
        <w:t>на</w:t>
      </w:r>
      <w:r>
        <w:rPr>
          <w:b/>
          <w:color w:val="231F20"/>
          <w:spacing w:val="-6"/>
          <w:sz w:val="20"/>
        </w:rPr>
        <w:t> </w:t>
      </w:r>
      <w:r>
        <w:rPr>
          <w:b/>
          <w:color w:val="231F20"/>
          <w:sz w:val="20"/>
        </w:rPr>
        <w:t>новом</w:t>
      </w:r>
      <w:r>
        <w:rPr>
          <w:b/>
          <w:color w:val="231F20"/>
          <w:spacing w:val="-6"/>
          <w:sz w:val="20"/>
        </w:rPr>
        <w:t> </w:t>
      </w:r>
      <w:r>
        <w:rPr>
          <w:b/>
          <w:color w:val="231F20"/>
          <w:spacing w:val="-2"/>
          <w:sz w:val="20"/>
        </w:rPr>
        <w:t>месте</w:t>
      </w:r>
    </w:p>
    <w:p>
      <w:pPr>
        <w:spacing w:line="228" w:lineRule="exact" w:before="109"/>
        <w:ind w:left="425" w:right="0" w:firstLine="0"/>
        <w:jc w:val="left"/>
        <w:rPr>
          <w:b/>
          <w:i/>
          <w:sz w:val="20"/>
        </w:rPr>
      </w:pPr>
      <w:r>
        <w:rPr>
          <w:b/>
          <w:i/>
          <w:color w:val="231F20"/>
          <w:spacing w:val="-2"/>
          <w:sz w:val="20"/>
        </w:rPr>
        <w:t>«Коллаж»</w:t>
      </w:r>
    </w:p>
    <w:p>
      <w:pPr>
        <w:pStyle w:val="BodyText"/>
        <w:spacing w:line="235" w:lineRule="auto" w:before="2"/>
        <w:ind w:left="425" w:right="0" w:firstLine="0"/>
        <w:jc w:val="left"/>
      </w:pPr>
      <w:r>
        <w:rPr>
          <w:color w:val="231F20"/>
        </w:rPr>
        <w:t>Материалы:</w:t>
      </w:r>
      <w:r>
        <w:rPr>
          <w:color w:val="231F20"/>
          <w:spacing w:val="-8"/>
        </w:rPr>
        <w:t> </w:t>
      </w:r>
      <w:r>
        <w:rPr>
          <w:color w:val="231F20"/>
        </w:rPr>
        <w:t>иллюстрированные</w:t>
      </w:r>
      <w:r>
        <w:rPr>
          <w:color w:val="231F20"/>
          <w:spacing w:val="-8"/>
        </w:rPr>
        <w:t> </w:t>
      </w:r>
      <w:r>
        <w:rPr>
          <w:color w:val="231F20"/>
        </w:rPr>
        <w:t>журналы,</w:t>
      </w:r>
      <w:r>
        <w:rPr>
          <w:color w:val="231F20"/>
          <w:spacing w:val="-8"/>
        </w:rPr>
        <w:t> </w:t>
      </w:r>
      <w:r>
        <w:rPr>
          <w:color w:val="231F20"/>
        </w:rPr>
        <w:t>бумага</w:t>
      </w:r>
      <w:r>
        <w:rPr>
          <w:color w:val="231F20"/>
          <w:spacing w:val="-8"/>
        </w:rPr>
        <w:t> </w:t>
      </w:r>
      <w:r>
        <w:rPr>
          <w:color w:val="231F20"/>
        </w:rPr>
        <w:t>формата</w:t>
      </w:r>
      <w:r>
        <w:rPr>
          <w:color w:val="231F20"/>
          <w:spacing w:val="-8"/>
        </w:rPr>
        <w:t> </w:t>
      </w:r>
      <w:r>
        <w:rPr>
          <w:color w:val="231F20"/>
        </w:rPr>
        <w:t>А3,</w:t>
      </w:r>
      <w:r>
        <w:rPr>
          <w:color w:val="231F20"/>
          <w:spacing w:val="-8"/>
        </w:rPr>
        <w:t> </w:t>
      </w:r>
      <w:r>
        <w:rPr>
          <w:color w:val="231F20"/>
        </w:rPr>
        <w:t>ножницы,</w:t>
      </w:r>
      <w:r>
        <w:rPr>
          <w:color w:val="231F20"/>
          <w:spacing w:val="-8"/>
        </w:rPr>
        <w:t> </w:t>
      </w:r>
      <w:r>
        <w:rPr>
          <w:color w:val="231F20"/>
        </w:rPr>
        <w:t>клей. </w:t>
      </w:r>
      <w:r>
        <w:rPr>
          <w:color w:val="231F20"/>
          <w:spacing w:val="-2"/>
        </w:rPr>
        <w:t>Инструкция</w:t>
      </w:r>
    </w:p>
    <w:p>
      <w:pPr>
        <w:spacing w:line="225" w:lineRule="exact" w:before="0"/>
        <w:ind w:left="425" w:right="0" w:firstLine="0"/>
        <w:jc w:val="left"/>
        <w:rPr>
          <w:i/>
          <w:sz w:val="20"/>
        </w:rPr>
      </w:pPr>
      <w:r>
        <w:rPr>
          <w:i/>
          <w:color w:val="231F20"/>
          <w:sz w:val="20"/>
        </w:rPr>
        <w:t>Вариант</w:t>
      </w:r>
      <w:r>
        <w:rPr>
          <w:i/>
          <w:color w:val="231F20"/>
          <w:spacing w:val="-7"/>
          <w:sz w:val="20"/>
        </w:rPr>
        <w:t> </w:t>
      </w:r>
      <w:r>
        <w:rPr>
          <w:i/>
          <w:color w:val="231F20"/>
          <w:spacing w:val="-5"/>
          <w:sz w:val="20"/>
        </w:rPr>
        <w:t>1.</w:t>
      </w:r>
    </w:p>
    <w:p>
      <w:pPr>
        <w:pStyle w:val="BodyText"/>
        <w:spacing w:line="235" w:lineRule="auto" w:before="2"/>
        <w:ind w:right="140"/>
      </w:pPr>
      <w:r>
        <w:rPr>
          <w:color w:val="231F20"/>
        </w:rPr>
        <w:t>Учащемуся предлагается выполнить два коллажа, один называется «Моя жизнь на</w:t>
      </w:r>
      <w:r>
        <w:rPr>
          <w:color w:val="231F20"/>
          <w:spacing w:val="-6"/>
        </w:rPr>
        <w:t> </w:t>
      </w:r>
      <w:r>
        <w:rPr>
          <w:color w:val="231F20"/>
        </w:rPr>
        <w:t>родине»,</w:t>
      </w:r>
      <w:r>
        <w:rPr>
          <w:color w:val="231F20"/>
          <w:spacing w:val="-6"/>
        </w:rPr>
        <w:t> </w:t>
      </w:r>
      <w:r>
        <w:rPr>
          <w:color w:val="231F20"/>
        </w:rPr>
        <w:t>второй</w:t>
      </w:r>
      <w:r>
        <w:rPr>
          <w:color w:val="231F20"/>
          <w:spacing w:val="-6"/>
        </w:rPr>
        <w:t> </w:t>
      </w:r>
      <w:r>
        <w:rPr>
          <w:color w:val="231F20"/>
        </w:rPr>
        <w:t>–</w:t>
      </w:r>
      <w:r>
        <w:rPr>
          <w:color w:val="231F20"/>
          <w:spacing w:val="-6"/>
        </w:rPr>
        <w:t> </w:t>
      </w:r>
      <w:r>
        <w:rPr>
          <w:color w:val="231F20"/>
        </w:rPr>
        <w:t>«Моя</w:t>
      </w:r>
      <w:r>
        <w:rPr>
          <w:color w:val="231F20"/>
          <w:spacing w:val="-6"/>
        </w:rPr>
        <w:t> </w:t>
      </w:r>
      <w:r>
        <w:rPr>
          <w:color w:val="231F20"/>
        </w:rPr>
        <w:t>жизнь</w:t>
      </w:r>
      <w:r>
        <w:rPr>
          <w:color w:val="231F20"/>
          <w:spacing w:val="-6"/>
        </w:rPr>
        <w:t> </w:t>
      </w:r>
      <w:r>
        <w:rPr>
          <w:color w:val="231F20"/>
        </w:rPr>
        <w:t>в</w:t>
      </w:r>
      <w:r>
        <w:rPr>
          <w:color w:val="231F20"/>
          <w:spacing w:val="-6"/>
        </w:rPr>
        <w:t> </w:t>
      </w:r>
      <w:r>
        <w:rPr>
          <w:color w:val="231F20"/>
        </w:rPr>
        <w:t>России».</w:t>
      </w:r>
      <w:r>
        <w:rPr>
          <w:color w:val="231F20"/>
          <w:spacing w:val="-6"/>
        </w:rPr>
        <w:t> </w:t>
      </w:r>
      <w:r>
        <w:rPr>
          <w:color w:val="231F20"/>
        </w:rPr>
        <w:t>По</w:t>
      </w:r>
      <w:r>
        <w:rPr>
          <w:color w:val="231F20"/>
          <w:spacing w:val="-6"/>
        </w:rPr>
        <w:t> </w:t>
      </w:r>
      <w:r>
        <w:rPr>
          <w:color w:val="231F20"/>
        </w:rPr>
        <w:t>завершении</w:t>
      </w:r>
      <w:r>
        <w:rPr>
          <w:color w:val="231F20"/>
          <w:spacing w:val="-6"/>
        </w:rPr>
        <w:t> </w:t>
      </w:r>
      <w:r>
        <w:rPr>
          <w:color w:val="231F20"/>
        </w:rPr>
        <w:t>следует</w:t>
      </w:r>
      <w:r>
        <w:rPr>
          <w:color w:val="231F20"/>
          <w:spacing w:val="-6"/>
        </w:rPr>
        <w:t> </w:t>
      </w:r>
      <w:r>
        <w:rPr>
          <w:color w:val="231F20"/>
        </w:rPr>
        <w:t>обсудить,</w:t>
      </w:r>
      <w:r>
        <w:rPr>
          <w:color w:val="231F20"/>
          <w:spacing w:val="-6"/>
        </w:rPr>
        <w:t> </w:t>
      </w:r>
      <w:r>
        <w:rPr>
          <w:color w:val="231F20"/>
        </w:rPr>
        <w:t>какие мысли и чувства возникают у ребенка, когда он рассматривает свои работы.</w:t>
      </w:r>
    </w:p>
    <w:p>
      <w:pPr>
        <w:spacing w:line="226" w:lineRule="exact" w:before="0"/>
        <w:ind w:left="425" w:right="0" w:firstLine="0"/>
        <w:jc w:val="both"/>
        <w:rPr>
          <w:i/>
          <w:sz w:val="20"/>
        </w:rPr>
      </w:pPr>
      <w:r>
        <w:rPr>
          <w:i/>
          <w:color w:val="231F20"/>
          <w:sz w:val="20"/>
        </w:rPr>
        <w:t>Вариант</w:t>
      </w:r>
      <w:r>
        <w:rPr>
          <w:i/>
          <w:color w:val="231F20"/>
          <w:spacing w:val="-7"/>
          <w:sz w:val="20"/>
        </w:rPr>
        <w:t> </w:t>
      </w:r>
      <w:r>
        <w:rPr>
          <w:i/>
          <w:color w:val="231F20"/>
          <w:spacing w:val="-5"/>
          <w:sz w:val="20"/>
        </w:rPr>
        <w:t>2.</w:t>
      </w:r>
    </w:p>
    <w:p>
      <w:pPr>
        <w:pStyle w:val="BodyText"/>
        <w:spacing w:line="226" w:lineRule="exact"/>
        <w:ind w:left="425" w:right="0" w:firstLine="0"/>
      </w:pPr>
      <w:r>
        <w:rPr>
          <w:color w:val="231F20"/>
        </w:rPr>
        <w:t>Учащемуся</w:t>
      </w:r>
      <w:r>
        <w:rPr>
          <w:color w:val="231F20"/>
          <w:spacing w:val="40"/>
        </w:rPr>
        <w:t> </w:t>
      </w:r>
      <w:r>
        <w:rPr>
          <w:color w:val="231F20"/>
        </w:rPr>
        <w:t>предлагается</w:t>
      </w:r>
      <w:r>
        <w:rPr>
          <w:color w:val="231F20"/>
          <w:spacing w:val="40"/>
        </w:rPr>
        <w:t> </w:t>
      </w:r>
      <w:r>
        <w:rPr>
          <w:color w:val="231F20"/>
        </w:rPr>
        <w:t>выполнить</w:t>
      </w:r>
      <w:r>
        <w:rPr>
          <w:color w:val="231F20"/>
          <w:spacing w:val="40"/>
        </w:rPr>
        <w:t> </w:t>
      </w:r>
      <w:r>
        <w:rPr>
          <w:color w:val="231F20"/>
        </w:rPr>
        <w:t>три</w:t>
      </w:r>
      <w:r>
        <w:rPr>
          <w:color w:val="231F20"/>
          <w:spacing w:val="41"/>
        </w:rPr>
        <w:t> </w:t>
      </w:r>
      <w:r>
        <w:rPr>
          <w:color w:val="231F20"/>
        </w:rPr>
        <w:t>коллажа.</w:t>
      </w:r>
      <w:r>
        <w:rPr>
          <w:color w:val="231F20"/>
          <w:spacing w:val="40"/>
        </w:rPr>
        <w:t> </w:t>
      </w:r>
      <w:r>
        <w:rPr>
          <w:color w:val="231F20"/>
        </w:rPr>
        <w:t>Первый</w:t>
      </w:r>
      <w:r>
        <w:rPr>
          <w:color w:val="231F20"/>
          <w:spacing w:val="40"/>
        </w:rPr>
        <w:t> </w:t>
      </w:r>
      <w:r>
        <w:rPr>
          <w:color w:val="231F20"/>
        </w:rPr>
        <w:t>коллаж</w:t>
      </w:r>
      <w:r>
        <w:rPr>
          <w:color w:val="231F20"/>
          <w:spacing w:val="41"/>
        </w:rPr>
        <w:t> </w:t>
      </w:r>
      <w:r>
        <w:rPr>
          <w:color w:val="231F20"/>
          <w:spacing w:val="-2"/>
        </w:rPr>
        <w:t>называется</w:t>
      </w:r>
    </w:p>
    <w:p>
      <w:pPr>
        <w:pStyle w:val="BodyText"/>
        <w:spacing w:line="235" w:lineRule="auto" w:before="2"/>
        <w:ind w:firstLine="0"/>
      </w:pPr>
      <w:r>
        <w:rPr>
          <w:color w:val="231F20"/>
        </w:rPr>
        <w:t>«Моя жизнь в прошлом», второй – «Моя жизнь сейчас», третий – «Моя жизнь в бу- </w:t>
      </w:r>
      <w:r>
        <w:rPr>
          <w:color w:val="231F20"/>
          <w:spacing w:val="-2"/>
        </w:rPr>
        <w:t>дущем».</w:t>
      </w:r>
    </w:p>
    <w:p>
      <w:pPr>
        <w:spacing w:line="228" w:lineRule="exact" w:before="110"/>
        <w:ind w:left="425" w:right="0" w:firstLine="0"/>
        <w:jc w:val="left"/>
        <w:rPr>
          <w:b/>
          <w:i/>
          <w:sz w:val="20"/>
        </w:rPr>
      </w:pPr>
      <w:r>
        <w:rPr>
          <w:b/>
          <w:i/>
          <w:color w:val="020408"/>
          <w:spacing w:val="-2"/>
          <w:sz w:val="20"/>
        </w:rPr>
        <w:t>«Воспоминания»</w:t>
      </w:r>
    </w:p>
    <w:p>
      <w:pPr>
        <w:pStyle w:val="BodyText"/>
        <w:spacing w:line="226" w:lineRule="exact"/>
        <w:ind w:left="425" w:right="0" w:firstLine="0"/>
        <w:jc w:val="left"/>
      </w:pPr>
      <w:r>
        <w:rPr>
          <w:color w:val="020408"/>
          <w:spacing w:val="-2"/>
        </w:rPr>
        <w:t>Инструкция</w:t>
      </w:r>
    </w:p>
    <w:p>
      <w:pPr>
        <w:pStyle w:val="ListParagraph"/>
        <w:numPr>
          <w:ilvl w:val="2"/>
          <w:numId w:val="220"/>
        </w:numPr>
        <w:tabs>
          <w:tab w:pos="566" w:val="left" w:leader="none"/>
        </w:tabs>
        <w:spacing w:line="235" w:lineRule="auto" w:before="2" w:after="0"/>
        <w:ind w:left="141" w:right="139" w:firstLine="283"/>
        <w:jc w:val="both"/>
        <w:rPr>
          <w:i/>
          <w:color w:val="020408"/>
          <w:sz w:val="20"/>
        </w:rPr>
      </w:pPr>
      <w:r>
        <w:rPr>
          <w:i/>
          <w:color w:val="020408"/>
          <w:sz w:val="20"/>
        </w:rPr>
        <w:t>У</w:t>
      </w:r>
      <w:r>
        <w:rPr>
          <w:i/>
          <w:color w:val="020408"/>
          <w:spacing w:val="-13"/>
          <w:sz w:val="20"/>
        </w:rPr>
        <w:t> </w:t>
      </w:r>
      <w:r>
        <w:rPr>
          <w:i/>
          <w:color w:val="020408"/>
          <w:sz w:val="20"/>
        </w:rPr>
        <w:t>каждого</w:t>
      </w:r>
      <w:r>
        <w:rPr>
          <w:i/>
          <w:color w:val="020408"/>
          <w:spacing w:val="-12"/>
          <w:sz w:val="20"/>
        </w:rPr>
        <w:t> </w:t>
      </w:r>
      <w:r>
        <w:rPr>
          <w:i/>
          <w:color w:val="020408"/>
          <w:sz w:val="20"/>
        </w:rPr>
        <w:t>человека</w:t>
      </w:r>
      <w:r>
        <w:rPr>
          <w:i/>
          <w:color w:val="020408"/>
          <w:spacing w:val="-13"/>
          <w:sz w:val="20"/>
        </w:rPr>
        <w:t> </w:t>
      </w:r>
      <w:r>
        <w:rPr>
          <w:i/>
          <w:color w:val="020408"/>
          <w:sz w:val="20"/>
        </w:rPr>
        <w:t>много</w:t>
      </w:r>
      <w:r>
        <w:rPr>
          <w:i/>
          <w:color w:val="020408"/>
          <w:spacing w:val="-12"/>
          <w:sz w:val="20"/>
        </w:rPr>
        <w:t> </w:t>
      </w:r>
      <w:r>
        <w:rPr>
          <w:i/>
          <w:color w:val="020408"/>
          <w:sz w:val="20"/>
        </w:rPr>
        <w:t>воспоминаний.</w:t>
      </w:r>
      <w:r>
        <w:rPr>
          <w:i/>
          <w:color w:val="020408"/>
          <w:spacing w:val="-13"/>
          <w:sz w:val="20"/>
        </w:rPr>
        <w:t> </w:t>
      </w:r>
      <w:r>
        <w:rPr>
          <w:i/>
          <w:color w:val="020408"/>
          <w:sz w:val="20"/>
        </w:rPr>
        <w:t>Когда</w:t>
      </w:r>
      <w:r>
        <w:rPr>
          <w:i/>
          <w:color w:val="020408"/>
          <w:spacing w:val="-12"/>
          <w:sz w:val="20"/>
        </w:rPr>
        <w:t> </w:t>
      </w:r>
      <w:r>
        <w:rPr>
          <w:i/>
          <w:color w:val="020408"/>
          <w:sz w:val="20"/>
        </w:rPr>
        <w:t>ты</w:t>
      </w:r>
      <w:r>
        <w:rPr>
          <w:i/>
          <w:color w:val="020408"/>
          <w:spacing w:val="-13"/>
          <w:sz w:val="20"/>
        </w:rPr>
        <w:t> </w:t>
      </w:r>
      <w:r>
        <w:rPr>
          <w:i/>
          <w:color w:val="020408"/>
          <w:sz w:val="20"/>
        </w:rPr>
        <w:t>переезжаешь</w:t>
      </w:r>
      <w:r>
        <w:rPr>
          <w:i/>
          <w:color w:val="020408"/>
          <w:spacing w:val="-12"/>
          <w:sz w:val="20"/>
        </w:rPr>
        <w:t> </w:t>
      </w:r>
      <w:r>
        <w:rPr>
          <w:i/>
          <w:color w:val="020408"/>
          <w:sz w:val="20"/>
        </w:rPr>
        <w:t>в</w:t>
      </w:r>
      <w:r>
        <w:rPr>
          <w:i/>
          <w:color w:val="020408"/>
          <w:spacing w:val="-13"/>
          <w:sz w:val="20"/>
        </w:rPr>
        <w:t> </w:t>
      </w:r>
      <w:r>
        <w:rPr>
          <w:i/>
          <w:color w:val="020408"/>
          <w:sz w:val="20"/>
        </w:rPr>
        <w:t>новую</w:t>
      </w:r>
      <w:r>
        <w:rPr>
          <w:i/>
          <w:color w:val="020408"/>
          <w:spacing w:val="-12"/>
          <w:sz w:val="20"/>
        </w:rPr>
        <w:t> </w:t>
      </w:r>
      <w:r>
        <w:rPr>
          <w:i/>
          <w:color w:val="020408"/>
          <w:sz w:val="20"/>
        </w:rPr>
        <w:t>стра- ну, ты наверняка сохраняешь в памяти многое из прошлой жизни.</w:t>
      </w:r>
      <w:r>
        <w:rPr>
          <w:i/>
          <w:color w:val="020408"/>
          <w:spacing w:val="40"/>
          <w:sz w:val="20"/>
        </w:rPr>
        <w:t> </w:t>
      </w:r>
      <w:r>
        <w:rPr>
          <w:i/>
          <w:color w:val="020408"/>
          <w:sz w:val="20"/>
        </w:rPr>
        <w:t>Какие-то из них приятные, какие-то, возможно, нет.</w:t>
      </w:r>
    </w:p>
    <w:p>
      <w:pPr>
        <w:spacing w:line="226" w:lineRule="exact" w:before="0"/>
        <w:ind w:left="425" w:right="0" w:firstLine="0"/>
        <w:jc w:val="both"/>
        <w:rPr>
          <w:i/>
          <w:sz w:val="20"/>
        </w:rPr>
      </w:pPr>
      <w:r>
        <w:rPr>
          <w:i/>
          <w:color w:val="020408"/>
          <w:sz w:val="20"/>
        </w:rPr>
        <w:t>Вспомни</w:t>
      </w:r>
      <w:r>
        <w:rPr>
          <w:i/>
          <w:color w:val="020408"/>
          <w:spacing w:val="23"/>
          <w:sz w:val="20"/>
        </w:rPr>
        <w:t> </w:t>
      </w:r>
      <w:r>
        <w:rPr>
          <w:i/>
          <w:color w:val="020408"/>
          <w:sz w:val="20"/>
        </w:rPr>
        <w:t>какое-то</w:t>
      </w:r>
      <w:r>
        <w:rPr>
          <w:i/>
          <w:color w:val="020408"/>
          <w:spacing w:val="23"/>
          <w:sz w:val="20"/>
        </w:rPr>
        <w:t> </w:t>
      </w:r>
      <w:r>
        <w:rPr>
          <w:i/>
          <w:color w:val="020408"/>
          <w:sz w:val="20"/>
        </w:rPr>
        <w:t>приятное</w:t>
      </w:r>
      <w:r>
        <w:rPr>
          <w:i/>
          <w:color w:val="020408"/>
          <w:spacing w:val="24"/>
          <w:sz w:val="20"/>
        </w:rPr>
        <w:t> </w:t>
      </w:r>
      <w:r>
        <w:rPr>
          <w:i/>
          <w:color w:val="020408"/>
          <w:sz w:val="20"/>
        </w:rPr>
        <w:t>событие,</w:t>
      </w:r>
      <w:r>
        <w:rPr>
          <w:i/>
          <w:color w:val="020408"/>
          <w:spacing w:val="24"/>
          <w:sz w:val="20"/>
        </w:rPr>
        <w:t> </w:t>
      </w:r>
      <w:r>
        <w:rPr>
          <w:i/>
          <w:color w:val="020408"/>
          <w:sz w:val="20"/>
        </w:rPr>
        <w:t>которое</w:t>
      </w:r>
      <w:r>
        <w:rPr>
          <w:i/>
          <w:color w:val="020408"/>
          <w:spacing w:val="24"/>
          <w:sz w:val="20"/>
        </w:rPr>
        <w:t> </w:t>
      </w:r>
      <w:r>
        <w:rPr>
          <w:i/>
          <w:color w:val="020408"/>
          <w:sz w:val="20"/>
        </w:rPr>
        <w:t>происходило,</w:t>
      </w:r>
      <w:r>
        <w:rPr>
          <w:i/>
          <w:color w:val="020408"/>
          <w:spacing w:val="23"/>
          <w:sz w:val="20"/>
        </w:rPr>
        <w:t> </w:t>
      </w:r>
      <w:r>
        <w:rPr>
          <w:i/>
          <w:color w:val="020408"/>
          <w:sz w:val="20"/>
        </w:rPr>
        <w:t>когда</w:t>
      </w:r>
      <w:r>
        <w:rPr>
          <w:i/>
          <w:color w:val="020408"/>
          <w:spacing w:val="23"/>
          <w:sz w:val="20"/>
        </w:rPr>
        <w:t> </w:t>
      </w:r>
      <w:r>
        <w:rPr>
          <w:i/>
          <w:color w:val="020408"/>
          <w:sz w:val="20"/>
        </w:rPr>
        <w:t>ты</w:t>
      </w:r>
      <w:r>
        <w:rPr>
          <w:i/>
          <w:color w:val="020408"/>
          <w:spacing w:val="24"/>
          <w:sz w:val="20"/>
        </w:rPr>
        <w:t> </w:t>
      </w:r>
      <w:r>
        <w:rPr>
          <w:i/>
          <w:color w:val="020408"/>
          <w:sz w:val="20"/>
        </w:rPr>
        <w:t>жил</w:t>
      </w:r>
      <w:r>
        <w:rPr>
          <w:i/>
          <w:color w:val="020408"/>
          <w:spacing w:val="24"/>
          <w:sz w:val="20"/>
        </w:rPr>
        <w:t> </w:t>
      </w:r>
      <w:r>
        <w:rPr>
          <w:i/>
          <w:color w:val="020408"/>
          <w:spacing w:val="-10"/>
          <w:sz w:val="20"/>
        </w:rPr>
        <w:t>…</w:t>
      </w:r>
    </w:p>
    <w:p>
      <w:pPr>
        <w:spacing w:line="226" w:lineRule="exact" w:before="0"/>
        <w:ind w:left="141" w:right="0" w:firstLine="0"/>
        <w:jc w:val="both"/>
        <w:rPr>
          <w:i/>
          <w:sz w:val="20"/>
        </w:rPr>
      </w:pPr>
      <w:r>
        <w:rPr>
          <w:color w:val="020408"/>
          <w:sz w:val="20"/>
        </w:rPr>
        <w:t>(нужно</w:t>
      </w:r>
      <w:r>
        <w:rPr>
          <w:color w:val="020408"/>
          <w:spacing w:val="-7"/>
          <w:sz w:val="20"/>
        </w:rPr>
        <w:t> </w:t>
      </w:r>
      <w:r>
        <w:rPr>
          <w:color w:val="020408"/>
          <w:sz w:val="20"/>
        </w:rPr>
        <w:t>подставить</w:t>
      </w:r>
      <w:r>
        <w:rPr>
          <w:color w:val="020408"/>
          <w:spacing w:val="-6"/>
          <w:sz w:val="20"/>
        </w:rPr>
        <w:t> </w:t>
      </w:r>
      <w:r>
        <w:rPr>
          <w:color w:val="020408"/>
          <w:sz w:val="20"/>
        </w:rPr>
        <w:t>название</w:t>
      </w:r>
      <w:r>
        <w:rPr>
          <w:color w:val="020408"/>
          <w:spacing w:val="-4"/>
          <w:sz w:val="20"/>
        </w:rPr>
        <w:t> </w:t>
      </w:r>
      <w:r>
        <w:rPr>
          <w:color w:val="020408"/>
          <w:sz w:val="20"/>
        </w:rPr>
        <w:t>страны</w:t>
      </w:r>
      <w:r>
        <w:rPr>
          <w:color w:val="020408"/>
          <w:spacing w:val="-5"/>
          <w:sz w:val="20"/>
        </w:rPr>
        <w:t> </w:t>
      </w:r>
      <w:r>
        <w:rPr>
          <w:color w:val="020408"/>
          <w:sz w:val="20"/>
        </w:rPr>
        <w:t>исхода),</w:t>
      </w:r>
      <w:r>
        <w:rPr>
          <w:color w:val="020408"/>
          <w:spacing w:val="-6"/>
          <w:sz w:val="20"/>
        </w:rPr>
        <w:t> </w:t>
      </w:r>
      <w:r>
        <w:rPr>
          <w:i/>
          <w:color w:val="020408"/>
          <w:sz w:val="20"/>
        </w:rPr>
        <w:t>и</w:t>
      </w:r>
      <w:r>
        <w:rPr>
          <w:i/>
          <w:color w:val="020408"/>
          <w:spacing w:val="-4"/>
          <w:sz w:val="20"/>
        </w:rPr>
        <w:t> </w:t>
      </w:r>
      <w:r>
        <w:rPr>
          <w:i/>
          <w:color w:val="020408"/>
          <w:sz w:val="20"/>
        </w:rPr>
        <w:t>нарисуй</w:t>
      </w:r>
      <w:r>
        <w:rPr>
          <w:i/>
          <w:color w:val="020408"/>
          <w:spacing w:val="-5"/>
          <w:sz w:val="20"/>
        </w:rPr>
        <w:t> </w:t>
      </w:r>
      <w:r>
        <w:rPr>
          <w:i/>
          <w:color w:val="020408"/>
          <w:sz w:val="20"/>
        </w:rPr>
        <w:t>это</w:t>
      </w:r>
      <w:r>
        <w:rPr>
          <w:i/>
          <w:color w:val="020408"/>
          <w:spacing w:val="-5"/>
          <w:sz w:val="20"/>
        </w:rPr>
        <w:t> </w:t>
      </w:r>
      <w:r>
        <w:rPr>
          <w:i/>
          <w:color w:val="020408"/>
          <w:sz w:val="20"/>
        </w:rPr>
        <w:t>хорошее</w:t>
      </w:r>
      <w:r>
        <w:rPr>
          <w:i/>
          <w:color w:val="020408"/>
          <w:spacing w:val="-4"/>
          <w:sz w:val="20"/>
        </w:rPr>
        <w:t> </w:t>
      </w:r>
      <w:r>
        <w:rPr>
          <w:i/>
          <w:color w:val="020408"/>
          <w:spacing w:val="-2"/>
          <w:sz w:val="20"/>
        </w:rPr>
        <w:t>воспоминание.</w:t>
      </w:r>
    </w:p>
    <w:p>
      <w:pPr>
        <w:pStyle w:val="BodyText"/>
        <w:spacing w:line="235" w:lineRule="auto" w:before="2"/>
      </w:pPr>
      <w:r>
        <w:rPr>
          <w:color w:val="020408"/>
        </w:rPr>
        <w:t>Когда</w:t>
      </w:r>
      <w:r>
        <w:rPr>
          <w:color w:val="020408"/>
          <w:spacing w:val="-8"/>
        </w:rPr>
        <w:t> </w:t>
      </w:r>
      <w:r>
        <w:rPr>
          <w:color w:val="020408"/>
        </w:rPr>
        <w:t>рисунок</w:t>
      </w:r>
      <w:r>
        <w:rPr>
          <w:color w:val="020408"/>
          <w:spacing w:val="-8"/>
        </w:rPr>
        <w:t> </w:t>
      </w:r>
      <w:r>
        <w:rPr>
          <w:color w:val="020408"/>
        </w:rPr>
        <w:t>готов,</w:t>
      </w:r>
      <w:r>
        <w:rPr>
          <w:color w:val="020408"/>
          <w:spacing w:val="-8"/>
        </w:rPr>
        <w:t> </w:t>
      </w:r>
      <w:r>
        <w:rPr>
          <w:color w:val="020408"/>
        </w:rPr>
        <w:t>можно</w:t>
      </w:r>
      <w:r>
        <w:rPr>
          <w:color w:val="020408"/>
          <w:spacing w:val="-8"/>
        </w:rPr>
        <w:t> </w:t>
      </w:r>
      <w:r>
        <w:rPr>
          <w:color w:val="020408"/>
        </w:rPr>
        <w:t>попросить</w:t>
      </w:r>
      <w:r>
        <w:rPr>
          <w:color w:val="020408"/>
          <w:spacing w:val="-8"/>
        </w:rPr>
        <w:t> </w:t>
      </w:r>
      <w:r>
        <w:rPr>
          <w:color w:val="020408"/>
        </w:rPr>
        <w:t>ребенка</w:t>
      </w:r>
      <w:r>
        <w:rPr>
          <w:color w:val="020408"/>
          <w:spacing w:val="-8"/>
        </w:rPr>
        <w:t> </w:t>
      </w:r>
      <w:r>
        <w:rPr>
          <w:color w:val="020408"/>
        </w:rPr>
        <w:t>рассказать</w:t>
      </w:r>
      <w:r>
        <w:rPr>
          <w:color w:val="020408"/>
          <w:spacing w:val="-8"/>
        </w:rPr>
        <w:t> </w:t>
      </w:r>
      <w:r>
        <w:rPr>
          <w:color w:val="020408"/>
        </w:rPr>
        <w:t>подробно</w:t>
      </w:r>
      <w:r>
        <w:rPr>
          <w:color w:val="020408"/>
          <w:spacing w:val="-8"/>
        </w:rPr>
        <w:t> </w:t>
      </w:r>
      <w:r>
        <w:rPr>
          <w:color w:val="020408"/>
        </w:rPr>
        <w:t>об</w:t>
      </w:r>
      <w:r>
        <w:rPr>
          <w:color w:val="020408"/>
          <w:spacing w:val="-8"/>
        </w:rPr>
        <w:t> </w:t>
      </w:r>
      <w:r>
        <w:rPr>
          <w:color w:val="020408"/>
        </w:rPr>
        <w:t>этом</w:t>
      </w:r>
      <w:r>
        <w:rPr>
          <w:color w:val="020408"/>
          <w:spacing w:val="-8"/>
        </w:rPr>
        <w:t> </w:t>
      </w:r>
      <w:r>
        <w:rPr>
          <w:color w:val="020408"/>
        </w:rPr>
        <w:t>вос- поминании, какие переживания связаны с ним. Важно подчеркнуть, что эти теплые чувства остаются с нами навсегда, даже если ситуация в жизни меняется.</w:t>
      </w:r>
    </w:p>
    <w:p>
      <w:pPr>
        <w:pStyle w:val="BodyText"/>
        <w:spacing w:line="226" w:lineRule="exact"/>
        <w:ind w:left="425" w:right="0" w:firstLine="0"/>
      </w:pPr>
      <w:r>
        <w:rPr>
          <w:color w:val="020408"/>
        </w:rPr>
        <w:t>Затем</w:t>
      </w:r>
      <w:r>
        <w:rPr>
          <w:color w:val="020408"/>
          <w:spacing w:val="-10"/>
        </w:rPr>
        <w:t> </w:t>
      </w:r>
      <w:r>
        <w:rPr>
          <w:color w:val="020408"/>
        </w:rPr>
        <w:t>психолог</w:t>
      </w:r>
      <w:r>
        <w:rPr>
          <w:color w:val="020408"/>
          <w:spacing w:val="-10"/>
        </w:rPr>
        <w:t> </w:t>
      </w:r>
      <w:r>
        <w:rPr>
          <w:color w:val="020408"/>
          <w:spacing w:val="-2"/>
        </w:rPr>
        <w:t>продолжает:</w:t>
      </w:r>
    </w:p>
    <w:p>
      <w:pPr>
        <w:pStyle w:val="ListParagraph"/>
        <w:numPr>
          <w:ilvl w:val="2"/>
          <w:numId w:val="220"/>
        </w:numPr>
        <w:tabs>
          <w:tab w:pos="572" w:val="left" w:leader="none"/>
        </w:tabs>
        <w:spacing w:line="235" w:lineRule="auto" w:before="2" w:after="0"/>
        <w:ind w:left="141" w:right="139" w:firstLine="283"/>
        <w:jc w:val="both"/>
        <w:rPr>
          <w:i/>
          <w:color w:val="020408"/>
          <w:sz w:val="20"/>
        </w:rPr>
      </w:pPr>
      <w:r>
        <w:rPr>
          <w:i/>
          <w:color w:val="020408"/>
          <w:sz w:val="20"/>
        </w:rPr>
        <w:t>Теперь</w:t>
      </w:r>
      <w:r>
        <w:rPr>
          <w:i/>
          <w:color w:val="020408"/>
          <w:spacing w:val="-10"/>
          <w:sz w:val="20"/>
        </w:rPr>
        <w:t> </w:t>
      </w:r>
      <w:r>
        <w:rPr>
          <w:i/>
          <w:color w:val="020408"/>
          <w:sz w:val="20"/>
        </w:rPr>
        <w:t>я</w:t>
      </w:r>
      <w:r>
        <w:rPr>
          <w:i/>
          <w:color w:val="020408"/>
          <w:spacing w:val="-10"/>
          <w:sz w:val="20"/>
        </w:rPr>
        <w:t> </w:t>
      </w:r>
      <w:r>
        <w:rPr>
          <w:i/>
          <w:color w:val="020408"/>
          <w:sz w:val="20"/>
        </w:rPr>
        <w:t>прошу</w:t>
      </w:r>
      <w:r>
        <w:rPr>
          <w:i/>
          <w:color w:val="020408"/>
          <w:spacing w:val="-10"/>
          <w:sz w:val="20"/>
        </w:rPr>
        <w:t> </w:t>
      </w:r>
      <w:r>
        <w:rPr>
          <w:i/>
          <w:color w:val="020408"/>
          <w:sz w:val="20"/>
        </w:rPr>
        <w:t>тебя</w:t>
      </w:r>
      <w:r>
        <w:rPr>
          <w:i/>
          <w:color w:val="020408"/>
          <w:spacing w:val="-10"/>
          <w:sz w:val="20"/>
        </w:rPr>
        <w:t> </w:t>
      </w:r>
      <w:r>
        <w:rPr>
          <w:i/>
          <w:color w:val="020408"/>
          <w:sz w:val="20"/>
        </w:rPr>
        <w:t>вспомнить</w:t>
      </w:r>
      <w:r>
        <w:rPr>
          <w:i/>
          <w:color w:val="020408"/>
          <w:spacing w:val="-10"/>
          <w:sz w:val="20"/>
        </w:rPr>
        <w:t> </w:t>
      </w:r>
      <w:r>
        <w:rPr>
          <w:i/>
          <w:color w:val="020408"/>
          <w:sz w:val="20"/>
        </w:rPr>
        <w:t>какое-то</w:t>
      </w:r>
      <w:r>
        <w:rPr>
          <w:i/>
          <w:color w:val="020408"/>
          <w:spacing w:val="-10"/>
          <w:sz w:val="20"/>
        </w:rPr>
        <w:t> </w:t>
      </w:r>
      <w:r>
        <w:rPr>
          <w:i/>
          <w:color w:val="020408"/>
          <w:sz w:val="20"/>
        </w:rPr>
        <w:t>событие,</w:t>
      </w:r>
      <w:r>
        <w:rPr>
          <w:i/>
          <w:color w:val="020408"/>
          <w:spacing w:val="-10"/>
          <w:sz w:val="20"/>
        </w:rPr>
        <w:t> </w:t>
      </w:r>
      <w:r>
        <w:rPr>
          <w:i/>
          <w:color w:val="020408"/>
          <w:sz w:val="20"/>
        </w:rPr>
        <w:t>которое</w:t>
      </w:r>
      <w:r>
        <w:rPr>
          <w:i/>
          <w:color w:val="020408"/>
          <w:spacing w:val="-10"/>
          <w:sz w:val="20"/>
        </w:rPr>
        <w:t> </w:t>
      </w:r>
      <w:r>
        <w:rPr>
          <w:i/>
          <w:color w:val="020408"/>
          <w:sz w:val="20"/>
        </w:rPr>
        <w:t>было</w:t>
      </w:r>
      <w:r>
        <w:rPr>
          <w:i/>
          <w:color w:val="020408"/>
          <w:spacing w:val="-10"/>
          <w:sz w:val="20"/>
        </w:rPr>
        <w:t> </w:t>
      </w:r>
      <w:r>
        <w:rPr>
          <w:i/>
          <w:color w:val="020408"/>
          <w:sz w:val="20"/>
        </w:rPr>
        <w:t>не</w:t>
      </w:r>
      <w:r>
        <w:rPr>
          <w:i/>
          <w:color w:val="020408"/>
          <w:spacing w:val="-10"/>
          <w:sz w:val="20"/>
        </w:rPr>
        <w:t> </w:t>
      </w:r>
      <w:r>
        <w:rPr>
          <w:i/>
          <w:color w:val="020408"/>
          <w:sz w:val="20"/>
        </w:rPr>
        <w:t>очень</w:t>
      </w:r>
      <w:r>
        <w:rPr>
          <w:i/>
          <w:color w:val="020408"/>
          <w:spacing w:val="-10"/>
          <w:sz w:val="20"/>
        </w:rPr>
        <w:t> </w:t>
      </w:r>
      <w:r>
        <w:rPr>
          <w:i/>
          <w:color w:val="020408"/>
          <w:sz w:val="20"/>
        </w:rPr>
        <w:t>при- ятным, и нарисовать его.</w:t>
      </w:r>
    </w:p>
    <w:p>
      <w:pPr>
        <w:pStyle w:val="BodyText"/>
        <w:spacing w:line="235" w:lineRule="auto" w:before="1"/>
      </w:pPr>
      <w:r>
        <w:rPr>
          <w:color w:val="020408"/>
        </w:rPr>
        <w:t>Если</w:t>
      </w:r>
      <w:r>
        <w:rPr>
          <w:color w:val="020408"/>
          <w:spacing w:val="-5"/>
        </w:rPr>
        <w:t> </w:t>
      </w:r>
      <w:r>
        <w:rPr>
          <w:color w:val="020408"/>
        </w:rPr>
        <w:t>ребенок</w:t>
      </w:r>
      <w:r>
        <w:rPr>
          <w:color w:val="020408"/>
          <w:spacing w:val="-5"/>
        </w:rPr>
        <w:t> </w:t>
      </w:r>
      <w:r>
        <w:rPr>
          <w:color w:val="020408"/>
        </w:rPr>
        <w:t>не</w:t>
      </w:r>
      <w:r>
        <w:rPr>
          <w:color w:val="020408"/>
          <w:spacing w:val="-5"/>
        </w:rPr>
        <w:t> </w:t>
      </w:r>
      <w:r>
        <w:rPr>
          <w:color w:val="020408"/>
        </w:rPr>
        <w:t>может</w:t>
      </w:r>
      <w:r>
        <w:rPr>
          <w:color w:val="020408"/>
          <w:spacing w:val="-5"/>
        </w:rPr>
        <w:t> </w:t>
      </w:r>
      <w:r>
        <w:rPr>
          <w:color w:val="020408"/>
        </w:rPr>
        <w:t>вспомнить</w:t>
      </w:r>
      <w:r>
        <w:rPr>
          <w:color w:val="020408"/>
          <w:spacing w:val="-5"/>
        </w:rPr>
        <w:t> </w:t>
      </w:r>
      <w:r>
        <w:rPr>
          <w:color w:val="020408"/>
        </w:rPr>
        <w:t>таких</w:t>
      </w:r>
      <w:r>
        <w:rPr>
          <w:color w:val="020408"/>
          <w:spacing w:val="-5"/>
        </w:rPr>
        <w:t> </w:t>
      </w:r>
      <w:r>
        <w:rPr>
          <w:color w:val="020408"/>
        </w:rPr>
        <w:t>событий,</w:t>
      </w:r>
      <w:r>
        <w:rPr>
          <w:color w:val="020408"/>
          <w:spacing w:val="-5"/>
        </w:rPr>
        <w:t> </w:t>
      </w:r>
      <w:r>
        <w:rPr>
          <w:color w:val="020408"/>
        </w:rPr>
        <w:t>следует</w:t>
      </w:r>
      <w:r>
        <w:rPr>
          <w:color w:val="020408"/>
          <w:spacing w:val="-5"/>
        </w:rPr>
        <w:t> </w:t>
      </w:r>
      <w:r>
        <w:rPr>
          <w:color w:val="020408"/>
        </w:rPr>
        <w:t>переходить</w:t>
      </w:r>
      <w:r>
        <w:rPr>
          <w:color w:val="020408"/>
          <w:spacing w:val="-5"/>
        </w:rPr>
        <w:t> </w:t>
      </w:r>
      <w:r>
        <w:rPr>
          <w:color w:val="020408"/>
        </w:rPr>
        <w:t>к</w:t>
      </w:r>
      <w:r>
        <w:rPr>
          <w:color w:val="020408"/>
          <w:spacing w:val="-5"/>
        </w:rPr>
        <w:t> </w:t>
      </w:r>
      <w:r>
        <w:rPr>
          <w:color w:val="020408"/>
        </w:rPr>
        <w:t>заверша- ющей части упражнения. Важно дать ребенку возможность поговорить об этих вос- поминаниях, но ни в коем случае не делать комментариев типа: «Хорошо, что это в прошлом»</w:t>
      </w:r>
      <w:r>
        <w:rPr>
          <w:color w:val="020408"/>
          <w:spacing w:val="-12"/>
        </w:rPr>
        <w:t> </w:t>
      </w:r>
      <w:r>
        <w:rPr>
          <w:color w:val="020408"/>
        </w:rPr>
        <w:t>–</w:t>
      </w:r>
      <w:r>
        <w:rPr>
          <w:color w:val="020408"/>
          <w:spacing w:val="-12"/>
        </w:rPr>
        <w:t> </w:t>
      </w:r>
      <w:r>
        <w:rPr>
          <w:color w:val="020408"/>
        </w:rPr>
        <w:t>и</w:t>
      </w:r>
      <w:r>
        <w:rPr>
          <w:color w:val="020408"/>
          <w:spacing w:val="-12"/>
        </w:rPr>
        <w:t> </w:t>
      </w:r>
      <w:r>
        <w:rPr>
          <w:color w:val="020408"/>
        </w:rPr>
        <w:t>не</w:t>
      </w:r>
      <w:r>
        <w:rPr>
          <w:color w:val="020408"/>
          <w:spacing w:val="-12"/>
        </w:rPr>
        <w:t> </w:t>
      </w:r>
      <w:r>
        <w:rPr>
          <w:color w:val="020408"/>
        </w:rPr>
        <w:t>морализировать.</w:t>
      </w:r>
      <w:r>
        <w:rPr>
          <w:color w:val="020408"/>
          <w:spacing w:val="-12"/>
        </w:rPr>
        <w:t> </w:t>
      </w:r>
      <w:r>
        <w:rPr>
          <w:color w:val="020408"/>
        </w:rPr>
        <w:t>Главное,</w:t>
      </w:r>
      <w:r>
        <w:rPr>
          <w:color w:val="020408"/>
          <w:spacing w:val="-12"/>
        </w:rPr>
        <w:t> </w:t>
      </w:r>
      <w:r>
        <w:rPr>
          <w:color w:val="020408"/>
        </w:rPr>
        <w:t>что</w:t>
      </w:r>
      <w:r>
        <w:rPr>
          <w:color w:val="020408"/>
          <w:spacing w:val="-12"/>
        </w:rPr>
        <w:t> </w:t>
      </w:r>
      <w:r>
        <w:rPr>
          <w:color w:val="020408"/>
        </w:rPr>
        <w:t>тут</w:t>
      </w:r>
      <w:r>
        <w:rPr>
          <w:color w:val="020408"/>
          <w:spacing w:val="-12"/>
        </w:rPr>
        <w:t> </w:t>
      </w:r>
      <w:r>
        <w:rPr>
          <w:color w:val="020408"/>
        </w:rPr>
        <w:t>может</w:t>
      </w:r>
      <w:r>
        <w:rPr>
          <w:color w:val="020408"/>
          <w:spacing w:val="-12"/>
        </w:rPr>
        <w:t> </w:t>
      </w:r>
      <w:r>
        <w:rPr>
          <w:color w:val="020408"/>
        </w:rPr>
        <w:t>сделать</w:t>
      </w:r>
      <w:r>
        <w:rPr>
          <w:color w:val="020408"/>
          <w:spacing w:val="-12"/>
        </w:rPr>
        <w:t> </w:t>
      </w:r>
      <w:r>
        <w:rPr>
          <w:color w:val="020408"/>
        </w:rPr>
        <w:t>психолог,</w:t>
      </w:r>
      <w:r>
        <w:rPr>
          <w:color w:val="020408"/>
          <w:spacing w:val="-12"/>
        </w:rPr>
        <w:t> </w:t>
      </w:r>
      <w:r>
        <w:rPr>
          <w:color w:val="020408"/>
        </w:rPr>
        <w:t>–</w:t>
      </w:r>
      <w:r>
        <w:rPr>
          <w:color w:val="020408"/>
          <w:spacing w:val="-12"/>
        </w:rPr>
        <w:t> </w:t>
      </w:r>
      <w:r>
        <w:rPr>
          <w:color w:val="020408"/>
        </w:rPr>
        <w:t>оказать эмоциональную поддержку.</w:t>
      </w:r>
    </w:p>
    <w:p>
      <w:pPr>
        <w:pStyle w:val="BodyText"/>
        <w:spacing w:line="235" w:lineRule="auto" w:before="3"/>
      </w:pPr>
      <w:r>
        <w:rPr>
          <w:color w:val="020408"/>
        </w:rPr>
        <w:t>В завершающей части упражнения психолог предлагает ребенку нарисовать ка- кое-то</w:t>
      </w:r>
      <w:r>
        <w:rPr>
          <w:color w:val="020408"/>
          <w:spacing w:val="-2"/>
        </w:rPr>
        <w:t> </w:t>
      </w:r>
      <w:r>
        <w:rPr>
          <w:color w:val="020408"/>
        </w:rPr>
        <w:t>приятное воспоминание из жизни на новом</w:t>
      </w:r>
      <w:r>
        <w:rPr>
          <w:color w:val="020408"/>
          <w:spacing w:val="1"/>
        </w:rPr>
        <w:t> </w:t>
      </w:r>
      <w:r>
        <w:rPr>
          <w:color w:val="020408"/>
        </w:rPr>
        <w:t>месте.</w:t>
      </w:r>
      <w:r>
        <w:rPr>
          <w:color w:val="020408"/>
          <w:spacing w:val="-1"/>
        </w:rPr>
        <w:t> </w:t>
      </w:r>
      <w:r>
        <w:rPr>
          <w:color w:val="020408"/>
        </w:rPr>
        <w:t>Надо</w:t>
      </w:r>
      <w:r>
        <w:rPr>
          <w:color w:val="020408"/>
          <w:spacing w:val="-1"/>
        </w:rPr>
        <w:t> </w:t>
      </w:r>
      <w:r>
        <w:rPr>
          <w:color w:val="020408"/>
        </w:rPr>
        <w:t>быть</w:t>
      </w:r>
      <w:r>
        <w:rPr>
          <w:color w:val="020408"/>
          <w:spacing w:val="-1"/>
        </w:rPr>
        <w:t> </w:t>
      </w:r>
      <w:r>
        <w:rPr>
          <w:color w:val="020408"/>
        </w:rPr>
        <w:t>готовым к</w:t>
      </w:r>
      <w:r>
        <w:rPr>
          <w:color w:val="020408"/>
          <w:spacing w:val="1"/>
        </w:rPr>
        <w:t> </w:t>
      </w:r>
      <w:r>
        <w:rPr>
          <w:color w:val="020408"/>
          <w:spacing w:val="-2"/>
        </w:rPr>
        <w:t>тому,</w:t>
      </w:r>
    </w:p>
    <w:p>
      <w:pPr>
        <w:pStyle w:val="BodyText"/>
        <w:spacing w:after="0" w:line="235" w:lineRule="auto"/>
        <w:sectPr>
          <w:pgSz w:w="8400" w:h="11910"/>
          <w:pgMar w:header="0" w:footer="529"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1.</w:t>
      </w:r>
    </w:p>
    <w:p>
      <w:pPr>
        <w:pStyle w:val="BodyText"/>
        <w:spacing w:line="235" w:lineRule="auto" w:before="116"/>
        <w:ind w:firstLine="0"/>
      </w:pPr>
      <w:r>
        <w:rPr>
          <w:color w:val="020408"/>
        </w:rPr>
        <w:t>что найти хорошее в новой жизни ребенку будет затруднительно, так что не нужно стремиться</w:t>
      </w:r>
      <w:r>
        <w:rPr>
          <w:color w:val="020408"/>
          <w:spacing w:val="-5"/>
        </w:rPr>
        <w:t> </w:t>
      </w:r>
      <w:r>
        <w:rPr>
          <w:color w:val="020408"/>
        </w:rPr>
        <w:t>к</w:t>
      </w:r>
      <w:r>
        <w:rPr>
          <w:color w:val="020408"/>
          <w:spacing w:val="-5"/>
        </w:rPr>
        <w:t> </w:t>
      </w:r>
      <w:r>
        <w:rPr>
          <w:color w:val="020408"/>
        </w:rPr>
        <w:t>каким-то</w:t>
      </w:r>
      <w:r>
        <w:rPr>
          <w:color w:val="020408"/>
          <w:spacing w:val="-5"/>
        </w:rPr>
        <w:t> </w:t>
      </w:r>
      <w:r>
        <w:rPr>
          <w:color w:val="020408"/>
        </w:rPr>
        <w:t>глобальным</w:t>
      </w:r>
      <w:r>
        <w:rPr>
          <w:color w:val="020408"/>
          <w:spacing w:val="-5"/>
        </w:rPr>
        <w:t> </w:t>
      </w:r>
      <w:r>
        <w:rPr>
          <w:color w:val="020408"/>
        </w:rPr>
        <w:t>результатам.</w:t>
      </w:r>
      <w:r>
        <w:rPr>
          <w:color w:val="020408"/>
          <w:spacing w:val="-5"/>
        </w:rPr>
        <w:t> </w:t>
      </w:r>
      <w:r>
        <w:rPr>
          <w:color w:val="020408"/>
        </w:rPr>
        <w:t>Если</w:t>
      </w:r>
      <w:r>
        <w:rPr>
          <w:color w:val="020408"/>
          <w:spacing w:val="-5"/>
        </w:rPr>
        <w:t> </w:t>
      </w:r>
      <w:r>
        <w:rPr>
          <w:color w:val="020408"/>
        </w:rPr>
        <w:t>удается</w:t>
      </w:r>
      <w:r>
        <w:rPr>
          <w:color w:val="020408"/>
          <w:spacing w:val="-5"/>
        </w:rPr>
        <w:t> </w:t>
      </w:r>
      <w:r>
        <w:rPr>
          <w:color w:val="020408"/>
        </w:rPr>
        <w:t>найти</w:t>
      </w:r>
      <w:r>
        <w:rPr>
          <w:color w:val="020408"/>
          <w:spacing w:val="-5"/>
        </w:rPr>
        <w:t> </w:t>
      </w:r>
      <w:r>
        <w:rPr>
          <w:color w:val="020408"/>
        </w:rPr>
        <w:t>даже</w:t>
      </w:r>
      <w:r>
        <w:rPr>
          <w:color w:val="020408"/>
          <w:spacing w:val="-5"/>
        </w:rPr>
        <w:t> </w:t>
      </w:r>
      <w:r>
        <w:rPr>
          <w:color w:val="020408"/>
        </w:rPr>
        <w:t>совсем</w:t>
      </w:r>
      <w:r>
        <w:rPr>
          <w:color w:val="020408"/>
          <w:spacing w:val="-5"/>
        </w:rPr>
        <w:t> </w:t>
      </w:r>
      <w:r>
        <w:rPr>
          <w:color w:val="020408"/>
        </w:rPr>
        <w:t>не- большое позитивное впечатление, этого будет достаточно.</w:t>
      </w:r>
    </w:p>
    <w:p>
      <w:pPr>
        <w:spacing w:before="111"/>
        <w:ind w:left="296" w:right="0" w:firstLine="0"/>
        <w:jc w:val="both"/>
        <w:rPr>
          <w:b/>
          <w:sz w:val="20"/>
        </w:rPr>
      </w:pPr>
      <w:r>
        <w:rPr>
          <w:b/>
          <w:color w:val="231F20"/>
          <w:sz w:val="20"/>
        </w:rPr>
        <w:t>Приемы,</w:t>
      </w:r>
      <w:r>
        <w:rPr>
          <w:b/>
          <w:color w:val="231F20"/>
          <w:spacing w:val="-7"/>
          <w:sz w:val="20"/>
        </w:rPr>
        <w:t> </w:t>
      </w:r>
      <w:r>
        <w:rPr>
          <w:b/>
          <w:color w:val="231F20"/>
          <w:sz w:val="20"/>
        </w:rPr>
        <w:t>позволяющие</w:t>
      </w:r>
      <w:r>
        <w:rPr>
          <w:b/>
          <w:color w:val="231F20"/>
          <w:spacing w:val="-4"/>
          <w:sz w:val="20"/>
        </w:rPr>
        <w:t> </w:t>
      </w:r>
      <w:r>
        <w:rPr>
          <w:b/>
          <w:color w:val="231F20"/>
          <w:sz w:val="20"/>
        </w:rPr>
        <w:t>обозначить</w:t>
      </w:r>
      <w:r>
        <w:rPr>
          <w:b/>
          <w:color w:val="231F20"/>
          <w:spacing w:val="-5"/>
          <w:sz w:val="20"/>
        </w:rPr>
        <w:t> </w:t>
      </w:r>
      <w:r>
        <w:rPr>
          <w:b/>
          <w:color w:val="231F20"/>
          <w:sz w:val="20"/>
        </w:rPr>
        <w:t>ресурсы</w:t>
      </w:r>
      <w:r>
        <w:rPr>
          <w:b/>
          <w:color w:val="231F20"/>
          <w:spacing w:val="-4"/>
          <w:sz w:val="20"/>
        </w:rPr>
        <w:t> </w:t>
      </w:r>
      <w:r>
        <w:rPr>
          <w:b/>
          <w:color w:val="231F20"/>
          <w:sz w:val="20"/>
        </w:rPr>
        <w:t>и</w:t>
      </w:r>
      <w:r>
        <w:rPr>
          <w:b/>
          <w:color w:val="231F20"/>
          <w:spacing w:val="-5"/>
          <w:sz w:val="20"/>
        </w:rPr>
        <w:t> </w:t>
      </w:r>
      <w:r>
        <w:rPr>
          <w:b/>
          <w:color w:val="231F20"/>
          <w:sz w:val="20"/>
        </w:rPr>
        <w:t>позитивные</w:t>
      </w:r>
      <w:r>
        <w:rPr>
          <w:b/>
          <w:color w:val="231F20"/>
          <w:spacing w:val="-4"/>
          <w:sz w:val="20"/>
        </w:rPr>
        <w:t> </w:t>
      </w:r>
      <w:r>
        <w:rPr>
          <w:b/>
          <w:color w:val="231F20"/>
          <w:sz w:val="20"/>
        </w:rPr>
        <w:t>копинг-</w:t>
      </w:r>
      <w:r>
        <w:rPr>
          <w:b/>
          <w:color w:val="231F20"/>
          <w:spacing w:val="-2"/>
          <w:sz w:val="20"/>
        </w:rPr>
        <w:t>стратегии</w:t>
      </w:r>
    </w:p>
    <w:p>
      <w:pPr>
        <w:spacing w:line="228" w:lineRule="exact" w:before="110"/>
        <w:ind w:left="425" w:right="0" w:firstLine="0"/>
        <w:jc w:val="both"/>
        <w:rPr>
          <w:b/>
          <w:i/>
          <w:sz w:val="20"/>
        </w:rPr>
      </w:pPr>
      <w:r>
        <w:rPr>
          <w:b/>
          <w:i/>
          <w:color w:val="231F20"/>
          <w:sz w:val="20"/>
        </w:rPr>
        <w:t>«Сосуд</w:t>
      </w:r>
      <w:r>
        <w:rPr>
          <w:b/>
          <w:i/>
          <w:color w:val="231F20"/>
          <w:spacing w:val="-3"/>
          <w:sz w:val="20"/>
        </w:rPr>
        <w:t> </w:t>
      </w:r>
      <w:r>
        <w:rPr>
          <w:b/>
          <w:i/>
          <w:color w:val="231F20"/>
          <w:spacing w:val="-2"/>
          <w:sz w:val="20"/>
        </w:rPr>
        <w:t>сокровищ»</w:t>
      </w:r>
    </w:p>
    <w:p>
      <w:pPr>
        <w:pStyle w:val="BodyText"/>
        <w:spacing w:line="235" w:lineRule="auto" w:before="1"/>
      </w:pPr>
      <w:r>
        <w:rPr>
          <w:color w:val="231F20"/>
        </w:rPr>
        <w:t>Материалы:</w:t>
      </w:r>
      <w:r>
        <w:rPr>
          <w:color w:val="231F20"/>
          <w:spacing w:val="-3"/>
        </w:rPr>
        <w:t> </w:t>
      </w:r>
      <w:r>
        <w:rPr>
          <w:color w:val="231F20"/>
        </w:rPr>
        <w:t>коробочка</w:t>
      </w:r>
      <w:r>
        <w:rPr>
          <w:color w:val="231F20"/>
          <w:spacing w:val="-3"/>
        </w:rPr>
        <w:t> </w:t>
      </w:r>
      <w:r>
        <w:rPr>
          <w:color w:val="231F20"/>
        </w:rPr>
        <w:t>или</w:t>
      </w:r>
      <w:r>
        <w:rPr>
          <w:color w:val="231F20"/>
          <w:spacing w:val="-3"/>
        </w:rPr>
        <w:t> </w:t>
      </w:r>
      <w:r>
        <w:rPr>
          <w:color w:val="231F20"/>
        </w:rPr>
        <w:t>баночка</w:t>
      </w:r>
      <w:r>
        <w:rPr>
          <w:color w:val="231F20"/>
          <w:spacing w:val="-3"/>
        </w:rPr>
        <w:t> </w:t>
      </w:r>
      <w:r>
        <w:rPr>
          <w:color w:val="231F20"/>
        </w:rPr>
        <w:t>(картонная</w:t>
      </w:r>
      <w:r>
        <w:rPr>
          <w:color w:val="231F20"/>
          <w:spacing w:val="-3"/>
        </w:rPr>
        <w:t> </w:t>
      </w:r>
      <w:r>
        <w:rPr>
          <w:color w:val="231F20"/>
        </w:rPr>
        <w:t>или</w:t>
      </w:r>
      <w:r>
        <w:rPr>
          <w:color w:val="231F20"/>
          <w:spacing w:val="-3"/>
        </w:rPr>
        <w:t> </w:t>
      </w:r>
      <w:r>
        <w:rPr>
          <w:color w:val="231F20"/>
        </w:rPr>
        <w:t>пластмассовая),</w:t>
      </w:r>
      <w:r>
        <w:rPr>
          <w:color w:val="231F20"/>
          <w:spacing w:val="-3"/>
        </w:rPr>
        <w:t> </w:t>
      </w:r>
      <w:r>
        <w:rPr>
          <w:color w:val="231F20"/>
        </w:rPr>
        <w:t>бумага,</w:t>
      </w:r>
      <w:r>
        <w:rPr>
          <w:color w:val="231F20"/>
          <w:spacing w:val="-3"/>
        </w:rPr>
        <w:t> </w:t>
      </w:r>
      <w:r>
        <w:rPr>
          <w:color w:val="231F20"/>
        </w:rPr>
        <w:t>нож- ницы, цветные карандаши или фломастеры</w:t>
      </w:r>
    </w:p>
    <w:p>
      <w:pPr>
        <w:pStyle w:val="BodyText"/>
        <w:spacing w:line="225" w:lineRule="exact"/>
        <w:ind w:left="425" w:right="0" w:firstLine="0"/>
      </w:pPr>
      <w:r>
        <w:rPr>
          <w:color w:val="231F20"/>
        </w:rPr>
        <w:t>Психолог</w:t>
      </w:r>
      <w:r>
        <w:rPr>
          <w:color w:val="231F20"/>
          <w:spacing w:val="-12"/>
        </w:rPr>
        <w:t> </w:t>
      </w:r>
      <w:r>
        <w:rPr>
          <w:color w:val="231F20"/>
        </w:rPr>
        <w:t>говорит</w:t>
      </w:r>
      <w:r>
        <w:rPr>
          <w:color w:val="231F20"/>
          <w:spacing w:val="-10"/>
        </w:rPr>
        <w:t> </w:t>
      </w:r>
      <w:r>
        <w:rPr>
          <w:color w:val="231F20"/>
          <w:spacing w:val="-2"/>
        </w:rPr>
        <w:t>ребенку:</w:t>
      </w:r>
    </w:p>
    <w:p>
      <w:pPr>
        <w:pStyle w:val="ListParagraph"/>
        <w:numPr>
          <w:ilvl w:val="2"/>
          <w:numId w:val="220"/>
        </w:numPr>
        <w:tabs>
          <w:tab w:pos="570" w:val="left" w:leader="none"/>
        </w:tabs>
        <w:spacing w:line="235" w:lineRule="auto" w:before="2" w:after="0"/>
        <w:ind w:left="141" w:right="139" w:firstLine="283"/>
        <w:jc w:val="both"/>
        <w:rPr>
          <w:i/>
          <w:color w:val="231F20"/>
          <w:sz w:val="20"/>
        </w:rPr>
      </w:pPr>
      <w:r>
        <w:rPr>
          <w:i/>
          <w:color w:val="231F20"/>
          <w:sz w:val="20"/>
        </w:rPr>
        <w:t>Привыкать</w:t>
      </w:r>
      <w:r>
        <w:rPr>
          <w:i/>
          <w:color w:val="231F20"/>
          <w:spacing w:val="-9"/>
          <w:sz w:val="20"/>
        </w:rPr>
        <w:t> </w:t>
      </w:r>
      <w:r>
        <w:rPr>
          <w:i/>
          <w:color w:val="231F20"/>
          <w:sz w:val="20"/>
        </w:rPr>
        <w:t>к</w:t>
      </w:r>
      <w:r>
        <w:rPr>
          <w:i/>
          <w:color w:val="231F20"/>
          <w:spacing w:val="-9"/>
          <w:sz w:val="20"/>
        </w:rPr>
        <w:t> </w:t>
      </w:r>
      <w:r>
        <w:rPr>
          <w:i/>
          <w:color w:val="231F20"/>
          <w:sz w:val="20"/>
        </w:rPr>
        <w:t>жизни</w:t>
      </w:r>
      <w:r>
        <w:rPr>
          <w:i/>
          <w:color w:val="231F20"/>
          <w:spacing w:val="-9"/>
          <w:sz w:val="20"/>
        </w:rPr>
        <w:t> </w:t>
      </w:r>
      <w:r>
        <w:rPr>
          <w:i/>
          <w:color w:val="231F20"/>
          <w:sz w:val="20"/>
        </w:rPr>
        <w:t>в</w:t>
      </w:r>
      <w:r>
        <w:rPr>
          <w:i/>
          <w:color w:val="231F20"/>
          <w:spacing w:val="-9"/>
          <w:sz w:val="20"/>
        </w:rPr>
        <w:t> </w:t>
      </w:r>
      <w:r>
        <w:rPr>
          <w:i/>
          <w:color w:val="231F20"/>
          <w:sz w:val="20"/>
        </w:rPr>
        <w:t>новой</w:t>
      </w:r>
      <w:r>
        <w:rPr>
          <w:i/>
          <w:color w:val="231F20"/>
          <w:spacing w:val="-9"/>
          <w:sz w:val="20"/>
        </w:rPr>
        <w:t> </w:t>
      </w:r>
      <w:r>
        <w:rPr>
          <w:i/>
          <w:color w:val="231F20"/>
          <w:sz w:val="20"/>
        </w:rPr>
        <w:t>стране</w:t>
      </w:r>
      <w:r>
        <w:rPr>
          <w:i/>
          <w:color w:val="231F20"/>
          <w:spacing w:val="-9"/>
          <w:sz w:val="20"/>
        </w:rPr>
        <w:t> </w:t>
      </w:r>
      <w:r>
        <w:rPr>
          <w:i/>
          <w:color w:val="231F20"/>
          <w:sz w:val="20"/>
        </w:rPr>
        <w:t>и</w:t>
      </w:r>
      <w:r>
        <w:rPr>
          <w:i/>
          <w:color w:val="231F20"/>
          <w:spacing w:val="-9"/>
          <w:sz w:val="20"/>
        </w:rPr>
        <w:t> </w:t>
      </w:r>
      <w:r>
        <w:rPr>
          <w:i/>
          <w:color w:val="231F20"/>
          <w:sz w:val="20"/>
        </w:rPr>
        <w:t>учебе</w:t>
      </w:r>
      <w:r>
        <w:rPr>
          <w:i/>
          <w:color w:val="231F20"/>
          <w:spacing w:val="-9"/>
          <w:sz w:val="20"/>
        </w:rPr>
        <w:t> </w:t>
      </w:r>
      <w:r>
        <w:rPr>
          <w:i/>
          <w:color w:val="231F20"/>
          <w:sz w:val="20"/>
        </w:rPr>
        <w:t>в</w:t>
      </w:r>
      <w:r>
        <w:rPr>
          <w:i/>
          <w:color w:val="231F20"/>
          <w:spacing w:val="-9"/>
          <w:sz w:val="20"/>
        </w:rPr>
        <w:t> </w:t>
      </w:r>
      <w:r>
        <w:rPr>
          <w:i/>
          <w:color w:val="231F20"/>
          <w:sz w:val="20"/>
        </w:rPr>
        <w:t>новой</w:t>
      </w:r>
      <w:r>
        <w:rPr>
          <w:i/>
          <w:color w:val="231F20"/>
          <w:spacing w:val="-9"/>
          <w:sz w:val="20"/>
        </w:rPr>
        <w:t> </w:t>
      </w:r>
      <w:r>
        <w:rPr>
          <w:i/>
          <w:color w:val="231F20"/>
          <w:sz w:val="20"/>
        </w:rPr>
        <w:t>школе</w:t>
      </w:r>
      <w:r>
        <w:rPr>
          <w:i/>
          <w:color w:val="231F20"/>
          <w:spacing w:val="-9"/>
          <w:sz w:val="20"/>
        </w:rPr>
        <w:t> </w:t>
      </w:r>
      <w:r>
        <w:rPr>
          <w:i/>
          <w:color w:val="231F20"/>
          <w:sz w:val="20"/>
        </w:rPr>
        <w:t>непросто.</w:t>
      </w:r>
      <w:r>
        <w:rPr>
          <w:i/>
          <w:color w:val="231F20"/>
          <w:spacing w:val="-9"/>
          <w:sz w:val="20"/>
        </w:rPr>
        <w:t> </w:t>
      </w:r>
      <w:r>
        <w:rPr>
          <w:i/>
          <w:color w:val="231F20"/>
          <w:sz w:val="20"/>
        </w:rPr>
        <w:t>Возникает много препятствий и сложностей. Но у тебя есть сокровища, которые помогут справиться с ними. Давай сделаем сосуд сокровищ! Перед тобой коробочка (баноч- ка), которую ты можешь раскрасить как хочешь. В ней будут лежать твои со- кровища:</w:t>
      </w:r>
      <w:r>
        <w:rPr>
          <w:i/>
          <w:color w:val="231F20"/>
          <w:spacing w:val="-2"/>
          <w:sz w:val="20"/>
        </w:rPr>
        <w:t> </w:t>
      </w:r>
      <w:r>
        <w:rPr>
          <w:i/>
          <w:color w:val="231F20"/>
          <w:sz w:val="20"/>
        </w:rPr>
        <w:t>то,</w:t>
      </w:r>
      <w:r>
        <w:rPr>
          <w:i/>
          <w:color w:val="231F20"/>
          <w:spacing w:val="-2"/>
          <w:sz w:val="20"/>
        </w:rPr>
        <w:t> </w:t>
      </w:r>
      <w:r>
        <w:rPr>
          <w:i/>
          <w:color w:val="231F20"/>
          <w:sz w:val="20"/>
        </w:rPr>
        <w:t>что</w:t>
      </w:r>
      <w:r>
        <w:rPr>
          <w:i/>
          <w:color w:val="231F20"/>
          <w:spacing w:val="-2"/>
          <w:sz w:val="20"/>
        </w:rPr>
        <w:t> </w:t>
      </w:r>
      <w:r>
        <w:rPr>
          <w:i/>
          <w:color w:val="231F20"/>
          <w:sz w:val="20"/>
        </w:rPr>
        <w:t>умеешь,</w:t>
      </w:r>
      <w:r>
        <w:rPr>
          <w:i/>
          <w:color w:val="231F20"/>
          <w:spacing w:val="-2"/>
          <w:sz w:val="20"/>
        </w:rPr>
        <w:t> </w:t>
      </w:r>
      <w:r>
        <w:rPr>
          <w:i/>
          <w:color w:val="231F20"/>
          <w:sz w:val="20"/>
        </w:rPr>
        <w:t>что</w:t>
      </w:r>
      <w:r>
        <w:rPr>
          <w:i/>
          <w:color w:val="231F20"/>
          <w:spacing w:val="-2"/>
          <w:sz w:val="20"/>
        </w:rPr>
        <w:t> </w:t>
      </w:r>
      <w:r>
        <w:rPr>
          <w:i/>
          <w:color w:val="231F20"/>
          <w:sz w:val="20"/>
        </w:rPr>
        <w:t>или</w:t>
      </w:r>
      <w:r>
        <w:rPr>
          <w:i/>
          <w:color w:val="231F20"/>
          <w:spacing w:val="-2"/>
          <w:sz w:val="20"/>
        </w:rPr>
        <w:t> </w:t>
      </w:r>
      <w:r>
        <w:rPr>
          <w:i/>
          <w:color w:val="231F20"/>
          <w:sz w:val="20"/>
        </w:rPr>
        <w:t>кто</w:t>
      </w:r>
      <w:r>
        <w:rPr>
          <w:i/>
          <w:color w:val="231F20"/>
          <w:spacing w:val="-2"/>
          <w:sz w:val="20"/>
        </w:rPr>
        <w:t> </w:t>
      </w:r>
      <w:r>
        <w:rPr>
          <w:i/>
          <w:color w:val="231F20"/>
          <w:sz w:val="20"/>
        </w:rPr>
        <w:t>тебя</w:t>
      </w:r>
      <w:r>
        <w:rPr>
          <w:i/>
          <w:color w:val="231F20"/>
          <w:spacing w:val="-2"/>
          <w:sz w:val="20"/>
        </w:rPr>
        <w:t> </w:t>
      </w:r>
      <w:r>
        <w:rPr>
          <w:i/>
          <w:color w:val="231F20"/>
          <w:sz w:val="20"/>
        </w:rPr>
        <w:t>может</w:t>
      </w:r>
      <w:r>
        <w:rPr>
          <w:i/>
          <w:color w:val="231F20"/>
          <w:spacing w:val="-2"/>
          <w:sz w:val="20"/>
        </w:rPr>
        <w:t> </w:t>
      </w:r>
      <w:r>
        <w:rPr>
          <w:i/>
          <w:color w:val="231F20"/>
          <w:sz w:val="20"/>
        </w:rPr>
        <w:t>поддержать</w:t>
      </w:r>
      <w:r>
        <w:rPr>
          <w:i/>
          <w:color w:val="231F20"/>
          <w:spacing w:val="-2"/>
          <w:sz w:val="20"/>
        </w:rPr>
        <w:t> </w:t>
      </w:r>
      <w:r>
        <w:rPr>
          <w:i/>
          <w:color w:val="231F20"/>
          <w:sz w:val="20"/>
        </w:rPr>
        <w:t>или</w:t>
      </w:r>
      <w:r>
        <w:rPr>
          <w:i/>
          <w:color w:val="231F20"/>
          <w:spacing w:val="-2"/>
          <w:sz w:val="20"/>
        </w:rPr>
        <w:t> </w:t>
      </w:r>
      <w:r>
        <w:rPr>
          <w:i/>
          <w:color w:val="231F20"/>
          <w:sz w:val="20"/>
        </w:rPr>
        <w:t>помочь</w:t>
      </w:r>
      <w:r>
        <w:rPr>
          <w:i/>
          <w:color w:val="231F20"/>
          <w:spacing w:val="-2"/>
          <w:sz w:val="20"/>
        </w:rPr>
        <w:t> </w:t>
      </w:r>
      <w:r>
        <w:rPr>
          <w:i/>
          <w:color w:val="231F20"/>
          <w:sz w:val="20"/>
        </w:rPr>
        <w:t>тебе. Напишем или нарисуем эти сокровища на бумаге и положим внутрь.</w:t>
      </w:r>
    </w:p>
    <w:p>
      <w:pPr>
        <w:pStyle w:val="BodyText"/>
        <w:spacing w:line="228" w:lineRule="exact"/>
        <w:ind w:left="425" w:right="0" w:firstLine="0"/>
      </w:pPr>
      <w:r>
        <w:rPr>
          <w:color w:val="231F20"/>
        </w:rPr>
        <w:t>Если</w:t>
      </w:r>
      <w:r>
        <w:rPr>
          <w:color w:val="231F20"/>
          <w:spacing w:val="-8"/>
        </w:rPr>
        <w:t> </w:t>
      </w:r>
      <w:r>
        <w:rPr>
          <w:color w:val="231F20"/>
        </w:rPr>
        <w:t>ребенок</w:t>
      </w:r>
      <w:r>
        <w:rPr>
          <w:color w:val="231F20"/>
          <w:spacing w:val="-4"/>
        </w:rPr>
        <w:t> </w:t>
      </w:r>
      <w:r>
        <w:rPr>
          <w:color w:val="231F20"/>
        </w:rPr>
        <w:t>не</w:t>
      </w:r>
      <w:r>
        <w:rPr>
          <w:color w:val="231F20"/>
          <w:spacing w:val="-5"/>
        </w:rPr>
        <w:t> </w:t>
      </w:r>
      <w:r>
        <w:rPr>
          <w:color w:val="231F20"/>
        </w:rPr>
        <w:t>знает</w:t>
      </w:r>
      <w:r>
        <w:rPr>
          <w:color w:val="231F20"/>
          <w:spacing w:val="-4"/>
        </w:rPr>
        <w:t> </w:t>
      </w:r>
      <w:r>
        <w:rPr>
          <w:color w:val="231F20"/>
        </w:rPr>
        <w:t>слова</w:t>
      </w:r>
      <w:r>
        <w:rPr>
          <w:color w:val="231F20"/>
          <w:spacing w:val="-5"/>
        </w:rPr>
        <w:t> </w:t>
      </w:r>
      <w:r>
        <w:rPr>
          <w:color w:val="231F20"/>
        </w:rPr>
        <w:t>«сосуд»,</w:t>
      </w:r>
      <w:r>
        <w:rPr>
          <w:color w:val="231F20"/>
          <w:spacing w:val="-4"/>
        </w:rPr>
        <w:t> </w:t>
      </w:r>
      <w:r>
        <w:rPr>
          <w:color w:val="231F20"/>
        </w:rPr>
        <w:t>можно</w:t>
      </w:r>
      <w:r>
        <w:rPr>
          <w:color w:val="231F20"/>
          <w:spacing w:val="-5"/>
        </w:rPr>
        <w:t> </w:t>
      </w:r>
      <w:r>
        <w:rPr>
          <w:color w:val="231F20"/>
        </w:rPr>
        <w:t>просто</w:t>
      </w:r>
      <w:r>
        <w:rPr>
          <w:color w:val="231F20"/>
          <w:spacing w:val="-4"/>
        </w:rPr>
        <w:t> </w:t>
      </w:r>
      <w:r>
        <w:rPr>
          <w:color w:val="231F20"/>
        </w:rPr>
        <w:t>говорить</w:t>
      </w:r>
      <w:r>
        <w:rPr>
          <w:color w:val="231F20"/>
          <w:spacing w:val="-5"/>
        </w:rPr>
        <w:t> </w:t>
      </w:r>
      <w:r>
        <w:rPr>
          <w:color w:val="231F20"/>
          <w:spacing w:val="-2"/>
        </w:rPr>
        <w:t>«коробочка».</w:t>
      </w:r>
    </w:p>
    <w:p>
      <w:pPr>
        <w:pStyle w:val="BodyText"/>
        <w:spacing w:line="235" w:lineRule="auto" w:before="2"/>
      </w:pPr>
      <w:r>
        <w:rPr>
          <w:color w:val="231F20"/>
          <w:spacing w:val="-2"/>
        </w:rPr>
        <w:t>Во</w:t>
      </w:r>
      <w:r>
        <w:rPr>
          <w:color w:val="231F20"/>
          <w:spacing w:val="-7"/>
        </w:rPr>
        <w:t> </w:t>
      </w:r>
      <w:r>
        <w:rPr>
          <w:color w:val="231F20"/>
          <w:spacing w:val="-2"/>
        </w:rPr>
        <w:t>время</w:t>
      </w:r>
      <w:r>
        <w:rPr>
          <w:color w:val="231F20"/>
          <w:spacing w:val="-7"/>
        </w:rPr>
        <w:t> </w:t>
      </w:r>
      <w:r>
        <w:rPr>
          <w:color w:val="231F20"/>
          <w:spacing w:val="-2"/>
        </w:rPr>
        <w:t>выполнения</w:t>
      </w:r>
      <w:r>
        <w:rPr>
          <w:color w:val="231F20"/>
          <w:spacing w:val="-7"/>
        </w:rPr>
        <w:t> </w:t>
      </w:r>
      <w:r>
        <w:rPr>
          <w:color w:val="231F20"/>
          <w:spacing w:val="-2"/>
        </w:rPr>
        <w:t>задания</w:t>
      </w:r>
      <w:r>
        <w:rPr>
          <w:color w:val="231F20"/>
          <w:spacing w:val="-7"/>
        </w:rPr>
        <w:t> </w:t>
      </w:r>
      <w:r>
        <w:rPr>
          <w:color w:val="231F20"/>
          <w:spacing w:val="-2"/>
        </w:rPr>
        <w:t>важно</w:t>
      </w:r>
      <w:r>
        <w:rPr>
          <w:color w:val="231F20"/>
          <w:spacing w:val="-7"/>
        </w:rPr>
        <w:t> </w:t>
      </w:r>
      <w:r>
        <w:rPr>
          <w:color w:val="231F20"/>
          <w:spacing w:val="-2"/>
        </w:rPr>
        <w:t>обсуждать</w:t>
      </w:r>
      <w:r>
        <w:rPr>
          <w:color w:val="231F20"/>
          <w:spacing w:val="-7"/>
        </w:rPr>
        <w:t> </w:t>
      </w:r>
      <w:r>
        <w:rPr>
          <w:color w:val="231F20"/>
          <w:spacing w:val="-2"/>
        </w:rPr>
        <w:t>с</w:t>
      </w:r>
      <w:r>
        <w:rPr>
          <w:color w:val="231F20"/>
          <w:spacing w:val="-7"/>
        </w:rPr>
        <w:t> </w:t>
      </w:r>
      <w:r>
        <w:rPr>
          <w:color w:val="231F20"/>
          <w:spacing w:val="-2"/>
        </w:rPr>
        <w:t>ребенком,</w:t>
      </w:r>
      <w:r>
        <w:rPr>
          <w:color w:val="231F20"/>
          <w:spacing w:val="-7"/>
        </w:rPr>
        <w:t> </w:t>
      </w:r>
      <w:r>
        <w:rPr>
          <w:color w:val="231F20"/>
          <w:spacing w:val="-2"/>
        </w:rPr>
        <w:t>что</w:t>
      </w:r>
      <w:r>
        <w:rPr>
          <w:color w:val="231F20"/>
          <w:spacing w:val="-7"/>
        </w:rPr>
        <w:t> </w:t>
      </w:r>
      <w:r>
        <w:rPr>
          <w:color w:val="231F20"/>
          <w:spacing w:val="-2"/>
        </w:rPr>
        <w:t>или</w:t>
      </w:r>
      <w:r>
        <w:rPr>
          <w:color w:val="231F20"/>
          <w:spacing w:val="-7"/>
        </w:rPr>
        <w:t> </w:t>
      </w:r>
      <w:r>
        <w:rPr>
          <w:color w:val="231F20"/>
          <w:spacing w:val="-2"/>
        </w:rPr>
        <w:t>кто</w:t>
      </w:r>
      <w:r>
        <w:rPr>
          <w:color w:val="231F20"/>
          <w:spacing w:val="-7"/>
        </w:rPr>
        <w:t> </w:t>
      </w:r>
      <w:r>
        <w:rPr>
          <w:color w:val="231F20"/>
          <w:spacing w:val="-2"/>
        </w:rPr>
        <w:t>ему</w:t>
      </w:r>
      <w:r>
        <w:rPr>
          <w:color w:val="231F20"/>
          <w:spacing w:val="-7"/>
        </w:rPr>
        <w:t> </w:t>
      </w:r>
      <w:r>
        <w:rPr>
          <w:color w:val="231F20"/>
          <w:spacing w:val="-2"/>
        </w:rPr>
        <w:t>может </w:t>
      </w:r>
      <w:r>
        <w:rPr>
          <w:color w:val="231F20"/>
        </w:rPr>
        <w:t>помочь и как. При поиске ресурсов для учащегося можно воспользоваться моделью</w:t>
      </w:r>
    </w:p>
    <w:p>
      <w:pPr>
        <w:pStyle w:val="BodyText"/>
        <w:spacing w:line="235" w:lineRule="auto" w:before="1"/>
        <w:ind w:right="140" w:firstLine="0"/>
      </w:pPr>
      <w:r>
        <w:rPr>
          <w:color w:val="231F20"/>
        </w:rPr>
        <w:t>«культурного</w:t>
      </w:r>
      <w:r>
        <w:rPr>
          <w:color w:val="231F20"/>
          <w:spacing w:val="-12"/>
        </w:rPr>
        <w:t> </w:t>
      </w:r>
      <w:r>
        <w:rPr>
          <w:color w:val="231F20"/>
        </w:rPr>
        <w:t>богатства»,</w:t>
      </w:r>
      <w:r>
        <w:rPr>
          <w:color w:val="231F20"/>
          <w:spacing w:val="-12"/>
        </w:rPr>
        <w:t> </w:t>
      </w:r>
      <w:r>
        <w:rPr>
          <w:color w:val="231F20"/>
        </w:rPr>
        <w:t>которую</w:t>
      </w:r>
      <w:r>
        <w:rPr>
          <w:color w:val="231F20"/>
          <w:spacing w:val="-12"/>
        </w:rPr>
        <w:t> </w:t>
      </w:r>
      <w:r>
        <w:rPr>
          <w:color w:val="231F20"/>
        </w:rPr>
        <w:t>предлагает</w:t>
      </w:r>
      <w:r>
        <w:rPr>
          <w:color w:val="231F20"/>
          <w:spacing w:val="-12"/>
        </w:rPr>
        <w:t> </w:t>
      </w:r>
      <w:r>
        <w:rPr>
          <w:i/>
          <w:color w:val="231F20"/>
        </w:rPr>
        <w:t>T.J.</w:t>
      </w:r>
      <w:r>
        <w:rPr>
          <w:i/>
          <w:color w:val="231F20"/>
          <w:spacing w:val="-12"/>
        </w:rPr>
        <w:t> </w:t>
      </w:r>
      <w:r>
        <w:rPr>
          <w:i/>
          <w:color w:val="231F20"/>
        </w:rPr>
        <w:t>Yosso</w:t>
      </w:r>
      <w:r>
        <w:rPr>
          <w:i/>
          <w:color w:val="231F20"/>
          <w:spacing w:val="-12"/>
        </w:rPr>
        <w:t> </w:t>
      </w:r>
      <w:r>
        <w:rPr>
          <w:i/>
          <w:color w:val="231F20"/>
        </w:rPr>
        <w:t>(</w:t>
      </w:r>
      <w:r>
        <w:rPr>
          <w:color w:val="231F20"/>
        </w:rPr>
        <w:t>Yosso,</w:t>
      </w:r>
      <w:r>
        <w:rPr>
          <w:color w:val="231F20"/>
          <w:spacing w:val="-12"/>
        </w:rPr>
        <w:t> </w:t>
      </w:r>
      <w:r>
        <w:rPr>
          <w:color w:val="231F20"/>
        </w:rPr>
        <w:t>2005</w:t>
      </w:r>
      <w:r>
        <w:rPr>
          <w:i/>
          <w:color w:val="231F20"/>
        </w:rPr>
        <w:t>).</w:t>
      </w:r>
      <w:r>
        <w:rPr>
          <w:i/>
          <w:color w:val="231F20"/>
          <w:spacing w:val="-12"/>
        </w:rPr>
        <w:t> </w:t>
      </w:r>
      <w:r>
        <w:rPr>
          <w:color w:val="231F20"/>
        </w:rPr>
        <w:t>Согласно</w:t>
      </w:r>
      <w:r>
        <w:rPr>
          <w:color w:val="231F20"/>
          <w:spacing w:val="-12"/>
        </w:rPr>
        <w:t> </w:t>
      </w:r>
      <w:r>
        <w:rPr>
          <w:color w:val="231F20"/>
        </w:rPr>
        <w:t>этой </w:t>
      </w:r>
      <w:r>
        <w:rPr>
          <w:color w:val="231F20"/>
          <w:spacing w:val="-2"/>
        </w:rPr>
        <w:t>модели каждый ученик обладает шестью видами капитала («культурного богатства»):</w:t>
      </w:r>
    </w:p>
    <w:p>
      <w:pPr>
        <w:pStyle w:val="ListParagraph"/>
        <w:numPr>
          <w:ilvl w:val="2"/>
          <w:numId w:val="220"/>
        </w:numPr>
        <w:tabs>
          <w:tab w:pos="575" w:val="left" w:leader="none"/>
        </w:tabs>
        <w:spacing w:line="225" w:lineRule="exact" w:before="0" w:after="0"/>
        <w:ind w:left="575" w:right="0" w:hanging="150"/>
        <w:jc w:val="left"/>
        <w:rPr>
          <w:color w:val="231F20"/>
          <w:sz w:val="20"/>
        </w:rPr>
      </w:pPr>
      <w:r>
        <w:rPr>
          <w:color w:val="231F20"/>
          <w:sz w:val="20"/>
        </w:rPr>
        <w:t>надежды и</w:t>
      </w:r>
      <w:r>
        <w:rPr>
          <w:color w:val="231F20"/>
          <w:spacing w:val="-1"/>
          <w:sz w:val="20"/>
        </w:rPr>
        <w:t> </w:t>
      </w:r>
      <w:r>
        <w:rPr>
          <w:color w:val="231F20"/>
          <w:spacing w:val="-2"/>
          <w:sz w:val="20"/>
        </w:rPr>
        <w:t>стремления,</w:t>
      </w:r>
    </w:p>
    <w:p>
      <w:pPr>
        <w:pStyle w:val="ListParagraph"/>
        <w:numPr>
          <w:ilvl w:val="2"/>
          <w:numId w:val="220"/>
        </w:numPr>
        <w:tabs>
          <w:tab w:pos="575" w:val="left" w:leader="none"/>
        </w:tabs>
        <w:spacing w:line="226" w:lineRule="exact" w:before="0" w:after="0"/>
        <w:ind w:left="575" w:right="0" w:hanging="150"/>
        <w:jc w:val="left"/>
        <w:rPr>
          <w:color w:val="231F20"/>
          <w:sz w:val="20"/>
        </w:rPr>
      </w:pPr>
      <w:r>
        <w:rPr>
          <w:color w:val="231F20"/>
          <w:sz w:val="20"/>
        </w:rPr>
        <w:t>знание</w:t>
      </w:r>
      <w:r>
        <w:rPr>
          <w:color w:val="231F20"/>
          <w:spacing w:val="-10"/>
          <w:sz w:val="20"/>
        </w:rPr>
        <w:t> </w:t>
      </w:r>
      <w:r>
        <w:rPr>
          <w:color w:val="231F20"/>
          <w:sz w:val="20"/>
        </w:rPr>
        <w:t>языков</w:t>
      </w:r>
      <w:r>
        <w:rPr>
          <w:color w:val="231F20"/>
          <w:spacing w:val="-10"/>
          <w:sz w:val="20"/>
        </w:rPr>
        <w:t> </w:t>
      </w:r>
      <w:r>
        <w:rPr>
          <w:color w:val="231F20"/>
          <w:sz w:val="20"/>
        </w:rPr>
        <w:t>и</w:t>
      </w:r>
      <w:r>
        <w:rPr>
          <w:color w:val="231F20"/>
          <w:spacing w:val="-10"/>
          <w:sz w:val="20"/>
        </w:rPr>
        <w:t> </w:t>
      </w:r>
      <w:r>
        <w:rPr>
          <w:color w:val="231F20"/>
          <w:sz w:val="20"/>
        </w:rPr>
        <w:t>коммуникативные</w:t>
      </w:r>
      <w:r>
        <w:rPr>
          <w:color w:val="231F20"/>
          <w:spacing w:val="-9"/>
          <w:sz w:val="20"/>
        </w:rPr>
        <w:t> </w:t>
      </w:r>
      <w:r>
        <w:rPr>
          <w:color w:val="231F20"/>
          <w:spacing w:val="-2"/>
          <w:sz w:val="20"/>
        </w:rPr>
        <w:t>навыки,</w:t>
      </w:r>
    </w:p>
    <w:p>
      <w:pPr>
        <w:pStyle w:val="ListParagraph"/>
        <w:numPr>
          <w:ilvl w:val="2"/>
          <w:numId w:val="220"/>
        </w:numPr>
        <w:tabs>
          <w:tab w:pos="575" w:val="left" w:leader="none"/>
        </w:tabs>
        <w:spacing w:line="226" w:lineRule="exact" w:before="0" w:after="0"/>
        <w:ind w:left="575" w:right="0" w:hanging="150"/>
        <w:jc w:val="left"/>
        <w:rPr>
          <w:color w:val="231F20"/>
          <w:sz w:val="20"/>
        </w:rPr>
      </w:pPr>
      <w:r>
        <w:rPr>
          <w:color w:val="231F20"/>
          <w:sz w:val="20"/>
        </w:rPr>
        <w:t>отношения</w:t>
      </w:r>
      <w:r>
        <w:rPr>
          <w:color w:val="231F20"/>
          <w:spacing w:val="-4"/>
          <w:sz w:val="20"/>
        </w:rPr>
        <w:t> </w:t>
      </w:r>
      <w:r>
        <w:rPr>
          <w:color w:val="231F20"/>
          <w:sz w:val="20"/>
        </w:rPr>
        <w:t>с</w:t>
      </w:r>
      <w:r>
        <w:rPr>
          <w:color w:val="231F20"/>
          <w:spacing w:val="-3"/>
          <w:sz w:val="20"/>
        </w:rPr>
        <w:t> </w:t>
      </w:r>
      <w:r>
        <w:rPr>
          <w:color w:val="231F20"/>
          <w:sz w:val="20"/>
        </w:rPr>
        <w:t>членами</w:t>
      </w:r>
      <w:r>
        <w:rPr>
          <w:color w:val="231F20"/>
          <w:spacing w:val="-3"/>
          <w:sz w:val="20"/>
        </w:rPr>
        <w:t> </w:t>
      </w:r>
      <w:r>
        <w:rPr>
          <w:color w:val="231F20"/>
          <w:spacing w:val="-2"/>
          <w:sz w:val="20"/>
        </w:rPr>
        <w:t>семьи,</w:t>
      </w:r>
    </w:p>
    <w:p>
      <w:pPr>
        <w:pStyle w:val="ListParagraph"/>
        <w:numPr>
          <w:ilvl w:val="2"/>
          <w:numId w:val="220"/>
        </w:numPr>
        <w:tabs>
          <w:tab w:pos="575" w:val="left" w:leader="none"/>
        </w:tabs>
        <w:spacing w:line="226" w:lineRule="exact" w:before="0" w:after="0"/>
        <w:ind w:left="575" w:right="0" w:hanging="150"/>
        <w:jc w:val="left"/>
        <w:rPr>
          <w:color w:val="231F20"/>
          <w:sz w:val="20"/>
        </w:rPr>
      </w:pPr>
      <w:r>
        <w:rPr>
          <w:color w:val="231F20"/>
          <w:sz w:val="20"/>
        </w:rPr>
        <w:t>отношения</w:t>
      </w:r>
      <w:r>
        <w:rPr>
          <w:color w:val="231F20"/>
          <w:spacing w:val="-3"/>
          <w:sz w:val="20"/>
        </w:rPr>
        <w:t> </w:t>
      </w:r>
      <w:r>
        <w:rPr>
          <w:color w:val="231F20"/>
          <w:sz w:val="20"/>
        </w:rPr>
        <w:t>с</w:t>
      </w:r>
      <w:r>
        <w:rPr>
          <w:color w:val="231F20"/>
          <w:spacing w:val="-2"/>
          <w:sz w:val="20"/>
        </w:rPr>
        <w:t> </w:t>
      </w:r>
      <w:r>
        <w:rPr>
          <w:color w:val="231F20"/>
          <w:sz w:val="20"/>
        </w:rPr>
        <w:t>ровесниками</w:t>
      </w:r>
      <w:r>
        <w:rPr>
          <w:color w:val="231F20"/>
          <w:spacing w:val="-3"/>
          <w:sz w:val="20"/>
        </w:rPr>
        <w:t> </w:t>
      </w:r>
      <w:r>
        <w:rPr>
          <w:color w:val="231F20"/>
          <w:sz w:val="20"/>
        </w:rPr>
        <w:t>и</w:t>
      </w:r>
      <w:r>
        <w:rPr>
          <w:color w:val="231F20"/>
          <w:spacing w:val="-2"/>
          <w:sz w:val="20"/>
        </w:rPr>
        <w:t> друзьями,</w:t>
      </w:r>
    </w:p>
    <w:p>
      <w:pPr>
        <w:pStyle w:val="ListParagraph"/>
        <w:numPr>
          <w:ilvl w:val="2"/>
          <w:numId w:val="220"/>
        </w:numPr>
        <w:tabs>
          <w:tab w:pos="575" w:val="left" w:leader="none"/>
        </w:tabs>
        <w:spacing w:line="226" w:lineRule="exact" w:before="0" w:after="0"/>
        <w:ind w:left="575" w:right="0" w:hanging="150"/>
        <w:jc w:val="left"/>
        <w:rPr>
          <w:color w:val="231F20"/>
          <w:sz w:val="20"/>
        </w:rPr>
      </w:pPr>
      <w:r>
        <w:rPr>
          <w:color w:val="231F20"/>
          <w:sz w:val="20"/>
        </w:rPr>
        <w:t>способность</w:t>
      </w:r>
      <w:r>
        <w:rPr>
          <w:color w:val="231F20"/>
          <w:spacing w:val="-3"/>
          <w:sz w:val="20"/>
        </w:rPr>
        <w:t> </w:t>
      </w:r>
      <w:r>
        <w:rPr>
          <w:color w:val="231F20"/>
          <w:sz w:val="20"/>
        </w:rPr>
        <w:t>адаптироваться</w:t>
      </w:r>
      <w:r>
        <w:rPr>
          <w:color w:val="231F20"/>
          <w:spacing w:val="-2"/>
          <w:sz w:val="20"/>
        </w:rPr>
        <w:t> </w:t>
      </w:r>
      <w:r>
        <w:rPr>
          <w:color w:val="231F20"/>
          <w:sz w:val="20"/>
        </w:rPr>
        <w:t>к</w:t>
      </w:r>
      <w:r>
        <w:rPr>
          <w:color w:val="231F20"/>
          <w:spacing w:val="-2"/>
          <w:sz w:val="20"/>
        </w:rPr>
        <w:t> </w:t>
      </w:r>
      <w:r>
        <w:rPr>
          <w:color w:val="231F20"/>
          <w:sz w:val="20"/>
        </w:rPr>
        <w:t>новым</w:t>
      </w:r>
      <w:r>
        <w:rPr>
          <w:color w:val="231F20"/>
          <w:spacing w:val="-2"/>
          <w:sz w:val="20"/>
        </w:rPr>
        <w:t> </w:t>
      </w:r>
      <w:r>
        <w:rPr>
          <w:color w:val="231F20"/>
          <w:sz w:val="20"/>
        </w:rPr>
        <w:t>социальным</w:t>
      </w:r>
      <w:r>
        <w:rPr>
          <w:color w:val="231F20"/>
          <w:spacing w:val="-2"/>
          <w:sz w:val="20"/>
        </w:rPr>
        <w:t> институтам,</w:t>
      </w:r>
    </w:p>
    <w:p>
      <w:pPr>
        <w:pStyle w:val="ListParagraph"/>
        <w:numPr>
          <w:ilvl w:val="2"/>
          <w:numId w:val="220"/>
        </w:numPr>
        <w:tabs>
          <w:tab w:pos="575" w:val="left" w:leader="none"/>
        </w:tabs>
        <w:spacing w:line="226" w:lineRule="exact" w:before="0" w:after="0"/>
        <w:ind w:left="575" w:right="0" w:hanging="150"/>
        <w:jc w:val="left"/>
        <w:rPr>
          <w:color w:val="231F20"/>
          <w:sz w:val="20"/>
        </w:rPr>
      </w:pPr>
      <w:r>
        <w:rPr>
          <w:color w:val="231F20"/>
          <w:sz w:val="20"/>
        </w:rPr>
        <w:t>настойчивость</w:t>
      </w:r>
      <w:r>
        <w:rPr>
          <w:color w:val="231F20"/>
          <w:spacing w:val="-12"/>
          <w:sz w:val="20"/>
        </w:rPr>
        <w:t> </w:t>
      </w:r>
      <w:r>
        <w:rPr>
          <w:color w:val="231F20"/>
          <w:sz w:val="20"/>
        </w:rPr>
        <w:t>(умение</w:t>
      </w:r>
      <w:r>
        <w:rPr>
          <w:color w:val="231F20"/>
          <w:spacing w:val="-10"/>
          <w:sz w:val="20"/>
        </w:rPr>
        <w:t> </w:t>
      </w:r>
      <w:r>
        <w:rPr>
          <w:color w:val="231F20"/>
          <w:sz w:val="20"/>
        </w:rPr>
        <w:t>добиваться</w:t>
      </w:r>
      <w:r>
        <w:rPr>
          <w:color w:val="231F20"/>
          <w:spacing w:val="-11"/>
          <w:sz w:val="20"/>
        </w:rPr>
        <w:t> </w:t>
      </w:r>
      <w:r>
        <w:rPr>
          <w:color w:val="231F20"/>
          <w:sz w:val="20"/>
        </w:rPr>
        <w:t>справедливого</w:t>
      </w:r>
      <w:r>
        <w:rPr>
          <w:color w:val="231F20"/>
          <w:spacing w:val="-10"/>
          <w:sz w:val="20"/>
        </w:rPr>
        <w:t> </w:t>
      </w:r>
      <w:r>
        <w:rPr>
          <w:color w:val="231F20"/>
          <w:spacing w:val="-2"/>
          <w:sz w:val="20"/>
        </w:rPr>
        <w:t>отношения).</w:t>
      </w:r>
    </w:p>
    <w:p>
      <w:pPr>
        <w:pStyle w:val="BodyText"/>
        <w:spacing w:line="235" w:lineRule="auto" w:before="2"/>
      </w:pPr>
      <w:r>
        <w:rPr>
          <w:color w:val="231F20"/>
          <w:spacing w:val="-2"/>
        </w:rPr>
        <w:t>Когда</w:t>
      </w:r>
      <w:r>
        <w:rPr>
          <w:color w:val="231F20"/>
          <w:spacing w:val="-6"/>
        </w:rPr>
        <w:t> </w:t>
      </w:r>
      <w:r>
        <w:rPr>
          <w:color w:val="231F20"/>
          <w:spacing w:val="-2"/>
        </w:rPr>
        <w:t>работа</w:t>
      </w:r>
      <w:r>
        <w:rPr>
          <w:color w:val="231F20"/>
          <w:spacing w:val="-6"/>
        </w:rPr>
        <w:t> </w:t>
      </w:r>
      <w:r>
        <w:rPr>
          <w:color w:val="231F20"/>
          <w:spacing w:val="-2"/>
        </w:rPr>
        <w:t>закончена,</w:t>
      </w:r>
      <w:r>
        <w:rPr>
          <w:color w:val="231F20"/>
          <w:spacing w:val="-6"/>
        </w:rPr>
        <w:t> </w:t>
      </w:r>
      <w:r>
        <w:rPr>
          <w:color w:val="231F20"/>
          <w:spacing w:val="-2"/>
        </w:rPr>
        <w:t>психолог</w:t>
      </w:r>
      <w:r>
        <w:rPr>
          <w:color w:val="231F20"/>
          <w:spacing w:val="-6"/>
        </w:rPr>
        <w:t> </w:t>
      </w:r>
      <w:r>
        <w:rPr>
          <w:color w:val="231F20"/>
          <w:spacing w:val="-2"/>
        </w:rPr>
        <w:t>может</w:t>
      </w:r>
      <w:r>
        <w:rPr>
          <w:color w:val="231F20"/>
          <w:spacing w:val="-6"/>
        </w:rPr>
        <w:t> </w:t>
      </w:r>
      <w:r>
        <w:rPr>
          <w:color w:val="231F20"/>
          <w:spacing w:val="-2"/>
        </w:rPr>
        <w:t>предложить</w:t>
      </w:r>
      <w:r>
        <w:rPr>
          <w:color w:val="231F20"/>
          <w:spacing w:val="-6"/>
        </w:rPr>
        <w:t> </w:t>
      </w:r>
      <w:r>
        <w:rPr>
          <w:color w:val="231F20"/>
          <w:spacing w:val="-2"/>
        </w:rPr>
        <w:t>ребенку</w:t>
      </w:r>
      <w:r>
        <w:rPr>
          <w:color w:val="231F20"/>
          <w:spacing w:val="-6"/>
        </w:rPr>
        <w:t> </w:t>
      </w:r>
      <w:r>
        <w:rPr>
          <w:color w:val="231F20"/>
          <w:spacing w:val="-2"/>
        </w:rPr>
        <w:t>забрать</w:t>
      </w:r>
      <w:r>
        <w:rPr>
          <w:color w:val="231F20"/>
          <w:spacing w:val="-6"/>
        </w:rPr>
        <w:t> </w:t>
      </w:r>
      <w:r>
        <w:rPr>
          <w:color w:val="231F20"/>
          <w:spacing w:val="-2"/>
        </w:rPr>
        <w:t>ее</w:t>
      </w:r>
      <w:r>
        <w:rPr>
          <w:color w:val="231F20"/>
          <w:spacing w:val="-6"/>
        </w:rPr>
        <w:t> </w:t>
      </w:r>
      <w:r>
        <w:rPr>
          <w:color w:val="231F20"/>
          <w:spacing w:val="-2"/>
        </w:rPr>
        <w:t>с</w:t>
      </w:r>
      <w:r>
        <w:rPr>
          <w:color w:val="231F20"/>
          <w:spacing w:val="-6"/>
        </w:rPr>
        <w:t> </w:t>
      </w:r>
      <w:r>
        <w:rPr>
          <w:color w:val="231F20"/>
          <w:spacing w:val="-2"/>
        </w:rPr>
        <w:t>собой.</w:t>
      </w:r>
      <w:r>
        <w:rPr>
          <w:color w:val="231F20"/>
          <w:spacing w:val="-6"/>
        </w:rPr>
        <w:t> </w:t>
      </w:r>
      <w:r>
        <w:rPr>
          <w:color w:val="231F20"/>
          <w:spacing w:val="-2"/>
        </w:rPr>
        <w:t>В </w:t>
      </w:r>
      <w:r>
        <w:rPr>
          <w:color w:val="231F20"/>
        </w:rPr>
        <w:t>дальнейшем,</w:t>
      </w:r>
      <w:r>
        <w:rPr>
          <w:color w:val="231F20"/>
          <w:spacing w:val="-11"/>
        </w:rPr>
        <w:t> </w:t>
      </w:r>
      <w:r>
        <w:rPr>
          <w:color w:val="231F20"/>
        </w:rPr>
        <w:t>если</w:t>
      </w:r>
      <w:r>
        <w:rPr>
          <w:color w:val="231F20"/>
          <w:spacing w:val="-11"/>
        </w:rPr>
        <w:t> </w:t>
      </w:r>
      <w:r>
        <w:rPr>
          <w:color w:val="231F20"/>
        </w:rPr>
        <w:t>ребенку</w:t>
      </w:r>
      <w:r>
        <w:rPr>
          <w:color w:val="231F20"/>
          <w:spacing w:val="-11"/>
        </w:rPr>
        <w:t> </w:t>
      </w:r>
      <w:r>
        <w:rPr>
          <w:color w:val="231F20"/>
        </w:rPr>
        <w:t>покажется,</w:t>
      </w:r>
      <w:r>
        <w:rPr>
          <w:color w:val="231F20"/>
          <w:spacing w:val="-11"/>
        </w:rPr>
        <w:t> </w:t>
      </w:r>
      <w:r>
        <w:rPr>
          <w:color w:val="231F20"/>
        </w:rPr>
        <w:t>что</w:t>
      </w:r>
      <w:r>
        <w:rPr>
          <w:color w:val="231F20"/>
          <w:spacing w:val="-11"/>
        </w:rPr>
        <w:t> </w:t>
      </w:r>
      <w:r>
        <w:rPr>
          <w:color w:val="231F20"/>
        </w:rPr>
        <w:t>ситуация</w:t>
      </w:r>
      <w:r>
        <w:rPr>
          <w:color w:val="231F20"/>
          <w:spacing w:val="-10"/>
        </w:rPr>
        <w:t> </w:t>
      </w:r>
      <w:r>
        <w:rPr>
          <w:color w:val="231F20"/>
        </w:rPr>
        <w:t>безвыходная,</w:t>
      </w:r>
      <w:r>
        <w:rPr>
          <w:color w:val="231F20"/>
          <w:spacing w:val="-11"/>
        </w:rPr>
        <w:t> </w:t>
      </w:r>
      <w:r>
        <w:rPr>
          <w:color w:val="231F20"/>
        </w:rPr>
        <w:t>можно</w:t>
      </w:r>
      <w:r>
        <w:rPr>
          <w:color w:val="231F20"/>
          <w:spacing w:val="-10"/>
        </w:rPr>
        <w:t> </w:t>
      </w:r>
      <w:r>
        <w:rPr>
          <w:color w:val="231F20"/>
        </w:rPr>
        <w:t>посмотреть, какие сокровища лежат в этом сосуде.</w:t>
      </w:r>
    </w:p>
    <w:p>
      <w:pPr>
        <w:pStyle w:val="BodyText"/>
        <w:spacing w:line="228" w:lineRule="exact"/>
        <w:ind w:left="425" w:right="0" w:firstLine="0"/>
        <w:jc w:val="left"/>
      </w:pPr>
      <w:r>
        <w:rPr>
          <w:color w:val="231F20"/>
        </w:rPr>
        <w:t>Техника</w:t>
      </w:r>
      <w:r>
        <w:rPr>
          <w:color w:val="231F20"/>
          <w:spacing w:val="-7"/>
        </w:rPr>
        <w:t> </w:t>
      </w:r>
      <w:r>
        <w:rPr>
          <w:color w:val="231F20"/>
        </w:rPr>
        <w:t>«Сосуд</w:t>
      </w:r>
      <w:r>
        <w:rPr>
          <w:color w:val="231F20"/>
          <w:spacing w:val="-7"/>
        </w:rPr>
        <w:t> </w:t>
      </w:r>
      <w:r>
        <w:rPr>
          <w:color w:val="231F20"/>
        </w:rPr>
        <w:t>сокровищ»</w:t>
      </w:r>
      <w:r>
        <w:rPr>
          <w:color w:val="231F20"/>
          <w:spacing w:val="-6"/>
        </w:rPr>
        <w:t> </w:t>
      </w:r>
      <w:r>
        <w:rPr>
          <w:color w:val="231F20"/>
        </w:rPr>
        <w:t>может</w:t>
      </w:r>
      <w:r>
        <w:rPr>
          <w:color w:val="231F20"/>
          <w:spacing w:val="-7"/>
        </w:rPr>
        <w:t> </w:t>
      </w:r>
      <w:r>
        <w:rPr>
          <w:color w:val="231F20"/>
        </w:rPr>
        <w:t>выполняться</w:t>
      </w:r>
      <w:r>
        <w:rPr>
          <w:color w:val="231F20"/>
          <w:spacing w:val="-6"/>
        </w:rPr>
        <w:t> </w:t>
      </w:r>
      <w:r>
        <w:rPr>
          <w:color w:val="231F20"/>
        </w:rPr>
        <w:t>в</w:t>
      </w:r>
      <w:r>
        <w:rPr>
          <w:color w:val="231F20"/>
          <w:spacing w:val="-7"/>
        </w:rPr>
        <w:t> </w:t>
      </w:r>
      <w:r>
        <w:rPr>
          <w:color w:val="231F20"/>
        </w:rPr>
        <w:t>течение</w:t>
      </w:r>
      <w:r>
        <w:rPr>
          <w:color w:val="231F20"/>
          <w:spacing w:val="-7"/>
        </w:rPr>
        <w:t> </w:t>
      </w:r>
      <w:r>
        <w:rPr>
          <w:color w:val="231F20"/>
        </w:rPr>
        <w:t>нескольких</w:t>
      </w:r>
      <w:r>
        <w:rPr>
          <w:color w:val="231F20"/>
          <w:spacing w:val="-6"/>
        </w:rPr>
        <w:t> </w:t>
      </w:r>
      <w:r>
        <w:rPr>
          <w:color w:val="231F20"/>
          <w:spacing w:val="-2"/>
        </w:rPr>
        <w:t>занятий.</w:t>
      </w:r>
    </w:p>
    <w:p>
      <w:pPr>
        <w:spacing w:line="228" w:lineRule="exact" w:before="109"/>
        <w:ind w:left="425" w:right="0" w:firstLine="0"/>
        <w:jc w:val="left"/>
        <w:rPr>
          <w:b/>
          <w:i/>
          <w:sz w:val="20"/>
        </w:rPr>
      </w:pPr>
      <w:r>
        <w:rPr>
          <w:b/>
          <w:i/>
          <w:color w:val="231F20"/>
          <w:sz w:val="20"/>
        </w:rPr>
        <w:t>«Постер</w:t>
      </w:r>
      <w:r>
        <w:rPr>
          <w:b/>
          <w:i/>
          <w:color w:val="231F20"/>
          <w:spacing w:val="-5"/>
          <w:sz w:val="20"/>
        </w:rPr>
        <w:t> </w:t>
      </w:r>
      <w:r>
        <w:rPr>
          <w:b/>
          <w:i/>
          <w:color w:val="231F20"/>
          <w:sz w:val="20"/>
        </w:rPr>
        <w:t>с</w:t>
      </w:r>
      <w:r>
        <w:rPr>
          <w:b/>
          <w:i/>
          <w:color w:val="231F20"/>
          <w:spacing w:val="-5"/>
          <w:sz w:val="20"/>
        </w:rPr>
        <w:t> </w:t>
      </w:r>
      <w:r>
        <w:rPr>
          <w:b/>
          <w:i/>
          <w:color w:val="231F20"/>
          <w:sz w:val="20"/>
        </w:rPr>
        <w:t>позитивными</w:t>
      </w:r>
      <w:r>
        <w:rPr>
          <w:b/>
          <w:i/>
          <w:color w:val="231F20"/>
          <w:spacing w:val="-5"/>
          <w:sz w:val="20"/>
        </w:rPr>
        <w:t> </w:t>
      </w:r>
      <w:r>
        <w:rPr>
          <w:b/>
          <w:i/>
          <w:color w:val="231F20"/>
          <w:spacing w:val="-2"/>
          <w:sz w:val="20"/>
        </w:rPr>
        <w:t>мыслями»</w:t>
      </w:r>
    </w:p>
    <w:p>
      <w:pPr>
        <w:pStyle w:val="BodyText"/>
        <w:spacing w:line="226" w:lineRule="exact"/>
        <w:ind w:left="425" w:right="0" w:firstLine="0"/>
        <w:jc w:val="left"/>
      </w:pPr>
      <w:r>
        <w:rPr>
          <w:color w:val="231F20"/>
        </w:rPr>
        <w:t>Материалы:</w:t>
      </w:r>
      <w:r>
        <w:rPr>
          <w:color w:val="231F20"/>
          <w:spacing w:val="-8"/>
        </w:rPr>
        <w:t> </w:t>
      </w:r>
      <w:r>
        <w:rPr>
          <w:color w:val="231F20"/>
        </w:rPr>
        <w:t>бумага,</w:t>
      </w:r>
      <w:r>
        <w:rPr>
          <w:color w:val="231F20"/>
          <w:spacing w:val="-7"/>
        </w:rPr>
        <w:t> </w:t>
      </w:r>
      <w:r>
        <w:rPr>
          <w:color w:val="231F20"/>
        </w:rPr>
        <w:t>цветные</w:t>
      </w:r>
      <w:r>
        <w:rPr>
          <w:color w:val="231F20"/>
          <w:spacing w:val="-7"/>
        </w:rPr>
        <w:t> </w:t>
      </w:r>
      <w:r>
        <w:rPr>
          <w:color w:val="231F20"/>
        </w:rPr>
        <w:t>карандаши</w:t>
      </w:r>
      <w:r>
        <w:rPr>
          <w:color w:val="231F20"/>
          <w:spacing w:val="-9"/>
        </w:rPr>
        <w:t> </w:t>
      </w:r>
      <w:r>
        <w:rPr>
          <w:color w:val="231F20"/>
        </w:rPr>
        <w:t>или</w:t>
      </w:r>
      <w:r>
        <w:rPr>
          <w:color w:val="231F20"/>
          <w:spacing w:val="-8"/>
        </w:rPr>
        <w:t> </w:t>
      </w:r>
      <w:r>
        <w:rPr>
          <w:color w:val="231F20"/>
        </w:rPr>
        <w:t>фломастеры,</w:t>
      </w:r>
      <w:r>
        <w:rPr>
          <w:color w:val="231F20"/>
          <w:spacing w:val="-7"/>
        </w:rPr>
        <w:t> </w:t>
      </w:r>
      <w:r>
        <w:rPr>
          <w:color w:val="231F20"/>
        </w:rPr>
        <w:t>ножницы,</w:t>
      </w:r>
      <w:r>
        <w:rPr>
          <w:color w:val="231F20"/>
          <w:spacing w:val="-7"/>
        </w:rPr>
        <w:t> </w:t>
      </w:r>
      <w:r>
        <w:rPr>
          <w:color w:val="231F20"/>
          <w:spacing w:val="-2"/>
        </w:rPr>
        <w:t>клей.</w:t>
      </w:r>
    </w:p>
    <w:p>
      <w:pPr>
        <w:pStyle w:val="BodyText"/>
        <w:spacing w:line="235" w:lineRule="auto" w:before="2"/>
        <w:jc w:val="right"/>
      </w:pPr>
      <w:r>
        <w:rPr>
          <w:color w:val="231F20"/>
        </w:rPr>
        <w:t>Сначала необходимо поговорить с ребенком о том, какие мысли и чувства у него </w:t>
      </w:r>
      <w:r>
        <w:rPr>
          <w:color w:val="231F20"/>
          <w:spacing w:val="-2"/>
        </w:rPr>
        <w:t>возникают,</w:t>
      </w:r>
      <w:r>
        <w:rPr>
          <w:color w:val="231F20"/>
          <w:spacing w:val="-5"/>
        </w:rPr>
        <w:t> </w:t>
      </w:r>
      <w:r>
        <w:rPr>
          <w:color w:val="231F20"/>
          <w:spacing w:val="-2"/>
        </w:rPr>
        <w:t>когда</w:t>
      </w:r>
      <w:r>
        <w:rPr>
          <w:color w:val="231F20"/>
          <w:spacing w:val="-5"/>
        </w:rPr>
        <w:t> </w:t>
      </w:r>
      <w:r>
        <w:rPr>
          <w:color w:val="231F20"/>
          <w:spacing w:val="-2"/>
        </w:rPr>
        <w:t>он</w:t>
      </w:r>
      <w:r>
        <w:rPr>
          <w:color w:val="231F20"/>
          <w:spacing w:val="-5"/>
        </w:rPr>
        <w:t> </w:t>
      </w:r>
      <w:r>
        <w:rPr>
          <w:color w:val="231F20"/>
          <w:spacing w:val="-2"/>
        </w:rPr>
        <w:t>сталкивается</w:t>
      </w:r>
      <w:r>
        <w:rPr>
          <w:color w:val="231F20"/>
          <w:spacing w:val="-5"/>
        </w:rPr>
        <w:t> </w:t>
      </w:r>
      <w:r>
        <w:rPr>
          <w:color w:val="231F20"/>
          <w:spacing w:val="-2"/>
        </w:rPr>
        <w:t>с</w:t>
      </w:r>
      <w:r>
        <w:rPr>
          <w:color w:val="231F20"/>
          <w:spacing w:val="-5"/>
        </w:rPr>
        <w:t> </w:t>
      </w:r>
      <w:r>
        <w:rPr>
          <w:color w:val="231F20"/>
          <w:spacing w:val="-2"/>
        </w:rPr>
        <w:t>трудностями</w:t>
      </w:r>
      <w:r>
        <w:rPr>
          <w:color w:val="231F20"/>
          <w:spacing w:val="-5"/>
        </w:rPr>
        <w:t> </w:t>
      </w:r>
      <w:r>
        <w:rPr>
          <w:color w:val="231F20"/>
          <w:spacing w:val="-2"/>
        </w:rPr>
        <w:t>в</w:t>
      </w:r>
      <w:r>
        <w:rPr>
          <w:color w:val="231F20"/>
          <w:spacing w:val="-5"/>
        </w:rPr>
        <w:t> </w:t>
      </w:r>
      <w:r>
        <w:rPr>
          <w:color w:val="231F20"/>
          <w:spacing w:val="-2"/>
        </w:rPr>
        <w:t>процессе</w:t>
      </w:r>
      <w:r>
        <w:rPr>
          <w:color w:val="231F20"/>
          <w:spacing w:val="-5"/>
        </w:rPr>
        <w:t> </w:t>
      </w:r>
      <w:r>
        <w:rPr>
          <w:color w:val="231F20"/>
          <w:spacing w:val="-2"/>
        </w:rPr>
        <w:t>адаптации.</w:t>
      </w:r>
      <w:r>
        <w:rPr>
          <w:color w:val="231F20"/>
          <w:spacing w:val="-5"/>
        </w:rPr>
        <w:t> </w:t>
      </w:r>
      <w:r>
        <w:rPr>
          <w:color w:val="231F20"/>
          <w:spacing w:val="-2"/>
        </w:rPr>
        <w:t>Важно</w:t>
      </w:r>
      <w:r>
        <w:rPr>
          <w:color w:val="231F20"/>
          <w:spacing w:val="-5"/>
        </w:rPr>
        <w:t> </w:t>
      </w:r>
      <w:r>
        <w:rPr>
          <w:color w:val="231F20"/>
          <w:spacing w:val="-2"/>
        </w:rPr>
        <w:t>сказать </w:t>
      </w:r>
      <w:r>
        <w:rPr>
          <w:color w:val="231F20"/>
        </w:rPr>
        <w:t>ребенку,</w:t>
      </w:r>
      <w:r>
        <w:rPr>
          <w:color w:val="231F20"/>
          <w:spacing w:val="-11"/>
        </w:rPr>
        <w:t> </w:t>
      </w:r>
      <w:r>
        <w:rPr>
          <w:color w:val="231F20"/>
        </w:rPr>
        <w:t>что,</w:t>
      </w:r>
      <w:r>
        <w:rPr>
          <w:color w:val="231F20"/>
          <w:spacing w:val="-8"/>
        </w:rPr>
        <w:t> </w:t>
      </w:r>
      <w:r>
        <w:rPr>
          <w:color w:val="231F20"/>
        </w:rPr>
        <w:t>если</w:t>
      </w:r>
      <w:r>
        <w:rPr>
          <w:color w:val="231F20"/>
          <w:spacing w:val="-8"/>
        </w:rPr>
        <w:t> </w:t>
      </w:r>
      <w:r>
        <w:rPr>
          <w:color w:val="231F20"/>
        </w:rPr>
        <w:t>он</w:t>
      </w:r>
      <w:r>
        <w:rPr>
          <w:color w:val="231F20"/>
          <w:spacing w:val="-9"/>
        </w:rPr>
        <w:t> </w:t>
      </w:r>
      <w:r>
        <w:rPr>
          <w:color w:val="231F20"/>
        </w:rPr>
        <w:t>испытывает</w:t>
      </w:r>
      <w:r>
        <w:rPr>
          <w:color w:val="231F20"/>
          <w:spacing w:val="-8"/>
        </w:rPr>
        <w:t> </w:t>
      </w:r>
      <w:r>
        <w:rPr>
          <w:color w:val="231F20"/>
        </w:rPr>
        <w:t>печаль,</w:t>
      </w:r>
      <w:r>
        <w:rPr>
          <w:color w:val="231F20"/>
          <w:spacing w:val="-8"/>
        </w:rPr>
        <w:t> </w:t>
      </w:r>
      <w:r>
        <w:rPr>
          <w:color w:val="231F20"/>
        </w:rPr>
        <w:t>тоску,</w:t>
      </w:r>
      <w:r>
        <w:rPr>
          <w:color w:val="231F20"/>
          <w:spacing w:val="-9"/>
        </w:rPr>
        <w:t> </w:t>
      </w:r>
      <w:r>
        <w:rPr>
          <w:color w:val="231F20"/>
        </w:rPr>
        <w:t>это</w:t>
      </w:r>
      <w:r>
        <w:rPr>
          <w:color w:val="231F20"/>
          <w:spacing w:val="-8"/>
        </w:rPr>
        <w:t> </w:t>
      </w:r>
      <w:r>
        <w:rPr>
          <w:color w:val="231F20"/>
        </w:rPr>
        <w:t>не</w:t>
      </w:r>
      <w:r>
        <w:rPr>
          <w:color w:val="231F20"/>
          <w:spacing w:val="-8"/>
        </w:rPr>
        <w:t> </w:t>
      </w:r>
      <w:r>
        <w:rPr>
          <w:color w:val="231F20"/>
        </w:rPr>
        <w:t>значит,</w:t>
      </w:r>
      <w:r>
        <w:rPr>
          <w:color w:val="231F20"/>
          <w:spacing w:val="-9"/>
        </w:rPr>
        <w:t> </w:t>
      </w:r>
      <w:r>
        <w:rPr>
          <w:color w:val="231F20"/>
        </w:rPr>
        <w:t>что</w:t>
      </w:r>
      <w:r>
        <w:rPr>
          <w:color w:val="231F20"/>
          <w:spacing w:val="-8"/>
        </w:rPr>
        <w:t> </w:t>
      </w:r>
      <w:r>
        <w:rPr>
          <w:color w:val="231F20"/>
        </w:rPr>
        <w:t>он</w:t>
      </w:r>
      <w:r>
        <w:rPr>
          <w:color w:val="231F20"/>
          <w:spacing w:val="-8"/>
        </w:rPr>
        <w:t> </w:t>
      </w:r>
      <w:r>
        <w:rPr>
          <w:color w:val="231F20"/>
        </w:rPr>
        <w:t>не</w:t>
      </w:r>
      <w:r>
        <w:rPr>
          <w:color w:val="231F20"/>
          <w:spacing w:val="-8"/>
        </w:rPr>
        <w:t> </w:t>
      </w:r>
      <w:r>
        <w:rPr>
          <w:color w:val="231F20"/>
          <w:spacing w:val="-2"/>
        </w:rPr>
        <w:t>справляется.</w:t>
      </w:r>
    </w:p>
    <w:p>
      <w:pPr>
        <w:pStyle w:val="BodyText"/>
        <w:spacing w:line="235" w:lineRule="auto" w:before="2"/>
        <w:ind w:right="140"/>
      </w:pPr>
      <w:r>
        <w:rPr>
          <w:color w:val="231F20"/>
        </w:rPr>
        <w:t>Затем</w:t>
      </w:r>
      <w:r>
        <w:rPr>
          <w:color w:val="231F20"/>
          <w:spacing w:val="-9"/>
        </w:rPr>
        <w:t> </w:t>
      </w:r>
      <w:r>
        <w:rPr>
          <w:color w:val="231F20"/>
        </w:rPr>
        <w:t>психолог</w:t>
      </w:r>
      <w:r>
        <w:rPr>
          <w:color w:val="231F20"/>
          <w:spacing w:val="-9"/>
        </w:rPr>
        <w:t> </w:t>
      </w:r>
      <w:r>
        <w:rPr>
          <w:color w:val="231F20"/>
        </w:rPr>
        <w:t>уточняет,</w:t>
      </w:r>
      <w:r>
        <w:rPr>
          <w:color w:val="231F20"/>
          <w:spacing w:val="-9"/>
        </w:rPr>
        <w:t> </w:t>
      </w:r>
      <w:r>
        <w:rPr>
          <w:color w:val="231F20"/>
        </w:rPr>
        <w:t>видел</w:t>
      </w:r>
      <w:r>
        <w:rPr>
          <w:color w:val="231F20"/>
          <w:spacing w:val="-9"/>
        </w:rPr>
        <w:t> </w:t>
      </w:r>
      <w:r>
        <w:rPr>
          <w:color w:val="231F20"/>
        </w:rPr>
        <w:t>ли</w:t>
      </w:r>
      <w:r>
        <w:rPr>
          <w:color w:val="231F20"/>
          <w:spacing w:val="-9"/>
        </w:rPr>
        <w:t> </w:t>
      </w:r>
      <w:r>
        <w:rPr>
          <w:color w:val="231F20"/>
        </w:rPr>
        <w:t>ребенок</w:t>
      </w:r>
      <w:r>
        <w:rPr>
          <w:color w:val="231F20"/>
          <w:spacing w:val="-9"/>
        </w:rPr>
        <w:t> </w:t>
      </w:r>
      <w:r>
        <w:rPr>
          <w:color w:val="231F20"/>
        </w:rPr>
        <w:t>когда-нибудь</w:t>
      </w:r>
      <w:r>
        <w:rPr>
          <w:color w:val="231F20"/>
          <w:spacing w:val="-9"/>
        </w:rPr>
        <w:t> </w:t>
      </w:r>
      <w:r>
        <w:rPr>
          <w:color w:val="231F20"/>
        </w:rPr>
        <w:t>постеры</w:t>
      </w:r>
      <w:r>
        <w:rPr>
          <w:color w:val="231F20"/>
          <w:spacing w:val="-9"/>
        </w:rPr>
        <w:t> </w:t>
      </w:r>
      <w:r>
        <w:rPr>
          <w:color w:val="231F20"/>
        </w:rPr>
        <w:t>с</w:t>
      </w:r>
      <w:r>
        <w:rPr>
          <w:color w:val="231F20"/>
          <w:spacing w:val="-9"/>
        </w:rPr>
        <w:t> </w:t>
      </w:r>
      <w:r>
        <w:rPr>
          <w:color w:val="231F20"/>
        </w:rPr>
        <w:t>позитивными мыслями. Можно показать фотографии с такими постерами.</w:t>
      </w:r>
    </w:p>
    <w:p>
      <w:pPr>
        <w:pStyle w:val="BodyText"/>
        <w:spacing w:line="235" w:lineRule="auto" w:before="1"/>
      </w:pPr>
      <w:r>
        <w:rPr>
          <w:color w:val="231F20"/>
          <w:spacing w:val="-2"/>
        </w:rPr>
        <w:t>Психолог</w:t>
      </w:r>
      <w:r>
        <w:rPr>
          <w:color w:val="231F20"/>
          <w:spacing w:val="-3"/>
        </w:rPr>
        <w:t> </w:t>
      </w:r>
      <w:r>
        <w:rPr>
          <w:color w:val="231F20"/>
          <w:spacing w:val="-2"/>
        </w:rPr>
        <w:t>предлагает</w:t>
      </w:r>
      <w:r>
        <w:rPr>
          <w:color w:val="231F20"/>
          <w:spacing w:val="-3"/>
        </w:rPr>
        <w:t> </w:t>
      </w:r>
      <w:r>
        <w:rPr>
          <w:color w:val="231F20"/>
          <w:spacing w:val="-2"/>
        </w:rPr>
        <w:t>учащемуся</w:t>
      </w:r>
      <w:r>
        <w:rPr>
          <w:color w:val="231F20"/>
          <w:spacing w:val="-3"/>
        </w:rPr>
        <w:t> </w:t>
      </w:r>
      <w:r>
        <w:rPr>
          <w:color w:val="231F20"/>
          <w:spacing w:val="-2"/>
        </w:rPr>
        <w:t>сделать</w:t>
      </w:r>
      <w:r>
        <w:rPr>
          <w:color w:val="231F20"/>
          <w:spacing w:val="-3"/>
        </w:rPr>
        <w:t> </w:t>
      </w:r>
      <w:r>
        <w:rPr>
          <w:color w:val="231F20"/>
          <w:spacing w:val="-2"/>
        </w:rPr>
        <w:t>такой</w:t>
      </w:r>
      <w:r>
        <w:rPr>
          <w:color w:val="231F20"/>
          <w:spacing w:val="-3"/>
        </w:rPr>
        <w:t> </w:t>
      </w:r>
      <w:r>
        <w:rPr>
          <w:color w:val="231F20"/>
          <w:spacing w:val="-2"/>
        </w:rPr>
        <w:t>постер</w:t>
      </w:r>
      <w:r>
        <w:rPr>
          <w:color w:val="231F20"/>
          <w:spacing w:val="-3"/>
        </w:rPr>
        <w:t> </w:t>
      </w:r>
      <w:r>
        <w:rPr>
          <w:color w:val="231F20"/>
          <w:spacing w:val="-2"/>
        </w:rPr>
        <w:t>для</w:t>
      </w:r>
      <w:r>
        <w:rPr>
          <w:color w:val="231F20"/>
          <w:spacing w:val="-3"/>
        </w:rPr>
        <w:t> </w:t>
      </w:r>
      <w:r>
        <w:rPr>
          <w:color w:val="231F20"/>
          <w:spacing w:val="-2"/>
        </w:rPr>
        <w:t>себя.</w:t>
      </w:r>
      <w:r>
        <w:rPr>
          <w:color w:val="231F20"/>
          <w:spacing w:val="-3"/>
        </w:rPr>
        <w:t> </w:t>
      </w:r>
      <w:r>
        <w:rPr>
          <w:color w:val="231F20"/>
          <w:spacing w:val="-2"/>
        </w:rPr>
        <w:t>Сначала</w:t>
      </w:r>
      <w:r>
        <w:rPr>
          <w:color w:val="231F20"/>
          <w:spacing w:val="-3"/>
        </w:rPr>
        <w:t> </w:t>
      </w:r>
      <w:r>
        <w:rPr>
          <w:color w:val="231F20"/>
          <w:spacing w:val="-2"/>
        </w:rPr>
        <w:t>оформить </w:t>
      </w:r>
      <w:r>
        <w:rPr>
          <w:color w:val="231F20"/>
        </w:rPr>
        <w:t>фон, раскрасив его в разные цвета, а затем на отдельных листочках написать подба- дривающие</w:t>
      </w:r>
      <w:r>
        <w:rPr>
          <w:color w:val="231F20"/>
          <w:spacing w:val="-5"/>
        </w:rPr>
        <w:t> </w:t>
      </w:r>
      <w:r>
        <w:rPr>
          <w:color w:val="231F20"/>
        </w:rPr>
        <w:t>высказывания</w:t>
      </w:r>
      <w:r>
        <w:rPr>
          <w:color w:val="231F20"/>
          <w:spacing w:val="-5"/>
        </w:rPr>
        <w:t> </w:t>
      </w:r>
      <w:r>
        <w:rPr>
          <w:color w:val="231F20"/>
        </w:rPr>
        <w:t>и</w:t>
      </w:r>
      <w:r>
        <w:rPr>
          <w:color w:val="231F20"/>
          <w:spacing w:val="-5"/>
        </w:rPr>
        <w:t> </w:t>
      </w:r>
      <w:r>
        <w:rPr>
          <w:color w:val="231F20"/>
        </w:rPr>
        <w:t>приклеить</w:t>
      </w:r>
      <w:r>
        <w:rPr>
          <w:color w:val="231F20"/>
          <w:spacing w:val="-5"/>
        </w:rPr>
        <w:t> </w:t>
      </w:r>
      <w:r>
        <w:rPr>
          <w:color w:val="231F20"/>
        </w:rPr>
        <w:t>их</w:t>
      </w:r>
      <w:r>
        <w:rPr>
          <w:color w:val="231F20"/>
          <w:spacing w:val="-5"/>
        </w:rPr>
        <w:t> </w:t>
      </w:r>
      <w:r>
        <w:rPr>
          <w:color w:val="231F20"/>
        </w:rPr>
        <w:t>на</w:t>
      </w:r>
      <w:r>
        <w:rPr>
          <w:color w:val="231F20"/>
          <w:spacing w:val="-5"/>
        </w:rPr>
        <w:t> </w:t>
      </w:r>
      <w:r>
        <w:rPr>
          <w:color w:val="231F20"/>
        </w:rPr>
        <w:t>постер</w:t>
      </w:r>
      <w:r>
        <w:rPr>
          <w:color w:val="231F20"/>
          <w:spacing w:val="-5"/>
        </w:rPr>
        <w:t> </w:t>
      </w:r>
      <w:r>
        <w:rPr>
          <w:color w:val="231F20"/>
        </w:rPr>
        <w:t>(варианты:</w:t>
      </w:r>
      <w:r>
        <w:rPr>
          <w:color w:val="231F20"/>
          <w:spacing w:val="-5"/>
        </w:rPr>
        <w:t> </w:t>
      </w:r>
      <w:r>
        <w:rPr>
          <w:color w:val="231F20"/>
        </w:rPr>
        <w:t>«Я</w:t>
      </w:r>
      <w:r>
        <w:rPr>
          <w:color w:val="231F20"/>
          <w:spacing w:val="-5"/>
        </w:rPr>
        <w:t> </w:t>
      </w:r>
      <w:r>
        <w:rPr>
          <w:color w:val="231F20"/>
        </w:rPr>
        <w:t>справляюсь!»,</w:t>
      </w:r>
      <w:r>
        <w:rPr>
          <w:color w:val="231F20"/>
          <w:spacing w:val="-5"/>
        </w:rPr>
        <w:t> </w:t>
      </w:r>
      <w:r>
        <w:rPr>
          <w:color w:val="231F20"/>
        </w:rPr>
        <w:t>«Я все</w:t>
      </w:r>
      <w:r>
        <w:rPr>
          <w:color w:val="231F20"/>
          <w:spacing w:val="-6"/>
        </w:rPr>
        <w:t> </w:t>
      </w:r>
      <w:r>
        <w:rPr>
          <w:color w:val="231F20"/>
        </w:rPr>
        <w:t>лучше</w:t>
      </w:r>
      <w:r>
        <w:rPr>
          <w:color w:val="231F20"/>
          <w:spacing w:val="-6"/>
        </w:rPr>
        <w:t> </w:t>
      </w:r>
      <w:r>
        <w:rPr>
          <w:color w:val="231F20"/>
        </w:rPr>
        <w:t>говорю</w:t>
      </w:r>
      <w:r>
        <w:rPr>
          <w:color w:val="231F20"/>
          <w:spacing w:val="-6"/>
        </w:rPr>
        <w:t> </w:t>
      </w:r>
      <w:r>
        <w:rPr>
          <w:color w:val="231F20"/>
        </w:rPr>
        <w:t>по-русски»</w:t>
      </w:r>
      <w:r>
        <w:rPr>
          <w:color w:val="231F20"/>
          <w:spacing w:val="-6"/>
        </w:rPr>
        <w:t> </w:t>
      </w:r>
      <w:r>
        <w:rPr>
          <w:color w:val="231F20"/>
        </w:rPr>
        <w:t>и</w:t>
      </w:r>
      <w:r>
        <w:rPr>
          <w:color w:val="231F20"/>
          <w:spacing w:val="-6"/>
        </w:rPr>
        <w:t> </w:t>
      </w:r>
      <w:r>
        <w:rPr>
          <w:color w:val="231F20"/>
        </w:rPr>
        <w:t>др.).</w:t>
      </w:r>
      <w:r>
        <w:rPr>
          <w:color w:val="231F20"/>
          <w:spacing w:val="-6"/>
        </w:rPr>
        <w:t> </w:t>
      </w:r>
      <w:r>
        <w:rPr>
          <w:color w:val="231F20"/>
        </w:rPr>
        <w:t>Важно,</w:t>
      </w:r>
      <w:r>
        <w:rPr>
          <w:color w:val="231F20"/>
          <w:spacing w:val="-6"/>
        </w:rPr>
        <w:t> </w:t>
      </w:r>
      <w:r>
        <w:rPr>
          <w:color w:val="231F20"/>
        </w:rPr>
        <w:t>чтобы</w:t>
      </w:r>
      <w:r>
        <w:rPr>
          <w:color w:val="231F20"/>
          <w:spacing w:val="-6"/>
        </w:rPr>
        <w:t> </w:t>
      </w:r>
      <w:r>
        <w:rPr>
          <w:color w:val="231F20"/>
        </w:rPr>
        <w:t>эти</w:t>
      </w:r>
      <w:r>
        <w:rPr>
          <w:color w:val="231F20"/>
          <w:spacing w:val="-6"/>
        </w:rPr>
        <w:t> </w:t>
      </w:r>
      <w:r>
        <w:rPr>
          <w:color w:val="231F20"/>
        </w:rPr>
        <w:t>высказывания</w:t>
      </w:r>
      <w:r>
        <w:rPr>
          <w:color w:val="231F20"/>
          <w:spacing w:val="-6"/>
        </w:rPr>
        <w:t> </w:t>
      </w:r>
      <w:r>
        <w:rPr>
          <w:color w:val="231F20"/>
        </w:rPr>
        <w:t>психолог</w:t>
      </w:r>
      <w:r>
        <w:rPr>
          <w:color w:val="231F20"/>
          <w:spacing w:val="-6"/>
        </w:rPr>
        <w:t> </w:t>
      </w:r>
      <w:r>
        <w:rPr>
          <w:color w:val="231F20"/>
        </w:rPr>
        <w:t>обсу- дил</w:t>
      </w:r>
      <w:r>
        <w:rPr>
          <w:color w:val="231F20"/>
          <w:spacing w:val="-13"/>
        </w:rPr>
        <w:t> </w:t>
      </w:r>
      <w:r>
        <w:rPr>
          <w:color w:val="231F20"/>
        </w:rPr>
        <w:t>с</w:t>
      </w:r>
      <w:r>
        <w:rPr>
          <w:color w:val="231F20"/>
          <w:spacing w:val="-12"/>
        </w:rPr>
        <w:t> </w:t>
      </w:r>
      <w:r>
        <w:rPr>
          <w:color w:val="231F20"/>
        </w:rPr>
        <w:t>ребенком</w:t>
      </w:r>
      <w:r>
        <w:rPr>
          <w:color w:val="231F20"/>
          <w:spacing w:val="-13"/>
        </w:rPr>
        <w:t> </w:t>
      </w:r>
      <w:r>
        <w:rPr>
          <w:color w:val="231F20"/>
        </w:rPr>
        <w:t>и</w:t>
      </w:r>
      <w:r>
        <w:rPr>
          <w:color w:val="231F20"/>
          <w:spacing w:val="-12"/>
        </w:rPr>
        <w:t> </w:t>
      </w:r>
      <w:r>
        <w:rPr>
          <w:color w:val="231F20"/>
        </w:rPr>
        <w:t>на</w:t>
      </w:r>
      <w:r>
        <w:rPr>
          <w:color w:val="231F20"/>
          <w:spacing w:val="-13"/>
        </w:rPr>
        <w:t> </w:t>
      </w:r>
      <w:r>
        <w:rPr>
          <w:color w:val="231F20"/>
        </w:rPr>
        <w:t>постере</w:t>
      </w:r>
      <w:r>
        <w:rPr>
          <w:color w:val="231F20"/>
          <w:spacing w:val="-12"/>
        </w:rPr>
        <w:t> </w:t>
      </w:r>
      <w:r>
        <w:rPr>
          <w:color w:val="231F20"/>
        </w:rPr>
        <w:t>были</w:t>
      </w:r>
      <w:r>
        <w:rPr>
          <w:color w:val="231F20"/>
          <w:spacing w:val="-13"/>
        </w:rPr>
        <w:t> </w:t>
      </w:r>
      <w:r>
        <w:rPr>
          <w:color w:val="231F20"/>
        </w:rPr>
        <w:t>бы</w:t>
      </w:r>
      <w:r>
        <w:rPr>
          <w:color w:val="231F20"/>
          <w:spacing w:val="-12"/>
        </w:rPr>
        <w:t> </w:t>
      </w:r>
      <w:r>
        <w:rPr>
          <w:color w:val="231F20"/>
        </w:rPr>
        <w:t>приклеены</w:t>
      </w:r>
      <w:r>
        <w:rPr>
          <w:color w:val="231F20"/>
          <w:spacing w:val="-13"/>
        </w:rPr>
        <w:t> </w:t>
      </w:r>
      <w:r>
        <w:rPr>
          <w:color w:val="231F20"/>
        </w:rPr>
        <w:t>только</w:t>
      </w:r>
      <w:r>
        <w:rPr>
          <w:color w:val="231F20"/>
          <w:spacing w:val="-12"/>
        </w:rPr>
        <w:t> </w:t>
      </w:r>
      <w:r>
        <w:rPr>
          <w:color w:val="231F20"/>
        </w:rPr>
        <w:t>такие</w:t>
      </w:r>
      <w:r>
        <w:rPr>
          <w:color w:val="231F20"/>
          <w:spacing w:val="-13"/>
        </w:rPr>
        <w:t> </w:t>
      </w:r>
      <w:r>
        <w:rPr>
          <w:color w:val="231F20"/>
        </w:rPr>
        <w:t>высказывания,</w:t>
      </w:r>
      <w:r>
        <w:rPr>
          <w:color w:val="231F20"/>
          <w:spacing w:val="-12"/>
        </w:rPr>
        <w:t> </w:t>
      </w:r>
      <w:r>
        <w:rPr>
          <w:color w:val="231F20"/>
        </w:rPr>
        <w:t>которые находят отклик у самого ребенка.</w:t>
      </w:r>
    </w:p>
    <w:p>
      <w:pPr>
        <w:pStyle w:val="BodyText"/>
        <w:spacing w:after="0" w:line="235" w:lineRule="auto"/>
        <w:sectPr>
          <w:pgSz w:w="8400" w:h="11910"/>
          <w:pgMar w:header="0" w:footer="529" w:top="400" w:bottom="740" w:left="425" w:right="425"/>
        </w:sectPr>
      </w:pPr>
    </w:p>
    <w:p>
      <w:pPr>
        <w:pStyle w:val="ListParagraph"/>
        <w:numPr>
          <w:ilvl w:val="1"/>
          <w:numId w:val="47"/>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Арт-терапевтические</w:t>
      </w:r>
      <w:r>
        <w:rPr>
          <w:rFonts w:ascii="Georgia" w:hAnsi="Georgia"/>
          <w:color w:val="231F20"/>
          <w:spacing w:val="4"/>
          <w:sz w:val="18"/>
        </w:rPr>
        <w:t> </w:t>
      </w:r>
      <w:r>
        <w:rPr>
          <w:rFonts w:ascii="Georgia" w:hAnsi="Georgia"/>
          <w:color w:val="231F20"/>
          <w:sz w:val="18"/>
        </w:rPr>
        <w:t>приемы</w:t>
      </w:r>
      <w:r>
        <w:rPr>
          <w:rFonts w:ascii="Georgia" w:hAnsi="Georgia"/>
          <w:color w:val="231F20"/>
          <w:spacing w:val="5"/>
          <w:sz w:val="18"/>
        </w:rPr>
        <w:t> </w:t>
      </w:r>
      <w:r>
        <w:rPr>
          <w:rFonts w:ascii="Georgia" w:hAnsi="Georgia"/>
          <w:color w:val="231F20"/>
          <w:sz w:val="18"/>
        </w:rPr>
        <w:t>поддержки</w:t>
      </w:r>
      <w:r>
        <w:rPr>
          <w:rFonts w:ascii="Georgia" w:hAnsi="Georgia"/>
          <w:color w:val="231F20"/>
          <w:spacing w:val="5"/>
          <w:sz w:val="18"/>
        </w:rPr>
        <w:t> </w:t>
      </w:r>
      <w:r>
        <w:rPr>
          <w:rFonts w:ascii="Georgia" w:hAnsi="Georgia"/>
          <w:color w:val="231F20"/>
          <w:sz w:val="18"/>
        </w:rPr>
        <w:t>адаптации</w:t>
      </w:r>
      <w:r>
        <w:rPr>
          <w:rFonts w:ascii="Georgia" w:hAnsi="Georgia"/>
          <w:color w:val="231F20"/>
          <w:spacing w:val="5"/>
          <w:sz w:val="18"/>
        </w:rPr>
        <w:t> </w:t>
      </w:r>
      <w:r>
        <w:rPr>
          <w:rFonts w:ascii="Georgia" w:hAnsi="Georgia"/>
          <w:color w:val="231F20"/>
          <w:sz w:val="18"/>
        </w:rPr>
        <w:t>на</w:t>
      </w:r>
      <w:r>
        <w:rPr>
          <w:rFonts w:ascii="Georgia" w:hAnsi="Georgia"/>
          <w:color w:val="231F20"/>
          <w:spacing w:val="5"/>
          <w:sz w:val="18"/>
        </w:rPr>
        <w:t> </w:t>
      </w:r>
      <w:r>
        <w:rPr>
          <w:rFonts w:ascii="Georgia" w:hAnsi="Georgia"/>
          <w:color w:val="231F20"/>
          <w:sz w:val="18"/>
        </w:rPr>
        <w:t>новом</w:t>
      </w:r>
      <w:r>
        <w:rPr>
          <w:rFonts w:ascii="Georgia" w:hAnsi="Georgia"/>
          <w:color w:val="231F20"/>
          <w:spacing w:val="5"/>
          <w:sz w:val="18"/>
        </w:rPr>
        <w:t> </w:t>
      </w:r>
      <w:r>
        <w:rPr>
          <w:rFonts w:ascii="Georgia" w:hAnsi="Georgia"/>
          <w:color w:val="231F20"/>
          <w:spacing w:val="-2"/>
          <w:sz w:val="18"/>
        </w:rPr>
        <w:t>месте...</w:t>
      </w:r>
    </w:p>
    <w:p>
      <w:pPr>
        <w:pStyle w:val="BodyText"/>
        <w:ind w:left="0" w:right="0" w:firstLine="0"/>
        <w:jc w:val="left"/>
        <w:rPr>
          <w:rFonts w:ascii="Georgia"/>
          <w:sz w:val="18"/>
        </w:rPr>
      </w:pPr>
    </w:p>
    <w:p>
      <w:pPr>
        <w:pStyle w:val="BodyText"/>
        <w:spacing w:before="41"/>
        <w:ind w:left="0" w:right="0" w:firstLine="0"/>
        <w:jc w:val="left"/>
        <w:rPr>
          <w:rFonts w:ascii="Georgia"/>
          <w:sz w:val="18"/>
        </w:rPr>
      </w:pPr>
    </w:p>
    <w:p>
      <w:pPr>
        <w:spacing w:line="206" w:lineRule="exact" w:before="0"/>
        <w:ind w:left="425" w:right="0" w:firstLine="0"/>
        <w:jc w:val="left"/>
        <w:rPr>
          <w:b/>
          <w:sz w:val="18"/>
        </w:rPr>
      </w:pPr>
      <w:r>
        <w:rPr>
          <w:b/>
          <w:color w:val="231F20"/>
          <w:spacing w:val="-2"/>
          <w:sz w:val="18"/>
        </w:rPr>
        <w:t>Литература</w:t>
      </w:r>
    </w:p>
    <w:p>
      <w:pPr>
        <w:pStyle w:val="ListParagraph"/>
        <w:numPr>
          <w:ilvl w:val="2"/>
          <w:numId w:val="47"/>
        </w:numPr>
        <w:tabs>
          <w:tab w:pos="708" w:val="left" w:leader="none"/>
        </w:tabs>
        <w:spacing w:line="240" w:lineRule="auto" w:before="0" w:after="0"/>
        <w:ind w:left="708" w:right="423" w:hanging="284"/>
        <w:jc w:val="both"/>
        <w:rPr>
          <w:sz w:val="18"/>
        </w:rPr>
      </w:pPr>
      <w:r>
        <w:rPr>
          <w:color w:val="231F20"/>
          <w:sz w:val="18"/>
        </w:rPr>
        <w:t>Духновский</w:t>
      </w:r>
      <w:r>
        <w:rPr>
          <w:color w:val="231F20"/>
          <w:spacing w:val="-12"/>
          <w:sz w:val="18"/>
        </w:rPr>
        <w:t> </w:t>
      </w:r>
      <w:r>
        <w:rPr>
          <w:color w:val="231F20"/>
          <w:sz w:val="18"/>
        </w:rPr>
        <w:t>С.В.</w:t>
      </w:r>
      <w:r>
        <w:rPr>
          <w:color w:val="231F20"/>
          <w:spacing w:val="-11"/>
          <w:sz w:val="18"/>
        </w:rPr>
        <w:t> </w:t>
      </w:r>
      <w:r>
        <w:rPr>
          <w:color w:val="231F20"/>
          <w:sz w:val="18"/>
        </w:rPr>
        <w:t>Диагностика</w:t>
      </w:r>
      <w:r>
        <w:rPr>
          <w:color w:val="231F20"/>
          <w:spacing w:val="-11"/>
          <w:sz w:val="18"/>
        </w:rPr>
        <w:t> </w:t>
      </w:r>
      <w:r>
        <w:rPr>
          <w:color w:val="231F20"/>
          <w:sz w:val="18"/>
        </w:rPr>
        <w:t>межличностных</w:t>
      </w:r>
      <w:r>
        <w:rPr>
          <w:color w:val="231F20"/>
          <w:spacing w:val="-11"/>
          <w:sz w:val="18"/>
        </w:rPr>
        <w:t> </w:t>
      </w:r>
      <w:r>
        <w:rPr>
          <w:color w:val="231F20"/>
          <w:sz w:val="18"/>
        </w:rPr>
        <w:t>отношений.</w:t>
      </w:r>
      <w:r>
        <w:rPr>
          <w:color w:val="231F20"/>
          <w:spacing w:val="-12"/>
          <w:sz w:val="18"/>
        </w:rPr>
        <w:t> </w:t>
      </w:r>
      <w:r>
        <w:rPr>
          <w:color w:val="231F20"/>
          <w:sz w:val="18"/>
        </w:rPr>
        <w:t>Психологический</w:t>
      </w:r>
      <w:r>
        <w:rPr>
          <w:color w:val="231F20"/>
          <w:spacing w:val="-11"/>
          <w:sz w:val="18"/>
        </w:rPr>
        <w:t> </w:t>
      </w:r>
      <w:r>
        <w:rPr>
          <w:color w:val="231F20"/>
          <w:sz w:val="18"/>
        </w:rPr>
        <w:t>прак- тикум. – СПб.: Речь, 2009. – 141 с.</w:t>
      </w:r>
    </w:p>
    <w:p>
      <w:pPr>
        <w:pStyle w:val="ListParagraph"/>
        <w:numPr>
          <w:ilvl w:val="2"/>
          <w:numId w:val="47"/>
        </w:numPr>
        <w:tabs>
          <w:tab w:pos="708" w:val="left" w:leader="none"/>
        </w:tabs>
        <w:spacing w:line="240" w:lineRule="auto" w:before="0" w:after="0"/>
        <w:ind w:left="708" w:right="423" w:hanging="284"/>
        <w:jc w:val="both"/>
        <w:rPr>
          <w:sz w:val="18"/>
        </w:rPr>
      </w:pPr>
      <w:r>
        <w:rPr>
          <w:color w:val="231F20"/>
          <w:sz w:val="18"/>
        </w:rPr>
        <w:t>Методические рекомендации для программ обучения специалистов по психоло-</w:t>
      </w:r>
      <w:r>
        <w:rPr>
          <w:color w:val="231F20"/>
          <w:spacing w:val="40"/>
          <w:sz w:val="18"/>
        </w:rPr>
        <w:t> </w:t>
      </w:r>
      <w:r>
        <w:rPr>
          <w:color w:val="231F20"/>
          <w:sz w:val="18"/>
        </w:rPr>
        <w:t>го-педагогическому</w:t>
      </w:r>
      <w:r>
        <w:rPr>
          <w:color w:val="231F20"/>
          <w:spacing w:val="-10"/>
          <w:sz w:val="18"/>
        </w:rPr>
        <w:t> </w:t>
      </w:r>
      <w:r>
        <w:rPr>
          <w:color w:val="231F20"/>
          <w:sz w:val="18"/>
        </w:rPr>
        <w:t>сопровождению</w:t>
      </w:r>
      <w:r>
        <w:rPr>
          <w:color w:val="231F20"/>
          <w:spacing w:val="-10"/>
          <w:sz w:val="18"/>
        </w:rPr>
        <w:t> </w:t>
      </w:r>
      <w:r>
        <w:rPr>
          <w:color w:val="231F20"/>
          <w:sz w:val="18"/>
        </w:rPr>
        <w:t>и</w:t>
      </w:r>
      <w:r>
        <w:rPr>
          <w:color w:val="231F20"/>
          <w:spacing w:val="-10"/>
          <w:sz w:val="18"/>
        </w:rPr>
        <w:t> </w:t>
      </w:r>
      <w:r>
        <w:rPr>
          <w:color w:val="231F20"/>
          <w:sz w:val="18"/>
        </w:rPr>
        <w:t>социальной</w:t>
      </w:r>
      <w:r>
        <w:rPr>
          <w:color w:val="231F20"/>
          <w:spacing w:val="-10"/>
          <w:sz w:val="18"/>
        </w:rPr>
        <w:t> </w:t>
      </w:r>
      <w:r>
        <w:rPr>
          <w:color w:val="231F20"/>
          <w:sz w:val="18"/>
        </w:rPr>
        <w:t>адаптации</w:t>
      </w:r>
      <w:r>
        <w:rPr>
          <w:color w:val="231F20"/>
          <w:spacing w:val="-10"/>
          <w:sz w:val="18"/>
        </w:rPr>
        <w:t> </w:t>
      </w:r>
      <w:r>
        <w:rPr>
          <w:color w:val="231F20"/>
          <w:sz w:val="18"/>
        </w:rPr>
        <w:t>детей,</w:t>
      </w:r>
      <w:r>
        <w:rPr>
          <w:color w:val="231F20"/>
          <w:spacing w:val="-10"/>
          <w:sz w:val="18"/>
        </w:rPr>
        <w:t> </w:t>
      </w:r>
      <w:r>
        <w:rPr>
          <w:color w:val="231F20"/>
          <w:sz w:val="18"/>
        </w:rPr>
        <w:t>возвращенных из зон боевых действий / Под ред. О.Е.</w:t>
      </w:r>
      <w:r>
        <w:rPr>
          <w:color w:val="231F20"/>
          <w:spacing w:val="-4"/>
          <w:sz w:val="18"/>
        </w:rPr>
        <w:t> </w:t>
      </w:r>
      <w:r>
        <w:rPr>
          <w:color w:val="231F20"/>
          <w:sz w:val="18"/>
        </w:rPr>
        <w:t>Хухлаева, О.С.</w:t>
      </w:r>
      <w:r>
        <w:rPr>
          <w:color w:val="231F20"/>
          <w:spacing w:val="-4"/>
          <w:sz w:val="18"/>
        </w:rPr>
        <w:t> </w:t>
      </w:r>
      <w:r>
        <w:rPr>
          <w:color w:val="231F20"/>
          <w:sz w:val="18"/>
        </w:rPr>
        <w:t>Павловой, Н.В.</w:t>
      </w:r>
      <w:r>
        <w:rPr>
          <w:color w:val="231F20"/>
          <w:spacing w:val="-4"/>
          <w:sz w:val="18"/>
        </w:rPr>
        <w:t> </w:t>
      </w:r>
      <w:r>
        <w:rPr>
          <w:color w:val="231F20"/>
          <w:sz w:val="18"/>
        </w:rPr>
        <w:t>Тарули-</w:t>
      </w:r>
      <w:r>
        <w:rPr>
          <w:color w:val="231F20"/>
          <w:spacing w:val="40"/>
          <w:sz w:val="18"/>
        </w:rPr>
        <w:t> </w:t>
      </w:r>
      <w:r>
        <w:rPr>
          <w:color w:val="231F20"/>
          <w:sz w:val="18"/>
        </w:rPr>
        <w:t>ной. – М.: ФГБОУ ВО МГППУ, 2022. – 532 с.</w:t>
      </w:r>
    </w:p>
    <w:p>
      <w:pPr>
        <w:pStyle w:val="ListParagraph"/>
        <w:numPr>
          <w:ilvl w:val="2"/>
          <w:numId w:val="47"/>
        </w:numPr>
        <w:tabs>
          <w:tab w:pos="708" w:val="left" w:leader="none"/>
        </w:tabs>
        <w:spacing w:line="240" w:lineRule="auto" w:before="0" w:after="0"/>
        <w:ind w:left="708" w:right="423" w:hanging="284"/>
        <w:jc w:val="both"/>
        <w:rPr>
          <w:sz w:val="18"/>
        </w:rPr>
      </w:pPr>
      <w:r>
        <w:rPr>
          <w:color w:val="231F20"/>
          <w:sz w:val="18"/>
        </w:rPr>
        <w:t>Практика работы с семьями, имеющими в своем составе иностранных граждан: опыт учреждений социального обслуживания населения Санкт-Петербурга [Соци- альное обслужива ние семей и детей: научно-методический сборник]. // под ред. Ю.Ю.</w:t>
      </w:r>
      <w:r>
        <w:rPr>
          <w:color w:val="231F20"/>
          <w:spacing w:val="-6"/>
          <w:sz w:val="18"/>
        </w:rPr>
        <w:t> </w:t>
      </w:r>
      <w:r>
        <w:rPr>
          <w:color w:val="231F20"/>
          <w:sz w:val="18"/>
        </w:rPr>
        <w:t>Ивашкиной, О.В.</w:t>
      </w:r>
      <w:r>
        <w:rPr>
          <w:color w:val="231F20"/>
          <w:spacing w:val="-6"/>
          <w:sz w:val="18"/>
        </w:rPr>
        <w:t> </w:t>
      </w:r>
      <w:r>
        <w:rPr>
          <w:color w:val="231F20"/>
          <w:sz w:val="18"/>
        </w:rPr>
        <w:t>Костейчука, С.П.</w:t>
      </w:r>
      <w:r>
        <w:rPr>
          <w:color w:val="231F20"/>
          <w:spacing w:val="-6"/>
          <w:sz w:val="18"/>
        </w:rPr>
        <w:t> </w:t>
      </w:r>
      <w:r>
        <w:rPr>
          <w:color w:val="231F20"/>
          <w:sz w:val="18"/>
        </w:rPr>
        <w:t>Павлова. – СПб.: СПб ГБУ «Городской информационно-методический центр «Семья», 2014. – вып. 3 – 198 с.</w:t>
      </w:r>
    </w:p>
    <w:p>
      <w:pPr>
        <w:pStyle w:val="ListParagraph"/>
        <w:numPr>
          <w:ilvl w:val="2"/>
          <w:numId w:val="47"/>
        </w:numPr>
        <w:tabs>
          <w:tab w:pos="708" w:val="left" w:leader="none"/>
        </w:tabs>
        <w:spacing w:line="240" w:lineRule="auto" w:before="0" w:after="0"/>
        <w:ind w:left="708" w:right="423" w:hanging="284"/>
        <w:jc w:val="both"/>
        <w:rPr>
          <w:sz w:val="18"/>
        </w:rPr>
      </w:pPr>
      <w:r>
        <w:rPr>
          <w:color w:val="231F20"/>
          <w:sz w:val="18"/>
        </w:rPr>
        <w:t>Стефаненко</w:t>
      </w:r>
      <w:r>
        <w:rPr>
          <w:color w:val="231F20"/>
          <w:spacing w:val="-6"/>
          <w:sz w:val="18"/>
        </w:rPr>
        <w:t> </w:t>
      </w:r>
      <w:r>
        <w:rPr>
          <w:color w:val="231F20"/>
          <w:sz w:val="18"/>
        </w:rPr>
        <w:t>Т.Г. Этнопсихология : Практикум : учебное пособие для студентов вузов / Т.Г. Стефаненко. – 2-е изд. , перераб. и доп. – М.: Аспект Пресс, 2013. –</w:t>
      </w:r>
      <w:r>
        <w:rPr>
          <w:color w:val="231F20"/>
          <w:spacing w:val="80"/>
          <w:sz w:val="18"/>
        </w:rPr>
        <w:t> </w:t>
      </w:r>
      <w:r>
        <w:rPr>
          <w:color w:val="231F20"/>
          <w:sz w:val="18"/>
        </w:rPr>
        <w:t>224 с. – ISBN 978-5-7567-0676-5.</w:t>
      </w:r>
    </w:p>
    <w:p>
      <w:pPr>
        <w:pStyle w:val="ListParagraph"/>
        <w:numPr>
          <w:ilvl w:val="2"/>
          <w:numId w:val="47"/>
        </w:numPr>
        <w:tabs>
          <w:tab w:pos="708" w:val="left" w:leader="none"/>
        </w:tabs>
        <w:spacing w:line="240" w:lineRule="auto" w:before="0" w:after="0"/>
        <w:ind w:left="708" w:right="423" w:hanging="284"/>
        <w:jc w:val="both"/>
        <w:rPr>
          <w:sz w:val="18"/>
        </w:rPr>
      </w:pPr>
      <w:r>
        <w:rPr>
          <w:color w:val="231F20"/>
          <w:sz w:val="18"/>
        </w:rPr>
        <w:t>Эффективная терапия посттравматического стрессового расстройства / Под ред. Фоа Е., Кина Т., Фридмана М. – М.: «Когито Центр», 2005. – 467 с.</w:t>
      </w:r>
    </w:p>
    <w:p>
      <w:pPr>
        <w:pStyle w:val="ListParagraph"/>
        <w:numPr>
          <w:ilvl w:val="2"/>
          <w:numId w:val="47"/>
        </w:numPr>
        <w:tabs>
          <w:tab w:pos="708" w:val="left" w:leader="none"/>
        </w:tabs>
        <w:spacing w:line="240" w:lineRule="auto" w:before="0" w:after="0"/>
        <w:ind w:left="708" w:right="423" w:hanging="284"/>
        <w:jc w:val="both"/>
        <w:rPr>
          <w:sz w:val="18"/>
        </w:rPr>
      </w:pPr>
      <w:r>
        <w:rPr>
          <w:color w:val="231F20"/>
          <w:sz w:val="18"/>
        </w:rPr>
        <w:t>Balidemaj</w:t>
      </w:r>
      <w:r>
        <w:rPr>
          <w:color w:val="231F20"/>
          <w:spacing w:val="-2"/>
          <w:sz w:val="18"/>
        </w:rPr>
        <w:t> </w:t>
      </w:r>
      <w:r>
        <w:rPr>
          <w:color w:val="231F20"/>
          <w:sz w:val="18"/>
        </w:rPr>
        <w:t>A, Small M. The effects of ethnic identity and acculturation in mental health of immigrants: A literature review. Int J Soc Psychiatry. 2019 Nov;65(7-8):643-655. DOI: 10.1177/0020764019867994. PMID: 31478453.</w:t>
      </w:r>
    </w:p>
    <w:p>
      <w:pPr>
        <w:pStyle w:val="ListParagraph"/>
        <w:numPr>
          <w:ilvl w:val="2"/>
          <w:numId w:val="47"/>
        </w:numPr>
        <w:tabs>
          <w:tab w:pos="708" w:val="left" w:leader="none"/>
        </w:tabs>
        <w:spacing w:line="240" w:lineRule="auto" w:before="0" w:after="0"/>
        <w:ind w:left="708" w:right="423" w:hanging="284"/>
        <w:jc w:val="both"/>
        <w:rPr>
          <w:sz w:val="18"/>
        </w:rPr>
      </w:pPr>
      <w:r>
        <w:rPr>
          <w:color w:val="231F20"/>
          <w:sz w:val="18"/>
        </w:rPr>
        <w:t>Cohen J.A., Mannarino A.P. &amp; Deblinger E. Treating trauma and traumatic grief in children and adolescents. NY: Guilford, 2006.</w:t>
      </w:r>
    </w:p>
    <w:p>
      <w:pPr>
        <w:pStyle w:val="ListParagraph"/>
        <w:numPr>
          <w:ilvl w:val="2"/>
          <w:numId w:val="47"/>
        </w:numPr>
        <w:tabs>
          <w:tab w:pos="708" w:val="left" w:leader="none"/>
        </w:tabs>
        <w:spacing w:line="240" w:lineRule="auto" w:before="0" w:after="0"/>
        <w:ind w:left="708" w:right="423" w:hanging="284"/>
        <w:jc w:val="both"/>
        <w:rPr>
          <w:sz w:val="18"/>
        </w:rPr>
      </w:pPr>
      <w:r>
        <w:rPr>
          <w:color w:val="231F20"/>
          <w:sz w:val="18"/>
        </w:rPr>
        <w:t>Collin-Vezina</w:t>
      </w:r>
      <w:r>
        <w:rPr>
          <w:color w:val="231F20"/>
          <w:spacing w:val="-3"/>
          <w:sz w:val="18"/>
        </w:rPr>
        <w:t> </w:t>
      </w:r>
      <w:r>
        <w:rPr>
          <w:color w:val="231F20"/>
          <w:sz w:val="18"/>
        </w:rPr>
        <w:t>D.,</w:t>
      </w:r>
      <w:r>
        <w:rPr>
          <w:color w:val="231F20"/>
          <w:spacing w:val="40"/>
          <w:sz w:val="18"/>
        </w:rPr>
        <w:t> </w:t>
      </w:r>
      <w:r>
        <w:rPr>
          <w:color w:val="231F20"/>
          <w:sz w:val="18"/>
        </w:rPr>
        <w:t>Coleman</w:t>
      </w:r>
      <w:r>
        <w:rPr>
          <w:color w:val="231F20"/>
          <w:spacing w:val="-3"/>
          <w:sz w:val="18"/>
        </w:rPr>
        <w:t> </w:t>
      </w:r>
      <w:r>
        <w:rPr>
          <w:color w:val="231F20"/>
          <w:sz w:val="18"/>
        </w:rPr>
        <w:t>K.,</w:t>
      </w:r>
      <w:r>
        <w:rPr>
          <w:color w:val="231F20"/>
          <w:spacing w:val="40"/>
          <w:sz w:val="18"/>
        </w:rPr>
        <w:t> </w:t>
      </w:r>
      <w:r>
        <w:rPr>
          <w:color w:val="231F20"/>
          <w:sz w:val="18"/>
        </w:rPr>
        <w:t>Milne</w:t>
      </w:r>
      <w:r>
        <w:rPr>
          <w:color w:val="231F20"/>
          <w:spacing w:val="-3"/>
          <w:sz w:val="18"/>
        </w:rPr>
        <w:t> </w:t>
      </w:r>
      <w:r>
        <w:rPr>
          <w:color w:val="231F20"/>
          <w:sz w:val="18"/>
        </w:rPr>
        <w:t>L.,</w:t>
      </w:r>
      <w:r>
        <w:rPr>
          <w:color w:val="231F20"/>
          <w:spacing w:val="40"/>
          <w:sz w:val="18"/>
        </w:rPr>
        <w:t> </w:t>
      </w:r>
      <w:r>
        <w:rPr>
          <w:color w:val="231F20"/>
          <w:sz w:val="18"/>
        </w:rPr>
        <w:t>Sell</w:t>
      </w:r>
      <w:r>
        <w:rPr>
          <w:color w:val="231F20"/>
          <w:spacing w:val="-3"/>
          <w:sz w:val="18"/>
        </w:rPr>
        <w:t> </w:t>
      </w:r>
      <w:r>
        <w:rPr>
          <w:color w:val="231F20"/>
          <w:sz w:val="18"/>
        </w:rPr>
        <w:t>J.,</w:t>
      </w:r>
      <w:r>
        <w:rPr>
          <w:color w:val="231F20"/>
          <w:spacing w:val="40"/>
          <w:sz w:val="18"/>
        </w:rPr>
        <w:t> </w:t>
      </w:r>
      <w:r>
        <w:rPr>
          <w:color w:val="231F20"/>
          <w:sz w:val="18"/>
        </w:rPr>
        <w:t>Daigneault</w:t>
      </w:r>
      <w:r>
        <w:rPr>
          <w:color w:val="231F20"/>
          <w:spacing w:val="-3"/>
          <w:sz w:val="18"/>
        </w:rPr>
        <w:t> </w:t>
      </w:r>
      <w:r>
        <w:rPr>
          <w:color w:val="231F20"/>
          <w:sz w:val="18"/>
        </w:rPr>
        <w:t>I.</w:t>
      </w:r>
      <w:r>
        <w:rPr>
          <w:color w:val="231F20"/>
          <w:spacing w:val="40"/>
          <w:sz w:val="18"/>
        </w:rPr>
        <w:t> </w:t>
      </w:r>
      <w:r>
        <w:rPr>
          <w:color w:val="231F20"/>
          <w:sz w:val="18"/>
        </w:rPr>
        <w:t>Trauma</w:t>
      </w:r>
      <w:r>
        <w:rPr>
          <w:color w:val="231F20"/>
          <w:spacing w:val="40"/>
          <w:sz w:val="18"/>
        </w:rPr>
        <w:t> </w:t>
      </w:r>
      <w:r>
        <w:rPr>
          <w:color w:val="231F20"/>
          <w:sz w:val="18"/>
        </w:rPr>
        <w:t>experiences, maltreatment-related</w:t>
      </w:r>
      <w:r>
        <w:rPr>
          <w:color w:val="231F20"/>
          <w:spacing w:val="-12"/>
          <w:sz w:val="18"/>
        </w:rPr>
        <w:t> </w:t>
      </w:r>
      <w:r>
        <w:rPr>
          <w:color w:val="231F20"/>
          <w:sz w:val="18"/>
        </w:rPr>
        <w:t>impairments,</w:t>
      </w:r>
      <w:r>
        <w:rPr>
          <w:color w:val="231F20"/>
          <w:spacing w:val="-11"/>
          <w:sz w:val="18"/>
        </w:rPr>
        <w:t> </w:t>
      </w:r>
      <w:r>
        <w:rPr>
          <w:color w:val="231F20"/>
          <w:sz w:val="18"/>
        </w:rPr>
        <w:t>and</w:t>
      </w:r>
      <w:r>
        <w:rPr>
          <w:color w:val="231F20"/>
          <w:spacing w:val="-11"/>
          <w:sz w:val="18"/>
        </w:rPr>
        <w:t> </w:t>
      </w:r>
      <w:r>
        <w:rPr>
          <w:color w:val="231F20"/>
          <w:sz w:val="18"/>
        </w:rPr>
        <w:t>resilience</w:t>
      </w:r>
      <w:r>
        <w:rPr>
          <w:color w:val="231F20"/>
          <w:spacing w:val="-11"/>
          <w:sz w:val="18"/>
        </w:rPr>
        <w:t> </w:t>
      </w:r>
      <w:r>
        <w:rPr>
          <w:color w:val="231F20"/>
          <w:sz w:val="18"/>
        </w:rPr>
        <w:t>among</w:t>
      </w:r>
      <w:r>
        <w:rPr>
          <w:color w:val="231F20"/>
          <w:spacing w:val="-12"/>
          <w:sz w:val="18"/>
        </w:rPr>
        <w:t> </w:t>
      </w:r>
      <w:r>
        <w:rPr>
          <w:color w:val="231F20"/>
          <w:sz w:val="18"/>
        </w:rPr>
        <w:t>child</w:t>
      </w:r>
      <w:r>
        <w:rPr>
          <w:color w:val="231F20"/>
          <w:spacing w:val="-11"/>
          <w:sz w:val="18"/>
        </w:rPr>
        <w:t> </w:t>
      </w:r>
      <w:r>
        <w:rPr>
          <w:color w:val="231F20"/>
          <w:sz w:val="18"/>
        </w:rPr>
        <w:t>welfare</w:t>
      </w:r>
      <w:r>
        <w:rPr>
          <w:color w:val="231F20"/>
          <w:spacing w:val="-11"/>
          <w:sz w:val="18"/>
        </w:rPr>
        <w:t> </w:t>
      </w:r>
      <w:r>
        <w:rPr>
          <w:color w:val="231F20"/>
          <w:sz w:val="18"/>
        </w:rPr>
        <w:t>youth</w:t>
      </w:r>
      <w:r>
        <w:rPr>
          <w:color w:val="231F20"/>
          <w:spacing w:val="-11"/>
          <w:sz w:val="18"/>
        </w:rPr>
        <w:t> </w:t>
      </w:r>
      <w:r>
        <w:rPr>
          <w:color w:val="231F20"/>
          <w:sz w:val="18"/>
        </w:rPr>
        <w:t>in</w:t>
      </w:r>
      <w:r>
        <w:rPr>
          <w:color w:val="231F20"/>
          <w:spacing w:val="-12"/>
          <w:sz w:val="18"/>
        </w:rPr>
        <w:t> </w:t>
      </w:r>
      <w:r>
        <w:rPr>
          <w:color w:val="231F20"/>
          <w:sz w:val="18"/>
        </w:rPr>
        <w:t>residential care.</w:t>
      </w:r>
      <w:r>
        <w:rPr>
          <w:color w:val="231F20"/>
          <w:spacing w:val="-3"/>
          <w:sz w:val="18"/>
        </w:rPr>
        <w:t> </w:t>
      </w:r>
      <w:r>
        <w:rPr>
          <w:color w:val="231F20"/>
          <w:sz w:val="18"/>
        </w:rPr>
        <w:t>International</w:t>
      </w:r>
      <w:r>
        <w:rPr>
          <w:color w:val="231F20"/>
          <w:spacing w:val="-3"/>
          <w:sz w:val="18"/>
        </w:rPr>
        <w:t> </w:t>
      </w:r>
      <w:r>
        <w:rPr>
          <w:color w:val="231F20"/>
          <w:sz w:val="18"/>
        </w:rPr>
        <w:t>Journal</w:t>
      </w:r>
      <w:r>
        <w:rPr>
          <w:color w:val="231F20"/>
          <w:spacing w:val="-3"/>
          <w:sz w:val="18"/>
        </w:rPr>
        <w:t> </w:t>
      </w:r>
      <w:r>
        <w:rPr>
          <w:color w:val="231F20"/>
          <w:sz w:val="18"/>
        </w:rPr>
        <w:t>of</w:t>
      </w:r>
      <w:r>
        <w:rPr>
          <w:color w:val="231F20"/>
          <w:spacing w:val="-3"/>
          <w:sz w:val="18"/>
        </w:rPr>
        <w:t> </w:t>
      </w:r>
      <w:r>
        <w:rPr>
          <w:color w:val="231F20"/>
          <w:sz w:val="18"/>
        </w:rPr>
        <w:t>Mental</w:t>
      </w:r>
      <w:r>
        <w:rPr>
          <w:color w:val="231F20"/>
          <w:spacing w:val="-3"/>
          <w:sz w:val="18"/>
        </w:rPr>
        <w:t> </w:t>
      </w:r>
      <w:r>
        <w:rPr>
          <w:color w:val="231F20"/>
          <w:sz w:val="18"/>
        </w:rPr>
        <w:t>Health</w:t>
      </w:r>
      <w:r>
        <w:rPr>
          <w:color w:val="231F20"/>
          <w:spacing w:val="-3"/>
          <w:sz w:val="18"/>
        </w:rPr>
        <w:t> </w:t>
      </w:r>
      <w:r>
        <w:rPr>
          <w:color w:val="231F20"/>
          <w:sz w:val="18"/>
        </w:rPr>
        <w:t>and</w:t>
      </w:r>
      <w:r>
        <w:rPr>
          <w:color w:val="231F20"/>
          <w:spacing w:val="-12"/>
          <w:sz w:val="18"/>
        </w:rPr>
        <w:t> </w:t>
      </w:r>
      <w:r>
        <w:rPr>
          <w:color w:val="231F20"/>
          <w:sz w:val="18"/>
        </w:rPr>
        <w:t>Addiction.</w:t>
      </w:r>
      <w:r>
        <w:rPr>
          <w:color w:val="231F20"/>
          <w:spacing w:val="-2"/>
          <w:sz w:val="18"/>
        </w:rPr>
        <w:t> </w:t>
      </w:r>
      <w:r>
        <w:rPr>
          <w:color w:val="231F20"/>
          <w:sz w:val="18"/>
        </w:rPr>
        <w:t>–</w:t>
      </w:r>
      <w:r>
        <w:rPr>
          <w:color w:val="231F20"/>
          <w:spacing w:val="-3"/>
          <w:sz w:val="18"/>
        </w:rPr>
        <w:t> </w:t>
      </w:r>
      <w:r>
        <w:rPr>
          <w:color w:val="231F20"/>
          <w:sz w:val="18"/>
        </w:rPr>
        <w:t>2011.</w:t>
      </w:r>
      <w:r>
        <w:rPr>
          <w:color w:val="231F20"/>
          <w:spacing w:val="-3"/>
          <w:sz w:val="18"/>
        </w:rPr>
        <w:t> </w:t>
      </w:r>
      <w:r>
        <w:rPr>
          <w:color w:val="231F20"/>
          <w:sz w:val="18"/>
        </w:rPr>
        <w:t>–</w:t>
      </w:r>
      <w:r>
        <w:rPr>
          <w:color w:val="231F20"/>
          <w:spacing w:val="-3"/>
          <w:sz w:val="18"/>
        </w:rPr>
        <w:t> </w:t>
      </w:r>
      <w:r>
        <w:rPr>
          <w:color w:val="231F20"/>
          <w:sz w:val="18"/>
        </w:rPr>
        <w:t>9(5).</w:t>
      </w:r>
      <w:r>
        <w:rPr>
          <w:color w:val="231F20"/>
          <w:spacing w:val="-3"/>
          <w:sz w:val="18"/>
        </w:rPr>
        <w:t> </w:t>
      </w:r>
      <w:r>
        <w:rPr>
          <w:color w:val="231F20"/>
          <w:sz w:val="18"/>
        </w:rPr>
        <w:t>–</w:t>
      </w:r>
      <w:r>
        <w:rPr>
          <w:color w:val="231F20"/>
          <w:spacing w:val="-3"/>
          <w:sz w:val="18"/>
        </w:rPr>
        <w:t> </w:t>
      </w:r>
      <w:r>
        <w:rPr>
          <w:color w:val="231F20"/>
          <w:sz w:val="18"/>
        </w:rPr>
        <w:t>p.</w:t>
      </w:r>
      <w:r>
        <w:rPr>
          <w:color w:val="231F20"/>
          <w:spacing w:val="-3"/>
          <w:sz w:val="18"/>
        </w:rPr>
        <w:t> </w:t>
      </w:r>
      <w:r>
        <w:rPr>
          <w:color w:val="231F20"/>
          <w:sz w:val="18"/>
        </w:rPr>
        <w:t>577–589. DOI: 10.1007/s11469-011-9323-8.</w:t>
      </w:r>
    </w:p>
    <w:p>
      <w:pPr>
        <w:pStyle w:val="ListParagraph"/>
        <w:numPr>
          <w:ilvl w:val="2"/>
          <w:numId w:val="47"/>
        </w:numPr>
        <w:tabs>
          <w:tab w:pos="708" w:val="left" w:leader="none"/>
        </w:tabs>
        <w:spacing w:line="240" w:lineRule="auto" w:before="0" w:after="0"/>
        <w:ind w:left="708" w:right="424" w:hanging="284"/>
        <w:jc w:val="both"/>
        <w:rPr>
          <w:sz w:val="18"/>
        </w:rPr>
      </w:pPr>
      <w:r>
        <w:rPr>
          <w:color w:val="231F20"/>
          <w:spacing w:val="-4"/>
          <w:sz w:val="18"/>
        </w:rPr>
        <w:t>Gwozdziewycz N., Mehl-Madrona L. Meta-analysis of the use of narrative exposure therapy </w:t>
      </w:r>
      <w:r>
        <w:rPr>
          <w:color w:val="231F20"/>
          <w:sz w:val="18"/>
        </w:rPr>
        <w:t>for the effects of trauma among refugee populations. Perm J. 2013 Winter;17(1):70-6. DOI: 10.7812/TPP/12-058. PMID: 23596375; PMCID: PMC3627789;</w:t>
      </w:r>
    </w:p>
    <w:p>
      <w:pPr>
        <w:pStyle w:val="ListParagraph"/>
        <w:numPr>
          <w:ilvl w:val="2"/>
          <w:numId w:val="47"/>
        </w:numPr>
        <w:tabs>
          <w:tab w:pos="708" w:val="left" w:leader="none"/>
        </w:tabs>
        <w:spacing w:line="240" w:lineRule="auto" w:before="0" w:after="0"/>
        <w:ind w:left="708" w:right="423" w:hanging="284"/>
        <w:jc w:val="both"/>
        <w:rPr>
          <w:sz w:val="18"/>
        </w:rPr>
      </w:pPr>
      <w:r>
        <w:rPr>
          <w:color w:val="231F20"/>
          <w:sz w:val="18"/>
        </w:rPr>
        <w:t>Kangaslampi</w:t>
      </w:r>
      <w:r>
        <w:rPr>
          <w:color w:val="231F20"/>
          <w:spacing w:val="-12"/>
          <w:sz w:val="18"/>
        </w:rPr>
        <w:t> </w:t>
      </w:r>
      <w:r>
        <w:rPr>
          <w:color w:val="231F20"/>
          <w:sz w:val="18"/>
        </w:rPr>
        <w:t>S.,</w:t>
      </w:r>
      <w:r>
        <w:rPr>
          <w:color w:val="231F20"/>
          <w:spacing w:val="-11"/>
          <w:sz w:val="18"/>
        </w:rPr>
        <w:t> </w:t>
      </w:r>
      <w:r>
        <w:rPr>
          <w:color w:val="231F20"/>
          <w:sz w:val="18"/>
        </w:rPr>
        <w:t>Garoff</w:t>
      </w:r>
      <w:r>
        <w:rPr>
          <w:color w:val="231F20"/>
          <w:spacing w:val="-11"/>
          <w:sz w:val="18"/>
        </w:rPr>
        <w:t> </w:t>
      </w:r>
      <w:r>
        <w:rPr>
          <w:color w:val="231F20"/>
          <w:sz w:val="18"/>
        </w:rPr>
        <w:t>F.,</w:t>
      </w:r>
      <w:r>
        <w:rPr>
          <w:color w:val="231F20"/>
          <w:spacing w:val="-11"/>
          <w:sz w:val="18"/>
        </w:rPr>
        <w:t> </w:t>
      </w:r>
      <w:r>
        <w:rPr>
          <w:color w:val="231F20"/>
          <w:sz w:val="18"/>
        </w:rPr>
        <w:t>Peltonen</w:t>
      </w:r>
      <w:r>
        <w:rPr>
          <w:color w:val="231F20"/>
          <w:spacing w:val="-12"/>
          <w:sz w:val="18"/>
        </w:rPr>
        <w:t> </w:t>
      </w:r>
      <w:r>
        <w:rPr>
          <w:color w:val="231F20"/>
          <w:sz w:val="18"/>
        </w:rPr>
        <w:t>K.</w:t>
      </w:r>
      <w:r>
        <w:rPr>
          <w:color w:val="231F20"/>
          <w:spacing w:val="-11"/>
          <w:sz w:val="18"/>
        </w:rPr>
        <w:t> </w:t>
      </w:r>
      <w:r>
        <w:rPr>
          <w:color w:val="231F20"/>
          <w:sz w:val="18"/>
        </w:rPr>
        <w:t>Narrative</w:t>
      </w:r>
      <w:r>
        <w:rPr>
          <w:color w:val="231F20"/>
          <w:spacing w:val="-11"/>
          <w:sz w:val="18"/>
        </w:rPr>
        <w:t> </w:t>
      </w:r>
      <w:r>
        <w:rPr>
          <w:color w:val="231F20"/>
          <w:sz w:val="18"/>
        </w:rPr>
        <w:t>exposure</w:t>
      </w:r>
      <w:r>
        <w:rPr>
          <w:color w:val="231F20"/>
          <w:spacing w:val="-11"/>
          <w:sz w:val="18"/>
        </w:rPr>
        <w:t> </w:t>
      </w:r>
      <w:r>
        <w:rPr>
          <w:color w:val="231F20"/>
          <w:sz w:val="18"/>
        </w:rPr>
        <w:t>therapy</w:t>
      </w:r>
      <w:r>
        <w:rPr>
          <w:color w:val="231F20"/>
          <w:spacing w:val="-12"/>
          <w:sz w:val="18"/>
        </w:rPr>
        <w:t> </w:t>
      </w:r>
      <w:r>
        <w:rPr>
          <w:color w:val="231F20"/>
          <w:sz w:val="18"/>
        </w:rPr>
        <w:t>for</w:t>
      </w:r>
      <w:r>
        <w:rPr>
          <w:color w:val="231F20"/>
          <w:spacing w:val="-11"/>
          <w:sz w:val="18"/>
        </w:rPr>
        <w:t> </w:t>
      </w:r>
      <w:r>
        <w:rPr>
          <w:color w:val="231F20"/>
          <w:sz w:val="18"/>
        </w:rPr>
        <w:t>immigrant</w:t>
      </w:r>
      <w:r>
        <w:rPr>
          <w:color w:val="231F20"/>
          <w:spacing w:val="-11"/>
          <w:sz w:val="18"/>
        </w:rPr>
        <w:t> </w:t>
      </w:r>
      <w:r>
        <w:rPr>
          <w:color w:val="231F20"/>
          <w:sz w:val="18"/>
        </w:rPr>
        <w:t>children traumatized</w:t>
      </w:r>
      <w:r>
        <w:rPr>
          <w:color w:val="231F20"/>
          <w:spacing w:val="-1"/>
          <w:sz w:val="18"/>
        </w:rPr>
        <w:t> </w:t>
      </w:r>
      <w:r>
        <w:rPr>
          <w:color w:val="231F20"/>
          <w:sz w:val="18"/>
        </w:rPr>
        <w:t>by</w:t>
      </w:r>
      <w:r>
        <w:rPr>
          <w:color w:val="231F20"/>
          <w:spacing w:val="-1"/>
          <w:sz w:val="18"/>
        </w:rPr>
        <w:t> </w:t>
      </w:r>
      <w:r>
        <w:rPr>
          <w:color w:val="231F20"/>
          <w:sz w:val="18"/>
        </w:rPr>
        <w:t>war:</w:t>
      </w:r>
      <w:r>
        <w:rPr>
          <w:color w:val="231F20"/>
          <w:spacing w:val="-1"/>
          <w:sz w:val="18"/>
        </w:rPr>
        <w:t> </w:t>
      </w:r>
      <w:r>
        <w:rPr>
          <w:color w:val="231F20"/>
          <w:sz w:val="18"/>
        </w:rPr>
        <w:t>study</w:t>
      </w:r>
      <w:r>
        <w:rPr>
          <w:color w:val="231F20"/>
          <w:spacing w:val="-1"/>
          <w:sz w:val="18"/>
        </w:rPr>
        <w:t> </w:t>
      </w:r>
      <w:r>
        <w:rPr>
          <w:color w:val="231F20"/>
          <w:sz w:val="18"/>
        </w:rPr>
        <w:t>protocol</w:t>
      </w:r>
      <w:r>
        <w:rPr>
          <w:color w:val="231F20"/>
          <w:spacing w:val="-1"/>
          <w:sz w:val="18"/>
        </w:rPr>
        <w:t> </w:t>
      </w:r>
      <w:r>
        <w:rPr>
          <w:color w:val="231F20"/>
          <w:sz w:val="18"/>
        </w:rPr>
        <w:t>for</w:t>
      </w:r>
      <w:r>
        <w:rPr>
          <w:color w:val="231F20"/>
          <w:spacing w:val="-1"/>
          <w:sz w:val="18"/>
        </w:rPr>
        <w:t> </w:t>
      </w:r>
      <w:r>
        <w:rPr>
          <w:color w:val="231F20"/>
          <w:sz w:val="18"/>
        </w:rPr>
        <w:t>a</w:t>
      </w:r>
      <w:r>
        <w:rPr>
          <w:color w:val="231F20"/>
          <w:spacing w:val="-1"/>
          <w:sz w:val="18"/>
        </w:rPr>
        <w:t> </w:t>
      </w:r>
      <w:r>
        <w:rPr>
          <w:color w:val="231F20"/>
          <w:sz w:val="18"/>
        </w:rPr>
        <w:t>randomized</w:t>
      </w:r>
      <w:r>
        <w:rPr>
          <w:color w:val="231F20"/>
          <w:spacing w:val="-1"/>
          <w:sz w:val="18"/>
        </w:rPr>
        <w:t> </w:t>
      </w:r>
      <w:r>
        <w:rPr>
          <w:color w:val="231F20"/>
          <w:sz w:val="18"/>
        </w:rPr>
        <w:t>controlled</w:t>
      </w:r>
      <w:r>
        <w:rPr>
          <w:color w:val="231F20"/>
          <w:spacing w:val="-1"/>
          <w:sz w:val="18"/>
        </w:rPr>
        <w:t> </w:t>
      </w:r>
      <w:r>
        <w:rPr>
          <w:color w:val="231F20"/>
          <w:sz w:val="18"/>
        </w:rPr>
        <w:t>trial</w:t>
      </w:r>
      <w:r>
        <w:rPr>
          <w:color w:val="231F20"/>
          <w:spacing w:val="-1"/>
          <w:sz w:val="18"/>
        </w:rPr>
        <w:t> </w:t>
      </w:r>
      <w:r>
        <w:rPr>
          <w:color w:val="231F20"/>
          <w:sz w:val="18"/>
        </w:rPr>
        <w:t>of</w:t>
      </w:r>
      <w:r>
        <w:rPr>
          <w:color w:val="231F20"/>
          <w:spacing w:val="-1"/>
          <w:sz w:val="18"/>
        </w:rPr>
        <w:t> </w:t>
      </w:r>
      <w:r>
        <w:rPr>
          <w:color w:val="231F20"/>
          <w:sz w:val="18"/>
        </w:rPr>
        <w:t>effectiveness</w:t>
      </w:r>
      <w:r>
        <w:rPr>
          <w:color w:val="231F20"/>
          <w:spacing w:val="-1"/>
          <w:sz w:val="18"/>
        </w:rPr>
        <w:t> </w:t>
      </w:r>
      <w:r>
        <w:rPr>
          <w:color w:val="231F20"/>
          <w:sz w:val="18"/>
        </w:rPr>
        <w:t>and mechanisms</w:t>
      </w:r>
      <w:r>
        <w:rPr>
          <w:color w:val="231F20"/>
          <w:spacing w:val="-12"/>
          <w:sz w:val="18"/>
        </w:rPr>
        <w:t> </w:t>
      </w:r>
      <w:r>
        <w:rPr>
          <w:color w:val="231F20"/>
          <w:sz w:val="18"/>
        </w:rPr>
        <w:t>of</w:t>
      </w:r>
      <w:r>
        <w:rPr>
          <w:color w:val="231F20"/>
          <w:spacing w:val="-11"/>
          <w:sz w:val="18"/>
        </w:rPr>
        <w:t> </w:t>
      </w:r>
      <w:r>
        <w:rPr>
          <w:color w:val="231F20"/>
          <w:sz w:val="18"/>
        </w:rPr>
        <w:t>change.</w:t>
      </w:r>
      <w:r>
        <w:rPr>
          <w:color w:val="231F20"/>
          <w:spacing w:val="-11"/>
          <w:sz w:val="18"/>
        </w:rPr>
        <w:t> </w:t>
      </w:r>
      <w:r>
        <w:rPr>
          <w:color w:val="231F20"/>
          <w:sz w:val="18"/>
        </w:rPr>
        <w:t>BMC</w:t>
      </w:r>
      <w:r>
        <w:rPr>
          <w:color w:val="231F20"/>
          <w:spacing w:val="-11"/>
          <w:sz w:val="18"/>
        </w:rPr>
        <w:t> </w:t>
      </w:r>
      <w:r>
        <w:rPr>
          <w:color w:val="231F20"/>
          <w:sz w:val="18"/>
        </w:rPr>
        <w:t>Psychiatry.</w:t>
      </w:r>
      <w:r>
        <w:rPr>
          <w:color w:val="231F20"/>
          <w:spacing w:val="-12"/>
          <w:sz w:val="18"/>
        </w:rPr>
        <w:t> </w:t>
      </w:r>
      <w:r>
        <w:rPr>
          <w:color w:val="231F20"/>
          <w:sz w:val="18"/>
        </w:rPr>
        <w:t>2015</w:t>
      </w:r>
      <w:r>
        <w:rPr>
          <w:color w:val="231F20"/>
          <w:spacing w:val="-11"/>
          <w:sz w:val="18"/>
        </w:rPr>
        <w:t> </w:t>
      </w:r>
      <w:r>
        <w:rPr>
          <w:color w:val="231F20"/>
          <w:sz w:val="18"/>
        </w:rPr>
        <w:t>Jun</w:t>
      </w:r>
      <w:r>
        <w:rPr>
          <w:color w:val="231F20"/>
          <w:spacing w:val="-11"/>
          <w:sz w:val="18"/>
        </w:rPr>
        <w:t> </w:t>
      </w:r>
      <w:r>
        <w:rPr>
          <w:color w:val="231F20"/>
          <w:sz w:val="18"/>
        </w:rPr>
        <w:t>17;15:127.</w:t>
      </w:r>
      <w:r>
        <w:rPr>
          <w:color w:val="231F20"/>
          <w:spacing w:val="-11"/>
          <w:sz w:val="18"/>
        </w:rPr>
        <w:t> </w:t>
      </w:r>
      <w:r>
        <w:rPr>
          <w:color w:val="231F20"/>
          <w:sz w:val="18"/>
        </w:rPr>
        <w:t>DOI:</w:t>
      </w:r>
      <w:r>
        <w:rPr>
          <w:color w:val="231F20"/>
          <w:spacing w:val="-12"/>
          <w:sz w:val="18"/>
        </w:rPr>
        <w:t> </w:t>
      </w:r>
      <w:r>
        <w:rPr>
          <w:color w:val="231F20"/>
          <w:sz w:val="18"/>
        </w:rPr>
        <w:t>10.1186/s12888-015- 0520-z. PMID: 26081580; PMCID: PMC4469253.</w:t>
      </w:r>
    </w:p>
    <w:p>
      <w:pPr>
        <w:pStyle w:val="ListParagraph"/>
        <w:numPr>
          <w:ilvl w:val="2"/>
          <w:numId w:val="47"/>
        </w:numPr>
        <w:tabs>
          <w:tab w:pos="708" w:val="left" w:leader="none"/>
        </w:tabs>
        <w:spacing w:line="240" w:lineRule="auto" w:before="0" w:after="0"/>
        <w:ind w:left="708" w:right="423" w:hanging="284"/>
        <w:jc w:val="both"/>
        <w:rPr>
          <w:sz w:val="18"/>
        </w:rPr>
      </w:pPr>
      <w:r>
        <w:rPr>
          <w:color w:val="231F20"/>
          <w:sz w:val="18"/>
        </w:rPr>
        <w:t>Morris</w:t>
      </w:r>
      <w:r>
        <w:rPr>
          <w:color w:val="231F20"/>
          <w:spacing w:val="-2"/>
          <w:sz w:val="18"/>
        </w:rPr>
        <w:t> </w:t>
      </w:r>
      <w:r>
        <w:rPr>
          <w:color w:val="231F20"/>
          <w:sz w:val="18"/>
        </w:rPr>
        <w:t>C.C.</w:t>
      </w:r>
      <w:r>
        <w:rPr>
          <w:color w:val="231F20"/>
          <w:spacing w:val="40"/>
          <w:sz w:val="18"/>
        </w:rPr>
        <w:t> </w:t>
      </w:r>
      <w:r>
        <w:rPr>
          <w:color w:val="231F20"/>
          <w:sz w:val="18"/>
        </w:rPr>
        <w:t>Narrative</w:t>
      </w:r>
      <w:r>
        <w:rPr>
          <w:color w:val="231F20"/>
          <w:spacing w:val="40"/>
          <w:sz w:val="18"/>
        </w:rPr>
        <w:t> </w:t>
      </w:r>
      <w:r>
        <w:rPr>
          <w:color w:val="231F20"/>
          <w:sz w:val="18"/>
        </w:rPr>
        <w:t>theory:</w:t>
      </w:r>
      <w:r>
        <w:rPr>
          <w:color w:val="231F20"/>
          <w:spacing w:val="40"/>
          <w:sz w:val="18"/>
        </w:rPr>
        <w:t> </w:t>
      </w:r>
      <w:r>
        <w:rPr>
          <w:color w:val="231F20"/>
          <w:sz w:val="18"/>
        </w:rPr>
        <w:t>A</w:t>
      </w:r>
      <w:r>
        <w:rPr>
          <w:color w:val="231F20"/>
          <w:spacing w:val="40"/>
          <w:sz w:val="18"/>
        </w:rPr>
        <w:t> </w:t>
      </w:r>
      <w:r>
        <w:rPr>
          <w:color w:val="231F20"/>
          <w:sz w:val="18"/>
        </w:rPr>
        <w:t>culturally</w:t>
      </w:r>
      <w:r>
        <w:rPr>
          <w:color w:val="231F20"/>
          <w:spacing w:val="40"/>
          <w:sz w:val="18"/>
        </w:rPr>
        <w:t> </w:t>
      </w:r>
      <w:r>
        <w:rPr>
          <w:color w:val="231F20"/>
          <w:sz w:val="18"/>
        </w:rPr>
        <w:t>sensitive</w:t>
      </w:r>
      <w:r>
        <w:rPr>
          <w:color w:val="231F20"/>
          <w:spacing w:val="40"/>
          <w:sz w:val="18"/>
        </w:rPr>
        <w:t> </w:t>
      </w:r>
      <w:r>
        <w:rPr>
          <w:color w:val="231F20"/>
          <w:sz w:val="18"/>
        </w:rPr>
        <w:t>counseling</w:t>
      </w:r>
      <w:r>
        <w:rPr>
          <w:color w:val="231F20"/>
          <w:spacing w:val="40"/>
          <w:sz w:val="18"/>
        </w:rPr>
        <w:t> </w:t>
      </w:r>
      <w:r>
        <w:rPr>
          <w:color w:val="231F20"/>
          <w:sz w:val="18"/>
        </w:rPr>
        <w:t>and</w:t>
      </w:r>
      <w:r>
        <w:rPr>
          <w:color w:val="231F20"/>
          <w:spacing w:val="40"/>
          <w:sz w:val="18"/>
        </w:rPr>
        <w:t> </w:t>
      </w:r>
      <w:r>
        <w:rPr>
          <w:color w:val="231F20"/>
          <w:sz w:val="18"/>
        </w:rPr>
        <w:t>research framework. 2006</w:t>
      </w:r>
      <w:r>
        <w:rPr>
          <w:color w:val="231F20"/>
          <w:spacing w:val="40"/>
          <w:sz w:val="18"/>
        </w:rPr>
        <w:t> </w:t>
      </w:r>
      <w:hyperlink r:id="rId80">
        <w:r>
          <w:rPr>
            <w:color w:val="2255A6"/>
            <w:sz w:val="18"/>
            <w:u w:val="single" w:color="2255A6"/>
          </w:rPr>
          <w:t>http://www.counselingoutfitters.com/Morris.htm</w:t>
        </w:r>
      </w:hyperlink>
      <w:r>
        <w:rPr>
          <w:color w:val="231F20"/>
          <w:sz w:val="18"/>
        </w:rPr>
        <w:t>.</w:t>
      </w:r>
    </w:p>
    <w:p>
      <w:pPr>
        <w:pStyle w:val="ListParagraph"/>
        <w:numPr>
          <w:ilvl w:val="2"/>
          <w:numId w:val="47"/>
        </w:numPr>
        <w:tabs>
          <w:tab w:pos="708" w:val="left" w:leader="none"/>
        </w:tabs>
        <w:spacing w:line="240" w:lineRule="auto" w:before="0" w:after="0"/>
        <w:ind w:left="708" w:right="423" w:hanging="284"/>
        <w:jc w:val="both"/>
        <w:rPr>
          <w:sz w:val="18"/>
        </w:rPr>
      </w:pPr>
      <w:r>
        <w:rPr>
          <w:color w:val="231F20"/>
          <w:sz w:val="18"/>
        </w:rPr>
        <w:t>Ogden</w:t>
      </w:r>
      <w:r>
        <w:rPr>
          <w:color w:val="231F20"/>
          <w:spacing w:val="-2"/>
          <w:sz w:val="18"/>
        </w:rPr>
        <w:t> </w:t>
      </w:r>
      <w:r>
        <w:rPr>
          <w:color w:val="231F20"/>
          <w:sz w:val="18"/>
        </w:rPr>
        <w:t>T., Sørlie</w:t>
      </w:r>
      <w:r>
        <w:rPr>
          <w:color w:val="231F20"/>
          <w:spacing w:val="-2"/>
          <w:sz w:val="18"/>
        </w:rPr>
        <w:t> </w:t>
      </w:r>
      <w:r>
        <w:rPr>
          <w:color w:val="231F20"/>
          <w:sz w:val="18"/>
        </w:rPr>
        <w:t>M., &amp; Hagen</w:t>
      </w:r>
      <w:r>
        <w:rPr>
          <w:color w:val="231F20"/>
          <w:spacing w:val="-2"/>
          <w:sz w:val="18"/>
        </w:rPr>
        <w:t> </w:t>
      </w:r>
      <w:r>
        <w:rPr>
          <w:color w:val="231F20"/>
          <w:sz w:val="18"/>
        </w:rPr>
        <w:t>K.A. Building strength through enhancing social competence in immigrant students in primary school. A pilot study. Emotional &amp; Behavioural Difficulties, 12, 105–117. 2007.</w:t>
      </w:r>
    </w:p>
    <w:p>
      <w:pPr>
        <w:pStyle w:val="ListParagraph"/>
        <w:numPr>
          <w:ilvl w:val="2"/>
          <w:numId w:val="47"/>
        </w:numPr>
        <w:tabs>
          <w:tab w:pos="708" w:val="left" w:leader="none"/>
        </w:tabs>
        <w:spacing w:line="240" w:lineRule="auto" w:before="0" w:after="0"/>
        <w:ind w:left="708" w:right="423" w:hanging="284"/>
        <w:jc w:val="both"/>
        <w:rPr>
          <w:sz w:val="18"/>
        </w:rPr>
      </w:pPr>
      <w:r>
        <w:rPr>
          <w:color w:val="231F20"/>
          <w:sz w:val="18"/>
        </w:rPr>
        <w:t>Schnyder</w:t>
      </w:r>
      <w:r>
        <w:rPr>
          <w:color w:val="231F20"/>
          <w:spacing w:val="-4"/>
          <w:sz w:val="18"/>
        </w:rPr>
        <w:t> </w:t>
      </w:r>
      <w:r>
        <w:rPr>
          <w:color w:val="231F20"/>
          <w:sz w:val="18"/>
        </w:rPr>
        <w:t>U., Ehlers</w:t>
      </w:r>
      <w:r>
        <w:rPr>
          <w:color w:val="231F20"/>
          <w:spacing w:val="-5"/>
          <w:sz w:val="18"/>
        </w:rPr>
        <w:t> </w:t>
      </w:r>
      <w:r>
        <w:rPr>
          <w:color w:val="231F20"/>
          <w:sz w:val="18"/>
        </w:rPr>
        <w:t>A., Elbert</w:t>
      </w:r>
      <w:r>
        <w:rPr>
          <w:color w:val="231F20"/>
          <w:spacing w:val="-4"/>
          <w:sz w:val="18"/>
        </w:rPr>
        <w:t> </w:t>
      </w:r>
      <w:r>
        <w:rPr>
          <w:color w:val="231F20"/>
          <w:sz w:val="18"/>
        </w:rPr>
        <w:t>Th., Foa</w:t>
      </w:r>
      <w:r>
        <w:rPr>
          <w:color w:val="231F20"/>
          <w:spacing w:val="-4"/>
          <w:sz w:val="18"/>
        </w:rPr>
        <w:t> </w:t>
      </w:r>
      <w:r>
        <w:rPr>
          <w:color w:val="231F20"/>
          <w:sz w:val="18"/>
        </w:rPr>
        <w:t>E., Gersons</w:t>
      </w:r>
      <w:r>
        <w:rPr>
          <w:color w:val="231F20"/>
          <w:spacing w:val="-5"/>
          <w:sz w:val="18"/>
        </w:rPr>
        <w:t> </w:t>
      </w:r>
      <w:r>
        <w:rPr>
          <w:color w:val="231F20"/>
          <w:sz w:val="18"/>
        </w:rPr>
        <w:t>B., Resick</w:t>
      </w:r>
      <w:r>
        <w:rPr>
          <w:color w:val="231F20"/>
          <w:spacing w:val="-4"/>
          <w:sz w:val="18"/>
        </w:rPr>
        <w:t> </w:t>
      </w:r>
      <w:r>
        <w:rPr>
          <w:color w:val="231F20"/>
          <w:sz w:val="18"/>
        </w:rPr>
        <w:t>P., Shapiro</w:t>
      </w:r>
      <w:r>
        <w:rPr>
          <w:color w:val="231F20"/>
          <w:spacing w:val="-4"/>
          <w:sz w:val="18"/>
        </w:rPr>
        <w:t> </w:t>
      </w:r>
      <w:r>
        <w:rPr>
          <w:color w:val="231F20"/>
          <w:sz w:val="18"/>
        </w:rPr>
        <w:t>F., Cloitre</w:t>
      </w:r>
      <w:r>
        <w:rPr>
          <w:color w:val="231F20"/>
          <w:spacing w:val="-4"/>
          <w:sz w:val="18"/>
        </w:rPr>
        <w:t> </w:t>
      </w:r>
      <w:r>
        <w:rPr>
          <w:color w:val="231F20"/>
          <w:sz w:val="18"/>
        </w:rPr>
        <w:t>M. (2015) Psychotherapies for PTSD: what do they have in common? European Journal of Psychotraumatology, 6:1, 28186, DOI: 10.3402/ejpt.v6.28186.</w:t>
      </w:r>
    </w:p>
    <w:p>
      <w:pPr>
        <w:pStyle w:val="ListParagraph"/>
        <w:numPr>
          <w:ilvl w:val="2"/>
          <w:numId w:val="47"/>
        </w:numPr>
        <w:tabs>
          <w:tab w:pos="708" w:val="left" w:leader="none"/>
        </w:tabs>
        <w:spacing w:line="204" w:lineRule="exact" w:before="0" w:after="0"/>
        <w:ind w:left="708" w:right="0" w:hanging="283"/>
        <w:jc w:val="both"/>
        <w:rPr>
          <w:sz w:val="18"/>
        </w:rPr>
      </w:pPr>
      <w:r>
        <w:rPr>
          <w:color w:val="231F20"/>
          <w:sz w:val="18"/>
        </w:rPr>
        <w:t>Yosso</w:t>
      </w:r>
      <w:r>
        <w:rPr>
          <w:color w:val="231F20"/>
          <w:spacing w:val="-2"/>
          <w:sz w:val="18"/>
        </w:rPr>
        <w:t> </w:t>
      </w:r>
      <w:r>
        <w:rPr>
          <w:color w:val="231F20"/>
          <w:sz w:val="18"/>
        </w:rPr>
        <w:t>T.J.</w:t>
      </w:r>
      <w:r>
        <w:rPr>
          <w:color w:val="231F20"/>
          <w:spacing w:val="51"/>
          <w:sz w:val="18"/>
        </w:rPr>
        <w:t> </w:t>
      </w:r>
      <w:r>
        <w:rPr>
          <w:color w:val="231F20"/>
          <w:sz w:val="18"/>
        </w:rPr>
        <w:t>Whose</w:t>
      </w:r>
      <w:r>
        <w:rPr>
          <w:color w:val="231F20"/>
          <w:spacing w:val="53"/>
          <w:sz w:val="18"/>
        </w:rPr>
        <w:t> </w:t>
      </w:r>
      <w:r>
        <w:rPr>
          <w:color w:val="231F20"/>
          <w:sz w:val="18"/>
        </w:rPr>
        <w:t>culture</w:t>
      </w:r>
      <w:r>
        <w:rPr>
          <w:color w:val="231F20"/>
          <w:spacing w:val="54"/>
          <w:sz w:val="18"/>
        </w:rPr>
        <w:t> </w:t>
      </w:r>
      <w:r>
        <w:rPr>
          <w:color w:val="231F20"/>
          <w:sz w:val="18"/>
        </w:rPr>
        <w:t>has</w:t>
      </w:r>
      <w:r>
        <w:rPr>
          <w:color w:val="231F20"/>
          <w:spacing w:val="54"/>
          <w:sz w:val="18"/>
        </w:rPr>
        <w:t> </w:t>
      </w:r>
      <w:r>
        <w:rPr>
          <w:color w:val="231F20"/>
          <w:sz w:val="18"/>
        </w:rPr>
        <w:t>capital?</w:t>
      </w:r>
      <w:r>
        <w:rPr>
          <w:color w:val="231F20"/>
          <w:spacing w:val="53"/>
          <w:sz w:val="18"/>
        </w:rPr>
        <w:t> </w:t>
      </w:r>
      <w:r>
        <w:rPr>
          <w:color w:val="231F20"/>
          <w:sz w:val="18"/>
        </w:rPr>
        <w:t>Race,</w:t>
      </w:r>
      <w:r>
        <w:rPr>
          <w:color w:val="231F20"/>
          <w:spacing w:val="54"/>
          <w:sz w:val="18"/>
        </w:rPr>
        <w:t> </w:t>
      </w:r>
      <w:r>
        <w:rPr>
          <w:color w:val="231F20"/>
          <w:sz w:val="18"/>
        </w:rPr>
        <w:t>Ethnicity</w:t>
      </w:r>
      <w:r>
        <w:rPr>
          <w:color w:val="231F20"/>
          <w:spacing w:val="54"/>
          <w:sz w:val="18"/>
        </w:rPr>
        <w:t> </w:t>
      </w:r>
      <w:r>
        <w:rPr>
          <w:color w:val="231F20"/>
          <w:sz w:val="18"/>
        </w:rPr>
        <w:t>and</w:t>
      </w:r>
      <w:r>
        <w:rPr>
          <w:color w:val="231F20"/>
          <w:spacing w:val="53"/>
          <w:sz w:val="18"/>
        </w:rPr>
        <w:t> </w:t>
      </w:r>
      <w:r>
        <w:rPr>
          <w:color w:val="231F20"/>
          <w:sz w:val="18"/>
        </w:rPr>
        <w:t>Education,</w:t>
      </w:r>
      <w:r>
        <w:rPr>
          <w:color w:val="231F20"/>
          <w:spacing w:val="54"/>
          <w:sz w:val="18"/>
        </w:rPr>
        <w:t> </w:t>
      </w:r>
      <w:r>
        <w:rPr>
          <w:color w:val="231F20"/>
          <w:sz w:val="18"/>
        </w:rPr>
        <w:t>8(1),</w:t>
      </w:r>
      <w:r>
        <w:rPr>
          <w:color w:val="231F20"/>
          <w:spacing w:val="54"/>
          <w:sz w:val="18"/>
        </w:rPr>
        <w:t> </w:t>
      </w:r>
      <w:r>
        <w:rPr>
          <w:color w:val="231F20"/>
          <w:spacing w:val="-2"/>
          <w:sz w:val="18"/>
        </w:rPr>
        <w:t>2005.</w:t>
      </w:r>
    </w:p>
    <w:p>
      <w:pPr>
        <w:spacing w:line="206" w:lineRule="exact" w:before="0"/>
        <w:ind w:left="708" w:right="0" w:firstLine="0"/>
        <w:jc w:val="both"/>
        <w:rPr>
          <w:sz w:val="18"/>
        </w:rPr>
      </w:pPr>
      <w:r>
        <w:rPr>
          <w:color w:val="231F20"/>
          <w:sz w:val="18"/>
        </w:rPr>
        <w:t>pp. </w:t>
      </w:r>
      <w:r>
        <w:rPr>
          <w:color w:val="231F20"/>
          <w:spacing w:val="-2"/>
          <w:sz w:val="18"/>
        </w:rPr>
        <w:t>69–91.</w:t>
      </w:r>
    </w:p>
    <w:p>
      <w:pPr>
        <w:spacing w:after="0" w:line="206" w:lineRule="exact"/>
        <w:jc w:val="both"/>
        <w:rPr>
          <w:sz w:val="18"/>
        </w:rPr>
        <w:sectPr>
          <w:pgSz w:w="8400" w:h="11910"/>
          <w:pgMar w:header="0" w:footer="529" w:top="400" w:bottom="740" w:left="425" w:right="425"/>
        </w:sect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spacing w:before="32"/>
        <w:ind w:left="0" w:right="0" w:firstLine="0"/>
        <w:jc w:val="left"/>
        <w:rPr>
          <w:sz w:val="28"/>
        </w:rPr>
      </w:pPr>
    </w:p>
    <w:p>
      <w:pPr>
        <w:spacing w:before="0"/>
        <w:ind w:left="303" w:right="303" w:firstLine="0"/>
        <w:jc w:val="center"/>
        <w:rPr>
          <w:rFonts w:ascii="Georgia" w:hAnsi="Georgia"/>
          <w:b/>
          <w:sz w:val="28"/>
        </w:rPr>
      </w:pPr>
      <w:bookmarkStart w:name="_bookmark80" w:id="82"/>
      <w:bookmarkEnd w:id="82"/>
      <w:r>
        <w:rPr/>
      </w:r>
      <w:r>
        <w:rPr>
          <w:rFonts w:ascii="Georgia" w:hAnsi="Georgia"/>
          <w:b/>
          <w:color w:val="231F20"/>
          <w:w w:val="90"/>
          <w:sz w:val="28"/>
        </w:rPr>
        <w:t>РАЗДЕЛ</w:t>
      </w:r>
      <w:r>
        <w:rPr>
          <w:rFonts w:ascii="Georgia" w:hAnsi="Georgia"/>
          <w:b/>
          <w:color w:val="231F20"/>
          <w:spacing w:val="6"/>
          <w:sz w:val="28"/>
        </w:rPr>
        <w:t> </w:t>
      </w:r>
      <w:r>
        <w:rPr>
          <w:rFonts w:ascii="Georgia" w:hAnsi="Georgia"/>
          <w:b/>
          <w:color w:val="231F20"/>
          <w:spacing w:val="-5"/>
          <w:sz w:val="28"/>
        </w:rPr>
        <w:t>2.</w:t>
      </w:r>
    </w:p>
    <w:p>
      <w:pPr>
        <w:spacing w:line="348" w:lineRule="auto" w:before="255"/>
        <w:ind w:left="303" w:right="303" w:firstLine="0"/>
        <w:jc w:val="center"/>
        <w:rPr>
          <w:rFonts w:ascii="Georgia" w:hAnsi="Georgia"/>
          <w:b/>
          <w:sz w:val="28"/>
        </w:rPr>
      </w:pPr>
      <w:r>
        <w:rPr>
          <w:rFonts w:ascii="Georgia" w:hAnsi="Georgia"/>
          <w:b/>
          <w:color w:val="231F20"/>
          <w:w w:val="90"/>
          <w:sz w:val="28"/>
        </w:rPr>
        <w:t>Методическое сопровождение педагогического коллектива в области психолого-педагогического сопровождения детей иностранных граждан</w:t>
      </w:r>
    </w:p>
    <w:p>
      <w:pPr>
        <w:spacing w:after="0" w:line="348" w:lineRule="auto"/>
        <w:jc w:val="center"/>
        <w:rPr>
          <w:rFonts w:ascii="Georgia" w:hAnsi="Georgia"/>
          <w:b/>
          <w:sz w:val="28"/>
        </w:rPr>
        <w:sectPr>
          <w:footerReference w:type="default" r:id="rId215"/>
          <w:pgSz w:w="8400" w:h="11910"/>
          <w:pgMar w:header="0" w:footer="0" w:top="1340" w:bottom="280" w:left="425" w:right="425"/>
        </w:sectPr>
      </w:pPr>
    </w:p>
    <w:p>
      <w:pPr>
        <w:numPr>
          <w:ilvl w:val="1"/>
          <w:numId w:val="226"/>
        </w:numPr>
        <w:tabs>
          <w:tab w:pos="2228" w:val="left" w:leader="none"/>
        </w:tabs>
        <w:spacing w:line="235" w:lineRule="auto" w:before="77"/>
        <w:ind w:left="1835" w:right="1833" w:firstLine="43"/>
        <w:jc w:val="left"/>
        <w:rPr>
          <w:b/>
          <w:color w:val="231F20"/>
          <w:sz w:val="20"/>
        </w:rPr>
      </w:pPr>
      <w:bookmarkStart w:name="_bookmark81" w:id="83"/>
      <w:bookmarkEnd w:id="83"/>
      <w:r>
        <w:rPr/>
      </w:r>
      <w:r>
        <w:rPr>
          <w:b/>
          <w:color w:val="231F20"/>
          <w:sz w:val="20"/>
        </w:rPr>
        <w:t>Интерактивные технологии развития </w:t>
      </w:r>
      <w:r>
        <w:rPr>
          <w:b/>
          <w:color w:val="231F20"/>
          <w:spacing w:val="-2"/>
          <w:sz w:val="20"/>
        </w:rPr>
        <w:t>межкультурной компетентности педагогов</w:t>
      </w:r>
    </w:p>
    <w:p>
      <w:pPr>
        <w:spacing w:before="168"/>
        <w:ind w:left="141" w:right="139" w:firstLine="0"/>
        <w:jc w:val="right"/>
        <w:rPr>
          <w:i/>
          <w:sz w:val="20"/>
        </w:rPr>
      </w:pPr>
      <w:r>
        <w:rPr>
          <w:i/>
          <w:color w:val="231F20"/>
          <w:sz w:val="20"/>
        </w:rPr>
        <w:t>Н.В.</w:t>
      </w:r>
      <w:r>
        <w:rPr>
          <w:i/>
          <w:color w:val="231F20"/>
          <w:spacing w:val="-2"/>
          <w:sz w:val="20"/>
        </w:rPr>
        <w:t> Ткаченко</w:t>
      </w:r>
    </w:p>
    <w:p>
      <w:pPr>
        <w:pStyle w:val="BodyText"/>
        <w:spacing w:line="235" w:lineRule="auto" w:before="113"/>
      </w:pPr>
      <w:r>
        <w:rPr>
          <w:color w:val="231F20"/>
        </w:rPr>
        <w:t>Интерактивные технологии, наравне с психологическим тренингом или его от- дельными разновидностями, содействуют развитию профессиональной компетент- ности педагогов в целом и межкультурной компетентности в частности.</w:t>
      </w:r>
    </w:p>
    <w:p>
      <w:pPr>
        <w:spacing w:line="228" w:lineRule="exact" w:before="78"/>
        <w:ind w:left="425" w:right="0" w:firstLine="0"/>
        <w:jc w:val="both"/>
        <w:rPr>
          <w:b/>
          <w:sz w:val="20"/>
        </w:rPr>
      </w:pPr>
      <w:r>
        <w:rPr>
          <w:b/>
          <w:color w:val="231F20"/>
          <w:sz w:val="20"/>
        </w:rPr>
        <w:t>Сильные</w:t>
      </w:r>
      <w:r>
        <w:rPr>
          <w:b/>
          <w:color w:val="231F20"/>
          <w:spacing w:val="-2"/>
          <w:sz w:val="20"/>
        </w:rPr>
        <w:t> </w:t>
      </w:r>
      <w:r>
        <w:rPr>
          <w:b/>
          <w:color w:val="231F20"/>
          <w:sz w:val="20"/>
        </w:rPr>
        <w:t>стороны</w:t>
      </w:r>
      <w:r>
        <w:rPr>
          <w:b/>
          <w:color w:val="231F20"/>
          <w:spacing w:val="-2"/>
          <w:sz w:val="20"/>
        </w:rPr>
        <w:t> практики</w:t>
      </w:r>
    </w:p>
    <w:p>
      <w:pPr>
        <w:pStyle w:val="BodyText"/>
        <w:spacing w:line="235" w:lineRule="auto" w:before="2"/>
      </w:pPr>
      <w:r>
        <w:rPr>
          <w:color w:val="231F20"/>
        </w:rPr>
        <w:t>Интерактивные технологии имеют доказанную эффективность как подходы по присвоению нового знания и паттернов поведения (Величко, 2001). По своей фор- ме</w:t>
      </w:r>
      <w:r>
        <w:rPr>
          <w:color w:val="231F20"/>
          <w:spacing w:val="-5"/>
        </w:rPr>
        <w:t> </w:t>
      </w:r>
      <w:r>
        <w:rPr>
          <w:color w:val="231F20"/>
        </w:rPr>
        <w:t>интерактивные</w:t>
      </w:r>
      <w:r>
        <w:rPr>
          <w:color w:val="231F20"/>
          <w:spacing w:val="-5"/>
        </w:rPr>
        <w:t> </w:t>
      </w:r>
      <w:r>
        <w:rPr>
          <w:color w:val="231F20"/>
        </w:rPr>
        <w:t>технологии</w:t>
      </w:r>
      <w:r>
        <w:rPr>
          <w:color w:val="231F20"/>
          <w:spacing w:val="-5"/>
        </w:rPr>
        <w:t> </w:t>
      </w:r>
      <w:r>
        <w:rPr>
          <w:color w:val="231F20"/>
        </w:rPr>
        <w:t>могут</w:t>
      </w:r>
      <w:r>
        <w:rPr>
          <w:color w:val="231F20"/>
          <w:spacing w:val="-5"/>
        </w:rPr>
        <w:t> </w:t>
      </w:r>
      <w:r>
        <w:rPr>
          <w:color w:val="231F20"/>
        </w:rPr>
        <w:t>рассматриваться,</w:t>
      </w:r>
      <w:r>
        <w:rPr>
          <w:color w:val="231F20"/>
          <w:spacing w:val="-5"/>
        </w:rPr>
        <w:t> </w:t>
      </w:r>
      <w:r>
        <w:rPr>
          <w:color w:val="231F20"/>
        </w:rPr>
        <w:t>с</w:t>
      </w:r>
      <w:r>
        <w:rPr>
          <w:color w:val="231F20"/>
          <w:spacing w:val="-5"/>
        </w:rPr>
        <w:t> </w:t>
      </w:r>
      <w:r>
        <w:rPr>
          <w:color w:val="231F20"/>
        </w:rPr>
        <w:t>одной</w:t>
      </w:r>
      <w:r>
        <w:rPr>
          <w:color w:val="231F20"/>
          <w:spacing w:val="-5"/>
        </w:rPr>
        <w:t> </w:t>
      </w:r>
      <w:r>
        <w:rPr>
          <w:color w:val="231F20"/>
        </w:rPr>
        <w:t>стороны,</w:t>
      </w:r>
      <w:r>
        <w:rPr>
          <w:color w:val="231F20"/>
          <w:spacing w:val="-5"/>
        </w:rPr>
        <w:t> </w:t>
      </w:r>
      <w:r>
        <w:rPr>
          <w:color w:val="231F20"/>
        </w:rPr>
        <w:t>как</w:t>
      </w:r>
      <w:r>
        <w:rPr>
          <w:color w:val="231F20"/>
          <w:spacing w:val="-5"/>
        </w:rPr>
        <w:t> </w:t>
      </w:r>
      <w:r>
        <w:rPr>
          <w:color w:val="231F20"/>
        </w:rPr>
        <w:t>частный случай</w:t>
      </w:r>
      <w:r>
        <w:rPr>
          <w:color w:val="231F20"/>
          <w:spacing w:val="-10"/>
        </w:rPr>
        <w:t> </w:t>
      </w:r>
      <w:r>
        <w:rPr>
          <w:color w:val="231F20"/>
        </w:rPr>
        <w:t>активных</w:t>
      </w:r>
      <w:r>
        <w:rPr>
          <w:color w:val="231F20"/>
          <w:spacing w:val="-10"/>
        </w:rPr>
        <w:t> </w:t>
      </w:r>
      <w:r>
        <w:rPr>
          <w:color w:val="231F20"/>
        </w:rPr>
        <w:t>форм</w:t>
      </w:r>
      <w:r>
        <w:rPr>
          <w:color w:val="231F20"/>
          <w:spacing w:val="-10"/>
        </w:rPr>
        <w:t> </w:t>
      </w:r>
      <w:r>
        <w:rPr>
          <w:color w:val="231F20"/>
        </w:rPr>
        <w:t>обучения,</w:t>
      </w:r>
      <w:r>
        <w:rPr>
          <w:color w:val="231F20"/>
          <w:spacing w:val="-10"/>
        </w:rPr>
        <w:t> </w:t>
      </w:r>
      <w:r>
        <w:rPr>
          <w:color w:val="231F20"/>
        </w:rPr>
        <w:t>включающих</w:t>
      </w:r>
      <w:r>
        <w:rPr>
          <w:color w:val="231F20"/>
          <w:spacing w:val="-10"/>
        </w:rPr>
        <w:t> </w:t>
      </w:r>
      <w:r>
        <w:rPr>
          <w:color w:val="231F20"/>
        </w:rPr>
        <w:t>все</w:t>
      </w:r>
      <w:r>
        <w:rPr>
          <w:color w:val="231F20"/>
          <w:spacing w:val="-10"/>
        </w:rPr>
        <w:t> </w:t>
      </w:r>
      <w:r>
        <w:rPr>
          <w:color w:val="231F20"/>
        </w:rPr>
        <w:t>разнообразие</w:t>
      </w:r>
      <w:r>
        <w:rPr>
          <w:color w:val="231F20"/>
          <w:spacing w:val="-10"/>
        </w:rPr>
        <w:t> </w:t>
      </w:r>
      <w:r>
        <w:rPr>
          <w:color w:val="231F20"/>
        </w:rPr>
        <w:t>форм</w:t>
      </w:r>
      <w:r>
        <w:rPr>
          <w:color w:val="231F20"/>
          <w:spacing w:val="-10"/>
        </w:rPr>
        <w:t> </w:t>
      </w:r>
      <w:r>
        <w:rPr>
          <w:color w:val="231F20"/>
        </w:rPr>
        <w:t>групповой</w:t>
      </w:r>
      <w:r>
        <w:rPr>
          <w:color w:val="231F20"/>
          <w:spacing w:val="-10"/>
        </w:rPr>
        <w:t> </w:t>
      </w:r>
      <w:r>
        <w:rPr>
          <w:color w:val="231F20"/>
        </w:rPr>
        <w:t>ра- боты, и как элемент тренинга – с другой стороны.</w:t>
      </w:r>
    </w:p>
    <w:p>
      <w:pPr>
        <w:pStyle w:val="BodyText"/>
        <w:spacing w:line="237" w:lineRule="auto" w:before="1"/>
      </w:pPr>
      <w:r>
        <w:rPr>
          <w:color w:val="231F20"/>
        </w:rPr>
        <w:t>Интерактивные технологии развития межкультурной компетентности педагогов как пример активной формы получения нового опыта, анализа собственного опыта посредством рефлексивных техник являются надежной и эффективной формой ра- боты</w:t>
      </w:r>
      <w:r>
        <w:rPr>
          <w:color w:val="231F20"/>
          <w:spacing w:val="-13"/>
        </w:rPr>
        <w:t> </w:t>
      </w:r>
      <w:r>
        <w:rPr>
          <w:color w:val="231F20"/>
        </w:rPr>
        <w:t>педагога</w:t>
      </w:r>
      <w:r>
        <w:rPr>
          <w:color w:val="231F20"/>
          <w:spacing w:val="-12"/>
        </w:rPr>
        <w:t> </w:t>
      </w:r>
      <w:r>
        <w:rPr>
          <w:color w:val="231F20"/>
        </w:rPr>
        <w:t>в</w:t>
      </w:r>
      <w:r>
        <w:rPr>
          <w:color w:val="231F20"/>
          <w:spacing w:val="-13"/>
        </w:rPr>
        <w:t> </w:t>
      </w:r>
      <w:r>
        <w:rPr>
          <w:color w:val="231F20"/>
        </w:rPr>
        <w:t>рамках</w:t>
      </w:r>
      <w:r>
        <w:rPr>
          <w:color w:val="231F20"/>
          <w:spacing w:val="-12"/>
        </w:rPr>
        <w:t> </w:t>
      </w:r>
      <w:r>
        <w:rPr>
          <w:color w:val="231F20"/>
        </w:rPr>
        <w:t>методобъединений</w:t>
      </w:r>
      <w:r>
        <w:rPr>
          <w:color w:val="231F20"/>
          <w:spacing w:val="-13"/>
        </w:rPr>
        <w:t> </w:t>
      </w:r>
      <w:r>
        <w:rPr>
          <w:color w:val="231F20"/>
        </w:rPr>
        <w:t>в</w:t>
      </w:r>
      <w:r>
        <w:rPr>
          <w:color w:val="231F20"/>
          <w:spacing w:val="-12"/>
        </w:rPr>
        <w:t> </w:t>
      </w:r>
      <w:r>
        <w:rPr>
          <w:color w:val="231F20"/>
        </w:rPr>
        <w:t>контексте</w:t>
      </w:r>
      <w:r>
        <w:rPr>
          <w:color w:val="231F20"/>
          <w:spacing w:val="-13"/>
        </w:rPr>
        <w:t> </w:t>
      </w:r>
      <w:r>
        <w:rPr>
          <w:color w:val="231F20"/>
        </w:rPr>
        <w:t>внутришкольного</w:t>
      </w:r>
      <w:r>
        <w:rPr>
          <w:color w:val="231F20"/>
          <w:spacing w:val="-12"/>
        </w:rPr>
        <w:t> </w:t>
      </w:r>
      <w:r>
        <w:rPr>
          <w:color w:val="231F20"/>
        </w:rPr>
        <w:t>повышения </w:t>
      </w:r>
      <w:r>
        <w:rPr>
          <w:color w:val="231F20"/>
          <w:spacing w:val="-2"/>
        </w:rPr>
        <w:t>квалификации.</w:t>
      </w:r>
    </w:p>
    <w:p>
      <w:pPr>
        <w:spacing w:before="86"/>
        <w:ind w:left="425" w:right="0" w:firstLine="0"/>
        <w:jc w:val="both"/>
        <w:rPr>
          <w:b/>
          <w:sz w:val="20"/>
        </w:rPr>
      </w:pPr>
      <w:r>
        <w:rPr>
          <w:b/>
          <w:color w:val="231F20"/>
          <w:sz w:val="20"/>
        </w:rPr>
        <w:t>Требования</w:t>
      </w:r>
      <w:r>
        <w:rPr>
          <w:b/>
          <w:color w:val="231F20"/>
          <w:spacing w:val="-9"/>
          <w:sz w:val="20"/>
        </w:rPr>
        <w:t> </w:t>
      </w:r>
      <w:r>
        <w:rPr>
          <w:b/>
          <w:color w:val="231F20"/>
          <w:sz w:val="20"/>
        </w:rPr>
        <w:t>к</w:t>
      </w:r>
      <w:r>
        <w:rPr>
          <w:b/>
          <w:color w:val="231F20"/>
          <w:spacing w:val="-8"/>
          <w:sz w:val="20"/>
        </w:rPr>
        <w:t> </w:t>
      </w:r>
      <w:r>
        <w:rPr>
          <w:b/>
          <w:color w:val="231F20"/>
          <w:spacing w:val="-2"/>
          <w:sz w:val="20"/>
        </w:rPr>
        <w:t>проведению</w:t>
      </w:r>
    </w:p>
    <w:p>
      <w:pPr>
        <w:pStyle w:val="BodyText"/>
      </w:pPr>
      <w:r>
        <w:rPr>
          <w:color w:val="231F20"/>
        </w:rPr>
        <w:t>Требования к проведению включают в себя организационные и содержательные аспекты, которые немного варьируются в зависимости от конкретной технологии. Ниже представим общие для всех позиции.</w:t>
      </w:r>
    </w:p>
    <w:p>
      <w:pPr>
        <w:spacing w:before="0"/>
        <w:ind w:left="425" w:right="0" w:firstLine="0"/>
        <w:jc w:val="both"/>
        <w:rPr>
          <w:b/>
          <w:i/>
          <w:sz w:val="20"/>
        </w:rPr>
      </w:pPr>
      <w:r>
        <w:rPr>
          <w:b/>
          <w:i/>
          <w:color w:val="231F20"/>
          <w:sz w:val="20"/>
        </w:rPr>
        <w:t>Организационные </w:t>
      </w:r>
      <w:r>
        <w:rPr>
          <w:b/>
          <w:i/>
          <w:color w:val="231F20"/>
          <w:spacing w:val="-2"/>
          <w:sz w:val="20"/>
        </w:rPr>
        <w:t>аспекты:</w:t>
      </w:r>
    </w:p>
    <w:p>
      <w:pPr>
        <w:pStyle w:val="ListParagraph"/>
        <w:numPr>
          <w:ilvl w:val="0"/>
          <w:numId w:val="227"/>
        </w:numPr>
        <w:tabs>
          <w:tab w:pos="425" w:val="left" w:leader="none"/>
        </w:tabs>
        <w:spacing w:line="240" w:lineRule="auto" w:before="0" w:after="0"/>
        <w:ind w:left="425" w:right="139" w:hanging="284"/>
        <w:jc w:val="both"/>
        <w:rPr>
          <w:sz w:val="20"/>
        </w:rPr>
      </w:pPr>
      <w:r>
        <w:rPr>
          <w:color w:val="231F20"/>
          <w:sz w:val="20"/>
        </w:rPr>
        <w:t>Включение</w:t>
      </w:r>
      <w:r>
        <w:rPr>
          <w:color w:val="231F20"/>
          <w:spacing w:val="-13"/>
          <w:sz w:val="20"/>
        </w:rPr>
        <w:t> </w:t>
      </w:r>
      <w:r>
        <w:rPr>
          <w:color w:val="231F20"/>
          <w:sz w:val="20"/>
        </w:rPr>
        <w:t>в</w:t>
      </w:r>
      <w:r>
        <w:rPr>
          <w:color w:val="231F20"/>
          <w:spacing w:val="-12"/>
          <w:sz w:val="20"/>
        </w:rPr>
        <w:t> </w:t>
      </w:r>
      <w:r>
        <w:rPr>
          <w:color w:val="231F20"/>
          <w:sz w:val="20"/>
        </w:rPr>
        <w:t>КТП</w:t>
      </w:r>
      <w:r>
        <w:rPr>
          <w:color w:val="231F20"/>
          <w:spacing w:val="-13"/>
          <w:sz w:val="20"/>
        </w:rPr>
        <w:t> </w:t>
      </w:r>
      <w:r>
        <w:rPr>
          <w:color w:val="231F20"/>
          <w:sz w:val="20"/>
        </w:rPr>
        <w:t>(календарно-тематический</w:t>
      </w:r>
      <w:r>
        <w:rPr>
          <w:color w:val="231F20"/>
          <w:spacing w:val="-12"/>
          <w:sz w:val="20"/>
        </w:rPr>
        <w:t> </w:t>
      </w:r>
      <w:r>
        <w:rPr>
          <w:color w:val="231F20"/>
          <w:sz w:val="20"/>
        </w:rPr>
        <w:t>план)</w:t>
      </w:r>
      <w:r>
        <w:rPr>
          <w:color w:val="231F20"/>
          <w:spacing w:val="-13"/>
          <w:sz w:val="20"/>
        </w:rPr>
        <w:t> </w:t>
      </w:r>
      <w:r>
        <w:rPr>
          <w:color w:val="231F20"/>
          <w:sz w:val="20"/>
        </w:rPr>
        <w:t>деятельности</w:t>
      </w:r>
      <w:r>
        <w:rPr>
          <w:color w:val="231F20"/>
          <w:spacing w:val="-12"/>
          <w:sz w:val="20"/>
        </w:rPr>
        <w:t> </w:t>
      </w:r>
      <w:r>
        <w:rPr>
          <w:color w:val="231F20"/>
          <w:sz w:val="20"/>
        </w:rPr>
        <w:t>методобъедине- ния мероприятий, где планируется использовать одну или несколько технологий из предложенных ниже.</w:t>
      </w:r>
    </w:p>
    <w:p>
      <w:pPr>
        <w:pStyle w:val="ListParagraph"/>
        <w:numPr>
          <w:ilvl w:val="0"/>
          <w:numId w:val="227"/>
        </w:numPr>
        <w:tabs>
          <w:tab w:pos="424" w:val="left" w:leader="none"/>
        </w:tabs>
        <w:spacing w:line="240" w:lineRule="auto" w:before="0" w:after="0"/>
        <w:ind w:left="424" w:right="0" w:hanging="283"/>
        <w:jc w:val="both"/>
        <w:rPr>
          <w:sz w:val="20"/>
        </w:rPr>
      </w:pPr>
      <w:r>
        <w:rPr>
          <w:color w:val="231F20"/>
          <w:sz w:val="20"/>
        </w:rPr>
        <w:t>Назначение</w:t>
      </w:r>
      <w:r>
        <w:rPr>
          <w:color w:val="231F20"/>
          <w:spacing w:val="-9"/>
          <w:sz w:val="20"/>
        </w:rPr>
        <w:t> </w:t>
      </w:r>
      <w:r>
        <w:rPr>
          <w:color w:val="231F20"/>
          <w:sz w:val="20"/>
        </w:rPr>
        <w:t>ответственного</w:t>
      </w:r>
      <w:r>
        <w:rPr>
          <w:color w:val="231F20"/>
          <w:spacing w:val="-8"/>
          <w:sz w:val="20"/>
        </w:rPr>
        <w:t> </w:t>
      </w:r>
      <w:r>
        <w:rPr>
          <w:color w:val="231F20"/>
          <w:sz w:val="20"/>
        </w:rPr>
        <w:t>за</w:t>
      </w:r>
      <w:r>
        <w:rPr>
          <w:color w:val="231F20"/>
          <w:spacing w:val="-8"/>
          <w:sz w:val="20"/>
        </w:rPr>
        <w:t> </w:t>
      </w:r>
      <w:r>
        <w:rPr>
          <w:color w:val="231F20"/>
          <w:sz w:val="20"/>
        </w:rPr>
        <w:t>проведение</w:t>
      </w:r>
      <w:r>
        <w:rPr>
          <w:color w:val="231F20"/>
          <w:spacing w:val="-8"/>
          <w:sz w:val="20"/>
        </w:rPr>
        <w:t> </w:t>
      </w:r>
      <w:r>
        <w:rPr>
          <w:color w:val="231F20"/>
          <w:spacing w:val="-2"/>
          <w:sz w:val="20"/>
        </w:rPr>
        <w:t>мероприятия.</w:t>
      </w:r>
    </w:p>
    <w:p>
      <w:pPr>
        <w:pStyle w:val="ListParagraph"/>
        <w:numPr>
          <w:ilvl w:val="0"/>
          <w:numId w:val="227"/>
        </w:numPr>
        <w:tabs>
          <w:tab w:pos="425" w:val="left" w:leader="none"/>
        </w:tabs>
        <w:spacing w:line="240" w:lineRule="auto" w:before="0" w:after="0"/>
        <w:ind w:left="425" w:right="140" w:hanging="284"/>
        <w:jc w:val="both"/>
        <w:rPr>
          <w:sz w:val="20"/>
        </w:rPr>
      </w:pPr>
      <w:r>
        <w:rPr>
          <w:color w:val="231F20"/>
          <w:sz w:val="20"/>
        </w:rPr>
        <w:t>Назначение</w:t>
      </w:r>
      <w:r>
        <w:rPr>
          <w:color w:val="231F20"/>
          <w:spacing w:val="-9"/>
          <w:sz w:val="20"/>
        </w:rPr>
        <w:t> </w:t>
      </w:r>
      <w:r>
        <w:rPr>
          <w:color w:val="231F20"/>
          <w:sz w:val="20"/>
        </w:rPr>
        <w:t>точной</w:t>
      </w:r>
      <w:r>
        <w:rPr>
          <w:color w:val="231F20"/>
          <w:spacing w:val="-9"/>
          <w:sz w:val="20"/>
        </w:rPr>
        <w:t> </w:t>
      </w:r>
      <w:r>
        <w:rPr>
          <w:color w:val="231F20"/>
          <w:sz w:val="20"/>
        </w:rPr>
        <w:t>даты,</w:t>
      </w:r>
      <w:r>
        <w:rPr>
          <w:color w:val="231F20"/>
          <w:spacing w:val="-9"/>
          <w:sz w:val="20"/>
        </w:rPr>
        <w:t> </w:t>
      </w:r>
      <w:r>
        <w:rPr>
          <w:color w:val="231F20"/>
          <w:sz w:val="20"/>
        </w:rPr>
        <w:t>времени</w:t>
      </w:r>
      <w:r>
        <w:rPr>
          <w:color w:val="231F20"/>
          <w:spacing w:val="-9"/>
          <w:sz w:val="20"/>
        </w:rPr>
        <w:t> </w:t>
      </w:r>
      <w:r>
        <w:rPr>
          <w:color w:val="231F20"/>
          <w:sz w:val="20"/>
        </w:rPr>
        <w:t>и</w:t>
      </w:r>
      <w:r>
        <w:rPr>
          <w:color w:val="231F20"/>
          <w:spacing w:val="-9"/>
          <w:sz w:val="20"/>
        </w:rPr>
        <w:t> </w:t>
      </w:r>
      <w:r>
        <w:rPr>
          <w:color w:val="231F20"/>
          <w:sz w:val="20"/>
        </w:rPr>
        <w:t>места</w:t>
      </w:r>
      <w:r>
        <w:rPr>
          <w:color w:val="231F20"/>
          <w:spacing w:val="-9"/>
          <w:sz w:val="20"/>
        </w:rPr>
        <w:t> </w:t>
      </w:r>
      <w:r>
        <w:rPr>
          <w:color w:val="231F20"/>
          <w:sz w:val="20"/>
        </w:rPr>
        <w:t>проведения</w:t>
      </w:r>
      <w:r>
        <w:rPr>
          <w:color w:val="231F20"/>
          <w:spacing w:val="-9"/>
          <w:sz w:val="20"/>
        </w:rPr>
        <w:t> </w:t>
      </w:r>
      <w:r>
        <w:rPr>
          <w:color w:val="231F20"/>
          <w:sz w:val="20"/>
        </w:rPr>
        <w:t>мероприятия,</w:t>
      </w:r>
      <w:r>
        <w:rPr>
          <w:color w:val="231F20"/>
          <w:spacing w:val="-9"/>
          <w:sz w:val="20"/>
        </w:rPr>
        <w:t> </w:t>
      </w:r>
      <w:r>
        <w:rPr>
          <w:color w:val="231F20"/>
          <w:sz w:val="20"/>
        </w:rPr>
        <w:t>уведомление заблаговременно участников и организация предварительной регистрации.</w:t>
      </w:r>
    </w:p>
    <w:p>
      <w:pPr>
        <w:pStyle w:val="ListParagraph"/>
        <w:numPr>
          <w:ilvl w:val="0"/>
          <w:numId w:val="227"/>
        </w:numPr>
        <w:tabs>
          <w:tab w:pos="423" w:val="left" w:leader="none"/>
          <w:tab w:pos="425" w:val="left" w:leader="none"/>
        </w:tabs>
        <w:spacing w:line="240" w:lineRule="auto" w:before="0" w:after="0"/>
        <w:ind w:left="425" w:right="139" w:hanging="284"/>
        <w:jc w:val="both"/>
        <w:rPr>
          <w:sz w:val="20"/>
        </w:rPr>
      </w:pPr>
      <w:r>
        <w:rPr>
          <w:color w:val="231F20"/>
          <w:sz w:val="20"/>
        </w:rPr>
        <w:t>Подготовка материалов: бумаги, досок, инструкций, флип-чартов, заранее под- готовленных карточек с вопросами для обсуждения; аудитории с необходимой </w:t>
      </w:r>
      <w:r>
        <w:rPr>
          <w:color w:val="231F20"/>
          <w:spacing w:val="-2"/>
          <w:sz w:val="20"/>
        </w:rPr>
        <w:t>мебелью.</w:t>
      </w:r>
    </w:p>
    <w:p>
      <w:pPr>
        <w:spacing w:before="0"/>
        <w:ind w:left="425" w:right="0" w:firstLine="0"/>
        <w:jc w:val="both"/>
        <w:rPr>
          <w:b/>
          <w:i/>
          <w:sz w:val="20"/>
        </w:rPr>
      </w:pPr>
      <w:r>
        <w:rPr>
          <w:b/>
          <w:i/>
          <w:color w:val="231F20"/>
          <w:spacing w:val="-2"/>
          <w:sz w:val="20"/>
        </w:rPr>
        <w:t>Содержательные</w:t>
      </w:r>
      <w:r>
        <w:rPr>
          <w:b/>
          <w:i/>
          <w:color w:val="231F20"/>
          <w:spacing w:val="10"/>
          <w:sz w:val="20"/>
        </w:rPr>
        <w:t> </w:t>
      </w:r>
      <w:r>
        <w:rPr>
          <w:b/>
          <w:i/>
          <w:color w:val="231F20"/>
          <w:spacing w:val="-2"/>
          <w:sz w:val="20"/>
        </w:rPr>
        <w:t>аспекты:</w:t>
      </w:r>
    </w:p>
    <w:p>
      <w:pPr>
        <w:pStyle w:val="ListParagraph"/>
        <w:numPr>
          <w:ilvl w:val="0"/>
          <w:numId w:val="228"/>
        </w:numPr>
        <w:tabs>
          <w:tab w:pos="425" w:val="left" w:leader="none"/>
        </w:tabs>
        <w:spacing w:line="240" w:lineRule="auto" w:before="0" w:after="0"/>
        <w:ind w:left="425" w:right="139" w:hanging="284"/>
        <w:jc w:val="both"/>
        <w:rPr>
          <w:color w:val="231F20"/>
          <w:sz w:val="20"/>
        </w:rPr>
      </w:pPr>
      <w:r>
        <w:rPr>
          <w:color w:val="231F20"/>
          <w:sz w:val="20"/>
        </w:rPr>
        <w:t>Организатор/ведущий</w:t>
      </w:r>
      <w:r>
        <w:rPr>
          <w:color w:val="231F20"/>
          <w:spacing w:val="-13"/>
          <w:sz w:val="20"/>
        </w:rPr>
        <w:t> </w:t>
      </w:r>
      <w:r>
        <w:rPr>
          <w:color w:val="231F20"/>
          <w:sz w:val="20"/>
        </w:rPr>
        <w:t>мероприятия</w:t>
      </w:r>
      <w:r>
        <w:rPr>
          <w:color w:val="231F20"/>
          <w:spacing w:val="-12"/>
          <w:sz w:val="20"/>
        </w:rPr>
        <w:t> </w:t>
      </w:r>
      <w:r>
        <w:rPr>
          <w:color w:val="231F20"/>
          <w:sz w:val="20"/>
        </w:rPr>
        <w:t>готовит</w:t>
      </w:r>
      <w:r>
        <w:rPr>
          <w:color w:val="231F20"/>
          <w:spacing w:val="-13"/>
          <w:sz w:val="20"/>
        </w:rPr>
        <w:t> </w:t>
      </w:r>
      <w:r>
        <w:rPr>
          <w:color w:val="231F20"/>
          <w:sz w:val="20"/>
        </w:rPr>
        <w:t>программу,</w:t>
      </w:r>
      <w:r>
        <w:rPr>
          <w:color w:val="231F20"/>
          <w:spacing w:val="-12"/>
          <w:sz w:val="20"/>
        </w:rPr>
        <w:t> </w:t>
      </w:r>
      <w:r>
        <w:rPr>
          <w:color w:val="231F20"/>
          <w:sz w:val="20"/>
        </w:rPr>
        <w:t>в</w:t>
      </w:r>
      <w:r>
        <w:rPr>
          <w:color w:val="231F20"/>
          <w:spacing w:val="-13"/>
          <w:sz w:val="20"/>
        </w:rPr>
        <w:t> </w:t>
      </w:r>
      <w:r>
        <w:rPr>
          <w:color w:val="231F20"/>
          <w:sz w:val="20"/>
        </w:rPr>
        <w:t>которую</w:t>
      </w:r>
      <w:r>
        <w:rPr>
          <w:color w:val="231F20"/>
          <w:spacing w:val="-12"/>
          <w:sz w:val="20"/>
        </w:rPr>
        <w:t> </w:t>
      </w:r>
      <w:r>
        <w:rPr>
          <w:color w:val="231F20"/>
          <w:sz w:val="20"/>
        </w:rPr>
        <w:t>будут</w:t>
      </w:r>
      <w:r>
        <w:rPr>
          <w:color w:val="231F20"/>
          <w:spacing w:val="-13"/>
          <w:sz w:val="20"/>
        </w:rPr>
        <w:t> </w:t>
      </w:r>
      <w:r>
        <w:rPr>
          <w:color w:val="231F20"/>
          <w:sz w:val="20"/>
        </w:rPr>
        <w:t>интегри- рованы те или иные интерактивные технологии</w:t>
      </w:r>
    </w:p>
    <w:p>
      <w:pPr>
        <w:pStyle w:val="BodyText"/>
        <w:ind w:left="425" w:right="0" w:firstLine="0"/>
        <w:jc w:val="left"/>
      </w:pPr>
      <w:r>
        <w:rPr>
          <w:color w:val="231F20"/>
        </w:rPr>
        <w:t>Программа</w:t>
      </w:r>
      <w:r>
        <w:rPr>
          <w:color w:val="231F20"/>
          <w:spacing w:val="-1"/>
        </w:rPr>
        <w:t> </w:t>
      </w:r>
      <w:r>
        <w:rPr>
          <w:color w:val="231F20"/>
        </w:rPr>
        <w:t>мероприятия</w:t>
      </w:r>
      <w:r>
        <w:rPr>
          <w:color w:val="231F20"/>
          <w:spacing w:val="-1"/>
        </w:rPr>
        <w:t> </w:t>
      </w:r>
      <w:r>
        <w:rPr>
          <w:color w:val="231F20"/>
          <w:spacing w:val="-2"/>
        </w:rPr>
        <w:t>«Название»:</w:t>
      </w:r>
    </w:p>
    <w:p>
      <w:pPr>
        <w:pStyle w:val="ListParagraph"/>
        <w:numPr>
          <w:ilvl w:val="0"/>
          <w:numId w:val="229"/>
        </w:numPr>
        <w:tabs>
          <w:tab w:pos="707" w:val="left" w:leader="none"/>
        </w:tabs>
        <w:spacing w:line="240" w:lineRule="auto" w:before="0" w:after="0"/>
        <w:ind w:left="707" w:right="0" w:hanging="282"/>
        <w:jc w:val="left"/>
        <w:rPr>
          <w:sz w:val="20"/>
        </w:rPr>
      </w:pPr>
      <w:r>
        <w:rPr>
          <w:color w:val="231F20"/>
          <w:spacing w:val="-2"/>
          <w:sz w:val="20"/>
        </w:rPr>
        <w:t>Цель.</w:t>
      </w:r>
    </w:p>
    <w:p>
      <w:pPr>
        <w:pStyle w:val="ListParagraph"/>
        <w:numPr>
          <w:ilvl w:val="0"/>
          <w:numId w:val="229"/>
        </w:numPr>
        <w:tabs>
          <w:tab w:pos="707" w:val="left" w:leader="none"/>
        </w:tabs>
        <w:spacing w:line="240" w:lineRule="auto" w:before="0" w:after="0"/>
        <w:ind w:left="707" w:right="0" w:hanging="282"/>
        <w:jc w:val="left"/>
        <w:rPr>
          <w:sz w:val="20"/>
        </w:rPr>
      </w:pPr>
      <w:r>
        <w:rPr>
          <w:color w:val="231F20"/>
          <w:spacing w:val="-2"/>
          <w:sz w:val="20"/>
        </w:rPr>
        <w:t>Задачи.</w:t>
      </w:r>
    </w:p>
    <w:p>
      <w:pPr>
        <w:pStyle w:val="ListParagraph"/>
        <w:numPr>
          <w:ilvl w:val="0"/>
          <w:numId w:val="229"/>
        </w:numPr>
        <w:tabs>
          <w:tab w:pos="707" w:val="left" w:leader="none"/>
        </w:tabs>
        <w:spacing w:line="240" w:lineRule="auto" w:before="0" w:after="0"/>
        <w:ind w:left="707" w:right="0" w:hanging="282"/>
        <w:jc w:val="left"/>
        <w:rPr>
          <w:sz w:val="20"/>
        </w:rPr>
      </w:pPr>
      <w:r>
        <w:rPr>
          <w:color w:val="231F20"/>
          <w:sz w:val="20"/>
        </w:rPr>
        <w:t>Результаты</w:t>
      </w:r>
      <w:r>
        <w:rPr>
          <w:color w:val="231F20"/>
          <w:spacing w:val="-12"/>
          <w:sz w:val="20"/>
        </w:rPr>
        <w:t> </w:t>
      </w:r>
      <w:r>
        <w:rPr>
          <w:color w:val="231F20"/>
          <w:sz w:val="20"/>
        </w:rPr>
        <w:t>и</w:t>
      </w:r>
      <w:r>
        <w:rPr>
          <w:color w:val="231F20"/>
          <w:spacing w:val="-12"/>
          <w:sz w:val="20"/>
        </w:rPr>
        <w:t> </w:t>
      </w:r>
      <w:r>
        <w:rPr>
          <w:color w:val="231F20"/>
          <w:sz w:val="20"/>
        </w:rPr>
        <w:t>форма</w:t>
      </w:r>
      <w:r>
        <w:rPr>
          <w:color w:val="231F20"/>
          <w:spacing w:val="-11"/>
          <w:sz w:val="20"/>
        </w:rPr>
        <w:t> </w:t>
      </w:r>
      <w:r>
        <w:rPr>
          <w:color w:val="231F20"/>
          <w:spacing w:val="-2"/>
          <w:sz w:val="20"/>
        </w:rPr>
        <w:t>отчета.</w:t>
      </w:r>
    </w:p>
    <w:p>
      <w:pPr>
        <w:pStyle w:val="ListParagraph"/>
        <w:numPr>
          <w:ilvl w:val="0"/>
          <w:numId w:val="229"/>
        </w:numPr>
        <w:tabs>
          <w:tab w:pos="707" w:val="left" w:leader="none"/>
        </w:tabs>
        <w:spacing w:line="240" w:lineRule="auto" w:before="0" w:after="0"/>
        <w:ind w:left="707" w:right="0" w:hanging="282"/>
        <w:jc w:val="left"/>
        <w:rPr>
          <w:sz w:val="20"/>
        </w:rPr>
      </w:pPr>
      <w:r>
        <w:rPr>
          <w:color w:val="231F20"/>
          <w:sz w:val="20"/>
        </w:rPr>
        <w:t>Время </w:t>
      </w:r>
      <w:r>
        <w:rPr>
          <w:color w:val="231F20"/>
          <w:spacing w:val="-2"/>
          <w:sz w:val="20"/>
        </w:rPr>
        <w:t>проведения.</w:t>
      </w:r>
    </w:p>
    <w:p>
      <w:pPr>
        <w:pStyle w:val="ListParagraph"/>
        <w:numPr>
          <w:ilvl w:val="0"/>
          <w:numId w:val="229"/>
        </w:numPr>
        <w:tabs>
          <w:tab w:pos="707" w:val="left" w:leader="none"/>
        </w:tabs>
        <w:spacing w:line="240" w:lineRule="auto" w:before="0" w:after="0"/>
        <w:ind w:left="707" w:right="0" w:hanging="282"/>
        <w:jc w:val="left"/>
        <w:rPr>
          <w:sz w:val="20"/>
        </w:rPr>
      </w:pPr>
      <w:r>
        <w:rPr>
          <w:color w:val="231F20"/>
          <w:sz w:val="20"/>
        </w:rPr>
        <w:t>Характеристика</w:t>
      </w:r>
      <w:r>
        <w:rPr>
          <w:color w:val="231F20"/>
          <w:spacing w:val="-6"/>
          <w:sz w:val="20"/>
        </w:rPr>
        <w:t> </w:t>
      </w:r>
      <w:r>
        <w:rPr>
          <w:color w:val="231F20"/>
          <w:spacing w:val="-2"/>
          <w:sz w:val="20"/>
        </w:rPr>
        <w:t>группы.</w:t>
      </w:r>
    </w:p>
    <w:p>
      <w:pPr>
        <w:pStyle w:val="ListParagraph"/>
        <w:numPr>
          <w:ilvl w:val="0"/>
          <w:numId w:val="229"/>
        </w:numPr>
        <w:tabs>
          <w:tab w:pos="707" w:val="left" w:leader="none"/>
        </w:tabs>
        <w:spacing w:line="240" w:lineRule="auto" w:before="0" w:after="0"/>
        <w:ind w:left="707" w:right="0" w:hanging="282"/>
        <w:jc w:val="left"/>
        <w:rPr>
          <w:sz w:val="20"/>
        </w:rPr>
      </w:pPr>
      <w:r>
        <w:rPr>
          <w:color w:val="231F20"/>
          <w:sz w:val="20"/>
        </w:rPr>
        <w:t>Технические</w:t>
      </w:r>
      <w:r>
        <w:rPr>
          <w:color w:val="231F20"/>
          <w:spacing w:val="-5"/>
          <w:sz w:val="20"/>
        </w:rPr>
        <w:t> </w:t>
      </w:r>
      <w:r>
        <w:rPr>
          <w:color w:val="231F20"/>
          <w:sz w:val="20"/>
        </w:rPr>
        <w:t>условия</w:t>
      </w:r>
      <w:r>
        <w:rPr>
          <w:color w:val="231F20"/>
          <w:spacing w:val="-5"/>
          <w:sz w:val="20"/>
        </w:rPr>
        <w:t> </w:t>
      </w:r>
      <w:r>
        <w:rPr>
          <w:color w:val="231F20"/>
          <w:sz w:val="20"/>
        </w:rPr>
        <w:t>проведения</w:t>
      </w:r>
      <w:r>
        <w:rPr>
          <w:color w:val="231F20"/>
          <w:spacing w:val="-4"/>
          <w:sz w:val="20"/>
        </w:rPr>
        <w:t> </w:t>
      </w:r>
      <w:r>
        <w:rPr>
          <w:color w:val="231F20"/>
          <w:spacing w:val="-2"/>
          <w:sz w:val="20"/>
        </w:rPr>
        <w:t>мероприятия.</w:t>
      </w:r>
    </w:p>
    <w:p>
      <w:pPr>
        <w:pStyle w:val="ListParagraph"/>
        <w:numPr>
          <w:ilvl w:val="0"/>
          <w:numId w:val="229"/>
        </w:numPr>
        <w:tabs>
          <w:tab w:pos="707" w:val="left" w:leader="none"/>
        </w:tabs>
        <w:spacing w:line="240" w:lineRule="auto" w:before="0" w:after="0"/>
        <w:ind w:left="707" w:right="0" w:hanging="282"/>
        <w:jc w:val="left"/>
        <w:rPr>
          <w:sz w:val="20"/>
        </w:rPr>
      </w:pPr>
      <w:r>
        <w:rPr>
          <w:color w:val="231F20"/>
          <w:sz w:val="20"/>
        </w:rPr>
        <w:t>Ответственный</w:t>
      </w:r>
      <w:r>
        <w:rPr>
          <w:color w:val="231F20"/>
          <w:spacing w:val="-7"/>
          <w:sz w:val="20"/>
        </w:rPr>
        <w:t> </w:t>
      </w:r>
      <w:r>
        <w:rPr>
          <w:color w:val="231F20"/>
          <w:sz w:val="20"/>
        </w:rPr>
        <w:t>за</w:t>
      </w:r>
      <w:r>
        <w:rPr>
          <w:color w:val="231F20"/>
          <w:spacing w:val="-6"/>
          <w:sz w:val="20"/>
        </w:rPr>
        <w:t> </w:t>
      </w:r>
      <w:r>
        <w:rPr>
          <w:color w:val="231F20"/>
          <w:sz w:val="20"/>
        </w:rPr>
        <w:t>проведение</w:t>
      </w:r>
      <w:r>
        <w:rPr>
          <w:color w:val="231F20"/>
          <w:spacing w:val="-6"/>
          <w:sz w:val="20"/>
        </w:rPr>
        <w:t> </w:t>
      </w:r>
      <w:r>
        <w:rPr>
          <w:color w:val="231F20"/>
          <w:spacing w:val="-2"/>
          <w:sz w:val="20"/>
        </w:rPr>
        <w:t>мероприятия.</w:t>
      </w:r>
    </w:p>
    <w:p>
      <w:pPr>
        <w:pStyle w:val="ListParagraph"/>
        <w:numPr>
          <w:ilvl w:val="0"/>
          <w:numId w:val="229"/>
        </w:numPr>
        <w:tabs>
          <w:tab w:pos="707" w:val="left" w:leader="none"/>
        </w:tabs>
        <w:spacing w:line="240" w:lineRule="auto" w:before="0" w:after="0"/>
        <w:ind w:left="707" w:right="0" w:hanging="282"/>
        <w:jc w:val="left"/>
        <w:rPr>
          <w:sz w:val="20"/>
        </w:rPr>
      </w:pPr>
      <w:r>
        <w:rPr>
          <w:color w:val="231F20"/>
          <w:sz w:val="20"/>
        </w:rPr>
        <w:t>Форма</w:t>
      </w:r>
      <w:r>
        <w:rPr>
          <w:color w:val="231F20"/>
          <w:spacing w:val="-8"/>
          <w:sz w:val="20"/>
        </w:rPr>
        <w:t> </w:t>
      </w:r>
      <w:r>
        <w:rPr>
          <w:color w:val="231F20"/>
          <w:spacing w:val="-2"/>
          <w:sz w:val="20"/>
        </w:rPr>
        <w:t>резолюции.</w:t>
      </w:r>
    </w:p>
    <w:p>
      <w:pPr>
        <w:pStyle w:val="ListParagraph"/>
        <w:spacing w:after="0" w:line="240" w:lineRule="auto"/>
        <w:jc w:val="left"/>
        <w:rPr>
          <w:sz w:val="20"/>
        </w:rPr>
        <w:sectPr>
          <w:footerReference w:type="default" r:id="rId216"/>
          <w:pgSz w:w="8400" w:h="11910"/>
          <w:pgMar w:header="0" w:footer="529" w:top="720" w:bottom="720" w:left="425" w:right="425"/>
          <w:pgNumType w:start="59"/>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pStyle w:val="ListParagraph"/>
        <w:numPr>
          <w:ilvl w:val="0"/>
          <w:numId w:val="228"/>
        </w:numPr>
        <w:tabs>
          <w:tab w:pos="425" w:val="left" w:leader="none"/>
        </w:tabs>
        <w:spacing w:line="235" w:lineRule="auto" w:before="116" w:after="0"/>
        <w:ind w:left="425" w:right="139" w:hanging="284"/>
        <w:jc w:val="both"/>
        <w:rPr>
          <w:color w:val="231F20"/>
          <w:sz w:val="20"/>
        </w:rPr>
      </w:pPr>
      <w:r>
        <w:rPr>
          <w:color w:val="231F20"/>
          <w:sz w:val="20"/>
        </w:rPr>
        <w:t>Так как приведенные ниже интерактивные технологии направлены на развитие межкультурной компетентности педагога, участники методобъединения могут использовать надежные и валидные инструменты по оценке сформированности межкультурной компетентности. Один из возможных инструментов – «Интегра- тивный опросник межкультурной компетентности» (Хухлаев, 2021).</w:t>
      </w:r>
    </w:p>
    <w:p>
      <w:pPr>
        <w:spacing w:line="228" w:lineRule="exact" w:before="79"/>
        <w:ind w:left="425" w:right="0" w:firstLine="0"/>
        <w:jc w:val="both"/>
        <w:rPr>
          <w:b/>
          <w:sz w:val="20"/>
        </w:rPr>
      </w:pPr>
      <w:r>
        <w:rPr>
          <w:b/>
          <w:color w:val="231F20"/>
          <w:spacing w:val="-2"/>
          <w:sz w:val="20"/>
        </w:rPr>
        <w:t>Где</w:t>
      </w:r>
      <w:r>
        <w:rPr>
          <w:b/>
          <w:color w:val="231F20"/>
          <w:spacing w:val="-12"/>
          <w:sz w:val="20"/>
        </w:rPr>
        <w:t> </w:t>
      </w:r>
      <w:r>
        <w:rPr>
          <w:b/>
          <w:color w:val="231F20"/>
          <w:spacing w:val="-2"/>
          <w:sz w:val="20"/>
        </w:rPr>
        <w:t>научиться?</w:t>
      </w:r>
    </w:p>
    <w:p>
      <w:pPr>
        <w:pStyle w:val="BodyText"/>
        <w:spacing w:line="235" w:lineRule="auto" w:before="2"/>
      </w:pPr>
      <w:r>
        <w:rPr>
          <w:color w:val="231F20"/>
        </w:rPr>
        <w:t>В целом использование интерактивных технологий стало нормой для развития педагогических компетенций. Применение их в контексте развития межкультурной компетентности может быть осуществлено с опорой на следующие источники:</w:t>
      </w:r>
    </w:p>
    <w:p>
      <w:pPr>
        <w:pStyle w:val="ListParagraph"/>
        <w:numPr>
          <w:ilvl w:val="0"/>
          <w:numId w:val="230"/>
        </w:numPr>
        <w:tabs>
          <w:tab w:pos="609" w:val="left" w:leader="none"/>
        </w:tabs>
        <w:spacing w:line="235" w:lineRule="auto" w:before="2" w:after="0"/>
        <w:ind w:left="141" w:right="139" w:firstLine="283"/>
        <w:jc w:val="both"/>
        <w:rPr>
          <w:sz w:val="20"/>
        </w:rPr>
      </w:pPr>
      <w:r>
        <w:rPr>
          <w:color w:val="231F20"/>
          <w:sz w:val="20"/>
        </w:rPr>
        <w:t>Межкультурная компетентность педагога в поликультурном образовательном пространстве (Хухлаев, Чибисова, 2008).</w:t>
      </w:r>
    </w:p>
    <w:p>
      <w:pPr>
        <w:pStyle w:val="ListParagraph"/>
        <w:numPr>
          <w:ilvl w:val="0"/>
          <w:numId w:val="230"/>
        </w:numPr>
        <w:tabs>
          <w:tab w:pos="629" w:val="left" w:leader="none"/>
        </w:tabs>
        <w:spacing w:line="235" w:lineRule="auto" w:before="1" w:after="0"/>
        <w:ind w:left="141" w:right="139" w:firstLine="336"/>
        <w:jc w:val="both"/>
        <w:rPr>
          <w:sz w:val="20"/>
        </w:rPr>
      </w:pPr>
      <w:r>
        <w:rPr>
          <w:color w:val="231F20"/>
          <w:sz w:val="20"/>
        </w:rPr>
        <w:t>Технологии</w:t>
      </w:r>
      <w:r>
        <w:rPr>
          <w:color w:val="231F20"/>
          <w:spacing w:val="-9"/>
          <w:sz w:val="20"/>
        </w:rPr>
        <w:t> </w:t>
      </w:r>
      <w:r>
        <w:rPr>
          <w:color w:val="231F20"/>
          <w:sz w:val="20"/>
        </w:rPr>
        <w:t>психологического</w:t>
      </w:r>
      <w:r>
        <w:rPr>
          <w:color w:val="231F20"/>
          <w:spacing w:val="-9"/>
          <w:sz w:val="20"/>
        </w:rPr>
        <w:t> </w:t>
      </w:r>
      <w:r>
        <w:rPr>
          <w:color w:val="231F20"/>
          <w:sz w:val="20"/>
        </w:rPr>
        <w:t>сопровождения</w:t>
      </w:r>
      <w:r>
        <w:rPr>
          <w:color w:val="231F20"/>
          <w:spacing w:val="-9"/>
          <w:sz w:val="20"/>
        </w:rPr>
        <w:t> </w:t>
      </w:r>
      <w:r>
        <w:rPr>
          <w:color w:val="231F20"/>
          <w:sz w:val="20"/>
        </w:rPr>
        <w:t>интеграции</w:t>
      </w:r>
      <w:r>
        <w:rPr>
          <w:color w:val="231F20"/>
          <w:spacing w:val="-9"/>
          <w:sz w:val="20"/>
        </w:rPr>
        <w:t> </w:t>
      </w:r>
      <w:r>
        <w:rPr>
          <w:color w:val="231F20"/>
          <w:sz w:val="20"/>
        </w:rPr>
        <w:t>мигрантов</w:t>
      </w:r>
      <w:r>
        <w:rPr>
          <w:color w:val="231F20"/>
          <w:spacing w:val="-9"/>
          <w:sz w:val="20"/>
        </w:rPr>
        <w:t> </w:t>
      </w:r>
      <w:r>
        <w:rPr>
          <w:color w:val="231F20"/>
          <w:sz w:val="20"/>
        </w:rPr>
        <w:t>в</w:t>
      </w:r>
      <w:r>
        <w:rPr>
          <w:color w:val="231F20"/>
          <w:spacing w:val="-9"/>
          <w:sz w:val="20"/>
        </w:rPr>
        <w:t> </w:t>
      </w:r>
      <w:r>
        <w:rPr>
          <w:color w:val="231F20"/>
          <w:sz w:val="20"/>
        </w:rPr>
        <w:t>образо- вательной среде (Хухлаев, Чибисова, 2013).</w:t>
      </w:r>
    </w:p>
    <w:p>
      <w:pPr>
        <w:pStyle w:val="ListParagraph"/>
        <w:numPr>
          <w:ilvl w:val="0"/>
          <w:numId w:val="230"/>
        </w:numPr>
        <w:tabs>
          <w:tab w:pos="575" w:val="left" w:leader="none"/>
        </w:tabs>
        <w:spacing w:line="225" w:lineRule="exact" w:before="0" w:after="0"/>
        <w:ind w:left="575" w:right="0" w:hanging="150"/>
        <w:jc w:val="both"/>
        <w:rPr>
          <w:sz w:val="20"/>
        </w:rPr>
      </w:pPr>
      <w:r>
        <w:rPr>
          <w:color w:val="231F20"/>
          <w:sz w:val="20"/>
        </w:rPr>
        <w:t>Межкультурный</w:t>
      </w:r>
      <w:r>
        <w:rPr>
          <w:color w:val="231F20"/>
          <w:spacing w:val="-13"/>
          <w:sz w:val="20"/>
        </w:rPr>
        <w:t> </w:t>
      </w:r>
      <w:r>
        <w:rPr>
          <w:color w:val="231F20"/>
          <w:sz w:val="20"/>
        </w:rPr>
        <w:t>диалог</w:t>
      </w:r>
      <w:r>
        <w:rPr>
          <w:color w:val="231F20"/>
          <w:spacing w:val="-12"/>
          <w:sz w:val="20"/>
        </w:rPr>
        <w:t> </w:t>
      </w:r>
      <w:r>
        <w:rPr>
          <w:color w:val="231F20"/>
          <w:sz w:val="20"/>
        </w:rPr>
        <w:t>в</w:t>
      </w:r>
      <w:r>
        <w:rPr>
          <w:color w:val="231F20"/>
          <w:spacing w:val="-13"/>
          <w:sz w:val="20"/>
        </w:rPr>
        <w:t> </w:t>
      </w:r>
      <w:r>
        <w:rPr>
          <w:color w:val="231F20"/>
          <w:sz w:val="20"/>
        </w:rPr>
        <w:t>школе</w:t>
      </w:r>
      <w:r>
        <w:rPr>
          <w:color w:val="231F20"/>
          <w:spacing w:val="-12"/>
          <w:sz w:val="20"/>
        </w:rPr>
        <w:t> </w:t>
      </w:r>
      <w:r>
        <w:rPr>
          <w:color w:val="231F20"/>
          <w:sz w:val="20"/>
        </w:rPr>
        <w:t>(Лебедева,</w:t>
      </w:r>
      <w:r>
        <w:rPr>
          <w:color w:val="231F20"/>
          <w:spacing w:val="-13"/>
          <w:sz w:val="20"/>
        </w:rPr>
        <w:t> </w:t>
      </w:r>
      <w:r>
        <w:rPr>
          <w:color w:val="231F20"/>
          <w:sz w:val="20"/>
        </w:rPr>
        <w:t>Стефаненко,</w:t>
      </w:r>
      <w:r>
        <w:rPr>
          <w:color w:val="231F20"/>
          <w:spacing w:val="-12"/>
          <w:sz w:val="20"/>
        </w:rPr>
        <w:t> </w:t>
      </w:r>
      <w:r>
        <w:rPr>
          <w:color w:val="231F20"/>
          <w:sz w:val="20"/>
        </w:rPr>
        <w:t>Лунева,</w:t>
      </w:r>
      <w:r>
        <w:rPr>
          <w:color w:val="231F20"/>
          <w:spacing w:val="-11"/>
          <w:sz w:val="20"/>
        </w:rPr>
        <w:t> </w:t>
      </w:r>
      <w:r>
        <w:rPr>
          <w:color w:val="231F20"/>
          <w:spacing w:val="-2"/>
          <w:sz w:val="20"/>
        </w:rPr>
        <w:t>2004).</w:t>
      </w:r>
    </w:p>
    <w:p>
      <w:pPr>
        <w:pStyle w:val="BodyText"/>
        <w:spacing w:line="235" w:lineRule="auto" w:before="2"/>
      </w:pPr>
      <w:r>
        <w:rPr>
          <w:color w:val="231F20"/>
        </w:rPr>
        <w:t>С дополнительными методическими материалами по теме можно также ознако- миться на сайте федерального координационного ресурсного центра по психологи- ческой и социокультурной адаптации несовершеннолетних иностранных граждан </w:t>
      </w:r>
      <w:hyperlink r:id="rId83">
        <w:r>
          <w:rPr>
            <w:color w:val="1E69B4"/>
            <w:spacing w:val="-2"/>
            <w:u w:val="single" w:color="1E69B4"/>
          </w:rPr>
          <w:t>http://fkrc.mgppu.ru/</w:t>
        </w:r>
      </w:hyperlink>
    </w:p>
    <w:p>
      <w:pPr>
        <w:spacing w:line="228" w:lineRule="exact" w:before="78"/>
        <w:ind w:left="425" w:right="0" w:firstLine="0"/>
        <w:jc w:val="both"/>
        <w:rPr>
          <w:b/>
          <w:sz w:val="20"/>
        </w:rPr>
      </w:pPr>
      <w:r>
        <w:rPr>
          <w:b/>
          <w:color w:val="231F20"/>
          <w:sz w:val="20"/>
        </w:rPr>
        <w:t>Доказательность</w:t>
      </w:r>
      <w:r>
        <w:rPr>
          <w:b/>
          <w:color w:val="231F20"/>
          <w:spacing w:val="-12"/>
          <w:sz w:val="20"/>
        </w:rPr>
        <w:t> </w:t>
      </w:r>
      <w:r>
        <w:rPr>
          <w:b/>
          <w:color w:val="231F20"/>
          <w:spacing w:val="-2"/>
          <w:sz w:val="20"/>
        </w:rPr>
        <w:t>практики</w:t>
      </w:r>
    </w:p>
    <w:p>
      <w:pPr>
        <w:pStyle w:val="BodyText"/>
      </w:pPr>
      <w:r>
        <w:rPr>
          <w:i/>
        </w:rPr>
        <w:t>Регламентированность. </w:t>
      </w:r>
      <w:r>
        <w:rPr>
          <w:color w:val="231F20"/>
        </w:rPr>
        <w:t>Методические материалы содержат четкие и выполни- мые рекомендации по обеспечению качества работы специалистов, по процедурам отбора руководителя групповой работы в ходе реализации программы в школе. До- полнительные методические рекомендации могут быть разработаны в самой школе</w:t>
      </w:r>
      <w:r>
        <w:rPr>
          <w:color w:val="231F20"/>
          <w:spacing w:val="40"/>
        </w:rPr>
        <w:t> </w:t>
      </w:r>
      <w:r>
        <w:rPr>
          <w:color w:val="231F20"/>
        </w:rPr>
        <w:t>с учетом ее специфики. Это же касается внутришкольных документов, регламенти- рующих</w:t>
      </w:r>
      <w:r>
        <w:rPr>
          <w:color w:val="231F20"/>
          <w:spacing w:val="-1"/>
        </w:rPr>
        <w:t> </w:t>
      </w:r>
      <w:r>
        <w:rPr>
          <w:color w:val="231F20"/>
        </w:rPr>
        <w:t>процесс,</w:t>
      </w:r>
      <w:r>
        <w:rPr>
          <w:color w:val="231F20"/>
          <w:spacing w:val="-1"/>
        </w:rPr>
        <w:t> </w:t>
      </w:r>
      <w:r>
        <w:rPr>
          <w:color w:val="231F20"/>
        </w:rPr>
        <w:t>сроки</w:t>
      </w:r>
      <w:r>
        <w:rPr>
          <w:color w:val="231F20"/>
          <w:spacing w:val="-1"/>
        </w:rPr>
        <w:t> </w:t>
      </w:r>
      <w:r>
        <w:rPr>
          <w:color w:val="231F20"/>
        </w:rPr>
        <w:t>и</w:t>
      </w:r>
      <w:r>
        <w:rPr>
          <w:color w:val="231F20"/>
          <w:spacing w:val="-1"/>
        </w:rPr>
        <w:t> </w:t>
      </w:r>
      <w:r>
        <w:rPr>
          <w:color w:val="231F20"/>
        </w:rPr>
        <w:t>техники</w:t>
      </w:r>
      <w:r>
        <w:rPr>
          <w:color w:val="231F20"/>
          <w:spacing w:val="-1"/>
        </w:rPr>
        <w:t> </w:t>
      </w:r>
      <w:r>
        <w:rPr>
          <w:color w:val="231F20"/>
        </w:rPr>
        <w:t>проведения</w:t>
      </w:r>
      <w:r>
        <w:rPr>
          <w:color w:val="231F20"/>
          <w:spacing w:val="-1"/>
        </w:rPr>
        <w:t> </w:t>
      </w:r>
      <w:r>
        <w:rPr>
          <w:color w:val="231F20"/>
        </w:rPr>
        <w:t>методических</w:t>
      </w:r>
      <w:r>
        <w:rPr>
          <w:color w:val="231F20"/>
          <w:spacing w:val="-1"/>
        </w:rPr>
        <w:t> </w:t>
      </w:r>
      <w:r>
        <w:rPr>
          <w:color w:val="231F20"/>
        </w:rPr>
        <w:t>групп</w:t>
      </w:r>
      <w:r>
        <w:rPr>
          <w:color w:val="231F20"/>
          <w:spacing w:val="-1"/>
        </w:rPr>
        <w:t> </w:t>
      </w:r>
      <w:r>
        <w:rPr>
          <w:color w:val="231F20"/>
        </w:rPr>
        <w:t>–</w:t>
      </w:r>
      <w:r>
        <w:rPr>
          <w:color w:val="231F20"/>
          <w:spacing w:val="-1"/>
        </w:rPr>
        <w:t> </w:t>
      </w:r>
      <w:r>
        <w:rPr>
          <w:color w:val="231F20"/>
        </w:rPr>
        <w:t>разработанные однажды, они в дальнейшем используются в обучающей работе с руководителями и участниками групп.</w:t>
      </w:r>
    </w:p>
    <w:p>
      <w:pPr>
        <w:pStyle w:val="BodyText"/>
      </w:pPr>
      <w:r>
        <w:rPr>
          <w:i/>
        </w:rPr>
        <w:t>Обоснованность.</w:t>
      </w:r>
      <w:r>
        <w:rPr>
          <w:i/>
          <w:spacing w:val="-4"/>
        </w:rPr>
        <w:t> </w:t>
      </w:r>
      <w:r>
        <w:rPr>
          <w:color w:val="231F20"/>
        </w:rPr>
        <w:t>Обоснованность</w:t>
      </w:r>
      <w:r>
        <w:rPr>
          <w:color w:val="231F20"/>
          <w:spacing w:val="-4"/>
        </w:rPr>
        <w:t> </w:t>
      </w:r>
      <w:r>
        <w:rPr>
          <w:color w:val="231F20"/>
        </w:rPr>
        <w:t>практики</w:t>
      </w:r>
      <w:r>
        <w:rPr>
          <w:color w:val="231F20"/>
          <w:spacing w:val="-4"/>
        </w:rPr>
        <w:t> </w:t>
      </w:r>
      <w:r>
        <w:rPr>
          <w:color w:val="231F20"/>
        </w:rPr>
        <w:t>обеспечивается</w:t>
      </w:r>
      <w:r>
        <w:rPr>
          <w:color w:val="231F20"/>
          <w:spacing w:val="-4"/>
        </w:rPr>
        <w:t> </w:t>
      </w:r>
      <w:r>
        <w:rPr>
          <w:color w:val="231F20"/>
        </w:rPr>
        <w:t>историческими,</w:t>
      </w:r>
      <w:r>
        <w:rPr>
          <w:color w:val="231F20"/>
          <w:spacing w:val="-4"/>
        </w:rPr>
        <w:t> </w:t>
      </w:r>
      <w:r>
        <w:rPr>
          <w:color w:val="231F20"/>
        </w:rPr>
        <w:t>тео- ретическими и практическими предпосылками.</w:t>
      </w:r>
    </w:p>
    <w:p>
      <w:pPr>
        <w:pStyle w:val="BodyText"/>
      </w:pPr>
      <w:r>
        <w:rPr>
          <w:i/>
        </w:rPr>
        <w:t>Результативность. </w:t>
      </w:r>
      <w:r>
        <w:rPr>
          <w:color w:val="231F20"/>
        </w:rPr>
        <w:t>Об устойчивости практики говорит тот факт, что методиче- ские</w:t>
      </w:r>
      <w:r>
        <w:rPr>
          <w:color w:val="231F20"/>
          <w:spacing w:val="-2"/>
        </w:rPr>
        <w:t> </w:t>
      </w:r>
      <w:r>
        <w:rPr>
          <w:color w:val="231F20"/>
        </w:rPr>
        <w:t>заседания,</w:t>
      </w:r>
      <w:r>
        <w:rPr>
          <w:color w:val="231F20"/>
          <w:spacing w:val="-2"/>
        </w:rPr>
        <w:t> </w:t>
      </w:r>
      <w:r>
        <w:rPr>
          <w:color w:val="231F20"/>
        </w:rPr>
        <w:t>где</w:t>
      </w:r>
      <w:r>
        <w:rPr>
          <w:color w:val="231F20"/>
          <w:spacing w:val="-2"/>
        </w:rPr>
        <w:t> </w:t>
      </w:r>
      <w:r>
        <w:rPr>
          <w:color w:val="231F20"/>
        </w:rPr>
        <w:t>используются</w:t>
      </w:r>
      <w:r>
        <w:rPr>
          <w:color w:val="231F20"/>
          <w:spacing w:val="-2"/>
        </w:rPr>
        <w:t> </w:t>
      </w:r>
      <w:r>
        <w:rPr>
          <w:color w:val="231F20"/>
        </w:rPr>
        <w:t>интерактивные</w:t>
      </w:r>
      <w:r>
        <w:rPr>
          <w:color w:val="231F20"/>
          <w:spacing w:val="-2"/>
        </w:rPr>
        <w:t> </w:t>
      </w:r>
      <w:r>
        <w:rPr>
          <w:color w:val="231F20"/>
        </w:rPr>
        <w:t>технологии</w:t>
      </w:r>
      <w:r>
        <w:rPr>
          <w:color w:val="231F20"/>
          <w:spacing w:val="-2"/>
        </w:rPr>
        <w:t> </w:t>
      </w:r>
      <w:r>
        <w:rPr>
          <w:color w:val="231F20"/>
        </w:rPr>
        <w:t>по</w:t>
      </w:r>
      <w:r>
        <w:rPr>
          <w:color w:val="231F20"/>
          <w:spacing w:val="-2"/>
        </w:rPr>
        <w:t> </w:t>
      </w:r>
      <w:r>
        <w:rPr>
          <w:color w:val="231F20"/>
        </w:rPr>
        <w:t>развитию</w:t>
      </w:r>
      <w:r>
        <w:rPr>
          <w:color w:val="231F20"/>
          <w:spacing w:val="-2"/>
        </w:rPr>
        <w:t> </w:t>
      </w:r>
      <w:r>
        <w:rPr>
          <w:color w:val="231F20"/>
        </w:rPr>
        <w:t>межкуль- турной компетентности педагогов, которые длятся в течение как минимум одного года,</w:t>
      </w:r>
      <w:r>
        <w:rPr>
          <w:color w:val="231F20"/>
          <w:spacing w:val="-10"/>
        </w:rPr>
        <w:t> </w:t>
      </w:r>
      <w:r>
        <w:rPr>
          <w:color w:val="231F20"/>
        </w:rPr>
        <w:t>дают</w:t>
      </w:r>
      <w:r>
        <w:rPr>
          <w:color w:val="231F20"/>
          <w:spacing w:val="-10"/>
        </w:rPr>
        <w:t> </w:t>
      </w:r>
      <w:r>
        <w:rPr>
          <w:color w:val="231F20"/>
        </w:rPr>
        <w:t>положительный</w:t>
      </w:r>
      <w:r>
        <w:rPr>
          <w:color w:val="231F20"/>
          <w:spacing w:val="-10"/>
        </w:rPr>
        <w:t> </w:t>
      </w:r>
      <w:r>
        <w:rPr>
          <w:color w:val="231F20"/>
        </w:rPr>
        <w:t>эффект</w:t>
      </w:r>
      <w:r>
        <w:rPr>
          <w:color w:val="231F20"/>
          <w:spacing w:val="-10"/>
        </w:rPr>
        <w:t> </w:t>
      </w:r>
      <w:r>
        <w:rPr>
          <w:color w:val="231F20"/>
        </w:rPr>
        <w:t>для</w:t>
      </w:r>
      <w:r>
        <w:rPr>
          <w:color w:val="231F20"/>
          <w:spacing w:val="-10"/>
        </w:rPr>
        <w:t> </w:t>
      </w:r>
      <w:r>
        <w:rPr>
          <w:color w:val="231F20"/>
        </w:rPr>
        <w:t>участников</w:t>
      </w:r>
      <w:r>
        <w:rPr>
          <w:color w:val="231F20"/>
          <w:spacing w:val="-10"/>
        </w:rPr>
        <w:t> </w:t>
      </w:r>
      <w:r>
        <w:rPr>
          <w:color w:val="231F20"/>
        </w:rPr>
        <w:t>в</w:t>
      </w:r>
      <w:r>
        <w:rPr>
          <w:color w:val="231F20"/>
          <w:spacing w:val="-10"/>
        </w:rPr>
        <w:t> </w:t>
      </w:r>
      <w:r>
        <w:rPr>
          <w:color w:val="231F20"/>
        </w:rPr>
        <w:t>области</w:t>
      </w:r>
      <w:r>
        <w:rPr>
          <w:color w:val="231F20"/>
          <w:spacing w:val="-10"/>
        </w:rPr>
        <w:t> </w:t>
      </w:r>
      <w:r>
        <w:rPr>
          <w:color w:val="231F20"/>
        </w:rPr>
        <w:t>академического,</w:t>
      </w:r>
      <w:r>
        <w:rPr>
          <w:color w:val="231F20"/>
          <w:spacing w:val="-10"/>
        </w:rPr>
        <w:t> </w:t>
      </w:r>
      <w:r>
        <w:rPr>
          <w:color w:val="231F20"/>
        </w:rPr>
        <w:t>эмоци- онального, поведенческого и социального развития.</w:t>
      </w:r>
    </w:p>
    <w:p>
      <w:pPr>
        <w:pStyle w:val="BodyText"/>
      </w:pPr>
      <w:r>
        <w:rPr>
          <w:color w:val="231F20"/>
        </w:rPr>
        <w:t>Результативность, эффективность применения интерактивных технологий в ра- боте методобъединений может подтверждаться специальными способами контроля. </w:t>
      </w:r>
      <w:r>
        <w:rPr>
          <w:color w:val="231F20"/>
          <w:spacing w:val="-2"/>
        </w:rPr>
        <w:t>Например, входным и выходным тестированием межкультурной компетентности (см. </w:t>
      </w:r>
      <w:r>
        <w:rPr>
          <w:color w:val="231F20"/>
        </w:rPr>
        <w:t>Приложение 1).</w:t>
      </w:r>
    </w:p>
    <w:p>
      <w:pPr>
        <w:pStyle w:val="BodyText"/>
        <w:ind w:left="425" w:right="0" w:firstLine="0"/>
      </w:pPr>
      <w:r>
        <w:rPr>
          <w:color w:val="231F20"/>
        </w:rPr>
        <w:t>Ниже</w:t>
      </w:r>
      <w:r>
        <w:rPr>
          <w:color w:val="231F20"/>
          <w:spacing w:val="-7"/>
        </w:rPr>
        <w:t> </w:t>
      </w:r>
      <w:r>
        <w:rPr>
          <w:color w:val="231F20"/>
        </w:rPr>
        <w:t>представим</w:t>
      </w:r>
      <w:r>
        <w:rPr>
          <w:color w:val="231F20"/>
          <w:spacing w:val="-7"/>
        </w:rPr>
        <w:t> </w:t>
      </w:r>
      <w:r>
        <w:rPr>
          <w:color w:val="231F20"/>
        </w:rPr>
        <w:t>несколько</w:t>
      </w:r>
      <w:r>
        <w:rPr>
          <w:color w:val="231F20"/>
          <w:spacing w:val="-7"/>
        </w:rPr>
        <w:t> </w:t>
      </w:r>
      <w:r>
        <w:rPr>
          <w:color w:val="231F20"/>
        </w:rPr>
        <w:t>примеров</w:t>
      </w:r>
      <w:r>
        <w:rPr>
          <w:color w:val="231F20"/>
          <w:spacing w:val="-8"/>
        </w:rPr>
        <w:t> </w:t>
      </w:r>
      <w:r>
        <w:rPr>
          <w:color w:val="231F20"/>
        </w:rPr>
        <w:t>интерактивных</w:t>
      </w:r>
      <w:r>
        <w:rPr>
          <w:color w:val="231F20"/>
          <w:spacing w:val="-6"/>
        </w:rPr>
        <w:t> </w:t>
      </w:r>
      <w:r>
        <w:rPr>
          <w:color w:val="231F20"/>
          <w:spacing w:val="-2"/>
        </w:rPr>
        <w:t>технологий.</w:t>
      </w:r>
    </w:p>
    <w:p>
      <w:pPr>
        <w:spacing w:line="228" w:lineRule="exact" w:before="71"/>
        <w:ind w:left="475" w:right="0" w:firstLine="0"/>
        <w:jc w:val="both"/>
        <w:rPr>
          <w:b/>
          <w:i/>
          <w:sz w:val="20"/>
        </w:rPr>
      </w:pPr>
      <w:r>
        <w:rPr>
          <w:b/>
          <w:i/>
          <w:color w:val="231F20"/>
          <w:sz w:val="20"/>
        </w:rPr>
        <w:t>Мозговой</w:t>
      </w:r>
      <w:r>
        <w:rPr>
          <w:b/>
          <w:i/>
          <w:color w:val="231F20"/>
          <w:spacing w:val="-11"/>
          <w:sz w:val="20"/>
        </w:rPr>
        <w:t> </w:t>
      </w:r>
      <w:r>
        <w:rPr>
          <w:b/>
          <w:i/>
          <w:color w:val="231F20"/>
          <w:spacing w:val="-2"/>
          <w:sz w:val="20"/>
        </w:rPr>
        <w:t>штурм</w:t>
      </w:r>
    </w:p>
    <w:p>
      <w:pPr>
        <w:pStyle w:val="BodyText"/>
        <w:spacing w:line="235" w:lineRule="auto" w:before="2"/>
        <w:ind w:left="425" w:firstLine="0"/>
      </w:pPr>
      <w:hyperlink r:id="rId217">
        <w:r>
          <w:rPr>
            <w:color w:val="231F20"/>
            <w:spacing w:val="-2"/>
          </w:rPr>
          <w:t>(https://www.atlassian.com/ru/work-management/project-collaboration/brainstorming)</w:t>
        </w:r>
      </w:hyperlink>
      <w:r>
        <w:rPr>
          <w:color w:val="231F20"/>
          <w:spacing w:val="-2"/>
        </w:rPr>
        <w:t> </w:t>
      </w:r>
      <w:r>
        <w:rPr>
          <w:color w:val="231F20"/>
        </w:rPr>
        <w:t>Мозговой штурм</w:t>
      </w:r>
      <w:r>
        <w:rPr>
          <w:color w:val="231F20"/>
          <w:spacing w:val="2"/>
        </w:rPr>
        <w:t> </w:t>
      </w:r>
      <w:r>
        <w:rPr>
          <w:color w:val="231F20"/>
        </w:rPr>
        <w:t>–</w:t>
      </w:r>
      <w:r>
        <w:rPr>
          <w:color w:val="231F20"/>
          <w:spacing w:val="2"/>
        </w:rPr>
        <w:t> </w:t>
      </w:r>
      <w:r>
        <w:rPr>
          <w:color w:val="231F20"/>
        </w:rPr>
        <w:t>обдумывание</w:t>
      </w:r>
      <w:r>
        <w:rPr>
          <w:color w:val="231F20"/>
          <w:spacing w:val="3"/>
        </w:rPr>
        <w:t> </w:t>
      </w:r>
      <w:r>
        <w:rPr>
          <w:color w:val="231F20"/>
        </w:rPr>
        <w:t>идей</w:t>
      </w:r>
      <w:r>
        <w:rPr>
          <w:color w:val="231F20"/>
          <w:spacing w:val="2"/>
        </w:rPr>
        <w:t> </w:t>
      </w:r>
      <w:r>
        <w:rPr>
          <w:color w:val="231F20"/>
        </w:rPr>
        <w:t>несколькими</w:t>
      </w:r>
      <w:r>
        <w:rPr>
          <w:color w:val="231F20"/>
          <w:spacing w:val="2"/>
        </w:rPr>
        <w:t> </w:t>
      </w:r>
      <w:r>
        <w:rPr>
          <w:color w:val="231F20"/>
        </w:rPr>
        <w:t>людьми</w:t>
      </w:r>
      <w:r>
        <w:rPr>
          <w:color w:val="231F20"/>
          <w:spacing w:val="3"/>
        </w:rPr>
        <w:t> </w:t>
      </w:r>
      <w:r>
        <w:rPr>
          <w:color w:val="231F20"/>
        </w:rPr>
        <w:t>в</w:t>
      </w:r>
      <w:r>
        <w:rPr>
          <w:color w:val="231F20"/>
          <w:spacing w:val="2"/>
        </w:rPr>
        <w:t> </w:t>
      </w:r>
      <w:r>
        <w:rPr>
          <w:color w:val="231F20"/>
        </w:rPr>
        <w:t>попытке</w:t>
      </w:r>
      <w:r>
        <w:rPr>
          <w:color w:val="231F20"/>
          <w:spacing w:val="2"/>
        </w:rPr>
        <w:t> </w:t>
      </w:r>
      <w:r>
        <w:rPr>
          <w:color w:val="231F20"/>
        </w:rPr>
        <w:t>найти</w:t>
      </w:r>
      <w:r>
        <w:rPr>
          <w:color w:val="231F20"/>
          <w:spacing w:val="3"/>
        </w:rPr>
        <w:t> </w:t>
      </w:r>
      <w:r>
        <w:rPr>
          <w:color w:val="231F20"/>
          <w:spacing w:val="-5"/>
        </w:rPr>
        <w:t>ре-</w:t>
      </w:r>
    </w:p>
    <w:p>
      <w:pPr>
        <w:pStyle w:val="BodyText"/>
        <w:spacing w:line="235" w:lineRule="auto" w:before="1"/>
        <w:ind w:right="3654" w:firstLine="0"/>
      </w:pPr>
      <w:r>
        <w:rPr>
          <w:color w:val="231F20"/>
        </w:rPr>
        <w:t>шение</w:t>
      </w:r>
      <w:r>
        <w:rPr>
          <w:color w:val="231F20"/>
          <w:spacing w:val="-8"/>
        </w:rPr>
        <w:t> </w:t>
      </w:r>
      <w:r>
        <w:rPr>
          <w:color w:val="231F20"/>
        </w:rPr>
        <w:t>проблемы.</w:t>
      </w:r>
      <w:r>
        <w:rPr>
          <w:color w:val="231F20"/>
          <w:spacing w:val="-8"/>
        </w:rPr>
        <w:t> </w:t>
      </w:r>
      <w:r>
        <w:rPr>
          <w:color w:val="231F20"/>
        </w:rPr>
        <w:t>В</w:t>
      </w:r>
      <w:r>
        <w:rPr>
          <w:color w:val="231F20"/>
          <w:spacing w:val="-8"/>
        </w:rPr>
        <w:t> </w:t>
      </w:r>
      <w:r>
        <w:rPr>
          <w:color w:val="231F20"/>
        </w:rPr>
        <w:t>целом</w:t>
      </w:r>
      <w:r>
        <w:rPr>
          <w:color w:val="231F20"/>
          <w:spacing w:val="-8"/>
        </w:rPr>
        <w:t> </w:t>
      </w:r>
      <w:r>
        <w:rPr>
          <w:color w:val="231F20"/>
        </w:rPr>
        <w:t>он</w:t>
      </w:r>
      <w:r>
        <w:rPr>
          <w:color w:val="231F20"/>
          <w:spacing w:val="-9"/>
        </w:rPr>
        <w:t> </w:t>
      </w:r>
      <w:r>
        <w:rPr>
          <w:color w:val="231F20"/>
        </w:rPr>
        <w:t>способствует: –</w:t>
      </w:r>
      <w:r>
        <w:rPr>
          <w:color w:val="231F20"/>
          <w:spacing w:val="80"/>
        </w:rPr>
        <w:t> </w:t>
      </w:r>
      <w:r>
        <w:rPr>
          <w:color w:val="231F20"/>
        </w:rPr>
        <w:t>развитию творческого мышления;</w:t>
      </w:r>
    </w:p>
    <w:p>
      <w:pPr>
        <w:pStyle w:val="BodyText"/>
        <w:spacing w:after="0" w:line="235" w:lineRule="auto"/>
        <w:sectPr>
          <w:pgSz w:w="8400" w:h="11910"/>
          <w:pgMar w:header="0" w:footer="529" w:top="400" w:bottom="740" w:left="425" w:right="425"/>
        </w:sectPr>
      </w:pPr>
    </w:p>
    <w:p>
      <w:pPr>
        <w:pStyle w:val="ListParagraph"/>
        <w:numPr>
          <w:ilvl w:val="1"/>
          <w:numId w:val="228"/>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Интерактивные</w:t>
      </w:r>
      <w:r>
        <w:rPr>
          <w:rFonts w:ascii="Georgia" w:hAnsi="Georgia"/>
          <w:color w:val="231F20"/>
          <w:spacing w:val="4"/>
          <w:sz w:val="18"/>
        </w:rPr>
        <w:t> </w:t>
      </w:r>
      <w:r>
        <w:rPr>
          <w:rFonts w:ascii="Georgia" w:hAnsi="Georgia"/>
          <w:color w:val="231F20"/>
          <w:sz w:val="18"/>
        </w:rPr>
        <w:t>технологии</w:t>
      </w:r>
      <w:r>
        <w:rPr>
          <w:rFonts w:ascii="Georgia" w:hAnsi="Georgia"/>
          <w:color w:val="231F20"/>
          <w:spacing w:val="4"/>
          <w:sz w:val="18"/>
        </w:rPr>
        <w:t> </w:t>
      </w:r>
      <w:r>
        <w:rPr>
          <w:rFonts w:ascii="Georgia" w:hAnsi="Georgia"/>
          <w:color w:val="231F20"/>
          <w:sz w:val="18"/>
        </w:rPr>
        <w:t>развития</w:t>
      </w:r>
      <w:r>
        <w:rPr>
          <w:rFonts w:ascii="Georgia" w:hAnsi="Georgia"/>
          <w:color w:val="231F20"/>
          <w:spacing w:val="4"/>
          <w:sz w:val="18"/>
        </w:rPr>
        <w:t> </w:t>
      </w:r>
      <w:r>
        <w:rPr>
          <w:rFonts w:ascii="Georgia" w:hAnsi="Georgia"/>
          <w:color w:val="231F20"/>
          <w:sz w:val="18"/>
        </w:rPr>
        <w:t>межкультурной</w:t>
      </w:r>
      <w:r>
        <w:rPr>
          <w:rFonts w:ascii="Georgia" w:hAnsi="Georgia"/>
          <w:color w:val="231F20"/>
          <w:spacing w:val="4"/>
          <w:sz w:val="18"/>
        </w:rPr>
        <w:t> </w:t>
      </w:r>
      <w:r>
        <w:rPr>
          <w:rFonts w:ascii="Georgia" w:hAnsi="Georgia"/>
          <w:color w:val="231F20"/>
          <w:sz w:val="18"/>
        </w:rPr>
        <w:t>компетентности</w:t>
      </w:r>
      <w:r>
        <w:rPr>
          <w:rFonts w:ascii="Georgia" w:hAnsi="Georgia"/>
          <w:color w:val="231F20"/>
          <w:spacing w:val="4"/>
          <w:sz w:val="18"/>
        </w:rPr>
        <w:t> </w:t>
      </w:r>
      <w:r>
        <w:rPr>
          <w:rFonts w:ascii="Georgia" w:hAnsi="Georgia"/>
          <w:color w:val="231F20"/>
          <w:spacing w:val="-2"/>
          <w:sz w:val="18"/>
        </w:rPr>
        <w:t>педагогов</w:t>
      </w:r>
    </w:p>
    <w:p>
      <w:pPr>
        <w:pStyle w:val="ListParagraph"/>
        <w:numPr>
          <w:ilvl w:val="2"/>
          <w:numId w:val="228"/>
        </w:numPr>
        <w:tabs>
          <w:tab w:pos="424" w:val="left" w:leader="none"/>
        </w:tabs>
        <w:spacing w:line="240" w:lineRule="auto" w:before="112" w:after="0"/>
        <w:ind w:left="424" w:right="0" w:hanging="283"/>
        <w:jc w:val="both"/>
        <w:rPr>
          <w:sz w:val="20"/>
        </w:rPr>
      </w:pPr>
      <w:r>
        <w:rPr>
          <w:color w:val="231F20"/>
          <w:sz w:val="20"/>
        </w:rPr>
        <w:t>эффективности</w:t>
      </w:r>
      <w:r>
        <w:rPr>
          <w:color w:val="231F20"/>
          <w:spacing w:val="-5"/>
          <w:sz w:val="20"/>
        </w:rPr>
        <w:t> </w:t>
      </w:r>
      <w:r>
        <w:rPr>
          <w:color w:val="231F20"/>
          <w:sz w:val="20"/>
        </w:rPr>
        <w:t>совместной</w:t>
      </w:r>
      <w:r>
        <w:rPr>
          <w:color w:val="231F20"/>
          <w:spacing w:val="-4"/>
          <w:sz w:val="20"/>
        </w:rPr>
        <w:t> </w:t>
      </w:r>
      <w:r>
        <w:rPr>
          <w:color w:val="231F20"/>
          <w:sz w:val="20"/>
        </w:rPr>
        <w:t>работы</w:t>
      </w:r>
      <w:r>
        <w:rPr>
          <w:color w:val="231F20"/>
          <w:spacing w:val="-3"/>
          <w:sz w:val="20"/>
        </w:rPr>
        <w:t> </w:t>
      </w:r>
      <w:r>
        <w:rPr>
          <w:color w:val="231F20"/>
          <w:sz w:val="20"/>
        </w:rPr>
        <w:t>и</w:t>
      </w:r>
      <w:r>
        <w:rPr>
          <w:color w:val="231F20"/>
          <w:spacing w:val="-4"/>
          <w:sz w:val="20"/>
        </w:rPr>
        <w:t> </w:t>
      </w:r>
      <w:r>
        <w:rPr>
          <w:color w:val="231F20"/>
          <w:sz w:val="20"/>
        </w:rPr>
        <w:t>сплоченности</w:t>
      </w:r>
      <w:r>
        <w:rPr>
          <w:color w:val="231F20"/>
          <w:spacing w:val="-4"/>
          <w:sz w:val="20"/>
        </w:rPr>
        <w:t> </w:t>
      </w:r>
      <w:r>
        <w:rPr>
          <w:color w:val="231F20"/>
          <w:spacing w:val="-2"/>
          <w:sz w:val="20"/>
        </w:rPr>
        <w:t>команды;</w:t>
      </w:r>
    </w:p>
    <w:p>
      <w:pPr>
        <w:pStyle w:val="ListParagraph"/>
        <w:numPr>
          <w:ilvl w:val="2"/>
          <w:numId w:val="228"/>
        </w:numPr>
        <w:tabs>
          <w:tab w:pos="424" w:val="left" w:leader="none"/>
        </w:tabs>
        <w:spacing w:line="240" w:lineRule="auto" w:before="6" w:after="0"/>
        <w:ind w:left="424" w:right="0" w:hanging="283"/>
        <w:jc w:val="both"/>
        <w:rPr>
          <w:sz w:val="20"/>
        </w:rPr>
      </w:pPr>
      <w:r>
        <w:rPr>
          <w:color w:val="231F20"/>
          <w:sz w:val="20"/>
        </w:rPr>
        <w:t>принятию</w:t>
      </w:r>
      <w:r>
        <w:rPr>
          <w:color w:val="231F20"/>
          <w:spacing w:val="-7"/>
          <w:sz w:val="20"/>
        </w:rPr>
        <w:t> </w:t>
      </w:r>
      <w:r>
        <w:rPr>
          <w:color w:val="231F20"/>
          <w:sz w:val="20"/>
        </w:rPr>
        <w:t>и</w:t>
      </w:r>
      <w:r>
        <w:rPr>
          <w:color w:val="231F20"/>
          <w:spacing w:val="-4"/>
          <w:sz w:val="20"/>
        </w:rPr>
        <w:t> </w:t>
      </w:r>
      <w:r>
        <w:rPr>
          <w:color w:val="231F20"/>
          <w:sz w:val="20"/>
        </w:rPr>
        <w:t>реализации</w:t>
      </w:r>
      <w:r>
        <w:rPr>
          <w:color w:val="231F20"/>
          <w:spacing w:val="-5"/>
          <w:sz w:val="20"/>
        </w:rPr>
        <w:t> </w:t>
      </w:r>
      <w:r>
        <w:rPr>
          <w:color w:val="231F20"/>
          <w:sz w:val="20"/>
        </w:rPr>
        <w:t>плана</w:t>
      </w:r>
      <w:r>
        <w:rPr>
          <w:color w:val="231F20"/>
          <w:spacing w:val="-3"/>
          <w:sz w:val="20"/>
        </w:rPr>
        <w:t> </w:t>
      </w:r>
      <w:r>
        <w:rPr>
          <w:color w:val="231F20"/>
          <w:sz w:val="20"/>
        </w:rPr>
        <w:t>действий</w:t>
      </w:r>
      <w:r>
        <w:rPr>
          <w:color w:val="231F20"/>
          <w:spacing w:val="-5"/>
          <w:sz w:val="20"/>
        </w:rPr>
        <w:t> </w:t>
      </w:r>
      <w:r>
        <w:rPr>
          <w:color w:val="231F20"/>
          <w:sz w:val="20"/>
        </w:rPr>
        <w:t>или</w:t>
      </w:r>
      <w:r>
        <w:rPr>
          <w:color w:val="231F20"/>
          <w:spacing w:val="-5"/>
          <w:sz w:val="20"/>
        </w:rPr>
        <w:t> </w:t>
      </w:r>
      <w:r>
        <w:rPr>
          <w:color w:val="231F20"/>
          <w:sz w:val="20"/>
        </w:rPr>
        <w:t>просто</w:t>
      </w:r>
      <w:r>
        <w:rPr>
          <w:color w:val="231F20"/>
          <w:spacing w:val="-4"/>
          <w:sz w:val="20"/>
        </w:rPr>
        <w:t> </w:t>
      </w:r>
      <w:r>
        <w:rPr>
          <w:color w:val="231F20"/>
          <w:sz w:val="20"/>
        </w:rPr>
        <w:t>сплачивает</w:t>
      </w:r>
      <w:r>
        <w:rPr>
          <w:color w:val="231F20"/>
          <w:spacing w:val="-3"/>
          <w:sz w:val="20"/>
        </w:rPr>
        <w:t> </w:t>
      </w:r>
      <w:r>
        <w:rPr>
          <w:color w:val="231F20"/>
          <w:spacing w:val="-2"/>
          <w:sz w:val="20"/>
        </w:rPr>
        <w:t>команду.</w:t>
      </w:r>
    </w:p>
    <w:p>
      <w:pPr>
        <w:spacing w:before="96"/>
        <w:ind w:left="425" w:right="0" w:firstLine="0"/>
        <w:jc w:val="both"/>
        <w:rPr>
          <w:i/>
          <w:sz w:val="20"/>
        </w:rPr>
      </w:pPr>
      <w:r>
        <w:rPr>
          <w:i/>
          <w:color w:val="231F20"/>
          <w:sz w:val="20"/>
        </w:rPr>
        <w:t>Базовые</w:t>
      </w:r>
      <w:r>
        <w:rPr>
          <w:i/>
          <w:color w:val="231F20"/>
          <w:spacing w:val="-5"/>
          <w:sz w:val="20"/>
        </w:rPr>
        <w:t> </w:t>
      </w:r>
      <w:r>
        <w:rPr>
          <w:i/>
          <w:color w:val="231F20"/>
          <w:spacing w:val="-2"/>
          <w:sz w:val="20"/>
        </w:rPr>
        <w:t>принципы</w:t>
      </w:r>
    </w:p>
    <w:p>
      <w:pPr>
        <w:pStyle w:val="BodyText"/>
        <w:spacing w:before="6"/>
        <w:ind w:left="425" w:right="0" w:firstLine="0"/>
      </w:pPr>
      <w:r>
        <w:rPr>
          <w:i/>
          <w:color w:val="231F20"/>
        </w:rPr>
        <w:t>Правило</w:t>
      </w:r>
      <w:r>
        <w:rPr>
          <w:i/>
          <w:color w:val="231F20"/>
          <w:spacing w:val="-6"/>
        </w:rPr>
        <w:t> </w:t>
      </w:r>
      <w:r>
        <w:rPr>
          <w:i/>
          <w:color w:val="231F20"/>
        </w:rPr>
        <w:t>1.</w:t>
      </w:r>
      <w:r>
        <w:rPr>
          <w:i/>
          <w:color w:val="231F20"/>
          <w:spacing w:val="-6"/>
        </w:rPr>
        <w:t> </w:t>
      </w:r>
      <w:r>
        <w:rPr>
          <w:color w:val="231F20"/>
        </w:rPr>
        <w:t>Генерировать</w:t>
      </w:r>
      <w:r>
        <w:rPr>
          <w:color w:val="231F20"/>
          <w:spacing w:val="-6"/>
        </w:rPr>
        <w:t> </w:t>
      </w:r>
      <w:r>
        <w:rPr>
          <w:color w:val="231F20"/>
        </w:rPr>
        <w:t>как</w:t>
      </w:r>
      <w:r>
        <w:rPr>
          <w:color w:val="231F20"/>
          <w:spacing w:val="-6"/>
        </w:rPr>
        <w:t> </w:t>
      </w:r>
      <w:r>
        <w:rPr>
          <w:color w:val="231F20"/>
        </w:rPr>
        <w:t>можно</w:t>
      </w:r>
      <w:r>
        <w:rPr>
          <w:color w:val="231F20"/>
          <w:spacing w:val="-5"/>
        </w:rPr>
        <w:t> </w:t>
      </w:r>
      <w:r>
        <w:rPr>
          <w:color w:val="231F20"/>
        </w:rPr>
        <w:t>больше</w:t>
      </w:r>
      <w:r>
        <w:rPr>
          <w:color w:val="231F20"/>
          <w:spacing w:val="-5"/>
        </w:rPr>
        <w:t> </w:t>
      </w:r>
      <w:r>
        <w:rPr>
          <w:color w:val="231F20"/>
        </w:rPr>
        <w:t>идей</w:t>
      </w:r>
      <w:r>
        <w:rPr>
          <w:color w:val="231F20"/>
          <w:spacing w:val="-7"/>
        </w:rPr>
        <w:t> </w:t>
      </w:r>
      <w:r>
        <w:rPr>
          <w:color w:val="231F20"/>
        </w:rPr>
        <w:t>во</w:t>
      </w:r>
      <w:r>
        <w:rPr>
          <w:color w:val="231F20"/>
          <w:spacing w:val="-5"/>
        </w:rPr>
        <w:t> </w:t>
      </w:r>
      <w:r>
        <w:rPr>
          <w:color w:val="231F20"/>
        </w:rPr>
        <w:t>время</w:t>
      </w:r>
      <w:r>
        <w:rPr>
          <w:color w:val="231F20"/>
          <w:spacing w:val="-5"/>
        </w:rPr>
        <w:t> </w:t>
      </w:r>
      <w:r>
        <w:rPr>
          <w:color w:val="231F20"/>
          <w:spacing w:val="-2"/>
        </w:rPr>
        <w:t>сеанса.</w:t>
      </w:r>
    </w:p>
    <w:p>
      <w:pPr>
        <w:pStyle w:val="BodyText"/>
        <w:spacing w:line="247" w:lineRule="auto" w:before="6"/>
      </w:pPr>
      <w:r>
        <w:rPr>
          <w:color w:val="231F20"/>
        </w:rPr>
        <w:t>Многим</w:t>
      </w:r>
      <w:r>
        <w:rPr>
          <w:color w:val="231F20"/>
          <w:spacing w:val="-9"/>
        </w:rPr>
        <w:t> </w:t>
      </w:r>
      <w:r>
        <w:rPr>
          <w:color w:val="231F20"/>
        </w:rPr>
        <w:t>это</w:t>
      </w:r>
      <w:r>
        <w:rPr>
          <w:color w:val="231F20"/>
          <w:spacing w:val="-9"/>
        </w:rPr>
        <w:t> </w:t>
      </w:r>
      <w:r>
        <w:rPr>
          <w:color w:val="231F20"/>
        </w:rPr>
        <w:t>покажется</w:t>
      </w:r>
      <w:r>
        <w:rPr>
          <w:color w:val="231F20"/>
          <w:spacing w:val="-9"/>
        </w:rPr>
        <w:t> </w:t>
      </w:r>
      <w:r>
        <w:rPr>
          <w:color w:val="231F20"/>
        </w:rPr>
        <w:t>нелогичным,</w:t>
      </w:r>
      <w:r>
        <w:rPr>
          <w:color w:val="231F20"/>
          <w:spacing w:val="-9"/>
        </w:rPr>
        <w:t> </w:t>
      </w:r>
      <w:r>
        <w:rPr>
          <w:color w:val="231F20"/>
        </w:rPr>
        <w:t>но</w:t>
      </w:r>
      <w:r>
        <w:rPr>
          <w:color w:val="231F20"/>
          <w:spacing w:val="-9"/>
        </w:rPr>
        <w:t> </w:t>
      </w:r>
      <w:r>
        <w:rPr>
          <w:color w:val="231F20"/>
        </w:rPr>
        <w:t>при</w:t>
      </w:r>
      <w:r>
        <w:rPr>
          <w:color w:val="231F20"/>
          <w:spacing w:val="-9"/>
        </w:rPr>
        <w:t> </w:t>
      </w:r>
      <w:r>
        <w:rPr>
          <w:color w:val="231F20"/>
        </w:rPr>
        <w:t>мозговом</w:t>
      </w:r>
      <w:r>
        <w:rPr>
          <w:color w:val="231F20"/>
          <w:spacing w:val="-9"/>
        </w:rPr>
        <w:t> </w:t>
      </w:r>
      <w:r>
        <w:rPr>
          <w:color w:val="231F20"/>
        </w:rPr>
        <w:t>штурме</w:t>
      </w:r>
      <w:r>
        <w:rPr>
          <w:color w:val="231F20"/>
          <w:spacing w:val="-9"/>
        </w:rPr>
        <w:t> </w:t>
      </w:r>
      <w:r>
        <w:rPr>
          <w:color w:val="231F20"/>
        </w:rPr>
        <w:t>важнее</w:t>
      </w:r>
      <w:r>
        <w:rPr>
          <w:color w:val="231F20"/>
          <w:spacing w:val="-9"/>
        </w:rPr>
        <w:t> </w:t>
      </w:r>
      <w:r>
        <w:rPr>
          <w:color w:val="231F20"/>
        </w:rPr>
        <w:t>количество, а</w:t>
      </w:r>
      <w:r>
        <w:rPr>
          <w:color w:val="231F20"/>
          <w:spacing w:val="-8"/>
        </w:rPr>
        <w:t> </w:t>
      </w:r>
      <w:r>
        <w:rPr>
          <w:color w:val="231F20"/>
        </w:rPr>
        <w:t>не</w:t>
      </w:r>
      <w:r>
        <w:rPr>
          <w:color w:val="231F20"/>
          <w:spacing w:val="-8"/>
        </w:rPr>
        <w:t> </w:t>
      </w:r>
      <w:r>
        <w:rPr>
          <w:color w:val="231F20"/>
        </w:rPr>
        <w:t>качество.</w:t>
      </w:r>
      <w:r>
        <w:rPr>
          <w:color w:val="231F20"/>
          <w:spacing w:val="-8"/>
        </w:rPr>
        <w:t> </w:t>
      </w:r>
      <w:r>
        <w:rPr>
          <w:color w:val="231F20"/>
        </w:rPr>
        <w:t>Стараясь</w:t>
      </w:r>
      <w:r>
        <w:rPr>
          <w:color w:val="231F20"/>
          <w:spacing w:val="-8"/>
        </w:rPr>
        <w:t> </w:t>
      </w:r>
      <w:r>
        <w:rPr>
          <w:color w:val="231F20"/>
        </w:rPr>
        <w:t>получить</w:t>
      </w:r>
      <w:r>
        <w:rPr>
          <w:color w:val="231F20"/>
          <w:spacing w:val="-8"/>
        </w:rPr>
        <w:t> </w:t>
      </w:r>
      <w:r>
        <w:rPr>
          <w:color w:val="231F20"/>
        </w:rPr>
        <w:t>как</w:t>
      </w:r>
      <w:r>
        <w:rPr>
          <w:color w:val="231F20"/>
          <w:spacing w:val="-8"/>
        </w:rPr>
        <w:t> </w:t>
      </w:r>
      <w:r>
        <w:rPr>
          <w:color w:val="231F20"/>
        </w:rPr>
        <w:t>можно</w:t>
      </w:r>
      <w:r>
        <w:rPr>
          <w:color w:val="231F20"/>
          <w:spacing w:val="-8"/>
        </w:rPr>
        <w:t> </w:t>
      </w:r>
      <w:r>
        <w:rPr>
          <w:color w:val="231F20"/>
        </w:rPr>
        <w:t>больше</w:t>
      </w:r>
      <w:r>
        <w:rPr>
          <w:color w:val="231F20"/>
          <w:spacing w:val="-8"/>
        </w:rPr>
        <w:t> </w:t>
      </w:r>
      <w:r>
        <w:rPr>
          <w:color w:val="231F20"/>
        </w:rPr>
        <w:t>идей,</w:t>
      </w:r>
      <w:r>
        <w:rPr>
          <w:color w:val="231F20"/>
          <w:spacing w:val="-8"/>
        </w:rPr>
        <w:t> </w:t>
      </w:r>
      <w:r>
        <w:rPr>
          <w:color w:val="231F20"/>
        </w:rPr>
        <w:t>люди</w:t>
      </w:r>
      <w:r>
        <w:rPr>
          <w:color w:val="231F20"/>
          <w:spacing w:val="-8"/>
        </w:rPr>
        <w:t> </w:t>
      </w:r>
      <w:r>
        <w:rPr>
          <w:color w:val="231F20"/>
        </w:rPr>
        <w:t>охотнее</w:t>
      </w:r>
      <w:r>
        <w:rPr>
          <w:color w:val="231F20"/>
          <w:spacing w:val="-8"/>
        </w:rPr>
        <w:t> </w:t>
      </w:r>
      <w:r>
        <w:rPr>
          <w:color w:val="231F20"/>
        </w:rPr>
        <w:t>делятся</w:t>
      </w:r>
      <w:r>
        <w:rPr>
          <w:color w:val="231F20"/>
          <w:spacing w:val="-8"/>
        </w:rPr>
        <w:t> </w:t>
      </w:r>
      <w:r>
        <w:rPr>
          <w:color w:val="231F20"/>
        </w:rPr>
        <w:t>тем, что в другом случае посчитали бы несущественным или выходящим за рамки.</w:t>
      </w:r>
    </w:p>
    <w:p>
      <w:pPr>
        <w:spacing w:line="227" w:lineRule="exact" w:before="0"/>
        <w:ind w:left="425" w:right="0" w:firstLine="0"/>
        <w:jc w:val="both"/>
        <w:rPr>
          <w:sz w:val="20"/>
        </w:rPr>
      </w:pPr>
      <w:r>
        <w:rPr>
          <w:i/>
          <w:color w:val="231F20"/>
          <w:sz w:val="20"/>
        </w:rPr>
        <w:t>Правило</w:t>
      </w:r>
      <w:r>
        <w:rPr>
          <w:i/>
          <w:color w:val="231F20"/>
          <w:spacing w:val="-8"/>
          <w:sz w:val="20"/>
        </w:rPr>
        <w:t> </w:t>
      </w:r>
      <w:r>
        <w:rPr>
          <w:i/>
          <w:color w:val="231F20"/>
          <w:sz w:val="20"/>
        </w:rPr>
        <w:t>2.</w:t>
      </w:r>
      <w:r>
        <w:rPr>
          <w:i/>
          <w:color w:val="231F20"/>
          <w:spacing w:val="-7"/>
          <w:sz w:val="20"/>
        </w:rPr>
        <w:t> </w:t>
      </w:r>
      <w:r>
        <w:rPr>
          <w:color w:val="231F20"/>
          <w:sz w:val="20"/>
        </w:rPr>
        <w:t>Запрещено</w:t>
      </w:r>
      <w:r>
        <w:rPr>
          <w:color w:val="231F20"/>
          <w:spacing w:val="-6"/>
          <w:sz w:val="20"/>
        </w:rPr>
        <w:t> </w:t>
      </w:r>
      <w:r>
        <w:rPr>
          <w:color w:val="231F20"/>
          <w:sz w:val="20"/>
        </w:rPr>
        <w:t>критиковать</w:t>
      </w:r>
      <w:r>
        <w:rPr>
          <w:color w:val="231F20"/>
          <w:spacing w:val="-6"/>
          <w:sz w:val="20"/>
        </w:rPr>
        <w:t> </w:t>
      </w:r>
      <w:r>
        <w:rPr>
          <w:color w:val="231F20"/>
          <w:spacing w:val="-2"/>
          <w:sz w:val="20"/>
        </w:rPr>
        <w:t>идеи.</w:t>
      </w:r>
    </w:p>
    <w:p>
      <w:pPr>
        <w:pStyle w:val="BodyText"/>
        <w:spacing w:line="247" w:lineRule="auto" w:before="6"/>
      </w:pPr>
      <w:r>
        <w:rPr>
          <w:color w:val="231F20"/>
        </w:rPr>
        <w:t>Такой</w:t>
      </w:r>
      <w:r>
        <w:rPr>
          <w:color w:val="231F20"/>
          <w:spacing w:val="-13"/>
        </w:rPr>
        <w:t> </w:t>
      </w:r>
      <w:r>
        <w:rPr>
          <w:color w:val="231F20"/>
        </w:rPr>
        <w:t>подход</w:t>
      </w:r>
      <w:r>
        <w:rPr>
          <w:color w:val="231F20"/>
          <w:spacing w:val="-12"/>
        </w:rPr>
        <w:t> </w:t>
      </w:r>
      <w:r>
        <w:rPr>
          <w:color w:val="231F20"/>
        </w:rPr>
        <w:t>называют</w:t>
      </w:r>
      <w:r>
        <w:rPr>
          <w:color w:val="231F20"/>
          <w:spacing w:val="-13"/>
        </w:rPr>
        <w:t> </w:t>
      </w:r>
      <w:r>
        <w:rPr>
          <w:color w:val="231F20"/>
        </w:rPr>
        <w:t>безоценочным.</w:t>
      </w:r>
      <w:r>
        <w:rPr>
          <w:color w:val="231F20"/>
          <w:spacing w:val="-12"/>
        </w:rPr>
        <w:t> </w:t>
      </w:r>
      <w:r>
        <w:rPr>
          <w:color w:val="231F20"/>
        </w:rPr>
        <w:t>Мозговой</w:t>
      </w:r>
      <w:r>
        <w:rPr>
          <w:color w:val="231F20"/>
          <w:spacing w:val="-13"/>
        </w:rPr>
        <w:t> </w:t>
      </w:r>
      <w:r>
        <w:rPr>
          <w:color w:val="231F20"/>
        </w:rPr>
        <w:t>штурм</w:t>
      </w:r>
      <w:r>
        <w:rPr>
          <w:color w:val="231F20"/>
          <w:spacing w:val="-12"/>
        </w:rPr>
        <w:t> </w:t>
      </w:r>
      <w:r>
        <w:rPr>
          <w:color w:val="231F20"/>
        </w:rPr>
        <w:t>заключается</w:t>
      </w:r>
      <w:r>
        <w:rPr>
          <w:color w:val="231F20"/>
          <w:spacing w:val="-13"/>
        </w:rPr>
        <w:t> </w:t>
      </w:r>
      <w:r>
        <w:rPr>
          <w:color w:val="231F20"/>
        </w:rPr>
        <w:t>в</w:t>
      </w:r>
      <w:r>
        <w:rPr>
          <w:color w:val="231F20"/>
          <w:spacing w:val="-12"/>
        </w:rPr>
        <w:t> </w:t>
      </w:r>
      <w:r>
        <w:rPr>
          <w:color w:val="231F20"/>
        </w:rPr>
        <w:t>генериро- вании</w:t>
      </w:r>
      <w:r>
        <w:rPr>
          <w:color w:val="231F20"/>
          <w:spacing w:val="-8"/>
        </w:rPr>
        <w:t> </w:t>
      </w:r>
      <w:r>
        <w:rPr>
          <w:color w:val="231F20"/>
        </w:rPr>
        <w:t>идей,</w:t>
      </w:r>
      <w:r>
        <w:rPr>
          <w:color w:val="231F20"/>
          <w:spacing w:val="-8"/>
        </w:rPr>
        <w:t> </w:t>
      </w:r>
      <w:r>
        <w:rPr>
          <w:color w:val="231F20"/>
        </w:rPr>
        <w:t>а</w:t>
      </w:r>
      <w:r>
        <w:rPr>
          <w:color w:val="231F20"/>
          <w:spacing w:val="-8"/>
        </w:rPr>
        <w:t> </w:t>
      </w:r>
      <w:r>
        <w:rPr>
          <w:color w:val="231F20"/>
        </w:rPr>
        <w:t>не</w:t>
      </w:r>
      <w:r>
        <w:rPr>
          <w:color w:val="231F20"/>
          <w:spacing w:val="-8"/>
        </w:rPr>
        <w:t> </w:t>
      </w:r>
      <w:r>
        <w:rPr>
          <w:color w:val="231F20"/>
        </w:rPr>
        <w:t>в</w:t>
      </w:r>
      <w:r>
        <w:rPr>
          <w:color w:val="231F20"/>
          <w:spacing w:val="-8"/>
        </w:rPr>
        <w:t> </w:t>
      </w:r>
      <w:r>
        <w:rPr>
          <w:color w:val="231F20"/>
        </w:rPr>
        <w:t>немедленной</w:t>
      </w:r>
      <w:r>
        <w:rPr>
          <w:color w:val="231F20"/>
          <w:spacing w:val="-8"/>
        </w:rPr>
        <w:t> </w:t>
      </w:r>
      <w:r>
        <w:rPr>
          <w:color w:val="231F20"/>
        </w:rPr>
        <w:t>их</w:t>
      </w:r>
      <w:r>
        <w:rPr>
          <w:color w:val="231F20"/>
          <w:spacing w:val="-8"/>
        </w:rPr>
        <w:t> </w:t>
      </w:r>
      <w:r>
        <w:rPr>
          <w:color w:val="231F20"/>
        </w:rPr>
        <w:t>критике.</w:t>
      </w:r>
      <w:r>
        <w:rPr>
          <w:color w:val="231F20"/>
          <w:spacing w:val="-8"/>
        </w:rPr>
        <w:t> </w:t>
      </w:r>
      <w:r>
        <w:rPr>
          <w:color w:val="231F20"/>
        </w:rPr>
        <w:t>Отсутствие</w:t>
      </w:r>
      <w:r>
        <w:rPr>
          <w:color w:val="231F20"/>
          <w:spacing w:val="-8"/>
        </w:rPr>
        <w:t> </w:t>
      </w:r>
      <w:r>
        <w:rPr>
          <w:color w:val="231F20"/>
        </w:rPr>
        <w:t>немедленных</w:t>
      </w:r>
      <w:r>
        <w:rPr>
          <w:color w:val="231F20"/>
          <w:spacing w:val="-8"/>
        </w:rPr>
        <w:t> </w:t>
      </w:r>
      <w:r>
        <w:rPr>
          <w:color w:val="231F20"/>
        </w:rPr>
        <w:t>отзывов</w:t>
      </w:r>
      <w:r>
        <w:rPr>
          <w:color w:val="231F20"/>
          <w:spacing w:val="-8"/>
        </w:rPr>
        <w:t> </w:t>
      </w:r>
      <w:r>
        <w:rPr>
          <w:color w:val="231F20"/>
        </w:rPr>
        <w:t>позво- ляет людям более открыто делиться идеями, не боясь неудач или неодобрения.</w:t>
      </w:r>
    </w:p>
    <w:p>
      <w:pPr>
        <w:spacing w:line="227" w:lineRule="exact" w:before="0"/>
        <w:ind w:left="425" w:right="0" w:firstLine="0"/>
        <w:jc w:val="both"/>
        <w:rPr>
          <w:sz w:val="20"/>
        </w:rPr>
      </w:pPr>
      <w:r>
        <w:rPr>
          <w:i/>
          <w:color w:val="231F20"/>
          <w:sz w:val="20"/>
        </w:rPr>
        <w:t>Правило</w:t>
      </w:r>
      <w:r>
        <w:rPr>
          <w:i/>
          <w:color w:val="231F20"/>
          <w:spacing w:val="-2"/>
          <w:sz w:val="20"/>
        </w:rPr>
        <w:t> </w:t>
      </w:r>
      <w:r>
        <w:rPr>
          <w:i/>
          <w:color w:val="231F20"/>
          <w:sz w:val="20"/>
        </w:rPr>
        <w:t>3.</w:t>
      </w:r>
      <w:r>
        <w:rPr>
          <w:i/>
          <w:color w:val="231F20"/>
          <w:spacing w:val="-2"/>
          <w:sz w:val="20"/>
        </w:rPr>
        <w:t> </w:t>
      </w:r>
      <w:r>
        <w:rPr>
          <w:color w:val="231F20"/>
          <w:sz w:val="20"/>
        </w:rPr>
        <w:t>Безумные</w:t>
      </w:r>
      <w:r>
        <w:rPr>
          <w:color w:val="231F20"/>
          <w:spacing w:val="-1"/>
          <w:sz w:val="20"/>
        </w:rPr>
        <w:t> </w:t>
      </w:r>
      <w:r>
        <w:rPr>
          <w:color w:val="231F20"/>
          <w:sz w:val="20"/>
        </w:rPr>
        <w:t>и</w:t>
      </w:r>
      <w:r>
        <w:rPr>
          <w:color w:val="231F20"/>
          <w:spacing w:val="-2"/>
          <w:sz w:val="20"/>
        </w:rPr>
        <w:t> </w:t>
      </w:r>
      <w:r>
        <w:rPr>
          <w:color w:val="231F20"/>
          <w:sz w:val="20"/>
        </w:rPr>
        <w:t>амбициозные</w:t>
      </w:r>
      <w:r>
        <w:rPr>
          <w:color w:val="231F20"/>
          <w:spacing w:val="-1"/>
          <w:sz w:val="20"/>
        </w:rPr>
        <w:t> </w:t>
      </w:r>
      <w:r>
        <w:rPr>
          <w:color w:val="231F20"/>
          <w:sz w:val="20"/>
        </w:rPr>
        <w:t>идеи</w:t>
      </w:r>
      <w:r>
        <w:rPr>
          <w:color w:val="231F20"/>
          <w:spacing w:val="-2"/>
          <w:sz w:val="20"/>
        </w:rPr>
        <w:t> приветствуются.</w:t>
      </w:r>
    </w:p>
    <w:p>
      <w:pPr>
        <w:pStyle w:val="BodyText"/>
        <w:spacing w:line="247" w:lineRule="auto" w:before="6"/>
      </w:pPr>
      <w:r>
        <w:rPr>
          <w:color w:val="231F20"/>
        </w:rPr>
        <w:t>Во время сеанса мозгового штурма участники должны мыслить широко. Именно поэтому существует данный принцип (который также называют «свободный полет фантазии»). Он помогает развивать творческое мышление, потому что участники знают, что им не просто разрешают, но и настоятельно рекомендуют мыслить не- </w:t>
      </w:r>
      <w:r>
        <w:rPr>
          <w:color w:val="231F20"/>
          <w:spacing w:val="-2"/>
        </w:rPr>
        <w:t>стандартно.</w:t>
      </w:r>
    </w:p>
    <w:p>
      <w:pPr>
        <w:pStyle w:val="BodyText"/>
        <w:spacing w:line="226" w:lineRule="exact"/>
        <w:ind w:left="425" w:right="0" w:firstLine="0"/>
      </w:pPr>
      <w:r>
        <w:rPr>
          <w:i/>
          <w:color w:val="231F20"/>
        </w:rPr>
        <w:t>Правило</w:t>
      </w:r>
      <w:r>
        <w:rPr>
          <w:i/>
          <w:color w:val="231F20"/>
          <w:spacing w:val="-9"/>
        </w:rPr>
        <w:t> </w:t>
      </w:r>
      <w:r>
        <w:rPr>
          <w:i/>
          <w:color w:val="231F20"/>
        </w:rPr>
        <w:t>4.</w:t>
      </w:r>
      <w:r>
        <w:rPr>
          <w:i/>
          <w:color w:val="231F20"/>
          <w:spacing w:val="-6"/>
        </w:rPr>
        <w:t> </w:t>
      </w:r>
      <w:r>
        <w:rPr>
          <w:color w:val="231F20"/>
        </w:rPr>
        <w:t>Участникам</w:t>
      </w:r>
      <w:r>
        <w:rPr>
          <w:color w:val="231F20"/>
          <w:spacing w:val="-6"/>
        </w:rPr>
        <w:t> </w:t>
      </w:r>
      <w:r>
        <w:rPr>
          <w:color w:val="231F20"/>
        </w:rPr>
        <w:t>рекомендуется</w:t>
      </w:r>
      <w:r>
        <w:rPr>
          <w:color w:val="231F20"/>
          <w:spacing w:val="-7"/>
        </w:rPr>
        <w:t> </w:t>
      </w:r>
      <w:r>
        <w:rPr>
          <w:color w:val="231F20"/>
        </w:rPr>
        <w:t>развивать</w:t>
      </w:r>
      <w:r>
        <w:rPr>
          <w:color w:val="231F20"/>
          <w:spacing w:val="-6"/>
        </w:rPr>
        <w:t> </w:t>
      </w:r>
      <w:r>
        <w:rPr>
          <w:color w:val="231F20"/>
        </w:rPr>
        <w:t>чужие</w:t>
      </w:r>
      <w:r>
        <w:rPr>
          <w:color w:val="231F20"/>
          <w:spacing w:val="-6"/>
        </w:rPr>
        <w:t> </w:t>
      </w:r>
      <w:r>
        <w:rPr>
          <w:color w:val="231F20"/>
          <w:spacing w:val="-2"/>
        </w:rPr>
        <w:t>идеи.</w:t>
      </w:r>
    </w:p>
    <w:p>
      <w:pPr>
        <w:pStyle w:val="BodyText"/>
        <w:spacing w:line="247" w:lineRule="auto" w:before="6"/>
      </w:pPr>
      <w:r>
        <w:rPr>
          <w:color w:val="231F20"/>
        </w:rPr>
        <w:t>Участникам мозгового штурма разрешается опираться на чужие предложения. Возникает атмосфера сотрудничества, в которой хорошие идеи поддерживаются и </w:t>
      </w:r>
      <w:r>
        <w:rPr>
          <w:color w:val="231F20"/>
          <w:spacing w:val="-2"/>
        </w:rPr>
        <w:t>совершенствуются.</w:t>
      </w:r>
    </w:p>
    <w:p>
      <w:pPr>
        <w:pStyle w:val="BodyText"/>
        <w:spacing w:line="247" w:lineRule="auto"/>
        <w:ind w:left="425" w:firstLine="0"/>
      </w:pPr>
      <w:r>
        <w:rPr>
          <w:color w:val="231F20"/>
        </w:rPr>
        <w:t>Также для эффективного мозгового штурма надо учесть еще несколько условий. Обратите</w:t>
      </w:r>
      <w:r>
        <w:rPr>
          <w:color w:val="231F20"/>
          <w:spacing w:val="-8"/>
        </w:rPr>
        <w:t> </w:t>
      </w:r>
      <w:r>
        <w:rPr>
          <w:color w:val="231F20"/>
        </w:rPr>
        <w:t>особое</w:t>
      </w:r>
      <w:r>
        <w:rPr>
          <w:color w:val="231F20"/>
          <w:spacing w:val="-7"/>
        </w:rPr>
        <w:t> </w:t>
      </w:r>
      <w:r>
        <w:rPr>
          <w:color w:val="231F20"/>
        </w:rPr>
        <w:t>внимание,</w:t>
      </w:r>
      <w:r>
        <w:rPr>
          <w:color w:val="231F20"/>
          <w:spacing w:val="-7"/>
        </w:rPr>
        <w:t> </w:t>
      </w:r>
      <w:r>
        <w:rPr>
          <w:color w:val="231F20"/>
        </w:rPr>
        <w:t>кого</w:t>
      </w:r>
      <w:r>
        <w:rPr>
          <w:color w:val="231F20"/>
          <w:spacing w:val="-7"/>
        </w:rPr>
        <w:t> </w:t>
      </w:r>
      <w:r>
        <w:rPr>
          <w:color w:val="231F20"/>
        </w:rPr>
        <w:t>вы</w:t>
      </w:r>
      <w:r>
        <w:rPr>
          <w:color w:val="231F20"/>
          <w:spacing w:val="-7"/>
        </w:rPr>
        <w:t> </w:t>
      </w:r>
      <w:r>
        <w:rPr>
          <w:color w:val="231F20"/>
        </w:rPr>
        <w:t>приглашаете</w:t>
      </w:r>
      <w:r>
        <w:rPr>
          <w:color w:val="231F20"/>
          <w:spacing w:val="-8"/>
        </w:rPr>
        <w:t> </w:t>
      </w:r>
      <w:r>
        <w:rPr>
          <w:color w:val="231F20"/>
        </w:rPr>
        <w:t>к</w:t>
      </w:r>
      <w:r>
        <w:rPr>
          <w:color w:val="231F20"/>
          <w:spacing w:val="-7"/>
        </w:rPr>
        <w:t> </w:t>
      </w:r>
      <w:r>
        <w:rPr>
          <w:color w:val="231F20"/>
        </w:rPr>
        <w:t>обсуждению.</w:t>
      </w:r>
      <w:r>
        <w:rPr>
          <w:color w:val="231F20"/>
          <w:spacing w:val="-7"/>
        </w:rPr>
        <w:t> </w:t>
      </w:r>
      <w:r>
        <w:rPr>
          <w:color w:val="231F20"/>
        </w:rPr>
        <w:t>Вам</w:t>
      </w:r>
      <w:r>
        <w:rPr>
          <w:color w:val="231F20"/>
          <w:spacing w:val="-7"/>
        </w:rPr>
        <w:t> </w:t>
      </w:r>
      <w:r>
        <w:rPr>
          <w:color w:val="231F20"/>
        </w:rPr>
        <w:t>нужна</w:t>
      </w:r>
      <w:r>
        <w:rPr>
          <w:color w:val="231F20"/>
          <w:spacing w:val="-7"/>
        </w:rPr>
        <w:t> </w:t>
      </w:r>
      <w:r>
        <w:rPr>
          <w:color w:val="231F20"/>
          <w:spacing w:val="-2"/>
        </w:rPr>
        <w:t>груп-</w:t>
      </w:r>
    </w:p>
    <w:p>
      <w:pPr>
        <w:pStyle w:val="BodyText"/>
        <w:spacing w:line="247" w:lineRule="auto"/>
        <w:ind w:firstLine="0"/>
      </w:pPr>
      <w:r>
        <w:rPr>
          <w:color w:val="231F20"/>
        </w:rPr>
        <w:t>па разнообразных участников. Например, педагоги-предметники, педагоги, работа- ющие с инокультурными учениками из других школ и/или регионов, специалисты в области межкультурной коммуникации в образовательной среде.</w:t>
      </w:r>
    </w:p>
    <w:p>
      <w:pPr>
        <w:pStyle w:val="BodyText"/>
        <w:spacing w:line="247" w:lineRule="auto"/>
      </w:pPr>
      <w:r>
        <w:rPr>
          <w:color w:val="231F20"/>
        </w:rPr>
        <w:t>Попробуйте провести сеансы мозгового штурма не в школе, а, например, на пик- нике или в любимой кофейне за углом – изменение обстановки помогает генериро- вать масштабные и качественные идеи.</w:t>
      </w:r>
    </w:p>
    <w:p>
      <w:pPr>
        <w:spacing w:line="227" w:lineRule="exact" w:before="0"/>
        <w:ind w:left="425" w:right="0" w:firstLine="0"/>
        <w:jc w:val="both"/>
        <w:rPr>
          <w:i/>
          <w:sz w:val="20"/>
        </w:rPr>
      </w:pPr>
      <w:r>
        <w:rPr>
          <w:i/>
          <w:color w:val="231F20"/>
          <w:sz w:val="20"/>
        </w:rPr>
        <w:t>Методы</w:t>
      </w:r>
      <w:r>
        <w:rPr>
          <w:i/>
          <w:color w:val="231F20"/>
          <w:spacing w:val="-11"/>
          <w:sz w:val="20"/>
        </w:rPr>
        <w:t> </w:t>
      </w:r>
      <w:r>
        <w:rPr>
          <w:i/>
          <w:color w:val="231F20"/>
          <w:sz w:val="20"/>
        </w:rPr>
        <w:t>мозгового</w:t>
      </w:r>
      <w:r>
        <w:rPr>
          <w:i/>
          <w:color w:val="231F20"/>
          <w:spacing w:val="-9"/>
          <w:sz w:val="20"/>
        </w:rPr>
        <w:t> </w:t>
      </w:r>
      <w:r>
        <w:rPr>
          <w:i/>
          <w:color w:val="231F20"/>
          <w:spacing w:val="-2"/>
          <w:sz w:val="20"/>
        </w:rPr>
        <w:t>штурма</w:t>
      </w:r>
    </w:p>
    <w:p>
      <w:pPr>
        <w:pStyle w:val="ListParagraph"/>
        <w:numPr>
          <w:ilvl w:val="0"/>
          <w:numId w:val="231"/>
        </w:numPr>
        <w:tabs>
          <w:tab w:pos="423" w:val="left" w:leader="none"/>
          <w:tab w:pos="425" w:val="left" w:leader="none"/>
        </w:tabs>
        <w:spacing w:line="247" w:lineRule="auto" w:before="0" w:after="0"/>
        <w:ind w:left="425" w:right="139" w:hanging="284"/>
        <w:jc w:val="both"/>
        <w:rPr>
          <w:sz w:val="20"/>
        </w:rPr>
      </w:pPr>
      <w:r>
        <w:rPr>
          <w:color w:val="231F20"/>
          <w:sz w:val="20"/>
        </w:rPr>
        <w:t>Перекрестная наметка идей: участники команды обмениваются идеями, записы- вая</w:t>
      </w:r>
      <w:r>
        <w:rPr>
          <w:color w:val="231F20"/>
          <w:spacing w:val="-13"/>
          <w:sz w:val="20"/>
        </w:rPr>
        <w:t> </w:t>
      </w:r>
      <w:r>
        <w:rPr>
          <w:color w:val="231F20"/>
          <w:sz w:val="20"/>
        </w:rPr>
        <w:t>их,</w:t>
      </w:r>
      <w:r>
        <w:rPr>
          <w:color w:val="231F20"/>
          <w:spacing w:val="-12"/>
          <w:sz w:val="20"/>
        </w:rPr>
        <w:t> </w:t>
      </w:r>
      <w:r>
        <w:rPr>
          <w:color w:val="231F20"/>
          <w:sz w:val="20"/>
        </w:rPr>
        <w:t>а</w:t>
      </w:r>
      <w:r>
        <w:rPr>
          <w:color w:val="231F20"/>
          <w:spacing w:val="-13"/>
          <w:sz w:val="20"/>
        </w:rPr>
        <w:t> </w:t>
      </w:r>
      <w:r>
        <w:rPr>
          <w:color w:val="231F20"/>
          <w:sz w:val="20"/>
        </w:rPr>
        <w:t>не</w:t>
      </w:r>
      <w:r>
        <w:rPr>
          <w:color w:val="231F20"/>
          <w:spacing w:val="-12"/>
          <w:sz w:val="20"/>
        </w:rPr>
        <w:t> </w:t>
      </w:r>
      <w:r>
        <w:rPr>
          <w:color w:val="231F20"/>
          <w:sz w:val="20"/>
        </w:rPr>
        <w:t>выкрикивая</w:t>
      </w:r>
      <w:r>
        <w:rPr>
          <w:color w:val="231F20"/>
          <w:spacing w:val="-13"/>
          <w:sz w:val="20"/>
        </w:rPr>
        <w:t> </w:t>
      </w:r>
      <w:r>
        <w:rPr>
          <w:color w:val="231F20"/>
          <w:sz w:val="20"/>
        </w:rPr>
        <w:t>все</w:t>
      </w:r>
      <w:r>
        <w:rPr>
          <w:color w:val="231F20"/>
          <w:spacing w:val="-12"/>
          <w:sz w:val="20"/>
        </w:rPr>
        <w:t> </w:t>
      </w:r>
      <w:r>
        <w:rPr>
          <w:color w:val="231F20"/>
          <w:sz w:val="20"/>
        </w:rPr>
        <w:t>вместе.</w:t>
      </w:r>
      <w:r>
        <w:rPr>
          <w:color w:val="231F20"/>
          <w:spacing w:val="-13"/>
          <w:sz w:val="20"/>
        </w:rPr>
        <w:t> </w:t>
      </w:r>
      <w:r>
        <w:rPr>
          <w:color w:val="231F20"/>
          <w:sz w:val="20"/>
        </w:rPr>
        <w:t>Такой</w:t>
      </w:r>
      <w:r>
        <w:rPr>
          <w:color w:val="231F20"/>
          <w:spacing w:val="-12"/>
          <w:sz w:val="20"/>
        </w:rPr>
        <w:t> </w:t>
      </w:r>
      <w:r>
        <w:rPr>
          <w:color w:val="231F20"/>
          <w:sz w:val="20"/>
        </w:rPr>
        <w:t>прием</w:t>
      </w:r>
      <w:r>
        <w:rPr>
          <w:color w:val="231F20"/>
          <w:spacing w:val="-13"/>
          <w:sz w:val="20"/>
        </w:rPr>
        <w:t> </w:t>
      </w:r>
      <w:r>
        <w:rPr>
          <w:color w:val="231F20"/>
          <w:sz w:val="20"/>
        </w:rPr>
        <w:t>особенно</w:t>
      </w:r>
      <w:r>
        <w:rPr>
          <w:color w:val="231F20"/>
          <w:spacing w:val="-12"/>
          <w:sz w:val="20"/>
        </w:rPr>
        <w:t> </w:t>
      </w:r>
      <w:r>
        <w:rPr>
          <w:color w:val="231F20"/>
          <w:sz w:val="20"/>
        </w:rPr>
        <w:t>полезен,</w:t>
      </w:r>
      <w:r>
        <w:rPr>
          <w:color w:val="231F20"/>
          <w:spacing w:val="-13"/>
          <w:sz w:val="20"/>
        </w:rPr>
        <w:t> </w:t>
      </w:r>
      <w:r>
        <w:rPr>
          <w:color w:val="231F20"/>
          <w:sz w:val="20"/>
        </w:rPr>
        <w:t>если</w:t>
      </w:r>
      <w:r>
        <w:rPr>
          <w:color w:val="231F20"/>
          <w:spacing w:val="-12"/>
          <w:sz w:val="20"/>
        </w:rPr>
        <w:t> </w:t>
      </w:r>
      <w:r>
        <w:rPr>
          <w:color w:val="231F20"/>
          <w:sz w:val="20"/>
        </w:rPr>
        <w:t>в</w:t>
      </w:r>
      <w:r>
        <w:rPr>
          <w:color w:val="231F20"/>
          <w:spacing w:val="-13"/>
          <w:sz w:val="20"/>
        </w:rPr>
        <w:t> </w:t>
      </w:r>
      <w:r>
        <w:rPr>
          <w:color w:val="231F20"/>
          <w:sz w:val="20"/>
        </w:rPr>
        <w:t>команде есть интроверты.</w:t>
      </w:r>
    </w:p>
    <w:p>
      <w:pPr>
        <w:pStyle w:val="ListParagraph"/>
        <w:numPr>
          <w:ilvl w:val="0"/>
          <w:numId w:val="231"/>
        </w:numPr>
        <w:tabs>
          <w:tab w:pos="423" w:val="left" w:leader="none"/>
          <w:tab w:pos="425" w:val="left" w:leader="none"/>
        </w:tabs>
        <w:spacing w:line="247" w:lineRule="auto" w:before="0" w:after="0"/>
        <w:ind w:left="425" w:right="139" w:hanging="284"/>
        <w:jc w:val="both"/>
        <w:rPr>
          <w:sz w:val="20"/>
        </w:rPr>
      </w:pPr>
      <w:r>
        <w:rPr>
          <w:color w:val="231F20"/>
          <w:sz w:val="20"/>
        </w:rPr>
        <w:t>Начать</w:t>
      </w:r>
      <w:r>
        <w:rPr>
          <w:color w:val="231F20"/>
          <w:spacing w:val="-13"/>
          <w:sz w:val="20"/>
        </w:rPr>
        <w:t> </w:t>
      </w:r>
      <w:r>
        <w:rPr>
          <w:color w:val="231F20"/>
          <w:sz w:val="20"/>
        </w:rPr>
        <w:t>с</w:t>
      </w:r>
      <w:r>
        <w:rPr>
          <w:color w:val="231F20"/>
          <w:spacing w:val="-12"/>
          <w:sz w:val="20"/>
        </w:rPr>
        <w:t> </w:t>
      </w:r>
      <w:r>
        <w:rPr>
          <w:color w:val="231F20"/>
          <w:sz w:val="20"/>
        </w:rPr>
        <w:t>рассказа</w:t>
      </w:r>
      <w:r>
        <w:rPr>
          <w:color w:val="231F20"/>
          <w:spacing w:val="-13"/>
          <w:sz w:val="20"/>
        </w:rPr>
        <w:t> </w:t>
      </w:r>
      <w:r>
        <w:rPr>
          <w:color w:val="231F20"/>
          <w:sz w:val="20"/>
        </w:rPr>
        <w:t>о</w:t>
      </w:r>
      <w:r>
        <w:rPr>
          <w:color w:val="231F20"/>
          <w:spacing w:val="-12"/>
          <w:sz w:val="20"/>
        </w:rPr>
        <w:t> </w:t>
      </w:r>
      <w:r>
        <w:rPr>
          <w:color w:val="231F20"/>
          <w:sz w:val="20"/>
        </w:rPr>
        <w:t>неловкой</w:t>
      </w:r>
      <w:r>
        <w:rPr>
          <w:color w:val="231F20"/>
          <w:spacing w:val="-13"/>
          <w:sz w:val="20"/>
        </w:rPr>
        <w:t> </w:t>
      </w:r>
      <w:r>
        <w:rPr>
          <w:color w:val="231F20"/>
          <w:sz w:val="20"/>
        </w:rPr>
        <w:t>ситуации</w:t>
      </w:r>
      <w:r>
        <w:rPr>
          <w:color w:val="231F20"/>
          <w:spacing w:val="-12"/>
          <w:sz w:val="20"/>
        </w:rPr>
        <w:t> </w:t>
      </w:r>
      <w:r>
        <w:rPr>
          <w:color w:val="231F20"/>
          <w:sz w:val="20"/>
        </w:rPr>
        <w:t>из</w:t>
      </w:r>
      <w:r>
        <w:rPr>
          <w:color w:val="231F20"/>
          <w:spacing w:val="-13"/>
          <w:sz w:val="20"/>
        </w:rPr>
        <w:t> </w:t>
      </w:r>
      <w:r>
        <w:rPr>
          <w:color w:val="231F20"/>
          <w:sz w:val="20"/>
        </w:rPr>
        <w:t>жизни:</w:t>
      </w:r>
      <w:r>
        <w:rPr>
          <w:color w:val="231F20"/>
          <w:spacing w:val="-12"/>
          <w:sz w:val="20"/>
        </w:rPr>
        <w:t> </w:t>
      </w:r>
      <w:r>
        <w:rPr>
          <w:color w:val="231F20"/>
          <w:sz w:val="20"/>
        </w:rPr>
        <w:t>если</w:t>
      </w:r>
      <w:r>
        <w:rPr>
          <w:color w:val="231F20"/>
          <w:spacing w:val="-13"/>
          <w:sz w:val="20"/>
        </w:rPr>
        <w:t> </w:t>
      </w:r>
      <w:r>
        <w:rPr>
          <w:color w:val="231F20"/>
          <w:sz w:val="20"/>
        </w:rPr>
        <w:t>начать</w:t>
      </w:r>
      <w:r>
        <w:rPr>
          <w:color w:val="231F20"/>
          <w:spacing w:val="-12"/>
          <w:sz w:val="20"/>
        </w:rPr>
        <w:t> </w:t>
      </w:r>
      <w:r>
        <w:rPr>
          <w:color w:val="231F20"/>
          <w:sz w:val="20"/>
        </w:rPr>
        <w:t>разговор</w:t>
      </w:r>
      <w:r>
        <w:rPr>
          <w:color w:val="231F20"/>
          <w:spacing w:val="-13"/>
          <w:sz w:val="20"/>
        </w:rPr>
        <w:t> </w:t>
      </w:r>
      <w:r>
        <w:rPr>
          <w:color w:val="231F20"/>
          <w:sz w:val="20"/>
        </w:rPr>
        <w:t>с</w:t>
      </w:r>
      <w:r>
        <w:rPr>
          <w:color w:val="231F20"/>
          <w:spacing w:val="-12"/>
          <w:sz w:val="20"/>
        </w:rPr>
        <w:t> </w:t>
      </w:r>
      <w:r>
        <w:rPr>
          <w:color w:val="231F20"/>
          <w:sz w:val="20"/>
        </w:rPr>
        <w:t>истории</w:t>
      </w:r>
      <w:r>
        <w:rPr>
          <w:color w:val="231F20"/>
          <w:spacing w:val="-13"/>
          <w:sz w:val="20"/>
        </w:rPr>
        <w:t> </w:t>
      </w:r>
      <w:r>
        <w:rPr>
          <w:color w:val="231F20"/>
          <w:sz w:val="20"/>
        </w:rPr>
        <w:t>о чем-то,</w:t>
      </w:r>
      <w:r>
        <w:rPr>
          <w:color w:val="231F20"/>
          <w:spacing w:val="-12"/>
          <w:sz w:val="20"/>
        </w:rPr>
        <w:t> </w:t>
      </w:r>
      <w:r>
        <w:rPr>
          <w:color w:val="231F20"/>
          <w:sz w:val="20"/>
        </w:rPr>
        <w:t>что</w:t>
      </w:r>
      <w:r>
        <w:rPr>
          <w:color w:val="231F20"/>
          <w:spacing w:val="-12"/>
          <w:sz w:val="20"/>
        </w:rPr>
        <w:t> </w:t>
      </w:r>
      <w:r>
        <w:rPr>
          <w:color w:val="231F20"/>
          <w:sz w:val="20"/>
        </w:rPr>
        <w:t>потенциально</w:t>
      </w:r>
      <w:r>
        <w:rPr>
          <w:color w:val="231F20"/>
          <w:spacing w:val="-12"/>
          <w:sz w:val="20"/>
        </w:rPr>
        <w:t> </w:t>
      </w:r>
      <w:r>
        <w:rPr>
          <w:color w:val="231F20"/>
          <w:sz w:val="20"/>
        </w:rPr>
        <w:t>смущает,</w:t>
      </w:r>
      <w:r>
        <w:rPr>
          <w:color w:val="231F20"/>
          <w:spacing w:val="-12"/>
          <w:sz w:val="20"/>
        </w:rPr>
        <w:t> </w:t>
      </w:r>
      <w:r>
        <w:rPr>
          <w:color w:val="231F20"/>
          <w:sz w:val="20"/>
        </w:rPr>
        <w:t>участники</w:t>
      </w:r>
      <w:r>
        <w:rPr>
          <w:color w:val="231F20"/>
          <w:spacing w:val="-12"/>
          <w:sz w:val="20"/>
        </w:rPr>
        <w:t> </w:t>
      </w:r>
      <w:r>
        <w:rPr>
          <w:color w:val="231F20"/>
          <w:sz w:val="20"/>
        </w:rPr>
        <w:t>становятся</w:t>
      </w:r>
      <w:r>
        <w:rPr>
          <w:color w:val="231F20"/>
          <w:spacing w:val="-12"/>
          <w:sz w:val="20"/>
        </w:rPr>
        <w:t> </w:t>
      </w:r>
      <w:r>
        <w:rPr>
          <w:color w:val="231F20"/>
          <w:sz w:val="20"/>
        </w:rPr>
        <w:t>более</w:t>
      </w:r>
      <w:r>
        <w:rPr>
          <w:color w:val="231F20"/>
          <w:spacing w:val="-12"/>
          <w:sz w:val="20"/>
        </w:rPr>
        <w:t> </w:t>
      </w:r>
      <w:r>
        <w:rPr>
          <w:color w:val="231F20"/>
          <w:sz w:val="20"/>
        </w:rPr>
        <w:t>восприимчивыми и открытыми. В таком настроении они охотнее делятся идеями.</w:t>
      </w:r>
    </w:p>
    <w:p>
      <w:pPr>
        <w:pStyle w:val="ListParagraph"/>
        <w:numPr>
          <w:ilvl w:val="0"/>
          <w:numId w:val="231"/>
        </w:numPr>
        <w:tabs>
          <w:tab w:pos="423" w:val="left" w:leader="none"/>
          <w:tab w:pos="425" w:val="left" w:leader="none"/>
        </w:tabs>
        <w:spacing w:line="247" w:lineRule="auto" w:before="0" w:after="0"/>
        <w:ind w:left="425" w:right="139" w:hanging="284"/>
        <w:jc w:val="both"/>
        <w:rPr>
          <w:sz w:val="20"/>
        </w:rPr>
      </w:pPr>
      <w:r>
        <w:rPr>
          <w:color w:val="231F20"/>
          <w:sz w:val="20"/>
        </w:rPr>
        <w:t>Дать</w:t>
      </w:r>
      <w:r>
        <w:rPr>
          <w:color w:val="231F20"/>
          <w:spacing w:val="-1"/>
          <w:sz w:val="20"/>
        </w:rPr>
        <w:t> </w:t>
      </w:r>
      <w:r>
        <w:rPr>
          <w:color w:val="231F20"/>
          <w:sz w:val="20"/>
        </w:rPr>
        <w:t>идеям</w:t>
      </w:r>
      <w:r>
        <w:rPr>
          <w:color w:val="231F20"/>
          <w:spacing w:val="-1"/>
          <w:sz w:val="20"/>
        </w:rPr>
        <w:t> </w:t>
      </w:r>
      <w:r>
        <w:rPr>
          <w:color w:val="231F20"/>
          <w:sz w:val="20"/>
        </w:rPr>
        <w:t>«настояться»:</w:t>
      </w:r>
      <w:r>
        <w:rPr>
          <w:color w:val="231F20"/>
          <w:spacing w:val="-1"/>
          <w:sz w:val="20"/>
        </w:rPr>
        <w:t> </w:t>
      </w:r>
      <w:r>
        <w:rPr>
          <w:color w:val="231F20"/>
          <w:sz w:val="20"/>
        </w:rPr>
        <w:t>несмотря</w:t>
      </w:r>
      <w:r>
        <w:rPr>
          <w:color w:val="231F20"/>
          <w:spacing w:val="-1"/>
          <w:sz w:val="20"/>
        </w:rPr>
        <w:t> </w:t>
      </w:r>
      <w:r>
        <w:rPr>
          <w:color w:val="231F20"/>
          <w:sz w:val="20"/>
        </w:rPr>
        <w:t>на</w:t>
      </w:r>
      <w:r>
        <w:rPr>
          <w:color w:val="231F20"/>
          <w:spacing w:val="-1"/>
          <w:sz w:val="20"/>
        </w:rPr>
        <w:t> </w:t>
      </w:r>
      <w:r>
        <w:rPr>
          <w:color w:val="231F20"/>
          <w:sz w:val="20"/>
        </w:rPr>
        <w:t>ажиотаж,</w:t>
      </w:r>
      <w:r>
        <w:rPr>
          <w:color w:val="231F20"/>
          <w:spacing w:val="-1"/>
          <w:sz w:val="20"/>
        </w:rPr>
        <w:t> </w:t>
      </w:r>
      <w:r>
        <w:rPr>
          <w:color w:val="231F20"/>
          <w:sz w:val="20"/>
        </w:rPr>
        <w:t>вы</w:t>
      </w:r>
      <w:r>
        <w:rPr>
          <w:color w:val="231F20"/>
          <w:spacing w:val="-1"/>
          <w:sz w:val="20"/>
        </w:rPr>
        <w:t> </w:t>
      </w:r>
      <w:r>
        <w:rPr>
          <w:color w:val="231F20"/>
          <w:sz w:val="20"/>
        </w:rPr>
        <w:t>можете</w:t>
      </w:r>
      <w:r>
        <w:rPr>
          <w:color w:val="231F20"/>
          <w:spacing w:val="-1"/>
          <w:sz w:val="20"/>
        </w:rPr>
        <w:t> </w:t>
      </w:r>
      <w:r>
        <w:rPr>
          <w:color w:val="231F20"/>
          <w:sz w:val="20"/>
        </w:rPr>
        <w:t>решить</w:t>
      </w:r>
      <w:r>
        <w:rPr>
          <w:color w:val="231F20"/>
          <w:spacing w:val="-1"/>
          <w:sz w:val="20"/>
        </w:rPr>
        <w:t> </w:t>
      </w:r>
      <w:r>
        <w:rPr>
          <w:color w:val="231F20"/>
          <w:sz w:val="20"/>
        </w:rPr>
        <w:t>не</w:t>
      </w:r>
      <w:r>
        <w:rPr>
          <w:color w:val="231F20"/>
          <w:spacing w:val="-1"/>
          <w:sz w:val="20"/>
        </w:rPr>
        <w:t> </w:t>
      </w:r>
      <w:r>
        <w:rPr>
          <w:color w:val="231F20"/>
          <w:sz w:val="20"/>
        </w:rPr>
        <w:t>сразу</w:t>
      </w:r>
      <w:r>
        <w:rPr>
          <w:color w:val="231F20"/>
          <w:spacing w:val="-1"/>
          <w:sz w:val="20"/>
        </w:rPr>
        <w:t> </w:t>
      </w:r>
      <w:r>
        <w:rPr>
          <w:color w:val="231F20"/>
          <w:sz w:val="20"/>
        </w:rPr>
        <w:t>при- ступать к работе над идеей. Исследования показывают, что даже короткий пере- рыв дает возможность довести идею до ума.</w:t>
      </w:r>
    </w:p>
    <w:p>
      <w:pPr>
        <w:pStyle w:val="ListParagraph"/>
        <w:numPr>
          <w:ilvl w:val="0"/>
          <w:numId w:val="231"/>
        </w:numPr>
        <w:tabs>
          <w:tab w:pos="423" w:val="left" w:leader="none"/>
          <w:tab w:pos="425" w:val="left" w:leader="none"/>
        </w:tabs>
        <w:spacing w:line="247" w:lineRule="auto" w:before="0" w:after="0"/>
        <w:ind w:left="425" w:right="139" w:hanging="284"/>
        <w:jc w:val="both"/>
        <w:rPr>
          <w:sz w:val="20"/>
        </w:rPr>
      </w:pPr>
      <w:r>
        <w:rPr>
          <w:color w:val="231F20"/>
          <w:sz w:val="20"/>
        </w:rPr>
        <w:t>Ролевой штурм: суть приема в том, чтобы примерить на себя чью-то личность и подумать, как бы этот человек справился с рассматриваемой ситуацией. Это мо- жет</w:t>
      </w:r>
      <w:r>
        <w:rPr>
          <w:color w:val="231F20"/>
          <w:spacing w:val="-2"/>
          <w:sz w:val="20"/>
        </w:rPr>
        <w:t> </w:t>
      </w:r>
      <w:r>
        <w:rPr>
          <w:color w:val="231F20"/>
          <w:sz w:val="20"/>
        </w:rPr>
        <w:t>оказаться</w:t>
      </w:r>
      <w:r>
        <w:rPr>
          <w:color w:val="231F20"/>
          <w:spacing w:val="-2"/>
          <w:sz w:val="20"/>
        </w:rPr>
        <w:t> </w:t>
      </w:r>
      <w:r>
        <w:rPr>
          <w:color w:val="231F20"/>
          <w:sz w:val="20"/>
        </w:rPr>
        <w:t>эффективным,</w:t>
      </w:r>
      <w:r>
        <w:rPr>
          <w:color w:val="231F20"/>
          <w:spacing w:val="-2"/>
          <w:sz w:val="20"/>
        </w:rPr>
        <w:t> </w:t>
      </w:r>
      <w:r>
        <w:rPr>
          <w:color w:val="231F20"/>
          <w:sz w:val="20"/>
        </w:rPr>
        <w:t>поскольку</w:t>
      </w:r>
      <w:r>
        <w:rPr>
          <w:color w:val="231F20"/>
          <w:spacing w:val="-2"/>
          <w:sz w:val="20"/>
        </w:rPr>
        <w:t> </w:t>
      </w:r>
      <w:r>
        <w:rPr>
          <w:color w:val="231F20"/>
          <w:sz w:val="20"/>
        </w:rPr>
        <w:t>заставляет</w:t>
      </w:r>
      <w:r>
        <w:rPr>
          <w:color w:val="231F20"/>
          <w:spacing w:val="-2"/>
          <w:sz w:val="20"/>
        </w:rPr>
        <w:t> </w:t>
      </w:r>
      <w:r>
        <w:rPr>
          <w:color w:val="231F20"/>
          <w:sz w:val="20"/>
        </w:rPr>
        <w:t>участников</w:t>
      </w:r>
      <w:r>
        <w:rPr>
          <w:color w:val="231F20"/>
          <w:spacing w:val="-2"/>
          <w:sz w:val="20"/>
        </w:rPr>
        <w:t> </w:t>
      </w:r>
      <w:r>
        <w:rPr>
          <w:color w:val="231F20"/>
          <w:sz w:val="20"/>
        </w:rPr>
        <w:t>отказаться</w:t>
      </w:r>
      <w:r>
        <w:rPr>
          <w:color w:val="231F20"/>
          <w:spacing w:val="-2"/>
          <w:sz w:val="20"/>
        </w:rPr>
        <w:t> </w:t>
      </w:r>
      <w:r>
        <w:rPr>
          <w:color w:val="231F20"/>
          <w:sz w:val="20"/>
        </w:rPr>
        <w:t>от</w:t>
      </w:r>
      <w:r>
        <w:rPr>
          <w:color w:val="231F20"/>
          <w:spacing w:val="-2"/>
          <w:sz w:val="20"/>
        </w:rPr>
        <w:t> </w:t>
      </w:r>
      <w:r>
        <w:rPr>
          <w:color w:val="231F20"/>
          <w:sz w:val="20"/>
        </w:rPr>
        <w:t>соб- ственных предрассудков и представлений.</w:t>
      </w:r>
    </w:p>
    <w:p>
      <w:pPr>
        <w:pStyle w:val="ListParagraph"/>
        <w:spacing w:after="0" w:line="247" w:lineRule="auto"/>
        <w:jc w:val="both"/>
        <w:rPr>
          <w:sz w:val="20"/>
        </w:rPr>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spacing w:line="228" w:lineRule="exact" w:before="109"/>
        <w:ind w:left="425" w:right="0" w:firstLine="0"/>
        <w:jc w:val="left"/>
        <w:rPr>
          <w:b/>
          <w:i/>
          <w:sz w:val="20"/>
        </w:rPr>
      </w:pPr>
      <w:r>
        <w:rPr>
          <w:b/>
          <w:i/>
          <w:color w:val="231F20"/>
          <w:spacing w:val="-2"/>
          <w:sz w:val="20"/>
        </w:rPr>
        <w:t>Проблемная</w:t>
      </w:r>
      <w:r>
        <w:rPr>
          <w:b/>
          <w:i/>
          <w:color w:val="231F20"/>
          <w:spacing w:val="5"/>
          <w:sz w:val="20"/>
        </w:rPr>
        <w:t> </w:t>
      </w:r>
      <w:r>
        <w:rPr>
          <w:b/>
          <w:i/>
          <w:color w:val="231F20"/>
          <w:spacing w:val="-2"/>
          <w:sz w:val="20"/>
        </w:rPr>
        <w:t>дискуссия</w:t>
      </w:r>
    </w:p>
    <w:p>
      <w:pPr>
        <w:pStyle w:val="BodyText"/>
        <w:spacing w:line="228" w:lineRule="exact"/>
        <w:ind w:left="425" w:right="0" w:firstLine="0"/>
        <w:jc w:val="left"/>
      </w:pPr>
      <w:hyperlink r:id="rId218">
        <w:r>
          <w:rPr>
            <w:color w:val="1E69B4"/>
            <w:spacing w:val="-2"/>
            <w:u w:val="single" w:color="1E69B4"/>
          </w:rPr>
          <w:t>http://www.syndikalist.narod.ru/diskus.htm</w:t>
        </w:r>
      </w:hyperlink>
    </w:p>
    <w:p>
      <w:pPr>
        <w:pStyle w:val="BodyText"/>
        <w:spacing w:line="235" w:lineRule="auto"/>
        <w:ind w:right="0"/>
        <w:jc w:val="left"/>
      </w:pPr>
      <w:r>
        <w:rPr>
          <w:color w:val="231F20"/>
        </w:rPr>
        <w:t>Она</w:t>
      </w:r>
      <w:r>
        <w:rPr>
          <w:color w:val="231F20"/>
          <w:spacing w:val="14"/>
        </w:rPr>
        <w:t> </w:t>
      </w:r>
      <w:r>
        <w:rPr>
          <w:color w:val="231F20"/>
        </w:rPr>
        <w:t>формирует</w:t>
      </w:r>
      <w:r>
        <w:rPr>
          <w:color w:val="231F20"/>
          <w:spacing w:val="14"/>
        </w:rPr>
        <w:t> </w:t>
      </w:r>
      <w:r>
        <w:rPr>
          <w:color w:val="231F20"/>
        </w:rPr>
        <w:t>культуру</w:t>
      </w:r>
      <w:r>
        <w:rPr>
          <w:color w:val="231F20"/>
          <w:spacing w:val="14"/>
        </w:rPr>
        <w:t> </w:t>
      </w:r>
      <w:r>
        <w:rPr>
          <w:color w:val="231F20"/>
        </w:rPr>
        <w:t>общения,</w:t>
      </w:r>
      <w:r>
        <w:rPr>
          <w:color w:val="231F20"/>
          <w:spacing w:val="14"/>
        </w:rPr>
        <w:t> </w:t>
      </w:r>
      <w:r>
        <w:rPr>
          <w:color w:val="231F20"/>
        </w:rPr>
        <w:t>культуру</w:t>
      </w:r>
      <w:r>
        <w:rPr>
          <w:color w:val="231F20"/>
          <w:spacing w:val="14"/>
        </w:rPr>
        <w:t> </w:t>
      </w:r>
      <w:r>
        <w:rPr>
          <w:color w:val="231F20"/>
        </w:rPr>
        <w:t>дискуссии,</w:t>
      </w:r>
      <w:r>
        <w:rPr>
          <w:color w:val="231F20"/>
          <w:spacing w:val="14"/>
        </w:rPr>
        <w:t> </w:t>
      </w:r>
      <w:r>
        <w:rPr>
          <w:color w:val="231F20"/>
        </w:rPr>
        <w:t>предоставляет</w:t>
      </w:r>
      <w:r>
        <w:rPr>
          <w:color w:val="231F20"/>
          <w:spacing w:val="14"/>
        </w:rPr>
        <w:t> </w:t>
      </w:r>
      <w:r>
        <w:rPr>
          <w:color w:val="231F20"/>
        </w:rPr>
        <w:t>возмож- ность каждому из участников высказать свое мнение.</w:t>
      </w:r>
    </w:p>
    <w:p>
      <w:pPr>
        <w:pStyle w:val="BodyText"/>
        <w:spacing w:line="235" w:lineRule="auto" w:before="1"/>
        <w:ind w:right="0"/>
        <w:jc w:val="left"/>
      </w:pPr>
      <w:r>
        <w:rPr>
          <w:i/>
          <w:color w:val="231F20"/>
        </w:rPr>
        <w:t>Общая</w:t>
      </w:r>
      <w:r>
        <w:rPr>
          <w:i/>
          <w:color w:val="231F20"/>
          <w:spacing w:val="-13"/>
        </w:rPr>
        <w:t> </w:t>
      </w:r>
      <w:r>
        <w:rPr>
          <w:i/>
          <w:color w:val="231F20"/>
        </w:rPr>
        <w:t>схема</w:t>
      </w:r>
      <w:r>
        <w:rPr>
          <w:i/>
          <w:color w:val="231F20"/>
          <w:spacing w:val="-12"/>
        </w:rPr>
        <w:t> </w:t>
      </w:r>
      <w:r>
        <w:rPr>
          <w:color w:val="231F20"/>
        </w:rPr>
        <w:t>проблемной</w:t>
      </w:r>
      <w:r>
        <w:rPr>
          <w:color w:val="231F20"/>
          <w:spacing w:val="-13"/>
        </w:rPr>
        <w:t> </w:t>
      </w:r>
      <w:r>
        <w:rPr>
          <w:color w:val="231F20"/>
        </w:rPr>
        <w:t>дискуссии</w:t>
      </w:r>
      <w:r>
        <w:rPr>
          <w:color w:val="231F20"/>
          <w:spacing w:val="-12"/>
        </w:rPr>
        <w:t> </w:t>
      </w:r>
      <w:r>
        <w:rPr>
          <w:color w:val="231F20"/>
        </w:rPr>
        <w:t>с</w:t>
      </w:r>
      <w:r>
        <w:rPr>
          <w:color w:val="231F20"/>
          <w:spacing w:val="-13"/>
        </w:rPr>
        <w:t> </w:t>
      </w:r>
      <w:r>
        <w:rPr>
          <w:color w:val="231F20"/>
        </w:rPr>
        <w:t>использованием</w:t>
      </w:r>
      <w:r>
        <w:rPr>
          <w:color w:val="231F20"/>
          <w:spacing w:val="-12"/>
        </w:rPr>
        <w:t> </w:t>
      </w:r>
      <w:r>
        <w:rPr>
          <w:color w:val="231F20"/>
        </w:rPr>
        <w:t>метода</w:t>
      </w:r>
      <w:r>
        <w:rPr>
          <w:color w:val="231F20"/>
          <w:spacing w:val="-13"/>
        </w:rPr>
        <w:t> </w:t>
      </w:r>
      <w:r>
        <w:rPr>
          <w:color w:val="231F20"/>
        </w:rPr>
        <w:t>работы</w:t>
      </w:r>
      <w:r>
        <w:rPr>
          <w:color w:val="231F20"/>
          <w:spacing w:val="-12"/>
        </w:rPr>
        <w:t> </w:t>
      </w:r>
      <w:r>
        <w:rPr>
          <w:color w:val="231F20"/>
        </w:rPr>
        <w:t>по</w:t>
      </w:r>
      <w:r>
        <w:rPr>
          <w:color w:val="231F20"/>
          <w:spacing w:val="-13"/>
        </w:rPr>
        <w:t> </w:t>
      </w:r>
      <w:r>
        <w:rPr>
          <w:color w:val="231F20"/>
        </w:rPr>
        <w:t>группам </w:t>
      </w:r>
      <w:r>
        <w:rPr>
          <w:color w:val="231F20"/>
          <w:spacing w:val="-2"/>
        </w:rPr>
        <w:t>такова:</w:t>
      </w:r>
    </w:p>
    <w:p>
      <w:pPr>
        <w:pStyle w:val="ListParagraph"/>
        <w:numPr>
          <w:ilvl w:val="0"/>
          <w:numId w:val="232"/>
        </w:numPr>
        <w:tabs>
          <w:tab w:pos="423" w:val="left" w:leader="none"/>
        </w:tabs>
        <w:spacing w:line="225" w:lineRule="exact" w:before="0" w:after="0"/>
        <w:ind w:left="423" w:right="0" w:hanging="282"/>
        <w:jc w:val="left"/>
        <w:rPr>
          <w:sz w:val="20"/>
        </w:rPr>
      </w:pPr>
      <w:r>
        <w:rPr>
          <w:color w:val="231F20"/>
          <w:sz w:val="20"/>
        </w:rPr>
        <w:t>Определение</w:t>
      </w:r>
      <w:r>
        <w:rPr>
          <w:color w:val="231F20"/>
          <w:spacing w:val="-2"/>
          <w:sz w:val="20"/>
        </w:rPr>
        <w:t> </w:t>
      </w:r>
      <w:r>
        <w:rPr>
          <w:color w:val="231F20"/>
          <w:sz w:val="20"/>
        </w:rPr>
        <w:t>вопросов,</w:t>
      </w:r>
      <w:r>
        <w:rPr>
          <w:color w:val="231F20"/>
          <w:spacing w:val="-2"/>
          <w:sz w:val="20"/>
        </w:rPr>
        <w:t> </w:t>
      </w:r>
      <w:r>
        <w:rPr>
          <w:color w:val="231F20"/>
          <w:sz w:val="20"/>
        </w:rPr>
        <w:t>актуальных</w:t>
      </w:r>
      <w:r>
        <w:rPr>
          <w:color w:val="231F20"/>
          <w:spacing w:val="-2"/>
          <w:sz w:val="20"/>
        </w:rPr>
        <w:t> </w:t>
      </w:r>
      <w:r>
        <w:rPr>
          <w:color w:val="231F20"/>
          <w:sz w:val="20"/>
        </w:rPr>
        <w:t>для</w:t>
      </w:r>
      <w:r>
        <w:rPr>
          <w:color w:val="231F20"/>
          <w:spacing w:val="-2"/>
          <w:sz w:val="20"/>
        </w:rPr>
        <w:t> обсуждения.</w:t>
      </w:r>
    </w:p>
    <w:p>
      <w:pPr>
        <w:pStyle w:val="ListParagraph"/>
        <w:numPr>
          <w:ilvl w:val="0"/>
          <w:numId w:val="232"/>
        </w:numPr>
        <w:tabs>
          <w:tab w:pos="423" w:val="left" w:leader="none"/>
        </w:tabs>
        <w:spacing w:line="226" w:lineRule="exact" w:before="0" w:after="0"/>
        <w:ind w:left="423" w:right="0" w:hanging="282"/>
        <w:jc w:val="left"/>
        <w:rPr>
          <w:sz w:val="20"/>
        </w:rPr>
      </w:pPr>
      <w:r>
        <w:rPr>
          <w:color w:val="231F20"/>
          <w:sz w:val="20"/>
        </w:rPr>
        <w:t>Разбивка</w:t>
      </w:r>
      <w:r>
        <w:rPr>
          <w:color w:val="231F20"/>
          <w:spacing w:val="-2"/>
          <w:sz w:val="20"/>
        </w:rPr>
        <w:t> </w:t>
      </w:r>
      <w:r>
        <w:rPr>
          <w:color w:val="231F20"/>
          <w:sz w:val="20"/>
        </w:rPr>
        <w:t>на</w:t>
      </w:r>
      <w:r>
        <w:rPr>
          <w:color w:val="231F20"/>
          <w:spacing w:val="-2"/>
          <w:sz w:val="20"/>
        </w:rPr>
        <w:t> группы.</w:t>
      </w:r>
    </w:p>
    <w:p>
      <w:pPr>
        <w:pStyle w:val="ListParagraph"/>
        <w:numPr>
          <w:ilvl w:val="0"/>
          <w:numId w:val="232"/>
        </w:numPr>
        <w:tabs>
          <w:tab w:pos="423" w:val="left" w:leader="none"/>
        </w:tabs>
        <w:spacing w:line="226" w:lineRule="exact" w:before="0" w:after="0"/>
        <w:ind w:left="423" w:right="0" w:hanging="282"/>
        <w:jc w:val="left"/>
        <w:rPr>
          <w:sz w:val="20"/>
        </w:rPr>
      </w:pPr>
      <w:r>
        <w:rPr>
          <w:color w:val="231F20"/>
          <w:sz w:val="20"/>
        </w:rPr>
        <w:t>Работа</w:t>
      </w:r>
      <w:r>
        <w:rPr>
          <w:color w:val="231F20"/>
          <w:spacing w:val="-3"/>
          <w:sz w:val="20"/>
        </w:rPr>
        <w:t> </w:t>
      </w:r>
      <w:r>
        <w:rPr>
          <w:color w:val="231F20"/>
          <w:sz w:val="20"/>
        </w:rPr>
        <w:t>в</w:t>
      </w:r>
      <w:r>
        <w:rPr>
          <w:color w:val="231F20"/>
          <w:spacing w:val="-1"/>
          <w:sz w:val="20"/>
        </w:rPr>
        <w:t> </w:t>
      </w:r>
      <w:r>
        <w:rPr>
          <w:color w:val="231F20"/>
          <w:spacing w:val="-2"/>
          <w:sz w:val="20"/>
        </w:rPr>
        <w:t>группах.</w:t>
      </w:r>
    </w:p>
    <w:p>
      <w:pPr>
        <w:pStyle w:val="ListParagraph"/>
        <w:numPr>
          <w:ilvl w:val="0"/>
          <w:numId w:val="232"/>
        </w:numPr>
        <w:tabs>
          <w:tab w:pos="423" w:val="left" w:leader="none"/>
        </w:tabs>
        <w:spacing w:line="226" w:lineRule="exact" w:before="0" w:after="0"/>
        <w:ind w:left="423" w:right="0" w:hanging="282"/>
        <w:jc w:val="left"/>
        <w:rPr>
          <w:sz w:val="20"/>
        </w:rPr>
      </w:pPr>
      <w:r>
        <w:rPr>
          <w:color w:val="231F20"/>
          <w:sz w:val="20"/>
        </w:rPr>
        <w:t>Представление</w:t>
      </w:r>
      <w:r>
        <w:rPr>
          <w:color w:val="231F20"/>
          <w:spacing w:val="-4"/>
          <w:sz w:val="20"/>
        </w:rPr>
        <w:t> </w:t>
      </w:r>
      <w:r>
        <w:rPr>
          <w:color w:val="231F20"/>
          <w:sz w:val="20"/>
        </w:rPr>
        <w:t>позиций,</w:t>
      </w:r>
      <w:r>
        <w:rPr>
          <w:color w:val="231F20"/>
          <w:spacing w:val="-2"/>
          <w:sz w:val="20"/>
        </w:rPr>
        <w:t> </w:t>
      </w:r>
      <w:r>
        <w:rPr>
          <w:color w:val="231F20"/>
          <w:sz w:val="20"/>
        </w:rPr>
        <w:t>выработанных</w:t>
      </w:r>
      <w:r>
        <w:rPr>
          <w:color w:val="231F20"/>
          <w:spacing w:val="-1"/>
          <w:sz w:val="20"/>
        </w:rPr>
        <w:t> </w:t>
      </w:r>
      <w:r>
        <w:rPr>
          <w:color w:val="231F20"/>
          <w:sz w:val="20"/>
        </w:rPr>
        <w:t>в</w:t>
      </w:r>
      <w:r>
        <w:rPr>
          <w:color w:val="231F20"/>
          <w:spacing w:val="-2"/>
          <w:sz w:val="20"/>
        </w:rPr>
        <w:t> группах.</w:t>
      </w:r>
    </w:p>
    <w:p>
      <w:pPr>
        <w:pStyle w:val="ListParagraph"/>
        <w:numPr>
          <w:ilvl w:val="0"/>
          <w:numId w:val="232"/>
        </w:numPr>
        <w:tabs>
          <w:tab w:pos="423" w:val="left" w:leader="none"/>
        </w:tabs>
        <w:spacing w:line="226" w:lineRule="exact" w:before="0" w:after="0"/>
        <w:ind w:left="423" w:right="0" w:hanging="282"/>
        <w:jc w:val="left"/>
        <w:rPr>
          <w:sz w:val="20"/>
        </w:rPr>
      </w:pPr>
      <w:r>
        <w:rPr>
          <w:color w:val="231F20"/>
          <w:sz w:val="20"/>
        </w:rPr>
        <w:t>Общая</w:t>
      </w:r>
      <w:r>
        <w:rPr>
          <w:color w:val="231F20"/>
          <w:spacing w:val="-4"/>
          <w:sz w:val="20"/>
        </w:rPr>
        <w:t> </w:t>
      </w:r>
      <w:r>
        <w:rPr>
          <w:color w:val="231F20"/>
          <w:sz w:val="20"/>
        </w:rPr>
        <w:t>дискуссия</w:t>
      </w:r>
      <w:r>
        <w:rPr>
          <w:color w:val="231F20"/>
          <w:spacing w:val="-1"/>
          <w:sz w:val="20"/>
        </w:rPr>
        <w:t> </w:t>
      </w:r>
      <w:r>
        <w:rPr>
          <w:color w:val="231F20"/>
          <w:sz w:val="20"/>
        </w:rPr>
        <w:t>по</w:t>
      </w:r>
      <w:r>
        <w:rPr>
          <w:color w:val="231F20"/>
          <w:spacing w:val="-1"/>
          <w:sz w:val="20"/>
        </w:rPr>
        <w:t> </w:t>
      </w:r>
      <w:r>
        <w:rPr>
          <w:color w:val="231F20"/>
          <w:sz w:val="20"/>
        </w:rPr>
        <w:t>каждому</w:t>
      </w:r>
      <w:r>
        <w:rPr>
          <w:color w:val="231F20"/>
          <w:spacing w:val="-2"/>
          <w:sz w:val="20"/>
        </w:rPr>
        <w:t> </w:t>
      </w:r>
      <w:r>
        <w:rPr>
          <w:color w:val="231F20"/>
          <w:sz w:val="20"/>
        </w:rPr>
        <w:t>вопросу</w:t>
      </w:r>
      <w:r>
        <w:rPr>
          <w:color w:val="231F20"/>
          <w:spacing w:val="-1"/>
          <w:sz w:val="20"/>
        </w:rPr>
        <w:t> </w:t>
      </w:r>
      <w:r>
        <w:rPr>
          <w:color w:val="231F20"/>
          <w:sz w:val="20"/>
        </w:rPr>
        <w:t>с</w:t>
      </w:r>
      <w:r>
        <w:rPr>
          <w:color w:val="231F20"/>
          <w:spacing w:val="-1"/>
          <w:sz w:val="20"/>
        </w:rPr>
        <w:t> </w:t>
      </w:r>
      <w:r>
        <w:rPr>
          <w:color w:val="231F20"/>
          <w:sz w:val="20"/>
        </w:rPr>
        <w:t>сопоставлением</w:t>
      </w:r>
      <w:r>
        <w:rPr>
          <w:color w:val="231F20"/>
          <w:spacing w:val="-1"/>
          <w:sz w:val="20"/>
        </w:rPr>
        <w:t> </w:t>
      </w:r>
      <w:r>
        <w:rPr>
          <w:color w:val="231F20"/>
          <w:spacing w:val="-2"/>
          <w:sz w:val="20"/>
        </w:rPr>
        <w:t>позиций.</w:t>
      </w:r>
    </w:p>
    <w:p>
      <w:pPr>
        <w:pStyle w:val="ListParagraph"/>
        <w:numPr>
          <w:ilvl w:val="0"/>
          <w:numId w:val="232"/>
        </w:numPr>
        <w:tabs>
          <w:tab w:pos="423" w:val="left" w:leader="none"/>
        </w:tabs>
        <w:spacing w:line="228" w:lineRule="exact" w:before="0" w:after="0"/>
        <w:ind w:left="423" w:right="0" w:hanging="282"/>
        <w:jc w:val="left"/>
        <w:rPr>
          <w:sz w:val="20"/>
        </w:rPr>
      </w:pPr>
      <w:r>
        <w:rPr>
          <w:color w:val="231F20"/>
          <w:sz w:val="20"/>
        </w:rPr>
        <w:t>Подведение</w:t>
      </w:r>
      <w:r>
        <w:rPr>
          <w:color w:val="231F20"/>
          <w:spacing w:val="-12"/>
          <w:sz w:val="20"/>
        </w:rPr>
        <w:t> </w:t>
      </w:r>
      <w:r>
        <w:rPr>
          <w:color w:val="231F20"/>
          <w:spacing w:val="-2"/>
          <w:sz w:val="20"/>
        </w:rPr>
        <w:t>итогов.</w:t>
      </w:r>
    </w:p>
    <w:p>
      <w:pPr>
        <w:pStyle w:val="BodyText"/>
      </w:pPr>
      <w:r>
        <w:rPr>
          <w:color w:val="231F20"/>
        </w:rPr>
        <w:t>Дискуссия</w:t>
      </w:r>
      <w:r>
        <w:rPr>
          <w:color w:val="231F20"/>
          <w:spacing w:val="-13"/>
        </w:rPr>
        <w:t> </w:t>
      </w:r>
      <w:r>
        <w:rPr>
          <w:color w:val="231F20"/>
        </w:rPr>
        <w:t>проходит</w:t>
      </w:r>
      <w:r>
        <w:rPr>
          <w:color w:val="231F20"/>
          <w:spacing w:val="-12"/>
        </w:rPr>
        <w:t> </w:t>
      </w:r>
      <w:r>
        <w:rPr>
          <w:color w:val="231F20"/>
        </w:rPr>
        <w:t>под</w:t>
      </w:r>
      <w:r>
        <w:rPr>
          <w:color w:val="231F20"/>
          <w:spacing w:val="-13"/>
        </w:rPr>
        <w:t> </w:t>
      </w:r>
      <w:r>
        <w:rPr>
          <w:color w:val="231F20"/>
        </w:rPr>
        <w:t>руководством</w:t>
      </w:r>
      <w:r>
        <w:rPr>
          <w:color w:val="231F20"/>
          <w:spacing w:val="-12"/>
        </w:rPr>
        <w:t> </w:t>
      </w:r>
      <w:r>
        <w:rPr>
          <w:color w:val="231F20"/>
        </w:rPr>
        <w:t>ведущего.</w:t>
      </w:r>
      <w:r>
        <w:rPr>
          <w:color w:val="231F20"/>
          <w:spacing w:val="-13"/>
        </w:rPr>
        <w:t> </w:t>
      </w:r>
      <w:r>
        <w:rPr>
          <w:color w:val="231F20"/>
        </w:rPr>
        <w:t>Число</w:t>
      </w:r>
      <w:r>
        <w:rPr>
          <w:color w:val="231F20"/>
          <w:spacing w:val="-12"/>
        </w:rPr>
        <w:t> </w:t>
      </w:r>
      <w:r>
        <w:rPr>
          <w:color w:val="231F20"/>
        </w:rPr>
        <w:t>ведущих</w:t>
      </w:r>
      <w:r>
        <w:rPr>
          <w:color w:val="231F20"/>
          <w:spacing w:val="-13"/>
        </w:rPr>
        <w:t> </w:t>
      </w:r>
      <w:r>
        <w:rPr>
          <w:color w:val="231F20"/>
        </w:rPr>
        <w:t>может</w:t>
      </w:r>
      <w:r>
        <w:rPr>
          <w:color w:val="231F20"/>
          <w:spacing w:val="-12"/>
        </w:rPr>
        <w:t> </w:t>
      </w:r>
      <w:r>
        <w:rPr>
          <w:color w:val="231F20"/>
        </w:rPr>
        <w:t>быть</w:t>
      </w:r>
      <w:r>
        <w:rPr>
          <w:color w:val="231F20"/>
          <w:spacing w:val="-13"/>
        </w:rPr>
        <w:t> </w:t>
      </w:r>
      <w:r>
        <w:rPr>
          <w:color w:val="231F20"/>
        </w:rPr>
        <w:t>раз- личным. Как показывает опыт, для эффективной работы обычно бывает достаточно одного-двух ведущих.</w:t>
      </w:r>
    </w:p>
    <w:p>
      <w:pPr>
        <w:pStyle w:val="BodyText"/>
        <w:ind w:left="425" w:right="0" w:firstLine="0"/>
      </w:pPr>
      <w:r>
        <w:rPr>
          <w:color w:val="231F20"/>
        </w:rPr>
        <w:t>Рассмотрим</w:t>
      </w:r>
      <w:r>
        <w:rPr>
          <w:color w:val="231F20"/>
          <w:spacing w:val="-8"/>
        </w:rPr>
        <w:t> </w:t>
      </w:r>
      <w:r>
        <w:rPr>
          <w:color w:val="231F20"/>
        </w:rPr>
        <w:t>более</w:t>
      </w:r>
      <w:r>
        <w:rPr>
          <w:color w:val="231F20"/>
          <w:spacing w:val="-5"/>
        </w:rPr>
        <w:t> </w:t>
      </w:r>
      <w:r>
        <w:rPr>
          <w:color w:val="231F20"/>
        </w:rPr>
        <w:t>подробно</w:t>
      </w:r>
      <w:r>
        <w:rPr>
          <w:color w:val="231F20"/>
          <w:spacing w:val="-5"/>
        </w:rPr>
        <w:t> </w:t>
      </w:r>
      <w:r>
        <w:rPr>
          <w:color w:val="231F20"/>
        </w:rPr>
        <w:t>каждый</w:t>
      </w:r>
      <w:r>
        <w:rPr>
          <w:color w:val="231F20"/>
          <w:spacing w:val="-7"/>
        </w:rPr>
        <w:t> </w:t>
      </w:r>
      <w:r>
        <w:rPr>
          <w:color w:val="231F20"/>
        </w:rPr>
        <w:t>этап</w:t>
      </w:r>
      <w:r>
        <w:rPr>
          <w:color w:val="231F20"/>
          <w:spacing w:val="-6"/>
        </w:rPr>
        <w:t> </w:t>
      </w:r>
      <w:r>
        <w:rPr>
          <w:color w:val="231F20"/>
        </w:rPr>
        <w:t>проведения</w:t>
      </w:r>
      <w:r>
        <w:rPr>
          <w:color w:val="231F20"/>
          <w:spacing w:val="-5"/>
        </w:rPr>
        <w:t> </w:t>
      </w:r>
      <w:r>
        <w:rPr>
          <w:color w:val="231F20"/>
        </w:rPr>
        <w:t>проблемной</w:t>
      </w:r>
      <w:r>
        <w:rPr>
          <w:color w:val="231F20"/>
          <w:spacing w:val="-6"/>
        </w:rPr>
        <w:t> </w:t>
      </w:r>
      <w:r>
        <w:rPr>
          <w:color w:val="231F20"/>
          <w:spacing w:val="-2"/>
        </w:rPr>
        <w:t>дискуссии.</w:t>
      </w:r>
    </w:p>
    <w:p>
      <w:pPr>
        <w:spacing w:before="0"/>
        <w:ind w:left="425" w:right="0" w:firstLine="0"/>
        <w:jc w:val="both"/>
        <w:rPr>
          <w:i/>
          <w:sz w:val="20"/>
        </w:rPr>
      </w:pPr>
      <w:r>
        <w:rPr>
          <w:i/>
          <w:color w:val="231F20"/>
          <w:sz w:val="20"/>
        </w:rPr>
        <w:t>Определение</w:t>
      </w:r>
      <w:r>
        <w:rPr>
          <w:i/>
          <w:color w:val="231F20"/>
          <w:spacing w:val="-5"/>
          <w:sz w:val="20"/>
        </w:rPr>
        <w:t> </w:t>
      </w:r>
      <w:r>
        <w:rPr>
          <w:i/>
          <w:color w:val="231F20"/>
          <w:sz w:val="20"/>
        </w:rPr>
        <w:t>вопросов,</w:t>
      </w:r>
      <w:r>
        <w:rPr>
          <w:i/>
          <w:color w:val="231F20"/>
          <w:spacing w:val="-5"/>
          <w:sz w:val="20"/>
        </w:rPr>
        <w:t> </w:t>
      </w:r>
      <w:r>
        <w:rPr>
          <w:i/>
          <w:color w:val="231F20"/>
          <w:sz w:val="20"/>
        </w:rPr>
        <w:t>актуальных</w:t>
      </w:r>
      <w:r>
        <w:rPr>
          <w:i/>
          <w:color w:val="231F20"/>
          <w:spacing w:val="-5"/>
          <w:sz w:val="20"/>
        </w:rPr>
        <w:t> </w:t>
      </w:r>
      <w:r>
        <w:rPr>
          <w:i/>
          <w:color w:val="231F20"/>
          <w:sz w:val="20"/>
        </w:rPr>
        <w:t>для</w:t>
      </w:r>
      <w:r>
        <w:rPr>
          <w:i/>
          <w:color w:val="231F20"/>
          <w:spacing w:val="-4"/>
          <w:sz w:val="20"/>
        </w:rPr>
        <w:t> </w:t>
      </w:r>
      <w:r>
        <w:rPr>
          <w:i/>
          <w:color w:val="231F20"/>
          <w:spacing w:val="-2"/>
          <w:sz w:val="20"/>
        </w:rPr>
        <w:t>обсуждения</w:t>
      </w:r>
    </w:p>
    <w:p>
      <w:pPr>
        <w:pStyle w:val="BodyText"/>
      </w:pPr>
      <w:r>
        <w:rPr>
          <w:color w:val="231F20"/>
        </w:rPr>
        <w:t>До</w:t>
      </w:r>
      <w:r>
        <w:rPr>
          <w:color w:val="231F20"/>
          <w:spacing w:val="-5"/>
        </w:rPr>
        <w:t> </w:t>
      </w:r>
      <w:r>
        <w:rPr>
          <w:color w:val="231F20"/>
        </w:rPr>
        <w:t>начала</w:t>
      </w:r>
      <w:r>
        <w:rPr>
          <w:color w:val="231F20"/>
          <w:spacing w:val="-5"/>
        </w:rPr>
        <w:t> </w:t>
      </w:r>
      <w:r>
        <w:rPr>
          <w:color w:val="231F20"/>
        </w:rPr>
        <w:t>дискуссии</w:t>
      </w:r>
      <w:r>
        <w:rPr>
          <w:color w:val="231F20"/>
          <w:spacing w:val="-5"/>
        </w:rPr>
        <w:t> </w:t>
      </w:r>
      <w:r>
        <w:rPr>
          <w:color w:val="231F20"/>
        </w:rPr>
        <w:t>необходимо</w:t>
      </w:r>
      <w:r>
        <w:rPr>
          <w:color w:val="231F20"/>
          <w:spacing w:val="-5"/>
        </w:rPr>
        <w:t> </w:t>
      </w:r>
      <w:r>
        <w:rPr>
          <w:color w:val="231F20"/>
        </w:rPr>
        <w:t>сформулировать</w:t>
      </w:r>
      <w:r>
        <w:rPr>
          <w:color w:val="231F20"/>
          <w:spacing w:val="-5"/>
        </w:rPr>
        <w:t> </w:t>
      </w:r>
      <w:r>
        <w:rPr>
          <w:color w:val="231F20"/>
        </w:rPr>
        <w:t>вопросы</w:t>
      </w:r>
      <w:r>
        <w:rPr>
          <w:color w:val="231F20"/>
          <w:spacing w:val="-5"/>
        </w:rPr>
        <w:t> </w:t>
      </w:r>
      <w:r>
        <w:rPr>
          <w:color w:val="231F20"/>
        </w:rPr>
        <w:t>для</w:t>
      </w:r>
      <w:r>
        <w:rPr>
          <w:color w:val="231F20"/>
          <w:spacing w:val="-5"/>
        </w:rPr>
        <w:t> </w:t>
      </w:r>
      <w:r>
        <w:rPr>
          <w:color w:val="231F20"/>
        </w:rPr>
        <w:t>обсуждения.</w:t>
      </w:r>
      <w:r>
        <w:rPr>
          <w:color w:val="231F20"/>
          <w:spacing w:val="-5"/>
        </w:rPr>
        <w:t> </w:t>
      </w:r>
      <w:r>
        <w:rPr>
          <w:color w:val="231F20"/>
        </w:rPr>
        <w:t>Чем руководствоваться при подборе вопросов?</w:t>
      </w:r>
    </w:p>
    <w:p>
      <w:pPr>
        <w:pStyle w:val="BodyText"/>
      </w:pPr>
      <w:r>
        <w:rPr>
          <w:color w:val="231F20"/>
        </w:rPr>
        <w:t>Во-первых, вопросов не должно быть слишком много. Как показывает опыт, са- мое подходящее число вопросов два-три.</w:t>
      </w:r>
    </w:p>
    <w:p>
      <w:pPr>
        <w:pStyle w:val="BodyText"/>
      </w:pPr>
      <w:r>
        <w:rPr>
          <w:color w:val="231F20"/>
        </w:rPr>
        <w:t>Во-вторых, формулировка вопроса должна быть простой, понятной всем. Она должна содержать достаточную информацию, позволяющую участникам обсужде- ния понять задачу, на какого рода информации следует сосредоточиться. Для этого основной вопрос может быть дополнен рядом наводящих вопросов, позволяющих сориентироваться, по каким направлениям и в каком порядке участникам следует строить свой ответ.</w:t>
      </w:r>
    </w:p>
    <w:p>
      <w:pPr>
        <w:pStyle w:val="BodyText"/>
      </w:pPr>
      <w:r>
        <w:rPr>
          <w:color w:val="231F20"/>
        </w:rPr>
        <w:t>Вопросы,</w:t>
      </w:r>
      <w:r>
        <w:rPr>
          <w:color w:val="231F20"/>
          <w:spacing w:val="-6"/>
        </w:rPr>
        <w:t> </w:t>
      </w:r>
      <w:r>
        <w:rPr>
          <w:color w:val="231F20"/>
        </w:rPr>
        <w:t>формулируемые</w:t>
      </w:r>
      <w:r>
        <w:rPr>
          <w:color w:val="231F20"/>
          <w:spacing w:val="-6"/>
        </w:rPr>
        <w:t> </w:t>
      </w:r>
      <w:r>
        <w:rPr>
          <w:color w:val="231F20"/>
        </w:rPr>
        <w:t>для</w:t>
      </w:r>
      <w:r>
        <w:rPr>
          <w:color w:val="231F20"/>
          <w:spacing w:val="-6"/>
        </w:rPr>
        <w:t> </w:t>
      </w:r>
      <w:r>
        <w:rPr>
          <w:color w:val="231F20"/>
        </w:rPr>
        <w:t>обсуждения,</w:t>
      </w:r>
      <w:r>
        <w:rPr>
          <w:color w:val="231F20"/>
          <w:spacing w:val="-6"/>
        </w:rPr>
        <w:t> </w:t>
      </w:r>
      <w:r>
        <w:rPr>
          <w:color w:val="231F20"/>
        </w:rPr>
        <w:t>должны</w:t>
      </w:r>
      <w:r>
        <w:rPr>
          <w:color w:val="231F20"/>
          <w:spacing w:val="-6"/>
        </w:rPr>
        <w:t> </w:t>
      </w:r>
      <w:r>
        <w:rPr>
          <w:color w:val="231F20"/>
        </w:rPr>
        <w:t>включать</w:t>
      </w:r>
      <w:r>
        <w:rPr>
          <w:color w:val="231F20"/>
          <w:spacing w:val="-6"/>
        </w:rPr>
        <w:t> </w:t>
      </w:r>
      <w:r>
        <w:rPr>
          <w:color w:val="231F20"/>
        </w:rPr>
        <w:t>проблемы,</w:t>
      </w:r>
      <w:r>
        <w:rPr>
          <w:color w:val="231F20"/>
          <w:spacing w:val="-6"/>
        </w:rPr>
        <w:t> </w:t>
      </w:r>
      <w:r>
        <w:rPr>
          <w:color w:val="231F20"/>
        </w:rPr>
        <w:t>важные для педагогов, реализующих свою деятельность в поликультурном классе, о чем ча- сто возникают споры и в отношении которых нет единого мнения. Формулировкой вопроса необходимо обозначить проблему. Это главная, но не единственная задача этого этапа. Другая, не менее важная, состоит в том, чтобы выделить круг фактов, относящихся к этому вопросу (отметить, какие существуют подходы к решению за- дачи,</w:t>
      </w:r>
      <w:r>
        <w:rPr>
          <w:color w:val="231F20"/>
          <w:spacing w:val="-7"/>
        </w:rPr>
        <w:t> </w:t>
      </w:r>
      <w:r>
        <w:rPr>
          <w:color w:val="231F20"/>
        </w:rPr>
        <w:t>что</w:t>
      </w:r>
      <w:r>
        <w:rPr>
          <w:color w:val="231F20"/>
          <w:spacing w:val="-7"/>
        </w:rPr>
        <w:t> </w:t>
      </w:r>
      <w:r>
        <w:rPr>
          <w:color w:val="231F20"/>
        </w:rPr>
        <w:t>мешает</w:t>
      </w:r>
      <w:r>
        <w:rPr>
          <w:color w:val="231F20"/>
          <w:spacing w:val="-7"/>
        </w:rPr>
        <w:t> </w:t>
      </w:r>
      <w:r>
        <w:rPr>
          <w:color w:val="231F20"/>
        </w:rPr>
        <w:t>их</w:t>
      </w:r>
      <w:r>
        <w:rPr>
          <w:color w:val="231F20"/>
          <w:spacing w:val="-7"/>
        </w:rPr>
        <w:t> </w:t>
      </w:r>
      <w:r>
        <w:rPr>
          <w:color w:val="231F20"/>
        </w:rPr>
        <w:t>реализации,</w:t>
      </w:r>
      <w:r>
        <w:rPr>
          <w:color w:val="231F20"/>
          <w:spacing w:val="-7"/>
        </w:rPr>
        <w:t> </w:t>
      </w:r>
      <w:r>
        <w:rPr>
          <w:color w:val="231F20"/>
        </w:rPr>
        <w:t>во</w:t>
      </w:r>
      <w:r>
        <w:rPr>
          <w:color w:val="231F20"/>
          <w:spacing w:val="-7"/>
        </w:rPr>
        <w:t> </w:t>
      </w:r>
      <w:r>
        <w:rPr>
          <w:color w:val="231F20"/>
        </w:rPr>
        <w:t>что</w:t>
      </w:r>
      <w:r>
        <w:rPr>
          <w:color w:val="231F20"/>
          <w:spacing w:val="-7"/>
        </w:rPr>
        <w:t> </w:t>
      </w:r>
      <w:r>
        <w:rPr>
          <w:color w:val="231F20"/>
        </w:rPr>
        <w:t>чаще</w:t>
      </w:r>
      <w:r>
        <w:rPr>
          <w:color w:val="231F20"/>
          <w:spacing w:val="-7"/>
        </w:rPr>
        <w:t> </w:t>
      </w:r>
      <w:r>
        <w:rPr>
          <w:color w:val="231F20"/>
        </w:rPr>
        <w:t>всего</w:t>
      </w:r>
      <w:r>
        <w:rPr>
          <w:color w:val="231F20"/>
          <w:spacing w:val="-7"/>
        </w:rPr>
        <w:t> </w:t>
      </w:r>
      <w:r>
        <w:rPr>
          <w:color w:val="231F20"/>
        </w:rPr>
        <w:t>упирается</w:t>
      </w:r>
      <w:r>
        <w:rPr>
          <w:color w:val="231F20"/>
          <w:spacing w:val="-7"/>
        </w:rPr>
        <w:t> </w:t>
      </w:r>
      <w:r>
        <w:rPr>
          <w:color w:val="231F20"/>
        </w:rPr>
        <w:t>решение</w:t>
      </w:r>
      <w:r>
        <w:rPr>
          <w:color w:val="231F20"/>
          <w:spacing w:val="-7"/>
        </w:rPr>
        <w:t> </w:t>
      </w:r>
      <w:r>
        <w:rPr>
          <w:color w:val="231F20"/>
        </w:rPr>
        <w:t>и</w:t>
      </w:r>
      <w:r>
        <w:rPr>
          <w:color w:val="231F20"/>
          <w:spacing w:val="-7"/>
        </w:rPr>
        <w:t> </w:t>
      </w:r>
      <w:r>
        <w:rPr>
          <w:color w:val="231F20"/>
        </w:rPr>
        <w:t>пр.).</w:t>
      </w:r>
      <w:r>
        <w:rPr>
          <w:color w:val="231F20"/>
          <w:spacing w:val="-7"/>
        </w:rPr>
        <w:t> </w:t>
      </w:r>
      <w:r>
        <w:rPr>
          <w:color w:val="231F20"/>
        </w:rPr>
        <w:t>То</w:t>
      </w:r>
      <w:r>
        <w:rPr>
          <w:color w:val="231F20"/>
          <w:spacing w:val="-7"/>
        </w:rPr>
        <w:t> </w:t>
      </w:r>
      <w:r>
        <w:rPr>
          <w:color w:val="231F20"/>
        </w:rPr>
        <w:t>есть формулировка вопроса должна зафиксировать не только проблему, но и существу- ющие подходы к ее решению. Это необходимо, чтобы очертить круг вопросов для последующей дискуссии.</w:t>
      </w:r>
    </w:p>
    <w:p>
      <w:pPr>
        <w:pStyle w:val="BodyText"/>
        <w:ind w:left="425" w:right="0" w:firstLine="0"/>
      </w:pPr>
      <w:r>
        <w:rPr>
          <w:color w:val="231F20"/>
        </w:rPr>
        <w:t>Например,</w:t>
      </w:r>
      <w:r>
        <w:rPr>
          <w:color w:val="231F20"/>
          <w:spacing w:val="-8"/>
        </w:rPr>
        <w:t> </w:t>
      </w:r>
      <w:r>
        <w:rPr>
          <w:color w:val="231F20"/>
        </w:rPr>
        <w:t>вопрос</w:t>
      </w:r>
      <w:r>
        <w:rPr>
          <w:color w:val="231F20"/>
          <w:spacing w:val="-8"/>
        </w:rPr>
        <w:t> </w:t>
      </w:r>
      <w:r>
        <w:rPr>
          <w:color w:val="231F20"/>
        </w:rPr>
        <w:t>можно</w:t>
      </w:r>
      <w:r>
        <w:rPr>
          <w:color w:val="231F20"/>
          <w:spacing w:val="-8"/>
        </w:rPr>
        <w:t> </w:t>
      </w:r>
      <w:r>
        <w:rPr>
          <w:color w:val="231F20"/>
        </w:rPr>
        <w:t>сформулировать</w:t>
      </w:r>
      <w:r>
        <w:rPr>
          <w:color w:val="231F20"/>
          <w:spacing w:val="-8"/>
        </w:rPr>
        <w:t> </w:t>
      </w:r>
      <w:r>
        <w:rPr>
          <w:color w:val="231F20"/>
          <w:spacing w:val="-4"/>
        </w:rPr>
        <w:t>так:</w:t>
      </w:r>
    </w:p>
    <w:p>
      <w:pPr>
        <w:pStyle w:val="BodyText"/>
        <w:ind w:right="140"/>
      </w:pPr>
      <w:r>
        <w:rPr>
          <w:color w:val="231F20"/>
        </w:rPr>
        <w:t>«В</w:t>
      </w:r>
      <w:r>
        <w:rPr>
          <w:color w:val="231F20"/>
          <w:spacing w:val="-8"/>
        </w:rPr>
        <w:t> </w:t>
      </w:r>
      <w:r>
        <w:rPr>
          <w:color w:val="231F20"/>
        </w:rPr>
        <w:t>чем</w:t>
      </w:r>
      <w:r>
        <w:rPr>
          <w:color w:val="231F20"/>
          <w:spacing w:val="-8"/>
        </w:rPr>
        <w:t> </w:t>
      </w:r>
      <w:r>
        <w:rPr>
          <w:color w:val="231F20"/>
        </w:rPr>
        <w:t>заключается</w:t>
      </w:r>
      <w:r>
        <w:rPr>
          <w:color w:val="231F20"/>
          <w:spacing w:val="-8"/>
        </w:rPr>
        <w:t> </w:t>
      </w:r>
      <w:r>
        <w:rPr>
          <w:color w:val="231F20"/>
        </w:rPr>
        <w:t>наибольшая</w:t>
      </w:r>
      <w:r>
        <w:rPr>
          <w:color w:val="231F20"/>
          <w:spacing w:val="-8"/>
        </w:rPr>
        <w:t> </w:t>
      </w:r>
      <w:r>
        <w:rPr>
          <w:color w:val="231F20"/>
        </w:rPr>
        <w:t>трудность</w:t>
      </w:r>
      <w:r>
        <w:rPr>
          <w:color w:val="231F20"/>
          <w:spacing w:val="-8"/>
        </w:rPr>
        <w:t> </w:t>
      </w:r>
      <w:r>
        <w:rPr>
          <w:color w:val="231F20"/>
        </w:rPr>
        <w:t>обучения</w:t>
      </w:r>
      <w:r>
        <w:rPr>
          <w:color w:val="231F20"/>
          <w:spacing w:val="-8"/>
        </w:rPr>
        <w:t> </w:t>
      </w:r>
      <w:r>
        <w:rPr>
          <w:color w:val="231F20"/>
        </w:rPr>
        <w:t>детей</w:t>
      </w:r>
      <w:r>
        <w:rPr>
          <w:color w:val="231F20"/>
          <w:spacing w:val="-8"/>
        </w:rPr>
        <w:t> </w:t>
      </w:r>
      <w:r>
        <w:rPr>
          <w:color w:val="231F20"/>
        </w:rPr>
        <w:t>иностранных</w:t>
      </w:r>
      <w:r>
        <w:rPr>
          <w:color w:val="231F20"/>
          <w:spacing w:val="-8"/>
        </w:rPr>
        <w:t> </w:t>
      </w:r>
      <w:r>
        <w:rPr>
          <w:color w:val="231F20"/>
        </w:rPr>
        <w:t>граждан именно для вас как для учителя-предметника?»</w:t>
      </w:r>
    </w:p>
    <w:p>
      <w:pPr>
        <w:pStyle w:val="BodyText"/>
        <w:spacing w:line="224" w:lineRule="exact"/>
        <w:ind w:left="425" w:right="0" w:firstLine="0"/>
      </w:pPr>
      <w:r>
        <w:rPr>
          <w:color w:val="231F20"/>
        </w:rPr>
        <w:t>Данный</w:t>
      </w:r>
      <w:r>
        <w:rPr>
          <w:color w:val="231F20"/>
          <w:spacing w:val="-5"/>
        </w:rPr>
        <w:t> </w:t>
      </w:r>
      <w:r>
        <w:rPr>
          <w:color w:val="231F20"/>
        </w:rPr>
        <w:t>вопрос</w:t>
      </w:r>
      <w:r>
        <w:rPr>
          <w:color w:val="231F20"/>
          <w:spacing w:val="-4"/>
        </w:rPr>
        <w:t> </w:t>
      </w:r>
      <w:r>
        <w:rPr>
          <w:color w:val="231F20"/>
        </w:rPr>
        <w:t>может</w:t>
      </w:r>
      <w:r>
        <w:rPr>
          <w:color w:val="231F20"/>
          <w:spacing w:val="-4"/>
        </w:rPr>
        <w:t> </w:t>
      </w:r>
      <w:r>
        <w:rPr>
          <w:color w:val="231F20"/>
        </w:rPr>
        <w:t>быть</w:t>
      </w:r>
      <w:r>
        <w:rPr>
          <w:color w:val="231F20"/>
          <w:spacing w:val="-5"/>
        </w:rPr>
        <w:t> </w:t>
      </w:r>
      <w:r>
        <w:rPr>
          <w:color w:val="231F20"/>
        </w:rPr>
        <w:t>дополнен</w:t>
      </w:r>
      <w:r>
        <w:rPr>
          <w:color w:val="231F20"/>
          <w:spacing w:val="-5"/>
        </w:rPr>
        <w:t> </w:t>
      </w:r>
      <w:r>
        <w:rPr>
          <w:color w:val="231F20"/>
        </w:rPr>
        <w:t>следующим</w:t>
      </w:r>
      <w:r>
        <w:rPr>
          <w:color w:val="231F20"/>
          <w:spacing w:val="-3"/>
        </w:rPr>
        <w:t> </w:t>
      </w:r>
      <w:r>
        <w:rPr>
          <w:color w:val="231F20"/>
          <w:spacing w:val="-2"/>
        </w:rPr>
        <w:t>образом:</w:t>
      </w:r>
    </w:p>
    <w:p>
      <w:pPr>
        <w:pStyle w:val="BodyText"/>
        <w:spacing w:line="235" w:lineRule="auto" w:before="2"/>
      </w:pPr>
      <w:r>
        <w:rPr>
          <w:color w:val="231F20"/>
        </w:rPr>
        <w:t>«Каков</w:t>
      </w:r>
      <w:r>
        <w:rPr>
          <w:color w:val="231F20"/>
          <w:spacing w:val="-13"/>
        </w:rPr>
        <w:t> </w:t>
      </w:r>
      <w:r>
        <w:rPr>
          <w:color w:val="231F20"/>
        </w:rPr>
        <w:t>перечень</w:t>
      </w:r>
      <w:r>
        <w:rPr>
          <w:color w:val="231F20"/>
          <w:spacing w:val="-12"/>
        </w:rPr>
        <w:t> </w:t>
      </w:r>
      <w:r>
        <w:rPr>
          <w:color w:val="231F20"/>
        </w:rPr>
        <w:t>основных</w:t>
      </w:r>
      <w:r>
        <w:rPr>
          <w:color w:val="231F20"/>
          <w:spacing w:val="-13"/>
        </w:rPr>
        <w:t> </w:t>
      </w:r>
      <w:r>
        <w:rPr>
          <w:color w:val="231F20"/>
        </w:rPr>
        <w:t>трудностей</w:t>
      </w:r>
      <w:r>
        <w:rPr>
          <w:color w:val="231F20"/>
          <w:spacing w:val="-12"/>
        </w:rPr>
        <w:t> </w:t>
      </w:r>
      <w:r>
        <w:rPr>
          <w:color w:val="231F20"/>
        </w:rPr>
        <w:t>во</w:t>
      </w:r>
      <w:r>
        <w:rPr>
          <w:color w:val="231F20"/>
          <w:spacing w:val="-13"/>
        </w:rPr>
        <w:t> </w:t>
      </w:r>
      <w:r>
        <w:rPr>
          <w:color w:val="231F20"/>
        </w:rPr>
        <w:t>взаимодействии</w:t>
      </w:r>
      <w:r>
        <w:rPr>
          <w:color w:val="231F20"/>
          <w:spacing w:val="-12"/>
        </w:rPr>
        <w:t> </w:t>
      </w:r>
      <w:r>
        <w:rPr>
          <w:color w:val="231F20"/>
        </w:rPr>
        <w:t>с</w:t>
      </w:r>
      <w:r>
        <w:rPr>
          <w:color w:val="231F20"/>
          <w:spacing w:val="-13"/>
        </w:rPr>
        <w:t> </w:t>
      </w:r>
      <w:r>
        <w:rPr>
          <w:color w:val="231F20"/>
        </w:rPr>
        <w:t>инокультурными</w:t>
      </w:r>
      <w:r>
        <w:rPr>
          <w:color w:val="231F20"/>
          <w:spacing w:val="-12"/>
        </w:rPr>
        <w:t> </w:t>
      </w:r>
      <w:r>
        <w:rPr>
          <w:color w:val="231F20"/>
        </w:rPr>
        <w:t>уче- никами за последние полгода-год? Каковы эти трудности? Можно ли их разделить по темам: трудности с русским языком, трудности, связанные с взаимодействием с родителями, трудность с поведением?» и др.</w:t>
      </w:r>
    </w:p>
    <w:p>
      <w:pPr>
        <w:pStyle w:val="BodyText"/>
        <w:spacing w:after="0" w:line="235" w:lineRule="auto"/>
        <w:sectPr>
          <w:pgSz w:w="8400" w:h="11910"/>
          <w:pgMar w:header="0" w:footer="529" w:top="400" w:bottom="740" w:left="425" w:right="425"/>
        </w:sectPr>
      </w:pPr>
    </w:p>
    <w:p>
      <w:pPr>
        <w:pStyle w:val="ListParagraph"/>
        <w:numPr>
          <w:ilvl w:val="1"/>
          <w:numId w:val="233"/>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Интерактивные</w:t>
      </w:r>
      <w:r>
        <w:rPr>
          <w:rFonts w:ascii="Georgia" w:hAnsi="Georgia"/>
          <w:color w:val="231F20"/>
          <w:spacing w:val="4"/>
          <w:sz w:val="18"/>
        </w:rPr>
        <w:t> </w:t>
      </w:r>
      <w:r>
        <w:rPr>
          <w:rFonts w:ascii="Georgia" w:hAnsi="Georgia"/>
          <w:color w:val="231F20"/>
          <w:sz w:val="18"/>
        </w:rPr>
        <w:t>технологии</w:t>
      </w:r>
      <w:r>
        <w:rPr>
          <w:rFonts w:ascii="Georgia" w:hAnsi="Georgia"/>
          <w:color w:val="231F20"/>
          <w:spacing w:val="4"/>
          <w:sz w:val="18"/>
        </w:rPr>
        <w:t> </w:t>
      </w:r>
      <w:r>
        <w:rPr>
          <w:rFonts w:ascii="Georgia" w:hAnsi="Georgia"/>
          <w:color w:val="231F20"/>
          <w:sz w:val="18"/>
        </w:rPr>
        <w:t>развития</w:t>
      </w:r>
      <w:r>
        <w:rPr>
          <w:rFonts w:ascii="Georgia" w:hAnsi="Georgia"/>
          <w:color w:val="231F20"/>
          <w:spacing w:val="4"/>
          <w:sz w:val="18"/>
        </w:rPr>
        <w:t> </w:t>
      </w:r>
      <w:r>
        <w:rPr>
          <w:rFonts w:ascii="Georgia" w:hAnsi="Georgia"/>
          <w:color w:val="231F20"/>
          <w:sz w:val="18"/>
        </w:rPr>
        <w:t>межкультурной</w:t>
      </w:r>
      <w:r>
        <w:rPr>
          <w:rFonts w:ascii="Georgia" w:hAnsi="Georgia"/>
          <w:color w:val="231F20"/>
          <w:spacing w:val="4"/>
          <w:sz w:val="18"/>
        </w:rPr>
        <w:t> </w:t>
      </w:r>
      <w:r>
        <w:rPr>
          <w:rFonts w:ascii="Georgia" w:hAnsi="Georgia"/>
          <w:color w:val="231F20"/>
          <w:sz w:val="18"/>
        </w:rPr>
        <w:t>компетентности</w:t>
      </w:r>
      <w:r>
        <w:rPr>
          <w:rFonts w:ascii="Georgia" w:hAnsi="Georgia"/>
          <w:color w:val="231F20"/>
          <w:spacing w:val="4"/>
          <w:sz w:val="18"/>
        </w:rPr>
        <w:t> </w:t>
      </w:r>
      <w:r>
        <w:rPr>
          <w:rFonts w:ascii="Georgia" w:hAnsi="Georgia"/>
          <w:color w:val="231F20"/>
          <w:spacing w:val="-2"/>
          <w:sz w:val="18"/>
        </w:rPr>
        <w:t>педагогов</w:t>
      </w:r>
    </w:p>
    <w:p>
      <w:pPr>
        <w:pStyle w:val="BodyText"/>
        <w:spacing w:line="232" w:lineRule="auto" w:before="118"/>
      </w:pPr>
      <w:r>
        <w:rPr>
          <w:color w:val="231F20"/>
        </w:rPr>
        <w:t>Здесь основной вопрос дополнен рядом вспомогательных и разъясняющих поло- жений, а сама формулировка вопроса не только фиксирует проблему, но и выделяет круг</w:t>
      </w:r>
      <w:r>
        <w:rPr>
          <w:color w:val="231F20"/>
          <w:spacing w:val="-2"/>
        </w:rPr>
        <w:t> </w:t>
      </w:r>
      <w:r>
        <w:rPr>
          <w:color w:val="231F20"/>
        </w:rPr>
        <w:t>фактов,</w:t>
      </w:r>
      <w:r>
        <w:rPr>
          <w:color w:val="231F20"/>
          <w:spacing w:val="-2"/>
        </w:rPr>
        <w:t> </w:t>
      </w:r>
      <w:r>
        <w:rPr>
          <w:color w:val="231F20"/>
        </w:rPr>
        <w:t>непосредственно</w:t>
      </w:r>
      <w:r>
        <w:rPr>
          <w:color w:val="231F20"/>
          <w:spacing w:val="-2"/>
        </w:rPr>
        <w:t> </w:t>
      </w:r>
      <w:r>
        <w:rPr>
          <w:color w:val="231F20"/>
        </w:rPr>
        <w:t>относящихся</w:t>
      </w:r>
      <w:r>
        <w:rPr>
          <w:color w:val="231F20"/>
          <w:spacing w:val="-2"/>
        </w:rPr>
        <w:t> </w:t>
      </w:r>
      <w:r>
        <w:rPr>
          <w:color w:val="231F20"/>
        </w:rPr>
        <w:t>к</w:t>
      </w:r>
      <w:r>
        <w:rPr>
          <w:color w:val="231F20"/>
          <w:spacing w:val="-2"/>
        </w:rPr>
        <w:t> </w:t>
      </w:r>
      <w:r>
        <w:rPr>
          <w:color w:val="231F20"/>
        </w:rPr>
        <w:t>ней.</w:t>
      </w:r>
      <w:r>
        <w:rPr>
          <w:color w:val="231F20"/>
          <w:spacing w:val="-2"/>
        </w:rPr>
        <w:t> </w:t>
      </w:r>
      <w:r>
        <w:rPr>
          <w:color w:val="231F20"/>
        </w:rPr>
        <w:t>В</w:t>
      </w:r>
      <w:r>
        <w:rPr>
          <w:color w:val="231F20"/>
          <w:spacing w:val="-2"/>
        </w:rPr>
        <w:t> </w:t>
      </w:r>
      <w:r>
        <w:rPr>
          <w:color w:val="231F20"/>
        </w:rPr>
        <w:t>таком</w:t>
      </w:r>
      <w:r>
        <w:rPr>
          <w:color w:val="231F20"/>
          <w:spacing w:val="-2"/>
        </w:rPr>
        <w:t> </w:t>
      </w:r>
      <w:r>
        <w:rPr>
          <w:color w:val="231F20"/>
        </w:rPr>
        <w:t>понимании</w:t>
      </w:r>
      <w:r>
        <w:rPr>
          <w:color w:val="231F20"/>
          <w:spacing w:val="-2"/>
        </w:rPr>
        <w:t> </w:t>
      </w:r>
      <w:r>
        <w:rPr>
          <w:color w:val="231F20"/>
        </w:rPr>
        <w:t>предлагаемая методика</w:t>
      </w:r>
      <w:r>
        <w:rPr>
          <w:color w:val="231F20"/>
          <w:spacing w:val="-9"/>
        </w:rPr>
        <w:t> </w:t>
      </w:r>
      <w:r>
        <w:rPr>
          <w:color w:val="231F20"/>
        </w:rPr>
        <w:t>может</w:t>
      </w:r>
      <w:r>
        <w:rPr>
          <w:color w:val="231F20"/>
          <w:spacing w:val="-9"/>
        </w:rPr>
        <w:t> </w:t>
      </w:r>
      <w:r>
        <w:rPr>
          <w:color w:val="231F20"/>
        </w:rPr>
        <w:t>быть</w:t>
      </w:r>
      <w:r>
        <w:rPr>
          <w:color w:val="231F20"/>
          <w:spacing w:val="-9"/>
        </w:rPr>
        <w:t> </w:t>
      </w:r>
      <w:r>
        <w:rPr>
          <w:color w:val="231F20"/>
        </w:rPr>
        <w:t>использована</w:t>
      </w:r>
      <w:r>
        <w:rPr>
          <w:color w:val="231F20"/>
          <w:spacing w:val="-9"/>
        </w:rPr>
        <w:t> </w:t>
      </w:r>
      <w:r>
        <w:rPr>
          <w:color w:val="231F20"/>
        </w:rPr>
        <w:t>не</w:t>
      </w:r>
      <w:r>
        <w:rPr>
          <w:color w:val="231F20"/>
          <w:spacing w:val="-9"/>
        </w:rPr>
        <w:t> </w:t>
      </w:r>
      <w:r>
        <w:rPr>
          <w:color w:val="231F20"/>
        </w:rPr>
        <w:t>только</w:t>
      </w:r>
      <w:r>
        <w:rPr>
          <w:color w:val="231F20"/>
          <w:spacing w:val="-9"/>
        </w:rPr>
        <w:t> </w:t>
      </w:r>
      <w:r>
        <w:rPr>
          <w:color w:val="231F20"/>
        </w:rPr>
        <w:t>для</w:t>
      </w:r>
      <w:r>
        <w:rPr>
          <w:color w:val="231F20"/>
          <w:spacing w:val="-9"/>
        </w:rPr>
        <w:t> </w:t>
      </w:r>
      <w:r>
        <w:rPr>
          <w:color w:val="231F20"/>
        </w:rPr>
        <w:t>работы</w:t>
      </w:r>
      <w:r>
        <w:rPr>
          <w:color w:val="231F20"/>
          <w:spacing w:val="-9"/>
        </w:rPr>
        <w:t> </w:t>
      </w:r>
      <w:r>
        <w:rPr>
          <w:color w:val="231F20"/>
        </w:rPr>
        <w:t>на</w:t>
      </w:r>
      <w:r>
        <w:rPr>
          <w:color w:val="231F20"/>
          <w:spacing w:val="-9"/>
        </w:rPr>
        <w:t> </w:t>
      </w:r>
      <w:r>
        <w:rPr>
          <w:color w:val="231F20"/>
        </w:rPr>
        <w:t>семинарах,</w:t>
      </w:r>
      <w:r>
        <w:rPr>
          <w:color w:val="231F20"/>
          <w:spacing w:val="-9"/>
        </w:rPr>
        <w:t> </w:t>
      </w:r>
      <w:r>
        <w:rPr>
          <w:color w:val="231F20"/>
        </w:rPr>
        <w:t>но</w:t>
      </w:r>
      <w:r>
        <w:rPr>
          <w:color w:val="231F20"/>
          <w:spacing w:val="-9"/>
        </w:rPr>
        <w:t> </w:t>
      </w:r>
      <w:r>
        <w:rPr>
          <w:color w:val="231F20"/>
        </w:rPr>
        <w:t>и</w:t>
      </w:r>
      <w:r>
        <w:rPr>
          <w:color w:val="231F20"/>
          <w:spacing w:val="-9"/>
        </w:rPr>
        <w:t> </w:t>
      </w:r>
      <w:r>
        <w:rPr>
          <w:color w:val="231F20"/>
        </w:rPr>
        <w:t>для</w:t>
      </w:r>
      <w:r>
        <w:rPr>
          <w:color w:val="231F20"/>
          <w:spacing w:val="-9"/>
        </w:rPr>
        <w:t> </w:t>
      </w:r>
      <w:r>
        <w:rPr>
          <w:color w:val="231F20"/>
        </w:rPr>
        <w:t>кол- лективного</w:t>
      </w:r>
      <w:r>
        <w:rPr>
          <w:color w:val="231F20"/>
          <w:spacing w:val="-9"/>
        </w:rPr>
        <w:t> </w:t>
      </w:r>
      <w:r>
        <w:rPr>
          <w:color w:val="231F20"/>
        </w:rPr>
        <w:t>решения</w:t>
      </w:r>
      <w:r>
        <w:rPr>
          <w:color w:val="231F20"/>
          <w:spacing w:val="-9"/>
        </w:rPr>
        <w:t> </w:t>
      </w:r>
      <w:r>
        <w:rPr>
          <w:color w:val="231F20"/>
        </w:rPr>
        <w:t>проблем,</w:t>
      </w:r>
      <w:r>
        <w:rPr>
          <w:color w:val="231F20"/>
          <w:spacing w:val="-9"/>
        </w:rPr>
        <w:t> </w:t>
      </w:r>
      <w:r>
        <w:rPr>
          <w:color w:val="231F20"/>
        </w:rPr>
        <w:t>обсуждаемых</w:t>
      </w:r>
      <w:r>
        <w:rPr>
          <w:color w:val="231F20"/>
          <w:spacing w:val="-9"/>
        </w:rPr>
        <w:t> </w:t>
      </w:r>
      <w:r>
        <w:rPr>
          <w:color w:val="231F20"/>
        </w:rPr>
        <w:t>на</w:t>
      </w:r>
      <w:r>
        <w:rPr>
          <w:color w:val="231F20"/>
          <w:spacing w:val="-9"/>
        </w:rPr>
        <w:t> </w:t>
      </w:r>
      <w:r>
        <w:rPr>
          <w:color w:val="231F20"/>
        </w:rPr>
        <w:t>методобъединениях.</w:t>
      </w:r>
      <w:r>
        <w:rPr>
          <w:color w:val="231F20"/>
          <w:spacing w:val="-9"/>
        </w:rPr>
        <w:t> </w:t>
      </w:r>
      <w:r>
        <w:rPr>
          <w:color w:val="231F20"/>
        </w:rPr>
        <w:t>Она</w:t>
      </w:r>
      <w:r>
        <w:rPr>
          <w:color w:val="231F20"/>
          <w:spacing w:val="-9"/>
        </w:rPr>
        <w:t> </w:t>
      </w:r>
      <w:r>
        <w:rPr>
          <w:color w:val="231F20"/>
        </w:rPr>
        <w:t>может</w:t>
      </w:r>
      <w:r>
        <w:rPr>
          <w:color w:val="231F20"/>
          <w:spacing w:val="-9"/>
        </w:rPr>
        <w:t> </w:t>
      </w:r>
      <w:r>
        <w:rPr>
          <w:color w:val="231F20"/>
        </w:rPr>
        <w:t>быть использована</w:t>
      </w:r>
      <w:r>
        <w:rPr>
          <w:color w:val="231F20"/>
          <w:spacing w:val="-3"/>
        </w:rPr>
        <w:t> </w:t>
      </w:r>
      <w:r>
        <w:rPr>
          <w:color w:val="231F20"/>
        </w:rPr>
        <w:t>как</w:t>
      </w:r>
      <w:r>
        <w:rPr>
          <w:color w:val="231F20"/>
          <w:spacing w:val="-3"/>
        </w:rPr>
        <w:t> </w:t>
      </w:r>
      <w:r>
        <w:rPr>
          <w:color w:val="231F20"/>
        </w:rPr>
        <w:t>способ</w:t>
      </w:r>
      <w:r>
        <w:rPr>
          <w:color w:val="231F20"/>
          <w:spacing w:val="-3"/>
        </w:rPr>
        <w:t> </w:t>
      </w:r>
      <w:r>
        <w:rPr>
          <w:color w:val="231F20"/>
        </w:rPr>
        <w:t>привлечения</w:t>
      </w:r>
      <w:r>
        <w:rPr>
          <w:color w:val="231F20"/>
          <w:spacing w:val="-3"/>
        </w:rPr>
        <w:t> </w:t>
      </w:r>
      <w:r>
        <w:rPr>
          <w:color w:val="231F20"/>
        </w:rPr>
        <w:t>людей</w:t>
      </w:r>
      <w:r>
        <w:rPr>
          <w:color w:val="231F20"/>
          <w:spacing w:val="-3"/>
        </w:rPr>
        <w:t> </w:t>
      </w:r>
      <w:r>
        <w:rPr>
          <w:color w:val="231F20"/>
        </w:rPr>
        <w:t>к</w:t>
      </w:r>
      <w:r>
        <w:rPr>
          <w:color w:val="231F20"/>
          <w:spacing w:val="-3"/>
        </w:rPr>
        <w:t> </w:t>
      </w:r>
      <w:r>
        <w:rPr>
          <w:color w:val="231F20"/>
        </w:rPr>
        <w:t>активному</w:t>
      </w:r>
      <w:r>
        <w:rPr>
          <w:color w:val="231F20"/>
          <w:spacing w:val="-3"/>
        </w:rPr>
        <w:t> </w:t>
      </w:r>
      <w:r>
        <w:rPr>
          <w:color w:val="231F20"/>
        </w:rPr>
        <w:t>(сознательному)</w:t>
      </w:r>
      <w:r>
        <w:rPr>
          <w:color w:val="231F20"/>
          <w:spacing w:val="-3"/>
        </w:rPr>
        <w:t> </w:t>
      </w:r>
      <w:r>
        <w:rPr>
          <w:color w:val="231F20"/>
        </w:rPr>
        <w:t>обсужде- нию проблем, по которым должно быть принято коллективное решение.</w:t>
      </w:r>
    </w:p>
    <w:p>
      <w:pPr>
        <w:pStyle w:val="BodyText"/>
        <w:spacing w:line="232" w:lineRule="auto" w:before="4"/>
      </w:pPr>
      <w:r>
        <w:rPr>
          <w:color w:val="231F20"/>
        </w:rPr>
        <w:t>Вопросы</w:t>
      </w:r>
      <w:r>
        <w:rPr>
          <w:color w:val="231F20"/>
          <w:spacing w:val="-13"/>
        </w:rPr>
        <w:t> </w:t>
      </w:r>
      <w:r>
        <w:rPr>
          <w:color w:val="231F20"/>
        </w:rPr>
        <w:t>лучше</w:t>
      </w:r>
      <w:r>
        <w:rPr>
          <w:color w:val="231F20"/>
          <w:spacing w:val="-12"/>
        </w:rPr>
        <w:t> </w:t>
      </w:r>
      <w:r>
        <w:rPr>
          <w:color w:val="231F20"/>
        </w:rPr>
        <w:t>всего</w:t>
      </w:r>
      <w:r>
        <w:rPr>
          <w:color w:val="231F20"/>
          <w:spacing w:val="-13"/>
        </w:rPr>
        <w:t> </w:t>
      </w:r>
      <w:r>
        <w:rPr>
          <w:color w:val="231F20"/>
        </w:rPr>
        <w:t>изложить</w:t>
      </w:r>
      <w:r>
        <w:rPr>
          <w:color w:val="231F20"/>
          <w:spacing w:val="-12"/>
        </w:rPr>
        <w:t> </w:t>
      </w:r>
      <w:r>
        <w:rPr>
          <w:color w:val="231F20"/>
        </w:rPr>
        <w:t>письменно</w:t>
      </w:r>
      <w:r>
        <w:rPr>
          <w:color w:val="231F20"/>
          <w:spacing w:val="-13"/>
        </w:rPr>
        <w:t> </w:t>
      </w:r>
      <w:r>
        <w:rPr>
          <w:color w:val="231F20"/>
        </w:rPr>
        <w:t>и</w:t>
      </w:r>
      <w:r>
        <w:rPr>
          <w:color w:val="231F20"/>
          <w:spacing w:val="-12"/>
        </w:rPr>
        <w:t> </w:t>
      </w:r>
      <w:r>
        <w:rPr>
          <w:color w:val="231F20"/>
        </w:rPr>
        <w:t>раздать</w:t>
      </w:r>
      <w:r>
        <w:rPr>
          <w:color w:val="231F20"/>
          <w:spacing w:val="-13"/>
        </w:rPr>
        <w:t> </w:t>
      </w:r>
      <w:r>
        <w:rPr>
          <w:color w:val="231F20"/>
        </w:rPr>
        <w:t>всем</w:t>
      </w:r>
      <w:r>
        <w:rPr>
          <w:color w:val="231F20"/>
          <w:spacing w:val="-12"/>
        </w:rPr>
        <w:t> </w:t>
      </w:r>
      <w:r>
        <w:rPr>
          <w:color w:val="231F20"/>
        </w:rPr>
        <w:t>участникам.</w:t>
      </w:r>
      <w:r>
        <w:rPr>
          <w:color w:val="231F20"/>
          <w:spacing w:val="-13"/>
        </w:rPr>
        <w:t> </w:t>
      </w:r>
      <w:r>
        <w:rPr>
          <w:color w:val="231F20"/>
        </w:rPr>
        <w:t>Это</w:t>
      </w:r>
      <w:r>
        <w:rPr>
          <w:color w:val="231F20"/>
          <w:spacing w:val="-12"/>
        </w:rPr>
        <w:t> </w:t>
      </w:r>
      <w:r>
        <w:rPr>
          <w:color w:val="231F20"/>
        </w:rPr>
        <w:t>можно сделать на самой встрече, а можно – заранее. При этом у ведущего не обязательно </w:t>
      </w:r>
      <w:r>
        <w:rPr>
          <w:color w:val="231F20"/>
          <w:spacing w:val="-2"/>
        </w:rPr>
        <w:t>должен</w:t>
      </w:r>
      <w:r>
        <w:rPr>
          <w:color w:val="231F20"/>
          <w:spacing w:val="-5"/>
        </w:rPr>
        <w:t> </w:t>
      </w:r>
      <w:r>
        <w:rPr>
          <w:color w:val="231F20"/>
          <w:spacing w:val="-2"/>
        </w:rPr>
        <w:t>быть</w:t>
      </w:r>
      <w:r>
        <w:rPr>
          <w:color w:val="231F20"/>
          <w:spacing w:val="-5"/>
        </w:rPr>
        <w:t> </w:t>
      </w:r>
      <w:r>
        <w:rPr>
          <w:color w:val="231F20"/>
          <w:spacing w:val="-2"/>
        </w:rPr>
        <w:t>заранее</w:t>
      </w:r>
      <w:r>
        <w:rPr>
          <w:color w:val="231F20"/>
          <w:spacing w:val="-5"/>
        </w:rPr>
        <w:t> </w:t>
      </w:r>
      <w:r>
        <w:rPr>
          <w:color w:val="231F20"/>
          <w:spacing w:val="-2"/>
        </w:rPr>
        <w:t>готов</w:t>
      </w:r>
      <w:r>
        <w:rPr>
          <w:color w:val="231F20"/>
          <w:spacing w:val="-5"/>
        </w:rPr>
        <w:t> </w:t>
      </w:r>
      <w:r>
        <w:rPr>
          <w:color w:val="231F20"/>
          <w:spacing w:val="-2"/>
        </w:rPr>
        <w:t>ответ.</w:t>
      </w:r>
      <w:r>
        <w:rPr>
          <w:color w:val="231F20"/>
          <w:spacing w:val="-5"/>
        </w:rPr>
        <w:t> </w:t>
      </w:r>
      <w:r>
        <w:rPr>
          <w:color w:val="231F20"/>
          <w:spacing w:val="-2"/>
        </w:rPr>
        <w:t>Конечно,</w:t>
      </w:r>
      <w:r>
        <w:rPr>
          <w:color w:val="231F20"/>
          <w:spacing w:val="-5"/>
        </w:rPr>
        <w:t> </w:t>
      </w:r>
      <w:r>
        <w:rPr>
          <w:color w:val="231F20"/>
          <w:spacing w:val="-2"/>
        </w:rPr>
        <w:t>это</w:t>
      </w:r>
      <w:r>
        <w:rPr>
          <w:color w:val="231F20"/>
          <w:spacing w:val="-5"/>
        </w:rPr>
        <w:t> </w:t>
      </w:r>
      <w:r>
        <w:rPr>
          <w:color w:val="231F20"/>
          <w:spacing w:val="-2"/>
        </w:rPr>
        <w:t>не</w:t>
      </w:r>
      <w:r>
        <w:rPr>
          <w:color w:val="231F20"/>
          <w:spacing w:val="-5"/>
        </w:rPr>
        <w:t> </w:t>
      </w:r>
      <w:r>
        <w:rPr>
          <w:color w:val="231F20"/>
          <w:spacing w:val="-2"/>
        </w:rPr>
        <w:t>исключает</w:t>
      </w:r>
      <w:r>
        <w:rPr>
          <w:color w:val="231F20"/>
          <w:spacing w:val="-5"/>
        </w:rPr>
        <w:t> </w:t>
      </w:r>
      <w:r>
        <w:rPr>
          <w:color w:val="231F20"/>
          <w:spacing w:val="-2"/>
        </w:rPr>
        <w:t>того,</w:t>
      </w:r>
      <w:r>
        <w:rPr>
          <w:color w:val="231F20"/>
          <w:spacing w:val="-5"/>
        </w:rPr>
        <w:t> </w:t>
      </w:r>
      <w:r>
        <w:rPr>
          <w:color w:val="231F20"/>
          <w:spacing w:val="-2"/>
        </w:rPr>
        <w:t>что</w:t>
      </w:r>
      <w:r>
        <w:rPr>
          <w:color w:val="231F20"/>
          <w:spacing w:val="-5"/>
        </w:rPr>
        <w:t> </w:t>
      </w:r>
      <w:r>
        <w:rPr>
          <w:color w:val="231F20"/>
          <w:spacing w:val="-2"/>
        </w:rPr>
        <w:t>он</w:t>
      </w:r>
      <w:r>
        <w:rPr>
          <w:color w:val="231F20"/>
          <w:spacing w:val="-5"/>
        </w:rPr>
        <w:t> </w:t>
      </w:r>
      <w:r>
        <w:rPr>
          <w:color w:val="231F20"/>
          <w:spacing w:val="-2"/>
        </w:rPr>
        <w:t>может</w:t>
      </w:r>
      <w:r>
        <w:rPr>
          <w:color w:val="231F20"/>
          <w:spacing w:val="-5"/>
        </w:rPr>
        <w:t> </w:t>
      </w:r>
      <w:r>
        <w:rPr>
          <w:color w:val="231F20"/>
          <w:spacing w:val="-2"/>
        </w:rPr>
        <w:t>иметь </w:t>
      </w:r>
      <w:r>
        <w:rPr>
          <w:color w:val="231F20"/>
        </w:rPr>
        <w:t>свое</w:t>
      </w:r>
      <w:r>
        <w:rPr>
          <w:color w:val="231F20"/>
          <w:spacing w:val="-5"/>
        </w:rPr>
        <w:t> </w:t>
      </w:r>
      <w:r>
        <w:rPr>
          <w:color w:val="231F20"/>
        </w:rPr>
        <w:t>собственное</w:t>
      </w:r>
      <w:r>
        <w:rPr>
          <w:color w:val="231F20"/>
          <w:spacing w:val="-5"/>
        </w:rPr>
        <w:t> </w:t>
      </w:r>
      <w:r>
        <w:rPr>
          <w:color w:val="231F20"/>
        </w:rPr>
        <w:t>мнение</w:t>
      </w:r>
      <w:r>
        <w:rPr>
          <w:color w:val="231F20"/>
          <w:spacing w:val="-5"/>
        </w:rPr>
        <w:t> </w:t>
      </w:r>
      <w:r>
        <w:rPr>
          <w:color w:val="231F20"/>
        </w:rPr>
        <w:t>по</w:t>
      </w:r>
      <w:r>
        <w:rPr>
          <w:color w:val="231F20"/>
          <w:spacing w:val="-5"/>
        </w:rPr>
        <w:t> </w:t>
      </w:r>
      <w:r>
        <w:rPr>
          <w:color w:val="231F20"/>
        </w:rPr>
        <w:t>обсуждаемым</w:t>
      </w:r>
      <w:r>
        <w:rPr>
          <w:color w:val="231F20"/>
          <w:spacing w:val="-5"/>
        </w:rPr>
        <w:t> </w:t>
      </w:r>
      <w:r>
        <w:rPr>
          <w:color w:val="231F20"/>
        </w:rPr>
        <w:t>вопросам.</w:t>
      </w:r>
      <w:r>
        <w:rPr>
          <w:color w:val="231F20"/>
          <w:spacing w:val="-5"/>
        </w:rPr>
        <w:t> </w:t>
      </w:r>
      <w:r>
        <w:rPr>
          <w:color w:val="231F20"/>
        </w:rPr>
        <w:t>Мнение</w:t>
      </w:r>
      <w:r>
        <w:rPr>
          <w:color w:val="231F20"/>
          <w:spacing w:val="-5"/>
        </w:rPr>
        <w:t> </w:t>
      </w:r>
      <w:r>
        <w:rPr>
          <w:color w:val="231F20"/>
        </w:rPr>
        <w:t>ведущего</w:t>
      </w:r>
      <w:r>
        <w:rPr>
          <w:color w:val="231F20"/>
          <w:spacing w:val="-5"/>
        </w:rPr>
        <w:t> </w:t>
      </w:r>
      <w:r>
        <w:rPr>
          <w:color w:val="231F20"/>
        </w:rPr>
        <w:t>может</w:t>
      </w:r>
      <w:r>
        <w:rPr>
          <w:color w:val="231F20"/>
          <w:spacing w:val="-5"/>
        </w:rPr>
        <w:t> </w:t>
      </w:r>
      <w:r>
        <w:rPr>
          <w:color w:val="231F20"/>
        </w:rPr>
        <w:t>сфор- мироваться лишь в ходе обсуждения, и этого не следует бояться, т.к. главная задача проблемной</w:t>
      </w:r>
      <w:r>
        <w:rPr>
          <w:color w:val="231F20"/>
          <w:spacing w:val="-12"/>
        </w:rPr>
        <w:t> </w:t>
      </w:r>
      <w:r>
        <w:rPr>
          <w:color w:val="231F20"/>
        </w:rPr>
        <w:t>дискуссии</w:t>
      </w:r>
      <w:r>
        <w:rPr>
          <w:color w:val="231F20"/>
          <w:spacing w:val="-12"/>
        </w:rPr>
        <w:t> </w:t>
      </w:r>
      <w:r>
        <w:rPr>
          <w:color w:val="231F20"/>
        </w:rPr>
        <w:t>не</w:t>
      </w:r>
      <w:r>
        <w:rPr>
          <w:color w:val="231F20"/>
          <w:spacing w:val="-12"/>
        </w:rPr>
        <w:t> </w:t>
      </w:r>
      <w:r>
        <w:rPr>
          <w:color w:val="231F20"/>
        </w:rPr>
        <w:t>в</w:t>
      </w:r>
      <w:r>
        <w:rPr>
          <w:color w:val="231F20"/>
          <w:spacing w:val="-12"/>
        </w:rPr>
        <w:t> </w:t>
      </w:r>
      <w:r>
        <w:rPr>
          <w:color w:val="231F20"/>
        </w:rPr>
        <w:t>том,</w:t>
      </w:r>
      <w:r>
        <w:rPr>
          <w:color w:val="231F20"/>
          <w:spacing w:val="-12"/>
        </w:rPr>
        <w:t> </w:t>
      </w:r>
      <w:r>
        <w:rPr>
          <w:color w:val="231F20"/>
        </w:rPr>
        <w:t>чтобы</w:t>
      </w:r>
      <w:r>
        <w:rPr>
          <w:color w:val="231F20"/>
          <w:spacing w:val="-12"/>
        </w:rPr>
        <w:t> </w:t>
      </w:r>
      <w:r>
        <w:rPr>
          <w:color w:val="231F20"/>
        </w:rPr>
        <w:t>подвести</w:t>
      </w:r>
      <w:r>
        <w:rPr>
          <w:color w:val="231F20"/>
          <w:spacing w:val="-12"/>
        </w:rPr>
        <w:t> </w:t>
      </w:r>
      <w:r>
        <w:rPr>
          <w:color w:val="231F20"/>
        </w:rPr>
        <w:t>слушателей</w:t>
      </w:r>
      <w:r>
        <w:rPr>
          <w:color w:val="231F20"/>
          <w:spacing w:val="-12"/>
        </w:rPr>
        <w:t> </w:t>
      </w:r>
      <w:r>
        <w:rPr>
          <w:color w:val="231F20"/>
        </w:rPr>
        <w:t>к</w:t>
      </w:r>
      <w:r>
        <w:rPr>
          <w:color w:val="231F20"/>
          <w:spacing w:val="-12"/>
        </w:rPr>
        <w:t> </w:t>
      </w:r>
      <w:r>
        <w:rPr>
          <w:color w:val="231F20"/>
        </w:rPr>
        <w:t>выводу,</w:t>
      </w:r>
      <w:r>
        <w:rPr>
          <w:color w:val="231F20"/>
          <w:spacing w:val="-12"/>
        </w:rPr>
        <w:t> </w:t>
      </w:r>
      <w:r>
        <w:rPr>
          <w:color w:val="231F20"/>
        </w:rPr>
        <w:t>который</w:t>
      </w:r>
      <w:r>
        <w:rPr>
          <w:color w:val="231F20"/>
          <w:spacing w:val="-12"/>
        </w:rPr>
        <w:t> </w:t>
      </w:r>
      <w:r>
        <w:rPr>
          <w:color w:val="231F20"/>
        </w:rPr>
        <w:t>зара- нее</w:t>
      </w:r>
      <w:r>
        <w:rPr>
          <w:color w:val="231F20"/>
          <w:spacing w:val="-7"/>
        </w:rPr>
        <w:t> </w:t>
      </w:r>
      <w:r>
        <w:rPr>
          <w:color w:val="231F20"/>
        </w:rPr>
        <w:t>(до</w:t>
      </w:r>
      <w:r>
        <w:rPr>
          <w:color w:val="231F20"/>
          <w:spacing w:val="-7"/>
        </w:rPr>
        <w:t> </w:t>
      </w:r>
      <w:r>
        <w:rPr>
          <w:color w:val="231F20"/>
        </w:rPr>
        <w:t>обсуждения)</w:t>
      </w:r>
      <w:r>
        <w:rPr>
          <w:color w:val="231F20"/>
          <w:spacing w:val="-7"/>
        </w:rPr>
        <w:t> </w:t>
      </w:r>
      <w:r>
        <w:rPr>
          <w:color w:val="231F20"/>
        </w:rPr>
        <w:t>сформулировал</w:t>
      </w:r>
      <w:r>
        <w:rPr>
          <w:color w:val="231F20"/>
          <w:spacing w:val="-7"/>
        </w:rPr>
        <w:t> </w:t>
      </w:r>
      <w:r>
        <w:rPr>
          <w:color w:val="231F20"/>
        </w:rPr>
        <w:t>для</w:t>
      </w:r>
      <w:r>
        <w:rPr>
          <w:color w:val="231F20"/>
          <w:spacing w:val="-7"/>
        </w:rPr>
        <w:t> </w:t>
      </w:r>
      <w:r>
        <w:rPr>
          <w:color w:val="231F20"/>
        </w:rPr>
        <w:t>себя</w:t>
      </w:r>
      <w:r>
        <w:rPr>
          <w:color w:val="231F20"/>
          <w:spacing w:val="-7"/>
        </w:rPr>
        <w:t> </w:t>
      </w:r>
      <w:r>
        <w:rPr>
          <w:color w:val="231F20"/>
        </w:rPr>
        <w:t>ведущий.</w:t>
      </w:r>
      <w:r>
        <w:rPr>
          <w:color w:val="231F20"/>
          <w:spacing w:val="-7"/>
        </w:rPr>
        <w:t> </w:t>
      </w:r>
      <w:r>
        <w:rPr>
          <w:color w:val="231F20"/>
        </w:rPr>
        <w:t>Главное</w:t>
      </w:r>
      <w:r>
        <w:rPr>
          <w:color w:val="231F20"/>
          <w:spacing w:val="-7"/>
        </w:rPr>
        <w:t> </w:t>
      </w:r>
      <w:r>
        <w:rPr>
          <w:color w:val="231F20"/>
        </w:rPr>
        <w:t>–</w:t>
      </w:r>
      <w:r>
        <w:rPr>
          <w:color w:val="231F20"/>
          <w:spacing w:val="-7"/>
        </w:rPr>
        <w:t> </w:t>
      </w:r>
      <w:r>
        <w:rPr>
          <w:color w:val="231F20"/>
        </w:rPr>
        <w:t>в</w:t>
      </w:r>
      <w:r>
        <w:rPr>
          <w:color w:val="231F20"/>
          <w:spacing w:val="-7"/>
        </w:rPr>
        <w:t> </w:t>
      </w:r>
      <w:r>
        <w:rPr>
          <w:color w:val="231F20"/>
        </w:rPr>
        <w:t>процессе</w:t>
      </w:r>
      <w:r>
        <w:rPr>
          <w:color w:val="231F20"/>
          <w:spacing w:val="-7"/>
        </w:rPr>
        <w:t> </w:t>
      </w:r>
      <w:r>
        <w:rPr>
          <w:color w:val="231F20"/>
        </w:rPr>
        <w:t>коллек- тивного обсуждения найти подходы к решению актуальных проблем.</w:t>
      </w:r>
    </w:p>
    <w:p>
      <w:pPr>
        <w:spacing w:line="212" w:lineRule="exact" w:before="0"/>
        <w:ind w:left="425" w:right="0" w:firstLine="0"/>
        <w:jc w:val="both"/>
        <w:rPr>
          <w:i/>
          <w:sz w:val="20"/>
        </w:rPr>
      </w:pPr>
      <w:r>
        <w:rPr>
          <w:i/>
          <w:color w:val="231F20"/>
          <w:sz w:val="20"/>
        </w:rPr>
        <w:t>Разбивка</w:t>
      </w:r>
      <w:r>
        <w:rPr>
          <w:i/>
          <w:color w:val="231F20"/>
          <w:spacing w:val="-7"/>
          <w:sz w:val="20"/>
        </w:rPr>
        <w:t> </w:t>
      </w:r>
      <w:r>
        <w:rPr>
          <w:i/>
          <w:color w:val="231F20"/>
          <w:sz w:val="20"/>
        </w:rPr>
        <w:t>на</w:t>
      </w:r>
      <w:r>
        <w:rPr>
          <w:i/>
          <w:color w:val="231F20"/>
          <w:spacing w:val="-6"/>
          <w:sz w:val="20"/>
        </w:rPr>
        <w:t> </w:t>
      </w:r>
      <w:r>
        <w:rPr>
          <w:i/>
          <w:color w:val="231F20"/>
          <w:spacing w:val="-2"/>
          <w:sz w:val="20"/>
        </w:rPr>
        <w:t>микрогруппы</w:t>
      </w:r>
    </w:p>
    <w:p>
      <w:pPr>
        <w:pStyle w:val="BodyText"/>
        <w:spacing w:line="232" w:lineRule="auto" w:before="2"/>
      </w:pPr>
      <w:r>
        <w:rPr>
          <w:color w:val="231F20"/>
        </w:rPr>
        <w:t>Осуществляя</w:t>
      </w:r>
      <w:r>
        <w:rPr>
          <w:color w:val="231F20"/>
          <w:spacing w:val="-3"/>
        </w:rPr>
        <w:t> </w:t>
      </w:r>
      <w:r>
        <w:rPr>
          <w:color w:val="231F20"/>
        </w:rPr>
        <w:t>деление</w:t>
      </w:r>
      <w:r>
        <w:rPr>
          <w:color w:val="231F20"/>
          <w:spacing w:val="-3"/>
        </w:rPr>
        <w:t> </w:t>
      </w:r>
      <w:r>
        <w:rPr>
          <w:color w:val="231F20"/>
        </w:rPr>
        <w:t>участников</w:t>
      </w:r>
      <w:r>
        <w:rPr>
          <w:color w:val="231F20"/>
          <w:spacing w:val="-3"/>
        </w:rPr>
        <w:t> </w:t>
      </w:r>
      <w:r>
        <w:rPr>
          <w:color w:val="231F20"/>
        </w:rPr>
        <w:t>на</w:t>
      </w:r>
      <w:r>
        <w:rPr>
          <w:color w:val="231F20"/>
          <w:spacing w:val="-3"/>
        </w:rPr>
        <w:t> </w:t>
      </w:r>
      <w:r>
        <w:rPr>
          <w:color w:val="231F20"/>
        </w:rPr>
        <w:t>группы,</w:t>
      </w:r>
      <w:r>
        <w:rPr>
          <w:color w:val="231F20"/>
          <w:spacing w:val="-3"/>
        </w:rPr>
        <w:t> </w:t>
      </w:r>
      <w:r>
        <w:rPr>
          <w:color w:val="231F20"/>
        </w:rPr>
        <w:t>следует</w:t>
      </w:r>
      <w:r>
        <w:rPr>
          <w:color w:val="231F20"/>
          <w:spacing w:val="-3"/>
        </w:rPr>
        <w:t> </w:t>
      </w:r>
      <w:r>
        <w:rPr>
          <w:color w:val="231F20"/>
        </w:rPr>
        <w:t>руководствоваться</w:t>
      </w:r>
      <w:r>
        <w:rPr>
          <w:color w:val="231F20"/>
          <w:spacing w:val="-3"/>
        </w:rPr>
        <w:t> </w:t>
      </w:r>
      <w:r>
        <w:rPr>
          <w:color w:val="231F20"/>
        </w:rPr>
        <w:t>следую- щими правилами:</w:t>
      </w:r>
    </w:p>
    <w:p>
      <w:pPr>
        <w:pStyle w:val="ListParagraph"/>
        <w:numPr>
          <w:ilvl w:val="0"/>
          <w:numId w:val="234"/>
        </w:numPr>
        <w:tabs>
          <w:tab w:pos="425" w:val="left" w:leader="none"/>
        </w:tabs>
        <w:spacing w:line="232" w:lineRule="auto" w:before="0" w:after="0"/>
        <w:ind w:left="425" w:right="139" w:hanging="284"/>
        <w:jc w:val="both"/>
        <w:rPr>
          <w:sz w:val="20"/>
        </w:rPr>
      </w:pPr>
      <w:r>
        <w:rPr>
          <w:color w:val="231F20"/>
          <w:sz w:val="20"/>
        </w:rPr>
        <w:t>общее число групп не должно превышать трех или четырех, в противном случае работа</w:t>
      </w:r>
      <w:r>
        <w:rPr>
          <w:color w:val="231F20"/>
          <w:spacing w:val="-10"/>
          <w:sz w:val="20"/>
        </w:rPr>
        <w:t> </w:t>
      </w:r>
      <w:r>
        <w:rPr>
          <w:color w:val="231F20"/>
          <w:sz w:val="20"/>
        </w:rPr>
        <w:t>на</w:t>
      </w:r>
      <w:r>
        <w:rPr>
          <w:color w:val="231F20"/>
          <w:spacing w:val="-10"/>
          <w:sz w:val="20"/>
        </w:rPr>
        <w:t> </w:t>
      </w:r>
      <w:r>
        <w:rPr>
          <w:color w:val="231F20"/>
          <w:sz w:val="20"/>
        </w:rPr>
        <w:t>следующих</w:t>
      </w:r>
      <w:r>
        <w:rPr>
          <w:color w:val="231F20"/>
          <w:spacing w:val="-10"/>
          <w:sz w:val="20"/>
        </w:rPr>
        <w:t> </w:t>
      </w:r>
      <w:r>
        <w:rPr>
          <w:color w:val="231F20"/>
          <w:sz w:val="20"/>
        </w:rPr>
        <w:t>двух</w:t>
      </w:r>
      <w:r>
        <w:rPr>
          <w:color w:val="231F20"/>
          <w:spacing w:val="-10"/>
          <w:sz w:val="20"/>
        </w:rPr>
        <w:t> </w:t>
      </w:r>
      <w:r>
        <w:rPr>
          <w:color w:val="231F20"/>
          <w:sz w:val="20"/>
        </w:rPr>
        <w:t>этапах</w:t>
      </w:r>
      <w:r>
        <w:rPr>
          <w:color w:val="231F20"/>
          <w:spacing w:val="-10"/>
          <w:sz w:val="20"/>
        </w:rPr>
        <w:t> </w:t>
      </w:r>
      <w:r>
        <w:rPr>
          <w:color w:val="231F20"/>
          <w:sz w:val="20"/>
        </w:rPr>
        <w:t>(представление</w:t>
      </w:r>
      <w:r>
        <w:rPr>
          <w:color w:val="231F20"/>
          <w:spacing w:val="-10"/>
          <w:sz w:val="20"/>
        </w:rPr>
        <w:t> </w:t>
      </w:r>
      <w:r>
        <w:rPr>
          <w:color w:val="231F20"/>
          <w:sz w:val="20"/>
        </w:rPr>
        <w:t>позиций,</w:t>
      </w:r>
      <w:r>
        <w:rPr>
          <w:color w:val="231F20"/>
          <w:spacing w:val="-10"/>
          <w:sz w:val="20"/>
        </w:rPr>
        <w:t> </w:t>
      </w:r>
      <w:r>
        <w:rPr>
          <w:color w:val="231F20"/>
          <w:sz w:val="20"/>
        </w:rPr>
        <w:t>выработанных</w:t>
      </w:r>
      <w:r>
        <w:rPr>
          <w:color w:val="231F20"/>
          <w:spacing w:val="-10"/>
          <w:sz w:val="20"/>
        </w:rPr>
        <w:t> </w:t>
      </w:r>
      <w:r>
        <w:rPr>
          <w:color w:val="231F20"/>
          <w:sz w:val="20"/>
        </w:rPr>
        <w:t>в</w:t>
      </w:r>
      <w:r>
        <w:rPr>
          <w:color w:val="231F20"/>
          <w:spacing w:val="-10"/>
          <w:sz w:val="20"/>
        </w:rPr>
        <w:t> </w:t>
      </w:r>
      <w:r>
        <w:rPr>
          <w:color w:val="231F20"/>
          <w:sz w:val="20"/>
        </w:rPr>
        <w:t>груп- пах, и общая дискуссия с сопоставлением позиций) может быть затруднена;</w:t>
      </w:r>
    </w:p>
    <w:p>
      <w:pPr>
        <w:pStyle w:val="ListParagraph"/>
        <w:numPr>
          <w:ilvl w:val="0"/>
          <w:numId w:val="234"/>
        </w:numPr>
        <w:tabs>
          <w:tab w:pos="425" w:val="left" w:leader="none"/>
        </w:tabs>
        <w:spacing w:line="232" w:lineRule="auto" w:before="0" w:after="0"/>
        <w:ind w:left="425" w:right="139" w:hanging="284"/>
        <w:jc w:val="both"/>
        <w:rPr>
          <w:sz w:val="20"/>
        </w:rPr>
      </w:pPr>
      <w:r>
        <w:rPr>
          <w:color w:val="231F20"/>
          <w:sz w:val="20"/>
        </w:rPr>
        <w:t>количество</w:t>
      </w:r>
      <w:r>
        <w:rPr>
          <w:color w:val="231F20"/>
          <w:spacing w:val="-10"/>
          <w:sz w:val="20"/>
        </w:rPr>
        <w:t> </w:t>
      </w:r>
      <w:r>
        <w:rPr>
          <w:color w:val="231F20"/>
          <w:sz w:val="20"/>
        </w:rPr>
        <w:t>участников</w:t>
      </w:r>
      <w:r>
        <w:rPr>
          <w:color w:val="231F20"/>
          <w:spacing w:val="-10"/>
          <w:sz w:val="20"/>
        </w:rPr>
        <w:t> </w:t>
      </w:r>
      <w:r>
        <w:rPr>
          <w:color w:val="231F20"/>
          <w:sz w:val="20"/>
        </w:rPr>
        <w:t>в</w:t>
      </w:r>
      <w:r>
        <w:rPr>
          <w:color w:val="231F20"/>
          <w:spacing w:val="-10"/>
          <w:sz w:val="20"/>
        </w:rPr>
        <w:t> </w:t>
      </w:r>
      <w:r>
        <w:rPr>
          <w:color w:val="231F20"/>
          <w:sz w:val="20"/>
        </w:rPr>
        <w:t>группах</w:t>
      </w:r>
      <w:r>
        <w:rPr>
          <w:color w:val="231F20"/>
          <w:spacing w:val="-10"/>
          <w:sz w:val="20"/>
        </w:rPr>
        <w:t> </w:t>
      </w:r>
      <w:r>
        <w:rPr>
          <w:color w:val="231F20"/>
          <w:sz w:val="20"/>
        </w:rPr>
        <w:t>также</w:t>
      </w:r>
      <w:r>
        <w:rPr>
          <w:color w:val="231F20"/>
          <w:spacing w:val="-10"/>
          <w:sz w:val="20"/>
        </w:rPr>
        <w:t> </w:t>
      </w:r>
      <w:r>
        <w:rPr>
          <w:color w:val="231F20"/>
          <w:sz w:val="20"/>
        </w:rPr>
        <w:t>не</w:t>
      </w:r>
      <w:r>
        <w:rPr>
          <w:color w:val="231F20"/>
          <w:spacing w:val="-10"/>
          <w:sz w:val="20"/>
        </w:rPr>
        <w:t> </w:t>
      </w:r>
      <w:r>
        <w:rPr>
          <w:color w:val="231F20"/>
          <w:sz w:val="20"/>
        </w:rPr>
        <w:t>должно</w:t>
      </w:r>
      <w:r>
        <w:rPr>
          <w:color w:val="231F20"/>
          <w:spacing w:val="-10"/>
          <w:sz w:val="20"/>
        </w:rPr>
        <w:t> </w:t>
      </w:r>
      <w:r>
        <w:rPr>
          <w:color w:val="231F20"/>
          <w:sz w:val="20"/>
        </w:rPr>
        <w:t>быть</w:t>
      </w:r>
      <w:r>
        <w:rPr>
          <w:color w:val="231F20"/>
          <w:spacing w:val="-10"/>
          <w:sz w:val="20"/>
        </w:rPr>
        <w:t> </w:t>
      </w:r>
      <w:r>
        <w:rPr>
          <w:color w:val="231F20"/>
          <w:sz w:val="20"/>
        </w:rPr>
        <w:t>слишком</w:t>
      </w:r>
      <w:r>
        <w:rPr>
          <w:color w:val="231F20"/>
          <w:spacing w:val="-10"/>
          <w:sz w:val="20"/>
        </w:rPr>
        <w:t> </w:t>
      </w:r>
      <w:r>
        <w:rPr>
          <w:color w:val="231F20"/>
          <w:sz w:val="20"/>
        </w:rPr>
        <w:t>большим</w:t>
      </w:r>
      <w:r>
        <w:rPr>
          <w:color w:val="231F20"/>
          <w:spacing w:val="-10"/>
          <w:sz w:val="20"/>
        </w:rPr>
        <w:t> </w:t>
      </w:r>
      <w:r>
        <w:rPr>
          <w:color w:val="231F20"/>
          <w:sz w:val="20"/>
        </w:rPr>
        <w:t>–</w:t>
      </w:r>
      <w:r>
        <w:rPr>
          <w:color w:val="231F20"/>
          <w:spacing w:val="-10"/>
          <w:sz w:val="20"/>
        </w:rPr>
        <w:t> </w:t>
      </w:r>
      <w:r>
        <w:rPr>
          <w:color w:val="231F20"/>
          <w:sz w:val="20"/>
        </w:rPr>
        <w:t>пять или шесть человек;</w:t>
      </w:r>
    </w:p>
    <w:p>
      <w:pPr>
        <w:pStyle w:val="ListParagraph"/>
        <w:numPr>
          <w:ilvl w:val="0"/>
          <w:numId w:val="234"/>
        </w:numPr>
        <w:tabs>
          <w:tab w:pos="424" w:val="left" w:leader="none"/>
        </w:tabs>
        <w:spacing w:line="218" w:lineRule="exact" w:before="0" w:after="0"/>
        <w:ind w:left="424" w:right="0" w:hanging="283"/>
        <w:jc w:val="both"/>
        <w:rPr>
          <w:sz w:val="20"/>
        </w:rPr>
      </w:pPr>
      <w:r>
        <w:rPr>
          <w:color w:val="231F20"/>
          <w:sz w:val="20"/>
        </w:rPr>
        <w:t>в</w:t>
      </w:r>
      <w:r>
        <w:rPr>
          <w:color w:val="231F20"/>
          <w:spacing w:val="-9"/>
          <w:sz w:val="20"/>
        </w:rPr>
        <w:t> </w:t>
      </w:r>
      <w:r>
        <w:rPr>
          <w:color w:val="231F20"/>
          <w:sz w:val="20"/>
        </w:rPr>
        <w:t>одной</w:t>
      </w:r>
      <w:r>
        <w:rPr>
          <w:color w:val="231F20"/>
          <w:spacing w:val="-6"/>
          <w:sz w:val="20"/>
        </w:rPr>
        <w:t> </w:t>
      </w:r>
      <w:r>
        <w:rPr>
          <w:color w:val="231F20"/>
          <w:sz w:val="20"/>
        </w:rPr>
        <w:t>группе</w:t>
      </w:r>
      <w:r>
        <w:rPr>
          <w:color w:val="231F20"/>
          <w:spacing w:val="-5"/>
          <w:sz w:val="20"/>
        </w:rPr>
        <w:t> </w:t>
      </w:r>
      <w:r>
        <w:rPr>
          <w:color w:val="231F20"/>
          <w:sz w:val="20"/>
        </w:rPr>
        <w:t>должны</w:t>
      </w:r>
      <w:r>
        <w:rPr>
          <w:color w:val="231F20"/>
          <w:spacing w:val="-5"/>
          <w:sz w:val="20"/>
        </w:rPr>
        <w:t> </w:t>
      </w:r>
      <w:r>
        <w:rPr>
          <w:color w:val="231F20"/>
          <w:sz w:val="20"/>
        </w:rPr>
        <w:t>быть</w:t>
      </w:r>
      <w:r>
        <w:rPr>
          <w:color w:val="231F20"/>
          <w:spacing w:val="-6"/>
          <w:sz w:val="20"/>
        </w:rPr>
        <w:t> </w:t>
      </w:r>
      <w:r>
        <w:rPr>
          <w:color w:val="231F20"/>
          <w:sz w:val="20"/>
        </w:rPr>
        <w:t>люди,</w:t>
      </w:r>
      <w:r>
        <w:rPr>
          <w:color w:val="231F20"/>
          <w:spacing w:val="-5"/>
          <w:sz w:val="20"/>
        </w:rPr>
        <w:t> </w:t>
      </w:r>
      <w:r>
        <w:rPr>
          <w:color w:val="231F20"/>
          <w:sz w:val="20"/>
        </w:rPr>
        <w:t>представляющие</w:t>
      </w:r>
      <w:r>
        <w:rPr>
          <w:color w:val="231F20"/>
          <w:spacing w:val="-5"/>
          <w:sz w:val="20"/>
        </w:rPr>
        <w:t> </w:t>
      </w:r>
      <w:r>
        <w:rPr>
          <w:color w:val="231F20"/>
          <w:sz w:val="20"/>
        </w:rPr>
        <w:t>разные</w:t>
      </w:r>
      <w:r>
        <w:rPr>
          <w:color w:val="231F20"/>
          <w:spacing w:val="-5"/>
          <w:sz w:val="20"/>
        </w:rPr>
        <w:t> </w:t>
      </w:r>
      <w:r>
        <w:rPr>
          <w:color w:val="231F20"/>
          <w:sz w:val="20"/>
        </w:rPr>
        <w:t>точки</w:t>
      </w:r>
      <w:r>
        <w:rPr>
          <w:color w:val="231F20"/>
          <w:spacing w:val="-6"/>
          <w:sz w:val="20"/>
        </w:rPr>
        <w:t> </w:t>
      </w:r>
      <w:r>
        <w:rPr>
          <w:color w:val="231F20"/>
          <w:spacing w:val="-2"/>
          <w:sz w:val="20"/>
        </w:rPr>
        <w:t>зрения.</w:t>
      </w:r>
    </w:p>
    <w:p>
      <w:pPr>
        <w:pStyle w:val="BodyText"/>
        <w:spacing w:line="232" w:lineRule="auto"/>
        <w:ind w:right="140"/>
      </w:pPr>
      <w:r>
        <w:rPr>
          <w:color w:val="231F20"/>
        </w:rPr>
        <w:t>Эту работу целесообразно проводить непосредственно на встрече по методу: на первый, второй и т.д рассчитайся.</w:t>
      </w:r>
    </w:p>
    <w:p>
      <w:pPr>
        <w:pStyle w:val="BodyText"/>
        <w:spacing w:line="232" w:lineRule="auto"/>
      </w:pPr>
      <w:r>
        <w:rPr>
          <w:color w:val="231F20"/>
        </w:rPr>
        <w:t>После</w:t>
      </w:r>
      <w:r>
        <w:rPr>
          <w:color w:val="231F20"/>
          <w:spacing w:val="-12"/>
        </w:rPr>
        <w:t> </w:t>
      </w:r>
      <w:r>
        <w:rPr>
          <w:color w:val="231F20"/>
        </w:rPr>
        <w:t>того</w:t>
      </w:r>
      <w:r>
        <w:rPr>
          <w:color w:val="231F20"/>
          <w:spacing w:val="-12"/>
        </w:rPr>
        <w:t> </w:t>
      </w:r>
      <w:r>
        <w:rPr>
          <w:color w:val="231F20"/>
        </w:rPr>
        <w:t>как</w:t>
      </w:r>
      <w:r>
        <w:rPr>
          <w:color w:val="231F20"/>
          <w:spacing w:val="-12"/>
        </w:rPr>
        <w:t> </w:t>
      </w:r>
      <w:r>
        <w:rPr>
          <w:color w:val="231F20"/>
        </w:rPr>
        <w:t>группы</w:t>
      </w:r>
      <w:r>
        <w:rPr>
          <w:color w:val="231F20"/>
          <w:spacing w:val="-12"/>
        </w:rPr>
        <w:t> </w:t>
      </w:r>
      <w:r>
        <w:rPr>
          <w:color w:val="231F20"/>
        </w:rPr>
        <w:t>сформированы,</w:t>
      </w:r>
      <w:r>
        <w:rPr>
          <w:color w:val="231F20"/>
          <w:spacing w:val="-12"/>
        </w:rPr>
        <w:t> </w:t>
      </w:r>
      <w:r>
        <w:rPr>
          <w:color w:val="231F20"/>
        </w:rPr>
        <w:t>ведущий</w:t>
      </w:r>
      <w:r>
        <w:rPr>
          <w:color w:val="231F20"/>
          <w:spacing w:val="-12"/>
        </w:rPr>
        <w:t> </w:t>
      </w:r>
      <w:r>
        <w:rPr>
          <w:color w:val="231F20"/>
        </w:rPr>
        <w:t>должен</w:t>
      </w:r>
      <w:r>
        <w:rPr>
          <w:color w:val="231F20"/>
          <w:spacing w:val="-12"/>
        </w:rPr>
        <w:t> </w:t>
      </w:r>
      <w:r>
        <w:rPr>
          <w:color w:val="231F20"/>
        </w:rPr>
        <w:t>прочитать</w:t>
      </w:r>
      <w:r>
        <w:rPr>
          <w:color w:val="231F20"/>
          <w:spacing w:val="-12"/>
        </w:rPr>
        <w:t> </w:t>
      </w:r>
      <w:r>
        <w:rPr>
          <w:color w:val="231F20"/>
        </w:rPr>
        <w:t>вопросы</w:t>
      </w:r>
      <w:r>
        <w:rPr>
          <w:color w:val="231F20"/>
          <w:spacing w:val="-12"/>
        </w:rPr>
        <w:t> </w:t>
      </w:r>
      <w:r>
        <w:rPr>
          <w:color w:val="231F20"/>
        </w:rPr>
        <w:t>и</w:t>
      </w:r>
      <w:r>
        <w:rPr>
          <w:color w:val="231F20"/>
          <w:spacing w:val="-12"/>
        </w:rPr>
        <w:t> </w:t>
      </w:r>
      <w:r>
        <w:rPr>
          <w:color w:val="231F20"/>
        </w:rPr>
        <w:t>рас- сказать, как будет проходить работа в группах. При необходимости он должен дать некоторые пояснения к вопросам, объяснить порядок работы – где какая группа за- нимается,</w:t>
      </w:r>
      <w:r>
        <w:rPr>
          <w:color w:val="231F20"/>
          <w:spacing w:val="-13"/>
        </w:rPr>
        <w:t> </w:t>
      </w:r>
      <w:r>
        <w:rPr>
          <w:color w:val="231F20"/>
        </w:rPr>
        <w:t>сколько</w:t>
      </w:r>
      <w:r>
        <w:rPr>
          <w:color w:val="231F20"/>
          <w:spacing w:val="-12"/>
        </w:rPr>
        <w:t> </w:t>
      </w:r>
      <w:r>
        <w:rPr>
          <w:color w:val="231F20"/>
        </w:rPr>
        <w:t>времени</w:t>
      </w:r>
      <w:r>
        <w:rPr>
          <w:color w:val="231F20"/>
          <w:spacing w:val="-13"/>
        </w:rPr>
        <w:t> </w:t>
      </w:r>
      <w:r>
        <w:rPr>
          <w:color w:val="231F20"/>
        </w:rPr>
        <w:t>должно</w:t>
      </w:r>
      <w:r>
        <w:rPr>
          <w:color w:val="231F20"/>
          <w:spacing w:val="-12"/>
        </w:rPr>
        <w:t> </w:t>
      </w:r>
      <w:r>
        <w:rPr>
          <w:color w:val="231F20"/>
        </w:rPr>
        <w:t>занять</w:t>
      </w:r>
      <w:r>
        <w:rPr>
          <w:color w:val="231F20"/>
          <w:spacing w:val="-13"/>
        </w:rPr>
        <w:t> </w:t>
      </w:r>
      <w:r>
        <w:rPr>
          <w:color w:val="231F20"/>
        </w:rPr>
        <w:t>обсуждение,</w:t>
      </w:r>
      <w:r>
        <w:rPr>
          <w:color w:val="231F20"/>
          <w:spacing w:val="-12"/>
        </w:rPr>
        <w:t> </w:t>
      </w:r>
      <w:r>
        <w:rPr>
          <w:color w:val="231F20"/>
        </w:rPr>
        <w:t>как</w:t>
      </w:r>
      <w:r>
        <w:rPr>
          <w:color w:val="231F20"/>
          <w:spacing w:val="-13"/>
        </w:rPr>
        <w:t> </w:t>
      </w:r>
      <w:r>
        <w:rPr>
          <w:color w:val="231F20"/>
        </w:rPr>
        <w:t>должно</w:t>
      </w:r>
      <w:r>
        <w:rPr>
          <w:color w:val="231F20"/>
          <w:spacing w:val="-12"/>
        </w:rPr>
        <w:t> </w:t>
      </w:r>
      <w:r>
        <w:rPr>
          <w:color w:val="231F20"/>
        </w:rPr>
        <w:t>проходить</w:t>
      </w:r>
      <w:r>
        <w:rPr>
          <w:color w:val="231F20"/>
          <w:spacing w:val="-13"/>
        </w:rPr>
        <w:t> </w:t>
      </w:r>
      <w:r>
        <w:rPr>
          <w:color w:val="231F20"/>
        </w:rPr>
        <w:t>обсуж- дение. И, наконец, разъяснить задачу работы в группах: найти подходы к решению поставленных</w:t>
      </w:r>
      <w:r>
        <w:rPr>
          <w:color w:val="231F20"/>
          <w:spacing w:val="-5"/>
        </w:rPr>
        <w:t> </w:t>
      </w:r>
      <w:r>
        <w:rPr>
          <w:color w:val="231F20"/>
        </w:rPr>
        <w:t>проблем</w:t>
      </w:r>
      <w:r>
        <w:rPr>
          <w:color w:val="231F20"/>
          <w:spacing w:val="-5"/>
        </w:rPr>
        <w:t> </w:t>
      </w:r>
      <w:r>
        <w:rPr>
          <w:color w:val="231F20"/>
        </w:rPr>
        <w:t>и</w:t>
      </w:r>
      <w:r>
        <w:rPr>
          <w:color w:val="231F20"/>
          <w:spacing w:val="-5"/>
        </w:rPr>
        <w:t> </w:t>
      </w:r>
      <w:r>
        <w:rPr>
          <w:color w:val="231F20"/>
        </w:rPr>
        <w:t>выработать,</w:t>
      </w:r>
      <w:r>
        <w:rPr>
          <w:color w:val="231F20"/>
          <w:spacing w:val="-5"/>
        </w:rPr>
        <w:t> </w:t>
      </w:r>
      <w:r>
        <w:rPr>
          <w:color w:val="231F20"/>
        </w:rPr>
        <w:t>насколько</w:t>
      </w:r>
      <w:r>
        <w:rPr>
          <w:color w:val="231F20"/>
          <w:spacing w:val="-5"/>
        </w:rPr>
        <w:t> </w:t>
      </w:r>
      <w:r>
        <w:rPr>
          <w:color w:val="231F20"/>
        </w:rPr>
        <w:t>это</w:t>
      </w:r>
      <w:r>
        <w:rPr>
          <w:color w:val="231F20"/>
          <w:spacing w:val="-5"/>
        </w:rPr>
        <w:t> </w:t>
      </w:r>
      <w:r>
        <w:rPr>
          <w:color w:val="231F20"/>
        </w:rPr>
        <w:t>возможно,</w:t>
      </w:r>
      <w:r>
        <w:rPr>
          <w:color w:val="231F20"/>
          <w:spacing w:val="-5"/>
        </w:rPr>
        <w:t> </w:t>
      </w:r>
      <w:r>
        <w:rPr>
          <w:color w:val="231F20"/>
        </w:rPr>
        <w:t>единое</w:t>
      </w:r>
      <w:r>
        <w:rPr>
          <w:color w:val="231F20"/>
          <w:spacing w:val="-5"/>
        </w:rPr>
        <w:t> </w:t>
      </w:r>
      <w:r>
        <w:rPr>
          <w:color w:val="231F20"/>
        </w:rPr>
        <w:t>мнение</w:t>
      </w:r>
      <w:r>
        <w:rPr>
          <w:color w:val="231F20"/>
          <w:spacing w:val="-5"/>
        </w:rPr>
        <w:t> </w:t>
      </w:r>
      <w:r>
        <w:rPr>
          <w:color w:val="231F20"/>
        </w:rPr>
        <w:t>по</w:t>
      </w:r>
      <w:r>
        <w:rPr>
          <w:color w:val="231F20"/>
          <w:spacing w:val="-5"/>
        </w:rPr>
        <w:t> </w:t>
      </w:r>
      <w:r>
        <w:rPr>
          <w:color w:val="231F20"/>
        </w:rPr>
        <w:t>ка- ждому из вопросов.</w:t>
      </w:r>
    </w:p>
    <w:p>
      <w:pPr>
        <w:pStyle w:val="BodyText"/>
        <w:spacing w:line="232" w:lineRule="auto"/>
      </w:pPr>
      <w:r>
        <w:rPr>
          <w:color w:val="231F20"/>
        </w:rPr>
        <w:t>Следует объяснить, что группы самостоятельно должны определить, кто будет вести дискуссию. Это может быть человек, которого выберет группа или который согласится</w:t>
      </w:r>
      <w:r>
        <w:rPr>
          <w:color w:val="231F20"/>
          <w:spacing w:val="-5"/>
        </w:rPr>
        <w:t> </w:t>
      </w:r>
      <w:r>
        <w:rPr>
          <w:color w:val="231F20"/>
        </w:rPr>
        <w:t>на</w:t>
      </w:r>
      <w:r>
        <w:rPr>
          <w:color w:val="231F20"/>
          <w:spacing w:val="-5"/>
        </w:rPr>
        <w:t> </w:t>
      </w:r>
      <w:r>
        <w:rPr>
          <w:color w:val="231F20"/>
        </w:rPr>
        <w:t>эту</w:t>
      </w:r>
      <w:r>
        <w:rPr>
          <w:color w:val="231F20"/>
          <w:spacing w:val="-5"/>
        </w:rPr>
        <w:t> </w:t>
      </w:r>
      <w:r>
        <w:rPr>
          <w:color w:val="231F20"/>
        </w:rPr>
        <w:t>роль</w:t>
      </w:r>
      <w:r>
        <w:rPr>
          <w:color w:val="231F20"/>
          <w:spacing w:val="-5"/>
        </w:rPr>
        <w:t> </w:t>
      </w:r>
      <w:r>
        <w:rPr>
          <w:color w:val="231F20"/>
        </w:rPr>
        <w:t>добровольно.</w:t>
      </w:r>
      <w:r>
        <w:rPr>
          <w:color w:val="231F20"/>
          <w:spacing w:val="-5"/>
        </w:rPr>
        <w:t> </w:t>
      </w:r>
      <w:r>
        <w:rPr>
          <w:color w:val="231F20"/>
        </w:rPr>
        <w:t>В</w:t>
      </w:r>
      <w:r>
        <w:rPr>
          <w:color w:val="231F20"/>
          <w:spacing w:val="-5"/>
        </w:rPr>
        <w:t> </w:t>
      </w:r>
      <w:r>
        <w:rPr>
          <w:color w:val="231F20"/>
        </w:rPr>
        <w:t>процессе</w:t>
      </w:r>
      <w:r>
        <w:rPr>
          <w:color w:val="231F20"/>
          <w:spacing w:val="-5"/>
        </w:rPr>
        <w:t> </w:t>
      </w:r>
      <w:r>
        <w:rPr>
          <w:color w:val="231F20"/>
        </w:rPr>
        <w:t>обсуждения</w:t>
      </w:r>
      <w:r>
        <w:rPr>
          <w:color w:val="231F20"/>
          <w:spacing w:val="-5"/>
        </w:rPr>
        <w:t> </w:t>
      </w:r>
      <w:r>
        <w:rPr>
          <w:color w:val="231F20"/>
        </w:rPr>
        <w:t>надо</w:t>
      </w:r>
      <w:r>
        <w:rPr>
          <w:color w:val="231F20"/>
          <w:spacing w:val="-5"/>
        </w:rPr>
        <w:t> </w:t>
      </w:r>
      <w:r>
        <w:rPr>
          <w:color w:val="231F20"/>
        </w:rPr>
        <w:t>также</w:t>
      </w:r>
      <w:r>
        <w:rPr>
          <w:color w:val="231F20"/>
          <w:spacing w:val="-5"/>
        </w:rPr>
        <w:t> </w:t>
      </w:r>
      <w:r>
        <w:rPr>
          <w:color w:val="231F20"/>
        </w:rPr>
        <w:t>определить, кто</w:t>
      </w:r>
      <w:r>
        <w:rPr>
          <w:color w:val="231F20"/>
          <w:spacing w:val="-13"/>
        </w:rPr>
        <w:t> </w:t>
      </w:r>
      <w:r>
        <w:rPr>
          <w:color w:val="231F20"/>
        </w:rPr>
        <w:t>будет</w:t>
      </w:r>
      <w:r>
        <w:rPr>
          <w:color w:val="231F20"/>
          <w:spacing w:val="-12"/>
        </w:rPr>
        <w:t> </w:t>
      </w:r>
      <w:r>
        <w:rPr>
          <w:color w:val="231F20"/>
        </w:rPr>
        <w:t>представлять</w:t>
      </w:r>
      <w:r>
        <w:rPr>
          <w:color w:val="231F20"/>
          <w:spacing w:val="-13"/>
        </w:rPr>
        <w:t> </w:t>
      </w:r>
      <w:r>
        <w:rPr>
          <w:color w:val="231F20"/>
        </w:rPr>
        <w:t>позицию</w:t>
      </w:r>
      <w:r>
        <w:rPr>
          <w:color w:val="231F20"/>
          <w:spacing w:val="-12"/>
        </w:rPr>
        <w:t> </w:t>
      </w:r>
      <w:r>
        <w:rPr>
          <w:color w:val="231F20"/>
        </w:rPr>
        <w:t>группы</w:t>
      </w:r>
      <w:r>
        <w:rPr>
          <w:color w:val="231F20"/>
          <w:spacing w:val="-13"/>
        </w:rPr>
        <w:t> </w:t>
      </w:r>
      <w:r>
        <w:rPr>
          <w:color w:val="231F20"/>
        </w:rPr>
        <w:t>на</w:t>
      </w:r>
      <w:r>
        <w:rPr>
          <w:color w:val="231F20"/>
          <w:spacing w:val="-12"/>
        </w:rPr>
        <w:t> </w:t>
      </w:r>
      <w:r>
        <w:rPr>
          <w:color w:val="231F20"/>
        </w:rPr>
        <w:t>общей</w:t>
      </w:r>
      <w:r>
        <w:rPr>
          <w:color w:val="231F20"/>
          <w:spacing w:val="-13"/>
        </w:rPr>
        <w:t> </w:t>
      </w:r>
      <w:r>
        <w:rPr>
          <w:color w:val="231F20"/>
        </w:rPr>
        <w:t>дискуссии.</w:t>
      </w:r>
      <w:r>
        <w:rPr>
          <w:color w:val="231F20"/>
          <w:spacing w:val="-12"/>
        </w:rPr>
        <w:t> </w:t>
      </w:r>
      <w:r>
        <w:rPr>
          <w:color w:val="231F20"/>
        </w:rPr>
        <w:t>Следует</w:t>
      </w:r>
      <w:r>
        <w:rPr>
          <w:color w:val="231F20"/>
          <w:spacing w:val="-13"/>
        </w:rPr>
        <w:t> </w:t>
      </w:r>
      <w:r>
        <w:rPr>
          <w:color w:val="231F20"/>
        </w:rPr>
        <w:t>объяснить,</w:t>
      </w:r>
      <w:r>
        <w:rPr>
          <w:color w:val="231F20"/>
          <w:spacing w:val="-12"/>
        </w:rPr>
        <w:t> </w:t>
      </w:r>
      <w:r>
        <w:rPr>
          <w:color w:val="231F20"/>
        </w:rPr>
        <w:t>что если</w:t>
      </w:r>
      <w:r>
        <w:rPr>
          <w:color w:val="231F20"/>
          <w:spacing w:val="-10"/>
        </w:rPr>
        <w:t> </w:t>
      </w:r>
      <w:r>
        <w:rPr>
          <w:color w:val="231F20"/>
        </w:rPr>
        <w:t>в</w:t>
      </w:r>
      <w:r>
        <w:rPr>
          <w:color w:val="231F20"/>
          <w:spacing w:val="-10"/>
        </w:rPr>
        <w:t> </w:t>
      </w:r>
      <w:r>
        <w:rPr>
          <w:color w:val="231F20"/>
        </w:rPr>
        <w:t>процессе</w:t>
      </w:r>
      <w:r>
        <w:rPr>
          <w:color w:val="231F20"/>
          <w:spacing w:val="-10"/>
        </w:rPr>
        <w:t> </w:t>
      </w:r>
      <w:r>
        <w:rPr>
          <w:color w:val="231F20"/>
        </w:rPr>
        <w:t>обсуждения</w:t>
      </w:r>
      <w:r>
        <w:rPr>
          <w:color w:val="231F20"/>
          <w:spacing w:val="-10"/>
        </w:rPr>
        <w:t> </w:t>
      </w:r>
      <w:r>
        <w:rPr>
          <w:color w:val="231F20"/>
        </w:rPr>
        <w:t>группа</w:t>
      </w:r>
      <w:r>
        <w:rPr>
          <w:color w:val="231F20"/>
          <w:spacing w:val="-10"/>
        </w:rPr>
        <w:t> </w:t>
      </w:r>
      <w:r>
        <w:rPr>
          <w:color w:val="231F20"/>
        </w:rPr>
        <w:t>не</w:t>
      </w:r>
      <w:r>
        <w:rPr>
          <w:color w:val="231F20"/>
          <w:spacing w:val="-10"/>
        </w:rPr>
        <w:t> </w:t>
      </w:r>
      <w:r>
        <w:rPr>
          <w:color w:val="231F20"/>
        </w:rPr>
        <w:t>пришла</w:t>
      </w:r>
      <w:r>
        <w:rPr>
          <w:color w:val="231F20"/>
          <w:spacing w:val="-10"/>
        </w:rPr>
        <w:t> </w:t>
      </w:r>
      <w:r>
        <w:rPr>
          <w:color w:val="231F20"/>
        </w:rPr>
        <w:t>к</w:t>
      </w:r>
      <w:r>
        <w:rPr>
          <w:color w:val="231F20"/>
          <w:spacing w:val="-10"/>
        </w:rPr>
        <w:t> </w:t>
      </w:r>
      <w:r>
        <w:rPr>
          <w:color w:val="231F20"/>
        </w:rPr>
        <w:t>единому</w:t>
      </w:r>
      <w:r>
        <w:rPr>
          <w:color w:val="231F20"/>
          <w:spacing w:val="-10"/>
        </w:rPr>
        <w:t> </w:t>
      </w:r>
      <w:r>
        <w:rPr>
          <w:color w:val="231F20"/>
        </w:rPr>
        <w:t>мнению</w:t>
      </w:r>
      <w:r>
        <w:rPr>
          <w:color w:val="231F20"/>
          <w:spacing w:val="-10"/>
        </w:rPr>
        <w:t> </w:t>
      </w:r>
      <w:r>
        <w:rPr>
          <w:color w:val="231F20"/>
        </w:rPr>
        <w:t>по</w:t>
      </w:r>
      <w:r>
        <w:rPr>
          <w:color w:val="231F20"/>
          <w:spacing w:val="-10"/>
        </w:rPr>
        <w:t> </w:t>
      </w:r>
      <w:r>
        <w:rPr>
          <w:color w:val="231F20"/>
        </w:rPr>
        <w:t>тому</w:t>
      </w:r>
      <w:r>
        <w:rPr>
          <w:color w:val="231F20"/>
          <w:spacing w:val="-10"/>
        </w:rPr>
        <w:t> </w:t>
      </w:r>
      <w:r>
        <w:rPr>
          <w:color w:val="231F20"/>
        </w:rPr>
        <w:t>или</w:t>
      </w:r>
      <w:r>
        <w:rPr>
          <w:color w:val="231F20"/>
          <w:spacing w:val="-10"/>
        </w:rPr>
        <w:t> </w:t>
      </w:r>
      <w:r>
        <w:rPr>
          <w:color w:val="231F20"/>
        </w:rPr>
        <w:t>иному вопросу, то от группы могут выступить два и более человек, чтобы ознакомить всех присутствующих с разными мнениями, прозвучавшими в группах.</w:t>
      </w:r>
    </w:p>
    <w:p>
      <w:pPr>
        <w:spacing w:line="215" w:lineRule="exact" w:before="0"/>
        <w:ind w:left="425" w:right="0" w:firstLine="0"/>
        <w:jc w:val="both"/>
        <w:rPr>
          <w:i/>
          <w:sz w:val="20"/>
        </w:rPr>
      </w:pPr>
      <w:r>
        <w:rPr>
          <w:i/>
          <w:color w:val="231F20"/>
          <w:sz w:val="20"/>
        </w:rPr>
        <w:t>Работа</w:t>
      </w:r>
      <w:r>
        <w:rPr>
          <w:i/>
          <w:color w:val="231F20"/>
          <w:spacing w:val="-6"/>
          <w:sz w:val="20"/>
        </w:rPr>
        <w:t> </w:t>
      </w:r>
      <w:r>
        <w:rPr>
          <w:i/>
          <w:color w:val="231F20"/>
          <w:sz w:val="20"/>
        </w:rPr>
        <w:t>в</w:t>
      </w:r>
      <w:r>
        <w:rPr>
          <w:i/>
          <w:color w:val="231F20"/>
          <w:spacing w:val="-5"/>
          <w:sz w:val="20"/>
        </w:rPr>
        <w:t> </w:t>
      </w:r>
      <w:r>
        <w:rPr>
          <w:i/>
          <w:color w:val="231F20"/>
          <w:spacing w:val="-2"/>
          <w:sz w:val="20"/>
        </w:rPr>
        <w:t>группах</w:t>
      </w:r>
    </w:p>
    <w:p>
      <w:pPr>
        <w:pStyle w:val="BodyText"/>
        <w:spacing w:line="235" w:lineRule="auto"/>
      </w:pPr>
      <w:r>
        <w:rPr>
          <w:color w:val="231F20"/>
        </w:rPr>
        <w:t>Целесообразно, чтобы эта работа осуществлялась в разных помещениях (комна- тах),</w:t>
      </w:r>
      <w:r>
        <w:rPr>
          <w:color w:val="231F20"/>
          <w:spacing w:val="-12"/>
        </w:rPr>
        <w:t> </w:t>
      </w:r>
      <w:r>
        <w:rPr>
          <w:color w:val="231F20"/>
        </w:rPr>
        <w:t>где</w:t>
      </w:r>
      <w:r>
        <w:rPr>
          <w:color w:val="231F20"/>
          <w:spacing w:val="-12"/>
        </w:rPr>
        <w:t> </w:t>
      </w:r>
      <w:r>
        <w:rPr>
          <w:color w:val="231F20"/>
        </w:rPr>
        <w:t>участники,</w:t>
      </w:r>
      <w:r>
        <w:rPr>
          <w:color w:val="231F20"/>
          <w:spacing w:val="-12"/>
        </w:rPr>
        <w:t> </w:t>
      </w:r>
      <w:r>
        <w:rPr>
          <w:color w:val="231F20"/>
        </w:rPr>
        <w:t>составляющие</w:t>
      </w:r>
      <w:r>
        <w:rPr>
          <w:color w:val="231F20"/>
          <w:spacing w:val="-12"/>
        </w:rPr>
        <w:t> </w:t>
      </w:r>
      <w:r>
        <w:rPr>
          <w:color w:val="231F20"/>
        </w:rPr>
        <w:t>одну</w:t>
      </w:r>
      <w:r>
        <w:rPr>
          <w:color w:val="231F20"/>
          <w:spacing w:val="-12"/>
        </w:rPr>
        <w:t> </w:t>
      </w:r>
      <w:r>
        <w:rPr>
          <w:color w:val="231F20"/>
        </w:rPr>
        <w:t>группу,</w:t>
      </w:r>
      <w:r>
        <w:rPr>
          <w:color w:val="231F20"/>
          <w:spacing w:val="-12"/>
        </w:rPr>
        <w:t> </w:t>
      </w:r>
      <w:r>
        <w:rPr>
          <w:color w:val="231F20"/>
        </w:rPr>
        <w:t>могли</w:t>
      </w:r>
      <w:r>
        <w:rPr>
          <w:color w:val="231F20"/>
          <w:spacing w:val="-12"/>
        </w:rPr>
        <w:t> </w:t>
      </w:r>
      <w:r>
        <w:rPr>
          <w:color w:val="231F20"/>
        </w:rPr>
        <w:t>бы,</w:t>
      </w:r>
      <w:r>
        <w:rPr>
          <w:color w:val="231F20"/>
          <w:spacing w:val="-12"/>
        </w:rPr>
        <w:t> </w:t>
      </w:r>
      <w:r>
        <w:rPr>
          <w:color w:val="231F20"/>
        </w:rPr>
        <w:t>не</w:t>
      </w:r>
      <w:r>
        <w:rPr>
          <w:color w:val="231F20"/>
          <w:spacing w:val="-12"/>
        </w:rPr>
        <w:t> </w:t>
      </w:r>
      <w:r>
        <w:rPr>
          <w:color w:val="231F20"/>
        </w:rPr>
        <w:t>мешая</w:t>
      </w:r>
      <w:r>
        <w:rPr>
          <w:color w:val="231F20"/>
          <w:spacing w:val="-12"/>
        </w:rPr>
        <w:t> </w:t>
      </w:r>
      <w:r>
        <w:rPr>
          <w:color w:val="231F20"/>
        </w:rPr>
        <w:t>другим,</w:t>
      </w:r>
      <w:r>
        <w:rPr>
          <w:color w:val="231F20"/>
          <w:spacing w:val="-12"/>
        </w:rPr>
        <w:t> </w:t>
      </w:r>
      <w:r>
        <w:rPr>
          <w:color w:val="231F20"/>
        </w:rPr>
        <w:t>обмени- ваться мнениями.</w:t>
      </w:r>
    </w:p>
    <w:p>
      <w:pPr>
        <w:pStyle w:val="BodyText"/>
        <w:spacing w:line="235" w:lineRule="auto"/>
      </w:pPr>
      <w:r>
        <w:rPr>
          <w:color w:val="231F20"/>
        </w:rPr>
        <w:t>Работа</w:t>
      </w:r>
      <w:r>
        <w:rPr>
          <w:color w:val="231F20"/>
          <w:spacing w:val="-11"/>
        </w:rPr>
        <w:t> </w:t>
      </w:r>
      <w:r>
        <w:rPr>
          <w:color w:val="231F20"/>
        </w:rPr>
        <w:t>в</w:t>
      </w:r>
      <w:r>
        <w:rPr>
          <w:color w:val="231F20"/>
          <w:spacing w:val="-11"/>
        </w:rPr>
        <w:t> </w:t>
      </w:r>
      <w:r>
        <w:rPr>
          <w:color w:val="231F20"/>
        </w:rPr>
        <w:t>группах</w:t>
      </w:r>
      <w:r>
        <w:rPr>
          <w:color w:val="231F20"/>
          <w:spacing w:val="-11"/>
        </w:rPr>
        <w:t> </w:t>
      </w:r>
      <w:r>
        <w:rPr>
          <w:color w:val="231F20"/>
        </w:rPr>
        <w:t>–</w:t>
      </w:r>
      <w:r>
        <w:rPr>
          <w:color w:val="231F20"/>
          <w:spacing w:val="-11"/>
        </w:rPr>
        <w:t> </w:t>
      </w:r>
      <w:r>
        <w:rPr>
          <w:color w:val="231F20"/>
        </w:rPr>
        <w:t>это</w:t>
      </w:r>
      <w:r>
        <w:rPr>
          <w:color w:val="231F20"/>
          <w:spacing w:val="-11"/>
        </w:rPr>
        <w:t> </w:t>
      </w:r>
      <w:r>
        <w:rPr>
          <w:color w:val="231F20"/>
        </w:rPr>
        <w:t>исключительно</w:t>
      </w:r>
      <w:r>
        <w:rPr>
          <w:color w:val="231F20"/>
          <w:spacing w:val="-11"/>
        </w:rPr>
        <w:t> </w:t>
      </w:r>
      <w:r>
        <w:rPr>
          <w:color w:val="231F20"/>
        </w:rPr>
        <w:t>самостоятельная</w:t>
      </w:r>
      <w:r>
        <w:rPr>
          <w:color w:val="231F20"/>
          <w:spacing w:val="-11"/>
        </w:rPr>
        <w:t> </w:t>
      </w:r>
      <w:r>
        <w:rPr>
          <w:color w:val="231F20"/>
        </w:rPr>
        <w:t>работа</w:t>
      </w:r>
      <w:r>
        <w:rPr>
          <w:color w:val="231F20"/>
          <w:spacing w:val="-11"/>
        </w:rPr>
        <w:t> </w:t>
      </w:r>
      <w:r>
        <w:rPr>
          <w:color w:val="231F20"/>
        </w:rPr>
        <w:t>слушателей.</w:t>
      </w:r>
      <w:r>
        <w:rPr>
          <w:color w:val="231F20"/>
          <w:spacing w:val="-11"/>
        </w:rPr>
        <w:t> </w:t>
      </w:r>
      <w:r>
        <w:rPr>
          <w:color w:val="231F20"/>
        </w:rPr>
        <w:t>Веду- щий</w:t>
      </w:r>
      <w:r>
        <w:rPr>
          <w:color w:val="231F20"/>
          <w:spacing w:val="-12"/>
        </w:rPr>
        <w:t> </w:t>
      </w:r>
      <w:r>
        <w:rPr>
          <w:color w:val="231F20"/>
        </w:rPr>
        <w:t>или</w:t>
      </w:r>
      <w:r>
        <w:rPr>
          <w:color w:val="231F20"/>
          <w:spacing w:val="-12"/>
        </w:rPr>
        <w:t> </w:t>
      </w:r>
      <w:r>
        <w:rPr>
          <w:color w:val="231F20"/>
        </w:rPr>
        <w:t>ведущие</w:t>
      </w:r>
      <w:r>
        <w:rPr>
          <w:color w:val="231F20"/>
          <w:spacing w:val="-11"/>
        </w:rPr>
        <w:t> </w:t>
      </w:r>
      <w:r>
        <w:rPr>
          <w:color w:val="231F20"/>
        </w:rPr>
        <w:t>не</w:t>
      </w:r>
      <w:r>
        <w:rPr>
          <w:color w:val="231F20"/>
          <w:spacing w:val="-12"/>
        </w:rPr>
        <w:t> </w:t>
      </w:r>
      <w:r>
        <w:rPr>
          <w:color w:val="231F20"/>
        </w:rPr>
        <w:t>должны</w:t>
      </w:r>
      <w:r>
        <w:rPr>
          <w:color w:val="231F20"/>
          <w:spacing w:val="-12"/>
        </w:rPr>
        <w:t> </w:t>
      </w:r>
      <w:r>
        <w:rPr>
          <w:color w:val="231F20"/>
        </w:rPr>
        <w:t>вмешиваться</w:t>
      </w:r>
      <w:r>
        <w:rPr>
          <w:color w:val="231F20"/>
          <w:spacing w:val="-11"/>
        </w:rPr>
        <w:t> </w:t>
      </w:r>
      <w:r>
        <w:rPr>
          <w:color w:val="231F20"/>
        </w:rPr>
        <w:t>в</w:t>
      </w:r>
      <w:r>
        <w:rPr>
          <w:color w:val="231F20"/>
          <w:spacing w:val="-12"/>
        </w:rPr>
        <w:t> </w:t>
      </w:r>
      <w:r>
        <w:rPr>
          <w:color w:val="231F20"/>
        </w:rPr>
        <w:t>работу</w:t>
      </w:r>
      <w:r>
        <w:rPr>
          <w:color w:val="231F20"/>
          <w:spacing w:val="-12"/>
        </w:rPr>
        <w:t> </w:t>
      </w:r>
      <w:r>
        <w:rPr>
          <w:color w:val="231F20"/>
        </w:rPr>
        <w:t>групп.</w:t>
      </w:r>
      <w:r>
        <w:rPr>
          <w:color w:val="231F20"/>
          <w:spacing w:val="-11"/>
        </w:rPr>
        <w:t> </w:t>
      </w:r>
      <w:r>
        <w:rPr>
          <w:color w:val="231F20"/>
        </w:rPr>
        <w:t>Конечно,</w:t>
      </w:r>
      <w:r>
        <w:rPr>
          <w:color w:val="231F20"/>
          <w:spacing w:val="-12"/>
        </w:rPr>
        <w:t> </w:t>
      </w:r>
      <w:r>
        <w:rPr>
          <w:color w:val="231F20"/>
        </w:rPr>
        <w:t>это</w:t>
      </w:r>
      <w:r>
        <w:rPr>
          <w:color w:val="231F20"/>
          <w:spacing w:val="-12"/>
        </w:rPr>
        <w:t> </w:t>
      </w:r>
      <w:r>
        <w:rPr>
          <w:color w:val="231F20"/>
        </w:rPr>
        <w:t>не</w:t>
      </w:r>
      <w:r>
        <w:rPr>
          <w:color w:val="231F20"/>
          <w:spacing w:val="-11"/>
        </w:rPr>
        <w:t> </w:t>
      </w:r>
      <w:r>
        <w:rPr>
          <w:color w:val="231F20"/>
          <w:spacing w:val="-2"/>
        </w:rPr>
        <w:t>исключает</w:t>
      </w:r>
    </w:p>
    <w:p>
      <w:pPr>
        <w:pStyle w:val="BodyText"/>
        <w:spacing w:after="0" w:line="235" w:lineRule="auto"/>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pStyle w:val="BodyText"/>
        <w:spacing w:line="235" w:lineRule="auto" w:before="116"/>
        <w:ind w:firstLine="0"/>
      </w:pPr>
      <w:r>
        <w:rPr>
          <w:color w:val="231F20"/>
        </w:rPr>
        <w:t>того,</w:t>
      </w:r>
      <w:r>
        <w:rPr>
          <w:color w:val="231F20"/>
          <w:spacing w:val="-6"/>
        </w:rPr>
        <w:t> </w:t>
      </w:r>
      <w:r>
        <w:rPr>
          <w:color w:val="231F20"/>
        </w:rPr>
        <w:t>что</w:t>
      </w:r>
      <w:r>
        <w:rPr>
          <w:color w:val="231F20"/>
          <w:spacing w:val="-6"/>
        </w:rPr>
        <w:t> </w:t>
      </w:r>
      <w:r>
        <w:rPr>
          <w:color w:val="231F20"/>
        </w:rPr>
        <w:t>ведущие</w:t>
      </w:r>
      <w:r>
        <w:rPr>
          <w:color w:val="231F20"/>
          <w:spacing w:val="-6"/>
        </w:rPr>
        <w:t> </w:t>
      </w:r>
      <w:r>
        <w:rPr>
          <w:color w:val="231F20"/>
        </w:rPr>
        <w:t>могут</w:t>
      </w:r>
      <w:r>
        <w:rPr>
          <w:color w:val="231F20"/>
          <w:spacing w:val="-6"/>
        </w:rPr>
        <w:t> </w:t>
      </w:r>
      <w:r>
        <w:rPr>
          <w:color w:val="231F20"/>
        </w:rPr>
        <w:t>присутствовать</w:t>
      </w:r>
      <w:r>
        <w:rPr>
          <w:color w:val="231F20"/>
          <w:spacing w:val="-6"/>
        </w:rPr>
        <w:t> </w:t>
      </w:r>
      <w:r>
        <w:rPr>
          <w:color w:val="231F20"/>
        </w:rPr>
        <w:t>при</w:t>
      </w:r>
      <w:r>
        <w:rPr>
          <w:color w:val="231F20"/>
          <w:spacing w:val="-6"/>
        </w:rPr>
        <w:t> </w:t>
      </w:r>
      <w:r>
        <w:rPr>
          <w:color w:val="231F20"/>
        </w:rPr>
        <w:t>работе</w:t>
      </w:r>
      <w:r>
        <w:rPr>
          <w:color w:val="231F20"/>
          <w:spacing w:val="-6"/>
        </w:rPr>
        <w:t> </w:t>
      </w:r>
      <w:r>
        <w:rPr>
          <w:color w:val="231F20"/>
        </w:rPr>
        <w:t>в</w:t>
      </w:r>
      <w:r>
        <w:rPr>
          <w:color w:val="231F20"/>
          <w:spacing w:val="-6"/>
        </w:rPr>
        <w:t> </w:t>
      </w:r>
      <w:r>
        <w:rPr>
          <w:color w:val="231F20"/>
        </w:rPr>
        <w:t>группах.</w:t>
      </w:r>
      <w:r>
        <w:rPr>
          <w:color w:val="231F20"/>
          <w:spacing w:val="-6"/>
        </w:rPr>
        <w:t> </w:t>
      </w:r>
      <w:r>
        <w:rPr>
          <w:color w:val="231F20"/>
        </w:rPr>
        <w:t>Но</w:t>
      </w:r>
      <w:r>
        <w:rPr>
          <w:color w:val="231F20"/>
          <w:spacing w:val="-6"/>
        </w:rPr>
        <w:t> </w:t>
      </w:r>
      <w:r>
        <w:rPr>
          <w:color w:val="231F20"/>
        </w:rPr>
        <w:t>они</w:t>
      </w:r>
      <w:r>
        <w:rPr>
          <w:color w:val="231F20"/>
          <w:spacing w:val="-6"/>
        </w:rPr>
        <w:t> </w:t>
      </w:r>
      <w:r>
        <w:rPr>
          <w:color w:val="231F20"/>
        </w:rPr>
        <w:t>ни</w:t>
      </w:r>
      <w:r>
        <w:rPr>
          <w:color w:val="231F20"/>
          <w:spacing w:val="-6"/>
        </w:rPr>
        <w:t> </w:t>
      </w:r>
      <w:r>
        <w:rPr>
          <w:color w:val="231F20"/>
        </w:rPr>
        <w:t>в</w:t>
      </w:r>
      <w:r>
        <w:rPr>
          <w:color w:val="231F20"/>
          <w:spacing w:val="-6"/>
        </w:rPr>
        <w:t> </w:t>
      </w:r>
      <w:r>
        <w:rPr>
          <w:color w:val="231F20"/>
        </w:rPr>
        <w:t>коем</w:t>
      </w:r>
      <w:r>
        <w:rPr>
          <w:color w:val="231F20"/>
          <w:spacing w:val="-6"/>
        </w:rPr>
        <w:t> </w:t>
      </w:r>
      <w:r>
        <w:rPr>
          <w:color w:val="231F20"/>
        </w:rPr>
        <w:t>слу- чае</w:t>
      </w:r>
      <w:r>
        <w:rPr>
          <w:color w:val="231F20"/>
          <w:spacing w:val="-1"/>
        </w:rPr>
        <w:t> </w:t>
      </w:r>
      <w:r>
        <w:rPr>
          <w:color w:val="231F20"/>
        </w:rPr>
        <w:t>не</w:t>
      </w:r>
      <w:r>
        <w:rPr>
          <w:color w:val="231F20"/>
          <w:spacing w:val="-1"/>
        </w:rPr>
        <w:t> </w:t>
      </w:r>
      <w:r>
        <w:rPr>
          <w:color w:val="231F20"/>
        </w:rPr>
        <w:t>должны</w:t>
      </w:r>
      <w:r>
        <w:rPr>
          <w:color w:val="231F20"/>
          <w:spacing w:val="-1"/>
        </w:rPr>
        <w:t> </w:t>
      </w:r>
      <w:r>
        <w:rPr>
          <w:color w:val="231F20"/>
        </w:rPr>
        <w:t>высказывать,</w:t>
      </w:r>
      <w:r>
        <w:rPr>
          <w:color w:val="231F20"/>
          <w:spacing w:val="-1"/>
        </w:rPr>
        <w:t> </w:t>
      </w:r>
      <w:r>
        <w:rPr>
          <w:color w:val="231F20"/>
        </w:rPr>
        <w:t>а</w:t>
      </w:r>
      <w:r>
        <w:rPr>
          <w:color w:val="231F20"/>
          <w:spacing w:val="-1"/>
        </w:rPr>
        <w:t> </w:t>
      </w:r>
      <w:r>
        <w:rPr>
          <w:color w:val="231F20"/>
        </w:rPr>
        <w:t>тем</w:t>
      </w:r>
      <w:r>
        <w:rPr>
          <w:color w:val="231F20"/>
          <w:spacing w:val="-1"/>
        </w:rPr>
        <w:t> </w:t>
      </w:r>
      <w:r>
        <w:rPr>
          <w:color w:val="231F20"/>
        </w:rPr>
        <w:t>более</w:t>
      </w:r>
      <w:r>
        <w:rPr>
          <w:color w:val="231F20"/>
          <w:spacing w:val="-1"/>
        </w:rPr>
        <w:t> </w:t>
      </w:r>
      <w:r>
        <w:rPr>
          <w:color w:val="231F20"/>
        </w:rPr>
        <w:t>навязывать</w:t>
      </w:r>
      <w:r>
        <w:rPr>
          <w:color w:val="231F20"/>
          <w:spacing w:val="-1"/>
        </w:rPr>
        <w:t> </w:t>
      </w:r>
      <w:r>
        <w:rPr>
          <w:color w:val="231F20"/>
        </w:rPr>
        <w:t>свое</w:t>
      </w:r>
      <w:r>
        <w:rPr>
          <w:color w:val="231F20"/>
          <w:spacing w:val="-1"/>
        </w:rPr>
        <w:t> </w:t>
      </w:r>
      <w:r>
        <w:rPr>
          <w:color w:val="231F20"/>
        </w:rPr>
        <w:t>мнение</w:t>
      </w:r>
      <w:r>
        <w:rPr>
          <w:color w:val="231F20"/>
          <w:spacing w:val="-1"/>
        </w:rPr>
        <w:t> </w:t>
      </w:r>
      <w:r>
        <w:rPr>
          <w:color w:val="231F20"/>
        </w:rPr>
        <w:t>по</w:t>
      </w:r>
      <w:r>
        <w:rPr>
          <w:color w:val="231F20"/>
          <w:spacing w:val="-1"/>
        </w:rPr>
        <w:t> </w:t>
      </w:r>
      <w:r>
        <w:rPr>
          <w:color w:val="231F20"/>
        </w:rPr>
        <w:t>тому</w:t>
      </w:r>
      <w:r>
        <w:rPr>
          <w:color w:val="231F20"/>
          <w:spacing w:val="-1"/>
        </w:rPr>
        <w:t> </w:t>
      </w:r>
      <w:r>
        <w:rPr>
          <w:color w:val="231F20"/>
        </w:rPr>
        <w:t>или</w:t>
      </w:r>
      <w:r>
        <w:rPr>
          <w:color w:val="231F20"/>
          <w:spacing w:val="-1"/>
        </w:rPr>
        <w:t> </w:t>
      </w:r>
      <w:r>
        <w:rPr>
          <w:color w:val="231F20"/>
        </w:rPr>
        <w:t>иному вопросу,</w:t>
      </w:r>
      <w:r>
        <w:rPr>
          <w:color w:val="231F20"/>
          <w:spacing w:val="-1"/>
        </w:rPr>
        <w:t> </w:t>
      </w:r>
      <w:r>
        <w:rPr>
          <w:color w:val="231F20"/>
        </w:rPr>
        <w:t>чтобы</w:t>
      </w:r>
      <w:r>
        <w:rPr>
          <w:color w:val="231F20"/>
          <w:spacing w:val="-1"/>
        </w:rPr>
        <w:t> </w:t>
      </w:r>
      <w:r>
        <w:rPr>
          <w:color w:val="231F20"/>
        </w:rPr>
        <w:t>избежать</w:t>
      </w:r>
      <w:r>
        <w:rPr>
          <w:color w:val="231F20"/>
          <w:spacing w:val="-1"/>
        </w:rPr>
        <w:t> </w:t>
      </w:r>
      <w:r>
        <w:rPr>
          <w:color w:val="231F20"/>
        </w:rPr>
        <w:t>давления</w:t>
      </w:r>
      <w:r>
        <w:rPr>
          <w:color w:val="231F20"/>
          <w:spacing w:val="-1"/>
        </w:rPr>
        <w:t> </w:t>
      </w:r>
      <w:r>
        <w:rPr>
          <w:color w:val="231F20"/>
        </w:rPr>
        <w:t>на</w:t>
      </w:r>
      <w:r>
        <w:rPr>
          <w:color w:val="231F20"/>
          <w:spacing w:val="-1"/>
        </w:rPr>
        <w:t> </w:t>
      </w:r>
      <w:r>
        <w:rPr>
          <w:color w:val="231F20"/>
        </w:rPr>
        <w:t>слушателей.</w:t>
      </w:r>
      <w:r>
        <w:rPr>
          <w:color w:val="231F20"/>
          <w:spacing w:val="-1"/>
        </w:rPr>
        <w:t> </w:t>
      </w:r>
      <w:r>
        <w:rPr>
          <w:color w:val="231F20"/>
        </w:rPr>
        <w:t>В</w:t>
      </w:r>
      <w:r>
        <w:rPr>
          <w:color w:val="231F20"/>
          <w:spacing w:val="-1"/>
        </w:rPr>
        <w:t> </w:t>
      </w:r>
      <w:r>
        <w:rPr>
          <w:color w:val="231F20"/>
        </w:rPr>
        <w:t>лучшем</w:t>
      </w:r>
      <w:r>
        <w:rPr>
          <w:color w:val="231F20"/>
          <w:spacing w:val="-1"/>
        </w:rPr>
        <w:t> </w:t>
      </w:r>
      <w:r>
        <w:rPr>
          <w:color w:val="231F20"/>
        </w:rPr>
        <w:t>случае,</w:t>
      </w:r>
      <w:r>
        <w:rPr>
          <w:color w:val="231F20"/>
          <w:spacing w:val="-1"/>
        </w:rPr>
        <w:t> </w:t>
      </w:r>
      <w:r>
        <w:rPr>
          <w:color w:val="231F20"/>
        </w:rPr>
        <w:t>они</w:t>
      </w:r>
      <w:r>
        <w:rPr>
          <w:color w:val="231F20"/>
          <w:spacing w:val="-1"/>
        </w:rPr>
        <w:t> </w:t>
      </w:r>
      <w:r>
        <w:rPr>
          <w:color w:val="231F20"/>
        </w:rPr>
        <w:t>могут</w:t>
      </w:r>
      <w:r>
        <w:rPr>
          <w:color w:val="231F20"/>
          <w:spacing w:val="-1"/>
        </w:rPr>
        <w:t> </w:t>
      </w:r>
      <w:r>
        <w:rPr>
          <w:color w:val="231F20"/>
        </w:rPr>
        <w:t>под- сказать, как эффективнее организовать работу.</w:t>
      </w:r>
    </w:p>
    <w:p>
      <w:pPr>
        <w:pStyle w:val="BodyText"/>
        <w:spacing w:line="235" w:lineRule="auto" w:before="2"/>
      </w:pPr>
      <w:r>
        <w:rPr>
          <w:color w:val="231F20"/>
        </w:rPr>
        <w:t>При работе в группах слушатели должны высказать свое мнение по каждому из обсуждаемых вопросов. Главная цель работы в группах – обмен мнениями и поиск подходов к решению обозначенных проблем. Если в процессе обсуждения удается прийти к единому мнению, оно фиксируется (желательно в письменной форме) и сообщается от имени группы на следующем этапе. Если в процессе обсуждения в группе</w:t>
      </w:r>
      <w:r>
        <w:rPr>
          <w:color w:val="231F20"/>
          <w:spacing w:val="-13"/>
        </w:rPr>
        <w:t> </w:t>
      </w:r>
      <w:r>
        <w:rPr>
          <w:color w:val="231F20"/>
        </w:rPr>
        <w:t>не</w:t>
      </w:r>
      <w:r>
        <w:rPr>
          <w:color w:val="231F20"/>
          <w:spacing w:val="-12"/>
        </w:rPr>
        <w:t> </w:t>
      </w:r>
      <w:r>
        <w:rPr>
          <w:color w:val="231F20"/>
        </w:rPr>
        <w:t>удалось</w:t>
      </w:r>
      <w:r>
        <w:rPr>
          <w:color w:val="231F20"/>
          <w:spacing w:val="-13"/>
        </w:rPr>
        <w:t> </w:t>
      </w:r>
      <w:r>
        <w:rPr>
          <w:color w:val="231F20"/>
        </w:rPr>
        <w:t>прийти</w:t>
      </w:r>
      <w:r>
        <w:rPr>
          <w:color w:val="231F20"/>
          <w:spacing w:val="-12"/>
        </w:rPr>
        <w:t> </w:t>
      </w:r>
      <w:r>
        <w:rPr>
          <w:color w:val="231F20"/>
        </w:rPr>
        <w:t>к</w:t>
      </w:r>
      <w:r>
        <w:rPr>
          <w:color w:val="231F20"/>
          <w:spacing w:val="-13"/>
        </w:rPr>
        <w:t> </w:t>
      </w:r>
      <w:r>
        <w:rPr>
          <w:color w:val="231F20"/>
        </w:rPr>
        <w:t>единому</w:t>
      </w:r>
      <w:r>
        <w:rPr>
          <w:color w:val="231F20"/>
          <w:spacing w:val="-12"/>
        </w:rPr>
        <w:t> </w:t>
      </w:r>
      <w:r>
        <w:rPr>
          <w:color w:val="231F20"/>
        </w:rPr>
        <w:t>мнению,</w:t>
      </w:r>
      <w:r>
        <w:rPr>
          <w:color w:val="231F20"/>
          <w:spacing w:val="-13"/>
        </w:rPr>
        <w:t> </w:t>
      </w:r>
      <w:r>
        <w:rPr>
          <w:color w:val="231F20"/>
        </w:rPr>
        <w:t>это</w:t>
      </w:r>
      <w:r>
        <w:rPr>
          <w:color w:val="231F20"/>
          <w:spacing w:val="-12"/>
        </w:rPr>
        <w:t> </w:t>
      </w:r>
      <w:r>
        <w:rPr>
          <w:color w:val="231F20"/>
        </w:rPr>
        <w:t>также</w:t>
      </w:r>
      <w:r>
        <w:rPr>
          <w:color w:val="231F20"/>
          <w:spacing w:val="-13"/>
        </w:rPr>
        <w:t> </w:t>
      </w:r>
      <w:r>
        <w:rPr>
          <w:color w:val="231F20"/>
        </w:rPr>
        <w:t>фиксируется</w:t>
      </w:r>
      <w:r>
        <w:rPr>
          <w:color w:val="231F20"/>
          <w:spacing w:val="-12"/>
        </w:rPr>
        <w:t> </w:t>
      </w:r>
      <w:r>
        <w:rPr>
          <w:color w:val="231F20"/>
        </w:rPr>
        <w:t>и</w:t>
      </w:r>
      <w:r>
        <w:rPr>
          <w:color w:val="231F20"/>
          <w:spacing w:val="-13"/>
        </w:rPr>
        <w:t> </w:t>
      </w:r>
      <w:r>
        <w:rPr>
          <w:color w:val="231F20"/>
        </w:rPr>
        <w:t>на</w:t>
      </w:r>
      <w:r>
        <w:rPr>
          <w:color w:val="231F20"/>
          <w:spacing w:val="-12"/>
        </w:rPr>
        <w:t> </w:t>
      </w:r>
      <w:r>
        <w:rPr>
          <w:color w:val="231F20"/>
        </w:rPr>
        <w:t>следующем этапе доводится до сведения участников из других групп.</w:t>
      </w:r>
    </w:p>
    <w:p>
      <w:pPr>
        <w:pStyle w:val="BodyText"/>
        <w:spacing w:line="235" w:lineRule="auto" w:before="5"/>
      </w:pPr>
      <w:r>
        <w:rPr>
          <w:color w:val="231F20"/>
        </w:rPr>
        <w:t>Продолжительность</w:t>
      </w:r>
      <w:r>
        <w:rPr>
          <w:color w:val="231F20"/>
          <w:spacing w:val="-1"/>
        </w:rPr>
        <w:t> </w:t>
      </w:r>
      <w:r>
        <w:rPr>
          <w:color w:val="231F20"/>
        </w:rPr>
        <w:t>работы</w:t>
      </w:r>
      <w:r>
        <w:rPr>
          <w:color w:val="231F20"/>
          <w:spacing w:val="-1"/>
        </w:rPr>
        <w:t> </w:t>
      </w:r>
      <w:r>
        <w:rPr>
          <w:color w:val="231F20"/>
        </w:rPr>
        <w:t>в</w:t>
      </w:r>
      <w:r>
        <w:rPr>
          <w:color w:val="231F20"/>
          <w:spacing w:val="-1"/>
        </w:rPr>
        <w:t> </w:t>
      </w:r>
      <w:r>
        <w:rPr>
          <w:color w:val="231F20"/>
        </w:rPr>
        <w:t>группах</w:t>
      </w:r>
      <w:r>
        <w:rPr>
          <w:color w:val="231F20"/>
          <w:spacing w:val="-1"/>
        </w:rPr>
        <w:t> </w:t>
      </w:r>
      <w:r>
        <w:rPr>
          <w:color w:val="231F20"/>
        </w:rPr>
        <w:t>зависит</w:t>
      </w:r>
      <w:r>
        <w:rPr>
          <w:color w:val="231F20"/>
          <w:spacing w:val="-1"/>
        </w:rPr>
        <w:t> </w:t>
      </w:r>
      <w:r>
        <w:rPr>
          <w:color w:val="231F20"/>
        </w:rPr>
        <w:t>от</w:t>
      </w:r>
      <w:r>
        <w:rPr>
          <w:color w:val="231F20"/>
          <w:spacing w:val="-1"/>
        </w:rPr>
        <w:t> </w:t>
      </w:r>
      <w:r>
        <w:rPr>
          <w:color w:val="231F20"/>
        </w:rPr>
        <w:t>количества</w:t>
      </w:r>
      <w:r>
        <w:rPr>
          <w:color w:val="231F20"/>
          <w:spacing w:val="-1"/>
        </w:rPr>
        <w:t> </w:t>
      </w:r>
      <w:r>
        <w:rPr>
          <w:color w:val="231F20"/>
        </w:rPr>
        <w:t>и</w:t>
      </w:r>
      <w:r>
        <w:rPr>
          <w:color w:val="231F20"/>
          <w:spacing w:val="-1"/>
        </w:rPr>
        <w:t> </w:t>
      </w:r>
      <w:r>
        <w:rPr>
          <w:color w:val="231F20"/>
        </w:rPr>
        <w:t>содержания</w:t>
      </w:r>
      <w:r>
        <w:rPr>
          <w:color w:val="231F20"/>
          <w:spacing w:val="-1"/>
        </w:rPr>
        <w:t> </w:t>
      </w:r>
      <w:r>
        <w:rPr>
          <w:color w:val="231F20"/>
        </w:rPr>
        <w:t>пред- ложенных вопросов. Но в любом случае обсуждение не должно быть слишком дли- тельным. Если исходить из того, что группам будут предложены 2 или 3 вопроса, продолжительность работы в группах – около одного часа.</w:t>
      </w:r>
    </w:p>
    <w:p>
      <w:pPr>
        <w:spacing w:line="227" w:lineRule="exact" w:before="0"/>
        <w:ind w:left="425" w:right="0" w:firstLine="0"/>
        <w:jc w:val="both"/>
        <w:rPr>
          <w:i/>
          <w:sz w:val="20"/>
        </w:rPr>
      </w:pPr>
      <w:r>
        <w:rPr>
          <w:i/>
          <w:color w:val="231F20"/>
          <w:sz w:val="20"/>
        </w:rPr>
        <w:t>Представление</w:t>
      </w:r>
      <w:r>
        <w:rPr>
          <w:i/>
          <w:color w:val="231F20"/>
          <w:spacing w:val="-2"/>
          <w:sz w:val="20"/>
        </w:rPr>
        <w:t> </w:t>
      </w:r>
      <w:r>
        <w:rPr>
          <w:i/>
          <w:color w:val="231F20"/>
          <w:sz w:val="20"/>
        </w:rPr>
        <w:t>своих</w:t>
      </w:r>
      <w:r>
        <w:rPr>
          <w:i/>
          <w:color w:val="231F20"/>
          <w:spacing w:val="-2"/>
          <w:sz w:val="20"/>
        </w:rPr>
        <w:t> позиций</w:t>
      </w:r>
    </w:p>
    <w:p>
      <w:pPr>
        <w:pStyle w:val="BodyText"/>
        <w:spacing w:line="237" w:lineRule="auto"/>
        <w:ind w:right="138"/>
      </w:pPr>
      <w:r>
        <w:rPr>
          <w:color w:val="231F20"/>
        </w:rPr>
        <w:t>После окончания работы в группах все вновь собираются вместе, чтобы продол- жить дискуссию, выслушать доводы в пользу разных позиций, заслушать разные </w:t>
      </w:r>
      <w:r>
        <w:rPr>
          <w:color w:val="231F20"/>
          <w:spacing w:val="-2"/>
        </w:rPr>
        <w:t>мнения.</w:t>
      </w:r>
    </w:p>
    <w:p>
      <w:pPr>
        <w:pStyle w:val="BodyText"/>
        <w:spacing w:line="237" w:lineRule="auto"/>
      </w:pPr>
      <w:r>
        <w:rPr>
          <w:color w:val="231F20"/>
        </w:rPr>
        <w:t>На этом этапе представитель каждой группы сообщает мнение группы. Предста- витель или представители групп могут излагать свою позицию устно, а могут вос- пользоваться доской.</w:t>
      </w:r>
    </w:p>
    <w:p>
      <w:pPr>
        <w:pStyle w:val="BodyText"/>
      </w:pPr>
      <w:r>
        <w:rPr>
          <w:color w:val="231F20"/>
        </w:rPr>
        <w:t>Представление</w:t>
      </w:r>
      <w:r>
        <w:rPr>
          <w:color w:val="231F20"/>
          <w:spacing w:val="-5"/>
        </w:rPr>
        <w:t> </w:t>
      </w:r>
      <w:r>
        <w:rPr>
          <w:color w:val="231F20"/>
        </w:rPr>
        <w:t>позиций</w:t>
      </w:r>
      <w:r>
        <w:rPr>
          <w:color w:val="231F20"/>
          <w:spacing w:val="-5"/>
        </w:rPr>
        <w:t> </w:t>
      </w:r>
      <w:r>
        <w:rPr>
          <w:color w:val="231F20"/>
        </w:rPr>
        <w:t>целесообразно</w:t>
      </w:r>
      <w:r>
        <w:rPr>
          <w:color w:val="231F20"/>
          <w:spacing w:val="-5"/>
        </w:rPr>
        <w:t> </w:t>
      </w:r>
      <w:r>
        <w:rPr>
          <w:color w:val="231F20"/>
        </w:rPr>
        <w:t>осуществлять</w:t>
      </w:r>
      <w:r>
        <w:rPr>
          <w:color w:val="231F20"/>
          <w:spacing w:val="-5"/>
        </w:rPr>
        <w:t> </w:t>
      </w:r>
      <w:r>
        <w:rPr>
          <w:color w:val="231F20"/>
        </w:rPr>
        <w:t>следующим</w:t>
      </w:r>
      <w:r>
        <w:rPr>
          <w:color w:val="231F20"/>
          <w:spacing w:val="-5"/>
        </w:rPr>
        <w:t> </w:t>
      </w:r>
      <w:r>
        <w:rPr>
          <w:color w:val="231F20"/>
        </w:rPr>
        <w:t>образом.</w:t>
      </w:r>
      <w:r>
        <w:rPr>
          <w:color w:val="231F20"/>
          <w:spacing w:val="-5"/>
        </w:rPr>
        <w:t> </w:t>
      </w:r>
      <w:r>
        <w:rPr>
          <w:color w:val="231F20"/>
        </w:rPr>
        <w:t>Веду- щий зачитывает первый вопрос. Представитель первой группы формулирует пози- цию группы по этому вопросу, затем выступает представитель второй группы и т.д. Завершается представление каждого вопроса небольшой дискуссией.</w:t>
      </w:r>
    </w:p>
    <w:p>
      <w:pPr>
        <w:spacing w:line="221" w:lineRule="exact" w:before="0"/>
        <w:ind w:left="425" w:right="0" w:firstLine="0"/>
        <w:jc w:val="both"/>
        <w:rPr>
          <w:i/>
          <w:sz w:val="20"/>
        </w:rPr>
      </w:pPr>
      <w:r>
        <w:rPr>
          <w:i/>
          <w:color w:val="231F20"/>
          <w:sz w:val="20"/>
        </w:rPr>
        <w:t>Общая</w:t>
      </w:r>
      <w:r>
        <w:rPr>
          <w:i/>
          <w:color w:val="231F20"/>
          <w:spacing w:val="-3"/>
          <w:sz w:val="20"/>
        </w:rPr>
        <w:t> </w:t>
      </w:r>
      <w:r>
        <w:rPr>
          <w:i/>
          <w:color w:val="231F20"/>
          <w:sz w:val="20"/>
        </w:rPr>
        <w:t>дискуссия</w:t>
      </w:r>
      <w:r>
        <w:rPr>
          <w:i/>
          <w:color w:val="231F20"/>
          <w:spacing w:val="-2"/>
          <w:sz w:val="20"/>
        </w:rPr>
        <w:t> </w:t>
      </w:r>
      <w:r>
        <w:rPr>
          <w:i/>
          <w:color w:val="231F20"/>
          <w:sz w:val="20"/>
        </w:rPr>
        <w:t>по</w:t>
      </w:r>
      <w:r>
        <w:rPr>
          <w:i/>
          <w:color w:val="231F20"/>
          <w:spacing w:val="-2"/>
          <w:sz w:val="20"/>
        </w:rPr>
        <w:t> </w:t>
      </w:r>
      <w:r>
        <w:rPr>
          <w:i/>
          <w:color w:val="231F20"/>
          <w:sz w:val="20"/>
        </w:rPr>
        <w:t>каждому</w:t>
      </w:r>
      <w:r>
        <w:rPr>
          <w:i/>
          <w:color w:val="231F20"/>
          <w:spacing w:val="-2"/>
          <w:sz w:val="20"/>
        </w:rPr>
        <w:t> вопросу</w:t>
      </w:r>
    </w:p>
    <w:p>
      <w:pPr>
        <w:pStyle w:val="BodyText"/>
      </w:pPr>
      <w:r>
        <w:rPr>
          <w:color w:val="231F20"/>
        </w:rPr>
        <w:t>После того как позиции представлены, следует перейти к общей дискуссии. На этом этапе особенно велика роль ведущего. Вначале он делает небольшое резюме: кратко</w:t>
      </w:r>
      <w:r>
        <w:rPr>
          <w:color w:val="231F20"/>
          <w:spacing w:val="-11"/>
        </w:rPr>
        <w:t> </w:t>
      </w:r>
      <w:r>
        <w:rPr>
          <w:color w:val="231F20"/>
        </w:rPr>
        <w:t>излагает</w:t>
      </w:r>
      <w:r>
        <w:rPr>
          <w:color w:val="231F20"/>
          <w:spacing w:val="-11"/>
        </w:rPr>
        <w:t> </w:t>
      </w:r>
      <w:r>
        <w:rPr>
          <w:color w:val="231F20"/>
        </w:rPr>
        <w:t>представленные</w:t>
      </w:r>
      <w:r>
        <w:rPr>
          <w:color w:val="231F20"/>
          <w:spacing w:val="-11"/>
        </w:rPr>
        <w:t> </w:t>
      </w:r>
      <w:r>
        <w:rPr>
          <w:color w:val="231F20"/>
        </w:rPr>
        <w:t>позиции,</w:t>
      </w:r>
      <w:r>
        <w:rPr>
          <w:color w:val="231F20"/>
          <w:spacing w:val="-11"/>
        </w:rPr>
        <w:t> </w:t>
      </w:r>
      <w:r>
        <w:rPr>
          <w:color w:val="231F20"/>
        </w:rPr>
        <w:t>подчеркивает,</w:t>
      </w:r>
      <w:r>
        <w:rPr>
          <w:color w:val="231F20"/>
          <w:spacing w:val="-11"/>
        </w:rPr>
        <w:t> </w:t>
      </w:r>
      <w:r>
        <w:rPr>
          <w:color w:val="231F20"/>
        </w:rPr>
        <w:t>в</w:t>
      </w:r>
      <w:r>
        <w:rPr>
          <w:color w:val="231F20"/>
          <w:spacing w:val="-11"/>
        </w:rPr>
        <w:t> </w:t>
      </w:r>
      <w:r>
        <w:rPr>
          <w:color w:val="231F20"/>
        </w:rPr>
        <w:t>чем</w:t>
      </w:r>
      <w:r>
        <w:rPr>
          <w:color w:val="231F20"/>
          <w:spacing w:val="-11"/>
        </w:rPr>
        <w:t> </w:t>
      </w:r>
      <w:r>
        <w:rPr>
          <w:color w:val="231F20"/>
        </w:rPr>
        <w:t>они</w:t>
      </w:r>
      <w:r>
        <w:rPr>
          <w:color w:val="231F20"/>
          <w:spacing w:val="-11"/>
        </w:rPr>
        <w:t> </w:t>
      </w:r>
      <w:r>
        <w:rPr>
          <w:color w:val="231F20"/>
        </w:rPr>
        <w:t>совпадают</w:t>
      </w:r>
      <w:r>
        <w:rPr>
          <w:color w:val="231F20"/>
          <w:spacing w:val="-11"/>
        </w:rPr>
        <w:t> </w:t>
      </w:r>
      <w:r>
        <w:rPr>
          <w:color w:val="231F20"/>
        </w:rPr>
        <w:t>и</w:t>
      </w:r>
      <w:r>
        <w:rPr>
          <w:color w:val="231F20"/>
          <w:spacing w:val="-11"/>
        </w:rPr>
        <w:t> </w:t>
      </w:r>
      <w:r>
        <w:rPr>
          <w:color w:val="231F20"/>
        </w:rPr>
        <w:t>в</w:t>
      </w:r>
      <w:r>
        <w:rPr>
          <w:color w:val="231F20"/>
          <w:spacing w:val="-11"/>
        </w:rPr>
        <w:t> </w:t>
      </w:r>
      <w:r>
        <w:rPr>
          <w:color w:val="231F20"/>
        </w:rPr>
        <w:t>чем расходятся,</w:t>
      </w:r>
      <w:r>
        <w:rPr>
          <w:color w:val="231F20"/>
          <w:spacing w:val="-12"/>
        </w:rPr>
        <w:t> </w:t>
      </w:r>
      <w:r>
        <w:rPr>
          <w:color w:val="231F20"/>
        </w:rPr>
        <w:t>обращает</w:t>
      </w:r>
      <w:r>
        <w:rPr>
          <w:color w:val="231F20"/>
          <w:spacing w:val="-12"/>
        </w:rPr>
        <w:t> </w:t>
      </w:r>
      <w:r>
        <w:rPr>
          <w:color w:val="231F20"/>
        </w:rPr>
        <w:t>внимание</w:t>
      </w:r>
      <w:r>
        <w:rPr>
          <w:color w:val="231F20"/>
          <w:spacing w:val="-12"/>
        </w:rPr>
        <w:t> </w:t>
      </w:r>
      <w:r>
        <w:rPr>
          <w:color w:val="231F20"/>
        </w:rPr>
        <w:t>на</w:t>
      </w:r>
      <w:r>
        <w:rPr>
          <w:color w:val="231F20"/>
          <w:spacing w:val="-12"/>
        </w:rPr>
        <w:t> </w:t>
      </w:r>
      <w:r>
        <w:rPr>
          <w:color w:val="231F20"/>
        </w:rPr>
        <w:t>аргументацию,</w:t>
      </w:r>
      <w:r>
        <w:rPr>
          <w:color w:val="231F20"/>
          <w:spacing w:val="-12"/>
        </w:rPr>
        <w:t> </w:t>
      </w:r>
      <w:r>
        <w:rPr>
          <w:color w:val="231F20"/>
        </w:rPr>
        <w:t>выделяет</w:t>
      </w:r>
      <w:r>
        <w:rPr>
          <w:color w:val="231F20"/>
          <w:spacing w:val="-12"/>
        </w:rPr>
        <w:t> </w:t>
      </w:r>
      <w:r>
        <w:rPr>
          <w:color w:val="231F20"/>
        </w:rPr>
        <w:t>позиции,</w:t>
      </w:r>
      <w:r>
        <w:rPr>
          <w:color w:val="231F20"/>
          <w:spacing w:val="-12"/>
        </w:rPr>
        <w:t> </w:t>
      </w:r>
      <w:r>
        <w:rPr>
          <w:color w:val="231F20"/>
        </w:rPr>
        <w:t>которые,</w:t>
      </w:r>
      <w:r>
        <w:rPr>
          <w:color w:val="231F20"/>
          <w:spacing w:val="-12"/>
        </w:rPr>
        <w:t> </w:t>
      </w:r>
      <w:r>
        <w:rPr>
          <w:color w:val="231F20"/>
        </w:rPr>
        <w:t>на</w:t>
      </w:r>
      <w:r>
        <w:rPr>
          <w:color w:val="231F20"/>
          <w:spacing w:val="-12"/>
        </w:rPr>
        <w:t> </w:t>
      </w:r>
      <w:r>
        <w:rPr>
          <w:color w:val="231F20"/>
        </w:rPr>
        <w:t>его взгляд, требуют уточнения или дополнительных аргументов. Тем самым ведущий определяет круг проблем для общей дискуссии.</w:t>
      </w:r>
    </w:p>
    <w:p>
      <w:pPr>
        <w:pStyle w:val="BodyText"/>
        <w:spacing w:line="237" w:lineRule="auto"/>
        <w:jc w:val="right"/>
      </w:pPr>
      <w:r>
        <w:rPr>
          <w:color w:val="231F20"/>
        </w:rPr>
        <w:t>Ведущий</w:t>
      </w:r>
      <w:r>
        <w:rPr>
          <w:color w:val="231F20"/>
          <w:spacing w:val="-13"/>
        </w:rPr>
        <w:t> </w:t>
      </w:r>
      <w:r>
        <w:rPr>
          <w:color w:val="231F20"/>
        </w:rPr>
        <w:t>не</w:t>
      </w:r>
      <w:r>
        <w:rPr>
          <w:color w:val="231F20"/>
          <w:spacing w:val="-12"/>
        </w:rPr>
        <w:t> </w:t>
      </w:r>
      <w:r>
        <w:rPr>
          <w:color w:val="231F20"/>
        </w:rPr>
        <w:t>должен</w:t>
      </w:r>
      <w:r>
        <w:rPr>
          <w:color w:val="231F20"/>
          <w:spacing w:val="-13"/>
        </w:rPr>
        <w:t> </w:t>
      </w:r>
      <w:r>
        <w:rPr>
          <w:color w:val="231F20"/>
        </w:rPr>
        <w:t>торопиться</w:t>
      </w:r>
      <w:r>
        <w:rPr>
          <w:color w:val="231F20"/>
          <w:spacing w:val="-12"/>
        </w:rPr>
        <w:t> </w:t>
      </w:r>
      <w:r>
        <w:rPr>
          <w:color w:val="231F20"/>
        </w:rPr>
        <w:t>высказывать</w:t>
      </w:r>
      <w:r>
        <w:rPr>
          <w:color w:val="231F20"/>
          <w:spacing w:val="-13"/>
        </w:rPr>
        <w:t> </w:t>
      </w:r>
      <w:r>
        <w:rPr>
          <w:color w:val="231F20"/>
        </w:rPr>
        <w:t>свое</w:t>
      </w:r>
      <w:r>
        <w:rPr>
          <w:color w:val="231F20"/>
          <w:spacing w:val="-12"/>
        </w:rPr>
        <w:t> </w:t>
      </w:r>
      <w:r>
        <w:rPr>
          <w:color w:val="231F20"/>
        </w:rPr>
        <w:t>мнение</w:t>
      </w:r>
      <w:r>
        <w:rPr>
          <w:color w:val="231F20"/>
          <w:spacing w:val="-13"/>
        </w:rPr>
        <w:t> </w:t>
      </w:r>
      <w:r>
        <w:rPr>
          <w:color w:val="231F20"/>
        </w:rPr>
        <w:t>по</w:t>
      </w:r>
      <w:r>
        <w:rPr>
          <w:color w:val="231F20"/>
          <w:spacing w:val="-12"/>
        </w:rPr>
        <w:t> </w:t>
      </w:r>
      <w:r>
        <w:rPr>
          <w:color w:val="231F20"/>
        </w:rPr>
        <w:t>обсуждаемым</w:t>
      </w:r>
      <w:r>
        <w:rPr>
          <w:color w:val="231F20"/>
          <w:spacing w:val="-13"/>
        </w:rPr>
        <w:t> </w:t>
      </w:r>
      <w:r>
        <w:rPr>
          <w:color w:val="231F20"/>
        </w:rPr>
        <w:t>вопро- сам.</w:t>
      </w:r>
      <w:r>
        <w:rPr>
          <w:color w:val="231F20"/>
          <w:spacing w:val="-2"/>
        </w:rPr>
        <w:t> </w:t>
      </w:r>
      <w:r>
        <w:rPr>
          <w:color w:val="231F20"/>
        </w:rPr>
        <w:t>Его</w:t>
      </w:r>
      <w:r>
        <w:rPr>
          <w:color w:val="231F20"/>
          <w:spacing w:val="-2"/>
        </w:rPr>
        <w:t> </w:t>
      </w:r>
      <w:r>
        <w:rPr>
          <w:color w:val="231F20"/>
        </w:rPr>
        <w:t>задача</w:t>
      </w:r>
      <w:r>
        <w:rPr>
          <w:color w:val="231F20"/>
          <w:spacing w:val="-2"/>
        </w:rPr>
        <w:t> </w:t>
      </w:r>
      <w:r>
        <w:rPr>
          <w:color w:val="231F20"/>
        </w:rPr>
        <w:t>состоит</w:t>
      </w:r>
      <w:r>
        <w:rPr>
          <w:color w:val="231F20"/>
          <w:spacing w:val="-2"/>
        </w:rPr>
        <w:t> </w:t>
      </w:r>
      <w:r>
        <w:rPr>
          <w:color w:val="231F20"/>
        </w:rPr>
        <w:t>в</w:t>
      </w:r>
      <w:r>
        <w:rPr>
          <w:color w:val="231F20"/>
          <w:spacing w:val="-2"/>
        </w:rPr>
        <w:t> </w:t>
      </w:r>
      <w:r>
        <w:rPr>
          <w:color w:val="231F20"/>
        </w:rPr>
        <w:t>том,</w:t>
      </w:r>
      <w:r>
        <w:rPr>
          <w:color w:val="231F20"/>
          <w:spacing w:val="-2"/>
        </w:rPr>
        <w:t> </w:t>
      </w:r>
      <w:r>
        <w:rPr>
          <w:color w:val="231F20"/>
        </w:rPr>
        <w:t>чтобы</w:t>
      </w:r>
      <w:r>
        <w:rPr>
          <w:color w:val="231F20"/>
          <w:spacing w:val="-2"/>
        </w:rPr>
        <w:t> </w:t>
      </w:r>
      <w:r>
        <w:rPr>
          <w:color w:val="231F20"/>
        </w:rPr>
        <w:t>после</w:t>
      </w:r>
      <w:r>
        <w:rPr>
          <w:color w:val="231F20"/>
          <w:spacing w:val="-2"/>
        </w:rPr>
        <w:t> </w:t>
      </w:r>
      <w:r>
        <w:rPr>
          <w:color w:val="231F20"/>
        </w:rPr>
        <w:t>выступления</w:t>
      </w:r>
      <w:r>
        <w:rPr>
          <w:color w:val="231F20"/>
          <w:spacing w:val="-2"/>
        </w:rPr>
        <w:t> </w:t>
      </w:r>
      <w:r>
        <w:rPr>
          <w:color w:val="231F20"/>
        </w:rPr>
        <w:t>представителей</w:t>
      </w:r>
      <w:r>
        <w:rPr>
          <w:color w:val="231F20"/>
          <w:spacing w:val="-2"/>
        </w:rPr>
        <w:t> </w:t>
      </w:r>
      <w:r>
        <w:rPr>
          <w:color w:val="231F20"/>
        </w:rPr>
        <w:t>групп</w:t>
      </w:r>
      <w:r>
        <w:rPr>
          <w:color w:val="231F20"/>
          <w:spacing w:val="-2"/>
        </w:rPr>
        <w:t> </w:t>
      </w:r>
      <w:r>
        <w:rPr>
          <w:color w:val="231F20"/>
        </w:rPr>
        <w:t>завя- залась</w:t>
      </w:r>
      <w:r>
        <w:rPr>
          <w:color w:val="231F20"/>
          <w:spacing w:val="-13"/>
        </w:rPr>
        <w:t> </w:t>
      </w:r>
      <w:r>
        <w:rPr>
          <w:color w:val="231F20"/>
        </w:rPr>
        <w:t>общая</w:t>
      </w:r>
      <w:r>
        <w:rPr>
          <w:color w:val="231F20"/>
          <w:spacing w:val="-12"/>
        </w:rPr>
        <w:t> </w:t>
      </w:r>
      <w:r>
        <w:rPr>
          <w:color w:val="231F20"/>
        </w:rPr>
        <w:t>дискуссия,</w:t>
      </w:r>
      <w:r>
        <w:rPr>
          <w:color w:val="231F20"/>
          <w:spacing w:val="-13"/>
        </w:rPr>
        <w:t> </w:t>
      </w:r>
      <w:r>
        <w:rPr>
          <w:color w:val="231F20"/>
        </w:rPr>
        <w:t>столкнулись</w:t>
      </w:r>
      <w:r>
        <w:rPr>
          <w:color w:val="231F20"/>
          <w:spacing w:val="-12"/>
        </w:rPr>
        <w:t> </w:t>
      </w:r>
      <w:r>
        <w:rPr>
          <w:color w:val="231F20"/>
        </w:rPr>
        <w:t>разные</w:t>
      </w:r>
      <w:r>
        <w:rPr>
          <w:color w:val="231F20"/>
          <w:spacing w:val="-13"/>
        </w:rPr>
        <w:t> </w:t>
      </w:r>
      <w:r>
        <w:rPr>
          <w:color w:val="231F20"/>
        </w:rPr>
        <w:t>аргументы</w:t>
      </w:r>
      <w:r>
        <w:rPr>
          <w:color w:val="231F20"/>
          <w:spacing w:val="-12"/>
        </w:rPr>
        <w:t> </w:t>
      </w:r>
      <w:r>
        <w:rPr>
          <w:color w:val="231F20"/>
        </w:rPr>
        <w:t>и</w:t>
      </w:r>
      <w:r>
        <w:rPr>
          <w:color w:val="231F20"/>
          <w:spacing w:val="-13"/>
        </w:rPr>
        <w:t> </w:t>
      </w:r>
      <w:r>
        <w:rPr>
          <w:color w:val="231F20"/>
        </w:rPr>
        <w:t>доводы</w:t>
      </w:r>
      <w:r>
        <w:rPr>
          <w:color w:val="231F20"/>
          <w:spacing w:val="-12"/>
        </w:rPr>
        <w:t> </w:t>
      </w:r>
      <w:r>
        <w:rPr>
          <w:color w:val="231F20"/>
        </w:rPr>
        <w:t>в</w:t>
      </w:r>
      <w:r>
        <w:rPr>
          <w:color w:val="231F20"/>
          <w:spacing w:val="-13"/>
        </w:rPr>
        <w:t> </w:t>
      </w:r>
      <w:r>
        <w:rPr>
          <w:color w:val="231F20"/>
        </w:rPr>
        <w:t>пользу</w:t>
      </w:r>
      <w:r>
        <w:rPr>
          <w:color w:val="231F20"/>
          <w:spacing w:val="-12"/>
        </w:rPr>
        <w:t> </w:t>
      </w:r>
      <w:r>
        <w:rPr>
          <w:color w:val="231F20"/>
        </w:rPr>
        <w:t>одних</w:t>
      </w:r>
      <w:r>
        <w:rPr>
          <w:color w:val="231F20"/>
          <w:spacing w:val="-13"/>
        </w:rPr>
        <w:t> </w:t>
      </w:r>
      <w:r>
        <w:rPr>
          <w:color w:val="231F20"/>
        </w:rPr>
        <w:t>или </w:t>
      </w:r>
      <w:r>
        <w:rPr>
          <w:color w:val="231F20"/>
          <w:spacing w:val="-2"/>
        </w:rPr>
        <w:t>других.</w:t>
      </w:r>
      <w:r>
        <w:rPr>
          <w:color w:val="231F20"/>
          <w:spacing w:val="-5"/>
        </w:rPr>
        <w:t> </w:t>
      </w:r>
      <w:r>
        <w:rPr>
          <w:color w:val="231F20"/>
          <w:spacing w:val="-2"/>
        </w:rPr>
        <w:t>В</w:t>
      </w:r>
      <w:r>
        <w:rPr>
          <w:color w:val="231F20"/>
          <w:spacing w:val="-6"/>
        </w:rPr>
        <w:t> </w:t>
      </w:r>
      <w:r>
        <w:rPr>
          <w:color w:val="231F20"/>
          <w:spacing w:val="-2"/>
        </w:rPr>
        <w:t>общей</w:t>
      </w:r>
      <w:r>
        <w:rPr>
          <w:color w:val="231F20"/>
          <w:spacing w:val="-6"/>
        </w:rPr>
        <w:t> </w:t>
      </w:r>
      <w:r>
        <w:rPr>
          <w:color w:val="231F20"/>
          <w:spacing w:val="-2"/>
        </w:rPr>
        <w:t>дискуссии</w:t>
      </w:r>
      <w:r>
        <w:rPr>
          <w:color w:val="231F20"/>
          <w:spacing w:val="-6"/>
        </w:rPr>
        <w:t> </w:t>
      </w:r>
      <w:r>
        <w:rPr>
          <w:color w:val="231F20"/>
          <w:spacing w:val="-2"/>
        </w:rPr>
        <w:t>обсуждение</w:t>
      </w:r>
      <w:r>
        <w:rPr>
          <w:color w:val="231F20"/>
          <w:spacing w:val="-6"/>
        </w:rPr>
        <w:t> </w:t>
      </w:r>
      <w:r>
        <w:rPr>
          <w:color w:val="231F20"/>
          <w:spacing w:val="-2"/>
        </w:rPr>
        <w:t>может</w:t>
      </w:r>
      <w:r>
        <w:rPr>
          <w:color w:val="231F20"/>
          <w:spacing w:val="-6"/>
        </w:rPr>
        <w:t> </w:t>
      </w:r>
      <w:r>
        <w:rPr>
          <w:color w:val="231F20"/>
          <w:spacing w:val="-2"/>
        </w:rPr>
        <w:t>идти</w:t>
      </w:r>
      <w:r>
        <w:rPr>
          <w:color w:val="231F20"/>
          <w:spacing w:val="-6"/>
        </w:rPr>
        <w:t> </w:t>
      </w:r>
      <w:r>
        <w:rPr>
          <w:color w:val="231F20"/>
          <w:spacing w:val="-2"/>
        </w:rPr>
        <w:t>не</w:t>
      </w:r>
      <w:r>
        <w:rPr>
          <w:color w:val="231F20"/>
          <w:spacing w:val="-5"/>
        </w:rPr>
        <w:t> </w:t>
      </w:r>
      <w:r>
        <w:rPr>
          <w:color w:val="231F20"/>
          <w:spacing w:val="-2"/>
        </w:rPr>
        <w:t>только</w:t>
      </w:r>
      <w:r>
        <w:rPr>
          <w:color w:val="231F20"/>
          <w:spacing w:val="-5"/>
        </w:rPr>
        <w:t> </w:t>
      </w:r>
      <w:r>
        <w:rPr>
          <w:color w:val="231F20"/>
          <w:spacing w:val="-2"/>
        </w:rPr>
        <w:t>вокруг</w:t>
      </w:r>
      <w:r>
        <w:rPr>
          <w:color w:val="231F20"/>
          <w:spacing w:val="-6"/>
        </w:rPr>
        <w:t> </w:t>
      </w:r>
      <w:r>
        <w:rPr>
          <w:color w:val="231F20"/>
          <w:spacing w:val="-2"/>
        </w:rPr>
        <w:t>тех</w:t>
      </w:r>
      <w:r>
        <w:rPr>
          <w:color w:val="231F20"/>
          <w:spacing w:val="-5"/>
        </w:rPr>
        <w:t> </w:t>
      </w:r>
      <w:r>
        <w:rPr>
          <w:color w:val="231F20"/>
          <w:spacing w:val="-2"/>
        </w:rPr>
        <w:t>позиций,</w:t>
      </w:r>
      <w:r>
        <w:rPr>
          <w:color w:val="231F20"/>
          <w:spacing w:val="-5"/>
        </w:rPr>
        <w:t> </w:t>
      </w:r>
      <w:r>
        <w:rPr>
          <w:color w:val="231F20"/>
          <w:spacing w:val="-2"/>
        </w:rPr>
        <w:t>ко- </w:t>
      </w:r>
      <w:r>
        <w:rPr>
          <w:color w:val="231F20"/>
        </w:rPr>
        <w:t>торые</w:t>
      </w:r>
      <w:r>
        <w:rPr>
          <w:color w:val="231F20"/>
          <w:spacing w:val="-2"/>
        </w:rPr>
        <w:t> </w:t>
      </w:r>
      <w:r>
        <w:rPr>
          <w:color w:val="231F20"/>
        </w:rPr>
        <w:t>были</w:t>
      </w:r>
      <w:r>
        <w:rPr>
          <w:color w:val="231F20"/>
          <w:spacing w:val="-3"/>
        </w:rPr>
        <w:t> </w:t>
      </w:r>
      <w:r>
        <w:rPr>
          <w:color w:val="231F20"/>
        </w:rPr>
        <w:t>выработаны</w:t>
      </w:r>
      <w:r>
        <w:rPr>
          <w:color w:val="231F20"/>
          <w:spacing w:val="-2"/>
        </w:rPr>
        <w:t> </w:t>
      </w:r>
      <w:r>
        <w:rPr>
          <w:color w:val="231F20"/>
        </w:rPr>
        <w:t>в</w:t>
      </w:r>
      <w:r>
        <w:rPr>
          <w:color w:val="231F20"/>
          <w:spacing w:val="-3"/>
        </w:rPr>
        <w:t> </w:t>
      </w:r>
      <w:r>
        <w:rPr>
          <w:color w:val="231F20"/>
        </w:rPr>
        <w:t>группах,</w:t>
      </w:r>
      <w:r>
        <w:rPr>
          <w:color w:val="231F20"/>
          <w:spacing w:val="-2"/>
        </w:rPr>
        <w:t> </w:t>
      </w:r>
      <w:r>
        <w:rPr>
          <w:color w:val="231F20"/>
        </w:rPr>
        <w:t>но</w:t>
      </w:r>
      <w:r>
        <w:rPr>
          <w:color w:val="231F20"/>
          <w:spacing w:val="-2"/>
        </w:rPr>
        <w:t> </w:t>
      </w:r>
      <w:r>
        <w:rPr>
          <w:color w:val="231F20"/>
        </w:rPr>
        <w:t>и</w:t>
      </w:r>
      <w:r>
        <w:rPr>
          <w:color w:val="231F20"/>
          <w:spacing w:val="-3"/>
        </w:rPr>
        <w:t> </w:t>
      </w:r>
      <w:r>
        <w:rPr>
          <w:color w:val="231F20"/>
        </w:rPr>
        <w:t>вокруг</w:t>
      </w:r>
      <w:r>
        <w:rPr>
          <w:color w:val="231F20"/>
          <w:spacing w:val="-3"/>
        </w:rPr>
        <w:t> </w:t>
      </w:r>
      <w:r>
        <w:rPr>
          <w:color w:val="231F20"/>
        </w:rPr>
        <w:t>выступления</w:t>
      </w:r>
      <w:r>
        <w:rPr>
          <w:color w:val="231F20"/>
          <w:spacing w:val="-2"/>
        </w:rPr>
        <w:t> </w:t>
      </w:r>
      <w:r>
        <w:rPr>
          <w:color w:val="231F20"/>
        </w:rPr>
        <w:t>отдельных</w:t>
      </w:r>
      <w:r>
        <w:rPr>
          <w:color w:val="231F20"/>
          <w:spacing w:val="-2"/>
        </w:rPr>
        <w:t> </w:t>
      </w:r>
      <w:r>
        <w:rPr>
          <w:color w:val="231F20"/>
        </w:rPr>
        <w:t>участников. Ведущий направляет дискуссию, организует обсуждение таким образом, чтобы наибольшее</w:t>
      </w:r>
      <w:r>
        <w:rPr>
          <w:color w:val="231F20"/>
          <w:spacing w:val="21"/>
        </w:rPr>
        <w:t> </w:t>
      </w:r>
      <w:r>
        <w:rPr>
          <w:color w:val="231F20"/>
        </w:rPr>
        <w:t>число</w:t>
      </w:r>
      <w:r>
        <w:rPr>
          <w:color w:val="231F20"/>
          <w:spacing w:val="21"/>
        </w:rPr>
        <w:t> </w:t>
      </w:r>
      <w:r>
        <w:rPr>
          <w:color w:val="231F20"/>
        </w:rPr>
        <w:t>участников</w:t>
      </w:r>
      <w:r>
        <w:rPr>
          <w:color w:val="231F20"/>
          <w:spacing w:val="21"/>
        </w:rPr>
        <w:t> </w:t>
      </w:r>
      <w:r>
        <w:rPr>
          <w:color w:val="231F20"/>
        </w:rPr>
        <w:t>смогли</w:t>
      </w:r>
      <w:r>
        <w:rPr>
          <w:color w:val="231F20"/>
          <w:spacing w:val="21"/>
        </w:rPr>
        <w:t> </w:t>
      </w:r>
      <w:r>
        <w:rPr>
          <w:color w:val="231F20"/>
        </w:rPr>
        <w:t>выступить.</w:t>
      </w:r>
      <w:r>
        <w:rPr>
          <w:color w:val="231F20"/>
          <w:spacing w:val="21"/>
        </w:rPr>
        <w:t> </w:t>
      </w:r>
      <w:r>
        <w:rPr>
          <w:color w:val="231F20"/>
        </w:rPr>
        <w:t>Для</w:t>
      </w:r>
      <w:r>
        <w:rPr>
          <w:color w:val="231F20"/>
          <w:spacing w:val="21"/>
        </w:rPr>
        <w:t> </w:t>
      </w:r>
      <w:r>
        <w:rPr>
          <w:color w:val="231F20"/>
        </w:rPr>
        <w:t>этого</w:t>
      </w:r>
      <w:r>
        <w:rPr>
          <w:color w:val="231F20"/>
          <w:spacing w:val="21"/>
        </w:rPr>
        <w:t> </w:t>
      </w:r>
      <w:r>
        <w:rPr>
          <w:color w:val="231F20"/>
        </w:rPr>
        <w:t>полезно</w:t>
      </w:r>
      <w:r>
        <w:rPr>
          <w:color w:val="231F20"/>
          <w:spacing w:val="21"/>
        </w:rPr>
        <w:t> </w:t>
      </w:r>
      <w:r>
        <w:rPr>
          <w:color w:val="231F20"/>
        </w:rPr>
        <w:t>заранее</w:t>
      </w:r>
      <w:r>
        <w:rPr>
          <w:color w:val="231F20"/>
          <w:spacing w:val="21"/>
        </w:rPr>
        <w:t> </w:t>
      </w:r>
      <w:r>
        <w:rPr>
          <w:color w:val="231F20"/>
        </w:rPr>
        <w:t>уста- новить</w:t>
      </w:r>
      <w:r>
        <w:rPr>
          <w:color w:val="231F20"/>
          <w:spacing w:val="-3"/>
        </w:rPr>
        <w:t> </w:t>
      </w:r>
      <w:r>
        <w:rPr>
          <w:color w:val="231F20"/>
        </w:rPr>
        <w:t>регламент: продолжительность каждого</w:t>
      </w:r>
      <w:r>
        <w:rPr>
          <w:color w:val="231F20"/>
          <w:spacing w:val="-1"/>
        </w:rPr>
        <w:t> </w:t>
      </w:r>
      <w:r>
        <w:rPr>
          <w:color w:val="231F20"/>
        </w:rPr>
        <w:t>выступления; возможность </w:t>
      </w:r>
      <w:r>
        <w:rPr>
          <w:color w:val="231F20"/>
          <w:spacing w:val="-2"/>
        </w:rPr>
        <w:t>каждому</w:t>
      </w:r>
    </w:p>
    <w:p>
      <w:pPr>
        <w:pStyle w:val="BodyText"/>
        <w:spacing w:line="225" w:lineRule="exact"/>
        <w:ind w:right="0" w:firstLine="0"/>
        <w:jc w:val="left"/>
      </w:pPr>
      <w:r>
        <w:rPr>
          <w:color w:val="231F20"/>
        </w:rPr>
        <w:t>участнику</w:t>
      </w:r>
      <w:r>
        <w:rPr>
          <w:color w:val="231F20"/>
          <w:spacing w:val="-6"/>
        </w:rPr>
        <w:t> </w:t>
      </w:r>
      <w:r>
        <w:rPr>
          <w:color w:val="231F20"/>
        </w:rPr>
        <w:t>выступить</w:t>
      </w:r>
      <w:r>
        <w:rPr>
          <w:color w:val="231F20"/>
          <w:spacing w:val="-4"/>
        </w:rPr>
        <w:t> </w:t>
      </w:r>
      <w:r>
        <w:rPr>
          <w:color w:val="231F20"/>
        </w:rPr>
        <w:t>дважды</w:t>
      </w:r>
      <w:r>
        <w:rPr>
          <w:color w:val="231F20"/>
          <w:spacing w:val="-4"/>
        </w:rPr>
        <w:t> </w:t>
      </w:r>
      <w:r>
        <w:rPr>
          <w:color w:val="231F20"/>
        </w:rPr>
        <w:t>и</w:t>
      </w:r>
      <w:r>
        <w:rPr>
          <w:color w:val="231F20"/>
          <w:spacing w:val="-4"/>
        </w:rPr>
        <w:t> </w:t>
      </w:r>
      <w:r>
        <w:rPr>
          <w:color w:val="231F20"/>
          <w:spacing w:val="-2"/>
        </w:rPr>
        <w:t>более.</w:t>
      </w:r>
    </w:p>
    <w:p>
      <w:pPr>
        <w:spacing w:line="226" w:lineRule="exact" w:before="0"/>
        <w:ind w:left="425" w:right="0" w:firstLine="0"/>
        <w:jc w:val="left"/>
        <w:rPr>
          <w:i/>
          <w:sz w:val="20"/>
        </w:rPr>
      </w:pPr>
      <w:r>
        <w:rPr>
          <w:i/>
          <w:color w:val="231F20"/>
          <w:sz w:val="20"/>
        </w:rPr>
        <w:t>Подведение</w:t>
      </w:r>
      <w:r>
        <w:rPr>
          <w:i/>
          <w:color w:val="231F20"/>
          <w:spacing w:val="-6"/>
          <w:sz w:val="20"/>
        </w:rPr>
        <w:t> </w:t>
      </w:r>
      <w:r>
        <w:rPr>
          <w:i/>
          <w:color w:val="231F20"/>
          <w:spacing w:val="-2"/>
          <w:sz w:val="20"/>
        </w:rPr>
        <w:t>итогов</w:t>
      </w:r>
    </w:p>
    <w:p>
      <w:pPr>
        <w:pStyle w:val="BodyText"/>
        <w:spacing w:line="235" w:lineRule="auto"/>
        <w:ind w:right="0"/>
        <w:jc w:val="left"/>
      </w:pPr>
      <w:r>
        <w:rPr>
          <w:color w:val="231F20"/>
        </w:rPr>
        <w:t>Общая</w:t>
      </w:r>
      <w:r>
        <w:rPr>
          <w:color w:val="231F20"/>
          <w:spacing w:val="20"/>
        </w:rPr>
        <w:t> </w:t>
      </w:r>
      <w:r>
        <w:rPr>
          <w:color w:val="231F20"/>
        </w:rPr>
        <w:t>дискуссия</w:t>
      </w:r>
      <w:r>
        <w:rPr>
          <w:color w:val="231F20"/>
          <w:spacing w:val="20"/>
        </w:rPr>
        <w:t> </w:t>
      </w:r>
      <w:r>
        <w:rPr>
          <w:color w:val="231F20"/>
        </w:rPr>
        <w:t>завершается</w:t>
      </w:r>
      <w:r>
        <w:rPr>
          <w:color w:val="231F20"/>
          <w:spacing w:val="20"/>
        </w:rPr>
        <w:t> </w:t>
      </w:r>
      <w:r>
        <w:rPr>
          <w:color w:val="231F20"/>
        </w:rPr>
        <w:t>подведением</w:t>
      </w:r>
      <w:r>
        <w:rPr>
          <w:color w:val="231F20"/>
          <w:spacing w:val="20"/>
        </w:rPr>
        <w:t> </w:t>
      </w:r>
      <w:r>
        <w:rPr>
          <w:color w:val="231F20"/>
        </w:rPr>
        <w:t>итогов.</w:t>
      </w:r>
      <w:r>
        <w:rPr>
          <w:color w:val="231F20"/>
          <w:spacing w:val="20"/>
        </w:rPr>
        <w:t> </w:t>
      </w:r>
      <w:r>
        <w:rPr>
          <w:color w:val="231F20"/>
        </w:rPr>
        <w:t>На</w:t>
      </w:r>
      <w:r>
        <w:rPr>
          <w:color w:val="231F20"/>
          <w:spacing w:val="20"/>
        </w:rPr>
        <w:t> </w:t>
      </w:r>
      <w:r>
        <w:rPr>
          <w:color w:val="231F20"/>
        </w:rPr>
        <w:t>заключительной</w:t>
      </w:r>
      <w:r>
        <w:rPr>
          <w:color w:val="231F20"/>
          <w:spacing w:val="20"/>
        </w:rPr>
        <w:t> </w:t>
      </w:r>
      <w:r>
        <w:rPr>
          <w:color w:val="231F20"/>
        </w:rPr>
        <w:t>стадии </w:t>
      </w:r>
      <w:r>
        <w:rPr>
          <w:color w:val="231F20"/>
          <w:spacing w:val="-2"/>
        </w:rPr>
        <w:t>ведущий:</w:t>
      </w:r>
    </w:p>
    <w:p>
      <w:pPr>
        <w:pStyle w:val="BodyText"/>
        <w:spacing w:after="0" w:line="235" w:lineRule="auto"/>
        <w:jc w:val="left"/>
        <w:sectPr>
          <w:pgSz w:w="8400" w:h="11910"/>
          <w:pgMar w:header="0" w:footer="529" w:top="400" w:bottom="740" w:left="425" w:right="425"/>
        </w:sectPr>
      </w:pPr>
    </w:p>
    <w:p>
      <w:pPr>
        <w:pStyle w:val="ListParagraph"/>
        <w:numPr>
          <w:ilvl w:val="1"/>
          <w:numId w:val="235"/>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Интерактивные</w:t>
      </w:r>
      <w:r>
        <w:rPr>
          <w:rFonts w:ascii="Georgia" w:hAnsi="Georgia"/>
          <w:color w:val="231F20"/>
          <w:spacing w:val="4"/>
          <w:sz w:val="18"/>
        </w:rPr>
        <w:t> </w:t>
      </w:r>
      <w:r>
        <w:rPr>
          <w:rFonts w:ascii="Georgia" w:hAnsi="Georgia"/>
          <w:color w:val="231F20"/>
          <w:sz w:val="18"/>
        </w:rPr>
        <w:t>технологии</w:t>
      </w:r>
      <w:r>
        <w:rPr>
          <w:rFonts w:ascii="Georgia" w:hAnsi="Georgia"/>
          <w:color w:val="231F20"/>
          <w:spacing w:val="4"/>
          <w:sz w:val="18"/>
        </w:rPr>
        <w:t> </w:t>
      </w:r>
      <w:r>
        <w:rPr>
          <w:rFonts w:ascii="Georgia" w:hAnsi="Georgia"/>
          <w:color w:val="231F20"/>
          <w:sz w:val="18"/>
        </w:rPr>
        <w:t>развития</w:t>
      </w:r>
      <w:r>
        <w:rPr>
          <w:rFonts w:ascii="Georgia" w:hAnsi="Georgia"/>
          <w:color w:val="231F20"/>
          <w:spacing w:val="4"/>
          <w:sz w:val="18"/>
        </w:rPr>
        <w:t> </w:t>
      </w:r>
      <w:r>
        <w:rPr>
          <w:rFonts w:ascii="Georgia" w:hAnsi="Georgia"/>
          <w:color w:val="231F20"/>
          <w:sz w:val="18"/>
        </w:rPr>
        <w:t>межкультурной</w:t>
      </w:r>
      <w:r>
        <w:rPr>
          <w:rFonts w:ascii="Georgia" w:hAnsi="Georgia"/>
          <w:color w:val="231F20"/>
          <w:spacing w:val="4"/>
          <w:sz w:val="18"/>
        </w:rPr>
        <w:t> </w:t>
      </w:r>
      <w:r>
        <w:rPr>
          <w:rFonts w:ascii="Georgia" w:hAnsi="Georgia"/>
          <w:color w:val="231F20"/>
          <w:sz w:val="18"/>
        </w:rPr>
        <w:t>компетентности</w:t>
      </w:r>
      <w:r>
        <w:rPr>
          <w:rFonts w:ascii="Georgia" w:hAnsi="Georgia"/>
          <w:color w:val="231F20"/>
          <w:spacing w:val="4"/>
          <w:sz w:val="18"/>
        </w:rPr>
        <w:t> </w:t>
      </w:r>
      <w:r>
        <w:rPr>
          <w:rFonts w:ascii="Georgia" w:hAnsi="Georgia"/>
          <w:color w:val="231F20"/>
          <w:spacing w:val="-2"/>
          <w:sz w:val="18"/>
        </w:rPr>
        <w:t>педагогов</w:t>
      </w:r>
    </w:p>
    <w:p>
      <w:pPr>
        <w:pStyle w:val="ListParagraph"/>
        <w:numPr>
          <w:ilvl w:val="2"/>
          <w:numId w:val="235"/>
        </w:numPr>
        <w:tabs>
          <w:tab w:pos="425" w:val="left" w:leader="none"/>
        </w:tabs>
        <w:spacing w:line="232" w:lineRule="auto" w:before="118" w:after="0"/>
        <w:ind w:left="425" w:right="139" w:hanging="284"/>
        <w:jc w:val="both"/>
        <w:rPr>
          <w:sz w:val="20"/>
        </w:rPr>
      </w:pPr>
      <w:r>
        <w:rPr>
          <w:color w:val="231F20"/>
          <w:sz w:val="20"/>
        </w:rPr>
        <w:t>высказывает свое мнение о работе групп, делится соображениями относительно того, как была построена эта работа, говорит о методах работы, которые показа- лись ему наиболее эффективными;</w:t>
      </w:r>
    </w:p>
    <w:p>
      <w:pPr>
        <w:pStyle w:val="ListParagraph"/>
        <w:numPr>
          <w:ilvl w:val="2"/>
          <w:numId w:val="235"/>
        </w:numPr>
        <w:tabs>
          <w:tab w:pos="425" w:val="left" w:leader="none"/>
        </w:tabs>
        <w:spacing w:line="232" w:lineRule="auto" w:before="0" w:after="0"/>
        <w:ind w:left="425" w:right="139" w:hanging="284"/>
        <w:jc w:val="both"/>
        <w:rPr>
          <w:sz w:val="20"/>
        </w:rPr>
      </w:pPr>
      <w:r>
        <w:rPr>
          <w:color w:val="231F20"/>
          <w:sz w:val="20"/>
        </w:rPr>
        <w:t>подводит итоги дискуссии; обращает внимание на общность позиций, отмечает спорные вопросы, а также вопросы, которые остались без внимания или которые недостаточно аргументированы.</w:t>
      </w:r>
    </w:p>
    <w:p>
      <w:pPr>
        <w:pStyle w:val="BodyText"/>
        <w:spacing w:line="232" w:lineRule="auto"/>
      </w:pPr>
      <w:r>
        <w:rPr>
          <w:color w:val="231F20"/>
        </w:rPr>
        <w:t>В</w:t>
      </w:r>
      <w:r>
        <w:rPr>
          <w:color w:val="231F20"/>
          <w:spacing w:val="-10"/>
        </w:rPr>
        <w:t> </w:t>
      </w:r>
      <w:r>
        <w:rPr>
          <w:color w:val="231F20"/>
        </w:rPr>
        <w:t>конце</w:t>
      </w:r>
      <w:r>
        <w:rPr>
          <w:color w:val="231F20"/>
          <w:spacing w:val="-10"/>
        </w:rPr>
        <w:t> </w:t>
      </w:r>
      <w:r>
        <w:rPr>
          <w:color w:val="231F20"/>
        </w:rPr>
        <w:t>участники</w:t>
      </w:r>
      <w:r>
        <w:rPr>
          <w:color w:val="231F20"/>
          <w:spacing w:val="-10"/>
        </w:rPr>
        <w:t> </w:t>
      </w:r>
      <w:r>
        <w:rPr>
          <w:color w:val="231F20"/>
        </w:rPr>
        <w:t>(все</w:t>
      </w:r>
      <w:r>
        <w:rPr>
          <w:color w:val="231F20"/>
          <w:spacing w:val="-10"/>
        </w:rPr>
        <w:t> </w:t>
      </w:r>
      <w:r>
        <w:rPr>
          <w:color w:val="231F20"/>
        </w:rPr>
        <w:t>или</w:t>
      </w:r>
      <w:r>
        <w:rPr>
          <w:color w:val="231F20"/>
          <w:spacing w:val="-10"/>
        </w:rPr>
        <w:t> </w:t>
      </w:r>
      <w:r>
        <w:rPr>
          <w:color w:val="231F20"/>
        </w:rPr>
        <w:t>желающие)</w:t>
      </w:r>
      <w:r>
        <w:rPr>
          <w:color w:val="231F20"/>
          <w:spacing w:val="-10"/>
        </w:rPr>
        <w:t> </w:t>
      </w:r>
      <w:r>
        <w:rPr>
          <w:color w:val="231F20"/>
        </w:rPr>
        <w:t>могут</w:t>
      </w:r>
      <w:r>
        <w:rPr>
          <w:color w:val="231F20"/>
          <w:spacing w:val="-10"/>
        </w:rPr>
        <w:t> </w:t>
      </w:r>
      <w:r>
        <w:rPr>
          <w:color w:val="231F20"/>
        </w:rPr>
        <w:t>также</w:t>
      </w:r>
      <w:r>
        <w:rPr>
          <w:color w:val="231F20"/>
          <w:spacing w:val="-10"/>
        </w:rPr>
        <w:t> </w:t>
      </w:r>
      <w:r>
        <w:rPr>
          <w:color w:val="231F20"/>
        </w:rPr>
        <w:t>высказать</w:t>
      </w:r>
      <w:r>
        <w:rPr>
          <w:color w:val="231F20"/>
          <w:spacing w:val="-10"/>
        </w:rPr>
        <w:t> </w:t>
      </w:r>
      <w:r>
        <w:rPr>
          <w:color w:val="231F20"/>
        </w:rPr>
        <w:t>свое</w:t>
      </w:r>
      <w:r>
        <w:rPr>
          <w:color w:val="231F20"/>
          <w:spacing w:val="-10"/>
        </w:rPr>
        <w:t> </w:t>
      </w:r>
      <w:r>
        <w:rPr>
          <w:color w:val="231F20"/>
        </w:rPr>
        <w:t>мнение</w:t>
      </w:r>
      <w:r>
        <w:rPr>
          <w:color w:val="231F20"/>
          <w:spacing w:val="-10"/>
        </w:rPr>
        <w:t> </w:t>
      </w:r>
      <w:r>
        <w:rPr>
          <w:color w:val="231F20"/>
        </w:rPr>
        <w:t>о</w:t>
      </w:r>
      <w:r>
        <w:rPr>
          <w:color w:val="231F20"/>
          <w:spacing w:val="-10"/>
        </w:rPr>
        <w:t> </w:t>
      </w:r>
      <w:r>
        <w:rPr>
          <w:color w:val="231F20"/>
        </w:rPr>
        <w:t>дис- куссии, ее организации и о том, насколько полезной для них была эта работа.</w:t>
      </w:r>
    </w:p>
    <w:p>
      <w:pPr>
        <w:spacing w:line="226" w:lineRule="exact" w:before="101"/>
        <w:ind w:left="425" w:right="0" w:firstLine="0"/>
        <w:jc w:val="both"/>
        <w:rPr>
          <w:sz w:val="20"/>
        </w:rPr>
      </w:pPr>
      <w:r>
        <w:rPr>
          <w:b/>
          <w:i/>
          <w:color w:val="231F20"/>
          <w:spacing w:val="-2"/>
          <w:sz w:val="20"/>
        </w:rPr>
        <w:t>Карусель</w:t>
      </w:r>
      <w:r>
        <w:rPr>
          <w:b/>
          <w:i/>
          <w:color w:val="231F20"/>
          <w:spacing w:val="-5"/>
          <w:sz w:val="20"/>
        </w:rPr>
        <w:t> </w:t>
      </w:r>
      <w:r>
        <w:rPr>
          <w:color w:val="231F20"/>
          <w:spacing w:val="-2"/>
          <w:sz w:val="20"/>
        </w:rPr>
        <w:t>(Хильченко, 2014)</w:t>
      </w:r>
    </w:p>
    <w:p>
      <w:pPr>
        <w:pStyle w:val="BodyText"/>
        <w:spacing w:line="232" w:lineRule="auto" w:before="2"/>
      </w:pPr>
      <w:r>
        <w:rPr>
          <w:color w:val="231F20"/>
        </w:rPr>
        <w:t>Карусель</w:t>
      </w:r>
      <w:r>
        <w:rPr>
          <w:color w:val="231F20"/>
          <w:spacing w:val="-13"/>
        </w:rPr>
        <w:t> </w:t>
      </w:r>
      <w:r>
        <w:rPr>
          <w:color w:val="231F20"/>
        </w:rPr>
        <w:t>–</w:t>
      </w:r>
      <w:r>
        <w:rPr>
          <w:color w:val="231F20"/>
          <w:spacing w:val="-12"/>
        </w:rPr>
        <w:t> </w:t>
      </w:r>
      <w:r>
        <w:rPr>
          <w:color w:val="231F20"/>
        </w:rPr>
        <w:t>интерактивный</w:t>
      </w:r>
      <w:r>
        <w:rPr>
          <w:color w:val="231F20"/>
          <w:spacing w:val="-13"/>
        </w:rPr>
        <w:t> </w:t>
      </w:r>
      <w:r>
        <w:rPr>
          <w:color w:val="231F20"/>
        </w:rPr>
        <w:t>метод</w:t>
      </w:r>
      <w:r>
        <w:rPr>
          <w:color w:val="231F20"/>
          <w:spacing w:val="-12"/>
        </w:rPr>
        <w:t> </w:t>
      </w:r>
      <w:r>
        <w:rPr>
          <w:color w:val="231F20"/>
        </w:rPr>
        <w:t>работы,</w:t>
      </w:r>
      <w:r>
        <w:rPr>
          <w:color w:val="231F20"/>
          <w:spacing w:val="-13"/>
        </w:rPr>
        <w:t> </w:t>
      </w:r>
      <w:r>
        <w:rPr>
          <w:color w:val="231F20"/>
        </w:rPr>
        <w:t>в</w:t>
      </w:r>
      <w:r>
        <w:rPr>
          <w:color w:val="231F20"/>
          <w:spacing w:val="-12"/>
        </w:rPr>
        <w:t> </w:t>
      </w:r>
      <w:r>
        <w:rPr>
          <w:color w:val="231F20"/>
        </w:rPr>
        <w:t>процессе</w:t>
      </w:r>
      <w:r>
        <w:rPr>
          <w:color w:val="231F20"/>
          <w:spacing w:val="-13"/>
        </w:rPr>
        <w:t> </w:t>
      </w:r>
      <w:r>
        <w:rPr>
          <w:color w:val="231F20"/>
        </w:rPr>
        <w:t>которой</w:t>
      </w:r>
      <w:r>
        <w:rPr>
          <w:color w:val="231F20"/>
          <w:spacing w:val="-12"/>
        </w:rPr>
        <w:t> </w:t>
      </w:r>
      <w:r>
        <w:rPr>
          <w:color w:val="231F20"/>
        </w:rPr>
        <w:t>образуется</w:t>
      </w:r>
      <w:r>
        <w:rPr>
          <w:color w:val="231F20"/>
          <w:spacing w:val="-13"/>
        </w:rPr>
        <w:t> </w:t>
      </w:r>
      <w:r>
        <w:rPr>
          <w:color w:val="231F20"/>
        </w:rPr>
        <w:t>два</w:t>
      </w:r>
      <w:r>
        <w:rPr>
          <w:color w:val="231F20"/>
          <w:spacing w:val="-12"/>
        </w:rPr>
        <w:t> </w:t>
      </w:r>
      <w:r>
        <w:rPr>
          <w:color w:val="231F20"/>
        </w:rPr>
        <w:t>коль- ца:</w:t>
      </w:r>
      <w:r>
        <w:rPr>
          <w:color w:val="231F20"/>
          <w:spacing w:val="-8"/>
        </w:rPr>
        <w:t> </w:t>
      </w:r>
      <w:r>
        <w:rPr>
          <w:color w:val="231F20"/>
        </w:rPr>
        <w:t>внутреннее</w:t>
      </w:r>
      <w:r>
        <w:rPr>
          <w:color w:val="231F20"/>
          <w:spacing w:val="-8"/>
        </w:rPr>
        <w:t> </w:t>
      </w:r>
      <w:r>
        <w:rPr>
          <w:color w:val="231F20"/>
        </w:rPr>
        <w:t>и</w:t>
      </w:r>
      <w:r>
        <w:rPr>
          <w:color w:val="231F20"/>
          <w:spacing w:val="-8"/>
        </w:rPr>
        <w:t> </w:t>
      </w:r>
      <w:r>
        <w:rPr>
          <w:color w:val="231F20"/>
        </w:rPr>
        <w:t>внешнее.</w:t>
      </w:r>
      <w:r>
        <w:rPr>
          <w:color w:val="231F20"/>
          <w:spacing w:val="-8"/>
        </w:rPr>
        <w:t> </w:t>
      </w:r>
      <w:r>
        <w:rPr>
          <w:color w:val="231F20"/>
        </w:rPr>
        <w:t>Внутреннее</w:t>
      </w:r>
      <w:r>
        <w:rPr>
          <w:color w:val="231F20"/>
          <w:spacing w:val="-8"/>
        </w:rPr>
        <w:t> </w:t>
      </w:r>
      <w:r>
        <w:rPr>
          <w:color w:val="231F20"/>
        </w:rPr>
        <w:t>кольцо</w:t>
      </w:r>
      <w:r>
        <w:rPr>
          <w:color w:val="231F20"/>
          <w:spacing w:val="-8"/>
        </w:rPr>
        <w:t> </w:t>
      </w:r>
      <w:r>
        <w:rPr>
          <w:color w:val="231F20"/>
        </w:rPr>
        <w:t>–</w:t>
      </w:r>
      <w:r>
        <w:rPr>
          <w:color w:val="231F20"/>
          <w:spacing w:val="-8"/>
        </w:rPr>
        <w:t> </w:t>
      </w:r>
      <w:r>
        <w:rPr>
          <w:color w:val="231F20"/>
        </w:rPr>
        <w:t>это</w:t>
      </w:r>
      <w:r>
        <w:rPr>
          <w:color w:val="231F20"/>
          <w:spacing w:val="-8"/>
        </w:rPr>
        <w:t> </w:t>
      </w:r>
      <w:r>
        <w:rPr>
          <w:color w:val="231F20"/>
        </w:rPr>
        <w:t>сидящие</w:t>
      </w:r>
      <w:r>
        <w:rPr>
          <w:color w:val="231F20"/>
          <w:spacing w:val="-8"/>
        </w:rPr>
        <w:t> </w:t>
      </w:r>
      <w:r>
        <w:rPr>
          <w:color w:val="231F20"/>
        </w:rPr>
        <w:t>неподвижно</w:t>
      </w:r>
      <w:r>
        <w:rPr>
          <w:color w:val="231F20"/>
          <w:spacing w:val="-8"/>
        </w:rPr>
        <w:t> </w:t>
      </w:r>
      <w:r>
        <w:rPr>
          <w:color w:val="231F20"/>
        </w:rPr>
        <w:t>участники, а во внешнем кольце участники через каждые 30 секунд меняются. Таким образом, они</w:t>
      </w:r>
      <w:r>
        <w:rPr>
          <w:color w:val="231F20"/>
          <w:spacing w:val="-1"/>
        </w:rPr>
        <w:t> </w:t>
      </w:r>
      <w:r>
        <w:rPr>
          <w:color w:val="231F20"/>
        </w:rPr>
        <w:t>успевают</w:t>
      </w:r>
      <w:r>
        <w:rPr>
          <w:color w:val="231F20"/>
          <w:spacing w:val="-1"/>
        </w:rPr>
        <w:t> </w:t>
      </w:r>
      <w:r>
        <w:rPr>
          <w:color w:val="231F20"/>
        </w:rPr>
        <w:t>проговорить</w:t>
      </w:r>
      <w:r>
        <w:rPr>
          <w:color w:val="231F20"/>
          <w:spacing w:val="-1"/>
        </w:rPr>
        <w:t> </w:t>
      </w:r>
      <w:r>
        <w:rPr>
          <w:color w:val="231F20"/>
        </w:rPr>
        <w:t>за</w:t>
      </w:r>
      <w:r>
        <w:rPr>
          <w:color w:val="231F20"/>
          <w:spacing w:val="-1"/>
        </w:rPr>
        <w:t> </w:t>
      </w:r>
      <w:r>
        <w:rPr>
          <w:color w:val="231F20"/>
        </w:rPr>
        <w:t>несколько</w:t>
      </w:r>
      <w:r>
        <w:rPr>
          <w:color w:val="231F20"/>
          <w:spacing w:val="-1"/>
        </w:rPr>
        <w:t> </w:t>
      </w:r>
      <w:r>
        <w:rPr>
          <w:color w:val="231F20"/>
        </w:rPr>
        <w:t>минут</w:t>
      </w:r>
      <w:r>
        <w:rPr>
          <w:color w:val="231F20"/>
          <w:spacing w:val="-1"/>
        </w:rPr>
        <w:t> </w:t>
      </w:r>
      <w:r>
        <w:rPr>
          <w:color w:val="231F20"/>
        </w:rPr>
        <w:t>несколько</w:t>
      </w:r>
      <w:r>
        <w:rPr>
          <w:color w:val="231F20"/>
          <w:spacing w:val="-1"/>
        </w:rPr>
        <w:t> </w:t>
      </w:r>
      <w:r>
        <w:rPr>
          <w:color w:val="231F20"/>
        </w:rPr>
        <w:t>тем</w:t>
      </w:r>
      <w:r>
        <w:rPr>
          <w:color w:val="231F20"/>
          <w:spacing w:val="-1"/>
        </w:rPr>
        <w:t> </w:t>
      </w:r>
      <w:r>
        <w:rPr>
          <w:color w:val="231F20"/>
        </w:rPr>
        <w:t>и</w:t>
      </w:r>
      <w:r>
        <w:rPr>
          <w:color w:val="231F20"/>
          <w:spacing w:val="-1"/>
        </w:rPr>
        <w:t> </w:t>
      </w:r>
      <w:r>
        <w:rPr>
          <w:color w:val="231F20"/>
        </w:rPr>
        <w:t>постараться</w:t>
      </w:r>
      <w:r>
        <w:rPr>
          <w:color w:val="231F20"/>
          <w:spacing w:val="-1"/>
        </w:rPr>
        <w:t> </w:t>
      </w:r>
      <w:r>
        <w:rPr>
          <w:color w:val="231F20"/>
        </w:rPr>
        <w:t>убедить в своей правоте собеседника. Использование данного метода позволяет эффективно тренировать</w:t>
      </w:r>
      <w:r>
        <w:rPr>
          <w:color w:val="231F20"/>
          <w:spacing w:val="-8"/>
        </w:rPr>
        <w:t> </w:t>
      </w:r>
      <w:r>
        <w:rPr>
          <w:color w:val="231F20"/>
        </w:rPr>
        <w:t>быстрые</w:t>
      </w:r>
      <w:r>
        <w:rPr>
          <w:color w:val="231F20"/>
          <w:spacing w:val="-8"/>
        </w:rPr>
        <w:t> </w:t>
      </w:r>
      <w:r>
        <w:rPr>
          <w:color w:val="231F20"/>
        </w:rPr>
        <w:t>культурные</w:t>
      </w:r>
      <w:r>
        <w:rPr>
          <w:color w:val="231F20"/>
          <w:spacing w:val="-8"/>
        </w:rPr>
        <w:t> </w:t>
      </w:r>
      <w:r>
        <w:rPr>
          <w:color w:val="231F20"/>
        </w:rPr>
        <w:t>реакции</w:t>
      </w:r>
      <w:r>
        <w:rPr>
          <w:color w:val="231F20"/>
          <w:spacing w:val="-8"/>
        </w:rPr>
        <w:t> </w:t>
      </w:r>
      <w:r>
        <w:rPr>
          <w:color w:val="231F20"/>
        </w:rPr>
        <w:t>в</w:t>
      </w:r>
      <w:r>
        <w:rPr>
          <w:color w:val="231F20"/>
          <w:spacing w:val="-8"/>
        </w:rPr>
        <w:t> </w:t>
      </w:r>
      <w:r>
        <w:rPr>
          <w:color w:val="231F20"/>
        </w:rPr>
        <w:t>ответ</w:t>
      </w:r>
      <w:r>
        <w:rPr>
          <w:color w:val="231F20"/>
          <w:spacing w:val="-8"/>
        </w:rPr>
        <w:t> </w:t>
      </w:r>
      <w:r>
        <w:rPr>
          <w:color w:val="231F20"/>
        </w:rPr>
        <w:t>на</w:t>
      </w:r>
      <w:r>
        <w:rPr>
          <w:color w:val="231F20"/>
          <w:spacing w:val="-8"/>
        </w:rPr>
        <w:t> </w:t>
      </w:r>
      <w:r>
        <w:rPr>
          <w:color w:val="231F20"/>
        </w:rPr>
        <w:t>трудности</w:t>
      </w:r>
      <w:r>
        <w:rPr>
          <w:color w:val="231F20"/>
          <w:spacing w:val="-8"/>
        </w:rPr>
        <w:t> </w:t>
      </w:r>
      <w:r>
        <w:rPr>
          <w:color w:val="231F20"/>
        </w:rPr>
        <w:t>межкультурной</w:t>
      </w:r>
      <w:r>
        <w:rPr>
          <w:color w:val="231F20"/>
          <w:spacing w:val="-8"/>
        </w:rPr>
        <w:t> </w:t>
      </w:r>
      <w:r>
        <w:rPr>
          <w:color w:val="231F20"/>
        </w:rPr>
        <w:t>ком- муникации с инокультурными учащимися и/или их родителями.</w:t>
      </w:r>
    </w:p>
    <w:p>
      <w:pPr>
        <w:pStyle w:val="BodyText"/>
        <w:spacing w:line="232" w:lineRule="auto"/>
      </w:pPr>
      <w:r>
        <w:rPr>
          <w:color w:val="231F20"/>
        </w:rPr>
        <w:t>Реализация приема «идейная карусель» предполагает следующий алгоритм ра- </w:t>
      </w:r>
      <w:r>
        <w:rPr>
          <w:color w:val="231F20"/>
          <w:spacing w:val="-2"/>
        </w:rPr>
        <w:t>боты.</w:t>
      </w:r>
    </w:p>
    <w:p>
      <w:pPr>
        <w:pStyle w:val="ListParagraph"/>
        <w:numPr>
          <w:ilvl w:val="0"/>
          <w:numId w:val="236"/>
        </w:numPr>
        <w:tabs>
          <w:tab w:pos="425" w:val="left" w:leader="none"/>
        </w:tabs>
        <w:spacing w:line="232" w:lineRule="auto" w:before="0" w:after="0"/>
        <w:ind w:left="425" w:right="139" w:hanging="284"/>
        <w:jc w:val="both"/>
        <w:rPr>
          <w:sz w:val="20"/>
        </w:rPr>
      </w:pPr>
      <w:r>
        <w:rPr>
          <w:color w:val="231F20"/>
          <w:sz w:val="20"/>
        </w:rPr>
        <w:t>Каждому члену микрогруппы (из 4–5 человек) раздается чистый лист бумаги. Всем участникам задается одна и та же проблемная ситуация. Например, Ахмед снова не сделал домашнее задание. Без обмена мнениями все участники записы- вают на своих листках спонтанные формулировки ответов на нее.</w:t>
      </w:r>
    </w:p>
    <w:p>
      <w:pPr>
        <w:pStyle w:val="ListParagraph"/>
        <w:numPr>
          <w:ilvl w:val="0"/>
          <w:numId w:val="236"/>
        </w:numPr>
        <w:tabs>
          <w:tab w:pos="425" w:val="left" w:leader="none"/>
        </w:tabs>
        <w:spacing w:line="232" w:lineRule="auto" w:before="0" w:after="0"/>
        <w:ind w:left="425" w:right="139" w:hanging="284"/>
        <w:jc w:val="both"/>
        <w:rPr>
          <w:sz w:val="20"/>
        </w:rPr>
      </w:pPr>
      <w:r>
        <w:rPr>
          <w:color w:val="231F20"/>
          <w:sz w:val="20"/>
        </w:rPr>
        <w:t>Листки с записями в режиме дефицита времени передаются по кругу, по часо- вой стрелке, соседям по микрогруппе. При получении листка с записями участ- ник</w:t>
      </w:r>
      <w:r>
        <w:rPr>
          <w:color w:val="231F20"/>
          <w:spacing w:val="-13"/>
          <w:sz w:val="20"/>
        </w:rPr>
        <w:t> </w:t>
      </w:r>
      <w:r>
        <w:rPr>
          <w:color w:val="231F20"/>
          <w:sz w:val="20"/>
        </w:rPr>
        <w:t>должен</w:t>
      </w:r>
      <w:r>
        <w:rPr>
          <w:color w:val="231F20"/>
          <w:spacing w:val="-12"/>
          <w:sz w:val="20"/>
        </w:rPr>
        <w:t> </w:t>
      </w:r>
      <w:r>
        <w:rPr>
          <w:color w:val="231F20"/>
          <w:sz w:val="20"/>
        </w:rPr>
        <w:t>сделать</w:t>
      </w:r>
      <w:r>
        <w:rPr>
          <w:color w:val="231F20"/>
          <w:spacing w:val="-13"/>
          <w:sz w:val="20"/>
        </w:rPr>
        <w:t> </w:t>
      </w:r>
      <w:r>
        <w:rPr>
          <w:color w:val="231F20"/>
          <w:sz w:val="20"/>
        </w:rPr>
        <w:t>новую</w:t>
      </w:r>
      <w:r>
        <w:rPr>
          <w:color w:val="231F20"/>
          <w:spacing w:val="-12"/>
          <w:sz w:val="20"/>
        </w:rPr>
        <w:t> </w:t>
      </w:r>
      <w:r>
        <w:rPr>
          <w:color w:val="231F20"/>
          <w:sz w:val="20"/>
        </w:rPr>
        <w:t>запись,</w:t>
      </w:r>
      <w:r>
        <w:rPr>
          <w:color w:val="231F20"/>
          <w:spacing w:val="-13"/>
          <w:sz w:val="20"/>
        </w:rPr>
        <w:t> </w:t>
      </w:r>
      <w:r>
        <w:rPr>
          <w:color w:val="231F20"/>
          <w:sz w:val="20"/>
        </w:rPr>
        <w:t>не</w:t>
      </w:r>
      <w:r>
        <w:rPr>
          <w:color w:val="231F20"/>
          <w:spacing w:val="-12"/>
          <w:sz w:val="20"/>
        </w:rPr>
        <w:t> </w:t>
      </w:r>
      <w:r>
        <w:rPr>
          <w:color w:val="231F20"/>
          <w:sz w:val="20"/>
        </w:rPr>
        <w:t>повторяя</w:t>
      </w:r>
      <w:r>
        <w:rPr>
          <w:color w:val="231F20"/>
          <w:spacing w:val="-13"/>
          <w:sz w:val="20"/>
        </w:rPr>
        <w:t> </w:t>
      </w:r>
      <w:r>
        <w:rPr>
          <w:color w:val="231F20"/>
          <w:sz w:val="20"/>
        </w:rPr>
        <w:t>имеющиеся.</w:t>
      </w:r>
      <w:r>
        <w:rPr>
          <w:color w:val="231F20"/>
          <w:spacing w:val="-12"/>
          <w:sz w:val="20"/>
        </w:rPr>
        <w:t> </w:t>
      </w:r>
      <w:r>
        <w:rPr>
          <w:color w:val="231F20"/>
          <w:sz w:val="20"/>
        </w:rPr>
        <w:t>Работа</w:t>
      </w:r>
      <w:r>
        <w:rPr>
          <w:color w:val="231F20"/>
          <w:spacing w:val="-13"/>
          <w:sz w:val="20"/>
        </w:rPr>
        <w:t> </w:t>
      </w:r>
      <w:r>
        <w:rPr>
          <w:color w:val="231F20"/>
          <w:sz w:val="20"/>
        </w:rPr>
        <w:t>заканчивается, когда каждому вернется его листок. На этом этапе записи не анализируются и не </w:t>
      </w:r>
      <w:r>
        <w:rPr>
          <w:color w:val="231F20"/>
          <w:spacing w:val="-2"/>
          <w:sz w:val="20"/>
        </w:rPr>
        <w:t>оцениваются.</w:t>
      </w:r>
    </w:p>
    <w:p>
      <w:pPr>
        <w:pStyle w:val="ListParagraph"/>
        <w:numPr>
          <w:ilvl w:val="0"/>
          <w:numId w:val="236"/>
        </w:numPr>
        <w:tabs>
          <w:tab w:pos="425" w:val="left" w:leader="none"/>
        </w:tabs>
        <w:spacing w:line="232" w:lineRule="auto" w:before="0" w:after="0"/>
        <w:ind w:left="425" w:right="139" w:hanging="284"/>
        <w:jc w:val="both"/>
        <w:rPr>
          <w:sz w:val="20"/>
        </w:rPr>
      </w:pPr>
      <w:r>
        <w:rPr>
          <w:color w:val="231F20"/>
          <w:sz w:val="20"/>
        </w:rPr>
        <w:t>В микрогруппах происходит обсуждение сформулированных участниками отве- тов и предложений и выявление из них наиболее важных, актуальных для итого- вого списка.</w:t>
      </w:r>
    </w:p>
    <w:p>
      <w:pPr>
        <w:pStyle w:val="ListParagraph"/>
        <w:numPr>
          <w:ilvl w:val="0"/>
          <w:numId w:val="236"/>
        </w:numPr>
        <w:tabs>
          <w:tab w:pos="425" w:val="left" w:leader="none"/>
        </w:tabs>
        <w:spacing w:line="232" w:lineRule="auto" w:before="0" w:after="0"/>
        <w:ind w:left="425" w:right="139" w:hanging="284"/>
        <w:jc w:val="both"/>
        <w:rPr>
          <w:sz w:val="20"/>
        </w:rPr>
      </w:pPr>
      <w:r>
        <w:rPr>
          <w:color w:val="231F20"/>
          <w:spacing w:val="-2"/>
          <w:sz w:val="20"/>
        </w:rPr>
        <w:t>Обмен результатами наработок микрогрупп. Все микрогруппы предлагают по оче- </w:t>
      </w:r>
      <w:r>
        <w:rPr>
          <w:color w:val="231F20"/>
          <w:sz w:val="20"/>
        </w:rPr>
        <w:t>реди свои формулировки из итогового списка. Если формулировка не встречает </w:t>
      </w:r>
      <w:r>
        <w:rPr>
          <w:color w:val="231F20"/>
          <w:spacing w:val="-2"/>
          <w:sz w:val="20"/>
        </w:rPr>
        <w:t>возражений</w:t>
      </w:r>
      <w:r>
        <w:rPr>
          <w:color w:val="231F20"/>
          <w:spacing w:val="-7"/>
          <w:sz w:val="20"/>
        </w:rPr>
        <w:t> </w:t>
      </w:r>
      <w:r>
        <w:rPr>
          <w:color w:val="231F20"/>
          <w:spacing w:val="-2"/>
          <w:sz w:val="20"/>
        </w:rPr>
        <w:t>других</w:t>
      </w:r>
      <w:r>
        <w:rPr>
          <w:color w:val="231F20"/>
          <w:spacing w:val="-7"/>
          <w:sz w:val="20"/>
        </w:rPr>
        <w:t> </w:t>
      </w:r>
      <w:r>
        <w:rPr>
          <w:color w:val="231F20"/>
          <w:spacing w:val="-2"/>
          <w:sz w:val="20"/>
        </w:rPr>
        <w:t>групп,</w:t>
      </w:r>
      <w:r>
        <w:rPr>
          <w:color w:val="231F20"/>
          <w:spacing w:val="-7"/>
          <w:sz w:val="20"/>
        </w:rPr>
        <w:t> </w:t>
      </w:r>
      <w:r>
        <w:rPr>
          <w:color w:val="231F20"/>
          <w:spacing w:val="-2"/>
          <w:sz w:val="20"/>
        </w:rPr>
        <w:t>она</w:t>
      </w:r>
      <w:r>
        <w:rPr>
          <w:color w:val="231F20"/>
          <w:spacing w:val="-7"/>
          <w:sz w:val="20"/>
        </w:rPr>
        <w:t> </w:t>
      </w:r>
      <w:r>
        <w:rPr>
          <w:color w:val="231F20"/>
          <w:spacing w:val="-2"/>
          <w:sz w:val="20"/>
        </w:rPr>
        <w:t>включается</w:t>
      </w:r>
      <w:r>
        <w:rPr>
          <w:color w:val="231F20"/>
          <w:spacing w:val="-7"/>
          <w:sz w:val="20"/>
        </w:rPr>
        <w:t> </w:t>
      </w:r>
      <w:r>
        <w:rPr>
          <w:color w:val="231F20"/>
          <w:spacing w:val="-2"/>
          <w:sz w:val="20"/>
        </w:rPr>
        <w:t>в</w:t>
      </w:r>
      <w:r>
        <w:rPr>
          <w:color w:val="231F20"/>
          <w:spacing w:val="-7"/>
          <w:sz w:val="20"/>
        </w:rPr>
        <w:t> </w:t>
      </w:r>
      <w:r>
        <w:rPr>
          <w:color w:val="231F20"/>
          <w:spacing w:val="-2"/>
          <w:sz w:val="20"/>
        </w:rPr>
        <w:t>окончательный</w:t>
      </w:r>
      <w:r>
        <w:rPr>
          <w:color w:val="231F20"/>
          <w:spacing w:val="-7"/>
          <w:sz w:val="20"/>
        </w:rPr>
        <w:t> </w:t>
      </w:r>
      <w:r>
        <w:rPr>
          <w:color w:val="231F20"/>
          <w:spacing w:val="-2"/>
          <w:sz w:val="20"/>
        </w:rPr>
        <w:t>общий</w:t>
      </w:r>
      <w:r>
        <w:rPr>
          <w:color w:val="231F20"/>
          <w:spacing w:val="-7"/>
          <w:sz w:val="20"/>
        </w:rPr>
        <w:t> </w:t>
      </w:r>
      <w:r>
        <w:rPr>
          <w:color w:val="231F20"/>
          <w:spacing w:val="-2"/>
          <w:sz w:val="20"/>
        </w:rPr>
        <w:t>список</w:t>
      </w:r>
      <w:r>
        <w:rPr>
          <w:color w:val="231F20"/>
          <w:spacing w:val="-7"/>
          <w:sz w:val="20"/>
        </w:rPr>
        <w:t> </w:t>
      </w:r>
      <w:r>
        <w:rPr>
          <w:color w:val="231F20"/>
          <w:spacing w:val="-2"/>
          <w:sz w:val="20"/>
        </w:rPr>
        <w:t>ответов. </w:t>
      </w:r>
      <w:r>
        <w:rPr>
          <w:color w:val="231F20"/>
          <w:sz w:val="20"/>
        </w:rPr>
        <w:t>Эти</w:t>
      </w:r>
      <w:r>
        <w:rPr>
          <w:color w:val="231F20"/>
          <w:spacing w:val="-1"/>
          <w:sz w:val="20"/>
        </w:rPr>
        <w:t> </w:t>
      </w:r>
      <w:r>
        <w:rPr>
          <w:color w:val="231F20"/>
          <w:sz w:val="20"/>
        </w:rPr>
        <w:t>ответы</w:t>
      </w:r>
      <w:r>
        <w:rPr>
          <w:color w:val="231F20"/>
          <w:spacing w:val="-1"/>
          <w:sz w:val="20"/>
        </w:rPr>
        <w:t> </w:t>
      </w:r>
      <w:r>
        <w:rPr>
          <w:color w:val="231F20"/>
          <w:sz w:val="20"/>
        </w:rPr>
        <w:t>могут</w:t>
      </w:r>
      <w:r>
        <w:rPr>
          <w:color w:val="231F20"/>
          <w:spacing w:val="-1"/>
          <w:sz w:val="20"/>
        </w:rPr>
        <w:t> </w:t>
      </w:r>
      <w:r>
        <w:rPr>
          <w:color w:val="231F20"/>
          <w:sz w:val="20"/>
        </w:rPr>
        <w:t>в</w:t>
      </w:r>
      <w:r>
        <w:rPr>
          <w:color w:val="231F20"/>
          <w:spacing w:val="-1"/>
          <w:sz w:val="20"/>
        </w:rPr>
        <w:t> </w:t>
      </w:r>
      <w:r>
        <w:rPr>
          <w:color w:val="231F20"/>
          <w:sz w:val="20"/>
        </w:rPr>
        <w:t>дальнейшем</w:t>
      </w:r>
      <w:r>
        <w:rPr>
          <w:color w:val="231F20"/>
          <w:spacing w:val="-1"/>
          <w:sz w:val="20"/>
        </w:rPr>
        <w:t> </w:t>
      </w:r>
      <w:r>
        <w:rPr>
          <w:color w:val="231F20"/>
          <w:sz w:val="20"/>
        </w:rPr>
        <w:t>быть</w:t>
      </w:r>
      <w:r>
        <w:rPr>
          <w:color w:val="231F20"/>
          <w:spacing w:val="-1"/>
          <w:sz w:val="20"/>
        </w:rPr>
        <w:t> </w:t>
      </w:r>
      <w:r>
        <w:rPr>
          <w:color w:val="231F20"/>
          <w:sz w:val="20"/>
        </w:rPr>
        <w:t>отражены</w:t>
      </w:r>
      <w:r>
        <w:rPr>
          <w:color w:val="231F20"/>
          <w:spacing w:val="-1"/>
          <w:sz w:val="20"/>
        </w:rPr>
        <w:t> </w:t>
      </w:r>
      <w:r>
        <w:rPr>
          <w:color w:val="231F20"/>
          <w:sz w:val="20"/>
        </w:rPr>
        <w:t>в</w:t>
      </w:r>
      <w:r>
        <w:rPr>
          <w:color w:val="231F20"/>
          <w:spacing w:val="-1"/>
          <w:sz w:val="20"/>
        </w:rPr>
        <w:t> </w:t>
      </w:r>
      <w:r>
        <w:rPr>
          <w:color w:val="231F20"/>
          <w:sz w:val="20"/>
        </w:rPr>
        <w:t>памятках</w:t>
      </w:r>
      <w:r>
        <w:rPr>
          <w:color w:val="231F20"/>
          <w:spacing w:val="-1"/>
          <w:sz w:val="20"/>
        </w:rPr>
        <w:t> </w:t>
      </w:r>
      <w:r>
        <w:rPr>
          <w:color w:val="231F20"/>
          <w:sz w:val="20"/>
        </w:rPr>
        <w:t>и</w:t>
      </w:r>
      <w:r>
        <w:rPr>
          <w:color w:val="231F20"/>
          <w:spacing w:val="-1"/>
          <w:sz w:val="20"/>
        </w:rPr>
        <w:t> </w:t>
      </w:r>
      <w:r>
        <w:rPr>
          <w:color w:val="231F20"/>
          <w:sz w:val="20"/>
        </w:rPr>
        <w:t>пополнить</w:t>
      </w:r>
      <w:r>
        <w:rPr>
          <w:color w:val="231F20"/>
          <w:spacing w:val="-1"/>
          <w:sz w:val="20"/>
        </w:rPr>
        <w:t> </w:t>
      </w:r>
      <w:r>
        <w:rPr>
          <w:color w:val="231F20"/>
          <w:sz w:val="20"/>
        </w:rPr>
        <w:t>методи-</w:t>
      </w:r>
    </w:p>
    <w:p>
      <w:pPr>
        <w:pStyle w:val="BodyText"/>
        <w:spacing w:line="220" w:lineRule="exact"/>
        <w:ind w:right="0" w:firstLine="0"/>
      </w:pPr>
      <w:r>
        <w:rPr>
          <w:color w:val="231F20"/>
        </w:rPr>
        <w:t>ческий</w:t>
      </w:r>
      <w:r>
        <w:rPr>
          <w:color w:val="231F20"/>
          <w:spacing w:val="-4"/>
        </w:rPr>
        <w:t> </w:t>
      </w:r>
      <w:r>
        <w:rPr>
          <w:color w:val="231F20"/>
        </w:rPr>
        <w:t>инструментарий</w:t>
      </w:r>
      <w:r>
        <w:rPr>
          <w:color w:val="231F20"/>
          <w:spacing w:val="-3"/>
        </w:rPr>
        <w:t> </w:t>
      </w:r>
      <w:r>
        <w:rPr>
          <w:color w:val="231F20"/>
        </w:rPr>
        <w:t>работы</w:t>
      </w:r>
      <w:r>
        <w:rPr>
          <w:color w:val="231F20"/>
          <w:spacing w:val="-2"/>
        </w:rPr>
        <w:t> методобъединения.</w:t>
      </w:r>
    </w:p>
    <w:p>
      <w:pPr>
        <w:spacing w:line="226" w:lineRule="exact" w:before="85"/>
        <w:ind w:left="425" w:right="0" w:firstLine="0"/>
        <w:jc w:val="left"/>
        <w:rPr>
          <w:b/>
          <w:i/>
          <w:sz w:val="20"/>
        </w:rPr>
      </w:pPr>
      <w:r>
        <w:rPr>
          <w:b/>
          <w:i/>
          <w:color w:val="231F20"/>
          <w:spacing w:val="-2"/>
          <w:sz w:val="20"/>
        </w:rPr>
        <w:t>Аквариум</w:t>
      </w:r>
    </w:p>
    <w:p>
      <w:pPr>
        <w:pStyle w:val="BodyText"/>
        <w:spacing w:line="232" w:lineRule="auto" w:before="2"/>
      </w:pPr>
      <w:r>
        <w:rPr>
          <w:color w:val="231F20"/>
        </w:rPr>
        <w:t>Технология представляет собой некое подобие спектакля, где есть актеры и зри- тели.</w:t>
      </w:r>
      <w:r>
        <w:rPr>
          <w:color w:val="231F20"/>
          <w:spacing w:val="-5"/>
        </w:rPr>
        <w:t> </w:t>
      </w:r>
      <w:r>
        <w:rPr>
          <w:color w:val="231F20"/>
        </w:rPr>
        <w:t>Несколько</w:t>
      </w:r>
      <w:r>
        <w:rPr>
          <w:color w:val="231F20"/>
          <w:spacing w:val="-5"/>
        </w:rPr>
        <w:t> </w:t>
      </w:r>
      <w:r>
        <w:rPr>
          <w:color w:val="231F20"/>
        </w:rPr>
        <w:t>участников</w:t>
      </w:r>
      <w:r>
        <w:rPr>
          <w:color w:val="231F20"/>
          <w:spacing w:val="-5"/>
        </w:rPr>
        <w:t> </w:t>
      </w:r>
      <w:r>
        <w:rPr>
          <w:color w:val="231F20"/>
        </w:rPr>
        <w:t>разыгрывают</w:t>
      </w:r>
      <w:r>
        <w:rPr>
          <w:color w:val="231F20"/>
          <w:spacing w:val="-5"/>
        </w:rPr>
        <w:t> </w:t>
      </w:r>
      <w:r>
        <w:rPr>
          <w:color w:val="231F20"/>
        </w:rPr>
        <w:t>ситуацию</w:t>
      </w:r>
      <w:r>
        <w:rPr>
          <w:color w:val="231F20"/>
          <w:spacing w:val="-5"/>
        </w:rPr>
        <w:t> </w:t>
      </w:r>
      <w:r>
        <w:rPr>
          <w:color w:val="231F20"/>
        </w:rPr>
        <w:t>в</w:t>
      </w:r>
      <w:r>
        <w:rPr>
          <w:color w:val="231F20"/>
          <w:spacing w:val="-5"/>
        </w:rPr>
        <w:t> </w:t>
      </w:r>
      <w:r>
        <w:rPr>
          <w:color w:val="231F20"/>
        </w:rPr>
        <w:t>круге,</w:t>
      </w:r>
      <w:r>
        <w:rPr>
          <w:color w:val="231F20"/>
          <w:spacing w:val="-5"/>
        </w:rPr>
        <w:t> </w:t>
      </w:r>
      <w:r>
        <w:rPr>
          <w:color w:val="231F20"/>
        </w:rPr>
        <w:t>остальные</w:t>
      </w:r>
      <w:r>
        <w:rPr>
          <w:color w:val="231F20"/>
          <w:spacing w:val="-5"/>
        </w:rPr>
        <w:t> </w:t>
      </w:r>
      <w:r>
        <w:rPr>
          <w:color w:val="231F20"/>
        </w:rPr>
        <w:t>выступают</w:t>
      </w:r>
      <w:r>
        <w:rPr>
          <w:color w:val="231F20"/>
          <w:spacing w:val="-5"/>
        </w:rPr>
        <w:t> </w:t>
      </w:r>
      <w:r>
        <w:rPr>
          <w:color w:val="231F20"/>
        </w:rPr>
        <w:t>в </w:t>
      </w:r>
      <w:r>
        <w:rPr>
          <w:color w:val="231F20"/>
          <w:spacing w:val="-2"/>
        </w:rPr>
        <w:t>роли</w:t>
      </w:r>
      <w:r>
        <w:rPr>
          <w:color w:val="231F20"/>
          <w:spacing w:val="-4"/>
        </w:rPr>
        <w:t> </w:t>
      </w:r>
      <w:r>
        <w:rPr>
          <w:color w:val="231F20"/>
          <w:spacing w:val="-2"/>
        </w:rPr>
        <w:t>наблюдателей,</w:t>
      </w:r>
      <w:r>
        <w:rPr>
          <w:color w:val="231F20"/>
          <w:spacing w:val="-4"/>
        </w:rPr>
        <w:t> </w:t>
      </w:r>
      <w:r>
        <w:rPr>
          <w:color w:val="231F20"/>
          <w:spacing w:val="-2"/>
        </w:rPr>
        <w:t>экспертов,</w:t>
      </w:r>
      <w:r>
        <w:rPr>
          <w:color w:val="231F20"/>
          <w:spacing w:val="-4"/>
        </w:rPr>
        <w:t> </w:t>
      </w:r>
      <w:r>
        <w:rPr>
          <w:color w:val="231F20"/>
          <w:spacing w:val="-2"/>
        </w:rPr>
        <w:t>критиков</w:t>
      </w:r>
      <w:r>
        <w:rPr>
          <w:color w:val="231F20"/>
          <w:spacing w:val="-4"/>
        </w:rPr>
        <w:t> </w:t>
      </w:r>
      <w:r>
        <w:rPr>
          <w:color w:val="231F20"/>
          <w:spacing w:val="-2"/>
        </w:rPr>
        <w:t>и</w:t>
      </w:r>
      <w:r>
        <w:rPr>
          <w:color w:val="231F20"/>
          <w:spacing w:val="-4"/>
        </w:rPr>
        <w:t> </w:t>
      </w:r>
      <w:r>
        <w:rPr>
          <w:color w:val="231F20"/>
          <w:spacing w:val="-2"/>
        </w:rPr>
        <w:t>аналитиков.</w:t>
      </w:r>
      <w:r>
        <w:rPr>
          <w:color w:val="231F20"/>
          <w:spacing w:val="-4"/>
        </w:rPr>
        <w:t> </w:t>
      </w:r>
      <w:r>
        <w:rPr>
          <w:color w:val="231F20"/>
          <w:spacing w:val="-2"/>
        </w:rPr>
        <w:t>Так,</w:t>
      </w:r>
      <w:r>
        <w:rPr>
          <w:color w:val="231F20"/>
          <w:spacing w:val="-4"/>
        </w:rPr>
        <w:t> </w:t>
      </w:r>
      <w:r>
        <w:rPr>
          <w:color w:val="231F20"/>
          <w:spacing w:val="-2"/>
        </w:rPr>
        <w:t>например,</w:t>
      </w:r>
      <w:r>
        <w:rPr>
          <w:color w:val="231F20"/>
          <w:spacing w:val="-4"/>
        </w:rPr>
        <w:t> </w:t>
      </w:r>
      <w:r>
        <w:rPr>
          <w:color w:val="231F20"/>
          <w:spacing w:val="-2"/>
        </w:rPr>
        <w:t>для</w:t>
      </w:r>
      <w:r>
        <w:rPr>
          <w:color w:val="231F20"/>
          <w:spacing w:val="-4"/>
        </w:rPr>
        <w:t> </w:t>
      </w:r>
      <w:r>
        <w:rPr>
          <w:color w:val="231F20"/>
          <w:spacing w:val="-2"/>
        </w:rPr>
        <w:t>темы</w:t>
      </w:r>
      <w:r>
        <w:rPr>
          <w:color w:val="231F20"/>
          <w:spacing w:val="-4"/>
        </w:rPr>
        <w:t> </w:t>
      </w:r>
      <w:r>
        <w:rPr>
          <w:color w:val="231F20"/>
          <w:spacing w:val="-2"/>
        </w:rPr>
        <w:t>труд- </w:t>
      </w:r>
      <w:r>
        <w:rPr>
          <w:color w:val="231F20"/>
        </w:rPr>
        <w:t>ных</w:t>
      </w:r>
      <w:r>
        <w:rPr>
          <w:color w:val="231F20"/>
          <w:spacing w:val="-10"/>
        </w:rPr>
        <w:t> </w:t>
      </w:r>
      <w:r>
        <w:rPr>
          <w:color w:val="231F20"/>
        </w:rPr>
        <w:t>педагогических</w:t>
      </w:r>
      <w:r>
        <w:rPr>
          <w:color w:val="231F20"/>
          <w:spacing w:val="-10"/>
        </w:rPr>
        <w:t> </w:t>
      </w:r>
      <w:r>
        <w:rPr>
          <w:color w:val="231F20"/>
        </w:rPr>
        <w:t>ситуаций</w:t>
      </w:r>
      <w:r>
        <w:rPr>
          <w:color w:val="231F20"/>
          <w:spacing w:val="-10"/>
        </w:rPr>
        <w:t> </w:t>
      </w:r>
      <w:r>
        <w:rPr>
          <w:color w:val="231F20"/>
        </w:rPr>
        <w:t>в</w:t>
      </w:r>
      <w:r>
        <w:rPr>
          <w:color w:val="231F20"/>
          <w:spacing w:val="-10"/>
        </w:rPr>
        <w:t> </w:t>
      </w:r>
      <w:r>
        <w:rPr>
          <w:color w:val="231F20"/>
        </w:rPr>
        <w:t>контексте</w:t>
      </w:r>
      <w:r>
        <w:rPr>
          <w:color w:val="231F20"/>
          <w:spacing w:val="-10"/>
        </w:rPr>
        <w:t> </w:t>
      </w:r>
      <w:r>
        <w:rPr>
          <w:color w:val="231F20"/>
        </w:rPr>
        <w:t>обучения</w:t>
      </w:r>
      <w:r>
        <w:rPr>
          <w:color w:val="231F20"/>
          <w:spacing w:val="-10"/>
        </w:rPr>
        <w:t> </w:t>
      </w:r>
      <w:r>
        <w:rPr>
          <w:color w:val="231F20"/>
        </w:rPr>
        <w:t>инокультурных</w:t>
      </w:r>
      <w:r>
        <w:rPr>
          <w:color w:val="231F20"/>
          <w:spacing w:val="-10"/>
        </w:rPr>
        <w:t> </w:t>
      </w:r>
      <w:r>
        <w:rPr>
          <w:color w:val="231F20"/>
        </w:rPr>
        <w:t>учеников</w:t>
      </w:r>
      <w:r>
        <w:rPr>
          <w:color w:val="231F20"/>
          <w:spacing w:val="-10"/>
        </w:rPr>
        <w:t> </w:t>
      </w:r>
      <w:r>
        <w:rPr>
          <w:color w:val="231F20"/>
        </w:rPr>
        <w:t>можно предложить «аквариумный диалог»: текст диалога может быть любым.</w:t>
      </w:r>
    </w:p>
    <w:p>
      <w:pPr>
        <w:pStyle w:val="BodyText"/>
        <w:spacing w:line="232" w:lineRule="auto"/>
      </w:pPr>
      <w:r>
        <w:rPr>
          <w:color w:val="231F20"/>
        </w:rPr>
        <w:t>Например, типичная для учителей трудность взаимодействия с родителями ино- культурных</w:t>
      </w:r>
      <w:r>
        <w:rPr>
          <w:color w:val="231F20"/>
          <w:spacing w:val="-7"/>
        </w:rPr>
        <w:t> </w:t>
      </w:r>
      <w:r>
        <w:rPr>
          <w:color w:val="231F20"/>
        </w:rPr>
        <w:t>учеников.</w:t>
      </w:r>
      <w:r>
        <w:rPr>
          <w:color w:val="231F20"/>
          <w:spacing w:val="-7"/>
        </w:rPr>
        <w:t> </w:t>
      </w:r>
      <w:r>
        <w:rPr>
          <w:color w:val="231F20"/>
        </w:rPr>
        <w:t>Задача</w:t>
      </w:r>
      <w:r>
        <w:rPr>
          <w:color w:val="231F20"/>
          <w:spacing w:val="-7"/>
        </w:rPr>
        <w:t> </w:t>
      </w:r>
      <w:r>
        <w:rPr>
          <w:color w:val="231F20"/>
        </w:rPr>
        <w:t>актеров</w:t>
      </w:r>
      <w:r>
        <w:rPr>
          <w:color w:val="231F20"/>
          <w:spacing w:val="-7"/>
        </w:rPr>
        <w:t> </w:t>
      </w:r>
      <w:r>
        <w:rPr>
          <w:color w:val="231F20"/>
        </w:rPr>
        <w:t>–</w:t>
      </w:r>
      <w:r>
        <w:rPr>
          <w:color w:val="231F20"/>
          <w:spacing w:val="-7"/>
        </w:rPr>
        <w:t> </w:t>
      </w:r>
      <w:r>
        <w:rPr>
          <w:color w:val="231F20"/>
        </w:rPr>
        <w:t>передать</w:t>
      </w:r>
      <w:r>
        <w:rPr>
          <w:color w:val="231F20"/>
          <w:spacing w:val="-7"/>
        </w:rPr>
        <w:t> </w:t>
      </w:r>
      <w:r>
        <w:rPr>
          <w:color w:val="231F20"/>
        </w:rPr>
        <w:t>соответствующие</w:t>
      </w:r>
      <w:r>
        <w:rPr>
          <w:color w:val="231F20"/>
          <w:spacing w:val="-7"/>
        </w:rPr>
        <w:t> </w:t>
      </w:r>
      <w:r>
        <w:rPr>
          <w:color w:val="231F20"/>
        </w:rPr>
        <w:t>черты,</w:t>
      </w:r>
      <w:r>
        <w:rPr>
          <w:color w:val="231F20"/>
          <w:spacing w:val="-7"/>
        </w:rPr>
        <w:t> </w:t>
      </w:r>
      <w:r>
        <w:rPr>
          <w:color w:val="231F20"/>
        </w:rPr>
        <w:t>особенно- сти этой трудности, ее типичное проявление, а задача зрителей – определить, какие ошибки в коммуникации допускает учитель и как эти ошибки можно исправить.</w:t>
      </w:r>
    </w:p>
    <w:p>
      <w:pPr>
        <w:pStyle w:val="BodyText"/>
        <w:spacing w:after="0" w:line="232" w:lineRule="auto"/>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spacing w:before="109"/>
        <w:ind w:left="425" w:right="0" w:firstLine="0"/>
        <w:jc w:val="left"/>
        <w:rPr>
          <w:b/>
          <w:i/>
          <w:sz w:val="20"/>
        </w:rPr>
      </w:pPr>
      <w:r>
        <w:rPr>
          <w:b/>
          <w:i/>
          <w:color w:val="231F20"/>
          <w:sz w:val="20"/>
        </w:rPr>
        <w:t>Ментальная</w:t>
      </w:r>
      <w:r>
        <w:rPr>
          <w:b/>
          <w:i/>
          <w:color w:val="231F20"/>
          <w:spacing w:val="-12"/>
          <w:sz w:val="20"/>
        </w:rPr>
        <w:t> </w:t>
      </w:r>
      <w:r>
        <w:rPr>
          <w:b/>
          <w:i/>
          <w:color w:val="231F20"/>
          <w:spacing w:val="-2"/>
          <w:sz w:val="20"/>
        </w:rPr>
        <w:t>карта</w:t>
      </w:r>
    </w:p>
    <w:p>
      <w:pPr>
        <w:pStyle w:val="BodyText"/>
        <w:spacing w:line="235" w:lineRule="auto"/>
      </w:pPr>
      <w:r>
        <w:rPr>
          <w:color w:val="231F20"/>
        </w:rPr>
        <w:t>Такие</w:t>
      </w:r>
      <w:r>
        <w:rPr>
          <w:color w:val="231F20"/>
          <w:spacing w:val="-1"/>
        </w:rPr>
        <w:t> </w:t>
      </w:r>
      <w:r>
        <w:rPr>
          <w:color w:val="231F20"/>
        </w:rPr>
        <w:t>карты</w:t>
      </w:r>
      <w:r>
        <w:rPr>
          <w:color w:val="231F20"/>
          <w:spacing w:val="-1"/>
        </w:rPr>
        <w:t> </w:t>
      </w:r>
      <w:r>
        <w:rPr>
          <w:color w:val="231F20"/>
        </w:rPr>
        <w:t>представляют</w:t>
      </w:r>
      <w:r>
        <w:rPr>
          <w:color w:val="231F20"/>
          <w:spacing w:val="-1"/>
        </w:rPr>
        <w:t> </w:t>
      </w:r>
      <w:r>
        <w:rPr>
          <w:color w:val="231F20"/>
        </w:rPr>
        <w:t>собой</w:t>
      </w:r>
      <w:r>
        <w:rPr>
          <w:color w:val="231F20"/>
          <w:spacing w:val="-1"/>
        </w:rPr>
        <w:t> </w:t>
      </w:r>
      <w:r>
        <w:rPr>
          <w:color w:val="231F20"/>
        </w:rPr>
        <w:t>диаграммы,</w:t>
      </w:r>
      <w:r>
        <w:rPr>
          <w:color w:val="231F20"/>
          <w:spacing w:val="-1"/>
        </w:rPr>
        <w:t> </w:t>
      </w:r>
      <w:r>
        <w:rPr>
          <w:color w:val="231F20"/>
        </w:rPr>
        <w:t>схемы,</w:t>
      </w:r>
      <w:r>
        <w:rPr>
          <w:color w:val="231F20"/>
          <w:spacing w:val="-1"/>
        </w:rPr>
        <w:t> </w:t>
      </w:r>
      <w:r>
        <w:rPr>
          <w:color w:val="231F20"/>
        </w:rPr>
        <w:t>в</w:t>
      </w:r>
      <w:r>
        <w:rPr>
          <w:color w:val="231F20"/>
          <w:spacing w:val="-1"/>
        </w:rPr>
        <w:t> </w:t>
      </w:r>
      <w:r>
        <w:rPr>
          <w:color w:val="231F20"/>
        </w:rPr>
        <w:t>наглядном</w:t>
      </w:r>
      <w:r>
        <w:rPr>
          <w:color w:val="231F20"/>
          <w:spacing w:val="-1"/>
        </w:rPr>
        <w:t> </w:t>
      </w:r>
      <w:r>
        <w:rPr>
          <w:color w:val="231F20"/>
        </w:rPr>
        <w:t>виде</w:t>
      </w:r>
      <w:r>
        <w:rPr>
          <w:color w:val="231F20"/>
          <w:spacing w:val="-1"/>
        </w:rPr>
        <w:t> </w:t>
      </w:r>
      <w:r>
        <w:rPr>
          <w:color w:val="231F20"/>
        </w:rPr>
        <w:t>представ- ляющие различные идеи, задачи, тезисы, связанные друг с другом и объединенные какой-то общей проблемой. Карта позволяет охватить всю ситуацию в целом, а так- же удерживать одновременно в сознании большое количество информации, чтобы находить связи между отдельными участками, недостающие элементы, запоминать информацию</w:t>
      </w:r>
      <w:r>
        <w:rPr>
          <w:color w:val="231F20"/>
          <w:spacing w:val="-7"/>
        </w:rPr>
        <w:t> </w:t>
      </w:r>
      <w:r>
        <w:rPr>
          <w:color w:val="231F20"/>
        </w:rPr>
        <w:t>и</w:t>
      </w:r>
      <w:r>
        <w:rPr>
          <w:color w:val="231F20"/>
          <w:spacing w:val="-7"/>
        </w:rPr>
        <w:t> </w:t>
      </w:r>
      <w:r>
        <w:rPr>
          <w:color w:val="231F20"/>
        </w:rPr>
        <w:t>быть</w:t>
      </w:r>
      <w:r>
        <w:rPr>
          <w:color w:val="231F20"/>
          <w:spacing w:val="-7"/>
        </w:rPr>
        <w:t> </w:t>
      </w:r>
      <w:r>
        <w:rPr>
          <w:color w:val="231F20"/>
        </w:rPr>
        <w:t>способным</w:t>
      </w:r>
      <w:r>
        <w:rPr>
          <w:color w:val="231F20"/>
          <w:spacing w:val="-7"/>
        </w:rPr>
        <w:t> </w:t>
      </w:r>
      <w:r>
        <w:rPr>
          <w:color w:val="231F20"/>
        </w:rPr>
        <w:t>воспроизвести</w:t>
      </w:r>
      <w:r>
        <w:rPr>
          <w:color w:val="231F20"/>
          <w:spacing w:val="-7"/>
        </w:rPr>
        <w:t> </w:t>
      </w:r>
      <w:r>
        <w:rPr>
          <w:color w:val="231F20"/>
        </w:rPr>
        <w:t>ее</w:t>
      </w:r>
      <w:r>
        <w:rPr>
          <w:color w:val="231F20"/>
          <w:spacing w:val="-7"/>
        </w:rPr>
        <w:t> </w:t>
      </w:r>
      <w:r>
        <w:rPr>
          <w:color w:val="231F20"/>
        </w:rPr>
        <w:t>даже</w:t>
      </w:r>
      <w:r>
        <w:rPr>
          <w:color w:val="231F20"/>
          <w:spacing w:val="-7"/>
        </w:rPr>
        <w:t> </w:t>
      </w:r>
      <w:r>
        <w:rPr>
          <w:color w:val="231F20"/>
        </w:rPr>
        <w:t>спустя</w:t>
      </w:r>
      <w:r>
        <w:rPr>
          <w:color w:val="231F20"/>
          <w:spacing w:val="-7"/>
        </w:rPr>
        <w:t> </w:t>
      </w:r>
      <w:r>
        <w:rPr>
          <w:color w:val="231F20"/>
        </w:rPr>
        <w:t>долгое</w:t>
      </w:r>
      <w:r>
        <w:rPr>
          <w:color w:val="231F20"/>
          <w:spacing w:val="-7"/>
        </w:rPr>
        <w:t> </w:t>
      </w:r>
      <w:r>
        <w:rPr>
          <w:color w:val="231F20"/>
        </w:rPr>
        <w:t>время.</w:t>
      </w:r>
      <w:r>
        <w:rPr>
          <w:color w:val="231F20"/>
          <w:spacing w:val="-7"/>
        </w:rPr>
        <w:t> </w:t>
      </w:r>
      <w:r>
        <w:rPr>
          <w:color w:val="231F20"/>
        </w:rPr>
        <w:t>Пример составления ментальной карты по теме «Восприятие культурных различий как про- блемы» можно видеть на рисунке.</w:t>
      </w:r>
    </w:p>
    <w:p>
      <w:pPr>
        <w:pStyle w:val="BodyText"/>
        <w:spacing w:before="1"/>
        <w:ind w:left="0" w:right="0" w:firstLine="0"/>
        <w:jc w:val="left"/>
        <w:rPr>
          <w:sz w:val="14"/>
        </w:rPr>
      </w:pPr>
      <w:r>
        <w:rPr>
          <w:sz w:val="14"/>
        </w:rPr>
        <w:drawing>
          <wp:anchor distT="0" distB="0" distL="0" distR="0" allowOverlap="1" layoutInCell="1" locked="0" behindDoc="1" simplePos="0" relativeHeight="487637504">
            <wp:simplePos x="0" y="0"/>
            <wp:positionH relativeFrom="page">
              <wp:posOffset>602284</wp:posOffset>
            </wp:positionH>
            <wp:positionV relativeFrom="paragraph">
              <wp:posOffset>118641</wp:posOffset>
            </wp:positionV>
            <wp:extent cx="3678217" cy="2261616"/>
            <wp:effectExtent l="0" t="0" r="0" b="0"/>
            <wp:wrapTopAndBottom/>
            <wp:docPr id="152" name="Image 152"/>
            <wp:cNvGraphicFramePr>
              <a:graphicFrameLocks/>
            </wp:cNvGraphicFramePr>
            <a:graphic>
              <a:graphicData uri="http://schemas.openxmlformats.org/drawingml/2006/picture">
                <pic:pic>
                  <pic:nvPicPr>
                    <pic:cNvPr id="152" name="Image 152"/>
                    <pic:cNvPicPr/>
                  </pic:nvPicPr>
                  <pic:blipFill>
                    <a:blip r:embed="rId219" cstate="print"/>
                    <a:stretch>
                      <a:fillRect/>
                    </a:stretch>
                  </pic:blipFill>
                  <pic:spPr>
                    <a:xfrm>
                      <a:off x="0" y="0"/>
                      <a:ext cx="3678217" cy="2261616"/>
                    </a:xfrm>
                    <a:prstGeom prst="rect">
                      <a:avLst/>
                    </a:prstGeom>
                  </pic:spPr>
                </pic:pic>
              </a:graphicData>
            </a:graphic>
          </wp:anchor>
        </w:drawing>
      </w:r>
    </w:p>
    <w:p>
      <w:pPr>
        <w:pStyle w:val="BodyText"/>
        <w:spacing w:before="90"/>
        <w:ind w:left="0" w:right="0" w:firstLine="0"/>
        <w:jc w:val="left"/>
      </w:pPr>
    </w:p>
    <w:p>
      <w:pPr>
        <w:spacing w:before="0"/>
        <w:ind w:left="303" w:right="303" w:firstLine="0"/>
        <w:jc w:val="center"/>
        <w:rPr>
          <w:i/>
          <w:sz w:val="20"/>
        </w:rPr>
      </w:pPr>
      <w:r>
        <w:rPr>
          <w:i/>
          <w:color w:val="231F20"/>
          <w:sz w:val="20"/>
        </w:rPr>
        <w:t>Рис.</w:t>
      </w:r>
      <w:r>
        <w:rPr>
          <w:i/>
          <w:color w:val="231F20"/>
          <w:spacing w:val="-1"/>
          <w:sz w:val="20"/>
        </w:rPr>
        <w:t> </w:t>
      </w:r>
      <w:r>
        <w:rPr>
          <w:i/>
          <w:color w:val="231F20"/>
          <w:sz w:val="20"/>
        </w:rPr>
        <w:t>Пример ментальной </w:t>
      </w:r>
      <w:r>
        <w:rPr>
          <w:i/>
          <w:color w:val="231F20"/>
          <w:spacing w:val="-4"/>
          <w:sz w:val="20"/>
        </w:rPr>
        <w:t>карты</w:t>
      </w:r>
    </w:p>
    <w:p>
      <w:pPr>
        <w:spacing w:line="228" w:lineRule="exact" w:before="222"/>
        <w:ind w:left="425" w:right="0" w:firstLine="0"/>
        <w:jc w:val="both"/>
        <w:rPr>
          <w:b/>
          <w:i/>
          <w:sz w:val="20"/>
        </w:rPr>
      </w:pPr>
      <w:r>
        <w:rPr>
          <w:b/>
          <w:i/>
          <w:color w:val="231F20"/>
          <w:sz w:val="20"/>
        </w:rPr>
        <w:t>Рыбья</w:t>
      </w:r>
      <w:r>
        <w:rPr>
          <w:b/>
          <w:i/>
          <w:color w:val="231F20"/>
          <w:spacing w:val="-5"/>
          <w:sz w:val="20"/>
        </w:rPr>
        <w:t> </w:t>
      </w:r>
      <w:r>
        <w:rPr>
          <w:b/>
          <w:i/>
          <w:color w:val="231F20"/>
          <w:spacing w:val="-2"/>
          <w:sz w:val="20"/>
        </w:rPr>
        <w:t>кость</w:t>
      </w:r>
    </w:p>
    <w:p>
      <w:pPr>
        <w:pStyle w:val="BodyText"/>
        <w:spacing w:line="226" w:lineRule="exact"/>
        <w:ind w:left="425" w:right="0" w:firstLine="0"/>
      </w:pPr>
      <w:r>
        <w:rPr>
          <w:color w:val="231F20"/>
        </w:rPr>
        <w:t>Технология</w:t>
      </w:r>
      <w:r>
        <w:rPr>
          <w:color w:val="231F20"/>
          <w:spacing w:val="14"/>
        </w:rPr>
        <w:t> </w:t>
      </w:r>
      <w:r>
        <w:rPr>
          <w:color w:val="231F20"/>
        </w:rPr>
        <w:t>«Рыбья</w:t>
      </w:r>
      <w:r>
        <w:rPr>
          <w:color w:val="231F20"/>
          <w:spacing w:val="15"/>
        </w:rPr>
        <w:t> </w:t>
      </w:r>
      <w:r>
        <w:rPr>
          <w:color w:val="231F20"/>
        </w:rPr>
        <w:t>кость»</w:t>
      </w:r>
      <w:r>
        <w:rPr>
          <w:color w:val="231F20"/>
          <w:spacing w:val="15"/>
        </w:rPr>
        <w:t> </w:t>
      </w:r>
      <w:r>
        <w:rPr>
          <w:color w:val="231F20"/>
        </w:rPr>
        <w:t>(Fishbone),</w:t>
      </w:r>
      <w:r>
        <w:rPr>
          <w:color w:val="231F20"/>
          <w:spacing w:val="15"/>
        </w:rPr>
        <w:t> </w:t>
      </w:r>
      <w:r>
        <w:rPr>
          <w:color w:val="231F20"/>
        </w:rPr>
        <w:t>является</w:t>
      </w:r>
      <w:r>
        <w:rPr>
          <w:color w:val="231F20"/>
          <w:spacing w:val="15"/>
        </w:rPr>
        <w:t> </w:t>
      </w:r>
      <w:r>
        <w:rPr>
          <w:color w:val="231F20"/>
        </w:rPr>
        <w:t>вариантом</w:t>
      </w:r>
      <w:r>
        <w:rPr>
          <w:color w:val="231F20"/>
          <w:spacing w:val="15"/>
        </w:rPr>
        <w:t> </w:t>
      </w:r>
      <w:r>
        <w:rPr>
          <w:color w:val="231F20"/>
        </w:rPr>
        <w:t>ментальной</w:t>
      </w:r>
      <w:r>
        <w:rPr>
          <w:color w:val="231F20"/>
          <w:spacing w:val="15"/>
        </w:rPr>
        <w:t> </w:t>
      </w:r>
      <w:r>
        <w:rPr>
          <w:color w:val="231F20"/>
        </w:rPr>
        <w:t>карты.</w:t>
      </w:r>
      <w:r>
        <w:rPr>
          <w:color w:val="231F20"/>
          <w:spacing w:val="15"/>
        </w:rPr>
        <w:t> </w:t>
      </w:r>
      <w:r>
        <w:rPr>
          <w:color w:val="231F20"/>
          <w:spacing w:val="-10"/>
        </w:rPr>
        <w:t>В</w:t>
      </w:r>
    </w:p>
    <w:p>
      <w:pPr>
        <w:pStyle w:val="BodyText"/>
        <w:spacing w:line="235" w:lineRule="auto" w:before="2"/>
        <w:ind w:firstLine="0"/>
      </w:pPr>
      <w:r>
        <w:rPr>
          <w:color w:val="231F20"/>
        </w:rPr>
        <w:t>«голове»</w:t>
      </w:r>
      <w:r>
        <w:rPr>
          <w:color w:val="231F20"/>
          <w:spacing w:val="-10"/>
        </w:rPr>
        <w:t> </w:t>
      </w:r>
      <w:r>
        <w:rPr>
          <w:color w:val="231F20"/>
        </w:rPr>
        <w:t>рыбьего</w:t>
      </w:r>
      <w:r>
        <w:rPr>
          <w:color w:val="231F20"/>
          <w:spacing w:val="-10"/>
        </w:rPr>
        <w:t> </w:t>
      </w:r>
      <w:r>
        <w:rPr>
          <w:color w:val="231F20"/>
        </w:rPr>
        <w:t>скелета</w:t>
      </w:r>
      <w:r>
        <w:rPr>
          <w:color w:val="231F20"/>
          <w:spacing w:val="-10"/>
        </w:rPr>
        <w:t> </w:t>
      </w:r>
      <w:r>
        <w:rPr>
          <w:color w:val="231F20"/>
        </w:rPr>
        <w:t>обозначена</w:t>
      </w:r>
      <w:r>
        <w:rPr>
          <w:color w:val="231F20"/>
          <w:spacing w:val="-10"/>
        </w:rPr>
        <w:t> </w:t>
      </w:r>
      <w:r>
        <w:rPr>
          <w:color w:val="231F20"/>
        </w:rPr>
        <w:t>проблема,</w:t>
      </w:r>
      <w:r>
        <w:rPr>
          <w:color w:val="231F20"/>
          <w:spacing w:val="-10"/>
        </w:rPr>
        <w:t> </w:t>
      </w:r>
      <w:r>
        <w:rPr>
          <w:color w:val="231F20"/>
        </w:rPr>
        <w:t>которая</w:t>
      </w:r>
      <w:r>
        <w:rPr>
          <w:color w:val="231F20"/>
          <w:spacing w:val="-10"/>
        </w:rPr>
        <w:t> </w:t>
      </w:r>
      <w:r>
        <w:rPr>
          <w:color w:val="231F20"/>
        </w:rPr>
        <w:t>рассматривается</w:t>
      </w:r>
      <w:r>
        <w:rPr>
          <w:color w:val="231F20"/>
          <w:spacing w:val="-10"/>
        </w:rPr>
        <w:t> </w:t>
      </w:r>
      <w:r>
        <w:rPr>
          <w:color w:val="231F20"/>
        </w:rPr>
        <w:t>на</w:t>
      </w:r>
      <w:r>
        <w:rPr>
          <w:color w:val="231F20"/>
          <w:spacing w:val="-9"/>
        </w:rPr>
        <w:t> </w:t>
      </w:r>
      <w:r>
        <w:rPr>
          <w:color w:val="231F20"/>
        </w:rPr>
        <w:t>встрече. На самом скелете есть верхние и нижние «ребра». На верхних участники отмечают причины</w:t>
      </w:r>
      <w:r>
        <w:rPr>
          <w:color w:val="231F20"/>
          <w:spacing w:val="-7"/>
        </w:rPr>
        <w:t> </w:t>
      </w:r>
      <w:r>
        <w:rPr>
          <w:color w:val="231F20"/>
        </w:rPr>
        <w:t>возникновения</w:t>
      </w:r>
      <w:r>
        <w:rPr>
          <w:color w:val="231F20"/>
          <w:spacing w:val="-7"/>
        </w:rPr>
        <w:t> </w:t>
      </w:r>
      <w:r>
        <w:rPr>
          <w:color w:val="231F20"/>
        </w:rPr>
        <w:t>изучаемой</w:t>
      </w:r>
      <w:r>
        <w:rPr>
          <w:color w:val="231F20"/>
          <w:spacing w:val="-7"/>
        </w:rPr>
        <w:t> </w:t>
      </w:r>
      <w:r>
        <w:rPr>
          <w:color w:val="231F20"/>
        </w:rPr>
        <w:t>проблемы.</w:t>
      </w:r>
      <w:r>
        <w:rPr>
          <w:color w:val="231F20"/>
          <w:spacing w:val="-7"/>
        </w:rPr>
        <w:t> </w:t>
      </w:r>
      <w:r>
        <w:rPr>
          <w:color w:val="231F20"/>
        </w:rPr>
        <w:t>На</w:t>
      </w:r>
      <w:r>
        <w:rPr>
          <w:color w:val="231F20"/>
          <w:spacing w:val="-7"/>
        </w:rPr>
        <w:t> </w:t>
      </w:r>
      <w:r>
        <w:rPr>
          <w:color w:val="231F20"/>
        </w:rPr>
        <w:t>нижних</w:t>
      </w:r>
      <w:r>
        <w:rPr>
          <w:color w:val="231F20"/>
          <w:spacing w:val="-7"/>
        </w:rPr>
        <w:t> </w:t>
      </w:r>
      <w:r>
        <w:rPr>
          <w:color w:val="231F20"/>
        </w:rPr>
        <w:t>участники</w:t>
      </w:r>
      <w:r>
        <w:rPr>
          <w:color w:val="231F20"/>
          <w:spacing w:val="-7"/>
        </w:rPr>
        <w:t> </w:t>
      </w:r>
      <w:r>
        <w:rPr>
          <w:color w:val="231F20"/>
        </w:rPr>
        <w:t>по</w:t>
      </w:r>
      <w:r>
        <w:rPr>
          <w:color w:val="231F20"/>
          <w:spacing w:val="-7"/>
        </w:rPr>
        <w:t> </w:t>
      </w:r>
      <w:r>
        <w:rPr>
          <w:color w:val="231F20"/>
        </w:rPr>
        <w:t>ходу</w:t>
      </w:r>
      <w:r>
        <w:rPr>
          <w:color w:val="231F20"/>
          <w:spacing w:val="-7"/>
        </w:rPr>
        <w:t> </w:t>
      </w:r>
      <w:r>
        <w:rPr>
          <w:color w:val="231F20"/>
        </w:rPr>
        <w:t>обсуж- дения записывают факты, отражающие суть проблемы. Факт придает проблеме яс- ность и реальные очертания, позволяет говорить не об абстрактном, а о конкретном решении проблемы (см. рис. на стр. 66).</w:t>
      </w:r>
    </w:p>
    <w:p>
      <w:pPr>
        <w:pStyle w:val="BodyText"/>
        <w:spacing w:after="0" w:line="235" w:lineRule="auto"/>
        <w:sectPr>
          <w:pgSz w:w="8400" w:h="11910"/>
          <w:pgMar w:header="0" w:footer="529" w:top="400" w:bottom="740" w:left="425" w:right="425"/>
        </w:sectPr>
      </w:pPr>
    </w:p>
    <w:p>
      <w:pPr>
        <w:pStyle w:val="ListParagraph"/>
        <w:numPr>
          <w:ilvl w:val="1"/>
          <w:numId w:val="237"/>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Интерактивные</w:t>
      </w:r>
      <w:r>
        <w:rPr>
          <w:rFonts w:ascii="Georgia" w:hAnsi="Georgia"/>
          <w:color w:val="231F20"/>
          <w:spacing w:val="4"/>
          <w:sz w:val="18"/>
        </w:rPr>
        <w:t> </w:t>
      </w:r>
      <w:r>
        <w:rPr>
          <w:rFonts w:ascii="Georgia" w:hAnsi="Georgia"/>
          <w:color w:val="231F20"/>
          <w:sz w:val="18"/>
        </w:rPr>
        <w:t>технологии</w:t>
      </w:r>
      <w:r>
        <w:rPr>
          <w:rFonts w:ascii="Georgia" w:hAnsi="Georgia"/>
          <w:color w:val="231F20"/>
          <w:spacing w:val="4"/>
          <w:sz w:val="18"/>
        </w:rPr>
        <w:t> </w:t>
      </w:r>
      <w:r>
        <w:rPr>
          <w:rFonts w:ascii="Georgia" w:hAnsi="Georgia"/>
          <w:color w:val="231F20"/>
          <w:sz w:val="18"/>
        </w:rPr>
        <w:t>развития</w:t>
      </w:r>
      <w:r>
        <w:rPr>
          <w:rFonts w:ascii="Georgia" w:hAnsi="Georgia"/>
          <w:color w:val="231F20"/>
          <w:spacing w:val="4"/>
          <w:sz w:val="18"/>
        </w:rPr>
        <w:t> </w:t>
      </w:r>
      <w:r>
        <w:rPr>
          <w:rFonts w:ascii="Georgia" w:hAnsi="Georgia"/>
          <w:color w:val="231F20"/>
          <w:sz w:val="18"/>
        </w:rPr>
        <w:t>межкультурной</w:t>
      </w:r>
      <w:r>
        <w:rPr>
          <w:rFonts w:ascii="Georgia" w:hAnsi="Georgia"/>
          <w:color w:val="231F20"/>
          <w:spacing w:val="4"/>
          <w:sz w:val="18"/>
        </w:rPr>
        <w:t> </w:t>
      </w:r>
      <w:r>
        <w:rPr>
          <w:rFonts w:ascii="Georgia" w:hAnsi="Georgia"/>
          <w:color w:val="231F20"/>
          <w:sz w:val="18"/>
        </w:rPr>
        <w:t>компетентности</w:t>
      </w:r>
      <w:r>
        <w:rPr>
          <w:rFonts w:ascii="Georgia" w:hAnsi="Georgia"/>
          <w:color w:val="231F20"/>
          <w:spacing w:val="4"/>
          <w:sz w:val="18"/>
        </w:rPr>
        <w:t> </w:t>
      </w:r>
      <w:r>
        <w:rPr>
          <w:rFonts w:ascii="Georgia" w:hAnsi="Georgia"/>
          <w:color w:val="231F20"/>
          <w:spacing w:val="-2"/>
          <w:sz w:val="18"/>
        </w:rPr>
        <w:t>педагогов</w:t>
      </w:r>
    </w:p>
    <w:p>
      <w:pPr>
        <w:pStyle w:val="BodyText"/>
        <w:ind w:left="0" w:right="0" w:firstLine="0"/>
        <w:jc w:val="left"/>
        <w:rPr>
          <w:rFonts w:ascii="Georgia"/>
          <w:sz w:val="12"/>
        </w:rPr>
      </w:pPr>
      <w:r>
        <w:rPr>
          <w:rFonts w:ascii="Georgia"/>
          <w:sz w:val="12"/>
        </w:rPr>
        <w:drawing>
          <wp:anchor distT="0" distB="0" distL="0" distR="0" allowOverlap="1" layoutInCell="1" locked="0" behindDoc="1" simplePos="0" relativeHeight="487638016">
            <wp:simplePos x="0" y="0"/>
            <wp:positionH relativeFrom="page">
              <wp:posOffset>1075723</wp:posOffset>
            </wp:positionH>
            <wp:positionV relativeFrom="paragraph">
              <wp:posOffset>101840</wp:posOffset>
            </wp:positionV>
            <wp:extent cx="3191982" cy="1781175"/>
            <wp:effectExtent l="0" t="0" r="0" b="0"/>
            <wp:wrapTopAndBottom/>
            <wp:docPr id="153" name="Image 153"/>
            <wp:cNvGraphicFramePr>
              <a:graphicFrameLocks/>
            </wp:cNvGraphicFramePr>
            <a:graphic>
              <a:graphicData uri="http://schemas.openxmlformats.org/drawingml/2006/picture">
                <pic:pic>
                  <pic:nvPicPr>
                    <pic:cNvPr id="153" name="Image 153"/>
                    <pic:cNvPicPr/>
                  </pic:nvPicPr>
                  <pic:blipFill>
                    <a:blip r:embed="rId220" cstate="print"/>
                    <a:stretch>
                      <a:fillRect/>
                    </a:stretch>
                  </pic:blipFill>
                  <pic:spPr>
                    <a:xfrm>
                      <a:off x="0" y="0"/>
                      <a:ext cx="3191982" cy="1781175"/>
                    </a:xfrm>
                    <a:prstGeom prst="rect">
                      <a:avLst/>
                    </a:prstGeom>
                  </pic:spPr>
                </pic:pic>
              </a:graphicData>
            </a:graphic>
          </wp:anchor>
        </w:drawing>
      </w:r>
    </w:p>
    <w:p>
      <w:pPr>
        <w:pStyle w:val="BodyText"/>
        <w:spacing w:before="147"/>
        <w:ind w:left="0" w:right="0" w:firstLine="0"/>
        <w:jc w:val="left"/>
        <w:rPr>
          <w:rFonts w:ascii="Georgia"/>
          <w:sz w:val="18"/>
        </w:rPr>
      </w:pPr>
    </w:p>
    <w:p>
      <w:pPr>
        <w:spacing w:before="0"/>
        <w:ind w:left="303" w:right="303" w:firstLine="0"/>
        <w:jc w:val="center"/>
        <w:rPr>
          <w:i/>
          <w:sz w:val="20"/>
        </w:rPr>
      </w:pPr>
      <w:r>
        <w:rPr>
          <w:i/>
          <w:color w:val="231F20"/>
          <w:sz w:val="20"/>
        </w:rPr>
        <w:t>Рис.</w:t>
      </w:r>
      <w:r>
        <w:rPr>
          <w:i/>
          <w:color w:val="231F20"/>
          <w:spacing w:val="-2"/>
          <w:sz w:val="20"/>
        </w:rPr>
        <w:t> </w:t>
      </w:r>
      <w:r>
        <w:rPr>
          <w:i/>
          <w:color w:val="231F20"/>
          <w:sz w:val="20"/>
        </w:rPr>
        <w:t>Пример</w:t>
      </w:r>
      <w:r>
        <w:rPr>
          <w:i/>
          <w:color w:val="231F20"/>
          <w:spacing w:val="-1"/>
          <w:sz w:val="20"/>
        </w:rPr>
        <w:t> </w:t>
      </w:r>
      <w:r>
        <w:rPr>
          <w:i/>
          <w:color w:val="231F20"/>
          <w:sz w:val="20"/>
        </w:rPr>
        <w:t>технологии</w:t>
      </w:r>
      <w:r>
        <w:rPr>
          <w:i/>
          <w:color w:val="231F20"/>
          <w:spacing w:val="-2"/>
          <w:sz w:val="20"/>
        </w:rPr>
        <w:t> </w:t>
      </w:r>
      <w:r>
        <w:rPr>
          <w:i/>
          <w:color w:val="231F20"/>
          <w:sz w:val="20"/>
        </w:rPr>
        <w:t>«Рыбья</w:t>
      </w:r>
      <w:r>
        <w:rPr>
          <w:i/>
          <w:color w:val="231F20"/>
          <w:spacing w:val="-1"/>
          <w:sz w:val="20"/>
        </w:rPr>
        <w:t> </w:t>
      </w:r>
      <w:r>
        <w:rPr>
          <w:i/>
          <w:color w:val="231F20"/>
          <w:spacing w:val="-2"/>
          <w:sz w:val="20"/>
        </w:rPr>
        <w:t>кость»</w:t>
      </w:r>
    </w:p>
    <w:p>
      <w:pPr>
        <w:spacing w:line="228" w:lineRule="exact" w:before="116"/>
        <w:ind w:left="425" w:right="0" w:firstLine="0"/>
        <w:jc w:val="left"/>
        <w:rPr>
          <w:b/>
          <w:i/>
          <w:sz w:val="20"/>
        </w:rPr>
      </w:pPr>
      <w:r>
        <w:rPr>
          <w:b/>
          <w:i/>
          <w:color w:val="231F20"/>
          <w:spacing w:val="-2"/>
          <w:sz w:val="20"/>
        </w:rPr>
        <w:t>Броуновское</w:t>
      </w:r>
      <w:r>
        <w:rPr>
          <w:b/>
          <w:i/>
          <w:color w:val="231F20"/>
          <w:spacing w:val="7"/>
          <w:sz w:val="20"/>
        </w:rPr>
        <w:t> </w:t>
      </w:r>
      <w:r>
        <w:rPr>
          <w:b/>
          <w:i/>
          <w:color w:val="231F20"/>
          <w:spacing w:val="-2"/>
          <w:sz w:val="20"/>
        </w:rPr>
        <w:t>движение</w:t>
      </w:r>
    </w:p>
    <w:p>
      <w:pPr>
        <w:pStyle w:val="BodyText"/>
        <w:spacing w:line="235" w:lineRule="auto" w:before="2"/>
        <w:jc w:val="right"/>
      </w:pPr>
      <w:r>
        <w:rPr>
          <w:color w:val="231F20"/>
        </w:rPr>
        <w:t>Каждый</w:t>
      </w:r>
      <w:r>
        <w:rPr>
          <w:color w:val="231F20"/>
          <w:spacing w:val="-12"/>
        </w:rPr>
        <w:t> </w:t>
      </w:r>
      <w:r>
        <w:rPr>
          <w:color w:val="231F20"/>
        </w:rPr>
        <w:t>участник</w:t>
      </w:r>
      <w:r>
        <w:rPr>
          <w:color w:val="231F20"/>
          <w:spacing w:val="-12"/>
        </w:rPr>
        <w:t> </w:t>
      </w:r>
      <w:r>
        <w:rPr>
          <w:color w:val="231F20"/>
        </w:rPr>
        <w:t>получает</w:t>
      </w:r>
      <w:r>
        <w:rPr>
          <w:color w:val="231F20"/>
          <w:spacing w:val="-12"/>
        </w:rPr>
        <w:t> </w:t>
      </w:r>
      <w:r>
        <w:rPr>
          <w:color w:val="231F20"/>
        </w:rPr>
        <w:t>лист</w:t>
      </w:r>
      <w:r>
        <w:rPr>
          <w:color w:val="231F20"/>
          <w:spacing w:val="-12"/>
        </w:rPr>
        <w:t> </w:t>
      </w:r>
      <w:r>
        <w:rPr>
          <w:color w:val="231F20"/>
        </w:rPr>
        <w:t>с</w:t>
      </w:r>
      <w:r>
        <w:rPr>
          <w:color w:val="231F20"/>
          <w:spacing w:val="-12"/>
        </w:rPr>
        <w:t> </w:t>
      </w:r>
      <w:r>
        <w:rPr>
          <w:color w:val="231F20"/>
        </w:rPr>
        <w:t>перечнем</w:t>
      </w:r>
      <w:r>
        <w:rPr>
          <w:color w:val="231F20"/>
          <w:spacing w:val="-12"/>
        </w:rPr>
        <w:t> </w:t>
      </w:r>
      <w:r>
        <w:rPr>
          <w:color w:val="231F20"/>
        </w:rPr>
        <w:t>вопросов</w:t>
      </w:r>
      <w:r>
        <w:rPr>
          <w:color w:val="231F20"/>
          <w:spacing w:val="-12"/>
        </w:rPr>
        <w:t> </w:t>
      </w:r>
      <w:r>
        <w:rPr>
          <w:color w:val="231F20"/>
        </w:rPr>
        <w:t>и</w:t>
      </w:r>
      <w:r>
        <w:rPr>
          <w:color w:val="231F20"/>
          <w:spacing w:val="-12"/>
        </w:rPr>
        <w:t> </w:t>
      </w:r>
      <w:r>
        <w:rPr>
          <w:color w:val="231F20"/>
        </w:rPr>
        <w:t>заданий.</w:t>
      </w:r>
      <w:r>
        <w:rPr>
          <w:color w:val="231F20"/>
          <w:spacing w:val="-12"/>
        </w:rPr>
        <w:t> </w:t>
      </w:r>
      <w:r>
        <w:rPr>
          <w:color w:val="231F20"/>
        </w:rPr>
        <w:t>Участники</w:t>
      </w:r>
      <w:r>
        <w:rPr>
          <w:color w:val="231F20"/>
          <w:spacing w:val="-12"/>
        </w:rPr>
        <w:t> </w:t>
      </w:r>
      <w:r>
        <w:rPr>
          <w:color w:val="231F20"/>
        </w:rPr>
        <w:t>ходят по</w:t>
      </w:r>
      <w:r>
        <w:rPr>
          <w:color w:val="231F20"/>
          <w:spacing w:val="23"/>
        </w:rPr>
        <w:t> </w:t>
      </w:r>
      <w:r>
        <w:rPr>
          <w:color w:val="231F20"/>
        </w:rPr>
        <w:t>помещению,</w:t>
      </w:r>
      <w:r>
        <w:rPr>
          <w:color w:val="231F20"/>
          <w:spacing w:val="23"/>
        </w:rPr>
        <w:t> </w:t>
      </w:r>
      <w:r>
        <w:rPr>
          <w:color w:val="231F20"/>
        </w:rPr>
        <w:t>собирая</w:t>
      </w:r>
      <w:r>
        <w:rPr>
          <w:color w:val="231F20"/>
          <w:spacing w:val="23"/>
        </w:rPr>
        <w:t> </w:t>
      </w:r>
      <w:r>
        <w:rPr>
          <w:color w:val="231F20"/>
        </w:rPr>
        <w:t>информацию</w:t>
      </w:r>
      <w:r>
        <w:rPr>
          <w:color w:val="231F20"/>
          <w:spacing w:val="23"/>
        </w:rPr>
        <w:t> </w:t>
      </w:r>
      <w:r>
        <w:rPr>
          <w:color w:val="231F20"/>
        </w:rPr>
        <w:t>по</w:t>
      </w:r>
      <w:r>
        <w:rPr>
          <w:color w:val="231F20"/>
          <w:spacing w:val="23"/>
        </w:rPr>
        <w:t> </w:t>
      </w:r>
      <w:r>
        <w:rPr>
          <w:color w:val="231F20"/>
        </w:rPr>
        <w:t>предложенной</w:t>
      </w:r>
      <w:r>
        <w:rPr>
          <w:color w:val="231F20"/>
          <w:spacing w:val="23"/>
        </w:rPr>
        <w:t> </w:t>
      </w:r>
      <w:r>
        <w:rPr>
          <w:color w:val="231F20"/>
        </w:rPr>
        <w:t>теме.</w:t>
      </w:r>
      <w:r>
        <w:rPr>
          <w:color w:val="231F20"/>
          <w:spacing w:val="23"/>
        </w:rPr>
        <w:t> </w:t>
      </w:r>
      <w:r>
        <w:rPr>
          <w:color w:val="231F20"/>
        </w:rPr>
        <w:t>В</w:t>
      </w:r>
      <w:r>
        <w:rPr>
          <w:color w:val="231F20"/>
          <w:spacing w:val="23"/>
        </w:rPr>
        <w:t> </w:t>
      </w:r>
      <w:r>
        <w:rPr>
          <w:color w:val="231F20"/>
        </w:rPr>
        <w:t>качестве</w:t>
      </w:r>
      <w:r>
        <w:rPr>
          <w:color w:val="231F20"/>
          <w:spacing w:val="23"/>
        </w:rPr>
        <w:t> </w:t>
      </w:r>
      <w:r>
        <w:rPr>
          <w:color w:val="231F20"/>
        </w:rPr>
        <w:t>примера </w:t>
      </w:r>
      <w:r>
        <w:rPr>
          <w:color w:val="231F20"/>
          <w:spacing w:val="-2"/>
        </w:rPr>
        <w:t>рассмотрим тему: «Наиболее типичные трудности педагога поликультурного класса». </w:t>
      </w:r>
      <w:r>
        <w:rPr>
          <w:color w:val="231F20"/>
        </w:rPr>
        <w:t>Ведущий предлагает участникам проинтервьюировать друг друга по обозначен-</w:t>
      </w:r>
    </w:p>
    <w:p>
      <w:pPr>
        <w:pStyle w:val="BodyText"/>
        <w:spacing w:line="227" w:lineRule="exact"/>
        <w:ind w:right="0" w:firstLine="0"/>
        <w:jc w:val="left"/>
      </w:pPr>
      <w:r>
        <w:rPr>
          <w:color w:val="231F20"/>
        </w:rPr>
        <w:t>ной</w:t>
      </w:r>
      <w:r>
        <w:rPr>
          <w:color w:val="231F20"/>
          <w:spacing w:val="-6"/>
        </w:rPr>
        <w:t> </w:t>
      </w:r>
      <w:r>
        <w:rPr>
          <w:color w:val="231F20"/>
        </w:rPr>
        <w:t>теме,</w:t>
      </w:r>
      <w:r>
        <w:rPr>
          <w:color w:val="231F20"/>
          <w:spacing w:val="-4"/>
        </w:rPr>
        <w:t> </w:t>
      </w:r>
      <w:r>
        <w:rPr>
          <w:color w:val="231F20"/>
        </w:rPr>
        <w:t>предложив</w:t>
      </w:r>
      <w:r>
        <w:rPr>
          <w:color w:val="231F20"/>
          <w:spacing w:val="-5"/>
        </w:rPr>
        <w:t> </w:t>
      </w:r>
      <w:r>
        <w:rPr>
          <w:color w:val="231F20"/>
        </w:rPr>
        <w:t>примерный</w:t>
      </w:r>
      <w:r>
        <w:rPr>
          <w:color w:val="231F20"/>
          <w:spacing w:val="-5"/>
        </w:rPr>
        <w:t> </w:t>
      </w:r>
      <w:r>
        <w:rPr>
          <w:color w:val="231F20"/>
        </w:rPr>
        <w:t>список</w:t>
      </w:r>
      <w:r>
        <w:rPr>
          <w:color w:val="231F20"/>
          <w:spacing w:val="-4"/>
        </w:rPr>
        <w:t> </w:t>
      </w:r>
      <w:r>
        <w:rPr>
          <w:color w:val="231F20"/>
          <w:spacing w:val="-2"/>
        </w:rPr>
        <w:t>вопросов:</w:t>
      </w:r>
    </w:p>
    <w:p>
      <w:pPr>
        <w:pStyle w:val="ListParagraph"/>
        <w:numPr>
          <w:ilvl w:val="0"/>
          <w:numId w:val="238"/>
        </w:numPr>
        <w:tabs>
          <w:tab w:pos="425" w:val="left" w:leader="none"/>
        </w:tabs>
        <w:spacing w:line="235" w:lineRule="auto" w:before="2" w:after="0"/>
        <w:ind w:left="425" w:right="139" w:hanging="284"/>
        <w:jc w:val="left"/>
        <w:rPr>
          <w:sz w:val="20"/>
        </w:rPr>
      </w:pPr>
      <w:r>
        <w:rPr>
          <w:color w:val="231F20"/>
          <w:sz w:val="20"/>
        </w:rPr>
        <w:t>Приведи пример трудных ситуаций, с которыми ты сталкиваешься в своей прак- </w:t>
      </w:r>
      <w:r>
        <w:rPr>
          <w:color w:val="231F20"/>
          <w:spacing w:val="-2"/>
          <w:sz w:val="20"/>
        </w:rPr>
        <w:t>тике.</w:t>
      </w:r>
    </w:p>
    <w:p>
      <w:pPr>
        <w:pStyle w:val="ListParagraph"/>
        <w:numPr>
          <w:ilvl w:val="0"/>
          <w:numId w:val="238"/>
        </w:numPr>
        <w:tabs>
          <w:tab w:pos="425" w:val="left" w:leader="none"/>
        </w:tabs>
        <w:spacing w:line="235" w:lineRule="auto" w:before="1" w:after="0"/>
        <w:ind w:left="425" w:right="140" w:hanging="284"/>
        <w:jc w:val="left"/>
        <w:rPr>
          <w:sz w:val="20"/>
        </w:rPr>
      </w:pPr>
      <w:r>
        <w:rPr>
          <w:color w:val="231F20"/>
          <w:sz w:val="20"/>
        </w:rPr>
        <w:t>Касаются</w:t>
      </w:r>
      <w:r>
        <w:rPr>
          <w:color w:val="231F20"/>
          <w:spacing w:val="24"/>
          <w:sz w:val="20"/>
        </w:rPr>
        <w:t> </w:t>
      </w:r>
      <w:r>
        <w:rPr>
          <w:color w:val="231F20"/>
          <w:sz w:val="20"/>
        </w:rPr>
        <w:t>ли</w:t>
      </w:r>
      <w:r>
        <w:rPr>
          <w:color w:val="231F20"/>
          <w:spacing w:val="24"/>
          <w:sz w:val="20"/>
        </w:rPr>
        <w:t> </w:t>
      </w:r>
      <w:r>
        <w:rPr>
          <w:color w:val="231F20"/>
          <w:sz w:val="20"/>
        </w:rPr>
        <w:t>эти</w:t>
      </w:r>
      <w:r>
        <w:rPr>
          <w:color w:val="231F20"/>
          <w:spacing w:val="24"/>
          <w:sz w:val="20"/>
        </w:rPr>
        <w:t> </w:t>
      </w:r>
      <w:r>
        <w:rPr>
          <w:color w:val="231F20"/>
          <w:sz w:val="20"/>
        </w:rPr>
        <w:t>трудности</w:t>
      </w:r>
      <w:r>
        <w:rPr>
          <w:color w:val="231F20"/>
          <w:spacing w:val="24"/>
          <w:sz w:val="20"/>
        </w:rPr>
        <w:t> </w:t>
      </w:r>
      <w:r>
        <w:rPr>
          <w:color w:val="231F20"/>
          <w:sz w:val="20"/>
        </w:rPr>
        <w:t>академической</w:t>
      </w:r>
      <w:r>
        <w:rPr>
          <w:color w:val="231F20"/>
          <w:spacing w:val="24"/>
          <w:sz w:val="20"/>
        </w:rPr>
        <w:t> </w:t>
      </w:r>
      <w:r>
        <w:rPr>
          <w:color w:val="231F20"/>
          <w:sz w:val="20"/>
        </w:rPr>
        <w:t>успеваемости?</w:t>
      </w:r>
      <w:r>
        <w:rPr>
          <w:color w:val="231F20"/>
          <w:spacing w:val="24"/>
          <w:sz w:val="20"/>
        </w:rPr>
        <w:t> </w:t>
      </w:r>
      <w:r>
        <w:rPr>
          <w:color w:val="231F20"/>
          <w:sz w:val="20"/>
        </w:rPr>
        <w:t>Если</w:t>
      </w:r>
      <w:r>
        <w:rPr>
          <w:color w:val="231F20"/>
          <w:spacing w:val="24"/>
          <w:sz w:val="20"/>
        </w:rPr>
        <w:t> </w:t>
      </w:r>
      <w:r>
        <w:rPr>
          <w:color w:val="231F20"/>
          <w:sz w:val="20"/>
        </w:rPr>
        <w:t>да,</w:t>
      </w:r>
      <w:r>
        <w:rPr>
          <w:color w:val="231F20"/>
          <w:spacing w:val="24"/>
          <w:sz w:val="20"/>
        </w:rPr>
        <w:t> </w:t>
      </w:r>
      <w:r>
        <w:rPr>
          <w:color w:val="231F20"/>
          <w:sz w:val="20"/>
        </w:rPr>
        <w:t>то</w:t>
      </w:r>
      <w:r>
        <w:rPr>
          <w:color w:val="231F20"/>
          <w:spacing w:val="24"/>
          <w:sz w:val="20"/>
        </w:rPr>
        <w:t> </w:t>
      </w:r>
      <w:r>
        <w:rPr>
          <w:color w:val="231F20"/>
          <w:sz w:val="20"/>
        </w:rPr>
        <w:t>приведи </w:t>
      </w:r>
      <w:r>
        <w:rPr>
          <w:color w:val="231F20"/>
          <w:spacing w:val="-2"/>
          <w:sz w:val="20"/>
        </w:rPr>
        <w:t>пример.</w:t>
      </w:r>
    </w:p>
    <w:p>
      <w:pPr>
        <w:pStyle w:val="ListParagraph"/>
        <w:numPr>
          <w:ilvl w:val="0"/>
          <w:numId w:val="238"/>
        </w:numPr>
        <w:tabs>
          <w:tab w:pos="425" w:val="left" w:leader="none"/>
        </w:tabs>
        <w:spacing w:line="235" w:lineRule="auto" w:before="1" w:after="0"/>
        <w:ind w:left="425" w:right="139" w:hanging="284"/>
        <w:jc w:val="left"/>
        <w:rPr>
          <w:sz w:val="20"/>
        </w:rPr>
      </w:pPr>
      <w:r>
        <w:rPr>
          <w:color w:val="231F20"/>
          <w:sz w:val="20"/>
        </w:rPr>
        <w:t>Касаются ли эти трудности поведения инокультурного ученика по отношению к учителям и к другим ученикам класса/школы? Если да, приведи пример.</w:t>
      </w:r>
    </w:p>
    <w:p>
      <w:pPr>
        <w:pStyle w:val="ListParagraph"/>
        <w:numPr>
          <w:ilvl w:val="0"/>
          <w:numId w:val="238"/>
        </w:numPr>
        <w:tabs>
          <w:tab w:pos="425" w:val="left" w:leader="none"/>
        </w:tabs>
        <w:spacing w:line="235" w:lineRule="auto" w:before="1" w:after="0"/>
        <w:ind w:left="425" w:right="139" w:hanging="284"/>
        <w:jc w:val="left"/>
        <w:rPr>
          <w:sz w:val="20"/>
        </w:rPr>
      </w:pPr>
      <w:r>
        <w:rPr>
          <w:color w:val="231F20"/>
          <w:sz w:val="20"/>
        </w:rPr>
        <w:t>Касаются</w:t>
      </w:r>
      <w:r>
        <w:rPr>
          <w:color w:val="231F20"/>
          <w:spacing w:val="-7"/>
          <w:sz w:val="20"/>
        </w:rPr>
        <w:t> </w:t>
      </w:r>
      <w:r>
        <w:rPr>
          <w:color w:val="231F20"/>
          <w:sz w:val="20"/>
        </w:rPr>
        <w:t>ли</w:t>
      </w:r>
      <w:r>
        <w:rPr>
          <w:color w:val="231F20"/>
          <w:spacing w:val="-7"/>
          <w:sz w:val="20"/>
        </w:rPr>
        <w:t> </w:t>
      </w:r>
      <w:r>
        <w:rPr>
          <w:color w:val="231F20"/>
          <w:sz w:val="20"/>
        </w:rPr>
        <w:t>эти</w:t>
      </w:r>
      <w:r>
        <w:rPr>
          <w:color w:val="231F20"/>
          <w:spacing w:val="-7"/>
          <w:sz w:val="20"/>
        </w:rPr>
        <w:t> </w:t>
      </w:r>
      <w:r>
        <w:rPr>
          <w:color w:val="231F20"/>
          <w:sz w:val="20"/>
        </w:rPr>
        <w:t>трудности</w:t>
      </w:r>
      <w:r>
        <w:rPr>
          <w:color w:val="231F20"/>
          <w:spacing w:val="-7"/>
          <w:sz w:val="20"/>
        </w:rPr>
        <w:t> </w:t>
      </w:r>
      <w:r>
        <w:rPr>
          <w:color w:val="231F20"/>
          <w:sz w:val="20"/>
        </w:rPr>
        <w:t>взаимодействия</w:t>
      </w:r>
      <w:r>
        <w:rPr>
          <w:color w:val="231F20"/>
          <w:spacing w:val="-7"/>
          <w:sz w:val="20"/>
        </w:rPr>
        <w:t> </w:t>
      </w:r>
      <w:r>
        <w:rPr>
          <w:color w:val="231F20"/>
          <w:sz w:val="20"/>
        </w:rPr>
        <w:t>с</w:t>
      </w:r>
      <w:r>
        <w:rPr>
          <w:color w:val="231F20"/>
          <w:spacing w:val="-7"/>
          <w:sz w:val="20"/>
        </w:rPr>
        <w:t> </w:t>
      </w:r>
      <w:r>
        <w:rPr>
          <w:color w:val="231F20"/>
          <w:sz w:val="20"/>
        </w:rPr>
        <w:t>родителями</w:t>
      </w:r>
      <w:r>
        <w:rPr>
          <w:color w:val="231F20"/>
          <w:spacing w:val="-7"/>
          <w:sz w:val="20"/>
        </w:rPr>
        <w:t> </w:t>
      </w:r>
      <w:r>
        <w:rPr>
          <w:color w:val="231F20"/>
          <w:sz w:val="20"/>
        </w:rPr>
        <w:t>инокультурного</w:t>
      </w:r>
      <w:r>
        <w:rPr>
          <w:color w:val="231F20"/>
          <w:spacing w:val="-7"/>
          <w:sz w:val="20"/>
        </w:rPr>
        <w:t> </w:t>
      </w:r>
      <w:r>
        <w:rPr>
          <w:color w:val="231F20"/>
          <w:sz w:val="20"/>
        </w:rPr>
        <w:t>учени- ка? Если да, приведи пример.</w:t>
      </w:r>
    </w:p>
    <w:p>
      <w:pPr>
        <w:spacing w:line="226" w:lineRule="exact" w:before="0"/>
        <w:ind w:left="3342" w:right="0" w:firstLine="0"/>
        <w:jc w:val="left"/>
        <w:rPr>
          <w:b/>
          <w:sz w:val="20"/>
        </w:rPr>
      </w:pPr>
      <w:r>
        <w:rPr>
          <w:b/>
          <w:color w:val="231F20"/>
          <w:spacing w:val="-2"/>
          <w:sz w:val="20"/>
        </w:rPr>
        <w:t>Приложение</w:t>
      </w:r>
    </w:p>
    <w:p>
      <w:pPr>
        <w:pStyle w:val="BodyText"/>
        <w:spacing w:line="235" w:lineRule="auto" w:before="1"/>
        <w:ind w:right="0"/>
        <w:jc w:val="left"/>
      </w:pPr>
      <w:r>
        <w:rPr>
          <w:color w:val="231F20"/>
        </w:rPr>
        <w:t>Шкала</w:t>
      </w:r>
      <w:r>
        <w:rPr>
          <w:color w:val="231F20"/>
          <w:spacing w:val="-6"/>
        </w:rPr>
        <w:t> </w:t>
      </w:r>
      <w:r>
        <w:rPr>
          <w:color w:val="231F20"/>
        </w:rPr>
        <w:t>оценки</w:t>
      </w:r>
      <w:r>
        <w:rPr>
          <w:color w:val="231F20"/>
          <w:spacing w:val="-6"/>
        </w:rPr>
        <w:t> </w:t>
      </w:r>
      <w:r>
        <w:rPr>
          <w:color w:val="231F20"/>
        </w:rPr>
        <w:t>эффективности</w:t>
      </w:r>
      <w:r>
        <w:rPr>
          <w:color w:val="231F20"/>
          <w:spacing w:val="-6"/>
        </w:rPr>
        <w:t> </w:t>
      </w:r>
      <w:r>
        <w:rPr>
          <w:color w:val="231F20"/>
        </w:rPr>
        <w:t>интерактивных</w:t>
      </w:r>
      <w:r>
        <w:rPr>
          <w:color w:val="231F20"/>
          <w:spacing w:val="-6"/>
        </w:rPr>
        <w:t> </w:t>
      </w:r>
      <w:r>
        <w:rPr>
          <w:color w:val="231F20"/>
        </w:rPr>
        <w:t>технологий</w:t>
      </w:r>
      <w:r>
        <w:rPr>
          <w:color w:val="231F20"/>
          <w:spacing w:val="-6"/>
        </w:rPr>
        <w:t> </w:t>
      </w:r>
      <w:r>
        <w:rPr>
          <w:color w:val="231F20"/>
        </w:rPr>
        <w:t>для</w:t>
      </w:r>
      <w:r>
        <w:rPr>
          <w:color w:val="231F20"/>
          <w:spacing w:val="-6"/>
        </w:rPr>
        <w:t> </w:t>
      </w:r>
      <w:r>
        <w:rPr>
          <w:color w:val="231F20"/>
        </w:rPr>
        <w:t>развития</w:t>
      </w:r>
      <w:r>
        <w:rPr>
          <w:color w:val="231F20"/>
          <w:spacing w:val="-6"/>
        </w:rPr>
        <w:t> </w:t>
      </w:r>
      <w:r>
        <w:rPr>
          <w:color w:val="231F20"/>
        </w:rPr>
        <w:t>межкуль- турной компетентности педагогов.</w:t>
      </w:r>
    </w:p>
    <w:p>
      <w:pPr>
        <w:pStyle w:val="BodyText"/>
        <w:spacing w:line="235" w:lineRule="auto" w:before="2"/>
        <w:ind w:right="0"/>
        <w:jc w:val="left"/>
      </w:pPr>
      <w:r>
        <w:rPr>
          <w:color w:val="231F20"/>
        </w:rPr>
        <w:t>Интегративный</w:t>
      </w:r>
      <w:r>
        <w:rPr>
          <w:color w:val="231F20"/>
          <w:spacing w:val="30"/>
        </w:rPr>
        <w:t> </w:t>
      </w:r>
      <w:r>
        <w:rPr>
          <w:color w:val="231F20"/>
        </w:rPr>
        <w:t>опросник</w:t>
      </w:r>
      <w:r>
        <w:rPr>
          <w:color w:val="231F20"/>
          <w:spacing w:val="30"/>
        </w:rPr>
        <w:t> </w:t>
      </w:r>
      <w:r>
        <w:rPr>
          <w:color w:val="231F20"/>
        </w:rPr>
        <w:t>межкультурной</w:t>
      </w:r>
      <w:r>
        <w:rPr>
          <w:color w:val="231F20"/>
          <w:spacing w:val="30"/>
        </w:rPr>
        <w:t> </w:t>
      </w:r>
      <w:r>
        <w:rPr>
          <w:color w:val="231F20"/>
        </w:rPr>
        <w:t>компетентности</w:t>
      </w:r>
      <w:r>
        <w:rPr>
          <w:color w:val="231F20"/>
          <w:spacing w:val="30"/>
        </w:rPr>
        <w:t> </w:t>
      </w:r>
      <w:r>
        <w:rPr>
          <w:color w:val="231F20"/>
        </w:rPr>
        <w:t>педагогов</w:t>
      </w:r>
      <w:r>
        <w:rPr>
          <w:color w:val="231F20"/>
          <w:spacing w:val="30"/>
        </w:rPr>
        <w:t> </w:t>
      </w:r>
      <w:r>
        <w:rPr>
          <w:color w:val="231F20"/>
        </w:rPr>
        <w:t>(Хухлаев, </w:t>
      </w:r>
      <w:r>
        <w:rPr>
          <w:color w:val="231F20"/>
          <w:spacing w:val="-2"/>
        </w:rPr>
        <w:t>2021).</w:t>
      </w:r>
    </w:p>
    <w:p>
      <w:pPr>
        <w:pStyle w:val="ListParagraph"/>
        <w:numPr>
          <w:ilvl w:val="0"/>
          <w:numId w:val="239"/>
        </w:numPr>
        <w:tabs>
          <w:tab w:pos="424" w:val="left" w:leader="none"/>
        </w:tabs>
        <w:spacing w:line="228" w:lineRule="exact" w:before="117" w:after="0"/>
        <w:ind w:left="424" w:right="0" w:hanging="283"/>
        <w:jc w:val="left"/>
        <w:rPr>
          <w:sz w:val="20"/>
        </w:rPr>
      </w:pPr>
      <w:r>
        <w:rPr>
          <w:color w:val="231F20"/>
          <w:sz w:val="20"/>
        </w:rPr>
        <w:t>Я</w:t>
      </w:r>
      <w:r>
        <w:rPr>
          <w:color w:val="231F20"/>
          <w:spacing w:val="-7"/>
          <w:sz w:val="20"/>
        </w:rPr>
        <w:t> </w:t>
      </w:r>
      <w:r>
        <w:rPr>
          <w:color w:val="231F20"/>
          <w:sz w:val="20"/>
        </w:rPr>
        <w:t>уверен,</w:t>
      </w:r>
      <w:r>
        <w:rPr>
          <w:color w:val="231F20"/>
          <w:spacing w:val="-4"/>
          <w:sz w:val="20"/>
        </w:rPr>
        <w:t> </w:t>
      </w:r>
      <w:r>
        <w:rPr>
          <w:color w:val="231F20"/>
          <w:sz w:val="20"/>
        </w:rPr>
        <w:t>что</w:t>
      </w:r>
      <w:r>
        <w:rPr>
          <w:color w:val="231F20"/>
          <w:spacing w:val="-4"/>
          <w:sz w:val="20"/>
        </w:rPr>
        <w:t> </w:t>
      </w:r>
      <w:r>
        <w:rPr>
          <w:color w:val="231F20"/>
          <w:sz w:val="20"/>
        </w:rPr>
        <w:t>могу</w:t>
      </w:r>
      <w:r>
        <w:rPr>
          <w:color w:val="231F20"/>
          <w:spacing w:val="-4"/>
          <w:sz w:val="20"/>
        </w:rPr>
        <w:t> </w:t>
      </w:r>
      <w:r>
        <w:rPr>
          <w:color w:val="231F20"/>
          <w:sz w:val="20"/>
        </w:rPr>
        <w:t>эффективно</w:t>
      </w:r>
      <w:r>
        <w:rPr>
          <w:color w:val="231F20"/>
          <w:spacing w:val="-4"/>
          <w:sz w:val="20"/>
        </w:rPr>
        <w:t> </w:t>
      </w:r>
      <w:r>
        <w:rPr>
          <w:color w:val="231F20"/>
          <w:sz w:val="20"/>
        </w:rPr>
        <w:t>работать</w:t>
      </w:r>
      <w:r>
        <w:rPr>
          <w:color w:val="231F20"/>
          <w:spacing w:val="-5"/>
          <w:sz w:val="20"/>
        </w:rPr>
        <w:t> </w:t>
      </w:r>
      <w:r>
        <w:rPr>
          <w:color w:val="231F20"/>
          <w:sz w:val="20"/>
        </w:rPr>
        <w:t>с</w:t>
      </w:r>
      <w:r>
        <w:rPr>
          <w:color w:val="231F20"/>
          <w:spacing w:val="-4"/>
          <w:sz w:val="20"/>
        </w:rPr>
        <w:t> </w:t>
      </w:r>
      <w:r>
        <w:rPr>
          <w:color w:val="231F20"/>
          <w:sz w:val="20"/>
        </w:rPr>
        <w:t>людьми</w:t>
      </w:r>
      <w:r>
        <w:rPr>
          <w:color w:val="231F20"/>
          <w:spacing w:val="-4"/>
          <w:sz w:val="20"/>
        </w:rPr>
        <w:t> </w:t>
      </w:r>
      <w:r>
        <w:rPr>
          <w:color w:val="231F20"/>
          <w:sz w:val="20"/>
        </w:rPr>
        <w:t>различных</w:t>
      </w:r>
      <w:r>
        <w:rPr>
          <w:color w:val="231F20"/>
          <w:spacing w:val="-4"/>
          <w:sz w:val="20"/>
        </w:rPr>
        <w:t> </w:t>
      </w:r>
      <w:r>
        <w:rPr>
          <w:color w:val="231F20"/>
          <w:spacing w:val="-2"/>
          <w:sz w:val="20"/>
        </w:rPr>
        <w:t>культур.</w:t>
      </w:r>
    </w:p>
    <w:p>
      <w:pPr>
        <w:pStyle w:val="ListParagraph"/>
        <w:numPr>
          <w:ilvl w:val="0"/>
          <w:numId w:val="239"/>
        </w:numPr>
        <w:tabs>
          <w:tab w:pos="424" w:val="left" w:leader="none"/>
        </w:tabs>
        <w:spacing w:line="226" w:lineRule="exact" w:before="0" w:after="0"/>
        <w:ind w:left="424" w:right="0" w:hanging="283"/>
        <w:jc w:val="left"/>
        <w:rPr>
          <w:sz w:val="20"/>
        </w:rPr>
      </w:pPr>
      <w:r>
        <w:rPr>
          <w:color w:val="231F20"/>
          <w:sz w:val="20"/>
        </w:rPr>
        <w:t>Мне</w:t>
      </w:r>
      <w:r>
        <w:rPr>
          <w:color w:val="231F20"/>
          <w:spacing w:val="-4"/>
          <w:sz w:val="20"/>
        </w:rPr>
        <w:t> </w:t>
      </w:r>
      <w:r>
        <w:rPr>
          <w:color w:val="231F20"/>
          <w:sz w:val="20"/>
        </w:rPr>
        <w:t>нравится</w:t>
      </w:r>
      <w:r>
        <w:rPr>
          <w:color w:val="231F20"/>
          <w:spacing w:val="-4"/>
          <w:sz w:val="20"/>
        </w:rPr>
        <w:t> </w:t>
      </w:r>
      <w:r>
        <w:rPr>
          <w:color w:val="231F20"/>
          <w:sz w:val="20"/>
        </w:rPr>
        <w:t>общаться</w:t>
      </w:r>
      <w:r>
        <w:rPr>
          <w:color w:val="231F20"/>
          <w:spacing w:val="-4"/>
          <w:sz w:val="20"/>
        </w:rPr>
        <w:t> </w:t>
      </w:r>
      <w:r>
        <w:rPr>
          <w:color w:val="231F20"/>
          <w:sz w:val="20"/>
        </w:rPr>
        <w:t>с</w:t>
      </w:r>
      <w:r>
        <w:rPr>
          <w:color w:val="231F20"/>
          <w:spacing w:val="-3"/>
          <w:sz w:val="20"/>
        </w:rPr>
        <w:t> </w:t>
      </w:r>
      <w:r>
        <w:rPr>
          <w:color w:val="231F20"/>
          <w:sz w:val="20"/>
        </w:rPr>
        <w:t>людьми</w:t>
      </w:r>
      <w:r>
        <w:rPr>
          <w:color w:val="231F20"/>
          <w:spacing w:val="-5"/>
          <w:sz w:val="20"/>
        </w:rPr>
        <w:t> </w:t>
      </w:r>
      <w:r>
        <w:rPr>
          <w:color w:val="231F20"/>
          <w:sz w:val="20"/>
        </w:rPr>
        <w:t>других</w:t>
      </w:r>
      <w:r>
        <w:rPr>
          <w:color w:val="231F20"/>
          <w:spacing w:val="-3"/>
          <w:sz w:val="20"/>
        </w:rPr>
        <w:t> </w:t>
      </w:r>
      <w:r>
        <w:rPr>
          <w:color w:val="231F20"/>
          <w:spacing w:val="-2"/>
          <w:sz w:val="20"/>
        </w:rPr>
        <w:t>культур.</w:t>
      </w:r>
    </w:p>
    <w:p>
      <w:pPr>
        <w:pStyle w:val="ListParagraph"/>
        <w:numPr>
          <w:ilvl w:val="0"/>
          <w:numId w:val="239"/>
        </w:numPr>
        <w:tabs>
          <w:tab w:pos="425" w:val="left" w:leader="none"/>
        </w:tabs>
        <w:spacing w:line="235" w:lineRule="auto" w:before="2" w:after="0"/>
        <w:ind w:left="425" w:right="140" w:hanging="284"/>
        <w:jc w:val="left"/>
        <w:rPr>
          <w:sz w:val="20"/>
        </w:rPr>
      </w:pPr>
      <w:r>
        <w:rPr>
          <w:color w:val="231F20"/>
          <w:sz w:val="20"/>
        </w:rPr>
        <w:t>Я не буду общаться с человеком другой культуры, если он действует, исходя из своих культурных норм.</w:t>
      </w:r>
    </w:p>
    <w:p>
      <w:pPr>
        <w:pStyle w:val="ListParagraph"/>
        <w:numPr>
          <w:ilvl w:val="0"/>
          <w:numId w:val="239"/>
        </w:numPr>
        <w:tabs>
          <w:tab w:pos="425" w:val="left" w:leader="none"/>
        </w:tabs>
        <w:spacing w:line="235" w:lineRule="auto" w:before="1" w:after="0"/>
        <w:ind w:left="425" w:right="139" w:hanging="284"/>
        <w:jc w:val="left"/>
        <w:rPr>
          <w:sz w:val="20"/>
        </w:rPr>
      </w:pPr>
      <w:r>
        <w:rPr>
          <w:color w:val="231F20"/>
          <w:sz w:val="20"/>
        </w:rPr>
        <w:t>В межкультурном общении я стараюсь принимать во внимание мнение каждой стороны и только потом принимать решение.</w:t>
      </w:r>
    </w:p>
    <w:p>
      <w:pPr>
        <w:pStyle w:val="ListParagraph"/>
        <w:numPr>
          <w:ilvl w:val="0"/>
          <w:numId w:val="239"/>
        </w:numPr>
        <w:tabs>
          <w:tab w:pos="424" w:val="left" w:leader="none"/>
        </w:tabs>
        <w:spacing w:line="225" w:lineRule="exact" w:before="0" w:after="0"/>
        <w:ind w:left="424" w:right="0" w:hanging="283"/>
        <w:jc w:val="left"/>
        <w:rPr>
          <w:sz w:val="20"/>
        </w:rPr>
      </w:pPr>
      <w:r>
        <w:rPr>
          <w:color w:val="231F20"/>
          <w:spacing w:val="-2"/>
          <w:sz w:val="20"/>
        </w:rPr>
        <w:t>Когда</w:t>
      </w:r>
      <w:r>
        <w:rPr>
          <w:color w:val="231F20"/>
          <w:spacing w:val="-7"/>
          <w:sz w:val="20"/>
        </w:rPr>
        <w:t> </w:t>
      </w:r>
      <w:r>
        <w:rPr>
          <w:color w:val="231F20"/>
          <w:spacing w:val="-2"/>
          <w:sz w:val="20"/>
        </w:rPr>
        <w:t>я</w:t>
      </w:r>
      <w:r>
        <w:rPr>
          <w:color w:val="231F20"/>
          <w:spacing w:val="-4"/>
          <w:sz w:val="20"/>
        </w:rPr>
        <w:t> </w:t>
      </w:r>
      <w:r>
        <w:rPr>
          <w:color w:val="231F20"/>
          <w:spacing w:val="-2"/>
          <w:sz w:val="20"/>
        </w:rPr>
        <w:t>общаюсь</w:t>
      </w:r>
      <w:r>
        <w:rPr>
          <w:color w:val="231F20"/>
          <w:spacing w:val="-5"/>
          <w:sz w:val="20"/>
        </w:rPr>
        <w:t> </w:t>
      </w:r>
      <w:r>
        <w:rPr>
          <w:color w:val="231F20"/>
          <w:spacing w:val="-2"/>
          <w:sz w:val="20"/>
        </w:rPr>
        <w:t>с</w:t>
      </w:r>
      <w:r>
        <w:rPr>
          <w:color w:val="231F20"/>
          <w:spacing w:val="-4"/>
          <w:sz w:val="20"/>
        </w:rPr>
        <w:t> </w:t>
      </w:r>
      <w:r>
        <w:rPr>
          <w:color w:val="231F20"/>
          <w:spacing w:val="-2"/>
          <w:sz w:val="20"/>
        </w:rPr>
        <w:t>людьми</w:t>
      </w:r>
      <w:r>
        <w:rPr>
          <w:color w:val="231F20"/>
          <w:spacing w:val="-5"/>
          <w:sz w:val="20"/>
        </w:rPr>
        <w:t> </w:t>
      </w:r>
      <w:r>
        <w:rPr>
          <w:color w:val="231F20"/>
          <w:spacing w:val="-2"/>
          <w:sz w:val="20"/>
        </w:rPr>
        <w:t>другой</w:t>
      </w:r>
      <w:r>
        <w:rPr>
          <w:color w:val="231F20"/>
          <w:spacing w:val="-4"/>
          <w:sz w:val="20"/>
        </w:rPr>
        <w:t> </w:t>
      </w:r>
      <w:r>
        <w:rPr>
          <w:color w:val="231F20"/>
          <w:spacing w:val="-2"/>
          <w:sz w:val="20"/>
        </w:rPr>
        <w:t>культуры,</w:t>
      </w:r>
      <w:r>
        <w:rPr>
          <w:color w:val="231F20"/>
          <w:spacing w:val="-5"/>
          <w:sz w:val="20"/>
        </w:rPr>
        <w:t> </w:t>
      </w:r>
      <w:r>
        <w:rPr>
          <w:color w:val="231F20"/>
          <w:spacing w:val="-2"/>
          <w:sz w:val="20"/>
        </w:rPr>
        <w:t>нервы</w:t>
      </w:r>
      <w:r>
        <w:rPr>
          <w:color w:val="231F20"/>
          <w:spacing w:val="-4"/>
          <w:sz w:val="20"/>
        </w:rPr>
        <w:t> </w:t>
      </w:r>
      <w:r>
        <w:rPr>
          <w:color w:val="231F20"/>
          <w:spacing w:val="-2"/>
          <w:sz w:val="20"/>
        </w:rPr>
        <w:t>у</w:t>
      </w:r>
      <w:r>
        <w:rPr>
          <w:color w:val="231F20"/>
          <w:spacing w:val="-5"/>
          <w:sz w:val="20"/>
        </w:rPr>
        <w:t> </w:t>
      </w:r>
      <w:r>
        <w:rPr>
          <w:color w:val="231F20"/>
          <w:spacing w:val="-2"/>
          <w:sz w:val="20"/>
        </w:rPr>
        <w:t>меня</w:t>
      </w:r>
      <w:r>
        <w:rPr>
          <w:color w:val="231F20"/>
          <w:spacing w:val="-4"/>
          <w:sz w:val="20"/>
        </w:rPr>
        <w:t> </w:t>
      </w:r>
      <w:r>
        <w:rPr>
          <w:color w:val="231F20"/>
          <w:spacing w:val="-2"/>
          <w:sz w:val="20"/>
        </w:rPr>
        <w:t>напряжены</w:t>
      </w:r>
      <w:r>
        <w:rPr>
          <w:color w:val="231F20"/>
          <w:spacing w:val="-5"/>
          <w:sz w:val="20"/>
        </w:rPr>
        <w:t> </w:t>
      </w:r>
      <w:r>
        <w:rPr>
          <w:color w:val="231F20"/>
          <w:spacing w:val="-2"/>
          <w:sz w:val="20"/>
        </w:rPr>
        <w:t>до</w:t>
      </w:r>
      <w:r>
        <w:rPr>
          <w:color w:val="231F20"/>
          <w:spacing w:val="-4"/>
          <w:sz w:val="20"/>
        </w:rPr>
        <w:t> </w:t>
      </w:r>
      <w:r>
        <w:rPr>
          <w:color w:val="231F20"/>
          <w:spacing w:val="-2"/>
          <w:sz w:val="20"/>
        </w:rPr>
        <w:t>предела.</w:t>
      </w:r>
    </w:p>
    <w:p>
      <w:pPr>
        <w:pStyle w:val="ListParagraph"/>
        <w:numPr>
          <w:ilvl w:val="0"/>
          <w:numId w:val="239"/>
        </w:numPr>
        <w:tabs>
          <w:tab w:pos="425" w:val="left" w:leader="none"/>
        </w:tabs>
        <w:spacing w:line="235" w:lineRule="auto" w:before="2" w:after="0"/>
        <w:ind w:left="425" w:right="140" w:hanging="284"/>
        <w:jc w:val="left"/>
        <w:rPr>
          <w:sz w:val="20"/>
        </w:rPr>
      </w:pPr>
      <w:r>
        <w:rPr>
          <w:color w:val="231F20"/>
          <w:sz w:val="20"/>
        </w:rPr>
        <w:t>Если</w:t>
      </w:r>
      <w:r>
        <w:rPr>
          <w:color w:val="231F20"/>
          <w:spacing w:val="-13"/>
          <w:sz w:val="20"/>
        </w:rPr>
        <w:t> </w:t>
      </w:r>
      <w:r>
        <w:rPr>
          <w:color w:val="231F20"/>
          <w:sz w:val="20"/>
        </w:rPr>
        <w:t>у</w:t>
      </w:r>
      <w:r>
        <w:rPr>
          <w:color w:val="231F20"/>
          <w:spacing w:val="-12"/>
          <w:sz w:val="20"/>
        </w:rPr>
        <w:t> </w:t>
      </w:r>
      <w:r>
        <w:rPr>
          <w:color w:val="231F20"/>
          <w:sz w:val="20"/>
        </w:rPr>
        <w:t>меня</w:t>
      </w:r>
      <w:r>
        <w:rPr>
          <w:color w:val="231F20"/>
          <w:spacing w:val="-13"/>
          <w:sz w:val="20"/>
        </w:rPr>
        <w:t> </w:t>
      </w:r>
      <w:r>
        <w:rPr>
          <w:color w:val="231F20"/>
          <w:sz w:val="20"/>
        </w:rPr>
        <w:t>планируется</w:t>
      </w:r>
      <w:r>
        <w:rPr>
          <w:color w:val="231F20"/>
          <w:spacing w:val="-12"/>
          <w:sz w:val="20"/>
        </w:rPr>
        <w:t> </w:t>
      </w:r>
      <w:r>
        <w:rPr>
          <w:color w:val="231F20"/>
          <w:sz w:val="20"/>
        </w:rPr>
        <w:t>важная</w:t>
      </w:r>
      <w:r>
        <w:rPr>
          <w:color w:val="231F20"/>
          <w:spacing w:val="-13"/>
          <w:sz w:val="20"/>
        </w:rPr>
        <w:t> </w:t>
      </w:r>
      <w:r>
        <w:rPr>
          <w:color w:val="231F20"/>
          <w:sz w:val="20"/>
        </w:rPr>
        <w:t>встреча</w:t>
      </w:r>
      <w:r>
        <w:rPr>
          <w:color w:val="231F20"/>
          <w:spacing w:val="-12"/>
          <w:sz w:val="20"/>
        </w:rPr>
        <w:t> </w:t>
      </w:r>
      <w:r>
        <w:rPr>
          <w:color w:val="231F20"/>
          <w:sz w:val="20"/>
        </w:rPr>
        <w:t>с</w:t>
      </w:r>
      <w:r>
        <w:rPr>
          <w:color w:val="231F20"/>
          <w:spacing w:val="-13"/>
          <w:sz w:val="20"/>
        </w:rPr>
        <w:t> </w:t>
      </w:r>
      <w:r>
        <w:rPr>
          <w:color w:val="231F20"/>
          <w:sz w:val="20"/>
        </w:rPr>
        <w:t>человеком</w:t>
      </w:r>
      <w:r>
        <w:rPr>
          <w:color w:val="231F20"/>
          <w:spacing w:val="-12"/>
          <w:sz w:val="20"/>
        </w:rPr>
        <w:t> </w:t>
      </w:r>
      <w:r>
        <w:rPr>
          <w:color w:val="231F20"/>
          <w:sz w:val="20"/>
        </w:rPr>
        <w:t>другой</w:t>
      </w:r>
      <w:r>
        <w:rPr>
          <w:color w:val="231F20"/>
          <w:spacing w:val="-13"/>
          <w:sz w:val="20"/>
        </w:rPr>
        <w:t> </w:t>
      </w:r>
      <w:r>
        <w:rPr>
          <w:color w:val="231F20"/>
          <w:sz w:val="20"/>
        </w:rPr>
        <w:t>культуры,</w:t>
      </w:r>
      <w:r>
        <w:rPr>
          <w:color w:val="231F20"/>
          <w:spacing w:val="-12"/>
          <w:sz w:val="20"/>
        </w:rPr>
        <w:t> </w:t>
      </w:r>
      <w:r>
        <w:rPr>
          <w:color w:val="231F20"/>
          <w:sz w:val="20"/>
        </w:rPr>
        <w:t>я</w:t>
      </w:r>
      <w:r>
        <w:rPr>
          <w:color w:val="231F20"/>
          <w:spacing w:val="-13"/>
          <w:sz w:val="20"/>
        </w:rPr>
        <w:t> </w:t>
      </w:r>
      <w:r>
        <w:rPr>
          <w:color w:val="231F20"/>
          <w:sz w:val="20"/>
        </w:rPr>
        <w:t>пытаюсь представить, какие могут быть культурные различия между нами.</w:t>
      </w:r>
    </w:p>
    <w:p>
      <w:pPr>
        <w:pStyle w:val="ListParagraph"/>
        <w:numPr>
          <w:ilvl w:val="0"/>
          <w:numId w:val="239"/>
        </w:numPr>
        <w:tabs>
          <w:tab w:pos="424" w:val="left" w:leader="none"/>
        </w:tabs>
        <w:spacing w:line="227" w:lineRule="exact" w:before="0" w:after="0"/>
        <w:ind w:left="424" w:right="0" w:hanging="283"/>
        <w:jc w:val="left"/>
        <w:rPr>
          <w:sz w:val="20"/>
        </w:rPr>
      </w:pPr>
      <w:r>
        <w:rPr>
          <w:color w:val="231F20"/>
          <w:sz w:val="20"/>
        </w:rPr>
        <w:t>Мне</w:t>
      </w:r>
      <w:r>
        <w:rPr>
          <w:color w:val="231F20"/>
          <w:spacing w:val="-6"/>
          <w:sz w:val="20"/>
        </w:rPr>
        <w:t> </w:t>
      </w:r>
      <w:r>
        <w:rPr>
          <w:color w:val="231F20"/>
          <w:sz w:val="20"/>
        </w:rPr>
        <w:t>нравится</w:t>
      </w:r>
      <w:r>
        <w:rPr>
          <w:color w:val="231F20"/>
          <w:spacing w:val="-5"/>
          <w:sz w:val="20"/>
        </w:rPr>
        <w:t> </w:t>
      </w:r>
      <w:r>
        <w:rPr>
          <w:color w:val="231F20"/>
          <w:sz w:val="20"/>
        </w:rPr>
        <w:t>знакомиться</w:t>
      </w:r>
      <w:r>
        <w:rPr>
          <w:color w:val="231F20"/>
          <w:spacing w:val="-5"/>
          <w:sz w:val="20"/>
        </w:rPr>
        <w:t> </w:t>
      </w:r>
      <w:r>
        <w:rPr>
          <w:color w:val="231F20"/>
          <w:sz w:val="20"/>
        </w:rPr>
        <w:t>с</w:t>
      </w:r>
      <w:r>
        <w:rPr>
          <w:color w:val="231F20"/>
          <w:spacing w:val="-5"/>
          <w:sz w:val="20"/>
        </w:rPr>
        <w:t> </w:t>
      </w:r>
      <w:r>
        <w:rPr>
          <w:color w:val="231F20"/>
          <w:sz w:val="20"/>
        </w:rPr>
        <w:t>людьми</w:t>
      </w:r>
      <w:r>
        <w:rPr>
          <w:color w:val="231F20"/>
          <w:spacing w:val="-6"/>
          <w:sz w:val="20"/>
        </w:rPr>
        <w:t> </w:t>
      </w:r>
      <w:r>
        <w:rPr>
          <w:color w:val="231F20"/>
          <w:sz w:val="20"/>
        </w:rPr>
        <w:t>других</w:t>
      </w:r>
      <w:r>
        <w:rPr>
          <w:color w:val="231F20"/>
          <w:spacing w:val="-5"/>
          <w:sz w:val="20"/>
        </w:rPr>
        <w:t> </w:t>
      </w:r>
      <w:r>
        <w:rPr>
          <w:color w:val="231F20"/>
          <w:spacing w:val="-2"/>
          <w:sz w:val="20"/>
        </w:rPr>
        <w:t>культур.</w:t>
      </w:r>
    </w:p>
    <w:p>
      <w:pPr>
        <w:pStyle w:val="ListParagraph"/>
        <w:spacing w:after="0" w:line="227" w:lineRule="exact"/>
        <w:jc w:val="left"/>
        <w:rPr>
          <w:sz w:val="20"/>
        </w:rPr>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pStyle w:val="ListParagraph"/>
        <w:numPr>
          <w:ilvl w:val="0"/>
          <w:numId w:val="239"/>
        </w:numPr>
        <w:tabs>
          <w:tab w:pos="424" w:val="left" w:leader="none"/>
        </w:tabs>
        <w:spacing w:line="228" w:lineRule="exact" w:before="112" w:after="0"/>
        <w:ind w:left="424" w:right="0" w:hanging="283"/>
        <w:jc w:val="left"/>
        <w:rPr>
          <w:sz w:val="20"/>
        </w:rPr>
      </w:pPr>
      <w:r>
        <w:rPr>
          <w:color w:val="231F20"/>
          <w:sz w:val="20"/>
        </w:rPr>
        <w:t>Я</w:t>
      </w:r>
      <w:r>
        <w:rPr>
          <w:color w:val="231F20"/>
          <w:spacing w:val="-10"/>
          <w:sz w:val="20"/>
        </w:rPr>
        <w:t> </w:t>
      </w:r>
      <w:r>
        <w:rPr>
          <w:color w:val="231F20"/>
          <w:sz w:val="20"/>
        </w:rPr>
        <w:t>не</w:t>
      </w:r>
      <w:r>
        <w:rPr>
          <w:color w:val="231F20"/>
          <w:spacing w:val="-7"/>
          <w:sz w:val="20"/>
        </w:rPr>
        <w:t> </w:t>
      </w:r>
      <w:r>
        <w:rPr>
          <w:color w:val="231F20"/>
          <w:sz w:val="20"/>
        </w:rPr>
        <w:t>буду</w:t>
      </w:r>
      <w:r>
        <w:rPr>
          <w:color w:val="231F20"/>
          <w:spacing w:val="-7"/>
          <w:sz w:val="20"/>
        </w:rPr>
        <w:t> </w:t>
      </w:r>
      <w:r>
        <w:rPr>
          <w:color w:val="231F20"/>
          <w:sz w:val="20"/>
        </w:rPr>
        <w:t>общаться</w:t>
      </w:r>
      <w:r>
        <w:rPr>
          <w:color w:val="231F20"/>
          <w:spacing w:val="-7"/>
          <w:sz w:val="20"/>
        </w:rPr>
        <w:t> </w:t>
      </w:r>
      <w:r>
        <w:rPr>
          <w:color w:val="231F20"/>
          <w:sz w:val="20"/>
        </w:rPr>
        <w:t>с</w:t>
      </w:r>
      <w:r>
        <w:rPr>
          <w:color w:val="231F20"/>
          <w:spacing w:val="-7"/>
          <w:sz w:val="20"/>
        </w:rPr>
        <w:t> </w:t>
      </w:r>
      <w:r>
        <w:rPr>
          <w:color w:val="231F20"/>
          <w:sz w:val="20"/>
        </w:rPr>
        <w:t>человеком</w:t>
      </w:r>
      <w:r>
        <w:rPr>
          <w:color w:val="231F20"/>
          <w:spacing w:val="-7"/>
          <w:sz w:val="20"/>
        </w:rPr>
        <w:t> </w:t>
      </w:r>
      <w:r>
        <w:rPr>
          <w:color w:val="231F20"/>
          <w:sz w:val="20"/>
        </w:rPr>
        <w:t>другой</w:t>
      </w:r>
      <w:r>
        <w:rPr>
          <w:color w:val="231F20"/>
          <w:spacing w:val="-8"/>
          <w:sz w:val="20"/>
        </w:rPr>
        <w:t> </w:t>
      </w:r>
      <w:r>
        <w:rPr>
          <w:color w:val="231F20"/>
          <w:sz w:val="20"/>
        </w:rPr>
        <w:t>культуры,</w:t>
      </w:r>
      <w:r>
        <w:rPr>
          <w:color w:val="231F20"/>
          <w:spacing w:val="-7"/>
          <w:sz w:val="20"/>
        </w:rPr>
        <w:t> </w:t>
      </w:r>
      <w:r>
        <w:rPr>
          <w:color w:val="231F20"/>
          <w:sz w:val="20"/>
        </w:rPr>
        <w:t>если</w:t>
      </w:r>
      <w:r>
        <w:rPr>
          <w:color w:val="231F20"/>
          <w:spacing w:val="-8"/>
          <w:sz w:val="20"/>
        </w:rPr>
        <w:t> </w:t>
      </w:r>
      <w:r>
        <w:rPr>
          <w:color w:val="231F20"/>
          <w:sz w:val="20"/>
        </w:rPr>
        <w:t>ее</w:t>
      </w:r>
      <w:r>
        <w:rPr>
          <w:color w:val="231F20"/>
          <w:spacing w:val="-7"/>
          <w:sz w:val="20"/>
        </w:rPr>
        <w:t> </w:t>
      </w:r>
      <w:r>
        <w:rPr>
          <w:color w:val="231F20"/>
          <w:sz w:val="20"/>
        </w:rPr>
        <w:t>традиции</w:t>
      </w:r>
      <w:r>
        <w:rPr>
          <w:color w:val="231F20"/>
          <w:spacing w:val="-7"/>
          <w:sz w:val="20"/>
        </w:rPr>
        <w:t> </w:t>
      </w:r>
      <w:r>
        <w:rPr>
          <w:color w:val="231F20"/>
          <w:sz w:val="20"/>
        </w:rPr>
        <w:t>мне</w:t>
      </w:r>
      <w:r>
        <w:rPr>
          <w:color w:val="231F20"/>
          <w:spacing w:val="-7"/>
          <w:sz w:val="20"/>
        </w:rPr>
        <w:t> </w:t>
      </w:r>
      <w:r>
        <w:rPr>
          <w:color w:val="231F20"/>
          <w:spacing w:val="-2"/>
          <w:sz w:val="20"/>
        </w:rPr>
        <w:t>чужды.</w:t>
      </w:r>
    </w:p>
    <w:p>
      <w:pPr>
        <w:pStyle w:val="ListParagraph"/>
        <w:numPr>
          <w:ilvl w:val="0"/>
          <w:numId w:val="239"/>
        </w:numPr>
        <w:tabs>
          <w:tab w:pos="425" w:val="left" w:leader="none"/>
        </w:tabs>
        <w:spacing w:line="232" w:lineRule="auto" w:before="4" w:after="0"/>
        <w:ind w:left="425" w:right="139" w:hanging="284"/>
        <w:jc w:val="left"/>
        <w:rPr>
          <w:sz w:val="20"/>
        </w:rPr>
      </w:pPr>
      <w:r>
        <w:rPr>
          <w:color w:val="231F20"/>
          <w:spacing w:val="-2"/>
          <w:sz w:val="20"/>
        </w:rPr>
        <w:t>Я проверяю правильность моего понимания другой культуры в процессе межкуль- </w:t>
      </w:r>
      <w:r>
        <w:rPr>
          <w:color w:val="231F20"/>
          <w:sz w:val="20"/>
        </w:rPr>
        <w:t>турного общения.</w:t>
      </w:r>
    </w:p>
    <w:p>
      <w:pPr>
        <w:pStyle w:val="ListParagraph"/>
        <w:numPr>
          <w:ilvl w:val="0"/>
          <w:numId w:val="239"/>
        </w:numPr>
        <w:tabs>
          <w:tab w:pos="430" w:val="left" w:leader="none"/>
        </w:tabs>
        <w:spacing w:line="223" w:lineRule="exact" w:before="0" w:after="0"/>
        <w:ind w:left="430" w:right="0" w:hanging="289"/>
        <w:jc w:val="left"/>
        <w:rPr>
          <w:sz w:val="20"/>
        </w:rPr>
      </w:pPr>
      <w:r>
        <w:rPr>
          <w:color w:val="231F20"/>
          <w:spacing w:val="-2"/>
          <w:sz w:val="20"/>
        </w:rPr>
        <w:t>После</w:t>
      </w:r>
      <w:r>
        <w:rPr>
          <w:color w:val="231F20"/>
          <w:spacing w:val="-7"/>
          <w:sz w:val="20"/>
        </w:rPr>
        <w:t> </w:t>
      </w:r>
      <w:r>
        <w:rPr>
          <w:color w:val="231F20"/>
          <w:spacing w:val="-2"/>
          <w:sz w:val="20"/>
        </w:rPr>
        <w:t>общения</w:t>
      </w:r>
      <w:r>
        <w:rPr>
          <w:color w:val="231F20"/>
          <w:spacing w:val="-6"/>
          <w:sz w:val="20"/>
        </w:rPr>
        <w:t> </w:t>
      </w:r>
      <w:r>
        <w:rPr>
          <w:color w:val="231F20"/>
          <w:spacing w:val="-2"/>
          <w:sz w:val="20"/>
        </w:rPr>
        <w:t>с</w:t>
      </w:r>
      <w:r>
        <w:rPr>
          <w:color w:val="231F20"/>
          <w:spacing w:val="-6"/>
          <w:sz w:val="20"/>
        </w:rPr>
        <w:t> </w:t>
      </w:r>
      <w:r>
        <w:rPr>
          <w:color w:val="231F20"/>
          <w:spacing w:val="-2"/>
          <w:sz w:val="20"/>
        </w:rPr>
        <w:t>людьми</w:t>
      </w:r>
      <w:r>
        <w:rPr>
          <w:color w:val="231F20"/>
          <w:spacing w:val="-7"/>
          <w:sz w:val="20"/>
        </w:rPr>
        <w:t> </w:t>
      </w:r>
      <w:r>
        <w:rPr>
          <w:color w:val="231F20"/>
          <w:spacing w:val="-2"/>
          <w:sz w:val="20"/>
        </w:rPr>
        <w:t>другой</w:t>
      </w:r>
      <w:r>
        <w:rPr>
          <w:color w:val="231F20"/>
          <w:spacing w:val="-6"/>
          <w:sz w:val="20"/>
        </w:rPr>
        <w:t> </w:t>
      </w:r>
      <w:r>
        <w:rPr>
          <w:color w:val="231F20"/>
          <w:spacing w:val="-2"/>
          <w:sz w:val="20"/>
        </w:rPr>
        <w:t>культуры</w:t>
      </w:r>
      <w:r>
        <w:rPr>
          <w:color w:val="231F20"/>
          <w:spacing w:val="-6"/>
          <w:sz w:val="20"/>
        </w:rPr>
        <w:t> </w:t>
      </w:r>
      <w:r>
        <w:rPr>
          <w:color w:val="231F20"/>
          <w:spacing w:val="-2"/>
          <w:sz w:val="20"/>
        </w:rPr>
        <w:t>я</w:t>
      </w:r>
      <w:r>
        <w:rPr>
          <w:color w:val="231F20"/>
          <w:spacing w:val="-7"/>
          <w:sz w:val="20"/>
        </w:rPr>
        <w:t> </w:t>
      </w:r>
      <w:r>
        <w:rPr>
          <w:color w:val="231F20"/>
          <w:spacing w:val="-2"/>
          <w:sz w:val="20"/>
        </w:rPr>
        <w:t>чувствую</w:t>
      </w:r>
      <w:r>
        <w:rPr>
          <w:color w:val="231F20"/>
          <w:spacing w:val="-6"/>
          <w:sz w:val="20"/>
        </w:rPr>
        <w:t> </w:t>
      </w:r>
      <w:r>
        <w:rPr>
          <w:color w:val="231F20"/>
          <w:spacing w:val="-2"/>
          <w:sz w:val="20"/>
        </w:rPr>
        <w:t>себя</w:t>
      </w:r>
      <w:r>
        <w:rPr>
          <w:color w:val="231F20"/>
          <w:spacing w:val="-6"/>
          <w:sz w:val="20"/>
        </w:rPr>
        <w:t> </w:t>
      </w:r>
      <w:r>
        <w:rPr>
          <w:color w:val="231F20"/>
          <w:spacing w:val="-2"/>
          <w:sz w:val="20"/>
        </w:rPr>
        <w:t>совершенно</w:t>
      </w:r>
      <w:r>
        <w:rPr>
          <w:color w:val="231F20"/>
          <w:spacing w:val="-6"/>
          <w:sz w:val="20"/>
        </w:rPr>
        <w:t> </w:t>
      </w:r>
      <w:r>
        <w:rPr>
          <w:color w:val="231F20"/>
          <w:spacing w:val="-2"/>
          <w:sz w:val="20"/>
        </w:rPr>
        <w:t>разбитым.</w:t>
      </w:r>
    </w:p>
    <w:p>
      <w:pPr>
        <w:pStyle w:val="ListParagraph"/>
        <w:numPr>
          <w:ilvl w:val="0"/>
          <w:numId w:val="239"/>
        </w:numPr>
        <w:tabs>
          <w:tab w:pos="433" w:val="left" w:leader="none"/>
        </w:tabs>
        <w:spacing w:line="224" w:lineRule="exact" w:before="0" w:after="0"/>
        <w:ind w:left="433" w:right="0" w:hanging="292"/>
        <w:jc w:val="left"/>
        <w:rPr>
          <w:sz w:val="20"/>
        </w:rPr>
      </w:pPr>
      <w:r>
        <w:rPr>
          <w:color w:val="231F20"/>
          <w:sz w:val="20"/>
        </w:rPr>
        <w:t>Есть</w:t>
      </w:r>
      <w:r>
        <w:rPr>
          <w:color w:val="231F20"/>
          <w:spacing w:val="-9"/>
          <w:sz w:val="20"/>
        </w:rPr>
        <w:t> </w:t>
      </w:r>
      <w:r>
        <w:rPr>
          <w:color w:val="231F20"/>
          <w:sz w:val="20"/>
        </w:rPr>
        <w:t>такие</w:t>
      </w:r>
      <w:r>
        <w:rPr>
          <w:color w:val="231F20"/>
          <w:spacing w:val="-7"/>
          <w:sz w:val="20"/>
        </w:rPr>
        <w:t> </w:t>
      </w:r>
      <w:r>
        <w:rPr>
          <w:color w:val="231F20"/>
          <w:sz w:val="20"/>
        </w:rPr>
        <w:t>культуры,</w:t>
      </w:r>
      <w:r>
        <w:rPr>
          <w:color w:val="231F20"/>
          <w:spacing w:val="-8"/>
          <w:sz w:val="20"/>
        </w:rPr>
        <w:t> </w:t>
      </w:r>
      <w:r>
        <w:rPr>
          <w:color w:val="231F20"/>
          <w:sz w:val="20"/>
        </w:rPr>
        <w:t>к</w:t>
      </w:r>
      <w:r>
        <w:rPr>
          <w:color w:val="231F20"/>
          <w:spacing w:val="-7"/>
          <w:sz w:val="20"/>
        </w:rPr>
        <w:t> </w:t>
      </w:r>
      <w:r>
        <w:rPr>
          <w:color w:val="231F20"/>
          <w:sz w:val="20"/>
        </w:rPr>
        <w:t>которым</w:t>
      </w:r>
      <w:r>
        <w:rPr>
          <w:color w:val="231F20"/>
          <w:spacing w:val="-8"/>
          <w:sz w:val="20"/>
        </w:rPr>
        <w:t> </w:t>
      </w:r>
      <w:r>
        <w:rPr>
          <w:color w:val="231F20"/>
          <w:sz w:val="20"/>
        </w:rPr>
        <w:t>я</w:t>
      </w:r>
      <w:r>
        <w:rPr>
          <w:color w:val="231F20"/>
          <w:spacing w:val="-7"/>
          <w:sz w:val="20"/>
        </w:rPr>
        <w:t> </w:t>
      </w:r>
      <w:r>
        <w:rPr>
          <w:color w:val="231F20"/>
          <w:sz w:val="20"/>
        </w:rPr>
        <w:t>испытываю</w:t>
      </w:r>
      <w:r>
        <w:rPr>
          <w:color w:val="231F20"/>
          <w:spacing w:val="-8"/>
          <w:sz w:val="20"/>
        </w:rPr>
        <w:t> </w:t>
      </w:r>
      <w:r>
        <w:rPr>
          <w:color w:val="231F20"/>
          <w:spacing w:val="-2"/>
          <w:sz w:val="20"/>
        </w:rPr>
        <w:t>презрение.</w:t>
      </w:r>
    </w:p>
    <w:p>
      <w:pPr>
        <w:pStyle w:val="ListParagraph"/>
        <w:numPr>
          <w:ilvl w:val="0"/>
          <w:numId w:val="239"/>
        </w:numPr>
        <w:tabs>
          <w:tab w:pos="425" w:val="left" w:leader="none"/>
          <w:tab w:pos="440" w:val="left" w:leader="none"/>
        </w:tabs>
        <w:spacing w:line="232" w:lineRule="auto" w:before="2" w:after="0"/>
        <w:ind w:left="425" w:right="139" w:hanging="284"/>
        <w:jc w:val="left"/>
        <w:rPr>
          <w:sz w:val="20"/>
        </w:rPr>
      </w:pPr>
      <w:r>
        <w:rPr>
          <w:color w:val="231F20"/>
          <w:sz w:val="20"/>
        </w:rPr>
        <w:t>Мне</w:t>
      </w:r>
      <w:r>
        <w:rPr>
          <w:color w:val="231F20"/>
          <w:sz w:val="20"/>
        </w:rPr>
        <w:t> нравится</w:t>
      </w:r>
      <w:r>
        <w:rPr>
          <w:color w:val="231F20"/>
          <w:spacing w:val="-11"/>
          <w:sz w:val="20"/>
        </w:rPr>
        <w:t> </w:t>
      </w:r>
      <w:r>
        <w:rPr>
          <w:color w:val="231F20"/>
          <w:sz w:val="20"/>
        </w:rPr>
        <w:t>общаться</w:t>
      </w:r>
      <w:r>
        <w:rPr>
          <w:color w:val="231F20"/>
          <w:spacing w:val="-11"/>
          <w:sz w:val="20"/>
        </w:rPr>
        <w:t> </w:t>
      </w:r>
      <w:r>
        <w:rPr>
          <w:color w:val="231F20"/>
          <w:sz w:val="20"/>
        </w:rPr>
        <w:t>с</w:t>
      </w:r>
      <w:r>
        <w:rPr>
          <w:color w:val="231F20"/>
          <w:spacing w:val="-11"/>
          <w:sz w:val="20"/>
        </w:rPr>
        <w:t> </w:t>
      </w:r>
      <w:r>
        <w:rPr>
          <w:color w:val="231F20"/>
          <w:sz w:val="20"/>
        </w:rPr>
        <w:t>людьми</w:t>
      </w:r>
      <w:r>
        <w:rPr>
          <w:color w:val="231F20"/>
          <w:spacing w:val="-11"/>
          <w:sz w:val="20"/>
        </w:rPr>
        <w:t> </w:t>
      </w:r>
      <w:r>
        <w:rPr>
          <w:color w:val="231F20"/>
          <w:sz w:val="20"/>
        </w:rPr>
        <w:t>другой</w:t>
      </w:r>
      <w:r>
        <w:rPr>
          <w:color w:val="231F20"/>
          <w:spacing w:val="-11"/>
          <w:sz w:val="20"/>
        </w:rPr>
        <w:t> </w:t>
      </w:r>
      <w:r>
        <w:rPr>
          <w:color w:val="231F20"/>
          <w:sz w:val="20"/>
        </w:rPr>
        <w:t>культуры,</w:t>
      </w:r>
      <w:r>
        <w:rPr>
          <w:color w:val="231F20"/>
          <w:spacing w:val="-11"/>
          <w:sz w:val="20"/>
        </w:rPr>
        <w:t> </w:t>
      </w:r>
      <w:r>
        <w:rPr>
          <w:color w:val="231F20"/>
          <w:sz w:val="20"/>
        </w:rPr>
        <w:t>которая</w:t>
      </w:r>
      <w:r>
        <w:rPr>
          <w:color w:val="231F20"/>
          <w:spacing w:val="-11"/>
          <w:sz w:val="20"/>
        </w:rPr>
        <w:t> </w:t>
      </w:r>
      <w:r>
        <w:rPr>
          <w:color w:val="231F20"/>
          <w:sz w:val="20"/>
        </w:rPr>
        <w:t>существенно</w:t>
      </w:r>
      <w:r>
        <w:rPr>
          <w:color w:val="231F20"/>
          <w:spacing w:val="-11"/>
          <w:sz w:val="20"/>
        </w:rPr>
        <w:t> </w:t>
      </w:r>
      <w:r>
        <w:rPr>
          <w:color w:val="231F20"/>
          <w:sz w:val="20"/>
        </w:rPr>
        <w:t>отлича- ется от моей.</w:t>
      </w:r>
    </w:p>
    <w:p>
      <w:pPr>
        <w:pStyle w:val="ListParagraph"/>
        <w:numPr>
          <w:ilvl w:val="0"/>
          <w:numId w:val="239"/>
        </w:numPr>
        <w:tabs>
          <w:tab w:pos="441" w:val="left" w:leader="none"/>
        </w:tabs>
        <w:spacing w:line="223" w:lineRule="exact" w:before="0" w:after="0"/>
        <w:ind w:left="441" w:right="0" w:hanging="300"/>
        <w:jc w:val="left"/>
        <w:rPr>
          <w:sz w:val="20"/>
        </w:rPr>
      </w:pPr>
      <w:r>
        <w:rPr>
          <w:color w:val="231F20"/>
          <w:sz w:val="20"/>
        </w:rPr>
        <w:t>Я</w:t>
      </w:r>
      <w:r>
        <w:rPr>
          <w:color w:val="231F20"/>
          <w:spacing w:val="-8"/>
          <w:sz w:val="20"/>
        </w:rPr>
        <w:t> </w:t>
      </w:r>
      <w:r>
        <w:rPr>
          <w:color w:val="231F20"/>
          <w:sz w:val="20"/>
        </w:rPr>
        <w:t>доверяю</w:t>
      </w:r>
      <w:r>
        <w:rPr>
          <w:color w:val="231F20"/>
          <w:spacing w:val="-7"/>
          <w:sz w:val="20"/>
        </w:rPr>
        <w:t> </w:t>
      </w:r>
      <w:r>
        <w:rPr>
          <w:color w:val="231F20"/>
          <w:sz w:val="20"/>
        </w:rPr>
        <w:t>только</w:t>
      </w:r>
      <w:r>
        <w:rPr>
          <w:color w:val="231F20"/>
          <w:spacing w:val="-8"/>
          <w:sz w:val="20"/>
        </w:rPr>
        <w:t> </w:t>
      </w:r>
      <w:r>
        <w:rPr>
          <w:color w:val="231F20"/>
          <w:sz w:val="20"/>
        </w:rPr>
        <w:t>людям</w:t>
      </w:r>
      <w:r>
        <w:rPr>
          <w:color w:val="231F20"/>
          <w:spacing w:val="-7"/>
          <w:sz w:val="20"/>
        </w:rPr>
        <w:t> </w:t>
      </w:r>
      <w:r>
        <w:rPr>
          <w:color w:val="231F20"/>
          <w:sz w:val="20"/>
        </w:rPr>
        <w:t>моей</w:t>
      </w:r>
      <w:r>
        <w:rPr>
          <w:color w:val="231F20"/>
          <w:spacing w:val="-7"/>
          <w:sz w:val="20"/>
        </w:rPr>
        <w:t> </w:t>
      </w:r>
      <w:r>
        <w:rPr>
          <w:color w:val="231F20"/>
          <w:spacing w:val="-2"/>
          <w:sz w:val="20"/>
        </w:rPr>
        <w:t>культуры.</w:t>
      </w:r>
    </w:p>
    <w:p>
      <w:pPr>
        <w:pStyle w:val="ListParagraph"/>
        <w:numPr>
          <w:ilvl w:val="0"/>
          <w:numId w:val="239"/>
        </w:numPr>
        <w:tabs>
          <w:tab w:pos="425" w:val="left" w:leader="none"/>
          <w:tab w:pos="438" w:val="left" w:leader="none"/>
        </w:tabs>
        <w:spacing w:line="232" w:lineRule="auto" w:before="3" w:after="0"/>
        <w:ind w:left="425" w:right="139" w:hanging="284"/>
        <w:jc w:val="left"/>
        <w:rPr>
          <w:sz w:val="20"/>
        </w:rPr>
      </w:pPr>
      <w:r>
        <w:rPr>
          <w:color w:val="231F20"/>
          <w:sz w:val="20"/>
        </w:rPr>
        <w:t>Я</w:t>
      </w:r>
      <w:r>
        <w:rPr>
          <w:color w:val="231F20"/>
          <w:spacing w:val="-1"/>
          <w:sz w:val="20"/>
        </w:rPr>
        <w:t> </w:t>
      </w:r>
      <w:r>
        <w:rPr>
          <w:color w:val="231F20"/>
          <w:sz w:val="20"/>
        </w:rPr>
        <w:t>корректирую</w:t>
      </w:r>
      <w:r>
        <w:rPr>
          <w:color w:val="231F20"/>
          <w:spacing w:val="-11"/>
          <w:sz w:val="20"/>
        </w:rPr>
        <w:t> </w:t>
      </w:r>
      <w:r>
        <w:rPr>
          <w:color w:val="231F20"/>
          <w:sz w:val="20"/>
        </w:rPr>
        <w:t>свои</w:t>
      </w:r>
      <w:r>
        <w:rPr>
          <w:color w:val="231F20"/>
          <w:spacing w:val="-11"/>
          <w:sz w:val="20"/>
        </w:rPr>
        <w:t> </w:t>
      </w:r>
      <w:r>
        <w:rPr>
          <w:color w:val="231F20"/>
          <w:sz w:val="20"/>
        </w:rPr>
        <w:t>представления</w:t>
      </w:r>
      <w:r>
        <w:rPr>
          <w:color w:val="231F20"/>
          <w:spacing w:val="-11"/>
          <w:sz w:val="20"/>
        </w:rPr>
        <w:t> </w:t>
      </w:r>
      <w:r>
        <w:rPr>
          <w:color w:val="231F20"/>
          <w:sz w:val="20"/>
        </w:rPr>
        <w:t>о</w:t>
      </w:r>
      <w:r>
        <w:rPr>
          <w:color w:val="231F20"/>
          <w:spacing w:val="-11"/>
          <w:sz w:val="20"/>
        </w:rPr>
        <w:t> </w:t>
      </w:r>
      <w:r>
        <w:rPr>
          <w:color w:val="231F20"/>
          <w:sz w:val="20"/>
        </w:rPr>
        <w:t>другой</w:t>
      </w:r>
      <w:r>
        <w:rPr>
          <w:color w:val="231F20"/>
          <w:spacing w:val="-11"/>
          <w:sz w:val="20"/>
        </w:rPr>
        <w:t> </w:t>
      </w:r>
      <w:r>
        <w:rPr>
          <w:color w:val="231F20"/>
          <w:sz w:val="20"/>
        </w:rPr>
        <w:t>культуре</w:t>
      </w:r>
      <w:r>
        <w:rPr>
          <w:color w:val="231F20"/>
          <w:spacing w:val="-11"/>
          <w:sz w:val="20"/>
        </w:rPr>
        <w:t> </w:t>
      </w:r>
      <w:r>
        <w:rPr>
          <w:color w:val="231F20"/>
          <w:sz w:val="20"/>
        </w:rPr>
        <w:t>в</w:t>
      </w:r>
      <w:r>
        <w:rPr>
          <w:color w:val="231F20"/>
          <w:spacing w:val="-11"/>
          <w:sz w:val="20"/>
        </w:rPr>
        <w:t> </w:t>
      </w:r>
      <w:r>
        <w:rPr>
          <w:color w:val="231F20"/>
          <w:sz w:val="20"/>
        </w:rPr>
        <w:t>процессе</w:t>
      </w:r>
      <w:r>
        <w:rPr>
          <w:color w:val="231F20"/>
          <w:spacing w:val="-11"/>
          <w:sz w:val="20"/>
        </w:rPr>
        <w:t> </w:t>
      </w:r>
      <w:r>
        <w:rPr>
          <w:color w:val="231F20"/>
          <w:sz w:val="20"/>
        </w:rPr>
        <w:t>взаимодействия с ее носителями.</w:t>
      </w:r>
    </w:p>
    <w:p>
      <w:pPr>
        <w:pStyle w:val="ListParagraph"/>
        <w:numPr>
          <w:ilvl w:val="0"/>
          <w:numId w:val="239"/>
        </w:numPr>
        <w:tabs>
          <w:tab w:pos="441" w:val="left" w:leader="none"/>
        </w:tabs>
        <w:spacing w:line="223" w:lineRule="exact" w:before="0" w:after="0"/>
        <w:ind w:left="441" w:right="0" w:hanging="300"/>
        <w:jc w:val="left"/>
        <w:rPr>
          <w:sz w:val="20"/>
        </w:rPr>
      </w:pPr>
      <w:r>
        <w:rPr>
          <w:color w:val="231F20"/>
          <w:sz w:val="20"/>
        </w:rPr>
        <w:t>От</w:t>
      </w:r>
      <w:r>
        <w:rPr>
          <w:color w:val="231F20"/>
          <w:spacing w:val="-7"/>
          <w:sz w:val="20"/>
        </w:rPr>
        <w:t> </w:t>
      </w:r>
      <w:r>
        <w:rPr>
          <w:color w:val="231F20"/>
          <w:sz w:val="20"/>
        </w:rPr>
        <w:t>межкультурного</w:t>
      </w:r>
      <w:r>
        <w:rPr>
          <w:color w:val="231F20"/>
          <w:spacing w:val="-6"/>
          <w:sz w:val="20"/>
        </w:rPr>
        <w:t> </w:t>
      </w:r>
      <w:r>
        <w:rPr>
          <w:color w:val="231F20"/>
          <w:sz w:val="20"/>
        </w:rPr>
        <w:t>общения</w:t>
      </w:r>
      <w:r>
        <w:rPr>
          <w:color w:val="231F20"/>
          <w:spacing w:val="-6"/>
          <w:sz w:val="20"/>
        </w:rPr>
        <w:t> </w:t>
      </w:r>
      <w:r>
        <w:rPr>
          <w:color w:val="231F20"/>
          <w:sz w:val="20"/>
        </w:rPr>
        <w:t>я</w:t>
      </w:r>
      <w:r>
        <w:rPr>
          <w:color w:val="231F20"/>
          <w:spacing w:val="-6"/>
          <w:sz w:val="20"/>
        </w:rPr>
        <w:t> </w:t>
      </w:r>
      <w:r>
        <w:rPr>
          <w:color w:val="231F20"/>
          <w:sz w:val="20"/>
        </w:rPr>
        <w:t>не</w:t>
      </w:r>
      <w:r>
        <w:rPr>
          <w:color w:val="231F20"/>
          <w:spacing w:val="-6"/>
          <w:sz w:val="20"/>
        </w:rPr>
        <w:t> </w:t>
      </w:r>
      <w:r>
        <w:rPr>
          <w:color w:val="231F20"/>
          <w:sz w:val="20"/>
        </w:rPr>
        <w:t>жду</w:t>
      </w:r>
      <w:r>
        <w:rPr>
          <w:color w:val="231F20"/>
          <w:spacing w:val="-6"/>
          <w:sz w:val="20"/>
        </w:rPr>
        <w:t> </w:t>
      </w:r>
      <w:r>
        <w:rPr>
          <w:color w:val="231F20"/>
          <w:sz w:val="20"/>
        </w:rPr>
        <w:t>ничего</w:t>
      </w:r>
      <w:r>
        <w:rPr>
          <w:color w:val="231F20"/>
          <w:spacing w:val="-6"/>
          <w:sz w:val="20"/>
        </w:rPr>
        <w:t> </w:t>
      </w:r>
      <w:r>
        <w:rPr>
          <w:color w:val="231F20"/>
          <w:spacing w:val="-2"/>
          <w:sz w:val="20"/>
        </w:rPr>
        <w:t>хорошего.</w:t>
      </w:r>
    </w:p>
    <w:p>
      <w:pPr>
        <w:pStyle w:val="ListParagraph"/>
        <w:numPr>
          <w:ilvl w:val="0"/>
          <w:numId w:val="239"/>
        </w:numPr>
        <w:tabs>
          <w:tab w:pos="441" w:val="left" w:leader="none"/>
        </w:tabs>
        <w:spacing w:line="224" w:lineRule="exact" w:before="0" w:after="0"/>
        <w:ind w:left="441" w:right="0" w:hanging="300"/>
        <w:jc w:val="left"/>
        <w:rPr>
          <w:sz w:val="20"/>
        </w:rPr>
      </w:pPr>
      <w:r>
        <w:rPr>
          <w:color w:val="231F20"/>
          <w:sz w:val="20"/>
        </w:rPr>
        <w:t>Есть</w:t>
      </w:r>
      <w:r>
        <w:rPr>
          <w:color w:val="231F20"/>
          <w:spacing w:val="-8"/>
          <w:sz w:val="20"/>
        </w:rPr>
        <w:t> </w:t>
      </w:r>
      <w:r>
        <w:rPr>
          <w:color w:val="231F20"/>
          <w:sz w:val="20"/>
        </w:rPr>
        <w:t>такие</w:t>
      </w:r>
      <w:r>
        <w:rPr>
          <w:color w:val="231F20"/>
          <w:spacing w:val="-7"/>
          <w:sz w:val="20"/>
        </w:rPr>
        <w:t> </w:t>
      </w:r>
      <w:r>
        <w:rPr>
          <w:color w:val="231F20"/>
          <w:sz w:val="20"/>
        </w:rPr>
        <w:t>культуры,</w:t>
      </w:r>
      <w:r>
        <w:rPr>
          <w:color w:val="231F20"/>
          <w:spacing w:val="-7"/>
          <w:sz w:val="20"/>
        </w:rPr>
        <w:t> </w:t>
      </w:r>
      <w:r>
        <w:rPr>
          <w:color w:val="231F20"/>
          <w:sz w:val="20"/>
        </w:rPr>
        <w:t>где</w:t>
      </w:r>
      <w:r>
        <w:rPr>
          <w:color w:val="231F20"/>
          <w:spacing w:val="-7"/>
          <w:sz w:val="20"/>
        </w:rPr>
        <w:t> </w:t>
      </w:r>
      <w:r>
        <w:rPr>
          <w:color w:val="231F20"/>
          <w:sz w:val="20"/>
        </w:rPr>
        <w:t>почти</w:t>
      </w:r>
      <w:r>
        <w:rPr>
          <w:color w:val="231F20"/>
          <w:spacing w:val="-8"/>
          <w:sz w:val="20"/>
        </w:rPr>
        <w:t> </w:t>
      </w:r>
      <w:r>
        <w:rPr>
          <w:color w:val="231F20"/>
          <w:sz w:val="20"/>
        </w:rPr>
        <w:t>все</w:t>
      </w:r>
      <w:r>
        <w:rPr>
          <w:color w:val="231F20"/>
          <w:spacing w:val="-7"/>
          <w:sz w:val="20"/>
        </w:rPr>
        <w:t> </w:t>
      </w:r>
      <w:r>
        <w:rPr>
          <w:color w:val="231F20"/>
          <w:sz w:val="20"/>
        </w:rPr>
        <w:t>плохие</w:t>
      </w:r>
      <w:r>
        <w:rPr>
          <w:color w:val="231F20"/>
          <w:spacing w:val="-6"/>
          <w:sz w:val="20"/>
        </w:rPr>
        <w:t> </w:t>
      </w:r>
      <w:r>
        <w:rPr>
          <w:color w:val="231F20"/>
          <w:spacing w:val="-2"/>
          <w:sz w:val="20"/>
        </w:rPr>
        <w:t>люди.</w:t>
      </w:r>
    </w:p>
    <w:p>
      <w:pPr>
        <w:pStyle w:val="ListParagraph"/>
        <w:numPr>
          <w:ilvl w:val="0"/>
          <w:numId w:val="239"/>
        </w:numPr>
        <w:tabs>
          <w:tab w:pos="425" w:val="left" w:leader="none"/>
          <w:tab w:pos="473" w:val="left" w:leader="none"/>
        </w:tabs>
        <w:spacing w:line="232" w:lineRule="auto" w:before="2" w:after="0"/>
        <w:ind w:left="425" w:right="140" w:hanging="284"/>
        <w:jc w:val="left"/>
        <w:rPr>
          <w:sz w:val="20"/>
        </w:rPr>
      </w:pPr>
      <w:r>
        <w:rPr>
          <w:color w:val="231F20"/>
          <w:sz w:val="20"/>
        </w:rPr>
        <w:t>Я</w:t>
      </w:r>
      <w:r>
        <w:rPr>
          <w:color w:val="231F20"/>
          <w:spacing w:val="40"/>
          <w:sz w:val="20"/>
        </w:rPr>
        <w:t> </w:t>
      </w:r>
      <w:r>
        <w:rPr>
          <w:color w:val="231F20"/>
          <w:sz w:val="20"/>
        </w:rPr>
        <w:t>могу</w:t>
      </w:r>
      <w:r>
        <w:rPr>
          <w:color w:val="231F20"/>
          <w:spacing w:val="24"/>
          <w:sz w:val="20"/>
        </w:rPr>
        <w:t> </w:t>
      </w:r>
      <w:r>
        <w:rPr>
          <w:color w:val="231F20"/>
          <w:sz w:val="20"/>
        </w:rPr>
        <w:t>преодолевать</w:t>
      </w:r>
      <w:r>
        <w:rPr>
          <w:color w:val="231F20"/>
          <w:spacing w:val="24"/>
          <w:sz w:val="20"/>
        </w:rPr>
        <w:t> </w:t>
      </w:r>
      <w:r>
        <w:rPr>
          <w:color w:val="231F20"/>
          <w:sz w:val="20"/>
        </w:rPr>
        <w:t>трудности,</w:t>
      </w:r>
      <w:r>
        <w:rPr>
          <w:color w:val="231F20"/>
          <w:spacing w:val="24"/>
          <w:sz w:val="20"/>
        </w:rPr>
        <w:t> </w:t>
      </w:r>
      <w:r>
        <w:rPr>
          <w:color w:val="231F20"/>
          <w:sz w:val="20"/>
        </w:rPr>
        <w:t>возникающие</w:t>
      </w:r>
      <w:r>
        <w:rPr>
          <w:color w:val="231F20"/>
          <w:spacing w:val="24"/>
          <w:sz w:val="20"/>
        </w:rPr>
        <w:t> </w:t>
      </w:r>
      <w:r>
        <w:rPr>
          <w:color w:val="231F20"/>
          <w:sz w:val="20"/>
        </w:rPr>
        <w:t>при</w:t>
      </w:r>
      <w:r>
        <w:rPr>
          <w:color w:val="231F20"/>
          <w:spacing w:val="24"/>
          <w:sz w:val="20"/>
        </w:rPr>
        <w:t> </w:t>
      </w:r>
      <w:r>
        <w:rPr>
          <w:color w:val="231F20"/>
          <w:sz w:val="20"/>
        </w:rPr>
        <w:t>общении</w:t>
      </w:r>
      <w:r>
        <w:rPr>
          <w:color w:val="231F20"/>
          <w:spacing w:val="24"/>
          <w:sz w:val="20"/>
        </w:rPr>
        <w:t> </w:t>
      </w:r>
      <w:r>
        <w:rPr>
          <w:color w:val="231F20"/>
          <w:sz w:val="20"/>
        </w:rPr>
        <w:t>с</w:t>
      </w:r>
      <w:r>
        <w:rPr>
          <w:color w:val="231F20"/>
          <w:spacing w:val="24"/>
          <w:sz w:val="20"/>
        </w:rPr>
        <w:t> </w:t>
      </w:r>
      <w:r>
        <w:rPr>
          <w:color w:val="231F20"/>
          <w:sz w:val="20"/>
        </w:rPr>
        <w:t>людьми</w:t>
      </w:r>
      <w:r>
        <w:rPr>
          <w:color w:val="231F20"/>
          <w:spacing w:val="24"/>
          <w:sz w:val="20"/>
        </w:rPr>
        <w:t> </w:t>
      </w:r>
      <w:r>
        <w:rPr>
          <w:color w:val="231F20"/>
          <w:sz w:val="20"/>
        </w:rPr>
        <w:t>другой </w:t>
      </w:r>
      <w:r>
        <w:rPr>
          <w:color w:val="231F20"/>
          <w:spacing w:val="-2"/>
          <w:sz w:val="20"/>
        </w:rPr>
        <w:t>культуры.</w:t>
      </w:r>
    </w:p>
    <w:p>
      <w:pPr>
        <w:pStyle w:val="ListParagraph"/>
        <w:numPr>
          <w:ilvl w:val="0"/>
          <w:numId w:val="239"/>
        </w:numPr>
        <w:tabs>
          <w:tab w:pos="441" w:val="left" w:leader="none"/>
        </w:tabs>
        <w:spacing w:line="226" w:lineRule="exact" w:before="0" w:after="0"/>
        <w:ind w:left="441" w:right="0" w:hanging="300"/>
        <w:jc w:val="left"/>
        <w:rPr>
          <w:sz w:val="20"/>
        </w:rPr>
      </w:pPr>
      <w:r>
        <w:rPr>
          <w:color w:val="231F20"/>
          <w:sz w:val="20"/>
        </w:rPr>
        <w:t>После</w:t>
      </w:r>
      <w:r>
        <w:rPr>
          <w:color w:val="231F20"/>
          <w:spacing w:val="-9"/>
          <w:sz w:val="20"/>
        </w:rPr>
        <w:t> </w:t>
      </w:r>
      <w:r>
        <w:rPr>
          <w:color w:val="231F20"/>
          <w:sz w:val="20"/>
        </w:rPr>
        <w:t>общения</w:t>
      </w:r>
      <w:r>
        <w:rPr>
          <w:color w:val="231F20"/>
          <w:spacing w:val="-6"/>
          <w:sz w:val="20"/>
        </w:rPr>
        <w:t> </w:t>
      </w:r>
      <w:r>
        <w:rPr>
          <w:color w:val="231F20"/>
          <w:sz w:val="20"/>
        </w:rPr>
        <w:t>с</w:t>
      </w:r>
      <w:r>
        <w:rPr>
          <w:color w:val="231F20"/>
          <w:spacing w:val="-6"/>
          <w:sz w:val="20"/>
        </w:rPr>
        <w:t> </w:t>
      </w:r>
      <w:r>
        <w:rPr>
          <w:color w:val="231F20"/>
          <w:sz w:val="20"/>
        </w:rPr>
        <w:t>человеком</w:t>
      </w:r>
      <w:r>
        <w:rPr>
          <w:color w:val="231F20"/>
          <w:spacing w:val="-6"/>
          <w:sz w:val="20"/>
        </w:rPr>
        <w:t> </w:t>
      </w:r>
      <w:r>
        <w:rPr>
          <w:color w:val="231F20"/>
          <w:sz w:val="20"/>
        </w:rPr>
        <w:t>другой</w:t>
      </w:r>
      <w:r>
        <w:rPr>
          <w:color w:val="231F20"/>
          <w:spacing w:val="-8"/>
          <w:sz w:val="20"/>
        </w:rPr>
        <w:t> </w:t>
      </w:r>
      <w:r>
        <w:rPr>
          <w:color w:val="231F20"/>
          <w:sz w:val="20"/>
        </w:rPr>
        <w:t>культуры</w:t>
      </w:r>
      <w:r>
        <w:rPr>
          <w:color w:val="231F20"/>
          <w:spacing w:val="-6"/>
          <w:sz w:val="20"/>
        </w:rPr>
        <w:t> </w:t>
      </w:r>
      <w:r>
        <w:rPr>
          <w:color w:val="231F20"/>
          <w:sz w:val="20"/>
        </w:rPr>
        <w:t>меня</w:t>
      </w:r>
      <w:r>
        <w:rPr>
          <w:color w:val="231F20"/>
          <w:spacing w:val="-6"/>
          <w:sz w:val="20"/>
        </w:rPr>
        <w:t> </w:t>
      </w:r>
      <w:r>
        <w:rPr>
          <w:color w:val="231F20"/>
          <w:sz w:val="20"/>
        </w:rPr>
        <w:t>терзает</w:t>
      </w:r>
      <w:r>
        <w:rPr>
          <w:color w:val="231F20"/>
          <w:spacing w:val="-6"/>
          <w:sz w:val="20"/>
        </w:rPr>
        <w:t> </w:t>
      </w:r>
      <w:r>
        <w:rPr>
          <w:color w:val="231F20"/>
          <w:sz w:val="20"/>
        </w:rPr>
        <w:t>чувство</w:t>
      </w:r>
      <w:r>
        <w:rPr>
          <w:color w:val="231F20"/>
          <w:spacing w:val="-6"/>
          <w:sz w:val="20"/>
        </w:rPr>
        <w:t> </w:t>
      </w:r>
      <w:r>
        <w:rPr>
          <w:color w:val="231F20"/>
          <w:spacing w:val="-2"/>
          <w:sz w:val="20"/>
        </w:rPr>
        <w:t>вины.</w:t>
      </w:r>
    </w:p>
    <w:p>
      <w:pPr>
        <w:pStyle w:val="BodyText"/>
        <w:spacing w:line="227" w:lineRule="exact" w:before="112"/>
        <w:ind w:left="425" w:right="0" w:firstLine="0"/>
        <w:jc w:val="left"/>
      </w:pPr>
      <w:r>
        <w:rPr>
          <w:color w:val="231F20"/>
          <w:spacing w:val="-4"/>
        </w:rPr>
        <w:t>Ключ:</w:t>
      </w:r>
    </w:p>
    <w:p>
      <w:pPr>
        <w:pStyle w:val="BodyText"/>
        <w:spacing w:line="224" w:lineRule="exact"/>
        <w:ind w:left="425" w:right="0" w:firstLine="0"/>
        <w:jc w:val="left"/>
      </w:pPr>
      <w:r>
        <w:rPr>
          <w:color w:val="231F20"/>
        </w:rPr>
        <w:t>Межкультурная</w:t>
      </w:r>
      <w:r>
        <w:rPr>
          <w:color w:val="231F20"/>
          <w:spacing w:val="-6"/>
        </w:rPr>
        <w:t> </w:t>
      </w:r>
      <w:r>
        <w:rPr>
          <w:color w:val="231F20"/>
        </w:rPr>
        <w:t>стабильность*:</w:t>
      </w:r>
      <w:r>
        <w:rPr>
          <w:color w:val="231F20"/>
          <w:spacing w:val="-4"/>
        </w:rPr>
        <w:t> </w:t>
      </w:r>
      <w:r>
        <w:rPr>
          <w:color w:val="231F20"/>
        </w:rPr>
        <w:t>5,</w:t>
      </w:r>
      <w:r>
        <w:rPr>
          <w:color w:val="231F20"/>
          <w:spacing w:val="-4"/>
        </w:rPr>
        <w:t> </w:t>
      </w:r>
      <w:r>
        <w:rPr>
          <w:color w:val="231F20"/>
        </w:rPr>
        <w:t>10,</w:t>
      </w:r>
      <w:r>
        <w:rPr>
          <w:color w:val="231F20"/>
          <w:spacing w:val="-4"/>
        </w:rPr>
        <w:t> </w:t>
      </w:r>
      <w:r>
        <w:rPr>
          <w:color w:val="231F20"/>
        </w:rPr>
        <w:t>15,</w:t>
      </w:r>
      <w:r>
        <w:rPr>
          <w:color w:val="231F20"/>
          <w:spacing w:val="-4"/>
        </w:rPr>
        <w:t> </w:t>
      </w:r>
      <w:r>
        <w:rPr>
          <w:color w:val="231F20"/>
          <w:spacing w:val="-5"/>
        </w:rPr>
        <w:t>18.</w:t>
      </w:r>
    </w:p>
    <w:p>
      <w:pPr>
        <w:pStyle w:val="BodyText"/>
        <w:spacing w:line="224" w:lineRule="exact"/>
        <w:ind w:left="425" w:right="0" w:firstLine="0"/>
        <w:jc w:val="left"/>
      </w:pPr>
      <w:r>
        <w:rPr>
          <w:color w:val="231F20"/>
        </w:rPr>
        <w:t>Межкультурный</w:t>
      </w:r>
      <w:r>
        <w:rPr>
          <w:color w:val="231F20"/>
          <w:spacing w:val="-8"/>
        </w:rPr>
        <w:t> </w:t>
      </w:r>
      <w:r>
        <w:rPr>
          <w:color w:val="231F20"/>
        </w:rPr>
        <w:t>интерес:</w:t>
      </w:r>
      <w:r>
        <w:rPr>
          <w:color w:val="231F20"/>
          <w:spacing w:val="-6"/>
        </w:rPr>
        <w:t> </w:t>
      </w:r>
      <w:r>
        <w:rPr>
          <w:color w:val="231F20"/>
        </w:rPr>
        <w:t>2,</w:t>
      </w:r>
      <w:r>
        <w:rPr>
          <w:color w:val="231F20"/>
          <w:spacing w:val="-7"/>
        </w:rPr>
        <w:t> </w:t>
      </w:r>
      <w:r>
        <w:rPr>
          <w:color w:val="231F20"/>
        </w:rPr>
        <w:t>7,</w:t>
      </w:r>
      <w:r>
        <w:rPr>
          <w:color w:val="231F20"/>
          <w:spacing w:val="-6"/>
        </w:rPr>
        <w:t> </w:t>
      </w:r>
      <w:r>
        <w:rPr>
          <w:color w:val="231F20"/>
          <w:spacing w:val="-5"/>
        </w:rPr>
        <w:t>12.</w:t>
      </w:r>
    </w:p>
    <w:p>
      <w:pPr>
        <w:pStyle w:val="BodyText"/>
        <w:spacing w:line="224" w:lineRule="exact"/>
        <w:ind w:left="425" w:right="0" w:firstLine="0"/>
        <w:jc w:val="left"/>
      </w:pPr>
      <w:r>
        <w:rPr>
          <w:color w:val="231F20"/>
        </w:rPr>
        <w:t>Отсутствие</w:t>
      </w:r>
      <w:r>
        <w:rPr>
          <w:color w:val="231F20"/>
          <w:spacing w:val="-4"/>
        </w:rPr>
        <w:t> </w:t>
      </w:r>
      <w:r>
        <w:rPr>
          <w:color w:val="231F20"/>
        </w:rPr>
        <w:t>этноцентризма*:</w:t>
      </w:r>
      <w:r>
        <w:rPr>
          <w:color w:val="231F20"/>
          <w:spacing w:val="-2"/>
        </w:rPr>
        <w:t> </w:t>
      </w:r>
      <w:r>
        <w:rPr>
          <w:color w:val="231F20"/>
        </w:rPr>
        <w:t>3,</w:t>
      </w:r>
      <w:r>
        <w:rPr>
          <w:color w:val="231F20"/>
          <w:spacing w:val="-1"/>
        </w:rPr>
        <w:t> </w:t>
      </w:r>
      <w:r>
        <w:rPr>
          <w:color w:val="231F20"/>
        </w:rPr>
        <w:t>8,</w:t>
      </w:r>
      <w:r>
        <w:rPr>
          <w:color w:val="231F20"/>
          <w:spacing w:val="-2"/>
        </w:rPr>
        <w:t> </w:t>
      </w:r>
      <w:r>
        <w:rPr>
          <w:color w:val="231F20"/>
        </w:rPr>
        <w:t>11,</w:t>
      </w:r>
      <w:r>
        <w:rPr>
          <w:color w:val="231F20"/>
          <w:spacing w:val="-2"/>
        </w:rPr>
        <w:t> </w:t>
      </w:r>
      <w:r>
        <w:rPr>
          <w:color w:val="231F20"/>
        </w:rPr>
        <w:t>13,</w:t>
      </w:r>
      <w:r>
        <w:rPr>
          <w:color w:val="231F20"/>
          <w:spacing w:val="-1"/>
        </w:rPr>
        <w:t> </w:t>
      </w:r>
      <w:r>
        <w:rPr>
          <w:color w:val="231F20"/>
          <w:spacing w:val="-5"/>
        </w:rPr>
        <w:t>16.</w:t>
      </w:r>
    </w:p>
    <w:p>
      <w:pPr>
        <w:pStyle w:val="BodyText"/>
        <w:spacing w:line="227" w:lineRule="exact"/>
        <w:ind w:left="425" w:right="0" w:firstLine="0"/>
        <w:jc w:val="left"/>
      </w:pPr>
      <w:r>
        <w:rPr>
          <w:color w:val="231F20"/>
        </w:rPr>
        <w:t>Управление</w:t>
      </w:r>
      <w:r>
        <w:rPr>
          <w:color w:val="231F20"/>
          <w:spacing w:val="-9"/>
        </w:rPr>
        <w:t> </w:t>
      </w:r>
      <w:r>
        <w:rPr>
          <w:color w:val="231F20"/>
        </w:rPr>
        <w:t>межкультурным</w:t>
      </w:r>
      <w:r>
        <w:rPr>
          <w:color w:val="231F20"/>
          <w:spacing w:val="-7"/>
        </w:rPr>
        <w:t> </w:t>
      </w:r>
      <w:r>
        <w:rPr>
          <w:color w:val="231F20"/>
        </w:rPr>
        <w:t>взаимодействием:</w:t>
      </w:r>
      <w:r>
        <w:rPr>
          <w:color w:val="231F20"/>
          <w:spacing w:val="-7"/>
        </w:rPr>
        <w:t> </w:t>
      </w:r>
      <w:r>
        <w:rPr>
          <w:color w:val="231F20"/>
        </w:rPr>
        <w:t>1,</w:t>
      </w:r>
      <w:r>
        <w:rPr>
          <w:color w:val="231F20"/>
          <w:spacing w:val="-6"/>
        </w:rPr>
        <w:t> </w:t>
      </w:r>
      <w:r>
        <w:rPr>
          <w:color w:val="231F20"/>
        </w:rPr>
        <w:t>4,</w:t>
      </w:r>
      <w:r>
        <w:rPr>
          <w:color w:val="231F20"/>
          <w:spacing w:val="-7"/>
        </w:rPr>
        <w:t> </w:t>
      </w:r>
      <w:r>
        <w:rPr>
          <w:color w:val="231F20"/>
        </w:rPr>
        <w:t>6,</w:t>
      </w:r>
      <w:r>
        <w:rPr>
          <w:color w:val="231F20"/>
          <w:spacing w:val="-7"/>
        </w:rPr>
        <w:t> </w:t>
      </w:r>
      <w:r>
        <w:rPr>
          <w:color w:val="231F20"/>
        </w:rPr>
        <w:t>9,</w:t>
      </w:r>
      <w:r>
        <w:rPr>
          <w:color w:val="231F20"/>
          <w:spacing w:val="-7"/>
        </w:rPr>
        <w:t> </w:t>
      </w:r>
      <w:r>
        <w:rPr>
          <w:color w:val="231F20"/>
        </w:rPr>
        <w:t>14,</w:t>
      </w:r>
      <w:r>
        <w:rPr>
          <w:color w:val="231F20"/>
          <w:spacing w:val="-6"/>
        </w:rPr>
        <w:t> </w:t>
      </w:r>
      <w:r>
        <w:rPr>
          <w:color w:val="231F20"/>
          <w:spacing w:val="-5"/>
        </w:rPr>
        <w:t>17.</w:t>
      </w:r>
    </w:p>
    <w:p>
      <w:pPr>
        <w:spacing w:line="206" w:lineRule="exact" w:before="109"/>
        <w:ind w:left="425" w:right="0" w:firstLine="0"/>
        <w:jc w:val="left"/>
        <w:rPr>
          <w:b/>
          <w:sz w:val="18"/>
        </w:rPr>
      </w:pPr>
      <w:r>
        <w:rPr>
          <w:b/>
          <w:color w:val="231F20"/>
          <w:spacing w:val="-2"/>
          <w:sz w:val="18"/>
        </w:rPr>
        <w:t>Литература</w:t>
      </w:r>
    </w:p>
    <w:p>
      <w:pPr>
        <w:pStyle w:val="ListParagraph"/>
        <w:numPr>
          <w:ilvl w:val="1"/>
          <w:numId w:val="239"/>
        </w:numPr>
        <w:tabs>
          <w:tab w:pos="708" w:val="left" w:leader="none"/>
        </w:tabs>
        <w:spacing w:line="240" w:lineRule="auto" w:before="0" w:after="0"/>
        <w:ind w:left="708" w:right="423" w:hanging="284"/>
        <w:jc w:val="both"/>
        <w:rPr>
          <w:sz w:val="18"/>
        </w:rPr>
      </w:pPr>
      <w:r>
        <w:rPr>
          <w:color w:val="231F20"/>
          <w:sz w:val="18"/>
        </w:rPr>
        <w:t>Величко В.В., Карпиевич Д.В., Карпиевич Е.Ф. и др. Инновационные методы об- учения в гражданском образовании. 2-е изд., доп. Минск : Медисонт, 2001. 166 с.</w:t>
      </w:r>
    </w:p>
    <w:p>
      <w:pPr>
        <w:pStyle w:val="ListParagraph"/>
        <w:numPr>
          <w:ilvl w:val="1"/>
          <w:numId w:val="239"/>
        </w:numPr>
        <w:tabs>
          <w:tab w:pos="708" w:val="left" w:leader="none"/>
        </w:tabs>
        <w:spacing w:line="240" w:lineRule="auto" w:before="0" w:after="0"/>
        <w:ind w:left="708" w:right="423" w:hanging="284"/>
        <w:jc w:val="both"/>
        <w:rPr>
          <w:sz w:val="18"/>
        </w:rPr>
      </w:pPr>
      <w:r>
        <w:rPr>
          <w:color w:val="231F20"/>
          <w:sz w:val="18"/>
        </w:rPr>
        <w:t>Еловикова</w:t>
      </w:r>
      <w:r>
        <w:rPr>
          <w:color w:val="231F20"/>
          <w:spacing w:val="-12"/>
          <w:sz w:val="18"/>
        </w:rPr>
        <w:t> </w:t>
      </w:r>
      <w:r>
        <w:rPr>
          <w:color w:val="231F20"/>
          <w:sz w:val="18"/>
        </w:rPr>
        <w:t>Д.А.</w:t>
      </w:r>
      <w:r>
        <w:rPr>
          <w:color w:val="231F20"/>
          <w:spacing w:val="-11"/>
          <w:sz w:val="18"/>
        </w:rPr>
        <w:t> </w:t>
      </w:r>
      <w:r>
        <w:rPr>
          <w:color w:val="231F20"/>
          <w:sz w:val="18"/>
        </w:rPr>
        <w:t>Работа</w:t>
      </w:r>
      <w:r>
        <w:rPr>
          <w:color w:val="231F20"/>
          <w:spacing w:val="-11"/>
          <w:sz w:val="18"/>
        </w:rPr>
        <w:t> </w:t>
      </w:r>
      <w:r>
        <w:rPr>
          <w:color w:val="231F20"/>
          <w:sz w:val="18"/>
        </w:rPr>
        <w:t>с</w:t>
      </w:r>
      <w:r>
        <w:rPr>
          <w:color w:val="231F20"/>
          <w:spacing w:val="-11"/>
          <w:sz w:val="18"/>
        </w:rPr>
        <w:t> </w:t>
      </w:r>
      <w:r>
        <w:rPr>
          <w:color w:val="231F20"/>
          <w:sz w:val="18"/>
        </w:rPr>
        <w:t>культурными</w:t>
      </w:r>
      <w:r>
        <w:rPr>
          <w:color w:val="231F20"/>
          <w:spacing w:val="-12"/>
          <w:sz w:val="18"/>
        </w:rPr>
        <w:t> </w:t>
      </w:r>
      <w:r>
        <w:rPr>
          <w:color w:val="231F20"/>
          <w:sz w:val="18"/>
        </w:rPr>
        <w:t>ассимиляторами</w:t>
      </w:r>
      <w:r>
        <w:rPr>
          <w:color w:val="231F20"/>
          <w:spacing w:val="-11"/>
          <w:sz w:val="18"/>
        </w:rPr>
        <w:t> </w:t>
      </w:r>
      <w:r>
        <w:rPr>
          <w:color w:val="231F20"/>
          <w:sz w:val="18"/>
        </w:rPr>
        <w:t>как</w:t>
      </w:r>
      <w:r>
        <w:rPr>
          <w:color w:val="231F20"/>
          <w:spacing w:val="-11"/>
          <w:sz w:val="18"/>
        </w:rPr>
        <w:t> </w:t>
      </w:r>
      <w:r>
        <w:rPr>
          <w:color w:val="231F20"/>
          <w:sz w:val="18"/>
        </w:rPr>
        <w:t>средство</w:t>
      </w:r>
      <w:r>
        <w:rPr>
          <w:color w:val="231F20"/>
          <w:spacing w:val="-11"/>
          <w:sz w:val="18"/>
        </w:rPr>
        <w:t> </w:t>
      </w:r>
      <w:r>
        <w:rPr>
          <w:color w:val="231F20"/>
          <w:sz w:val="18"/>
        </w:rPr>
        <w:t>формирования компетентности в межкультурном взаимодействии//Вестник брянского государ- ственного университета. №4(34). 2017. с.283-290</w:t>
      </w:r>
    </w:p>
    <w:p>
      <w:pPr>
        <w:pStyle w:val="ListParagraph"/>
        <w:numPr>
          <w:ilvl w:val="1"/>
          <w:numId w:val="239"/>
        </w:numPr>
        <w:tabs>
          <w:tab w:pos="708" w:val="left" w:leader="none"/>
        </w:tabs>
        <w:spacing w:line="240" w:lineRule="auto" w:before="0" w:after="0"/>
        <w:ind w:left="708" w:right="423" w:hanging="284"/>
        <w:jc w:val="both"/>
        <w:rPr>
          <w:sz w:val="18"/>
        </w:rPr>
      </w:pPr>
      <w:r>
        <w:rPr>
          <w:color w:val="231F20"/>
          <w:sz w:val="18"/>
        </w:rPr>
        <w:t>Лебедева Н.М., Стефаненко Т.Г., Лунева О.В. Межкультурный диалог в школе.</w:t>
      </w:r>
      <w:r>
        <w:rPr>
          <w:color w:val="231F20"/>
          <w:spacing w:val="40"/>
          <w:sz w:val="18"/>
        </w:rPr>
        <w:t> </w:t>
      </w:r>
      <w:r>
        <w:rPr>
          <w:color w:val="231F20"/>
          <w:sz w:val="18"/>
        </w:rPr>
        <w:t>Кн. 1. Теория и методология: Научное издание. М.: Изд-во РУДН. 2004. 195 с.</w:t>
      </w:r>
    </w:p>
    <w:p>
      <w:pPr>
        <w:pStyle w:val="ListParagraph"/>
        <w:numPr>
          <w:ilvl w:val="1"/>
          <w:numId w:val="239"/>
        </w:numPr>
        <w:tabs>
          <w:tab w:pos="708" w:val="left" w:leader="none"/>
        </w:tabs>
        <w:spacing w:line="240" w:lineRule="auto" w:before="0" w:after="0"/>
        <w:ind w:left="708" w:right="423" w:hanging="284"/>
        <w:jc w:val="both"/>
        <w:rPr>
          <w:sz w:val="18"/>
        </w:rPr>
      </w:pPr>
      <w:r>
        <w:rPr>
          <w:color w:val="231F20"/>
          <w:sz w:val="18"/>
        </w:rPr>
        <w:t>Межкультурная</w:t>
      </w:r>
      <w:r>
        <w:rPr>
          <w:color w:val="231F20"/>
          <w:spacing w:val="-5"/>
          <w:sz w:val="18"/>
        </w:rPr>
        <w:t> </w:t>
      </w:r>
      <w:r>
        <w:rPr>
          <w:color w:val="231F20"/>
          <w:sz w:val="18"/>
        </w:rPr>
        <w:t>компетентность</w:t>
      </w:r>
      <w:r>
        <w:rPr>
          <w:color w:val="231F20"/>
          <w:spacing w:val="-5"/>
          <w:sz w:val="18"/>
        </w:rPr>
        <w:t> </w:t>
      </w:r>
      <w:r>
        <w:rPr>
          <w:color w:val="231F20"/>
          <w:sz w:val="18"/>
        </w:rPr>
        <w:t>педагога</w:t>
      </w:r>
      <w:r>
        <w:rPr>
          <w:color w:val="231F20"/>
          <w:spacing w:val="-5"/>
          <w:sz w:val="18"/>
        </w:rPr>
        <w:t> </w:t>
      </w:r>
      <w:r>
        <w:rPr>
          <w:color w:val="231F20"/>
          <w:sz w:val="18"/>
        </w:rPr>
        <w:t>в</w:t>
      </w:r>
      <w:r>
        <w:rPr>
          <w:color w:val="231F20"/>
          <w:spacing w:val="-5"/>
          <w:sz w:val="18"/>
        </w:rPr>
        <w:t> </w:t>
      </w:r>
      <w:r>
        <w:rPr>
          <w:color w:val="231F20"/>
          <w:sz w:val="18"/>
        </w:rPr>
        <w:t>поликультурном</w:t>
      </w:r>
      <w:r>
        <w:rPr>
          <w:color w:val="231F20"/>
          <w:spacing w:val="-5"/>
          <w:sz w:val="18"/>
        </w:rPr>
        <w:t> </w:t>
      </w:r>
      <w:r>
        <w:rPr>
          <w:color w:val="231F20"/>
          <w:sz w:val="18"/>
        </w:rPr>
        <w:t>образовательном</w:t>
      </w:r>
      <w:r>
        <w:rPr>
          <w:color w:val="231F20"/>
          <w:spacing w:val="-5"/>
          <w:sz w:val="18"/>
        </w:rPr>
        <w:t> </w:t>
      </w:r>
      <w:r>
        <w:rPr>
          <w:color w:val="231F20"/>
          <w:sz w:val="18"/>
        </w:rPr>
        <w:t>про- странстве: Научно-методические материалы / Под ред. Хухлаева</w:t>
      </w:r>
      <w:r>
        <w:rPr>
          <w:color w:val="231F20"/>
          <w:spacing w:val="-5"/>
          <w:sz w:val="18"/>
        </w:rPr>
        <w:t> </w:t>
      </w:r>
      <w:r>
        <w:rPr>
          <w:color w:val="231F20"/>
          <w:sz w:val="18"/>
        </w:rPr>
        <w:t>О.Е., Чибисо-</w:t>
      </w:r>
      <w:r>
        <w:rPr>
          <w:color w:val="231F20"/>
          <w:spacing w:val="80"/>
          <w:sz w:val="18"/>
        </w:rPr>
        <w:t> </w:t>
      </w:r>
      <w:r>
        <w:rPr>
          <w:color w:val="231F20"/>
          <w:sz w:val="18"/>
        </w:rPr>
        <w:t>вой М.Ю. – СПб.: ООО «Книжный Дом», 2008. – 408 с.</w:t>
      </w:r>
    </w:p>
    <w:p>
      <w:pPr>
        <w:pStyle w:val="ListParagraph"/>
        <w:numPr>
          <w:ilvl w:val="1"/>
          <w:numId w:val="239"/>
        </w:numPr>
        <w:tabs>
          <w:tab w:pos="708" w:val="left" w:leader="none"/>
        </w:tabs>
        <w:spacing w:line="240" w:lineRule="auto" w:before="0" w:after="0"/>
        <w:ind w:left="708" w:right="422" w:hanging="284"/>
        <w:jc w:val="both"/>
        <w:rPr>
          <w:sz w:val="18"/>
        </w:rPr>
      </w:pPr>
      <w:r>
        <w:rPr>
          <w:color w:val="231F20"/>
          <w:sz w:val="18"/>
        </w:rPr>
        <w:t>Мозговой</w:t>
      </w:r>
      <w:r>
        <w:rPr>
          <w:color w:val="231F20"/>
          <w:spacing w:val="-12"/>
          <w:sz w:val="18"/>
        </w:rPr>
        <w:t> </w:t>
      </w:r>
      <w:r>
        <w:rPr>
          <w:color w:val="231F20"/>
          <w:sz w:val="18"/>
        </w:rPr>
        <w:t>штурм:</w:t>
      </w:r>
      <w:r>
        <w:rPr>
          <w:color w:val="231F20"/>
          <w:spacing w:val="-11"/>
          <w:sz w:val="18"/>
        </w:rPr>
        <w:t> </w:t>
      </w:r>
      <w:r>
        <w:rPr>
          <w:color w:val="231F20"/>
          <w:sz w:val="18"/>
        </w:rPr>
        <w:t>определение,</w:t>
      </w:r>
      <w:r>
        <w:rPr>
          <w:color w:val="231F20"/>
          <w:spacing w:val="-11"/>
          <w:sz w:val="18"/>
        </w:rPr>
        <w:t> </w:t>
      </w:r>
      <w:r>
        <w:rPr>
          <w:color w:val="231F20"/>
          <w:sz w:val="18"/>
        </w:rPr>
        <w:t>основные</w:t>
      </w:r>
      <w:r>
        <w:rPr>
          <w:color w:val="231F20"/>
          <w:spacing w:val="-11"/>
          <w:sz w:val="18"/>
        </w:rPr>
        <w:t> </w:t>
      </w:r>
      <w:r>
        <w:rPr>
          <w:color w:val="231F20"/>
          <w:sz w:val="18"/>
        </w:rPr>
        <w:t>правила</w:t>
      </w:r>
      <w:r>
        <w:rPr>
          <w:color w:val="231F20"/>
          <w:spacing w:val="-12"/>
          <w:sz w:val="18"/>
        </w:rPr>
        <w:t> </w:t>
      </w:r>
      <w:r>
        <w:rPr>
          <w:color w:val="231F20"/>
          <w:sz w:val="18"/>
        </w:rPr>
        <w:t>и</w:t>
      </w:r>
      <w:r>
        <w:rPr>
          <w:color w:val="231F20"/>
          <w:spacing w:val="-11"/>
          <w:sz w:val="18"/>
        </w:rPr>
        <w:t> </w:t>
      </w:r>
      <w:r>
        <w:rPr>
          <w:color w:val="231F20"/>
          <w:sz w:val="18"/>
        </w:rPr>
        <w:t>методы.</w:t>
      </w:r>
      <w:r>
        <w:rPr>
          <w:color w:val="231F20"/>
          <w:spacing w:val="-11"/>
          <w:sz w:val="18"/>
        </w:rPr>
        <w:t> </w:t>
      </w:r>
      <w:r>
        <w:rPr>
          <w:color w:val="231F20"/>
          <w:sz w:val="18"/>
        </w:rPr>
        <w:t>Режим</w:t>
      </w:r>
      <w:r>
        <w:rPr>
          <w:color w:val="231F20"/>
          <w:spacing w:val="-11"/>
          <w:sz w:val="18"/>
        </w:rPr>
        <w:t> </w:t>
      </w:r>
      <w:r>
        <w:rPr>
          <w:color w:val="231F20"/>
          <w:sz w:val="18"/>
        </w:rPr>
        <w:t>доступа:</w:t>
      </w:r>
      <w:r>
        <w:rPr>
          <w:color w:val="231F20"/>
          <w:spacing w:val="-12"/>
          <w:sz w:val="18"/>
        </w:rPr>
        <w:t> </w:t>
      </w:r>
      <w:r>
        <w:rPr>
          <w:color w:val="231F20"/>
          <w:sz w:val="18"/>
        </w:rPr>
        <w:t>https:// </w:t>
      </w:r>
      <w:hyperlink r:id="rId221">
        <w:r>
          <w:rPr>
            <w:color w:val="231F20"/>
            <w:sz w:val="18"/>
          </w:rPr>
          <w:t>www.atlassian.com/ru/work-management/project-collaboration/brainstorming</w:t>
        </w:r>
      </w:hyperlink>
      <w:r>
        <w:rPr>
          <w:color w:val="231F20"/>
          <w:sz w:val="18"/>
        </w:rPr>
        <w:t> Дата </w:t>
      </w:r>
      <w:r>
        <w:rPr>
          <w:color w:val="231F20"/>
          <w:sz w:val="18"/>
        </w:rPr>
        <w:t>до- ступа: 01.09.2022.</w:t>
      </w:r>
    </w:p>
    <w:p>
      <w:pPr>
        <w:pStyle w:val="ListParagraph"/>
        <w:numPr>
          <w:ilvl w:val="1"/>
          <w:numId w:val="239"/>
        </w:numPr>
        <w:tabs>
          <w:tab w:pos="708" w:val="left" w:leader="none"/>
        </w:tabs>
        <w:spacing w:line="240" w:lineRule="auto" w:before="0" w:after="0"/>
        <w:ind w:left="708" w:right="423" w:hanging="284"/>
        <w:jc w:val="both"/>
        <w:rPr>
          <w:sz w:val="18"/>
        </w:rPr>
      </w:pPr>
      <w:r>
        <w:rPr>
          <w:color w:val="231F20"/>
          <w:sz w:val="18"/>
        </w:rPr>
        <w:t>Мясоед</w:t>
      </w:r>
      <w:r>
        <w:rPr>
          <w:color w:val="231F20"/>
          <w:spacing w:val="-3"/>
          <w:sz w:val="18"/>
        </w:rPr>
        <w:t> </w:t>
      </w:r>
      <w:r>
        <w:rPr>
          <w:color w:val="231F20"/>
          <w:sz w:val="18"/>
        </w:rPr>
        <w:t>Т.А.</w:t>
      </w:r>
      <w:r>
        <w:rPr>
          <w:color w:val="231F20"/>
          <w:spacing w:val="-3"/>
          <w:sz w:val="18"/>
        </w:rPr>
        <w:t> </w:t>
      </w:r>
      <w:r>
        <w:rPr>
          <w:color w:val="231F20"/>
          <w:sz w:val="18"/>
        </w:rPr>
        <w:t>Интерактивные</w:t>
      </w:r>
      <w:r>
        <w:rPr>
          <w:color w:val="231F20"/>
          <w:spacing w:val="-3"/>
          <w:sz w:val="18"/>
        </w:rPr>
        <w:t> </w:t>
      </w:r>
      <w:r>
        <w:rPr>
          <w:color w:val="231F20"/>
          <w:sz w:val="18"/>
        </w:rPr>
        <w:t>технологии</w:t>
      </w:r>
      <w:r>
        <w:rPr>
          <w:color w:val="231F20"/>
          <w:spacing w:val="-3"/>
          <w:sz w:val="18"/>
        </w:rPr>
        <w:t> </w:t>
      </w:r>
      <w:r>
        <w:rPr>
          <w:color w:val="231F20"/>
          <w:sz w:val="18"/>
        </w:rPr>
        <w:t>обучения</w:t>
      </w:r>
      <w:r>
        <w:rPr>
          <w:color w:val="231F20"/>
          <w:spacing w:val="-3"/>
          <w:sz w:val="18"/>
        </w:rPr>
        <w:t> </w:t>
      </w:r>
      <w:r>
        <w:rPr>
          <w:color w:val="231F20"/>
          <w:sz w:val="18"/>
        </w:rPr>
        <w:t>[Текст]</w:t>
      </w:r>
      <w:r>
        <w:rPr>
          <w:color w:val="231F20"/>
          <w:spacing w:val="-3"/>
          <w:sz w:val="18"/>
        </w:rPr>
        <w:t> </w:t>
      </w:r>
      <w:r>
        <w:rPr>
          <w:color w:val="231F20"/>
          <w:sz w:val="18"/>
        </w:rPr>
        <w:t>:</w:t>
      </w:r>
      <w:r>
        <w:rPr>
          <w:color w:val="231F20"/>
          <w:spacing w:val="-3"/>
          <w:sz w:val="18"/>
        </w:rPr>
        <w:t> </w:t>
      </w:r>
      <w:r>
        <w:rPr>
          <w:color w:val="231F20"/>
          <w:sz w:val="18"/>
        </w:rPr>
        <w:t>спец.</w:t>
      </w:r>
      <w:r>
        <w:rPr>
          <w:color w:val="231F20"/>
          <w:spacing w:val="-3"/>
          <w:sz w:val="18"/>
        </w:rPr>
        <w:t> </w:t>
      </w:r>
      <w:r>
        <w:rPr>
          <w:color w:val="231F20"/>
          <w:sz w:val="18"/>
        </w:rPr>
        <w:t>семинар</w:t>
      </w:r>
      <w:r>
        <w:rPr>
          <w:color w:val="231F20"/>
          <w:spacing w:val="-3"/>
          <w:sz w:val="18"/>
        </w:rPr>
        <w:t> </w:t>
      </w:r>
      <w:r>
        <w:rPr>
          <w:color w:val="231F20"/>
          <w:sz w:val="18"/>
        </w:rPr>
        <w:t>для</w:t>
      </w:r>
      <w:r>
        <w:rPr>
          <w:color w:val="231F20"/>
          <w:spacing w:val="-3"/>
          <w:sz w:val="18"/>
        </w:rPr>
        <w:t> </w:t>
      </w:r>
      <w:r>
        <w:rPr>
          <w:color w:val="231F20"/>
          <w:sz w:val="18"/>
        </w:rPr>
        <w:t>учи- телей / Т.А. Мясоед. – М., 2004. – 82 с.</w:t>
      </w:r>
    </w:p>
    <w:p>
      <w:pPr>
        <w:pStyle w:val="ListParagraph"/>
        <w:numPr>
          <w:ilvl w:val="1"/>
          <w:numId w:val="239"/>
        </w:numPr>
        <w:tabs>
          <w:tab w:pos="708" w:val="left" w:leader="none"/>
        </w:tabs>
        <w:spacing w:line="240" w:lineRule="auto" w:before="0" w:after="0"/>
        <w:ind w:left="708" w:right="423" w:hanging="284"/>
        <w:jc w:val="both"/>
        <w:rPr>
          <w:sz w:val="18"/>
        </w:rPr>
      </w:pPr>
      <w:r>
        <w:rPr>
          <w:color w:val="231F20"/>
          <w:sz w:val="18"/>
        </w:rPr>
        <w:t>Припузова Е.А. Интерактивный прием «АЖУРНАЯ ПИЛА» как средство форми- рования</w:t>
      </w:r>
      <w:r>
        <w:rPr>
          <w:color w:val="231F20"/>
          <w:spacing w:val="-12"/>
          <w:sz w:val="18"/>
        </w:rPr>
        <w:t> </w:t>
      </w:r>
      <w:r>
        <w:rPr>
          <w:color w:val="231F20"/>
          <w:sz w:val="18"/>
        </w:rPr>
        <w:t>коммуникативных</w:t>
      </w:r>
      <w:r>
        <w:rPr>
          <w:color w:val="231F20"/>
          <w:spacing w:val="-11"/>
          <w:sz w:val="18"/>
        </w:rPr>
        <w:t> </w:t>
      </w:r>
      <w:r>
        <w:rPr>
          <w:color w:val="231F20"/>
          <w:sz w:val="18"/>
        </w:rPr>
        <w:t>УУД</w:t>
      </w:r>
      <w:r>
        <w:rPr>
          <w:color w:val="231F20"/>
          <w:spacing w:val="-11"/>
          <w:sz w:val="18"/>
        </w:rPr>
        <w:t> </w:t>
      </w:r>
      <w:r>
        <w:rPr>
          <w:color w:val="231F20"/>
          <w:sz w:val="18"/>
        </w:rPr>
        <w:t>младших</w:t>
      </w:r>
      <w:r>
        <w:rPr>
          <w:color w:val="231F20"/>
          <w:spacing w:val="-11"/>
          <w:sz w:val="18"/>
        </w:rPr>
        <w:t> </w:t>
      </w:r>
      <w:r>
        <w:rPr>
          <w:color w:val="231F20"/>
          <w:sz w:val="18"/>
        </w:rPr>
        <w:t>школьников</w:t>
      </w:r>
      <w:r>
        <w:rPr>
          <w:color w:val="231F20"/>
          <w:spacing w:val="-12"/>
          <w:sz w:val="18"/>
        </w:rPr>
        <w:t> </w:t>
      </w:r>
      <w:r>
        <w:rPr>
          <w:color w:val="231F20"/>
          <w:sz w:val="18"/>
        </w:rPr>
        <w:t>[Электронный</w:t>
      </w:r>
      <w:r>
        <w:rPr>
          <w:color w:val="231F20"/>
          <w:spacing w:val="-11"/>
          <w:sz w:val="18"/>
        </w:rPr>
        <w:t> </w:t>
      </w:r>
      <w:r>
        <w:rPr>
          <w:color w:val="231F20"/>
          <w:sz w:val="18"/>
        </w:rPr>
        <w:t>ресурс]</w:t>
      </w:r>
      <w:r>
        <w:rPr>
          <w:color w:val="231F20"/>
          <w:spacing w:val="-11"/>
          <w:sz w:val="18"/>
        </w:rPr>
        <w:t> </w:t>
      </w:r>
      <w:r>
        <w:rPr>
          <w:color w:val="231F20"/>
          <w:sz w:val="18"/>
        </w:rPr>
        <w:t>/</w:t>
      </w:r>
      <w:r>
        <w:rPr>
          <w:color w:val="231F20"/>
          <w:spacing w:val="-11"/>
          <w:sz w:val="18"/>
        </w:rPr>
        <w:t> </w:t>
      </w:r>
      <w:r>
        <w:rPr>
          <w:color w:val="231F20"/>
          <w:sz w:val="18"/>
        </w:rPr>
        <w:t>Е.А. Припузова</w:t>
      </w:r>
      <w:r>
        <w:rPr>
          <w:color w:val="231F20"/>
          <w:spacing w:val="-12"/>
          <w:sz w:val="18"/>
        </w:rPr>
        <w:t> </w:t>
      </w:r>
      <w:r>
        <w:rPr>
          <w:color w:val="231F20"/>
          <w:sz w:val="18"/>
        </w:rPr>
        <w:t>//</w:t>
      </w:r>
      <w:r>
        <w:rPr>
          <w:color w:val="231F20"/>
          <w:spacing w:val="-11"/>
          <w:sz w:val="18"/>
        </w:rPr>
        <w:t> </w:t>
      </w:r>
      <w:r>
        <w:rPr>
          <w:color w:val="231F20"/>
          <w:sz w:val="18"/>
        </w:rPr>
        <w:t>Канский</w:t>
      </w:r>
      <w:r>
        <w:rPr>
          <w:color w:val="231F20"/>
          <w:spacing w:val="-11"/>
          <w:sz w:val="18"/>
        </w:rPr>
        <w:t> </w:t>
      </w:r>
      <w:r>
        <w:rPr>
          <w:color w:val="231F20"/>
          <w:sz w:val="18"/>
        </w:rPr>
        <w:t>педагогический</w:t>
      </w:r>
      <w:r>
        <w:rPr>
          <w:color w:val="231F20"/>
          <w:spacing w:val="-11"/>
          <w:sz w:val="18"/>
        </w:rPr>
        <w:t> </w:t>
      </w:r>
      <w:r>
        <w:rPr>
          <w:color w:val="231F20"/>
          <w:sz w:val="18"/>
        </w:rPr>
        <w:t>колледж</w:t>
      </w:r>
      <w:r>
        <w:rPr>
          <w:color w:val="231F20"/>
          <w:spacing w:val="-12"/>
          <w:sz w:val="18"/>
        </w:rPr>
        <w:t> </w:t>
      </w:r>
      <w:r>
        <w:rPr>
          <w:color w:val="231F20"/>
          <w:sz w:val="18"/>
        </w:rPr>
        <w:t>:</w:t>
      </w:r>
      <w:r>
        <w:rPr>
          <w:color w:val="231F20"/>
          <w:spacing w:val="-11"/>
          <w:sz w:val="18"/>
        </w:rPr>
        <w:t> </w:t>
      </w:r>
      <w:r>
        <w:rPr>
          <w:color w:val="231F20"/>
          <w:sz w:val="18"/>
        </w:rPr>
        <w:t>офиц.</w:t>
      </w:r>
      <w:r>
        <w:rPr>
          <w:color w:val="231F20"/>
          <w:spacing w:val="-11"/>
          <w:sz w:val="18"/>
        </w:rPr>
        <w:t> </w:t>
      </w:r>
      <w:r>
        <w:rPr>
          <w:color w:val="231F20"/>
          <w:sz w:val="18"/>
        </w:rPr>
        <w:t>сайт.</w:t>
      </w:r>
      <w:r>
        <w:rPr>
          <w:color w:val="231F20"/>
          <w:spacing w:val="-11"/>
          <w:sz w:val="18"/>
        </w:rPr>
        <w:t> </w:t>
      </w:r>
      <w:r>
        <w:rPr>
          <w:color w:val="231F20"/>
          <w:sz w:val="18"/>
        </w:rPr>
        <w:t>–</w:t>
      </w:r>
      <w:r>
        <w:rPr>
          <w:color w:val="231F20"/>
          <w:spacing w:val="-12"/>
          <w:sz w:val="18"/>
        </w:rPr>
        <w:t> </w:t>
      </w:r>
      <w:r>
        <w:rPr>
          <w:color w:val="231F20"/>
          <w:sz w:val="18"/>
        </w:rPr>
        <w:t>Режим</w:t>
      </w:r>
      <w:r>
        <w:rPr>
          <w:color w:val="231F20"/>
          <w:spacing w:val="-11"/>
          <w:sz w:val="18"/>
        </w:rPr>
        <w:t> </w:t>
      </w:r>
      <w:r>
        <w:rPr>
          <w:color w:val="231F20"/>
          <w:sz w:val="18"/>
        </w:rPr>
        <w:t>доступа:</w:t>
      </w:r>
      <w:r>
        <w:rPr>
          <w:color w:val="231F20"/>
          <w:spacing w:val="-11"/>
          <w:sz w:val="18"/>
        </w:rPr>
        <w:t> </w:t>
      </w:r>
      <w:hyperlink r:id="rId222">
        <w:r>
          <w:rPr>
            <w:color w:val="2255A6"/>
            <w:sz w:val="18"/>
            <w:u w:val="single" w:color="2255A6"/>
          </w:rPr>
          <w:t>http://</w:t>
        </w:r>
      </w:hyperlink>
      <w:r>
        <w:rPr>
          <w:color w:val="2255A6"/>
          <w:sz w:val="18"/>
        </w:rPr>
        <w:t> </w:t>
      </w:r>
      <w:hyperlink r:id="rId222">
        <w:r>
          <w:rPr>
            <w:color w:val="2255A6"/>
            <w:spacing w:val="-2"/>
            <w:sz w:val="18"/>
            <w:u w:val="single" w:color="2255A6"/>
          </w:rPr>
          <w:t>www.cross-kpk.ru</w:t>
        </w:r>
      </w:hyperlink>
    </w:p>
    <w:p>
      <w:pPr>
        <w:pStyle w:val="ListParagraph"/>
        <w:numPr>
          <w:ilvl w:val="1"/>
          <w:numId w:val="239"/>
        </w:numPr>
        <w:tabs>
          <w:tab w:pos="708" w:val="left" w:leader="none"/>
        </w:tabs>
        <w:spacing w:line="240" w:lineRule="auto" w:before="0" w:after="0"/>
        <w:ind w:left="708" w:right="423" w:hanging="284"/>
        <w:jc w:val="both"/>
        <w:rPr>
          <w:sz w:val="18"/>
        </w:rPr>
      </w:pPr>
      <w:r>
        <w:rPr>
          <w:color w:val="231F20"/>
          <w:sz w:val="18"/>
        </w:rPr>
        <w:t>Проблемная дискуссия с использованием метода работы по группам (цели, содер- </w:t>
      </w:r>
      <w:r>
        <w:rPr>
          <w:color w:val="231F20"/>
          <w:spacing w:val="-2"/>
          <w:sz w:val="18"/>
        </w:rPr>
        <w:t>жание, методика проведения). / Школа трудовой демократии, Мысляева И.Н. Режим </w:t>
      </w:r>
      <w:r>
        <w:rPr>
          <w:color w:val="231F20"/>
          <w:sz w:val="18"/>
        </w:rPr>
        <w:t>доступа: </w:t>
      </w:r>
      <w:hyperlink r:id="rId218">
        <w:r>
          <w:rPr>
            <w:color w:val="2255A6"/>
            <w:sz w:val="18"/>
            <w:u w:val="single" w:color="2255A6"/>
          </w:rPr>
          <w:t>http://www.syndikalist.narod.ru/diskus.htm</w:t>
        </w:r>
      </w:hyperlink>
      <w:r>
        <w:rPr>
          <w:color w:val="2255A6"/>
          <w:sz w:val="18"/>
        </w:rPr>
        <w:t> </w:t>
      </w:r>
      <w:r>
        <w:rPr>
          <w:color w:val="231F20"/>
          <w:sz w:val="18"/>
        </w:rPr>
        <w:t>Дата доступа: 01.09.2022.</w:t>
      </w:r>
    </w:p>
    <w:p>
      <w:pPr>
        <w:pStyle w:val="ListParagraph"/>
        <w:numPr>
          <w:ilvl w:val="1"/>
          <w:numId w:val="239"/>
        </w:numPr>
        <w:tabs>
          <w:tab w:pos="708" w:val="left" w:leader="none"/>
        </w:tabs>
        <w:spacing w:line="240" w:lineRule="auto" w:before="0" w:after="0"/>
        <w:ind w:left="708" w:right="423" w:hanging="284"/>
        <w:jc w:val="both"/>
        <w:rPr>
          <w:sz w:val="18"/>
        </w:rPr>
      </w:pPr>
      <w:r>
        <w:rPr>
          <w:color w:val="231F20"/>
          <w:sz w:val="18"/>
        </w:rPr>
        <w:t>Ступина</w:t>
      </w:r>
      <w:r>
        <w:rPr>
          <w:color w:val="231F20"/>
          <w:spacing w:val="-8"/>
          <w:sz w:val="18"/>
        </w:rPr>
        <w:t> </w:t>
      </w:r>
      <w:r>
        <w:rPr>
          <w:color w:val="231F20"/>
          <w:sz w:val="18"/>
        </w:rPr>
        <w:t>С.Б.</w:t>
      </w:r>
      <w:r>
        <w:rPr>
          <w:color w:val="231F20"/>
          <w:spacing w:val="-8"/>
          <w:sz w:val="18"/>
        </w:rPr>
        <w:t> </w:t>
      </w:r>
      <w:r>
        <w:rPr>
          <w:color w:val="231F20"/>
          <w:sz w:val="18"/>
        </w:rPr>
        <w:t>Технологии</w:t>
      </w:r>
      <w:r>
        <w:rPr>
          <w:color w:val="231F20"/>
          <w:spacing w:val="-8"/>
          <w:sz w:val="18"/>
        </w:rPr>
        <w:t> </w:t>
      </w:r>
      <w:r>
        <w:rPr>
          <w:color w:val="231F20"/>
          <w:sz w:val="18"/>
        </w:rPr>
        <w:t>интерактивного</w:t>
      </w:r>
      <w:r>
        <w:rPr>
          <w:color w:val="231F20"/>
          <w:spacing w:val="-8"/>
          <w:sz w:val="18"/>
        </w:rPr>
        <w:t> </w:t>
      </w:r>
      <w:r>
        <w:rPr>
          <w:color w:val="231F20"/>
          <w:sz w:val="18"/>
        </w:rPr>
        <w:t>обучения</w:t>
      </w:r>
      <w:r>
        <w:rPr>
          <w:color w:val="231F20"/>
          <w:spacing w:val="-8"/>
          <w:sz w:val="18"/>
        </w:rPr>
        <w:t> </w:t>
      </w:r>
      <w:r>
        <w:rPr>
          <w:color w:val="231F20"/>
          <w:sz w:val="18"/>
        </w:rPr>
        <w:t>в</w:t>
      </w:r>
      <w:r>
        <w:rPr>
          <w:color w:val="231F20"/>
          <w:spacing w:val="-9"/>
          <w:sz w:val="18"/>
        </w:rPr>
        <w:t> </w:t>
      </w:r>
      <w:r>
        <w:rPr>
          <w:color w:val="231F20"/>
          <w:sz w:val="18"/>
        </w:rPr>
        <w:t>высшей</w:t>
      </w:r>
      <w:r>
        <w:rPr>
          <w:color w:val="231F20"/>
          <w:spacing w:val="-9"/>
          <w:sz w:val="18"/>
        </w:rPr>
        <w:t> </w:t>
      </w:r>
      <w:r>
        <w:rPr>
          <w:color w:val="231F20"/>
          <w:sz w:val="18"/>
        </w:rPr>
        <w:t>школе</w:t>
      </w:r>
      <w:r>
        <w:rPr>
          <w:color w:val="231F20"/>
          <w:spacing w:val="-8"/>
          <w:sz w:val="18"/>
        </w:rPr>
        <w:t> </w:t>
      </w:r>
      <w:r>
        <w:rPr>
          <w:color w:val="231F20"/>
          <w:sz w:val="18"/>
        </w:rPr>
        <w:t>[Текст]</w:t>
      </w:r>
      <w:r>
        <w:rPr>
          <w:color w:val="231F20"/>
          <w:spacing w:val="-8"/>
          <w:sz w:val="18"/>
        </w:rPr>
        <w:t> </w:t>
      </w:r>
      <w:r>
        <w:rPr>
          <w:color w:val="231F20"/>
          <w:sz w:val="18"/>
        </w:rPr>
        <w:t>:</w:t>
      </w:r>
      <w:r>
        <w:rPr>
          <w:color w:val="231F20"/>
          <w:spacing w:val="-8"/>
          <w:sz w:val="18"/>
        </w:rPr>
        <w:t> </w:t>
      </w:r>
      <w:r>
        <w:rPr>
          <w:color w:val="231F20"/>
          <w:sz w:val="18"/>
        </w:rPr>
        <w:t>учеб- но-методическое пособие / С.Б. Ступина. – Саратов : Наука, 2009. – 52 с.</w:t>
      </w:r>
    </w:p>
    <w:p>
      <w:pPr>
        <w:pStyle w:val="ListParagraph"/>
        <w:numPr>
          <w:ilvl w:val="1"/>
          <w:numId w:val="239"/>
        </w:numPr>
        <w:tabs>
          <w:tab w:pos="708" w:val="left" w:leader="none"/>
        </w:tabs>
        <w:spacing w:line="240" w:lineRule="auto" w:before="0" w:after="0"/>
        <w:ind w:left="708" w:right="424" w:hanging="284"/>
        <w:jc w:val="both"/>
        <w:rPr>
          <w:sz w:val="18"/>
        </w:rPr>
      </w:pPr>
      <w:r>
        <w:rPr>
          <w:color w:val="231F20"/>
          <w:sz w:val="18"/>
        </w:rPr>
        <w:t>Суворова</w:t>
      </w:r>
      <w:r>
        <w:rPr>
          <w:color w:val="231F20"/>
          <w:spacing w:val="-5"/>
          <w:sz w:val="18"/>
        </w:rPr>
        <w:t> </w:t>
      </w:r>
      <w:r>
        <w:rPr>
          <w:color w:val="231F20"/>
          <w:sz w:val="18"/>
        </w:rPr>
        <w:t>Н.А.</w:t>
      </w:r>
      <w:r>
        <w:rPr>
          <w:color w:val="231F20"/>
          <w:spacing w:val="-5"/>
          <w:sz w:val="18"/>
        </w:rPr>
        <w:t> </w:t>
      </w:r>
      <w:r>
        <w:rPr>
          <w:color w:val="231F20"/>
          <w:sz w:val="18"/>
        </w:rPr>
        <w:t>Интерактивное</w:t>
      </w:r>
      <w:r>
        <w:rPr>
          <w:color w:val="231F20"/>
          <w:spacing w:val="-5"/>
          <w:sz w:val="18"/>
        </w:rPr>
        <w:t> </w:t>
      </w:r>
      <w:r>
        <w:rPr>
          <w:color w:val="231F20"/>
          <w:sz w:val="18"/>
        </w:rPr>
        <w:t>обучение:</w:t>
      </w:r>
      <w:r>
        <w:rPr>
          <w:color w:val="231F20"/>
          <w:spacing w:val="-5"/>
          <w:sz w:val="18"/>
        </w:rPr>
        <w:t> </w:t>
      </w:r>
      <w:r>
        <w:rPr>
          <w:color w:val="231F20"/>
          <w:sz w:val="18"/>
        </w:rPr>
        <w:t>новые</w:t>
      </w:r>
      <w:r>
        <w:rPr>
          <w:color w:val="231F20"/>
          <w:spacing w:val="-5"/>
          <w:sz w:val="18"/>
        </w:rPr>
        <w:t> </w:t>
      </w:r>
      <w:r>
        <w:rPr>
          <w:color w:val="231F20"/>
          <w:sz w:val="18"/>
        </w:rPr>
        <w:t>подходы</w:t>
      </w:r>
      <w:r>
        <w:rPr>
          <w:color w:val="231F20"/>
          <w:spacing w:val="-5"/>
          <w:sz w:val="18"/>
        </w:rPr>
        <w:t> </w:t>
      </w:r>
      <w:r>
        <w:rPr>
          <w:color w:val="231F20"/>
          <w:sz w:val="18"/>
        </w:rPr>
        <w:t>[Текст]</w:t>
      </w:r>
      <w:r>
        <w:rPr>
          <w:color w:val="231F20"/>
          <w:spacing w:val="-5"/>
          <w:sz w:val="18"/>
        </w:rPr>
        <w:t> </w:t>
      </w:r>
      <w:r>
        <w:rPr>
          <w:color w:val="231F20"/>
          <w:sz w:val="18"/>
        </w:rPr>
        <w:t>/</w:t>
      </w:r>
      <w:r>
        <w:rPr>
          <w:color w:val="231F20"/>
          <w:spacing w:val="-5"/>
          <w:sz w:val="18"/>
        </w:rPr>
        <w:t> </w:t>
      </w:r>
      <w:r>
        <w:rPr>
          <w:color w:val="231F20"/>
          <w:sz w:val="18"/>
        </w:rPr>
        <w:t>Н.А.</w:t>
      </w:r>
      <w:r>
        <w:rPr>
          <w:color w:val="231F20"/>
          <w:spacing w:val="-5"/>
          <w:sz w:val="18"/>
        </w:rPr>
        <w:t> </w:t>
      </w:r>
      <w:r>
        <w:rPr>
          <w:color w:val="231F20"/>
          <w:sz w:val="18"/>
        </w:rPr>
        <w:t>Суворова.</w:t>
      </w:r>
      <w:r>
        <w:rPr>
          <w:color w:val="231F20"/>
          <w:spacing w:val="-5"/>
          <w:sz w:val="18"/>
        </w:rPr>
        <w:t> </w:t>
      </w:r>
      <w:r>
        <w:rPr>
          <w:color w:val="231F20"/>
          <w:sz w:val="18"/>
        </w:rPr>
        <w:t>– М., 2005. – 167 с.</w:t>
      </w:r>
    </w:p>
    <w:p>
      <w:pPr>
        <w:pStyle w:val="ListParagraph"/>
        <w:spacing w:after="0" w:line="240" w:lineRule="auto"/>
        <w:jc w:val="both"/>
        <w:rPr>
          <w:sz w:val="18"/>
        </w:rPr>
        <w:sectPr>
          <w:pgSz w:w="8400" w:h="11910"/>
          <w:pgMar w:header="0" w:footer="529" w:top="400" w:bottom="740" w:left="425" w:right="425"/>
        </w:sectPr>
      </w:pPr>
    </w:p>
    <w:p>
      <w:pPr>
        <w:pStyle w:val="ListParagraph"/>
        <w:numPr>
          <w:ilvl w:val="1"/>
          <w:numId w:val="240"/>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Интерактивные</w:t>
      </w:r>
      <w:r>
        <w:rPr>
          <w:rFonts w:ascii="Georgia" w:hAnsi="Georgia"/>
          <w:color w:val="231F20"/>
          <w:spacing w:val="4"/>
          <w:sz w:val="18"/>
        </w:rPr>
        <w:t> </w:t>
      </w:r>
      <w:r>
        <w:rPr>
          <w:rFonts w:ascii="Georgia" w:hAnsi="Georgia"/>
          <w:color w:val="231F20"/>
          <w:sz w:val="18"/>
        </w:rPr>
        <w:t>технологии</w:t>
      </w:r>
      <w:r>
        <w:rPr>
          <w:rFonts w:ascii="Georgia" w:hAnsi="Georgia"/>
          <w:color w:val="231F20"/>
          <w:spacing w:val="4"/>
          <w:sz w:val="18"/>
        </w:rPr>
        <w:t> </w:t>
      </w:r>
      <w:r>
        <w:rPr>
          <w:rFonts w:ascii="Georgia" w:hAnsi="Georgia"/>
          <w:color w:val="231F20"/>
          <w:sz w:val="18"/>
        </w:rPr>
        <w:t>развития</w:t>
      </w:r>
      <w:r>
        <w:rPr>
          <w:rFonts w:ascii="Georgia" w:hAnsi="Georgia"/>
          <w:color w:val="231F20"/>
          <w:spacing w:val="4"/>
          <w:sz w:val="18"/>
        </w:rPr>
        <w:t> </w:t>
      </w:r>
      <w:r>
        <w:rPr>
          <w:rFonts w:ascii="Georgia" w:hAnsi="Georgia"/>
          <w:color w:val="231F20"/>
          <w:sz w:val="18"/>
        </w:rPr>
        <w:t>межкультурной</w:t>
      </w:r>
      <w:r>
        <w:rPr>
          <w:rFonts w:ascii="Georgia" w:hAnsi="Georgia"/>
          <w:color w:val="231F20"/>
          <w:spacing w:val="4"/>
          <w:sz w:val="18"/>
        </w:rPr>
        <w:t> </w:t>
      </w:r>
      <w:r>
        <w:rPr>
          <w:rFonts w:ascii="Georgia" w:hAnsi="Georgia"/>
          <w:color w:val="231F20"/>
          <w:sz w:val="18"/>
        </w:rPr>
        <w:t>компетентности</w:t>
      </w:r>
      <w:r>
        <w:rPr>
          <w:rFonts w:ascii="Georgia" w:hAnsi="Georgia"/>
          <w:color w:val="231F20"/>
          <w:spacing w:val="4"/>
          <w:sz w:val="18"/>
        </w:rPr>
        <w:t> </w:t>
      </w:r>
      <w:r>
        <w:rPr>
          <w:rFonts w:ascii="Georgia" w:hAnsi="Georgia"/>
          <w:color w:val="231F20"/>
          <w:spacing w:val="-2"/>
          <w:sz w:val="18"/>
        </w:rPr>
        <w:t>педагогов</w:t>
      </w:r>
    </w:p>
    <w:p>
      <w:pPr>
        <w:pStyle w:val="ListParagraph"/>
        <w:numPr>
          <w:ilvl w:val="1"/>
          <w:numId w:val="239"/>
        </w:numPr>
        <w:tabs>
          <w:tab w:pos="708" w:val="left" w:leader="none"/>
        </w:tabs>
        <w:spacing w:line="240" w:lineRule="auto" w:before="117" w:after="0"/>
        <w:ind w:left="708" w:right="423" w:hanging="284"/>
        <w:jc w:val="both"/>
        <w:rPr>
          <w:sz w:val="18"/>
        </w:rPr>
      </w:pPr>
      <w:r>
        <w:rPr>
          <w:color w:val="231F20"/>
          <w:sz w:val="18"/>
        </w:rPr>
        <w:t>Технологии психологического сопровождения интеграции мигрантов в образова- тельной среде: Учебно-методическое пособие для педагогов-психологов. [Элек- тронный</w:t>
      </w:r>
      <w:r>
        <w:rPr>
          <w:color w:val="231F20"/>
          <w:spacing w:val="-3"/>
          <w:sz w:val="18"/>
        </w:rPr>
        <w:t> </w:t>
      </w:r>
      <w:r>
        <w:rPr>
          <w:color w:val="231F20"/>
          <w:sz w:val="18"/>
        </w:rPr>
        <w:t>ресурс]</w:t>
      </w:r>
      <w:r>
        <w:rPr>
          <w:color w:val="231F20"/>
          <w:spacing w:val="-3"/>
          <w:sz w:val="18"/>
        </w:rPr>
        <w:t> </w:t>
      </w:r>
      <w:r>
        <w:rPr>
          <w:color w:val="231F20"/>
          <w:sz w:val="18"/>
        </w:rPr>
        <w:t>/</w:t>
      </w:r>
      <w:r>
        <w:rPr>
          <w:color w:val="231F20"/>
          <w:spacing w:val="-3"/>
          <w:sz w:val="18"/>
        </w:rPr>
        <w:t> </w:t>
      </w:r>
      <w:r>
        <w:rPr>
          <w:color w:val="231F20"/>
          <w:sz w:val="18"/>
        </w:rPr>
        <w:t>под</w:t>
      </w:r>
      <w:r>
        <w:rPr>
          <w:color w:val="231F20"/>
          <w:spacing w:val="-3"/>
          <w:sz w:val="18"/>
        </w:rPr>
        <w:t> </w:t>
      </w:r>
      <w:r>
        <w:rPr>
          <w:color w:val="231F20"/>
          <w:sz w:val="18"/>
        </w:rPr>
        <w:t>ред.</w:t>
      </w:r>
      <w:r>
        <w:rPr>
          <w:color w:val="231F20"/>
          <w:spacing w:val="-3"/>
          <w:sz w:val="18"/>
        </w:rPr>
        <w:t> </w:t>
      </w:r>
      <w:r>
        <w:rPr>
          <w:color w:val="231F20"/>
          <w:sz w:val="18"/>
        </w:rPr>
        <w:t>О.Е.</w:t>
      </w:r>
      <w:r>
        <w:rPr>
          <w:color w:val="231F20"/>
          <w:spacing w:val="-3"/>
          <w:sz w:val="18"/>
        </w:rPr>
        <w:t> </w:t>
      </w:r>
      <w:r>
        <w:rPr>
          <w:color w:val="231F20"/>
          <w:sz w:val="18"/>
        </w:rPr>
        <w:t>Хухлаев,</w:t>
      </w:r>
      <w:r>
        <w:rPr>
          <w:color w:val="231F20"/>
          <w:spacing w:val="-3"/>
          <w:sz w:val="18"/>
        </w:rPr>
        <w:t> </w:t>
      </w:r>
      <w:r>
        <w:rPr>
          <w:color w:val="231F20"/>
          <w:sz w:val="18"/>
        </w:rPr>
        <w:t>М.Ю.</w:t>
      </w:r>
      <w:r>
        <w:rPr>
          <w:color w:val="231F20"/>
          <w:spacing w:val="-3"/>
          <w:sz w:val="18"/>
        </w:rPr>
        <w:t> </w:t>
      </w:r>
      <w:r>
        <w:rPr>
          <w:color w:val="231F20"/>
          <w:sz w:val="18"/>
        </w:rPr>
        <w:t>Чибисова.</w:t>
      </w:r>
      <w:r>
        <w:rPr>
          <w:color w:val="231F20"/>
          <w:spacing w:val="-3"/>
          <w:sz w:val="18"/>
        </w:rPr>
        <w:t> </w:t>
      </w:r>
      <w:r>
        <w:rPr>
          <w:color w:val="231F20"/>
          <w:sz w:val="18"/>
        </w:rPr>
        <w:t>М.:</w:t>
      </w:r>
      <w:r>
        <w:rPr>
          <w:color w:val="231F20"/>
          <w:spacing w:val="-3"/>
          <w:sz w:val="18"/>
        </w:rPr>
        <w:t> </w:t>
      </w:r>
      <w:r>
        <w:rPr>
          <w:color w:val="231F20"/>
          <w:sz w:val="18"/>
        </w:rPr>
        <w:t>МГППУ.</w:t>
      </w:r>
      <w:r>
        <w:rPr>
          <w:color w:val="231F20"/>
          <w:spacing w:val="-3"/>
          <w:sz w:val="18"/>
        </w:rPr>
        <w:t> </w:t>
      </w:r>
      <w:r>
        <w:rPr>
          <w:color w:val="231F20"/>
          <w:sz w:val="18"/>
        </w:rPr>
        <w:t>2013.</w:t>
      </w:r>
      <w:r>
        <w:rPr>
          <w:color w:val="231F20"/>
          <w:spacing w:val="-3"/>
          <w:sz w:val="18"/>
        </w:rPr>
        <w:t> </w:t>
      </w:r>
      <w:r>
        <w:rPr>
          <w:color w:val="231F20"/>
          <w:sz w:val="18"/>
        </w:rPr>
        <w:t>–</w:t>
      </w:r>
      <w:r>
        <w:rPr>
          <w:color w:val="231F20"/>
          <w:spacing w:val="-3"/>
          <w:sz w:val="18"/>
        </w:rPr>
        <w:t> </w:t>
      </w:r>
      <w:r>
        <w:rPr>
          <w:color w:val="231F20"/>
          <w:sz w:val="18"/>
        </w:rPr>
        <w:t>273 с. 1 CD ROM.</w:t>
      </w:r>
    </w:p>
    <w:p>
      <w:pPr>
        <w:pStyle w:val="ListParagraph"/>
        <w:numPr>
          <w:ilvl w:val="1"/>
          <w:numId w:val="239"/>
        </w:numPr>
        <w:tabs>
          <w:tab w:pos="708" w:val="left" w:leader="none"/>
        </w:tabs>
        <w:spacing w:line="240" w:lineRule="auto" w:before="0" w:after="0"/>
        <w:ind w:left="708" w:right="423" w:hanging="284"/>
        <w:jc w:val="both"/>
        <w:rPr>
          <w:sz w:val="18"/>
        </w:rPr>
      </w:pPr>
      <w:r>
        <w:rPr>
          <w:color w:val="231F20"/>
          <w:sz w:val="18"/>
        </w:rPr>
        <w:t>Хильченко</w:t>
      </w:r>
      <w:r>
        <w:rPr>
          <w:color w:val="231F20"/>
          <w:spacing w:val="-7"/>
          <w:sz w:val="18"/>
        </w:rPr>
        <w:t> </w:t>
      </w:r>
      <w:r>
        <w:rPr>
          <w:color w:val="231F20"/>
          <w:sz w:val="18"/>
        </w:rPr>
        <w:t>Т.В.</w:t>
      </w:r>
      <w:r>
        <w:rPr>
          <w:color w:val="231F20"/>
          <w:spacing w:val="-7"/>
          <w:sz w:val="18"/>
        </w:rPr>
        <w:t> </w:t>
      </w:r>
      <w:r>
        <w:rPr>
          <w:color w:val="231F20"/>
          <w:sz w:val="18"/>
        </w:rPr>
        <w:t>Использование</w:t>
      </w:r>
      <w:r>
        <w:rPr>
          <w:color w:val="231F20"/>
          <w:spacing w:val="-7"/>
          <w:sz w:val="18"/>
        </w:rPr>
        <w:t> </w:t>
      </w:r>
      <w:r>
        <w:rPr>
          <w:color w:val="231F20"/>
          <w:sz w:val="18"/>
        </w:rPr>
        <w:t>интерактивных</w:t>
      </w:r>
      <w:r>
        <w:rPr>
          <w:color w:val="231F20"/>
          <w:spacing w:val="-7"/>
          <w:sz w:val="18"/>
        </w:rPr>
        <w:t> </w:t>
      </w:r>
      <w:r>
        <w:rPr>
          <w:color w:val="231F20"/>
          <w:sz w:val="18"/>
        </w:rPr>
        <w:t>методов</w:t>
      </w:r>
      <w:r>
        <w:rPr>
          <w:color w:val="231F20"/>
          <w:spacing w:val="-7"/>
          <w:sz w:val="18"/>
        </w:rPr>
        <w:t> </w:t>
      </w:r>
      <w:r>
        <w:rPr>
          <w:color w:val="231F20"/>
          <w:sz w:val="18"/>
        </w:rPr>
        <w:t>и</w:t>
      </w:r>
      <w:r>
        <w:rPr>
          <w:color w:val="231F20"/>
          <w:spacing w:val="-7"/>
          <w:sz w:val="18"/>
        </w:rPr>
        <w:t> </w:t>
      </w:r>
      <w:r>
        <w:rPr>
          <w:color w:val="231F20"/>
          <w:sz w:val="18"/>
        </w:rPr>
        <w:t>приемов</w:t>
      </w:r>
      <w:r>
        <w:rPr>
          <w:color w:val="231F20"/>
          <w:spacing w:val="-7"/>
          <w:sz w:val="18"/>
        </w:rPr>
        <w:t> </w:t>
      </w:r>
      <w:r>
        <w:rPr>
          <w:color w:val="231F20"/>
          <w:sz w:val="18"/>
        </w:rPr>
        <w:t>на</w:t>
      </w:r>
      <w:r>
        <w:rPr>
          <w:color w:val="231F20"/>
          <w:spacing w:val="-7"/>
          <w:sz w:val="18"/>
        </w:rPr>
        <w:t> </w:t>
      </w:r>
      <w:r>
        <w:rPr>
          <w:color w:val="231F20"/>
          <w:sz w:val="18"/>
        </w:rPr>
        <w:t>современном уроке</w:t>
      </w:r>
      <w:r>
        <w:rPr>
          <w:color w:val="231F20"/>
          <w:spacing w:val="-6"/>
          <w:sz w:val="18"/>
        </w:rPr>
        <w:t> </w:t>
      </w:r>
      <w:r>
        <w:rPr>
          <w:color w:val="231F20"/>
          <w:sz w:val="18"/>
        </w:rPr>
        <w:t>английского</w:t>
      </w:r>
      <w:r>
        <w:rPr>
          <w:color w:val="231F20"/>
          <w:spacing w:val="-6"/>
          <w:sz w:val="18"/>
        </w:rPr>
        <w:t> </w:t>
      </w:r>
      <w:r>
        <w:rPr>
          <w:color w:val="231F20"/>
          <w:sz w:val="18"/>
        </w:rPr>
        <w:t>языка</w:t>
      </w:r>
      <w:r>
        <w:rPr>
          <w:color w:val="231F20"/>
          <w:spacing w:val="-6"/>
          <w:sz w:val="18"/>
        </w:rPr>
        <w:t> </w:t>
      </w:r>
      <w:r>
        <w:rPr>
          <w:color w:val="231F20"/>
          <w:sz w:val="18"/>
        </w:rPr>
        <w:t>[Текст]</w:t>
      </w:r>
      <w:r>
        <w:rPr>
          <w:color w:val="231F20"/>
          <w:spacing w:val="-6"/>
          <w:sz w:val="18"/>
        </w:rPr>
        <w:t> </w:t>
      </w:r>
      <w:r>
        <w:rPr>
          <w:color w:val="231F20"/>
          <w:sz w:val="18"/>
        </w:rPr>
        <w:t>/</w:t>
      </w:r>
      <w:r>
        <w:rPr>
          <w:color w:val="231F20"/>
          <w:spacing w:val="-6"/>
          <w:sz w:val="18"/>
        </w:rPr>
        <w:t> </w:t>
      </w:r>
      <w:r>
        <w:rPr>
          <w:color w:val="231F20"/>
          <w:sz w:val="18"/>
        </w:rPr>
        <w:t>Т.В.</w:t>
      </w:r>
      <w:r>
        <w:rPr>
          <w:color w:val="231F20"/>
          <w:spacing w:val="-6"/>
          <w:sz w:val="18"/>
        </w:rPr>
        <w:t> </w:t>
      </w:r>
      <w:r>
        <w:rPr>
          <w:color w:val="231F20"/>
          <w:sz w:val="18"/>
        </w:rPr>
        <w:t>Хильченко,</w:t>
      </w:r>
      <w:r>
        <w:rPr>
          <w:color w:val="231F20"/>
          <w:spacing w:val="-6"/>
          <w:sz w:val="18"/>
        </w:rPr>
        <w:t> </w:t>
      </w:r>
      <w:r>
        <w:rPr>
          <w:color w:val="231F20"/>
          <w:sz w:val="18"/>
        </w:rPr>
        <w:t>Ю.В.</w:t>
      </w:r>
      <w:r>
        <w:rPr>
          <w:color w:val="231F20"/>
          <w:spacing w:val="-6"/>
          <w:sz w:val="18"/>
        </w:rPr>
        <w:t> </w:t>
      </w:r>
      <w:r>
        <w:rPr>
          <w:color w:val="231F20"/>
          <w:sz w:val="18"/>
        </w:rPr>
        <w:t>Оларь</w:t>
      </w:r>
      <w:r>
        <w:rPr>
          <w:color w:val="231F20"/>
          <w:spacing w:val="-6"/>
          <w:sz w:val="18"/>
        </w:rPr>
        <w:t> </w:t>
      </w:r>
      <w:r>
        <w:rPr>
          <w:color w:val="231F20"/>
          <w:sz w:val="18"/>
        </w:rPr>
        <w:t>//</w:t>
      </w:r>
      <w:r>
        <w:rPr>
          <w:color w:val="231F20"/>
          <w:spacing w:val="-6"/>
          <w:sz w:val="18"/>
        </w:rPr>
        <w:t> </w:t>
      </w:r>
      <w:r>
        <w:rPr>
          <w:color w:val="231F20"/>
          <w:sz w:val="18"/>
        </w:rPr>
        <w:t>Вестник</w:t>
      </w:r>
      <w:r>
        <w:rPr>
          <w:color w:val="231F20"/>
          <w:spacing w:val="-6"/>
          <w:sz w:val="18"/>
        </w:rPr>
        <w:t> </w:t>
      </w:r>
      <w:r>
        <w:rPr>
          <w:color w:val="231F20"/>
          <w:sz w:val="18"/>
        </w:rPr>
        <w:t>Шадрин- ского государственного педагогического университета. – 2014. – № 1. – С. 90–96.</w:t>
      </w:r>
    </w:p>
    <w:p>
      <w:pPr>
        <w:pStyle w:val="ListParagraph"/>
        <w:numPr>
          <w:ilvl w:val="1"/>
          <w:numId w:val="239"/>
        </w:numPr>
        <w:tabs>
          <w:tab w:pos="708" w:val="left" w:leader="none"/>
        </w:tabs>
        <w:spacing w:line="240" w:lineRule="auto" w:before="0" w:after="0"/>
        <w:ind w:left="708" w:right="423" w:hanging="284"/>
        <w:jc w:val="both"/>
        <w:rPr>
          <w:sz w:val="18"/>
        </w:rPr>
      </w:pPr>
      <w:r>
        <w:rPr>
          <w:color w:val="231F20"/>
          <w:sz w:val="18"/>
        </w:rPr>
        <w:t>Хухлаев</w:t>
      </w:r>
      <w:r>
        <w:rPr>
          <w:color w:val="231F20"/>
          <w:spacing w:val="-6"/>
          <w:sz w:val="18"/>
        </w:rPr>
        <w:t> </w:t>
      </w:r>
      <w:r>
        <w:rPr>
          <w:color w:val="231F20"/>
          <w:sz w:val="18"/>
        </w:rPr>
        <w:t>О.Е.,</w:t>
      </w:r>
      <w:r>
        <w:rPr>
          <w:color w:val="231F20"/>
          <w:spacing w:val="-6"/>
          <w:sz w:val="18"/>
        </w:rPr>
        <w:t> </w:t>
      </w:r>
      <w:r>
        <w:rPr>
          <w:color w:val="231F20"/>
          <w:sz w:val="18"/>
        </w:rPr>
        <w:t>Гриценко</w:t>
      </w:r>
      <w:r>
        <w:rPr>
          <w:color w:val="231F20"/>
          <w:spacing w:val="-6"/>
          <w:sz w:val="18"/>
        </w:rPr>
        <w:t> </w:t>
      </w:r>
      <w:r>
        <w:rPr>
          <w:color w:val="231F20"/>
          <w:sz w:val="18"/>
        </w:rPr>
        <w:t>В.В.,</w:t>
      </w:r>
      <w:r>
        <w:rPr>
          <w:color w:val="231F20"/>
          <w:spacing w:val="-6"/>
          <w:sz w:val="18"/>
        </w:rPr>
        <w:t> </w:t>
      </w:r>
      <w:r>
        <w:rPr>
          <w:color w:val="231F20"/>
          <w:sz w:val="18"/>
        </w:rPr>
        <w:t>Макарчук</w:t>
      </w:r>
      <w:r>
        <w:rPr>
          <w:color w:val="231F20"/>
          <w:spacing w:val="-6"/>
          <w:sz w:val="18"/>
        </w:rPr>
        <w:t> </w:t>
      </w:r>
      <w:r>
        <w:rPr>
          <w:color w:val="231F20"/>
          <w:sz w:val="18"/>
        </w:rPr>
        <w:t>А.В.,</w:t>
      </w:r>
      <w:r>
        <w:rPr>
          <w:color w:val="231F20"/>
          <w:spacing w:val="-6"/>
          <w:sz w:val="18"/>
        </w:rPr>
        <w:t> </w:t>
      </w:r>
      <w:r>
        <w:rPr>
          <w:color w:val="231F20"/>
          <w:sz w:val="18"/>
        </w:rPr>
        <w:t>Павлова</w:t>
      </w:r>
      <w:r>
        <w:rPr>
          <w:color w:val="231F20"/>
          <w:spacing w:val="-6"/>
          <w:sz w:val="18"/>
        </w:rPr>
        <w:t> </w:t>
      </w:r>
      <w:r>
        <w:rPr>
          <w:color w:val="231F20"/>
          <w:sz w:val="18"/>
        </w:rPr>
        <w:t>О.С.,</w:t>
      </w:r>
      <w:r>
        <w:rPr>
          <w:color w:val="231F20"/>
          <w:spacing w:val="-6"/>
          <w:sz w:val="18"/>
        </w:rPr>
        <w:t> </w:t>
      </w:r>
      <w:r>
        <w:rPr>
          <w:color w:val="231F20"/>
          <w:sz w:val="18"/>
        </w:rPr>
        <w:t>Ткаченко</w:t>
      </w:r>
      <w:r>
        <w:rPr>
          <w:color w:val="231F20"/>
          <w:spacing w:val="-6"/>
          <w:sz w:val="18"/>
        </w:rPr>
        <w:t> </w:t>
      </w:r>
      <w:r>
        <w:rPr>
          <w:color w:val="231F20"/>
          <w:sz w:val="18"/>
        </w:rPr>
        <w:t>Н.В.,</w:t>
      </w:r>
      <w:r>
        <w:rPr>
          <w:color w:val="231F20"/>
          <w:spacing w:val="-6"/>
          <w:sz w:val="18"/>
        </w:rPr>
        <w:t> </w:t>
      </w:r>
      <w:r>
        <w:rPr>
          <w:color w:val="231F20"/>
          <w:sz w:val="18"/>
        </w:rPr>
        <w:t>Усубян Ш.А.,</w:t>
      </w:r>
      <w:r>
        <w:rPr>
          <w:color w:val="231F20"/>
          <w:spacing w:val="-6"/>
          <w:sz w:val="18"/>
        </w:rPr>
        <w:t> </w:t>
      </w:r>
      <w:r>
        <w:rPr>
          <w:color w:val="231F20"/>
          <w:sz w:val="18"/>
        </w:rPr>
        <w:t>Шорохова</w:t>
      </w:r>
      <w:r>
        <w:rPr>
          <w:color w:val="231F20"/>
          <w:spacing w:val="-6"/>
          <w:sz w:val="18"/>
        </w:rPr>
        <w:t> </w:t>
      </w:r>
      <w:r>
        <w:rPr>
          <w:color w:val="231F20"/>
          <w:sz w:val="18"/>
        </w:rPr>
        <w:t>В.А.</w:t>
      </w:r>
      <w:r>
        <w:rPr>
          <w:color w:val="231F20"/>
          <w:spacing w:val="-6"/>
          <w:sz w:val="18"/>
        </w:rPr>
        <w:t> </w:t>
      </w:r>
      <w:r>
        <w:rPr>
          <w:color w:val="231F20"/>
          <w:sz w:val="18"/>
        </w:rPr>
        <w:t>Разработка</w:t>
      </w:r>
      <w:r>
        <w:rPr>
          <w:color w:val="231F20"/>
          <w:spacing w:val="-6"/>
          <w:sz w:val="18"/>
        </w:rPr>
        <w:t> </w:t>
      </w:r>
      <w:r>
        <w:rPr>
          <w:color w:val="231F20"/>
          <w:sz w:val="18"/>
        </w:rPr>
        <w:t>и</w:t>
      </w:r>
      <w:r>
        <w:rPr>
          <w:color w:val="231F20"/>
          <w:spacing w:val="-6"/>
          <w:sz w:val="18"/>
        </w:rPr>
        <w:t> </w:t>
      </w:r>
      <w:r>
        <w:rPr>
          <w:color w:val="231F20"/>
          <w:sz w:val="18"/>
        </w:rPr>
        <w:t>адаптация</w:t>
      </w:r>
      <w:r>
        <w:rPr>
          <w:color w:val="231F20"/>
          <w:spacing w:val="-6"/>
          <w:sz w:val="18"/>
        </w:rPr>
        <w:t> </w:t>
      </w:r>
      <w:r>
        <w:rPr>
          <w:color w:val="231F20"/>
          <w:sz w:val="18"/>
        </w:rPr>
        <w:t>методики</w:t>
      </w:r>
      <w:r>
        <w:rPr>
          <w:color w:val="231F20"/>
          <w:spacing w:val="-6"/>
          <w:sz w:val="18"/>
        </w:rPr>
        <w:t> </w:t>
      </w:r>
      <w:r>
        <w:rPr>
          <w:color w:val="231F20"/>
          <w:sz w:val="18"/>
        </w:rPr>
        <w:t>«Интегративный</w:t>
      </w:r>
      <w:r>
        <w:rPr>
          <w:color w:val="231F20"/>
          <w:spacing w:val="-6"/>
          <w:sz w:val="18"/>
        </w:rPr>
        <w:t> </w:t>
      </w:r>
      <w:r>
        <w:rPr>
          <w:color w:val="231F20"/>
          <w:sz w:val="18"/>
        </w:rPr>
        <w:t>опросник межкультурной</w:t>
      </w:r>
      <w:r>
        <w:rPr>
          <w:color w:val="231F20"/>
          <w:spacing w:val="-4"/>
          <w:sz w:val="18"/>
        </w:rPr>
        <w:t> </w:t>
      </w:r>
      <w:r>
        <w:rPr>
          <w:color w:val="231F20"/>
          <w:sz w:val="18"/>
        </w:rPr>
        <w:t>компетентности»</w:t>
      </w:r>
      <w:r>
        <w:rPr>
          <w:color w:val="231F20"/>
          <w:spacing w:val="-4"/>
          <w:sz w:val="18"/>
        </w:rPr>
        <w:t> </w:t>
      </w:r>
      <w:r>
        <w:rPr>
          <w:color w:val="231F20"/>
          <w:sz w:val="18"/>
        </w:rPr>
        <w:t>//</w:t>
      </w:r>
      <w:r>
        <w:rPr>
          <w:color w:val="231F20"/>
          <w:spacing w:val="-4"/>
          <w:sz w:val="18"/>
        </w:rPr>
        <w:t> </w:t>
      </w:r>
      <w:r>
        <w:rPr>
          <w:color w:val="231F20"/>
          <w:sz w:val="18"/>
        </w:rPr>
        <w:t>Психология.</w:t>
      </w:r>
      <w:r>
        <w:rPr>
          <w:color w:val="231F20"/>
          <w:spacing w:val="-4"/>
          <w:sz w:val="18"/>
        </w:rPr>
        <w:t> </w:t>
      </w:r>
      <w:r>
        <w:rPr>
          <w:color w:val="231F20"/>
          <w:sz w:val="18"/>
        </w:rPr>
        <w:t>Журнал</w:t>
      </w:r>
      <w:r>
        <w:rPr>
          <w:color w:val="231F20"/>
          <w:spacing w:val="-4"/>
          <w:sz w:val="18"/>
        </w:rPr>
        <w:t> </w:t>
      </w:r>
      <w:r>
        <w:rPr>
          <w:color w:val="231F20"/>
          <w:sz w:val="18"/>
        </w:rPr>
        <w:t>Высшей</w:t>
      </w:r>
      <w:r>
        <w:rPr>
          <w:color w:val="231F20"/>
          <w:spacing w:val="-4"/>
          <w:sz w:val="18"/>
        </w:rPr>
        <w:t> </w:t>
      </w:r>
      <w:r>
        <w:rPr>
          <w:color w:val="231F20"/>
          <w:sz w:val="18"/>
        </w:rPr>
        <w:t>школы</w:t>
      </w:r>
      <w:r>
        <w:rPr>
          <w:color w:val="231F20"/>
          <w:spacing w:val="-4"/>
          <w:sz w:val="18"/>
        </w:rPr>
        <w:t> </w:t>
      </w:r>
      <w:r>
        <w:rPr>
          <w:color w:val="231F20"/>
          <w:sz w:val="18"/>
        </w:rPr>
        <w:t>экономи- ки, 2021. Т. 18. № 1. С. 71–91. DOI: 10.17323/1813-8918-2021-1-71-91.</w:t>
      </w:r>
    </w:p>
    <w:p>
      <w:pPr>
        <w:pStyle w:val="ListParagraph"/>
        <w:numPr>
          <w:ilvl w:val="1"/>
          <w:numId w:val="239"/>
        </w:numPr>
        <w:tabs>
          <w:tab w:pos="708" w:val="left" w:leader="none"/>
        </w:tabs>
        <w:spacing w:line="240" w:lineRule="auto" w:before="0" w:after="0"/>
        <w:ind w:left="708" w:right="423" w:hanging="284"/>
        <w:jc w:val="both"/>
        <w:rPr>
          <w:sz w:val="18"/>
        </w:rPr>
      </w:pPr>
      <w:r>
        <w:rPr>
          <w:color w:val="231F20"/>
          <w:sz w:val="18"/>
        </w:rPr>
        <w:t>Хухлаев О.Е., Чибисова М.Ю. Теоретические и практические вопросы межкуль- турной коммуникации: современные тенденции // Психологическая наука и обра- зование,</w:t>
      </w:r>
      <w:r>
        <w:rPr>
          <w:color w:val="231F20"/>
          <w:spacing w:val="-12"/>
          <w:sz w:val="18"/>
        </w:rPr>
        <w:t> </w:t>
      </w:r>
      <w:r>
        <w:rPr>
          <w:color w:val="231F20"/>
          <w:sz w:val="18"/>
        </w:rPr>
        <w:t>2010.</w:t>
      </w:r>
      <w:r>
        <w:rPr>
          <w:color w:val="231F20"/>
          <w:spacing w:val="-11"/>
          <w:sz w:val="18"/>
        </w:rPr>
        <w:t> </w:t>
      </w:r>
      <w:r>
        <w:rPr>
          <w:color w:val="231F20"/>
          <w:sz w:val="18"/>
        </w:rPr>
        <w:t>5(2).</w:t>
      </w:r>
      <w:r>
        <w:rPr>
          <w:color w:val="231F20"/>
          <w:spacing w:val="-11"/>
          <w:sz w:val="18"/>
        </w:rPr>
        <w:t> </w:t>
      </w:r>
      <w:r>
        <w:rPr>
          <w:color w:val="231F20"/>
          <w:sz w:val="18"/>
        </w:rPr>
        <w:t>Режим</w:t>
      </w:r>
      <w:r>
        <w:rPr>
          <w:color w:val="231F20"/>
          <w:spacing w:val="-11"/>
          <w:sz w:val="18"/>
        </w:rPr>
        <w:t> </w:t>
      </w:r>
      <w:r>
        <w:rPr>
          <w:color w:val="231F20"/>
          <w:sz w:val="18"/>
        </w:rPr>
        <w:t>доступа:</w:t>
      </w:r>
      <w:r>
        <w:rPr>
          <w:color w:val="231F20"/>
          <w:spacing w:val="-12"/>
          <w:sz w:val="18"/>
        </w:rPr>
        <w:t> </w:t>
      </w:r>
      <w:hyperlink r:id="rId223">
        <w:r>
          <w:rPr>
            <w:color w:val="2255A6"/>
            <w:sz w:val="18"/>
            <w:u w:val="single" w:color="2255A6"/>
          </w:rPr>
          <w:t>http://psyjournals.ru/psyedu_ru/2010/n5/Huhlaev_</w:t>
        </w:r>
      </w:hyperlink>
      <w:r>
        <w:rPr>
          <w:color w:val="2255A6"/>
          <w:sz w:val="18"/>
        </w:rPr>
        <w:t> </w:t>
      </w:r>
      <w:hyperlink r:id="rId223">
        <w:r>
          <w:rPr>
            <w:color w:val="2255A6"/>
            <w:spacing w:val="-2"/>
            <w:sz w:val="18"/>
            <w:u w:val="single" w:color="2255A6"/>
          </w:rPr>
          <w:t>Chibisova.shtml</w:t>
        </w:r>
      </w:hyperlink>
      <w:r>
        <w:rPr>
          <w:color w:val="231F20"/>
          <w:spacing w:val="-2"/>
          <w:sz w:val="18"/>
        </w:rPr>
        <w:t>.</w:t>
      </w:r>
    </w:p>
    <w:p>
      <w:pPr>
        <w:pStyle w:val="ListParagraph"/>
        <w:spacing w:after="0" w:line="240" w:lineRule="auto"/>
        <w:jc w:val="both"/>
        <w:rPr>
          <w:sz w:val="18"/>
        </w:rPr>
        <w:sectPr>
          <w:pgSz w:w="8400" w:h="11910"/>
          <w:pgMar w:header="0" w:footer="529" w:top="400" w:bottom="740" w:left="425" w:right="425"/>
        </w:sectPr>
      </w:pPr>
    </w:p>
    <w:p>
      <w:pPr>
        <w:spacing w:before="80"/>
        <w:ind w:left="141" w:right="139" w:firstLine="0"/>
        <w:jc w:val="right"/>
        <w:rPr>
          <w:rFonts w:ascii="Georgia" w:hAnsi="Georgia"/>
          <w:sz w:val="18"/>
        </w:rPr>
      </w:pPr>
      <w:bookmarkStart w:name="_bookmark82" w:id="84"/>
      <w:bookmarkEnd w:id="84"/>
      <w:r>
        <w:rPr/>
      </w:r>
      <w:r>
        <w:rPr>
          <w:rFonts w:ascii="Georgia" w:hAnsi="Georgia"/>
          <w:color w:val="231F20"/>
          <w:spacing w:val="-2"/>
          <w:sz w:val="18"/>
        </w:rPr>
        <w:t>Раздел</w:t>
      </w:r>
      <w:r>
        <w:rPr>
          <w:rFonts w:ascii="Georgia" w:hAnsi="Georgia"/>
          <w:color w:val="231F20"/>
          <w:spacing w:val="-5"/>
          <w:sz w:val="18"/>
        </w:rPr>
        <w:t> 2.</w:t>
      </w:r>
    </w:p>
    <w:p>
      <w:pPr>
        <w:numPr>
          <w:ilvl w:val="1"/>
          <w:numId w:val="240"/>
        </w:numPr>
        <w:tabs>
          <w:tab w:pos="575" w:val="left" w:leader="none"/>
        </w:tabs>
        <w:spacing w:before="109"/>
        <w:ind w:left="575" w:right="0" w:hanging="350"/>
        <w:jc w:val="left"/>
        <w:rPr>
          <w:b/>
          <w:color w:val="231F20"/>
          <w:sz w:val="20"/>
        </w:rPr>
      </w:pPr>
      <w:r>
        <w:rPr>
          <w:b/>
          <w:color w:val="231F20"/>
          <w:sz w:val="20"/>
        </w:rPr>
        <w:t>Алгоритм</w:t>
      </w:r>
      <w:r>
        <w:rPr>
          <w:b/>
          <w:color w:val="231F20"/>
          <w:spacing w:val="-9"/>
          <w:sz w:val="20"/>
        </w:rPr>
        <w:t> </w:t>
      </w:r>
      <w:r>
        <w:rPr>
          <w:b/>
          <w:color w:val="231F20"/>
          <w:sz w:val="20"/>
        </w:rPr>
        <w:t>разбора</w:t>
      </w:r>
      <w:r>
        <w:rPr>
          <w:b/>
          <w:color w:val="231F20"/>
          <w:spacing w:val="-7"/>
          <w:sz w:val="20"/>
        </w:rPr>
        <w:t> </w:t>
      </w:r>
      <w:r>
        <w:rPr>
          <w:b/>
          <w:color w:val="231F20"/>
          <w:sz w:val="20"/>
        </w:rPr>
        <w:t>педагогического</w:t>
      </w:r>
      <w:r>
        <w:rPr>
          <w:b/>
          <w:color w:val="231F20"/>
          <w:spacing w:val="-8"/>
          <w:sz w:val="20"/>
        </w:rPr>
        <w:t> </w:t>
      </w:r>
      <w:r>
        <w:rPr>
          <w:b/>
          <w:color w:val="231F20"/>
          <w:sz w:val="20"/>
        </w:rPr>
        <w:t>случая,</w:t>
      </w:r>
      <w:r>
        <w:rPr>
          <w:b/>
          <w:color w:val="231F20"/>
          <w:spacing w:val="-7"/>
          <w:sz w:val="20"/>
        </w:rPr>
        <w:t> </w:t>
      </w:r>
      <w:r>
        <w:rPr>
          <w:b/>
          <w:color w:val="231F20"/>
          <w:sz w:val="20"/>
        </w:rPr>
        <w:t>связанного</w:t>
      </w:r>
      <w:r>
        <w:rPr>
          <w:b/>
          <w:color w:val="231F20"/>
          <w:spacing w:val="-8"/>
          <w:sz w:val="20"/>
        </w:rPr>
        <w:t> </w:t>
      </w:r>
      <w:r>
        <w:rPr>
          <w:b/>
          <w:color w:val="231F20"/>
          <w:sz w:val="20"/>
        </w:rPr>
        <w:t>с</w:t>
      </w:r>
      <w:r>
        <w:rPr>
          <w:b/>
          <w:color w:val="231F20"/>
          <w:spacing w:val="-7"/>
          <w:sz w:val="20"/>
        </w:rPr>
        <w:t> </w:t>
      </w:r>
      <w:r>
        <w:rPr>
          <w:b/>
          <w:color w:val="231F20"/>
          <w:sz w:val="20"/>
        </w:rPr>
        <w:t>адаптацией</w:t>
      </w:r>
      <w:r>
        <w:rPr>
          <w:b/>
          <w:color w:val="231F20"/>
          <w:spacing w:val="-8"/>
          <w:sz w:val="20"/>
        </w:rPr>
        <w:t> </w:t>
      </w:r>
      <w:r>
        <w:rPr>
          <w:b/>
          <w:color w:val="231F20"/>
          <w:spacing w:val="-2"/>
          <w:sz w:val="20"/>
        </w:rPr>
        <w:t>детей</w:t>
      </w:r>
    </w:p>
    <w:p>
      <w:pPr>
        <w:spacing w:before="166"/>
        <w:ind w:left="425" w:right="0" w:firstLine="5639"/>
        <w:jc w:val="both"/>
        <w:rPr>
          <w:i/>
          <w:sz w:val="20"/>
        </w:rPr>
      </w:pPr>
      <w:r>
        <w:rPr>
          <w:i/>
          <w:color w:val="231F20"/>
          <w:sz w:val="20"/>
        </w:rPr>
        <w:t>А.М.</w:t>
      </w:r>
      <w:r>
        <w:rPr>
          <w:i/>
          <w:color w:val="231F20"/>
          <w:spacing w:val="-2"/>
          <w:sz w:val="20"/>
        </w:rPr>
        <w:t> Федосеева</w:t>
      </w:r>
    </w:p>
    <w:p>
      <w:pPr>
        <w:pStyle w:val="BodyText"/>
        <w:spacing w:line="235" w:lineRule="auto" w:before="113"/>
      </w:pPr>
      <w:r>
        <w:rPr>
          <w:i/>
        </w:rPr>
        <w:t>Педагогический</w:t>
      </w:r>
      <w:r>
        <w:rPr>
          <w:i/>
          <w:spacing w:val="-8"/>
        </w:rPr>
        <w:t> </w:t>
      </w:r>
      <w:r>
        <w:rPr>
          <w:i/>
        </w:rPr>
        <w:t>случай</w:t>
      </w:r>
      <w:r>
        <w:rPr>
          <w:i/>
          <w:spacing w:val="-8"/>
        </w:rPr>
        <w:t> </w:t>
      </w:r>
      <w:r>
        <w:rPr/>
        <w:t>понимается</w:t>
      </w:r>
      <w:r>
        <w:rPr>
          <w:spacing w:val="-8"/>
        </w:rPr>
        <w:t> </w:t>
      </w:r>
      <w:r>
        <w:rPr/>
        <w:t>как</w:t>
      </w:r>
      <w:r>
        <w:rPr>
          <w:spacing w:val="-8"/>
        </w:rPr>
        <w:t> </w:t>
      </w:r>
      <w:r>
        <w:rPr/>
        <w:t>событие</w:t>
      </w:r>
      <w:r>
        <w:rPr>
          <w:spacing w:val="-8"/>
        </w:rPr>
        <w:t> </w:t>
      </w:r>
      <w:r>
        <w:rPr/>
        <w:t>во</w:t>
      </w:r>
      <w:r>
        <w:rPr>
          <w:spacing w:val="-8"/>
        </w:rPr>
        <w:t> </w:t>
      </w:r>
      <w:r>
        <w:rPr/>
        <w:t>взаимодействии</w:t>
      </w:r>
      <w:r>
        <w:rPr>
          <w:spacing w:val="-8"/>
        </w:rPr>
        <w:t> </w:t>
      </w:r>
      <w:r>
        <w:rPr/>
        <w:t>субъектов</w:t>
      </w:r>
      <w:r>
        <w:rPr>
          <w:spacing w:val="-8"/>
        </w:rPr>
        <w:t> </w:t>
      </w:r>
      <w:r>
        <w:rPr/>
        <w:t>об- </w:t>
      </w:r>
      <w:r>
        <w:rPr>
          <w:spacing w:val="-2"/>
        </w:rPr>
        <w:t>разовательного пространства, в результате которого складывается особая педагогиче- </w:t>
      </w:r>
      <w:r>
        <w:rPr/>
        <w:t>ская ситуация. Педагогический процесс происходит как во время урочной, так и во время внеурочной деятельности педагога с учащимися.</w:t>
      </w:r>
    </w:p>
    <w:p>
      <w:pPr>
        <w:pStyle w:val="BodyText"/>
        <w:spacing w:line="235" w:lineRule="auto" w:before="3"/>
      </w:pPr>
      <w:r>
        <w:rPr/>
        <w:t>В</w:t>
      </w:r>
      <w:r>
        <w:rPr>
          <w:spacing w:val="-6"/>
        </w:rPr>
        <w:t> </w:t>
      </w:r>
      <w:r>
        <w:rPr/>
        <w:t>практике</w:t>
      </w:r>
      <w:r>
        <w:rPr>
          <w:spacing w:val="-6"/>
        </w:rPr>
        <w:t> </w:t>
      </w:r>
      <w:r>
        <w:rPr/>
        <w:t>методического</w:t>
      </w:r>
      <w:r>
        <w:rPr>
          <w:spacing w:val="-6"/>
        </w:rPr>
        <w:t> </w:t>
      </w:r>
      <w:r>
        <w:rPr/>
        <w:t>сопровождения</w:t>
      </w:r>
      <w:r>
        <w:rPr>
          <w:spacing w:val="-6"/>
        </w:rPr>
        <w:t> </w:t>
      </w:r>
      <w:r>
        <w:rPr/>
        <w:t>деятельности</w:t>
      </w:r>
      <w:r>
        <w:rPr>
          <w:spacing w:val="-6"/>
        </w:rPr>
        <w:t> </w:t>
      </w:r>
      <w:r>
        <w:rPr/>
        <w:t>учителя</w:t>
      </w:r>
      <w:r>
        <w:rPr>
          <w:spacing w:val="-6"/>
        </w:rPr>
        <w:t> </w:t>
      </w:r>
      <w:r>
        <w:rPr/>
        <w:t>сложились</w:t>
      </w:r>
      <w:r>
        <w:rPr>
          <w:spacing w:val="-6"/>
        </w:rPr>
        <w:t> </w:t>
      </w:r>
      <w:r>
        <w:rPr/>
        <w:t>фор- маты, с помощью которых осуществляется наставничество: проектирование педа- гогического процесса в рамках методического объединения, открытые уроки и их обсуждения, обсуждение трудных случаев взаимодействия с участниками образова- тельной среды, педагогические советы и психолого-педагогические консультации, </w:t>
      </w:r>
      <w:r>
        <w:rPr>
          <w:spacing w:val="-2"/>
        </w:rPr>
        <w:t>консилиумы.</w:t>
      </w:r>
    </w:p>
    <w:p>
      <w:pPr>
        <w:pStyle w:val="BodyText"/>
        <w:spacing w:line="235" w:lineRule="auto" w:before="3"/>
      </w:pPr>
      <w:r>
        <w:rPr/>
        <w:t>Ситуация межкультурной адаптации ученика в образовательной среде особенна тем,</w:t>
      </w:r>
      <w:r>
        <w:rPr>
          <w:spacing w:val="-2"/>
        </w:rPr>
        <w:t> </w:t>
      </w:r>
      <w:r>
        <w:rPr/>
        <w:t>что</w:t>
      </w:r>
      <w:r>
        <w:rPr>
          <w:spacing w:val="-2"/>
        </w:rPr>
        <w:t> </w:t>
      </w:r>
      <w:r>
        <w:rPr/>
        <w:t>трудности</w:t>
      </w:r>
      <w:r>
        <w:rPr>
          <w:spacing w:val="-2"/>
        </w:rPr>
        <w:t> </w:t>
      </w:r>
      <w:r>
        <w:rPr/>
        <w:t>во</w:t>
      </w:r>
      <w:r>
        <w:rPr>
          <w:spacing w:val="-2"/>
        </w:rPr>
        <w:t> </w:t>
      </w:r>
      <w:r>
        <w:rPr/>
        <w:t>взаимодействии</w:t>
      </w:r>
      <w:r>
        <w:rPr>
          <w:spacing w:val="-2"/>
        </w:rPr>
        <w:t> </w:t>
      </w:r>
      <w:r>
        <w:rPr/>
        <w:t>возникают</w:t>
      </w:r>
      <w:r>
        <w:rPr>
          <w:spacing w:val="-2"/>
        </w:rPr>
        <w:t> </w:t>
      </w:r>
      <w:r>
        <w:rPr/>
        <w:t>вне</w:t>
      </w:r>
      <w:r>
        <w:rPr>
          <w:spacing w:val="-2"/>
        </w:rPr>
        <w:t> </w:t>
      </w:r>
      <w:r>
        <w:rPr/>
        <w:t>зависимости</w:t>
      </w:r>
      <w:r>
        <w:rPr>
          <w:spacing w:val="-2"/>
        </w:rPr>
        <w:t> </w:t>
      </w:r>
      <w:r>
        <w:rPr/>
        <w:t>от</w:t>
      </w:r>
      <w:r>
        <w:rPr>
          <w:spacing w:val="-2"/>
        </w:rPr>
        <w:t> </w:t>
      </w:r>
      <w:r>
        <w:rPr/>
        <w:t>того,</w:t>
      </w:r>
      <w:r>
        <w:rPr>
          <w:spacing w:val="-2"/>
        </w:rPr>
        <w:t> </w:t>
      </w:r>
      <w:r>
        <w:rPr/>
        <w:t>происхо- дит</w:t>
      </w:r>
      <w:r>
        <w:rPr>
          <w:spacing w:val="-4"/>
        </w:rPr>
        <w:t> </w:t>
      </w:r>
      <w:r>
        <w:rPr/>
        <w:t>ли</w:t>
      </w:r>
      <w:r>
        <w:rPr>
          <w:spacing w:val="-4"/>
        </w:rPr>
        <w:t> </w:t>
      </w:r>
      <w:r>
        <w:rPr/>
        <w:t>это</w:t>
      </w:r>
      <w:r>
        <w:rPr>
          <w:spacing w:val="-4"/>
        </w:rPr>
        <w:t> </w:t>
      </w:r>
      <w:r>
        <w:rPr/>
        <w:t>взаимодействие</w:t>
      </w:r>
      <w:r>
        <w:rPr>
          <w:spacing w:val="-4"/>
        </w:rPr>
        <w:t> </w:t>
      </w:r>
      <w:r>
        <w:rPr/>
        <w:t>на</w:t>
      </w:r>
      <w:r>
        <w:rPr>
          <w:spacing w:val="-4"/>
        </w:rPr>
        <w:t> </w:t>
      </w:r>
      <w:r>
        <w:rPr/>
        <w:t>уроке</w:t>
      </w:r>
      <w:r>
        <w:rPr>
          <w:spacing w:val="-4"/>
        </w:rPr>
        <w:t> </w:t>
      </w:r>
      <w:r>
        <w:rPr/>
        <w:t>или</w:t>
      </w:r>
      <w:r>
        <w:rPr>
          <w:spacing w:val="-4"/>
        </w:rPr>
        <w:t> </w:t>
      </w:r>
      <w:r>
        <w:rPr/>
        <w:t>во</w:t>
      </w:r>
      <w:r>
        <w:rPr>
          <w:spacing w:val="-4"/>
        </w:rPr>
        <w:t> </w:t>
      </w:r>
      <w:r>
        <w:rPr/>
        <w:t>внеурочной</w:t>
      </w:r>
      <w:r>
        <w:rPr>
          <w:spacing w:val="-4"/>
        </w:rPr>
        <w:t> </w:t>
      </w:r>
      <w:r>
        <w:rPr/>
        <w:t>активности.</w:t>
      </w:r>
      <w:r>
        <w:rPr>
          <w:spacing w:val="-4"/>
        </w:rPr>
        <w:t> </w:t>
      </w:r>
      <w:r>
        <w:rPr/>
        <w:t>Трудности</w:t>
      </w:r>
      <w:r>
        <w:rPr>
          <w:spacing w:val="-4"/>
        </w:rPr>
        <w:t> </w:t>
      </w:r>
      <w:r>
        <w:rPr/>
        <w:t>адап- тации детей влияют как на проектирование и проведение учебных занятий, так и на взаимодействие</w:t>
      </w:r>
      <w:r>
        <w:rPr>
          <w:spacing w:val="-1"/>
        </w:rPr>
        <w:t> </w:t>
      </w:r>
      <w:r>
        <w:rPr/>
        <w:t>в</w:t>
      </w:r>
      <w:r>
        <w:rPr>
          <w:spacing w:val="-1"/>
        </w:rPr>
        <w:t> </w:t>
      </w:r>
      <w:r>
        <w:rPr/>
        <w:t>рамках</w:t>
      </w:r>
      <w:r>
        <w:rPr>
          <w:spacing w:val="-1"/>
        </w:rPr>
        <w:t> </w:t>
      </w:r>
      <w:r>
        <w:rPr/>
        <w:t>воспитательной</w:t>
      </w:r>
      <w:r>
        <w:rPr>
          <w:spacing w:val="-1"/>
        </w:rPr>
        <w:t> </w:t>
      </w:r>
      <w:r>
        <w:rPr/>
        <w:t>работы.</w:t>
      </w:r>
      <w:r>
        <w:rPr>
          <w:spacing w:val="-1"/>
        </w:rPr>
        <w:t> </w:t>
      </w:r>
      <w:r>
        <w:rPr/>
        <w:t>Итак,</w:t>
      </w:r>
      <w:r>
        <w:rPr>
          <w:spacing w:val="-1"/>
        </w:rPr>
        <w:t> </w:t>
      </w:r>
      <w:r>
        <w:rPr/>
        <w:t>разбор</w:t>
      </w:r>
      <w:r>
        <w:rPr>
          <w:spacing w:val="-1"/>
        </w:rPr>
        <w:t> </w:t>
      </w:r>
      <w:r>
        <w:rPr/>
        <w:t>трудных</w:t>
      </w:r>
      <w:r>
        <w:rPr>
          <w:spacing w:val="-1"/>
        </w:rPr>
        <w:t> </w:t>
      </w:r>
      <w:r>
        <w:rPr>
          <w:i/>
        </w:rPr>
        <w:t>педагогиче- ских</w:t>
      </w:r>
      <w:r>
        <w:rPr>
          <w:i/>
          <w:spacing w:val="-8"/>
        </w:rPr>
        <w:t> </w:t>
      </w:r>
      <w:r>
        <w:rPr>
          <w:i/>
        </w:rPr>
        <w:t>случаев</w:t>
      </w:r>
      <w:r>
        <w:rPr>
          <w:i/>
          <w:spacing w:val="-7"/>
        </w:rPr>
        <w:t> </w:t>
      </w:r>
      <w:r>
        <w:rPr/>
        <w:t>может</w:t>
      </w:r>
      <w:r>
        <w:rPr>
          <w:spacing w:val="-8"/>
        </w:rPr>
        <w:t> </w:t>
      </w:r>
      <w:r>
        <w:rPr/>
        <w:t>проходить</w:t>
      </w:r>
      <w:r>
        <w:rPr>
          <w:spacing w:val="-8"/>
        </w:rPr>
        <w:t> </w:t>
      </w:r>
      <w:r>
        <w:rPr/>
        <w:t>в</w:t>
      </w:r>
      <w:r>
        <w:rPr>
          <w:spacing w:val="-8"/>
        </w:rPr>
        <w:t> </w:t>
      </w:r>
      <w:r>
        <w:rPr/>
        <w:t>разных</w:t>
      </w:r>
      <w:r>
        <w:rPr>
          <w:spacing w:val="-8"/>
        </w:rPr>
        <w:t> </w:t>
      </w:r>
      <w:r>
        <w:rPr/>
        <w:t>организационных</w:t>
      </w:r>
      <w:r>
        <w:rPr>
          <w:spacing w:val="-7"/>
        </w:rPr>
        <w:t> </w:t>
      </w:r>
      <w:r>
        <w:rPr/>
        <w:t>форматах</w:t>
      </w:r>
      <w:r>
        <w:rPr>
          <w:spacing w:val="-8"/>
        </w:rPr>
        <w:t> </w:t>
      </w:r>
      <w:r>
        <w:rPr/>
        <w:t>в</w:t>
      </w:r>
      <w:r>
        <w:rPr>
          <w:spacing w:val="-7"/>
        </w:rPr>
        <w:t> </w:t>
      </w:r>
      <w:r>
        <w:rPr/>
        <w:t>двух</w:t>
      </w:r>
      <w:r>
        <w:rPr>
          <w:spacing w:val="-7"/>
        </w:rPr>
        <w:t> </w:t>
      </w:r>
      <w:r>
        <w:rPr/>
        <w:t>основных технологиях: технология психолого-педагогического анализа уроков и технологии супервизорской (психологической) группы.</w:t>
      </w:r>
    </w:p>
    <w:p>
      <w:pPr>
        <w:pStyle w:val="BodyText"/>
        <w:spacing w:line="235" w:lineRule="auto" w:before="5"/>
      </w:pPr>
      <w:r>
        <w:rPr/>
        <w:t>Педагогический</w:t>
      </w:r>
      <w:r>
        <w:rPr>
          <w:spacing w:val="-12"/>
        </w:rPr>
        <w:t> </w:t>
      </w:r>
      <w:r>
        <w:rPr/>
        <w:t>анализ</w:t>
      </w:r>
      <w:r>
        <w:rPr>
          <w:spacing w:val="-12"/>
        </w:rPr>
        <w:t> </w:t>
      </w:r>
      <w:r>
        <w:rPr/>
        <w:t>урока</w:t>
      </w:r>
      <w:r>
        <w:rPr>
          <w:spacing w:val="-12"/>
        </w:rPr>
        <w:t> </w:t>
      </w:r>
      <w:r>
        <w:rPr/>
        <w:t>–</w:t>
      </w:r>
      <w:r>
        <w:rPr>
          <w:spacing w:val="-12"/>
        </w:rPr>
        <w:t> </w:t>
      </w:r>
      <w:r>
        <w:rPr/>
        <w:t>это</w:t>
      </w:r>
      <w:r>
        <w:rPr>
          <w:spacing w:val="-12"/>
        </w:rPr>
        <w:t> </w:t>
      </w:r>
      <w:r>
        <w:rPr/>
        <w:t>анализ</w:t>
      </w:r>
      <w:r>
        <w:rPr>
          <w:spacing w:val="-12"/>
        </w:rPr>
        <w:t> </w:t>
      </w:r>
      <w:r>
        <w:rPr/>
        <w:t>деятельности</w:t>
      </w:r>
      <w:r>
        <w:rPr>
          <w:spacing w:val="-12"/>
        </w:rPr>
        <w:t> </w:t>
      </w:r>
      <w:r>
        <w:rPr/>
        <w:t>учителя</w:t>
      </w:r>
      <w:r>
        <w:rPr>
          <w:spacing w:val="-12"/>
        </w:rPr>
        <w:t> </w:t>
      </w:r>
      <w:r>
        <w:rPr/>
        <w:t>по</w:t>
      </w:r>
      <w:r>
        <w:rPr>
          <w:spacing w:val="-12"/>
        </w:rPr>
        <w:t> </w:t>
      </w:r>
      <w:r>
        <w:rPr/>
        <w:t>методической организации совместной образовательной деятельности школьников, который пред- полагает вычленение, сопоставление, сравнение, обоснование используемых педа- гогом методических средств, представление возможных вариантов преобразования деятельности. Психолого-педагогический анализ урока выполняет задачи развития </w:t>
      </w:r>
      <w:r>
        <w:rPr>
          <w:spacing w:val="-2"/>
        </w:rPr>
        <w:t>профессиональной рефлексии педагога, совершенствования навыков проектирования </w:t>
      </w:r>
      <w:r>
        <w:rPr/>
        <w:t>педагогического взаимодействия, способствующего решению учебных задач.</w:t>
      </w:r>
    </w:p>
    <w:p>
      <w:pPr>
        <w:pStyle w:val="BodyText"/>
        <w:spacing w:line="235" w:lineRule="auto" w:before="5"/>
      </w:pPr>
      <w:r>
        <w:rPr/>
        <w:t>Исторически</w:t>
      </w:r>
      <w:r>
        <w:rPr>
          <w:spacing w:val="-5"/>
        </w:rPr>
        <w:t> </w:t>
      </w:r>
      <w:r>
        <w:rPr/>
        <w:t>практика</w:t>
      </w:r>
      <w:r>
        <w:rPr>
          <w:spacing w:val="-5"/>
        </w:rPr>
        <w:t> </w:t>
      </w:r>
      <w:r>
        <w:rPr/>
        <w:t>психолого-педагогического</w:t>
      </w:r>
      <w:r>
        <w:rPr>
          <w:spacing w:val="-5"/>
        </w:rPr>
        <w:t> </w:t>
      </w:r>
      <w:r>
        <w:rPr/>
        <w:t>анализа</w:t>
      </w:r>
      <w:r>
        <w:rPr>
          <w:spacing w:val="-5"/>
        </w:rPr>
        <w:t> </w:t>
      </w:r>
      <w:r>
        <w:rPr/>
        <w:t>уроков</w:t>
      </w:r>
      <w:r>
        <w:rPr>
          <w:spacing w:val="-5"/>
        </w:rPr>
        <w:t> </w:t>
      </w:r>
      <w:r>
        <w:rPr/>
        <w:t>возникла</w:t>
      </w:r>
      <w:r>
        <w:rPr>
          <w:spacing w:val="-5"/>
        </w:rPr>
        <w:t> </w:t>
      </w:r>
      <w:r>
        <w:rPr/>
        <w:t>в</w:t>
      </w:r>
      <w:r>
        <w:rPr>
          <w:spacing w:val="-5"/>
        </w:rPr>
        <w:t> </w:t>
      </w:r>
      <w:r>
        <w:rPr/>
        <w:t>си- стеме наставничества в образовании в первой половине XX века и была окончатель- но институализирована в системе высшего и средне-специального педагогического образования. История психолого-педагогического анализа урока как технологии об- учения и повышения квалификации учителей начинается с момента возникновения профессионального</w:t>
      </w:r>
      <w:r>
        <w:rPr>
          <w:spacing w:val="-6"/>
        </w:rPr>
        <w:t> </w:t>
      </w:r>
      <w:r>
        <w:rPr/>
        <w:t>педагогического</w:t>
      </w:r>
      <w:r>
        <w:rPr>
          <w:spacing w:val="-6"/>
        </w:rPr>
        <w:t> </w:t>
      </w:r>
      <w:r>
        <w:rPr/>
        <w:t>образования</w:t>
      </w:r>
      <w:r>
        <w:rPr>
          <w:spacing w:val="-6"/>
        </w:rPr>
        <w:t> </w:t>
      </w:r>
      <w:r>
        <w:rPr/>
        <w:t>в</w:t>
      </w:r>
      <w:r>
        <w:rPr>
          <w:spacing w:val="-6"/>
        </w:rPr>
        <w:t> </w:t>
      </w:r>
      <w:r>
        <w:rPr/>
        <w:t>целом.</w:t>
      </w:r>
      <w:r>
        <w:rPr>
          <w:spacing w:val="-6"/>
        </w:rPr>
        <w:t> </w:t>
      </w:r>
      <w:r>
        <w:rPr/>
        <w:t>Задача</w:t>
      </w:r>
      <w:r>
        <w:rPr>
          <w:spacing w:val="-6"/>
        </w:rPr>
        <w:t> </w:t>
      </w:r>
      <w:r>
        <w:rPr/>
        <w:t>организации</w:t>
      </w:r>
      <w:r>
        <w:rPr>
          <w:spacing w:val="-6"/>
        </w:rPr>
        <w:t> </w:t>
      </w:r>
      <w:r>
        <w:rPr/>
        <w:t>педа- гогической</w:t>
      </w:r>
      <w:r>
        <w:rPr>
          <w:spacing w:val="-13"/>
        </w:rPr>
        <w:t> </w:t>
      </w:r>
      <w:r>
        <w:rPr/>
        <w:t>практики</w:t>
      </w:r>
      <w:r>
        <w:rPr>
          <w:spacing w:val="-12"/>
        </w:rPr>
        <w:t> </w:t>
      </w:r>
      <w:r>
        <w:rPr/>
        <w:t>студентов</w:t>
      </w:r>
      <w:r>
        <w:rPr>
          <w:spacing w:val="-13"/>
        </w:rPr>
        <w:t> </w:t>
      </w:r>
      <w:r>
        <w:rPr/>
        <w:t>требовала</w:t>
      </w:r>
      <w:r>
        <w:rPr>
          <w:spacing w:val="-12"/>
        </w:rPr>
        <w:t> </w:t>
      </w:r>
      <w:r>
        <w:rPr/>
        <w:t>ее</w:t>
      </w:r>
      <w:r>
        <w:rPr>
          <w:spacing w:val="-13"/>
        </w:rPr>
        <w:t> </w:t>
      </w:r>
      <w:r>
        <w:rPr/>
        <w:t>методического</w:t>
      </w:r>
      <w:r>
        <w:rPr>
          <w:spacing w:val="-12"/>
        </w:rPr>
        <w:t> </w:t>
      </w:r>
      <w:r>
        <w:rPr/>
        <w:t>оснащения</w:t>
      </w:r>
      <w:r>
        <w:rPr>
          <w:spacing w:val="-13"/>
        </w:rPr>
        <w:t> </w:t>
      </w:r>
      <w:r>
        <w:rPr/>
        <w:t>содержанием и</w:t>
      </w:r>
      <w:r>
        <w:rPr>
          <w:spacing w:val="-6"/>
        </w:rPr>
        <w:t> </w:t>
      </w:r>
      <w:r>
        <w:rPr/>
        <w:t>формами</w:t>
      </w:r>
      <w:r>
        <w:rPr>
          <w:spacing w:val="-6"/>
        </w:rPr>
        <w:t> </w:t>
      </w:r>
      <w:r>
        <w:rPr/>
        <w:t>профессионального</w:t>
      </w:r>
      <w:r>
        <w:rPr>
          <w:spacing w:val="-6"/>
        </w:rPr>
        <w:t> </w:t>
      </w:r>
      <w:r>
        <w:rPr/>
        <w:t>обучения</w:t>
      </w:r>
      <w:r>
        <w:rPr>
          <w:spacing w:val="-6"/>
        </w:rPr>
        <w:t> </w:t>
      </w:r>
      <w:r>
        <w:rPr/>
        <w:t>студентов.</w:t>
      </w:r>
      <w:r>
        <w:rPr>
          <w:spacing w:val="-6"/>
        </w:rPr>
        <w:t> </w:t>
      </w:r>
      <w:r>
        <w:rPr/>
        <w:t>Наиболее</w:t>
      </w:r>
      <w:r>
        <w:rPr>
          <w:spacing w:val="-6"/>
        </w:rPr>
        <w:t> </w:t>
      </w:r>
      <w:r>
        <w:rPr/>
        <w:t>ранняя</w:t>
      </w:r>
      <w:r>
        <w:rPr>
          <w:spacing w:val="-6"/>
        </w:rPr>
        <w:t> </w:t>
      </w:r>
      <w:r>
        <w:rPr/>
        <w:t>диссертацион- ная работа по организации практики, найденная в РГБ, датируется 1949 годом.</w:t>
      </w:r>
    </w:p>
    <w:p>
      <w:pPr>
        <w:pStyle w:val="BodyText"/>
        <w:spacing w:line="235" w:lineRule="auto" w:before="5"/>
      </w:pPr>
      <w:r>
        <w:rPr/>
        <w:t>Психолого-педагогический анализ собственного урока учителем использовал-</w:t>
      </w:r>
      <w:r>
        <w:rPr>
          <w:spacing w:val="80"/>
          <w:w w:val="150"/>
        </w:rPr>
        <w:t> </w:t>
      </w:r>
      <w:r>
        <w:rPr/>
        <w:t>ся как метод совершенствования навыков проектирования процесса обучения и как средство развития профессионального мышления педагога. Взаимное посещение уроков, открытые занятия как обязательный этап профессиональных конкурсов и конференций – эти традиции сложились в контексте дополнительного профессио- нального образования и повышения квалификации учителей.</w:t>
      </w:r>
    </w:p>
    <w:p>
      <w:pPr>
        <w:pStyle w:val="BodyText"/>
        <w:spacing w:line="235" w:lineRule="auto" w:before="4"/>
      </w:pPr>
      <w:r>
        <w:rPr/>
        <w:t>Близкий</w:t>
      </w:r>
      <w:r>
        <w:rPr>
          <w:spacing w:val="-9"/>
        </w:rPr>
        <w:t> </w:t>
      </w:r>
      <w:r>
        <w:rPr/>
        <w:t>по</w:t>
      </w:r>
      <w:r>
        <w:rPr>
          <w:spacing w:val="-9"/>
        </w:rPr>
        <w:t> </w:t>
      </w:r>
      <w:r>
        <w:rPr/>
        <w:t>формату</w:t>
      </w:r>
      <w:r>
        <w:rPr>
          <w:spacing w:val="-9"/>
        </w:rPr>
        <w:t> </w:t>
      </w:r>
      <w:r>
        <w:rPr/>
        <w:t>и</w:t>
      </w:r>
      <w:r>
        <w:rPr>
          <w:spacing w:val="-9"/>
        </w:rPr>
        <w:t> </w:t>
      </w:r>
      <w:r>
        <w:rPr/>
        <w:t>педагогическим</w:t>
      </w:r>
      <w:r>
        <w:rPr>
          <w:spacing w:val="-9"/>
        </w:rPr>
        <w:t> </w:t>
      </w:r>
      <w:r>
        <w:rPr/>
        <w:t>целям</w:t>
      </w:r>
      <w:r>
        <w:rPr>
          <w:spacing w:val="-9"/>
        </w:rPr>
        <w:t> </w:t>
      </w:r>
      <w:r>
        <w:rPr/>
        <w:t>кейс-метод</w:t>
      </w:r>
      <w:r>
        <w:rPr>
          <w:spacing w:val="-9"/>
        </w:rPr>
        <w:t> </w:t>
      </w:r>
      <w:r>
        <w:rPr/>
        <w:t>разрабатывался</w:t>
      </w:r>
      <w:r>
        <w:rPr>
          <w:spacing w:val="-9"/>
        </w:rPr>
        <w:t> </w:t>
      </w:r>
      <w:r>
        <w:rPr/>
        <w:t>в</w:t>
      </w:r>
      <w:r>
        <w:rPr>
          <w:spacing w:val="-9"/>
        </w:rPr>
        <w:t> </w:t>
      </w:r>
      <w:r>
        <w:rPr/>
        <w:t>эконо- </w:t>
      </w:r>
      <w:r>
        <w:rPr>
          <w:spacing w:val="-2"/>
        </w:rPr>
        <w:t>мическом</w:t>
      </w:r>
      <w:r>
        <w:rPr>
          <w:spacing w:val="-6"/>
        </w:rPr>
        <w:t> </w:t>
      </w:r>
      <w:r>
        <w:rPr>
          <w:spacing w:val="-2"/>
        </w:rPr>
        <w:t>образовании</w:t>
      </w:r>
      <w:r>
        <w:rPr>
          <w:spacing w:val="-3"/>
        </w:rPr>
        <w:t> </w:t>
      </w:r>
      <w:r>
        <w:rPr>
          <w:spacing w:val="-2"/>
        </w:rPr>
        <w:t>в</w:t>
      </w:r>
      <w:r>
        <w:rPr>
          <w:spacing w:val="-3"/>
        </w:rPr>
        <w:t> </w:t>
      </w:r>
      <w:r>
        <w:rPr>
          <w:spacing w:val="-2"/>
        </w:rPr>
        <w:t>начале</w:t>
      </w:r>
      <w:r>
        <w:rPr>
          <w:spacing w:val="-3"/>
        </w:rPr>
        <w:t> </w:t>
      </w:r>
      <w:r>
        <w:rPr>
          <w:spacing w:val="-2"/>
        </w:rPr>
        <w:t>XX</w:t>
      </w:r>
      <w:r>
        <w:rPr>
          <w:spacing w:val="-3"/>
        </w:rPr>
        <w:t> </w:t>
      </w:r>
      <w:r>
        <w:rPr>
          <w:spacing w:val="-2"/>
        </w:rPr>
        <w:t>века</w:t>
      </w:r>
      <w:r>
        <w:rPr>
          <w:spacing w:val="-4"/>
        </w:rPr>
        <w:t> </w:t>
      </w:r>
      <w:r>
        <w:rPr>
          <w:spacing w:val="-2"/>
        </w:rPr>
        <w:t>и</w:t>
      </w:r>
      <w:r>
        <w:rPr>
          <w:spacing w:val="-3"/>
        </w:rPr>
        <w:t> </w:t>
      </w:r>
      <w:r>
        <w:rPr>
          <w:spacing w:val="-2"/>
        </w:rPr>
        <w:t>первоначально</w:t>
      </w:r>
      <w:r>
        <w:rPr>
          <w:spacing w:val="-3"/>
        </w:rPr>
        <w:t> </w:t>
      </w:r>
      <w:r>
        <w:rPr>
          <w:spacing w:val="-2"/>
        </w:rPr>
        <w:t>не</w:t>
      </w:r>
      <w:r>
        <w:rPr>
          <w:spacing w:val="-3"/>
        </w:rPr>
        <w:t> </w:t>
      </w:r>
      <w:r>
        <w:rPr>
          <w:spacing w:val="-2"/>
        </w:rPr>
        <w:t>использовался</w:t>
      </w:r>
      <w:r>
        <w:rPr>
          <w:spacing w:val="-3"/>
        </w:rPr>
        <w:t> </w:t>
      </w:r>
      <w:r>
        <w:rPr>
          <w:spacing w:val="-2"/>
        </w:rPr>
        <w:t>непосред-</w:t>
      </w:r>
    </w:p>
    <w:p>
      <w:pPr>
        <w:pStyle w:val="BodyText"/>
        <w:spacing w:after="0" w:line="235" w:lineRule="auto"/>
        <w:sectPr>
          <w:pgSz w:w="8400" w:h="11910"/>
          <w:pgMar w:header="0" w:footer="529" w:top="400" w:bottom="740" w:left="425" w:right="425"/>
        </w:sectPr>
      </w:pPr>
    </w:p>
    <w:p>
      <w:pPr>
        <w:pStyle w:val="ListParagraph"/>
        <w:numPr>
          <w:ilvl w:val="1"/>
          <w:numId w:val="237"/>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Алгоритм разбора</w:t>
      </w:r>
      <w:r>
        <w:rPr>
          <w:rFonts w:ascii="Georgia" w:hAnsi="Georgia"/>
          <w:color w:val="231F20"/>
          <w:spacing w:val="1"/>
          <w:sz w:val="18"/>
        </w:rPr>
        <w:t> </w:t>
      </w:r>
      <w:r>
        <w:rPr>
          <w:rFonts w:ascii="Georgia" w:hAnsi="Georgia"/>
          <w:color w:val="231F20"/>
          <w:sz w:val="18"/>
        </w:rPr>
        <w:t>педагогического</w:t>
      </w:r>
      <w:r>
        <w:rPr>
          <w:rFonts w:ascii="Georgia" w:hAnsi="Georgia"/>
          <w:color w:val="231F20"/>
          <w:spacing w:val="1"/>
          <w:sz w:val="18"/>
        </w:rPr>
        <w:t> </w:t>
      </w:r>
      <w:r>
        <w:rPr>
          <w:rFonts w:ascii="Georgia" w:hAnsi="Georgia"/>
          <w:color w:val="231F20"/>
          <w:sz w:val="18"/>
        </w:rPr>
        <w:t>случая,</w:t>
      </w:r>
      <w:r>
        <w:rPr>
          <w:rFonts w:ascii="Georgia" w:hAnsi="Georgia"/>
          <w:color w:val="231F20"/>
          <w:spacing w:val="1"/>
          <w:sz w:val="18"/>
        </w:rPr>
        <w:t> </w:t>
      </w:r>
      <w:r>
        <w:rPr>
          <w:rFonts w:ascii="Georgia" w:hAnsi="Georgia"/>
          <w:color w:val="231F20"/>
          <w:sz w:val="18"/>
        </w:rPr>
        <w:t>связанного</w:t>
      </w:r>
      <w:r>
        <w:rPr>
          <w:rFonts w:ascii="Georgia" w:hAnsi="Georgia"/>
          <w:color w:val="231F20"/>
          <w:spacing w:val="1"/>
          <w:sz w:val="18"/>
        </w:rPr>
        <w:t> </w:t>
      </w:r>
      <w:r>
        <w:rPr>
          <w:rFonts w:ascii="Georgia" w:hAnsi="Georgia"/>
          <w:color w:val="231F20"/>
          <w:sz w:val="18"/>
        </w:rPr>
        <w:t>с</w:t>
      </w:r>
      <w:r>
        <w:rPr>
          <w:rFonts w:ascii="Georgia" w:hAnsi="Georgia"/>
          <w:color w:val="231F20"/>
          <w:spacing w:val="1"/>
          <w:sz w:val="18"/>
        </w:rPr>
        <w:t> </w:t>
      </w:r>
      <w:r>
        <w:rPr>
          <w:rFonts w:ascii="Georgia" w:hAnsi="Georgia"/>
          <w:color w:val="231F20"/>
          <w:sz w:val="18"/>
        </w:rPr>
        <w:t>адаптацией </w:t>
      </w:r>
      <w:r>
        <w:rPr>
          <w:rFonts w:ascii="Georgia" w:hAnsi="Georgia"/>
          <w:color w:val="231F20"/>
          <w:spacing w:val="-2"/>
          <w:sz w:val="18"/>
        </w:rPr>
        <w:t>детей</w:t>
      </w:r>
    </w:p>
    <w:p>
      <w:pPr>
        <w:spacing w:line="235" w:lineRule="auto" w:before="116"/>
        <w:ind w:left="141" w:right="139" w:firstLine="0"/>
        <w:jc w:val="right"/>
        <w:rPr>
          <w:sz w:val="20"/>
        </w:rPr>
      </w:pPr>
      <w:r>
        <w:rPr>
          <w:sz w:val="20"/>
        </w:rPr>
        <w:t>ственно в обучении педагогов. Тем временем в системе советского педагогического </w:t>
      </w:r>
      <w:r>
        <w:rPr>
          <w:spacing w:val="-2"/>
          <w:sz w:val="20"/>
        </w:rPr>
        <w:t>образования</w:t>
      </w:r>
      <w:r>
        <w:rPr>
          <w:spacing w:val="-11"/>
          <w:sz w:val="20"/>
        </w:rPr>
        <w:t> </w:t>
      </w:r>
      <w:r>
        <w:rPr>
          <w:spacing w:val="-2"/>
          <w:sz w:val="20"/>
        </w:rPr>
        <w:t>использовался</w:t>
      </w:r>
      <w:r>
        <w:rPr>
          <w:spacing w:val="-11"/>
          <w:sz w:val="20"/>
        </w:rPr>
        <w:t> </w:t>
      </w:r>
      <w:r>
        <w:rPr>
          <w:spacing w:val="-2"/>
          <w:sz w:val="20"/>
        </w:rPr>
        <w:t>близкий</w:t>
      </w:r>
      <w:r>
        <w:rPr>
          <w:spacing w:val="-11"/>
          <w:sz w:val="20"/>
        </w:rPr>
        <w:t> </w:t>
      </w:r>
      <w:r>
        <w:rPr>
          <w:spacing w:val="-2"/>
          <w:sz w:val="20"/>
        </w:rPr>
        <w:t>по</w:t>
      </w:r>
      <w:r>
        <w:rPr>
          <w:spacing w:val="-11"/>
          <w:sz w:val="20"/>
        </w:rPr>
        <w:t> </w:t>
      </w:r>
      <w:r>
        <w:rPr>
          <w:spacing w:val="-2"/>
          <w:sz w:val="20"/>
        </w:rPr>
        <w:t>целям</w:t>
      </w:r>
      <w:r>
        <w:rPr>
          <w:spacing w:val="-11"/>
          <w:sz w:val="20"/>
        </w:rPr>
        <w:t> </w:t>
      </w:r>
      <w:r>
        <w:rPr>
          <w:spacing w:val="-2"/>
          <w:sz w:val="20"/>
        </w:rPr>
        <w:t>метод</w:t>
      </w:r>
      <w:r>
        <w:rPr>
          <w:spacing w:val="-11"/>
          <w:sz w:val="20"/>
        </w:rPr>
        <w:t> </w:t>
      </w:r>
      <w:r>
        <w:rPr>
          <w:spacing w:val="-2"/>
          <w:sz w:val="20"/>
        </w:rPr>
        <w:t>анализа</w:t>
      </w:r>
      <w:r>
        <w:rPr>
          <w:spacing w:val="-11"/>
          <w:sz w:val="20"/>
        </w:rPr>
        <w:t> </w:t>
      </w:r>
      <w:r>
        <w:rPr>
          <w:spacing w:val="-2"/>
          <w:sz w:val="20"/>
        </w:rPr>
        <w:t>педагогических</w:t>
      </w:r>
      <w:r>
        <w:rPr>
          <w:spacing w:val="-11"/>
          <w:sz w:val="20"/>
        </w:rPr>
        <w:t> </w:t>
      </w:r>
      <w:r>
        <w:rPr>
          <w:spacing w:val="-2"/>
          <w:sz w:val="20"/>
        </w:rPr>
        <w:t>ситуаций. </w:t>
      </w:r>
      <w:r>
        <w:rPr>
          <w:i/>
          <w:sz w:val="20"/>
        </w:rPr>
        <w:t>Психолого-педагогический анализ открытых уроков</w:t>
      </w:r>
      <w:r>
        <w:rPr>
          <w:sz w:val="20"/>
        </w:rPr>
        <w:t>, а также </w:t>
      </w:r>
      <w:r>
        <w:rPr>
          <w:i/>
          <w:sz w:val="20"/>
        </w:rPr>
        <w:t>анализ педагогиче- ских ситуаций, педагогических случаев </w:t>
      </w:r>
      <w:r>
        <w:rPr>
          <w:sz w:val="20"/>
        </w:rPr>
        <w:t>и </w:t>
      </w:r>
      <w:r>
        <w:rPr>
          <w:i/>
          <w:sz w:val="20"/>
        </w:rPr>
        <w:t>кейс-метод </w:t>
      </w:r>
      <w:r>
        <w:rPr>
          <w:sz w:val="20"/>
        </w:rPr>
        <w:t>в системе </w:t>
      </w:r>
      <w:r>
        <w:rPr>
          <w:b/>
          <w:sz w:val="20"/>
        </w:rPr>
        <w:t>наставничества </w:t>
      </w:r>
      <w:r>
        <w:rPr>
          <w:sz w:val="20"/>
        </w:rPr>
        <w:t>и повышения профессиональной квалификации педагогов являются практиками, тра- диционными</w:t>
      </w:r>
      <w:r>
        <w:rPr>
          <w:spacing w:val="-11"/>
          <w:sz w:val="20"/>
        </w:rPr>
        <w:t> </w:t>
      </w:r>
      <w:r>
        <w:rPr>
          <w:sz w:val="20"/>
        </w:rPr>
        <w:t>для</w:t>
      </w:r>
      <w:r>
        <w:rPr>
          <w:spacing w:val="-12"/>
          <w:sz w:val="20"/>
        </w:rPr>
        <w:t> </w:t>
      </w:r>
      <w:r>
        <w:rPr>
          <w:sz w:val="20"/>
        </w:rPr>
        <w:t>образования</w:t>
      </w:r>
      <w:r>
        <w:rPr>
          <w:spacing w:val="-12"/>
          <w:sz w:val="20"/>
        </w:rPr>
        <w:t> </w:t>
      </w:r>
      <w:r>
        <w:rPr>
          <w:sz w:val="20"/>
        </w:rPr>
        <w:t>со</w:t>
      </w:r>
      <w:r>
        <w:rPr>
          <w:spacing w:val="-12"/>
          <w:sz w:val="20"/>
        </w:rPr>
        <w:t> </w:t>
      </w:r>
      <w:r>
        <w:rPr>
          <w:sz w:val="20"/>
        </w:rPr>
        <w:t>второй</w:t>
      </w:r>
      <w:r>
        <w:rPr>
          <w:spacing w:val="-12"/>
          <w:sz w:val="20"/>
        </w:rPr>
        <w:t> </w:t>
      </w:r>
      <w:r>
        <w:rPr>
          <w:sz w:val="20"/>
        </w:rPr>
        <w:t>половины</w:t>
      </w:r>
      <w:r>
        <w:rPr>
          <w:spacing w:val="-11"/>
          <w:sz w:val="20"/>
        </w:rPr>
        <w:t> </w:t>
      </w:r>
      <w:r>
        <w:rPr>
          <w:sz w:val="20"/>
        </w:rPr>
        <w:t>XX</w:t>
      </w:r>
      <w:r>
        <w:rPr>
          <w:spacing w:val="-11"/>
          <w:sz w:val="20"/>
        </w:rPr>
        <w:t> </w:t>
      </w:r>
      <w:r>
        <w:rPr>
          <w:sz w:val="20"/>
        </w:rPr>
        <w:t>века</w:t>
      </w:r>
      <w:r>
        <w:rPr>
          <w:spacing w:val="-12"/>
          <w:sz w:val="20"/>
        </w:rPr>
        <w:t> </w:t>
      </w:r>
      <w:r>
        <w:rPr>
          <w:sz w:val="20"/>
        </w:rPr>
        <w:t>и</w:t>
      </w:r>
      <w:r>
        <w:rPr>
          <w:spacing w:val="-12"/>
          <w:sz w:val="20"/>
        </w:rPr>
        <w:t> </w:t>
      </w:r>
      <w:r>
        <w:rPr>
          <w:sz w:val="20"/>
        </w:rPr>
        <w:t>до</w:t>
      </w:r>
      <w:r>
        <w:rPr>
          <w:spacing w:val="-12"/>
          <w:sz w:val="20"/>
        </w:rPr>
        <w:t> </w:t>
      </w:r>
      <w:r>
        <w:rPr>
          <w:sz w:val="20"/>
        </w:rPr>
        <w:t>настоящего</w:t>
      </w:r>
      <w:r>
        <w:rPr>
          <w:spacing w:val="-12"/>
          <w:sz w:val="20"/>
        </w:rPr>
        <w:t> </w:t>
      </w:r>
      <w:r>
        <w:rPr>
          <w:sz w:val="20"/>
        </w:rPr>
        <w:t>времени. Они</w:t>
      </w:r>
      <w:r>
        <w:rPr>
          <w:spacing w:val="-9"/>
          <w:sz w:val="20"/>
        </w:rPr>
        <w:t> </w:t>
      </w:r>
      <w:r>
        <w:rPr>
          <w:sz w:val="20"/>
        </w:rPr>
        <w:t>являются</w:t>
      </w:r>
      <w:r>
        <w:rPr>
          <w:spacing w:val="-9"/>
          <w:sz w:val="20"/>
        </w:rPr>
        <w:t> </w:t>
      </w:r>
      <w:r>
        <w:rPr>
          <w:sz w:val="20"/>
        </w:rPr>
        <w:t>базовыми</w:t>
      </w:r>
      <w:r>
        <w:rPr>
          <w:spacing w:val="-9"/>
          <w:sz w:val="20"/>
        </w:rPr>
        <w:t> </w:t>
      </w:r>
      <w:r>
        <w:rPr>
          <w:sz w:val="20"/>
        </w:rPr>
        <w:t>для</w:t>
      </w:r>
      <w:r>
        <w:rPr>
          <w:spacing w:val="-9"/>
          <w:sz w:val="20"/>
        </w:rPr>
        <w:t> </w:t>
      </w:r>
      <w:r>
        <w:rPr>
          <w:sz w:val="20"/>
        </w:rPr>
        <w:t>описываемой</w:t>
      </w:r>
      <w:r>
        <w:rPr>
          <w:spacing w:val="-8"/>
          <w:sz w:val="20"/>
        </w:rPr>
        <w:t> </w:t>
      </w:r>
      <w:r>
        <w:rPr>
          <w:b/>
          <w:i/>
          <w:sz w:val="20"/>
        </w:rPr>
        <w:t>практики</w:t>
      </w:r>
      <w:r>
        <w:rPr>
          <w:b/>
          <w:i/>
          <w:spacing w:val="-9"/>
          <w:sz w:val="20"/>
        </w:rPr>
        <w:t> </w:t>
      </w:r>
      <w:r>
        <w:rPr>
          <w:b/>
          <w:i/>
          <w:sz w:val="20"/>
        </w:rPr>
        <w:t>разбора</w:t>
      </w:r>
      <w:r>
        <w:rPr>
          <w:b/>
          <w:i/>
          <w:spacing w:val="-9"/>
          <w:sz w:val="20"/>
        </w:rPr>
        <w:t> </w:t>
      </w:r>
      <w:r>
        <w:rPr>
          <w:b/>
          <w:i/>
          <w:sz w:val="20"/>
        </w:rPr>
        <w:t>педагогических</w:t>
      </w:r>
      <w:r>
        <w:rPr>
          <w:b/>
          <w:i/>
          <w:spacing w:val="-9"/>
          <w:sz w:val="20"/>
        </w:rPr>
        <w:t> </w:t>
      </w:r>
      <w:r>
        <w:rPr>
          <w:b/>
          <w:i/>
          <w:sz w:val="20"/>
        </w:rPr>
        <w:t>случа- ев,</w:t>
      </w:r>
      <w:r>
        <w:rPr>
          <w:b/>
          <w:i/>
          <w:spacing w:val="2"/>
          <w:sz w:val="20"/>
        </w:rPr>
        <w:t> </w:t>
      </w:r>
      <w:r>
        <w:rPr>
          <w:b/>
          <w:i/>
          <w:sz w:val="20"/>
        </w:rPr>
        <w:t>связанных</w:t>
      </w:r>
      <w:r>
        <w:rPr>
          <w:b/>
          <w:i/>
          <w:spacing w:val="2"/>
          <w:sz w:val="20"/>
        </w:rPr>
        <w:t> </w:t>
      </w:r>
      <w:r>
        <w:rPr>
          <w:b/>
          <w:i/>
          <w:sz w:val="20"/>
        </w:rPr>
        <w:t>с</w:t>
      </w:r>
      <w:r>
        <w:rPr>
          <w:b/>
          <w:i/>
          <w:spacing w:val="3"/>
          <w:sz w:val="20"/>
        </w:rPr>
        <w:t> </w:t>
      </w:r>
      <w:r>
        <w:rPr>
          <w:b/>
          <w:i/>
          <w:sz w:val="20"/>
        </w:rPr>
        <w:t>адаптацией</w:t>
      </w:r>
      <w:r>
        <w:rPr>
          <w:b/>
          <w:i/>
          <w:spacing w:val="2"/>
          <w:sz w:val="20"/>
        </w:rPr>
        <w:t> </w:t>
      </w:r>
      <w:r>
        <w:rPr>
          <w:b/>
          <w:i/>
          <w:sz w:val="20"/>
        </w:rPr>
        <w:t>детей</w:t>
      </w:r>
      <w:r>
        <w:rPr>
          <w:sz w:val="20"/>
        </w:rPr>
        <w:t>,</w:t>
      </w:r>
      <w:r>
        <w:rPr>
          <w:spacing w:val="3"/>
          <w:sz w:val="20"/>
        </w:rPr>
        <w:t> </w:t>
      </w:r>
      <w:r>
        <w:rPr>
          <w:sz w:val="20"/>
        </w:rPr>
        <w:t>но</w:t>
      </w:r>
      <w:r>
        <w:rPr>
          <w:spacing w:val="2"/>
          <w:sz w:val="20"/>
        </w:rPr>
        <w:t> </w:t>
      </w:r>
      <w:r>
        <w:rPr>
          <w:sz w:val="20"/>
        </w:rPr>
        <w:t>имеют</w:t>
      </w:r>
      <w:r>
        <w:rPr>
          <w:spacing w:val="2"/>
          <w:sz w:val="20"/>
        </w:rPr>
        <w:t> </w:t>
      </w:r>
      <w:r>
        <w:rPr>
          <w:sz w:val="20"/>
        </w:rPr>
        <w:t>ряд</w:t>
      </w:r>
      <w:r>
        <w:rPr>
          <w:spacing w:val="3"/>
          <w:sz w:val="20"/>
        </w:rPr>
        <w:t> </w:t>
      </w:r>
      <w:r>
        <w:rPr>
          <w:sz w:val="20"/>
        </w:rPr>
        <w:t>существенных</w:t>
      </w:r>
      <w:r>
        <w:rPr>
          <w:spacing w:val="2"/>
          <w:sz w:val="20"/>
        </w:rPr>
        <w:t> </w:t>
      </w:r>
      <w:r>
        <w:rPr>
          <w:sz w:val="20"/>
        </w:rPr>
        <w:t>отличий.</w:t>
      </w:r>
      <w:r>
        <w:rPr>
          <w:spacing w:val="3"/>
          <w:sz w:val="20"/>
        </w:rPr>
        <w:t> </w:t>
      </w:r>
      <w:r>
        <w:rPr>
          <w:spacing w:val="-2"/>
          <w:sz w:val="20"/>
        </w:rPr>
        <w:t>Отличия</w:t>
      </w:r>
    </w:p>
    <w:p>
      <w:pPr>
        <w:pStyle w:val="BodyText"/>
        <w:spacing w:line="228" w:lineRule="exact" w:before="1"/>
        <w:ind w:right="0" w:firstLine="0"/>
      </w:pPr>
      <w:r>
        <w:rPr/>
        <w:t>выражаются</w:t>
      </w:r>
      <w:r>
        <w:rPr>
          <w:spacing w:val="-4"/>
        </w:rPr>
        <w:t> </w:t>
      </w:r>
      <w:r>
        <w:rPr/>
        <w:t>в</w:t>
      </w:r>
      <w:r>
        <w:rPr>
          <w:spacing w:val="-3"/>
        </w:rPr>
        <w:t> </w:t>
      </w:r>
      <w:r>
        <w:rPr/>
        <w:t>(1)</w:t>
      </w:r>
      <w:r>
        <w:rPr>
          <w:spacing w:val="-1"/>
        </w:rPr>
        <w:t> </w:t>
      </w:r>
      <w:r>
        <w:rPr/>
        <w:t>ценностных</w:t>
      </w:r>
      <w:r>
        <w:rPr>
          <w:spacing w:val="-2"/>
        </w:rPr>
        <w:t> </w:t>
      </w:r>
      <w:r>
        <w:rPr/>
        <w:t>основаниях;</w:t>
      </w:r>
      <w:r>
        <w:rPr>
          <w:spacing w:val="-1"/>
        </w:rPr>
        <w:t> </w:t>
      </w:r>
      <w:r>
        <w:rPr/>
        <w:t>(2)</w:t>
      </w:r>
      <w:r>
        <w:rPr>
          <w:spacing w:val="-2"/>
        </w:rPr>
        <w:t> </w:t>
      </w:r>
      <w:r>
        <w:rPr/>
        <w:t>форматах</w:t>
      </w:r>
      <w:r>
        <w:rPr>
          <w:spacing w:val="-1"/>
        </w:rPr>
        <w:t> </w:t>
      </w:r>
      <w:r>
        <w:rPr/>
        <w:t>и</w:t>
      </w:r>
      <w:r>
        <w:rPr>
          <w:spacing w:val="-3"/>
        </w:rPr>
        <w:t> </w:t>
      </w:r>
      <w:r>
        <w:rPr/>
        <w:t>правилах</w:t>
      </w:r>
      <w:r>
        <w:rPr>
          <w:spacing w:val="-1"/>
        </w:rPr>
        <w:t> </w:t>
      </w:r>
      <w:r>
        <w:rPr>
          <w:spacing w:val="-2"/>
        </w:rPr>
        <w:t>работы.</w:t>
      </w:r>
    </w:p>
    <w:p>
      <w:pPr>
        <w:pStyle w:val="BodyText"/>
        <w:spacing w:line="235" w:lineRule="auto" w:before="2"/>
      </w:pPr>
      <w:r>
        <w:rPr/>
        <w:t>Другим источником описываемой практики являются форматы профессиональ- ной</w:t>
      </w:r>
      <w:r>
        <w:rPr>
          <w:spacing w:val="-12"/>
        </w:rPr>
        <w:t> </w:t>
      </w:r>
      <w:r>
        <w:rPr/>
        <w:t>супервизии</w:t>
      </w:r>
      <w:r>
        <w:rPr>
          <w:spacing w:val="-12"/>
        </w:rPr>
        <w:t> </w:t>
      </w:r>
      <w:r>
        <w:rPr/>
        <w:t>и</w:t>
      </w:r>
      <w:r>
        <w:rPr>
          <w:spacing w:val="-12"/>
        </w:rPr>
        <w:t> </w:t>
      </w:r>
      <w:r>
        <w:rPr/>
        <w:t>психологических</w:t>
      </w:r>
      <w:r>
        <w:rPr>
          <w:spacing w:val="-12"/>
        </w:rPr>
        <w:t> </w:t>
      </w:r>
      <w:r>
        <w:rPr/>
        <w:t>групп,</w:t>
      </w:r>
      <w:r>
        <w:rPr>
          <w:spacing w:val="-12"/>
        </w:rPr>
        <w:t> </w:t>
      </w:r>
      <w:r>
        <w:rPr/>
        <w:t>разрабатываемые</w:t>
      </w:r>
      <w:r>
        <w:rPr>
          <w:spacing w:val="-12"/>
        </w:rPr>
        <w:t> </w:t>
      </w:r>
      <w:r>
        <w:rPr/>
        <w:t>в</w:t>
      </w:r>
      <w:r>
        <w:rPr>
          <w:spacing w:val="-12"/>
        </w:rPr>
        <w:t> </w:t>
      </w:r>
      <w:r>
        <w:rPr/>
        <w:t>психотерапевтическом сообществе.</w:t>
      </w:r>
      <w:r>
        <w:rPr>
          <w:spacing w:val="-3"/>
        </w:rPr>
        <w:t> </w:t>
      </w:r>
      <w:r>
        <w:rPr/>
        <w:t>С</w:t>
      </w:r>
      <w:r>
        <w:rPr>
          <w:spacing w:val="-3"/>
        </w:rPr>
        <w:t> </w:t>
      </w:r>
      <w:r>
        <w:rPr/>
        <w:t>начала</w:t>
      </w:r>
      <w:r>
        <w:rPr>
          <w:spacing w:val="-3"/>
        </w:rPr>
        <w:t> </w:t>
      </w:r>
      <w:r>
        <w:rPr/>
        <w:t>XXI</w:t>
      </w:r>
      <w:r>
        <w:rPr>
          <w:spacing w:val="-3"/>
        </w:rPr>
        <w:t> </w:t>
      </w:r>
      <w:r>
        <w:rPr/>
        <w:t>века</w:t>
      </w:r>
      <w:r>
        <w:rPr>
          <w:spacing w:val="-3"/>
        </w:rPr>
        <w:t> </w:t>
      </w:r>
      <w:r>
        <w:rPr/>
        <w:t>в</w:t>
      </w:r>
      <w:r>
        <w:rPr>
          <w:spacing w:val="-3"/>
        </w:rPr>
        <w:t> </w:t>
      </w:r>
      <w:r>
        <w:rPr/>
        <w:t>профессиональной</w:t>
      </w:r>
      <w:r>
        <w:rPr>
          <w:spacing w:val="-3"/>
        </w:rPr>
        <w:t> </w:t>
      </w:r>
      <w:r>
        <w:rPr/>
        <w:t>психолого-педагогической</w:t>
      </w:r>
      <w:r>
        <w:rPr>
          <w:spacing w:val="-3"/>
        </w:rPr>
        <w:t> </w:t>
      </w:r>
      <w:r>
        <w:rPr/>
        <w:t>под- держке педагогов стали использовать формат супервизии как способ организации профессиональной рефлексии в сложных ситуациях социального взаимодействия. Эта тенденция связана с усложнением требований к психологической компетентно- </w:t>
      </w:r>
      <w:r>
        <w:rPr>
          <w:spacing w:val="-2"/>
        </w:rPr>
        <w:t>сти</w:t>
      </w:r>
      <w:r>
        <w:rPr>
          <w:spacing w:val="-5"/>
        </w:rPr>
        <w:t> </w:t>
      </w:r>
      <w:r>
        <w:rPr>
          <w:spacing w:val="-2"/>
        </w:rPr>
        <w:t>педагога,</w:t>
      </w:r>
      <w:r>
        <w:rPr>
          <w:spacing w:val="-5"/>
        </w:rPr>
        <w:t> </w:t>
      </w:r>
      <w:r>
        <w:rPr>
          <w:spacing w:val="-2"/>
        </w:rPr>
        <w:t>а</w:t>
      </w:r>
      <w:r>
        <w:rPr>
          <w:spacing w:val="-5"/>
        </w:rPr>
        <w:t> </w:t>
      </w:r>
      <w:r>
        <w:rPr>
          <w:spacing w:val="-2"/>
        </w:rPr>
        <w:t>также</w:t>
      </w:r>
      <w:r>
        <w:rPr>
          <w:spacing w:val="-5"/>
        </w:rPr>
        <w:t> </w:t>
      </w:r>
      <w:r>
        <w:rPr>
          <w:spacing w:val="-2"/>
        </w:rPr>
        <w:t>с</w:t>
      </w:r>
      <w:r>
        <w:rPr>
          <w:spacing w:val="-5"/>
        </w:rPr>
        <w:t> </w:t>
      </w:r>
      <w:r>
        <w:rPr>
          <w:spacing w:val="-2"/>
        </w:rPr>
        <w:t>большей</w:t>
      </w:r>
      <w:r>
        <w:rPr>
          <w:spacing w:val="-5"/>
        </w:rPr>
        <w:t> </w:t>
      </w:r>
      <w:r>
        <w:rPr>
          <w:spacing w:val="-2"/>
        </w:rPr>
        <w:t>дифференциацией</w:t>
      </w:r>
      <w:r>
        <w:rPr>
          <w:spacing w:val="-5"/>
        </w:rPr>
        <w:t> </w:t>
      </w:r>
      <w:r>
        <w:rPr>
          <w:spacing w:val="-2"/>
        </w:rPr>
        <w:t>и</w:t>
      </w:r>
      <w:r>
        <w:rPr>
          <w:spacing w:val="-5"/>
        </w:rPr>
        <w:t> </w:t>
      </w:r>
      <w:r>
        <w:rPr>
          <w:spacing w:val="-2"/>
        </w:rPr>
        <w:t>усложнением</w:t>
      </w:r>
      <w:r>
        <w:rPr>
          <w:spacing w:val="-5"/>
        </w:rPr>
        <w:t> </w:t>
      </w:r>
      <w:r>
        <w:rPr>
          <w:spacing w:val="-2"/>
        </w:rPr>
        <w:t>профессиональных </w:t>
      </w:r>
      <w:r>
        <w:rPr/>
        <w:t>педагогических</w:t>
      </w:r>
      <w:r>
        <w:rPr>
          <w:spacing w:val="-13"/>
        </w:rPr>
        <w:t> </w:t>
      </w:r>
      <w:r>
        <w:rPr/>
        <w:t>задач.</w:t>
      </w:r>
      <w:r>
        <w:rPr>
          <w:spacing w:val="-12"/>
        </w:rPr>
        <w:t> </w:t>
      </w:r>
      <w:r>
        <w:rPr/>
        <w:t>В</w:t>
      </w:r>
      <w:r>
        <w:rPr>
          <w:spacing w:val="-13"/>
        </w:rPr>
        <w:t> </w:t>
      </w:r>
      <w:r>
        <w:rPr/>
        <w:t>современной</w:t>
      </w:r>
      <w:r>
        <w:rPr>
          <w:spacing w:val="-12"/>
        </w:rPr>
        <w:t> </w:t>
      </w:r>
      <w:r>
        <w:rPr/>
        <w:t>образовательной</w:t>
      </w:r>
      <w:r>
        <w:rPr>
          <w:spacing w:val="-13"/>
        </w:rPr>
        <w:t> </w:t>
      </w:r>
      <w:r>
        <w:rPr/>
        <w:t>среде</w:t>
      </w:r>
      <w:r>
        <w:rPr>
          <w:spacing w:val="-12"/>
        </w:rPr>
        <w:t> </w:t>
      </w:r>
      <w:r>
        <w:rPr/>
        <w:t>особое</w:t>
      </w:r>
      <w:r>
        <w:rPr>
          <w:spacing w:val="-13"/>
        </w:rPr>
        <w:t> </w:t>
      </w:r>
      <w:r>
        <w:rPr/>
        <w:t>внимание</w:t>
      </w:r>
      <w:r>
        <w:rPr>
          <w:spacing w:val="-12"/>
        </w:rPr>
        <w:t> </w:t>
      </w:r>
      <w:r>
        <w:rPr/>
        <w:t>уделя- </w:t>
      </w:r>
      <w:r>
        <w:rPr>
          <w:spacing w:val="-2"/>
        </w:rPr>
        <w:t>ется ученикам с особыми образовательными потребностями, ученикам с трудностями </w:t>
      </w:r>
      <w:r>
        <w:rPr/>
        <w:t>в</w:t>
      </w:r>
      <w:r>
        <w:rPr>
          <w:spacing w:val="-12"/>
        </w:rPr>
        <w:t> </w:t>
      </w:r>
      <w:r>
        <w:rPr/>
        <w:t>адаптации,</w:t>
      </w:r>
      <w:r>
        <w:rPr>
          <w:spacing w:val="-12"/>
        </w:rPr>
        <w:t> </w:t>
      </w:r>
      <w:r>
        <w:rPr/>
        <w:t>со</w:t>
      </w:r>
      <w:r>
        <w:rPr>
          <w:spacing w:val="-12"/>
        </w:rPr>
        <w:t> </w:t>
      </w:r>
      <w:r>
        <w:rPr/>
        <w:t>стойкими</w:t>
      </w:r>
      <w:r>
        <w:rPr>
          <w:spacing w:val="-12"/>
        </w:rPr>
        <w:t> </w:t>
      </w:r>
      <w:r>
        <w:rPr/>
        <w:t>трудностями</w:t>
      </w:r>
      <w:r>
        <w:rPr>
          <w:spacing w:val="-12"/>
        </w:rPr>
        <w:t> </w:t>
      </w:r>
      <w:r>
        <w:rPr/>
        <w:t>в</w:t>
      </w:r>
      <w:r>
        <w:rPr>
          <w:spacing w:val="-12"/>
        </w:rPr>
        <w:t> </w:t>
      </w:r>
      <w:r>
        <w:rPr/>
        <w:t>обучении.</w:t>
      </w:r>
      <w:r>
        <w:rPr>
          <w:spacing w:val="-12"/>
        </w:rPr>
        <w:t> </w:t>
      </w:r>
      <w:r>
        <w:rPr/>
        <w:t>В</w:t>
      </w:r>
      <w:r>
        <w:rPr>
          <w:spacing w:val="-12"/>
        </w:rPr>
        <w:t> </w:t>
      </w:r>
      <w:r>
        <w:rPr/>
        <w:t>таких</w:t>
      </w:r>
      <w:r>
        <w:rPr>
          <w:spacing w:val="-12"/>
        </w:rPr>
        <w:t> </w:t>
      </w:r>
      <w:r>
        <w:rPr/>
        <w:t>условиях</w:t>
      </w:r>
      <w:r>
        <w:rPr>
          <w:spacing w:val="-12"/>
        </w:rPr>
        <w:t> </w:t>
      </w:r>
      <w:r>
        <w:rPr/>
        <w:t>учителю</w:t>
      </w:r>
      <w:r>
        <w:rPr>
          <w:spacing w:val="-12"/>
        </w:rPr>
        <w:t> </w:t>
      </w:r>
      <w:r>
        <w:rPr/>
        <w:t>крайне необходимы особые практики профессиональной поддержки – супервизии.</w:t>
      </w:r>
    </w:p>
    <w:p>
      <w:pPr>
        <w:pStyle w:val="BodyText"/>
        <w:spacing w:line="235" w:lineRule="auto" w:before="7"/>
      </w:pPr>
      <w:r>
        <w:rPr/>
        <w:t>Поскольку межличностные отношения «учитель – ученик» оказываются фунда- ментом</w:t>
      </w:r>
      <w:r>
        <w:rPr>
          <w:spacing w:val="-13"/>
        </w:rPr>
        <w:t> </w:t>
      </w:r>
      <w:r>
        <w:rPr/>
        <w:t>педагогического</w:t>
      </w:r>
      <w:r>
        <w:rPr>
          <w:spacing w:val="-12"/>
        </w:rPr>
        <w:t> </w:t>
      </w:r>
      <w:r>
        <w:rPr/>
        <w:t>процесса</w:t>
      </w:r>
      <w:r>
        <w:rPr>
          <w:spacing w:val="-13"/>
        </w:rPr>
        <w:t> </w:t>
      </w:r>
      <w:r>
        <w:rPr/>
        <w:t>и</w:t>
      </w:r>
      <w:r>
        <w:rPr>
          <w:spacing w:val="-12"/>
        </w:rPr>
        <w:t> </w:t>
      </w:r>
      <w:r>
        <w:rPr/>
        <w:t>в</w:t>
      </w:r>
      <w:r>
        <w:rPr>
          <w:spacing w:val="-13"/>
        </w:rPr>
        <w:t> </w:t>
      </w:r>
      <w:r>
        <w:rPr/>
        <w:t>любом</w:t>
      </w:r>
      <w:r>
        <w:rPr>
          <w:spacing w:val="-12"/>
        </w:rPr>
        <w:t> </w:t>
      </w:r>
      <w:r>
        <w:rPr/>
        <w:t>трудном</w:t>
      </w:r>
      <w:r>
        <w:rPr>
          <w:spacing w:val="-13"/>
        </w:rPr>
        <w:t> </w:t>
      </w:r>
      <w:r>
        <w:rPr/>
        <w:t>случае</w:t>
      </w:r>
      <w:r>
        <w:rPr>
          <w:spacing w:val="-12"/>
        </w:rPr>
        <w:t> </w:t>
      </w:r>
      <w:r>
        <w:rPr/>
        <w:t>есть</w:t>
      </w:r>
      <w:r>
        <w:rPr>
          <w:spacing w:val="-13"/>
        </w:rPr>
        <w:t> </w:t>
      </w:r>
      <w:r>
        <w:rPr/>
        <w:t>уровень</w:t>
      </w:r>
      <w:r>
        <w:rPr>
          <w:spacing w:val="-12"/>
        </w:rPr>
        <w:t> </w:t>
      </w:r>
      <w:r>
        <w:rPr/>
        <w:t>анализа</w:t>
      </w:r>
      <w:r>
        <w:rPr>
          <w:spacing w:val="-13"/>
        </w:rPr>
        <w:t> </w:t>
      </w:r>
      <w:r>
        <w:rPr/>
        <w:t>от- ношений,</w:t>
      </w:r>
      <w:r>
        <w:rPr>
          <w:spacing w:val="-13"/>
        </w:rPr>
        <w:t> </w:t>
      </w:r>
      <w:r>
        <w:rPr/>
        <w:t>психологи</w:t>
      </w:r>
      <w:r>
        <w:rPr>
          <w:spacing w:val="-12"/>
        </w:rPr>
        <w:t> </w:t>
      </w:r>
      <w:r>
        <w:rPr/>
        <w:t>образования</w:t>
      </w:r>
      <w:r>
        <w:rPr>
          <w:spacing w:val="-13"/>
        </w:rPr>
        <w:t> </w:t>
      </w:r>
      <w:r>
        <w:rPr/>
        <w:t>стали</w:t>
      </w:r>
      <w:r>
        <w:rPr>
          <w:spacing w:val="-12"/>
        </w:rPr>
        <w:t> </w:t>
      </w:r>
      <w:r>
        <w:rPr/>
        <w:t>использовать</w:t>
      </w:r>
      <w:r>
        <w:rPr>
          <w:spacing w:val="-13"/>
        </w:rPr>
        <w:t> </w:t>
      </w:r>
      <w:r>
        <w:rPr/>
        <w:t>методы</w:t>
      </w:r>
      <w:r>
        <w:rPr>
          <w:spacing w:val="-12"/>
        </w:rPr>
        <w:t> </w:t>
      </w:r>
      <w:r>
        <w:rPr/>
        <w:t>психологических</w:t>
      </w:r>
      <w:r>
        <w:rPr>
          <w:spacing w:val="-13"/>
        </w:rPr>
        <w:t> </w:t>
      </w:r>
      <w:r>
        <w:rPr/>
        <w:t>групп поддержки, методы балинтовской супервизии для организации профессиональной рефлексии в группе педагогов.</w:t>
      </w:r>
    </w:p>
    <w:p>
      <w:pPr>
        <w:pStyle w:val="BodyText"/>
        <w:spacing w:line="235" w:lineRule="auto" w:before="3"/>
      </w:pPr>
      <w:r>
        <w:rPr/>
        <w:t>Английский</w:t>
      </w:r>
      <w:r>
        <w:rPr>
          <w:spacing w:val="-2"/>
        </w:rPr>
        <w:t> </w:t>
      </w:r>
      <w:r>
        <w:rPr/>
        <w:t>врач</w:t>
      </w:r>
      <w:r>
        <w:rPr>
          <w:spacing w:val="-2"/>
        </w:rPr>
        <w:t> </w:t>
      </w:r>
      <w:r>
        <w:rPr/>
        <w:t>и</w:t>
      </w:r>
      <w:r>
        <w:rPr>
          <w:spacing w:val="-2"/>
        </w:rPr>
        <w:t> </w:t>
      </w:r>
      <w:r>
        <w:rPr/>
        <w:t>исследователь</w:t>
      </w:r>
      <w:r>
        <w:rPr>
          <w:spacing w:val="-2"/>
        </w:rPr>
        <w:t> </w:t>
      </w:r>
      <w:r>
        <w:rPr/>
        <w:t>венгерского</w:t>
      </w:r>
      <w:r>
        <w:rPr>
          <w:spacing w:val="-2"/>
        </w:rPr>
        <w:t> </w:t>
      </w:r>
      <w:r>
        <w:rPr/>
        <w:t>происхождения</w:t>
      </w:r>
      <w:r>
        <w:rPr>
          <w:spacing w:val="-2"/>
        </w:rPr>
        <w:t> </w:t>
      </w:r>
      <w:r>
        <w:rPr/>
        <w:t>М.</w:t>
      </w:r>
      <w:r>
        <w:rPr>
          <w:spacing w:val="-2"/>
        </w:rPr>
        <w:t> </w:t>
      </w:r>
      <w:r>
        <w:rPr/>
        <w:t>Балинт</w:t>
      </w:r>
      <w:r>
        <w:rPr>
          <w:spacing w:val="-2"/>
        </w:rPr>
        <w:t> </w:t>
      </w:r>
      <w:r>
        <w:rPr/>
        <w:t>в</w:t>
      </w:r>
      <w:r>
        <w:rPr>
          <w:spacing w:val="-2"/>
        </w:rPr>
        <w:t> </w:t>
      </w:r>
      <w:r>
        <w:rPr/>
        <w:t>нача- ле</w:t>
      </w:r>
      <w:r>
        <w:rPr>
          <w:spacing w:val="-3"/>
        </w:rPr>
        <w:t> </w:t>
      </w:r>
      <w:r>
        <w:rPr/>
        <w:t>1950-х</w:t>
      </w:r>
      <w:r>
        <w:rPr>
          <w:spacing w:val="-3"/>
        </w:rPr>
        <w:t> </w:t>
      </w:r>
      <w:r>
        <w:rPr/>
        <w:t>годов</w:t>
      </w:r>
      <w:r>
        <w:rPr>
          <w:spacing w:val="-3"/>
        </w:rPr>
        <w:t> </w:t>
      </w:r>
      <w:r>
        <w:rPr/>
        <w:t>предложил</w:t>
      </w:r>
      <w:r>
        <w:rPr>
          <w:spacing w:val="-3"/>
        </w:rPr>
        <w:t> </w:t>
      </w:r>
      <w:r>
        <w:rPr/>
        <w:t>метод,</w:t>
      </w:r>
      <w:r>
        <w:rPr>
          <w:spacing w:val="-3"/>
        </w:rPr>
        <w:t> </w:t>
      </w:r>
      <w:r>
        <w:rPr/>
        <w:t>помогающий</w:t>
      </w:r>
      <w:r>
        <w:rPr>
          <w:spacing w:val="-3"/>
        </w:rPr>
        <w:t> </w:t>
      </w:r>
      <w:r>
        <w:rPr/>
        <w:t>врачу</w:t>
      </w:r>
      <w:r>
        <w:rPr>
          <w:spacing w:val="-3"/>
        </w:rPr>
        <w:t> </w:t>
      </w:r>
      <w:r>
        <w:rPr/>
        <w:t>снизить</w:t>
      </w:r>
      <w:r>
        <w:rPr>
          <w:spacing w:val="-3"/>
        </w:rPr>
        <w:t> </w:t>
      </w:r>
      <w:r>
        <w:rPr/>
        <w:t>свою</w:t>
      </w:r>
      <w:r>
        <w:rPr>
          <w:spacing w:val="-3"/>
        </w:rPr>
        <w:t> </w:t>
      </w:r>
      <w:r>
        <w:rPr/>
        <w:t>эмоциональную напряженность при встрече с пациентом, когда за короткое время контакта с ним сложно составить достаточно определенное представление о нем и найти путь к его выздоровлению,</w:t>
      </w:r>
      <w:r>
        <w:rPr>
          <w:spacing w:val="-9"/>
        </w:rPr>
        <w:t> </w:t>
      </w:r>
      <w:r>
        <w:rPr/>
        <w:t>используя</w:t>
      </w:r>
      <w:r>
        <w:rPr>
          <w:spacing w:val="-9"/>
        </w:rPr>
        <w:t> </w:t>
      </w:r>
      <w:r>
        <w:rPr/>
        <w:t>только</w:t>
      </w:r>
      <w:r>
        <w:rPr>
          <w:spacing w:val="-9"/>
        </w:rPr>
        <w:t> </w:t>
      </w:r>
      <w:r>
        <w:rPr/>
        <w:t>традиционные</w:t>
      </w:r>
      <w:r>
        <w:rPr>
          <w:spacing w:val="-9"/>
        </w:rPr>
        <w:t> </w:t>
      </w:r>
      <w:r>
        <w:rPr/>
        <w:t>врачебные</w:t>
      </w:r>
      <w:r>
        <w:rPr>
          <w:spacing w:val="-9"/>
        </w:rPr>
        <w:t> </w:t>
      </w:r>
      <w:r>
        <w:rPr/>
        <w:t>приемы</w:t>
      </w:r>
      <w:r>
        <w:rPr>
          <w:spacing w:val="-9"/>
        </w:rPr>
        <w:t> </w:t>
      </w:r>
      <w:r>
        <w:rPr/>
        <w:t>и</w:t>
      </w:r>
      <w:r>
        <w:rPr>
          <w:spacing w:val="-9"/>
        </w:rPr>
        <w:t> </w:t>
      </w:r>
      <w:r>
        <w:rPr/>
        <w:t>действия</w:t>
      </w:r>
      <w:r>
        <w:rPr>
          <w:spacing w:val="-9"/>
        </w:rPr>
        <w:t> </w:t>
      </w:r>
      <w:r>
        <w:rPr/>
        <w:t>(Эй- демиллер Э.Г., 1998).</w:t>
      </w:r>
    </w:p>
    <w:p>
      <w:pPr>
        <w:pStyle w:val="BodyText"/>
        <w:spacing w:line="235" w:lineRule="auto" w:before="3"/>
      </w:pPr>
      <w:r>
        <w:rPr/>
        <w:t>Таким</w:t>
      </w:r>
      <w:r>
        <w:rPr>
          <w:spacing w:val="-6"/>
        </w:rPr>
        <w:t> </w:t>
      </w:r>
      <w:r>
        <w:rPr/>
        <w:t>образом,</w:t>
      </w:r>
      <w:r>
        <w:rPr>
          <w:spacing w:val="-6"/>
        </w:rPr>
        <w:t> </w:t>
      </w:r>
      <w:r>
        <w:rPr/>
        <w:t>научно-методическими</w:t>
      </w:r>
      <w:r>
        <w:rPr>
          <w:spacing w:val="-6"/>
        </w:rPr>
        <w:t> </w:t>
      </w:r>
      <w:r>
        <w:rPr/>
        <w:t>основаниями</w:t>
      </w:r>
      <w:r>
        <w:rPr>
          <w:spacing w:val="-6"/>
        </w:rPr>
        <w:t> </w:t>
      </w:r>
      <w:r>
        <w:rPr/>
        <w:t>практики</w:t>
      </w:r>
      <w:r>
        <w:rPr>
          <w:spacing w:val="-6"/>
        </w:rPr>
        <w:t> </w:t>
      </w:r>
      <w:r>
        <w:rPr/>
        <w:t>разбора</w:t>
      </w:r>
      <w:r>
        <w:rPr>
          <w:spacing w:val="-6"/>
        </w:rPr>
        <w:t> </w:t>
      </w:r>
      <w:r>
        <w:rPr/>
        <w:t>педагоги- ческих случаев, связанных с адаптацией детей, являются: практики наставничества</w:t>
      </w:r>
      <w:r>
        <w:rPr>
          <w:spacing w:val="40"/>
        </w:rPr>
        <w:t> </w:t>
      </w:r>
      <w:r>
        <w:rPr/>
        <w:t>в подготовке и повышении квалификации педагогов; методы кейс-стади и анализа педагогических ситуаций; методика супервизии и проведения балинтовских групп.</w:t>
      </w:r>
    </w:p>
    <w:p>
      <w:pPr>
        <w:pStyle w:val="BodyText"/>
        <w:spacing w:line="228" w:lineRule="exact" w:before="119"/>
        <w:ind w:left="425" w:right="0" w:firstLine="0"/>
      </w:pPr>
      <w:r>
        <w:rPr/>
        <w:t>Сильные</w:t>
      </w:r>
      <w:r>
        <w:rPr>
          <w:spacing w:val="-2"/>
        </w:rPr>
        <w:t> </w:t>
      </w:r>
      <w:r>
        <w:rPr/>
        <w:t>стороны</w:t>
      </w:r>
      <w:r>
        <w:rPr>
          <w:spacing w:val="-1"/>
        </w:rPr>
        <w:t> </w:t>
      </w:r>
      <w:r>
        <w:rPr>
          <w:spacing w:val="-2"/>
        </w:rPr>
        <w:t>практики</w:t>
      </w:r>
    </w:p>
    <w:p>
      <w:pPr>
        <w:pStyle w:val="ListParagraph"/>
        <w:numPr>
          <w:ilvl w:val="2"/>
          <w:numId w:val="237"/>
        </w:numPr>
        <w:tabs>
          <w:tab w:pos="614" w:val="left" w:leader="none"/>
        </w:tabs>
        <w:spacing w:line="235" w:lineRule="auto" w:before="2" w:after="0"/>
        <w:ind w:left="141" w:right="138" w:firstLine="283"/>
        <w:jc w:val="both"/>
        <w:rPr>
          <w:sz w:val="20"/>
        </w:rPr>
      </w:pPr>
      <w:r>
        <w:rPr>
          <w:i/>
          <w:sz w:val="20"/>
        </w:rPr>
        <w:t>Практика</w:t>
      </w:r>
      <w:r>
        <w:rPr>
          <w:i/>
          <w:spacing w:val="-13"/>
          <w:sz w:val="20"/>
        </w:rPr>
        <w:t> </w:t>
      </w:r>
      <w:r>
        <w:rPr>
          <w:i/>
          <w:sz w:val="20"/>
        </w:rPr>
        <w:t>основана</w:t>
      </w:r>
      <w:r>
        <w:rPr>
          <w:i/>
          <w:spacing w:val="-12"/>
          <w:sz w:val="20"/>
        </w:rPr>
        <w:t> </w:t>
      </w:r>
      <w:r>
        <w:rPr>
          <w:i/>
          <w:sz w:val="20"/>
        </w:rPr>
        <w:t>на</w:t>
      </w:r>
      <w:r>
        <w:rPr>
          <w:i/>
          <w:spacing w:val="-13"/>
          <w:sz w:val="20"/>
        </w:rPr>
        <w:t> </w:t>
      </w:r>
      <w:r>
        <w:rPr>
          <w:i/>
          <w:sz w:val="20"/>
        </w:rPr>
        <w:t>ценностях</w:t>
      </w:r>
      <w:r>
        <w:rPr>
          <w:i/>
          <w:spacing w:val="-12"/>
          <w:sz w:val="20"/>
        </w:rPr>
        <w:t> </w:t>
      </w:r>
      <w:r>
        <w:rPr>
          <w:i/>
          <w:sz w:val="20"/>
        </w:rPr>
        <w:t>гуманистической</w:t>
      </w:r>
      <w:r>
        <w:rPr>
          <w:i/>
          <w:spacing w:val="-13"/>
          <w:sz w:val="20"/>
        </w:rPr>
        <w:t> </w:t>
      </w:r>
      <w:r>
        <w:rPr>
          <w:i/>
          <w:sz w:val="20"/>
        </w:rPr>
        <w:t>психологии.</w:t>
      </w:r>
      <w:r>
        <w:rPr>
          <w:i/>
          <w:spacing w:val="-12"/>
          <w:sz w:val="20"/>
        </w:rPr>
        <w:t> </w:t>
      </w:r>
      <w:r>
        <w:rPr>
          <w:sz w:val="20"/>
        </w:rPr>
        <w:t>В</w:t>
      </w:r>
      <w:r>
        <w:rPr>
          <w:spacing w:val="-13"/>
          <w:sz w:val="20"/>
        </w:rPr>
        <w:t> </w:t>
      </w:r>
      <w:r>
        <w:rPr>
          <w:sz w:val="20"/>
        </w:rPr>
        <w:t>работе</w:t>
      </w:r>
      <w:r>
        <w:rPr>
          <w:spacing w:val="-12"/>
          <w:sz w:val="20"/>
        </w:rPr>
        <w:t> </w:t>
      </w:r>
      <w:r>
        <w:rPr>
          <w:sz w:val="20"/>
        </w:rPr>
        <w:t>учите- ля</w:t>
      </w:r>
      <w:r>
        <w:rPr>
          <w:spacing w:val="-9"/>
          <w:sz w:val="20"/>
        </w:rPr>
        <w:t> </w:t>
      </w:r>
      <w:r>
        <w:rPr>
          <w:sz w:val="20"/>
        </w:rPr>
        <w:t>есть</w:t>
      </w:r>
      <w:r>
        <w:rPr>
          <w:spacing w:val="-9"/>
          <w:sz w:val="20"/>
        </w:rPr>
        <w:t> </w:t>
      </w:r>
      <w:r>
        <w:rPr>
          <w:sz w:val="20"/>
        </w:rPr>
        <w:t>важная</w:t>
      </w:r>
      <w:r>
        <w:rPr>
          <w:spacing w:val="-9"/>
          <w:sz w:val="20"/>
        </w:rPr>
        <w:t> </w:t>
      </w:r>
      <w:r>
        <w:rPr>
          <w:sz w:val="20"/>
        </w:rPr>
        <w:t>трудность,</w:t>
      </w:r>
      <w:r>
        <w:rPr>
          <w:spacing w:val="-9"/>
          <w:sz w:val="20"/>
        </w:rPr>
        <w:t> </w:t>
      </w:r>
      <w:r>
        <w:rPr>
          <w:sz w:val="20"/>
        </w:rPr>
        <w:t>не</w:t>
      </w:r>
      <w:r>
        <w:rPr>
          <w:spacing w:val="-9"/>
          <w:sz w:val="20"/>
        </w:rPr>
        <w:t> </w:t>
      </w:r>
      <w:r>
        <w:rPr>
          <w:sz w:val="20"/>
        </w:rPr>
        <w:t>всегда</w:t>
      </w:r>
      <w:r>
        <w:rPr>
          <w:spacing w:val="-9"/>
          <w:sz w:val="20"/>
        </w:rPr>
        <w:t> </w:t>
      </w:r>
      <w:r>
        <w:rPr>
          <w:sz w:val="20"/>
        </w:rPr>
        <w:t>заметная</w:t>
      </w:r>
      <w:r>
        <w:rPr>
          <w:spacing w:val="-9"/>
          <w:sz w:val="20"/>
        </w:rPr>
        <w:t> </w:t>
      </w:r>
      <w:r>
        <w:rPr>
          <w:sz w:val="20"/>
        </w:rPr>
        <w:t>вне</w:t>
      </w:r>
      <w:r>
        <w:rPr>
          <w:spacing w:val="-9"/>
          <w:sz w:val="20"/>
        </w:rPr>
        <w:t> </w:t>
      </w:r>
      <w:r>
        <w:rPr>
          <w:sz w:val="20"/>
        </w:rPr>
        <w:t>этой</w:t>
      </w:r>
      <w:r>
        <w:rPr>
          <w:spacing w:val="-9"/>
          <w:sz w:val="20"/>
        </w:rPr>
        <w:t> </w:t>
      </w:r>
      <w:r>
        <w:rPr>
          <w:sz w:val="20"/>
        </w:rPr>
        <w:t>профессии:</w:t>
      </w:r>
      <w:r>
        <w:rPr>
          <w:spacing w:val="-9"/>
          <w:sz w:val="20"/>
        </w:rPr>
        <w:t> </w:t>
      </w:r>
      <w:r>
        <w:rPr>
          <w:sz w:val="20"/>
        </w:rPr>
        <w:t>учитель</w:t>
      </w:r>
      <w:r>
        <w:rPr>
          <w:spacing w:val="-9"/>
          <w:sz w:val="20"/>
        </w:rPr>
        <w:t> </w:t>
      </w:r>
      <w:r>
        <w:rPr>
          <w:sz w:val="20"/>
        </w:rPr>
        <w:t>постоянно оказывается в ситуации оценочной деятельности. Либо учитель оценивает ученика, либо</w:t>
      </w:r>
      <w:r>
        <w:rPr>
          <w:spacing w:val="-13"/>
          <w:sz w:val="20"/>
        </w:rPr>
        <w:t> </w:t>
      </w:r>
      <w:r>
        <w:rPr>
          <w:sz w:val="20"/>
        </w:rPr>
        <w:t>все</w:t>
      </w:r>
      <w:r>
        <w:rPr>
          <w:spacing w:val="-12"/>
          <w:sz w:val="20"/>
        </w:rPr>
        <w:t> </w:t>
      </w:r>
      <w:r>
        <w:rPr>
          <w:sz w:val="20"/>
        </w:rPr>
        <w:t>участники</w:t>
      </w:r>
      <w:r>
        <w:rPr>
          <w:spacing w:val="-13"/>
          <w:sz w:val="20"/>
        </w:rPr>
        <w:t> </w:t>
      </w:r>
      <w:r>
        <w:rPr>
          <w:sz w:val="20"/>
        </w:rPr>
        <w:t>образовательной</w:t>
      </w:r>
      <w:r>
        <w:rPr>
          <w:spacing w:val="-12"/>
          <w:sz w:val="20"/>
        </w:rPr>
        <w:t> </w:t>
      </w:r>
      <w:r>
        <w:rPr>
          <w:sz w:val="20"/>
        </w:rPr>
        <w:t>среды</w:t>
      </w:r>
      <w:r>
        <w:rPr>
          <w:spacing w:val="-13"/>
          <w:sz w:val="20"/>
        </w:rPr>
        <w:t> </w:t>
      </w:r>
      <w:r>
        <w:rPr>
          <w:sz w:val="20"/>
        </w:rPr>
        <w:t>оценивают</w:t>
      </w:r>
      <w:r>
        <w:rPr>
          <w:spacing w:val="-12"/>
          <w:sz w:val="20"/>
        </w:rPr>
        <w:t> </w:t>
      </w:r>
      <w:r>
        <w:rPr>
          <w:sz w:val="20"/>
        </w:rPr>
        <w:t>учителя.</w:t>
      </w:r>
      <w:r>
        <w:rPr>
          <w:spacing w:val="-13"/>
          <w:sz w:val="20"/>
        </w:rPr>
        <w:t> </w:t>
      </w:r>
      <w:r>
        <w:rPr>
          <w:sz w:val="20"/>
        </w:rPr>
        <w:t>Постоянная</w:t>
      </w:r>
      <w:r>
        <w:rPr>
          <w:spacing w:val="-12"/>
          <w:sz w:val="20"/>
        </w:rPr>
        <w:t> </w:t>
      </w:r>
      <w:r>
        <w:rPr>
          <w:sz w:val="20"/>
        </w:rPr>
        <w:t>ситуация оценки приводит к острой неудовлетворенности в переживании самоценности педа- гога. Предложение еще одного формата оценки, а именно так педагог воспринимает содержание методической встречи, посвященной разбору педагогического случая, вызывает сопротивление и негативные эмоциональные реакции. По этой причине важной</w:t>
      </w:r>
      <w:r>
        <w:rPr>
          <w:spacing w:val="-12"/>
          <w:sz w:val="20"/>
        </w:rPr>
        <w:t> </w:t>
      </w:r>
      <w:r>
        <w:rPr>
          <w:sz w:val="20"/>
        </w:rPr>
        <w:t>составляющей</w:t>
      </w:r>
      <w:r>
        <w:rPr>
          <w:spacing w:val="-12"/>
          <w:sz w:val="20"/>
        </w:rPr>
        <w:t> </w:t>
      </w:r>
      <w:r>
        <w:rPr>
          <w:sz w:val="20"/>
        </w:rPr>
        <w:t>практики</w:t>
      </w:r>
      <w:r>
        <w:rPr>
          <w:spacing w:val="-12"/>
          <w:sz w:val="20"/>
        </w:rPr>
        <w:t> </w:t>
      </w:r>
      <w:r>
        <w:rPr>
          <w:sz w:val="20"/>
        </w:rPr>
        <w:t>группового</w:t>
      </w:r>
      <w:r>
        <w:rPr>
          <w:spacing w:val="-12"/>
          <w:sz w:val="20"/>
        </w:rPr>
        <w:t> </w:t>
      </w:r>
      <w:r>
        <w:rPr>
          <w:sz w:val="20"/>
        </w:rPr>
        <w:t>разбора</w:t>
      </w:r>
      <w:r>
        <w:rPr>
          <w:spacing w:val="-12"/>
          <w:sz w:val="20"/>
        </w:rPr>
        <w:t> </w:t>
      </w:r>
      <w:r>
        <w:rPr>
          <w:sz w:val="20"/>
        </w:rPr>
        <w:t>педагогического</w:t>
      </w:r>
      <w:r>
        <w:rPr>
          <w:spacing w:val="-12"/>
          <w:sz w:val="20"/>
        </w:rPr>
        <w:t> </w:t>
      </w:r>
      <w:r>
        <w:rPr>
          <w:sz w:val="20"/>
        </w:rPr>
        <w:t>случая</w:t>
      </w:r>
      <w:r>
        <w:rPr>
          <w:spacing w:val="-12"/>
          <w:sz w:val="20"/>
        </w:rPr>
        <w:t> </w:t>
      </w:r>
      <w:r>
        <w:rPr>
          <w:sz w:val="20"/>
        </w:rPr>
        <w:t>являют-</w:t>
      </w:r>
    </w:p>
    <w:p>
      <w:pPr>
        <w:pStyle w:val="ListParagraph"/>
        <w:spacing w:after="0" w:line="235" w:lineRule="auto"/>
        <w:jc w:val="both"/>
        <w:rPr>
          <w:sz w:val="20"/>
        </w:rPr>
        <w:sectPr>
          <w:pgSz w:w="8400" w:h="11910"/>
          <w:pgMar w:header="0" w:footer="529"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pStyle w:val="BodyText"/>
        <w:spacing w:line="235" w:lineRule="auto" w:before="116"/>
        <w:ind w:firstLine="0"/>
      </w:pPr>
      <w:r>
        <w:rPr/>
        <w:t>ся ценности безоценочного отношения, эмоциональной безопасности и принятия, а также отказ от предъявления участникам каких-либо «условий ценности» (К. Рож- дерс, 1998). Педагог важен как человек, стремящийся к лучшим способам решения трудных ситуаций из тех, что доступны ему на данный момент. Задача расширения спектра доступных способов действия и концептуализации, осмысления его опыта отношений должна быть ведущей у организаторов подобной практики.</w:t>
      </w:r>
    </w:p>
    <w:p>
      <w:pPr>
        <w:pStyle w:val="BodyText"/>
        <w:spacing w:line="232" w:lineRule="auto" w:before="5"/>
        <w:jc w:val="right"/>
      </w:pPr>
      <w:r>
        <w:rPr/>
        <w:t>Педагогическая практика предполагает обращение к ее ценностным основаниям: внимание</w:t>
      </w:r>
      <w:r>
        <w:rPr>
          <w:spacing w:val="-7"/>
        </w:rPr>
        <w:t> </w:t>
      </w:r>
      <w:r>
        <w:rPr/>
        <w:t>на</w:t>
      </w:r>
      <w:r>
        <w:rPr>
          <w:spacing w:val="-7"/>
        </w:rPr>
        <w:t> </w:t>
      </w:r>
      <w:r>
        <w:rPr/>
        <w:t>личности</w:t>
      </w:r>
      <w:r>
        <w:rPr>
          <w:spacing w:val="-7"/>
        </w:rPr>
        <w:t> </w:t>
      </w:r>
      <w:r>
        <w:rPr/>
        <w:t>ученика</w:t>
      </w:r>
      <w:r>
        <w:rPr>
          <w:spacing w:val="-7"/>
        </w:rPr>
        <w:t> </w:t>
      </w:r>
      <w:r>
        <w:rPr/>
        <w:t>и</w:t>
      </w:r>
      <w:r>
        <w:rPr>
          <w:spacing w:val="-7"/>
        </w:rPr>
        <w:t> </w:t>
      </w:r>
      <w:r>
        <w:rPr/>
        <w:t>процессе</w:t>
      </w:r>
      <w:r>
        <w:rPr>
          <w:spacing w:val="-7"/>
        </w:rPr>
        <w:t> </w:t>
      </w:r>
      <w:r>
        <w:rPr/>
        <w:t>его</w:t>
      </w:r>
      <w:r>
        <w:rPr>
          <w:spacing w:val="-7"/>
        </w:rPr>
        <w:t> </w:t>
      </w:r>
      <w:r>
        <w:rPr/>
        <w:t>развития.</w:t>
      </w:r>
      <w:r>
        <w:rPr>
          <w:spacing w:val="-7"/>
        </w:rPr>
        <w:t> </w:t>
      </w:r>
      <w:r>
        <w:rPr/>
        <w:t>Создание</w:t>
      </w:r>
      <w:r>
        <w:rPr>
          <w:spacing w:val="-7"/>
        </w:rPr>
        <w:t> </w:t>
      </w:r>
      <w:r>
        <w:rPr/>
        <w:t>со-бытийной</w:t>
      </w:r>
      <w:r>
        <w:rPr>
          <w:spacing w:val="-7"/>
        </w:rPr>
        <w:t> </w:t>
      </w:r>
      <w:r>
        <w:rPr/>
        <w:t>общ- ности (В.И. Слободчиков) как условие педагогической антропологии, что предпола- гает совместность в отношениях и целях деятельности. «На заре своей профессио- нальной</w:t>
      </w:r>
      <w:r>
        <w:rPr>
          <w:spacing w:val="-9"/>
        </w:rPr>
        <w:t> </w:t>
      </w:r>
      <w:r>
        <w:rPr/>
        <w:t>деятельности</w:t>
      </w:r>
      <w:r>
        <w:rPr>
          <w:spacing w:val="-9"/>
        </w:rPr>
        <w:t> </w:t>
      </w:r>
      <w:r>
        <w:rPr/>
        <w:t>я</w:t>
      </w:r>
      <w:r>
        <w:rPr>
          <w:spacing w:val="-9"/>
        </w:rPr>
        <w:t> </w:t>
      </w:r>
      <w:r>
        <w:rPr/>
        <w:t>часто</w:t>
      </w:r>
      <w:r>
        <w:rPr>
          <w:spacing w:val="-9"/>
        </w:rPr>
        <w:t> </w:t>
      </w:r>
      <w:r>
        <w:rPr/>
        <w:t>задавался</w:t>
      </w:r>
      <w:r>
        <w:rPr>
          <w:spacing w:val="-9"/>
        </w:rPr>
        <w:t> </w:t>
      </w:r>
      <w:r>
        <w:rPr/>
        <w:t>вопросом:</w:t>
      </w:r>
      <w:r>
        <w:rPr>
          <w:spacing w:val="-9"/>
        </w:rPr>
        <w:t> </w:t>
      </w:r>
      <w:r>
        <w:rPr/>
        <w:t>как</w:t>
      </w:r>
      <w:r>
        <w:rPr>
          <w:spacing w:val="-9"/>
        </w:rPr>
        <w:t> </w:t>
      </w:r>
      <w:r>
        <w:rPr/>
        <w:t>мне</w:t>
      </w:r>
      <w:r>
        <w:rPr>
          <w:spacing w:val="-9"/>
        </w:rPr>
        <w:t> </w:t>
      </w:r>
      <w:r>
        <w:rPr/>
        <w:t>лечить,</w:t>
      </w:r>
      <w:r>
        <w:rPr>
          <w:spacing w:val="-9"/>
        </w:rPr>
        <w:t> </w:t>
      </w:r>
      <w:r>
        <w:rPr/>
        <w:t>или</w:t>
      </w:r>
      <w:r>
        <w:rPr>
          <w:spacing w:val="-9"/>
        </w:rPr>
        <w:t> </w:t>
      </w:r>
      <w:r>
        <w:rPr/>
        <w:t>исцелить,</w:t>
      </w:r>
      <w:r>
        <w:rPr>
          <w:spacing w:val="-9"/>
        </w:rPr>
        <w:t> </w:t>
      </w:r>
      <w:r>
        <w:rPr/>
        <w:t>или изменить этого человека? Сейчас я бы перефразировал данный вопрос следующим образом: как мне создать между нами такие </w:t>
      </w:r>
      <w:r>
        <w:rPr>
          <w:i/>
        </w:rPr>
        <w:t>отношения</w:t>
      </w:r>
      <w:r>
        <w:rPr/>
        <w:t>, опыт которых этот человек </w:t>
      </w:r>
      <w:r>
        <w:rPr>
          <w:spacing w:val="-2"/>
        </w:rPr>
        <w:t>сможет</w:t>
      </w:r>
      <w:r>
        <w:rPr>
          <w:spacing w:val="-15"/>
        </w:rPr>
        <w:t> </w:t>
      </w:r>
      <w:r>
        <w:rPr>
          <w:spacing w:val="-2"/>
        </w:rPr>
        <w:t>использовать</w:t>
      </w:r>
      <w:r>
        <w:rPr>
          <w:spacing w:val="-15"/>
        </w:rPr>
        <w:t> </w:t>
      </w:r>
      <w:r>
        <w:rPr>
          <w:spacing w:val="-2"/>
        </w:rPr>
        <w:t>для</w:t>
      </w:r>
      <w:r>
        <w:rPr>
          <w:spacing w:val="-15"/>
        </w:rPr>
        <w:t> </w:t>
      </w:r>
      <w:r>
        <w:rPr>
          <w:spacing w:val="-2"/>
        </w:rPr>
        <w:t>своего</w:t>
      </w:r>
      <w:r>
        <w:rPr>
          <w:spacing w:val="-15"/>
        </w:rPr>
        <w:t> </w:t>
      </w:r>
      <w:r>
        <w:rPr>
          <w:spacing w:val="-2"/>
        </w:rPr>
        <w:t>личностного</w:t>
      </w:r>
      <w:r>
        <w:rPr>
          <w:spacing w:val="-15"/>
        </w:rPr>
        <w:t> </w:t>
      </w:r>
      <w:r>
        <w:rPr>
          <w:spacing w:val="-2"/>
        </w:rPr>
        <w:t>роста?»</w:t>
      </w:r>
      <w:r>
        <w:rPr>
          <w:spacing w:val="-15"/>
        </w:rPr>
        <w:t> </w:t>
      </w:r>
      <w:r>
        <w:rPr>
          <w:spacing w:val="-2"/>
        </w:rPr>
        <w:t>Карл</w:t>
      </w:r>
      <w:r>
        <w:rPr>
          <w:spacing w:val="-15"/>
        </w:rPr>
        <w:t> </w:t>
      </w:r>
      <w:r>
        <w:rPr>
          <w:spacing w:val="-2"/>
        </w:rPr>
        <w:t>Р.</w:t>
      </w:r>
      <w:r>
        <w:rPr>
          <w:spacing w:val="-15"/>
        </w:rPr>
        <w:t> </w:t>
      </w:r>
      <w:r>
        <w:rPr>
          <w:spacing w:val="-2"/>
        </w:rPr>
        <w:t>Роджерс</w:t>
      </w:r>
      <w:r>
        <w:rPr>
          <w:spacing w:val="-15"/>
        </w:rPr>
        <w:t> </w:t>
      </w:r>
      <w:r>
        <w:rPr>
          <w:spacing w:val="-2"/>
        </w:rPr>
        <w:t>(Роджерс,</w:t>
      </w:r>
      <w:r>
        <w:rPr>
          <w:spacing w:val="-15"/>
        </w:rPr>
        <w:t> </w:t>
      </w:r>
      <w:r>
        <w:rPr>
          <w:spacing w:val="-2"/>
        </w:rPr>
        <w:t>2015). </w:t>
      </w:r>
      <w:r>
        <w:rPr/>
        <w:t>Практика разбора в педагогическом сообществе педагогического случая, связан- ного</w:t>
      </w:r>
      <w:r>
        <w:rPr>
          <w:spacing w:val="26"/>
        </w:rPr>
        <w:t> </w:t>
      </w:r>
      <w:r>
        <w:rPr/>
        <w:t>с</w:t>
      </w:r>
      <w:r>
        <w:rPr>
          <w:spacing w:val="26"/>
        </w:rPr>
        <w:t> </w:t>
      </w:r>
      <w:r>
        <w:rPr/>
        <w:t>адаптацией</w:t>
      </w:r>
      <w:r>
        <w:rPr>
          <w:spacing w:val="26"/>
        </w:rPr>
        <w:t> </w:t>
      </w:r>
      <w:r>
        <w:rPr/>
        <w:t>детей,</w:t>
      </w:r>
      <w:r>
        <w:rPr>
          <w:spacing w:val="26"/>
        </w:rPr>
        <w:t> </w:t>
      </w:r>
      <w:r>
        <w:rPr/>
        <w:t>должна</w:t>
      </w:r>
      <w:r>
        <w:rPr>
          <w:spacing w:val="26"/>
        </w:rPr>
        <w:t> </w:t>
      </w:r>
      <w:r>
        <w:rPr/>
        <w:t>способствовать</w:t>
      </w:r>
      <w:r>
        <w:rPr>
          <w:spacing w:val="26"/>
        </w:rPr>
        <w:t> </w:t>
      </w:r>
      <w:r>
        <w:rPr/>
        <w:t>формированию</w:t>
      </w:r>
      <w:r>
        <w:rPr>
          <w:spacing w:val="26"/>
        </w:rPr>
        <w:t> </w:t>
      </w:r>
      <w:r>
        <w:rPr/>
        <w:t>навыков</w:t>
      </w:r>
      <w:r>
        <w:rPr>
          <w:spacing w:val="26"/>
        </w:rPr>
        <w:t> </w:t>
      </w:r>
      <w:r>
        <w:rPr/>
        <w:t>поддер- живающих отношений и оценочной безопасности для учителя. Образец такого от- ношения</w:t>
      </w:r>
      <w:r>
        <w:rPr>
          <w:spacing w:val="20"/>
        </w:rPr>
        <w:t> </w:t>
      </w:r>
      <w:r>
        <w:rPr/>
        <w:t>демонстрируется</w:t>
      </w:r>
      <w:r>
        <w:rPr>
          <w:spacing w:val="20"/>
        </w:rPr>
        <w:t> </w:t>
      </w:r>
      <w:r>
        <w:rPr/>
        <w:t>ведущими</w:t>
      </w:r>
      <w:r>
        <w:rPr>
          <w:spacing w:val="20"/>
        </w:rPr>
        <w:t> </w:t>
      </w:r>
      <w:r>
        <w:rPr/>
        <w:t>и</w:t>
      </w:r>
      <w:r>
        <w:rPr>
          <w:spacing w:val="20"/>
        </w:rPr>
        <w:t> </w:t>
      </w:r>
      <w:r>
        <w:rPr/>
        <w:t>удерживается</w:t>
      </w:r>
      <w:r>
        <w:rPr>
          <w:spacing w:val="21"/>
        </w:rPr>
        <w:t> </w:t>
      </w:r>
      <w:r>
        <w:rPr>
          <w:b/>
          <w:i/>
        </w:rPr>
        <w:t>правилами</w:t>
      </w:r>
      <w:r>
        <w:rPr>
          <w:b/>
          <w:i/>
          <w:spacing w:val="21"/>
        </w:rPr>
        <w:t> </w:t>
      </w:r>
      <w:r>
        <w:rPr/>
        <w:t>группы,</w:t>
      </w:r>
      <w:r>
        <w:rPr>
          <w:spacing w:val="20"/>
        </w:rPr>
        <w:t> </w:t>
      </w:r>
      <w:r>
        <w:rPr/>
        <w:t>которые объясняют участникам и принимаются ими на первой встрече. Опыт безоценочного отношения</w:t>
      </w:r>
      <w:r>
        <w:rPr>
          <w:spacing w:val="-14"/>
        </w:rPr>
        <w:t> </w:t>
      </w:r>
      <w:r>
        <w:rPr/>
        <w:t>в</w:t>
      </w:r>
      <w:r>
        <w:rPr>
          <w:spacing w:val="-12"/>
        </w:rPr>
        <w:t> </w:t>
      </w:r>
      <w:r>
        <w:rPr/>
        <w:t>трудной</w:t>
      </w:r>
      <w:r>
        <w:rPr>
          <w:spacing w:val="-12"/>
        </w:rPr>
        <w:t> </w:t>
      </w:r>
      <w:r>
        <w:rPr/>
        <w:t>ситуации</w:t>
      </w:r>
      <w:r>
        <w:rPr>
          <w:spacing w:val="-12"/>
        </w:rPr>
        <w:t> </w:t>
      </w:r>
      <w:r>
        <w:rPr/>
        <w:t>позволяет</w:t>
      </w:r>
      <w:r>
        <w:rPr>
          <w:spacing w:val="-12"/>
        </w:rPr>
        <w:t> </w:t>
      </w:r>
      <w:r>
        <w:rPr/>
        <w:t>учителю</w:t>
      </w:r>
      <w:r>
        <w:rPr>
          <w:spacing w:val="-12"/>
        </w:rPr>
        <w:t> </w:t>
      </w:r>
      <w:r>
        <w:rPr/>
        <w:t>транслировать</w:t>
      </w:r>
      <w:r>
        <w:rPr>
          <w:spacing w:val="-12"/>
        </w:rPr>
        <w:t> </w:t>
      </w:r>
      <w:r>
        <w:rPr/>
        <w:t>этот</w:t>
      </w:r>
      <w:r>
        <w:rPr>
          <w:spacing w:val="-12"/>
        </w:rPr>
        <w:t> </w:t>
      </w:r>
      <w:r>
        <w:rPr/>
        <w:t>опыт</w:t>
      </w:r>
      <w:r>
        <w:rPr>
          <w:spacing w:val="-12"/>
        </w:rPr>
        <w:t> </w:t>
      </w:r>
      <w:r>
        <w:rPr/>
        <w:t>и</w:t>
      </w:r>
      <w:r>
        <w:rPr>
          <w:spacing w:val="-12"/>
        </w:rPr>
        <w:t> </w:t>
      </w:r>
      <w:r>
        <w:rPr/>
        <w:t>в</w:t>
      </w:r>
      <w:r>
        <w:rPr>
          <w:spacing w:val="-11"/>
        </w:rPr>
        <w:t> </w:t>
      </w:r>
      <w:r>
        <w:rPr>
          <w:spacing w:val="-2"/>
        </w:rPr>
        <w:t>отно-</w:t>
      </w:r>
    </w:p>
    <w:p>
      <w:pPr>
        <w:pStyle w:val="BodyText"/>
        <w:spacing w:line="221" w:lineRule="exact"/>
        <w:ind w:right="0" w:firstLine="0"/>
      </w:pPr>
      <w:r>
        <w:rPr/>
        <w:t>шениях</w:t>
      </w:r>
      <w:r>
        <w:rPr>
          <w:spacing w:val="-13"/>
        </w:rPr>
        <w:t> </w:t>
      </w:r>
      <w:r>
        <w:rPr/>
        <w:t>с</w:t>
      </w:r>
      <w:r>
        <w:rPr>
          <w:spacing w:val="-11"/>
        </w:rPr>
        <w:t> </w:t>
      </w:r>
      <w:r>
        <w:rPr/>
        <w:t>учеником,</w:t>
      </w:r>
      <w:r>
        <w:rPr>
          <w:spacing w:val="-11"/>
        </w:rPr>
        <w:t> </w:t>
      </w:r>
      <w:r>
        <w:rPr/>
        <w:t>испытывающим</w:t>
      </w:r>
      <w:r>
        <w:rPr>
          <w:spacing w:val="-10"/>
        </w:rPr>
        <w:t> </w:t>
      </w:r>
      <w:r>
        <w:rPr/>
        <w:t>трудность</w:t>
      </w:r>
      <w:r>
        <w:rPr>
          <w:spacing w:val="-12"/>
        </w:rPr>
        <w:t> </w:t>
      </w:r>
      <w:r>
        <w:rPr/>
        <w:t>межкультурной</w:t>
      </w:r>
      <w:r>
        <w:rPr>
          <w:spacing w:val="-11"/>
        </w:rPr>
        <w:t> </w:t>
      </w:r>
      <w:r>
        <w:rPr>
          <w:spacing w:val="-2"/>
        </w:rPr>
        <w:t>адаптации.</w:t>
      </w:r>
    </w:p>
    <w:p>
      <w:pPr>
        <w:pStyle w:val="BodyText"/>
        <w:spacing w:line="232" w:lineRule="auto" w:before="2"/>
      </w:pPr>
      <w:r>
        <w:rPr/>
        <w:t>Критерий удачной и ценностно верной методической встречи (с целью разбора педагогического случая), когда удалось оказать психологическую и методическую поддержку</w:t>
      </w:r>
      <w:r>
        <w:rPr>
          <w:spacing w:val="-13"/>
        </w:rPr>
        <w:t> </w:t>
      </w:r>
      <w:r>
        <w:rPr/>
        <w:t>участникам</w:t>
      </w:r>
      <w:r>
        <w:rPr>
          <w:spacing w:val="-12"/>
        </w:rPr>
        <w:t> </w:t>
      </w:r>
      <w:r>
        <w:rPr/>
        <w:t>–</w:t>
      </w:r>
      <w:r>
        <w:rPr>
          <w:spacing w:val="-13"/>
        </w:rPr>
        <w:t> </w:t>
      </w:r>
      <w:r>
        <w:rPr/>
        <w:t>переживание</w:t>
      </w:r>
      <w:r>
        <w:rPr>
          <w:spacing w:val="-12"/>
        </w:rPr>
        <w:t> </w:t>
      </w:r>
      <w:r>
        <w:rPr/>
        <w:t>профессионального</w:t>
      </w:r>
      <w:r>
        <w:rPr>
          <w:spacing w:val="-13"/>
        </w:rPr>
        <w:t> </w:t>
      </w:r>
      <w:r>
        <w:rPr/>
        <w:t>вдохновения</w:t>
      </w:r>
      <w:r>
        <w:rPr>
          <w:spacing w:val="-12"/>
        </w:rPr>
        <w:t> </w:t>
      </w:r>
      <w:r>
        <w:rPr/>
        <w:t>участниками и</w:t>
      </w:r>
      <w:r>
        <w:rPr>
          <w:spacing w:val="-4"/>
        </w:rPr>
        <w:t> </w:t>
      </w:r>
      <w:r>
        <w:rPr/>
        <w:t>желания</w:t>
      </w:r>
      <w:r>
        <w:rPr>
          <w:spacing w:val="-4"/>
        </w:rPr>
        <w:t> </w:t>
      </w:r>
      <w:r>
        <w:rPr/>
        <w:t>прикладывать</w:t>
      </w:r>
      <w:r>
        <w:rPr>
          <w:spacing w:val="-4"/>
        </w:rPr>
        <w:t> </w:t>
      </w:r>
      <w:r>
        <w:rPr/>
        <w:t>усилия</w:t>
      </w:r>
      <w:r>
        <w:rPr>
          <w:spacing w:val="-4"/>
        </w:rPr>
        <w:t> </w:t>
      </w:r>
      <w:r>
        <w:rPr/>
        <w:t>к</w:t>
      </w:r>
      <w:r>
        <w:rPr>
          <w:spacing w:val="-4"/>
        </w:rPr>
        <w:t> </w:t>
      </w:r>
      <w:r>
        <w:rPr/>
        <w:t>продуктивному</w:t>
      </w:r>
      <w:r>
        <w:rPr>
          <w:spacing w:val="-4"/>
        </w:rPr>
        <w:t> </w:t>
      </w:r>
      <w:r>
        <w:rPr/>
        <w:t>разрешению</w:t>
      </w:r>
      <w:r>
        <w:rPr>
          <w:spacing w:val="-4"/>
        </w:rPr>
        <w:t> </w:t>
      </w:r>
      <w:r>
        <w:rPr/>
        <w:t>профессиональных</w:t>
      </w:r>
      <w:r>
        <w:rPr>
          <w:spacing w:val="-4"/>
        </w:rPr>
        <w:t> </w:t>
      </w:r>
      <w:r>
        <w:rPr/>
        <w:t>и личных трудностей.</w:t>
      </w:r>
    </w:p>
    <w:p>
      <w:pPr>
        <w:pStyle w:val="ListParagraph"/>
        <w:numPr>
          <w:ilvl w:val="2"/>
          <w:numId w:val="237"/>
        </w:numPr>
        <w:tabs>
          <w:tab w:pos="653" w:val="left" w:leader="none"/>
        </w:tabs>
        <w:spacing w:line="232" w:lineRule="auto" w:before="0" w:after="0"/>
        <w:ind w:left="141" w:right="138" w:firstLine="283"/>
        <w:jc w:val="both"/>
        <w:rPr>
          <w:i/>
          <w:sz w:val="20"/>
        </w:rPr>
      </w:pPr>
      <w:r>
        <w:rPr>
          <w:i/>
          <w:sz w:val="20"/>
        </w:rPr>
        <w:t>Практика содействует развитию психолого-педагогической и методической компетентности педагога.</w:t>
      </w:r>
    </w:p>
    <w:p>
      <w:pPr>
        <w:pStyle w:val="ListParagraph"/>
        <w:numPr>
          <w:ilvl w:val="3"/>
          <w:numId w:val="237"/>
        </w:numPr>
        <w:tabs>
          <w:tab w:pos="544" w:val="left" w:leader="none"/>
        </w:tabs>
        <w:spacing w:line="218" w:lineRule="exact" w:before="0" w:after="0"/>
        <w:ind w:left="544" w:right="0" w:hanging="119"/>
        <w:jc w:val="both"/>
        <w:rPr>
          <w:sz w:val="20"/>
        </w:rPr>
      </w:pPr>
      <w:r>
        <w:rPr>
          <w:sz w:val="20"/>
        </w:rPr>
        <w:t>Развитие</w:t>
      </w:r>
      <w:r>
        <w:rPr>
          <w:spacing w:val="-6"/>
          <w:sz w:val="20"/>
        </w:rPr>
        <w:t> </w:t>
      </w:r>
      <w:r>
        <w:rPr>
          <w:sz w:val="20"/>
        </w:rPr>
        <w:t>профессиональной</w:t>
      </w:r>
      <w:r>
        <w:rPr>
          <w:spacing w:val="-6"/>
          <w:sz w:val="20"/>
        </w:rPr>
        <w:t> </w:t>
      </w:r>
      <w:r>
        <w:rPr>
          <w:sz w:val="20"/>
        </w:rPr>
        <w:t>педагогической</w:t>
      </w:r>
      <w:r>
        <w:rPr>
          <w:spacing w:val="-6"/>
          <w:sz w:val="20"/>
        </w:rPr>
        <w:t> </w:t>
      </w:r>
      <w:r>
        <w:rPr>
          <w:spacing w:val="-2"/>
          <w:sz w:val="20"/>
        </w:rPr>
        <w:t>рефлексии.</w:t>
      </w:r>
    </w:p>
    <w:p>
      <w:pPr>
        <w:pStyle w:val="BodyText"/>
        <w:spacing w:line="232" w:lineRule="auto"/>
        <w:ind w:right="138"/>
      </w:pPr>
      <w:r>
        <w:rPr/>
        <w:t>В педагогической деятельности как сложной и многоаспектной особое значение имеет</w:t>
      </w:r>
      <w:r>
        <w:rPr>
          <w:spacing w:val="-11"/>
        </w:rPr>
        <w:t> </w:t>
      </w:r>
      <w:r>
        <w:rPr/>
        <w:t>организация</w:t>
      </w:r>
      <w:r>
        <w:rPr>
          <w:spacing w:val="-11"/>
        </w:rPr>
        <w:t> </w:t>
      </w:r>
      <w:r>
        <w:rPr/>
        <w:t>профессиональной</w:t>
      </w:r>
      <w:r>
        <w:rPr>
          <w:spacing w:val="-11"/>
        </w:rPr>
        <w:t> </w:t>
      </w:r>
      <w:r>
        <w:rPr/>
        <w:t>рефлексии.</w:t>
      </w:r>
      <w:r>
        <w:rPr>
          <w:spacing w:val="-11"/>
        </w:rPr>
        <w:t> </w:t>
      </w:r>
      <w:r>
        <w:rPr/>
        <w:t>Психолого-педагогический</w:t>
      </w:r>
      <w:r>
        <w:rPr>
          <w:spacing w:val="-11"/>
        </w:rPr>
        <w:t> </w:t>
      </w:r>
      <w:r>
        <w:rPr/>
        <w:t>анализ урока в группе позволяет создать условия для активизации и развития навыков реф- лексивного</w:t>
      </w:r>
      <w:r>
        <w:rPr>
          <w:spacing w:val="-13"/>
        </w:rPr>
        <w:t> </w:t>
      </w:r>
      <w:r>
        <w:rPr/>
        <w:t>анализа.</w:t>
      </w:r>
      <w:r>
        <w:rPr>
          <w:spacing w:val="-12"/>
        </w:rPr>
        <w:t> </w:t>
      </w:r>
      <w:r>
        <w:rPr/>
        <w:t>Формат</w:t>
      </w:r>
      <w:r>
        <w:rPr>
          <w:spacing w:val="-13"/>
        </w:rPr>
        <w:t> </w:t>
      </w:r>
      <w:r>
        <w:rPr/>
        <w:t>практики</w:t>
      </w:r>
      <w:r>
        <w:rPr>
          <w:spacing w:val="-12"/>
        </w:rPr>
        <w:t> </w:t>
      </w:r>
      <w:r>
        <w:rPr/>
        <w:t>организует</w:t>
      </w:r>
      <w:r>
        <w:rPr>
          <w:spacing w:val="-13"/>
        </w:rPr>
        <w:t> </w:t>
      </w:r>
      <w:r>
        <w:rPr/>
        <w:t>мышление</w:t>
      </w:r>
      <w:r>
        <w:rPr>
          <w:spacing w:val="-12"/>
        </w:rPr>
        <w:t> </w:t>
      </w:r>
      <w:r>
        <w:rPr/>
        <w:t>участников:</w:t>
      </w:r>
      <w:r>
        <w:rPr>
          <w:spacing w:val="-13"/>
        </w:rPr>
        <w:t> </w:t>
      </w:r>
      <w:r>
        <w:rPr/>
        <w:t>фокусирует их на фиксации трудности (начало рефлексивного анализа); четкой постановке про- фессиональной</w:t>
      </w:r>
      <w:r>
        <w:rPr>
          <w:spacing w:val="-7"/>
        </w:rPr>
        <w:t> </w:t>
      </w:r>
      <w:r>
        <w:rPr/>
        <w:t>задачи</w:t>
      </w:r>
      <w:r>
        <w:rPr>
          <w:spacing w:val="-7"/>
        </w:rPr>
        <w:t> </w:t>
      </w:r>
      <w:r>
        <w:rPr/>
        <w:t>по</w:t>
      </w:r>
      <w:r>
        <w:rPr>
          <w:spacing w:val="-6"/>
        </w:rPr>
        <w:t> </w:t>
      </w:r>
      <w:r>
        <w:rPr/>
        <w:t>ее</w:t>
      </w:r>
      <w:r>
        <w:rPr>
          <w:spacing w:val="-6"/>
        </w:rPr>
        <w:t> </w:t>
      </w:r>
      <w:r>
        <w:rPr/>
        <w:t>преодолению;</w:t>
      </w:r>
      <w:r>
        <w:rPr>
          <w:spacing w:val="-6"/>
        </w:rPr>
        <w:t> </w:t>
      </w:r>
      <w:r>
        <w:rPr/>
        <w:t>выдвижение</w:t>
      </w:r>
      <w:r>
        <w:rPr>
          <w:spacing w:val="-6"/>
        </w:rPr>
        <w:t> </w:t>
      </w:r>
      <w:r>
        <w:rPr/>
        <w:t>гипотез</w:t>
      </w:r>
      <w:r>
        <w:rPr>
          <w:spacing w:val="-6"/>
        </w:rPr>
        <w:t> </w:t>
      </w:r>
      <w:r>
        <w:rPr/>
        <w:t>и</w:t>
      </w:r>
      <w:r>
        <w:rPr>
          <w:spacing w:val="-7"/>
        </w:rPr>
        <w:t> </w:t>
      </w:r>
      <w:r>
        <w:rPr/>
        <w:t>их</w:t>
      </w:r>
      <w:r>
        <w:rPr>
          <w:spacing w:val="-6"/>
        </w:rPr>
        <w:t> </w:t>
      </w:r>
      <w:r>
        <w:rPr/>
        <w:t>проверка</w:t>
      </w:r>
      <w:r>
        <w:rPr>
          <w:spacing w:val="-6"/>
        </w:rPr>
        <w:t> </w:t>
      </w:r>
      <w:r>
        <w:rPr/>
        <w:t>в</w:t>
      </w:r>
      <w:r>
        <w:rPr>
          <w:spacing w:val="-6"/>
        </w:rPr>
        <w:t> </w:t>
      </w:r>
      <w:r>
        <w:rPr/>
        <w:t>ходе </w:t>
      </w:r>
      <w:r>
        <w:rPr>
          <w:spacing w:val="-2"/>
        </w:rPr>
        <w:t>наблюдения</w:t>
      </w:r>
      <w:r>
        <w:rPr>
          <w:spacing w:val="-3"/>
        </w:rPr>
        <w:t> </w:t>
      </w:r>
      <w:r>
        <w:rPr>
          <w:spacing w:val="-2"/>
        </w:rPr>
        <w:t>и</w:t>
      </w:r>
      <w:r>
        <w:rPr>
          <w:spacing w:val="-3"/>
        </w:rPr>
        <w:t> </w:t>
      </w:r>
      <w:r>
        <w:rPr>
          <w:spacing w:val="-2"/>
        </w:rPr>
        <w:t>группового</w:t>
      </w:r>
      <w:r>
        <w:rPr>
          <w:spacing w:val="-3"/>
        </w:rPr>
        <w:t> </w:t>
      </w:r>
      <w:r>
        <w:rPr>
          <w:spacing w:val="-2"/>
        </w:rPr>
        <w:t>анализа.</w:t>
      </w:r>
      <w:r>
        <w:rPr>
          <w:spacing w:val="-3"/>
        </w:rPr>
        <w:t> </w:t>
      </w:r>
      <w:r>
        <w:rPr>
          <w:spacing w:val="-2"/>
        </w:rPr>
        <w:t>Групповой</w:t>
      </w:r>
      <w:r>
        <w:rPr>
          <w:spacing w:val="-3"/>
        </w:rPr>
        <w:t> </w:t>
      </w:r>
      <w:r>
        <w:rPr>
          <w:spacing w:val="-2"/>
        </w:rPr>
        <w:t>формат</w:t>
      </w:r>
      <w:r>
        <w:rPr>
          <w:spacing w:val="-3"/>
        </w:rPr>
        <w:t> </w:t>
      </w:r>
      <w:r>
        <w:rPr>
          <w:spacing w:val="-2"/>
        </w:rPr>
        <w:t>организации</w:t>
      </w:r>
      <w:r>
        <w:rPr>
          <w:spacing w:val="-3"/>
        </w:rPr>
        <w:t> </w:t>
      </w:r>
      <w:r>
        <w:rPr>
          <w:spacing w:val="-2"/>
        </w:rPr>
        <w:t>профессионально- го</w:t>
      </w:r>
      <w:r>
        <w:rPr>
          <w:spacing w:val="-4"/>
        </w:rPr>
        <w:t> </w:t>
      </w:r>
      <w:r>
        <w:rPr>
          <w:spacing w:val="-2"/>
        </w:rPr>
        <w:t>мышления</w:t>
      </w:r>
      <w:r>
        <w:rPr>
          <w:spacing w:val="-4"/>
        </w:rPr>
        <w:t> </w:t>
      </w:r>
      <w:r>
        <w:rPr>
          <w:spacing w:val="-2"/>
        </w:rPr>
        <w:t>создает</w:t>
      </w:r>
      <w:r>
        <w:rPr>
          <w:spacing w:val="-4"/>
        </w:rPr>
        <w:t> </w:t>
      </w:r>
      <w:r>
        <w:rPr>
          <w:spacing w:val="-2"/>
        </w:rPr>
        <w:t>зону</w:t>
      </w:r>
      <w:r>
        <w:rPr>
          <w:spacing w:val="-4"/>
        </w:rPr>
        <w:t> </w:t>
      </w:r>
      <w:r>
        <w:rPr>
          <w:spacing w:val="-2"/>
        </w:rPr>
        <w:t>ближайшего</w:t>
      </w:r>
      <w:r>
        <w:rPr>
          <w:spacing w:val="-4"/>
        </w:rPr>
        <w:t> </w:t>
      </w:r>
      <w:r>
        <w:rPr>
          <w:spacing w:val="-2"/>
        </w:rPr>
        <w:t>развития</w:t>
      </w:r>
      <w:r>
        <w:rPr>
          <w:spacing w:val="-4"/>
        </w:rPr>
        <w:t> </w:t>
      </w:r>
      <w:r>
        <w:rPr>
          <w:spacing w:val="-2"/>
        </w:rPr>
        <w:t>для</w:t>
      </w:r>
      <w:r>
        <w:rPr>
          <w:spacing w:val="-4"/>
        </w:rPr>
        <w:t> </w:t>
      </w:r>
      <w:r>
        <w:rPr>
          <w:spacing w:val="-2"/>
        </w:rPr>
        <w:t>каждого</w:t>
      </w:r>
      <w:r>
        <w:rPr>
          <w:spacing w:val="-4"/>
        </w:rPr>
        <w:t> </w:t>
      </w:r>
      <w:r>
        <w:rPr>
          <w:spacing w:val="-2"/>
        </w:rPr>
        <w:t>участника:</w:t>
      </w:r>
      <w:r>
        <w:rPr>
          <w:spacing w:val="-4"/>
        </w:rPr>
        <w:t> </w:t>
      </w:r>
      <w:r>
        <w:rPr>
          <w:spacing w:val="-2"/>
        </w:rPr>
        <w:t>стимулирует </w:t>
      </w:r>
      <w:r>
        <w:rPr/>
        <w:t>занимать</w:t>
      </w:r>
      <w:r>
        <w:rPr>
          <w:spacing w:val="-8"/>
        </w:rPr>
        <w:t> </w:t>
      </w:r>
      <w:r>
        <w:rPr/>
        <w:t>разные</w:t>
      </w:r>
      <w:r>
        <w:rPr>
          <w:spacing w:val="-8"/>
        </w:rPr>
        <w:t> </w:t>
      </w:r>
      <w:r>
        <w:rPr/>
        <w:t>личностно-профессиональные</w:t>
      </w:r>
      <w:r>
        <w:rPr>
          <w:spacing w:val="-8"/>
        </w:rPr>
        <w:t> </w:t>
      </w:r>
      <w:r>
        <w:rPr/>
        <w:t>позиции,</w:t>
      </w:r>
      <w:r>
        <w:rPr>
          <w:spacing w:val="-8"/>
        </w:rPr>
        <w:t> </w:t>
      </w:r>
      <w:r>
        <w:rPr/>
        <w:t>выдвигать</w:t>
      </w:r>
      <w:r>
        <w:rPr>
          <w:spacing w:val="-8"/>
        </w:rPr>
        <w:t> </w:t>
      </w:r>
      <w:r>
        <w:rPr/>
        <w:t>конкурирующие гипотезы, аргументировать и обращаться к собственному удачному и неудачному опыту.</w:t>
      </w:r>
      <w:r>
        <w:rPr>
          <w:spacing w:val="-5"/>
        </w:rPr>
        <w:t> </w:t>
      </w:r>
      <w:r>
        <w:rPr/>
        <w:t>Развитие</w:t>
      </w:r>
      <w:r>
        <w:rPr>
          <w:spacing w:val="-5"/>
        </w:rPr>
        <w:t> </w:t>
      </w:r>
      <w:r>
        <w:rPr/>
        <w:t>профессиональной</w:t>
      </w:r>
      <w:r>
        <w:rPr>
          <w:spacing w:val="-5"/>
        </w:rPr>
        <w:t> </w:t>
      </w:r>
      <w:r>
        <w:rPr/>
        <w:t>педагогической</w:t>
      </w:r>
      <w:r>
        <w:rPr>
          <w:spacing w:val="-5"/>
        </w:rPr>
        <w:t> </w:t>
      </w:r>
      <w:r>
        <w:rPr/>
        <w:t>рефлексии</w:t>
      </w:r>
      <w:r>
        <w:rPr>
          <w:spacing w:val="-5"/>
        </w:rPr>
        <w:t> </w:t>
      </w:r>
      <w:r>
        <w:rPr/>
        <w:t>также</w:t>
      </w:r>
      <w:r>
        <w:rPr>
          <w:spacing w:val="-5"/>
        </w:rPr>
        <w:t> </w:t>
      </w:r>
      <w:r>
        <w:rPr/>
        <w:t>позволяет</w:t>
      </w:r>
      <w:r>
        <w:rPr>
          <w:spacing w:val="-5"/>
        </w:rPr>
        <w:t> </w:t>
      </w:r>
      <w:r>
        <w:rPr/>
        <w:t>луч- ше</w:t>
      </w:r>
      <w:r>
        <w:rPr>
          <w:spacing w:val="-6"/>
        </w:rPr>
        <w:t> </w:t>
      </w:r>
      <w:r>
        <w:rPr/>
        <w:t>осознавать</w:t>
      </w:r>
      <w:r>
        <w:rPr>
          <w:spacing w:val="-6"/>
        </w:rPr>
        <w:t> </w:t>
      </w:r>
      <w:r>
        <w:rPr/>
        <w:t>неожиданные</w:t>
      </w:r>
      <w:r>
        <w:rPr>
          <w:spacing w:val="-6"/>
        </w:rPr>
        <w:t> </w:t>
      </w:r>
      <w:r>
        <w:rPr/>
        <w:t>трудности,</w:t>
      </w:r>
      <w:r>
        <w:rPr>
          <w:spacing w:val="-6"/>
        </w:rPr>
        <w:t> </w:t>
      </w:r>
      <w:r>
        <w:rPr/>
        <w:t>связанные</w:t>
      </w:r>
      <w:r>
        <w:rPr>
          <w:spacing w:val="-6"/>
        </w:rPr>
        <w:t> </w:t>
      </w:r>
      <w:r>
        <w:rPr/>
        <w:t>с</w:t>
      </w:r>
      <w:r>
        <w:rPr>
          <w:spacing w:val="-6"/>
        </w:rPr>
        <w:t> </w:t>
      </w:r>
      <w:r>
        <w:rPr/>
        <w:t>культурными</w:t>
      </w:r>
      <w:r>
        <w:rPr>
          <w:spacing w:val="-6"/>
        </w:rPr>
        <w:t> </w:t>
      </w:r>
      <w:r>
        <w:rPr/>
        <w:t>различиями,</w:t>
      </w:r>
      <w:r>
        <w:rPr>
          <w:spacing w:val="-6"/>
        </w:rPr>
        <w:t> </w:t>
      </w:r>
      <w:r>
        <w:rPr/>
        <w:t>осоз- навать и ограничивать поведение, вызываемое культурными стереотипами.</w:t>
      </w:r>
    </w:p>
    <w:p>
      <w:pPr>
        <w:pStyle w:val="ListParagraph"/>
        <w:numPr>
          <w:ilvl w:val="3"/>
          <w:numId w:val="237"/>
        </w:numPr>
        <w:tabs>
          <w:tab w:pos="574" w:val="left" w:leader="none"/>
        </w:tabs>
        <w:spacing w:line="235" w:lineRule="auto" w:before="0" w:after="0"/>
        <w:ind w:left="141" w:right="139" w:firstLine="283"/>
        <w:jc w:val="both"/>
        <w:rPr>
          <w:sz w:val="20"/>
        </w:rPr>
      </w:pPr>
      <w:r>
        <w:rPr>
          <w:sz w:val="20"/>
        </w:rPr>
        <w:t>Развитие навыков психолого-педагогического наблюдения, профессиональной </w:t>
      </w:r>
      <w:r>
        <w:rPr>
          <w:spacing w:val="-2"/>
          <w:sz w:val="20"/>
        </w:rPr>
        <w:t>наблюдательности.</w:t>
      </w:r>
    </w:p>
    <w:p>
      <w:pPr>
        <w:spacing w:line="235" w:lineRule="auto" w:before="0"/>
        <w:ind w:left="141" w:right="139" w:firstLine="283"/>
        <w:jc w:val="both"/>
        <w:rPr>
          <w:sz w:val="20"/>
        </w:rPr>
      </w:pPr>
      <w:r>
        <w:rPr>
          <w:sz w:val="20"/>
        </w:rPr>
        <w:t>Практика </w:t>
      </w:r>
      <w:r>
        <w:rPr>
          <w:i/>
          <w:sz w:val="20"/>
        </w:rPr>
        <w:t>разбора педагогического случая </w:t>
      </w:r>
      <w:r>
        <w:rPr>
          <w:sz w:val="20"/>
        </w:rPr>
        <w:t>стимулирует специалиста замечать де- тали,</w:t>
      </w:r>
      <w:r>
        <w:rPr>
          <w:spacing w:val="29"/>
          <w:sz w:val="20"/>
        </w:rPr>
        <w:t> </w:t>
      </w:r>
      <w:r>
        <w:rPr>
          <w:sz w:val="20"/>
        </w:rPr>
        <w:t>сопоставлять</w:t>
      </w:r>
      <w:r>
        <w:rPr>
          <w:spacing w:val="30"/>
          <w:sz w:val="20"/>
        </w:rPr>
        <w:t> </w:t>
      </w:r>
      <w:r>
        <w:rPr>
          <w:sz w:val="20"/>
        </w:rPr>
        <w:t>свои</w:t>
      </w:r>
      <w:r>
        <w:rPr>
          <w:spacing w:val="30"/>
          <w:sz w:val="20"/>
        </w:rPr>
        <w:t> </w:t>
      </w:r>
      <w:r>
        <w:rPr>
          <w:sz w:val="20"/>
        </w:rPr>
        <w:t>состояния</w:t>
      </w:r>
      <w:r>
        <w:rPr>
          <w:spacing w:val="30"/>
          <w:sz w:val="20"/>
        </w:rPr>
        <w:t> </w:t>
      </w:r>
      <w:r>
        <w:rPr>
          <w:sz w:val="20"/>
        </w:rPr>
        <w:t>и</w:t>
      </w:r>
      <w:r>
        <w:rPr>
          <w:spacing w:val="29"/>
          <w:sz w:val="20"/>
        </w:rPr>
        <w:t> </w:t>
      </w:r>
      <w:r>
        <w:rPr>
          <w:sz w:val="20"/>
        </w:rPr>
        <w:t>происходящие</w:t>
      </w:r>
      <w:r>
        <w:rPr>
          <w:spacing w:val="30"/>
          <w:sz w:val="20"/>
        </w:rPr>
        <w:t> </w:t>
      </w:r>
      <w:r>
        <w:rPr>
          <w:sz w:val="20"/>
        </w:rPr>
        <w:t>в</w:t>
      </w:r>
      <w:r>
        <w:rPr>
          <w:spacing w:val="30"/>
          <w:sz w:val="20"/>
        </w:rPr>
        <w:t> </w:t>
      </w:r>
      <w:r>
        <w:rPr>
          <w:sz w:val="20"/>
        </w:rPr>
        <w:t>трудной</w:t>
      </w:r>
      <w:r>
        <w:rPr>
          <w:spacing w:val="30"/>
          <w:sz w:val="20"/>
        </w:rPr>
        <w:t> </w:t>
      </w:r>
      <w:r>
        <w:rPr>
          <w:sz w:val="20"/>
        </w:rPr>
        <w:t>ситуации</w:t>
      </w:r>
      <w:r>
        <w:rPr>
          <w:spacing w:val="30"/>
          <w:sz w:val="20"/>
        </w:rPr>
        <w:t> </w:t>
      </w:r>
      <w:r>
        <w:rPr>
          <w:spacing w:val="-2"/>
          <w:sz w:val="20"/>
        </w:rPr>
        <w:t>события,</w:t>
      </w:r>
    </w:p>
    <w:p>
      <w:pPr>
        <w:spacing w:after="0" w:line="235" w:lineRule="auto"/>
        <w:jc w:val="both"/>
        <w:rPr>
          <w:sz w:val="20"/>
        </w:rPr>
        <w:sectPr>
          <w:pgSz w:w="8400" w:h="11910"/>
          <w:pgMar w:header="0" w:footer="529" w:top="400" w:bottom="740" w:left="425" w:right="425"/>
        </w:sectPr>
      </w:pPr>
    </w:p>
    <w:p>
      <w:pPr>
        <w:pStyle w:val="ListParagraph"/>
        <w:numPr>
          <w:ilvl w:val="1"/>
          <w:numId w:val="235"/>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Алгоритм разбора</w:t>
      </w:r>
      <w:r>
        <w:rPr>
          <w:rFonts w:ascii="Georgia" w:hAnsi="Georgia"/>
          <w:color w:val="231F20"/>
          <w:spacing w:val="1"/>
          <w:sz w:val="18"/>
        </w:rPr>
        <w:t> </w:t>
      </w:r>
      <w:r>
        <w:rPr>
          <w:rFonts w:ascii="Georgia" w:hAnsi="Georgia"/>
          <w:color w:val="231F20"/>
          <w:sz w:val="18"/>
        </w:rPr>
        <w:t>педагогического</w:t>
      </w:r>
      <w:r>
        <w:rPr>
          <w:rFonts w:ascii="Georgia" w:hAnsi="Georgia"/>
          <w:color w:val="231F20"/>
          <w:spacing w:val="1"/>
          <w:sz w:val="18"/>
        </w:rPr>
        <w:t> </w:t>
      </w:r>
      <w:r>
        <w:rPr>
          <w:rFonts w:ascii="Georgia" w:hAnsi="Georgia"/>
          <w:color w:val="231F20"/>
          <w:sz w:val="18"/>
        </w:rPr>
        <w:t>случая,</w:t>
      </w:r>
      <w:r>
        <w:rPr>
          <w:rFonts w:ascii="Georgia" w:hAnsi="Georgia"/>
          <w:color w:val="231F20"/>
          <w:spacing w:val="1"/>
          <w:sz w:val="18"/>
        </w:rPr>
        <w:t> </w:t>
      </w:r>
      <w:r>
        <w:rPr>
          <w:rFonts w:ascii="Georgia" w:hAnsi="Georgia"/>
          <w:color w:val="231F20"/>
          <w:sz w:val="18"/>
        </w:rPr>
        <w:t>связанного</w:t>
      </w:r>
      <w:r>
        <w:rPr>
          <w:rFonts w:ascii="Georgia" w:hAnsi="Georgia"/>
          <w:color w:val="231F20"/>
          <w:spacing w:val="1"/>
          <w:sz w:val="18"/>
        </w:rPr>
        <w:t> </w:t>
      </w:r>
      <w:r>
        <w:rPr>
          <w:rFonts w:ascii="Georgia" w:hAnsi="Georgia"/>
          <w:color w:val="231F20"/>
          <w:sz w:val="18"/>
        </w:rPr>
        <w:t>с</w:t>
      </w:r>
      <w:r>
        <w:rPr>
          <w:rFonts w:ascii="Georgia" w:hAnsi="Georgia"/>
          <w:color w:val="231F20"/>
          <w:spacing w:val="1"/>
          <w:sz w:val="18"/>
        </w:rPr>
        <w:t> </w:t>
      </w:r>
      <w:r>
        <w:rPr>
          <w:rFonts w:ascii="Georgia" w:hAnsi="Georgia"/>
          <w:color w:val="231F20"/>
          <w:sz w:val="18"/>
        </w:rPr>
        <w:t>адаптацией </w:t>
      </w:r>
      <w:r>
        <w:rPr>
          <w:rFonts w:ascii="Georgia" w:hAnsi="Georgia"/>
          <w:color w:val="231F20"/>
          <w:spacing w:val="-2"/>
          <w:sz w:val="18"/>
        </w:rPr>
        <w:t>детей</w:t>
      </w:r>
    </w:p>
    <w:p>
      <w:pPr>
        <w:pStyle w:val="BodyText"/>
        <w:spacing w:line="230" w:lineRule="auto" w:before="119"/>
        <w:ind w:firstLine="0"/>
      </w:pPr>
      <w:r>
        <w:rPr/>
        <w:t>реакции других участников. При совместном просмотре видеозаписи урока (при ус- ловии выбора данной формы проведения встречи) необходимо выделить ключевые признаки для обоснования своих предположений, для обозначения запроса и описа- ния трудности; и в целом, отделить факты от интерпретации фактов. Такая практи- ка учит специалиста обращать внимание на значимые проявления, выделять разные аспекты</w:t>
      </w:r>
      <w:r>
        <w:rPr>
          <w:spacing w:val="-3"/>
        </w:rPr>
        <w:t> </w:t>
      </w:r>
      <w:r>
        <w:rPr/>
        <w:t>в</w:t>
      </w:r>
      <w:r>
        <w:rPr>
          <w:spacing w:val="-3"/>
        </w:rPr>
        <w:t> </w:t>
      </w:r>
      <w:r>
        <w:rPr/>
        <w:t>наблюдаемой</w:t>
      </w:r>
      <w:r>
        <w:rPr>
          <w:spacing w:val="-3"/>
        </w:rPr>
        <w:t> </w:t>
      </w:r>
      <w:r>
        <w:rPr/>
        <w:t>реальности,</w:t>
      </w:r>
      <w:r>
        <w:rPr>
          <w:spacing w:val="-3"/>
        </w:rPr>
        <w:t> </w:t>
      </w:r>
      <w:r>
        <w:rPr/>
        <w:t>осознавать</w:t>
      </w:r>
      <w:r>
        <w:rPr>
          <w:spacing w:val="-3"/>
        </w:rPr>
        <w:t> </w:t>
      </w:r>
      <w:r>
        <w:rPr/>
        <w:t>исходные</w:t>
      </w:r>
      <w:r>
        <w:rPr>
          <w:spacing w:val="-3"/>
        </w:rPr>
        <w:t> </w:t>
      </w:r>
      <w:r>
        <w:rPr/>
        <w:t>убеждения,</w:t>
      </w:r>
      <w:r>
        <w:rPr>
          <w:spacing w:val="-3"/>
        </w:rPr>
        <w:t> </w:t>
      </w:r>
      <w:r>
        <w:rPr/>
        <w:t>лежащие</w:t>
      </w:r>
      <w:r>
        <w:rPr>
          <w:spacing w:val="-3"/>
        </w:rPr>
        <w:t> </w:t>
      </w:r>
      <w:r>
        <w:rPr/>
        <w:t>в</w:t>
      </w:r>
      <w:r>
        <w:rPr>
          <w:spacing w:val="-3"/>
        </w:rPr>
        <w:t> </w:t>
      </w:r>
      <w:r>
        <w:rPr/>
        <w:t>ос- нове</w:t>
      </w:r>
      <w:r>
        <w:rPr>
          <w:spacing w:val="-3"/>
        </w:rPr>
        <w:t> </w:t>
      </w:r>
      <w:r>
        <w:rPr/>
        <w:t>интерпретаций</w:t>
      </w:r>
      <w:r>
        <w:rPr>
          <w:spacing w:val="-3"/>
        </w:rPr>
        <w:t> </w:t>
      </w:r>
      <w:r>
        <w:rPr/>
        <w:t>и</w:t>
      </w:r>
      <w:r>
        <w:rPr>
          <w:spacing w:val="-3"/>
        </w:rPr>
        <w:t> </w:t>
      </w:r>
      <w:r>
        <w:rPr/>
        <w:t>выводов.</w:t>
      </w:r>
      <w:r>
        <w:rPr>
          <w:spacing w:val="-3"/>
        </w:rPr>
        <w:t> </w:t>
      </w:r>
      <w:r>
        <w:rPr/>
        <w:t>Обсуждение</w:t>
      </w:r>
      <w:r>
        <w:rPr>
          <w:spacing w:val="-3"/>
        </w:rPr>
        <w:t> </w:t>
      </w:r>
      <w:r>
        <w:rPr/>
        <w:t>фактов</w:t>
      </w:r>
      <w:r>
        <w:rPr>
          <w:spacing w:val="-3"/>
        </w:rPr>
        <w:t> </w:t>
      </w:r>
      <w:r>
        <w:rPr/>
        <w:t>и</w:t>
      </w:r>
      <w:r>
        <w:rPr>
          <w:spacing w:val="-3"/>
        </w:rPr>
        <w:t> </w:t>
      </w:r>
      <w:r>
        <w:rPr/>
        <w:t>оснований</w:t>
      </w:r>
      <w:r>
        <w:rPr>
          <w:spacing w:val="-3"/>
        </w:rPr>
        <w:t> </w:t>
      </w:r>
      <w:r>
        <w:rPr/>
        <w:t>для</w:t>
      </w:r>
      <w:r>
        <w:rPr>
          <w:spacing w:val="-3"/>
        </w:rPr>
        <w:t> </w:t>
      </w:r>
      <w:r>
        <w:rPr/>
        <w:t>их</w:t>
      </w:r>
      <w:r>
        <w:rPr>
          <w:spacing w:val="-3"/>
        </w:rPr>
        <w:t> </w:t>
      </w:r>
      <w:r>
        <w:rPr/>
        <w:t>интерпрета- ции в педагогических наблюдениях создает мост между профессиональной теорией и</w:t>
      </w:r>
      <w:r>
        <w:rPr>
          <w:spacing w:val="-5"/>
        </w:rPr>
        <w:t> </w:t>
      </w:r>
      <w:r>
        <w:rPr/>
        <w:t>практикой,</w:t>
      </w:r>
      <w:r>
        <w:rPr>
          <w:spacing w:val="-5"/>
        </w:rPr>
        <w:t> </w:t>
      </w:r>
      <w:r>
        <w:rPr/>
        <w:t>заставляя</w:t>
      </w:r>
      <w:r>
        <w:rPr>
          <w:spacing w:val="-5"/>
        </w:rPr>
        <w:t> </w:t>
      </w:r>
      <w:r>
        <w:rPr/>
        <w:t>педагога</w:t>
      </w:r>
      <w:r>
        <w:rPr>
          <w:spacing w:val="-5"/>
        </w:rPr>
        <w:t> </w:t>
      </w:r>
      <w:r>
        <w:rPr/>
        <w:t>обращаться</w:t>
      </w:r>
      <w:r>
        <w:rPr>
          <w:spacing w:val="-5"/>
        </w:rPr>
        <w:t> </w:t>
      </w:r>
      <w:r>
        <w:rPr/>
        <w:t>к</w:t>
      </w:r>
      <w:r>
        <w:rPr>
          <w:spacing w:val="-5"/>
        </w:rPr>
        <w:t> </w:t>
      </w:r>
      <w:r>
        <w:rPr/>
        <w:t>теоретическим</w:t>
      </w:r>
      <w:r>
        <w:rPr>
          <w:spacing w:val="-5"/>
        </w:rPr>
        <w:t> </w:t>
      </w:r>
      <w:r>
        <w:rPr/>
        <w:t>основаниям</w:t>
      </w:r>
      <w:r>
        <w:rPr>
          <w:spacing w:val="-5"/>
        </w:rPr>
        <w:t> </w:t>
      </w:r>
      <w:r>
        <w:rPr/>
        <w:t>своей</w:t>
      </w:r>
      <w:r>
        <w:rPr>
          <w:spacing w:val="-5"/>
        </w:rPr>
        <w:t> </w:t>
      </w:r>
      <w:r>
        <w:rPr/>
        <w:t>про- фессиональной деятельности.</w:t>
      </w:r>
    </w:p>
    <w:p>
      <w:pPr>
        <w:pStyle w:val="BodyText"/>
        <w:spacing w:line="232" w:lineRule="auto" w:before="3"/>
      </w:pPr>
      <w:r>
        <w:rPr>
          <w:spacing w:val="-2"/>
        </w:rPr>
        <w:t>Также</w:t>
      </w:r>
      <w:r>
        <w:rPr>
          <w:spacing w:val="-4"/>
        </w:rPr>
        <w:t> </w:t>
      </w:r>
      <w:r>
        <w:rPr>
          <w:spacing w:val="-2"/>
        </w:rPr>
        <w:t>в</w:t>
      </w:r>
      <w:r>
        <w:rPr>
          <w:spacing w:val="-4"/>
        </w:rPr>
        <w:t> </w:t>
      </w:r>
      <w:r>
        <w:rPr>
          <w:spacing w:val="-2"/>
        </w:rPr>
        <w:t>ситуации</w:t>
      </w:r>
      <w:r>
        <w:rPr>
          <w:spacing w:val="-4"/>
        </w:rPr>
        <w:t> </w:t>
      </w:r>
      <w:r>
        <w:rPr>
          <w:spacing w:val="-2"/>
        </w:rPr>
        <w:t>культурной</w:t>
      </w:r>
      <w:r>
        <w:rPr>
          <w:spacing w:val="-4"/>
        </w:rPr>
        <w:t> </w:t>
      </w:r>
      <w:r>
        <w:rPr>
          <w:spacing w:val="-2"/>
        </w:rPr>
        <w:t>адаптации</w:t>
      </w:r>
      <w:r>
        <w:rPr>
          <w:spacing w:val="-4"/>
        </w:rPr>
        <w:t> </w:t>
      </w:r>
      <w:r>
        <w:rPr>
          <w:spacing w:val="-2"/>
        </w:rPr>
        <w:t>проявляется</w:t>
      </w:r>
      <w:r>
        <w:rPr>
          <w:spacing w:val="-4"/>
        </w:rPr>
        <w:t> </w:t>
      </w:r>
      <w:r>
        <w:rPr>
          <w:spacing w:val="-2"/>
        </w:rPr>
        <w:t>много</w:t>
      </w:r>
      <w:r>
        <w:rPr>
          <w:spacing w:val="-4"/>
        </w:rPr>
        <w:t> </w:t>
      </w:r>
      <w:r>
        <w:rPr>
          <w:spacing w:val="-2"/>
        </w:rPr>
        <w:t>культурных</w:t>
      </w:r>
      <w:r>
        <w:rPr>
          <w:spacing w:val="-4"/>
        </w:rPr>
        <w:t> </w:t>
      </w:r>
      <w:r>
        <w:rPr>
          <w:spacing w:val="-2"/>
        </w:rPr>
        <w:t>различий, </w:t>
      </w:r>
      <w:r>
        <w:rPr/>
        <w:t>воспринимаемых</w:t>
      </w:r>
      <w:r>
        <w:rPr>
          <w:spacing w:val="-13"/>
        </w:rPr>
        <w:t> </w:t>
      </w:r>
      <w:r>
        <w:rPr/>
        <w:t>людьми</w:t>
      </w:r>
      <w:r>
        <w:rPr>
          <w:spacing w:val="-12"/>
        </w:rPr>
        <w:t> </w:t>
      </w:r>
      <w:r>
        <w:rPr/>
        <w:t>другой</w:t>
      </w:r>
      <w:r>
        <w:rPr>
          <w:spacing w:val="-13"/>
        </w:rPr>
        <w:t> </w:t>
      </w:r>
      <w:r>
        <w:rPr/>
        <w:t>культуры</w:t>
      </w:r>
      <w:r>
        <w:rPr>
          <w:spacing w:val="-12"/>
        </w:rPr>
        <w:t> </w:t>
      </w:r>
      <w:r>
        <w:rPr/>
        <w:t>как</w:t>
      </w:r>
      <w:r>
        <w:rPr>
          <w:spacing w:val="-13"/>
        </w:rPr>
        <w:t> </w:t>
      </w:r>
      <w:r>
        <w:rPr/>
        <w:t>негативное</w:t>
      </w:r>
      <w:r>
        <w:rPr>
          <w:spacing w:val="-12"/>
        </w:rPr>
        <w:t> </w:t>
      </w:r>
      <w:r>
        <w:rPr/>
        <w:t>поведение.</w:t>
      </w:r>
      <w:r>
        <w:rPr>
          <w:spacing w:val="-13"/>
        </w:rPr>
        <w:t> </w:t>
      </w:r>
      <w:r>
        <w:rPr/>
        <w:t>Навык</w:t>
      </w:r>
      <w:r>
        <w:rPr>
          <w:spacing w:val="-12"/>
        </w:rPr>
        <w:t> </w:t>
      </w:r>
      <w:r>
        <w:rPr/>
        <w:t>четкого отделения фактов от их интерпретации позволяет учителю осознать свою «оценку» (субъективную или культурную интерпретацию) и поставить под вопрос точность своего понимания происходящего. В результате данная технология – разбор педаго- гического случая – побуждает специалистов искать более обобщенные, научно обо- снованные</w:t>
      </w:r>
      <w:r>
        <w:rPr>
          <w:spacing w:val="-2"/>
        </w:rPr>
        <w:t> </w:t>
      </w:r>
      <w:r>
        <w:rPr/>
        <w:t>аргументы</w:t>
      </w:r>
      <w:r>
        <w:rPr>
          <w:spacing w:val="-2"/>
        </w:rPr>
        <w:t> </w:t>
      </w:r>
      <w:r>
        <w:rPr/>
        <w:t>для</w:t>
      </w:r>
      <w:r>
        <w:rPr>
          <w:spacing w:val="-2"/>
        </w:rPr>
        <w:t> </w:t>
      </w:r>
      <w:r>
        <w:rPr/>
        <w:t>своих</w:t>
      </w:r>
      <w:r>
        <w:rPr>
          <w:spacing w:val="-2"/>
        </w:rPr>
        <w:t> </w:t>
      </w:r>
      <w:r>
        <w:rPr/>
        <w:t>интерпретаций</w:t>
      </w:r>
      <w:r>
        <w:rPr>
          <w:spacing w:val="-2"/>
        </w:rPr>
        <w:t> </w:t>
      </w:r>
      <w:r>
        <w:rPr/>
        <w:t>в</w:t>
      </w:r>
      <w:r>
        <w:rPr>
          <w:spacing w:val="-2"/>
        </w:rPr>
        <w:t> </w:t>
      </w:r>
      <w:r>
        <w:rPr/>
        <w:t>области</w:t>
      </w:r>
      <w:r>
        <w:rPr>
          <w:spacing w:val="-2"/>
        </w:rPr>
        <w:t> </w:t>
      </w:r>
      <w:r>
        <w:rPr/>
        <w:t>культурологии</w:t>
      </w:r>
      <w:r>
        <w:rPr>
          <w:spacing w:val="-2"/>
        </w:rPr>
        <w:t> </w:t>
      </w:r>
      <w:r>
        <w:rPr/>
        <w:t>и</w:t>
      </w:r>
      <w:r>
        <w:rPr>
          <w:spacing w:val="-2"/>
        </w:rPr>
        <w:t> </w:t>
      </w:r>
      <w:r>
        <w:rPr/>
        <w:t>этнопси- хологии, отказываясь от обыденных представлений.</w:t>
      </w:r>
    </w:p>
    <w:p>
      <w:pPr>
        <w:pStyle w:val="ListParagraph"/>
        <w:numPr>
          <w:ilvl w:val="0"/>
          <w:numId w:val="241"/>
        </w:numPr>
        <w:tabs>
          <w:tab w:pos="544" w:val="left" w:leader="none"/>
        </w:tabs>
        <w:spacing w:line="221" w:lineRule="exact" w:before="0" w:after="0"/>
        <w:ind w:left="544" w:right="0" w:hanging="119"/>
        <w:jc w:val="both"/>
        <w:rPr>
          <w:sz w:val="20"/>
        </w:rPr>
      </w:pPr>
      <w:r>
        <w:rPr>
          <w:sz w:val="20"/>
        </w:rPr>
        <w:t>Развитие</w:t>
      </w:r>
      <w:r>
        <w:rPr>
          <w:spacing w:val="-11"/>
          <w:sz w:val="20"/>
        </w:rPr>
        <w:t> </w:t>
      </w:r>
      <w:r>
        <w:rPr>
          <w:sz w:val="20"/>
        </w:rPr>
        <w:t>методической</w:t>
      </w:r>
      <w:r>
        <w:rPr>
          <w:spacing w:val="-11"/>
          <w:sz w:val="20"/>
        </w:rPr>
        <w:t> </w:t>
      </w:r>
      <w:r>
        <w:rPr>
          <w:sz w:val="20"/>
        </w:rPr>
        <w:t>компетентности</w:t>
      </w:r>
      <w:r>
        <w:rPr>
          <w:spacing w:val="-10"/>
          <w:sz w:val="20"/>
        </w:rPr>
        <w:t> </w:t>
      </w:r>
      <w:r>
        <w:rPr>
          <w:spacing w:val="-2"/>
          <w:sz w:val="20"/>
        </w:rPr>
        <w:t>педагога.</w:t>
      </w:r>
    </w:p>
    <w:p>
      <w:pPr>
        <w:pStyle w:val="BodyText"/>
        <w:spacing w:line="232" w:lineRule="auto" w:before="2"/>
      </w:pPr>
      <w:r>
        <w:rPr/>
        <w:t>Одной из целей разбора педагогического случая является развитие навыков пе- дагогического проектирования деятельности ученика и учителя; сценирования их коммуникации в процессе решения учебных и воспитательных задач. Обмен раз- ными методическими приемами между коллегами, сталкивающимися с проблемами межкультурной</w:t>
      </w:r>
      <w:r>
        <w:rPr>
          <w:spacing w:val="-9"/>
        </w:rPr>
        <w:t> </w:t>
      </w:r>
      <w:r>
        <w:rPr/>
        <w:t>адаптации</w:t>
      </w:r>
      <w:r>
        <w:rPr>
          <w:spacing w:val="-9"/>
        </w:rPr>
        <w:t> </w:t>
      </w:r>
      <w:r>
        <w:rPr/>
        <w:t>учеников,</w:t>
      </w:r>
      <w:r>
        <w:rPr>
          <w:spacing w:val="-9"/>
        </w:rPr>
        <w:t> </w:t>
      </w:r>
      <w:r>
        <w:rPr/>
        <w:t>знакомство</w:t>
      </w:r>
      <w:r>
        <w:rPr>
          <w:spacing w:val="-9"/>
        </w:rPr>
        <w:t> </w:t>
      </w:r>
      <w:r>
        <w:rPr/>
        <w:t>с</w:t>
      </w:r>
      <w:r>
        <w:rPr>
          <w:spacing w:val="-9"/>
        </w:rPr>
        <w:t> </w:t>
      </w:r>
      <w:r>
        <w:rPr/>
        <w:t>их</w:t>
      </w:r>
      <w:r>
        <w:rPr>
          <w:spacing w:val="-9"/>
        </w:rPr>
        <w:t> </w:t>
      </w:r>
      <w:r>
        <w:rPr/>
        <w:t>опытом</w:t>
      </w:r>
      <w:r>
        <w:rPr>
          <w:spacing w:val="-9"/>
        </w:rPr>
        <w:t> </w:t>
      </w:r>
      <w:r>
        <w:rPr/>
        <w:t>использования</w:t>
      </w:r>
      <w:r>
        <w:rPr>
          <w:spacing w:val="-9"/>
        </w:rPr>
        <w:t> </w:t>
      </w:r>
      <w:r>
        <w:rPr/>
        <w:t>различ- ных</w:t>
      </w:r>
      <w:r>
        <w:rPr>
          <w:spacing w:val="-5"/>
        </w:rPr>
        <w:t> </w:t>
      </w:r>
      <w:r>
        <w:rPr/>
        <w:t>средств</w:t>
      </w:r>
      <w:r>
        <w:rPr>
          <w:spacing w:val="-5"/>
        </w:rPr>
        <w:t> </w:t>
      </w:r>
      <w:r>
        <w:rPr/>
        <w:t>организации</w:t>
      </w:r>
      <w:r>
        <w:rPr>
          <w:spacing w:val="-5"/>
        </w:rPr>
        <w:t> </w:t>
      </w:r>
      <w:r>
        <w:rPr/>
        <w:t>учебной</w:t>
      </w:r>
      <w:r>
        <w:rPr>
          <w:spacing w:val="-5"/>
        </w:rPr>
        <w:t> </w:t>
      </w:r>
      <w:r>
        <w:rPr/>
        <w:t>деятельности</w:t>
      </w:r>
      <w:r>
        <w:rPr>
          <w:spacing w:val="-5"/>
        </w:rPr>
        <w:t> </w:t>
      </w:r>
      <w:r>
        <w:rPr/>
        <w:t>расширяет</w:t>
      </w:r>
      <w:r>
        <w:rPr>
          <w:spacing w:val="-5"/>
        </w:rPr>
        <w:t> </w:t>
      </w:r>
      <w:r>
        <w:rPr/>
        <w:t>представления</w:t>
      </w:r>
      <w:r>
        <w:rPr>
          <w:spacing w:val="-5"/>
        </w:rPr>
        <w:t> </w:t>
      </w:r>
      <w:r>
        <w:rPr/>
        <w:t>педагогов о возможных способах решения профессиональных задач. Анализ педагогических средств организации учебной деятельности и психотехник общения позволяет педа- гогу осознать его профессиональные умения и ресурсы, которые он использует во взаимодействии с учеником.</w:t>
      </w:r>
    </w:p>
    <w:p>
      <w:pPr>
        <w:pStyle w:val="BodyText"/>
        <w:spacing w:line="232" w:lineRule="auto" w:before="10"/>
        <w:jc w:val="right"/>
      </w:pPr>
      <w:r>
        <w:rPr/>
        <w:t>Образно говоря, педагог начинает понимать, что он «говорит прозой»: те выска- зывания,</w:t>
      </w:r>
      <w:r>
        <w:rPr>
          <w:spacing w:val="26"/>
        </w:rPr>
        <w:t> </w:t>
      </w:r>
      <w:r>
        <w:rPr/>
        <w:t>которые</w:t>
      </w:r>
      <w:r>
        <w:rPr>
          <w:spacing w:val="26"/>
        </w:rPr>
        <w:t> </w:t>
      </w:r>
      <w:r>
        <w:rPr/>
        <w:t>первоначально</w:t>
      </w:r>
      <w:r>
        <w:rPr>
          <w:spacing w:val="26"/>
        </w:rPr>
        <w:t> </w:t>
      </w:r>
      <w:r>
        <w:rPr/>
        <w:t>воспринимались</w:t>
      </w:r>
      <w:r>
        <w:rPr>
          <w:spacing w:val="26"/>
        </w:rPr>
        <w:t> </w:t>
      </w:r>
      <w:r>
        <w:rPr/>
        <w:t>как</w:t>
      </w:r>
      <w:r>
        <w:rPr>
          <w:spacing w:val="26"/>
        </w:rPr>
        <w:t> </w:t>
      </w:r>
      <w:r>
        <w:rPr/>
        <w:t>бытовые,</w:t>
      </w:r>
      <w:r>
        <w:rPr>
          <w:spacing w:val="26"/>
        </w:rPr>
        <w:t> </w:t>
      </w:r>
      <w:r>
        <w:rPr/>
        <w:t>становятся</w:t>
      </w:r>
      <w:r>
        <w:rPr>
          <w:spacing w:val="26"/>
        </w:rPr>
        <w:t> </w:t>
      </w:r>
      <w:r>
        <w:rPr/>
        <w:t>–</w:t>
      </w:r>
      <w:r>
        <w:rPr>
          <w:spacing w:val="26"/>
        </w:rPr>
        <w:t> </w:t>
      </w:r>
      <w:r>
        <w:rPr/>
        <w:t>пси- хотехническими. Оказывается, педагог использует эмпатические реплики, способы психологической поддержки ученика или устанавливает и удерживает норму взаи- модействия. Такая методическая дифференциация и квалификация разных действий </w:t>
      </w:r>
      <w:r>
        <w:rPr>
          <w:spacing w:val="-2"/>
        </w:rPr>
        <w:t>учителя в ходе учебного процесса позволяет более осознанно использовать имеющие- </w:t>
      </w:r>
      <w:r>
        <w:rPr/>
        <w:t>ся</w:t>
      </w:r>
      <w:r>
        <w:rPr>
          <w:spacing w:val="-12"/>
        </w:rPr>
        <w:t> </w:t>
      </w:r>
      <w:r>
        <w:rPr/>
        <w:t>педагогические</w:t>
      </w:r>
      <w:r>
        <w:rPr>
          <w:spacing w:val="-12"/>
        </w:rPr>
        <w:t> </w:t>
      </w:r>
      <w:r>
        <w:rPr/>
        <w:t>и</w:t>
      </w:r>
      <w:r>
        <w:rPr>
          <w:spacing w:val="-12"/>
        </w:rPr>
        <w:t> </w:t>
      </w:r>
      <w:r>
        <w:rPr/>
        <w:t>психологические</w:t>
      </w:r>
      <w:r>
        <w:rPr>
          <w:spacing w:val="-12"/>
        </w:rPr>
        <w:t> </w:t>
      </w:r>
      <w:r>
        <w:rPr/>
        <w:t>средства</w:t>
      </w:r>
      <w:r>
        <w:rPr>
          <w:spacing w:val="-12"/>
        </w:rPr>
        <w:t> </w:t>
      </w:r>
      <w:r>
        <w:rPr/>
        <w:t>и</w:t>
      </w:r>
      <w:r>
        <w:rPr>
          <w:spacing w:val="-12"/>
        </w:rPr>
        <w:t> </w:t>
      </w:r>
      <w:r>
        <w:rPr/>
        <w:t>совершенствовать</w:t>
      </w:r>
      <w:r>
        <w:rPr>
          <w:spacing w:val="-12"/>
        </w:rPr>
        <w:t> </w:t>
      </w:r>
      <w:r>
        <w:rPr/>
        <w:t>их</w:t>
      </w:r>
      <w:r>
        <w:rPr>
          <w:spacing w:val="-12"/>
        </w:rPr>
        <w:t> </w:t>
      </w:r>
      <w:r>
        <w:rPr/>
        <w:t>в</w:t>
      </w:r>
      <w:r>
        <w:rPr>
          <w:spacing w:val="-12"/>
        </w:rPr>
        <w:t> </w:t>
      </w:r>
      <w:r>
        <w:rPr/>
        <w:t>дальнейшем. Разбор педагогических случаев в формате полифонической супервизии позволяет целенаправленно</w:t>
      </w:r>
      <w:r>
        <w:rPr>
          <w:spacing w:val="-13"/>
        </w:rPr>
        <w:t> </w:t>
      </w:r>
      <w:r>
        <w:rPr/>
        <w:t>совершенствовать</w:t>
      </w:r>
      <w:r>
        <w:rPr>
          <w:spacing w:val="-12"/>
        </w:rPr>
        <w:t> </w:t>
      </w:r>
      <w:r>
        <w:rPr/>
        <w:t>не</w:t>
      </w:r>
      <w:r>
        <w:rPr>
          <w:spacing w:val="-13"/>
        </w:rPr>
        <w:t> </w:t>
      </w:r>
      <w:r>
        <w:rPr/>
        <w:t>только</w:t>
      </w:r>
      <w:r>
        <w:rPr>
          <w:spacing w:val="-12"/>
        </w:rPr>
        <w:t> </w:t>
      </w:r>
      <w:r>
        <w:rPr/>
        <w:t>общие,</w:t>
      </w:r>
      <w:r>
        <w:rPr>
          <w:spacing w:val="-13"/>
        </w:rPr>
        <w:t> </w:t>
      </w:r>
      <w:r>
        <w:rPr/>
        <w:t>но</w:t>
      </w:r>
      <w:r>
        <w:rPr>
          <w:spacing w:val="-12"/>
        </w:rPr>
        <w:t> </w:t>
      </w:r>
      <w:r>
        <w:rPr/>
        <w:t>и</w:t>
      </w:r>
      <w:r>
        <w:rPr>
          <w:spacing w:val="-13"/>
        </w:rPr>
        <w:t> </w:t>
      </w:r>
      <w:r>
        <w:rPr/>
        <w:t>специальные</w:t>
      </w:r>
      <w:r>
        <w:rPr>
          <w:spacing w:val="-12"/>
        </w:rPr>
        <w:t> </w:t>
      </w:r>
      <w:r>
        <w:rPr/>
        <w:t>компетенции </w:t>
      </w:r>
      <w:r>
        <w:rPr>
          <w:spacing w:val="-2"/>
        </w:rPr>
        <w:t>педагогов, например для совершенствования межкультурной компетентности педаго- </w:t>
      </w:r>
      <w:r>
        <w:rPr/>
        <w:t>гов</w:t>
      </w:r>
      <w:r>
        <w:rPr>
          <w:spacing w:val="-14"/>
        </w:rPr>
        <w:t> </w:t>
      </w:r>
      <w:r>
        <w:rPr/>
        <w:t>в</w:t>
      </w:r>
      <w:r>
        <w:rPr>
          <w:spacing w:val="-11"/>
        </w:rPr>
        <w:t> </w:t>
      </w:r>
      <w:r>
        <w:rPr/>
        <w:t>качестве</w:t>
      </w:r>
      <w:r>
        <w:rPr>
          <w:spacing w:val="-12"/>
        </w:rPr>
        <w:t> </w:t>
      </w:r>
      <w:r>
        <w:rPr/>
        <w:t>ведущих</w:t>
      </w:r>
      <w:r>
        <w:rPr>
          <w:spacing w:val="-11"/>
        </w:rPr>
        <w:t> </w:t>
      </w:r>
      <w:r>
        <w:rPr/>
        <w:t>группы</w:t>
      </w:r>
      <w:r>
        <w:rPr>
          <w:spacing w:val="-12"/>
        </w:rPr>
        <w:t> </w:t>
      </w:r>
      <w:r>
        <w:rPr/>
        <w:t>можно</w:t>
      </w:r>
      <w:r>
        <w:rPr>
          <w:spacing w:val="-11"/>
        </w:rPr>
        <w:t> </w:t>
      </w:r>
      <w:r>
        <w:rPr/>
        <w:t>приглашать</w:t>
      </w:r>
      <w:r>
        <w:rPr>
          <w:spacing w:val="-12"/>
        </w:rPr>
        <w:t> </w:t>
      </w:r>
      <w:r>
        <w:rPr/>
        <w:t>специалистов</w:t>
      </w:r>
      <w:r>
        <w:rPr>
          <w:spacing w:val="-11"/>
        </w:rPr>
        <w:t> </w:t>
      </w:r>
      <w:r>
        <w:rPr/>
        <w:t>в</w:t>
      </w:r>
      <w:r>
        <w:rPr>
          <w:spacing w:val="-12"/>
        </w:rPr>
        <w:t> </w:t>
      </w:r>
      <w:r>
        <w:rPr/>
        <w:t>области</w:t>
      </w:r>
      <w:r>
        <w:rPr>
          <w:spacing w:val="-11"/>
        </w:rPr>
        <w:t> </w:t>
      </w:r>
      <w:r>
        <w:rPr>
          <w:spacing w:val="-2"/>
        </w:rPr>
        <w:t>поликуль-</w:t>
      </w:r>
    </w:p>
    <w:p>
      <w:pPr>
        <w:pStyle w:val="BodyText"/>
        <w:spacing w:line="213" w:lineRule="exact"/>
        <w:ind w:right="0" w:firstLine="0"/>
      </w:pPr>
      <w:r>
        <w:rPr/>
        <w:t>турного</w:t>
      </w:r>
      <w:r>
        <w:rPr>
          <w:spacing w:val="-12"/>
        </w:rPr>
        <w:t> </w:t>
      </w:r>
      <w:r>
        <w:rPr>
          <w:spacing w:val="-2"/>
        </w:rPr>
        <w:t>образования.</w:t>
      </w:r>
    </w:p>
    <w:p>
      <w:pPr>
        <w:pStyle w:val="ListParagraph"/>
        <w:numPr>
          <w:ilvl w:val="0"/>
          <w:numId w:val="228"/>
        </w:numPr>
        <w:tabs>
          <w:tab w:pos="652" w:val="left" w:leader="none"/>
        </w:tabs>
        <w:spacing w:line="235" w:lineRule="auto" w:before="0" w:after="0"/>
        <w:ind w:left="141" w:right="139" w:firstLine="283"/>
        <w:jc w:val="both"/>
        <w:rPr>
          <w:i/>
          <w:sz w:val="20"/>
        </w:rPr>
      </w:pPr>
      <w:r>
        <w:rPr>
          <w:i/>
          <w:sz w:val="20"/>
        </w:rPr>
        <w:t>Практика позволяет организовать взаимодействие в зоне ближайшего про- фессионального развития педагога</w:t>
      </w:r>
      <w:r>
        <w:rPr>
          <w:sz w:val="20"/>
        </w:rPr>
        <w:t>.</w:t>
      </w:r>
    </w:p>
    <w:p>
      <w:pPr>
        <w:pStyle w:val="BodyText"/>
        <w:spacing w:line="235" w:lineRule="auto"/>
      </w:pPr>
      <w:r>
        <w:rPr/>
        <w:t>В ходе группового разбора педагогического случая, связанного с адаптацией ре- бенка,</w:t>
      </w:r>
      <w:r>
        <w:rPr>
          <w:spacing w:val="-2"/>
        </w:rPr>
        <w:t> </w:t>
      </w:r>
      <w:r>
        <w:rPr/>
        <w:t>создаются</w:t>
      </w:r>
      <w:r>
        <w:rPr>
          <w:spacing w:val="-2"/>
        </w:rPr>
        <w:t> </w:t>
      </w:r>
      <w:r>
        <w:rPr/>
        <w:t>условия,</w:t>
      </w:r>
      <w:r>
        <w:rPr>
          <w:spacing w:val="-2"/>
        </w:rPr>
        <w:t> </w:t>
      </w:r>
      <w:r>
        <w:rPr/>
        <w:t>способствующие</w:t>
      </w:r>
      <w:r>
        <w:rPr>
          <w:spacing w:val="-2"/>
        </w:rPr>
        <w:t> </w:t>
      </w:r>
      <w:r>
        <w:rPr/>
        <w:t>личностному</w:t>
      </w:r>
      <w:r>
        <w:rPr>
          <w:spacing w:val="-2"/>
        </w:rPr>
        <w:t> </w:t>
      </w:r>
      <w:r>
        <w:rPr/>
        <w:t>и</w:t>
      </w:r>
      <w:r>
        <w:rPr>
          <w:spacing w:val="-2"/>
        </w:rPr>
        <w:t> </w:t>
      </w:r>
      <w:r>
        <w:rPr/>
        <w:t>профессиональному</w:t>
      </w:r>
      <w:r>
        <w:rPr>
          <w:spacing w:val="-2"/>
        </w:rPr>
        <w:t> </w:t>
      </w:r>
      <w:r>
        <w:rPr/>
        <w:t>раз- витию специалиста. Кроме того,</w:t>
      </w:r>
    </w:p>
    <w:p>
      <w:pPr>
        <w:pStyle w:val="BodyText"/>
        <w:spacing w:after="0" w:line="235" w:lineRule="auto"/>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pStyle w:val="ListParagraph"/>
        <w:numPr>
          <w:ilvl w:val="0"/>
          <w:numId w:val="242"/>
        </w:numPr>
        <w:tabs>
          <w:tab w:pos="423" w:val="left" w:leader="none"/>
          <w:tab w:pos="425" w:val="left" w:leader="none"/>
        </w:tabs>
        <w:spacing w:line="235" w:lineRule="auto" w:before="116" w:after="0"/>
        <w:ind w:left="425" w:right="139" w:hanging="284"/>
        <w:jc w:val="both"/>
        <w:rPr>
          <w:sz w:val="20"/>
        </w:rPr>
      </w:pPr>
      <w:r>
        <w:rPr>
          <w:sz w:val="20"/>
        </w:rPr>
        <w:t>создаются</w:t>
      </w:r>
      <w:r>
        <w:rPr>
          <w:spacing w:val="-2"/>
          <w:sz w:val="20"/>
        </w:rPr>
        <w:t> </w:t>
      </w:r>
      <w:r>
        <w:rPr>
          <w:sz w:val="20"/>
        </w:rPr>
        <w:t>условия</w:t>
      </w:r>
      <w:r>
        <w:rPr>
          <w:spacing w:val="-2"/>
          <w:sz w:val="20"/>
        </w:rPr>
        <w:t> </w:t>
      </w:r>
      <w:r>
        <w:rPr>
          <w:sz w:val="20"/>
        </w:rPr>
        <w:t>для</w:t>
      </w:r>
      <w:r>
        <w:rPr>
          <w:spacing w:val="-2"/>
          <w:sz w:val="20"/>
        </w:rPr>
        <w:t> </w:t>
      </w:r>
      <w:r>
        <w:rPr>
          <w:sz w:val="20"/>
        </w:rPr>
        <w:t>интериоризации</w:t>
      </w:r>
      <w:r>
        <w:rPr>
          <w:spacing w:val="-2"/>
          <w:sz w:val="20"/>
        </w:rPr>
        <w:t> </w:t>
      </w:r>
      <w:r>
        <w:rPr>
          <w:sz w:val="20"/>
        </w:rPr>
        <w:t>профессиональный</w:t>
      </w:r>
      <w:r>
        <w:rPr>
          <w:spacing w:val="-2"/>
          <w:sz w:val="20"/>
        </w:rPr>
        <w:t> </w:t>
      </w:r>
      <w:r>
        <w:rPr>
          <w:sz w:val="20"/>
        </w:rPr>
        <w:t>умений</w:t>
      </w:r>
      <w:r>
        <w:rPr>
          <w:spacing w:val="-2"/>
          <w:sz w:val="20"/>
        </w:rPr>
        <w:t> </w:t>
      </w:r>
      <w:r>
        <w:rPr>
          <w:sz w:val="20"/>
        </w:rPr>
        <w:t>и</w:t>
      </w:r>
      <w:r>
        <w:rPr>
          <w:spacing w:val="-2"/>
          <w:sz w:val="20"/>
        </w:rPr>
        <w:t> </w:t>
      </w:r>
      <w:r>
        <w:rPr>
          <w:sz w:val="20"/>
        </w:rPr>
        <w:t>профессио- нально-личностной позиции. Можно выделить следующие условия:</w:t>
      </w:r>
    </w:p>
    <w:p>
      <w:pPr>
        <w:pStyle w:val="ListParagraph"/>
        <w:numPr>
          <w:ilvl w:val="0"/>
          <w:numId w:val="242"/>
        </w:numPr>
        <w:tabs>
          <w:tab w:pos="423" w:val="left" w:leader="none"/>
          <w:tab w:pos="425" w:val="left" w:leader="none"/>
        </w:tabs>
        <w:spacing w:line="235" w:lineRule="auto" w:before="1" w:after="0"/>
        <w:ind w:left="425" w:right="139" w:hanging="284"/>
        <w:jc w:val="both"/>
        <w:rPr>
          <w:sz w:val="20"/>
        </w:rPr>
      </w:pPr>
      <w:r>
        <w:rPr>
          <w:sz w:val="20"/>
        </w:rPr>
        <w:t>личностное развитие педагога за счет стимулирования навыков осознанности и самонаблюдения в профессиональной деятельности;</w:t>
      </w:r>
    </w:p>
    <w:p>
      <w:pPr>
        <w:pStyle w:val="ListParagraph"/>
        <w:numPr>
          <w:ilvl w:val="0"/>
          <w:numId w:val="242"/>
        </w:numPr>
        <w:tabs>
          <w:tab w:pos="423" w:val="left" w:leader="none"/>
          <w:tab w:pos="425" w:val="left" w:leader="none"/>
        </w:tabs>
        <w:spacing w:line="235" w:lineRule="auto" w:before="1" w:after="0"/>
        <w:ind w:left="425" w:right="139" w:hanging="284"/>
        <w:jc w:val="both"/>
        <w:rPr>
          <w:sz w:val="20"/>
        </w:rPr>
      </w:pPr>
      <w:r>
        <w:rPr>
          <w:sz w:val="20"/>
        </w:rPr>
        <w:t>обмен</w:t>
      </w:r>
      <w:r>
        <w:rPr>
          <w:spacing w:val="-5"/>
          <w:sz w:val="20"/>
        </w:rPr>
        <w:t> </w:t>
      </w:r>
      <w:r>
        <w:rPr>
          <w:sz w:val="20"/>
        </w:rPr>
        <w:t>опытом</w:t>
      </w:r>
      <w:r>
        <w:rPr>
          <w:spacing w:val="-4"/>
          <w:sz w:val="20"/>
        </w:rPr>
        <w:t> </w:t>
      </w:r>
      <w:r>
        <w:rPr>
          <w:sz w:val="20"/>
        </w:rPr>
        <w:t>использования</w:t>
      </w:r>
      <w:r>
        <w:rPr>
          <w:spacing w:val="-4"/>
          <w:sz w:val="20"/>
        </w:rPr>
        <w:t> </w:t>
      </w:r>
      <w:r>
        <w:rPr>
          <w:sz w:val="20"/>
        </w:rPr>
        <w:t>педагогических</w:t>
      </w:r>
      <w:r>
        <w:rPr>
          <w:spacing w:val="-4"/>
          <w:sz w:val="20"/>
        </w:rPr>
        <w:t> </w:t>
      </w:r>
      <w:r>
        <w:rPr>
          <w:sz w:val="20"/>
        </w:rPr>
        <w:t>средств,</w:t>
      </w:r>
      <w:r>
        <w:rPr>
          <w:spacing w:val="-4"/>
          <w:sz w:val="20"/>
        </w:rPr>
        <w:t> </w:t>
      </w:r>
      <w:r>
        <w:rPr>
          <w:sz w:val="20"/>
        </w:rPr>
        <w:t>методов,</w:t>
      </w:r>
      <w:r>
        <w:rPr>
          <w:spacing w:val="-4"/>
          <w:sz w:val="20"/>
        </w:rPr>
        <w:t> </w:t>
      </w:r>
      <w:r>
        <w:rPr>
          <w:sz w:val="20"/>
        </w:rPr>
        <w:t>технологий,</w:t>
      </w:r>
      <w:r>
        <w:rPr>
          <w:spacing w:val="-4"/>
          <w:sz w:val="20"/>
        </w:rPr>
        <w:t> </w:t>
      </w:r>
      <w:r>
        <w:rPr>
          <w:sz w:val="20"/>
        </w:rPr>
        <w:t>спо- собствующих</w:t>
      </w:r>
      <w:r>
        <w:rPr>
          <w:spacing w:val="-5"/>
          <w:sz w:val="20"/>
        </w:rPr>
        <w:t> </w:t>
      </w:r>
      <w:r>
        <w:rPr>
          <w:sz w:val="20"/>
        </w:rPr>
        <w:t>решению</w:t>
      </w:r>
      <w:r>
        <w:rPr>
          <w:spacing w:val="-5"/>
          <w:sz w:val="20"/>
        </w:rPr>
        <w:t> </w:t>
      </w:r>
      <w:r>
        <w:rPr>
          <w:sz w:val="20"/>
        </w:rPr>
        <w:t>проблем</w:t>
      </w:r>
      <w:r>
        <w:rPr>
          <w:spacing w:val="-5"/>
          <w:sz w:val="20"/>
        </w:rPr>
        <w:t> </w:t>
      </w:r>
      <w:r>
        <w:rPr>
          <w:sz w:val="20"/>
        </w:rPr>
        <w:t>адаптации,</w:t>
      </w:r>
      <w:r>
        <w:rPr>
          <w:spacing w:val="-5"/>
          <w:sz w:val="20"/>
        </w:rPr>
        <w:t> </w:t>
      </w:r>
      <w:r>
        <w:rPr>
          <w:sz w:val="20"/>
        </w:rPr>
        <w:t>обнаружение</w:t>
      </w:r>
      <w:r>
        <w:rPr>
          <w:spacing w:val="-5"/>
          <w:sz w:val="20"/>
        </w:rPr>
        <w:t> </w:t>
      </w:r>
      <w:r>
        <w:rPr>
          <w:sz w:val="20"/>
        </w:rPr>
        <w:t>собственных</w:t>
      </w:r>
      <w:r>
        <w:rPr>
          <w:spacing w:val="-5"/>
          <w:sz w:val="20"/>
        </w:rPr>
        <w:t> </w:t>
      </w:r>
      <w:r>
        <w:rPr>
          <w:sz w:val="20"/>
        </w:rPr>
        <w:t>неосозна- ваемых ограничивающих установок в деятельности и отношениях;</w:t>
      </w:r>
    </w:p>
    <w:p>
      <w:pPr>
        <w:pStyle w:val="ListParagraph"/>
        <w:numPr>
          <w:ilvl w:val="0"/>
          <w:numId w:val="242"/>
        </w:numPr>
        <w:tabs>
          <w:tab w:pos="423" w:val="left" w:leader="none"/>
          <w:tab w:pos="425" w:val="left" w:leader="none"/>
        </w:tabs>
        <w:spacing w:line="235" w:lineRule="auto" w:before="2" w:after="0"/>
        <w:ind w:left="425" w:right="139" w:hanging="284"/>
        <w:jc w:val="both"/>
        <w:rPr>
          <w:sz w:val="20"/>
        </w:rPr>
      </w:pPr>
      <w:r>
        <w:rPr>
          <w:sz w:val="20"/>
        </w:rPr>
        <w:t>возможность</w:t>
      </w:r>
      <w:r>
        <w:rPr>
          <w:spacing w:val="-8"/>
          <w:sz w:val="20"/>
        </w:rPr>
        <w:t> </w:t>
      </w:r>
      <w:r>
        <w:rPr>
          <w:sz w:val="20"/>
        </w:rPr>
        <w:t>участвовать</w:t>
      </w:r>
      <w:r>
        <w:rPr>
          <w:spacing w:val="-8"/>
          <w:sz w:val="20"/>
        </w:rPr>
        <w:t> </w:t>
      </w:r>
      <w:r>
        <w:rPr>
          <w:sz w:val="20"/>
        </w:rPr>
        <w:t>в</w:t>
      </w:r>
      <w:r>
        <w:rPr>
          <w:spacing w:val="-8"/>
          <w:sz w:val="20"/>
        </w:rPr>
        <w:t> </w:t>
      </w:r>
      <w:r>
        <w:rPr>
          <w:sz w:val="20"/>
        </w:rPr>
        <w:t>продуктивной</w:t>
      </w:r>
      <w:r>
        <w:rPr>
          <w:spacing w:val="-8"/>
          <w:sz w:val="20"/>
        </w:rPr>
        <w:t> </w:t>
      </w:r>
      <w:r>
        <w:rPr>
          <w:sz w:val="20"/>
        </w:rPr>
        <w:t>совместной</w:t>
      </w:r>
      <w:r>
        <w:rPr>
          <w:spacing w:val="-8"/>
          <w:sz w:val="20"/>
        </w:rPr>
        <w:t> </w:t>
      </w:r>
      <w:r>
        <w:rPr>
          <w:sz w:val="20"/>
        </w:rPr>
        <w:t>рефлексии</w:t>
      </w:r>
      <w:r>
        <w:rPr>
          <w:spacing w:val="-8"/>
          <w:sz w:val="20"/>
        </w:rPr>
        <w:t> </w:t>
      </w:r>
      <w:r>
        <w:rPr>
          <w:sz w:val="20"/>
        </w:rPr>
        <w:t>на</w:t>
      </w:r>
      <w:r>
        <w:rPr>
          <w:spacing w:val="-8"/>
          <w:sz w:val="20"/>
        </w:rPr>
        <w:t> </w:t>
      </w:r>
      <w:r>
        <w:rPr>
          <w:sz w:val="20"/>
        </w:rPr>
        <w:t>уровне</w:t>
      </w:r>
      <w:r>
        <w:rPr>
          <w:spacing w:val="-8"/>
          <w:sz w:val="20"/>
        </w:rPr>
        <w:t> </w:t>
      </w:r>
      <w:r>
        <w:rPr>
          <w:sz w:val="20"/>
        </w:rPr>
        <w:t>своих способностей,</w:t>
      </w:r>
      <w:r>
        <w:rPr>
          <w:spacing w:val="-6"/>
          <w:sz w:val="20"/>
        </w:rPr>
        <w:t> </w:t>
      </w:r>
      <w:r>
        <w:rPr>
          <w:sz w:val="20"/>
        </w:rPr>
        <w:t>возможность</w:t>
      </w:r>
      <w:r>
        <w:rPr>
          <w:spacing w:val="-6"/>
          <w:sz w:val="20"/>
        </w:rPr>
        <w:t> </w:t>
      </w:r>
      <w:r>
        <w:rPr>
          <w:sz w:val="20"/>
        </w:rPr>
        <w:t>получать</w:t>
      </w:r>
      <w:r>
        <w:rPr>
          <w:spacing w:val="-6"/>
          <w:sz w:val="20"/>
        </w:rPr>
        <w:t> </w:t>
      </w:r>
      <w:r>
        <w:rPr>
          <w:sz w:val="20"/>
        </w:rPr>
        <w:t>от</w:t>
      </w:r>
      <w:r>
        <w:rPr>
          <w:spacing w:val="-6"/>
          <w:sz w:val="20"/>
        </w:rPr>
        <w:t> </w:t>
      </w:r>
      <w:r>
        <w:rPr>
          <w:sz w:val="20"/>
        </w:rPr>
        <w:t>группы</w:t>
      </w:r>
      <w:r>
        <w:rPr>
          <w:spacing w:val="-6"/>
          <w:sz w:val="20"/>
        </w:rPr>
        <w:t> </w:t>
      </w:r>
      <w:r>
        <w:rPr>
          <w:sz w:val="20"/>
        </w:rPr>
        <w:t>коллег</w:t>
      </w:r>
      <w:r>
        <w:rPr>
          <w:spacing w:val="-6"/>
          <w:sz w:val="20"/>
        </w:rPr>
        <w:t> </w:t>
      </w:r>
      <w:r>
        <w:rPr>
          <w:sz w:val="20"/>
        </w:rPr>
        <w:t>необходимый</w:t>
      </w:r>
      <w:r>
        <w:rPr>
          <w:spacing w:val="-6"/>
          <w:sz w:val="20"/>
        </w:rPr>
        <w:t> </w:t>
      </w:r>
      <w:r>
        <w:rPr>
          <w:sz w:val="20"/>
        </w:rPr>
        <w:t>и</w:t>
      </w:r>
      <w:r>
        <w:rPr>
          <w:spacing w:val="-6"/>
          <w:sz w:val="20"/>
        </w:rPr>
        <w:t> </w:t>
      </w:r>
      <w:r>
        <w:rPr>
          <w:sz w:val="20"/>
        </w:rPr>
        <w:t>достаточ- ный уровень помощи в преодолении профессиональных затруднений;</w:t>
      </w:r>
    </w:p>
    <w:p>
      <w:pPr>
        <w:pStyle w:val="ListParagraph"/>
        <w:numPr>
          <w:ilvl w:val="0"/>
          <w:numId w:val="242"/>
        </w:numPr>
        <w:tabs>
          <w:tab w:pos="423" w:val="left" w:leader="none"/>
          <w:tab w:pos="425" w:val="left" w:leader="none"/>
        </w:tabs>
        <w:spacing w:line="235" w:lineRule="auto" w:before="2" w:after="0"/>
        <w:ind w:left="425" w:right="140" w:hanging="284"/>
        <w:jc w:val="both"/>
        <w:rPr>
          <w:sz w:val="20"/>
        </w:rPr>
      </w:pPr>
      <w:r>
        <w:rPr>
          <w:sz w:val="20"/>
        </w:rPr>
        <w:t>в ходе группового решения трудных задач участник получает позитивный опыт совместности – создается творческая образовательная среда.</w:t>
      </w:r>
    </w:p>
    <w:p>
      <w:pPr>
        <w:pStyle w:val="ListParagraph"/>
        <w:numPr>
          <w:ilvl w:val="0"/>
          <w:numId w:val="228"/>
        </w:numPr>
        <w:tabs>
          <w:tab w:pos="625" w:val="left" w:leader="none"/>
        </w:tabs>
        <w:spacing w:line="225" w:lineRule="exact" w:before="0" w:after="0"/>
        <w:ind w:left="625" w:right="0" w:hanging="200"/>
        <w:jc w:val="both"/>
        <w:rPr>
          <w:i/>
          <w:sz w:val="20"/>
        </w:rPr>
      </w:pPr>
      <w:r>
        <w:rPr>
          <w:i/>
          <w:sz w:val="20"/>
        </w:rPr>
        <w:t>Экспириентальность</w:t>
      </w:r>
      <w:r>
        <w:rPr>
          <w:i/>
          <w:spacing w:val="-12"/>
          <w:sz w:val="20"/>
        </w:rPr>
        <w:t> </w:t>
      </w:r>
      <w:r>
        <w:rPr>
          <w:i/>
          <w:sz w:val="20"/>
        </w:rPr>
        <w:t>практики</w:t>
      </w:r>
      <w:r>
        <w:rPr>
          <w:i/>
          <w:spacing w:val="-10"/>
          <w:sz w:val="20"/>
        </w:rPr>
        <w:t> </w:t>
      </w:r>
      <w:r>
        <w:rPr>
          <w:i/>
          <w:sz w:val="20"/>
        </w:rPr>
        <w:t>разбора</w:t>
      </w:r>
      <w:r>
        <w:rPr>
          <w:i/>
          <w:spacing w:val="-11"/>
          <w:sz w:val="20"/>
        </w:rPr>
        <w:t> </w:t>
      </w:r>
      <w:r>
        <w:rPr>
          <w:i/>
          <w:sz w:val="20"/>
        </w:rPr>
        <w:t>педагогического</w:t>
      </w:r>
      <w:r>
        <w:rPr>
          <w:i/>
          <w:spacing w:val="-10"/>
          <w:sz w:val="20"/>
        </w:rPr>
        <w:t> </w:t>
      </w:r>
      <w:r>
        <w:rPr>
          <w:i/>
          <w:spacing w:val="-2"/>
          <w:sz w:val="20"/>
        </w:rPr>
        <w:t>случая.</w:t>
      </w:r>
    </w:p>
    <w:p>
      <w:pPr>
        <w:pStyle w:val="BodyText"/>
        <w:spacing w:line="235" w:lineRule="auto" w:before="2"/>
      </w:pPr>
      <w:r>
        <w:rPr/>
        <w:t>Практика</w:t>
      </w:r>
      <w:r>
        <w:rPr>
          <w:spacing w:val="40"/>
        </w:rPr>
        <w:t> </w:t>
      </w:r>
      <w:r>
        <w:rPr/>
        <w:t>ориентирована</w:t>
      </w:r>
      <w:r>
        <w:rPr>
          <w:spacing w:val="40"/>
        </w:rPr>
        <w:t> </w:t>
      </w:r>
      <w:r>
        <w:rPr/>
        <w:t>на</w:t>
      </w:r>
      <w:r>
        <w:rPr>
          <w:spacing w:val="40"/>
        </w:rPr>
        <w:t> </w:t>
      </w:r>
      <w:r>
        <w:rPr/>
        <w:t>актуализацию</w:t>
      </w:r>
      <w:r>
        <w:rPr>
          <w:spacing w:val="40"/>
        </w:rPr>
        <w:t> </w:t>
      </w:r>
      <w:r>
        <w:rPr/>
        <w:t>опыта</w:t>
      </w:r>
      <w:r>
        <w:rPr>
          <w:spacing w:val="40"/>
        </w:rPr>
        <w:t> </w:t>
      </w:r>
      <w:r>
        <w:rPr/>
        <w:t>группового</w:t>
      </w:r>
      <w:r>
        <w:rPr>
          <w:spacing w:val="40"/>
        </w:rPr>
        <w:t> </w:t>
      </w:r>
      <w:r>
        <w:rPr/>
        <w:t>переживания</w:t>
      </w:r>
      <w:r>
        <w:rPr>
          <w:spacing w:val="40"/>
        </w:rPr>
        <w:t> </w:t>
      </w:r>
      <w:r>
        <w:rPr/>
        <w:t>и со-переживания.</w:t>
      </w:r>
      <w:r>
        <w:rPr>
          <w:spacing w:val="-13"/>
        </w:rPr>
        <w:t> </w:t>
      </w:r>
      <w:r>
        <w:rPr/>
        <w:t>Существует</w:t>
      </w:r>
      <w:r>
        <w:rPr>
          <w:spacing w:val="-12"/>
        </w:rPr>
        <w:t> </w:t>
      </w:r>
      <w:r>
        <w:rPr/>
        <w:t>направление</w:t>
      </w:r>
      <w:r>
        <w:rPr>
          <w:spacing w:val="-13"/>
        </w:rPr>
        <w:t> </w:t>
      </w:r>
      <w:r>
        <w:rPr/>
        <w:t>педагогики,</w:t>
      </w:r>
      <w:r>
        <w:rPr>
          <w:spacing w:val="-12"/>
        </w:rPr>
        <w:t> </w:t>
      </w:r>
      <w:r>
        <w:rPr/>
        <w:t>где</w:t>
      </w:r>
      <w:r>
        <w:rPr>
          <w:spacing w:val="-13"/>
        </w:rPr>
        <w:t> </w:t>
      </w:r>
      <w:r>
        <w:rPr/>
        <w:t>научение</w:t>
      </w:r>
      <w:r>
        <w:rPr>
          <w:spacing w:val="-12"/>
        </w:rPr>
        <w:t> </w:t>
      </w:r>
      <w:r>
        <w:rPr/>
        <w:t>рассматривается как</w:t>
      </w:r>
      <w:r>
        <w:rPr>
          <w:spacing w:val="-13"/>
        </w:rPr>
        <w:t> </w:t>
      </w:r>
      <w:r>
        <w:rPr/>
        <w:t>результат</w:t>
      </w:r>
      <w:r>
        <w:rPr>
          <w:spacing w:val="-12"/>
        </w:rPr>
        <w:t> </w:t>
      </w:r>
      <w:r>
        <w:rPr/>
        <w:t>переживания</w:t>
      </w:r>
      <w:r>
        <w:rPr>
          <w:spacing w:val="-13"/>
        </w:rPr>
        <w:t> </w:t>
      </w:r>
      <w:r>
        <w:rPr/>
        <w:t>(У.</w:t>
      </w:r>
      <w:r>
        <w:rPr>
          <w:spacing w:val="-12"/>
        </w:rPr>
        <w:t> </w:t>
      </w:r>
      <w:r>
        <w:rPr/>
        <w:t>Бион,</w:t>
      </w:r>
      <w:r>
        <w:rPr>
          <w:spacing w:val="-13"/>
        </w:rPr>
        <w:t> </w:t>
      </w:r>
      <w:r>
        <w:rPr/>
        <w:t>Д.</w:t>
      </w:r>
      <w:r>
        <w:rPr>
          <w:spacing w:val="-12"/>
        </w:rPr>
        <w:t> </w:t>
      </w:r>
      <w:r>
        <w:rPr/>
        <w:t>Колб,</w:t>
      </w:r>
      <w:r>
        <w:rPr>
          <w:spacing w:val="-13"/>
        </w:rPr>
        <w:t> </w:t>
      </w:r>
      <w:r>
        <w:rPr/>
        <w:t>W.</w:t>
      </w:r>
      <w:r>
        <w:rPr>
          <w:spacing w:val="-12"/>
        </w:rPr>
        <w:t> </w:t>
      </w:r>
      <w:r>
        <w:rPr/>
        <w:t>Pfeifer,</w:t>
      </w:r>
      <w:r>
        <w:rPr>
          <w:spacing w:val="-13"/>
        </w:rPr>
        <w:t> </w:t>
      </w:r>
      <w:r>
        <w:rPr/>
        <w:t>J.</w:t>
      </w:r>
      <w:r>
        <w:rPr>
          <w:spacing w:val="-12"/>
        </w:rPr>
        <w:t> </w:t>
      </w:r>
      <w:r>
        <w:rPr/>
        <w:t>Jones</w:t>
      </w:r>
      <w:r>
        <w:rPr>
          <w:spacing w:val="-13"/>
        </w:rPr>
        <w:t> </w:t>
      </w:r>
      <w:r>
        <w:rPr/>
        <w:t>и</w:t>
      </w:r>
      <w:r>
        <w:rPr>
          <w:spacing w:val="-12"/>
        </w:rPr>
        <w:t> </w:t>
      </w:r>
      <w:r>
        <w:rPr/>
        <w:t>др.).</w:t>
      </w:r>
      <w:r>
        <w:rPr>
          <w:spacing w:val="-13"/>
        </w:rPr>
        <w:t> </w:t>
      </w:r>
      <w:r>
        <w:rPr/>
        <w:t>Опыт</w:t>
      </w:r>
      <w:r>
        <w:rPr>
          <w:spacing w:val="-12"/>
        </w:rPr>
        <w:t> </w:t>
      </w:r>
      <w:r>
        <w:rPr/>
        <w:t>как</w:t>
      </w:r>
      <w:r>
        <w:rPr>
          <w:spacing w:val="-13"/>
        </w:rPr>
        <w:t> </w:t>
      </w:r>
      <w:r>
        <w:rPr/>
        <w:t>клю- чевой материал обучения оказывается ключевым и в обучении взрослых. Особенно важен данный подход в процессе анализа отношений. Отношения – это реальность, данная через опыт переживания и со-переживания.</w:t>
      </w:r>
    </w:p>
    <w:p>
      <w:pPr>
        <w:pStyle w:val="BodyText"/>
        <w:spacing w:line="235" w:lineRule="auto" w:before="3"/>
      </w:pPr>
      <w:r>
        <w:rPr/>
        <w:t>В описываемой практике используются психоаналитические и экспириенталь- ные подходы к актуализации группового переживания как камертона эмоциональ- но-смысловых процессов в переживании трудной ситуации взаимодействия.</w:t>
      </w:r>
    </w:p>
    <w:p>
      <w:pPr>
        <w:pStyle w:val="BodyText"/>
        <w:spacing w:line="235" w:lineRule="auto" w:before="2"/>
      </w:pPr>
      <w:r>
        <w:rPr/>
        <w:t>В супервизорской группе есть важное правило: запрет на экспертную позицию. Это</w:t>
      </w:r>
      <w:r>
        <w:rPr>
          <w:spacing w:val="-10"/>
        </w:rPr>
        <w:t> </w:t>
      </w:r>
      <w:r>
        <w:rPr/>
        <w:t>правило</w:t>
      </w:r>
      <w:r>
        <w:rPr>
          <w:spacing w:val="-10"/>
        </w:rPr>
        <w:t> </w:t>
      </w:r>
      <w:r>
        <w:rPr/>
        <w:t>не</w:t>
      </w:r>
      <w:r>
        <w:rPr>
          <w:spacing w:val="-10"/>
        </w:rPr>
        <w:t> </w:t>
      </w:r>
      <w:r>
        <w:rPr/>
        <w:t>позволяет</w:t>
      </w:r>
      <w:r>
        <w:rPr>
          <w:spacing w:val="-10"/>
        </w:rPr>
        <w:t> </w:t>
      </w:r>
      <w:r>
        <w:rPr/>
        <w:t>участникам</w:t>
      </w:r>
      <w:r>
        <w:rPr>
          <w:spacing w:val="-10"/>
        </w:rPr>
        <w:t> </w:t>
      </w:r>
      <w:r>
        <w:rPr/>
        <w:t>использовать</w:t>
      </w:r>
      <w:r>
        <w:rPr>
          <w:spacing w:val="-10"/>
        </w:rPr>
        <w:t> </w:t>
      </w:r>
      <w:r>
        <w:rPr/>
        <w:t>то,</w:t>
      </w:r>
      <w:r>
        <w:rPr>
          <w:spacing w:val="-10"/>
        </w:rPr>
        <w:t> </w:t>
      </w:r>
      <w:r>
        <w:rPr/>
        <w:t>что</w:t>
      </w:r>
      <w:r>
        <w:rPr>
          <w:spacing w:val="-10"/>
        </w:rPr>
        <w:t> </w:t>
      </w:r>
      <w:r>
        <w:rPr/>
        <w:t>может</w:t>
      </w:r>
      <w:r>
        <w:rPr>
          <w:spacing w:val="-10"/>
        </w:rPr>
        <w:t> </w:t>
      </w:r>
      <w:r>
        <w:rPr/>
        <w:t>вызвать</w:t>
      </w:r>
      <w:r>
        <w:rPr>
          <w:spacing w:val="-10"/>
        </w:rPr>
        <w:t> </w:t>
      </w:r>
      <w:r>
        <w:rPr/>
        <w:t>ощущение разного профессионального статуса участников: профессиональная терминология, советы, оценки, критические высказывания в адрес представляемого фрагмента ра- боты другого профессионала. Какими бы профессиональными регалиями мы ни об- ладали,</w:t>
      </w:r>
      <w:r>
        <w:rPr>
          <w:spacing w:val="-4"/>
        </w:rPr>
        <w:t> </w:t>
      </w:r>
      <w:r>
        <w:rPr/>
        <w:t>они</w:t>
      </w:r>
      <w:r>
        <w:rPr>
          <w:spacing w:val="-4"/>
        </w:rPr>
        <w:t> </w:t>
      </w:r>
      <w:r>
        <w:rPr/>
        <w:t>оказываются</w:t>
      </w:r>
      <w:r>
        <w:rPr>
          <w:spacing w:val="-4"/>
        </w:rPr>
        <w:t> </w:t>
      </w:r>
      <w:r>
        <w:rPr/>
        <w:t>бесполезными</w:t>
      </w:r>
      <w:r>
        <w:rPr>
          <w:spacing w:val="-4"/>
        </w:rPr>
        <w:t> </w:t>
      </w:r>
      <w:r>
        <w:rPr/>
        <w:t>в</w:t>
      </w:r>
      <w:r>
        <w:rPr>
          <w:spacing w:val="-4"/>
        </w:rPr>
        <w:t> </w:t>
      </w:r>
      <w:r>
        <w:rPr/>
        <w:t>пространстве</w:t>
      </w:r>
      <w:r>
        <w:rPr>
          <w:spacing w:val="-4"/>
        </w:rPr>
        <w:t> </w:t>
      </w:r>
      <w:r>
        <w:rPr/>
        <w:t>отношений,</w:t>
      </w:r>
      <w:r>
        <w:rPr>
          <w:spacing w:val="-4"/>
        </w:rPr>
        <w:t> </w:t>
      </w:r>
      <w:r>
        <w:rPr/>
        <w:t>где</w:t>
      </w:r>
      <w:r>
        <w:rPr>
          <w:spacing w:val="-4"/>
        </w:rPr>
        <w:t> </w:t>
      </w:r>
      <w:r>
        <w:rPr/>
        <w:t>встречаются два</w:t>
      </w:r>
      <w:r>
        <w:rPr>
          <w:spacing w:val="-13"/>
        </w:rPr>
        <w:t> </w:t>
      </w:r>
      <w:r>
        <w:rPr/>
        <w:t>уникальных</w:t>
      </w:r>
      <w:r>
        <w:rPr>
          <w:spacing w:val="-12"/>
        </w:rPr>
        <w:t> </w:t>
      </w:r>
      <w:r>
        <w:rPr/>
        <w:t>человека</w:t>
      </w:r>
      <w:r>
        <w:rPr>
          <w:spacing w:val="-13"/>
        </w:rPr>
        <w:t> </w:t>
      </w:r>
      <w:r>
        <w:rPr/>
        <w:t>–</w:t>
      </w:r>
      <w:r>
        <w:rPr>
          <w:spacing w:val="-12"/>
        </w:rPr>
        <w:t> </w:t>
      </w:r>
      <w:r>
        <w:rPr/>
        <w:t>клиент</w:t>
      </w:r>
      <w:r>
        <w:rPr>
          <w:spacing w:val="-13"/>
        </w:rPr>
        <w:t> </w:t>
      </w:r>
      <w:r>
        <w:rPr/>
        <w:t>и</w:t>
      </w:r>
      <w:r>
        <w:rPr>
          <w:spacing w:val="-12"/>
        </w:rPr>
        <w:t> </w:t>
      </w:r>
      <w:r>
        <w:rPr/>
        <w:t>педагог,</w:t>
      </w:r>
      <w:r>
        <w:rPr>
          <w:spacing w:val="-13"/>
        </w:rPr>
        <w:t> </w:t>
      </w:r>
      <w:r>
        <w:rPr/>
        <w:t>специалист,</w:t>
      </w:r>
      <w:r>
        <w:rPr>
          <w:spacing w:val="-12"/>
        </w:rPr>
        <w:t> </w:t>
      </w:r>
      <w:r>
        <w:rPr/>
        <w:t>и</w:t>
      </w:r>
      <w:r>
        <w:rPr>
          <w:spacing w:val="-13"/>
        </w:rPr>
        <w:t> </w:t>
      </w:r>
      <w:r>
        <w:rPr/>
        <w:t>они</w:t>
      </w:r>
      <w:r>
        <w:rPr>
          <w:spacing w:val="-12"/>
        </w:rPr>
        <w:t> </w:t>
      </w:r>
      <w:r>
        <w:rPr/>
        <w:t>встречаются</w:t>
      </w:r>
      <w:r>
        <w:rPr>
          <w:spacing w:val="-13"/>
        </w:rPr>
        <w:t> </w:t>
      </w:r>
      <w:r>
        <w:rPr/>
        <w:t>в</w:t>
      </w:r>
      <w:r>
        <w:rPr>
          <w:spacing w:val="-12"/>
        </w:rPr>
        <w:t> </w:t>
      </w:r>
      <w:r>
        <w:rPr/>
        <w:t>особом контексте и по особому поводу.</w:t>
      </w:r>
    </w:p>
    <w:p>
      <w:pPr>
        <w:pStyle w:val="BodyText"/>
        <w:spacing w:line="235" w:lineRule="auto" w:before="5"/>
      </w:pPr>
      <w:r>
        <w:rPr/>
        <w:t>В</w:t>
      </w:r>
      <w:r>
        <w:rPr>
          <w:spacing w:val="-13"/>
        </w:rPr>
        <w:t> </w:t>
      </w:r>
      <w:r>
        <w:rPr/>
        <w:t>работе</w:t>
      </w:r>
      <w:r>
        <w:rPr>
          <w:spacing w:val="-12"/>
        </w:rPr>
        <w:t> </w:t>
      </w:r>
      <w:r>
        <w:rPr/>
        <w:t>помогающего</w:t>
      </w:r>
      <w:r>
        <w:rPr>
          <w:spacing w:val="-13"/>
        </w:rPr>
        <w:t> </w:t>
      </w:r>
      <w:r>
        <w:rPr/>
        <w:t>специалиста</w:t>
      </w:r>
      <w:r>
        <w:rPr>
          <w:spacing w:val="-12"/>
        </w:rPr>
        <w:t> </w:t>
      </w:r>
      <w:r>
        <w:rPr/>
        <w:t>часто</w:t>
      </w:r>
      <w:r>
        <w:rPr>
          <w:spacing w:val="-13"/>
        </w:rPr>
        <w:t> </w:t>
      </w:r>
      <w:r>
        <w:rPr/>
        <w:t>возникают</w:t>
      </w:r>
      <w:r>
        <w:rPr>
          <w:spacing w:val="-12"/>
        </w:rPr>
        <w:t> </w:t>
      </w:r>
      <w:r>
        <w:rPr/>
        <w:t>ситуации,</w:t>
      </w:r>
      <w:r>
        <w:rPr>
          <w:spacing w:val="-13"/>
        </w:rPr>
        <w:t> </w:t>
      </w:r>
      <w:r>
        <w:rPr/>
        <w:t>когда</w:t>
      </w:r>
      <w:r>
        <w:rPr>
          <w:spacing w:val="-12"/>
        </w:rPr>
        <w:t> </w:t>
      </w:r>
      <w:r>
        <w:rPr/>
        <w:t>он</w:t>
      </w:r>
      <w:r>
        <w:rPr>
          <w:spacing w:val="-13"/>
        </w:rPr>
        <w:t> </w:t>
      </w:r>
      <w:r>
        <w:rPr/>
        <w:t>начинает чувствовать,</w:t>
      </w:r>
      <w:r>
        <w:rPr>
          <w:spacing w:val="-13"/>
        </w:rPr>
        <w:t> </w:t>
      </w:r>
      <w:r>
        <w:rPr/>
        <w:t>что</w:t>
      </w:r>
      <w:r>
        <w:rPr>
          <w:spacing w:val="-12"/>
        </w:rPr>
        <w:t> </w:t>
      </w:r>
      <w:r>
        <w:rPr/>
        <w:t>в</w:t>
      </w:r>
      <w:r>
        <w:rPr>
          <w:spacing w:val="-13"/>
        </w:rPr>
        <w:t> </w:t>
      </w:r>
      <w:r>
        <w:rPr/>
        <w:t>отношениях</w:t>
      </w:r>
      <w:r>
        <w:rPr>
          <w:spacing w:val="-12"/>
        </w:rPr>
        <w:t> </w:t>
      </w:r>
      <w:r>
        <w:rPr/>
        <w:t>с</w:t>
      </w:r>
      <w:r>
        <w:rPr>
          <w:spacing w:val="-13"/>
        </w:rPr>
        <w:t> </w:t>
      </w:r>
      <w:r>
        <w:rPr/>
        <w:t>клиентом</w:t>
      </w:r>
      <w:r>
        <w:rPr>
          <w:spacing w:val="-12"/>
        </w:rPr>
        <w:t> </w:t>
      </w:r>
      <w:r>
        <w:rPr/>
        <w:t>«все</w:t>
      </w:r>
      <w:r>
        <w:rPr>
          <w:spacing w:val="-13"/>
        </w:rPr>
        <w:t> </w:t>
      </w:r>
      <w:r>
        <w:rPr/>
        <w:t>сложно».</w:t>
      </w:r>
      <w:r>
        <w:rPr>
          <w:spacing w:val="-12"/>
        </w:rPr>
        <w:t> </w:t>
      </w:r>
      <w:r>
        <w:rPr/>
        <w:t>Ситуация</w:t>
      </w:r>
      <w:r>
        <w:rPr>
          <w:spacing w:val="-13"/>
        </w:rPr>
        <w:t> </w:t>
      </w:r>
      <w:r>
        <w:rPr/>
        <w:t>усугубляется</w:t>
      </w:r>
      <w:r>
        <w:rPr>
          <w:spacing w:val="-12"/>
        </w:rPr>
        <w:t> </w:t>
      </w:r>
      <w:r>
        <w:rPr/>
        <w:t>тем, что</w:t>
      </w:r>
      <w:r>
        <w:rPr>
          <w:spacing w:val="-3"/>
        </w:rPr>
        <w:t> </w:t>
      </w:r>
      <w:r>
        <w:rPr/>
        <w:t>отношения</w:t>
      </w:r>
      <w:r>
        <w:rPr>
          <w:spacing w:val="-3"/>
        </w:rPr>
        <w:t> </w:t>
      </w:r>
      <w:r>
        <w:rPr/>
        <w:t>тут</w:t>
      </w:r>
      <w:r>
        <w:rPr>
          <w:spacing w:val="-3"/>
        </w:rPr>
        <w:t> </w:t>
      </w:r>
      <w:r>
        <w:rPr/>
        <w:t>профессиональные</w:t>
      </w:r>
      <w:r>
        <w:rPr>
          <w:spacing w:val="-3"/>
        </w:rPr>
        <w:t> </w:t>
      </w:r>
      <w:r>
        <w:rPr/>
        <w:t>и</w:t>
      </w:r>
      <w:r>
        <w:rPr>
          <w:spacing w:val="-3"/>
        </w:rPr>
        <w:t> </w:t>
      </w:r>
      <w:r>
        <w:rPr/>
        <w:t>что</w:t>
      </w:r>
      <w:r>
        <w:rPr>
          <w:spacing w:val="-3"/>
        </w:rPr>
        <w:t> </w:t>
      </w:r>
      <w:r>
        <w:rPr/>
        <w:t>они</w:t>
      </w:r>
      <w:r>
        <w:rPr>
          <w:spacing w:val="-3"/>
        </w:rPr>
        <w:t> </w:t>
      </w:r>
      <w:r>
        <w:rPr/>
        <w:t>–</w:t>
      </w:r>
      <w:r>
        <w:rPr>
          <w:spacing w:val="-3"/>
        </w:rPr>
        <w:t> </w:t>
      </w:r>
      <w:r>
        <w:rPr/>
        <w:t>часть</w:t>
      </w:r>
      <w:r>
        <w:rPr>
          <w:spacing w:val="-3"/>
        </w:rPr>
        <w:t> </w:t>
      </w:r>
      <w:r>
        <w:rPr/>
        <w:t>профессиональной</w:t>
      </w:r>
      <w:r>
        <w:rPr>
          <w:spacing w:val="-3"/>
        </w:rPr>
        <w:t> </w:t>
      </w:r>
      <w:r>
        <w:rPr/>
        <w:t>помощи. Можно</w:t>
      </w:r>
      <w:r>
        <w:rPr>
          <w:spacing w:val="-8"/>
        </w:rPr>
        <w:t> </w:t>
      </w:r>
      <w:r>
        <w:rPr/>
        <w:t>пожаловаться</w:t>
      </w:r>
      <w:r>
        <w:rPr>
          <w:spacing w:val="-9"/>
        </w:rPr>
        <w:t> </w:t>
      </w:r>
      <w:r>
        <w:rPr/>
        <w:t>на</w:t>
      </w:r>
      <w:r>
        <w:rPr>
          <w:spacing w:val="-8"/>
        </w:rPr>
        <w:t> </w:t>
      </w:r>
      <w:r>
        <w:rPr/>
        <w:t>трудного</w:t>
      </w:r>
      <w:r>
        <w:rPr>
          <w:spacing w:val="-8"/>
        </w:rPr>
        <w:t> </w:t>
      </w:r>
      <w:r>
        <w:rPr/>
        <w:t>клиента,</w:t>
      </w:r>
      <w:r>
        <w:rPr>
          <w:spacing w:val="-9"/>
        </w:rPr>
        <w:t> </w:t>
      </w:r>
      <w:r>
        <w:rPr/>
        <w:t>но</w:t>
      </w:r>
      <w:r>
        <w:rPr>
          <w:spacing w:val="-8"/>
        </w:rPr>
        <w:t> </w:t>
      </w:r>
      <w:r>
        <w:rPr/>
        <w:t>с</w:t>
      </w:r>
      <w:r>
        <w:rPr>
          <w:spacing w:val="-8"/>
        </w:rPr>
        <w:t> </w:t>
      </w:r>
      <w:r>
        <w:rPr/>
        <w:t>ним</w:t>
      </w:r>
      <w:r>
        <w:rPr>
          <w:spacing w:val="-8"/>
        </w:rPr>
        <w:t> </w:t>
      </w:r>
      <w:r>
        <w:rPr/>
        <w:t>необходимо</w:t>
      </w:r>
      <w:r>
        <w:rPr>
          <w:spacing w:val="-9"/>
        </w:rPr>
        <w:t> </w:t>
      </w:r>
      <w:r>
        <w:rPr/>
        <w:t>выстроить</w:t>
      </w:r>
      <w:r>
        <w:rPr>
          <w:spacing w:val="-8"/>
        </w:rPr>
        <w:t> </w:t>
      </w:r>
      <w:r>
        <w:rPr/>
        <w:t>хорошие рабочие</w:t>
      </w:r>
      <w:r>
        <w:rPr>
          <w:spacing w:val="-3"/>
        </w:rPr>
        <w:t> </w:t>
      </w:r>
      <w:r>
        <w:rPr/>
        <w:t>отношения.</w:t>
      </w:r>
      <w:r>
        <w:rPr>
          <w:spacing w:val="-3"/>
        </w:rPr>
        <w:t> </w:t>
      </w:r>
      <w:r>
        <w:rPr/>
        <w:t>И</w:t>
      </w:r>
      <w:r>
        <w:rPr>
          <w:spacing w:val="-3"/>
        </w:rPr>
        <w:t> </w:t>
      </w:r>
      <w:r>
        <w:rPr/>
        <w:t>тут</w:t>
      </w:r>
      <w:r>
        <w:rPr>
          <w:spacing w:val="-3"/>
        </w:rPr>
        <w:t> </w:t>
      </w:r>
      <w:r>
        <w:rPr/>
        <w:t>обсуждение</w:t>
      </w:r>
      <w:r>
        <w:rPr>
          <w:spacing w:val="-3"/>
        </w:rPr>
        <w:t> </w:t>
      </w:r>
      <w:r>
        <w:rPr/>
        <w:t>с</w:t>
      </w:r>
      <w:r>
        <w:rPr>
          <w:spacing w:val="-3"/>
        </w:rPr>
        <w:t> </w:t>
      </w:r>
      <w:r>
        <w:rPr/>
        <w:t>подружками</w:t>
      </w:r>
      <w:r>
        <w:rPr>
          <w:spacing w:val="-3"/>
        </w:rPr>
        <w:t> </w:t>
      </w:r>
      <w:r>
        <w:rPr/>
        <w:t>уже</w:t>
      </w:r>
      <w:r>
        <w:rPr>
          <w:spacing w:val="-3"/>
        </w:rPr>
        <w:t> </w:t>
      </w:r>
      <w:r>
        <w:rPr/>
        <w:t>не</w:t>
      </w:r>
      <w:r>
        <w:rPr>
          <w:spacing w:val="-3"/>
        </w:rPr>
        <w:t> </w:t>
      </w:r>
      <w:r>
        <w:rPr/>
        <w:t>помогает.</w:t>
      </w:r>
      <w:r>
        <w:rPr>
          <w:spacing w:val="-3"/>
        </w:rPr>
        <w:t> </w:t>
      </w:r>
      <w:r>
        <w:rPr/>
        <w:t>Их</w:t>
      </w:r>
      <w:r>
        <w:rPr>
          <w:spacing w:val="-3"/>
        </w:rPr>
        <w:t> </w:t>
      </w:r>
      <w:r>
        <w:rPr/>
        <w:t>опыт</w:t>
      </w:r>
      <w:r>
        <w:rPr>
          <w:spacing w:val="-3"/>
        </w:rPr>
        <w:t> </w:t>
      </w:r>
      <w:r>
        <w:rPr/>
        <w:t>ока- зывается недостаточен и неточен. Вместо этого возникает ощущение дискомфорта, тревоги, фрустрации, тоскливого раздражения.</w:t>
      </w:r>
    </w:p>
    <w:p>
      <w:pPr>
        <w:pStyle w:val="BodyText"/>
        <w:spacing w:line="235" w:lineRule="auto" w:before="5"/>
      </w:pPr>
      <w:r>
        <w:rPr/>
        <w:t>Что</w:t>
      </w:r>
      <w:r>
        <w:rPr>
          <w:spacing w:val="-12"/>
        </w:rPr>
        <w:t> </w:t>
      </w:r>
      <w:r>
        <w:rPr/>
        <w:t>происходит</w:t>
      </w:r>
      <w:r>
        <w:rPr>
          <w:spacing w:val="-12"/>
        </w:rPr>
        <w:t> </w:t>
      </w:r>
      <w:r>
        <w:rPr/>
        <w:t>в</w:t>
      </w:r>
      <w:r>
        <w:rPr>
          <w:spacing w:val="-12"/>
        </w:rPr>
        <w:t> </w:t>
      </w:r>
      <w:r>
        <w:rPr/>
        <w:t>супервизорской</w:t>
      </w:r>
      <w:r>
        <w:rPr>
          <w:spacing w:val="-12"/>
        </w:rPr>
        <w:t> </w:t>
      </w:r>
      <w:r>
        <w:rPr/>
        <w:t>группе:</w:t>
      </w:r>
      <w:r>
        <w:rPr>
          <w:spacing w:val="-12"/>
        </w:rPr>
        <w:t> </w:t>
      </w:r>
      <w:r>
        <w:rPr/>
        <w:t>референт,</w:t>
      </w:r>
      <w:r>
        <w:rPr>
          <w:spacing w:val="-12"/>
        </w:rPr>
        <w:t> </w:t>
      </w:r>
      <w:r>
        <w:rPr/>
        <w:t>после</w:t>
      </w:r>
      <w:r>
        <w:rPr>
          <w:spacing w:val="-12"/>
        </w:rPr>
        <w:t> </w:t>
      </w:r>
      <w:r>
        <w:rPr/>
        <w:t>того</w:t>
      </w:r>
      <w:r>
        <w:rPr>
          <w:spacing w:val="-12"/>
        </w:rPr>
        <w:t> </w:t>
      </w:r>
      <w:r>
        <w:rPr/>
        <w:t>как</w:t>
      </w:r>
      <w:r>
        <w:rPr>
          <w:spacing w:val="-12"/>
        </w:rPr>
        <w:t> </w:t>
      </w:r>
      <w:r>
        <w:rPr/>
        <w:t>он</w:t>
      </w:r>
      <w:r>
        <w:rPr>
          <w:spacing w:val="-12"/>
        </w:rPr>
        <w:t> </w:t>
      </w:r>
      <w:r>
        <w:rPr/>
        <w:t>представил </w:t>
      </w:r>
      <w:r>
        <w:rPr>
          <w:i/>
        </w:rPr>
        <w:t>трудный</w:t>
      </w:r>
      <w:r>
        <w:rPr>
          <w:i/>
          <w:spacing w:val="-8"/>
        </w:rPr>
        <w:t> </w:t>
      </w:r>
      <w:r>
        <w:rPr>
          <w:i/>
        </w:rPr>
        <w:t>случай</w:t>
      </w:r>
      <w:r>
        <w:rPr>
          <w:i/>
          <w:spacing w:val="-8"/>
        </w:rPr>
        <w:t> </w:t>
      </w:r>
      <w:r>
        <w:rPr/>
        <w:t>и</w:t>
      </w:r>
      <w:r>
        <w:rPr>
          <w:spacing w:val="-8"/>
        </w:rPr>
        <w:t> </w:t>
      </w:r>
      <w:r>
        <w:rPr/>
        <w:t>рассказал</w:t>
      </w:r>
      <w:r>
        <w:rPr>
          <w:spacing w:val="-8"/>
        </w:rPr>
        <w:t> </w:t>
      </w:r>
      <w:r>
        <w:rPr/>
        <w:t>о</w:t>
      </w:r>
      <w:r>
        <w:rPr>
          <w:spacing w:val="-8"/>
        </w:rPr>
        <w:t> </w:t>
      </w:r>
      <w:r>
        <w:rPr/>
        <w:t>своей</w:t>
      </w:r>
      <w:r>
        <w:rPr>
          <w:spacing w:val="-8"/>
        </w:rPr>
        <w:t> </w:t>
      </w:r>
      <w:r>
        <w:rPr/>
        <w:t>трудности,</w:t>
      </w:r>
      <w:r>
        <w:rPr>
          <w:spacing w:val="-8"/>
        </w:rPr>
        <w:t> </w:t>
      </w:r>
      <w:r>
        <w:rPr/>
        <w:t>уходит</w:t>
      </w:r>
      <w:r>
        <w:rPr>
          <w:spacing w:val="-8"/>
        </w:rPr>
        <w:t> </w:t>
      </w:r>
      <w:r>
        <w:rPr/>
        <w:t>за</w:t>
      </w:r>
      <w:r>
        <w:rPr>
          <w:spacing w:val="-8"/>
        </w:rPr>
        <w:t> </w:t>
      </w:r>
      <w:r>
        <w:rPr/>
        <w:t>круг</w:t>
      </w:r>
      <w:r>
        <w:rPr>
          <w:spacing w:val="-8"/>
        </w:rPr>
        <w:t> </w:t>
      </w:r>
      <w:r>
        <w:rPr/>
        <w:t>и</w:t>
      </w:r>
      <w:r>
        <w:rPr>
          <w:spacing w:val="-8"/>
        </w:rPr>
        <w:t> </w:t>
      </w:r>
      <w:r>
        <w:rPr/>
        <w:t>больше</w:t>
      </w:r>
      <w:r>
        <w:rPr>
          <w:spacing w:val="-8"/>
        </w:rPr>
        <w:t> </w:t>
      </w:r>
      <w:r>
        <w:rPr/>
        <w:t>не</w:t>
      </w:r>
      <w:r>
        <w:rPr>
          <w:spacing w:val="-8"/>
        </w:rPr>
        <w:t> </w:t>
      </w:r>
      <w:r>
        <w:rPr/>
        <w:t>участвует активно</w:t>
      </w:r>
      <w:r>
        <w:rPr>
          <w:spacing w:val="-6"/>
        </w:rPr>
        <w:t> </w:t>
      </w:r>
      <w:r>
        <w:rPr/>
        <w:t>в</w:t>
      </w:r>
      <w:r>
        <w:rPr>
          <w:spacing w:val="-6"/>
        </w:rPr>
        <w:t> </w:t>
      </w:r>
      <w:r>
        <w:rPr/>
        <w:t>работе</w:t>
      </w:r>
      <w:r>
        <w:rPr>
          <w:spacing w:val="-6"/>
        </w:rPr>
        <w:t> </w:t>
      </w:r>
      <w:r>
        <w:rPr/>
        <w:t>группы.</w:t>
      </w:r>
      <w:r>
        <w:rPr>
          <w:spacing w:val="-6"/>
        </w:rPr>
        <w:t> </w:t>
      </w:r>
      <w:r>
        <w:rPr/>
        <w:t>Он</w:t>
      </w:r>
      <w:r>
        <w:rPr>
          <w:spacing w:val="-6"/>
        </w:rPr>
        <w:t> </w:t>
      </w:r>
      <w:r>
        <w:rPr/>
        <w:t>наблюдает</w:t>
      </w:r>
      <w:r>
        <w:rPr>
          <w:spacing w:val="-6"/>
        </w:rPr>
        <w:t> </w:t>
      </w:r>
      <w:r>
        <w:rPr/>
        <w:t>за</w:t>
      </w:r>
      <w:r>
        <w:rPr>
          <w:spacing w:val="-6"/>
        </w:rPr>
        <w:t> </w:t>
      </w:r>
      <w:r>
        <w:rPr/>
        <w:t>процессом</w:t>
      </w:r>
      <w:r>
        <w:rPr>
          <w:spacing w:val="-6"/>
        </w:rPr>
        <w:t> </w:t>
      </w:r>
      <w:r>
        <w:rPr/>
        <w:t>со</w:t>
      </w:r>
      <w:r>
        <w:rPr>
          <w:spacing w:val="-6"/>
        </w:rPr>
        <w:t> </w:t>
      </w:r>
      <w:r>
        <w:rPr/>
        <w:t>стороны.</w:t>
      </w:r>
      <w:r>
        <w:rPr>
          <w:spacing w:val="-6"/>
        </w:rPr>
        <w:t> </w:t>
      </w:r>
      <w:r>
        <w:rPr/>
        <w:t>Это</w:t>
      </w:r>
      <w:r>
        <w:rPr>
          <w:spacing w:val="-6"/>
        </w:rPr>
        <w:t> </w:t>
      </w:r>
      <w:r>
        <w:rPr/>
        <w:t>самая</w:t>
      </w:r>
      <w:r>
        <w:rPr>
          <w:spacing w:val="-6"/>
        </w:rPr>
        <w:t> </w:t>
      </w:r>
      <w:r>
        <w:rPr/>
        <w:t>трудная работа – смотреть, что переживают участники по поводу отношений, о которых ты рассказал;</w:t>
      </w:r>
      <w:r>
        <w:rPr>
          <w:spacing w:val="-5"/>
        </w:rPr>
        <w:t> </w:t>
      </w:r>
      <w:r>
        <w:rPr/>
        <w:t>молча</w:t>
      </w:r>
      <w:r>
        <w:rPr>
          <w:spacing w:val="-5"/>
        </w:rPr>
        <w:t> </w:t>
      </w:r>
      <w:r>
        <w:rPr/>
        <w:t>сопереживать</w:t>
      </w:r>
      <w:r>
        <w:rPr>
          <w:spacing w:val="-5"/>
        </w:rPr>
        <w:t> </w:t>
      </w:r>
      <w:r>
        <w:rPr/>
        <w:t>себе</w:t>
      </w:r>
      <w:r>
        <w:rPr>
          <w:spacing w:val="-5"/>
        </w:rPr>
        <w:t> </w:t>
      </w:r>
      <w:r>
        <w:rPr/>
        <w:t>и</w:t>
      </w:r>
      <w:r>
        <w:rPr>
          <w:spacing w:val="-5"/>
        </w:rPr>
        <w:t> </w:t>
      </w:r>
      <w:r>
        <w:rPr/>
        <w:t>своему</w:t>
      </w:r>
      <w:r>
        <w:rPr>
          <w:spacing w:val="-5"/>
        </w:rPr>
        <w:t> </w:t>
      </w:r>
      <w:r>
        <w:rPr/>
        <w:t>клиенту;</w:t>
      </w:r>
      <w:r>
        <w:rPr>
          <w:spacing w:val="-5"/>
        </w:rPr>
        <w:t> </w:t>
      </w:r>
      <w:r>
        <w:rPr/>
        <w:t>встречаться</w:t>
      </w:r>
      <w:r>
        <w:rPr>
          <w:spacing w:val="-5"/>
        </w:rPr>
        <w:t> </w:t>
      </w:r>
      <w:r>
        <w:rPr/>
        <w:t>с</w:t>
      </w:r>
      <w:r>
        <w:rPr>
          <w:spacing w:val="-5"/>
        </w:rPr>
        <w:t> </w:t>
      </w:r>
      <w:r>
        <w:rPr/>
        <w:t>теми</w:t>
      </w:r>
      <w:r>
        <w:rPr>
          <w:spacing w:val="-5"/>
        </w:rPr>
        <w:t> </w:t>
      </w:r>
      <w:r>
        <w:rPr/>
        <w:t>смутными чувствами, с которыми не было смелости встретиться самому.</w:t>
      </w:r>
    </w:p>
    <w:p>
      <w:pPr>
        <w:pStyle w:val="BodyText"/>
        <w:spacing w:line="235" w:lineRule="auto" w:before="3"/>
      </w:pPr>
      <w:r>
        <w:rPr/>
        <w:t>Участники</w:t>
      </w:r>
      <w:r>
        <w:rPr>
          <w:spacing w:val="-7"/>
        </w:rPr>
        <w:t> </w:t>
      </w:r>
      <w:r>
        <w:rPr/>
        <w:t>группы</w:t>
      </w:r>
      <w:r>
        <w:rPr>
          <w:spacing w:val="-7"/>
        </w:rPr>
        <w:t> </w:t>
      </w:r>
      <w:r>
        <w:rPr/>
        <w:t>говорят,</w:t>
      </w:r>
      <w:r>
        <w:rPr>
          <w:spacing w:val="-7"/>
        </w:rPr>
        <w:t> </w:t>
      </w:r>
      <w:r>
        <w:rPr/>
        <w:t>что</w:t>
      </w:r>
      <w:r>
        <w:rPr>
          <w:spacing w:val="-7"/>
        </w:rPr>
        <w:t> </w:t>
      </w:r>
      <w:r>
        <w:rPr/>
        <w:t>они</w:t>
      </w:r>
      <w:r>
        <w:rPr>
          <w:spacing w:val="-7"/>
        </w:rPr>
        <w:t> </w:t>
      </w:r>
      <w:r>
        <w:rPr/>
        <w:t>чувствуют,</w:t>
      </w:r>
      <w:r>
        <w:rPr>
          <w:spacing w:val="-7"/>
        </w:rPr>
        <w:t> </w:t>
      </w:r>
      <w:r>
        <w:rPr/>
        <w:t>идентифицируясь</w:t>
      </w:r>
      <w:r>
        <w:rPr>
          <w:spacing w:val="-7"/>
        </w:rPr>
        <w:t> </w:t>
      </w:r>
      <w:r>
        <w:rPr/>
        <w:t>с</w:t>
      </w:r>
      <w:r>
        <w:rPr>
          <w:spacing w:val="-7"/>
        </w:rPr>
        <w:t> </w:t>
      </w:r>
      <w:r>
        <w:rPr/>
        <w:t>клиентом</w:t>
      </w:r>
      <w:r>
        <w:rPr>
          <w:spacing w:val="-7"/>
        </w:rPr>
        <w:t> </w:t>
      </w:r>
      <w:r>
        <w:rPr/>
        <w:t>или терапевтом;</w:t>
      </w:r>
      <w:r>
        <w:rPr>
          <w:spacing w:val="3"/>
        </w:rPr>
        <w:t> </w:t>
      </w:r>
      <w:r>
        <w:rPr/>
        <w:t>как</w:t>
      </w:r>
      <w:r>
        <w:rPr>
          <w:spacing w:val="4"/>
        </w:rPr>
        <w:t> </w:t>
      </w:r>
      <w:r>
        <w:rPr/>
        <w:t>они</w:t>
      </w:r>
      <w:r>
        <w:rPr>
          <w:spacing w:val="4"/>
        </w:rPr>
        <w:t> </w:t>
      </w:r>
      <w:r>
        <w:rPr/>
        <w:t>переживают</w:t>
      </w:r>
      <w:r>
        <w:rPr>
          <w:spacing w:val="4"/>
        </w:rPr>
        <w:t> </w:t>
      </w:r>
      <w:r>
        <w:rPr/>
        <w:t>отношения</w:t>
      </w:r>
      <w:r>
        <w:rPr>
          <w:spacing w:val="3"/>
        </w:rPr>
        <w:t> </w:t>
      </w:r>
      <w:r>
        <w:rPr/>
        <w:t>между</w:t>
      </w:r>
      <w:r>
        <w:rPr>
          <w:spacing w:val="4"/>
        </w:rPr>
        <w:t> </w:t>
      </w:r>
      <w:r>
        <w:rPr/>
        <w:t>ними.</w:t>
      </w:r>
      <w:r>
        <w:rPr>
          <w:spacing w:val="4"/>
        </w:rPr>
        <w:t> </w:t>
      </w:r>
      <w:r>
        <w:rPr/>
        <w:t>Некоторые</w:t>
      </w:r>
      <w:r>
        <w:rPr>
          <w:spacing w:val="4"/>
        </w:rPr>
        <w:t> </w:t>
      </w:r>
      <w:r>
        <w:rPr/>
        <w:t>из</w:t>
      </w:r>
      <w:r>
        <w:rPr>
          <w:spacing w:val="4"/>
        </w:rPr>
        <w:t> </w:t>
      </w:r>
      <w:r>
        <w:rPr>
          <w:spacing w:val="-2"/>
        </w:rPr>
        <w:t>участников</w:t>
      </w:r>
    </w:p>
    <w:p>
      <w:pPr>
        <w:pStyle w:val="BodyText"/>
        <w:spacing w:after="0" w:line="235" w:lineRule="auto"/>
        <w:sectPr>
          <w:pgSz w:w="8400" w:h="11910"/>
          <w:pgMar w:header="0" w:footer="529" w:top="400" w:bottom="740" w:left="425" w:right="425"/>
        </w:sectPr>
      </w:pPr>
    </w:p>
    <w:p>
      <w:pPr>
        <w:pStyle w:val="ListParagraph"/>
        <w:numPr>
          <w:ilvl w:val="1"/>
          <w:numId w:val="233"/>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Алгоритм разбора</w:t>
      </w:r>
      <w:r>
        <w:rPr>
          <w:rFonts w:ascii="Georgia" w:hAnsi="Georgia"/>
          <w:color w:val="231F20"/>
          <w:spacing w:val="1"/>
          <w:sz w:val="18"/>
        </w:rPr>
        <w:t> </w:t>
      </w:r>
      <w:r>
        <w:rPr>
          <w:rFonts w:ascii="Georgia" w:hAnsi="Georgia"/>
          <w:color w:val="231F20"/>
          <w:sz w:val="18"/>
        </w:rPr>
        <w:t>педагогического</w:t>
      </w:r>
      <w:r>
        <w:rPr>
          <w:rFonts w:ascii="Georgia" w:hAnsi="Georgia"/>
          <w:color w:val="231F20"/>
          <w:spacing w:val="1"/>
          <w:sz w:val="18"/>
        </w:rPr>
        <w:t> </w:t>
      </w:r>
      <w:r>
        <w:rPr>
          <w:rFonts w:ascii="Georgia" w:hAnsi="Georgia"/>
          <w:color w:val="231F20"/>
          <w:sz w:val="18"/>
        </w:rPr>
        <w:t>случая,</w:t>
      </w:r>
      <w:r>
        <w:rPr>
          <w:rFonts w:ascii="Georgia" w:hAnsi="Georgia"/>
          <w:color w:val="231F20"/>
          <w:spacing w:val="1"/>
          <w:sz w:val="18"/>
        </w:rPr>
        <w:t> </w:t>
      </w:r>
      <w:r>
        <w:rPr>
          <w:rFonts w:ascii="Georgia" w:hAnsi="Georgia"/>
          <w:color w:val="231F20"/>
          <w:sz w:val="18"/>
        </w:rPr>
        <w:t>связанного</w:t>
      </w:r>
      <w:r>
        <w:rPr>
          <w:rFonts w:ascii="Georgia" w:hAnsi="Georgia"/>
          <w:color w:val="231F20"/>
          <w:spacing w:val="1"/>
          <w:sz w:val="18"/>
        </w:rPr>
        <w:t> </w:t>
      </w:r>
      <w:r>
        <w:rPr>
          <w:rFonts w:ascii="Georgia" w:hAnsi="Georgia"/>
          <w:color w:val="231F20"/>
          <w:sz w:val="18"/>
        </w:rPr>
        <w:t>с</w:t>
      </w:r>
      <w:r>
        <w:rPr>
          <w:rFonts w:ascii="Georgia" w:hAnsi="Georgia"/>
          <w:color w:val="231F20"/>
          <w:spacing w:val="1"/>
          <w:sz w:val="18"/>
        </w:rPr>
        <w:t> </w:t>
      </w:r>
      <w:r>
        <w:rPr>
          <w:rFonts w:ascii="Georgia" w:hAnsi="Georgia"/>
          <w:color w:val="231F20"/>
          <w:sz w:val="18"/>
        </w:rPr>
        <w:t>адаптацией </w:t>
      </w:r>
      <w:r>
        <w:rPr>
          <w:rFonts w:ascii="Georgia" w:hAnsi="Georgia"/>
          <w:color w:val="231F20"/>
          <w:spacing w:val="-2"/>
          <w:sz w:val="18"/>
        </w:rPr>
        <w:t>детей</w:t>
      </w:r>
    </w:p>
    <w:p>
      <w:pPr>
        <w:pStyle w:val="BodyText"/>
        <w:spacing w:before="112"/>
        <w:ind w:firstLine="0"/>
      </w:pPr>
      <w:r>
        <w:rPr/>
        <w:t>могут</w:t>
      </w:r>
      <w:r>
        <w:rPr>
          <w:spacing w:val="-8"/>
        </w:rPr>
        <w:t> </w:t>
      </w:r>
      <w:r>
        <w:rPr/>
        <w:t>сопереживать</w:t>
      </w:r>
      <w:r>
        <w:rPr>
          <w:spacing w:val="-8"/>
        </w:rPr>
        <w:t> </w:t>
      </w:r>
      <w:r>
        <w:rPr/>
        <w:t>только</w:t>
      </w:r>
      <w:r>
        <w:rPr>
          <w:spacing w:val="-8"/>
        </w:rPr>
        <w:t> </w:t>
      </w:r>
      <w:r>
        <w:rPr/>
        <w:t>одной</w:t>
      </w:r>
      <w:r>
        <w:rPr>
          <w:spacing w:val="-8"/>
        </w:rPr>
        <w:t> </w:t>
      </w:r>
      <w:r>
        <w:rPr/>
        <w:t>стороне</w:t>
      </w:r>
      <w:r>
        <w:rPr>
          <w:spacing w:val="-8"/>
        </w:rPr>
        <w:t> </w:t>
      </w:r>
      <w:r>
        <w:rPr/>
        <w:t>этих</w:t>
      </w:r>
      <w:r>
        <w:rPr>
          <w:spacing w:val="-8"/>
        </w:rPr>
        <w:t> </w:t>
      </w:r>
      <w:r>
        <w:rPr/>
        <w:t>отношений.</w:t>
      </w:r>
      <w:r>
        <w:rPr>
          <w:spacing w:val="-8"/>
        </w:rPr>
        <w:t> </w:t>
      </w:r>
      <w:r>
        <w:rPr/>
        <w:t>Почему</w:t>
      </w:r>
      <w:r>
        <w:rPr>
          <w:spacing w:val="-8"/>
        </w:rPr>
        <w:t> </w:t>
      </w:r>
      <w:r>
        <w:rPr/>
        <w:t>это</w:t>
      </w:r>
      <w:r>
        <w:rPr>
          <w:spacing w:val="-8"/>
        </w:rPr>
        <w:t> </w:t>
      </w:r>
      <w:r>
        <w:rPr/>
        <w:t>происходит? Можно предположить, что откликаются собственные истории, всплывает собствен- ный</w:t>
      </w:r>
      <w:r>
        <w:rPr>
          <w:spacing w:val="-9"/>
        </w:rPr>
        <w:t> </w:t>
      </w:r>
      <w:r>
        <w:rPr/>
        <w:t>похожий</w:t>
      </w:r>
      <w:r>
        <w:rPr>
          <w:spacing w:val="-9"/>
        </w:rPr>
        <w:t> </w:t>
      </w:r>
      <w:r>
        <w:rPr/>
        <w:t>опыт.</w:t>
      </w:r>
      <w:r>
        <w:rPr>
          <w:spacing w:val="-9"/>
        </w:rPr>
        <w:t> </w:t>
      </w:r>
      <w:r>
        <w:rPr/>
        <w:t>Пытаясь</w:t>
      </w:r>
      <w:r>
        <w:rPr>
          <w:spacing w:val="-9"/>
        </w:rPr>
        <w:t> </w:t>
      </w:r>
      <w:r>
        <w:rPr/>
        <w:t>разобраться</w:t>
      </w:r>
      <w:r>
        <w:rPr>
          <w:spacing w:val="-9"/>
        </w:rPr>
        <w:t> </w:t>
      </w:r>
      <w:r>
        <w:rPr/>
        <w:t>в</w:t>
      </w:r>
      <w:r>
        <w:rPr>
          <w:spacing w:val="-9"/>
        </w:rPr>
        <w:t> </w:t>
      </w:r>
      <w:r>
        <w:rPr/>
        <w:t>чужом</w:t>
      </w:r>
      <w:r>
        <w:rPr>
          <w:spacing w:val="-9"/>
        </w:rPr>
        <w:t> </w:t>
      </w:r>
      <w:r>
        <w:rPr/>
        <w:t>случае,</w:t>
      </w:r>
      <w:r>
        <w:rPr>
          <w:spacing w:val="-9"/>
        </w:rPr>
        <w:t> </w:t>
      </w:r>
      <w:r>
        <w:rPr/>
        <w:t>участники</w:t>
      </w:r>
      <w:r>
        <w:rPr>
          <w:spacing w:val="-9"/>
        </w:rPr>
        <w:t> </w:t>
      </w:r>
      <w:r>
        <w:rPr/>
        <w:t>получают</w:t>
      </w:r>
      <w:r>
        <w:rPr>
          <w:spacing w:val="-9"/>
        </w:rPr>
        <w:t> </w:t>
      </w:r>
      <w:r>
        <w:rPr/>
        <w:t>новое видение и своих аналогичных историй и отношений.</w:t>
      </w:r>
    </w:p>
    <w:p>
      <w:pPr>
        <w:pStyle w:val="BodyText"/>
      </w:pPr>
      <w:r>
        <w:rPr/>
        <w:t>Референт</w:t>
      </w:r>
      <w:r>
        <w:rPr>
          <w:spacing w:val="-6"/>
        </w:rPr>
        <w:t> </w:t>
      </w:r>
      <w:r>
        <w:rPr/>
        <w:t>оказывается</w:t>
      </w:r>
      <w:r>
        <w:rPr>
          <w:spacing w:val="-6"/>
        </w:rPr>
        <w:t> </w:t>
      </w:r>
      <w:r>
        <w:rPr/>
        <w:t>в</w:t>
      </w:r>
      <w:r>
        <w:rPr>
          <w:spacing w:val="-6"/>
        </w:rPr>
        <w:t> </w:t>
      </w:r>
      <w:r>
        <w:rPr/>
        <w:t>ситуации</w:t>
      </w:r>
      <w:r>
        <w:rPr>
          <w:spacing w:val="-6"/>
        </w:rPr>
        <w:t> </w:t>
      </w:r>
      <w:r>
        <w:rPr/>
        <w:t>«шведского</w:t>
      </w:r>
      <w:r>
        <w:rPr>
          <w:spacing w:val="-6"/>
        </w:rPr>
        <w:t> </w:t>
      </w:r>
      <w:r>
        <w:rPr/>
        <w:t>стола».</w:t>
      </w:r>
      <w:r>
        <w:rPr>
          <w:spacing w:val="-6"/>
        </w:rPr>
        <w:t> </w:t>
      </w:r>
      <w:r>
        <w:rPr/>
        <w:t>Когда</w:t>
      </w:r>
      <w:r>
        <w:rPr>
          <w:spacing w:val="-6"/>
        </w:rPr>
        <w:t> </w:t>
      </w:r>
      <w:r>
        <w:rPr/>
        <w:t>можно,</w:t>
      </w:r>
      <w:r>
        <w:rPr>
          <w:spacing w:val="-6"/>
        </w:rPr>
        <w:t> </w:t>
      </w:r>
      <w:r>
        <w:rPr/>
        <w:t>прислушива- ясь</w:t>
      </w:r>
      <w:r>
        <w:rPr>
          <w:spacing w:val="-6"/>
        </w:rPr>
        <w:t> </w:t>
      </w:r>
      <w:r>
        <w:rPr/>
        <w:t>к</w:t>
      </w:r>
      <w:r>
        <w:rPr>
          <w:spacing w:val="-6"/>
        </w:rPr>
        <w:t> </w:t>
      </w:r>
      <w:r>
        <w:rPr/>
        <w:t>себе,</w:t>
      </w:r>
      <w:r>
        <w:rPr>
          <w:spacing w:val="-6"/>
        </w:rPr>
        <w:t> </w:t>
      </w:r>
      <w:r>
        <w:rPr/>
        <w:t>выбрать</w:t>
      </w:r>
      <w:r>
        <w:rPr>
          <w:spacing w:val="-6"/>
        </w:rPr>
        <w:t> </w:t>
      </w:r>
      <w:r>
        <w:rPr/>
        <w:t>ту</w:t>
      </w:r>
      <w:r>
        <w:rPr>
          <w:spacing w:val="-6"/>
        </w:rPr>
        <w:t> </w:t>
      </w:r>
      <w:r>
        <w:rPr/>
        <w:t>интерпретацию</w:t>
      </w:r>
      <w:r>
        <w:rPr>
          <w:spacing w:val="-6"/>
        </w:rPr>
        <w:t> </w:t>
      </w:r>
      <w:r>
        <w:rPr/>
        <w:t>и</w:t>
      </w:r>
      <w:r>
        <w:rPr>
          <w:spacing w:val="-6"/>
        </w:rPr>
        <w:t> </w:t>
      </w:r>
      <w:r>
        <w:rPr/>
        <w:t>ту</w:t>
      </w:r>
      <w:r>
        <w:rPr>
          <w:spacing w:val="-6"/>
        </w:rPr>
        <w:t> </w:t>
      </w:r>
      <w:r>
        <w:rPr/>
        <w:t>позицию,</w:t>
      </w:r>
      <w:r>
        <w:rPr>
          <w:spacing w:val="-6"/>
        </w:rPr>
        <w:t> </w:t>
      </w:r>
      <w:r>
        <w:rPr/>
        <w:t>которая</w:t>
      </w:r>
      <w:r>
        <w:rPr>
          <w:spacing w:val="-6"/>
        </w:rPr>
        <w:t> </w:t>
      </w:r>
      <w:r>
        <w:rPr/>
        <w:t>больше</w:t>
      </w:r>
      <w:r>
        <w:rPr>
          <w:spacing w:val="-6"/>
        </w:rPr>
        <w:t> </w:t>
      </w:r>
      <w:r>
        <w:rPr/>
        <w:t>всего</w:t>
      </w:r>
      <w:r>
        <w:rPr>
          <w:spacing w:val="-6"/>
        </w:rPr>
        <w:t> </w:t>
      </w:r>
      <w:r>
        <w:rPr/>
        <w:t>«отклика- ется».</w:t>
      </w:r>
      <w:r>
        <w:rPr>
          <w:spacing w:val="-13"/>
        </w:rPr>
        <w:t> </w:t>
      </w:r>
      <w:r>
        <w:rPr/>
        <w:t>После</w:t>
      </w:r>
      <w:r>
        <w:rPr>
          <w:spacing w:val="-12"/>
        </w:rPr>
        <w:t> </w:t>
      </w:r>
      <w:r>
        <w:rPr/>
        <w:t>окончания</w:t>
      </w:r>
      <w:r>
        <w:rPr>
          <w:spacing w:val="-13"/>
        </w:rPr>
        <w:t> </w:t>
      </w:r>
      <w:r>
        <w:rPr/>
        <w:t>работы</w:t>
      </w:r>
      <w:r>
        <w:rPr>
          <w:spacing w:val="-12"/>
        </w:rPr>
        <w:t> </w:t>
      </w:r>
      <w:r>
        <w:rPr/>
        <w:t>группы</w:t>
      </w:r>
      <w:r>
        <w:rPr>
          <w:spacing w:val="-13"/>
        </w:rPr>
        <w:t> </w:t>
      </w:r>
      <w:r>
        <w:rPr/>
        <w:t>референт</w:t>
      </w:r>
      <w:r>
        <w:rPr>
          <w:spacing w:val="-12"/>
        </w:rPr>
        <w:t> </w:t>
      </w:r>
      <w:r>
        <w:rPr/>
        <w:t>может</w:t>
      </w:r>
      <w:r>
        <w:rPr>
          <w:spacing w:val="-13"/>
        </w:rPr>
        <w:t> </w:t>
      </w:r>
      <w:r>
        <w:rPr/>
        <w:t>оставить</w:t>
      </w:r>
      <w:r>
        <w:rPr>
          <w:spacing w:val="-12"/>
        </w:rPr>
        <w:t> </w:t>
      </w:r>
      <w:r>
        <w:rPr/>
        <w:t>свои</w:t>
      </w:r>
      <w:r>
        <w:rPr>
          <w:spacing w:val="-13"/>
        </w:rPr>
        <w:t> </w:t>
      </w:r>
      <w:r>
        <w:rPr/>
        <w:t>переживания</w:t>
      </w:r>
      <w:r>
        <w:rPr>
          <w:spacing w:val="-12"/>
        </w:rPr>
        <w:t> </w:t>
      </w:r>
      <w:r>
        <w:rPr/>
        <w:t>и размышления</w:t>
      </w:r>
      <w:r>
        <w:rPr>
          <w:spacing w:val="-6"/>
        </w:rPr>
        <w:t> </w:t>
      </w:r>
      <w:r>
        <w:rPr/>
        <w:t>в</w:t>
      </w:r>
      <w:r>
        <w:rPr>
          <w:spacing w:val="-6"/>
        </w:rPr>
        <w:t> </w:t>
      </w:r>
      <w:r>
        <w:rPr/>
        <w:t>тайне,</w:t>
      </w:r>
      <w:r>
        <w:rPr>
          <w:spacing w:val="-6"/>
        </w:rPr>
        <w:t> </w:t>
      </w:r>
      <w:r>
        <w:rPr/>
        <w:t>это</w:t>
      </w:r>
      <w:r>
        <w:rPr>
          <w:spacing w:val="-6"/>
        </w:rPr>
        <w:t> </w:t>
      </w:r>
      <w:r>
        <w:rPr/>
        <w:t>его</w:t>
      </w:r>
      <w:r>
        <w:rPr>
          <w:spacing w:val="-6"/>
        </w:rPr>
        <w:t> </w:t>
      </w:r>
      <w:r>
        <w:rPr/>
        <w:t>право.</w:t>
      </w:r>
      <w:r>
        <w:rPr>
          <w:spacing w:val="-6"/>
        </w:rPr>
        <w:t> </w:t>
      </w:r>
      <w:r>
        <w:rPr/>
        <w:t>Складывается</w:t>
      </w:r>
      <w:r>
        <w:rPr>
          <w:spacing w:val="-6"/>
        </w:rPr>
        <w:t> </w:t>
      </w:r>
      <w:r>
        <w:rPr/>
        <w:t>уникальная</w:t>
      </w:r>
      <w:r>
        <w:rPr>
          <w:spacing w:val="-6"/>
        </w:rPr>
        <w:t> </w:t>
      </w:r>
      <w:r>
        <w:rPr/>
        <w:t>ситуация,</w:t>
      </w:r>
      <w:r>
        <w:rPr>
          <w:spacing w:val="-6"/>
        </w:rPr>
        <w:t> </w:t>
      </w:r>
      <w:r>
        <w:rPr/>
        <w:t>когда</w:t>
      </w:r>
      <w:r>
        <w:rPr>
          <w:spacing w:val="-6"/>
        </w:rPr>
        <w:t> </w:t>
      </w:r>
      <w:r>
        <w:rPr/>
        <w:t>мож- но</w:t>
      </w:r>
      <w:r>
        <w:rPr>
          <w:spacing w:val="-8"/>
        </w:rPr>
        <w:t> </w:t>
      </w:r>
      <w:r>
        <w:rPr/>
        <w:t>увидеть</w:t>
      </w:r>
      <w:r>
        <w:rPr>
          <w:spacing w:val="-5"/>
        </w:rPr>
        <w:t> </w:t>
      </w:r>
      <w:r>
        <w:rPr/>
        <w:t>свои</w:t>
      </w:r>
      <w:r>
        <w:rPr>
          <w:spacing w:val="-5"/>
        </w:rPr>
        <w:t> </w:t>
      </w:r>
      <w:r>
        <w:rPr/>
        <w:t>отношения</w:t>
      </w:r>
      <w:r>
        <w:rPr>
          <w:spacing w:val="-5"/>
        </w:rPr>
        <w:t> </w:t>
      </w:r>
      <w:r>
        <w:rPr/>
        <w:t>во</w:t>
      </w:r>
      <w:r>
        <w:rPr>
          <w:spacing w:val="-5"/>
        </w:rPr>
        <w:t> </w:t>
      </w:r>
      <w:r>
        <w:rPr/>
        <w:t>множестве</w:t>
      </w:r>
      <w:r>
        <w:rPr>
          <w:spacing w:val="-5"/>
        </w:rPr>
        <w:t> </w:t>
      </w:r>
      <w:r>
        <w:rPr/>
        <w:t>отражений</w:t>
      </w:r>
      <w:r>
        <w:rPr>
          <w:spacing w:val="-5"/>
        </w:rPr>
        <w:t> </w:t>
      </w:r>
      <w:r>
        <w:rPr/>
        <w:t>опыта</w:t>
      </w:r>
      <w:r>
        <w:rPr>
          <w:spacing w:val="-5"/>
        </w:rPr>
        <w:t> </w:t>
      </w:r>
      <w:r>
        <w:rPr/>
        <w:t>других</w:t>
      </w:r>
      <w:r>
        <w:rPr>
          <w:spacing w:val="-5"/>
        </w:rPr>
        <w:t> </w:t>
      </w:r>
      <w:r>
        <w:rPr/>
        <w:t>людей</w:t>
      </w:r>
      <w:r>
        <w:rPr>
          <w:spacing w:val="-5"/>
        </w:rPr>
        <w:t> </w:t>
      </w:r>
      <w:r>
        <w:rPr/>
        <w:t>и</w:t>
      </w:r>
      <w:r>
        <w:rPr>
          <w:spacing w:val="-5"/>
        </w:rPr>
        <w:t> </w:t>
      </w:r>
      <w:r>
        <w:rPr>
          <w:spacing w:val="-2"/>
        </w:rPr>
        <w:t>остаться</w:t>
      </w:r>
    </w:p>
    <w:p>
      <w:pPr>
        <w:pStyle w:val="BodyText"/>
        <w:ind w:firstLine="0"/>
      </w:pPr>
      <w:r>
        <w:rPr/>
        <w:t>«за</w:t>
      </w:r>
      <w:r>
        <w:rPr>
          <w:spacing w:val="-11"/>
        </w:rPr>
        <w:t> </w:t>
      </w:r>
      <w:r>
        <w:rPr/>
        <w:t>кадром»,</w:t>
      </w:r>
      <w:r>
        <w:rPr>
          <w:spacing w:val="-11"/>
        </w:rPr>
        <w:t> </w:t>
      </w:r>
      <w:r>
        <w:rPr/>
        <w:t>вне</w:t>
      </w:r>
      <w:r>
        <w:rPr>
          <w:spacing w:val="-11"/>
        </w:rPr>
        <w:t> </w:t>
      </w:r>
      <w:r>
        <w:rPr/>
        <w:t>критики,</w:t>
      </w:r>
      <w:r>
        <w:rPr>
          <w:spacing w:val="-11"/>
        </w:rPr>
        <w:t> </w:t>
      </w:r>
      <w:r>
        <w:rPr/>
        <w:t>советов,</w:t>
      </w:r>
      <w:r>
        <w:rPr>
          <w:spacing w:val="-11"/>
        </w:rPr>
        <w:t> </w:t>
      </w:r>
      <w:r>
        <w:rPr/>
        <w:t>оценок.</w:t>
      </w:r>
      <w:r>
        <w:rPr>
          <w:spacing w:val="-11"/>
        </w:rPr>
        <w:t> </w:t>
      </w:r>
      <w:r>
        <w:rPr/>
        <w:t>Не</w:t>
      </w:r>
      <w:r>
        <w:rPr>
          <w:spacing w:val="-11"/>
        </w:rPr>
        <w:t> </w:t>
      </w:r>
      <w:r>
        <w:rPr/>
        <w:t>только</w:t>
      </w:r>
      <w:r>
        <w:rPr>
          <w:spacing w:val="-11"/>
        </w:rPr>
        <w:t> </w:t>
      </w:r>
      <w:r>
        <w:rPr/>
        <w:t>потому,</w:t>
      </w:r>
      <w:r>
        <w:rPr>
          <w:spacing w:val="-11"/>
        </w:rPr>
        <w:t> </w:t>
      </w:r>
      <w:r>
        <w:rPr/>
        <w:t>что</w:t>
      </w:r>
      <w:r>
        <w:rPr>
          <w:spacing w:val="-11"/>
        </w:rPr>
        <w:t> </w:t>
      </w:r>
      <w:r>
        <w:rPr/>
        <w:t>в</w:t>
      </w:r>
      <w:r>
        <w:rPr>
          <w:spacing w:val="-11"/>
        </w:rPr>
        <w:t> </w:t>
      </w:r>
      <w:r>
        <w:rPr/>
        <w:t>групповой</w:t>
      </w:r>
      <w:r>
        <w:rPr>
          <w:spacing w:val="-11"/>
        </w:rPr>
        <w:t> </w:t>
      </w:r>
      <w:r>
        <w:rPr/>
        <w:t>работе важна</w:t>
      </w:r>
      <w:r>
        <w:rPr>
          <w:spacing w:val="-13"/>
        </w:rPr>
        <w:t> </w:t>
      </w:r>
      <w:r>
        <w:rPr/>
        <w:t>безопасность,</w:t>
      </w:r>
      <w:r>
        <w:rPr>
          <w:spacing w:val="-12"/>
        </w:rPr>
        <w:t> </w:t>
      </w:r>
      <w:r>
        <w:rPr/>
        <w:t>но</w:t>
      </w:r>
      <w:r>
        <w:rPr>
          <w:spacing w:val="-13"/>
        </w:rPr>
        <w:t> </w:t>
      </w:r>
      <w:r>
        <w:rPr/>
        <w:t>и</w:t>
      </w:r>
      <w:r>
        <w:rPr>
          <w:spacing w:val="-12"/>
        </w:rPr>
        <w:t> </w:t>
      </w:r>
      <w:r>
        <w:rPr/>
        <w:t>потому,</w:t>
      </w:r>
      <w:r>
        <w:rPr>
          <w:spacing w:val="-13"/>
        </w:rPr>
        <w:t> </w:t>
      </w:r>
      <w:r>
        <w:rPr/>
        <w:t>что</w:t>
      </w:r>
      <w:r>
        <w:rPr>
          <w:spacing w:val="-12"/>
        </w:rPr>
        <w:t> </w:t>
      </w:r>
      <w:r>
        <w:rPr/>
        <w:t>эти</w:t>
      </w:r>
      <w:r>
        <w:rPr>
          <w:spacing w:val="-13"/>
        </w:rPr>
        <w:t> </w:t>
      </w:r>
      <w:r>
        <w:rPr/>
        <w:t>советы</w:t>
      </w:r>
      <w:r>
        <w:rPr>
          <w:spacing w:val="-12"/>
        </w:rPr>
        <w:t> </w:t>
      </w:r>
      <w:r>
        <w:rPr/>
        <w:t>-</w:t>
      </w:r>
      <w:r>
        <w:rPr>
          <w:spacing w:val="-13"/>
        </w:rPr>
        <w:t> </w:t>
      </w:r>
      <w:r>
        <w:rPr/>
        <w:t>бессмысленны,</w:t>
      </w:r>
      <w:r>
        <w:rPr>
          <w:spacing w:val="-12"/>
        </w:rPr>
        <w:t> </w:t>
      </w:r>
      <w:r>
        <w:rPr/>
        <w:t>когда</w:t>
      </w:r>
      <w:r>
        <w:rPr>
          <w:spacing w:val="-13"/>
        </w:rPr>
        <w:t> </w:t>
      </w:r>
      <w:r>
        <w:rPr/>
        <w:t>дело</w:t>
      </w:r>
      <w:r>
        <w:rPr>
          <w:spacing w:val="-12"/>
        </w:rPr>
        <w:t> </w:t>
      </w:r>
      <w:r>
        <w:rPr/>
        <w:t>касается уникальности встречи одного человека с Другим.</w:t>
      </w:r>
    </w:p>
    <w:p>
      <w:pPr>
        <w:spacing w:before="104"/>
        <w:ind w:left="425" w:right="0" w:firstLine="0"/>
        <w:jc w:val="both"/>
        <w:rPr>
          <w:b/>
          <w:sz w:val="20"/>
        </w:rPr>
      </w:pPr>
      <w:r>
        <w:rPr>
          <w:b/>
          <w:sz w:val="20"/>
        </w:rPr>
        <w:t>Требования</w:t>
      </w:r>
      <w:r>
        <w:rPr>
          <w:b/>
          <w:spacing w:val="-9"/>
          <w:sz w:val="20"/>
        </w:rPr>
        <w:t> </w:t>
      </w:r>
      <w:r>
        <w:rPr>
          <w:b/>
          <w:sz w:val="20"/>
        </w:rPr>
        <w:t>к</w:t>
      </w:r>
      <w:r>
        <w:rPr>
          <w:b/>
          <w:spacing w:val="-8"/>
          <w:sz w:val="20"/>
        </w:rPr>
        <w:t> </w:t>
      </w:r>
      <w:r>
        <w:rPr>
          <w:b/>
          <w:spacing w:val="-2"/>
          <w:sz w:val="20"/>
        </w:rPr>
        <w:t>проведению</w:t>
      </w:r>
    </w:p>
    <w:p>
      <w:pPr>
        <w:pStyle w:val="BodyText"/>
      </w:pPr>
      <w:r>
        <w:rPr/>
        <w:t>Участником может стать любой специалист педагогического профиля, стремя- щийся к совершенствованию профессиональных навыков. В ходе группового разбо- ра педагогического случая выделяются две роли: </w:t>
      </w:r>
      <w:r>
        <w:rPr>
          <w:i/>
        </w:rPr>
        <w:t>участника, представляющего слу- чай</w:t>
      </w:r>
      <w:r>
        <w:rPr>
          <w:i/>
          <w:spacing w:val="-5"/>
        </w:rPr>
        <w:t> </w:t>
      </w:r>
      <w:r>
        <w:rPr/>
        <w:t>из</w:t>
      </w:r>
      <w:r>
        <w:rPr>
          <w:spacing w:val="-5"/>
        </w:rPr>
        <w:t> </w:t>
      </w:r>
      <w:r>
        <w:rPr/>
        <w:t>своей</w:t>
      </w:r>
      <w:r>
        <w:rPr>
          <w:spacing w:val="-5"/>
        </w:rPr>
        <w:t> </w:t>
      </w:r>
      <w:r>
        <w:rPr/>
        <w:t>профессиональной</w:t>
      </w:r>
      <w:r>
        <w:rPr>
          <w:spacing w:val="-5"/>
        </w:rPr>
        <w:t> </w:t>
      </w:r>
      <w:r>
        <w:rPr/>
        <w:t>деятельности</w:t>
      </w:r>
      <w:r>
        <w:rPr>
          <w:spacing w:val="-5"/>
        </w:rPr>
        <w:t> </w:t>
      </w:r>
      <w:r>
        <w:rPr/>
        <w:t>(урок,</w:t>
      </w:r>
      <w:r>
        <w:rPr>
          <w:spacing w:val="-5"/>
        </w:rPr>
        <w:t> </w:t>
      </w:r>
      <w:r>
        <w:rPr/>
        <w:t>трудная</w:t>
      </w:r>
      <w:r>
        <w:rPr>
          <w:spacing w:val="-5"/>
        </w:rPr>
        <w:t> </w:t>
      </w:r>
      <w:r>
        <w:rPr/>
        <w:t>ситуация</w:t>
      </w:r>
      <w:r>
        <w:rPr>
          <w:spacing w:val="-5"/>
        </w:rPr>
        <w:t> </w:t>
      </w:r>
      <w:r>
        <w:rPr/>
        <w:t>в</w:t>
      </w:r>
      <w:r>
        <w:rPr>
          <w:spacing w:val="-5"/>
        </w:rPr>
        <w:t> </w:t>
      </w:r>
      <w:r>
        <w:rPr/>
        <w:t>отношениях с</w:t>
      </w:r>
      <w:r>
        <w:rPr>
          <w:spacing w:val="-3"/>
        </w:rPr>
        <w:t> </w:t>
      </w:r>
      <w:r>
        <w:rPr/>
        <w:t>участниками</w:t>
      </w:r>
      <w:r>
        <w:rPr>
          <w:spacing w:val="-3"/>
        </w:rPr>
        <w:t> </w:t>
      </w:r>
      <w:r>
        <w:rPr/>
        <w:t>образовательной</w:t>
      </w:r>
      <w:r>
        <w:rPr>
          <w:spacing w:val="-3"/>
        </w:rPr>
        <w:t> </w:t>
      </w:r>
      <w:r>
        <w:rPr/>
        <w:t>среды),</w:t>
      </w:r>
      <w:r>
        <w:rPr>
          <w:spacing w:val="-3"/>
        </w:rPr>
        <w:t> </w:t>
      </w:r>
      <w:r>
        <w:rPr/>
        <w:t>и▪</w:t>
      </w:r>
      <w:r>
        <w:rPr>
          <w:spacing w:val="-3"/>
        </w:rPr>
        <w:t> </w:t>
      </w:r>
      <w:r>
        <w:rPr>
          <w:i/>
        </w:rPr>
        <w:t>участника</w:t>
      </w:r>
      <w:r>
        <w:rPr>
          <w:i/>
          <w:spacing w:val="-3"/>
        </w:rPr>
        <w:t> </w:t>
      </w:r>
      <w:r>
        <w:rPr>
          <w:i/>
        </w:rPr>
        <w:t>группы</w:t>
      </w:r>
      <w:r>
        <w:rPr/>
        <w:t>.</w:t>
      </w:r>
      <w:r>
        <w:rPr>
          <w:spacing w:val="-3"/>
        </w:rPr>
        <w:t> </w:t>
      </w:r>
      <w:r>
        <w:rPr/>
        <w:t>Помимо</w:t>
      </w:r>
      <w:r>
        <w:rPr>
          <w:spacing w:val="-3"/>
        </w:rPr>
        <w:t> </w:t>
      </w:r>
      <w:r>
        <w:rPr/>
        <w:t>этого,</w:t>
      </w:r>
      <w:r>
        <w:rPr>
          <w:spacing w:val="-3"/>
        </w:rPr>
        <w:t> </w:t>
      </w:r>
      <w:r>
        <w:rPr/>
        <w:t>в</w:t>
      </w:r>
      <w:r>
        <w:rPr>
          <w:spacing w:val="-3"/>
        </w:rPr>
        <w:t> </w:t>
      </w:r>
      <w:r>
        <w:rPr/>
        <w:t>груп- пе есть ведущий – </w:t>
      </w:r>
      <w:r>
        <w:rPr>
          <w:i/>
        </w:rPr>
        <w:t>руководитель </w:t>
      </w:r>
      <w:r>
        <w:rPr/>
        <w:t>группы, </w:t>
      </w:r>
      <w:r>
        <w:rPr>
          <w:i/>
        </w:rPr>
        <w:t>помощник руководителя </w:t>
      </w:r>
      <w:r>
        <w:rPr/>
        <w:t>и приглашенные </w:t>
      </w:r>
      <w:r>
        <w:rPr>
          <w:i/>
          <w:spacing w:val="-2"/>
        </w:rPr>
        <w:t>эксперты</w:t>
      </w:r>
      <w:r>
        <w:rPr>
          <w:spacing w:val="-2"/>
        </w:rPr>
        <w:t>.</w:t>
      </w:r>
    </w:p>
    <w:p>
      <w:pPr>
        <w:spacing w:before="8"/>
        <w:ind w:left="425" w:right="0" w:firstLine="0"/>
        <w:jc w:val="both"/>
        <w:rPr>
          <w:i/>
          <w:sz w:val="20"/>
        </w:rPr>
      </w:pPr>
      <w:r>
        <w:rPr>
          <w:i/>
          <w:spacing w:val="-2"/>
          <w:sz w:val="20"/>
        </w:rPr>
        <w:t>Квалификация</w:t>
      </w:r>
      <w:r>
        <w:rPr>
          <w:i/>
          <w:spacing w:val="8"/>
          <w:sz w:val="20"/>
        </w:rPr>
        <w:t> </w:t>
      </w:r>
      <w:r>
        <w:rPr>
          <w:i/>
          <w:spacing w:val="-2"/>
          <w:sz w:val="20"/>
        </w:rPr>
        <w:t>руководителя</w:t>
      </w:r>
      <w:r>
        <w:rPr>
          <w:i/>
          <w:spacing w:val="9"/>
          <w:sz w:val="20"/>
        </w:rPr>
        <w:t> </w:t>
      </w:r>
      <w:r>
        <w:rPr>
          <w:i/>
          <w:spacing w:val="-2"/>
          <w:sz w:val="20"/>
        </w:rPr>
        <w:t>группы:</w:t>
      </w:r>
    </w:p>
    <w:p>
      <w:pPr>
        <w:pStyle w:val="ListParagraph"/>
        <w:numPr>
          <w:ilvl w:val="0"/>
          <w:numId w:val="243"/>
        </w:numPr>
        <w:tabs>
          <w:tab w:pos="425" w:val="left" w:leader="none"/>
        </w:tabs>
        <w:spacing w:line="242" w:lineRule="auto" w:before="2" w:after="0"/>
        <w:ind w:left="425" w:right="139" w:hanging="284"/>
        <w:jc w:val="both"/>
        <w:rPr>
          <w:sz w:val="20"/>
        </w:rPr>
      </w:pPr>
      <w:r>
        <w:rPr>
          <w:sz w:val="20"/>
        </w:rPr>
        <w:t>теоретическая грамотность, опыт и достаточный уровень экспертности в педаго- гической деятельности;</w:t>
      </w:r>
    </w:p>
    <w:p>
      <w:pPr>
        <w:pStyle w:val="ListParagraph"/>
        <w:numPr>
          <w:ilvl w:val="0"/>
          <w:numId w:val="243"/>
        </w:numPr>
        <w:tabs>
          <w:tab w:pos="425" w:val="left" w:leader="none"/>
        </w:tabs>
        <w:spacing w:line="242" w:lineRule="auto" w:before="0" w:after="0"/>
        <w:ind w:left="425" w:right="139" w:hanging="284"/>
        <w:jc w:val="both"/>
        <w:rPr>
          <w:sz w:val="20"/>
        </w:rPr>
      </w:pPr>
      <w:r>
        <w:rPr>
          <w:sz w:val="20"/>
        </w:rPr>
        <w:t>наличие практических навыков в ведении группового обсуждения, дополнитель- ная</w:t>
      </w:r>
      <w:r>
        <w:rPr>
          <w:spacing w:val="-3"/>
          <w:sz w:val="20"/>
        </w:rPr>
        <w:t> </w:t>
      </w:r>
      <w:r>
        <w:rPr>
          <w:sz w:val="20"/>
        </w:rPr>
        <w:t>квалификация</w:t>
      </w:r>
      <w:r>
        <w:rPr>
          <w:spacing w:val="-3"/>
          <w:sz w:val="20"/>
        </w:rPr>
        <w:t> </w:t>
      </w:r>
      <w:r>
        <w:rPr>
          <w:sz w:val="20"/>
        </w:rPr>
        <w:t>в</w:t>
      </w:r>
      <w:r>
        <w:rPr>
          <w:spacing w:val="-3"/>
          <w:sz w:val="20"/>
        </w:rPr>
        <w:t> </w:t>
      </w:r>
      <w:r>
        <w:rPr>
          <w:sz w:val="20"/>
        </w:rPr>
        <w:t>ведении</w:t>
      </w:r>
      <w:r>
        <w:rPr>
          <w:spacing w:val="-3"/>
          <w:sz w:val="20"/>
        </w:rPr>
        <w:t> </w:t>
      </w:r>
      <w:r>
        <w:rPr>
          <w:sz w:val="20"/>
        </w:rPr>
        <w:t>психологических</w:t>
      </w:r>
      <w:r>
        <w:rPr>
          <w:spacing w:val="-3"/>
          <w:sz w:val="20"/>
        </w:rPr>
        <w:t> </w:t>
      </w:r>
      <w:r>
        <w:rPr>
          <w:sz w:val="20"/>
        </w:rPr>
        <w:t>групп</w:t>
      </w:r>
      <w:r>
        <w:rPr>
          <w:spacing w:val="-3"/>
          <w:sz w:val="20"/>
        </w:rPr>
        <w:t> </w:t>
      </w:r>
      <w:r>
        <w:rPr>
          <w:sz w:val="20"/>
        </w:rPr>
        <w:t>(психолог-тренер,</w:t>
      </w:r>
      <w:r>
        <w:rPr>
          <w:spacing w:val="-3"/>
          <w:sz w:val="20"/>
        </w:rPr>
        <w:t> </w:t>
      </w:r>
      <w:r>
        <w:rPr>
          <w:sz w:val="20"/>
        </w:rPr>
        <w:t>или</w:t>
      </w:r>
      <w:r>
        <w:rPr>
          <w:spacing w:val="-3"/>
          <w:sz w:val="20"/>
        </w:rPr>
        <w:t> </w:t>
      </w:r>
      <w:r>
        <w:rPr>
          <w:sz w:val="20"/>
        </w:rPr>
        <w:t>педа- гог – ведущий групп);</w:t>
      </w:r>
    </w:p>
    <w:p>
      <w:pPr>
        <w:pStyle w:val="ListParagraph"/>
        <w:numPr>
          <w:ilvl w:val="0"/>
          <w:numId w:val="243"/>
        </w:numPr>
        <w:tabs>
          <w:tab w:pos="425" w:val="left" w:leader="none"/>
        </w:tabs>
        <w:spacing w:line="242" w:lineRule="auto" w:before="0" w:after="0"/>
        <w:ind w:left="425" w:right="139" w:hanging="284"/>
        <w:jc w:val="both"/>
        <w:rPr>
          <w:sz w:val="20"/>
        </w:rPr>
      </w:pPr>
      <w:r>
        <w:rPr>
          <w:sz w:val="20"/>
        </w:rPr>
        <w:t>способность к концептуализации педагогической практики, опыт в проектирова- нии образовательного процесса;</w:t>
      </w:r>
    </w:p>
    <w:p>
      <w:pPr>
        <w:pStyle w:val="ListParagraph"/>
        <w:numPr>
          <w:ilvl w:val="0"/>
          <w:numId w:val="243"/>
        </w:numPr>
        <w:tabs>
          <w:tab w:pos="425" w:val="left" w:leader="none"/>
        </w:tabs>
        <w:spacing w:line="242" w:lineRule="auto" w:before="0" w:after="0"/>
        <w:ind w:left="425" w:right="139" w:hanging="284"/>
        <w:jc w:val="both"/>
        <w:rPr>
          <w:sz w:val="20"/>
        </w:rPr>
      </w:pPr>
      <w:r>
        <w:rPr>
          <w:sz w:val="20"/>
        </w:rPr>
        <w:t>психологическое образование или опыт в анализе отношений и педагогического </w:t>
      </w:r>
      <w:r>
        <w:rPr>
          <w:spacing w:val="-2"/>
          <w:sz w:val="20"/>
        </w:rPr>
        <w:t>взаимодействия;</w:t>
      </w:r>
    </w:p>
    <w:p>
      <w:pPr>
        <w:pStyle w:val="ListParagraph"/>
        <w:numPr>
          <w:ilvl w:val="0"/>
          <w:numId w:val="243"/>
        </w:numPr>
        <w:tabs>
          <w:tab w:pos="425" w:val="left" w:leader="none"/>
        </w:tabs>
        <w:spacing w:line="242" w:lineRule="auto" w:before="0" w:after="0"/>
        <w:ind w:left="425" w:right="140" w:hanging="284"/>
        <w:jc w:val="both"/>
        <w:rPr>
          <w:sz w:val="20"/>
        </w:rPr>
      </w:pPr>
      <w:r>
        <w:rPr>
          <w:sz w:val="20"/>
        </w:rPr>
        <w:t>постоянное личностное совершенствование в области педагогики и психологии </w:t>
      </w:r>
      <w:r>
        <w:rPr>
          <w:spacing w:val="-2"/>
          <w:sz w:val="20"/>
        </w:rPr>
        <w:t>отношений;</w:t>
      </w:r>
    </w:p>
    <w:p>
      <w:pPr>
        <w:pStyle w:val="ListParagraph"/>
        <w:numPr>
          <w:ilvl w:val="0"/>
          <w:numId w:val="243"/>
        </w:numPr>
        <w:tabs>
          <w:tab w:pos="425" w:val="left" w:leader="none"/>
        </w:tabs>
        <w:spacing w:line="242" w:lineRule="auto" w:before="0" w:after="0"/>
        <w:ind w:left="425" w:right="139" w:hanging="284"/>
        <w:jc w:val="both"/>
        <w:rPr>
          <w:sz w:val="20"/>
        </w:rPr>
      </w:pPr>
      <w:r>
        <w:rPr>
          <w:sz w:val="20"/>
        </w:rPr>
        <w:t>знакомство</w:t>
      </w:r>
      <w:r>
        <w:rPr>
          <w:spacing w:val="-13"/>
          <w:sz w:val="20"/>
        </w:rPr>
        <w:t> </w:t>
      </w:r>
      <w:r>
        <w:rPr>
          <w:sz w:val="20"/>
        </w:rPr>
        <w:t>с</w:t>
      </w:r>
      <w:r>
        <w:rPr>
          <w:spacing w:val="-12"/>
          <w:sz w:val="20"/>
        </w:rPr>
        <w:t> </w:t>
      </w:r>
      <w:r>
        <w:rPr>
          <w:sz w:val="20"/>
        </w:rPr>
        <w:t>профессиональной</w:t>
      </w:r>
      <w:r>
        <w:rPr>
          <w:spacing w:val="-13"/>
          <w:sz w:val="20"/>
        </w:rPr>
        <w:t> </w:t>
      </w:r>
      <w:r>
        <w:rPr>
          <w:sz w:val="20"/>
        </w:rPr>
        <w:t>этикой,</w:t>
      </w:r>
      <w:r>
        <w:rPr>
          <w:spacing w:val="-12"/>
          <w:sz w:val="20"/>
        </w:rPr>
        <w:t> </w:t>
      </w:r>
      <w:r>
        <w:rPr>
          <w:sz w:val="20"/>
        </w:rPr>
        <w:t>способность</w:t>
      </w:r>
      <w:r>
        <w:rPr>
          <w:spacing w:val="-13"/>
          <w:sz w:val="20"/>
        </w:rPr>
        <w:t> </w:t>
      </w:r>
      <w:r>
        <w:rPr>
          <w:sz w:val="20"/>
        </w:rPr>
        <w:t>устанавливать</w:t>
      </w:r>
      <w:r>
        <w:rPr>
          <w:spacing w:val="-12"/>
          <w:sz w:val="20"/>
        </w:rPr>
        <w:t> </w:t>
      </w:r>
      <w:r>
        <w:rPr>
          <w:sz w:val="20"/>
        </w:rPr>
        <w:t>и</w:t>
      </w:r>
      <w:r>
        <w:rPr>
          <w:spacing w:val="-13"/>
          <w:sz w:val="20"/>
        </w:rPr>
        <w:t> </w:t>
      </w:r>
      <w:r>
        <w:rPr>
          <w:sz w:val="20"/>
        </w:rPr>
        <w:t>удерживать нормы и правила групповой работы без применения агрессивных способов воз- </w:t>
      </w:r>
      <w:r>
        <w:rPr>
          <w:spacing w:val="-2"/>
          <w:sz w:val="20"/>
        </w:rPr>
        <w:t>действия;</w:t>
      </w:r>
    </w:p>
    <w:p>
      <w:pPr>
        <w:pStyle w:val="ListParagraph"/>
        <w:numPr>
          <w:ilvl w:val="0"/>
          <w:numId w:val="243"/>
        </w:numPr>
        <w:tabs>
          <w:tab w:pos="425" w:val="left" w:leader="none"/>
        </w:tabs>
        <w:spacing w:line="240" w:lineRule="auto" w:before="0" w:after="0"/>
        <w:ind w:left="425" w:right="139" w:hanging="284"/>
        <w:jc w:val="both"/>
        <w:rPr>
          <w:sz w:val="20"/>
        </w:rPr>
      </w:pPr>
      <w:r>
        <w:rPr>
          <w:sz w:val="20"/>
        </w:rPr>
        <w:t>опыт и теоретические знания в области поликультурного образования, опыт соз- дания продуктивных условий, способствующих эффективной межкультурной адаптации детей-мигрантов.</w:t>
      </w:r>
    </w:p>
    <w:p>
      <w:pPr>
        <w:pStyle w:val="BodyText"/>
      </w:pPr>
      <w:r>
        <w:rPr/>
        <w:t>Помощником</w:t>
      </w:r>
      <w:r>
        <w:rPr>
          <w:spacing w:val="-4"/>
        </w:rPr>
        <w:t> </w:t>
      </w:r>
      <w:r>
        <w:rPr/>
        <w:t>руководителя</w:t>
      </w:r>
      <w:r>
        <w:rPr>
          <w:spacing w:val="-4"/>
        </w:rPr>
        <w:t> </w:t>
      </w:r>
      <w:r>
        <w:rPr/>
        <w:t>группы</w:t>
      </w:r>
      <w:r>
        <w:rPr>
          <w:spacing w:val="-4"/>
        </w:rPr>
        <w:t> </w:t>
      </w:r>
      <w:r>
        <w:rPr/>
        <w:t>может</w:t>
      </w:r>
      <w:r>
        <w:rPr>
          <w:spacing w:val="-4"/>
        </w:rPr>
        <w:t> </w:t>
      </w:r>
      <w:r>
        <w:rPr/>
        <w:t>быть</w:t>
      </w:r>
      <w:r>
        <w:rPr>
          <w:spacing w:val="-4"/>
        </w:rPr>
        <w:t> </w:t>
      </w:r>
      <w:r>
        <w:rPr/>
        <w:t>специалист,</w:t>
      </w:r>
      <w:r>
        <w:rPr>
          <w:spacing w:val="-4"/>
        </w:rPr>
        <w:t> </w:t>
      </w:r>
      <w:r>
        <w:rPr/>
        <w:t>имеющий</w:t>
      </w:r>
      <w:r>
        <w:rPr>
          <w:spacing w:val="-4"/>
        </w:rPr>
        <w:t> </w:t>
      </w:r>
      <w:r>
        <w:rPr/>
        <w:t>опыт</w:t>
      </w:r>
      <w:r>
        <w:rPr>
          <w:spacing w:val="-4"/>
        </w:rPr>
        <w:t> </w:t>
      </w:r>
      <w:r>
        <w:rPr/>
        <w:t>пси- холого-педагогической деятельности. Его функция в групповой работе состоит в следующем: отслеживание времени, выделенного на определенный этап групповой работы;</w:t>
      </w:r>
      <w:r>
        <w:rPr>
          <w:spacing w:val="-7"/>
        </w:rPr>
        <w:t> </w:t>
      </w:r>
      <w:r>
        <w:rPr/>
        <w:t>отслеживание</w:t>
      </w:r>
      <w:r>
        <w:rPr>
          <w:spacing w:val="-7"/>
        </w:rPr>
        <w:t> </w:t>
      </w:r>
      <w:r>
        <w:rPr/>
        <w:t>групповой</w:t>
      </w:r>
      <w:r>
        <w:rPr>
          <w:spacing w:val="-7"/>
        </w:rPr>
        <w:t> </w:t>
      </w:r>
      <w:r>
        <w:rPr/>
        <w:t>динамики,</w:t>
      </w:r>
      <w:r>
        <w:rPr>
          <w:spacing w:val="-7"/>
        </w:rPr>
        <w:t> </w:t>
      </w:r>
      <w:r>
        <w:rPr/>
        <w:t>моментов</w:t>
      </w:r>
      <w:r>
        <w:rPr>
          <w:spacing w:val="-7"/>
        </w:rPr>
        <w:t> </w:t>
      </w:r>
      <w:r>
        <w:rPr/>
        <w:t>нарушения</w:t>
      </w:r>
      <w:r>
        <w:rPr>
          <w:spacing w:val="-7"/>
        </w:rPr>
        <w:t> </w:t>
      </w:r>
      <w:r>
        <w:rPr/>
        <w:t>правил</w:t>
      </w:r>
      <w:r>
        <w:rPr>
          <w:spacing w:val="-7"/>
        </w:rPr>
        <w:t> </w:t>
      </w:r>
      <w:r>
        <w:rPr/>
        <w:t>групповой работы участниками; фиксация важных концептуализаций, возникающих в ходе об- суждения; сопровождение приглашенных экспертов.</w:t>
      </w:r>
    </w:p>
    <w:p>
      <w:pPr>
        <w:pStyle w:val="BodyText"/>
        <w:spacing w:after="0"/>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pStyle w:val="BodyText"/>
        <w:spacing w:line="235" w:lineRule="auto" w:before="116"/>
      </w:pPr>
      <w:r>
        <w:rPr/>
        <w:t>Приглашенными</w:t>
      </w:r>
      <w:r>
        <w:rPr>
          <w:spacing w:val="-13"/>
        </w:rPr>
        <w:t> </w:t>
      </w:r>
      <w:r>
        <w:rPr/>
        <w:t>экспертами</w:t>
      </w:r>
      <w:r>
        <w:rPr>
          <w:spacing w:val="-12"/>
        </w:rPr>
        <w:t> </w:t>
      </w:r>
      <w:r>
        <w:rPr/>
        <w:t>могут</w:t>
      </w:r>
      <w:r>
        <w:rPr>
          <w:spacing w:val="-13"/>
        </w:rPr>
        <w:t> </w:t>
      </w:r>
      <w:r>
        <w:rPr/>
        <w:t>быть</w:t>
      </w:r>
      <w:r>
        <w:rPr>
          <w:spacing w:val="-12"/>
        </w:rPr>
        <w:t> </w:t>
      </w:r>
      <w:r>
        <w:rPr/>
        <w:t>узкие</w:t>
      </w:r>
      <w:r>
        <w:rPr>
          <w:spacing w:val="-13"/>
        </w:rPr>
        <w:t> </w:t>
      </w:r>
      <w:r>
        <w:rPr/>
        <w:t>специалисты,</w:t>
      </w:r>
      <w:r>
        <w:rPr>
          <w:spacing w:val="-12"/>
        </w:rPr>
        <w:t> </w:t>
      </w:r>
      <w:r>
        <w:rPr/>
        <w:t>чья</w:t>
      </w:r>
      <w:r>
        <w:rPr>
          <w:spacing w:val="-13"/>
        </w:rPr>
        <w:t> </w:t>
      </w:r>
      <w:r>
        <w:rPr/>
        <w:t>экспертная</w:t>
      </w:r>
      <w:r>
        <w:rPr>
          <w:spacing w:val="-12"/>
        </w:rPr>
        <w:t> </w:t>
      </w:r>
      <w:r>
        <w:rPr/>
        <w:t>оцен- ка важна в ходе группового анализа урока или отношений.</w:t>
      </w:r>
    </w:p>
    <w:p>
      <w:pPr>
        <w:spacing w:line="225" w:lineRule="exact" w:before="0"/>
        <w:ind w:left="425" w:right="0" w:firstLine="0"/>
        <w:jc w:val="both"/>
        <w:rPr>
          <w:i/>
          <w:sz w:val="20"/>
        </w:rPr>
      </w:pPr>
      <w:r>
        <w:rPr>
          <w:i/>
          <w:sz w:val="20"/>
        </w:rPr>
        <w:t>Требования</w:t>
      </w:r>
      <w:r>
        <w:rPr>
          <w:i/>
          <w:spacing w:val="-7"/>
          <w:sz w:val="20"/>
        </w:rPr>
        <w:t> </w:t>
      </w:r>
      <w:r>
        <w:rPr>
          <w:i/>
          <w:sz w:val="20"/>
        </w:rPr>
        <w:t>к</w:t>
      </w:r>
      <w:r>
        <w:rPr>
          <w:i/>
          <w:spacing w:val="-6"/>
          <w:sz w:val="20"/>
        </w:rPr>
        <w:t> </w:t>
      </w:r>
      <w:r>
        <w:rPr>
          <w:i/>
          <w:sz w:val="20"/>
        </w:rPr>
        <w:t>участникам</w:t>
      </w:r>
      <w:r>
        <w:rPr>
          <w:i/>
          <w:spacing w:val="-7"/>
          <w:sz w:val="20"/>
        </w:rPr>
        <w:t> </w:t>
      </w:r>
      <w:r>
        <w:rPr>
          <w:i/>
          <w:sz w:val="20"/>
        </w:rPr>
        <w:t>–</w:t>
      </w:r>
      <w:r>
        <w:rPr>
          <w:i/>
          <w:spacing w:val="-6"/>
          <w:sz w:val="20"/>
        </w:rPr>
        <w:t> </w:t>
      </w:r>
      <w:r>
        <w:rPr>
          <w:i/>
          <w:sz w:val="20"/>
        </w:rPr>
        <w:t>правила</w:t>
      </w:r>
      <w:r>
        <w:rPr>
          <w:i/>
          <w:spacing w:val="-6"/>
          <w:sz w:val="20"/>
        </w:rPr>
        <w:t> </w:t>
      </w:r>
      <w:r>
        <w:rPr>
          <w:i/>
          <w:sz w:val="20"/>
        </w:rPr>
        <w:t>работы</w:t>
      </w:r>
      <w:r>
        <w:rPr>
          <w:i/>
          <w:spacing w:val="-7"/>
          <w:sz w:val="20"/>
        </w:rPr>
        <w:t> </w:t>
      </w:r>
      <w:r>
        <w:rPr>
          <w:i/>
          <w:sz w:val="20"/>
        </w:rPr>
        <w:t>супервизорской</w:t>
      </w:r>
      <w:r>
        <w:rPr>
          <w:i/>
          <w:spacing w:val="-6"/>
          <w:sz w:val="20"/>
        </w:rPr>
        <w:t> </w:t>
      </w:r>
      <w:r>
        <w:rPr>
          <w:i/>
          <w:spacing w:val="-2"/>
          <w:sz w:val="20"/>
        </w:rPr>
        <w:t>группы:</w:t>
      </w:r>
    </w:p>
    <w:p>
      <w:pPr>
        <w:pStyle w:val="ListParagraph"/>
        <w:numPr>
          <w:ilvl w:val="0"/>
          <w:numId w:val="244"/>
        </w:numPr>
        <w:tabs>
          <w:tab w:pos="423" w:val="left" w:leader="none"/>
          <w:tab w:pos="425" w:val="left" w:leader="none"/>
        </w:tabs>
        <w:spacing w:line="235" w:lineRule="auto" w:before="1" w:after="0"/>
        <w:ind w:left="425" w:right="139" w:hanging="284"/>
        <w:jc w:val="both"/>
        <w:rPr>
          <w:sz w:val="20"/>
        </w:rPr>
      </w:pPr>
      <w:r>
        <w:rPr>
          <w:sz w:val="20"/>
        </w:rPr>
        <w:t>Принцип</w:t>
      </w:r>
      <w:r>
        <w:rPr>
          <w:spacing w:val="-12"/>
          <w:sz w:val="20"/>
        </w:rPr>
        <w:t> </w:t>
      </w:r>
      <w:r>
        <w:rPr>
          <w:sz w:val="20"/>
        </w:rPr>
        <w:t>конфиденциальности:</w:t>
      </w:r>
      <w:r>
        <w:rPr>
          <w:spacing w:val="-12"/>
          <w:sz w:val="20"/>
        </w:rPr>
        <w:t> </w:t>
      </w:r>
      <w:r>
        <w:rPr>
          <w:sz w:val="20"/>
        </w:rPr>
        <w:t>то,</w:t>
      </w:r>
      <w:r>
        <w:rPr>
          <w:spacing w:val="-12"/>
          <w:sz w:val="20"/>
        </w:rPr>
        <w:t> </w:t>
      </w:r>
      <w:r>
        <w:rPr>
          <w:sz w:val="20"/>
        </w:rPr>
        <w:t>что</w:t>
      </w:r>
      <w:r>
        <w:rPr>
          <w:spacing w:val="-12"/>
          <w:sz w:val="20"/>
        </w:rPr>
        <w:t> </w:t>
      </w:r>
      <w:r>
        <w:rPr>
          <w:sz w:val="20"/>
        </w:rPr>
        <w:t>происходит</w:t>
      </w:r>
      <w:r>
        <w:rPr>
          <w:spacing w:val="-12"/>
          <w:sz w:val="20"/>
        </w:rPr>
        <w:t> </w:t>
      </w:r>
      <w:r>
        <w:rPr>
          <w:sz w:val="20"/>
        </w:rPr>
        <w:t>во</w:t>
      </w:r>
      <w:r>
        <w:rPr>
          <w:spacing w:val="-12"/>
          <w:sz w:val="20"/>
        </w:rPr>
        <w:t> </w:t>
      </w:r>
      <w:r>
        <w:rPr>
          <w:sz w:val="20"/>
        </w:rPr>
        <w:t>время</w:t>
      </w:r>
      <w:r>
        <w:rPr>
          <w:spacing w:val="-12"/>
          <w:sz w:val="20"/>
        </w:rPr>
        <w:t> </w:t>
      </w:r>
      <w:r>
        <w:rPr>
          <w:sz w:val="20"/>
        </w:rPr>
        <w:t>работы</w:t>
      </w:r>
      <w:r>
        <w:rPr>
          <w:spacing w:val="-12"/>
          <w:sz w:val="20"/>
        </w:rPr>
        <w:t> </w:t>
      </w:r>
      <w:r>
        <w:rPr>
          <w:sz w:val="20"/>
        </w:rPr>
        <w:t>группы,</w:t>
      </w:r>
      <w:r>
        <w:rPr>
          <w:spacing w:val="-12"/>
          <w:sz w:val="20"/>
        </w:rPr>
        <w:t> </w:t>
      </w:r>
      <w:r>
        <w:rPr>
          <w:sz w:val="20"/>
        </w:rPr>
        <w:t>оста- ется в пространстве группы; запрещено рассказывать, что происходило за преде- лами, можно только делиться своими мыслями и эмоциями, но не содержанием </w:t>
      </w:r>
      <w:r>
        <w:rPr>
          <w:spacing w:val="-2"/>
          <w:sz w:val="20"/>
        </w:rPr>
        <w:t>работы.</w:t>
      </w:r>
    </w:p>
    <w:p>
      <w:pPr>
        <w:pStyle w:val="ListParagraph"/>
        <w:numPr>
          <w:ilvl w:val="0"/>
          <w:numId w:val="244"/>
        </w:numPr>
        <w:tabs>
          <w:tab w:pos="423" w:val="left" w:leader="none"/>
          <w:tab w:pos="425" w:val="left" w:leader="none"/>
        </w:tabs>
        <w:spacing w:line="235" w:lineRule="auto" w:before="3" w:after="0"/>
        <w:ind w:left="425" w:right="139" w:hanging="284"/>
        <w:jc w:val="both"/>
        <w:rPr>
          <w:sz w:val="20"/>
        </w:rPr>
      </w:pPr>
      <w:r>
        <w:rPr>
          <w:sz w:val="20"/>
        </w:rPr>
        <w:t>Принцип добровольности участников: в групповой работе участвуют только те, кто находится в группе по собственному желанию. В условиях образовательного учреждения</w:t>
      </w:r>
      <w:r>
        <w:rPr>
          <w:spacing w:val="-6"/>
          <w:sz w:val="20"/>
        </w:rPr>
        <w:t> </w:t>
      </w:r>
      <w:r>
        <w:rPr>
          <w:sz w:val="20"/>
        </w:rPr>
        <w:t>на</w:t>
      </w:r>
      <w:r>
        <w:rPr>
          <w:spacing w:val="-6"/>
          <w:sz w:val="20"/>
        </w:rPr>
        <w:t> </w:t>
      </w:r>
      <w:r>
        <w:rPr>
          <w:sz w:val="20"/>
        </w:rPr>
        <w:t>первой</w:t>
      </w:r>
      <w:r>
        <w:rPr>
          <w:spacing w:val="-6"/>
          <w:sz w:val="20"/>
        </w:rPr>
        <w:t> </w:t>
      </w:r>
      <w:r>
        <w:rPr>
          <w:sz w:val="20"/>
        </w:rPr>
        <w:t>встрече</w:t>
      </w:r>
      <w:r>
        <w:rPr>
          <w:spacing w:val="-6"/>
          <w:sz w:val="20"/>
        </w:rPr>
        <w:t> </w:t>
      </w:r>
      <w:r>
        <w:rPr>
          <w:sz w:val="20"/>
        </w:rPr>
        <w:t>проводится</w:t>
      </w:r>
      <w:r>
        <w:rPr>
          <w:spacing w:val="-6"/>
          <w:sz w:val="20"/>
        </w:rPr>
        <w:t> </w:t>
      </w:r>
      <w:r>
        <w:rPr>
          <w:sz w:val="20"/>
        </w:rPr>
        <w:t>презентация</w:t>
      </w:r>
      <w:r>
        <w:rPr>
          <w:spacing w:val="-6"/>
          <w:sz w:val="20"/>
        </w:rPr>
        <w:t> </w:t>
      </w:r>
      <w:r>
        <w:rPr>
          <w:sz w:val="20"/>
        </w:rPr>
        <w:t>формата</w:t>
      </w:r>
      <w:r>
        <w:rPr>
          <w:spacing w:val="-6"/>
          <w:sz w:val="20"/>
        </w:rPr>
        <w:t> </w:t>
      </w:r>
      <w:r>
        <w:rPr>
          <w:sz w:val="20"/>
        </w:rPr>
        <w:t>работы,</w:t>
      </w:r>
      <w:r>
        <w:rPr>
          <w:spacing w:val="-6"/>
          <w:sz w:val="20"/>
        </w:rPr>
        <w:t> </w:t>
      </w:r>
      <w:r>
        <w:rPr>
          <w:sz w:val="20"/>
        </w:rPr>
        <w:t>поэтому на</w:t>
      </w:r>
      <w:r>
        <w:rPr>
          <w:spacing w:val="-9"/>
          <w:sz w:val="20"/>
        </w:rPr>
        <w:t> </w:t>
      </w:r>
      <w:r>
        <w:rPr>
          <w:sz w:val="20"/>
        </w:rPr>
        <w:t>эту</w:t>
      </w:r>
      <w:r>
        <w:rPr>
          <w:spacing w:val="-9"/>
          <w:sz w:val="20"/>
        </w:rPr>
        <w:t> </w:t>
      </w:r>
      <w:r>
        <w:rPr>
          <w:sz w:val="20"/>
        </w:rPr>
        <w:t>встречу</w:t>
      </w:r>
      <w:r>
        <w:rPr>
          <w:spacing w:val="-9"/>
          <w:sz w:val="20"/>
        </w:rPr>
        <w:t> </w:t>
      </w:r>
      <w:r>
        <w:rPr>
          <w:sz w:val="20"/>
        </w:rPr>
        <w:t>педагогам</w:t>
      </w:r>
      <w:r>
        <w:rPr>
          <w:spacing w:val="-9"/>
          <w:sz w:val="20"/>
        </w:rPr>
        <w:t> </w:t>
      </w:r>
      <w:r>
        <w:rPr>
          <w:sz w:val="20"/>
        </w:rPr>
        <w:t>рекомендуется</w:t>
      </w:r>
      <w:r>
        <w:rPr>
          <w:spacing w:val="-9"/>
          <w:sz w:val="20"/>
        </w:rPr>
        <w:t> </w:t>
      </w:r>
      <w:r>
        <w:rPr>
          <w:sz w:val="20"/>
        </w:rPr>
        <w:t>прийти</w:t>
      </w:r>
      <w:r>
        <w:rPr>
          <w:spacing w:val="-9"/>
          <w:sz w:val="20"/>
        </w:rPr>
        <w:t> </w:t>
      </w:r>
      <w:r>
        <w:rPr>
          <w:sz w:val="20"/>
        </w:rPr>
        <w:t>с</w:t>
      </w:r>
      <w:r>
        <w:rPr>
          <w:spacing w:val="-9"/>
          <w:sz w:val="20"/>
        </w:rPr>
        <w:t> </w:t>
      </w:r>
      <w:r>
        <w:rPr>
          <w:sz w:val="20"/>
        </w:rPr>
        <w:t>администрацией;</w:t>
      </w:r>
      <w:r>
        <w:rPr>
          <w:spacing w:val="-9"/>
          <w:sz w:val="20"/>
        </w:rPr>
        <w:t> </w:t>
      </w:r>
      <w:r>
        <w:rPr>
          <w:sz w:val="20"/>
        </w:rPr>
        <w:t>педагог</w:t>
      </w:r>
      <w:r>
        <w:rPr>
          <w:spacing w:val="-9"/>
          <w:sz w:val="20"/>
        </w:rPr>
        <w:t> </w:t>
      </w:r>
      <w:r>
        <w:rPr>
          <w:sz w:val="20"/>
        </w:rPr>
        <w:t>пони- мает формат работы – встречи должны быть только по собственному желанию.</w:t>
      </w:r>
    </w:p>
    <w:p>
      <w:pPr>
        <w:pStyle w:val="ListParagraph"/>
        <w:numPr>
          <w:ilvl w:val="0"/>
          <w:numId w:val="244"/>
        </w:numPr>
        <w:tabs>
          <w:tab w:pos="423" w:val="left" w:leader="none"/>
          <w:tab w:pos="425" w:val="left" w:leader="none"/>
        </w:tabs>
        <w:spacing w:line="235" w:lineRule="auto" w:before="3" w:after="0"/>
        <w:ind w:left="425" w:right="139" w:hanging="284"/>
        <w:jc w:val="both"/>
        <w:rPr>
          <w:sz w:val="20"/>
        </w:rPr>
      </w:pPr>
      <w:r>
        <w:rPr>
          <w:sz w:val="20"/>
        </w:rPr>
        <w:t>Руководитель</w:t>
      </w:r>
      <w:r>
        <w:rPr>
          <w:spacing w:val="-10"/>
          <w:sz w:val="20"/>
        </w:rPr>
        <w:t> </w:t>
      </w:r>
      <w:r>
        <w:rPr>
          <w:sz w:val="20"/>
        </w:rPr>
        <w:t>имеет</w:t>
      </w:r>
      <w:r>
        <w:rPr>
          <w:spacing w:val="-10"/>
          <w:sz w:val="20"/>
        </w:rPr>
        <w:t> </w:t>
      </w:r>
      <w:r>
        <w:rPr>
          <w:sz w:val="20"/>
        </w:rPr>
        <w:t>право</w:t>
      </w:r>
      <w:r>
        <w:rPr>
          <w:spacing w:val="-10"/>
          <w:sz w:val="20"/>
        </w:rPr>
        <w:t> </w:t>
      </w:r>
      <w:r>
        <w:rPr>
          <w:sz w:val="20"/>
        </w:rPr>
        <w:t>остановить</w:t>
      </w:r>
      <w:r>
        <w:rPr>
          <w:spacing w:val="-10"/>
          <w:sz w:val="20"/>
        </w:rPr>
        <w:t> </w:t>
      </w:r>
      <w:r>
        <w:rPr>
          <w:sz w:val="20"/>
        </w:rPr>
        <w:t>работу</w:t>
      </w:r>
      <w:r>
        <w:rPr>
          <w:spacing w:val="-10"/>
          <w:sz w:val="20"/>
        </w:rPr>
        <w:t> </w:t>
      </w:r>
      <w:r>
        <w:rPr>
          <w:sz w:val="20"/>
        </w:rPr>
        <w:t>группы</w:t>
      </w:r>
      <w:r>
        <w:rPr>
          <w:spacing w:val="-10"/>
          <w:sz w:val="20"/>
        </w:rPr>
        <w:t> </w:t>
      </w:r>
      <w:r>
        <w:rPr>
          <w:sz w:val="20"/>
        </w:rPr>
        <w:t>без</w:t>
      </w:r>
      <w:r>
        <w:rPr>
          <w:spacing w:val="-10"/>
          <w:sz w:val="20"/>
        </w:rPr>
        <w:t> </w:t>
      </w:r>
      <w:r>
        <w:rPr>
          <w:sz w:val="20"/>
        </w:rPr>
        <w:t>объяснения</w:t>
      </w:r>
      <w:r>
        <w:rPr>
          <w:spacing w:val="-10"/>
          <w:sz w:val="20"/>
        </w:rPr>
        <w:t> </w:t>
      </w:r>
      <w:r>
        <w:rPr>
          <w:sz w:val="20"/>
        </w:rPr>
        <w:t>причин.</w:t>
      </w:r>
      <w:r>
        <w:rPr>
          <w:spacing w:val="-10"/>
          <w:sz w:val="20"/>
        </w:rPr>
        <w:t> </w:t>
      </w:r>
      <w:r>
        <w:rPr>
          <w:sz w:val="20"/>
        </w:rPr>
        <w:t>Это правило используется, если групповой процесс перестал быть безопасным для участника / участников и установление правил невозможно.</w:t>
      </w:r>
    </w:p>
    <w:p>
      <w:pPr>
        <w:pStyle w:val="ListParagraph"/>
        <w:numPr>
          <w:ilvl w:val="0"/>
          <w:numId w:val="244"/>
        </w:numPr>
        <w:tabs>
          <w:tab w:pos="423" w:val="left" w:leader="none"/>
          <w:tab w:pos="425" w:val="left" w:leader="none"/>
        </w:tabs>
        <w:spacing w:line="240" w:lineRule="auto" w:before="2" w:after="0"/>
        <w:ind w:left="425" w:right="139" w:hanging="284"/>
        <w:jc w:val="both"/>
        <w:rPr>
          <w:sz w:val="20"/>
        </w:rPr>
      </w:pPr>
      <w:r>
        <w:rPr>
          <w:sz w:val="20"/>
        </w:rPr>
        <w:t>Правило</w:t>
      </w:r>
      <w:r>
        <w:rPr>
          <w:spacing w:val="-6"/>
          <w:sz w:val="20"/>
        </w:rPr>
        <w:t> </w:t>
      </w:r>
      <w:r>
        <w:rPr>
          <w:sz w:val="20"/>
        </w:rPr>
        <w:t>«стоп»</w:t>
      </w:r>
      <w:r>
        <w:rPr>
          <w:spacing w:val="-6"/>
          <w:sz w:val="20"/>
        </w:rPr>
        <w:t> </w:t>
      </w:r>
      <w:r>
        <w:rPr>
          <w:sz w:val="20"/>
        </w:rPr>
        <w:t>(правило</w:t>
      </w:r>
      <w:r>
        <w:rPr>
          <w:spacing w:val="-6"/>
          <w:sz w:val="20"/>
        </w:rPr>
        <w:t> </w:t>
      </w:r>
      <w:r>
        <w:rPr>
          <w:sz w:val="20"/>
        </w:rPr>
        <w:t>безопасности)</w:t>
      </w:r>
      <w:r>
        <w:rPr>
          <w:spacing w:val="-6"/>
          <w:sz w:val="20"/>
        </w:rPr>
        <w:t> </w:t>
      </w:r>
      <w:r>
        <w:rPr>
          <w:sz w:val="20"/>
        </w:rPr>
        <w:t>участника,</w:t>
      </w:r>
      <w:r>
        <w:rPr>
          <w:spacing w:val="-6"/>
          <w:sz w:val="20"/>
        </w:rPr>
        <w:t> </w:t>
      </w:r>
      <w:r>
        <w:rPr>
          <w:sz w:val="20"/>
        </w:rPr>
        <w:t>представляющего</w:t>
      </w:r>
      <w:r>
        <w:rPr>
          <w:spacing w:val="-6"/>
          <w:sz w:val="20"/>
        </w:rPr>
        <w:t> </w:t>
      </w:r>
      <w:r>
        <w:rPr>
          <w:sz w:val="20"/>
        </w:rPr>
        <w:t>случай,</w:t>
      </w:r>
      <w:r>
        <w:rPr>
          <w:spacing w:val="-6"/>
          <w:sz w:val="20"/>
        </w:rPr>
        <w:t> </w:t>
      </w:r>
      <w:r>
        <w:rPr>
          <w:sz w:val="20"/>
        </w:rPr>
        <w:t>без </w:t>
      </w:r>
      <w:r>
        <w:rPr>
          <w:spacing w:val="-2"/>
          <w:sz w:val="20"/>
        </w:rPr>
        <w:t>объяснения причин. Может быть использовано участником, представляющим слу- </w:t>
      </w:r>
      <w:r>
        <w:rPr>
          <w:sz w:val="20"/>
        </w:rPr>
        <w:t>чай, если высказывания участников группы кажутся ему небезопасными или по иным причинам.</w:t>
      </w:r>
    </w:p>
    <w:p>
      <w:pPr>
        <w:pStyle w:val="ListParagraph"/>
        <w:numPr>
          <w:ilvl w:val="0"/>
          <w:numId w:val="244"/>
        </w:numPr>
        <w:tabs>
          <w:tab w:pos="423" w:val="left" w:leader="none"/>
          <w:tab w:pos="425" w:val="left" w:leader="none"/>
        </w:tabs>
        <w:spacing w:line="240" w:lineRule="auto" w:before="0" w:after="0"/>
        <w:ind w:left="425" w:right="139" w:hanging="284"/>
        <w:jc w:val="both"/>
        <w:rPr>
          <w:sz w:val="20"/>
        </w:rPr>
      </w:pPr>
      <w:r>
        <w:rPr>
          <w:sz w:val="20"/>
        </w:rPr>
        <w:t>Отсутствие</w:t>
      </w:r>
      <w:r>
        <w:rPr>
          <w:spacing w:val="-12"/>
          <w:sz w:val="20"/>
        </w:rPr>
        <w:t> </w:t>
      </w:r>
      <w:r>
        <w:rPr>
          <w:sz w:val="20"/>
        </w:rPr>
        <w:t>иерархии.</w:t>
      </w:r>
      <w:r>
        <w:rPr>
          <w:spacing w:val="-12"/>
          <w:sz w:val="20"/>
        </w:rPr>
        <w:t> </w:t>
      </w:r>
      <w:r>
        <w:rPr>
          <w:sz w:val="20"/>
        </w:rPr>
        <w:t>Вне</w:t>
      </w:r>
      <w:r>
        <w:rPr>
          <w:spacing w:val="-12"/>
          <w:sz w:val="20"/>
        </w:rPr>
        <w:t> </w:t>
      </w:r>
      <w:r>
        <w:rPr>
          <w:sz w:val="20"/>
        </w:rPr>
        <w:t>зависимости</w:t>
      </w:r>
      <w:r>
        <w:rPr>
          <w:spacing w:val="-12"/>
          <w:sz w:val="20"/>
        </w:rPr>
        <w:t> </w:t>
      </w:r>
      <w:r>
        <w:rPr>
          <w:sz w:val="20"/>
        </w:rPr>
        <w:t>от</w:t>
      </w:r>
      <w:r>
        <w:rPr>
          <w:spacing w:val="-12"/>
          <w:sz w:val="20"/>
        </w:rPr>
        <w:t> </w:t>
      </w:r>
      <w:r>
        <w:rPr>
          <w:sz w:val="20"/>
        </w:rPr>
        <w:t>опыта,</w:t>
      </w:r>
      <w:r>
        <w:rPr>
          <w:spacing w:val="-12"/>
          <w:sz w:val="20"/>
        </w:rPr>
        <w:t> </w:t>
      </w:r>
      <w:r>
        <w:rPr>
          <w:sz w:val="20"/>
        </w:rPr>
        <w:t>социального</w:t>
      </w:r>
      <w:r>
        <w:rPr>
          <w:spacing w:val="-12"/>
          <w:sz w:val="20"/>
        </w:rPr>
        <w:t> </w:t>
      </w:r>
      <w:r>
        <w:rPr>
          <w:sz w:val="20"/>
        </w:rPr>
        <w:t>положения</w:t>
      </w:r>
      <w:r>
        <w:rPr>
          <w:spacing w:val="-12"/>
          <w:sz w:val="20"/>
        </w:rPr>
        <w:t> </w:t>
      </w:r>
      <w:r>
        <w:rPr>
          <w:sz w:val="20"/>
        </w:rPr>
        <w:t>/</w:t>
      </w:r>
      <w:r>
        <w:rPr>
          <w:spacing w:val="-12"/>
          <w:sz w:val="20"/>
        </w:rPr>
        <w:t> </w:t>
      </w:r>
      <w:r>
        <w:rPr>
          <w:sz w:val="20"/>
        </w:rPr>
        <w:t>иерар- хической подчиненности внутри одной работы ВСЕ участники супервизорской группы имеют равную силу голоса и значимости для группы в целом.</w:t>
      </w:r>
    </w:p>
    <w:p>
      <w:pPr>
        <w:pStyle w:val="ListParagraph"/>
        <w:numPr>
          <w:ilvl w:val="0"/>
          <w:numId w:val="244"/>
        </w:numPr>
        <w:tabs>
          <w:tab w:pos="423" w:val="left" w:leader="none"/>
          <w:tab w:pos="425" w:val="left" w:leader="none"/>
        </w:tabs>
        <w:spacing w:line="240" w:lineRule="auto" w:before="0" w:after="0"/>
        <w:ind w:left="425" w:right="139" w:hanging="284"/>
        <w:jc w:val="both"/>
        <w:rPr>
          <w:sz w:val="20"/>
        </w:rPr>
      </w:pPr>
      <w:r>
        <w:rPr>
          <w:sz w:val="20"/>
        </w:rPr>
        <w:t>Не допускаются личные вопросы, касающиеся участника, представляющего слу- чай, а также остальных участников группы. Участники группы могут делиться личным опытом, но учитывая границы профессиональных отношений.</w:t>
      </w:r>
    </w:p>
    <w:p>
      <w:pPr>
        <w:pStyle w:val="ListParagraph"/>
        <w:numPr>
          <w:ilvl w:val="0"/>
          <w:numId w:val="244"/>
        </w:numPr>
        <w:tabs>
          <w:tab w:pos="423" w:val="left" w:leader="none"/>
          <w:tab w:pos="425" w:val="left" w:leader="none"/>
        </w:tabs>
        <w:spacing w:line="240" w:lineRule="auto" w:before="0" w:after="0"/>
        <w:ind w:left="425" w:right="139" w:hanging="284"/>
        <w:jc w:val="both"/>
        <w:rPr>
          <w:sz w:val="20"/>
        </w:rPr>
      </w:pPr>
      <w:r>
        <w:rPr>
          <w:sz w:val="20"/>
        </w:rPr>
        <w:t>Не</w:t>
      </w:r>
      <w:r>
        <w:rPr>
          <w:spacing w:val="-8"/>
          <w:sz w:val="20"/>
        </w:rPr>
        <w:t> </w:t>
      </w:r>
      <w:r>
        <w:rPr>
          <w:sz w:val="20"/>
        </w:rPr>
        <w:t>даются</w:t>
      </w:r>
      <w:r>
        <w:rPr>
          <w:spacing w:val="-8"/>
          <w:sz w:val="20"/>
        </w:rPr>
        <w:t> </w:t>
      </w:r>
      <w:r>
        <w:rPr>
          <w:sz w:val="20"/>
        </w:rPr>
        <w:t>советы,</w:t>
      </w:r>
      <w:r>
        <w:rPr>
          <w:spacing w:val="-8"/>
          <w:sz w:val="20"/>
        </w:rPr>
        <w:t> </w:t>
      </w:r>
      <w:r>
        <w:rPr>
          <w:sz w:val="20"/>
        </w:rPr>
        <w:t>не</w:t>
      </w:r>
      <w:r>
        <w:rPr>
          <w:spacing w:val="-8"/>
          <w:sz w:val="20"/>
        </w:rPr>
        <w:t> </w:t>
      </w:r>
      <w:r>
        <w:rPr>
          <w:sz w:val="20"/>
        </w:rPr>
        <w:t>дается</w:t>
      </w:r>
      <w:r>
        <w:rPr>
          <w:spacing w:val="-8"/>
          <w:sz w:val="20"/>
        </w:rPr>
        <w:t> </w:t>
      </w:r>
      <w:r>
        <w:rPr>
          <w:sz w:val="20"/>
        </w:rPr>
        <w:t>оценка</w:t>
      </w:r>
      <w:r>
        <w:rPr>
          <w:spacing w:val="-8"/>
          <w:sz w:val="20"/>
        </w:rPr>
        <w:t> </w:t>
      </w:r>
      <w:r>
        <w:rPr>
          <w:sz w:val="20"/>
        </w:rPr>
        <w:t>профессиональных</w:t>
      </w:r>
      <w:r>
        <w:rPr>
          <w:spacing w:val="-8"/>
          <w:sz w:val="20"/>
        </w:rPr>
        <w:t> </w:t>
      </w:r>
      <w:r>
        <w:rPr>
          <w:sz w:val="20"/>
        </w:rPr>
        <w:t>умений/навыков</w:t>
      </w:r>
      <w:r>
        <w:rPr>
          <w:spacing w:val="-8"/>
          <w:sz w:val="20"/>
        </w:rPr>
        <w:t> </w:t>
      </w:r>
      <w:r>
        <w:rPr>
          <w:sz w:val="20"/>
        </w:rPr>
        <w:t>участни- ков, запрещается экспертная позиция по отношению к другим участникам.</w:t>
      </w:r>
    </w:p>
    <w:p>
      <w:pPr>
        <w:pStyle w:val="ListParagraph"/>
        <w:numPr>
          <w:ilvl w:val="0"/>
          <w:numId w:val="244"/>
        </w:numPr>
        <w:tabs>
          <w:tab w:pos="423" w:val="left" w:leader="none"/>
          <w:tab w:pos="425" w:val="left" w:leader="none"/>
        </w:tabs>
        <w:spacing w:line="240" w:lineRule="auto" w:before="0" w:after="0"/>
        <w:ind w:left="425" w:right="139" w:hanging="284"/>
        <w:jc w:val="both"/>
        <w:rPr>
          <w:sz w:val="20"/>
        </w:rPr>
      </w:pPr>
      <w:r>
        <w:rPr>
          <w:sz w:val="20"/>
        </w:rPr>
        <w:t>Приветствуется</w:t>
      </w:r>
      <w:r>
        <w:rPr>
          <w:spacing w:val="-6"/>
          <w:sz w:val="20"/>
        </w:rPr>
        <w:t> </w:t>
      </w:r>
      <w:r>
        <w:rPr>
          <w:sz w:val="20"/>
        </w:rPr>
        <w:t>обсуждение</w:t>
      </w:r>
      <w:r>
        <w:rPr>
          <w:spacing w:val="-6"/>
          <w:sz w:val="20"/>
        </w:rPr>
        <w:t> </w:t>
      </w:r>
      <w:r>
        <w:rPr>
          <w:sz w:val="20"/>
        </w:rPr>
        <w:t>без</w:t>
      </w:r>
      <w:r>
        <w:rPr>
          <w:spacing w:val="-6"/>
          <w:sz w:val="20"/>
        </w:rPr>
        <w:t> </w:t>
      </w:r>
      <w:r>
        <w:rPr>
          <w:sz w:val="20"/>
        </w:rPr>
        <w:t>использования</w:t>
      </w:r>
      <w:r>
        <w:rPr>
          <w:spacing w:val="-6"/>
          <w:sz w:val="20"/>
        </w:rPr>
        <w:t> </w:t>
      </w:r>
      <w:r>
        <w:rPr>
          <w:sz w:val="20"/>
        </w:rPr>
        <w:t>профессиональной</w:t>
      </w:r>
      <w:r>
        <w:rPr>
          <w:spacing w:val="-6"/>
          <w:sz w:val="20"/>
        </w:rPr>
        <w:t> </w:t>
      </w:r>
      <w:r>
        <w:rPr>
          <w:sz w:val="20"/>
        </w:rPr>
        <w:t>терминологии на</w:t>
      </w:r>
      <w:r>
        <w:rPr>
          <w:spacing w:val="-11"/>
          <w:sz w:val="20"/>
        </w:rPr>
        <w:t> </w:t>
      </w:r>
      <w:r>
        <w:rPr>
          <w:sz w:val="20"/>
        </w:rPr>
        <w:t>этапе</w:t>
      </w:r>
      <w:r>
        <w:rPr>
          <w:spacing w:val="-11"/>
          <w:sz w:val="20"/>
        </w:rPr>
        <w:t> </w:t>
      </w:r>
      <w:r>
        <w:rPr>
          <w:sz w:val="20"/>
        </w:rPr>
        <w:t>анализа</w:t>
      </w:r>
      <w:r>
        <w:rPr>
          <w:spacing w:val="-11"/>
          <w:sz w:val="20"/>
        </w:rPr>
        <w:t> </w:t>
      </w:r>
      <w:r>
        <w:rPr>
          <w:sz w:val="20"/>
        </w:rPr>
        <w:t>случая</w:t>
      </w:r>
      <w:r>
        <w:rPr>
          <w:spacing w:val="-12"/>
          <w:sz w:val="20"/>
        </w:rPr>
        <w:t> </w:t>
      </w:r>
      <w:r>
        <w:rPr>
          <w:sz w:val="20"/>
        </w:rPr>
        <w:t>и</w:t>
      </w:r>
      <w:r>
        <w:rPr>
          <w:spacing w:val="-11"/>
          <w:sz w:val="20"/>
        </w:rPr>
        <w:t> </w:t>
      </w:r>
      <w:r>
        <w:rPr>
          <w:sz w:val="20"/>
        </w:rPr>
        <w:t>использование</w:t>
      </w:r>
      <w:r>
        <w:rPr>
          <w:spacing w:val="-11"/>
          <w:sz w:val="20"/>
        </w:rPr>
        <w:t> </w:t>
      </w:r>
      <w:r>
        <w:rPr>
          <w:sz w:val="20"/>
        </w:rPr>
        <w:t>профессионального</w:t>
      </w:r>
      <w:r>
        <w:rPr>
          <w:spacing w:val="-11"/>
          <w:sz w:val="20"/>
        </w:rPr>
        <w:t> </w:t>
      </w:r>
      <w:r>
        <w:rPr>
          <w:sz w:val="20"/>
        </w:rPr>
        <w:t>языка</w:t>
      </w:r>
      <w:r>
        <w:rPr>
          <w:spacing w:val="-11"/>
          <w:sz w:val="20"/>
        </w:rPr>
        <w:t> </w:t>
      </w:r>
      <w:r>
        <w:rPr>
          <w:sz w:val="20"/>
        </w:rPr>
        <w:t>на</w:t>
      </w:r>
      <w:r>
        <w:rPr>
          <w:spacing w:val="-11"/>
          <w:sz w:val="20"/>
        </w:rPr>
        <w:t> </w:t>
      </w:r>
      <w:r>
        <w:rPr>
          <w:sz w:val="20"/>
        </w:rPr>
        <w:t>этапе</w:t>
      </w:r>
      <w:r>
        <w:rPr>
          <w:spacing w:val="-11"/>
          <w:sz w:val="20"/>
        </w:rPr>
        <w:t> </w:t>
      </w:r>
      <w:r>
        <w:rPr>
          <w:sz w:val="20"/>
        </w:rPr>
        <w:t>обоб- щения результатов работы группы.</w:t>
      </w:r>
    </w:p>
    <w:p>
      <w:pPr>
        <w:pStyle w:val="ListParagraph"/>
        <w:numPr>
          <w:ilvl w:val="0"/>
          <w:numId w:val="244"/>
        </w:numPr>
        <w:tabs>
          <w:tab w:pos="423" w:val="left" w:leader="none"/>
          <w:tab w:pos="425" w:val="left" w:leader="none"/>
        </w:tabs>
        <w:spacing w:line="240" w:lineRule="auto" w:before="0" w:after="0"/>
        <w:ind w:left="425" w:right="139" w:hanging="284"/>
        <w:jc w:val="both"/>
        <w:rPr>
          <w:sz w:val="20"/>
        </w:rPr>
      </w:pPr>
      <w:r>
        <w:rPr>
          <w:sz w:val="20"/>
        </w:rPr>
        <w:t>Важно</w:t>
      </w:r>
      <w:r>
        <w:rPr>
          <w:spacing w:val="-1"/>
          <w:sz w:val="20"/>
        </w:rPr>
        <w:t> </w:t>
      </w:r>
      <w:r>
        <w:rPr>
          <w:sz w:val="20"/>
        </w:rPr>
        <w:t>строго</w:t>
      </w:r>
      <w:r>
        <w:rPr>
          <w:spacing w:val="-1"/>
          <w:sz w:val="20"/>
        </w:rPr>
        <w:t> </w:t>
      </w:r>
      <w:r>
        <w:rPr>
          <w:sz w:val="20"/>
        </w:rPr>
        <w:t>удерживать</w:t>
      </w:r>
      <w:r>
        <w:rPr>
          <w:spacing w:val="-1"/>
          <w:sz w:val="20"/>
        </w:rPr>
        <w:t> </w:t>
      </w:r>
      <w:r>
        <w:rPr>
          <w:sz w:val="20"/>
        </w:rPr>
        <w:t>договоренности</w:t>
      </w:r>
      <w:r>
        <w:rPr>
          <w:spacing w:val="-1"/>
          <w:sz w:val="20"/>
        </w:rPr>
        <w:t> </w:t>
      </w:r>
      <w:r>
        <w:rPr>
          <w:sz w:val="20"/>
        </w:rPr>
        <w:t>по</w:t>
      </w:r>
      <w:r>
        <w:rPr>
          <w:spacing w:val="-1"/>
          <w:sz w:val="20"/>
        </w:rPr>
        <w:t> </w:t>
      </w:r>
      <w:r>
        <w:rPr>
          <w:sz w:val="20"/>
        </w:rPr>
        <w:t>организационным</w:t>
      </w:r>
      <w:r>
        <w:rPr>
          <w:spacing w:val="-1"/>
          <w:sz w:val="20"/>
        </w:rPr>
        <w:t> </w:t>
      </w:r>
      <w:r>
        <w:rPr>
          <w:sz w:val="20"/>
        </w:rPr>
        <w:t>условиям</w:t>
      </w:r>
      <w:r>
        <w:rPr>
          <w:spacing w:val="-1"/>
          <w:sz w:val="20"/>
        </w:rPr>
        <w:t> </w:t>
      </w:r>
      <w:r>
        <w:rPr>
          <w:sz w:val="20"/>
        </w:rPr>
        <w:t>прове- дения</w:t>
      </w:r>
      <w:r>
        <w:rPr>
          <w:spacing w:val="-13"/>
          <w:sz w:val="20"/>
        </w:rPr>
        <w:t> </w:t>
      </w:r>
      <w:r>
        <w:rPr>
          <w:sz w:val="20"/>
        </w:rPr>
        <w:t>группы:</w:t>
      </w:r>
      <w:r>
        <w:rPr>
          <w:spacing w:val="-12"/>
          <w:sz w:val="20"/>
        </w:rPr>
        <w:t> </w:t>
      </w:r>
      <w:r>
        <w:rPr>
          <w:sz w:val="20"/>
        </w:rPr>
        <w:t>время</w:t>
      </w:r>
      <w:r>
        <w:rPr>
          <w:spacing w:val="-13"/>
          <w:sz w:val="20"/>
        </w:rPr>
        <w:t> </w:t>
      </w:r>
      <w:r>
        <w:rPr>
          <w:sz w:val="20"/>
        </w:rPr>
        <w:t>начала</w:t>
      </w:r>
      <w:r>
        <w:rPr>
          <w:spacing w:val="-12"/>
          <w:sz w:val="20"/>
        </w:rPr>
        <w:t> </w:t>
      </w:r>
      <w:r>
        <w:rPr>
          <w:sz w:val="20"/>
        </w:rPr>
        <w:t>и</w:t>
      </w:r>
      <w:r>
        <w:rPr>
          <w:spacing w:val="-13"/>
          <w:sz w:val="20"/>
        </w:rPr>
        <w:t> </w:t>
      </w:r>
      <w:r>
        <w:rPr>
          <w:sz w:val="20"/>
        </w:rPr>
        <w:t>окончания</w:t>
      </w:r>
      <w:r>
        <w:rPr>
          <w:spacing w:val="-12"/>
          <w:sz w:val="20"/>
        </w:rPr>
        <w:t> </w:t>
      </w:r>
      <w:r>
        <w:rPr>
          <w:sz w:val="20"/>
        </w:rPr>
        <w:t>четко</w:t>
      </w:r>
      <w:r>
        <w:rPr>
          <w:spacing w:val="-13"/>
          <w:sz w:val="20"/>
        </w:rPr>
        <w:t> </w:t>
      </w:r>
      <w:r>
        <w:rPr>
          <w:sz w:val="20"/>
        </w:rPr>
        <w:t>удерживаются</w:t>
      </w:r>
      <w:r>
        <w:rPr>
          <w:spacing w:val="-12"/>
          <w:sz w:val="20"/>
        </w:rPr>
        <w:t> </w:t>
      </w:r>
      <w:r>
        <w:rPr>
          <w:sz w:val="20"/>
        </w:rPr>
        <w:t>всеми</w:t>
      </w:r>
      <w:r>
        <w:rPr>
          <w:spacing w:val="-13"/>
          <w:sz w:val="20"/>
        </w:rPr>
        <w:t> </w:t>
      </w:r>
      <w:r>
        <w:rPr>
          <w:sz w:val="20"/>
        </w:rPr>
        <w:t>участниками, запрещено использовать телефон и другие способы выхода из процесса работы группы (например, выходить из группы в ходе работы без предупреждения ее участников).</w:t>
      </w:r>
      <w:r>
        <w:rPr>
          <w:spacing w:val="-11"/>
          <w:sz w:val="20"/>
        </w:rPr>
        <w:t> </w:t>
      </w:r>
      <w:r>
        <w:rPr>
          <w:sz w:val="20"/>
        </w:rPr>
        <w:t>Все</w:t>
      </w:r>
      <w:r>
        <w:rPr>
          <w:spacing w:val="-11"/>
          <w:sz w:val="20"/>
        </w:rPr>
        <w:t> </w:t>
      </w:r>
      <w:r>
        <w:rPr>
          <w:sz w:val="20"/>
        </w:rPr>
        <w:t>пространственные</w:t>
      </w:r>
      <w:r>
        <w:rPr>
          <w:spacing w:val="-11"/>
          <w:sz w:val="20"/>
        </w:rPr>
        <w:t> </w:t>
      </w:r>
      <w:r>
        <w:rPr>
          <w:sz w:val="20"/>
        </w:rPr>
        <w:t>и</w:t>
      </w:r>
      <w:r>
        <w:rPr>
          <w:spacing w:val="-11"/>
          <w:sz w:val="20"/>
        </w:rPr>
        <w:t> </w:t>
      </w:r>
      <w:r>
        <w:rPr>
          <w:sz w:val="20"/>
        </w:rPr>
        <w:t>временные</w:t>
      </w:r>
      <w:r>
        <w:rPr>
          <w:spacing w:val="-11"/>
          <w:sz w:val="20"/>
        </w:rPr>
        <w:t> </w:t>
      </w:r>
      <w:r>
        <w:rPr>
          <w:sz w:val="20"/>
        </w:rPr>
        <w:t>условия,</w:t>
      </w:r>
      <w:r>
        <w:rPr>
          <w:spacing w:val="-11"/>
          <w:sz w:val="20"/>
        </w:rPr>
        <w:t> </w:t>
      </w:r>
      <w:r>
        <w:rPr>
          <w:sz w:val="20"/>
        </w:rPr>
        <w:t>оговоренные</w:t>
      </w:r>
      <w:r>
        <w:rPr>
          <w:spacing w:val="-11"/>
          <w:sz w:val="20"/>
        </w:rPr>
        <w:t> </w:t>
      </w:r>
      <w:r>
        <w:rPr>
          <w:sz w:val="20"/>
        </w:rPr>
        <w:t>до</w:t>
      </w:r>
      <w:r>
        <w:rPr>
          <w:spacing w:val="-11"/>
          <w:sz w:val="20"/>
        </w:rPr>
        <w:t> </w:t>
      </w:r>
      <w:r>
        <w:rPr>
          <w:sz w:val="20"/>
        </w:rPr>
        <w:t>начала работы группы, должны четко соблюдаться.</w:t>
      </w:r>
    </w:p>
    <w:p>
      <w:pPr>
        <w:spacing w:line="237" w:lineRule="auto" w:before="2"/>
        <w:ind w:left="141" w:right="139" w:firstLine="283"/>
        <w:jc w:val="right"/>
        <w:rPr>
          <w:sz w:val="20"/>
        </w:rPr>
      </w:pPr>
      <w:r>
        <w:rPr>
          <w:i/>
          <w:sz w:val="20"/>
        </w:rPr>
        <w:t>Количество</w:t>
      </w:r>
      <w:r>
        <w:rPr>
          <w:i/>
          <w:spacing w:val="-12"/>
          <w:sz w:val="20"/>
        </w:rPr>
        <w:t> </w:t>
      </w:r>
      <w:r>
        <w:rPr>
          <w:i/>
          <w:sz w:val="20"/>
        </w:rPr>
        <w:t>участников</w:t>
      </w:r>
      <w:r>
        <w:rPr>
          <w:sz w:val="20"/>
        </w:rPr>
        <w:t>:</w:t>
      </w:r>
      <w:r>
        <w:rPr>
          <w:spacing w:val="-12"/>
          <w:sz w:val="20"/>
        </w:rPr>
        <w:t> </w:t>
      </w:r>
      <w:r>
        <w:rPr>
          <w:sz w:val="20"/>
        </w:rPr>
        <w:t>наиболее</w:t>
      </w:r>
      <w:r>
        <w:rPr>
          <w:spacing w:val="-12"/>
          <w:sz w:val="20"/>
        </w:rPr>
        <w:t> </w:t>
      </w:r>
      <w:r>
        <w:rPr>
          <w:sz w:val="20"/>
        </w:rPr>
        <w:t>продуктивное</w:t>
      </w:r>
      <w:r>
        <w:rPr>
          <w:spacing w:val="-12"/>
          <w:sz w:val="20"/>
        </w:rPr>
        <w:t> </w:t>
      </w:r>
      <w:r>
        <w:rPr>
          <w:sz w:val="20"/>
        </w:rPr>
        <w:t>количество</w:t>
      </w:r>
      <w:r>
        <w:rPr>
          <w:spacing w:val="-12"/>
          <w:sz w:val="20"/>
        </w:rPr>
        <w:t> </w:t>
      </w:r>
      <w:r>
        <w:rPr>
          <w:sz w:val="20"/>
        </w:rPr>
        <w:t>участников</w:t>
      </w:r>
      <w:r>
        <w:rPr>
          <w:spacing w:val="-12"/>
          <w:sz w:val="20"/>
        </w:rPr>
        <w:t> </w:t>
      </w:r>
      <w:r>
        <w:rPr>
          <w:sz w:val="20"/>
        </w:rPr>
        <w:t>не</w:t>
      </w:r>
      <w:r>
        <w:rPr>
          <w:spacing w:val="-12"/>
          <w:sz w:val="20"/>
        </w:rPr>
        <w:t> </w:t>
      </w:r>
      <w:r>
        <w:rPr>
          <w:sz w:val="20"/>
        </w:rPr>
        <w:t>менее трех и не более 15. Большее число участников нарушает атмосферу безопасности и не</w:t>
      </w:r>
      <w:r>
        <w:rPr>
          <w:spacing w:val="-12"/>
          <w:sz w:val="20"/>
        </w:rPr>
        <w:t> </w:t>
      </w:r>
      <w:r>
        <w:rPr>
          <w:sz w:val="20"/>
        </w:rPr>
        <w:t>позволяет</w:t>
      </w:r>
      <w:r>
        <w:rPr>
          <w:spacing w:val="-12"/>
          <w:sz w:val="20"/>
        </w:rPr>
        <w:t> </w:t>
      </w:r>
      <w:r>
        <w:rPr>
          <w:sz w:val="20"/>
        </w:rPr>
        <w:t>всем</w:t>
      </w:r>
      <w:r>
        <w:rPr>
          <w:spacing w:val="-12"/>
          <w:sz w:val="20"/>
        </w:rPr>
        <w:t> </w:t>
      </w:r>
      <w:r>
        <w:rPr>
          <w:sz w:val="20"/>
        </w:rPr>
        <w:t>быть</w:t>
      </w:r>
      <w:r>
        <w:rPr>
          <w:spacing w:val="-12"/>
          <w:sz w:val="20"/>
        </w:rPr>
        <w:t> </w:t>
      </w:r>
      <w:r>
        <w:rPr>
          <w:sz w:val="20"/>
        </w:rPr>
        <w:t>в</w:t>
      </w:r>
      <w:r>
        <w:rPr>
          <w:spacing w:val="-12"/>
          <w:sz w:val="20"/>
        </w:rPr>
        <w:t> </w:t>
      </w:r>
      <w:r>
        <w:rPr>
          <w:sz w:val="20"/>
        </w:rPr>
        <w:t>достаточной</w:t>
      </w:r>
      <w:r>
        <w:rPr>
          <w:spacing w:val="-12"/>
          <w:sz w:val="20"/>
        </w:rPr>
        <w:t> </w:t>
      </w:r>
      <w:r>
        <w:rPr>
          <w:sz w:val="20"/>
        </w:rPr>
        <w:t>степени</w:t>
      </w:r>
      <w:r>
        <w:rPr>
          <w:spacing w:val="-12"/>
          <w:sz w:val="20"/>
        </w:rPr>
        <w:t> </w:t>
      </w:r>
      <w:r>
        <w:rPr>
          <w:sz w:val="20"/>
        </w:rPr>
        <w:t>активными</w:t>
      </w:r>
      <w:r>
        <w:rPr>
          <w:spacing w:val="-12"/>
          <w:sz w:val="20"/>
        </w:rPr>
        <w:t> </w:t>
      </w:r>
      <w:r>
        <w:rPr>
          <w:sz w:val="20"/>
        </w:rPr>
        <w:t>в</w:t>
      </w:r>
      <w:r>
        <w:rPr>
          <w:spacing w:val="-12"/>
          <w:sz w:val="20"/>
        </w:rPr>
        <w:t> </w:t>
      </w:r>
      <w:r>
        <w:rPr>
          <w:sz w:val="20"/>
        </w:rPr>
        <w:t>процессе</w:t>
      </w:r>
      <w:r>
        <w:rPr>
          <w:spacing w:val="-12"/>
          <w:sz w:val="20"/>
        </w:rPr>
        <w:t> </w:t>
      </w:r>
      <w:r>
        <w:rPr>
          <w:sz w:val="20"/>
        </w:rPr>
        <w:t>работы</w:t>
      </w:r>
      <w:r>
        <w:rPr>
          <w:spacing w:val="-12"/>
          <w:sz w:val="20"/>
        </w:rPr>
        <w:t> </w:t>
      </w:r>
      <w:r>
        <w:rPr>
          <w:sz w:val="20"/>
        </w:rPr>
        <w:t>группы. </w:t>
      </w:r>
      <w:r>
        <w:rPr>
          <w:i/>
          <w:sz w:val="20"/>
        </w:rPr>
        <w:t>Частота проведения</w:t>
      </w:r>
      <w:r>
        <w:rPr>
          <w:sz w:val="20"/>
        </w:rPr>
        <w:t>: </w:t>
      </w:r>
      <w:r>
        <w:rPr>
          <w:i/>
          <w:sz w:val="20"/>
        </w:rPr>
        <w:t>не реже 1 раза в месяц. Работа группы предполагает ре- гулярность как условие удержания правил работы и условие становления профес- сиональных</w:t>
      </w:r>
      <w:r>
        <w:rPr>
          <w:i/>
          <w:spacing w:val="-5"/>
          <w:sz w:val="20"/>
        </w:rPr>
        <w:t> </w:t>
      </w:r>
      <w:r>
        <w:rPr>
          <w:i/>
          <w:sz w:val="20"/>
        </w:rPr>
        <w:t>навыков</w:t>
      </w:r>
      <w:r>
        <w:rPr>
          <w:i/>
          <w:spacing w:val="-6"/>
          <w:sz w:val="20"/>
        </w:rPr>
        <w:t> </w:t>
      </w:r>
      <w:r>
        <w:rPr>
          <w:i/>
          <w:sz w:val="20"/>
        </w:rPr>
        <w:t>участников</w:t>
      </w:r>
      <w:r>
        <w:rPr>
          <w:sz w:val="20"/>
        </w:rPr>
        <w:t>.</w:t>
      </w:r>
      <w:r>
        <w:rPr>
          <w:spacing w:val="-5"/>
          <w:sz w:val="20"/>
        </w:rPr>
        <w:t> </w:t>
      </w:r>
      <w:r>
        <w:rPr>
          <w:sz w:val="20"/>
        </w:rPr>
        <w:t>Желательно,</w:t>
      </w:r>
      <w:r>
        <w:rPr>
          <w:spacing w:val="-5"/>
          <w:sz w:val="20"/>
        </w:rPr>
        <w:t> </w:t>
      </w:r>
      <w:r>
        <w:rPr>
          <w:sz w:val="20"/>
        </w:rPr>
        <w:t>чтобы</w:t>
      </w:r>
      <w:r>
        <w:rPr>
          <w:spacing w:val="-5"/>
          <w:sz w:val="20"/>
        </w:rPr>
        <w:t> </w:t>
      </w:r>
      <w:r>
        <w:rPr>
          <w:sz w:val="20"/>
        </w:rPr>
        <w:t>группа</w:t>
      </w:r>
      <w:r>
        <w:rPr>
          <w:spacing w:val="-5"/>
          <w:sz w:val="20"/>
        </w:rPr>
        <w:t> </w:t>
      </w:r>
      <w:r>
        <w:rPr>
          <w:sz w:val="20"/>
        </w:rPr>
        <w:t>существовала</w:t>
      </w:r>
      <w:r>
        <w:rPr>
          <w:spacing w:val="-5"/>
          <w:sz w:val="20"/>
        </w:rPr>
        <w:t> </w:t>
      </w:r>
      <w:r>
        <w:rPr>
          <w:sz w:val="20"/>
        </w:rPr>
        <w:t>в</w:t>
      </w:r>
      <w:r>
        <w:rPr>
          <w:spacing w:val="-5"/>
          <w:sz w:val="20"/>
        </w:rPr>
        <w:t> </w:t>
      </w:r>
      <w:r>
        <w:rPr>
          <w:sz w:val="20"/>
        </w:rPr>
        <w:t>течение года-двух.</w:t>
      </w:r>
      <w:r>
        <w:rPr>
          <w:spacing w:val="21"/>
          <w:sz w:val="20"/>
        </w:rPr>
        <w:t> </w:t>
      </w:r>
      <w:r>
        <w:rPr>
          <w:sz w:val="20"/>
        </w:rPr>
        <w:t>Это</w:t>
      </w:r>
      <w:r>
        <w:rPr>
          <w:spacing w:val="21"/>
          <w:sz w:val="20"/>
        </w:rPr>
        <w:t> </w:t>
      </w:r>
      <w:r>
        <w:rPr>
          <w:sz w:val="20"/>
        </w:rPr>
        <w:t>необходимо,</w:t>
      </w:r>
      <w:r>
        <w:rPr>
          <w:spacing w:val="21"/>
          <w:sz w:val="20"/>
        </w:rPr>
        <w:t> </w:t>
      </w:r>
      <w:r>
        <w:rPr>
          <w:sz w:val="20"/>
        </w:rPr>
        <w:t>поскольку</w:t>
      </w:r>
      <w:r>
        <w:rPr>
          <w:spacing w:val="21"/>
          <w:sz w:val="20"/>
        </w:rPr>
        <w:t> </w:t>
      </w:r>
      <w:r>
        <w:rPr>
          <w:sz w:val="20"/>
        </w:rPr>
        <w:t>групповые</w:t>
      </w:r>
      <w:r>
        <w:rPr>
          <w:spacing w:val="21"/>
          <w:sz w:val="20"/>
        </w:rPr>
        <w:t> </w:t>
      </w:r>
      <w:r>
        <w:rPr>
          <w:sz w:val="20"/>
        </w:rPr>
        <w:t>отношения,</w:t>
      </w:r>
      <w:r>
        <w:rPr>
          <w:spacing w:val="21"/>
          <w:sz w:val="20"/>
        </w:rPr>
        <w:t> </w:t>
      </w:r>
      <w:r>
        <w:rPr>
          <w:sz w:val="20"/>
        </w:rPr>
        <w:t>основанные</w:t>
      </w:r>
      <w:r>
        <w:rPr>
          <w:spacing w:val="21"/>
          <w:sz w:val="20"/>
        </w:rPr>
        <w:t> </w:t>
      </w:r>
      <w:r>
        <w:rPr>
          <w:sz w:val="20"/>
        </w:rPr>
        <w:t>на</w:t>
      </w:r>
      <w:r>
        <w:rPr>
          <w:spacing w:val="21"/>
          <w:sz w:val="20"/>
        </w:rPr>
        <w:t> </w:t>
      </w:r>
      <w:r>
        <w:rPr>
          <w:sz w:val="20"/>
        </w:rPr>
        <w:t>цен- ностях и правилах, являются важным условием продуктивности подобных практик. Также</w:t>
      </w:r>
      <w:r>
        <w:rPr>
          <w:spacing w:val="-1"/>
          <w:sz w:val="20"/>
        </w:rPr>
        <w:t> </w:t>
      </w:r>
      <w:r>
        <w:rPr>
          <w:sz w:val="20"/>
        </w:rPr>
        <w:t>важно</w:t>
      </w:r>
      <w:r>
        <w:rPr>
          <w:spacing w:val="2"/>
          <w:sz w:val="20"/>
        </w:rPr>
        <w:t> </w:t>
      </w:r>
      <w:r>
        <w:rPr>
          <w:sz w:val="20"/>
        </w:rPr>
        <w:t>предупреждать</w:t>
      </w:r>
      <w:r>
        <w:rPr>
          <w:spacing w:val="2"/>
          <w:sz w:val="20"/>
        </w:rPr>
        <w:t> </w:t>
      </w:r>
      <w:r>
        <w:rPr>
          <w:sz w:val="20"/>
        </w:rPr>
        <w:t>участников</w:t>
      </w:r>
      <w:r>
        <w:rPr>
          <w:spacing w:val="2"/>
          <w:sz w:val="20"/>
        </w:rPr>
        <w:t> </w:t>
      </w:r>
      <w:r>
        <w:rPr>
          <w:sz w:val="20"/>
        </w:rPr>
        <w:t>об</w:t>
      </w:r>
      <w:r>
        <w:rPr>
          <w:spacing w:val="2"/>
          <w:sz w:val="20"/>
        </w:rPr>
        <w:t> </w:t>
      </w:r>
      <w:r>
        <w:rPr>
          <w:sz w:val="20"/>
        </w:rPr>
        <w:t>обязательности</w:t>
      </w:r>
      <w:r>
        <w:rPr>
          <w:spacing w:val="2"/>
          <w:sz w:val="20"/>
        </w:rPr>
        <w:t> </w:t>
      </w:r>
      <w:r>
        <w:rPr>
          <w:sz w:val="20"/>
        </w:rPr>
        <w:t>участия:</w:t>
      </w:r>
      <w:r>
        <w:rPr>
          <w:spacing w:val="2"/>
          <w:sz w:val="20"/>
        </w:rPr>
        <w:t> </w:t>
      </w:r>
      <w:r>
        <w:rPr>
          <w:sz w:val="20"/>
        </w:rPr>
        <w:t>пропуск</w:t>
      </w:r>
      <w:r>
        <w:rPr>
          <w:spacing w:val="2"/>
          <w:sz w:val="20"/>
        </w:rPr>
        <w:t> </w:t>
      </w:r>
      <w:r>
        <w:rPr>
          <w:spacing w:val="-2"/>
          <w:sz w:val="20"/>
        </w:rPr>
        <w:t>встреч</w:t>
      </w:r>
    </w:p>
    <w:p>
      <w:pPr>
        <w:spacing w:after="0" w:line="237" w:lineRule="auto"/>
        <w:jc w:val="right"/>
        <w:rPr>
          <w:sz w:val="20"/>
        </w:rPr>
        <w:sectPr>
          <w:pgSz w:w="8400" w:h="11910"/>
          <w:pgMar w:header="0" w:footer="529" w:top="400" w:bottom="740" w:left="425" w:right="425"/>
        </w:sectPr>
      </w:pPr>
    </w:p>
    <w:p>
      <w:pPr>
        <w:pStyle w:val="ListParagraph"/>
        <w:numPr>
          <w:ilvl w:val="1"/>
          <w:numId w:val="226"/>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Алгоритм разбора</w:t>
      </w:r>
      <w:r>
        <w:rPr>
          <w:rFonts w:ascii="Georgia" w:hAnsi="Georgia"/>
          <w:color w:val="231F20"/>
          <w:spacing w:val="1"/>
          <w:sz w:val="18"/>
        </w:rPr>
        <w:t> </w:t>
      </w:r>
      <w:r>
        <w:rPr>
          <w:rFonts w:ascii="Georgia" w:hAnsi="Georgia"/>
          <w:color w:val="231F20"/>
          <w:sz w:val="18"/>
        </w:rPr>
        <w:t>педагогического</w:t>
      </w:r>
      <w:r>
        <w:rPr>
          <w:rFonts w:ascii="Georgia" w:hAnsi="Georgia"/>
          <w:color w:val="231F20"/>
          <w:spacing w:val="1"/>
          <w:sz w:val="18"/>
        </w:rPr>
        <w:t> </w:t>
      </w:r>
      <w:r>
        <w:rPr>
          <w:rFonts w:ascii="Georgia" w:hAnsi="Georgia"/>
          <w:color w:val="231F20"/>
          <w:sz w:val="18"/>
        </w:rPr>
        <w:t>случая,</w:t>
      </w:r>
      <w:r>
        <w:rPr>
          <w:rFonts w:ascii="Georgia" w:hAnsi="Georgia"/>
          <w:color w:val="231F20"/>
          <w:spacing w:val="1"/>
          <w:sz w:val="18"/>
        </w:rPr>
        <w:t> </w:t>
      </w:r>
      <w:r>
        <w:rPr>
          <w:rFonts w:ascii="Georgia" w:hAnsi="Georgia"/>
          <w:color w:val="231F20"/>
          <w:sz w:val="18"/>
        </w:rPr>
        <w:t>связанного</w:t>
      </w:r>
      <w:r>
        <w:rPr>
          <w:rFonts w:ascii="Georgia" w:hAnsi="Georgia"/>
          <w:color w:val="231F20"/>
          <w:spacing w:val="1"/>
          <w:sz w:val="18"/>
        </w:rPr>
        <w:t> </w:t>
      </w:r>
      <w:r>
        <w:rPr>
          <w:rFonts w:ascii="Georgia" w:hAnsi="Georgia"/>
          <w:color w:val="231F20"/>
          <w:sz w:val="18"/>
        </w:rPr>
        <w:t>с</w:t>
      </w:r>
      <w:r>
        <w:rPr>
          <w:rFonts w:ascii="Georgia" w:hAnsi="Georgia"/>
          <w:color w:val="231F20"/>
          <w:spacing w:val="1"/>
          <w:sz w:val="18"/>
        </w:rPr>
        <w:t> </w:t>
      </w:r>
      <w:r>
        <w:rPr>
          <w:rFonts w:ascii="Georgia" w:hAnsi="Georgia"/>
          <w:color w:val="231F20"/>
          <w:sz w:val="18"/>
        </w:rPr>
        <w:t>адаптацией </w:t>
      </w:r>
      <w:r>
        <w:rPr>
          <w:rFonts w:ascii="Georgia" w:hAnsi="Georgia"/>
          <w:color w:val="231F20"/>
          <w:spacing w:val="-2"/>
          <w:sz w:val="18"/>
        </w:rPr>
        <w:t>детей</w:t>
      </w:r>
    </w:p>
    <w:p>
      <w:pPr>
        <w:pStyle w:val="BodyText"/>
        <w:spacing w:line="235" w:lineRule="auto" w:before="116"/>
        <w:ind w:firstLine="0"/>
      </w:pPr>
      <w:r>
        <w:rPr/>
        <w:t>меняет</w:t>
      </w:r>
      <w:r>
        <w:rPr>
          <w:spacing w:val="-10"/>
        </w:rPr>
        <w:t> </w:t>
      </w:r>
      <w:r>
        <w:rPr/>
        <w:t>групповой</w:t>
      </w:r>
      <w:r>
        <w:rPr>
          <w:spacing w:val="-10"/>
        </w:rPr>
        <w:t> </w:t>
      </w:r>
      <w:r>
        <w:rPr/>
        <w:t>климат,</w:t>
      </w:r>
      <w:r>
        <w:rPr>
          <w:spacing w:val="-10"/>
        </w:rPr>
        <w:t> </w:t>
      </w:r>
      <w:r>
        <w:rPr/>
        <w:t>приводя</w:t>
      </w:r>
      <w:r>
        <w:rPr>
          <w:spacing w:val="-10"/>
        </w:rPr>
        <w:t> </w:t>
      </w:r>
      <w:r>
        <w:rPr/>
        <w:t>к</w:t>
      </w:r>
      <w:r>
        <w:rPr>
          <w:spacing w:val="-10"/>
        </w:rPr>
        <w:t> </w:t>
      </w:r>
      <w:r>
        <w:rPr/>
        <w:t>снижению</w:t>
      </w:r>
      <w:r>
        <w:rPr>
          <w:spacing w:val="-10"/>
        </w:rPr>
        <w:t> </w:t>
      </w:r>
      <w:r>
        <w:rPr/>
        <w:t>продуктивности</w:t>
      </w:r>
      <w:r>
        <w:rPr>
          <w:spacing w:val="-10"/>
        </w:rPr>
        <w:t> </w:t>
      </w:r>
      <w:r>
        <w:rPr/>
        <w:t>встречи.</w:t>
      </w:r>
      <w:r>
        <w:rPr>
          <w:spacing w:val="-10"/>
        </w:rPr>
        <w:t> </w:t>
      </w:r>
      <w:r>
        <w:rPr/>
        <w:t>Так</w:t>
      </w:r>
      <w:r>
        <w:rPr>
          <w:spacing w:val="-10"/>
        </w:rPr>
        <w:t> </w:t>
      </w:r>
      <w:r>
        <w:rPr/>
        <w:t>же</w:t>
      </w:r>
      <w:r>
        <w:rPr>
          <w:spacing w:val="-10"/>
        </w:rPr>
        <w:t> </w:t>
      </w:r>
      <w:r>
        <w:rPr/>
        <w:t>и</w:t>
      </w:r>
      <w:r>
        <w:rPr>
          <w:spacing w:val="-10"/>
        </w:rPr>
        <w:t> </w:t>
      </w:r>
      <w:r>
        <w:rPr/>
        <w:t>об опозданиях, и о том, что участник уходит раньше со встречи – предупреждается вся группа перед началом встречи.</w:t>
      </w:r>
    </w:p>
    <w:p>
      <w:pPr>
        <w:pStyle w:val="BodyText"/>
        <w:spacing w:line="235" w:lineRule="auto" w:before="2"/>
      </w:pPr>
      <w:r>
        <w:rPr/>
        <w:t>Еще одно условие безопасности: </w:t>
      </w:r>
      <w:r>
        <w:rPr>
          <w:i/>
        </w:rPr>
        <w:t>группа закрыта</w:t>
      </w:r>
      <w:r>
        <w:rPr/>
        <w:t>, насколько это возможно. Со- став участников меняется только с согласия всех. Новый участник приглашается в группу</w:t>
      </w:r>
      <w:r>
        <w:rPr>
          <w:spacing w:val="-2"/>
        </w:rPr>
        <w:t> </w:t>
      </w:r>
      <w:r>
        <w:rPr/>
        <w:t>только</w:t>
      </w:r>
      <w:r>
        <w:rPr>
          <w:spacing w:val="-2"/>
        </w:rPr>
        <w:t> </w:t>
      </w:r>
      <w:r>
        <w:rPr/>
        <w:t>после</w:t>
      </w:r>
      <w:r>
        <w:rPr>
          <w:spacing w:val="-2"/>
        </w:rPr>
        <w:t> </w:t>
      </w:r>
      <w:r>
        <w:rPr/>
        <w:t>предварительной</w:t>
      </w:r>
      <w:r>
        <w:rPr>
          <w:spacing w:val="-2"/>
        </w:rPr>
        <w:t> </w:t>
      </w:r>
      <w:r>
        <w:rPr/>
        <w:t>беседы</w:t>
      </w:r>
      <w:r>
        <w:rPr>
          <w:spacing w:val="-2"/>
        </w:rPr>
        <w:t> </w:t>
      </w:r>
      <w:r>
        <w:rPr/>
        <w:t>с</w:t>
      </w:r>
      <w:r>
        <w:rPr>
          <w:spacing w:val="-2"/>
        </w:rPr>
        <w:t> </w:t>
      </w:r>
      <w:r>
        <w:rPr/>
        <w:t>руководителем</w:t>
      </w:r>
      <w:r>
        <w:rPr>
          <w:spacing w:val="-2"/>
        </w:rPr>
        <w:t> </w:t>
      </w:r>
      <w:r>
        <w:rPr/>
        <w:t>группы:</w:t>
      </w:r>
      <w:r>
        <w:rPr>
          <w:spacing w:val="-2"/>
        </w:rPr>
        <w:t> </w:t>
      </w:r>
      <w:r>
        <w:rPr/>
        <w:t>руководите- лю необходимо оценить, насколько безопасным будет включать нового участника в групповой процесс.</w:t>
      </w:r>
    </w:p>
    <w:p>
      <w:pPr>
        <w:spacing w:line="232" w:lineRule="auto" w:before="0"/>
        <w:ind w:left="141" w:right="139" w:firstLine="283"/>
        <w:jc w:val="both"/>
        <w:rPr>
          <w:sz w:val="20"/>
        </w:rPr>
      </w:pPr>
      <w:r>
        <w:rPr>
          <w:i/>
          <w:sz w:val="20"/>
        </w:rPr>
        <w:t>Порядок</w:t>
      </w:r>
      <w:r>
        <w:rPr>
          <w:i/>
          <w:spacing w:val="-1"/>
          <w:sz w:val="20"/>
        </w:rPr>
        <w:t> </w:t>
      </w:r>
      <w:r>
        <w:rPr>
          <w:i/>
          <w:sz w:val="20"/>
        </w:rPr>
        <w:t>подготовки</w:t>
      </w:r>
      <w:r>
        <w:rPr>
          <w:i/>
          <w:spacing w:val="-1"/>
          <w:sz w:val="20"/>
        </w:rPr>
        <w:t> </w:t>
      </w:r>
      <w:r>
        <w:rPr>
          <w:i/>
          <w:sz w:val="20"/>
        </w:rPr>
        <w:t>материалов</w:t>
      </w:r>
      <w:r>
        <w:rPr>
          <w:i/>
          <w:spacing w:val="-1"/>
          <w:sz w:val="20"/>
        </w:rPr>
        <w:t> </w:t>
      </w:r>
      <w:r>
        <w:rPr>
          <w:i/>
          <w:sz w:val="20"/>
        </w:rPr>
        <w:t>для</w:t>
      </w:r>
      <w:r>
        <w:rPr>
          <w:i/>
          <w:spacing w:val="-1"/>
          <w:sz w:val="20"/>
        </w:rPr>
        <w:t> </w:t>
      </w:r>
      <w:r>
        <w:rPr>
          <w:i/>
          <w:sz w:val="20"/>
        </w:rPr>
        <w:t>разбора</w:t>
      </w:r>
      <w:r>
        <w:rPr>
          <w:i/>
          <w:spacing w:val="-1"/>
          <w:sz w:val="20"/>
        </w:rPr>
        <w:t> </w:t>
      </w:r>
      <w:r>
        <w:rPr>
          <w:i/>
          <w:sz w:val="20"/>
        </w:rPr>
        <w:t>педагогического</w:t>
      </w:r>
      <w:r>
        <w:rPr>
          <w:i/>
          <w:spacing w:val="-1"/>
          <w:sz w:val="20"/>
        </w:rPr>
        <w:t> </w:t>
      </w:r>
      <w:r>
        <w:rPr>
          <w:i/>
          <w:sz w:val="20"/>
        </w:rPr>
        <w:t>случая</w:t>
      </w:r>
      <w:r>
        <w:rPr>
          <w:i/>
          <w:spacing w:val="-1"/>
          <w:sz w:val="20"/>
        </w:rPr>
        <w:t> </w:t>
      </w:r>
      <w:r>
        <w:rPr>
          <w:sz w:val="20"/>
        </w:rPr>
        <w:t>участнику, представляющему урок или другой фрагмент профессиональной деятельности, где участвует ученик с трудностями в адаптации:</w:t>
      </w:r>
    </w:p>
    <w:p>
      <w:pPr>
        <w:pStyle w:val="ListParagraph"/>
        <w:numPr>
          <w:ilvl w:val="0"/>
          <w:numId w:val="245"/>
        </w:numPr>
        <w:tabs>
          <w:tab w:pos="425" w:val="left" w:leader="none"/>
        </w:tabs>
        <w:spacing w:line="232" w:lineRule="auto" w:before="0" w:after="0"/>
        <w:ind w:left="425" w:right="139" w:hanging="284"/>
        <w:jc w:val="both"/>
        <w:rPr>
          <w:sz w:val="20"/>
        </w:rPr>
      </w:pPr>
      <w:r>
        <w:rPr>
          <w:sz w:val="20"/>
        </w:rPr>
        <w:t>проектирование урока как демонстрирующего какую-либо трудность или навык педагога</w:t>
      </w:r>
      <w:r>
        <w:rPr>
          <w:spacing w:val="-13"/>
          <w:sz w:val="20"/>
        </w:rPr>
        <w:t> </w:t>
      </w:r>
      <w:r>
        <w:rPr>
          <w:sz w:val="20"/>
        </w:rPr>
        <w:t>для</w:t>
      </w:r>
      <w:r>
        <w:rPr>
          <w:spacing w:val="-12"/>
          <w:sz w:val="20"/>
        </w:rPr>
        <w:t> </w:t>
      </w:r>
      <w:r>
        <w:rPr>
          <w:sz w:val="20"/>
        </w:rPr>
        <w:t>последующего</w:t>
      </w:r>
      <w:r>
        <w:rPr>
          <w:spacing w:val="-13"/>
          <w:sz w:val="20"/>
        </w:rPr>
        <w:t> </w:t>
      </w:r>
      <w:r>
        <w:rPr>
          <w:sz w:val="20"/>
        </w:rPr>
        <w:t>представления</w:t>
      </w:r>
      <w:r>
        <w:rPr>
          <w:spacing w:val="-12"/>
          <w:sz w:val="20"/>
        </w:rPr>
        <w:t> </w:t>
      </w:r>
      <w:r>
        <w:rPr>
          <w:sz w:val="20"/>
        </w:rPr>
        <w:t>его</w:t>
      </w:r>
      <w:r>
        <w:rPr>
          <w:spacing w:val="-13"/>
          <w:sz w:val="20"/>
        </w:rPr>
        <w:t> </w:t>
      </w:r>
      <w:r>
        <w:rPr>
          <w:sz w:val="20"/>
        </w:rPr>
        <w:t>на</w:t>
      </w:r>
      <w:r>
        <w:rPr>
          <w:spacing w:val="-12"/>
          <w:sz w:val="20"/>
        </w:rPr>
        <w:t> </w:t>
      </w:r>
      <w:r>
        <w:rPr>
          <w:sz w:val="20"/>
        </w:rPr>
        <w:t>групповой</w:t>
      </w:r>
      <w:r>
        <w:rPr>
          <w:spacing w:val="-13"/>
          <w:sz w:val="20"/>
        </w:rPr>
        <w:t> </w:t>
      </w:r>
      <w:r>
        <w:rPr>
          <w:sz w:val="20"/>
        </w:rPr>
        <w:t>психолого-педагоги- ческий анализ в группе;</w:t>
      </w:r>
    </w:p>
    <w:p>
      <w:pPr>
        <w:pStyle w:val="ListParagraph"/>
        <w:numPr>
          <w:ilvl w:val="0"/>
          <w:numId w:val="245"/>
        </w:numPr>
        <w:tabs>
          <w:tab w:pos="425" w:val="left" w:leader="none"/>
        </w:tabs>
        <w:spacing w:line="232" w:lineRule="auto" w:before="2" w:after="0"/>
        <w:ind w:left="425" w:right="139" w:hanging="284"/>
        <w:jc w:val="both"/>
        <w:rPr>
          <w:sz w:val="20"/>
        </w:rPr>
      </w:pPr>
      <w:r>
        <w:rPr>
          <w:sz w:val="20"/>
        </w:rPr>
        <w:t>получение разрешения на видеосъемку у участников урока и организация видео- или аудиофиксации урока или другого фрагмента профессиональной деятельно- </w:t>
      </w:r>
      <w:r>
        <w:rPr>
          <w:spacing w:val="-4"/>
          <w:sz w:val="20"/>
        </w:rPr>
        <w:t>сти;</w:t>
      </w:r>
    </w:p>
    <w:p>
      <w:pPr>
        <w:pStyle w:val="ListParagraph"/>
        <w:numPr>
          <w:ilvl w:val="0"/>
          <w:numId w:val="245"/>
        </w:numPr>
        <w:tabs>
          <w:tab w:pos="425" w:val="left" w:leader="none"/>
        </w:tabs>
        <w:spacing w:line="232" w:lineRule="auto" w:before="3" w:after="0"/>
        <w:ind w:left="425" w:right="139" w:hanging="284"/>
        <w:jc w:val="both"/>
        <w:rPr>
          <w:sz w:val="20"/>
        </w:rPr>
      </w:pPr>
      <w:r>
        <w:rPr>
          <w:sz w:val="20"/>
        </w:rPr>
        <w:t>сохранение видео- или аудиоматериалов в доступном для группового просмотра </w:t>
      </w:r>
      <w:r>
        <w:rPr>
          <w:spacing w:val="-2"/>
          <w:sz w:val="20"/>
        </w:rPr>
        <w:t>виде;</w:t>
      </w:r>
    </w:p>
    <w:p>
      <w:pPr>
        <w:pStyle w:val="ListParagraph"/>
        <w:numPr>
          <w:ilvl w:val="0"/>
          <w:numId w:val="245"/>
        </w:numPr>
        <w:tabs>
          <w:tab w:pos="425" w:val="left" w:leader="none"/>
        </w:tabs>
        <w:spacing w:line="232" w:lineRule="auto" w:before="2" w:after="0"/>
        <w:ind w:left="425" w:right="138" w:hanging="284"/>
        <w:jc w:val="both"/>
        <w:rPr>
          <w:sz w:val="20"/>
        </w:rPr>
      </w:pPr>
      <w:r>
        <w:rPr>
          <w:sz w:val="20"/>
        </w:rPr>
        <w:t>устная или письменная формулировка запроса для группы в ходе психолого- педагогического анализа (запрос – это формулирование трудности и проблем- ного вопроса для группы о том, что хочет получить участник, представляющий случай ученика с трудностями в межкультурной адаптации, в ходе группового </w:t>
      </w:r>
      <w:r>
        <w:rPr>
          <w:spacing w:val="-2"/>
          <w:sz w:val="20"/>
        </w:rPr>
        <w:t>обсуждения);</w:t>
      </w:r>
    </w:p>
    <w:p>
      <w:pPr>
        <w:pStyle w:val="ListParagraph"/>
        <w:numPr>
          <w:ilvl w:val="0"/>
          <w:numId w:val="245"/>
        </w:numPr>
        <w:tabs>
          <w:tab w:pos="425" w:val="left" w:leader="none"/>
        </w:tabs>
        <w:spacing w:line="232" w:lineRule="auto" w:before="4" w:after="0"/>
        <w:ind w:left="425" w:right="139" w:hanging="284"/>
        <w:jc w:val="both"/>
        <w:rPr>
          <w:sz w:val="20"/>
        </w:rPr>
      </w:pPr>
      <w:r>
        <w:rPr>
          <w:spacing w:val="-2"/>
          <w:sz w:val="20"/>
        </w:rPr>
        <w:t>подготовка</w:t>
      </w:r>
      <w:r>
        <w:rPr>
          <w:spacing w:val="-3"/>
          <w:sz w:val="20"/>
        </w:rPr>
        <w:t> </w:t>
      </w:r>
      <w:r>
        <w:rPr>
          <w:spacing w:val="-2"/>
          <w:sz w:val="20"/>
        </w:rPr>
        <w:t>устного</w:t>
      </w:r>
      <w:r>
        <w:rPr>
          <w:spacing w:val="-3"/>
          <w:sz w:val="20"/>
        </w:rPr>
        <w:t> </w:t>
      </w:r>
      <w:r>
        <w:rPr>
          <w:spacing w:val="-2"/>
          <w:sz w:val="20"/>
        </w:rPr>
        <w:t>или письменного</w:t>
      </w:r>
      <w:r>
        <w:rPr>
          <w:spacing w:val="-3"/>
          <w:sz w:val="20"/>
        </w:rPr>
        <w:t> </w:t>
      </w:r>
      <w:r>
        <w:rPr>
          <w:spacing w:val="-2"/>
          <w:sz w:val="20"/>
        </w:rPr>
        <w:t>описания случая:</w:t>
      </w:r>
      <w:r>
        <w:rPr>
          <w:spacing w:val="-3"/>
          <w:sz w:val="20"/>
        </w:rPr>
        <w:t> </w:t>
      </w:r>
      <w:r>
        <w:rPr>
          <w:spacing w:val="-2"/>
          <w:sz w:val="20"/>
        </w:rPr>
        <w:t>план-конспект</w:t>
      </w:r>
      <w:r>
        <w:rPr>
          <w:spacing w:val="-3"/>
          <w:sz w:val="20"/>
        </w:rPr>
        <w:t> </w:t>
      </w:r>
      <w:r>
        <w:rPr>
          <w:spacing w:val="-2"/>
          <w:sz w:val="20"/>
        </w:rPr>
        <w:t>урока,</w:t>
      </w:r>
      <w:r>
        <w:rPr>
          <w:spacing w:val="-3"/>
          <w:sz w:val="20"/>
        </w:rPr>
        <w:t> </w:t>
      </w:r>
      <w:r>
        <w:rPr>
          <w:spacing w:val="-2"/>
          <w:sz w:val="20"/>
        </w:rPr>
        <w:t>труд- </w:t>
      </w:r>
      <w:r>
        <w:rPr>
          <w:sz w:val="20"/>
        </w:rPr>
        <w:t>ная ситуация взаимодействия; представление продуктов деятельности ученика и пр. материалы, дающие наиболее полное представление о ситуации.</w:t>
      </w:r>
    </w:p>
    <w:p>
      <w:pPr>
        <w:pStyle w:val="BodyText"/>
        <w:spacing w:line="232" w:lineRule="auto" w:before="3"/>
      </w:pPr>
      <w:r>
        <w:rPr/>
        <w:t>Поддержка участия в методических сессиях: с участниками обсуждается вопрос о мотивации участия, подчеркивается важность присутствия всех участников груп- пы для обеспечения продуктивности работы. В групповой работе изменение соста- ва группы приводит к разворачиванию процесса изменения отношений внутри, что мешает фокусированию на процессе профессиональной рефлексии педагогической </w:t>
      </w:r>
      <w:r>
        <w:rPr>
          <w:spacing w:val="-2"/>
        </w:rPr>
        <w:t>деятельности.</w:t>
      </w:r>
    </w:p>
    <w:p>
      <w:pPr>
        <w:pStyle w:val="BodyText"/>
        <w:spacing w:line="227" w:lineRule="exact" w:before="138"/>
        <w:ind w:left="425" w:right="0" w:firstLine="0"/>
      </w:pPr>
      <w:r>
        <w:rPr/>
        <w:t>Доказательность</w:t>
      </w:r>
      <w:r>
        <w:rPr>
          <w:spacing w:val="-7"/>
        </w:rPr>
        <w:t> </w:t>
      </w:r>
      <w:r>
        <w:rPr>
          <w:spacing w:val="-2"/>
        </w:rPr>
        <w:t>практики</w:t>
      </w:r>
    </w:p>
    <w:p>
      <w:pPr>
        <w:pStyle w:val="BodyText"/>
        <w:spacing w:line="235" w:lineRule="auto" w:before="1"/>
      </w:pPr>
      <w:r>
        <w:rPr>
          <w:i/>
        </w:rPr>
        <w:t>Регламентированность. </w:t>
      </w:r>
      <w:r>
        <w:rPr>
          <w:color w:val="231F20"/>
        </w:rPr>
        <w:t>Методические материалы содержат четкие и выполни- мые рекомендации по обеспечению качества работы специалистов, реализующих практику, по процедурам отбора руководителя групповой работы в ходе реализации программы в школе. Дополнительные методические рекомендации могут быть раз- работаны в самой школе с учетом ее специфики. Это же касается внутришкольных документов,</w:t>
      </w:r>
      <w:r>
        <w:rPr>
          <w:color w:val="231F20"/>
          <w:spacing w:val="-10"/>
        </w:rPr>
        <w:t> </w:t>
      </w:r>
      <w:r>
        <w:rPr>
          <w:color w:val="231F20"/>
        </w:rPr>
        <w:t>регламентирующих</w:t>
      </w:r>
      <w:r>
        <w:rPr>
          <w:color w:val="231F20"/>
          <w:spacing w:val="-10"/>
        </w:rPr>
        <w:t> </w:t>
      </w:r>
      <w:r>
        <w:rPr>
          <w:color w:val="231F20"/>
        </w:rPr>
        <w:t>процесс,</w:t>
      </w:r>
      <w:r>
        <w:rPr>
          <w:color w:val="231F20"/>
          <w:spacing w:val="-10"/>
        </w:rPr>
        <w:t> </w:t>
      </w:r>
      <w:r>
        <w:rPr>
          <w:color w:val="231F20"/>
        </w:rPr>
        <w:t>сроки</w:t>
      </w:r>
      <w:r>
        <w:rPr>
          <w:color w:val="231F20"/>
          <w:spacing w:val="-10"/>
        </w:rPr>
        <w:t> </w:t>
      </w:r>
      <w:r>
        <w:rPr>
          <w:color w:val="231F20"/>
        </w:rPr>
        <w:t>и</w:t>
      </w:r>
      <w:r>
        <w:rPr>
          <w:color w:val="231F20"/>
          <w:spacing w:val="-10"/>
        </w:rPr>
        <w:t> </w:t>
      </w:r>
      <w:r>
        <w:rPr>
          <w:color w:val="231F20"/>
        </w:rPr>
        <w:t>техники</w:t>
      </w:r>
      <w:r>
        <w:rPr>
          <w:color w:val="231F20"/>
          <w:spacing w:val="-10"/>
        </w:rPr>
        <w:t> </w:t>
      </w:r>
      <w:r>
        <w:rPr>
          <w:color w:val="231F20"/>
        </w:rPr>
        <w:t>проведения</w:t>
      </w:r>
      <w:r>
        <w:rPr>
          <w:color w:val="231F20"/>
          <w:spacing w:val="-10"/>
        </w:rPr>
        <w:t> </w:t>
      </w:r>
      <w:r>
        <w:rPr>
          <w:color w:val="231F20"/>
        </w:rPr>
        <w:t>методических групп</w:t>
      </w:r>
      <w:r>
        <w:rPr>
          <w:color w:val="231F20"/>
          <w:spacing w:val="-8"/>
        </w:rPr>
        <w:t> </w:t>
      </w:r>
      <w:r>
        <w:rPr>
          <w:color w:val="231F20"/>
        </w:rPr>
        <w:t>–</w:t>
      </w:r>
      <w:r>
        <w:rPr>
          <w:color w:val="231F20"/>
          <w:spacing w:val="-8"/>
        </w:rPr>
        <w:t> </w:t>
      </w:r>
      <w:r>
        <w:rPr>
          <w:color w:val="231F20"/>
        </w:rPr>
        <w:t>разработанные</w:t>
      </w:r>
      <w:r>
        <w:rPr>
          <w:color w:val="231F20"/>
          <w:spacing w:val="-8"/>
        </w:rPr>
        <w:t> </w:t>
      </w:r>
      <w:r>
        <w:rPr>
          <w:color w:val="231F20"/>
        </w:rPr>
        <w:t>однажды,</w:t>
      </w:r>
      <w:r>
        <w:rPr>
          <w:color w:val="231F20"/>
          <w:spacing w:val="-8"/>
        </w:rPr>
        <w:t> </w:t>
      </w:r>
      <w:r>
        <w:rPr>
          <w:color w:val="231F20"/>
        </w:rPr>
        <w:t>они</w:t>
      </w:r>
      <w:r>
        <w:rPr>
          <w:color w:val="231F20"/>
          <w:spacing w:val="-8"/>
        </w:rPr>
        <w:t> </w:t>
      </w:r>
      <w:r>
        <w:rPr>
          <w:color w:val="231F20"/>
        </w:rPr>
        <w:t>используются</w:t>
      </w:r>
      <w:r>
        <w:rPr>
          <w:color w:val="231F20"/>
          <w:spacing w:val="-8"/>
        </w:rPr>
        <w:t> </w:t>
      </w:r>
      <w:r>
        <w:rPr>
          <w:color w:val="231F20"/>
        </w:rPr>
        <w:t>в</w:t>
      </w:r>
      <w:r>
        <w:rPr>
          <w:color w:val="231F20"/>
          <w:spacing w:val="-8"/>
        </w:rPr>
        <w:t> </w:t>
      </w:r>
      <w:r>
        <w:rPr>
          <w:color w:val="231F20"/>
        </w:rPr>
        <w:t>обучающей</w:t>
      </w:r>
      <w:r>
        <w:rPr>
          <w:color w:val="231F20"/>
          <w:spacing w:val="-8"/>
        </w:rPr>
        <w:t> </w:t>
      </w:r>
      <w:r>
        <w:rPr>
          <w:color w:val="231F20"/>
        </w:rPr>
        <w:t>работе</w:t>
      </w:r>
      <w:r>
        <w:rPr>
          <w:color w:val="231F20"/>
          <w:spacing w:val="-8"/>
        </w:rPr>
        <w:t> </w:t>
      </w:r>
      <w:r>
        <w:rPr>
          <w:color w:val="231F20"/>
        </w:rPr>
        <w:t>с</w:t>
      </w:r>
      <w:r>
        <w:rPr>
          <w:color w:val="231F20"/>
          <w:spacing w:val="-8"/>
        </w:rPr>
        <w:t> </w:t>
      </w:r>
      <w:r>
        <w:rPr>
          <w:color w:val="231F20"/>
        </w:rPr>
        <w:t>руководи- телями и участниками групп.</w:t>
      </w:r>
    </w:p>
    <w:p>
      <w:pPr>
        <w:pStyle w:val="BodyText"/>
        <w:spacing w:line="235" w:lineRule="auto"/>
      </w:pPr>
      <w:r>
        <w:rPr>
          <w:i/>
        </w:rPr>
        <w:t>Обоснованность. </w:t>
      </w:r>
      <w:r>
        <w:rPr>
          <w:color w:val="231F20"/>
        </w:rPr>
        <w:t>Обоснованность практики обеспечивается историческими, те- оретическими и практическими предпосылками, описанными выше в разделе, где представлены ценностные основания практики.</w:t>
      </w:r>
    </w:p>
    <w:p>
      <w:pPr>
        <w:pStyle w:val="BodyText"/>
        <w:spacing w:after="0" w:line="235" w:lineRule="auto"/>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pStyle w:val="BodyText"/>
        <w:spacing w:line="235" w:lineRule="auto" w:before="116"/>
      </w:pPr>
      <w:r>
        <w:rPr>
          <w:i/>
        </w:rPr>
        <w:t>Результативность. </w:t>
      </w:r>
      <w:r>
        <w:rPr>
          <w:color w:val="231F20"/>
        </w:rPr>
        <w:t>Об устойчивости практики говорит тот факт, что методиче- ские</w:t>
      </w:r>
      <w:r>
        <w:rPr>
          <w:color w:val="231F20"/>
          <w:spacing w:val="-10"/>
        </w:rPr>
        <w:t> </w:t>
      </w:r>
      <w:r>
        <w:rPr>
          <w:color w:val="231F20"/>
        </w:rPr>
        <w:t>заседания,</w:t>
      </w:r>
      <w:r>
        <w:rPr>
          <w:color w:val="231F20"/>
          <w:spacing w:val="-10"/>
        </w:rPr>
        <w:t> </w:t>
      </w:r>
      <w:r>
        <w:rPr>
          <w:color w:val="231F20"/>
        </w:rPr>
        <w:t>где</w:t>
      </w:r>
      <w:r>
        <w:rPr>
          <w:color w:val="231F20"/>
          <w:spacing w:val="-10"/>
        </w:rPr>
        <w:t> </w:t>
      </w:r>
      <w:r>
        <w:rPr>
          <w:color w:val="231F20"/>
        </w:rPr>
        <w:t>проходит</w:t>
      </w:r>
      <w:r>
        <w:rPr>
          <w:color w:val="231F20"/>
          <w:spacing w:val="-10"/>
        </w:rPr>
        <w:t> </w:t>
      </w:r>
      <w:r>
        <w:rPr>
          <w:color w:val="231F20"/>
        </w:rPr>
        <w:t>групповой</w:t>
      </w:r>
      <w:r>
        <w:rPr>
          <w:color w:val="231F20"/>
          <w:spacing w:val="-10"/>
        </w:rPr>
        <w:t> </w:t>
      </w:r>
      <w:r>
        <w:rPr>
          <w:color w:val="231F20"/>
        </w:rPr>
        <w:t>психолого-педагогический</w:t>
      </w:r>
      <w:r>
        <w:rPr>
          <w:color w:val="231F20"/>
          <w:spacing w:val="-10"/>
        </w:rPr>
        <w:t> </w:t>
      </w:r>
      <w:r>
        <w:rPr>
          <w:color w:val="231F20"/>
        </w:rPr>
        <w:t>анализ</w:t>
      </w:r>
      <w:r>
        <w:rPr>
          <w:color w:val="231F20"/>
          <w:spacing w:val="-10"/>
        </w:rPr>
        <w:t> </w:t>
      </w:r>
      <w:r>
        <w:rPr>
          <w:color w:val="231F20"/>
        </w:rPr>
        <w:t>уроков</w:t>
      </w:r>
      <w:r>
        <w:rPr>
          <w:color w:val="231F20"/>
          <w:spacing w:val="-10"/>
        </w:rPr>
        <w:t> </w:t>
      </w:r>
      <w:r>
        <w:rPr>
          <w:color w:val="231F20"/>
        </w:rPr>
        <w:t>на уровне сообщества, которые длятся в течение как минимум одного года, дают поло- жительный</w:t>
      </w:r>
      <w:r>
        <w:rPr>
          <w:color w:val="231F20"/>
          <w:spacing w:val="-13"/>
        </w:rPr>
        <w:t> </w:t>
      </w:r>
      <w:r>
        <w:rPr>
          <w:color w:val="231F20"/>
        </w:rPr>
        <w:t>эффект</w:t>
      </w:r>
      <w:r>
        <w:rPr>
          <w:color w:val="231F20"/>
          <w:spacing w:val="-12"/>
        </w:rPr>
        <w:t> </w:t>
      </w:r>
      <w:r>
        <w:rPr>
          <w:color w:val="231F20"/>
        </w:rPr>
        <w:t>для</w:t>
      </w:r>
      <w:r>
        <w:rPr>
          <w:color w:val="231F20"/>
          <w:spacing w:val="-13"/>
        </w:rPr>
        <w:t> </w:t>
      </w:r>
      <w:r>
        <w:rPr>
          <w:color w:val="231F20"/>
        </w:rPr>
        <w:t>участников</w:t>
      </w:r>
      <w:r>
        <w:rPr>
          <w:color w:val="231F20"/>
          <w:spacing w:val="-12"/>
        </w:rPr>
        <w:t> </w:t>
      </w:r>
      <w:r>
        <w:rPr>
          <w:color w:val="231F20"/>
        </w:rPr>
        <w:t>в</w:t>
      </w:r>
      <w:r>
        <w:rPr>
          <w:color w:val="231F20"/>
          <w:spacing w:val="-13"/>
        </w:rPr>
        <w:t> </w:t>
      </w:r>
      <w:r>
        <w:rPr>
          <w:color w:val="231F20"/>
        </w:rPr>
        <w:t>области</w:t>
      </w:r>
      <w:r>
        <w:rPr>
          <w:color w:val="231F20"/>
          <w:spacing w:val="-12"/>
        </w:rPr>
        <w:t> </w:t>
      </w:r>
      <w:r>
        <w:rPr>
          <w:color w:val="231F20"/>
        </w:rPr>
        <w:t>академического,</w:t>
      </w:r>
      <w:r>
        <w:rPr>
          <w:color w:val="231F20"/>
          <w:spacing w:val="-13"/>
        </w:rPr>
        <w:t> </w:t>
      </w:r>
      <w:r>
        <w:rPr>
          <w:color w:val="231F20"/>
        </w:rPr>
        <w:t>эмоционального,</w:t>
      </w:r>
      <w:r>
        <w:rPr>
          <w:color w:val="231F20"/>
          <w:spacing w:val="-12"/>
        </w:rPr>
        <w:t> </w:t>
      </w:r>
      <w:r>
        <w:rPr>
          <w:color w:val="231F20"/>
        </w:rPr>
        <w:t>пове- денческого и социального развития.</w:t>
      </w:r>
    </w:p>
    <w:p>
      <w:pPr>
        <w:spacing w:line="360" w:lineRule="atLeast" w:before="9"/>
        <w:ind w:left="425" w:right="4639" w:firstLine="0"/>
        <w:jc w:val="both"/>
        <w:rPr>
          <w:b/>
          <w:i/>
          <w:sz w:val="20"/>
        </w:rPr>
      </w:pPr>
      <w:r>
        <w:rPr>
          <w:b/>
          <w:i/>
          <w:color w:val="231F20"/>
          <w:sz w:val="20"/>
        </w:rPr>
        <w:t>Инструкция</w:t>
      </w:r>
      <w:r>
        <w:rPr>
          <w:b/>
          <w:i/>
          <w:color w:val="231F20"/>
          <w:spacing w:val="-13"/>
          <w:sz w:val="20"/>
        </w:rPr>
        <w:t> </w:t>
      </w:r>
      <w:r>
        <w:rPr>
          <w:b/>
          <w:i/>
          <w:color w:val="231F20"/>
          <w:sz w:val="20"/>
        </w:rPr>
        <w:t>по</w:t>
      </w:r>
      <w:r>
        <w:rPr>
          <w:b/>
          <w:i/>
          <w:color w:val="231F20"/>
          <w:spacing w:val="-12"/>
          <w:sz w:val="20"/>
        </w:rPr>
        <w:t> </w:t>
      </w:r>
      <w:r>
        <w:rPr>
          <w:b/>
          <w:i/>
          <w:color w:val="231F20"/>
          <w:sz w:val="20"/>
        </w:rPr>
        <w:t>проведению Этап 1. Организационный</w:t>
      </w:r>
    </w:p>
    <w:p>
      <w:pPr>
        <w:pStyle w:val="BodyText"/>
        <w:spacing w:line="232" w:lineRule="auto" w:before="4"/>
        <w:ind w:right="0"/>
        <w:jc w:val="left"/>
      </w:pPr>
      <w:r>
        <w:rPr>
          <w:i/>
          <w:color w:val="231F20"/>
        </w:rPr>
        <w:t>Цель</w:t>
      </w:r>
      <w:r>
        <w:rPr>
          <w:color w:val="231F20"/>
        </w:rPr>
        <w:t>:</w:t>
      </w:r>
      <w:r>
        <w:rPr>
          <w:color w:val="231F20"/>
          <w:spacing w:val="21"/>
        </w:rPr>
        <w:t> </w:t>
      </w:r>
      <w:r>
        <w:rPr>
          <w:color w:val="231F20"/>
        </w:rPr>
        <w:t>настроить</w:t>
      </w:r>
      <w:r>
        <w:rPr>
          <w:color w:val="231F20"/>
          <w:spacing w:val="21"/>
        </w:rPr>
        <w:t> </w:t>
      </w:r>
      <w:r>
        <w:rPr>
          <w:color w:val="231F20"/>
        </w:rPr>
        <w:t>участников</w:t>
      </w:r>
      <w:r>
        <w:rPr>
          <w:color w:val="231F20"/>
          <w:spacing w:val="21"/>
        </w:rPr>
        <w:t> </w:t>
      </w:r>
      <w:r>
        <w:rPr>
          <w:color w:val="231F20"/>
        </w:rPr>
        <w:t>на</w:t>
      </w:r>
      <w:r>
        <w:rPr>
          <w:color w:val="231F20"/>
          <w:spacing w:val="22"/>
        </w:rPr>
        <w:t> </w:t>
      </w:r>
      <w:r>
        <w:rPr>
          <w:color w:val="231F20"/>
        </w:rPr>
        <w:t>совместную</w:t>
      </w:r>
      <w:r>
        <w:rPr>
          <w:color w:val="231F20"/>
          <w:spacing w:val="21"/>
        </w:rPr>
        <w:t> </w:t>
      </w:r>
      <w:r>
        <w:rPr>
          <w:color w:val="231F20"/>
        </w:rPr>
        <w:t>работу,</w:t>
      </w:r>
      <w:r>
        <w:rPr>
          <w:color w:val="231F20"/>
          <w:spacing w:val="21"/>
        </w:rPr>
        <w:t> </w:t>
      </w:r>
      <w:r>
        <w:rPr>
          <w:color w:val="231F20"/>
        </w:rPr>
        <w:t>напомнить</w:t>
      </w:r>
      <w:r>
        <w:rPr>
          <w:color w:val="231F20"/>
          <w:spacing w:val="22"/>
        </w:rPr>
        <w:t> </w:t>
      </w:r>
      <w:r>
        <w:rPr>
          <w:color w:val="231F20"/>
        </w:rPr>
        <w:t>правила</w:t>
      </w:r>
      <w:r>
        <w:rPr>
          <w:color w:val="231F20"/>
          <w:spacing w:val="22"/>
        </w:rPr>
        <w:t> </w:t>
      </w:r>
      <w:r>
        <w:rPr>
          <w:color w:val="231F20"/>
        </w:rPr>
        <w:t>работы группы, выбрать учителя, который заявляет трудный случай для разбора.</w:t>
      </w:r>
    </w:p>
    <w:p>
      <w:pPr>
        <w:spacing w:line="218" w:lineRule="exact" w:before="0"/>
        <w:ind w:left="425" w:right="0" w:firstLine="0"/>
        <w:jc w:val="left"/>
        <w:rPr>
          <w:i/>
          <w:sz w:val="20"/>
        </w:rPr>
      </w:pPr>
      <w:r>
        <w:rPr>
          <w:i/>
          <w:color w:val="231F20"/>
          <w:spacing w:val="-2"/>
          <w:sz w:val="20"/>
        </w:rPr>
        <w:t>Обзор</w:t>
      </w:r>
    </w:p>
    <w:p>
      <w:pPr>
        <w:pStyle w:val="BodyText"/>
        <w:spacing w:line="232" w:lineRule="auto" w:before="2"/>
      </w:pPr>
      <w:r>
        <w:rPr>
          <w:color w:val="231F20"/>
        </w:rPr>
        <w:t>Данный этап необходим для организации продуктивной групповой работы педа- гогической команды.</w:t>
      </w:r>
    </w:p>
    <w:p>
      <w:pPr>
        <w:pStyle w:val="BodyText"/>
        <w:spacing w:line="232" w:lineRule="auto"/>
      </w:pPr>
      <w:r>
        <w:rPr>
          <w:color w:val="231F20"/>
        </w:rPr>
        <w:t>Ведущий представляется сам и представляет группе своего помощника (при не- обходимости). Далее проговариваются или напоминаются правила работы группы.</w:t>
      </w:r>
    </w:p>
    <w:p>
      <w:pPr>
        <w:pStyle w:val="BodyText"/>
        <w:spacing w:line="232" w:lineRule="auto"/>
      </w:pPr>
      <w:r>
        <w:rPr>
          <w:color w:val="231F20"/>
        </w:rPr>
        <w:t>Участников спрашивают об их настроении, готовности работать (какая позиция была бы комфортна – активная или наблюдателя). Участники настраиваются на со- вместную работу.</w:t>
      </w:r>
    </w:p>
    <w:p>
      <w:pPr>
        <w:pStyle w:val="BodyText"/>
        <w:spacing w:line="232" w:lineRule="auto"/>
      </w:pPr>
      <w:r>
        <w:rPr>
          <w:color w:val="231F20"/>
        </w:rPr>
        <w:t>Если участник не оговорил заранее, что хочет представить для разбора свой слу- чай,</w:t>
      </w:r>
      <w:r>
        <w:rPr>
          <w:color w:val="231F20"/>
          <w:spacing w:val="-9"/>
        </w:rPr>
        <w:t> </w:t>
      </w:r>
      <w:r>
        <w:rPr>
          <w:color w:val="231F20"/>
        </w:rPr>
        <w:t>но</w:t>
      </w:r>
      <w:r>
        <w:rPr>
          <w:color w:val="231F20"/>
          <w:spacing w:val="-9"/>
        </w:rPr>
        <w:t> </w:t>
      </w:r>
      <w:r>
        <w:rPr>
          <w:color w:val="231F20"/>
        </w:rPr>
        <w:t>есть</w:t>
      </w:r>
      <w:r>
        <w:rPr>
          <w:color w:val="231F20"/>
          <w:spacing w:val="-9"/>
        </w:rPr>
        <w:t> </w:t>
      </w:r>
      <w:r>
        <w:rPr>
          <w:color w:val="231F20"/>
        </w:rPr>
        <w:t>несколько</w:t>
      </w:r>
      <w:r>
        <w:rPr>
          <w:color w:val="231F20"/>
          <w:spacing w:val="-9"/>
        </w:rPr>
        <w:t> </w:t>
      </w:r>
      <w:r>
        <w:rPr>
          <w:color w:val="231F20"/>
        </w:rPr>
        <w:t>участников,</w:t>
      </w:r>
      <w:r>
        <w:rPr>
          <w:color w:val="231F20"/>
          <w:spacing w:val="-9"/>
        </w:rPr>
        <w:t> </w:t>
      </w:r>
      <w:r>
        <w:rPr>
          <w:color w:val="231F20"/>
        </w:rPr>
        <w:t>готовых</w:t>
      </w:r>
      <w:r>
        <w:rPr>
          <w:color w:val="231F20"/>
          <w:spacing w:val="-9"/>
        </w:rPr>
        <w:t> </w:t>
      </w:r>
      <w:r>
        <w:rPr>
          <w:color w:val="231F20"/>
        </w:rPr>
        <w:t>показать</w:t>
      </w:r>
      <w:r>
        <w:rPr>
          <w:color w:val="231F20"/>
          <w:spacing w:val="-9"/>
        </w:rPr>
        <w:t> </w:t>
      </w:r>
      <w:r>
        <w:rPr>
          <w:color w:val="231F20"/>
        </w:rPr>
        <w:t>свои</w:t>
      </w:r>
      <w:r>
        <w:rPr>
          <w:color w:val="231F20"/>
          <w:spacing w:val="-9"/>
        </w:rPr>
        <w:t> </w:t>
      </w:r>
      <w:r>
        <w:rPr>
          <w:color w:val="231F20"/>
        </w:rPr>
        <w:t>уроки,</w:t>
      </w:r>
      <w:r>
        <w:rPr>
          <w:color w:val="231F20"/>
          <w:spacing w:val="-9"/>
        </w:rPr>
        <w:t> </w:t>
      </w:r>
      <w:r>
        <w:rPr>
          <w:color w:val="231F20"/>
        </w:rPr>
        <w:t>руководитель</w:t>
      </w:r>
      <w:r>
        <w:rPr>
          <w:color w:val="231F20"/>
          <w:spacing w:val="-9"/>
        </w:rPr>
        <w:t> </w:t>
      </w:r>
      <w:r>
        <w:rPr>
          <w:color w:val="231F20"/>
        </w:rPr>
        <w:t>пред- лагает им договориться между собой, чей урок группа будет анализировать.</w:t>
      </w:r>
    </w:p>
    <w:p>
      <w:pPr>
        <w:spacing w:line="232" w:lineRule="auto" w:before="0"/>
        <w:ind w:left="141" w:right="139" w:firstLine="283"/>
        <w:jc w:val="both"/>
        <w:rPr>
          <w:i/>
          <w:sz w:val="20"/>
        </w:rPr>
      </w:pPr>
      <w:r>
        <w:rPr>
          <w:i/>
          <w:color w:val="231F20"/>
          <w:sz w:val="20"/>
        </w:rPr>
        <w:t>Требования к пространственной и материальной среде (аналогичны на всех по- следующих этапах)</w:t>
      </w:r>
    </w:p>
    <w:p>
      <w:pPr>
        <w:pStyle w:val="ListParagraph"/>
        <w:numPr>
          <w:ilvl w:val="0"/>
          <w:numId w:val="246"/>
        </w:numPr>
        <w:tabs>
          <w:tab w:pos="423" w:val="left" w:leader="none"/>
          <w:tab w:pos="425" w:val="left" w:leader="none"/>
        </w:tabs>
        <w:spacing w:line="232" w:lineRule="auto" w:before="0" w:after="0"/>
        <w:ind w:left="425" w:right="139" w:hanging="284"/>
        <w:jc w:val="both"/>
        <w:rPr>
          <w:sz w:val="20"/>
        </w:rPr>
      </w:pPr>
      <w:r>
        <w:rPr>
          <w:color w:val="231F20"/>
          <w:sz w:val="20"/>
        </w:rPr>
        <w:t>Необходимо</w:t>
      </w:r>
      <w:r>
        <w:rPr>
          <w:color w:val="231F20"/>
          <w:spacing w:val="-3"/>
          <w:sz w:val="20"/>
        </w:rPr>
        <w:t> </w:t>
      </w:r>
      <w:r>
        <w:rPr>
          <w:color w:val="231F20"/>
          <w:sz w:val="20"/>
        </w:rPr>
        <w:t>помещение,</w:t>
      </w:r>
      <w:r>
        <w:rPr>
          <w:color w:val="231F20"/>
          <w:spacing w:val="-3"/>
          <w:sz w:val="20"/>
        </w:rPr>
        <w:t> </w:t>
      </w:r>
      <w:r>
        <w:rPr>
          <w:color w:val="231F20"/>
          <w:sz w:val="20"/>
        </w:rPr>
        <w:t>удобное</w:t>
      </w:r>
      <w:r>
        <w:rPr>
          <w:color w:val="231F20"/>
          <w:spacing w:val="-3"/>
          <w:sz w:val="20"/>
        </w:rPr>
        <w:t> </w:t>
      </w:r>
      <w:r>
        <w:rPr>
          <w:color w:val="231F20"/>
          <w:sz w:val="20"/>
        </w:rPr>
        <w:t>для</w:t>
      </w:r>
      <w:r>
        <w:rPr>
          <w:color w:val="231F20"/>
          <w:spacing w:val="-3"/>
          <w:sz w:val="20"/>
        </w:rPr>
        <w:t> </w:t>
      </w:r>
      <w:r>
        <w:rPr>
          <w:color w:val="231F20"/>
          <w:sz w:val="20"/>
        </w:rPr>
        <w:t>работы</w:t>
      </w:r>
      <w:r>
        <w:rPr>
          <w:color w:val="231F20"/>
          <w:spacing w:val="-3"/>
          <w:sz w:val="20"/>
        </w:rPr>
        <w:t> </w:t>
      </w:r>
      <w:r>
        <w:rPr>
          <w:color w:val="231F20"/>
          <w:sz w:val="20"/>
        </w:rPr>
        <w:t>группы,</w:t>
      </w:r>
      <w:r>
        <w:rPr>
          <w:color w:val="231F20"/>
          <w:spacing w:val="-3"/>
          <w:sz w:val="20"/>
        </w:rPr>
        <w:t> </w:t>
      </w:r>
      <w:r>
        <w:rPr>
          <w:color w:val="231F20"/>
          <w:sz w:val="20"/>
        </w:rPr>
        <w:t>тихое,</w:t>
      </w:r>
      <w:r>
        <w:rPr>
          <w:color w:val="231F20"/>
          <w:spacing w:val="-3"/>
          <w:sz w:val="20"/>
        </w:rPr>
        <w:t> </w:t>
      </w:r>
      <w:r>
        <w:rPr>
          <w:color w:val="231F20"/>
          <w:sz w:val="20"/>
        </w:rPr>
        <w:t>закрытое</w:t>
      </w:r>
      <w:r>
        <w:rPr>
          <w:color w:val="231F20"/>
          <w:spacing w:val="-3"/>
          <w:sz w:val="20"/>
        </w:rPr>
        <w:t> </w:t>
      </w:r>
      <w:r>
        <w:rPr>
          <w:color w:val="231F20"/>
          <w:sz w:val="20"/>
        </w:rPr>
        <w:t>от</w:t>
      </w:r>
      <w:r>
        <w:rPr>
          <w:color w:val="231F20"/>
          <w:spacing w:val="-3"/>
          <w:sz w:val="20"/>
        </w:rPr>
        <w:t> </w:t>
      </w:r>
      <w:r>
        <w:rPr>
          <w:color w:val="231F20"/>
          <w:sz w:val="20"/>
        </w:rPr>
        <w:t>случай- ных посетителей.</w:t>
      </w:r>
    </w:p>
    <w:p>
      <w:pPr>
        <w:pStyle w:val="ListParagraph"/>
        <w:numPr>
          <w:ilvl w:val="0"/>
          <w:numId w:val="246"/>
        </w:numPr>
        <w:tabs>
          <w:tab w:pos="423" w:val="left" w:leader="none"/>
          <w:tab w:pos="425" w:val="left" w:leader="none"/>
        </w:tabs>
        <w:spacing w:line="232" w:lineRule="auto" w:before="0" w:after="0"/>
        <w:ind w:left="425" w:right="140" w:hanging="284"/>
        <w:jc w:val="both"/>
        <w:rPr>
          <w:sz w:val="20"/>
        </w:rPr>
      </w:pPr>
      <w:r>
        <w:rPr>
          <w:color w:val="231F20"/>
          <w:sz w:val="20"/>
        </w:rPr>
        <w:t>Участники</w:t>
      </w:r>
      <w:r>
        <w:rPr>
          <w:color w:val="231F20"/>
          <w:spacing w:val="-13"/>
          <w:sz w:val="20"/>
        </w:rPr>
        <w:t> </w:t>
      </w:r>
      <w:r>
        <w:rPr>
          <w:color w:val="231F20"/>
          <w:sz w:val="20"/>
        </w:rPr>
        <w:t>садятся</w:t>
      </w:r>
      <w:r>
        <w:rPr>
          <w:color w:val="231F20"/>
          <w:spacing w:val="-12"/>
          <w:sz w:val="20"/>
        </w:rPr>
        <w:t> </w:t>
      </w:r>
      <w:r>
        <w:rPr>
          <w:color w:val="231F20"/>
          <w:sz w:val="20"/>
        </w:rPr>
        <w:t>за</w:t>
      </w:r>
      <w:r>
        <w:rPr>
          <w:color w:val="231F20"/>
          <w:spacing w:val="-13"/>
          <w:sz w:val="20"/>
        </w:rPr>
        <w:t> </w:t>
      </w:r>
      <w:r>
        <w:rPr>
          <w:color w:val="231F20"/>
          <w:sz w:val="20"/>
        </w:rPr>
        <w:t>круглый</w:t>
      </w:r>
      <w:r>
        <w:rPr>
          <w:color w:val="231F20"/>
          <w:spacing w:val="-12"/>
          <w:sz w:val="20"/>
        </w:rPr>
        <w:t> </w:t>
      </w:r>
      <w:r>
        <w:rPr>
          <w:color w:val="231F20"/>
          <w:sz w:val="20"/>
        </w:rPr>
        <w:t>стол</w:t>
      </w:r>
      <w:r>
        <w:rPr>
          <w:color w:val="231F20"/>
          <w:spacing w:val="-13"/>
          <w:sz w:val="20"/>
        </w:rPr>
        <w:t> </w:t>
      </w:r>
      <w:r>
        <w:rPr>
          <w:color w:val="231F20"/>
          <w:sz w:val="20"/>
        </w:rPr>
        <w:t>или</w:t>
      </w:r>
      <w:r>
        <w:rPr>
          <w:color w:val="231F20"/>
          <w:spacing w:val="-12"/>
          <w:sz w:val="20"/>
        </w:rPr>
        <w:t> </w:t>
      </w:r>
      <w:r>
        <w:rPr>
          <w:color w:val="231F20"/>
          <w:sz w:val="20"/>
        </w:rPr>
        <w:t>на</w:t>
      </w:r>
      <w:r>
        <w:rPr>
          <w:color w:val="231F20"/>
          <w:spacing w:val="-13"/>
          <w:sz w:val="20"/>
        </w:rPr>
        <w:t> </w:t>
      </w:r>
      <w:r>
        <w:rPr>
          <w:color w:val="231F20"/>
          <w:sz w:val="20"/>
        </w:rPr>
        <w:t>стулья,</w:t>
      </w:r>
      <w:r>
        <w:rPr>
          <w:color w:val="231F20"/>
          <w:spacing w:val="-12"/>
          <w:sz w:val="20"/>
        </w:rPr>
        <w:t> </w:t>
      </w:r>
      <w:r>
        <w:rPr>
          <w:color w:val="231F20"/>
          <w:sz w:val="20"/>
        </w:rPr>
        <w:t>поставленные</w:t>
      </w:r>
      <w:r>
        <w:rPr>
          <w:color w:val="231F20"/>
          <w:spacing w:val="-13"/>
          <w:sz w:val="20"/>
        </w:rPr>
        <w:t> </w:t>
      </w:r>
      <w:r>
        <w:rPr>
          <w:color w:val="231F20"/>
          <w:sz w:val="20"/>
        </w:rPr>
        <w:t>в</w:t>
      </w:r>
      <w:r>
        <w:rPr>
          <w:color w:val="231F20"/>
          <w:spacing w:val="-12"/>
          <w:sz w:val="20"/>
        </w:rPr>
        <w:t> </w:t>
      </w:r>
      <w:r>
        <w:rPr>
          <w:color w:val="231F20"/>
          <w:sz w:val="20"/>
        </w:rPr>
        <w:t>кружок.</w:t>
      </w:r>
      <w:r>
        <w:rPr>
          <w:color w:val="231F20"/>
          <w:spacing w:val="-13"/>
          <w:sz w:val="20"/>
        </w:rPr>
        <w:t> </w:t>
      </w:r>
      <w:r>
        <w:rPr>
          <w:color w:val="231F20"/>
          <w:sz w:val="20"/>
        </w:rPr>
        <w:t>Важно, чтобы все видели друг друга. Мебель должна быть достаточно мобильной для перемещения в пространстве.</w:t>
      </w:r>
    </w:p>
    <w:p>
      <w:pPr>
        <w:pStyle w:val="ListParagraph"/>
        <w:numPr>
          <w:ilvl w:val="0"/>
          <w:numId w:val="246"/>
        </w:numPr>
        <w:tabs>
          <w:tab w:pos="423" w:val="left" w:leader="none"/>
        </w:tabs>
        <w:spacing w:line="217" w:lineRule="exact" w:before="0" w:after="0"/>
        <w:ind w:left="423" w:right="0" w:hanging="282"/>
        <w:jc w:val="both"/>
        <w:rPr>
          <w:sz w:val="20"/>
        </w:rPr>
      </w:pPr>
      <w:r>
        <w:rPr>
          <w:color w:val="231F20"/>
          <w:sz w:val="20"/>
        </w:rPr>
        <w:t>Есть</w:t>
      </w:r>
      <w:r>
        <w:rPr>
          <w:color w:val="231F20"/>
          <w:spacing w:val="-7"/>
          <w:sz w:val="20"/>
        </w:rPr>
        <w:t> </w:t>
      </w:r>
      <w:r>
        <w:rPr>
          <w:color w:val="231F20"/>
          <w:sz w:val="20"/>
        </w:rPr>
        <w:t>бумага</w:t>
      </w:r>
      <w:r>
        <w:rPr>
          <w:color w:val="231F20"/>
          <w:spacing w:val="-5"/>
          <w:sz w:val="20"/>
        </w:rPr>
        <w:t> </w:t>
      </w:r>
      <w:r>
        <w:rPr>
          <w:color w:val="231F20"/>
          <w:sz w:val="20"/>
        </w:rPr>
        <w:t>и</w:t>
      </w:r>
      <w:r>
        <w:rPr>
          <w:color w:val="231F20"/>
          <w:spacing w:val="-6"/>
          <w:sz w:val="20"/>
        </w:rPr>
        <w:t> </w:t>
      </w:r>
      <w:r>
        <w:rPr>
          <w:color w:val="231F20"/>
          <w:spacing w:val="-2"/>
          <w:sz w:val="20"/>
        </w:rPr>
        <w:t>ручки.</w:t>
      </w:r>
    </w:p>
    <w:p>
      <w:pPr>
        <w:pStyle w:val="ListParagraph"/>
        <w:numPr>
          <w:ilvl w:val="0"/>
          <w:numId w:val="246"/>
        </w:numPr>
        <w:tabs>
          <w:tab w:pos="423" w:val="left" w:leader="none"/>
          <w:tab w:pos="425" w:val="left" w:leader="none"/>
        </w:tabs>
        <w:spacing w:line="232" w:lineRule="auto" w:before="0" w:after="0"/>
        <w:ind w:left="425" w:right="139" w:hanging="284"/>
        <w:jc w:val="both"/>
        <w:rPr>
          <w:sz w:val="20"/>
        </w:rPr>
      </w:pPr>
      <w:r>
        <w:rPr>
          <w:color w:val="231F20"/>
          <w:sz w:val="20"/>
        </w:rPr>
        <w:t>В наличии доска или флип-чарт для записи результатов обсуждения, мультиме- дийная техника, если участники будут демонстрировать видеозаписи.</w:t>
      </w:r>
    </w:p>
    <w:p>
      <w:pPr>
        <w:pStyle w:val="ListParagraph"/>
        <w:numPr>
          <w:ilvl w:val="0"/>
          <w:numId w:val="246"/>
        </w:numPr>
        <w:tabs>
          <w:tab w:pos="423" w:val="left" w:leader="none"/>
        </w:tabs>
        <w:spacing w:line="222" w:lineRule="exact" w:before="0" w:after="0"/>
        <w:ind w:left="423" w:right="0" w:hanging="282"/>
        <w:jc w:val="both"/>
        <w:rPr>
          <w:sz w:val="20"/>
        </w:rPr>
      </w:pPr>
      <w:r>
        <w:rPr>
          <w:color w:val="231F20"/>
          <w:sz w:val="20"/>
        </w:rPr>
        <w:t>Если</w:t>
      </w:r>
      <w:r>
        <w:rPr>
          <w:color w:val="231F20"/>
          <w:spacing w:val="-6"/>
          <w:sz w:val="20"/>
        </w:rPr>
        <w:t> </w:t>
      </w:r>
      <w:r>
        <w:rPr>
          <w:color w:val="231F20"/>
          <w:sz w:val="20"/>
        </w:rPr>
        <w:t>не</w:t>
      </w:r>
      <w:r>
        <w:rPr>
          <w:color w:val="231F20"/>
          <w:spacing w:val="-5"/>
          <w:sz w:val="20"/>
        </w:rPr>
        <w:t> </w:t>
      </w:r>
      <w:r>
        <w:rPr>
          <w:color w:val="231F20"/>
          <w:sz w:val="20"/>
        </w:rPr>
        <w:t>все</w:t>
      </w:r>
      <w:r>
        <w:rPr>
          <w:color w:val="231F20"/>
          <w:spacing w:val="-5"/>
          <w:sz w:val="20"/>
        </w:rPr>
        <w:t> </w:t>
      </w:r>
      <w:r>
        <w:rPr>
          <w:color w:val="231F20"/>
          <w:sz w:val="20"/>
        </w:rPr>
        <w:t>участники</w:t>
      </w:r>
      <w:r>
        <w:rPr>
          <w:color w:val="231F20"/>
          <w:spacing w:val="-6"/>
          <w:sz w:val="20"/>
        </w:rPr>
        <w:t> </w:t>
      </w:r>
      <w:r>
        <w:rPr>
          <w:color w:val="231F20"/>
          <w:sz w:val="20"/>
        </w:rPr>
        <w:t>знакомы</w:t>
      </w:r>
      <w:r>
        <w:rPr>
          <w:color w:val="231F20"/>
          <w:spacing w:val="-5"/>
          <w:sz w:val="20"/>
        </w:rPr>
        <w:t> </w:t>
      </w:r>
      <w:r>
        <w:rPr>
          <w:color w:val="231F20"/>
          <w:sz w:val="20"/>
        </w:rPr>
        <w:t>друг</w:t>
      </w:r>
      <w:r>
        <w:rPr>
          <w:color w:val="231F20"/>
          <w:spacing w:val="-5"/>
          <w:sz w:val="20"/>
        </w:rPr>
        <w:t> </w:t>
      </w:r>
      <w:r>
        <w:rPr>
          <w:color w:val="231F20"/>
          <w:sz w:val="20"/>
        </w:rPr>
        <w:t>с</w:t>
      </w:r>
      <w:r>
        <w:rPr>
          <w:color w:val="231F20"/>
          <w:spacing w:val="-5"/>
          <w:sz w:val="20"/>
        </w:rPr>
        <w:t> </w:t>
      </w:r>
      <w:r>
        <w:rPr>
          <w:color w:val="231F20"/>
          <w:sz w:val="20"/>
        </w:rPr>
        <w:t>другом,</w:t>
      </w:r>
      <w:r>
        <w:rPr>
          <w:color w:val="231F20"/>
          <w:spacing w:val="-5"/>
          <w:sz w:val="20"/>
        </w:rPr>
        <w:t> </w:t>
      </w:r>
      <w:r>
        <w:rPr>
          <w:color w:val="231F20"/>
          <w:sz w:val="20"/>
        </w:rPr>
        <w:t>нужны</w:t>
      </w:r>
      <w:r>
        <w:rPr>
          <w:color w:val="231F20"/>
          <w:spacing w:val="-5"/>
          <w:sz w:val="20"/>
        </w:rPr>
        <w:t> </w:t>
      </w:r>
      <w:r>
        <w:rPr>
          <w:color w:val="231F20"/>
          <w:sz w:val="20"/>
        </w:rPr>
        <w:t>бейджи</w:t>
      </w:r>
      <w:r>
        <w:rPr>
          <w:color w:val="231F20"/>
          <w:spacing w:val="-6"/>
          <w:sz w:val="20"/>
        </w:rPr>
        <w:t> </w:t>
      </w:r>
      <w:r>
        <w:rPr>
          <w:color w:val="231F20"/>
          <w:sz w:val="20"/>
        </w:rPr>
        <w:t>с</w:t>
      </w:r>
      <w:r>
        <w:rPr>
          <w:color w:val="231F20"/>
          <w:spacing w:val="-4"/>
          <w:sz w:val="20"/>
        </w:rPr>
        <w:t> </w:t>
      </w:r>
      <w:r>
        <w:rPr>
          <w:color w:val="231F20"/>
          <w:spacing w:val="-2"/>
          <w:sz w:val="20"/>
        </w:rPr>
        <w:t>именами.</w:t>
      </w:r>
    </w:p>
    <w:p>
      <w:pPr>
        <w:spacing w:line="226" w:lineRule="exact" w:before="114"/>
        <w:ind w:left="425" w:right="0" w:firstLine="0"/>
        <w:jc w:val="both"/>
        <w:rPr>
          <w:b/>
          <w:i/>
          <w:sz w:val="20"/>
        </w:rPr>
      </w:pPr>
      <w:r>
        <w:rPr>
          <w:b/>
          <w:i/>
          <w:color w:val="231F20"/>
          <w:sz w:val="20"/>
        </w:rPr>
        <w:t>Последовательность</w:t>
      </w:r>
      <w:r>
        <w:rPr>
          <w:b/>
          <w:i/>
          <w:color w:val="231F20"/>
          <w:spacing w:val="-8"/>
          <w:sz w:val="20"/>
        </w:rPr>
        <w:t> </w:t>
      </w:r>
      <w:r>
        <w:rPr>
          <w:b/>
          <w:i/>
          <w:color w:val="231F20"/>
          <w:sz w:val="20"/>
        </w:rPr>
        <w:t>реплик</w:t>
      </w:r>
      <w:r>
        <w:rPr>
          <w:b/>
          <w:i/>
          <w:color w:val="231F20"/>
          <w:spacing w:val="-7"/>
          <w:sz w:val="20"/>
        </w:rPr>
        <w:t> </w:t>
      </w:r>
      <w:r>
        <w:rPr>
          <w:b/>
          <w:i/>
          <w:color w:val="231F20"/>
          <w:spacing w:val="-2"/>
          <w:sz w:val="20"/>
        </w:rPr>
        <w:t>ведущего</w:t>
      </w:r>
    </w:p>
    <w:p>
      <w:pPr>
        <w:pStyle w:val="ListParagraph"/>
        <w:numPr>
          <w:ilvl w:val="0"/>
          <w:numId w:val="247"/>
        </w:numPr>
        <w:tabs>
          <w:tab w:pos="425" w:val="left" w:leader="none"/>
        </w:tabs>
        <w:spacing w:line="232" w:lineRule="auto" w:before="2" w:after="0"/>
        <w:ind w:left="425" w:right="139" w:hanging="284"/>
        <w:jc w:val="both"/>
        <w:rPr>
          <w:sz w:val="20"/>
        </w:rPr>
      </w:pPr>
      <w:r>
        <w:rPr>
          <w:color w:val="231F20"/>
          <w:sz w:val="20"/>
        </w:rPr>
        <w:t>Добрый день, коллеги! Поделитесь, как вы себя чувствуете, какое у вас настрое- ние, какие ожидания от нашей совместной работы?</w:t>
      </w:r>
    </w:p>
    <w:p>
      <w:pPr>
        <w:pStyle w:val="ListParagraph"/>
        <w:numPr>
          <w:ilvl w:val="0"/>
          <w:numId w:val="247"/>
        </w:numPr>
        <w:tabs>
          <w:tab w:pos="424" w:val="left" w:leader="none"/>
        </w:tabs>
        <w:spacing w:line="218" w:lineRule="exact" w:before="0" w:after="0"/>
        <w:ind w:left="424" w:right="0" w:hanging="283"/>
        <w:jc w:val="both"/>
        <w:rPr>
          <w:sz w:val="20"/>
        </w:rPr>
      </w:pPr>
      <w:r>
        <w:rPr>
          <w:color w:val="231F20"/>
          <w:sz w:val="20"/>
        </w:rPr>
        <w:t>Напоминаю</w:t>
      </w:r>
      <w:r>
        <w:rPr>
          <w:color w:val="231F20"/>
          <w:spacing w:val="-6"/>
          <w:sz w:val="20"/>
        </w:rPr>
        <w:t> </w:t>
      </w:r>
      <w:r>
        <w:rPr>
          <w:color w:val="231F20"/>
          <w:sz w:val="20"/>
        </w:rPr>
        <w:t>правила</w:t>
      </w:r>
      <w:r>
        <w:rPr>
          <w:color w:val="231F20"/>
          <w:spacing w:val="-5"/>
          <w:sz w:val="20"/>
        </w:rPr>
        <w:t> </w:t>
      </w:r>
      <w:r>
        <w:rPr>
          <w:color w:val="231F20"/>
          <w:sz w:val="20"/>
        </w:rPr>
        <w:t>работы</w:t>
      </w:r>
      <w:r>
        <w:rPr>
          <w:color w:val="231F20"/>
          <w:spacing w:val="-4"/>
          <w:sz w:val="20"/>
        </w:rPr>
        <w:t> </w:t>
      </w:r>
      <w:r>
        <w:rPr>
          <w:color w:val="231F20"/>
          <w:spacing w:val="-2"/>
          <w:sz w:val="20"/>
        </w:rPr>
        <w:t>группы:</w:t>
      </w:r>
    </w:p>
    <w:p>
      <w:pPr>
        <w:pStyle w:val="ListParagraph"/>
        <w:numPr>
          <w:ilvl w:val="1"/>
          <w:numId w:val="247"/>
        </w:numPr>
        <w:tabs>
          <w:tab w:pos="708" w:val="left" w:leader="none"/>
        </w:tabs>
        <w:spacing w:line="235" w:lineRule="auto" w:before="0" w:after="0"/>
        <w:ind w:left="708" w:right="139" w:hanging="284"/>
        <w:jc w:val="both"/>
        <w:rPr>
          <w:sz w:val="20"/>
        </w:rPr>
      </w:pPr>
      <w:r>
        <w:rPr>
          <w:color w:val="231F20"/>
          <w:sz w:val="20"/>
        </w:rPr>
        <w:t>конфиденциальность: то, что происходит во время работы группы, остается в пространстве группы; запрещено рассказывать о том, что здесь происходило, посторонним,</w:t>
      </w:r>
      <w:r>
        <w:rPr>
          <w:color w:val="231F20"/>
          <w:spacing w:val="-6"/>
          <w:sz w:val="20"/>
        </w:rPr>
        <w:t> </w:t>
      </w:r>
      <w:r>
        <w:rPr>
          <w:color w:val="231F20"/>
          <w:sz w:val="20"/>
        </w:rPr>
        <w:t>можно</w:t>
      </w:r>
      <w:r>
        <w:rPr>
          <w:color w:val="231F20"/>
          <w:spacing w:val="-6"/>
          <w:sz w:val="20"/>
        </w:rPr>
        <w:t> </w:t>
      </w:r>
      <w:r>
        <w:rPr>
          <w:color w:val="231F20"/>
          <w:sz w:val="20"/>
        </w:rPr>
        <w:t>только</w:t>
      </w:r>
      <w:r>
        <w:rPr>
          <w:color w:val="231F20"/>
          <w:spacing w:val="-6"/>
          <w:sz w:val="20"/>
        </w:rPr>
        <w:t> </w:t>
      </w:r>
      <w:r>
        <w:rPr>
          <w:color w:val="231F20"/>
          <w:sz w:val="20"/>
        </w:rPr>
        <w:t>делиться</w:t>
      </w:r>
      <w:r>
        <w:rPr>
          <w:color w:val="231F20"/>
          <w:spacing w:val="-6"/>
          <w:sz w:val="20"/>
        </w:rPr>
        <w:t> </w:t>
      </w:r>
      <w:r>
        <w:rPr>
          <w:color w:val="231F20"/>
          <w:sz w:val="20"/>
        </w:rPr>
        <w:t>мыслями</w:t>
      </w:r>
      <w:r>
        <w:rPr>
          <w:color w:val="231F20"/>
          <w:spacing w:val="-6"/>
          <w:sz w:val="20"/>
        </w:rPr>
        <w:t> </w:t>
      </w:r>
      <w:r>
        <w:rPr>
          <w:color w:val="231F20"/>
          <w:sz w:val="20"/>
        </w:rPr>
        <w:t>и</w:t>
      </w:r>
      <w:r>
        <w:rPr>
          <w:color w:val="231F20"/>
          <w:spacing w:val="-6"/>
          <w:sz w:val="20"/>
        </w:rPr>
        <w:t> </w:t>
      </w:r>
      <w:r>
        <w:rPr>
          <w:color w:val="231F20"/>
          <w:sz w:val="20"/>
        </w:rPr>
        <w:t>эмоциями,</w:t>
      </w:r>
      <w:r>
        <w:rPr>
          <w:color w:val="231F20"/>
          <w:spacing w:val="-6"/>
          <w:sz w:val="20"/>
        </w:rPr>
        <w:t> </w:t>
      </w:r>
      <w:r>
        <w:rPr>
          <w:color w:val="231F20"/>
          <w:sz w:val="20"/>
        </w:rPr>
        <w:t>но</w:t>
      </w:r>
      <w:r>
        <w:rPr>
          <w:color w:val="231F20"/>
          <w:spacing w:val="-6"/>
          <w:sz w:val="20"/>
        </w:rPr>
        <w:t> </w:t>
      </w:r>
      <w:r>
        <w:rPr>
          <w:color w:val="231F20"/>
          <w:sz w:val="20"/>
        </w:rPr>
        <w:t>не</w:t>
      </w:r>
      <w:r>
        <w:rPr>
          <w:color w:val="231F20"/>
          <w:spacing w:val="-6"/>
          <w:sz w:val="20"/>
        </w:rPr>
        <w:t> </w:t>
      </w:r>
      <w:r>
        <w:rPr>
          <w:color w:val="231F20"/>
          <w:sz w:val="20"/>
        </w:rPr>
        <w:t>содержани- ем работы;</w:t>
      </w:r>
    </w:p>
    <w:p>
      <w:pPr>
        <w:pStyle w:val="ListParagraph"/>
        <w:numPr>
          <w:ilvl w:val="1"/>
          <w:numId w:val="247"/>
        </w:numPr>
        <w:tabs>
          <w:tab w:pos="708" w:val="left" w:leader="none"/>
        </w:tabs>
        <w:spacing w:line="235" w:lineRule="auto" w:before="0" w:after="0"/>
        <w:ind w:left="708" w:right="139" w:hanging="284"/>
        <w:jc w:val="both"/>
        <w:rPr>
          <w:sz w:val="20"/>
        </w:rPr>
      </w:pPr>
      <w:r>
        <w:rPr>
          <w:color w:val="231F20"/>
          <w:spacing w:val="-2"/>
          <w:sz w:val="20"/>
        </w:rPr>
        <w:t>добровольность</w:t>
      </w:r>
      <w:r>
        <w:rPr>
          <w:color w:val="231F20"/>
          <w:spacing w:val="-3"/>
          <w:sz w:val="20"/>
        </w:rPr>
        <w:t> </w:t>
      </w:r>
      <w:r>
        <w:rPr>
          <w:color w:val="231F20"/>
          <w:spacing w:val="-2"/>
          <w:sz w:val="20"/>
        </w:rPr>
        <w:t>участия:</w:t>
      </w:r>
      <w:r>
        <w:rPr>
          <w:color w:val="231F20"/>
          <w:spacing w:val="-3"/>
          <w:sz w:val="20"/>
        </w:rPr>
        <w:t> </w:t>
      </w:r>
      <w:r>
        <w:rPr>
          <w:color w:val="231F20"/>
          <w:spacing w:val="-2"/>
          <w:sz w:val="20"/>
        </w:rPr>
        <w:t>в</w:t>
      </w:r>
      <w:r>
        <w:rPr>
          <w:color w:val="231F20"/>
          <w:spacing w:val="-3"/>
          <w:sz w:val="20"/>
        </w:rPr>
        <w:t> </w:t>
      </w:r>
      <w:r>
        <w:rPr>
          <w:color w:val="231F20"/>
          <w:spacing w:val="-2"/>
          <w:sz w:val="20"/>
        </w:rPr>
        <w:t>групповой</w:t>
      </w:r>
      <w:r>
        <w:rPr>
          <w:color w:val="231F20"/>
          <w:spacing w:val="-3"/>
          <w:sz w:val="20"/>
        </w:rPr>
        <w:t> </w:t>
      </w:r>
      <w:r>
        <w:rPr>
          <w:color w:val="231F20"/>
          <w:spacing w:val="-2"/>
          <w:sz w:val="20"/>
        </w:rPr>
        <w:t>работе</w:t>
      </w:r>
      <w:r>
        <w:rPr>
          <w:color w:val="231F20"/>
          <w:spacing w:val="-3"/>
          <w:sz w:val="20"/>
        </w:rPr>
        <w:t> </w:t>
      </w:r>
      <w:r>
        <w:rPr>
          <w:color w:val="231F20"/>
          <w:spacing w:val="-2"/>
          <w:sz w:val="20"/>
        </w:rPr>
        <w:t>участвуют</w:t>
      </w:r>
      <w:r>
        <w:rPr>
          <w:color w:val="231F20"/>
          <w:spacing w:val="-3"/>
          <w:sz w:val="20"/>
        </w:rPr>
        <w:t> </w:t>
      </w:r>
      <w:r>
        <w:rPr>
          <w:color w:val="231F20"/>
          <w:spacing w:val="-2"/>
          <w:sz w:val="20"/>
        </w:rPr>
        <w:t>только</w:t>
      </w:r>
      <w:r>
        <w:rPr>
          <w:color w:val="231F20"/>
          <w:spacing w:val="-3"/>
          <w:sz w:val="20"/>
        </w:rPr>
        <w:t> </w:t>
      </w:r>
      <w:r>
        <w:rPr>
          <w:color w:val="231F20"/>
          <w:spacing w:val="-2"/>
          <w:sz w:val="20"/>
        </w:rPr>
        <w:t>те,</w:t>
      </w:r>
      <w:r>
        <w:rPr>
          <w:color w:val="231F20"/>
          <w:spacing w:val="-3"/>
          <w:sz w:val="20"/>
        </w:rPr>
        <w:t> </w:t>
      </w:r>
      <w:r>
        <w:rPr>
          <w:color w:val="231F20"/>
          <w:spacing w:val="-2"/>
          <w:sz w:val="20"/>
        </w:rPr>
        <w:t>кто</w:t>
      </w:r>
      <w:r>
        <w:rPr>
          <w:color w:val="231F20"/>
          <w:spacing w:val="-3"/>
          <w:sz w:val="20"/>
        </w:rPr>
        <w:t> </w:t>
      </w:r>
      <w:r>
        <w:rPr>
          <w:color w:val="231F20"/>
          <w:spacing w:val="-2"/>
          <w:sz w:val="20"/>
        </w:rPr>
        <w:t>находят- </w:t>
      </w:r>
      <w:r>
        <w:rPr>
          <w:color w:val="231F20"/>
          <w:sz w:val="20"/>
        </w:rPr>
        <w:t>ся в ней по собственному желанию;</w:t>
      </w:r>
    </w:p>
    <w:p>
      <w:pPr>
        <w:pStyle w:val="ListParagraph"/>
        <w:numPr>
          <w:ilvl w:val="1"/>
          <w:numId w:val="247"/>
        </w:numPr>
        <w:tabs>
          <w:tab w:pos="708" w:val="left" w:leader="none"/>
        </w:tabs>
        <w:spacing w:line="225" w:lineRule="exact" w:before="0" w:after="0"/>
        <w:ind w:left="708" w:right="0" w:hanging="283"/>
        <w:jc w:val="both"/>
        <w:rPr>
          <w:sz w:val="20"/>
        </w:rPr>
      </w:pPr>
      <w:r>
        <w:rPr>
          <w:color w:val="231F20"/>
          <w:sz w:val="20"/>
        </w:rPr>
        <w:t>руководитель</w:t>
      </w:r>
      <w:r>
        <w:rPr>
          <w:color w:val="231F20"/>
          <w:spacing w:val="-7"/>
          <w:sz w:val="20"/>
        </w:rPr>
        <w:t> </w:t>
      </w:r>
      <w:r>
        <w:rPr>
          <w:color w:val="231F20"/>
          <w:sz w:val="20"/>
        </w:rPr>
        <w:t>группы</w:t>
      </w:r>
      <w:r>
        <w:rPr>
          <w:color w:val="231F20"/>
          <w:spacing w:val="-6"/>
          <w:sz w:val="20"/>
        </w:rPr>
        <w:t> </w:t>
      </w:r>
      <w:r>
        <w:rPr>
          <w:color w:val="231F20"/>
          <w:sz w:val="20"/>
        </w:rPr>
        <w:t>имеет</w:t>
      </w:r>
      <w:r>
        <w:rPr>
          <w:color w:val="231F20"/>
          <w:spacing w:val="-6"/>
          <w:sz w:val="20"/>
        </w:rPr>
        <w:t> </w:t>
      </w:r>
      <w:r>
        <w:rPr>
          <w:color w:val="231F20"/>
          <w:sz w:val="20"/>
        </w:rPr>
        <w:t>право</w:t>
      </w:r>
      <w:r>
        <w:rPr>
          <w:color w:val="231F20"/>
          <w:spacing w:val="-6"/>
          <w:sz w:val="20"/>
        </w:rPr>
        <w:t> </w:t>
      </w:r>
      <w:r>
        <w:rPr>
          <w:color w:val="231F20"/>
          <w:sz w:val="20"/>
        </w:rPr>
        <w:t>остановить</w:t>
      </w:r>
      <w:r>
        <w:rPr>
          <w:color w:val="231F20"/>
          <w:spacing w:val="-7"/>
          <w:sz w:val="20"/>
        </w:rPr>
        <w:t> </w:t>
      </w:r>
      <w:r>
        <w:rPr>
          <w:color w:val="231F20"/>
          <w:sz w:val="20"/>
        </w:rPr>
        <w:t>работу</w:t>
      </w:r>
      <w:r>
        <w:rPr>
          <w:color w:val="231F20"/>
          <w:spacing w:val="-6"/>
          <w:sz w:val="20"/>
        </w:rPr>
        <w:t> </w:t>
      </w:r>
      <w:r>
        <w:rPr>
          <w:color w:val="231F20"/>
          <w:sz w:val="20"/>
        </w:rPr>
        <w:t>без</w:t>
      </w:r>
      <w:r>
        <w:rPr>
          <w:color w:val="231F20"/>
          <w:spacing w:val="-6"/>
          <w:sz w:val="20"/>
        </w:rPr>
        <w:t> </w:t>
      </w:r>
      <w:r>
        <w:rPr>
          <w:color w:val="231F20"/>
          <w:sz w:val="20"/>
        </w:rPr>
        <w:t>объяснения</w:t>
      </w:r>
      <w:r>
        <w:rPr>
          <w:color w:val="231F20"/>
          <w:spacing w:val="-6"/>
          <w:sz w:val="20"/>
        </w:rPr>
        <w:t> </w:t>
      </w:r>
      <w:r>
        <w:rPr>
          <w:color w:val="231F20"/>
          <w:spacing w:val="-2"/>
          <w:sz w:val="20"/>
        </w:rPr>
        <w:t>причин;</w:t>
      </w:r>
    </w:p>
    <w:p>
      <w:pPr>
        <w:pStyle w:val="ListParagraph"/>
        <w:numPr>
          <w:ilvl w:val="1"/>
          <w:numId w:val="247"/>
        </w:numPr>
        <w:tabs>
          <w:tab w:pos="708" w:val="left" w:leader="none"/>
        </w:tabs>
        <w:spacing w:line="235" w:lineRule="auto" w:before="0" w:after="0"/>
        <w:ind w:left="708" w:right="139" w:hanging="284"/>
        <w:jc w:val="both"/>
        <w:rPr>
          <w:sz w:val="20"/>
        </w:rPr>
      </w:pPr>
      <w:r>
        <w:rPr>
          <w:color w:val="231F20"/>
          <w:sz w:val="20"/>
        </w:rPr>
        <w:t>правило</w:t>
      </w:r>
      <w:r>
        <w:rPr>
          <w:color w:val="231F20"/>
          <w:spacing w:val="-6"/>
          <w:sz w:val="20"/>
        </w:rPr>
        <w:t> </w:t>
      </w:r>
      <w:r>
        <w:rPr>
          <w:color w:val="231F20"/>
          <w:sz w:val="20"/>
        </w:rPr>
        <w:t>«стоп»</w:t>
      </w:r>
      <w:r>
        <w:rPr>
          <w:color w:val="231F20"/>
          <w:spacing w:val="-6"/>
          <w:sz w:val="20"/>
        </w:rPr>
        <w:t> </w:t>
      </w:r>
      <w:r>
        <w:rPr>
          <w:color w:val="231F20"/>
          <w:sz w:val="20"/>
        </w:rPr>
        <w:t>участника,</w:t>
      </w:r>
      <w:r>
        <w:rPr>
          <w:color w:val="231F20"/>
          <w:spacing w:val="-6"/>
          <w:sz w:val="20"/>
        </w:rPr>
        <w:t> </w:t>
      </w:r>
      <w:r>
        <w:rPr>
          <w:color w:val="231F20"/>
          <w:sz w:val="20"/>
        </w:rPr>
        <w:t>представляющего</w:t>
      </w:r>
      <w:r>
        <w:rPr>
          <w:color w:val="231F20"/>
          <w:spacing w:val="-6"/>
          <w:sz w:val="20"/>
        </w:rPr>
        <w:t> </w:t>
      </w:r>
      <w:r>
        <w:rPr>
          <w:color w:val="231F20"/>
          <w:sz w:val="20"/>
        </w:rPr>
        <w:t>случай,</w:t>
      </w:r>
      <w:r>
        <w:rPr>
          <w:color w:val="231F20"/>
          <w:spacing w:val="-6"/>
          <w:sz w:val="20"/>
        </w:rPr>
        <w:t> </w:t>
      </w:r>
      <w:r>
        <w:rPr>
          <w:color w:val="231F20"/>
          <w:sz w:val="20"/>
        </w:rPr>
        <w:t>он</w:t>
      </w:r>
      <w:r>
        <w:rPr>
          <w:color w:val="231F20"/>
          <w:spacing w:val="-6"/>
          <w:sz w:val="20"/>
        </w:rPr>
        <w:t> </w:t>
      </w:r>
      <w:r>
        <w:rPr>
          <w:color w:val="231F20"/>
          <w:sz w:val="20"/>
        </w:rPr>
        <w:t>может</w:t>
      </w:r>
      <w:r>
        <w:rPr>
          <w:color w:val="231F20"/>
          <w:spacing w:val="-6"/>
          <w:sz w:val="20"/>
        </w:rPr>
        <w:t> </w:t>
      </w:r>
      <w:r>
        <w:rPr>
          <w:color w:val="231F20"/>
          <w:sz w:val="20"/>
        </w:rPr>
        <w:t>остановить</w:t>
      </w:r>
      <w:r>
        <w:rPr>
          <w:color w:val="231F20"/>
          <w:spacing w:val="-6"/>
          <w:sz w:val="20"/>
        </w:rPr>
        <w:t> </w:t>
      </w:r>
      <w:r>
        <w:rPr>
          <w:color w:val="231F20"/>
          <w:sz w:val="20"/>
        </w:rPr>
        <w:t>ра- боту группы без объяснения причин;</w:t>
      </w:r>
    </w:p>
    <w:p>
      <w:pPr>
        <w:pStyle w:val="ListParagraph"/>
        <w:spacing w:after="0" w:line="235" w:lineRule="auto"/>
        <w:jc w:val="both"/>
        <w:rPr>
          <w:sz w:val="20"/>
        </w:rPr>
        <w:sectPr>
          <w:pgSz w:w="8400" w:h="11910"/>
          <w:pgMar w:header="0" w:footer="529" w:top="400" w:bottom="740" w:left="425" w:right="425"/>
        </w:sectPr>
      </w:pPr>
    </w:p>
    <w:p>
      <w:pPr>
        <w:spacing w:before="80"/>
        <w:ind w:left="141" w:right="0" w:firstLine="0"/>
        <w:jc w:val="left"/>
        <w:rPr>
          <w:rFonts w:ascii="Georgia" w:hAnsi="Georgia"/>
          <w:sz w:val="18"/>
        </w:rPr>
      </w:pPr>
      <w:r>
        <w:rPr>
          <w:rFonts w:ascii="Georgia" w:hAnsi="Georgia"/>
          <w:color w:val="231F20"/>
          <w:sz w:val="18"/>
        </w:rPr>
        <w:t>2.2.</w:t>
      </w:r>
      <w:r>
        <w:rPr>
          <w:rFonts w:ascii="Georgia" w:hAnsi="Georgia"/>
          <w:color w:val="231F20"/>
          <w:spacing w:val="-3"/>
          <w:sz w:val="18"/>
        </w:rPr>
        <w:t> </w:t>
      </w:r>
      <w:r>
        <w:rPr>
          <w:rFonts w:ascii="Georgia" w:hAnsi="Georgia"/>
          <w:color w:val="231F20"/>
          <w:sz w:val="18"/>
        </w:rPr>
        <w:t>Алгоритм</w:t>
      </w:r>
      <w:r>
        <w:rPr>
          <w:rFonts w:ascii="Georgia" w:hAnsi="Georgia"/>
          <w:color w:val="231F20"/>
          <w:spacing w:val="-3"/>
          <w:sz w:val="18"/>
        </w:rPr>
        <w:t> </w:t>
      </w:r>
      <w:r>
        <w:rPr>
          <w:rFonts w:ascii="Georgia" w:hAnsi="Georgia"/>
          <w:color w:val="231F20"/>
          <w:sz w:val="18"/>
        </w:rPr>
        <w:t>разбора</w:t>
      </w:r>
      <w:r>
        <w:rPr>
          <w:rFonts w:ascii="Georgia" w:hAnsi="Georgia"/>
          <w:color w:val="231F20"/>
          <w:spacing w:val="-3"/>
          <w:sz w:val="18"/>
        </w:rPr>
        <w:t> </w:t>
      </w:r>
      <w:r>
        <w:rPr>
          <w:rFonts w:ascii="Georgia" w:hAnsi="Georgia"/>
          <w:color w:val="231F20"/>
          <w:sz w:val="18"/>
        </w:rPr>
        <w:t>педагогического</w:t>
      </w:r>
      <w:r>
        <w:rPr>
          <w:rFonts w:ascii="Georgia" w:hAnsi="Georgia"/>
          <w:color w:val="231F20"/>
          <w:spacing w:val="-3"/>
          <w:sz w:val="18"/>
        </w:rPr>
        <w:t> </w:t>
      </w:r>
      <w:r>
        <w:rPr>
          <w:rFonts w:ascii="Georgia" w:hAnsi="Georgia"/>
          <w:color w:val="231F20"/>
          <w:sz w:val="18"/>
        </w:rPr>
        <w:t>случая,</w:t>
      </w:r>
      <w:r>
        <w:rPr>
          <w:rFonts w:ascii="Georgia" w:hAnsi="Georgia"/>
          <w:color w:val="231F20"/>
          <w:spacing w:val="-3"/>
          <w:sz w:val="18"/>
        </w:rPr>
        <w:t> </w:t>
      </w:r>
      <w:r>
        <w:rPr>
          <w:rFonts w:ascii="Georgia" w:hAnsi="Georgia"/>
          <w:color w:val="231F20"/>
          <w:sz w:val="18"/>
        </w:rPr>
        <w:t>связанного</w:t>
      </w:r>
      <w:r>
        <w:rPr>
          <w:rFonts w:ascii="Georgia" w:hAnsi="Georgia"/>
          <w:color w:val="231F20"/>
          <w:spacing w:val="-3"/>
          <w:sz w:val="18"/>
        </w:rPr>
        <w:t> </w:t>
      </w:r>
      <w:r>
        <w:rPr>
          <w:rFonts w:ascii="Georgia" w:hAnsi="Georgia"/>
          <w:color w:val="231F20"/>
          <w:sz w:val="18"/>
        </w:rPr>
        <w:t>с</w:t>
      </w:r>
      <w:r>
        <w:rPr>
          <w:rFonts w:ascii="Georgia" w:hAnsi="Georgia"/>
          <w:color w:val="231F20"/>
          <w:spacing w:val="-3"/>
          <w:sz w:val="18"/>
        </w:rPr>
        <w:t> </w:t>
      </w:r>
      <w:r>
        <w:rPr>
          <w:rFonts w:ascii="Georgia" w:hAnsi="Georgia"/>
          <w:color w:val="231F20"/>
          <w:sz w:val="18"/>
        </w:rPr>
        <w:t>адаптацией</w:t>
      </w:r>
      <w:r>
        <w:rPr>
          <w:rFonts w:ascii="Georgia" w:hAnsi="Georgia"/>
          <w:color w:val="231F20"/>
          <w:spacing w:val="-2"/>
          <w:sz w:val="18"/>
        </w:rPr>
        <w:t> детей</w:t>
      </w:r>
    </w:p>
    <w:p>
      <w:pPr>
        <w:pStyle w:val="ListParagraph"/>
        <w:numPr>
          <w:ilvl w:val="0"/>
          <w:numId w:val="248"/>
        </w:numPr>
        <w:tabs>
          <w:tab w:pos="424" w:val="left" w:leader="none"/>
        </w:tabs>
        <w:spacing w:line="228" w:lineRule="exact" w:before="112" w:after="0"/>
        <w:ind w:left="424" w:right="0" w:hanging="283"/>
        <w:jc w:val="both"/>
        <w:rPr>
          <w:sz w:val="20"/>
        </w:rPr>
      </w:pPr>
      <w:r>
        <w:rPr>
          <w:color w:val="231F20"/>
          <w:sz w:val="20"/>
        </w:rPr>
        <w:t>мы не</w:t>
      </w:r>
      <w:r>
        <w:rPr>
          <w:color w:val="231F20"/>
          <w:spacing w:val="1"/>
          <w:sz w:val="20"/>
        </w:rPr>
        <w:t> </w:t>
      </w:r>
      <w:r>
        <w:rPr>
          <w:color w:val="231F20"/>
          <w:sz w:val="20"/>
        </w:rPr>
        <w:t>обсуждаем вопросы,</w:t>
      </w:r>
      <w:r>
        <w:rPr>
          <w:color w:val="231F20"/>
          <w:spacing w:val="1"/>
          <w:sz w:val="20"/>
        </w:rPr>
        <w:t> </w:t>
      </w:r>
      <w:r>
        <w:rPr>
          <w:color w:val="231F20"/>
          <w:sz w:val="20"/>
        </w:rPr>
        <w:t>касающиеся личности </w:t>
      </w:r>
      <w:r>
        <w:rPr>
          <w:color w:val="231F20"/>
          <w:spacing w:val="-2"/>
          <w:sz w:val="20"/>
        </w:rPr>
        <w:t>присутствующих;</w:t>
      </w:r>
    </w:p>
    <w:p>
      <w:pPr>
        <w:pStyle w:val="ListParagraph"/>
        <w:numPr>
          <w:ilvl w:val="0"/>
          <w:numId w:val="248"/>
        </w:numPr>
        <w:tabs>
          <w:tab w:pos="425" w:val="left" w:leader="none"/>
        </w:tabs>
        <w:spacing w:line="240" w:lineRule="auto" w:before="0" w:after="0"/>
        <w:ind w:left="425" w:right="139" w:hanging="284"/>
        <w:jc w:val="both"/>
        <w:rPr>
          <w:sz w:val="20"/>
        </w:rPr>
      </w:pPr>
      <w:r>
        <w:rPr>
          <w:color w:val="231F20"/>
          <w:sz w:val="20"/>
        </w:rPr>
        <w:t>не даем советов, не оцениваем друг друга, стараемся избегать терминов или объ- яснять их простыми словами;</w:t>
      </w:r>
    </w:p>
    <w:p>
      <w:pPr>
        <w:pStyle w:val="ListParagraph"/>
        <w:numPr>
          <w:ilvl w:val="0"/>
          <w:numId w:val="248"/>
        </w:numPr>
        <w:tabs>
          <w:tab w:pos="425" w:val="left" w:leader="none"/>
        </w:tabs>
        <w:spacing w:line="240" w:lineRule="auto" w:before="0" w:after="0"/>
        <w:ind w:left="425" w:right="139" w:hanging="284"/>
        <w:jc w:val="both"/>
        <w:rPr>
          <w:sz w:val="20"/>
        </w:rPr>
      </w:pPr>
      <w:r>
        <w:rPr>
          <w:color w:val="231F20"/>
          <w:sz w:val="20"/>
        </w:rPr>
        <w:t>время</w:t>
      </w:r>
      <w:r>
        <w:rPr>
          <w:color w:val="231F20"/>
          <w:spacing w:val="-4"/>
          <w:sz w:val="20"/>
        </w:rPr>
        <w:t> </w:t>
      </w:r>
      <w:r>
        <w:rPr>
          <w:color w:val="231F20"/>
          <w:sz w:val="20"/>
        </w:rPr>
        <w:t>начала</w:t>
      </w:r>
      <w:r>
        <w:rPr>
          <w:color w:val="231F20"/>
          <w:spacing w:val="-4"/>
          <w:sz w:val="20"/>
        </w:rPr>
        <w:t> </w:t>
      </w:r>
      <w:r>
        <w:rPr>
          <w:color w:val="231F20"/>
          <w:sz w:val="20"/>
        </w:rPr>
        <w:t>и</w:t>
      </w:r>
      <w:r>
        <w:rPr>
          <w:color w:val="231F20"/>
          <w:spacing w:val="-4"/>
          <w:sz w:val="20"/>
        </w:rPr>
        <w:t> </w:t>
      </w:r>
      <w:r>
        <w:rPr>
          <w:color w:val="231F20"/>
          <w:sz w:val="20"/>
        </w:rPr>
        <w:t>окончания</w:t>
      </w:r>
      <w:r>
        <w:rPr>
          <w:color w:val="231F20"/>
          <w:spacing w:val="-4"/>
          <w:sz w:val="20"/>
        </w:rPr>
        <w:t> </w:t>
      </w:r>
      <w:r>
        <w:rPr>
          <w:color w:val="231F20"/>
          <w:sz w:val="20"/>
        </w:rPr>
        <w:t>работы</w:t>
      </w:r>
      <w:r>
        <w:rPr>
          <w:color w:val="231F20"/>
          <w:spacing w:val="-4"/>
          <w:sz w:val="20"/>
        </w:rPr>
        <w:t> </w:t>
      </w:r>
      <w:r>
        <w:rPr>
          <w:color w:val="231F20"/>
          <w:sz w:val="20"/>
        </w:rPr>
        <w:t>соблюдается</w:t>
      </w:r>
      <w:r>
        <w:rPr>
          <w:color w:val="231F20"/>
          <w:spacing w:val="-4"/>
          <w:sz w:val="20"/>
        </w:rPr>
        <w:t> </w:t>
      </w:r>
      <w:r>
        <w:rPr>
          <w:color w:val="231F20"/>
          <w:sz w:val="20"/>
        </w:rPr>
        <w:t>всеми</w:t>
      </w:r>
      <w:r>
        <w:rPr>
          <w:color w:val="231F20"/>
          <w:spacing w:val="-4"/>
          <w:sz w:val="20"/>
        </w:rPr>
        <w:t> </w:t>
      </w:r>
      <w:r>
        <w:rPr>
          <w:color w:val="231F20"/>
          <w:sz w:val="20"/>
        </w:rPr>
        <w:t>участниками,</w:t>
      </w:r>
      <w:r>
        <w:rPr>
          <w:color w:val="231F20"/>
          <w:spacing w:val="-4"/>
          <w:sz w:val="20"/>
        </w:rPr>
        <w:t> </w:t>
      </w:r>
      <w:r>
        <w:rPr>
          <w:color w:val="231F20"/>
          <w:sz w:val="20"/>
        </w:rPr>
        <w:t>нельзя</w:t>
      </w:r>
      <w:r>
        <w:rPr>
          <w:color w:val="231F20"/>
          <w:spacing w:val="-4"/>
          <w:sz w:val="20"/>
        </w:rPr>
        <w:t> </w:t>
      </w:r>
      <w:r>
        <w:rPr>
          <w:color w:val="231F20"/>
          <w:sz w:val="20"/>
        </w:rPr>
        <w:t>отвле- каться на телефон или разговоры, не относящиеся к содержанию работы, выхо- дить из группы, не предупредив об этом участников заранее.</w:t>
      </w:r>
    </w:p>
    <w:p>
      <w:pPr>
        <w:pStyle w:val="ListParagraph"/>
        <w:numPr>
          <w:ilvl w:val="0"/>
          <w:numId w:val="247"/>
        </w:numPr>
        <w:tabs>
          <w:tab w:pos="425" w:val="left" w:leader="none"/>
        </w:tabs>
        <w:spacing w:line="240" w:lineRule="auto" w:before="0" w:after="0"/>
        <w:ind w:left="425" w:right="139" w:hanging="284"/>
        <w:jc w:val="both"/>
        <w:rPr>
          <w:sz w:val="20"/>
        </w:rPr>
      </w:pPr>
      <w:r>
        <w:rPr>
          <w:color w:val="231F20"/>
          <w:sz w:val="20"/>
        </w:rPr>
        <w:t>Итак,</w:t>
      </w:r>
      <w:r>
        <w:rPr>
          <w:color w:val="231F20"/>
          <w:spacing w:val="-1"/>
          <w:sz w:val="20"/>
        </w:rPr>
        <w:t> </w:t>
      </w:r>
      <w:r>
        <w:rPr>
          <w:color w:val="231F20"/>
          <w:sz w:val="20"/>
        </w:rPr>
        <w:t>кто</w:t>
      </w:r>
      <w:r>
        <w:rPr>
          <w:color w:val="231F20"/>
          <w:spacing w:val="-1"/>
          <w:sz w:val="20"/>
        </w:rPr>
        <w:t> </w:t>
      </w:r>
      <w:r>
        <w:rPr>
          <w:color w:val="231F20"/>
          <w:sz w:val="20"/>
        </w:rPr>
        <w:t>из</w:t>
      </w:r>
      <w:r>
        <w:rPr>
          <w:color w:val="231F20"/>
          <w:spacing w:val="-1"/>
          <w:sz w:val="20"/>
        </w:rPr>
        <w:t> </w:t>
      </w:r>
      <w:r>
        <w:rPr>
          <w:color w:val="231F20"/>
          <w:sz w:val="20"/>
        </w:rPr>
        <w:t>вас</w:t>
      </w:r>
      <w:r>
        <w:rPr>
          <w:color w:val="231F20"/>
          <w:spacing w:val="-1"/>
          <w:sz w:val="20"/>
        </w:rPr>
        <w:t> </w:t>
      </w:r>
      <w:r>
        <w:rPr>
          <w:color w:val="231F20"/>
          <w:sz w:val="20"/>
        </w:rPr>
        <w:t>готов</w:t>
      </w:r>
      <w:r>
        <w:rPr>
          <w:color w:val="231F20"/>
          <w:spacing w:val="-1"/>
          <w:sz w:val="20"/>
        </w:rPr>
        <w:t> </w:t>
      </w:r>
      <w:r>
        <w:rPr>
          <w:color w:val="231F20"/>
          <w:sz w:val="20"/>
        </w:rPr>
        <w:t>представить</w:t>
      </w:r>
      <w:r>
        <w:rPr>
          <w:color w:val="231F20"/>
          <w:spacing w:val="-1"/>
          <w:sz w:val="20"/>
        </w:rPr>
        <w:t> </w:t>
      </w:r>
      <w:r>
        <w:rPr>
          <w:color w:val="231F20"/>
          <w:sz w:val="20"/>
        </w:rPr>
        <w:t>трудный</w:t>
      </w:r>
      <w:r>
        <w:rPr>
          <w:color w:val="231F20"/>
          <w:spacing w:val="-1"/>
          <w:sz w:val="20"/>
        </w:rPr>
        <w:t> </w:t>
      </w:r>
      <w:r>
        <w:rPr>
          <w:color w:val="231F20"/>
          <w:sz w:val="20"/>
        </w:rPr>
        <w:t>случай,</w:t>
      </w:r>
      <w:r>
        <w:rPr>
          <w:color w:val="231F20"/>
          <w:spacing w:val="-1"/>
          <w:sz w:val="20"/>
        </w:rPr>
        <w:t> </w:t>
      </w:r>
      <w:r>
        <w:rPr>
          <w:color w:val="231F20"/>
          <w:sz w:val="20"/>
        </w:rPr>
        <w:t>связанный</w:t>
      </w:r>
      <w:r>
        <w:rPr>
          <w:color w:val="231F20"/>
          <w:spacing w:val="-1"/>
          <w:sz w:val="20"/>
        </w:rPr>
        <w:t> </w:t>
      </w:r>
      <w:r>
        <w:rPr>
          <w:color w:val="231F20"/>
          <w:sz w:val="20"/>
        </w:rPr>
        <w:t>с</w:t>
      </w:r>
      <w:r>
        <w:rPr>
          <w:color w:val="231F20"/>
          <w:spacing w:val="-1"/>
          <w:sz w:val="20"/>
        </w:rPr>
        <w:t> </w:t>
      </w:r>
      <w:r>
        <w:rPr>
          <w:color w:val="231F20"/>
          <w:sz w:val="20"/>
        </w:rPr>
        <w:t>адаптацией</w:t>
      </w:r>
      <w:r>
        <w:rPr>
          <w:color w:val="231F20"/>
          <w:spacing w:val="-1"/>
          <w:sz w:val="20"/>
        </w:rPr>
        <w:t> </w:t>
      </w:r>
      <w:r>
        <w:rPr>
          <w:color w:val="231F20"/>
          <w:sz w:val="20"/>
        </w:rPr>
        <w:t>уче- </w:t>
      </w:r>
      <w:r>
        <w:rPr>
          <w:color w:val="231F20"/>
          <w:spacing w:val="-2"/>
          <w:sz w:val="20"/>
        </w:rPr>
        <w:t>ника?</w:t>
      </w:r>
    </w:p>
    <w:p>
      <w:pPr>
        <w:pStyle w:val="BodyText"/>
        <w:ind w:left="425" w:right="0" w:firstLine="0"/>
      </w:pPr>
      <w:r>
        <w:rPr>
          <w:color w:val="231F20"/>
        </w:rPr>
        <w:t>Если</w:t>
      </w:r>
      <w:r>
        <w:rPr>
          <w:color w:val="231F20"/>
          <w:spacing w:val="-10"/>
        </w:rPr>
        <w:t> </w:t>
      </w:r>
      <w:r>
        <w:rPr>
          <w:color w:val="231F20"/>
        </w:rPr>
        <w:t>выразили</w:t>
      </w:r>
      <w:r>
        <w:rPr>
          <w:color w:val="231F20"/>
          <w:spacing w:val="-9"/>
        </w:rPr>
        <w:t> </w:t>
      </w:r>
      <w:r>
        <w:rPr>
          <w:color w:val="231F20"/>
        </w:rPr>
        <w:t>желание</w:t>
      </w:r>
      <w:r>
        <w:rPr>
          <w:color w:val="231F20"/>
          <w:spacing w:val="-9"/>
        </w:rPr>
        <w:t> </w:t>
      </w:r>
      <w:r>
        <w:rPr>
          <w:color w:val="231F20"/>
        </w:rPr>
        <w:t>несколько</w:t>
      </w:r>
      <w:r>
        <w:rPr>
          <w:color w:val="231F20"/>
          <w:spacing w:val="-8"/>
        </w:rPr>
        <w:t> </w:t>
      </w:r>
      <w:r>
        <w:rPr>
          <w:color w:val="231F20"/>
          <w:spacing w:val="-2"/>
        </w:rPr>
        <w:t>человек:</w:t>
      </w:r>
    </w:p>
    <w:p>
      <w:pPr>
        <w:pStyle w:val="BodyText"/>
        <w:ind w:left="425" w:right="140" w:hanging="1"/>
      </w:pPr>
      <w:r>
        <w:rPr>
          <w:i/>
          <w:color w:val="231F20"/>
        </w:rPr>
        <w:t>Вариант</w:t>
      </w:r>
      <w:r>
        <w:rPr>
          <w:i/>
          <w:color w:val="231F20"/>
          <w:spacing w:val="-6"/>
        </w:rPr>
        <w:t> </w:t>
      </w:r>
      <w:r>
        <w:rPr>
          <w:i/>
          <w:color w:val="231F20"/>
        </w:rPr>
        <w:t>1.</w:t>
      </w:r>
      <w:r>
        <w:rPr>
          <w:i/>
          <w:color w:val="231F20"/>
          <w:spacing w:val="-6"/>
        </w:rPr>
        <w:t> </w:t>
      </w:r>
      <w:r>
        <w:rPr>
          <w:color w:val="231F20"/>
        </w:rPr>
        <w:t>Договоритесь</w:t>
      </w:r>
      <w:r>
        <w:rPr>
          <w:color w:val="231F20"/>
          <w:spacing w:val="-6"/>
        </w:rPr>
        <w:t> </w:t>
      </w:r>
      <w:r>
        <w:rPr>
          <w:color w:val="231F20"/>
        </w:rPr>
        <w:t>друг</w:t>
      </w:r>
      <w:r>
        <w:rPr>
          <w:color w:val="231F20"/>
          <w:spacing w:val="-6"/>
        </w:rPr>
        <w:t> </w:t>
      </w:r>
      <w:r>
        <w:rPr>
          <w:color w:val="231F20"/>
        </w:rPr>
        <w:t>с</w:t>
      </w:r>
      <w:r>
        <w:rPr>
          <w:color w:val="231F20"/>
          <w:spacing w:val="-6"/>
        </w:rPr>
        <w:t> </w:t>
      </w:r>
      <w:r>
        <w:rPr>
          <w:color w:val="231F20"/>
        </w:rPr>
        <w:t>другом,</w:t>
      </w:r>
      <w:r>
        <w:rPr>
          <w:color w:val="231F20"/>
          <w:spacing w:val="-6"/>
        </w:rPr>
        <w:t> </w:t>
      </w:r>
      <w:r>
        <w:rPr>
          <w:color w:val="231F20"/>
        </w:rPr>
        <w:t>кто</w:t>
      </w:r>
      <w:r>
        <w:rPr>
          <w:color w:val="231F20"/>
          <w:spacing w:val="-6"/>
        </w:rPr>
        <w:t> </w:t>
      </w:r>
      <w:r>
        <w:rPr>
          <w:color w:val="231F20"/>
        </w:rPr>
        <w:t>будет</w:t>
      </w:r>
      <w:r>
        <w:rPr>
          <w:color w:val="231F20"/>
          <w:spacing w:val="-6"/>
        </w:rPr>
        <w:t> </w:t>
      </w:r>
      <w:r>
        <w:rPr>
          <w:color w:val="231F20"/>
        </w:rPr>
        <w:t>представлять</w:t>
      </w:r>
      <w:r>
        <w:rPr>
          <w:color w:val="231F20"/>
          <w:spacing w:val="-6"/>
        </w:rPr>
        <w:t> </w:t>
      </w:r>
      <w:r>
        <w:rPr>
          <w:color w:val="231F20"/>
        </w:rPr>
        <w:t>свой</w:t>
      </w:r>
      <w:r>
        <w:rPr>
          <w:color w:val="231F20"/>
          <w:spacing w:val="-6"/>
        </w:rPr>
        <w:t> </w:t>
      </w:r>
      <w:r>
        <w:rPr>
          <w:color w:val="231F20"/>
        </w:rPr>
        <w:t>случай.</w:t>
      </w:r>
      <w:r>
        <w:rPr>
          <w:color w:val="231F20"/>
          <w:spacing w:val="-6"/>
        </w:rPr>
        <w:t> </w:t>
      </w:r>
      <w:r>
        <w:rPr>
          <w:color w:val="231F20"/>
        </w:rPr>
        <w:t>Что вы решили?</w:t>
      </w:r>
    </w:p>
    <w:p>
      <w:pPr>
        <w:pStyle w:val="BodyText"/>
        <w:ind w:left="425" w:hanging="1"/>
      </w:pPr>
      <w:r>
        <w:rPr>
          <w:i/>
          <w:color w:val="231F20"/>
        </w:rPr>
        <w:t>Вариант</w:t>
      </w:r>
      <w:r>
        <w:rPr>
          <w:i/>
          <w:color w:val="231F20"/>
          <w:spacing w:val="-9"/>
        </w:rPr>
        <w:t> </w:t>
      </w:r>
      <w:r>
        <w:rPr>
          <w:i/>
          <w:color w:val="231F20"/>
        </w:rPr>
        <w:t>2.</w:t>
      </w:r>
      <w:r>
        <w:rPr>
          <w:i/>
          <w:color w:val="231F20"/>
          <w:spacing w:val="-8"/>
        </w:rPr>
        <w:t> </w:t>
      </w:r>
      <w:r>
        <w:rPr>
          <w:color w:val="231F20"/>
        </w:rPr>
        <w:t>Кратко</w:t>
      </w:r>
      <w:r>
        <w:rPr>
          <w:color w:val="231F20"/>
          <w:spacing w:val="-9"/>
        </w:rPr>
        <w:t> </w:t>
      </w:r>
      <w:r>
        <w:rPr>
          <w:color w:val="231F20"/>
        </w:rPr>
        <w:t>расскажите</w:t>
      </w:r>
      <w:r>
        <w:rPr>
          <w:color w:val="231F20"/>
          <w:spacing w:val="-9"/>
        </w:rPr>
        <w:t> </w:t>
      </w:r>
      <w:r>
        <w:rPr>
          <w:color w:val="231F20"/>
        </w:rPr>
        <w:t>суть</w:t>
      </w:r>
      <w:r>
        <w:rPr>
          <w:color w:val="231F20"/>
          <w:spacing w:val="-9"/>
        </w:rPr>
        <w:t> </w:t>
      </w:r>
      <w:r>
        <w:rPr>
          <w:color w:val="231F20"/>
        </w:rPr>
        <w:t>вашего</w:t>
      </w:r>
      <w:r>
        <w:rPr>
          <w:color w:val="231F20"/>
          <w:spacing w:val="-9"/>
        </w:rPr>
        <w:t> </w:t>
      </w:r>
      <w:r>
        <w:rPr>
          <w:color w:val="231F20"/>
        </w:rPr>
        <w:t>случая,</w:t>
      </w:r>
      <w:r>
        <w:rPr>
          <w:color w:val="231F20"/>
          <w:spacing w:val="-9"/>
        </w:rPr>
        <w:t> </w:t>
      </w:r>
      <w:r>
        <w:rPr>
          <w:color w:val="231F20"/>
        </w:rPr>
        <w:t>чтобы</w:t>
      </w:r>
      <w:r>
        <w:rPr>
          <w:color w:val="231F20"/>
          <w:spacing w:val="-9"/>
        </w:rPr>
        <w:t> </w:t>
      </w:r>
      <w:r>
        <w:rPr>
          <w:color w:val="231F20"/>
        </w:rPr>
        <w:t>группа</w:t>
      </w:r>
      <w:r>
        <w:rPr>
          <w:color w:val="231F20"/>
          <w:spacing w:val="-9"/>
        </w:rPr>
        <w:t> </w:t>
      </w:r>
      <w:r>
        <w:rPr>
          <w:color w:val="231F20"/>
        </w:rPr>
        <w:t>смогла</w:t>
      </w:r>
      <w:r>
        <w:rPr>
          <w:color w:val="231F20"/>
          <w:spacing w:val="-9"/>
        </w:rPr>
        <w:t> </w:t>
      </w:r>
      <w:r>
        <w:rPr>
          <w:color w:val="231F20"/>
        </w:rPr>
        <w:t>выбрать, что</w:t>
      </w:r>
      <w:r>
        <w:rPr>
          <w:color w:val="231F20"/>
          <w:spacing w:val="-13"/>
        </w:rPr>
        <w:t> </w:t>
      </w:r>
      <w:r>
        <w:rPr>
          <w:color w:val="231F20"/>
        </w:rPr>
        <w:t>ей</w:t>
      </w:r>
      <w:r>
        <w:rPr>
          <w:color w:val="231F20"/>
          <w:spacing w:val="-12"/>
        </w:rPr>
        <w:t> </w:t>
      </w:r>
      <w:r>
        <w:rPr>
          <w:color w:val="231F20"/>
        </w:rPr>
        <w:t>кажется</w:t>
      </w:r>
      <w:r>
        <w:rPr>
          <w:color w:val="231F20"/>
          <w:spacing w:val="-13"/>
        </w:rPr>
        <w:t> </w:t>
      </w:r>
      <w:r>
        <w:rPr>
          <w:color w:val="231F20"/>
        </w:rPr>
        <w:t>сейчас</w:t>
      </w:r>
      <w:r>
        <w:rPr>
          <w:color w:val="231F20"/>
          <w:spacing w:val="-12"/>
        </w:rPr>
        <w:t> </w:t>
      </w:r>
      <w:r>
        <w:rPr>
          <w:color w:val="231F20"/>
        </w:rPr>
        <w:t>интереснее.</w:t>
      </w:r>
      <w:r>
        <w:rPr>
          <w:color w:val="231F20"/>
          <w:spacing w:val="-13"/>
        </w:rPr>
        <w:t> </w:t>
      </w:r>
      <w:r>
        <w:rPr>
          <w:color w:val="231F20"/>
        </w:rPr>
        <w:t>(Участники</w:t>
      </w:r>
      <w:r>
        <w:rPr>
          <w:color w:val="231F20"/>
          <w:spacing w:val="-12"/>
        </w:rPr>
        <w:t> </w:t>
      </w:r>
      <w:r>
        <w:rPr>
          <w:color w:val="231F20"/>
        </w:rPr>
        <w:t>кратко</w:t>
      </w:r>
      <w:r>
        <w:rPr>
          <w:color w:val="231F20"/>
          <w:spacing w:val="-13"/>
        </w:rPr>
        <w:t> </w:t>
      </w:r>
      <w:r>
        <w:rPr>
          <w:color w:val="231F20"/>
        </w:rPr>
        <w:t>рассказывают</w:t>
      </w:r>
      <w:r>
        <w:rPr>
          <w:color w:val="231F20"/>
          <w:spacing w:val="-12"/>
        </w:rPr>
        <w:t> </w:t>
      </w:r>
      <w:r>
        <w:rPr>
          <w:color w:val="231F20"/>
        </w:rPr>
        <w:t>суть</w:t>
      </w:r>
      <w:r>
        <w:rPr>
          <w:color w:val="231F20"/>
          <w:spacing w:val="-13"/>
        </w:rPr>
        <w:t> </w:t>
      </w:r>
      <w:r>
        <w:rPr>
          <w:color w:val="231F20"/>
        </w:rPr>
        <w:t>случаев.) Давайте проголосуем. Кто за случай участника 1? Кто за случай участника 2?</w:t>
      </w:r>
    </w:p>
    <w:p>
      <w:pPr>
        <w:pStyle w:val="ListParagraph"/>
        <w:numPr>
          <w:ilvl w:val="0"/>
          <w:numId w:val="247"/>
        </w:numPr>
        <w:tabs>
          <w:tab w:pos="364" w:val="left" w:leader="none"/>
          <w:tab w:pos="425" w:val="left" w:leader="none"/>
        </w:tabs>
        <w:spacing w:line="240" w:lineRule="auto" w:before="0" w:after="0"/>
        <w:ind w:left="425" w:right="139" w:hanging="284"/>
        <w:jc w:val="both"/>
        <w:rPr>
          <w:sz w:val="20"/>
        </w:rPr>
      </w:pPr>
      <w:r>
        <w:rPr>
          <w:color w:val="231F20"/>
          <w:sz w:val="20"/>
        </w:rPr>
        <w:t>Таким образом, сегодня мы разбираем случай участника … Продолжительность работы группы 1 час (время может варьироваться от 40 до 60 минут). Я прошу моего соведущего (обращение по имени) следить за временем и помогать мне с фиксацией результатов обсуждения.</w:t>
      </w:r>
    </w:p>
    <w:p>
      <w:pPr>
        <w:spacing w:before="142"/>
        <w:ind w:left="425" w:right="0" w:firstLine="0"/>
        <w:jc w:val="both"/>
        <w:rPr>
          <w:b/>
          <w:i/>
          <w:sz w:val="20"/>
        </w:rPr>
      </w:pPr>
      <w:r>
        <w:rPr>
          <w:b/>
          <w:i/>
          <w:color w:val="231F20"/>
          <w:sz w:val="20"/>
        </w:rPr>
        <w:t>Этап</w:t>
      </w:r>
      <w:r>
        <w:rPr>
          <w:b/>
          <w:i/>
          <w:color w:val="231F20"/>
          <w:spacing w:val="-5"/>
          <w:sz w:val="20"/>
        </w:rPr>
        <w:t> </w:t>
      </w:r>
      <w:r>
        <w:rPr>
          <w:b/>
          <w:i/>
          <w:color w:val="231F20"/>
          <w:sz w:val="20"/>
        </w:rPr>
        <w:t>2.</w:t>
      </w:r>
      <w:r>
        <w:rPr>
          <w:b/>
          <w:i/>
          <w:color w:val="231F20"/>
          <w:spacing w:val="-3"/>
          <w:sz w:val="20"/>
        </w:rPr>
        <w:t> </w:t>
      </w:r>
      <w:r>
        <w:rPr>
          <w:b/>
          <w:i/>
          <w:color w:val="231F20"/>
          <w:sz w:val="20"/>
        </w:rPr>
        <w:t>Представление</w:t>
      </w:r>
      <w:r>
        <w:rPr>
          <w:b/>
          <w:i/>
          <w:color w:val="231F20"/>
          <w:spacing w:val="-3"/>
          <w:sz w:val="20"/>
        </w:rPr>
        <w:t> </w:t>
      </w:r>
      <w:r>
        <w:rPr>
          <w:b/>
          <w:i/>
          <w:color w:val="231F20"/>
          <w:sz w:val="20"/>
        </w:rPr>
        <w:t>трудного</w:t>
      </w:r>
      <w:r>
        <w:rPr>
          <w:b/>
          <w:i/>
          <w:color w:val="231F20"/>
          <w:spacing w:val="-3"/>
          <w:sz w:val="20"/>
        </w:rPr>
        <w:t> </w:t>
      </w:r>
      <w:r>
        <w:rPr>
          <w:b/>
          <w:i/>
          <w:color w:val="231F20"/>
          <w:spacing w:val="-2"/>
          <w:sz w:val="20"/>
        </w:rPr>
        <w:t>случая</w:t>
      </w:r>
    </w:p>
    <w:p>
      <w:pPr>
        <w:pStyle w:val="BodyText"/>
      </w:pPr>
      <w:r>
        <w:rPr>
          <w:i/>
          <w:color w:val="231F20"/>
        </w:rPr>
        <w:t>Цель: </w:t>
      </w:r>
      <w:r>
        <w:rPr>
          <w:color w:val="231F20"/>
        </w:rPr>
        <w:t>выслушать представление трудного случая участника, уточнить жалобу и запрос,</w:t>
      </w:r>
      <w:r>
        <w:rPr>
          <w:color w:val="231F20"/>
          <w:spacing w:val="-7"/>
        </w:rPr>
        <w:t> </w:t>
      </w:r>
      <w:r>
        <w:rPr>
          <w:color w:val="231F20"/>
        </w:rPr>
        <w:t>сформулировать</w:t>
      </w:r>
      <w:r>
        <w:rPr>
          <w:color w:val="231F20"/>
          <w:spacing w:val="-7"/>
        </w:rPr>
        <w:t> </w:t>
      </w:r>
      <w:r>
        <w:rPr>
          <w:color w:val="231F20"/>
        </w:rPr>
        <w:t>цель</w:t>
      </w:r>
      <w:r>
        <w:rPr>
          <w:color w:val="231F20"/>
          <w:spacing w:val="-7"/>
        </w:rPr>
        <w:t> </w:t>
      </w:r>
      <w:r>
        <w:rPr>
          <w:color w:val="231F20"/>
        </w:rPr>
        <w:t>разбора</w:t>
      </w:r>
      <w:r>
        <w:rPr>
          <w:color w:val="231F20"/>
          <w:spacing w:val="-7"/>
        </w:rPr>
        <w:t> </w:t>
      </w:r>
      <w:r>
        <w:rPr>
          <w:color w:val="231F20"/>
        </w:rPr>
        <w:t>трудного</w:t>
      </w:r>
      <w:r>
        <w:rPr>
          <w:color w:val="231F20"/>
          <w:spacing w:val="-7"/>
        </w:rPr>
        <w:t> </w:t>
      </w:r>
      <w:r>
        <w:rPr>
          <w:color w:val="231F20"/>
        </w:rPr>
        <w:t>случая</w:t>
      </w:r>
      <w:r>
        <w:rPr>
          <w:color w:val="231F20"/>
          <w:spacing w:val="-7"/>
        </w:rPr>
        <w:t> </w:t>
      </w:r>
      <w:r>
        <w:rPr>
          <w:color w:val="231F20"/>
        </w:rPr>
        <w:t>группой,</w:t>
      </w:r>
      <w:r>
        <w:rPr>
          <w:color w:val="231F20"/>
          <w:spacing w:val="-7"/>
        </w:rPr>
        <w:t> </w:t>
      </w:r>
      <w:r>
        <w:rPr>
          <w:color w:val="231F20"/>
        </w:rPr>
        <w:t>выбрать</w:t>
      </w:r>
      <w:r>
        <w:rPr>
          <w:color w:val="231F20"/>
          <w:spacing w:val="-7"/>
        </w:rPr>
        <w:t> </w:t>
      </w:r>
      <w:r>
        <w:rPr>
          <w:color w:val="231F20"/>
        </w:rPr>
        <w:t>форму</w:t>
      </w:r>
      <w:r>
        <w:rPr>
          <w:color w:val="231F20"/>
          <w:spacing w:val="-7"/>
        </w:rPr>
        <w:t> </w:t>
      </w:r>
      <w:r>
        <w:rPr>
          <w:color w:val="231F20"/>
        </w:rPr>
        <w:t>и</w:t>
      </w:r>
      <w:r>
        <w:rPr>
          <w:color w:val="231F20"/>
          <w:spacing w:val="-7"/>
        </w:rPr>
        <w:t> </w:t>
      </w:r>
      <w:r>
        <w:rPr>
          <w:color w:val="231F20"/>
        </w:rPr>
        <w:t>на- правление обсуждения.</w:t>
      </w:r>
    </w:p>
    <w:p>
      <w:pPr>
        <w:spacing w:before="0"/>
        <w:ind w:left="425" w:right="0" w:firstLine="0"/>
        <w:jc w:val="left"/>
        <w:rPr>
          <w:i/>
          <w:sz w:val="20"/>
        </w:rPr>
      </w:pPr>
      <w:r>
        <w:rPr>
          <w:i/>
          <w:color w:val="231F20"/>
          <w:spacing w:val="-2"/>
          <w:sz w:val="20"/>
        </w:rPr>
        <w:t>Обзор</w:t>
      </w:r>
    </w:p>
    <w:p>
      <w:pPr>
        <w:pStyle w:val="BodyText"/>
      </w:pPr>
      <w:r>
        <w:rPr>
          <w:color w:val="231F20"/>
        </w:rPr>
        <w:t>Данный</w:t>
      </w:r>
      <w:r>
        <w:rPr>
          <w:color w:val="231F20"/>
          <w:spacing w:val="-4"/>
        </w:rPr>
        <w:t> </w:t>
      </w:r>
      <w:r>
        <w:rPr>
          <w:color w:val="231F20"/>
        </w:rPr>
        <w:t>этап</w:t>
      </w:r>
      <w:r>
        <w:rPr>
          <w:color w:val="231F20"/>
          <w:spacing w:val="-4"/>
        </w:rPr>
        <w:t> </w:t>
      </w:r>
      <w:r>
        <w:rPr>
          <w:color w:val="231F20"/>
        </w:rPr>
        <w:t>обсуждения</w:t>
      </w:r>
      <w:r>
        <w:rPr>
          <w:color w:val="231F20"/>
          <w:spacing w:val="-4"/>
        </w:rPr>
        <w:t> </w:t>
      </w:r>
      <w:r>
        <w:rPr>
          <w:color w:val="231F20"/>
        </w:rPr>
        <w:t>посвящен</w:t>
      </w:r>
      <w:r>
        <w:rPr>
          <w:color w:val="231F20"/>
          <w:spacing w:val="-4"/>
        </w:rPr>
        <w:t> </w:t>
      </w:r>
      <w:r>
        <w:rPr>
          <w:color w:val="231F20"/>
        </w:rPr>
        <w:t>выслушиванию</w:t>
      </w:r>
      <w:r>
        <w:rPr>
          <w:color w:val="231F20"/>
          <w:spacing w:val="-4"/>
        </w:rPr>
        <w:t> </w:t>
      </w:r>
      <w:r>
        <w:rPr>
          <w:color w:val="231F20"/>
        </w:rPr>
        <w:t>запроса</w:t>
      </w:r>
      <w:r>
        <w:rPr>
          <w:color w:val="231F20"/>
          <w:spacing w:val="-4"/>
        </w:rPr>
        <w:t> </w:t>
      </w:r>
      <w:r>
        <w:rPr>
          <w:color w:val="231F20"/>
        </w:rPr>
        <w:t>участника,</w:t>
      </w:r>
      <w:r>
        <w:rPr>
          <w:color w:val="231F20"/>
          <w:spacing w:val="-4"/>
        </w:rPr>
        <w:t> </w:t>
      </w:r>
      <w:r>
        <w:rPr>
          <w:color w:val="231F20"/>
        </w:rPr>
        <w:t>представ- ляющего случай. Участнику предлагается рассказать о своей трудности или задаче, которая</w:t>
      </w:r>
      <w:r>
        <w:rPr>
          <w:color w:val="231F20"/>
          <w:spacing w:val="-9"/>
        </w:rPr>
        <w:t> </w:t>
      </w:r>
      <w:r>
        <w:rPr>
          <w:color w:val="231F20"/>
        </w:rPr>
        <w:t>решалась</w:t>
      </w:r>
      <w:r>
        <w:rPr>
          <w:color w:val="231F20"/>
          <w:spacing w:val="-9"/>
        </w:rPr>
        <w:t> </w:t>
      </w:r>
      <w:r>
        <w:rPr>
          <w:color w:val="231F20"/>
        </w:rPr>
        <w:t>на</w:t>
      </w:r>
      <w:r>
        <w:rPr>
          <w:color w:val="231F20"/>
          <w:spacing w:val="-9"/>
        </w:rPr>
        <w:t> </w:t>
      </w:r>
      <w:r>
        <w:rPr>
          <w:color w:val="231F20"/>
        </w:rPr>
        <w:t>уроке,</w:t>
      </w:r>
      <w:r>
        <w:rPr>
          <w:color w:val="231F20"/>
          <w:spacing w:val="-9"/>
        </w:rPr>
        <w:t> </w:t>
      </w:r>
      <w:r>
        <w:rPr>
          <w:color w:val="231F20"/>
        </w:rPr>
        <w:t>сформулировать</w:t>
      </w:r>
      <w:r>
        <w:rPr>
          <w:color w:val="231F20"/>
          <w:spacing w:val="-9"/>
        </w:rPr>
        <w:t> </w:t>
      </w:r>
      <w:r>
        <w:rPr>
          <w:color w:val="231F20"/>
        </w:rPr>
        <w:t>запрос</w:t>
      </w:r>
      <w:r>
        <w:rPr>
          <w:color w:val="231F20"/>
          <w:spacing w:val="-9"/>
        </w:rPr>
        <w:t> </w:t>
      </w:r>
      <w:r>
        <w:rPr>
          <w:color w:val="231F20"/>
        </w:rPr>
        <w:t>группе</w:t>
      </w:r>
      <w:r>
        <w:rPr>
          <w:color w:val="231F20"/>
          <w:spacing w:val="-9"/>
        </w:rPr>
        <w:t> </w:t>
      </w:r>
      <w:r>
        <w:rPr>
          <w:color w:val="231F20"/>
        </w:rPr>
        <w:t>в</w:t>
      </w:r>
      <w:r>
        <w:rPr>
          <w:color w:val="231F20"/>
          <w:spacing w:val="-9"/>
        </w:rPr>
        <w:t> </w:t>
      </w:r>
      <w:r>
        <w:rPr>
          <w:color w:val="231F20"/>
        </w:rPr>
        <w:t>рамках</w:t>
      </w:r>
      <w:r>
        <w:rPr>
          <w:color w:val="231F20"/>
          <w:spacing w:val="-9"/>
        </w:rPr>
        <w:t> </w:t>
      </w:r>
      <w:r>
        <w:rPr>
          <w:color w:val="231F20"/>
        </w:rPr>
        <w:t>психолого-педа- гогического анализа педагогической ситуации на уроке или разбор трудного случая взаимодействия.</w:t>
      </w:r>
      <w:r>
        <w:rPr>
          <w:color w:val="231F20"/>
          <w:spacing w:val="-8"/>
        </w:rPr>
        <w:t> </w:t>
      </w:r>
      <w:r>
        <w:rPr>
          <w:color w:val="231F20"/>
        </w:rPr>
        <w:t>После</w:t>
      </w:r>
      <w:r>
        <w:rPr>
          <w:color w:val="231F20"/>
          <w:spacing w:val="-8"/>
        </w:rPr>
        <w:t> </w:t>
      </w:r>
      <w:r>
        <w:rPr>
          <w:color w:val="231F20"/>
        </w:rPr>
        <w:t>описания</w:t>
      </w:r>
      <w:r>
        <w:rPr>
          <w:color w:val="231F20"/>
          <w:spacing w:val="-8"/>
        </w:rPr>
        <w:t> </w:t>
      </w:r>
      <w:r>
        <w:rPr>
          <w:color w:val="231F20"/>
        </w:rPr>
        <w:t>и</w:t>
      </w:r>
      <w:r>
        <w:rPr>
          <w:color w:val="231F20"/>
          <w:spacing w:val="-8"/>
        </w:rPr>
        <w:t> </w:t>
      </w:r>
      <w:r>
        <w:rPr>
          <w:color w:val="231F20"/>
        </w:rPr>
        <w:t>формулирования</w:t>
      </w:r>
      <w:r>
        <w:rPr>
          <w:color w:val="231F20"/>
          <w:spacing w:val="-8"/>
        </w:rPr>
        <w:t> </w:t>
      </w:r>
      <w:r>
        <w:rPr>
          <w:color w:val="231F20"/>
        </w:rPr>
        <w:t>запроса</w:t>
      </w:r>
      <w:r>
        <w:rPr>
          <w:color w:val="231F20"/>
          <w:spacing w:val="-8"/>
        </w:rPr>
        <w:t> </w:t>
      </w:r>
      <w:r>
        <w:rPr>
          <w:color w:val="231F20"/>
        </w:rPr>
        <w:t>руководитель</w:t>
      </w:r>
      <w:r>
        <w:rPr>
          <w:color w:val="231F20"/>
          <w:spacing w:val="-8"/>
        </w:rPr>
        <w:t> </w:t>
      </w:r>
      <w:r>
        <w:rPr>
          <w:color w:val="231F20"/>
        </w:rPr>
        <w:t>предлага- ет участникам задать вопросы по фактам, связанным с этим случаем. Если участник </w:t>
      </w:r>
      <w:r>
        <w:rPr>
          <w:color w:val="231F20"/>
          <w:spacing w:val="-2"/>
        </w:rPr>
        <w:t>готов</w:t>
      </w:r>
      <w:r>
        <w:rPr>
          <w:color w:val="231F20"/>
          <w:spacing w:val="-3"/>
        </w:rPr>
        <w:t> </w:t>
      </w:r>
      <w:r>
        <w:rPr>
          <w:color w:val="231F20"/>
          <w:spacing w:val="-2"/>
        </w:rPr>
        <w:t>показать</w:t>
      </w:r>
      <w:r>
        <w:rPr>
          <w:color w:val="231F20"/>
          <w:spacing w:val="-3"/>
        </w:rPr>
        <w:t> </w:t>
      </w:r>
      <w:r>
        <w:rPr>
          <w:color w:val="231F20"/>
          <w:spacing w:val="-2"/>
        </w:rPr>
        <w:t>видео-</w:t>
      </w:r>
      <w:r>
        <w:rPr>
          <w:color w:val="231F20"/>
          <w:spacing w:val="-3"/>
        </w:rPr>
        <w:t> </w:t>
      </w:r>
      <w:r>
        <w:rPr>
          <w:color w:val="231F20"/>
          <w:spacing w:val="-2"/>
        </w:rPr>
        <w:t>или аудиозапись занятия,</w:t>
      </w:r>
      <w:r>
        <w:rPr>
          <w:color w:val="231F20"/>
          <w:spacing w:val="-3"/>
        </w:rPr>
        <w:t> </w:t>
      </w:r>
      <w:r>
        <w:rPr>
          <w:color w:val="231F20"/>
          <w:spacing w:val="-2"/>
        </w:rPr>
        <w:t>внеклассного</w:t>
      </w:r>
      <w:r>
        <w:rPr>
          <w:color w:val="231F20"/>
          <w:spacing w:val="-3"/>
        </w:rPr>
        <w:t> </w:t>
      </w:r>
      <w:r>
        <w:rPr>
          <w:color w:val="231F20"/>
          <w:spacing w:val="-2"/>
        </w:rPr>
        <w:t>мероприятия</w:t>
      </w:r>
      <w:r>
        <w:rPr>
          <w:color w:val="231F20"/>
          <w:spacing w:val="-3"/>
        </w:rPr>
        <w:t> </w:t>
      </w:r>
      <w:r>
        <w:rPr>
          <w:color w:val="231F20"/>
          <w:spacing w:val="-2"/>
        </w:rPr>
        <w:t>–</w:t>
      </w:r>
      <w:r>
        <w:rPr>
          <w:color w:val="231F20"/>
          <w:spacing w:val="-3"/>
        </w:rPr>
        <w:t> </w:t>
      </w:r>
      <w:r>
        <w:rPr>
          <w:color w:val="231F20"/>
          <w:spacing w:val="-2"/>
        </w:rPr>
        <w:t>он</w:t>
      </w:r>
      <w:r>
        <w:rPr>
          <w:color w:val="231F20"/>
          <w:spacing w:val="-3"/>
        </w:rPr>
        <w:t> </w:t>
      </w:r>
      <w:r>
        <w:rPr>
          <w:color w:val="231F20"/>
          <w:spacing w:val="-2"/>
        </w:rPr>
        <w:t>также </w:t>
      </w:r>
      <w:r>
        <w:rPr>
          <w:color w:val="231F20"/>
        </w:rPr>
        <w:t>делает это в процессе презентации.</w:t>
      </w:r>
    </w:p>
    <w:p>
      <w:pPr>
        <w:pStyle w:val="BodyText"/>
        <w:spacing w:before="1"/>
      </w:pPr>
      <w:r>
        <w:rPr>
          <w:color w:val="231F20"/>
        </w:rPr>
        <w:t>Участник, представляющий случай, и остальные участники группы должны по- стараться раскрыть следующие </w:t>
      </w:r>
      <w:r>
        <w:rPr>
          <w:i/>
          <w:color w:val="231F20"/>
        </w:rPr>
        <w:t>аспекты</w:t>
      </w:r>
      <w:r>
        <w:rPr>
          <w:color w:val="231F20"/>
        </w:rPr>
        <w:t>:</w:t>
      </w:r>
    </w:p>
    <w:p>
      <w:pPr>
        <w:pStyle w:val="ListParagraph"/>
        <w:numPr>
          <w:ilvl w:val="0"/>
          <w:numId w:val="249"/>
        </w:numPr>
        <w:tabs>
          <w:tab w:pos="425" w:val="left" w:leader="none"/>
        </w:tabs>
        <w:spacing w:line="240" w:lineRule="auto" w:before="0" w:after="0"/>
        <w:ind w:left="425" w:right="139" w:hanging="284"/>
        <w:jc w:val="both"/>
        <w:rPr>
          <w:sz w:val="20"/>
        </w:rPr>
      </w:pPr>
      <w:r>
        <w:rPr>
          <w:color w:val="231F20"/>
          <w:spacing w:val="-2"/>
          <w:sz w:val="20"/>
        </w:rPr>
        <w:t>собрать</w:t>
      </w:r>
      <w:r>
        <w:rPr>
          <w:color w:val="231F20"/>
          <w:spacing w:val="-3"/>
          <w:sz w:val="20"/>
        </w:rPr>
        <w:t> </w:t>
      </w:r>
      <w:r>
        <w:rPr>
          <w:color w:val="231F20"/>
          <w:spacing w:val="-2"/>
          <w:sz w:val="20"/>
        </w:rPr>
        <w:t>информацию</w:t>
      </w:r>
      <w:r>
        <w:rPr>
          <w:color w:val="231F20"/>
          <w:spacing w:val="-3"/>
          <w:sz w:val="20"/>
        </w:rPr>
        <w:t> </w:t>
      </w:r>
      <w:r>
        <w:rPr>
          <w:color w:val="231F20"/>
          <w:spacing w:val="-2"/>
          <w:sz w:val="20"/>
        </w:rPr>
        <w:t>о</w:t>
      </w:r>
      <w:r>
        <w:rPr>
          <w:color w:val="231F20"/>
          <w:spacing w:val="-3"/>
          <w:sz w:val="20"/>
        </w:rPr>
        <w:t> </w:t>
      </w:r>
      <w:r>
        <w:rPr>
          <w:color w:val="231F20"/>
          <w:spacing w:val="-2"/>
          <w:sz w:val="20"/>
        </w:rPr>
        <w:t>ситуации,</w:t>
      </w:r>
      <w:r>
        <w:rPr>
          <w:color w:val="231F20"/>
          <w:spacing w:val="-3"/>
          <w:sz w:val="20"/>
        </w:rPr>
        <w:t> </w:t>
      </w:r>
      <w:r>
        <w:rPr>
          <w:color w:val="231F20"/>
          <w:spacing w:val="-2"/>
          <w:sz w:val="20"/>
        </w:rPr>
        <w:t>в</w:t>
      </w:r>
      <w:r>
        <w:rPr>
          <w:color w:val="231F20"/>
          <w:spacing w:val="-3"/>
          <w:sz w:val="20"/>
        </w:rPr>
        <w:t> </w:t>
      </w:r>
      <w:r>
        <w:rPr>
          <w:color w:val="231F20"/>
          <w:spacing w:val="-2"/>
          <w:sz w:val="20"/>
        </w:rPr>
        <w:t>которой</w:t>
      </w:r>
      <w:r>
        <w:rPr>
          <w:color w:val="231F20"/>
          <w:spacing w:val="-3"/>
          <w:sz w:val="20"/>
        </w:rPr>
        <w:t> </w:t>
      </w:r>
      <w:r>
        <w:rPr>
          <w:color w:val="231F20"/>
          <w:spacing w:val="-2"/>
          <w:sz w:val="20"/>
        </w:rPr>
        <w:t>происходили</w:t>
      </w:r>
      <w:r>
        <w:rPr>
          <w:color w:val="231F20"/>
          <w:spacing w:val="-3"/>
          <w:sz w:val="20"/>
        </w:rPr>
        <w:t> </w:t>
      </w:r>
      <w:r>
        <w:rPr>
          <w:color w:val="231F20"/>
          <w:spacing w:val="-2"/>
          <w:sz w:val="20"/>
        </w:rPr>
        <w:t>события,</w:t>
      </w:r>
      <w:r>
        <w:rPr>
          <w:color w:val="231F20"/>
          <w:spacing w:val="-3"/>
          <w:sz w:val="20"/>
        </w:rPr>
        <w:t> </w:t>
      </w:r>
      <w:r>
        <w:rPr>
          <w:color w:val="231F20"/>
          <w:spacing w:val="-2"/>
          <w:sz w:val="20"/>
        </w:rPr>
        <w:t>что</w:t>
      </w:r>
      <w:r>
        <w:rPr>
          <w:color w:val="231F20"/>
          <w:spacing w:val="-3"/>
          <w:sz w:val="20"/>
        </w:rPr>
        <w:t> </w:t>
      </w:r>
      <w:r>
        <w:rPr>
          <w:color w:val="231F20"/>
          <w:spacing w:val="-2"/>
          <w:sz w:val="20"/>
        </w:rPr>
        <w:t>происходи- </w:t>
      </w:r>
      <w:r>
        <w:rPr>
          <w:color w:val="231F20"/>
          <w:sz w:val="20"/>
        </w:rPr>
        <w:t>ло до и непосредственно после описываемой ситуации;</w:t>
      </w:r>
    </w:p>
    <w:p>
      <w:pPr>
        <w:pStyle w:val="ListParagraph"/>
        <w:numPr>
          <w:ilvl w:val="0"/>
          <w:numId w:val="249"/>
        </w:numPr>
        <w:tabs>
          <w:tab w:pos="425" w:val="left" w:leader="none"/>
        </w:tabs>
        <w:spacing w:line="240" w:lineRule="auto" w:before="0" w:after="0"/>
        <w:ind w:left="425" w:right="139" w:hanging="284"/>
        <w:jc w:val="both"/>
        <w:rPr>
          <w:sz w:val="20"/>
        </w:rPr>
      </w:pPr>
      <w:r>
        <w:rPr>
          <w:color w:val="231F20"/>
          <w:sz w:val="20"/>
        </w:rPr>
        <w:t>что именно происходило между участниками трудного случая – какие действия, какие эмоциональные реакции;</w:t>
      </w:r>
    </w:p>
    <w:p>
      <w:pPr>
        <w:pStyle w:val="ListParagraph"/>
        <w:numPr>
          <w:ilvl w:val="0"/>
          <w:numId w:val="249"/>
        </w:numPr>
        <w:tabs>
          <w:tab w:pos="425" w:val="left" w:leader="none"/>
        </w:tabs>
        <w:spacing w:line="240" w:lineRule="auto" w:before="0" w:after="0"/>
        <w:ind w:left="425" w:right="139" w:hanging="284"/>
        <w:jc w:val="both"/>
        <w:rPr>
          <w:sz w:val="20"/>
        </w:rPr>
      </w:pPr>
      <w:r>
        <w:rPr>
          <w:color w:val="231F20"/>
          <w:sz w:val="20"/>
        </w:rPr>
        <w:t>собрать информацию об ученике: как давно он находится на территории России, какие</w:t>
      </w:r>
      <w:r>
        <w:rPr>
          <w:color w:val="231F20"/>
          <w:spacing w:val="-13"/>
          <w:sz w:val="20"/>
        </w:rPr>
        <w:t> </w:t>
      </w:r>
      <w:r>
        <w:rPr>
          <w:color w:val="231F20"/>
          <w:sz w:val="20"/>
        </w:rPr>
        <w:t>его</w:t>
      </w:r>
      <w:r>
        <w:rPr>
          <w:color w:val="231F20"/>
          <w:spacing w:val="-12"/>
          <w:sz w:val="20"/>
        </w:rPr>
        <w:t> </w:t>
      </w:r>
      <w:r>
        <w:rPr>
          <w:color w:val="231F20"/>
          <w:sz w:val="20"/>
        </w:rPr>
        <w:t>культурные</w:t>
      </w:r>
      <w:r>
        <w:rPr>
          <w:color w:val="231F20"/>
          <w:spacing w:val="-13"/>
          <w:sz w:val="20"/>
        </w:rPr>
        <w:t> </w:t>
      </w:r>
      <w:r>
        <w:rPr>
          <w:color w:val="231F20"/>
          <w:sz w:val="20"/>
        </w:rPr>
        <w:t>и</w:t>
      </w:r>
      <w:r>
        <w:rPr>
          <w:color w:val="231F20"/>
          <w:spacing w:val="-12"/>
          <w:sz w:val="20"/>
        </w:rPr>
        <w:t> </w:t>
      </w:r>
      <w:r>
        <w:rPr>
          <w:color w:val="231F20"/>
          <w:sz w:val="20"/>
        </w:rPr>
        <w:t>личностные</w:t>
      </w:r>
      <w:r>
        <w:rPr>
          <w:color w:val="231F20"/>
          <w:spacing w:val="-13"/>
          <w:sz w:val="20"/>
        </w:rPr>
        <w:t> </w:t>
      </w:r>
      <w:r>
        <w:rPr>
          <w:color w:val="231F20"/>
          <w:sz w:val="20"/>
        </w:rPr>
        <w:t>особенности</w:t>
      </w:r>
      <w:r>
        <w:rPr>
          <w:color w:val="231F20"/>
          <w:spacing w:val="-12"/>
          <w:sz w:val="20"/>
        </w:rPr>
        <w:t> </w:t>
      </w:r>
      <w:r>
        <w:rPr>
          <w:color w:val="231F20"/>
          <w:sz w:val="20"/>
        </w:rPr>
        <w:t>важно</w:t>
      </w:r>
      <w:r>
        <w:rPr>
          <w:color w:val="231F20"/>
          <w:spacing w:val="-13"/>
          <w:sz w:val="20"/>
        </w:rPr>
        <w:t> </w:t>
      </w:r>
      <w:r>
        <w:rPr>
          <w:color w:val="231F20"/>
          <w:sz w:val="20"/>
        </w:rPr>
        <w:t>знать</w:t>
      </w:r>
      <w:r>
        <w:rPr>
          <w:color w:val="231F20"/>
          <w:spacing w:val="-12"/>
          <w:sz w:val="20"/>
        </w:rPr>
        <w:t> </w:t>
      </w:r>
      <w:r>
        <w:rPr>
          <w:color w:val="231F20"/>
          <w:sz w:val="20"/>
        </w:rPr>
        <w:t>участникам</w:t>
      </w:r>
      <w:r>
        <w:rPr>
          <w:color w:val="231F20"/>
          <w:spacing w:val="-13"/>
          <w:sz w:val="20"/>
        </w:rPr>
        <w:t> </w:t>
      </w:r>
      <w:r>
        <w:rPr>
          <w:color w:val="231F20"/>
          <w:sz w:val="20"/>
        </w:rPr>
        <w:t>группы, какие особенности адаптации наблюдает педагог;</w:t>
      </w:r>
    </w:p>
    <w:p>
      <w:pPr>
        <w:pStyle w:val="ListParagraph"/>
        <w:numPr>
          <w:ilvl w:val="0"/>
          <w:numId w:val="249"/>
        </w:numPr>
        <w:tabs>
          <w:tab w:pos="425" w:val="left" w:leader="none"/>
        </w:tabs>
        <w:spacing w:line="240" w:lineRule="auto" w:before="0" w:after="0"/>
        <w:ind w:left="425" w:right="139" w:hanging="284"/>
        <w:jc w:val="both"/>
        <w:rPr>
          <w:sz w:val="20"/>
        </w:rPr>
      </w:pPr>
      <w:r>
        <w:rPr>
          <w:color w:val="231F20"/>
          <w:sz w:val="20"/>
        </w:rPr>
        <w:t>кто еще был вовлечен в трудный случай – педагоги, ученики, родители, админи- </w:t>
      </w:r>
      <w:r>
        <w:rPr>
          <w:color w:val="231F20"/>
          <w:spacing w:val="-2"/>
          <w:sz w:val="20"/>
        </w:rPr>
        <w:t>страция;</w:t>
      </w:r>
    </w:p>
    <w:p>
      <w:pPr>
        <w:pStyle w:val="ListParagraph"/>
        <w:numPr>
          <w:ilvl w:val="0"/>
          <w:numId w:val="249"/>
        </w:numPr>
        <w:tabs>
          <w:tab w:pos="424" w:val="left" w:leader="none"/>
        </w:tabs>
        <w:spacing w:line="228" w:lineRule="exact" w:before="0" w:after="0"/>
        <w:ind w:left="424" w:right="0" w:hanging="283"/>
        <w:jc w:val="both"/>
        <w:rPr>
          <w:sz w:val="20"/>
        </w:rPr>
      </w:pPr>
      <w:r>
        <w:rPr>
          <w:color w:val="231F20"/>
          <w:sz w:val="20"/>
        </w:rPr>
        <w:t>в</w:t>
      </w:r>
      <w:r>
        <w:rPr>
          <w:color w:val="231F20"/>
          <w:spacing w:val="-6"/>
          <w:sz w:val="20"/>
        </w:rPr>
        <w:t> </w:t>
      </w:r>
      <w:r>
        <w:rPr>
          <w:color w:val="231F20"/>
          <w:sz w:val="20"/>
        </w:rPr>
        <w:t>чем</w:t>
      </w:r>
      <w:r>
        <w:rPr>
          <w:color w:val="231F20"/>
          <w:spacing w:val="-3"/>
          <w:sz w:val="20"/>
        </w:rPr>
        <w:t> </w:t>
      </w:r>
      <w:r>
        <w:rPr>
          <w:color w:val="231F20"/>
          <w:sz w:val="20"/>
        </w:rPr>
        <w:t>именно</w:t>
      </w:r>
      <w:r>
        <w:rPr>
          <w:color w:val="231F20"/>
          <w:spacing w:val="-4"/>
          <w:sz w:val="20"/>
        </w:rPr>
        <w:t> </w:t>
      </w:r>
      <w:r>
        <w:rPr>
          <w:color w:val="231F20"/>
          <w:sz w:val="20"/>
        </w:rPr>
        <w:t>состоит</w:t>
      </w:r>
      <w:r>
        <w:rPr>
          <w:color w:val="231F20"/>
          <w:spacing w:val="-3"/>
          <w:sz w:val="20"/>
        </w:rPr>
        <w:t> </w:t>
      </w:r>
      <w:r>
        <w:rPr>
          <w:color w:val="231F20"/>
          <w:sz w:val="20"/>
        </w:rPr>
        <w:t>трудность</w:t>
      </w:r>
      <w:r>
        <w:rPr>
          <w:color w:val="231F20"/>
          <w:spacing w:val="-4"/>
          <w:sz w:val="20"/>
        </w:rPr>
        <w:t> </w:t>
      </w:r>
      <w:r>
        <w:rPr>
          <w:color w:val="231F20"/>
          <w:sz w:val="20"/>
        </w:rPr>
        <w:t>для</w:t>
      </w:r>
      <w:r>
        <w:rPr>
          <w:color w:val="231F20"/>
          <w:spacing w:val="-3"/>
          <w:sz w:val="20"/>
        </w:rPr>
        <w:t> </w:t>
      </w:r>
      <w:r>
        <w:rPr>
          <w:color w:val="231F20"/>
          <w:sz w:val="20"/>
        </w:rPr>
        <w:t>педагога</w:t>
      </w:r>
      <w:r>
        <w:rPr>
          <w:color w:val="231F20"/>
          <w:spacing w:val="-3"/>
          <w:sz w:val="20"/>
        </w:rPr>
        <w:t> </w:t>
      </w:r>
      <w:r>
        <w:rPr>
          <w:color w:val="231F20"/>
          <w:spacing w:val="-2"/>
          <w:sz w:val="20"/>
        </w:rPr>
        <w:t>(жалоба);</w:t>
      </w:r>
    </w:p>
    <w:p>
      <w:pPr>
        <w:pStyle w:val="ListParagraph"/>
        <w:numPr>
          <w:ilvl w:val="0"/>
          <w:numId w:val="249"/>
        </w:numPr>
        <w:tabs>
          <w:tab w:pos="424" w:val="left" w:leader="none"/>
        </w:tabs>
        <w:spacing w:line="228" w:lineRule="exact" w:before="0" w:after="0"/>
        <w:ind w:left="424" w:right="0" w:hanging="283"/>
        <w:jc w:val="both"/>
        <w:rPr>
          <w:sz w:val="20"/>
        </w:rPr>
      </w:pPr>
      <w:r>
        <w:rPr>
          <w:color w:val="231F20"/>
          <w:sz w:val="20"/>
        </w:rPr>
        <w:t>чего</w:t>
      </w:r>
      <w:r>
        <w:rPr>
          <w:color w:val="231F20"/>
          <w:spacing w:val="-5"/>
          <w:sz w:val="20"/>
        </w:rPr>
        <w:t> </w:t>
      </w:r>
      <w:r>
        <w:rPr>
          <w:color w:val="231F20"/>
          <w:sz w:val="20"/>
        </w:rPr>
        <w:t>он</w:t>
      </w:r>
      <w:r>
        <w:rPr>
          <w:color w:val="231F20"/>
          <w:spacing w:val="-6"/>
          <w:sz w:val="20"/>
        </w:rPr>
        <w:t> </w:t>
      </w:r>
      <w:r>
        <w:rPr>
          <w:color w:val="231F20"/>
          <w:sz w:val="20"/>
        </w:rPr>
        <w:t>хотел</w:t>
      </w:r>
      <w:r>
        <w:rPr>
          <w:color w:val="231F20"/>
          <w:spacing w:val="-4"/>
          <w:sz w:val="20"/>
        </w:rPr>
        <w:t> </w:t>
      </w:r>
      <w:r>
        <w:rPr>
          <w:color w:val="231F20"/>
          <w:sz w:val="20"/>
        </w:rPr>
        <w:t>бы</w:t>
      </w:r>
      <w:r>
        <w:rPr>
          <w:color w:val="231F20"/>
          <w:spacing w:val="-5"/>
          <w:sz w:val="20"/>
        </w:rPr>
        <w:t> </w:t>
      </w:r>
      <w:r>
        <w:rPr>
          <w:color w:val="231F20"/>
          <w:sz w:val="20"/>
        </w:rPr>
        <w:t>получить</w:t>
      </w:r>
      <w:r>
        <w:rPr>
          <w:color w:val="231F20"/>
          <w:spacing w:val="-6"/>
          <w:sz w:val="20"/>
        </w:rPr>
        <w:t> </w:t>
      </w:r>
      <w:r>
        <w:rPr>
          <w:color w:val="231F20"/>
          <w:sz w:val="20"/>
        </w:rPr>
        <w:t>от</w:t>
      </w:r>
      <w:r>
        <w:rPr>
          <w:color w:val="231F20"/>
          <w:spacing w:val="-4"/>
          <w:sz w:val="20"/>
        </w:rPr>
        <w:t> </w:t>
      </w:r>
      <w:r>
        <w:rPr>
          <w:color w:val="231F20"/>
          <w:sz w:val="20"/>
        </w:rPr>
        <w:t>работы</w:t>
      </w:r>
      <w:r>
        <w:rPr>
          <w:color w:val="231F20"/>
          <w:spacing w:val="-5"/>
          <w:sz w:val="20"/>
        </w:rPr>
        <w:t> </w:t>
      </w:r>
      <w:r>
        <w:rPr>
          <w:color w:val="231F20"/>
          <w:sz w:val="20"/>
        </w:rPr>
        <w:t>группы</w:t>
      </w:r>
      <w:r>
        <w:rPr>
          <w:color w:val="231F20"/>
          <w:spacing w:val="-4"/>
          <w:sz w:val="20"/>
        </w:rPr>
        <w:t> </w:t>
      </w:r>
      <w:r>
        <w:rPr>
          <w:color w:val="231F20"/>
          <w:spacing w:val="-2"/>
          <w:sz w:val="20"/>
        </w:rPr>
        <w:t>(запрос).</w:t>
      </w:r>
    </w:p>
    <w:p>
      <w:pPr>
        <w:pStyle w:val="ListParagraph"/>
        <w:spacing w:after="0" w:line="228" w:lineRule="exact"/>
        <w:jc w:val="both"/>
        <w:rPr>
          <w:sz w:val="20"/>
        </w:rPr>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spacing w:line="235" w:lineRule="auto" w:before="113"/>
        <w:ind w:left="2762" w:right="1010" w:hanging="1593"/>
        <w:jc w:val="left"/>
        <w:rPr>
          <w:b/>
          <w:i/>
          <w:sz w:val="20"/>
        </w:rPr>
      </w:pPr>
      <w:r>
        <w:rPr>
          <w:b/>
          <w:i/>
          <w:color w:val="231F20"/>
          <w:sz w:val="20"/>
        </w:rPr>
        <w:t>Последовательность</w:t>
      </w:r>
      <w:r>
        <w:rPr>
          <w:b/>
          <w:i/>
          <w:color w:val="231F20"/>
          <w:spacing w:val="-13"/>
          <w:sz w:val="20"/>
        </w:rPr>
        <w:t> </w:t>
      </w:r>
      <w:r>
        <w:rPr>
          <w:b/>
          <w:i/>
          <w:color w:val="231F20"/>
          <w:sz w:val="20"/>
        </w:rPr>
        <w:t>проведения</w:t>
      </w:r>
      <w:r>
        <w:rPr>
          <w:b/>
          <w:i/>
          <w:color w:val="231F20"/>
          <w:spacing w:val="-12"/>
          <w:sz w:val="20"/>
        </w:rPr>
        <w:t> </w:t>
      </w:r>
      <w:r>
        <w:rPr>
          <w:b/>
          <w:i/>
          <w:color w:val="231F20"/>
          <w:sz w:val="20"/>
        </w:rPr>
        <w:t>этапа,</w:t>
      </w:r>
      <w:r>
        <w:rPr>
          <w:b/>
          <w:i/>
          <w:color w:val="231F20"/>
          <w:spacing w:val="-13"/>
          <w:sz w:val="20"/>
        </w:rPr>
        <w:t> </w:t>
      </w:r>
      <w:r>
        <w:rPr>
          <w:b/>
          <w:i/>
          <w:color w:val="231F20"/>
          <w:sz w:val="20"/>
        </w:rPr>
        <w:t>реплики</w:t>
      </w:r>
      <w:r>
        <w:rPr>
          <w:b/>
          <w:i/>
          <w:color w:val="231F20"/>
          <w:spacing w:val="-12"/>
          <w:sz w:val="20"/>
        </w:rPr>
        <w:t> </w:t>
      </w:r>
      <w:r>
        <w:rPr>
          <w:b/>
          <w:i/>
          <w:color w:val="231F20"/>
          <w:sz w:val="20"/>
        </w:rPr>
        <w:t>ведущего (примерный сценарий)</w:t>
      </w:r>
    </w:p>
    <w:p>
      <w:pPr>
        <w:pStyle w:val="BodyText"/>
        <w:spacing w:before="2"/>
        <w:ind w:left="0" w:right="0" w:firstLine="0"/>
        <w:jc w:val="left"/>
        <w:rPr>
          <w:b/>
          <w:i/>
          <w:sz w:val="17"/>
        </w:rPr>
      </w:pPr>
    </w:p>
    <w:tbl>
      <w:tblPr>
        <w:tblW w:w="0" w:type="auto"/>
        <w:jc w:val="left"/>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623"/>
        <w:gridCol w:w="3623"/>
      </w:tblGrid>
      <w:tr>
        <w:trPr>
          <w:trHeight w:val="271" w:hRule="atLeast"/>
        </w:trPr>
        <w:tc>
          <w:tcPr>
            <w:tcW w:w="3623" w:type="dxa"/>
          </w:tcPr>
          <w:p>
            <w:pPr>
              <w:pStyle w:val="TableParagraph"/>
              <w:spacing w:before="29"/>
              <w:ind w:left="788"/>
              <w:rPr>
                <w:b/>
                <w:sz w:val="18"/>
              </w:rPr>
            </w:pPr>
            <w:r>
              <w:rPr>
                <w:b/>
                <w:color w:val="231F20"/>
                <w:sz w:val="18"/>
              </w:rPr>
              <w:t>Реплики</w:t>
            </w:r>
            <w:r>
              <w:rPr>
                <w:b/>
                <w:color w:val="231F20"/>
                <w:spacing w:val="-9"/>
                <w:sz w:val="18"/>
              </w:rPr>
              <w:t> </w:t>
            </w:r>
            <w:r>
              <w:rPr>
                <w:b/>
                <w:color w:val="231F20"/>
                <w:spacing w:val="-2"/>
                <w:sz w:val="18"/>
              </w:rPr>
              <w:t>ведущего</w:t>
            </w:r>
          </w:p>
        </w:tc>
        <w:tc>
          <w:tcPr>
            <w:tcW w:w="3623" w:type="dxa"/>
          </w:tcPr>
          <w:p>
            <w:pPr>
              <w:pStyle w:val="TableParagraph"/>
              <w:spacing w:before="29"/>
              <w:ind w:left="789"/>
              <w:rPr>
                <w:b/>
                <w:sz w:val="18"/>
              </w:rPr>
            </w:pPr>
            <w:r>
              <w:rPr>
                <w:b/>
                <w:color w:val="231F20"/>
                <w:spacing w:val="-2"/>
                <w:sz w:val="18"/>
              </w:rPr>
              <w:t>Конкретный</w:t>
            </w:r>
            <w:r>
              <w:rPr>
                <w:b/>
                <w:color w:val="231F20"/>
                <w:spacing w:val="2"/>
                <w:sz w:val="18"/>
              </w:rPr>
              <w:t> </w:t>
            </w:r>
            <w:r>
              <w:rPr>
                <w:b/>
                <w:color w:val="231F20"/>
                <w:spacing w:val="-2"/>
                <w:sz w:val="18"/>
              </w:rPr>
              <w:t>пример</w:t>
            </w:r>
          </w:p>
        </w:tc>
      </w:tr>
      <w:tr>
        <w:trPr>
          <w:trHeight w:val="2626" w:hRule="atLeast"/>
        </w:trPr>
        <w:tc>
          <w:tcPr>
            <w:tcW w:w="3623" w:type="dxa"/>
          </w:tcPr>
          <w:p>
            <w:pPr>
              <w:pStyle w:val="TableParagraph"/>
              <w:spacing w:line="228" w:lineRule="auto" w:before="40"/>
              <w:ind w:left="80"/>
              <w:rPr>
                <w:sz w:val="18"/>
              </w:rPr>
            </w:pPr>
            <w:r>
              <w:rPr>
                <w:i/>
                <w:color w:val="231F20"/>
                <w:sz w:val="18"/>
              </w:rPr>
              <w:t>Ведущий.</w:t>
            </w:r>
            <w:r>
              <w:rPr>
                <w:i/>
                <w:color w:val="231F20"/>
                <w:spacing w:val="-12"/>
                <w:sz w:val="18"/>
              </w:rPr>
              <w:t> </w:t>
            </w:r>
            <w:r>
              <w:rPr>
                <w:color w:val="231F20"/>
                <w:sz w:val="18"/>
              </w:rPr>
              <w:t>Прошу</w:t>
            </w:r>
            <w:r>
              <w:rPr>
                <w:color w:val="231F20"/>
                <w:spacing w:val="-11"/>
                <w:sz w:val="18"/>
              </w:rPr>
              <w:t> </w:t>
            </w:r>
            <w:r>
              <w:rPr>
                <w:color w:val="231F20"/>
                <w:sz w:val="18"/>
              </w:rPr>
              <w:t>участника</w:t>
            </w:r>
            <w:r>
              <w:rPr>
                <w:color w:val="231F20"/>
                <w:spacing w:val="-11"/>
                <w:sz w:val="18"/>
              </w:rPr>
              <w:t> </w:t>
            </w:r>
            <w:r>
              <w:rPr>
                <w:color w:val="231F20"/>
                <w:sz w:val="18"/>
              </w:rPr>
              <w:t>(обращение</w:t>
            </w:r>
            <w:r>
              <w:rPr>
                <w:color w:val="231F20"/>
                <w:spacing w:val="-11"/>
                <w:sz w:val="18"/>
              </w:rPr>
              <w:t> </w:t>
            </w:r>
            <w:r>
              <w:rPr>
                <w:color w:val="231F20"/>
                <w:sz w:val="18"/>
              </w:rPr>
              <w:t>по имени) представить случай.</w:t>
            </w:r>
          </w:p>
          <w:p>
            <w:pPr>
              <w:pStyle w:val="TableParagraph"/>
              <w:spacing w:line="228" w:lineRule="auto"/>
              <w:ind w:left="80" w:right="598"/>
              <w:rPr>
                <w:sz w:val="18"/>
              </w:rPr>
            </w:pPr>
            <w:r>
              <w:rPr>
                <w:i/>
                <w:color w:val="231F20"/>
                <w:sz w:val="18"/>
              </w:rPr>
              <w:t>Участник</w:t>
            </w:r>
            <w:r>
              <w:rPr>
                <w:i/>
                <w:color w:val="231F20"/>
                <w:spacing w:val="-12"/>
                <w:sz w:val="18"/>
              </w:rPr>
              <w:t> </w:t>
            </w:r>
            <w:r>
              <w:rPr>
                <w:color w:val="231F20"/>
                <w:sz w:val="18"/>
              </w:rPr>
              <w:t>рассказывает</w:t>
            </w:r>
            <w:r>
              <w:rPr>
                <w:color w:val="231F20"/>
                <w:spacing w:val="-11"/>
                <w:sz w:val="18"/>
              </w:rPr>
              <w:t> </w:t>
            </w:r>
            <w:r>
              <w:rPr>
                <w:color w:val="231F20"/>
                <w:sz w:val="18"/>
              </w:rPr>
              <w:t>суть</w:t>
            </w:r>
            <w:r>
              <w:rPr>
                <w:color w:val="231F20"/>
                <w:spacing w:val="-11"/>
                <w:sz w:val="18"/>
              </w:rPr>
              <w:t> </w:t>
            </w:r>
            <w:r>
              <w:rPr>
                <w:color w:val="231F20"/>
                <w:sz w:val="18"/>
              </w:rPr>
              <w:t>трудного </w:t>
            </w:r>
            <w:r>
              <w:rPr>
                <w:color w:val="231F20"/>
                <w:spacing w:val="-2"/>
                <w:sz w:val="18"/>
              </w:rPr>
              <w:t>случая</w:t>
            </w:r>
          </w:p>
        </w:tc>
        <w:tc>
          <w:tcPr>
            <w:tcW w:w="3623" w:type="dxa"/>
          </w:tcPr>
          <w:p>
            <w:pPr>
              <w:pStyle w:val="TableParagraph"/>
              <w:spacing w:line="228" w:lineRule="auto" w:before="40"/>
              <w:ind w:left="80"/>
              <w:rPr>
                <w:sz w:val="18"/>
              </w:rPr>
            </w:pPr>
            <w:r>
              <w:rPr>
                <w:i/>
                <w:color w:val="231F20"/>
                <w:sz w:val="18"/>
              </w:rPr>
              <w:t>Ведущий.</w:t>
            </w:r>
            <w:r>
              <w:rPr>
                <w:i/>
                <w:color w:val="231F20"/>
                <w:spacing w:val="-12"/>
                <w:sz w:val="18"/>
              </w:rPr>
              <w:t> </w:t>
            </w:r>
            <w:r>
              <w:rPr>
                <w:color w:val="231F20"/>
                <w:sz w:val="18"/>
              </w:rPr>
              <w:t>Прошу</w:t>
            </w:r>
            <w:r>
              <w:rPr>
                <w:color w:val="231F20"/>
                <w:spacing w:val="-11"/>
                <w:sz w:val="18"/>
              </w:rPr>
              <w:t> </w:t>
            </w:r>
            <w:r>
              <w:rPr>
                <w:color w:val="231F20"/>
                <w:sz w:val="18"/>
              </w:rPr>
              <w:t>Марию</w:t>
            </w:r>
            <w:r>
              <w:rPr>
                <w:color w:val="231F20"/>
                <w:spacing w:val="-11"/>
                <w:sz w:val="18"/>
              </w:rPr>
              <w:t> </w:t>
            </w:r>
            <w:r>
              <w:rPr>
                <w:color w:val="231F20"/>
                <w:sz w:val="18"/>
              </w:rPr>
              <w:t>представить</w:t>
            </w:r>
            <w:r>
              <w:rPr>
                <w:color w:val="231F20"/>
                <w:spacing w:val="-11"/>
                <w:sz w:val="18"/>
              </w:rPr>
              <w:t> </w:t>
            </w:r>
            <w:r>
              <w:rPr>
                <w:color w:val="231F20"/>
                <w:sz w:val="18"/>
              </w:rPr>
              <w:t>свой трудный случай.</w:t>
            </w:r>
          </w:p>
          <w:p>
            <w:pPr>
              <w:pStyle w:val="TableParagraph"/>
              <w:spacing w:line="228" w:lineRule="auto"/>
              <w:ind w:left="80" w:right="297"/>
              <w:rPr>
                <w:sz w:val="18"/>
              </w:rPr>
            </w:pPr>
            <w:r>
              <w:rPr>
                <w:i/>
                <w:color w:val="231F20"/>
                <w:sz w:val="18"/>
              </w:rPr>
              <w:t>Мария. </w:t>
            </w:r>
            <w:r>
              <w:rPr>
                <w:color w:val="231F20"/>
                <w:sz w:val="18"/>
              </w:rPr>
              <w:t>Я вызвала Маххабат к доске решать</w:t>
            </w:r>
            <w:r>
              <w:rPr>
                <w:color w:val="231F20"/>
                <w:spacing w:val="-10"/>
                <w:sz w:val="18"/>
              </w:rPr>
              <w:t> </w:t>
            </w:r>
            <w:r>
              <w:rPr>
                <w:color w:val="231F20"/>
                <w:sz w:val="18"/>
              </w:rPr>
              <w:t>задачу</w:t>
            </w:r>
            <w:r>
              <w:rPr>
                <w:color w:val="231F20"/>
                <w:spacing w:val="-10"/>
                <w:sz w:val="18"/>
              </w:rPr>
              <w:t> </w:t>
            </w:r>
            <w:r>
              <w:rPr>
                <w:color w:val="231F20"/>
                <w:sz w:val="18"/>
              </w:rPr>
              <w:t>и</w:t>
            </w:r>
            <w:r>
              <w:rPr>
                <w:color w:val="231F20"/>
                <w:spacing w:val="-11"/>
                <w:sz w:val="18"/>
              </w:rPr>
              <w:t> </w:t>
            </w:r>
            <w:r>
              <w:rPr>
                <w:color w:val="231F20"/>
                <w:sz w:val="18"/>
              </w:rPr>
              <w:t>стала</w:t>
            </w:r>
            <w:r>
              <w:rPr>
                <w:color w:val="231F20"/>
                <w:spacing w:val="-10"/>
                <w:sz w:val="18"/>
              </w:rPr>
              <w:t> </w:t>
            </w:r>
            <w:r>
              <w:rPr>
                <w:color w:val="231F20"/>
                <w:sz w:val="18"/>
              </w:rPr>
              <w:t>задавать</w:t>
            </w:r>
            <w:r>
              <w:rPr>
                <w:color w:val="231F20"/>
                <w:spacing w:val="-10"/>
                <w:sz w:val="18"/>
              </w:rPr>
              <w:t> </w:t>
            </w:r>
            <w:r>
              <w:rPr>
                <w:color w:val="231F20"/>
                <w:sz w:val="18"/>
              </w:rPr>
              <w:t>вопросы,</w:t>
            </w:r>
          </w:p>
          <w:p>
            <w:pPr>
              <w:pStyle w:val="TableParagraph"/>
              <w:spacing w:line="228" w:lineRule="auto"/>
              <w:ind w:left="80"/>
              <w:rPr>
                <w:sz w:val="18"/>
              </w:rPr>
            </w:pPr>
            <w:r>
              <w:rPr>
                <w:color w:val="231F20"/>
                <w:sz w:val="18"/>
              </w:rPr>
              <w:t>которые</w:t>
            </w:r>
            <w:r>
              <w:rPr>
                <w:color w:val="231F20"/>
                <w:spacing w:val="-10"/>
                <w:sz w:val="18"/>
              </w:rPr>
              <w:t> </w:t>
            </w:r>
            <w:r>
              <w:rPr>
                <w:color w:val="231F20"/>
                <w:sz w:val="18"/>
              </w:rPr>
              <w:t>должны</w:t>
            </w:r>
            <w:r>
              <w:rPr>
                <w:color w:val="231F20"/>
                <w:spacing w:val="-10"/>
                <w:sz w:val="18"/>
              </w:rPr>
              <w:t> </w:t>
            </w:r>
            <w:r>
              <w:rPr>
                <w:color w:val="231F20"/>
                <w:sz w:val="18"/>
              </w:rPr>
              <w:t>были</w:t>
            </w:r>
            <w:r>
              <w:rPr>
                <w:color w:val="231F20"/>
                <w:spacing w:val="-11"/>
                <w:sz w:val="18"/>
              </w:rPr>
              <w:t> </w:t>
            </w:r>
            <w:r>
              <w:rPr>
                <w:color w:val="231F20"/>
                <w:sz w:val="18"/>
              </w:rPr>
              <w:t>ей</w:t>
            </w:r>
            <w:r>
              <w:rPr>
                <w:color w:val="231F20"/>
                <w:spacing w:val="-11"/>
                <w:sz w:val="18"/>
              </w:rPr>
              <w:t> </w:t>
            </w:r>
            <w:r>
              <w:rPr>
                <w:color w:val="231F20"/>
                <w:sz w:val="18"/>
              </w:rPr>
              <w:t>помочь</w:t>
            </w:r>
            <w:r>
              <w:rPr>
                <w:color w:val="231F20"/>
                <w:spacing w:val="-10"/>
                <w:sz w:val="18"/>
              </w:rPr>
              <w:t> </w:t>
            </w:r>
            <w:r>
              <w:rPr>
                <w:color w:val="231F20"/>
                <w:sz w:val="18"/>
              </w:rPr>
              <w:t>в</w:t>
            </w:r>
            <w:r>
              <w:rPr>
                <w:color w:val="231F20"/>
                <w:spacing w:val="-11"/>
                <w:sz w:val="18"/>
              </w:rPr>
              <w:t> </w:t>
            </w:r>
            <w:r>
              <w:rPr>
                <w:color w:val="231F20"/>
                <w:sz w:val="18"/>
              </w:rPr>
              <w:t>решении задачи. Ученица не понимала, что я от нее хочу. В это время остальные дети начали смеяться над ней, давать плохие оценки</w:t>
            </w:r>
          </w:p>
          <w:p>
            <w:pPr>
              <w:pStyle w:val="TableParagraph"/>
              <w:spacing w:line="228" w:lineRule="auto"/>
              <w:ind w:left="80" w:right="297"/>
              <w:rPr>
                <w:sz w:val="18"/>
              </w:rPr>
            </w:pPr>
            <w:r>
              <w:rPr>
                <w:color w:val="231F20"/>
                <w:sz w:val="18"/>
              </w:rPr>
              <w:t>ее способностям. Девочка растерялась еще больше. Я не понимала, что делать: успокаивать класс или придумать, как понятно</w:t>
            </w:r>
            <w:r>
              <w:rPr>
                <w:color w:val="231F20"/>
                <w:spacing w:val="-12"/>
                <w:sz w:val="18"/>
              </w:rPr>
              <w:t> </w:t>
            </w:r>
            <w:r>
              <w:rPr>
                <w:color w:val="231F20"/>
                <w:sz w:val="18"/>
              </w:rPr>
              <w:t>сформулировать</w:t>
            </w:r>
            <w:r>
              <w:rPr>
                <w:color w:val="231F20"/>
                <w:spacing w:val="-11"/>
                <w:sz w:val="18"/>
              </w:rPr>
              <w:t> </w:t>
            </w:r>
            <w:r>
              <w:rPr>
                <w:color w:val="231F20"/>
                <w:sz w:val="18"/>
              </w:rPr>
              <w:t>свой</w:t>
            </w:r>
            <w:r>
              <w:rPr>
                <w:color w:val="231F20"/>
                <w:spacing w:val="-11"/>
                <w:sz w:val="18"/>
              </w:rPr>
              <w:t> </w:t>
            </w:r>
            <w:r>
              <w:rPr>
                <w:color w:val="231F20"/>
                <w:sz w:val="18"/>
              </w:rPr>
              <w:t>вопрос</w:t>
            </w:r>
            <w:r>
              <w:rPr>
                <w:color w:val="231F20"/>
                <w:spacing w:val="-11"/>
                <w:sz w:val="18"/>
              </w:rPr>
              <w:t> </w:t>
            </w:r>
            <w:r>
              <w:rPr>
                <w:color w:val="231F20"/>
                <w:sz w:val="18"/>
              </w:rPr>
              <w:t>для </w:t>
            </w:r>
            <w:r>
              <w:rPr>
                <w:color w:val="231F20"/>
                <w:spacing w:val="-2"/>
                <w:sz w:val="18"/>
              </w:rPr>
              <w:t>Маххабат</w:t>
            </w:r>
          </w:p>
        </w:tc>
      </w:tr>
      <w:tr>
        <w:trPr>
          <w:trHeight w:val="1450" w:hRule="atLeast"/>
        </w:trPr>
        <w:tc>
          <w:tcPr>
            <w:tcW w:w="3623" w:type="dxa"/>
          </w:tcPr>
          <w:p>
            <w:pPr>
              <w:pStyle w:val="TableParagraph"/>
              <w:spacing w:line="228" w:lineRule="auto" w:before="40"/>
              <w:ind w:left="80" w:right="627"/>
              <w:rPr>
                <w:i/>
                <w:sz w:val="18"/>
              </w:rPr>
            </w:pPr>
            <w:r>
              <w:rPr>
                <w:i/>
                <w:color w:val="231F20"/>
                <w:sz w:val="18"/>
              </w:rPr>
              <w:t>Факультативный</w:t>
            </w:r>
            <w:r>
              <w:rPr>
                <w:i/>
                <w:color w:val="231F20"/>
                <w:spacing w:val="-12"/>
                <w:sz w:val="18"/>
              </w:rPr>
              <w:t> </w:t>
            </w:r>
            <w:r>
              <w:rPr>
                <w:i/>
                <w:color w:val="231F20"/>
                <w:sz w:val="18"/>
              </w:rPr>
              <w:t>шаг</w:t>
            </w:r>
            <w:r>
              <w:rPr>
                <w:i/>
                <w:color w:val="231F20"/>
                <w:spacing w:val="-11"/>
                <w:sz w:val="18"/>
              </w:rPr>
              <w:t> </w:t>
            </w:r>
            <w:r>
              <w:rPr>
                <w:i/>
                <w:color w:val="231F20"/>
                <w:sz w:val="18"/>
              </w:rPr>
              <w:t>(возможен</w:t>
            </w:r>
            <w:r>
              <w:rPr>
                <w:i/>
                <w:color w:val="231F20"/>
                <w:spacing w:val="-11"/>
                <w:sz w:val="18"/>
              </w:rPr>
              <w:t> </w:t>
            </w:r>
            <w:r>
              <w:rPr>
                <w:i/>
                <w:color w:val="231F20"/>
                <w:sz w:val="18"/>
              </w:rPr>
              <w:t>при наличии видео-, аудиозаписи).</w:t>
            </w:r>
          </w:p>
          <w:p>
            <w:pPr>
              <w:pStyle w:val="TableParagraph"/>
              <w:spacing w:line="228" w:lineRule="auto"/>
              <w:ind w:left="80" w:right="243"/>
              <w:rPr>
                <w:sz w:val="18"/>
              </w:rPr>
            </w:pPr>
            <w:r>
              <w:rPr>
                <w:i/>
                <w:color w:val="231F20"/>
                <w:sz w:val="18"/>
              </w:rPr>
              <w:t>Ведущий.</w:t>
            </w:r>
            <w:r>
              <w:rPr>
                <w:i/>
                <w:color w:val="231F20"/>
                <w:spacing w:val="-12"/>
                <w:sz w:val="18"/>
              </w:rPr>
              <w:t> </w:t>
            </w:r>
            <w:r>
              <w:rPr>
                <w:color w:val="231F20"/>
                <w:sz w:val="18"/>
              </w:rPr>
              <w:t>Прошу</w:t>
            </w:r>
            <w:r>
              <w:rPr>
                <w:color w:val="231F20"/>
                <w:spacing w:val="-11"/>
                <w:sz w:val="18"/>
              </w:rPr>
              <w:t> </w:t>
            </w:r>
            <w:r>
              <w:rPr>
                <w:color w:val="231F20"/>
                <w:sz w:val="18"/>
              </w:rPr>
              <w:t>включить</w:t>
            </w:r>
            <w:r>
              <w:rPr>
                <w:color w:val="231F20"/>
                <w:spacing w:val="-11"/>
                <w:sz w:val="18"/>
              </w:rPr>
              <w:t> </w:t>
            </w:r>
            <w:r>
              <w:rPr>
                <w:color w:val="231F20"/>
                <w:sz w:val="18"/>
              </w:rPr>
              <w:t>видео-</w:t>
            </w:r>
            <w:r>
              <w:rPr>
                <w:color w:val="231F20"/>
                <w:spacing w:val="-11"/>
                <w:sz w:val="18"/>
              </w:rPr>
              <w:t> </w:t>
            </w:r>
            <w:r>
              <w:rPr>
                <w:color w:val="231F20"/>
                <w:sz w:val="18"/>
              </w:rPr>
              <w:t>(аудио-</w:t>
            </w:r>
            <w:r>
              <w:rPr>
                <w:color w:val="231F20"/>
                <w:sz w:val="18"/>
              </w:rPr>
              <w:t>) запись занятия (события). </w:t>
            </w:r>
            <w:r>
              <w:rPr>
                <w:i/>
                <w:color w:val="231F20"/>
                <w:sz w:val="18"/>
              </w:rPr>
              <w:t>Если видео длится дольше 7 минут: </w:t>
            </w:r>
            <w:r>
              <w:rPr>
                <w:color w:val="231F20"/>
                <w:sz w:val="18"/>
              </w:rPr>
              <w:t>акцентируйте наше внимание только на самых важных моментах, с вашей точки зрения</w:t>
            </w:r>
          </w:p>
        </w:tc>
        <w:tc>
          <w:tcPr>
            <w:tcW w:w="3623" w:type="dxa"/>
          </w:tcPr>
          <w:p>
            <w:pPr>
              <w:pStyle w:val="TableParagraph"/>
              <w:spacing w:line="228" w:lineRule="auto" w:before="40"/>
              <w:ind w:left="80" w:right="373"/>
              <w:rPr>
                <w:sz w:val="18"/>
              </w:rPr>
            </w:pPr>
            <w:r>
              <w:rPr>
                <w:i/>
                <w:color w:val="231F20"/>
                <w:sz w:val="18"/>
              </w:rPr>
              <w:t>Ведущий.</w:t>
            </w:r>
            <w:r>
              <w:rPr>
                <w:i/>
                <w:color w:val="231F20"/>
                <w:spacing w:val="-12"/>
                <w:sz w:val="18"/>
              </w:rPr>
              <w:t> </w:t>
            </w:r>
            <w:r>
              <w:rPr>
                <w:color w:val="231F20"/>
                <w:sz w:val="18"/>
              </w:rPr>
              <w:t>Мария,</w:t>
            </w:r>
            <w:r>
              <w:rPr>
                <w:color w:val="231F20"/>
                <w:spacing w:val="-11"/>
                <w:sz w:val="18"/>
              </w:rPr>
              <w:t> </w:t>
            </w:r>
            <w:r>
              <w:rPr>
                <w:color w:val="231F20"/>
                <w:sz w:val="18"/>
              </w:rPr>
              <w:t>покажите,</w:t>
            </w:r>
            <w:r>
              <w:rPr>
                <w:color w:val="231F20"/>
                <w:spacing w:val="-11"/>
                <w:sz w:val="18"/>
              </w:rPr>
              <w:t> </w:t>
            </w:r>
            <w:r>
              <w:rPr>
                <w:color w:val="231F20"/>
                <w:sz w:val="18"/>
              </w:rPr>
              <w:t>пожалуйста, видеозаписи,</w:t>
            </w:r>
            <w:r>
              <w:rPr>
                <w:color w:val="231F20"/>
                <w:spacing w:val="-6"/>
                <w:sz w:val="18"/>
              </w:rPr>
              <w:t> </w:t>
            </w:r>
            <w:r>
              <w:rPr>
                <w:color w:val="231F20"/>
                <w:sz w:val="18"/>
              </w:rPr>
              <w:t>которые</w:t>
            </w:r>
            <w:r>
              <w:rPr>
                <w:color w:val="231F20"/>
                <w:spacing w:val="-6"/>
                <w:sz w:val="18"/>
              </w:rPr>
              <w:t> </w:t>
            </w:r>
            <w:r>
              <w:rPr>
                <w:color w:val="231F20"/>
                <w:sz w:val="18"/>
              </w:rPr>
              <w:t>отражают</w:t>
            </w:r>
            <w:r>
              <w:rPr>
                <w:color w:val="231F20"/>
                <w:spacing w:val="-6"/>
                <w:sz w:val="18"/>
              </w:rPr>
              <w:t> </w:t>
            </w:r>
            <w:r>
              <w:rPr>
                <w:color w:val="231F20"/>
                <w:sz w:val="18"/>
              </w:rPr>
              <w:t>случай, о</w:t>
            </w:r>
            <w:r>
              <w:rPr>
                <w:color w:val="231F20"/>
                <w:spacing w:val="-6"/>
                <w:sz w:val="18"/>
              </w:rPr>
              <w:t> </w:t>
            </w:r>
            <w:r>
              <w:rPr>
                <w:color w:val="231F20"/>
                <w:sz w:val="18"/>
              </w:rPr>
              <w:t>котором</w:t>
            </w:r>
            <w:r>
              <w:rPr>
                <w:color w:val="231F20"/>
                <w:spacing w:val="-6"/>
                <w:sz w:val="18"/>
              </w:rPr>
              <w:t> </w:t>
            </w:r>
            <w:r>
              <w:rPr>
                <w:color w:val="231F20"/>
                <w:sz w:val="18"/>
              </w:rPr>
              <w:t>вы</w:t>
            </w:r>
            <w:r>
              <w:rPr>
                <w:color w:val="231F20"/>
                <w:spacing w:val="-6"/>
                <w:sz w:val="18"/>
              </w:rPr>
              <w:t> </w:t>
            </w:r>
            <w:r>
              <w:rPr>
                <w:color w:val="231F20"/>
                <w:sz w:val="18"/>
              </w:rPr>
              <w:t>рассказываете.</w:t>
            </w:r>
            <w:r>
              <w:rPr>
                <w:color w:val="231F20"/>
                <w:spacing w:val="-6"/>
                <w:sz w:val="18"/>
              </w:rPr>
              <w:t> </w:t>
            </w:r>
            <w:r>
              <w:rPr>
                <w:color w:val="231F20"/>
                <w:sz w:val="18"/>
              </w:rPr>
              <w:t>Если</w:t>
            </w:r>
            <w:r>
              <w:rPr>
                <w:color w:val="231F20"/>
                <w:spacing w:val="-7"/>
                <w:sz w:val="18"/>
              </w:rPr>
              <w:t> </w:t>
            </w:r>
            <w:r>
              <w:rPr>
                <w:color w:val="231F20"/>
                <w:sz w:val="18"/>
              </w:rPr>
              <w:t>видео дольше 7 минут, акцентируйте наше внимание только на самых важных моментах, с вашей точки зрения</w:t>
            </w:r>
          </w:p>
        </w:tc>
      </w:tr>
      <w:tr>
        <w:trPr>
          <w:trHeight w:val="5174" w:hRule="atLeast"/>
        </w:trPr>
        <w:tc>
          <w:tcPr>
            <w:tcW w:w="3623" w:type="dxa"/>
          </w:tcPr>
          <w:p>
            <w:pPr>
              <w:pStyle w:val="TableParagraph"/>
              <w:spacing w:line="228" w:lineRule="auto" w:before="40"/>
              <w:ind w:left="80"/>
              <w:rPr>
                <w:sz w:val="18"/>
              </w:rPr>
            </w:pPr>
            <w:r>
              <w:rPr>
                <w:i/>
                <w:color w:val="231F20"/>
                <w:sz w:val="18"/>
              </w:rPr>
              <w:t>Ведущий</w:t>
            </w:r>
            <w:r>
              <w:rPr>
                <w:color w:val="231F20"/>
                <w:sz w:val="18"/>
              </w:rPr>
              <w:t>.</w:t>
            </w:r>
            <w:r>
              <w:rPr>
                <w:color w:val="231F20"/>
                <w:spacing w:val="-12"/>
                <w:sz w:val="18"/>
              </w:rPr>
              <w:t> </w:t>
            </w:r>
            <w:r>
              <w:rPr>
                <w:color w:val="231F20"/>
                <w:sz w:val="18"/>
              </w:rPr>
              <w:t>Прошу</w:t>
            </w:r>
            <w:r>
              <w:rPr>
                <w:color w:val="231F20"/>
                <w:spacing w:val="-11"/>
                <w:sz w:val="18"/>
              </w:rPr>
              <w:t> </w:t>
            </w:r>
            <w:r>
              <w:rPr>
                <w:color w:val="231F20"/>
                <w:sz w:val="18"/>
              </w:rPr>
              <w:t>участников</w:t>
            </w:r>
            <w:r>
              <w:rPr>
                <w:color w:val="231F20"/>
                <w:spacing w:val="-11"/>
                <w:sz w:val="18"/>
              </w:rPr>
              <w:t> </w:t>
            </w:r>
            <w:r>
              <w:rPr>
                <w:color w:val="231F20"/>
                <w:sz w:val="18"/>
              </w:rPr>
              <w:t>задать</w:t>
            </w:r>
            <w:r>
              <w:rPr>
                <w:color w:val="231F20"/>
                <w:spacing w:val="-11"/>
                <w:sz w:val="18"/>
              </w:rPr>
              <w:t> </w:t>
            </w:r>
            <w:r>
              <w:rPr>
                <w:color w:val="231F20"/>
                <w:sz w:val="18"/>
              </w:rPr>
              <w:t>вопросы по фактам, связанным со случаем.</w:t>
            </w:r>
          </w:p>
          <w:p>
            <w:pPr>
              <w:pStyle w:val="TableParagraph"/>
              <w:spacing w:line="228" w:lineRule="auto"/>
              <w:ind w:left="80"/>
              <w:rPr>
                <w:i/>
                <w:sz w:val="18"/>
              </w:rPr>
            </w:pPr>
            <w:r>
              <w:rPr>
                <w:i/>
                <w:color w:val="231F20"/>
                <w:sz w:val="18"/>
              </w:rPr>
              <w:t>Участники задают вопросы, ведущий отслеживает нарушения правил и останавливает участников от личных вопросов</w:t>
            </w:r>
            <w:r>
              <w:rPr>
                <w:i/>
                <w:color w:val="231F20"/>
                <w:spacing w:val="-12"/>
                <w:sz w:val="18"/>
              </w:rPr>
              <w:t> </w:t>
            </w:r>
            <w:r>
              <w:rPr>
                <w:i/>
                <w:color w:val="231F20"/>
                <w:sz w:val="18"/>
              </w:rPr>
              <w:t>и</w:t>
            </w:r>
            <w:r>
              <w:rPr>
                <w:i/>
                <w:color w:val="231F20"/>
                <w:spacing w:val="-11"/>
                <w:sz w:val="18"/>
              </w:rPr>
              <w:t> </w:t>
            </w:r>
            <w:r>
              <w:rPr>
                <w:i/>
                <w:color w:val="231F20"/>
                <w:sz w:val="18"/>
              </w:rPr>
              <w:t>интерпретаций.</w:t>
            </w:r>
            <w:r>
              <w:rPr>
                <w:i/>
                <w:color w:val="231F20"/>
                <w:spacing w:val="-11"/>
                <w:sz w:val="18"/>
              </w:rPr>
              <w:t> </w:t>
            </w:r>
            <w:r>
              <w:rPr>
                <w:i/>
                <w:color w:val="231F20"/>
                <w:sz w:val="18"/>
              </w:rPr>
              <w:t>Ведущий</w:t>
            </w:r>
            <w:r>
              <w:rPr>
                <w:i/>
                <w:color w:val="231F20"/>
                <w:spacing w:val="-11"/>
                <w:sz w:val="18"/>
              </w:rPr>
              <w:t> </w:t>
            </w:r>
            <w:r>
              <w:rPr>
                <w:i/>
                <w:color w:val="231F20"/>
                <w:sz w:val="18"/>
              </w:rPr>
              <w:t>также задает</w:t>
            </w:r>
            <w:r>
              <w:rPr>
                <w:i/>
                <w:color w:val="231F20"/>
                <w:spacing w:val="-12"/>
                <w:sz w:val="18"/>
              </w:rPr>
              <w:t> </w:t>
            </w:r>
            <w:r>
              <w:rPr>
                <w:i/>
                <w:color w:val="231F20"/>
                <w:sz w:val="18"/>
              </w:rPr>
              <w:t>вопросы,</w:t>
            </w:r>
            <w:r>
              <w:rPr>
                <w:i/>
                <w:color w:val="231F20"/>
                <w:spacing w:val="-11"/>
                <w:sz w:val="18"/>
              </w:rPr>
              <w:t> </w:t>
            </w:r>
            <w:r>
              <w:rPr>
                <w:i/>
                <w:color w:val="231F20"/>
                <w:sz w:val="18"/>
              </w:rPr>
              <w:t>уточняя</w:t>
            </w:r>
            <w:r>
              <w:rPr>
                <w:i/>
                <w:color w:val="231F20"/>
                <w:spacing w:val="-11"/>
                <w:sz w:val="18"/>
              </w:rPr>
              <w:t> </w:t>
            </w:r>
            <w:r>
              <w:rPr>
                <w:i/>
                <w:color w:val="231F20"/>
                <w:sz w:val="18"/>
              </w:rPr>
              <w:t>аспекты,</w:t>
            </w:r>
            <w:r>
              <w:rPr>
                <w:i/>
                <w:color w:val="231F20"/>
                <w:spacing w:val="-11"/>
                <w:sz w:val="18"/>
              </w:rPr>
              <w:t> </w:t>
            </w:r>
            <w:r>
              <w:rPr>
                <w:i/>
                <w:color w:val="231F20"/>
                <w:sz w:val="18"/>
              </w:rPr>
              <w:t>которые не затронули участники, ориентируясь на выделенные выше аспекты</w:t>
            </w:r>
          </w:p>
        </w:tc>
        <w:tc>
          <w:tcPr>
            <w:tcW w:w="3623" w:type="dxa"/>
          </w:tcPr>
          <w:p>
            <w:pPr>
              <w:pStyle w:val="TableParagraph"/>
              <w:spacing w:line="228" w:lineRule="auto" w:before="40"/>
              <w:ind w:left="80"/>
              <w:rPr>
                <w:sz w:val="18"/>
              </w:rPr>
            </w:pPr>
            <w:r>
              <w:rPr>
                <w:i/>
                <w:color w:val="231F20"/>
                <w:sz w:val="18"/>
              </w:rPr>
              <w:t>Ведущий.</w:t>
            </w:r>
            <w:r>
              <w:rPr>
                <w:i/>
                <w:color w:val="231F20"/>
                <w:spacing w:val="-12"/>
                <w:sz w:val="18"/>
              </w:rPr>
              <w:t> </w:t>
            </w:r>
            <w:r>
              <w:rPr>
                <w:color w:val="231F20"/>
                <w:sz w:val="18"/>
              </w:rPr>
              <w:t>Прошу</w:t>
            </w:r>
            <w:r>
              <w:rPr>
                <w:color w:val="231F20"/>
                <w:spacing w:val="-11"/>
                <w:sz w:val="18"/>
              </w:rPr>
              <w:t> </w:t>
            </w:r>
            <w:r>
              <w:rPr>
                <w:color w:val="231F20"/>
                <w:sz w:val="18"/>
              </w:rPr>
              <w:t>участников</w:t>
            </w:r>
            <w:r>
              <w:rPr>
                <w:color w:val="231F20"/>
                <w:spacing w:val="-11"/>
                <w:sz w:val="18"/>
              </w:rPr>
              <w:t> </w:t>
            </w:r>
            <w:r>
              <w:rPr>
                <w:color w:val="231F20"/>
                <w:sz w:val="18"/>
              </w:rPr>
              <w:t>задать</w:t>
            </w:r>
            <w:r>
              <w:rPr>
                <w:color w:val="231F20"/>
                <w:spacing w:val="-11"/>
                <w:sz w:val="18"/>
              </w:rPr>
              <w:t> </w:t>
            </w:r>
            <w:r>
              <w:rPr>
                <w:color w:val="231F20"/>
                <w:sz w:val="18"/>
              </w:rPr>
              <w:t>вопросы по фактам, связанным со случаем.</w:t>
            </w:r>
          </w:p>
          <w:p>
            <w:pPr>
              <w:pStyle w:val="TableParagraph"/>
              <w:spacing w:line="228" w:lineRule="auto"/>
              <w:ind w:left="80" w:right="572"/>
              <w:rPr>
                <w:sz w:val="18"/>
              </w:rPr>
            </w:pPr>
            <w:r>
              <w:rPr>
                <w:i/>
                <w:color w:val="231F20"/>
                <w:sz w:val="18"/>
              </w:rPr>
              <w:t>Илья (участник 1). </w:t>
            </w:r>
            <w:r>
              <w:rPr>
                <w:color w:val="231F20"/>
                <w:sz w:val="18"/>
              </w:rPr>
              <w:t>Какие отношения</w:t>
            </w:r>
            <w:r>
              <w:rPr>
                <w:color w:val="231F20"/>
                <w:spacing w:val="40"/>
                <w:sz w:val="18"/>
              </w:rPr>
              <w:t> </w:t>
            </w:r>
            <w:r>
              <w:rPr>
                <w:color w:val="231F20"/>
                <w:sz w:val="18"/>
              </w:rPr>
              <w:t>у</w:t>
            </w:r>
            <w:r>
              <w:rPr>
                <w:color w:val="231F20"/>
                <w:spacing w:val="-12"/>
                <w:sz w:val="18"/>
              </w:rPr>
              <w:t> </w:t>
            </w:r>
            <w:r>
              <w:rPr>
                <w:color w:val="231F20"/>
                <w:sz w:val="18"/>
              </w:rPr>
              <w:t>Маххабат</w:t>
            </w:r>
            <w:r>
              <w:rPr>
                <w:color w:val="231F20"/>
                <w:spacing w:val="-11"/>
                <w:sz w:val="18"/>
              </w:rPr>
              <w:t> </w:t>
            </w:r>
            <w:r>
              <w:rPr>
                <w:color w:val="231F20"/>
                <w:sz w:val="18"/>
              </w:rPr>
              <w:t>с</w:t>
            </w:r>
            <w:r>
              <w:rPr>
                <w:color w:val="231F20"/>
                <w:spacing w:val="-11"/>
                <w:sz w:val="18"/>
              </w:rPr>
              <w:t> </w:t>
            </w:r>
            <w:r>
              <w:rPr>
                <w:color w:val="231F20"/>
                <w:sz w:val="18"/>
              </w:rPr>
              <w:t>одноклассниками?</w:t>
            </w:r>
            <w:r>
              <w:rPr>
                <w:color w:val="231F20"/>
                <w:spacing w:val="-11"/>
                <w:sz w:val="18"/>
              </w:rPr>
              <w:t> </w:t>
            </w:r>
            <w:r>
              <w:rPr>
                <w:color w:val="231F20"/>
                <w:sz w:val="18"/>
              </w:rPr>
              <w:t>Какая дидактическая</w:t>
            </w:r>
            <w:r>
              <w:rPr>
                <w:color w:val="231F20"/>
                <w:spacing w:val="-1"/>
                <w:sz w:val="18"/>
              </w:rPr>
              <w:t> </w:t>
            </w:r>
            <w:r>
              <w:rPr>
                <w:color w:val="231F20"/>
                <w:sz w:val="18"/>
              </w:rPr>
              <w:t>задача</w:t>
            </w:r>
            <w:r>
              <w:rPr>
                <w:color w:val="231F20"/>
                <w:spacing w:val="-1"/>
                <w:sz w:val="18"/>
              </w:rPr>
              <w:t> </w:t>
            </w:r>
            <w:r>
              <w:rPr>
                <w:color w:val="231F20"/>
                <w:sz w:val="18"/>
              </w:rPr>
              <w:t>была</w:t>
            </w:r>
            <w:r>
              <w:rPr>
                <w:color w:val="231F20"/>
                <w:spacing w:val="-1"/>
                <w:sz w:val="18"/>
              </w:rPr>
              <w:t> </w:t>
            </w:r>
            <w:r>
              <w:rPr>
                <w:color w:val="231F20"/>
                <w:sz w:val="18"/>
              </w:rPr>
              <w:t>у</w:t>
            </w:r>
            <w:r>
              <w:rPr>
                <w:color w:val="231F20"/>
                <w:spacing w:val="-1"/>
                <w:sz w:val="18"/>
              </w:rPr>
              <w:t> </w:t>
            </w:r>
            <w:r>
              <w:rPr>
                <w:color w:val="231F20"/>
                <w:sz w:val="18"/>
              </w:rPr>
              <w:t>вас</w:t>
            </w:r>
            <w:r>
              <w:rPr>
                <w:color w:val="231F20"/>
                <w:spacing w:val="-1"/>
                <w:sz w:val="18"/>
              </w:rPr>
              <w:t> </w:t>
            </w:r>
            <w:r>
              <w:rPr>
                <w:color w:val="231F20"/>
                <w:sz w:val="18"/>
              </w:rPr>
              <w:t>в</w:t>
            </w:r>
            <w:r>
              <w:rPr>
                <w:color w:val="231F20"/>
                <w:spacing w:val="-2"/>
                <w:sz w:val="18"/>
              </w:rPr>
              <w:t> </w:t>
            </w:r>
            <w:r>
              <w:rPr>
                <w:color w:val="231F20"/>
                <w:sz w:val="18"/>
              </w:rPr>
              <w:t>тот </w:t>
            </w:r>
            <w:r>
              <w:rPr>
                <w:color w:val="231F20"/>
                <w:spacing w:val="-2"/>
                <w:sz w:val="18"/>
              </w:rPr>
              <w:t>момент?</w:t>
            </w:r>
          </w:p>
          <w:p>
            <w:pPr>
              <w:pStyle w:val="TableParagraph"/>
              <w:spacing w:line="228" w:lineRule="auto"/>
              <w:ind w:left="80" w:right="568"/>
              <w:rPr>
                <w:sz w:val="18"/>
              </w:rPr>
            </w:pPr>
            <w:r>
              <w:rPr>
                <w:i/>
                <w:color w:val="231F20"/>
                <w:sz w:val="18"/>
              </w:rPr>
              <w:t>Анна (участник 2). </w:t>
            </w:r>
            <w:r>
              <w:rPr>
                <w:color w:val="231F20"/>
                <w:sz w:val="18"/>
              </w:rPr>
              <w:t>Мария, как вы относитесь вообще к казахам? Вы</w:t>
            </w:r>
            <w:r>
              <w:rPr>
                <w:color w:val="231F20"/>
                <w:spacing w:val="40"/>
                <w:sz w:val="18"/>
              </w:rPr>
              <w:t> </w:t>
            </w:r>
            <w:r>
              <w:rPr>
                <w:color w:val="231F20"/>
                <w:sz w:val="18"/>
              </w:rPr>
              <w:t>ведь</w:t>
            </w:r>
            <w:r>
              <w:rPr>
                <w:color w:val="231F20"/>
                <w:spacing w:val="-9"/>
                <w:sz w:val="18"/>
              </w:rPr>
              <w:t> </w:t>
            </w:r>
            <w:r>
              <w:rPr>
                <w:color w:val="231F20"/>
                <w:sz w:val="18"/>
              </w:rPr>
              <w:t>знаете,</w:t>
            </w:r>
            <w:r>
              <w:rPr>
                <w:color w:val="231F20"/>
                <w:spacing w:val="-9"/>
                <w:sz w:val="18"/>
              </w:rPr>
              <w:t> </w:t>
            </w:r>
            <w:r>
              <w:rPr>
                <w:color w:val="231F20"/>
                <w:sz w:val="18"/>
              </w:rPr>
              <w:t>что</w:t>
            </w:r>
            <w:r>
              <w:rPr>
                <w:color w:val="231F20"/>
                <w:spacing w:val="-9"/>
                <w:sz w:val="18"/>
              </w:rPr>
              <w:t> </w:t>
            </w:r>
            <w:r>
              <w:rPr>
                <w:color w:val="231F20"/>
                <w:sz w:val="18"/>
              </w:rPr>
              <w:t>они</w:t>
            </w:r>
            <w:r>
              <w:rPr>
                <w:color w:val="231F20"/>
                <w:spacing w:val="-9"/>
                <w:sz w:val="18"/>
              </w:rPr>
              <w:t> </w:t>
            </w:r>
            <w:r>
              <w:rPr>
                <w:color w:val="231F20"/>
                <w:sz w:val="18"/>
              </w:rPr>
              <w:t>могут</w:t>
            </w:r>
            <w:r>
              <w:rPr>
                <w:color w:val="231F20"/>
                <w:spacing w:val="-9"/>
                <w:sz w:val="18"/>
              </w:rPr>
              <w:t> </w:t>
            </w:r>
            <w:r>
              <w:rPr>
                <w:color w:val="231F20"/>
                <w:sz w:val="18"/>
              </w:rPr>
              <w:t>специально притворяться, что не понимают язык?</w:t>
            </w:r>
          </w:p>
          <w:p>
            <w:pPr>
              <w:pStyle w:val="TableParagraph"/>
              <w:spacing w:line="228" w:lineRule="auto"/>
              <w:ind w:left="80" w:right="147"/>
              <w:rPr>
                <w:sz w:val="18"/>
              </w:rPr>
            </w:pPr>
            <w:r>
              <w:rPr>
                <w:i/>
                <w:color w:val="231F20"/>
                <w:sz w:val="18"/>
              </w:rPr>
              <w:t>Ведущий.</w:t>
            </w:r>
            <w:r>
              <w:rPr>
                <w:i/>
                <w:color w:val="231F20"/>
                <w:spacing w:val="-8"/>
                <w:sz w:val="18"/>
              </w:rPr>
              <w:t> </w:t>
            </w:r>
            <w:r>
              <w:rPr>
                <w:color w:val="231F20"/>
                <w:sz w:val="18"/>
              </w:rPr>
              <w:t>Прошу</w:t>
            </w:r>
            <w:r>
              <w:rPr>
                <w:color w:val="231F20"/>
                <w:spacing w:val="-8"/>
                <w:sz w:val="18"/>
              </w:rPr>
              <w:t> </w:t>
            </w:r>
            <w:r>
              <w:rPr>
                <w:color w:val="231F20"/>
                <w:sz w:val="18"/>
              </w:rPr>
              <w:t>Анну</w:t>
            </w:r>
            <w:r>
              <w:rPr>
                <w:color w:val="231F20"/>
                <w:spacing w:val="-8"/>
                <w:sz w:val="18"/>
              </w:rPr>
              <w:t> </w:t>
            </w:r>
            <w:r>
              <w:rPr>
                <w:color w:val="231F20"/>
                <w:sz w:val="18"/>
              </w:rPr>
              <w:t>остановиться</w:t>
            </w:r>
            <w:r>
              <w:rPr>
                <w:color w:val="231F20"/>
                <w:spacing w:val="-8"/>
                <w:sz w:val="18"/>
              </w:rPr>
              <w:t> </w:t>
            </w:r>
            <w:r>
              <w:rPr>
                <w:color w:val="231F20"/>
                <w:sz w:val="18"/>
              </w:rPr>
              <w:t>–</w:t>
            </w:r>
            <w:r>
              <w:rPr>
                <w:color w:val="231F20"/>
                <w:spacing w:val="-8"/>
                <w:sz w:val="18"/>
              </w:rPr>
              <w:t> </w:t>
            </w:r>
            <w:r>
              <w:rPr>
                <w:color w:val="231F20"/>
                <w:sz w:val="18"/>
              </w:rPr>
              <w:t>нам очень важно ваше участие, и вместе с тем напоминаю, что здесь нельзя задавать личные вопросы и давать оценки.</w:t>
            </w:r>
          </w:p>
          <w:p>
            <w:pPr>
              <w:pStyle w:val="TableParagraph"/>
              <w:spacing w:line="228" w:lineRule="auto"/>
              <w:ind w:left="80" w:right="147"/>
              <w:rPr>
                <w:sz w:val="18"/>
              </w:rPr>
            </w:pPr>
            <w:r>
              <w:rPr>
                <w:i/>
                <w:color w:val="231F20"/>
                <w:sz w:val="18"/>
              </w:rPr>
              <w:t>Татьяна (участник 3). </w:t>
            </w:r>
            <w:r>
              <w:rPr>
                <w:color w:val="231F20"/>
                <w:sz w:val="18"/>
              </w:rPr>
              <w:t>Это был первый ученик, которого вы вызвали к доске? В каком настроении пришли дети на урок – были ли какие-то события до урока, чем закончилась</w:t>
            </w:r>
            <w:r>
              <w:rPr>
                <w:color w:val="231F20"/>
                <w:spacing w:val="-12"/>
                <w:sz w:val="18"/>
              </w:rPr>
              <w:t> </w:t>
            </w:r>
            <w:r>
              <w:rPr>
                <w:color w:val="231F20"/>
                <w:sz w:val="18"/>
              </w:rPr>
              <w:t>эта</w:t>
            </w:r>
            <w:r>
              <w:rPr>
                <w:color w:val="231F20"/>
                <w:spacing w:val="-11"/>
                <w:sz w:val="18"/>
              </w:rPr>
              <w:t> </w:t>
            </w:r>
            <w:r>
              <w:rPr>
                <w:color w:val="231F20"/>
                <w:sz w:val="18"/>
              </w:rPr>
              <w:t>ситуация</w:t>
            </w:r>
            <w:r>
              <w:rPr>
                <w:color w:val="231F20"/>
                <w:spacing w:val="-11"/>
                <w:sz w:val="18"/>
              </w:rPr>
              <w:t> </w:t>
            </w:r>
            <w:r>
              <w:rPr>
                <w:color w:val="231F20"/>
                <w:sz w:val="18"/>
              </w:rPr>
              <w:t>на</w:t>
            </w:r>
            <w:r>
              <w:rPr>
                <w:color w:val="231F20"/>
                <w:spacing w:val="-11"/>
                <w:sz w:val="18"/>
              </w:rPr>
              <w:t> </w:t>
            </w:r>
            <w:r>
              <w:rPr>
                <w:color w:val="231F20"/>
                <w:sz w:val="18"/>
              </w:rPr>
              <w:t>уроке,</w:t>
            </w:r>
            <w:r>
              <w:rPr>
                <w:color w:val="231F20"/>
                <w:spacing w:val="-12"/>
                <w:sz w:val="18"/>
              </w:rPr>
              <w:t> </w:t>
            </w:r>
            <w:r>
              <w:rPr>
                <w:color w:val="231F20"/>
                <w:sz w:val="18"/>
              </w:rPr>
              <w:t>в</w:t>
            </w:r>
            <w:r>
              <w:rPr>
                <w:color w:val="231F20"/>
                <w:spacing w:val="-11"/>
                <w:sz w:val="18"/>
              </w:rPr>
              <w:t> </w:t>
            </w:r>
            <w:r>
              <w:rPr>
                <w:color w:val="231F20"/>
                <w:sz w:val="18"/>
              </w:rPr>
              <w:t>каком состоянии ученики ушли на следующий </w:t>
            </w:r>
            <w:r>
              <w:rPr>
                <w:color w:val="231F20"/>
                <w:spacing w:val="-2"/>
                <w:sz w:val="18"/>
              </w:rPr>
              <w:t>урок?</w:t>
            </w:r>
          </w:p>
          <w:p>
            <w:pPr>
              <w:pStyle w:val="TableParagraph"/>
              <w:spacing w:line="228" w:lineRule="auto"/>
              <w:ind w:left="80" w:right="147"/>
              <w:rPr>
                <w:sz w:val="18"/>
              </w:rPr>
            </w:pPr>
            <w:r>
              <w:rPr>
                <w:i/>
                <w:color w:val="231F20"/>
                <w:sz w:val="18"/>
              </w:rPr>
              <w:t>Ведущий. </w:t>
            </w:r>
            <w:r>
              <w:rPr>
                <w:color w:val="231F20"/>
                <w:sz w:val="18"/>
              </w:rPr>
              <w:t>Коллеги еще не задали вопрос: как давно Маххабат находится в России, какие реакции, связанные с адаптацией к новой</w:t>
            </w:r>
            <w:r>
              <w:rPr>
                <w:color w:val="231F20"/>
                <w:spacing w:val="-12"/>
                <w:sz w:val="18"/>
              </w:rPr>
              <w:t> </w:t>
            </w:r>
            <w:r>
              <w:rPr>
                <w:color w:val="231F20"/>
                <w:sz w:val="18"/>
              </w:rPr>
              <w:t>ситуации</w:t>
            </w:r>
            <w:r>
              <w:rPr>
                <w:color w:val="231F20"/>
                <w:spacing w:val="-11"/>
                <w:sz w:val="18"/>
              </w:rPr>
              <w:t> </w:t>
            </w:r>
            <w:r>
              <w:rPr>
                <w:color w:val="231F20"/>
                <w:sz w:val="18"/>
              </w:rPr>
              <w:t>жизни,</w:t>
            </w:r>
            <w:r>
              <w:rPr>
                <w:color w:val="231F20"/>
                <w:spacing w:val="-11"/>
                <w:sz w:val="18"/>
              </w:rPr>
              <w:t> </w:t>
            </w:r>
            <w:r>
              <w:rPr>
                <w:color w:val="231F20"/>
                <w:sz w:val="18"/>
              </w:rPr>
              <w:t>можно</w:t>
            </w:r>
            <w:r>
              <w:rPr>
                <w:color w:val="231F20"/>
                <w:spacing w:val="-11"/>
                <w:sz w:val="18"/>
              </w:rPr>
              <w:t> </w:t>
            </w:r>
            <w:r>
              <w:rPr>
                <w:color w:val="231F20"/>
                <w:sz w:val="18"/>
              </w:rPr>
              <w:t>наблюдать</w:t>
            </w:r>
            <w:r>
              <w:rPr>
                <w:color w:val="231F20"/>
                <w:spacing w:val="-12"/>
                <w:sz w:val="18"/>
              </w:rPr>
              <w:t> </w:t>
            </w:r>
            <w:r>
              <w:rPr>
                <w:color w:val="231F20"/>
                <w:sz w:val="18"/>
              </w:rPr>
              <w:t>у </w:t>
            </w:r>
            <w:r>
              <w:rPr>
                <w:color w:val="231F20"/>
                <w:spacing w:val="-2"/>
                <w:sz w:val="18"/>
              </w:rPr>
              <w:t>девочки?</w:t>
            </w:r>
          </w:p>
        </w:tc>
      </w:tr>
    </w:tbl>
    <w:p>
      <w:pPr>
        <w:pStyle w:val="TableParagraph"/>
        <w:spacing w:after="0" w:line="228" w:lineRule="auto"/>
        <w:rPr>
          <w:sz w:val="18"/>
        </w:rPr>
        <w:sectPr>
          <w:pgSz w:w="8400" w:h="11910"/>
          <w:pgMar w:header="0" w:footer="529" w:top="400" w:bottom="740" w:left="425" w:right="425"/>
        </w:sectPr>
      </w:pPr>
    </w:p>
    <w:p>
      <w:pPr>
        <w:spacing w:before="80"/>
        <w:ind w:left="141" w:right="0" w:firstLine="0"/>
        <w:jc w:val="left"/>
        <w:rPr>
          <w:rFonts w:ascii="Georgia" w:hAnsi="Georgia"/>
          <w:sz w:val="18"/>
        </w:rPr>
      </w:pPr>
      <w:r>
        <w:rPr>
          <w:rFonts w:ascii="Georgia" w:hAnsi="Georgia"/>
          <w:color w:val="231F20"/>
          <w:sz w:val="18"/>
        </w:rPr>
        <w:t>2.2.</w:t>
      </w:r>
      <w:r>
        <w:rPr>
          <w:rFonts w:ascii="Georgia" w:hAnsi="Georgia"/>
          <w:color w:val="231F20"/>
          <w:spacing w:val="-3"/>
          <w:sz w:val="18"/>
        </w:rPr>
        <w:t> </w:t>
      </w:r>
      <w:r>
        <w:rPr>
          <w:rFonts w:ascii="Georgia" w:hAnsi="Georgia"/>
          <w:color w:val="231F20"/>
          <w:sz w:val="18"/>
        </w:rPr>
        <w:t>Алгоритм</w:t>
      </w:r>
      <w:r>
        <w:rPr>
          <w:rFonts w:ascii="Georgia" w:hAnsi="Georgia"/>
          <w:color w:val="231F20"/>
          <w:spacing w:val="-3"/>
          <w:sz w:val="18"/>
        </w:rPr>
        <w:t> </w:t>
      </w:r>
      <w:r>
        <w:rPr>
          <w:rFonts w:ascii="Georgia" w:hAnsi="Georgia"/>
          <w:color w:val="231F20"/>
          <w:sz w:val="18"/>
        </w:rPr>
        <w:t>разбора</w:t>
      </w:r>
      <w:r>
        <w:rPr>
          <w:rFonts w:ascii="Georgia" w:hAnsi="Georgia"/>
          <w:color w:val="231F20"/>
          <w:spacing w:val="-3"/>
          <w:sz w:val="18"/>
        </w:rPr>
        <w:t> </w:t>
      </w:r>
      <w:r>
        <w:rPr>
          <w:rFonts w:ascii="Georgia" w:hAnsi="Georgia"/>
          <w:color w:val="231F20"/>
          <w:sz w:val="18"/>
        </w:rPr>
        <w:t>педагогического</w:t>
      </w:r>
      <w:r>
        <w:rPr>
          <w:rFonts w:ascii="Georgia" w:hAnsi="Georgia"/>
          <w:color w:val="231F20"/>
          <w:spacing w:val="-3"/>
          <w:sz w:val="18"/>
        </w:rPr>
        <w:t> </w:t>
      </w:r>
      <w:r>
        <w:rPr>
          <w:rFonts w:ascii="Georgia" w:hAnsi="Georgia"/>
          <w:color w:val="231F20"/>
          <w:sz w:val="18"/>
        </w:rPr>
        <w:t>случая,</w:t>
      </w:r>
      <w:r>
        <w:rPr>
          <w:rFonts w:ascii="Georgia" w:hAnsi="Georgia"/>
          <w:color w:val="231F20"/>
          <w:spacing w:val="-3"/>
          <w:sz w:val="18"/>
        </w:rPr>
        <w:t> </w:t>
      </w:r>
      <w:r>
        <w:rPr>
          <w:rFonts w:ascii="Georgia" w:hAnsi="Georgia"/>
          <w:color w:val="231F20"/>
          <w:sz w:val="18"/>
        </w:rPr>
        <w:t>связанного</w:t>
      </w:r>
      <w:r>
        <w:rPr>
          <w:rFonts w:ascii="Georgia" w:hAnsi="Georgia"/>
          <w:color w:val="231F20"/>
          <w:spacing w:val="-3"/>
          <w:sz w:val="18"/>
        </w:rPr>
        <w:t> </w:t>
      </w:r>
      <w:r>
        <w:rPr>
          <w:rFonts w:ascii="Georgia" w:hAnsi="Georgia"/>
          <w:color w:val="231F20"/>
          <w:sz w:val="18"/>
        </w:rPr>
        <w:t>с</w:t>
      </w:r>
      <w:r>
        <w:rPr>
          <w:rFonts w:ascii="Georgia" w:hAnsi="Georgia"/>
          <w:color w:val="231F20"/>
          <w:spacing w:val="-3"/>
          <w:sz w:val="18"/>
        </w:rPr>
        <w:t> </w:t>
      </w:r>
      <w:r>
        <w:rPr>
          <w:rFonts w:ascii="Georgia" w:hAnsi="Georgia"/>
          <w:color w:val="231F20"/>
          <w:sz w:val="18"/>
        </w:rPr>
        <w:t>адаптацией</w:t>
      </w:r>
      <w:r>
        <w:rPr>
          <w:rFonts w:ascii="Georgia" w:hAnsi="Georgia"/>
          <w:color w:val="231F20"/>
          <w:spacing w:val="-2"/>
          <w:sz w:val="18"/>
        </w:rPr>
        <w:t> детей</w:t>
      </w:r>
    </w:p>
    <w:p>
      <w:pPr>
        <w:pStyle w:val="BodyText"/>
        <w:spacing w:before="1"/>
        <w:ind w:left="0" w:right="0" w:firstLine="0"/>
        <w:jc w:val="left"/>
        <w:rPr>
          <w:rFonts w:ascii="Georgia"/>
          <w:sz w:val="14"/>
        </w:rPr>
      </w:pPr>
    </w:p>
    <w:tbl>
      <w:tblPr>
        <w:tblW w:w="0" w:type="auto"/>
        <w:jc w:val="left"/>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623"/>
        <w:gridCol w:w="3623"/>
      </w:tblGrid>
      <w:tr>
        <w:trPr>
          <w:trHeight w:val="2822" w:hRule="atLeast"/>
        </w:trPr>
        <w:tc>
          <w:tcPr>
            <w:tcW w:w="3623" w:type="dxa"/>
          </w:tcPr>
          <w:p>
            <w:pPr>
              <w:pStyle w:val="TableParagraph"/>
              <w:spacing w:line="228" w:lineRule="auto" w:before="40"/>
              <w:ind w:left="80" w:right="94"/>
              <w:rPr>
                <w:sz w:val="18"/>
              </w:rPr>
            </w:pPr>
            <w:r>
              <w:rPr>
                <w:i/>
                <w:color w:val="231F20"/>
                <w:sz w:val="18"/>
              </w:rPr>
              <w:t>Ведущий (участнику, представляющему случай)</w:t>
            </w:r>
            <w:r>
              <w:rPr>
                <w:color w:val="231F20"/>
                <w:sz w:val="18"/>
              </w:rPr>
              <w:t>:</w:t>
            </w:r>
            <w:r>
              <w:rPr>
                <w:color w:val="231F20"/>
                <w:spacing w:val="-4"/>
                <w:sz w:val="18"/>
              </w:rPr>
              <w:t> </w:t>
            </w:r>
            <w:r>
              <w:rPr>
                <w:color w:val="231F20"/>
                <w:sz w:val="18"/>
              </w:rPr>
              <w:t>повторите,</w:t>
            </w:r>
            <w:r>
              <w:rPr>
                <w:color w:val="231F20"/>
                <w:spacing w:val="-4"/>
                <w:sz w:val="18"/>
              </w:rPr>
              <w:t> </w:t>
            </w:r>
            <w:r>
              <w:rPr>
                <w:color w:val="231F20"/>
                <w:sz w:val="18"/>
              </w:rPr>
              <w:t>пожалуйста,</w:t>
            </w:r>
            <w:r>
              <w:rPr>
                <w:color w:val="231F20"/>
                <w:spacing w:val="-4"/>
                <w:sz w:val="18"/>
              </w:rPr>
              <w:t> </w:t>
            </w:r>
            <w:r>
              <w:rPr>
                <w:color w:val="231F20"/>
                <w:sz w:val="18"/>
              </w:rPr>
              <w:t>ваш</w:t>
            </w:r>
            <w:r>
              <w:rPr>
                <w:color w:val="231F20"/>
                <w:spacing w:val="-4"/>
                <w:sz w:val="18"/>
              </w:rPr>
              <w:t> </w:t>
            </w:r>
            <w:r>
              <w:rPr>
                <w:color w:val="231F20"/>
                <w:sz w:val="18"/>
              </w:rPr>
              <w:t>запрос – что вам важно получить в результате работы группы? Теперь я попрошу … (имя участника, представляющего случай) от- сесть</w:t>
            </w:r>
            <w:r>
              <w:rPr>
                <w:color w:val="231F20"/>
                <w:spacing w:val="-12"/>
                <w:sz w:val="18"/>
              </w:rPr>
              <w:t> </w:t>
            </w:r>
            <w:r>
              <w:rPr>
                <w:color w:val="231F20"/>
                <w:sz w:val="18"/>
              </w:rPr>
              <w:t>за</w:t>
            </w:r>
            <w:r>
              <w:rPr>
                <w:color w:val="231F20"/>
                <w:spacing w:val="-11"/>
                <w:sz w:val="18"/>
              </w:rPr>
              <w:t> </w:t>
            </w:r>
            <w:r>
              <w:rPr>
                <w:color w:val="231F20"/>
                <w:sz w:val="18"/>
              </w:rPr>
              <w:t>круг.</w:t>
            </w:r>
            <w:r>
              <w:rPr>
                <w:color w:val="231F20"/>
                <w:spacing w:val="-11"/>
                <w:sz w:val="18"/>
              </w:rPr>
              <w:t> </w:t>
            </w:r>
            <w:r>
              <w:rPr>
                <w:color w:val="231F20"/>
                <w:sz w:val="18"/>
              </w:rPr>
              <w:t>Обращаться</w:t>
            </w:r>
            <w:r>
              <w:rPr>
                <w:color w:val="231F20"/>
                <w:spacing w:val="-11"/>
                <w:sz w:val="18"/>
              </w:rPr>
              <w:t> </w:t>
            </w:r>
            <w:r>
              <w:rPr>
                <w:color w:val="231F20"/>
                <w:sz w:val="18"/>
              </w:rPr>
              <w:t>к</w:t>
            </w:r>
            <w:r>
              <w:rPr>
                <w:color w:val="231F20"/>
                <w:spacing w:val="-12"/>
                <w:sz w:val="18"/>
              </w:rPr>
              <w:t> </w:t>
            </w:r>
            <w:r>
              <w:rPr>
                <w:color w:val="231F20"/>
                <w:sz w:val="18"/>
              </w:rPr>
              <w:t>участнику</w:t>
            </w:r>
            <w:r>
              <w:rPr>
                <w:color w:val="231F20"/>
                <w:spacing w:val="-11"/>
                <w:sz w:val="18"/>
              </w:rPr>
              <w:t> </w:t>
            </w:r>
            <w:r>
              <w:rPr>
                <w:color w:val="231F20"/>
                <w:sz w:val="18"/>
              </w:rPr>
              <w:t>будет нельзя до завершения обсуждения случая</w:t>
            </w:r>
          </w:p>
        </w:tc>
        <w:tc>
          <w:tcPr>
            <w:tcW w:w="3623" w:type="dxa"/>
          </w:tcPr>
          <w:p>
            <w:pPr>
              <w:pStyle w:val="TableParagraph"/>
              <w:spacing w:line="228" w:lineRule="auto" w:before="40"/>
              <w:ind w:left="80" w:right="67"/>
              <w:jc w:val="both"/>
              <w:rPr>
                <w:sz w:val="18"/>
              </w:rPr>
            </w:pPr>
            <w:r>
              <w:rPr>
                <w:i/>
                <w:color w:val="231F20"/>
                <w:sz w:val="18"/>
              </w:rPr>
              <w:t>Ведущий (участнику, </w:t>
            </w:r>
            <w:r>
              <w:rPr>
                <w:i/>
                <w:color w:val="231F20"/>
                <w:sz w:val="18"/>
              </w:rPr>
              <w:t>представляющему случай). </w:t>
            </w:r>
            <w:r>
              <w:rPr>
                <w:color w:val="231F20"/>
                <w:sz w:val="18"/>
              </w:rPr>
              <w:t>Спасибо группе за вопросы. Мария, повторите</w:t>
            </w:r>
            <w:r>
              <w:rPr>
                <w:color w:val="231F20"/>
                <w:spacing w:val="-11"/>
                <w:sz w:val="18"/>
              </w:rPr>
              <w:t> </w:t>
            </w:r>
            <w:r>
              <w:rPr>
                <w:color w:val="231F20"/>
                <w:sz w:val="18"/>
              </w:rPr>
              <w:t>еще</w:t>
            </w:r>
            <w:r>
              <w:rPr>
                <w:color w:val="231F20"/>
                <w:spacing w:val="-11"/>
                <w:sz w:val="18"/>
              </w:rPr>
              <w:t> </w:t>
            </w:r>
            <w:r>
              <w:rPr>
                <w:color w:val="231F20"/>
                <w:sz w:val="18"/>
              </w:rPr>
              <w:t>раз,</w:t>
            </w:r>
            <w:r>
              <w:rPr>
                <w:color w:val="231F20"/>
                <w:spacing w:val="-11"/>
                <w:sz w:val="18"/>
              </w:rPr>
              <w:t> </w:t>
            </w:r>
            <w:r>
              <w:rPr>
                <w:color w:val="231F20"/>
                <w:sz w:val="18"/>
              </w:rPr>
              <w:t>пожалуйста,</w:t>
            </w:r>
            <w:r>
              <w:rPr>
                <w:color w:val="231F20"/>
                <w:spacing w:val="-11"/>
                <w:sz w:val="18"/>
              </w:rPr>
              <w:t> </w:t>
            </w:r>
            <w:r>
              <w:rPr>
                <w:color w:val="231F20"/>
                <w:sz w:val="18"/>
              </w:rPr>
              <w:t>ваш</w:t>
            </w:r>
            <w:r>
              <w:rPr>
                <w:color w:val="231F20"/>
                <w:spacing w:val="-11"/>
                <w:sz w:val="18"/>
              </w:rPr>
              <w:t> </w:t>
            </w:r>
            <w:r>
              <w:rPr>
                <w:color w:val="231F20"/>
                <w:sz w:val="18"/>
              </w:rPr>
              <w:t>запрос</w:t>
            </w:r>
            <w:r>
              <w:rPr>
                <w:color w:val="231F20"/>
                <w:spacing w:val="-11"/>
                <w:sz w:val="18"/>
              </w:rPr>
              <w:t> </w:t>
            </w:r>
            <w:r>
              <w:rPr>
                <w:color w:val="231F20"/>
                <w:sz w:val="18"/>
              </w:rPr>
              <w:t>– что</w:t>
            </w:r>
            <w:r>
              <w:rPr>
                <w:color w:val="231F20"/>
                <w:spacing w:val="-5"/>
                <w:sz w:val="18"/>
              </w:rPr>
              <w:t> </w:t>
            </w:r>
            <w:r>
              <w:rPr>
                <w:color w:val="231F20"/>
                <w:sz w:val="18"/>
              </w:rPr>
              <w:t>вам</w:t>
            </w:r>
            <w:r>
              <w:rPr>
                <w:color w:val="231F20"/>
                <w:spacing w:val="-5"/>
                <w:sz w:val="18"/>
              </w:rPr>
              <w:t> </w:t>
            </w:r>
            <w:r>
              <w:rPr>
                <w:color w:val="231F20"/>
                <w:sz w:val="18"/>
              </w:rPr>
              <w:t>важно</w:t>
            </w:r>
            <w:r>
              <w:rPr>
                <w:color w:val="231F20"/>
                <w:spacing w:val="-5"/>
                <w:sz w:val="18"/>
              </w:rPr>
              <w:t> </w:t>
            </w:r>
            <w:r>
              <w:rPr>
                <w:color w:val="231F20"/>
                <w:sz w:val="18"/>
              </w:rPr>
              <w:t>получить</w:t>
            </w:r>
            <w:r>
              <w:rPr>
                <w:color w:val="231F20"/>
                <w:spacing w:val="-5"/>
                <w:sz w:val="18"/>
              </w:rPr>
              <w:t> </w:t>
            </w:r>
            <w:r>
              <w:rPr>
                <w:color w:val="231F20"/>
                <w:sz w:val="18"/>
              </w:rPr>
              <w:t>в</w:t>
            </w:r>
            <w:r>
              <w:rPr>
                <w:color w:val="231F20"/>
                <w:spacing w:val="-5"/>
                <w:sz w:val="18"/>
              </w:rPr>
              <w:t> </w:t>
            </w:r>
            <w:r>
              <w:rPr>
                <w:color w:val="231F20"/>
                <w:sz w:val="18"/>
              </w:rPr>
              <w:t>результате</w:t>
            </w:r>
            <w:r>
              <w:rPr>
                <w:color w:val="231F20"/>
                <w:spacing w:val="-5"/>
                <w:sz w:val="18"/>
              </w:rPr>
              <w:t> </w:t>
            </w:r>
            <w:r>
              <w:rPr>
                <w:color w:val="231F20"/>
                <w:sz w:val="18"/>
              </w:rPr>
              <w:t>работы группы? Если необходимо – уточните его.</w:t>
            </w:r>
          </w:p>
          <w:p>
            <w:pPr>
              <w:pStyle w:val="TableParagraph"/>
              <w:spacing w:line="228" w:lineRule="auto"/>
              <w:ind w:left="80" w:right="67"/>
              <w:jc w:val="both"/>
              <w:rPr>
                <w:sz w:val="18"/>
              </w:rPr>
            </w:pPr>
            <w:r>
              <w:rPr>
                <w:i/>
                <w:color w:val="231F20"/>
                <w:spacing w:val="-4"/>
                <w:sz w:val="18"/>
              </w:rPr>
              <w:t>Мария.</w:t>
            </w:r>
            <w:r>
              <w:rPr>
                <w:i/>
                <w:color w:val="231F20"/>
                <w:spacing w:val="-8"/>
                <w:sz w:val="18"/>
              </w:rPr>
              <w:t> </w:t>
            </w:r>
            <w:r>
              <w:rPr>
                <w:color w:val="231F20"/>
                <w:spacing w:val="-4"/>
                <w:sz w:val="18"/>
              </w:rPr>
              <w:t>Хотелось</w:t>
            </w:r>
            <w:r>
              <w:rPr>
                <w:color w:val="231F20"/>
                <w:spacing w:val="-7"/>
                <w:sz w:val="18"/>
              </w:rPr>
              <w:t> </w:t>
            </w:r>
            <w:r>
              <w:rPr>
                <w:color w:val="231F20"/>
                <w:spacing w:val="-4"/>
                <w:sz w:val="18"/>
              </w:rPr>
              <w:t>бы</w:t>
            </w:r>
            <w:r>
              <w:rPr>
                <w:color w:val="231F20"/>
                <w:spacing w:val="-7"/>
                <w:sz w:val="18"/>
              </w:rPr>
              <w:t> </w:t>
            </w:r>
            <w:r>
              <w:rPr>
                <w:color w:val="231F20"/>
                <w:spacing w:val="-4"/>
                <w:sz w:val="18"/>
              </w:rPr>
              <w:t>получить</w:t>
            </w:r>
            <w:r>
              <w:rPr>
                <w:color w:val="231F20"/>
                <w:spacing w:val="-7"/>
                <w:sz w:val="18"/>
              </w:rPr>
              <w:t> </w:t>
            </w:r>
            <w:r>
              <w:rPr>
                <w:color w:val="231F20"/>
                <w:spacing w:val="-4"/>
                <w:sz w:val="18"/>
              </w:rPr>
              <w:t>ответ</w:t>
            </w:r>
            <w:r>
              <w:rPr>
                <w:color w:val="231F20"/>
                <w:spacing w:val="-8"/>
                <w:sz w:val="18"/>
              </w:rPr>
              <w:t> </w:t>
            </w:r>
            <w:r>
              <w:rPr>
                <w:color w:val="231F20"/>
                <w:spacing w:val="-4"/>
                <w:sz w:val="18"/>
              </w:rPr>
              <w:t>на</w:t>
            </w:r>
            <w:r>
              <w:rPr>
                <w:color w:val="231F20"/>
                <w:spacing w:val="-7"/>
                <w:sz w:val="18"/>
              </w:rPr>
              <w:t> </w:t>
            </w:r>
            <w:r>
              <w:rPr>
                <w:color w:val="231F20"/>
                <w:spacing w:val="-4"/>
                <w:sz w:val="18"/>
              </w:rPr>
              <w:t>вопрос: </w:t>
            </w:r>
            <w:r>
              <w:rPr>
                <w:color w:val="231F20"/>
                <w:sz w:val="18"/>
              </w:rPr>
              <w:t>как справляться со своей растерянностью в </w:t>
            </w:r>
            <w:r>
              <w:rPr>
                <w:color w:val="231F20"/>
                <w:spacing w:val="-2"/>
                <w:sz w:val="18"/>
              </w:rPr>
              <w:t>ситуации,</w:t>
            </w:r>
            <w:r>
              <w:rPr>
                <w:color w:val="231F20"/>
                <w:spacing w:val="-10"/>
                <w:sz w:val="18"/>
              </w:rPr>
              <w:t> </w:t>
            </w:r>
            <w:r>
              <w:rPr>
                <w:color w:val="231F20"/>
                <w:spacing w:val="-2"/>
                <w:sz w:val="18"/>
              </w:rPr>
              <w:t>когда</w:t>
            </w:r>
            <w:r>
              <w:rPr>
                <w:color w:val="231F20"/>
                <w:spacing w:val="-9"/>
                <w:sz w:val="18"/>
              </w:rPr>
              <w:t> </w:t>
            </w:r>
            <w:r>
              <w:rPr>
                <w:color w:val="231F20"/>
                <w:spacing w:val="-2"/>
                <w:sz w:val="18"/>
              </w:rPr>
              <w:t>чувствуешь</w:t>
            </w:r>
            <w:r>
              <w:rPr>
                <w:color w:val="231F20"/>
                <w:spacing w:val="-9"/>
                <w:sz w:val="18"/>
              </w:rPr>
              <w:t> </w:t>
            </w:r>
            <w:r>
              <w:rPr>
                <w:color w:val="231F20"/>
                <w:spacing w:val="-2"/>
                <w:sz w:val="18"/>
              </w:rPr>
              <w:t>себя</w:t>
            </w:r>
            <w:r>
              <w:rPr>
                <w:color w:val="231F20"/>
                <w:spacing w:val="-9"/>
                <w:sz w:val="18"/>
              </w:rPr>
              <w:t> </w:t>
            </w:r>
            <w:r>
              <w:rPr>
                <w:color w:val="231F20"/>
                <w:spacing w:val="-2"/>
                <w:sz w:val="18"/>
              </w:rPr>
              <w:t>зачинщиком </w:t>
            </w:r>
            <w:r>
              <w:rPr>
                <w:color w:val="231F20"/>
                <w:sz w:val="18"/>
              </w:rPr>
              <w:t>буллинга, и как объяснить тему </w:t>
            </w:r>
            <w:r>
              <w:rPr>
                <w:color w:val="231F20"/>
                <w:sz w:val="18"/>
              </w:rPr>
              <w:t>ученику, который не понимает твой язык…</w:t>
            </w:r>
          </w:p>
          <w:p>
            <w:pPr>
              <w:pStyle w:val="TableParagraph"/>
              <w:spacing w:line="228" w:lineRule="auto"/>
              <w:ind w:left="80" w:right="67"/>
              <w:jc w:val="both"/>
              <w:rPr>
                <w:sz w:val="18"/>
              </w:rPr>
            </w:pPr>
            <w:r>
              <w:rPr>
                <w:i/>
                <w:color w:val="231F20"/>
                <w:sz w:val="18"/>
              </w:rPr>
              <w:t>Ведущий. </w:t>
            </w:r>
            <w:r>
              <w:rPr>
                <w:color w:val="231F20"/>
                <w:sz w:val="18"/>
              </w:rPr>
              <w:t>Хорошо, спасибо. Теперь </w:t>
            </w:r>
            <w:r>
              <w:rPr>
                <w:color w:val="231F20"/>
                <w:sz w:val="18"/>
              </w:rPr>
              <w:t>я попрошу вас отсесть за круг. Напоминаю участникам, что обращаться к Марии будет нельзя до завершения обсуждения случая</w:t>
            </w:r>
          </w:p>
        </w:tc>
      </w:tr>
    </w:tbl>
    <w:p>
      <w:pPr>
        <w:spacing w:line="228" w:lineRule="exact" w:before="140"/>
        <w:ind w:left="425" w:right="0" w:firstLine="0"/>
        <w:jc w:val="both"/>
        <w:rPr>
          <w:b/>
          <w:i/>
          <w:sz w:val="20"/>
        </w:rPr>
      </w:pPr>
      <w:r>
        <w:rPr>
          <w:b/>
          <w:i/>
          <w:color w:val="231F20"/>
          <w:sz w:val="20"/>
        </w:rPr>
        <w:t>Этап</w:t>
      </w:r>
      <w:r>
        <w:rPr>
          <w:b/>
          <w:i/>
          <w:color w:val="231F20"/>
          <w:spacing w:val="-8"/>
          <w:sz w:val="20"/>
        </w:rPr>
        <w:t> </w:t>
      </w:r>
      <w:r>
        <w:rPr>
          <w:b/>
          <w:i/>
          <w:color w:val="231F20"/>
          <w:sz w:val="20"/>
        </w:rPr>
        <w:t>3.</w:t>
      </w:r>
      <w:r>
        <w:rPr>
          <w:b/>
          <w:i/>
          <w:color w:val="231F20"/>
          <w:spacing w:val="-6"/>
          <w:sz w:val="20"/>
        </w:rPr>
        <w:t> </w:t>
      </w:r>
      <w:r>
        <w:rPr>
          <w:b/>
          <w:i/>
          <w:color w:val="231F20"/>
          <w:sz w:val="20"/>
        </w:rPr>
        <w:t>Актуализация</w:t>
      </w:r>
      <w:r>
        <w:rPr>
          <w:b/>
          <w:i/>
          <w:color w:val="231F20"/>
          <w:spacing w:val="-8"/>
          <w:sz w:val="20"/>
        </w:rPr>
        <w:t> </w:t>
      </w:r>
      <w:r>
        <w:rPr>
          <w:b/>
          <w:i/>
          <w:color w:val="231F20"/>
          <w:sz w:val="20"/>
        </w:rPr>
        <w:t>группового</w:t>
      </w:r>
      <w:r>
        <w:rPr>
          <w:b/>
          <w:i/>
          <w:color w:val="231F20"/>
          <w:spacing w:val="-6"/>
          <w:sz w:val="20"/>
        </w:rPr>
        <w:t> </w:t>
      </w:r>
      <w:r>
        <w:rPr>
          <w:b/>
          <w:i/>
          <w:color w:val="231F20"/>
          <w:sz w:val="20"/>
        </w:rPr>
        <w:t>проживания</w:t>
      </w:r>
      <w:r>
        <w:rPr>
          <w:b/>
          <w:i/>
          <w:color w:val="231F20"/>
          <w:spacing w:val="-8"/>
          <w:sz w:val="20"/>
        </w:rPr>
        <w:t> </w:t>
      </w:r>
      <w:r>
        <w:rPr>
          <w:b/>
          <w:i/>
          <w:color w:val="231F20"/>
          <w:sz w:val="20"/>
        </w:rPr>
        <w:t>трудного</w:t>
      </w:r>
      <w:r>
        <w:rPr>
          <w:b/>
          <w:i/>
          <w:color w:val="231F20"/>
          <w:spacing w:val="-6"/>
          <w:sz w:val="20"/>
        </w:rPr>
        <w:t> </w:t>
      </w:r>
      <w:r>
        <w:rPr>
          <w:b/>
          <w:i/>
          <w:color w:val="231F20"/>
          <w:spacing w:val="-2"/>
          <w:sz w:val="20"/>
        </w:rPr>
        <w:t>случая</w:t>
      </w:r>
    </w:p>
    <w:p>
      <w:pPr>
        <w:pStyle w:val="BodyText"/>
        <w:spacing w:line="235" w:lineRule="auto" w:before="2"/>
      </w:pPr>
      <w:r>
        <w:rPr>
          <w:i/>
          <w:color w:val="231F20"/>
        </w:rPr>
        <w:t>Цель:</w:t>
      </w:r>
      <w:r>
        <w:rPr>
          <w:i/>
          <w:color w:val="231F20"/>
          <w:spacing w:val="-3"/>
        </w:rPr>
        <w:t> </w:t>
      </w:r>
      <w:r>
        <w:rPr>
          <w:color w:val="231F20"/>
        </w:rPr>
        <w:t>погружение</w:t>
      </w:r>
      <w:r>
        <w:rPr>
          <w:color w:val="231F20"/>
          <w:spacing w:val="-3"/>
        </w:rPr>
        <w:t> </w:t>
      </w:r>
      <w:r>
        <w:rPr>
          <w:color w:val="231F20"/>
        </w:rPr>
        <w:t>группы</w:t>
      </w:r>
      <w:r>
        <w:rPr>
          <w:color w:val="231F20"/>
          <w:spacing w:val="-3"/>
        </w:rPr>
        <w:t> </w:t>
      </w:r>
      <w:r>
        <w:rPr>
          <w:color w:val="231F20"/>
        </w:rPr>
        <w:t>в</w:t>
      </w:r>
      <w:r>
        <w:rPr>
          <w:color w:val="231F20"/>
          <w:spacing w:val="-3"/>
        </w:rPr>
        <w:t> </w:t>
      </w:r>
      <w:r>
        <w:rPr>
          <w:color w:val="231F20"/>
        </w:rPr>
        <w:t>переживание</w:t>
      </w:r>
      <w:r>
        <w:rPr>
          <w:color w:val="231F20"/>
          <w:spacing w:val="-3"/>
        </w:rPr>
        <w:t> </w:t>
      </w:r>
      <w:r>
        <w:rPr>
          <w:color w:val="231F20"/>
        </w:rPr>
        <w:t>опыта,</w:t>
      </w:r>
      <w:r>
        <w:rPr>
          <w:color w:val="231F20"/>
          <w:spacing w:val="-3"/>
        </w:rPr>
        <w:t> </w:t>
      </w:r>
      <w:r>
        <w:rPr>
          <w:color w:val="231F20"/>
        </w:rPr>
        <w:t>представленного</w:t>
      </w:r>
      <w:r>
        <w:rPr>
          <w:color w:val="231F20"/>
          <w:spacing w:val="-3"/>
        </w:rPr>
        <w:t> </w:t>
      </w:r>
      <w:r>
        <w:rPr>
          <w:color w:val="231F20"/>
        </w:rPr>
        <w:t>в</w:t>
      </w:r>
      <w:r>
        <w:rPr>
          <w:color w:val="231F20"/>
          <w:spacing w:val="-3"/>
        </w:rPr>
        <w:t> </w:t>
      </w:r>
      <w:r>
        <w:rPr>
          <w:color w:val="231F20"/>
        </w:rPr>
        <w:t>трудном</w:t>
      </w:r>
      <w:r>
        <w:rPr>
          <w:color w:val="231F20"/>
          <w:spacing w:val="-3"/>
        </w:rPr>
        <w:t> </w:t>
      </w:r>
      <w:r>
        <w:rPr>
          <w:color w:val="231F20"/>
        </w:rPr>
        <w:t>слу- чае</w:t>
      </w:r>
      <w:r>
        <w:rPr>
          <w:color w:val="231F20"/>
          <w:spacing w:val="-1"/>
        </w:rPr>
        <w:t> </w:t>
      </w:r>
      <w:r>
        <w:rPr>
          <w:color w:val="231F20"/>
        </w:rPr>
        <w:t>участником;</w:t>
      </w:r>
      <w:r>
        <w:rPr>
          <w:color w:val="231F20"/>
          <w:spacing w:val="-1"/>
        </w:rPr>
        <w:t> </w:t>
      </w:r>
      <w:r>
        <w:rPr>
          <w:color w:val="231F20"/>
        </w:rPr>
        <w:t>создание условий для</w:t>
      </w:r>
      <w:r>
        <w:rPr>
          <w:color w:val="231F20"/>
          <w:spacing w:val="-1"/>
        </w:rPr>
        <w:t> </w:t>
      </w:r>
      <w:r>
        <w:rPr>
          <w:color w:val="231F20"/>
        </w:rPr>
        <w:t>возникновения эмпатического</w:t>
      </w:r>
      <w:r>
        <w:rPr>
          <w:color w:val="231F20"/>
          <w:spacing w:val="-1"/>
        </w:rPr>
        <w:t> </w:t>
      </w:r>
      <w:r>
        <w:rPr>
          <w:color w:val="231F20"/>
        </w:rPr>
        <w:t>отклика у</w:t>
      </w:r>
      <w:r>
        <w:rPr>
          <w:color w:val="231F20"/>
          <w:spacing w:val="-1"/>
        </w:rPr>
        <w:t> </w:t>
      </w:r>
      <w:r>
        <w:rPr>
          <w:color w:val="231F20"/>
        </w:rPr>
        <w:t>всех участников рассматриваемой ситуации.</w:t>
      </w:r>
    </w:p>
    <w:p>
      <w:pPr>
        <w:spacing w:line="226" w:lineRule="exact" w:before="0"/>
        <w:ind w:left="425" w:right="0" w:firstLine="0"/>
        <w:jc w:val="left"/>
        <w:rPr>
          <w:i/>
          <w:sz w:val="20"/>
        </w:rPr>
      </w:pPr>
      <w:r>
        <w:rPr>
          <w:i/>
          <w:color w:val="231F20"/>
          <w:spacing w:val="-2"/>
          <w:sz w:val="20"/>
        </w:rPr>
        <w:t>Обзор</w:t>
      </w:r>
    </w:p>
    <w:p>
      <w:pPr>
        <w:pStyle w:val="BodyText"/>
        <w:spacing w:line="235" w:lineRule="auto" w:before="1"/>
        <w:ind w:right="138"/>
      </w:pPr>
      <w:r>
        <w:rPr>
          <w:color w:val="231F20"/>
        </w:rPr>
        <w:t>Участник, представляющий трудный случай, садится «за круг» и не участвует в дальнейшем</w:t>
      </w:r>
      <w:r>
        <w:rPr>
          <w:color w:val="231F20"/>
          <w:spacing w:val="-9"/>
        </w:rPr>
        <w:t> </w:t>
      </w:r>
      <w:r>
        <w:rPr>
          <w:color w:val="231F20"/>
        </w:rPr>
        <w:t>обсуждении</w:t>
      </w:r>
      <w:r>
        <w:rPr>
          <w:color w:val="231F20"/>
          <w:spacing w:val="-10"/>
        </w:rPr>
        <w:t> </w:t>
      </w:r>
      <w:r>
        <w:rPr>
          <w:color w:val="231F20"/>
        </w:rPr>
        <w:t>(возвращается</w:t>
      </w:r>
      <w:r>
        <w:rPr>
          <w:color w:val="231F20"/>
          <w:spacing w:val="-10"/>
        </w:rPr>
        <w:t> </w:t>
      </w:r>
      <w:r>
        <w:rPr>
          <w:color w:val="231F20"/>
        </w:rPr>
        <w:t>только</w:t>
      </w:r>
      <w:r>
        <w:rPr>
          <w:color w:val="231F20"/>
          <w:spacing w:val="-10"/>
        </w:rPr>
        <w:t> </w:t>
      </w:r>
      <w:r>
        <w:rPr>
          <w:color w:val="231F20"/>
        </w:rPr>
        <w:t>на</w:t>
      </w:r>
      <w:r>
        <w:rPr>
          <w:color w:val="231F20"/>
          <w:spacing w:val="-9"/>
        </w:rPr>
        <w:t> </w:t>
      </w:r>
      <w:r>
        <w:rPr>
          <w:color w:val="231F20"/>
        </w:rPr>
        <w:t>этапе</w:t>
      </w:r>
      <w:r>
        <w:rPr>
          <w:color w:val="231F20"/>
          <w:spacing w:val="-9"/>
        </w:rPr>
        <w:t> </w:t>
      </w:r>
      <w:r>
        <w:rPr>
          <w:color w:val="231F20"/>
        </w:rPr>
        <w:t>завершения</w:t>
      </w:r>
      <w:r>
        <w:rPr>
          <w:color w:val="231F20"/>
          <w:spacing w:val="-9"/>
        </w:rPr>
        <w:t> </w:t>
      </w:r>
      <w:r>
        <w:rPr>
          <w:color w:val="231F20"/>
        </w:rPr>
        <w:t>работы</w:t>
      </w:r>
      <w:r>
        <w:rPr>
          <w:color w:val="231F20"/>
          <w:spacing w:val="-10"/>
        </w:rPr>
        <w:t> </w:t>
      </w:r>
      <w:r>
        <w:rPr>
          <w:color w:val="231F20"/>
        </w:rPr>
        <w:t>группы). Задача ведущего – создать </w:t>
      </w:r>
      <w:r>
        <w:rPr>
          <w:i/>
          <w:color w:val="231F20"/>
        </w:rPr>
        <w:t>условия для погружения участников группы в свой опыт</w:t>
      </w:r>
      <w:r>
        <w:rPr>
          <w:color w:val="231F20"/>
        </w:rPr>
        <w:t>, свои переживания, которые возникают как отклик на представленный случай. Надо следить</w:t>
      </w:r>
      <w:r>
        <w:rPr>
          <w:color w:val="231F20"/>
          <w:spacing w:val="-7"/>
        </w:rPr>
        <w:t> </w:t>
      </w:r>
      <w:r>
        <w:rPr>
          <w:color w:val="231F20"/>
        </w:rPr>
        <w:t>за</w:t>
      </w:r>
      <w:r>
        <w:rPr>
          <w:color w:val="231F20"/>
          <w:spacing w:val="-7"/>
        </w:rPr>
        <w:t> </w:t>
      </w:r>
      <w:r>
        <w:rPr>
          <w:color w:val="231F20"/>
        </w:rPr>
        <w:t>невербальными</w:t>
      </w:r>
      <w:r>
        <w:rPr>
          <w:color w:val="231F20"/>
          <w:spacing w:val="-7"/>
        </w:rPr>
        <w:t> </w:t>
      </w:r>
      <w:r>
        <w:rPr>
          <w:color w:val="231F20"/>
        </w:rPr>
        <w:t>реакциями</w:t>
      </w:r>
      <w:r>
        <w:rPr>
          <w:color w:val="231F20"/>
          <w:spacing w:val="-7"/>
        </w:rPr>
        <w:t> </w:t>
      </w:r>
      <w:r>
        <w:rPr>
          <w:color w:val="231F20"/>
        </w:rPr>
        <w:t>участников.</w:t>
      </w:r>
      <w:r>
        <w:rPr>
          <w:color w:val="231F20"/>
          <w:spacing w:val="-7"/>
        </w:rPr>
        <w:t> </w:t>
      </w:r>
      <w:r>
        <w:rPr>
          <w:color w:val="231F20"/>
        </w:rPr>
        <w:t>Слишком</w:t>
      </w:r>
      <w:r>
        <w:rPr>
          <w:color w:val="231F20"/>
          <w:spacing w:val="-7"/>
        </w:rPr>
        <w:t> </w:t>
      </w:r>
      <w:r>
        <w:rPr>
          <w:color w:val="231F20"/>
        </w:rPr>
        <w:t>эмоционально</w:t>
      </w:r>
      <w:r>
        <w:rPr>
          <w:color w:val="231F20"/>
          <w:spacing w:val="-7"/>
        </w:rPr>
        <w:t> </w:t>
      </w:r>
      <w:r>
        <w:rPr>
          <w:color w:val="231F20"/>
        </w:rPr>
        <w:t>яркие</w:t>
      </w:r>
      <w:r>
        <w:rPr>
          <w:color w:val="231F20"/>
          <w:spacing w:val="-7"/>
        </w:rPr>
        <w:t> </w:t>
      </w:r>
      <w:r>
        <w:rPr>
          <w:color w:val="231F20"/>
        </w:rPr>
        <w:t>ре- акции говорят о небезопасности ситуации для участника – в этом случае, необходи- мо</w:t>
      </w:r>
      <w:r>
        <w:rPr>
          <w:color w:val="231F20"/>
          <w:spacing w:val="-3"/>
        </w:rPr>
        <w:t> </w:t>
      </w:r>
      <w:r>
        <w:rPr>
          <w:color w:val="231F20"/>
        </w:rPr>
        <w:t>остановить</w:t>
      </w:r>
      <w:r>
        <w:rPr>
          <w:color w:val="231F20"/>
          <w:spacing w:val="-3"/>
        </w:rPr>
        <w:t> </w:t>
      </w:r>
      <w:r>
        <w:rPr>
          <w:color w:val="231F20"/>
        </w:rPr>
        <w:t>работу</w:t>
      </w:r>
      <w:r>
        <w:rPr>
          <w:color w:val="231F20"/>
          <w:spacing w:val="-3"/>
        </w:rPr>
        <w:t> </w:t>
      </w:r>
      <w:r>
        <w:rPr>
          <w:color w:val="231F20"/>
        </w:rPr>
        <w:t>группы</w:t>
      </w:r>
      <w:r>
        <w:rPr>
          <w:color w:val="231F20"/>
          <w:spacing w:val="-3"/>
        </w:rPr>
        <w:t> </w:t>
      </w:r>
      <w:r>
        <w:rPr>
          <w:color w:val="231F20"/>
        </w:rPr>
        <w:t>и</w:t>
      </w:r>
      <w:r>
        <w:rPr>
          <w:color w:val="231F20"/>
          <w:spacing w:val="-3"/>
        </w:rPr>
        <w:t> </w:t>
      </w:r>
      <w:r>
        <w:rPr>
          <w:color w:val="231F20"/>
        </w:rPr>
        <w:t>обсудить,</w:t>
      </w:r>
      <w:r>
        <w:rPr>
          <w:color w:val="231F20"/>
          <w:spacing w:val="-3"/>
        </w:rPr>
        <w:t> </w:t>
      </w:r>
      <w:r>
        <w:rPr>
          <w:color w:val="231F20"/>
        </w:rPr>
        <w:t>что</w:t>
      </w:r>
      <w:r>
        <w:rPr>
          <w:color w:val="231F20"/>
          <w:spacing w:val="-3"/>
        </w:rPr>
        <w:t> </w:t>
      </w:r>
      <w:r>
        <w:rPr>
          <w:color w:val="231F20"/>
        </w:rPr>
        <w:t>происходит.</w:t>
      </w:r>
      <w:r>
        <w:rPr>
          <w:color w:val="231F20"/>
          <w:spacing w:val="-3"/>
        </w:rPr>
        <w:t> </w:t>
      </w:r>
      <w:r>
        <w:rPr>
          <w:color w:val="231F20"/>
        </w:rPr>
        <w:t>Участникам</w:t>
      </w:r>
      <w:r>
        <w:rPr>
          <w:color w:val="231F20"/>
          <w:spacing w:val="-3"/>
        </w:rPr>
        <w:t> </w:t>
      </w:r>
      <w:r>
        <w:rPr>
          <w:color w:val="231F20"/>
        </w:rPr>
        <w:t>предлагается прислушаться</w:t>
      </w:r>
      <w:r>
        <w:rPr>
          <w:color w:val="231F20"/>
          <w:spacing w:val="-8"/>
        </w:rPr>
        <w:t> </w:t>
      </w:r>
      <w:r>
        <w:rPr>
          <w:color w:val="231F20"/>
        </w:rPr>
        <w:t>к</w:t>
      </w:r>
      <w:r>
        <w:rPr>
          <w:color w:val="231F20"/>
          <w:spacing w:val="-8"/>
        </w:rPr>
        <w:t> </w:t>
      </w:r>
      <w:r>
        <w:rPr>
          <w:color w:val="231F20"/>
        </w:rPr>
        <w:t>себе</w:t>
      </w:r>
      <w:r>
        <w:rPr>
          <w:color w:val="231F20"/>
          <w:spacing w:val="-8"/>
        </w:rPr>
        <w:t> </w:t>
      </w:r>
      <w:r>
        <w:rPr>
          <w:color w:val="231F20"/>
        </w:rPr>
        <w:t>и</w:t>
      </w:r>
      <w:r>
        <w:rPr>
          <w:color w:val="231F20"/>
          <w:spacing w:val="-8"/>
        </w:rPr>
        <w:t> </w:t>
      </w:r>
      <w:r>
        <w:rPr>
          <w:color w:val="231F20"/>
        </w:rPr>
        <w:t>сфокусироваться</w:t>
      </w:r>
      <w:r>
        <w:rPr>
          <w:color w:val="231F20"/>
          <w:spacing w:val="-8"/>
        </w:rPr>
        <w:t> </w:t>
      </w:r>
      <w:r>
        <w:rPr>
          <w:color w:val="231F20"/>
        </w:rPr>
        <w:t>на:</w:t>
      </w:r>
      <w:r>
        <w:rPr>
          <w:color w:val="231F20"/>
          <w:spacing w:val="-8"/>
        </w:rPr>
        <w:t> </w:t>
      </w:r>
      <w:r>
        <w:rPr>
          <w:color w:val="231F20"/>
        </w:rPr>
        <w:t>чувствах,</w:t>
      </w:r>
      <w:r>
        <w:rPr>
          <w:color w:val="231F20"/>
          <w:spacing w:val="-8"/>
        </w:rPr>
        <w:t> </w:t>
      </w:r>
      <w:r>
        <w:rPr>
          <w:color w:val="231F20"/>
        </w:rPr>
        <w:t>которые</w:t>
      </w:r>
      <w:r>
        <w:rPr>
          <w:color w:val="231F20"/>
          <w:spacing w:val="-8"/>
        </w:rPr>
        <w:t> </w:t>
      </w:r>
      <w:r>
        <w:rPr>
          <w:color w:val="231F20"/>
        </w:rPr>
        <w:t>возникали</w:t>
      </w:r>
      <w:r>
        <w:rPr>
          <w:color w:val="231F20"/>
          <w:spacing w:val="-8"/>
        </w:rPr>
        <w:t> </w:t>
      </w:r>
      <w:r>
        <w:rPr>
          <w:color w:val="231F20"/>
        </w:rPr>
        <w:t>при</w:t>
      </w:r>
      <w:r>
        <w:rPr>
          <w:color w:val="231F20"/>
          <w:spacing w:val="-8"/>
        </w:rPr>
        <w:t> </w:t>
      </w:r>
      <w:r>
        <w:rPr>
          <w:color w:val="231F20"/>
        </w:rPr>
        <w:t>расска- зе</w:t>
      </w:r>
      <w:r>
        <w:rPr>
          <w:color w:val="231F20"/>
          <w:spacing w:val="-10"/>
        </w:rPr>
        <w:t> </w:t>
      </w:r>
      <w:r>
        <w:rPr>
          <w:color w:val="231F20"/>
        </w:rPr>
        <w:t>о</w:t>
      </w:r>
      <w:r>
        <w:rPr>
          <w:color w:val="231F20"/>
          <w:spacing w:val="-10"/>
        </w:rPr>
        <w:t> </w:t>
      </w:r>
      <w:r>
        <w:rPr>
          <w:color w:val="231F20"/>
        </w:rPr>
        <w:t>трудном</w:t>
      </w:r>
      <w:r>
        <w:rPr>
          <w:color w:val="231F20"/>
          <w:spacing w:val="-10"/>
        </w:rPr>
        <w:t> </w:t>
      </w:r>
      <w:r>
        <w:rPr>
          <w:color w:val="231F20"/>
        </w:rPr>
        <w:t>случае;</w:t>
      </w:r>
      <w:r>
        <w:rPr>
          <w:color w:val="231F20"/>
          <w:spacing w:val="-10"/>
        </w:rPr>
        <w:t> </w:t>
      </w:r>
      <w:r>
        <w:rPr>
          <w:color w:val="231F20"/>
        </w:rPr>
        <w:t>образах,</w:t>
      </w:r>
      <w:r>
        <w:rPr>
          <w:color w:val="231F20"/>
          <w:spacing w:val="-10"/>
        </w:rPr>
        <w:t> </w:t>
      </w:r>
      <w:r>
        <w:rPr>
          <w:color w:val="231F20"/>
        </w:rPr>
        <w:t>метафорах,</w:t>
      </w:r>
      <w:r>
        <w:rPr>
          <w:color w:val="231F20"/>
          <w:spacing w:val="-10"/>
        </w:rPr>
        <w:t> </w:t>
      </w:r>
      <w:r>
        <w:rPr>
          <w:color w:val="231F20"/>
        </w:rPr>
        <w:t>появившихся</w:t>
      </w:r>
      <w:r>
        <w:rPr>
          <w:color w:val="231F20"/>
          <w:spacing w:val="-10"/>
        </w:rPr>
        <w:t> </w:t>
      </w:r>
      <w:r>
        <w:rPr>
          <w:color w:val="231F20"/>
        </w:rPr>
        <w:t>при</w:t>
      </w:r>
      <w:r>
        <w:rPr>
          <w:color w:val="231F20"/>
          <w:spacing w:val="-10"/>
        </w:rPr>
        <w:t> </w:t>
      </w:r>
      <w:r>
        <w:rPr>
          <w:color w:val="231F20"/>
        </w:rPr>
        <w:t>рассказе;</w:t>
      </w:r>
      <w:r>
        <w:rPr>
          <w:color w:val="231F20"/>
          <w:spacing w:val="-10"/>
        </w:rPr>
        <w:t> </w:t>
      </w:r>
      <w:r>
        <w:rPr>
          <w:color w:val="231F20"/>
        </w:rPr>
        <w:t>высказываниях, строчках из песен и др., возникших при рассказе о трудном случае. Данный этап до- вольно</w:t>
      </w:r>
      <w:r>
        <w:rPr>
          <w:color w:val="231F20"/>
          <w:spacing w:val="-5"/>
        </w:rPr>
        <w:t> </w:t>
      </w:r>
      <w:r>
        <w:rPr>
          <w:color w:val="231F20"/>
        </w:rPr>
        <w:t>близок</w:t>
      </w:r>
      <w:r>
        <w:rPr>
          <w:color w:val="231F20"/>
          <w:spacing w:val="-2"/>
        </w:rPr>
        <w:t> </w:t>
      </w:r>
      <w:r>
        <w:rPr>
          <w:color w:val="231F20"/>
        </w:rPr>
        <w:t>к</w:t>
      </w:r>
      <w:r>
        <w:rPr>
          <w:color w:val="231F20"/>
          <w:spacing w:val="-2"/>
        </w:rPr>
        <w:t> </w:t>
      </w:r>
      <w:r>
        <w:rPr>
          <w:color w:val="231F20"/>
        </w:rPr>
        <w:t>практике</w:t>
      </w:r>
      <w:r>
        <w:rPr>
          <w:color w:val="231F20"/>
          <w:spacing w:val="-2"/>
        </w:rPr>
        <w:t> </w:t>
      </w:r>
      <w:r>
        <w:rPr>
          <w:color w:val="231F20"/>
        </w:rPr>
        <w:t>фокусинга</w:t>
      </w:r>
      <w:r>
        <w:rPr>
          <w:color w:val="231F20"/>
          <w:spacing w:val="-3"/>
        </w:rPr>
        <w:t> </w:t>
      </w:r>
      <w:r>
        <w:rPr>
          <w:color w:val="231F20"/>
        </w:rPr>
        <w:t>(Ю.</w:t>
      </w:r>
      <w:r>
        <w:rPr>
          <w:color w:val="231F20"/>
          <w:spacing w:val="-2"/>
        </w:rPr>
        <w:t> </w:t>
      </w:r>
      <w:r>
        <w:rPr>
          <w:color w:val="231F20"/>
        </w:rPr>
        <w:t>Джендлин).</w:t>
      </w:r>
      <w:r>
        <w:rPr>
          <w:color w:val="231F20"/>
          <w:spacing w:val="-2"/>
        </w:rPr>
        <w:t> </w:t>
      </w:r>
      <w:r>
        <w:rPr>
          <w:color w:val="231F20"/>
        </w:rPr>
        <w:t>Актуализация</w:t>
      </w:r>
      <w:r>
        <w:rPr>
          <w:color w:val="231F20"/>
          <w:spacing w:val="-2"/>
        </w:rPr>
        <w:t> эмоционального</w:t>
      </w:r>
    </w:p>
    <w:p>
      <w:pPr>
        <w:pStyle w:val="BodyText"/>
        <w:spacing w:line="235" w:lineRule="auto" w:before="7"/>
        <w:ind w:firstLine="0"/>
      </w:pPr>
      <w:r>
        <w:rPr>
          <w:color w:val="231F20"/>
        </w:rPr>
        <w:t>«слоя» переживания необходима для более продуктивной работы мышления – осоз- навания</w:t>
      </w:r>
      <w:r>
        <w:rPr>
          <w:color w:val="231F20"/>
          <w:spacing w:val="-8"/>
        </w:rPr>
        <w:t> </w:t>
      </w:r>
      <w:r>
        <w:rPr>
          <w:color w:val="231F20"/>
        </w:rPr>
        <w:t>и</w:t>
      </w:r>
      <w:r>
        <w:rPr>
          <w:color w:val="231F20"/>
          <w:spacing w:val="-8"/>
        </w:rPr>
        <w:t> </w:t>
      </w:r>
      <w:r>
        <w:rPr>
          <w:color w:val="231F20"/>
        </w:rPr>
        <w:t>рефлексии,</w:t>
      </w:r>
      <w:r>
        <w:rPr>
          <w:color w:val="231F20"/>
          <w:spacing w:val="-7"/>
        </w:rPr>
        <w:t> </w:t>
      </w:r>
      <w:r>
        <w:rPr>
          <w:color w:val="231F20"/>
        </w:rPr>
        <w:t>на</w:t>
      </w:r>
      <w:r>
        <w:rPr>
          <w:color w:val="231F20"/>
          <w:spacing w:val="-7"/>
        </w:rPr>
        <w:t> </w:t>
      </w:r>
      <w:r>
        <w:rPr>
          <w:color w:val="231F20"/>
        </w:rPr>
        <w:t>следующем</w:t>
      </w:r>
      <w:r>
        <w:rPr>
          <w:color w:val="231F20"/>
          <w:spacing w:val="-8"/>
        </w:rPr>
        <w:t> </w:t>
      </w:r>
      <w:r>
        <w:rPr>
          <w:color w:val="231F20"/>
        </w:rPr>
        <w:t>этапе</w:t>
      </w:r>
      <w:r>
        <w:rPr>
          <w:color w:val="231F20"/>
          <w:spacing w:val="-7"/>
        </w:rPr>
        <w:t> </w:t>
      </w:r>
      <w:r>
        <w:rPr>
          <w:color w:val="231F20"/>
        </w:rPr>
        <w:t>групповой</w:t>
      </w:r>
      <w:r>
        <w:rPr>
          <w:color w:val="231F20"/>
          <w:spacing w:val="-8"/>
        </w:rPr>
        <w:t> </w:t>
      </w:r>
      <w:r>
        <w:rPr>
          <w:color w:val="231F20"/>
        </w:rPr>
        <w:t>работы,</w:t>
      </w:r>
      <w:r>
        <w:rPr>
          <w:color w:val="231F20"/>
          <w:spacing w:val="-8"/>
        </w:rPr>
        <w:t> </w:t>
      </w:r>
      <w:r>
        <w:rPr>
          <w:color w:val="231F20"/>
        </w:rPr>
        <w:t>где</w:t>
      </w:r>
      <w:r>
        <w:rPr>
          <w:color w:val="231F20"/>
          <w:spacing w:val="-8"/>
        </w:rPr>
        <w:t> </w:t>
      </w:r>
      <w:r>
        <w:rPr>
          <w:color w:val="231F20"/>
        </w:rPr>
        <w:t>будет</w:t>
      </w:r>
      <w:r>
        <w:rPr>
          <w:color w:val="231F20"/>
          <w:spacing w:val="-8"/>
        </w:rPr>
        <w:t> </w:t>
      </w:r>
      <w:r>
        <w:rPr>
          <w:color w:val="231F20"/>
        </w:rPr>
        <w:t>происходить обсуждение случая.</w:t>
      </w:r>
    </w:p>
    <w:p>
      <w:pPr>
        <w:spacing w:line="235" w:lineRule="auto" w:before="182"/>
        <w:ind w:left="141" w:right="139" w:firstLine="283"/>
        <w:jc w:val="both"/>
        <w:rPr>
          <w:b/>
          <w:i/>
          <w:sz w:val="20"/>
        </w:rPr>
      </w:pPr>
      <w:r>
        <w:rPr>
          <w:b/>
          <w:i/>
          <w:color w:val="231F20"/>
          <w:sz w:val="20"/>
        </w:rPr>
        <w:t>Последовательность проведения этапа, реплики ведущего (примерный сце- </w:t>
      </w:r>
      <w:r>
        <w:rPr>
          <w:b/>
          <w:i/>
          <w:color w:val="231F20"/>
          <w:spacing w:val="-2"/>
          <w:sz w:val="20"/>
        </w:rPr>
        <w:t>нарий)</w:t>
      </w:r>
    </w:p>
    <w:p>
      <w:pPr>
        <w:spacing w:line="235" w:lineRule="auto" w:before="1"/>
        <w:ind w:left="141" w:right="139" w:firstLine="283"/>
        <w:jc w:val="both"/>
        <w:rPr>
          <w:i/>
          <w:sz w:val="20"/>
        </w:rPr>
      </w:pPr>
      <w:r>
        <w:rPr>
          <w:b/>
          <w:i/>
          <w:color w:val="231F20"/>
          <w:sz w:val="20"/>
        </w:rPr>
        <w:t>Ведущий.</w:t>
      </w:r>
      <w:r>
        <w:rPr>
          <w:b/>
          <w:i/>
          <w:color w:val="231F20"/>
          <w:spacing w:val="-13"/>
          <w:sz w:val="20"/>
        </w:rPr>
        <w:t> </w:t>
      </w:r>
      <w:r>
        <w:rPr>
          <w:i/>
          <w:color w:val="231F20"/>
          <w:sz w:val="20"/>
        </w:rPr>
        <w:t>Прошу</w:t>
      </w:r>
      <w:r>
        <w:rPr>
          <w:i/>
          <w:color w:val="231F20"/>
          <w:spacing w:val="-12"/>
          <w:sz w:val="20"/>
        </w:rPr>
        <w:t> </w:t>
      </w:r>
      <w:r>
        <w:rPr>
          <w:i/>
          <w:color w:val="231F20"/>
          <w:sz w:val="20"/>
        </w:rPr>
        <w:t>участников</w:t>
      </w:r>
      <w:r>
        <w:rPr>
          <w:i/>
          <w:color w:val="231F20"/>
          <w:spacing w:val="-13"/>
          <w:sz w:val="20"/>
        </w:rPr>
        <w:t> </w:t>
      </w:r>
      <w:r>
        <w:rPr>
          <w:i/>
          <w:color w:val="231F20"/>
          <w:sz w:val="20"/>
        </w:rPr>
        <w:t>сесть</w:t>
      </w:r>
      <w:r>
        <w:rPr>
          <w:i/>
          <w:color w:val="231F20"/>
          <w:spacing w:val="-12"/>
          <w:sz w:val="20"/>
        </w:rPr>
        <w:t> </w:t>
      </w:r>
      <w:r>
        <w:rPr>
          <w:i/>
          <w:color w:val="231F20"/>
          <w:sz w:val="20"/>
        </w:rPr>
        <w:t>поудобнее,</w:t>
      </w:r>
      <w:r>
        <w:rPr>
          <w:i/>
          <w:color w:val="231F20"/>
          <w:spacing w:val="-13"/>
          <w:sz w:val="20"/>
        </w:rPr>
        <w:t> </w:t>
      </w:r>
      <w:r>
        <w:rPr>
          <w:i/>
          <w:color w:val="231F20"/>
          <w:sz w:val="20"/>
        </w:rPr>
        <w:t>если</w:t>
      </w:r>
      <w:r>
        <w:rPr>
          <w:i/>
          <w:color w:val="231F20"/>
          <w:spacing w:val="-12"/>
          <w:sz w:val="20"/>
        </w:rPr>
        <w:t> </w:t>
      </w:r>
      <w:r>
        <w:rPr>
          <w:i/>
          <w:color w:val="231F20"/>
          <w:sz w:val="20"/>
        </w:rPr>
        <w:t>будет</w:t>
      </w:r>
      <w:r>
        <w:rPr>
          <w:i/>
          <w:color w:val="231F20"/>
          <w:spacing w:val="-13"/>
          <w:sz w:val="20"/>
        </w:rPr>
        <w:t> </w:t>
      </w:r>
      <w:r>
        <w:rPr>
          <w:i/>
          <w:color w:val="231F20"/>
          <w:sz w:val="20"/>
        </w:rPr>
        <w:t>комфортно,</w:t>
      </w:r>
      <w:r>
        <w:rPr>
          <w:i/>
          <w:color w:val="231F20"/>
          <w:spacing w:val="-12"/>
          <w:sz w:val="20"/>
        </w:rPr>
        <w:t> </w:t>
      </w:r>
      <w:r>
        <w:rPr>
          <w:i/>
          <w:color w:val="231F20"/>
          <w:sz w:val="20"/>
        </w:rPr>
        <w:t>прикрыть глаза и прислушаться к себе. Какие чувства, эмоции, телесные ощущения у вас воз- никли при представлении трудного случая? </w:t>
      </w:r>
      <w:r>
        <w:rPr>
          <w:color w:val="231F20"/>
          <w:sz w:val="20"/>
        </w:rPr>
        <w:t>(Пауза 3 мин.) </w:t>
      </w:r>
      <w:r>
        <w:rPr>
          <w:i/>
          <w:color w:val="231F20"/>
          <w:sz w:val="20"/>
        </w:rPr>
        <w:t>Те, кто готов, можете поделиться наблюдениями.</w:t>
      </w:r>
    </w:p>
    <w:p>
      <w:pPr>
        <w:pStyle w:val="BodyText"/>
        <w:spacing w:line="235" w:lineRule="auto" w:before="3"/>
      </w:pPr>
      <w:r>
        <w:rPr>
          <w:color w:val="231F20"/>
        </w:rPr>
        <w:t>Участники делятся своим эмоциональным состоянием. Ведущий замечает или уточняет:</w:t>
      </w:r>
      <w:r>
        <w:rPr>
          <w:color w:val="231F20"/>
          <w:spacing w:val="-9"/>
        </w:rPr>
        <w:t> </w:t>
      </w:r>
      <w:r>
        <w:rPr>
          <w:color w:val="231F20"/>
        </w:rPr>
        <w:t>на</w:t>
      </w:r>
      <w:r>
        <w:rPr>
          <w:color w:val="231F20"/>
          <w:spacing w:val="-9"/>
        </w:rPr>
        <w:t> </w:t>
      </w:r>
      <w:r>
        <w:rPr>
          <w:color w:val="231F20"/>
        </w:rPr>
        <w:t>месте</w:t>
      </w:r>
      <w:r>
        <w:rPr>
          <w:color w:val="231F20"/>
          <w:spacing w:val="-9"/>
        </w:rPr>
        <w:t> </w:t>
      </w:r>
      <w:r>
        <w:rPr>
          <w:color w:val="231F20"/>
        </w:rPr>
        <w:t>какого</w:t>
      </w:r>
      <w:r>
        <w:rPr>
          <w:color w:val="231F20"/>
          <w:spacing w:val="-9"/>
        </w:rPr>
        <w:t> </w:t>
      </w:r>
      <w:r>
        <w:rPr>
          <w:color w:val="231F20"/>
        </w:rPr>
        <w:t>участника</w:t>
      </w:r>
      <w:r>
        <w:rPr>
          <w:color w:val="231F20"/>
          <w:spacing w:val="-9"/>
        </w:rPr>
        <w:t> </w:t>
      </w:r>
      <w:r>
        <w:rPr>
          <w:color w:val="231F20"/>
        </w:rPr>
        <w:t>ситуации</w:t>
      </w:r>
      <w:r>
        <w:rPr>
          <w:color w:val="231F20"/>
          <w:spacing w:val="-9"/>
        </w:rPr>
        <w:t> </w:t>
      </w:r>
      <w:r>
        <w:rPr>
          <w:color w:val="231F20"/>
        </w:rPr>
        <w:t>представляет</w:t>
      </w:r>
      <w:r>
        <w:rPr>
          <w:color w:val="231F20"/>
          <w:spacing w:val="-9"/>
        </w:rPr>
        <w:t> </w:t>
      </w:r>
      <w:r>
        <w:rPr>
          <w:color w:val="231F20"/>
        </w:rPr>
        <w:t>себя</w:t>
      </w:r>
      <w:r>
        <w:rPr>
          <w:color w:val="231F20"/>
          <w:spacing w:val="-9"/>
        </w:rPr>
        <w:t> </w:t>
      </w:r>
      <w:r>
        <w:rPr>
          <w:color w:val="231F20"/>
        </w:rPr>
        <w:t>говорящий.</w:t>
      </w:r>
      <w:r>
        <w:rPr>
          <w:color w:val="231F20"/>
          <w:spacing w:val="-9"/>
        </w:rPr>
        <w:t> </w:t>
      </w:r>
      <w:r>
        <w:rPr>
          <w:color w:val="231F20"/>
        </w:rPr>
        <w:t>Если</w:t>
      </w:r>
      <w:r>
        <w:rPr>
          <w:color w:val="231F20"/>
          <w:spacing w:val="-9"/>
        </w:rPr>
        <w:t> </w:t>
      </w:r>
      <w:r>
        <w:rPr>
          <w:color w:val="231F20"/>
        </w:rPr>
        <w:t>на месте участвующих в случае никто не представляет себя, ведущий должен обратить внимание группы на это.</w:t>
      </w:r>
    </w:p>
    <w:p>
      <w:pPr>
        <w:spacing w:line="235" w:lineRule="auto" w:before="2"/>
        <w:ind w:left="141" w:right="139" w:firstLine="283"/>
        <w:jc w:val="both"/>
        <w:rPr>
          <w:i/>
          <w:sz w:val="20"/>
        </w:rPr>
      </w:pPr>
      <w:r>
        <w:rPr>
          <w:b/>
          <w:i/>
          <w:color w:val="231F20"/>
          <w:sz w:val="20"/>
        </w:rPr>
        <w:t>Ведущий</w:t>
      </w:r>
      <w:r>
        <w:rPr>
          <w:b/>
          <w:color w:val="231F20"/>
          <w:sz w:val="20"/>
        </w:rPr>
        <w:t>.</w:t>
      </w:r>
      <w:r>
        <w:rPr>
          <w:b/>
          <w:color w:val="231F20"/>
          <w:spacing w:val="-13"/>
          <w:sz w:val="20"/>
        </w:rPr>
        <w:t> </w:t>
      </w:r>
      <w:r>
        <w:rPr>
          <w:i/>
          <w:color w:val="231F20"/>
          <w:sz w:val="20"/>
        </w:rPr>
        <w:t>Просто</w:t>
      </w:r>
      <w:r>
        <w:rPr>
          <w:i/>
          <w:color w:val="231F20"/>
          <w:spacing w:val="-12"/>
          <w:sz w:val="20"/>
        </w:rPr>
        <w:t> </w:t>
      </w:r>
      <w:r>
        <w:rPr>
          <w:i/>
          <w:color w:val="231F20"/>
          <w:sz w:val="20"/>
        </w:rPr>
        <w:t>обращаю</w:t>
      </w:r>
      <w:r>
        <w:rPr>
          <w:i/>
          <w:color w:val="231F20"/>
          <w:spacing w:val="-13"/>
          <w:sz w:val="20"/>
        </w:rPr>
        <w:t> </w:t>
      </w:r>
      <w:r>
        <w:rPr>
          <w:i/>
          <w:color w:val="231F20"/>
          <w:sz w:val="20"/>
        </w:rPr>
        <w:t>ваше</w:t>
      </w:r>
      <w:r>
        <w:rPr>
          <w:i/>
          <w:color w:val="231F20"/>
          <w:spacing w:val="-12"/>
          <w:sz w:val="20"/>
        </w:rPr>
        <w:t> </w:t>
      </w:r>
      <w:r>
        <w:rPr>
          <w:i/>
          <w:color w:val="231F20"/>
          <w:sz w:val="20"/>
        </w:rPr>
        <w:t>внимание,</w:t>
      </w:r>
      <w:r>
        <w:rPr>
          <w:i/>
          <w:color w:val="231F20"/>
          <w:spacing w:val="-13"/>
          <w:sz w:val="20"/>
        </w:rPr>
        <w:t> </w:t>
      </w:r>
      <w:r>
        <w:rPr>
          <w:i/>
          <w:color w:val="231F20"/>
          <w:sz w:val="20"/>
        </w:rPr>
        <w:t>что</w:t>
      </w:r>
      <w:r>
        <w:rPr>
          <w:i/>
          <w:color w:val="231F20"/>
          <w:spacing w:val="-12"/>
          <w:sz w:val="20"/>
        </w:rPr>
        <w:t> </w:t>
      </w:r>
      <w:r>
        <w:rPr>
          <w:i/>
          <w:color w:val="231F20"/>
          <w:sz w:val="20"/>
        </w:rPr>
        <w:t>на</w:t>
      </w:r>
      <w:r>
        <w:rPr>
          <w:i/>
          <w:color w:val="231F20"/>
          <w:spacing w:val="-13"/>
          <w:sz w:val="20"/>
        </w:rPr>
        <w:t> </w:t>
      </w:r>
      <w:r>
        <w:rPr>
          <w:i/>
          <w:color w:val="231F20"/>
          <w:sz w:val="20"/>
        </w:rPr>
        <w:t>месте</w:t>
      </w:r>
      <w:r>
        <w:rPr>
          <w:i/>
          <w:color w:val="231F20"/>
          <w:spacing w:val="-12"/>
          <w:sz w:val="20"/>
        </w:rPr>
        <w:t> </w:t>
      </w:r>
      <w:r>
        <w:rPr>
          <w:i/>
          <w:color w:val="231F20"/>
          <w:sz w:val="20"/>
        </w:rPr>
        <w:t>учеников</w:t>
      </w:r>
      <w:r>
        <w:rPr>
          <w:i/>
          <w:color w:val="231F20"/>
          <w:spacing w:val="-13"/>
          <w:sz w:val="20"/>
        </w:rPr>
        <w:t> </w:t>
      </w:r>
      <w:r>
        <w:rPr>
          <w:i/>
          <w:color w:val="231F20"/>
          <w:sz w:val="20"/>
        </w:rPr>
        <w:t>класса</w:t>
      </w:r>
      <w:r>
        <w:rPr>
          <w:i/>
          <w:color w:val="231F20"/>
          <w:spacing w:val="-12"/>
          <w:sz w:val="20"/>
        </w:rPr>
        <w:t> </w:t>
      </w:r>
      <w:r>
        <w:rPr>
          <w:i/>
          <w:color w:val="231F20"/>
          <w:sz w:val="20"/>
        </w:rPr>
        <w:t>себя</w:t>
      </w:r>
      <w:r>
        <w:rPr>
          <w:i/>
          <w:color w:val="231F20"/>
          <w:spacing w:val="-13"/>
          <w:sz w:val="20"/>
        </w:rPr>
        <w:t> </w:t>
      </w:r>
      <w:r>
        <w:rPr>
          <w:i/>
          <w:color w:val="231F20"/>
          <w:sz w:val="20"/>
        </w:rPr>
        <w:t>не представил никто из нас.</w:t>
      </w:r>
    </w:p>
    <w:p>
      <w:pPr>
        <w:spacing w:after="0" w:line="235" w:lineRule="auto"/>
        <w:jc w:val="both"/>
        <w:rPr>
          <w:i/>
          <w:sz w:val="20"/>
        </w:rPr>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spacing w:line="235" w:lineRule="auto" w:before="116"/>
        <w:ind w:left="141" w:right="139" w:firstLine="283"/>
        <w:jc w:val="both"/>
        <w:rPr>
          <w:i/>
          <w:sz w:val="20"/>
        </w:rPr>
      </w:pPr>
      <w:r>
        <w:rPr>
          <w:i/>
          <w:color w:val="231F20"/>
          <w:sz w:val="20"/>
        </w:rPr>
        <w:t>Теперь</w:t>
      </w:r>
      <w:r>
        <w:rPr>
          <w:i/>
          <w:color w:val="231F20"/>
          <w:spacing w:val="-7"/>
          <w:sz w:val="20"/>
        </w:rPr>
        <w:t> </w:t>
      </w:r>
      <w:r>
        <w:rPr>
          <w:i/>
          <w:color w:val="231F20"/>
          <w:sz w:val="20"/>
        </w:rPr>
        <w:t>я</w:t>
      </w:r>
      <w:r>
        <w:rPr>
          <w:i/>
          <w:color w:val="231F20"/>
          <w:spacing w:val="-7"/>
          <w:sz w:val="20"/>
        </w:rPr>
        <w:t> </w:t>
      </w:r>
      <w:r>
        <w:rPr>
          <w:i/>
          <w:color w:val="231F20"/>
          <w:sz w:val="20"/>
        </w:rPr>
        <w:t>попрошу</w:t>
      </w:r>
      <w:r>
        <w:rPr>
          <w:i/>
          <w:color w:val="231F20"/>
          <w:spacing w:val="-7"/>
          <w:sz w:val="20"/>
        </w:rPr>
        <w:t> </w:t>
      </w:r>
      <w:r>
        <w:rPr>
          <w:i/>
          <w:color w:val="231F20"/>
          <w:sz w:val="20"/>
        </w:rPr>
        <w:t>вас</w:t>
      </w:r>
      <w:r>
        <w:rPr>
          <w:i/>
          <w:color w:val="231F20"/>
          <w:spacing w:val="-7"/>
          <w:sz w:val="20"/>
        </w:rPr>
        <w:t> </w:t>
      </w:r>
      <w:r>
        <w:rPr>
          <w:i/>
          <w:color w:val="231F20"/>
          <w:sz w:val="20"/>
        </w:rPr>
        <w:t>снова</w:t>
      </w:r>
      <w:r>
        <w:rPr>
          <w:i/>
          <w:color w:val="231F20"/>
          <w:spacing w:val="-7"/>
          <w:sz w:val="20"/>
        </w:rPr>
        <w:t> </w:t>
      </w:r>
      <w:r>
        <w:rPr>
          <w:i/>
          <w:color w:val="231F20"/>
          <w:sz w:val="20"/>
        </w:rPr>
        <w:t>погрузиться</w:t>
      </w:r>
      <w:r>
        <w:rPr>
          <w:i/>
          <w:color w:val="231F20"/>
          <w:spacing w:val="-7"/>
          <w:sz w:val="20"/>
        </w:rPr>
        <w:t> </w:t>
      </w:r>
      <w:r>
        <w:rPr>
          <w:i/>
          <w:color w:val="231F20"/>
          <w:sz w:val="20"/>
        </w:rPr>
        <w:t>в</w:t>
      </w:r>
      <w:r>
        <w:rPr>
          <w:i/>
          <w:color w:val="231F20"/>
          <w:spacing w:val="-7"/>
          <w:sz w:val="20"/>
        </w:rPr>
        <w:t> </w:t>
      </w:r>
      <w:r>
        <w:rPr>
          <w:i/>
          <w:color w:val="231F20"/>
          <w:sz w:val="20"/>
        </w:rPr>
        <w:t>себя</w:t>
      </w:r>
      <w:r>
        <w:rPr>
          <w:i/>
          <w:color w:val="231F20"/>
          <w:spacing w:val="-7"/>
          <w:sz w:val="20"/>
        </w:rPr>
        <w:t> </w:t>
      </w:r>
      <w:r>
        <w:rPr>
          <w:i/>
          <w:color w:val="231F20"/>
          <w:sz w:val="20"/>
        </w:rPr>
        <w:t>и</w:t>
      </w:r>
      <w:r>
        <w:rPr>
          <w:i/>
          <w:color w:val="231F20"/>
          <w:spacing w:val="-7"/>
          <w:sz w:val="20"/>
        </w:rPr>
        <w:t> </w:t>
      </w:r>
      <w:r>
        <w:rPr>
          <w:i/>
          <w:color w:val="231F20"/>
          <w:sz w:val="20"/>
        </w:rPr>
        <w:t>прислушаться</w:t>
      </w:r>
      <w:r>
        <w:rPr>
          <w:i/>
          <w:color w:val="231F20"/>
          <w:spacing w:val="-7"/>
          <w:sz w:val="20"/>
        </w:rPr>
        <w:t> </w:t>
      </w:r>
      <w:r>
        <w:rPr>
          <w:i/>
          <w:color w:val="231F20"/>
          <w:sz w:val="20"/>
        </w:rPr>
        <w:t>к</w:t>
      </w:r>
      <w:r>
        <w:rPr>
          <w:i/>
          <w:color w:val="231F20"/>
          <w:spacing w:val="-7"/>
          <w:sz w:val="20"/>
        </w:rPr>
        <w:t> </w:t>
      </w:r>
      <w:r>
        <w:rPr>
          <w:i/>
          <w:color w:val="231F20"/>
          <w:sz w:val="20"/>
        </w:rPr>
        <w:t>тому,</w:t>
      </w:r>
      <w:r>
        <w:rPr>
          <w:i/>
          <w:color w:val="231F20"/>
          <w:spacing w:val="-7"/>
          <w:sz w:val="20"/>
        </w:rPr>
        <w:t> </w:t>
      </w:r>
      <w:r>
        <w:rPr>
          <w:i/>
          <w:color w:val="231F20"/>
          <w:sz w:val="20"/>
        </w:rPr>
        <w:t>какие</w:t>
      </w:r>
      <w:r>
        <w:rPr>
          <w:i/>
          <w:color w:val="231F20"/>
          <w:spacing w:val="-7"/>
          <w:sz w:val="20"/>
        </w:rPr>
        <w:t> </w:t>
      </w:r>
      <w:r>
        <w:rPr>
          <w:i/>
          <w:color w:val="231F20"/>
          <w:sz w:val="20"/>
        </w:rPr>
        <w:t>ме- тафоры, образы у вас возникают в связи со случаем?</w:t>
      </w:r>
    </w:p>
    <w:p>
      <w:pPr>
        <w:pStyle w:val="BodyText"/>
        <w:spacing w:line="235" w:lineRule="auto" w:before="1"/>
      </w:pPr>
      <w:r>
        <w:rPr>
          <w:color w:val="231F20"/>
        </w:rPr>
        <w:t>Участники</w:t>
      </w:r>
      <w:r>
        <w:rPr>
          <w:color w:val="231F20"/>
          <w:spacing w:val="-1"/>
        </w:rPr>
        <w:t> </w:t>
      </w:r>
      <w:r>
        <w:rPr>
          <w:color w:val="231F20"/>
        </w:rPr>
        <w:t>высказываются,</w:t>
      </w:r>
      <w:r>
        <w:rPr>
          <w:color w:val="231F20"/>
          <w:spacing w:val="-1"/>
        </w:rPr>
        <w:t> </w:t>
      </w:r>
      <w:r>
        <w:rPr>
          <w:color w:val="231F20"/>
        </w:rPr>
        <w:t>желательно</w:t>
      </w:r>
      <w:r>
        <w:rPr>
          <w:color w:val="231F20"/>
          <w:spacing w:val="-1"/>
        </w:rPr>
        <w:t> </w:t>
      </w:r>
      <w:r>
        <w:rPr>
          <w:color w:val="231F20"/>
        </w:rPr>
        <w:t>побуждать</w:t>
      </w:r>
      <w:r>
        <w:rPr>
          <w:color w:val="231F20"/>
          <w:spacing w:val="-1"/>
        </w:rPr>
        <w:t> </w:t>
      </w:r>
      <w:r>
        <w:rPr>
          <w:color w:val="231F20"/>
        </w:rPr>
        <w:t>высказаться</w:t>
      </w:r>
      <w:r>
        <w:rPr>
          <w:color w:val="231F20"/>
          <w:spacing w:val="-1"/>
        </w:rPr>
        <w:t> </w:t>
      </w:r>
      <w:r>
        <w:rPr>
          <w:color w:val="231F20"/>
        </w:rPr>
        <w:t>всех.</w:t>
      </w:r>
      <w:r>
        <w:rPr>
          <w:color w:val="231F20"/>
          <w:spacing w:val="-1"/>
        </w:rPr>
        <w:t> </w:t>
      </w:r>
      <w:r>
        <w:rPr>
          <w:color w:val="231F20"/>
        </w:rPr>
        <w:t>Если</w:t>
      </w:r>
      <w:r>
        <w:rPr>
          <w:color w:val="231F20"/>
          <w:spacing w:val="-1"/>
        </w:rPr>
        <w:t> </w:t>
      </w:r>
      <w:r>
        <w:rPr>
          <w:color w:val="231F20"/>
        </w:rPr>
        <w:t>участ- ник</w:t>
      </w:r>
      <w:r>
        <w:rPr>
          <w:color w:val="231F20"/>
          <w:spacing w:val="-10"/>
        </w:rPr>
        <w:t> </w:t>
      </w:r>
      <w:r>
        <w:rPr>
          <w:color w:val="231F20"/>
        </w:rPr>
        <w:t>отказывается</w:t>
      </w:r>
      <w:r>
        <w:rPr>
          <w:color w:val="231F20"/>
          <w:spacing w:val="-10"/>
        </w:rPr>
        <w:t> </w:t>
      </w:r>
      <w:r>
        <w:rPr>
          <w:color w:val="231F20"/>
        </w:rPr>
        <w:t>говорить</w:t>
      </w:r>
      <w:r>
        <w:rPr>
          <w:color w:val="231F20"/>
          <w:spacing w:val="-10"/>
        </w:rPr>
        <w:t> </w:t>
      </w:r>
      <w:r>
        <w:rPr>
          <w:color w:val="231F20"/>
        </w:rPr>
        <w:t>или</w:t>
      </w:r>
      <w:r>
        <w:rPr>
          <w:color w:val="231F20"/>
          <w:spacing w:val="-10"/>
        </w:rPr>
        <w:t> </w:t>
      </w:r>
      <w:r>
        <w:rPr>
          <w:color w:val="231F20"/>
        </w:rPr>
        <w:t>говорит,</w:t>
      </w:r>
      <w:r>
        <w:rPr>
          <w:color w:val="231F20"/>
          <w:spacing w:val="-10"/>
        </w:rPr>
        <w:t> </w:t>
      </w:r>
      <w:r>
        <w:rPr>
          <w:color w:val="231F20"/>
        </w:rPr>
        <w:t>что</w:t>
      </w:r>
      <w:r>
        <w:rPr>
          <w:color w:val="231F20"/>
          <w:spacing w:val="-10"/>
        </w:rPr>
        <w:t> </w:t>
      </w:r>
      <w:r>
        <w:rPr>
          <w:color w:val="231F20"/>
        </w:rPr>
        <w:t>ничего</w:t>
      </w:r>
      <w:r>
        <w:rPr>
          <w:color w:val="231F20"/>
          <w:spacing w:val="-10"/>
        </w:rPr>
        <w:t> </w:t>
      </w:r>
      <w:r>
        <w:rPr>
          <w:color w:val="231F20"/>
        </w:rPr>
        <w:t>не</w:t>
      </w:r>
      <w:r>
        <w:rPr>
          <w:color w:val="231F20"/>
          <w:spacing w:val="-10"/>
        </w:rPr>
        <w:t> </w:t>
      </w:r>
      <w:r>
        <w:rPr>
          <w:color w:val="231F20"/>
        </w:rPr>
        <w:t>может</w:t>
      </w:r>
      <w:r>
        <w:rPr>
          <w:color w:val="231F20"/>
          <w:spacing w:val="-10"/>
        </w:rPr>
        <w:t> </w:t>
      </w:r>
      <w:r>
        <w:rPr>
          <w:color w:val="231F20"/>
        </w:rPr>
        <w:t>представить,</w:t>
      </w:r>
      <w:r>
        <w:rPr>
          <w:color w:val="231F20"/>
          <w:spacing w:val="-10"/>
        </w:rPr>
        <w:t> </w:t>
      </w:r>
      <w:r>
        <w:rPr>
          <w:color w:val="231F20"/>
        </w:rPr>
        <w:t>надо</w:t>
      </w:r>
      <w:r>
        <w:rPr>
          <w:color w:val="231F20"/>
          <w:spacing w:val="-10"/>
        </w:rPr>
        <w:t> </w:t>
      </w:r>
      <w:r>
        <w:rPr>
          <w:color w:val="231F20"/>
        </w:rPr>
        <w:t>заме- тить это. Если таких участников в группе много, обратить на это внимание группы.</w:t>
      </w:r>
    </w:p>
    <w:p>
      <w:pPr>
        <w:spacing w:line="237" w:lineRule="auto" w:before="0"/>
        <w:ind w:left="141" w:right="139" w:firstLine="283"/>
        <w:jc w:val="both"/>
        <w:rPr>
          <w:i/>
          <w:sz w:val="20"/>
        </w:rPr>
      </w:pPr>
      <w:r>
        <w:rPr>
          <w:b/>
          <w:i/>
          <w:color w:val="231F20"/>
          <w:sz w:val="20"/>
        </w:rPr>
        <w:t>Ведущий</w:t>
      </w:r>
      <w:r>
        <w:rPr>
          <w:b/>
          <w:color w:val="231F20"/>
          <w:sz w:val="20"/>
        </w:rPr>
        <w:t>.</w:t>
      </w:r>
      <w:r>
        <w:rPr>
          <w:b/>
          <w:color w:val="231F20"/>
          <w:spacing w:val="-10"/>
          <w:sz w:val="20"/>
        </w:rPr>
        <w:t> </w:t>
      </w:r>
      <w:r>
        <w:rPr>
          <w:i/>
          <w:color w:val="231F20"/>
          <w:sz w:val="20"/>
        </w:rPr>
        <w:t>И</w:t>
      </w:r>
      <w:r>
        <w:rPr>
          <w:i/>
          <w:color w:val="231F20"/>
          <w:spacing w:val="-10"/>
          <w:sz w:val="20"/>
        </w:rPr>
        <w:t> </w:t>
      </w:r>
      <w:r>
        <w:rPr>
          <w:i/>
          <w:color w:val="231F20"/>
          <w:sz w:val="20"/>
        </w:rPr>
        <w:t>в</w:t>
      </w:r>
      <w:r>
        <w:rPr>
          <w:i/>
          <w:color w:val="231F20"/>
          <w:spacing w:val="-10"/>
          <w:sz w:val="20"/>
        </w:rPr>
        <w:t> </w:t>
      </w:r>
      <w:r>
        <w:rPr>
          <w:i/>
          <w:color w:val="231F20"/>
          <w:sz w:val="20"/>
        </w:rPr>
        <w:t>последний</w:t>
      </w:r>
      <w:r>
        <w:rPr>
          <w:i/>
          <w:color w:val="231F20"/>
          <w:spacing w:val="-10"/>
          <w:sz w:val="20"/>
        </w:rPr>
        <w:t> </w:t>
      </w:r>
      <w:r>
        <w:rPr>
          <w:i/>
          <w:color w:val="231F20"/>
          <w:sz w:val="20"/>
        </w:rPr>
        <w:t>раз</w:t>
      </w:r>
      <w:r>
        <w:rPr>
          <w:i/>
          <w:color w:val="231F20"/>
          <w:spacing w:val="-10"/>
          <w:sz w:val="20"/>
        </w:rPr>
        <w:t> </w:t>
      </w:r>
      <w:r>
        <w:rPr>
          <w:i/>
          <w:color w:val="231F20"/>
          <w:sz w:val="20"/>
        </w:rPr>
        <w:t>я</w:t>
      </w:r>
      <w:r>
        <w:rPr>
          <w:i/>
          <w:color w:val="231F20"/>
          <w:spacing w:val="-10"/>
          <w:sz w:val="20"/>
        </w:rPr>
        <w:t> </w:t>
      </w:r>
      <w:r>
        <w:rPr>
          <w:i/>
          <w:color w:val="231F20"/>
          <w:sz w:val="20"/>
        </w:rPr>
        <w:t>прошу</w:t>
      </w:r>
      <w:r>
        <w:rPr>
          <w:i/>
          <w:color w:val="231F20"/>
          <w:spacing w:val="-10"/>
          <w:sz w:val="20"/>
        </w:rPr>
        <w:t> </w:t>
      </w:r>
      <w:r>
        <w:rPr>
          <w:i/>
          <w:color w:val="231F20"/>
          <w:sz w:val="20"/>
        </w:rPr>
        <w:t>вас</w:t>
      </w:r>
      <w:r>
        <w:rPr>
          <w:i/>
          <w:color w:val="231F20"/>
          <w:spacing w:val="-10"/>
          <w:sz w:val="20"/>
        </w:rPr>
        <w:t> </w:t>
      </w:r>
      <w:r>
        <w:rPr>
          <w:i/>
          <w:color w:val="231F20"/>
          <w:sz w:val="20"/>
        </w:rPr>
        <w:t>обратиться</w:t>
      </w:r>
      <w:r>
        <w:rPr>
          <w:i/>
          <w:color w:val="231F20"/>
          <w:spacing w:val="-9"/>
          <w:sz w:val="20"/>
        </w:rPr>
        <w:t> </w:t>
      </w:r>
      <w:r>
        <w:rPr>
          <w:i/>
          <w:color w:val="231F20"/>
          <w:sz w:val="20"/>
        </w:rPr>
        <w:t>к</w:t>
      </w:r>
      <w:r>
        <w:rPr>
          <w:i/>
          <w:color w:val="231F20"/>
          <w:spacing w:val="-10"/>
          <w:sz w:val="20"/>
        </w:rPr>
        <w:t> </w:t>
      </w:r>
      <w:r>
        <w:rPr>
          <w:i/>
          <w:color w:val="231F20"/>
          <w:sz w:val="20"/>
        </w:rPr>
        <w:t>вашим</w:t>
      </w:r>
      <w:r>
        <w:rPr>
          <w:i/>
          <w:color w:val="231F20"/>
          <w:spacing w:val="-10"/>
          <w:sz w:val="20"/>
        </w:rPr>
        <w:t> </w:t>
      </w:r>
      <w:r>
        <w:rPr>
          <w:i/>
          <w:color w:val="231F20"/>
          <w:sz w:val="20"/>
        </w:rPr>
        <w:t>собственным</w:t>
      </w:r>
      <w:r>
        <w:rPr>
          <w:i/>
          <w:color w:val="231F20"/>
          <w:spacing w:val="-9"/>
          <w:sz w:val="20"/>
        </w:rPr>
        <w:t> </w:t>
      </w:r>
      <w:r>
        <w:rPr>
          <w:i/>
          <w:color w:val="231F20"/>
          <w:sz w:val="20"/>
        </w:rPr>
        <w:t>пере- живаниям:</w:t>
      </w:r>
      <w:r>
        <w:rPr>
          <w:i/>
          <w:color w:val="231F20"/>
          <w:spacing w:val="-7"/>
          <w:sz w:val="20"/>
        </w:rPr>
        <w:t> </w:t>
      </w:r>
      <w:r>
        <w:rPr>
          <w:i/>
          <w:color w:val="231F20"/>
          <w:sz w:val="20"/>
        </w:rPr>
        <w:t>какие</w:t>
      </w:r>
      <w:r>
        <w:rPr>
          <w:i/>
          <w:color w:val="231F20"/>
          <w:spacing w:val="-7"/>
          <w:sz w:val="20"/>
        </w:rPr>
        <w:t> </w:t>
      </w:r>
      <w:r>
        <w:rPr>
          <w:i/>
          <w:color w:val="231F20"/>
          <w:sz w:val="20"/>
        </w:rPr>
        <w:t>фразы,</w:t>
      </w:r>
      <w:r>
        <w:rPr>
          <w:i/>
          <w:color w:val="231F20"/>
          <w:spacing w:val="-7"/>
          <w:sz w:val="20"/>
        </w:rPr>
        <w:t> </w:t>
      </w:r>
      <w:r>
        <w:rPr>
          <w:i/>
          <w:color w:val="231F20"/>
          <w:sz w:val="20"/>
        </w:rPr>
        <w:t>слова,</w:t>
      </w:r>
      <w:r>
        <w:rPr>
          <w:i/>
          <w:color w:val="231F20"/>
          <w:spacing w:val="-7"/>
          <w:sz w:val="20"/>
        </w:rPr>
        <w:t> </w:t>
      </w:r>
      <w:r>
        <w:rPr>
          <w:i/>
          <w:color w:val="231F20"/>
          <w:sz w:val="20"/>
        </w:rPr>
        <w:t>строчки</w:t>
      </w:r>
      <w:r>
        <w:rPr>
          <w:i/>
          <w:color w:val="231F20"/>
          <w:spacing w:val="-7"/>
          <w:sz w:val="20"/>
        </w:rPr>
        <w:t> </w:t>
      </w:r>
      <w:r>
        <w:rPr>
          <w:i/>
          <w:color w:val="231F20"/>
          <w:sz w:val="20"/>
        </w:rPr>
        <w:t>из</w:t>
      </w:r>
      <w:r>
        <w:rPr>
          <w:i/>
          <w:color w:val="231F20"/>
          <w:spacing w:val="-7"/>
          <w:sz w:val="20"/>
        </w:rPr>
        <w:t> </w:t>
      </w:r>
      <w:r>
        <w:rPr>
          <w:i/>
          <w:color w:val="231F20"/>
          <w:sz w:val="20"/>
        </w:rPr>
        <w:t>песен</w:t>
      </w:r>
      <w:r>
        <w:rPr>
          <w:i/>
          <w:color w:val="231F20"/>
          <w:spacing w:val="-7"/>
          <w:sz w:val="20"/>
        </w:rPr>
        <w:t> </w:t>
      </w:r>
      <w:r>
        <w:rPr>
          <w:i/>
          <w:color w:val="231F20"/>
          <w:sz w:val="20"/>
        </w:rPr>
        <w:t>у</w:t>
      </w:r>
      <w:r>
        <w:rPr>
          <w:i/>
          <w:color w:val="231F20"/>
          <w:spacing w:val="-7"/>
          <w:sz w:val="20"/>
        </w:rPr>
        <w:t> </w:t>
      </w:r>
      <w:r>
        <w:rPr>
          <w:i/>
          <w:color w:val="231F20"/>
          <w:sz w:val="20"/>
        </w:rPr>
        <w:t>вас</w:t>
      </w:r>
      <w:r>
        <w:rPr>
          <w:i/>
          <w:color w:val="231F20"/>
          <w:spacing w:val="-7"/>
          <w:sz w:val="20"/>
        </w:rPr>
        <w:t> </w:t>
      </w:r>
      <w:r>
        <w:rPr>
          <w:i/>
          <w:color w:val="231F20"/>
          <w:sz w:val="20"/>
        </w:rPr>
        <w:t>возникают,</w:t>
      </w:r>
      <w:r>
        <w:rPr>
          <w:i/>
          <w:color w:val="231F20"/>
          <w:spacing w:val="-7"/>
          <w:sz w:val="20"/>
        </w:rPr>
        <w:t> </w:t>
      </w:r>
      <w:r>
        <w:rPr>
          <w:i/>
          <w:color w:val="231F20"/>
          <w:sz w:val="20"/>
        </w:rPr>
        <w:t>когда</w:t>
      </w:r>
      <w:r>
        <w:rPr>
          <w:i/>
          <w:color w:val="231F20"/>
          <w:spacing w:val="-7"/>
          <w:sz w:val="20"/>
        </w:rPr>
        <w:t> </w:t>
      </w:r>
      <w:r>
        <w:rPr>
          <w:i/>
          <w:color w:val="231F20"/>
          <w:sz w:val="20"/>
        </w:rPr>
        <w:t>вы</w:t>
      </w:r>
      <w:r>
        <w:rPr>
          <w:i/>
          <w:color w:val="231F20"/>
          <w:spacing w:val="-7"/>
          <w:sz w:val="20"/>
        </w:rPr>
        <w:t> </w:t>
      </w:r>
      <w:r>
        <w:rPr>
          <w:i/>
          <w:color w:val="231F20"/>
          <w:sz w:val="20"/>
        </w:rPr>
        <w:t>думаете о представленном случае?</w:t>
      </w:r>
    </w:p>
    <w:p>
      <w:pPr>
        <w:pStyle w:val="BodyText"/>
        <w:spacing w:before="1"/>
      </w:pPr>
      <w:r>
        <w:rPr>
          <w:color w:val="231F20"/>
        </w:rPr>
        <w:t>Желательно побуждать всех участников высказаться, но не следует настаивать, если участник отказывается.</w:t>
      </w:r>
    </w:p>
    <w:p>
      <w:pPr>
        <w:spacing w:before="184"/>
        <w:ind w:left="425" w:right="0" w:firstLine="0"/>
        <w:jc w:val="left"/>
        <w:rPr>
          <w:b/>
          <w:i/>
          <w:sz w:val="20"/>
        </w:rPr>
      </w:pPr>
      <w:r>
        <w:rPr>
          <w:b/>
          <w:i/>
          <w:color w:val="231F20"/>
          <w:sz w:val="20"/>
        </w:rPr>
        <w:t>Этап</w:t>
      </w:r>
      <w:r>
        <w:rPr>
          <w:b/>
          <w:i/>
          <w:color w:val="231F20"/>
          <w:spacing w:val="-7"/>
          <w:sz w:val="20"/>
        </w:rPr>
        <w:t> </w:t>
      </w:r>
      <w:r>
        <w:rPr>
          <w:b/>
          <w:i/>
          <w:color w:val="231F20"/>
          <w:sz w:val="20"/>
        </w:rPr>
        <w:t>4.</w:t>
      </w:r>
      <w:r>
        <w:rPr>
          <w:b/>
          <w:i/>
          <w:color w:val="231F20"/>
          <w:spacing w:val="-5"/>
          <w:sz w:val="20"/>
        </w:rPr>
        <w:t> </w:t>
      </w:r>
      <w:r>
        <w:rPr>
          <w:b/>
          <w:i/>
          <w:color w:val="231F20"/>
          <w:sz w:val="20"/>
        </w:rPr>
        <w:t>Обсуждения</w:t>
      </w:r>
      <w:r>
        <w:rPr>
          <w:b/>
          <w:i/>
          <w:color w:val="231F20"/>
          <w:spacing w:val="-7"/>
          <w:sz w:val="20"/>
        </w:rPr>
        <w:t> </w:t>
      </w:r>
      <w:r>
        <w:rPr>
          <w:b/>
          <w:i/>
          <w:color w:val="231F20"/>
          <w:sz w:val="20"/>
        </w:rPr>
        <w:t>трудного</w:t>
      </w:r>
      <w:r>
        <w:rPr>
          <w:b/>
          <w:i/>
          <w:color w:val="231F20"/>
          <w:spacing w:val="-5"/>
          <w:sz w:val="20"/>
        </w:rPr>
        <w:t> </w:t>
      </w:r>
      <w:r>
        <w:rPr>
          <w:b/>
          <w:i/>
          <w:color w:val="231F20"/>
          <w:spacing w:val="-2"/>
          <w:sz w:val="20"/>
        </w:rPr>
        <w:t>случая</w:t>
      </w:r>
    </w:p>
    <w:p>
      <w:pPr>
        <w:pStyle w:val="BodyText"/>
        <w:ind w:right="0"/>
        <w:jc w:val="left"/>
      </w:pPr>
      <w:r>
        <w:rPr>
          <w:i/>
          <w:color w:val="231F20"/>
        </w:rPr>
        <w:t>Цель</w:t>
      </w:r>
      <w:r>
        <w:rPr>
          <w:color w:val="231F20"/>
        </w:rPr>
        <w:t>:</w:t>
      </w:r>
      <w:r>
        <w:rPr>
          <w:color w:val="231F20"/>
          <w:spacing w:val="-6"/>
        </w:rPr>
        <w:t> </w:t>
      </w:r>
      <w:r>
        <w:rPr>
          <w:color w:val="231F20"/>
        </w:rPr>
        <w:t>интерпретация</w:t>
      </w:r>
      <w:r>
        <w:rPr>
          <w:color w:val="231F20"/>
          <w:spacing w:val="-6"/>
        </w:rPr>
        <w:t> </w:t>
      </w:r>
      <w:r>
        <w:rPr>
          <w:color w:val="231F20"/>
        </w:rPr>
        <w:t>ситуации,</w:t>
      </w:r>
      <w:r>
        <w:rPr>
          <w:color w:val="231F20"/>
          <w:spacing w:val="-6"/>
        </w:rPr>
        <w:t> </w:t>
      </w:r>
      <w:r>
        <w:rPr>
          <w:color w:val="231F20"/>
        </w:rPr>
        <w:t>анализ</w:t>
      </w:r>
      <w:r>
        <w:rPr>
          <w:color w:val="231F20"/>
          <w:spacing w:val="-6"/>
        </w:rPr>
        <w:t> </w:t>
      </w:r>
      <w:r>
        <w:rPr>
          <w:color w:val="231F20"/>
        </w:rPr>
        <w:t>важных</w:t>
      </w:r>
      <w:r>
        <w:rPr>
          <w:color w:val="231F20"/>
          <w:spacing w:val="-6"/>
        </w:rPr>
        <w:t> </w:t>
      </w:r>
      <w:r>
        <w:rPr>
          <w:color w:val="231F20"/>
        </w:rPr>
        <w:t>признаков</w:t>
      </w:r>
      <w:r>
        <w:rPr>
          <w:color w:val="231F20"/>
          <w:spacing w:val="-6"/>
        </w:rPr>
        <w:t> </w:t>
      </w:r>
      <w:r>
        <w:rPr>
          <w:color w:val="231F20"/>
        </w:rPr>
        <w:t>ситуации,</w:t>
      </w:r>
      <w:r>
        <w:rPr>
          <w:color w:val="231F20"/>
          <w:spacing w:val="-6"/>
        </w:rPr>
        <w:t> </w:t>
      </w:r>
      <w:r>
        <w:rPr>
          <w:color w:val="231F20"/>
        </w:rPr>
        <w:t>собственных переживаний, собственного педагогического и личностного опыта.</w:t>
      </w:r>
    </w:p>
    <w:p>
      <w:pPr>
        <w:spacing w:before="0"/>
        <w:ind w:left="425" w:right="0" w:firstLine="0"/>
        <w:jc w:val="left"/>
        <w:rPr>
          <w:i/>
          <w:sz w:val="20"/>
        </w:rPr>
      </w:pPr>
      <w:r>
        <w:rPr>
          <w:i/>
          <w:color w:val="231F20"/>
          <w:spacing w:val="-2"/>
          <w:sz w:val="20"/>
        </w:rPr>
        <w:t>Обзор</w:t>
      </w:r>
    </w:p>
    <w:p>
      <w:pPr>
        <w:pStyle w:val="BodyText"/>
      </w:pPr>
      <w:r>
        <w:rPr>
          <w:color w:val="231F20"/>
        </w:rPr>
        <w:t>Существует</w:t>
      </w:r>
      <w:r>
        <w:rPr>
          <w:color w:val="231F20"/>
          <w:spacing w:val="-3"/>
        </w:rPr>
        <w:t> </w:t>
      </w:r>
      <w:r>
        <w:rPr>
          <w:color w:val="231F20"/>
        </w:rPr>
        <w:t>много</w:t>
      </w:r>
      <w:r>
        <w:rPr>
          <w:color w:val="231F20"/>
          <w:spacing w:val="-3"/>
        </w:rPr>
        <w:t> </w:t>
      </w:r>
      <w:r>
        <w:rPr>
          <w:color w:val="231F20"/>
        </w:rPr>
        <w:t>разных</w:t>
      </w:r>
      <w:r>
        <w:rPr>
          <w:color w:val="231F20"/>
          <w:spacing w:val="-3"/>
        </w:rPr>
        <w:t> </w:t>
      </w:r>
      <w:r>
        <w:rPr>
          <w:color w:val="231F20"/>
        </w:rPr>
        <w:t>«оптик»</w:t>
      </w:r>
      <w:r>
        <w:rPr>
          <w:color w:val="231F20"/>
          <w:spacing w:val="-3"/>
        </w:rPr>
        <w:t> </w:t>
      </w:r>
      <w:r>
        <w:rPr>
          <w:color w:val="231F20"/>
        </w:rPr>
        <w:t>просмотра</w:t>
      </w:r>
      <w:r>
        <w:rPr>
          <w:color w:val="231F20"/>
          <w:spacing w:val="-3"/>
        </w:rPr>
        <w:t> </w:t>
      </w:r>
      <w:r>
        <w:rPr>
          <w:color w:val="231F20"/>
        </w:rPr>
        <w:t>и</w:t>
      </w:r>
      <w:r>
        <w:rPr>
          <w:color w:val="231F20"/>
          <w:spacing w:val="-3"/>
        </w:rPr>
        <w:t> </w:t>
      </w:r>
      <w:r>
        <w:rPr>
          <w:color w:val="231F20"/>
        </w:rPr>
        <w:t>анализа</w:t>
      </w:r>
      <w:r>
        <w:rPr>
          <w:color w:val="231F20"/>
          <w:spacing w:val="-3"/>
        </w:rPr>
        <w:t> </w:t>
      </w:r>
      <w:r>
        <w:rPr>
          <w:color w:val="231F20"/>
        </w:rPr>
        <w:t>педагогической</w:t>
      </w:r>
      <w:r>
        <w:rPr>
          <w:color w:val="231F20"/>
          <w:spacing w:val="-3"/>
        </w:rPr>
        <w:t> </w:t>
      </w:r>
      <w:r>
        <w:rPr>
          <w:color w:val="231F20"/>
        </w:rPr>
        <w:t>деятель- ности. Это могут быть и вопросы педагогической диагностики, проектирования и сценирования,</w:t>
      </w:r>
      <w:r>
        <w:rPr>
          <w:color w:val="231F20"/>
          <w:spacing w:val="-12"/>
        </w:rPr>
        <w:t> </w:t>
      </w:r>
      <w:r>
        <w:rPr>
          <w:color w:val="231F20"/>
        </w:rPr>
        <w:t>и</w:t>
      </w:r>
      <w:r>
        <w:rPr>
          <w:color w:val="231F20"/>
          <w:spacing w:val="-12"/>
        </w:rPr>
        <w:t> </w:t>
      </w:r>
      <w:r>
        <w:rPr>
          <w:color w:val="231F20"/>
        </w:rPr>
        <w:t>вопросы</w:t>
      </w:r>
      <w:r>
        <w:rPr>
          <w:color w:val="231F20"/>
          <w:spacing w:val="-12"/>
        </w:rPr>
        <w:t> </w:t>
      </w:r>
      <w:r>
        <w:rPr>
          <w:color w:val="231F20"/>
        </w:rPr>
        <w:t>педагогического</w:t>
      </w:r>
      <w:r>
        <w:rPr>
          <w:color w:val="231F20"/>
          <w:spacing w:val="-12"/>
        </w:rPr>
        <w:t> </w:t>
      </w:r>
      <w:r>
        <w:rPr>
          <w:color w:val="231F20"/>
        </w:rPr>
        <w:t>взаимодействия.</w:t>
      </w:r>
      <w:r>
        <w:rPr>
          <w:color w:val="231F20"/>
          <w:spacing w:val="-12"/>
        </w:rPr>
        <w:t> </w:t>
      </w:r>
      <w:r>
        <w:rPr>
          <w:color w:val="231F20"/>
        </w:rPr>
        <w:t>В</w:t>
      </w:r>
      <w:r>
        <w:rPr>
          <w:color w:val="231F20"/>
          <w:spacing w:val="-12"/>
        </w:rPr>
        <w:t> </w:t>
      </w:r>
      <w:r>
        <w:rPr>
          <w:color w:val="231F20"/>
        </w:rPr>
        <w:t>практике</w:t>
      </w:r>
      <w:r>
        <w:rPr>
          <w:color w:val="231F20"/>
          <w:spacing w:val="-12"/>
        </w:rPr>
        <w:t> </w:t>
      </w:r>
      <w:r>
        <w:rPr>
          <w:color w:val="231F20"/>
        </w:rPr>
        <w:t>поликультур- ного</w:t>
      </w:r>
      <w:r>
        <w:rPr>
          <w:color w:val="231F20"/>
          <w:spacing w:val="-13"/>
        </w:rPr>
        <w:t> </w:t>
      </w:r>
      <w:r>
        <w:rPr>
          <w:color w:val="231F20"/>
        </w:rPr>
        <w:t>образования</w:t>
      </w:r>
      <w:r>
        <w:rPr>
          <w:color w:val="231F20"/>
          <w:spacing w:val="-12"/>
        </w:rPr>
        <w:t> </w:t>
      </w:r>
      <w:r>
        <w:rPr>
          <w:color w:val="231F20"/>
        </w:rPr>
        <w:t>можно</w:t>
      </w:r>
      <w:r>
        <w:rPr>
          <w:color w:val="231F20"/>
          <w:spacing w:val="-13"/>
        </w:rPr>
        <w:t> </w:t>
      </w:r>
      <w:r>
        <w:rPr>
          <w:color w:val="231F20"/>
        </w:rPr>
        <w:t>выделить</w:t>
      </w:r>
      <w:r>
        <w:rPr>
          <w:color w:val="231F20"/>
          <w:spacing w:val="-12"/>
        </w:rPr>
        <w:t> </w:t>
      </w:r>
      <w:r>
        <w:rPr>
          <w:color w:val="231F20"/>
        </w:rPr>
        <w:t>несколько</w:t>
      </w:r>
      <w:r>
        <w:rPr>
          <w:color w:val="231F20"/>
          <w:spacing w:val="-13"/>
        </w:rPr>
        <w:t> </w:t>
      </w:r>
      <w:r>
        <w:rPr>
          <w:color w:val="231F20"/>
        </w:rPr>
        <w:t>типичных</w:t>
      </w:r>
      <w:r>
        <w:rPr>
          <w:color w:val="231F20"/>
          <w:spacing w:val="-12"/>
        </w:rPr>
        <w:t> </w:t>
      </w:r>
      <w:r>
        <w:rPr>
          <w:color w:val="231F20"/>
        </w:rPr>
        <w:t>ситуаций,</w:t>
      </w:r>
      <w:r>
        <w:rPr>
          <w:color w:val="231F20"/>
          <w:spacing w:val="-13"/>
        </w:rPr>
        <w:t> </w:t>
      </w:r>
      <w:r>
        <w:rPr>
          <w:color w:val="231F20"/>
        </w:rPr>
        <w:t>которые</w:t>
      </w:r>
      <w:r>
        <w:rPr>
          <w:color w:val="231F20"/>
          <w:spacing w:val="-12"/>
        </w:rPr>
        <w:t> </w:t>
      </w:r>
      <w:r>
        <w:rPr>
          <w:color w:val="231F20"/>
        </w:rPr>
        <w:t>вызывают трудности у педагогов: (1) языковые трудности ученика, затрудняющие объяснение ему материала; (2) социально-психологические особенности взаимодействия – про- блемы</w:t>
      </w:r>
      <w:r>
        <w:rPr>
          <w:color w:val="231F20"/>
          <w:spacing w:val="39"/>
        </w:rPr>
        <w:t> </w:t>
      </w:r>
      <w:r>
        <w:rPr>
          <w:color w:val="231F20"/>
        </w:rPr>
        <w:t>дисциплины,</w:t>
      </w:r>
      <w:r>
        <w:rPr>
          <w:color w:val="231F20"/>
          <w:spacing w:val="42"/>
        </w:rPr>
        <w:t> </w:t>
      </w:r>
      <w:r>
        <w:rPr>
          <w:color w:val="231F20"/>
        </w:rPr>
        <w:t>соблюдения</w:t>
      </w:r>
      <w:r>
        <w:rPr>
          <w:color w:val="231F20"/>
          <w:spacing w:val="42"/>
        </w:rPr>
        <w:t> </w:t>
      </w:r>
      <w:r>
        <w:rPr>
          <w:color w:val="231F20"/>
        </w:rPr>
        <w:t>принятых</w:t>
      </w:r>
      <w:r>
        <w:rPr>
          <w:color w:val="231F20"/>
          <w:spacing w:val="41"/>
        </w:rPr>
        <w:t> </w:t>
      </w:r>
      <w:r>
        <w:rPr>
          <w:color w:val="231F20"/>
        </w:rPr>
        <w:t>в</w:t>
      </w:r>
      <w:r>
        <w:rPr>
          <w:color w:val="231F20"/>
          <w:spacing w:val="42"/>
        </w:rPr>
        <w:t> </w:t>
      </w:r>
      <w:r>
        <w:rPr>
          <w:color w:val="231F20"/>
        </w:rPr>
        <w:t>коллективе</w:t>
      </w:r>
      <w:r>
        <w:rPr>
          <w:color w:val="231F20"/>
          <w:spacing w:val="42"/>
        </w:rPr>
        <w:t> </w:t>
      </w:r>
      <w:r>
        <w:rPr>
          <w:color w:val="231F20"/>
        </w:rPr>
        <w:t>правил</w:t>
      </w:r>
      <w:r>
        <w:rPr>
          <w:color w:val="231F20"/>
          <w:spacing w:val="42"/>
        </w:rPr>
        <w:t> </w:t>
      </w:r>
      <w:r>
        <w:rPr>
          <w:color w:val="231F20"/>
          <w:spacing w:val="-2"/>
        </w:rPr>
        <w:t>взаимодействия;</w:t>
      </w:r>
    </w:p>
    <w:p>
      <w:pPr>
        <w:pStyle w:val="BodyText"/>
        <w:spacing w:before="1"/>
        <w:ind w:firstLine="0"/>
      </w:pPr>
      <w:r>
        <w:rPr>
          <w:color w:val="231F20"/>
        </w:rPr>
        <w:t>(3) специфические трудности в обучении, которые связаны с этапом культурной и социально-психологической адаптации ученика; (4) личностные трудности педаго- га</w:t>
      </w:r>
      <w:r>
        <w:rPr>
          <w:color w:val="231F20"/>
          <w:spacing w:val="-4"/>
        </w:rPr>
        <w:t> </w:t>
      </w:r>
      <w:r>
        <w:rPr>
          <w:color w:val="231F20"/>
        </w:rPr>
        <w:t>(например,</w:t>
      </w:r>
      <w:r>
        <w:rPr>
          <w:color w:val="231F20"/>
          <w:spacing w:val="-4"/>
        </w:rPr>
        <w:t> </w:t>
      </w:r>
      <w:r>
        <w:rPr>
          <w:color w:val="231F20"/>
        </w:rPr>
        <w:t>культурные</w:t>
      </w:r>
      <w:r>
        <w:rPr>
          <w:color w:val="231F20"/>
          <w:spacing w:val="-4"/>
        </w:rPr>
        <w:t> </w:t>
      </w:r>
      <w:r>
        <w:rPr>
          <w:color w:val="231F20"/>
        </w:rPr>
        <w:t>предубеждения),</w:t>
      </w:r>
      <w:r>
        <w:rPr>
          <w:color w:val="231F20"/>
          <w:spacing w:val="-4"/>
        </w:rPr>
        <w:t> </w:t>
      </w:r>
      <w:r>
        <w:rPr>
          <w:color w:val="231F20"/>
        </w:rPr>
        <w:t>его</w:t>
      </w:r>
      <w:r>
        <w:rPr>
          <w:color w:val="231F20"/>
          <w:spacing w:val="-4"/>
        </w:rPr>
        <w:t> </w:t>
      </w:r>
      <w:r>
        <w:rPr>
          <w:color w:val="231F20"/>
        </w:rPr>
        <w:t>отношение</w:t>
      </w:r>
      <w:r>
        <w:rPr>
          <w:color w:val="231F20"/>
          <w:spacing w:val="-4"/>
        </w:rPr>
        <w:t> </w:t>
      </w:r>
      <w:r>
        <w:rPr>
          <w:color w:val="231F20"/>
        </w:rPr>
        <w:t>к</w:t>
      </w:r>
      <w:r>
        <w:rPr>
          <w:color w:val="231F20"/>
          <w:spacing w:val="-4"/>
        </w:rPr>
        <w:t> </w:t>
      </w:r>
      <w:r>
        <w:rPr>
          <w:color w:val="231F20"/>
        </w:rPr>
        <w:t>культурным</w:t>
      </w:r>
      <w:r>
        <w:rPr>
          <w:color w:val="231F20"/>
          <w:spacing w:val="-4"/>
        </w:rPr>
        <w:t> </w:t>
      </w:r>
      <w:r>
        <w:rPr>
          <w:color w:val="231F20"/>
        </w:rPr>
        <w:t>различиям, которые затрудняют продуктивное педагогическое взаимодействие.</w:t>
      </w:r>
    </w:p>
    <w:p>
      <w:pPr>
        <w:pStyle w:val="BodyText"/>
      </w:pPr>
      <w:r>
        <w:rPr>
          <w:color w:val="231F20"/>
        </w:rPr>
        <w:t>Для</w:t>
      </w:r>
      <w:r>
        <w:rPr>
          <w:color w:val="231F20"/>
          <w:spacing w:val="-6"/>
        </w:rPr>
        <w:t> </w:t>
      </w:r>
      <w:r>
        <w:rPr>
          <w:color w:val="231F20"/>
        </w:rPr>
        <w:t>продуктивного</w:t>
      </w:r>
      <w:r>
        <w:rPr>
          <w:color w:val="231F20"/>
          <w:spacing w:val="-6"/>
        </w:rPr>
        <w:t> </w:t>
      </w:r>
      <w:r>
        <w:rPr>
          <w:color w:val="231F20"/>
        </w:rPr>
        <w:t>«фокуса»</w:t>
      </w:r>
      <w:r>
        <w:rPr>
          <w:color w:val="231F20"/>
          <w:spacing w:val="-6"/>
        </w:rPr>
        <w:t> </w:t>
      </w:r>
      <w:r>
        <w:rPr>
          <w:color w:val="231F20"/>
        </w:rPr>
        <w:t>работы</w:t>
      </w:r>
      <w:r>
        <w:rPr>
          <w:color w:val="231F20"/>
          <w:spacing w:val="-6"/>
        </w:rPr>
        <w:t> </w:t>
      </w:r>
      <w:r>
        <w:rPr>
          <w:color w:val="231F20"/>
        </w:rPr>
        <w:t>руководителю</w:t>
      </w:r>
      <w:r>
        <w:rPr>
          <w:color w:val="231F20"/>
          <w:spacing w:val="-6"/>
        </w:rPr>
        <w:t> </w:t>
      </w:r>
      <w:r>
        <w:rPr>
          <w:color w:val="231F20"/>
        </w:rPr>
        <w:t>необходимо</w:t>
      </w:r>
      <w:r>
        <w:rPr>
          <w:color w:val="231F20"/>
          <w:spacing w:val="-6"/>
        </w:rPr>
        <w:t> </w:t>
      </w:r>
      <w:r>
        <w:rPr>
          <w:color w:val="231F20"/>
        </w:rPr>
        <w:t>выбрать</w:t>
      </w:r>
      <w:r>
        <w:rPr>
          <w:color w:val="231F20"/>
          <w:spacing w:val="-6"/>
        </w:rPr>
        <w:t> </w:t>
      </w:r>
      <w:r>
        <w:rPr>
          <w:color w:val="231F20"/>
        </w:rPr>
        <w:t>ограни- ченную</w:t>
      </w:r>
      <w:r>
        <w:rPr>
          <w:color w:val="231F20"/>
          <w:spacing w:val="-6"/>
        </w:rPr>
        <w:t> </w:t>
      </w:r>
      <w:r>
        <w:rPr>
          <w:color w:val="231F20"/>
        </w:rPr>
        <w:t>задачу</w:t>
      </w:r>
      <w:r>
        <w:rPr>
          <w:color w:val="231F20"/>
          <w:spacing w:val="-6"/>
        </w:rPr>
        <w:t> </w:t>
      </w:r>
      <w:r>
        <w:rPr>
          <w:color w:val="231F20"/>
        </w:rPr>
        <w:t>и</w:t>
      </w:r>
      <w:r>
        <w:rPr>
          <w:color w:val="231F20"/>
          <w:spacing w:val="-6"/>
        </w:rPr>
        <w:t> </w:t>
      </w:r>
      <w:r>
        <w:rPr>
          <w:color w:val="231F20"/>
        </w:rPr>
        <w:t>обсудить,</w:t>
      </w:r>
      <w:r>
        <w:rPr>
          <w:color w:val="231F20"/>
          <w:spacing w:val="-6"/>
        </w:rPr>
        <w:t> </w:t>
      </w:r>
      <w:r>
        <w:rPr>
          <w:color w:val="231F20"/>
        </w:rPr>
        <w:t>через</w:t>
      </w:r>
      <w:r>
        <w:rPr>
          <w:color w:val="231F20"/>
          <w:spacing w:val="-6"/>
        </w:rPr>
        <w:t> </w:t>
      </w:r>
      <w:r>
        <w:rPr>
          <w:color w:val="231F20"/>
        </w:rPr>
        <w:t>какие</w:t>
      </w:r>
      <w:r>
        <w:rPr>
          <w:color w:val="231F20"/>
          <w:spacing w:val="-6"/>
        </w:rPr>
        <w:t> </w:t>
      </w:r>
      <w:r>
        <w:rPr>
          <w:color w:val="231F20"/>
        </w:rPr>
        <w:t>параметры</w:t>
      </w:r>
      <w:r>
        <w:rPr>
          <w:color w:val="231F20"/>
          <w:spacing w:val="-6"/>
        </w:rPr>
        <w:t> </w:t>
      </w:r>
      <w:r>
        <w:rPr>
          <w:color w:val="231F20"/>
        </w:rPr>
        <w:t>можно</w:t>
      </w:r>
      <w:r>
        <w:rPr>
          <w:color w:val="231F20"/>
          <w:spacing w:val="-6"/>
        </w:rPr>
        <w:t> </w:t>
      </w:r>
      <w:r>
        <w:rPr>
          <w:color w:val="231F20"/>
        </w:rPr>
        <w:t>получить</w:t>
      </w:r>
      <w:r>
        <w:rPr>
          <w:color w:val="231F20"/>
          <w:spacing w:val="-6"/>
        </w:rPr>
        <w:t> </w:t>
      </w:r>
      <w:r>
        <w:rPr>
          <w:color w:val="231F20"/>
        </w:rPr>
        <w:t>наиболее</w:t>
      </w:r>
      <w:r>
        <w:rPr>
          <w:color w:val="231F20"/>
          <w:spacing w:val="-6"/>
        </w:rPr>
        <w:t> </w:t>
      </w:r>
      <w:r>
        <w:rPr>
          <w:color w:val="231F20"/>
        </w:rPr>
        <w:t>точный результат. Здесь может быть нужна предварительная теоретическая концептуализа- ция.</w:t>
      </w:r>
      <w:r>
        <w:rPr>
          <w:color w:val="231F20"/>
          <w:spacing w:val="-9"/>
        </w:rPr>
        <w:t> </w:t>
      </w:r>
      <w:r>
        <w:rPr>
          <w:color w:val="231F20"/>
        </w:rPr>
        <w:t>Руководитель</w:t>
      </w:r>
      <w:r>
        <w:rPr>
          <w:color w:val="231F20"/>
          <w:spacing w:val="-9"/>
        </w:rPr>
        <w:t> </w:t>
      </w:r>
      <w:r>
        <w:rPr>
          <w:color w:val="231F20"/>
        </w:rPr>
        <w:t>выделяет</w:t>
      </w:r>
      <w:r>
        <w:rPr>
          <w:color w:val="231F20"/>
          <w:spacing w:val="-9"/>
        </w:rPr>
        <w:t> </w:t>
      </w:r>
      <w:r>
        <w:rPr>
          <w:color w:val="231F20"/>
        </w:rPr>
        <w:t>трудность</w:t>
      </w:r>
      <w:r>
        <w:rPr>
          <w:color w:val="231F20"/>
          <w:spacing w:val="-9"/>
        </w:rPr>
        <w:t> </w:t>
      </w:r>
      <w:r>
        <w:rPr>
          <w:color w:val="231F20"/>
        </w:rPr>
        <w:t>и</w:t>
      </w:r>
      <w:r>
        <w:rPr>
          <w:color w:val="231F20"/>
          <w:spacing w:val="-9"/>
        </w:rPr>
        <w:t> </w:t>
      </w:r>
      <w:r>
        <w:rPr>
          <w:color w:val="231F20"/>
        </w:rPr>
        <w:t>основной</w:t>
      </w:r>
      <w:r>
        <w:rPr>
          <w:color w:val="231F20"/>
          <w:spacing w:val="-9"/>
        </w:rPr>
        <w:t> </w:t>
      </w:r>
      <w:r>
        <w:rPr>
          <w:color w:val="231F20"/>
        </w:rPr>
        <w:t>запрос,</w:t>
      </w:r>
      <w:r>
        <w:rPr>
          <w:color w:val="231F20"/>
          <w:spacing w:val="-9"/>
        </w:rPr>
        <w:t> </w:t>
      </w:r>
      <w:r>
        <w:rPr>
          <w:color w:val="231F20"/>
        </w:rPr>
        <w:t>ориентируясь</w:t>
      </w:r>
      <w:r>
        <w:rPr>
          <w:color w:val="231F20"/>
          <w:spacing w:val="-9"/>
        </w:rPr>
        <w:t> </w:t>
      </w:r>
      <w:r>
        <w:rPr>
          <w:color w:val="231F20"/>
        </w:rPr>
        <w:t>на</w:t>
      </w:r>
      <w:r>
        <w:rPr>
          <w:color w:val="231F20"/>
          <w:spacing w:val="-9"/>
        </w:rPr>
        <w:t> </w:t>
      </w:r>
      <w:r>
        <w:rPr>
          <w:color w:val="231F20"/>
        </w:rPr>
        <w:t>выделен- ные типы трудностей, и фокусирует внимание участников на тех аспектах трудного случая, которые могут быть важны для последующего обсуждения.</w:t>
      </w:r>
    </w:p>
    <w:p>
      <w:pPr>
        <w:pStyle w:val="ListParagraph"/>
        <w:numPr>
          <w:ilvl w:val="0"/>
          <w:numId w:val="250"/>
        </w:numPr>
        <w:tabs>
          <w:tab w:pos="425" w:val="left" w:leader="none"/>
        </w:tabs>
        <w:spacing w:line="240" w:lineRule="auto" w:before="0" w:after="0"/>
        <w:ind w:left="425" w:right="139" w:hanging="284"/>
        <w:jc w:val="both"/>
        <w:rPr>
          <w:i/>
          <w:sz w:val="20"/>
        </w:rPr>
      </w:pPr>
      <w:r>
        <w:rPr>
          <w:i/>
          <w:color w:val="231F20"/>
          <w:sz w:val="20"/>
        </w:rPr>
        <w:t>Возможные аспекты при обсуждении трудных случаев, связанных с языковыми </w:t>
      </w:r>
      <w:r>
        <w:rPr>
          <w:i/>
          <w:color w:val="231F20"/>
          <w:spacing w:val="-2"/>
          <w:sz w:val="20"/>
        </w:rPr>
        <w:t>трудностями:</w:t>
      </w:r>
    </w:p>
    <w:p>
      <w:pPr>
        <w:pStyle w:val="ListParagraph"/>
        <w:numPr>
          <w:ilvl w:val="1"/>
          <w:numId w:val="250"/>
        </w:numPr>
        <w:tabs>
          <w:tab w:pos="708" w:val="left" w:leader="none"/>
        </w:tabs>
        <w:spacing w:line="240" w:lineRule="auto" w:before="0" w:after="0"/>
        <w:ind w:left="708" w:right="0" w:hanging="283"/>
        <w:jc w:val="both"/>
        <w:rPr>
          <w:sz w:val="20"/>
        </w:rPr>
      </w:pPr>
      <w:r>
        <w:rPr>
          <w:color w:val="231F20"/>
          <w:sz w:val="20"/>
        </w:rPr>
        <w:t>особенности</w:t>
      </w:r>
      <w:r>
        <w:rPr>
          <w:color w:val="231F20"/>
          <w:spacing w:val="-6"/>
          <w:sz w:val="20"/>
        </w:rPr>
        <w:t> </w:t>
      </w:r>
      <w:r>
        <w:rPr>
          <w:color w:val="231F20"/>
          <w:sz w:val="20"/>
        </w:rPr>
        <w:t>дидактической</w:t>
      </w:r>
      <w:r>
        <w:rPr>
          <w:color w:val="231F20"/>
          <w:spacing w:val="-4"/>
          <w:sz w:val="20"/>
        </w:rPr>
        <w:t> </w:t>
      </w:r>
      <w:r>
        <w:rPr>
          <w:color w:val="231F20"/>
          <w:spacing w:val="-2"/>
          <w:sz w:val="20"/>
        </w:rPr>
        <w:t>задачи;</w:t>
      </w:r>
    </w:p>
    <w:p>
      <w:pPr>
        <w:pStyle w:val="ListParagraph"/>
        <w:numPr>
          <w:ilvl w:val="1"/>
          <w:numId w:val="250"/>
        </w:numPr>
        <w:tabs>
          <w:tab w:pos="708" w:val="left" w:leader="none"/>
        </w:tabs>
        <w:spacing w:line="240" w:lineRule="auto" w:before="0" w:after="0"/>
        <w:ind w:left="708" w:right="139" w:hanging="284"/>
        <w:jc w:val="both"/>
        <w:rPr>
          <w:sz w:val="20"/>
        </w:rPr>
      </w:pPr>
      <w:r>
        <w:rPr>
          <w:color w:val="231F20"/>
          <w:sz w:val="20"/>
        </w:rPr>
        <w:t>особенности</w:t>
      </w:r>
      <w:r>
        <w:rPr>
          <w:color w:val="231F20"/>
          <w:spacing w:val="-13"/>
          <w:sz w:val="20"/>
        </w:rPr>
        <w:t> </w:t>
      </w:r>
      <w:r>
        <w:rPr>
          <w:color w:val="231F20"/>
          <w:sz w:val="20"/>
        </w:rPr>
        <w:t>языковых</w:t>
      </w:r>
      <w:r>
        <w:rPr>
          <w:color w:val="231F20"/>
          <w:spacing w:val="-12"/>
          <w:sz w:val="20"/>
        </w:rPr>
        <w:t> </w:t>
      </w:r>
      <w:r>
        <w:rPr>
          <w:color w:val="231F20"/>
          <w:sz w:val="20"/>
        </w:rPr>
        <w:t>и</w:t>
      </w:r>
      <w:r>
        <w:rPr>
          <w:color w:val="231F20"/>
          <w:spacing w:val="-13"/>
          <w:sz w:val="20"/>
        </w:rPr>
        <w:t> </w:t>
      </w:r>
      <w:r>
        <w:rPr>
          <w:color w:val="231F20"/>
          <w:sz w:val="20"/>
        </w:rPr>
        <w:t>предметных</w:t>
      </w:r>
      <w:r>
        <w:rPr>
          <w:color w:val="231F20"/>
          <w:spacing w:val="-12"/>
          <w:sz w:val="20"/>
        </w:rPr>
        <w:t> </w:t>
      </w:r>
      <w:r>
        <w:rPr>
          <w:color w:val="231F20"/>
          <w:sz w:val="20"/>
        </w:rPr>
        <w:t>знаков,</w:t>
      </w:r>
      <w:r>
        <w:rPr>
          <w:color w:val="231F20"/>
          <w:spacing w:val="-13"/>
          <w:sz w:val="20"/>
        </w:rPr>
        <w:t> </w:t>
      </w:r>
      <w:r>
        <w:rPr>
          <w:color w:val="231F20"/>
          <w:sz w:val="20"/>
        </w:rPr>
        <w:t>используемых</w:t>
      </w:r>
      <w:r>
        <w:rPr>
          <w:color w:val="231F20"/>
          <w:spacing w:val="-12"/>
          <w:sz w:val="20"/>
        </w:rPr>
        <w:t> </w:t>
      </w:r>
      <w:r>
        <w:rPr>
          <w:color w:val="231F20"/>
          <w:sz w:val="20"/>
        </w:rPr>
        <w:t>в</w:t>
      </w:r>
      <w:r>
        <w:rPr>
          <w:color w:val="231F20"/>
          <w:spacing w:val="-13"/>
          <w:sz w:val="20"/>
        </w:rPr>
        <w:t> </w:t>
      </w:r>
      <w:r>
        <w:rPr>
          <w:color w:val="231F20"/>
          <w:sz w:val="20"/>
        </w:rPr>
        <w:t>алгоритме</w:t>
      </w:r>
      <w:r>
        <w:rPr>
          <w:color w:val="231F20"/>
          <w:spacing w:val="-12"/>
          <w:sz w:val="20"/>
        </w:rPr>
        <w:t> </w:t>
      </w:r>
      <w:r>
        <w:rPr>
          <w:color w:val="231F20"/>
          <w:sz w:val="20"/>
        </w:rPr>
        <w:t>реше- ния предметных и учебных задач на уроке, специальные условия, необходи- мые ученику, не владеющему языком обучения;</w:t>
      </w:r>
    </w:p>
    <w:p>
      <w:pPr>
        <w:pStyle w:val="ListParagraph"/>
        <w:numPr>
          <w:ilvl w:val="1"/>
          <w:numId w:val="250"/>
        </w:numPr>
        <w:tabs>
          <w:tab w:pos="708" w:val="left" w:leader="none"/>
        </w:tabs>
        <w:spacing w:line="240" w:lineRule="auto" w:before="0" w:after="0"/>
        <w:ind w:left="708" w:right="139" w:hanging="284"/>
        <w:jc w:val="both"/>
        <w:rPr>
          <w:sz w:val="20"/>
        </w:rPr>
      </w:pPr>
      <w:r>
        <w:rPr>
          <w:color w:val="231F20"/>
          <w:sz w:val="20"/>
        </w:rPr>
        <w:t>средства и условия индивидуализации обучения – специальные средства на- глядности, компенсирующие задания, учитывающие преемственность про- грамм обучения и пр.;</w:t>
      </w:r>
    </w:p>
    <w:p>
      <w:pPr>
        <w:pStyle w:val="ListParagraph"/>
        <w:numPr>
          <w:ilvl w:val="1"/>
          <w:numId w:val="250"/>
        </w:numPr>
        <w:tabs>
          <w:tab w:pos="708" w:val="left" w:leader="none"/>
        </w:tabs>
        <w:spacing w:line="240" w:lineRule="auto" w:before="0" w:after="0"/>
        <w:ind w:left="708" w:right="139" w:hanging="284"/>
        <w:jc w:val="both"/>
        <w:rPr>
          <w:sz w:val="20"/>
        </w:rPr>
      </w:pPr>
      <w:r>
        <w:rPr>
          <w:color w:val="231F20"/>
          <w:sz w:val="20"/>
        </w:rPr>
        <w:t>возможности</w:t>
      </w:r>
      <w:r>
        <w:rPr>
          <w:color w:val="231F20"/>
          <w:spacing w:val="-10"/>
          <w:sz w:val="20"/>
        </w:rPr>
        <w:t> </w:t>
      </w:r>
      <w:r>
        <w:rPr>
          <w:color w:val="231F20"/>
          <w:sz w:val="20"/>
        </w:rPr>
        <w:t>индивидуального</w:t>
      </w:r>
      <w:r>
        <w:rPr>
          <w:color w:val="231F20"/>
          <w:spacing w:val="-10"/>
          <w:sz w:val="20"/>
        </w:rPr>
        <w:t> </w:t>
      </w:r>
      <w:r>
        <w:rPr>
          <w:color w:val="231F20"/>
          <w:sz w:val="20"/>
        </w:rPr>
        <w:t>подхода:</w:t>
      </w:r>
      <w:r>
        <w:rPr>
          <w:color w:val="231F20"/>
          <w:spacing w:val="-10"/>
          <w:sz w:val="20"/>
        </w:rPr>
        <w:t> </w:t>
      </w:r>
      <w:r>
        <w:rPr>
          <w:color w:val="231F20"/>
          <w:sz w:val="20"/>
        </w:rPr>
        <w:t>оказание</w:t>
      </w:r>
      <w:r>
        <w:rPr>
          <w:color w:val="231F20"/>
          <w:spacing w:val="-10"/>
          <w:sz w:val="20"/>
        </w:rPr>
        <w:t> </w:t>
      </w:r>
      <w:r>
        <w:rPr>
          <w:color w:val="231F20"/>
          <w:sz w:val="20"/>
        </w:rPr>
        <w:t>помощи</w:t>
      </w:r>
      <w:r>
        <w:rPr>
          <w:color w:val="231F20"/>
          <w:spacing w:val="-10"/>
          <w:sz w:val="20"/>
        </w:rPr>
        <w:t> </w:t>
      </w:r>
      <w:r>
        <w:rPr>
          <w:color w:val="231F20"/>
          <w:sz w:val="20"/>
        </w:rPr>
        <w:t>в</w:t>
      </w:r>
      <w:r>
        <w:rPr>
          <w:color w:val="231F20"/>
          <w:spacing w:val="-10"/>
          <w:sz w:val="20"/>
        </w:rPr>
        <w:t> </w:t>
      </w:r>
      <w:r>
        <w:rPr>
          <w:color w:val="231F20"/>
          <w:sz w:val="20"/>
        </w:rPr>
        <w:t>освоении</w:t>
      </w:r>
      <w:r>
        <w:rPr>
          <w:color w:val="231F20"/>
          <w:spacing w:val="-10"/>
          <w:sz w:val="20"/>
        </w:rPr>
        <w:t> </w:t>
      </w:r>
      <w:r>
        <w:rPr>
          <w:color w:val="231F20"/>
          <w:sz w:val="20"/>
        </w:rPr>
        <w:t>учебно- го содержания как со стороны учителя, так и со стороны одноклассников;</w:t>
      </w:r>
    </w:p>
    <w:p>
      <w:pPr>
        <w:pStyle w:val="ListParagraph"/>
        <w:numPr>
          <w:ilvl w:val="1"/>
          <w:numId w:val="250"/>
        </w:numPr>
        <w:tabs>
          <w:tab w:pos="708" w:val="left" w:leader="none"/>
        </w:tabs>
        <w:spacing w:line="235" w:lineRule="auto" w:before="4" w:after="0"/>
        <w:ind w:left="708" w:right="139" w:hanging="284"/>
        <w:jc w:val="both"/>
        <w:rPr>
          <w:sz w:val="20"/>
        </w:rPr>
      </w:pPr>
      <w:r>
        <w:rPr>
          <w:color w:val="231F20"/>
          <w:sz w:val="20"/>
        </w:rPr>
        <w:t>культурные особенности отношения ученика к разным ситуациям взаимодей- </w:t>
      </w:r>
      <w:r>
        <w:rPr>
          <w:color w:val="231F20"/>
          <w:spacing w:val="-2"/>
          <w:sz w:val="20"/>
        </w:rPr>
        <w:t>ствия.</w:t>
      </w:r>
    </w:p>
    <w:p>
      <w:pPr>
        <w:pStyle w:val="ListParagraph"/>
        <w:spacing w:after="0" w:line="235" w:lineRule="auto"/>
        <w:jc w:val="both"/>
        <w:rPr>
          <w:sz w:val="20"/>
        </w:rPr>
        <w:sectPr>
          <w:pgSz w:w="8400" w:h="11910"/>
          <w:pgMar w:header="0" w:footer="529" w:top="400" w:bottom="740" w:left="425" w:right="425"/>
        </w:sectPr>
      </w:pPr>
    </w:p>
    <w:p>
      <w:pPr>
        <w:spacing w:before="80"/>
        <w:ind w:left="141" w:right="0" w:firstLine="0"/>
        <w:jc w:val="left"/>
        <w:rPr>
          <w:rFonts w:ascii="Georgia" w:hAnsi="Georgia"/>
          <w:sz w:val="18"/>
        </w:rPr>
      </w:pPr>
      <w:r>
        <w:rPr>
          <w:rFonts w:ascii="Georgia" w:hAnsi="Georgia"/>
          <w:color w:val="231F20"/>
          <w:sz w:val="18"/>
        </w:rPr>
        <w:t>2.2.</w:t>
      </w:r>
      <w:r>
        <w:rPr>
          <w:rFonts w:ascii="Georgia" w:hAnsi="Georgia"/>
          <w:color w:val="231F20"/>
          <w:spacing w:val="-3"/>
          <w:sz w:val="18"/>
        </w:rPr>
        <w:t> </w:t>
      </w:r>
      <w:r>
        <w:rPr>
          <w:rFonts w:ascii="Georgia" w:hAnsi="Georgia"/>
          <w:color w:val="231F20"/>
          <w:sz w:val="18"/>
        </w:rPr>
        <w:t>Алгоритм</w:t>
      </w:r>
      <w:r>
        <w:rPr>
          <w:rFonts w:ascii="Georgia" w:hAnsi="Georgia"/>
          <w:color w:val="231F20"/>
          <w:spacing w:val="-3"/>
          <w:sz w:val="18"/>
        </w:rPr>
        <w:t> </w:t>
      </w:r>
      <w:r>
        <w:rPr>
          <w:rFonts w:ascii="Georgia" w:hAnsi="Georgia"/>
          <w:color w:val="231F20"/>
          <w:sz w:val="18"/>
        </w:rPr>
        <w:t>разбора</w:t>
      </w:r>
      <w:r>
        <w:rPr>
          <w:rFonts w:ascii="Georgia" w:hAnsi="Georgia"/>
          <w:color w:val="231F20"/>
          <w:spacing w:val="-3"/>
          <w:sz w:val="18"/>
        </w:rPr>
        <w:t> </w:t>
      </w:r>
      <w:r>
        <w:rPr>
          <w:rFonts w:ascii="Georgia" w:hAnsi="Georgia"/>
          <w:color w:val="231F20"/>
          <w:sz w:val="18"/>
        </w:rPr>
        <w:t>педагогического</w:t>
      </w:r>
      <w:r>
        <w:rPr>
          <w:rFonts w:ascii="Georgia" w:hAnsi="Georgia"/>
          <w:color w:val="231F20"/>
          <w:spacing w:val="-3"/>
          <w:sz w:val="18"/>
        </w:rPr>
        <w:t> </w:t>
      </w:r>
      <w:r>
        <w:rPr>
          <w:rFonts w:ascii="Georgia" w:hAnsi="Georgia"/>
          <w:color w:val="231F20"/>
          <w:sz w:val="18"/>
        </w:rPr>
        <w:t>случая,</w:t>
      </w:r>
      <w:r>
        <w:rPr>
          <w:rFonts w:ascii="Georgia" w:hAnsi="Georgia"/>
          <w:color w:val="231F20"/>
          <w:spacing w:val="-3"/>
          <w:sz w:val="18"/>
        </w:rPr>
        <w:t> </w:t>
      </w:r>
      <w:r>
        <w:rPr>
          <w:rFonts w:ascii="Georgia" w:hAnsi="Georgia"/>
          <w:color w:val="231F20"/>
          <w:sz w:val="18"/>
        </w:rPr>
        <w:t>связанного</w:t>
      </w:r>
      <w:r>
        <w:rPr>
          <w:rFonts w:ascii="Georgia" w:hAnsi="Georgia"/>
          <w:color w:val="231F20"/>
          <w:spacing w:val="-3"/>
          <w:sz w:val="18"/>
        </w:rPr>
        <w:t> </w:t>
      </w:r>
      <w:r>
        <w:rPr>
          <w:rFonts w:ascii="Georgia" w:hAnsi="Georgia"/>
          <w:color w:val="231F20"/>
          <w:sz w:val="18"/>
        </w:rPr>
        <w:t>с</w:t>
      </w:r>
      <w:r>
        <w:rPr>
          <w:rFonts w:ascii="Georgia" w:hAnsi="Georgia"/>
          <w:color w:val="231F20"/>
          <w:spacing w:val="-3"/>
          <w:sz w:val="18"/>
        </w:rPr>
        <w:t> </w:t>
      </w:r>
      <w:r>
        <w:rPr>
          <w:rFonts w:ascii="Georgia" w:hAnsi="Georgia"/>
          <w:color w:val="231F20"/>
          <w:sz w:val="18"/>
        </w:rPr>
        <w:t>адаптацией</w:t>
      </w:r>
      <w:r>
        <w:rPr>
          <w:rFonts w:ascii="Georgia" w:hAnsi="Georgia"/>
          <w:color w:val="231F20"/>
          <w:spacing w:val="-2"/>
          <w:sz w:val="18"/>
        </w:rPr>
        <w:t> детей</w:t>
      </w:r>
    </w:p>
    <w:p>
      <w:pPr>
        <w:pStyle w:val="ListParagraph"/>
        <w:numPr>
          <w:ilvl w:val="0"/>
          <w:numId w:val="250"/>
        </w:numPr>
        <w:tabs>
          <w:tab w:pos="387" w:val="left" w:leader="none"/>
          <w:tab w:pos="425" w:val="left" w:leader="none"/>
        </w:tabs>
        <w:spacing w:line="235" w:lineRule="auto" w:before="116" w:after="0"/>
        <w:ind w:left="425" w:right="139" w:hanging="284"/>
        <w:jc w:val="both"/>
        <w:rPr>
          <w:i/>
          <w:sz w:val="20"/>
        </w:rPr>
      </w:pPr>
      <w:r>
        <w:rPr>
          <w:i/>
          <w:color w:val="231F20"/>
          <w:sz w:val="20"/>
        </w:rPr>
        <w:t>Возможные аспекты при обсуждении трудных случаев, связанных с социаль-</w:t>
      </w:r>
      <w:r>
        <w:rPr>
          <w:i/>
          <w:color w:val="231F20"/>
          <w:spacing w:val="80"/>
          <w:sz w:val="20"/>
        </w:rPr>
        <w:t> </w:t>
      </w:r>
      <w:r>
        <w:rPr>
          <w:i/>
          <w:color w:val="231F20"/>
          <w:sz w:val="20"/>
        </w:rPr>
        <w:t>но-психологическими особенностями взаимодействия – проблемы дисциплины, соблюдения принятых в коллективе правил взаимодействия:</w:t>
      </w:r>
    </w:p>
    <w:p>
      <w:pPr>
        <w:pStyle w:val="ListParagraph"/>
        <w:numPr>
          <w:ilvl w:val="1"/>
          <w:numId w:val="250"/>
        </w:numPr>
        <w:tabs>
          <w:tab w:pos="708" w:val="left" w:leader="none"/>
        </w:tabs>
        <w:spacing w:line="235" w:lineRule="auto" w:before="2" w:after="0"/>
        <w:ind w:left="708" w:right="138" w:hanging="284"/>
        <w:jc w:val="both"/>
        <w:rPr>
          <w:sz w:val="20"/>
        </w:rPr>
      </w:pPr>
      <w:r>
        <w:rPr>
          <w:color w:val="231F20"/>
          <w:sz w:val="20"/>
        </w:rPr>
        <w:t>мотив нарушения дисциплины – избегание неудачи, привлечение внимания; стремление</w:t>
      </w:r>
      <w:r>
        <w:rPr>
          <w:color w:val="231F20"/>
          <w:spacing w:val="-13"/>
          <w:sz w:val="20"/>
        </w:rPr>
        <w:t> </w:t>
      </w:r>
      <w:r>
        <w:rPr>
          <w:color w:val="231F20"/>
          <w:sz w:val="20"/>
        </w:rPr>
        <w:t>получить</w:t>
      </w:r>
      <w:r>
        <w:rPr>
          <w:color w:val="231F20"/>
          <w:spacing w:val="-12"/>
          <w:sz w:val="20"/>
        </w:rPr>
        <w:t> </w:t>
      </w:r>
      <w:r>
        <w:rPr>
          <w:color w:val="231F20"/>
          <w:sz w:val="20"/>
        </w:rPr>
        <w:t>власть,</w:t>
      </w:r>
      <w:r>
        <w:rPr>
          <w:color w:val="231F20"/>
          <w:spacing w:val="-13"/>
          <w:sz w:val="20"/>
        </w:rPr>
        <w:t> </w:t>
      </w:r>
      <w:r>
        <w:rPr>
          <w:color w:val="231F20"/>
          <w:sz w:val="20"/>
        </w:rPr>
        <w:t>контролировать</w:t>
      </w:r>
      <w:r>
        <w:rPr>
          <w:color w:val="231F20"/>
          <w:spacing w:val="-12"/>
          <w:sz w:val="20"/>
        </w:rPr>
        <w:t> </w:t>
      </w:r>
      <w:r>
        <w:rPr>
          <w:color w:val="231F20"/>
          <w:sz w:val="20"/>
        </w:rPr>
        <w:t>ситуацию</w:t>
      </w:r>
      <w:r>
        <w:rPr>
          <w:color w:val="231F20"/>
          <w:spacing w:val="-13"/>
          <w:sz w:val="20"/>
        </w:rPr>
        <w:t> </w:t>
      </w:r>
      <w:r>
        <w:rPr>
          <w:color w:val="231F20"/>
          <w:sz w:val="20"/>
        </w:rPr>
        <w:t>взаимодействия</w:t>
      </w:r>
      <w:r>
        <w:rPr>
          <w:color w:val="231F20"/>
          <w:spacing w:val="-12"/>
          <w:sz w:val="20"/>
        </w:rPr>
        <w:t> </w:t>
      </w:r>
      <w:r>
        <w:rPr>
          <w:color w:val="231F20"/>
          <w:sz w:val="20"/>
        </w:rPr>
        <w:t>с</w:t>
      </w:r>
      <w:r>
        <w:rPr>
          <w:color w:val="231F20"/>
          <w:spacing w:val="-13"/>
          <w:sz w:val="20"/>
        </w:rPr>
        <w:t> </w:t>
      </w:r>
      <w:r>
        <w:rPr>
          <w:color w:val="231F20"/>
          <w:sz w:val="20"/>
        </w:rPr>
        <w:t>учи- телем;</w:t>
      </w:r>
      <w:r>
        <w:rPr>
          <w:color w:val="231F20"/>
          <w:spacing w:val="-2"/>
          <w:sz w:val="20"/>
        </w:rPr>
        <w:t> </w:t>
      </w:r>
      <w:r>
        <w:rPr>
          <w:color w:val="231F20"/>
          <w:sz w:val="20"/>
        </w:rPr>
        <w:t>месть</w:t>
      </w:r>
      <w:r>
        <w:rPr>
          <w:color w:val="231F20"/>
          <w:spacing w:val="-2"/>
          <w:sz w:val="20"/>
        </w:rPr>
        <w:t> </w:t>
      </w:r>
      <w:r>
        <w:rPr>
          <w:color w:val="231F20"/>
          <w:sz w:val="20"/>
        </w:rPr>
        <w:t>взрослому</w:t>
      </w:r>
      <w:r>
        <w:rPr>
          <w:color w:val="231F20"/>
          <w:spacing w:val="-2"/>
          <w:sz w:val="20"/>
        </w:rPr>
        <w:t> </w:t>
      </w:r>
      <w:r>
        <w:rPr>
          <w:color w:val="231F20"/>
          <w:sz w:val="20"/>
        </w:rPr>
        <w:t>–</w:t>
      </w:r>
      <w:r>
        <w:rPr>
          <w:color w:val="231F20"/>
          <w:spacing w:val="-2"/>
          <w:sz w:val="20"/>
        </w:rPr>
        <w:t> </w:t>
      </w:r>
      <w:r>
        <w:rPr>
          <w:color w:val="231F20"/>
          <w:sz w:val="20"/>
        </w:rPr>
        <w:t>перенос</w:t>
      </w:r>
      <w:r>
        <w:rPr>
          <w:color w:val="231F20"/>
          <w:spacing w:val="-2"/>
          <w:sz w:val="20"/>
        </w:rPr>
        <w:t> </w:t>
      </w:r>
      <w:r>
        <w:rPr>
          <w:color w:val="231F20"/>
          <w:sz w:val="20"/>
        </w:rPr>
        <w:t>чувства</w:t>
      </w:r>
      <w:r>
        <w:rPr>
          <w:color w:val="231F20"/>
          <w:spacing w:val="-2"/>
          <w:sz w:val="20"/>
        </w:rPr>
        <w:t> </w:t>
      </w:r>
      <w:r>
        <w:rPr>
          <w:color w:val="231F20"/>
          <w:sz w:val="20"/>
        </w:rPr>
        <w:t>обиды</w:t>
      </w:r>
      <w:r>
        <w:rPr>
          <w:color w:val="231F20"/>
          <w:spacing w:val="-2"/>
          <w:sz w:val="20"/>
        </w:rPr>
        <w:t> </w:t>
      </w:r>
      <w:r>
        <w:rPr>
          <w:color w:val="231F20"/>
          <w:sz w:val="20"/>
        </w:rPr>
        <w:t>в</w:t>
      </w:r>
      <w:r>
        <w:rPr>
          <w:color w:val="231F20"/>
          <w:spacing w:val="-2"/>
          <w:sz w:val="20"/>
        </w:rPr>
        <w:t> </w:t>
      </w:r>
      <w:r>
        <w:rPr>
          <w:color w:val="231F20"/>
          <w:sz w:val="20"/>
        </w:rPr>
        <w:t>психологически</w:t>
      </w:r>
      <w:r>
        <w:rPr>
          <w:color w:val="231F20"/>
          <w:spacing w:val="-2"/>
          <w:sz w:val="20"/>
        </w:rPr>
        <w:t> </w:t>
      </w:r>
      <w:r>
        <w:rPr>
          <w:color w:val="231F20"/>
          <w:sz w:val="20"/>
        </w:rPr>
        <w:t>более</w:t>
      </w:r>
      <w:r>
        <w:rPr>
          <w:color w:val="231F20"/>
          <w:spacing w:val="-2"/>
          <w:sz w:val="20"/>
        </w:rPr>
        <w:t> </w:t>
      </w:r>
      <w:r>
        <w:rPr>
          <w:color w:val="231F20"/>
          <w:sz w:val="20"/>
        </w:rPr>
        <w:t>без- опасную</w:t>
      </w:r>
      <w:r>
        <w:rPr>
          <w:color w:val="231F20"/>
          <w:spacing w:val="-11"/>
          <w:sz w:val="20"/>
        </w:rPr>
        <w:t> </w:t>
      </w:r>
      <w:r>
        <w:rPr>
          <w:color w:val="231F20"/>
          <w:sz w:val="20"/>
        </w:rPr>
        <w:t>ситуацию,</w:t>
      </w:r>
      <w:r>
        <w:rPr>
          <w:color w:val="231F20"/>
          <w:spacing w:val="-11"/>
          <w:sz w:val="20"/>
        </w:rPr>
        <w:t> </w:t>
      </w:r>
      <w:r>
        <w:rPr>
          <w:color w:val="231F20"/>
          <w:sz w:val="20"/>
        </w:rPr>
        <w:t>месть</w:t>
      </w:r>
      <w:r>
        <w:rPr>
          <w:color w:val="231F20"/>
          <w:spacing w:val="-11"/>
          <w:sz w:val="20"/>
        </w:rPr>
        <w:t> </w:t>
      </w:r>
      <w:r>
        <w:rPr>
          <w:color w:val="231F20"/>
          <w:sz w:val="20"/>
        </w:rPr>
        <w:t>учителю</w:t>
      </w:r>
      <w:r>
        <w:rPr>
          <w:color w:val="231F20"/>
          <w:spacing w:val="-11"/>
          <w:sz w:val="20"/>
        </w:rPr>
        <w:t> </w:t>
      </w:r>
      <w:r>
        <w:rPr>
          <w:color w:val="231F20"/>
          <w:sz w:val="20"/>
        </w:rPr>
        <w:t>за</w:t>
      </w:r>
      <w:r>
        <w:rPr>
          <w:color w:val="231F20"/>
          <w:spacing w:val="-11"/>
          <w:sz w:val="20"/>
        </w:rPr>
        <w:t> </w:t>
      </w:r>
      <w:r>
        <w:rPr>
          <w:color w:val="231F20"/>
          <w:sz w:val="20"/>
        </w:rPr>
        <w:t>несправедливое,</w:t>
      </w:r>
      <w:r>
        <w:rPr>
          <w:color w:val="231F20"/>
          <w:spacing w:val="-11"/>
          <w:sz w:val="20"/>
        </w:rPr>
        <w:t> </w:t>
      </w:r>
      <w:r>
        <w:rPr>
          <w:color w:val="231F20"/>
          <w:sz w:val="20"/>
        </w:rPr>
        <w:t>с</w:t>
      </w:r>
      <w:r>
        <w:rPr>
          <w:color w:val="231F20"/>
          <w:spacing w:val="-11"/>
          <w:sz w:val="20"/>
        </w:rPr>
        <w:t> </w:t>
      </w:r>
      <w:r>
        <w:rPr>
          <w:color w:val="231F20"/>
          <w:sz w:val="20"/>
        </w:rPr>
        <w:t>точки</w:t>
      </w:r>
      <w:r>
        <w:rPr>
          <w:color w:val="231F20"/>
          <w:spacing w:val="-11"/>
          <w:sz w:val="20"/>
        </w:rPr>
        <w:t> </w:t>
      </w:r>
      <w:r>
        <w:rPr>
          <w:color w:val="231F20"/>
          <w:sz w:val="20"/>
        </w:rPr>
        <w:t>зрения</w:t>
      </w:r>
      <w:r>
        <w:rPr>
          <w:color w:val="231F20"/>
          <w:spacing w:val="-11"/>
          <w:sz w:val="20"/>
        </w:rPr>
        <w:t> </w:t>
      </w:r>
      <w:r>
        <w:rPr>
          <w:color w:val="231F20"/>
          <w:sz w:val="20"/>
        </w:rPr>
        <w:t>ученика, поведение по отношению к нему;</w:t>
      </w:r>
    </w:p>
    <w:p>
      <w:pPr>
        <w:pStyle w:val="ListParagraph"/>
        <w:numPr>
          <w:ilvl w:val="1"/>
          <w:numId w:val="250"/>
        </w:numPr>
        <w:tabs>
          <w:tab w:pos="708" w:val="left" w:leader="none"/>
        </w:tabs>
        <w:spacing w:line="240" w:lineRule="auto" w:before="3" w:after="0"/>
        <w:ind w:left="708" w:right="139" w:hanging="284"/>
        <w:jc w:val="both"/>
        <w:rPr>
          <w:sz w:val="20"/>
        </w:rPr>
      </w:pPr>
      <w:r>
        <w:rPr>
          <w:color w:val="231F20"/>
          <w:sz w:val="20"/>
        </w:rPr>
        <w:t>ведущие</w:t>
      </w:r>
      <w:r>
        <w:rPr>
          <w:color w:val="231F20"/>
          <w:spacing w:val="-6"/>
          <w:sz w:val="20"/>
        </w:rPr>
        <w:t> </w:t>
      </w:r>
      <w:r>
        <w:rPr>
          <w:color w:val="231F20"/>
          <w:sz w:val="20"/>
        </w:rPr>
        <w:t>потребности</w:t>
      </w:r>
      <w:r>
        <w:rPr>
          <w:color w:val="231F20"/>
          <w:spacing w:val="-6"/>
          <w:sz w:val="20"/>
        </w:rPr>
        <w:t> </w:t>
      </w:r>
      <w:r>
        <w:rPr>
          <w:color w:val="231F20"/>
          <w:sz w:val="20"/>
        </w:rPr>
        <w:t>ученика</w:t>
      </w:r>
      <w:r>
        <w:rPr>
          <w:color w:val="231F20"/>
          <w:spacing w:val="-6"/>
          <w:sz w:val="20"/>
        </w:rPr>
        <w:t> </w:t>
      </w:r>
      <w:r>
        <w:rPr>
          <w:color w:val="231F20"/>
          <w:sz w:val="20"/>
        </w:rPr>
        <w:t>–</w:t>
      </w:r>
      <w:r>
        <w:rPr>
          <w:color w:val="231F20"/>
          <w:spacing w:val="-6"/>
          <w:sz w:val="20"/>
        </w:rPr>
        <w:t> </w:t>
      </w:r>
      <w:r>
        <w:rPr>
          <w:color w:val="231F20"/>
          <w:sz w:val="20"/>
        </w:rPr>
        <w:t>намерение</w:t>
      </w:r>
      <w:r>
        <w:rPr>
          <w:color w:val="231F20"/>
          <w:spacing w:val="-6"/>
          <w:sz w:val="20"/>
        </w:rPr>
        <w:t> </w:t>
      </w:r>
      <w:r>
        <w:rPr>
          <w:color w:val="231F20"/>
          <w:sz w:val="20"/>
        </w:rPr>
        <w:t>получить</w:t>
      </w:r>
      <w:r>
        <w:rPr>
          <w:color w:val="231F20"/>
          <w:spacing w:val="-6"/>
          <w:sz w:val="20"/>
        </w:rPr>
        <w:t> </w:t>
      </w:r>
      <w:r>
        <w:rPr>
          <w:color w:val="231F20"/>
          <w:sz w:val="20"/>
        </w:rPr>
        <w:t>признание,</w:t>
      </w:r>
      <w:r>
        <w:rPr>
          <w:color w:val="231F20"/>
          <w:spacing w:val="-6"/>
          <w:sz w:val="20"/>
        </w:rPr>
        <w:t> </w:t>
      </w:r>
      <w:r>
        <w:rPr>
          <w:color w:val="231F20"/>
          <w:sz w:val="20"/>
        </w:rPr>
        <w:t>желание</w:t>
      </w:r>
      <w:r>
        <w:rPr>
          <w:color w:val="231F20"/>
          <w:spacing w:val="-6"/>
          <w:sz w:val="20"/>
        </w:rPr>
        <w:t> </w:t>
      </w:r>
      <w:r>
        <w:rPr>
          <w:color w:val="231F20"/>
          <w:sz w:val="20"/>
        </w:rPr>
        <w:t>вер- нуть контроль над ситуацией, стремление к психологической безопасности, потребность в принятии и пр.;</w:t>
      </w:r>
    </w:p>
    <w:p>
      <w:pPr>
        <w:pStyle w:val="ListParagraph"/>
        <w:numPr>
          <w:ilvl w:val="1"/>
          <w:numId w:val="250"/>
        </w:numPr>
        <w:tabs>
          <w:tab w:pos="708" w:val="left" w:leader="none"/>
        </w:tabs>
        <w:spacing w:line="237" w:lineRule="auto" w:before="0" w:after="0"/>
        <w:ind w:left="708" w:right="139" w:hanging="284"/>
        <w:jc w:val="both"/>
        <w:rPr>
          <w:sz w:val="20"/>
        </w:rPr>
      </w:pPr>
      <w:r>
        <w:rPr>
          <w:color w:val="231F20"/>
          <w:sz w:val="20"/>
        </w:rPr>
        <w:t>психологические</w:t>
      </w:r>
      <w:r>
        <w:rPr>
          <w:color w:val="231F20"/>
          <w:spacing w:val="-9"/>
          <w:sz w:val="20"/>
        </w:rPr>
        <w:t> </w:t>
      </w:r>
      <w:r>
        <w:rPr>
          <w:color w:val="231F20"/>
          <w:sz w:val="20"/>
        </w:rPr>
        <w:t>особенности</w:t>
      </w:r>
      <w:r>
        <w:rPr>
          <w:color w:val="231F20"/>
          <w:spacing w:val="-9"/>
          <w:sz w:val="20"/>
        </w:rPr>
        <w:t> </w:t>
      </w:r>
      <w:r>
        <w:rPr>
          <w:color w:val="231F20"/>
          <w:sz w:val="20"/>
        </w:rPr>
        <w:t>ученика,</w:t>
      </w:r>
      <w:r>
        <w:rPr>
          <w:color w:val="231F20"/>
          <w:spacing w:val="-9"/>
          <w:sz w:val="20"/>
        </w:rPr>
        <w:t> </w:t>
      </w:r>
      <w:r>
        <w:rPr>
          <w:color w:val="231F20"/>
          <w:sz w:val="20"/>
        </w:rPr>
        <w:t>связанные</w:t>
      </w:r>
      <w:r>
        <w:rPr>
          <w:color w:val="231F20"/>
          <w:spacing w:val="-9"/>
          <w:sz w:val="20"/>
        </w:rPr>
        <w:t> </w:t>
      </w:r>
      <w:r>
        <w:rPr>
          <w:color w:val="231F20"/>
          <w:sz w:val="20"/>
        </w:rPr>
        <w:t>с</w:t>
      </w:r>
      <w:r>
        <w:rPr>
          <w:color w:val="231F20"/>
          <w:spacing w:val="-9"/>
          <w:sz w:val="20"/>
        </w:rPr>
        <w:t> </w:t>
      </w:r>
      <w:r>
        <w:rPr>
          <w:color w:val="231F20"/>
          <w:sz w:val="20"/>
        </w:rPr>
        <w:t>уровнем</w:t>
      </w:r>
      <w:r>
        <w:rPr>
          <w:color w:val="231F20"/>
          <w:spacing w:val="-9"/>
          <w:sz w:val="20"/>
        </w:rPr>
        <w:t> </w:t>
      </w:r>
      <w:r>
        <w:rPr>
          <w:color w:val="231F20"/>
          <w:sz w:val="20"/>
        </w:rPr>
        <w:t>его</w:t>
      </w:r>
      <w:r>
        <w:rPr>
          <w:color w:val="231F20"/>
          <w:spacing w:val="-9"/>
          <w:sz w:val="20"/>
        </w:rPr>
        <w:t> </w:t>
      </w:r>
      <w:r>
        <w:rPr>
          <w:color w:val="231F20"/>
          <w:sz w:val="20"/>
        </w:rPr>
        <w:t>обучаемости, реакцией на стресс адаптации, характеристикой личностного адаптационного </w:t>
      </w:r>
      <w:r>
        <w:rPr>
          <w:color w:val="231F20"/>
          <w:spacing w:val="-2"/>
          <w:sz w:val="20"/>
        </w:rPr>
        <w:t>ресурса;</w:t>
      </w:r>
    </w:p>
    <w:p>
      <w:pPr>
        <w:pStyle w:val="ListParagraph"/>
        <w:numPr>
          <w:ilvl w:val="1"/>
          <w:numId w:val="250"/>
        </w:numPr>
        <w:tabs>
          <w:tab w:pos="708" w:val="left" w:leader="none"/>
        </w:tabs>
        <w:spacing w:line="240" w:lineRule="auto" w:before="0" w:after="0"/>
        <w:ind w:left="708" w:right="139" w:hanging="284"/>
        <w:jc w:val="both"/>
        <w:rPr>
          <w:sz w:val="20"/>
        </w:rPr>
      </w:pPr>
      <w:r>
        <w:rPr>
          <w:color w:val="231F20"/>
          <w:sz w:val="20"/>
        </w:rPr>
        <w:t>культурная</w:t>
      </w:r>
      <w:r>
        <w:rPr>
          <w:color w:val="231F20"/>
          <w:spacing w:val="-3"/>
          <w:sz w:val="20"/>
        </w:rPr>
        <w:t> </w:t>
      </w:r>
      <w:r>
        <w:rPr>
          <w:color w:val="231F20"/>
          <w:sz w:val="20"/>
        </w:rPr>
        <w:t>специфика</w:t>
      </w:r>
      <w:r>
        <w:rPr>
          <w:color w:val="231F20"/>
          <w:spacing w:val="-3"/>
          <w:sz w:val="20"/>
        </w:rPr>
        <w:t> </w:t>
      </w:r>
      <w:r>
        <w:rPr>
          <w:color w:val="231F20"/>
          <w:sz w:val="20"/>
        </w:rPr>
        <w:t>отношения</w:t>
      </w:r>
      <w:r>
        <w:rPr>
          <w:color w:val="231F20"/>
          <w:spacing w:val="-3"/>
          <w:sz w:val="20"/>
        </w:rPr>
        <w:t> </w:t>
      </w:r>
      <w:r>
        <w:rPr>
          <w:color w:val="231F20"/>
          <w:sz w:val="20"/>
        </w:rPr>
        <w:t>к</w:t>
      </w:r>
      <w:r>
        <w:rPr>
          <w:color w:val="231F20"/>
          <w:spacing w:val="-3"/>
          <w:sz w:val="20"/>
        </w:rPr>
        <w:t> </w:t>
      </w:r>
      <w:r>
        <w:rPr>
          <w:color w:val="231F20"/>
          <w:sz w:val="20"/>
        </w:rPr>
        <w:t>разным</w:t>
      </w:r>
      <w:r>
        <w:rPr>
          <w:color w:val="231F20"/>
          <w:spacing w:val="-3"/>
          <w:sz w:val="20"/>
        </w:rPr>
        <w:t> </w:t>
      </w:r>
      <w:r>
        <w:rPr>
          <w:color w:val="231F20"/>
          <w:sz w:val="20"/>
        </w:rPr>
        <w:t>ситуациям</w:t>
      </w:r>
      <w:r>
        <w:rPr>
          <w:color w:val="231F20"/>
          <w:spacing w:val="-3"/>
          <w:sz w:val="20"/>
        </w:rPr>
        <w:t> </w:t>
      </w:r>
      <w:r>
        <w:rPr>
          <w:color w:val="231F20"/>
          <w:sz w:val="20"/>
        </w:rPr>
        <w:t>взаимодействия,</w:t>
      </w:r>
      <w:r>
        <w:rPr>
          <w:color w:val="231F20"/>
          <w:spacing w:val="-3"/>
          <w:sz w:val="20"/>
        </w:rPr>
        <w:t> </w:t>
      </w:r>
      <w:r>
        <w:rPr>
          <w:color w:val="231F20"/>
          <w:sz w:val="20"/>
        </w:rPr>
        <w:t>куль- турные</w:t>
      </w:r>
      <w:r>
        <w:rPr>
          <w:color w:val="231F20"/>
          <w:spacing w:val="-10"/>
          <w:sz w:val="20"/>
        </w:rPr>
        <w:t> </w:t>
      </w:r>
      <w:r>
        <w:rPr>
          <w:color w:val="231F20"/>
          <w:sz w:val="20"/>
        </w:rPr>
        <w:t>синдромы</w:t>
      </w:r>
      <w:r>
        <w:rPr>
          <w:color w:val="231F20"/>
          <w:spacing w:val="-10"/>
          <w:sz w:val="20"/>
        </w:rPr>
        <w:t> </w:t>
      </w:r>
      <w:r>
        <w:rPr>
          <w:color w:val="231F20"/>
          <w:sz w:val="20"/>
        </w:rPr>
        <w:t>и</w:t>
      </w:r>
      <w:r>
        <w:rPr>
          <w:color w:val="231F20"/>
          <w:spacing w:val="-10"/>
          <w:sz w:val="20"/>
        </w:rPr>
        <w:t> </w:t>
      </w:r>
      <w:r>
        <w:rPr>
          <w:color w:val="231F20"/>
          <w:sz w:val="20"/>
        </w:rPr>
        <w:t>другие</w:t>
      </w:r>
      <w:r>
        <w:rPr>
          <w:color w:val="231F20"/>
          <w:spacing w:val="-10"/>
          <w:sz w:val="20"/>
        </w:rPr>
        <w:t> </w:t>
      </w:r>
      <w:r>
        <w:rPr>
          <w:color w:val="231F20"/>
          <w:sz w:val="20"/>
        </w:rPr>
        <w:t>культурные</w:t>
      </w:r>
      <w:r>
        <w:rPr>
          <w:color w:val="231F20"/>
          <w:spacing w:val="-10"/>
          <w:sz w:val="20"/>
        </w:rPr>
        <w:t> </w:t>
      </w:r>
      <w:r>
        <w:rPr>
          <w:color w:val="231F20"/>
          <w:sz w:val="20"/>
        </w:rPr>
        <w:t>особенности,</w:t>
      </w:r>
      <w:r>
        <w:rPr>
          <w:color w:val="231F20"/>
          <w:spacing w:val="-10"/>
          <w:sz w:val="20"/>
        </w:rPr>
        <w:t> </w:t>
      </w:r>
      <w:r>
        <w:rPr>
          <w:color w:val="231F20"/>
          <w:sz w:val="20"/>
        </w:rPr>
        <w:t>важные</w:t>
      </w:r>
      <w:r>
        <w:rPr>
          <w:color w:val="231F20"/>
          <w:spacing w:val="-10"/>
          <w:sz w:val="20"/>
        </w:rPr>
        <w:t> </w:t>
      </w:r>
      <w:r>
        <w:rPr>
          <w:color w:val="231F20"/>
          <w:sz w:val="20"/>
        </w:rPr>
        <w:t>в</w:t>
      </w:r>
      <w:r>
        <w:rPr>
          <w:color w:val="231F20"/>
          <w:spacing w:val="-10"/>
          <w:sz w:val="20"/>
        </w:rPr>
        <w:t> </w:t>
      </w:r>
      <w:r>
        <w:rPr>
          <w:color w:val="231F20"/>
          <w:sz w:val="20"/>
        </w:rPr>
        <w:t>ситуации</w:t>
      </w:r>
      <w:r>
        <w:rPr>
          <w:color w:val="231F20"/>
          <w:spacing w:val="-10"/>
          <w:sz w:val="20"/>
        </w:rPr>
        <w:t> </w:t>
      </w:r>
      <w:r>
        <w:rPr>
          <w:color w:val="231F20"/>
          <w:sz w:val="20"/>
        </w:rPr>
        <w:t>адап- </w:t>
      </w:r>
      <w:r>
        <w:rPr>
          <w:color w:val="231F20"/>
          <w:spacing w:val="-2"/>
          <w:sz w:val="20"/>
        </w:rPr>
        <w:t>тации.</w:t>
      </w:r>
    </w:p>
    <w:p>
      <w:pPr>
        <w:pStyle w:val="ListParagraph"/>
        <w:numPr>
          <w:ilvl w:val="0"/>
          <w:numId w:val="250"/>
        </w:numPr>
        <w:tabs>
          <w:tab w:pos="396" w:val="left" w:leader="none"/>
          <w:tab w:pos="425" w:val="left" w:leader="none"/>
        </w:tabs>
        <w:spacing w:line="237" w:lineRule="auto" w:before="0" w:after="0"/>
        <w:ind w:left="425" w:right="139" w:hanging="284"/>
        <w:jc w:val="both"/>
        <w:rPr>
          <w:i/>
          <w:sz w:val="20"/>
        </w:rPr>
      </w:pPr>
      <w:r>
        <w:rPr>
          <w:i/>
          <w:color w:val="231F20"/>
          <w:sz w:val="20"/>
        </w:rPr>
        <w:t>Возможные аспекты при обсуждении случаев, связанных со специфическими трудностями в обучении и с этапом культурной и социально-психологической адаптации ученика:</w:t>
      </w:r>
    </w:p>
    <w:p>
      <w:pPr>
        <w:pStyle w:val="ListParagraph"/>
        <w:numPr>
          <w:ilvl w:val="1"/>
          <w:numId w:val="250"/>
        </w:numPr>
        <w:tabs>
          <w:tab w:pos="708" w:val="left" w:leader="none"/>
        </w:tabs>
        <w:spacing w:line="228" w:lineRule="exact" w:before="0" w:after="0"/>
        <w:ind w:left="708" w:right="0" w:hanging="283"/>
        <w:jc w:val="both"/>
        <w:rPr>
          <w:sz w:val="20"/>
        </w:rPr>
      </w:pPr>
      <w:r>
        <w:rPr>
          <w:color w:val="231F20"/>
          <w:sz w:val="20"/>
        </w:rPr>
        <w:t>возможная</w:t>
      </w:r>
      <w:r>
        <w:rPr>
          <w:color w:val="231F20"/>
          <w:spacing w:val="-5"/>
          <w:sz w:val="20"/>
        </w:rPr>
        <w:t> </w:t>
      </w:r>
      <w:r>
        <w:rPr>
          <w:color w:val="231F20"/>
          <w:sz w:val="20"/>
        </w:rPr>
        <w:t>фаза</w:t>
      </w:r>
      <w:r>
        <w:rPr>
          <w:color w:val="231F20"/>
          <w:spacing w:val="-2"/>
          <w:sz w:val="20"/>
        </w:rPr>
        <w:t> </w:t>
      </w:r>
      <w:r>
        <w:rPr>
          <w:color w:val="231F20"/>
          <w:sz w:val="20"/>
        </w:rPr>
        <w:t>адаптации</w:t>
      </w:r>
      <w:r>
        <w:rPr>
          <w:color w:val="231F20"/>
          <w:spacing w:val="-3"/>
          <w:sz w:val="20"/>
        </w:rPr>
        <w:t> </w:t>
      </w:r>
      <w:r>
        <w:rPr>
          <w:color w:val="231F20"/>
          <w:sz w:val="20"/>
        </w:rPr>
        <w:t>ученика</w:t>
      </w:r>
      <w:r>
        <w:rPr>
          <w:color w:val="231F20"/>
          <w:spacing w:val="-2"/>
          <w:sz w:val="20"/>
        </w:rPr>
        <w:t> </w:t>
      </w:r>
      <w:r>
        <w:rPr>
          <w:color w:val="231F20"/>
          <w:sz w:val="20"/>
        </w:rPr>
        <w:t>и</w:t>
      </w:r>
      <w:r>
        <w:rPr>
          <w:color w:val="231F20"/>
          <w:spacing w:val="-2"/>
          <w:sz w:val="20"/>
        </w:rPr>
        <w:t> </w:t>
      </w:r>
      <w:r>
        <w:rPr>
          <w:color w:val="231F20"/>
          <w:sz w:val="20"/>
        </w:rPr>
        <w:t>особенности</w:t>
      </w:r>
      <w:r>
        <w:rPr>
          <w:color w:val="231F20"/>
          <w:spacing w:val="-3"/>
          <w:sz w:val="20"/>
        </w:rPr>
        <w:t> </w:t>
      </w:r>
      <w:r>
        <w:rPr>
          <w:color w:val="231F20"/>
          <w:sz w:val="20"/>
        </w:rPr>
        <w:t>ее</w:t>
      </w:r>
      <w:r>
        <w:rPr>
          <w:color w:val="231F20"/>
          <w:spacing w:val="-2"/>
          <w:sz w:val="20"/>
        </w:rPr>
        <w:t> переживания;</w:t>
      </w:r>
    </w:p>
    <w:p>
      <w:pPr>
        <w:pStyle w:val="ListParagraph"/>
        <w:numPr>
          <w:ilvl w:val="1"/>
          <w:numId w:val="250"/>
        </w:numPr>
        <w:tabs>
          <w:tab w:pos="708" w:val="left" w:leader="none"/>
        </w:tabs>
        <w:spacing w:line="240" w:lineRule="auto" w:before="0" w:after="0"/>
        <w:ind w:left="708" w:right="139" w:hanging="284"/>
        <w:jc w:val="both"/>
        <w:rPr>
          <w:sz w:val="20"/>
        </w:rPr>
      </w:pPr>
      <w:r>
        <w:rPr>
          <w:color w:val="231F20"/>
          <w:sz w:val="20"/>
        </w:rPr>
        <w:t>психологические</w:t>
      </w:r>
      <w:r>
        <w:rPr>
          <w:color w:val="231F20"/>
          <w:spacing w:val="-9"/>
          <w:sz w:val="20"/>
        </w:rPr>
        <w:t> </w:t>
      </w:r>
      <w:r>
        <w:rPr>
          <w:color w:val="231F20"/>
          <w:sz w:val="20"/>
        </w:rPr>
        <w:t>особенности</w:t>
      </w:r>
      <w:r>
        <w:rPr>
          <w:color w:val="231F20"/>
          <w:spacing w:val="-9"/>
          <w:sz w:val="20"/>
        </w:rPr>
        <w:t> </w:t>
      </w:r>
      <w:r>
        <w:rPr>
          <w:color w:val="231F20"/>
          <w:sz w:val="20"/>
        </w:rPr>
        <w:t>ученика,</w:t>
      </w:r>
      <w:r>
        <w:rPr>
          <w:color w:val="231F20"/>
          <w:spacing w:val="-9"/>
          <w:sz w:val="20"/>
        </w:rPr>
        <w:t> </w:t>
      </w:r>
      <w:r>
        <w:rPr>
          <w:color w:val="231F20"/>
          <w:sz w:val="20"/>
        </w:rPr>
        <w:t>связанные</w:t>
      </w:r>
      <w:r>
        <w:rPr>
          <w:color w:val="231F20"/>
          <w:spacing w:val="-9"/>
          <w:sz w:val="20"/>
        </w:rPr>
        <w:t> </w:t>
      </w:r>
      <w:r>
        <w:rPr>
          <w:color w:val="231F20"/>
          <w:sz w:val="20"/>
        </w:rPr>
        <w:t>с</w:t>
      </w:r>
      <w:r>
        <w:rPr>
          <w:color w:val="231F20"/>
          <w:spacing w:val="-9"/>
          <w:sz w:val="20"/>
        </w:rPr>
        <w:t> </w:t>
      </w:r>
      <w:r>
        <w:rPr>
          <w:color w:val="231F20"/>
          <w:sz w:val="20"/>
        </w:rPr>
        <w:t>уровнем</w:t>
      </w:r>
      <w:r>
        <w:rPr>
          <w:color w:val="231F20"/>
          <w:spacing w:val="-9"/>
          <w:sz w:val="20"/>
        </w:rPr>
        <w:t> </w:t>
      </w:r>
      <w:r>
        <w:rPr>
          <w:color w:val="231F20"/>
          <w:sz w:val="20"/>
        </w:rPr>
        <w:t>его</w:t>
      </w:r>
      <w:r>
        <w:rPr>
          <w:color w:val="231F20"/>
          <w:spacing w:val="-9"/>
          <w:sz w:val="20"/>
        </w:rPr>
        <w:t> </w:t>
      </w:r>
      <w:r>
        <w:rPr>
          <w:color w:val="231F20"/>
          <w:sz w:val="20"/>
        </w:rPr>
        <w:t>обучаемости, реакцией на стресс адаптации, характеристикой личностного адаптационного </w:t>
      </w:r>
      <w:r>
        <w:rPr>
          <w:color w:val="231F20"/>
          <w:spacing w:val="-2"/>
          <w:sz w:val="20"/>
        </w:rPr>
        <w:t>ресурса;</w:t>
      </w:r>
    </w:p>
    <w:p>
      <w:pPr>
        <w:pStyle w:val="ListParagraph"/>
        <w:numPr>
          <w:ilvl w:val="1"/>
          <w:numId w:val="250"/>
        </w:numPr>
        <w:tabs>
          <w:tab w:pos="708" w:val="left" w:leader="none"/>
        </w:tabs>
        <w:spacing w:line="237" w:lineRule="auto" w:before="0" w:after="0"/>
        <w:ind w:left="708" w:right="139" w:hanging="284"/>
        <w:jc w:val="both"/>
        <w:rPr>
          <w:sz w:val="20"/>
        </w:rPr>
      </w:pPr>
      <w:r>
        <w:rPr>
          <w:color w:val="231F20"/>
          <w:sz w:val="20"/>
        </w:rPr>
        <w:t>возможности</w:t>
      </w:r>
      <w:r>
        <w:rPr>
          <w:color w:val="231F20"/>
          <w:spacing w:val="-10"/>
          <w:sz w:val="20"/>
        </w:rPr>
        <w:t> </w:t>
      </w:r>
      <w:r>
        <w:rPr>
          <w:color w:val="231F20"/>
          <w:sz w:val="20"/>
        </w:rPr>
        <w:t>индивидуального</w:t>
      </w:r>
      <w:r>
        <w:rPr>
          <w:color w:val="231F20"/>
          <w:spacing w:val="-10"/>
          <w:sz w:val="20"/>
        </w:rPr>
        <w:t> </w:t>
      </w:r>
      <w:r>
        <w:rPr>
          <w:color w:val="231F20"/>
          <w:sz w:val="20"/>
        </w:rPr>
        <w:t>подхода:</w:t>
      </w:r>
      <w:r>
        <w:rPr>
          <w:color w:val="231F20"/>
          <w:spacing w:val="-10"/>
          <w:sz w:val="20"/>
        </w:rPr>
        <w:t> </w:t>
      </w:r>
      <w:r>
        <w:rPr>
          <w:color w:val="231F20"/>
          <w:sz w:val="20"/>
        </w:rPr>
        <w:t>оказание</w:t>
      </w:r>
      <w:r>
        <w:rPr>
          <w:color w:val="231F20"/>
          <w:spacing w:val="-10"/>
          <w:sz w:val="20"/>
        </w:rPr>
        <w:t> </w:t>
      </w:r>
      <w:r>
        <w:rPr>
          <w:color w:val="231F20"/>
          <w:sz w:val="20"/>
        </w:rPr>
        <w:t>помощи</w:t>
      </w:r>
      <w:r>
        <w:rPr>
          <w:color w:val="231F20"/>
          <w:spacing w:val="-10"/>
          <w:sz w:val="20"/>
        </w:rPr>
        <w:t> </w:t>
      </w:r>
      <w:r>
        <w:rPr>
          <w:color w:val="231F20"/>
          <w:sz w:val="20"/>
        </w:rPr>
        <w:t>в</w:t>
      </w:r>
      <w:r>
        <w:rPr>
          <w:color w:val="231F20"/>
          <w:spacing w:val="-10"/>
          <w:sz w:val="20"/>
        </w:rPr>
        <w:t> </w:t>
      </w:r>
      <w:r>
        <w:rPr>
          <w:color w:val="231F20"/>
          <w:sz w:val="20"/>
        </w:rPr>
        <w:t>освоении</w:t>
      </w:r>
      <w:r>
        <w:rPr>
          <w:color w:val="231F20"/>
          <w:spacing w:val="-10"/>
          <w:sz w:val="20"/>
        </w:rPr>
        <w:t> </w:t>
      </w:r>
      <w:r>
        <w:rPr>
          <w:color w:val="231F20"/>
          <w:sz w:val="20"/>
        </w:rPr>
        <w:t>учебно- го содержания как со стороны учителя, так и со стороны одноклассников;</w:t>
      </w:r>
    </w:p>
    <w:p>
      <w:pPr>
        <w:pStyle w:val="ListParagraph"/>
        <w:numPr>
          <w:ilvl w:val="1"/>
          <w:numId w:val="250"/>
        </w:numPr>
        <w:tabs>
          <w:tab w:pos="708" w:val="left" w:leader="none"/>
        </w:tabs>
        <w:spacing w:line="240" w:lineRule="auto" w:before="0" w:after="0"/>
        <w:ind w:left="708" w:right="139" w:hanging="284"/>
        <w:jc w:val="both"/>
        <w:rPr>
          <w:sz w:val="20"/>
        </w:rPr>
      </w:pPr>
      <w:r>
        <w:rPr>
          <w:color w:val="231F20"/>
          <w:sz w:val="20"/>
        </w:rPr>
        <w:t>культурная</w:t>
      </w:r>
      <w:r>
        <w:rPr>
          <w:color w:val="231F20"/>
          <w:spacing w:val="-3"/>
          <w:sz w:val="20"/>
        </w:rPr>
        <w:t> </w:t>
      </w:r>
      <w:r>
        <w:rPr>
          <w:color w:val="231F20"/>
          <w:sz w:val="20"/>
        </w:rPr>
        <w:t>специфика</w:t>
      </w:r>
      <w:r>
        <w:rPr>
          <w:color w:val="231F20"/>
          <w:spacing w:val="-3"/>
          <w:sz w:val="20"/>
        </w:rPr>
        <w:t> </w:t>
      </w:r>
      <w:r>
        <w:rPr>
          <w:color w:val="231F20"/>
          <w:sz w:val="20"/>
        </w:rPr>
        <w:t>отношения</w:t>
      </w:r>
      <w:r>
        <w:rPr>
          <w:color w:val="231F20"/>
          <w:spacing w:val="-3"/>
          <w:sz w:val="20"/>
        </w:rPr>
        <w:t> </w:t>
      </w:r>
      <w:r>
        <w:rPr>
          <w:color w:val="231F20"/>
          <w:sz w:val="20"/>
        </w:rPr>
        <w:t>к</w:t>
      </w:r>
      <w:r>
        <w:rPr>
          <w:color w:val="231F20"/>
          <w:spacing w:val="-3"/>
          <w:sz w:val="20"/>
        </w:rPr>
        <w:t> </w:t>
      </w:r>
      <w:r>
        <w:rPr>
          <w:color w:val="231F20"/>
          <w:sz w:val="20"/>
        </w:rPr>
        <w:t>разным</w:t>
      </w:r>
      <w:r>
        <w:rPr>
          <w:color w:val="231F20"/>
          <w:spacing w:val="-3"/>
          <w:sz w:val="20"/>
        </w:rPr>
        <w:t> </w:t>
      </w:r>
      <w:r>
        <w:rPr>
          <w:color w:val="231F20"/>
          <w:sz w:val="20"/>
        </w:rPr>
        <w:t>ситуациям</w:t>
      </w:r>
      <w:r>
        <w:rPr>
          <w:color w:val="231F20"/>
          <w:spacing w:val="-3"/>
          <w:sz w:val="20"/>
        </w:rPr>
        <w:t> </w:t>
      </w:r>
      <w:r>
        <w:rPr>
          <w:color w:val="231F20"/>
          <w:sz w:val="20"/>
        </w:rPr>
        <w:t>взаимодействия,</w:t>
      </w:r>
      <w:r>
        <w:rPr>
          <w:color w:val="231F20"/>
          <w:spacing w:val="-3"/>
          <w:sz w:val="20"/>
        </w:rPr>
        <w:t> </w:t>
      </w:r>
      <w:r>
        <w:rPr>
          <w:color w:val="231F20"/>
          <w:sz w:val="20"/>
        </w:rPr>
        <w:t>куль- турные</w:t>
      </w:r>
      <w:r>
        <w:rPr>
          <w:color w:val="231F20"/>
          <w:spacing w:val="-10"/>
          <w:sz w:val="20"/>
        </w:rPr>
        <w:t> </w:t>
      </w:r>
      <w:r>
        <w:rPr>
          <w:color w:val="231F20"/>
          <w:sz w:val="20"/>
        </w:rPr>
        <w:t>синдромы</w:t>
      </w:r>
      <w:r>
        <w:rPr>
          <w:color w:val="231F20"/>
          <w:spacing w:val="-10"/>
          <w:sz w:val="20"/>
        </w:rPr>
        <w:t> </w:t>
      </w:r>
      <w:r>
        <w:rPr>
          <w:color w:val="231F20"/>
          <w:sz w:val="20"/>
        </w:rPr>
        <w:t>и</w:t>
      </w:r>
      <w:r>
        <w:rPr>
          <w:color w:val="231F20"/>
          <w:spacing w:val="-10"/>
          <w:sz w:val="20"/>
        </w:rPr>
        <w:t> </w:t>
      </w:r>
      <w:r>
        <w:rPr>
          <w:color w:val="231F20"/>
          <w:sz w:val="20"/>
        </w:rPr>
        <w:t>другие</w:t>
      </w:r>
      <w:r>
        <w:rPr>
          <w:color w:val="231F20"/>
          <w:spacing w:val="-10"/>
          <w:sz w:val="20"/>
        </w:rPr>
        <w:t> </w:t>
      </w:r>
      <w:r>
        <w:rPr>
          <w:color w:val="231F20"/>
          <w:sz w:val="20"/>
        </w:rPr>
        <w:t>культурные</w:t>
      </w:r>
      <w:r>
        <w:rPr>
          <w:color w:val="231F20"/>
          <w:spacing w:val="-10"/>
          <w:sz w:val="20"/>
        </w:rPr>
        <w:t> </w:t>
      </w:r>
      <w:r>
        <w:rPr>
          <w:color w:val="231F20"/>
          <w:sz w:val="20"/>
        </w:rPr>
        <w:t>особенности,</w:t>
      </w:r>
      <w:r>
        <w:rPr>
          <w:color w:val="231F20"/>
          <w:spacing w:val="-10"/>
          <w:sz w:val="20"/>
        </w:rPr>
        <w:t> </w:t>
      </w:r>
      <w:r>
        <w:rPr>
          <w:color w:val="231F20"/>
          <w:sz w:val="20"/>
        </w:rPr>
        <w:t>важные</w:t>
      </w:r>
      <w:r>
        <w:rPr>
          <w:color w:val="231F20"/>
          <w:spacing w:val="-10"/>
          <w:sz w:val="20"/>
        </w:rPr>
        <w:t> </w:t>
      </w:r>
      <w:r>
        <w:rPr>
          <w:color w:val="231F20"/>
          <w:sz w:val="20"/>
        </w:rPr>
        <w:t>в</w:t>
      </w:r>
      <w:r>
        <w:rPr>
          <w:color w:val="231F20"/>
          <w:spacing w:val="-10"/>
          <w:sz w:val="20"/>
        </w:rPr>
        <w:t> </w:t>
      </w:r>
      <w:r>
        <w:rPr>
          <w:color w:val="231F20"/>
          <w:sz w:val="20"/>
        </w:rPr>
        <w:t>ситуации</w:t>
      </w:r>
      <w:r>
        <w:rPr>
          <w:color w:val="231F20"/>
          <w:spacing w:val="-10"/>
          <w:sz w:val="20"/>
        </w:rPr>
        <w:t> </w:t>
      </w:r>
      <w:r>
        <w:rPr>
          <w:color w:val="231F20"/>
          <w:sz w:val="20"/>
        </w:rPr>
        <w:t>адап- </w:t>
      </w:r>
      <w:r>
        <w:rPr>
          <w:color w:val="231F20"/>
          <w:spacing w:val="-2"/>
          <w:sz w:val="20"/>
        </w:rPr>
        <w:t>тации.</w:t>
      </w:r>
    </w:p>
    <w:p>
      <w:pPr>
        <w:pStyle w:val="ListParagraph"/>
        <w:numPr>
          <w:ilvl w:val="0"/>
          <w:numId w:val="250"/>
        </w:numPr>
        <w:tabs>
          <w:tab w:pos="425" w:val="left" w:leader="none"/>
        </w:tabs>
        <w:spacing w:line="237" w:lineRule="auto" w:before="0" w:after="0"/>
        <w:ind w:left="425" w:right="139" w:hanging="284"/>
        <w:jc w:val="both"/>
        <w:rPr>
          <w:i/>
          <w:sz w:val="20"/>
        </w:rPr>
      </w:pPr>
      <w:r>
        <w:rPr>
          <w:i/>
          <w:color w:val="231F20"/>
          <w:sz w:val="20"/>
        </w:rPr>
        <w:t>Возможные</w:t>
      </w:r>
      <w:r>
        <w:rPr>
          <w:i/>
          <w:color w:val="231F20"/>
          <w:spacing w:val="-2"/>
          <w:sz w:val="20"/>
        </w:rPr>
        <w:t> </w:t>
      </w:r>
      <w:r>
        <w:rPr>
          <w:i/>
          <w:color w:val="231F20"/>
          <w:sz w:val="20"/>
        </w:rPr>
        <w:t>аспекты</w:t>
      </w:r>
      <w:r>
        <w:rPr>
          <w:i/>
          <w:color w:val="231F20"/>
          <w:spacing w:val="-2"/>
          <w:sz w:val="20"/>
        </w:rPr>
        <w:t> </w:t>
      </w:r>
      <w:r>
        <w:rPr>
          <w:i/>
          <w:color w:val="231F20"/>
          <w:sz w:val="20"/>
        </w:rPr>
        <w:t>при</w:t>
      </w:r>
      <w:r>
        <w:rPr>
          <w:i/>
          <w:color w:val="231F20"/>
          <w:spacing w:val="-2"/>
          <w:sz w:val="20"/>
        </w:rPr>
        <w:t> </w:t>
      </w:r>
      <w:r>
        <w:rPr>
          <w:i/>
          <w:color w:val="231F20"/>
          <w:sz w:val="20"/>
        </w:rPr>
        <w:t>обсуждении</w:t>
      </w:r>
      <w:r>
        <w:rPr>
          <w:i/>
          <w:color w:val="231F20"/>
          <w:spacing w:val="-2"/>
          <w:sz w:val="20"/>
        </w:rPr>
        <w:t> </w:t>
      </w:r>
      <w:r>
        <w:rPr>
          <w:i/>
          <w:color w:val="231F20"/>
          <w:sz w:val="20"/>
        </w:rPr>
        <w:t>трудных</w:t>
      </w:r>
      <w:r>
        <w:rPr>
          <w:i/>
          <w:color w:val="231F20"/>
          <w:spacing w:val="-2"/>
          <w:sz w:val="20"/>
        </w:rPr>
        <w:t> </w:t>
      </w:r>
      <w:r>
        <w:rPr>
          <w:i/>
          <w:color w:val="231F20"/>
          <w:sz w:val="20"/>
        </w:rPr>
        <w:t>случаев,</w:t>
      </w:r>
      <w:r>
        <w:rPr>
          <w:i/>
          <w:color w:val="231F20"/>
          <w:spacing w:val="-2"/>
          <w:sz w:val="20"/>
        </w:rPr>
        <w:t> </w:t>
      </w:r>
      <w:r>
        <w:rPr>
          <w:i/>
          <w:color w:val="231F20"/>
          <w:sz w:val="20"/>
        </w:rPr>
        <w:t>связанных</w:t>
      </w:r>
      <w:r>
        <w:rPr>
          <w:i/>
          <w:color w:val="231F20"/>
          <w:spacing w:val="-2"/>
          <w:sz w:val="20"/>
        </w:rPr>
        <w:t> </w:t>
      </w:r>
      <w:r>
        <w:rPr>
          <w:i/>
          <w:color w:val="231F20"/>
          <w:sz w:val="20"/>
        </w:rPr>
        <w:t>с</w:t>
      </w:r>
      <w:r>
        <w:rPr>
          <w:i/>
          <w:color w:val="231F20"/>
          <w:spacing w:val="-2"/>
          <w:sz w:val="20"/>
        </w:rPr>
        <w:t> </w:t>
      </w:r>
      <w:r>
        <w:rPr>
          <w:i/>
          <w:color w:val="231F20"/>
          <w:sz w:val="20"/>
        </w:rPr>
        <w:t>личностны- ми</w:t>
      </w:r>
      <w:r>
        <w:rPr>
          <w:i/>
          <w:color w:val="231F20"/>
          <w:spacing w:val="-5"/>
          <w:sz w:val="20"/>
        </w:rPr>
        <w:t> </w:t>
      </w:r>
      <w:r>
        <w:rPr>
          <w:i/>
          <w:color w:val="231F20"/>
          <w:sz w:val="20"/>
        </w:rPr>
        <w:t>трудностями</w:t>
      </w:r>
      <w:r>
        <w:rPr>
          <w:i/>
          <w:color w:val="231F20"/>
          <w:spacing w:val="-5"/>
          <w:sz w:val="20"/>
        </w:rPr>
        <w:t> </w:t>
      </w:r>
      <w:r>
        <w:rPr>
          <w:i/>
          <w:color w:val="231F20"/>
          <w:sz w:val="20"/>
        </w:rPr>
        <w:t>педагога,</w:t>
      </w:r>
      <w:r>
        <w:rPr>
          <w:i/>
          <w:color w:val="231F20"/>
          <w:spacing w:val="-5"/>
          <w:sz w:val="20"/>
        </w:rPr>
        <w:t> </w:t>
      </w:r>
      <w:r>
        <w:rPr>
          <w:i/>
          <w:color w:val="231F20"/>
          <w:sz w:val="20"/>
        </w:rPr>
        <w:t>его</w:t>
      </w:r>
      <w:r>
        <w:rPr>
          <w:i/>
          <w:color w:val="231F20"/>
          <w:spacing w:val="-5"/>
          <w:sz w:val="20"/>
        </w:rPr>
        <w:t> </w:t>
      </w:r>
      <w:r>
        <w:rPr>
          <w:i/>
          <w:color w:val="231F20"/>
          <w:sz w:val="20"/>
        </w:rPr>
        <w:t>отношение</w:t>
      </w:r>
      <w:r>
        <w:rPr>
          <w:i/>
          <w:color w:val="231F20"/>
          <w:spacing w:val="-5"/>
          <w:sz w:val="20"/>
        </w:rPr>
        <w:t> </w:t>
      </w:r>
      <w:r>
        <w:rPr>
          <w:i/>
          <w:color w:val="231F20"/>
          <w:sz w:val="20"/>
        </w:rPr>
        <w:t>к</w:t>
      </w:r>
      <w:r>
        <w:rPr>
          <w:i/>
          <w:color w:val="231F20"/>
          <w:spacing w:val="-5"/>
          <w:sz w:val="20"/>
        </w:rPr>
        <w:t> </w:t>
      </w:r>
      <w:r>
        <w:rPr>
          <w:i/>
          <w:color w:val="231F20"/>
          <w:sz w:val="20"/>
        </w:rPr>
        <w:t>культурным</w:t>
      </w:r>
      <w:r>
        <w:rPr>
          <w:i/>
          <w:color w:val="231F20"/>
          <w:spacing w:val="-5"/>
          <w:sz w:val="20"/>
        </w:rPr>
        <w:t> </w:t>
      </w:r>
      <w:r>
        <w:rPr>
          <w:i/>
          <w:color w:val="231F20"/>
          <w:sz w:val="20"/>
        </w:rPr>
        <w:t>различиям,</w:t>
      </w:r>
      <w:r>
        <w:rPr>
          <w:i/>
          <w:color w:val="231F20"/>
          <w:spacing w:val="-5"/>
          <w:sz w:val="20"/>
        </w:rPr>
        <w:t> </w:t>
      </w:r>
      <w:r>
        <w:rPr>
          <w:i/>
          <w:color w:val="231F20"/>
          <w:sz w:val="20"/>
        </w:rPr>
        <w:t>которые</w:t>
      </w:r>
      <w:r>
        <w:rPr>
          <w:i/>
          <w:color w:val="231F20"/>
          <w:spacing w:val="-5"/>
          <w:sz w:val="20"/>
        </w:rPr>
        <w:t> </w:t>
      </w:r>
      <w:r>
        <w:rPr>
          <w:i/>
          <w:color w:val="231F20"/>
          <w:sz w:val="20"/>
        </w:rPr>
        <w:t>за- трудняют продуктивное педагогическое взаимодействие:</w:t>
      </w:r>
    </w:p>
    <w:p>
      <w:pPr>
        <w:pStyle w:val="ListParagraph"/>
        <w:numPr>
          <w:ilvl w:val="1"/>
          <w:numId w:val="250"/>
        </w:numPr>
        <w:tabs>
          <w:tab w:pos="708" w:val="left" w:leader="none"/>
        </w:tabs>
        <w:spacing w:line="240" w:lineRule="auto" w:before="0" w:after="0"/>
        <w:ind w:left="708" w:right="139" w:hanging="284"/>
        <w:jc w:val="both"/>
        <w:rPr>
          <w:sz w:val="20"/>
        </w:rPr>
      </w:pPr>
      <w:r>
        <w:rPr>
          <w:color w:val="231F20"/>
          <w:sz w:val="20"/>
        </w:rPr>
        <w:t>собственный эмоциональный отклик и телесные реакции, которые возникали (будут возникать) в процессе представления и обсуждения случая;</w:t>
      </w:r>
    </w:p>
    <w:p>
      <w:pPr>
        <w:pStyle w:val="ListParagraph"/>
        <w:numPr>
          <w:ilvl w:val="1"/>
          <w:numId w:val="250"/>
        </w:numPr>
        <w:tabs>
          <w:tab w:pos="708" w:val="left" w:leader="none"/>
        </w:tabs>
        <w:spacing w:line="237" w:lineRule="auto" w:before="0" w:after="0"/>
        <w:ind w:left="708" w:right="139" w:hanging="284"/>
        <w:jc w:val="both"/>
        <w:rPr>
          <w:sz w:val="20"/>
        </w:rPr>
      </w:pPr>
      <w:r>
        <w:rPr>
          <w:color w:val="231F20"/>
          <w:sz w:val="20"/>
        </w:rPr>
        <w:t>мысли, образы, воспоминания, которые возникали в процессе представления </w:t>
      </w:r>
      <w:r>
        <w:rPr>
          <w:color w:val="231F20"/>
          <w:spacing w:val="-2"/>
          <w:sz w:val="20"/>
        </w:rPr>
        <w:t>случая;</w:t>
      </w:r>
    </w:p>
    <w:p>
      <w:pPr>
        <w:pStyle w:val="ListParagraph"/>
        <w:numPr>
          <w:ilvl w:val="1"/>
          <w:numId w:val="250"/>
        </w:numPr>
        <w:tabs>
          <w:tab w:pos="708" w:val="left" w:leader="none"/>
        </w:tabs>
        <w:spacing w:line="240" w:lineRule="auto" w:before="0" w:after="0"/>
        <w:ind w:left="708" w:right="139" w:hanging="284"/>
        <w:jc w:val="both"/>
        <w:rPr>
          <w:sz w:val="20"/>
        </w:rPr>
      </w:pPr>
      <w:r>
        <w:rPr>
          <w:color w:val="231F20"/>
          <w:sz w:val="20"/>
        </w:rPr>
        <w:t>культурная</w:t>
      </w:r>
      <w:r>
        <w:rPr>
          <w:color w:val="231F20"/>
          <w:spacing w:val="-3"/>
          <w:sz w:val="20"/>
        </w:rPr>
        <w:t> </w:t>
      </w:r>
      <w:r>
        <w:rPr>
          <w:color w:val="231F20"/>
          <w:sz w:val="20"/>
        </w:rPr>
        <w:t>специфика</w:t>
      </w:r>
      <w:r>
        <w:rPr>
          <w:color w:val="231F20"/>
          <w:spacing w:val="-3"/>
          <w:sz w:val="20"/>
        </w:rPr>
        <w:t> </w:t>
      </w:r>
      <w:r>
        <w:rPr>
          <w:color w:val="231F20"/>
          <w:sz w:val="20"/>
        </w:rPr>
        <w:t>отношения</w:t>
      </w:r>
      <w:r>
        <w:rPr>
          <w:color w:val="231F20"/>
          <w:spacing w:val="-3"/>
          <w:sz w:val="20"/>
        </w:rPr>
        <w:t> </w:t>
      </w:r>
      <w:r>
        <w:rPr>
          <w:color w:val="231F20"/>
          <w:sz w:val="20"/>
        </w:rPr>
        <w:t>к</w:t>
      </w:r>
      <w:r>
        <w:rPr>
          <w:color w:val="231F20"/>
          <w:spacing w:val="-3"/>
          <w:sz w:val="20"/>
        </w:rPr>
        <w:t> </w:t>
      </w:r>
      <w:r>
        <w:rPr>
          <w:color w:val="231F20"/>
          <w:sz w:val="20"/>
        </w:rPr>
        <w:t>разным</w:t>
      </w:r>
      <w:r>
        <w:rPr>
          <w:color w:val="231F20"/>
          <w:spacing w:val="-3"/>
          <w:sz w:val="20"/>
        </w:rPr>
        <w:t> </w:t>
      </w:r>
      <w:r>
        <w:rPr>
          <w:color w:val="231F20"/>
          <w:sz w:val="20"/>
        </w:rPr>
        <w:t>ситуациям</w:t>
      </w:r>
      <w:r>
        <w:rPr>
          <w:color w:val="231F20"/>
          <w:spacing w:val="-3"/>
          <w:sz w:val="20"/>
        </w:rPr>
        <w:t> </w:t>
      </w:r>
      <w:r>
        <w:rPr>
          <w:color w:val="231F20"/>
          <w:sz w:val="20"/>
        </w:rPr>
        <w:t>взаимодействия,</w:t>
      </w:r>
      <w:r>
        <w:rPr>
          <w:color w:val="231F20"/>
          <w:spacing w:val="-3"/>
          <w:sz w:val="20"/>
        </w:rPr>
        <w:t> </w:t>
      </w:r>
      <w:r>
        <w:rPr>
          <w:color w:val="231F20"/>
          <w:sz w:val="20"/>
        </w:rPr>
        <w:t>куль- турные</w:t>
      </w:r>
      <w:r>
        <w:rPr>
          <w:color w:val="231F20"/>
          <w:spacing w:val="-10"/>
          <w:sz w:val="20"/>
        </w:rPr>
        <w:t> </w:t>
      </w:r>
      <w:r>
        <w:rPr>
          <w:color w:val="231F20"/>
          <w:sz w:val="20"/>
        </w:rPr>
        <w:t>синдромы</w:t>
      </w:r>
      <w:r>
        <w:rPr>
          <w:color w:val="231F20"/>
          <w:spacing w:val="-10"/>
          <w:sz w:val="20"/>
        </w:rPr>
        <w:t> </w:t>
      </w:r>
      <w:r>
        <w:rPr>
          <w:color w:val="231F20"/>
          <w:sz w:val="20"/>
        </w:rPr>
        <w:t>и</w:t>
      </w:r>
      <w:r>
        <w:rPr>
          <w:color w:val="231F20"/>
          <w:spacing w:val="-10"/>
          <w:sz w:val="20"/>
        </w:rPr>
        <w:t> </w:t>
      </w:r>
      <w:r>
        <w:rPr>
          <w:color w:val="231F20"/>
          <w:sz w:val="20"/>
        </w:rPr>
        <w:t>другие</w:t>
      </w:r>
      <w:r>
        <w:rPr>
          <w:color w:val="231F20"/>
          <w:spacing w:val="-10"/>
          <w:sz w:val="20"/>
        </w:rPr>
        <w:t> </w:t>
      </w:r>
      <w:r>
        <w:rPr>
          <w:color w:val="231F20"/>
          <w:sz w:val="20"/>
        </w:rPr>
        <w:t>культурные</w:t>
      </w:r>
      <w:r>
        <w:rPr>
          <w:color w:val="231F20"/>
          <w:spacing w:val="-10"/>
          <w:sz w:val="20"/>
        </w:rPr>
        <w:t> </w:t>
      </w:r>
      <w:r>
        <w:rPr>
          <w:color w:val="231F20"/>
          <w:sz w:val="20"/>
        </w:rPr>
        <w:t>особенности,</w:t>
      </w:r>
      <w:r>
        <w:rPr>
          <w:color w:val="231F20"/>
          <w:spacing w:val="-10"/>
          <w:sz w:val="20"/>
        </w:rPr>
        <w:t> </w:t>
      </w:r>
      <w:r>
        <w:rPr>
          <w:color w:val="231F20"/>
          <w:sz w:val="20"/>
        </w:rPr>
        <w:t>важные</w:t>
      </w:r>
      <w:r>
        <w:rPr>
          <w:color w:val="231F20"/>
          <w:spacing w:val="-10"/>
          <w:sz w:val="20"/>
        </w:rPr>
        <w:t> </w:t>
      </w:r>
      <w:r>
        <w:rPr>
          <w:color w:val="231F20"/>
          <w:sz w:val="20"/>
        </w:rPr>
        <w:t>в</w:t>
      </w:r>
      <w:r>
        <w:rPr>
          <w:color w:val="231F20"/>
          <w:spacing w:val="-10"/>
          <w:sz w:val="20"/>
        </w:rPr>
        <w:t> </w:t>
      </w:r>
      <w:r>
        <w:rPr>
          <w:color w:val="231F20"/>
          <w:sz w:val="20"/>
        </w:rPr>
        <w:t>ситуации</w:t>
      </w:r>
      <w:r>
        <w:rPr>
          <w:color w:val="231F20"/>
          <w:spacing w:val="-10"/>
          <w:sz w:val="20"/>
        </w:rPr>
        <w:t> </w:t>
      </w:r>
      <w:r>
        <w:rPr>
          <w:color w:val="231F20"/>
          <w:sz w:val="20"/>
        </w:rPr>
        <w:t>адап- </w:t>
      </w:r>
      <w:r>
        <w:rPr>
          <w:color w:val="231F20"/>
          <w:spacing w:val="-2"/>
          <w:sz w:val="20"/>
        </w:rPr>
        <w:t>тации.</w:t>
      </w:r>
    </w:p>
    <w:p>
      <w:pPr>
        <w:pStyle w:val="BodyText"/>
        <w:spacing w:line="237" w:lineRule="auto"/>
      </w:pPr>
      <w:r>
        <w:rPr>
          <w:color w:val="231F20"/>
        </w:rPr>
        <w:t>Участники</w:t>
      </w:r>
      <w:r>
        <w:rPr>
          <w:color w:val="231F20"/>
          <w:spacing w:val="-4"/>
        </w:rPr>
        <w:t> </w:t>
      </w:r>
      <w:r>
        <w:rPr>
          <w:color w:val="231F20"/>
        </w:rPr>
        <w:t>возвращаются</w:t>
      </w:r>
      <w:r>
        <w:rPr>
          <w:color w:val="231F20"/>
          <w:spacing w:val="-4"/>
        </w:rPr>
        <w:t> </w:t>
      </w:r>
      <w:r>
        <w:rPr>
          <w:color w:val="231F20"/>
        </w:rPr>
        <w:t>к</w:t>
      </w:r>
      <w:r>
        <w:rPr>
          <w:color w:val="231F20"/>
          <w:spacing w:val="-4"/>
        </w:rPr>
        <w:t> </w:t>
      </w:r>
      <w:r>
        <w:rPr>
          <w:color w:val="231F20"/>
        </w:rPr>
        <w:t>списку</w:t>
      </w:r>
      <w:r>
        <w:rPr>
          <w:color w:val="231F20"/>
          <w:spacing w:val="-4"/>
        </w:rPr>
        <w:t> </w:t>
      </w:r>
      <w:r>
        <w:rPr>
          <w:color w:val="231F20"/>
        </w:rPr>
        <w:t>признаков</w:t>
      </w:r>
      <w:r>
        <w:rPr>
          <w:color w:val="231F20"/>
          <w:spacing w:val="-4"/>
        </w:rPr>
        <w:t> </w:t>
      </w:r>
      <w:r>
        <w:rPr>
          <w:color w:val="231F20"/>
        </w:rPr>
        <w:t>и</w:t>
      </w:r>
      <w:r>
        <w:rPr>
          <w:color w:val="231F20"/>
          <w:spacing w:val="-4"/>
        </w:rPr>
        <w:t> </w:t>
      </w:r>
      <w:r>
        <w:rPr>
          <w:color w:val="231F20"/>
        </w:rPr>
        <w:t>пробуют</w:t>
      </w:r>
      <w:r>
        <w:rPr>
          <w:color w:val="231F20"/>
          <w:spacing w:val="-4"/>
        </w:rPr>
        <w:t> </w:t>
      </w:r>
      <w:r>
        <w:rPr>
          <w:color w:val="231F20"/>
        </w:rPr>
        <w:t>описать</w:t>
      </w:r>
      <w:r>
        <w:rPr>
          <w:color w:val="231F20"/>
          <w:spacing w:val="-4"/>
        </w:rPr>
        <w:t> </w:t>
      </w:r>
      <w:r>
        <w:rPr>
          <w:color w:val="231F20"/>
        </w:rPr>
        <w:t>факты,</w:t>
      </w:r>
      <w:r>
        <w:rPr>
          <w:color w:val="231F20"/>
          <w:spacing w:val="-4"/>
        </w:rPr>
        <w:t> </w:t>
      </w:r>
      <w:r>
        <w:rPr>
          <w:color w:val="231F20"/>
        </w:rPr>
        <w:t>которые разворачивают содержание признаков. Например, признак «вовлеченности учени- ков в процесс»: участники обсуждения могут фиксировать уровень вовлеченности, факторы, повлиявшие на вовлеченность учеников, гипотезы, почему вовлеченность менялась в ходе урока и какие приемы были продуктивными для вовлечения, какие приемы</w:t>
      </w:r>
      <w:r>
        <w:rPr>
          <w:color w:val="231F20"/>
          <w:spacing w:val="-6"/>
        </w:rPr>
        <w:t> </w:t>
      </w:r>
      <w:r>
        <w:rPr>
          <w:color w:val="231F20"/>
        </w:rPr>
        <w:t>можно</w:t>
      </w:r>
      <w:r>
        <w:rPr>
          <w:color w:val="231F20"/>
          <w:spacing w:val="-4"/>
        </w:rPr>
        <w:t> </w:t>
      </w:r>
      <w:r>
        <w:rPr>
          <w:color w:val="231F20"/>
        </w:rPr>
        <w:t>было</w:t>
      </w:r>
      <w:r>
        <w:rPr>
          <w:color w:val="231F20"/>
          <w:spacing w:val="-4"/>
        </w:rPr>
        <w:t> </w:t>
      </w:r>
      <w:r>
        <w:rPr>
          <w:color w:val="231F20"/>
        </w:rPr>
        <w:t>бы</w:t>
      </w:r>
      <w:r>
        <w:rPr>
          <w:color w:val="231F20"/>
          <w:spacing w:val="-3"/>
        </w:rPr>
        <w:t> </w:t>
      </w:r>
      <w:r>
        <w:rPr>
          <w:color w:val="231F20"/>
        </w:rPr>
        <w:t>использовать</w:t>
      </w:r>
      <w:r>
        <w:rPr>
          <w:color w:val="231F20"/>
          <w:spacing w:val="-4"/>
        </w:rPr>
        <w:t> </w:t>
      </w:r>
      <w:r>
        <w:rPr>
          <w:color w:val="231F20"/>
        </w:rPr>
        <w:t>еще</w:t>
      </w:r>
      <w:r>
        <w:rPr>
          <w:color w:val="231F20"/>
          <w:spacing w:val="-4"/>
        </w:rPr>
        <w:t> </w:t>
      </w:r>
      <w:r>
        <w:rPr>
          <w:color w:val="231F20"/>
        </w:rPr>
        <w:t>(какие</w:t>
      </w:r>
      <w:r>
        <w:rPr>
          <w:color w:val="231F20"/>
          <w:spacing w:val="-3"/>
        </w:rPr>
        <w:t> </w:t>
      </w:r>
      <w:r>
        <w:rPr>
          <w:color w:val="231F20"/>
        </w:rPr>
        <w:t>приемы</w:t>
      </w:r>
      <w:r>
        <w:rPr>
          <w:color w:val="231F20"/>
          <w:spacing w:val="-4"/>
        </w:rPr>
        <w:t> </w:t>
      </w:r>
      <w:r>
        <w:rPr>
          <w:color w:val="231F20"/>
        </w:rPr>
        <w:t>обычно</w:t>
      </w:r>
      <w:r>
        <w:rPr>
          <w:color w:val="231F20"/>
          <w:spacing w:val="-4"/>
        </w:rPr>
        <w:t> </w:t>
      </w:r>
      <w:r>
        <w:rPr>
          <w:color w:val="231F20"/>
        </w:rPr>
        <w:t>использует</w:t>
      </w:r>
      <w:r>
        <w:rPr>
          <w:color w:val="231F20"/>
          <w:spacing w:val="-3"/>
        </w:rPr>
        <w:t> </w:t>
      </w:r>
      <w:r>
        <w:rPr>
          <w:color w:val="231F20"/>
          <w:spacing w:val="-2"/>
        </w:rPr>
        <w:t>наблю-</w:t>
      </w:r>
    </w:p>
    <w:p>
      <w:pPr>
        <w:pStyle w:val="BodyText"/>
        <w:spacing w:after="0" w:line="237" w:lineRule="auto"/>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pStyle w:val="BodyText"/>
        <w:spacing w:line="235" w:lineRule="auto" w:before="116"/>
        <w:ind w:firstLine="0"/>
      </w:pPr>
      <w:r>
        <w:rPr>
          <w:color w:val="231F20"/>
        </w:rPr>
        <w:t>дающий в аналогичных случаях). Очень важно на этом этапе не позволять участни- кам критиковать и обесценивать те приемы и методы работы, которые использовал автор урока. Важно заменять фразу: «это неправильно, не подходит», на фразу «в этом моменте я бы поступил иначе». Руководителю группы и помощнику важно об- ращать внимание участников на отказ от оценочных суждений.</w:t>
      </w:r>
    </w:p>
    <w:p>
      <w:pPr>
        <w:pStyle w:val="BodyText"/>
        <w:spacing w:line="235" w:lineRule="auto" w:before="3"/>
      </w:pPr>
      <w:r>
        <w:rPr>
          <w:color w:val="231F20"/>
        </w:rPr>
        <w:t>Если будет необходимо посмотреть видео или послушать аудио еще раз, лучше </w:t>
      </w:r>
      <w:r>
        <w:rPr>
          <w:color w:val="231F20"/>
          <w:spacing w:val="-2"/>
        </w:rPr>
        <w:t>всего</w:t>
      </w:r>
      <w:r>
        <w:rPr>
          <w:color w:val="231F20"/>
          <w:spacing w:val="-3"/>
        </w:rPr>
        <w:t> </w:t>
      </w:r>
      <w:r>
        <w:rPr>
          <w:color w:val="231F20"/>
          <w:spacing w:val="-2"/>
        </w:rPr>
        <w:t>это</w:t>
      </w:r>
      <w:r>
        <w:rPr>
          <w:color w:val="231F20"/>
          <w:spacing w:val="-3"/>
        </w:rPr>
        <w:t> </w:t>
      </w:r>
      <w:r>
        <w:rPr>
          <w:color w:val="231F20"/>
          <w:spacing w:val="-2"/>
        </w:rPr>
        <w:t>сделать</w:t>
      </w:r>
      <w:r>
        <w:rPr>
          <w:color w:val="231F20"/>
          <w:spacing w:val="-3"/>
        </w:rPr>
        <w:t> </w:t>
      </w:r>
      <w:r>
        <w:rPr>
          <w:color w:val="231F20"/>
          <w:spacing w:val="-2"/>
        </w:rPr>
        <w:t>в</w:t>
      </w:r>
      <w:r>
        <w:rPr>
          <w:color w:val="231F20"/>
          <w:spacing w:val="-3"/>
        </w:rPr>
        <w:t> </w:t>
      </w:r>
      <w:r>
        <w:rPr>
          <w:color w:val="231F20"/>
          <w:spacing w:val="-2"/>
        </w:rPr>
        <w:t>режиме</w:t>
      </w:r>
      <w:r>
        <w:rPr>
          <w:color w:val="231F20"/>
          <w:spacing w:val="-3"/>
        </w:rPr>
        <w:t> </w:t>
      </w:r>
      <w:r>
        <w:rPr>
          <w:color w:val="231F20"/>
          <w:spacing w:val="-2"/>
        </w:rPr>
        <w:t>стоп-кадра,</w:t>
      </w:r>
      <w:r>
        <w:rPr>
          <w:color w:val="231F20"/>
          <w:spacing w:val="-5"/>
        </w:rPr>
        <w:t> </w:t>
      </w:r>
      <w:r>
        <w:rPr>
          <w:color w:val="231F20"/>
          <w:spacing w:val="-2"/>
        </w:rPr>
        <w:t>когда</w:t>
      </w:r>
      <w:r>
        <w:rPr>
          <w:color w:val="231F20"/>
          <w:spacing w:val="-3"/>
        </w:rPr>
        <w:t> </w:t>
      </w:r>
      <w:r>
        <w:rPr>
          <w:color w:val="231F20"/>
          <w:spacing w:val="-2"/>
        </w:rPr>
        <w:t>видео</w:t>
      </w:r>
      <w:r>
        <w:rPr>
          <w:color w:val="231F20"/>
          <w:spacing w:val="-3"/>
        </w:rPr>
        <w:t> </w:t>
      </w:r>
      <w:r>
        <w:rPr>
          <w:color w:val="231F20"/>
          <w:spacing w:val="-2"/>
        </w:rPr>
        <w:t>останавливается</w:t>
      </w:r>
      <w:r>
        <w:rPr>
          <w:color w:val="231F20"/>
          <w:spacing w:val="-5"/>
        </w:rPr>
        <w:t> </w:t>
      </w:r>
      <w:r>
        <w:rPr>
          <w:color w:val="231F20"/>
          <w:spacing w:val="-2"/>
        </w:rPr>
        <w:t>по</w:t>
      </w:r>
      <w:r>
        <w:rPr>
          <w:color w:val="231F20"/>
          <w:spacing w:val="-3"/>
        </w:rPr>
        <w:t> </w:t>
      </w:r>
      <w:r>
        <w:rPr>
          <w:color w:val="231F20"/>
          <w:spacing w:val="-2"/>
        </w:rPr>
        <w:t>запросу</w:t>
      </w:r>
      <w:r>
        <w:rPr>
          <w:color w:val="231F20"/>
          <w:spacing w:val="-3"/>
        </w:rPr>
        <w:t> </w:t>
      </w:r>
      <w:r>
        <w:rPr>
          <w:color w:val="231F20"/>
          <w:spacing w:val="-2"/>
        </w:rPr>
        <w:t>участ- </w:t>
      </w:r>
      <w:r>
        <w:rPr>
          <w:color w:val="231F20"/>
        </w:rPr>
        <w:t>ника или руководителя. Не стоит предлагать участнику, представляющему случай, делать</w:t>
      </w:r>
      <w:r>
        <w:rPr>
          <w:color w:val="231F20"/>
          <w:spacing w:val="-6"/>
        </w:rPr>
        <w:t> </w:t>
      </w:r>
      <w:r>
        <w:rPr>
          <w:color w:val="231F20"/>
        </w:rPr>
        <w:t>остановку</w:t>
      </w:r>
      <w:r>
        <w:rPr>
          <w:color w:val="231F20"/>
          <w:spacing w:val="-6"/>
        </w:rPr>
        <w:t> </w:t>
      </w:r>
      <w:r>
        <w:rPr>
          <w:color w:val="231F20"/>
        </w:rPr>
        <w:t>самостоятельно.</w:t>
      </w:r>
      <w:r>
        <w:rPr>
          <w:color w:val="231F20"/>
          <w:spacing w:val="-6"/>
        </w:rPr>
        <w:t> </w:t>
      </w:r>
      <w:r>
        <w:rPr>
          <w:color w:val="231F20"/>
        </w:rPr>
        <w:t>Важно</w:t>
      </w:r>
      <w:r>
        <w:rPr>
          <w:color w:val="231F20"/>
          <w:spacing w:val="-6"/>
        </w:rPr>
        <w:t> </w:t>
      </w:r>
      <w:r>
        <w:rPr>
          <w:color w:val="231F20"/>
        </w:rPr>
        <w:t>понимать,</w:t>
      </w:r>
      <w:r>
        <w:rPr>
          <w:color w:val="231F20"/>
          <w:spacing w:val="-6"/>
        </w:rPr>
        <w:t> </w:t>
      </w:r>
      <w:r>
        <w:rPr>
          <w:color w:val="231F20"/>
        </w:rPr>
        <w:t>что</w:t>
      </w:r>
      <w:r>
        <w:rPr>
          <w:color w:val="231F20"/>
          <w:spacing w:val="-6"/>
        </w:rPr>
        <w:t> </w:t>
      </w:r>
      <w:r>
        <w:rPr>
          <w:color w:val="231F20"/>
        </w:rPr>
        <w:t>у</w:t>
      </w:r>
      <w:r>
        <w:rPr>
          <w:color w:val="231F20"/>
          <w:spacing w:val="-6"/>
        </w:rPr>
        <w:t> </w:t>
      </w:r>
      <w:r>
        <w:rPr>
          <w:color w:val="231F20"/>
        </w:rPr>
        <w:t>участника,</w:t>
      </w:r>
      <w:r>
        <w:rPr>
          <w:color w:val="231F20"/>
          <w:spacing w:val="-6"/>
        </w:rPr>
        <w:t> </w:t>
      </w:r>
      <w:r>
        <w:rPr>
          <w:color w:val="231F20"/>
        </w:rPr>
        <w:t>демонстрирую- щего</w:t>
      </w:r>
      <w:r>
        <w:rPr>
          <w:color w:val="231F20"/>
          <w:spacing w:val="-13"/>
        </w:rPr>
        <w:t> </w:t>
      </w:r>
      <w:r>
        <w:rPr>
          <w:color w:val="231F20"/>
        </w:rPr>
        <w:t>видео</w:t>
      </w:r>
      <w:r>
        <w:rPr>
          <w:color w:val="231F20"/>
          <w:spacing w:val="-12"/>
        </w:rPr>
        <w:t> </w:t>
      </w:r>
      <w:r>
        <w:rPr>
          <w:color w:val="231F20"/>
        </w:rPr>
        <w:t>своего</w:t>
      </w:r>
      <w:r>
        <w:rPr>
          <w:color w:val="231F20"/>
          <w:spacing w:val="-13"/>
        </w:rPr>
        <w:t> </w:t>
      </w:r>
      <w:r>
        <w:rPr>
          <w:color w:val="231F20"/>
        </w:rPr>
        <w:t>урока,</w:t>
      </w:r>
      <w:r>
        <w:rPr>
          <w:color w:val="231F20"/>
          <w:spacing w:val="-12"/>
        </w:rPr>
        <w:t> </w:t>
      </w:r>
      <w:r>
        <w:rPr>
          <w:color w:val="231F20"/>
        </w:rPr>
        <w:t>может</w:t>
      </w:r>
      <w:r>
        <w:rPr>
          <w:color w:val="231F20"/>
          <w:spacing w:val="-13"/>
        </w:rPr>
        <w:t> </w:t>
      </w:r>
      <w:r>
        <w:rPr>
          <w:color w:val="231F20"/>
        </w:rPr>
        <w:t>быть</w:t>
      </w:r>
      <w:r>
        <w:rPr>
          <w:color w:val="231F20"/>
          <w:spacing w:val="-12"/>
        </w:rPr>
        <w:t> </w:t>
      </w:r>
      <w:r>
        <w:rPr>
          <w:color w:val="231F20"/>
        </w:rPr>
        <w:t>высокий</w:t>
      </w:r>
      <w:r>
        <w:rPr>
          <w:color w:val="231F20"/>
          <w:spacing w:val="-13"/>
        </w:rPr>
        <w:t> </w:t>
      </w:r>
      <w:r>
        <w:rPr>
          <w:color w:val="231F20"/>
        </w:rPr>
        <w:t>уровень</w:t>
      </w:r>
      <w:r>
        <w:rPr>
          <w:color w:val="231F20"/>
          <w:spacing w:val="-12"/>
        </w:rPr>
        <w:t> </w:t>
      </w:r>
      <w:r>
        <w:rPr>
          <w:color w:val="231F20"/>
        </w:rPr>
        <w:t>тревоги,</w:t>
      </w:r>
      <w:r>
        <w:rPr>
          <w:color w:val="231F20"/>
          <w:spacing w:val="-13"/>
        </w:rPr>
        <w:t> </w:t>
      </w:r>
      <w:r>
        <w:rPr>
          <w:color w:val="231F20"/>
        </w:rPr>
        <w:t>тогда</w:t>
      </w:r>
      <w:r>
        <w:rPr>
          <w:color w:val="231F20"/>
          <w:spacing w:val="-12"/>
        </w:rPr>
        <w:t> </w:t>
      </w:r>
      <w:r>
        <w:rPr>
          <w:color w:val="231F20"/>
        </w:rPr>
        <w:t>он</w:t>
      </w:r>
      <w:r>
        <w:rPr>
          <w:color w:val="231F20"/>
          <w:spacing w:val="-13"/>
        </w:rPr>
        <w:t> </w:t>
      </w:r>
      <w:r>
        <w:rPr>
          <w:color w:val="231F20"/>
        </w:rPr>
        <w:t>будет</w:t>
      </w:r>
      <w:r>
        <w:rPr>
          <w:color w:val="231F20"/>
          <w:spacing w:val="-12"/>
        </w:rPr>
        <w:t> </w:t>
      </w:r>
      <w:r>
        <w:rPr>
          <w:color w:val="231F20"/>
        </w:rPr>
        <w:t>делать остановки</w:t>
      </w:r>
      <w:r>
        <w:rPr>
          <w:color w:val="231F20"/>
          <w:spacing w:val="-6"/>
        </w:rPr>
        <w:t> </w:t>
      </w:r>
      <w:r>
        <w:rPr>
          <w:color w:val="231F20"/>
        </w:rPr>
        <w:t>слишком</w:t>
      </w:r>
      <w:r>
        <w:rPr>
          <w:color w:val="231F20"/>
          <w:spacing w:val="-6"/>
        </w:rPr>
        <w:t> </w:t>
      </w:r>
      <w:r>
        <w:rPr>
          <w:color w:val="231F20"/>
        </w:rPr>
        <w:t>часто,</w:t>
      </w:r>
      <w:r>
        <w:rPr>
          <w:color w:val="231F20"/>
          <w:spacing w:val="-6"/>
        </w:rPr>
        <w:t> </w:t>
      </w:r>
      <w:r>
        <w:rPr>
          <w:color w:val="231F20"/>
        </w:rPr>
        <w:t>что</w:t>
      </w:r>
      <w:r>
        <w:rPr>
          <w:color w:val="231F20"/>
          <w:spacing w:val="-6"/>
        </w:rPr>
        <w:t> </w:t>
      </w:r>
      <w:r>
        <w:rPr>
          <w:color w:val="231F20"/>
        </w:rPr>
        <w:t>не</w:t>
      </w:r>
      <w:r>
        <w:rPr>
          <w:color w:val="231F20"/>
          <w:spacing w:val="-6"/>
        </w:rPr>
        <w:t> </w:t>
      </w:r>
      <w:r>
        <w:rPr>
          <w:color w:val="231F20"/>
        </w:rPr>
        <w:t>позволит</w:t>
      </w:r>
      <w:r>
        <w:rPr>
          <w:color w:val="231F20"/>
          <w:spacing w:val="-5"/>
        </w:rPr>
        <w:t> </w:t>
      </w:r>
      <w:r>
        <w:rPr>
          <w:color w:val="231F20"/>
        </w:rPr>
        <w:t>погрузиться</w:t>
      </w:r>
      <w:r>
        <w:rPr>
          <w:color w:val="231F20"/>
          <w:spacing w:val="-6"/>
        </w:rPr>
        <w:t> </w:t>
      </w:r>
      <w:r>
        <w:rPr>
          <w:color w:val="231F20"/>
        </w:rPr>
        <w:t>в</w:t>
      </w:r>
      <w:r>
        <w:rPr>
          <w:color w:val="231F20"/>
          <w:spacing w:val="-6"/>
        </w:rPr>
        <w:t> </w:t>
      </w:r>
      <w:r>
        <w:rPr>
          <w:color w:val="231F20"/>
        </w:rPr>
        <w:t>эмоциональную</w:t>
      </w:r>
      <w:r>
        <w:rPr>
          <w:color w:val="231F20"/>
          <w:spacing w:val="-6"/>
        </w:rPr>
        <w:t> </w:t>
      </w:r>
      <w:r>
        <w:rPr>
          <w:color w:val="231F20"/>
        </w:rPr>
        <w:t>атмосферу взаимодействия. Поэтому важно, чтобы руководитель оставил за собой право оста- навливать видео урока.</w:t>
      </w:r>
    </w:p>
    <w:p>
      <w:pPr>
        <w:spacing w:line="235" w:lineRule="auto" w:before="145"/>
        <w:ind w:left="141" w:right="139" w:firstLine="283"/>
        <w:jc w:val="both"/>
        <w:rPr>
          <w:b/>
          <w:i/>
          <w:sz w:val="20"/>
        </w:rPr>
      </w:pPr>
      <w:r>
        <w:rPr>
          <w:b/>
          <w:i/>
          <w:color w:val="231F20"/>
          <w:sz w:val="20"/>
        </w:rPr>
        <w:t>Последовательность проведения этапа, реплики ведущего (примерный сце- </w:t>
      </w:r>
      <w:r>
        <w:rPr>
          <w:b/>
          <w:i/>
          <w:color w:val="231F20"/>
          <w:spacing w:val="-2"/>
          <w:sz w:val="20"/>
        </w:rPr>
        <w:t>нарий)</w:t>
      </w:r>
    </w:p>
    <w:p>
      <w:pPr>
        <w:spacing w:line="235" w:lineRule="auto" w:before="1"/>
        <w:ind w:left="141" w:right="139" w:firstLine="283"/>
        <w:jc w:val="both"/>
        <w:rPr>
          <w:i/>
          <w:sz w:val="20"/>
        </w:rPr>
      </w:pPr>
      <w:r>
        <w:rPr>
          <w:b/>
          <w:i/>
          <w:color w:val="231F20"/>
          <w:sz w:val="20"/>
        </w:rPr>
        <w:t>Ведущий</w:t>
      </w:r>
      <w:r>
        <w:rPr>
          <w:i/>
          <w:color w:val="231F20"/>
          <w:sz w:val="20"/>
        </w:rPr>
        <w:t>. Давайте подумаем теперь, как ваши чувства, образы и высказывания могут соотноситься с представленным трудным случаем?</w:t>
      </w:r>
    </w:p>
    <w:p>
      <w:pPr>
        <w:pStyle w:val="BodyText"/>
        <w:spacing w:line="235" w:lineRule="auto" w:before="1"/>
      </w:pPr>
      <w:r>
        <w:rPr>
          <w:color w:val="231F20"/>
        </w:rPr>
        <w:t>Участники</w:t>
      </w:r>
      <w:r>
        <w:rPr>
          <w:color w:val="231F20"/>
          <w:spacing w:val="-1"/>
        </w:rPr>
        <w:t> </w:t>
      </w:r>
      <w:r>
        <w:rPr>
          <w:color w:val="231F20"/>
        </w:rPr>
        <w:t>высказываются.</w:t>
      </w:r>
      <w:r>
        <w:rPr>
          <w:color w:val="231F20"/>
          <w:spacing w:val="-1"/>
        </w:rPr>
        <w:t> </w:t>
      </w:r>
      <w:r>
        <w:rPr>
          <w:color w:val="231F20"/>
        </w:rPr>
        <w:t>Задача</w:t>
      </w:r>
      <w:r>
        <w:rPr>
          <w:color w:val="231F20"/>
          <w:spacing w:val="-1"/>
        </w:rPr>
        <w:t> </w:t>
      </w:r>
      <w:r>
        <w:rPr>
          <w:color w:val="231F20"/>
        </w:rPr>
        <w:t>ведущего</w:t>
      </w:r>
      <w:r>
        <w:rPr>
          <w:color w:val="231F20"/>
          <w:spacing w:val="-1"/>
        </w:rPr>
        <w:t> </w:t>
      </w:r>
      <w:r>
        <w:rPr>
          <w:color w:val="231F20"/>
        </w:rPr>
        <w:t>–</w:t>
      </w:r>
      <w:r>
        <w:rPr>
          <w:color w:val="231F20"/>
          <w:spacing w:val="-1"/>
        </w:rPr>
        <w:t> </w:t>
      </w:r>
      <w:r>
        <w:rPr>
          <w:color w:val="231F20"/>
        </w:rPr>
        <w:t>быть</w:t>
      </w:r>
      <w:r>
        <w:rPr>
          <w:color w:val="231F20"/>
          <w:spacing w:val="-1"/>
        </w:rPr>
        <w:t> </w:t>
      </w:r>
      <w:r>
        <w:rPr>
          <w:color w:val="231F20"/>
        </w:rPr>
        <w:t>модератором</w:t>
      </w:r>
      <w:r>
        <w:rPr>
          <w:color w:val="231F20"/>
          <w:spacing w:val="-1"/>
        </w:rPr>
        <w:t> </w:t>
      </w:r>
      <w:r>
        <w:rPr>
          <w:color w:val="231F20"/>
        </w:rPr>
        <w:t>группового</w:t>
      </w:r>
      <w:r>
        <w:rPr>
          <w:color w:val="231F20"/>
          <w:spacing w:val="-1"/>
        </w:rPr>
        <w:t> </w:t>
      </w:r>
      <w:r>
        <w:rPr>
          <w:color w:val="231F20"/>
        </w:rPr>
        <w:t>об- суждения: стимулировать участников высказываться, но отслеживать правила. Осо- бенно важно предостеречь участников от оценок и обесценивания, не давать крити- ковать участника, представляющего случай, и друг друга.</w:t>
      </w:r>
    </w:p>
    <w:p>
      <w:pPr>
        <w:spacing w:line="235" w:lineRule="auto" w:before="3"/>
        <w:ind w:left="141" w:right="139" w:firstLine="283"/>
        <w:jc w:val="both"/>
        <w:rPr>
          <w:i/>
          <w:sz w:val="20"/>
        </w:rPr>
      </w:pPr>
      <w:r>
        <w:rPr>
          <w:b/>
          <w:i/>
          <w:color w:val="231F20"/>
          <w:sz w:val="20"/>
        </w:rPr>
        <w:t>Ведущий</w:t>
      </w:r>
      <w:r>
        <w:rPr>
          <w:i/>
          <w:color w:val="231F20"/>
          <w:sz w:val="20"/>
        </w:rPr>
        <w:t>.</w:t>
      </w:r>
      <w:r>
        <w:rPr>
          <w:i/>
          <w:color w:val="231F20"/>
          <w:spacing w:val="-11"/>
          <w:sz w:val="20"/>
        </w:rPr>
        <w:t> </w:t>
      </w:r>
      <w:r>
        <w:rPr>
          <w:i/>
          <w:color w:val="231F20"/>
          <w:sz w:val="20"/>
        </w:rPr>
        <w:t>Обратите</w:t>
      </w:r>
      <w:r>
        <w:rPr>
          <w:i/>
          <w:color w:val="231F20"/>
          <w:spacing w:val="-11"/>
          <w:sz w:val="20"/>
        </w:rPr>
        <w:t> </w:t>
      </w:r>
      <w:r>
        <w:rPr>
          <w:i/>
          <w:color w:val="231F20"/>
          <w:sz w:val="20"/>
        </w:rPr>
        <w:t>внимание,</w:t>
      </w:r>
      <w:r>
        <w:rPr>
          <w:i/>
          <w:color w:val="231F20"/>
          <w:spacing w:val="-11"/>
          <w:sz w:val="20"/>
        </w:rPr>
        <w:t> </w:t>
      </w:r>
      <w:r>
        <w:rPr>
          <w:i/>
          <w:color w:val="231F20"/>
          <w:sz w:val="20"/>
        </w:rPr>
        <w:t>к</w:t>
      </w:r>
      <w:r>
        <w:rPr>
          <w:i/>
          <w:color w:val="231F20"/>
          <w:spacing w:val="-11"/>
          <w:sz w:val="20"/>
        </w:rPr>
        <w:t> </w:t>
      </w:r>
      <w:r>
        <w:rPr>
          <w:i/>
          <w:color w:val="231F20"/>
          <w:sz w:val="20"/>
        </w:rPr>
        <w:t>какому</w:t>
      </w:r>
      <w:r>
        <w:rPr>
          <w:i/>
          <w:color w:val="231F20"/>
          <w:spacing w:val="-11"/>
          <w:sz w:val="20"/>
        </w:rPr>
        <w:t> </w:t>
      </w:r>
      <w:r>
        <w:rPr>
          <w:i/>
          <w:color w:val="231F20"/>
          <w:sz w:val="20"/>
        </w:rPr>
        <w:t>типу</w:t>
      </w:r>
      <w:r>
        <w:rPr>
          <w:i/>
          <w:color w:val="231F20"/>
          <w:spacing w:val="-11"/>
          <w:sz w:val="20"/>
        </w:rPr>
        <w:t> </w:t>
      </w:r>
      <w:r>
        <w:rPr>
          <w:i/>
          <w:color w:val="231F20"/>
          <w:sz w:val="20"/>
        </w:rPr>
        <w:t>относится</w:t>
      </w:r>
      <w:r>
        <w:rPr>
          <w:i/>
          <w:color w:val="231F20"/>
          <w:spacing w:val="-11"/>
          <w:sz w:val="20"/>
        </w:rPr>
        <w:t> </w:t>
      </w:r>
      <w:r>
        <w:rPr>
          <w:i/>
          <w:color w:val="231F20"/>
          <w:sz w:val="20"/>
        </w:rPr>
        <w:t>рассматриваемый</w:t>
      </w:r>
      <w:r>
        <w:rPr>
          <w:i/>
          <w:color w:val="231F20"/>
          <w:spacing w:val="-11"/>
          <w:sz w:val="20"/>
        </w:rPr>
        <w:t> </w:t>
      </w:r>
      <w:r>
        <w:rPr>
          <w:i/>
          <w:color w:val="231F20"/>
          <w:sz w:val="20"/>
        </w:rPr>
        <w:t>слу- чай</w:t>
      </w:r>
      <w:r>
        <w:rPr>
          <w:i/>
          <w:color w:val="231F20"/>
          <w:spacing w:val="-13"/>
          <w:sz w:val="20"/>
        </w:rPr>
        <w:t> </w:t>
      </w:r>
      <w:r>
        <w:rPr>
          <w:i/>
          <w:color w:val="231F20"/>
          <w:sz w:val="20"/>
        </w:rPr>
        <w:t>и</w:t>
      </w:r>
      <w:r>
        <w:rPr>
          <w:i/>
          <w:color w:val="231F20"/>
          <w:spacing w:val="-12"/>
          <w:sz w:val="20"/>
        </w:rPr>
        <w:t> </w:t>
      </w:r>
      <w:r>
        <w:rPr>
          <w:i/>
          <w:color w:val="231F20"/>
          <w:sz w:val="20"/>
        </w:rPr>
        <w:t>какие</w:t>
      </w:r>
      <w:r>
        <w:rPr>
          <w:i/>
          <w:color w:val="231F20"/>
          <w:spacing w:val="-13"/>
          <w:sz w:val="20"/>
        </w:rPr>
        <w:t> </w:t>
      </w:r>
      <w:r>
        <w:rPr>
          <w:i/>
          <w:color w:val="231F20"/>
          <w:sz w:val="20"/>
        </w:rPr>
        <w:t>аспекты</w:t>
      </w:r>
      <w:r>
        <w:rPr>
          <w:i/>
          <w:color w:val="231F20"/>
          <w:spacing w:val="-12"/>
          <w:sz w:val="20"/>
        </w:rPr>
        <w:t> </w:t>
      </w:r>
      <w:r>
        <w:rPr>
          <w:i/>
          <w:color w:val="231F20"/>
          <w:sz w:val="20"/>
        </w:rPr>
        <w:t>обсуждения</w:t>
      </w:r>
      <w:r>
        <w:rPr>
          <w:i/>
          <w:color w:val="231F20"/>
          <w:spacing w:val="-13"/>
          <w:sz w:val="20"/>
        </w:rPr>
        <w:t> </w:t>
      </w:r>
      <w:r>
        <w:rPr>
          <w:i/>
          <w:color w:val="231F20"/>
          <w:sz w:val="20"/>
        </w:rPr>
        <w:t>могут</w:t>
      </w:r>
      <w:r>
        <w:rPr>
          <w:i/>
          <w:color w:val="231F20"/>
          <w:spacing w:val="-12"/>
          <w:sz w:val="20"/>
        </w:rPr>
        <w:t> </w:t>
      </w:r>
      <w:r>
        <w:rPr>
          <w:i/>
          <w:color w:val="231F20"/>
          <w:sz w:val="20"/>
        </w:rPr>
        <w:t>быть</w:t>
      </w:r>
      <w:r>
        <w:rPr>
          <w:i/>
          <w:color w:val="231F20"/>
          <w:spacing w:val="-13"/>
          <w:sz w:val="20"/>
        </w:rPr>
        <w:t> </w:t>
      </w:r>
      <w:r>
        <w:rPr>
          <w:i/>
          <w:color w:val="231F20"/>
          <w:sz w:val="20"/>
        </w:rPr>
        <w:t>важны.</w:t>
      </w:r>
      <w:r>
        <w:rPr>
          <w:i/>
          <w:color w:val="231F20"/>
          <w:spacing w:val="-12"/>
          <w:sz w:val="20"/>
        </w:rPr>
        <w:t> </w:t>
      </w:r>
      <w:r>
        <w:rPr>
          <w:color w:val="231F20"/>
          <w:sz w:val="20"/>
        </w:rPr>
        <w:t>(Ведущий</w:t>
      </w:r>
      <w:r>
        <w:rPr>
          <w:color w:val="231F20"/>
          <w:spacing w:val="-13"/>
          <w:sz w:val="20"/>
        </w:rPr>
        <w:t> </w:t>
      </w:r>
      <w:r>
        <w:rPr>
          <w:color w:val="231F20"/>
          <w:sz w:val="20"/>
        </w:rPr>
        <w:t>называет</w:t>
      </w:r>
      <w:r>
        <w:rPr>
          <w:color w:val="231F20"/>
          <w:spacing w:val="-12"/>
          <w:sz w:val="20"/>
        </w:rPr>
        <w:t> </w:t>
      </w:r>
      <w:r>
        <w:rPr>
          <w:color w:val="231F20"/>
          <w:sz w:val="20"/>
        </w:rPr>
        <w:t>тип</w:t>
      </w:r>
      <w:r>
        <w:rPr>
          <w:color w:val="231F20"/>
          <w:spacing w:val="-13"/>
          <w:sz w:val="20"/>
        </w:rPr>
        <w:t> </w:t>
      </w:r>
      <w:r>
        <w:rPr>
          <w:color w:val="231F20"/>
          <w:sz w:val="20"/>
        </w:rPr>
        <w:t>случая и</w:t>
      </w:r>
      <w:r>
        <w:rPr>
          <w:color w:val="231F20"/>
          <w:spacing w:val="-12"/>
          <w:sz w:val="20"/>
        </w:rPr>
        <w:t> </w:t>
      </w:r>
      <w:r>
        <w:rPr>
          <w:color w:val="231F20"/>
          <w:sz w:val="20"/>
        </w:rPr>
        <w:t>проговаривает</w:t>
      </w:r>
      <w:r>
        <w:rPr>
          <w:color w:val="231F20"/>
          <w:spacing w:val="-10"/>
          <w:sz w:val="20"/>
        </w:rPr>
        <w:t> </w:t>
      </w:r>
      <w:r>
        <w:rPr>
          <w:color w:val="231F20"/>
          <w:sz w:val="20"/>
        </w:rPr>
        <w:t>возможные</w:t>
      </w:r>
      <w:r>
        <w:rPr>
          <w:color w:val="231F20"/>
          <w:spacing w:val="-10"/>
          <w:sz w:val="20"/>
        </w:rPr>
        <w:t> </w:t>
      </w:r>
      <w:r>
        <w:rPr>
          <w:color w:val="231F20"/>
          <w:sz w:val="20"/>
        </w:rPr>
        <w:t>аспекты</w:t>
      </w:r>
      <w:r>
        <w:rPr>
          <w:color w:val="231F20"/>
          <w:spacing w:val="-10"/>
          <w:sz w:val="20"/>
        </w:rPr>
        <w:t> </w:t>
      </w:r>
      <w:r>
        <w:rPr>
          <w:color w:val="231F20"/>
          <w:sz w:val="20"/>
        </w:rPr>
        <w:t>анализа</w:t>
      </w:r>
      <w:r>
        <w:rPr>
          <w:color w:val="231F20"/>
          <w:spacing w:val="-10"/>
          <w:sz w:val="20"/>
        </w:rPr>
        <w:t> </w:t>
      </w:r>
      <w:r>
        <w:rPr>
          <w:color w:val="231F20"/>
          <w:sz w:val="20"/>
        </w:rPr>
        <w:t>–</w:t>
      </w:r>
      <w:r>
        <w:rPr>
          <w:color w:val="231F20"/>
          <w:spacing w:val="-10"/>
          <w:sz w:val="20"/>
        </w:rPr>
        <w:t> </w:t>
      </w:r>
      <w:r>
        <w:rPr>
          <w:color w:val="231F20"/>
          <w:sz w:val="20"/>
        </w:rPr>
        <w:t>см.</w:t>
      </w:r>
      <w:r>
        <w:rPr>
          <w:color w:val="231F20"/>
          <w:spacing w:val="-10"/>
          <w:sz w:val="20"/>
        </w:rPr>
        <w:t> </w:t>
      </w:r>
      <w:r>
        <w:rPr>
          <w:color w:val="231F20"/>
          <w:sz w:val="20"/>
        </w:rPr>
        <w:t>выше).</w:t>
      </w:r>
      <w:r>
        <w:rPr>
          <w:color w:val="231F20"/>
          <w:spacing w:val="-10"/>
          <w:sz w:val="20"/>
        </w:rPr>
        <w:t> </w:t>
      </w:r>
      <w:r>
        <w:rPr>
          <w:i/>
          <w:color w:val="231F20"/>
          <w:sz w:val="20"/>
        </w:rPr>
        <w:t>Как</w:t>
      </w:r>
      <w:r>
        <w:rPr>
          <w:i/>
          <w:color w:val="231F20"/>
          <w:spacing w:val="-10"/>
          <w:sz w:val="20"/>
        </w:rPr>
        <w:t> </w:t>
      </w:r>
      <w:r>
        <w:rPr>
          <w:i/>
          <w:color w:val="231F20"/>
          <w:sz w:val="20"/>
        </w:rPr>
        <w:t>бы</w:t>
      </w:r>
      <w:r>
        <w:rPr>
          <w:i/>
          <w:color w:val="231F20"/>
          <w:spacing w:val="-10"/>
          <w:sz w:val="20"/>
        </w:rPr>
        <w:t> </w:t>
      </w:r>
      <w:r>
        <w:rPr>
          <w:i/>
          <w:color w:val="231F20"/>
          <w:sz w:val="20"/>
        </w:rPr>
        <w:t>вы</w:t>
      </w:r>
      <w:r>
        <w:rPr>
          <w:i/>
          <w:color w:val="231F20"/>
          <w:spacing w:val="-10"/>
          <w:sz w:val="20"/>
        </w:rPr>
        <w:t> </w:t>
      </w:r>
      <w:r>
        <w:rPr>
          <w:i/>
          <w:color w:val="231F20"/>
          <w:sz w:val="20"/>
        </w:rPr>
        <w:t>могли</w:t>
      </w:r>
      <w:r>
        <w:rPr>
          <w:i/>
          <w:color w:val="231F20"/>
          <w:spacing w:val="-10"/>
          <w:sz w:val="20"/>
        </w:rPr>
        <w:t> </w:t>
      </w:r>
      <w:r>
        <w:rPr>
          <w:i/>
          <w:color w:val="231F20"/>
          <w:sz w:val="20"/>
        </w:rPr>
        <w:t>раскрыть какой-либо из этих аспектов?</w:t>
      </w:r>
    </w:p>
    <w:p>
      <w:pPr>
        <w:pStyle w:val="BodyText"/>
        <w:spacing w:line="235" w:lineRule="auto" w:before="2"/>
      </w:pPr>
      <w:r>
        <w:rPr>
          <w:color w:val="231F20"/>
        </w:rPr>
        <w:t>При желании участник, представивший случай, может присоединиться к некото- рым моментам обсуждения.</w:t>
      </w:r>
    </w:p>
    <w:p>
      <w:pPr>
        <w:pStyle w:val="BodyText"/>
        <w:spacing w:line="235" w:lineRule="auto" w:before="1"/>
      </w:pPr>
      <w:r>
        <w:rPr>
          <w:color w:val="231F20"/>
        </w:rPr>
        <w:t>Ведущий продолжает модерировать обсуждение, побуждая участников занять активную позицию. Обращает внимание группы на негативные эмоциональные ре- акции или пассивность части группы, предлагая обсудить возможные причины та- ких</w:t>
      </w:r>
      <w:r>
        <w:rPr>
          <w:color w:val="231F20"/>
          <w:spacing w:val="-4"/>
        </w:rPr>
        <w:t> </w:t>
      </w:r>
      <w:r>
        <w:rPr>
          <w:color w:val="231F20"/>
        </w:rPr>
        <w:t>реакций.</w:t>
      </w:r>
      <w:r>
        <w:rPr>
          <w:color w:val="231F20"/>
          <w:spacing w:val="-4"/>
        </w:rPr>
        <w:t> </w:t>
      </w:r>
      <w:r>
        <w:rPr>
          <w:color w:val="231F20"/>
        </w:rPr>
        <w:t>Обсуждение</w:t>
      </w:r>
      <w:r>
        <w:rPr>
          <w:color w:val="231F20"/>
          <w:spacing w:val="-4"/>
        </w:rPr>
        <w:t> </w:t>
      </w:r>
      <w:r>
        <w:rPr>
          <w:color w:val="231F20"/>
        </w:rPr>
        <w:t>заканчивается</w:t>
      </w:r>
      <w:r>
        <w:rPr>
          <w:color w:val="231F20"/>
          <w:spacing w:val="-4"/>
        </w:rPr>
        <w:t> </w:t>
      </w:r>
      <w:r>
        <w:rPr>
          <w:color w:val="231F20"/>
        </w:rPr>
        <w:t>за</w:t>
      </w:r>
      <w:r>
        <w:rPr>
          <w:color w:val="231F20"/>
          <w:spacing w:val="-4"/>
        </w:rPr>
        <w:t> </w:t>
      </w:r>
      <w:r>
        <w:rPr>
          <w:color w:val="231F20"/>
        </w:rPr>
        <w:t>10</w:t>
      </w:r>
      <w:r>
        <w:rPr>
          <w:color w:val="231F20"/>
          <w:spacing w:val="-4"/>
        </w:rPr>
        <w:t> </w:t>
      </w:r>
      <w:r>
        <w:rPr>
          <w:color w:val="231F20"/>
        </w:rPr>
        <w:t>минут</w:t>
      </w:r>
      <w:r>
        <w:rPr>
          <w:color w:val="231F20"/>
          <w:spacing w:val="-4"/>
        </w:rPr>
        <w:t> </w:t>
      </w:r>
      <w:r>
        <w:rPr>
          <w:color w:val="231F20"/>
        </w:rPr>
        <w:t>до</w:t>
      </w:r>
      <w:r>
        <w:rPr>
          <w:color w:val="231F20"/>
          <w:spacing w:val="-4"/>
        </w:rPr>
        <w:t> </w:t>
      </w:r>
      <w:r>
        <w:rPr>
          <w:color w:val="231F20"/>
        </w:rPr>
        <w:t>завершающего</w:t>
      </w:r>
      <w:r>
        <w:rPr>
          <w:color w:val="231F20"/>
          <w:spacing w:val="-4"/>
        </w:rPr>
        <w:t> </w:t>
      </w:r>
      <w:r>
        <w:rPr>
          <w:color w:val="231F20"/>
        </w:rPr>
        <w:t>этапа</w:t>
      </w:r>
      <w:r>
        <w:rPr>
          <w:color w:val="231F20"/>
          <w:spacing w:val="-4"/>
        </w:rPr>
        <w:t> </w:t>
      </w:r>
      <w:r>
        <w:rPr>
          <w:color w:val="231F20"/>
        </w:rPr>
        <w:t>работы </w:t>
      </w:r>
      <w:r>
        <w:rPr>
          <w:color w:val="231F20"/>
          <w:spacing w:val="-2"/>
        </w:rPr>
        <w:t>группы.</w:t>
      </w:r>
    </w:p>
    <w:p>
      <w:pPr>
        <w:spacing w:line="229" w:lineRule="exact" w:before="0"/>
        <w:ind w:left="425" w:right="0" w:firstLine="0"/>
        <w:jc w:val="both"/>
        <w:rPr>
          <w:i/>
          <w:sz w:val="20"/>
        </w:rPr>
      </w:pPr>
      <w:r>
        <w:rPr>
          <w:b/>
          <w:i/>
          <w:color w:val="231F20"/>
          <w:spacing w:val="-2"/>
          <w:sz w:val="20"/>
        </w:rPr>
        <w:t>Ведущий</w:t>
      </w:r>
      <w:r>
        <w:rPr>
          <w:color w:val="231F20"/>
          <w:spacing w:val="-2"/>
          <w:sz w:val="20"/>
        </w:rPr>
        <w:t>.</w:t>
      </w:r>
      <w:r>
        <w:rPr>
          <w:color w:val="231F20"/>
          <w:spacing w:val="-10"/>
          <w:sz w:val="20"/>
        </w:rPr>
        <w:t> </w:t>
      </w:r>
      <w:r>
        <w:rPr>
          <w:i/>
          <w:color w:val="231F20"/>
          <w:spacing w:val="-2"/>
          <w:sz w:val="20"/>
        </w:rPr>
        <w:t>Обсуждение</w:t>
      </w:r>
      <w:r>
        <w:rPr>
          <w:i/>
          <w:color w:val="231F20"/>
          <w:spacing w:val="-7"/>
          <w:sz w:val="20"/>
        </w:rPr>
        <w:t> </w:t>
      </w:r>
      <w:r>
        <w:rPr>
          <w:i/>
          <w:color w:val="231F20"/>
          <w:spacing w:val="-2"/>
          <w:sz w:val="20"/>
        </w:rPr>
        <w:t>заканчиваем</w:t>
      </w:r>
      <w:r>
        <w:rPr>
          <w:i/>
          <w:color w:val="231F20"/>
          <w:spacing w:val="-7"/>
          <w:sz w:val="20"/>
        </w:rPr>
        <w:t> </w:t>
      </w:r>
      <w:r>
        <w:rPr>
          <w:i/>
          <w:color w:val="231F20"/>
          <w:spacing w:val="-2"/>
          <w:sz w:val="20"/>
        </w:rPr>
        <w:t>и</w:t>
      </w:r>
      <w:r>
        <w:rPr>
          <w:i/>
          <w:color w:val="231F20"/>
          <w:spacing w:val="-7"/>
          <w:sz w:val="20"/>
        </w:rPr>
        <w:t> </w:t>
      </w:r>
      <w:r>
        <w:rPr>
          <w:i/>
          <w:color w:val="231F20"/>
          <w:spacing w:val="-2"/>
          <w:sz w:val="20"/>
        </w:rPr>
        <w:t>переходим</w:t>
      </w:r>
      <w:r>
        <w:rPr>
          <w:i/>
          <w:color w:val="231F20"/>
          <w:spacing w:val="-7"/>
          <w:sz w:val="20"/>
        </w:rPr>
        <w:t> </w:t>
      </w:r>
      <w:r>
        <w:rPr>
          <w:i/>
          <w:color w:val="231F20"/>
          <w:spacing w:val="-2"/>
          <w:sz w:val="20"/>
        </w:rPr>
        <w:t>к</w:t>
      </w:r>
      <w:r>
        <w:rPr>
          <w:i/>
          <w:color w:val="231F20"/>
          <w:spacing w:val="-7"/>
          <w:sz w:val="20"/>
        </w:rPr>
        <w:t> </w:t>
      </w:r>
      <w:r>
        <w:rPr>
          <w:i/>
          <w:color w:val="231F20"/>
          <w:spacing w:val="-2"/>
          <w:sz w:val="20"/>
        </w:rPr>
        <w:t>завершению</w:t>
      </w:r>
      <w:r>
        <w:rPr>
          <w:i/>
          <w:color w:val="231F20"/>
          <w:spacing w:val="-7"/>
          <w:sz w:val="20"/>
        </w:rPr>
        <w:t> </w:t>
      </w:r>
      <w:r>
        <w:rPr>
          <w:i/>
          <w:color w:val="231F20"/>
          <w:spacing w:val="-2"/>
          <w:sz w:val="20"/>
        </w:rPr>
        <w:t>групповой</w:t>
      </w:r>
      <w:r>
        <w:rPr>
          <w:i/>
          <w:color w:val="231F20"/>
          <w:spacing w:val="-7"/>
          <w:sz w:val="20"/>
        </w:rPr>
        <w:t> </w:t>
      </w:r>
      <w:r>
        <w:rPr>
          <w:i/>
          <w:color w:val="231F20"/>
          <w:spacing w:val="-2"/>
          <w:sz w:val="20"/>
        </w:rPr>
        <w:t>работы.</w:t>
      </w:r>
    </w:p>
    <w:p>
      <w:pPr>
        <w:spacing w:line="228" w:lineRule="exact" w:before="176"/>
        <w:ind w:left="425" w:right="0" w:firstLine="0"/>
        <w:jc w:val="left"/>
        <w:rPr>
          <w:b/>
          <w:i/>
          <w:sz w:val="20"/>
        </w:rPr>
      </w:pPr>
      <w:r>
        <w:rPr>
          <w:b/>
          <w:i/>
          <w:color w:val="231F20"/>
          <w:sz w:val="20"/>
        </w:rPr>
        <w:t>Этап</w:t>
      </w:r>
      <w:r>
        <w:rPr>
          <w:b/>
          <w:i/>
          <w:color w:val="231F20"/>
          <w:spacing w:val="-4"/>
          <w:sz w:val="20"/>
        </w:rPr>
        <w:t> </w:t>
      </w:r>
      <w:r>
        <w:rPr>
          <w:b/>
          <w:i/>
          <w:color w:val="231F20"/>
          <w:sz w:val="20"/>
        </w:rPr>
        <w:t>4.</w:t>
      </w:r>
      <w:r>
        <w:rPr>
          <w:b/>
          <w:i/>
          <w:color w:val="231F20"/>
          <w:spacing w:val="-2"/>
          <w:sz w:val="20"/>
        </w:rPr>
        <w:t> </w:t>
      </w:r>
      <w:r>
        <w:rPr>
          <w:b/>
          <w:i/>
          <w:color w:val="231F20"/>
          <w:sz w:val="20"/>
        </w:rPr>
        <w:t>Завершение</w:t>
      </w:r>
      <w:r>
        <w:rPr>
          <w:b/>
          <w:i/>
          <w:color w:val="231F20"/>
          <w:spacing w:val="-2"/>
          <w:sz w:val="20"/>
        </w:rPr>
        <w:t> </w:t>
      </w:r>
      <w:r>
        <w:rPr>
          <w:b/>
          <w:i/>
          <w:color w:val="231F20"/>
          <w:sz w:val="20"/>
        </w:rPr>
        <w:t>работы</w:t>
      </w:r>
      <w:r>
        <w:rPr>
          <w:b/>
          <w:i/>
          <w:color w:val="231F20"/>
          <w:spacing w:val="-2"/>
          <w:sz w:val="20"/>
        </w:rPr>
        <w:t> группы</w:t>
      </w:r>
    </w:p>
    <w:p>
      <w:pPr>
        <w:pStyle w:val="BodyText"/>
        <w:spacing w:line="226" w:lineRule="exact"/>
        <w:ind w:left="425" w:right="0" w:firstLine="0"/>
        <w:jc w:val="left"/>
      </w:pPr>
      <w:r>
        <w:rPr>
          <w:i/>
          <w:color w:val="231F20"/>
        </w:rPr>
        <w:t>Цель:</w:t>
      </w:r>
      <w:r>
        <w:rPr>
          <w:i/>
          <w:color w:val="231F20"/>
          <w:spacing w:val="-10"/>
        </w:rPr>
        <w:t> </w:t>
      </w:r>
      <w:r>
        <w:rPr>
          <w:color w:val="231F20"/>
        </w:rPr>
        <w:t>завершить</w:t>
      </w:r>
      <w:r>
        <w:rPr>
          <w:color w:val="231F20"/>
          <w:spacing w:val="-7"/>
        </w:rPr>
        <w:t> </w:t>
      </w:r>
      <w:r>
        <w:rPr>
          <w:color w:val="231F20"/>
        </w:rPr>
        <w:t>работу</w:t>
      </w:r>
      <w:r>
        <w:rPr>
          <w:color w:val="231F20"/>
          <w:spacing w:val="-7"/>
        </w:rPr>
        <w:t> </w:t>
      </w:r>
      <w:r>
        <w:rPr>
          <w:color w:val="231F20"/>
        </w:rPr>
        <w:t>группы,</w:t>
      </w:r>
      <w:r>
        <w:rPr>
          <w:color w:val="231F20"/>
          <w:spacing w:val="-6"/>
        </w:rPr>
        <w:t> </w:t>
      </w:r>
      <w:r>
        <w:rPr>
          <w:color w:val="231F20"/>
        </w:rPr>
        <w:t>подвести</w:t>
      </w:r>
      <w:r>
        <w:rPr>
          <w:color w:val="231F20"/>
          <w:spacing w:val="-7"/>
        </w:rPr>
        <w:t> </w:t>
      </w:r>
      <w:r>
        <w:rPr>
          <w:color w:val="231F20"/>
        </w:rPr>
        <w:t>итог</w:t>
      </w:r>
      <w:r>
        <w:rPr>
          <w:color w:val="231F20"/>
          <w:spacing w:val="-8"/>
        </w:rPr>
        <w:t> </w:t>
      </w:r>
      <w:r>
        <w:rPr>
          <w:color w:val="231F20"/>
        </w:rPr>
        <w:t>обсуждения,</w:t>
      </w:r>
      <w:r>
        <w:rPr>
          <w:color w:val="231F20"/>
          <w:spacing w:val="-6"/>
        </w:rPr>
        <w:t> </w:t>
      </w:r>
      <w:r>
        <w:rPr>
          <w:color w:val="231F20"/>
        </w:rPr>
        <w:t>создать</w:t>
      </w:r>
      <w:r>
        <w:rPr>
          <w:color w:val="231F20"/>
          <w:spacing w:val="-7"/>
        </w:rPr>
        <w:t> </w:t>
      </w:r>
      <w:r>
        <w:rPr>
          <w:color w:val="231F20"/>
          <w:spacing w:val="-2"/>
        </w:rPr>
        <w:t>памятки.</w:t>
      </w:r>
    </w:p>
    <w:p>
      <w:pPr>
        <w:spacing w:line="226" w:lineRule="exact" w:before="0"/>
        <w:ind w:left="425" w:right="0" w:firstLine="0"/>
        <w:jc w:val="left"/>
        <w:rPr>
          <w:i/>
          <w:sz w:val="20"/>
        </w:rPr>
      </w:pPr>
      <w:r>
        <w:rPr>
          <w:i/>
          <w:color w:val="231F20"/>
          <w:spacing w:val="-2"/>
          <w:sz w:val="20"/>
        </w:rPr>
        <w:t>Обзор</w:t>
      </w:r>
    </w:p>
    <w:p>
      <w:pPr>
        <w:spacing w:line="235" w:lineRule="auto" w:before="2"/>
        <w:ind w:left="141" w:right="139" w:firstLine="283"/>
        <w:jc w:val="both"/>
        <w:rPr>
          <w:i/>
          <w:sz w:val="20"/>
        </w:rPr>
      </w:pPr>
      <w:r>
        <w:rPr>
          <w:b/>
          <w:i/>
          <w:color w:val="231F20"/>
          <w:sz w:val="20"/>
        </w:rPr>
        <w:t>Ведущий.</w:t>
      </w:r>
      <w:r>
        <w:rPr>
          <w:b/>
          <w:i/>
          <w:color w:val="231F20"/>
          <w:spacing w:val="-3"/>
          <w:sz w:val="20"/>
        </w:rPr>
        <w:t> </w:t>
      </w:r>
      <w:r>
        <w:rPr>
          <w:i/>
          <w:color w:val="231F20"/>
          <w:sz w:val="20"/>
        </w:rPr>
        <w:t>Как</w:t>
      </w:r>
      <w:r>
        <w:rPr>
          <w:i/>
          <w:color w:val="231F20"/>
          <w:spacing w:val="-3"/>
          <w:sz w:val="20"/>
        </w:rPr>
        <w:t> </w:t>
      </w:r>
      <w:r>
        <w:rPr>
          <w:i/>
          <w:color w:val="231F20"/>
          <w:sz w:val="20"/>
        </w:rPr>
        <w:t>бы</w:t>
      </w:r>
      <w:r>
        <w:rPr>
          <w:i/>
          <w:color w:val="231F20"/>
          <w:spacing w:val="-3"/>
          <w:sz w:val="20"/>
        </w:rPr>
        <w:t> </w:t>
      </w:r>
      <w:r>
        <w:rPr>
          <w:i/>
          <w:color w:val="231F20"/>
          <w:sz w:val="20"/>
        </w:rPr>
        <w:t>вы</w:t>
      </w:r>
      <w:r>
        <w:rPr>
          <w:i/>
          <w:color w:val="231F20"/>
          <w:spacing w:val="-3"/>
          <w:sz w:val="20"/>
        </w:rPr>
        <w:t> </w:t>
      </w:r>
      <w:r>
        <w:rPr>
          <w:i/>
          <w:color w:val="231F20"/>
          <w:sz w:val="20"/>
        </w:rPr>
        <w:t>ответили</w:t>
      </w:r>
      <w:r>
        <w:rPr>
          <w:i/>
          <w:color w:val="231F20"/>
          <w:spacing w:val="-3"/>
          <w:sz w:val="20"/>
        </w:rPr>
        <w:t> </w:t>
      </w:r>
      <w:r>
        <w:rPr>
          <w:i/>
          <w:color w:val="231F20"/>
          <w:sz w:val="20"/>
        </w:rPr>
        <w:t>на</w:t>
      </w:r>
      <w:r>
        <w:rPr>
          <w:i/>
          <w:color w:val="231F20"/>
          <w:spacing w:val="-3"/>
          <w:sz w:val="20"/>
        </w:rPr>
        <w:t> </w:t>
      </w:r>
      <w:r>
        <w:rPr>
          <w:i/>
          <w:color w:val="231F20"/>
          <w:sz w:val="20"/>
        </w:rPr>
        <w:t>запрос</w:t>
      </w:r>
      <w:r>
        <w:rPr>
          <w:i/>
          <w:color w:val="231F20"/>
          <w:spacing w:val="-3"/>
          <w:sz w:val="20"/>
        </w:rPr>
        <w:t> </w:t>
      </w:r>
      <w:r>
        <w:rPr>
          <w:i/>
          <w:color w:val="231F20"/>
          <w:sz w:val="20"/>
        </w:rPr>
        <w:t>участника,</w:t>
      </w:r>
      <w:r>
        <w:rPr>
          <w:i/>
          <w:color w:val="231F20"/>
          <w:spacing w:val="-3"/>
          <w:sz w:val="20"/>
        </w:rPr>
        <w:t> </w:t>
      </w:r>
      <w:r>
        <w:rPr>
          <w:i/>
          <w:color w:val="231F20"/>
          <w:sz w:val="20"/>
        </w:rPr>
        <w:t>представившего</w:t>
      </w:r>
      <w:r>
        <w:rPr>
          <w:i/>
          <w:color w:val="231F20"/>
          <w:spacing w:val="-3"/>
          <w:sz w:val="20"/>
        </w:rPr>
        <w:t> </w:t>
      </w:r>
      <w:r>
        <w:rPr>
          <w:i/>
          <w:color w:val="231F20"/>
          <w:sz w:val="20"/>
        </w:rPr>
        <w:t>случай</w:t>
      </w:r>
      <w:r>
        <w:rPr>
          <w:i/>
          <w:color w:val="231F20"/>
          <w:spacing w:val="-3"/>
          <w:sz w:val="20"/>
        </w:rPr>
        <w:t> </w:t>
      </w:r>
      <w:r>
        <w:rPr>
          <w:i/>
          <w:color w:val="231F20"/>
          <w:sz w:val="20"/>
        </w:rPr>
        <w:t>для </w:t>
      </w:r>
      <w:r>
        <w:rPr>
          <w:i/>
          <w:color w:val="231F20"/>
          <w:spacing w:val="-2"/>
          <w:sz w:val="20"/>
        </w:rPr>
        <w:t>обсуждения?</w:t>
      </w:r>
    </w:p>
    <w:p>
      <w:pPr>
        <w:pStyle w:val="BodyText"/>
        <w:spacing w:line="235" w:lineRule="auto" w:before="1"/>
      </w:pPr>
      <w:r>
        <w:rPr>
          <w:color w:val="231F20"/>
        </w:rPr>
        <w:t>На этом этапе группа возвращается к психолого-педагогическому анализу ситу- ации на уроке и высказывает свои суждения, как бы можно было ответить на этот запрос.</w:t>
      </w:r>
      <w:r>
        <w:rPr>
          <w:color w:val="231F20"/>
          <w:spacing w:val="-5"/>
        </w:rPr>
        <w:t> </w:t>
      </w:r>
      <w:r>
        <w:rPr>
          <w:color w:val="231F20"/>
        </w:rPr>
        <w:t>Важно,</w:t>
      </w:r>
      <w:r>
        <w:rPr>
          <w:color w:val="231F20"/>
          <w:spacing w:val="-5"/>
        </w:rPr>
        <w:t> </w:t>
      </w:r>
      <w:r>
        <w:rPr>
          <w:color w:val="231F20"/>
        </w:rPr>
        <w:t>чтобы</w:t>
      </w:r>
      <w:r>
        <w:rPr>
          <w:color w:val="231F20"/>
          <w:spacing w:val="-5"/>
        </w:rPr>
        <w:t> </w:t>
      </w:r>
      <w:r>
        <w:rPr>
          <w:color w:val="231F20"/>
        </w:rPr>
        <w:t>участник</w:t>
      </w:r>
      <w:r>
        <w:rPr>
          <w:color w:val="231F20"/>
          <w:spacing w:val="-5"/>
        </w:rPr>
        <w:t> </w:t>
      </w:r>
      <w:r>
        <w:rPr>
          <w:color w:val="231F20"/>
        </w:rPr>
        <w:t>не</w:t>
      </w:r>
      <w:r>
        <w:rPr>
          <w:color w:val="231F20"/>
          <w:spacing w:val="-5"/>
        </w:rPr>
        <w:t> </w:t>
      </w:r>
      <w:r>
        <w:rPr>
          <w:color w:val="231F20"/>
        </w:rPr>
        <w:t>вовлекался</w:t>
      </w:r>
      <w:r>
        <w:rPr>
          <w:color w:val="231F20"/>
          <w:spacing w:val="-5"/>
        </w:rPr>
        <w:t> </w:t>
      </w:r>
      <w:r>
        <w:rPr>
          <w:color w:val="231F20"/>
        </w:rPr>
        <w:t>в</w:t>
      </w:r>
      <w:r>
        <w:rPr>
          <w:color w:val="231F20"/>
          <w:spacing w:val="-5"/>
        </w:rPr>
        <w:t> </w:t>
      </w:r>
      <w:r>
        <w:rPr>
          <w:color w:val="231F20"/>
        </w:rPr>
        <w:t>обсуждение,</w:t>
      </w:r>
      <w:r>
        <w:rPr>
          <w:color w:val="231F20"/>
          <w:spacing w:val="-5"/>
        </w:rPr>
        <w:t> </w:t>
      </w:r>
      <w:r>
        <w:rPr>
          <w:color w:val="231F20"/>
        </w:rPr>
        <w:t>а</w:t>
      </w:r>
      <w:r>
        <w:rPr>
          <w:color w:val="231F20"/>
          <w:spacing w:val="-5"/>
        </w:rPr>
        <w:t> </w:t>
      </w:r>
      <w:r>
        <w:rPr>
          <w:color w:val="231F20"/>
        </w:rPr>
        <w:t>оставался</w:t>
      </w:r>
      <w:r>
        <w:rPr>
          <w:color w:val="231F20"/>
          <w:spacing w:val="-5"/>
        </w:rPr>
        <w:t> </w:t>
      </w:r>
      <w:r>
        <w:rPr>
          <w:color w:val="231F20"/>
        </w:rPr>
        <w:t>«за</w:t>
      </w:r>
      <w:r>
        <w:rPr>
          <w:color w:val="231F20"/>
          <w:spacing w:val="-5"/>
        </w:rPr>
        <w:t> </w:t>
      </w:r>
      <w:r>
        <w:rPr>
          <w:color w:val="231F20"/>
        </w:rPr>
        <w:t>кругом» обсуждения. Это необходимо для сохранения эмоциональной безопасности, а так- же</w:t>
      </w:r>
      <w:r>
        <w:rPr>
          <w:color w:val="231F20"/>
          <w:spacing w:val="-7"/>
        </w:rPr>
        <w:t> </w:t>
      </w:r>
      <w:r>
        <w:rPr>
          <w:color w:val="231F20"/>
        </w:rPr>
        <w:t>для</w:t>
      </w:r>
      <w:r>
        <w:rPr>
          <w:color w:val="231F20"/>
          <w:spacing w:val="-7"/>
        </w:rPr>
        <w:t> </w:t>
      </w:r>
      <w:r>
        <w:rPr>
          <w:color w:val="231F20"/>
        </w:rPr>
        <w:t>активизации</w:t>
      </w:r>
      <w:r>
        <w:rPr>
          <w:color w:val="231F20"/>
          <w:spacing w:val="-7"/>
        </w:rPr>
        <w:t> </w:t>
      </w:r>
      <w:r>
        <w:rPr>
          <w:color w:val="231F20"/>
        </w:rPr>
        <w:t>группового</w:t>
      </w:r>
      <w:r>
        <w:rPr>
          <w:color w:val="231F20"/>
          <w:spacing w:val="-7"/>
        </w:rPr>
        <w:t> </w:t>
      </w:r>
      <w:r>
        <w:rPr>
          <w:color w:val="231F20"/>
        </w:rPr>
        <w:t>мышления.</w:t>
      </w:r>
      <w:r>
        <w:rPr>
          <w:color w:val="231F20"/>
          <w:spacing w:val="-7"/>
        </w:rPr>
        <w:t> </w:t>
      </w:r>
      <w:r>
        <w:rPr>
          <w:color w:val="231F20"/>
        </w:rPr>
        <w:t>Включение</w:t>
      </w:r>
      <w:r>
        <w:rPr>
          <w:color w:val="231F20"/>
          <w:spacing w:val="-7"/>
        </w:rPr>
        <w:t> </w:t>
      </w:r>
      <w:r>
        <w:rPr>
          <w:color w:val="231F20"/>
        </w:rPr>
        <w:t>участника</w:t>
      </w:r>
      <w:r>
        <w:rPr>
          <w:color w:val="231F20"/>
          <w:spacing w:val="-7"/>
        </w:rPr>
        <w:t> </w:t>
      </w:r>
      <w:r>
        <w:rPr>
          <w:color w:val="231F20"/>
        </w:rPr>
        <w:t>в</w:t>
      </w:r>
      <w:r>
        <w:rPr>
          <w:color w:val="231F20"/>
          <w:spacing w:val="-7"/>
        </w:rPr>
        <w:t> </w:t>
      </w:r>
      <w:r>
        <w:rPr>
          <w:color w:val="231F20"/>
        </w:rPr>
        <w:t>работу</w:t>
      </w:r>
      <w:r>
        <w:rPr>
          <w:color w:val="231F20"/>
          <w:spacing w:val="-7"/>
        </w:rPr>
        <w:t> </w:t>
      </w:r>
      <w:r>
        <w:rPr>
          <w:color w:val="231F20"/>
        </w:rPr>
        <w:t>приводит к тому, что другие участники группы вовлекаются в дискуссию относительно вер-</w:t>
      </w:r>
    </w:p>
    <w:p>
      <w:pPr>
        <w:pStyle w:val="BodyText"/>
        <w:spacing w:after="0" w:line="235" w:lineRule="auto"/>
        <w:sectPr>
          <w:pgSz w:w="8400" w:h="11910"/>
          <w:pgMar w:header="0" w:footer="529" w:top="400" w:bottom="740" w:left="425" w:right="425"/>
        </w:sectPr>
      </w:pPr>
    </w:p>
    <w:p>
      <w:pPr>
        <w:spacing w:before="80"/>
        <w:ind w:left="141" w:right="0" w:firstLine="0"/>
        <w:jc w:val="left"/>
        <w:rPr>
          <w:rFonts w:ascii="Georgia" w:hAnsi="Georgia"/>
          <w:sz w:val="18"/>
        </w:rPr>
      </w:pPr>
      <w:r>
        <w:rPr>
          <w:rFonts w:ascii="Georgia" w:hAnsi="Georgia"/>
          <w:color w:val="231F20"/>
          <w:sz w:val="18"/>
        </w:rPr>
        <w:t>2.2.</w:t>
      </w:r>
      <w:r>
        <w:rPr>
          <w:rFonts w:ascii="Georgia" w:hAnsi="Georgia"/>
          <w:color w:val="231F20"/>
          <w:spacing w:val="-3"/>
          <w:sz w:val="18"/>
        </w:rPr>
        <w:t> </w:t>
      </w:r>
      <w:r>
        <w:rPr>
          <w:rFonts w:ascii="Georgia" w:hAnsi="Georgia"/>
          <w:color w:val="231F20"/>
          <w:sz w:val="18"/>
        </w:rPr>
        <w:t>Алгоритм</w:t>
      </w:r>
      <w:r>
        <w:rPr>
          <w:rFonts w:ascii="Georgia" w:hAnsi="Georgia"/>
          <w:color w:val="231F20"/>
          <w:spacing w:val="-3"/>
          <w:sz w:val="18"/>
        </w:rPr>
        <w:t> </w:t>
      </w:r>
      <w:r>
        <w:rPr>
          <w:rFonts w:ascii="Georgia" w:hAnsi="Georgia"/>
          <w:color w:val="231F20"/>
          <w:sz w:val="18"/>
        </w:rPr>
        <w:t>разбора</w:t>
      </w:r>
      <w:r>
        <w:rPr>
          <w:rFonts w:ascii="Georgia" w:hAnsi="Georgia"/>
          <w:color w:val="231F20"/>
          <w:spacing w:val="-3"/>
          <w:sz w:val="18"/>
        </w:rPr>
        <w:t> </w:t>
      </w:r>
      <w:r>
        <w:rPr>
          <w:rFonts w:ascii="Georgia" w:hAnsi="Georgia"/>
          <w:color w:val="231F20"/>
          <w:sz w:val="18"/>
        </w:rPr>
        <w:t>педагогического</w:t>
      </w:r>
      <w:r>
        <w:rPr>
          <w:rFonts w:ascii="Georgia" w:hAnsi="Georgia"/>
          <w:color w:val="231F20"/>
          <w:spacing w:val="-3"/>
          <w:sz w:val="18"/>
        </w:rPr>
        <w:t> </w:t>
      </w:r>
      <w:r>
        <w:rPr>
          <w:rFonts w:ascii="Georgia" w:hAnsi="Georgia"/>
          <w:color w:val="231F20"/>
          <w:sz w:val="18"/>
        </w:rPr>
        <w:t>случая,</w:t>
      </w:r>
      <w:r>
        <w:rPr>
          <w:rFonts w:ascii="Georgia" w:hAnsi="Georgia"/>
          <w:color w:val="231F20"/>
          <w:spacing w:val="-3"/>
          <w:sz w:val="18"/>
        </w:rPr>
        <w:t> </w:t>
      </w:r>
      <w:r>
        <w:rPr>
          <w:rFonts w:ascii="Georgia" w:hAnsi="Georgia"/>
          <w:color w:val="231F20"/>
          <w:sz w:val="18"/>
        </w:rPr>
        <w:t>связанного</w:t>
      </w:r>
      <w:r>
        <w:rPr>
          <w:rFonts w:ascii="Georgia" w:hAnsi="Georgia"/>
          <w:color w:val="231F20"/>
          <w:spacing w:val="-3"/>
          <w:sz w:val="18"/>
        </w:rPr>
        <w:t> </w:t>
      </w:r>
      <w:r>
        <w:rPr>
          <w:rFonts w:ascii="Georgia" w:hAnsi="Georgia"/>
          <w:color w:val="231F20"/>
          <w:sz w:val="18"/>
        </w:rPr>
        <w:t>с</w:t>
      </w:r>
      <w:r>
        <w:rPr>
          <w:rFonts w:ascii="Georgia" w:hAnsi="Georgia"/>
          <w:color w:val="231F20"/>
          <w:spacing w:val="-3"/>
          <w:sz w:val="18"/>
        </w:rPr>
        <w:t> </w:t>
      </w:r>
      <w:r>
        <w:rPr>
          <w:rFonts w:ascii="Georgia" w:hAnsi="Georgia"/>
          <w:color w:val="231F20"/>
          <w:sz w:val="18"/>
        </w:rPr>
        <w:t>адаптацией</w:t>
      </w:r>
      <w:r>
        <w:rPr>
          <w:rFonts w:ascii="Georgia" w:hAnsi="Georgia"/>
          <w:color w:val="231F20"/>
          <w:spacing w:val="-2"/>
          <w:sz w:val="18"/>
        </w:rPr>
        <w:t> детей</w:t>
      </w:r>
    </w:p>
    <w:p>
      <w:pPr>
        <w:pStyle w:val="BodyText"/>
        <w:spacing w:line="242" w:lineRule="auto" w:before="112"/>
        <w:ind w:firstLine="0"/>
      </w:pPr>
      <w:r>
        <w:rPr>
          <w:color w:val="231F20"/>
        </w:rPr>
        <w:t>ности своих гипотез. Важно, чтобы у участников была возможность изложить свою гипотезу и аргументировать ее только на основании впечатлений, полученных на предыдущих</w:t>
      </w:r>
      <w:r>
        <w:rPr>
          <w:color w:val="231F20"/>
          <w:spacing w:val="-9"/>
        </w:rPr>
        <w:t> </w:t>
      </w:r>
      <w:r>
        <w:rPr>
          <w:color w:val="231F20"/>
        </w:rPr>
        <w:t>этапах</w:t>
      </w:r>
      <w:r>
        <w:rPr>
          <w:color w:val="231F20"/>
          <w:spacing w:val="-9"/>
        </w:rPr>
        <w:t> </w:t>
      </w:r>
      <w:r>
        <w:rPr>
          <w:color w:val="231F20"/>
        </w:rPr>
        <w:t>работы</w:t>
      </w:r>
      <w:r>
        <w:rPr>
          <w:color w:val="231F20"/>
          <w:spacing w:val="-9"/>
        </w:rPr>
        <w:t> </w:t>
      </w:r>
      <w:r>
        <w:rPr>
          <w:color w:val="231F20"/>
        </w:rPr>
        <w:t>группы.</w:t>
      </w:r>
      <w:r>
        <w:rPr>
          <w:color w:val="231F20"/>
          <w:spacing w:val="-9"/>
        </w:rPr>
        <w:t> </w:t>
      </w:r>
      <w:r>
        <w:rPr>
          <w:color w:val="231F20"/>
        </w:rPr>
        <w:t>В</w:t>
      </w:r>
      <w:r>
        <w:rPr>
          <w:color w:val="231F20"/>
          <w:spacing w:val="-9"/>
        </w:rPr>
        <w:t> </w:t>
      </w:r>
      <w:r>
        <w:rPr>
          <w:color w:val="231F20"/>
        </w:rPr>
        <w:t>заключение</w:t>
      </w:r>
      <w:r>
        <w:rPr>
          <w:color w:val="231F20"/>
          <w:spacing w:val="-9"/>
        </w:rPr>
        <w:t> </w:t>
      </w:r>
      <w:r>
        <w:rPr>
          <w:color w:val="231F20"/>
        </w:rPr>
        <w:t>слово</w:t>
      </w:r>
      <w:r>
        <w:rPr>
          <w:color w:val="231F20"/>
          <w:spacing w:val="-9"/>
        </w:rPr>
        <w:t> </w:t>
      </w:r>
      <w:r>
        <w:rPr>
          <w:color w:val="231F20"/>
        </w:rPr>
        <w:t>предоставляется</w:t>
      </w:r>
      <w:r>
        <w:rPr>
          <w:color w:val="231F20"/>
          <w:spacing w:val="-9"/>
        </w:rPr>
        <w:t> </w:t>
      </w:r>
      <w:r>
        <w:rPr>
          <w:color w:val="231F20"/>
        </w:rPr>
        <w:t>участнику, представившему</w:t>
      </w:r>
      <w:r>
        <w:rPr>
          <w:color w:val="231F20"/>
          <w:spacing w:val="-13"/>
        </w:rPr>
        <w:t> </w:t>
      </w:r>
      <w:r>
        <w:rPr>
          <w:color w:val="231F20"/>
        </w:rPr>
        <w:t>случай.</w:t>
      </w:r>
      <w:r>
        <w:rPr>
          <w:color w:val="231F20"/>
          <w:spacing w:val="-12"/>
        </w:rPr>
        <w:t> </w:t>
      </w:r>
      <w:r>
        <w:rPr>
          <w:color w:val="231F20"/>
        </w:rPr>
        <w:t>Если</w:t>
      </w:r>
      <w:r>
        <w:rPr>
          <w:color w:val="231F20"/>
          <w:spacing w:val="-13"/>
        </w:rPr>
        <w:t> </w:t>
      </w:r>
      <w:r>
        <w:rPr>
          <w:color w:val="231F20"/>
        </w:rPr>
        <w:t>он</w:t>
      </w:r>
      <w:r>
        <w:rPr>
          <w:color w:val="231F20"/>
          <w:spacing w:val="-12"/>
        </w:rPr>
        <w:t> </w:t>
      </w:r>
      <w:r>
        <w:rPr>
          <w:color w:val="231F20"/>
        </w:rPr>
        <w:t>отказывается</w:t>
      </w:r>
      <w:r>
        <w:rPr>
          <w:color w:val="231F20"/>
          <w:spacing w:val="-13"/>
        </w:rPr>
        <w:t> </w:t>
      </w:r>
      <w:r>
        <w:rPr>
          <w:color w:val="231F20"/>
        </w:rPr>
        <w:t>от</w:t>
      </w:r>
      <w:r>
        <w:rPr>
          <w:color w:val="231F20"/>
          <w:spacing w:val="-12"/>
        </w:rPr>
        <w:t> </w:t>
      </w:r>
      <w:r>
        <w:rPr>
          <w:color w:val="231F20"/>
        </w:rPr>
        <w:t>итогового</w:t>
      </w:r>
      <w:r>
        <w:rPr>
          <w:color w:val="231F20"/>
          <w:spacing w:val="-13"/>
        </w:rPr>
        <w:t> </w:t>
      </w:r>
      <w:r>
        <w:rPr>
          <w:color w:val="231F20"/>
        </w:rPr>
        <w:t>комментария,</w:t>
      </w:r>
      <w:r>
        <w:rPr>
          <w:color w:val="231F20"/>
          <w:spacing w:val="-12"/>
        </w:rPr>
        <w:t> </w:t>
      </w:r>
      <w:r>
        <w:rPr>
          <w:color w:val="231F20"/>
        </w:rPr>
        <w:t>настаивать нельзя. Далее руководитель благодарит группу, участника, представившего случай для разбора, и приглашенных экспертов за работу.</w:t>
      </w:r>
    </w:p>
    <w:p>
      <w:pPr>
        <w:spacing w:line="242" w:lineRule="auto" w:before="0"/>
        <w:ind w:left="141" w:right="139" w:firstLine="283"/>
        <w:jc w:val="both"/>
        <w:rPr>
          <w:i/>
          <w:sz w:val="20"/>
        </w:rPr>
      </w:pPr>
      <w:r>
        <w:rPr>
          <w:color w:val="231F20"/>
          <w:sz w:val="20"/>
        </w:rPr>
        <w:t>Работа</w:t>
      </w:r>
      <w:r>
        <w:rPr>
          <w:color w:val="231F20"/>
          <w:spacing w:val="-5"/>
          <w:sz w:val="20"/>
        </w:rPr>
        <w:t> </w:t>
      </w:r>
      <w:r>
        <w:rPr>
          <w:color w:val="231F20"/>
          <w:sz w:val="20"/>
        </w:rPr>
        <w:t>группы</w:t>
      </w:r>
      <w:r>
        <w:rPr>
          <w:color w:val="231F20"/>
          <w:spacing w:val="-5"/>
          <w:sz w:val="20"/>
        </w:rPr>
        <w:t> </w:t>
      </w:r>
      <w:r>
        <w:rPr>
          <w:color w:val="231F20"/>
          <w:sz w:val="20"/>
        </w:rPr>
        <w:t>завершается</w:t>
      </w:r>
      <w:r>
        <w:rPr>
          <w:color w:val="231F20"/>
          <w:spacing w:val="-5"/>
          <w:sz w:val="20"/>
        </w:rPr>
        <w:t> </w:t>
      </w:r>
      <w:r>
        <w:rPr>
          <w:color w:val="231F20"/>
          <w:sz w:val="20"/>
        </w:rPr>
        <w:t>словами</w:t>
      </w:r>
      <w:r>
        <w:rPr>
          <w:color w:val="231F20"/>
          <w:spacing w:val="-5"/>
          <w:sz w:val="20"/>
        </w:rPr>
        <w:t> </w:t>
      </w:r>
      <w:r>
        <w:rPr>
          <w:color w:val="231F20"/>
          <w:sz w:val="20"/>
        </w:rPr>
        <w:t>ведущего:</w:t>
      </w:r>
      <w:r>
        <w:rPr>
          <w:color w:val="231F20"/>
          <w:spacing w:val="-4"/>
          <w:sz w:val="20"/>
        </w:rPr>
        <w:t> </w:t>
      </w:r>
      <w:r>
        <w:rPr>
          <w:i/>
          <w:color w:val="231F20"/>
          <w:sz w:val="20"/>
        </w:rPr>
        <w:t>«Есть</w:t>
      </w:r>
      <w:r>
        <w:rPr>
          <w:i/>
          <w:color w:val="231F20"/>
          <w:spacing w:val="-5"/>
          <w:sz w:val="20"/>
        </w:rPr>
        <w:t> </w:t>
      </w:r>
      <w:r>
        <w:rPr>
          <w:i/>
          <w:color w:val="231F20"/>
          <w:sz w:val="20"/>
        </w:rPr>
        <w:t>ли</w:t>
      </w:r>
      <w:r>
        <w:rPr>
          <w:i/>
          <w:color w:val="231F20"/>
          <w:spacing w:val="-5"/>
          <w:sz w:val="20"/>
        </w:rPr>
        <w:t> </w:t>
      </w:r>
      <w:r>
        <w:rPr>
          <w:i/>
          <w:color w:val="231F20"/>
          <w:sz w:val="20"/>
        </w:rPr>
        <w:t>что-то,</w:t>
      </w:r>
      <w:r>
        <w:rPr>
          <w:i/>
          <w:color w:val="231F20"/>
          <w:spacing w:val="-4"/>
          <w:sz w:val="20"/>
        </w:rPr>
        <w:t> </w:t>
      </w:r>
      <w:r>
        <w:rPr>
          <w:i/>
          <w:color w:val="231F20"/>
          <w:sz w:val="20"/>
        </w:rPr>
        <w:t>что</w:t>
      </w:r>
      <w:r>
        <w:rPr>
          <w:i/>
          <w:color w:val="231F20"/>
          <w:spacing w:val="-5"/>
          <w:sz w:val="20"/>
        </w:rPr>
        <w:t> </w:t>
      </w:r>
      <w:r>
        <w:rPr>
          <w:i/>
          <w:color w:val="231F20"/>
          <w:sz w:val="20"/>
        </w:rPr>
        <w:t>вам</w:t>
      </w:r>
      <w:r>
        <w:rPr>
          <w:i/>
          <w:color w:val="231F20"/>
          <w:spacing w:val="-5"/>
          <w:sz w:val="20"/>
        </w:rPr>
        <w:t> </w:t>
      </w:r>
      <w:r>
        <w:rPr>
          <w:i/>
          <w:color w:val="231F20"/>
          <w:sz w:val="20"/>
        </w:rPr>
        <w:t>важно сказать, прежде чем я завершу нашу работу? Если нет, то работа группы счита- ется завершенной».</w:t>
      </w:r>
    </w:p>
    <w:p>
      <w:pPr>
        <w:pStyle w:val="BodyText"/>
        <w:spacing w:line="242" w:lineRule="auto"/>
      </w:pPr>
      <w:r>
        <w:rPr>
          <w:color w:val="231F20"/>
        </w:rPr>
        <w:t>Ведущий сообщает участникам, что по результатам обсуждения трудного слу- чая группа должна предложить обобщенный алгоритм решения подобных случаев и представить его в виде памятки. Если группа встречается с подобной задачей в пер- вый раз, нужно предложить группе образец памятки.</w:t>
      </w:r>
    </w:p>
    <w:p>
      <w:pPr>
        <w:spacing w:before="162"/>
        <w:ind w:left="425" w:right="0" w:firstLine="0"/>
        <w:jc w:val="both"/>
        <w:rPr>
          <w:b/>
          <w:sz w:val="20"/>
        </w:rPr>
      </w:pPr>
      <w:r>
        <w:rPr>
          <w:b/>
          <w:color w:val="231F20"/>
          <w:sz w:val="20"/>
        </w:rPr>
        <w:t>Пример</w:t>
      </w:r>
      <w:r>
        <w:rPr>
          <w:b/>
          <w:color w:val="231F20"/>
          <w:spacing w:val="-6"/>
          <w:sz w:val="20"/>
        </w:rPr>
        <w:t> </w:t>
      </w:r>
      <w:r>
        <w:rPr>
          <w:b/>
          <w:color w:val="231F20"/>
          <w:spacing w:val="-2"/>
          <w:sz w:val="20"/>
        </w:rPr>
        <w:t>памятки</w:t>
      </w:r>
    </w:p>
    <w:p>
      <w:pPr>
        <w:spacing w:before="2"/>
        <w:ind w:left="425" w:right="0" w:firstLine="0"/>
        <w:jc w:val="both"/>
        <w:rPr>
          <w:i/>
          <w:sz w:val="20"/>
        </w:rPr>
      </w:pPr>
      <w:r>
        <w:rPr>
          <w:b/>
          <w:i/>
          <w:color w:val="1C2131"/>
          <w:sz w:val="20"/>
        </w:rPr>
        <w:t>Три</w:t>
      </w:r>
      <w:r>
        <w:rPr>
          <w:b/>
          <w:i/>
          <w:color w:val="1C2131"/>
          <w:spacing w:val="-9"/>
          <w:sz w:val="20"/>
        </w:rPr>
        <w:t> </w:t>
      </w:r>
      <w:r>
        <w:rPr>
          <w:b/>
          <w:i/>
          <w:color w:val="1C2131"/>
          <w:sz w:val="20"/>
        </w:rPr>
        <w:t>основных</w:t>
      </w:r>
      <w:r>
        <w:rPr>
          <w:b/>
          <w:i/>
          <w:color w:val="1C2131"/>
          <w:spacing w:val="-5"/>
          <w:sz w:val="20"/>
        </w:rPr>
        <w:t> </w:t>
      </w:r>
      <w:r>
        <w:rPr>
          <w:b/>
          <w:i/>
          <w:color w:val="1C2131"/>
          <w:sz w:val="20"/>
        </w:rPr>
        <w:t>закона</w:t>
      </w:r>
      <w:r>
        <w:rPr>
          <w:b/>
          <w:i/>
          <w:color w:val="1C2131"/>
          <w:spacing w:val="-6"/>
          <w:sz w:val="20"/>
        </w:rPr>
        <w:t> </w:t>
      </w:r>
      <w:r>
        <w:rPr>
          <w:b/>
          <w:i/>
          <w:color w:val="1C2131"/>
          <w:sz w:val="20"/>
        </w:rPr>
        <w:t>поведения</w:t>
      </w:r>
      <w:r>
        <w:rPr>
          <w:b/>
          <w:i/>
          <w:color w:val="1C2131"/>
          <w:spacing w:val="-6"/>
          <w:sz w:val="20"/>
        </w:rPr>
        <w:t> </w:t>
      </w:r>
      <w:r>
        <w:rPr>
          <w:i/>
          <w:color w:val="1C2131"/>
          <w:sz w:val="20"/>
        </w:rPr>
        <w:t>(Кривцова,</w:t>
      </w:r>
      <w:r>
        <w:rPr>
          <w:i/>
          <w:color w:val="1C2131"/>
          <w:spacing w:val="-5"/>
          <w:sz w:val="20"/>
        </w:rPr>
        <w:t> </w:t>
      </w:r>
      <w:r>
        <w:rPr>
          <w:i/>
          <w:color w:val="1C2131"/>
          <w:spacing w:val="-2"/>
          <w:sz w:val="20"/>
        </w:rPr>
        <w:t>2004)</w:t>
      </w:r>
    </w:p>
    <w:p>
      <w:pPr>
        <w:pStyle w:val="ListParagraph"/>
        <w:numPr>
          <w:ilvl w:val="0"/>
          <w:numId w:val="251"/>
        </w:numPr>
        <w:tabs>
          <w:tab w:pos="590" w:val="left" w:leader="none"/>
        </w:tabs>
        <w:spacing w:line="242" w:lineRule="auto" w:before="2" w:after="0"/>
        <w:ind w:left="141" w:right="139" w:firstLine="283"/>
        <w:jc w:val="both"/>
        <w:rPr>
          <w:sz w:val="20"/>
        </w:rPr>
      </w:pPr>
      <w:r>
        <w:rPr>
          <w:color w:val="1C2131"/>
          <w:sz w:val="20"/>
        </w:rPr>
        <w:t>й. Ученики выбирают определенное поведение в определенных обстоятель- </w:t>
      </w:r>
      <w:r>
        <w:rPr>
          <w:color w:val="1C2131"/>
          <w:spacing w:val="-2"/>
          <w:sz w:val="20"/>
        </w:rPr>
        <w:t>ствах.</w:t>
      </w:r>
    </w:p>
    <w:p>
      <w:pPr>
        <w:pStyle w:val="ListParagraph"/>
        <w:numPr>
          <w:ilvl w:val="0"/>
          <w:numId w:val="251"/>
        </w:numPr>
        <w:tabs>
          <w:tab w:pos="590" w:val="left" w:leader="none"/>
        </w:tabs>
        <w:spacing w:line="242" w:lineRule="auto" w:before="0" w:after="0"/>
        <w:ind w:left="141" w:right="139" w:firstLine="283"/>
        <w:jc w:val="both"/>
        <w:rPr>
          <w:sz w:val="20"/>
        </w:rPr>
      </w:pPr>
      <w:r>
        <w:rPr>
          <w:color w:val="1C2131"/>
          <w:sz w:val="20"/>
        </w:rPr>
        <w:t>й. Любое поведение учеников подчинено общей цели – чувствовать себя </w:t>
      </w:r>
      <w:r>
        <w:rPr>
          <w:color w:val="231F20"/>
          <w:sz w:val="20"/>
        </w:rPr>
        <w:t>при- надлежащими </w:t>
      </w:r>
      <w:r>
        <w:rPr>
          <w:color w:val="1C2131"/>
          <w:sz w:val="20"/>
        </w:rPr>
        <w:t>к школьной жизни.</w:t>
      </w:r>
    </w:p>
    <w:p>
      <w:pPr>
        <w:pStyle w:val="ListParagraph"/>
        <w:numPr>
          <w:ilvl w:val="0"/>
          <w:numId w:val="251"/>
        </w:numPr>
        <w:tabs>
          <w:tab w:pos="590" w:val="left" w:leader="none"/>
        </w:tabs>
        <w:spacing w:line="242" w:lineRule="auto" w:before="0" w:after="0"/>
        <w:ind w:left="141" w:right="139" w:firstLine="283"/>
        <w:jc w:val="both"/>
        <w:rPr>
          <w:sz w:val="20"/>
        </w:rPr>
      </w:pPr>
      <w:r>
        <w:rPr>
          <w:color w:val="1C2131"/>
          <w:sz w:val="20"/>
        </w:rPr>
        <w:t>й.</w:t>
      </w:r>
      <w:r>
        <w:rPr>
          <w:color w:val="1C2131"/>
          <w:spacing w:val="-13"/>
          <w:sz w:val="20"/>
        </w:rPr>
        <w:t> </w:t>
      </w:r>
      <w:r>
        <w:rPr>
          <w:color w:val="1C2131"/>
          <w:sz w:val="20"/>
        </w:rPr>
        <w:t>Нарушая</w:t>
      </w:r>
      <w:r>
        <w:rPr>
          <w:color w:val="1C2131"/>
          <w:spacing w:val="-12"/>
          <w:sz w:val="20"/>
        </w:rPr>
        <w:t> </w:t>
      </w:r>
      <w:r>
        <w:rPr>
          <w:color w:val="1C2131"/>
          <w:sz w:val="20"/>
        </w:rPr>
        <w:t>дисциплину,</w:t>
      </w:r>
      <w:r>
        <w:rPr>
          <w:color w:val="1C2131"/>
          <w:spacing w:val="-13"/>
          <w:sz w:val="20"/>
        </w:rPr>
        <w:t> </w:t>
      </w:r>
      <w:r>
        <w:rPr>
          <w:color w:val="1C2131"/>
          <w:sz w:val="20"/>
        </w:rPr>
        <w:t>ученик</w:t>
      </w:r>
      <w:r>
        <w:rPr>
          <w:color w:val="1C2131"/>
          <w:spacing w:val="-12"/>
          <w:sz w:val="20"/>
        </w:rPr>
        <w:t> </w:t>
      </w:r>
      <w:r>
        <w:rPr>
          <w:color w:val="1C2131"/>
          <w:sz w:val="20"/>
        </w:rPr>
        <w:t>осознает,</w:t>
      </w:r>
      <w:r>
        <w:rPr>
          <w:color w:val="1C2131"/>
          <w:spacing w:val="-13"/>
          <w:sz w:val="20"/>
        </w:rPr>
        <w:t> </w:t>
      </w:r>
      <w:r>
        <w:rPr>
          <w:color w:val="1C2131"/>
          <w:sz w:val="20"/>
        </w:rPr>
        <w:t>что</w:t>
      </w:r>
      <w:r>
        <w:rPr>
          <w:color w:val="1C2131"/>
          <w:spacing w:val="-12"/>
          <w:sz w:val="20"/>
        </w:rPr>
        <w:t> </w:t>
      </w:r>
      <w:r>
        <w:rPr>
          <w:color w:val="1C2131"/>
          <w:sz w:val="20"/>
        </w:rPr>
        <w:t>ведет</w:t>
      </w:r>
      <w:r>
        <w:rPr>
          <w:color w:val="1C2131"/>
          <w:spacing w:val="-13"/>
          <w:sz w:val="20"/>
        </w:rPr>
        <w:t> </w:t>
      </w:r>
      <w:r>
        <w:rPr>
          <w:color w:val="1C2131"/>
          <w:sz w:val="20"/>
        </w:rPr>
        <w:t>себя</w:t>
      </w:r>
      <w:r>
        <w:rPr>
          <w:color w:val="1C2131"/>
          <w:spacing w:val="-12"/>
          <w:sz w:val="20"/>
        </w:rPr>
        <w:t> </w:t>
      </w:r>
      <w:r>
        <w:rPr>
          <w:color w:val="1C2131"/>
          <w:sz w:val="20"/>
        </w:rPr>
        <w:t>неправильно,</w:t>
      </w:r>
      <w:r>
        <w:rPr>
          <w:color w:val="1C2131"/>
          <w:spacing w:val="-13"/>
          <w:sz w:val="20"/>
        </w:rPr>
        <w:t> </w:t>
      </w:r>
      <w:r>
        <w:rPr>
          <w:color w:val="1C2131"/>
          <w:sz w:val="20"/>
        </w:rPr>
        <w:t>но</w:t>
      </w:r>
      <w:r>
        <w:rPr>
          <w:color w:val="1C2131"/>
          <w:spacing w:val="-12"/>
          <w:sz w:val="20"/>
        </w:rPr>
        <w:t> </w:t>
      </w:r>
      <w:r>
        <w:rPr>
          <w:color w:val="1C2131"/>
          <w:sz w:val="20"/>
        </w:rPr>
        <w:t>может не осознавать, что за этим нарушением стоит одна из четырех целей: привлечение внимания, власть, месть, избегание неудачи.</w:t>
      </w:r>
    </w:p>
    <w:p>
      <w:pPr>
        <w:spacing w:before="164"/>
        <w:ind w:left="425" w:right="0" w:firstLine="0"/>
        <w:jc w:val="both"/>
        <w:rPr>
          <w:b/>
          <w:i/>
          <w:sz w:val="20"/>
        </w:rPr>
      </w:pPr>
      <w:r>
        <w:rPr>
          <w:b/>
          <w:i/>
          <w:color w:val="231F20"/>
          <w:sz w:val="20"/>
        </w:rPr>
        <w:t>Школьный</w:t>
      </w:r>
      <w:r>
        <w:rPr>
          <w:b/>
          <w:i/>
          <w:color w:val="231F20"/>
          <w:spacing w:val="-11"/>
          <w:sz w:val="20"/>
        </w:rPr>
        <w:t> </w:t>
      </w:r>
      <w:r>
        <w:rPr>
          <w:b/>
          <w:i/>
          <w:color w:val="231F20"/>
          <w:sz w:val="20"/>
        </w:rPr>
        <w:t>план</w:t>
      </w:r>
      <w:r>
        <w:rPr>
          <w:b/>
          <w:i/>
          <w:color w:val="231F20"/>
          <w:spacing w:val="-11"/>
          <w:sz w:val="20"/>
        </w:rPr>
        <w:t> </w:t>
      </w:r>
      <w:r>
        <w:rPr>
          <w:b/>
          <w:i/>
          <w:color w:val="231F20"/>
          <w:spacing w:val="-2"/>
          <w:sz w:val="20"/>
        </w:rPr>
        <w:t>действий</w:t>
      </w:r>
    </w:p>
    <w:p>
      <w:pPr>
        <w:pStyle w:val="BodyText"/>
        <w:spacing w:line="242" w:lineRule="auto" w:before="2"/>
      </w:pPr>
      <w:r>
        <w:rPr>
          <w:color w:val="231F20"/>
        </w:rPr>
        <w:t>Составляя Школьный план действий – индивидуальную программу построения взаимоотношений</w:t>
      </w:r>
      <w:r>
        <w:rPr>
          <w:color w:val="231F20"/>
          <w:spacing w:val="-8"/>
        </w:rPr>
        <w:t> </w:t>
      </w:r>
      <w:r>
        <w:rPr>
          <w:color w:val="231F20"/>
        </w:rPr>
        <w:t>с</w:t>
      </w:r>
      <w:r>
        <w:rPr>
          <w:color w:val="231F20"/>
          <w:spacing w:val="-8"/>
        </w:rPr>
        <w:t> </w:t>
      </w:r>
      <w:r>
        <w:rPr>
          <w:color w:val="231F20"/>
        </w:rPr>
        <w:t>конкретным</w:t>
      </w:r>
      <w:r>
        <w:rPr>
          <w:color w:val="231F20"/>
          <w:spacing w:val="-8"/>
        </w:rPr>
        <w:t> </w:t>
      </w:r>
      <w:r>
        <w:rPr>
          <w:color w:val="231F20"/>
        </w:rPr>
        <w:t>учеником,</w:t>
      </w:r>
      <w:r>
        <w:rPr>
          <w:color w:val="231F20"/>
          <w:spacing w:val="-8"/>
        </w:rPr>
        <w:t> </w:t>
      </w:r>
      <w:r>
        <w:rPr>
          <w:color w:val="231F20"/>
        </w:rPr>
        <w:t>учитель</w:t>
      </w:r>
      <w:r>
        <w:rPr>
          <w:color w:val="231F20"/>
          <w:spacing w:val="-8"/>
        </w:rPr>
        <w:t> </w:t>
      </w:r>
      <w:r>
        <w:rPr>
          <w:color w:val="231F20"/>
        </w:rPr>
        <w:t>фактически</w:t>
      </w:r>
      <w:r>
        <w:rPr>
          <w:color w:val="231F20"/>
          <w:spacing w:val="-8"/>
        </w:rPr>
        <w:t> </w:t>
      </w:r>
      <w:r>
        <w:rPr>
          <w:color w:val="231F20"/>
        </w:rPr>
        <w:t>разрабатывает</w:t>
      </w:r>
      <w:r>
        <w:rPr>
          <w:color w:val="231F20"/>
          <w:spacing w:val="-8"/>
        </w:rPr>
        <w:t> </w:t>
      </w:r>
      <w:r>
        <w:rPr>
          <w:color w:val="231F20"/>
        </w:rPr>
        <w:t>опти- мальную стратегию и тактику общения с ним. При этом он решает последовательно пять задач, как бы делает пять «шагов».</w:t>
      </w:r>
    </w:p>
    <w:p>
      <w:pPr>
        <w:pStyle w:val="BodyText"/>
        <w:spacing w:line="242" w:lineRule="auto"/>
        <w:ind w:left="425" w:right="2587" w:firstLine="0"/>
      </w:pPr>
      <w:r>
        <w:rPr>
          <w:color w:val="231F20"/>
        </w:rPr>
        <w:t>Шаг</w:t>
      </w:r>
      <w:r>
        <w:rPr>
          <w:color w:val="231F20"/>
          <w:spacing w:val="-8"/>
        </w:rPr>
        <w:t> </w:t>
      </w:r>
      <w:r>
        <w:rPr>
          <w:color w:val="231F20"/>
        </w:rPr>
        <w:t>№</w:t>
      </w:r>
      <w:r>
        <w:rPr>
          <w:color w:val="231F20"/>
          <w:spacing w:val="-8"/>
        </w:rPr>
        <w:t> </w:t>
      </w:r>
      <w:r>
        <w:rPr>
          <w:color w:val="231F20"/>
        </w:rPr>
        <w:t>1.</w:t>
      </w:r>
      <w:r>
        <w:rPr>
          <w:color w:val="231F20"/>
          <w:spacing w:val="-7"/>
        </w:rPr>
        <w:t> </w:t>
      </w:r>
      <w:r>
        <w:rPr>
          <w:color w:val="231F20"/>
        </w:rPr>
        <w:t>Объективное</w:t>
      </w:r>
      <w:r>
        <w:rPr>
          <w:color w:val="231F20"/>
          <w:spacing w:val="-7"/>
        </w:rPr>
        <w:t> </w:t>
      </w:r>
      <w:r>
        <w:rPr>
          <w:color w:val="231F20"/>
        </w:rPr>
        <w:t>описание</w:t>
      </w:r>
      <w:r>
        <w:rPr>
          <w:color w:val="231F20"/>
          <w:spacing w:val="-7"/>
        </w:rPr>
        <w:t> </w:t>
      </w:r>
      <w:r>
        <w:rPr>
          <w:color w:val="231F20"/>
        </w:rPr>
        <w:t>поведения</w:t>
      </w:r>
      <w:r>
        <w:rPr>
          <w:color w:val="231F20"/>
          <w:spacing w:val="-7"/>
        </w:rPr>
        <w:t> </w:t>
      </w:r>
      <w:r>
        <w:rPr>
          <w:color w:val="231F20"/>
        </w:rPr>
        <w:t>ребенка. Шаг № 2. Понимание мотива «плохого» поведения.</w:t>
      </w:r>
    </w:p>
    <w:p>
      <w:pPr>
        <w:pStyle w:val="BodyText"/>
        <w:spacing w:line="242" w:lineRule="auto"/>
        <w:ind w:right="0"/>
        <w:jc w:val="left"/>
      </w:pPr>
      <w:r>
        <w:rPr>
          <w:color w:val="231F20"/>
        </w:rPr>
        <w:t>Шаг № 3. Выбор техники педагогического вмешательства для экстренного пре- кращения «выходки» на уроке.</w:t>
      </w:r>
    </w:p>
    <w:p>
      <w:pPr>
        <w:pStyle w:val="BodyText"/>
        <w:spacing w:line="242" w:lineRule="auto"/>
        <w:ind w:right="0"/>
        <w:jc w:val="left"/>
      </w:pPr>
      <w:r>
        <w:rPr>
          <w:color w:val="231F20"/>
        </w:rPr>
        <w:t>Шаг</w:t>
      </w:r>
      <w:r>
        <w:rPr>
          <w:color w:val="231F20"/>
          <w:spacing w:val="-6"/>
        </w:rPr>
        <w:t> </w:t>
      </w:r>
      <w:r>
        <w:rPr>
          <w:color w:val="231F20"/>
        </w:rPr>
        <w:t>№</w:t>
      </w:r>
      <w:r>
        <w:rPr>
          <w:color w:val="231F20"/>
          <w:spacing w:val="-6"/>
        </w:rPr>
        <w:t> </w:t>
      </w:r>
      <w:r>
        <w:rPr>
          <w:color w:val="231F20"/>
        </w:rPr>
        <w:t>4.</w:t>
      </w:r>
      <w:r>
        <w:rPr>
          <w:color w:val="231F20"/>
          <w:spacing w:val="-6"/>
        </w:rPr>
        <w:t> </w:t>
      </w:r>
      <w:r>
        <w:rPr>
          <w:color w:val="231F20"/>
        </w:rPr>
        <w:t>Разработка</w:t>
      </w:r>
      <w:r>
        <w:rPr>
          <w:color w:val="231F20"/>
          <w:spacing w:val="-6"/>
        </w:rPr>
        <w:t> </w:t>
      </w:r>
      <w:r>
        <w:rPr>
          <w:color w:val="231F20"/>
        </w:rPr>
        <w:t>стратегии</w:t>
      </w:r>
      <w:r>
        <w:rPr>
          <w:color w:val="231F20"/>
          <w:spacing w:val="-6"/>
        </w:rPr>
        <w:t> </w:t>
      </w:r>
      <w:r>
        <w:rPr>
          <w:color w:val="231F20"/>
        </w:rPr>
        <w:t>и</w:t>
      </w:r>
      <w:r>
        <w:rPr>
          <w:color w:val="231F20"/>
          <w:spacing w:val="-6"/>
        </w:rPr>
        <w:t> </w:t>
      </w:r>
      <w:r>
        <w:rPr>
          <w:color w:val="231F20"/>
        </w:rPr>
        <w:t>тактики</w:t>
      </w:r>
      <w:r>
        <w:rPr>
          <w:color w:val="231F20"/>
          <w:spacing w:val="-6"/>
        </w:rPr>
        <w:t> </w:t>
      </w:r>
      <w:r>
        <w:rPr>
          <w:color w:val="231F20"/>
        </w:rPr>
        <w:t>поддержки</w:t>
      </w:r>
      <w:r>
        <w:rPr>
          <w:color w:val="231F20"/>
          <w:spacing w:val="-6"/>
        </w:rPr>
        <w:t> </w:t>
      </w:r>
      <w:r>
        <w:rPr>
          <w:color w:val="231F20"/>
        </w:rPr>
        <w:t>ученика</w:t>
      </w:r>
      <w:r>
        <w:rPr>
          <w:color w:val="231F20"/>
          <w:spacing w:val="-6"/>
        </w:rPr>
        <w:t> </w:t>
      </w:r>
      <w:r>
        <w:rPr>
          <w:color w:val="231F20"/>
        </w:rPr>
        <w:t>для</w:t>
      </w:r>
      <w:r>
        <w:rPr>
          <w:color w:val="231F20"/>
          <w:spacing w:val="-6"/>
        </w:rPr>
        <w:t> </w:t>
      </w:r>
      <w:r>
        <w:rPr>
          <w:color w:val="231F20"/>
        </w:rPr>
        <w:t>повышения</w:t>
      </w:r>
      <w:r>
        <w:rPr>
          <w:color w:val="231F20"/>
          <w:spacing w:val="-6"/>
        </w:rPr>
        <w:t> </w:t>
      </w:r>
      <w:r>
        <w:rPr>
          <w:color w:val="231F20"/>
        </w:rPr>
        <w:t>его </w:t>
      </w:r>
      <w:r>
        <w:rPr>
          <w:color w:val="231F20"/>
          <w:spacing w:val="-2"/>
        </w:rPr>
        <w:t>самоуважения.</w:t>
      </w:r>
    </w:p>
    <w:p>
      <w:pPr>
        <w:pStyle w:val="BodyText"/>
        <w:spacing w:line="242" w:lineRule="auto"/>
        <w:ind w:right="0"/>
        <w:jc w:val="left"/>
      </w:pPr>
      <w:r>
        <w:rPr>
          <w:color w:val="231F20"/>
        </w:rPr>
        <w:t>Шаг</w:t>
      </w:r>
      <w:r>
        <w:rPr>
          <w:color w:val="231F20"/>
          <w:spacing w:val="18"/>
        </w:rPr>
        <w:t> </w:t>
      </w:r>
      <w:r>
        <w:rPr>
          <w:color w:val="231F20"/>
        </w:rPr>
        <w:t>№</w:t>
      </w:r>
      <w:r>
        <w:rPr>
          <w:color w:val="231F20"/>
          <w:spacing w:val="18"/>
        </w:rPr>
        <w:t> </w:t>
      </w:r>
      <w:r>
        <w:rPr>
          <w:color w:val="231F20"/>
        </w:rPr>
        <w:t>5.</w:t>
      </w:r>
      <w:r>
        <w:rPr>
          <w:color w:val="231F20"/>
          <w:spacing w:val="18"/>
        </w:rPr>
        <w:t> </w:t>
      </w:r>
      <w:r>
        <w:rPr>
          <w:color w:val="231F20"/>
        </w:rPr>
        <w:t>Включение</w:t>
      </w:r>
      <w:r>
        <w:rPr>
          <w:color w:val="231F20"/>
          <w:spacing w:val="18"/>
        </w:rPr>
        <w:t> </w:t>
      </w:r>
      <w:r>
        <w:rPr>
          <w:color w:val="231F20"/>
        </w:rPr>
        <w:t>родителей</w:t>
      </w:r>
      <w:r>
        <w:rPr>
          <w:color w:val="231F20"/>
          <w:spacing w:val="18"/>
        </w:rPr>
        <w:t> </w:t>
      </w:r>
      <w:r>
        <w:rPr>
          <w:color w:val="231F20"/>
        </w:rPr>
        <w:t>и</w:t>
      </w:r>
      <w:r>
        <w:rPr>
          <w:color w:val="231F20"/>
          <w:spacing w:val="18"/>
        </w:rPr>
        <w:t> </w:t>
      </w:r>
      <w:r>
        <w:rPr>
          <w:color w:val="231F20"/>
        </w:rPr>
        <w:t>коллег-педагогов</w:t>
      </w:r>
      <w:r>
        <w:rPr>
          <w:color w:val="231F20"/>
          <w:spacing w:val="18"/>
        </w:rPr>
        <w:t> </w:t>
      </w:r>
      <w:r>
        <w:rPr>
          <w:color w:val="231F20"/>
        </w:rPr>
        <w:t>в</w:t>
      </w:r>
      <w:r>
        <w:rPr>
          <w:color w:val="231F20"/>
          <w:spacing w:val="18"/>
        </w:rPr>
        <w:t> </w:t>
      </w:r>
      <w:r>
        <w:rPr>
          <w:color w:val="231F20"/>
        </w:rPr>
        <w:t>реализацию</w:t>
      </w:r>
      <w:r>
        <w:rPr>
          <w:color w:val="231F20"/>
          <w:spacing w:val="18"/>
        </w:rPr>
        <w:t> </w:t>
      </w:r>
      <w:r>
        <w:rPr>
          <w:color w:val="231F20"/>
        </w:rPr>
        <w:t>конкретного </w:t>
      </w:r>
      <w:r>
        <w:rPr>
          <w:color w:val="231F20"/>
          <w:spacing w:val="-4"/>
        </w:rPr>
        <w:t>ШПД.</w:t>
      </w:r>
    </w:p>
    <w:p>
      <w:pPr>
        <w:spacing w:line="242" w:lineRule="auto" w:before="163"/>
        <w:ind w:left="141" w:right="139" w:firstLine="283"/>
        <w:jc w:val="both"/>
        <w:rPr>
          <w:b/>
          <w:i/>
          <w:sz w:val="20"/>
        </w:rPr>
      </w:pPr>
      <w:r>
        <w:rPr>
          <w:b/>
          <w:i/>
          <w:color w:val="231F20"/>
          <w:sz w:val="20"/>
        </w:rPr>
        <w:t>Последовательность проведения этапа, реплики ведущего (примерный сце- </w:t>
      </w:r>
      <w:r>
        <w:rPr>
          <w:b/>
          <w:i/>
          <w:color w:val="231F20"/>
          <w:spacing w:val="-2"/>
          <w:sz w:val="20"/>
        </w:rPr>
        <w:t>нарий)</w:t>
      </w:r>
    </w:p>
    <w:p>
      <w:pPr>
        <w:spacing w:line="242" w:lineRule="auto" w:before="0"/>
        <w:ind w:left="141" w:right="139" w:firstLine="283"/>
        <w:jc w:val="both"/>
        <w:rPr>
          <w:i/>
          <w:sz w:val="20"/>
        </w:rPr>
      </w:pPr>
      <w:r>
        <w:rPr>
          <w:b/>
          <w:i/>
          <w:color w:val="231F20"/>
          <w:sz w:val="20"/>
        </w:rPr>
        <w:t>Ведущий.</w:t>
      </w:r>
      <w:r>
        <w:rPr>
          <w:b/>
          <w:i/>
          <w:color w:val="231F20"/>
          <w:spacing w:val="-3"/>
          <w:sz w:val="20"/>
        </w:rPr>
        <w:t> </w:t>
      </w:r>
      <w:r>
        <w:rPr>
          <w:i/>
          <w:color w:val="231F20"/>
          <w:sz w:val="20"/>
        </w:rPr>
        <w:t>Как</w:t>
      </w:r>
      <w:r>
        <w:rPr>
          <w:i/>
          <w:color w:val="231F20"/>
          <w:spacing w:val="-3"/>
          <w:sz w:val="20"/>
        </w:rPr>
        <w:t> </w:t>
      </w:r>
      <w:r>
        <w:rPr>
          <w:i/>
          <w:color w:val="231F20"/>
          <w:sz w:val="20"/>
        </w:rPr>
        <w:t>бы</w:t>
      </w:r>
      <w:r>
        <w:rPr>
          <w:i/>
          <w:color w:val="231F20"/>
          <w:spacing w:val="-3"/>
          <w:sz w:val="20"/>
        </w:rPr>
        <w:t> </w:t>
      </w:r>
      <w:r>
        <w:rPr>
          <w:i/>
          <w:color w:val="231F20"/>
          <w:sz w:val="20"/>
        </w:rPr>
        <w:t>вы</w:t>
      </w:r>
      <w:r>
        <w:rPr>
          <w:i/>
          <w:color w:val="231F20"/>
          <w:spacing w:val="-3"/>
          <w:sz w:val="20"/>
        </w:rPr>
        <w:t> </w:t>
      </w:r>
      <w:r>
        <w:rPr>
          <w:i/>
          <w:color w:val="231F20"/>
          <w:sz w:val="20"/>
        </w:rPr>
        <w:t>ответили</w:t>
      </w:r>
      <w:r>
        <w:rPr>
          <w:i/>
          <w:color w:val="231F20"/>
          <w:spacing w:val="-3"/>
          <w:sz w:val="20"/>
        </w:rPr>
        <w:t> </w:t>
      </w:r>
      <w:r>
        <w:rPr>
          <w:i/>
          <w:color w:val="231F20"/>
          <w:sz w:val="20"/>
        </w:rPr>
        <w:t>на</w:t>
      </w:r>
      <w:r>
        <w:rPr>
          <w:i/>
          <w:color w:val="231F20"/>
          <w:spacing w:val="-3"/>
          <w:sz w:val="20"/>
        </w:rPr>
        <w:t> </w:t>
      </w:r>
      <w:r>
        <w:rPr>
          <w:i/>
          <w:color w:val="231F20"/>
          <w:sz w:val="20"/>
        </w:rPr>
        <w:t>запрос</w:t>
      </w:r>
      <w:r>
        <w:rPr>
          <w:i/>
          <w:color w:val="231F20"/>
          <w:spacing w:val="-3"/>
          <w:sz w:val="20"/>
        </w:rPr>
        <w:t> </w:t>
      </w:r>
      <w:r>
        <w:rPr>
          <w:i/>
          <w:color w:val="231F20"/>
          <w:sz w:val="20"/>
        </w:rPr>
        <w:t>участника,</w:t>
      </w:r>
      <w:r>
        <w:rPr>
          <w:i/>
          <w:color w:val="231F20"/>
          <w:spacing w:val="-3"/>
          <w:sz w:val="20"/>
        </w:rPr>
        <w:t> </w:t>
      </w:r>
      <w:r>
        <w:rPr>
          <w:i/>
          <w:color w:val="231F20"/>
          <w:sz w:val="20"/>
        </w:rPr>
        <w:t>представившего</w:t>
      </w:r>
      <w:r>
        <w:rPr>
          <w:i/>
          <w:color w:val="231F20"/>
          <w:spacing w:val="-3"/>
          <w:sz w:val="20"/>
        </w:rPr>
        <w:t> </w:t>
      </w:r>
      <w:r>
        <w:rPr>
          <w:i/>
          <w:color w:val="231F20"/>
          <w:sz w:val="20"/>
        </w:rPr>
        <w:t>случай</w:t>
      </w:r>
      <w:r>
        <w:rPr>
          <w:i/>
          <w:color w:val="231F20"/>
          <w:spacing w:val="-3"/>
          <w:sz w:val="20"/>
        </w:rPr>
        <w:t> </w:t>
      </w:r>
      <w:r>
        <w:rPr>
          <w:i/>
          <w:color w:val="231F20"/>
          <w:sz w:val="20"/>
        </w:rPr>
        <w:t>для </w:t>
      </w:r>
      <w:r>
        <w:rPr>
          <w:i/>
          <w:color w:val="231F20"/>
          <w:spacing w:val="-2"/>
          <w:sz w:val="20"/>
        </w:rPr>
        <w:t>обсуждения?</w:t>
      </w:r>
    </w:p>
    <w:p>
      <w:pPr>
        <w:pStyle w:val="BodyText"/>
        <w:spacing w:line="242" w:lineRule="auto"/>
      </w:pPr>
      <w:r>
        <w:rPr>
          <w:color w:val="231F20"/>
        </w:rPr>
        <w:t>Участники высказываются (исключая участника, представившего случай). Важ- но, чтобы они отвечали на тот запрос, который они запомнили, не нужно уточнять запрос, если участник его запомнил неточно.</w:t>
      </w:r>
    </w:p>
    <w:p>
      <w:pPr>
        <w:pStyle w:val="BodyText"/>
        <w:spacing w:after="0" w:line="242" w:lineRule="auto"/>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spacing w:line="235" w:lineRule="auto" w:before="116"/>
        <w:ind w:left="141" w:right="139" w:firstLine="283"/>
        <w:jc w:val="both"/>
        <w:rPr>
          <w:sz w:val="20"/>
        </w:rPr>
      </w:pPr>
      <w:r>
        <w:rPr>
          <w:b/>
          <w:i/>
          <w:color w:val="231F20"/>
          <w:sz w:val="20"/>
        </w:rPr>
        <w:t>Ведущий</w:t>
      </w:r>
      <w:r>
        <w:rPr>
          <w:b/>
          <w:color w:val="231F20"/>
          <w:sz w:val="20"/>
        </w:rPr>
        <w:t>. </w:t>
      </w:r>
      <w:r>
        <w:rPr>
          <w:i/>
          <w:color w:val="231F20"/>
          <w:sz w:val="20"/>
        </w:rPr>
        <w:t>Хочет ли участник, представлявший случай, дать обратную связь – что дало ему наше обсуждение, какие выводы он сделал для себя? Напоминаю, что группа может не отвечать полностью на запрос участника</w:t>
      </w:r>
      <w:r>
        <w:rPr>
          <w:color w:val="231F20"/>
          <w:sz w:val="20"/>
        </w:rPr>
        <w:t>.</w:t>
      </w:r>
    </w:p>
    <w:p>
      <w:pPr>
        <w:pStyle w:val="BodyText"/>
        <w:spacing w:line="226" w:lineRule="exact"/>
        <w:ind w:left="425" w:right="0" w:firstLine="0"/>
      </w:pPr>
      <w:r>
        <w:rPr>
          <w:color w:val="231F20"/>
        </w:rPr>
        <w:t>Высказывается</w:t>
      </w:r>
      <w:r>
        <w:rPr>
          <w:color w:val="231F20"/>
          <w:spacing w:val="-8"/>
        </w:rPr>
        <w:t> </w:t>
      </w:r>
      <w:r>
        <w:rPr>
          <w:color w:val="231F20"/>
        </w:rPr>
        <w:t>участник,</w:t>
      </w:r>
      <w:r>
        <w:rPr>
          <w:color w:val="231F20"/>
          <w:spacing w:val="-5"/>
        </w:rPr>
        <w:t> </w:t>
      </w:r>
      <w:r>
        <w:rPr>
          <w:color w:val="231F20"/>
        </w:rPr>
        <w:t>представивший</w:t>
      </w:r>
      <w:r>
        <w:rPr>
          <w:color w:val="231F20"/>
          <w:spacing w:val="-5"/>
        </w:rPr>
        <w:t> </w:t>
      </w:r>
      <w:r>
        <w:rPr>
          <w:color w:val="231F20"/>
          <w:spacing w:val="-2"/>
        </w:rPr>
        <w:t>случай.</w:t>
      </w:r>
    </w:p>
    <w:p>
      <w:pPr>
        <w:spacing w:line="235" w:lineRule="auto" w:before="2"/>
        <w:ind w:left="141" w:right="139" w:firstLine="283"/>
        <w:jc w:val="both"/>
        <w:rPr>
          <w:i/>
          <w:sz w:val="20"/>
        </w:rPr>
      </w:pPr>
      <w:r>
        <w:rPr>
          <w:b/>
          <w:i/>
          <w:color w:val="231F20"/>
          <w:sz w:val="20"/>
        </w:rPr>
        <w:t>Ведущий. </w:t>
      </w:r>
      <w:r>
        <w:rPr>
          <w:i/>
          <w:color w:val="231F20"/>
          <w:sz w:val="20"/>
        </w:rPr>
        <w:t>Есть ли что-то что вам важно сказать, прежде чем я завершу нашу работу?</w:t>
      </w:r>
      <w:r>
        <w:rPr>
          <w:i/>
          <w:color w:val="231F20"/>
          <w:spacing w:val="-10"/>
          <w:sz w:val="20"/>
        </w:rPr>
        <w:t> </w:t>
      </w:r>
      <w:r>
        <w:rPr>
          <w:i/>
          <w:color w:val="231F20"/>
          <w:sz w:val="20"/>
        </w:rPr>
        <w:t>Если</w:t>
      </w:r>
      <w:r>
        <w:rPr>
          <w:i/>
          <w:color w:val="231F20"/>
          <w:spacing w:val="-10"/>
          <w:sz w:val="20"/>
        </w:rPr>
        <w:t> </w:t>
      </w:r>
      <w:r>
        <w:rPr>
          <w:i/>
          <w:color w:val="231F20"/>
          <w:sz w:val="20"/>
        </w:rPr>
        <w:t>нет,</w:t>
      </w:r>
      <w:r>
        <w:rPr>
          <w:i/>
          <w:color w:val="231F20"/>
          <w:spacing w:val="-10"/>
          <w:sz w:val="20"/>
        </w:rPr>
        <w:t> </w:t>
      </w:r>
      <w:r>
        <w:rPr>
          <w:i/>
          <w:color w:val="231F20"/>
          <w:sz w:val="20"/>
        </w:rPr>
        <w:t>то</w:t>
      </w:r>
      <w:r>
        <w:rPr>
          <w:i/>
          <w:color w:val="231F20"/>
          <w:spacing w:val="-10"/>
          <w:sz w:val="20"/>
        </w:rPr>
        <w:t> </w:t>
      </w:r>
      <w:r>
        <w:rPr>
          <w:i/>
          <w:color w:val="231F20"/>
          <w:sz w:val="20"/>
        </w:rPr>
        <w:t>работа</w:t>
      </w:r>
      <w:r>
        <w:rPr>
          <w:i/>
          <w:color w:val="231F20"/>
          <w:spacing w:val="-10"/>
          <w:sz w:val="20"/>
        </w:rPr>
        <w:t> </w:t>
      </w:r>
      <w:r>
        <w:rPr>
          <w:i/>
          <w:color w:val="231F20"/>
          <w:sz w:val="20"/>
        </w:rPr>
        <w:t>группы</w:t>
      </w:r>
      <w:r>
        <w:rPr>
          <w:i/>
          <w:color w:val="231F20"/>
          <w:spacing w:val="-10"/>
          <w:sz w:val="20"/>
        </w:rPr>
        <w:t> </w:t>
      </w:r>
      <w:r>
        <w:rPr>
          <w:i/>
          <w:color w:val="231F20"/>
          <w:sz w:val="20"/>
        </w:rPr>
        <w:t>считается</w:t>
      </w:r>
      <w:r>
        <w:rPr>
          <w:i/>
          <w:color w:val="231F20"/>
          <w:spacing w:val="-10"/>
          <w:sz w:val="20"/>
        </w:rPr>
        <w:t> </w:t>
      </w:r>
      <w:r>
        <w:rPr>
          <w:i/>
          <w:color w:val="231F20"/>
          <w:sz w:val="20"/>
        </w:rPr>
        <w:t>завершенной.</w:t>
      </w:r>
      <w:r>
        <w:rPr>
          <w:i/>
          <w:color w:val="231F20"/>
          <w:spacing w:val="-9"/>
          <w:sz w:val="20"/>
        </w:rPr>
        <w:t> </w:t>
      </w:r>
      <w:r>
        <w:rPr>
          <w:color w:val="231F20"/>
          <w:sz w:val="20"/>
        </w:rPr>
        <w:t>(Участники</w:t>
      </w:r>
      <w:r>
        <w:rPr>
          <w:color w:val="231F20"/>
          <w:spacing w:val="-10"/>
          <w:sz w:val="20"/>
        </w:rPr>
        <w:t> </w:t>
      </w:r>
      <w:r>
        <w:rPr>
          <w:color w:val="231F20"/>
          <w:sz w:val="20"/>
        </w:rPr>
        <w:t>высказы- </w:t>
      </w:r>
      <w:r>
        <w:rPr>
          <w:color w:val="231F20"/>
          <w:spacing w:val="-2"/>
          <w:sz w:val="20"/>
        </w:rPr>
        <w:t>ваются.)</w:t>
      </w:r>
      <w:r>
        <w:rPr>
          <w:color w:val="231F20"/>
          <w:spacing w:val="-3"/>
          <w:sz w:val="20"/>
        </w:rPr>
        <w:t> </w:t>
      </w:r>
      <w:r>
        <w:rPr>
          <w:i/>
          <w:color w:val="231F20"/>
          <w:spacing w:val="-2"/>
          <w:sz w:val="20"/>
        </w:rPr>
        <w:t>Большое</w:t>
      </w:r>
      <w:r>
        <w:rPr>
          <w:i/>
          <w:color w:val="231F20"/>
          <w:spacing w:val="-3"/>
          <w:sz w:val="20"/>
        </w:rPr>
        <w:t> </w:t>
      </w:r>
      <w:r>
        <w:rPr>
          <w:i/>
          <w:color w:val="231F20"/>
          <w:spacing w:val="-2"/>
          <w:sz w:val="20"/>
        </w:rPr>
        <w:t>спасибо</w:t>
      </w:r>
      <w:r>
        <w:rPr>
          <w:i/>
          <w:color w:val="231F20"/>
          <w:spacing w:val="-3"/>
          <w:sz w:val="20"/>
        </w:rPr>
        <w:t> </w:t>
      </w:r>
      <w:r>
        <w:rPr>
          <w:i/>
          <w:color w:val="231F20"/>
          <w:spacing w:val="-2"/>
          <w:sz w:val="20"/>
        </w:rPr>
        <w:t>группе</w:t>
      </w:r>
      <w:r>
        <w:rPr>
          <w:i/>
          <w:color w:val="231F20"/>
          <w:spacing w:val="-3"/>
          <w:sz w:val="20"/>
        </w:rPr>
        <w:t> </w:t>
      </w:r>
      <w:r>
        <w:rPr>
          <w:i/>
          <w:color w:val="231F20"/>
          <w:spacing w:val="-2"/>
          <w:sz w:val="20"/>
        </w:rPr>
        <w:t>за</w:t>
      </w:r>
      <w:r>
        <w:rPr>
          <w:i/>
          <w:color w:val="231F20"/>
          <w:spacing w:val="-3"/>
          <w:sz w:val="20"/>
        </w:rPr>
        <w:t> </w:t>
      </w:r>
      <w:r>
        <w:rPr>
          <w:i/>
          <w:color w:val="231F20"/>
          <w:spacing w:val="-2"/>
          <w:sz w:val="20"/>
        </w:rPr>
        <w:t>работу,</w:t>
      </w:r>
      <w:r>
        <w:rPr>
          <w:i/>
          <w:color w:val="231F20"/>
          <w:spacing w:val="-3"/>
          <w:sz w:val="20"/>
        </w:rPr>
        <w:t> </w:t>
      </w:r>
      <w:r>
        <w:rPr>
          <w:i/>
          <w:color w:val="231F20"/>
          <w:spacing w:val="-2"/>
          <w:sz w:val="20"/>
        </w:rPr>
        <w:t>спасибо</w:t>
      </w:r>
      <w:r>
        <w:rPr>
          <w:i/>
          <w:color w:val="231F20"/>
          <w:spacing w:val="-3"/>
          <w:sz w:val="20"/>
        </w:rPr>
        <w:t> </w:t>
      </w:r>
      <w:r>
        <w:rPr>
          <w:i/>
          <w:color w:val="231F20"/>
          <w:spacing w:val="-2"/>
          <w:sz w:val="20"/>
        </w:rPr>
        <w:t>участнику,</w:t>
      </w:r>
      <w:r>
        <w:rPr>
          <w:i/>
          <w:color w:val="231F20"/>
          <w:spacing w:val="-3"/>
          <w:sz w:val="20"/>
        </w:rPr>
        <w:t> </w:t>
      </w:r>
      <w:r>
        <w:rPr>
          <w:i/>
          <w:color w:val="231F20"/>
          <w:spacing w:val="-2"/>
          <w:sz w:val="20"/>
        </w:rPr>
        <w:t>который</w:t>
      </w:r>
      <w:r>
        <w:rPr>
          <w:i/>
          <w:color w:val="231F20"/>
          <w:spacing w:val="-3"/>
          <w:sz w:val="20"/>
        </w:rPr>
        <w:t> </w:t>
      </w:r>
      <w:r>
        <w:rPr>
          <w:i/>
          <w:color w:val="231F20"/>
          <w:spacing w:val="-2"/>
          <w:sz w:val="20"/>
        </w:rPr>
        <w:t>представил </w:t>
      </w:r>
      <w:r>
        <w:rPr>
          <w:i/>
          <w:color w:val="231F20"/>
          <w:sz w:val="20"/>
        </w:rPr>
        <w:t>случай, считаем разбор случая завершенным. Для подведения итогов прошу соста- вить</w:t>
      </w:r>
      <w:r>
        <w:rPr>
          <w:i/>
          <w:color w:val="231F20"/>
          <w:spacing w:val="-4"/>
          <w:sz w:val="20"/>
        </w:rPr>
        <w:t> </w:t>
      </w:r>
      <w:r>
        <w:rPr>
          <w:i/>
          <w:color w:val="231F20"/>
          <w:sz w:val="20"/>
        </w:rPr>
        <w:t>памятку</w:t>
      </w:r>
      <w:r>
        <w:rPr>
          <w:i/>
          <w:color w:val="231F20"/>
          <w:spacing w:val="-4"/>
          <w:sz w:val="20"/>
        </w:rPr>
        <w:t> </w:t>
      </w:r>
      <w:r>
        <w:rPr>
          <w:i/>
          <w:color w:val="231F20"/>
          <w:sz w:val="20"/>
        </w:rPr>
        <w:t>с</w:t>
      </w:r>
      <w:r>
        <w:rPr>
          <w:i/>
          <w:color w:val="231F20"/>
          <w:spacing w:val="-4"/>
          <w:sz w:val="20"/>
        </w:rPr>
        <w:t> </w:t>
      </w:r>
      <w:r>
        <w:rPr>
          <w:i/>
          <w:color w:val="231F20"/>
          <w:sz w:val="20"/>
        </w:rPr>
        <w:t>основными</w:t>
      </w:r>
      <w:r>
        <w:rPr>
          <w:i/>
          <w:color w:val="231F20"/>
          <w:spacing w:val="-4"/>
          <w:sz w:val="20"/>
        </w:rPr>
        <w:t> </w:t>
      </w:r>
      <w:r>
        <w:rPr>
          <w:i/>
          <w:color w:val="231F20"/>
          <w:sz w:val="20"/>
        </w:rPr>
        <w:t>правилами</w:t>
      </w:r>
      <w:r>
        <w:rPr>
          <w:i/>
          <w:color w:val="231F20"/>
          <w:spacing w:val="-4"/>
          <w:sz w:val="20"/>
        </w:rPr>
        <w:t> </w:t>
      </w:r>
      <w:r>
        <w:rPr>
          <w:i/>
          <w:color w:val="231F20"/>
          <w:sz w:val="20"/>
        </w:rPr>
        <w:t>и</w:t>
      </w:r>
      <w:r>
        <w:rPr>
          <w:i/>
          <w:color w:val="231F20"/>
          <w:spacing w:val="-4"/>
          <w:sz w:val="20"/>
        </w:rPr>
        <w:t> </w:t>
      </w:r>
      <w:r>
        <w:rPr>
          <w:i/>
          <w:color w:val="231F20"/>
          <w:sz w:val="20"/>
        </w:rPr>
        <w:t>алгоритмами</w:t>
      </w:r>
      <w:r>
        <w:rPr>
          <w:i/>
          <w:color w:val="231F20"/>
          <w:spacing w:val="-4"/>
          <w:sz w:val="20"/>
        </w:rPr>
        <w:t> </w:t>
      </w:r>
      <w:r>
        <w:rPr>
          <w:i/>
          <w:color w:val="231F20"/>
          <w:sz w:val="20"/>
        </w:rPr>
        <w:t>поведения</w:t>
      </w:r>
      <w:r>
        <w:rPr>
          <w:i/>
          <w:color w:val="231F20"/>
          <w:spacing w:val="-4"/>
          <w:sz w:val="20"/>
        </w:rPr>
        <w:t> </w:t>
      </w:r>
      <w:r>
        <w:rPr>
          <w:i/>
          <w:color w:val="231F20"/>
          <w:sz w:val="20"/>
        </w:rPr>
        <w:t>в</w:t>
      </w:r>
      <w:r>
        <w:rPr>
          <w:i/>
          <w:color w:val="231F20"/>
          <w:spacing w:val="-4"/>
          <w:sz w:val="20"/>
        </w:rPr>
        <w:t> </w:t>
      </w:r>
      <w:r>
        <w:rPr>
          <w:i/>
          <w:color w:val="231F20"/>
          <w:sz w:val="20"/>
        </w:rPr>
        <w:t>других</w:t>
      </w:r>
      <w:r>
        <w:rPr>
          <w:i/>
          <w:color w:val="231F20"/>
          <w:spacing w:val="-4"/>
          <w:sz w:val="20"/>
        </w:rPr>
        <w:t> </w:t>
      </w:r>
      <w:r>
        <w:rPr>
          <w:i/>
          <w:color w:val="231F20"/>
          <w:sz w:val="20"/>
        </w:rPr>
        <w:t>ситуациях подобного типа – запишите свои предложения на доске (флип-чарте).</w:t>
      </w:r>
    </w:p>
    <w:p>
      <w:pPr>
        <w:pStyle w:val="BodyText"/>
        <w:spacing w:line="235" w:lineRule="auto" w:before="3"/>
        <w:ind w:right="140"/>
      </w:pPr>
      <w:r>
        <w:rPr>
          <w:color w:val="231F20"/>
        </w:rPr>
        <w:t>Участники записывают последовательность шагов, обсуждают степень полноты </w:t>
      </w:r>
      <w:r>
        <w:rPr>
          <w:color w:val="231F20"/>
          <w:spacing w:val="-2"/>
        </w:rPr>
        <w:t>памятки.</w:t>
      </w:r>
    </w:p>
    <w:p>
      <w:pPr>
        <w:spacing w:line="235" w:lineRule="auto" w:before="2"/>
        <w:ind w:left="141" w:right="139" w:firstLine="283"/>
        <w:jc w:val="both"/>
        <w:rPr>
          <w:i/>
          <w:sz w:val="20"/>
        </w:rPr>
      </w:pPr>
      <w:r>
        <w:rPr>
          <w:b/>
          <w:i/>
          <w:color w:val="231F20"/>
          <w:sz w:val="20"/>
        </w:rPr>
        <w:t>Ведущий. </w:t>
      </w:r>
      <w:r>
        <w:rPr>
          <w:i/>
          <w:color w:val="231F20"/>
          <w:sz w:val="20"/>
        </w:rPr>
        <w:t>Давайте проведем итоговую обратную связь о работе нашей группы сегодня. С чем уходите, что для вас было важным сегодня?</w:t>
      </w:r>
    </w:p>
    <w:p>
      <w:pPr>
        <w:pStyle w:val="BodyText"/>
        <w:spacing w:line="227" w:lineRule="exact"/>
        <w:ind w:left="425" w:right="0" w:firstLine="0"/>
      </w:pPr>
      <w:r>
        <w:rPr>
          <w:color w:val="231F20"/>
        </w:rPr>
        <w:t>Участники</w:t>
      </w:r>
      <w:r>
        <w:rPr>
          <w:color w:val="231F20"/>
          <w:spacing w:val="-14"/>
        </w:rPr>
        <w:t> </w:t>
      </w:r>
      <w:r>
        <w:rPr>
          <w:color w:val="231F20"/>
        </w:rPr>
        <w:t>высказываются</w:t>
      </w:r>
      <w:r>
        <w:rPr>
          <w:color w:val="231F20"/>
          <w:spacing w:val="-10"/>
        </w:rPr>
        <w:t> </w:t>
      </w:r>
      <w:r>
        <w:rPr>
          <w:color w:val="231F20"/>
        </w:rPr>
        <w:t>по</w:t>
      </w:r>
      <w:r>
        <w:rPr>
          <w:color w:val="231F20"/>
          <w:spacing w:val="-11"/>
        </w:rPr>
        <w:t> </w:t>
      </w:r>
      <w:r>
        <w:rPr>
          <w:color w:val="231F20"/>
        </w:rPr>
        <w:t>кругу.</w:t>
      </w:r>
      <w:r>
        <w:rPr>
          <w:color w:val="231F20"/>
          <w:spacing w:val="-10"/>
        </w:rPr>
        <w:t> </w:t>
      </w:r>
      <w:r>
        <w:rPr>
          <w:color w:val="231F20"/>
        </w:rPr>
        <w:t>Группа</w:t>
      </w:r>
      <w:r>
        <w:rPr>
          <w:color w:val="231F20"/>
          <w:spacing w:val="-11"/>
        </w:rPr>
        <w:t> </w:t>
      </w:r>
      <w:r>
        <w:rPr>
          <w:color w:val="231F20"/>
        </w:rPr>
        <w:t>завершает</w:t>
      </w:r>
      <w:r>
        <w:rPr>
          <w:color w:val="231F20"/>
          <w:spacing w:val="-10"/>
        </w:rPr>
        <w:t> </w:t>
      </w:r>
      <w:r>
        <w:rPr>
          <w:color w:val="231F20"/>
          <w:spacing w:val="-2"/>
        </w:rPr>
        <w:t>работу.</w:t>
      </w:r>
    </w:p>
    <w:p>
      <w:pPr>
        <w:spacing w:line="227" w:lineRule="exact" w:before="156"/>
        <w:ind w:left="425" w:right="0" w:firstLine="0"/>
        <w:jc w:val="both"/>
        <w:rPr>
          <w:b/>
          <w:i/>
          <w:sz w:val="20"/>
        </w:rPr>
      </w:pPr>
      <w:r>
        <w:rPr>
          <w:b/>
          <w:i/>
          <w:sz w:val="20"/>
        </w:rPr>
        <w:t>Где</w:t>
      </w:r>
      <w:r>
        <w:rPr>
          <w:b/>
          <w:i/>
          <w:spacing w:val="-4"/>
          <w:sz w:val="20"/>
        </w:rPr>
        <w:t> </w:t>
      </w:r>
      <w:r>
        <w:rPr>
          <w:b/>
          <w:i/>
          <w:spacing w:val="-2"/>
          <w:sz w:val="20"/>
        </w:rPr>
        <w:t>научиться?</w:t>
      </w:r>
    </w:p>
    <w:p>
      <w:pPr>
        <w:pStyle w:val="BodyText"/>
        <w:spacing w:line="232" w:lineRule="auto" w:before="2"/>
      </w:pPr>
      <w:r>
        <w:rPr/>
        <w:t>Существуют</w:t>
      </w:r>
      <w:r>
        <w:rPr>
          <w:spacing w:val="-3"/>
        </w:rPr>
        <w:t> </w:t>
      </w:r>
      <w:r>
        <w:rPr/>
        <w:t>практики</w:t>
      </w:r>
      <w:r>
        <w:rPr>
          <w:spacing w:val="-3"/>
        </w:rPr>
        <w:t> </w:t>
      </w:r>
      <w:r>
        <w:rPr/>
        <w:t>интервизорских</w:t>
      </w:r>
      <w:r>
        <w:rPr>
          <w:spacing w:val="-3"/>
        </w:rPr>
        <w:t> </w:t>
      </w:r>
      <w:r>
        <w:rPr/>
        <w:t>групп</w:t>
      </w:r>
      <w:r>
        <w:rPr>
          <w:spacing w:val="-3"/>
        </w:rPr>
        <w:t> </w:t>
      </w:r>
      <w:r>
        <w:rPr/>
        <w:t>школьных</w:t>
      </w:r>
      <w:r>
        <w:rPr>
          <w:spacing w:val="-3"/>
        </w:rPr>
        <w:t> </w:t>
      </w:r>
      <w:r>
        <w:rPr/>
        <w:t>психологов.</w:t>
      </w:r>
      <w:r>
        <w:rPr>
          <w:spacing w:val="-3"/>
        </w:rPr>
        <w:t> </w:t>
      </w:r>
      <w:r>
        <w:rPr/>
        <w:t>Также</w:t>
      </w:r>
      <w:r>
        <w:rPr>
          <w:spacing w:val="-3"/>
        </w:rPr>
        <w:t> </w:t>
      </w:r>
      <w:r>
        <w:rPr/>
        <w:t>мож- но</w:t>
      </w:r>
      <w:r>
        <w:rPr>
          <w:spacing w:val="-4"/>
        </w:rPr>
        <w:t> </w:t>
      </w:r>
      <w:r>
        <w:rPr/>
        <w:t>овладеть</w:t>
      </w:r>
      <w:r>
        <w:rPr>
          <w:spacing w:val="-4"/>
        </w:rPr>
        <w:t> </w:t>
      </w:r>
      <w:r>
        <w:rPr/>
        <w:t>подобной</w:t>
      </w:r>
      <w:r>
        <w:rPr>
          <w:spacing w:val="-4"/>
        </w:rPr>
        <w:t> </w:t>
      </w:r>
      <w:r>
        <w:rPr/>
        <w:t>практикой</w:t>
      </w:r>
      <w:r>
        <w:rPr>
          <w:spacing w:val="-4"/>
        </w:rPr>
        <w:t> </w:t>
      </w:r>
      <w:r>
        <w:rPr/>
        <w:t>в</w:t>
      </w:r>
      <w:r>
        <w:rPr>
          <w:spacing w:val="-4"/>
        </w:rPr>
        <w:t> </w:t>
      </w:r>
      <w:r>
        <w:rPr/>
        <w:t>ходе</w:t>
      </w:r>
      <w:r>
        <w:rPr>
          <w:spacing w:val="-4"/>
        </w:rPr>
        <w:t> </w:t>
      </w:r>
      <w:r>
        <w:rPr/>
        <w:t>участия</w:t>
      </w:r>
      <w:r>
        <w:rPr>
          <w:spacing w:val="-4"/>
        </w:rPr>
        <w:t> </w:t>
      </w:r>
      <w:r>
        <w:rPr/>
        <w:t>в</w:t>
      </w:r>
      <w:r>
        <w:rPr>
          <w:spacing w:val="-4"/>
        </w:rPr>
        <w:t> </w:t>
      </w:r>
      <w:r>
        <w:rPr/>
        <w:t>методических</w:t>
      </w:r>
      <w:r>
        <w:rPr>
          <w:spacing w:val="-4"/>
        </w:rPr>
        <w:t> </w:t>
      </w:r>
      <w:r>
        <w:rPr/>
        <w:t>объединениях</w:t>
      </w:r>
      <w:r>
        <w:rPr>
          <w:spacing w:val="-4"/>
        </w:rPr>
        <w:t> </w:t>
      </w:r>
      <w:r>
        <w:rPr/>
        <w:t>веду- щих педагогических вузов и институтов повышения квалификации.</w:t>
      </w:r>
    </w:p>
    <w:p>
      <w:pPr>
        <w:spacing w:line="205" w:lineRule="exact" w:before="109"/>
        <w:ind w:left="425" w:right="0" w:firstLine="0"/>
        <w:jc w:val="left"/>
        <w:rPr>
          <w:b/>
          <w:sz w:val="18"/>
        </w:rPr>
      </w:pPr>
      <w:r>
        <w:rPr>
          <w:b/>
          <w:color w:val="231F20"/>
          <w:spacing w:val="-2"/>
          <w:sz w:val="18"/>
        </w:rPr>
        <w:t>Литература</w:t>
      </w:r>
    </w:p>
    <w:p>
      <w:pPr>
        <w:pStyle w:val="ListParagraph"/>
        <w:numPr>
          <w:ilvl w:val="0"/>
          <w:numId w:val="252"/>
        </w:numPr>
        <w:tabs>
          <w:tab w:pos="708" w:val="left" w:leader="none"/>
        </w:tabs>
        <w:spacing w:line="237" w:lineRule="auto" w:before="1" w:after="0"/>
        <w:ind w:left="708" w:right="423" w:hanging="284"/>
        <w:jc w:val="both"/>
        <w:rPr>
          <w:sz w:val="18"/>
        </w:rPr>
      </w:pPr>
      <w:r>
        <w:rPr>
          <w:color w:val="231F20"/>
          <w:spacing w:val="-2"/>
          <w:sz w:val="18"/>
        </w:rPr>
        <w:t>Анализ урока. Типология, методика, диагностика / авт.-сост. Л.В. Голубева, Т.А. Че- </w:t>
      </w:r>
      <w:r>
        <w:rPr>
          <w:color w:val="231F20"/>
          <w:sz w:val="18"/>
        </w:rPr>
        <w:t>годаева.</w:t>
      </w:r>
      <w:r>
        <w:rPr>
          <w:color w:val="231F20"/>
          <w:spacing w:val="-8"/>
          <w:sz w:val="18"/>
        </w:rPr>
        <w:t> </w:t>
      </w:r>
      <w:r>
        <w:rPr>
          <w:color w:val="231F20"/>
          <w:sz w:val="18"/>
        </w:rPr>
        <w:t>–</w:t>
      </w:r>
      <w:r>
        <w:rPr>
          <w:color w:val="231F20"/>
          <w:spacing w:val="-8"/>
          <w:sz w:val="18"/>
        </w:rPr>
        <w:t> </w:t>
      </w:r>
      <w:r>
        <w:rPr>
          <w:color w:val="231F20"/>
          <w:sz w:val="18"/>
        </w:rPr>
        <w:t>2-е</w:t>
      </w:r>
      <w:r>
        <w:rPr>
          <w:color w:val="231F20"/>
          <w:spacing w:val="-8"/>
          <w:sz w:val="18"/>
        </w:rPr>
        <w:t> </w:t>
      </w:r>
      <w:r>
        <w:rPr>
          <w:color w:val="231F20"/>
          <w:sz w:val="18"/>
        </w:rPr>
        <w:t>изд.,</w:t>
      </w:r>
      <w:r>
        <w:rPr>
          <w:color w:val="231F20"/>
          <w:spacing w:val="-8"/>
          <w:sz w:val="18"/>
        </w:rPr>
        <w:t> </w:t>
      </w:r>
      <w:r>
        <w:rPr>
          <w:color w:val="231F20"/>
          <w:sz w:val="18"/>
        </w:rPr>
        <w:t>стер.</w:t>
      </w:r>
      <w:r>
        <w:rPr>
          <w:color w:val="231F20"/>
          <w:spacing w:val="-8"/>
          <w:sz w:val="18"/>
        </w:rPr>
        <w:t> </w:t>
      </w:r>
      <w:r>
        <w:rPr>
          <w:color w:val="231F20"/>
          <w:sz w:val="18"/>
        </w:rPr>
        <w:t>–</w:t>
      </w:r>
      <w:r>
        <w:rPr>
          <w:color w:val="231F20"/>
          <w:spacing w:val="-8"/>
          <w:sz w:val="18"/>
        </w:rPr>
        <w:t> </w:t>
      </w:r>
      <w:r>
        <w:rPr>
          <w:color w:val="231F20"/>
          <w:sz w:val="18"/>
        </w:rPr>
        <w:t>Волгоград</w:t>
      </w:r>
      <w:r>
        <w:rPr>
          <w:color w:val="231F20"/>
          <w:spacing w:val="-8"/>
          <w:sz w:val="18"/>
        </w:rPr>
        <w:t> </w:t>
      </w:r>
      <w:r>
        <w:rPr>
          <w:color w:val="231F20"/>
          <w:sz w:val="18"/>
        </w:rPr>
        <w:t>:</w:t>
      </w:r>
      <w:r>
        <w:rPr>
          <w:color w:val="231F20"/>
          <w:spacing w:val="-8"/>
          <w:sz w:val="18"/>
        </w:rPr>
        <w:t> </w:t>
      </w:r>
      <w:r>
        <w:rPr>
          <w:color w:val="231F20"/>
          <w:sz w:val="18"/>
        </w:rPr>
        <w:t>[Учитель],</w:t>
      </w:r>
      <w:r>
        <w:rPr>
          <w:color w:val="231F20"/>
          <w:spacing w:val="-8"/>
          <w:sz w:val="18"/>
        </w:rPr>
        <w:t> </w:t>
      </w:r>
      <w:r>
        <w:rPr>
          <w:color w:val="231F20"/>
          <w:sz w:val="18"/>
        </w:rPr>
        <w:t>2008.</w:t>
      </w:r>
      <w:r>
        <w:rPr>
          <w:color w:val="231F20"/>
          <w:spacing w:val="-8"/>
          <w:sz w:val="18"/>
        </w:rPr>
        <w:t> </w:t>
      </w:r>
      <w:r>
        <w:rPr>
          <w:color w:val="231F20"/>
          <w:sz w:val="18"/>
        </w:rPr>
        <w:t>–</w:t>
      </w:r>
      <w:r>
        <w:rPr>
          <w:color w:val="231F20"/>
          <w:spacing w:val="-8"/>
          <w:sz w:val="18"/>
        </w:rPr>
        <w:t> </w:t>
      </w:r>
      <w:r>
        <w:rPr>
          <w:color w:val="231F20"/>
          <w:sz w:val="18"/>
        </w:rPr>
        <w:t>(В</w:t>
      </w:r>
      <w:r>
        <w:rPr>
          <w:color w:val="231F20"/>
          <w:spacing w:val="-8"/>
          <w:sz w:val="18"/>
        </w:rPr>
        <w:t> </w:t>
      </w:r>
      <w:r>
        <w:rPr>
          <w:color w:val="231F20"/>
          <w:sz w:val="18"/>
        </w:rPr>
        <w:t>помощь</w:t>
      </w:r>
      <w:r>
        <w:rPr>
          <w:color w:val="231F20"/>
          <w:spacing w:val="-8"/>
          <w:sz w:val="18"/>
        </w:rPr>
        <w:t> </w:t>
      </w:r>
      <w:r>
        <w:rPr>
          <w:color w:val="231F20"/>
          <w:sz w:val="18"/>
        </w:rPr>
        <w:t>администрации школы) – ISBN 978-5-7057-1063-8.</w:t>
      </w:r>
    </w:p>
    <w:p>
      <w:pPr>
        <w:pStyle w:val="ListParagraph"/>
        <w:numPr>
          <w:ilvl w:val="0"/>
          <w:numId w:val="252"/>
        </w:numPr>
        <w:tabs>
          <w:tab w:pos="708" w:val="left" w:leader="none"/>
        </w:tabs>
        <w:spacing w:line="237" w:lineRule="auto" w:before="0" w:after="0"/>
        <w:ind w:left="708" w:right="422" w:hanging="284"/>
        <w:jc w:val="both"/>
        <w:rPr>
          <w:sz w:val="18"/>
        </w:rPr>
      </w:pPr>
      <w:r>
        <w:rPr>
          <w:color w:val="231F20"/>
          <w:sz w:val="18"/>
        </w:rPr>
        <w:t>Арпентьева, М.Р. Проектирование в системе психологического анализа учебного занятия vs учебное занятие в системе проектирования // Моделирование и кон- струирование в образовательной среде : Сборник материалов III Всероссийской </w:t>
      </w:r>
      <w:r>
        <w:rPr>
          <w:color w:val="231F20"/>
          <w:spacing w:val="-2"/>
          <w:sz w:val="18"/>
        </w:rPr>
        <w:t>научно-практической, методологической конференции для научно-педагогического </w:t>
      </w:r>
      <w:r>
        <w:rPr>
          <w:color w:val="231F20"/>
          <w:sz w:val="18"/>
        </w:rPr>
        <w:t>сообщества,</w:t>
      </w:r>
      <w:r>
        <w:rPr>
          <w:color w:val="231F20"/>
          <w:spacing w:val="-3"/>
          <w:sz w:val="18"/>
        </w:rPr>
        <w:t> </w:t>
      </w:r>
      <w:r>
        <w:rPr>
          <w:color w:val="231F20"/>
          <w:sz w:val="18"/>
        </w:rPr>
        <w:t>Москва,</w:t>
      </w:r>
      <w:r>
        <w:rPr>
          <w:color w:val="231F20"/>
          <w:spacing w:val="-3"/>
          <w:sz w:val="18"/>
        </w:rPr>
        <w:t> </w:t>
      </w:r>
      <w:r>
        <w:rPr>
          <w:color w:val="231F20"/>
          <w:sz w:val="18"/>
        </w:rPr>
        <w:t>18</w:t>
      </w:r>
      <w:r>
        <w:rPr>
          <w:color w:val="231F20"/>
          <w:spacing w:val="-3"/>
          <w:sz w:val="18"/>
        </w:rPr>
        <w:t> </w:t>
      </w:r>
      <w:r>
        <w:rPr>
          <w:color w:val="231F20"/>
          <w:sz w:val="18"/>
        </w:rPr>
        <w:t>апреля</w:t>
      </w:r>
      <w:r>
        <w:rPr>
          <w:color w:val="231F20"/>
          <w:spacing w:val="-3"/>
          <w:sz w:val="18"/>
        </w:rPr>
        <w:t> </w:t>
      </w:r>
      <w:r>
        <w:rPr>
          <w:color w:val="231F20"/>
          <w:sz w:val="18"/>
        </w:rPr>
        <w:t>2018</w:t>
      </w:r>
      <w:r>
        <w:rPr>
          <w:color w:val="231F20"/>
          <w:spacing w:val="-3"/>
          <w:sz w:val="18"/>
        </w:rPr>
        <w:t> </w:t>
      </w:r>
      <w:r>
        <w:rPr>
          <w:color w:val="231F20"/>
          <w:sz w:val="18"/>
        </w:rPr>
        <w:t>года</w:t>
      </w:r>
      <w:r>
        <w:rPr>
          <w:color w:val="231F20"/>
          <w:spacing w:val="-3"/>
          <w:sz w:val="18"/>
        </w:rPr>
        <w:t> </w:t>
      </w:r>
      <w:r>
        <w:rPr>
          <w:color w:val="231F20"/>
          <w:sz w:val="18"/>
        </w:rPr>
        <w:t>/</w:t>
      </w:r>
      <w:r>
        <w:rPr>
          <w:color w:val="231F20"/>
          <w:spacing w:val="-3"/>
          <w:sz w:val="18"/>
        </w:rPr>
        <w:t> </w:t>
      </w:r>
      <w:r>
        <w:rPr>
          <w:color w:val="231F20"/>
          <w:sz w:val="18"/>
        </w:rPr>
        <w:t>Под</w:t>
      </w:r>
      <w:r>
        <w:rPr>
          <w:color w:val="231F20"/>
          <w:spacing w:val="-3"/>
          <w:sz w:val="18"/>
        </w:rPr>
        <w:t> </w:t>
      </w:r>
      <w:r>
        <w:rPr>
          <w:color w:val="231F20"/>
          <w:sz w:val="18"/>
        </w:rPr>
        <w:t>ред.</w:t>
      </w:r>
      <w:r>
        <w:rPr>
          <w:color w:val="231F20"/>
          <w:spacing w:val="-3"/>
          <w:sz w:val="18"/>
        </w:rPr>
        <w:t> </w:t>
      </w:r>
      <w:r>
        <w:rPr>
          <w:color w:val="231F20"/>
          <w:sz w:val="18"/>
        </w:rPr>
        <w:t>И.А.</w:t>
      </w:r>
      <w:r>
        <w:rPr>
          <w:color w:val="231F20"/>
          <w:spacing w:val="-3"/>
          <w:sz w:val="18"/>
        </w:rPr>
        <w:t> </w:t>
      </w:r>
      <w:r>
        <w:rPr>
          <w:color w:val="231F20"/>
          <w:sz w:val="18"/>
        </w:rPr>
        <w:t>Артемьева,</w:t>
      </w:r>
      <w:r>
        <w:rPr>
          <w:color w:val="231F20"/>
          <w:spacing w:val="-3"/>
          <w:sz w:val="18"/>
        </w:rPr>
        <w:t> </w:t>
      </w:r>
      <w:r>
        <w:rPr>
          <w:color w:val="231F20"/>
          <w:sz w:val="18"/>
        </w:rPr>
        <w:t>В.О.</w:t>
      </w:r>
      <w:r>
        <w:rPr>
          <w:color w:val="231F20"/>
          <w:spacing w:val="-3"/>
          <w:sz w:val="18"/>
        </w:rPr>
        <w:t> </w:t>
      </w:r>
      <w:r>
        <w:rPr>
          <w:color w:val="231F20"/>
          <w:sz w:val="18"/>
        </w:rPr>
        <w:t>Белевцо- вой,</w:t>
      </w:r>
      <w:r>
        <w:rPr>
          <w:color w:val="231F20"/>
          <w:spacing w:val="-7"/>
          <w:sz w:val="18"/>
        </w:rPr>
        <w:t> </w:t>
      </w:r>
      <w:r>
        <w:rPr>
          <w:color w:val="231F20"/>
          <w:sz w:val="18"/>
        </w:rPr>
        <w:t>Н.Д.</w:t>
      </w:r>
      <w:r>
        <w:rPr>
          <w:color w:val="231F20"/>
          <w:spacing w:val="-7"/>
          <w:sz w:val="18"/>
        </w:rPr>
        <w:t> </w:t>
      </w:r>
      <w:r>
        <w:rPr>
          <w:color w:val="231F20"/>
          <w:sz w:val="18"/>
        </w:rPr>
        <w:t>Дудиной,</w:t>
      </w:r>
      <w:r>
        <w:rPr>
          <w:color w:val="231F20"/>
          <w:spacing w:val="-7"/>
          <w:sz w:val="18"/>
        </w:rPr>
        <w:t> </w:t>
      </w:r>
      <w:r>
        <w:rPr>
          <w:color w:val="231F20"/>
          <w:sz w:val="18"/>
        </w:rPr>
        <w:t>М.Н.</w:t>
      </w:r>
      <w:r>
        <w:rPr>
          <w:color w:val="231F20"/>
          <w:spacing w:val="-7"/>
          <w:sz w:val="18"/>
        </w:rPr>
        <w:t> </w:t>
      </w:r>
      <w:r>
        <w:rPr>
          <w:color w:val="231F20"/>
          <w:sz w:val="18"/>
        </w:rPr>
        <w:t>Бученковой.</w:t>
      </w:r>
      <w:r>
        <w:rPr>
          <w:color w:val="231F20"/>
          <w:spacing w:val="-7"/>
          <w:sz w:val="18"/>
        </w:rPr>
        <w:t> </w:t>
      </w:r>
      <w:r>
        <w:rPr>
          <w:color w:val="231F20"/>
          <w:sz w:val="18"/>
        </w:rPr>
        <w:t>–</w:t>
      </w:r>
      <w:r>
        <w:rPr>
          <w:color w:val="231F20"/>
          <w:spacing w:val="-7"/>
          <w:sz w:val="18"/>
        </w:rPr>
        <w:t> </w:t>
      </w:r>
      <w:r>
        <w:rPr>
          <w:color w:val="231F20"/>
          <w:sz w:val="18"/>
        </w:rPr>
        <w:t>М.:</w:t>
      </w:r>
      <w:r>
        <w:rPr>
          <w:color w:val="231F20"/>
          <w:spacing w:val="-7"/>
          <w:sz w:val="18"/>
        </w:rPr>
        <w:t> </w:t>
      </w:r>
      <w:r>
        <w:rPr>
          <w:color w:val="231F20"/>
          <w:sz w:val="18"/>
        </w:rPr>
        <w:t>ГБПОУ</w:t>
      </w:r>
      <w:r>
        <w:rPr>
          <w:color w:val="231F20"/>
          <w:spacing w:val="-7"/>
          <w:sz w:val="18"/>
        </w:rPr>
        <w:t> </w:t>
      </w:r>
      <w:r>
        <w:rPr>
          <w:color w:val="231F20"/>
          <w:sz w:val="18"/>
        </w:rPr>
        <w:t>«Московский</w:t>
      </w:r>
      <w:r>
        <w:rPr>
          <w:color w:val="231F20"/>
          <w:spacing w:val="-7"/>
          <w:sz w:val="18"/>
        </w:rPr>
        <w:t> </w:t>
      </w:r>
      <w:r>
        <w:rPr>
          <w:color w:val="231F20"/>
          <w:sz w:val="18"/>
        </w:rPr>
        <w:t>государственный образовательный комплекс», 2018. – С. 10–21.</w:t>
      </w:r>
    </w:p>
    <w:p>
      <w:pPr>
        <w:pStyle w:val="ListParagraph"/>
        <w:numPr>
          <w:ilvl w:val="0"/>
          <w:numId w:val="252"/>
        </w:numPr>
        <w:tabs>
          <w:tab w:pos="708" w:val="left" w:leader="none"/>
        </w:tabs>
        <w:spacing w:line="237" w:lineRule="auto" w:before="0" w:after="0"/>
        <w:ind w:left="708" w:right="422" w:hanging="284"/>
        <w:jc w:val="both"/>
        <w:rPr>
          <w:sz w:val="18"/>
        </w:rPr>
      </w:pPr>
      <w:r>
        <w:rPr>
          <w:color w:val="231F20"/>
          <w:sz w:val="18"/>
        </w:rPr>
        <w:t>Балинтовские группы и супервизия в подготовке специалистов, работающих с людьми:</w:t>
      </w:r>
      <w:r>
        <w:rPr>
          <w:color w:val="231F20"/>
          <w:spacing w:val="-2"/>
          <w:sz w:val="18"/>
        </w:rPr>
        <w:t> </w:t>
      </w:r>
      <w:r>
        <w:rPr>
          <w:color w:val="231F20"/>
          <w:sz w:val="18"/>
        </w:rPr>
        <w:t>Учебное</w:t>
      </w:r>
      <w:r>
        <w:rPr>
          <w:color w:val="231F20"/>
          <w:spacing w:val="-2"/>
          <w:sz w:val="18"/>
        </w:rPr>
        <w:t> </w:t>
      </w:r>
      <w:r>
        <w:rPr>
          <w:color w:val="231F20"/>
          <w:sz w:val="18"/>
        </w:rPr>
        <w:t>пособие.</w:t>
      </w:r>
      <w:r>
        <w:rPr>
          <w:color w:val="231F20"/>
          <w:spacing w:val="-2"/>
          <w:sz w:val="18"/>
        </w:rPr>
        <w:t> </w:t>
      </w:r>
      <w:r>
        <w:rPr>
          <w:color w:val="231F20"/>
          <w:sz w:val="18"/>
        </w:rPr>
        <w:t>/</w:t>
      </w:r>
      <w:r>
        <w:rPr>
          <w:color w:val="231F20"/>
          <w:spacing w:val="-2"/>
          <w:sz w:val="18"/>
        </w:rPr>
        <w:t> </w:t>
      </w:r>
      <w:r>
        <w:rPr>
          <w:color w:val="231F20"/>
          <w:sz w:val="18"/>
        </w:rPr>
        <w:t>Науч.</w:t>
      </w:r>
      <w:r>
        <w:rPr>
          <w:color w:val="231F20"/>
          <w:spacing w:val="-2"/>
          <w:sz w:val="18"/>
        </w:rPr>
        <w:t> </w:t>
      </w:r>
      <w:r>
        <w:rPr>
          <w:color w:val="231F20"/>
          <w:sz w:val="18"/>
        </w:rPr>
        <w:t>ред.</w:t>
      </w:r>
      <w:r>
        <w:rPr>
          <w:color w:val="231F20"/>
          <w:spacing w:val="-2"/>
          <w:sz w:val="18"/>
        </w:rPr>
        <w:t> </w:t>
      </w:r>
      <w:r>
        <w:rPr>
          <w:color w:val="231F20"/>
          <w:sz w:val="18"/>
        </w:rPr>
        <w:t>Эйдемиллер</w:t>
      </w:r>
      <w:r>
        <w:rPr>
          <w:color w:val="231F20"/>
          <w:spacing w:val="-2"/>
          <w:sz w:val="18"/>
        </w:rPr>
        <w:t> </w:t>
      </w:r>
      <w:r>
        <w:rPr>
          <w:color w:val="231F20"/>
          <w:sz w:val="18"/>
        </w:rPr>
        <w:t>Э.Г.</w:t>
      </w:r>
      <w:r>
        <w:rPr>
          <w:color w:val="231F20"/>
          <w:spacing w:val="-2"/>
          <w:sz w:val="18"/>
        </w:rPr>
        <w:t> </w:t>
      </w:r>
      <w:r>
        <w:rPr>
          <w:color w:val="231F20"/>
          <w:sz w:val="18"/>
        </w:rPr>
        <w:t>–</w:t>
      </w:r>
      <w:r>
        <w:rPr>
          <w:color w:val="231F20"/>
          <w:spacing w:val="-2"/>
          <w:sz w:val="18"/>
        </w:rPr>
        <w:t> </w:t>
      </w:r>
      <w:r>
        <w:rPr>
          <w:color w:val="231F20"/>
          <w:sz w:val="18"/>
        </w:rPr>
        <w:t>СПб.:</w:t>
      </w:r>
      <w:r>
        <w:rPr>
          <w:color w:val="231F20"/>
          <w:spacing w:val="-2"/>
          <w:sz w:val="18"/>
        </w:rPr>
        <w:t> </w:t>
      </w:r>
      <w:r>
        <w:rPr>
          <w:color w:val="231F20"/>
          <w:sz w:val="18"/>
        </w:rPr>
        <w:t>Санкт-Петербург- ская академия МВД России, 1998. – 83 с.</w:t>
      </w:r>
    </w:p>
    <w:p>
      <w:pPr>
        <w:pStyle w:val="ListParagraph"/>
        <w:numPr>
          <w:ilvl w:val="0"/>
          <w:numId w:val="252"/>
        </w:numPr>
        <w:tabs>
          <w:tab w:pos="708" w:val="left" w:leader="none"/>
        </w:tabs>
        <w:spacing w:line="237" w:lineRule="auto" w:before="0" w:after="0"/>
        <w:ind w:left="708" w:right="423" w:hanging="284"/>
        <w:jc w:val="both"/>
        <w:rPr>
          <w:sz w:val="18"/>
        </w:rPr>
      </w:pPr>
      <w:r>
        <w:rPr>
          <w:color w:val="231F20"/>
          <w:sz w:val="18"/>
        </w:rPr>
        <w:t>Бейзеров, В.И. 105 кейсов по педагогике. Педагогические задачи и ситуации. –</w:t>
      </w:r>
      <w:r>
        <w:rPr>
          <w:color w:val="231F20"/>
          <w:spacing w:val="80"/>
          <w:sz w:val="18"/>
        </w:rPr>
        <w:t> </w:t>
      </w:r>
      <w:r>
        <w:rPr>
          <w:color w:val="231F20"/>
          <w:sz w:val="18"/>
        </w:rPr>
        <w:t>М.: Флинта, 2014. – 571 c.</w:t>
      </w:r>
    </w:p>
    <w:p>
      <w:pPr>
        <w:pStyle w:val="ListParagraph"/>
        <w:numPr>
          <w:ilvl w:val="0"/>
          <w:numId w:val="252"/>
        </w:numPr>
        <w:tabs>
          <w:tab w:pos="708" w:val="left" w:leader="none"/>
        </w:tabs>
        <w:spacing w:line="237" w:lineRule="auto" w:before="0" w:after="0"/>
        <w:ind w:left="708" w:right="423" w:hanging="284"/>
        <w:jc w:val="both"/>
        <w:rPr>
          <w:sz w:val="18"/>
        </w:rPr>
      </w:pPr>
      <w:r>
        <w:rPr>
          <w:color w:val="231F20"/>
          <w:sz w:val="18"/>
        </w:rPr>
        <w:t>Козлова, И.Н. Психологический анализ и проектирование урока в условиях разви- вающего обучения в начальной школе : учеб.-метод. пособие по пед. психологии для работников школ и студентов педвузов / И.Н. Козлова; Департамент образо- вания Вологодской обл., Вологодский ин-т развития образования. – Вологда : Де- партамент образования Вологодской обл., 2006. – 29 с. – ISBN 5-87590-203-5. – EDN QVGDAN.</w:t>
      </w:r>
    </w:p>
    <w:p>
      <w:pPr>
        <w:pStyle w:val="ListParagraph"/>
        <w:numPr>
          <w:ilvl w:val="0"/>
          <w:numId w:val="252"/>
        </w:numPr>
        <w:tabs>
          <w:tab w:pos="708" w:val="left" w:leader="none"/>
        </w:tabs>
        <w:spacing w:line="237" w:lineRule="auto" w:before="0" w:after="0"/>
        <w:ind w:left="708" w:right="423" w:hanging="284"/>
        <w:jc w:val="both"/>
        <w:rPr>
          <w:sz w:val="18"/>
        </w:rPr>
      </w:pPr>
      <w:r>
        <w:rPr>
          <w:color w:val="231F20"/>
          <w:sz w:val="18"/>
        </w:rPr>
        <w:t>Красавина,</w:t>
      </w:r>
      <w:r>
        <w:rPr>
          <w:color w:val="231F20"/>
          <w:spacing w:val="-2"/>
          <w:sz w:val="18"/>
        </w:rPr>
        <w:t> </w:t>
      </w:r>
      <w:r>
        <w:rPr>
          <w:color w:val="231F20"/>
          <w:sz w:val="18"/>
        </w:rPr>
        <w:t>Т.В.</w:t>
      </w:r>
      <w:r>
        <w:rPr>
          <w:color w:val="231F20"/>
          <w:spacing w:val="-2"/>
          <w:sz w:val="18"/>
        </w:rPr>
        <w:t> </w:t>
      </w:r>
      <w:r>
        <w:rPr>
          <w:color w:val="231F20"/>
          <w:sz w:val="18"/>
        </w:rPr>
        <w:t>Технология</w:t>
      </w:r>
      <w:r>
        <w:rPr>
          <w:color w:val="231F20"/>
          <w:spacing w:val="-2"/>
          <w:sz w:val="18"/>
        </w:rPr>
        <w:t> </w:t>
      </w:r>
      <w:r>
        <w:rPr>
          <w:color w:val="231F20"/>
          <w:sz w:val="18"/>
        </w:rPr>
        <w:t>анализа</w:t>
      </w:r>
      <w:r>
        <w:rPr>
          <w:color w:val="231F20"/>
          <w:spacing w:val="-2"/>
          <w:sz w:val="18"/>
        </w:rPr>
        <w:t> </w:t>
      </w:r>
      <w:r>
        <w:rPr>
          <w:color w:val="231F20"/>
          <w:sz w:val="18"/>
        </w:rPr>
        <w:t>урока</w:t>
      </w:r>
      <w:r>
        <w:rPr>
          <w:color w:val="231F20"/>
          <w:spacing w:val="-2"/>
          <w:sz w:val="18"/>
        </w:rPr>
        <w:t> </w:t>
      </w:r>
      <w:r>
        <w:rPr>
          <w:color w:val="231F20"/>
          <w:sz w:val="18"/>
        </w:rPr>
        <w:t>как</w:t>
      </w:r>
      <w:r>
        <w:rPr>
          <w:color w:val="231F20"/>
          <w:spacing w:val="-2"/>
          <w:sz w:val="18"/>
        </w:rPr>
        <w:t> </w:t>
      </w:r>
      <w:r>
        <w:rPr>
          <w:color w:val="231F20"/>
          <w:sz w:val="18"/>
        </w:rPr>
        <w:t>объект</w:t>
      </w:r>
      <w:r>
        <w:rPr>
          <w:color w:val="231F20"/>
          <w:spacing w:val="-2"/>
          <w:sz w:val="18"/>
        </w:rPr>
        <w:t> </w:t>
      </w:r>
      <w:r>
        <w:rPr>
          <w:color w:val="231F20"/>
          <w:sz w:val="18"/>
        </w:rPr>
        <w:t>информационного</w:t>
      </w:r>
      <w:r>
        <w:rPr>
          <w:color w:val="231F20"/>
          <w:spacing w:val="-2"/>
          <w:sz w:val="18"/>
        </w:rPr>
        <w:t> </w:t>
      </w:r>
      <w:r>
        <w:rPr>
          <w:color w:val="231F20"/>
          <w:sz w:val="18"/>
        </w:rPr>
        <w:t>образова- тельного пространства / Т.В. Красавина, Е.С. Лаврухина, И.Е. Малова // Ученые записки Брянского государственного университета. – 2021. – № 3(23). – С. 19–23.</w:t>
      </w:r>
    </w:p>
    <w:p>
      <w:pPr>
        <w:pStyle w:val="ListParagraph"/>
        <w:numPr>
          <w:ilvl w:val="0"/>
          <w:numId w:val="252"/>
        </w:numPr>
        <w:tabs>
          <w:tab w:pos="708" w:val="left" w:leader="none"/>
        </w:tabs>
        <w:spacing w:line="201" w:lineRule="exact" w:before="0" w:after="0"/>
        <w:ind w:left="708" w:right="0" w:hanging="283"/>
        <w:jc w:val="both"/>
        <w:rPr>
          <w:sz w:val="18"/>
        </w:rPr>
      </w:pPr>
      <w:r>
        <w:rPr>
          <w:color w:val="231F20"/>
          <w:sz w:val="18"/>
        </w:rPr>
        <w:t>Кривцова</w:t>
      </w:r>
      <w:r>
        <w:rPr>
          <w:color w:val="231F20"/>
          <w:spacing w:val="-3"/>
          <w:sz w:val="18"/>
        </w:rPr>
        <w:t> </w:t>
      </w:r>
      <w:r>
        <w:rPr>
          <w:color w:val="231F20"/>
          <w:sz w:val="18"/>
        </w:rPr>
        <w:t>С.В.</w:t>
      </w:r>
      <w:r>
        <w:rPr>
          <w:color w:val="231F20"/>
          <w:spacing w:val="-2"/>
          <w:sz w:val="18"/>
        </w:rPr>
        <w:t> </w:t>
      </w:r>
      <w:r>
        <w:rPr>
          <w:color w:val="231F20"/>
          <w:sz w:val="18"/>
        </w:rPr>
        <w:t>Учитель</w:t>
      </w:r>
      <w:r>
        <w:rPr>
          <w:color w:val="231F20"/>
          <w:spacing w:val="-2"/>
          <w:sz w:val="18"/>
        </w:rPr>
        <w:t> </w:t>
      </w:r>
      <w:r>
        <w:rPr>
          <w:color w:val="231F20"/>
          <w:sz w:val="18"/>
        </w:rPr>
        <w:t>и</w:t>
      </w:r>
      <w:r>
        <w:rPr>
          <w:color w:val="231F20"/>
          <w:spacing w:val="-3"/>
          <w:sz w:val="18"/>
        </w:rPr>
        <w:t> </w:t>
      </w:r>
      <w:r>
        <w:rPr>
          <w:color w:val="231F20"/>
          <w:sz w:val="18"/>
        </w:rPr>
        <w:t>проблемы</w:t>
      </w:r>
      <w:r>
        <w:rPr>
          <w:color w:val="231F20"/>
          <w:spacing w:val="-2"/>
          <w:sz w:val="18"/>
        </w:rPr>
        <w:t> </w:t>
      </w:r>
      <w:r>
        <w:rPr>
          <w:color w:val="231F20"/>
          <w:sz w:val="18"/>
        </w:rPr>
        <w:t>дисциплины.</w:t>
      </w:r>
      <w:r>
        <w:rPr>
          <w:color w:val="231F20"/>
          <w:spacing w:val="-2"/>
          <w:sz w:val="18"/>
        </w:rPr>
        <w:t> </w:t>
      </w:r>
      <w:r>
        <w:rPr>
          <w:color w:val="231F20"/>
          <w:sz w:val="18"/>
        </w:rPr>
        <w:t>–</w:t>
      </w:r>
      <w:r>
        <w:rPr>
          <w:color w:val="231F20"/>
          <w:spacing w:val="-3"/>
          <w:sz w:val="18"/>
        </w:rPr>
        <w:t> </w:t>
      </w:r>
      <w:r>
        <w:rPr>
          <w:color w:val="231F20"/>
          <w:sz w:val="18"/>
        </w:rPr>
        <w:t>М.:</w:t>
      </w:r>
      <w:r>
        <w:rPr>
          <w:color w:val="231F20"/>
          <w:spacing w:val="-2"/>
          <w:sz w:val="18"/>
        </w:rPr>
        <w:t> </w:t>
      </w:r>
      <w:r>
        <w:rPr>
          <w:color w:val="231F20"/>
          <w:sz w:val="18"/>
        </w:rPr>
        <w:t>Генезис,</w:t>
      </w:r>
      <w:r>
        <w:rPr>
          <w:color w:val="231F20"/>
          <w:spacing w:val="-2"/>
          <w:sz w:val="18"/>
        </w:rPr>
        <w:t> </w:t>
      </w:r>
      <w:r>
        <w:rPr>
          <w:color w:val="231F20"/>
          <w:sz w:val="18"/>
        </w:rPr>
        <w:t>2004.</w:t>
      </w:r>
      <w:r>
        <w:rPr>
          <w:color w:val="231F20"/>
          <w:spacing w:val="-2"/>
          <w:sz w:val="18"/>
        </w:rPr>
        <w:t> </w:t>
      </w:r>
      <w:r>
        <w:rPr>
          <w:color w:val="231F20"/>
          <w:sz w:val="18"/>
        </w:rPr>
        <w:t>–</w:t>
      </w:r>
      <w:r>
        <w:rPr>
          <w:color w:val="231F20"/>
          <w:spacing w:val="-2"/>
          <w:sz w:val="18"/>
        </w:rPr>
        <w:t> </w:t>
      </w:r>
      <w:r>
        <w:rPr>
          <w:color w:val="231F20"/>
          <w:sz w:val="18"/>
        </w:rPr>
        <w:t>С.</w:t>
      </w:r>
      <w:r>
        <w:rPr>
          <w:color w:val="231F20"/>
          <w:spacing w:val="-2"/>
          <w:sz w:val="18"/>
        </w:rPr>
        <w:t> 8–10.</w:t>
      </w:r>
    </w:p>
    <w:p>
      <w:pPr>
        <w:pStyle w:val="ListParagraph"/>
        <w:numPr>
          <w:ilvl w:val="0"/>
          <w:numId w:val="252"/>
        </w:numPr>
        <w:tabs>
          <w:tab w:pos="708" w:val="left" w:leader="none"/>
        </w:tabs>
        <w:spacing w:line="240" w:lineRule="auto" w:before="0" w:after="0"/>
        <w:ind w:left="708" w:right="423" w:hanging="284"/>
        <w:jc w:val="both"/>
        <w:rPr>
          <w:sz w:val="18"/>
        </w:rPr>
      </w:pPr>
      <w:r>
        <w:rPr>
          <w:color w:val="231F20"/>
          <w:spacing w:val="-2"/>
          <w:sz w:val="18"/>
        </w:rPr>
        <w:t>Кулыгина, Л.С. Технология психолого-педагогического обоснования урока // Школа </w:t>
      </w:r>
      <w:r>
        <w:rPr>
          <w:color w:val="231F20"/>
          <w:sz w:val="18"/>
        </w:rPr>
        <w:t>и производство. – 2013. – № 2. – С. 58–61.</w:t>
      </w:r>
    </w:p>
    <w:p>
      <w:pPr>
        <w:pStyle w:val="ListParagraph"/>
        <w:spacing w:after="0" w:line="240" w:lineRule="auto"/>
        <w:jc w:val="both"/>
        <w:rPr>
          <w:sz w:val="18"/>
        </w:rPr>
        <w:sectPr>
          <w:pgSz w:w="8400" w:h="11910"/>
          <w:pgMar w:header="0" w:footer="529" w:top="400" w:bottom="740" w:left="425" w:right="425"/>
        </w:sectPr>
      </w:pPr>
    </w:p>
    <w:p>
      <w:pPr>
        <w:spacing w:before="80"/>
        <w:ind w:left="141" w:right="0" w:firstLine="0"/>
        <w:jc w:val="left"/>
        <w:rPr>
          <w:rFonts w:ascii="Georgia" w:hAnsi="Georgia"/>
          <w:sz w:val="18"/>
        </w:rPr>
      </w:pPr>
      <w:r>
        <w:rPr>
          <w:rFonts w:ascii="Georgia" w:hAnsi="Georgia"/>
          <w:color w:val="231F20"/>
          <w:sz w:val="18"/>
        </w:rPr>
        <w:t>2.2.</w:t>
      </w:r>
      <w:r>
        <w:rPr>
          <w:rFonts w:ascii="Georgia" w:hAnsi="Georgia"/>
          <w:color w:val="231F20"/>
          <w:spacing w:val="-3"/>
          <w:sz w:val="18"/>
        </w:rPr>
        <w:t> </w:t>
      </w:r>
      <w:r>
        <w:rPr>
          <w:rFonts w:ascii="Georgia" w:hAnsi="Georgia"/>
          <w:color w:val="231F20"/>
          <w:sz w:val="18"/>
        </w:rPr>
        <w:t>Алгоритм</w:t>
      </w:r>
      <w:r>
        <w:rPr>
          <w:rFonts w:ascii="Georgia" w:hAnsi="Georgia"/>
          <w:color w:val="231F20"/>
          <w:spacing w:val="-3"/>
          <w:sz w:val="18"/>
        </w:rPr>
        <w:t> </w:t>
      </w:r>
      <w:r>
        <w:rPr>
          <w:rFonts w:ascii="Georgia" w:hAnsi="Georgia"/>
          <w:color w:val="231F20"/>
          <w:sz w:val="18"/>
        </w:rPr>
        <w:t>разбора</w:t>
      </w:r>
      <w:r>
        <w:rPr>
          <w:rFonts w:ascii="Georgia" w:hAnsi="Georgia"/>
          <w:color w:val="231F20"/>
          <w:spacing w:val="-3"/>
          <w:sz w:val="18"/>
        </w:rPr>
        <w:t> </w:t>
      </w:r>
      <w:r>
        <w:rPr>
          <w:rFonts w:ascii="Georgia" w:hAnsi="Georgia"/>
          <w:color w:val="231F20"/>
          <w:sz w:val="18"/>
        </w:rPr>
        <w:t>педагогического</w:t>
      </w:r>
      <w:r>
        <w:rPr>
          <w:rFonts w:ascii="Georgia" w:hAnsi="Georgia"/>
          <w:color w:val="231F20"/>
          <w:spacing w:val="-3"/>
          <w:sz w:val="18"/>
        </w:rPr>
        <w:t> </w:t>
      </w:r>
      <w:r>
        <w:rPr>
          <w:rFonts w:ascii="Georgia" w:hAnsi="Georgia"/>
          <w:color w:val="231F20"/>
          <w:sz w:val="18"/>
        </w:rPr>
        <w:t>случая,</w:t>
      </w:r>
      <w:r>
        <w:rPr>
          <w:rFonts w:ascii="Georgia" w:hAnsi="Georgia"/>
          <w:color w:val="231F20"/>
          <w:spacing w:val="-3"/>
          <w:sz w:val="18"/>
        </w:rPr>
        <w:t> </w:t>
      </w:r>
      <w:r>
        <w:rPr>
          <w:rFonts w:ascii="Georgia" w:hAnsi="Georgia"/>
          <w:color w:val="231F20"/>
          <w:sz w:val="18"/>
        </w:rPr>
        <w:t>связанного</w:t>
      </w:r>
      <w:r>
        <w:rPr>
          <w:rFonts w:ascii="Georgia" w:hAnsi="Georgia"/>
          <w:color w:val="231F20"/>
          <w:spacing w:val="-3"/>
          <w:sz w:val="18"/>
        </w:rPr>
        <w:t> </w:t>
      </w:r>
      <w:r>
        <w:rPr>
          <w:rFonts w:ascii="Georgia" w:hAnsi="Georgia"/>
          <w:color w:val="231F20"/>
          <w:sz w:val="18"/>
        </w:rPr>
        <w:t>с</w:t>
      </w:r>
      <w:r>
        <w:rPr>
          <w:rFonts w:ascii="Georgia" w:hAnsi="Georgia"/>
          <w:color w:val="231F20"/>
          <w:spacing w:val="-3"/>
          <w:sz w:val="18"/>
        </w:rPr>
        <w:t> </w:t>
      </w:r>
      <w:r>
        <w:rPr>
          <w:rFonts w:ascii="Georgia" w:hAnsi="Georgia"/>
          <w:color w:val="231F20"/>
          <w:sz w:val="18"/>
        </w:rPr>
        <w:t>адаптацией</w:t>
      </w:r>
      <w:r>
        <w:rPr>
          <w:rFonts w:ascii="Georgia" w:hAnsi="Georgia"/>
          <w:color w:val="231F20"/>
          <w:spacing w:val="-2"/>
          <w:sz w:val="18"/>
        </w:rPr>
        <w:t> детей</w:t>
      </w:r>
    </w:p>
    <w:p>
      <w:pPr>
        <w:pStyle w:val="ListParagraph"/>
        <w:numPr>
          <w:ilvl w:val="0"/>
          <w:numId w:val="252"/>
        </w:numPr>
        <w:tabs>
          <w:tab w:pos="708" w:val="left" w:leader="none"/>
        </w:tabs>
        <w:spacing w:line="240" w:lineRule="auto" w:before="117" w:after="0"/>
        <w:ind w:left="708" w:right="423" w:hanging="284"/>
        <w:jc w:val="both"/>
        <w:rPr>
          <w:sz w:val="18"/>
        </w:rPr>
      </w:pPr>
      <w:r>
        <w:rPr>
          <w:color w:val="231F20"/>
          <w:sz w:val="18"/>
        </w:rPr>
        <w:t>Кучинская,</w:t>
      </w:r>
      <w:r>
        <w:rPr>
          <w:color w:val="231F20"/>
          <w:spacing w:val="-3"/>
          <w:sz w:val="18"/>
        </w:rPr>
        <w:t> </w:t>
      </w:r>
      <w:r>
        <w:rPr>
          <w:color w:val="231F20"/>
          <w:sz w:val="18"/>
        </w:rPr>
        <w:t>Т.Ф.</w:t>
      </w:r>
      <w:r>
        <w:rPr>
          <w:color w:val="231F20"/>
          <w:spacing w:val="-3"/>
          <w:sz w:val="18"/>
        </w:rPr>
        <w:t> </w:t>
      </w:r>
      <w:r>
        <w:rPr>
          <w:color w:val="231F20"/>
          <w:sz w:val="18"/>
        </w:rPr>
        <w:t>Психолого-педагогический</w:t>
      </w:r>
      <w:r>
        <w:rPr>
          <w:color w:val="231F20"/>
          <w:spacing w:val="-3"/>
          <w:sz w:val="18"/>
        </w:rPr>
        <w:t> </w:t>
      </w:r>
      <w:r>
        <w:rPr>
          <w:color w:val="231F20"/>
          <w:sz w:val="18"/>
        </w:rPr>
        <w:t>анализ</w:t>
      </w:r>
      <w:r>
        <w:rPr>
          <w:color w:val="231F20"/>
          <w:spacing w:val="-3"/>
          <w:sz w:val="18"/>
        </w:rPr>
        <w:t> </w:t>
      </w:r>
      <w:r>
        <w:rPr>
          <w:color w:val="231F20"/>
          <w:sz w:val="18"/>
        </w:rPr>
        <w:t>урока</w:t>
      </w:r>
      <w:r>
        <w:rPr>
          <w:color w:val="231F20"/>
          <w:spacing w:val="-3"/>
          <w:sz w:val="18"/>
        </w:rPr>
        <w:t> </w:t>
      </w:r>
      <w:r>
        <w:rPr>
          <w:color w:val="231F20"/>
          <w:sz w:val="18"/>
        </w:rPr>
        <w:t>(занятия)</w:t>
      </w:r>
      <w:r>
        <w:rPr>
          <w:color w:val="231F20"/>
          <w:spacing w:val="-3"/>
          <w:sz w:val="18"/>
        </w:rPr>
        <w:t> </w:t>
      </w:r>
      <w:r>
        <w:rPr>
          <w:color w:val="231F20"/>
          <w:sz w:val="18"/>
        </w:rPr>
        <w:t>в</w:t>
      </w:r>
      <w:r>
        <w:rPr>
          <w:color w:val="231F20"/>
          <w:spacing w:val="-3"/>
          <w:sz w:val="18"/>
        </w:rPr>
        <w:t> </w:t>
      </w:r>
      <w:r>
        <w:rPr>
          <w:color w:val="231F20"/>
          <w:sz w:val="18"/>
        </w:rPr>
        <w:t>деятельности </w:t>
      </w:r>
      <w:r>
        <w:rPr>
          <w:color w:val="231F20"/>
          <w:spacing w:val="-2"/>
          <w:sz w:val="18"/>
        </w:rPr>
        <w:t>педагога</w:t>
      </w:r>
      <w:r>
        <w:rPr>
          <w:color w:val="231F20"/>
          <w:spacing w:val="-4"/>
          <w:sz w:val="18"/>
        </w:rPr>
        <w:t> </w:t>
      </w:r>
      <w:r>
        <w:rPr>
          <w:color w:val="231F20"/>
          <w:spacing w:val="-2"/>
          <w:sz w:val="18"/>
        </w:rPr>
        <w:t>/</w:t>
      </w:r>
      <w:r>
        <w:rPr>
          <w:color w:val="231F20"/>
          <w:spacing w:val="-4"/>
          <w:sz w:val="18"/>
        </w:rPr>
        <w:t> </w:t>
      </w:r>
      <w:r>
        <w:rPr>
          <w:color w:val="231F20"/>
          <w:spacing w:val="-2"/>
          <w:sz w:val="18"/>
        </w:rPr>
        <w:t>Т.Ф.</w:t>
      </w:r>
      <w:r>
        <w:rPr>
          <w:color w:val="231F20"/>
          <w:spacing w:val="-4"/>
          <w:sz w:val="18"/>
        </w:rPr>
        <w:t> </w:t>
      </w:r>
      <w:r>
        <w:rPr>
          <w:color w:val="231F20"/>
          <w:spacing w:val="-2"/>
          <w:sz w:val="18"/>
        </w:rPr>
        <w:t>Кучинская,</w:t>
      </w:r>
      <w:r>
        <w:rPr>
          <w:color w:val="231F20"/>
          <w:spacing w:val="-4"/>
          <w:sz w:val="18"/>
        </w:rPr>
        <w:t> </w:t>
      </w:r>
      <w:r>
        <w:rPr>
          <w:color w:val="231F20"/>
          <w:spacing w:val="-2"/>
          <w:sz w:val="18"/>
        </w:rPr>
        <w:t>А.Д.</w:t>
      </w:r>
      <w:r>
        <w:rPr>
          <w:color w:val="231F20"/>
          <w:spacing w:val="-4"/>
          <w:sz w:val="18"/>
        </w:rPr>
        <w:t> </w:t>
      </w:r>
      <w:r>
        <w:rPr>
          <w:color w:val="231F20"/>
          <w:spacing w:val="-2"/>
          <w:sz w:val="18"/>
        </w:rPr>
        <w:t>Воловик.</w:t>
      </w:r>
      <w:r>
        <w:rPr>
          <w:color w:val="231F20"/>
          <w:spacing w:val="-4"/>
          <w:sz w:val="18"/>
        </w:rPr>
        <w:t> </w:t>
      </w:r>
      <w:r>
        <w:rPr>
          <w:color w:val="231F20"/>
          <w:spacing w:val="-2"/>
          <w:sz w:val="18"/>
        </w:rPr>
        <w:t>–</w:t>
      </w:r>
      <w:r>
        <w:rPr>
          <w:color w:val="231F20"/>
          <w:spacing w:val="-4"/>
          <w:sz w:val="18"/>
        </w:rPr>
        <w:t> </w:t>
      </w:r>
      <w:r>
        <w:rPr>
          <w:color w:val="231F20"/>
          <w:spacing w:val="-2"/>
          <w:sz w:val="18"/>
        </w:rPr>
        <w:t>3-е</w:t>
      </w:r>
      <w:r>
        <w:rPr>
          <w:color w:val="231F20"/>
          <w:spacing w:val="-4"/>
          <w:sz w:val="18"/>
        </w:rPr>
        <w:t> </w:t>
      </w:r>
      <w:r>
        <w:rPr>
          <w:color w:val="231F20"/>
          <w:spacing w:val="-2"/>
          <w:sz w:val="18"/>
        </w:rPr>
        <w:t>изд.,</w:t>
      </w:r>
      <w:r>
        <w:rPr>
          <w:color w:val="231F20"/>
          <w:spacing w:val="-4"/>
          <w:sz w:val="18"/>
        </w:rPr>
        <w:t> </w:t>
      </w:r>
      <w:r>
        <w:rPr>
          <w:color w:val="231F20"/>
          <w:spacing w:val="-2"/>
          <w:sz w:val="18"/>
        </w:rPr>
        <w:t>доп.</w:t>
      </w:r>
      <w:r>
        <w:rPr>
          <w:color w:val="231F20"/>
          <w:spacing w:val="-4"/>
          <w:sz w:val="18"/>
        </w:rPr>
        <w:t> </w:t>
      </w:r>
      <w:r>
        <w:rPr>
          <w:color w:val="231F20"/>
          <w:spacing w:val="-2"/>
          <w:sz w:val="18"/>
        </w:rPr>
        <w:t>–</w:t>
      </w:r>
      <w:r>
        <w:rPr>
          <w:color w:val="231F20"/>
          <w:spacing w:val="-4"/>
          <w:sz w:val="18"/>
        </w:rPr>
        <w:t> </w:t>
      </w:r>
      <w:r>
        <w:rPr>
          <w:color w:val="231F20"/>
          <w:spacing w:val="-2"/>
          <w:sz w:val="18"/>
        </w:rPr>
        <w:t>Абакан:</w:t>
      </w:r>
      <w:r>
        <w:rPr>
          <w:color w:val="231F20"/>
          <w:spacing w:val="-4"/>
          <w:sz w:val="18"/>
        </w:rPr>
        <w:t> </w:t>
      </w:r>
      <w:r>
        <w:rPr>
          <w:color w:val="231F20"/>
          <w:spacing w:val="-2"/>
          <w:sz w:val="18"/>
        </w:rPr>
        <w:t>Хакас.</w:t>
      </w:r>
      <w:r>
        <w:rPr>
          <w:color w:val="231F20"/>
          <w:spacing w:val="-4"/>
          <w:sz w:val="18"/>
        </w:rPr>
        <w:t> </w:t>
      </w:r>
      <w:r>
        <w:rPr>
          <w:color w:val="231F20"/>
          <w:spacing w:val="-2"/>
          <w:sz w:val="18"/>
        </w:rPr>
        <w:t>кн.</w:t>
      </w:r>
      <w:r>
        <w:rPr>
          <w:color w:val="231F20"/>
          <w:spacing w:val="-4"/>
          <w:sz w:val="18"/>
        </w:rPr>
        <w:t> </w:t>
      </w:r>
      <w:r>
        <w:rPr>
          <w:color w:val="231F20"/>
          <w:spacing w:val="-2"/>
          <w:sz w:val="18"/>
        </w:rPr>
        <w:t>изд-во, </w:t>
      </w:r>
      <w:r>
        <w:rPr>
          <w:color w:val="231F20"/>
          <w:sz w:val="18"/>
        </w:rPr>
        <w:t>2004. – 110 с. – ISBN 5-7091-0172-9.</w:t>
      </w:r>
    </w:p>
    <w:p>
      <w:pPr>
        <w:pStyle w:val="ListParagraph"/>
        <w:numPr>
          <w:ilvl w:val="0"/>
          <w:numId w:val="252"/>
        </w:numPr>
        <w:tabs>
          <w:tab w:pos="708" w:val="left" w:leader="none"/>
        </w:tabs>
        <w:spacing w:line="240" w:lineRule="auto" w:before="0" w:after="0"/>
        <w:ind w:left="708" w:right="422" w:hanging="284"/>
        <w:jc w:val="both"/>
        <w:rPr>
          <w:sz w:val="18"/>
        </w:rPr>
      </w:pPr>
      <w:r>
        <w:rPr>
          <w:color w:val="231F20"/>
          <w:spacing w:val="-2"/>
          <w:sz w:val="18"/>
        </w:rPr>
        <w:t>Научно-методическое сопровождение персонала школы: педагогическое консульти- </w:t>
      </w:r>
      <w:r>
        <w:rPr>
          <w:color w:val="231F20"/>
          <w:sz w:val="18"/>
        </w:rPr>
        <w:t>рование и супервизия: Монография / М.Н. Певзнер, О.М. Зайченко, В.О. Букетов, С.Н. Горычева, А.В. Петров, А.Г. Ширин / Под ред. М.Н. Певзнера, О.М. Зайчен- ко.</w:t>
      </w:r>
      <w:r>
        <w:rPr>
          <w:color w:val="231F20"/>
          <w:spacing w:val="-12"/>
          <w:sz w:val="18"/>
        </w:rPr>
        <w:t> </w:t>
      </w:r>
      <w:r>
        <w:rPr>
          <w:color w:val="231F20"/>
          <w:sz w:val="18"/>
        </w:rPr>
        <w:t>–</w:t>
      </w:r>
      <w:r>
        <w:rPr>
          <w:color w:val="231F20"/>
          <w:spacing w:val="-11"/>
          <w:sz w:val="18"/>
        </w:rPr>
        <w:t> </w:t>
      </w:r>
      <w:r>
        <w:rPr>
          <w:color w:val="231F20"/>
          <w:sz w:val="18"/>
        </w:rPr>
        <w:t>Великий</w:t>
      </w:r>
      <w:r>
        <w:rPr>
          <w:color w:val="231F20"/>
          <w:spacing w:val="-11"/>
          <w:sz w:val="18"/>
        </w:rPr>
        <w:t> </w:t>
      </w:r>
      <w:r>
        <w:rPr>
          <w:color w:val="231F20"/>
          <w:sz w:val="18"/>
        </w:rPr>
        <w:t>Новгород:</w:t>
      </w:r>
      <w:r>
        <w:rPr>
          <w:color w:val="231F20"/>
          <w:spacing w:val="-11"/>
          <w:sz w:val="18"/>
        </w:rPr>
        <w:t> </w:t>
      </w:r>
      <w:r>
        <w:rPr>
          <w:color w:val="231F20"/>
          <w:sz w:val="18"/>
        </w:rPr>
        <w:t>НовГУ</w:t>
      </w:r>
      <w:r>
        <w:rPr>
          <w:color w:val="231F20"/>
          <w:spacing w:val="-12"/>
          <w:sz w:val="18"/>
        </w:rPr>
        <w:t> </w:t>
      </w:r>
      <w:r>
        <w:rPr>
          <w:color w:val="231F20"/>
          <w:sz w:val="18"/>
        </w:rPr>
        <w:t>им.</w:t>
      </w:r>
      <w:r>
        <w:rPr>
          <w:color w:val="231F20"/>
          <w:spacing w:val="-11"/>
          <w:sz w:val="18"/>
        </w:rPr>
        <w:t> </w:t>
      </w:r>
      <w:r>
        <w:rPr>
          <w:color w:val="231F20"/>
          <w:sz w:val="18"/>
        </w:rPr>
        <w:t>Ярослава</w:t>
      </w:r>
      <w:r>
        <w:rPr>
          <w:color w:val="231F20"/>
          <w:spacing w:val="-11"/>
          <w:sz w:val="18"/>
        </w:rPr>
        <w:t> </w:t>
      </w:r>
      <w:r>
        <w:rPr>
          <w:color w:val="231F20"/>
          <w:sz w:val="18"/>
        </w:rPr>
        <w:t>Мудрого;</w:t>
      </w:r>
      <w:r>
        <w:rPr>
          <w:color w:val="231F20"/>
          <w:spacing w:val="-11"/>
          <w:sz w:val="18"/>
        </w:rPr>
        <w:t> </w:t>
      </w:r>
      <w:r>
        <w:rPr>
          <w:color w:val="231F20"/>
          <w:sz w:val="18"/>
        </w:rPr>
        <w:t>Институт</w:t>
      </w:r>
      <w:r>
        <w:rPr>
          <w:color w:val="231F20"/>
          <w:spacing w:val="-12"/>
          <w:sz w:val="18"/>
        </w:rPr>
        <w:t> </w:t>
      </w:r>
      <w:r>
        <w:rPr>
          <w:color w:val="231F20"/>
          <w:sz w:val="18"/>
        </w:rPr>
        <w:t>образовательного маркетинга и кадровых ресурсов, 2002. – 316 с.</w:t>
      </w:r>
    </w:p>
    <w:p>
      <w:pPr>
        <w:pStyle w:val="ListParagraph"/>
        <w:numPr>
          <w:ilvl w:val="0"/>
          <w:numId w:val="252"/>
        </w:numPr>
        <w:tabs>
          <w:tab w:pos="708" w:val="left" w:leader="none"/>
        </w:tabs>
        <w:spacing w:line="202" w:lineRule="exact" w:before="0" w:after="0"/>
        <w:ind w:left="708" w:right="0" w:hanging="283"/>
        <w:jc w:val="both"/>
        <w:rPr>
          <w:sz w:val="18"/>
        </w:rPr>
      </w:pPr>
      <w:r>
        <w:rPr>
          <w:color w:val="231F20"/>
          <w:sz w:val="18"/>
        </w:rPr>
        <w:t>Пинская,</w:t>
      </w:r>
      <w:r>
        <w:rPr>
          <w:color w:val="231F20"/>
          <w:spacing w:val="-12"/>
          <w:sz w:val="18"/>
        </w:rPr>
        <w:t> </w:t>
      </w:r>
      <w:r>
        <w:rPr>
          <w:color w:val="231F20"/>
          <w:sz w:val="18"/>
        </w:rPr>
        <w:t>М.А.</w:t>
      </w:r>
      <w:r>
        <w:rPr>
          <w:color w:val="231F20"/>
          <w:spacing w:val="-9"/>
          <w:sz w:val="18"/>
        </w:rPr>
        <w:t> </w:t>
      </w:r>
      <w:r>
        <w:rPr>
          <w:color w:val="231F20"/>
          <w:sz w:val="18"/>
        </w:rPr>
        <w:t>Школы,</w:t>
      </w:r>
      <w:r>
        <w:rPr>
          <w:color w:val="231F20"/>
          <w:spacing w:val="-10"/>
          <w:sz w:val="18"/>
        </w:rPr>
        <w:t> </w:t>
      </w:r>
      <w:r>
        <w:rPr>
          <w:color w:val="231F20"/>
          <w:sz w:val="18"/>
        </w:rPr>
        <w:t>эффективно</w:t>
      </w:r>
      <w:r>
        <w:rPr>
          <w:color w:val="231F20"/>
          <w:spacing w:val="-9"/>
          <w:sz w:val="18"/>
        </w:rPr>
        <w:t> </w:t>
      </w:r>
      <w:r>
        <w:rPr>
          <w:color w:val="231F20"/>
          <w:sz w:val="18"/>
        </w:rPr>
        <w:t>работающие</w:t>
      </w:r>
      <w:r>
        <w:rPr>
          <w:color w:val="231F20"/>
          <w:spacing w:val="-10"/>
          <w:sz w:val="18"/>
        </w:rPr>
        <w:t> </w:t>
      </w:r>
      <w:r>
        <w:rPr>
          <w:color w:val="231F20"/>
          <w:sz w:val="18"/>
        </w:rPr>
        <w:t>в</w:t>
      </w:r>
      <w:r>
        <w:rPr>
          <w:color w:val="231F20"/>
          <w:spacing w:val="-9"/>
          <w:sz w:val="18"/>
        </w:rPr>
        <w:t> </w:t>
      </w:r>
      <w:r>
        <w:rPr>
          <w:color w:val="231F20"/>
          <w:sz w:val="18"/>
        </w:rPr>
        <w:t>сложных</w:t>
      </w:r>
      <w:r>
        <w:rPr>
          <w:color w:val="231F20"/>
          <w:spacing w:val="-10"/>
          <w:sz w:val="18"/>
        </w:rPr>
        <w:t> </w:t>
      </w:r>
      <w:r>
        <w:rPr>
          <w:color w:val="231F20"/>
          <w:sz w:val="18"/>
        </w:rPr>
        <w:t>социальных</w:t>
      </w:r>
      <w:r>
        <w:rPr>
          <w:color w:val="231F20"/>
          <w:spacing w:val="-9"/>
          <w:sz w:val="18"/>
        </w:rPr>
        <w:t> </w:t>
      </w:r>
      <w:r>
        <w:rPr>
          <w:color w:val="231F20"/>
          <w:spacing w:val="-2"/>
          <w:sz w:val="18"/>
        </w:rPr>
        <w:t>контекстах</w:t>
      </w:r>
    </w:p>
    <w:p>
      <w:pPr>
        <w:spacing w:before="0"/>
        <w:ind w:left="708" w:right="423" w:firstLine="0"/>
        <w:jc w:val="both"/>
        <w:rPr>
          <w:sz w:val="18"/>
        </w:rPr>
      </w:pPr>
      <w:r>
        <w:rPr>
          <w:color w:val="231F20"/>
          <w:sz w:val="18"/>
        </w:rPr>
        <w:t>/ М.А. Пинская, С.Г. Косарецкий, И.Д. Фрумин. ‒ Текст : непосредственный // Во- просы образования. – 2011. – № 4. – С. 148–177.</w:t>
      </w:r>
    </w:p>
    <w:p>
      <w:pPr>
        <w:pStyle w:val="ListParagraph"/>
        <w:numPr>
          <w:ilvl w:val="0"/>
          <w:numId w:val="252"/>
        </w:numPr>
        <w:tabs>
          <w:tab w:pos="708" w:val="left" w:leader="none"/>
        </w:tabs>
        <w:spacing w:line="240" w:lineRule="auto" w:before="0" w:after="0"/>
        <w:ind w:left="708" w:right="423" w:hanging="284"/>
        <w:jc w:val="both"/>
        <w:rPr>
          <w:sz w:val="18"/>
        </w:rPr>
      </w:pPr>
      <w:r>
        <w:rPr>
          <w:color w:val="231F20"/>
          <w:sz w:val="18"/>
        </w:rPr>
        <w:t>Роджерс,</w:t>
      </w:r>
      <w:r>
        <w:rPr>
          <w:color w:val="231F20"/>
          <w:spacing w:val="-9"/>
          <w:sz w:val="18"/>
        </w:rPr>
        <w:t> </w:t>
      </w:r>
      <w:r>
        <w:rPr>
          <w:color w:val="231F20"/>
          <w:sz w:val="18"/>
        </w:rPr>
        <w:t>К.</w:t>
      </w:r>
      <w:r>
        <w:rPr>
          <w:color w:val="231F20"/>
          <w:spacing w:val="-9"/>
          <w:sz w:val="18"/>
        </w:rPr>
        <w:t> </w:t>
      </w:r>
      <w:r>
        <w:rPr>
          <w:color w:val="231F20"/>
          <w:sz w:val="18"/>
        </w:rPr>
        <w:t>Консультирование</w:t>
      </w:r>
      <w:r>
        <w:rPr>
          <w:color w:val="231F20"/>
          <w:spacing w:val="-9"/>
          <w:sz w:val="18"/>
        </w:rPr>
        <w:t> </w:t>
      </w:r>
      <w:r>
        <w:rPr>
          <w:color w:val="231F20"/>
          <w:sz w:val="18"/>
        </w:rPr>
        <w:t>и</w:t>
      </w:r>
      <w:r>
        <w:rPr>
          <w:color w:val="231F20"/>
          <w:spacing w:val="-9"/>
          <w:sz w:val="18"/>
        </w:rPr>
        <w:t> </w:t>
      </w:r>
      <w:r>
        <w:rPr>
          <w:color w:val="231F20"/>
          <w:sz w:val="18"/>
        </w:rPr>
        <w:t>психотерапия.</w:t>
      </w:r>
      <w:r>
        <w:rPr>
          <w:color w:val="231F20"/>
          <w:spacing w:val="-9"/>
          <w:sz w:val="18"/>
        </w:rPr>
        <w:t> </w:t>
      </w:r>
      <w:r>
        <w:rPr>
          <w:color w:val="231F20"/>
          <w:sz w:val="18"/>
        </w:rPr>
        <w:t>Новейшие</w:t>
      </w:r>
      <w:r>
        <w:rPr>
          <w:color w:val="231F20"/>
          <w:spacing w:val="-9"/>
          <w:sz w:val="18"/>
        </w:rPr>
        <w:t> </w:t>
      </w:r>
      <w:r>
        <w:rPr>
          <w:color w:val="231F20"/>
          <w:sz w:val="18"/>
        </w:rPr>
        <w:t>подходы</w:t>
      </w:r>
      <w:r>
        <w:rPr>
          <w:color w:val="231F20"/>
          <w:spacing w:val="-9"/>
          <w:sz w:val="18"/>
        </w:rPr>
        <w:t> </w:t>
      </w:r>
      <w:r>
        <w:rPr>
          <w:color w:val="231F20"/>
          <w:sz w:val="18"/>
        </w:rPr>
        <w:t>в</w:t>
      </w:r>
      <w:r>
        <w:rPr>
          <w:color w:val="231F20"/>
          <w:spacing w:val="-9"/>
          <w:sz w:val="18"/>
        </w:rPr>
        <w:t> </w:t>
      </w:r>
      <w:r>
        <w:rPr>
          <w:color w:val="231F20"/>
          <w:sz w:val="18"/>
        </w:rPr>
        <w:t>психологиче- ской практике [Электронный ресурс]. – М.: ИОИ, 2015. – 200 с.</w:t>
      </w:r>
    </w:p>
    <w:p>
      <w:pPr>
        <w:pStyle w:val="ListParagraph"/>
        <w:numPr>
          <w:ilvl w:val="0"/>
          <w:numId w:val="252"/>
        </w:numPr>
        <w:tabs>
          <w:tab w:pos="708" w:val="left" w:leader="none"/>
        </w:tabs>
        <w:spacing w:line="240" w:lineRule="auto" w:before="0" w:after="0"/>
        <w:ind w:left="708" w:right="423" w:hanging="284"/>
        <w:jc w:val="both"/>
        <w:rPr>
          <w:sz w:val="18"/>
        </w:rPr>
      </w:pPr>
      <w:r>
        <w:rPr>
          <w:color w:val="231F20"/>
          <w:sz w:val="18"/>
        </w:rPr>
        <w:t>Руденко, И.В. Наставничество как форма научно-методического сопровождения </w:t>
      </w:r>
      <w:r>
        <w:rPr>
          <w:color w:val="231F20"/>
          <w:spacing w:val="-2"/>
          <w:sz w:val="18"/>
        </w:rPr>
        <w:t>профессионального</w:t>
      </w:r>
      <w:r>
        <w:rPr>
          <w:color w:val="231F20"/>
          <w:spacing w:val="-6"/>
          <w:sz w:val="18"/>
        </w:rPr>
        <w:t> </w:t>
      </w:r>
      <w:r>
        <w:rPr>
          <w:color w:val="231F20"/>
          <w:spacing w:val="-2"/>
          <w:sz w:val="18"/>
        </w:rPr>
        <w:t>развития</w:t>
      </w:r>
      <w:r>
        <w:rPr>
          <w:color w:val="231F20"/>
          <w:spacing w:val="-6"/>
          <w:sz w:val="18"/>
        </w:rPr>
        <w:t> </w:t>
      </w:r>
      <w:r>
        <w:rPr>
          <w:color w:val="231F20"/>
          <w:spacing w:val="-2"/>
          <w:sz w:val="18"/>
        </w:rPr>
        <w:t>будущих</w:t>
      </w:r>
      <w:r>
        <w:rPr>
          <w:color w:val="231F20"/>
          <w:spacing w:val="-6"/>
          <w:sz w:val="18"/>
        </w:rPr>
        <w:t> </w:t>
      </w:r>
      <w:r>
        <w:rPr>
          <w:color w:val="231F20"/>
          <w:spacing w:val="-2"/>
          <w:sz w:val="18"/>
        </w:rPr>
        <w:t>педагогов</w:t>
      </w:r>
      <w:r>
        <w:rPr>
          <w:color w:val="231F20"/>
          <w:spacing w:val="-6"/>
          <w:sz w:val="18"/>
        </w:rPr>
        <w:t> </w:t>
      </w:r>
      <w:r>
        <w:rPr>
          <w:color w:val="231F20"/>
          <w:spacing w:val="-2"/>
          <w:sz w:val="18"/>
        </w:rPr>
        <w:t>//</w:t>
      </w:r>
      <w:r>
        <w:rPr>
          <w:color w:val="231F20"/>
          <w:spacing w:val="-6"/>
          <w:sz w:val="18"/>
        </w:rPr>
        <w:t> </w:t>
      </w:r>
      <w:r>
        <w:rPr>
          <w:color w:val="231F20"/>
          <w:spacing w:val="-2"/>
          <w:sz w:val="18"/>
        </w:rPr>
        <w:t>Научный</w:t>
      </w:r>
      <w:r>
        <w:rPr>
          <w:color w:val="231F20"/>
          <w:spacing w:val="-6"/>
          <w:sz w:val="18"/>
        </w:rPr>
        <w:t> </w:t>
      </w:r>
      <w:r>
        <w:rPr>
          <w:color w:val="231F20"/>
          <w:spacing w:val="-2"/>
          <w:sz w:val="18"/>
        </w:rPr>
        <w:t>вектор</w:t>
      </w:r>
      <w:r>
        <w:rPr>
          <w:color w:val="231F20"/>
          <w:spacing w:val="-6"/>
          <w:sz w:val="18"/>
        </w:rPr>
        <w:t> </w:t>
      </w:r>
      <w:r>
        <w:rPr>
          <w:color w:val="231F20"/>
          <w:spacing w:val="-2"/>
          <w:sz w:val="18"/>
        </w:rPr>
        <w:t>Балкан.</w:t>
      </w:r>
      <w:r>
        <w:rPr>
          <w:color w:val="231F20"/>
          <w:spacing w:val="-6"/>
          <w:sz w:val="18"/>
        </w:rPr>
        <w:t> </w:t>
      </w:r>
      <w:r>
        <w:rPr>
          <w:color w:val="231F20"/>
          <w:spacing w:val="-2"/>
          <w:sz w:val="18"/>
        </w:rPr>
        <w:t>–</w:t>
      </w:r>
      <w:r>
        <w:rPr>
          <w:color w:val="231F20"/>
          <w:spacing w:val="-6"/>
          <w:sz w:val="18"/>
        </w:rPr>
        <w:t> </w:t>
      </w:r>
      <w:r>
        <w:rPr>
          <w:color w:val="231F20"/>
          <w:spacing w:val="-2"/>
          <w:sz w:val="18"/>
        </w:rPr>
        <w:t>2021.</w:t>
      </w:r>
      <w:r>
        <w:rPr>
          <w:color w:val="231F20"/>
          <w:spacing w:val="-6"/>
          <w:sz w:val="18"/>
        </w:rPr>
        <w:t> </w:t>
      </w:r>
      <w:r>
        <w:rPr>
          <w:color w:val="231F20"/>
          <w:spacing w:val="-2"/>
          <w:sz w:val="18"/>
        </w:rPr>
        <w:t>– </w:t>
      </w:r>
      <w:r>
        <w:rPr>
          <w:color w:val="231F20"/>
          <w:sz w:val="18"/>
        </w:rPr>
        <w:t>Т. 5. – № 2(12). – С. 15–20.</w:t>
      </w:r>
    </w:p>
    <w:p>
      <w:pPr>
        <w:pStyle w:val="ListParagraph"/>
        <w:numPr>
          <w:ilvl w:val="0"/>
          <w:numId w:val="252"/>
        </w:numPr>
        <w:tabs>
          <w:tab w:pos="708" w:val="left" w:leader="none"/>
        </w:tabs>
        <w:spacing w:line="240" w:lineRule="auto" w:before="0" w:after="0"/>
        <w:ind w:left="708" w:right="423" w:hanging="284"/>
        <w:jc w:val="both"/>
        <w:rPr>
          <w:sz w:val="18"/>
        </w:rPr>
      </w:pPr>
      <w:r>
        <w:rPr>
          <w:color w:val="231F20"/>
          <w:sz w:val="18"/>
        </w:rPr>
        <w:t>Степанов</w:t>
      </w:r>
      <w:r>
        <w:rPr>
          <w:color w:val="231F20"/>
          <w:spacing w:val="-12"/>
          <w:sz w:val="18"/>
        </w:rPr>
        <w:t> </w:t>
      </w:r>
      <w:r>
        <w:rPr>
          <w:color w:val="231F20"/>
          <w:sz w:val="18"/>
        </w:rPr>
        <w:t>С.Ю.,</w:t>
      </w:r>
      <w:r>
        <w:rPr>
          <w:color w:val="231F20"/>
          <w:spacing w:val="-11"/>
          <w:sz w:val="18"/>
        </w:rPr>
        <w:t> </w:t>
      </w:r>
      <w:r>
        <w:rPr>
          <w:color w:val="231F20"/>
          <w:sz w:val="18"/>
        </w:rPr>
        <w:t>Похмелкина</w:t>
      </w:r>
      <w:r>
        <w:rPr>
          <w:color w:val="231F20"/>
          <w:spacing w:val="-11"/>
          <w:sz w:val="18"/>
        </w:rPr>
        <w:t> </w:t>
      </w:r>
      <w:r>
        <w:rPr>
          <w:color w:val="231F20"/>
          <w:sz w:val="18"/>
        </w:rPr>
        <w:t>Г.Ф.,</w:t>
      </w:r>
      <w:r>
        <w:rPr>
          <w:color w:val="231F20"/>
          <w:spacing w:val="-11"/>
          <w:sz w:val="18"/>
        </w:rPr>
        <w:t> </w:t>
      </w:r>
      <w:r>
        <w:rPr>
          <w:color w:val="231F20"/>
          <w:sz w:val="18"/>
        </w:rPr>
        <w:t>Колошина</w:t>
      </w:r>
      <w:r>
        <w:rPr>
          <w:color w:val="231F20"/>
          <w:spacing w:val="-12"/>
          <w:sz w:val="18"/>
        </w:rPr>
        <w:t> </w:t>
      </w:r>
      <w:r>
        <w:rPr>
          <w:color w:val="231F20"/>
          <w:sz w:val="18"/>
        </w:rPr>
        <w:t>Т.Ю.</w:t>
      </w:r>
      <w:r>
        <w:rPr>
          <w:color w:val="231F20"/>
          <w:spacing w:val="-11"/>
          <w:sz w:val="18"/>
        </w:rPr>
        <w:t> </w:t>
      </w:r>
      <w:r>
        <w:rPr>
          <w:color w:val="231F20"/>
          <w:sz w:val="18"/>
        </w:rPr>
        <w:t>Принципы</w:t>
      </w:r>
      <w:r>
        <w:rPr>
          <w:color w:val="231F20"/>
          <w:spacing w:val="-11"/>
          <w:sz w:val="18"/>
        </w:rPr>
        <w:t> </w:t>
      </w:r>
      <w:r>
        <w:rPr>
          <w:color w:val="231F20"/>
          <w:sz w:val="18"/>
        </w:rPr>
        <w:t>рефлексивной</w:t>
      </w:r>
      <w:r>
        <w:rPr>
          <w:color w:val="231F20"/>
          <w:spacing w:val="-11"/>
          <w:sz w:val="18"/>
        </w:rPr>
        <w:t> </w:t>
      </w:r>
      <w:r>
        <w:rPr>
          <w:color w:val="231F20"/>
          <w:sz w:val="18"/>
        </w:rPr>
        <w:t>психо- логии</w:t>
      </w:r>
      <w:r>
        <w:rPr>
          <w:color w:val="231F20"/>
          <w:spacing w:val="-11"/>
          <w:sz w:val="18"/>
        </w:rPr>
        <w:t> </w:t>
      </w:r>
      <w:r>
        <w:rPr>
          <w:color w:val="231F20"/>
          <w:sz w:val="18"/>
        </w:rPr>
        <w:t>педагогического</w:t>
      </w:r>
      <w:r>
        <w:rPr>
          <w:color w:val="231F20"/>
          <w:spacing w:val="-11"/>
          <w:sz w:val="18"/>
        </w:rPr>
        <w:t> </w:t>
      </w:r>
      <w:r>
        <w:rPr>
          <w:color w:val="231F20"/>
          <w:sz w:val="18"/>
        </w:rPr>
        <w:t>творчества</w:t>
      </w:r>
      <w:r>
        <w:rPr>
          <w:color w:val="231F20"/>
          <w:spacing w:val="-11"/>
          <w:sz w:val="18"/>
        </w:rPr>
        <w:t> </w:t>
      </w:r>
      <w:r>
        <w:rPr>
          <w:color w:val="231F20"/>
          <w:sz w:val="18"/>
        </w:rPr>
        <w:t>//</w:t>
      </w:r>
      <w:r>
        <w:rPr>
          <w:color w:val="231F20"/>
          <w:spacing w:val="-11"/>
          <w:sz w:val="18"/>
        </w:rPr>
        <w:t> </w:t>
      </w:r>
      <w:r>
        <w:rPr>
          <w:color w:val="231F20"/>
          <w:sz w:val="18"/>
        </w:rPr>
        <w:t>Вопросы</w:t>
      </w:r>
      <w:r>
        <w:rPr>
          <w:color w:val="231F20"/>
          <w:spacing w:val="-11"/>
          <w:sz w:val="18"/>
        </w:rPr>
        <w:t> </w:t>
      </w:r>
      <w:r>
        <w:rPr>
          <w:color w:val="231F20"/>
          <w:sz w:val="18"/>
        </w:rPr>
        <w:t>психологии.</w:t>
      </w:r>
      <w:r>
        <w:rPr>
          <w:color w:val="231F20"/>
          <w:spacing w:val="-11"/>
          <w:sz w:val="18"/>
        </w:rPr>
        <w:t> </w:t>
      </w:r>
      <w:r>
        <w:rPr>
          <w:color w:val="231F20"/>
          <w:sz w:val="18"/>
        </w:rPr>
        <w:t>–</w:t>
      </w:r>
      <w:r>
        <w:rPr>
          <w:color w:val="231F20"/>
          <w:spacing w:val="-11"/>
          <w:sz w:val="18"/>
        </w:rPr>
        <w:t> </w:t>
      </w:r>
      <w:r>
        <w:rPr>
          <w:color w:val="231F20"/>
          <w:sz w:val="18"/>
        </w:rPr>
        <w:t>1991.</w:t>
      </w:r>
      <w:r>
        <w:rPr>
          <w:color w:val="231F20"/>
          <w:spacing w:val="-11"/>
          <w:sz w:val="18"/>
        </w:rPr>
        <w:t> </w:t>
      </w:r>
      <w:r>
        <w:rPr>
          <w:color w:val="231F20"/>
          <w:sz w:val="18"/>
        </w:rPr>
        <w:t>–</w:t>
      </w:r>
      <w:r>
        <w:rPr>
          <w:color w:val="231F20"/>
          <w:spacing w:val="-11"/>
          <w:sz w:val="18"/>
        </w:rPr>
        <w:t> </w:t>
      </w:r>
      <w:r>
        <w:rPr>
          <w:color w:val="231F20"/>
          <w:sz w:val="18"/>
        </w:rPr>
        <w:t>№</w:t>
      </w:r>
      <w:r>
        <w:rPr>
          <w:color w:val="231F20"/>
          <w:spacing w:val="-11"/>
          <w:sz w:val="18"/>
        </w:rPr>
        <w:t> </w:t>
      </w:r>
      <w:r>
        <w:rPr>
          <w:color w:val="231F20"/>
          <w:sz w:val="18"/>
        </w:rPr>
        <w:t>5.</w:t>
      </w:r>
      <w:r>
        <w:rPr>
          <w:color w:val="231F20"/>
          <w:spacing w:val="-11"/>
          <w:sz w:val="18"/>
        </w:rPr>
        <w:t> </w:t>
      </w:r>
      <w:r>
        <w:rPr>
          <w:color w:val="231F20"/>
          <w:sz w:val="18"/>
        </w:rPr>
        <w:t>–</w:t>
      </w:r>
      <w:r>
        <w:rPr>
          <w:color w:val="231F20"/>
          <w:spacing w:val="-11"/>
          <w:sz w:val="18"/>
        </w:rPr>
        <w:t> </w:t>
      </w:r>
      <w:r>
        <w:rPr>
          <w:color w:val="231F20"/>
          <w:sz w:val="18"/>
        </w:rPr>
        <w:t>С.</w:t>
      </w:r>
      <w:r>
        <w:rPr>
          <w:color w:val="231F20"/>
          <w:spacing w:val="-11"/>
          <w:sz w:val="18"/>
        </w:rPr>
        <w:t> </w:t>
      </w:r>
      <w:r>
        <w:rPr>
          <w:color w:val="231F20"/>
          <w:sz w:val="18"/>
        </w:rPr>
        <w:t>25–28.</w:t>
      </w:r>
    </w:p>
    <w:p>
      <w:pPr>
        <w:pStyle w:val="ListParagraph"/>
        <w:numPr>
          <w:ilvl w:val="0"/>
          <w:numId w:val="252"/>
        </w:numPr>
        <w:tabs>
          <w:tab w:pos="708" w:val="left" w:leader="none"/>
        </w:tabs>
        <w:spacing w:line="240" w:lineRule="auto" w:before="0" w:after="0"/>
        <w:ind w:left="708" w:right="423" w:hanging="284"/>
        <w:jc w:val="both"/>
        <w:rPr>
          <w:sz w:val="18"/>
        </w:rPr>
      </w:pPr>
      <w:r>
        <w:rPr>
          <w:color w:val="231F20"/>
          <w:sz w:val="18"/>
        </w:rPr>
        <w:t>Суровцова, Е.И. Социально-педагогическое сопровождение детей-мигрантов в школе</w:t>
      </w:r>
      <w:r>
        <w:rPr>
          <w:color w:val="231F20"/>
          <w:spacing w:val="-6"/>
          <w:sz w:val="18"/>
        </w:rPr>
        <w:t> </w:t>
      </w:r>
      <w:r>
        <w:rPr>
          <w:color w:val="231F20"/>
          <w:sz w:val="18"/>
        </w:rPr>
        <w:t>/</w:t>
      </w:r>
      <w:r>
        <w:rPr>
          <w:color w:val="231F20"/>
          <w:spacing w:val="-6"/>
          <w:sz w:val="18"/>
        </w:rPr>
        <w:t> </w:t>
      </w:r>
      <w:r>
        <w:rPr>
          <w:color w:val="231F20"/>
          <w:sz w:val="18"/>
        </w:rPr>
        <w:t>Е.И.</w:t>
      </w:r>
      <w:r>
        <w:rPr>
          <w:color w:val="231F20"/>
          <w:spacing w:val="-6"/>
          <w:sz w:val="18"/>
        </w:rPr>
        <w:t> </w:t>
      </w:r>
      <w:r>
        <w:rPr>
          <w:color w:val="231F20"/>
          <w:sz w:val="18"/>
        </w:rPr>
        <w:t>Суровцова.</w:t>
      </w:r>
      <w:r>
        <w:rPr>
          <w:color w:val="231F20"/>
          <w:spacing w:val="-6"/>
          <w:sz w:val="18"/>
        </w:rPr>
        <w:t> </w:t>
      </w:r>
      <w:r>
        <w:rPr>
          <w:color w:val="231F20"/>
          <w:sz w:val="18"/>
        </w:rPr>
        <w:t>‒</w:t>
      </w:r>
      <w:r>
        <w:rPr>
          <w:color w:val="231F20"/>
          <w:spacing w:val="-6"/>
          <w:sz w:val="18"/>
        </w:rPr>
        <w:t> </w:t>
      </w:r>
      <w:r>
        <w:rPr>
          <w:color w:val="231F20"/>
          <w:sz w:val="18"/>
        </w:rPr>
        <w:t>Текст:</w:t>
      </w:r>
      <w:r>
        <w:rPr>
          <w:color w:val="231F20"/>
          <w:spacing w:val="-6"/>
          <w:sz w:val="18"/>
        </w:rPr>
        <w:t> </w:t>
      </w:r>
      <w:r>
        <w:rPr>
          <w:color w:val="231F20"/>
          <w:sz w:val="18"/>
        </w:rPr>
        <w:t>непосредственный</w:t>
      </w:r>
      <w:r>
        <w:rPr>
          <w:color w:val="231F20"/>
          <w:spacing w:val="-6"/>
          <w:sz w:val="18"/>
        </w:rPr>
        <w:t> </w:t>
      </w:r>
      <w:r>
        <w:rPr>
          <w:color w:val="231F20"/>
          <w:sz w:val="18"/>
        </w:rPr>
        <w:t>//</w:t>
      </w:r>
      <w:r>
        <w:rPr>
          <w:color w:val="231F20"/>
          <w:spacing w:val="-6"/>
          <w:sz w:val="18"/>
        </w:rPr>
        <w:t> </w:t>
      </w:r>
      <w:r>
        <w:rPr>
          <w:color w:val="231F20"/>
          <w:sz w:val="18"/>
        </w:rPr>
        <w:t>Педагогическое</w:t>
      </w:r>
      <w:r>
        <w:rPr>
          <w:color w:val="231F20"/>
          <w:spacing w:val="-6"/>
          <w:sz w:val="18"/>
        </w:rPr>
        <w:t> </w:t>
      </w:r>
      <w:r>
        <w:rPr>
          <w:color w:val="231F20"/>
          <w:sz w:val="18"/>
        </w:rPr>
        <w:t>образование в России. – 2014. – № 12. – С. 184–188.</w:t>
      </w:r>
    </w:p>
    <w:p>
      <w:pPr>
        <w:pStyle w:val="ListParagraph"/>
        <w:numPr>
          <w:ilvl w:val="0"/>
          <w:numId w:val="252"/>
        </w:numPr>
        <w:tabs>
          <w:tab w:pos="708" w:val="left" w:leader="none"/>
        </w:tabs>
        <w:spacing w:line="240" w:lineRule="auto" w:before="0" w:after="0"/>
        <w:ind w:left="708" w:right="423" w:hanging="284"/>
        <w:jc w:val="both"/>
        <w:rPr>
          <w:sz w:val="18"/>
        </w:rPr>
      </w:pPr>
      <w:r>
        <w:rPr>
          <w:color w:val="231F20"/>
          <w:sz w:val="18"/>
        </w:rPr>
        <w:t>Тимошенко, Н.А. Использование кейс-метода обучения в системе повышения ква- лификации работников социальной сферы // Мир науки, культуры, образования. – 2020. – № 2 (81). – С. 335–336.</w:t>
      </w:r>
    </w:p>
    <w:p>
      <w:pPr>
        <w:pStyle w:val="ListParagraph"/>
        <w:numPr>
          <w:ilvl w:val="0"/>
          <w:numId w:val="252"/>
        </w:numPr>
        <w:tabs>
          <w:tab w:pos="708" w:val="left" w:leader="none"/>
        </w:tabs>
        <w:spacing w:line="240" w:lineRule="auto" w:before="0" w:after="0"/>
        <w:ind w:left="708" w:right="423" w:hanging="284"/>
        <w:jc w:val="both"/>
        <w:rPr>
          <w:sz w:val="18"/>
        </w:rPr>
      </w:pPr>
      <w:r>
        <w:rPr>
          <w:color w:val="231F20"/>
          <w:sz w:val="18"/>
        </w:rPr>
        <w:t>Тороев Ы.Т., Син Е.Е. Методическая компетенция как элемент профессиональной подготовки будущего учителя // Санкт-Петербургский образовательный вестник, 2017. – № 5 (9). – С. 36–41.</w:t>
      </w:r>
    </w:p>
    <w:p>
      <w:pPr>
        <w:pStyle w:val="ListParagraph"/>
        <w:numPr>
          <w:ilvl w:val="0"/>
          <w:numId w:val="252"/>
        </w:numPr>
        <w:tabs>
          <w:tab w:pos="708" w:val="left" w:leader="none"/>
        </w:tabs>
        <w:spacing w:line="240" w:lineRule="auto" w:before="0" w:after="0"/>
        <w:ind w:left="708" w:right="424" w:hanging="284"/>
        <w:jc w:val="both"/>
        <w:rPr>
          <w:sz w:val="18"/>
        </w:rPr>
      </w:pPr>
      <w:r>
        <w:rPr>
          <w:color w:val="231F20"/>
          <w:sz w:val="18"/>
        </w:rPr>
        <w:t>Фтенакис В.Э. Со-конструирование: методико-дидактический подход без пассив- </w:t>
      </w:r>
      <w:r>
        <w:rPr>
          <w:color w:val="231F20"/>
          <w:spacing w:val="-2"/>
          <w:sz w:val="18"/>
        </w:rPr>
        <w:t>ных</w:t>
      </w:r>
      <w:r>
        <w:rPr>
          <w:color w:val="231F20"/>
          <w:spacing w:val="-5"/>
          <w:sz w:val="18"/>
        </w:rPr>
        <w:t> </w:t>
      </w:r>
      <w:r>
        <w:rPr>
          <w:color w:val="231F20"/>
          <w:spacing w:val="-2"/>
          <w:sz w:val="18"/>
        </w:rPr>
        <w:t>участников</w:t>
      </w:r>
      <w:r>
        <w:rPr>
          <w:color w:val="231F20"/>
          <w:spacing w:val="-5"/>
          <w:sz w:val="18"/>
        </w:rPr>
        <w:t> </w:t>
      </w:r>
      <w:r>
        <w:rPr>
          <w:color w:val="231F20"/>
          <w:spacing w:val="-2"/>
          <w:sz w:val="18"/>
        </w:rPr>
        <w:t>//</w:t>
      </w:r>
      <w:r>
        <w:rPr>
          <w:color w:val="231F20"/>
          <w:spacing w:val="-5"/>
          <w:sz w:val="18"/>
        </w:rPr>
        <w:t> </w:t>
      </w:r>
      <w:r>
        <w:rPr>
          <w:color w:val="231F20"/>
          <w:spacing w:val="-2"/>
          <w:sz w:val="18"/>
        </w:rPr>
        <w:t>Современное</w:t>
      </w:r>
      <w:r>
        <w:rPr>
          <w:color w:val="231F20"/>
          <w:spacing w:val="-5"/>
          <w:sz w:val="18"/>
        </w:rPr>
        <w:t> </w:t>
      </w:r>
      <w:r>
        <w:rPr>
          <w:color w:val="231F20"/>
          <w:spacing w:val="-2"/>
          <w:sz w:val="18"/>
        </w:rPr>
        <w:t>дошкольное</w:t>
      </w:r>
      <w:r>
        <w:rPr>
          <w:color w:val="231F20"/>
          <w:spacing w:val="-5"/>
          <w:sz w:val="18"/>
        </w:rPr>
        <w:t> </w:t>
      </w:r>
      <w:r>
        <w:rPr>
          <w:color w:val="231F20"/>
          <w:spacing w:val="-2"/>
          <w:sz w:val="18"/>
        </w:rPr>
        <w:t>образование.</w:t>
      </w:r>
      <w:r>
        <w:rPr>
          <w:color w:val="231F20"/>
          <w:spacing w:val="-5"/>
          <w:sz w:val="18"/>
        </w:rPr>
        <w:t> </w:t>
      </w:r>
      <w:r>
        <w:rPr>
          <w:color w:val="231F20"/>
          <w:spacing w:val="-2"/>
          <w:sz w:val="18"/>
        </w:rPr>
        <w:t>Теория</w:t>
      </w:r>
      <w:r>
        <w:rPr>
          <w:color w:val="231F20"/>
          <w:spacing w:val="-5"/>
          <w:sz w:val="18"/>
        </w:rPr>
        <w:t> </w:t>
      </w:r>
      <w:r>
        <w:rPr>
          <w:color w:val="231F20"/>
          <w:spacing w:val="-2"/>
          <w:sz w:val="18"/>
        </w:rPr>
        <w:t>и</w:t>
      </w:r>
      <w:r>
        <w:rPr>
          <w:color w:val="231F20"/>
          <w:spacing w:val="-5"/>
          <w:sz w:val="18"/>
        </w:rPr>
        <w:t> </w:t>
      </w:r>
      <w:r>
        <w:rPr>
          <w:color w:val="231F20"/>
          <w:spacing w:val="-2"/>
          <w:sz w:val="18"/>
        </w:rPr>
        <w:t>практика,</w:t>
      </w:r>
      <w:r>
        <w:rPr>
          <w:color w:val="231F20"/>
          <w:spacing w:val="-5"/>
          <w:sz w:val="18"/>
        </w:rPr>
        <w:t> </w:t>
      </w:r>
      <w:r>
        <w:rPr>
          <w:color w:val="231F20"/>
          <w:spacing w:val="-2"/>
          <w:sz w:val="18"/>
        </w:rPr>
        <w:t>2015.</w:t>
      </w:r>
      <w:r>
        <w:rPr>
          <w:color w:val="231F20"/>
          <w:spacing w:val="-5"/>
          <w:sz w:val="18"/>
        </w:rPr>
        <w:t> </w:t>
      </w:r>
      <w:r>
        <w:rPr>
          <w:color w:val="231F20"/>
          <w:spacing w:val="-2"/>
          <w:sz w:val="18"/>
        </w:rPr>
        <w:t>–</w:t>
      </w:r>
    </w:p>
    <w:p>
      <w:pPr>
        <w:spacing w:line="205" w:lineRule="exact" w:before="0"/>
        <w:ind w:left="708" w:right="0" w:firstLine="0"/>
        <w:jc w:val="both"/>
        <w:rPr>
          <w:sz w:val="18"/>
        </w:rPr>
      </w:pPr>
      <w:r>
        <w:rPr>
          <w:color w:val="231F20"/>
          <w:sz w:val="18"/>
        </w:rPr>
        <w:t>№</w:t>
      </w:r>
      <w:r>
        <w:rPr>
          <w:color w:val="231F20"/>
          <w:spacing w:val="-1"/>
          <w:sz w:val="18"/>
        </w:rPr>
        <w:t> </w:t>
      </w:r>
      <w:r>
        <w:rPr>
          <w:color w:val="231F20"/>
          <w:sz w:val="18"/>
        </w:rPr>
        <w:t>2. – С. </w:t>
      </w:r>
      <w:r>
        <w:rPr>
          <w:color w:val="231F20"/>
          <w:spacing w:val="-2"/>
          <w:sz w:val="18"/>
        </w:rPr>
        <w:t>58–65.</w:t>
      </w:r>
    </w:p>
    <w:p>
      <w:pPr>
        <w:pStyle w:val="ListParagraph"/>
        <w:numPr>
          <w:ilvl w:val="0"/>
          <w:numId w:val="252"/>
        </w:numPr>
        <w:tabs>
          <w:tab w:pos="708" w:val="left" w:leader="none"/>
        </w:tabs>
        <w:spacing w:line="240" w:lineRule="auto" w:before="0" w:after="0"/>
        <w:ind w:left="708" w:right="422" w:hanging="284"/>
        <w:jc w:val="both"/>
        <w:rPr>
          <w:sz w:val="18"/>
        </w:rPr>
      </w:pPr>
      <w:r>
        <w:rPr>
          <w:color w:val="231F20"/>
          <w:sz w:val="18"/>
        </w:rPr>
        <w:t>Хуторской</w:t>
      </w:r>
      <w:r>
        <w:rPr>
          <w:color w:val="231F20"/>
          <w:spacing w:val="-8"/>
          <w:sz w:val="18"/>
        </w:rPr>
        <w:t> </w:t>
      </w:r>
      <w:r>
        <w:rPr>
          <w:color w:val="231F20"/>
          <w:sz w:val="18"/>
        </w:rPr>
        <w:t>А.В.</w:t>
      </w:r>
      <w:r>
        <w:rPr>
          <w:color w:val="231F20"/>
          <w:spacing w:val="-8"/>
          <w:sz w:val="18"/>
        </w:rPr>
        <w:t> </w:t>
      </w:r>
      <w:r>
        <w:rPr>
          <w:color w:val="231F20"/>
          <w:sz w:val="18"/>
        </w:rPr>
        <w:t>Анализ,</w:t>
      </w:r>
      <w:r>
        <w:rPr>
          <w:color w:val="231F20"/>
          <w:spacing w:val="-8"/>
          <w:sz w:val="18"/>
        </w:rPr>
        <w:t> </w:t>
      </w:r>
      <w:r>
        <w:rPr>
          <w:color w:val="231F20"/>
          <w:sz w:val="18"/>
        </w:rPr>
        <w:t>самоанализ</w:t>
      </w:r>
      <w:r>
        <w:rPr>
          <w:color w:val="231F20"/>
          <w:spacing w:val="-8"/>
          <w:sz w:val="18"/>
        </w:rPr>
        <w:t> </w:t>
      </w:r>
      <w:r>
        <w:rPr>
          <w:color w:val="231F20"/>
          <w:sz w:val="18"/>
        </w:rPr>
        <w:t>и</w:t>
      </w:r>
      <w:r>
        <w:rPr>
          <w:color w:val="231F20"/>
          <w:spacing w:val="-8"/>
          <w:sz w:val="18"/>
        </w:rPr>
        <w:t> </w:t>
      </w:r>
      <w:r>
        <w:rPr>
          <w:color w:val="231F20"/>
          <w:sz w:val="18"/>
        </w:rPr>
        <w:t>рефлексия</w:t>
      </w:r>
      <w:r>
        <w:rPr>
          <w:color w:val="231F20"/>
          <w:spacing w:val="-8"/>
          <w:sz w:val="18"/>
        </w:rPr>
        <w:t> </w:t>
      </w:r>
      <w:r>
        <w:rPr>
          <w:color w:val="231F20"/>
          <w:sz w:val="18"/>
        </w:rPr>
        <w:t>урока</w:t>
      </w:r>
      <w:r>
        <w:rPr>
          <w:color w:val="231F20"/>
          <w:spacing w:val="-8"/>
          <w:sz w:val="18"/>
        </w:rPr>
        <w:t> </w:t>
      </w:r>
      <w:r>
        <w:rPr>
          <w:color w:val="231F20"/>
          <w:sz w:val="18"/>
        </w:rPr>
        <w:t>/</w:t>
      </w:r>
      <w:r>
        <w:rPr>
          <w:color w:val="231F20"/>
          <w:spacing w:val="-8"/>
          <w:sz w:val="18"/>
        </w:rPr>
        <w:t> </w:t>
      </w:r>
      <w:r>
        <w:rPr>
          <w:color w:val="231F20"/>
          <w:sz w:val="18"/>
        </w:rPr>
        <w:t>А.В.</w:t>
      </w:r>
      <w:r>
        <w:rPr>
          <w:color w:val="231F20"/>
          <w:spacing w:val="-8"/>
          <w:sz w:val="18"/>
        </w:rPr>
        <w:t> </w:t>
      </w:r>
      <w:r>
        <w:rPr>
          <w:color w:val="231F20"/>
          <w:sz w:val="18"/>
        </w:rPr>
        <w:t>Хуторской</w:t>
      </w:r>
      <w:r>
        <w:rPr>
          <w:color w:val="231F20"/>
          <w:spacing w:val="-8"/>
          <w:sz w:val="18"/>
        </w:rPr>
        <w:t> </w:t>
      </w:r>
      <w:r>
        <w:rPr>
          <w:color w:val="231F20"/>
          <w:sz w:val="18"/>
        </w:rPr>
        <w:t>//</w:t>
      </w:r>
      <w:r>
        <w:rPr>
          <w:color w:val="231F20"/>
          <w:spacing w:val="-8"/>
          <w:sz w:val="18"/>
        </w:rPr>
        <w:t> </w:t>
      </w:r>
      <w:r>
        <w:rPr>
          <w:color w:val="231F20"/>
          <w:sz w:val="18"/>
        </w:rPr>
        <w:t>Эйдос.</w:t>
      </w:r>
      <w:r>
        <w:rPr>
          <w:color w:val="231F20"/>
          <w:spacing w:val="-8"/>
          <w:sz w:val="18"/>
        </w:rPr>
        <w:t> </w:t>
      </w:r>
      <w:r>
        <w:rPr>
          <w:color w:val="231F20"/>
          <w:sz w:val="18"/>
        </w:rPr>
        <w:t>– 2016. – № 3. – С. 2. – EDN ZBNZPP.</w:t>
      </w:r>
    </w:p>
    <w:p>
      <w:pPr>
        <w:pStyle w:val="ListParagraph"/>
        <w:numPr>
          <w:ilvl w:val="0"/>
          <w:numId w:val="252"/>
        </w:numPr>
        <w:tabs>
          <w:tab w:pos="708" w:val="left" w:leader="none"/>
        </w:tabs>
        <w:spacing w:line="240" w:lineRule="auto" w:before="0" w:after="0"/>
        <w:ind w:left="708" w:right="423" w:hanging="284"/>
        <w:jc w:val="left"/>
        <w:rPr>
          <w:sz w:val="18"/>
        </w:rPr>
      </w:pPr>
      <w:r>
        <w:rPr>
          <w:color w:val="231F20"/>
          <w:spacing w:val="-2"/>
          <w:sz w:val="18"/>
        </w:rPr>
        <w:t>Чуракова</w:t>
      </w:r>
      <w:r>
        <w:rPr>
          <w:color w:val="231F20"/>
          <w:spacing w:val="-4"/>
          <w:sz w:val="18"/>
        </w:rPr>
        <w:t> </w:t>
      </w:r>
      <w:r>
        <w:rPr>
          <w:color w:val="231F20"/>
          <w:spacing w:val="-2"/>
          <w:sz w:val="18"/>
        </w:rPr>
        <w:t>Р.Г.</w:t>
      </w:r>
      <w:r>
        <w:rPr>
          <w:color w:val="231F20"/>
          <w:spacing w:val="-4"/>
          <w:sz w:val="18"/>
        </w:rPr>
        <w:t> </w:t>
      </w:r>
      <w:r>
        <w:rPr>
          <w:color w:val="231F20"/>
          <w:spacing w:val="-2"/>
          <w:sz w:val="18"/>
        </w:rPr>
        <w:t>Технология</w:t>
      </w:r>
      <w:r>
        <w:rPr>
          <w:color w:val="231F20"/>
          <w:spacing w:val="-4"/>
          <w:sz w:val="18"/>
        </w:rPr>
        <w:t> </w:t>
      </w:r>
      <w:r>
        <w:rPr>
          <w:color w:val="231F20"/>
          <w:spacing w:val="-2"/>
          <w:sz w:val="18"/>
        </w:rPr>
        <w:t>и</w:t>
      </w:r>
      <w:r>
        <w:rPr>
          <w:color w:val="231F20"/>
          <w:spacing w:val="-4"/>
          <w:sz w:val="18"/>
        </w:rPr>
        <w:t> </w:t>
      </w:r>
      <w:r>
        <w:rPr>
          <w:color w:val="231F20"/>
          <w:spacing w:val="-2"/>
          <w:sz w:val="18"/>
        </w:rPr>
        <w:t>аспектный</w:t>
      </w:r>
      <w:r>
        <w:rPr>
          <w:color w:val="231F20"/>
          <w:spacing w:val="-4"/>
          <w:sz w:val="18"/>
        </w:rPr>
        <w:t> </w:t>
      </w:r>
      <w:r>
        <w:rPr>
          <w:color w:val="231F20"/>
          <w:spacing w:val="-2"/>
          <w:sz w:val="18"/>
        </w:rPr>
        <w:t>анализ</w:t>
      </w:r>
      <w:r>
        <w:rPr>
          <w:color w:val="231F20"/>
          <w:spacing w:val="-4"/>
          <w:sz w:val="18"/>
        </w:rPr>
        <w:t> </w:t>
      </w:r>
      <w:r>
        <w:rPr>
          <w:color w:val="231F20"/>
          <w:spacing w:val="-2"/>
          <w:sz w:val="18"/>
        </w:rPr>
        <w:t>современного</w:t>
      </w:r>
      <w:r>
        <w:rPr>
          <w:color w:val="231F20"/>
          <w:spacing w:val="-4"/>
          <w:sz w:val="18"/>
        </w:rPr>
        <w:t> </w:t>
      </w:r>
      <w:r>
        <w:rPr>
          <w:color w:val="231F20"/>
          <w:spacing w:val="-2"/>
          <w:sz w:val="18"/>
        </w:rPr>
        <w:t>урока</w:t>
      </w:r>
      <w:r>
        <w:rPr>
          <w:color w:val="231F20"/>
          <w:spacing w:val="-4"/>
          <w:sz w:val="18"/>
        </w:rPr>
        <w:t> </w:t>
      </w:r>
      <w:r>
        <w:rPr>
          <w:color w:val="231F20"/>
          <w:spacing w:val="-2"/>
          <w:sz w:val="18"/>
        </w:rPr>
        <w:t>в</w:t>
      </w:r>
      <w:r>
        <w:rPr>
          <w:color w:val="231F20"/>
          <w:spacing w:val="-4"/>
          <w:sz w:val="18"/>
        </w:rPr>
        <w:t> </w:t>
      </w:r>
      <w:r>
        <w:rPr>
          <w:color w:val="231F20"/>
          <w:spacing w:val="-2"/>
          <w:sz w:val="18"/>
        </w:rPr>
        <w:t>начальной</w:t>
      </w:r>
      <w:r>
        <w:rPr>
          <w:color w:val="231F20"/>
          <w:spacing w:val="-4"/>
          <w:sz w:val="18"/>
        </w:rPr>
        <w:t> </w:t>
      </w:r>
      <w:r>
        <w:rPr>
          <w:color w:val="231F20"/>
          <w:spacing w:val="-2"/>
          <w:sz w:val="18"/>
        </w:rPr>
        <w:t>шко- </w:t>
      </w:r>
      <w:r>
        <w:rPr>
          <w:color w:val="231F20"/>
          <w:sz w:val="18"/>
        </w:rPr>
        <w:t>ле [Текст] / Р.Г. Чуракова. М.: Академкнига / Учебник, 2011. – 112 с.</w:t>
      </w:r>
    </w:p>
    <w:p>
      <w:pPr>
        <w:pStyle w:val="ListParagraph"/>
        <w:numPr>
          <w:ilvl w:val="0"/>
          <w:numId w:val="252"/>
        </w:numPr>
        <w:tabs>
          <w:tab w:pos="708" w:val="left" w:leader="none"/>
        </w:tabs>
        <w:spacing w:line="205" w:lineRule="exact" w:before="0" w:after="0"/>
        <w:ind w:left="708" w:right="0" w:hanging="283"/>
        <w:jc w:val="left"/>
        <w:rPr>
          <w:sz w:val="18"/>
        </w:rPr>
      </w:pPr>
      <w:r>
        <w:rPr>
          <w:color w:val="231F20"/>
          <w:spacing w:val="-2"/>
          <w:sz w:val="18"/>
        </w:rPr>
        <w:t>Kolb, D.A. Experiential</w:t>
      </w:r>
      <w:r>
        <w:rPr>
          <w:color w:val="231F20"/>
          <w:spacing w:val="-1"/>
          <w:sz w:val="18"/>
        </w:rPr>
        <w:t> </w:t>
      </w:r>
      <w:r>
        <w:rPr>
          <w:color w:val="231F20"/>
          <w:spacing w:val="-2"/>
          <w:sz w:val="18"/>
        </w:rPr>
        <w:t>learning: Experience</w:t>
      </w:r>
      <w:r>
        <w:rPr>
          <w:color w:val="231F20"/>
          <w:spacing w:val="-1"/>
          <w:sz w:val="18"/>
        </w:rPr>
        <w:t> </w:t>
      </w:r>
      <w:r>
        <w:rPr>
          <w:color w:val="231F20"/>
          <w:spacing w:val="-2"/>
          <w:sz w:val="18"/>
        </w:rPr>
        <w:t>as the Source</w:t>
      </w:r>
      <w:r>
        <w:rPr>
          <w:color w:val="231F20"/>
          <w:spacing w:val="-1"/>
          <w:sz w:val="18"/>
        </w:rPr>
        <w:t> </w:t>
      </w:r>
      <w:r>
        <w:rPr>
          <w:color w:val="231F20"/>
          <w:spacing w:val="-2"/>
          <w:sz w:val="18"/>
        </w:rPr>
        <w:t>of Learning</w:t>
      </w:r>
      <w:r>
        <w:rPr>
          <w:color w:val="231F20"/>
          <w:spacing w:val="-1"/>
          <w:sz w:val="18"/>
        </w:rPr>
        <w:t> </w:t>
      </w:r>
      <w:r>
        <w:rPr>
          <w:color w:val="231F20"/>
          <w:spacing w:val="-2"/>
          <w:sz w:val="18"/>
        </w:rPr>
        <w:t>and Development</w:t>
      </w:r>
      <w:r>
        <w:rPr>
          <w:color w:val="231F20"/>
          <w:spacing w:val="-1"/>
          <w:sz w:val="18"/>
        </w:rPr>
        <w:t> </w:t>
      </w:r>
      <w:r>
        <w:rPr>
          <w:color w:val="231F20"/>
          <w:spacing w:val="-10"/>
          <w:sz w:val="18"/>
        </w:rPr>
        <w:t>/</w:t>
      </w:r>
    </w:p>
    <w:p>
      <w:pPr>
        <w:spacing w:line="206" w:lineRule="exact" w:before="0"/>
        <w:ind w:left="708" w:right="0" w:firstLine="0"/>
        <w:jc w:val="left"/>
        <w:rPr>
          <w:sz w:val="18"/>
        </w:rPr>
      </w:pPr>
      <w:r>
        <w:rPr>
          <w:color w:val="231F20"/>
          <w:sz w:val="18"/>
        </w:rPr>
        <w:t>D.A. Kolb. Second Edition. Pearson FT</w:t>
      </w:r>
      <w:r>
        <w:rPr>
          <w:color w:val="231F20"/>
          <w:spacing w:val="-4"/>
          <w:sz w:val="18"/>
        </w:rPr>
        <w:t> </w:t>
      </w:r>
      <w:r>
        <w:rPr>
          <w:color w:val="231F20"/>
          <w:sz w:val="18"/>
        </w:rPr>
        <w:t>Press, 2015. 416 </w:t>
      </w:r>
      <w:r>
        <w:rPr>
          <w:color w:val="231F20"/>
          <w:spacing w:val="-5"/>
          <w:sz w:val="18"/>
        </w:rPr>
        <w:t>p.</w:t>
      </w:r>
    </w:p>
    <w:p>
      <w:pPr>
        <w:pStyle w:val="ListParagraph"/>
        <w:numPr>
          <w:ilvl w:val="0"/>
          <w:numId w:val="252"/>
        </w:numPr>
        <w:tabs>
          <w:tab w:pos="708" w:val="left" w:leader="none"/>
        </w:tabs>
        <w:spacing w:line="240" w:lineRule="auto" w:before="0" w:after="0"/>
        <w:ind w:left="708" w:right="423" w:hanging="284"/>
        <w:jc w:val="left"/>
        <w:rPr>
          <w:sz w:val="18"/>
        </w:rPr>
      </w:pPr>
      <w:r>
        <w:rPr>
          <w:color w:val="231F20"/>
          <w:sz w:val="18"/>
        </w:rPr>
        <w:t>Pfeifer</w:t>
      </w:r>
      <w:r>
        <w:rPr>
          <w:color w:val="231F20"/>
          <w:spacing w:val="-12"/>
          <w:sz w:val="18"/>
        </w:rPr>
        <w:t> </w:t>
      </w:r>
      <w:r>
        <w:rPr>
          <w:color w:val="231F20"/>
          <w:sz w:val="18"/>
        </w:rPr>
        <w:t>J.,</w:t>
      </w:r>
      <w:r>
        <w:rPr>
          <w:color w:val="231F20"/>
          <w:spacing w:val="-9"/>
          <w:sz w:val="18"/>
        </w:rPr>
        <w:t> </w:t>
      </w:r>
      <w:r>
        <w:rPr>
          <w:color w:val="231F20"/>
          <w:sz w:val="18"/>
        </w:rPr>
        <w:t>Jones</w:t>
      </w:r>
      <w:r>
        <w:rPr>
          <w:color w:val="231F20"/>
          <w:spacing w:val="-10"/>
          <w:sz w:val="18"/>
        </w:rPr>
        <w:t> </w:t>
      </w:r>
      <w:r>
        <w:rPr>
          <w:color w:val="231F20"/>
          <w:sz w:val="18"/>
        </w:rPr>
        <w:t>J.</w:t>
      </w:r>
      <w:r>
        <w:rPr>
          <w:color w:val="231F20"/>
          <w:spacing w:val="-10"/>
          <w:sz w:val="18"/>
        </w:rPr>
        <w:t> </w:t>
      </w:r>
      <w:r>
        <w:rPr>
          <w:color w:val="231F20"/>
          <w:sz w:val="18"/>
        </w:rPr>
        <w:t>‘’Reference</w:t>
      </w:r>
      <w:r>
        <w:rPr>
          <w:color w:val="231F20"/>
          <w:spacing w:val="-10"/>
          <w:sz w:val="18"/>
        </w:rPr>
        <w:t> </w:t>
      </w:r>
      <w:r>
        <w:rPr>
          <w:color w:val="231F20"/>
          <w:sz w:val="18"/>
        </w:rPr>
        <w:t>Guide</w:t>
      </w:r>
      <w:r>
        <w:rPr>
          <w:color w:val="231F20"/>
          <w:spacing w:val="-10"/>
          <w:sz w:val="18"/>
        </w:rPr>
        <w:t> </w:t>
      </w:r>
      <w:r>
        <w:rPr>
          <w:color w:val="231F20"/>
          <w:sz w:val="18"/>
        </w:rPr>
        <w:t>to</w:t>
      </w:r>
      <w:r>
        <w:rPr>
          <w:color w:val="231F20"/>
          <w:spacing w:val="-10"/>
          <w:sz w:val="18"/>
        </w:rPr>
        <w:t> </w:t>
      </w:r>
      <w:r>
        <w:rPr>
          <w:color w:val="231F20"/>
          <w:sz w:val="18"/>
        </w:rPr>
        <w:t>Handbooks</w:t>
      </w:r>
      <w:r>
        <w:rPr>
          <w:color w:val="231F20"/>
          <w:spacing w:val="-10"/>
          <w:sz w:val="18"/>
        </w:rPr>
        <w:t> </w:t>
      </w:r>
      <w:r>
        <w:rPr>
          <w:color w:val="231F20"/>
          <w:sz w:val="18"/>
        </w:rPr>
        <w:t>and</w:t>
      </w:r>
      <w:r>
        <w:rPr>
          <w:color w:val="231F20"/>
          <w:spacing w:val="-16"/>
          <w:sz w:val="18"/>
        </w:rPr>
        <w:t> </w:t>
      </w:r>
      <w:r>
        <w:rPr>
          <w:color w:val="231F20"/>
          <w:sz w:val="18"/>
        </w:rPr>
        <w:t>Annuals’’.</w:t>
      </w:r>
      <w:r>
        <w:rPr>
          <w:color w:val="231F20"/>
          <w:spacing w:val="-10"/>
          <w:sz w:val="18"/>
        </w:rPr>
        <w:t> </w:t>
      </w:r>
      <w:r>
        <w:rPr>
          <w:color w:val="231F20"/>
          <w:sz w:val="18"/>
        </w:rPr>
        <w:t>San</w:t>
      </w:r>
      <w:r>
        <w:rPr>
          <w:color w:val="231F20"/>
          <w:spacing w:val="-10"/>
          <w:sz w:val="18"/>
        </w:rPr>
        <w:t> </w:t>
      </w:r>
      <w:r>
        <w:rPr>
          <w:color w:val="231F20"/>
          <w:sz w:val="18"/>
        </w:rPr>
        <w:t>Diego:</w:t>
      </w:r>
      <w:r>
        <w:rPr>
          <w:color w:val="231F20"/>
          <w:spacing w:val="-10"/>
          <w:sz w:val="18"/>
        </w:rPr>
        <w:t> </w:t>
      </w:r>
      <w:r>
        <w:rPr>
          <w:color w:val="231F20"/>
          <w:sz w:val="18"/>
        </w:rPr>
        <w:t>University Associates, 1983.</w:t>
      </w:r>
    </w:p>
    <w:p>
      <w:pPr>
        <w:pStyle w:val="ListParagraph"/>
        <w:spacing w:after="0" w:line="240" w:lineRule="auto"/>
        <w:jc w:val="left"/>
        <w:rPr>
          <w:sz w:val="18"/>
        </w:rPr>
        <w:sectPr>
          <w:pgSz w:w="8400" w:h="11910"/>
          <w:pgMar w:header="0" w:footer="529" w:top="400" w:bottom="740" w:left="425" w:right="425"/>
        </w:sectPr>
      </w:pPr>
    </w:p>
    <w:p>
      <w:pPr>
        <w:spacing w:before="80"/>
        <w:ind w:left="141" w:right="139" w:firstLine="0"/>
        <w:jc w:val="right"/>
        <w:rPr>
          <w:rFonts w:ascii="Georgia" w:hAnsi="Georgia"/>
          <w:sz w:val="18"/>
        </w:rPr>
      </w:pPr>
      <w:bookmarkStart w:name="_bookmark83" w:id="85"/>
      <w:bookmarkEnd w:id="85"/>
      <w:r>
        <w:rPr/>
      </w:r>
      <w:r>
        <w:rPr>
          <w:rFonts w:ascii="Georgia" w:hAnsi="Georgia"/>
          <w:color w:val="231F20"/>
          <w:spacing w:val="-2"/>
          <w:sz w:val="18"/>
        </w:rPr>
        <w:t>Раздел</w:t>
      </w:r>
      <w:r>
        <w:rPr>
          <w:rFonts w:ascii="Georgia" w:hAnsi="Georgia"/>
          <w:color w:val="231F20"/>
          <w:spacing w:val="-5"/>
          <w:sz w:val="18"/>
        </w:rPr>
        <w:t> 2.</w:t>
      </w:r>
    </w:p>
    <w:p>
      <w:pPr>
        <w:spacing w:before="109"/>
        <w:ind w:left="257" w:right="0" w:firstLine="0"/>
        <w:jc w:val="left"/>
        <w:rPr>
          <w:b/>
          <w:sz w:val="20"/>
        </w:rPr>
      </w:pPr>
      <w:r>
        <w:rPr>
          <w:b/>
          <w:color w:val="231F20"/>
          <w:sz w:val="20"/>
        </w:rPr>
        <w:t>2.3.</w:t>
      </w:r>
      <w:r>
        <w:rPr>
          <w:b/>
          <w:color w:val="231F20"/>
          <w:spacing w:val="-7"/>
          <w:sz w:val="20"/>
        </w:rPr>
        <w:t> </w:t>
      </w:r>
      <w:r>
        <w:rPr>
          <w:b/>
          <w:color w:val="231F20"/>
          <w:sz w:val="20"/>
        </w:rPr>
        <w:t>Проведение</w:t>
      </w:r>
      <w:r>
        <w:rPr>
          <w:b/>
          <w:color w:val="231F20"/>
          <w:spacing w:val="-6"/>
          <w:sz w:val="20"/>
        </w:rPr>
        <w:t> </w:t>
      </w:r>
      <w:r>
        <w:rPr>
          <w:b/>
          <w:color w:val="231F20"/>
          <w:sz w:val="20"/>
        </w:rPr>
        <w:t>обучающих</w:t>
      </w:r>
      <w:r>
        <w:rPr>
          <w:b/>
          <w:color w:val="231F20"/>
          <w:spacing w:val="-7"/>
          <w:sz w:val="20"/>
        </w:rPr>
        <w:t> </w:t>
      </w:r>
      <w:r>
        <w:rPr>
          <w:b/>
          <w:color w:val="231F20"/>
          <w:sz w:val="20"/>
        </w:rPr>
        <w:t>семинаров</w:t>
      </w:r>
      <w:r>
        <w:rPr>
          <w:b/>
          <w:color w:val="231F20"/>
          <w:spacing w:val="-6"/>
          <w:sz w:val="20"/>
        </w:rPr>
        <w:t> </w:t>
      </w:r>
      <w:r>
        <w:rPr>
          <w:b/>
          <w:color w:val="231F20"/>
          <w:sz w:val="20"/>
        </w:rPr>
        <w:t>для</w:t>
      </w:r>
      <w:r>
        <w:rPr>
          <w:b/>
          <w:color w:val="231F20"/>
          <w:spacing w:val="-7"/>
          <w:sz w:val="20"/>
        </w:rPr>
        <w:t> </w:t>
      </w:r>
      <w:r>
        <w:rPr>
          <w:b/>
          <w:color w:val="231F20"/>
          <w:sz w:val="20"/>
        </w:rPr>
        <w:t>педагогов</w:t>
      </w:r>
      <w:r>
        <w:rPr>
          <w:b/>
          <w:color w:val="231F20"/>
          <w:spacing w:val="-6"/>
          <w:sz w:val="20"/>
        </w:rPr>
        <w:t> </w:t>
      </w:r>
      <w:r>
        <w:rPr>
          <w:b/>
          <w:color w:val="231F20"/>
          <w:sz w:val="20"/>
        </w:rPr>
        <w:t>на</w:t>
      </w:r>
      <w:r>
        <w:rPr>
          <w:b/>
          <w:color w:val="231F20"/>
          <w:spacing w:val="-7"/>
          <w:sz w:val="20"/>
        </w:rPr>
        <w:t> </w:t>
      </w:r>
      <w:r>
        <w:rPr>
          <w:b/>
          <w:color w:val="231F20"/>
          <w:sz w:val="20"/>
        </w:rPr>
        <w:t>основе</w:t>
      </w:r>
      <w:r>
        <w:rPr>
          <w:b/>
          <w:color w:val="231F20"/>
          <w:spacing w:val="-6"/>
          <w:sz w:val="20"/>
        </w:rPr>
        <w:t> </w:t>
      </w:r>
      <w:r>
        <w:rPr>
          <w:b/>
          <w:color w:val="231F20"/>
          <w:sz w:val="20"/>
        </w:rPr>
        <w:t>модели</w:t>
      </w:r>
      <w:r>
        <w:rPr>
          <w:b/>
          <w:color w:val="231F20"/>
          <w:spacing w:val="-7"/>
          <w:sz w:val="20"/>
        </w:rPr>
        <w:t> </w:t>
      </w:r>
      <w:r>
        <w:rPr>
          <w:b/>
          <w:color w:val="231F20"/>
          <w:spacing w:val="-4"/>
          <w:sz w:val="20"/>
        </w:rPr>
        <w:t>DOPA</w:t>
      </w:r>
    </w:p>
    <w:p>
      <w:pPr>
        <w:spacing w:before="166"/>
        <w:ind w:left="3617" w:right="0" w:firstLine="0"/>
        <w:jc w:val="left"/>
        <w:rPr>
          <w:i/>
          <w:sz w:val="20"/>
        </w:rPr>
      </w:pPr>
      <w:r>
        <w:rPr>
          <w:i/>
          <w:color w:val="231F20"/>
          <w:sz w:val="20"/>
        </w:rPr>
        <w:t>Н.В.</w:t>
      </w:r>
      <w:r>
        <w:rPr>
          <w:i/>
          <w:color w:val="231F20"/>
          <w:spacing w:val="-6"/>
          <w:sz w:val="20"/>
        </w:rPr>
        <w:t> </w:t>
      </w:r>
      <w:r>
        <w:rPr>
          <w:i/>
          <w:color w:val="231F20"/>
          <w:sz w:val="20"/>
        </w:rPr>
        <w:t>Ткаченко,</w:t>
      </w:r>
      <w:r>
        <w:rPr>
          <w:i/>
          <w:color w:val="231F20"/>
          <w:spacing w:val="-6"/>
          <w:sz w:val="20"/>
        </w:rPr>
        <w:t> </w:t>
      </w:r>
      <w:r>
        <w:rPr>
          <w:i/>
          <w:color w:val="231F20"/>
          <w:sz w:val="20"/>
        </w:rPr>
        <w:t>О.Е.</w:t>
      </w:r>
      <w:r>
        <w:rPr>
          <w:i/>
          <w:color w:val="231F20"/>
          <w:spacing w:val="-6"/>
          <w:sz w:val="20"/>
        </w:rPr>
        <w:t> </w:t>
      </w:r>
      <w:r>
        <w:rPr>
          <w:i/>
          <w:color w:val="231F20"/>
          <w:sz w:val="20"/>
        </w:rPr>
        <w:t>Хухлаев,</w:t>
      </w:r>
      <w:r>
        <w:rPr>
          <w:i/>
          <w:color w:val="231F20"/>
          <w:spacing w:val="-6"/>
          <w:sz w:val="20"/>
        </w:rPr>
        <w:t> </w:t>
      </w:r>
      <w:r>
        <w:rPr>
          <w:i/>
          <w:color w:val="231F20"/>
          <w:sz w:val="20"/>
        </w:rPr>
        <w:t>М.Ю.</w:t>
      </w:r>
      <w:r>
        <w:rPr>
          <w:i/>
          <w:color w:val="231F20"/>
          <w:spacing w:val="-5"/>
          <w:sz w:val="20"/>
        </w:rPr>
        <w:t> </w:t>
      </w:r>
      <w:r>
        <w:rPr>
          <w:i/>
          <w:color w:val="231F20"/>
          <w:spacing w:val="-2"/>
          <w:sz w:val="20"/>
        </w:rPr>
        <w:t>Чибисова</w:t>
      </w:r>
    </w:p>
    <w:p>
      <w:pPr>
        <w:pStyle w:val="BodyText"/>
        <w:spacing w:before="105"/>
        <w:ind w:left="0" w:right="0" w:firstLine="0"/>
        <w:jc w:val="left"/>
        <w:rPr>
          <w:i/>
        </w:rPr>
      </w:pPr>
    </w:p>
    <w:p>
      <w:pPr>
        <w:pStyle w:val="BodyText"/>
        <w:spacing w:line="242" w:lineRule="auto"/>
      </w:pPr>
      <w:r>
        <w:rPr>
          <w:color w:val="231F20"/>
        </w:rPr>
        <w:t>Необходимым условием успешности деятельности педагога в поликультурном классе и решения задач, связанных с содействием адаптации детей-мигрантов, явля- ется</w:t>
      </w:r>
      <w:r>
        <w:rPr>
          <w:color w:val="231F20"/>
          <w:spacing w:val="-1"/>
        </w:rPr>
        <w:t> </w:t>
      </w:r>
      <w:r>
        <w:rPr>
          <w:color w:val="231F20"/>
        </w:rPr>
        <w:t>межкультурная</w:t>
      </w:r>
      <w:r>
        <w:rPr>
          <w:color w:val="231F20"/>
          <w:spacing w:val="-1"/>
        </w:rPr>
        <w:t> </w:t>
      </w:r>
      <w:r>
        <w:rPr>
          <w:color w:val="231F20"/>
        </w:rPr>
        <w:t>компетентность,</w:t>
      </w:r>
      <w:r>
        <w:rPr>
          <w:color w:val="231F20"/>
          <w:spacing w:val="-1"/>
        </w:rPr>
        <w:t> </w:t>
      </w:r>
      <w:r>
        <w:rPr>
          <w:color w:val="231F20"/>
        </w:rPr>
        <w:t>которую</w:t>
      </w:r>
      <w:r>
        <w:rPr>
          <w:color w:val="231F20"/>
          <w:spacing w:val="-1"/>
        </w:rPr>
        <w:t> </w:t>
      </w:r>
      <w:r>
        <w:rPr>
          <w:color w:val="231F20"/>
        </w:rPr>
        <w:t>мы</w:t>
      </w:r>
      <w:r>
        <w:rPr>
          <w:color w:val="231F20"/>
          <w:spacing w:val="-1"/>
        </w:rPr>
        <w:t> </w:t>
      </w:r>
      <w:r>
        <w:rPr>
          <w:color w:val="231F20"/>
        </w:rPr>
        <w:t>понимаем</w:t>
      </w:r>
      <w:r>
        <w:rPr>
          <w:color w:val="231F20"/>
          <w:spacing w:val="-1"/>
        </w:rPr>
        <w:t> </w:t>
      </w:r>
      <w:r>
        <w:rPr>
          <w:color w:val="231F20"/>
        </w:rPr>
        <w:t>как</w:t>
      </w:r>
      <w:r>
        <w:rPr>
          <w:color w:val="231F20"/>
          <w:spacing w:val="-1"/>
        </w:rPr>
        <w:t> </w:t>
      </w:r>
      <w:r>
        <w:rPr>
          <w:color w:val="231F20"/>
        </w:rPr>
        <w:t>«способность</w:t>
      </w:r>
      <w:r>
        <w:rPr>
          <w:color w:val="231F20"/>
          <w:spacing w:val="-1"/>
        </w:rPr>
        <w:t> </w:t>
      </w:r>
      <w:r>
        <w:rPr>
          <w:color w:val="231F20"/>
        </w:rPr>
        <w:t>педа- гога взаимодействовать со учащимися таким образом, чтобы поддерживать тех, кто лингвистически,</w:t>
      </w:r>
      <w:r>
        <w:rPr>
          <w:color w:val="231F20"/>
          <w:spacing w:val="-4"/>
        </w:rPr>
        <w:t> </w:t>
      </w:r>
      <w:r>
        <w:rPr>
          <w:color w:val="231F20"/>
        </w:rPr>
        <w:t>культурно,</w:t>
      </w:r>
      <w:r>
        <w:rPr>
          <w:color w:val="231F20"/>
          <w:spacing w:val="-4"/>
        </w:rPr>
        <w:t> </w:t>
      </w:r>
      <w:r>
        <w:rPr>
          <w:color w:val="231F20"/>
        </w:rPr>
        <w:t>социально</w:t>
      </w:r>
      <w:r>
        <w:rPr>
          <w:color w:val="231F20"/>
          <w:spacing w:val="-4"/>
        </w:rPr>
        <w:t> </w:t>
      </w:r>
      <w:r>
        <w:rPr>
          <w:color w:val="231F20"/>
        </w:rPr>
        <w:t>или</w:t>
      </w:r>
      <w:r>
        <w:rPr>
          <w:color w:val="231F20"/>
          <w:spacing w:val="-4"/>
        </w:rPr>
        <w:t> </w:t>
      </w:r>
      <w:r>
        <w:rPr>
          <w:color w:val="231F20"/>
        </w:rPr>
        <w:t>иным</w:t>
      </w:r>
      <w:r>
        <w:rPr>
          <w:color w:val="231F20"/>
          <w:spacing w:val="-4"/>
        </w:rPr>
        <w:t> </w:t>
      </w:r>
      <w:r>
        <w:rPr>
          <w:color w:val="231F20"/>
        </w:rPr>
        <w:t>образом</w:t>
      </w:r>
      <w:r>
        <w:rPr>
          <w:color w:val="231F20"/>
          <w:spacing w:val="-4"/>
        </w:rPr>
        <w:t> </w:t>
      </w:r>
      <w:r>
        <w:rPr>
          <w:color w:val="231F20"/>
        </w:rPr>
        <w:t>отличается</w:t>
      </w:r>
      <w:r>
        <w:rPr>
          <w:color w:val="231F20"/>
          <w:spacing w:val="-4"/>
        </w:rPr>
        <w:t> </w:t>
      </w:r>
      <w:r>
        <w:rPr>
          <w:color w:val="231F20"/>
        </w:rPr>
        <w:t>от</w:t>
      </w:r>
      <w:r>
        <w:rPr>
          <w:color w:val="231F20"/>
          <w:spacing w:val="-4"/>
        </w:rPr>
        <w:t> </w:t>
      </w:r>
      <w:r>
        <w:rPr>
          <w:color w:val="231F20"/>
        </w:rPr>
        <w:t>самого</w:t>
      </w:r>
      <w:r>
        <w:rPr>
          <w:color w:val="231F20"/>
          <w:spacing w:val="-4"/>
        </w:rPr>
        <w:t> </w:t>
      </w:r>
      <w:r>
        <w:rPr>
          <w:color w:val="231F20"/>
        </w:rPr>
        <w:t>учи- теля или друг от друга. Она помогает учителям преодолевать культурные, языковые и другие различия в классе и способствовать вовлечению инокультурных учащихся в</w:t>
      </w:r>
      <w:r>
        <w:rPr>
          <w:color w:val="231F20"/>
          <w:spacing w:val="-6"/>
        </w:rPr>
        <w:t> </w:t>
      </w:r>
      <w:r>
        <w:rPr>
          <w:color w:val="231F20"/>
        </w:rPr>
        <w:t>учебный</w:t>
      </w:r>
      <w:r>
        <w:rPr>
          <w:color w:val="231F20"/>
          <w:spacing w:val="-6"/>
        </w:rPr>
        <w:t> </w:t>
      </w:r>
      <w:r>
        <w:rPr>
          <w:color w:val="231F20"/>
        </w:rPr>
        <w:t>процесс»</w:t>
      </w:r>
      <w:r>
        <w:rPr>
          <w:color w:val="231F20"/>
          <w:spacing w:val="-6"/>
        </w:rPr>
        <w:t> </w:t>
      </w:r>
      <w:r>
        <w:rPr>
          <w:color w:val="231F20"/>
        </w:rPr>
        <w:t>(Dimitrov,</w:t>
      </w:r>
      <w:r>
        <w:rPr>
          <w:color w:val="231F20"/>
          <w:spacing w:val="-6"/>
        </w:rPr>
        <w:t> </w:t>
      </w:r>
      <w:r>
        <w:rPr>
          <w:color w:val="231F20"/>
        </w:rPr>
        <w:t>Hague,</w:t>
      </w:r>
      <w:r>
        <w:rPr>
          <w:color w:val="231F20"/>
          <w:spacing w:val="-6"/>
        </w:rPr>
        <w:t> </w:t>
      </w:r>
      <w:r>
        <w:rPr>
          <w:color w:val="231F20"/>
        </w:rPr>
        <w:t>2016).</w:t>
      </w:r>
      <w:r>
        <w:rPr>
          <w:color w:val="231F20"/>
          <w:spacing w:val="-6"/>
        </w:rPr>
        <w:t> </w:t>
      </w:r>
      <w:r>
        <w:rPr>
          <w:color w:val="231F20"/>
        </w:rPr>
        <w:t>Важное</w:t>
      </w:r>
      <w:r>
        <w:rPr>
          <w:color w:val="231F20"/>
          <w:spacing w:val="-6"/>
        </w:rPr>
        <w:t> </w:t>
      </w:r>
      <w:r>
        <w:rPr>
          <w:color w:val="231F20"/>
        </w:rPr>
        <w:t>место</w:t>
      </w:r>
      <w:r>
        <w:rPr>
          <w:color w:val="231F20"/>
          <w:spacing w:val="39"/>
        </w:rPr>
        <w:t> </w:t>
      </w:r>
      <w:r>
        <w:rPr>
          <w:color w:val="231F20"/>
        </w:rPr>
        <w:t>в</w:t>
      </w:r>
      <w:r>
        <w:rPr>
          <w:color w:val="231F20"/>
          <w:spacing w:val="-6"/>
        </w:rPr>
        <w:t> </w:t>
      </w:r>
      <w:r>
        <w:rPr>
          <w:color w:val="231F20"/>
        </w:rPr>
        <w:t>структуре</w:t>
      </w:r>
      <w:r>
        <w:rPr>
          <w:color w:val="231F20"/>
          <w:spacing w:val="-6"/>
        </w:rPr>
        <w:t> </w:t>
      </w:r>
      <w:r>
        <w:rPr>
          <w:color w:val="231F20"/>
        </w:rPr>
        <w:t>межкультур- ной компетентности занимают установки и особенности мировоззрения</w:t>
      </w:r>
      <w:r>
        <w:rPr/>
        <w:t>, связанные</w:t>
      </w:r>
      <w:r>
        <w:rPr>
          <w:spacing w:val="40"/>
        </w:rPr>
        <w:t> </w:t>
      </w:r>
      <w:r>
        <w:rPr/>
        <w:t>с межкультурным общением и поликультурностью. </w:t>
      </w:r>
      <w:r>
        <w:rPr>
          <w:color w:val="231F20"/>
        </w:rPr>
        <w:t>В ряде исследований показано, что специфика отношения к культурному разнообразию в образовательной среде оказывает значимое влияние на ощущение самоэффективности учителя в работе с учащимися-мигрантами, то есть уверенности педагога в своей способности успеш- но</w:t>
      </w:r>
      <w:r>
        <w:rPr>
          <w:color w:val="231F20"/>
          <w:spacing w:val="-7"/>
        </w:rPr>
        <w:t> </w:t>
      </w:r>
      <w:r>
        <w:rPr>
          <w:color w:val="231F20"/>
        </w:rPr>
        <w:t>взаимодействовать</w:t>
      </w:r>
      <w:r>
        <w:rPr>
          <w:color w:val="231F20"/>
          <w:spacing w:val="-7"/>
        </w:rPr>
        <w:t> </w:t>
      </w:r>
      <w:r>
        <w:rPr>
          <w:color w:val="231F20"/>
        </w:rPr>
        <w:t>с</w:t>
      </w:r>
      <w:r>
        <w:rPr>
          <w:color w:val="231F20"/>
          <w:spacing w:val="-7"/>
        </w:rPr>
        <w:t> </w:t>
      </w:r>
      <w:r>
        <w:rPr>
          <w:color w:val="231F20"/>
        </w:rPr>
        <w:t>данной</w:t>
      </w:r>
      <w:r>
        <w:rPr>
          <w:color w:val="231F20"/>
          <w:spacing w:val="-7"/>
        </w:rPr>
        <w:t> </w:t>
      </w:r>
      <w:r>
        <w:rPr>
          <w:color w:val="231F20"/>
        </w:rPr>
        <w:t>категорией</w:t>
      </w:r>
      <w:r>
        <w:rPr>
          <w:color w:val="231F20"/>
          <w:spacing w:val="-7"/>
        </w:rPr>
        <w:t> </w:t>
      </w:r>
      <w:r>
        <w:rPr>
          <w:color w:val="231F20"/>
        </w:rPr>
        <w:t>детей</w:t>
      </w:r>
      <w:r>
        <w:rPr>
          <w:color w:val="231F20"/>
          <w:spacing w:val="36"/>
        </w:rPr>
        <w:t> </w:t>
      </w:r>
      <w:r>
        <w:rPr>
          <w:color w:val="231F20"/>
        </w:rPr>
        <w:t>(Horenczyk,</w:t>
      </w:r>
      <w:r>
        <w:rPr>
          <w:color w:val="231F20"/>
          <w:spacing w:val="-11"/>
        </w:rPr>
        <w:t> </w:t>
      </w:r>
      <w:r>
        <w:rPr>
          <w:color w:val="231F20"/>
        </w:rPr>
        <w:t>Tatar,</w:t>
      </w:r>
      <w:r>
        <w:rPr>
          <w:color w:val="231F20"/>
          <w:spacing w:val="-7"/>
        </w:rPr>
        <w:t> </w:t>
      </w:r>
      <w:r>
        <w:rPr>
          <w:color w:val="231F20"/>
        </w:rPr>
        <w:t>2011;</w:t>
      </w:r>
      <w:r>
        <w:rPr>
          <w:color w:val="231F20"/>
          <w:spacing w:val="-7"/>
        </w:rPr>
        <w:t> </w:t>
      </w:r>
      <w:r>
        <w:rPr>
          <w:color w:val="231F20"/>
        </w:rPr>
        <w:t>Horenczyk, Tatar,</w:t>
      </w:r>
      <w:r>
        <w:rPr>
          <w:color w:val="231F20"/>
          <w:spacing w:val="-13"/>
        </w:rPr>
        <w:t> </w:t>
      </w:r>
      <w:r>
        <w:rPr>
          <w:color w:val="231F20"/>
        </w:rPr>
        <w:t>2002;</w:t>
      </w:r>
      <w:r>
        <w:rPr>
          <w:color w:val="231F20"/>
          <w:spacing w:val="-12"/>
        </w:rPr>
        <w:t> </w:t>
      </w:r>
      <w:r>
        <w:rPr>
          <w:color w:val="231F20"/>
        </w:rPr>
        <w:t>Horenczyk,</w:t>
      </w:r>
      <w:r>
        <w:rPr>
          <w:color w:val="231F20"/>
          <w:spacing w:val="-13"/>
        </w:rPr>
        <w:t> </w:t>
      </w:r>
      <w:r>
        <w:rPr>
          <w:color w:val="231F20"/>
        </w:rPr>
        <w:t>Tatar,</w:t>
      </w:r>
      <w:r>
        <w:rPr>
          <w:color w:val="231F20"/>
          <w:spacing w:val="-12"/>
        </w:rPr>
        <w:t> </w:t>
      </w:r>
      <w:r>
        <w:rPr>
          <w:color w:val="231F20"/>
        </w:rPr>
        <w:t>2018).</w:t>
      </w:r>
      <w:r>
        <w:rPr>
          <w:color w:val="231F20"/>
          <w:spacing w:val="-13"/>
        </w:rPr>
        <w:t> </w:t>
      </w:r>
      <w:r>
        <w:rPr/>
        <w:t>Решение</w:t>
      </w:r>
      <w:r>
        <w:rPr>
          <w:spacing w:val="-12"/>
        </w:rPr>
        <w:t> </w:t>
      </w:r>
      <w:r>
        <w:rPr/>
        <w:t>практических</w:t>
      </w:r>
      <w:r>
        <w:rPr>
          <w:spacing w:val="-13"/>
        </w:rPr>
        <w:t> </w:t>
      </w:r>
      <w:r>
        <w:rPr/>
        <w:t>задач,</w:t>
      </w:r>
      <w:r>
        <w:rPr>
          <w:spacing w:val="-12"/>
        </w:rPr>
        <w:t> </w:t>
      </w:r>
      <w:r>
        <w:rPr/>
        <w:t>связанных</w:t>
      </w:r>
      <w:r>
        <w:rPr>
          <w:spacing w:val="-13"/>
        </w:rPr>
        <w:t> </w:t>
      </w:r>
      <w:r>
        <w:rPr/>
        <w:t>с</w:t>
      </w:r>
      <w:r>
        <w:rPr>
          <w:spacing w:val="-12"/>
        </w:rPr>
        <w:t> </w:t>
      </w:r>
      <w:r>
        <w:rPr/>
        <w:t>форми- </w:t>
      </w:r>
      <w:r>
        <w:rPr>
          <w:spacing w:val="-2"/>
        </w:rPr>
        <w:t>рованием межкультурной компетентности педагога, требует опоры на теоретическую </w:t>
      </w:r>
      <w:r>
        <w:rPr/>
        <w:t>модель,</w:t>
      </w:r>
      <w:r>
        <w:rPr>
          <w:spacing w:val="-9"/>
        </w:rPr>
        <w:t> </w:t>
      </w:r>
      <w:r>
        <w:rPr/>
        <w:t>позволяющую</w:t>
      </w:r>
      <w:r>
        <w:rPr>
          <w:spacing w:val="-9"/>
        </w:rPr>
        <w:t> </w:t>
      </w:r>
      <w:r>
        <w:rPr/>
        <w:t>проанализировать,</w:t>
      </w:r>
      <w:r>
        <w:rPr>
          <w:spacing w:val="-9"/>
        </w:rPr>
        <w:t> </w:t>
      </w:r>
      <w:r>
        <w:rPr/>
        <w:t>как</w:t>
      </w:r>
      <w:r>
        <w:rPr>
          <w:spacing w:val="-9"/>
        </w:rPr>
        <w:t> </w:t>
      </w:r>
      <w:r>
        <w:rPr/>
        <w:t>педагог</w:t>
      </w:r>
      <w:r>
        <w:rPr>
          <w:spacing w:val="-9"/>
        </w:rPr>
        <w:t> </w:t>
      </w:r>
      <w:r>
        <w:rPr/>
        <w:t>воспринимает</w:t>
      </w:r>
      <w:r>
        <w:rPr>
          <w:spacing w:val="-9"/>
        </w:rPr>
        <w:t> </w:t>
      </w:r>
      <w:r>
        <w:rPr/>
        <w:t>профессиональ- ную деятельность</w:t>
      </w:r>
      <w:r>
        <w:rPr>
          <w:spacing w:val="40"/>
        </w:rPr>
        <w:t> </w:t>
      </w:r>
      <w:r>
        <w:rPr/>
        <w:t>в поликультурной среде, и по необходимости отрефлексировать непродуктивные установки.</w:t>
      </w:r>
    </w:p>
    <w:p>
      <w:pPr>
        <w:pStyle w:val="BodyText"/>
        <w:spacing w:line="242" w:lineRule="auto"/>
      </w:pPr>
      <w:r>
        <w:rPr>
          <w:color w:val="231F20"/>
        </w:rPr>
        <w:t>Модель, позволяющая описать отношение учителей к культурно-диверсифици- рованной образовательной среде «Разнообразие в организациях: восприятие и под- ходы», разработана Г. Горенчиком и М. Татаром (DOPA, Diversity in Organizations: Perceptions and</w:t>
      </w:r>
      <w:r>
        <w:rPr>
          <w:color w:val="231F20"/>
          <w:spacing w:val="-9"/>
        </w:rPr>
        <w:t> </w:t>
      </w:r>
      <w:r>
        <w:rPr>
          <w:color w:val="231F20"/>
        </w:rPr>
        <w:t>Approache) (Gutentag, 2018, Gorenczuk, 2002). Авторы описывают ва- рианты субъективных представлений педагогов о культурном разнообразии. Пред- полагается, что педагоги могут по-разному воспринимать культурные различия в образовательном</w:t>
      </w:r>
      <w:r>
        <w:rPr>
          <w:color w:val="231F20"/>
          <w:spacing w:val="-1"/>
        </w:rPr>
        <w:t> </w:t>
      </w:r>
      <w:r>
        <w:rPr>
          <w:color w:val="231F20"/>
        </w:rPr>
        <w:t>процессе,</w:t>
      </w:r>
      <w:r>
        <w:rPr>
          <w:color w:val="231F20"/>
          <w:spacing w:val="-1"/>
        </w:rPr>
        <w:t> </w:t>
      </w:r>
      <w:r>
        <w:rPr>
          <w:color w:val="231F20"/>
        </w:rPr>
        <w:t>что,</w:t>
      </w:r>
      <w:r>
        <w:rPr>
          <w:color w:val="231F20"/>
          <w:spacing w:val="-1"/>
        </w:rPr>
        <w:t> </w:t>
      </w:r>
      <w:r>
        <w:rPr>
          <w:color w:val="231F20"/>
        </w:rPr>
        <w:t>в</w:t>
      </w:r>
      <w:r>
        <w:rPr>
          <w:color w:val="231F20"/>
          <w:spacing w:val="-1"/>
        </w:rPr>
        <w:t> </w:t>
      </w:r>
      <w:r>
        <w:rPr>
          <w:color w:val="231F20"/>
        </w:rPr>
        <w:t>свою</w:t>
      </w:r>
      <w:r>
        <w:rPr>
          <w:color w:val="231F20"/>
          <w:spacing w:val="-1"/>
        </w:rPr>
        <w:t> </w:t>
      </w:r>
      <w:r>
        <w:rPr>
          <w:color w:val="231F20"/>
        </w:rPr>
        <w:t>очередь,</w:t>
      </w:r>
      <w:r>
        <w:rPr>
          <w:color w:val="231F20"/>
          <w:spacing w:val="-1"/>
        </w:rPr>
        <w:t> </w:t>
      </w:r>
      <w:r>
        <w:rPr>
          <w:color w:val="231F20"/>
        </w:rPr>
        <w:t>находит</w:t>
      </w:r>
      <w:r>
        <w:rPr>
          <w:color w:val="231F20"/>
          <w:spacing w:val="-1"/>
        </w:rPr>
        <w:t> </w:t>
      </w:r>
      <w:r>
        <w:rPr>
          <w:color w:val="231F20"/>
        </w:rPr>
        <w:t>отражение</w:t>
      </w:r>
      <w:r>
        <w:rPr>
          <w:color w:val="231F20"/>
          <w:spacing w:val="-1"/>
        </w:rPr>
        <w:t> </w:t>
      </w:r>
      <w:r>
        <w:rPr>
          <w:color w:val="231F20"/>
        </w:rPr>
        <w:t>в</w:t>
      </w:r>
      <w:r>
        <w:rPr>
          <w:color w:val="231F20"/>
          <w:spacing w:val="-1"/>
        </w:rPr>
        <w:t> </w:t>
      </w:r>
      <w:r>
        <w:rPr>
          <w:color w:val="231F20"/>
        </w:rPr>
        <w:t>их</w:t>
      </w:r>
      <w:r>
        <w:rPr>
          <w:color w:val="231F20"/>
          <w:spacing w:val="-1"/>
        </w:rPr>
        <w:t> </w:t>
      </w:r>
      <w:r>
        <w:rPr>
          <w:color w:val="231F20"/>
        </w:rPr>
        <w:t>профессио- нальной деятельности.</w:t>
      </w:r>
    </w:p>
    <w:p>
      <w:pPr>
        <w:pStyle w:val="BodyText"/>
        <w:spacing w:line="242" w:lineRule="auto"/>
      </w:pPr>
      <w:r>
        <w:rPr>
          <w:color w:val="231F20"/>
        </w:rPr>
        <w:t>Означенная модель содержит четыре аналитические категории – варианты отно- шения к культурным различиям: ценный ресурс, проблема, вызов и безразличие.</w:t>
      </w:r>
    </w:p>
    <w:p>
      <w:pPr>
        <w:pStyle w:val="BodyText"/>
        <w:spacing w:line="229" w:lineRule="exact"/>
        <w:ind w:left="425" w:right="0" w:firstLine="0"/>
      </w:pPr>
      <w:r>
        <w:rPr>
          <w:color w:val="231F20"/>
        </w:rPr>
        <w:t>Для</w:t>
      </w:r>
      <w:r>
        <w:rPr>
          <w:color w:val="231F20"/>
          <w:spacing w:val="-3"/>
        </w:rPr>
        <w:t> </w:t>
      </w:r>
      <w:r>
        <w:rPr>
          <w:color w:val="231F20"/>
        </w:rPr>
        <w:t>их</w:t>
      </w:r>
      <w:r>
        <w:rPr>
          <w:color w:val="231F20"/>
          <w:spacing w:val="-2"/>
        </w:rPr>
        <w:t> </w:t>
      </w:r>
      <w:r>
        <w:rPr>
          <w:color w:val="231F20"/>
        </w:rPr>
        <w:t>различения</w:t>
      </w:r>
      <w:r>
        <w:rPr>
          <w:color w:val="231F20"/>
          <w:spacing w:val="-2"/>
        </w:rPr>
        <w:t> </w:t>
      </w:r>
      <w:r>
        <w:rPr>
          <w:color w:val="231F20"/>
        </w:rPr>
        <w:t>мы</w:t>
      </w:r>
      <w:r>
        <w:rPr>
          <w:color w:val="231F20"/>
          <w:spacing w:val="-2"/>
        </w:rPr>
        <w:t> </w:t>
      </w:r>
      <w:r>
        <w:rPr>
          <w:color w:val="231F20"/>
        </w:rPr>
        <w:t>предлагаем</w:t>
      </w:r>
      <w:r>
        <w:rPr>
          <w:color w:val="231F20"/>
          <w:spacing w:val="-2"/>
        </w:rPr>
        <w:t> </w:t>
      </w:r>
      <w:r>
        <w:rPr>
          <w:color w:val="231F20"/>
        </w:rPr>
        <w:t>использовать</w:t>
      </w:r>
      <w:r>
        <w:rPr>
          <w:color w:val="231F20"/>
          <w:spacing w:val="-3"/>
        </w:rPr>
        <w:t> </w:t>
      </w:r>
      <w:r>
        <w:rPr>
          <w:color w:val="231F20"/>
        </w:rPr>
        <w:t>модель</w:t>
      </w:r>
      <w:r>
        <w:rPr>
          <w:color w:val="231F20"/>
          <w:spacing w:val="-4"/>
        </w:rPr>
        <w:t> </w:t>
      </w:r>
      <w:r>
        <w:rPr>
          <w:color w:val="231F20"/>
        </w:rPr>
        <w:t>2×2</w:t>
      </w:r>
      <w:r>
        <w:rPr>
          <w:color w:val="231F20"/>
          <w:spacing w:val="-2"/>
        </w:rPr>
        <w:t> </w:t>
      </w:r>
      <w:r>
        <w:rPr>
          <w:color w:val="231F20"/>
        </w:rPr>
        <w:t>(см.</w:t>
      </w:r>
      <w:r>
        <w:rPr>
          <w:color w:val="231F20"/>
          <w:spacing w:val="-2"/>
        </w:rPr>
        <w:t> </w:t>
      </w:r>
      <w:r>
        <w:rPr>
          <w:color w:val="231F20"/>
        </w:rPr>
        <w:t>рис.</w:t>
      </w:r>
      <w:r>
        <w:rPr>
          <w:color w:val="231F20"/>
          <w:spacing w:val="-2"/>
        </w:rPr>
        <w:t> </w:t>
      </w:r>
      <w:r>
        <w:rPr>
          <w:color w:val="231F20"/>
        </w:rPr>
        <w:t>на</w:t>
      </w:r>
      <w:r>
        <w:rPr>
          <w:color w:val="231F20"/>
          <w:spacing w:val="-2"/>
        </w:rPr>
        <w:t> </w:t>
      </w:r>
      <w:r>
        <w:rPr>
          <w:color w:val="231F20"/>
        </w:rPr>
        <w:t>стр.</w:t>
      </w:r>
      <w:r>
        <w:rPr>
          <w:color w:val="231F20"/>
          <w:spacing w:val="-2"/>
        </w:rPr>
        <w:t> </w:t>
      </w:r>
      <w:r>
        <w:rPr>
          <w:color w:val="231F20"/>
          <w:spacing w:val="-5"/>
        </w:rPr>
        <w:t>88)</w:t>
      </w:r>
    </w:p>
    <w:p>
      <w:pPr>
        <w:pStyle w:val="ListParagraph"/>
        <w:numPr>
          <w:ilvl w:val="0"/>
          <w:numId w:val="253"/>
        </w:numPr>
        <w:tabs>
          <w:tab w:pos="859" w:val="left" w:leader="none"/>
        </w:tabs>
        <w:spacing w:line="240" w:lineRule="auto" w:before="0" w:after="0"/>
        <w:ind w:left="141" w:right="139" w:firstLine="283"/>
        <w:jc w:val="both"/>
        <w:rPr>
          <w:rFonts w:ascii="Calibri" w:hAnsi="Calibri"/>
          <w:b/>
          <w:color w:val="231F20"/>
          <w:sz w:val="20"/>
        </w:rPr>
      </w:pPr>
      <w:r>
        <w:rPr>
          <w:color w:val="231F20"/>
          <w:spacing w:val="-2"/>
          <w:sz w:val="20"/>
        </w:rPr>
        <w:t>Восприятие</w:t>
      </w:r>
      <w:r>
        <w:rPr>
          <w:color w:val="231F20"/>
          <w:spacing w:val="-4"/>
          <w:sz w:val="20"/>
        </w:rPr>
        <w:t> </w:t>
      </w:r>
      <w:r>
        <w:rPr>
          <w:color w:val="231F20"/>
          <w:spacing w:val="-2"/>
          <w:sz w:val="20"/>
        </w:rPr>
        <w:t>культурного</w:t>
      </w:r>
      <w:r>
        <w:rPr>
          <w:color w:val="231F20"/>
          <w:spacing w:val="-4"/>
          <w:sz w:val="20"/>
        </w:rPr>
        <w:t> </w:t>
      </w:r>
      <w:r>
        <w:rPr>
          <w:color w:val="231F20"/>
          <w:spacing w:val="-2"/>
          <w:sz w:val="20"/>
        </w:rPr>
        <w:t>разнообразия</w:t>
      </w:r>
      <w:r>
        <w:rPr>
          <w:color w:val="231F20"/>
          <w:spacing w:val="-4"/>
          <w:sz w:val="20"/>
        </w:rPr>
        <w:t> </w:t>
      </w:r>
      <w:r>
        <w:rPr>
          <w:color w:val="231F20"/>
          <w:spacing w:val="-2"/>
          <w:sz w:val="20"/>
        </w:rPr>
        <w:t>как</w:t>
      </w:r>
      <w:r>
        <w:rPr>
          <w:color w:val="231F20"/>
          <w:spacing w:val="-4"/>
          <w:sz w:val="20"/>
        </w:rPr>
        <w:t> </w:t>
      </w:r>
      <w:r>
        <w:rPr>
          <w:b/>
          <w:color w:val="231F20"/>
          <w:spacing w:val="-2"/>
          <w:sz w:val="20"/>
        </w:rPr>
        <w:t>ценного</w:t>
      </w:r>
      <w:r>
        <w:rPr>
          <w:b/>
          <w:color w:val="231F20"/>
          <w:spacing w:val="-4"/>
          <w:sz w:val="20"/>
        </w:rPr>
        <w:t> </w:t>
      </w:r>
      <w:r>
        <w:rPr>
          <w:b/>
          <w:color w:val="231F20"/>
          <w:spacing w:val="-2"/>
          <w:sz w:val="20"/>
        </w:rPr>
        <w:t>ресурса</w:t>
      </w:r>
      <w:r>
        <w:rPr>
          <w:b/>
          <w:color w:val="231F20"/>
          <w:spacing w:val="-4"/>
          <w:sz w:val="20"/>
        </w:rPr>
        <w:t> </w:t>
      </w:r>
      <w:r>
        <w:rPr>
          <w:color w:val="231F20"/>
          <w:spacing w:val="-2"/>
          <w:sz w:val="20"/>
        </w:rPr>
        <w:t>-</w:t>
      </w:r>
      <w:r>
        <w:rPr>
          <w:color w:val="231F20"/>
          <w:spacing w:val="-4"/>
          <w:sz w:val="20"/>
        </w:rPr>
        <w:t> </w:t>
      </w:r>
      <w:r>
        <w:rPr>
          <w:color w:val="231F20"/>
          <w:spacing w:val="-2"/>
          <w:sz w:val="20"/>
        </w:rPr>
        <w:t>это</w:t>
      </w:r>
      <w:r>
        <w:rPr>
          <w:color w:val="231F20"/>
          <w:spacing w:val="-4"/>
          <w:sz w:val="20"/>
        </w:rPr>
        <w:t> </w:t>
      </w:r>
      <w:r>
        <w:rPr>
          <w:color w:val="231F20"/>
          <w:spacing w:val="-2"/>
          <w:sz w:val="20"/>
        </w:rPr>
        <w:t>представле- </w:t>
      </w:r>
      <w:r>
        <w:rPr>
          <w:color w:val="231F20"/>
          <w:sz w:val="20"/>
        </w:rPr>
        <w:t>ние</w:t>
      </w:r>
      <w:r>
        <w:rPr>
          <w:color w:val="231F20"/>
          <w:spacing w:val="-13"/>
          <w:sz w:val="20"/>
        </w:rPr>
        <w:t> </w:t>
      </w:r>
      <w:r>
        <w:rPr>
          <w:color w:val="231F20"/>
          <w:sz w:val="20"/>
        </w:rPr>
        <w:t>о</w:t>
      </w:r>
      <w:r>
        <w:rPr>
          <w:color w:val="231F20"/>
          <w:spacing w:val="-12"/>
          <w:sz w:val="20"/>
        </w:rPr>
        <w:t> </w:t>
      </w:r>
      <w:r>
        <w:rPr>
          <w:color w:val="231F20"/>
          <w:sz w:val="20"/>
        </w:rPr>
        <w:t>разнообразии</w:t>
      </w:r>
      <w:r>
        <w:rPr>
          <w:color w:val="231F20"/>
          <w:spacing w:val="-13"/>
          <w:sz w:val="20"/>
        </w:rPr>
        <w:t> </w:t>
      </w:r>
      <w:r>
        <w:rPr>
          <w:color w:val="231F20"/>
          <w:sz w:val="20"/>
        </w:rPr>
        <w:t>как</w:t>
      </w:r>
      <w:r>
        <w:rPr>
          <w:color w:val="231F20"/>
          <w:spacing w:val="-12"/>
          <w:sz w:val="20"/>
        </w:rPr>
        <w:t> </w:t>
      </w:r>
      <w:r>
        <w:rPr>
          <w:color w:val="231F20"/>
          <w:sz w:val="20"/>
        </w:rPr>
        <w:t>о</w:t>
      </w:r>
      <w:r>
        <w:rPr>
          <w:color w:val="231F20"/>
          <w:spacing w:val="-13"/>
          <w:sz w:val="20"/>
        </w:rPr>
        <w:t> </w:t>
      </w:r>
      <w:r>
        <w:rPr>
          <w:color w:val="231F20"/>
          <w:sz w:val="20"/>
        </w:rPr>
        <w:t>том,</w:t>
      </w:r>
      <w:r>
        <w:rPr>
          <w:color w:val="231F20"/>
          <w:spacing w:val="-12"/>
          <w:sz w:val="20"/>
        </w:rPr>
        <w:t> </w:t>
      </w:r>
      <w:r>
        <w:rPr>
          <w:color w:val="231F20"/>
          <w:sz w:val="20"/>
        </w:rPr>
        <w:t>что</w:t>
      </w:r>
      <w:r>
        <w:rPr>
          <w:color w:val="231F20"/>
          <w:spacing w:val="-13"/>
          <w:sz w:val="20"/>
        </w:rPr>
        <w:t> </w:t>
      </w:r>
      <w:r>
        <w:rPr>
          <w:color w:val="231F20"/>
          <w:sz w:val="20"/>
        </w:rPr>
        <w:t>следует</w:t>
      </w:r>
      <w:r>
        <w:rPr>
          <w:color w:val="231F20"/>
          <w:spacing w:val="-12"/>
          <w:sz w:val="20"/>
        </w:rPr>
        <w:t> </w:t>
      </w:r>
      <w:r>
        <w:rPr>
          <w:color w:val="231F20"/>
          <w:sz w:val="20"/>
        </w:rPr>
        <w:t>поощрять,</w:t>
      </w:r>
      <w:r>
        <w:rPr>
          <w:color w:val="231F20"/>
          <w:spacing w:val="-13"/>
          <w:sz w:val="20"/>
        </w:rPr>
        <w:t> </w:t>
      </w:r>
      <w:r>
        <w:rPr>
          <w:color w:val="231F20"/>
          <w:sz w:val="20"/>
        </w:rPr>
        <w:t>поддерживать</w:t>
      </w:r>
      <w:r>
        <w:rPr>
          <w:color w:val="231F20"/>
          <w:spacing w:val="-12"/>
          <w:sz w:val="20"/>
        </w:rPr>
        <w:t> </w:t>
      </w:r>
      <w:r>
        <w:rPr>
          <w:color w:val="231F20"/>
          <w:sz w:val="20"/>
        </w:rPr>
        <w:t>и</w:t>
      </w:r>
      <w:r>
        <w:rPr>
          <w:color w:val="231F20"/>
          <w:spacing w:val="-13"/>
          <w:sz w:val="20"/>
        </w:rPr>
        <w:t> </w:t>
      </w:r>
      <w:r>
        <w:rPr>
          <w:color w:val="231F20"/>
          <w:sz w:val="20"/>
        </w:rPr>
        <w:t>продвигать.</w:t>
      </w:r>
      <w:r>
        <w:rPr>
          <w:color w:val="231F20"/>
          <w:spacing w:val="-12"/>
          <w:sz w:val="20"/>
        </w:rPr>
        <w:t> </w:t>
      </w:r>
      <w:r>
        <w:rPr>
          <w:color w:val="231F20"/>
          <w:sz w:val="20"/>
        </w:rPr>
        <w:t>Оно может проявляться в следующих аспектах: осознание преимуществ поликультурно- сти образовательной среды; понимание ценности культурных различий; восприятие каждой культуры как источника уникальных ресурсов, значимых для образования; понимание того, что для успешной адаптации детей-мигрантов важно подчеркивать значимость культуры страны исхода.</w:t>
      </w:r>
    </w:p>
    <w:p>
      <w:pPr>
        <w:pStyle w:val="BodyText"/>
        <w:spacing w:line="242" w:lineRule="auto"/>
      </w:pPr>
      <w:r>
        <w:rPr>
          <w:color w:val="231F20"/>
        </w:rPr>
        <w:t>Представление о ценности культурного разнообразия является сочетанием: 1 – высокой</w:t>
      </w:r>
      <w:r>
        <w:rPr>
          <w:color w:val="231F20"/>
          <w:spacing w:val="-9"/>
        </w:rPr>
        <w:t> </w:t>
      </w:r>
      <w:r>
        <w:rPr>
          <w:color w:val="231F20"/>
        </w:rPr>
        <w:t>оценки</w:t>
      </w:r>
      <w:r>
        <w:rPr>
          <w:color w:val="231F20"/>
          <w:spacing w:val="-10"/>
        </w:rPr>
        <w:t> </w:t>
      </w:r>
      <w:r>
        <w:rPr>
          <w:color w:val="231F20"/>
        </w:rPr>
        <w:t>его</w:t>
      </w:r>
      <w:r>
        <w:rPr>
          <w:color w:val="231F20"/>
          <w:spacing w:val="-9"/>
        </w:rPr>
        <w:t> </w:t>
      </w:r>
      <w:r>
        <w:rPr>
          <w:color w:val="231F20"/>
        </w:rPr>
        <w:t>как</w:t>
      </w:r>
      <w:r>
        <w:rPr>
          <w:color w:val="231F20"/>
          <w:spacing w:val="-10"/>
        </w:rPr>
        <w:t> </w:t>
      </w:r>
      <w:r>
        <w:rPr>
          <w:color w:val="231F20"/>
        </w:rPr>
        <w:t>ресурса</w:t>
      </w:r>
      <w:r>
        <w:rPr>
          <w:color w:val="231F20"/>
          <w:spacing w:val="-9"/>
        </w:rPr>
        <w:t> </w:t>
      </w:r>
      <w:r>
        <w:rPr>
          <w:color w:val="231F20"/>
        </w:rPr>
        <w:t>и</w:t>
      </w:r>
      <w:r>
        <w:rPr>
          <w:color w:val="231F20"/>
          <w:spacing w:val="-10"/>
        </w:rPr>
        <w:t> </w:t>
      </w:r>
      <w:r>
        <w:rPr>
          <w:color w:val="231F20"/>
        </w:rPr>
        <w:t>2</w:t>
      </w:r>
      <w:r>
        <w:rPr>
          <w:color w:val="231F20"/>
          <w:spacing w:val="-9"/>
        </w:rPr>
        <w:t> </w:t>
      </w:r>
      <w:r>
        <w:rPr>
          <w:color w:val="231F20"/>
        </w:rPr>
        <w:t>–</w:t>
      </w:r>
      <w:r>
        <w:rPr>
          <w:color w:val="231F20"/>
          <w:spacing w:val="-9"/>
        </w:rPr>
        <w:t> </w:t>
      </w:r>
      <w:r>
        <w:rPr>
          <w:color w:val="231F20"/>
        </w:rPr>
        <w:t>представления</w:t>
      </w:r>
      <w:r>
        <w:rPr>
          <w:color w:val="231F20"/>
          <w:spacing w:val="-9"/>
        </w:rPr>
        <w:t> </w:t>
      </w:r>
      <w:r>
        <w:rPr>
          <w:color w:val="231F20"/>
        </w:rPr>
        <w:t>об</w:t>
      </w:r>
      <w:r>
        <w:rPr>
          <w:color w:val="231F20"/>
          <w:spacing w:val="-10"/>
        </w:rPr>
        <w:t> </w:t>
      </w:r>
      <w:r>
        <w:rPr>
          <w:color w:val="231F20"/>
        </w:rPr>
        <w:t>отсутствии</w:t>
      </w:r>
      <w:r>
        <w:rPr>
          <w:color w:val="231F20"/>
          <w:spacing w:val="-9"/>
        </w:rPr>
        <w:t> </w:t>
      </w:r>
      <w:r>
        <w:rPr>
          <w:color w:val="231F20"/>
        </w:rPr>
        <w:t>(или</w:t>
      </w:r>
      <w:r>
        <w:rPr>
          <w:color w:val="231F20"/>
          <w:spacing w:val="-9"/>
        </w:rPr>
        <w:t> </w:t>
      </w:r>
      <w:r>
        <w:rPr>
          <w:color w:val="231F20"/>
        </w:rPr>
        <w:t>незначитель- ности / небольшом количестве) проблем, которые оно несет.</w:t>
      </w:r>
    </w:p>
    <w:p>
      <w:pPr>
        <w:pStyle w:val="BodyText"/>
        <w:spacing w:after="0" w:line="242" w:lineRule="auto"/>
        <w:sectPr>
          <w:pgSz w:w="8400" w:h="11910"/>
          <w:pgMar w:header="0" w:footer="529" w:top="400" w:bottom="740" w:left="425" w:right="425"/>
        </w:sectPr>
      </w:pPr>
    </w:p>
    <w:p>
      <w:pPr>
        <w:spacing w:before="80"/>
        <w:ind w:left="141" w:right="0" w:firstLine="0"/>
        <w:jc w:val="left"/>
        <w:rPr>
          <w:rFonts w:ascii="Georgia" w:hAnsi="Georgia"/>
          <w:sz w:val="18"/>
        </w:rPr>
      </w:pPr>
      <w:r>
        <w:rPr>
          <w:rFonts w:ascii="Georgia" w:hAnsi="Georgia"/>
          <w:color w:val="231F20"/>
          <w:sz w:val="18"/>
        </w:rPr>
        <w:t>2.3.</w:t>
      </w:r>
      <w:r>
        <w:rPr>
          <w:rFonts w:ascii="Georgia" w:hAnsi="Georgia"/>
          <w:color w:val="231F20"/>
          <w:spacing w:val="-4"/>
          <w:sz w:val="18"/>
        </w:rPr>
        <w:t> </w:t>
      </w:r>
      <w:r>
        <w:rPr>
          <w:rFonts w:ascii="Georgia" w:hAnsi="Georgia"/>
          <w:color w:val="231F20"/>
          <w:sz w:val="18"/>
        </w:rPr>
        <w:t>Проведение</w:t>
      </w:r>
      <w:r>
        <w:rPr>
          <w:rFonts w:ascii="Georgia" w:hAnsi="Georgia"/>
          <w:color w:val="231F20"/>
          <w:spacing w:val="-4"/>
          <w:sz w:val="18"/>
        </w:rPr>
        <w:t> </w:t>
      </w:r>
      <w:r>
        <w:rPr>
          <w:rFonts w:ascii="Georgia" w:hAnsi="Georgia"/>
          <w:color w:val="231F20"/>
          <w:sz w:val="18"/>
        </w:rPr>
        <w:t>обучающих</w:t>
      </w:r>
      <w:r>
        <w:rPr>
          <w:rFonts w:ascii="Georgia" w:hAnsi="Georgia"/>
          <w:color w:val="231F20"/>
          <w:spacing w:val="-4"/>
          <w:sz w:val="18"/>
        </w:rPr>
        <w:t> </w:t>
      </w:r>
      <w:r>
        <w:rPr>
          <w:rFonts w:ascii="Georgia" w:hAnsi="Georgia"/>
          <w:color w:val="231F20"/>
          <w:sz w:val="18"/>
        </w:rPr>
        <w:t>семинаров</w:t>
      </w:r>
      <w:r>
        <w:rPr>
          <w:rFonts w:ascii="Georgia" w:hAnsi="Georgia"/>
          <w:color w:val="231F20"/>
          <w:spacing w:val="-3"/>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педагогов</w:t>
      </w:r>
      <w:r>
        <w:rPr>
          <w:rFonts w:ascii="Georgia" w:hAnsi="Georgia"/>
          <w:color w:val="231F20"/>
          <w:spacing w:val="-4"/>
          <w:sz w:val="18"/>
        </w:rPr>
        <w:t> </w:t>
      </w:r>
      <w:r>
        <w:rPr>
          <w:rFonts w:ascii="Georgia" w:hAnsi="Georgia"/>
          <w:color w:val="231F20"/>
          <w:sz w:val="18"/>
        </w:rPr>
        <w:t>на</w:t>
      </w:r>
      <w:r>
        <w:rPr>
          <w:rFonts w:ascii="Georgia" w:hAnsi="Georgia"/>
          <w:color w:val="231F20"/>
          <w:spacing w:val="-4"/>
          <w:sz w:val="18"/>
        </w:rPr>
        <w:t> </w:t>
      </w:r>
      <w:r>
        <w:rPr>
          <w:rFonts w:ascii="Georgia" w:hAnsi="Georgia"/>
          <w:color w:val="231F20"/>
          <w:sz w:val="18"/>
        </w:rPr>
        <w:t>основе</w:t>
      </w:r>
      <w:r>
        <w:rPr>
          <w:rFonts w:ascii="Georgia" w:hAnsi="Georgia"/>
          <w:color w:val="231F20"/>
          <w:spacing w:val="-3"/>
          <w:sz w:val="18"/>
        </w:rPr>
        <w:t> </w:t>
      </w:r>
      <w:r>
        <w:rPr>
          <w:rFonts w:ascii="Georgia" w:hAnsi="Georgia"/>
          <w:color w:val="231F20"/>
          <w:sz w:val="18"/>
        </w:rPr>
        <w:t>модели</w:t>
      </w:r>
      <w:r>
        <w:rPr>
          <w:rFonts w:ascii="Georgia" w:hAnsi="Georgia"/>
          <w:color w:val="231F20"/>
          <w:spacing w:val="-4"/>
          <w:sz w:val="18"/>
        </w:rPr>
        <w:t> DOPA</w:t>
      </w:r>
    </w:p>
    <w:p>
      <w:pPr>
        <w:pStyle w:val="BodyText"/>
        <w:ind w:left="0" w:right="0" w:firstLine="0"/>
        <w:jc w:val="left"/>
        <w:rPr>
          <w:rFonts w:ascii="Georgia"/>
          <w:sz w:val="12"/>
        </w:rPr>
      </w:pPr>
      <w:r>
        <w:rPr>
          <w:rFonts w:ascii="Georgia"/>
          <w:sz w:val="12"/>
        </w:rPr>
        <w:drawing>
          <wp:anchor distT="0" distB="0" distL="0" distR="0" allowOverlap="1" layoutInCell="1" locked="0" behindDoc="1" simplePos="0" relativeHeight="487638528">
            <wp:simplePos x="0" y="0"/>
            <wp:positionH relativeFrom="page">
              <wp:posOffset>471817</wp:posOffset>
            </wp:positionH>
            <wp:positionV relativeFrom="paragraph">
              <wp:posOffset>101827</wp:posOffset>
            </wp:positionV>
            <wp:extent cx="4307621" cy="3238500"/>
            <wp:effectExtent l="0" t="0" r="0" b="0"/>
            <wp:wrapTopAndBottom/>
            <wp:docPr id="154" name="Image 154"/>
            <wp:cNvGraphicFramePr>
              <a:graphicFrameLocks/>
            </wp:cNvGraphicFramePr>
            <a:graphic>
              <a:graphicData uri="http://schemas.openxmlformats.org/drawingml/2006/picture">
                <pic:pic>
                  <pic:nvPicPr>
                    <pic:cNvPr id="154" name="Image 154"/>
                    <pic:cNvPicPr/>
                  </pic:nvPicPr>
                  <pic:blipFill>
                    <a:blip r:embed="rId224" cstate="print"/>
                    <a:stretch>
                      <a:fillRect/>
                    </a:stretch>
                  </pic:blipFill>
                  <pic:spPr>
                    <a:xfrm>
                      <a:off x="0" y="0"/>
                      <a:ext cx="4307621" cy="3238500"/>
                    </a:xfrm>
                    <a:prstGeom prst="rect">
                      <a:avLst/>
                    </a:prstGeom>
                  </pic:spPr>
                </pic:pic>
              </a:graphicData>
            </a:graphic>
          </wp:anchor>
        </w:drawing>
      </w:r>
    </w:p>
    <w:p>
      <w:pPr>
        <w:pStyle w:val="BodyText"/>
        <w:spacing w:before="46"/>
        <w:ind w:left="283" w:right="0" w:firstLine="0"/>
        <w:jc w:val="center"/>
      </w:pPr>
      <w:r>
        <w:rPr>
          <w:color w:val="231F20"/>
        </w:rPr>
        <w:t>Рис.</w:t>
      </w:r>
      <w:r>
        <w:rPr>
          <w:color w:val="231F20"/>
          <w:spacing w:val="-8"/>
        </w:rPr>
        <w:t> </w:t>
      </w:r>
      <w:r>
        <w:rPr>
          <w:color w:val="231F20"/>
        </w:rPr>
        <w:t>Модель</w:t>
      </w:r>
      <w:r>
        <w:rPr>
          <w:color w:val="231F20"/>
          <w:spacing w:val="-7"/>
        </w:rPr>
        <w:t> </w:t>
      </w:r>
      <w:r>
        <w:rPr>
          <w:color w:val="231F20"/>
          <w:spacing w:val="-2"/>
        </w:rPr>
        <w:t>«ДОПА»</w:t>
      </w:r>
    </w:p>
    <w:p>
      <w:pPr>
        <w:pStyle w:val="ListParagraph"/>
        <w:numPr>
          <w:ilvl w:val="0"/>
          <w:numId w:val="253"/>
        </w:numPr>
        <w:tabs>
          <w:tab w:pos="776" w:val="left" w:leader="none"/>
        </w:tabs>
        <w:spacing w:line="235" w:lineRule="auto" w:before="180" w:after="0"/>
        <w:ind w:left="141" w:right="139" w:firstLine="283"/>
        <w:jc w:val="both"/>
        <w:rPr>
          <w:b/>
          <w:color w:val="231F20"/>
          <w:sz w:val="20"/>
        </w:rPr>
      </w:pPr>
      <w:r>
        <w:rPr>
          <w:color w:val="231F20"/>
          <w:sz w:val="20"/>
        </w:rPr>
        <w:t>Восприятие культурного разнообразия как </w:t>
      </w:r>
      <w:r>
        <w:rPr>
          <w:b/>
          <w:color w:val="231F20"/>
          <w:sz w:val="20"/>
        </w:rPr>
        <w:t>проблемы</w:t>
      </w:r>
      <w:r>
        <w:rPr>
          <w:color w:val="231F20"/>
          <w:sz w:val="20"/>
        </w:rPr>
        <w:t>, трудности, которая нуждается в преодолении означает, что педагог</w:t>
      </w:r>
      <w:r>
        <w:rPr>
          <w:color w:val="231F20"/>
          <w:spacing w:val="40"/>
          <w:sz w:val="20"/>
        </w:rPr>
        <w:t> </w:t>
      </w:r>
      <w:r>
        <w:rPr>
          <w:color w:val="231F20"/>
          <w:sz w:val="20"/>
        </w:rPr>
        <w:t>фокусируется на трудностях, с ко- торыми сталкивается система образования и все участники образовательного про- цесса при решении проблем, связанных с разнообразием. Этот вариант отношения</w:t>
      </w:r>
      <w:r>
        <w:rPr>
          <w:color w:val="231F20"/>
          <w:spacing w:val="80"/>
          <w:w w:val="150"/>
          <w:sz w:val="20"/>
        </w:rPr>
        <w:t> </w:t>
      </w:r>
      <w:r>
        <w:rPr>
          <w:color w:val="231F20"/>
          <w:sz w:val="20"/>
        </w:rPr>
        <w:t>к культурным различиям может включать ощущение фрустрации и разочарования (вплоть до эмоционального опустошения), связанные с неэффективностью работы</w:t>
      </w:r>
      <w:r>
        <w:rPr>
          <w:color w:val="231F20"/>
          <w:spacing w:val="80"/>
          <w:w w:val="150"/>
          <w:sz w:val="20"/>
        </w:rPr>
        <w:t> </w:t>
      </w:r>
      <w:r>
        <w:rPr>
          <w:color w:val="231F20"/>
          <w:sz w:val="20"/>
        </w:rPr>
        <w:t>и недостатком поддержки от коллег и родителей; стремление немедленно преодо- леть определенные трудности, совладание с которыми требует времени (например, языковой</w:t>
      </w:r>
      <w:r>
        <w:rPr>
          <w:color w:val="231F20"/>
          <w:spacing w:val="-10"/>
          <w:sz w:val="20"/>
        </w:rPr>
        <w:t> </w:t>
      </w:r>
      <w:r>
        <w:rPr>
          <w:color w:val="231F20"/>
          <w:sz w:val="20"/>
        </w:rPr>
        <w:t>барьер);</w:t>
      </w:r>
      <w:r>
        <w:rPr>
          <w:color w:val="231F20"/>
          <w:spacing w:val="-10"/>
          <w:sz w:val="20"/>
        </w:rPr>
        <w:t> </w:t>
      </w:r>
      <w:r>
        <w:rPr>
          <w:color w:val="231F20"/>
          <w:sz w:val="20"/>
        </w:rPr>
        <w:t>возмущение</w:t>
      </w:r>
      <w:r>
        <w:rPr>
          <w:color w:val="231F20"/>
          <w:spacing w:val="-10"/>
          <w:sz w:val="20"/>
        </w:rPr>
        <w:t> </w:t>
      </w:r>
      <w:r>
        <w:rPr>
          <w:color w:val="231F20"/>
          <w:sz w:val="20"/>
        </w:rPr>
        <w:t>и</w:t>
      </w:r>
      <w:r>
        <w:rPr>
          <w:color w:val="231F20"/>
          <w:spacing w:val="-10"/>
          <w:sz w:val="20"/>
        </w:rPr>
        <w:t> </w:t>
      </w:r>
      <w:r>
        <w:rPr>
          <w:color w:val="231F20"/>
          <w:sz w:val="20"/>
        </w:rPr>
        <w:t>обиду,</w:t>
      </w:r>
      <w:r>
        <w:rPr>
          <w:color w:val="231F20"/>
          <w:spacing w:val="-10"/>
          <w:sz w:val="20"/>
        </w:rPr>
        <w:t> </w:t>
      </w:r>
      <w:r>
        <w:rPr>
          <w:color w:val="231F20"/>
          <w:sz w:val="20"/>
        </w:rPr>
        <w:t>связанные</w:t>
      </w:r>
      <w:r>
        <w:rPr>
          <w:color w:val="231F20"/>
          <w:spacing w:val="-10"/>
          <w:sz w:val="20"/>
        </w:rPr>
        <w:t> </w:t>
      </w:r>
      <w:r>
        <w:rPr>
          <w:color w:val="231F20"/>
          <w:sz w:val="20"/>
        </w:rPr>
        <w:t>с</w:t>
      </w:r>
      <w:r>
        <w:rPr>
          <w:color w:val="231F20"/>
          <w:spacing w:val="-10"/>
          <w:sz w:val="20"/>
        </w:rPr>
        <w:t> </w:t>
      </w:r>
      <w:r>
        <w:rPr>
          <w:color w:val="231F20"/>
          <w:sz w:val="20"/>
        </w:rPr>
        <w:t>возможностью/необходимостью выделения дополнительных ресурсов для адаптации инокультурных детей, а также уверенность, что адаптация детей-мигрантов крайне затруднительна или невозмож- на, особенно если не наблюдаются активные действия со стороны их родителей.</w:t>
      </w:r>
    </w:p>
    <w:p>
      <w:pPr>
        <w:pStyle w:val="BodyText"/>
        <w:spacing w:line="235" w:lineRule="auto" w:before="7"/>
      </w:pPr>
      <w:r>
        <w:rPr>
          <w:color w:val="231F20"/>
        </w:rPr>
        <w:t>Представление о культурном разнообразии как о проблеме является сочетанием: 1</w:t>
      </w:r>
      <w:r>
        <w:rPr>
          <w:color w:val="231F20"/>
          <w:spacing w:val="-4"/>
        </w:rPr>
        <w:t> </w:t>
      </w:r>
      <w:r>
        <w:rPr>
          <w:color w:val="231F20"/>
        </w:rPr>
        <w:t>–</w:t>
      </w:r>
      <w:r>
        <w:rPr>
          <w:color w:val="231F20"/>
          <w:spacing w:val="-4"/>
        </w:rPr>
        <w:t> </w:t>
      </w:r>
      <w:r>
        <w:rPr>
          <w:color w:val="231F20"/>
        </w:rPr>
        <w:t>высокой</w:t>
      </w:r>
      <w:r>
        <w:rPr>
          <w:color w:val="231F20"/>
          <w:spacing w:val="-4"/>
        </w:rPr>
        <w:t> </w:t>
      </w:r>
      <w:r>
        <w:rPr>
          <w:color w:val="231F20"/>
        </w:rPr>
        <w:t>оценки</w:t>
      </w:r>
      <w:r>
        <w:rPr>
          <w:color w:val="231F20"/>
          <w:spacing w:val="-4"/>
        </w:rPr>
        <w:t> </w:t>
      </w:r>
      <w:r>
        <w:rPr>
          <w:color w:val="231F20"/>
        </w:rPr>
        <w:t>его</w:t>
      </w:r>
      <w:r>
        <w:rPr>
          <w:color w:val="231F20"/>
          <w:spacing w:val="-4"/>
        </w:rPr>
        <w:t> </w:t>
      </w:r>
      <w:r>
        <w:rPr>
          <w:color w:val="231F20"/>
        </w:rPr>
        <w:t>как</w:t>
      </w:r>
      <w:r>
        <w:rPr>
          <w:color w:val="231F20"/>
          <w:spacing w:val="-4"/>
        </w:rPr>
        <w:t> </w:t>
      </w:r>
      <w:r>
        <w:rPr>
          <w:color w:val="231F20"/>
        </w:rPr>
        <w:t>ресурса</w:t>
      </w:r>
      <w:r>
        <w:rPr>
          <w:color w:val="231F20"/>
          <w:spacing w:val="-4"/>
        </w:rPr>
        <w:t> </w:t>
      </w:r>
      <w:r>
        <w:rPr>
          <w:color w:val="231F20"/>
        </w:rPr>
        <w:t>и</w:t>
      </w:r>
      <w:r>
        <w:rPr>
          <w:color w:val="231F20"/>
          <w:spacing w:val="-4"/>
        </w:rPr>
        <w:t> </w:t>
      </w:r>
      <w:r>
        <w:rPr>
          <w:color w:val="231F20"/>
        </w:rPr>
        <w:t>2</w:t>
      </w:r>
      <w:r>
        <w:rPr>
          <w:color w:val="231F20"/>
          <w:spacing w:val="-4"/>
        </w:rPr>
        <w:t> </w:t>
      </w:r>
      <w:r>
        <w:rPr>
          <w:color w:val="231F20"/>
        </w:rPr>
        <w:t>–</w:t>
      </w:r>
      <w:r>
        <w:rPr>
          <w:color w:val="231F20"/>
          <w:spacing w:val="-4"/>
        </w:rPr>
        <w:t> </w:t>
      </w:r>
      <w:r>
        <w:rPr>
          <w:color w:val="231F20"/>
        </w:rPr>
        <w:t>представления</w:t>
      </w:r>
      <w:r>
        <w:rPr>
          <w:color w:val="231F20"/>
          <w:spacing w:val="-4"/>
        </w:rPr>
        <w:t> </w:t>
      </w:r>
      <w:r>
        <w:rPr>
          <w:color w:val="231F20"/>
        </w:rPr>
        <w:t>о</w:t>
      </w:r>
      <w:r>
        <w:rPr>
          <w:color w:val="231F20"/>
          <w:spacing w:val="-4"/>
        </w:rPr>
        <w:t> </w:t>
      </w:r>
      <w:r>
        <w:rPr>
          <w:color w:val="231F20"/>
        </w:rPr>
        <w:t>наличии</w:t>
      </w:r>
      <w:r>
        <w:rPr>
          <w:color w:val="231F20"/>
          <w:spacing w:val="-4"/>
        </w:rPr>
        <w:t> </w:t>
      </w:r>
      <w:r>
        <w:rPr>
          <w:color w:val="231F20"/>
        </w:rPr>
        <w:t>трудностей,</w:t>
      </w:r>
      <w:r>
        <w:rPr>
          <w:color w:val="231F20"/>
          <w:spacing w:val="-4"/>
        </w:rPr>
        <w:t> </w:t>
      </w:r>
      <w:r>
        <w:rPr>
          <w:color w:val="231F20"/>
        </w:rPr>
        <w:t>кото- рые оно несет.</w:t>
      </w:r>
    </w:p>
    <w:p>
      <w:pPr>
        <w:pStyle w:val="ListParagraph"/>
        <w:numPr>
          <w:ilvl w:val="0"/>
          <w:numId w:val="253"/>
        </w:numPr>
        <w:tabs>
          <w:tab w:pos="619" w:val="left" w:leader="none"/>
        </w:tabs>
        <w:spacing w:line="235" w:lineRule="auto" w:before="182" w:after="0"/>
        <w:ind w:left="141" w:right="139" w:firstLine="283"/>
        <w:jc w:val="both"/>
        <w:rPr>
          <w:b/>
          <w:color w:val="231F20"/>
          <w:sz w:val="20"/>
        </w:rPr>
      </w:pPr>
      <w:r>
        <w:rPr>
          <w:color w:val="231F20"/>
          <w:sz w:val="20"/>
        </w:rPr>
        <w:t>Восприятие</w:t>
      </w:r>
      <w:r>
        <w:rPr>
          <w:color w:val="231F20"/>
          <w:spacing w:val="-13"/>
          <w:sz w:val="20"/>
        </w:rPr>
        <w:t> </w:t>
      </w:r>
      <w:r>
        <w:rPr>
          <w:color w:val="231F20"/>
          <w:sz w:val="20"/>
        </w:rPr>
        <w:t>культурного</w:t>
      </w:r>
      <w:r>
        <w:rPr>
          <w:color w:val="231F20"/>
          <w:spacing w:val="-12"/>
          <w:sz w:val="20"/>
        </w:rPr>
        <w:t> </w:t>
      </w:r>
      <w:r>
        <w:rPr>
          <w:color w:val="231F20"/>
          <w:sz w:val="20"/>
        </w:rPr>
        <w:t>разнообразия</w:t>
      </w:r>
      <w:r>
        <w:rPr>
          <w:color w:val="231F20"/>
          <w:spacing w:val="-13"/>
          <w:sz w:val="20"/>
        </w:rPr>
        <w:t> </w:t>
      </w:r>
      <w:r>
        <w:rPr>
          <w:color w:val="231F20"/>
          <w:sz w:val="20"/>
        </w:rPr>
        <w:t>как</w:t>
      </w:r>
      <w:r>
        <w:rPr>
          <w:color w:val="231F20"/>
          <w:spacing w:val="-12"/>
          <w:sz w:val="20"/>
        </w:rPr>
        <w:t> </w:t>
      </w:r>
      <w:r>
        <w:rPr>
          <w:b/>
          <w:color w:val="231F20"/>
          <w:sz w:val="20"/>
        </w:rPr>
        <w:t>вызова</w:t>
      </w:r>
      <w:r>
        <w:rPr>
          <w:b/>
          <w:color w:val="231F20"/>
          <w:spacing w:val="-13"/>
          <w:sz w:val="20"/>
        </w:rPr>
        <w:t> </w:t>
      </w:r>
      <w:r>
        <w:rPr>
          <w:color w:val="231F20"/>
          <w:sz w:val="20"/>
        </w:rPr>
        <w:t>означает,</w:t>
      </w:r>
      <w:r>
        <w:rPr>
          <w:color w:val="231F20"/>
          <w:spacing w:val="-12"/>
          <w:sz w:val="20"/>
        </w:rPr>
        <w:t> </w:t>
      </w:r>
      <w:r>
        <w:rPr>
          <w:color w:val="231F20"/>
          <w:sz w:val="20"/>
        </w:rPr>
        <w:t>что</w:t>
      </w:r>
      <w:r>
        <w:rPr>
          <w:color w:val="231F20"/>
          <w:spacing w:val="-13"/>
          <w:sz w:val="20"/>
        </w:rPr>
        <w:t> </w:t>
      </w:r>
      <w:r>
        <w:rPr>
          <w:color w:val="231F20"/>
          <w:sz w:val="20"/>
        </w:rPr>
        <w:t>педагоги</w:t>
      </w:r>
      <w:r>
        <w:rPr>
          <w:color w:val="231F20"/>
          <w:spacing w:val="-12"/>
          <w:sz w:val="20"/>
        </w:rPr>
        <w:t> </w:t>
      </w:r>
      <w:r>
        <w:rPr>
          <w:color w:val="231F20"/>
          <w:sz w:val="20"/>
        </w:rPr>
        <w:t>пони- мают пользу культурного разнообразия для образовательной среды, однако видят в нем</w:t>
      </w:r>
      <w:r>
        <w:rPr>
          <w:color w:val="231F20"/>
          <w:spacing w:val="-12"/>
          <w:sz w:val="20"/>
        </w:rPr>
        <w:t> </w:t>
      </w:r>
      <w:r>
        <w:rPr>
          <w:color w:val="231F20"/>
          <w:sz w:val="20"/>
        </w:rPr>
        <w:t>также</w:t>
      </w:r>
      <w:r>
        <w:rPr>
          <w:color w:val="231F20"/>
          <w:spacing w:val="-12"/>
          <w:sz w:val="20"/>
        </w:rPr>
        <w:t> </w:t>
      </w:r>
      <w:r>
        <w:rPr>
          <w:color w:val="231F20"/>
          <w:sz w:val="20"/>
        </w:rPr>
        <w:t>определенные</w:t>
      </w:r>
      <w:r>
        <w:rPr>
          <w:color w:val="231F20"/>
          <w:spacing w:val="-12"/>
          <w:sz w:val="20"/>
        </w:rPr>
        <w:t> </w:t>
      </w:r>
      <w:r>
        <w:rPr>
          <w:color w:val="231F20"/>
          <w:sz w:val="20"/>
        </w:rPr>
        <w:t>риски,</w:t>
      </w:r>
      <w:r>
        <w:rPr>
          <w:color w:val="231F20"/>
          <w:spacing w:val="-12"/>
          <w:sz w:val="20"/>
        </w:rPr>
        <w:t> </w:t>
      </w:r>
      <w:r>
        <w:rPr>
          <w:color w:val="231F20"/>
          <w:sz w:val="20"/>
        </w:rPr>
        <w:t>требующие</w:t>
      </w:r>
      <w:r>
        <w:rPr>
          <w:color w:val="231F20"/>
          <w:spacing w:val="-12"/>
          <w:sz w:val="20"/>
        </w:rPr>
        <w:t> </w:t>
      </w:r>
      <w:r>
        <w:rPr>
          <w:color w:val="231F20"/>
          <w:sz w:val="20"/>
        </w:rPr>
        <w:t>приложения</w:t>
      </w:r>
      <w:r>
        <w:rPr>
          <w:color w:val="231F20"/>
          <w:spacing w:val="-12"/>
          <w:sz w:val="20"/>
        </w:rPr>
        <w:t> </w:t>
      </w:r>
      <w:r>
        <w:rPr>
          <w:color w:val="231F20"/>
          <w:sz w:val="20"/>
        </w:rPr>
        <w:t>усилий</w:t>
      </w:r>
      <w:r>
        <w:rPr>
          <w:color w:val="231F20"/>
          <w:spacing w:val="-12"/>
          <w:sz w:val="20"/>
        </w:rPr>
        <w:t> </w:t>
      </w:r>
      <w:r>
        <w:rPr>
          <w:color w:val="231F20"/>
          <w:sz w:val="20"/>
        </w:rPr>
        <w:t>и</w:t>
      </w:r>
      <w:r>
        <w:rPr>
          <w:color w:val="231F20"/>
          <w:spacing w:val="-12"/>
          <w:sz w:val="20"/>
        </w:rPr>
        <w:t> </w:t>
      </w:r>
      <w:r>
        <w:rPr>
          <w:color w:val="231F20"/>
          <w:sz w:val="20"/>
        </w:rPr>
        <w:t>ресурсов.</w:t>
      </w:r>
      <w:r>
        <w:rPr>
          <w:color w:val="231F20"/>
          <w:spacing w:val="-12"/>
          <w:sz w:val="20"/>
        </w:rPr>
        <w:t> </w:t>
      </w:r>
      <w:r>
        <w:rPr>
          <w:color w:val="231F20"/>
          <w:sz w:val="20"/>
        </w:rPr>
        <w:t>Отноше- ние</w:t>
      </w:r>
      <w:r>
        <w:rPr>
          <w:color w:val="231F20"/>
          <w:spacing w:val="-2"/>
          <w:sz w:val="20"/>
        </w:rPr>
        <w:t> </w:t>
      </w:r>
      <w:r>
        <w:rPr>
          <w:color w:val="231F20"/>
          <w:sz w:val="20"/>
        </w:rPr>
        <w:t>к</w:t>
      </w:r>
      <w:r>
        <w:rPr>
          <w:color w:val="231F20"/>
          <w:spacing w:val="-2"/>
          <w:sz w:val="20"/>
        </w:rPr>
        <w:t> </w:t>
      </w:r>
      <w:r>
        <w:rPr>
          <w:color w:val="231F20"/>
          <w:sz w:val="20"/>
        </w:rPr>
        <w:t>различиям</w:t>
      </w:r>
      <w:r>
        <w:rPr>
          <w:color w:val="231F20"/>
          <w:spacing w:val="-2"/>
          <w:sz w:val="20"/>
        </w:rPr>
        <w:t> </w:t>
      </w:r>
      <w:r>
        <w:rPr>
          <w:color w:val="231F20"/>
          <w:sz w:val="20"/>
        </w:rPr>
        <w:t>как</w:t>
      </w:r>
      <w:r>
        <w:rPr>
          <w:color w:val="231F20"/>
          <w:spacing w:val="-2"/>
          <w:sz w:val="20"/>
        </w:rPr>
        <w:t> </w:t>
      </w:r>
      <w:r>
        <w:rPr>
          <w:color w:val="231F20"/>
          <w:sz w:val="20"/>
        </w:rPr>
        <w:t>к</w:t>
      </w:r>
      <w:r>
        <w:rPr>
          <w:color w:val="231F20"/>
          <w:spacing w:val="-2"/>
          <w:sz w:val="20"/>
        </w:rPr>
        <w:t> </w:t>
      </w:r>
      <w:r>
        <w:rPr>
          <w:color w:val="231F20"/>
          <w:sz w:val="20"/>
        </w:rPr>
        <w:t>вызову</w:t>
      </w:r>
      <w:r>
        <w:rPr>
          <w:color w:val="231F20"/>
          <w:spacing w:val="-2"/>
          <w:sz w:val="20"/>
        </w:rPr>
        <w:t> </w:t>
      </w:r>
      <w:r>
        <w:rPr>
          <w:color w:val="231F20"/>
          <w:sz w:val="20"/>
        </w:rPr>
        <w:t>может</w:t>
      </w:r>
      <w:r>
        <w:rPr>
          <w:color w:val="231F20"/>
          <w:spacing w:val="-2"/>
          <w:sz w:val="20"/>
        </w:rPr>
        <w:t> </w:t>
      </w:r>
      <w:r>
        <w:rPr>
          <w:color w:val="231F20"/>
          <w:sz w:val="20"/>
        </w:rPr>
        <w:t>проявляться</w:t>
      </w:r>
      <w:r>
        <w:rPr>
          <w:color w:val="231F20"/>
          <w:spacing w:val="-2"/>
          <w:sz w:val="20"/>
        </w:rPr>
        <w:t> </w:t>
      </w:r>
      <w:r>
        <w:rPr>
          <w:color w:val="231F20"/>
          <w:sz w:val="20"/>
        </w:rPr>
        <w:t>в</w:t>
      </w:r>
      <w:r>
        <w:rPr>
          <w:color w:val="231F20"/>
          <w:spacing w:val="-2"/>
          <w:sz w:val="20"/>
        </w:rPr>
        <w:t> </w:t>
      </w:r>
      <w:r>
        <w:rPr>
          <w:color w:val="231F20"/>
          <w:sz w:val="20"/>
        </w:rPr>
        <w:t>следующих</w:t>
      </w:r>
      <w:r>
        <w:rPr>
          <w:color w:val="231F20"/>
          <w:spacing w:val="-2"/>
          <w:sz w:val="20"/>
        </w:rPr>
        <w:t> </w:t>
      </w:r>
      <w:r>
        <w:rPr>
          <w:color w:val="231F20"/>
          <w:sz w:val="20"/>
        </w:rPr>
        <w:t>аспектах:</w:t>
      </w:r>
      <w:r>
        <w:rPr>
          <w:color w:val="231F20"/>
          <w:spacing w:val="-2"/>
          <w:sz w:val="20"/>
        </w:rPr>
        <w:t> </w:t>
      </w:r>
      <w:r>
        <w:rPr>
          <w:color w:val="231F20"/>
          <w:sz w:val="20"/>
        </w:rPr>
        <w:t>понимание</w:t>
      </w:r>
    </w:p>
    <w:p>
      <w:pPr>
        <w:pStyle w:val="ListParagraph"/>
        <w:spacing w:after="0" w:line="235" w:lineRule="auto"/>
        <w:jc w:val="both"/>
        <w:rPr>
          <w:b/>
          <w:sz w:val="20"/>
        </w:rPr>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pStyle w:val="BodyText"/>
        <w:spacing w:line="237" w:lineRule="auto" w:before="114"/>
        <w:ind w:firstLine="0"/>
      </w:pPr>
      <w:r>
        <w:rPr>
          <w:color w:val="231F20"/>
        </w:rPr>
        <w:t>возможных стратегий разрешения трудностей, связанных с адаптацией инокультур- ных</w:t>
      </w:r>
      <w:r>
        <w:rPr>
          <w:color w:val="231F20"/>
          <w:spacing w:val="-13"/>
        </w:rPr>
        <w:t> </w:t>
      </w:r>
      <w:r>
        <w:rPr>
          <w:color w:val="231F20"/>
        </w:rPr>
        <w:t>детей;</w:t>
      </w:r>
      <w:r>
        <w:rPr>
          <w:color w:val="231F20"/>
          <w:spacing w:val="-12"/>
        </w:rPr>
        <w:t> </w:t>
      </w:r>
      <w:r>
        <w:rPr>
          <w:color w:val="231F20"/>
        </w:rPr>
        <w:t>осознание</w:t>
      </w:r>
      <w:r>
        <w:rPr>
          <w:color w:val="231F20"/>
          <w:spacing w:val="-13"/>
        </w:rPr>
        <w:t> </w:t>
      </w:r>
      <w:r>
        <w:rPr>
          <w:color w:val="231F20"/>
        </w:rPr>
        <w:t>уникальных</w:t>
      </w:r>
      <w:r>
        <w:rPr>
          <w:color w:val="231F20"/>
          <w:spacing w:val="-12"/>
        </w:rPr>
        <w:t> </w:t>
      </w:r>
      <w:r>
        <w:rPr>
          <w:color w:val="231F20"/>
        </w:rPr>
        <w:t>возможностях</w:t>
      </w:r>
      <w:r>
        <w:rPr>
          <w:color w:val="231F20"/>
          <w:spacing w:val="-13"/>
        </w:rPr>
        <w:t> </w:t>
      </w:r>
      <w:r>
        <w:rPr>
          <w:color w:val="231F20"/>
        </w:rPr>
        <w:t>данной</w:t>
      </w:r>
      <w:r>
        <w:rPr>
          <w:color w:val="231F20"/>
          <w:spacing w:val="-12"/>
        </w:rPr>
        <w:t> </w:t>
      </w:r>
      <w:r>
        <w:rPr>
          <w:color w:val="231F20"/>
        </w:rPr>
        <w:t>ситуации,</w:t>
      </w:r>
      <w:r>
        <w:rPr>
          <w:color w:val="231F20"/>
          <w:spacing w:val="-13"/>
        </w:rPr>
        <w:t> </w:t>
      </w:r>
      <w:r>
        <w:rPr>
          <w:color w:val="231F20"/>
        </w:rPr>
        <w:t>например</w:t>
      </w:r>
      <w:r>
        <w:rPr>
          <w:color w:val="231F20"/>
          <w:spacing w:val="-12"/>
        </w:rPr>
        <w:t> </w:t>
      </w:r>
      <w:r>
        <w:rPr>
          <w:color w:val="231F20"/>
        </w:rPr>
        <w:t>для</w:t>
      </w:r>
      <w:r>
        <w:rPr>
          <w:color w:val="231F20"/>
          <w:spacing w:val="-13"/>
        </w:rPr>
        <w:t> </w:t>
      </w:r>
      <w:r>
        <w:rPr>
          <w:color w:val="231F20"/>
        </w:rPr>
        <w:t>раз- вития</w:t>
      </w:r>
      <w:r>
        <w:rPr>
          <w:color w:val="231F20"/>
          <w:spacing w:val="-13"/>
        </w:rPr>
        <w:t> </w:t>
      </w:r>
      <w:r>
        <w:rPr>
          <w:color w:val="231F20"/>
        </w:rPr>
        <w:t>педагогических</w:t>
      </w:r>
      <w:r>
        <w:rPr>
          <w:color w:val="231F20"/>
          <w:spacing w:val="-12"/>
        </w:rPr>
        <w:t> </w:t>
      </w:r>
      <w:r>
        <w:rPr>
          <w:color w:val="231F20"/>
        </w:rPr>
        <w:t>умений</w:t>
      </w:r>
      <w:r>
        <w:rPr>
          <w:color w:val="231F20"/>
          <w:spacing w:val="-13"/>
        </w:rPr>
        <w:t> </w:t>
      </w:r>
      <w:r>
        <w:rPr>
          <w:color w:val="231F20"/>
        </w:rPr>
        <w:t>и</w:t>
      </w:r>
      <w:r>
        <w:rPr>
          <w:color w:val="231F20"/>
          <w:spacing w:val="-12"/>
        </w:rPr>
        <w:t> </w:t>
      </w:r>
      <w:r>
        <w:rPr>
          <w:color w:val="231F20"/>
        </w:rPr>
        <w:t>навыков;</w:t>
      </w:r>
      <w:r>
        <w:rPr>
          <w:color w:val="231F20"/>
          <w:spacing w:val="-13"/>
        </w:rPr>
        <w:t> </w:t>
      </w:r>
      <w:r>
        <w:rPr>
          <w:color w:val="231F20"/>
        </w:rPr>
        <w:t>понимание</w:t>
      </w:r>
      <w:r>
        <w:rPr>
          <w:color w:val="231F20"/>
          <w:spacing w:val="-12"/>
        </w:rPr>
        <w:t> </w:t>
      </w:r>
      <w:r>
        <w:rPr>
          <w:color w:val="231F20"/>
        </w:rPr>
        <w:t>того,</w:t>
      </w:r>
      <w:r>
        <w:rPr>
          <w:color w:val="231F20"/>
          <w:spacing w:val="-13"/>
        </w:rPr>
        <w:t> </w:t>
      </w:r>
      <w:r>
        <w:rPr>
          <w:color w:val="231F20"/>
        </w:rPr>
        <w:t>как</w:t>
      </w:r>
      <w:r>
        <w:rPr>
          <w:color w:val="231F20"/>
          <w:spacing w:val="-12"/>
        </w:rPr>
        <w:t> </w:t>
      </w:r>
      <w:r>
        <w:rPr>
          <w:color w:val="231F20"/>
        </w:rPr>
        <w:t>трудности,</w:t>
      </w:r>
      <w:r>
        <w:rPr>
          <w:color w:val="231F20"/>
          <w:spacing w:val="-13"/>
        </w:rPr>
        <w:t> </w:t>
      </w:r>
      <w:r>
        <w:rPr>
          <w:color w:val="231F20"/>
        </w:rPr>
        <w:t>связанные</w:t>
      </w:r>
      <w:r>
        <w:rPr>
          <w:color w:val="231F20"/>
          <w:spacing w:val="-12"/>
        </w:rPr>
        <w:t> </w:t>
      </w:r>
      <w:r>
        <w:rPr>
          <w:color w:val="231F20"/>
        </w:rPr>
        <w:t>с культурным</w:t>
      </w:r>
      <w:r>
        <w:rPr>
          <w:color w:val="231F20"/>
          <w:spacing w:val="-13"/>
        </w:rPr>
        <w:t> </w:t>
      </w:r>
      <w:r>
        <w:rPr>
          <w:color w:val="231F20"/>
        </w:rPr>
        <w:t>разнообразием,</w:t>
      </w:r>
      <w:r>
        <w:rPr>
          <w:color w:val="231F20"/>
          <w:spacing w:val="-12"/>
        </w:rPr>
        <w:t> </w:t>
      </w:r>
      <w:r>
        <w:rPr>
          <w:color w:val="231F20"/>
        </w:rPr>
        <w:t>можно</w:t>
      </w:r>
      <w:r>
        <w:rPr>
          <w:color w:val="231F20"/>
          <w:spacing w:val="-13"/>
        </w:rPr>
        <w:t> </w:t>
      </w:r>
      <w:r>
        <w:rPr>
          <w:color w:val="231F20"/>
        </w:rPr>
        <w:t>превратить</w:t>
      </w:r>
      <w:r>
        <w:rPr>
          <w:color w:val="231F20"/>
          <w:spacing w:val="-12"/>
        </w:rPr>
        <w:t> </w:t>
      </w:r>
      <w:r>
        <w:rPr>
          <w:color w:val="231F20"/>
        </w:rPr>
        <w:t>в</w:t>
      </w:r>
      <w:r>
        <w:rPr>
          <w:color w:val="231F20"/>
          <w:spacing w:val="-13"/>
        </w:rPr>
        <w:t> </w:t>
      </w:r>
      <w:r>
        <w:rPr>
          <w:color w:val="231F20"/>
        </w:rPr>
        <w:t>преимущества;</w:t>
      </w:r>
      <w:r>
        <w:rPr>
          <w:color w:val="231F20"/>
          <w:spacing w:val="-12"/>
        </w:rPr>
        <w:t> </w:t>
      </w:r>
      <w:r>
        <w:rPr>
          <w:color w:val="231F20"/>
        </w:rPr>
        <w:t>наличие</w:t>
      </w:r>
      <w:r>
        <w:rPr>
          <w:color w:val="231F20"/>
          <w:spacing w:val="-13"/>
        </w:rPr>
        <w:t> </w:t>
      </w:r>
      <w:r>
        <w:rPr>
          <w:color w:val="231F20"/>
        </w:rPr>
        <w:t>фрустрации и</w:t>
      </w:r>
      <w:r>
        <w:rPr>
          <w:color w:val="231F20"/>
          <w:spacing w:val="-7"/>
        </w:rPr>
        <w:t> </w:t>
      </w:r>
      <w:r>
        <w:rPr>
          <w:color w:val="231F20"/>
        </w:rPr>
        <w:t>разочарования,</w:t>
      </w:r>
      <w:r>
        <w:rPr>
          <w:color w:val="231F20"/>
          <w:spacing w:val="-7"/>
        </w:rPr>
        <w:t> </w:t>
      </w:r>
      <w:r>
        <w:rPr>
          <w:color w:val="231F20"/>
        </w:rPr>
        <w:t>связанных</w:t>
      </w:r>
      <w:r>
        <w:rPr>
          <w:color w:val="231F20"/>
          <w:spacing w:val="-7"/>
        </w:rPr>
        <w:t> </w:t>
      </w:r>
      <w:r>
        <w:rPr>
          <w:color w:val="231F20"/>
        </w:rPr>
        <w:t>с</w:t>
      </w:r>
      <w:r>
        <w:rPr>
          <w:color w:val="231F20"/>
          <w:spacing w:val="-7"/>
        </w:rPr>
        <w:t> </w:t>
      </w:r>
      <w:r>
        <w:rPr>
          <w:color w:val="231F20"/>
        </w:rPr>
        <w:t>работой</w:t>
      </w:r>
      <w:r>
        <w:rPr>
          <w:color w:val="231F20"/>
          <w:spacing w:val="-7"/>
        </w:rPr>
        <w:t> </w:t>
      </w:r>
      <w:r>
        <w:rPr>
          <w:color w:val="231F20"/>
        </w:rPr>
        <w:t>с</w:t>
      </w:r>
      <w:r>
        <w:rPr>
          <w:color w:val="231F20"/>
          <w:spacing w:val="-7"/>
        </w:rPr>
        <w:t> </w:t>
      </w:r>
      <w:r>
        <w:rPr>
          <w:color w:val="231F20"/>
        </w:rPr>
        <w:t>инокультурными</w:t>
      </w:r>
      <w:r>
        <w:rPr>
          <w:color w:val="231F20"/>
          <w:spacing w:val="-7"/>
        </w:rPr>
        <w:t> </w:t>
      </w:r>
      <w:r>
        <w:rPr>
          <w:color w:val="231F20"/>
        </w:rPr>
        <w:t>детьми,</w:t>
      </w:r>
      <w:r>
        <w:rPr>
          <w:color w:val="231F20"/>
          <w:spacing w:val="-7"/>
        </w:rPr>
        <w:t> </w:t>
      </w:r>
      <w:r>
        <w:rPr>
          <w:color w:val="231F20"/>
        </w:rPr>
        <w:t>в</w:t>
      </w:r>
      <w:r>
        <w:rPr>
          <w:color w:val="231F20"/>
          <w:spacing w:val="-7"/>
        </w:rPr>
        <w:t> </w:t>
      </w:r>
      <w:r>
        <w:rPr>
          <w:color w:val="231F20"/>
        </w:rPr>
        <w:t>сочетании</w:t>
      </w:r>
      <w:r>
        <w:rPr>
          <w:color w:val="231F20"/>
          <w:spacing w:val="-7"/>
        </w:rPr>
        <w:t> </w:t>
      </w:r>
      <w:r>
        <w:rPr>
          <w:color w:val="231F20"/>
        </w:rPr>
        <w:t>с</w:t>
      </w:r>
      <w:r>
        <w:rPr>
          <w:color w:val="231F20"/>
          <w:spacing w:val="-7"/>
        </w:rPr>
        <w:t> </w:t>
      </w:r>
      <w:r>
        <w:rPr>
          <w:color w:val="231F20"/>
        </w:rPr>
        <w:t>ощу- щением определенного (пусть и недостаточного) уровня компетентности в данном вопросе и возможности улучшить ситуацию.</w:t>
      </w:r>
    </w:p>
    <w:p>
      <w:pPr>
        <w:pStyle w:val="BodyText"/>
        <w:spacing w:before="172"/>
      </w:pPr>
      <w:r>
        <w:rPr>
          <w:color w:val="231F20"/>
        </w:rPr>
        <w:t>Представление</w:t>
      </w:r>
      <w:r>
        <w:rPr>
          <w:color w:val="231F20"/>
          <w:spacing w:val="-6"/>
        </w:rPr>
        <w:t> </w:t>
      </w:r>
      <w:r>
        <w:rPr>
          <w:color w:val="231F20"/>
        </w:rPr>
        <w:t>о</w:t>
      </w:r>
      <w:r>
        <w:rPr>
          <w:color w:val="231F20"/>
          <w:spacing w:val="-6"/>
        </w:rPr>
        <w:t> </w:t>
      </w:r>
      <w:r>
        <w:rPr>
          <w:color w:val="231F20"/>
        </w:rPr>
        <w:t>культурном</w:t>
      </w:r>
      <w:r>
        <w:rPr>
          <w:color w:val="231F20"/>
          <w:spacing w:val="-6"/>
        </w:rPr>
        <w:t> </w:t>
      </w:r>
      <w:r>
        <w:rPr>
          <w:color w:val="231F20"/>
        </w:rPr>
        <w:t>разнообразии</w:t>
      </w:r>
      <w:r>
        <w:rPr>
          <w:color w:val="231F20"/>
          <w:spacing w:val="-6"/>
        </w:rPr>
        <w:t> </w:t>
      </w:r>
      <w:r>
        <w:rPr>
          <w:color w:val="231F20"/>
        </w:rPr>
        <w:t>как</w:t>
      </w:r>
      <w:r>
        <w:rPr>
          <w:color w:val="231F20"/>
          <w:spacing w:val="-6"/>
        </w:rPr>
        <w:t> </w:t>
      </w:r>
      <w:r>
        <w:rPr>
          <w:color w:val="231F20"/>
        </w:rPr>
        <w:t>о</w:t>
      </w:r>
      <w:r>
        <w:rPr>
          <w:color w:val="231F20"/>
          <w:spacing w:val="-6"/>
        </w:rPr>
        <w:t> </w:t>
      </w:r>
      <w:r>
        <w:rPr>
          <w:color w:val="231F20"/>
        </w:rPr>
        <w:t>вызове</w:t>
      </w:r>
      <w:r>
        <w:rPr>
          <w:color w:val="231F20"/>
          <w:spacing w:val="-6"/>
        </w:rPr>
        <w:t> </w:t>
      </w:r>
      <w:r>
        <w:rPr>
          <w:color w:val="231F20"/>
        </w:rPr>
        <w:t>является</w:t>
      </w:r>
      <w:r>
        <w:rPr>
          <w:color w:val="231F20"/>
          <w:spacing w:val="-6"/>
        </w:rPr>
        <w:t> </w:t>
      </w:r>
      <w:r>
        <w:rPr>
          <w:color w:val="231F20"/>
        </w:rPr>
        <w:t>сочетанием:</w:t>
      </w:r>
      <w:r>
        <w:rPr>
          <w:color w:val="231F20"/>
          <w:spacing w:val="-6"/>
        </w:rPr>
        <w:t> </w:t>
      </w:r>
      <w:r>
        <w:rPr>
          <w:color w:val="231F20"/>
        </w:rPr>
        <w:t>1</w:t>
      </w:r>
      <w:r>
        <w:rPr>
          <w:color w:val="231F20"/>
          <w:spacing w:val="-6"/>
        </w:rPr>
        <w:t> </w:t>
      </w:r>
      <w:r>
        <w:rPr>
          <w:color w:val="231F20"/>
        </w:rPr>
        <w:t>– высокой</w:t>
      </w:r>
      <w:r>
        <w:rPr>
          <w:color w:val="231F20"/>
          <w:spacing w:val="-1"/>
        </w:rPr>
        <w:t> </w:t>
      </w:r>
      <w:r>
        <w:rPr>
          <w:color w:val="231F20"/>
        </w:rPr>
        <w:t>оценки</w:t>
      </w:r>
      <w:r>
        <w:rPr>
          <w:color w:val="231F20"/>
          <w:spacing w:val="-1"/>
        </w:rPr>
        <w:t> </w:t>
      </w:r>
      <w:r>
        <w:rPr>
          <w:color w:val="231F20"/>
        </w:rPr>
        <w:t>его</w:t>
      </w:r>
      <w:r>
        <w:rPr>
          <w:color w:val="231F20"/>
          <w:spacing w:val="-1"/>
        </w:rPr>
        <w:t> </w:t>
      </w:r>
      <w:r>
        <w:rPr>
          <w:color w:val="231F20"/>
        </w:rPr>
        <w:t>как</w:t>
      </w:r>
      <w:r>
        <w:rPr>
          <w:color w:val="231F20"/>
          <w:spacing w:val="-1"/>
        </w:rPr>
        <w:t> </w:t>
      </w:r>
      <w:r>
        <w:rPr>
          <w:color w:val="231F20"/>
        </w:rPr>
        <w:t>ресурса</w:t>
      </w:r>
      <w:r>
        <w:rPr>
          <w:color w:val="231F20"/>
          <w:spacing w:val="-1"/>
        </w:rPr>
        <w:t> </w:t>
      </w:r>
      <w:r>
        <w:rPr>
          <w:color w:val="231F20"/>
        </w:rPr>
        <w:t>и</w:t>
      </w:r>
      <w:r>
        <w:rPr>
          <w:color w:val="231F20"/>
          <w:spacing w:val="-1"/>
        </w:rPr>
        <w:t> </w:t>
      </w:r>
      <w:r>
        <w:rPr>
          <w:color w:val="231F20"/>
        </w:rPr>
        <w:t>2</w:t>
      </w:r>
      <w:r>
        <w:rPr>
          <w:color w:val="231F20"/>
          <w:spacing w:val="-1"/>
        </w:rPr>
        <w:t> </w:t>
      </w:r>
      <w:r>
        <w:rPr>
          <w:color w:val="231F20"/>
        </w:rPr>
        <w:t>–</w:t>
      </w:r>
      <w:r>
        <w:rPr>
          <w:color w:val="231F20"/>
          <w:spacing w:val="-1"/>
        </w:rPr>
        <w:t> </w:t>
      </w:r>
      <w:r>
        <w:rPr>
          <w:color w:val="231F20"/>
        </w:rPr>
        <w:t>представления</w:t>
      </w:r>
      <w:r>
        <w:rPr>
          <w:color w:val="231F20"/>
          <w:spacing w:val="-1"/>
        </w:rPr>
        <w:t> </w:t>
      </w:r>
      <w:r>
        <w:rPr>
          <w:color w:val="231F20"/>
        </w:rPr>
        <w:t>о</w:t>
      </w:r>
      <w:r>
        <w:rPr>
          <w:color w:val="231F20"/>
          <w:spacing w:val="-1"/>
        </w:rPr>
        <w:t> </w:t>
      </w:r>
      <w:r>
        <w:rPr>
          <w:color w:val="231F20"/>
        </w:rPr>
        <w:t>наличии</w:t>
      </w:r>
      <w:r>
        <w:rPr>
          <w:color w:val="231F20"/>
          <w:spacing w:val="-1"/>
        </w:rPr>
        <w:t> </w:t>
      </w:r>
      <w:r>
        <w:rPr>
          <w:color w:val="231F20"/>
        </w:rPr>
        <w:t>трудностей,</w:t>
      </w:r>
      <w:r>
        <w:rPr>
          <w:color w:val="231F20"/>
          <w:spacing w:val="-1"/>
        </w:rPr>
        <w:t> </w:t>
      </w:r>
      <w:r>
        <w:rPr>
          <w:color w:val="231F20"/>
        </w:rPr>
        <w:t>которые оно несет.</w:t>
      </w:r>
    </w:p>
    <w:p>
      <w:pPr>
        <w:pStyle w:val="ListParagraph"/>
        <w:numPr>
          <w:ilvl w:val="0"/>
          <w:numId w:val="253"/>
        </w:numPr>
        <w:tabs>
          <w:tab w:pos="639" w:val="left" w:leader="none"/>
        </w:tabs>
        <w:spacing w:line="240" w:lineRule="auto" w:before="174" w:after="0"/>
        <w:ind w:left="141" w:right="139" w:firstLine="283"/>
        <w:jc w:val="both"/>
        <w:rPr>
          <w:b/>
          <w:color w:val="231F20"/>
          <w:sz w:val="20"/>
        </w:rPr>
      </w:pPr>
      <w:r>
        <w:rPr>
          <w:b/>
          <w:color w:val="231F20"/>
          <w:sz w:val="20"/>
        </w:rPr>
        <w:t>Безразличие </w:t>
      </w:r>
      <w:r>
        <w:rPr>
          <w:color w:val="231F20"/>
          <w:sz w:val="20"/>
        </w:rPr>
        <w:t>к культурному разнообразию, восприятие его как неактуальной, отчасти мнимой, надуманной, не требующей специального внимания темы означает либо</w:t>
      </w:r>
      <w:r>
        <w:rPr>
          <w:color w:val="231F20"/>
          <w:spacing w:val="-13"/>
          <w:sz w:val="20"/>
        </w:rPr>
        <w:t> </w:t>
      </w:r>
      <w:r>
        <w:rPr>
          <w:color w:val="231F20"/>
          <w:sz w:val="20"/>
        </w:rPr>
        <w:t>полное</w:t>
      </w:r>
      <w:r>
        <w:rPr>
          <w:color w:val="231F20"/>
          <w:spacing w:val="-12"/>
          <w:sz w:val="20"/>
        </w:rPr>
        <w:t> </w:t>
      </w:r>
      <w:r>
        <w:rPr>
          <w:color w:val="231F20"/>
          <w:sz w:val="20"/>
        </w:rPr>
        <w:t>игнорирование</w:t>
      </w:r>
      <w:r>
        <w:rPr>
          <w:color w:val="231F20"/>
          <w:spacing w:val="-13"/>
          <w:sz w:val="20"/>
        </w:rPr>
        <w:t> </w:t>
      </w:r>
      <w:r>
        <w:rPr>
          <w:color w:val="231F20"/>
          <w:sz w:val="20"/>
        </w:rPr>
        <w:t>тематики</w:t>
      </w:r>
      <w:r>
        <w:rPr>
          <w:color w:val="231F20"/>
          <w:spacing w:val="-12"/>
          <w:sz w:val="20"/>
        </w:rPr>
        <w:t> </w:t>
      </w:r>
      <w:r>
        <w:rPr>
          <w:color w:val="231F20"/>
          <w:sz w:val="20"/>
        </w:rPr>
        <w:t>культурных</w:t>
      </w:r>
      <w:r>
        <w:rPr>
          <w:color w:val="231F20"/>
          <w:spacing w:val="-13"/>
          <w:sz w:val="20"/>
        </w:rPr>
        <w:t> </w:t>
      </w:r>
      <w:r>
        <w:rPr>
          <w:color w:val="231F20"/>
          <w:sz w:val="20"/>
        </w:rPr>
        <w:t>различий</w:t>
      </w:r>
      <w:r>
        <w:rPr>
          <w:color w:val="231F20"/>
          <w:spacing w:val="-12"/>
          <w:sz w:val="20"/>
        </w:rPr>
        <w:t> </w:t>
      </w:r>
      <w:r>
        <w:rPr>
          <w:color w:val="231F20"/>
          <w:sz w:val="20"/>
        </w:rPr>
        <w:t>в</w:t>
      </w:r>
      <w:r>
        <w:rPr>
          <w:color w:val="231F20"/>
          <w:spacing w:val="-13"/>
          <w:sz w:val="20"/>
        </w:rPr>
        <w:t> </w:t>
      </w:r>
      <w:r>
        <w:rPr>
          <w:color w:val="231F20"/>
          <w:sz w:val="20"/>
        </w:rPr>
        <w:t>образовательной</w:t>
      </w:r>
      <w:r>
        <w:rPr>
          <w:color w:val="231F20"/>
          <w:spacing w:val="-12"/>
          <w:sz w:val="20"/>
        </w:rPr>
        <w:t> </w:t>
      </w:r>
      <w:r>
        <w:rPr>
          <w:color w:val="231F20"/>
          <w:sz w:val="20"/>
        </w:rPr>
        <w:t>среде, либо избегание каких-либо действий, с ними связанных. Оно может проявляться в следующих</w:t>
      </w:r>
      <w:r>
        <w:rPr>
          <w:color w:val="231F20"/>
          <w:spacing w:val="-6"/>
          <w:sz w:val="20"/>
        </w:rPr>
        <w:t> </w:t>
      </w:r>
      <w:r>
        <w:rPr>
          <w:color w:val="231F20"/>
          <w:sz w:val="20"/>
        </w:rPr>
        <w:t>аспектах:</w:t>
      </w:r>
      <w:r>
        <w:rPr>
          <w:color w:val="231F20"/>
          <w:spacing w:val="-6"/>
          <w:sz w:val="20"/>
        </w:rPr>
        <w:t> </w:t>
      </w:r>
      <w:r>
        <w:rPr>
          <w:color w:val="231F20"/>
          <w:sz w:val="20"/>
        </w:rPr>
        <w:t>пренебрежение</w:t>
      </w:r>
      <w:r>
        <w:rPr>
          <w:color w:val="231F20"/>
          <w:spacing w:val="-6"/>
          <w:sz w:val="20"/>
        </w:rPr>
        <w:t> </w:t>
      </w:r>
      <w:r>
        <w:rPr>
          <w:color w:val="231F20"/>
          <w:sz w:val="20"/>
        </w:rPr>
        <w:t>культурными</w:t>
      </w:r>
      <w:r>
        <w:rPr>
          <w:color w:val="231F20"/>
          <w:spacing w:val="-6"/>
          <w:sz w:val="20"/>
        </w:rPr>
        <w:t> </w:t>
      </w:r>
      <w:r>
        <w:rPr>
          <w:color w:val="231F20"/>
          <w:sz w:val="20"/>
        </w:rPr>
        <w:t>различиями</w:t>
      </w:r>
      <w:r>
        <w:rPr>
          <w:color w:val="231F20"/>
          <w:spacing w:val="-6"/>
          <w:sz w:val="20"/>
        </w:rPr>
        <w:t> </w:t>
      </w:r>
      <w:r>
        <w:rPr>
          <w:color w:val="231F20"/>
          <w:sz w:val="20"/>
        </w:rPr>
        <w:t>(«это</w:t>
      </w:r>
      <w:r>
        <w:rPr>
          <w:color w:val="231F20"/>
          <w:spacing w:val="-6"/>
          <w:sz w:val="20"/>
        </w:rPr>
        <w:t> </w:t>
      </w:r>
      <w:r>
        <w:rPr>
          <w:color w:val="231F20"/>
          <w:sz w:val="20"/>
        </w:rPr>
        <w:t>все</w:t>
      </w:r>
      <w:r>
        <w:rPr>
          <w:color w:val="231F20"/>
          <w:spacing w:val="-6"/>
          <w:sz w:val="20"/>
        </w:rPr>
        <w:t> </w:t>
      </w:r>
      <w:r>
        <w:rPr>
          <w:color w:val="231F20"/>
          <w:sz w:val="20"/>
        </w:rPr>
        <w:t>не</w:t>
      </w:r>
      <w:r>
        <w:rPr>
          <w:color w:val="231F20"/>
          <w:spacing w:val="-6"/>
          <w:sz w:val="20"/>
        </w:rPr>
        <w:t> </w:t>
      </w:r>
      <w:r>
        <w:rPr>
          <w:color w:val="231F20"/>
          <w:sz w:val="20"/>
        </w:rPr>
        <w:t>так</w:t>
      </w:r>
      <w:r>
        <w:rPr>
          <w:color w:val="231F20"/>
          <w:spacing w:val="-6"/>
          <w:sz w:val="20"/>
        </w:rPr>
        <w:t> </w:t>
      </w:r>
      <w:r>
        <w:rPr>
          <w:color w:val="231F20"/>
          <w:sz w:val="20"/>
        </w:rPr>
        <w:t>важ- но, как успешность в учебе», «выучит язык и станет как все»); представление о том, что</w:t>
      </w:r>
      <w:r>
        <w:rPr>
          <w:color w:val="231F20"/>
          <w:spacing w:val="-13"/>
          <w:sz w:val="20"/>
        </w:rPr>
        <w:t> </w:t>
      </w:r>
      <w:r>
        <w:rPr>
          <w:color w:val="231F20"/>
          <w:sz w:val="20"/>
        </w:rPr>
        <w:t>сходства</w:t>
      </w:r>
      <w:r>
        <w:rPr>
          <w:color w:val="231F20"/>
          <w:spacing w:val="-12"/>
          <w:sz w:val="20"/>
        </w:rPr>
        <w:t> </w:t>
      </w:r>
      <w:r>
        <w:rPr>
          <w:color w:val="231F20"/>
          <w:sz w:val="20"/>
        </w:rPr>
        <w:t>между</w:t>
      </w:r>
      <w:r>
        <w:rPr>
          <w:color w:val="231F20"/>
          <w:spacing w:val="-13"/>
          <w:sz w:val="20"/>
        </w:rPr>
        <w:t> </w:t>
      </w:r>
      <w:r>
        <w:rPr>
          <w:color w:val="231F20"/>
          <w:sz w:val="20"/>
        </w:rPr>
        <w:t>участниками</w:t>
      </w:r>
      <w:r>
        <w:rPr>
          <w:color w:val="231F20"/>
          <w:spacing w:val="-12"/>
          <w:sz w:val="20"/>
        </w:rPr>
        <w:t> </w:t>
      </w:r>
      <w:r>
        <w:rPr>
          <w:color w:val="231F20"/>
          <w:sz w:val="20"/>
        </w:rPr>
        <w:t>образовательного</w:t>
      </w:r>
      <w:r>
        <w:rPr>
          <w:color w:val="231F20"/>
          <w:spacing w:val="-13"/>
          <w:sz w:val="20"/>
        </w:rPr>
        <w:t> </w:t>
      </w:r>
      <w:r>
        <w:rPr>
          <w:color w:val="231F20"/>
          <w:sz w:val="20"/>
        </w:rPr>
        <w:t>процесса</w:t>
      </w:r>
      <w:r>
        <w:rPr>
          <w:color w:val="231F20"/>
          <w:spacing w:val="-12"/>
          <w:sz w:val="20"/>
        </w:rPr>
        <w:t> </w:t>
      </w:r>
      <w:r>
        <w:rPr>
          <w:color w:val="231F20"/>
          <w:sz w:val="20"/>
        </w:rPr>
        <w:t>оказывают</w:t>
      </w:r>
      <w:r>
        <w:rPr>
          <w:color w:val="231F20"/>
          <w:spacing w:val="-13"/>
          <w:sz w:val="20"/>
        </w:rPr>
        <w:t> </w:t>
      </w:r>
      <w:r>
        <w:rPr>
          <w:color w:val="231F20"/>
          <w:sz w:val="20"/>
        </w:rPr>
        <w:t>существенно большее влияние, чем различия (например, «дети всегда дети»); культурный даль- тонизм – представление о том, что позитивные отношения между учащимися, при- надлежащим</w:t>
      </w:r>
      <w:r>
        <w:rPr>
          <w:color w:val="231F20"/>
          <w:spacing w:val="-10"/>
          <w:sz w:val="20"/>
        </w:rPr>
        <w:t> </w:t>
      </w:r>
      <w:r>
        <w:rPr>
          <w:color w:val="231F20"/>
          <w:sz w:val="20"/>
        </w:rPr>
        <w:t>к</w:t>
      </w:r>
      <w:r>
        <w:rPr>
          <w:color w:val="231F20"/>
          <w:spacing w:val="-10"/>
          <w:sz w:val="20"/>
        </w:rPr>
        <w:t> </w:t>
      </w:r>
      <w:r>
        <w:rPr>
          <w:color w:val="231F20"/>
          <w:sz w:val="20"/>
        </w:rPr>
        <w:t>разным</w:t>
      </w:r>
      <w:r>
        <w:rPr>
          <w:color w:val="231F20"/>
          <w:spacing w:val="-10"/>
          <w:sz w:val="20"/>
        </w:rPr>
        <w:t> </w:t>
      </w:r>
      <w:r>
        <w:rPr>
          <w:color w:val="231F20"/>
          <w:sz w:val="20"/>
        </w:rPr>
        <w:t>культурным</w:t>
      </w:r>
      <w:r>
        <w:rPr>
          <w:color w:val="231F20"/>
          <w:spacing w:val="-10"/>
          <w:sz w:val="20"/>
        </w:rPr>
        <w:t> </w:t>
      </w:r>
      <w:r>
        <w:rPr>
          <w:color w:val="231F20"/>
          <w:sz w:val="20"/>
        </w:rPr>
        <w:t>группам,</w:t>
      </w:r>
      <w:r>
        <w:rPr>
          <w:color w:val="231F20"/>
          <w:spacing w:val="-10"/>
          <w:sz w:val="20"/>
        </w:rPr>
        <w:t> </w:t>
      </w:r>
      <w:r>
        <w:rPr>
          <w:color w:val="231F20"/>
          <w:sz w:val="20"/>
        </w:rPr>
        <w:t>нужно</w:t>
      </w:r>
      <w:r>
        <w:rPr>
          <w:color w:val="231F20"/>
          <w:spacing w:val="-10"/>
          <w:sz w:val="20"/>
        </w:rPr>
        <w:t> </w:t>
      </w:r>
      <w:r>
        <w:rPr>
          <w:color w:val="231F20"/>
          <w:sz w:val="20"/>
        </w:rPr>
        <w:t>строить</w:t>
      </w:r>
      <w:r>
        <w:rPr>
          <w:color w:val="231F20"/>
          <w:spacing w:val="-10"/>
          <w:sz w:val="20"/>
        </w:rPr>
        <w:t> </w:t>
      </w:r>
      <w:r>
        <w:rPr>
          <w:color w:val="231F20"/>
          <w:sz w:val="20"/>
        </w:rPr>
        <w:t>преимущественно</w:t>
      </w:r>
      <w:r>
        <w:rPr>
          <w:color w:val="231F20"/>
          <w:spacing w:val="-10"/>
          <w:sz w:val="20"/>
        </w:rPr>
        <w:t> </w:t>
      </w:r>
      <w:r>
        <w:rPr>
          <w:color w:val="231F20"/>
          <w:sz w:val="20"/>
        </w:rPr>
        <w:t>путем игнорирования культурных различий.</w:t>
      </w:r>
    </w:p>
    <w:p>
      <w:pPr>
        <w:pStyle w:val="BodyText"/>
        <w:spacing w:before="159"/>
      </w:pPr>
      <w:r>
        <w:rPr>
          <w:color w:val="231F20"/>
        </w:rPr>
        <w:t>Безразличное отношение к культурному разнообразию является сочетанием: 1 – низкой оценки его как ресурса и 2 – представления об отсутствии (или незначитель- ности / небольшом количестве) трудностей, которые оно несет.</w:t>
      </w:r>
    </w:p>
    <w:p>
      <w:pPr>
        <w:pStyle w:val="BodyText"/>
        <w:spacing w:line="229" w:lineRule="exact" w:before="174"/>
        <w:ind w:left="425" w:right="0" w:firstLine="0"/>
      </w:pPr>
      <w:r>
        <w:rPr/>
        <w:t>Сильные</w:t>
      </w:r>
      <w:r>
        <w:rPr>
          <w:spacing w:val="-2"/>
        </w:rPr>
        <w:t> </w:t>
      </w:r>
      <w:r>
        <w:rPr/>
        <w:t>стороны</w:t>
      </w:r>
      <w:r>
        <w:rPr>
          <w:spacing w:val="-1"/>
        </w:rPr>
        <w:t> </w:t>
      </w:r>
      <w:r>
        <w:rPr>
          <w:spacing w:val="-2"/>
        </w:rPr>
        <w:t>практики</w:t>
      </w:r>
    </w:p>
    <w:p>
      <w:pPr>
        <w:pStyle w:val="BodyText"/>
        <w:spacing w:line="228" w:lineRule="exact"/>
        <w:ind w:left="425" w:right="0" w:firstLine="0"/>
      </w:pPr>
      <w:r>
        <w:rPr/>
        <w:t>ДОПА-модель</w:t>
      </w:r>
      <w:r>
        <w:rPr>
          <w:spacing w:val="-8"/>
        </w:rPr>
        <w:t> </w:t>
      </w:r>
      <w:r>
        <w:rPr/>
        <w:t>может</w:t>
      </w:r>
      <w:r>
        <w:rPr>
          <w:spacing w:val="-4"/>
        </w:rPr>
        <w:t> </w:t>
      </w:r>
      <w:r>
        <w:rPr/>
        <w:t>быть</w:t>
      </w:r>
      <w:r>
        <w:rPr>
          <w:spacing w:val="-5"/>
        </w:rPr>
        <w:t> </w:t>
      </w:r>
      <w:r>
        <w:rPr/>
        <w:t>использована</w:t>
      </w:r>
      <w:r>
        <w:rPr>
          <w:spacing w:val="-5"/>
        </w:rPr>
        <w:t> </w:t>
      </w:r>
      <w:r>
        <w:rPr/>
        <w:t>для</w:t>
      </w:r>
      <w:r>
        <w:rPr>
          <w:spacing w:val="-4"/>
        </w:rPr>
        <w:t> </w:t>
      </w:r>
      <w:r>
        <w:rPr/>
        <w:t>решения</w:t>
      </w:r>
      <w:r>
        <w:rPr>
          <w:spacing w:val="-4"/>
        </w:rPr>
        <w:t> </w:t>
      </w:r>
      <w:r>
        <w:rPr/>
        <w:t>разных</w:t>
      </w:r>
      <w:r>
        <w:rPr>
          <w:spacing w:val="-4"/>
        </w:rPr>
        <w:t> </w:t>
      </w:r>
      <w:r>
        <w:rPr>
          <w:spacing w:val="-2"/>
        </w:rPr>
        <w:t>задач:</w:t>
      </w:r>
    </w:p>
    <w:p>
      <w:pPr>
        <w:pStyle w:val="ListParagraph"/>
        <w:numPr>
          <w:ilvl w:val="0"/>
          <w:numId w:val="254"/>
        </w:numPr>
        <w:tabs>
          <w:tab w:pos="423" w:val="left" w:leader="none"/>
          <w:tab w:pos="425" w:val="left" w:leader="none"/>
        </w:tabs>
        <w:spacing w:line="240" w:lineRule="auto" w:before="0" w:after="0"/>
        <w:ind w:left="425" w:right="140" w:hanging="284"/>
        <w:jc w:val="both"/>
        <w:rPr>
          <w:sz w:val="20"/>
        </w:rPr>
      </w:pPr>
      <w:r>
        <w:rPr>
          <w:sz w:val="20"/>
        </w:rPr>
        <w:t>как удобный инструмент самодиагностики, позволяющий педагогам оценить, к какому типу представлений о культурных различиях они относятся;</w:t>
      </w:r>
    </w:p>
    <w:p>
      <w:pPr>
        <w:pStyle w:val="ListParagraph"/>
        <w:numPr>
          <w:ilvl w:val="0"/>
          <w:numId w:val="254"/>
        </w:numPr>
        <w:tabs>
          <w:tab w:pos="423" w:val="left" w:leader="none"/>
          <w:tab w:pos="425" w:val="left" w:leader="none"/>
        </w:tabs>
        <w:spacing w:line="237" w:lineRule="auto" w:before="0" w:after="0"/>
        <w:ind w:left="425" w:right="139" w:hanging="284"/>
        <w:jc w:val="both"/>
        <w:rPr>
          <w:sz w:val="20"/>
        </w:rPr>
      </w:pPr>
      <w:r>
        <w:rPr>
          <w:sz w:val="20"/>
        </w:rPr>
        <w:t>в качестве теоретической рамки, позволяющей объяснить психологическую при- роду</w:t>
      </w:r>
      <w:r>
        <w:rPr>
          <w:spacing w:val="-10"/>
          <w:sz w:val="20"/>
        </w:rPr>
        <w:t> </w:t>
      </w:r>
      <w:r>
        <w:rPr>
          <w:sz w:val="20"/>
        </w:rPr>
        <w:t>тех</w:t>
      </w:r>
      <w:r>
        <w:rPr>
          <w:spacing w:val="-10"/>
          <w:sz w:val="20"/>
        </w:rPr>
        <w:t> </w:t>
      </w:r>
      <w:r>
        <w:rPr>
          <w:sz w:val="20"/>
        </w:rPr>
        <w:t>или</w:t>
      </w:r>
      <w:r>
        <w:rPr>
          <w:spacing w:val="-10"/>
          <w:sz w:val="20"/>
        </w:rPr>
        <w:t> </w:t>
      </w:r>
      <w:r>
        <w:rPr>
          <w:sz w:val="20"/>
        </w:rPr>
        <w:t>иных</w:t>
      </w:r>
      <w:r>
        <w:rPr>
          <w:spacing w:val="-10"/>
          <w:sz w:val="20"/>
        </w:rPr>
        <w:t> </w:t>
      </w:r>
      <w:r>
        <w:rPr>
          <w:sz w:val="20"/>
        </w:rPr>
        <w:t>реакций</w:t>
      </w:r>
      <w:r>
        <w:rPr>
          <w:spacing w:val="-10"/>
          <w:sz w:val="20"/>
        </w:rPr>
        <w:t> </w:t>
      </w:r>
      <w:r>
        <w:rPr>
          <w:sz w:val="20"/>
        </w:rPr>
        <w:t>педагогов</w:t>
      </w:r>
      <w:r>
        <w:rPr>
          <w:spacing w:val="-10"/>
          <w:sz w:val="20"/>
        </w:rPr>
        <w:t> </w:t>
      </w:r>
      <w:r>
        <w:rPr>
          <w:sz w:val="20"/>
        </w:rPr>
        <w:t>в</w:t>
      </w:r>
      <w:r>
        <w:rPr>
          <w:spacing w:val="-10"/>
          <w:sz w:val="20"/>
        </w:rPr>
        <w:t> </w:t>
      </w:r>
      <w:r>
        <w:rPr>
          <w:sz w:val="20"/>
        </w:rPr>
        <w:t>ответ</w:t>
      </w:r>
      <w:r>
        <w:rPr>
          <w:spacing w:val="-10"/>
          <w:sz w:val="20"/>
        </w:rPr>
        <w:t> </w:t>
      </w:r>
      <w:r>
        <w:rPr>
          <w:sz w:val="20"/>
        </w:rPr>
        <w:t>на</w:t>
      </w:r>
      <w:r>
        <w:rPr>
          <w:spacing w:val="-10"/>
          <w:sz w:val="20"/>
        </w:rPr>
        <w:t> </w:t>
      </w:r>
      <w:r>
        <w:rPr>
          <w:sz w:val="20"/>
        </w:rPr>
        <w:t>ситуации,</w:t>
      </w:r>
      <w:r>
        <w:rPr>
          <w:spacing w:val="-10"/>
          <w:sz w:val="20"/>
        </w:rPr>
        <w:t> </w:t>
      </w:r>
      <w:r>
        <w:rPr>
          <w:sz w:val="20"/>
        </w:rPr>
        <w:t>связанные</w:t>
      </w:r>
      <w:r>
        <w:rPr>
          <w:spacing w:val="-10"/>
          <w:sz w:val="20"/>
        </w:rPr>
        <w:t> </w:t>
      </w:r>
      <w:r>
        <w:rPr>
          <w:sz w:val="20"/>
        </w:rPr>
        <w:t>с</w:t>
      </w:r>
      <w:r>
        <w:rPr>
          <w:spacing w:val="-10"/>
          <w:sz w:val="20"/>
        </w:rPr>
        <w:t> </w:t>
      </w:r>
      <w:r>
        <w:rPr>
          <w:sz w:val="20"/>
        </w:rPr>
        <w:t>обучением </w:t>
      </w:r>
      <w:r>
        <w:rPr>
          <w:spacing w:val="-2"/>
          <w:sz w:val="20"/>
        </w:rPr>
        <w:t>детей-мигрантов;</w:t>
      </w:r>
    </w:p>
    <w:p>
      <w:pPr>
        <w:pStyle w:val="ListParagraph"/>
        <w:numPr>
          <w:ilvl w:val="0"/>
          <w:numId w:val="254"/>
        </w:numPr>
        <w:tabs>
          <w:tab w:pos="423" w:val="left" w:leader="none"/>
          <w:tab w:pos="425" w:val="left" w:leader="none"/>
        </w:tabs>
        <w:spacing w:line="240" w:lineRule="auto" w:before="0" w:after="0"/>
        <w:ind w:left="425" w:right="139" w:hanging="284"/>
        <w:jc w:val="both"/>
        <w:rPr>
          <w:sz w:val="20"/>
        </w:rPr>
      </w:pPr>
      <w:r>
        <w:rPr>
          <w:sz w:val="20"/>
        </w:rPr>
        <w:t>как основа для организации проблемных дискуссий, интерактивных семинаров, круглых столов в рамках методобъединений.</w:t>
      </w:r>
    </w:p>
    <w:p>
      <w:pPr>
        <w:spacing w:line="229" w:lineRule="exact" w:before="172"/>
        <w:ind w:left="425" w:right="0" w:firstLine="0"/>
        <w:jc w:val="both"/>
        <w:rPr>
          <w:b/>
          <w:sz w:val="20"/>
        </w:rPr>
      </w:pPr>
      <w:r>
        <w:rPr>
          <w:b/>
          <w:sz w:val="20"/>
        </w:rPr>
        <w:t>Требования</w:t>
      </w:r>
      <w:r>
        <w:rPr>
          <w:b/>
          <w:spacing w:val="-9"/>
          <w:sz w:val="20"/>
        </w:rPr>
        <w:t> </w:t>
      </w:r>
      <w:r>
        <w:rPr>
          <w:b/>
          <w:sz w:val="20"/>
        </w:rPr>
        <w:t>к</w:t>
      </w:r>
      <w:r>
        <w:rPr>
          <w:b/>
          <w:spacing w:val="-8"/>
          <w:sz w:val="20"/>
        </w:rPr>
        <w:t> </w:t>
      </w:r>
      <w:r>
        <w:rPr>
          <w:b/>
          <w:spacing w:val="-2"/>
          <w:sz w:val="20"/>
        </w:rPr>
        <w:t>проведению</w:t>
      </w:r>
    </w:p>
    <w:p>
      <w:pPr>
        <w:pStyle w:val="BodyText"/>
        <w:ind w:right="140"/>
        <w:rPr>
          <w:i/>
        </w:rPr>
      </w:pPr>
      <w:r>
        <w:rPr/>
        <w:t>Модель</w:t>
      </w:r>
      <w:r>
        <w:rPr>
          <w:spacing w:val="-13"/>
        </w:rPr>
        <w:t> </w:t>
      </w:r>
      <w:r>
        <w:rPr/>
        <w:t>ДОПА</w:t>
      </w:r>
      <w:r>
        <w:rPr>
          <w:spacing w:val="-12"/>
        </w:rPr>
        <w:t> </w:t>
      </w:r>
      <w:r>
        <w:rPr/>
        <w:t>может</w:t>
      </w:r>
      <w:r>
        <w:rPr>
          <w:spacing w:val="-13"/>
        </w:rPr>
        <w:t> </w:t>
      </w:r>
      <w:r>
        <w:rPr/>
        <w:t>лечь</w:t>
      </w:r>
      <w:r>
        <w:rPr>
          <w:spacing w:val="-12"/>
        </w:rPr>
        <w:t> </w:t>
      </w:r>
      <w:r>
        <w:rPr/>
        <w:t>в</w:t>
      </w:r>
      <w:r>
        <w:rPr>
          <w:spacing w:val="-13"/>
        </w:rPr>
        <w:t> </w:t>
      </w:r>
      <w:r>
        <w:rPr/>
        <w:t>основу</w:t>
      </w:r>
      <w:r>
        <w:rPr>
          <w:spacing w:val="-12"/>
        </w:rPr>
        <w:t> </w:t>
      </w:r>
      <w:r>
        <w:rPr/>
        <w:t>различных</w:t>
      </w:r>
      <w:r>
        <w:rPr>
          <w:spacing w:val="-13"/>
        </w:rPr>
        <w:t> </w:t>
      </w:r>
      <w:r>
        <w:rPr/>
        <w:t>мероприятий.</w:t>
      </w:r>
      <w:r>
        <w:rPr>
          <w:spacing w:val="-12"/>
        </w:rPr>
        <w:t> </w:t>
      </w:r>
      <w:r>
        <w:rPr/>
        <w:t>Ниже</w:t>
      </w:r>
      <w:r>
        <w:rPr>
          <w:spacing w:val="-13"/>
        </w:rPr>
        <w:t> </w:t>
      </w:r>
      <w:r>
        <w:rPr/>
        <w:t>мы</w:t>
      </w:r>
      <w:r>
        <w:rPr>
          <w:spacing w:val="-12"/>
        </w:rPr>
        <w:t> </w:t>
      </w:r>
      <w:r>
        <w:rPr/>
        <w:t>описываем требования к проведению </w:t>
      </w:r>
      <w:r>
        <w:rPr>
          <w:i/>
        </w:rPr>
        <w:t>интерактивного семинара.</w:t>
      </w:r>
    </w:p>
    <w:p>
      <w:pPr>
        <w:pStyle w:val="BodyText"/>
        <w:spacing w:line="235" w:lineRule="auto"/>
      </w:pPr>
      <w:r>
        <w:rPr>
          <w:i/>
          <w:spacing w:val="-2"/>
        </w:rPr>
        <w:t>Кто организует? </w:t>
      </w:r>
      <w:r>
        <w:rPr>
          <w:spacing w:val="-2"/>
        </w:rPr>
        <w:t>Организатором может выступить любой из членов методическо- </w:t>
      </w:r>
      <w:r>
        <w:rPr/>
        <w:t>го объединения, а также приглашенный специалист (например, специалист по меж- культурной коммуникации, знакомый с содержанием модели ДОПА).</w:t>
      </w:r>
    </w:p>
    <w:p>
      <w:pPr>
        <w:pStyle w:val="BodyText"/>
        <w:spacing w:line="235" w:lineRule="auto"/>
      </w:pPr>
      <w:r>
        <w:rPr>
          <w:i/>
        </w:rPr>
        <w:t>Время. </w:t>
      </w:r>
      <w:r>
        <w:rPr/>
        <w:t>Необходимое и достаточное время мероприятия – 2 академических часа</w:t>
      </w:r>
      <w:r>
        <w:rPr>
          <w:spacing w:val="40"/>
        </w:rPr>
        <w:t> </w:t>
      </w:r>
      <w:r>
        <w:rPr/>
        <w:t>(1 ч. 30 мин.) Мероприятие можно заранее внести в календарно-тематический план.</w:t>
      </w:r>
    </w:p>
    <w:p>
      <w:pPr>
        <w:pStyle w:val="BodyText"/>
        <w:spacing w:after="0" w:line="235" w:lineRule="auto"/>
        <w:sectPr>
          <w:pgSz w:w="8400" w:h="11910"/>
          <w:pgMar w:header="0" w:footer="529" w:top="400" w:bottom="740" w:left="425" w:right="425"/>
        </w:sectPr>
      </w:pPr>
    </w:p>
    <w:p>
      <w:pPr>
        <w:spacing w:before="80"/>
        <w:ind w:left="141" w:right="0" w:firstLine="0"/>
        <w:jc w:val="both"/>
        <w:rPr>
          <w:rFonts w:ascii="Georgia" w:hAnsi="Georgia"/>
          <w:sz w:val="18"/>
        </w:rPr>
      </w:pPr>
      <w:r>
        <w:rPr>
          <w:rFonts w:ascii="Georgia" w:hAnsi="Georgia"/>
          <w:color w:val="231F20"/>
          <w:sz w:val="18"/>
        </w:rPr>
        <w:t>2.3.</w:t>
      </w:r>
      <w:r>
        <w:rPr>
          <w:rFonts w:ascii="Georgia" w:hAnsi="Georgia"/>
          <w:color w:val="231F20"/>
          <w:spacing w:val="-4"/>
          <w:sz w:val="18"/>
        </w:rPr>
        <w:t> </w:t>
      </w:r>
      <w:r>
        <w:rPr>
          <w:rFonts w:ascii="Georgia" w:hAnsi="Georgia"/>
          <w:color w:val="231F20"/>
          <w:sz w:val="18"/>
        </w:rPr>
        <w:t>Проведение</w:t>
      </w:r>
      <w:r>
        <w:rPr>
          <w:rFonts w:ascii="Georgia" w:hAnsi="Georgia"/>
          <w:color w:val="231F20"/>
          <w:spacing w:val="-4"/>
          <w:sz w:val="18"/>
        </w:rPr>
        <w:t> </w:t>
      </w:r>
      <w:r>
        <w:rPr>
          <w:rFonts w:ascii="Georgia" w:hAnsi="Georgia"/>
          <w:color w:val="231F20"/>
          <w:sz w:val="18"/>
        </w:rPr>
        <w:t>обучающих</w:t>
      </w:r>
      <w:r>
        <w:rPr>
          <w:rFonts w:ascii="Georgia" w:hAnsi="Georgia"/>
          <w:color w:val="231F20"/>
          <w:spacing w:val="-4"/>
          <w:sz w:val="18"/>
        </w:rPr>
        <w:t> </w:t>
      </w:r>
      <w:r>
        <w:rPr>
          <w:rFonts w:ascii="Georgia" w:hAnsi="Georgia"/>
          <w:color w:val="231F20"/>
          <w:sz w:val="18"/>
        </w:rPr>
        <w:t>семинаров</w:t>
      </w:r>
      <w:r>
        <w:rPr>
          <w:rFonts w:ascii="Georgia" w:hAnsi="Georgia"/>
          <w:color w:val="231F20"/>
          <w:spacing w:val="-3"/>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педагогов</w:t>
      </w:r>
      <w:r>
        <w:rPr>
          <w:rFonts w:ascii="Georgia" w:hAnsi="Georgia"/>
          <w:color w:val="231F20"/>
          <w:spacing w:val="-4"/>
          <w:sz w:val="18"/>
        </w:rPr>
        <w:t> </w:t>
      </w:r>
      <w:r>
        <w:rPr>
          <w:rFonts w:ascii="Georgia" w:hAnsi="Georgia"/>
          <w:color w:val="231F20"/>
          <w:sz w:val="18"/>
        </w:rPr>
        <w:t>на</w:t>
      </w:r>
      <w:r>
        <w:rPr>
          <w:rFonts w:ascii="Georgia" w:hAnsi="Georgia"/>
          <w:color w:val="231F20"/>
          <w:spacing w:val="-4"/>
          <w:sz w:val="18"/>
        </w:rPr>
        <w:t> </w:t>
      </w:r>
      <w:r>
        <w:rPr>
          <w:rFonts w:ascii="Georgia" w:hAnsi="Georgia"/>
          <w:color w:val="231F20"/>
          <w:sz w:val="18"/>
        </w:rPr>
        <w:t>основе</w:t>
      </w:r>
      <w:r>
        <w:rPr>
          <w:rFonts w:ascii="Georgia" w:hAnsi="Georgia"/>
          <w:color w:val="231F20"/>
          <w:spacing w:val="-3"/>
          <w:sz w:val="18"/>
        </w:rPr>
        <w:t> </w:t>
      </w:r>
      <w:r>
        <w:rPr>
          <w:rFonts w:ascii="Georgia" w:hAnsi="Georgia"/>
          <w:color w:val="231F20"/>
          <w:sz w:val="18"/>
        </w:rPr>
        <w:t>модели</w:t>
      </w:r>
      <w:r>
        <w:rPr>
          <w:rFonts w:ascii="Georgia" w:hAnsi="Georgia"/>
          <w:color w:val="231F20"/>
          <w:spacing w:val="-4"/>
          <w:sz w:val="18"/>
        </w:rPr>
        <w:t> DOPA</w:t>
      </w:r>
    </w:p>
    <w:p>
      <w:pPr>
        <w:pStyle w:val="BodyText"/>
        <w:spacing w:line="235" w:lineRule="auto" w:before="116"/>
      </w:pPr>
      <w:r>
        <w:rPr>
          <w:i/>
        </w:rPr>
        <w:t>Место. </w:t>
      </w:r>
      <w:r>
        <w:rPr/>
        <w:t>Для проведения дискуссии не требуется специальный класс или аудито- рия, однако надо предусмотреть возможность группировать столы и стулья для ра- боты в микрогруппах, с одной стороны, и выделить пространство для свободного перемещения участников – с другой.</w:t>
      </w:r>
    </w:p>
    <w:p>
      <w:pPr>
        <w:pStyle w:val="BodyText"/>
        <w:spacing w:line="235" w:lineRule="auto" w:before="2"/>
      </w:pPr>
      <w:r>
        <w:rPr>
          <w:i/>
        </w:rPr>
        <w:t>Необходимые</w:t>
      </w:r>
      <w:r>
        <w:rPr>
          <w:i/>
          <w:spacing w:val="-11"/>
        </w:rPr>
        <w:t> </w:t>
      </w:r>
      <w:r>
        <w:rPr>
          <w:i/>
        </w:rPr>
        <w:t>материалы.</w:t>
      </w:r>
      <w:r>
        <w:rPr>
          <w:i/>
          <w:spacing w:val="-11"/>
        </w:rPr>
        <w:t> </w:t>
      </w:r>
      <w:r>
        <w:rPr/>
        <w:t>Понадобятся</w:t>
      </w:r>
      <w:r>
        <w:rPr>
          <w:spacing w:val="-11"/>
        </w:rPr>
        <w:t> </w:t>
      </w:r>
      <w:r>
        <w:rPr/>
        <w:t>компьютер,</w:t>
      </w:r>
      <w:r>
        <w:rPr>
          <w:spacing w:val="-11"/>
        </w:rPr>
        <w:t> </w:t>
      </w:r>
      <w:r>
        <w:rPr/>
        <w:t>проектор,</w:t>
      </w:r>
      <w:r>
        <w:rPr>
          <w:spacing w:val="-11"/>
        </w:rPr>
        <w:t> </w:t>
      </w:r>
      <w:r>
        <w:rPr/>
        <w:t>экран,</w:t>
      </w:r>
      <w:r>
        <w:rPr>
          <w:spacing w:val="-11"/>
        </w:rPr>
        <w:t> </w:t>
      </w:r>
      <w:r>
        <w:rPr/>
        <w:t>листы</w:t>
      </w:r>
      <w:r>
        <w:rPr>
          <w:spacing w:val="-11"/>
        </w:rPr>
        <w:t> </w:t>
      </w:r>
      <w:r>
        <w:rPr/>
        <w:t>бума- ги</w:t>
      </w:r>
      <w:r>
        <w:rPr>
          <w:spacing w:val="-2"/>
        </w:rPr>
        <w:t> </w:t>
      </w:r>
      <w:r>
        <w:rPr/>
        <w:t>А4,</w:t>
      </w:r>
      <w:r>
        <w:rPr>
          <w:spacing w:val="-2"/>
        </w:rPr>
        <w:t> </w:t>
      </w:r>
      <w:r>
        <w:rPr/>
        <w:t>маркеры,</w:t>
      </w:r>
      <w:r>
        <w:rPr>
          <w:spacing w:val="-2"/>
        </w:rPr>
        <w:t> </w:t>
      </w:r>
      <w:r>
        <w:rPr/>
        <w:t>стулья</w:t>
      </w:r>
      <w:r>
        <w:rPr>
          <w:spacing w:val="-2"/>
        </w:rPr>
        <w:t> </w:t>
      </w:r>
      <w:r>
        <w:rPr/>
        <w:t>по</w:t>
      </w:r>
      <w:r>
        <w:rPr>
          <w:spacing w:val="-2"/>
        </w:rPr>
        <w:t> </w:t>
      </w:r>
      <w:r>
        <w:rPr/>
        <w:t>количеству</w:t>
      </w:r>
      <w:r>
        <w:rPr>
          <w:spacing w:val="-2"/>
        </w:rPr>
        <w:t> </w:t>
      </w:r>
      <w:r>
        <w:rPr/>
        <w:t>участников</w:t>
      </w:r>
      <w:r>
        <w:rPr>
          <w:spacing w:val="-2"/>
        </w:rPr>
        <w:t> </w:t>
      </w:r>
      <w:r>
        <w:rPr/>
        <w:t>и</w:t>
      </w:r>
      <w:r>
        <w:rPr>
          <w:spacing w:val="-2"/>
        </w:rPr>
        <w:t> </w:t>
      </w:r>
      <w:r>
        <w:rPr/>
        <w:t>несколько</w:t>
      </w:r>
      <w:r>
        <w:rPr>
          <w:spacing w:val="-2"/>
        </w:rPr>
        <w:t> </w:t>
      </w:r>
      <w:r>
        <w:rPr/>
        <w:t>парт/столов.</w:t>
      </w:r>
      <w:r>
        <w:rPr>
          <w:spacing w:val="-2"/>
        </w:rPr>
        <w:t> </w:t>
      </w:r>
      <w:r>
        <w:rPr/>
        <w:t>Если</w:t>
      </w:r>
      <w:r>
        <w:rPr>
          <w:spacing w:val="-3"/>
        </w:rPr>
        <w:t> </w:t>
      </w:r>
      <w:r>
        <w:rPr/>
        <w:t>по- зволит время, можно организовать кофе-брейк (кофе, чай, печенье, конфеты).</w:t>
      </w:r>
    </w:p>
    <w:p>
      <w:pPr>
        <w:spacing w:line="235" w:lineRule="auto" w:before="2"/>
        <w:ind w:left="141" w:right="139" w:firstLine="283"/>
        <w:jc w:val="both"/>
        <w:rPr>
          <w:sz w:val="20"/>
        </w:rPr>
      </w:pPr>
      <w:r>
        <w:rPr>
          <w:i/>
          <w:sz w:val="20"/>
        </w:rPr>
        <w:t>Предварительная организационная подготовка. </w:t>
      </w:r>
      <w:r>
        <w:rPr>
          <w:sz w:val="20"/>
        </w:rPr>
        <w:t>Для оптимального проведения мероприятия необходимо заранее учесть несколько факторов:</w:t>
      </w:r>
    </w:p>
    <w:p>
      <w:pPr>
        <w:pStyle w:val="ListParagraph"/>
        <w:numPr>
          <w:ilvl w:val="0"/>
          <w:numId w:val="255"/>
        </w:numPr>
        <w:tabs>
          <w:tab w:pos="423" w:val="left" w:leader="none"/>
        </w:tabs>
        <w:spacing w:line="225" w:lineRule="exact" w:before="0" w:after="0"/>
        <w:ind w:left="423" w:right="0" w:hanging="282"/>
        <w:jc w:val="both"/>
        <w:rPr>
          <w:sz w:val="20"/>
        </w:rPr>
      </w:pPr>
      <w:r>
        <w:rPr>
          <w:sz w:val="20"/>
        </w:rPr>
        <w:t>найти</w:t>
      </w:r>
      <w:r>
        <w:rPr>
          <w:spacing w:val="-11"/>
          <w:sz w:val="20"/>
        </w:rPr>
        <w:t> </w:t>
      </w:r>
      <w:r>
        <w:rPr>
          <w:sz w:val="20"/>
        </w:rPr>
        <w:t>ведущего</w:t>
      </w:r>
      <w:r>
        <w:rPr>
          <w:spacing w:val="-9"/>
          <w:sz w:val="20"/>
        </w:rPr>
        <w:t> </w:t>
      </w:r>
      <w:r>
        <w:rPr>
          <w:spacing w:val="-2"/>
          <w:sz w:val="20"/>
        </w:rPr>
        <w:t>мероприятие;</w:t>
      </w:r>
    </w:p>
    <w:p>
      <w:pPr>
        <w:pStyle w:val="ListParagraph"/>
        <w:numPr>
          <w:ilvl w:val="0"/>
          <w:numId w:val="255"/>
        </w:numPr>
        <w:tabs>
          <w:tab w:pos="423" w:val="left" w:leader="none"/>
          <w:tab w:pos="425" w:val="left" w:leader="none"/>
        </w:tabs>
        <w:spacing w:line="235" w:lineRule="auto" w:before="2" w:after="0"/>
        <w:ind w:left="425" w:right="139" w:hanging="284"/>
        <w:jc w:val="both"/>
        <w:rPr>
          <w:sz w:val="20"/>
        </w:rPr>
      </w:pPr>
      <w:r>
        <w:rPr>
          <w:sz w:val="20"/>
        </w:rPr>
        <w:t>оповестить</w:t>
      </w:r>
      <w:r>
        <w:rPr>
          <w:spacing w:val="-6"/>
          <w:sz w:val="20"/>
        </w:rPr>
        <w:t> </w:t>
      </w:r>
      <w:r>
        <w:rPr>
          <w:sz w:val="20"/>
        </w:rPr>
        <w:t>участников</w:t>
      </w:r>
      <w:r>
        <w:rPr>
          <w:spacing w:val="-6"/>
          <w:sz w:val="20"/>
        </w:rPr>
        <w:t> </w:t>
      </w:r>
      <w:r>
        <w:rPr>
          <w:sz w:val="20"/>
        </w:rPr>
        <w:t>о</w:t>
      </w:r>
      <w:r>
        <w:rPr>
          <w:spacing w:val="-6"/>
          <w:sz w:val="20"/>
        </w:rPr>
        <w:t> </w:t>
      </w:r>
      <w:r>
        <w:rPr>
          <w:sz w:val="20"/>
        </w:rPr>
        <w:t>теме</w:t>
      </w:r>
      <w:r>
        <w:rPr>
          <w:spacing w:val="-6"/>
          <w:sz w:val="20"/>
        </w:rPr>
        <w:t> </w:t>
      </w:r>
      <w:r>
        <w:rPr>
          <w:sz w:val="20"/>
        </w:rPr>
        <w:t>с</w:t>
      </w:r>
      <w:r>
        <w:rPr>
          <w:spacing w:val="-6"/>
          <w:sz w:val="20"/>
        </w:rPr>
        <w:t> </w:t>
      </w:r>
      <w:r>
        <w:rPr>
          <w:sz w:val="20"/>
        </w:rPr>
        <w:t>краткой</w:t>
      </w:r>
      <w:r>
        <w:rPr>
          <w:spacing w:val="-6"/>
          <w:sz w:val="20"/>
        </w:rPr>
        <w:t> </w:t>
      </w:r>
      <w:r>
        <w:rPr>
          <w:sz w:val="20"/>
        </w:rPr>
        <w:t>аннотацией,</w:t>
      </w:r>
      <w:r>
        <w:rPr>
          <w:spacing w:val="-6"/>
          <w:sz w:val="20"/>
        </w:rPr>
        <w:t> </w:t>
      </w:r>
      <w:r>
        <w:rPr>
          <w:sz w:val="20"/>
        </w:rPr>
        <w:t>месте</w:t>
      </w:r>
      <w:r>
        <w:rPr>
          <w:spacing w:val="-6"/>
          <w:sz w:val="20"/>
        </w:rPr>
        <w:t> </w:t>
      </w:r>
      <w:r>
        <w:rPr>
          <w:sz w:val="20"/>
        </w:rPr>
        <w:t>и</w:t>
      </w:r>
      <w:r>
        <w:rPr>
          <w:spacing w:val="-6"/>
          <w:sz w:val="20"/>
        </w:rPr>
        <w:t> </w:t>
      </w:r>
      <w:r>
        <w:rPr>
          <w:sz w:val="20"/>
        </w:rPr>
        <w:t>времени</w:t>
      </w:r>
      <w:r>
        <w:rPr>
          <w:spacing w:val="-6"/>
          <w:sz w:val="20"/>
        </w:rPr>
        <w:t> </w:t>
      </w:r>
      <w:r>
        <w:rPr>
          <w:sz w:val="20"/>
        </w:rPr>
        <w:t>проведения мероприятия за неделю, а затем – накануне. Для лучшего контроля посещения удобно</w:t>
      </w:r>
      <w:r>
        <w:rPr>
          <w:spacing w:val="-4"/>
          <w:sz w:val="20"/>
        </w:rPr>
        <w:t> </w:t>
      </w:r>
      <w:r>
        <w:rPr>
          <w:sz w:val="20"/>
        </w:rPr>
        <w:t>создать</w:t>
      </w:r>
      <w:r>
        <w:rPr>
          <w:spacing w:val="-4"/>
          <w:sz w:val="20"/>
        </w:rPr>
        <w:t> </w:t>
      </w:r>
      <w:r>
        <w:rPr>
          <w:sz w:val="20"/>
        </w:rPr>
        <w:t>регистрационную</w:t>
      </w:r>
      <w:r>
        <w:rPr>
          <w:spacing w:val="-4"/>
          <w:sz w:val="20"/>
        </w:rPr>
        <w:t> </w:t>
      </w:r>
      <w:r>
        <w:rPr>
          <w:sz w:val="20"/>
        </w:rPr>
        <w:t>форму,</w:t>
      </w:r>
      <w:r>
        <w:rPr>
          <w:spacing w:val="-4"/>
          <w:sz w:val="20"/>
        </w:rPr>
        <w:t> </w:t>
      </w:r>
      <w:r>
        <w:rPr>
          <w:sz w:val="20"/>
        </w:rPr>
        <w:t>которая</w:t>
      </w:r>
      <w:r>
        <w:rPr>
          <w:spacing w:val="-4"/>
          <w:sz w:val="20"/>
        </w:rPr>
        <w:t> </w:t>
      </w:r>
      <w:r>
        <w:rPr>
          <w:sz w:val="20"/>
        </w:rPr>
        <w:t>позволит</w:t>
      </w:r>
      <w:r>
        <w:rPr>
          <w:spacing w:val="-4"/>
          <w:sz w:val="20"/>
        </w:rPr>
        <w:t> </w:t>
      </w:r>
      <w:r>
        <w:rPr>
          <w:sz w:val="20"/>
        </w:rPr>
        <w:t>в</w:t>
      </w:r>
      <w:r>
        <w:rPr>
          <w:spacing w:val="-4"/>
          <w:sz w:val="20"/>
        </w:rPr>
        <w:t> </w:t>
      </w:r>
      <w:r>
        <w:rPr>
          <w:sz w:val="20"/>
        </w:rPr>
        <w:t>случае</w:t>
      </w:r>
      <w:r>
        <w:rPr>
          <w:spacing w:val="-4"/>
          <w:sz w:val="20"/>
        </w:rPr>
        <w:t> </w:t>
      </w:r>
      <w:r>
        <w:rPr>
          <w:sz w:val="20"/>
        </w:rPr>
        <w:t>необходимо- сти персонально напомнить участникам о мероприятии;</w:t>
      </w:r>
    </w:p>
    <w:p>
      <w:pPr>
        <w:pStyle w:val="ListParagraph"/>
        <w:numPr>
          <w:ilvl w:val="0"/>
          <w:numId w:val="255"/>
        </w:numPr>
        <w:tabs>
          <w:tab w:pos="423" w:val="left" w:leader="none"/>
          <w:tab w:pos="425" w:val="left" w:leader="none"/>
        </w:tabs>
        <w:spacing w:line="235" w:lineRule="auto" w:before="2" w:after="0"/>
        <w:ind w:left="425" w:right="139" w:hanging="284"/>
        <w:jc w:val="both"/>
        <w:rPr>
          <w:sz w:val="20"/>
        </w:rPr>
      </w:pPr>
      <w:r>
        <w:rPr>
          <w:sz w:val="20"/>
        </w:rPr>
        <w:t>продумать формат резолюции: например, материал, который уйдет в методиче- ские разработки, памятку, словарик и пр.</w:t>
      </w:r>
    </w:p>
    <w:p>
      <w:pPr>
        <w:pStyle w:val="BodyText"/>
        <w:spacing w:line="228" w:lineRule="exact" w:before="178"/>
        <w:ind w:left="425" w:right="0" w:firstLine="0"/>
      </w:pPr>
      <w:r>
        <w:rPr>
          <w:spacing w:val="-2"/>
        </w:rPr>
        <w:t>Где</w:t>
      </w:r>
      <w:r>
        <w:rPr>
          <w:spacing w:val="-12"/>
        </w:rPr>
        <w:t> </w:t>
      </w:r>
      <w:r>
        <w:rPr>
          <w:spacing w:val="-2"/>
        </w:rPr>
        <w:t>научиться?</w:t>
      </w:r>
    </w:p>
    <w:p>
      <w:pPr>
        <w:pStyle w:val="BodyText"/>
        <w:spacing w:line="235" w:lineRule="auto" w:before="2"/>
        <w:ind w:right="138"/>
        <w:jc w:val="right"/>
        <w:rPr>
          <w:i/>
        </w:rPr>
      </w:pPr>
      <w:r>
        <w:rPr>
          <w:color w:val="231F20"/>
        </w:rPr>
        <w:t>Содержание</w:t>
      </w:r>
      <w:r>
        <w:rPr>
          <w:color w:val="231F20"/>
          <w:spacing w:val="40"/>
        </w:rPr>
        <w:t> </w:t>
      </w:r>
      <w:r>
        <w:rPr>
          <w:color w:val="231F20"/>
        </w:rPr>
        <w:t>модели</w:t>
      </w:r>
      <w:r>
        <w:rPr>
          <w:color w:val="231F20"/>
          <w:spacing w:val="40"/>
        </w:rPr>
        <w:t> </w:t>
      </w:r>
      <w:r>
        <w:rPr>
          <w:color w:val="231F20"/>
        </w:rPr>
        <w:t>ДОПА</w:t>
      </w:r>
      <w:r>
        <w:rPr>
          <w:color w:val="231F20"/>
          <w:spacing w:val="40"/>
        </w:rPr>
        <w:t> </w:t>
      </w:r>
      <w:r>
        <w:rPr>
          <w:color w:val="231F20"/>
        </w:rPr>
        <w:t>изложено</w:t>
      </w:r>
      <w:r>
        <w:rPr>
          <w:color w:val="231F20"/>
          <w:spacing w:val="40"/>
        </w:rPr>
        <w:t> </w:t>
      </w:r>
      <w:r>
        <w:rPr>
          <w:color w:val="231F20"/>
        </w:rPr>
        <w:t>в</w:t>
      </w:r>
      <w:r>
        <w:rPr>
          <w:color w:val="231F20"/>
          <w:spacing w:val="40"/>
        </w:rPr>
        <w:t> </w:t>
      </w:r>
      <w:r>
        <w:rPr>
          <w:color w:val="231F20"/>
        </w:rPr>
        <w:t>трудах</w:t>
      </w:r>
      <w:r>
        <w:rPr>
          <w:color w:val="231F20"/>
          <w:spacing w:val="40"/>
        </w:rPr>
        <w:t> </w:t>
      </w:r>
      <w:r>
        <w:rPr>
          <w:color w:val="231F20"/>
        </w:rPr>
        <w:t>Horenczyk</w:t>
      </w:r>
      <w:r>
        <w:rPr>
          <w:color w:val="231F20"/>
          <w:spacing w:val="40"/>
        </w:rPr>
        <w:t> </w:t>
      </w:r>
      <w:r>
        <w:rPr>
          <w:color w:val="231F20"/>
        </w:rPr>
        <w:t>и</w:t>
      </w:r>
      <w:r>
        <w:rPr>
          <w:color w:val="231F20"/>
          <w:spacing w:val="40"/>
        </w:rPr>
        <w:t> </w:t>
      </w:r>
      <w:r>
        <w:rPr>
          <w:color w:val="231F20"/>
        </w:rPr>
        <w:t>Tatar:</w:t>
      </w:r>
      <w:r>
        <w:rPr>
          <w:color w:val="231F20"/>
          <w:spacing w:val="40"/>
        </w:rPr>
        <w:t> </w:t>
      </w:r>
      <w:r>
        <w:rPr>
          <w:color w:val="231F20"/>
        </w:rPr>
        <w:t>«Отноше- ние учителей к мультикультурализму в контексте восприятия школьной культуры» (Horenczyk,</w:t>
      </w:r>
      <w:r>
        <w:rPr>
          <w:color w:val="231F20"/>
          <w:spacing w:val="-13"/>
        </w:rPr>
        <w:t> </w:t>
      </w:r>
      <w:r>
        <w:rPr>
          <w:color w:val="231F20"/>
        </w:rPr>
        <w:t>Tatar,</w:t>
      </w:r>
      <w:r>
        <w:rPr>
          <w:color w:val="231F20"/>
          <w:spacing w:val="-11"/>
        </w:rPr>
        <w:t> </w:t>
      </w:r>
      <w:r>
        <w:rPr>
          <w:color w:val="231F20"/>
        </w:rPr>
        <w:t>2002);</w:t>
      </w:r>
      <w:r>
        <w:rPr>
          <w:color w:val="231F20"/>
          <w:spacing w:val="-11"/>
        </w:rPr>
        <w:t> </w:t>
      </w:r>
      <w:r>
        <w:rPr>
          <w:color w:val="231F20"/>
        </w:rPr>
        <w:t>«Организационные</w:t>
      </w:r>
      <w:r>
        <w:rPr>
          <w:color w:val="231F20"/>
          <w:spacing w:val="-10"/>
        </w:rPr>
        <w:t> </w:t>
      </w:r>
      <w:r>
        <w:rPr>
          <w:color w:val="231F20"/>
        </w:rPr>
        <w:t>взгляды</w:t>
      </w:r>
      <w:r>
        <w:rPr>
          <w:color w:val="231F20"/>
          <w:spacing w:val="-11"/>
        </w:rPr>
        <w:t> </w:t>
      </w:r>
      <w:r>
        <w:rPr>
          <w:color w:val="231F20"/>
        </w:rPr>
        <w:t>школ</w:t>
      </w:r>
      <w:r>
        <w:rPr>
          <w:color w:val="231F20"/>
          <w:spacing w:val="-11"/>
        </w:rPr>
        <w:t> </w:t>
      </w:r>
      <w:r>
        <w:rPr>
          <w:color w:val="231F20"/>
        </w:rPr>
        <w:t>на</w:t>
      </w:r>
      <w:r>
        <w:rPr>
          <w:color w:val="231F20"/>
          <w:spacing w:val="-11"/>
        </w:rPr>
        <w:t> </w:t>
      </w:r>
      <w:r>
        <w:rPr>
          <w:color w:val="231F20"/>
        </w:rPr>
        <w:t>разнообразие:</w:t>
      </w:r>
      <w:r>
        <w:rPr>
          <w:color w:val="231F20"/>
          <w:spacing w:val="-11"/>
        </w:rPr>
        <w:t> </w:t>
      </w:r>
      <w:r>
        <w:rPr>
          <w:color w:val="231F20"/>
        </w:rPr>
        <w:t>восприя- </w:t>
      </w:r>
      <w:r>
        <w:rPr>
          <w:color w:val="231F20"/>
          <w:spacing w:val="-2"/>
        </w:rPr>
        <w:t>тия</w:t>
      </w:r>
      <w:r>
        <w:rPr>
          <w:color w:val="231F20"/>
          <w:spacing w:val="-4"/>
        </w:rPr>
        <w:t> </w:t>
      </w:r>
      <w:r>
        <w:rPr>
          <w:color w:val="231F20"/>
          <w:spacing w:val="-2"/>
        </w:rPr>
        <w:t>и</w:t>
      </w:r>
      <w:r>
        <w:rPr>
          <w:color w:val="231F20"/>
          <w:spacing w:val="-4"/>
        </w:rPr>
        <w:t> </w:t>
      </w:r>
      <w:r>
        <w:rPr>
          <w:color w:val="231F20"/>
          <w:spacing w:val="-2"/>
        </w:rPr>
        <w:t>подходы»</w:t>
      </w:r>
      <w:r>
        <w:rPr>
          <w:color w:val="231F20"/>
          <w:spacing w:val="-4"/>
        </w:rPr>
        <w:t> </w:t>
      </w:r>
      <w:r>
        <w:rPr>
          <w:color w:val="231F20"/>
          <w:spacing w:val="-2"/>
        </w:rPr>
        <w:t>(Horenczyk,</w:t>
      </w:r>
      <w:r>
        <w:rPr>
          <w:color w:val="231F20"/>
          <w:spacing w:val="-9"/>
        </w:rPr>
        <w:t> </w:t>
      </w:r>
      <w:r>
        <w:rPr>
          <w:color w:val="231F20"/>
          <w:spacing w:val="-2"/>
        </w:rPr>
        <w:t>Tatar,</w:t>
      </w:r>
      <w:r>
        <w:rPr>
          <w:color w:val="231F20"/>
          <w:spacing w:val="-4"/>
        </w:rPr>
        <w:t> </w:t>
      </w:r>
      <w:r>
        <w:rPr>
          <w:color w:val="231F20"/>
          <w:spacing w:val="-2"/>
        </w:rPr>
        <w:t>2011);</w:t>
      </w:r>
      <w:r>
        <w:rPr>
          <w:color w:val="231F20"/>
          <w:spacing w:val="-4"/>
        </w:rPr>
        <w:t> </w:t>
      </w:r>
      <w:r>
        <w:rPr>
          <w:color w:val="231F20"/>
          <w:spacing w:val="-2"/>
        </w:rPr>
        <w:t>«Отношение</w:t>
      </w:r>
      <w:r>
        <w:rPr>
          <w:color w:val="231F20"/>
          <w:spacing w:val="-4"/>
        </w:rPr>
        <w:t> </w:t>
      </w:r>
      <w:r>
        <w:rPr>
          <w:color w:val="231F20"/>
          <w:spacing w:val="-2"/>
        </w:rPr>
        <w:t>российских</w:t>
      </w:r>
      <w:r>
        <w:rPr>
          <w:color w:val="231F20"/>
          <w:spacing w:val="-4"/>
        </w:rPr>
        <w:t> </w:t>
      </w:r>
      <w:r>
        <w:rPr>
          <w:color w:val="231F20"/>
          <w:spacing w:val="-2"/>
        </w:rPr>
        <w:t>учителей</w:t>
      </w:r>
      <w:r>
        <w:rPr>
          <w:color w:val="231F20"/>
          <w:spacing w:val="-4"/>
        </w:rPr>
        <w:t> </w:t>
      </w:r>
      <w:r>
        <w:rPr>
          <w:color w:val="231F20"/>
          <w:spacing w:val="-2"/>
        </w:rPr>
        <w:t>к</w:t>
      </w:r>
      <w:r>
        <w:rPr>
          <w:color w:val="231F20"/>
          <w:spacing w:val="-4"/>
        </w:rPr>
        <w:t> </w:t>
      </w:r>
      <w:r>
        <w:rPr>
          <w:color w:val="231F20"/>
          <w:spacing w:val="-2"/>
        </w:rPr>
        <w:t>культур- ному разнообразию в трудных педагогических ситуациях» (Хухлаев, Ткаченко, 2021). </w:t>
      </w:r>
      <w:r>
        <w:rPr>
          <w:color w:val="231F20"/>
        </w:rPr>
        <w:t>В примере, приведенном выше, в основе проблемной дискуссии лежит специаль- </w:t>
      </w:r>
      <w:r>
        <w:rPr>
          <w:color w:val="231F20"/>
          <w:spacing w:val="-2"/>
        </w:rPr>
        <w:t>ный</w:t>
      </w:r>
      <w:r>
        <w:rPr>
          <w:color w:val="231F20"/>
          <w:spacing w:val="-11"/>
        </w:rPr>
        <w:t> </w:t>
      </w:r>
      <w:r>
        <w:rPr>
          <w:color w:val="231F20"/>
          <w:spacing w:val="-2"/>
        </w:rPr>
        <w:t>метод:</w:t>
      </w:r>
      <w:r>
        <w:rPr>
          <w:color w:val="231F20"/>
          <w:spacing w:val="-11"/>
        </w:rPr>
        <w:t> </w:t>
      </w:r>
      <w:r>
        <w:rPr>
          <w:color w:val="231F20"/>
          <w:spacing w:val="-2"/>
        </w:rPr>
        <w:t>мозговой</w:t>
      </w:r>
      <w:r>
        <w:rPr>
          <w:color w:val="231F20"/>
          <w:spacing w:val="-11"/>
        </w:rPr>
        <w:t> </w:t>
      </w:r>
      <w:r>
        <w:rPr>
          <w:color w:val="231F20"/>
          <w:spacing w:val="-2"/>
        </w:rPr>
        <w:t>штурм.</w:t>
      </w:r>
      <w:r>
        <w:rPr>
          <w:color w:val="231F20"/>
          <w:spacing w:val="-11"/>
        </w:rPr>
        <w:t> </w:t>
      </w:r>
      <w:r>
        <w:rPr>
          <w:color w:val="231F20"/>
          <w:spacing w:val="-2"/>
        </w:rPr>
        <w:t>Более</w:t>
      </w:r>
      <w:r>
        <w:rPr>
          <w:color w:val="231F20"/>
          <w:spacing w:val="-11"/>
        </w:rPr>
        <w:t> </w:t>
      </w:r>
      <w:r>
        <w:rPr>
          <w:color w:val="231F20"/>
          <w:spacing w:val="-2"/>
        </w:rPr>
        <w:t>подробно</w:t>
      </w:r>
      <w:r>
        <w:rPr>
          <w:color w:val="231F20"/>
          <w:spacing w:val="-11"/>
        </w:rPr>
        <w:t> </w:t>
      </w:r>
      <w:r>
        <w:rPr>
          <w:color w:val="231F20"/>
          <w:spacing w:val="-2"/>
        </w:rPr>
        <w:t>с</w:t>
      </w:r>
      <w:r>
        <w:rPr>
          <w:color w:val="231F20"/>
          <w:spacing w:val="-11"/>
        </w:rPr>
        <w:t> </w:t>
      </w:r>
      <w:r>
        <w:rPr>
          <w:color w:val="231F20"/>
          <w:spacing w:val="-2"/>
        </w:rPr>
        <w:t>данной</w:t>
      </w:r>
      <w:r>
        <w:rPr>
          <w:color w:val="231F20"/>
          <w:spacing w:val="-11"/>
        </w:rPr>
        <w:t> </w:t>
      </w:r>
      <w:r>
        <w:rPr>
          <w:color w:val="231F20"/>
          <w:spacing w:val="-2"/>
        </w:rPr>
        <w:t>методикой</w:t>
      </w:r>
      <w:r>
        <w:rPr>
          <w:color w:val="231F20"/>
          <w:spacing w:val="-11"/>
        </w:rPr>
        <w:t> </w:t>
      </w:r>
      <w:r>
        <w:rPr>
          <w:color w:val="231F20"/>
          <w:spacing w:val="-2"/>
        </w:rPr>
        <w:t>можно</w:t>
      </w:r>
      <w:r>
        <w:rPr>
          <w:color w:val="231F20"/>
          <w:spacing w:val="-11"/>
        </w:rPr>
        <w:t> </w:t>
      </w:r>
      <w:r>
        <w:rPr>
          <w:color w:val="231F20"/>
          <w:spacing w:val="-2"/>
        </w:rPr>
        <w:t>познакомить- </w:t>
      </w:r>
      <w:r>
        <w:rPr>
          <w:color w:val="231F20"/>
        </w:rPr>
        <w:t>ся,</w:t>
      </w:r>
      <w:r>
        <w:rPr>
          <w:color w:val="231F20"/>
          <w:spacing w:val="-7"/>
        </w:rPr>
        <w:t> </w:t>
      </w:r>
      <w:r>
        <w:rPr>
          <w:color w:val="231F20"/>
        </w:rPr>
        <w:t>пройдя</w:t>
      </w:r>
      <w:r>
        <w:rPr>
          <w:color w:val="231F20"/>
          <w:spacing w:val="-7"/>
        </w:rPr>
        <w:t> </w:t>
      </w:r>
      <w:r>
        <w:rPr>
          <w:color w:val="231F20"/>
        </w:rPr>
        <w:t>соответствующее</w:t>
      </w:r>
      <w:r>
        <w:rPr>
          <w:color w:val="231F20"/>
          <w:spacing w:val="-7"/>
        </w:rPr>
        <w:t> </w:t>
      </w:r>
      <w:r>
        <w:rPr>
          <w:color w:val="231F20"/>
        </w:rPr>
        <w:t>обучение,</w:t>
      </w:r>
      <w:r>
        <w:rPr>
          <w:color w:val="231F20"/>
          <w:spacing w:val="-7"/>
        </w:rPr>
        <w:t> </w:t>
      </w:r>
      <w:r>
        <w:rPr>
          <w:color w:val="231F20"/>
        </w:rPr>
        <w:t>например:</w:t>
      </w:r>
      <w:r>
        <w:rPr>
          <w:color w:val="231F20"/>
          <w:spacing w:val="-6"/>
        </w:rPr>
        <w:t> </w:t>
      </w:r>
      <w:hyperlink r:id="rId225">
        <w:r>
          <w:rPr>
            <w:i/>
            <w:color w:val="1E69B4"/>
            <w:spacing w:val="-2"/>
          </w:rPr>
          <w:t>https://online.eastt.ru/brainstorming/</w:t>
        </w:r>
      </w:hyperlink>
    </w:p>
    <w:p>
      <w:pPr>
        <w:pStyle w:val="BodyText"/>
        <w:spacing w:line="228" w:lineRule="exact" w:before="181"/>
        <w:ind w:left="425" w:right="0" w:firstLine="0"/>
      </w:pPr>
      <w:r>
        <w:rPr>
          <w:color w:val="231F20"/>
        </w:rPr>
        <w:t>Доказательность</w:t>
      </w:r>
      <w:r>
        <w:rPr>
          <w:color w:val="231F20"/>
          <w:spacing w:val="-7"/>
        </w:rPr>
        <w:t> </w:t>
      </w:r>
      <w:r>
        <w:rPr>
          <w:color w:val="231F20"/>
          <w:spacing w:val="-2"/>
        </w:rPr>
        <w:t>практики</w:t>
      </w:r>
    </w:p>
    <w:p>
      <w:pPr>
        <w:pStyle w:val="BodyText"/>
        <w:spacing w:line="235" w:lineRule="auto" w:before="2"/>
      </w:pPr>
      <w:r>
        <w:rPr>
          <w:i/>
          <w:color w:val="231F20"/>
        </w:rPr>
        <w:t>Регламентированность. </w:t>
      </w:r>
      <w:r>
        <w:rPr>
          <w:color w:val="231F20"/>
        </w:rPr>
        <w:t>Методические материалы содержат четкие и выполни- мые рекомендации по обеспечению качества работы специалистов, по процедурам отбора руководителей групповой работы в ходе реализации программы.</w:t>
      </w:r>
    </w:p>
    <w:p>
      <w:pPr>
        <w:pStyle w:val="BodyText"/>
        <w:spacing w:line="235" w:lineRule="auto" w:before="2"/>
      </w:pPr>
      <w:r>
        <w:rPr>
          <w:i/>
          <w:color w:val="231F20"/>
        </w:rPr>
        <w:t>Обоснованность.</w:t>
      </w:r>
      <w:r>
        <w:rPr>
          <w:i/>
          <w:color w:val="231F20"/>
          <w:spacing w:val="-4"/>
        </w:rPr>
        <w:t> </w:t>
      </w:r>
      <w:r>
        <w:rPr>
          <w:color w:val="231F20"/>
        </w:rPr>
        <w:t>Обоснованность</w:t>
      </w:r>
      <w:r>
        <w:rPr>
          <w:color w:val="231F20"/>
          <w:spacing w:val="-4"/>
        </w:rPr>
        <w:t> </w:t>
      </w:r>
      <w:r>
        <w:rPr>
          <w:color w:val="231F20"/>
        </w:rPr>
        <w:t>практики</w:t>
      </w:r>
      <w:r>
        <w:rPr>
          <w:color w:val="231F20"/>
          <w:spacing w:val="-4"/>
        </w:rPr>
        <w:t> </w:t>
      </w:r>
      <w:r>
        <w:rPr>
          <w:color w:val="231F20"/>
        </w:rPr>
        <w:t>обеспечивается</w:t>
      </w:r>
      <w:r>
        <w:rPr>
          <w:color w:val="231F20"/>
          <w:spacing w:val="-4"/>
        </w:rPr>
        <w:t> </w:t>
      </w:r>
      <w:r>
        <w:rPr>
          <w:color w:val="231F20"/>
        </w:rPr>
        <w:t>практическими</w:t>
      </w:r>
      <w:r>
        <w:rPr>
          <w:color w:val="231F20"/>
          <w:spacing w:val="-5"/>
        </w:rPr>
        <w:t> </w:t>
      </w:r>
      <w:r>
        <w:rPr>
          <w:color w:val="231F20"/>
        </w:rPr>
        <w:t>и</w:t>
      </w:r>
      <w:r>
        <w:rPr>
          <w:color w:val="231F20"/>
          <w:spacing w:val="-4"/>
        </w:rPr>
        <w:t> </w:t>
      </w:r>
      <w:r>
        <w:rPr>
          <w:color w:val="231F20"/>
        </w:rPr>
        <w:t>те- оретическими</w:t>
      </w:r>
      <w:r>
        <w:rPr>
          <w:color w:val="231F20"/>
          <w:spacing w:val="-5"/>
        </w:rPr>
        <w:t> </w:t>
      </w:r>
      <w:r>
        <w:rPr>
          <w:color w:val="231F20"/>
        </w:rPr>
        <w:t>предпосылками,</w:t>
      </w:r>
      <w:r>
        <w:rPr>
          <w:color w:val="231F20"/>
          <w:spacing w:val="-5"/>
        </w:rPr>
        <w:t> </w:t>
      </w:r>
      <w:r>
        <w:rPr>
          <w:color w:val="231F20"/>
        </w:rPr>
        <w:t>описанными</w:t>
      </w:r>
      <w:r>
        <w:rPr>
          <w:color w:val="231F20"/>
          <w:spacing w:val="-5"/>
        </w:rPr>
        <w:t> </w:t>
      </w:r>
      <w:r>
        <w:rPr>
          <w:color w:val="231F20"/>
        </w:rPr>
        <w:t>в</w:t>
      </w:r>
      <w:r>
        <w:rPr>
          <w:color w:val="231F20"/>
          <w:spacing w:val="-5"/>
        </w:rPr>
        <w:t> </w:t>
      </w:r>
      <w:r>
        <w:rPr>
          <w:color w:val="231F20"/>
        </w:rPr>
        <w:t>разделе</w:t>
      </w:r>
      <w:r>
        <w:rPr>
          <w:color w:val="231F20"/>
          <w:spacing w:val="-5"/>
        </w:rPr>
        <w:t> </w:t>
      </w:r>
      <w:r>
        <w:rPr>
          <w:color w:val="231F20"/>
        </w:rPr>
        <w:t>«Описание</w:t>
      </w:r>
      <w:r>
        <w:rPr>
          <w:color w:val="231F20"/>
          <w:spacing w:val="-5"/>
        </w:rPr>
        <w:t> </w:t>
      </w:r>
      <w:r>
        <w:rPr>
          <w:color w:val="231F20"/>
        </w:rPr>
        <w:t>модели</w:t>
      </w:r>
      <w:r>
        <w:rPr>
          <w:color w:val="231F20"/>
          <w:spacing w:val="-5"/>
        </w:rPr>
        <w:t> </w:t>
      </w:r>
      <w:r>
        <w:rPr>
          <w:color w:val="231F20"/>
        </w:rPr>
        <w:t>отношение учителей к культурному разнообразию».</w:t>
      </w:r>
    </w:p>
    <w:p>
      <w:pPr>
        <w:pStyle w:val="BodyText"/>
        <w:spacing w:line="235" w:lineRule="auto" w:before="1"/>
      </w:pPr>
      <w:r>
        <w:rPr>
          <w:i/>
          <w:color w:val="231F20"/>
        </w:rPr>
        <w:t>Результативность. </w:t>
      </w:r>
      <w:r>
        <w:rPr>
          <w:color w:val="231F20"/>
        </w:rPr>
        <w:t>Эффективность модели ДОПА была подтверждена исследо- ваниями на израильской (Horenczyk, Tatar, 2011; Horenczyk, Tatar, 2002; Horenczyk, Tatar, 2018) и российской (Хухлаев, Ткаченко, 2021) выборке учителей.</w:t>
      </w:r>
    </w:p>
    <w:p>
      <w:pPr>
        <w:pStyle w:val="BodyText"/>
        <w:spacing w:line="235" w:lineRule="auto" w:before="2"/>
      </w:pPr>
      <w:r>
        <w:rPr>
          <w:color w:val="231F20"/>
        </w:rPr>
        <w:t>Проведение мероприятий с опорой на модель ДОПА с применением метода моз- гового штурма также является результативным. Эффективность мозгового штурма доказана многолетними исследованиями (Стариков, 2011; Lamm etc., 1973).</w:t>
      </w:r>
    </w:p>
    <w:p>
      <w:pPr>
        <w:pStyle w:val="BodyText"/>
        <w:spacing w:line="235" w:lineRule="auto" w:before="182"/>
        <w:ind w:left="425" w:right="0" w:firstLine="0"/>
        <w:jc w:val="left"/>
      </w:pPr>
      <w:r>
        <w:rPr/>
        <w:t>Руководство по проведению интерактивного семинара на основе модели ДОПА </w:t>
      </w:r>
      <w:r>
        <w:rPr>
          <w:color w:val="231F20"/>
        </w:rPr>
        <w:t>Обучающий семинар, построенный на модели DOPA, включает следующие эле-</w:t>
      </w:r>
    </w:p>
    <w:p>
      <w:pPr>
        <w:pStyle w:val="BodyText"/>
        <w:spacing w:line="218" w:lineRule="exact"/>
        <w:ind w:right="0" w:firstLine="0"/>
        <w:jc w:val="left"/>
      </w:pPr>
      <w:r>
        <w:rPr>
          <w:color w:val="231F20"/>
          <w:spacing w:val="-2"/>
        </w:rPr>
        <w:t>менты:</w:t>
      </w:r>
    </w:p>
    <w:p>
      <w:pPr>
        <w:pStyle w:val="ListParagraph"/>
        <w:numPr>
          <w:ilvl w:val="0"/>
          <w:numId w:val="256"/>
        </w:numPr>
        <w:tabs>
          <w:tab w:pos="425" w:val="left" w:leader="none"/>
        </w:tabs>
        <w:spacing w:line="235" w:lineRule="auto" w:before="0" w:after="0"/>
        <w:ind w:left="425" w:right="140" w:hanging="284"/>
        <w:jc w:val="left"/>
        <w:rPr>
          <w:sz w:val="20"/>
        </w:rPr>
      </w:pPr>
      <w:r>
        <w:rPr>
          <w:color w:val="231F20"/>
          <w:sz w:val="20"/>
        </w:rPr>
        <w:t>упражнение,</w:t>
      </w:r>
      <w:r>
        <w:rPr>
          <w:color w:val="231F20"/>
          <w:spacing w:val="-13"/>
          <w:sz w:val="20"/>
        </w:rPr>
        <w:t> </w:t>
      </w:r>
      <w:r>
        <w:rPr>
          <w:color w:val="231F20"/>
          <w:sz w:val="20"/>
        </w:rPr>
        <w:t>направленное</w:t>
      </w:r>
      <w:r>
        <w:rPr>
          <w:color w:val="231F20"/>
          <w:spacing w:val="-12"/>
          <w:sz w:val="20"/>
        </w:rPr>
        <w:t> </w:t>
      </w:r>
      <w:r>
        <w:rPr>
          <w:color w:val="231F20"/>
          <w:sz w:val="20"/>
        </w:rPr>
        <w:t>на</w:t>
      </w:r>
      <w:r>
        <w:rPr>
          <w:color w:val="231F20"/>
          <w:spacing w:val="-13"/>
          <w:sz w:val="20"/>
        </w:rPr>
        <w:t> </w:t>
      </w:r>
      <w:r>
        <w:rPr>
          <w:color w:val="231F20"/>
          <w:sz w:val="20"/>
        </w:rPr>
        <w:t>рефлексию</w:t>
      </w:r>
      <w:r>
        <w:rPr>
          <w:color w:val="231F20"/>
          <w:spacing w:val="-12"/>
          <w:sz w:val="20"/>
        </w:rPr>
        <w:t> </w:t>
      </w:r>
      <w:r>
        <w:rPr>
          <w:color w:val="231F20"/>
          <w:sz w:val="20"/>
        </w:rPr>
        <w:t>собственного</w:t>
      </w:r>
      <w:r>
        <w:rPr>
          <w:color w:val="231F20"/>
          <w:spacing w:val="-13"/>
          <w:sz w:val="20"/>
        </w:rPr>
        <w:t> </w:t>
      </w:r>
      <w:r>
        <w:rPr>
          <w:color w:val="231F20"/>
          <w:sz w:val="20"/>
        </w:rPr>
        <w:t>отношения</w:t>
      </w:r>
      <w:r>
        <w:rPr>
          <w:color w:val="231F20"/>
          <w:spacing w:val="-12"/>
          <w:sz w:val="20"/>
        </w:rPr>
        <w:t> </w:t>
      </w:r>
      <w:r>
        <w:rPr>
          <w:color w:val="231F20"/>
          <w:sz w:val="20"/>
        </w:rPr>
        <w:t>к</w:t>
      </w:r>
      <w:r>
        <w:rPr>
          <w:color w:val="231F20"/>
          <w:spacing w:val="-13"/>
          <w:sz w:val="20"/>
        </w:rPr>
        <w:t> </w:t>
      </w:r>
      <w:r>
        <w:rPr>
          <w:color w:val="231F20"/>
          <w:sz w:val="20"/>
        </w:rPr>
        <w:t>культурному </w:t>
      </w:r>
      <w:r>
        <w:rPr>
          <w:color w:val="231F20"/>
          <w:spacing w:val="-2"/>
          <w:sz w:val="20"/>
        </w:rPr>
        <w:t>разнообразию,</w:t>
      </w:r>
    </w:p>
    <w:p>
      <w:pPr>
        <w:pStyle w:val="ListParagraph"/>
        <w:spacing w:after="0" w:line="235" w:lineRule="auto"/>
        <w:jc w:val="left"/>
        <w:rPr>
          <w:sz w:val="20"/>
        </w:rPr>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pStyle w:val="ListParagraph"/>
        <w:numPr>
          <w:ilvl w:val="0"/>
          <w:numId w:val="256"/>
        </w:numPr>
        <w:tabs>
          <w:tab w:pos="424" w:val="left" w:leader="none"/>
        </w:tabs>
        <w:spacing w:line="226" w:lineRule="exact" w:before="98" w:after="0"/>
        <w:ind w:left="424" w:right="0" w:hanging="283"/>
        <w:jc w:val="left"/>
        <w:rPr>
          <w:sz w:val="20"/>
        </w:rPr>
      </w:pPr>
      <w:r>
        <w:rPr>
          <w:color w:val="231F20"/>
          <w:sz w:val="20"/>
        </w:rPr>
        <w:t>знакомство</w:t>
      </w:r>
      <w:r>
        <w:rPr>
          <w:color w:val="231F20"/>
          <w:spacing w:val="-11"/>
          <w:sz w:val="20"/>
        </w:rPr>
        <w:t> </w:t>
      </w:r>
      <w:r>
        <w:rPr>
          <w:color w:val="231F20"/>
          <w:sz w:val="20"/>
        </w:rPr>
        <w:t>с</w:t>
      </w:r>
      <w:r>
        <w:rPr>
          <w:color w:val="231F20"/>
          <w:spacing w:val="-10"/>
          <w:sz w:val="20"/>
        </w:rPr>
        <w:t> </w:t>
      </w:r>
      <w:r>
        <w:rPr>
          <w:color w:val="231F20"/>
          <w:sz w:val="20"/>
        </w:rPr>
        <w:t>моделью</w:t>
      </w:r>
      <w:r>
        <w:rPr>
          <w:color w:val="231F20"/>
          <w:spacing w:val="-10"/>
          <w:sz w:val="20"/>
        </w:rPr>
        <w:t> </w:t>
      </w:r>
      <w:r>
        <w:rPr>
          <w:color w:val="231F20"/>
          <w:spacing w:val="-2"/>
          <w:sz w:val="20"/>
        </w:rPr>
        <w:t>DOPA,</w:t>
      </w:r>
    </w:p>
    <w:p>
      <w:pPr>
        <w:pStyle w:val="ListParagraph"/>
        <w:numPr>
          <w:ilvl w:val="0"/>
          <w:numId w:val="256"/>
        </w:numPr>
        <w:tabs>
          <w:tab w:pos="425" w:val="left" w:leader="none"/>
        </w:tabs>
        <w:spacing w:line="235" w:lineRule="auto" w:before="4" w:after="0"/>
        <w:ind w:left="425" w:right="139" w:hanging="284"/>
        <w:jc w:val="both"/>
        <w:rPr>
          <w:sz w:val="20"/>
        </w:rPr>
      </w:pPr>
      <w:r>
        <w:rPr>
          <w:color w:val="231F20"/>
          <w:sz w:val="20"/>
        </w:rPr>
        <w:t>критическое осмысление различных вариантов отношения к культурному разно- </w:t>
      </w:r>
      <w:r>
        <w:rPr>
          <w:color w:val="231F20"/>
          <w:spacing w:val="-2"/>
          <w:sz w:val="20"/>
        </w:rPr>
        <w:t>образию,</w:t>
      </w:r>
    </w:p>
    <w:p>
      <w:pPr>
        <w:pStyle w:val="ListParagraph"/>
        <w:numPr>
          <w:ilvl w:val="0"/>
          <w:numId w:val="256"/>
        </w:numPr>
        <w:tabs>
          <w:tab w:pos="424" w:val="left" w:leader="none"/>
        </w:tabs>
        <w:spacing w:line="227" w:lineRule="exact" w:before="0" w:after="0"/>
        <w:ind w:left="424" w:right="0" w:hanging="283"/>
        <w:jc w:val="both"/>
        <w:rPr>
          <w:sz w:val="20"/>
        </w:rPr>
      </w:pPr>
      <w:r>
        <w:rPr>
          <w:color w:val="231F20"/>
          <w:sz w:val="20"/>
        </w:rPr>
        <w:t>проектирование</w:t>
      </w:r>
      <w:r>
        <w:rPr>
          <w:color w:val="231F20"/>
          <w:spacing w:val="-7"/>
          <w:sz w:val="20"/>
        </w:rPr>
        <w:t> </w:t>
      </w:r>
      <w:r>
        <w:rPr>
          <w:color w:val="231F20"/>
          <w:sz w:val="20"/>
        </w:rPr>
        <w:t>использования</w:t>
      </w:r>
      <w:r>
        <w:rPr>
          <w:color w:val="231F20"/>
          <w:spacing w:val="-4"/>
          <w:sz w:val="20"/>
        </w:rPr>
        <w:t> </w:t>
      </w:r>
      <w:r>
        <w:rPr>
          <w:color w:val="231F20"/>
          <w:sz w:val="20"/>
        </w:rPr>
        <w:t>материала</w:t>
      </w:r>
      <w:r>
        <w:rPr>
          <w:color w:val="231F20"/>
          <w:spacing w:val="-5"/>
          <w:sz w:val="20"/>
        </w:rPr>
        <w:t> </w:t>
      </w:r>
      <w:r>
        <w:rPr>
          <w:color w:val="231F20"/>
          <w:sz w:val="20"/>
        </w:rPr>
        <w:t>семинара</w:t>
      </w:r>
      <w:r>
        <w:rPr>
          <w:color w:val="231F20"/>
          <w:spacing w:val="-4"/>
          <w:sz w:val="20"/>
        </w:rPr>
        <w:t> </w:t>
      </w:r>
      <w:r>
        <w:rPr>
          <w:color w:val="231F20"/>
          <w:sz w:val="20"/>
        </w:rPr>
        <w:t>в</w:t>
      </w:r>
      <w:r>
        <w:rPr>
          <w:color w:val="231F20"/>
          <w:spacing w:val="-5"/>
          <w:sz w:val="20"/>
        </w:rPr>
        <w:t> </w:t>
      </w:r>
      <w:r>
        <w:rPr>
          <w:color w:val="231F20"/>
          <w:sz w:val="20"/>
        </w:rPr>
        <w:t>личном</w:t>
      </w:r>
      <w:r>
        <w:rPr>
          <w:color w:val="231F20"/>
          <w:spacing w:val="-4"/>
          <w:sz w:val="20"/>
        </w:rPr>
        <w:t> </w:t>
      </w:r>
      <w:r>
        <w:rPr>
          <w:color w:val="231F20"/>
          <w:spacing w:val="-2"/>
          <w:sz w:val="20"/>
        </w:rPr>
        <w:t>опыте.</w:t>
      </w:r>
    </w:p>
    <w:p>
      <w:pPr>
        <w:pStyle w:val="BodyText"/>
        <w:spacing w:line="235" w:lineRule="auto" w:before="179"/>
      </w:pPr>
      <w:r>
        <w:rPr>
          <w:color w:val="231F20"/>
        </w:rPr>
        <w:t>Ведущий заранее готовит квадратики четырех различных цветов, соответствую- щих четырем вариантам отношения к культурному разнообразию. Затем ведущий предлагает</w:t>
      </w:r>
      <w:r>
        <w:rPr>
          <w:color w:val="231F20"/>
          <w:spacing w:val="-4"/>
        </w:rPr>
        <w:t> </w:t>
      </w:r>
      <w:r>
        <w:rPr>
          <w:color w:val="231F20"/>
        </w:rPr>
        <w:t>участникам</w:t>
      </w:r>
      <w:r>
        <w:rPr>
          <w:color w:val="231F20"/>
          <w:spacing w:val="-4"/>
        </w:rPr>
        <w:t> </w:t>
      </w:r>
      <w:r>
        <w:rPr>
          <w:color w:val="231F20"/>
        </w:rPr>
        <w:t>встать</w:t>
      </w:r>
      <w:r>
        <w:rPr>
          <w:color w:val="231F20"/>
          <w:spacing w:val="-4"/>
        </w:rPr>
        <w:t> </w:t>
      </w:r>
      <w:r>
        <w:rPr>
          <w:color w:val="231F20"/>
        </w:rPr>
        <w:t>в</w:t>
      </w:r>
      <w:r>
        <w:rPr>
          <w:color w:val="231F20"/>
          <w:spacing w:val="-4"/>
        </w:rPr>
        <w:t> </w:t>
      </w:r>
      <w:r>
        <w:rPr>
          <w:color w:val="231F20"/>
        </w:rPr>
        <w:t>линию,</w:t>
      </w:r>
      <w:r>
        <w:rPr>
          <w:color w:val="231F20"/>
          <w:spacing w:val="-4"/>
        </w:rPr>
        <w:t> </w:t>
      </w:r>
      <w:r>
        <w:rPr>
          <w:color w:val="231F20"/>
        </w:rPr>
        <w:t>причем</w:t>
      </w:r>
      <w:r>
        <w:rPr>
          <w:color w:val="231F20"/>
          <w:spacing w:val="-4"/>
        </w:rPr>
        <w:t> </w:t>
      </w:r>
      <w:r>
        <w:rPr>
          <w:color w:val="231F20"/>
        </w:rPr>
        <w:t>один</w:t>
      </w:r>
      <w:r>
        <w:rPr>
          <w:color w:val="231F20"/>
          <w:spacing w:val="-4"/>
        </w:rPr>
        <w:t> </w:t>
      </w:r>
      <w:r>
        <w:rPr>
          <w:color w:val="231F20"/>
        </w:rPr>
        <w:t>полюс</w:t>
      </w:r>
      <w:r>
        <w:rPr>
          <w:color w:val="231F20"/>
          <w:spacing w:val="-4"/>
        </w:rPr>
        <w:t> </w:t>
      </w:r>
      <w:r>
        <w:rPr>
          <w:color w:val="231F20"/>
        </w:rPr>
        <w:t>этой</w:t>
      </w:r>
      <w:r>
        <w:rPr>
          <w:color w:val="231F20"/>
          <w:spacing w:val="-4"/>
        </w:rPr>
        <w:t> </w:t>
      </w:r>
      <w:r>
        <w:rPr>
          <w:color w:val="231F20"/>
        </w:rPr>
        <w:t>линии</w:t>
      </w:r>
      <w:r>
        <w:rPr>
          <w:color w:val="231F20"/>
          <w:spacing w:val="-4"/>
        </w:rPr>
        <w:t> </w:t>
      </w:r>
      <w:r>
        <w:rPr>
          <w:color w:val="231F20"/>
        </w:rPr>
        <w:t>соответству- ет согласию, а другой – несогласию. Далее ведущий в случайном порядке озвучива- ет утверждения, характеризующие различные варианты отношения к разнообразию (например, «Лучше меньше говорить о культурных различиях, это поможет детям адаптироваться», «Работая с детьми-мигрантами, я учусь новому» и т.д. ) Ведущий предлагает</w:t>
      </w:r>
      <w:r>
        <w:rPr>
          <w:color w:val="231F20"/>
          <w:spacing w:val="-4"/>
        </w:rPr>
        <w:t> </w:t>
      </w:r>
      <w:r>
        <w:rPr>
          <w:color w:val="231F20"/>
        </w:rPr>
        <w:t>участникам</w:t>
      </w:r>
      <w:r>
        <w:rPr>
          <w:color w:val="231F20"/>
          <w:spacing w:val="-4"/>
        </w:rPr>
        <w:t> </w:t>
      </w:r>
      <w:r>
        <w:rPr>
          <w:color w:val="231F20"/>
        </w:rPr>
        <w:t>занять</w:t>
      </w:r>
      <w:r>
        <w:rPr>
          <w:color w:val="231F20"/>
          <w:spacing w:val="-4"/>
        </w:rPr>
        <w:t> </w:t>
      </w:r>
      <w:r>
        <w:rPr>
          <w:color w:val="231F20"/>
        </w:rPr>
        <w:t>место</w:t>
      </w:r>
      <w:r>
        <w:rPr>
          <w:color w:val="231F20"/>
          <w:spacing w:val="-4"/>
        </w:rPr>
        <w:t> </w:t>
      </w:r>
      <w:r>
        <w:rPr>
          <w:color w:val="231F20"/>
        </w:rPr>
        <w:t>на</w:t>
      </w:r>
      <w:r>
        <w:rPr>
          <w:color w:val="231F20"/>
          <w:spacing w:val="-4"/>
        </w:rPr>
        <w:t> </w:t>
      </w:r>
      <w:r>
        <w:rPr>
          <w:color w:val="231F20"/>
        </w:rPr>
        <w:t>линии,</w:t>
      </w:r>
      <w:r>
        <w:rPr>
          <w:color w:val="231F20"/>
          <w:spacing w:val="-4"/>
        </w:rPr>
        <w:t> </w:t>
      </w:r>
      <w:r>
        <w:rPr>
          <w:color w:val="231F20"/>
        </w:rPr>
        <w:t>отражающее</w:t>
      </w:r>
      <w:r>
        <w:rPr>
          <w:color w:val="231F20"/>
          <w:spacing w:val="-4"/>
        </w:rPr>
        <w:t> </w:t>
      </w:r>
      <w:r>
        <w:rPr>
          <w:color w:val="231F20"/>
        </w:rPr>
        <w:t>степень</w:t>
      </w:r>
      <w:r>
        <w:rPr>
          <w:color w:val="231F20"/>
          <w:spacing w:val="-4"/>
        </w:rPr>
        <w:t> </w:t>
      </w:r>
      <w:r>
        <w:rPr>
          <w:color w:val="231F20"/>
        </w:rPr>
        <w:t>его</w:t>
      </w:r>
      <w:r>
        <w:rPr>
          <w:color w:val="231F20"/>
          <w:spacing w:val="-4"/>
        </w:rPr>
        <w:t> </w:t>
      </w:r>
      <w:r>
        <w:rPr>
          <w:color w:val="231F20"/>
        </w:rPr>
        <w:t>согласия/не- согласия к данными утверждениями, и просит двух-трех желающих объяснить свою позицию. Затем согласным ведущий выдает квадратики соответствующего цвета.</w:t>
      </w:r>
    </w:p>
    <w:p>
      <w:pPr>
        <w:pStyle w:val="BodyText"/>
        <w:spacing w:line="232" w:lineRule="auto"/>
      </w:pPr>
      <w:r>
        <w:rPr>
          <w:color w:val="231F20"/>
        </w:rPr>
        <w:t>Затем ведущий знакомит участников с моделью DOPA</w:t>
      </w:r>
      <w:r>
        <w:rPr>
          <w:color w:val="231F20"/>
          <w:spacing w:val="-6"/>
        </w:rPr>
        <w:t> </w:t>
      </w:r>
      <w:r>
        <w:rPr>
          <w:color w:val="231F20"/>
        </w:rPr>
        <w:t>и предлагает посмотреть, какие квадратики кому достались. Ведущий рассказывает, какому варианту отноше- ния к культурным различиям соответствует каждый квадратик. Если у педагога не имеется</w:t>
      </w:r>
      <w:r>
        <w:rPr>
          <w:color w:val="231F20"/>
          <w:spacing w:val="-9"/>
        </w:rPr>
        <w:t> </w:t>
      </w:r>
      <w:r>
        <w:rPr>
          <w:color w:val="231F20"/>
        </w:rPr>
        <w:t>одного</w:t>
      </w:r>
      <w:r>
        <w:rPr>
          <w:color w:val="231F20"/>
          <w:spacing w:val="-9"/>
        </w:rPr>
        <w:t> </w:t>
      </w:r>
      <w:r>
        <w:rPr>
          <w:color w:val="231F20"/>
        </w:rPr>
        <w:t>выраженного</w:t>
      </w:r>
      <w:r>
        <w:rPr>
          <w:color w:val="231F20"/>
          <w:spacing w:val="-9"/>
        </w:rPr>
        <w:t> </w:t>
      </w:r>
      <w:r>
        <w:rPr>
          <w:color w:val="231F20"/>
        </w:rPr>
        <w:t>варианта,</w:t>
      </w:r>
      <w:r>
        <w:rPr>
          <w:color w:val="231F20"/>
          <w:spacing w:val="33"/>
        </w:rPr>
        <w:t> </w:t>
      </w:r>
      <w:r>
        <w:rPr>
          <w:color w:val="231F20"/>
        </w:rPr>
        <w:t>это</w:t>
      </w:r>
      <w:r>
        <w:rPr>
          <w:color w:val="231F20"/>
          <w:spacing w:val="-9"/>
        </w:rPr>
        <w:t> </w:t>
      </w:r>
      <w:r>
        <w:rPr>
          <w:color w:val="231F20"/>
        </w:rPr>
        <w:t>необходимо</w:t>
      </w:r>
      <w:r>
        <w:rPr>
          <w:color w:val="231F20"/>
          <w:spacing w:val="-9"/>
        </w:rPr>
        <w:t> </w:t>
      </w:r>
      <w:r>
        <w:rPr>
          <w:color w:val="231F20"/>
        </w:rPr>
        <w:t>нормализовать,</w:t>
      </w:r>
      <w:r>
        <w:rPr>
          <w:color w:val="231F20"/>
          <w:spacing w:val="-9"/>
        </w:rPr>
        <w:t> </w:t>
      </w:r>
      <w:r>
        <w:rPr>
          <w:color w:val="231F20"/>
        </w:rPr>
        <w:t>подчеркнув, что каждый учитель может иметь различные, в том и амбивалентные установки по отношению к культурным различиям. Важно акцентировать, что</w:t>
      </w:r>
      <w:r>
        <w:rPr>
          <w:color w:val="231F20"/>
          <w:spacing w:val="40"/>
        </w:rPr>
        <w:t> </w:t>
      </w:r>
      <w:r>
        <w:rPr>
          <w:color w:val="231F20"/>
        </w:rPr>
        <w:t>это не оценка, а самоанализ, верных или неверных вариантов не предполагается.</w:t>
      </w:r>
    </w:p>
    <w:p>
      <w:pPr>
        <w:pStyle w:val="BodyText"/>
        <w:spacing w:line="232" w:lineRule="auto"/>
        <w:ind w:right="140"/>
      </w:pPr>
      <w:r>
        <w:rPr>
          <w:color w:val="231F20"/>
        </w:rPr>
        <w:t>Ниже приводится возможный вариант утверждений и их соответствие основным видам восприятия культурных различий</w:t>
      </w:r>
    </w:p>
    <w:p>
      <w:pPr>
        <w:pStyle w:val="ListParagraph"/>
        <w:numPr>
          <w:ilvl w:val="0"/>
          <w:numId w:val="257"/>
        </w:numPr>
        <w:tabs>
          <w:tab w:pos="425" w:val="left" w:leader="none"/>
        </w:tabs>
        <w:spacing w:line="232" w:lineRule="auto" w:before="0" w:after="0"/>
        <w:ind w:left="425" w:right="139" w:hanging="284"/>
        <w:jc w:val="both"/>
        <w:rPr>
          <w:i/>
          <w:sz w:val="20"/>
        </w:rPr>
      </w:pPr>
      <w:r>
        <w:rPr>
          <w:color w:val="231F20"/>
          <w:sz w:val="20"/>
        </w:rPr>
        <w:t>Детям важно и ценно изучать информацию о культурах других детей, которые учатся с ними в одном классе </w:t>
      </w:r>
      <w:r>
        <w:rPr>
          <w:i/>
          <w:color w:val="231F20"/>
          <w:sz w:val="20"/>
        </w:rPr>
        <w:t>ресурс</w:t>
      </w:r>
    </w:p>
    <w:p>
      <w:pPr>
        <w:pStyle w:val="ListParagraph"/>
        <w:numPr>
          <w:ilvl w:val="0"/>
          <w:numId w:val="257"/>
        </w:numPr>
        <w:tabs>
          <w:tab w:pos="424" w:val="left" w:leader="none"/>
        </w:tabs>
        <w:spacing w:line="223" w:lineRule="exact" w:before="0" w:after="0"/>
        <w:ind w:left="424" w:right="0" w:hanging="283"/>
        <w:jc w:val="both"/>
        <w:rPr>
          <w:i/>
          <w:sz w:val="20"/>
        </w:rPr>
      </w:pPr>
      <w:r>
        <w:rPr>
          <w:color w:val="231F20"/>
          <w:spacing w:val="-2"/>
          <w:sz w:val="20"/>
        </w:rPr>
        <w:t>Учитель</w:t>
      </w:r>
      <w:r>
        <w:rPr>
          <w:color w:val="231F20"/>
          <w:spacing w:val="-4"/>
          <w:sz w:val="20"/>
        </w:rPr>
        <w:t> </w:t>
      </w:r>
      <w:r>
        <w:rPr>
          <w:color w:val="231F20"/>
          <w:spacing w:val="-2"/>
          <w:sz w:val="20"/>
        </w:rPr>
        <w:t>не</w:t>
      </w:r>
      <w:r>
        <w:rPr>
          <w:color w:val="231F20"/>
          <w:spacing w:val="-4"/>
          <w:sz w:val="20"/>
        </w:rPr>
        <w:t> </w:t>
      </w:r>
      <w:r>
        <w:rPr>
          <w:color w:val="231F20"/>
          <w:spacing w:val="-2"/>
          <w:sz w:val="20"/>
        </w:rPr>
        <w:t>может</w:t>
      </w:r>
      <w:r>
        <w:rPr>
          <w:color w:val="231F20"/>
          <w:spacing w:val="-4"/>
          <w:sz w:val="20"/>
        </w:rPr>
        <w:t> </w:t>
      </w:r>
      <w:r>
        <w:rPr>
          <w:color w:val="231F20"/>
          <w:spacing w:val="-2"/>
          <w:sz w:val="20"/>
        </w:rPr>
        <w:t>адаптировать</w:t>
      </w:r>
      <w:r>
        <w:rPr>
          <w:color w:val="231F20"/>
          <w:spacing w:val="-4"/>
          <w:sz w:val="20"/>
        </w:rPr>
        <w:t> </w:t>
      </w:r>
      <w:r>
        <w:rPr>
          <w:color w:val="231F20"/>
          <w:spacing w:val="-2"/>
          <w:sz w:val="20"/>
        </w:rPr>
        <w:t>детей</w:t>
      </w:r>
      <w:r>
        <w:rPr>
          <w:color w:val="231F20"/>
          <w:spacing w:val="-4"/>
          <w:sz w:val="20"/>
        </w:rPr>
        <w:t> </w:t>
      </w:r>
      <w:r>
        <w:rPr>
          <w:color w:val="231F20"/>
          <w:spacing w:val="-2"/>
          <w:sz w:val="20"/>
        </w:rPr>
        <w:t>мигрантов,</w:t>
      </w:r>
      <w:r>
        <w:rPr>
          <w:color w:val="231F20"/>
          <w:spacing w:val="-4"/>
          <w:sz w:val="20"/>
        </w:rPr>
        <w:t> </w:t>
      </w:r>
      <w:r>
        <w:rPr>
          <w:color w:val="231F20"/>
          <w:spacing w:val="-2"/>
          <w:sz w:val="20"/>
        </w:rPr>
        <w:t>это</w:t>
      </w:r>
      <w:r>
        <w:rPr>
          <w:color w:val="231F20"/>
          <w:spacing w:val="-4"/>
          <w:sz w:val="20"/>
        </w:rPr>
        <w:t> </w:t>
      </w:r>
      <w:r>
        <w:rPr>
          <w:color w:val="231F20"/>
          <w:spacing w:val="-2"/>
          <w:sz w:val="20"/>
        </w:rPr>
        <w:t>задача</w:t>
      </w:r>
      <w:r>
        <w:rPr>
          <w:color w:val="231F20"/>
          <w:spacing w:val="-4"/>
          <w:sz w:val="20"/>
        </w:rPr>
        <w:t> </w:t>
      </w:r>
      <w:r>
        <w:rPr>
          <w:color w:val="231F20"/>
          <w:spacing w:val="-2"/>
          <w:sz w:val="20"/>
        </w:rPr>
        <w:t>государства</w:t>
      </w:r>
      <w:r>
        <w:rPr>
          <w:color w:val="231F20"/>
          <w:spacing w:val="-4"/>
          <w:sz w:val="20"/>
        </w:rPr>
        <w:t> </w:t>
      </w:r>
      <w:r>
        <w:rPr>
          <w:i/>
          <w:color w:val="231F20"/>
          <w:spacing w:val="-2"/>
          <w:sz w:val="20"/>
        </w:rPr>
        <w:t>проблема</w:t>
      </w:r>
    </w:p>
    <w:p>
      <w:pPr>
        <w:pStyle w:val="ListParagraph"/>
        <w:numPr>
          <w:ilvl w:val="0"/>
          <w:numId w:val="257"/>
        </w:numPr>
        <w:tabs>
          <w:tab w:pos="425" w:val="left" w:leader="none"/>
        </w:tabs>
        <w:spacing w:line="232" w:lineRule="auto" w:before="1" w:after="0"/>
        <w:ind w:left="425" w:right="140" w:hanging="284"/>
        <w:jc w:val="left"/>
        <w:rPr>
          <w:i/>
          <w:sz w:val="20"/>
        </w:rPr>
      </w:pPr>
      <w:r>
        <w:rPr>
          <w:color w:val="231F20"/>
          <w:sz w:val="20"/>
        </w:rPr>
        <w:t>Работа с детьми мигрантами требует от учителя особых усилий и постоянного</w:t>
      </w:r>
      <w:r>
        <w:rPr>
          <w:color w:val="231F20"/>
          <w:spacing w:val="40"/>
          <w:sz w:val="20"/>
        </w:rPr>
        <w:t> </w:t>
      </w:r>
      <w:r>
        <w:rPr>
          <w:color w:val="231F20"/>
          <w:sz w:val="20"/>
        </w:rPr>
        <w:t>внимания </w:t>
      </w:r>
      <w:r>
        <w:rPr>
          <w:i/>
          <w:color w:val="231F20"/>
          <w:sz w:val="20"/>
        </w:rPr>
        <w:t>вызов</w:t>
      </w:r>
    </w:p>
    <w:p>
      <w:pPr>
        <w:pStyle w:val="ListParagraph"/>
        <w:numPr>
          <w:ilvl w:val="0"/>
          <w:numId w:val="257"/>
        </w:numPr>
        <w:tabs>
          <w:tab w:pos="425" w:val="left" w:leader="none"/>
        </w:tabs>
        <w:spacing w:line="223" w:lineRule="exact" w:before="0" w:after="0"/>
        <w:ind w:left="425" w:right="0" w:hanging="284"/>
        <w:jc w:val="left"/>
        <w:rPr>
          <w:i/>
          <w:sz w:val="20"/>
        </w:rPr>
      </w:pPr>
      <w:r>
        <w:rPr>
          <w:color w:val="231F20"/>
          <w:sz w:val="20"/>
        </w:rPr>
        <w:t>Среди</w:t>
      </w:r>
      <w:r>
        <w:rPr>
          <w:color w:val="231F20"/>
          <w:spacing w:val="-7"/>
          <w:sz w:val="20"/>
        </w:rPr>
        <w:t> </w:t>
      </w:r>
      <w:r>
        <w:rPr>
          <w:color w:val="231F20"/>
          <w:sz w:val="20"/>
        </w:rPr>
        <w:t>детей</w:t>
      </w:r>
      <w:r>
        <w:rPr>
          <w:color w:val="231F20"/>
          <w:spacing w:val="-5"/>
          <w:sz w:val="20"/>
        </w:rPr>
        <w:t> </w:t>
      </w:r>
      <w:r>
        <w:rPr>
          <w:color w:val="231F20"/>
          <w:sz w:val="20"/>
        </w:rPr>
        <w:t>мигрантов</w:t>
      </w:r>
      <w:r>
        <w:rPr>
          <w:color w:val="231F20"/>
          <w:spacing w:val="-5"/>
          <w:sz w:val="20"/>
        </w:rPr>
        <w:t> </w:t>
      </w:r>
      <w:r>
        <w:rPr>
          <w:color w:val="231F20"/>
          <w:sz w:val="20"/>
        </w:rPr>
        <w:t>много</w:t>
      </w:r>
      <w:r>
        <w:rPr>
          <w:color w:val="231F20"/>
          <w:spacing w:val="-4"/>
          <w:sz w:val="20"/>
        </w:rPr>
        <w:t> </w:t>
      </w:r>
      <w:r>
        <w:rPr>
          <w:color w:val="231F20"/>
          <w:sz w:val="20"/>
        </w:rPr>
        <w:t>талантливых</w:t>
      </w:r>
      <w:r>
        <w:rPr>
          <w:color w:val="231F20"/>
          <w:spacing w:val="-4"/>
          <w:sz w:val="20"/>
        </w:rPr>
        <w:t> </w:t>
      </w:r>
      <w:r>
        <w:rPr>
          <w:color w:val="231F20"/>
          <w:sz w:val="20"/>
        </w:rPr>
        <w:t>и</w:t>
      </w:r>
      <w:r>
        <w:rPr>
          <w:color w:val="231F20"/>
          <w:spacing w:val="-5"/>
          <w:sz w:val="20"/>
        </w:rPr>
        <w:t> </w:t>
      </w:r>
      <w:r>
        <w:rPr>
          <w:color w:val="231F20"/>
          <w:sz w:val="20"/>
        </w:rPr>
        <w:t>умных</w:t>
      </w:r>
      <w:r>
        <w:rPr>
          <w:color w:val="231F20"/>
          <w:spacing w:val="-4"/>
          <w:sz w:val="20"/>
        </w:rPr>
        <w:t> </w:t>
      </w:r>
      <w:r>
        <w:rPr>
          <w:color w:val="231F20"/>
          <w:sz w:val="20"/>
        </w:rPr>
        <w:t>ребят</w:t>
      </w:r>
      <w:r>
        <w:rPr>
          <w:color w:val="231F20"/>
          <w:spacing w:val="-3"/>
          <w:sz w:val="20"/>
        </w:rPr>
        <w:t> </w:t>
      </w:r>
      <w:r>
        <w:rPr>
          <w:i/>
          <w:color w:val="231F20"/>
          <w:spacing w:val="-2"/>
          <w:sz w:val="20"/>
        </w:rPr>
        <w:t>ресурс</w:t>
      </w:r>
    </w:p>
    <w:p>
      <w:pPr>
        <w:pStyle w:val="ListParagraph"/>
        <w:numPr>
          <w:ilvl w:val="0"/>
          <w:numId w:val="257"/>
        </w:numPr>
        <w:tabs>
          <w:tab w:pos="425" w:val="left" w:leader="none"/>
        </w:tabs>
        <w:spacing w:line="224" w:lineRule="exact" w:before="0" w:after="0"/>
        <w:ind w:left="425" w:right="0" w:hanging="284"/>
        <w:jc w:val="left"/>
        <w:rPr>
          <w:i/>
          <w:sz w:val="20"/>
        </w:rPr>
      </w:pPr>
      <w:r>
        <w:rPr>
          <w:color w:val="231F20"/>
          <w:sz w:val="20"/>
        </w:rPr>
        <w:t>Дети</w:t>
      </w:r>
      <w:r>
        <w:rPr>
          <w:color w:val="231F20"/>
          <w:spacing w:val="-4"/>
          <w:sz w:val="20"/>
        </w:rPr>
        <w:t> </w:t>
      </w:r>
      <w:r>
        <w:rPr>
          <w:color w:val="231F20"/>
          <w:sz w:val="20"/>
        </w:rPr>
        <w:t>- мигранты такие же как все остальные дети</w:t>
      </w:r>
      <w:r>
        <w:rPr>
          <w:color w:val="231F20"/>
          <w:spacing w:val="-1"/>
          <w:sz w:val="20"/>
        </w:rPr>
        <w:t> </w:t>
      </w:r>
      <w:r>
        <w:rPr>
          <w:i/>
          <w:color w:val="231F20"/>
          <w:spacing w:val="-2"/>
          <w:sz w:val="20"/>
        </w:rPr>
        <w:t>безразличие</w:t>
      </w:r>
    </w:p>
    <w:p>
      <w:pPr>
        <w:pStyle w:val="ListParagraph"/>
        <w:numPr>
          <w:ilvl w:val="0"/>
          <w:numId w:val="257"/>
        </w:numPr>
        <w:tabs>
          <w:tab w:pos="425" w:val="left" w:leader="none"/>
        </w:tabs>
        <w:spacing w:line="232" w:lineRule="auto" w:before="3" w:after="0"/>
        <w:ind w:left="425" w:right="139" w:hanging="284"/>
        <w:jc w:val="left"/>
        <w:rPr>
          <w:i/>
          <w:sz w:val="20"/>
        </w:rPr>
      </w:pPr>
      <w:r>
        <w:rPr>
          <w:color w:val="231F20"/>
          <w:sz w:val="20"/>
        </w:rPr>
        <w:t>Для учителя обучение ребенка - мигранта - это набор профессиональных задач, которые необходимо решить </w:t>
      </w:r>
      <w:r>
        <w:rPr>
          <w:i/>
          <w:color w:val="231F20"/>
          <w:sz w:val="20"/>
        </w:rPr>
        <w:t>вызов</w:t>
      </w:r>
    </w:p>
    <w:p>
      <w:pPr>
        <w:pStyle w:val="ListParagraph"/>
        <w:numPr>
          <w:ilvl w:val="0"/>
          <w:numId w:val="257"/>
        </w:numPr>
        <w:tabs>
          <w:tab w:pos="425" w:val="left" w:leader="none"/>
        </w:tabs>
        <w:spacing w:line="223" w:lineRule="exact" w:before="0" w:after="0"/>
        <w:ind w:left="425" w:right="0" w:hanging="284"/>
        <w:jc w:val="left"/>
        <w:rPr>
          <w:i/>
          <w:sz w:val="20"/>
        </w:rPr>
      </w:pPr>
      <w:r>
        <w:rPr>
          <w:color w:val="231F20"/>
          <w:sz w:val="20"/>
        </w:rPr>
        <w:t>Школа</w:t>
      </w:r>
      <w:r>
        <w:rPr>
          <w:color w:val="231F20"/>
          <w:spacing w:val="-12"/>
          <w:sz w:val="20"/>
        </w:rPr>
        <w:t> </w:t>
      </w:r>
      <w:r>
        <w:rPr>
          <w:color w:val="231F20"/>
          <w:sz w:val="20"/>
        </w:rPr>
        <w:t>–</w:t>
      </w:r>
      <w:r>
        <w:rPr>
          <w:color w:val="231F20"/>
          <w:spacing w:val="-10"/>
          <w:sz w:val="20"/>
        </w:rPr>
        <w:t> </w:t>
      </w:r>
      <w:r>
        <w:rPr>
          <w:color w:val="231F20"/>
          <w:sz w:val="20"/>
        </w:rPr>
        <w:t>это</w:t>
      </w:r>
      <w:r>
        <w:rPr>
          <w:color w:val="231F20"/>
          <w:spacing w:val="-10"/>
          <w:sz w:val="20"/>
        </w:rPr>
        <w:t> </w:t>
      </w:r>
      <w:r>
        <w:rPr>
          <w:color w:val="231F20"/>
          <w:sz w:val="20"/>
        </w:rPr>
        <w:t>такое</w:t>
      </w:r>
      <w:r>
        <w:rPr>
          <w:color w:val="231F20"/>
          <w:spacing w:val="-10"/>
          <w:sz w:val="20"/>
        </w:rPr>
        <w:t> </w:t>
      </w:r>
      <w:r>
        <w:rPr>
          <w:color w:val="231F20"/>
          <w:sz w:val="20"/>
        </w:rPr>
        <w:t>учреждение,</w:t>
      </w:r>
      <w:r>
        <w:rPr>
          <w:color w:val="231F20"/>
          <w:spacing w:val="-10"/>
          <w:sz w:val="20"/>
        </w:rPr>
        <w:t> </w:t>
      </w:r>
      <w:r>
        <w:rPr>
          <w:color w:val="231F20"/>
          <w:sz w:val="20"/>
        </w:rPr>
        <w:t>где</w:t>
      </w:r>
      <w:r>
        <w:rPr>
          <w:color w:val="231F20"/>
          <w:spacing w:val="-10"/>
          <w:sz w:val="20"/>
        </w:rPr>
        <w:t> </w:t>
      </w:r>
      <w:r>
        <w:rPr>
          <w:color w:val="231F20"/>
          <w:sz w:val="20"/>
        </w:rPr>
        <w:t>нет</w:t>
      </w:r>
      <w:r>
        <w:rPr>
          <w:color w:val="231F20"/>
          <w:spacing w:val="-10"/>
          <w:sz w:val="20"/>
        </w:rPr>
        <w:t> </w:t>
      </w:r>
      <w:r>
        <w:rPr>
          <w:color w:val="231F20"/>
          <w:sz w:val="20"/>
        </w:rPr>
        <w:t>места</w:t>
      </w:r>
      <w:r>
        <w:rPr>
          <w:color w:val="231F20"/>
          <w:spacing w:val="-10"/>
          <w:sz w:val="20"/>
        </w:rPr>
        <w:t> </w:t>
      </w:r>
      <w:r>
        <w:rPr>
          <w:color w:val="231F20"/>
          <w:sz w:val="20"/>
        </w:rPr>
        <w:t>культурным</w:t>
      </w:r>
      <w:r>
        <w:rPr>
          <w:color w:val="231F20"/>
          <w:spacing w:val="-10"/>
          <w:sz w:val="20"/>
        </w:rPr>
        <w:t> </w:t>
      </w:r>
      <w:r>
        <w:rPr>
          <w:color w:val="231F20"/>
          <w:sz w:val="20"/>
        </w:rPr>
        <w:t>особенностям</w:t>
      </w:r>
      <w:r>
        <w:rPr>
          <w:color w:val="231F20"/>
          <w:spacing w:val="-10"/>
          <w:sz w:val="20"/>
        </w:rPr>
        <w:t> </w:t>
      </w:r>
      <w:r>
        <w:rPr>
          <w:i/>
          <w:color w:val="231F20"/>
          <w:spacing w:val="-2"/>
          <w:sz w:val="20"/>
        </w:rPr>
        <w:t>проблема</w:t>
      </w:r>
    </w:p>
    <w:p>
      <w:pPr>
        <w:pStyle w:val="ListParagraph"/>
        <w:numPr>
          <w:ilvl w:val="0"/>
          <w:numId w:val="257"/>
        </w:numPr>
        <w:tabs>
          <w:tab w:pos="425" w:val="left" w:leader="none"/>
        </w:tabs>
        <w:spacing w:line="232" w:lineRule="auto" w:before="2" w:after="0"/>
        <w:ind w:left="425" w:right="139" w:hanging="284"/>
        <w:jc w:val="left"/>
        <w:rPr>
          <w:i/>
          <w:sz w:val="20"/>
        </w:rPr>
      </w:pPr>
      <w:r>
        <w:rPr>
          <w:color w:val="231F20"/>
          <w:sz w:val="20"/>
        </w:rPr>
        <w:t>Если ко всем детям в классе относиться хорошо, никаких проблем не будет </w:t>
      </w:r>
      <w:r>
        <w:rPr>
          <w:i/>
          <w:color w:val="231F20"/>
          <w:sz w:val="20"/>
        </w:rPr>
        <w:t>без- </w:t>
      </w:r>
      <w:r>
        <w:rPr>
          <w:i/>
          <w:color w:val="231F20"/>
          <w:spacing w:val="-2"/>
          <w:sz w:val="20"/>
        </w:rPr>
        <w:t>различие</w:t>
      </w:r>
    </w:p>
    <w:p>
      <w:pPr>
        <w:pStyle w:val="BodyText"/>
        <w:spacing w:line="235" w:lineRule="auto" w:before="178"/>
      </w:pPr>
      <w:r>
        <w:rPr>
          <w:color w:val="231F20"/>
        </w:rPr>
        <w:t>На следующем этапе участники делятся на группы. В зависимости от наличия времени</w:t>
      </w:r>
      <w:r>
        <w:rPr>
          <w:color w:val="231F20"/>
          <w:spacing w:val="-2"/>
        </w:rPr>
        <w:t> </w:t>
      </w:r>
      <w:r>
        <w:rPr>
          <w:color w:val="231F20"/>
        </w:rPr>
        <w:t>и</w:t>
      </w:r>
      <w:r>
        <w:rPr>
          <w:color w:val="231F20"/>
          <w:spacing w:val="-2"/>
        </w:rPr>
        <w:t> </w:t>
      </w:r>
      <w:r>
        <w:rPr>
          <w:color w:val="231F20"/>
        </w:rPr>
        <w:t>количества</w:t>
      </w:r>
      <w:r>
        <w:rPr>
          <w:color w:val="231F20"/>
          <w:spacing w:val="-2"/>
        </w:rPr>
        <w:t> </w:t>
      </w:r>
      <w:r>
        <w:rPr>
          <w:color w:val="231F20"/>
        </w:rPr>
        <w:t>участников</w:t>
      </w:r>
      <w:r>
        <w:rPr>
          <w:color w:val="231F20"/>
          <w:spacing w:val="40"/>
        </w:rPr>
        <w:t> </w:t>
      </w:r>
      <w:r>
        <w:rPr>
          <w:color w:val="231F20"/>
        </w:rPr>
        <w:t>возможно</w:t>
      </w:r>
      <w:r>
        <w:rPr>
          <w:color w:val="231F20"/>
          <w:spacing w:val="-2"/>
        </w:rPr>
        <w:t> </w:t>
      </w:r>
      <w:r>
        <w:rPr>
          <w:color w:val="231F20"/>
        </w:rPr>
        <w:t>разделение</w:t>
      </w:r>
      <w:r>
        <w:rPr>
          <w:color w:val="231F20"/>
          <w:spacing w:val="-2"/>
        </w:rPr>
        <w:t> </w:t>
      </w:r>
      <w:r>
        <w:rPr>
          <w:color w:val="231F20"/>
        </w:rPr>
        <w:t>на</w:t>
      </w:r>
      <w:r>
        <w:rPr>
          <w:color w:val="231F20"/>
          <w:spacing w:val="-1"/>
        </w:rPr>
        <w:t> </w:t>
      </w:r>
      <w:r>
        <w:rPr>
          <w:color w:val="231F20"/>
        </w:rPr>
        <w:t>2,</w:t>
      </w:r>
      <w:r>
        <w:rPr>
          <w:color w:val="231F20"/>
          <w:spacing w:val="-2"/>
        </w:rPr>
        <w:t> </w:t>
      </w:r>
      <w:r>
        <w:rPr>
          <w:color w:val="231F20"/>
        </w:rPr>
        <w:t>3</w:t>
      </w:r>
      <w:r>
        <w:rPr>
          <w:color w:val="231F20"/>
          <w:spacing w:val="-2"/>
        </w:rPr>
        <w:t> </w:t>
      </w:r>
      <w:r>
        <w:rPr>
          <w:color w:val="231F20"/>
        </w:rPr>
        <w:t>или</w:t>
      </w:r>
      <w:r>
        <w:rPr>
          <w:color w:val="231F20"/>
          <w:spacing w:val="-1"/>
        </w:rPr>
        <w:t> </w:t>
      </w:r>
      <w:r>
        <w:rPr>
          <w:color w:val="231F20"/>
        </w:rPr>
        <w:t>4</w:t>
      </w:r>
      <w:r>
        <w:rPr>
          <w:color w:val="231F20"/>
          <w:spacing w:val="-2"/>
        </w:rPr>
        <w:t> </w:t>
      </w:r>
      <w:r>
        <w:rPr>
          <w:color w:val="231F20"/>
        </w:rPr>
        <w:t>группы.</w:t>
      </w:r>
      <w:r>
        <w:rPr>
          <w:color w:val="231F20"/>
          <w:spacing w:val="-1"/>
        </w:rPr>
        <w:t> </w:t>
      </w:r>
      <w:r>
        <w:rPr>
          <w:color w:val="231F20"/>
        </w:rPr>
        <w:t>Опти- мально разделить участников на 4 группы, в соответствии</w:t>
      </w:r>
      <w:r>
        <w:rPr>
          <w:color w:val="231F20"/>
          <w:spacing w:val="40"/>
        </w:rPr>
        <w:t> </w:t>
      </w:r>
      <w:r>
        <w:rPr>
          <w:color w:val="231F20"/>
        </w:rPr>
        <w:t>с вариантами отношения к культурным различиям. Если групп меньше, возможно выделить те варианты, ко- торые</w:t>
      </w:r>
      <w:r>
        <w:rPr>
          <w:color w:val="231F20"/>
          <w:spacing w:val="-8"/>
        </w:rPr>
        <w:t> </w:t>
      </w:r>
      <w:r>
        <w:rPr>
          <w:color w:val="231F20"/>
        </w:rPr>
        <w:t>в</w:t>
      </w:r>
      <w:r>
        <w:rPr>
          <w:color w:val="231F20"/>
          <w:spacing w:val="-8"/>
        </w:rPr>
        <w:t> </w:t>
      </w:r>
      <w:r>
        <w:rPr>
          <w:color w:val="231F20"/>
        </w:rPr>
        <w:t>наибольшей</w:t>
      </w:r>
      <w:r>
        <w:rPr>
          <w:color w:val="231F20"/>
          <w:spacing w:val="-8"/>
        </w:rPr>
        <w:t> </w:t>
      </w:r>
      <w:r>
        <w:rPr>
          <w:color w:val="231F20"/>
        </w:rPr>
        <w:t>степени</w:t>
      </w:r>
      <w:r>
        <w:rPr>
          <w:color w:val="231F20"/>
          <w:spacing w:val="-8"/>
        </w:rPr>
        <w:t> </w:t>
      </w:r>
      <w:r>
        <w:rPr>
          <w:color w:val="231F20"/>
        </w:rPr>
        <w:t>представлены</w:t>
      </w:r>
      <w:r>
        <w:rPr>
          <w:color w:val="231F20"/>
          <w:spacing w:val="-8"/>
        </w:rPr>
        <w:t> </w:t>
      </w:r>
      <w:r>
        <w:rPr>
          <w:color w:val="231F20"/>
        </w:rPr>
        <w:t>в</w:t>
      </w:r>
      <w:r>
        <w:rPr>
          <w:color w:val="231F20"/>
          <w:spacing w:val="-8"/>
        </w:rPr>
        <w:t> </w:t>
      </w:r>
      <w:r>
        <w:rPr>
          <w:color w:val="231F20"/>
        </w:rPr>
        <w:t>данной</w:t>
      </w:r>
      <w:r>
        <w:rPr>
          <w:color w:val="231F20"/>
          <w:spacing w:val="-8"/>
        </w:rPr>
        <w:t> </w:t>
      </w:r>
      <w:r>
        <w:rPr>
          <w:color w:val="231F20"/>
        </w:rPr>
        <w:t>группе</w:t>
      </w:r>
      <w:r>
        <w:rPr>
          <w:color w:val="231F20"/>
          <w:spacing w:val="-8"/>
        </w:rPr>
        <w:t> </w:t>
      </w:r>
      <w:r>
        <w:rPr>
          <w:color w:val="231F20"/>
        </w:rPr>
        <w:t>педагогов.</w:t>
      </w:r>
      <w:r>
        <w:rPr>
          <w:color w:val="231F20"/>
          <w:spacing w:val="-8"/>
        </w:rPr>
        <w:t> </w:t>
      </w:r>
      <w:r>
        <w:rPr>
          <w:color w:val="231F20"/>
        </w:rPr>
        <w:t>Далее</w:t>
      </w:r>
      <w:r>
        <w:rPr>
          <w:color w:val="231F20"/>
          <w:spacing w:val="-8"/>
        </w:rPr>
        <w:t> </w:t>
      </w:r>
      <w:r>
        <w:rPr>
          <w:color w:val="231F20"/>
        </w:rPr>
        <w:t>каждая группа должна подготовить список аргументов, защищающих и обосновывающих справедливость</w:t>
      </w:r>
      <w:r>
        <w:rPr>
          <w:color w:val="231F20"/>
          <w:spacing w:val="-13"/>
        </w:rPr>
        <w:t> </w:t>
      </w:r>
      <w:r>
        <w:rPr>
          <w:color w:val="231F20"/>
        </w:rPr>
        <w:t>каждого</w:t>
      </w:r>
      <w:r>
        <w:rPr>
          <w:color w:val="231F20"/>
          <w:spacing w:val="-12"/>
        </w:rPr>
        <w:t> </w:t>
      </w:r>
      <w:r>
        <w:rPr>
          <w:color w:val="231F20"/>
        </w:rPr>
        <w:t>варианта</w:t>
      </w:r>
      <w:r>
        <w:rPr>
          <w:color w:val="231F20"/>
          <w:spacing w:val="-13"/>
        </w:rPr>
        <w:t> </w:t>
      </w:r>
      <w:r>
        <w:rPr>
          <w:color w:val="231F20"/>
        </w:rPr>
        <w:t>отношений</w:t>
      </w:r>
      <w:r>
        <w:rPr>
          <w:color w:val="231F20"/>
          <w:spacing w:val="-12"/>
        </w:rPr>
        <w:t> </w:t>
      </w:r>
      <w:r>
        <w:rPr>
          <w:color w:val="231F20"/>
        </w:rPr>
        <w:t>к</w:t>
      </w:r>
      <w:r>
        <w:rPr>
          <w:color w:val="231F20"/>
          <w:spacing w:val="-13"/>
        </w:rPr>
        <w:t> </w:t>
      </w:r>
      <w:r>
        <w:rPr>
          <w:color w:val="231F20"/>
        </w:rPr>
        <w:t>культурным</w:t>
      </w:r>
      <w:r>
        <w:rPr>
          <w:color w:val="231F20"/>
          <w:spacing w:val="-12"/>
        </w:rPr>
        <w:t> </w:t>
      </w:r>
      <w:r>
        <w:rPr>
          <w:color w:val="231F20"/>
        </w:rPr>
        <w:t>различиям.</w:t>
      </w:r>
      <w:r>
        <w:rPr>
          <w:color w:val="231F20"/>
          <w:spacing w:val="-13"/>
        </w:rPr>
        <w:t> </w:t>
      </w:r>
      <w:r>
        <w:rPr>
          <w:color w:val="231F20"/>
        </w:rPr>
        <w:t>Мы</w:t>
      </w:r>
      <w:r>
        <w:rPr>
          <w:color w:val="231F20"/>
          <w:spacing w:val="-12"/>
        </w:rPr>
        <w:t> </w:t>
      </w:r>
      <w:r>
        <w:rPr>
          <w:color w:val="231F20"/>
        </w:rPr>
        <w:t>рекомен- дуем в режиме мозгового штурма составить 15-20 аргументов, а затем выделить 2-3 </w:t>
      </w:r>
      <w:r>
        <w:rPr>
          <w:color w:val="231F20"/>
          <w:spacing w:val="-2"/>
        </w:rPr>
        <w:t>основных.</w:t>
      </w:r>
    </w:p>
    <w:p>
      <w:pPr>
        <w:pStyle w:val="BodyText"/>
        <w:spacing w:after="0" w:line="235" w:lineRule="auto"/>
        <w:sectPr>
          <w:pgSz w:w="8400" w:h="11910"/>
          <w:pgMar w:header="0" w:footer="529" w:top="400" w:bottom="740" w:left="425" w:right="425"/>
        </w:sectPr>
      </w:pPr>
    </w:p>
    <w:p>
      <w:pPr>
        <w:spacing w:before="80"/>
        <w:ind w:left="141" w:right="0" w:firstLine="0"/>
        <w:jc w:val="left"/>
        <w:rPr>
          <w:rFonts w:ascii="Georgia" w:hAnsi="Georgia"/>
          <w:sz w:val="18"/>
        </w:rPr>
      </w:pPr>
      <w:r>
        <w:rPr>
          <w:rFonts w:ascii="Georgia" w:hAnsi="Georgia"/>
          <w:color w:val="231F20"/>
          <w:sz w:val="18"/>
        </w:rPr>
        <w:t>2.3.</w:t>
      </w:r>
      <w:r>
        <w:rPr>
          <w:rFonts w:ascii="Georgia" w:hAnsi="Georgia"/>
          <w:color w:val="231F20"/>
          <w:spacing w:val="-4"/>
          <w:sz w:val="18"/>
        </w:rPr>
        <w:t> </w:t>
      </w:r>
      <w:r>
        <w:rPr>
          <w:rFonts w:ascii="Georgia" w:hAnsi="Georgia"/>
          <w:color w:val="231F20"/>
          <w:sz w:val="18"/>
        </w:rPr>
        <w:t>Проведение</w:t>
      </w:r>
      <w:r>
        <w:rPr>
          <w:rFonts w:ascii="Georgia" w:hAnsi="Georgia"/>
          <w:color w:val="231F20"/>
          <w:spacing w:val="-4"/>
          <w:sz w:val="18"/>
        </w:rPr>
        <w:t> </w:t>
      </w:r>
      <w:r>
        <w:rPr>
          <w:rFonts w:ascii="Georgia" w:hAnsi="Georgia"/>
          <w:color w:val="231F20"/>
          <w:sz w:val="18"/>
        </w:rPr>
        <w:t>обучающих</w:t>
      </w:r>
      <w:r>
        <w:rPr>
          <w:rFonts w:ascii="Georgia" w:hAnsi="Georgia"/>
          <w:color w:val="231F20"/>
          <w:spacing w:val="-4"/>
          <w:sz w:val="18"/>
        </w:rPr>
        <w:t> </w:t>
      </w:r>
      <w:r>
        <w:rPr>
          <w:rFonts w:ascii="Georgia" w:hAnsi="Georgia"/>
          <w:color w:val="231F20"/>
          <w:sz w:val="18"/>
        </w:rPr>
        <w:t>семинаров</w:t>
      </w:r>
      <w:r>
        <w:rPr>
          <w:rFonts w:ascii="Georgia" w:hAnsi="Georgia"/>
          <w:color w:val="231F20"/>
          <w:spacing w:val="-3"/>
          <w:sz w:val="18"/>
        </w:rPr>
        <w:t> </w:t>
      </w:r>
      <w:r>
        <w:rPr>
          <w:rFonts w:ascii="Georgia" w:hAnsi="Georgia"/>
          <w:color w:val="231F20"/>
          <w:sz w:val="18"/>
        </w:rPr>
        <w:t>для</w:t>
      </w:r>
      <w:r>
        <w:rPr>
          <w:rFonts w:ascii="Georgia" w:hAnsi="Georgia"/>
          <w:color w:val="231F20"/>
          <w:spacing w:val="-4"/>
          <w:sz w:val="18"/>
        </w:rPr>
        <w:t> </w:t>
      </w:r>
      <w:r>
        <w:rPr>
          <w:rFonts w:ascii="Georgia" w:hAnsi="Georgia"/>
          <w:color w:val="231F20"/>
          <w:sz w:val="18"/>
        </w:rPr>
        <w:t>педагогов</w:t>
      </w:r>
      <w:r>
        <w:rPr>
          <w:rFonts w:ascii="Georgia" w:hAnsi="Georgia"/>
          <w:color w:val="231F20"/>
          <w:spacing w:val="-4"/>
          <w:sz w:val="18"/>
        </w:rPr>
        <w:t> </w:t>
      </w:r>
      <w:r>
        <w:rPr>
          <w:rFonts w:ascii="Georgia" w:hAnsi="Georgia"/>
          <w:color w:val="231F20"/>
          <w:sz w:val="18"/>
        </w:rPr>
        <w:t>на</w:t>
      </w:r>
      <w:r>
        <w:rPr>
          <w:rFonts w:ascii="Georgia" w:hAnsi="Georgia"/>
          <w:color w:val="231F20"/>
          <w:spacing w:val="-4"/>
          <w:sz w:val="18"/>
        </w:rPr>
        <w:t> </w:t>
      </w:r>
      <w:r>
        <w:rPr>
          <w:rFonts w:ascii="Georgia" w:hAnsi="Georgia"/>
          <w:color w:val="231F20"/>
          <w:sz w:val="18"/>
        </w:rPr>
        <w:t>основе</w:t>
      </w:r>
      <w:r>
        <w:rPr>
          <w:rFonts w:ascii="Georgia" w:hAnsi="Georgia"/>
          <w:color w:val="231F20"/>
          <w:spacing w:val="-3"/>
          <w:sz w:val="18"/>
        </w:rPr>
        <w:t> </w:t>
      </w:r>
      <w:r>
        <w:rPr>
          <w:rFonts w:ascii="Georgia" w:hAnsi="Georgia"/>
          <w:color w:val="231F20"/>
          <w:sz w:val="18"/>
        </w:rPr>
        <w:t>модели</w:t>
      </w:r>
      <w:r>
        <w:rPr>
          <w:rFonts w:ascii="Georgia" w:hAnsi="Georgia"/>
          <w:color w:val="231F20"/>
          <w:spacing w:val="-4"/>
          <w:sz w:val="18"/>
        </w:rPr>
        <w:t> DOPA</w:t>
      </w:r>
    </w:p>
    <w:p>
      <w:pPr>
        <w:pStyle w:val="BodyText"/>
        <w:spacing w:line="235" w:lineRule="auto" w:before="116"/>
        <w:jc w:val="right"/>
      </w:pPr>
      <w:r>
        <w:rPr>
          <w:color w:val="231F20"/>
        </w:rPr>
        <w:t>Далее происходит обмен утверждениями: каждая группа последовательно пред- ставляет</w:t>
      </w:r>
      <w:r>
        <w:rPr>
          <w:color w:val="231F20"/>
          <w:spacing w:val="-8"/>
        </w:rPr>
        <w:t> </w:t>
      </w:r>
      <w:r>
        <w:rPr>
          <w:color w:val="231F20"/>
        </w:rPr>
        <w:t>один</w:t>
      </w:r>
      <w:r>
        <w:rPr>
          <w:color w:val="231F20"/>
          <w:spacing w:val="-9"/>
        </w:rPr>
        <w:t> </w:t>
      </w:r>
      <w:r>
        <w:rPr>
          <w:color w:val="231F20"/>
        </w:rPr>
        <w:t>аргумент,</w:t>
      </w:r>
      <w:r>
        <w:rPr>
          <w:color w:val="231F20"/>
          <w:spacing w:val="-8"/>
        </w:rPr>
        <w:t> </w:t>
      </w:r>
      <w:r>
        <w:rPr>
          <w:color w:val="231F20"/>
        </w:rPr>
        <w:t>а</w:t>
      </w:r>
      <w:r>
        <w:rPr>
          <w:color w:val="231F20"/>
          <w:spacing w:val="-8"/>
        </w:rPr>
        <w:t> </w:t>
      </w:r>
      <w:r>
        <w:rPr>
          <w:color w:val="231F20"/>
        </w:rPr>
        <w:t>остальные</w:t>
      </w:r>
      <w:r>
        <w:rPr>
          <w:color w:val="231F20"/>
          <w:spacing w:val="-8"/>
        </w:rPr>
        <w:t> </w:t>
      </w:r>
      <w:r>
        <w:rPr>
          <w:color w:val="231F20"/>
        </w:rPr>
        <w:t>ей</w:t>
      </w:r>
      <w:r>
        <w:rPr>
          <w:color w:val="231F20"/>
          <w:spacing w:val="-9"/>
        </w:rPr>
        <w:t> </w:t>
      </w:r>
      <w:r>
        <w:rPr>
          <w:color w:val="231F20"/>
        </w:rPr>
        <w:t>возражают,</w:t>
      </w:r>
      <w:r>
        <w:rPr>
          <w:color w:val="231F20"/>
          <w:spacing w:val="-8"/>
        </w:rPr>
        <w:t> </w:t>
      </w:r>
      <w:r>
        <w:rPr>
          <w:color w:val="231F20"/>
        </w:rPr>
        <w:t>при</w:t>
      </w:r>
      <w:r>
        <w:rPr>
          <w:color w:val="231F20"/>
          <w:spacing w:val="-8"/>
        </w:rPr>
        <w:t> </w:t>
      </w:r>
      <w:r>
        <w:rPr>
          <w:color w:val="231F20"/>
        </w:rPr>
        <w:t>этом</w:t>
      </w:r>
      <w:r>
        <w:rPr>
          <w:color w:val="231F20"/>
          <w:spacing w:val="-8"/>
        </w:rPr>
        <w:t> </w:t>
      </w:r>
      <w:r>
        <w:rPr>
          <w:color w:val="231F20"/>
        </w:rPr>
        <w:t>можно</w:t>
      </w:r>
      <w:r>
        <w:rPr>
          <w:color w:val="231F20"/>
          <w:spacing w:val="-8"/>
        </w:rPr>
        <w:t> </w:t>
      </w:r>
      <w:r>
        <w:rPr>
          <w:color w:val="231F20"/>
        </w:rPr>
        <w:t>воспользоваться </w:t>
      </w:r>
      <w:r>
        <w:rPr>
          <w:color w:val="231F20"/>
          <w:spacing w:val="-2"/>
        </w:rPr>
        <w:t>как заготовленными аргументами, так и спонтанно высказать вновь возникшую идею. </w:t>
      </w:r>
      <w:r>
        <w:rPr>
          <w:color w:val="231F20"/>
        </w:rPr>
        <w:t>На завершающем этапе проходит обсуждение полученного опыта и проектирова- ние,</w:t>
      </w:r>
      <w:r>
        <w:rPr>
          <w:color w:val="231F20"/>
          <w:spacing w:val="-9"/>
        </w:rPr>
        <w:t> </w:t>
      </w:r>
      <w:r>
        <w:rPr>
          <w:color w:val="231F20"/>
        </w:rPr>
        <w:t>как</w:t>
      </w:r>
      <w:r>
        <w:rPr>
          <w:color w:val="231F20"/>
          <w:spacing w:val="-6"/>
        </w:rPr>
        <w:t> </w:t>
      </w:r>
      <w:r>
        <w:rPr>
          <w:color w:val="231F20"/>
        </w:rPr>
        <w:t>участники</w:t>
      </w:r>
      <w:r>
        <w:rPr>
          <w:color w:val="231F20"/>
          <w:spacing w:val="-7"/>
        </w:rPr>
        <w:t> </w:t>
      </w:r>
      <w:r>
        <w:rPr>
          <w:color w:val="231F20"/>
        </w:rPr>
        <w:t>могут</w:t>
      </w:r>
      <w:r>
        <w:rPr>
          <w:color w:val="231F20"/>
          <w:spacing w:val="-6"/>
        </w:rPr>
        <w:t> </w:t>
      </w:r>
      <w:r>
        <w:rPr>
          <w:color w:val="231F20"/>
        </w:rPr>
        <w:t>воспользоваться</w:t>
      </w:r>
      <w:r>
        <w:rPr>
          <w:color w:val="231F20"/>
          <w:spacing w:val="-6"/>
        </w:rPr>
        <w:t> </w:t>
      </w:r>
      <w:r>
        <w:rPr>
          <w:color w:val="231F20"/>
        </w:rPr>
        <w:t>полученными</w:t>
      </w:r>
      <w:r>
        <w:rPr>
          <w:color w:val="231F20"/>
          <w:spacing w:val="-7"/>
        </w:rPr>
        <w:t> </w:t>
      </w:r>
      <w:r>
        <w:rPr>
          <w:color w:val="231F20"/>
        </w:rPr>
        <w:t>знаниями</w:t>
      </w:r>
      <w:r>
        <w:rPr>
          <w:color w:val="231F20"/>
          <w:spacing w:val="-6"/>
        </w:rPr>
        <w:t> </w:t>
      </w:r>
      <w:r>
        <w:rPr>
          <w:color w:val="231F20"/>
        </w:rPr>
        <w:t>в</w:t>
      </w:r>
      <w:r>
        <w:rPr>
          <w:color w:val="231F20"/>
          <w:spacing w:val="-6"/>
        </w:rPr>
        <w:t> </w:t>
      </w:r>
      <w:r>
        <w:rPr>
          <w:color w:val="231F20"/>
          <w:spacing w:val="-2"/>
        </w:rPr>
        <w:t>профессиональ-</w:t>
      </w:r>
    </w:p>
    <w:p>
      <w:pPr>
        <w:pStyle w:val="BodyText"/>
        <w:spacing w:line="229" w:lineRule="exact"/>
        <w:ind w:left="0" w:right="5695" w:firstLine="0"/>
        <w:jc w:val="center"/>
      </w:pPr>
      <w:r>
        <w:rPr>
          <w:color w:val="231F20"/>
        </w:rPr>
        <w:t>ной</w:t>
      </w:r>
      <w:r>
        <w:rPr>
          <w:color w:val="231F20"/>
          <w:spacing w:val="-5"/>
        </w:rPr>
        <w:t> </w:t>
      </w:r>
      <w:r>
        <w:rPr>
          <w:color w:val="231F20"/>
          <w:spacing w:val="-2"/>
        </w:rPr>
        <w:t>деятельности.</w:t>
      </w:r>
    </w:p>
    <w:p>
      <w:pPr>
        <w:spacing w:line="206" w:lineRule="exact" w:before="108"/>
        <w:ind w:left="0" w:right="5729" w:firstLine="0"/>
        <w:jc w:val="center"/>
        <w:rPr>
          <w:b/>
          <w:sz w:val="18"/>
        </w:rPr>
      </w:pPr>
      <w:r>
        <w:rPr>
          <w:b/>
          <w:color w:val="231F20"/>
          <w:spacing w:val="-2"/>
          <w:sz w:val="18"/>
        </w:rPr>
        <w:t>Литература</w:t>
      </w:r>
    </w:p>
    <w:p>
      <w:pPr>
        <w:pStyle w:val="ListParagraph"/>
        <w:numPr>
          <w:ilvl w:val="0"/>
          <w:numId w:val="258"/>
        </w:numPr>
        <w:tabs>
          <w:tab w:pos="708" w:val="left" w:leader="none"/>
        </w:tabs>
        <w:spacing w:line="240" w:lineRule="auto" w:before="0" w:after="0"/>
        <w:ind w:left="708" w:right="423" w:hanging="284"/>
        <w:jc w:val="both"/>
        <w:rPr>
          <w:sz w:val="18"/>
        </w:rPr>
      </w:pPr>
      <w:r>
        <w:rPr>
          <w:color w:val="231F20"/>
          <w:sz w:val="18"/>
        </w:rPr>
        <w:t>Александров Д.А., Иванюшина В.А., Казарцева Е.В. Этнический состав школ и миграционный</w:t>
      </w:r>
      <w:r>
        <w:rPr>
          <w:color w:val="231F20"/>
          <w:spacing w:val="23"/>
          <w:sz w:val="18"/>
        </w:rPr>
        <w:t> </w:t>
      </w:r>
      <w:r>
        <w:rPr>
          <w:color w:val="231F20"/>
          <w:sz w:val="18"/>
        </w:rPr>
        <w:t>статус</w:t>
      </w:r>
      <w:r>
        <w:rPr>
          <w:color w:val="231F20"/>
          <w:spacing w:val="22"/>
          <w:sz w:val="18"/>
        </w:rPr>
        <w:t> </w:t>
      </w:r>
      <w:r>
        <w:rPr>
          <w:color w:val="231F20"/>
          <w:sz w:val="18"/>
        </w:rPr>
        <w:t>школьников</w:t>
      </w:r>
      <w:r>
        <w:rPr>
          <w:color w:val="231F20"/>
          <w:spacing w:val="22"/>
          <w:sz w:val="18"/>
        </w:rPr>
        <w:t> </w:t>
      </w:r>
      <w:r>
        <w:rPr>
          <w:color w:val="231F20"/>
          <w:sz w:val="18"/>
        </w:rPr>
        <w:t>в</w:t>
      </w:r>
      <w:r>
        <w:rPr>
          <w:color w:val="231F20"/>
          <w:spacing w:val="22"/>
          <w:sz w:val="18"/>
        </w:rPr>
        <w:t> </w:t>
      </w:r>
      <w:r>
        <w:rPr>
          <w:color w:val="231F20"/>
          <w:sz w:val="18"/>
        </w:rPr>
        <w:t>России</w:t>
      </w:r>
      <w:r>
        <w:rPr>
          <w:color w:val="231F20"/>
          <w:spacing w:val="22"/>
          <w:sz w:val="18"/>
        </w:rPr>
        <w:t> </w:t>
      </w:r>
      <w:r>
        <w:rPr>
          <w:color w:val="231F20"/>
          <w:sz w:val="18"/>
        </w:rPr>
        <w:t>//</w:t>
      </w:r>
      <w:r>
        <w:rPr>
          <w:color w:val="231F20"/>
          <w:spacing w:val="22"/>
          <w:sz w:val="18"/>
        </w:rPr>
        <w:t> </w:t>
      </w:r>
      <w:r>
        <w:rPr>
          <w:color w:val="231F20"/>
          <w:sz w:val="18"/>
        </w:rPr>
        <w:t>Вопросы</w:t>
      </w:r>
      <w:r>
        <w:rPr>
          <w:color w:val="231F20"/>
          <w:spacing w:val="22"/>
          <w:sz w:val="18"/>
        </w:rPr>
        <w:t> </w:t>
      </w:r>
      <w:r>
        <w:rPr>
          <w:color w:val="231F20"/>
          <w:sz w:val="18"/>
        </w:rPr>
        <w:t>образования.</w:t>
      </w:r>
      <w:r>
        <w:rPr>
          <w:color w:val="231F20"/>
          <w:spacing w:val="23"/>
          <w:sz w:val="18"/>
        </w:rPr>
        <w:t> </w:t>
      </w:r>
      <w:r>
        <w:rPr>
          <w:color w:val="231F20"/>
          <w:sz w:val="18"/>
        </w:rPr>
        <w:t>2015.</w:t>
      </w:r>
      <w:r>
        <w:rPr>
          <w:color w:val="231F20"/>
          <w:spacing w:val="22"/>
          <w:sz w:val="18"/>
        </w:rPr>
        <w:t> </w:t>
      </w:r>
      <w:r>
        <w:rPr>
          <w:color w:val="231F20"/>
          <w:sz w:val="18"/>
        </w:rPr>
        <w:t>№</w:t>
      </w:r>
      <w:r>
        <w:rPr>
          <w:color w:val="231F20"/>
          <w:spacing w:val="22"/>
          <w:sz w:val="18"/>
        </w:rPr>
        <w:t> </w:t>
      </w:r>
      <w:r>
        <w:rPr>
          <w:color w:val="231F20"/>
          <w:sz w:val="18"/>
        </w:rPr>
        <w:t>2. С. 173–195. DOI:10.17323/1814-9545-2015-2-173-195.</w:t>
      </w:r>
    </w:p>
    <w:p>
      <w:pPr>
        <w:pStyle w:val="ListParagraph"/>
        <w:numPr>
          <w:ilvl w:val="0"/>
          <w:numId w:val="258"/>
        </w:numPr>
        <w:tabs>
          <w:tab w:pos="708" w:val="left" w:leader="none"/>
        </w:tabs>
        <w:spacing w:line="240" w:lineRule="auto" w:before="0" w:after="0"/>
        <w:ind w:left="708" w:right="423" w:hanging="284"/>
        <w:jc w:val="both"/>
        <w:rPr>
          <w:sz w:val="18"/>
        </w:rPr>
      </w:pPr>
      <w:r>
        <w:rPr>
          <w:color w:val="231F20"/>
          <w:sz w:val="18"/>
        </w:rPr>
        <w:t>Деминцева Е.Б., Зеленова Д.А., Космидис Е.А., Опарин Д.А. Возможности адапта- ции</w:t>
      </w:r>
      <w:r>
        <w:rPr>
          <w:color w:val="231F20"/>
          <w:spacing w:val="-4"/>
          <w:sz w:val="18"/>
        </w:rPr>
        <w:t> </w:t>
      </w:r>
      <w:r>
        <w:rPr>
          <w:color w:val="231F20"/>
          <w:sz w:val="18"/>
        </w:rPr>
        <w:t>детей</w:t>
      </w:r>
      <w:r>
        <w:rPr>
          <w:color w:val="231F20"/>
          <w:spacing w:val="-4"/>
          <w:sz w:val="18"/>
        </w:rPr>
        <w:t> </w:t>
      </w:r>
      <w:r>
        <w:rPr>
          <w:color w:val="231F20"/>
          <w:sz w:val="18"/>
        </w:rPr>
        <w:t>мигрантов</w:t>
      </w:r>
      <w:r>
        <w:rPr>
          <w:color w:val="231F20"/>
          <w:spacing w:val="-4"/>
          <w:sz w:val="18"/>
        </w:rPr>
        <w:t> </w:t>
      </w:r>
      <w:r>
        <w:rPr>
          <w:color w:val="231F20"/>
          <w:sz w:val="18"/>
        </w:rPr>
        <w:t>в</w:t>
      </w:r>
      <w:r>
        <w:rPr>
          <w:color w:val="231F20"/>
          <w:spacing w:val="-4"/>
          <w:sz w:val="18"/>
        </w:rPr>
        <w:t> </w:t>
      </w:r>
      <w:r>
        <w:rPr>
          <w:color w:val="231F20"/>
          <w:sz w:val="18"/>
        </w:rPr>
        <w:t>школах</w:t>
      </w:r>
      <w:r>
        <w:rPr>
          <w:color w:val="231F20"/>
          <w:spacing w:val="-4"/>
          <w:sz w:val="18"/>
        </w:rPr>
        <w:t> </w:t>
      </w:r>
      <w:r>
        <w:rPr>
          <w:color w:val="231F20"/>
          <w:sz w:val="18"/>
        </w:rPr>
        <w:t>Москвы</w:t>
      </w:r>
      <w:r>
        <w:rPr>
          <w:color w:val="231F20"/>
          <w:spacing w:val="-4"/>
          <w:sz w:val="18"/>
        </w:rPr>
        <w:t> </w:t>
      </w:r>
      <w:r>
        <w:rPr>
          <w:color w:val="231F20"/>
          <w:sz w:val="18"/>
        </w:rPr>
        <w:t>и</w:t>
      </w:r>
      <w:r>
        <w:rPr>
          <w:color w:val="231F20"/>
          <w:spacing w:val="-4"/>
          <w:sz w:val="18"/>
        </w:rPr>
        <w:t> </w:t>
      </w:r>
      <w:r>
        <w:rPr>
          <w:color w:val="231F20"/>
          <w:sz w:val="18"/>
        </w:rPr>
        <w:t>Подмосковья</w:t>
      </w:r>
      <w:r>
        <w:rPr>
          <w:color w:val="231F20"/>
          <w:spacing w:val="-4"/>
          <w:sz w:val="18"/>
        </w:rPr>
        <w:t> </w:t>
      </w:r>
      <w:r>
        <w:rPr>
          <w:color w:val="231F20"/>
          <w:sz w:val="18"/>
        </w:rPr>
        <w:t>//</w:t>
      </w:r>
      <w:r>
        <w:rPr>
          <w:color w:val="231F20"/>
          <w:spacing w:val="-4"/>
          <w:sz w:val="18"/>
        </w:rPr>
        <w:t> </w:t>
      </w:r>
      <w:r>
        <w:rPr>
          <w:color w:val="231F20"/>
          <w:sz w:val="18"/>
        </w:rPr>
        <w:t>Демографическое</w:t>
      </w:r>
      <w:r>
        <w:rPr>
          <w:color w:val="231F20"/>
          <w:spacing w:val="-4"/>
          <w:sz w:val="18"/>
        </w:rPr>
        <w:t> </w:t>
      </w:r>
      <w:r>
        <w:rPr>
          <w:color w:val="231F20"/>
          <w:sz w:val="18"/>
        </w:rPr>
        <w:t>обозре- ние. 2017. – Т. 4 – № 4. – С. 80–109. DOI: 10.17323/demreview.v4i4.7529.</w:t>
      </w:r>
    </w:p>
    <w:p>
      <w:pPr>
        <w:pStyle w:val="ListParagraph"/>
        <w:numPr>
          <w:ilvl w:val="0"/>
          <w:numId w:val="258"/>
        </w:numPr>
        <w:tabs>
          <w:tab w:pos="708" w:val="left" w:leader="none"/>
        </w:tabs>
        <w:spacing w:line="240" w:lineRule="auto" w:before="0" w:after="0"/>
        <w:ind w:left="708" w:right="423" w:hanging="284"/>
        <w:jc w:val="both"/>
        <w:rPr>
          <w:sz w:val="18"/>
        </w:rPr>
      </w:pPr>
      <w:r>
        <w:rPr>
          <w:color w:val="231F20"/>
          <w:sz w:val="18"/>
        </w:rPr>
        <w:t>Егорова Н.М. Исследование взаимосвязи межгрупповой адаптации и уровня этни- ческой</w:t>
      </w:r>
      <w:r>
        <w:rPr>
          <w:color w:val="231F20"/>
          <w:spacing w:val="-8"/>
          <w:sz w:val="18"/>
        </w:rPr>
        <w:t> </w:t>
      </w:r>
      <w:r>
        <w:rPr>
          <w:color w:val="231F20"/>
          <w:sz w:val="18"/>
        </w:rPr>
        <w:t>идентичности</w:t>
      </w:r>
      <w:r>
        <w:rPr>
          <w:color w:val="231F20"/>
          <w:spacing w:val="-8"/>
          <w:sz w:val="18"/>
        </w:rPr>
        <w:t> </w:t>
      </w:r>
      <w:r>
        <w:rPr>
          <w:color w:val="231F20"/>
          <w:sz w:val="18"/>
        </w:rPr>
        <w:t>и</w:t>
      </w:r>
      <w:r>
        <w:rPr>
          <w:color w:val="231F20"/>
          <w:spacing w:val="-8"/>
          <w:sz w:val="18"/>
        </w:rPr>
        <w:t> </w:t>
      </w:r>
      <w:r>
        <w:rPr>
          <w:color w:val="231F20"/>
          <w:sz w:val="18"/>
        </w:rPr>
        <w:t>толерантности</w:t>
      </w:r>
      <w:r>
        <w:rPr>
          <w:color w:val="231F20"/>
          <w:spacing w:val="-8"/>
          <w:sz w:val="18"/>
        </w:rPr>
        <w:t> </w:t>
      </w:r>
      <w:r>
        <w:rPr>
          <w:color w:val="231F20"/>
          <w:sz w:val="18"/>
        </w:rPr>
        <w:t>в</w:t>
      </w:r>
      <w:r>
        <w:rPr>
          <w:color w:val="231F20"/>
          <w:spacing w:val="-8"/>
          <w:sz w:val="18"/>
        </w:rPr>
        <w:t> </w:t>
      </w:r>
      <w:r>
        <w:rPr>
          <w:color w:val="231F20"/>
          <w:sz w:val="18"/>
        </w:rPr>
        <w:t>поликультурной</w:t>
      </w:r>
      <w:r>
        <w:rPr>
          <w:color w:val="231F20"/>
          <w:spacing w:val="-8"/>
          <w:sz w:val="18"/>
        </w:rPr>
        <w:t> </w:t>
      </w:r>
      <w:r>
        <w:rPr>
          <w:color w:val="231F20"/>
          <w:sz w:val="18"/>
        </w:rPr>
        <w:t>школе</w:t>
      </w:r>
      <w:r>
        <w:rPr>
          <w:color w:val="231F20"/>
          <w:spacing w:val="-8"/>
          <w:sz w:val="18"/>
        </w:rPr>
        <w:t> </w:t>
      </w:r>
      <w:r>
        <w:rPr>
          <w:color w:val="231F20"/>
          <w:sz w:val="18"/>
        </w:rPr>
        <w:t>//</w:t>
      </w:r>
      <w:r>
        <w:rPr>
          <w:color w:val="231F20"/>
          <w:spacing w:val="-8"/>
          <w:sz w:val="18"/>
        </w:rPr>
        <w:t> </w:t>
      </w:r>
      <w:r>
        <w:rPr>
          <w:color w:val="231F20"/>
          <w:sz w:val="18"/>
        </w:rPr>
        <w:t>Вестник</w:t>
      </w:r>
      <w:r>
        <w:rPr>
          <w:color w:val="231F20"/>
          <w:spacing w:val="-7"/>
          <w:sz w:val="18"/>
        </w:rPr>
        <w:t> </w:t>
      </w:r>
      <w:r>
        <w:rPr>
          <w:color w:val="231F20"/>
          <w:sz w:val="18"/>
        </w:rPr>
        <w:t>Москов- </w:t>
      </w:r>
      <w:r>
        <w:rPr>
          <w:color w:val="231F20"/>
          <w:spacing w:val="-2"/>
          <w:sz w:val="18"/>
        </w:rPr>
        <w:t>ского государственного областного университета. Серия «Психологические науки». </w:t>
      </w:r>
      <w:r>
        <w:rPr>
          <w:color w:val="231F20"/>
          <w:sz w:val="18"/>
        </w:rPr>
        <w:t>2011. – № 1. – С. 135–140.</w:t>
      </w:r>
    </w:p>
    <w:p>
      <w:pPr>
        <w:pStyle w:val="ListParagraph"/>
        <w:numPr>
          <w:ilvl w:val="0"/>
          <w:numId w:val="258"/>
        </w:numPr>
        <w:tabs>
          <w:tab w:pos="708" w:val="left" w:leader="none"/>
        </w:tabs>
        <w:spacing w:line="240" w:lineRule="auto" w:before="0" w:after="0"/>
        <w:ind w:left="708" w:right="423" w:hanging="284"/>
        <w:jc w:val="both"/>
        <w:rPr>
          <w:sz w:val="18"/>
        </w:rPr>
      </w:pPr>
      <w:r>
        <w:rPr>
          <w:color w:val="231F20"/>
          <w:sz w:val="18"/>
        </w:rPr>
        <w:t>Зборовский Г.Е., Шуклина Е.А. Обучение детей мигрантов как проблема их соци- альной адаптации // Социологические исследования. 2013. – № 2 (346). – С. 80–91.</w:t>
      </w:r>
    </w:p>
    <w:p>
      <w:pPr>
        <w:pStyle w:val="ListParagraph"/>
        <w:numPr>
          <w:ilvl w:val="0"/>
          <w:numId w:val="258"/>
        </w:numPr>
        <w:tabs>
          <w:tab w:pos="708" w:val="left" w:leader="none"/>
        </w:tabs>
        <w:spacing w:line="240" w:lineRule="auto" w:before="0" w:after="0"/>
        <w:ind w:left="708" w:right="423" w:hanging="284"/>
        <w:jc w:val="both"/>
        <w:rPr>
          <w:sz w:val="18"/>
        </w:rPr>
      </w:pPr>
      <w:r>
        <w:rPr>
          <w:color w:val="231F20"/>
          <w:sz w:val="18"/>
        </w:rPr>
        <w:t>Ильина</w:t>
      </w:r>
      <w:r>
        <w:rPr>
          <w:color w:val="231F20"/>
          <w:spacing w:val="-12"/>
          <w:sz w:val="18"/>
        </w:rPr>
        <w:t> </w:t>
      </w:r>
      <w:r>
        <w:rPr>
          <w:color w:val="231F20"/>
          <w:sz w:val="18"/>
        </w:rPr>
        <w:t>Т.Б.</w:t>
      </w:r>
      <w:r>
        <w:rPr>
          <w:color w:val="231F20"/>
          <w:spacing w:val="-11"/>
          <w:sz w:val="18"/>
        </w:rPr>
        <w:t> </w:t>
      </w:r>
      <w:r>
        <w:rPr>
          <w:color w:val="231F20"/>
          <w:sz w:val="18"/>
        </w:rPr>
        <w:t>Подготовка</w:t>
      </w:r>
      <w:r>
        <w:rPr>
          <w:color w:val="231F20"/>
          <w:spacing w:val="-11"/>
          <w:sz w:val="18"/>
        </w:rPr>
        <w:t> </w:t>
      </w:r>
      <w:r>
        <w:rPr>
          <w:color w:val="231F20"/>
          <w:sz w:val="18"/>
        </w:rPr>
        <w:t>педагогов</w:t>
      </w:r>
      <w:r>
        <w:rPr>
          <w:color w:val="231F20"/>
          <w:spacing w:val="-11"/>
          <w:sz w:val="18"/>
        </w:rPr>
        <w:t> </w:t>
      </w:r>
      <w:r>
        <w:rPr>
          <w:color w:val="231F20"/>
          <w:sz w:val="18"/>
        </w:rPr>
        <w:t>к</w:t>
      </w:r>
      <w:r>
        <w:rPr>
          <w:color w:val="231F20"/>
          <w:spacing w:val="-12"/>
          <w:sz w:val="18"/>
        </w:rPr>
        <w:t> </w:t>
      </w:r>
      <w:r>
        <w:rPr>
          <w:color w:val="231F20"/>
          <w:sz w:val="18"/>
        </w:rPr>
        <w:t>работе</w:t>
      </w:r>
      <w:r>
        <w:rPr>
          <w:color w:val="231F20"/>
          <w:spacing w:val="-11"/>
          <w:sz w:val="18"/>
        </w:rPr>
        <w:t> </w:t>
      </w:r>
      <w:r>
        <w:rPr>
          <w:color w:val="231F20"/>
          <w:sz w:val="18"/>
        </w:rPr>
        <w:t>с</w:t>
      </w:r>
      <w:r>
        <w:rPr>
          <w:color w:val="231F20"/>
          <w:spacing w:val="-11"/>
          <w:sz w:val="18"/>
        </w:rPr>
        <w:t> </w:t>
      </w:r>
      <w:r>
        <w:rPr>
          <w:color w:val="231F20"/>
          <w:sz w:val="18"/>
        </w:rPr>
        <w:t>детьми-мигрантами</w:t>
      </w:r>
      <w:r>
        <w:rPr>
          <w:color w:val="231F20"/>
          <w:spacing w:val="-11"/>
          <w:sz w:val="18"/>
        </w:rPr>
        <w:t> </w:t>
      </w:r>
      <w:r>
        <w:rPr>
          <w:color w:val="231F20"/>
          <w:sz w:val="18"/>
        </w:rPr>
        <w:t>в</w:t>
      </w:r>
      <w:r>
        <w:rPr>
          <w:color w:val="231F20"/>
          <w:spacing w:val="-12"/>
          <w:sz w:val="18"/>
        </w:rPr>
        <w:t> </w:t>
      </w:r>
      <w:r>
        <w:rPr>
          <w:color w:val="231F20"/>
          <w:sz w:val="18"/>
        </w:rPr>
        <w:t>дополнительном профессиональном</w:t>
      </w:r>
      <w:r>
        <w:rPr>
          <w:color w:val="231F20"/>
          <w:spacing w:val="-10"/>
          <w:sz w:val="18"/>
        </w:rPr>
        <w:t> </w:t>
      </w:r>
      <w:r>
        <w:rPr>
          <w:color w:val="231F20"/>
          <w:sz w:val="18"/>
        </w:rPr>
        <w:t>образовании:</w:t>
      </w:r>
      <w:r>
        <w:rPr>
          <w:color w:val="231F20"/>
          <w:spacing w:val="-10"/>
          <w:sz w:val="18"/>
        </w:rPr>
        <w:t> </w:t>
      </w:r>
      <w:r>
        <w:rPr>
          <w:color w:val="231F20"/>
          <w:sz w:val="18"/>
        </w:rPr>
        <w:t>автореф.</w:t>
      </w:r>
      <w:r>
        <w:rPr>
          <w:color w:val="231F20"/>
          <w:spacing w:val="-10"/>
          <w:sz w:val="18"/>
        </w:rPr>
        <w:t> </w:t>
      </w:r>
      <w:r>
        <w:rPr>
          <w:color w:val="231F20"/>
          <w:sz w:val="18"/>
        </w:rPr>
        <w:t>дис.</w:t>
      </w:r>
      <w:r>
        <w:rPr>
          <w:color w:val="231F20"/>
          <w:spacing w:val="40"/>
          <w:sz w:val="18"/>
        </w:rPr>
        <w:t>  </w:t>
      </w:r>
      <w:r>
        <w:rPr>
          <w:color w:val="231F20"/>
          <w:sz w:val="18"/>
        </w:rPr>
        <w:t>канд.</w:t>
      </w:r>
      <w:r>
        <w:rPr>
          <w:color w:val="231F20"/>
          <w:spacing w:val="-10"/>
          <w:sz w:val="18"/>
        </w:rPr>
        <w:t> </w:t>
      </w:r>
      <w:r>
        <w:rPr>
          <w:color w:val="231F20"/>
          <w:sz w:val="18"/>
        </w:rPr>
        <w:t>пед.</w:t>
      </w:r>
      <w:r>
        <w:rPr>
          <w:color w:val="231F20"/>
          <w:spacing w:val="-10"/>
          <w:sz w:val="18"/>
        </w:rPr>
        <w:t> </w:t>
      </w:r>
      <w:r>
        <w:rPr>
          <w:color w:val="231F20"/>
          <w:sz w:val="18"/>
        </w:rPr>
        <w:t>наук.</w:t>
      </w:r>
      <w:r>
        <w:rPr>
          <w:color w:val="231F20"/>
          <w:spacing w:val="-10"/>
          <w:sz w:val="18"/>
        </w:rPr>
        <w:t> </w:t>
      </w:r>
      <w:r>
        <w:rPr>
          <w:color w:val="231F20"/>
          <w:sz w:val="18"/>
        </w:rPr>
        <w:t>Омск,</w:t>
      </w:r>
      <w:r>
        <w:rPr>
          <w:color w:val="231F20"/>
          <w:spacing w:val="-10"/>
          <w:sz w:val="18"/>
        </w:rPr>
        <w:t> </w:t>
      </w:r>
      <w:r>
        <w:rPr>
          <w:color w:val="231F20"/>
          <w:sz w:val="18"/>
        </w:rPr>
        <w:t>2018.</w:t>
      </w:r>
      <w:r>
        <w:rPr>
          <w:color w:val="231F20"/>
          <w:spacing w:val="-10"/>
          <w:sz w:val="18"/>
        </w:rPr>
        <w:t> </w:t>
      </w:r>
      <w:r>
        <w:rPr>
          <w:color w:val="231F20"/>
          <w:sz w:val="18"/>
        </w:rPr>
        <w:t>–</w:t>
      </w:r>
      <w:r>
        <w:rPr>
          <w:color w:val="231F20"/>
          <w:spacing w:val="-10"/>
          <w:sz w:val="18"/>
        </w:rPr>
        <w:t> </w:t>
      </w:r>
      <w:r>
        <w:rPr>
          <w:color w:val="231F20"/>
          <w:sz w:val="18"/>
        </w:rPr>
        <w:t>22</w:t>
      </w:r>
      <w:r>
        <w:rPr>
          <w:color w:val="231F20"/>
          <w:spacing w:val="-10"/>
          <w:sz w:val="18"/>
        </w:rPr>
        <w:t> </w:t>
      </w:r>
      <w:r>
        <w:rPr>
          <w:color w:val="231F20"/>
          <w:sz w:val="18"/>
        </w:rPr>
        <w:t>с.</w:t>
      </w:r>
    </w:p>
    <w:p>
      <w:pPr>
        <w:pStyle w:val="ListParagraph"/>
        <w:numPr>
          <w:ilvl w:val="0"/>
          <w:numId w:val="258"/>
        </w:numPr>
        <w:tabs>
          <w:tab w:pos="708" w:val="left" w:leader="none"/>
        </w:tabs>
        <w:spacing w:line="237" w:lineRule="auto" w:before="0" w:after="0"/>
        <w:ind w:left="708" w:right="423" w:hanging="284"/>
        <w:jc w:val="both"/>
        <w:rPr>
          <w:sz w:val="18"/>
        </w:rPr>
      </w:pPr>
      <w:r>
        <w:rPr>
          <w:color w:val="231F20"/>
          <w:sz w:val="18"/>
        </w:rPr>
        <w:t>Кашапов М.М. Теория и практика решения педагогической ситуации. Ярославль: ЯрГУ, 1997. – 100 с.</w:t>
      </w:r>
    </w:p>
    <w:p>
      <w:pPr>
        <w:pStyle w:val="ListParagraph"/>
        <w:numPr>
          <w:ilvl w:val="0"/>
          <w:numId w:val="258"/>
        </w:numPr>
        <w:tabs>
          <w:tab w:pos="708" w:val="left" w:leader="none"/>
        </w:tabs>
        <w:spacing w:line="237" w:lineRule="auto" w:before="0" w:after="0"/>
        <w:ind w:left="708" w:right="422" w:hanging="284"/>
        <w:jc w:val="both"/>
        <w:rPr>
          <w:sz w:val="18"/>
        </w:rPr>
      </w:pPr>
      <w:r>
        <w:rPr>
          <w:color w:val="231F20"/>
          <w:sz w:val="18"/>
        </w:rPr>
        <w:t>Кузнецов И.М., Хухлаев О.Е. Риски межнациональной конфликтности в образова- тельных</w:t>
      </w:r>
      <w:r>
        <w:rPr>
          <w:color w:val="231F20"/>
          <w:spacing w:val="-7"/>
          <w:sz w:val="18"/>
        </w:rPr>
        <w:t> </w:t>
      </w:r>
      <w:r>
        <w:rPr>
          <w:color w:val="231F20"/>
          <w:sz w:val="18"/>
        </w:rPr>
        <w:t>учреждениях</w:t>
      </w:r>
      <w:r>
        <w:rPr>
          <w:color w:val="231F20"/>
          <w:spacing w:val="-7"/>
          <w:sz w:val="18"/>
        </w:rPr>
        <w:t> </w:t>
      </w:r>
      <w:r>
        <w:rPr>
          <w:color w:val="231F20"/>
          <w:sz w:val="18"/>
        </w:rPr>
        <w:t>Москвы</w:t>
      </w:r>
      <w:r>
        <w:rPr>
          <w:color w:val="231F20"/>
          <w:spacing w:val="-7"/>
          <w:sz w:val="18"/>
        </w:rPr>
        <w:t> </w:t>
      </w:r>
      <w:r>
        <w:rPr>
          <w:color w:val="231F20"/>
          <w:sz w:val="18"/>
        </w:rPr>
        <w:t>//</w:t>
      </w:r>
      <w:r>
        <w:rPr>
          <w:color w:val="231F20"/>
          <w:spacing w:val="-7"/>
          <w:sz w:val="18"/>
        </w:rPr>
        <w:t> </w:t>
      </w:r>
      <w:r>
        <w:rPr>
          <w:color w:val="231F20"/>
          <w:sz w:val="18"/>
        </w:rPr>
        <w:t>Социальная</w:t>
      </w:r>
      <w:r>
        <w:rPr>
          <w:color w:val="231F20"/>
          <w:spacing w:val="-7"/>
          <w:sz w:val="18"/>
        </w:rPr>
        <w:t> </w:t>
      </w:r>
      <w:r>
        <w:rPr>
          <w:color w:val="231F20"/>
          <w:sz w:val="18"/>
        </w:rPr>
        <w:t>психология</w:t>
      </w:r>
      <w:r>
        <w:rPr>
          <w:color w:val="231F20"/>
          <w:spacing w:val="-7"/>
          <w:sz w:val="18"/>
        </w:rPr>
        <w:t> </w:t>
      </w:r>
      <w:r>
        <w:rPr>
          <w:color w:val="231F20"/>
          <w:sz w:val="18"/>
        </w:rPr>
        <w:t>и</w:t>
      </w:r>
      <w:r>
        <w:rPr>
          <w:color w:val="231F20"/>
          <w:spacing w:val="-7"/>
          <w:sz w:val="18"/>
        </w:rPr>
        <w:t> </w:t>
      </w:r>
      <w:r>
        <w:rPr>
          <w:color w:val="231F20"/>
          <w:sz w:val="18"/>
        </w:rPr>
        <w:t>общество.</w:t>
      </w:r>
      <w:r>
        <w:rPr>
          <w:color w:val="231F20"/>
          <w:spacing w:val="-7"/>
          <w:sz w:val="18"/>
        </w:rPr>
        <w:t> </w:t>
      </w:r>
      <w:r>
        <w:rPr>
          <w:color w:val="231F20"/>
          <w:sz w:val="18"/>
        </w:rPr>
        <w:t>2014.</w:t>
      </w:r>
      <w:r>
        <w:rPr>
          <w:color w:val="231F20"/>
          <w:spacing w:val="-7"/>
          <w:sz w:val="18"/>
        </w:rPr>
        <w:t> </w:t>
      </w:r>
      <w:r>
        <w:rPr>
          <w:color w:val="231F20"/>
          <w:sz w:val="18"/>
        </w:rPr>
        <w:t>–</w:t>
      </w:r>
      <w:r>
        <w:rPr>
          <w:color w:val="231F20"/>
          <w:spacing w:val="-7"/>
          <w:sz w:val="18"/>
        </w:rPr>
        <w:t> </w:t>
      </w:r>
      <w:r>
        <w:rPr>
          <w:color w:val="231F20"/>
          <w:sz w:val="18"/>
        </w:rPr>
        <w:t>Т.</w:t>
      </w:r>
      <w:r>
        <w:rPr>
          <w:color w:val="231F20"/>
          <w:spacing w:val="-7"/>
          <w:sz w:val="18"/>
        </w:rPr>
        <w:t> </w:t>
      </w:r>
      <w:r>
        <w:rPr>
          <w:color w:val="231F20"/>
          <w:sz w:val="18"/>
        </w:rPr>
        <w:t>5.</w:t>
      </w:r>
      <w:r>
        <w:rPr>
          <w:color w:val="231F20"/>
          <w:spacing w:val="-7"/>
          <w:sz w:val="18"/>
        </w:rPr>
        <w:t> </w:t>
      </w:r>
      <w:r>
        <w:rPr>
          <w:color w:val="231F20"/>
          <w:sz w:val="18"/>
        </w:rPr>
        <w:t>–</w:t>
      </w:r>
    </w:p>
    <w:p>
      <w:pPr>
        <w:spacing w:line="202" w:lineRule="exact" w:before="0"/>
        <w:ind w:left="708" w:right="0" w:firstLine="0"/>
        <w:jc w:val="both"/>
        <w:rPr>
          <w:sz w:val="18"/>
        </w:rPr>
      </w:pPr>
      <w:r>
        <w:rPr>
          <w:color w:val="231F20"/>
          <w:sz w:val="18"/>
        </w:rPr>
        <w:t>№</w:t>
      </w:r>
      <w:r>
        <w:rPr>
          <w:color w:val="231F20"/>
          <w:spacing w:val="-3"/>
          <w:sz w:val="18"/>
        </w:rPr>
        <w:t> </w:t>
      </w:r>
      <w:r>
        <w:rPr>
          <w:color w:val="231F20"/>
          <w:sz w:val="18"/>
        </w:rPr>
        <w:t>2. – С. </w:t>
      </w:r>
      <w:r>
        <w:rPr>
          <w:color w:val="231F20"/>
          <w:spacing w:val="-2"/>
          <w:sz w:val="18"/>
        </w:rPr>
        <w:t>115–126.</w:t>
      </w:r>
    </w:p>
    <w:p>
      <w:pPr>
        <w:pStyle w:val="ListParagraph"/>
        <w:numPr>
          <w:ilvl w:val="0"/>
          <w:numId w:val="258"/>
        </w:numPr>
        <w:tabs>
          <w:tab w:pos="708" w:val="left" w:leader="none"/>
        </w:tabs>
        <w:spacing w:line="237" w:lineRule="auto" w:before="0" w:after="0"/>
        <w:ind w:left="708" w:right="422" w:hanging="284"/>
        <w:jc w:val="both"/>
        <w:rPr>
          <w:sz w:val="18"/>
        </w:rPr>
      </w:pPr>
      <w:r>
        <w:rPr>
          <w:color w:val="231F20"/>
          <w:sz w:val="18"/>
        </w:rPr>
        <w:t>Самохвалова</w:t>
      </w:r>
      <w:r>
        <w:rPr>
          <w:color w:val="231F20"/>
          <w:spacing w:val="-4"/>
          <w:sz w:val="18"/>
        </w:rPr>
        <w:t> </w:t>
      </w:r>
      <w:r>
        <w:rPr>
          <w:color w:val="231F20"/>
          <w:sz w:val="18"/>
        </w:rPr>
        <w:t>И.Г.</w:t>
      </w:r>
      <w:r>
        <w:rPr>
          <w:color w:val="231F20"/>
          <w:spacing w:val="-4"/>
          <w:sz w:val="18"/>
        </w:rPr>
        <w:t> </w:t>
      </w:r>
      <w:r>
        <w:rPr>
          <w:color w:val="231F20"/>
          <w:sz w:val="18"/>
        </w:rPr>
        <w:t>Характеристика</w:t>
      </w:r>
      <w:r>
        <w:rPr>
          <w:color w:val="231F20"/>
          <w:spacing w:val="-4"/>
          <w:sz w:val="18"/>
        </w:rPr>
        <w:t> </w:t>
      </w:r>
      <w:r>
        <w:rPr>
          <w:color w:val="231F20"/>
          <w:sz w:val="18"/>
        </w:rPr>
        <w:t>трудных</w:t>
      </w:r>
      <w:r>
        <w:rPr>
          <w:color w:val="231F20"/>
          <w:spacing w:val="-4"/>
          <w:sz w:val="18"/>
        </w:rPr>
        <w:t> </w:t>
      </w:r>
      <w:r>
        <w:rPr>
          <w:color w:val="231F20"/>
          <w:sz w:val="18"/>
        </w:rPr>
        <w:t>педагогических</w:t>
      </w:r>
      <w:r>
        <w:rPr>
          <w:color w:val="231F20"/>
          <w:spacing w:val="-4"/>
          <w:sz w:val="18"/>
        </w:rPr>
        <w:t> </w:t>
      </w:r>
      <w:r>
        <w:rPr>
          <w:color w:val="231F20"/>
          <w:sz w:val="18"/>
        </w:rPr>
        <w:t>ситуаций</w:t>
      </w:r>
      <w:r>
        <w:rPr>
          <w:color w:val="231F20"/>
          <w:spacing w:val="-4"/>
          <w:sz w:val="18"/>
        </w:rPr>
        <w:t> </w:t>
      </w:r>
      <w:r>
        <w:rPr>
          <w:color w:val="231F20"/>
          <w:sz w:val="18"/>
        </w:rPr>
        <w:t>как</w:t>
      </w:r>
      <w:r>
        <w:rPr>
          <w:color w:val="231F20"/>
          <w:spacing w:val="-4"/>
          <w:sz w:val="18"/>
        </w:rPr>
        <w:t> </w:t>
      </w:r>
      <w:r>
        <w:rPr>
          <w:color w:val="231F20"/>
          <w:sz w:val="18"/>
        </w:rPr>
        <w:t>психоло- гическая проблема // Актуальные проблемы развития личности: сб. науч. тр. / под науч. ред. Н.Н. Васягиной, Е.А. Казаевой. Екатеринбург: Уральский государствен- ный педагогический университет, 2016. – С. 129–139.</w:t>
      </w:r>
    </w:p>
    <w:p>
      <w:pPr>
        <w:pStyle w:val="ListParagraph"/>
        <w:numPr>
          <w:ilvl w:val="0"/>
          <w:numId w:val="258"/>
        </w:numPr>
        <w:tabs>
          <w:tab w:pos="708" w:val="left" w:leader="none"/>
        </w:tabs>
        <w:spacing w:line="237" w:lineRule="auto" w:before="0" w:after="0"/>
        <w:ind w:left="708" w:right="423" w:hanging="284"/>
        <w:jc w:val="both"/>
        <w:rPr>
          <w:sz w:val="18"/>
        </w:rPr>
      </w:pPr>
      <w:r>
        <w:rPr>
          <w:color w:val="231F20"/>
          <w:sz w:val="18"/>
        </w:rPr>
        <w:t>Стариков П.А. Пиковые переживания и технологии творчества: учебное пособие. Красноярск: филиал НОУ ВПО «Санкт-Петербургский институт внешнеэкономи- ческих связей, экономики и права» в г. Красноярске, 2011. – 92 с. – ISBN 978-5- </w:t>
      </w:r>
      <w:r>
        <w:rPr>
          <w:color w:val="231F20"/>
          <w:spacing w:val="-2"/>
          <w:sz w:val="18"/>
        </w:rPr>
        <w:t>904314-42-2.</w:t>
      </w:r>
    </w:p>
    <w:p>
      <w:pPr>
        <w:pStyle w:val="ListParagraph"/>
        <w:numPr>
          <w:ilvl w:val="0"/>
          <w:numId w:val="258"/>
        </w:numPr>
        <w:tabs>
          <w:tab w:pos="708" w:val="left" w:leader="none"/>
        </w:tabs>
        <w:spacing w:line="237" w:lineRule="auto" w:before="0" w:after="0"/>
        <w:ind w:left="708" w:right="423" w:hanging="284"/>
        <w:jc w:val="both"/>
        <w:rPr>
          <w:sz w:val="18"/>
        </w:rPr>
      </w:pPr>
      <w:r>
        <w:rPr>
          <w:color w:val="231F20"/>
          <w:spacing w:val="-2"/>
          <w:sz w:val="18"/>
        </w:rPr>
        <w:t>Хухлаев О.Е., Ткаченко Н.В. Отношение российских учителей к культурному разно- </w:t>
      </w:r>
      <w:r>
        <w:rPr>
          <w:color w:val="231F20"/>
          <w:sz w:val="18"/>
        </w:rPr>
        <w:t>образию в трудных педагогических ситуациях: опыт качественного анализа. // Из- вестия Саратовского университета. Новая серия. Серия: Акмеология образования. Психология развития. 2021. – Т. 10. – вып. 1(37). – С. 33–44.</w:t>
      </w:r>
    </w:p>
    <w:p>
      <w:pPr>
        <w:pStyle w:val="ListParagraph"/>
        <w:numPr>
          <w:ilvl w:val="0"/>
          <w:numId w:val="258"/>
        </w:numPr>
        <w:tabs>
          <w:tab w:pos="708" w:val="left" w:leader="none"/>
        </w:tabs>
        <w:spacing w:line="237" w:lineRule="auto" w:before="0" w:after="0"/>
        <w:ind w:left="708" w:right="422" w:hanging="284"/>
        <w:jc w:val="both"/>
        <w:rPr>
          <w:sz w:val="18"/>
        </w:rPr>
      </w:pPr>
      <w:r>
        <w:rPr>
          <w:color w:val="231F20"/>
          <w:sz w:val="18"/>
        </w:rPr>
        <w:t>Bandura</w:t>
      </w:r>
      <w:r>
        <w:rPr>
          <w:color w:val="231F20"/>
          <w:spacing w:val="-12"/>
          <w:sz w:val="18"/>
        </w:rPr>
        <w:t> </w:t>
      </w:r>
      <w:r>
        <w:rPr>
          <w:color w:val="231F20"/>
          <w:sz w:val="18"/>
        </w:rPr>
        <w:t>A.</w:t>
      </w:r>
      <w:r>
        <w:rPr>
          <w:color w:val="231F20"/>
          <w:spacing w:val="-11"/>
          <w:sz w:val="18"/>
        </w:rPr>
        <w:t> </w:t>
      </w:r>
      <w:r>
        <w:rPr>
          <w:color w:val="231F20"/>
          <w:sz w:val="18"/>
        </w:rPr>
        <w:t>Self-efficacy:</w:t>
      </w:r>
      <w:r>
        <w:rPr>
          <w:color w:val="231F20"/>
          <w:spacing w:val="-11"/>
          <w:sz w:val="18"/>
        </w:rPr>
        <w:t> </w:t>
      </w:r>
      <w:r>
        <w:rPr>
          <w:color w:val="231F20"/>
          <w:sz w:val="18"/>
        </w:rPr>
        <w:t>Toward</w:t>
      </w:r>
      <w:r>
        <w:rPr>
          <w:color w:val="231F20"/>
          <w:spacing w:val="-11"/>
          <w:sz w:val="18"/>
        </w:rPr>
        <w:t> </w:t>
      </w:r>
      <w:r>
        <w:rPr>
          <w:color w:val="231F20"/>
          <w:sz w:val="18"/>
        </w:rPr>
        <w:t>a</w:t>
      </w:r>
      <w:r>
        <w:rPr>
          <w:color w:val="231F20"/>
          <w:spacing w:val="-12"/>
          <w:sz w:val="18"/>
        </w:rPr>
        <w:t> </w:t>
      </w:r>
      <w:r>
        <w:rPr>
          <w:color w:val="231F20"/>
          <w:sz w:val="18"/>
        </w:rPr>
        <w:t>unifying</w:t>
      </w:r>
      <w:r>
        <w:rPr>
          <w:color w:val="231F20"/>
          <w:spacing w:val="-11"/>
          <w:sz w:val="18"/>
        </w:rPr>
        <w:t> </w:t>
      </w:r>
      <w:r>
        <w:rPr>
          <w:color w:val="231F20"/>
          <w:sz w:val="18"/>
        </w:rPr>
        <w:t>theory</w:t>
      </w:r>
      <w:r>
        <w:rPr>
          <w:color w:val="231F20"/>
          <w:spacing w:val="-11"/>
          <w:sz w:val="18"/>
        </w:rPr>
        <w:t> </w:t>
      </w:r>
      <w:r>
        <w:rPr>
          <w:color w:val="231F20"/>
          <w:sz w:val="18"/>
        </w:rPr>
        <w:t>of</w:t>
      </w:r>
      <w:r>
        <w:rPr>
          <w:color w:val="231F20"/>
          <w:spacing w:val="-10"/>
          <w:sz w:val="18"/>
        </w:rPr>
        <w:t> </w:t>
      </w:r>
      <w:r>
        <w:rPr>
          <w:color w:val="231F20"/>
          <w:sz w:val="18"/>
        </w:rPr>
        <w:t>behavioral</w:t>
      </w:r>
      <w:r>
        <w:rPr>
          <w:color w:val="231F20"/>
          <w:spacing w:val="-10"/>
          <w:sz w:val="18"/>
        </w:rPr>
        <w:t> </w:t>
      </w:r>
      <w:r>
        <w:rPr>
          <w:color w:val="231F20"/>
          <w:sz w:val="18"/>
        </w:rPr>
        <w:t>change</w:t>
      </w:r>
      <w:r>
        <w:rPr>
          <w:color w:val="231F20"/>
          <w:spacing w:val="-10"/>
          <w:sz w:val="18"/>
        </w:rPr>
        <w:t> </w:t>
      </w:r>
      <w:r>
        <w:rPr>
          <w:color w:val="231F20"/>
          <w:sz w:val="18"/>
        </w:rPr>
        <w:t>//</w:t>
      </w:r>
      <w:r>
        <w:rPr>
          <w:color w:val="231F20"/>
          <w:spacing w:val="-10"/>
          <w:sz w:val="18"/>
        </w:rPr>
        <w:t> </w:t>
      </w:r>
      <w:r>
        <w:rPr>
          <w:color w:val="231F20"/>
          <w:sz w:val="18"/>
        </w:rPr>
        <w:t>Psychological Review. 1977. Vol. 84, № 2. P. 191–215.</w:t>
      </w:r>
    </w:p>
    <w:p>
      <w:pPr>
        <w:pStyle w:val="ListParagraph"/>
        <w:numPr>
          <w:ilvl w:val="0"/>
          <w:numId w:val="258"/>
        </w:numPr>
        <w:tabs>
          <w:tab w:pos="708" w:val="left" w:leader="none"/>
        </w:tabs>
        <w:spacing w:line="237" w:lineRule="auto" w:before="0" w:after="0"/>
        <w:ind w:left="708" w:right="423" w:hanging="284"/>
        <w:jc w:val="both"/>
        <w:rPr>
          <w:sz w:val="18"/>
        </w:rPr>
      </w:pPr>
      <w:r>
        <w:rPr>
          <w:color w:val="231F20"/>
          <w:sz w:val="18"/>
        </w:rPr>
        <w:t>Ereş F. Problems of the Immigrant Students’ Teachers: Are They Ready to Teach? // International Education Studies. 2016.</w:t>
      </w:r>
      <w:r>
        <w:rPr>
          <w:color w:val="231F20"/>
          <w:spacing w:val="-2"/>
          <w:sz w:val="18"/>
        </w:rPr>
        <w:t> </w:t>
      </w:r>
      <w:r>
        <w:rPr>
          <w:color w:val="231F20"/>
          <w:sz w:val="18"/>
        </w:rPr>
        <w:t>Vol. 9, № 7. P. 64–71. DOI:10.5539/ies.v9n7p64</w:t>
      </w:r>
    </w:p>
    <w:p>
      <w:pPr>
        <w:pStyle w:val="ListParagraph"/>
        <w:numPr>
          <w:ilvl w:val="0"/>
          <w:numId w:val="258"/>
        </w:numPr>
        <w:tabs>
          <w:tab w:pos="708" w:val="left" w:leader="none"/>
        </w:tabs>
        <w:spacing w:line="202" w:lineRule="exact" w:before="0" w:after="0"/>
        <w:ind w:left="708" w:right="0" w:hanging="283"/>
        <w:jc w:val="both"/>
        <w:rPr>
          <w:sz w:val="18"/>
        </w:rPr>
      </w:pPr>
      <w:r>
        <w:rPr>
          <w:color w:val="231F20"/>
          <w:sz w:val="18"/>
        </w:rPr>
        <w:t>Dimitrov</w:t>
      </w:r>
      <w:r>
        <w:rPr>
          <w:color w:val="231F20"/>
          <w:spacing w:val="-12"/>
          <w:sz w:val="18"/>
        </w:rPr>
        <w:t> </w:t>
      </w:r>
      <w:r>
        <w:rPr>
          <w:color w:val="231F20"/>
          <w:sz w:val="18"/>
        </w:rPr>
        <w:t>N.,</w:t>
      </w:r>
      <w:r>
        <w:rPr>
          <w:color w:val="231F20"/>
          <w:spacing w:val="23"/>
          <w:sz w:val="18"/>
        </w:rPr>
        <w:t> </w:t>
      </w:r>
      <w:r>
        <w:rPr>
          <w:color w:val="231F20"/>
          <w:sz w:val="18"/>
        </w:rPr>
        <w:t>Haque</w:t>
      </w:r>
      <w:r>
        <w:rPr>
          <w:color w:val="231F20"/>
          <w:spacing w:val="-20"/>
          <w:sz w:val="18"/>
        </w:rPr>
        <w:t> </w:t>
      </w:r>
      <w:r>
        <w:rPr>
          <w:color w:val="231F20"/>
          <w:sz w:val="18"/>
        </w:rPr>
        <w:t>A.</w:t>
      </w:r>
      <w:r>
        <w:rPr>
          <w:color w:val="231F20"/>
          <w:spacing w:val="-11"/>
          <w:sz w:val="18"/>
        </w:rPr>
        <w:t> </w:t>
      </w:r>
      <w:r>
        <w:rPr>
          <w:color w:val="231F20"/>
          <w:sz w:val="18"/>
        </w:rPr>
        <w:t>Intercultural</w:t>
      </w:r>
      <w:r>
        <w:rPr>
          <w:color w:val="231F20"/>
          <w:spacing w:val="-13"/>
          <w:sz w:val="18"/>
        </w:rPr>
        <w:t> </w:t>
      </w:r>
      <w:r>
        <w:rPr>
          <w:color w:val="231F20"/>
          <w:sz w:val="18"/>
        </w:rPr>
        <w:t>Teaching</w:t>
      </w:r>
      <w:r>
        <w:rPr>
          <w:color w:val="231F20"/>
          <w:spacing w:val="-11"/>
          <w:sz w:val="18"/>
        </w:rPr>
        <w:t> </w:t>
      </w:r>
      <w:r>
        <w:rPr>
          <w:color w:val="231F20"/>
          <w:sz w:val="18"/>
        </w:rPr>
        <w:t>Competence</w:t>
      </w:r>
      <w:r>
        <w:rPr>
          <w:color w:val="231F20"/>
          <w:spacing w:val="-11"/>
          <w:sz w:val="18"/>
        </w:rPr>
        <w:t> </w:t>
      </w:r>
      <w:r>
        <w:rPr>
          <w:color w:val="231F20"/>
          <w:sz w:val="18"/>
        </w:rPr>
        <w:t>in</w:t>
      </w:r>
      <w:r>
        <w:rPr>
          <w:color w:val="231F20"/>
          <w:spacing w:val="-11"/>
          <w:sz w:val="18"/>
        </w:rPr>
        <w:t> </w:t>
      </w:r>
      <w:r>
        <w:rPr>
          <w:color w:val="231F20"/>
          <w:sz w:val="18"/>
        </w:rPr>
        <w:t>the</w:t>
      </w:r>
      <w:r>
        <w:rPr>
          <w:color w:val="231F20"/>
          <w:spacing w:val="-11"/>
          <w:sz w:val="18"/>
        </w:rPr>
        <w:t> </w:t>
      </w:r>
      <w:r>
        <w:rPr>
          <w:color w:val="231F20"/>
          <w:sz w:val="18"/>
        </w:rPr>
        <w:t>Disciplines.</w:t>
      </w:r>
      <w:r>
        <w:rPr>
          <w:color w:val="231F20"/>
          <w:spacing w:val="-11"/>
          <w:sz w:val="18"/>
        </w:rPr>
        <w:t> </w:t>
      </w:r>
      <w:r>
        <w:rPr>
          <w:color w:val="231F20"/>
          <w:sz w:val="18"/>
        </w:rPr>
        <w:t>In</w:t>
      </w:r>
      <w:r>
        <w:rPr>
          <w:color w:val="231F20"/>
          <w:spacing w:val="-11"/>
          <w:sz w:val="18"/>
        </w:rPr>
        <w:t> </w:t>
      </w:r>
      <w:r>
        <w:rPr>
          <w:color w:val="231F20"/>
          <w:sz w:val="18"/>
        </w:rPr>
        <w:t>Pérez,</w:t>
      </w:r>
      <w:r>
        <w:rPr>
          <w:color w:val="231F20"/>
          <w:spacing w:val="-11"/>
          <w:sz w:val="18"/>
        </w:rPr>
        <w:t> </w:t>
      </w:r>
      <w:r>
        <w:rPr>
          <w:color w:val="231F20"/>
          <w:spacing w:val="-5"/>
          <w:sz w:val="18"/>
        </w:rPr>
        <w:t>G.</w:t>
      </w:r>
    </w:p>
    <w:p>
      <w:pPr>
        <w:spacing w:line="237" w:lineRule="auto" w:before="0"/>
        <w:ind w:left="708" w:right="423" w:firstLine="0"/>
        <w:jc w:val="both"/>
        <w:rPr>
          <w:sz w:val="18"/>
        </w:rPr>
      </w:pPr>
      <w:r>
        <w:rPr>
          <w:color w:val="231F20"/>
          <w:sz w:val="18"/>
        </w:rPr>
        <w:t>M.</w:t>
      </w:r>
      <w:r>
        <w:rPr>
          <w:color w:val="231F20"/>
          <w:spacing w:val="-2"/>
          <w:sz w:val="18"/>
        </w:rPr>
        <w:t> </w:t>
      </w:r>
      <w:r>
        <w:rPr>
          <w:color w:val="231F20"/>
          <w:sz w:val="18"/>
        </w:rPr>
        <w:t>G.</w:t>
      </w:r>
      <w:r>
        <w:rPr>
          <w:color w:val="231F20"/>
          <w:spacing w:val="-2"/>
          <w:sz w:val="18"/>
        </w:rPr>
        <w:t> </w:t>
      </w:r>
      <w:r>
        <w:rPr>
          <w:color w:val="231F20"/>
          <w:sz w:val="18"/>
        </w:rPr>
        <w:t>&amp;</w:t>
      </w:r>
      <w:r>
        <w:rPr>
          <w:color w:val="231F20"/>
          <w:spacing w:val="-3"/>
          <w:sz w:val="18"/>
        </w:rPr>
        <w:t> </w:t>
      </w:r>
      <w:r>
        <w:rPr>
          <w:color w:val="231F20"/>
          <w:sz w:val="18"/>
        </w:rPr>
        <w:t>Rojas-Primus,</w:t>
      </w:r>
      <w:r>
        <w:rPr>
          <w:color w:val="231F20"/>
          <w:spacing w:val="-2"/>
          <w:sz w:val="18"/>
        </w:rPr>
        <w:t> </w:t>
      </w:r>
      <w:r>
        <w:rPr>
          <w:color w:val="231F20"/>
          <w:sz w:val="18"/>
        </w:rPr>
        <w:t>C.</w:t>
      </w:r>
      <w:r>
        <w:rPr>
          <w:color w:val="231F20"/>
          <w:spacing w:val="-2"/>
          <w:sz w:val="18"/>
        </w:rPr>
        <w:t> </w:t>
      </w:r>
      <w:r>
        <w:rPr>
          <w:color w:val="231F20"/>
          <w:sz w:val="18"/>
        </w:rPr>
        <w:t>(Eds.)</w:t>
      </w:r>
      <w:r>
        <w:rPr>
          <w:color w:val="231F20"/>
          <w:spacing w:val="-5"/>
          <w:sz w:val="18"/>
        </w:rPr>
        <w:t> </w:t>
      </w:r>
      <w:r>
        <w:rPr>
          <w:i/>
          <w:color w:val="231F20"/>
          <w:sz w:val="18"/>
        </w:rPr>
        <w:t>Promoting</w:t>
      </w:r>
      <w:r>
        <w:rPr>
          <w:i/>
          <w:color w:val="231F20"/>
          <w:spacing w:val="-2"/>
          <w:sz w:val="18"/>
        </w:rPr>
        <w:t> </w:t>
      </w:r>
      <w:r>
        <w:rPr>
          <w:i/>
          <w:color w:val="231F20"/>
          <w:sz w:val="18"/>
        </w:rPr>
        <w:t>Intercultural</w:t>
      </w:r>
      <w:r>
        <w:rPr>
          <w:i/>
          <w:color w:val="231F20"/>
          <w:spacing w:val="-2"/>
          <w:sz w:val="18"/>
        </w:rPr>
        <w:t> </w:t>
      </w:r>
      <w:r>
        <w:rPr>
          <w:i/>
          <w:color w:val="231F20"/>
          <w:sz w:val="18"/>
        </w:rPr>
        <w:t>Communication</w:t>
      </w:r>
      <w:r>
        <w:rPr>
          <w:i/>
          <w:color w:val="231F20"/>
          <w:spacing w:val="-3"/>
          <w:sz w:val="18"/>
        </w:rPr>
        <w:t> </w:t>
      </w:r>
      <w:r>
        <w:rPr>
          <w:i/>
          <w:color w:val="231F20"/>
          <w:sz w:val="18"/>
        </w:rPr>
        <w:t>Competencies in Higher Education. 2016.</w:t>
      </w:r>
      <w:r>
        <w:rPr>
          <w:i/>
          <w:color w:val="231F20"/>
          <w:spacing w:val="-6"/>
          <w:sz w:val="18"/>
        </w:rPr>
        <w:t> </w:t>
      </w:r>
      <w:r>
        <w:rPr>
          <w:color w:val="231F20"/>
          <w:sz w:val="18"/>
        </w:rPr>
        <w:t>(pp. 89-119). IGI Global: Hershey, PA.</w:t>
      </w:r>
      <w:r>
        <w:rPr>
          <w:color w:val="231F20"/>
          <w:spacing w:val="-7"/>
          <w:sz w:val="18"/>
        </w:rPr>
        <w:t> </w:t>
      </w:r>
      <w:hyperlink r:id="rId226">
        <w:r>
          <w:rPr>
            <w:color w:val="2255A6"/>
            <w:sz w:val="18"/>
            <w:u w:val="single" w:color="2255A6"/>
          </w:rPr>
          <w:t>https://ir.lib.uwo.ca/</w:t>
        </w:r>
      </w:hyperlink>
      <w:r>
        <w:rPr>
          <w:color w:val="2255A6"/>
          <w:sz w:val="18"/>
        </w:rPr>
        <w:t> </w:t>
      </w:r>
      <w:hyperlink r:id="rId226">
        <w:r>
          <w:rPr>
            <w:color w:val="2255A6"/>
            <w:spacing w:val="-2"/>
            <w:sz w:val="18"/>
            <w:u w:val="single" w:color="2255A6"/>
          </w:rPr>
          <w:t>ctlpub/16/</w:t>
        </w:r>
      </w:hyperlink>
    </w:p>
    <w:p>
      <w:pPr>
        <w:pStyle w:val="ListParagraph"/>
        <w:numPr>
          <w:ilvl w:val="0"/>
          <w:numId w:val="258"/>
        </w:numPr>
        <w:tabs>
          <w:tab w:pos="708" w:val="left" w:leader="none"/>
        </w:tabs>
        <w:spacing w:line="240" w:lineRule="auto" w:before="0" w:after="0"/>
        <w:ind w:left="708" w:right="423" w:hanging="284"/>
        <w:jc w:val="both"/>
        <w:rPr>
          <w:sz w:val="18"/>
        </w:rPr>
      </w:pPr>
      <w:r>
        <w:rPr>
          <w:color w:val="231F20"/>
          <w:sz w:val="18"/>
        </w:rPr>
        <w:t>Gutentag T., Horenczyk G., Tatar M. Teachers’</w:t>
      </w:r>
      <w:r>
        <w:rPr>
          <w:color w:val="231F20"/>
          <w:spacing w:val="-9"/>
          <w:sz w:val="18"/>
        </w:rPr>
        <w:t> </w:t>
      </w:r>
      <w:r>
        <w:rPr>
          <w:color w:val="231F20"/>
          <w:sz w:val="18"/>
        </w:rPr>
        <w:t>Approaches Toward Cultural Diversity </w:t>
      </w:r>
      <w:r>
        <w:rPr>
          <w:color w:val="231F20"/>
          <w:spacing w:val="-2"/>
          <w:sz w:val="18"/>
        </w:rPr>
        <w:t>Predict Diversity Related Burnout and Self-Efficacy// Journal of</w:t>
      </w:r>
      <w:r>
        <w:rPr>
          <w:color w:val="231F20"/>
          <w:spacing w:val="-4"/>
          <w:sz w:val="18"/>
        </w:rPr>
        <w:t> </w:t>
      </w:r>
      <w:r>
        <w:rPr>
          <w:color w:val="231F20"/>
          <w:spacing w:val="-2"/>
          <w:sz w:val="18"/>
        </w:rPr>
        <w:t>Teacher Education. </w:t>
      </w:r>
      <w:r>
        <w:rPr>
          <w:color w:val="231F20"/>
          <w:spacing w:val="-2"/>
          <w:sz w:val="18"/>
        </w:rPr>
        <w:t>2018. </w:t>
      </w:r>
      <w:r>
        <w:rPr>
          <w:color w:val="231F20"/>
          <w:sz w:val="18"/>
        </w:rPr>
        <w:t>Vol. 69, iss. 4. P. 408–419. DOI:10.1177/0022487117714244.</w:t>
      </w:r>
    </w:p>
    <w:p>
      <w:pPr>
        <w:pStyle w:val="ListParagraph"/>
        <w:spacing w:after="0" w:line="240" w:lineRule="auto"/>
        <w:jc w:val="both"/>
        <w:rPr>
          <w:sz w:val="18"/>
        </w:rPr>
        <w:sectPr>
          <w:pgSz w:w="8400" w:h="11910"/>
          <w:pgMar w:header="0" w:footer="529"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2.</w:t>
      </w:r>
    </w:p>
    <w:p>
      <w:pPr>
        <w:pStyle w:val="ListParagraph"/>
        <w:numPr>
          <w:ilvl w:val="0"/>
          <w:numId w:val="258"/>
        </w:numPr>
        <w:tabs>
          <w:tab w:pos="708" w:val="left" w:leader="none"/>
        </w:tabs>
        <w:spacing w:line="240" w:lineRule="auto" w:before="117" w:after="0"/>
        <w:ind w:left="708" w:right="423" w:hanging="284"/>
        <w:jc w:val="both"/>
        <w:rPr>
          <w:sz w:val="18"/>
        </w:rPr>
      </w:pPr>
      <w:r>
        <w:rPr>
          <w:color w:val="231F20"/>
          <w:sz w:val="18"/>
        </w:rPr>
        <w:t>Horenczyk G., Tatar M. Schools’ organizational views of diversity: Perceptions and approaches</w:t>
      </w:r>
      <w:r>
        <w:rPr>
          <w:color w:val="231F20"/>
          <w:spacing w:val="-5"/>
          <w:sz w:val="18"/>
        </w:rPr>
        <w:t> </w:t>
      </w:r>
      <w:r>
        <w:rPr>
          <w:color w:val="231F20"/>
          <w:sz w:val="18"/>
        </w:rPr>
        <w:t>//</w:t>
      </w:r>
      <w:r>
        <w:rPr>
          <w:color w:val="231F20"/>
          <w:spacing w:val="-5"/>
          <w:sz w:val="18"/>
        </w:rPr>
        <w:t> </w:t>
      </w:r>
      <w:r>
        <w:rPr>
          <w:color w:val="231F20"/>
          <w:sz w:val="18"/>
        </w:rPr>
        <w:t>Hyphenated</w:t>
      </w:r>
      <w:r>
        <w:rPr>
          <w:color w:val="231F20"/>
          <w:spacing w:val="-5"/>
          <w:sz w:val="18"/>
        </w:rPr>
        <w:t> </w:t>
      </w:r>
      <w:r>
        <w:rPr>
          <w:color w:val="231F20"/>
          <w:sz w:val="18"/>
        </w:rPr>
        <w:t>selves</w:t>
      </w:r>
      <w:r>
        <w:rPr>
          <w:color w:val="231F20"/>
          <w:spacing w:val="-5"/>
          <w:sz w:val="18"/>
        </w:rPr>
        <w:t> </w:t>
      </w:r>
      <w:r>
        <w:rPr>
          <w:color w:val="231F20"/>
          <w:sz w:val="18"/>
        </w:rPr>
        <w:t>:</w:t>
      </w:r>
      <w:r>
        <w:rPr>
          <w:color w:val="231F20"/>
          <w:spacing w:val="-5"/>
          <w:sz w:val="18"/>
        </w:rPr>
        <w:t> </w:t>
      </w:r>
      <w:r>
        <w:rPr>
          <w:color w:val="231F20"/>
          <w:sz w:val="18"/>
        </w:rPr>
        <w:t>Immigrant</w:t>
      </w:r>
      <w:r>
        <w:rPr>
          <w:color w:val="231F20"/>
          <w:spacing w:val="-5"/>
          <w:sz w:val="18"/>
        </w:rPr>
        <w:t> </w:t>
      </w:r>
      <w:r>
        <w:rPr>
          <w:color w:val="231F20"/>
          <w:sz w:val="18"/>
        </w:rPr>
        <w:t>identities</w:t>
      </w:r>
      <w:r>
        <w:rPr>
          <w:color w:val="231F20"/>
          <w:spacing w:val="-6"/>
          <w:sz w:val="18"/>
        </w:rPr>
        <w:t> </w:t>
      </w:r>
      <w:r>
        <w:rPr>
          <w:color w:val="231F20"/>
          <w:sz w:val="18"/>
        </w:rPr>
        <w:t>within</w:t>
      </w:r>
      <w:r>
        <w:rPr>
          <w:color w:val="231F20"/>
          <w:spacing w:val="-5"/>
          <w:sz w:val="18"/>
        </w:rPr>
        <w:t> </w:t>
      </w:r>
      <w:r>
        <w:rPr>
          <w:color w:val="231F20"/>
          <w:sz w:val="18"/>
        </w:rPr>
        <w:t>education</w:t>
      </w:r>
      <w:r>
        <w:rPr>
          <w:color w:val="231F20"/>
          <w:spacing w:val="-5"/>
          <w:sz w:val="18"/>
        </w:rPr>
        <w:t> </w:t>
      </w:r>
      <w:r>
        <w:rPr>
          <w:color w:val="231F20"/>
          <w:sz w:val="18"/>
        </w:rPr>
        <w:t>contexts</w:t>
      </w:r>
      <w:r>
        <w:rPr>
          <w:color w:val="231F20"/>
          <w:spacing w:val="-5"/>
          <w:sz w:val="18"/>
        </w:rPr>
        <w:t> </w:t>
      </w:r>
      <w:r>
        <w:rPr>
          <w:color w:val="231F20"/>
          <w:sz w:val="18"/>
        </w:rPr>
        <w:t>/</w:t>
      </w:r>
      <w:r>
        <w:rPr>
          <w:color w:val="231F20"/>
          <w:spacing w:val="-5"/>
          <w:sz w:val="18"/>
        </w:rPr>
        <w:t> </w:t>
      </w:r>
      <w:r>
        <w:rPr>
          <w:color w:val="231F20"/>
          <w:sz w:val="18"/>
        </w:rPr>
        <w:t>Ed.</w:t>
      </w:r>
      <w:r>
        <w:rPr>
          <w:color w:val="231F20"/>
          <w:spacing w:val="-5"/>
          <w:sz w:val="18"/>
        </w:rPr>
        <w:t> </w:t>
      </w:r>
      <w:r>
        <w:rPr>
          <w:color w:val="231F20"/>
          <w:sz w:val="18"/>
        </w:rPr>
        <w:t>S. Vandeyar. Amsterdam, The Netherland: Unisa Press, 2011. P. 131–148.</w:t>
      </w:r>
    </w:p>
    <w:p>
      <w:pPr>
        <w:pStyle w:val="ListParagraph"/>
        <w:numPr>
          <w:ilvl w:val="0"/>
          <w:numId w:val="258"/>
        </w:numPr>
        <w:tabs>
          <w:tab w:pos="708" w:val="left" w:leader="none"/>
        </w:tabs>
        <w:spacing w:line="240" w:lineRule="auto" w:before="0" w:after="0"/>
        <w:ind w:left="708" w:right="423" w:hanging="284"/>
        <w:jc w:val="both"/>
        <w:rPr>
          <w:sz w:val="18"/>
        </w:rPr>
      </w:pPr>
      <w:r>
        <w:rPr>
          <w:color w:val="231F20"/>
          <w:sz w:val="18"/>
        </w:rPr>
        <w:t>Horenczyk</w:t>
      </w:r>
      <w:r>
        <w:rPr>
          <w:color w:val="231F20"/>
          <w:spacing w:val="-12"/>
          <w:sz w:val="18"/>
        </w:rPr>
        <w:t> </w:t>
      </w:r>
      <w:r>
        <w:rPr>
          <w:color w:val="231F20"/>
          <w:sz w:val="18"/>
        </w:rPr>
        <w:t>G.,</w:t>
      </w:r>
      <w:r>
        <w:rPr>
          <w:color w:val="231F20"/>
          <w:spacing w:val="-11"/>
          <w:sz w:val="18"/>
        </w:rPr>
        <w:t> </w:t>
      </w:r>
      <w:r>
        <w:rPr>
          <w:color w:val="231F20"/>
          <w:sz w:val="18"/>
        </w:rPr>
        <w:t>Tatar</w:t>
      </w:r>
      <w:r>
        <w:rPr>
          <w:color w:val="231F20"/>
          <w:spacing w:val="-11"/>
          <w:sz w:val="18"/>
        </w:rPr>
        <w:t> </w:t>
      </w:r>
      <w:r>
        <w:rPr>
          <w:color w:val="231F20"/>
          <w:sz w:val="18"/>
        </w:rPr>
        <w:t>M.</w:t>
      </w:r>
      <w:r>
        <w:rPr>
          <w:color w:val="231F20"/>
          <w:spacing w:val="-11"/>
          <w:sz w:val="18"/>
        </w:rPr>
        <w:t> </w:t>
      </w:r>
      <w:r>
        <w:rPr>
          <w:color w:val="231F20"/>
          <w:sz w:val="18"/>
        </w:rPr>
        <w:t>Teachers’</w:t>
      </w:r>
      <w:r>
        <w:rPr>
          <w:color w:val="231F20"/>
          <w:spacing w:val="-12"/>
          <w:sz w:val="18"/>
        </w:rPr>
        <w:t> </w:t>
      </w:r>
      <w:r>
        <w:rPr>
          <w:color w:val="231F20"/>
          <w:sz w:val="18"/>
        </w:rPr>
        <w:t>attitudes</w:t>
      </w:r>
      <w:r>
        <w:rPr>
          <w:color w:val="231F20"/>
          <w:spacing w:val="-7"/>
          <w:sz w:val="18"/>
        </w:rPr>
        <w:t> </w:t>
      </w:r>
      <w:r>
        <w:rPr>
          <w:color w:val="231F20"/>
          <w:sz w:val="18"/>
        </w:rPr>
        <w:t>toward</w:t>
      </w:r>
      <w:r>
        <w:rPr>
          <w:color w:val="231F20"/>
          <w:spacing w:val="-8"/>
          <w:sz w:val="18"/>
        </w:rPr>
        <w:t> </w:t>
      </w:r>
      <w:r>
        <w:rPr>
          <w:color w:val="231F20"/>
          <w:sz w:val="18"/>
        </w:rPr>
        <w:t>multiculturalism</w:t>
      </w:r>
      <w:r>
        <w:rPr>
          <w:color w:val="231F20"/>
          <w:spacing w:val="-8"/>
          <w:sz w:val="18"/>
        </w:rPr>
        <w:t> </w:t>
      </w:r>
      <w:r>
        <w:rPr>
          <w:color w:val="231F20"/>
          <w:sz w:val="18"/>
        </w:rPr>
        <w:t>and</w:t>
      </w:r>
      <w:r>
        <w:rPr>
          <w:color w:val="231F20"/>
          <w:spacing w:val="-8"/>
          <w:sz w:val="18"/>
        </w:rPr>
        <w:t> </w:t>
      </w:r>
      <w:r>
        <w:rPr>
          <w:color w:val="231F20"/>
          <w:sz w:val="18"/>
        </w:rPr>
        <w:t>their</w:t>
      </w:r>
      <w:r>
        <w:rPr>
          <w:color w:val="231F20"/>
          <w:spacing w:val="-8"/>
          <w:sz w:val="18"/>
        </w:rPr>
        <w:t> </w:t>
      </w:r>
      <w:r>
        <w:rPr>
          <w:color w:val="231F20"/>
          <w:sz w:val="18"/>
        </w:rPr>
        <w:t>perceptions of</w:t>
      </w:r>
      <w:r>
        <w:rPr>
          <w:color w:val="231F20"/>
          <w:spacing w:val="-12"/>
          <w:sz w:val="18"/>
        </w:rPr>
        <w:t> </w:t>
      </w:r>
      <w:r>
        <w:rPr>
          <w:color w:val="231F20"/>
          <w:sz w:val="18"/>
        </w:rPr>
        <w:t>the</w:t>
      </w:r>
      <w:r>
        <w:rPr>
          <w:color w:val="231F20"/>
          <w:spacing w:val="-11"/>
          <w:sz w:val="18"/>
        </w:rPr>
        <w:t> </w:t>
      </w:r>
      <w:r>
        <w:rPr>
          <w:color w:val="231F20"/>
          <w:sz w:val="18"/>
        </w:rPr>
        <w:t>school</w:t>
      </w:r>
      <w:r>
        <w:rPr>
          <w:color w:val="231F20"/>
          <w:spacing w:val="-11"/>
          <w:sz w:val="18"/>
        </w:rPr>
        <w:t> </w:t>
      </w:r>
      <w:r>
        <w:rPr>
          <w:color w:val="231F20"/>
          <w:sz w:val="18"/>
        </w:rPr>
        <w:t>organizational</w:t>
      </w:r>
      <w:r>
        <w:rPr>
          <w:color w:val="231F20"/>
          <w:spacing w:val="-11"/>
          <w:sz w:val="18"/>
        </w:rPr>
        <w:t> </w:t>
      </w:r>
      <w:r>
        <w:rPr>
          <w:color w:val="231F20"/>
          <w:sz w:val="18"/>
        </w:rPr>
        <w:t>culture</w:t>
      </w:r>
      <w:r>
        <w:rPr>
          <w:color w:val="231F20"/>
          <w:spacing w:val="-11"/>
          <w:sz w:val="18"/>
        </w:rPr>
        <w:t> </w:t>
      </w:r>
      <w:r>
        <w:rPr>
          <w:color w:val="231F20"/>
          <w:sz w:val="18"/>
        </w:rPr>
        <w:t>//</w:t>
      </w:r>
      <w:r>
        <w:rPr>
          <w:color w:val="231F20"/>
          <w:spacing w:val="-11"/>
          <w:sz w:val="18"/>
        </w:rPr>
        <w:t> </w:t>
      </w:r>
      <w:r>
        <w:rPr>
          <w:color w:val="231F20"/>
          <w:sz w:val="18"/>
        </w:rPr>
        <w:t>Teaching</w:t>
      </w:r>
      <w:r>
        <w:rPr>
          <w:color w:val="231F20"/>
          <w:spacing w:val="-10"/>
          <w:sz w:val="18"/>
        </w:rPr>
        <w:t> </w:t>
      </w:r>
      <w:r>
        <w:rPr>
          <w:color w:val="231F20"/>
          <w:sz w:val="18"/>
        </w:rPr>
        <w:t>and</w:t>
      </w:r>
      <w:r>
        <w:rPr>
          <w:color w:val="231F20"/>
          <w:spacing w:val="-12"/>
          <w:sz w:val="18"/>
        </w:rPr>
        <w:t> </w:t>
      </w:r>
      <w:r>
        <w:rPr>
          <w:color w:val="231F20"/>
          <w:sz w:val="18"/>
        </w:rPr>
        <w:t>Teacher</w:t>
      </w:r>
      <w:r>
        <w:rPr>
          <w:color w:val="231F20"/>
          <w:spacing w:val="-10"/>
          <w:sz w:val="18"/>
        </w:rPr>
        <w:t> </w:t>
      </w:r>
      <w:r>
        <w:rPr>
          <w:color w:val="231F20"/>
          <w:sz w:val="18"/>
        </w:rPr>
        <w:t>Education.</w:t>
      </w:r>
      <w:r>
        <w:rPr>
          <w:color w:val="231F20"/>
          <w:spacing w:val="-11"/>
          <w:sz w:val="18"/>
        </w:rPr>
        <w:t> </w:t>
      </w:r>
      <w:r>
        <w:rPr>
          <w:color w:val="231F20"/>
          <w:sz w:val="18"/>
        </w:rPr>
        <w:t>2002.</w:t>
      </w:r>
      <w:r>
        <w:rPr>
          <w:color w:val="231F20"/>
          <w:spacing w:val="-12"/>
          <w:sz w:val="18"/>
        </w:rPr>
        <w:t> </w:t>
      </w:r>
      <w:r>
        <w:rPr>
          <w:color w:val="231F20"/>
          <w:sz w:val="18"/>
        </w:rPr>
        <w:t>Vol.</w:t>
      </w:r>
      <w:r>
        <w:rPr>
          <w:color w:val="231F20"/>
          <w:spacing w:val="-9"/>
          <w:sz w:val="18"/>
        </w:rPr>
        <w:t> </w:t>
      </w:r>
      <w:r>
        <w:rPr>
          <w:color w:val="231F20"/>
          <w:sz w:val="18"/>
        </w:rPr>
        <w:t>18,</w:t>
      </w:r>
      <w:r>
        <w:rPr>
          <w:color w:val="231F20"/>
          <w:spacing w:val="-10"/>
          <w:sz w:val="18"/>
        </w:rPr>
        <w:t> </w:t>
      </w:r>
      <w:r>
        <w:rPr>
          <w:color w:val="231F20"/>
          <w:sz w:val="18"/>
        </w:rPr>
        <w:t>iss.</w:t>
      </w:r>
    </w:p>
    <w:p>
      <w:pPr>
        <w:pStyle w:val="ListParagraph"/>
        <w:numPr>
          <w:ilvl w:val="1"/>
          <w:numId w:val="258"/>
        </w:numPr>
        <w:tabs>
          <w:tab w:pos="888" w:val="left" w:leader="none"/>
        </w:tabs>
        <w:spacing w:line="205" w:lineRule="exact" w:before="0" w:after="0"/>
        <w:ind w:left="888" w:right="0" w:hanging="180"/>
        <w:jc w:val="both"/>
        <w:rPr>
          <w:sz w:val="18"/>
        </w:rPr>
      </w:pPr>
      <w:r>
        <w:rPr>
          <w:color w:val="231F20"/>
          <w:sz w:val="18"/>
        </w:rPr>
        <w:t>P.</w:t>
      </w:r>
      <w:r>
        <w:rPr>
          <w:color w:val="231F20"/>
          <w:spacing w:val="-10"/>
          <w:sz w:val="18"/>
        </w:rPr>
        <w:t> </w:t>
      </w:r>
      <w:r>
        <w:rPr>
          <w:color w:val="231F20"/>
          <w:sz w:val="18"/>
        </w:rPr>
        <w:t>435–445.</w:t>
      </w:r>
      <w:r>
        <w:rPr>
          <w:color w:val="231F20"/>
          <w:spacing w:val="-10"/>
          <w:sz w:val="18"/>
        </w:rPr>
        <w:t> </w:t>
      </w:r>
      <w:r>
        <w:rPr>
          <w:color w:val="231F20"/>
          <w:sz w:val="18"/>
        </w:rPr>
        <w:t>DOI:10.1016/S0742-051X(02)00008-</w:t>
      </w:r>
      <w:r>
        <w:rPr>
          <w:color w:val="231F20"/>
          <w:spacing w:val="-5"/>
          <w:sz w:val="18"/>
        </w:rPr>
        <w:t>2.</w:t>
      </w:r>
    </w:p>
    <w:p>
      <w:pPr>
        <w:pStyle w:val="ListParagraph"/>
        <w:numPr>
          <w:ilvl w:val="0"/>
          <w:numId w:val="258"/>
        </w:numPr>
        <w:tabs>
          <w:tab w:pos="708" w:val="left" w:leader="none"/>
        </w:tabs>
        <w:spacing w:line="240" w:lineRule="auto" w:before="0" w:after="0"/>
        <w:ind w:left="708" w:right="424" w:hanging="284"/>
        <w:jc w:val="both"/>
        <w:rPr>
          <w:sz w:val="18"/>
        </w:rPr>
      </w:pPr>
      <w:r>
        <w:rPr>
          <w:color w:val="231F20"/>
          <w:sz w:val="18"/>
        </w:rPr>
        <w:t>Lamm,</w:t>
      </w:r>
      <w:r>
        <w:rPr>
          <w:color w:val="231F20"/>
          <w:spacing w:val="34"/>
          <w:sz w:val="18"/>
        </w:rPr>
        <w:t> </w:t>
      </w:r>
      <w:r>
        <w:rPr>
          <w:color w:val="231F20"/>
          <w:sz w:val="18"/>
        </w:rPr>
        <w:t>Helmut;</w:t>
      </w:r>
      <w:r>
        <w:rPr>
          <w:color w:val="231F20"/>
          <w:spacing w:val="31"/>
          <w:sz w:val="18"/>
        </w:rPr>
        <w:t> </w:t>
      </w:r>
      <w:r>
        <w:rPr>
          <w:color w:val="231F20"/>
          <w:sz w:val="18"/>
        </w:rPr>
        <w:t>Trommsdorff,</w:t>
      </w:r>
      <w:r>
        <w:rPr>
          <w:color w:val="231F20"/>
          <w:spacing w:val="34"/>
          <w:sz w:val="18"/>
        </w:rPr>
        <w:t> </w:t>
      </w:r>
      <w:r>
        <w:rPr>
          <w:color w:val="231F20"/>
          <w:sz w:val="18"/>
        </w:rPr>
        <w:t>Gisela</w:t>
      </w:r>
      <w:r>
        <w:rPr>
          <w:color w:val="231F20"/>
          <w:spacing w:val="34"/>
          <w:sz w:val="18"/>
        </w:rPr>
        <w:t> </w:t>
      </w:r>
      <w:r>
        <w:rPr>
          <w:color w:val="231F20"/>
          <w:sz w:val="18"/>
        </w:rPr>
        <w:t>(1973).</w:t>
      </w:r>
      <w:r>
        <w:rPr>
          <w:color w:val="231F20"/>
          <w:spacing w:val="34"/>
          <w:sz w:val="18"/>
        </w:rPr>
        <w:t> </w:t>
      </w:r>
      <w:r>
        <w:rPr>
          <w:color w:val="231F20"/>
          <w:sz w:val="18"/>
        </w:rPr>
        <w:t>“Group</w:t>
      </w:r>
      <w:r>
        <w:rPr>
          <w:color w:val="231F20"/>
          <w:spacing w:val="34"/>
          <w:sz w:val="18"/>
        </w:rPr>
        <w:t> </w:t>
      </w:r>
      <w:r>
        <w:rPr>
          <w:color w:val="231F20"/>
          <w:sz w:val="18"/>
        </w:rPr>
        <w:t>versus</w:t>
      </w:r>
      <w:r>
        <w:rPr>
          <w:color w:val="231F20"/>
          <w:spacing w:val="34"/>
          <w:sz w:val="18"/>
        </w:rPr>
        <w:t> </w:t>
      </w:r>
      <w:r>
        <w:rPr>
          <w:color w:val="231F20"/>
          <w:sz w:val="18"/>
        </w:rPr>
        <w:t>individual</w:t>
      </w:r>
      <w:r>
        <w:rPr>
          <w:color w:val="231F20"/>
          <w:spacing w:val="34"/>
          <w:sz w:val="18"/>
        </w:rPr>
        <w:t> </w:t>
      </w:r>
      <w:r>
        <w:rPr>
          <w:color w:val="231F20"/>
          <w:sz w:val="18"/>
        </w:rPr>
        <w:t>performance on tasks requiring ideational proficiency (brainstorming): A review” (PDF). European Journal of Social Psychology. 3 (4): 36–388. DOI:10.1002/ejsp.2420030402.</w:t>
      </w:r>
    </w:p>
    <w:p>
      <w:pPr>
        <w:pStyle w:val="ListParagraph"/>
        <w:numPr>
          <w:ilvl w:val="0"/>
          <w:numId w:val="258"/>
        </w:numPr>
        <w:tabs>
          <w:tab w:pos="708" w:val="left" w:leader="none"/>
        </w:tabs>
        <w:spacing w:line="240" w:lineRule="auto" w:before="0" w:after="0"/>
        <w:ind w:left="708" w:right="423" w:hanging="284"/>
        <w:jc w:val="both"/>
        <w:rPr>
          <w:sz w:val="18"/>
        </w:rPr>
      </w:pPr>
      <w:r>
        <w:rPr>
          <w:color w:val="231F20"/>
          <w:sz w:val="18"/>
        </w:rPr>
        <w:t>Tatar M., Ben-Uri I., Horenczyk G. Assimilation attitudes predict lower immigration- related</w:t>
      </w:r>
      <w:r>
        <w:rPr>
          <w:color w:val="231F20"/>
          <w:spacing w:val="-9"/>
          <w:sz w:val="18"/>
        </w:rPr>
        <w:t> </w:t>
      </w:r>
      <w:r>
        <w:rPr>
          <w:color w:val="231F20"/>
          <w:sz w:val="18"/>
        </w:rPr>
        <w:t>self-effi</w:t>
      </w:r>
      <w:r>
        <w:rPr>
          <w:color w:val="231F20"/>
          <w:spacing w:val="-9"/>
          <w:sz w:val="18"/>
        </w:rPr>
        <w:t> </w:t>
      </w:r>
      <w:r>
        <w:rPr>
          <w:color w:val="231F20"/>
          <w:sz w:val="18"/>
        </w:rPr>
        <w:t>cacy</w:t>
      </w:r>
      <w:r>
        <w:rPr>
          <w:color w:val="231F20"/>
          <w:spacing w:val="-9"/>
          <w:sz w:val="18"/>
        </w:rPr>
        <w:t> </w:t>
      </w:r>
      <w:r>
        <w:rPr>
          <w:color w:val="231F20"/>
          <w:sz w:val="18"/>
        </w:rPr>
        <w:t>among</w:t>
      </w:r>
      <w:r>
        <w:rPr>
          <w:color w:val="231F20"/>
          <w:spacing w:val="-9"/>
          <w:sz w:val="18"/>
        </w:rPr>
        <w:t> </w:t>
      </w:r>
      <w:r>
        <w:rPr>
          <w:color w:val="231F20"/>
          <w:sz w:val="18"/>
        </w:rPr>
        <w:t>Israeli</w:t>
      </w:r>
      <w:r>
        <w:rPr>
          <w:color w:val="231F20"/>
          <w:spacing w:val="-9"/>
          <w:sz w:val="18"/>
        </w:rPr>
        <w:t> </w:t>
      </w:r>
      <w:r>
        <w:rPr>
          <w:color w:val="231F20"/>
          <w:sz w:val="18"/>
        </w:rPr>
        <w:t>immigrant</w:t>
      </w:r>
      <w:r>
        <w:rPr>
          <w:color w:val="231F20"/>
          <w:spacing w:val="-9"/>
          <w:sz w:val="18"/>
        </w:rPr>
        <w:t> </w:t>
      </w:r>
      <w:r>
        <w:rPr>
          <w:color w:val="231F20"/>
          <w:sz w:val="18"/>
        </w:rPr>
        <w:t>teachers</w:t>
      </w:r>
      <w:r>
        <w:rPr>
          <w:color w:val="231F20"/>
          <w:spacing w:val="-9"/>
          <w:sz w:val="18"/>
        </w:rPr>
        <w:t> </w:t>
      </w:r>
      <w:r>
        <w:rPr>
          <w:color w:val="231F20"/>
          <w:sz w:val="18"/>
        </w:rPr>
        <w:t>//</w:t>
      </w:r>
      <w:r>
        <w:rPr>
          <w:color w:val="231F20"/>
          <w:spacing w:val="-9"/>
          <w:sz w:val="18"/>
        </w:rPr>
        <w:t> </w:t>
      </w:r>
      <w:r>
        <w:rPr>
          <w:color w:val="231F20"/>
          <w:sz w:val="18"/>
        </w:rPr>
        <w:t>European</w:t>
      </w:r>
      <w:r>
        <w:rPr>
          <w:color w:val="231F20"/>
          <w:spacing w:val="-9"/>
          <w:sz w:val="18"/>
        </w:rPr>
        <w:t> </w:t>
      </w:r>
      <w:r>
        <w:rPr>
          <w:color w:val="231F20"/>
          <w:sz w:val="18"/>
        </w:rPr>
        <w:t>Journal</w:t>
      </w:r>
      <w:r>
        <w:rPr>
          <w:color w:val="231F20"/>
          <w:spacing w:val="-9"/>
          <w:sz w:val="18"/>
        </w:rPr>
        <w:t> </w:t>
      </w:r>
      <w:r>
        <w:rPr>
          <w:color w:val="231F20"/>
          <w:sz w:val="18"/>
        </w:rPr>
        <w:t>of</w:t>
      </w:r>
      <w:r>
        <w:rPr>
          <w:color w:val="231F20"/>
          <w:spacing w:val="-9"/>
          <w:sz w:val="18"/>
        </w:rPr>
        <w:t> </w:t>
      </w:r>
      <w:r>
        <w:rPr>
          <w:color w:val="231F20"/>
          <w:sz w:val="18"/>
        </w:rPr>
        <w:t>Psychology of Education. 2011. Vol. 26, № 2. P. 247–255. DOI:10.1007/s10212-010-0044-3.</w:t>
      </w:r>
    </w:p>
    <w:p>
      <w:pPr>
        <w:pStyle w:val="ListParagraph"/>
        <w:numPr>
          <w:ilvl w:val="0"/>
          <w:numId w:val="258"/>
        </w:numPr>
        <w:tabs>
          <w:tab w:pos="708" w:val="left" w:leader="none"/>
        </w:tabs>
        <w:spacing w:line="240" w:lineRule="auto" w:before="0" w:after="0"/>
        <w:ind w:left="708" w:right="423" w:hanging="284"/>
        <w:jc w:val="both"/>
        <w:rPr>
          <w:sz w:val="18"/>
        </w:rPr>
      </w:pPr>
      <w:r>
        <w:rPr>
          <w:color w:val="231F20"/>
          <w:sz w:val="18"/>
        </w:rPr>
        <w:t>Wilson-Daily A. E., Kemmelmeier M., Prats J. Intergroup contact versus conflict in Catalan high schools: A multilevel analysis of adolescent attitudes toward immigration and diversity // International Journal of Intercultural Relations. 2018. Vol. 64. P. </w:t>
      </w:r>
      <w:r>
        <w:rPr>
          <w:color w:val="231F20"/>
          <w:sz w:val="18"/>
        </w:rPr>
        <w:t>12–28. </w:t>
      </w:r>
      <w:r>
        <w:rPr>
          <w:color w:val="231F20"/>
          <w:spacing w:val="-2"/>
          <w:sz w:val="18"/>
        </w:rPr>
        <w:t>DOI:10.1016/j.ijintrel.2018.03.002.</w:t>
      </w:r>
    </w:p>
    <w:p>
      <w:pPr>
        <w:pStyle w:val="ListParagraph"/>
        <w:spacing w:after="0" w:line="240" w:lineRule="auto"/>
        <w:jc w:val="both"/>
        <w:rPr>
          <w:sz w:val="18"/>
        </w:rPr>
        <w:sectPr>
          <w:pgSz w:w="8400" w:h="11910"/>
          <w:pgMar w:header="0" w:footer="529" w:top="400" w:bottom="740" w:left="425" w:right="425"/>
        </w:sect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spacing w:before="299"/>
        <w:ind w:left="0" w:right="0" w:firstLine="0"/>
        <w:jc w:val="left"/>
        <w:rPr>
          <w:sz w:val="28"/>
        </w:rPr>
      </w:pPr>
    </w:p>
    <w:p>
      <w:pPr>
        <w:spacing w:before="1"/>
        <w:ind w:left="303" w:right="303" w:firstLine="0"/>
        <w:jc w:val="center"/>
        <w:rPr>
          <w:rFonts w:ascii="Georgia" w:hAnsi="Georgia"/>
          <w:b/>
          <w:sz w:val="28"/>
        </w:rPr>
      </w:pPr>
      <w:bookmarkStart w:name="_bookmark84" w:id="86"/>
      <w:bookmarkEnd w:id="86"/>
      <w:r>
        <w:rPr/>
      </w:r>
      <w:r>
        <w:rPr>
          <w:rFonts w:ascii="Georgia" w:hAnsi="Georgia"/>
          <w:b/>
          <w:color w:val="231F20"/>
          <w:w w:val="90"/>
          <w:sz w:val="28"/>
        </w:rPr>
        <w:t>РАЗДЕЛ</w:t>
      </w:r>
      <w:r>
        <w:rPr>
          <w:rFonts w:ascii="Georgia" w:hAnsi="Georgia"/>
          <w:b/>
          <w:color w:val="231F20"/>
          <w:spacing w:val="6"/>
          <w:sz w:val="28"/>
        </w:rPr>
        <w:t> </w:t>
      </w:r>
      <w:r>
        <w:rPr>
          <w:rFonts w:ascii="Georgia" w:hAnsi="Georgia"/>
          <w:b/>
          <w:color w:val="231F20"/>
          <w:spacing w:val="-5"/>
          <w:sz w:val="28"/>
        </w:rPr>
        <w:t>3.</w:t>
      </w:r>
    </w:p>
    <w:p>
      <w:pPr>
        <w:spacing w:before="255"/>
        <w:ind w:left="303" w:right="303" w:firstLine="0"/>
        <w:jc w:val="center"/>
        <w:rPr>
          <w:rFonts w:ascii="Georgia" w:hAnsi="Georgia"/>
          <w:b/>
          <w:sz w:val="28"/>
        </w:rPr>
      </w:pPr>
      <w:r>
        <w:rPr>
          <w:rFonts w:ascii="Georgia" w:hAnsi="Georgia"/>
          <w:b/>
          <w:color w:val="231F20"/>
          <w:w w:val="85"/>
          <w:sz w:val="28"/>
        </w:rPr>
        <w:t>Работа</w:t>
      </w:r>
      <w:r>
        <w:rPr>
          <w:rFonts w:ascii="Georgia" w:hAnsi="Georgia"/>
          <w:b/>
          <w:color w:val="231F20"/>
          <w:spacing w:val="18"/>
          <w:sz w:val="28"/>
        </w:rPr>
        <w:t> </w:t>
      </w:r>
      <w:r>
        <w:rPr>
          <w:rFonts w:ascii="Georgia" w:hAnsi="Georgia"/>
          <w:b/>
          <w:color w:val="231F20"/>
          <w:spacing w:val="-2"/>
          <w:sz w:val="28"/>
        </w:rPr>
        <w:t>педагога</w:t>
      </w:r>
    </w:p>
    <w:p>
      <w:pPr>
        <w:spacing w:before="142"/>
        <w:ind w:left="303" w:right="304" w:firstLine="0"/>
        <w:jc w:val="center"/>
        <w:rPr>
          <w:rFonts w:ascii="Georgia" w:hAnsi="Georgia"/>
          <w:b/>
          <w:sz w:val="28"/>
        </w:rPr>
      </w:pPr>
      <w:r>
        <w:rPr>
          <w:rFonts w:ascii="Georgia" w:hAnsi="Georgia"/>
          <w:b/>
          <w:color w:val="231F20"/>
          <w:w w:val="90"/>
          <w:sz w:val="28"/>
        </w:rPr>
        <w:t>с</w:t>
      </w:r>
      <w:r>
        <w:rPr>
          <w:rFonts w:ascii="Georgia" w:hAnsi="Georgia"/>
          <w:b/>
          <w:color w:val="231F20"/>
          <w:spacing w:val="3"/>
          <w:sz w:val="28"/>
        </w:rPr>
        <w:t> </w:t>
      </w:r>
      <w:r>
        <w:rPr>
          <w:rFonts w:ascii="Georgia" w:hAnsi="Georgia"/>
          <w:b/>
          <w:color w:val="231F20"/>
          <w:w w:val="90"/>
          <w:sz w:val="28"/>
        </w:rPr>
        <w:t>родителями-иностранными</w:t>
      </w:r>
      <w:r>
        <w:rPr>
          <w:rFonts w:ascii="Georgia" w:hAnsi="Georgia"/>
          <w:b/>
          <w:color w:val="231F20"/>
          <w:spacing w:val="3"/>
          <w:sz w:val="28"/>
        </w:rPr>
        <w:t> </w:t>
      </w:r>
      <w:r>
        <w:rPr>
          <w:rFonts w:ascii="Georgia" w:hAnsi="Georgia"/>
          <w:b/>
          <w:color w:val="231F20"/>
          <w:spacing w:val="-2"/>
          <w:w w:val="90"/>
          <w:sz w:val="28"/>
        </w:rPr>
        <w:t>гражданами</w:t>
      </w:r>
    </w:p>
    <w:p>
      <w:pPr>
        <w:spacing w:after="0"/>
        <w:jc w:val="center"/>
        <w:rPr>
          <w:rFonts w:ascii="Georgia" w:hAnsi="Georgia"/>
          <w:b/>
          <w:sz w:val="28"/>
        </w:rPr>
        <w:sectPr>
          <w:footerReference w:type="default" r:id="rId227"/>
          <w:pgSz w:w="8400" w:h="11910"/>
          <w:pgMar w:header="0" w:footer="0" w:top="1340" w:bottom="280" w:left="425" w:right="425"/>
        </w:sectPr>
      </w:pPr>
    </w:p>
    <w:p>
      <w:pPr>
        <w:spacing w:before="75"/>
        <w:ind w:left="141" w:right="139" w:firstLine="0"/>
        <w:jc w:val="right"/>
        <w:rPr>
          <w:rFonts w:ascii="Georgia" w:hAnsi="Georgia"/>
          <w:sz w:val="18"/>
        </w:rPr>
      </w:pPr>
      <w:bookmarkStart w:name="_bookmark85" w:id="87"/>
      <w:bookmarkEnd w:id="87"/>
      <w:r>
        <w:rPr/>
      </w:r>
      <w:r>
        <w:rPr>
          <w:rFonts w:ascii="Georgia" w:hAnsi="Georgia"/>
          <w:color w:val="231F20"/>
          <w:spacing w:val="-2"/>
          <w:sz w:val="18"/>
        </w:rPr>
        <w:t>Раздел</w:t>
      </w:r>
      <w:r>
        <w:rPr>
          <w:rFonts w:ascii="Georgia" w:hAnsi="Georgia"/>
          <w:color w:val="231F20"/>
          <w:spacing w:val="-5"/>
          <w:sz w:val="18"/>
        </w:rPr>
        <w:t> 3.</w:t>
      </w:r>
    </w:p>
    <w:p>
      <w:pPr>
        <w:pStyle w:val="BodyText"/>
        <w:spacing w:before="6"/>
        <w:ind w:left="0" w:right="0" w:firstLine="0"/>
        <w:jc w:val="left"/>
        <w:rPr>
          <w:rFonts w:ascii="Georgia"/>
          <w:sz w:val="12"/>
        </w:rPr>
      </w:pPr>
    </w:p>
    <w:p>
      <w:pPr>
        <w:pStyle w:val="BodyText"/>
        <w:spacing w:after="0"/>
        <w:jc w:val="left"/>
        <w:rPr>
          <w:rFonts w:ascii="Georgia"/>
          <w:sz w:val="12"/>
        </w:rPr>
        <w:sectPr>
          <w:footerReference w:type="default" r:id="rId228"/>
          <w:pgSz w:w="8400" w:h="11910"/>
          <w:pgMar w:header="0" w:footer="553" w:top="280" w:bottom="740" w:left="425" w:right="425"/>
          <w:pgNumType w:start="96"/>
        </w:sectPr>
      </w:pPr>
    </w:p>
    <w:p>
      <w:pPr>
        <w:numPr>
          <w:ilvl w:val="1"/>
          <w:numId w:val="251"/>
        </w:numPr>
        <w:tabs>
          <w:tab w:pos="2085" w:val="left" w:leader="none"/>
        </w:tabs>
        <w:spacing w:before="91"/>
        <w:ind w:left="2085" w:right="0" w:hanging="350"/>
        <w:jc w:val="left"/>
        <w:rPr>
          <w:b/>
          <w:sz w:val="20"/>
        </w:rPr>
      </w:pPr>
      <w:r>
        <w:rPr>
          <w:b/>
          <w:color w:val="231F20"/>
          <w:sz w:val="20"/>
        </w:rPr>
        <w:t>Приветственный</w:t>
      </w:r>
      <w:r>
        <w:rPr>
          <w:b/>
          <w:color w:val="231F20"/>
          <w:spacing w:val="-6"/>
          <w:sz w:val="20"/>
        </w:rPr>
        <w:t> </w:t>
      </w:r>
      <w:r>
        <w:rPr>
          <w:b/>
          <w:color w:val="231F20"/>
          <w:sz w:val="20"/>
        </w:rPr>
        <w:t>семинар</w:t>
      </w:r>
      <w:r>
        <w:rPr>
          <w:b/>
          <w:color w:val="231F20"/>
          <w:spacing w:val="-5"/>
          <w:sz w:val="20"/>
        </w:rPr>
        <w:t> </w:t>
      </w:r>
      <w:r>
        <w:rPr>
          <w:b/>
          <w:color w:val="231F20"/>
          <w:sz w:val="20"/>
        </w:rPr>
        <w:t>для</w:t>
      </w:r>
      <w:r>
        <w:rPr>
          <w:b/>
          <w:color w:val="231F20"/>
          <w:spacing w:val="-4"/>
          <w:sz w:val="20"/>
        </w:rPr>
        <w:t> </w:t>
      </w:r>
      <w:r>
        <w:rPr>
          <w:b/>
          <w:color w:val="231F20"/>
          <w:spacing w:val="-2"/>
          <w:sz w:val="20"/>
        </w:rPr>
        <w:t>родителей</w:t>
      </w:r>
    </w:p>
    <w:p>
      <w:pPr>
        <w:pStyle w:val="BodyText"/>
        <w:ind w:left="0" w:right="0" w:firstLine="0"/>
        <w:jc w:val="left"/>
        <w:rPr>
          <w:b/>
        </w:rPr>
      </w:pPr>
    </w:p>
    <w:p>
      <w:pPr>
        <w:pStyle w:val="BodyText"/>
        <w:spacing w:before="62"/>
        <w:ind w:left="0" w:right="0" w:firstLine="0"/>
        <w:jc w:val="left"/>
        <w:rPr>
          <w:b/>
        </w:rPr>
      </w:pPr>
    </w:p>
    <w:p>
      <w:pPr>
        <w:spacing w:before="0"/>
        <w:ind w:left="425" w:right="0" w:firstLine="0"/>
        <w:jc w:val="left"/>
        <w:rPr>
          <w:b/>
          <w:sz w:val="20"/>
        </w:rPr>
      </w:pPr>
      <w:r>
        <w:rPr>
          <w:b/>
          <w:sz w:val="20"/>
        </w:rPr>
        <w:t>Общее</w:t>
      </w:r>
      <w:r>
        <w:rPr>
          <w:b/>
          <w:spacing w:val="-1"/>
          <w:sz w:val="20"/>
        </w:rPr>
        <w:t> </w:t>
      </w:r>
      <w:r>
        <w:rPr>
          <w:b/>
          <w:spacing w:val="-2"/>
          <w:sz w:val="20"/>
        </w:rPr>
        <w:t>описание</w:t>
      </w:r>
    </w:p>
    <w:p>
      <w:pPr>
        <w:spacing w:line="240" w:lineRule="auto" w:before="0"/>
        <w:rPr>
          <w:b/>
          <w:sz w:val="20"/>
        </w:rPr>
      </w:pPr>
      <w:r>
        <w:rPr/>
        <w:br w:type="column"/>
      </w:r>
      <w:r>
        <w:rPr>
          <w:b/>
          <w:sz w:val="20"/>
        </w:rPr>
      </w:r>
    </w:p>
    <w:p>
      <w:pPr>
        <w:pStyle w:val="BodyText"/>
        <w:spacing w:before="27"/>
        <w:ind w:left="0" w:right="0" w:firstLine="0"/>
        <w:jc w:val="left"/>
        <w:rPr>
          <w:b/>
        </w:rPr>
      </w:pPr>
    </w:p>
    <w:p>
      <w:pPr>
        <w:spacing w:before="1"/>
        <w:ind w:left="223" w:right="0" w:firstLine="0"/>
        <w:jc w:val="left"/>
        <w:rPr>
          <w:i/>
          <w:sz w:val="20"/>
        </w:rPr>
      </w:pPr>
      <w:r>
        <w:rPr>
          <w:i/>
          <w:color w:val="231F20"/>
          <w:sz w:val="20"/>
        </w:rPr>
        <w:t>М.Ю. </w:t>
      </w:r>
      <w:r>
        <w:rPr>
          <w:i/>
          <w:color w:val="231F20"/>
          <w:spacing w:val="-2"/>
          <w:sz w:val="20"/>
        </w:rPr>
        <w:t>Чибисова</w:t>
      </w:r>
    </w:p>
    <w:p>
      <w:pPr>
        <w:spacing w:after="0"/>
        <w:jc w:val="left"/>
        <w:rPr>
          <w:i/>
          <w:sz w:val="20"/>
        </w:rPr>
        <w:sectPr>
          <w:type w:val="continuous"/>
          <w:pgSz w:w="8400" w:h="11910"/>
          <w:pgMar w:header="0" w:footer="553" w:top="1260" w:bottom="740" w:left="425" w:right="425"/>
          <w:cols w:num="2" w:equalWidth="0">
            <w:col w:w="5805" w:space="40"/>
            <w:col w:w="1705"/>
          </w:cols>
        </w:sectPr>
      </w:pPr>
    </w:p>
    <w:p>
      <w:pPr>
        <w:pStyle w:val="BodyText"/>
        <w:spacing w:line="249" w:lineRule="auto" w:before="10"/>
      </w:pPr>
      <w:r>
        <w:rPr>
          <w:color w:val="231F20"/>
        </w:rPr>
        <w:t>Приветственные семинары для родителей – иностранных граждан представляют собой групповые мероприятия ознакомительного и просветительского характера. Они</w:t>
      </w:r>
      <w:r>
        <w:rPr>
          <w:color w:val="231F20"/>
          <w:spacing w:val="-5"/>
        </w:rPr>
        <w:t> </w:t>
      </w:r>
      <w:r>
        <w:rPr>
          <w:color w:val="231F20"/>
        </w:rPr>
        <w:t>проводятся</w:t>
      </w:r>
      <w:r>
        <w:rPr>
          <w:color w:val="231F20"/>
          <w:spacing w:val="-5"/>
        </w:rPr>
        <w:t> </w:t>
      </w:r>
      <w:r>
        <w:rPr>
          <w:color w:val="231F20"/>
        </w:rPr>
        <w:t>в</w:t>
      </w:r>
      <w:r>
        <w:rPr>
          <w:color w:val="231F20"/>
          <w:spacing w:val="-5"/>
        </w:rPr>
        <w:t> </w:t>
      </w:r>
      <w:r>
        <w:rPr>
          <w:color w:val="231F20"/>
        </w:rPr>
        <w:t>образовательном</w:t>
      </w:r>
      <w:r>
        <w:rPr>
          <w:color w:val="231F20"/>
          <w:spacing w:val="-5"/>
        </w:rPr>
        <w:t> </w:t>
      </w:r>
      <w:r>
        <w:rPr>
          <w:color w:val="231F20"/>
        </w:rPr>
        <w:t>учреждении</w:t>
      </w:r>
      <w:r>
        <w:rPr>
          <w:color w:val="231F20"/>
          <w:spacing w:val="-5"/>
        </w:rPr>
        <w:t> </w:t>
      </w:r>
      <w:r>
        <w:rPr>
          <w:color w:val="231F20"/>
        </w:rPr>
        <w:t>в</w:t>
      </w:r>
      <w:r>
        <w:rPr>
          <w:color w:val="231F20"/>
          <w:spacing w:val="-5"/>
        </w:rPr>
        <w:t> </w:t>
      </w:r>
      <w:r>
        <w:rPr>
          <w:color w:val="231F20"/>
        </w:rPr>
        <w:t>начале</w:t>
      </w:r>
      <w:r>
        <w:rPr>
          <w:color w:val="231F20"/>
          <w:spacing w:val="-5"/>
        </w:rPr>
        <w:t> </w:t>
      </w:r>
      <w:r>
        <w:rPr>
          <w:color w:val="231F20"/>
        </w:rPr>
        <w:t>учебного</w:t>
      </w:r>
      <w:r>
        <w:rPr>
          <w:color w:val="231F20"/>
          <w:spacing w:val="-5"/>
        </w:rPr>
        <w:t> </w:t>
      </w:r>
      <w:r>
        <w:rPr>
          <w:color w:val="231F20"/>
        </w:rPr>
        <w:t>года</w:t>
      </w:r>
      <w:r>
        <w:rPr>
          <w:color w:val="231F20"/>
          <w:spacing w:val="-5"/>
        </w:rPr>
        <w:t> </w:t>
      </w:r>
      <w:r>
        <w:rPr>
          <w:color w:val="231F20"/>
        </w:rPr>
        <w:t>и</w:t>
      </w:r>
      <w:r>
        <w:rPr>
          <w:color w:val="231F20"/>
          <w:spacing w:val="-5"/>
        </w:rPr>
        <w:t> </w:t>
      </w:r>
      <w:r>
        <w:rPr>
          <w:color w:val="231F20"/>
        </w:rPr>
        <w:t>закладыва- ют фундамент для дальнейшего сотрудничества с родителями.</w:t>
      </w:r>
    </w:p>
    <w:p>
      <w:pPr>
        <w:pStyle w:val="BodyText"/>
        <w:spacing w:line="249" w:lineRule="auto" w:before="3"/>
      </w:pPr>
      <w:r>
        <w:rPr>
          <w:color w:val="231F20"/>
        </w:rPr>
        <w:t>Приветственные семинары могут проводиться как для родителей всей образова- тельной организации, так и для отдельной ступени обучения или для родителей от- дельного класса.</w:t>
      </w:r>
    </w:p>
    <w:p>
      <w:pPr>
        <w:spacing w:before="3"/>
        <w:ind w:left="425" w:right="0" w:firstLine="0"/>
        <w:jc w:val="both"/>
        <w:rPr>
          <w:i/>
          <w:sz w:val="20"/>
        </w:rPr>
      </w:pPr>
      <w:r>
        <w:rPr>
          <w:i/>
          <w:color w:val="231F20"/>
          <w:sz w:val="20"/>
        </w:rPr>
        <w:t>Цели</w:t>
      </w:r>
      <w:r>
        <w:rPr>
          <w:i/>
          <w:color w:val="231F20"/>
          <w:spacing w:val="-5"/>
          <w:sz w:val="20"/>
        </w:rPr>
        <w:t> </w:t>
      </w:r>
      <w:r>
        <w:rPr>
          <w:i/>
          <w:color w:val="231F20"/>
          <w:spacing w:val="-2"/>
          <w:sz w:val="20"/>
        </w:rPr>
        <w:t>семинара:</w:t>
      </w:r>
    </w:p>
    <w:p>
      <w:pPr>
        <w:pStyle w:val="ListParagraph"/>
        <w:numPr>
          <w:ilvl w:val="0"/>
          <w:numId w:val="259"/>
        </w:numPr>
        <w:tabs>
          <w:tab w:pos="425" w:val="left" w:leader="none"/>
        </w:tabs>
        <w:spacing w:line="249" w:lineRule="auto" w:before="10" w:after="0"/>
        <w:ind w:left="425" w:right="139" w:hanging="284"/>
        <w:jc w:val="both"/>
        <w:rPr>
          <w:sz w:val="20"/>
        </w:rPr>
      </w:pPr>
      <w:r>
        <w:rPr>
          <w:color w:val="231F20"/>
          <w:sz w:val="20"/>
        </w:rPr>
        <w:t>содействовать</w:t>
      </w:r>
      <w:r>
        <w:rPr>
          <w:color w:val="231F20"/>
          <w:spacing w:val="-5"/>
          <w:sz w:val="20"/>
        </w:rPr>
        <w:t> </w:t>
      </w:r>
      <w:r>
        <w:rPr>
          <w:color w:val="231F20"/>
          <w:sz w:val="20"/>
        </w:rPr>
        <w:t>формированию</w:t>
      </w:r>
      <w:r>
        <w:rPr>
          <w:color w:val="231F20"/>
          <w:spacing w:val="-5"/>
          <w:sz w:val="20"/>
        </w:rPr>
        <w:t> </w:t>
      </w:r>
      <w:r>
        <w:rPr>
          <w:color w:val="231F20"/>
          <w:sz w:val="20"/>
        </w:rPr>
        <w:t>контакта</w:t>
      </w:r>
      <w:r>
        <w:rPr>
          <w:color w:val="231F20"/>
          <w:spacing w:val="-5"/>
          <w:sz w:val="20"/>
        </w:rPr>
        <w:t> </w:t>
      </w:r>
      <w:r>
        <w:rPr>
          <w:color w:val="231F20"/>
          <w:sz w:val="20"/>
        </w:rPr>
        <w:t>и</w:t>
      </w:r>
      <w:r>
        <w:rPr>
          <w:color w:val="231F20"/>
          <w:spacing w:val="-5"/>
          <w:sz w:val="20"/>
        </w:rPr>
        <w:t> </w:t>
      </w:r>
      <w:r>
        <w:rPr>
          <w:color w:val="231F20"/>
          <w:sz w:val="20"/>
        </w:rPr>
        <w:t>доверия</w:t>
      </w:r>
      <w:r>
        <w:rPr>
          <w:color w:val="231F20"/>
          <w:spacing w:val="-5"/>
          <w:sz w:val="20"/>
        </w:rPr>
        <w:t> </w:t>
      </w:r>
      <w:r>
        <w:rPr>
          <w:color w:val="231F20"/>
          <w:sz w:val="20"/>
        </w:rPr>
        <w:t>во</w:t>
      </w:r>
      <w:r>
        <w:rPr>
          <w:color w:val="231F20"/>
          <w:spacing w:val="-5"/>
          <w:sz w:val="20"/>
        </w:rPr>
        <w:t> </w:t>
      </w:r>
      <w:r>
        <w:rPr>
          <w:color w:val="231F20"/>
          <w:sz w:val="20"/>
        </w:rPr>
        <w:t>взаимодействии</w:t>
      </w:r>
      <w:r>
        <w:rPr>
          <w:color w:val="231F20"/>
          <w:spacing w:val="-5"/>
          <w:sz w:val="20"/>
        </w:rPr>
        <w:t> </w:t>
      </w:r>
      <w:r>
        <w:rPr>
          <w:color w:val="231F20"/>
          <w:sz w:val="20"/>
        </w:rPr>
        <w:t>с</w:t>
      </w:r>
      <w:r>
        <w:rPr>
          <w:color w:val="231F20"/>
          <w:spacing w:val="-5"/>
          <w:sz w:val="20"/>
        </w:rPr>
        <w:t> </w:t>
      </w:r>
      <w:r>
        <w:rPr>
          <w:color w:val="231F20"/>
          <w:sz w:val="20"/>
        </w:rPr>
        <w:t>родителя- ми – иностранными гражданами;</w:t>
      </w:r>
    </w:p>
    <w:p>
      <w:pPr>
        <w:pStyle w:val="ListParagraph"/>
        <w:numPr>
          <w:ilvl w:val="0"/>
          <w:numId w:val="259"/>
        </w:numPr>
        <w:tabs>
          <w:tab w:pos="425" w:val="left" w:leader="none"/>
        </w:tabs>
        <w:spacing w:line="249" w:lineRule="auto" w:before="1" w:after="0"/>
        <w:ind w:left="425" w:right="140" w:hanging="284"/>
        <w:jc w:val="both"/>
        <w:rPr>
          <w:sz w:val="20"/>
        </w:rPr>
      </w:pPr>
      <w:r>
        <w:rPr>
          <w:color w:val="231F20"/>
          <w:sz w:val="20"/>
        </w:rPr>
        <w:t>повышать осведомленность родителей – иностранных граждан в области норм и требований образовательной организации.</w:t>
      </w:r>
    </w:p>
    <w:p>
      <w:pPr>
        <w:spacing w:before="115"/>
        <w:ind w:left="425" w:right="0" w:firstLine="0"/>
        <w:jc w:val="both"/>
        <w:rPr>
          <w:b/>
          <w:sz w:val="20"/>
        </w:rPr>
      </w:pPr>
      <w:r>
        <w:rPr>
          <w:b/>
          <w:sz w:val="20"/>
        </w:rPr>
        <w:t>Сильные</w:t>
      </w:r>
      <w:r>
        <w:rPr>
          <w:b/>
          <w:spacing w:val="-2"/>
          <w:sz w:val="20"/>
        </w:rPr>
        <w:t> </w:t>
      </w:r>
      <w:r>
        <w:rPr>
          <w:b/>
          <w:sz w:val="20"/>
        </w:rPr>
        <w:t>стороны</w:t>
      </w:r>
      <w:r>
        <w:rPr>
          <w:b/>
          <w:spacing w:val="-2"/>
          <w:sz w:val="20"/>
        </w:rPr>
        <w:t> практики</w:t>
      </w:r>
    </w:p>
    <w:p>
      <w:pPr>
        <w:pStyle w:val="BodyText"/>
        <w:spacing w:line="249" w:lineRule="auto" w:before="10"/>
      </w:pPr>
      <w:r>
        <w:rPr/>
        <w:t>Приветственные семинары позволяют решить множество психолого-педагогиче- ских задач в рамках относительно непродолжительного по времени мероприятия.</w:t>
      </w:r>
    </w:p>
    <w:p>
      <w:pPr>
        <w:pStyle w:val="BodyText"/>
        <w:spacing w:line="252" w:lineRule="auto" w:before="2"/>
        <w:jc w:val="right"/>
      </w:pPr>
      <w:r>
        <w:rPr/>
        <w:t>Проведение приветственных семинаров позволяет образовательной организации централизованно</w:t>
      </w:r>
      <w:r>
        <w:rPr>
          <w:spacing w:val="-6"/>
        </w:rPr>
        <w:t> </w:t>
      </w:r>
      <w:r>
        <w:rPr/>
        <w:t>начать</w:t>
      </w:r>
      <w:r>
        <w:rPr>
          <w:spacing w:val="-6"/>
        </w:rPr>
        <w:t> </w:t>
      </w:r>
      <w:r>
        <w:rPr/>
        <w:t>работу</w:t>
      </w:r>
      <w:r>
        <w:rPr>
          <w:spacing w:val="-6"/>
        </w:rPr>
        <w:t> </w:t>
      </w:r>
      <w:r>
        <w:rPr/>
        <w:t>по</w:t>
      </w:r>
      <w:r>
        <w:rPr>
          <w:spacing w:val="-6"/>
        </w:rPr>
        <w:t> </w:t>
      </w:r>
      <w:r>
        <w:rPr/>
        <w:t>ознакомлению</w:t>
      </w:r>
      <w:r>
        <w:rPr>
          <w:spacing w:val="-6"/>
        </w:rPr>
        <w:t> </w:t>
      </w:r>
      <w:r>
        <w:rPr/>
        <w:t>родителей</w:t>
      </w:r>
      <w:r>
        <w:rPr>
          <w:spacing w:val="-6"/>
        </w:rPr>
        <w:t> </w:t>
      </w:r>
      <w:r>
        <w:rPr/>
        <w:t>–</w:t>
      </w:r>
      <w:r>
        <w:rPr>
          <w:spacing w:val="-6"/>
        </w:rPr>
        <w:t> </w:t>
      </w:r>
      <w:r>
        <w:rPr/>
        <w:t>иностранных</w:t>
      </w:r>
      <w:r>
        <w:rPr>
          <w:spacing w:val="-6"/>
        </w:rPr>
        <w:t> </w:t>
      </w:r>
      <w:r>
        <w:rPr/>
        <w:t>граждан с</w:t>
      </w:r>
      <w:r>
        <w:rPr>
          <w:spacing w:val="-1"/>
        </w:rPr>
        <w:t> </w:t>
      </w:r>
      <w:r>
        <w:rPr/>
        <w:t>нормами</w:t>
      </w:r>
      <w:r>
        <w:rPr>
          <w:spacing w:val="-1"/>
        </w:rPr>
        <w:t> </w:t>
      </w:r>
      <w:r>
        <w:rPr/>
        <w:t>и</w:t>
      </w:r>
      <w:r>
        <w:rPr>
          <w:spacing w:val="-1"/>
        </w:rPr>
        <w:t> </w:t>
      </w:r>
      <w:r>
        <w:rPr/>
        <w:t>ценностями</w:t>
      </w:r>
      <w:r>
        <w:rPr>
          <w:spacing w:val="-1"/>
        </w:rPr>
        <w:t> </w:t>
      </w:r>
      <w:r>
        <w:rPr/>
        <w:t>российского</w:t>
      </w:r>
      <w:r>
        <w:rPr>
          <w:spacing w:val="-1"/>
        </w:rPr>
        <w:t> </w:t>
      </w:r>
      <w:r>
        <w:rPr/>
        <w:t>образовательного</w:t>
      </w:r>
      <w:r>
        <w:rPr>
          <w:spacing w:val="-1"/>
        </w:rPr>
        <w:t> </w:t>
      </w:r>
      <w:r>
        <w:rPr/>
        <w:t>пространства,</w:t>
      </w:r>
      <w:r>
        <w:rPr>
          <w:spacing w:val="-1"/>
        </w:rPr>
        <w:t> </w:t>
      </w:r>
      <w:r>
        <w:rPr/>
        <w:t>в</w:t>
      </w:r>
      <w:r>
        <w:rPr>
          <w:spacing w:val="-1"/>
        </w:rPr>
        <w:t> </w:t>
      </w:r>
      <w:r>
        <w:rPr/>
        <w:t>то</w:t>
      </w:r>
      <w:r>
        <w:rPr>
          <w:spacing w:val="-1"/>
        </w:rPr>
        <w:t> </w:t>
      </w:r>
      <w:r>
        <w:rPr/>
        <w:t>же</w:t>
      </w:r>
      <w:r>
        <w:rPr>
          <w:spacing w:val="-1"/>
        </w:rPr>
        <w:t> </w:t>
      </w:r>
      <w:r>
        <w:rPr/>
        <w:t>время демонстрируя</w:t>
      </w:r>
      <w:r>
        <w:rPr>
          <w:spacing w:val="-9"/>
        </w:rPr>
        <w:t> </w:t>
      </w:r>
      <w:r>
        <w:rPr/>
        <w:t>открытость</w:t>
      </w:r>
      <w:r>
        <w:rPr>
          <w:spacing w:val="-9"/>
        </w:rPr>
        <w:t> </w:t>
      </w:r>
      <w:r>
        <w:rPr/>
        <w:t>к</w:t>
      </w:r>
      <w:r>
        <w:rPr>
          <w:spacing w:val="-9"/>
        </w:rPr>
        <w:t> </w:t>
      </w:r>
      <w:r>
        <w:rPr/>
        <w:t>общению</w:t>
      </w:r>
      <w:r>
        <w:rPr>
          <w:spacing w:val="-9"/>
        </w:rPr>
        <w:t> </w:t>
      </w:r>
      <w:r>
        <w:rPr/>
        <w:t>и</w:t>
      </w:r>
      <w:r>
        <w:rPr>
          <w:spacing w:val="-9"/>
        </w:rPr>
        <w:t> </w:t>
      </w:r>
      <w:r>
        <w:rPr/>
        <w:t>уважительное</w:t>
      </w:r>
      <w:r>
        <w:rPr>
          <w:spacing w:val="-9"/>
        </w:rPr>
        <w:t> </w:t>
      </w:r>
      <w:r>
        <w:rPr/>
        <w:t>отношение</w:t>
      </w:r>
      <w:r>
        <w:rPr>
          <w:spacing w:val="-9"/>
        </w:rPr>
        <w:t> </w:t>
      </w:r>
      <w:r>
        <w:rPr/>
        <w:t>к</w:t>
      </w:r>
      <w:r>
        <w:rPr>
          <w:spacing w:val="-9"/>
        </w:rPr>
        <w:t> </w:t>
      </w:r>
      <w:r>
        <w:rPr/>
        <w:t>культурному</w:t>
      </w:r>
      <w:r>
        <w:rPr>
          <w:spacing w:val="-9"/>
        </w:rPr>
        <w:t> </w:t>
      </w:r>
      <w:r>
        <w:rPr/>
        <w:t>раз- </w:t>
      </w:r>
      <w:r>
        <w:rPr>
          <w:spacing w:val="-2"/>
        </w:rPr>
        <w:t>нообразию. Формат приветственного семинара показывает школу как дружелюбное и </w:t>
      </w:r>
      <w:r>
        <w:rPr/>
        <w:t>безопасное</w:t>
      </w:r>
      <w:r>
        <w:rPr>
          <w:spacing w:val="-4"/>
        </w:rPr>
        <w:t> </w:t>
      </w:r>
      <w:r>
        <w:rPr/>
        <w:t>пространство,</w:t>
      </w:r>
      <w:r>
        <w:rPr>
          <w:spacing w:val="-4"/>
        </w:rPr>
        <w:t> </w:t>
      </w:r>
      <w:r>
        <w:rPr/>
        <w:t>что</w:t>
      </w:r>
      <w:r>
        <w:rPr>
          <w:spacing w:val="-4"/>
        </w:rPr>
        <w:t> </w:t>
      </w:r>
      <w:r>
        <w:rPr/>
        <w:t>крайне</w:t>
      </w:r>
      <w:r>
        <w:rPr>
          <w:spacing w:val="-4"/>
        </w:rPr>
        <w:t> </w:t>
      </w:r>
      <w:r>
        <w:rPr/>
        <w:t>важно</w:t>
      </w:r>
      <w:r>
        <w:rPr>
          <w:spacing w:val="-4"/>
        </w:rPr>
        <w:t> </w:t>
      </w:r>
      <w:r>
        <w:rPr/>
        <w:t>для</w:t>
      </w:r>
      <w:r>
        <w:rPr>
          <w:spacing w:val="-4"/>
        </w:rPr>
        <w:t> </w:t>
      </w:r>
      <w:r>
        <w:rPr/>
        <w:t>родителей</w:t>
      </w:r>
      <w:r>
        <w:rPr>
          <w:spacing w:val="-5"/>
        </w:rPr>
        <w:t> </w:t>
      </w:r>
      <w:r>
        <w:rPr/>
        <w:t>с</w:t>
      </w:r>
      <w:r>
        <w:rPr>
          <w:spacing w:val="-4"/>
        </w:rPr>
        <w:t> </w:t>
      </w:r>
      <w:r>
        <w:rPr/>
        <w:t>миграционным</w:t>
      </w:r>
      <w:r>
        <w:rPr>
          <w:spacing w:val="-4"/>
        </w:rPr>
        <w:t> </w:t>
      </w:r>
      <w:r>
        <w:rPr/>
        <w:t>опытом. Также</w:t>
      </w:r>
      <w:r>
        <w:rPr>
          <w:spacing w:val="-6"/>
        </w:rPr>
        <w:t> </w:t>
      </w:r>
      <w:r>
        <w:rPr/>
        <w:t>в</w:t>
      </w:r>
      <w:r>
        <w:rPr>
          <w:spacing w:val="-6"/>
        </w:rPr>
        <w:t> </w:t>
      </w:r>
      <w:r>
        <w:rPr/>
        <w:t>рамках</w:t>
      </w:r>
      <w:r>
        <w:rPr>
          <w:spacing w:val="-6"/>
        </w:rPr>
        <w:t> </w:t>
      </w:r>
      <w:r>
        <w:rPr/>
        <w:t>приветственных</w:t>
      </w:r>
      <w:r>
        <w:rPr>
          <w:spacing w:val="-6"/>
        </w:rPr>
        <w:t> </w:t>
      </w:r>
      <w:r>
        <w:rPr/>
        <w:t>семинаров</w:t>
      </w:r>
      <w:r>
        <w:rPr>
          <w:spacing w:val="-6"/>
        </w:rPr>
        <w:t> </w:t>
      </w:r>
      <w:r>
        <w:rPr/>
        <w:t>происходит</w:t>
      </w:r>
      <w:r>
        <w:rPr>
          <w:spacing w:val="-6"/>
        </w:rPr>
        <w:t> </w:t>
      </w:r>
      <w:r>
        <w:rPr/>
        <w:t>личное</w:t>
      </w:r>
      <w:r>
        <w:rPr>
          <w:spacing w:val="-6"/>
        </w:rPr>
        <w:t> </w:t>
      </w:r>
      <w:r>
        <w:rPr/>
        <w:t>знакомство</w:t>
      </w:r>
      <w:r>
        <w:rPr>
          <w:spacing w:val="-6"/>
        </w:rPr>
        <w:t> </w:t>
      </w:r>
      <w:r>
        <w:rPr/>
        <w:t>родите- лей-мигрантов</w:t>
      </w:r>
      <w:r>
        <w:rPr>
          <w:spacing w:val="-13"/>
        </w:rPr>
        <w:t> </w:t>
      </w:r>
      <w:r>
        <w:rPr/>
        <w:t>с</w:t>
      </w:r>
      <w:r>
        <w:rPr>
          <w:spacing w:val="-12"/>
        </w:rPr>
        <w:t> </w:t>
      </w:r>
      <w:r>
        <w:rPr/>
        <w:t>педагогическими</w:t>
      </w:r>
      <w:r>
        <w:rPr>
          <w:spacing w:val="-13"/>
        </w:rPr>
        <w:t> </w:t>
      </w:r>
      <w:r>
        <w:rPr/>
        <w:t>работниками</w:t>
      </w:r>
      <w:r>
        <w:rPr>
          <w:spacing w:val="-12"/>
        </w:rPr>
        <w:t> </w:t>
      </w:r>
      <w:r>
        <w:rPr/>
        <w:t>и</w:t>
      </w:r>
      <w:r>
        <w:rPr>
          <w:spacing w:val="-13"/>
        </w:rPr>
        <w:t> </w:t>
      </w:r>
      <w:r>
        <w:rPr/>
        <w:t>администрацией</w:t>
      </w:r>
      <w:r>
        <w:rPr>
          <w:spacing w:val="-12"/>
        </w:rPr>
        <w:t> </w:t>
      </w:r>
      <w:r>
        <w:rPr/>
        <w:t>школы,</w:t>
      </w:r>
      <w:r>
        <w:rPr>
          <w:spacing w:val="-13"/>
        </w:rPr>
        <w:t> </w:t>
      </w:r>
      <w:r>
        <w:rPr/>
        <w:t>что</w:t>
      </w:r>
      <w:r>
        <w:rPr>
          <w:spacing w:val="-12"/>
        </w:rPr>
        <w:t> </w:t>
      </w:r>
      <w:r>
        <w:rPr/>
        <w:t>в</w:t>
      </w:r>
      <w:r>
        <w:rPr>
          <w:spacing w:val="-13"/>
        </w:rPr>
        <w:t> </w:t>
      </w:r>
      <w:r>
        <w:rPr/>
        <w:t>даль- </w:t>
      </w:r>
      <w:r>
        <w:rPr>
          <w:spacing w:val="-2"/>
        </w:rPr>
        <w:t>нейшем</w:t>
      </w:r>
      <w:r>
        <w:rPr>
          <w:spacing w:val="-6"/>
        </w:rPr>
        <w:t> </w:t>
      </w:r>
      <w:r>
        <w:rPr>
          <w:spacing w:val="-2"/>
        </w:rPr>
        <w:t>может</w:t>
      </w:r>
      <w:r>
        <w:rPr>
          <w:spacing w:val="-6"/>
        </w:rPr>
        <w:t> </w:t>
      </w:r>
      <w:r>
        <w:rPr>
          <w:spacing w:val="-2"/>
        </w:rPr>
        <w:t>стать</w:t>
      </w:r>
      <w:r>
        <w:rPr>
          <w:spacing w:val="-5"/>
        </w:rPr>
        <w:t> </w:t>
      </w:r>
      <w:r>
        <w:rPr>
          <w:spacing w:val="-2"/>
        </w:rPr>
        <w:t>основой</w:t>
      </w:r>
      <w:r>
        <w:rPr>
          <w:spacing w:val="-6"/>
        </w:rPr>
        <w:t> </w:t>
      </w:r>
      <w:r>
        <w:rPr>
          <w:spacing w:val="-2"/>
        </w:rPr>
        <w:t>для</w:t>
      </w:r>
      <w:r>
        <w:rPr>
          <w:spacing w:val="-5"/>
        </w:rPr>
        <w:t> </w:t>
      </w:r>
      <w:r>
        <w:rPr>
          <w:spacing w:val="-2"/>
        </w:rPr>
        <w:t>формирования</w:t>
      </w:r>
      <w:r>
        <w:rPr>
          <w:spacing w:val="-6"/>
        </w:rPr>
        <w:t> </w:t>
      </w:r>
      <w:r>
        <w:rPr>
          <w:spacing w:val="-2"/>
        </w:rPr>
        <w:t>конструктивных</w:t>
      </w:r>
      <w:r>
        <w:rPr>
          <w:spacing w:val="-5"/>
        </w:rPr>
        <w:t> </w:t>
      </w:r>
      <w:r>
        <w:rPr>
          <w:spacing w:val="-2"/>
        </w:rPr>
        <w:t>рабочих</w:t>
      </w:r>
      <w:r>
        <w:rPr>
          <w:spacing w:val="-6"/>
        </w:rPr>
        <w:t> </w:t>
      </w:r>
      <w:r>
        <w:rPr>
          <w:spacing w:val="-2"/>
        </w:rPr>
        <w:t>отношений.</w:t>
      </w:r>
    </w:p>
    <w:p>
      <w:pPr>
        <w:spacing w:before="116"/>
        <w:ind w:left="425" w:right="0" w:firstLine="0"/>
        <w:jc w:val="both"/>
        <w:rPr>
          <w:b/>
          <w:sz w:val="20"/>
        </w:rPr>
      </w:pPr>
      <w:r>
        <w:rPr>
          <w:b/>
          <w:sz w:val="20"/>
        </w:rPr>
        <w:t>Требования</w:t>
      </w:r>
      <w:r>
        <w:rPr>
          <w:b/>
          <w:spacing w:val="-9"/>
          <w:sz w:val="20"/>
        </w:rPr>
        <w:t> </w:t>
      </w:r>
      <w:r>
        <w:rPr>
          <w:b/>
          <w:sz w:val="20"/>
        </w:rPr>
        <w:t>к</w:t>
      </w:r>
      <w:r>
        <w:rPr>
          <w:b/>
          <w:spacing w:val="-8"/>
          <w:sz w:val="20"/>
        </w:rPr>
        <w:t> </w:t>
      </w:r>
      <w:r>
        <w:rPr>
          <w:b/>
          <w:spacing w:val="-2"/>
          <w:sz w:val="20"/>
        </w:rPr>
        <w:t>проведению</w:t>
      </w:r>
    </w:p>
    <w:p>
      <w:pPr>
        <w:pStyle w:val="BodyText"/>
        <w:spacing w:line="254" w:lineRule="auto" w:before="14"/>
        <w:ind w:right="140"/>
      </w:pPr>
      <w:r>
        <w:rPr/>
        <w:t>Проведение приветственных семинаров требует значительной подготовительной работы, которая подробно описана ниже.</w:t>
      </w:r>
    </w:p>
    <w:p>
      <w:pPr>
        <w:spacing w:before="114"/>
        <w:ind w:left="425" w:right="0" w:firstLine="0"/>
        <w:jc w:val="both"/>
        <w:rPr>
          <w:b/>
          <w:sz w:val="20"/>
        </w:rPr>
      </w:pPr>
      <w:r>
        <w:rPr>
          <w:b/>
          <w:sz w:val="20"/>
        </w:rPr>
        <w:t>Доказательность</w:t>
      </w:r>
      <w:r>
        <w:rPr>
          <w:b/>
          <w:spacing w:val="-12"/>
          <w:sz w:val="20"/>
        </w:rPr>
        <w:t> </w:t>
      </w:r>
      <w:r>
        <w:rPr>
          <w:b/>
          <w:spacing w:val="-2"/>
          <w:sz w:val="20"/>
        </w:rPr>
        <w:t>практики</w:t>
      </w:r>
    </w:p>
    <w:p>
      <w:pPr>
        <w:pStyle w:val="BodyText"/>
        <w:spacing w:line="254" w:lineRule="auto" w:before="14"/>
      </w:pPr>
      <w:r>
        <w:rPr>
          <w:color w:val="231F20"/>
        </w:rPr>
        <w:t>Приветственные</w:t>
      </w:r>
      <w:r>
        <w:rPr>
          <w:color w:val="231F20"/>
          <w:spacing w:val="-13"/>
        </w:rPr>
        <w:t> </w:t>
      </w:r>
      <w:r>
        <w:rPr>
          <w:color w:val="231F20"/>
        </w:rPr>
        <w:t>семинары</w:t>
      </w:r>
      <w:r>
        <w:rPr>
          <w:color w:val="231F20"/>
          <w:spacing w:val="-12"/>
        </w:rPr>
        <w:t> </w:t>
      </w:r>
      <w:r>
        <w:rPr>
          <w:color w:val="231F20"/>
        </w:rPr>
        <w:t>для</w:t>
      </w:r>
      <w:r>
        <w:rPr>
          <w:color w:val="231F20"/>
          <w:spacing w:val="-13"/>
        </w:rPr>
        <w:t> </w:t>
      </w:r>
      <w:r>
        <w:rPr>
          <w:color w:val="231F20"/>
        </w:rPr>
        <w:t>родителей</w:t>
      </w:r>
      <w:r>
        <w:rPr>
          <w:color w:val="231F20"/>
          <w:spacing w:val="-12"/>
        </w:rPr>
        <w:t> </w:t>
      </w:r>
      <w:r>
        <w:rPr>
          <w:color w:val="231F20"/>
        </w:rPr>
        <w:t>–</w:t>
      </w:r>
      <w:r>
        <w:rPr>
          <w:color w:val="231F20"/>
          <w:spacing w:val="-13"/>
        </w:rPr>
        <w:t> </w:t>
      </w:r>
      <w:r>
        <w:rPr>
          <w:color w:val="231F20"/>
        </w:rPr>
        <w:t>иностранных</w:t>
      </w:r>
      <w:r>
        <w:rPr>
          <w:color w:val="231F20"/>
          <w:spacing w:val="-12"/>
        </w:rPr>
        <w:t> </w:t>
      </w:r>
      <w:r>
        <w:rPr>
          <w:color w:val="231F20"/>
        </w:rPr>
        <w:t>граждан</w:t>
      </w:r>
      <w:r>
        <w:rPr>
          <w:color w:val="231F20"/>
          <w:spacing w:val="-13"/>
        </w:rPr>
        <w:t> </w:t>
      </w:r>
      <w:r>
        <w:rPr>
          <w:color w:val="231F20"/>
        </w:rPr>
        <w:t>являются</w:t>
      </w:r>
      <w:r>
        <w:rPr>
          <w:color w:val="231F20"/>
          <w:spacing w:val="-12"/>
        </w:rPr>
        <w:t> </w:t>
      </w:r>
      <w:r>
        <w:rPr>
          <w:color w:val="231F20"/>
        </w:rPr>
        <w:t>очень распространенной</w:t>
      </w:r>
      <w:r>
        <w:rPr>
          <w:color w:val="231F20"/>
          <w:spacing w:val="-13"/>
        </w:rPr>
        <w:t> </w:t>
      </w:r>
      <w:r>
        <w:rPr>
          <w:color w:val="231F20"/>
        </w:rPr>
        <w:t>практикой</w:t>
      </w:r>
      <w:r>
        <w:rPr>
          <w:color w:val="231F20"/>
          <w:spacing w:val="-12"/>
        </w:rPr>
        <w:t> </w:t>
      </w:r>
      <w:r>
        <w:rPr>
          <w:color w:val="231F20"/>
        </w:rPr>
        <w:t>в</w:t>
      </w:r>
      <w:r>
        <w:rPr>
          <w:color w:val="231F20"/>
          <w:spacing w:val="-13"/>
        </w:rPr>
        <w:t> </w:t>
      </w:r>
      <w:r>
        <w:rPr>
          <w:color w:val="231F20"/>
        </w:rPr>
        <w:t>мировом</w:t>
      </w:r>
      <w:r>
        <w:rPr>
          <w:color w:val="231F20"/>
          <w:spacing w:val="-12"/>
        </w:rPr>
        <w:t> </w:t>
      </w:r>
      <w:r>
        <w:rPr>
          <w:color w:val="231F20"/>
        </w:rPr>
        <w:t>образовательном</w:t>
      </w:r>
      <w:r>
        <w:rPr>
          <w:color w:val="231F20"/>
          <w:spacing w:val="-13"/>
        </w:rPr>
        <w:t> </w:t>
      </w:r>
      <w:r>
        <w:rPr>
          <w:color w:val="231F20"/>
        </w:rPr>
        <w:t>пространстве.</w:t>
      </w:r>
      <w:r>
        <w:rPr>
          <w:color w:val="231F20"/>
          <w:spacing w:val="-12"/>
        </w:rPr>
        <w:t> </w:t>
      </w:r>
      <w:r>
        <w:rPr>
          <w:color w:val="231F20"/>
        </w:rPr>
        <w:t>Неоднократ- но отмечалось, что приветствие, установление контактов и вовлечение родителей- мигрантов</w:t>
      </w:r>
      <w:r>
        <w:rPr>
          <w:color w:val="231F20"/>
          <w:spacing w:val="-1"/>
        </w:rPr>
        <w:t> </w:t>
      </w:r>
      <w:r>
        <w:rPr>
          <w:color w:val="231F20"/>
        </w:rPr>
        <w:t>в</w:t>
      </w:r>
      <w:r>
        <w:rPr>
          <w:color w:val="231F20"/>
          <w:spacing w:val="-1"/>
        </w:rPr>
        <w:t> </w:t>
      </w:r>
      <w:r>
        <w:rPr>
          <w:color w:val="231F20"/>
        </w:rPr>
        <w:t>школьную</w:t>
      </w:r>
      <w:r>
        <w:rPr>
          <w:color w:val="231F20"/>
          <w:spacing w:val="-1"/>
        </w:rPr>
        <w:t> </w:t>
      </w:r>
      <w:r>
        <w:rPr>
          <w:color w:val="231F20"/>
        </w:rPr>
        <w:t>жизнь</w:t>
      </w:r>
      <w:r>
        <w:rPr>
          <w:color w:val="231F20"/>
          <w:spacing w:val="-1"/>
        </w:rPr>
        <w:t> </w:t>
      </w:r>
      <w:r>
        <w:rPr>
          <w:color w:val="231F20"/>
        </w:rPr>
        <w:t>является</w:t>
      </w:r>
      <w:r>
        <w:rPr>
          <w:color w:val="231F20"/>
          <w:spacing w:val="-1"/>
        </w:rPr>
        <w:t> </w:t>
      </w:r>
      <w:r>
        <w:rPr>
          <w:color w:val="231F20"/>
        </w:rPr>
        <w:t>ключевым</w:t>
      </w:r>
      <w:r>
        <w:rPr>
          <w:color w:val="231F20"/>
          <w:spacing w:val="-1"/>
        </w:rPr>
        <w:t> </w:t>
      </w:r>
      <w:r>
        <w:rPr>
          <w:color w:val="231F20"/>
        </w:rPr>
        <w:t>этапом</w:t>
      </w:r>
      <w:r>
        <w:rPr>
          <w:color w:val="231F20"/>
          <w:spacing w:val="-1"/>
        </w:rPr>
        <w:t> </w:t>
      </w:r>
      <w:r>
        <w:rPr>
          <w:color w:val="231F20"/>
        </w:rPr>
        <w:t>в</w:t>
      </w:r>
      <w:r>
        <w:rPr>
          <w:color w:val="231F20"/>
          <w:spacing w:val="-1"/>
        </w:rPr>
        <w:t> </w:t>
      </w:r>
      <w:r>
        <w:rPr>
          <w:color w:val="231F20"/>
        </w:rPr>
        <w:t>выстраивании</w:t>
      </w:r>
      <w:r>
        <w:rPr>
          <w:color w:val="231F20"/>
          <w:spacing w:val="-1"/>
        </w:rPr>
        <w:t> </w:t>
      </w:r>
      <w:r>
        <w:rPr>
          <w:color w:val="231F20"/>
        </w:rPr>
        <w:t>сотрудни- чества</w:t>
      </w:r>
      <w:r>
        <w:rPr>
          <w:color w:val="231F20"/>
          <w:spacing w:val="-13"/>
        </w:rPr>
        <w:t> </w:t>
      </w:r>
      <w:r>
        <w:rPr>
          <w:color w:val="231F20"/>
        </w:rPr>
        <w:t>между</w:t>
      </w:r>
      <w:r>
        <w:rPr>
          <w:color w:val="231F20"/>
          <w:spacing w:val="-12"/>
        </w:rPr>
        <w:t> </w:t>
      </w:r>
      <w:r>
        <w:rPr>
          <w:color w:val="231F20"/>
        </w:rPr>
        <w:t>школой</w:t>
      </w:r>
      <w:r>
        <w:rPr>
          <w:color w:val="231F20"/>
          <w:spacing w:val="-13"/>
        </w:rPr>
        <w:t> </w:t>
      </w:r>
      <w:r>
        <w:rPr>
          <w:color w:val="231F20"/>
        </w:rPr>
        <w:t>и</w:t>
      </w:r>
      <w:r>
        <w:rPr>
          <w:color w:val="231F20"/>
          <w:spacing w:val="-12"/>
        </w:rPr>
        <w:t> </w:t>
      </w:r>
      <w:r>
        <w:rPr>
          <w:color w:val="231F20"/>
        </w:rPr>
        <w:t>родителями-иностранными</w:t>
      </w:r>
      <w:r>
        <w:rPr>
          <w:color w:val="231F20"/>
          <w:spacing w:val="-13"/>
        </w:rPr>
        <w:t> </w:t>
      </w:r>
      <w:r>
        <w:rPr>
          <w:color w:val="231F20"/>
        </w:rPr>
        <w:t>гражданами</w:t>
      </w:r>
      <w:r>
        <w:rPr>
          <w:color w:val="231F20"/>
          <w:spacing w:val="-12"/>
        </w:rPr>
        <w:t> </w:t>
      </w:r>
      <w:r>
        <w:rPr>
          <w:color w:val="231F20"/>
        </w:rPr>
        <w:t>(Greenberg</w:t>
      </w:r>
      <w:r>
        <w:rPr>
          <w:color w:val="231F20"/>
          <w:spacing w:val="-13"/>
        </w:rPr>
        <w:t> </w:t>
      </w:r>
      <w:r>
        <w:rPr>
          <w:color w:val="231F20"/>
        </w:rPr>
        <w:t>Motamedi et al, 2021). Показано, что установление контакта между семьями учащихся-мигран- тов</w:t>
      </w:r>
      <w:r>
        <w:rPr>
          <w:color w:val="231F20"/>
          <w:spacing w:val="-3"/>
        </w:rPr>
        <w:t> </w:t>
      </w:r>
      <w:r>
        <w:rPr>
          <w:color w:val="231F20"/>
        </w:rPr>
        <w:t>и</w:t>
      </w:r>
      <w:r>
        <w:rPr>
          <w:color w:val="231F20"/>
          <w:spacing w:val="-3"/>
        </w:rPr>
        <w:t> </w:t>
      </w:r>
      <w:r>
        <w:rPr>
          <w:color w:val="231F20"/>
        </w:rPr>
        <w:t>педагогами</w:t>
      </w:r>
      <w:r>
        <w:rPr>
          <w:color w:val="231F20"/>
          <w:spacing w:val="-3"/>
        </w:rPr>
        <w:t> </w:t>
      </w:r>
      <w:r>
        <w:rPr>
          <w:color w:val="231F20"/>
        </w:rPr>
        <w:t>становится</w:t>
      </w:r>
      <w:r>
        <w:rPr>
          <w:color w:val="231F20"/>
          <w:spacing w:val="-3"/>
        </w:rPr>
        <w:t> </w:t>
      </w:r>
      <w:r>
        <w:rPr>
          <w:color w:val="231F20"/>
        </w:rPr>
        <w:t>основой</w:t>
      </w:r>
      <w:r>
        <w:rPr>
          <w:color w:val="231F20"/>
          <w:spacing w:val="-3"/>
        </w:rPr>
        <w:t> </w:t>
      </w:r>
      <w:r>
        <w:rPr>
          <w:color w:val="231F20"/>
        </w:rPr>
        <w:t>вовлечения</w:t>
      </w:r>
      <w:r>
        <w:rPr>
          <w:color w:val="231F20"/>
          <w:spacing w:val="-3"/>
        </w:rPr>
        <w:t> </w:t>
      </w:r>
      <w:r>
        <w:rPr>
          <w:color w:val="231F20"/>
        </w:rPr>
        <w:t>родителей</w:t>
      </w:r>
      <w:r>
        <w:rPr>
          <w:color w:val="231F20"/>
          <w:spacing w:val="-3"/>
        </w:rPr>
        <w:t> </w:t>
      </w:r>
      <w:r>
        <w:rPr>
          <w:color w:val="231F20"/>
        </w:rPr>
        <w:t>в</w:t>
      </w:r>
      <w:r>
        <w:rPr>
          <w:color w:val="231F20"/>
          <w:spacing w:val="-3"/>
        </w:rPr>
        <w:t> </w:t>
      </w:r>
      <w:r>
        <w:rPr>
          <w:color w:val="231F20"/>
        </w:rPr>
        <w:t>школьную</w:t>
      </w:r>
      <w:r>
        <w:rPr>
          <w:color w:val="231F20"/>
          <w:spacing w:val="-3"/>
        </w:rPr>
        <w:t> </w:t>
      </w:r>
      <w:r>
        <w:rPr>
          <w:color w:val="231F20"/>
        </w:rPr>
        <w:t>жизнь,</w:t>
      </w:r>
      <w:r>
        <w:rPr>
          <w:color w:val="231F20"/>
          <w:spacing w:val="-3"/>
        </w:rPr>
        <w:t> </w:t>
      </w:r>
      <w:r>
        <w:rPr>
          <w:color w:val="231F20"/>
        </w:rPr>
        <w:t>что, в свою очередь, способствует росту учебной успеваемости и более успешной социа- лизации учащихся (Dryden-Peterson, 2018; Niehaus &amp; Adelson, 2014).</w:t>
      </w:r>
    </w:p>
    <w:p>
      <w:pPr>
        <w:pStyle w:val="BodyText"/>
        <w:spacing w:after="0" w:line="254" w:lineRule="auto"/>
        <w:sectPr>
          <w:type w:val="continuous"/>
          <w:pgSz w:w="8400" w:h="11910"/>
          <w:pgMar w:header="0" w:footer="553" w:top="1260" w:bottom="740" w:left="425" w:right="425"/>
        </w:sectPr>
      </w:pPr>
    </w:p>
    <w:p>
      <w:pPr>
        <w:pStyle w:val="ListParagraph"/>
        <w:numPr>
          <w:ilvl w:val="1"/>
          <w:numId w:val="260"/>
        </w:numPr>
        <w:tabs>
          <w:tab w:pos="455" w:val="left" w:leader="none"/>
        </w:tabs>
        <w:spacing w:line="240" w:lineRule="auto" w:before="75" w:after="0"/>
        <w:ind w:left="455" w:right="0" w:hanging="314"/>
        <w:jc w:val="left"/>
        <w:rPr>
          <w:rFonts w:ascii="Georgia" w:hAnsi="Georgia"/>
          <w:sz w:val="18"/>
        </w:rPr>
      </w:pPr>
      <w:r>
        <w:rPr>
          <w:rFonts w:ascii="Georgia" w:hAnsi="Georgia"/>
          <w:color w:val="231F20"/>
          <w:sz w:val="18"/>
        </w:rPr>
        <w:t>Приветственный</w:t>
      </w:r>
      <w:r>
        <w:rPr>
          <w:rFonts w:ascii="Georgia" w:hAnsi="Georgia"/>
          <w:color w:val="231F20"/>
          <w:spacing w:val="-4"/>
          <w:sz w:val="18"/>
        </w:rPr>
        <w:t> </w:t>
      </w:r>
      <w:r>
        <w:rPr>
          <w:rFonts w:ascii="Georgia" w:hAnsi="Georgia"/>
          <w:color w:val="231F20"/>
          <w:sz w:val="18"/>
        </w:rPr>
        <w:t>семинар</w:t>
      </w:r>
      <w:r>
        <w:rPr>
          <w:rFonts w:ascii="Georgia" w:hAnsi="Georgia"/>
          <w:color w:val="231F20"/>
          <w:spacing w:val="-3"/>
          <w:sz w:val="18"/>
        </w:rPr>
        <w:t> </w:t>
      </w:r>
      <w:r>
        <w:rPr>
          <w:rFonts w:ascii="Georgia" w:hAnsi="Georgia"/>
          <w:color w:val="231F20"/>
          <w:sz w:val="18"/>
        </w:rPr>
        <w:t>для</w:t>
      </w:r>
      <w:r>
        <w:rPr>
          <w:rFonts w:ascii="Georgia" w:hAnsi="Georgia"/>
          <w:color w:val="231F20"/>
          <w:spacing w:val="-3"/>
          <w:sz w:val="18"/>
        </w:rPr>
        <w:t> </w:t>
      </w:r>
      <w:r>
        <w:rPr>
          <w:rFonts w:ascii="Georgia" w:hAnsi="Georgia"/>
          <w:color w:val="231F20"/>
          <w:spacing w:val="-2"/>
          <w:sz w:val="18"/>
        </w:rPr>
        <w:t>родителей</w:t>
      </w:r>
    </w:p>
    <w:p>
      <w:pPr>
        <w:pStyle w:val="BodyText"/>
        <w:spacing w:before="29"/>
        <w:ind w:left="0" w:right="0" w:firstLine="0"/>
        <w:jc w:val="left"/>
        <w:rPr>
          <w:rFonts w:ascii="Georgia"/>
          <w:sz w:val="18"/>
        </w:rPr>
      </w:pPr>
    </w:p>
    <w:p>
      <w:pPr>
        <w:spacing w:line="228" w:lineRule="exact" w:before="0"/>
        <w:ind w:left="425" w:right="0" w:firstLine="0"/>
        <w:jc w:val="both"/>
        <w:rPr>
          <w:b/>
          <w:sz w:val="20"/>
        </w:rPr>
      </w:pPr>
      <w:r>
        <w:rPr>
          <w:b/>
          <w:sz w:val="20"/>
        </w:rPr>
        <w:t>Мануал</w:t>
      </w:r>
      <w:r>
        <w:rPr>
          <w:b/>
          <w:spacing w:val="-1"/>
          <w:sz w:val="20"/>
        </w:rPr>
        <w:t> </w:t>
      </w:r>
      <w:r>
        <w:rPr>
          <w:b/>
          <w:sz w:val="20"/>
        </w:rPr>
        <w:t>по</w:t>
      </w:r>
      <w:r>
        <w:rPr>
          <w:b/>
          <w:spacing w:val="-1"/>
          <w:sz w:val="20"/>
        </w:rPr>
        <w:t> </w:t>
      </w:r>
      <w:r>
        <w:rPr>
          <w:b/>
          <w:spacing w:val="-2"/>
          <w:sz w:val="20"/>
        </w:rPr>
        <w:t>проведению</w:t>
      </w:r>
    </w:p>
    <w:p>
      <w:pPr>
        <w:pStyle w:val="BodyText"/>
        <w:spacing w:line="223" w:lineRule="exact"/>
        <w:ind w:left="425" w:right="0" w:firstLine="0"/>
      </w:pPr>
      <w:r>
        <w:rPr>
          <w:color w:val="231F20"/>
        </w:rPr>
        <w:t>Продолжительность</w:t>
      </w:r>
      <w:r>
        <w:rPr>
          <w:color w:val="231F20"/>
          <w:spacing w:val="-3"/>
        </w:rPr>
        <w:t> </w:t>
      </w:r>
      <w:r>
        <w:rPr>
          <w:color w:val="231F20"/>
        </w:rPr>
        <w:t>семинара:</w:t>
      </w:r>
      <w:r>
        <w:rPr>
          <w:color w:val="231F20"/>
          <w:spacing w:val="-1"/>
        </w:rPr>
        <w:t> </w:t>
      </w:r>
      <w:r>
        <w:rPr>
          <w:color w:val="231F20"/>
        </w:rPr>
        <w:t>1–1,5</w:t>
      </w:r>
      <w:r>
        <w:rPr>
          <w:color w:val="231F20"/>
          <w:spacing w:val="-1"/>
        </w:rPr>
        <w:t> </w:t>
      </w:r>
      <w:r>
        <w:rPr>
          <w:color w:val="231F20"/>
          <w:spacing w:val="-4"/>
        </w:rPr>
        <w:t>часа.</w:t>
      </w:r>
    </w:p>
    <w:p>
      <w:pPr>
        <w:pStyle w:val="BodyText"/>
        <w:spacing w:line="230" w:lineRule="auto" w:before="3"/>
      </w:pPr>
      <w:r>
        <w:rPr>
          <w:color w:val="231F20"/>
        </w:rPr>
        <w:t>На семинар приглашаются ВСЕ родители вновь поступивших учащихся. Не сле- дует противопоставлять родителей – иностранных граждан и выделять их в отдель- ную</w:t>
      </w:r>
      <w:r>
        <w:rPr>
          <w:color w:val="231F20"/>
          <w:spacing w:val="-13"/>
        </w:rPr>
        <w:t> </w:t>
      </w:r>
      <w:r>
        <w:rPr>
          <w:color w:val="231F20"/>
        </w:rPr>
        <w:t>группу,</w:t>
      </w:r>
      <w:r>
        <w:rPr>
          <w:color w:val="231F20"/>
          <w:spacing w:val="-12"/>
        </w:rPr>
        <w:t> </w:t>
      </w:r>
      <w:r>
        <w:rPr>
          <w:color w:val="231F20"/>
        </w:rPr>
        <w:t>но</w:t>
      </w:r>
      <w:r>
        <w:rPr>
          <w:color w:val="231F20"/>
          <w:spacing w:val="-13"/>
        </w:rPr>
        <w:t> </w:t>
      </w:r>
      <w:r>
        <w:rPr>
          <w:color w:val="231F20"/>
        </w:rPr>
        <w:t>следует</w:t>
      </w:r>
      <w:r>
        <w:rPr>
          <w:color w:val="231F20"/>
          <w:spacing w:val="-12"/>
        </w:rPr>
        <w:t> </w:t>
      </w:r>
      <w:r>
        <w:rPr>
          <w:color w:val="231F20"/>
        </w:rPr>
        <w:t>продемонстрировать</w:t>
      </w:r>
      <w:r>
        <w:rPr>
          <w:color w:val="231F20"/>
          <w:spacing w:val="-13"/>
        </w:rPr>
        <w:t> </w:t>
      </w:r>
      <w:r>
        <w:rPr>
          <w:color w:val="231F20"/>
        </w:rPr>
        <w:t>заинтересованность</w:t>
      </w:r>
      <w:r>
        <w:rPr>
          <w:color w:val="231F20"/>
          <w:spacing w:val="-12"/>
        </w:rPr>
        <w:t> </w:t>
      </w:r>
      <w:r>
        <w:rPr>
          <w:color w:val="231F20"/>
        </w:rPr>
        <w:t>школы</w:t>
      </w:r>
      <w:r>
        <w:rPr>
          <w:color w:val="231F20"/>
          <w:spacing w:val="-13"/>
        </w:rPr>
        <w:t> </w:t>
      </w:r>
      <w:r>
        <w:rPr>
          <w:color w:val="231F20"/>
        </w:rPr>
        <w:t>в</w:t>
      </w:r>
      <w:r>
        <w:rPr>
          <w:color w:val="231F20"/>
          <w:spacing w:val="-12"/>
        </w:rPr>
        <w:t> </w:t>
      </w:r>
      <w:r>
        <w:rPr>
          <w:color w:val="231F20"/>
        </w:rPr>
        <w:t>поддержке культурного разнообразия.</w:t>
      </w:r>
    </w:p>
    <w:p>
      <w:pPr>
        <w:spacing w:line="225" w:lineRule="exact" w:before="46"/>
        <w:ind w:left="425" w:right="0" w:firstLine="0"/>
        <w:jc w:val="both"/>
        <w:rPr>
          <w:i/>
          <w:sz w:val="20"/>
        </w:rPr>
      </w:pPr>
      <w:r>
        <w:rPr>
          <w:i/>
          <w:color w:val="231F20"/>
          <w:sz w:val="20"/>
        </w:rPr>
        <w:t>Подготовительный</w:t>
      </w:r>
      <w:r>
        <w:rPr>
          <w:i/>
          <w:color w:val="231F20"/>
          <w:spacing w:val="-10"/>
          <w:sz w:val="20"/>
        </w:rPr>
        <w:t> </w:t>
      </w:r>
      <w:r>
        <w:rPr>
          <w:i/>
          <w:color w:val="231F20"/>
          <w:spacing w:val="-4"/>
          <w:sz w:val="20"/>
        </w:rPr>
        <w:t>этап</w:t>
      </w:r>
    </w:p>
    <w:p>
      <w:pPr>
        <w:pStyle w:val="BodyText"/>
        <w:spacing w:line="230" w:lineRule="auto" w:before="2"/>
      </w:pPr>
      <w:r>
        <w:rPr>
          <w:color w:val="231F20"/>
        </w:rPr>
        <w:t>Необходимо</w:t>
      </w:r>
      <w:r>
        <w:rPr>
          <w:color w:val="231F20"/>
          <w:spacing w:val="-8"/>
        </w:rPr>
        <w:t> </w:t>
      </w:r>
      <w:r>
        <w:rPr>
          <w:color w:val="231F20"/>
        </w:rPr>
        <w:t>подготовить</w:t>
      </w:r>
      <w:r>
        <w:rPr>
          <w:color w:val="231F20"/>
          <w:spacing w:val="-8"/>
        </w:rPr>
        <w:t> </w:t>
      </w:r>
      <w:r>
        <w:rPr>
          <w:color w:val="231F20"/>
        </w:rPr>
        <w:t>видеоролик</w:t>
      </w:r>
      <w:r>
        <w:rPr>
          <w:color w:val="231F20"/>
          <w:spacing w:val="-8"/>
        </w:rPr>
        <w:t> </w:t>
      </w:r>
      <w:r>
        <w:rPr>
          <w:color w:val="231F20"/>
        </w:rPr>
        <w:t>или</w:t>
      </w:r>
      <w:r>
        <w:rPr>
          <w:color w:val="231F20"/>
          <w:spacing w:val="-8"/>
        </w:rPr>
        <w:t> </w:t>
      </w:r>
      <w:r>
        <w:rPr>
          <w:color w:val="231F20"/>
        </w:rPr>
        <w:t>презентацию</w:t>
      </w:r>
      <w:r>
        <w:rPr>
          <w:color w:val="231F20"/>
          <w:spacing w:val="-8"/>
        </w:rPr>
        <w:t> </w:t>
      </w:r>
      <w:r>
        <w:rPr>
          <w:color w:val="231F20"/>
        </w:rPr>
        <w:t>(5–7</w:t>
      </w:r>
      <w:r>
        <w:rPr>
          <w:color w:val="231F20"/>
          <w:spacing w:val="-8"/>
        </w:rPr>
        <w:t> </w:t>
      </w:r>
      <w:r>
        <w:rPr>
          <w:color w:val="231F20"/>
        </w:rPr>
        <w:t>слайдов)</w:t>
      </w:r>
      <w:r>
        <w:rPr>
          <w:color w:val="231F20"/>
          <w:spacing w:val="-8"/>
        </w:rPr>
        <w:t> </w:t>
      </w:r>
      <w:r>
        <w:rPr>
          <w:color w:val="231F20"/>
        </w:rPr>
        <w:t>с</w:t>
      </w:r>
      <w:r>
        <w:rPr>
          <w:color w:val="231F20"/>
          <w:spacing w:val="-8"/>
        </w:rPr>
        <w:t> </w:t>
      </w:r>
      <w:r>
        <w:rPr>
          <w:color w:val="231F20"/>
        </w:rPr>
        <w:t>рассказом о школе. Для иллюстрации – использовать видеозаписи и фотографии детей различ- ной этнокультурной принадлежности.</w:t>
      </w:r>
    </w:p>
    <w:p>
      <w:pPr>
        <w:pStyle w:val="BodyText"/>
        <w:spacing w:line="215" w:lineRule="exact"/>
        <w:ind w:left="425" w:right="0" w:firstLine="0"/>
      </w:pPr>
      <w:r>
        <w:rPr>
          <w:color w:val="231F20"/>
        </w:rPr>
        <w:t>Следует</w:t>
      </w:r>
      <w:r>
        <w:rPr>
          <w:color w:val="231F20"/>
          <w:spacing w:val="-11"/>
        </w:rPr>
        <w:t> </w:t>
      </w:r>
      <w:r>
        <w:rPr>
          <w:color w:val="231F20"/>
        </w:rPr>
        <w:t>подготовить</w:t>
      </w:r>
      <w:r>
        <w:rPr>
          <w:color w:val="231F20"/>
          <w:spacing w:val="-9"/>
        </w:rPr>
        <w:t> </w:t>
      </w:r>
      <w:r>
        <w:rPr>
          <w:color w:val="231F20"/>
        </w:rPr>
        <w:t>краткий</w:t>
      </w:r>
      <w:r>
        <w:rPr>
          <w:color w:val="231F20"/>
          <w:spacing w:val="-8"/>
        </w:rPr>
        <w:t> </w:t>
      </w:r>
      <w:r>
        <w:rPr>
          <w:color w:val="231F20"/>
        </w:rPr>
        <w:t>информационный</w:t>
      </w:r>
      <w:r>
        <w:rPr>
          <w:color w:val="231F20"/>
          <w:spacing w:val="-9"/>
        </w:rPr>
        <w:t> </w:t>
      </w:r>
      <w:r>
        <w:rPr>
          <w:color w:val="231F20"/>
        </w:rPr>
        <w:t>буклет</w:t>
      </w:r>
      <w:r>
        <w:rPr>
          <w:color w:val="231F20"/>
          <w:spacing w:val="-8"/>
        </w:rPr>
        <w:t> </w:t>
      </w:r>
      <w:r>
        <w:rPr>
          <w:color w:val="231F20"/>
        </w:rPr>
        <w:t>с</w:t>
      </w:r>
      <w:r>
        <w:rPr>
          <w:color w:val="231F20"/>
          <w:spacing w:val="-9"/>
        </w:rPr>
        <w:t> </w:t>
      </w:r>
      <w:r>
        <w:rPr>
          <w:color w:val="231F20"/>
        </w:rPr>
        <w:t>основной</w:t>
      </w:r>
      <w:r>
        <w:rPr>
          <w:color w:val="231F20"/>
          <w:spacing w:val="-8"/>
        </w:rPr>
        <w:t> </w:t>
      </w:r>
      <w:r>
        <w:rPr>
          <w:color w:val="231F20"/>
          <w:spacing w:val="-2"/>
        </w:rPr>
        <w:t>информацией.</w:t>
      </w:r>
    </w:p>
    <w:p>
      <w:pPr>
        <w:pStyle w:val="BodyText"/>
        <w:spacing w:line="220" w:lineRule="exact"/>
        <w:ind w:right="0" w:firstLine="0"/>
      </w:pPr>
      <w:r>
        <w:rPr>
          <w:color w:val="231F20"/>
        </w:rPr>
        <w:t>Буклет</w:t>
      </w:r>
      <w:r>
        <w:rPr>
          <w:color w:val="231F20"/>
          <w:spacing w:val="-7"/>
        </w:rPr>
        <w:t> </w:t>
      </w:r>
      <w:r>
        <w:rPr>
          <w:color w:val="231F20"/>
        </w:rPr>
        <w:t>может</w:t>
      </w:r>
      <w:r>
        <w:rPr>
          <w:color w:val="231F20"/>
          <w:spacing w:val="-7"/>
        </w:rPr>
        <w:t> </w:t>
      </w:r>
      <w:r>
        <w:rPr>
          <w:color w:val="231F20"/>
          <w:spacing w:val="-2"/>
        </w:rPr>
        <w:t>включать:</w:t>
      </w:r>
    </w:p>
    <w:p>
      <w:pPr>
        <w:pStyle w:val="ListParagraph"/>
        <w:numPr>
          <w:ilvl w:val="0"/>
          <w:numId w:val="261"/>
        </w:numPr>
        <w:tabs>
          <w:tab w:pos="425" w:val="left" w:leader="none"/>
        </w:tabs>
        <w:spacing w:line="230" w:lineRule="auto" w:before="3" w:after="0"/>
        <w:ind w:left="425" w:right="140" w:hanging="284"/>
        <w:jc w:val="both"/>
        <w:rPr>
          <w:sz w:val="20"/>
        </w:rPr>
      </w:pPr>
      <w:r>
        <w:rPr>
          <w:color w:val="231F20"/>
          <w:sz w:val="20"/>
        </w:rPr>
        <w:t>ФИО</w:t>
      </w:r>
      <w:r>
        <w:rPr>
          <w:color w:val="231F20"/>
          <w:spacing w:val="-3"/>
          <w:sz w:val="20"/>
        </w:rPr>
        <w:t> </w:t>
      </w:r>
      <w:r>
        <w:rPr>
          <w:color w:val="231F20"/>
          <w:sz w:val="20"/>
        </w:rPr>
        <w:t>и</w:t>
      </w:r>
      <w:r>
        <w:rPr>
          <w:color w:val="231F20"/>
          <w:spacing w:val="-3"/>
          <w:sz w:val="20"/>
        </w:rPr>
        <w:t> </w:t>
      </w:r>
      <w:r>
        <w:rPr>
          <w:color w:val="231F20"/>
          <w:sz w:val="20"/>
        </w:rPr>
        <w:t>контакты</w:t>
      </w:r>
      <w:r>
        <w:rPr>
          <w:color w:val="231F20"/>
          <w:spacing w:val="-3"/>
          <w:sz w:val="20"/>
        </w:rPr>
        <w:t> </w:t>
      </w:r>
      <w:r>
        <w:rPr>
          <w:color w:val="231F20"/>
          <w:sz w:val="20"/>
        </w:rPr>
        <w:t>(электронная</w:t>
      </w:r>
      <w:r>
        <w:rPr>
          <w:color w:val="231F20"/>
          <w:spacing w:val="-3"/>
          <w:sz w:val="20"/>
        </w:rPr>
        <w:t> </w:t>
      </w:r>
      <w:r>
        <w:rPr>
          <w:color w:val="231F20"/>
          <w:sz w:val="20"/>
        </w:rPr>
        <w:t>почта,</w:t>
      </w:r>
      <w:r>
        <w:rPr>
          <w:color w:val="231F20"/>
          <w:spacing w:val="-3"/>
          <w:sz w:val="20"/>
        </w:rPr>
        <w:t> </w:t>
      </w:r>
      <w:r>
        <w:rPr>
          <w:color w:val="231F20"/>
          <w:sz w:val="20"/>
        </w:rPr>
        <w:t>рабочий</w:t>
      </w:r>
      <w:r>
        <w:rPr>
          <w:color w:val="231F20"/>
          <w:spacing w:val="-3"/>
          <w:sz w:val="20"/>
        </w:rPr>
        <w:t> </w:t>
      </w:r>
      <w:r>
        <w:rPr>
          <w:color w:val="231F20"/>
          <w:sz w:val="20"/>
        </w:rPr>
        <w:t>телефон)</w:t>
      </w:r>
      <w:r>
        <w:rPr>
          <w:color w:val="231F20"/>
          <w:spacing w:val="-3"/>
          <w:sz w:val="20"/>
        </w:rPr>
        <w:t> </w:t>
      </w:r>
      <w:r>
        <w:rPr>
          <w:color w:val="231F20"/>
          <w:sz w:val="20"/>
        </w:rPr>
        <w:t>представителя</w:t>
      </w:r>
      <w:r>
        <w:rPr>
          <w:color w:val="231F20"/>
          <w:spacing w:val="-3"/>
          <w:sz w:val="20"/>
        </w:rPr>
        <w:t> </w:t>
      </w:r>
      <w:r>
        <w:rPr>
          <w:color w:val="231F20"/>
          <w:sz w:val="20"/>
        </w:rPr>
        <w:t>школьной администрации, классного руководителя, педагогов;</w:t>
      </w:r>
    </w:p>
    <w:p>
      <w:pPr>
        <w:pStyle w:val="ListParagraph"/>
        <w:numPr>
          <w:ilvl w:val="0"/>
          <w:numId w:val="261"/>
        </w:numPr>
        <w:tabs>
          <w:tab w:pos="425" w:val="left" w:leader="none"/>
        </w:tabs>
        <w:spacing w:line="230" w:lineRule="auto" w:before="0" w:after="0"/>
        <w:ind w:left="425" w:right="139" w:hanging="284"/>
        <w:jc w:val="both"/>
        <w:rPr>
          <w:sz w:val="20"/>
        </w:rPr>
      </w:pPr>
      <w:r>
        <w:rPr>
          <w:color w:val="231F20"/>
          <w:sz w:val="20"/>
        </w:rPr>
        <w:t>ФИО</w:t>
      </w:r>
      <w:r>
        <w:rPr>
          <w:color w:val="231F20"/>
          <w:spacing w:val="-6"/>
          <w:sz w:val="20"/>
        </w:rPr>
        <w:t> </w:t>
      </w:r>
      <w:r>
        <w:rPr>
          <w:color w:val="231F20"/>
          <w:sz w:val="20"/>
        </w:rPr>
        <w:t>и</w:t>
      </w:r>
      <w:r>
        <w:rPr>
          <w:color w:val="231F20"/>
          <w:spacing w:val="-6"/>
          <w:sz w:val="20"/>
        </w:rPr>
        <w:t> </w:t>
      </w:r>
      <w:r>
        <w:rPr>
          <w:color w:val="231F20"/>
          <w:sz w:val="20"/>
        </w:rPr>
        <w:t>контакты</w:t>
      </w:r>
      <w:r>
        <w:rPr>
          <w:color w:val="231F20"/>
          <w:spacing w:val="-6"/>
          <w:sz w:val="20"/>
        </w:rPr>
        <w:t> </w:t>
      </w:r>
      <w:r>
        <w:rPr>
          <w:color w:val="231F20"/>
          <w:sz w:val="20"/>
        </w:rPr>
        <w:t>представителей</w:t>
      </w:r>
      <w:r>
        <w:rPr>
          <w:color w:val="231F20"/>
          <w:spacing w:val="-6"/>
          <w:sz w:val="20"/>
        </w:rPr>
        <w:t> </w:t>
      </w:r>
      <w:r>
        <w:rPr>
          <w:color w:val="231F20"/>
          <w:sz w:val="20"/>
        </w:rPr>
        <w:t>родительского</w:t>
      </w:r>
      <w:r>
        <w:rPr>
          <w:color w:val="231F20"/>
          <w:spacing w:val="-6"/>
          <w:sz w:val="20"/>
        </w:rPr>
        <w:t> </w:t>
      </w:r>
      <w:r>
        <w:rPr>
          <w:color w:val="231F20"/>
          <w:sz w:val="20"/>
        </w:rPr>
        <w:t>комитета</w:t>
      </w:r>
      <w:r>
        <w:rPr>
          <w:color w:val="231F20"/>
          <w:spacing w:val="-6"/>
          <w:sz w:val="20"/>
        </w:rPr>
        <w:t> </w:t>
      </w:r>
      <w:r>
        <w:rPr>
          <w:color w:val="231F20"/>
          <w:sz w:val="20"/>
        </w:rPr>
        <w:t>(по</w:t>
      </w:r>
      <w:r>
        <w:rPr>
          <w:color w:val="231F20"/>
          <w:spacing w:val="-6"/>
          <w:sz w:val="20"/>
        </w:rPr>
        <w:t> </w:t>
      </w:r>
      <w:r>
        <w:rPr>
          <w:color w:val="231F20"/>
          <w:sz w:val="20"/>
        </w:rPr>
        <w:t>возможности</w:t>
      </w:r>
      <w:r>
        <w:rPr>
          <w:color w:val="231F20"/>
          <w:spacing w:val="-6"/>
          <w:sz w:val="20"/>
        </w:rPr>
        <w:t> </w:t>
      </w:r>
      <w:r>
        <w:rPr>
          <w:color w:val="231F20"/>
          <w:sz w:val="20"/>
        </w:rPr>
        <w:t>стоит указать контакты членов родительского комитета, которые сами являются ино- странными гражданами или имеют опыт миграции);</w:t>
      </w:r>
    </w:p>
    <w:p>
      <w:pPr>
        <w:pStyle w:val="ListParagraph"/>
        <w:numPr>
          <w:ilvl w:val="0"/>
          <w:numId w:val="261"/>
        </w:numPr>
        <w:tabs>
          <w:tab w:pos="424" w:val="left" w:leader="none"/>
        </w:tabs>
        <w:spacing w:line="215" w:lineRule="exact" w:before="0" w:after="0"/>
        <w:ind w:left="424" w:right="0" w:hanging="283"/>
        <w:jc w:val="both"/>
        <w:rPr>
          <w:sz w:val="20"/>
        </w:rPr>
      </w:pPr>
      <w:r>
        <w:rPr>
          <w:color w:val="231F20"/>
          <w:sz w:val="20"/>
        </w:rPr>
        <w:t>основную</w:t>
      </w:r>
      <w:r>
        <w:rPr>
          <w:color w:val="231F20"/>
          <w:spacing w:val="-9"/>
          <w:sz w:val="20"/>
        </w:rPr>
        <w:t> </w:t>
      </w:r>
      <w:r>
        <w:rPr>
          <w:color w:val="231F20"/>
          <w:sz w:val="20"/>
        </w:rPr>
        <w:t>информацию:</w:t>
      </w:r>
      <w:r>
        <w:rPr>
          <w:color w:val="231F20"/>
          <w:spacing w:val="-7"/>
          <w:sz w:val="20"/>
        </w:rPr>
        <w:t> </w:t>
      </w:r>
      <w:r>
        <w:rPr>
          <w:color w:val="231F20"/>
          <w:sz w:val="20"/>
        </w:rPr>
        <w:t>расписание</w:t>
      </w:r>
      <w:r>
        <w:rPr>
          <w:color w:val="231F20"/>
          <w:spacing w:val="-8"/>
          <w:sz w:val="20"/>
        </w:rPr>
        <w:t> </w:t>
      </w:r>
      <w:r>
        <w:rPr>
          <w:color w:val="231F20"/>
          <w:sz w:val="20"/>
        </w:rPr>
        <w:t>звонков,</w:t>
      </w:r>
      <w:r>
        <w:rPr>
          <w:color w:val="231F20"/>
          <w:spacing w:val="-7"/>
          <w:sz w:val="20"/>
        </w:rPr>
        <w:t> </w:t>
      </w:r>
      <w:r>
        <w:rPr>
          <w:color w:val="231F20"/>
          <w:sz w:val="20"/>
        </w:rPr>
        <w:t>каникул,</w:t>
      </w:r>
      <w:r>
        <w:rPr>
          <w:color w:val="231F20"/>
          <w:spacing w:val="-8"/>
          <w:sz w:val="20"/>
        </w:rPr>
        <w:t> </w:t>
      </w:r>
      <w:r>
        <w:rPr>
          <w:color w:val="231F20"/>
          <w:sz w:val="20"/>
        </w:rPr>
        <w:t>важные</w:t>
      </w:r>
      <w:r>
        <w:rPr>
          <w:color w:val="231F20"/>
          <w:spacing w:val="-7"/>
          <w:sz w:val="20"/>
        </w:rPr>
        <w:t> </w:t>
      </w:r>
      <w:r>
        <w:rPr>
          <w:color w:val="231F20"/>
          <w:sz w:val="20"/>
        </w:rPr>
        <w:t>школьные</w:t>
      </w:r>
      <w:r>
        <w:rPr>
          <w:color w:val="231F20"/>
          <w:spacing w:val="-7"/>
          <w:sz w:val="20"/>
        </w:rPr>
        <w:t> </w:t>
      </w:r>
      <w:r>
        <w:rPr>
          <w:color w:val="231F20"/>
          <w:spacing w:val="-2"/>
          <w:sz w:val="20"/>
        </w:rPr>
        <w:t>даты;</w:t>
      </w:r>
    </w:p>
    <w:p>
      <w:pPr>
        <w:pStyle w:val="ListParagraph"/>
        <w:numPr>
          <w:ilvl w:val="0"/>
          <w:numId w:val="261"/>
        </w:numPr>
        <w:tabs>
          <w:tab w:pos="424" w:val="left" w:leader="none"/>
        </w:tabs>
        <w:spacing w:line="220" w:lineRule="exact" w:before="0" w:after="0"/>
        <w:ind w:left="424" w:right="0" w:hanging="283"/>
        <w:jc w:val="both"/>
        <w:rPr>
          <w:sz w:val="20"/>
        </w:rPr>
      </w:pPr>
      <w:r>
        <w:rPr>
          <w:color w:val="231F20"/>
          <w:sz w:val="20"/>
        </w:rPr>
        <w:t>ключевые</w:t>
      </w:r>
      <w:r>
        <w:rPr>
          <w:color w:val="231F20"/>
          <w:spacing w:val="-4"/>
          <w:sz w:val="20"/>
        </w:rPr>
        <w:t> </w:t>
      </w:r>
      <w:r>
        <w:rPr>
          <w:color w:val="231F20"/>
          <w:sz w:val="20"/>
        </w:rPr>
        <w:t>правила</w:t>
      </w:r>
      <w:r>
        <w:rPr>
          <w:color w:val="231F20"/>
          <w:spacing w:val="-4"/>
          <w:sz w:val="20"/>
        </w:rPr>
        <w:t> </w:t>
      </w:r>
      <w:r>
        <w:rPr>
          <w:color w:val="231F20"/>
          <w:sz w:val="20"/>
        </w:rPr>
        <w:t>и</w:t>
      </w:r>
      <w:r>
        <w:rPr>
          <w:color w:val="231F20"/>
          <w:spacing w:val="-5"/>
          <w:sz w:val="20"/>
        </w:rPr>
        <w:t> </w:t>
      </w:r>
      <w:r>
        <w:rPr>
          <w:color w:val="231F20"/>
          <w:sz w:val="20"/>
        </w:rPr>
        <w:t>требования</w:t>
      </w:r>
      <w:r>
        <w:rPr>
          <w:color w:val="231F20"/>
          <w:spacing w:val="-3"/>
          <w:sz w:val="20"/>
        </w:rPr>
        <w:t> </w:t>
      </w:r>
      <w:r>
        <w:rPr>
          <w:color w:val="231F20"/>
          <w:spacing w:val="-2"/>
          <w:sz w:val="20"/>
        </w:rPr>
        <w:t>школы.</w:t>
      </w:r>
    </w:p>
    <w:p>
      <w:pPr>
        <w:pStyle w:val="BodyText"/>
        <w:spacing w:line="230" w:lineRule="auto" w:before="1"/>
      </w:pPr>
      <w:r>
        <w:rPr>
          <w:color w:val="231F20"/>
        </w:rPr>
        <w:t>После приветственного семинара буклет следует разослать родителям по элек- тронной почте или в мессенджеры, нужно также сделать некоторое количество бу- мажных вариантов.</w:t>
      </w:r>
    </w:p>
    <w:p>
      <w:pPr>
        <w:pStyle w:val="BodyText"/>
        <w:spacing w:line="230" w:lineRule="auto"/>
      </w:pPr>
      <w:r>
        <w:rPr>
          <w:color w:val="231F20"/>
        </w:rPr>
        <w:t>Необходимо пригласить родителей на приветственный семинар. Это можно сде- лать</w:t>
      </w:r>
      <w:r>
        <w:rPr>
          <w:color w:val="231F20"/>
          <w:spacing w:val="-13"/>
        </w:rPr>
        <w:t> </w:t>
      </w:r>
      <w:r>
        <w:rPr>
          <w:color w:val="231F20"/>
        </w:rPr>
        <w:t>общей</w:t>
      </w:r>
      <w:r>
        <w:rPr>
          <w:color w:val="231F20"/>
          <w:spacing w:val="-12"/>
        </w:rPr>
        <w:t> </w:t>
      </w:r>
      <w:r>
        <w:rPr>
          <w:color w:val="231F20"/>
        </w:rPr>
        <w:t>рассылкой</w:t>
      </w:r>
      <w:r>
        <w:rPr>
          <w:color w:val="231F20"/>
          <w:spacing w:val="-13"/>
        </w:rPr>
        <w:t> </w:t>
      </w:r>
      <w:r>
        <w:rPr>
          <w:color w:val="231F20"/>
        </w:rPr>
        <w:t>через</w:t>
      </w:r>
      <w:r>
        <w:rPr>
          <w:color w:val="231F20"/>
          <w:spacing w:val="-12"/>
        </w:rPr>
        <w:t> </w:t>
      </w:r>
      <w:r>
        <w:rPr>
          <w:color w:val="231F20"/>
        </w:rPr>
        <w:t>мессенджер</w:t>
      </w:r>
      <w:r>
        <w:rPr>
          <w:color w:val="231F20"/>
          <w:spacing w:val="-13"/>
        </w:rPr>
        <w:t> </w:t>
      </w:r>
      <w:r>
        <w:rPr>
          <w:color w:val="231F20"/>
        </w:rPr>
        <w:t>или</w:t>
      </w:r>
      <w:r>
        <w:rPr>
          <w:color w:val="231F20"/>
          <w:spacing w:val="-12"/>
        </w:rPr>
        <w:t> </w:t>
      </w:r>
      <w:r>
        <w:rPr>
          <w:color w:val="231F20"/>
        </w:rPr>
        <w:t>электронную</w:t>
      </w:r>
      <w:r>
        <w:rPr>
          <w:color w:val="231F20"/>
          <w:spacing w:val="-13"/>
        </w:rPr>
        <w:t> </w:t>
      </w:r>
      <w:r>
        <w:rPr>
          <w:color w:val="231F20"/>
        </w:rPr>
        <w:t>почту,</w:t>
      </w:r>
      <w:r>
        <w:rPr>
          <w:color w:val="231F20"/>
          <w:spacing w:val="-12"/>
        </w:rPr>
        <w:t> </w:t>
      </w:r>
      <w:r>
        <w:rPr>
          <w:color w:val="231F20"/>
        </w:rPr>
        <w:t>также</w:t>
      </w:r>
      <w:r>
        <w:rPr>
          <w:color w:val="231F20"/>
          <w:spacing w:val="-13"/>
        </w:rPr>
        <w:t> </w:t>
      </w:r>
      <w:r>
        <w:rPr>
          <w:color w:val="231F20"/>
        </w:rPr>
        <w:t>целесообраз- но лично пригласить родителей-мигрантов (позвонить или пригласить при встрече).</w:t>
      </w:r>
    </w:p>
    <w:p>
      <w:pPr>
        <w:pStyle w:val="BodyText"/>
        <w:spacing w:line="215" w:lineRule="exact"/>
        <w:ind w:left="425" w:right="0" w:firstLine="0"/>
      </w:pPr>
      <w:r>
        <w:rPr>
          <w:color w:val="231F20"/>
        </w:rPr>
        <w:t>Примерный</w:t>
      </w:r>
      <w:r>
        <w:rPr>
          <w:color w:val="231F20"/>
          <w:spacing w:val="-9"/>
        </w:rPr>
        <w:t> </w:t>
      </w:r>
      <w:r>
        <w:rPr>
          <w:color w:val="231F20"/>
        </w:rPr>
        <w:t>текст</w:t>
      </w:r>
      <w:r>
        <w:rPr>
          <w:color w:val="231F20"/>
          <w:spacing w:val="-8"/>
        </w:rPr>
        <w:t> </w:t>
      </w:r>
      <w:r>
        <w:rPr>
          <w:color w:val="231F20"/>
        </w:rPr>
        <w:t>приглашения</w:t>
      </w:r>
      <w:r>
        <w:rPr>
          <w:color w:val="231F20"/>
          <w:spacing w:val="-8"/>
        </w:rPr>
        <w:t> </w:t>
      </w:r>
      <w:r>
        <w:rPr>
          <w:color w:val="231F20"/>
        </w:rPr>
        <w:t>может</w:t>
      </w:r>
      <w:r>
        <w:rPr>
          <w:color w:val="231F20"/>
          <w:spacing w:val="-8"/>
        </w:rPr>
        <w:t> </w:t>
      </w:r>
      <w:r>
        <w:rPr>
          <w:color w:val="231F20"/>
        </w:rPr>
        <w:t>быть</w:t>
      </w:r>
      <w:r>
        <w:rPr>
          <w:color w:val="231F20"/>
          <w:spacing w:val="-8"/>
        </w:rPr>
        <w:t> </w:t>
      </w:r>
      <w:r>
        <w:rPr>
          <w:color w:val="231F20"/>
          <w:spacing w:val="-2"/>
        </w:rPr>
        <w:t>таким:</w:t>
      </w:r>
    </w:p>
    <w:p>
      <w:pPr>
        <w:pStyle w:val="BodyText"/>
        <w:spacing w:line="220" w:lineRule="exact"/>
        <w:ind w:left="425" w:right="0" w:firstLine="0"/>
      </w:pPr>
      <w:r>
        <w:rPr>
          <w:color w:val="231F20"/>
          <w:spacing w:val="-2"/>
        </w:rPr>
        <w:t>«Уважаемые</w:t>
      </w:r>
      <w:r>
        <w:rPr>
          <w:color w:val="231F20"/>
          <w:spacing w:val="-6"/>
        </w:rPr>
        <w:t> </w:t>
      </w:r>
      <w:r>
        <w:rPr>
          <w:color w:val="231F20"/>
          <w:spacing w:val="-2"/>
        </w:rPr>
        <w:t>родители!</w:t>
      </w:r>
    </w:p>
    <w:p>
      <w:pPr>
        <w:spacing w:line="230" w:lineRule="auto" w:before="0"/>
        <w:ind w:left="141" w:right="139" w:firstLine="283"/>
        <w:jc w:val="both"/>
        <w:rPr>
          <w:i/>
          <w:sz w:val="20"/>
        </w:rPr>
      </w:pPr>
      <w:r>
        <w:rPr>
          <w:i/>
          <w:color w:val="231F20"/>
          <w:sz w:val="20"/>
        </w:rPr>
        <w:t>Ваши дети начинают учиться в нашей школе. Мы надеемся, что вашим детям будет</w:t>
      </w:r>
      <w:r>
        <w:rPr>
          <w:i/>
          <w:color w:val="231F20"/>
          <w:spacing w:val="-5"/>
          <w:sz w:val="20"/>
        </w:rPr>
        <w:t> </w:t>
      </w:r>
      <w:r>
        <w:rPr>
          <w:i/>
          <w:color w:val="231F20"/>
          <w:sz w:val="20"/>
        </w:rPr>
        <w:t>у</w:t>
      </w:r>
      <w:r>
        <w:rPr>
          <w:i/>
          <w:color w:val="231F20"/>
          <w:spacing w:val="-5"/>
          <w:sz w:val="20"/>
        </w:rPr>
        <w:t> </w:t>
      </w:r>
      <w:r>
        <w:rPr>
          <w:i/>
          <w:color w:val="231F20"/>
          <w:sz w:val="20"/>
        </w:rPr>
        <w:t>нас</w:t>
      </w:r>
      <w:r>
        <w:rPr>
          <w:i/>
          <w:color w:val="231F20"/>
          <w:spacing w:val="-5"/>
          <w:sz w:val="20"/>
        </w:rPr>
        <w:t> </w:t>
      </w:r>
      <w:r>
        <w:rPr>
          <w:i/>
          <w:color w:val="231F20"/>
          <w:sz w:val="20"/>
        </w:rPr>
        <w:t>интересно</w:t>
      </w:r>
      <w:r>
        <w:rPr>
          <w:i/>
          <w:color w:val="231F20"/>
          <w:spacing w:val="-5"/>
          <w:sz w:val="20"/>
        </w:rPr>
        <w:t> </w:t>
      </w:r>
      <w:r>
        <w:rPr>
          <w:i/>
          <w:color w:val="231F20"/>
          <w:sz w:val="20"/>
        </w:rPr>
        <w:t>и</w:t>
      </w:r>
      <w:r>
        <w:rPr>
          <w:i/>
          <w:color w:val="231F20"/>
          <w:spacing w:val="-5"/>
          <w:sz w:val="20"/>
        </w:rPr>
        <w:t> </w:t>
      </w:r>
      <w:r>
        <w:rPr>
          <w:i/>
          <w:color w:val="231F20"/>
          <w:sz w:val="20"/>
        </w:rPr>
        <w:t>комфортно!</w:t>
      </w:r>
      <w:r>
        <w:rPr>
          <w:i/>
          <w:color w:val="231F20"/>
          <w:spacing w:val="-5"/>
          <w:sz w:val="20"/>
        </w:rPr>
        <w:t> </w:t>
      </w:r>
      <w:r>
        <w:rPr>
          <w:i/>
          <w:color w:val="231F20"/>
          <w:sz w:val="20"/>
        </w:rPr>
        <w:t>Мы</w:t>
      </w:r>
      <w:r>
        <w:rPr>
          <w:i/>
          <w:color w:val="231F20"/>
          <w:spacing w:val="-5"/>
          <w:sz w:val="20"/>
        </w:rPr>
        <w:t> </w:t>
      </w:r>
      <w:r>
        <w:rPr>
          <w:i/>
          <w:color w:val="231F20"/>
          <w:sz w:val="20"/>
        </w:rPr>
        <w:t>приглашаем</w:t>
      </w:r>
      <w:r>
        <w:rPr>
          <w:i/>
          <w:color w:val="231F20"/>
          <w:spacing w:val="-5"/>
          <w:sz w:val="20"/>
        </w:rPr>
        <w:t> </w:t>
      </w:r>
      <w:r>
        <w:rPr>
          <w:i/>
          <w:color w:val="231F20"/>
          <w:sz w:val="20"/>
        </w:rPr>
        <w:t>вас</w:t>
      </w:r>
      <w:r>
        <w:rPr>
          <w:i/>
          <w:color w:val="231F20"/>
          <w:spacing w:val="-5"/>
          <w:sz w:val="20"/>
        </w:rPr>
        <w:t> </w:t>
      </w:r>
      <w:r>
        <w:rPr>
          <w:i/>
          <w:color w:val="231F20"/>
          <w:sz w:val="20"/>
        </w:rPr>
        <w:t>познакомиться</w:t>
      </w:r>
      <w:r>
        <w:rPr>
          <w:i/>
          <w:color w:val="231F20"/>
          <w:spacing w:val="-4"/>
          <w:sz w:val="20"/>
        </w:rPr>
        <w:t> </w:t>
      </w:r>
      <w:r>
        <w:rPr>
          <w:i/>
          <w:color w:val="231F20"/>
          <w:sz w:val="20"/>
        </w:rPr>
        <w:t>со</w:t>
      </w:r>
      <w:r>
        <w:rPr>
          <w:i/>
          <w:color w:val="231F20"/>
          <w:spacing w:val="-5"/>
          <w:sz w:val="20"/>
        </w:rPr>
        <w:t> </w:t>
      </w:r>
      <w:r>
        <w:rPr>
          <w:i/>
          <w:color w:val="231F20"/>
          <w:sz w:val="20"/>
        </w:rPr>
        <w:t>школой и педагогами. Приветственный семинар состоится ...»</w:t>
      </w:r>
    </w:p>
    <w:p>
      <w:pPr>
        <w:pStyle w:val="BodyText"/>
        <w:spacing w:line="230" w:lineRule="auto"/>
        <w:ind w:right="140"/>
      </w:pPr>
      <w:r>
        <w:rPr>
          <w:color w:val="231F20"/>
        </w:rPr>
        <w:t>При</w:t>
      </w:r>
      <w:r>
        <w:rPr>
          <w:color w:val="231F20"/>
          <w:spacing w:val="-2"/>
        </w:rPr>
        <w:t> </w:t>
      </w:r>
      <w:r>
        <w:rPr>
          <w:color w:val="231F20"/>
        </w:rPr>
        <w:t>входе</w:t>
      </w:r>
      <w:r>
        <w:rPr>
          <w:color w:val="231F20"/>
          <w:spacing w:val="-3"/>
        </w:rPr>
        <w:t> </w:t>
      </w:r>
      <w:r>
        <w:rPr>
          <w:color w:val="231F20"/>
        </w:rPr>
        <w:t>в</w:t>
      </w:r>
      <w:r>
        <w:rPr>
          <w:color w:val="231F20"/>
          <w:spacing w:val="-3"/>
        </w:rPr>
        <w:t> </w:t>
      </w:r>
      <w:r>
        <w:rPr>
          <w:color w:val="231F20"/>
        </w:rPr>
        <w:t>школу</w:t>
      </w:r>
      <w:r>
        <w:rPr>
          <w:color w:val="231F20"/>
          <w:spacing w:val="-3"/>
        </w:rPr>
        <w:t> </w:t>
      </w:r>
      <w:r>
        <w:rPr>
          <w:color w:val="231F20"/>
        </w:rPr>
        <w:t>родителей</w:t>
      </w:r>
      <w:r>
        <w:rPr>
          <w:color w:val="231F20"/>
          <w:spacing w:val="-3"/>
        </w:rPr>
        <w:t> </w:t>
      </w:r>
      <w:r>
        <w:rPr>
          <w:color w:val="231F20"/>
        </w:rPr>
        <w:t>встречают</w:t>
      </w:r>
      <w:r>
        <w:rPr>
          <w:color w:val="231F20"/>
          <w:spacing w:val="-3"/>
        </w:rPr>
        <w:t> </w:t>
      </w:r>
      <w:r>
        <w:rPr>
          <w:color w:val="231F20"/>
        </w:rPr>
        <w:t>педагоги</w:t>
      </w:r>
      <w:r>
        <w:rPr>
          <w:color w:val="231F20"/>
          <w:spacing w:val="-3"/>
        </w:rPr>
        <w:t> </w:t>
      </w:r>
      <w:r>
        <w:rPr>
          <w:color w:val="231F20"/>
        </w:rPr>
        <w:t>или</w:t>
      </w:r>
      <w:r>
        <w:rPr>
          <w:color w:val="231F20"/>
          <w:spacing w:val="-2"/>
        </w:rPr>
        <w:t> </w:t>
      </w:r>
      <w:r>
        <w:rPr>
          <w:color w:val="231F20"/>
        </w:rPr>
        <w:t>учащиеся</w:t>
      </w:r>
      <w:r>
        <w:rPr>
          <w:color w:val="231F20"/>
          <w:spacing w:val="-3"/>
        </w:rPr>
        <w:t> </w:t>
      </w:r>
      <w:r>
        <w:rPr>
          <w:color w:val="231F20"/>
        </w:rPr>
        <w:t>и</w:t>
      </w:r>
      <w:r>
        <w:rPr>
          <w:color w:val="231F20"/>
          <w:spacing w:val="-3"/>
        </w:rPr>
        <w:t> </w:t>
      </w:r>
      <w:r>
        <w:rPr>
          <w:color w:val="231F20"/>
        </w:rPr>
        <w:t>провожают</w:t>
      </w:r>
      <w:r>
        <w:rPr>
          <w:color w:val="231F20"/>
          <w:spacing w:val="-3"/>
        </w:rPr>
        <w:t> </w:t>
      </w:r>
      <w:r>
        <w:rPr>
          <w:color w:val="231F20"/>
        </w:rPr>
        <w:t>их до помещения, где будет проходить семинар. Целесообразно в число встречающих включить учащихся – иностранных граждан.</w:t>
      </w:r>
    </w:p>
    <w:p>
      <w:pPr>
        <w:pStyle w:val="BodyText"/>
        <w:spacing w:line="230" w:lineRule="auto"/>
      </w:pPr>
      <w:r>
        <w:rPr>
          <w:color w:val="231F20"/>
        </w:rPr>
        <w:t>Около</w:t>
      </w:r>
      <w:r>
        <w:rPr>
          <w:color w:val="231F20"/>
          <w:spacing w:val="-5"/>
        </w:rPr>
        <w:t> </w:t>
      </w:r>
      <w:r>
        <w:rPr>
          <w:color w:val="231F20"/>
        </w:rPr>
        <w:t>помещения,</w:t>
      </w:r>
      <w:r>
        <w:rPr>
          <w:color w:val="231F20"/>
          <w:spacing w:val="-5"/>
        </w:rPr>
        <w:t> </w:t>
      </w:r>
      <w:r>
        <w:rPr>
          <w:color w:val="231F20"/>
        </w:rPr>
        <w:t>где</w:t>
      </w:r>
      <w:r>
        <w:rPr>
          <w:color w:val="231F20"/>
          <w:spacing w:val="-5"/>
        </w:rPr>
        <w:t> </w:t>
      </w:r>
      <w:r>
        <w:rPr>
          <w:color w:val="231F20"/>
        </w:rPr>
        <w:t>будет</w:t>
      </w:r>
      <w:r>
        <w:rPr>
          <w:color w:val="231F20"/>
          <w:spacing w:val="-5"/>
        </w:rPr>
        <w:t> </w:t>
      </w:r>
      <w:r>
        <w:rPr>
          <w:color w:val="231F20"/>
        </w:rPr>
        <w:t>проходить</w:t>
      </w:r>
      <w:r>
        <w:rPr>
          <w:color w:val="231F20"/>
          <w:spacing w:val="-5"/>
        </w:rPr>
        <w:t> </w:t>
      </w:r>
      <w:r>
        <w:rPr>
          <w:color w:val="231F20"/>
        </w:rPr>
        <w:t>семинар,</w:t>
      </w:r>
      <w:r>
        <w:rPr>
          <w:color w:val="231F20"/>
          <w:spacing w:val="-5"/>
        </w:rPr>
        <w:t> </w:t>
      </w:r>
      <w:r>
        <w:rPr>
          <w:color w:val="231F20"/>
        </w:rPr>
        <w:t>нужно</w:t>
      </w:r>
      <w:r>
        <w:rPr>
          <w:color w:val="231F20"/>
          <w:spacing w:val="-5"/>
        </w:rPr>
        <w:t> </w:t>
      </w:r>
      <w:r>
        <w:rPr>
          <w:color w:val="231F20"/>
        </w:rPr>
        <w:t>разместить</w:t>
      </w:r>
      <w:r>
        <w:rPr>
          <w:color w:val="231F20"/>
          <w:spacing w:val="-5"/>
        </w:rPr>
        <w:t> </w:t>
      </w:r>
      <w:r>
        <w:rPr>
          <w:color w:val="231F20"/>
        </w:rPr>
        <w:t>два</w:t>
      </w:r>
      <w:r>
        <w:rPr>
          <w:color w:val="231F20"/>
          <w:spacing w:val="-5"/>
        </w:rPr>
        <w:t> </w:t>
      </w:r>
      <w:r>
        <w:rPr>
          <w:color w:val="231F20"/>
        </w:rPr>
        <w:t>листа</w:t>
      </w:r>
      <w:r>
        <w:rPr>
          <w:color w:val="231F20"/>
          <w:spacing w:val="-5"/>
        </w:rPr>
        <w:t> </w:t>
      </w:r>
      <w:r>
        <w:rPr>
          <w:color w:val="231F20"/>
        </w:rPr>
        <w:t>бу- маги</w:t>
      </w:r>
      <w:r>
        <w:rPr>
          <w:color w:val="231F20"/>
          <w:spacing w:val="-9"/>
        </w:rPr>
        <w:t> </w:t>
      </w:r>
      <w:r>
        <w:rPr>
          <w:color w:val="231F20"/>
        </w:rPr>
        <w:t>для</w:t>
      </w:r>
      <w:r>
        <w:rPr>
          <w:color w:val="231F20"/>
          <w:spacing w:val="-9"/>
        </w:rPr>
        <w:t> </w:t>
      </w:r>
      <w:r>
        <w:rPr>
          <w:color w:val="231F20"/>
        </w:rPr>
        <w:t>флип-чарта.</w:t>
      </w:r>
      <w:r>
        <w:rPr>
          <w:color w:val="231F20"/>
          <w:spacing w:val="-9"/>
        </w:rPr>
        <w:t> </w:t>
      </w:r>
      <w:r>
        <w:rPr>
          <w:color w:val="231F20"/>
        </w:rPr>
        <w:t>На</w:t>
      </w:r>
      <w:r>
        <w:rPr>
          <w:color w:val="231F20"/>
          <w:spacing w:val="-9"/>
        </w:rPr>
        <w:t> </w:t>
      </w:r>
      <w:r>
        <w:rPr>
          <w:color w:val="231F20"/>
        </w:rPr>
        <w:t>первом</w:t>
      </w:r>
      <w:r>
        <w:rPr>
          <w:color w:val="231F20"/>
          <w:spacing w:val="-9"/>
        </w:rPr>
        <w:t> </w:t>
      </w:r>
      <w:r>
        <w:rPr>
          <w:color w:val="231F20"/>
        </w:rPr>
        <w:t>написано:</w:t>
      </w:r>
      <w:r>
        <w:rPr>
          <w:color w:val="231F20"/>
          <w:spacing w:val="-9"/>
        </w:rPr>
        <w:t> </w:t>
      </w:r>
      <w:r>
        <w:rPr>
          <w:color w:val="231F20"/>
        </w:rPr>
        <w:t>«Как</w:t>
      </w:r>
      <w:r>
        <w:rPr>
          <w:color w:val="231F20"/>
          <w:spacing w:val="-9"/>
        </w:rPr>
        <w:t> </w:t>
      </w:r>
      <w:r>
        <w:rPr>
          <w:color w:val="231F20"/>
        </w:rPr>
        <w:t>зовут</w:t>
      </w:r>
      <w:r>
        <w:rPr>
          <w:color w:val="231F20"/>
          <w:spacing w:val="-9"/>
        </w:rPr>
        <w:t> </w:t>
      </w:r>
      <w:r>
        <w:rPr>
          <w:color w:val="231F20"/>
        </w:rPr>
        <w:t>вашего</w:t>
      </w:r>
      <w:r>
        <w:rPr>
          <w:color w:val="231F20"/>
          <w:spacing w:val="-9"/>
        </w:rPr>
        <w:t> </w:t>
      </w:r>
      <w:r>
        <w:rPr>
          <w:color w:val="231F20"/>
        </w:rPr>
        <w:t>ребенка?»</w:t>
      </w:r>
      <w:r>
        <w:rPr>
          <w:color w:val="231F20"/>
          <w:spacing w:val="-9"/>
        </w:rPr>
        <w:t> </w:t>
      </w:r>
      <w:r>
        <w:rPr>
          <w:color w:val="231F20"/>
        </w:rPr>
        <w:t>Около</w:t>
      </w:r>
      <w:r>
        <w:rPr>
          <w:color w:val="231F20"/>
          <w:spacing w:val="-9"/>
        </w:rPr>
        <w:t> </w:t>
      </w:r>
      <w:r>
        <w:rPr>
          <w:color w:val="231F20"/>
        </w:rPr>
        <w:t>этого листа находится педагог, который просит родителей написать имена их детей. Зара- нее можно написать несколько имен, отражающих разную этническую принадлеж- ность (Маша, Наргиз, Казбек и др.).</w:t>
      </w:r>
    </w:p>
    <w:p>
      <w:pPr>
        <w:pStyle w:val="BodyText"/>
        <w:spacing w:line="214" w:lineRule="exact"/>
        <w:ind w:left="425" w:right="0" w:firstLine="0"/>
      </w:pPr>
      <w:r>
        <w:rPr>
          <w:color w:val="231F20"/>
        </w:rPr>
        <w:t>На</w:t>
      </w:r>
      <w:r>
        <w:rPr>
          <w:color w:val="231F20"/>
          <w:spacing w:val="-6"/>
        </w:rPr>
        <w:t> </w:t>
      </w:r>
      <w:r>
        <w:rPr>
          <w:color w:val="231F20"/>
        </w:rPr>
        <w:t>втором</w:t>
      </w:r>
      <w:r>
        <w:rPr>
          <w:color w:val="231F20"/>
          <w:spacing w:val="-3"/>
        </w:rPr>
        <w:t> </w:t>
      </w:r>
      <w:r>
        <w:rPr>
          <w:color w:val="231F20"/>
        </w:rPr>
        <w:t>листе</w:t>
      </w:r>
      <w:r>
        <w:rPr>
          <w:color w:val="231F20"/>
          <w:spacing w:val="-3"/>
        </w:rPr>
        <w:t> </w:t>
      </w:r>
      <w:r>
        <w:rPr>
          <w:color w:val="231F20"/>
        </w:rPr>
        <w:t>написано:</w:t>
      </w:r>
      <w:r>
        <w:rPr>
          <w:color w:val="231F20"/>
          <w:spacing w:val="-3"/>
        </w:rPr>
        <w:t> </w:t>
      </w:r>
      <w:r>
        <w:rPr>
          <w:color w:val="231F20"/>
        </w:rPr>
        <w:t>«Что</w:t>
      </w:r>
      <w:r>
        <w:rPr>
          <w:color w:val="231F20"/>
          <w:spacing w:val="-4"/>
        </w:rPr>
        <w:t> </w:t>
      </w:r>
      <w:r>
        <w:rPr>
          <w:color w:val="231F20"/>
        </w:rPr>
        <w:t>больше</w:t>
      </w:r>
      <w:r>
        <w:rPr>
          <w:color w:val="231F20"/>
          <w:spacing w:val="-3"/>
        </w:rPr>
        <w:t> </w:t>
      </w:r>
      <w:r>
        <w:rPr>
          <w:color w:val="231F20"/>
        </w:rPr>
        <w:t>всего</w:t>
      </w:r>
      <w:r>
        <w:rPr>
          <w:color w:val="231F20"/>
          <w:spacing w:val="-3"/>
        </w:rPr>
        <w:t> </w:t>
      </w:r>
      <w:r>
        <w:rPr>
          <w:color w:val="231F20"/>
        </w:rPr>
        <w:t>любит</w:t>
      </w:r>
      <w:r>
        <w:rPr>
          <w:color w:val="231F20"/>
          <w:spacing w:val="-3"/>
        </w:rPr>
        <w:t> </w:t>
      </w:r>
      <w:r>
        <w:rPr>
          <w:color w:val="231F20"/>
        </w:rPr>
        <w:t>ваш</w:t>
      </w:r>
      <w:r>
        <w:rPr>
          <w:color w:val="231F20"/>
          <w:spacing w:val="-3"/>
        </w:rPr>
        <w:t> </w:t>
      </w:r>
      <w:r>
        <w:rPr>
          <w:color w:val="231F20"/>
          <w:spacing w:val="-2"/>
        </w:rPr>
        <w:t>ребенок?»</w:t>
      </w:r>
    </w:p>
    <w:p>
      <w:pPr>
        <w:pStyle w:val="BodyText"/>
        <w:spacing w:line="230" w:lineRule="auto"/>
      </w:pPr>
      <w:r>
        <w:rPr>
          <w:color w:val="231F20"/>
        </w:rPr>
        <w:t>Лист разделен на четыре части, озаглавленные: «Творчество», «Спорт», «Обще- </w:t>
      </w:r>
      <w:r>
        <w:rPr>
          <w:color w:val="231F20"/>
          <w:spacing w:val="-2"/>
        </w:rPr>
        <w:t>ние»,</w:t>
      </w:r>
      <w:r>
        <w:rPr>
          <w:color w:val="231F20"/>
          <w:spacing w:val="-11"/>
        </w:rPr>
        <w:t> </w:t>
      </w:r>
      <w:r>
        <w:rPr>
          <w:color w:val="231F20"/>
          <w:spacing w:val="-2"/>
        </w:rPr>
        <w:t>«Гаджеты</w:t>
      </w:r>
      <w:r>
        <w:rPr>
          <w:color w:val="231F20"/>
          <w:spacing w:val="-10"/>
        </w:rPr>
        <w:t> </w:t>
      </w:r>
      <w:r>
        <w:rPr>
          <w:color w:val="231F20"/>
          <w:spacing w:val="-2"/>
        </w:rPr>
        <w:t>и</w:t>
      </w:r>
      <w:r>
        <w:rPr>
          <w:color w:val="231F20"/>
          <w:spacing w:val="-11"/>
        </w:rPr>
        <w:t> </w:t>
      </w:r>
      <w:r>
        <w:rPr>
          <w:color w:val="231F20"/>
          <w:spacing w:val="-2"/>
        </w:rPr>
        <w:t>IT».</w:t>
      </w:r>
      <w:r>
        <w:rPr>
          <w:color w:val="231F20"/>
          <w:spacing w:val="-10"/>
        </w:rPr>
        <w:t> </w:t>
      </w:r>
      <w:r>
        <w:rPr>
          <w:color w:val="231F20"/>
          <w:spacing w:val="-2"/>
        </w:rPr>
        <w:t>Около</w:t>
      </w:r>
      <w:r>
        <w:rPr>
          <w:color w:val="231F20"/>
          <w:spacing w:val="-11"/>
        </w:rPr>
        <w:t> </w:t>
      </w:r>
      <w:r>
        <w:rPr>
          <w:color w:val="231F20"/>
          <w:spacing w:val="-2"/>
        </w:rPr>
        <w:t>этого</w:t>
      </w:r>
      <w:r>
        <w:rPr>
          <w:color w:val="231F20"/>
          <w:spacing w:val="-10"/>
        </w:rPr>
        <w:t> </w:t>
      </w:r>
      <w:r>
        <w:rPr>
          <w:color w:val="231F20"/>
          <w:spacing w:val="-2"/>
        </w:rPr>
        <w:t>листа</w:t>
      </w:r>
      <w:r>
        <w:rPr>
          <w:color w:val="231F20"/>
          <w:spacing w:val="-11"/>
        </w:rPr>
        <w:t> </w:t>
      </w:r>
      <w:r>
        <w:rPr>
          <w:color w:val="231F20"/>
          <w:spacing w:val="-2"/>
        </w:rPr>
        <w:t>также</w:t>
      </w:r>
      <w:r>
        <w:rPr>
          <w:color w:val="231F20"/>
          <w:spacing w:val="-10"/>
        </w:rPr>
        <w:t> </w:t>
      </w:r>
      <w:r>
        <w:rPr>
          <w:color w:val="231F20"/>
          <w:spacing w:val="-2"/>
        </w:rPr>
        <w:t>находится</w:t>
      </w:r>
      <w:r>
        <w:rPr>
          <w:color w:val="231F20"/>
          <w:spacing w:val="-11"/>
        </w:rPr>
        <w:t> </w:t>
      </w:r>
      <w:r>
        <w:rPr>
          <w:color w:val="231F20"/>
          <w:spacing w:val="-2"/>
        </w:rPr>
        <w:t>педагог,</w:t>
      </w:r>
      <w:r>
        <w:rPr>
          <w:color w:val="231F20"/>
          <w:spacing w:val="-10"/>
        </w:rPr>
        <w:t> </w:t>
      </w:r>
      <w:r>
        <w:rPr>
          <w:color w:val="231F20"/>
          <w:spacing w:val="-2"/>
        </w:rPr>
        <w:t>который</w:t>
      </w:r>
      <w:r>
        <w:rPr>
          <w:color w:val="231F20"/>
          <w:spacing w:val="-11"/>
        </w:rPr>
        <w:t> </w:t>
      </w:r>
      <w:r>
        <w:rPr>
          <w:color w:val="231F20"/>
          <w:spacing w:val="-2"/>
        </w:rPr>
        <w:t>предлагает </w:t>
      </w:r>
      <w:r>
        <w:rPr>
          <w:color w:val="231F20"/>
        </w:rPr>
        <w:t>родителям</w:t>
      </w:r>
      <w:r>
        <w:rPr>
          <w:color w:val="231F20"/>
          <w:spacing w:val="-10"/>
        </w:rPr>
        <w:t> </w:t>
      </w:r>
      <w:r>
        <w:rPr>
          <w:color w:val="231F20"/>
        </w:rPr>
        <w:t>отметить</w:t>
      </w:r>
      <w:r>
        <w:rPr>
          <w:color w:val="231F20"/>
          <w:spacing w:val="-10"/>
        </w:rPr>
        <w:t> </w:t>
      </w:r>
      <w:r>
        <w:rPr>
          <w:color w:val="231F20"/>
        </w:rPr>
        <w:t>галочкой</w:t>
      </w:r>
      <w:r>
        <w:rPr>
          <w:color w:val="231F20"/>
          <w:spacing w:val="-10"/>
        </w:rPr>
        <w:t> </w:t>
      </w:r>
      <w:r>
        <w:rPr>
          <w:color w:val="231F20"/>
        </w:rPr>
        <w:t>или</w:t>
      </w:r>
      <w:r>
        <w:rPr>
          <w:color w:val="231F20"/>
          <w:spacing w:val="-10"/>
        </w:rPr>
        <w:t> </w:t>
      </w:r>
      <w:r>
        <w:rPr>
          <w:color w:val="231F20"/>
        </w:rPr>
        <w:t>приклеить</w:t>
      </w:r>
      <w:r>
        <w:rPr>
          <w:color w:val="231F20"/>
          <w:spacing w:val="-10"/>
        </w:rPr>
        <w:t> </w:t>
      </w:r>
      <w:r>
        <w:rPr>
          <w:color w:val="231F20"/>
        </w:rPr>
        <w:t>стикер</w:t>
      </w:r>
      <w:r>
        <w:rPr>
          <w:color w:val="231F20"/>
          <w:spacing w:val="-10"/>
        </w:rPr>
        <w:t> </w:t>
      </w:r>
      <w:r>
        <w:rPr>
          <w:color w:val="231F20"/>
        </w:rPr>
        <w:t>в</w:t>
      </w:r>
      <w:r>
        <w:rPr>
          <w:color w:val="231F20"/>
          <w:spacing w:val="-10"/>
        </w:rPr>
        <w:t> </w:t>
      </w:r>
      <w:r>
        <w:rPr>
          <w:color w:val="231F20"/>
        </w:rPr>
        <w:t>соответствующую</w:t>
      </w:r>
      <w:r>
        <w:rPr>
          <w:color w:val="231F20"/>
          <w:spacing w:val="-10"/>
        </w:rPr>
        <w:t> </w:t>
      </w:r>
      <w:r>
        <w:rPr>
          <w:color w:val="231F20"/>
        </w:rPr>
        <w:t>часть</w:t>
      </w:r>
      <w:r>
        <w:rPr>
          <w:color w:val="231F20"/>
          <w:spacing w:val="-10"/>
        </w:rPr>
        <w:t> </w:t>
      </w:r>
      <w:r>
        <w:rPr>
          <w:color w:val="231F20"/>
        </w:rPr>
        <w:t>листа.</w:t>
      </w:r>
    </w:p>
    <w:p>
      <w:pPr>
        <w:spacing w:line="228" w:lineRule="exact" w:before="51"/>
        <w:ind w:left="425" w:right="0" w:firstLine="0"/>
        <w:jc w:val="both"/>
        <w:rPr>
          <w:i/>
          <w:sz w:val="20"/>
        </w:rPr>
      </w:pPr>
      <w:r>
        <w:rPr>
          <w:i/>
          <w:color w:val="231F20"/>
          <w:sz w:val="20"/>
        </w:rPr>
        <w:t>План</w:t>
      </w:r>
      <w:r>
        <w:rPr>
          <w:i/>
          <w:color w:val="231F20"/>
          <w:spacing w:val="-3"/>
          <w:sz w:val="20"/>
        </w:rPr>
        <w:t> </w:t>
      </w:r>
      <w:r>
        <w:rPr>
          <w:i/>
          <w:color w:val="231F20"/>
          <w:sz w:val="20"/>
        </w:rPr>
        <w:t>проведения</w:t>
      </w:r>
      <w:r>
        <w:rPr>
          <w:i/>
          <w:color w:val="231F20"/>
          <w:spacing w:val="-2"/>
          <w:sz w:val="20"/>
        </w:rPr>
        <w:t> семинара</w:t>
      </w:r>
    </w:p>
    <w:p>
      <w:pPr>
        <w:pStyle w:val="BodyText"/>
        <w:spacing w:line="235" w:lineRule="auto" w:before="1"/>
      </w:pPr>
      <w:r>
        <w:rPr>
          <w:color w:val="231F20"/>
        </w:rPr>
        <w:t>Ведущий (педагог-психолог или педагог-организатор) приветствует родителей, представляется</w:t>
      </w:r>
      <w:r>
        <w:rPr>
          <w:color w:val="231F20"/>
          <w:spacing w:val="-9"/>
        </w:rPr>
        <w:t> </w:t>
      </w:r>
      <w:r>
        <w:rPr>
          <w:color w:val="231F20"/>
        </w:rPr>
        <w:t>и</w:t>
      </w:r>
      <w:r>
        <w:rPr>
          <w:color w:val="231F20"/>
          <w:spacing w:val="-9"/>
        </w:rPr>
        <w:t> </w:t>
      </w:r>
      <w:r>
        <w:rPr>
          <w:color w:val="231F20"/>
        </w:rPr>
        <w:t>благодарит</w:t>
      </w:r>
      <w:r>
        <w:rPr>
          <w:color w:val="231F20"/>
          <w:spacing w:val="-9"/>
        </w:rPr>
        <w:t> </w:t>
      </w:r>
      <w:r>
        <w:rPr>
          <w:color w:val="231F20"/>
        </w:rPr>
        <w:t>их</w:t>
      </w:r>
      <w:r>
        <w:rPr>
          <w:color w:val="231F20"/>
          <w:spacing w:val="-9"/>
        </w:rPr>
        <w:t> </w:t>
      </w:r>
      <w:r>
        <w:rPr>
          <w:color w:val="231F20"/>
        </w:rPr>
        <w:t>за</w:t>
      </w:r>
      <w:r>
        <w:rPr>
          <w:color w:val="231F20"/>
          <w:spacing w:val="-9"/>
        </w:rPr>
        <w:t> </w:t>
      </w:r>
      <w:r>
        <w:rPr>
          <w:color w:val="231F20"/>
        </w:rPr>
        <w:t>то,</w:t>
      </w:r>
      <w:r>
        <w:rPr>
          <w:color w:val="231F20"/>
          <w:spacing w:val="-9"/>
        </w:rPr>
        <w:t> </w:t>
      </w:r>
      <w:r>
        <w:rPr>
          <w:color w:val="231F20"/>
        </w:rPr>
        <w:t>что</w:t>
      </w:r>
      <w:r>
        <w:rPr>
          <w:color w:val="231F20"/>
          <w:spacing w:val="-9"/>
        </w:rPr>
        <w:t> </w:t>
      </w:r>
      <w:r>
        <w:rPr>
          <w:color w:val="231F20"/>
        </w:rPr>
        <w:t>они</w:t>
      </w:r>
      <w:r>
        <w:rPr>
          <w:color w:val="231F20"/>
          <w:spacing w:val="-9"/>
        </w:rPr>
        <w:t> </w:t>
      </w:r>
      <w:r>
        <w:rPr>
          <w:color w:val="231F20"/>
        </w:rPr>
        <w:t>пришли.</w:t>
      </w:r>
      <w:r>
        <w:rPr>
          <w:color w:val="231F20"/>
          <w:spacing w:val="-9"/>
        </w:rPr>
        <w:t> </w:t>
      </w:r>
      <w:r>
        <w:rPr>
          <w:color w:val="231F20"/>
        </w:rPr>
        <w:t>Затем</w:t>
      </w:r>
      <w:r>
        <w:rPr>
          <w:color w:val="231F20"/>
          <w:spacing w:val="-9"/>
        </w:rPr>
        <w:t> </w:t>
      </w:r>
      <w:r>
        <w:rPr>
          <w:color w:val="231F20"/>
        </w:rPr>
        <w:t>ведущий</w:t>
      </w:r>
      <w:r>
        <w:rPr>
          <w:color w:val="231F20"/>
          <w:spacing w:val="-9"/>
        </w:rPr>
        <w:t> </w:t>
      </w:r>
      <w:r>
        <w:rPr>
          <w:color w:val="231F20"/>
        </w:rPr>
        <w:t>комментирует итоги</w:t>
      </w:r>
      <w:r>
        <w:rPr>
          <w:color w:val="231F20"/>
          <w:spacing w:val="8"/>
        </w:rPr>
        <w:t> </w:t>
      </w:r>
      <w:r>
        <w:rPr>
          <w:color w:val="231F20"/>
        </w:rPr>
        <w:t>заполнения</w:t>
      </w:r>
      <w:r>
        <w:rPr>
          <w:color w:val="231F20"/>
          <w:spacing w:val="11"/>
        </w:rPr>
        <w:t> </w:t>
      </w:r>
      <w:r>
        <w:rPr>
          <w:color w:val="231F20"/>
        </w:rPr>
        <w:t>опросных</w:t>
      </w:r>
      <w:r>
        <w:rPr>
          <w:color w:val="231F20"/>
          <w:spacing w:val="10"/>
        </w:rPr>
        <w:t> </w:t>
      </w:r>
      <w:r>
        <w:rPr>
          <w:color w:val="231F20"/>
        </w:rPr>
        <w:t>листов:</w:t>
      </w:r>
      <w:r>
        <w:rPr>
          <w:color w:val="231F20"/>
          <w:spacing w:val="12"/>
        </w:rPr>
        <w:t> </w:t>
      </w:r>
      <w:r>
        <w:rPr>
          <w:color w:val="231F20"/>
        </w:rPr>
        <w:t>называет</w:t>
      </w:r>
      <w:r>
        <w:rPr>
          <w:color w:val="231F20"/>
          <w:spacing w:val="10"/>
        </w:rPr>
        <w:t> </w:t>
      </w:r>
      <w:r>
        <w:rPr>
          <w:color w:val="231F20"/>
        </w:rPr>
        <w:t>несколько</w:t>
      </w:r>
      <w:r>
        <w:rPr>
          <w:color w:val="231F20"/>
          <w:spacing w:val="11"/>
        </w:rPr>
        <w:t> </w:t>
      </w:r>
      <w:r>
        <w:rPr>
          <w:color w:val="231F20"/>
        </w:rPr>
        <w:t>имен</w:t>
      </w:r>
      <w:r>
        <w:rPr>
          <w:color w:val="231F20"/>
          <w:spacing w:val="10"/>
        </w:rPr>
        <w:t> </w:t>
      </w:r>
      <w:r>
        <w:rPr>
          <w:color w:val="231F20"/>
        </w:rPr>
        <w:t>из</w:t>
      </w:r>
      <w:r>
        <w:rPr>
          <w:color w:val="231F20"/>
          <w:spacing w:val="11"/>
        </w:rPr>
        <w:t> </w:t>
      </w:r>
      <w:r>
        <w:rPr>
          <w:color w:val="231F20"/>
        </w:rPr>
        <w:t>написанных</w:t>
      </w:r>
      <w:r>
        <w:rPr>
          <w:color w:val="231F20"/>
          <w:spacing w:val="11"/>
        </w:rPr>
        <w:t> </w:t>
      </w:r>
      <w:r>
        <w:rPr>
          <w:color w:val="231F20"/>
          <w:spacing w:val="-2"/>
        </w:rPr>
        <w:t>роди-</w:t>
      </w:r>
    </w:p>
    <w:p>
      <w:pPr>
        <w:pStyle w:val="BodyText"/>
        <w:spacing w:after="0" w:line="235" w:lineRule="auto"/>
        <w:sectPr>
          <w:pgSz w:w="8400" w:h="11910"/>
          <w:pgMar w:header="0" w:footer="553" w:top="280" w:bottom="740" w:left="425" w:right="425"/>
        </w:sectPr>
      </w:pPr>
    </w:p>
    <w:p>
      <w:pPr>
        <w:spacing w:before="75"/>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3.</w:t>
      </w:r>
    </w:p>
    <w:p>
      <w:pPr>
        <w:pStyle w:val="BodyText"/>
        <w:spacing w:before="36"/>
        <w:ind w:left="0" w:right="0" w:firstLine="0"/>
        <w:jc w:val="left"/>
        <w:rPr>
          <w:rFonts w:ascii="Georgia"/>
          <w:sz w:val="18"/>
        </w:rPr>
      </w:pPr>
    </w:p>
    <w:p>
      <w:pPr>
        <w:pStyle w:val="BodyText"/>
        <w:spacing w:line="235" w:lineRule="auto"/>
        <w:ind w:firstLine="0"/>
      </w:pPr>
      <w:r>
        <w:rPr>
          <w:color w:val="231F20"/>
        </w:rPr>
        <w:t>телями («У нас будут учиться три Насти, четыре Данилы, два Адилета») и оглаша- ет итоги подсчета ответов на второй вопрос («Примерно поровну наши дети любят спорт и гаджеты...»).</w:t>
      </w:r>
    </w:p>
    <w:p>
      <w:pPr>
        <w:pStyle w:val="BodyText"/>
        <w:spacing w:line="235" w:lineRule="auto" w:before="2"/>
      </w:pPr>
      <w:r>
        <w:rPr>
          <w:color w:val="231F20"/>
        </w:rPr>
        <w:t>Затем ведущий передает слово представителю администрации, с которым роди- тели будут взаимодействовать. Представитель администрации кратко рассказывает</w:t>
      </w:r>
      <w:r>
        <w:rPr>
          <w:color w:val="231F20"/>
          <w:spacing w:val="40"/>
        </w:rPr>
        <w:t> </w:t>
      </w:r>
      <w:r>
        <w:rPr>
          <w:color w:val="231F20"/>
        </w:rPr>
        <w:t>о</w:t>
      </w:r>
      <w:r>
        <w:rPr>
          <w:color w:val="231F20"/>
          <w:spacing w:val="-4"/>
        </w:rPr>
        <w:t> </w:t>
      </w:r>
      <w:r>
        <w:rPr>
          <w:color w:val="231F20"/>
        </w:rPr>
        <w:t>школе</w:t>
      </w:r>
      <w:r>
        <w:rPr>
          <w:color w:val="231F20"/>
          <w:spacing w:val="-4"/>
        </w:rPr>
        <w:t> </w:t>
      </w:r>
      <w:r>
        <w:rPr>
          <w:color w:val="231F20"/>
        </w:rPr>
        <w:t>и</w:t>
      </w:r>
      <w:r>
        <w:rPr>
          <w:color w:val="231F20"/>
          <w:spacing w:val="-4"/>
        </w:rPr>
        <w:t> </w:t>
      </w:r>
      <w:r>
        <w:rPr>
          <w:color w:val="231F20"/>
        </w:rPr>
        <w:t>показывает</w:t>
      </w:r>
      <w:r>
        <w:rPr>
          <w:color w:val="231F20"/>
          <w:spacing w:val="-4"/>
        </w:rPr>
        <w:t> </w:t>
      </w:r>
      <w:r>
        <w:rPr>
          <w:color w:val="231F20"/>
        </w:rPr>
        <w:t>видеоролик</w:t>
      </w:r>
      <w:r>
        <w:rPr>
          <w:color w:val="231F20"/>
          <w:spacing w:val="-4"/>
        </w:rPr>
        <w:t> </w:t>
      </w:r>
      <w:r>
        <w:rPr>
          <w:color w:val="231F20"/>
        </w:rPr>
        <w:t>или</w:t>
      </w:r>
      <w:r>
        <w:rPr>
          <w:color w:val="231F20"/>
          <w:spacing w:val="-4"/>
        </w:rPr>
        <w:t> </w:t>
      </w:r>
      <w:r>
        <w:rPr>
          <w:color w:val="231F20"/>
        </w:rPr>
        <w:t>презентацию</w:t>
      </w:r>
      <w:r>
        <w:rPr>
          <w:color w:val="231F20"/>
          <w:spacing w:val="-4"/>
        </w:rPr>
        <w:t> </w:t>
      </w:r>
      <w:r>
        <w:rPr>
          <w:color w:val="231F20"/>
        </w:rPr>
        <w:t>о</w:t>
      </w:r>
      <w:r>
        <w:rPr>
          <w:color w:val="231F20"/>
          <w:spacing w:val="-4"/>
        </w:rPr>
        <w:t> </w:t>
      </w:r>
      <w:r>
        <w:rPr>
          <w:color w:val="231F20"/>
        </w:rPr>
        <w:t>школе.</w:t>
      </w:r>
      <w:r>
        <w:rPr>
          <w:color w:val="231F20"/>
          <w:spacing w:val="-4"/>
        </w:rPr>
        <w:t> </w:t>
      </w:r>
      <w:r>
        <w:rPr>
          <w:color w:val="231F20"/>
        </w:rPr>
        <w:t>Затем</w:t>
      </w:r>
      <w:r>
        <w:rPr>
          <w:color w:val="231F20"/>
          <w:spacing w:val="-4"/>
        </w:rPr>
        <w:t> </w:t>
      </w:r>
      <w:r>
        <w:rPr>
          <w:color w:val="231F20"/>
        </w:rPr>
        <w:t>необходимо</w:t>
      </w:r>
      <w:r>
        <w:rPr>
          <w:color w:val="231F20"/>
          <w:spacing w:val="-4"/>
        </w:rPr>
        <w:t> </w:t>
      </w:r>
      <w:r>
        <w:rPr>
          <w:color w:val="231F20"/>
        </w:rPr>
        <w:t>объ- яснить, к кому из представителей администрации или сотрудников школы по каким вопросам обращаться.</w:t>
      </w:r>
    </w:p>
    <w:p>
      <w:pPr>
        <w:pStyle w:val="BodyText"/>
        <w:spacing w:line="235" w:lineRule="auto" w:before="3"/>
      </w:pPr>
      <w:r>
        <w:rPr>
          <w:color w:val="231F20"/>
        </w:rPr>
        <w:t>Следующим выступает член родительского комитета (по возможности следует пригласить</w:t>
      </w:r>
      <w:r>
        <w:rPr>
          <w:color w:val="231F20"/>
          <w:spacing w:val="-1"/>
        </w:rPr>
        <w:t> </w:t>
      </w:r>
      <w:r>
        <w:rPr>
          <w:color w:val="231F20"/>
        </w:rPr>
        <w:t>двух</w:t>
      </w:r>
      <w:r>
        <w:rPr>
          <w:color w:val="231F20"/>
          <w:spacing w:val="-1"/>
        </w:rPr>
        <w:t> </w:t>
      </w:r>
      <w:r>
        <w:rPr>
          <w:color w:val="231F20"/>
        </w:rPr>
        <w:t>представителей,</w:t>
      </w:r>
      <w:r>
        <w:rPr>
          <w:color w:val="231F20"/>
          <w:spacing w:val="-1"/>
        </w:rPr>
        <w:t> </w:t>
      </w:r>
      <w:r>
        <w:rPr>
          <w:color w:val="231F20"/>
        </w:rPr>
        <w:t>один</w:t>
      </w:r>
      <w:r>
        <w:rPr>
          <w:color w:val="231F20"/>
          <w:spacing w:val="-1"/>
        </w:rPr>
        <w:t> </w:t>
      </w:r>
      <w:r>
        <w:rPr>
          <w:color w:val="231F20"/>
        </w:rPr>
        <w:t>из</w:t>
      </w:r>
      <w:r>
        <w:rPr>
          <w:color w:val="231F20"/>
          <w:spacing w:val="-1"/>
        </w:rPr>
        <w:t> </w:t>
      </w:r>
      <w:r>
        <w:rPr>
          <w:color w:val="231F20"/>
        </w:rPr>
        <w:t>которых</w:t>
      </w:r>
      <w:r>
        <w:rPr>
          <w:color w:val="231F20"/>
          <w:spacing w:val="-1"/>
        </w:rPr>
        <w:t> </w:t>
      </w:r>
      <w:r>
        <w:rPr>
          <w:color w:val="231F20"/>
        </w:rPr>
        <w:t>является</w:t>
      </w:r>
      <w:r>
        <w:rPr>
          <w:color w:val="231F20"/>
          <w:spacing w:val="-1"/>
        </w:rPr>
        <w:t> </w:t>
      </w:r>
      <w:r>
        <w:rPr>
          <w:color w:val="231F20"/>
        </w:rPr>
        <w:t>иностранным</w:t>
      </w:r>
      <w:r>
        <w:rPr>
          <w:color w:val="231F20"/>
          <w:spacing w:val="-1"/>
        </w:rPr>
        <w:t> </w:t>
      </w:r>
      <w:r>
        <w:rPr>
          <w:color w:val="231F20"/>
        </w:rPr>
        <w:t>граждани- ном).</w:t>
      </w:r>
      <w:r>
        <w:rPr>
          <w:color w:val="231F20"/>
          <w:spacing w:val="-6"/>
        </w:rPr>
        <w:t> </w:t>
      </w:r>
      <w:r>
        <w:rPr>
          <w:color w:val="231F20"/>
        </w:rPr>
        <w:t>Он(а)</w:t>
      </w:r>
      <w:r>
        <w:rPr>
          <w:color w:val="231F20"/>
          <w:spacing w:val="-6"/>
        </w:rPr>
        <w:t> </w:t>
      </w:r>
      <w:r>
        <w:rPr>
          <w:color w:val="231F20"/>
        </w:rPr>
        <w:t>кратко</w:t>
      </w:r>
      <w:r>
        <w:rPr>
          <w:color w:val="231F20"/>
          <w:spacing w:val="-6"/>
        </w:rPr>
        <w:t> </w:t>
      </w:r>
      <w:r>
        <w:rPr>
          <w:color w:val="231F20"/>
        </w:rPr>
        <w:t>рассказывает</w:t>
      </w:r>
      <w:r>
        <w:rPr>
          <w:color w:val="231F20"/>
          <w:spacing w:val="-6"/>
        </w:rPr>
        <w:t> </w:t>
      </w:r>
      <w:r>
        <w:rPr>
          <w:color w:val="231F20"/>
        </w:rPr>
        <w:t>о</w:t>
      </w:r>
      <w:r>
        <w:rPr>
          <w:color w:val="231F20"/>
          <w:spacing w:val="-6"/>
        </w:rPr>
        <w:t> </w:t>
      </w:r>
      <w:r>
        <w:rPr>
          <w:color w:val="231F20"/>
        </w:rPr>
        <w:t>деятельности</w:t>
      </w:r>
      <w:r>
        <w:rPr>
          <w:color w:val="231F20"/>
          <w:spacing w:val="-6"/>
        </w:rPr>
        <w:t> </w:t>
      </w:r>
      <w:r>
        <w:rPr>
          <w:color w:val="231F20"/>
        </w:rPr>
        <w:t>родительского</w:t>
      </w:r>
      <w:r>
        <w:rPr>
          <w:color w:val="231F20"/>
          <w:spacing w:val="-6"/>
        </w:rPr>
        <w:t> </w:t>
      </w:r>
      <w:r>
        <w:rPr>
          <w:color w:val="231F20"/>
        </w:rPr>
        <w:t>комитета</w:t>
      </w:r>
      <w:r>
        <w:rPr>
          <w:color w:val="231F20"/>
          <w:spacing w:val="-6"/>
        </w:rPr>
        <w:t> </w:t>
      </w:r>
      <w:r>
        <w:rPr>
          <w:color w:val="231F20"/>
        </w:rPr>
        <w:t>и</w:t>
      </w:r>
      <w:r>
        <w:rPr>
          <w:color w:val="231F20"/>
          <w:spacing w:val="-6"/>
        </w:rPr>
        <w:t> </w:t>
      </w:r>
      <w:r>
        <w:rPr>
          <w:color w:val="231F20"/>
        </w:rPr>
        <w:t>о</w:t>
      </w:r>
      <w:r>
        <w:rPr>
          <w:color w:val="231F20"/>
          <w:spacing w:val="-6"/>
        </w:rPr>
        <w:t> </w:t>
      </w:r>
      <w:r>
        <w:rPr>
          <w:color w:val="231F20"/>
        </w:rPr>
        <w:t>том,</w:t>
      </w:r>
      <w:r>
        <w:rPr>
          <w:color w:val="231F20"/>
          <w:spacing w:val="-6"/>
        </w:rPr>
        <w:t> </w:t>
      </w:r>
      <w:r>
        <w:rPr>
          <w:color w:val="231F20"/>
        </w:rPr>
        <w:t>как принять в ней участие.</w:t>
      </w:r>
    </w:p>
    <w:p>
      <w:pPr>
        <w:pStyle w:val="BodyText"/>
        <w:spacing w:line="235" w:lineRule="auto" w:before="3"/>
        <w:ind w:right="140"/>
      </w:pPr>
      <w:r>
        <w:rPr>
          <w:color w:val="231F20"/>
        </w:rPr>
        <w:t>Ведущий</w:t>
      </w:r>
      <w:r>
        <w:rPr>
          <w:color w:val="231F20"/>
          <w:spacing w:val="-13"/>
        </w:rPr>
        <w:t> </w:t>
      </w:r>
      <w:r>
        <w:rPr>
          <w:color w:val="231F20"/>
        </w:rPr>
        <w:t>и</w:t>
      </w:r>
      <w:r>
        <w:rPr>
          <w:color w:val="231F20"/>
          <w:spacing w:val="-12"/>
        </w:rPr>
        <w:t> </w:t>
      </w:r>
      <w:r>
        <w:rPr>
          <w:color w:val="231F20"/>
        </w:rPr>
        <w:t>представитель</w:t>
      </w:r>
      <w:r>
        <w:rPr>
          <w:color w:val="231F20"/>
          <w:spacing w:val="-13"/>
        </w:rPr>
        <w:t> </w:t>
      </w:r>
      <w:r>
        <w:rPr>
          <w:color w:val="231F20"/>
        </w:rPr>
        <w:t>администрации</w:t>
      </w:r>
      <w:r>
        <w:rPr>
          <w:color w:val="231F20"/>
          <w:spacing w:val="-12"/>
        </w:rPr>
        <w:t> </w:t>
      </w:r>
      <w:r>
        <w:rPr>
          <w:color w:val="231F20"/>
        </w:rPr>
        <w:t>представляют</w:t>
      </w:r>
      <w:r>
        <w:rPr>
          <w:color w:val="231F20"/>
          <w:spacing w:val="-13"/>
        </w:rPr>
        <w:t> </w:t>
      </w:r>
      <w:r>
        <w:rPr>
          <w:color w:val="231F20"/>
        </w:rPr>
        <w:t>информационный</w:t>
      </w:r>
      <w:r>
        <w:rPr>
          <w:color w:val="231F20"/>
          <w:spacing w:val="-12"/>
        </w:rPr>
        <w:t> </w:t>
      </w:r>
      <w:r>
        <w:rPr>
          <w:color w:val="231F20"/>
        </w:rPr>
        <w:t>буклет и комментируют, какая информация там представлена и как родители его получат.</w:t>
      </w:r>
    </w:p>
    <w:p>
      <w:pPr>
        <w:pStyle w:val="BodyText"/>
        <w:spacing w:line="235" w:lineRule="auto" w:before="1"/>
      </w:pPr>
      <w:r>
        <w:rPr>
          <w:color w:val="231F20"/>
        </w:rPr>
        <w:t>После этого родители делятся на несколько групп и под руководством педагогов идут</w:t>
      </w:r>
      <w:r>
        <w:rPr>
          <w:color w:val="231F20"/>
          <w:spacing w:val="-8"/>
        </w:rPr>
        <w:t> </w:t>
      </w:r>
      <w:r>
        <w:rPr>
          <w:color w:val="231F20"/>
        </w:rPr>
        <w:t>на</w:t>
      </w:r>
      <w:r>
        <w:rPr>
          <w:color w:val="231F20"/>
          <w:spacing w:val="-8"/>
        </w:rPr>
        <w:t> </w:t>
      </w:r>
      <w:r>
        <w:rPr>
          <w:color w:val="231F20"/>
        </w:rPr>
        <w:t>экскурсию</w:t>
      </w:r>
      <w:r>
        <w:rPr>
          <w:color w:val="231F20"/>
          <w:spacing w:val="-8"/>
        </w:rPr>
        <w:t> </w:t>
      </w:r>
      <w:r>
        <w:rPr>
          <w:color w:val="231F20"/>
        </w:rPr>
        <w:t>по</w:t>
      </w:r>
      <w:r>
        <w:rPr>
          <w:color w:val="231F20"/>
          <w:spacing w:val="-8"/>
        </w:rPr>
        <w:t> </w:t>
      </w:r>
      <w:r>
        <w:rPr>
          <w:color w:val="231F20"/>
        </w:rPr>
        <w:t>школе,</w:t>
      </w:r>
      <w:r>
        <w:rPr>
          <w:color w:val="231F20"/>
          <w:spacing w:val="-8"/>
        </w:rPr>
        <w:t> </w:t>
      </w:r>
      <w:r>
        <w:rPr>
          <w:color w:val="231F20"/>
        </w:rPr>
        <w:t>где</w:t>
      </w:r>
      <w:r>
        <w:rPr>
          <w:color w:val="231F20"/>
          <w:spacing w:val="-8"/>
        </w:rPr>
        <w:t> </w:t>
      </w:r>
      <w:r>
        <w:rPr>
          <w:color w:val="231F20"/>
        </w:rPr>
        <w:t>посещают</w:t>
      </w:r>
      <w:r>
        <w:rPr>
          <w:color w:val="231F20"/>
          <w:spacing w:val="-8"/>
        </w:rPr>
        <w:t> </w:t>
      </w:r>
      <w:r>
        <w:rPr>
          <w:color w:val="231F20"/>
        </w:rPr>
        <w:t>столовую,</w:t>
      </w:r>
      <w:r>
        <w:rPr>
          <w:color w:val="231F20"/>
          <w:spacing w:val="-8"/>
        </w:rPr>
        <w:t> </w:t>
      </w:r>
      <w:r>
        <w:rPr>
          <w:color w:val="231F20"/>
        </w:rPr>
        <w:t>библиотеку,</w:t>
      </w:r>
      <w:r>
        <w:rPr>
          <w:color w:val="231F20"/>
          <w:spacing w:val="-8"/>
        </w:rPr>
        <w:t> </w:t>
      </w:r>
      <w:r>
        <w:rPr>
          <w:color w:val="231F20"/>
        </w:rPr>
        <w:t>спортивный</w:t>
      </w:r>
      <w:r>
        <w:rPr>
          <w:color w:val="231F20"/>
          <w:spacing w:val="-8"/>
        </w:rPr>
        <w:t> </w:t>
      </w:r>
      <w:r>
        <w:rPr>
          <w:color w:val="231F20"/>
        </w:rPr>
        <w:t>зал</w:t>
      </w:r>
      <w:r>
        <w:rPr>
          <w:color w:val="231F20"/>
          <w:spacing w:val="-8"/>
        </w:rPr>
        <w:t> </w:t>
      </w:r>
      <w:r>
        <w:rPr>
          <w:color w:val="231F20"/>
        </w:rPr>
        <w:t>и др. Если нет возможности провести экскурсию, нужно подготовить видео.</w:t>
      </w:r>
    </w:p>
    <w:p>
      <w:pPr>
        <w:pStyle w:val="BodyText"/>
        <w:spacing w:line="235" w:lineRule="auto" w:before="2"/>
      </w:pPr>
      <w:r>
        <w:rPr>
          <w:color w:val="231F20"/>
        </w:rPr>
        <w:t>По</w:t>
      </w:r>
      <w:r>
        <w:rPr>
          <w:color w:val="231F20"/>
          <w:spacing w:val="-1"/>
        </w:rPr>
        <w:t> </w:t>
      </w:r>
      <w:r>
        <w:rPr>
          <w:color w:val="231F20"/>
        </w:rPr>
        <w:t>завершении</w:t>
      </w:r>
      <w:r>
        <w:rPr>
          <w:color w:val="231F20"/>
          <w:spacing w:val="-1"/>
        </w:rPr>
        <w:t> </w:t>
      </w:r>
      <w:r>
        <w:rPr>
          <w:color w:val="231F20"/>
        </w:rPr>
        <w:t>экскурсии</w:t>
      </w:r>
      <w:r>
        <w:rPr>
          <w:color w:val="231F20"/>
          <w:spacing w:val="-1"/>
        </w:rPr>
        <w:t> </w:t>
      </w:r>
      <w:r>
        <w:rPr>
          <w:color w:val="231F20"/>
        </w:rPr>
        <w:t>родители</w:t>
      </w:r>
      <w:r>
        <w:rPr>
          <w:color w:val="231F20"/>
          <w:spacing w:val="-1"/>
        </w:rPr>
        <w:t> </w:t>
      </w:r>
      <w:r>
        <w:rPr>
          <w:color w:val="231F20"/>
        </w:rPr>
        <w:t>снова</w:t>
      </w:r>
      <w:r>
        <w:rPr>
          <w:color w:val="231F20"/>
          <w:spacing w:val="-1"/>
        </w:rPr>
        <w:t> </w:t>
      </w:r>
      <w:r>
        <w:rPr>
          <w:color w:val="231F20"/>
        </w:rPr>
        <w:t>собираются</w:t>
      </w:r>
      <w:r>
        <w:rPr>
          <w:color w:val="231F20"/>
          <w:spacing w:val="-1"/>
        </w:rPr>
        <w:t> </w:t>
      </w:r>
      <w:r>
        <w:rPr>
          <w:color w:val="231F20"/>
        </w:rPr>
        <w:t>вместе.</w:t>
      </w:r>
      <w:r>
        <w:rPr>
          <w:color w:val="231F20"/>
          <w:spacing w:val="-1"/>
        </w:rPr>
        <w:t> </w:t>
      </w:r>
      <w:r>
        <w:rPr>
          <w:color w:val="231F20"/>
        </w:rPr>
        <w:t>Если</w:t>
      </w:r>
      <w:r>
        <w:rPr>
          <w:color w:val="231F20"/>
          <w:spacing w:val="-1"/>
        </w:rPr>
        <w:t> </w:t>
      </w:r>
      <w:r>
        <w:rPr>
          <w:color w:val="231F20"/>
        </w:rPr>
        <w:t>время</w:t>
      </w:r>
      <w:r>
        <w:rPr>
          <w:color w:val="231F20"/>
          <w:spacing w:val="-1"/>
        </w:rPr>
        <w:t> </w:t>
      </w:r>
      <w:r>
        <w:rPr>
          <w:color w:val="231F20"/>
        </w:rPr>
        <w:t>позво- ляет, администрация, педагоги и представители родительского комитета могут про- вести индивидуальные беседы. В этом случае ведущий объявляет и показывает на слайде, в каких кабинетах сейчас будут находиться специалисты.</w:t>
      </w:r>
    </w:p>
    <w:p>
      <w:pPr>
        <w:pStyle w:val="BodyText"/>
        <w:spacing w:line="235" w:lineRule="auto" w:before="2"/>
      </w:pPr>
      <w:r>
        <w:rPr>
          <w:color w:val="231F20"/>
        </w:rPr>
        <w:t>Если такой вариант представляется нецелесообразным, родителей еще раз бла- годарят за участие, раздают стикеры и просят написать короткие пожелания для де- тей.</w:t>
      </w:r>
      <w:r>
        <w:rPr>
          <w:color w:val="231F20"/>
          <w:spacing w:val="-13"/>
        </w:rPr>
        <w:t> </w:t>
      </w:r>
      <w:r>
        <w:rPr>
          <w:color w:val="231F20"/>
        </w:rPr>
        <w:t>Затем</w:t>
      </w:r>
      <w:r>
        <w:rPr>
          <w:color w:val="231F20"/>
          <w:spacing w:val="-12"/>
        </w:rPr>
        <w:t> </w:t>
      </w:r>
      <w:r>
        <w:rPr>
          <w:color w:val="231F20"/>
        </w:rPr>
        <w:t>из</w:t>
      </w:r>
      <w:r>
        <w:rPr>
          <w:color w:val="231F20"/>
          <w:spacing w:val="-13"/>
        </w:rPr>
        <w:t> </w:t>
      </w:r>
      <w:r>
        <w:rPr>
          <w:color w:val="231F20"/>
        </w:rPr>
        <w:t>этих</w:t>
      </w:r>
      <w:r>
        <w:rPr>
          <w:color w:val="231F20"/>
          <w:spacing w:val="-12"/>
        </w:rPr>
        <w:t> </w:t>
      </w:r>
      <w:r>
        <w:rPr>
          <w:color w:val="231F20"/>
        </w:rPr>
        <w:t>пожеланий</w:t>
      </w:r>
      <w:r>
        <w:rPr>
          <w:color w:val="231F20"/>
          <w:spacing w:val="-13"/>
        </w:rPr>
        <w:t> </w:t>
      </w:r>
      <w:r>
        <w:rPr>
          <w:color w:val="231F20"/>
        </w:rPr>
        <w:t>оформляется</w:t>
      </w:r>
      <w:r>
        <w:rPr>
          <w:color w:val="231F20"/>
          <w:spacing w:val="-12"/>
        </w:rPr>
        <w:t> </w:t>
      </w:r>
      <w:r>
        <w:rPr>
          <w:color w:val="231F20"/>
        </w:rPr>
        <w:t>плакат,</w:t>
      </w:r>
      <w:r>
        <w:rPr>
          <w:color w:val="231F20"/>
          <w:spacing w:val="-13"/>
        </w:rPr>
        <w:t> </w:t>
      </w:r>
      <w:r>
        <w:rPr>
          <w:color w:val="231F20"/>
        </w:rPr>
        <w:t>который</w:t>
      </w:r>
      <w:r>
        <w:rPr>
          <w:color w:val="231F20"/>
          <w:spacing w:val="-12"/>
        </w:rPr>
        <w:t> </w:t>
      </w:r>
      <w:r>
        <w:rPr>
          <w:color w:val="231F20"/>
        </w:rPr>
        <w:t>вывешивают</w:t>
      </w:r>
      <w:r>
        <w:rPr>
          <w:color w:val="231F20"/>
          <w:spacing w:val="-13"/>
        </w:rPr>
        <w:t> </w:t>
      </w:r>
      <w:r>
        <w:rPr>
          <w:color w:val="231F20"/>
        </w:rPr>
        <w:t>на</w:t>
      </w:r>
      <w:r>
        <w:rPr>
          <w:color w:val="231F20"/>
          <w:spacing w:val="-12"/>
        </w:rPr>
        <w:t> </w:t>
      </w:r>
      <w:r>
        <w:rPr>
          <w:color w:val="231F20"/>
        </w:rPr>
        <w:t>всеобщее </w:t>
      </w:r>
      <w:r>
        <w:rPr>
          <w:color w:val="231F20"/>
          <w:spacing w:val="-2"/>
        </w:rPr>
        <w:t>обозрение.</w:t>
      </w:r>
    </w:p>
    <w:p>
      <w:pPr>
        <w:pStyle w:val="BodyText"/>
        <w:spacing w:after="0" w:line="235" w:lineRule="auto"/>
        <w:sectPr>
          <w:pgSz w:w="8400" w:h="11910"/>
          <w:pgMar w:header="0" w:footer="553" w:top="280" w:bottom="860" w:left="425" w:right="425"/>
        </w:sectPr>
      </w:pPr>
    </w:p>
    <w:p>
      <w:pPr>
        <w:pStyle w:val="ListParagraph"/>
        <w:numPr>
          <w:ilvl w:val="1"/>
          <w:numId w:val="260"/>
        </w:numPr>
        <w:tabs>
          <w:tab w:pos="455" w:val="left" w:leader="none"/>
        </w:tabs>
        <w:spacing w:line="240" w:lineRule="auto" w:before="75" w:after="0"/>
        <w:ind w:left="455" w:right="0" w:hanging="314"/>
        <w:jc w:val="left"/>
        <w:rPr>
          <w:rFonts w:ascii="Georgia" w:hAnsi="Georgia"/>
          <w:sz w:val="18"/>
        </w:rPr>
      </w:pPr>
      <w:bookmarkStart w:name="_bookmark86" w:id="88"/>
      <w:bookmarkEnd w:id="88"/>
      <w:r>
        <w:rPr/>
      </w:r>
      <w:r>
        <w:rPr>
          <w:rFonts w:ascii="Georgia" w:hAnsi="Georgia"/>
          <w:color w:val="231F20"/>
          <w:sz w:val="18"/>
        </w:rPr>
        <w:t>Неформальные</w:t>
      </w:r>
      <w:r>
        <w:rPr>
          <w:rFonts w:ascii="Georgia" w:hAnsi="Georgia"/>
          <w:color w:val="231F20"/>
          <w:spacing w:val="7"/>
          <w:sz w:val="18"/>
        </w:rPr>
        <w:t> </w:t>
      </w:r>
      <w:r>
        <w:rPr>
          <w:rFonts w:ascii="Georgia" w:hAnsi="Georgia"/>
          <w:color w:val="231F20"/>
          <w:sz w:val="18"/>
        </w:rPr>
        <w:t>родительские</w:t>
      </w:r>
      <w:r>
        <w:rPr>
          <w:rFonts w:ascii="Georgia" w:hAnsi="Georgia"/>
          <w:color w:val="231F20"/>
          <w:spacing w:val="8"/>
          <w:sz w:val="18"/>
        </w:rPr>
        <w:t> </w:t>
      </w:r>
      <w:r>
        <w:rPr>
          <w:rFonts w:ascii="Georgia" w:hAnsi="Georgia"/>
          <w:color w:val="231F20"/>
          <w:spacing w:val="-2"/>
          <w:sz w:val="18"/>
        </w:rPr>
        <w:t>собрания</w:t>
      </w:r>
    </w:p>
    <w:p>
      <w:pPr>
        <w:pStyle w:val="BodyText"/>
        <w:spacing w:before="6"/>
        <w:ind w:left="0" w:right="0" w:firstLine="0"/>
        <w:jc w:val="left"/>
        <w:rPr>
          <w:rFonts w:ascii="Georgia"/>
        </w:rPr>
      </w:pPr>
    </w:p>
    <w:p>
      <w:pPr>
        <w:numPr>
          <w:ilvl w:val="1"/>
          <w:numId w:val="251"/>
        </w:numPr>
        <w:tabs>
          <w:tab w:pos="2154" w:val="left" w:leader="none"/>
        </w:tabs>
        <w:spacing w:before="1"/>
        <w:ind w:left="2154" w:right="0" w:hanging="350"/>
        <w:jc w:val="left"/>
        <w:rPr>
          <w:b/>
          <w:sz w:val="20"/>
        </w:rPr>
      </w:pPr>
      <w:r>
        <w:rPr>
          <w:b/>
          <w:color w:val="231F20"/>
          <w:sz w:val="20"/>
        </w:rPr>
        <w:t>Неформальные</w:t>
      </w:r>
      <w:r>
        <w:rPr>
          <w:b/>
          <w:color w:val="231F20"/>
          <w:spacing w:val="-6"/>
          <w:sz w:val="20"/>
        </w:rPr>
        <w:t> </w:t>
      </w:r>
      <w:r>
        <w:rPr>
          <w:b/>
          <w:color w:val="231F20"/>
          <w:sz w:val="20"/>
        </w:rPr>
        <w:t>родительские</w:t>
      </w:r>
      <w:r>
        <w:rPr>
          <w:b/>
          <w:color w:val="231F20"/>
          <w:spacing w:val="-5"/>
          <w:sz w:val="20"/>
        </w:rPr>
        <w:t> </w:t>
      </w:r>
      <w:r>
        <w:rPr>
          <w:b/>
          <w:color w:val="231F20"/>
          <w:spacing w:val="-2"/>
          <w:sz w:val="20"/>
        </w:rPr>
        <w:t>собрания</w:t>
      </w:r>
    </w:p>
    <w:p>
      <w:pPr>
        <w:spacing w:before="166"/>
        <w:ind w:left="6067" w:right="0" w:firstLine="0"/>
        <w:jc w:val="left"/>
        <w:rPr>
          <w:i/>
          <w:sz w:val="20"/>
        </w:rPr>
      </w:pPr>
      <w:r>
        <w:rPr>
          <w:i/>
          <w:color w:val="231F20"/>
          <w:sz w:val="20"/>
        </w:rPr>
        <w:t>М.Ю. </w:t>
      </w:r>
      <w:r>
        <w:rPr>
          <w:i/>
          <w:color w:val="231F20"/>
          <w:spacing w:val="-2"/>
          <w:sz w:val="20"/>
        </w:rPr>
        <w:t>Чибисова</w:t>
      </w:r>
    </w:p>
    <w:p>
      <w:pPr>
        <w:spacing w:before="109"/>
        <w:ind w:left="425" w:right="0" w:firstLine="0"/>
        <w:jc w:val="left"/>
        <w:rPr>
          <w:b/>
          <w:sz w:val="20"/>
        </w:rPr>
      </w:pPr>
      <w:r>
        <w:rPr>
          <w:b/>
          <w:sz w:val="20"/>
        </w:rPr>
        <w:t>Общее </w:t>
      </w:r>
      <w:r>
        <w:rPr>
          <w:b/>
          <w:spacing w:val="-2"/>
          <w:sz w:val="20"/>
        </w:rPr>
        <w:t>описание</w:t>
      </w:r>
    </w:p>
    <w:p>
      <w:pPr>
        <w:pStyle w:val="BodyText"/>
        <w:spacing w:line="235" w:lineRule="auto"/>
      </w:pPr>
      <w:r>
        <w:rPr>
          <w:color w:val="231F20"/>
        </w:rPr>
        <w:t>Неформальное родительское собрание («родительское кафе») предполагает воз- можность</w:t>
      </w:r>
      <w:r>
        <w:rPr>
          <w:color w:val="231F20"/>
          <w:spacing w:val="-10"/>
        </w:rPr>
        <w:t> </w:t>
      </w:r>
      <w:r>
        <w:rPr>
          <w:color w:val="231F20"/>
        </w:rPr>
        <w:t>спонтанного</w:t>
      </w:r>
      <w:r>
        <w:rPr>
          <w:color w:val="231F20"/>
          <w:spacing w:val="-10"/>
        </w:rPr>
        <w:t> </w:t>
      </w:r>
      <w:r>
        <w:rPr>
          <w:color w:val="231F20"/>
        </w:rPr>
        <w:t>общения</w:t>
      </w:r>
      <w:r>
        <w:rPr>
          <w:color w:val="231F20"/>
          <w:spacing w:val="-10"/>
        </w:rPr>
        <w:t> </w:t>
      </w:r>
      <w:r>
        <w:rPr>
          <w:color w:val="231F20"/>
        </w:rPr>
        <w:t>между</w:t>
      </w:r>
      <w:r>
        <w:rPr>
          <w:color w:val="231F20"/>
          <w:spacing w:val="-10"/>
        </w:rPr>
        <w:t> </w:t>
      </w:r>
      <w:r>
        <w:rPr>
          <w:color w:val="231F20"/>
        </w:rPr>
        <w:t>родителями,</w:t>
      </w:r>
      <w:r>
        <w:rPr>
          <w:color w:val="231F20"/>
          <w:spacing w:val="-10"/>
        </w:rPr>
        <w:t> </w:t>
      </w:r>
      <w:r>
        <w:rPr>
          <w:color w:val="231F20"/>
        </w:rPr>
        <w:t>а</w:t>
      </w:r>
      <w:r>
        <w:rPr>
          <w:color w:val="231F20"/>
          <w:spacing w:val="-10"/>
        </w:rPr>
        <w:t> </w:t>
      </w:r>
      <w:r>
        <w:rPr>
          <w:color w:val="231F20"/>
        </w:rPr>
        <w:t>также</w:t>
      </w:r>
      <w:r>
        <w:rPr>
          <w:color w:val="231F20"/>
          <w:spacing w:val="-10"/>
        </w:rPr>
        <w:t> </w:t>
      </w:r>
      <w:r>
        <w:rPr>
          <w:color w:val="231F20"/>
        </w:rPr>
        <w:t>родителей</w:t>
      </w:r>
      <w:r>
        <w:rPr>
          <w:color w:val="231F20"/>
          <w:spacing w:val="-10"/>
        </w:rPr>
        <w:t> </w:t>
      </w:r>
      <w:r>
        <w:rPr>
          <w:color w:val="231F20"/>
        </w:rPr>
        <w:t>с</w:t>
      </w:r>
      <w:r>
        <w:rPr>
          <w:color w:val="231F20"/>
          <w:spacing w:val="-10"/>
        </w:rPr>
        <w:t> </w:t>
      </w:r>
      <w:r>
        <w:rPr>
          <w:color w:val="231F20"/>
        </w:rPr>
        <w:t>педагогами. Такое собрание предусматривает два этапа. Первый этап – формализованная часть: выступление педагогов или представителей администрации, второй этап предпола- гает свободное общение родителей во время чаепития или фуршета. Задача педаго- гов – способствовать общению родителей во время неформальной части собрания. Такой формат дает возможность установить контакты и задать вопросы педагогу в эмоционально безопасной обстановке.</w:t>
      </w:r>
    </w:p>
    <w:p>
      <w:pPr>
        <w:spacing w:line="218" w:lineRule="exact" w:before="0"/>
        <w:ind w:left="425" w:right="0" w:firstLine="0"/>
        <w:jc w:val="both"/>
        <w:rPr>
          <w:i/>
          <w:sz w:val="20"/>
        </w:rPr>
      </w:pPr>
      <w:r>
        <w:rPr>
          <w:i/>
          <w:color w:val="231F20"/>
          <w:sz w:val="20"/>
        </w:rPr>
        <w:t>Цели</w:t>
      </w:r>
      <w:r>
        <w:rPr>
          <w:i/>
          <w:color w:val="231F20"/>
          <w:spacing w:val="-5"/>
          <w:sz w:val="20"/>
        </w:rPr>
        <w:t> </w:t>
      </w:r>
      <w:r>
        <w:rPr>
          <w:i/>
          <w:color w:val="231F20"/>
          <w:spacing w:val="-2"/>
          <w:sz w:val="20"/>
        </w:rPr>
        <w:t>собрания:</w:t>
      </w:r>
    </w:p>
    <w:p>
      <w:pPr>
        <w:pStyle w:val="ListParagraph"/>
        <w:numPr>
          <w:ilvl w:val="0"/>
          <w:numId w:val="262"/>
        </w:numPr>
        <w:tabs>
          <w:tab w:pos="425" w:val="left" w:leader="none"/>
        </w:tabs>
        <w:spacing w:line="232" w:lineRule="auto" w:before="2" w:after="0"/>
        <w:ind w:left="425" w:right="139" w:hanging="284"/>
        <w:jc w:val="both"/>
        <w:rPr>
          <w:sz w:val="20"/>
        </w:rPr>
      </w:pPr>
      <w:r>
        <w:rPr>
          <w:color w:val="231F20"/>
          <w:sz w:val="20"/>
        </w:rPr>
        <w:t>содействовать</w:t>
      </w:r>
      <w:r>
        <w:rPr>
          <w:color w:val="231F20"/>
          <w:spacing w:val="-5"/>
          <w:sz w:val="20"/>
        </w:rPr>
        <w:t> </w:t>
      </w:r>
      <w:r>
        <w:rPr>
          <w:color w:val="231F20"/>
          <w:sz w:val="20"/>
        </w:rPr>
        <w:t>формированию</w:t>
      </w:r>
      <w:r>
        <w:rPr>
          <w:color w:val="231F20"/>
          <w:spacing w:val="-5"/>
          <w:sz w:val="20"/>
        </w:rPr>
        <w:t> </w:t>
      </w:r>
      <w:r>
        <w:rPr>
          <w:color w:val="231F20"/>
          <w:sz w:val="20"/>
        </w:rPr>
        <w:t>контакта</w:t>
      </w:r>
      <w:r>
        <w:rPr>
          <w:color w:val="231F20"/>
          <w:spacing w:val="-5"/>
          <w:sz w:val="20"/>
        </w:rPr>
        <w:t> </w:t>
      </w:r>
      <w:r>
        <w:rPr>
          <w:color w:val="231F20"/>
          <w:sz w:val="20"/>
        </w:rPr>
        <w:t>и</w:t>
      </w:r>
      <w:r>
        <w:rPr>
          <w:color w:val="231F20"/>
          <w:spacing w:val="-5"/>
          <w:sz w:val="20"/>
        </w:rPr>
        <w:t> </w:t>
      </w:r>
      <w:r>
        <w:rPr>
          <w:color w:val="231F20"/>
          <w:sz w:val="20"/>
        </w:rPr>
        <w:t>доверия</w:t>
      </w:r>
      <w:r>
        <w:rPr>
          <w:color w:val="231F20"/>
          <w:spacing w:val="-5"/>
          <w:sz w:val="20"/>
        </w:rPr>
        <w:t> </w:t>
      </w:r>
      <w:r>
        <w:rPr>
          <w:color w:val="231F20"/>
          <w:sz w:val="20"/>
        </w:rPr>
        <w:t>во</w:t>
      </w:r>
      <w:r>
        <w:rPr>
          <w:color w:val="231F20"/>
          <w:spacing w:val="-5"/>
          <w:sz w:val="20"/>
        </w:rPr>
        <w:t> </w:t>
      </w:r>
      <w:r>
        <w:rPr>
          <w:color w:val="231F20"/>
          <w:sz w:val="20"/>
        </w:rPr>
        <w:t>взаимодействии</w:t>
      </w:r>
      <w:r>
        <w:rPr>
          <w:color w:val="231F20"/>
          <w:spacing w:val="-5"/>
          <w:sz w:val="20"/>
        </w:rPr>
        <w:t> </w:t>
      </w:r>
      <w:r>
        <w:rPr>
          <w:color w:val="231F20"/>
          <w:sz w:val="20"/>
        </w:rPr>
        <w:t>с</w:t>
      </w:r>
      <w:r>
        <w:rPr>
          <w:color w:val="231F20"/>
          <w:spacing w:val="-5"/>
          <w:sz w:val="20"/>
        </w:rPr>
        <w:t> </w:t>
      </w:r>
      <w:r>
        <w:rPr>
          <w:color w:val="231F20"/>
          <w:sz w:val="20"/>
        </w:rPr>
        <w:t>родителя- ми – иностранными гражданами;</w:t>
      </w:r>
    </w:p>
    <w:p>
      <w:pPr>
        <w:pStyle w:val="ListParagraph"/>
        <w:numPr>
          <w:ilvl w:val="0"/>
          <w:numId w:val="262"/>
        </w:numPr>
        <w:tabs>
          <w:tab w:pos="425" w:val="left" w:leader="none"/>
        </w:tabs>
        <w:spacing w:line="232" w:lineRule="auto" w:before="2" w:after="0"/>
        <w:ind w:left="425" w:right="140" w:hanging="284"/>
        <w:jc w:val="both"/>
        <w:rPr>
          <w:sz w:val="20"/>
        </w:rPr>
      </w:pPr>
      <w:r>
        <w:rPr>
          <w:color w:val="231F20"/>
          <w:sz w:val="20"/>
        </w:rPr>
        <w:t>повышать осведомленность родителей – иностранных граждан в области норм и требований образовательной организации.</w:t>
      </w:r>
    </w:p>
    <w:p>
      <w:pPr>
        <w:spacing w:line="227" w:lineRule="exact" w:before="110"/>
        <w:ind w:left="425" w:right="0" w:firstLine="0"/>
        <w:jc w:val="both"/>
        <w:rPr>
          <w:b/>
          <w:sz w:val="20"/>
        </w:rPr>
      </w:pPr>
      <w:r>
        <w:rPr>
          <w:b/>
          <w:sz w:val="20"/>
        </w:rPr>
        <w:t>Сильные</w:t>
      </w:r>
      <w:r>
        <w:rPr>
          <w:b/>
          <w:spacing w:val="-2"/>
          <w:sz w:val="20"/>
        </w:rPr>
        <w:t> </w:t>
      </w:r>
      <w:r>
        <w:rPr>
          <w:b/>
          <w:sz w:val="20"/>
        </w:rPr>
        <w:t>стороны</w:t>
      </w:r>
      <w:r>
        <w:rPr>
          <w:b/>
          <w:spacing w:val="-2"/>
          <w:sz w:val="20"/>
        </w:rPr>
        <w:t> практики</w:t>
      </w:r>
    </w:p>
    <w:p>
      <w:pPr>
        <w:pStyle w:val="BodyText"/>
        <w:spacing w:line="232" w:lineRule="auto" w:before="2"/>
      </w:pPr>
      <w:r>
        <w:rPr/>
        <w:t>Для родителей – иностранных граждан большое значение имеет личный контакт с педагогами. Однако в силу загруженности как педагогов, так и родителей, а также под</w:t>
      </w:r>
      <w:r>
        <w:rPr>
          <w:spacing w:val="-10"/>
        </w:rPr>
        <w:t> </w:t>
      </w:r>
      <w:r>
        <w:rPr/>
        <w:t>влиянием</w:t>
      </w:r>
      <w:r>
        <w:rPr>
          <w:spacing w:val="-10"/>
        </w:rPr>
        <w:t> </w:t>
      </w:r>
      <w:r>
        <w:rPr/>
        <w:t>опасений</w:t>
      </w:r>
      <w:r>
        <w:rPr>
          <w:spacing w:val="-10"/>
        </w:rPr>
        <w:t> </w:t>
      </w:r>
      <w:r>
        <w:rPr/>
        <w:t>или</w:t>
      </w:r>
      <w:r>
        <w:rPr>
          <w:spacing w:val="-10"/>
        </w:rPr>
        <w:t> </w:t>
      </w:r>
      <w:r>
        <w:rPr/>
        <w:t>тревоги</w:t>
      </w:r>
      <w:r>
        <w:rPr>
          <w:spacing w:val="-10"/>
        </w:rPr>
        <w:t> </w:t>
      </w:r>
      <w:r>
        <w:rPr/>
        <w:t>родителей</w:t>
      </w:r>
      <w:r>
        <w:rPr>
          <w:spacing w:val="-10"/>
        </w:rPr>
        <w:t> </w:t>
      </w:r>
      <w:r>
        <w:rPr/>
        <w:t>организовать</w:t>
      </w:r>
      <w:r>
        <w:rPr>
          <w:spacing w:val="-10"/>
        </w:rPr>
        <w:t> </w:t>
      </w:r>
      <w:r>
        <w:rPr/>
        <w:t>подобное</w:t>
      </w:r>
      <w:r>
        <w:rPr>
          <w:spacing w:val="-10"/>
        </w:rPr>
        <w:t> </w:t>
      </w:r>
      <w:r>
        <w:rPr/>
        <w:t>общение</w:t>
      </w:r>
      <w:r>
        <w:rPr>
          <w:spacing w:val="-10"/>
        </w:rPr>
        <w:t> </w:t>
      </w:r>
      <w:r>
        <w:rPr/>
        <w:t>в</w:t>
      </w:r>
      <w:r>
        <w:rPr>
          <w:spacing w:val="-10"/>
        </w:rPr>
        <w:t> </w:t>
      </w:r>
      <w:r>
        <w:rPr/>
        <w:t>по- вседневной жизни может быть затруднительно. «Родительское кафе» обеспечивает подобное общения, предоставляя возможность установления и укрепления личных </w:t>
      </w:r>
      <w:r>
        <w:rPr>
          <w:spacing w:val="-2"/>
        </w:rPr>
        <w:t>контактов.</w:t>
      </w:r>
    </w:p>
    <w:p>
      <w:pPr>
        <w:pStyle w:val="BodyText"/>
        <w:spacing w:line="232" w:lineRule="auto" w:before="6"/>
      </w:pPr>
      <w:r>
        <w:rPr/>
        <w:t>«Родительское</w:t>
      </w:r>
      <w:r>
        <w:rPr>
          <w:spacing w:val="-1"/>
        </w:rPr>
        <w:t> </w:t>
      </w:r>
      <w:r>
        <w:rPr/>
        <w:t>кафе»</w:t>
      </w:r>
      <w:r>
        <w:rPr>
          <w:spacing w:val="-1"/>
        </w:rPr>
        <w:t> </w:t>
      </w:r>
      <w:r>
        <w:rPr/>
        <w:t>также</w:t>
      </w:r>
      <w:r>
        <w:rPr>
          <w:spacing w:val="-1"/>
        </w:rPr>
        <w:t> </w:t>
      </w:r>
      <w:r>
        <w:rPr/>
        <w:t>способствует</w:t>
      </w:r>
      <w:r>
        <w:rPr>
          <w:spacing w:val="-1"/>
        </w:rPr>
        <w:t> </w:t>
      </w:r>
      <w:r>
        <w:rPr/>
        <w:t>общению</w:t>
      </w:r>
      <w:r>
        <w:rPr>
          <w:spacing w:val="-1"/>
        </w:rPr>
        <w:t> </w:t>
      </w:r>
      <w:r>
        <w:rPr/>
        <w:t>между</w:t>
      </w:r>
      <w:r>
        <w:rPr>
          <w:spacing w:val="-1"/>
        </w:rPr>
        <w:t> </w:t>
      </w:r>
      <w:r>
        <w:rPr/>
        <w:t>родителями</w:t>
      </w:r>
      <w:r>
        <w:rPr>
          <w:spacing w:val="-1"/>
        </w:rPr>
        <w:t> </w:t>
      </w:r>
      <w:r>
        <w:rPr/>
        <w:t>–</w:t>
      </w:r>
      <w:r>
        <w:rPr>
          <w:spacing w:val="-1"/>
        </w:rPr>
        <w:t> </w:t>
      </w:r>
      <w:r>
        <w:rPr/>
        <w:t>мигран- тами и родителями, представляющими принимающую культуру.</w:t>
      </w:r>
    </w:p>
    <w:p>
      <w:pPr>
        <w:spacing w:line="227" w:lineRule="exact" w:before="110"/>
        <w:ind w:left="425" w:right="0" w:firstLine="0"/>
        <w:jc w:val="both"/>
        <w:rPr>
          <w:b/>
          <w:sz w:val="20"/>
        </w:rPr>
      </w:pPr>
      <w:r>
        <w:rPr>
          <w:b/>
          <w:sz w:val="20"/>
        </w:rPr>
        <w:t>Требования</w:t>
      </w:r>
      <w:r>
        <w:rPr>
          <w:b/>
          <w:spacing w:val="-9"/>
          <w:sz w:val="20"/>
        </w:rPr>
        <w:t> </w:t>
      </w:r>
      <w:r>
        <w:rPr>
          <w:b/>
          <w:sz w:val="20"/>
        </w:rPr>
        <w:t>к</w:t>
      </w:r>
      <w:r>
        <w:rPr>
          <w:b/>
          <w:spacing w:val="-8"/>
          <w:sz w:val="20"/>
        </w:rPr>
        <w:t> </w:t>
      </w:r>
      <w:r>
        <w:rPr>
          <w:b/>
          <w:spacing w:val="-2"/>
          <w:sz w:val="20"/>
        </w:rPr>
        <w:t>проведению</w:t>
      </w:r>
    </w:p>
    <w:p>
      <w:pPr>
        <w:pStyle w:val="BodyText"/>
        <w:spacing w:line="232" w:lineRule="auto" w:before="2"/>
      </w:pPr>
      <w:r>
        <w:rPr/>
        <w:t>Необходимо</w:t>
      </w:r>
      <w:r>
        <w:rPr>
          <w:spacing w:val="-11"/>
        </w:rPr>
        <w:t> </w:t>
      </w:r>
      <w:r>
        <w:rPr/>
        <w:t>организовать</w:t>
      </w:r>
      <w:r>
        <w:rPr>
          <w:spacing w:val="-11"/>
        </w:rPr>
        <w:t> </w:t>
      </w:r>
      <w:r>
        <w:rPr/>
        <w:t>пространство</w:t>
      </w:r>
      <w:r>
        <w:rPr>
          <w:spacing w:val="-11"/>
        </w:rPr>
        <w:t> </w:t>
      </w:r>
      <w:r>
        <w:rPr/>
        <w:t>для</w:t>
      </w:r>
      <w:r>
        <w:rPr>
          <w:spacing w:val="-11"/>
        </w:rPr>
        <w:t> </w:t>
      </w:r>
      <w:r>
        <w:rPr/>
        <w:t>неформального</w:t>
      </w:r>
      <w:r>
        <w:rPr>
          <w:spacing w:val="-11"/>
        </w:rPr>
        <w:t> </w:t>
      </w:r>
      <w:r>
        <w:rPr/>
        <w:t>общения,</w:t>
      </w:r>
      <w:r>
        <w:rPr>
          <w:spacing w:val="-11"/>
        </w:rPr>
        <w:t> </w:t>
      </w:r>
      <w:r>
        <w:rPr/>
        <w:t>по</w:t>
      </w:r>
      <w:r>
        <w:rPr>
          <w:spacing w:val="-11"/>
        </w:rPr>
        <w:t> </w:t>
      </w:r>
      <w:r>
        <w:rPr/>
        <w:t>возмож- ности с чаем и небольшим угощением.</w:t>
      </w:r>
    </w:p>
    <w:p>
      <w:pPr>
        <w:pStyle w:val="BodyText"/>
        <w:spacing w:line="232" w:lineRule="auto" w:before="2"/>
      </w:pPr>
      <w:r>
        <w:rPr/>
        <w:t>Оптимальный вариант размещения в пространстве – фуршет, причем важно рас- ставить</w:t>
      </w:r>
      <w:r>
        <w:rPr>
          <w:spacing w:val="-11"/>
        </w:rPr>
        <w:t> </w:t>
      </w:r>
      <w:r>
        <w:rPr/>
        <w:t>столики</w:t>
      </w:r>
      <w:r>
        <w:rPr>
          <w:spacing w:val="-11"/>
        </w:rPr>
        <w:t> </w:t>
      </w:r>
      <w:r>
        <w:rPr/>
        <w:t>с</w:t>
      </w:r>
      <w:r>
        <w:rPr>
          <w:spacing w:val="-11"/>
        </w:rPr>
        <w:t> </w:t>
      </w:r>
      <w:r>
        <w:rPr/>
        <w:t>чашками</w:t>
      </w:r>
      <w:r>
        <w:rPr>
          <w:spacing w:val="-12"/>
        </w:rPr>
        <w:t> </w:t>
      </w:r>
      <w:r>
        <w:rPr/>
        <w:t>и</w:t>
      </w:r>
      <w:r>
        <w:rPr>
          <w:spacing w:val="-11"/>
        </w:rPr>
        <w:t> </w:t>
      </w:r>
      <w:r>
        <w:rPr/>
        <w:t>угощением</w:t>
      </w:r>
      <w:r>
        <w:rPr>
          <w:spacing w:val="-11"/>
        </w:rPr>
        <w:t> </w:t>
      </w:r>
      <w:r>
        <w:rPr/>
        <w:t>в</w:t>
      </w:r>
      <w:r>
        <w:rPr>
          <w:spacing w:val="-11"/>
        </w:rPr>
        <w:t> </w:t>
      </w:r>
      <w:r>
        <w:rPr/>
        <w:t>разных</w:t>
      </w:r>
      <w:r>
        <w:rPr>
          <w:spacing w:val="-11"/>
        </w:rPr>
        <w:t> </w:t>
      </w:r>
      <w:r>
        <w:rPr/>
        <w:t>местах,</w:t>
      </w:r>
      <w:r>
        <w:rPr>
          <w:spacing w:val="-11"/>
        </w:rPr>
        <w:t> </w:t>
      </w:r>
      <w:r>
        <w:rPr/>
        <w:t>чтобы</w:t>
      </w:r>
      <w:r>
        <w:rPr>
          <w:spacing w:val="-11"/>
        </w:rPr>
        <w:t> </w:t>
      </w:r>
      <w:r>
        <w:rPr/>
        <w:t>педагоги</w:t>
      </w:r>
      <w:r>
        <w:rPr>
          <w:spacing w:val="-11"/>
        </w:rPr>
        <w:t> </w:t>
      </w:r>
      <w:r>
        <w:rPr/>
        <w:t>и</w:t>
      </w:r>
      <w:r>
        <w:rPr>
          <w:spacing w:val="-11"/>
        </w:rPr>
        <w:t> </w:t>
      </w:r>
      <w:r>
        <w:rPr/>
        <w:t>родители имели возможность общаться, не беспокоя друг друга.</w:t>
      </w:r>
    </w:p>
    <w:p>
      <w:pPr>
        <w:spacing w:line="227" w:lineRule="exact" w:before="111"/>
        <w:ind w:left="425" w:right="0" w:firstLine="0"/>
        <w:jc w:val="both"/>
        <w:rPr>
          <w:b/>
          <w:sz w:val="20"/>
        </w:rPr>
      </w:pPr>
      <w:r>
        <w:rPr>
          <w:b/>
          <w:sz w:val="20"/>
        </w:rPr>
        <w:t>Доказательность</w:t>
      </w:r>
      <w:r>
        <w:rPr>
          <w:b/>
          <w:spacing w:val="-12"/>
          <w:sz w:val="20"/>
        </w:rPr>
        <w:t> </w:t>
      </w:r>
      <w:r>
        <w:rPr>
          <w:b/>
          <w:spacing w:val="-2"/>
          <w:sz w:val="20"/>
        </w:rPr>
        <w:t>практики</w:t>
      </w:r>
    </w:p>
    <w:p>
      <w:pPr>
        <w:pStyle w:val="BodyText"/>
        <w:spacing w:line="232" w:lineRule="auto" w:before="2"/>
      </w:pPr>
      <w:r>
        <w:rPr>
          <w:color w:val="231F20"/>
        </w:rPr>
        <w:t>«Родительские</w:t>
      </w:r>
      <w:r>
        <w:rPr>
          <w:color w:val="231F20"/>
          <w:spacing w:val="-13"/>
        </w:rPr>
        <w:t> </w:t>
      </w:r>
      <w:r>
        <w:rPr>
          <w:color w:val="231F20"/>
        </w:rPr>
        <w:t>кафе»</w:t>
      </w:r>
      <w:r>
        <w:rPr>
          <w:color w:val="231F20"/>
          <w:spacing w:val="-12"/>
        </w:rPr>
        <w:t> </w:t>
      </w:r>
      <w:r>
        <w:rPr>
          <w:color w:val="231F20"/>
        </w:rPr>
        <w:t>для</w:t>
      </w:r>
      <w:r>
        <w:rPr>
          <w:color w:val="231F20"/>
          <w:spacing w:val="-13"/>
        </w:rPr>
        <w:t> </w:t>
      </w:r>
      <w:r>
        <w:rPr>
          <w:color w:val="231F20"/>
        </w:rPr>
        <w:t>родителей</w:t>
      </w:r>
      <w:r>
        <w:rPr>
          <w:color w:val="231F20"/>
          <w:spacing w:val="-12"/>
        </w:rPr>
        <w:t> </w:t>
      </w:r>
      <w:r>
        <w:rPr>
          <w:color w:val="231F20"/>
        </w:rPr>
        <w:t>–</w:t>
      </w:r>
      <w:r>
        <w:rPr>
          <w:color w:val="231F20"/>
          <w:spacing w:val="-13"/>
        </w:rPr>
        <w:t> </w:t>
      </w:r>
      <w:r>
        <w:rPr>
          <w:color w:val="231F20"/>
        </w:rPr>
        <w:t>иностранных</w:t>
      </w:r>
      <w:r>
        <w:rPr>
          <w:color w:val="231F20"/>
          <w:spacing w:val="-12"/>
        </w:rPr>
        <w:t> </w:t>
      </w:r>
      <w:r>
        <w:rPr>
          <w:color w:val="231F20"/>
        </w:rPr>
        <w:t>граждан</w:t>
      </w:r>
      <w:r>
        <w:rPr>
          <w:color w:val="231F20"/>
          <w:spacing w:val="-13"/>
        </w:rPr>
        <w:t> </w:t>
      </w:r>
      <w:r>
        <w:rPr>
          <w:color w:val="231F20"/>
        </w:rPr>
        <w:t>являются</w:t>
      </w:r>
      <w:r>
        <w:rPr>
          <w:color w:val="231F20"/>
          <w:spacing w:val="-12"/>
        </w:rPr>
        <w:t> </w:t>
      </w:r>
      <w:r>
        <w:rPr>
          <w:color w:val="231F20"/>
        </w:rPr>
        <w:t>крайне</w:t>
      </w:r>
      <w:r>
        <w:rPr>
          <w:color w:val="231F20"/>
          <w:spacing w:val="-13"/>
        </w:rPr>
        <w:t> </w:t>
      </w:r>
      <w:r>
        <w:rPr>
          <w:color w:val="231F20"/>
        </w:rPr>
        <w:t>рас- пространенной практикой в мировом образовательном пространстве</w:t>
      </w:r>
    </w:p>
    <w:p>
      <w:pPr>
        <w:spacing w:line="227" w:lineRule="exact" w:before="110"/>
        <w:ind w:left="425" w:right="0" w:firstLine="0"/>
        <w:jc w:val="both"/>
        <w:rPr>
          <w:b/>
          <w:sz w:val="20"/>
        </w:rPr>
      </w:pPr>
      <w:r>
        <w:rPr>
          <w:b/>
          <w:sz w:val="20"/>
        </w:rPr>
        <w:t>Мануал</w:t>
      </w:r>
      <w:r>
        <w:rPr>
          <w:b/>
          <w:spacing w:val="-1"/>
          <w:sz w:val="20"/>
        </w:rPr>
        <w:t> </w:t>
      </w:r>
      <w:r>
        <w:rPr>
          <w:b/>
          <w:sz w:val="20"/>
        </w:rPr>
        <w:t>по</w:t>
      </w:r>
      <w:r>
        <w:rPr>
          <w:b/>
          <w:spacing w:val="-1"/>
          <w:sz w:val="20"/>
        </w:rPr>
        <w:t> </w:t>
      </w:r>
      <w:r>
        <w:rPr>
          <w:b/>
          <w:spacing w:val="-2"/>
          <w:sz w:val="20"/>
        </w:rPr>
        <w:t>проведению</w:t>
      </w:r>
    </w:p>
    <w:p>
      <w:pPr>
        <w:pStyle w:val="BodyText"/>
        <w:spacing w:line="232" w:lineRule="auto" w:before="2"/>
      </w:pPr>
      <w:r>
        <w:rPr>
          <w:color w:val="231F20"/>
        </w:rPr>
        <w:t>Продолжительность собрания 1,5–2 часа, оптимальное количество участников – 25–30 человек.</w:t>
      </w:r>
    </w:p>
    <w:p>
      <w:pPr>
        <w:spacing w:line="228" w:lineRule="exact" w:before="112"/>
        <w:ind w:left="425" w:right="0" w:firstLine="0"/>
        <w:jc w:val="both"/>
        <w:rPr>
          <w:sz w:val="20"/>
        </w:rPr>
      </w:pPr>
      <w:r>
        <w:rPr>
          <w:i/>
          <w:color w:val="231F20"/>
          <w:sz w:val="20"/>
        </w:rPr>
        <w:t>Подготовка</w:t>
      </w:r>
      <w:r>
        <w:rPr>
          <w:i/>
          <w:color w:val="231F20"/>
          <w:spacing w:val="-7"/>
          <w:sz w:val="20"/>
        </w:rPr>
        <w:t> </w:t>
      </w:r>
      <w:r>
        <w:rPr>
          <w:i/>
          <w:color w:val="231F20"/>
          <w:sz w:val="20"/>
        </w:rPr>
        <w:t>к</w:t>
      </w:r>
      <w:r>
        <w:rPr>
          <w:i/>
          <w:color w:val="231F20"/>
          <w:spacing w:val="-7"/>
          <w:sz w:val="20"/>
        </w:rPr>
        <w:t> </w:t>
      </w:r>
      <w:r>
        <w:rPr>
          <w:i/>
          <w:color w:val="231F20"/>
          <w:sz w:val="20"/>
        </w:rPr>
        <w:t>«родительскому</w:t>
      </w:r>
      <w:r>
        <w:rPr>
          <w:i/>
          <w:color w:val="231F20"/>
          <w:spacing w:val="-7"/>
          <w:sz w:val="20"/>
        </w:rPr>
        <w:t> </w:t>
      </w:r>
      <w:r>
        <w:rPr>
          <w:i/>
          <w:color w:val="231F20"/>
          <w:sz w:val="20"/>
        </w:rPr>
        <w:t>кафе»</w:t>
      </w:r>
      <w:r>
        <w:rPr>
          <w:i/>
          <w:color w:val="231F20"/>
          <w:spacing w:val="-7"/>
          <w:sz w:val="20"/>
        </w:rPr>
        <w:t> </w:t>
      </w:r>
      <w:r>
        <w:rPr>
          <w:color w:val="231F20"/>
          <w:sz w:val="20"/>
        </w:rPr>
        <w:t>предполагает</w:t>
      </w:r>
      <w:r>
        <w:rPr>
          <w:color w:val="231F20"/>
          <w:spacing w:val="-7"/>
          <w:sz w:val="20"/>
        </w:rPr>
        <w:t> </w:t>
      </w:r>
      <w:r>
        <w:rPr>
          <w:color w:val="231F20"/>
          <w:sz w:val="20"/>
        </w:rPr>
        <w:t>решение</w:t>
      </w:r>
      <w:r>
        <w:rPr>
          <w:color w:val="231F20"/>
          <w:spacing w:val="-7"/>
          <w:sz w:val="20"/>
        </w:rPr>
        <w:t> </w:t>
      </w:r>
      <w:r>
        <w:rPr>
          <w:color w:val="231F20"/>
          <w:sz w:val="20"/>
        </w:rPr>
        <w:t>следующих</w:t>
      </w:r>
      <w:r>
        <w:rPr>
          <w:color w:val="231F20"/>
          <w:spacing w:val="-6"/>
          <w:sz w:val="20"/>
        </w:rPr>
        <w:t> </w:t>
      </w:r>
      <w:r>
        <w:rPr>
          <w:color w:val="231F20"/>
          <w:spacing w:val="-2"/>
          <w:sz w:val="20"/>
        </w:rPr>
        <w:t>задач:</w:t>
      </w:r>
    </w:p>
    <w:p>
      <w:pPr>
        <w:pStyle w:val="ListParagraph"/>
        <w:numPr>
          <w:ilvl w:val="0"/>
          <w:numId w:val="263"/>
        </w:numPr>
        <w:tabs>
          <w:tab w:pos="425" w:val="left" w:leader="none"/>
        </w:tabs>
        <w:spacing w:line="235" w:lineRule="auto" w:before="2" w:after="0"/>
        <w:ind w:left="425" w:right="139" w:hanging="284"/>
        <w:jc w:val="both"/>
        <w:rPr>
          <w:sz w:val="20"/>
        </w:rPr>
      </w:pPr>
      <w:r>
        <w:rPr>
          <w:color w:val="231F20"/>
          <w:sz w:val="20"/>
        </w:rPr>
        <w:t>Планирование первой части собрания продолжительностью 25–30 минут. Эта часть</w:t>
      </w:r>
      <w:r>
        <w:rPr>
          <w:color w:val="231F20"/>
          <w:spacing w:val="-13"/>
          <w:sz w:val="20"/>
        </w:rPr>
        <w:t> </w:t>
      </w:r>
      <w:r>
        <w:rPr>
          <w:color w:val="231F20"/>
          <w:sz w:val="20"/>
        </w:rPr>
        <w:t>имеет</w:t>
      </w:r>
      <w:r>
        <w:rPr>
          <w:color w:val="231F20"/>
          <w:spacing w:val="-12"/>
          <w:sz w:val="20"/>
        </w:rPr>
        <w:t> </w:t>
      </w:r>
      <w:r>
        <w:rPr>
          <w:color w:val="231F20"/>
          <w:sz w:val="20"/>
        </w:rPr>
        <w:t>информационно-просветительский</w:t>
      </w:r>
      <w:r>
        <w:rPr>
          <w:color w:val="231F20"/>
          <w:spacing w:val="-13"/>
          <w:sz w:val="20"/>
        </w:rPr>
        <w:t> </w:t>
      </w:r>
      <w:r>
        <w:rPr>
          <w:color w:val="231F20"/>
          <w:sz w:val="20"/>
        </w:rPr>
        <w:t>характер.</w:t>
      </w:r>
      <w:r>
        <w:rPr>
          <w:color w:val="231F20"/>
          <w:spacing w:val="-12"/>
          <w:sz w:val="20"/>
        </w:rPr>
        <w:t> </w:t>
      </w:r>
      <w:r>
        <w:rPr>
          <w:color w:val="231F20"/>
          <w:sz w:val="20"/>
        </w:rPr>
        <w:t>Возможно</w:t>
      </w:r>
      <w:r>
        <w:rPr>
          <w:color w:val="231F20"/>
          <w:spacing w:val="-13"/>
          <w:sz w:val="20"/>
        </w:rPr>
        <w:t> </w:t>
      </w:r>
      <w:r>
        <w:rPr>
          <w:color w:val="231F20"/>
          <w:sz w:val="20"/>
        </w:rPr>
        <w:t>организовать выступление</w:t>
      </w:r>
      <w:r>
        <w:rPr>
          <w:color w:val="231F20"/>
          <w:spacing w:val="29"/>
          <w:sz w:val="20"/>
        </w:rPr>
        <w:t> </w:t>
      </w:r>
      <w:r>
        <w:rPr>
          <w:color w:val="231F20"/>
          <w:sz w:val="20"/>
        </w:rPr>
        <w:t>представителей</w:t>
      </w:r>
      <w:r>
        <w:rPr>
          <w:color w:val="231F20"/>
          <w:spacing w:val="29"/>
          <w:sz w:val="20"/>
        </w:rPr>
        <w:t> </w:t>
      </w:r>
      <w:r>
        <w:rPr>
          <w:color w:val="231F20"/>
          <w:sz w:val="20"/>
        </w:rPr>
        <w:t>администрации,</w:t>
      </w:r>
      <w:r>
        <w:rPr>
          <w:color w:val="231F20"/>
          <w:spacing w:val="29"/>
          <w:sz w:val="20"/>
        </w:rPr>
        <w:t> </w:t>
      </w:r>
      <w:r>
        <w:rPr>
          <w:color w:val="231F20"/>
          <w:sz w:val="20"/>
        </w:rPr>
        <w:t>психолога,</w:t>
      </w:r>
      <w:r>
        <w:rPr>
          <w:color w:val="231F20"/>
          <w:spacing w:val="29"/>
          <w:sz w:val="20"/>
        </w:rPr>
        <w:t> </w:t>
      </w:r>
      <w:r>
        <w:rPr>
          <w:color w:val="231F20"/>
          <w:sz w:val="20"/>
        </w:rPr>
        <w:t>педагогов-предметни-</w:t>
      </w:r>
    </w:p>
    <w:p>
      <w:pPr>
        <w:pStyle w:val="BodyText"/>
        <w:spacing w:line="199" w:lineRule="exact"/>
        <w:ind w:left="425" w:right="0" w:firstLine="0"/>
        <w:jc w:val="left"/>
      </w:pPr>
      <w:r>
        <w:rPr>
          <w:color w:val="231F20"/>
        </w:rPr>
        <w:t>ков,</w:t>
      </w:r>
      <w:r>
        <w:rPr>
          <w:color w:val="231F20"/>
          <w:spacing w:val="-4"/>
        </w:rPr>
        <w:t> </w:t>
      </w:r>
      <w:r>
        <w:rPr>
          <w:color w:val="231F20"/>
        </w:rPr>
        <w:t>просмотр</w:t>
      </w:r>
      <w:r>
        <w:rPr>
          <w:color w:val="231F20"/>
          <w:spacing w:val="-4"/>
        </w:rPr>
        <w:t> </w:t>
      </w:r>
      <w:r>
        <w:rPr>
          <w:color w:val="231F20"/>
        </w:rPr>
        <w:t>фильма</w:t>
      </w:r>
      <w:r>
        <w:rPr>
          <w:color w:val="231F20"/>
          <w:spacing w:val="-4"/>
        </w:rPr>
        <w:t> </w:t>
      </w:r>
      <w:r>
        <w:rPr>
          <w:color w:val="231F20"/>
        </w:rPr>
        <w:t>о</w:t>
      </w:r>
      <w:r>
        <w:rPr>
          <w:color w:val="231F20"/>
          <w:spacing w:val="-4"/>
        </w:rPr>
        <w:t> </w:t>
      </w:r>
      <w:r>
        <w:rPr>
          <w:color w:val="231F20"/>
        </w:rPr>
        <w:t>школе</w:t>
      </w:r>
      <w:r>
        <w:rPr>
          <w:color w:val="231F20"/>
          <w:spacing w:val="-4"/>
        </w:rPr>
        <w:t> </w:t>
      </w:r>
      <w:r>
        <w:rPr>
          <w:color w:val="231F20"/>
        </w:rPr>
        <w:t>и</w:t>
      </w:r>
      <w:r>
        <w:rPr>
          <w:color w:val="231F20"/>
          <w:spacing w:val="-4"/>
        </w:rPr>
        <w:t> </w:t>
      </w:r>
      <w:r>
        <w:rPr>
          <w:color w:val="231F20"/>
          <w:spacing w:val="-5"/>
        </w:rPr>
        <w:t>пр.</w:t>
      </w:r>
    </w:p>
    <w:p>
      <w:pPr>
        <w:spacing w:line="153" w:lineRule="exact" w:before="0"/>
        <w:ind w:left="303" w:right="303" w:firstLine="0"/>
        <w:jc w:val="center"/>
        <w:rPr>
          <w:rFonts w:ascii="Georgia"/>
          <w:sz w:val="16"/>
        </w:rPr>
      </w:pPr>
      <w:r>
        <w:rPr>
          <w:rFonts w:ascii="Georgia"/>
          <w:color w:val="231F20"/>
          <w:spacing w:val="-5"/>
          <w:sz w:val="16"/>
        </w:rPr>
        <w:t>99</w:t>
      </w:r>
    </w:p>
    <w:p>
      <w:pPr>
        <w:spacing w:after="0" w:line="153" w:lineRule="exact"/>
        <w:jc w:val="center"/>
        <w:rPr>
          <w:rFonts w:ascii="Georgia"/>
          <w:sz w:val="16"/>
        </w:rPr>
        <w:sectPr>
          <w:footerReference w:type="default" r:id="rId229"/>
          <w:pgSz w:w="8400" w:h="11910"/>
          <w:pgMar w:header="0" w:footer="0" w:top="280" w:bottom="280" w:left="425" w:right="425"/>
        </w:sectPr>
      </w:pPr>
    </w:p>
    <w:p>
      <w:pPr>
        <w:spacing w:before="75"/>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3.</w:t>
      </w:r>
    </w:p>
    <w:p>
      <w:pPr>
        <w:pStyle w:val="BodyText"/>
        <w:spacing w:before="15"/>
        <w:ind w:left="0" w:right="0" w:firstLine="0"/>
        <w:jc w:val="left"/>
        <w:rPr>
          <w:rFonts w:ascii="Georgia"/>
        </w:rPr>
      </w:pPr>
    </w:p>
    <w:p>
      <w:pPr>
        <w:pStyle w:val="ListParagraph"/>
        <w:numPr>
          <w:ilvl w:val="0"/>
          <w:numId w:val="263"/>
        </w:numPr>
        <w:tabs>
          <w:tab w:pos="425" w:val="left" w:leader="none"/>
        </w:tabs>
        <w:spacing w:line="232" w:lineRule="auto" w:before="0" w:after="0"/>
        <w:ind w:left="425" w:right="139" w:hanging="284"/>
        <w:jc w:val="both"/>
        <w:rPr>
          <w:sz w:val="20"/>
        </w:rPr>
      </w:pPr>
      <w:r>
        <w:rPr>
          <w:color w:val="231F20"/>
          <w:sz w:val="20"/>
        </w:rPr>
        <w:t>Планирование неформальной части собрания. Необходимо, во-первых, пригла- сить</w:t>
      </w:r>
      <w:r>
        <w:rPr>
          <w:color w:val="231F20"/>
          <w:spacing w:val="-10"/>
          <w:sz w:val="20"/>
        </w:rPr>
        <w:t> </w:t>
      </w:r>
      <w:r>
        <w:rPr>
          <w:color w:val="231F20"/>
          <w:sz w:val="20"/>
        </w:rPr>
        <w:t>педагогов,</w:t>
      </w:r>
      <w:r>
        <w:rPr>
          <w:color w:val="231F20"/>
          <w:spacing w:val="-10"/>
          <w:sz w:val="20"/>
        </w:rPr>
        <w:t> </w:t>
      </w:r>
      <w:r>
        <w:rPr>
          <w:color w:val="231F20"/>
          <w:sz w:val="20"/>
        </w:rPr>
        <w:t>работающих</w:t>
      </w:r>
      <w:r>
        <w:rPr>
          <w:color w:val="231F20"/>
          <w:spacing w:val="-10"/>
          <w:sz w:val="20"/>
        </w:rPr>
        <w:t> </w:t>
      </w:r>
      <w:r>
        <w:rPr>
          <w:color w:val="231F20"/>
          <w:sz w:val="20"/>
        </w:rPr>
        <w:t>в</w:t>
      </w:r>
      <w:r>
        <w:rPr>
          <w:color w:val="231F20"/>
          <w:spacing w:val="-10"/>
          <w:sz w:val="20"/>
        </w:rPr>
        <w:t> </w:t>
      </w:r>
      <w:r>
        <w:rPr>
          <w:color w:val="231F20"/>
          <w:sz w:val="20"/>
        </w:rPr>
        <w:t>классе</w:t>
      </w:r>
      <w:r>
        <w:rPr>
          <w:color w:val="231F20"/>
          <w:spacing w:val="-10"/>
          <w:sz w:val="20"/>
        </w:rPr>
        <w:t> </w:t>
      </w:r>
      <w:r>
        <w:rPr>
          <w:color w:val="231F20"/>
          <w:sz w:val="20"/>
        </w:rPr>
        <w:t>(предметников,</w:t>
      </w:r>
      <w:r>
        <w:rPr>
          <w:color w:val="231F20"/>
          <w:spacing w:val="-10"/>
          <w:sz w:val="20"/>
        </w:rPr>
        <w:t> </w:t>
      </w:r>
      <w:r>
        <w:rPr>
          <w:color w:val="231F20"/>
          <w:sz w:val="20"/>
        </w:rPr>
        <w:t>педагогов</w:t>
      </w:r>
      <w:r>
        <w:rPr>
          <w:color w:val="231F20"/>
          <w:spacing w:val="-10"/>
          <w:sz w:val="20"/>
        </w:rPr>
        <w:t> </w:t>
      </w:r>
      <w:r>
        <w:rPr>
          <w:color w:val="231F20"/>
          <w:sz w:val="20"/>
        </w:rPr>
        <w:t>РКИ,</w:t>
      </w:r>
      <w:r>
        <w:rPr>
          <w:color w:val="231F20"/>
          <w:spacing w:val="-10"/>
          <w:sz w:val="20"/>
        </w:rPr>
        <w:t> </w:t>
      </w:r>
      <w:r>
        <w:rPr>
          <w:color w:val="231F20"/>
          <w:sz w:val="20"/>
        </w:rPr>
        <w:t>психолога</w:t>
      </w:r>
      <w:r>
        <w:rPr>
          <w:color w:val="231F20"/>
          <w:spacing w:val="-10"/>
          <w:sz w:val="20"/>
        </w:rPr>
        <w:t> </w:t>
      </w:r>
      <w:r>
        <w:rPr>
          <w:color w:val="231F20"/>
          <w:sz w:val="20"/>
        </w:rPr>
        <w:t>и др.).</w:t>
      </w:r>
      <w:r>
        <w:rPr>
          <w:color w:val="231F20"/>
          <w:spacing w:val="-11"/>
          <w:sz w:val="20"/>
        </w:rPr>
        <w:t> </w:t>
      </w:r>
      <w:r>
        <w:rPr>
          <w:color w:val="231F20"/>
          <w:sz w:val="20"/>
        </w:rPr>
        <w:t>Во-вторых,</w:t>
      </w:r>
      <w:r>
        <w:rPr>
          <w:color w:val="231F20"/>
          <w:spacing w:val="-11"/>
          <w:sz w:val="20"/>
        </w:rPr>
        <w:t> </w:t>
      </w:r>
      <w:r>
        <w:rPr>
          <w:color w:val="231F20"/>
          <w:sz w:val="20"/>
        </w:rPr>
        <w:t>необходимо</w:t>
      </w:r>
      <w:r>
        <w:rPr>
          <w:color w:val="231F20"/>
          <w:spacing w:val="-11"/>
          <w:sz w:val="20"/>
        </w:rPr>
        <w:t> </w:t>
      </w:r>
      <w:r>
        <w:rPr>
          <w:color w:val="231F20"/>
          <w:sz w:val="20"/>
        </w:rPr>
        <w:t>подготовить</w:t>
      </w:r>
      <w:r>
        <w:rPr>
          <w:color w:val="231F20"/>
          <w:spacing w:val="-11"/>
          <w:sz w:val="20"/>
        </w:rPr>
        <w:t> </w:t>
      </w:r>
      <w:r>
        <w:rPr>
          <w:color w:val="231F20"/>
          <w:sz w:val="20"/>
        </w:rPr>
        <w:t>пространство,</w:t>
      </w:r>
      <w:r>
        <w:rPr>
          <w:color w:val="231F20"/>
          <w:spacing w:val="-11"/>
          <w:sz w:val="20"/>
        </w:rPr>
        <w:t> </w:t>
      </w:r>
      <w:r>
        <w:rPr>
          <w:color w:val="231F20"/>
          <w:sz w:val="20"/>
        </w:rPr>
        <w:t>решить</w:t>
      </w:r>
      <w:r>
        <w:rPr>
          <w:color w:val="231F20"/>
          <w:spacing w:val="-11"/>
          <w:sz w:val="20"/>
        </w:rPr>
        <w:t> </w:t>
      </w:r>
      <w:r>
        <w:rPr>
          <w:color w:val="231F20"/>
          <w:sz w:val="20"/>
        </w:rPr>
        <w:t>вопросы</w:t>
      </w:r>
      <w:r>
        <w:rPr>
          <w:color w:val="231F20"/>
          <w:spacing w:val="-11"/>
          <w:sz w:val="20"/>
        </w:rPr>
        <w:t> </w:t>
      </w:r>
      <w:r>
        <w:rPr>
          <w:color w:val="231F20"/>
          <w:sz w:val="20"/>
        </w:rPr>
        <w:t>с</w:t>
      </w:r>
      <w:r>
        <w:rPr>
          <w:color w:val="231F20"/>
          <w:spacing w:val="-11"/>
          <w:sz w:val="20"/>
        </w:rPr>
        <w:t> </w:t>
      </w:r>
      <w:r>
        <w:rPr>
          <w:color w:val="231F20"/>
          <w:sz w:val="20"/>
        </w:rPr>
        <w:t>напит- ками и угощением.</w:t>
      </w:r>
    </w:p>
    <w:p>
      <w:pPr>
        <w:pStyle w:val="ListParagraph"/>
        <w:numPr>
          <w:ilvl w:val="0"/>
          <w:numId w:val="263"/>
        </w:numPr>
        <w:tabs>
          <w:tab w:pos="425" w:val="left" w:leader="none"/>
        </w:tabs>
        <w:spacing w:line="232" w:lineRule="auto" w:before="0" w:after="0"/>
        <w:ind w:left="425" w:right="139" w:hanging="284"/>
        <w:jc w:val="both"/>
        <w:rPr>
          <w:sz w:val="20"/>
        </w:rPr>
      </w:pPr>
      <w:r>
        <w:rPr>
          <w:color w:val="231F20"/>
          <w:sz w:val="20"/>
        </w:rPr>
        <w:t>Приглашение родителей.</w:t>
      </w:r>
      <w:r>
        <w:rPr>
          <w:color w:val="231F20"/>
          <w:spacing w:val="-1"/>
          <w:sz w:val="20"/>
        </w:rPr>
        <w:t> </w:t>
      </w:r>
      <w:r>
        <w:rPr>
          <w:color w:val="231F20"/>
          <w:sz w:val="20"/>
        </w:rPr>
        <w:t>Необходимо</w:t>
      </w:r>
      <w:r>
        <w:rPr>
          <w:color w:val="231F20"/>
          <w:spacing w:val="-1"/>
          <w:sz w:val="20"/>
        </w:rPr>
        <w:t> </w:t>
      </w:r>
      <w:r>
        <w:rPr>
          <w:color w:val="231F20"/>
          <w:sz w:val="20"/>
        </w:rPr>
        <w:t>предупредить</w:t>
      </w:r>
      <w:r>
        <w:rPr>
          <w:color w:val="231F20"/>
          <w:spacing w:val="-1"/>
          <w:sz w:val="20"/>
        </w:rPr>
        <w:t> </w:t>
      </w:r>
      <w:r>
        <w:rPr>
          <w:color w:val="231F20"/>
          <w:sz w:val="20"/>
        </w:rPr>
        <w:t>родителей</w:t>
      </w:r>
      <w:r>
        <w:rPr>
          <w:color w:val="231F20"/>
          <w:spacing w:val="-1"/>
          <w:sz w:val="20"/>
        </w:rPr>
        <w:t> </w:t>
      </w:r>
      <w:r>
        <w:rPr>
          <w:color w:val="231F20"/>
          <w:sz w:val="20"/>
        </w:rPr>
        <w:t>о</w:t>
      </w:r>
      <w:r>
        <w:rPr>
          <w:color w:val="231F20"/>
          <w:spacing w:val="-1"/>
          <w:sz w:val="20"/>
        </w:rPr>
        <w:t> </w:t>
      </w:r>
      <w:r>
        <w:rPr>
          <w:color w:val="231F20"/>
          <w:sz w:val="20"/>
        </w:rPr>
        <w:t>формате собра- ния.</w:t>
      </w:r>
      <w:r>
        <w:rPr>
          <w:color w:val="231F20"/>
          <w:spacing w:val="-2"/>
          <w:sz w:val="20"/>
        </w:rPr>
        <w:t> </w:t>
      </w:r>
      <w:r>
        <w:rPr>
          <w:color w:val="231F20"/>
          <w:sz w:val="20"/>
        </w:rPr>
        <w:t>Возможно,</w:t>
      </w:r>
      <w:r>
        <w:rPr>
          <w:color w:val="231F20"/>
          <w:spacing w:val="-2"/>
          <w:sz w:val="20"/>
        </w:rPr>
        <w:t> </w:t>
      </w:r>
      <w:r>
        <w:rPr>
          <w:color w:val="231F20"/>
          <w:sz w:val="20"/>
        </w:rPr>
        <w:t>родителей-мигрантов</w:t>
      </w:r>
      <w:r>
        <w:rPr>
          <w:color w:val="231F20"/>
          <w:spacing w:val="-2"/>
          <w:sz w:val="20"/>
        </w:rPr>
        <w:t> </w:t>
      </w:r>
      <w:r>
        <w:rPr>
          <w:color w:val="231F20"/>
          <w:sz w:val="20"/>
        </w:rPr>
        <w:t>потребуется</w:t>
      </w:r>
      <w:r>
        <w:rPr>
          <w:color w:val="231F20"/>
          <w:spacing w:val="-2"/>
          <w:sz w:val="20"/>
        </w:rPr>
        <w:t> </w:t>
      </w:r>
      <w:r>
        <w:rPr>
          <w:color w:val="231F20"/>
          <w:sz w:val="20"/>
        </w:rPr>
        <w:t>мотивировать</w:t>
      </w:r>
      <w:r>
        <w:rPr>
          <w:color w:val="231F20"/>
          <w:spacing w:val="-2"/>
          <w:sz w:val="20"/>
        </w:rPr>
        <w:t> </w:t>
      </w:r>
      <w:r>
        <w:rPr>
          <w:color w:val="231F20"/>
          <w:sz w:val="20"/>
        </w:rPr>
        <w:t>дополнительно, объяснив</w:t>
      </w:r>
      <w:r>
        <w:rPr>
          <w:color w:val="231F20"/>
          <w:spacing w:val="-13"/>
          <w:sz w:val="20"/>
        </w:rPr>
        <w:t> </w:t>
      </w:r>
      <w:r>
        <w:rPr>
          <w:color w:val="231F20"/>
          <w:sz w:val="20"/>
        </w:rPr>
        <w:t>им,</w:t>
      </w:r>
      <w:r>
        <w:rPr>
          <w:color w:val="231F20"/>
          <w:spacing w:val="-12"/>
          <w:sz w:val="20"/>
        </w:rPr>
        <w:t> </w:t>
      </w:r>
      <w:r>
        <w:rPr>
          <w:color w:val="231F20"/>
          <w:sz w:val="20"/>
        </w:rPr>
        <w:t>что</w:t>
      </w:r>
      <w:r>
        <w:rPr>
          <w:color w:val="231F20"/>
          <w:spacing w:val="-13"/>
          <w:sz w:val="20"/>
        </w:rPr>
        <w:t> </w:t>
      </w:r>
      <w:r>
        <w:rPr>
          <w:color w:val="231F20"/>
          <w:sz w:val="20"/>
        </w:rPr>
        <w:t>подобный</w:t>
      </w:r>
      <w:r>
        <w:rPr>
          <w:color w:val="231F20"/>
          <w:spacing w:val="-12"/>
          <w:sz w:val="20"/>
        </w:rPr>
        <w:t> </w:t>
      </w:r>
      <w:r>
        <w:rPr>
          <w:color w:val="231F20"/>
          <w:sz w:val="20"/>
        </w:rPr>
        <w:t>формат</w:t>
      </w:r>
      <w:r>
        <w:rPr>
          <w:color w:val="231F20"/>
          <w:spacing w:val="-13"/>
          <w:sz w:val="20"/>
        </w:rPr>
        <w:t> </w:t>
      </w:r>
      <w:r>
        <w:rPr>
          <w:color w:val="231F20"/>
          <w:sz w:val="20"/>
        </w:rPr>
        <w:t>даст</w:t>
      </w:r>
      <w:r>
        <w:rPr>
          <w:color w:val="231F20"/>
          <w:spacing w:val="-12"/>
          <w:sz w:val="20"/>
        </w:rPr>
        <w:t> </w:t>
      </w:r>
      <w:r>
        <w:rPr>
          <w:color w:val="231F20"/>
          <w:sz w:val="20"/>
        </w:rPr>
        <w:t>им</w:t>
      </w:r>
      <w:r>
        <w:rPr>
          <w:color w:val="231F20"/>
          <w:spacing w:val="-13"/>
          <w:sz w:val="20"/>
        </w:rPr>
        <w:t> </w:t>
      </w:r>
      <w:r>
        <w:rPr>
          <w:color w:val="231F20"/>
          <w:sz w:val="20"/>
        </w:rPr>
        <w:t>возможность</w:t>
      </w:r>
      <w:r>
        <w:rPr>
          <w:color w:val="231F20"/>
          <w:spacing w:val="-12"/>
          <w:sz w:val="20"/>
        </w:rPr>
        <w:t> </w:t>
      </w:r>
      <w:r>
        <w:rPr>
          <w:color w:val="231F20"/>
          <w:sz w:val="20"/>
        </w:rPr>
        <w:t>пообщаться</w:t>
      </w:r>
      <w:r>
        <w:rPr>
          <w:color w:val="231F20"/>
          <w:spacing w:val="-13"/>
          <w:sz w:val="20"/>
        </w:rPr>
        <w:t> </w:t>
      </w:r>
      <w:r>
        <w:rPr>
          <w:color w:val="231F20"/>
          <w:sz w:val="20"/>
        </w:rPr>
        <w:t>со</w:t>
      </w:r>
      <w:r>
        <w:rPr>
          <w:color w:val="231F20"/>
          <w:spacing w:val="-12"/>
          <w:sz w:val="20"/>
        </w:rPr>
        <w:t> </w:t>
      </w:r>
      <w:r>
        <w:rPr>
          <w:color w:val="231F20"/>
          <w:sz w:val="20"/>
        </w:rPr>
        <w:t>педагога- ми ребенка.</w:t>
      </w:r>
    </w:p>
    <w:p>
      <w:pPr>
        <w:pStyle w:val="BodyText"/>
        <w:spacing w:line="232" w:lineRule="auto"/>
        <w:ind w:right="138"/>
      </w:pPr>
      <w:r>
        <w:rPr>
          <w:color w:val="231F20"/>
        </w:rPr>
        <w:t>При переходе к неформальной части важно объяснить родителям, что будет про- исходить: педагоги и специалисты разойдутся по помещению класса и присядут за столики, а родители могут подойти к любому из них и за чашкой чая задать инте- ресующие их вопросы. Родители могут перемещаться между столиками в любом порядке, а могут вообще посидеть и поговорить за отдельным столиком. Педагогам и</w:t>
      </w:r>
      <w:r>
        <w:rPr>
          <w:color w:val="231F20"/>
          <w:spacing w:val="-2"/>
        </w:rPr>
        <w:t> </w:t>
      </w:r>
      <w:r>
        <w:rPr>
          <w:color w:val="231F20"/>
        </w:rPr>
        <w:t>специалистам</w:t>
      </w:r>
      <w:r>
        <w:rPr>
          <w:color w:val="231F20"/>
          <w:spacing w:val="-2"/>
        </w:rPr>
        <w:t> </w:t>
      </w:r>
      <w:r>
        <w:rPr>
          <w:color w:val="231F20"/>
        </w:rPr>
        <w:t>необходимо</w:t>
      </w:r>
      <w:r>
        <w:rPr>
          <w:color w:val="231F20"/>
          <w:spacing w:val="-2"/>
        </w:rPr>
        <w:t> </w:t>
      </w:r>
      <w:r>
        <w:rPr>
          <w:color w:val="231F20"/>
        </w:rPr>
        <w:t>представиться.</w:t>
      </w:r>
      <w:r>
        <w:rPr>
          <w:color w:val="231F20"/>
          <w:spacing w:val="-2"/>
        </w:rPr>
        <w:t> </w:t>
      </w:r>
      <w:r>
        <w:rPr>
          <w:color w:val="231F20"/>
        </w:rPr>
        <w:t>Важно</w:t>
      </w:r>
      <w:r>
        <w:rPr>
          <w:color w:val="231F20"/>
          <w:spacing w:val="-2"/>
        </w:rPr>
        <w:t> </w:t>
      </w:r>
      <w:r>
        <w:rPr>
          <w:color w:val="231F20"/>
        </w:rPr>
        <w:t>обозначить</w:t>
      </w:r>
      <w:r>
        <w:rPr>
          <w:color w:val="231F20"/>
          <w:spacing w:val="-2"/>
        </w:rPr>
        <w:t> </w:t>
      </w:r>
      <w:r>
        <w:rPr>
          <w:color w:val="231F20"/>
        </w:rPr>
        <w:t>регламент,</w:t>
      </w:r>
      <w:r>
        <w:rPr>
          <w:color w:val="231F20"/>
          <w:spacing w:val="-2"/>
        </w:rPr>
        <w:t> </w:t>
      </w:r>
      <w:r>
        <w:rPr>
          <w:color w:val="231F20"/>
        </w:rPr>
        <w:t>чтобы</w:t>
      </w:r>
      <w:r>
        <w:rPr>
          <w:color w:val="231F20"/>
          <w:spacing w:val="-2"/>
        </w:rPr>
        <w:t> </w:t>
      </w:r>
      <w:r>
        <w:rPr>
          <w:color w:val="231F20"/>
        </w:rPr>
        <w:t>ро- дители не засиживались у одного педагога. Минут за 10 до конца собрания можно позвонить в колокольчик.</w:t>
      </w:r>
    </w:p>
    <w:p>
      <w:pPr>
        <w:pStyle w:val="BodyText"/>
        <w:spacing w:line="232" w:lineRule="auto"/>
      </w:pPr>
      <w:r>
        <w:rPr>
          <w:color w:val="231F20"/>
        </w:rPr>
        <w:t>Необходимо предупредить педагогов, чтобы они проявляли активность и сами инициировали беседу с родителями-мигрантами, если те стесняются подойти. Так- же можно назначить кого-то из специалистов организатором, чтобы он подбадривал родителей,</w:t>
      </w:r>
      <w:r>
        <w:rPr>
          <w:color w:val="231F20"/>
          <w:spacing w:val="-3"/>
        </w:rPr>
        <w:t> </w:t>
      </w:r>
      <w:r>
        <w:rPr>
          <w:color w:val="231F20"/>
        </w:rPr>
        <w:t>содействовал</w:t>
      </w:r>
      <w:r>
        <w:rPr>
          <w:color w:val="231F20"/>
          <w:spacing w:val="-3"/>
        </w:rPr>
        <w:t> </w:t>
      </w:r>
      <w:r>
        <w:rPr>
          <w:color w:val="231F20"/>
        </w:rPr>
        <w:t>их</w:t>
      </w:r>
      <w:r>
        <w:rPr>
          <w:color w:val="231F20"/>
          <w:spacing w:val="-3"/>
        </w:rPr>
        <w:t> </w:t>
      </w:r>
      <w:r>
        <w:rPr>
          <w:color w:val="231F20"/>
        </w:rPr>
        <w:t>общению</w:t>
      </w:r>
      <w:r>
        <w:rPr>
          <w:color w:val="231F20"/>
          <w:spacing w:val="-3"/>
        </w:rPr>
        <w:t> </w:t>
      </w:r>
      <w:r>
        <w:rPr>
          <w:color w:val="231F20"/>
        </w:rPr>
        <w:t>со</w:t>
      </w:r>
      <w:r>
        <w:rPr>
          <w:color w:val="231F20"/>
          <w:spacing w:val="-3"/>
        </w:rPr>
        <w:t> </w:t>
      </w:r>
      <w:r>
        <w:rPr>
          <w:color w:val="231F20"/>
        </w:rPr>
        <w:t>специалистами</w:t>
      </w:r>
      <w:r>
        <w:rPr>
          <w:color w:val="231F20"/>
          <w:spacing w:val="-3"/>
        </w:rPr>
        <w:t> </w:t>
      </w:r>
      <w:r>
        <w:rPr>
          <w:color w:val="231F20"/>
        </w:rPr>
        <w:t>или,</w:t>
      </w:r>
      <w:r>
        <w:rPr>
          <w:color w:val="231F20"/>
          <w:spacing w:val="-3"/>
        </w:rPr>
        <w:t> </w:t>
      </w:r>
      <w:r>
        <w:rPr>
          <w:color w:val="231F20"/>
        </w:rPr>
        <w:t>по</w:t>
      </w:r>
      <w:r>
        <w:rPr>
          <w:color w:val="231F20"/>
          <w:spacing w:val="-3"/>
        </w:rPr>
        <w:t> </w:t>
      </w:r>
      <w:r>
        <w:rPr>
          <w:color w:val="231F20"/>
        </w:rPr>
        <w:t>необходимости,</w:t>
      </w:r>
      <w:r>
        <w:rPr>
          <w:color w:val="231F20"/>
          <w:spacing w:val="-3"/>
        </w:rPr>
        <w:t> </w:t>
      </w:r>
      <w:r>
        <w:rPr>
          <w:color w:val="231F20"/>
        </w:rPr>
        <w:t>вы- ступал модератором.</w:t>
      </w:r>
    </w:p>
    <w:p>
      <w:pPr>
        <w:pStyle w:val="BodyText"/>
        <w:spacing w:line="232" w:lineRule="auto"/>
      </w:pPr>
      <w:r>
        <w:rPr>
          <w:color w:val="231F20"/>
        </w:rPr>
        <w:t>Для такого собрания возможно подготовить иллюстративный материал, расска- зывающий о школе или классе, в формате стенгазеты или видео. Также позитивный настрой создает демонстрация достижений детей, в том числе несовершеннолетних иностранных</w:t>
      </w:r>
      <w:r>
        <w:rPr>
          <w:color w:val="231F20"/>
          <w:spacing w:val="-13"/>
        </w:rPr>
        <w:t> </w:t>
      </w:r>
      <w:r>
        <w:rPr>
          <w:color w:val="231F20"/>
        </w:rPr>
        <w:t>граждан.</w:t>
      </w:r>
      <w:r>
        <w:rPr>
          <w:color w:val="231F20"/>
          <w:spacing w:val="-12"/>
        </w:rPr>
        <w:t> </w:t>
      </w:r>
      <w:r>
        <w:rPr>
          <w:color w:val="231F20"/>
        </w:rPr>
        <w:t>Родительское</w:t>
      </w:r>
      <w:r>
        <w:rPr>
          <w:color w:val="231F20"/>
          <w:spacing w:val="-13"/>
        </w:rPr>
        <w:t> </w:t>
      </w:r>
      <w:r>
        <w:rPr>
          <w:color w:val="231F20"/>
        </w:rPr>
        <w:t>собрание</w:t>
      </w:r>
      <w:r>
        <w:rPr>
          <w:color w:val="231F20"/>
          <w:spacing w:val="-12"/>
        </w:rPr>
        <w:t> </w:t>
      </w:r>
      <w:r>
        <w:rPr>
          <w:color w:val="231F20"/>
        </w:rPr>
        <w:t>для</w:t>
      </w:r>
      <w:r>
        <w:rPr>
          <w:color w:val="231F20"/>
          <w:spacing w:val="-13"/>
        </w:rPr>
        <w:t> </w:t>
      </w:r>
      <w:r>
        <w:rPr>
          <w:color w:val="231F20"/>
        </w:rPr>
        <w:t>родителей</w:t>
      </w:r>
      <w:r>
        <w:rPr>
          <w:color w:val="231F20"/>
          <w:spacing w:val="-12"/>
        </w:rPr>
        <w:t> </w:t>
      </w:r>
      <w:r>
        <w:rPr>
          <w:color w:val="231F20"/>
        </w:rPr>
        <w:t>–</w:t>
      </w:r>
      <w:r>
        <w:rPr>
          <w:color w:val="231F20"/>
          <w:spacing w:val="-13"/>
        </w:rPr>
        <w:t> </w:t>
      </w:r>
      <w:r>
        <w:rPr>
          <w:color w:val="231F20"/>
        </w:rPr>
        <w:t>иностранных</w:t>
      </w:r>
      <w:r>
        <w:rPr>
          <w:color w:val="231F20"/>
          <w:spacing w:val="-12"/>
        </w:rPr>
        <w:t> </w:t>
      </w:r>
      <w:r>
        <w:rPr>
          <w:color w:val="231F20"/>
        </w:rPr>
        <w:t>граждан может включать практикум по работе с электронными приложениями.</w:t>
      </w:r>
    </w:p>
    <w:p>
      <w:pPr>
        <w:pStyle w:val="BodyText"/>
        <w:spacing w:line="232" w:lineRule="auto"/>
      </w:pPr>
      <w:r>
        <w:rPr>
          <w:color w:val="231F20"/>
        </w:rPr>
        <w:t>Проверка эффективности данной практики была осуществлена на выборке ро- дителей (Nобщ=66) в рамках реализации государственного задания Министерства просвещения Российской Федерации № 073-00038-23-01 от 08.02.2023 г. «Оценка эффективности реализации программы психолого-педагогического сопровождения процессов</w:t>
      </w:r>
      <w:r>
        <w:rPr>
          <w:color w:val="231F20"/>
          <w:spacing w:val="-7"/>
        </w:rPr>
        <w:t> </w:t>
      </w:r>
      <w:r>
        <w:rPr>
          <w:color w:val="231F20"/>
        </w:rPr>
        <w:t>обучения,</w:t>
      </w:r>
      <w:r>
        <w:rPr>
          <w:color w:val="231F20"/>
          <w:spacing w:val="-7"/>
        </w:rPr>
        <w:t> </w:t>
      </w:r>
      <w:r>
        <w:rPr>
          <w:color w:val="231F20"/>
        </w:rPr>
        <w:t>социальной,</w:t>
      </w:r>
      <w:r>
        <w:rPr>
          <w:color w:val="231F20"/>
          <w:spacing w:val="-7"/>
        </w:rPr>
        <w:t> </w:t>
      </w:r>
      <w:r>
        <w:rPr>
          <w:color w:val="231F20"/>
        </w:rPr>
        <w:t>языковой</w:t>
      </w:r>
      <w:r>
        <w:rPr>
          <w:color w:val="231F20"/>
          <w:spacing w:val="-7"/>
        </w:rPr>
        <w:t> </w:t>
      </w:r>
      <w:r>
        <w:rPr>
          <w:color w:val="231F20"/>
        </w:rPr>
        <w:t>и</w:t>
      </w:r>
      <w:r>
        <w:rPr>
          <w:color w:val="231F20"/>
          <w:spacing w:val="-7"/>
        </w:rPr>
        <w:t> </w:t>
      </w:r>
      <w:r>
        <w:rPr>
          <w:color w:val="231F20"/>
        </w:rPr>
        <w:t>культурной</w:t>
      </w:r>
      <w:r>
        <w:rPr>
          <w:color w:val="231F20"/>
          <w:spacing w:val="-7"/>
        </w:rPr>
        <w:t> </w:t>
      </w:r>
      <w:r>
        <w:rPr>
          <w:color w:val="231F20"/>
        </w:rPr>
        <w:t>адаптации</w:t>
      </w:r>
      <w:r>
        <w:rPr>
          <w:color w:val="231F20"/>
          <w:spacing w:val="-7"/>
        </w:rPr>
        <w:t> </w:t>
      </w:r>
      <w:r>
        <w:rPr>
          <w:color w:val="231F20"/>
        </w:rPr>
        <w:t>детей</w:t>
      </w:r>
      <w:r>
        <w:rPr>
          <w:color w:val="231F20"/>
          <w:spacing w:val="-7"/>
        </w:rPr>
        <w:t> </w:t>
      </w:r>
      <w:r>
        <w:rPr>
          <w:color w:val="231F20"/>
        </w:rPr>
        <w:t>иностран- ных</w:t>
      </w:r>
      <w:r>
        <w:rPr>
          <w:color w:val="231F20"/>
          <w:spacing w:val="-10"/>
        </w:rPr>
        <w:t> </w:t>
      </w:r>
      <w:r>
        <w:rPr>
          <w:color w:val="231F20"/>
        </w:rPr>
        <w:t>граждан,</w:t>
      </w:r>
      <w:r>
        <w:rPr>
          <w:color w:val="231F20"/>
          <w:spacing w:val="-10"/>
        </w:rPr>
        <w:t> </w:t>
      </w:r>
      <w:r>
        <w:rPr>
          <w:color w:val="231F20"/>
        </w:rPr>
        <w:t>обучающихся</w:t>
      </w:r>
      <w:r>
        <w:rPr>
          <w:color w:val="231F20"/>
          <w:spacing w:val="-10"/>
        </w:rPr>
        <w:t> </w:t>
      </w:r>
      <w:r>
        <w:rPr>
          <w:color w:val="231F20"/>
        </w:rPr>
        <w:t>в</w:t>
      </w:r>
      <w:r>
        <w:rPr>
          <w:color w:val="231F20"/>
          <w:spacing w:val="-10"/>
        </w:rPr>
        <w:t> </w:t>
      </w:r>
      <w:r>
        <w:rPr>
          <w:color w:val="231F20"/>
        </w:rPr>
        <w:t>общеобразовательных</w:t>
      </w:r>
      <w:r>
        <w:rPr>
          <w:color w:val="231F20"/>
          <w:spacing w:val="-10"/>
        </w:rPr>
        <w:t> </w:t>
      </w:r>
      <w:r>
        <w:rPr>
          <w:color w:val="231F20"/>
        </w:rPr>
        <w:t>организациях</w:t>
      </w:r>
      <w:r>
        <w:rPr>
          <w:color w:val="231F20"/>
          <w:spacing w:val="-9"/>
        </w:rPr>
        <w:t> </w:t>
      </w:r>
      <w:r>
        <w:rPr>
          <w:color w:val="231F20"/>
        </w:rPr>
        <w:t>(на</w:t>
      </w:r>
      <w:r>
        <w:rPr>
          <w:color w:val="231F20"/>
          <w:spacing w:val="-10"/>
        </w:rPr>
        <w:t> </w:t>
      </w:r>
      <w:r>
        <w:rPr>
          <w:color w:val="231F20"/>
        </w:rPr>
        <w:t>основе</w:t>
      </w:r>
      <w:r>
        <w:rPr>
          <w:color w:val="231F20"/>
          <w:spacing w:val="-10"/>
        </w:rPr>
        <w:t> </w:t>
      </w:r>
      <w:r>
        <w:rPr>
          <w:color w:val="231F20"/>
        </w:rPr>
        <w:t>доказа- тельного</w:t>
      </w:r>
      <w:r>
        <w:rPr>
          <w:color w:val="231F20"/>
          <w:spacing w:val="-1"/>
        </w:rPr>
        <w:t> </w:t>
      </w:r>
      <w:r>
        <w:rPr>
          <w:color w:val="231F20"/>
        </w:rPr>
        <w:t>подхода</w:t>
      </w:r>
      <w:r>
        <w:rPr>
          <w:color w:val="231F20"/>
          <w:spacing w:val="-1"/>
        </w:rPr>
        <w:t> </w:t>
      </w:r>
      <w:r>
        <w:rPr>
          <w:color w:val="231F20"/>
        </w:rPr>
        <w:t>к</w:t>
      </w:r>
      <w:r>
        <w:rPr>
          <w:color w:val="231F20"/>
          <w:spacing w:val="-1"/>
        </w:rPr>
        <w:t> </w:t>
      </w:r>
      <w:r>
        <w:rPr>
          <w:color w:val="231F20"/>
        </w:rPr>
        <w:t>социальным</w:t>
      </w:r>
      <w:r>
        <w:rPr>
          <w:color w:val="231F20"/>
          <w:spacing w:val="-1"/>
        </w:rPr>
        <w:t> </w:t>
      </w:r>
      <w:r>
        <w:rPr>
          <w:color w:val="231F20"/>
        </w:rPr>
        <w:t>практикам</w:t>
      </w:r>
      <w:r>
        <w:rPr>
          <w:color w:val="231F20"/>
          <w:spacing w:val="-1"/>
        </w:rPr>
        <w:t> </w:t>
      </w:r>
      <w:r>
        <w:rPr>
          <w:color w:val="231F20"/>
        </w:rPr>
        <w:t>в</w:t>
      </w:r>
      <w:r>
        <w:rPr>
          <w:color w:val="231F20"/>
          <w:spacing w:val="-1"/>
        </w:rPr>
        <w:t> </w:t>
      </w:r>
      <w:r>
        <w:rPr>
          <w:color w:val="231F20"/>
        </w:rPr>
        <w:t>сфере</w:t>
      </w:r>
      <w:r>
        <w:rPr>
          <w:color w:val="231F20"/>
          <w:spacing w:val="-1"/>
        </w:rPr>
        <w:t> </w:t>
      </w:r>
      <w:r>
        <w:rPr>
          <w:color w:val="231F20"/>
        </w:rPr>
        <w:t>детства</w:t>
      </w:r>
      <w:r>
        <w:rPr>
          <w:color w:val="231F20"/>
          <w:spacing w:val="-1"/>
        </w:rPr>
        <w:t> </w:t>
      </w:r>
      <w:r>
        <w:rPr>
          <w:color w:val="231F20"/>
        </w:rPr>
        <w:t>и</w:t>
      </w:r>
      <w:r>
        <w:rPr>
          <w:color w:val="231F20"/>
          <w:spacing w:val="-1"/>
        </w:rPr>
        <w:t> </w:t>
      </w:r>
      <w:r>
        <w:rPr>
          <w:color w:val="231F20"/>
        </w:rPr>
        <w:t>дифференцированного подхода</w:t>
      </w:r>
      <w:r>
        <w:rPr>
          <w:color w:val="231F20"/>
          <w:spacing w:val="-9"/>
        </w:rPr>
        <w:t> </w:t>
      </w:r>
      <w:r>
        <w:rPr>
          <w:color w:val="231F20"/>
        </w:rPr>
        <w:t>к</w:t>
      </w:r>
      <w:r>
        <w:rPr>
          <w:color w:val="231F20"/>
          <w:spacing w:val="-9"/>
        </w:rPr>
        <w:t> </w:t>
      </w:r>
      <w:r>
        <w:rPr>
          <w:color w:val="231F20"/>
        </w:rPr>
        <w:t>обучению</w:t>
      </w:r>
      <w:r>
        <w:rPr>
          <w:color w:val="231F20"/>
          <w:spacing w:val="-9"/>
        </w:rPr>
        <w:t> </w:t>
      </w:r>
      <w:r>
        <w:rPr>
          <w:color w:val="231F20"/>
        </w:rPr>
        <w:t>детей</w:t>
      </w:r>
      <w:r>
        <w:rPr>
          <w:color w:val="231F20"/>
          <w:spacing w:val="-10"/>
        </w:rPr>
        <w:t> </w:t>
      </w:r>
      <w:r>
        <w:rPr>
          <w:color w:val="231F20"/>
        </w:rPr>
        <w:t>иностранных</w:t>
      </w:r>
      <w:r>
        <w:rPr>
          <w:color w:val="231F20"/>
          <w:spacing w:val="-9"/>
        </w:rPr>
        <w:t> </w:t>
      </w:r>
      <w:r>
        <w:rPr>
          <w:color w:val="231F20"/>
        </w:rPr>
        <w:t>граждан)</w:t>
      </w:r>
      <w:r>
        <w:rPr>
          <w:color w:val="231F20"/>
          <w:spacing w:val="-10"/>
        </w:rPr>
        <w:t> </w:t>
      </w:r>
      <w:r>
        <w:rPr>
          <w:color w:val="231F20"/>
        </w:rPr>
        <w:t>и</w:t>
      </w:r>
      <w:r>
        <w:rPr>
          <w:color w:val="231F20"/>
          <w:spacing w:val="-9"/>
        </w:rPr>
        <w:t> </w:t>
      </w:r>
      <w:r>
        <w:rPr>
          <w:color w:val="231F20"/>
        </w:rPr>
        <w:t>опиралась</w:t>
      </w:r>
      <w:r>
        <w:rPr>
          <w:color w:val="231F20"/>
          <w:spacing w:val="-10"/>
        </w:rPr>
        <w:t> </w:t>
      </w:r>
      <w:r>
        <w:rPr>
          <w:color w:val="231F20"/>
        </w:rPr>
        <w:t>на</w:t>
      </w:r>
      <w:r>
        <w:rPr>
          <w:color w:val="231F20"/>
          <w:spacing w:val="-9"/>
        </w:rPr>
        <w:t> </w:t>
      </w:r>
      <w:r>
        <w:rPr>
          <w:color w:val="231F20"/>
        </w:rPr>
        <w:t>схему</w:t>
      </w:r>
      <w:r>
        <w:rPr>
          <w:color w:val="231F20"/>
          <w:spacing w:val="-10"/>
        </w:rPr>
        <w:t> </w:t>
      </w:r>
      <w:r>
        <w:rPr>
          <w:color w:val="231F20"/>
        </w:rPr>
        <w:t>Киркпатрика (Kirkpatrick, 1959). Для оценки использовалась анкета обратной связи. Был выявлен достоверно высокий уровень реакции участников в ответ на пройденную практику (m=4,7;</w:t>
      </w:r>
      <w:r>
        <w:rPr>
          <w:color w:val="231F20"/>
          <w:spacing w:val="-4"/>
        </w:rPr>
        <w:t> </w:t>
      </w:r>
      <w:r>
        <w:rPr>
          <w:color w:val="231F20"/>
        </w:rPr>
        <w:t>p&lt;0,05).</w:t>
      </w:r>
      <w:r>
        <w:rPr>
          <w:color w:val="231F20"/>
          <w:spacing w:val="-4"/>
        </w:rPr>
        <w:t> </w:t>
      </w:r>
      <w:r>
        <w:rPr>
          <w:color w:val="231F20"/>
        </w:rPr>
        <w:t>Неформальное</w:t>
      </w:r>
      <w:r>
        <w:rPr>
          <w:color w:val="231F20"/>
          <w:spacing w:val="-4"/>
        </w:rPr>
        <w:t> </w:t>
      </w:r>
      <w:r>
        <w:rPr>
          <w:color w:val="231F20"/>
        </w:rPr>
        <w:t>родительское</w:t>
      </w:r>
      <w:r>
        <w:rPr>
          <w:color w:val="231F20"/>
          <w:spacing w:val="-4"/>
        </w:rPr>
        <w:t> </w:t>
      </w:r>
      <w:r>
        <w:rPr>
          <w:color w:val="231F20"/>
        </w:rPr>
        <w:t>собрание</w:t>
      </w:r>
      <w:r>
        <w:rPr>
          <w:color w:val="231F20"/>
          <w:spacing w:val="-4"/>
        </w:rPr>
        <w:t> </w:t>
      </w:r>
      <w:r>
        <w:rPr>
          <w:color w:val="231F20"/>
        </w:rPr>
        <w:t>было</w:t>
      </w:r>
      <w:r>
        <w:rPr>
          <w:color w:val="231F20"/>
          <w:spacing w:val="-4"/>
        </w:rPr>
        <w:t> </w:t>
      </w:r>
      <w:r>
        <w:rPr>
          <w:color w:val="231F20"/>
        </w:rPr>
        <w:t>отмечено</w:t>
      </w:r>
      <w:r>
        <w:rPr>
          <w:color w:val="231F20"/>
          <w:spacing w:val="-4"/>
        </w:rPr>
        <w:t> </w:t>
      </w:r>
      <w:r>
        <w:rPr>
          <w:color w:val="231F20"/>
        </w:rPr>
        <w:t>как</w:t>
      </w:r>
      <w:r>
        <w:rPr>
          <w:color w:val="231F20"/>
          <w:spacing w:val="-4"/>
        </w:rPr>
        <w:t> </w:t>
      </w:r>
      <w:r>
        <w:rPr>
          <w:color w:val="231F20"/>
        </w:rPr>
        <w:t>полезное, познавательное,</w:t>
      </w:r>
      <w:r>
        <w:rPr>
          <w:color w:val="231F20"/>
          <w:spacing w:val="-12"/>
        </w:rPr>
        <w:t> </w:t>
      </w:r>
      <w:r>
        <w:rPr>
          <w:color w:val="231F20"/>
        </w:rPr>
        <w:t>увлекательное</w:t>
      </w:r>
      <w:r>
        <w:rPr>
          <w:color w:val="231F20"/>
          <w:spacing w:val="-12"/>
        </w:rPr>
        <w:t> </w:t>
      </w:r>
      <w:r>
        <w:rPr>
          <w:color w:val="231F20"/>
        </w:rPr>
        <w:t>и</w:t>
      </w:r>
      <w:r>
        <w:rPr>
          <w:color w:val="231F20"/>
          <w:spacing w:val="-12"/>
        </w:rPr>
        <w:t> </w:t>
      </w:r>
      <w:r>
        <w:rPr>
          <w:color w:val="231F20"/>
        </w:rPr>
        <w:t>интересное</w:t>
      </w:r>
      <w:r>
        <w:rPr>
          <w:color w:val="231F20"/>
          <w:spacing w:val="-12"/>
        </w:rPr>
        <w:t> </w:t>
      </w:r>
      <w:r>
        <w:rPr>
          <w:color w:val="231F20"/>
        </w:rPr>
        <w:t>мероприятие.</w:t>
      </w:r>
      <w:r>
        <w:rPr>
          <w:color w:val="231F20"/>
          <w:spacing w:val="-12"/>
        </w:rPr>
        <w:t> </w:t>
      </w:r>
      <w:r>
        <w:rPr>
          <w:color w:val="231F20"/>
        </w:rPr>
        <w:t>Кроме</w:t>
      </w:r>
      <w:r>
        <w:rPr>
          <w:color w:val="231F20"/>
          <w:spacing w:val="-12"/>
        </w:rPr>
        <w:t> </w:t>
      </w:r>
      <w:r>
        <w:rPr>
          <w:color w:val="231F20"/>
        </w:rPr>
        <w:t>того,</w:t>
      </w:r>
      <w:r>
        <w:rPr>
          <w:color w:val="231F20"/>
          <w:spacing w:val="-12"/>
        </w:rPr>
        <w:t> </w:t>
      </w:r>
      <w:r>
        <w:rPr>
          <w:color w:val="231F20"/>
        </w:rPr>
        <w:t>участие</w:t>
      </w:r>
      <w:r>
        <w:rPr>
          <w:color w:val="231F20"/>
          <w:spacing w:val="-12"/>
        </w:rPr>
        <w:t> </w:t>
      </w:r>
      <w:r>
        <w:rPr>
          <w:color w:val="231F20"/>
        </w:rPr>
        <w:t>в</w:t>
      </w:r>
      <w:r>
        <w:rPr>
          <w:color w:val="231F20"/>
          <w:spacing w:val="-12"/>
        </w:rPr>
        <w:t> </w:t>
      </w:r>
      <w:r>
        <w:rPr>
          <w:color w:val="231F20"/>
        </w:rPr>
        <w:t>нем заставило</w:t>
      </w:r>
      <w:r>
        <w:rPr>
          <w:color w:val="231F20"/>
          <w:spacing w:val="-6"/>
        </w:rPr>
        <w:t> </w:t>
      </w:r>
      <w:r>
        <w:rPr>
          <w:color w:val="231F20"/>
        </w:rPr>
        <w:t>родителей</w:t>
      </w:r>
      <w:r>
        <w:rPr>
          <w:color w:val="231F20"/>
          <w:spacing w:val="-6"/>
        </w:rPr>
        <w:t> </w:t>
      </w:r>
      <w:r>
        <w:rPr>
          <w:color w:val="231F20"/>
        </w:rPr>
        <w:t>задуматься.</w:t>
      </w:r>
      <w:r>
        <w:rPr>
          <w:color w:val="231F20"/>
          <w:spacing w:val="-6"/>
        </w:rPr>
        <w:t> </w:t>
      </w:r>
      <w:r>
        <w:rPr>
          <w:color w:val="231F20"/>
        </w:rPr>
        <w:t>Таким</w:t>
      </w:r>
      <w:r>
        <w:rPr>
          <w:color w:val="231F20"/>
          <w:spacing w:val="-6"/>
        </w:rPr>
        <w:t> </w:t>
      </w:r>
      <w:r>
        <w:rPr>
          <w:color w:val="231F20"/>
        </w:rPr>
        <w:t>образом,</w:t>
      </w:r>
      <w:r>
        <w:rPr>
          <w:color w:val="231F20"/>
          <w:spacing w:val="-6"/>
        </w:rPr>
        <w:t> </w:t>
      </w:r>
      <w:r>
        <w:rPr>
          <w:color w:val="231F20"/>
        </w:rPr>
        <w:t>неформальное</w:t>
      </w:r>
      <w:r>
        <w:rPr>
          <w:color w:val="231F20"/>
          <w:spacing w:val="-6"/>
        </w:rPr>
        <w:t> </w:t>
      </w:r>
      <w:r>
        <w:rPr>
          <w:color w:val="231F20"/>
        </w:rPr>
        <w:t>родительское</w:t>
      </w:r>
      <w:r>
        <w:rPr>
          <w:color w:val="231F20"/>
          <w:spacing w:val="-6"/>
        </w:rPr>
        <w:t> </w:t>
      </w:r>
      <w:r>
        <w:rPr>
          <w:color w:val="231F20"/>
        </w:rPr>
        <w:t>собра- ние</w:t>
      </w:r>
      <w:r>
        <w:rPr>
          <w:color w:val="231F20"/>
          <w:spacing w:val="-6"/>
        </w:rPr>
        <w:t> </w:t>
      </w:r>
      <w:r>
        <w:rPr>
          <w:color w:val="231F20"/>
        </w:rPr>
        <w:t>можно</w:t>
      </w:r>
      <w:r>
        <w:rPr>
          <w:color w:val="231F20"/>
          <w:spacing w:val="-7"/>
        </w:rPr>
        <w:t> </w:t>
      </w:r>
      <w:r>
        <w:rPr>
          <w:color w:val="231F20"/>
        </w:rPr>
        <w:t>рассматривать</w:t>
      </w:r>
      <w:r>
        <w:rPr>
          <w:color w:val="231F20"/>
          <w:spacing w:val="-7"/>
        </w:rPr>
        <w:t> </w:t>
      </w:r>
      <w:r>
        <w:rPr>
          <w:color w:val="231F20"/>
        </w:rPr>
        <w:t>как</w:t>
      </w:r>
      <w:r>
        <w:rPr>
          <w:color w:val="231F20"/>
          <w:spacing w:val="-7"/>
        </w:rPr>
        <w:t> </w:t>
      </w:r>
      <w:r>
        <w:rPr>
          <w:color w:val="231F20"/>
        </w:rPr>
        <w:t>практику,</w:t>
      </w:r>
      <w:r>
        <w:rPr>
          <w:color w:val="231F20"/>
          <w:spacing w:val="-7"/>
        </w:rPr>
        <w:t> </w:t>
      </w:r>
      <w:r>
        <w:rPr>
          <w:color w:val="231F20"/>
        </w:rPr>
        <w:t>обладающую</w:t>
      </w:r>
      <w:r>
        <w:rPr>
          <w:color w:val="231F20"/>
          <w:spacing w:val="-7"/>
        </w:rPr>
        <w:t> </w:t>
      </w:r>
      <w:r>
        <w:rPr>
          <w:color w:val="231F20"/>
        </w:rPr>
        <w:t>доказанной</w:t>
      </w:r>
      <w:r>
        <w:rPr>
          <w:color w:val="231F20"/>
          <w:spacing w:val="-6"/>
        </w:rPr>
        <w:t> </w:t>
      </w:r>
      <w:r>
        <w:rPr>
          <w:color w:val="231F20"/>
        </w:rPr>
        <w:t>эффективностью</w:t>
      </w:r>
      <w:r>
        <w:rPr>
          <w:color w:val="231F20"/>
          <w:spacing w:val="-7"/>
        </w:rPr>
        <w:t> </w:t>
      </w:r>
      <w:r>
        <w:rPr>
          <w:color w:val="231F20"/>
        </w:rPr>
        <w:t>в работе с родителями – иностранными гражданами.</w:t>
      </w:r>
    </w:p>
    <w:p>
      <w:pPr>
        <w:spacing w:line="206" w:lineRule="exact" w:before="71"/>
        <w:ind w:left="425" w:right="0" w:firstLine="0"/>
        <w:jc w:val="left"/>
        <w:rPr>
          <w:b/>
          <w:sz w:val="18"/>
        </w:rPr>
      </w:pPr>
      <w:r>
        <w:rPr>
          <w:b/>
          <w:color w:val="231F20"/>
          <w:spacing w:val="-2"/>
          <w:sz w:val="18"/>
        </w:rPr>
        <w:t>Литература</w:t>
      </w:r>
    </w:p>
    <w:p>
      <w:pPr>
        <w:pStyle w:val="ListParagraph"/>
        <w:numPr>
          <w:ilvl w:val="0"/>
          <w:numId w:val="264"/>
        </w:numPr>
        <w:tabs>
          <w:tab w:pos="708" w:val="left" w:leader="none"/>
        </w:tabs>
        <w:spacing w:line="240" w:lineRule="auto" w:before="0" w:after="0"/>
        <w:ind w:left="708" w:right="423" w:hanging="284"/>
        <w:jc w:val="both"/>
        <w:rPr>
          <w:sz w:val="18"/>
        </w:rPr>
      </w:pPr>
      <w:r>
        <w:rPr>
          <w:color w:val="231F20"/>
          <w:sz w:val="18"/>
        </w:rPr>
        <w:t>Dryden-Peterson, S . (2018) . Family–school relationships in immigrant children’s well- being: The intersection of demographics and school culture in the experiences of black African</w:t>
      </w:r>
      <w:r>
        <w:rPr>
          <w:color w:val="231F20"/>
          <w:spacing w:val="-10"/>
          <w:sz w:val="18"/>
        </w:rPr>
        <w:t> </w:t>
      </w:r>
      <w:r>
        <w:rPr>
          <w:color w:val="231F20"/>
          <w:sz w:val="18"/>
        </w:rPr>
        <w:t>immigrants</w:t>
      </w:r>
      <w:r>
        <w:rPr>
          <w:color w:val="231F20"/>
          <w:spacing w:val="-10"/>
          <w:sz w:val="18"/>
        </w:rPr>
        <w:t> </w:t>
      </w:r>
      <w:r>
        <w:rPr>
          <w:color w:val="231F20"/>
          <w:sz w:val="18"/>
        </w:rPr>
        <w:t>in</w:t>
      </w:r>
      <w:r>
        <w:rPr>
          <w:color w:val="231F20"/>
          <w:spacing w:val="-10"/>
          <w:sz w:val="18"/>
        </w:rPr>
        <w:t> </w:t>
      </w:r>
      <w:r>
        <w:rPr>
          <w:color w:val="231F20"/>
          <w:sz w:val="18"/>
        </w:rPr>
        <w:t>the</w:t>
      </w:r>
      <w:r>
        <w:rPr>
          <w:color w:val="231F20"/>
          <w:spacing w:val="-10"/>
          <w:sz w:val="18"/>
        </w:rPr>
        <w:t> </w:t>
      </w:r>
      <w:r>
        <w:rPr>
          <w:color w:val="231F20"/>
          <w:sz w:val="18"/>
        </w:rPr>
        <w:t>United</w:t>
      </w:r>
      <w:r>
        <w:rPr>
          <w:color w:val="231F20"/>
          <w:spacing w:val="-10"/>
          <w:sz w:val="18"/>
        </w:rPr>
        <w:t> </w:t>
      </w:r>
      <w:r>
        <w:rPr>
          <w:color w:val="231F20"/>
          <w:sz w:val="18"/>
        </w:rPr>
        <w:t>States</w:t>
      </w:r>
      <w:r>
        <w:rPr>
          <w:color w:val="231F20"/>
          <w:spacing w:val="-10"/>
          <w:sz w:val="18"/>
        </w:rPr>
        <w:t> </w:t>
      </w:r>
      <w:r>
        <w:rPr>
          <w:color w:val="231F20"/>
          <w:sz w:val="18"/>
        </w:rPr>
        <w:t>.</w:t>
      </w:r>
      <w:r>
        <w:rPr>
          <w:color w:val="231F20"/>
          <w:spacing w:val="-10"/>
          <w:sz w:val="18"/>
        </w:rPr>
        <w:t> </w:t>
      </w:r>
      <w:r>
        <w:rPr>
          <w:color w:val="231F20"/>
          <w:sz w:val="18"/>
        </w:rPr>
        <w:t>Race,</w:t>
      </w:r>
      <w:r>
        <w:rPr>
          <w:color w:val="231F20"/>
          <w:spacing w:val="-10"/>
          <w:sz w:val="18"/>
        </w:rPr>
        <w:t> </w:t>
      </w:r>
      <w:r>
        <w:rPr>
          <w:color w:val="231F20"/>
          <w:sz w:val="18"/>
        </w:rPr>
        <w:t>Ethnicity,</w:t>
      </w:r>
      <w:r>
        <w:rPr>
          <w:color w:val="231F20"/>
          <w:spacing w:val="-10"/>
          <w:sz w:val="18"/>
        </w:rPr>
        <w:t> </w:t>
      </w:r>
      <w:r>
        <w:rPr>
          <w:color w:val="231F20"/>
          <w:sz w:val="18"/>
        </w:rPr>
        <w:t>and</w:t>
      </w:r>
      <w:r>
        <w:rPr>
          <w:color w:val="231F20"/>
          <w:spacing w:val="-10"/>
          <w:sz w:val="18"/>
        </w:rPr>
        <w:t> </w:t>
      </w:r>
      <w:r>
        <w:rPr>
          <w:color w:val="231F20"/>
          <w:sz w:val="18"/>
        </w:rPr>
        <w:t>Education,</w:t>
      </w:r>
      <w:r>
        <w:rPr>
          <w:color w:val="231F20"/>
          <w:spacing w:val="-10"/>
          <w:sz w:val="18"/>
        </w:rPr>
        <w:t> </w:t>
      </w:r>
      <w:r>
        <w:rPr>
          <w:color w:val="231F20"/>
          <w:sz w:val="18"/>
        </w:rPr>
        <w:t>21(4),</w:t>
      </w:r>
      <w:r>
        <w:rPr>
          <w:color w:val="231F20"/>
          <w:spacing w:val="-10"/>
          <w:sz w:val="18"/>
        </w:rPr>
        <w:t> </w:t>
      </w:r>
      <w:r>
        <w:rPr>
          <w:color w:val="231F20"/>
          <w:sz w:val="18"/>
        </w:rPr>
        <w:t>486–502. </w:t>
      </w:r>
      <w:r>
        <w:rPr>
          <w:color w:val="2255A6"/>
          <w:sz w:val="18"/>
          <w:u w:val="single" w:color="2255A6"/>
        </w:rPr>
        <w:t>https://eric .ed .gov/?id=EJ1175004</w:t>
      </w:r>
      <w:r>
        <w:rPr>
          <w:color w:val="231F20"/>
          <w:sz w:val="18"/>
        </w:rPr>
        <w:t>. P. 487.</w:t>
      </w:r>
    </w:p>
    <w:p>
      <w:pPr>
        <w:pStyle w:val="ListParagraph"/>
        <w:spacing w:after="0" w:line="240" w:lineRule="auto"/>
        <w:jc w:val="both"/>
        <w:rPr>
          <w:sz w:val="18"/>
        </w:rPr>
        <w:sectPr>
          <w:footerReference w:type="default" r:id="rId230"/>
          <w:pgSz w:w="8400" w:h="11910"/>
          <w:pgMar w:header="0" w:footer="570" w:top="280" w:bottom="760" w:left="425" w:right="425"/>
          <w:pgNumType w:start="100"/>
        </w:sectPr>
      </w:pPr>
    </w:p>
    <w:p>
      <w:pPr>
        <w:spacing w:before="75"/>
        <w:ind w:left="141" w:right="0" w:firstLine="0"/>
        <w:jc w:val="left"/>
        <w:rPr>
          <w:rFonts w:ascii="Georgia" w:hAnsi="Georgia"/>
          <w:sz w:val="18"/>
        </w:rPr>
      </w:pPr>
      <w:r>
        <w:rPr>
          <w:rFonts w:ascii="Georgia" w:hAnsi="Georgia"/>
          <w:color w:val="231F20"/>
          <w:sz w:val="18"/>
        </w:rPr>
        <w:t>3.2.</w:t>
      </w:r>
      <w:r>
        <w:rPr>
          <w:rFonts w:ascii="Georgia" w:hAnsi="Georgia"/>
          <w:color w:val="231F20"/>
          <w:spacing w:val="-5"/>
          <w:sz w:val="18"/>
        </w:rPr>
        <w:t> </w:t>
      </w:r>
      <w:r>
        <w:rPr>
          <w:rFonts w:ascii="Georgia" w:hAnsi="Georgia"/>
          <w:color w:val="231F20"/>
          <w:sz w:val="18"/>
        </w:rPr>
        <w:t>Неформальные</w:t>
      </w:r>
      <w:r>
        <w:rPr>
          <w:rFonts w:ascii="Georgia" w:hAnsi="Georgia"/>
          <w:color w:val="231F20"/>
          <w:spacing w:val="-5"/>
          <w:sz w:val="18"/>
        </w:rPr>
        <w:t> </w:t>
      </w:r>
      <w:r>
        <w:rPr>
          <w:rFonts w:ascii="Georgia" w:hAnsi="Georgia"/>
          <w:color w:val="231F20"/>
          <w:sz w:val="18"/>
        </w:rPr>
        <w:t>родительские</w:t>
      </w:r>
      <w:r>
        <w:rPr>
          <w:rFonts w:ascii="Georgia" w:hAnsi="Georgia"/>
          <w:color w:val="231F20"/>
          <w:spacing w:val="-4"/>
          <w:sz w:val="18"/>
        </w:rPr>
        <w:t> </w:t>
      </w:r>
      <w:r>
        <w:rPr>
          <w:rFonts w:ascii="Georgia" w:hAnsi="Georgia"/>
          <w:color w:val="231F20"/>
          <w:spacing w:val="-2"/>
          <w:sz w:val="18"/>
        </w:rPr>
        <w:t>собрания</w:t>
      </w:r>
    </w:p>
    <w:p>
      <w:pPr>
        <w:pStyle w:val="BodyText"/>
        <w:spacing w:before="37"/>
        <w:ind w:left="0" w:right="0" w:firstLine="0"/>
        <w:jc w:val="left"/>
        <w:rPr>
          <w:rFonts w:ascii="Georgia"/>
          <w:sz w:val="18"/>
        </w:rPr>
      </w:pPr>
    </w:p>
    <w:p>
      <w:pPr>
        <w:pStyle w:val="ListParagraph"/>
        <w:numPr>
          <w:ilvl w:val="0"/>
          <w:numId w:val="264"/>
        </w:numPr>
        <w:tabs>
          <w:tab w:pos="708" w:val="left" w:leader="none"/>
        </w:tabs>
        <w:spacing w:line="240" w:lineRule="auto" w:before="0" w:after="0"/>
        <w:ind w:left="708" w:right="423" w:hanging="284"/>
        <w:jc w:val="both"/>
        <w:rPr>
          <w:sz w:val="18"/>
        </w:rPr>
      </w:pPr>
      <w:r>
        <w:rPr>
          <w:color w:val="231F20"/>
          <w:sz w:val="18"/>
        </w:rPr>
        <w:t>Greenberg Motamedi, J., Porter</w:t>
      </w:r>
      <w:r>
        <w:rPr>
          <w:color w:val="231F20"/>
          <w:spacing w:val="-3"/>
          <w:sz w:val="18"/>
        </w:rPr>
        <w:t> </w:t>
      </w:r>
      <w:r>
        <w:rPr>
          <w:color w:val="231F20"/>
          <w:sz w:val="18"/>
        </w:rPr>
        <w:t>L., Taylor</w:t>
      </w:r>
      <w:r>
        <w:rPr>
          <w:color w:val="231F20"/>
          <w:spacing w:val="-3"/>
          <w:sz w:val="18"/>
        </w:rPr>
        <w:t> </w:t>
      </w:r>
      <w:r>
        <w:rPr>
          <w:color w:val="231F20"/>
          <w:sz w:val="18"/>
        </w:rPr>
        <w:t>S., Leong</w:t>
      </w:r>
      <w:r>
        <w:rPr>
          <w:color w:val="231F20"/>
          <w:spacing w:val="-3"/>
          <w:sz w:val="18"/>
        </w:rPr>
        <w:t> </w:t>
      </w:r>
      <w:r>
        <w:rPr>
          <w:color w:val="231F20"/>
          <w:sz w:val="18"/>
        </w:rPr>
        <w:t>M., Martinez-Wenzl</w:t>
      </w:r>
      <w:r>
        <w:rPr>
          <w:color w:val="231F20"/>
          <w:spacing w:val="-3"/>
          <w:sz w:val="18"/>
        </w:rPr>
        <w:t> </w:t>
      </w:r>
      <w:r>
        <w:rPr>
          <w:color w:val="231F20"/>
          <w:sz w:val="18"/>
        </w:rPr>
        <w:t>M., &amp; Ser- rano</w:t>
      </w:r>
      <w:r>
        <w:rPr>
          <w:color w:val="231F20"/>
          <w:spacing w:val="-8"/>
          <w:sz w:val="18"/>
        </w:rPr>
        <w:t> </w:t>
      </w:r>
      <w:r>
        <w:rPr>
          <w:color w:val="231F20"/>
          <w:sz w:val="18"/>
        </w:rPr>
        <w:t>D.</w:t>
      </w:r>
      <w:r>
        <w:rPr>
          <w:color w:val="231F20"/>
          <w:spacing w:val="-4"/>
          <w:sz w:val="18"/>
        </w:rPr>
        <w:t> </w:t>
      </w:r>
      <w:r>
        <w:rPr>
          <w:color w:val="231F20"/>
          <w:sz w:val="18"/>
        </w:rPr>
        <w:t>(2021).</w:t>
      </w:r>
      <w:r>
        <w:rPr>
          <w:color w:val="231F20"/>
          <w:spacing w:val="-7"/>
          <w:sz w:val="18"/>
        </w:rPr>
        <w:t> </w:t>
      </w:r>
      <w:r>
        <w:rPr>
          <w:color w:val="231F20"/>
          <w:sz w:val="18"/>
        </w:rPr>
        <w:t>Welcoming,</w:t>
      </w:r>
      <w:r>
        <w:rPr>
          <w:color w:val="231F20"/>
          <w:spacing w:val="-4"/>
          <w:sz w:val="18"/>
        </w:rPr>
        <w:t> </w:t>
      </w:r>
      <w:r>
        <w:rPr>
          <w:color w:val="231F20"/>
          <w:sz w:val="18"/>
        </w:rPr>
        <w:t>registering,</w:t>
      </w:r>
      <w:r>
        <w:rPr>
          <w:color w:val="231F20"/>
          <w:spacing w:val="-4"/>
          <w:sz w:val="18"/>
        </w:rPr>
        <w:t> </w:t>
      </w:r>
      <w:r>
        <w:rPr>
          <w:color w:val="231F20"/>
          <w:sz w:val="18"/>
        </w:rPr>
        <w:t>and</w:t>
      </w:r>
      <w:r>
        <w:rPr>
          <w:color w:val="231F20"/>
          <w:spacing w:val="-4"/>
          <w:sz w:val="18"/>
        </w:rPr>
        <w:t> </w:t>
      </w:r>
      <w:r>
        <w:rPr>
          <w:color w:val="231F20"/>
          <w:sz w:val="18"/>
        </w:rPr>
        <w:t>supporting</w:t>
      </w:r>
      <w:r>
        <w:rPr>
          <w:color w:val="231F20"/>
          <w:spacing w:val="-4"/>
          <w:sz w:val="18"/>
        </w:rPr>
        <w:t> </w:t>
      </w:r>
      <w:r>
        <w:rPr>
          <w:color w:val="231F20"/>
          <w:sz w:val="18"/>
        </w:rPr>
        <w:t>newcomer</w:t>
      </w:r>
      <w:r>
        <w:rPr>
          <w:color w:val="231F20"/>
          <w:spacing w:val="-4"/>
          <w:sz w:val="18"/>
        </w:rPr>
        <w:t> </w:t>
      </w:r>
      <w:r>
        <w:rPr>
          <w:color w:val="231F20"/>
          <w:sz w:val="18"/>
        </w:rPr>
        <w:t>students:</w:t>
      </w:r>
      <w:r>
        <w:rPr>
          <w:color w:val="231F20"/>
          <w:spacing w:val="-12"/>
          <w:sz w:val="18"/>
        </w:rPr>
        <w:t> </w:t>
      </w:r>
      <w:r>
        <w:rPr>
          <w:color w:val="231F20"/>
          <w:sz w:val="18"/>
        </w:rPr>
        <w:t>A</w:t>
      </w:r>
      <w:r>
        <w:rPr>
          <w:color w:val="231F20"/>
          <w:spacing w:val="-11"/>
          <w:sz w:val="18"/>
        </w:rPr>
        <w:t> </w:t>
      </w:r>
      <w:r>
        <w:rPr>
          <w:color w:val="231F20"/>
          <w:sz w:val="18"/>
        </w:rPr>
        <w:t>toolkit</w:t>
      </w:r>
      <w:r>
        <w:rPr>
          <w:color w:val="231F20"/>
          <w:spacing w:val="-4"/>
          <w:sz w:val="18"/>
        </w:rPr>
        <w:t> </w:t>
      </w:r>
      <w:r>
        <w:rPr>
          <w:color w:val="231F20"/>
          <w:sz w:val="18"/>
        </w:rPr>
        <w:t>for educators</w:t>
      </w:r>
      <w:r>
        <w:rPr>
          <w:color w:val="231F20"/>
          <w:spacing w:val="-11"/>
          <w:sz w:val="18"/>
        </w:rPr>
        <w:t> </w:t>
      </w:r>
      <w:r>
        <w:rPr>
          <w:color w:val="231F20"/>
          <w:sz w:val="18"/>
        </w:rPr>
        <w:t>of</w:t>
      </w:r>
      <w:r>
        <w:rPr>
          <w:color w:val="231F20"/>
          <w:spacing w:val="-8"/>
          <w:sz w:val="18"/>
        </w:rPr>
        <w:t> </w:t>
      </w:r>
      <w:r>
        <w:rPr>
          <w:color w:val="231F20"/>
          <w:sz w:val="18"/>
        </w:rPr>
        <w:t>immigrant</w:t>
      </w:r>
      <w:r>
        <w:rPr>
          <w:color w:val="231F20"/>
          <w:spacing w:val="-8"/>
          <w:sz w:val="18"/>
        </w:rPr>
        <w:t> </w:t>
      </w:r>
      <w:r>
        <w:rPr>
          <w:color w:val="231F20"/>
          <w:sz w:val="18"/>
        </w:rPr>
        <w:t>and</w:t>
      </w:r>
      <w:r>
        <w:rPr>
          <w:color w:val="231F20"/>
          <w:spacing w:val="-8"/>
          <w:sz w:val="18"/>
        </w:rPr>
        <w:t> </w:t>
      </w:r>
      <w:r>
        <w:rPr>
          <w:color w:val="231F20"/>
          <w:sz w:val="18"/>
        </w:rPr>
        <w:t>refugee</w:t>
      </w:r>
      <w:r>
        <w:rPr>
          <w:color w:val="231F20"/>
          <w:spacing w:val="-8"/>
          <w:sz w:val="18"/>
        </w:rPr>
        <w:t> </w:t>
      </w:r>
      <w:r>
        <w:rPr>
          <w:color w:val="231F20"/>
          <w:sz w:val="18"/>
        </w:rPr>
        <w:t>students</w:t>
      </w:r>
      <w:r>
        <w:rPr>
          <w:color w:val="231F20"/>
          <w:spacing w:val="-8"/>
          <w:sz w:val="18"/>
        </w:rPr>
        <w:t> </w:t>
      </w:r>
      <w:r>
        <w:rPr>
          <w:color w:val="231F20"/>
          <w:sz w:val="18"/>
        </w:rPr>
        <w:t>in</w:t>
      </w:r>
      <w:r>
        <w:rPr>
          <w:color w:val="231F20"/>
          <w:spacing w:val="-8"/>
          <w:sz w:val="18"/>
        </w:rPr>
        <w:t> </w:t>
      </w:r>
      <w:r>
        <w:rPr>
          <w:color w:val="231F20"/>
          <w:sz w:val="18"/>
        </w:rPr>
        <w:t>secondary</w:t>
      </w:r>
      <w:r>
        <w:rPr>
          <w:color w:val="231F20"/>
          <w:spacing w:val="-8"/>
          <w:sz w:val="18"/>
        </w:rPr>
        <w:t> </w:t>
      </w:r>
      <w:r>
        <w:rPr>
          <w:color w:val="231F20"/>
          <w:sz w:val="18"/>
        </w:rPr>
        <w:t>schools</w:t>
      </w:r>
      <w:r>
        <w:rPr>
          <w:color w:val="231F20"/>
          <w:spacing w:val="-8"/>
          <w:sz w:val="18"/>
        </w:rPr>
        <w:t> </w:t>
      </w:r>
      <w:r>
        <w:rPr>
          <w:color w:val="231F20"/>
          <w:sz w:val="18"/>
        </w:rPr>
        <w:t>(REL</w:t>
      </w:r>
      <w:r>
        <w:rPr>
          <w:color w:val="231F20"/>
          <w:spacing w:val="-12"/>
          <w:sz w:val="18"/>
        </w:rPr>
        <w:t> </w:t>
      </w:r>
      <w:r>
        <w:rPr>
          <w:color w:val="231F20"/>
          <w:sz w:val="18"/>
        </w:rPr>
        <w:t>2021–064).</w:t>
      </w:r>
      <w:r>
        <w:rPr>
          <w:color w:val="231F20"/>
          <w:spacing w:val="-7"/>
          <w:sz w:val="18"/>
        </w:rPr>
        <w:t> </w:t>
      </w:r>
      <w:r>
        <w:rPr>
          <w:color w:val="231F20"/>
          <w:sz w:val="18"/>
        </w:rPr>
        <w:t>U.S</w:t>
      </w:r>
      <w:r>
        <w:rPr>
          <w:color w:val="231F20"/>
          <w:spacing w:val="-8"/>
          <w:sz w:val="18"/>
        </w:rPr>
        <w:t> </w:t>
      </w:r>
      <w:r>
        <w:rPr>
          <w:color w:val="231F20"/>
          <w:sz w:val="18"/>
        </w:rPr>
        <w:t>. Department</w:t>
      </w:r>
      <w:r>
        <w:rPr>
          <w:color w:val="231F20"/>
          <w:spacing w:val="-3"/>
          <w:sz w:val="18"/>
        </w:rPr>
        <w:t> </w:t>
      </w:r>
      <w:r>
        <w:rPr>
          <w:color w:val="231F20"/>
          <w:sz w:val="18"/>
        </w:rPr>
        <w:t>of</w:t>
      </w:r>
      <w:r>
        <w:rPr>
          <w:color w:val="231F20"/>
          <w:spacing w:val="-3"/>
          <w:sz w:val="18"/>
        </w:rPr>
        <w:t> </w:t>
      </w:r>
      <w:r>
        <w:rPr>
          <w:color w:val="231F20"/>
          <w:sz w:val="18"/>
        </w:rPr>
        <w:t>Education,</w:t>
      </w:r>
      <w:r>
        <w:rPr>
          <w:color w:val="231F20"/>
          <w:spacing w:val="-3"/>
          <w:sz w:val="18"/>
        </w:rPr>
        <w:t> </w:t>
      </w:r>
      <w:r>
        <w:rPr>
          <w:color w:val="231F20"/>
          <w:sz w:val="18"/>
        </w:rPr>
        <w:t>Institute</w:t>
      </w:r>
      <w:r>
        <w:rPr>
          <w:color w:val="231F20"/>
          <w:spacing w:val="-3"/>
          <w:sz w:val="18"/>
        </w:rPr>
        <w:t> </w:t>
      </w:r>
      <w:r>
        <w:rPr>
          <w:color w:val="231F20"/>
          <w:sz w:val="18"/>
        </w:rPr>
        <w:t>of</w:t>
      </w:r>
      <w:r>
        <w:rPr>
          <w:color w:val="231F20"/>
          <w:spacing w:val="-3"/>
          <w:sz w:val="18"/>
        </w:rPr>
        <w:t> </w:t>
      </w:r>
      <w:r>
        <w:rPr>
          <w:color w:val="231F20"/>
          <w:sz w:val="18"/>
        </w:rPr>
        <w:t>Education</w:t>
      </w:r>
      <w:r>
        <w:rPr>
          <w:color w:val="231F20"/>
          <w:spacing w:val="-3"/>
          <w:sz w:val="18"/>
        </w:rPr>
        <w:t> </w:t>
      </w:r>
      <w:r>
        <w:rPr>
          <w:color w:val="231F20"/>
          <w:sz w:val="18"/>
        </w:rPr>
        <w:t>Sciences,</w:t>
      </w:r>
      <w:r>
        <w:rPr>
          <w:color w:val="231F20"/>
          <w:spacing w:val="-3"/>
          <w:sz w:val="18"/>
        </w:rPr>
        <w:t> </w:t>
      </w:r>
      <w:r>
        <w:rPr>
          <w:color w:val="231F20"/>
          <w:sz w:val="18"/>
        </w:rPr>
        <w:t>National</w:t>
      </w:r>
      <w:r>
        <w:rPr>
          <w:color w:val="231F20"/>
          <w:spacing w:val="-3"/>
          <w:sz w:val="18"/>
        </w:rPr>
        <w:t> </w:t>
      </w:r>
      <w:r>
        <w:rPr>
          <w:color w:val="231F20"/>
          <w:sz w:val="18"/>
        </w:rPr>
        <w:t>Center</w:t>
      </w:r>
      <w:r>
        <w:rPr>
          <w:color w:val="231F20"/>
          <w:spacing w:val="-3"/>
          <w:sz w:val="18"/>
        </w:rPr>
        <w:t> </w:t>
      </w:r>
      <w:r>
        <w:rPr>
          <w:color w:val="231F20"/>
          <w:sz w:val="18"/>
        </w:rPr>
        <w:t>for</w:t>
      </w:r>
      <w:r>
        <w:rPr>
          <w:color w:val="231F20"/>
          <w:spacing w:val="-3"/>
          <w:sz w:val="18"/>
        </w:rPr>
        <w:t> </w:t>
      </w:r>
      <w:r>
        <w:rPr>
          <w:color w:val="231F20"/>
          <w:sz w:val="18"/>
        </w:rPr>
        <w:t>Education Evaluation</w:t>
      </w:r>
      <w:r>
        <w:rPr>
          <w:color w:val="231F20"/>
          <w:spacing w:val="-2"/>
          <w:sz w:val="18"/>
        </w:rPr>
        <w:t> </w:t>
      </w:r>
      <w:r>
        <w:rPr>
          <w:color w:val="231F20"/>
          <w:sz w:val="18"/>
        </w:rPr>
        <w:t>and</w:t>
      </w:r>
      <w:r>
        <w:rPr>
          <w:color w:val="231F20"/>
          <w:spacing w:val="-2"/>
          <w:sz w:val="18"/>
        </w:rPr>
        <w:t> </w:t>
      </w:r>
      <w:r>
        <w:rPr>
          <w:color w:val="231F20"/>
          <w:sz w:val="18"/>
        </w:rPr>
        <w:t>Regional</w:t>
      </w:r>
      <w:r>
        <w:rPr>
          <w:color w:val="231F20"/>
          <w:spacing w:val="-11"/>
          <w:sz w:val="18"/>
        </w:rPr>
        <w:t> </w:t>
      </w:r>
      <w:r>
        <w:rPr>
          <w:color w:val="231F20"/>
          <w:sz w:val="18"/>
        </w:rPr>
        <w:t>Assistance,</w:t>
      </w:r>
      <w:r>
        <w:rPr>
          <w:color w:val="231F20"/>
          <w:spacing w:val="-2"/>
          <w:sz w:val="18"/>
        </w:rPr>
        <w:t> </w:t>
      </w:r>
      <w:r>
        <w:rPr>
          <w:color w:val="231F20"/>
          <w:sz w:val="18"/>
        </w:rPr>
        <w:t>Regional</w:t>
      </w:r>
      <w:r>
        <w:rPr>
          <w:color w:val="231F20"/>
          <w:spacing w:val="-2"/>
          <w:sz w:val="18"/>
        </w:rPr>
        <w:t> </w:t>
      </w:r>
      <w:r>
        <w:rPr>
          <w:color w:val="231F20"/>
          <w:sz w:val="18"/>
        </w:rPr>
        <w:t>Educational</w:t>
      </w:r>
      <w:r>
        <w:rPr>
          <w:color w:val="231F20"/>
          <w:spacing w:val="-2"/>
          <w:sz w:val="18"/>
        </w:rPr>
        <w:t> </w:t>
      </w:r>
      <w:r>
        <w:rPr>
          <w:color w:val="231F20"/>
          <w:sz w:val="18"/>
        </w:rPr>
        <w:t>Laboratory</w:t>
      </w:r>
      <w:r>
        <w:rPr>
          <w:color w:val="231F20"/>
          <w:spacing w:val="-2"/>
          <w:sz w:val="18"/>
        </w:rPr>
        <w:t> </w:t>
      </w:r>
      <w:r>
        <w:rPr>
          <w:color w:val="231F20"/>
          <w:sz w:val="18"/>
        </w:rPr>
        <w:t>Northwest.</w:t>
      </w:r>
      <w:r>
        <w:rPr>
          <w:color w:val="231F20"/>
          <w:spacing w:val="-2"/>
          <w:sz w:val="18"/>
        </w:rPr>
        <w:t> </w:t>
      </w:r>
      <w:r>
        <w:rPr>
          <w:color w:val="2255A6"/>
          <w:sz w:val="18"/>
          <w:u w:val="single" w:color="2255A6"/>
        </w:rPr>
        <w:t>http://</w:t>
      </w:r>
      <w:r>
        <w:rPr>
          <w:color w:val="2255A6"/>
          <w:sz w:val="18"/>
        </w:rPr>
        <w:t> </w:t>
      </w:r>
      <w:r>
        <w:rPr>
          <w:color w:val="2255A6"/>
          <w:sz w:val="18"/>
          <w:u w:val="single" w:color="2255A6"/>
        </w:rPr>
        <w:t>ies .ed .gov/ncee/ edlabs</w:t>
      </w:r>
      <w:r>
        <w:rPr>
          <w:color w:val="231F20"/>
          <w:sz w:val="18"/>
        </w:rPr>
        <w:t>.</w:t>
      </w:r>
    </w:p>
    <w:p>
      <w:pPr>
        <w:pStyle w:val="ListParagraph"/>
        <w:numPr>
          <w:ilvl w:val="0"/>
          <w:numId w:val="264"/>
        </w:numPr>
        <w:tabs>
          <w:tab w:pos="708" w:val="left" w:leader="none"/>
        </w:tabs>
        <w:spacing w:line="240" w:lineRule="auto" w:before="0" w:after="0"/>
        <w:ind w:left="708" w:right="423" w:hanging="284"/>
        <w:jc w:val="both"/>
        <w:rPr>
          <w:sz w:val="18"/>
        </w:rPr>
      </w:pPr>
      <w:r>
        <w:rPr>
          <w:color w:val="231F20"/>
          <w:sz w:val="18"/>
        </w:rPr>
        <w:t>Kirkpatrick</w:t>
      </w:r>
      <w:r>
        <w:rPr>
          <w:color w:val="231F20"/>
          <w:spacing w:val="-2"/>
          <w:sz w:val="18"/>
        </w:rPr>
        <w:t> </w:t>
      </w:r>
      <w:r>
        <w:rPr>
          <w:color w:val="231F20"/>
          <w:sz w:val="18"/>
        </w:rPr>
        <w:t>D.L.Techniques</w:t>
      </w:r>
      <w:r>
        <w:rPr>
          <w:color w:val="231F20"/>
          <w:spacing w:val="-2"/>
          <w:sz w:val="18"/>
        </w:rPr>
        <w:t> </w:t>
      </w:r>
      <w:r>
        <w:rPr>
          <w:color w:val="231F20"/>
          <w:sz w:val="18"/>
        </w:rPr>
        <w:t>for</w:t>
      </w:r>
      <w:r>
        <w:rPr>
          <w:color w:val="231F20"/>
          <w:spacing w:val="-2"/>
          <w:sz w:val="18"/>
        </w:rPr>
        <w:t> </w:t>
      </w:r>
      <w:r>
        <w:rPr>
          <w:color w:val="231F20"/>
          <w:sz w:val="18"/>
        </w:rPr>
        <w:t>Evolutions</w:t>
      </w:r>
      <w:r>
        <w:rPr>
          <w:color w:val="231F20"/>
          <w:spacing w:val="-5"/>
          <w:sz w:val="18"/>
        </w:rPr>
        <w:t> </w:t>
      </w:r>
      <w:r>
        <w:rPr>
          <w:color w:val="231F20"/>
          <w:sz w:val="18"/>
        </w:rPr>
        <w:t>Training</w:t>
      </w:r>
      <w:r>
        <w:rPr>
          <w:color w:val="231F20"/>
          <w:spacing w:val="-2"/>
          <w:sz w:val="18"/>
        </w:rPr>
        <w:t> </w:t>
      </w:r>
      <w:r>
        <w:rPr>
          <w:color w:val="231F20"/>
          <w:sz w:val="18"/>
        </w:rPr>
        <w:t>Programs//</w:t>
      </w:r>
      <w:r>
        <w:rPr>
          <w:color w:val="231F20"/>
          <w:spacing w:val="-2"/>
          <w:sz w:val="18"/>
        </w:rPr>
        <w:t> </w:t>
      </w:r>
      <w:r>
        <w:rPr>
          <w:color w:val="231F20"/>
          <w:sz w:val="18"/>
        </w:rPr>
        <w:t>Journal</w:t>
      </w:r>
      <w:r>
        <w:rPr>
          <w:color w:val="231F20"/>
          <w:spacing w:val="-2"/>
          <w:sz w:val="18"/>
        </w:rPr>
        <w:t> </w:t>
      </w:r>
      <w:r>
        <w:rPr>
          <w:color w:val="231F20"/>
          <w:sz w:val="18"/>
        </w:rPr>
        <w:t>of</w:t>
      </w:r>
      <w:r>
        <w:rPr>
          <w:color w:val="231F20"/>
          <w:spacing w:val="-2"/>
          <w:sz w:val="18"/>
        </w:rPr>
        <w:t> </w:t>
      </w:r>
      <w:r>
        <w:rPr>
          <w:color w:val="231F20"/>
          <w:sz w:val="18"/>
        </w:rPr>
        <w:t>the</w:t>
      </w:r>
      <w:r>
        <w:rPr>
          <w:color w:val="231F20"/>
          <w:spacing w:val="-11"/>
          <w:sz w:val="18"/>
        </w:rPr>
        <w:t> </w:t>
      </w:r>
      <w:r>
        <w:rPr>
          <w:color w:val="231F20"/>
          <w:sz w:val="18"/>
        </w:rPr>
        <w:t>American Society of trainings directors, 13, 21–26.1959.</w:t>
      </w:r>
    </w:p>
    <w:p>
      <w:pPr>
        <w:pStyle w:val="ListParagraph"/>
        <w:numPr>
          <w:ilvl w:val="0"/>
          <w:numId w:val="264"/>
        </w:numPr>
        <w:tabs>
          <w:tab w:pos="708" w:val="left" w:leader="none"/>
        </w:tabs>
        <w:spacing w:line="240" w:lineRule="auto" w:before="0" w:after="0"/>
        <w:ind w:left="708" w:right="423" w:hanging="284"/>
        <w:jc w:val="both"/>
        <w:rPr>
          <w:sz w:val="18"/>
        </w:rPr>
      </w:pPr>
      <w:r>
        <w:rPr>
          <w:color w:val="231F20"/>
          <w:sz w:val="18"/>
        </w:rPr>
        <w:t>Niehaus</w:t>
      </w:r>
      <w:r>
        <w:rPr>
          <w:color w:val="231F20"/>
          <w:spacing w:val="-6"/>
          <w:sz w:val="18"/>
        </w:rPr>
        <w:t> </w:t>
      </w:r>
      <w:r>
        <w:rPr>
          <w:color w:val="231F20"/>
          <w:sz w:val="18"/>
        </w:rPr>
        <w:t>K.,</w:t>
      </w:r>
      <w:r>
        <w:rPr>
          <w:color w:val="231F20"/>
          <w:spacing w:val="-4"/>
          <w:sz w:val="18"/>
        </w:rPr>
        <w:t> </w:t>
      </w:r>
      <w:r>
        <w:rPr>
          <w:color w:val="231F20"/>
          <w:sz w:val="18"/>
        </w:rPr>
        <w:t>&amp;</w:t>
      </w:r>
      <w:r>
        <w:rPr>
          <w:color w:val="231F20"/>
          <w:spacing w:val="-12"/>
          <w:sz w:val="18"/>
        </w:rPr>
        <w:t> </w:t>
      </w:r>
      <w:r>
        <w:rPr>
          <w:color w:val="231F20"/>
          <w:sz w:val="18"/>
        </w:rPr>
        <w:t>Adelson</w:t>
      </w:r>
      <w:r>
        <w:rPr>
          <w:color w:val="231F20"/>
          <w:spacing w:val="-2"/>
          <w:sz w:val="18"/>
        </w:rPr>
        <w:t> </w:t>
      </w:r>
      <w:r>
        <w:rPr>
          <w:color w:val="231F20"/>
          <w:sz w:val="18"/>
        </w:rPr>
        <w:t>J.L.</w:t>
      </w:r>
      <w:r>
        <w:rPr>
          <w:color w:val="231F20"/>
          <w:spacing w:val="-4"/>
          <w:sz w:val="18"/>
        </w:rPr>
        <w:t> </w:t>
      </w:r>
      <w:r>
        <w:rPr>
          <w:color w:val="231F20"/>
          <w:sz w:val="18"/>
        </w:rPr>
        <w:t>(2014)</w:t>
      </w:r>
      <w:r>
        <w:rPr>
          <w:color w:val="231F20"/>
          <w:spacing w:val="-4"/>
          <w:sz w:val="18"/>
        </w:rPr>
        <w:t> </w:t>
      </w:r>
      <w:r>
        <w:rPr>
          <w:color w:val="231F20"/>
          <w:sz w:val="18"/>
        </w:rPr>
        <w:t>.</w:t>
      </w:r>
      <w:r>
        <w:rPr>
          <w:color w:val="231F20"/>
          <w:spacing w:val="-4"/>
          <w:sz w:val="18"/>
        </w:rPr>
        <w:t> </w:t>
      </w:r>
      <w:r>
        <w:rPr>
          <w:color w:val="231F20"/>
          <w:sz w:val="18"/>
        </w:rPr>
        <w:t>School</w:t>
      </w:r>
      <w:r>
        <w:rPr>
          <w:color w:val="231F20"/>
          <w:spacing w:val="-5"/>
          <w:sz w:val="18"/>
        </w:rPr>
        <w:t> </w:t>
      </w:r>
      <w:r>
        <w:rPr>
          <w:color w:val="231F20"/>
          <w:sz w:val="18"/>
        </w:rPr>
        <w:t>support,</w:t>
      </w:r>
      <w:r>
        <w:rPr>
          <w:color w:val="231F20"/>
          <w:spacing w:val="-4"/>
          <w:sz w:val="18"/>
        </w:rPr>
        <w:t> </w:t>
      </w:r>
      <w:r>
        <w:rPr>
          <w:color w:val="231F20"/>
          <w:sz w:val="18"/>
        </w:rPr>
        <w:t>parental</w:t>
      </w:r>
      <w:r>
        <w:rPr>
          <w:color w:val="231F20"/>
          <w:spacing w:val="-4"/>
          <w:sz w:val="18"/>
        </w:rPr>
        <w:t> </w:t>
      </w:r>
      <w:r>
        <w:rPr>
          <w:color w:val="231F20"/>
          <w:sz w:val="18"/>
        </w:rPr>
        <w:t>involvement,</w:t>
      </w:r>
      <w:r>
        <w:rPr>
          <w:color w:val="231F20"/>
          <w:spacing w:val="-4"/>
          <w:sz w:val="18"/>
        </w:rPr>
        <w:t> </w:t>
      </w:r>
      <w:r>
        <w:rPr>
          <w:color w:val="231F20"/>
          <w:sz w:val="18"/>
        </w:rPr>
        <w:t>and</w:t>
      </w:r>
      <w:r>
        <w:rPr>
          <w:color w:val="231F20"/>
          <w:spacing w:val="-5"/>
          <w:sz w:val="18"/>
        </w:rPr>
        <w:t> </w:t>
      </w:r>
      <w:r>
        <w:rPr>
          <w:color w:val="231F20"/>
          <w:sz w:val="18"/>
        </w:rPr>
        <w:t>academic and social-emotional outcomes for English language learners. American Educational Research Journal, 51(4), 810–844. </w:t>
      </w:r>
      <w:r>
        <w:rPr>
          <w:color w:val="2255A6"/>
          <w:sz w:val="18"/>
          <w:u w:val="single" w:color="2255A6"/>
        </w:rPr>
        <w:t>https://eric .ed .gov/?id=EJ1033166</w:t>
      </w:r>
      <w:r>
        <w:rPr>
          <w:color w:val="231F20"/>
          <w:sz w:val="18"/>
        </w:rPr>
        <w:t>.</w:t>
      </w:r>
    </w:p>
    <w:p>
      <w:pPr>
        <w:pStyle w:val="ListParagraph"/>
        <w:spacing w:after="0" w:line="240" w:lineRule="auto"/>
        <w:jc w:val="both"/>
        <w:rPr>
          <w:sz w:val="18"/>
        </w:rPr>
        <w:sectPr>
          <w:pgSz w:w="8400" w:h="11910"/>
          <w:pgMar w:header="0" w:footer="570" w:top="280" w:bottom="860" w:left="425" w:right="425"/>
        </w:sect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ind w:left="0" w:right="0" w:firstLine="0"/>
        <w:jc w:val="left"/>
        <w:rPr>
          <w:sz w:val="28"/>
        </w:rPr>
      </w:pPr>
    </w:p>
    <w:p>
      <w:pPr>
        <w:pStyle w:val="BodyText"/>
        <w:spacing w:before="299"/>
        <w:ind w:left="0" w:right="0" w:firstLine="0"/>
        <w:jc w:val="left"/>
        <w:rPr>
          <w:sz w:val="28"/>
        </w:rPr>
      </w:pPr>
    </w:p>
    <w:p>
      <w:pPr>
        <w:spacing w:before="1"/>
        <w:ind w:left="303" w:right="303" w:firstLine="0"/>
        <w:jc w:val="center"/>
        <w:rPr>
          <w:rFonts w:ascii="Georgia" w:hAnsi="Georgia"/>
          <w:b/>
          <w:sz w:val="28"/>
        </w:rPr>
      </w:pPr>
      <w:bookmarkStart w:name="_bookmark87" w:id="89"/>
      <w:bookmarkEnd w:id="89"/>
      <w:r>
        <w:rPr/>
      </w:r>
      <w:r>
        <w:rPr>
          <w:rFonts w:ascii="Georgia" w:hAnsi="Georgia"/>
          <w:b/>
          <w:color w:val="231F20"/>
          <w:w w:val="90"/>
          <w:sz w:val="28"/>
        </w:rPr>
        <w:t>РАЗДЕЛ</w:t>
      </w:r>
      <w:r>
        <w:rPr>
          <w:rFonts w:ascii="Georgia" w:hAnsi="Georgia"/>
          <w:b/>
          <w:color w:val="231F20"/>
          <w:spacing w:val="5"/>
          <w:sz w:val="28"/>
        </w:rPr>
        <w:t> </w:t>
      </w:r>
      <w:r>
        <w:rPr>
          <w:rFonts w:ascii="Georgia" w:hAnsi="Georgia"/>
          <w:b/>
          <w:color w:val="231F20"/>
          <w:spacing w:val="-7"/>
          <w:sz w:val="28"/>
        </w:rPr>
        <w:t>4.</w:t>
      </w:r>
    </w:p>
    <w:p>
      <w:pPr>
        <w:spacing w:line="348" w:lineRule="auto" w:before="255"/>
        <w:ind w:left="303" w:right="301" w:firstLine="0"/>
        <w:jc w:val="center"/>
        <w:rPr>
          <w:rFonts w:ascii="Georgia" w:hAnsi="Georgia"/>
          <w:b/>
          <w:sz w:val="28"/>
        </w:rPr>
      </w:pPr>
      <w:r>
        <w:rPr>
          <w:rFonts w:ascii="Georgia" w:hAnsi="Georgia"/>
          <w:b/>
          <w:color w:val="231F20"/>
          <w:w w:val="90"/>
          <w:sz w:val="28"/>
        </w:rPr>
        <w:t>Работа</w:t>
      </w:r>
      <w:r>
        <w:rPr>
          <w:rFonts w:ascii="Georgia" w:hAnsi="Georgia"/>
          <w:b/>
          <w:color w:val="231F20"/>
          <w:spacing w:val="-11"/>
          <w:w w:val="90"/>
          <w:sz w:val="28"/>
        </w:rPr>
        <w:t> </w:t>
      </w:r>
      <w:r>
        <w:rPr>
          <w:rFonts w:ascii="Georgia" w:hAnsi="Georgia"/>
          <w:b/>
          <w:color w:val="231F20"/>
          <w:w w:val="90"/>
          <w:sz w:val="28"/>
        </w:rPr>
        <w:t>педагога</w:t>
      </w:r>
      <w:r>
        <w:rPr>
          <w:rFonts w:ascii="Georgia" w:hAnsi="Georgia"/>
          <w:b/>
          <w:color w:val="231F20"/>
          <w:spacing w:val="-11"/>
          <w:w w:val="90"/>
          <w:sz w:val="28"/>
        </w:rPr>
        <w:t> </w:t>
      </w:r>
      <w:r>
        <w:rPr>
          <w:rFonts w:ascii="Georgia" w:hAnsi="Georgia"/>
          <w:b/>
          <w:color w:val="231F20"/>
          <w:w w:val="90"/>
          <w:sz w:val="28"/>
        </w:rPr>
        <w:t>с</w:t>
      </w:r>
      <w:r>
        <w:rPr>
          <w:rFonts w:ascii="Georgia" w:hAnsi="Georgia"/>
          <w:b/>
          <w:color w:val="231F20"/>
          <w:spacing w:val="-10"/>
          <w:w w:val="90"/>
          <w:sz w:val="28"/>
        </w:rPr>
        <w:t> </w:t>
      </w:r>
      <w:r>
        <w:rPr>
          <w:rFonts w:ascii="Georgia" w:hAnsi="Georgia"/>
          <w:b/>
          <w:color w:val="231F20"/>
          <w:w w:val="90"/>
          <w:sz w:val="28"/>
        </w:rPr>
        <w:t>ученическим</w:t>
      </w:r>
      <w:r>
        <w:rPr>
          <w:rFonts w:ascii="Georgia" w:hAnsi="Georgia"/>
          <w:b/>
          <w:color w:val="231F20"/>
          <w:spacing w:val="-11"/>
          <w:w w:val="90"/>
          <w:sz w:val="28"/>
        </w:rPr>
        <w:t> </w:t>
      </w:r>
      <w:r>
        <w:rPr>
          <w:rFonts w:ascii="Georgia" w:hAnsi="Georgia"/>
          <w:b/>
          <w:color w:val="231F20"/>
          <w:w w:val="90"/>
          <w:sz w:val="28"/>
        </w:rPr>
        <w:t>сообществом: </w:t>
      </w:r>
      <w:r>
        <w:rPr>
          <w:rFonts w:ascii="Georgia" w:hAnsi="Georgia"/>
          <w:b/>
          <w:color w:val="231F20"/>
          <w:sz w:val="28"/>
        </w:rPr>
        <w:t>класс</w:t>
      </w:r>
      <w:r>
        <w:rPr>
          <w:rFonts w:ascii="Georgia" w:hAnsi="Georgia"/>
          <w:b/>
          <w:color w:val="231F20"/>
          <w:spacing w:val="-18"/>
          <w:sz w:val="28"/>
        </w:rPr>
        <w:t> </w:t>
      </w:r>
      <w:r>
        <w:rPr>
          <w:rFonts w:ascii="Georgia" w:hAnsi="Georgia"/>
          <w:b/>
          <w:color w:val="231F20"/>
          <w:sz w:val="28"/>
        </w:rPr>
        <w:t>и</w:t>
      </w:r>
      <w:r>
        <w:rPr>
          <w:rFonts w:ascii="Georgia" w:hAnsi="Georgia"/>
          <w:b/>
          <w:color w:val="231F20"/>
          <w:spacing w:val="-18"/>
          <w:sz w:val="28"/>
        </w:rPr>
        <w:t> </w:t>
      </w:r>
      <w:r>
        <w:rPr>
          <w:rFonts w:ascii="Georgia" w:hAnsi="Georgia"/>
          <w:b/>
          <w:color w:val="231F20"/>
          <w:sz w:val="28"/>
        </w:rPr>
        <w:t>школа</w:t>
      </w:r>
    </w:p>
    <w:p>
      <w:pPr>
        <w:spacing w:after="0" w:line="348" w:lineRule="auto"/>
        <w:jc w:val="center"/>
        <w:rPr>
          <w:rFonts w:ascii="Georgia" w:hAnsi="Georgia"/>
          <w:b/>
          <w:sz w:val="28"/>
        </w:rPr>
        <w:sectPr>
          <w:footerReference w:type="default" r:id="rId231"/>
          <w:pgSz w:w="8400" w:h="11910"/>
          <w:pgMar w:header="0" w:footer="0" w:top="1340" w:bottom="280" w:left="425" w:right="425"/>
        </w:sectPr>
      </w:pPr>
    </w:p>
    <w:p>
      <w:pPr>
        <w:numPr>
          <w:ilvl w:val="1"/>
          <w:numId w:val="264"/>
        </w:numPr>
        <w:tabs>
          <w:tab w:pos="857" w:val="left" w:leader="none"/>
        </w:tabs>
        <w:spacing w:before="73"/>
        <w:ind w:left="857" w:right="0" w:hanging="350"/>
        <w:jc w:val="left"/>
        <w:rPr>
          <w:b/>
          <w:color w:val="231F20"/>
          <w:sz w:val="20"/>
        </w:rPr>
      </w:pPr>
      <w:bookmarkStart w:name="_bookmark88" w:id="90"/>
      <w:bookmarkEnd w:id="90"/>
      <w:r>
        <w:rPr/>
      </w:r>
      <w:r>
        <w:rPr>
          <w:b/>
          <w:color w:val="231F20"/>
          <w:spacing w:val="-2"/>
          <w:sz w:val="20"/>
        </w:rPr>
        <w:t>Активности</w:t>
      </w:r>
      <w:r>
        <w:rPr>
          <w:b/>
          <w:color w:val="231F20"/>
          <w:spacing w:val="2"/>
          <w:sz w:val="20"/>
        </w:rPr>
        <w:t> </w:t>
      </w:r>
      <w:r>
        <w:rPr>
          <w:b/>
          <w:color w:val="231F20"/>
          <w:spacing w:val="-2"/>
          <w:sz w:val="20"/>
        </w:rPr>
        <w:t>межкультурного</w:t>
      </w:r>
      <w:r>
        <w:rPr>
          <w:b/>
          <w:color w:val="231F20"/>
          <w:spacing w:val="6"/>
          <w:sz w:val="20"/>
        </w:rPr>
        <w:t> </w:t>
      </w:r>
      <w:r>
        <w:rPr>
          <w:b/>
          <w:color w:val="231F20"/>
          <w:spacing w:val="-2"/>
          <w:sz w:val="20"/>
        </w:rPr>
        <w:t>тренинга</w:t>
      </w:r>
      <w:r>
        <w:rPr>
          <w:b/>
          <w:color w:val="231F20"/>
          <w:spacing w:val="6"/>
          <w:sz w:val="20"/>
        </w:rPr>
        <w:t> </w:t>
      </w:r>
      <w:r>
        <w:rPr>
          <w:b/>
          <w:color w:val="231F20"/>
          <w:spacing w:val="-2"/>
          <w:sz w:val="20"/>
        </w:rPr>
        <w:t>для</w:t>
      </w:r>
      <w:r>
        <w:rPr>
          <w:b/>
          <w:color w:val="231F20"/>
          <w:spacing w:val="6"/>
          <w:sz w:val="20"/>
        </w:rPr>
        <w:t> </w:t>
      </w:r>
      <w:r>
        <w:rPr>
          <w:b/>
          <w:color w:val="231F20"/>
          <w:spacing w:val="-2"/>
          <w:sz w:val="20"/>
        </w:rPr>
        <w:t>поликультурного</w:t>
      </w:r>
      <w:r>
        <w:rPr>
          <w:b/>
          <w:color w:val="231F20"/>
          <w:spacing w:val="6"/>
          <w:sz w:val="20"/>
        </w:rPr>
        <w:t> </w:t>
      </w:r>
      <w:r>
        <w:rPr>
          <w:b/>
          <w:color w:val="231F20"/>
          <w:spacing w:val="-2"/>
          <w:sz w:val="20"/>
        </w:rPr>
        <w:t>класса</w:t>
      </w:r>
    </w:p>
    <w:p>
      <w:pPr>
        <w:spacing w:before="166"/>
        <w:ind w:left="4893" w:right="0" w:firstLine="0"/>
        <w:jc w:val="left"/>
        <w:rPr>
          <w:i/>
          <w:sz w:val="20"/>
        </w:rPr>
      </w:pPr>
      <w:r>
        <w:rPr>
          <w:i/>
          <w:color w:val="231F20"/>
          <w:sz w:val="20"/>
        </w:rPr>
        <w:t>О.Е.</w:t>
      </w:r>
      <w:r>
        <w:rPr>
          <w:i/>
          <w:color w:val="231F20"/>
          <w:spacing w:val="-2"/>
          <w:sz w:val="20"/>
        </w:rPr>
        <w:t> </w:t>
      </w:r>
      <w:r>
        <w:rPr>
          <w:i/>
          <w:color w:val="231F20"/>
          <w:sz w:val="20"/>
        </w:rPr>
        <w:t>Хухлаев,</w:t>
      </w:r>
      <w:r>
        <w:rPr>
          <w:i/>
          <w:color w:val="231F20"/>
          <w:spacing w:val="-2"/>
          <w:sz w:val="20"/>
        </w:rPr>
        <w:t> </w:t>
      </w:r>
      <w:r>
        <w:rPr>
          <w:i/>
          <w:color w:val="231F20"/>
          <w:sz w:val="20"/>
        </w:rPr>
        <w:t>М.Ю.</w:t>
      </w:r>
      <w:r>
        <w:rPr>
          <w:i/>
          <w:color w:val="231F20"/>
          <w:spacing w:val="-1"/>
          <w:sz w:val="20"/>
        </w:rPr>
        <w:t> </w:t>
      </w:r>
      <w:r>
        <w:rPr>
          <w:i/>
          <w:color w:val="231F20"/>
          <w:spacing w:val="-2"/>
          <w:sz w:val="20"/>
        </w:rPr>
        <w:t>Чибисова</w:t>
      </w:r>
    </w:p>
    <w:p>
      <w:pPr>
        <w:numPr>
          <w:ilvl w:val="2"/>
          <w:numId w:val="264"/>
        </w:numPr>
        <w:tabs>
          <w:tab w:pos="2523" w:val="left" w:leader="none"/>
        </w:tabs>
        <w:spacing w:before="110"/>
        <w:ind w:left="2523" w:right="0" w:hanging="500"/>
        <w:jc w:val="left"/>
        <w:rPr>
          <w:b/>
          <w:sz w:val="20"/>
        </w:rPr>
      </w:pPr>
      <w:r>
        <w:rPr>
          <w:b/>
          <w:color w:val="231F20"/>
          <w:sz w:val="20"/>
        </w:rPr>
        <w:t>Общее</w:t>
      </w:r>
      <w:r>
        <w:rPr>
          <w:b/>
          <w:color w:val="231F20"/>
          <w:spacing w:val="1"/>
          <w:sz w:val="20"/>
        </w:rPr>
        <w:t> </w:t>
      </w:r>
      <w:r>
        <w:rPr>
          <w:b/>
          <w:color w:val="231F20"/>
          <w:sz w:val="20"/>
        </w:rPr>
        <w:t>описание</w:t>
      </w:r>
      <w:r>
        <w:rPr>
          <w:b/>
          <w:color w:val="231F20"/>
          <w:spacing w:val="1"/>
          <w:sz w:val="20"/>
        </w:rPr>
        <w:t> </w:t>
      </w:r>
      <w:r>
        <w:rPr>
          <w:b/>
          <w:color w:val="231F20"/>
          <w:spacing w:val="-2"/>
          <w:sz w:val="20"/>
        </w:rPr>
        <w:t>инструментария</w:t>
      </w:r>
    </w:p>
    <w:p>
      <w:pPr>
        <w:pStyle w:val="BodyText"/>
        <w:spacing w:line="232" w:lineRule="auto" w:before="115"/>
        <w:ind w:firstLine="358"/>
      </w:pPr>
      <w:r>
        <w:rPr>
          <w:color w:val="231F20"/>
        </w:rPr>
        <w:t>Межкультурный тренинг – это тренинг, дающий участникам знания, умения и навыки, обеспечивающие эффективное функционирование в иной культуре (Kohls</w:t>
      </w:r>
      <w:r>
        <w:rPr>
          <w:color w:val="231F20"/>
          <w:spacing w:val="40"/>
        </w:rPr>
        <w:t> </w:t>
      </w:r>
      <w:r>
        <w:rPr>
          <w:color w:val="231F20"/>
        </w:rPr>
        <w:t>&amp; Knight, 1999). Существуют разнообразные подходы к формированию содержания межкультурного тренинга, они хорошо представлены в обзоре И.Я. Лейбман и М.В. Корниловой</w:t>
      </w:r>
      <w:r>
        <w:rPr>
          <w:color w:val="231F20"/>
          <w:spacing w:val="-7"/>
        </w:rPr>
        <w:t> </w:t>
      </w:r>
      <w:r>
        <w:rPr>
          <w:color w:val="231F20"/>
        </w:rPr>
        <w:t>(2013),</w:t>
      </w:r>
      <w:r>
        <w:rPr>
          <w:color w:val="231F20"/>
          <w:spacing w:val="-7"/>
        </w:rPr>
        <w:t> </w:t>
      </w:r>
      <w:r>
        <w:rPr>
          <w:color w:val="231F20"/>
        </w:rPr>
        <w:t>с</w:t>
      </w:r>
      <w:r>
        <w:rPr>
          <w:color w:val="231F20"/>
          <w:spacing w:val="-7"/>
        </w:rPr>
        <w:t> </w:t>
      </w:r>
      <w:r>
        <w:rPr>
          <w:color w:val="231F20"/>
        </w:rPr>
        <w:t>которым</w:t>
      </w:r>
      <w:r>
        <w:rPr>
          <w:color w:val="231F20"/>
          <w:spacing w:val="-7"/>
        </w:rPr>
        <w:t> </w:t>
      </w:r>
      <w:r>
        <w:rPr>
          <w:color w:val="231F20"/>
        </w:rPr>
        <w:t>мы</w:t>
      </w:r>
      <w:r>
        <w:rPr>
          <w:color w:val="231F20"/>
          <w:spacing w:val="-7"/>
        </w:rPr>
        <w:t> </w:t>
      </w:r>
      <w:r>
        <w:rPr>
          <w:color w:val="231F20"/>
        </w:rPr>
        <w:t>убедительно</w:t>
      </w:r>
      <w:r>
        <w:rPr>
          <w:color w:val="231F20"/>
          <w:spacing w:val="-7"/>
        </w:rPr>
        <w:t> </w:t>
      </w:r>
      <w:r>
        <w:rPr>
          <w:color w:val="231F20"/>
        </w:rPr>
        <w:t>рекомендуем</w:t>
      </w:r>
      <w:r>
        <w:rPr>
          <w:color w:val="231F20"/>
          <w:spacing w:val="-7"/>
        </w:rPr>
        <w:t> </w:t>
      </w:r>
      <w:r>
        <w:rPr>
          <w:color w:val="231F20"/>
        </w:rPr>
        <w:t>ознакомиться</w:t>
      </w:r>
      <w:r>
        <w:rPr>
          <w:color w:val="231F20"/>
          <w:spacing w:val="-7"/>
        </w:rPr>
        <w:t> </w:t>
      </w:r>
      <w:r>
        <w:rPr>
          <w:color w:val="231F20"/>
        </w:rPr>
        <w:t>перед</w:t>
      </w:r>
      <w:r>
        <w:rPr>
          <w:color w:val="231F20"/>
          <w:spacing w:val="-7"/>
        </w:rPr>
        <w:t> </w:t>
      </w:r>
      <w:r>
        <w:rPr>
          <w:color w:val="231F20"/>
        </w:rPr>
        <w:t>ис- пользованием данной части инструментария.</w:t>
      </w:r>
    </w:p>
    <w:p>
      <w:pPr>
        <w:pStyle w:val="BodyText"/>
        <w:spacing w:line="227" w:lineRule="exact"/>
        <w:ind w:left="425" w:right="0" w:firstLine="0"/>
      </w:pPr>
      <w:r>
        <w:rPr>
          <w:color w:val="231F20"/>
        </w:rPr>
        <w:t>Несколько</w:t>
      </w:r>
      <w:r>
        <w:rPr>
          <w:color w:val="231F20"/>
          <w:spacing w:val="-15"/>
        </w:rPr>
        <w:t> </w:t>
      </w:r>
      <w:r>
        <w:rPr>
          <w:color w:val="231F20"/>
        </w:rPr>
        <w:t>важных</w:t>
      </w:r>
      <w:r>
        <w:rPr>
          <w:color w:val="231F20"/>
          <w:spacing w:val="-12"/>
        </w:rPr>
        <w:t> </w:t>
      </w:r>
      <w:r>
        <w:rPr>
          <w:color w:val="231F20"/>
        </w:rPr>
        <w:t>комментариев</w:t>
      </w:r>
      <w:r>
        <w:rPr>
          <w:color w:val="231F20"/>
          <w:spacing w:val="-12"/>
        </w:rPr>
        <w:t> </w:t>
      </w:r>
      <w:r>
        <w:rPr>
          <w:color w:val="231F20"/>
        </w:rPr>
        <w:t>по</w:t>
      </w:r>
      <w:r>
        <w:rPr>
          <w:color w:val="231F20"/>
          <w:spacing w:val="-12"/>
        </w:rPr>
        <w:t> </w:t>
      </w:r>
      <w:r>
        <w:rPr>
          <w:color w:val="231F20"/>
        </w:rPr>
        <w:t>поводу</w:t>
      </w:r>
      <w:r>
        <w:rPr>
          <w:color w:val="231F20"/>
          <w:spacing w:val="-12"/>
        </w:rPr>
        <w:t> </w:t>
      </w:r>
      <w:r>
        <w:rPr>
          <w:color w:val="231F20"/>
        </w:rPr>
        <w:t>вышеприведенного</w:t>
      </w:r>
      <w:r>
        <w:rPr>
          <w:color w:val="231F20"/>
          <w:spacing w:val="-12"/>
        </w:rPr>
        <w:t> </w:t>
      </w:r>
      <w:r>
        <w:rPr>
          <w:color w:val="231F20"/>
          <w:spacing w:val="-2"/>
        </w:rPr>
        <w:t>определения.</w:t>
      </w:r>
    </w:p>
    <w:p>
      <w:pPr>
        <w:pStyle w:val="BodyText"/>
        <w:spacing w:line="232" w:lineRule="auto" w:before="2"/>
      </w:pPr>
      <w:r>
        <w:rPr>
          <w:color w:val="231F20"/>
        </w:rPr>
        <w:t>Во-первых, «в иной культуре» предполагает коммуникацию с представителями иной культуры, с необходимостью которой сталкиваются как мигранты, так и пред- ставители</w:t>
      </w:r>
      <w:r>
        <w:rPr>
          <w:color w:val="231F20"/>
          <w:spacing w:val="-12"/>
        </w:rPr>
        <w:t> </w:t>
      </w:r>
      <w:r>
        <w:rPr>
          <w:color w:val="231F20"/>
        </w:rPr>
        <w:t>принимающего</w:t>
      </w:r>
      <w:r>
        <w:rPr>
          <w:color w:val="231F20"/>
          <w:spacing w:val="-12"/>
        </w:rPr>
        <w:t> </w:t>
      </w:r>
      <w:r>
        <w:rPr>
          <w:color w:val="231F20"/>
        </w:rPr>
        <w:t>общества.</w:t>
      </w:r>
      <w:r>
        <w:rPr>
          <w:color w:val="231F20"/>
          <w:spacing w:val="-12"/>
        </w:rPr>
        <w:t> </w:t>
      </w:r>
      <w:r>
        <w:rPr>
          <w:color w:val="231F20"/>
        </w:rPr>
        <w:t>Межкультурный</w:t>
      </w:r>
      <w:r>
        <w:rPr>
          <w:color w:val="231F20"/>
          <w:spacing w:val="-12"/>
        </w:rPr>
        <w:t> </w:t>
      </w:r>
      <w:r>
        <w:rPr>
          <w:color w:val="231F20"/>
        </w:rPr>
        <w:t>тренинг</w:t>
      </w:r>
      <w:r>
        <w:rPr>
          <w:color w:val="231F20"/>
          <w:spacing w:val="-12"/>
        </w:rPr>
        <w:t> </w:t>
      </w:r>
      <w:r>
        <w:rPr>
          <w:color w:val="231F20"/>
        </w:rPr>
        <w:t>предназначен</w:t>
      </w:r>
      <w:r>
        <w:rPr>
          <w:color w:val="231F20"/>
          <w:spacing w:val="-12"/>
        </w:rPr>
        <w:t> </w:t>
      </w:r>
      <w:r>
        <w:rPr>
          <w:color w:val="231F20"/>
        </w:rPr>
        <w:t>для</w:t>
      </w:r>
      <w:r>
        <w:rPr>
          <w:color w:val="231F20"/>
          <w:spacing w:val="-12"/>
        </w:rPr>
        <w:t> </w:t>
      </w:r>
      <w:r>
        <w:rPr>
          <w:color w:val="231F20"/>
        </w:rPr>
        <w:t>всех учащихся класса, а не только для мигрантов.</w:t>
      </w:r>
    </w:p>
    <w:p>
      <w:pPr>
        <w:pStyle w:val="BodyText"/>
        <w:spacing w:line="232" w:lineRule="auto" w:before="4"/>
      </w:pPr>
      <w:r>
        <w:rPr>
          <w:color w:val="231F20"/>
        </w:rPr>
        <w:t>Во-вторых,</w:t>
      </w:r>
      <w:r>
        <w:rPr>
          <w:color w:val="231F20"/>
          <w:spacing w:val="-13"/>
        </w:rPr>
        <w:t> </w:t>
      </w:r>
      <w:r>
        <w:rPr>
          <w:color w:val="231F20"/>
        </w:rPr>
        <w:t>проведение</w:t>
      </w:r>
      <w:r>
        <w:rPr>
          <w:color w:val="231F20"/>
          <w:spacing w:val="-12"/>
        </w:rPr>
        <w:t> </w:t>
      </w:r>
      <w:r>
        <w:rPr>
          <w:color w:val="231F20"/>
        </w:rPr>
        <w:t>межкультурного</w:t>
      </w:r>
      <w:r>
        <w:rPr>
          <w:color w:val="231F20"/>
          <w:spacing w:val="-13"/>
        </w:rPr>
        <w:t> </w:t>
      </w:r>
      <w:r>
        <w:rPr>
          <w:color w:val="231F20"/>
        </w:rPr>
        <w:t>тренинга</w:t>
      </w:r>
      <w:r>
        <w:rPr>
          <w:color w:val="231F20"/>
          <w:spacing w:val="-12"/>
        </w:rPr>
        <w:t> </w:t>
      </w:r>
      <w:r>
        <w:rPr>
          <w:color w:val="231F20"/>
        </w:rPr>
        <w:t>возможно</w:t>
      </w:r>
      <w:r>
        <w:rPr>
          <w:color w:val="231F20"/>
          <w:spacing w:val="-13"/>
        </w:rPr>
        <w:t> </w:t>
      </w:r>
      <w:r>
        <w:rPr>
          <w:color w:val="231F20"/>
        </w:rPr>
        <w:t>в</w:t>
      </w:r>
      <w:r>
        <w:rPr>
          <w:color w:val="231F20"/>
          <w:spacing w:val="-12"/>
        </w:rPr>
        <w:t> </w:t>
      </w:r>
      <w:r>
        <w:rPr>
          <w:color w:val="231F20"/>
        </w:rPr>
        <w:t>различных</w:t>
      </w:r>
      <w:r>
        <w:rPr>
          <w:color w:val="231F20"/>
          <w:spacing w:val="-13"/>
        </w:rPr>
        <w:t> </w:t>
      </w:r>
      <w:r>
        <w:rPr>
          <w:color w:val="231F20"/>
        </w:rPr>
        <w:t>по</w:t>
      </w:r>
      <w:r>
        <w:rPr>
          <w:color w:val="231F20"/>
          <w:spacing w:val="-12"/>
        </w:rPr>
        <w:t> </w:t>
      </w:r>
      <w:r>
        <w:rPr>
          <w:color w:val="231F20"/>
        </w:rPr>
        <w:t>этно- культурному</w:t>
      </w:r>
      <w:r>
        <w:rPr>
          <w:color w:val="231F20"/>
          <w:spacing w:val="-13"/>
        </w:rPr>
        <w:t> </w:t>
      </w:r>
      <w:r>
        <w:rPr>
          <w:color w:val="231F20"/>
        </w:rPr>
        <w:t>составу</w:t>
      </w:r>
      <w:r>
        <w:rPr>
          <w:color w:val="231F20"/>
          <w:spacing w:val="-12"/>
        </w:rPr>
        <w:t> </w:t>
      </w:r>
      <w:r>
        <w:rPr>
          <w:color w:val="231F20"/>
        </w:rPr>
        <w:t>классах:</w:t>
      </w:r>
      <w:r>
        <w:rPr>
          <w:color w:val="231F20"/>
          <w:spacing w:val="-13"/>
        </w:rPr>
        <w:t> </w:t>
      </w:r>
      <w:r>
        <w:rPr>
          <w:color w:val="231F20"/>
        </w:rPr>
        <w:t>как</w:t>
      </w:r>
      <w:r>
        <w:rPr>
          <w:color w:val="231F20"/>
          <w:spacing w:val="-12"/>
        </w:rPr>
        <w:t> </w:t>
      </w:r>
      <w:r>
        <w:rPr>
          <w:color w:val="231F20"/>
        </w:rPr>
        <w:t>в</w:t>
      </w:r>
      <w:r>
        <w:rPr>
          <w:color w:val="231F20"/>
          <w:spacing w:val="-13"/>
        </w:rPr>
        <w:t> </w:t>
      </w:r>
      <w:r>
        <w:rPr>
          <w:color w:val="231F20"/>
        </w:rPr>
        <w:t>классах</w:t>
      </w:r>
      <w:r>
        <w:rPr>
          <w:color w:val="231F20"/>
          <w:spacing w:val="-12"/>
        </w:rPr>
        <w:t> </w:t>
      </w:r>
      <w:r>
        <w:rPr>
          <w:color w:val="231F20"/>
        </w:rPr>
        <w:t>со</w:t>
      </w:r>
      <w:r>
        <w:rPr>
          <w:color w:val="231F20"/>
          <w:spacing w:val="-13"/>
        </w:rPr>
        <w:t> </w:t>
      </w:r>
      <w:r>
        <w:rPr>
          <w:color w:val="231F20"/>
        </w:rPr>
        <w:t>значительной</w:t>
      </w:r>
      <w:r>
        <w:rPr>
          <w:color w:val="231F20"/>
          <w:spacing w:val="-12"/>
        </w:rPr>
        <w:t> </w:t>
      </w:r>
      <w:r>
        <w:rPr>
          <w:color w:val="231F20"/>
        </w:rPr>
        <w:t>долей</w:t>
      </w:r>
      <w:r>
        <w:rPr>
          <w:color w:val="231F20"/>
          <w:spacing w:val="-13"/>
        </w:rPr>
        <w:t> </w:t>
      </w:r>
      <w:r>
        <w:rPr>
          <w:color w:val="231F20"/>
        </w:rPr>
        <w:t>несовершеннолет- них</w:t>
      </w:r>
      <w:r>
        <w:rPr>
          <w:color w:val="231F20"/>
          <w:spacing w:val="-5"/>
        </w:rPr>
        <w:t> </w:t>
      </w:r>
      <w:r>
        <w:rPr>
          <w:color w:val="231F20"/>
        </w:rPr>
        <w:t>иностранных</w:t>
      </w:r>
      <w:r>
        <w:rPr>
          <w:color w:val="231F20"/>
          <w:spacing w:val="-5"/>
        </w:rPr>
        <w:t> </w:t>
      </w:r>
      <w:r>
        <w:rPr>
          <w:color w:val="231F20"/>
        </w:rPr>
        <w:t>граждан,</w:t>
      </w:r>
      <w:r>
        <w:rPr>
          <w:color w:val="231F20"/>
          <w:spacing w:val="-5"/>
        </w:rPr>
        <w:t> </w:t>
      </w:r>
      <w:r>
        <w:rPr>
          <w:color w:val="231F20"/>
        </w:rPr>
        <w:t>так</w:t>
      </w:r>
      <w:r>
        <w:rPr>
          <w:color w:val="231F20"/>
          <w:spacing w:val="-5"/>
        </w:rPr>
        <w:t> </w:t>
      </w:r>
      <w:r>
        <w:rPr>
          <w:color w:val="231F20"/>
        </w:rPr>
        <w:t>и</w:t>
      </w:r>
      <w:r>
        <w:rPr>
          <w:color w:val="231F20"/>
          <w:spacing w:val="-5"/>
        </w:rPr>
        <w:t> </w:t>
      </w:r>
      <w:r>
        <w:rPr>
          <w:color w:val="231F20"/>
        </w:rPr>
        <w:t>в</w:t>
      </w:r>
      <w:r>
        <w:rPr>
          <w:color w:val="231F20"/>
          <w:spacing w:val="-5"/>
        </w:rPr>
        <w:t> </w:t>
      </w:r>
      <w:r>
        <w:rPr>
          <w:color w:val="231F20"/>
        </w:rPr>
        <w:t>классах,</w:t>
      </w:r>
      <w:r>
        <w:rPr>
          <w:color w:val="231F20"/>
          <w:spacing w:val="-5"/>
        </w:rPr>
        <w:t> </w:t>
      </w:r>
      <w:r>
        <w:rPr>
          <w:color w:val="231F20"/>
        </w:rPr>
        <w:t>где</w:t>
      </w:r>
      <w:r>
        <w:rPr>
          <w:color w:val="231F20"/>
          <w:spacing w:val="-5"/>
        </w:rPr>
        <w:t> </w:t>
      </w:r>
      <w:r>
        <w:rPr>
          <w:color w:val="231F20"/>
        </w:rPr>
        <w:t>подавляющее</w:t>
      </w:r>
      <w:r>
        <w:rPr>
          <w:color w:val="231F20"/>
          <w:spacing w:val="-5"/>
        </w:rPr>
        <w:t> </w:t>
      </w:r>
      <w:r>
        <w:rPr>
          <w:color w:val="231F20"/>
        </w:rPr>
        <w:t>большинство</w:t>
      </w:r>
      <w:r>
        <w:rPr>
          <w:color w:val="231F20"/>
          <w:spacing w:val="-5"/>
        </w:rPr>
        <w:t> </w:t>
      </w:r>
      <w:r>
        <w:rPr>
          <w:color w:val="231F20"/>
        </w:rPr>
        <w:t>учащихся –</w:t>
      </w:r>
      <w:r>
        <w:rPr>
          <w:color w:val="231F20"/>
          <w:spacing w:val="-5"/>
        </w:rPr>
        <w:t> </w:t>
      </w:r>
      <w:r>
        <w:rPr>
          <w:color w:val="231F20"/>
        </w:rPr>
        <w:t>граждане</w:t>
      </w:r>
      <w:r>
        <w:rPr>
          <w:color w:val="231F20"/>
          <w:spacing w:val="-5"/>
        </w:rPr>
        <w:t> </w:t>
      </w:r>
      <w:r>
        <w:rPr>
          <w:color w:val="231F20"/>
        </w:rPr>
        <w:t>РФ.</w:t>
      </w:r>
      <w:r>
        <w:rPr>
          <w:color w:val="231F20"/>
          <w:spacing w:val="-5"/>
        </w:rPr>
        <w:t> </w:t>
      </w:r>
      <w:r>
        <w:rPr>
          <w:color w:val="231F20"/>
        </w:rPr>
        <w:t>Если</w:t>
      </w:r>
      <w:r>
        <w:rPr>
          <w:color w:val="231F20"/>
          <w:spacing w:val="-5"/>
        </w:rPr>
        <w:t> </w:t>
      </w:r>
      <w:r>
        <w:rPr>
          <w:color w:val="231F20"/>
        </w:rPr>
        <w:t>в</w:t>
      </w:r>
      <w:r>
        <w:rPr>
          <w:color w:val="231F20"/>
          <w:spacing w:val="-5"/>
        </w:rPr>
        <w:t> </w:t>
      </w:r>
      <w:r>
        <w:rPr>
          <w:color w:val="231F20"/>
        </w:rPr>
        <w:t>конкретном</w:t>
      </w:r>
      <w:r>
        <w:rPr>
          <w:color w:val="231F20"/>
          <w:spacing w:val="-5"/>
        </w:rPr>
        <w:t> </w:t>
      </w:r>
      <w:r>
        <w:rPr>
          <w:color w:val="231F20"/>
        </w:rPr>
        <w:t>классе</w:t>
      </w:r>
      <w:r>
        <w:rPr>
          <w:color w:val="231F20"/>
          <w:spacing w:val="-5"/>
        </w:rPr>
        <w:t> </w:t>
      </w:r>
      <w:r>
        <w:rPr>
          <w:color w:val="231F20"/>
        </w:rPr>
        <w:t>отсутствуют</w:t>
      </w:r>
      <w:r>
        <w:rPr>
          <w:color w:val="231F20"/>
          <w:spacing w:val="-5"/>
        </w:rPr>
        <w:t> </w:t>
      </w:r>
      <w:r>
        <w:rPr>
          <w:color w:val="231F20"/>
        </w:rPr>
        <w:t>мигранты,</w:t>
      </w:r>
      <w:r>
        <w:rPr>
          <w:color w:val="231F20"/>
          <w:spacing w:val="-5"/>
        </w:rPr>
        <w:t> </w:t>
      </w:r>
      <w:r>
        <w:rPr>
          <w:color w:val="231F20"/>
        </w:rPr>
        <w:t>но</w:t>
      </w:r>
      <w:r>
        <w:rPr>
          <w:color w:val="231F20"/>
          <w:spacing w:val="-5"/>
        </w:rPr>
        <w:t> </w:t>
      </w:r>
      <w:r>
        <w:rPr>
          <w:color w:val="231F20"/>
        </w:rPr>
        <w:t>в</w:t>
      </w:r>
      <w:r>
        <w:rPr>
          <w:color w:val="231F20"/>
          <w:spacing w:val="-5"/>
        </w:rPr>
        <w:t> </w:t>
      </w:r>
      <w:r>
        <w:rPr>
          <w:color w:val="231F20"/>
        </w:rPr>
        <w:t>образователь- ной</w:t>
      </w:r>
      <w:r>
        <w:rPr>
          <w:color w:val="231F20"/>
          <w:spacing w:val="-4"/>
        </w:rPr>
        <w:t> </w:t>
      </w:r>
      <w:r>
        <w:rPr>
          <w:color w:val="231F20"/>
        </w:rPr>
        <w:t>организации</w:t>
      </w:r>
      <w:r>
        <w:rPr>
          <w:color w:val="231F20"/>
          <w:spacing w:val="-4"/>
        </w:rPr>
        <w:t> </w:t>
      </w:r>
      <w:r>
        <w:rPr>
          <w:color w:val="231F20"/>
        </w:rPr>
        <w:t>они</w:t>
      </w:r>
      <w:r>
        <w:rPr>
          <w:color w:val="231F20"/>
          <w:spacing w:val="-4"/>
        </w:rPr>
        <w:t> </w:t>
      </w:r>
      <w:r>
        <w:rPr>
          <w:color w:val="231F20"/>
        </w:rPr>
        <w:t>имеются,</w:t>
      </w:r>
      <w:r>
        <w:rPr>
          <w:color w:val="231F20"/>
          <w:spacing w:val="-4"/>
        </w:rPr>
        <w:t> </w:t>
      </w:r>
      <w:r>
        <w:rPr>
          <w:color w:val="231F20"/>
        </w:rPr>
        <w:t>проведение</w:t>
      </w:r>
      <w:r>
        <w:rPr>
          <w:color w:val="231F20"/>
          <w:spacing w:val="-4"/>
        </w:rPr>
        <w:t> </w:t>
      </w:r>
      <w:r>
        <w:rPr>
          <w:color w:val="231F20"/>
        </w:rPr>
        <w:t>межкультурного</w:t>
      </w:r>
      <w:r>
        <w:rPr>
          <w:color w:val="231F20"/>
          <w:spacing w:val="-4"/>
        </w:rPr>
        <w:t> </w:t>
      </w:r>
      <w:r>
        <w:rPr>
          <w:color w:val="231F20"/>
        </w:rPr>
        <w:t>тренинга</w:t>
      </w:r>
      <w:r>
        <w:rPr>
          <w:color w:val="231F20"/>
          <w:spacing w:val="-4"/>
        </w:rPr>
        <w:t> </w:t>
      </w:r>
      <w:r>
        <w:rPr>
          <w:color w:val="231F20"/>
        </w:rPr>
        <w:t>в</w:t>
      </w:r>
      <w:r>
        <w:rPr>
          <w:color w:val="231F20"/>
          <w:spacing w:val="-4"/>
        </w:rPr>
        <w:t> </w:t>
      </w:r>
      <w:r>
        <w:rPr>
          <w:color w:val="231F20"/>
        </w:rPr>
        <w:t>таком</w:t>
      </w:r>
      <w:r>
        <w:rPr>
          <w:color w:val="231F20"/>
          <w:spacing w:val="-4"/>
        </w:rPr>
        <w:t> </w:t>
      </w:r>
      <w:r>
        <w:rPr>
          <w:color w:val="231F20"/>
        </w:rPr>
        <w:t>классе также может быть целесообразно.</w:t>
      </w:r>
    </w:p>
    <w:p>
      <w:pPr>
        <w:pStyle w:val="BodyText"/>
        <w:spacing w:line="232" w:lineRule="auto" w:before="6"/>
      </w:pPr>
      <w:r>
        <w:rPr>
          <w:color w:val="231F20"/>
        </w:rPr>
        <w:t>В-третьих, успешный межкультурный тренинг требует от участников достаточ- но высокого уровня рефлексии. Поэтому он может проводиться только с учащими- ся</w:t>
      </w:r>
      <w:r>
        <w:rPr>
          <w:color w:val="231F20"/>
          <w:spacing w:val="-3"/>
        </w:rPr>
        <w:t> </w:t>
      </w:r>
      <w:r>
        <w:rPr>
          <w:color w:val="231F20"/>
        </w:rPr>
        <w:t>средней</w:t>
      </w:r>
      <w:r>
        <w:rPr>
          <w:color w:val="231F20"/>
          <w:spacing w:val="-3"/>
        </w:rPr>
        <w:t> </w:t>
      </w:r>
      <w:r>
        <w:rPr>
          <w:color w:val="231F20"/>
        </w:rPr>
        <w:t>и</w:t>
      </w:r>
      <w:r>
        <w:rPr>
          <w:color w:val="231F20"/>
          <w:spacing w:val="-3"/>
        </w:rPr>
        <w:t> </w:t>
      </w:r>
      <w:r>
        <w:rPr>
          <w:color w:val="231F20"/>
        </w:rPr>
        <w:t>старшей</w:t>
      </w:r>
      <w:r>
        <w:rPr>
          <w:color w:val="231F20"/>
          <w:spacing w:val="-3"/>
        </w:rPr>
        <w:t> </w:t>
      </w:r>
      <w:r>
        <w:rPr>
          <w:color w:val="231F20"/>
        </w:rPr>
        <w:t>школы.</w:t>
      </w:r>
      <w:r>
        <w:rPr>
          <w:color w:val="231F20"/>
          <w:spacing w:val="-3"/>
        </w:rPr>
        <w:t> </w:t>
      </w:r>
      <w:r>
        <w:rPr>
          <w:color w:val="231F20"/>
        </w:rPr>
        <w:t>Мы</w:t>
      </w:r>
      <w:r>
        <w:rPr>
          <w:color w:val="231F20"/>
          <w:spacing w:val="-3"/>
        </w:rPr>
        <w:t> </w:t>
      </w:r>
      <w:r>
        <w:rPr>
          <w:color w:val="231F20"/>
        </w:rPr>
        <w:t>рекомендуем</w:t>
      </w:r>
      <w:r>
        <w:rPr>
          <w:color w:val="231F20"/>
          <w:spacing w:val="-3"/>
        </w:rPr>
        <w:t> </w:t>
      </w:r>
      <w:r>
        <w:rPr>
          <w:color w:val="231F20"/>
        </w:rPr>
        <w:t>начинать</w:t>
      </w:r>
      <w:r>
        <w:rPr>
          <w:color w:val="231F20"/>
          <w:spacing w:val="-3"/>
        </w:rPr>
        <w:t> </w:t>
      </w:r>
      <w:r>
        <w:rPr>
          <w:color w:val="231F20"/>
        </w:rPr>
        <w:t>проводить</w:t>
      </w:r>
      <w:r>
        <w:rPr>
          <w:color w:val="231F20"/>
          <w:spacing w:val="-3"/>
        </w:rPr>
        <w:t> </w:t>
      </w:r>
      <w:r>
        <w:rPr>
          <w:color w:val="231F20"/>
        </w:rPr>
        <w:t>межкультурный тренинг</w:t>
      </w:r>
      <w:r>
        <w:rPr>
          <w:color w:val="231F20"/>
          <w:spacing w:val="-5"/>
        </w:rPr>
        <w:t> </w:t>
      </w:r>
      <w:r>
        <w:rPr>
          <w:color w:val="231F20"/>
        </w:rPr>
        <w:t>не</w:t>
      </w:r>
      <w:r>
        <w:rPr>
          <w:color w:val="231F20"/>
          <w:spacing w:val="-5"/>
        </w:rPr>
        <w:t> </w:t>
      </w:r>
      <w:r>
        <w:rPr>
          <w:color w:val="231F20"/>
        </w:rPr>
        <w:t>ранее</w:t>
      </w:r>
      <w:r>
        <w:rPr>
          <w:color w:val="231F20"/>
          <w:spacing w:val="-5"/>
        </w:rPr>
        <w:t> </w:t>
      </w:r>
      <w:r>
        <w:rPr>
          <w:color w:val="231F20"/>
        </w:rPr>
        <w:t>седьмого</w:t>
      </w:r>
      <w:r>
        <w:rPr>
          <w:color w:val="231F20"/>
          <w:spacing w:val="-5"/>
        </w:rPr>
        <w:t> </w:t>
      </w:r>
      <w:r>
        <w:rPr>
          <w:color w:val="231F20"/>
        </w:rPr>
        <w:t>класса.</w:t>
      </w:r>
      <w:r>
        <w:rPr>
          <w:color w:val="231F20"/>
          <w:spacing w:val="-5"/>
        </w:rPr>
        <w:t> </w:t>
      </w:r>
      <w:r>
        <w:rPr>
          <w:color w:val="231F20"/>
        </w:rPr>
        <w:t>Для</w:t>
      </w:r>
      <w:r>
        <w:rPr>
          <w:color w:val="231F20"/>
          <w:spacing w:val="-5"/>
        </w:rPr>
        <w:t> </w:t>
      </w:r>
      <w:r>
        <w:rPr>
          <w:color w:val="231F20"/>
        </w:rPr>
        <w:t>учащихся</w:t>
      </w:r>
      <w:r>
        <w:rPr>
          <w:color w:val="231F20"/>
          <w:spacing w:val="-5"/>
        </w:rPr>
        <w:t> </w:t>
      </w:r>
      <w:r>
        <w:rPr>
          <w:color w:val="231F20"/>
        </w:rPr>
        <w:t>младшего</w:t>
      </w:r>
      <w:r>
        <w:rPr>
          <w:color w:val="231F20"/>
          <w:spacing w:val="-5"/>
        </w:rPr>
        <w:t> </w:t>
      </w:r>
      <w:r>
        <w:rPr>
          <w:color w:val="231F20"/>
        </w:rPr>
        <w:t>возраста</w:t>
      </w:r>
      <w:r>
        <w:rPr>
          <w:color w:val="231F20"/>
          <w:spacing w:val="-5"/>
        </w:rPr>
        <w:t> </w:t>
      </w:r>
      <w:r>
        <w:rPr>
          <w:color w:val="231F20"/>
        </w:rPr>
        <w:t>следует</w:t>
      </w:r>
      <w:r>
        <w:rPr>
          <w:color w:val="231F20"/>
          <w:spacing w:val="-5"/>
        </w:rPr>
        <w:t> </w:t>
      </w:r>
      <w:r>
        <w:rPr>
          <w:color w:val="231F20"/>
        </w:rPr>
        <w:t>исполь- зовать другие активности, предназначенные для развития навыков межкультурного общения (проекты, коллаборативные технологии и пр.).</w:t>
      </w:r>
    </w:p>
    <w:p>
      <w:pPr>
        <w:pStyle w:val="BodyText"/>
        <w:spacing w:line="232" w:lineRule="auto" w:before="5"/>
      </w:pPr>
      <w:r>
        <w:rPr>
          <w:color w:val="231F20"/>
        </w:rPr>
        <w:t>Основная</w:t>
      </w:r>
      <w:r>
        <w:rPr>
          <w:color w:val="231F20"/>
          <w:spacing w:val="-1"/>
        </w:rPr>
        <w:t> </w:t>
      </w:r>
      <w:r>
        <w:rPr>
          <w:color w:val="231F20"/>
        </w:rPr>
        <w:t>цель</w:t>
      </w:r>
      <w:r>
        <w:rPr>
          <w:color w:val="231F20"/>
          <w:spacing w:val="-1"/>
        </w:rPr>
        <w:t> </w:t>
      </w:r>
      <w:r>
        <w:rPr>
          <w:color w:val="231F20"/>
        </w:rPr>
        <w:t>межкультурного</w:t>
      </w:r>
      <w:r>
        <w:rPr>
          <w:color w:val="231F20"/>
          <w:spacing w:val="-1"/>
        </w:rPr>
        <w:t> </w:t>
      </w:r>
      <w:r>
        <w:rPr>
          <w:color w:val="231F20"/>
        </w:rPr>
        <w:t>тренинга</w:t>
      </w:r>
      <w:r>
        <w:rPr>
          <w:color w:val="231F20"/>
          <w:spacing w:val="-1"/>
        </w:rPr>
        <w:t> </w:t>
      </w:r>
      <w:r>
        <w:rPr>
          <w:color w:val="231F20"/>
        </w:rPr>
        <w:t>–</w:t>
      </w:r>
      <w:r>
        <w:rPr>
          <w:color w:val="231F20"/>
          <w:spacing w:val="-1"/>
        </w:rPr>
        <w:t> </w:t>
      </w:r>
      <w:r>
        <w:rPr>
          <w:color w:val="231F20"/>
        </w:rPr>
        <w:t>помочь</w:t>
      </w:r>
      <w:r>
        <w:rPr>
          <w:color w:val="231F20"/>
          <w:spacing w:val="-1"/>
        </w:rPr>
        <w:t> </w:t>
      </w:r>
      <w:r>
        <w:rPr>
          <w:color w:val="231F20"/>
        </w:rPr>
        <w:t>участникам</w:t>
      </w:r>
      <w:r>
        <w:rPr>
          <w:color w:val="231F20"/>
          <w:spacing w:val="-1"/>
        </w:rPr>
        <w:t> </w:t>
      </w:r>
      <w:r>
        <w:rPr>
          <w:color w:val="231F20"/>
        </w:rPr>
        <w:t>осознать</w:t>
      </w:r>
      <w:r>
        <w:rPr>
          <w:color w:val="231F20"/>
          <w:spacing w:val="-1"/>
        </w:rPr>
        <w:t> </w:t>
      </w:r>
      <w:r>
        <w:rPr>
          <w:color w:val="231F20"/>
        </w:rPr>
        <w:t>следую- щее:</w:t>
      </w:r>
      <w:r>
        <w:rPr>
          <w:color w:val="231F20"/>
          <w:spacing w:val="-9"/>
        </w:rPr>
        <w:t> </w:t>
      </w:r>
      <w:r>
        <w:rPr>
          <w:color w:val="231F20"/>
        </w:rPr>
        <w:t>люди</w:t>
      </w:r>
      <w:r>
        <w:rPr>
          <w:color w:val="231F20"/>
          <w:spacing w:val="-9"/>
        </w:rPr>
        <w:t> </w:t>
      </w:r>
      <w:r>
        <w:rPr>
          <w:color w:val="231F20"/>
        </w:rPr>
        <w:t>живут</w:t>
      </w:r>
      <w:r>
        <w:rPr>
          <w:color w:val="231F20"/>
          <w:spacing w:val="-9"/>
        </w:rPr>
        <w:t> </w:t>
      </w:r>
      <w:r>
        <w:rPr>
          <w:color w:val="231F20"/>
        </w:rPr>
        <w:t>в</w:t>
      </w:r>
      <w:r>
        <w:rPr>
          <w:color w:val="231F20"/>
          <w:spacing w:val="-9"/>
        </w:rPr>
        <w:t> </w:t>
      </w:r>
      <w:r>
        <w:rPr>
          <w:color w:val="231F20"/>
        </w:rPr>
        <w:t>соответствии</w:t>
      </w:r>
      <w:r>
        <w:rPr>
          <w:color w:val="231F20"/>
          <w:spacing w:val="-9"/>
        </w:rPr>
        <w:t> </w:t>
      </w:r>
      <w:r>
        <w:rPr>
          <w:color w:val="231F20"/>
        </w:rPr>
        <w:t>с</w:t>
      </w:r>
      <w:r>
        <w:rPr>
          <w:color w:val="231F20"/>
          <w:spacing w:val="-9"/>
        </w:rPr>
        <w:t> </w:t>
      </w:r>
      <w:r>
        <w:rPr>
          <w:color w:val="231F20"/>
        </w:rPr>
        <w:t>правилами</w:t>
      </w:r>
      <w:r>
        <w:rPr>
          <w:color w:val="231F20"/>
          <w:spacing w:val="-9"/>
        </w:rPr>
        <w:t> </w:t>
      </w:r>
      <w:r>
        <w:rPr>
          <w:color w:val="231F20"/>
        </w:rPr>
        <w:t>своей</w:t>
      </w:r>
      <w:r>
        <w:rPr>
          <w:color w:val="231F20"/>
          <w:spacing w:val="-9"/>
        </w:rPr>
        <w:t> </w:t>
      </w:r>
      <w:r>
        <w:rPr>
          <w:color w:val="231F20"/>
        </w:rPr>
        <w:t>родной</w:t>
      </w:r>
      <w:r>
        <w:rPr>
          <w:color w:val="231F20"/>
          <w:spacing w:val="-9"/>
        </w:rPr>
        <w:t> </w:t>
      </w:r>
      <w:r>
        <w:rPr>
          <w:color w:val="231F20"/>
        </w:rPr>
        <w:t>культуры;</w:t>
      </w:r>
      <w:r>
        <w:rPr>
          <w:color w:val="231F20"/>
          <w:spacing w:val="-9"/>
        </w:rPr>
        <w:t> </w:t>
      </w:r>
      <w:r>
        <w:rPr>
          <w:color w:val="231F20"/>
        </w:rPr>
        <w:t>что</w:t>
      </w:r>
      <w:r>
        <w:rPr>
          <w:color w:val="231F20"/>
          <w:spacing w:val="-9"/>
        </w:rPr>
        <w:t> </w:t>
      </w:r>
      <w:r>
        <w:rPr>
          <w:color w:val="231F20"/>
        </w:rPr>
        <w:t>нормально для одной культуры, может быть не нормально для другой; общение в поликультур- ной среде требует понимания этого факта и выработки таких поведенческих моде- лей, которые позволяют успешно общаться, принимая в расчет различные культур- ные нормы. При обсуждении культурных различий необходимо не ограничиваться исключительно эксплицитной культурой (поведением и социальными практиками), но и обсудить имплицитную культуру (различия в понимании норм и ценностей).</w:t>
      </w:r>
    </w:p>
    <w:p>
      <w:pPr>
        <w:pStyle w:val="BodyText"/>
        <w:spacing w:line="232" w:lineRule="auto" w:before="7"/>
      </w:pPr>
      <w:r>
        <w:rPr>
          <w:color w:val="231F20"/>
        </w:rPr>
        <w:t>В рамках межкультурного тренинга, проводимого в школе, необязательно знако- мить учащихся с нормами культуры, к которой принадлежат обучающиеся в данной образовательной</w:t>
      </w:r>
      <w:r>
        <w:rPr>
          <w:color w:val="231F20"/>
          <w:spacing w:val="-8"/>
        </w:rPr>
        <w:t> </w:t>
      </w:r>
      <w:r>
        <w:rPr>
          <w:color w:val="231F20"/>
        </w:rPr>
        <w:t>организации</w:t>
      </w:r>
      <w:r>
        <w:rPr>
          <w:color w:val="231F20"/>
          <w:spacing w:val="-8"/>
        </w:rPr>
        <w:t> </w:t>
      </w:r>
      <w:r>
        <w:rPr>
          <w:color w:val="231F20"/>
        </w:rPr>
        <w:t>иностранные</w:t>
      </w:r>
      <w:r>
        <w:rPr>
          <w:color w:val="231F20"/>
          <w:spacing w:val="-8"/>
        </w:rPr>
        <w:t> </w:t>
      </w:r>
      <w:r>
        <w:rPr>
          <w:color w:val="231F20"/>
        </w:rPr>
        <w:t>граждане.</w:t>
      </w:r>
      <w:r>
        <w:rPr>
          <w:color w:val="231F20"/>
          <w:spacing w:val="-8"/>
        </w:rPr>
        <w:t> </w:t>
      </w:r>
      <w:r>
        <w:rPr>
          <w:color w:val="231F20"/>
        </w:rPr>
        <w:t>Достаточно</w:t>
      </w:r>
      <w:r>
        <w:rPr>
          <w:color w:val="231F20"/>
          <w:spacing w:val="-8"/>
        </w:rPr>
        <w:t> </w:t>
      </w:r>
      <w:r>
        <w:rPr>
          <w:color w:val="231F20"/>
        </w:rPr>
        <w:t>в</w:t>
      </w:r>
      <w:r>
        <w:rPr>
          <w:color w:val="231F20"/>
          <w:spacing w:val="-8"/>
        </w:rPr>
        <w:t> </w:t>
      </w:r>
      <w:r>
        <w:rPr>
          <w:color w:val="231F20"/>
        </w:rPr>
        <w:t>целом</w:t>
      </w:r>
      <w:r>
        <w:rPr>
          <w:color w:val="231F20"/>
          <w:spacing w:val="-8"/>
        </w:rPr>
        <w:t> </w:t>
      </w:r>
      <w:r>
        <w:rPr>
          <w:color w:val="231F20"/>
        </w:rPr>
        <w:t>поставить </w:t>
      </w:r>
      <w:r>
        <w:rPr>
          <w:color w:val="231F20"/>
          <w:spacing w:val="-2"/>
        </w:rPr>
        <w:t>проблему</w:t>
      </w:r>
      <w:r>
        <w:rPr>
          <w:color w:val="231F20"/>
          <w:spacing w:val="-3"/>
        </w:rPr>
        <w:t> </w:t>
      </w:r>
      <w:r>
        <w:rPr>
          <w:color w:val="231F20"/>
          <w:spacing w:val="-2"/>
        </w:rPr>
        <w:t>культурных различий. Однако, если</w:t>
      </w:r>
      <w:r>
        <w:rPr>
          <w:color w:val="231F20"/>
          <w:spacing w:val="-3"/>
        </w:rPr>
        <w:t> </w:t>
      </w:r>
      <w:r>
        <w:rPr>
          <w:color w:val="231F20"/>
          <w:spacing w:val="-2"/>
        </w:rPr>
        <w:t>в ходе</w:t>
      </w:r>
      <w:r>
        <w:rPr>
          <w:color w:val="231F20"/>
          <w:spacing w:val="-3"/>
        </w:rPr>
        <w:t> </w:t>
      </w:r>
      <w:r>
        <w:rPr>
          <w:color w:val="231F20"/>
          <w:spacing w:val="-2"/>
        </w:rPr>
        <w:t>обсуждения</w:t>
      </w:r>
      <w:r>
        <w:rPr>
          <w:color w:val="231F20"/>
          <w:spacing w:val="-3"/>
        </w:rPr>
        <w:t> </w:t>
      </w:r>
      <w:r>
        <w:rPr>
          <w:color w:val="231F20"/>
          <w:spacing w:val="-2"/>
        </w:rPr>
        <w:t>упражнений учащи- </w:t>
      </w:r>
      <w:r>
        <w:rPr>
          <w:color w:val="231F20"/>
        </w:rPr>
        <w:t>еся приводят примеры, опираясь на нормы культуры страны исхода, подобная дис- куссия может быть целесообразна.</w:t>
      </w:r>
    </w:p>
    <w:p>
      <w:pPr>
        <w:pStyle w:val="BodyText"/>
        <w:spacing w:line="235" w:lineRule="auto" w:before="4"/>
      </w:pPr>
      <w:r>
        <w:rPr>
          <w:color w:val="231F20"/>
        </w:rPr>
        <w:t>В</w:t>
      </w:r>
      <w:r>
        <w:rPr>
          <w:color w:val="231F20"/>
          <w:spacing w:val="-11"/>
        </w:rPr>
        <w:t> </w:t>
      </w:r>
      <w:r>
        <w:rPr>
          <w:color w:val="231F20"/>
        </w:rPr>
        <w:t>отечественной</w:t>
      </w:r>
      <w:r>
        <w:rPr>
          <w:color w:val="231F20"/>
          <w:spacing w:val="-11"/>
        </w:rPr>
        <w:t> </w:t>
      </w:r>
      <w:r>
        <w:rPr>
          <w:color w:val="231F20"/>
        </w:rPr>
        <w:t>образовательной</w:t>
      </w:r>
      <w:r>
        <w:rPr>
          <w:color w:val="231F20"/>
          <w:spacing w:val="-11"/>
        </w:rPr>
        <w:t> </w:t>
      </w:r>
      <w:r>
        <w:rPr>
          <w:color w:val="231F20"/>
        </w:rPr>
        <w:t>традиции</w:t>
      </w:r>
      <w:r>
        <w:rPr>
          <w:color w:val="231F20"/>
          <w:spacing w:val="-11"/>
        </w:rPr>
        <w:t> </w:t>
      </w:r>
      <w:r>
        <w:rPr>
          <w:color w:val="231F20"/>
        </w:rPr>
        <w:t>хорошо</w:t>
      </w:r>
      <w:r>
        <w:rPr>
          <w:color w:val="231F20"/>
          <w:spacing w:val="-11"/>
        </w:rPr>
        <w:t> </w:t>
      </w:r>
      <w:r>
        <w:rPr>
          <w:color w:val="231F20"/>
        </w:rPr>
        <w:t>известны</w:t>
      </w:r>
      <w:r>
        <w:rPr>
          <w:color w:val="231F20"/>
          <w:spacing w:val="-11"/>
        </w:rPr>
        <w:t> </w:t>
      </w:r>
      <w:r>
        <w:rPr>
          <w:color w:val="231F20"/>
        </w:rPr>
        <w:t>тренинги</w:t>
      </w:r>
      <w:r>
        <w:rPr>
          <w:color w:val="231F20"/>
          <w:spacing w:val="-11"/>
        </w:rPr>
        <w:t> </w:t>
      </w:r>
      <w:r>
        <w:rPr>
          <w:color w:val="231F20"/>
        </w:rPr>
        <w:t>толерант- ности.</w:t>
      </w:r>
      <w:r>
        <w:rPr>
          <w:color w:val="231F20"/>
          <w:spacing w:val="-13"/>
        </w:rPr>
        <w:t> </w:t>
      </w:r>
      <w:r>
        <w:rPr>
          <w:color w:val="231F20"/>
        </w:rPr>
        <w:t>Разработчик</w:t>
      </w:r>
      <w:r>
        <w:rPr>
          <w:color w:val="231F20"/>
          <w:spacing w:val="-12"/>
        </w:rPr>
        <w:t> </w:t>
      </w:r>
      <w:r>
        <w:rPr>
          <w:color w:val="231F20"/>
        </w:rPr>
        <w:t>ряда</w:t>
      </w:r>
      <w:r>
        <w:rPr>
          <w:color w:val="231F20"/>
          <w:spacing w:val="-13"/>
        </w:rPr>
        <w:t> </w:t>
      </w:r>
      <w:r>
        <w:rPr>
          <w:color w:val="231F20"/>
        </w:rPr>
        <w:t>подобных</w:t>
      </w:r>
      <w:r>
        <w:rPr>
          <w:color w:val="231F20"/>
          <w:spacing w:val="-12"/>
        </w:rPr>
        <w:t> </w:t>
      </w:r>
      <w:r>
        <w:rPr>
          <w:color w:val="231F20"/>
        </w:rPr>
        <w:t>тренингов</w:t>
      </w:r>
      <w:r>
        <w:rPr>
          <w:color w:val="231F20"/>
          <w:spacing w:val="-13"/>
        </w:rPr>
        <w:t> </w:t>
      </w:r>
      <w:r>
        <w:rPr>
          <w:color w:val="231F20"/>
        </w:rPr>
        <w:t>Г.У.</w:t>
      </w:r>
      <w:r>
        <w:rPr>
          <w:color w:val="231F20"/>
          <w:spacing w:val="-12"/>
        </w:rPr>
        <w:t> </w:t>
      </w:r>
      <w:r>
        <w:rPr>
          <w:color w:val="231F20"/>
        </w:rPr>
        <w:t>Солдатова</w:t>
      </w:r>
      <w:r>
        <w:rPr>
          <w:color w:val="231F20"/>
          <w:spacing w:val="-13"/>
        </w:rPr>
        <w:t> </w:t>
      </w:r>
      <w:r>
        <w:rPr>
          <w:color w:val="231F20"/>
        </w:rPr>
        <w:t>трактует</w:t>
      </w:r>
      <w:r>
        <w:rPr>
          <w:color w:val="231F20"/>
          <w:spacing w:val="-12"/>
        </w:rPr>
        <w:t> </w:t>
      </w:r>
      <w:r>
        <w:rPr>
          <w:color w:val="231F20"/>
        </w:rPr>
        <w:t>толерантность следующим образом: «Толерантность – это интегральная характеристика индивида, определяющая</w:t>
      </w:r>
      <w:r>
        <w:rPr>
          <w:color w:val="231F20"/>
          <w:spacing w:val="14"/>
        </w:rPr>
        <w:t> </w:t>
      </w:r>
      <w:r>
        <w:rPr>
          <w:color w:val="231F20"/>
        </w:rPr>
        <w:t>его</w:t>
      </w:r>
      <w:r>
        <w:rPr>
          <w:color w:val="231F20"/>
          <w:spacing w:val="14"/>
        </w:rPr>
        <w:t> </w:t>
      </w:r>
      <w:r>
        <w:rPr>
          <w:color w:val="231F20"/>
        </w:rPr>
        <w:t>способность</w:t>
      </w:r>
      <w:r>
        <w:rPr>
          <w:color w:val="231F20"/>
          <w:spacing w:val="14"/>
        </w:rPr>
        <w:t> </w:t>
      </w:r>
      <w:r>
        <w:rPr>
          <w:color w:val="231F20"/>
        </w:rPr>
        <w:t>в</w:t>
      </w:r>
      <w:r>
        <w:rPr>
          <w:color w:val="231F20"/>
          <w:spacing w:val="14"/>
        </w:rPr>
        <w:t> </w:t>
      </w:r>
      <w:r>
        <w:rPr>
          <w:color w:val="231F20"/>
        </w:rPr>
        <w:t>проблемных</w:t>
      </w:r>
      <w:r>
        <w:rPr>
          <w:color w:val="231F20"/>
          <w:spacing w:val="14"/>
        </w:rPr>
        <w:t> </w:t>
      </w:r>
      <w:r>
        <w:rPr>
          <w:color w:val="231F20"/>
        </w:rPr>
        <w:t>и</w:t>
      </w:r>
      <w:r>
        <w:rPr>
          <w:color w:val="231F20"/>
          <w:spacing w:val="14"/>
        </w:rPr>
        <w:t> </w:t>
      </w:r>
      <w:r>
        <w:rPr>
          <w:color w:val="231F20"/>
        </w:rPr>
        <w:t>кризисных</w:t>
      </w:r>
      <w:r>
        <w:rPr>
          <w:color w:val="231F20"/>
          <w:spacing w:val="14"/>
        </w:rPr>
        <w:t> </w:t>
      </w:r>
      <w:r>
        <w:rPr>
          <w:color w:val="231F20"/>
        </w:rPr>
        <w:t>ситуациях</w:t>
      </w:r>
      <w:r>
        <w:rPr>
          <w:color w:val="231F20"/>
          <w:spacing w:val="14"/>
        </w:rPr>
        <w:t> </w:t>
      </w:r>
      <w:r>
        <w:rPr>
          <w:color w:val="231F20"/>
        </w:rPr>
        <w:t>активно</w:t>
      </w:r>
      <w:r>
        <w:rPr>
          <w:color w:val="231F20"/>
          <w:spacing w:val="14"/>
        </w:rPr>
        <w:t> </w:t>
      </w:r>
      <w:r>
        <w:rPr>
          <w:color w:val="231F20"/>
          <w:spacing w:val="-4"/>
        </w:rPr>
        <w:t>вза-</w:t>
      </w:r>
    </w:p>
    <w:p>
      <w:pPr>
        <w:pStyle w:val="BodyText"/>
        <w:spacing w:after="0" w:line="235" w:lineRule="auto"/>
        <w:sectPr>
          <w:footerReference w:type="default" r:id="rId232"/>
          <w:pgSz w:w="8400" w:h="11910"/>
          <w:pgMar w:header="0" w:footer="530" w:top="720" w:bottom="720" w:left="425" w:right="425"/>
          <w:pgNumType w:start="103"/>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firstLine="0"/>
      </w:pPr>
      <w:r>
        <w:rPr>
          <w:color w:val="231F20"/>
        </w:rPr>
        <w:t>имодействовать с внешней средой с целью восстановления своего нервно-психиче- ского равновесия, успешной адаптации, недопущения конфронтации и развития по- зитивных взаимоотношений с собой и с окружающим миром… наша позиция – это формирование</w:t>
      </w:r>
      <w:r>
        <w:rPr>
          <w:color w:val="231F20"/>
          <w:spacing w:val="-6"/>
        </w:rPr>
        <w:t> </w:t>
      </w:r>
      <w:r>
        <w:rPr>
          <w:color w:val="231F20"/>
        </w:rPr>
        <w:t>толерантности</w:t>
      </w:r>
      <w:r>
        <w:rPr>
          <w:color w:val="231F20"/>
          <w:spacing w:val="-6"/>
        </w:rPr>
        <w:t> </w:t>
      </w:r>
      <w:r>
        <w:rPr>
          <w:color w:val="231F20"/>
        </w:rPr>
        <w:t>в</w:t>
      </w:r>
      <w:r>
        <w:rPr>
          <w:color w:val="231F20"/>
          <w:spacing w:val="-6"/>
        </w:rPr>
        <w:t> </w:t>
      </w:r>
      <w:r>
        <w:rPr>
          <w:color w:val="231F20"/>
        </w:rPr>
        <w:t>пределах</w:t>
      </w:r>
      <w:r>
        <w:rPr>
          <w:color w:val="231F20"/>
          <w:spacing w:val="-6"/>
        </w:rPr>
        <w:t> </w:t>
      </w:r>
      <w:r>
        <w:rPr>
          <w:color w:val="231F20"/>
        </w:rPr>
        <w:t>всего</w:t>
      </w:r>
      <w:r>
        <w:rPr>
          <w:color w:val="231F20"/>
          <w:spacing w:val="-6"/>
        </w:rPr>
        <w:t> </w:t>
      </w:r>
      <w:r>
        <w:rPr>
          <w:color w:val="231F20"/>
        </w:rPr>
        <w:t>диапазона</w:t>
      </w:r>
      <w:r>
        <w:rPr>
          <w:color w:val="231F20"/>
          <w:spacing w:val="-6"/>
        </w:rPr>
        <w:t> </w:t>
      </w:r>
      <w:r>
        <w:rPr>
          <w:color w:val="231F20"/>
        </w:rPr>
        <w:t>психологической</w:t>
      </w:r>
      <w:r>
        <w:rPr>
          <w:color w:val="231F20"/>
          <w:spacing w:val="-6"/>
        </w:rPr>
        <w:t> </w:t>
      </w:r>
      <w:r>
        <w:rPr>
          <w:color w:val="231F20"/>
        </w:rPr>
        <w:t>устойчи- вости, начиная от нервно-психической устойчивости и заканчивая устойчивостью к этнокультурным, социальным, мировоззренческим и другим различиям» («Искус- ство жить с непохожими людьми», 2009, с. 10–11).</w:t>
      </w:r>
    </w:p>
    <w:p>
      <w:pPr>
        <w:pStyle w:val="BodyText"/>
        <w:spacing w:line="232" w:lineRule="auto"/>
      </w:pPr>
      <w:r>
        <w:rPr>
          <w:color w:val="231F20"/>
        </w:rPr>
        <w:t>Признавая</w:t>
      </w:r>
      <w:r>
        <w:rPr>
          <w:color w:val="231F20"/>
          <w:spacing w:val="-13"/>
        </w:rPr>
        <w:t> </w:t>
      </w:r>
      <w:r>
        <w:rPr>
          <w:color w:val="231F20"/>
        </w:rPr>
        <w:t>всю</w:t>
      </w:r>
      <w:r>
        <w:rPr>
          <w:color w:val="231F20"/>
          <w:spacing w:val="-12"/>
        </w:rPr>
        <w:t> </w:t>
      </w:r>
      <w:r>
        <w:rPr>
          <w:color w:val="231F20"/>
        </w:rPr>
        <w:t>значимость</w:t>
      </w:r>
      <w:r>
        <w:rPr>
          <w:color w:val="231F20"/>
          <w:spacing w:val="-13"/>
        </w:rPr>
        <w:t> </w:t>
      </w:r>
      <w:r>
        <w:rPr>
          <w:color w:val="231F20"/>
        </w:rPr>
        <w:t>подобных</w:t>
      </w:r>
      <w:r>
        <w:rPr>
          <w:color w:val="231F20"/>
          <w:spacing w:val="-12"/>
        </w:rPr>
        <w:t> </w:t>
      </w:r>
      <w:r>
        <w:rPr>
          <w:color w:val="231F20"/>
        </w:rPr>
        <w:t>задач</w:t>
      </w:r>
      <w:r>
        <w:rPr>
          <w:color w:val="231F20"/>
          <w:spacing w:val="-13"/>
        </w:rPr>
        <w:t> </w:t>
      </w:r>
      <w:r>
        <w:rPr>
          <w:color w:val="231F20"/>
        </w:rPr>
        <w:t>и</w:t>
      </w:r>
      <w:r>
        <w:rPr>
          <w:color w:val="231F20"/>
          <w:spacing w:val="-12"/>
        </w:rPr>
        <w:t> </w:t>
      </w:r>
      <w:r>
        <w:rPr>
          <w:color w:val="231F20"/>
        </w:rPr>
        <w:t>понимая,</w:t>
      </w:r>
      <w:r>
        <w:rPr>
          <w:color w:val="231F20"/>
          <w:spacing w:val="-13"/>
        </w:rPr>
        <w:t> </w:t>
      </w:r>
      <w:r>
        <w:rPr>
          <w:color w:val="231F20"/>
        </w:rPr>
        <w:t>что</w:t>
      </w:r>
      <w:r>
        <w:rPr>
          <w:color w:val="231F20"/>
          <w:spacing w:val="-12"/>
        </w:rPr>
        <w:t> </w:t>
      </w:r>
      <w:r>
        <w:rPr>
          <w:color w:val="231F20"/>
        </w:rPr>
        <w:t>толерантность</w:t>
      </w:r>
      <w:r>
        <w:rPr>
          <w:color w:val="231F20"/>
          <w:spacing w:val="-13"/>
        </w:rPr>
        <w:t> </w:t>
      </w:r>
      <w:r>
        <w:rPr>
          <w:color w:val="231F20"/>
        </w:rPr>
        <w:t>как</w:t>
      </w:r>
      <w:r>
        <w:rPr>
          <w:color w:val="231F20"/>
          <w:spacing w:val="-12"/>
        </w:rPr>
        <w:t> </w:t>
      </w:r>
      <w:r>
        <w:rPr>
          <w:color w:val="231F20"/>
        </w:rPr>
        <w:t>лич- ностная характеристика играет важную роль в межкультурной коммуникации, тем не менее подчеркнем, что для решения задач, связанных с обеспечением языковой</w:t>
      </w:r>
      <w:r>
        <w:rPr>
          <w:color w:val="231F20"/>
          <w:spacing w:val="80"/>
          <w:w w:val="150"/>
        </w:rPr>
        <w:t> </w:t>
      </w:r>
      <w:r>
        <w:rPr>
          <w:color w:val="231F20"/>
        </w:rPr>
        <w:t>и социокультурной адаптации несовершеннолетних иностранных граждан, приори- тетное значение имеет именно межкультурный тренинг, направленный на решение более локальных задач и в большей степени сфокусированный на развитии знаний</w:t>
      </w:r>
      <w:r>
        <w:rPr>
          <w:color w:val="231F20"/>
          <w:spacing w:val="80"/>
        </w:rPr>
        <w:t> </w:t>
      </w:r>
      <w:r>
        <w:rPr>
          <w:color w:val="231F20"/>
        </w:rPr>
        <w:t>и</w:t>
      </w:r>
      <w:r>
        <w:rPr>
          <w:color w:val="231F20"/>
          <w:spacing w:val="-1"/>
        </w:rPr>
        <w:t> </w:t>
      </w:r>
      <w:r>
        <w:rPr>
          <w:color w:val="231F20"/>
        </w:rPr>
        <w:t>умений,</w:t>
      </w:r>
      <w:r>
        <w:rPr>
          <w:color w:val="231F20"/>
          <w:spacing w:val="-1"/>
        </w:rPr>
        <w:t> </w:t>
      </w:r>
      <w:r>
        <w:rPr>
          <w:color w:val="231F20"/>
        </w:rPr>
        <w:t>ключевых</w:t>
      </w:r>
      <w:r>
        <w:rPr>
          <w:color w:val="231F20"/>
          <w:spacing w:val="-2"/>
        </w:rPr>
        <w:t> </w:t>
      </w:r>
      <w:r>
        <w:rPr>
          <w:color w:val="231F20"/>
        </w:rPr>
        <w:t>для</w:t>
      </w:r>
      <w:r>
        <w:rPr>
          <w:color w:val="231F20"/>
          <w:spacing w:val="-2"/>
        </w:rPr>
        <w:t> </w:t>
      </w:r>
      <w:r>
        <w:rPr>
          <w:color w:val="231F20"/>
        </w:rPr>
        <w:t>взаимодействия</w:t>
      </w:r>
      <w:r>
        <w:rPr>
          <w:color w:val="231F20"/>
          <w:spacing w:val="-2"/>
        </w:rPr>
        <w:t> </w:t>
      </w:r>
      <w:r>
        <w:rPr>
          <w:color w:val="231F20"/>
        </w:rPr>
        <w:t>в</w:t>
      </w:r>
      <w:r>
        <w:rPr>
          <w:color w:val="231F20"/>
          <w:spacing w:val="-2"/>
        </w:rPr>
        <w:t> </w:t>
      </w:r>
      <w:r>
        <w:rPr>
          <w:color w:val="231F20"/>
        </w:rPr>
        <w:t>поликультурном</w:t>
      </w:r>
      <w:r>
        <w:rPr>
          <w:color w:val="231F20"/>
          <w:spacing w:val="-2"/>
        </w:rPr>
        <w:t> </w:t>
      </w:r>
      <w:r>
        <w:rPr>
          <w:color w:val="231F20"/>
        </w:rPr>
        <w:t>классе.</w:t>
      </w:r>
      <w:r>
        <w:rPr>
          <w:color w:val="231F20"/>
          <w:spacing w:val="-2"/>
        </w:rPr>
        <w:t> </w:t>
      </w:r>
      <w:r>
        <w:rPr>
          <w:color w:val="231F20"/>
        </w:rPr>
        <w:t>Если</w:t>
      </w:r>
      <w:r>
        <w:rPr>
          <w:color w:val="231F20"/>
          <w:spacing w:val="-2"/>
        </w:rPr>
        <w:t> </w:t>
      </w:r>
      <w:r>
        <w:rPr>
          <w:color w:val="231F20"/>
        </w:rPr>
        <w:t>временные и кадровые ресурсы позволяют, безусловно, в образовательной организации может быть проведен тренинг толерантности.</w:t>
      </w:r>
    </w:p>
    <w:p>
      <w:pPr>
        <w:pStyle w:val="BodyText"/>
        <w:spacing w:line="235" w:lineRule="auto" w:before="2"/>
      </w:pPr>
      <w:r>
        <w:rPr>
          <w:color w:val="231F20"/>
        </w:rPr>
        <w:t>В</w:t>
      </w:r>
      <w:r>
        <w:rPr>
          <w:color w:val="231F20"/>
          <w:spacing w:val="-4"/>
        </w:rPr>
        <w:t> </w:t>
      </w:r>
      <w:r>
        <w:rPr>
          <w:color w:val="231F20"/>
        </w:rPr>
        <w:t>данном</w:t>
      </w:r>
      <w:r>
        <w:rPr>
          <w:color w:val="231F20"/>
          <w:spacing w:val="-4"/>
        </w:rPr>
        <w:t> </w:t>
      </w:r>
      <w:r>
        <w:rPr>
          <w:color w:val="231F20"/>
        </w:rPr>
        <w:t>параграфе</w:t>
      </w:r>
      <w:r>
        <w:rPr>
          <w:color w:val="231F20"/>
          <w:spacing w:val="-4"/>
        </w:rPr>
        <w:t> </w:t>
      </w:r>
      <w:r>
        <w:rPr>
          <w:color w:val="231F20"/>
        </w:rPr>
        <w:t>представлены</w:t>
      </w:r>
      <w:r>
        <w:rPr>
          <w:color w:val="231F20"/>
          <w:spacing w:val="-4"/>
        </w:rPr>
        <w:t> </w:t>
      </w:r>
      <w:r>
        <w:rPr>
          <w:color w:val="231F20"/>
        </w:rPr>
        <w:t>описания</w:t>
      </w:r>
      <w:r>
        <w:rPr>
          <w:color w:val="231F20"/>
          <w:spacing w:val="-4"/>
        </w:rPr>
        <w:t> </w:t>
      </w:r>
      <w:r>
        <w:rPr>
          <w:color w:val="231F20"/>
        </w:rPr>
        <w:t>активностей</w:t>
      </w:r>
      <w:r>
        <w:rPr>
          <w:color w:val="231F20"/>
          <w:spacing w:val="-4"/>
        </w:rPr>
        <w:t> </w:t>
      </w:r>
      <w:r>
        <w:rPr>
          <w:color w:val="231F20"/>
        </w:rPr>
        <w:t>(упражнений)</w:t>
      </w:r>
      <w:r>
        <w:rPr>
          <w:color w:val="231F20"/>
          <w:spacing w:val="-4"/>
        </w:rPr>
        <w:t> </w:t>
      </w:r>
      <w:r>
        <w:rPr>
          <w:color w:val="231F20"/>
        </w:rPr>
        <w:t>для</w:t>
      </w:r>
      <w:r>
        <w:rPr>
          <w:color w:val="231F20"/>
          <w:spacing w:val="-4"/>
        </w:rPr>
        <w:t> </w:t>
      </w:r>
      <w:r>
        <w:rPr>
          <w:color w:val="231F20"/>
        </w:rPr>
        <w:t>меж- </w:t>
      </w:r>
      <w:r>
        <w:rPr>
          <w:color w:val="231F20"/>
          <w:spacing w:val="-2"/>
        </w:rPr>
        <w:t>культурного тренинга в образовательной среде. Они организованы согласно составля- </w:t>
      </w:r>
      <w:r>
        <w:rPr>
          <w:color w:val="231F20"/>
        </w:rPr>
        <w:t>ющим</w:t>
      </w:r>
      <w:r>
        <w:rPr>
          <w:color w:val="231F20"/>
          <w:spacing w:val="-9"/>
        </w:rPr>
        <w:t> </w:t>
      </w:r>
      <w:r>
        <w:rPr>
          <w:color w:val="231F20"/>
        </w:rPr>
        <w:t>межкультурного</w:t>
      </w:r>
      <w:r>
        <w:rPr>
          <w:color w:val="231F20"/>
          <w:spacing w:val="-9"/>
        </w:rPr>
        <w:t> </w:t>
      </w:r>
      <w:r>
        <w:rPr>
          <w:color w:val="231F20"/>
        </w:rPr>
        <w:t>тренинга,</w:t>
      </w:r>
      <w:r>
        <w:rPr>
          <w:color w:val="231F20"/>
          <w:spacing w:val="-9"/>
        </w:rPr>
        <w:t> </w:t>
      </w:r>
      <w:r>
        <w:rPr>
          <w:color w:val="231F20"/>
        </w:rPr>
        <w:t>предложенным</w:t>
      </w:r>
      <w:r>
        <w:rPr>
          <w:color w:val="231F20"/>
          <w:spacing w:val="-9"/>
        </w:rPr>
        <w:t> </w:t>
      </w:r>
      <w:r>
        <w:rPr>
          <w:color w:val="231F20"/>
        </w:rPr>
        <w:t>К.</w:t>
      </w:r>
      <w:r>
        <w:rPr>
          <w:color w:val="231F20"/>
          <w:spacing w:val="-9"/>
        </w:rPr>
        <w:t> </w:t>
      </w:r>
      <w:r>
        <w:rPr>
          <w:color w:val="231F20"/>
        </w:rPr>
        <w:t>Берардо</w:t>
      </w:r>
      <w:r>
        <w:rPr>
          <w:color w:val="231F20"/>
          <w:spacing w:val="-9"/>
        </w:rPr>
        <w:t> </w:t>
      </w:r>
      <w:r>
        <w:rPr>
          <w:color w:val="231F20"/>
        </w:rPr>
        <w:t>и</w:t>
      </w:r>
      <w:r>
        <w:rPr>
          <w:color w:val="231F20"/>
          <w:spacing w:val="-9"/>
        </w:rPr>
        <w:t> </w:t>
      </w:r>
      <w:r>
        <w:rPr>
          <w:color w:val="231F20"/>
        </w:rPr>
        <w:t>Д.</w:t>
      </w:r>
      <w:r>
        <w:rPr>
          <w:color w:val="231F20"/>
          <w:spacing w:val="-9"/>
        </w:rPr>
        <w:t> </w:t>
      </w:r>
      <w:r>
        <w:rPr>
          <w:color w:val="231F20"/>
        </w:rPr>
        <w:t>Деардорф</w:t>
      </w:r>
      <w:r>
        <w:rPr>
          <w:color w:val="231F20"/>
          <w:spacing w:val="-9"/>
        </w:rPr>
        <w:t> </w:t>
      </w:r>
      <w:r>
        <w:rPr>
          <w:color w:val="231F20"/>
        </w:rPr>
        <w:t>(Building Cultural</w:t>
      </w:r>
      <w:r>
        <w:rPr>
          <w:color w:val="231F20"/>
          <w:spacing w:val="-7"/>
        </w:rPr>
        <w:t> </w:t>
      </w:r>
      <w:r>
        <w:rPr>
          <w:color w:val="231F20"/>
        </w:rPr>
        <w:t>Competence...,</w:t>
      </w:r>
      <w:r>
        <w:rPr>
          <w:color w:val="231F20"/>
          <w:spacing w:val="-7"/>
        </w:rPr>
        <w:t> </w:t>
      </w:r>
      <w:r>
        <w:rPr>
          <w:color w:val="231F20"/>
        </w:rPr>
        <w:t>2021)</w:t>
      </w:r>
      <w:r>
        <w:rPr>
          <w:color w:val="231F20"/>
          <w:spacing w:val="-7"/>
        </w:rPr>
        <w:t> </w:t>
      </w:r>
      <w:r>
        <w:rPr>
          <w:color w:val="231F20"/>
        </w:rPr>
        <w:t>и</w:t>
      </w:r>
      <w:r>
        <w:rPr>
          <w:color w:val="231F20"/>
          <w:spacing w:val="-7"/>
        </w:rPr>
        <w:t> </w:t>
      </w:r>
      <w:r>
        <w:rPr>
          <w:color w:val="231F20"/>
        </w:rPr>
        <w:t>модифицированы</w:t>
      </w:r>
      <w:r>
        <w:rPr>
          <w:color w:val="231F20"/>
          <w:spacing w:val="-7"/>
        </w:rPr>
        <w:t> </w:t>
      </w:r>
      <w:r>
        <w:rPr>
          <w:color w:val="231F20"/>
        </w:rPr>
        <w:t>авторами</w:t>
      </w:r>
      <w:r>
        <w:rPr>
          <w:color w:val="231F20"/>
          <w:spacing w:val="-7"/>
        </w:rPr>
        <w:t> </w:t>
      </w:r>
      <w:r>
        <w:rPr>
          <w:color w:val="231F20"/>
        </w:rPr>
        <w:t>для</w:t>
      </w:r>
      <w:r>
        <w:rPr>
          <w:color w:val="231F20"/>
          <w:spacing w:val="-7"/>
        </w:rPr>
        <w:t> </w:t>
      </w:r>
      <w:r>
        <w:rPr>
          <w:color w:val="231F20"/>
        </w:rPr>
        <w:t>использования</w:t>
      </w:r>
      <w:r>
        <w:rPr>
          <w:color w:val="231F20"/>
          <w:spacing w:val="-7"/>
        </w:rPr>
        <w:t> </w:t>
      </w:r>
      <w:r>
        <w:rPr>
          <w:color w:val="231F20"/>
        </w:rPr>
        <w:t>в</w:t>
      </w:r>
      <w:r>
        <w:rPr>
          <w:color w:val="231F20"/>
          <w:spacing w:val="-7"/>
        </w:rPr>
        <w:t> </w:t>
      </w:r>
      <w:r>
        <w:rPr>
          <w:color w:val="231F20"/>
        </w:rPr>
        <w:t>рабо- те с поликультурным классом.</w:t>
      </w:r>
    </w:p>
    <w:p>
      <w:pPr>
        <w:pStyle w:val="BodyText"/>
        <w:spacing w:line="235" w:lineRule="auto" w:before="3"/>
      </w:pPr>
      <w:r>
        <w:rPr>
          <w:color w:val="231F20"/>
        </w:rPr>
        <w:t>Мы</w:t>
      </w:r>
      <w:r>
        <w:rPr>
          <w:color w:val="231F20"/>
          <w:spacing w:val="-5"/>
        </w:rPr>
        <w:t> </w:t>
      </w:r>
      <w:r>
        <w:rPr>
          <w:color w:val="231F20"/>
        </w:rPr>
        <w:t>выделяем</w:t>
      </w:r>
      <w:r>
        <w:rPr>
          <w:color w:val="231F20"/>
          <w:spacing w:val="-5"/>
        </w:rPr>
        <w:t> </w:t>
      </w:r>
      <w:r>
        <w:rPr>
          <w:color w:val="231F20"/>
        </w:rPr>
        <w:t>3</w:t>
      </w:r>
      <w:r>
        <w:rPr>
          <w:color w:val="231F20"/>
          <w:spacing w:val="-5"/>
        </w:rPr>
        <w:t> </w:t>
      </w:r>
      <w:r>
        <w:rPr>
          <w:color w:val="231F20"/>
        </w:rPr>
        <w:t>задачи</w:t>
      </w:r>
      <w:r>
        <w:rPr>
          <w:color w:val="231F20"/>
          <w:spacing w:val="-5"/>
        </w:rPr>
        <w:t> </w:t>
      </w:r>
      <w:r>
        <w:rPr>
          <w:color w:val="231F20"/>
        </w:rPr>
        <w:t>межкультурного</w:t>
      </w:r>
      <w:r>
        <w:rPr>
          <w:color w:val="231F20"/>
          <w:spacing w:val="-5"/>
        </w:rPr>
        <w:t> </w:t>
      </w:r>
      <w:r>
        <w:rPr>
          <w:color w:val="231F20"/>
        </w:rPr>
        <w:t>тренинга</w:t>
      </w:r>
      <w:r>
        <w:rPr>
          <w:color w:val="231F20"/>
          <w:spacing w:val="-5"/>
        </w:rPr>
        <w:t> </w:t>
      </w:r>
      <w:r>
        <w:rPr>
          <w:color w:val="231F20"/>
        </w:rPr>
        <w:t>и,</w:t>
      </w:r>
      <w:r>
        <w:rPr>
          <w:color w:val="231F20"/>
          <w:spacing w:val="-5"/>
        </w:rPr>
        <w:t> </w:t>
      </w:r>
      <w:r>
        <w:rPr>
          <w:color w:val="231F20"/>
        </w:rPr>
        <w:t>соответственно,</w:t>
      </w:r>
      <w:r>
        <w:rPr>
          <w:color w:val="231F20"/>
          <w:spacing w:val="-5"/>
        </w:rPr>
        <w:t> </w:t>
      </w:r>
      <w:r>
        <w:rPr>
          <w:color w:val="231F20"/>
        </w:rPr>
        <w:t>3</w:t>
      </w:r>
      <w:r>
        <w:rPr>
          <w:color w:val="231F20"/>
          <w:spacing w:val="-5"/>
        </w:rPr>
        <w:t> </w:t>
      </w:r>
      <w:r>
        <w:rPr>
          <w:color w:val="231F20"/>
        </w:rPr>
        <w:t>группы</w:t>
      </w:r>
      <w:r>
        <w:rPr>
          <w:color w:val="231F20"/>
          <w:spacing w:val="-5"/>
        </w:rPr>
        <w:t> </w:t>
      </w:r>
      <w:r>
        <w:rPr>
          <w:color w:val="231F20"/>
        </w:rPr>
        <w:t>те- матических активностей (упражнений).</w:t>
      </w:r>
    </w:p>
    <w:p>
      <w:pPr>
        <w:pStyle w:val="ListParagraph"/>
        <w:numPr>
          <w:ilvl w:val="0"/>
          <w:numId w:val="265"/>
        </w:numPr>
        <w:tabs>
          <w:tab w:pos="423" w:val="left" w:leader="none"/>
        </w:tabs>
        <w:spacing w:line="225" w:lineRule="exact" w:before="0" w:after="0"/>
        <w:ind w:left="423" w:right="0" w:hanging="282"/>
        <w:jc w:val="both"/>
        <w:rPr>
          <w:sz w:val="20"/>
        </w:rPr>
      </w:pPr>
      <w:r>
        <w:rPr>
          <w:color w:val="231F20"/>
          <w:sz w:val="20"/>
        </w:rPr>
        <w:t>Понимание</w:t>
      </w:r>
      <w:r>
        <w:rPr>
          <w:color w:val="231F20"/>
          <w:spacing w:val="-13"/>
          <w:sz w:val="20"/>
        </w:rPr>
        <w:t> </w:t>
      </w:r>
      <w:r>
        <w:rPr>
          <w:color w:val="231F20"/>
          <w:sz w:val="20"/>
        </w:rPr>
        <w:t>культурных</w:t>
      </w:r>
      <w:r>
        <w:rPr>
          <w:color w:val="231F20"/>
          <w:spacing w:val="-11"/>
          <w:sz w:val="20"/>
        </w:rPr>
        <w:t> </w:t>
      </w:r>
      <w:r>
        <w:rPr>
          <w:color w:val="231F20"/>
          <w:sz w:val="20"/>
        </w:rPr>
        <w:t>различий</w:t>
      </w:r>
      <w:r>
        <w:rPr>
          <w:color w:val="231F20"/>
          <w:spacing w:val="-10"/>
          <w:sz w:val="20"/>
        </w:rPr>
        <w:t> </w:t>
      </w:r>
      <w:r>
        <w:rPr>
          <w:color w:val="231F20"/>
          <w:sz w:val="20"/>
        </w:rPr>
        <w:t>и</w:t>
      </w:r>
      <w:r>
        <w:rPr>
          <w:color w:val="231F20"/>
          <w:spacing w:val="-11"/>
          <w:sz w:val="20"/>
        </w:rPr>
        <w:t> </w:t>
      </w:r>
      <w:r>
        <w:rPr>
          <w:color w:val="231F20"/>
          <w:sz w:val="20"/>
        </w:rPr>
        <w:t>ценностей</w:t>
      </w:r>
      <w:r>
        <w:rPr>
          <w:color w:val="231F20"/>
          <w:spacing w:val="-10"/>
          <w:sz w:val="20"/>
        </w:rPr>
        <w:t> </w:t>
      </w:r>
      <w:r>
        <w:rPr>
          <w:color w:val="231F20"/>
          <w:spacing w:val="-2"/>
          <w:sz w:val="20"/>
        </w:rPr>
        <w:t>культуры.</w:t>
      </w:r>
    </w:p>
    <w:p>
      <w:pPr>
        <w:pStyle w:val="ListParagraph"/>
        <w:numPr>
          <w:ilvl w:val="0"/>
          <w:numId w:val="265"/>
        </w:numPr>
        <w:tabs>
          <w:tab w:pos="423" w:val="left" w:leader="none"/>
        </w:tabs>
        <w:spacing w:line="227" w:lineRule="exact" w:before="0" w:after="0"/>
        <w:ind w:left="423" w:right="0" w:hanging="282"/>
        <w:jc w:val="both"/>
        <w:rPr>
          <w:sz w:val="20"/>
        </w:rPr>
      </w:pPr>
      <w:r>
        <w:rPr>
          <w:color w:val="231F20"/>
          <w:sz w:val="20"/>
        </w:rPr>
        <w:t>Осознание</w:t>
      </w:r>
      <w:r>
        <w:rPr>
          <w:color w:val="231F20"/>
          <w:spacing w:val="-9"/>
          <w:sz w:val="20"/>
        </w:rPr>
        <w:t> </w:t>
      </w:r>
      <w:r>
        <w:rPr>
          <w:color w:val="231F20"/>
          <w:spacing w:val="-2"/>
          <w:sz w:val="20"/>
        </w:rPr>
        <w:t>идентичности.</w:t>
      </w:r>
    </w:p>
    <w:p>
      <w:pPr>
        <w:pStyle w:val="ListParagraph"/>
        <w:numPr>
          <w:ilvl w:val="0"/>
          <w:numId w:val="265"/>
        </w:numPr>
        <w:tabs>
          <w:tab w:pos="423" w:val="left" w:leader="none"/>
          <w:tab w:pos="425" w:val="left" w:leader="none"/>
        </w:tabs>
        <w:spacing w:line="240" w:lineRule="auto" w:before="0" w:after="0"/>
        <w:ind w:left="425" w:right="3180" w:hanging="284"/>
        <w:jc w:val="both"/>
        <w:rPr>
          <w:sz w:val="20"/>
        </w:rPr>
      </w:pPr>
      <w:r>
        <w:rPr>
          <w:color w:val="231F20"/>
          <w:sz w:val="20"/>
        </w:rPr>
        <w:t>Успешная межкультурная коммуникация. Раскроем</w:t>
      </w:r>
      <w:r>
        <w:rPr>
          <w:color w:val="231F20"/>
          <w:spacing w:val="-7"/>
          <w:sz w:val="20"/>
        </w:rPr>
        <w:t> </w:t>
      </w:r>
      <w:r>
        <w:rPr>
          <w:color w:val="231F20"/>
          <w:sz w:val="20"/>
        </w:rPr>
        <w:t>каждую</w:t>
      </w:r>
      <w:r>
        <w:rPr>
          <w:color w:val="231F20"/>
          <w:spacing w:val="-7"/>
          <w:sz w:val="20"/>
        </w:rPr>
        <w:t> </w:t>
      </w:r>
      <w:r>
        <w:rPr>
          <w:color w:val="231F20"/>
          <w:sz w:val="20"/>
        </w:rPr>
        <w:t>из</w:t>
      </w:r>
      <w:r>
        <w:rPr>
          <w:color w:val="231F20"/>
          <w:spacing w:val="-7"/>
          <w:sz w:val="20"/>
        </w:rPr>
        <w:t> </w:t>
      </w:r>
      <w:r>
        <w:rPr>
          <w:color w:val="231F20"/>
          <w:sz w:val="20"/>
        </w:rPr>
        <w:t>данных</w:t>
      </w:r>
      <w:r>
        <w:rPr>
          <w:color w:val="231F20"/>
          <w:spacing w:val="-7"/>
          <w:sz w:val="20"/>
        </w:rPr>
        <w:t> </w:t>
      </w:r>
      <w:r>
        <w:rPr>
          <w:color w:val="231F20"/>
          <w:sz w:val="20"/>
        </w:rPr>
        <w:t>задач</w:t>
      </w:r>
      <w:r>
        <w:rPr>
          <w:color w:val="231F20"/>
          <w:spacing w:val="-7"/>
          <w:sz w:val="20"/>
        </w:rPr>
        <w:t> </w:t>
      </w:r>
      <w:r>
        <w:rPr>
          <w:color w:val="231F20"/>
          <w:spacing w:val="-2"/>
          <w:sz w:val="20"/>
        </w:rPr>
        <w:t>подробнее.</w:t>
      </w:r>
    </w:p>
    <w:p>
      <w:pPr>
        <w:pStyle w:val="BodyText"/>
        <w:spacing w:before="52"/>
      </w:pPr>
      <w:r>
        <w:rPr>
          <w:b/>
          <w:color w:val="231F20"/>
        </w:rPr>
        <w:t>Тематические</w:t>
      </w:r>
      <w:r>
        <w:rPr>
          <w:b/>
          <w:color w:val="231F20"/>
          <w:spacing w:val="-13"/>
        </w:rPr>
        <w:t> </w:t>
      </w:r>
      <w:r>
        <w:rPr>
          <w:b/>
          <w:color w:val="231F20"/>
        </w:rPr>
        <w:t>активности</w:t>
      </w:r>
      <w:r>
        <w:rPr>
          <w:b/>
          <w:color w:val="231F20"/>
          <w:spacing w:val="-12"/>
        </w:rPr>
        <w:t> </w:t>
      </w:r>
      <w:r>
        <w:rPr>
          <w:b/>
          <w:color w:val="231F20"/>
        </w:rPr>
        <w:t>1.</w:t>
      </w:r>
      <w:r>
        <w:rPr>
          <w:b/>
          <w:color w:val="231F20"/>
          <w:spacing w:val="-13"/>
        </w:rPr>
        <w:t> </w:t>
      </w:r>
      <w:r>
        <w:rPr>
          <w:i/>
          <w:color w:val="231F20"/>
        </w:rPr>
        <w:t>Понимание</w:t>
      </w:r>
      <w:r>
        <w:rPr>
          <w:i/>
          <w:color w:val="231F20"/>
          <w:spacing w:val="-12"/>
        </w:rPr>
        <w:t> </w:t>
      </w:r>
      <w:r>
        <w:rPr>
          <w:i/>
          <w:color w:val="231F20"/>
        </w:rPr>
        <w:t>культурных</w:t>
      </w:r>
      <w:r>
        <w:rPr>
          <w:i/>
          <w:color w:val="231F20"/>
          <w:spacing w:val="-13"/>
        </w:rPr>
        <w:t> </w:t>
      </w:r>
      <w:r>
        <w:rPr>
          <w:i/>
          <w:color w:val="231F20"/>
        </w:rPr>
        <w:t>различий</w:t>
      </w:r>
      <w:r>
        <w:rPr>
          <w:i/>
          <w:color w:val="231F20"/>
          <w:spacing w:val="-12"/>
        </w:rPr>
        <w:t> </w:t>
      </w:r>
      <w:r>
        <w:rPr>
          <w:i/>
          <w:color w:val="231F20"/>
        </w:rPr>
        <w:t>и</w:t>
      </w:r>
      <w:r>
        <w:rPr>
          <w:i/>
          <w:color w:val="231F20"/>
          <w:spacing w:val="-13"/>
        </w:rPr>
        <w:t> </w:t>
      </w:r>
      <w:r>
        <w:rPr>
          <w:i/>
          <w:color w:val="231F20"/>
        </w:rPr>
        <w:t>ценностей</w:t>
      </w:r>
      <w:r>
        <w:rPr>
          <w:i/>
          <w:color w:val="231F20"/>
          <w:spacing w:val="-12"/>
        </w:rPr>
        <w:t> </w:t>
      </w:r>
      <w:r>
        <w:rPr>
          <w:i/>
          <w:color w:val="231F20"/>
        </w:rPr>
        <w:t>куль- туры.</w:t>
      </w:r>
      <w:r>
        <w:rPr>
          <w:i/>
          <w:color w:val="231F20"/>
          <w:spacing w:val="-11"/>
        </w:rPr>
        <w:t> </w:t>
      </w:r>
      <w:r>
        <w:rPr>
          <w:i/>
          <w:color w:val="231F20"/>
        </w:rPr>
        <w:t>Э</w:t>
      </w:r>
      <w:r>
        <w:rPr>
          <w:color w:val="231F20"/>
        </w:rPr>
        <w:t>то</w:t>
      </w:r>
      <w:r>
        <w:rPr>
          <w:color w:val="231F20"/>
          <w:spacing w:val="-11"/>
        </w:rPr>
        <w:t> </w:t>
      </w:r>
      <w:r>
        <w:rPr>
          <w:color w:val="231F20"/>
        </w:rPr>
        <w:t>базовая</w:t>
      </w:r>
      <w:r>
        <w:rPr>
          <w:color w:val="231F20"/>
          <w:spacing w:val="-11"/>
        </w:rPr>
        <w:t> </w:t>
      </w:r>
      <w:r>
        <w:rPr>
          <w:color w:val="231F20"/>
        </w:rPr>
        <w:t>задача</w:t>
      </w:r>
      <w:r>
        <w:rPr>
          <w:color w:val="231F20"/>
          <w:spacing w:val="-11"/>
        </w:rPr>
        <w:t> </w:t>
      </w:r>
      <w:r>
        <w:rPr>
          <w:color w:val="231F20"/>
        </w:rPr>
        <w:t>межкультурного</w:t>
      </w:r>
      <w:r>
        <w:rPr>
          <w:color w:val="231F20"/>
          <w:spacing w:val="-11"/>
        </w:rPr>
        <w:t> </w:t>
      </w:r>
      <w:r>
        <w:rPr>
          <w:color w:val="231F20"/>
        </w:rPr>
        <w:t>тренинга</w:t>
      </w:r>
      <w:r>
        <w:rPr>
          <w:color w:val="231F20"/>
          <w:spacing w:val="-11"/>
        </w:rPr>
        <w:t> </w:t>
      </w:r>
      <w:r>
        <w:rPr>
          <w:color w:val="231F20"/>
        </w:rPr>
        <w:t>(см.</w:t>
      </w:r>
      <w:r>
        <w:rPr>
          <w:color w:val="231F20"/>
          <w:spacing w:val="-11"/>
        </w:rPr>
        <w:t> </w:t>
      </w:r>
      <w:r>
        <w:rPr>
          <w:color w:val="231F20"/>
        </w:rPr>
        <w:t>параграф</w:t>
      </w:r>
      <w:r>
        <w:rPr>
          <w:color w:val="231F20"/>
          <w:spacing w:val="-11"/>
        </w:rPr>
        <w:t> </w:t>
      </w:r>
      <w:r>
        <w:rPr>
          <w:color w:val="231F20"/>
        </w:rPr>
        <w:t>4.1.2.).</w:t>
      </w:r>
      <w:r>
        <w:rPr>
          <w:color w:val="231F20"/>
          <w:spacing w:val="-11"/>
        </w:rPr>
        <w:t> </w:t>
      </w:r>
      <w:r>
        <w:rPr>
          <w:color w:val="231F20"/>
        </w:rPr>
        <w:t>В</w:t>
      </w:r>
      <w:r>
        <w:rPr>
          <w:color w:val="231F20"/>
          <w:spacing w:val="-11"/>
        </w:rPr>
        <w:t> </w:t>
      </w:r>
      <w:r>
        <w:rPr>
          <w:color w:val="231F20"/>
        </w:rPr>
        <w:t>результа- те</w:t>
      </w:r>
      <w:r>
        <w:rPr>
          <w:color w:val="231F20"/>
          <w:spacing w:val="-4"/>
        </w:rPr>
        <w:t> </w:t>
      </w:r>
      <w:r>
        <w:rPr>
          <w:color w:val="231F20"/>
        </w:rPr>
        <w:t>ее</w:t>
      </w:r>
      <w:r>
        <w:rPr>
          <w:color w:val="231F20"/>
          <w:spacing w:val="-4"/>
        </w:rPr>
        <w:t> </w:t>
      </w:r>
      <w:r>
        <w:rPr>
          <w:color w:val="231F20"/>
        </w:rPr>
        <w:t>решения</w:t>
      </w:r>
      <w:r>
        <w:rPr>
          <w:color w:val="231F20"/>
          <w:spacing w:val="-4"/>
        </w:rPr>
        <w:t> </w:t>
      </w:r>
      <w:r>
        <w:rPr>
          <w:color w:val="231F20"/>
        </w:rPr>
        <w:t>участники</w:t>
      </w:r>
      <w:r>
        <w:rPr>
          <w:color w:val="231F20"/>
          <w:spacing w:val="-4"/>
        </w:rPr>
        <w:t> </w:t>
      </w:r>
      <w:r>
        <w:rPr>
          <w:color w:val="231F20"/>
        </w:rPr>
        <w:t>тренинга</w:t>
      </w:r>
      <w:r>
        <w:rPr>
          <w:color w:val="231F20"/>
          <w:spacing w:val="-4"/>
        </w:rPr>
        <w:t> </w:t>
      </w:r>
      <w:r>
        <w:rPr>
          <w:color w:val="231F20"/>
        </w:rPr>
        <w:t>должны</w:t>
      </w:r>
      <w:r>
        <w:rPr>
          <w:color w:val="231F20"/>
          <w:spacing w:val="-4"/>
        </w:rPr>
        <w:t> </w:t>
      </w:r>
      <w:r>
        <w:rPr>
          <w:color w:val="231F20"/>
        </w:rPr>
        <w:t>понять,</w:t>
      </w:r>
      <w:r>
        <w:rPr>
          <w:color w:val="231F20"/>
          <w:spacing w:val="-4"/>
        </w:rPr>
        <w:t> </w:t>
      </w:r>
      <w:r>
        <w:rPr>
          <w:color w:val="231F20"/>
        </w:rPr>
        <w:t>что</w:t>
      </w:r>
      <w:r>
        <w:rPr>
          <w:color w:val="231F20"/>
          <w:spacing w:val="-4"/>
        </w:rPr>
        <w:t> </w:t>
      </w:r>
      <w:r>
        <w:rPr>
          <w:color w:val="231F20"/>
        </w:rPr>
        <w:t>культурные</w:t>
      </w:r>
      <w:r>
        <w:rPr>
          <w:color w:val="231F20"/>
          <w:spacing w:val="-4"/>
        </w:rPr>
        <w:t> </w:t>
      </w:r>
      <w:r>
        <w:rPr>
          <w:color w:val="231F20"/>
        </w:rPr>
        <w:t>нормы</w:t>
      </w:r>
      <w:r>
        <w:rPr>
          <w:color w:val="231F20"/>
          <w:spacing w:val="-4"/>
        </w:rPr>
        <w:t> </w:t>
      </w:r>
      <w:r>
        <w:rPr>
          <w:color w:val="231F20"/>
        </w:rPr>
        <w:t>и</w:t>
      </w:r>
      <w:r>
        <w:rPr>
          <w:color w:val="231F20"/>
          <w:spacing w:val="-4"/>
        </w:rPr>
        <w:t> </w:t>
      </w:r>
      <w:r>
        <w:rPr>
          <w:color w:val="231F20"/>
        </w:rPr>
        <w:t>правила оказывают существенное влияние на поведение человека в различных социальных ситуациях.</w:t>
      </w:r>
      <w:r>
        <w:rPr>
          <w:color w:val="231F20"/>
          <w:spacing w:val="-13"/>
        </w:rPr>
        <w:t> </w:t>
      </w:r>
      <w:r>
        <w:rPr>
          <w:color w:val="231F20"/>
        </w:rPr>
        <w:t>Следует</w:t>
      </w:r>
      <w:r>
        <w:rPr>
          <w:color w:val="231F20"/>
          <w:spacing w:val="-12"/>
        </w:rPr>
        <w:t> </w:t>
      </w:r>
      <w:r>
        <w:rPr>
          <w:color w:val="231F20"/>
        </w:rPr>
        <w:t>подчеркнуть,</w:t>
      </w:r>
      <w:r>
        <w:rPr>
          <w:color w:val="231F20"/>
          <w:spacing w:val="-13"/>
        </w:rPr>
        <w:t> </w:t>
      </w:r>
      <w:r>
        <w:rPr>
          <w:color w:val="231F20"/>
        </w:rPr>
        <w:t>что</w:t>
      </w:r>
      <w:r>
        <w:rPr>
          <w:color w:val="231F20"/>
          <w:spacing w:val="-12"/>
        </w:rPr>
        <w:t> </w:t>
      </w:r>
      <w:r>
        <w:rPr>
          <w:color w:val="231F20"/>
        </w:rPr>
        <w:t>это</w:t>
      </w:r>
      <w:r>
        <w:rPr>
          <w:color w:val="231F20"/>
          <w:spacing w:val="-13"/>
        </w:rPr>
        <w:t> </w:t>
      </w:r>
      <w:r>
        <w:rPr>
          <w:color w:val="231F20"/>
        </w:rPr>
        <w:t>не</w:t>
      </w:r>
      <w:r>
        <w:rPr>
          <w:color w:val="231F20"/>
          <w:spacing w:val="-12"/>
        </w:rPr>
        <w:t> </w:t>
      </w:r>
      <w:r>
        <w:rPr>
          <w:color w:val="231F20"/>
        </w:rPr>
        <w:t>просто</w:t>
      </w:r>
      <w:r>
        <w:rPr>
          <w:color w:val="231F20"/>
          <w:spacing w:val="-13"/>
        </w:rPr>
        <w:t> </w:t>
      </w:r>
      <w:r>
        <w:rPr>
          <w:color w:val="231F20"/>
        </w:rPr>
        <w:t>теоретическое</w:t>
      </w:r>
      <w:r>
        <w:rPr>
          <w:color w:val="231F20"/>
          <w:spacing w:val="-12"/>
        </w:rPr>
        <w:t> </w:t>
      </w:r>
      <w:r>
        <w:rPr>
          <w:color w:val="231F20"/>
        </w:rPr>
        <w:t>знание</w:t>
      </w:r>
      <w:r>
        <w:rPr>
          <w:color w:val="231F20"/>
          <w:spacing w:val="-13"/>
        </w:rPr>
        <w:t> </w:t>
      </w:r>
      <w:r>
        <w:rPr>
          <w:color w:val="231F20"/>
        </w:rPr>
        <w:t>о</w:t>
      </w:r>
      <w:r>
        <w:rPr>
          <w:color w:val="231F20"/>
          <w:spacing w:val="-12"/>
        </w:rPr>
        <w:t> </w:t>
      </w:r>
      <w:r>
        <w:rPr>
          <w:color w:val="231F20"/>
        </w:rPr>
        <w:t>существо- вании</w:t>
      </w:r>
      <w:r>
        <w:rPr>
          <w:color w:val="231F20"/>
          <w:spacing w:val="-7"/>
        </w:rPr>
        <w:t> </w:t>
      </w:r>
      <w:r>
        <w:rPr>
          <w:color w:val="231F20"/>
        </w:rPr>
        <w:t>разных</w:t>
      </w:r>
      <w:r>
        <w:rPr>
          <w:color w:val="231F20"/>
          <w:spacing w:val="-7"/>
        </w:rPr>
        <w:t> </w:t>
      </w:r>
      <w:r>
        <w:rPr>
          <w:color w:val="231F20"/>
        </w:rPr>
        <w:t>культур.</w:t>
      </w:r>
      <w:r>
        <w:rPr>
          <w:color w:val="231F20"/>
          <w:spacing w:val="-7"/>
        </w:rPr>
        <w:t> </w:t>
      </w:r>
      <w:r>
        <w:rPr>
          <w:color w:val="231F20"/>
        </w:rPr>
        <w:t>Это</w:t>
      </w:r>
      <w:r>
        <w:rPr>
          <w:color w:val="231F20"/>
          <w:spacing w:val="-7"/>
        </w:rPr>
        <w:t> </w:t>
      </w:r>
      <w:r>
        <w:rPr>
          <w:color w:val="231F20"/>
        </w:rPr>
        <w:t>глубокое</w:t>
      </w:r>
      <w:r>
        <w:rPr>
          <w:color w:val="231F20"/>
          <w:spacing w:val="-7"/>
        </w:rPr>
        <w:t> </w:t>
      </w:r>
      <w:r>
        <w:rPr>
          <w:color w:val="231F20"/>
        </w:rPr>
        <w:t>понимание,</w:t>
      </w:r>
      <w:r>
        <w:rPr>
          <w:color w:val="231F20"/>
          <w:spacing w:val="-7"/>
        </w:rPr>
        <w:t> </w:t>
      </w:r>
      <w:r>
        <w:rPr>
          <w:color w:val="231F20"/>
        </w:rPr>
        <w:t>которое</w:t>
      </w:r>
      <w:r>
        <w:rPr>
          <w:color w:val="231F20"/>
          <w:spacing w:val="-7"/>
        </w:rPr>
        <w:t> </w:t>
      </w:r>
      <w:r>
        <w:rPr>
          <w:color w:val="231F20"/>
        </w:rPr>
        <w:t>лежит</w:t>
      </w:r>
      <w:r>
        <w:rPr>
          <w:color w:val="231F20"/>
          <w:spacing w:val="-7"/>
        </w:rPr>
        <w:t> </w:t>
      </w:r>
      <w:r>
        <w:rPr>
          <w:color w:val="231F20"/>
        </w:rPr>
        <w:t>в</w:t>
      </w:r>
      <w:r>
        <w:rPr>
          <w:color w:val="231F20"/>
          <w:spacing w:val="-7"/>
        </w:rPr>
        <w:t> </w:t>
      </w:r>
      <w:r>
        <w:rPr>
          <w:color w:val="231F20"/>
        </w:rPr>
        <w:t>основе</w:t>
      </w:r>
      <w:r>
        <w:rPr>
          <w:color w:val="231F20"/>
          <w:spacing w:val="-7"/>
        </w:rPr>
        <w:t> </w:t>
      </w:r>
      <w:r>
        <w:rPr>
          <w:color w:val="231F20"/>
        </w:rPr>
        <w:t>формирова- ния навыков, т.е. тесно связано с повседневным поведением.</w:t>
      </w:r>
    </w:p>
    <w:p>
      <w:pPr>
        <w:pStyle w:val="BodyText"/>
        <w:spacing w:line="237" w:lineRule="auto"/>
      </w:pPr>
      <w:r>
        <w:rPr>
          <w:color w:val="231F20"/>
        </w:rPr>
        <w:t>Активности данной группы предполагают упражнения, проблематизирующие тему культурных различий.</w:t>
      </w:r>
    </w:p>
    <w:p>
      <w:pPr>
        <w:pStyle w:val="BodyText"/>
        <w:spacing w:line="235" w:lineRule="auto" w:before="47"/>
      </w:pPr>
      <w:r>
        <w:rPr>
          <w:b/>
          <w:color w:val="231F20"/>
        </w:rPr>
        <w:t>Тематические</w:t>
      </w:r>
      <w:r>
        <w:rPr>
          <w:b/>
          <w:color w:val="231F20"/>
          <w:spacing w:val="-13"/>
        </w:rPr>
        <w:t> </w:t>
      </w:r>
      <w:r>
        <w:rPr>
          <w:b/>
          <w:color w:val="231F20"/>
        </w:rPr>
        <w:t>активности</w:t>
      </w:r>
      <w:r>
        <w:rPr>
          <w:b/>
          <w:color w:val="231F20"/>
          <w:spacing w:val="-12"/>
        </w:rPr>
        <w:t> </w:t>
      </w:r>
      <w:r>
        <w:rPr>
          <w:b/>
          <w:color w:val="231F20"/>
        </w:rPr>
        <w:t>2.</w:t>
      </w:r>
      <w:r>
        <w:rPr>
          <w:b/>
          <w:color w:val="231F20"/>
          <w:spacing w:val="-13"/>
        </w:rPr>
        <w:t> </w:t>
      </w:r>
      <w:r>
        <w:rPr>
          <w:i/>
          <w:color w:val="231F20"/>
        </w:rPr>
        <w:t>Осознание</w:t>
      </w:r>
      <w:r>
        <w:rPr>
          <w:i/>
          <w:color w:val="231F20"/>
          <w:spacing w:val="-12"/>
        </w:rPr>
        <w:t> </w:t>
      </w:r>
      <w:r>
        <w:rPr>
          <w:i/>
          <w:color w:val="231F20"/>
        </w:rPr>
        <w:t>идентичности.</w:t>
      </w:r>
      <w:r>
        <w:rPr>
          <w:i/>
          <w:color w:val="231F20"/>
          <w:spacing w:val="-13"/>
        </w:rPr>
        <w:t> </w:t>
      </w:r>
      <w:r>
        <w:rPr>
          <w:color w:val="231F20"/>
        </w:rPr>
        <w:t>Понимание</w:t>
      </w:r>
      <w:r>
        <w:rPr>
          <w:color w:val="231F20"/>
          <w:spacing w:val="-12"/>
        </w:rPr>
        <w:t> </w:t>
      </w:r>
      <w:r>
        <w:rPr>
          <w:color w:val="231F20"/>
        </w:rPr>
        <w:t>собственной </w:t>
      </w:r>
      <w:r>
        <w:rPr>
          <w:color w:val="231F20"/>
          <w:spacing w:val="-2"/>
        </w:rPr>
        <w:t>этнической</w:t>
      </w:r>
      <w:r>
        <w:rPr>
          <w:color w:val="231F20"/>
          <w:spacing w:val="-6"/>
        </w:rPr>
        <w:t> </w:t>
      </w:r>
      <w:r>
        <w:rPr>
          <w:color w:val="231F20"/>
          <w:spacing w:val="-2"/>
        </w:rPr>
        <w:t>и</w:t>
      </w:r>
      <w:r>
        <w:rPr>
          <w:color w:val="231F20"/>
          <w:spacing w:val="-6"/>
        </w:rPr>
        <w:t> </w:t>
      </w:r>
      <w:r>
        <w:rPr>
          <w:color w:val="231F20"/>
          <w:spacing w:val="-2"/>
        </w:rPr>
        <w:t>культурной</w:t>
      </w:r>
      <w:r>
        <w:rPr>
          <w:color w:val="231F20"/>
          <w:spacing w:val="-6"/>
        </w:rPr>
        <w:t> </w:t>
      </w:r>
      <w:r>
        <w:rPr>
          <w:color w:val="231F20"/>
          <w:spacing w:val="-2"/>
        </w:rPr>
        <w:t>идентичности</w:t>
      </w:r>
      <w:r>
        <w:rPr>
          <w:color w:val="231F20"/>
          <w:spacing w:val="-6"/>
        </w:rPr>
        <w:t> </w:t>
      </w:r>
      <w:r>
        <w:rPr>
          <w:color w:val="231F20"/>
          <w:spacing w:val="-2"/>
        </w:rPr>
        <w:t>–</w:t>
      </w:r>
      <w:r>
        <w:rPr>
          <w:color w:val="231F20"/>
          <w:spacing w:val="-6"/>
        </w:rPr>
        <w:t> </w:t>
      </w:r>
      <w:r>
        <w:rPr>
          <w:color w:val="231F20"/>
          <w:spacing w:val="-2"/>
        </w:rPr>
        <w:t>ключевая</w:t>
      </w:r>
      <w:r>
        <w:rPr>
          <w:color w:val="231F20"/>
          <w:spacing w:val="-6"/>
        </w:rPr>
        <w:t> </w:t>
      </w:r>
      <w:r>
        <w:rPr>
          <w:color w:val="231F20"/>
          <w:spacing w:val="-2"/>
        </w:rPr>
        <w:t>предпосылка</w:t>
      </w:r>
      <w:r>
        <w:rPr>
          <w:color w:val="231F20"/>
          <w:spacing w:val="-6"/>
        </w:rPr>
        <w:t> </w:t>
      </w:r>
      <w:r>
        <w:rPr>
          <w:color w:val="231F20"/>
          <w:spacing w:val="-2"/>
        </w:rPr>
        <w:t>успешного</w:t>
      </w:r>
      <w:r>
        <w:rPr>
          <w:color w:val="231F20"/>
          <w:spacing w:val="-6"/>
        </w:rPr>
        <w:t> </w:t>
      </w:r>
      <w:r>
        <w:rPr>
          <w:color w:val="231F20"/>
          <w:spacing w:val="-2"/>
        </w:rPr>
        <w:t>межкуль- </w:t>
      </w:r>
      <w:r>
        <w:rPr>
          <w:color w:val="231F20"/>
        </w:rPr>
        <w:t>турного взаимодействия (см. параграф 4.1.3.). В процессе решения улучшается по- нимание самого себя и стимулируется осознавание своей идентичности. Это крайне </w:t>
      </w:r>
      <w:r>
        <w:rPr>
          <w:color w:val="231F20"/>
          <w:spacing w:val="-2"/>
        </w:rPr>
        <w:t>важно</w:t>
      </w:r>
      <w:r>
        <w:rPr>
          <w:color w:val="231F20"/>
          <w:spacing w:val="-3"/>
        </w:rPr>
        <w:t> </w:t>
      </w:r>
      <w:r>
        <w:rPr>
          <w:color w:val="231F20"/>
          <w:spacing w:val="-2"/>
        </w:rPr>
        <w:t>для</w:t>
      </w:r>
      <w:r>
        <w:rPr>
          <w:color w:val="231F20"/>
          <w:spacing w:val="-3"/>
        </w:rPr>
        <w:t> </w:t>
      </w:r>
      <w:r>
        <w:rPr>
          <w:color w:val="231F20"/>
          <w:spacing w:val="-2"/>
        </w:rPr>
        <w:t>подростков,</w:t>
      </w:r>
      <w:r>
        <w:rPr>
          <w:color w:val="231F20"/>
          <w:spacing w:val="-3"/>
        </w:rPr>
        <w:t> </w:t>
      </w:r>
      <w:r>
        <w:rPr>
          <w:color w:val="231F20"/>
          <w:spacing w:val="-2"/>
        </w:rPr>
        <w:t>когда</w:t>
      </w:r>
      <w:r>
        <w:rPr>
          <w:color w:val="231F20"/>
          <w:spacing w:val="-3"/>
        </w:rPr>
        <w:t> </w:t>
      </w:r>
      <w:r>
        <w:rPr>
          <w:color w:val="231F20"/>
          <w:spacing w:val="-2"/>
        </w:rPr>
        <w:t>формирование</w:t>
      </w:r>
      <w:r>
        <w:rPr>
          <w:color w:val="231F20"/>
          <w:spacing w:val="-3"/>
        </w:rPr>
        <w:t> </w:t>
      </w:r>
      <w:r>
        <w:rPr>
          <w:color w:val="231F20"/>
          <w:spacing w:val="-2"/>
        </w:rPr>
        <w:t>идентичности</w:t>
      </w:r>
      <w:r>
        <w:rPr>
          <w:color w:val="231F20"/>
          <w:spacing w:val="-3"/>
        </w:rPr>
        <w:t> </w:t>
      </w:r>
      <w:r>
        <w:rPr>
          <w:color w:val="231F20"/>
          <w:spacing w:val="-2"/>
        </w:rPr>
        <w:t>является</w:t>
      </w:r>
      <w:r>
        <w:rPr>
          <w:color w:val="231F20"/>
          <w:spacing w:val="-3"/>
        </w:rPr>
        <w:t> </w:t>
      </w:r>
      <w:r>
        <w:rPr>
          <w:color w:val="231F20"/>
          <w:spacing w:val="-2"/>
        </w:rPr>
        <w:t>одной</w:t>
      </w:r>
      <w:r>
        <w:rPr>
          <w:color w:val="231F20"/>
          <w:spacing w:val="-3"/>
        </w:rPr>
        <w:t> </w:t>
      </w:r>
      <w:r>
        <w:rPr>
          <w:color w:val="231F20"/>
          <w:spacing w:val="-2"/>
        </w:rPr>
        <w:t>из</w:t>
      </w:r>
      <w:r>
        <w:rPr>
          <w:color w:val="231F20"/>
          <w:spacing w:val="-3"/>
        </w:rPr>
        <w:t> </w:t>
      </w:r>
      <w:r>
        <w:rPr>
          <w:color w:val="231F20"/>
          <w:spacing w:val="-2"/>
        </w:rPr>
        <w:t>ведущих </w:t>
      </w:r>
      <w:r>
        <w:rPr>
          <w:color w:val="231F20"/>
        </w:rPr>
        <w:t>задач взросления. В процессе решения данной задачи ведущий может использовать материалы из тренингов самопознания, самовыражения и пр.</w:t>
      </w:r>
    </w:p>
    <w:p>
      <w:pPr>
        <w:pStyle w:val="BodyText"/>
        <w:spacing w:line="235" w:lineRule="auto"/>
      </w:pPr>
      <w:r>
        <w:rPr>
          <w:color w:val="231F20"/>
        </w:rPr>
        <w:t>Активности</w:t>
      </w:r>
      <w:r>
        <w:rPr>
          <w:color w:val="231F20"/>
          <w:spacing w:val="-7"/>
        </w:rPr>
        <w:t> </w:t>
      </w:r>
      <w:r>
        <w:rPr>
          <w:color w:val="231F20"/>
        </w:rPr>
        <w:t>данной</w:t>
      </w:r>
      <w:r>
        <w:rPr>
          <w:color w:val="231F20"/>
          <w:spacing w:val="-7"/>
        </w:rPr>
        <w:t> </w:t>
      </w:r>
      <w:r>
        <w:rPr>
          <w:color w:val="231F20"/>
        </w:rPr>
        <w:t>группы</w:t>
      </w:r>
      <w:r>
        <w:rPr>
          <w:color w:val="231F20"/>
          <w:spacing w:val="-7"/>
        </w:rPr>
        <w:t> </w:t>
      </w:r>
      <w:r>
        <w:rPr>
          <w:color w:val="231F20"/>
        </w:rPr>
        <w:t>включают</w:t>
      </w:r>
      <w:r>
        <w:rPr>
          <w:color w:val="231F20"/>
          <w:spacing w:val="-7"/>
        </w:rPr>
        <w:t> </w:t>
      </w:r>
      <w:r>
        <w:rPr>
          <w:color w:val="231F20"/>
        </w:rPr>
        <w:t>в</w:t>
      </w:r>
      <w:r>
        <w:rPr>
          <w:color w:val="231F20"/>
          <w:spacing w:val="-7"/>
        </w:rPr>
        <w:t> </w:t>
      </w:r>
      <w:r>
        <w:rPr>
          <w:color w:val="231F20"/>
        </w:rPr>
        <w:t>себя</w:t>
      </w:r>
      <w:r>
        <w:rPr>
          <w:color w:val="231F20"/>
          <w:spacing w:val="-7"/>
        </w:rPr>
        <w:t> </w:t>
      </w:r>
      <w:r>
        <w:rPr>
          <w:color w:val="231F20"/>
        </w:rPr>
        <w:t>упражнения,</w:t>
      </w:r>
      <w:r>
        <w:rPr>
          <w:color w:val="231F20"/>
          <w:spacing w:val="-7"/>
        </w:rPr>
        <w:t> </w:t>
      </w:r>
      <w:r>
        <w:rPr>
          <w:color w:val="231F20"/>
        </w:rPr>
        <w:t>направленные</w:t>
      </w:r>
      <w:r>
        <w:rPr>
          <w:color w:val="231F20"/>
          <w:spacing w:val="-7"/>
        </w:rPr>
        <w:t> </w:t>
      </w:r>
      <w:r>
        <w:rPr>
          <w:color w:val="231F20"/>
        </w:rPr>
        <w:t>на</w:t>
      </w:r>
      <w:r>
        <w:rPr>
          <w:color w:val="231F20"/>
          <w:spacing w:val="-7"/>
        </w:rPr>
        <w:t> </w:t>
      </w:r>
      <w:r>
        <w:rPr>
          <w:color w:val="231F20"/>
        </w:rPr>
        <w:t>само- исследование и самораскрытие.</w:t>
      </w:r>
    </w:p>
    <w:p>
      <w:pPr>
        <w:pStyle w:val="BodyText"/>
        <w:spacing w:after="0" w:line="235" w:lineRule="auto"/>
        <w:sectPr>
          <w:pgSz w:w="8400" w:h="11910"/>
          <w:pgMar w:header="0" w:footer="530" w:top="400" w:bottom="740" w:left="425" w:right="425"/>
        </w:sectPr>
      </w:pPr>
    </w:p>
    <w:p>
      <w:pPr>
        <w:pStyle w:val="ListParagraph"/>
        <w:numPr>
          <w:ilvl w:val="2"/>
          <w:numId w:val="258"/>
        </w:numPr>
        <w:tabs>
          <w:tab w:pos="455" w:val="left" w:leader="none"/>
        </w:tabs>
        <w:spacing w:line="240" w:lineRule="auto" w:before="80" w:after="0"/>
        <w:ind w:left="455" w:right="0" w:hanging="314"/>
        <w:jc w:val="both"/>
        <w:rPr>
          <w:rFonts w:ascii="Georgia" w:hAnsi="Georgia"/>
          <w:sz w:val="18"/>
        </w:rPr>
      </w:pPr>
      <w:r>
        <w:rPr>
          <w:rFonts w:ascii="Georgia" w:hAnsi="Georgia"/>
          <w:color w:val="231F20"/>
          <w:sz w:val="18"/>
        </w:rPr>
        <w:t>Активности</w:t>
      </w:r>
      <w:r>
        <w:rPr>
          <w:rFonts w:ascii="Georgia" w:hAnsi="Georgia"/>
          <w:color w:val="231F20"/>
          <w:spacing w:val="15"/>
          <w:sz w:val="18"/>
        </w:rPr>
        <w:t> </w:t>
      </w:r>
      <w:r>
        <w:rPr>
          <w:rFonts w:ascii="Georgia" w:hAnsi="Georgia"/>
          <w:color w:val="231F20"/>
          <w:sz w:val="18"/>
        </w:rPr>
        <w:t>межкультурного</w:t>
      </w:r>
      <w:r>
        <w:rPr>
          <w:rFonts w:ascii="Georgia" w:hAnsi="Georgia"/>
          <w:color w:val="231F20"/>
          <w:spacing w:val="15"/>
          <w:sz w:val="18"/>
        </w:rPr>
        <w:t> </w:t>
      </w:r>
      <w:r>
        <w:rPr>
          <w:rFonts w:ascii="Georgia" w:hAnsi="Georgia"/>
          <w:color w:val="231F20"/>
          <w:sz w:val="18"/>
        </w:rPr>
        <w:t>тренинга</w:t>
      </w:r>
      <w:r>
        <w:rPr>
          <w:rFonts w:ascii="Georgia" w:hAnsi="Georgia"/>
          <w:color w:val="231F20"/>
          <w:spacing w:val="16"/>
          <w:sz w:val="18"/>
        </w:rPr>
        <w:t> </w:t>
      </w:r>
      <w:r>
        <w:rPr>
          <w:rFonts w:ascii="Georgia" w:hAnsi="Georgia"/>
          <w:color w:val="231F20"/>
          <w:sz w:val="18"/>
        </w:rPr>
        <w:t>для</w:t>
      </w:r>
      <w:r>
        <w:rPr>
          <w:rFonts w:ascii="Georgia" w:hAnsi="Georgia"/>
          <w:color w:val="231F20"/>
          <w:spacing w:val="15"/>
          <w:sz w:val="18"/>
        </w:rPr>
        <w:t> </w:t>
      </w:r>
      <w:r>
        <w:rPr>
          <w:rFonts w:ascii="Georgia" w:hAnsi="Georgia"/>
          <w:color w:val="231F20"/>
          <w:sz w:val="18"/>
        </w:rPr>
        <w:t>поликультурного</w:t>
      </w:r>
      <w:r>
        <w:rPr>
          <w:rFonts w:ascii="Georgia" w:hAnsi="Georgia"/>
          <w:color w:val="231F20"/>
          <w:spacing w:val="16"/>
          <w:sz w:val="18"/>
        </w:rPr>
        <w:t> </w:t>
      </w:r>
      <w:r>
        <w:rPr>
          <w:rFonts w:ascii="Georgia" w:hAnsi="Georgia"/>
          <w:color w:val="231F20"/>
          <w:spacing w:val="-2"/>
          <w:sz w:val="18"/>
        </w:rPr>
        <w:t>класса</w:t>
      </w:r>
    </w:p>
    <w:p>
      <w:pPr>
        <w:pStyle w:val="BodyText"/>
        <w:spacing w:line="232" w:lineRule="auto" w:before="118"/>
      </w:pPr>
      <w:r>
        <w:rPr>
          <w:b/>
          <w:color w:val="231F20"/>
          <w:spacing w:val="-2"/>
        </w:rPr>
        <w:t>Тематические активности 3</w:t>
      </w:r>
      <w:r>
        <w:rPr>
          <w:b/>
          <w:i/>
          <w:color w:val="231F20"/>
          <w:spacing w:val="-2"/>
        </w:rPr>
        <w:t>. </w:t>
      </w:r>
      <w:r>
        <w:rPr>
          <w:i/>
          <w:color w:val="231F20"/>
          <w:spacing w:val="-2"/>
        </w:rPr>
        <w:t>Успешная межкультурная коммуникация </w:t>
      </w:r>
      <w:r>
        <w:rPr>
          <w:color w:val="231F20"/>
          <w:spacing w:val="-2"/>
        </w:rPr>
        <w:t>(см. пара- </w:t>
      </w:r>
      <w:r>
        <w:rPr>
          <w:color w:val="231F20"/>
        </w:rPr>
        <w:t>граф 4.1.4.). Эта задача предполагает формирование у участников навыков общения в</w:t>
      </w:r>
      <w:r>
        <w:rPr>
          <w:color w:val="231F20"/>
          <w:spacing w:val="-7"/>
        </w:rPr>
        <w:t> </w:t>
      </w:r>
      <w:r>
        <w:rPr>
          <w:color w:val="231F20"/>
        </w:rPr>
        <w:t>мультикультурной</w:t>
      </w:r>
      <w:r>
        <w:rPr>
          <w:color w:val="231F20"/>
          <w:spacing w:val="-7"/>
        </w:rPr>
        <w:t> </w:t>
      </w:r>
      <w:r>
        <w:rPr>
          <w:color w:val="231F20"/>
        </w:rPr>
        <w:t>среде.</w:t>
      </w:r>
      <w:r>
        <w:rPr>
          <w:color w:val="231F20"/>
          <w:spacing w:val="-7"/>
        </w:rPr>
        <w:t> </w:t>
      </w:r>
      <w:r>
        <w:rPr>
          <w:color w:val="231F20"/>
        </w:rPr>
        <w:t>Здесь</w:t>
      </w:r>
      <w:r>
        <w:rPr>
          <w:color w:val="231F20"/>
          <w:spacing w:val="-7"/>
        </w:rPr>
        <w:t> </w:t>
      </w:r>
      <w:r>
        <w:rPr>
          <w:color w:val="231F20"/>
        </w:rPr>
        <w:t>рекомендуется</w:t>
      </w:r>
      <w:r>
        <w:rPr>
          <w:color w:val="231F20"/>
          <w:spacing w:val="-7"/>
        </w:rPr>
        <w:t> </w:t>
      </w:r>
      <w:r>
        <w:rPr>
          <w:color w:val="231F20"/>
        </w:rPr>
        <w:t>использовать</w:t>
      </w:r>
      <w:r>
        <w:rPr>
          <w:color w:val="231F20"/>
          <w:spacing w:val="-7"/>
        </w:rPr>
        <w:t> </w:t>
      </w:r>
      <w:r>
        <w:rPr>
          <w:color w:val="231F20"/>
        </w:rPr>
        <w:t>упражнения,</w:t>
      </w:r>
      <w:r>
        <w:rPr>
          <w:color w:val="231F20"/>
          <w:spacing w:val="-7"/>
        </w:rPr>
        <w:t> </w:t>
      </w:r>
      <w:r>
        <w:rPr>
          <w:color w:val="231F20"/>
        </w:rPr>
        <w:t>нацелен- ные на выработку навыков успешной коммуникации в различных межкультурных ситуациях (в первую очередь в процессе взаимодействия с инокультурными свер- стниками).</w:t>
      </w:r>
      <w:r>
        <w:rPr>
          <w:color w:val="231F20"/>
          <w:spacing w:val="-13"/>
        </w:rPr>
        <w:t> </w:t>
      </w:r>
      <w:r>
        <w:rPr>
          <w:color w:val="231F20"/>
        </w:rPr>
        <w:t>Основной</w:t>
      </w:r>
      <w:r>
        <w:rPr>
          <w:color w:val="231F20"/>
          <w:spacing w:val="-12"/>
        </w:rPr>
        <w:t> </w:t>
      </w:r>
      <w:r>
        <w:rPr>
          <w:color w:val="231F20"/>
        </w:rPr>
        <w:t>инструмент,</w:t>
      </w:r>
      <w:r>
        <w:rPr>
          <w:color w:val="231F20"/>
          <w:spacing w:val="-13"/>
        </w:rPr>
        <w:t> </w:t>
      </w:r>
      <w:r>
        <w:rPr>
          <w:color w:val="231F20"/>
        </w:rPr>
        <w:t>который</w:t>
      </w:r>
      <w:r>
        <w:rPr>
          <w:color w:val="231F20"/>
          <w:spacing w:val="-12"/>
        </w:rPr>
        <w:t> </w:t>
      </w:r>
      <w:r>
        <w:rPr>
          <w:color w:val="231F20"/>
        </w:rPr>
        <w:t>используется</w:t>
      </w:r>
      <w:r>
        <w:rPr>
          <w:color w:val="231F20"/>
          <w:spacing w:val="-13"/>
        </w:rPr>
        <w:t> </w:t>
      </w:r>
      <w:r>
        <w:rPr>
          <w:color w:val="231F20"/>
        </w:rPr>
        <w:t>для</w:t>
      </w:r>
      <w:r>
        <w:rPr>
          <w:color w:val="231F20"/>
          <w:spacing w:val="-12"/>
        </w:rPr>
        <w:t> </w:t>
      </w:r>
      <w:r>
        <w:rPr>
          <w:color w:val="231F20"/>
        </w:rPr>
        <w:t>решения</w:t>
      </w:r>
      <w:r>
        <w:rPr>
          <w:color w:val="231F20"/>
          <w:spacing w:val="-13"/>
        </w:rPr>
        <w:t> </w:t>
      </w:r>
      <w:r>
        <w:rPr>
          <w:color w:val="231F20"/>
        </w:rPr>
        <w:t>данной</w:t>
      </w:r>
      <w:r>
        <w:rPr>
          <w:color w:val="231F20"/>
          <w:spacing w:val="-12"/>
        </w:rPr>
        <w:t> </w:t>
      </w:r>
      <w:r>
        <w:rPr>
          <w:color w:val="231F20"/>
        </w:rPr>
        <w:t>задачи, и</w:t>
      </w:r>
      <w:r>
        <w:rPr/>
        <w:t>гры-симуляции.</w:t>
      </w:r>
      <w:r>
        <w:rPr>
          <w:spacing w:val="-10"/>
        </w:rPr>
        <w:t> </w:t>
      </w:r>
      <w:r>
        <w:rPr/>
        <w:t>Симуляции</w:t>
      </w:r>
      <w:r>
        <w:rPr>
          <w:spacing w:val="-10"/>
        </w:rPr>
        <w:t> </w:t>
      </w:r>
      <w:r>
        <w:rPr/>
        <w:t>–</w:t>
      </w:r>
      <w:r>
        <w:rPr>
          <w:spacing w:val="-10"/>
        </w:rPr>
        <w:t> </w:t>
      </w:r>
      <w:r>
        <w:rPr/>
        <w:t>это</w:t>
      </w:r>
      <w:r>
        <w:rPr>
          <w:spacing w:val="-10"/>
        </w:rPr>
        <w:t> </w:t>
      </w:r>
      <w:r>
        <w:rPr/>
        <w:t>игры,</w:t>
      </w:r>
      <w:r>
        <w:rPr>
          <w:spacing w:val="-10"/>
        </w:rPr>
        <w:t> </w:t>
      </w:r>
      <w:r>
        <w:rPr/>
        <w:t>в</w:t>
      </w:r>
      <w:r>
        <w:rPr>
          <w:spacing w:val="-10"/>
        </w:rPr>
        <w:t> </w:t>
      </w:r>
      <w:r>
        <w:rPr/>
        <w:t>которых</w:t>
      </w:r>
      <w:r>
        <w:rPr>
          <w:spacing w:val="-10"/>
        </w:rPr>
        <w:t> </w:t>
      </w:r>
      <w:r>
        <w:rPr/>
        <w:t>конструируется</w:t>
      </w:r>
      <w:r>
        <w:rPr>
          <w:spacing w:val="-10"/>
        </w:rPr>
        <w:t> </w:t>
      </w:r>
      <w:r>
        <w:rPr/>
        <w:t>ситуация</w:t>
      </w:r>
      <w:r>
        <w:rPr>
          <w:spacing w:val="-10"/>
        </w:rPr>
        <w:t> </w:t>
      </w:r>
      <w:r>
        <w:rPr/>
        <w:t>«встре- чи двух культур», в каждой из которых приняты свои правила поведения.</w:t>
      </w:r>
    </w:p>
    <w:p>
      <w:pPr>
        <w:pStyle w:val="BodyText"/>
        <w:spacing w:line="232" w:lineRule="auto"/>
      </w:pPr>
      <w:r>
        <w:rPr/>
        <w:t>Цель</w:t>
      </w:r>
      <w:r>
        <w:rPr>
          <w:spacing w:val="-10"/>
        </w:rPr>
        <w:t> </w:t>
      </w:r>
      <w:r>
        <w:rPr/>
        <w:t>игр-симуляций</w:t>
      </w:r>
      <w:r>
        <w:rPr>
          <w:spacing w:val="-10"/>
        </w:rPr>
        <w:t> </w:t>
      </w:r>
      <w:r>
        <w:rPr/>
        <w:t>–</w:t>
      </w:r>
      <w:r>
        <w:rPr>
          <w:spacing w:val="-10"/>
        </w:rPr>
        <w:t> </w:t>
      </w:r>
      <w:r>
        <w:rPr/>
        <w:t>«…получение</w:t>
      </w:r>
      <w:r>
        <w:rPr>
          <w:spacing w:val="-10"/>
        </w:rPr>
        <w:t> </w:t>
      </w:r>
      <w:r>
        <w:rPr/>
        <w:t>участниками</w:t>
      </w:r>
      <w:r>
        <w:rPr>
          <w:spacing w:val="-10"/>
        </w:rPr>
        <w:t> </w:t>
      </w:r>
      <w:r>
        <w:rPr/>
        <w:t>опыта</w:t>
      </w:r>
      <w:r>
        <w:rPr>
          <w:spacing w:val="-10"/>
        </w:rPr>
        <w:t> </w:t>
      </w:r>
      <w:r>
        <w:rPr/>
        <w:t>принадлежности</w:t>
      </w:r>
      <w:r>
        <w:rPr>
          <w:spacing w:val="-10"/>
        </w:rPr>
        <w:t> </w:t>
      </w:r>
      <w:r>
        <w:rPr/>
        <w:t>к</w:t>
      </w:r>
      <w:r>
        <w:rPr>
          <w:spacing w:val="-10"/>
        </w:rPr>
        <w:t> </w:t>
      </w:r>
      <w:r>
        <w:rPr/>
        <w:t>вооб- ражаемой культуре, нормы, ценности и модели поведения которой, как правило, от- личны</w:t>
      </w:r>
      <w:r>
        <w:rPr>
          <w:spacing w:val="-9"/>
        </w:rPr>
        <w:t> </w:t>
      </w:r>
      <w:r>
        <w:rPr/>
        <w:t>от</w:t>
      </w:r>
      <w:r>
        <w:rPr>
          <w:spacing w:val="-9"/>
        </w:rPr>
        <w:t> </w:t>
      </w:r>
      <w:r>
        <w:rPr/>
        <w:t>родной</w:t>
      </w:r>
      <w:r>
        <w:rPr>
          <w:spacing w:val="-9"/>
        </w:rPr>
        <w:t> </w:t>
      </w:r>
      <w:r>
        <w:rPr/>
        <w:t>культуры</w:t>
      </w:r>
      <w:r>
        <w:rPr>
          <w:spacing w:val="-9"/>
        </w:rPr>
        <w:t> </w:t>
      </w:r>
      <w:r>
        <w:rPr/>
        <w:t>участников.</w:t>
      </w:r>
      <w:r>
        <w:rPr>
          <w:spacing w:val="-9"/>
        </w:rPr>
        <w:t> </w:t>
      </w:r>
      <w:r>
        <w:rPr/>
        <w:t>Задачей</w:t>
      </w:r>
      <w:r>
        <w:rPr>
          <w:spacing w:val="-9"/>
        </w:rPr>
        <w:t> </w:t>
      </w:r>
      <w:r>
        <w:rPr/>
        <w:t>подобных</w:t>
      </w:r>
      <w:r>
        <w:rPr>
          <w:spacing w:val="-9"/>
        </w:rPr>
        <w:t> </w:t>
      </w:r>
      <w:r>
        <w:rPr/>
        <w:t>практик</w:t>
      </w:r>
      <w:r>
        <w:rPr>
          <w:spacing w:val="-9"/>
        </w:rPr>
        <w:t> </w:t>
      </w:r>
      <w:r>
        <w:rPr/>
        <w:t>является</w:t>
      </w:r>
      <w:r>
        <w:rPr>
          <w:spacing w:val="-9"/>
        </w:rPr>
        <w:t> </w:t>
      </w:r>
      <w:r>
        <w:rPr/>
        <w:t>попытка </w:t>
      </w:r>
      <w:r>
        <w:rPr>
          <w:spacing w:val="-4"/>
        </w:rPr>
        <w:t>привести обучающихся к пониманию, что не все их нормы универсальны, дать возмож- </w:t>
      </w:r>
      <w:r>
        <w:rPr/>
        <w:t>ность</w:t>
      </w:r>
      <w:r>
        <w:rPr>
          <w:spacing w:val="-4"/>
        </w:rPr>
        <w:t> </w:t>
      </w:r>
      <w:r>
        <w:rPr/>
        <w:t>потренироваться</w:t>
      </w:r>
      <w:r>
        <w:rPr>
          <w:spacing w:val="-4"/>
        </w:rPr>
        <w:t> </w:t>
      </w:r>
      <w:r>
        <w:rPr/>
        <w:t>адекватно</w:t>
      </w:r>
      <w:r>
        <w:rPr>
          <w:spacing w:val="-4"/>
        </w:rPr>
        <w:t> </w:t>
      </w:r>
      <w:r>
        <w:rPr/>
        <w:t>реагировать</w:t>
      </w:r>
      <w:r>
        <w:rPr>
          <w:spacing w:val="-4"/>
        </w:rPr>
        <w:t> </w:t>
      </w:r>
      <w:r>
        <w:rPr/>
        <w:t>на</w:t>
      </w:r>
      <w:r>
        <w:rPr>
          <w:spacing w:val="-4"/>
        </w:rPr>
        <w:t> </w:t>
      </w:r>
      <w:r>
        <w:rPr/>
        <w:t>новые,</w:t>
      </w:r>
      <w:r>
        <w:rPr>
          <w:spacing w:val="-4"/>
        </w:rPr>
        <w:t> </w:t>
      </w:r>
      <w:r>
        <w:rPr/>
        <w:t>«иные»</w:t>
      </w:r>
      <w:r>
        <w:rPr>
          <w:spacing w:val="-4"/>
        </w:rPr>
        <w:t> </w:t>
      </w:r>
      <w:r>
        <w:rPr/>
        <w:t>модели</w:t>
      </w:r>
      <w:r>
        <w:rPr>
          <w:spacing w:val="-4"/>
        </w:rPr>
        <w:t> </w:t>
      </w:r>
      <w:r>
        <w:rPr/>
        <w:t>поведения</w:t>
      </w:r>
      <w:r>
        <w:rPr>
          <w:spacing w:val="-4"/>
        </w:rPr>
        <w:t> </w:t>
      </w:r>
      <w:r>
        <w:rPr/>
        <w:t>в </w:t>
      </w:r>
      <w:r>
        <w:rPr>
          <w:spacing w:val="-2"/>
        </w:rPr>
        <w:t>безопасной</w:t>
      </w:r>
      <w:r>
        <w:rPr>
          <w:spacing w:val="-11"/>
        </w:rPr>
        <w:t> </w:t>
      </w:r>
      <w:r>
        <w:rPr>
          <w:spacing w:val="-2"/>
        </w:rPr>
        <w:t>атмосфере</w:t>
      </w:r>
      <w:r>
        <w:rPr>
          <w:spacing w:val="-10"/>
        </w:rPr>
        <w:t> </w:t>
      </w:r>
      <w:r>
        <w:rPr>
          <w:spacing w:val="-2"/>
        </w:rPr>
        <w:t>тренинга»</w:t>
      </w:r>
      <w:r>
        <w:rPr>
          <w:spacing w:val="-11"/>
        </w:rPr>
        <w:t> </w:t>
      </w:r>
      <w:r>
        <w:rPr>
          <w:spacing w:val="-2"/>
        </w:rPr>
        <w:t>(Лебедева</w:t>
      </w:r>
      <w:r>
        <w:rPr>
          <w:spacing w:val="-10"/>
        </w:rPr>
        <w:t> </w:t>
      </w:r>
      <w:r>
        <w:rPr>
          <w:spacing w:val="-2"/>
        </w:rPr>
        <w:t>Н.М.,</w:t>
      </w:r>
      <w:r>
        <w:rPr>
          <w:spacing w:val="-11"/>
        </w:rPr>
        <w:t> </w:t>
      </w:r>
      <w:r>
        <w:rPr>
          <w:spacing w:val="-2"/>
        </w:rPr>
        <w:t>Лунева</w:t>
      </w:r>
      <w:r>
        <w:rPr>
          <w:spacing w:val="-10"/>
        </w:rPr>
        <w:t> </w:t>
      </w:r>
      <w:r>
        <w:rPr>
          <w:spacing w:val="-2"/>
        </w:rPr>
        <w:t>О.В.,</w:t>
      </w:r>
      <w:r>
        <w:rPr>
          <w:spacing w:val="-11"/>
        </w:rPr>
        <w:t> </w:t>
      </w:r>
      <w:r>
        <w:rPr>
          <w:spacing w:val="-2"/>
        </w:rPr>
        <w:t>Стефаненко</w:t>
      </w:r>
      <w:r>
        <w:rPr>
          <w:spacing w:val="-10"/>
        </w:rPr>
        <w:t> </w:t>
      </w:r>
      <w:r>
        <w:rPr>
          <w:spacing w:val="-2"/>
        </w:rPr>
        <w:t>Т.Г.,</w:t>
      </w:r>
      <w:r>
        <w:rPr>
          <w:spacing w:val="-11"/>
        </w:rPr>
        <w:t> </w:t>
      </w:r>
      <w:r>
        <w:rPr>
          <w:spacing w:val="-2"/>
        </w:rPr>
        <w:t>2004.)</w:t>
      </w:r>
    </w:p>
    <w:p>
      <w:pPr>
        <w:pStyle w:val="BodyText"/>
        <w:spacing w:line="232" w:lineRule="auto" w:before="45"/>
      </w:pPr>
      <w:r>
        <w:rPr/>
        <w:t>Помимо содержательных активностей, в межкультурном тренинге могут также использоваться вводные упражнения </w:t>
      </w:r>
      <w:r>
        <w:rPr>
          <w:color w:val="231F20"/>
        </w:rPr>
        <w:t>(см. параграф 4.1.5.)</w:t>
      </w:r>
      <w:r>
        <w:rPr/>
        <w:t>, актуализирующие про- блематику культурных различий и повышающие работоспособность группы, и за- вершающие упражнения, позволяющие закончить тренинг на позитивной ноте. Они приводятся в отдельном разделе.</w:t>
      </w:r>
    </w:p>
    <w:p>
      <w:pPr>
        <w:pStyle w:val="BodyText"/>
        <w:spacing w:line="232" w:lineRule="auto" w:before="52"/>
      </w:pPr>
      <w:r>
        <w:rPr/>
        <w:t>При планировании межкультурного тренинга необходимо учитывать, что, как в любом методе активного социально-психологического обучения, ключевую роль играет</w:t>
      </w:r>
      <w:r>
        <w:rPr>
          <w:spacing w:val="-2"/>
        </w:rPr>
        <w:t> </w:t>
      </w:r>
      <w:r>
        <w:rPr/>
        <w:t>не</w:t>
      </w:r>
      <w:r>
        <w:rPr>
          <w:spacing w:val="-2"/>
        </w:rPr>
        <w:t> </w:t>
      </w:r>
      <w:r>
        <w:rPr/>
        <w:t>столько</w:t>
      </w:r>
      <w:r>
        <w:rPr>
          <w:spacing w:val="-2"/>
        </w:rPr>
        <w:t> </w:t>
      </w:r>
      <w:r>
        <w:rPr/>
        <w:t>само</w:t>
      </w:r>
      <w:r>
        <w:rPr>
          <w:spacing w:val="-2"/>
        </w:rPr>
        <w:t> </w:t>
      </w:r>
      <w:r>
        <w:rPr/>
        <w:t>упражнение,</w:t>
      </w:r>
      <w:r>
        <w:rPr>
          <w:spacing w:val="-2"/>
        </w:rPr>
        <w:t> </w:t>
      </w:r>
      <w:r>
        <w:rPr/>
        <w:t>сколько</w:t>
      </w:r>
      <w:r>
        <w:rPr>
          <w:spacing w:val="-2"/>
        </w:rPr>
        <w:t> </w:t>
      </w:r>
      <w:r>
        <w:rPr/>
        <w:t>следующее</w:t>
      </w:r>
      <w:r>
        <w:rPr>
          <w:spacing w:val="-2"/>
        </w:rPr>
        <w:t> </w:t>
      </w:r>
      <w:r>
        <w:rPr/>
        <w:t>за</w:t>
      </w:r>
      <w:r>
        <w:rPr>
          <w:spacing w:val="-2"/>
        </w:rPr>
        <w:t> </w:t>
      </w:r>
      <w:r>
        <w:rPr/>
        <w:t>ним</w:t>
      </w:r>
      <w:r>
        <w:rPr>
          <w:spacing w:val="-2"/>
        </w:rPr>
        <w:t> </w:t>
      </w:r>
      <w:r>
        <w:rPr/>
        <w:t>обсуждение.</w:t>
      </w:r>
      <w:r>
        <w:rPr>
          <w:spacing w:val="-2"/>
        </w:rPr>
        <w:t> </w:t>
      </w:r>
      <w:r>
        <w:rPr/>
        <w:t>Не</w:t>
      </w:r>
      <w:r>
        <w:rPr>
          <w:spacing w:val="-2"/>
        </w:rPr>
        <w:t> </w:t>
      </w:r>
      <w:r>
        <w:rPr/>
        <w:t>сле- дует</w:t>
      </w:r>
      <w:r>
        <w:rPr>
          <w:spacing w:val="-8"/>
        </w:rPr>
        <w:t> </w:t>
      </w:r>
      <w:r>
        <w:rPr/>
        <w:t>стремиться</w:t>
      </w:r>
      <w:r>
        <w:rPr>
          <w:spacing w:val="-8"/>
        </w:rPr>
        <w:t> </w:t>
      </w:r>
      <w:r>
        <w:rPr/>
        <w:t>провести</w:t>
      </w:r>
      <w:r>
        <w:rPr>
          <w:spacing w:val="-8"/>
        </w:rPr>
        <w:t> </w:t>
      </w:r>
      <w:r>
        <w:rPr/>
        <w:t>как</w:t>
      </w:r>
      <w:r>
        <w:rPr>
          <w:spacing w:val="-8"/>
        </w:rPr>
        <w:t> </w:t>
      </w:r>
      <w:r>
        <w:rPr/>
        <w:t>можно</w:t>
      </w:r>
      <w:r>
        <w:rPr>
          <w:spacing w:val="-8"/>
        </w:rPr>
        <w:t> </w:t>
      </w:r>
      <w:r>
        <w:rPr/>
        <w:t>больше</w:t>
      </w:r>
      <w:r>
        <w:rPr>
          <w:spacing w:val="-8"/>
        </w:rPr>
        <w:t> </w:t>
      </w:r>
      <w:r>
        <w:rPr/>
        <w:t>упражнений,</w:t>
      </w:r>
      <w:r>
        <w:rPr>
          <w:spacing w:val="-8"/>
        </w:rPr>
        <w:t> </w:t>
      </w:r>
      <w:r>
        <w:rPr/>
        <w:t>но</w:t>
      </w:r>
      <w:r>
        <w:rPr>
          <w:spacing w:val="-8"/>
        </w:rPr>
        <w:t> </w:t>
      </w:r>
      <w:r>
        <w:rPr/>
        <w:t>необходимо</w:t>
      </w:r>
      <w:r>
        <w:rPr>
          <w:spacing w:val="-8"/>
        </w:rPr>
        <w:t> </w:t>
      </w:r>
      <w:r>
        <w:rPr/>
        <w:t>тщательно продумать вопросы для обсуждения и уделить им достаточно внимания и времени.</w:t>
      </w:r>
    </w:p>
    <w:p>
      <w:pPr>
        <w:pStyle w:val="BodyText"/>
        <w:spacing w:line="232" w:lineRule="auto"/>
      </w:pPr>
      <w:r>
        <w:rPr/>
        <w:t>Межкультурный тренинг организуется и проводится в соответствии с общими правилами тренинга в плане количества участников, групповых правил и др. Более подробно о них можно прочитать в работах И.В. Вачкова.</w:t>
      </w:r>
    </w:p>
    <w:p>
      <w:pPr>
        <w:pStyle w:val="BodyText"/>
        <w:spacing w:line="217" w:lineRule="exact"/>
        <w:ind w:left="425" w:right="0" w:firstLine="0"/>
      </w:pPr>
      <w:r>
        <w:rPr>
          <w:color w:val="231F20"/>
        </w:rPr>
        <w:t>Программа</w:t>
      </w:r>
      <w:r>
        <w:rPr>
          <w:color w:val="231F20"/>
          <w:spacing w:val="-9"/>
        </w:rPr>
        <w:t> </w:t>
      </w:r>
      <w:r>
        <w:rPr>
          <w:color w:val="231F20"/>
        </w:rPr>
        <w:t>межкультурного</w:t>
      </w:r>
      <w:r>
        <w:rPr>
          <w:color w:val="231F20"/>
          <w:spacing w:val="-6"/>
        </w:rPr>
        <w:t> </w:t>
      </w:r>
      <w:r>
        <w:rPr>
          <w:color w:val="231F20"/>
        </w:rPr>
        <w:t>тренинга</w:t>
      </w:r>
      <w:r>
        <w:rPr>
          <w:color w:val="231F20"/>
          <w:spacing w:val="-7"/>
        </w:rPr>
        <w:t> </w:t>
      </w:r>
      <w:r>
        <w:rPr>
          <w:color w:val="231F20"/>
        </w:rPr>
        <w:t>строится</w:t>
      </w:r>
      <w:r>
        <w:rPr>
          <w:color w:val="231F20"/>
          <w:spacing w:val="-6"/>
        </w:rPr>
        <w:t> </w:t>
      </w:r>
      <w:r>
        <w:rPr>
          <w:color w:val="231F20"/>
        </w:rPr>
        <w:t>следующим</w:t>
      </w:r>
      <w:r>
        <w:rPr>
          <w:color w:val="231F20"/>
          <w:spacing w:val="-6"/>
        </w:rPr>
        <w:t> </w:t>
      </w:r>
      <w:r>
        <w:rPr>
          <w:color w:val="231F20"/>
          <w:spacing w:val="-2"/>
        </w:rPr>
        <w:t>образом.</w:t>
      </w:r>
    </w:p>
    <w:p>
      <w:pPr>
        <w:pStyle w:val="BodyText"/>
        <w:spacing w:line="232" w:lineRule="auto"/>
      </w:pPr>
      <w:r>
        <w:rPr>
          <w:color w:val="231F20"/>
        </w:rPr>
        <w:t>Если планируется краткосрочный тренинг, продолжительностью 1,5–2 астроно- мических часа, программа может иметь следующий вид:</w:t>
      </w:r>
    </w:p>
    <w:p>
      <w:pPr>
        <w:pStyle w:val="ListParagraph"/>
        <w:numPr>
          <w:ilvl w:val="0"/>
          <w:numId w:val="266"/>
        </w:numPr>
        <w:tabs>
          <w:tab w:pos="424" w:val="left" w:leader="none"/>
        </w:tabs>
        <w:spacing w:line="213" w:lineRule="exact" w:before="0" w:after="0"/>
        <w:ind w:left="424" w:right="0" w:hanging="283"/>
        <w:jc w:val="both"/>
        <w:rPr>
          <w:sz w:val="20"/>
        </w:rPr>
      </w:pPr>
      <w:r>
        <w:rPr>
          <w:color w:val="231F20"/>
          <w:sz w:val="20"/>
        </w:rPr>
        <w:t>Вводное</w:t>
      </w:r>
      <w:r>
        <w:rPr>
          <w:color w:val="231F20"/>
          <w:spacing w:val="-7"/>
          <w:sz w:val="20"/>
        </w:rPr>
        <w:t> </w:t>
      </w:r>
      <w:r>
        <w:rPr>
          <w:color w:val="231F20"/>
          <w:spacing w:val="-2"/>
          <w:sz w:val="20"/>
        </w:rPr>
        <w:t>упражнение</w:t>
      </w:r>
    </w:p>
    <w:p>
      <w:pPr>
        <w:pStyle w:val="ListParagraph"/>
        <w:numPr>
          <w:ilvl w:val="0"/>
          <w:numId w:val="266"/>
        </w:numPr>
        <w:tabs>
          <w:tab w:pos="424" w:val="left" w:leader="none"/>
        </w:tabs>
        <w:spacing w:line="226" w:lineRule="exact" w:before="0" w:after="0"/>
        <w:ind w:left="424" w:right="0" w:hanging="283"/>
        <w:jc w:val="both"/>
        <w:rPr>
          <w:sz w:val="20"/>
        </w:rPr>
      </w:pPr>
      <w:r>
        <w:rPr>
          <w:color w:val="231F20"/>
          <w:sz w:val="20"/>
        </w:rPr>
        <w:t>Активность,</w:t>
      </w:r>
      <w:r>
        <w:rPr>
          <w:color w:val="231F20"/>
          <w:spacing w:val="-7"/>
          <w:sz w:val="20"/>
        </w:rPr>
        <w:t> </w:t>
      </w:r>
      <w:r>
        <w:rPr>
          <w:color w:val="231F20"/>
          <w:sz w:val="20"/>
        </w:rPr>
        <w:t>направленная</w:t>
      </w:r>
      <w:r>
        <w:rPr>
          <w:color w:val="231F20"/>
          <w:spacing w:val="-7"/>
          <w:sz w:val="20"/>
        </w:rPr>
        <w:t> </w:t>
      </w:r>
      <w:r>
        <w:rPr>
          <w:color w:val="231F20"/>
          <w:sz w:val="20"/>
        </w:rPr>
        <w:t>на</w:t>
      </w:r>
      <w:r>
        <w:rPr>
          <w:color w:val="231F20"/>
          <w:spacing w:val="-6"/>
          <w:sz w:val="20"/>
        </w:rPr>
        <w:t> </w:t>
      </w:r>
      <w:r>
        <w:rPr>
          <w:color w:val="231F20"/>
          <w:sz w:val="20"/>
        </w:rPr>
        <w:t>понимание</w:t>
      </w:r>
      <w:r>
        <w:rPr>
          <w:color w:val="231F20"/>
          <w:spacing w:val="-7"/>
          <w:sz w:val="20"/>
        </w:rPr>
        <w:t> </w:t>
      </w:r>
      <w:r>
        <w:rPr>
          <w:color w:val="231F20"/>
          <w:sz w:val="20"/>
        </w:rPr>
        <w:t>культурных</w:t>
      </w:r>
      <w:r>
        <w:rPr>
          <w:color w:val="231F20"/>
          <w:spacing w:val="-6"/>
          <w:sz w:val="20"/>
        </w:rPr>
        <w:t> </w:t>
      </w:r>
      <w:r>
        <w:rPr>
          <w:color w:val="231F20"/>
          <w:spacing w:val="-2"/>
          <w:sz w:val="20"/>
        </w:rPr>
        <w:t>различий.</w:t>
      </w:r>
    </w:p>
    <w:p>
      <w:pPr>
        <w:pStyle w:val="ListParagraph"/>
        <w:numPr>
          <w:ilvl w:val="0"/>
          <w:numId w:val="266"/>
        </w:numPr>
        <w:tabs>
          <w:tab w:pos="425" w:val="left" w:leader="none"/>
        </w:tabs>
        <w:spacing w:line="235" w:lineRule="auto" w:before="0" w:after="0"/>
        <w:ind w:left="425" w:right="140" w:hanging="284"/>
        <w:jc w:val="both"/>
        <w:rPr>
          <w:sz w:val="20"/>
        </w:rPr>
      </w:pPr>
      <w:r>
        <w:rPr>
          <w:color w:val="231F20"/>
          <w:sz w:val="20"/>
        </w:rPr>
        <w:t>Активность, направленная на формирование навыков успешной межкультурной </w:t>
      </w:r>
      <w:r>
        <w:rPr>
          <w:color w:val="231F20"/>
          <w:spacing w:val="-2"/>
          <w:sz w:val="20"/>
        </w:rPr>
        <w:t>коммуникации.</w:t>
      </w:r>
    </w:p>
    <w:p>
      <w:pPr>
        <w:pStyle w:val="ListParagraph"/>
        <w:numPr>
          <w:ilvl w:val="0"/>
          <w:numId w:val="266"/>
        </w:numPr>
        <w:tabs>
          <w:tab w:pos="424" w:val="left" w:leader="none"/>
        </w:tabs>
        <w:spacing w:line="227" w:lineRule="exact" w:before="0" w:after="0"/>
        <w:ind w:left="424" w:right="0" w:hanging="283"/>
        <w:jc w:val="both"/>
        <w:rPr>
          <w:sz w:val="20"/>
        </w:rPr>
      </w:pPr>
      <w:r>
        <w:rPr>
          <w:color w:val="231F20"/>
          <w:sz w:val="20"/>
        </w:rPr>
        <w:t>Завершающее</w:t>
      </w:r>
      <w:r>
        <w:rPr>
          <w:color w:val="231F20"/>
          <w:spacing w:val="-4"/>
          <w:sz w:val="20"/>
        </w:rPr>
        <w:t> </w:t>
      </w:r>
      <w:r>
        <w:rPr>
          <w:color w:val="231F20"/>
          <w:spacing w:val="-2"/>
          <w:sz w:val="20"/>
        </w:rPr>
        <w:t>упражнение.</w:t>
      </w:r>
    </w:p>
    <w:p>
      <w:pPr>
        <w:pStyle w:val="BodyText"/>
        <w:spacing w:line="221" w:lineRule="exact" w:before="42"/>
        <w:ind w:left="425" w:right="0" w:firstLine="0"/>
        <w:jc w:val="left"/>
      </w:pPr>
      <w:r>
        <w:rPr>
          <w:color w:val="231F20"/>
          <w:spacing w:val="-2"/>
        </w:rPr>
        <w:t>Например:</w:t>
      </w:r>
    </w:p>
    <w:p>
      <w:pPr>
        <w:pStyle w:val="ListParagraph"/>
        <w:numPr>
          <w:ilvl w:val="0"/>
          <w:numId w:val="266"/>
        </w:numPr>
        <w:tabs>
          <w:tab w:pos="424" w:val="left" w:leader="none"/>
        </w:tabs>
        <w:spacing w:line="226" w:lineRule="exact" w:before="0" w:after="0"/>
        <w:ind w:left="424" w:right="0" w:hanging="283"/>
        <w:jc w:val="left"/>
        <w:rPr>
          <w:sz w:val="20"/>
        </w:rPr>
      </w:pPr>
      <w:r>
        <w:rPr>
          <w:color w:val="231F20"/>
          <w:sz w:val="20"/>
        </w:rPr>
        <w:t>Игра</w:t>
      </w:r>
      <w:r>
        <w:rPr>
          <w:color w:val="231F20"/>
          <w:spacing w:val="-3"/>
          <w:sz w:val="20"/>
        </w:rPr>
        <w:t> </w:t>
      </w:r>
      <w:r>
        <w:rPr>
          <w:color w:val="231F20"/>
          <w:sz w:val="20"/>
        </w:rPr>
        <w:t>«Найди</w:t>
      </w:r>
      <w:r>
        <w:rPr>
          <w:color w:val="231F20"/>
          <w:spacing w:val="-3"/>
          <w:sz w:val="20"/>
        </w:rPr>
        <w:t> </w:t>
      </w:r>
      <w:r>
        <w:rPr>
          <w:color w:val="231F20"/>
          <w:spacing w:val="-2"/>
          <w:sz w:val="20"/>
        </w:rPr>
        <w:t>пару»</w:t>
      </w:r>
    </w:p>
    <w:p>
      <w:pPr>
        <w:pStyle w:val="ListParagraph"/>
        <w:numPr>
          <w:ilvl w:val="0"/>
          <w:numId w:val="266"/>
        </w:numPr>
        <w:tabs>
          <w:tab w:pos="424" w:val="left" w:leader="none"/>
        </w:tabs>
        <w:spacing w:line="226" w:lineRule="exact" w:before="0" w:after="0"/>
        <w:ind w:left="424" w:right="0" w:hanging="283"/>
        <w:jc w:val="left"/>
        <w:rPr>
          <w:sz w:val="20"/>
        </w:rPr>
      </w:pPr>
      <w:r>
        <w:rPr>
          <w:color w:val="231F20"/>
          <w:sz w:val="20"/>
        </w:rPr>
        <w:t>Упражнение</w:t>
      </w:r>
      <w:r>
        <w:rPr>
          <w:color w:val="231F20"/>
          <w:spacing w:val="-6"/>
          <w:sz w:val="20"/>
        </w:rPr>
        <w:t> </w:t>
      </w:r>
      <w:r>
        <w:rPr>
          <w:color w:val="231F20"/>
          <w:sz w:val="20"/>
        </w:rPr>
        <w:t>«Артефакт»</w:t>
      </w:r>
      <w:r>
        <w:rPr>
          <w:color w:val="231F20"/>
          <w:spacing w:val="-5"/>
          <w:sz w:val="20"/>
        </w:rPr>
        <w:t> </w:t>
      </w:r>
      <w:r>
        <w:rPr>
          <w:color w:val="231F20"/>
          <w:sz w:val="20"/>
        </w:rPr>
        <w:t>с</w:t>
      </w:r>
      <w:r>
        <w:rPr>
          <w:color w:val="231F20"/>
          <w:spacing w:val="-5"/>
          <w:sz w:val="20"/>
        </w:rPr>
        <w:t> </w:t>
      </w:r>
      <w:r>
        <w:rPr>
          <w:color w:val="231F20"/>
          <w:sz w:val="20"/>
        </w:rPr>
        <w:t>последующим</w:t>
      </w:r>
      <w:r>
        <w:rPr>
          <w:color w:val="231F20"/>
          <w:spacing w:val="-5"/>
          <w:sz w:val="20"/>
        </w:rPr>
        <w:t> </w:t>
      </w:r>
      <w:r>
        <w:rPr>
          <w:color w:val="231F20"/>
          <w:spacing w:val="-2"/>
          <w:sz w:val="20"/>
        </w:rPr>
        <w:t>обсуждением</w:t>
      </w:r>
    </w:p>
    <w:p>
      <w:pPr>
        <w:pStyle w:val="ListParagraph"/>
        <w:numPr>
          <w:ilvl w:val="0"/>
          <w:numId w:val="266"/>
        </w:numPr>
        <w:tabs>
          <w:tab w:pos="424" w:val="left" w:leader="none"/>
        </w:tabs>
        <w:spacing w:line="226" w:lineRule="exact" w:before="0" w:after="0"/>
        <w:ind w:left="424" w:right="0" w:hanging="283"/>
        <w:jc w:val="left"/>
        <w:rPr>
          <w:sz w:val="20"/>
        </w:rPr>
      </w:pPr>
      <w:r>
        <w:rPr>
          <w:color w:val="231F20"/>
          <w:sz w:val="20"/>
        </w:rPr>
        <w:t>Игра</w:t>
      </w:r>
      <w:r>
        <w:rPr>
          <w:color w:val="231F20"/>
          <w:spacing w:val="-4"/>
          <w:sz w:val="20"/>
        </w:rPr>
        <w:t> </w:t>
      </w:r>
      <w:r>
        <w:rPr>
          <w:color w:val="231F20"/>
          <w:sz w:val="20"/>
        </w:rPr>
        <w:t>«Гость»</w:t>
      </w:r>
      <w:r>
        <w:rPr>
          <w:color w:val="231F20"/>
          <w:spacing w:val="-3"/>
          <w:sz w:val="20"/>
        </w:rPr>
        <w:t> </w:t>
      </w:r>
      <w:r>
        <w:rPr>
          <w:color w:val="231F20"/>
          <w:sz w:val="20"/>
        </w:rPr>
        <w:t>с</w:t>
      </w:r>
      <w:r>
        <w:rPr>
          <w:color w:val="231F20"/>
          <w:spacing w:val="-4"/>
          <w:sz w:val="20"/>
        </w:rPr>
        <w:t> </w:t>
      </w:r>
      <w:r>
        <w:rPr>
          <w:color w:val="231F20"/>
          <w:sz w:val="20"/>
        </w:rPr>
        <w:t>последующим</w:t>
      </w:r>
      <w:r>
        <w:rPr>
          <w:color w:val="231F20"/>
          <w:spacing w:val="-3"/>
          <w:sz w:val="20"/>
        </w:rPr>
        <w:t> </w:t>
      </w:r>
      <w:r>
        <w:rPr>
          <w:color w:val="231F20"/>
          <w:spacing w:val="-2"/>
          <w:sz w:val="20"/>
        </w:rPr>
        <w:t>обсуждением.</w:t>
      </w:r>
    </w:p>
    <w:p>
      <w:pPr>
        <w:pStyle w:val="ListParagraph"/>
        <w:numPr>
          <w:ilvl w:val="0"/>
          <w:numId w:val="266"/>
        </w:numPr>
        <w:tabs>
          <w:tab w:pos="424" w:val="left" w:leader="none"/>
        </w:tabs>
        <w:spacing w:line="236" w:lineRule="exact" w:before="0" w:after="0"/>
        <w:ind w:left="424" w:right="0" w:hanging="283"/>
        <w:jc w:val="left"/>
        <w:rPr>
          <w:sz w:val="20"/>
        </w:rPr>
      </w:pPr>
      <w:r>
        <w:rPr>
          <w:color w:val="231F20"/>
          <w:sz w:val="20"/>
        </w:rPr>
        <w:t>Игра </w:t>
      </w:r>
      <w:r>
        <w:rPr>
          <w:color w:val="231F20"/>
          <w:spacing w:val="-2"/>
          <w:sz w:val="20"/>
        </w:rPr>
        <w:t>«Домино».</w:t>
      </w:r>
    </w:p>
    <w:p>
      <w:pPr>
        <w:pStyle w:val="BodyText"/>
        <w:spacing w:line="235" w:lineRule="auto" w:before="56"/>
      </w:pPr>
      <w:r>
        <w:rPr>
          <w:color w:val="231F20"/>
        </w:rPr>
        <w:t>Если предполагается тренинг продолжительностью 3–4 астрономических часа, в программу целесообразно включить упражнения всех трех групп, и она имеет при- близительно следующий вид:</w:t>
      </w:r>
    </w:p>
    <w:p>
      <w:pPr>
        <w:pStyle w:val="ListParagraph"/>
        <w:numPr>
          <w:ilvl w:val="0"/>
          <w:numId w:val="266"/>
        </w:numPr>
        <w:tabs>
          <w:tab w:pos="424" w:val="left" w:leader="none"/>
        </w:tabs>
        <w:spacing w:line="219" w:lineRule="exact" w:before="0" w:after="0"/>
        <w:ind w:left="424" w:right="0" w:hanging="283"/>
        <w:jc w:val="both"/>
        <w:rPr>
          <w:sz w:val="20"/>
        </w:rPr>
      </w:pPr>
      <w:r>
        <w:rPr>
          <w:color w:val="231F20"/>
          <w:sz w:val="20"/>
        </w:rPr>
        <w:t>Вводное</w:t>
      </w:r>
      <w:r>
        <w:rPr>
          <w:color w:val="231F20"/>
          <w:spacing w:val="-7"/>
          <w:sz w:val="20"/>
        </w:rPr>
        <w:t> </w:t>
      </w:r>
      <w:r>
        <w:rPr>
          <w:color w:val="231F20"/>
          <w:spacing w:val="-2"/>
          <w:sz w:val="20"/>
        </w:rPr>
        <w:t>упражнение.</w:t>
      </w:r>
    </w:p>
    <w:p>
      <w:pPr>
        <w:pStyle w:val="ListParagraph"/>
        <w:numPr>
          <w:ilvl w:val="0"/>
          <w:numId w:val="266"/>
        </w:numPr>
        <w:tabs>
          <w:tab w:pos="424" w:val="left" w:leader="none"/>
        </w:tabs>
        <w:spacing w:line="236" w:lineRule="exact" w:before="0" w:after="0"/>
        <w:ind w:left="424" w:right="0" w:hanging="283"/>
        <w:jc w:val="both"/>
        <w:rPr>
          <w:sz w:val="20"/>
        </w:rPr>
      </w:pPr>
      <w:r>
        <w:rPr>
          <w:color w:val="231F20"/>
          <w:sz w:val="20"/>
        </w:rPr>
        <w:t>Активность,</w:t>
      </w:r>
      <w:r>
        <w:rPr>
          <w:color w:val="231F20"/>
          <w:spacing w:val="-7"/>
          <w:sz w:val="20"/>
        </w:rPr>
        <w:t> </w:t>
      </w:r>
      <w:r>
        <w:rPr>
          <w:color w:val="231F20"/>
          <w:sz w:val="20"/>
        </w:rPr>
        <w:t>направленная</w:t>
      </w:r>
      <w:r>
        <w:rPr>
          <w:color w:val="231F20"/>
          <w:spacing w:val="-7"/>
          <w:sz w:val="20"/>
        </w:rPr>
        <w:t> </w:t>
      </w:r>
      <w:r>
        <w:rPr>
          <w:color w:val="231F20"/>
          <w:sz w:val="20"/>
        </w:rPr>
        <w:t>на</w:t>
      </w:r>
      <w:r>
        <w:rPr>
          <w:color w:val="231F20"/>
          <w:spacing w:val="-6"/>
          <w:sz w:val="20"/>
        </w:rPr>
        <w:t> </w:t>
      </w:r>
      <w:r>
        <w:rPr>
          <w:color w:val="231F20"/>
          <w:sz w:val="20"/>
        </w:rPr>
        <w:t>понимание</w:t>
      </w:r>
      <w:r>
        <w:rPr>
          <w:color w:val="231F20"/>
          <w:spacing w:val="-7"/>
          <w:sz w:val="20"/>
        </w:rPr>
        <w:t> </w:t>
      </w:r>
      <w:r>
        <w:rPr>
          <w:color w:val="231F20"/>
          <w:sz w:val="20"/>
        </w:rPr>
        <w:t>культурных</w:t>
      </w:r>
      <w:r>
        <w:rPr>
          <w:color w:val="231F20"/>
          <w:spacing w:val="-6"/>
          <w:sz w:val="20"/>
        </w:rPr>
        <w:t> </w:t>
      </w:r>
      <w:r>
        <w:rPr>
          <w:color w:val="231F20"/>
          <w:spacing w:val="-2"/>
          <w:sz w:val="20"/>
        </w:rPr>
        <w:t>различий.</w:t>
      </w:r>
    </w:p>
    <w:p>
      <w:pPr>
        <w:pStyle w:val="ListParagraph"/>
        <w:spacing w:after="0" w:line="236" w:lineRule="exact"/>
        <w:jc w:val="both"/>
        <w:rPr>
          <w:sz w:val="20"/>
        </w:rPr>
        <w:sectPr>
          <w:pgSz w:w="8400" w:h="11910"/>
          <w:pgMar w:header="0" w:footer="530"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ListParagraph"/>
        <w:numPr>
          <w:ilvl w:val="0"/>
          <w:numId w:val="266"/>
        </w:numPr>
        <w:tabs>
          <w:tab w:pos="424" w:val="left" w:leader="none"/>
        </w:tabs>
        <w:spacing w:line="226" w:lineRule="exact" w:before="98" w:after="0"/>
        <w:ind w:left="424" w:right="0" w:hanging="283"/>
        <w:jc w:val="left"/>
        <w:rPr>
          <w:sz w:val="20"/>
        </w:rPr>
      </w:pPr>
      <w:r>
        <w:rPr>
          <w:color w:val="231F20"/>
          <w:sz w:val="20"/>
        </w:rPr>
        <w:t>Активность,</w:t>
      </w:r>
      <w:r>
        <w:rPr>
          <w:color w:val="231F20"/>
          <w:spacing w:val="-1"/>
          <w:sz w:val="20"/>
        </w:rPr>
        <w:t> </w:t>
      </w:r>
      <w:r>
        <w:rPr>
          <w:color w:val="231F20"/>
          <w:sz w:val="20"/>
        </w:rPr>
        <w:t>направленная</w:t>
      </w:r>
      <w:r>
        <w:rPr>
          <w:color w:val="231F20"/>
          <w:spacing w:val="-1"/>
          <w:sz w:val="20"/>
        </w:rPr>
        <w:t> </w:t>
      </w:r>
      <w:r>
        <w:rPr>
          <w:color w:val="231F20"/>
          <w:sz w:val="20"/>
        </w:rPr>
        <w:t>на</w:t>
      </w:r>
      <w:r>
        <w:rPr>
          <w:color w:val="231F20"/>
          <w:spacing w:val="-1"/>
          <w:sz w:val="20"/>
        </w:rPr>
        <w:t> </w:t>
      </w:r>
      <w:r>
        <w:rPr>
          <w:color w:val="231F20"/>
          <w:sz w:val="20"/>
        </w:rPr>
        <w:t>осознание </w:t>
      </w:r>
      <w:r>
        <w:rPr>
          <w:color w:val="231F20"/>
          <w:spacing w:val="-2"/>
          <w:sz w:val="20"/>
        </w:rPr>
        <w:t>идентичности.</w:t>
      </w:r>
    </w:p>
    <w:p>
      <w:pPr>
        <w:pStyle w:val="ListParagraph"/>
        <w:numPr>
          <w:ilvl w:val="0"/>
          <w:numId w:val="266"/>
        </w:numPr>
        <w:tabs>
          <w:tab w:pos="425" w:val="left" w:leader="none"/>
        </w:tabs>
        <w:spacing w:line="235" w:lineRule="auto" w:before="4" w:after="0"/>
        <w:ind w:left="425" w:right="140" w:hanging="284"/>
        <w:jc w:val="left"/>
        <w:rPr>
          <w:sz w:val="20"/>
        </w:rPr>
      </w:pPr>
      <w:r>
        <w:rPr>
          <w:color w:val="231F20"/>
          <w:sz w:val="20"/>
        </w:rPr>
        <w:t>Активность, направленная на формирование навыков успешной межкультурной </w:t>
      </w:r>
      <w:r>
        <w:rPr>
          <w:color w:val="231F20"/>
          <w:spacing w:val="-2"/>
          <w:sz w:val="20"/>
        </w:rPr>
        <w:t>коммуникации.</w:t>
      </w:r>
    </w:p>
    <w:p>
      <w:pPr>
        <w:pStyle w:val="ListParagraph"/>
        <w:numPr>
          <w:ilvl w:val="0"/>
          <w:numId w:val="266"/>
        </w:numPr>
        <w:tabs>
          <w:tab w:pos="424" w:val="left" w:leader="none"/>
        </w:tabs>
        <w:spacing w:line="227" w:lineRule="exact" w:before="0" w:after="0"/>
        <w:ind w:left="424" w:right="0" w:hanging="283"/>
        <w:jc w:val="left"/>
        <w:rPr>
          <w:sz w:val="20"/>
        </w:rPr>
      </w:pPr>
      <w:r>
        <w:rPr>
          <w:color w:val="231F20"/>
          <w:sz w:val="20"/>
        </w:rPr>
        <w:t>Завершающее</w:t>
      </w:r>
      <w:r>
        <w:rPr>
          <w:color w:val="231F20"/>
          <w:spacing w:val="-4"/>
          <w:sz w:val="20"/>
        </w:rPr>
        <w:t> </w:t>
      </w:r>
      <w:r>
        <w:rPr>
          <w:color w:val="231F20"/>
          <w:spacing w:val="-2"/>
          <w:sz w:val="20"/>
        </w:rPr>
        <w:t>упражнение.</w:t>
      </w:r>
    </w:p>
    <w:p>
      <w:pPr>
        <w:pStyle w:val="BodyText"/>
        <w:spacing w:line="221" w:lineRule="exact" w:before="52"/>
        <w:ind w:left="425" w:right="0" w:firstLine="0"/>
        <w:jc w:val="left"/>
      </w:pPr>
      <w:r>
        <w:rPr>
          <w:color w:val="231F20"/>
          <w:spacing w:val="-2"/>
        </w:rPr>
        <w:t>Например:</w:t>
      </w:r>
    </w:p>
    <w:p>
      <w:pPr>
        <w:pStyle w:val="ListParagraph"/>
        <w:numPr>
          <w:ilvl w:val="0"/>
          <w:numId w:val="266"/>
        </w:numPr>
        <w:tabs>
          <w:tab w:pos="424" w:val="left" w:leader="none"/>
        </w:tabs>
        <w:spacing w:line="226" w:lineRule="exact" w:before="0" w:after="0"/>
        <w:ind w:left="424" w:right="0" w:hanging="283"/>
        <w:jc w:val="left"/>
        <w:rPr>
          <w:sz w:val="20"/>
        </w:rPr>
      </w:pPr>
      <w:r>
        <w:rPr>
          <w:color w:val="231F20"/>
          <w:sz w:val="20"/>
        </w:rPr>
        <w:t>Упражнение</w:t>
      </w:r>
      <w:r>
        <w:rPr>
          <w:color w:val="231F20"/>
          <w:spacing w:val="-11"/>
          <w:sz w:val="20"/>
        </w:rPr>
        <w:t> </w:t>
      </w:r>
      <w:r>
        <w:rPr>
          <w:color w:val="231F20"/>
          <w:sz w:val="20"/>
        </w:rPr>
        <w:t>«Встреча</w:t>
      </w:r>
      <w:r>
        <w:rPr>
          <w:color w:val="231F20"/>
          <w:spacing w:val="-10"/>
          <w:sz w:val="20"/>
        </w:rPr>
        <w:t> </w:t>
      </w:r>
      <w:r>
        <w:rPr>
          <w:color w:val="231F20"/>
          <w:spacing w:val="-2"/>
          <w:sz w:val="20"/>
        </w:rPr>
        <w:t>земляков».</w:t>
      </w:r>
    </w:p>
    <w:p>
      <w:pPr>
        <w:pStyle w:val="ListParagraph"/>
        <w:numPr>
          <w:ilvl w:val="0"/>
          <w:numId w:val="266"/>
        </w:numPr>
        <w:tabs>
          <w:tab w:pos="424" w:val="left" w:leader="none"/>
        </w:tabs>
        <w:spacing w:line="226" w:lineRule="exact" w:before="0" w:after="0"/>
        <w:ind w:left="424" w:right="0" w:hanging="283"/>
        <w:jc w:val="left"/>
        <w:rPr>
          <w:sz w:val="20"/>
        </w:rPr>
      </w:pPr>
      <w:r>
        <w:rPr>
          <w:color w:val="231F20"/>
          <w:sz w:val="20"/>
        </w:rPr>
        <w:t>Упражнение</w:t>
      </w:r>
      <w:r>
        <w:rPr>
          <w:color w:val="231F20"/>
          <w:spacing w:val="-8"/>
          <w:sz w:val="20"/>
        </w:rPr>
        <w:t> </w:t>
      </w:r>
      <w:r>
        <w:rPr>
          <w:color w:val="231F20"/>
          <w:sz w:val="20"/>
        </w:rPr>
        <w:t>«Коллаж»</w:t>
      </w:r>
      <w:r>
        <w:rPr>
          <w:color w:val="231F20"/>
          <w:spacing w:val="-7"/>
          <w:sz w:val="20"/>
        </w:rPr>
        <w:t> </w:t>
      </w:r>
      <w:r>
        <w:rPr>
          <w:color w:val="231F20"/>
          <w:sz w:val="20"/>
        </w:rPr>
        <w:t>с</w:t>
      </w:r>
      <w:r>
        <w:rPr>
          <w:color w:val="231F20"/>
          <w:spacing w:val="-8"/>
          <w:sz w:val="20"/>
        </w:rPr>
        <w:t> </w:t>
      </w:r>
      <w:r>
        <w:rPr>
          <w:color w:val="231F20"/>
          <w:sz w:val="20"/>
        </w:rPr>
        <w:t>последующим</w:t>
      </w:r>
      <w:r>
        <w:rPr>
          <w:color w:val="231F20"/>
          <w:spacing w:val="-7"/>
          <w:sz w:val="20"/>
        </w:rPr>
        <w:t> </w:t>
      </w:r>
      <w:r>
        <w:rPr>
          <w:color w:val="231F20"/>
          <w:spacing w:val="-2"/>
          <w:sz w:val="20"/>
        </w:rPr>
        <w:t>обсуждением.</w:t>
      </w:r>
    </w:p>
    <w:p>
      <w:pPr>
        <w:pStyle w:val="ListParagraph"/>
        <w:numPr>
          <w:ilvl w:val="0"/>
          <w:numId w:val="266"/>
        </w:numPr>
        <w:tabs>
          <w:tab w:pos="424" w:val="left" w:leader="none"/>
        </w:tabs>
        <w:spacing w:line="226" w:lineRule="exact" w:before="0" w:after="0"/>
        <w:ind w:left="424" w:right="0" w:hanging="283"/>
        <w:jc w:val="left"/>
        <w:rPr>
          <w:sz w:val="20"/>
        </w:rPr>
      </w:pPr>
      <w:r>
        <w:rPr>
          <w:color w:val="231F20"/>
          <w:sz w:val="20"/>
        </w:rPr>
        <w:t>Упражнение</w:t>
      </w:r>
      <w:r>
        <w:rPr>
          <w:color w:val="231F20"/>
          <w:spacing w:val="-6"/>
          <w:sz w:val="20"/>
        </w:rPr>
        <w:t> </w:t>
      </w:r>
      <w:r>
        <w:rPr>
          <w:color w:val="231F20"/>
          <w:sz w:val="20"/>
        </w:rPr>
        <w:t>«Кто</w:t>
      </w:r>
      <w:r>
        <w:rPr>
          <w:color w:val="231F20"/>
          <w:spacing w:val="-6"/>
          <w:sz w:val="20"/>
        </w:rPr>
        <w:t> </w:t>
      </w:r>
      <w:r>
        <w:rPr>
          <w:color w:val="231F20"/>
          <w:sz w:val="20"/>
        </w:rPr>
        <w:t>Я?</w:t>
      </w:r>
      <w:r>
        <w:rPr>
          <w:color w:val="231F20"/>
          <w:spacing w:val="-5"/>
          <w:sz w:val="20"/>
        </w:rPr>
        <w:t> </w:t>
      </w:r>
      <w:r>
        <w:rPr>
          <w:color w:val="231F20"/>
          <w:sz w:val="20"/>
        </w:rPr>
        <w:t>Кто</w:t>
      </w:r>
      <w:r>
        <w:rPr>
          <w:color w:val="231F20"/>
          <w:spacing w:val="-6"/>
          <w:sz w:val="20"/>
        </w:rPr>
        <w:t> </w:t>
      </w:r>
      <w:r>
        <w:rPr>
          <w:color w:val="231F20"/>
          <w:sz w:val="20"/>
        </w:rPr>
        <w:t>Мы?»</w:t>
      </w:r>
      <w:r>
        <w:rPr>
          <w:color w:val="231F20"/>
          <w:spacing w:val="-5"/>
          <w:sz w:val="20"/>
        </w:rPr>
        <w:t> </w:t>
      </w:r>
      <w:r>
        <w:rPr>
          <w:color w:val="231F20"/>
          <w:sz w:val="20"/>
        </w:rPr>
        <w:t>с</w:t>
      </w:r>
      <w:r>
        <w:rPr>
          <w:color w:val="231F20"/>
          <w:spacing w:val="-6"/>
          <w:sz w:val="20"/>
        </w:rPr>
        <w:t> </w:t>
      </w:r>
      <w:r>
        <w:rPr>
          <w:color w:val="231F20"/>
          <w:sz w:val="20"/>
        </w:rPr>
        <w:t>последующим</w:t>
      </w:r>
      <w:r>
        <w:rPr>
          <w:color w:val="231F20"/>
          <w:spacing w:val="-5"/>
          <w:sz w:val="20"/>
        </w:rPr>
        <w:t> </w:t>
      </w:r>
      <w:r>
        <w:rPr>
          <w:color w:val="231F20"/>
          <w:spacing w:val="-2"/>
          <w:sz w:val="20"/>
        </w:rPr>
        <w:t>обсуждением.</w:t>
      </w:r>
    </w:p>
    <w:p>
      <w:pPr>
        <w:pStyle w:val="ListParagraph"/>
        <w:numPr>
          <w:ilvl w:val="0"/>
          <w:numId w:val="266"/>
        </w:numPr>
        <w:tabs>
          <w:tab w:pos="424" w:val="left" w:leader="none"/>
        </w:tabs>
        <w:spacing w:line="226" w:lineRule="exact" w:before="0" w:after="0"/>
        <w:ind w:left="424" w:right="0" w:hanging="283"/>
        <w:jc w:val="left"/>
        <w:rPr>
          <w:sz w:val="20"/>
        </w:rPr>
      </w:pPr>
      <w:r>
        <w:rPr>
          <w:color w:val="231F20"/>
          <w:sz w:val="20"/>
        </w:rPr>
        <w:t>Игра</w:t>
      </w:r>
      <w:r>
        <w:rPr>
          <w:color w:val="231F20"/>
          <w:spacing w:val="-1"/>
          <w:sz w:val="20"/>
        </w:rPr>
        <w:t> </w:t>
      </w:r>
      <w:r>
        <w:rPr>
          <w:color w:val="231F20"/>
          <w:sz w:val="20"/>
        </w:rPr>
        <w:t>«Мост» с последующим </w:t>
      </w:r>
      <w:r>
        <w:rPr>
          <w:color w:val="231F20"/>
          <w:spacing w:val="-2"/>
          <w:sz w:val="20"/>
        </w:rPr>
        <w:t>обсуждением.</w:t>
      </w:r>
    </w:p>
    <w:p>
      <w:pPr>
        <w:pStyle w:val="ListParagraph"/>
        <w:numPr>
          <w:ilvl w:val="0"/>
          <w:numId w:val="266"/>
        </w:numPr>
        <w:tabs>
          <w:tab w:pos="424" w:val="left" w:leader="none"/>
        </w:tabs>
        <w:spacing w:line="236" w:lineRule="exact" w:before="0" w:after="0"/>
        <w:ind w:left="424" w:right="0" w:hanging="283"/>
        <w:jc w:val="left"/>
        <w:rPr>
          <w:sz w:val="20"/>
        </w:rPr>
      </w:pPr>
      <w:r>
        <w:rPr>
          <w:color w:val="231F20"/>
          <w:sz w:val="20"/>
        </w:rPr>
        <w:t>Игра</w:t>
      </w:r>
      <w:r>
        <w:rPr>
          <w:color w:val="231F20"/>
          <w:spacing w:val="-8"/>
          <w:sz w:val="20"/>
        </w:rPr>
        <w:t> </w:t>
      </w:r>
      <w:r>
        <w:rPr>
          <w:color w:val="231F20"/>
          <w:sz w:val="20"/>
        </w:rPr>
        <w:t>«Все,</w:t>
      </w:r>
      <w:r>
        <w:rPr>
          <w:color w:val="231F20"/>
          <w:spacing w:val="-8"/>
          <w:sz w:val="20"/>
        </w:rPr>
        <w:t> </w:t>
      </w:r>
      <w:r>
        <w:rPr>
          <w:color w:val="231F20"/>
          <w:sz w:val="20"/>
        </w:rPr>
        <w:t>некоторые,</w:t>
      </w:r>
      <w:r>
        <w:rPr>
          <w:color w:val="231F20"/>
          <w:spacing w:val="-8"/>
          <w:sz w:val="20"/>
        </w:rPr>
        <w:t> </w:t>
      </w:r>
      <w:r>
        <w:rPr>
          <w:color w:val="231F20"/>
          <w:sz w:val="20"/>
        </w:rPr>
        <w:t>только</w:t>
      </w:r>
      <w:r>
        <w:rPr>
          <w:color w:val="231F20"/>
          <w:spacing w:val="-8"/>
          <w:sz w:val="20"/>
        </w:rPr>
        <w:t> </w:t>
      </w:r>
      <w:r>
        <w:rPr>
          <w:color w:val="231F20"/>
          <w:spacing w:val="-5"/>
          <w:sz w:val="20"/>
        </w:rPr>
        <w:t>я».</w:t>
      </w:r>
    </w:p>
    <w:p>
      <w:pPr>
        <w:pStyle w:val="BodyText"/>
        <w:spacing w:line="235" w:lineRule="auto" w:before="55"/>
      </w:pPr>
      <w:r>
        <w:rPr>
          <w:color w:val="231F20"/>
        </w:rPr>
        <w:t>Возможно проведение межкультурного тренинга, включающего несколько от- дельных занятий. В этом случае целесообразно провести как минимум три занятия: первое</w:t>
      </w:r>
      <w:r>
        <w:rPr>
          <w:color w:val="231F20"/>
          <w:spacing w:val="-5"/>
        </w:rPr>
        <w:t> </w:t>
      </w:r>
      <w:r>
        <w:rPr>
          <w:color w:val="231F20"/>
        </w:rPr>
        <w:t>занятие</w:t>
      </w:r>
      <w:r>
        <w:rPr>
          <w:color w:val="231F20"/>
          <w:spacing w:val="-5"/>
        </w:rPr>
        <w:t> </w:t>
      </w:r>
      <w:r>
        <w:rPr>
          <w:color w:val="231F20"/>
        </w:rPr>
        <w:t>посвятить</w:t>
      </w:r>
      <w:r>
        <w:rPr>
          <w:color w:val="231F20"/>
          <w:spacing w:val="-5"/>
        </w:rPr>
        <w:t> </w:t>
      </w:r>
      <w:r>
        <w:rPr>
          <w:color w:val="231F20"/>
        </w:rPr>
        <w:t>культурным</w:t>
      </w:r>
      <w:r>
        <w:rPr>
          <w:color w:val="231F20"/>
          <w:spacing w:val="-5"/>
        </w:rPr>
        <w:t> </w:t>
      </w:r>
      <w:r>
        <w:rPr>
          <w:color w:val="231F20"/>
        </w:rPr>
        <w:t>различиям,</w:t>
      </w:r>
      <w:r>
        <w:rPr>
          <w:color w:val="231F20"/>
          <w:spacing w:val="-5"/>
        </w:rPr>
        <w:t> </w:t>
      </w:r>
      <w:r>
        <w:rPr>
          <w:color w:val="231F20"/>
        </w:rPr>
        <w:t>второе</w:t>
      </w:r>
      <w:r>
        <w:rPr>
          <w:color w:val="231F20"/>
          <w:spacing w:val="-5"/>
        </w:rPr>
        <w:t> </w:t>
      </w:r>
      <w:r>
        <w:rPr>
          <w:color w:val="231F20"/>
        </w:rPr>
        <w:t>–</w:t>
      </w:r>
      <w:r>
        <w:rPr>
          <w:color w:val="231F20"/>
          <w:spacing w:val="-5"/>
        </w:rPr>
        <w:t> </w:t>
      </w:r>
      <w:r>
        <w:rPr>
          <w:color w:val="231F20"/>
        </w:rPr>
        <w:t>осознанию</w:t>
      </w:r>
      <w:r>
        <w:rPr>
          <w:color w:val="231F20"/>
          <w:spacing w:val="-5"/>
        </w:rPr>
        <w:t> </w:t>
      </w:r>
      <w:r>
        <w:rPr>
          <w:color w:val="231F20"/>
        </w:rPr>
        <w:t>идентичности и третье – межкультурной коммуникации.</w:t>
      </w:r>
    </w:p>
    <w:p>
      <w:pPr>
        <w:pStyle w:val="BodyText"/>
        <w:spacing w:line="235" w:lineRule="auto" w:before="3"/>
      </w:pPr>
      <w:r>
        <w:rPr>
          <w:color w:val="231F20"/>
        </w:rPr>
        <w:t>Далее</w:t>
      </w:r>
      <w:r>
        <w:rPr>
          <w:color w:val="231F20"/>
          <w:spacing w:val="-9"/>
        </w:rPr>
        <w:t> </w:t>
      </w:r>
      <w:r>
        <w:rPr>
          <w:color w:val="231F20"/>
        </w:rPr>
        <w:t>в</w:t>
      </w:r>
      <w:r>
        <w:rPr>
          <w:color w:val="231F20"/>
          <w:spacing w:val="-9"/>
        </w:rPr>
        <w:t> </w:t>
      </w:r>
      <w:r>
        <w:rPr>
          <w:color w:val="231F20"/>
        </w:rPr>
        <w:t>инструментарии</w:t>
      </w:r>
      <w:r>
        <w:rPr>
          <w:color w:val="231F20"/>
          <w:spacing w:val="-9"/>
        </w:rPr>
        <w:t> </w:t>
      </w:r>
      <w:r>
        <w:rPr>
          <w:color w:val="231F20"/>
        </w:rPr>
        <w:t>представлено</w:t>
      </w:r>
      <w:r>
        <w:rPr>
          <w:color w:val="231F20"/>
          <w:spacing w:val="-9"/>
        </w:rPr>
        <w:t> </w:t>
      </w:r>
      <w:r>
        <w:rPr>
          <w:color w:val="231F20"/>
        </w:rPr>
        <w:t>некоторое</w:t>
      </w:r>
      <w:r>
        <w:rPr>
          <w:color w:val="231F20"/>
          <w:spacing w:val="-9"/>
        </w:rPr>
        <w:t> </w:t>
      </w:r>
      <w:r>
        <w:rPr>
          <w:color w:val="231F20"/>
        </w:rPr>
        <w:t>количество</w:t>
      </w:r>
      <w:r>
        <w:rPr>
          <w:color w:val="231F20"/>
          <w:spacing w:val="-9"/>
        </w:rPr>
        <w:t> </w:t>
      </w:r>
      <w:r>
        <w:rPr>
          <w:color w:val="231F20"/>
        </w:rPr>
        <w:t>активностей/упраж- нений,</w:t>
      </w:r>
      <w:r>
        <w:rPr>
          <w:color w:val="231F20"/>
          <w:spacing w:val="-12"/>
        </w:rPr>
        <w:t> </w:t>
      </w:r>
      <w:r>
        <w:rPr>
          <w:color w:val="231F20"/>
        </w:rPr>
        <w:t>отсутствующих</w:t>
      </w:r>
      <w:r>
        <w:rPr>
          <w:color w:val="231F20"/>
          <w:spacing w:val="-12"/>
        </w:rPr>
        <w:t> </w:t>
      </w:r>
      <w:r>
        <w:rPr>
          <w:color w:val="231F20"/>
        </w:rPr>
        <w:t>в</w:t>
      </w:r>
      <w:r>
        <w:rPr>
          <w:color w:val="231F20"/>
          <w:spacing w:val="-13"/>
        </w:rPr>
        <w:t> </w:t>
      </w:r>
      <w:r>
        <w:rPr>
          <w:color w:val="231F20"/>
        </w:rPr>
        <w:t>программах</w:t>
      </w:r>
      <w:r>
        <w:rPr>
          <w:color w:val="231F20"/>
          <w:spacing w:val="-12"/>
        </w:rPr>
        <w:t> </w:t>
      </w:r>
      <w:r>
        <w:rPr>
          <w:color w:val="231F20"/>
        </w:rPr>
        <w:t>межкультурных</w:t>
      </w:r>
      <w:r>
        <w:rPr>
          <w:color w:val="231F20"/>
          <w:spacing w:val="-12"/>
        </w:rPr>
        <w:t> </w:t>
      </w:r>
      <w:r>
        <w:rPr>
          <w:color w:val="231F20"/>
        </w:rPr>
        <w:t>тренингов,</w:t>
      </w:r>
      <w:r>
        <w:rPr>
          <w:color w:val="231F20"/>
          <w:spacing w:val="-12"/>
        </w:rPr>
        <w:t> </w:t>
      </w:r>
      <w:r>
        <w:rPr>
          <w:color w:val="231F20"/>
        </w:rPr>
        <w:t>материалы</w:t>
      </w:r>
      <w:r>
        <w:rPr>
          <w:color w:val="231F20"/>
          <w:spacing w:val="-12"/>
        </w:rPr>
        <w:t> </w:t>
      </w:r>
      <w:r>
        <w:rPr>
          <w:color w:val="231F20"/>
        </w:rPr>
        <w:t>которых находятся</w:t>
      </w:r>
      <w:r>
        <w:rPr>
          <w:color w:val="231F20"/>
          <w:spacing w:val="-5"/>
        </w:rPr>
        <w:t> </w:t>
      </w:r>
      <w:r>
        <w:rPr>
          <w:color w:val="231F20"/>
        </w:rPr>
        <w:t>в</w:t>
      </w:r>
      <w:r>
        <w:rPr>
          <w:color w:val="231F20"/>
          <w:spacing w:val="-5"/>
        </w:rPr>
        <w:t> </w:t>
      </w:r>
      <w:r>
        <w:rPr>
          <w:color w:val="231F20"/>
        </w:rPr>
        <w:t>открытом</w:t>
      </w:r>
      <w:r>
        <w:rPr>
          <w:color w:val="231F20"/>
          <w:spacing w:val="-5"/>
        </w:rPr>
        <w:t> </w:t>
      </w:r>
      <w:r>
        <w:rPr>
          <w:color w:val="231F20"/>
        </w:rPr>
        <w:t>доступе</w:t>
      </w:r>
      <w:r>
        <w:rPr>
          <w:color w:val="231F20"/>
          <w:spacing w:val="-5"/>
        </w:rPr>
        <w:t> </w:t>
      </w:r>
      <w:r>
        <w:rPr>
          <w:color w:val="231F20"/>
        </w:rPr>
        <w:t>в</w:t>
      </w:r>
      <w:r>
        <w:rPr>
          <w:color w:val="231F20"/>
          <w:spacing w:val="-5"/>
        </w:rPr>
        <w:t> </w:t>
      </w:r>
      <w:r>
        <w:rPr>
          <w:color w:val="231F20"/>
        </w:rPr>
        <w:t>интернете</w:t>
      </w:r>
      <w:r>
        <w:rPr>
          <w:color w:val="231F20"/>
          <w:spacing w:val="-5"/>
        </w:rPr>
        <w:t> </w:t>
      </w:r>
      <w:r>
        <w:rPr>
          <w:color w:val="231F20"/>
        </w:rPr>
        <w:t>(описаны</w:t>
      </w:r>
      <w:r>
        <w:rPr>
          <w:color w:val="231F20"/>
          <w:spacing w:val="-5"/>
        </w:rPr>
        <w:t> </w:t>
      </w:r>
      <w:r>
        <w:rPr>
          <w:color w:val="231F20"/>
        </w:rPr>
        <w:t>в</w:t>
      </w:r>
      <w:r>
        <w:rPr>
          <w:color w:val="231F20"/>
          <w:spacing w:val="-5"/>
        </w:rPr>
        <w:t> </w:t>
      </w:r>
      <w:r>
        <w:rPr>
          <w:color w:val="231F20"/>
        </w:rPr>
        <w:t>соответствующем</w:t>
      </w:r>
      <w:r>
        <w:rPr>
          <w:color w:val="231F20"/>
          <w:spacing w:val="-5"/>
        </w:rPr>
        <w:t> </w:t>
      </w:r>
      <w:r>
        <w:rPr>
          <w:color w:val="231F20"/>
        </w:rPr>
        <w:t>разделе</w:t>
      </w:r>
      <w:r>
        <w:rPr>
          <w:color w:val="231F20"/>
          <w:spacing w:val="-5"/>
        </w:rPr>
        <w:t> </w:t>
      </w:r>
      <w:r>
        <w:rPr>
          <w:color w:val="231F20"/>
        </w:rPr>
        <w:t>ме- тодических рекомендаций</w:t>
      </w:r>
      <w:r>
        <w:rPr>
          <w:color w:val="231F20"/>
          <w:vertAlign w:val="superscript"/>
        </w:rPr>
        <w:t>1</w:t>
      </w:r>
      <w:r>
        <w:rPr>
          <w:color w:val="231F20"/>
          <w:vertAlign w:val="baseline"/>
        </w:rPr>
        <w:t>). Описание структурировано согласно заявленным выше задачам межкультурного тренинга.</w:t>
      </w:r>
    </w:p>
    <w:p>
      <w:pPr>
        <w:pStyle w:val="BodyText"/>
        <w:spacing w:line="235" w:lineRule="auto" w:before="3"/>
      </w:pPr>
      <w:r>
        <w:rPr>
          <w:color w:val="231F20"/>
        </w:rPr>
        <w:t>Проверка</w:t>
      </w:r>
      <w:r>
        <w:rPr>
          <w:color w:val="231F20"/>
          <w:spacing w:val="-8"/>
        </w:rPr>
        <w:t> </w:t>
      </w:r>
      <w:r>
        <w:rPr>
          <w:color w:val="231F20"/>
        </w:rPr>
        <w:t>эффективности</w:t>
      </w:r>
      <w:r>
        <w:rPr>
          <w:color w:val="231F20"/>
          <w:spacing w:val="-8"/>
        </w:rPr>
        <w:t> </w:t>
      </w:r>
      <w:r>
        <w:rPr>
          <w:color w:val="231F20"/>
        </w:rPr>
        <w:t>данной</w:t>
      </w:r>
      <w:r>
        <w:rPr>
          <w:color w:val="231F20"/>
          <w:spacing w:val="-8"/>
        </w:rPr>
        <w:t> </w:t>
      </w:r>
      <w:r>
        <w:rPr>
          <w:color w:val="231F20"/>
        </w:rPr>
        <w:t>практики</w:t>
      </w:r>
      <w:r>
        <w:rPr>
          <w:color w:val="231F20"/>
          <w:spacing w:val="-8"/>
        </w:rPr>
        <w:t> </w:t>
      </w:r>
      <w:r>
        <w:rPr>
          <w:color w:val="231F20"/>
        </w:rPr>
        <w:t>была</w:t>
      </w:r>
      <w:r>
        <w:rPr>
          <w:color w:val="231F20"/>
          <w:spacing w:val="-8"/>
        </w:rPr>
        <w:t> </w:t>
      </w:r>
      <w:r>
        <w:rPr>
          <w:color w:val="231F20"/>
        </w:rPr>
        <w:t>осуществлена</w:t>
      </w:r>
      <w:r>
        <w:rPr>
          <w:color w:val="231F20"/>
          <w:spacing w:val="-8"/>
        </w:rPr>
        <w:t> </w:t>
      </w:r>
      <w:r>
        <w:rPr>
          <w:color w:val="231F20"/>
        </w:rPr>
        <w:t>на</w:t>
      </w:r>
      <w:r>
        <w:rPr>
          <w:color w:val="231F20"/>
          <w:spacing w:val="-8"/>
        </w:rPr>
        <w:t> </w:t>
      </w:r>
      <w:r>
        <w:rPr>
          <w:color w:val="231F20"/>
        </w:rPr>
        <w:t>выборке</w:t>
      </w:r>
      <w:r>
        <w:rPr>
          <w:color w:val="231F20"/>
          <w:spacing w:val="-8"/>
        </w:rPr>
        <w:t> </w:t>
      </w:r>
      <w:r>
        <w:rPr>
          <w:color w:val="231F20"/>
        </w:rPr>
        <w:t>обуча- ющихся (Nобщ=358) в рамках реализации Государственного задания Министерства просвещения Российской Федерации № 073-00038-23-01 от 08.02.2023 г. «Оценка эффективности реализации программы психолого-педагогического сопровождения процессов</w:t>
      </w:r>
      <w:r>
        <w:rPr>
          <w:color w:val="231F20"/>
          <w:spacing w:val="-7"/>
        </w:rPr>
        <w:t> </w:t>
      </w:r>
      <w:r>
        <w:rPr>
          <w:color w:val="231F20"/>
        </w:rPr>
        <w:t>обучения,</w:t>
      </w:r>
      <w:r>
        <w:rPr>
          <w:color w:val="231F20"/>
          <w:spacing w:val="-7"/>
        </w:rPr>
        <w:t> </w:t>
      </w:r>
      <w:r>
        <w:rPr>
          <w:color w:val="231F20"/>
        </w:rPr>
        <w:t>социальной,</w:t>
      </w:r>
      <w:r>
        <w:rPr>
          <w:color w:val="231F20"/>
          <w:spacing w:val="-7"/>
        </w:rPr>
        <w:t> </w:t>
      </w:r>
      <w:r>
        <w:rPr>
          <w:color w:val="231F20"/>
        </w:rPr>
        <w:t>языковой</w:t>
      </w:r>
      <w:r>
        <w:rPr>
          <w:color w:val="231F20"/>
          <w:spacing w:val="-7"/>
        </w:rPr>
        <w:t> </w:t>
      </w:r>
      <w:r>
        <w:rPr>
          <w:color w:val="231F20"/>
        </w:rPr>
        <w:t>и</w:t>
      </w:r>
      <w:r>
        <w:rPr>
          <w:color w:val="231F20"/>
          <w:spacing w:val="-7"/>
        </w:rPr>
        <w:t> </w:t>
      </w:r>
      <w:r>
        <w:rPr>
          <w:color w:val="231F20"/>
        </w:rPr>
        <w:t>культурной</w:t>
      </w:r>
      <w:r>
        <w:rPr>
          <w:color w:val="231F20"/>
          <w:spacing w:val="-7"/>
        </w:rPr>
        <w:t> </w:t>
      </w:r>
      <w:r>
        <w:rPr>
          <w:color w:val="231F20"/>
        </w:rPr>
        <w:t>адаптации</w:t>
      </w:r>
      <w:r>
        <w:rPr>
          <w:color w:val="231F20"/>
          <w:spacing w:val="-7"/>
        </w:rPr>
        <w:t> </w:t>
      </w:r>
      <w:r>
        <w:rPr>
          <w:color w:val="231F20"/>
        </w:rPr>
        <w:t>детей</w:t>
      </w:r>
      <w:r>
        <w:rPr>
          <w:color w:val="231F20"/>
          <w:spacing w:val="-7"/>
        </w:rPr>
        <w:t> </w:t>
      </w:r>
      <w:r>
        <w:rPr>
          <w:color w:val="231F20"/>
        </w:rPr>
        <w:t>иностран- ных</w:t>
      </w:r>
      <w:r>
        <w:rPr>
          <w:color w:val="231F20"/>
          <w:spacing w:val="-10"/>
        </w:rPr>
        <w:t> </w:t>
      </w:r>
      <w:r>
        <w:rPr>
          <w:color w:val="231F20"/>
        </w:rPr>
        <w:t>граждан,</w:t>
      </w:r>
      <w:r>
        <w:rPr>
          <w:color w:val="231F20"/>
          <w:spacing w:val="-10"/>
        </w:rPr>
        <w:t> </w:t>
      </w:r>
      <w:r>
        <w:rPr>
          <w:color w:val="231F20"/>
        </w:rPr>
        <w:t>обучающихся</w:t>
      </w:r>
      <w:r>
        <w:rPr>
          <w:color w:val="231F20"/>
          <w:spacing w:val="-10"/>
        </w:rPr>
        <w:t> </w:t>
      </w:r>
      <w:r>
        <w:rPr>
          <w:color w:val="231F20"/>
        </w:rPr>
        <w:t>в</w:t>
      </w:r>
      <w:r>
        <w:rPr>
          <w:color w:val="231F20"/>
          <w:spacing w:val="-10"/>
        </w:rPr>
        <w:t> </w:t>
      </w:r>
      <w:r>
        <w:rPr>
          <w:color w:val="231F20"/>
        </w:rPr>
        <w:t>общеобразовательных</w:t>
      </w:r>
      <w:r>
        <w:rPr>
          <w:color w:val="231F20"/>
          <w:spacing w:val="-10"/>
        </w:rPr>
        <w:t> </w:t>
      </w:r>
      <w:r>
        <w:rPr>
          <w:color w:val="231F20"/>
        </w:rPr>
        <w:t>организациях</w:t>
      </w:r>
      <w:r>
        <w:rPr>
          <w:color w:val="231F20"/>
          <w:spacing w:val="-9"/>
        </w:rPr>
        <w:t> </w:t>
      </w:r>
      <w:r>
        <w:rPr>
          <w:color w:val="231F20"/>
        </w:rPr>
        <w:t>(на</w:t>
      </w:r>
      <w:r>
        <w:rPr>
          <w:color w:val="231F20"/>
          <w:spacing w:val="-10"/>
        </w:rPr>
        <w:t> </w:t>
      </w:r>
      <w:r>
        <w:rPr>
          <w:color w:val="231F20"/>
        </w:rPr>
        <w:t>основе</w:t>
      </w:r>
      <w:r>
        <w:rPr>
          <w:color w:val="231F20"/>
          <w:spacing w:val="-10"/>
        </w:rPr>
        <w:t> </w:t>
      </w:r>
      <w:r>
        <w:rPr>
          <w:color w:val="231F20"/>
        </w:rPr>
        <w:t>доказа- тельного</w:t>
      </w:r>
      <w:r>
        <w:rPr>
          <w:color w:val="231F20"/>
          <w:spacing w:val="-1"/>
        </w:rPr>
        <w:t> </w:t>
      </w:r>
      <w:r>
        <w:rPr>
          <w:color w:val="231F20"/>
        </w:rPr>
        <w:t>подхода</w:t>
      </w:r>
      <w:r>
        <w:rPr>
          <w:color w:val="231F20"/>
          <w:spacing w:val="-1"/>
        </w:rPr>
        <w:t> </w:t>
      </w:r>
      <w:r>
        <w:rPr>
          <w:color w:val="231F20"/>
        </w:rPr>
        <w:t>к</w:t>
      </w:r>
      <w:r>
        <w:rPr>
          <w:color w:val="231F20"/>
          <w:spacing w:val="-1"/>
        </w:rPr>
        <w:t> </w:t>
      </w:r>
      <w:r>
        <w:rPr>
          <w:color w:val="231F20"/>
        </w:rPr>
        <w:t>социальным</w:t>
      </w:r>
      <w:r>
        <w:rPr>
          <w:color w:val="231F20"/>
          <w:spacing w:val="-1"/>
        </w:rPr>
        <w:t> </w:t>
      </w:r>
      <w:r>
        <w:rPr>
          <w:color w:val="231F20"/>
        </w:rPr>
        <w:t>практикам</w:t>
      </w:r>
      <w:r>
        <w:rPr>
          <w:color w:val="231F20"/>
          <w:spacing w:val="-1"/>
        </w:rPr>
        <w:t> </w:t>
      </w:r>
      <w:r>
        <w:rPr>
          <w:color w:val="231F20"/>
        </w:rPr>
        <w:t>в</w:t>
      </w:r>
      <w:r>
        <w:rPr>
          <w:color w:val="231F20"/>
          <w:spacing w:val="-1"/>
        </w:rPr>
        <w:t> </w:t>
      </w:r>
      <w:r>
        <w:rPr>
          <w:color w:val="231F20"/>
        </w:rPr>
        <w:t>сфере</w:t>
      </w:r>
      <w:r>
        <w:rPr>
          <w:color w:val="231F20"/>
          <w:spacing w:val="-1"/>
        </w:rPr>
        <w:t> </w:t>
      </w:r>
      <w:r>
        <w:rPr>
          <w:color w:val="231F20"/>
        </w:rPr>
        <w:t>детства</w:t>
      </w:r>
      <w:r>
        <w:rPr>
          <w:color w:val="231F20"/>
          <w:spacing w:val="-1"/>
        </w:rPr>
        <w:t> </w:t>
      </w:r>
      <w:r>
        <w:rPr>
          <w:color w:val="231F20"/>
        </w:rPr>
        <w:t>и</w:t>
      </w:r>
      <w:r>
        <w:rPr>
          <w:color w:val="231F20"/>
          <w:spacing w:val="-1"/>
        </w:rPr>
        <w:t> </w:t>
      </w:r>
      <w:r>
        <w:rPr>
          <w:color w:val="231F20"/>
        </w:rPr>
        <w:t>дифференцированного подхода</w:t>
      </w:r>
      <w:r>
        <w:rPr>
          <w:color w:val="231F20"/>
          <w:spacing w:val="-7"/>
        </w:rPr>
        <w:t> </w:t>
      </w:r>
      <w:r>
        <w:rPr>
          <w:color w:val="231F20"/>
        </w:rPr>
        <w:t>к</w:t>
      </w:r>
      <w:r>
        <w:rPr>
          <w:color w:val="231F20"/>
          <w:spacing w:val="-7"/>
        </w:rPr>
        <w:t> </w:t>
      </w:r>
      <w:r>
        <w:rPr>
          <w:color w:val="231F20"/>
        </w:rPr>
        <w:t>обучению</w:t>
      </w:r>
      <w:r>
        <w:rPr>
          <w:color w:val="231F20"/>
          <w:spacing w:val="-7"/>
        </w:rPr>
        <w:t> </w:t>
      </w:r>
      <w:r>
        <w:rPr>
          <w:color w:val="231F20"/>
        </w:rPr>
        <w:t>детей</w:t>
      </w:r>
      <w:r>
        <w:rPr>
          <w:color w:val="231F20"/>
          <w:spacing w:val="-7"/>
        </w:rPr>
        <w:t> </w:t>
      </w:r>
      <w:r>
        <w:rPr>
          <w:color w:val="231F20"/>
        </w:rPr>
        <w:t>иностранных</w:t>
      </w:r>
      <w:r>
        <w:rPr>
          <w:color w:val="231F20"/>
          <w:spacing w:val="-7"/>
        </w:rPr>
        <w:t> </w:t>
      </w:r>
      <w:r>
        <w:rPr>
          <w:color w:val="231F20"/>
        </w:rPr>
        <w:t>граждан)»</w:t>
      </w:r>
      <w:r>
        <w:rPr>
          <w:color w:val="231F20"/>
          <w:spacing w:val="-7"/>
        </w:rPr>
        <w:t> </w:t>
      </w:r>
      <w:r>
        <w:rPr>
          <w:color w:val="231F20"/>
        </w:rPr>
        <w:t>и</w:t>
      </w:r>
      <w:r>
        <w:rPr>
          <w:color w:val="231F20"/>
          <w:spacing w:val="-7"/>
        </w:rPr>
        <w:t> </w:t>
      </w:r>
      <w:r>
        <w:rPr>
          <w:color w:val="231F20"/>
        </w:rPr>
        <w:t>опиралась</w:t>
      </w:r>
      <w:r>
        <w:rPr>
          <w:color w:val="231F20"/>
          <w:spacing w:val="-7"/>
        </w:rPr>
        <w:t> </w:t>
      </w:r>
      <w:r>
        <w:rPr>
          <w:color w:val="231F20"/>
        </w:rPr>
        <w:t>на</w:t>
      </w:r>
      <w:r>
        <w:rPr>
          <w:color w:val="231F20"/>
          <w:spacing w:val="-7"/>
        </w:rPr>
        <w:t> </w:t>
      </w:r>
      <w:r>
        <w:rPr>
          <w:color w:val="231F20"/>
        </w:rPr>
        <w:t>схему</w:t>
      </w:r>
      <w:r>
        <w:rPr>
          <w:color w:val="231F20"/>
          <w:spacing w:val="-7"/>
        </w:rPr>
        <w:t> </w:t>
      </w:r>
      <w:r>
        <w:rPr>
          <w:color w:val="231F20"/>
        </w:rPr>
        <w:t>Киркпатри- ка (Kirkpatrick, 1959):</w:t>
      </w:r>
    </w:p>
    <w:p>
      <w:pPr>
        <w:pStyle w:val="ListParagraph"/>
        <w:numPr>
          <w:ilvl w:val="1"/>
          <w:numId w:val="266"/>
        </w:numPr>
        <w:tabs>
          <w:tab w:pos="860" w:val="left" w:leader="none"/>
        </w:tabs>
        <w:spacing w:line="235" w:lineRule="auto" w:before="6" w:after="0"/>
        <w:ind w:left="141" w:right="138" w:firstLine="283"/>
        <w:jc w:val="both"/>
        <w:rPr>
          <w:sz w:val="20"/>
        </w:rPr>
      </w:pPr>
      <w:r>
        <w:rPr>
          <w:color w:val="231F20"/>
          <w:sz w:val="20"/>
        </w:rPr>
        <w:t>Уровень</w:t>
      </w:r>
      <w:r>
        <w:rPr>
          <w:color w:val="231F20"/>
          <w:spacing w:val="-2"/>
          <w:sz w:val="20"/>
        </w:rPr>
        <w:t> </w:t>
      </w:r>
      <w:r>
        <w:rPr>
          <w:color w:val="231F20"/>
          <w:sz w:val="20"/>
        </w:rPr>
        <w:t>реакции</w:t>
      </w:r>
      <w:r>
        <w:rPr>
          <w:color w:val="231F20"/>
          <w:spacing w:val="-2"/>
          <w:sz w:val="20"/>
        </w:rPr>
        <w:t> </w:t>
      </w:r>
      <w:r>
        <w:rPr>
          <w:color w:val="231F20"/>
          <w:sz w:val="20"/>
        </w:rPr>
        <w:t>участников:</w:t>
      </w:r>
      <w:r>
        <w:rPr>
          <w:color w:val="231F20"/>
          <w:spacing w:val="-2"/>
          <w:sz w:val="20"/>
        </w:rPr>
        <w:t> </w:t>
      </w:r>
      <w:r>
        <w:rPr>
          <w:color w:val="231F20"/>
          <w:sz w:val="20"/>
        </w:rPr>
        <w:t>был</w:t>
      </w:r>
      <w:r>
        <w:rPr>
          <w:color w:val="231F20"/>
          <w:spacing w:val="-2"/>
          <w:sz w:val="20"/>
        </w:rPr>
        <w:t> </w:t>
      </w:r>
      <w:r>
        <w:rPr>
          <w:color w:val="231F20"/>
          <w:sz w:val="20"/>
        </w:rPr>
        <w:t>выявлен</w:t>
      </w:r>
      <w:r>
        <w:rPr>
          <w:color w:val="231F20"/>
          <w:spacing w:val="-2"/>
          <w:sz w:val="20"/>
        </w:rPr>
        <w:t> </w:t>
      </w:r>
      <w:r>
        <w:rPr>
          <w:color w:val="231F20"/>
          <w:sz w:val="20"/>
        </w:rPr>
        <w:t>достоверно</w:t>
      </w:r>
      <w:r>
        <w:rPr>
          <w:color w:val="231F20"/>
          <w:spacing w:val="-2"/>
          <w:sz w:val="20"/>
        </w:rPr>
        <w:t> </w:t>
      </w:r>
      <w:r>
        <w:rPr>
          <w:color w:val="231F20"/>
          <w:sz w:val="20"/>
        </w:rPr>
        <w:t>высокий</w:t>
      </w:r>
      <w:r>
        <w:rPr>
          <w:color w:val="231F20"/>
          <w:spacing w:val="-2"/>
          <w:sz w:val="20"/>
        </w:rPr>
        <w:t> </w:t>
      </w:r>
      <w:r>
        <w:rPr>
          <w:color w:val="231F20"/>
          <w:sz w:val="20"/>
        </w:rPr>
        <w:t>уровень</w:t>
      </w:r>
      <w:r>
        <w:rPr>
          <w:color w:val="231F20"/>
          <w:spacing w:val="-2"/>
          <w:sz w:val="20"/>
        </w:rPr>
        <w:t> </w:t>
      </w:r>
      <w:r>
        <w:rPr>
          <w:color w:val="231F20"/>
          <w:sz w:val="20"/>
        </w:rPr>
        <w:t>ре- акции участников по итогам тренинга (m=4,7; p&lt;0,05) (прохождение тренинга было отмечено как полезное, познавательное, увлекательное и интересное мероприятие).</w:t>
      </w:r>
    </w:p>
    <w:p>
      <w:pPr>
        <w:pStyle w:val="ListParagraph"/>
        <w:numPr>
          <w:ilvl w:val="1"/>
          <w:numId w:val="266"/>
        </w:numPr>
        <w:tabs>
          <w:tab w:pos="860" w:val="left" w:leader="none"/>
        </w:tabs>
        <w:spacing w:line="235" w:lineRule="auto" w:before="1" w:after="0"/>
        <w:ind w:left="141" w:right="139" w:firstLine="283"/>
        <w:jc w:val="both"/>
        <w:rPr>
          <w:sz w:val="20"/>
        </w:rPr>
      </w:pPr>
      <w:r>
        <w:rPr>
          <w:color w:val="231F20"/>
          <w:sz w:val="20"/>
        </w:rPr>
        <w:t>Уровень приобретения знаний и умений: в результате прохождения прак- тики было отмечено значимое повышения</w:t>
      </w:r>
      <w:r>
        <w:rPr>
          <w:color w:val="231F20"/>
          <w:spacing w:val="40"/>
          <w:sz w:val="20"/>
        </w:rPr>
        <w:t> </w:t>
      </w:r>
      <w:r>
        <w:rPr>
          <w:color w:val="231F20"/>
          <w:sz w:val="20"/>
        </w:rPr>
        <w:t>уровня психологического благополучия (Рисуночная диагностика психологического благополучия: от 3,44 к 3,60 p&lt;0,01; Шкала психологического благополучия Уорик-Эдинбург от 52,20 до 56,21 p&lt;0,05; Шкала удовлетворённости жизнью школьника от 117,08 до 125,05 p&lt;0,01) и куль- турной адаптации (Детский опросник аккультурационного стресса от 21,00 к 15,26 </w:t>
      </w:r>
      <w:r>
        <w:rPr>
          <w:color w:val="231F20"/>
          <w:spacing w:val="-2"/>
          <w:sz w:val="20"/>
        </w:rPr>
        <w:t>p&lt;0,05).</w:t>
      </w: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spacing w:before="178"/>
        <w:ind w:left="0" w:right="0" w:firstLine="0"/>
        <w:jc w:val="left"/>
      </w:pPr>
      <w:r>
        <w:rPr/>
        <mc:AlternateContent>
          <mc:Choice Requires="wps">
            <w:drawing>
              <wp:anchor distT="0" distB="0" distL="0" distR="0" allowOverlap="1" layoutInCell="1" locked="0" behindDoc="1" simplePos="0" relativeHeight="487639040">
                <wp:simplePos x="0" y="0"/>
                <wp:positionH relativeFrom="page">
                  <wp:posOffset>360000</wp:posOffset>
                </wp:positionH>
                <wp:positionV relativeFrom="paragraph">
                  <wp:posOffset>274851</wp:posOffset>
                </wp:positionV>
                <wp:extent cx="1440180" cy="1270"/>
                <wp:effectExtent l="0" t="0" r="0" b="0"/>
                <wp:wrapTopAndBottom/>
                <wp:docPr id="158" name="Graphic 158"/>
                <wp:cNvGraphicFramePr>
                  <a:graphicFrameLocks/>
                </wp:cNvGraphicFramePr>
                <a:graphic>
                  <a:graphicData uri="http://schemas.microsoft.com/office/word/2010/wordprocessingShape">
                    <wps:wsp>
                      <wps:cNvPr id="158" name="Graphic 158"/>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5pt;margin-top:21.641821pt;width:113.4pt;height:.1pt;mso-position-horizontal-relative:page;mso-position-vertical-relative:paragraph;z-index:-15677440;mso-wrap-distance-left:0;mso-wrap-distance-right:0" id="docshape100" coordorigin="567,433" coordsize="2268,0" path="m567,433l2835,433e" filled="false" stroked="true" strokeweight=".5pt" strokecolor="#231f20">
                <v:path arrowok="t"/>
                <v:stroke dashstyle="solid"/>
                <w10:wrap type="topAndBottom"/>
              </v:shape>
            </w:pict>
          </mc:Fallback>
        </mc:AlternateContent>
      </w:r>
    </w:p>
    <w:p>
      <w:pPr>
        <w:tabs>
          <w:tab w:pos="425" w:val="left" w:leader="none"/>
        </w:tabs>
        <w:spacing w:before="27"/>
        <w:ind w:left="141" w:right="0" w:firstLine="0"/>
        <w:jc w:val="left"/>
        <w:rPr>
          <w:sz w:val="18"/>
        </w:rPr>
      </w:pPr>
      <w:r>
        <w:rPr>
          <w:color w:val="231F20"/>
          <w:spacing w:val="-10"/>
          <w:sz w:val="18"/>
          <w:vertAlign w:val="superscript"/>
        </w:rPr>
        <w:t>1</w:t>
      </w:r>
      <w:r>
        <w:rPr>
          <w:color w:val="231F20"/>
          <w:sz w:val="18"/>
          <w:vertAlign w:val="baseline"/>
        </w:rPr>
        <w:tab/>
        <w:t>Параграф</w:t>
      </w:r>
      <w:r>
        <w:rPr>
          <w:color w:val="231F20"/>
          <w:spacing w:val="-7"/>
          <w:sz w:val="18"/>
          <w:vertAlign w:val="baseline"/>
        </w:rPr>
        <w:t> </w:t>
      </w:r>
      <w:r>
        <w:rPr>
          <w:color w:val="231F20"/>
          <w:sz w:val="18"/>
          <w:vertAlign w:val="baseline"/>
        </w:rPr>
        <w:t>4.2.1.</w:t>
      </w:r>
      <w:r>
        <w:rPr>
          <w:color w:val="231F20"/>
          <w:spacing w:val="-6"/>
          <w:sz w:val="18"/>
          <w:vertAlign w:val="baseline"/>
        </w:rPr>
        <w:t> </w:t>
      </w:r>
      <w:r>
        <w:rPr>
          <w:color w:val="231F20"/>
          <w:sz w:val="18"/>
          <w:vertAlign w:val="baseline"/>
        </w:rPr>
        <w:t>Психологические</w:t>
      </w:r>
      <w:r>
        <w:rPr>
          <w:color w:val="231F20"/>
          <w:spacing w:val="-7"/>
          <w:sz w:val="18"/>
          <w:vertAlign w:val="baseline"/>
        </w:rPr>
        <w:t> </w:t>
      </w:r>
      <w:r>
        <w:rPr>
          <w:color w:val="231F20"/>
          <w:sz w:val="18"/>
          <w:vertAlign w:val="baseline"/>
        </w:rPr>
        <w:t>тренинги</w:t>
      </w:r>
      <w:r>
        <w:rPr>
          <w:color w:val="231F20"/>
          <w:spacing w:val="-7"/>
          <w:sz w:val="18"/>
          <w:vertAlign w:val="baseline"/>
        </w:rPr>
        <w:t> </w:t>
      </w:r>
      <w:r>
        <w:rPr>
          <w:color w:val="231F20"/>
          <w:sz w:val="18"/>
          <w:vertAlign w:val="baseline"/>
        </w:rPr>
        <w:t>в</w:t>
      </w:r>
      <w:r>
        <w:rPr>
          <w:color w:val="231F20"/>
          <w:spacing w:val="-7"/>
          <w:sz w:val="18"/>
          <w:vertAlign w:val="baseline"/>
        </w:rPr>
        <w:t> </w:t>
      </w:r>
      <w:r>
        <w:rPr>
          <w:color w:val="231F20"/>
          <w:sz w:val="18"/>
          <w:vertAlign w:val="baseline"/>
        </w:rPr>
        <w:t>поликультурном</w:t>
      </w:r>
      <w:r>
        <w:rPr>
          <w:color w:val="231F20"/>
          <w:spacing w:val="-6"/>
          <w:sz w:val="18"/>
          <w:vertAlign w:val="baseline"/>
        </w:rPr>
        <w:t> </w:t>
      </w:r>
      <w:r>
        <w:rPr>
          <w:color w:val="231F20"/>
          <w:spacing w:val="-2"/>
          <w:sz w:val="18"/>
          <w:vertAlign w:val="baseline"/>
        </w:rPr>
        <w:t>классе.</w:t>
      </w:r>
    </w:p>
    <w:p>
      <w:pPr>
        <w:spacing w:after="0"/>
        <w:jc w:val="left"/>
        <w:rPr>
          <w:sz w:val="18"/>
        </w:rPr>
        <w:sectPr>
          <w:pgSz w:w="8400" w:h="11910"/>
          <w:pgMar w:header="0" w:footer="530" w:top="400" w:bottom="720" w:left="425" w:right="425"/>
        </w:sectPr>
      </w:pPr>
    </w:p>
    <w:p>
      <w:pPr>
        <w:pStyle w:val="ListParagraph"/>
        <w:numPr>
          <w:ilvl w:val="1"/>
          <w:numId w:val="267"/>
        </w:numPr>
        <w:tabs>
          <w:tab w:pos="455" w:val="left" w:leader="none"/>
        </w:tabs>
        <w:spacing w:line="240" w:lineRule="auto" w:before="80" w:after="0"/>
        <w:ind w:left="455" w:right="0" w:hanging="314"/>
        <w:jc w:val="left"/>
        <w:rPr>
          <w:rFonts w:ascii="Georgia" w:hAnsi="Georgia"/>
          <w:sz w:val="18"/>
        </w:rPr>
      </w:pPr>
      <w:bookmarkStart w:name="_bookmark89" w:id="91"/>
      <w:bookmarkEnd w:id="91"/>
      <w:r>
        <w:rPr/>
      </w:r>
      <w:r>
        <w:rPr>
          <w:rFonts w:ascii="Georgia" w:hAnsi="Georgia"/>
          <w:color w:val="231F20"/>
          <w:sz w:val="18"/>
        </w:rPr>
        <w:t>Активности</w:t>
      </w:r>
      <w:r>
        <w:rPr>
          <w:rFonts w:ascii="Georgia" w:hAnsi="Georgia"/>
          <w:color w:val="231F20"/>
          <w:spacing w:val="15"/>
          <w:sz w:val="18"/>
        </w:rPr>
        <w:t> </w:t>
      </w:r>
      <w:r>
        <w:rPr>
          <w:rFonts w:ascii="Georgia" w:hAnsi="Georgia"/>
          <w:color w:val="231F20"/>
          <w:sz w:val="18"/>
        </w:rPr>
        <w:t>межкультурного</w:t>
      </w:r>
      <w:r>
        <w:rPr>
          <w:rFonts w:ascii="Georgia" w:hAnsi="Georgia"/>
          <w:color w:val="231F20"/>
          <w:spacing w:val="15"/>
          <w:sz w:val="18"/>
        </w:rPr>
        <w:t> </w:t>
      </w:r>
      <w:r>
        <w:rPr>
          <w:rFonts w:ascii="Georgia" w:hAnsi="Georgia"/>
          <w:color w:val="231F20"/>
          <w:sz w:val="18"/>
        </w:rPr>
        <w:t>тренинга</w:t>
      </w:r>
      <w:r>
        <w:rPr>
          <w:rFonts w:ascii="Georgia" w:hAnsi="Georgia"/>
          <w:color w:val="231F20"/>
          <w:spacing w:val="16"/>
          <w:sz w:val="18"/>
        </w:rPr>
        <w:t> </w:t>
      </w:r>
      <w:r>
        <w:rPr>
          <w:rFonts w:ascii="Georgia" w:hAnsi="Georgia"/>
          <w:color w:val="231F20"/>
          <w:sz w:val="18"/>
        </w:rPr>
        <w:t>для</w:t>
      </w:r>
      <w:r>
        <w:rPr>
          <w:rFonts w:ascii="Georgia" w:hAnsi="Georgia"/>
          <w:color w:val="231F20"/>
          <w:spacing w:val="15"/>
          <w:sz w:val="18"/>
        </w:rPr>
        <w:t> </w:t>
      </w:r>
      <w:r>
        <w:rPr>
          <w:rFonts w:ascii="Georgia" w:hAnsi="Georgia"/>
          <w:color w:val="231F20"/>
          <w:sz w:val="18"/>
        </w:rPr>
        <w:t>поликультурного</w:t>
      </w:r>
      <w:r>
        <w:rPr>
          <w:rFonts w:ascii="Georgia" w:hAnsi="Georgia"/>
          <w:color w:val="231F20"/>
          <w:spacing w:val="16"/>
          <w:sz w:val="18"/>
        </w:rPr>
        <w:t> </w:t>
      </w:r>
      <w:r>
        <w:rPr>
          <w:rFonts w:ascii="Georgia" w:hAnsi="Georgia"/>
          <w:color w:val="231F20"/>
          <w:spacing w:val="-2"/>
          <w:sz w:val="18"/>
        </w:rPr>
        <w:t>класса</w:t>
      </w:r>
    </w:p>
    <w:p>
      <w:pPr>
        <w:numPr>
          <w:ilvl w:val="2"/>
          <w:numId w:val="264"/>
        </w:numPr>
        <w:tabs>
          <w:tab w:pos="2733" w:val="left" w:leader="none"/>
        </w:tabs>
        <w:spacing w:line="235" w:lineRule="auto" w:before="113"/>
        <w:ind w:left="1185" w:right="1183" w:firstLine="1048"/>
        <w:jc w:val="left"/>
        <w:rPr>
          <w:b/>
          <w:sz w:val="20"/>
        </w:rPr>
      </w:pPr>
      <w:r>
        <w:rPr>
          <w:b/>
          <w:color w:val="231F20"/>
          <w:sz w:val="20"/>
        </w:rPr>
        <w:t>Тематические активности 1. Понимание</w:t>
      </w:r>
      <w:r>
        <w:rPr>
          <w:b/>
          <w:color w:val="231F20"/>
          <w:spacing w:val="-13"/>
          <w:sz w:val="20"/>
        </w:rPr>
        <w:t> </w:t>
      </w:r>
      <w:r>
        <w:rPr>
          <w:b/>
          <w:color w:val="231F20"/>
          <w:sz w:val="20"/>
        </w:rPr>
        <w:t>культурных</w:t>
      </w:r>
      <w:r>
        <w:rPr>
          <w:b/>
          <w:color w:val="231F20"/>
          <w:spacing w:val="-12"/>
          <w:sz w:val="20"/>
        </w:rPr>
        <w:t> </w:t>
      </w:r>
      <w:r>
        <w:rPr>
          <w:b/>
          <w:color w:val="231F20"/>
          <w:sz w:val="20"/>
        </w:rPr>
        <w:t>различий</w:t>
      </w:r>
      <w:r>
        <w:rPr>
          <w:b/>
          <w:color w:val="231F20"/>
          <w:spacing w:val="-13"/>
          <w:sz w:val="20"/>
        </w:rPr>
        <w:t> </w:t>
      </w:r>
      <w:r>
        <w:rPr>
          <w:b/>
          <w:color w:val="231F20"/>
          <w:sz w:val="20"/>
        </w:rPr>
        <w:t>и</w:t>
      </w:r>
      <w:r>
        <w:rPr>
          <w:b/>
          <w:color w:val="231F20"/>
          <w:spacing w:val="-12"/>
          <w:sz w:val="20"/>
        </w:rPr>
        <w:t> </w:t>
      </w:r>
      <w:r>
        <w:rPr>
          <w:b/>
          <w:color w:val="231F20"/>
          <w:sz w:val="20"/>
        </w:rPr>
        <w:t>ценностей</w:t>
      </w:r>
      <w:r>
        <w:rPr>
          <w:b/>
          <w:color w:val="231F20"/>
          <w:spacing w:val="-13"/>
          <w:sz w:val="20"/>
        </w:rPr>
        <w:t> </w:t>
      </w:r>
      <w:r>
        <w:rPr>
          <w:b/>
          <w:color w:val="231F20"/>
          <w:sz w:val="20"/>
        </w:rPr>
        <w:t>культуры</w:t>
      </w:r>
    </w:p>
    <w:p>
      <w:pPr>
        <w:spacing w:before="102"/>
        <w:ind w:left="3187" w:right="0" w:firstLine="0"/>
        <w:jc w:val="left"/>
        <w:rPr>
          <w:b/>
          <w:sz w:val="20"/>
        </w:rPr>
      </w:pPr>
      <w:r>
        <w:rPr>
          <w:b/>
          <w:spacing w:val="-2"/>
          <w:sz w:val="20"/>
        </w:rPr>
        <w:t>«Открытки»</w:t>
      </w:r>
    </w:p>
    <w:p>
      <w:pPr>
        <w:spacing w:before="102"/>
        <w:ind w:left="3872" w:right="0" w:firstLine="0"/>
        <w:jc w:val="left"/>
        <w:rPr>
          <w:i/>
          <w:sz w:val="20"/>
        </w:rPr>
      </w:pPr>
      <w:r>
        <w:rPr>
          <w:b/>
          <w:i/>
          <w:sz w:val="20"/>
        </w:rPr>
        <w:t>Источник</w:t>
      </w:r>
      <w:r>
        <w:rPr>
          <w:i/>
          <w:sz w:val="20"/>
        </w:rPr>
        <w:t>:</w:t>
      </w:r>
      <w:r>
        <w:rPr>
          <w:i/>
          <w:spacing w:val="-6"/>
          <w:sz w:val="20"/>
        </w:rPr>
        <w:t> </w:t>
      </w:r>
      <w:r>
        <w:rPr>
          <w:i/>
          <w:sz w:val="20"/>
        </w:rPr>
        <w:t>разработка</w:t>
      </w:r>
      <w:r>
        <w:rPr>
          <w:i/>
          <w:spacing w:val="-6"/>
          <w:sz w:val="20"/>
        </w:rPr>
        <w:t> </w:t>
      </w:r>
      <w:r>
        <w:rPr>
          <w:i/>
          <w:sz w:val="20"/>
        </w:rPr>
        <w:t>М.Ю.</w:t>
      </w:r>
      <w:r>
        <w:rPr>
          <w:i/>
          <w:spacing w:val="-6"/>
          <w:sz w:val="20"/>
        </w:rPr>
        <w:t> </w:t>
      </w:r>
      <w:r>
        <w:rPr>
          <w:i/>
          <w:spacing w:val="-2"/>
          <w:sz w:val="20"/>
        </w:rPr>
        <w:t>Чибисовой</w:t>
      </w:r>
    </w:p>
    <w:p>
      <w:pPr>
        <w:pStyle w:val="BodyText"/>
        <w:spacing w:line="228" w:lineRule="auto" w:before="111"/>
        <w:ind w:right="140"/>
      </w:pPr>
      <w:r>
        <w:rPr/>
        <w:t>Необходимы</w:t>
      </w:r>
      <w:r>
        <w:rPr>
          <w:spacing w:val="-13"/>
        </w:rPr>
        <w:t> </w:t>
      </w:r>
      <w:r>
        <w:rPr/>
        <w:t>следующие</w:t>
      </w:r>
      <w:r>
        <w:rPr>
          <w:spacing w:val="-12"/>
        </w:rPr>
        <w:t> </w:t>
      </w:r>
      <w:r>
        <w:rPr/>
        <w:t>м</w:t>
      </w:r>
      <w:r>
        <w:rPr>
          <w:i/>
        </w:rPr>
        <w:t>атериалы:</w:t>
      </w:r>
      <w:r>
        <w:rPr>
          <w:i/>
          <w:spacing w:val="-13"/>
        </w:rPr>
        <w:t> </w:t>
      </w:r>
      <w:r>
        <w:rPr/>
        <w:t>набор</w:t>
      </w:r>
      <w:r>
        <w:rPr>
          <w:spacing w:val="-12"/>
        </w:rPr>
        <w:t> </w:t>
      </w:r>
      <w:r>
        <w:rPr/>
        <w:t>открыток</w:t>
      </w:r>
      <w:r>
        <w:rPr>
          <w:spacing w:val="-13"/>
        </w:rPr>
        <w:t> </w:t>
      </w:r>
      <w:r>
        <w:rPr/>
        <w:t>или</w:t>
      </w:r>
      <w:r>
        <w:rPr>
          <w:spacing w:val="-12"/>
        </w:rPr>
        <w:t> </w:t>
      </w:r>
      <w:r>
        <w:rPr/>
        <w:t>картинок</w:t>
      </w:r>
      <w:r>
        <w:rPr>
          <w:spacing w:val="-13"/>
        </w:rPr>
        <w:t> </w:t>
      </w:r>
      <w:r>
        <w:rPr/>
        <w:t>с</w:t>
      </w:r>
      <w:r>
        <w:rPr>
          <w:spacing w:val="-12"/>
        </w:rPr>
        <w:t> </w:t>
      </w:r>
      <w:r>
        <w:rPr/>
        <w:t>различными изображениями (пейзажи, открытки с изображением городов, стран, людей и пр.).</w:t>
      </w:r>
    </w:p>
    <w:p>
      <w:pPr>
        <w:pStyle w:val="BodyText"/>
        <w:spacing w:line="228" w:lineRule="auto"/>
      </w:pPr>
      <w:r>
        <w:rPr/>
        <w:t>В зависимости от количества участников его можно проводить фронтально или</w:t>
      </w:r>
      <w:r>
        <w:rPr>
          <w:spacing w:val="80"/>
        </w:rPr>
        <w:t> </w:t>
      </w:r>
      <w:r>
        <w:rPr/>
        <w:t>в малых группах. Если упражнение проводится фронтально, ведущий раскладывает открытки в произвольном порядке на столе. Если в группах – каждой группе надо предоставить свой набор открыток.</w:t>
      </w:r>
    </w:p>
    <w:p>
      <w:pPr>
        <w:spacing w:line="213" w:lineRule="exact" w:before="0"/>
        <w:ind w:left="425" w:right="0" w:firstLine="0"/>
        <w:jc w:val="both"/>
        <w:rPr>
          <w:b/>
          <w:sz w:val="20"/>
        </w:rPr>
      </w:pPr>
      <w:r>
        <w:rPr>
          <w:b/>
          <w:sz w:val="20"/>
        </w:rPr>
        <w:t>Инструкция</w:t>
      </w:r>
      <w:r>
        <w:rPr>
          <w:b/>
          <w:spacing w:val="-2"/>
          <w:sz w:val="20"/>
        </w:rPr>
        <w:t> </w:t>
      </w:r>
      <w:r>
        <w:rPr>
          <w:b/>
          <w:sz w:val="20"/>
        </w:rPr>
        <w:t>для</w:t>
      </w:r>
      <w:r>
        <w:rPr>
          <w:b/>
          <w:spacing w:val="-2"/>
          <w:sz w:val="20"/>
        </w:rPr>
        <w:t> участников</w:t>
      </w:r>
    </w:p>
    <w:p>
      <w:pPr>
        <w:spacing w:line="228" w:lineRule="auto" w:before="2"/>
        <w:ind w:left="141" w:right="139" w:firstLine="283"/>
        <w:jc w:val="both"/>
        <w:rPr>
          <w:i/>
          <w:sz w:val="20"/>
        </w:rPr>
      </w:pPr>
      <w:r>
        <w:rPr>
          <w:sz w:val="20"/>
        </w:rPr>
        <w:t>Вариант</w:t>
      </w:r>
      <w:r>
        <w:rPr>
          <w:spacing w:val="-12"/>
          <w:sz w:val="20"/>
        </w:rPr>
        <w:t> </w:t>
      </w:r>
      <w:r>
        <w:rPr>
          <w:sz w:val="20"/>
        </w:rPr>
        <w:t>1.</w:t>
      </w:r>
      <w:r>
        <w:rPr>
          <w:spacing w:val="-12"/>
          <w:sz w:val="20"/>
        </w:rPr>
        <w:t> </w:t>
      </w:r>
      <w:r>
        <w:rPr>
          <w:i/>
          <w:sz w:val="20"/>
        </w:rPr>
        <w:t>Перед</w:t>
      </w:r>
      <w:r>
        <w:rPr>
          <w:i/>
          <w:spacing w:val="-12"/>
          <w:sz w:val="20"/>
        </w:rPr>
        <w:t> </w:t>
      </w:r>
      <w:r>
        <w:rPr>
          <w:i/>
          <w:sz w:val="20"/>
        </w:rPr>
        <w:t>вами</w:t>
      </w:r>
      <w:r>
        <w:rPr>
          <w:i/>
          <w:spacing w:val="-12"/>
          <w:sz w:val="20"/>
        </w:rPr>
        <w:t> </w:t>
      </w:r>
      <w:r>
        <w:rPr>
          <w:i/>
          <w:sz w:val="20"/>
        </w:rPr>
        <w:t>–</w:t>
      </w:r>
      <w:r>
        <w:rPr>
          <w:i/>
          <w:spacing w:val="-12"/>
          <w:sz w:val="20"/>
        </w:rPr>
        <w:t> </w:t>
      </w:r>
      <w:r>
        <w:rPr>
          <w:i/>
          <w:sz w:val="20"/>
        </w:rPr>
        <w:t>набор</w:t>
      </w:r>
      <w:r>
        <w:rPr>
          <w:i/>
          <w:spacing w:val="-12"/>
          <w:sz w:val="20"/>
        </w:rPr>
        <w:t> </w:t>
      </w:r>
      <w:r>
        <w:rPr>
          <w:i/>
          <w:sz w:val="20"/>
        </w:rPr>
        <w:t>открыток.</w:t>
      </w:r>
      <w:r>
        <w:rPr>
          <w:i/>
          <w:spacing w:val="-12"/>
          <w:sz w:val="20"/>
        </w:rPr>
        <w:t> </w:t>
      </w:r>
      <w:r>
        <w:rPr>
          <w:i/>
          <w:sz w:val="20"/>
        </w:rPr>
        <w:t>Выберите</w:t>
      </w:r>
      <w:r>
        <w:rPr>
          <w:i/>
          <w:spacing w:val="-12"/>
          <w:sz w:val="20"/>
        </w:rPr>
        <w:t> </w:t>
      </w:r>
      <w:r>
        <w:rPr>
          <w:i/>
          <w:sz w:val="20"/>
        </w:rPr>
        <w:t>одну</w:t>
      </w:r>
      <w:r>
        <w:rPr>
          <w:i/>
          <w:spacing w:val="-12"/>
          <w:sz w:val="20"/>
        </w:rPr>
        <w:t> </w:t>
      </w:r>
      <w:r>
        <w:rPr>
          <w:i/>
          <w:sz w:val="20"/>
        </w:rPr>
        <w:t>открытку,</w:t>
      </w:r>
      <w:r>
        <w:rPr>
          <w:i/>
          <w:spacing w:val="-12"/>
          <w:sz w:val="20"/>
        </w:rPr>
        <w:t> </w:t>
      </w:r>
      <w:r>
        <w:rPr>
          <w:i/>
          <w:sz w:val="20"/>
        </w:rPr>
        <w:t>на</w:t>
      </w:r>
      <w:r>
        <w:rPr>
          <w:i/>
          <w:spacing w:val="-12"/>
          <w:sz w:val="20"/>
        </w:rPr>
        <w:t> </w:t>
      </w:r>
      <w:r>
        <w:rPr>
          <w:i/>
          <w:sz w:val="20"/>
        </w:rPr>
        <w:t>которой изображено</w:t>
      </w:r>
      <w:r>
        <w:rPr>
          <w:i/>
          <w:spacing w:val="-4"/>
          <w:sz w:val="20"/>
        </w:rPr>
        <w:t> </w:t>
      </w:r>
      <w:r>
        <w:rPr>
          <w:i/>
          <w:sz w:val="20"/>
        </w:rPr>
        <w:t>нечто,</w:t>
      </w:r>
      <w:r>
        <w:rPr>
          <w:i/>
          <w:spacing w:val="-4"/>
          <w:sz w:val="20"/>
        </w:rPr>
        <w:t> </w:t>
      </w:r>
      <w:r>
        <w:rPr>
          <w:i/>
          <w:sz w:val="20"/>
        </w:rPr>
        <w:t>что</w:t>
      </w:r>
      <w:r>
        <w:rPr>
          <w:i/>
          <w:spacing w:val="-4"/>
          <w:sz w:val="20"/>
        </w:rPr>
        <w:t> </w:t>
      </w:r>
      <w:r>
        <w:rPr>
          <w:i/>
          <w:sz w:val="20"/>
        </w:rPr>
        <w:t>вам</w:t>
      </w:r>
      <w:r>
        <w:rPr>
          <w:i/>
          <w:spacing w:val="-4"/>
          <w:sz w:val="20"/>
        </w:rPr>
        <w:t> </w:t>
      </w:r>
      <w:r>
        <w:rPr>
          <w:i/>
          <w:sz w:val="20"/>
        </w:rPr>
        <w:t>кажется</w:t>
      </w:r>
      <w:r>
        <w:rPr>
          <w:i/>
          <w:spacing w:val="-4"/>
          <w:sz w:val="20"/>
        </w:rPr>
        <w:t> </w:t>
      </w:r>
      <w:r>
        <w:rPr>
          <w:i/>
          <w:sz w:val="20"/>
        </w:rPr>
        <w:t>своим,</w:t>
      </w:r>
      <w:r>
        <w:rPr>
          <w:i/>
          <w:spacing w:val="-4"/>
          <w:sz w:val="20"/>
        </w:rPr>
        <w:t> </w:t>
      </w:r>
      <w:r>
        <w:rPr>
          <w:i/>
          <w:sz w:val="20"/>
        </w:rPr>
        <w:t>родным,</w:t>
      </w:r>
      <w:r>
        <w:rPr>
          <w:i/>
          <w:spacing w:val="-4"/>
          <w:sz w:val="20"/>
        </w:rPr>
        <w:t> </w:t>
      </w:r>
      <w:r>
        <w:rPr>
          <w:i/>
          <w:sz w:val="20"/>
        </w:rPr>
        <w:t>близким,</w:t>
      </w:r>
      <w:r>
        <w:rPr>
          <w:i/>
          <w:spacing w:val="-4"/>
          <w:sz w:val="20"/>
        </w:rPr>
        <w:t> </w:t>
      </w:r>
      <w:r>
        <w:rPr>
          <w:i/>
          <w:sz w:val="20"/>
        </w:rPr>
        <w:t>и</w:t>
      </w:r>
      <w:r>
        <w:rPr>
          <w:i/>
          <w:spacing w:val="-4"/>
          <w:sz w:val="20"/>
        </w:rPr>
        <w:t> </w:t>
      </w:r>
      <w:r>
        <w:rPr>
          <w:i/>
          <w:sz w:val="20"/>
        </w:rPr>
        <w:t>одну</w:t>
      </w:r>
      <w:r>
        <w:rPr>
          <w:i/>
          <w:spacing w:val="-4"/>
          <w:sz w:val="20"/>
        </w:rPr>
        <w:t> </w:t>
      </w:r>
      <w:r>
        <w:rPr>
          <w:i/>
          <w:sz w:val="20"/>
        </w:rPr>
        <w:t>открытку,</w:t>
      </w:r>
      <w:r>
        <w:rPr>
          <w:i/>
          <w:spacing w:val="-4"/>
          <w:sz w:val="20"/>
        </w:rPr>
        <w:t> </w:t>
      </w:r>
      <w:r>
        <w:rPr>
          <w:i/>
          <w:sz w:val="20"/>
        </w:rPr>
        <w:t>на которой изображено нечто, что вам кажется чужим, далеким или непонятным.</w:t>
      </w:r>
    </w:p>
    <w:p>
      <w:pPr>
        <w:spacing w:line="228" w:lineRule="auto" w:before="0"/>
        <w:ind w:left="141" w:right="139" w:firstLine="283"/>
        <w:jc w:val="both"/>
        <w:rPr>
          <w:i/>
          <w:sz w:val="20"/>
        </w:rPr>
      </w:pPr>
      <w:r>
        <w:rPr>
          <w:sz w:val="20"/>
        </w:rPr>
        <w:t>Вариант 2</w:t>
      </w:r>
      <w:r>
        <w:rPr>
          <w:i/>
          <w:sz w:val="20"/>
        </w:rPr>
        <w:t>. Перед вами – набор открыток. Представьте себе, что с помощью этих открыток вам нужно оформить выставку, которая называется «На пере- крестке</w:t>
      </w:r>
      <w:r>
        <w:rPr>
          <w:i/>
          <w:spacing w:val="-10"/>
          <w:sz w:val="20"/>
        </w:rPr>
        <w:t> </w:t>
      </w:r>
      <w:r>
        <w:rPr>
          <w:i/>
          <w:sz w:val="20"/>
        </w:rPr>
        <w:t>культур».</w:t>
      </w:r>
      <w:r>
        <w:rPr>
          <w:i/>
          <w:spacing w:val="-10"/>
          <w:sz w:val="20"/>
        </w:rPr>
        <w:t> </w:t>
      </w:r>
      <w:r>
        <w:rPr>
          <w:i/>
          <w:sz w:val="20"/>
        </w:rPr>
        <w:t>К</w:t>
      </w:r>
      <w:r>
        <w:rPr>
          <w:i/>
          <w:spacing w:val="-10"/>
          <w:sz w:val="20"/>
        </w:rPr>
        <w:t> </w:t>
      </w:r>
      <w:r>
        <w:rPr>
          <w:i/>
          <w:sz w:val="20"/>
        </w:rPr>
        <w:t>сожалению,</w:t>
      </w:r>
      <w:r>
        <w:rPr>
          <w:i/>
          <w:spacing w:val="-10"/>
          <w:sz w:val="20"/>
        </w:rPr>
        <w:t> </w:t>
      </w:r>
      <w:r>
        <w:rPr>
          <w:i/>
          <w:sz w:val="20"/>
        </w:rPr>
        <w:t>количество</w:t>
      </w:r>
      <w:r>
        <w:rPr>
          <w:i/>
          <w:spacing w:val="-10"/>
          <w:sz w:val="20"/>
        </w:rPr>
        <w:t> </w:t>
      </w:r>
      <w:r>
        <w:rPr>
          <w:i/>
          <w:sz w:val="20"/>
        </w:rPr>
        <w:t>экспонатов</w:t>
      </w:r>
      <w:r>
        <w:rPr>
          <w:i/>
          <w:spacing w:val="-10"/>
          <w:sz w:val="20"/>
        </w:rPr>
        <w:t> </w:t>
      </w:r>
      <w:r>
        <w:rPr>
          <w:i/>
          <w:sz w:val="20"/>
        </w:rPr>
        <w:t>ограничено,</w:t>
      </w:r>
      <w:r>
        <w:rPr>
          <w:i/>
          <w:spacing w:val="-10"/>
          <w:sz w:val="20"/>
        </w:rPr>
        <w:t> </w:t>
      </w:r>
      <w:r>
        <w:rPr>
          <w:i/>
          <w:sz w:val="20"/>
        </w:rPr>
        <w:t>поэтому</w:t>
      </w:r>
      <w:r>
        <w:rPr>
          <w:i/>
          <w:spacing w:val="-9"/>
          <w:sz w:val="20"/>
        </w:rPr>
        <w:t> </w:t>
      </w:r>
      <w:r>
        <w:rPr>
          <w:i/>
          <w:sz w:val="20"/>
        </w:rPr>
        <w:t>каж- дый из вас может выбрать не больше двух открыток.</w:t>
      </w:r>
    </w:p>
    <w:p>
      <w:pPr>
        <w:pStyle w:val="BodyText"/>
        <w:spacing w:line="228" w:lineRule="auto"/>
      </w:pPr>
      <w:r>
        <w:rPr/>
        <w:t>После</w:t>
      </w:r>
      <w:r>
        <w:rPr>
          <w:spacing w:val="-13"/>
        </w:rPr>
        <w:t> </w:t>
      </w:r>
      <w:r>
        <w:rPr/>
        <w:t>того</w:t>
      </w:r>
      <w:r>
        <w:rPr>
          <w:spacing w:val="-12"/>
        </w:rPr>
        <w:t> </w:t>
      </w:r>
      <w:r>
        <w:rPr/>
        <w:t>как</w:t>
      </w:r>
      <w:r>
        <w:rPr>
          <w:spacing w:val="-13"/>
        </w:rPr>
        <w:t> </w:t>
      </w:r>
      <w:r>
        <w:rPr/>
        <w:t>все</w:t>
      </w:r>
      <w:r>
        <w:rPr>
          <w:spacing w:val="-12"/>
        </w:rPr>
        <w:t> </w:t>
      </w:r>
      <w:r>
        <w:rPr/>
        <w:t>сделали</w:t>
      </w:r>
      <w:r>
        <w:rPr>
          <w:spacing w:val="-13"/>
        </w:rPr>
        <w:t> </w:t>
      </w:r>
      <w:r>
        <w:rPr/>
        <w:t>свой</w:t>
      </w:r>
      <w:r>
        <w:rPr>
          <w:spacing w:val="-12"/>
        </w:rPr>
        <w:t> </w:t>
      </w:r>
      <w:r>
        <w:rPr/>
        <w:t>выбор,</w:t>
      </w:r>
      <w:r>
        <w:rPr>
          <w:spacing w:val="-13"/>
        </w:rPr>
        <w:t> </w:t>
      </w:r>
      <w:r>
        <w:rPr/>
        <w:t>ведущий</w:t>
      </w:r>
      <w:r>
        <w:rPr>
          <w:spacing w:val="-12"/>
        </w:rPr>
        <w:t> </w:t>
      </w:r>
      <w:r>
        <w:rPr/>
        <w:t>просит</w:t>
      </w:r>
      <w:r>
        <w:rPr>
          <w:spacing w:val="-13"/>
        </w:rPr>
        <w:t> </w:t>
      </w:r>
      <w:r>
        <w:rPr/>
        <w:t>участников</w:t>
      </w:r>
      <w:r>
        <w:rPr>
          <w:spacing w:val="-12"/>
        </w:rPr>
        <w:t> </w:t>
      </w:r>
      <w:r>
        <w:rPr/>
        <w:t>показать</w:t>
      </w:r>
      <w:r>
        <w:rPr>
          <w:spacing w:val="-13"/>
        </w:rPr>
        <w:t> </w:t>
      </w:r>
      <w:r>
        <w:rPr/>
        <w:t>друг другу, какие именно открытки они выбрали, и прокомментировать свой выбор, объ- яснить,</w:t>
      </w:r>
      <w:r>
        <w:rPr>
          <w:spacing w:val="-11"/>
        </w:rPr>
        <w:t> </w:t>
      </w:r>
      <w:r>
        <w:rPr/>
        <w:t>почему</w:t>
      </w:r>
      <w:r>
        <w:rPr>
          <w:spacing w:val="-11"/>
        </w:rPr>
        <w:t> </w:t>
      </w:r>
      <w:r>
        <w:rPr/>
        <w:t>выбраны</w:t>
      </w:r>
      <w:r>
        <w:rPr>
          <w:spacing w:val="-11"/>
        </w:rPr>
        <w:t> </w:t>
      </w:r>
      <w:r>
        <w:rPr/>
        <w:t>именно</w:t>
      </w:r>
      <w:r>
        <w:rPr>
          <w:spacing w:val="-11"/>
        </w:rPr>
        <w:t> </w:t>
      </w:r>
      <w:r>
        <w:rPr/>
        <w:t>эти</w:t>
      </w:r>
      <w:r>
        <w:rPr>
          <w:spacing w:val="-11"/>
        </w:rPr>
        <w:t> </w:t>
      </w:r>
      <w:r>
        <w:rPr/>
        <w:t>картинки.</w:t>
      </w:r>
      <w:r>
        <w:rPr>
          <w:spacing w:val="-11"/>
        </w:rPr>
        <w:t> </w:t>
      </w:r>
      <w:r>
        <w:rPr/>
        <w:t>Все</w:t>
      </w:r>
      <w:r>
        <w:rPr>
          <w:spacing w:val="-11"/>
        </w:rPr>
        <w:t> </w:t>
      </w:r>
      <w:r>
        <w:rPr/>
        <w:t>выбранные</w:t>
      </w:r>
      <w:r>
        <w:rPr>
          <w:spacing w:val="-11"/>
        </w:rPr>
        <w:t> </w:t>
      </w:r>
      <w:r>
        <w:rPr/>
        <w:t>открытки</w:t>
      </w:r>
      <w:r>
        <w:rPr>
          <w:spacing w:val="-11"/>
        </w:rPr>
        <w:t> </w:t>
      </w:r>
      <w:r>
        <w:rPr/>
        <w:t>необходимо прикрепить на доску.</w:t>
      </w:r>
    </w:p>
    <w:p>
      <w:pPr>
        <w:pStyle w:val="BodyText"/>
        <w:spacing w:line="228" w:lineRule="auto"/>
      </w:pPr>
      <w:r>
        <w:rPr/>
        <w:t>После завершения упражнения ведущий обращает внимание участников на от- крытки и спрашивает:</w:t>
      </w:r>
    </w:p>
    <w:p>
      <w:pPr>
        <w:spacing w:line="228" w:lineRule="auto" w:before="0"/>
        <w:ind w:left="141" w:right="139" w:firstLine="283"/>
        <w:jc w:val="both"/>
        <w:rPr>
          <w:i/>
          <w:sz w:val="20"/>
        </w:rPr>
      </w:pPr>
      <w:r>
        <w:rPr>
          <w:i/>
          <w:sz w:val="20"/>
        </w:rPr>
        <w:t>– Как вы думаете, что общего в этих открытках? На какие различия мы с вами обратили внимание? Что из них можно отнести к культурным различиям?</w:t>
      </w:r>
    </w:p>
    <w:p>
      <w:pPr>
        <w:spacing w:before="97"/>
        <w:ind w:left="303" w:right="303" w:firstLine="0"/>
        <w:jc w:val="center"/>
        <w:rPr>
          <w:b/>
          <w:sz w:val="20"/>
        </w:rPr>
      </w:pPr>
      <w:r>
        <w:rPr>
          <w:b/>
          <w:spacing w:val="-2"/>
          <w:sz w:val="20"/>
        </w:rPr>
        <w:t>«Коллаж»</w:t>
      </w:r>
    </w:p>
    <w:p>
      <w:pPr>
        <w:spacing w:before="101"/>
        <w:ind w:left="2471" w:right="14" w:firstLine="0"/>
        <w:jc w:val="center"/>
        <w:rPr>
          <w:i/>
          <w:sz w:val="20"/>
        </w:rPr>
      </w:pPr>
      <w:r>
        <w:rPr>
          <w:b/>
          <w:i/>
          <w:sz w:val="20"/>
        </w:rPr>
        <w:t>Источник</w:t>
      </w:r>
      <w:r>
        <w:rPr>
          <w:i/>
          <w:sz w:val="20"/>
        </w:rPr>
        <w:t>:</w:t>
      </w:r>
      <w:r>
        <w:rPr>
          <w:i/>
          <w:spacing w:val="-6"/>
          <w:sz w:val="20"/>
        </w:rPr>
        <w:t> </w:t>
      </w:r>
      <w:r>
        <w:rPr>
          <w:i/>
          <w:sz w:val="20"/>
        </w:rPr>
        <w:t>разработка</w:t>
      </w:r>
      <w:r>
        <w:rPr>
          <w:i/>
          <w:spacing w:val="-5"/>
          <w:sz w:val="20"/>
        </w:rPr>
        <w:t> </w:t>
      </w:r>
      <w:r>
        <w:rPr>
          <w:i/>
          <w:sz w:val="20"/>
        </w:rPr>
        <w:t>М.Ю.</w:t>
      </w:r>
      <w:r>
        <w:rPr>
          <w:i/>
          <w:spacing w:val="-6"/>
          <w:sz w:val="20"/>
        </w:rPr>
        <w:t> </w:t>
      </w:r>
      <w:r>
        <w:rPr>
          <w:i/>
          <w:sz w:val="20"/>
        </w:rPr>
        <w:t>Чибисовой,</w:t>
      </w:r>
      <w:r>
        <w:rPr>
          <w:i/>
          <w:spacing w:val="-5"/>
          <w:sz w:val="20"/>
        </w:rPr>
        <w:t> </w:t>
      </w:r>
      <w:r>
        <w:rPr>
          <w:i/>
          <w:sz w:val="20"/>
        </w:rPr>
        <w:t>О.Е.</w:t>
      </w:r>
      <w:r>
        <w:rPr>
          <w:i/>
          <w:spacing w:val="-5"/>
          <w:sz w:val="20"/>
        </w:rPr>
        <w:t> </w:t>
      </w:r>
      <w:r>
        <w:rPr>
          <w:i/>
          <w:spacing w:val="-2"/>
          <w:sz w:val="20"/>
        </w:rPr>
        <w:t>Хухлаева</w:t>
      </w:r>
    </w:p>
    <w:p>
      <w:pPr>
        <w:pStyle w:val="BodyText"/>
        <w:spacing w:line="228" w:lineRule="auto" w:before="111"/>
      </w:pPr>
      <w:r>
        <w:rPr/>
        <w:t>М</w:t>
      </w:r>
      <w:r>
        <w:rPr>
          <w:i/>
        </w:rPr>
        <w:t>атериалы: </w:t>
      </w:r>
      <w:r>
        <w:rPr/>
        <w:t>цветные иллюстрированные журналы, ножницы (4–5 штук), клея- щие карандаши (4–5 штук), картон формата А5 (половина альбомного листа).</w:t>
      </w:r>
    </w:p>
    <w:p>
      <w:pPr>
        <w:pStyle w:val="BodyText"/>
        <w:spacing w:line="228" w:lineRule="auto"/>
      </w:pPr>
      <w:r>
        <w:rPr/>
        <w:t>Упражнение выполняется в группах или парах, в зависимости от количества </w:t>
      </w:r>
      <w:r>
        <w:rPr>
          <w:spacing w:val="-2"/>
        </w:rPr>
        <w:t>участников.</w:t>
      </w:r>
    </w:p>
    <w:p>
      <w:pPr>
        <w:spacing w:line="214" w:lineRule="exact" w:before="0"/>
        <w:ind w:left="425" w:right="0" w:firstLine="0"/>
        <w:jc w:val="both"/>
        <w:rPr>
          <w:b/>
          <w:sz w:val="20"/>
        </w:rPr>
      </w:pPr>
      <w:r>
        <w:rPr>
          <w:b/>
          <w:sz w:val="20"/>
        </w:rPr>
        <w:t>Инструкция</w:t>
      </w:r>
      <w:r>
        <w:rPr>
          <w:b/>
          <w:spacing w:val="-2"/>
          <w:sz w:val="20"/>
        </w:rPr>
        <w:t> </w:t>
      </w:r>
      <w:r>
        <w:rPr>
          <w:b/>
          <w:sz w:val="20"/>
        </w:rPr>
        <w:t>для</w:t>
      </w:r>
      <w:r>
        <w:rPr>
          <w:b/>
          <w:spacing w:val="-2"/>
          <w:sz w:val="20"/>
        </w:rPr>
        <w:t> участников</w:t>
      </w:r>
    </w:p>
    <w:p>
      <w:pPr>
        <w:spacing w:line="228" w:lineRule="auto" w:before="2"/>
        <w:ind w:left="141" w:right="139" w:firstLine="283"/>
        <w:jc w:val="both"/>
        <w:rPr>
          <w:i/>
          <w:sz w:val="20"/>
        </w:rPr>
      </w:pPr>
      <w:r>
        <w:rPr>
          <w:i/>
          <w:sz w:val="20"/>
        </w:rPr>
        <w:t>–</w:t>
      </w:r>
      <w:r>
        <w:rPr>
          <w:i/>
          <w:spacing w:val="-4"/>
          <w:sz w:val="20"/>
        </w:rPr>
        <w:t> </w:t>
      </w:r>
      <w:r>
        <w:rPr>
          <w:i/>
          <w:sz w:val="20"/>
        </w:rPr>
        <w:t>Представьте</w:t>
      </w:r>
      <w:r>
        <w:rPr>
          <w:i/>
          <w:spacing w:val="-4"/>
          <w:sz w:val="20"/>
        </w:rPr>
        <w:t> </w:t>
      </w:r>
      <w:r>
        <w:rPr>
          <w:i/>
          <w:sz w:val="20"/>
        </w:rPr>
        <w:t>себе,</w:t>
      </w:r>
      <w:r>
        <w:rPr>
          <w:i/>
          <w:spacing w:val="-4"/>
          <w:sz w:val="20"/>
        </w:rPr>
        <w:t> </w:t>
      </w:r>
      <w:r>
        <w:rPr>
          <w:i/>
          <w:sz w:val="20"/>
        </w:rPr>
        <w:t>что</w:t>
      </w:r>
      <w:r>
        <w:rPr>
          <w:i/>
          <w:spacing w:val="-4"/>
          <w:sz w:val="20"/>
        </w:rPr>
        <w:t> </w:t>
      </w:r>
      <w:r>
        <w:rPr>
          <w:i/>
          <w:sz w:val="20"/>
        </w:rPr>
        <w:t>вы</w:t>
      </w:r>
      <w:r>
        <w:rPr>
          <w:i/>
          <w:spacing w:val="-4"/>
          <w:sz w:val="20"/>
        </w:rPr>
        <w:t> </w:t>
      </w:r>
      <w:r>
        <w:rPr>
          <w:i/>
          <w:sz w:val="20"/>
        </w:rPr>
        <w:t>оформляете</w:t>
      </w:r>
      <w:r>
        <w:rPr>
          <w:i/>
          <w:spacing w:val="-4"/>
          <w:sz w:val="20"/>
        </w:rPr>
        <w:t> </w:t>
      </w:r>
      <w:r>
        <w:rPr>
          <w:i/>
          <w:sz w:val="20"/>
        </w:rPr>
        <w:t>выставку</w:t>
      </w:r>
      <w:r>
        <w:rPr>
          <w:i/>
          <w:spacing w:val="-4"/>
          <w:sz w:val="20"/>
        </w:rPr>
        <w:t> </w:t>
      </w:r>
      <w:r>
        <w:rPr>
          <w:i/>
          <w:sz w:val="20"/>
        </w:rPr>
        <w:t>под</w:t>
      </w:r>
      <w:r>
        <w:rPr>
          <w:i/>
          <w:spacing w:val="-4"/>
          <w:sz w:val="20"/>
        </w:rPr>
        <w:t> </w:t>
      </w:r>
      <w:r>
        <w:rPr>
          <w:i/>
          <w:sz w:val="20"/>
        </w:rPr>
        <w:t>названием</w:t>
      </w:r>
      <w:r>
        <w:rPr>
          <w:i/>
          <w:spacing w:val="-4"/>
          <w:sz w:val="20"/>
        </w:rPr>
        <w:t> </w:t>
      </w:r>
      <w:r>
        <w:rPr>
          <w:i/>
          <w:sz w:val="20"/>
        </w:rPr>
        <w:t>«Разные</w:t>
      </w:r>
      <w:r>
        <w:rPr>
          <w:i/>
          <w:spacing w:val="-4"/>
          <w:sz w:val="20"/>
        </w:rPr>
        <w:t> </w:t>
      </w:r>
      <w:r>
        <w:rPr>
          <w:i/>
          <w:sz w:val="20"/>
        </w:rPr>
        <w:t>куль- туры – разные миры». Для этой выставки вам нужно сделать коллаж. В журналах вы можете найти картинки, фотографии или фразы, которые, с вашей точки зре- ния, подходят для оформления выставки. Их нужно вырезать и приклеить на кар- тон, составив композицию.</w:t>
      </w:r>
    </w:p>
    <w:p>
      <w:pPr>
        <w:pStyle w:val="BodyText"/>
        <w:spacing w:line="228" w:lineRule="auto"/>
      </w:pPr>
      <w:r>
        <w:rPr/>
        <w:t>После</w:t>
      </w:r>
      <w:r>
        <w:rPr>
          <w:spacing w:val="-10"/>
        </w:rPr>
        <w:t> </w:t>
      </w:r>
      <w:r>
        <w:rPr/>
        <w:t>того</w:t>
      </w:r>
      <w:r>
        <w:rPr>
          <w:spacing w:val="-10"/>
        </w:rPr>
        <w:t> </w:t>
      </w:r>
      <w:r>
        <w:rPr/>
        <w:t>как</w:t>
      </w:r>
      <w:r>
        <w:rPr>
          <w:spacing w:val="-10"/>
        </w:rPr>
        <w:t> </w:t>
      </w:r>
      <w:r>
        <w:rPr/>
        <w:t>все</w:t>
      </w:r>
      <w:r>
        <w:rPr>
          <w:spacing w:val="-10"/>
        </w:rPr>
        <w:t> </w:t>
      </w:r>
      <w:r>
        <w:rPr/>
        <w:t>выполнили</w:t>
      </w:r>
      <w:r>
        <w:rPr>
          <w:spacing w:val="-10"/>
        </w:rPr>
        <w:t> </w:t>
      </w:r>
      <w:r>
        <w:rPr/>
        <w:t>задание,</w:t>
      </w:r>
      <w:r>
        <w:rPr>
          <w:spacing w:val="-10"/>
        </w:rPr>
        <w:t> </w:t>
      </w:r>
      <w:r>
        <w:rPr/>
        <w:t>каждая</w:t>
      </w:r>
      <w:r>
        <w:rPr>
          <w:spacing w:val="-10"/>
        </w:rPr>
        <w:t> </w:t>
      </w:r>
      <w:r>
        <w:rPr/>
        <w:t>группа</w:t>
      </w:r>
      <w:r>
        <w:rPr>
          <w:spacing w:val="-10"/>
        </w:rPr>
        <w:t> </w:t>
      </w:r>
      <w:r>
        <w:rPr/>
        <w:t>представляет</w:t>
      </w:r>
      <w:r>
        <w:rPr>
          <w:spacing w:val="-10"/>
        </w:rPr>
        <w:t> </w:t>
      </w:r>
      <w:r>
        <w:rPr/>
        <w:t>и</w:t>
      </w:r>
      <w:r>
        <w:rPr>
          <w:spacing w:val="-10"/>
        </w:rPr>
        <w:t> </w:t>
      </w:r>
      <w:r>
        <w:rPr/>
        <w:t>кратко</w:t>
      </w:r>
      <w:r>
        <w:rPr>
          <w:spacing w:val="-10"/>
        </w:rPr>
        <w:t> </w:t>
      </w:r>
      <w:r>
        <w:rPr/>
        <w:t>ком- ментирует свой коллаж. Готовые коллажи вывешиваются на доску.</w:t>
      </w:r>
    </w:p>
    <w:p>
      <w:pPr>
        <w:spacing w:line="214" w:lineRule="exact" w:before="0"/>
        <w:ind w:left="425" w:right="0" w:firstLine="0"/>
        <w:jc w:val="both"/>
        <w:rPr>
          <w:b/>
          <w:sz w:val="20"/>
        </w:rPr>
      </w:pPr>
      <w:r>
        <w:rPr>
          <w:b/>
          <w:spacing w:val="-2"/>
          <w:sz w:val="20"/>
        </w:rPr>
        <w:t>Методический</w:t>
      </w:r>
      <w:r>
        <w:rPr>
          <w:b/>
          <w:spacing w:val="7"/>
          <w:sz w:val="20"/>
        </w:rPr>
        <w:t> </w:t>
      </w:r>
      <w:r>
        <w:rPr>
          <w:b/>
          <w:spacing w:val="-2"/>
          <w:sz w:val="20"/>
        </w:rPr>
        <w:t>комментарий</w:t>
      </w:r>
    </w:p>
    <w:p>
      <w:pPr>
        <w:pStyle w:val="BodyText"/>
        <w:spacing w:line="228" w:lineRule="auto" w:before="1"/>
      </w:pPr>
      <w:r>
        <w:rPr/>
        <w:t>Коллаж – упражнение, очень затратное по времени. Чтобы несколько сократить продолжительность</w:t>
      </w:r>
      <w:r>
        <w:rPr>
          <w:spacing w:val="-9"/>
        </w:rPr>
        <w:t> </w:t>
      </w:r>
      <w:r>
        <w:rPr/>
        <w:t>работы,</w:t>
      </w:r>
      <w:r>
        <w:rPr>
          <w:spacing w:val="-9"/>
        </w:rPr>
        <w:t> </w:t>
      </w:r>
      <w:r>
        <w:rPr/>
        <w:t>не</w:t>
      </w:r>
      <w:r>
        <w:rPr>
          <w:spacing w:val="-9"/>
        </w:rPr>
        <w:t> </w:t>
      </w:r>
      <w:r>
        <w:rPr/>
        <w:t>нужно</w:t>
      </w:r>
      <w:r>
        <w:rPr>
          <w:spacing w:val="-9"/>
        </w:rPr>
        <w:t> </w:t>
      </w:r>
      <w:r>
        <w:rPr/>
        <w:t>давать</w:t>
      </w:r>
      <w:r>
        <w:rPr>
          <w:spacing w:val="-9"/>
        </w:rPr>
        <w:t> </w:t>
      </w:r>
      <w:r>
        <w:rPr/>
        <w:t>участникам</w:t>
      </w:r>
      <w:r>
        <w:rPr>
          <w:spacing w:val="-9"/>
        </w:rPr>
        <w:t> </w:t>
      </w:r>
      <w:r>
        <w:rPr/>
        <w:t>слишком</w:t>
      </w:r>
      <w:r>
        <w:rPr>
          <w:spacing w:val="-9"/>
        </w:rPr>
        <w:t> </w:t>
      </w:r>
      <w:r>
        <w:rPr/>
        <w:t>большой</w:t>
      </w:r>
      <w:r>
        <w:rPr>
          <w:spacing w:val="-9"/>
        </w:rPr>
        <w:t> </w:t>
      </w:r>
      <w:r>
        <w:rPr/>
        <w:t>лист</w:t>
      </w:r>
      <w:r>
        <w:rPr>
          <w:spacing w:val="-9"/>
        </w:rPr>
        <w:t> </w:t>
      </w:r>
      <w:r>
        <w:rPr/>
        <w:t>для коллажа, лучше ограничиться форматом А5.</w:t>
      </w:r>
    </w:p>
    <w:p>
      <w:pPr>
        <w:pStyle w:val="BodyText"/>
        <w:spacing w:after="0" w:line="228" w:lineRule="auto"/>
        <w:sectPr>
          <w:pgSz w:w="8400" w:h="11910"/>
          <w:pgMar w:header="0" w:footer="530"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before="109"/>
        <w:ind w:left="303" w:right="303" w:firstLine="0"/>
        <w:jc w:val="center"/>
        <w:rPr>
          <w:b/>
          <w:sz w:val="20"/>
        </w:rPr>
      </w:pPr>
      <w:r>
        <w:rPr>
          <w:b/>
          <w:spacing w:val="-4"/>
          <w:sz w:val="20"/>
        </w:rPr>
        <w:t>«Дом»</w:t>
      </w:r>
    </w:p>
    <w:p>
      <w:pPr>
        <w:spacing w:line="235" w:lineRule="auto" w:before="113"/>
        <w:ind w:left="3402" w:right="139" w:hanging="1622"/>
        <w:jc w:val="right"/>
        <w:rPr>
          <w:i/>
          <w:sz w:val="20"/>
        </w:rPr>
      </w:pPr>
      <w:r>
        <w:rPr>
          <w:b/>
          <w:i/>
          <w:sz w:val="20"/>
        </w:rPr>
        <w:t>Источник:</w:t>
      </w:r>
      <w:r>
        <w:rPr>
          <w:b/>
          <w:i/>
          <w:spacing w:val="-7"/>
          <w:sz w:val="20"/>
        </w:rPr>
        <w:t> </w:t>
      </w:r>
      <w:r>
        <w:rPr>
          <w:i/>
          <w:sz w:val="20"/>
        </w:rPr>
        <w:t>Blazinsek</w:t>
      </w:r>
      <w:r>
        <w:rPr>
          <w:i/>
          <w:spacing w:val="-10"/>
          <w:sz w:val="20"/>
        </w:rPr>
        <w:t> </w:t>
      </w:r>
      <w:r>
        <w:rPr>
          <w:i/>
          <w:sz w:val="20"/>
        </w:rPr>
        <w:t>A.,</w:t>
      </w:r>
      <w:r>
        <w:rPr>
          <w:i/>
          <w:spacing w:val="-7"/>
          <w:sz w:val="20"/>
        </w:rPr>
        <w:t> </w:t>
      </w:r>
      <w:r>
        <w:rPr>
          <w:i/>
          <w:sz w:val="20"/>
        </w:rPr>
        <w:t>Kronegger</w:t>
      </w:r>
      <w:r>
        <w:rPr>
          <w:i/>
          <w:spacing w:val="-8"/>
          <w:sz w:val="20"/>
        </w:rPr>
        <w:t> </w:t>
      </w:r>
      <w:r>
        <w:rPr>
          <w:i/>
          <w:sz w:val="20"/>
        </w:rPr>
        <w:t>S.</w:t>
      </w:r>
      <w:r>
        <w:rPr>
          <w:i/>
          <w:spacing w:val="-7"/>
          <w:sz w:val="20"/>
        </w:rPr>
        <w:t> </w:t>
      </w:r>
      <w:r>
        <w:rPr>
          <w:i/>
          <w:sz w:val="20"/>
        </w:rPr>
        <w:t>Do</w:t>
      </w:r>
      <w:r>
        <w:rPr>
          <w:i/>
          <w:spacing w:val="-7"/>
          <w:sz w:val="20"/>
        </w:rPr>
        <w:t> </w:t>
      </w:r>
      <w:r>
        <w:rPr>
          <w:i/>
          <w:sz w:val="20"/>
        </w:rPr>
        <w:t>you</w:t>
      </w:r>
      <w:r>
        <w:rPr>
          <w:i/>
          <w:spacing w:val="-7"/>
          <w:sz w:val="20"/>
        </w:rPr>
        <w:t> </w:t>
      </w:r>
      <w:r>
        <w:rPr>
          <w:i/>
          <w:sz w:val="20"/>
        </w:rPr>
        <w:t>speak</w:t>
      </w:r>
      <w:r>
        <w:rPr>
          <w:i/>
          <w:spacing w:val="-7"/>
          <w:sz w:val="20"/>
        </w:rPr>
        <w:t> </w:t>
      </w:r>
      <w:r>
        <w:rPr>
          <w:i/>
          <w:sz w:val="20"/>
        </w:rPr>
        <w:t>interculturally? A</w:t>
      </w:r>
      <w:r>
        <w:rPr>
          <w:i/>
          <w:spacing w:val="-11"/>
          <w:sz w:val="20"/>
        </w:rPr>
        <w:t> </w:t>
      </w:r>
      <w:r>
        <w:rPr>
          <w:i/>
          <w:sz w:val="20"/>
        </w:rPr>
        <w:t>T-kit</w:t>
      </w:r>
      <w:r>
        <w:rPr>
          <w:i/>
          <w:spacing w:val="-5"/>
          <w:sz w:val="20"/>
        </w:rPr>
        <w:t> </w:t>
      </w:r>
      <w:r>
        <w:rPr>
          <w:i/>
          <w:sz w:val="20"/>
        </w:rPr>
        <w:t>for</w:t>
      </w:r>
      <w:r>
        <w:rPr>
          <w:i/>
          <w:spacing w:val="-6"/>
          <w:sz w:val="20"/>
        </w:rPr>
        <w:t> </w:t>
      </w:r>
      <w:r>
        <w:rPr>
          <w:i/>
          <w:sz w:val="20"/>
        </w:rPr>
        <w:t>intercultural</w:t>
      </w:r>
      <w:r>
        <w:rPr>
          <w:i/>
          <w:spacing w:val="-5"/>
          <w:sz w:val="20"/>
        </w:rPr>
        <w:t> </w:t>
      </w:r>
      <w:r>
        <w:rPr>
          <w:i/>
          <w:sz w:val="20"/>
        </w:rPr>
        <w:t>dialogue.</w:t>
      </w:r>
      <w:r>
        <w:rPr>
          <w:i/>
          <w:spacing w:val="-5"/>
          <w:sz w:val="20"/>
        </w:rPr>
        <w:t> </w:t>
      </w:r>
      <w:r>
        <w:rPr>
          <w:i/>
          <w:sz w:val="20"/>
        </w:rPr>
        <w:t>Ljubliana,</w:t>
      </w:r>
      <w:r>
        <w:rPr>
          <w:i/>
          <w:spacing w:val="-4"/>
          <w:sz w:val="20"/>
        </w:rPr>
        <w:t> 2008</w:t>
      </w:r>
    </w:p>
    <w:p>
      <w:pPr>
        <w:pStyle w:val="BodyText"/>
        <w:spacing w:line="235" w:lineRule="auto" w:before="115"/>
      </w:pPr>
      <w:r>
        <w:rPr/>
        <w:t>Ведущий</w:t>
      </w:r>
      <w:r>
        <w:rPr>
          <w:spacing w:val="-12"/>
        </w:rPr>
        <w:t> </w:t>
      </w:r>
      <w:r>
        <w:rPr/>
        <w:t>делит</w:t>
      </w:r>
      <w:r>
        <w:rPr>
          <w:spacing w:val="-12"/>
        </w:rPr>
        <w:t> </w:t>
      </w:r>
      <w:r>
        <w:rPr/>
        <w:t>участников</w:t>
      </w:r>
      <w:r>
        <w:rPr>
          <w:spacing w:val="-12"/>
        </w:rPr>
        <w:t> </w:t>
      </w:r>
      <w:r>
        <w:rPr/>
        <w:t>на</w:t>
      </w:r>
      <w:r>
        <w:rPr>
          <w:spacing w:val="-12"/>
        </w:rPr>
        <w:t> </w:t>
      </w:r>
      <w:r>
        <w:rPr/>
        <w:t>пары,</w:t>
      </w:r>
      <w:r>
        <w:rPr>
          <w:spacing w:val="-12"/>
        </w:rPr>
        <w:t> </w:t>
      </w:r>
      <w:r>
        <w:rPr/>
        <w:t>которые</w:t>
      </w:r>
      <w:r>
        <w:rPr>
          <w:spacing w:val="-12"/>
        </w:rPr>
        <w:t> </w:t>
      </w:r>
      <w:r>
        <w:rPr/>
        <w:t>получают</w:t>
      </w:r>
      <w:r>
        <w:rPr>
          <w:spacing w:val="-12"/>
        </w:rPr>
        <w:t> </w:t>
      </w:r>
      <w:r>
        <w:rPr/>
        <w:t>лист</w:t>
      </w:r>
      <w:r>
        <w:rPr>
          <w:spacing w:val="-12"/>
        </w:rPr>
        <w:t> </w:t>
      </w:r>
      <w:r>
        <w:rPr/>
        <w:t>бумаги</w:t>
      </w:r>
      <w:r>
        <w:rPr>
          <w:spacing w:val="-12"/>
        </w:rPr>
        <w:t> </w:t>
      </w:r>
      <w:r>
        <w:rPr/>
        <w:t>формата</w:t>
      </w:r>
      <w:r>
        <w:rPr>
          <w:spacing w:val="-12"/>
        </w:rPr>
        <w:t> </w:t>
      </w:r>
      <w:r>
        <w:rPr/>
        <w:t>А4</w:t>
      </w:r>
      <w:r>
        <w:rPr>
          <w:spacing w:val="-12"/>
        </w:rPr>
        <w:t> </w:t>
      </w:r>
      <w:r>
        <w:rPr/>
        <w:t>и один предмет для рисования (фломастер или мелок). Каждая пара должна в течение 5</w:t>
      </w:r>
      <w:r>
        <w:rPr>
          <w:spacing w:val="-9"/>
        </w:rPr>
        <w:t> </w:t>
      </w:r>
      <w:r>
        <w:rPr/>
        <w:t>минут</w:t>
      </w:r>
      <w:r>
        <w:rPr>
          <w:spacing w:val="-9"/>
        </w:rPr>
        <w:t> </w:t>
      </w:r>
      <w:r>
        <w:rPr/>
        <w:t>нарисовать</w:t>
      </w:r>
      <w:r>
        <w:rPr>
          <w:spacing w:val="-9"/>
        </w:rPr>
        <w:t> </w:t>
      </w:r>
      <w:r>
        <w:rPr/>
        <w:t>дом,</w:t>
      </w:r>
      <w:r>
        <w:rPr>
          <w:spacing w:val="-9"/>
        </w:rPr>
        <w:t> </w:t>
      </w:r>
      <w:r>
        <w:rPr/>
        <w:t>в</w:t>
      </w:r>
      <w:r>
        <w:rPr>
          <w:spacing w:val="-9"/>
        </w:rPr>
        <w:t> </w:t>
      </w:r>
      <w:r>
        <w:rPr/>
        <w:t>котором</w:t>
      </w:r>
      <w:r>
        <w:rPr>
          <w:spacing w:val="-9"/>
        </w:rPr>
        <w:t> </w:t>
      </w:r>
      <w:r>
        <w:rPr/>
        <w:t>они</w:t>
      </w:r>
      <w:r>
        <w:rPr>
          <w:spacing w:val="-9"/>
        </w:rPr>
        <w:t> </w:t>
      </w:r>
      <w:r>
        <w:rPr/>
        <w:t>хотели</w:t>
      </w:r>
      <w:r>
        <w:rPr>
          <w:spacing w:val="-9"/>
        </w:rPr>
        <w:t> </w:t>
      </w:r>
      <w:r>
        <w:rPr/>
        <w:t>бы</w:t>
      </w:r>
      <w:r>
        <w:rPr>
          <w:spacing w:val="-9"/>
        </w:rPr>
        <w:t> </w:t>
      </w:r>
      <w:r>
        <w:rPr/>
        <w:t>жить.</w:t>
      </w:r>
      <w:r>
        <w:rPr>
          <w:spacing w:val="-9"/>
        </w:rPr>
        <w:t> </w:t>
      </w:r>
      <w:r>
        <w:rPr/>
        <w:t>Во</w:t>
      </w:r>
      <w:r>
        <w:rPr>
          <w:spacing w:val="-9"/>
        </w:rPr>
        <w:t> </w:t>
      </w:r>
      <w:r>
        <w:rPr/>
        <w:t>время</w:t>
      </w:r>
      <w:r>
        <w:rPr>
          <w:spacing w:val="-9"/>
        </w:rPr>
        <w:t> </w:t>
      </w:r>
      <w:r>
        <w:rPr/>
        <w:t>рисования</w:t>
      </w:r>
      <w:r>
        <w:rPr>
          <w:spacing w:val="-9"/>
        </w:rPr>
        <w:t> </w:t>
      </w:r>
      <w:r>
        <w:rPr/>
        <w:t>оба</w:t>
      </w:r>
      <w:r>
        <w:rPr>
          <w:spacing w:val="-9"/>
        </w:rPr>
        <w:t> </w:t>
      </w:r>
      <w:r>
        <w:rPr/>
        <w:t>пар- тнера должны держать карандаш, а также им нельзя разговаривать. Ведущий следит за соблюдением регламента и напоминает о нем участникам, когда до завершения рисования остается одна минута. Когда работа закончена, все рисунки размещаются на доске или на стенде.</w:t>
      </w:r>
    </w:p>
    <w:p>
      <w:pPr>
        <w:spacing w:line="228" w:lineRule="exact" w:before="0"/>
        <w:ind w:left="425" w:right="0" w:firstLine="0"/>
        <w:jc w:val="both"/>
        <w:rPr>
          <w:b/>
          <w:sz w:val="20"/>
        </w:rPr>
      </w:pPr>
      <w:r>
        <w:rPr>
          <w:b/>
          <w:sz w:val="20"/>
        </w:rPr>
        <w:t>Вопросы</w:t>
      </w:r>
      <w:r>
        <w:rPr>
          <w:b/>
          <w:spacing w:val="-2"/>
          <w:sz w:val="20"/>
        </w:rPr>
        <w:t> </w:t>
      </w:r>
      <w:r>
        <w:rPr>
          <w:b/>
          <w:sz w:val="20"/>
        </w:rPr>
        <w:t>для </w:t>
      </w:r>
      <w:r>
        <w:rPr>
          <w:b/>
          <w:spacing w:val="-2"/>
          <w:sz w:val="20"/>
        </w:rPr>
        <w:t>обсуждения:</w:t>
      </w:r>
    </w:p>
    <w:p>
      <w:pPr>
        <w:spacing w:line="235" w:lineRule="auto" w:before="2"/>
        <w:ind w:left="141" w:right="139" w:firstLine="283"/>
        <w:jc w:val="both"/>
        <w:rPr>
          <w:i/>
          <w:sz w:val="20"/>
        </w:rPr>
      </w:pPr>
      <w:r>
        <w:rPr>
          <w:i/>
          <w:sz w:val="20"/>
        </w:rPr>
        <w:t>–</w:t>
      </w:r>
      <w:r>
        <w:rPr>
          <w:i/>
          <w:spacing w:val="-5"/>
          <w:sz w:val="20"/>
        </w:rPr>
        <w:t> </w:t>
      </w:r>
      <w:r>
        <w:rPr>
          <w:i/>
          <w:sz w:val="20"/>
        </w:rPr>
        <w:t>Как</w:t>
      </w:r>
      <w:r>
        <w:rPr>
          <w:i/>
          <w:spacing w:val="-5"/>
          <w:sz w:val="20"/>
        </w:rPr>
        <w:t> </w:t>
      </w:r>
      <w:r>
        <w:rPr>
          <w:i/>
          <w:sz w:val="20"/>
        </w:rPr>
        <w:t>проходило</w:t>
      </w:r>
      <w:r>
        <w:rPr>
          <w:i/>
          <w:spacing w:val="-5"/>
          <w:sz w:val="20"/>
        </w:rPr>
        <w:t> </w:t>
      </w:r>
      <w:r>
        <w:rPr>
          <w:i/>
          <w:sz w:val="20"/>
        </w:rPr>
        <w:t>рисование?</w:t>
      </w:r>
      <w:r>
        <w:rPr>
          <w:i/>
          <w:spacing w:val="-5"/>
          <w:sz w:val="20"/>
        </w:rPr>
        <w:t> </w:t>
      </w:r>
      <w:r>
        <w:rPr>
          <w:i/>
          <w:sz w:val="20"/>
        </w:rPr>
        <w:t>Возникали</w:t>
      </w:r>
      <w:r>
        <w:rPr>
          <w:i/>
          <w:spacing w:val="-5"/>
          <w:sz w:val="20"/>
        </w:rPr>
        <w:t> </w:t>
      </w:r>
      <w:r>
        <w:rPr>
          <w:i/>
          <w:sz w:val="20"/>
        </w:rPr>
        <w:t>ли</w:t>
      </w:r>
      <w:r>
        <w:rPr>
          <w:i/>
          <w:spacing w:val="-5"/>
          <w:sz w:val="20"/>
        </w:rPr>
        <w:t> </w:t>
      </w:r>
      <w:r>
        <w:rPr>
          <w:i/>
          <w:sz w:val="20"/>
        </w:rPr>
        <w:t>какие-то</w:t>
      </w:r>
      <w:r>
        <w:rPr>
          <w:i/>
          <w:spacing w:val="-5"/>
          <w:sz w:val="20"/>
        </w:rPr>
        <w:t> </w:t>
      </w:r>
      <w:r>
        <w:rPr>
          <w:i/>
          <w:sz w:val="20"/>
        </w:rPr>
        <w:t>сложности?</w:t>
      </w:r>
      <w:r>
        <w:rPr>
          <w:i/>
          <w:spacing w:val="-5"/>
          <w:sz w:val="20"/>
        </w:rPr>
        <w:t> </w:t>
      </w:r>
      <w:r>
        <w:rPr>
          <w:i/>
          <w:sz w:val="20"/>
        </w:rPr>
        <w:t>Что</w:t>
      </w:r>
      <w:r>
        <w:rPr>
          <w:i/>
          <w:spacing w:val="-5"/>
          <w:sz w:val="20"/>
        </w:rPr>
        <w:t> </w:t>
      </w:r>
      <w:r>
        <w:rPr>
          <w:i/>
          <w:sz w:val="20"/>
        </w:rPr>
        <w:t>получалось легче,</w:t>
      </w:r>
      <w:r>
        <w:rPr>
          <w:i/>
          <w:spacing w:val="-4"/>
          <w:sz w:val="20"/>
        </w:rPr>
        <w:t> </w:t>
      </w:r>
      <w:r>
        <w:rPr>
          <w:i/>
          <w:sz w:val="20"/>
        </w:rPr>
        <w:t>а</w:t>
      </w:r>
      <w:r>
        <w:rPr>
          <w:i/>
          <w:spacing w:val="-4"/>
          <w:sz w:val="20"/>
        </w:rPr>
        <w:t> </w:t>
      </w:r>
      <w:r>
        <w:rPr>
          <w:i/>
          <w:sz w:val="20"/>
        </w:rPr>
        <w:t>что</w:t>
      </w:r>
      <w:r>
        <w:rPr>
          <w:i/>
          <w:spacing w:val="-4"/>
          <w:sz w:val="20"/>
        </w:rPr>
        <w:t> </w:t>
      </w:r>
      <w:r>
        <w:rPr>
          <w:i/>
          <w:sz w:val="20"/>
        </w:rPr>
        <w:t>–</w:t>
      </w:r>
      <w:r>
        <w:rPr>
          <w:i/>
          <w:spacing w:val="-4"/>
          <w:sz w:val="20"/>
        </w:rPr>
        <w:t> </w:t>
      </w:r>
      <w:r>
        <w:rPr>
          <w:i/>
          <w:sz w:val="20"/>
        </w:rPr>
        <w:t>сложнее?</w:t>
      </w:r>
      <w:r>
        <w:rPr>
          <w:i/>
          <w:spacing w:val="-4"/>
          <w:sz w:val="20"/>
        </w:rPr>
        <w:t> </w:t>
      </w:r>
      <w:r>
        <w:rPr>
          <w:i/>
          <w:sz w:val="20"/>
        </w:rPr>
        <w:t>Как</w:t>
      </w:r>
      <w:r>
        <w:rPr>
          <w:i/>
          <w:spacing w:val="-4"/>
          <w:sz w:val="20"/>
        </w:rPr>
        <w:t> </w:t>
      </w:r>
      <w:r>
        <w:rPr>
          <w:i/>
          <w:sz w:val="20"/>
        </w:rPr>
        <w:t>вы</w:t>
      </w:r>
      <w:r>
        <w:rPr>
          <w:i/>
          <w:spacing w:val="-4"/>
          <w:sz w:val="20"/>
        </w:rPr>
        <w:t> </w:t>
      </w:r>
      <w:r>
        <w:rPr>
          <w:i/>
          <w:sz w:val="20"/>
        </w:rPr>
        <w:t>справлялись</w:t>
      </w:r>
      <w:r>
        <w:rPr>
          <w:i/>
          <w:spacing w:val="-4"/>
          <w:sz w:val="20"/>
        </w:rPr>
        <w:t> </w:t>
      </w:r>
      <w:r>
        <w:rPr>
          <w:i/>
          <w:sz w:val="20"/>
        </w:rPr>
        <w:t>с</w:t>
      </w:r>
      <w:r>
        <w:rPr>
          <w:i/>
          <w:spacing w:val="-4"/>
          <w:sz w:val="20"/>
        </w:rPr>
        <w:t> </w:t>
      </w:r>
      <w:r>
        <w:rPr>
          <w:i/>
          <w:sz w:val="20"/>
        </w:rPr>
        <w:t>возникающими</w:t>
      </w:r>
      <w:r>
        <w:rPr>
          <w:i/>
          <w:spacing w:val="-4"/>
          <w:sz w:val="20"/>
        </w:rPr>
        <w:t> </w:t>
      </w:r>
      <w:r>
        <w:rPr>
          <w:i/>
          <w:sz w:val="20"/>
        </w:rPr>
        <w:t>сложностями?</w:t>
      </w:r>
      <w:r>
        <w:rPr>
          <w:i/>
          <w:spacing w:val="-3"/>
          <w:sz w:val="20"/>
        </w:rPr>
        <w:t> </w:t>
      </w:r>
      <w:r>
        <w:rPr>
          <w:i/>
          <w:sz w:val="20"/>
        </w:rPr>
        <w:t>Как</w:t>
      </w:r>
      <w:r>
        <w:rPr>
          <w:i/>
          <w:spacing w:val="-4"/>
          <w:sz w:val="20"/>
        </w:rPr>
        <w:t> </w:t>
      </w:r>
      <w:r>
        <w:rPr>
          <w:i/>
          <w:sz w:val="20"/>
        </w:rPr>
        <w:t>вы думаете, почему в процессе рисования возникали трудности?</w:t>
      </w:r>
    </w:p>
    <w:p>
      <w:pPr>
        <w:pStyle w:val="BodyText"/>
        <w:spacing w:line="235" w:lineRule="auto" w:before="2"/>
        <w:jc w:val="right"/>
      </w:pPr>
      <w:r>
        <w:rPr/>
        <w:t>Во время обсуждения ведущему нужно подчеркнуть, что трудности возникали, потому что у каждого человека свое собственное представление об идеальном доме. Участники</w:t>
      </w:r>
      <w:r>
        <w:rPr>
          <w:spacing w:val="40"/>
        </w:rPr>
        <w:t> </w:t>
      </w:r>
      <w:r>
        <w:rPr/>
        <w:t>могут</w:t>
      </w:r>
      <w:r>
        <w:rPr>
          <w:spacing w:val="40"/>
        </w:rPr>
        <w:t> </w:t>
      </w:r>
      <w:r>
        <w:rPr/>
        <w:t>сказать,</w:t>
      </w:r>
      <w:r>
        <w:rPr>
          <w:spacing w:val="40"/>
        </w:rPr>
        <w:t> </w:t>
      </w:r>
      <w:r>
        <w:rPr/>
        <w:t>что</w:t>
      </w:r>
      <w:r>
        <w:rPr>
          <w:spacing w:val="40"/>
        </w:rPr>
        <w:t> </w:t>
      </w:r>
      <w:r>
        <w:rPr/>
        <w:t>с</w:t>
      </w:r>
      <w:r>
        <w:rPr>
          <w:spacing w:val="40"/>
        </w:rPr>
        <w:t> </w:t>
      </w:r>
      <w:r>
        <w:rPr/>
        <w:t>этим</w:t>
      </w:r>
      <w:r>
        <w:rPr>
          <w:spacing w:val="40"/>
        </w:rPr>
        <w:t> </w:t>
      </w:r>
      <w:r>
        <w:rPr/>
        <w:t>заданием</w:t>
      </w:r>
      <w:r>
        <w:rPr>
          <w:spacing w:val="40"/>
        </w:rPr>
        <w:t> </w:t>
      </w:r>
      <w:r>
        <w:rPr/>
        <w:t>они</w:t>
      </w:r>
      <w:r>
        <w:rPr>
          <w:spacing w:val="40"/>
        </w:rPr>
        <w:t> </w:t>
      </w:r>
      <w:r>
        <w:rPr/>
        <w:t>справились</w:t>
      </w:r>
      <w:r>
        <w:rPr>
          <w:spacing w:val="40"/>
        </w:rPr>
        <w:t> </w:t>
      </w:r>
      <w:r>
        <w:rPr/>
        <w:t>легко,</w:t>
      </w:r>
      <w:r>
        <w:rPr>
          <w:spacing w:val="40"/>
        </w:rPr>
        <w:t> </w:t>
      </w:r>
      <w:r>
        <w:rPr/>
        <w:t>никаких сложностей не возникло. В этом случае ведущий спрашивает, почему было легко, и подводит участников к разговору о том, почему представления об идеальном доме оказались</w:t>
      </w:r>
      <w:r>
        <w:rPr>
          <w:spacing w:val="3"/>
        </w:rPr>
        <w:t> </w:t>
      </w:r>
      <w:r>
        <w:rPr/>
        <w:t>похожими</w:t>
      </w:r>
      <w:r>
        <w:rPr>
          <w:spacing w:val="3"/>
        </w:rPr>
        <w:t> </w:t>
      </w:r>
      <w:r>
        <w:rPr/>
        <w:t>(например,</w:t>
      </w:r>
      <w:r>
        <w:rPr>
          <w:spacing w:val="3"/>
        </w:rPr>
        <w:t> </w:t>
      </w:r>
      <w:r>
        <w:rPr/>
        <w:t>потому</w:t>
      </w:r>
      <w:r>
        <w:rPr>
          <w:spacing w:val="3"/>
        </w:rPr>
        <w:t> </w:t>
      </w:r>
      <w:r>
        <w:rPr/>
        <w:t>что</w:t>
      </w:r>
      <w:r>
        <w:rPr>
          <w:spacing w:val="4"/>
        </w:rPr>
        <w:t> </w:t>
      </w:r>
      <w:r>
        <w:rPr/>
        <w:t>оба</w:t>
      </w:r>
      <w:r>
        <w:rPr>
          <w:spacing w:val="3"/>
        </w:rPr>
        <w:t> </w:t>
      </w:r>
      <w:r>
        <w:rPr/>
        <w:t>партнера</w:t>
      </w:r>
      <w:r>
        <w:rPr>
          <w:spacing w:val="3"/>
        </w:rPr>
        <w:t> </w:t>
      </w:r>
      <w:r>
        <w:rPr/>
        <w:t>проживают</w:t>
      </w:r>
      <w:r>
        <w:rPr>
          <w:spacing w:val="3"/>
        </w:rPr>
        <w:t> </w:t>
      </w:r>
      <w:r>
        <w:rPr/>
        <w:t>в</w:t>
      </w:r>
      <w:r>
        <w:rPr>
          <w:spacing w:val="3"/>
        </w:rPr>
        <w:t> </w:t>
      </w:r>
      <w:r>
        <w:rPr/>
        <w:t>похожих</w:t>
      </w:r>
      <w:r>
        <w:rPr>
          <w:spacing w:val="4"/>
        </w:rPr>
        <w:t> </w:t>
      </w:r>
      <w:r>
        <w:rPr>
          <w:spacing w:val="-5"/>
        </w:rPr>
        <w:t>ус-</w:t>
      </w:r>
    </w:p>
    <w:p>
      <w:pPr>
        <w:pStyle w:val="BodyText"/>
        <w:spacing w:line="228" w:lineRule="exact"/>
        <w:ind w:right="0" w:firstLine="0"/>
      </w:pPr>
      <w:r>
        <w:rPr/>
        <w:t>ловиях</w:t>
      </w:r>
      <w:r>
        <w:rPr>
          <w:spacing w:val="-4"/>
        </w:rPr>
        <w:t> </w:t>
      </w:r>
      <w:r>
        <w:rPr/>
        <w:t>и</w:t>
      </w:r>
      <w:r>
        <w:rPr>
          <w:spacing w:val="-3"/>
        </w:rPr>
        <w:t> </w:t>
      </w:r>
      <w:r>
        <w:rPr/>
        <w:t>принадлежат</w:t>
      </w:r>
      <w:r>
        <w:rPr>
          <w:spacing w:val="-4"/>
        </w:rPr>
        <w:t> </w:t>
      </w:r>
      <w:r>
        <w:rPr/>
        <w:t>к</w:t>
      </w:r>
      <w:r>
        <w:rPr>
          <w:spacing w:val="-3"/>
        </w:rPr>
        <w:t> </w:t>
      </w:r>
      <w:r>
        <w:rPr/>
        <w:t>одной</w:t>
      </w:r>
      <w:r>
        <w:rPr>
          <w:spacing w:val="-3"/>
        </w:rPr>
        <w:t> </w:t>
      </w:r>
      <w:r>
        <w:rPr>
          <w:spacing w:val="-2"/>
        </w:rPr>
        <w:t>культуре).</w:t>
      </w:r>
    </w:p>
    <w:p>
      <w:pPr>
        <w:pStyle w:val="BodyText"/>
        <w:spacing w:line="235" w:lineRule="auto" w:before="2"/>
      </w:pPr>
      <w:r>
        <w:rPr/>
        <w:t>Ведущий</w:t>
      </w:r>
      <w:r>
        <w:rPr>
          <w:spacing w:val="-12"/>
        </w:rPr>
        <w:t> </w:t>
      </w:r>
      <w:r>
        <w:rPr/>
        <w:t>может</w:t>
      </w:r>
      <w:r>
        <w:rPr>
          <w:spacing w:val="-12"/>
        </w:rPr>
        <w:t> </w:t>
      </w:r>
      <w:r>
        <w:rPr/>
        <w:t>показать</w:t>
      </w:r>
      <w:r>
        <w:rPr>
          <w:spacing w:val="-12"/>
        </w:rPr>
        <w:t> </w:t>
      </w:r>
      <w:r>
        <w:rPr/>
        <w:t>слайды,</w:t>
      </w:r>
      <w:r>
        <w:rPr>
          <w:spacing w:val="-12"/>
        </w:rPr>
        <w:t> </w:t>
      </w:r>
      <w:r>
        <w:rPr/>
        <w:t>на</w:t>
      </w:r>
      <w:r>
        <w:rPr>
          <w:spacing w:val="-12"/>
        </w:rPr>
        <w:t> </w:t>
      </w:r>
      <w:r>
        <w:rPr/>
        <w:t>которых</w:t>
      </w:r>
      <w:r>
        <w:rPr>
          <w:spacing w:val="-12"/>
        </w:rPr>
        <w:t> </w:t>
      </w:r>
      <w:r>
        <w:rPr/>
        <w:t>изображены</w:t>
      </w:r>
      <w:r>
        <w:rPr>
          <w:spacing w:val="-12"/>
        </w:rPr>
        <w:t> </w:t>
      </w:r>
      <w:r>
        <w:rPr/>
        <w:t>дома</w:t>
      </w:r>
      <w:r>
        <w:rPr>
          <w:spacing w:val="-12"/>
        </w:rPr>
        <w:t> </w:t>
      </w:r>
      <w:r>
        <w:rPr/>
        <w:t>в</w:t>
      </w:r>
      <w:r>
        <w:rPr>
          <w:spacing w:val="-12"/>
        </w:rPr>
        <w:t> </w:t>
      </w:r>
      <w:r>
        <w:rPr/>
        <w:t>различных</w:t>
      </w:r>
      <w:r>
        <w:rPr>
          <w:spacing w:val="-12"/>
        </w:rPr>
        <w:t> </w:t>
      </w:r>
      <w:r>
        <w:rPr/>
        <w:t>стра- нах и на разных континентах, и спросить: «Как вы думаете, какой идеальный дом нарисовали</w:t>
      </w:r>
      <w:r>
        <w:rPr>
          <w:spacing w:val="-3"/>
        </w:rPr>
        <w:t> </w:t>
      </w:r>
      <w:r>
        <w:rPr/>
        <w:t>бы</w:t>
      </w:r>
      <w:r>
        <w:rPr>
          <w:spacing w:val="-3"/>
        </w:rPr>
        <w:t> </w:t>
      </w:r>
      <w:r>
        <w:rPr/>
        <w:t>люди,</w:t>
      </w:r>
      <w:r>
        <w:rPr>
          <w:spacing w:val="-3"/>
        </w:rPr>
        <w:t> </w:t>
      </w:r>
      <w:r>
        <w:rPr/>
        <w:t>живущие</w:t>
      </w:r>
      <w:r>
        <w:rPr>
          <w:spacing w:val="-3"/>
        </w:rPr>
        <w:t> </w:t>
      </w:r>
      <w:r>
        <w:rPr/>
        <w:t>в</w:t>
      </w:r>
      <w:r>
        <w:rPr>
          <w:spacing w:val="-3"/>
        </w:rPr>
        <w:t> </w:t>
      </w:r>
      <w:r>
        <w:rPr/>
        <w:t>этой</w:t>
      </w:r>
      <w:r>
        <w:rPr>
          <w:spacing w:val="-3"/>
        </w:rPr>
        <w:t> </w:t>
      </w:r>
      <w:r>
        <w:rPr/>
        <w:t>стране?»</w:t>
      </w:r>
      <w:r>
        <w:rPr>
          <w:spacing w:val="-3"/>
        </w:rPr>
        <w:t> </w:t>
      </w:r>
      <w:r>
        <w:rPr/>
        <w:t>Ведущий</w:t>
      </w:r>
      <w:r>
        <w:rPr>
          <w:spacing w:val="-3"/>
        </w:rPr>
        <w:t> </w:t>
      </w:r>
      <w:r>
        <w:rPr/>
        <w:t>делает</w:t>
      </w:r>
      <w:r>
        <w:rPr>
          <w:spacing w:val="-3"/>
        </w:rPr>
        <w:t> </w:t>
      </w:r>
      <w:r>
        <w:rPr/>
        <w:t>вывод,</w:t>
      </w:r>
      <w:r>
        <w:rPr>
          <w:spacing w:val="-3"/>
        </w:rPr>
        <w:t> </w:t>
      </w:r>
      <w:r>
        <w:rPr/>
        <w:t>что</w:t>
      </w:r>
      <w:r>
        <w:rPr>
          <w:spacing w:val="-3"/>
        </w:rPr>
        <w:t> </w:t>
      </w:r>
      <w:r>
        <w:rPr/>
        <w:t>восприя- тие</w:t>
      </w:r>
      <w:r>
        <w:rPr>
          <w:spacing w:val="-13"/>
        </w:rPr>
        <w:t> </w:t>
      </w:r>
      <w:r>
        <w:rPr/>
        <w:t>идеального</w:t>
      </w:r>
      <w:r>
        <w:rPr>
          <w:spacing w:val="-12"/>
        </w:rPr>
        <w:t> </w:t>
      </w:r>
      <w:r>
        <w:rPr/>
        <w:t>дома</w:t>
      </w:r>
      <w:r>
        <w:rPr>
          <w:spacing w:val="-13"/>
        </w:rPr>
        <w:t> </w:t>
      </w:r>
      <w:r>
        <w:rPr/>
        <w:t>может</w:t>
      </w:r>
      <w:r>
        <w:rPr>
          <w:spacing w:val="-12"/>
        </w:rPr>
        <w:t> </w:t>
      </w:r>
      <w:r>
        <w:rPr/>
        <w:t>определяться</w:t>
      </w:r>
      <w:r>
        <w:rPr>
          <w:spacing w:val="-13"/>
        </w:rPr>
        <w:t> </w:t>
      </w:r>
      <w:r>
        <w:rPr/>
        <w:t>культурой,</w:t>
      </w:r>
      <w:r>
        <w:rPr>
          <w:spacing w:val="-12"/>
        </w:rPr>
        <w:t> </w:t>
      </w:r>
      <w:r>
        <w:rPr/>
        <w:t>к</w:t>
      </w:r>
      <w:r>
        <w:rPr>
          <w:spacing w:val="-13"/>
        </w:rPr>
        <w:t> </w:t>
      </w:r>
      <w:r>
        <w:rPr/>
        <w:t>которой</w:t>
      </w:r>
      <w:r>
        <w:rPr>
          <w:spacing w:val="-12"/>
        </w:rPr>
        <w:t> </w:t>
      </w:r>
      <w:r>
        <w:rPr/>
        <w:t>человек</w:t>
      </w:r>
      <w:r>
        <w:rPr>
          <w:spacing w:val="-13"/>
        </w:rPr>
        <w:t> </w:t>
      </w:r>
      <w:r>
        <w:rPr/>
        <w:t>принадлежит, причем</w:t>
      </w:r>
      <w:r>
        <w:rPr>
          <w:spacing w:val="-4"/>
        </w:rPr>
        <w:t> </w:t>
      </w:r>
      <w:r>
        <w:rPr/>
        <w:t>это</w:t>
      </w:r>
      <w:r>
        <w:rPr>
          <w:spacing w:val="-4"/>
        </w:rPr>
        <w:t> </w:t>
      </w:r>
      <w:r>
        <w:rPr/>
        <w:t>один</w:t>
      </w:r>
      <w:r>
        <w:rPr>
          <w:spacing w:val="-4"/>
        </w:rPr>
        <w:t> </w:t>
      </w:r>
      <w:r>
        <w:rPr/>
        <w:t>из</w:t>
      </w:r>
      <w:r>
        <w:rPr>
          <w:spacing w:val="-4"/>
        </w:rPr>
        <w:t> </w:t>
      </w:r>
      <w:r>
        <w:rPr/>
        <w:t>тех</w:t>
      </w:r>
      <w:r>
        <w:rPr>
          <w:spacing w:val="-4"/>
        </w:rPr>
        <w:t> </w:t>
      </w:r>
      <w:r>
        <w:rPr/>
        <w:t>ее</w:t>
      </w:r>
      <w:r>
        <w:rPr>
          <w:spacing w:val="-4"/>
        </w:rPr>
        <w:t> </w:t>
      </w:r>
      <w:r>
        <w:rPr/>
        <w:t>аспектов,</w:t>
      </w:r>
      <w:r>
        <w:rPr>
          <w:spacing w:val="-4"/>
        </w:rPr>
        <w:t> </w:t>
      </w:r>
      <w:r>
        <w:rPr/>
        <w:t>который</w:t>
      </w:r>
      <w:r>
        <w:rPr>
          <w:spacing w:val="-4"/>
        </w:rPr>
        <w:t> </w:t>
      </w:r>
      <w:r>
        <w:rPr/>
        <w:t>мы</w:t>
      </w:r>
      <w:r>
        <w:rPr>
          <w:spacing w:val="-5"/>
        </w:rPr>
        <w:t> </w:t>
      </w:r>
      <w:r>
        <w:rPr/>
        <w:t>чаще</w:t>
      </w:r>
      <w:r>
        <w:rPr>
          <w:spacing w:val="-4"/>
        </w:rPr>
        <w:t> </w:t>
      </w:r>
      <w:r>
        <w:rPr/>
        <w:t>всего</w:t>
      </w:r>
      <w:r>
        <w:rPr>
          <w:spacing w:val="-4"/>
        </w:rPr>
        <w:t> </w:t>
      </w:r>
      <w:r>
        <w:rPr/>
        <w:t>не</w:t>
      </w:r>
      <w:r>
        <w:rPr>
          <w:spacing w:val="-4"/>
        </w:rPr>
        <w:t> </w:t>
      </w:r>
      <w:r>
        <w:rPr/>
        <w:t>замечаем</w:t>
      </w:r>
      <w:r>
        <w:rPr>
          <w:spacing w:val="-5"/>
        </w:rPr>
        <w:t> </w:t>
      </w:r>
      <w:r>
        <w:rPr/>
        <w:t>и</w:t>
      </w:r>
      <w:r>
        <w:rPr>
          <w:spacing w:val="-4"/>
        </w:rPr>
        <w:t> </w:t>
      </w:r>
      <w:r>
        <w:rPr/>
        <w:t>о</w:t>
      </w:r>
      <w:r>
        <w:rPr>
          <w:spacing w:val="-4"/>
        </w:rPr>
        <w:t> </w:t>
      </w:r>
      <w:r>
        <w:rPr/>
        <w:t>котором мы чаще всего не задумываемся.</w:t>
      </w:r>
    </w:p>
    <w:p>
      <w:pPr>
        <w:spacing w:before="113"/>
        <w:ind w:left="303" w:right="303" w:firstLine="0"/>
        <w:jc w:val="center"/>
        <w:rPr>
          <w:b/>
          <w:sz w:val="20"/>
        </w:rPr>
      </w:pPr>
      <w:r>
        <w:rPr>
          <w:b/>
          <w:spacing w:val="-2"/>
          <w:sz w:val="20"/>
        </w:rPr>
        <w:t>«Артефакт»</w:t>
      </w:r>
    </w:p>
    <w:p>
      <w:pPr>
        <w:spacing w:before="109"/>
        <w:ind w:left="3745" w:right="14" w:firstLine="0"/>
        <w:jc w:val="center"/>
        <w:rPr>
          <w:i/>
          <w:sz w:val="20"/>
        </w:rPr>
      </w:pPr>
      <w:r>
        <w:rPr>
          <w:b/>
          <w:i/>
          <w:sz w:val="20"/>
        </w:rPr>
        <w:t>Источник</w:t>
      </w:r>
      <w:r>
        <w:rPr>
          <w:i/>
          <w:sz w:val="20"/>
        </w:rPr>
        <w:t>:</w:t>
      </w:r>
      <w:r>
        <w:rPr>
          <w:i/>
          <w:spacing w:val="-6"/>
          <w:sz w:val="20"/>
        </w:rPr>
        <w:t> </w:t>
      </w:r>
      <w:r>
        <w:rPr>
          <w:i/>
          <w:sz w:val="20"/>
        </w:rPr>
        <w:t>разработка</w:t>
      </w:r>
      <w:r>
        <w:rPr>
          <w:i/>
          <w:spacing w:val="-6"/>
          <w:sz w:val="20"/>
        </w:rPr>
        <w:t> </w:t>
      </w:r>
      <w:r>
        <w:rPr>
          <w:i/>
          <w:sz w:val="20"/>
        </w:rPr>
        <w:t>М.Ю.</w:t>
      </w:r>
      <w:r>
        <w:rPr>
          <w:i/>
          <w:spacing w:val="-6"/>
          <w:sz w:val="20"/>
        </w:rPr>
        <w:t> </w:t>
      </w:r>
      <w:r>
        <w:rPr>
          <w:i/>
          <w:spacing w:val="-2"/>
          <w:sz w:val="20"/>
        </w:rPr>
        <w:t>Чибисовой</w:t>
      </w:r>
    </w:p>
    <w:p>
      <w:pPr>
        <w:spacing w:line="228" w:lineRule="exact" w:before="110"/>
        <w:ind w:left="425" w:right="0" w:firstLine="0"/>
        <w:jc w:val="both"/>
        <w:rPr>
          <w:sz w:val="20"/>
        </w:rPr>
      </w:pPr>
      <w:r>
        <w:rPr>
          <w:b/>
          <w:sz w:val="20"/>
        </w:rPr>
        <w:t>Инструкция</w:t>
      </w:r>
      <w:r>
        <w:rPr>
          <w:b/>
          <w:spacing w:val="-6"/>
          <w:sz w:val="20"/>
        </w:rPr>
        <w:t> </w:t>
      </w:r>
      <w:r>
        <w:rPr>
          <w:sz w:val="20"/>
        </w:rPr>
        <w:t>(в</w:t>
      </w:r>
      <w:r>
        <w:rPr>
          <w:spacing w:val="-6"/>
          <w:sz w:val="20"/>
        </w:rPr>
        <w:t> </w:t>
      </w:r>
      <w:r>
        <w:rPr>
          <w:sz w:val="20"/>
        </w:rPr>
        <w:t>данном</w:t>
      </w:r>
      <w:r>
        <w:rPr>
          <w:spacing w:val="-6"/>
          <w:sz w:val="20"/>
        </w:rPr>
        <w:t> </w:t>
      </w:r>
      <w:r>
        <w:rPr>
          <w:sz w:val="20"/>
        </w:rPr>
        <w:t>упражнении</w:t>
      </w:r>
      <w:r>
        <w:rPr>
          <w:spacing w:val="-6"/>
          <w:sz w:val="20"/>
        </w:rPr>
        <w:t> </w:t>
      </w:r>
      <w:r>
        <w:rPr>
          <w:sz w:val="20"/>
        </w:rPr>
        <w:t>возможны</w:t>
      </w:r>
      <w:r>
        <w:rPr>
          <w:spacing w:val="-6"/>
          <w:sz w:val="20"/>
        </w:rPr>
        <w:t> </w:t>
      </w:r>
      <w:r>
        <w:rPr>
          <w:sz w:val="20"/>
        </w:rPr>
        <w:t>два</w:t>
      </w:r>
      <w:r>
        <w:rPr>
          <w:spacing w:val="-5"/>
          <w:sz w:val="20"/>
        </w:rPr>
        <w:t> </w:t>
      </w:r>
      <w:r>
        <w:rPr>
          <w:spacing w:val="-2"/>
          <w:sz w:val="20"/>
        </w:rPr>
        <w:t>варианта)</w:t>
      </w:r>
    </w:p>
    <w:p>
      <w:pPr>
        <w:pStyle w:val="ListParagraph"/>
        <w:numPr>
          <w:ilvl w:val="2"/>
          <w:numId w:val="267"/>
        </w:numPr>
        <w:tabs>
          <w:tab w:pos="608" w:val="left" w:leader="none"/>
        </w:tabs>
        <w:spacing w:line="235" w:lineRule="auto" w:before="1" w:after="0"/>
        <w:ind w:left="141" w:right="139" w:firstLine="283"/>
        <w:jc w:val="both"/>
        <w:rPr>
          <w:i/>
          <w:sz w:val="20"/>
        </w:rPr>
      </w:pPr>
      <w:r>
        <w:rPr>
          <w:i/>
          <w:sz w:val="20"/>
        </w:rPr>
        <w:t>–</w:t>
      </w:r>
      <w:r>
        <w:rPr>
          <w:i/>
          <w:spacing w:val="29"/>
          <w:sz w:val="20"/>
        </w:rPr>
        <w:t> </w:t>
      </w:r>
      <w:r>
        <w:rPr>
          <w:i/>
          <w:sz w:val="20"/>
        </w:rPr>
        <w:t>Вам</w:t>
      </w:r>
      <w:r>
        <w:rPr>
          <w:i/>
          <w:spacing w:val="29"/>
          <w:sz w:val="20"/>
        </w:rPr>
        <w:t> </w:t>
      </w:r>
      <w:r>
        <w:rPr>
          <w:i/>
          <w:sz w:val="20"/>
        </w:rPr>
        <w:t>предложили</w:t>
      </w:r>
      <w:r>
        <w:rPr>
          <w:i/>
          <w:spacing w:val="29"/>
          <w:sz w:val="20"/>
        </w:rPr>
        <w:t> </w:t>
      </w:r>
      <w:r>
        <w:rPr>
          <w:i/>
          <w:sz w:val="20"/>
        </w:rPr>
        <w:t>принять</w:t>
      </w:r>
      <w:r>
        <w:rPr>
          <w:i/>
          <w:spacing w:val="29"/>
          <w:sz w:val="20"/>
        </w:rPr>
        <w:t> </w:t>
      </w:r>
      <w:r>
        <w:rPr>
          <w:i/>
          <w:sz w:val="20"/>
        </w:rPr>
        <w:t>участие</w:t>
      </w:r>
      <w:r>
        <w:rPr>
          <w:i/>
          <w:spacing w:val="29"/>
          <w:sz w:val="20"/>
        </w:rPr>
        <w:t> </w:t>
      </w:r>
      <w:r>
        <w:rPr>
          <w:i/>
          <w:sz w:val="20"/>
        </w:rPr>
        <w:t>в</w:t>
      </w:r>
      <w:r>
        <w:rPr>
          <w:i/>
          <w:spacing w:val="29"/>
          <w:sz w:val="20"/>
        </w:rPr>
        <w:t> </w:t>
      </w:r>
      <w:r>
        <w:rPr>
          <w:i/>
          <w:sz w:val="20"/>
        </w:rPr>
        <w:t>составлении</w:t>
      </w:r>
      <w:r>
        <w:rPr>
          <w:i/>
          <w:spacing w:val="29"/>
          <w:sz w:val="20"/>
        </w:rPr>
        <w:t> </w:t>
      </w:r>
      <w:r>
        <w:rPr>
          <w:i/>
          <w:sz w:val="20"/>
        </w:rPr>
        <w:t>коллекции</w:t>
      </w:r>
      <w:r>
        <w:rPr>
          <w:i/>
          <w:spacing w:val="29"/>
          <w:sz w:val="20"/>
        </w:rPr>
        <w:t> </w:t>
      </w:r>
      <w:r>
        <w:rPr>
          <w:i/>
          <w:sz w:val="20"/>
        </w:rPr>
        <w:t>нового</w:t>
      </w:r>
      <w:r>
        <w:rPr>
          <w:i/>
          <w:spacing w:val="29"/>
          <w:sz w:val="20"/>
        </w:rPr>
        <w:t> </w:t>
      </w:r>
      <w:r>
        <w:rPr>
          <w:i/>
          <w:sz w:val="20"/>
        </w:rPr>
        <w:t>музея. В</w:t>
      </w:r>
      <w:r>
        <w:rPr>
          <w:i/>
          <w:spacing w:val="-14"/>
          <w:sz w:val="20"/>
        </w:rPr>
        <w:t> </w:t>
      </w:r>
      <w:r>
        <w:rPr>
          <w:i/>
          <w:sz w:val="20"/>
        </w:rPr>
        <w:t>этом</w:t>
      </w:r>
      <w:r>
        <w:rPr>
          <w:i/>
          <w:spacing w:val="-12"/>
          <w:sz w:val="20"/>
        </w:rPr>
        <w:t> </w:t>
      </w:r>
      <w:r>
        <w:rPr>
          <w:i/>
          <w:sz w:val="20"/>
        </w:rPr>
        <w:t>музее</w:t>
      </w:r>
      <w:r>
        <w:rPr>
          <w:i/>
          <w:spacing w:val="-12"/>
          <w:sz w:val="20"/>
        </w:rPr>
        <w:t> </w:t>
      </w:r>
      <w:r>
        <w:rPr>
          <w:i/>
          <w:sz w:val="20"/>
        </w:rPr>
        <w:t>будут</w:t>
      </w:r>
      <w:r>
        <w:rPr>
          <w:i/>
          <w:spacing w:val="-12"/>
          <w:sz w:val="20"/>
        </w:rPr>
        <w:t> </w:t>
      </w:r>
      <w:r>
        <w:rPr>
          <w:i/>
          <w:sz w:val="20"/>
        </w:rPr>
        <w:t>представлены</w:t>
      </w:r>
      <w:r>
        <w:rPr>
          <w:i/>
          <w:spacing w:val="-12"/>
          <w:sz w:val="20"/>
        </w:rPr>
        <w:t> </w:t>
      </w:r>
      <w:r>
        <w:rPr>
          <w:i/>
          <w:sz w:val="20"/>
        </w:rPr>
        <w:t>экспонаты,</w:t>
      </w:r>
      <w:r>
        <w:rPr>
          <w:i/>
          <w:spacing w:val="-12"/>
          <w:sz w:val="20"/>
        </w:rPr>
        <w:t> </w:t>
      </w:r>
      <w:r>
        <w:rPr>
          <w:i/>
          <w:sz w:val="20"/>
        </w:rPr>
        <w:t>отражающие</w:t>
      </w:r>
      <w:r>
        <w:rPr>
          <w:i/>
          <w:spacing w:val="-12"/>
          <w:sz w:val="20"/>
        </w:rPr>
        <w:t> </w:t>
      </w:r>
      <w:r>
        <w:rPr>
          <w:i/>
          <w:sz w:val="20"/>
        </w:rPr>
        <w:t>связи</w:t>
      </w:r>
      <w:r>
        <w:rPr>
          <w:i/>
          <w:spacing w:val="-12"/>
          <w:sz w:val="20"/>
        </w:rPr>
        <w:t> </w:t>
      </w:r>
      <w:r>
        <w:rPr>
          <w:i/>
          <w:sz w:val="20"/>
        </w:rPr>
        <w:t>человека</w:t>
      </w:r>
      <w:r>
        <w:rPr>
          <w:i/>
          <w:spacing w:val="-12"/>
          <w:sz w:val="20"/>
        </w:rPr>
        <w:t> </w:t>
      </w:r>
      <w:r>
        <w:rPr>
          <w:i/>
          <w:sz w:val="20"/>
        </w:rPr>
        <w:t>со</w:t>
      </w:r>
      <w:r>
        <w:rPr>
          <w:i/>
          <w:spacing w:val="-12"/>
          <w:sz w:val="20"/>
        </w:rPr>
        <w:t> </w:t>
      </w:r>
      <w:r>
        <w:rPr>
          <w:i/>
          <w:sz w:val="20"/>
        </w:rPr>
        <w:t>своей культурой и своим народом. Необходимо помнить, что в музей можно поместить только нечто материальное. Это значит, что в качестве артефактов не могут выступать духовные ценности (гостеприимство и пр.), природные объекты (река Волга, русский лес, морозы, сибирские просторы и т.д.), памятники архитектуры (Кремль, церковь др.).</w:t>
      </w:r>
    </w:p>
    <w:p>
      <w:pPr>
        <w:pStyle w:val="ListParagraph"/>
        <w:numPr>
          <w:ilvl w:val="2"/>
          <w:numId w:val="267"/>
        </w:numPr>
        <w:tabs>
          <w:tab w:pos="580" w:val="left" w:leader="none"/>
        </w:tabs>
        <w:spacing w:line="235" w:lineRule="auto" w:before="5" w:after="0"/>
        <w:ind w:left="141" w:right="139" w:firstLine="283"/>
        <w:jc w:val="both"/>
        <w:rPr>
          <w:i/>
          <w:sz w:val="20"/>
        </w:rPr>
      </w:pPr>
      <w:r>
        <w:rPr>
          <w:i/>
          <w:sz w:val="20"/>
        </w:rPr>
        <w:t>–</w:t>
      </w:r>
      <w:r>
        <w:rPr>
          <w:i/>
          <w:spacing w:val="-1"/>
          <w:sz w:val="20"/>
        </w:rPr>
        <w:t> </w:t>
      </w:r>
      <w:r>
        <w:rPr>
          <w:i/>
          <w:sz w:val="20"/>
        </w:rPr>
        <w:t>Представьте</w:t>
      </w:r>
      <w:r>
        <w:rPr>
          <w:i/>
          <w:spacing w:val="-1"/>
          <w:sz w:val="20"/>
        </w:rPr>
        <w:t> </w:t>
      </w:r>
      <w:r>
        <w:rPr>
          <w:i/>
          <w:sz w:val="20"/>
        </w:rPr>
        <w:t>себе,</w:t>
      </w:r>
      <w:r>
        <w:rPr>
          <w:i/>
          <w:spacing w:val="-1"/>
          <w:sz w:val="20"/>
        </w:rPr>
        <w:t> </w:t>
      </w:r>
      <w:r>
        <w:rPr>
          <w:i/>
          <w:sz w:val="20"/>
        </w:rPr>
        <w:t>что вы</w:t>
      </w:r>
      <w:r>
        <w:rPr>
          <w:i/>
          <w:spacing w:val="-1"/>
          <w:sz w:val="20"/>
        </w:rPr>
        <w:t> </w:t>
      </w:r>
      <w:r>
        <w:rPr>
          <w:i/>
          <w:sz w:val="20"/>
        </w:rPr>
        <w:t>отправляетесь</w:t>
      </w:r>
      <w:r>
        <w:rPr>
          <w:i/>
          <w:spacing w:val="-1"/>
          <w:sz w:val="20"/>
        </w:rPr>
        <w:t> </w:t>
      </w:r>
      <w:r>
        <w:rPr>
          <w:i/>
          <w:sz w:val="20"/>
        </w:rPr>
        <w:t>на</w:t>
      </w:r>
      <w:r>
        <w:rPr>
          <w:i/>
          <w:spacing w:val="-1"/>
          <w:sz w:val="20"/>
        </w:rPr>
        <w:t> </w:t>
      </w:r>
      <w:r>
        <w:rPr>
          <w:i/>
          <w:sz w:val="20"/>
        </w:rPr>
        <w:t>международную</w:t>
      </w:r>
      <w:r>
        <w:rPr>
          <w:i/>
          <w:spacing w:val="-1"/>
          <w:sz w:val="20"/>
        </w:rPr>
        <w:t> </w:t>
      </w:r>
      <w:r>
        <w:rPr>
          <w:i/>
          <w:sz w:val="20"/>
        </w:rPr>
        <w:t>конференцию, где будут участвовать представители различных народов и культур. Вам нужно привезти с собой предмет, отражающий вашу связь с вашей культурой и вашим народом. Необходимо помнить, что привезти можно только нечто материальное. Это значит, что в качестве артефактов не могут выступать духовные ценности </w:t>
      </w:r>
      <w:r>
        <w:rPr>
          <w:i/>
          <w:spacing w:val="-2"/>
          <w:sz w:val="20"/>
        </w:rPr>
        <w:t>(гостеприимство и</w:t>
      </w:r>
      <w:r>
        <w:rPr>
          <w:i/>
          <w:spacing w:val="-1"/>
          <w:sz w:val="20"/>
        </w:rPr>
        <w:t> </w:t>
      </w:r>
      <w:r>
        <w:rPr>
          <w:i/>
          <w:spacing w:val="-2"/>
          <w:sz w:val="20"/>
        </w:rPr>
        <w:t>пр.), природные</w:t>
      </w:r>
      <w:r>
        <w:rPr>
          <w:i/>
          <w:spacing w:val="-1"/>
          <w:sz w:val="20"/>
        </w:rPr>
        <w:t> </w:t>
      </w:r>
      <w:r>
        <w:rPr>
          <w:i/>
          <w:spacing w:val="-2"/>
          <w:sz w:val="20"/>
        </w:rPr>
        <w:t>объекты</w:t>
      </w:r>
      <w:r>
        <w:rPr>
          <w:i/>
          <w:spacing w:val="-1"/>
          <w:sz w:val="20"/>
        </w:rPr>
        <w:t> </w:t>
      </w:r>
      <w:r>
        <w:rPr>
          <w:i/>
          <w:spacing w:val="-2"/>
          <w:sz w:val="20"/>
        </w:rPr>
        <w:t>(река Волга,</w:t>
      </w:r>
      <w:r>
        <w:rPr>
          <w:i/>
          <w:spacing w:val="-1"/>
          <w:sz w:val="20"/>
        </w:rPr>
        <w:t> </w:t>
      </w:r>
      <w:r>
        <w:rPr>
          <w:i/>
          <w:spacing w:val="-2"/>
          <w:sz w:val="20"/>
        </w:rPr>
        <w:t>русский лес,</w:t>
      </w:r>
      <w:r>
        <w:rPr>
          <w:i/>
          <w:spacing w:val="-1"/>
          <w:sz w:val="20"/>
        </w:rPr>
        <w:t> </w:t>
      </w:r>
      <w:r>
        <w:rPr>
          <w:i/>
          <w:spacing w:val="-2"/>
          <w:sz w:val="20"/>
        </w:rPr>
        <w:t>морозы,</w:t>
      </w:r>
      <w:r>
        <w:rPr>
          <w:i/>
          <w:spacing w:val="-1"/>
          <w:sz w:val="20"/>
        </w:rPr>
        <w:t> </w:t>
      </w:r>
      <w:r>
        <w:rPr>
          <w:i/>
          <w:spacing w:val="-2"/>
          <w:sz w:val="20"/>
        </w:rPr>
        <w:t>сибир-</w:t>
      </w:r>
    </w:p>
    <w:p>
      <w:pPr>
        <w:pStyle w:val="ListParagraph"/>
        <w:spacing w:after="0" w:line="235" w:lineRule="auto"/>
        <w:jc w:val="both"/>
        <w:rPr>
          <w:i/>
          <w:sz w:val="20"/>
        </w:rPr>
        <w:sectPr>
          <w:pgSz w:w="8400" w:h="11910"/>
          <w:pgMar w:header="0" w:footer="530" w:top="400" w:bottom="720" w:left="425" w:right="425"/>
        </w:sectPr>
      </w:pPr>
    </w:p>
    <w:p>
      <w:pPr>
        <w:pStyle w:val="ListParagraph"/>
        <w:numPr>
          <w:ilvl w:val="1"/>
          <w:numId w:val="268"/>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Активности</w:t>
      </w:r>
      <w:r>
        <w:rPr>
          <w:rFonts w:ascii="Georgia" w:hAnsi="Georgia"/>
          <w:color w:val="231F20"/>
          <w:spacing w:val="15"/>
          <w:sz w:val="18"/>
        </w:rPr>
        <w:t> </w:t>
      </w:r>
      <w:r>
        <w:rPr>
          <w:rFonts w:ascii="Georgia" w:hAnsi="Georgia"/>
          <w:color w:val="231F20"/>
          <w:sz w:val="18"/>
        </w:rPr>
        <w:t>межкультурного</w:t>
      </w:r>
      <w:r>
        <w:rPr>
          <w:rFonts w:ascii="Georgia" w:hAnsi="Georgia"/>
          <w:color w:val="231F20"/>
          <w:spacing w:val="15"/>
          <w:sz w:val="18"/>
        </w:rPr>
        <w:t> </w:t>
      </w:r>
      <w:r>
        <w:rPr>
          <w:rFonts w:ascii="Georgia" w:hAnsi="Georgia"/>
          <w:color w:val="231F20"/>
          <w:sz w:val="18"/>
        </w:rPr>
        <w:t>тренинга</w:t>
      </w:r>
      <w:r>
        <w:rPr>
          <w:rFonts w:ascii="Georgia" w:hAnsi="Georgia"/>
          <w:color w:val="231F20"/>
          <w:spacing w:val="16"/>
          <w:sz w:val="18"/>
        </w:rPr>
        <w:t> </w:t>
      </w:r>
      <w:r>
        <w:rPr>
          <w:rFonts w:ascii="Georgia" w:hAnsi="Georgia"/>
          <w:color w:val="231F20"/>
          <w:sz w:val="18"/>
        </w:rPr>
        <w:t>для</w:t>
      </w:r>
      <w:r>
        <w:rPr>
          <w:rFonts w:ascii="Georgia" w:hAnsi="Georgia"/>
          <w:color w:val="231F20"/>
          <w:spacing w:val="15"/>
          <w:sz w:val="18"/>
        </w:rPr>
        <w:t> </w:t>
      </w:r>
      <w:r>
        <w:rPr>
          <w:rFonts w:ascii="Georgia" w:hAnsi="Georgia"/>
          <w:color w:val="231F20"/>
          <w:sz w:val="18"/>
        </w:rPr>
        <w:t>поликультурного</w:t>
      </w:r>
      <w:r>
        <w:rPr>
          <w:rFonts w:ascii="Georgia" w:hAnsi="Georgia"/>
          <w:color w:val="231F20"/>
          <w:spacing w:val="16"/>
          <w:sz w:val="18"/>
        </w:rPr>
        <w:t> </w:t>
      </w:r>
      <w:r>
        <w:rPr>
          <w:rFonts w:ascii="Georgia" w:hAnsi="Georgia"/>
          <w:color w:val="231F20"/>
          <w:spacing w:val="-2"/>
          <w:sz w:val="18"/>
        </w:rPr>
        <w:t>класса</w:t>
      </w:r>
    </w:p>
    <w:p>
      <w:pPr>
        <w:spacing w:line="235" w:lineRule="auto" w:before="116"/>
        <w:ind w:left="141" w:right="139" w:firstLine="0"/>
        <w:jc w:val="both"/>
        <w:rPr>
          <w:i/>
          <w:sz w:val="20"/>
        </w:rPr>
      </w:pPr>
      <w:r>
        <w:rPr>
          <w:i/>
          <w:sz w:val="20"/>
        </w:rPr>
        <w:t>ские</w:t>
      </w:r>
      <w:r>
        <w:rPr>
          <w:i/>
          <w:spacing w:val="-7"/>
          <w:sz w:val="20"/>
        </w:rPr>
        <w:t> </w:t>
      </w:r>
      <w:r>
        <w:rPr>
          <w:i/>
          <w:sz w:val="20"/>
        </w:rPr>
        <w:t>просторы</w:t>
      </w:r>
      <w:r>
        <w:rPr>
          <w:i/>
          <w:spacing w:val="-7"/>
          <w:sz w:val="20"/>
        </w:rPr>
        <w:t> </w:t>
      </w:r>
      <w:r>
        <w:rPr>
          <w:i/>
          <w:sz w:val="20"/>
        </w:rPr>
        <w:t>и</w:t>
      </w:r>
      <w:r>
        <w:rPr>
          <w:i/>
          <w:spacing w:val="-7"/>
          <w:sz w:val="20"/>
        </w:rPr>
        <w:t> </w:t>
      </w:r>
      <w:r>
        <w:rPr>
          <w:i/>
          <w:sz w:val="20"/>
        </w:rPr>
        <w:t>т.д.),</w:t>
      </w:r>
      <w:r>
        <w:rPr>
          <w:i/>
          <w:spacing w:val="-7"/>
          <w:sz w:val="20"/>
        </w:rPr>
        <w:t> </w:t>
      </w:r>
      <w:r>
        <w:rPr>
          <w:i/>
          <w:sz w:val="20"/>
        </w:rPr>
        <w:t>памятники</w:t>
      </w:r>
      <w:r>
        <w:rPr>
          <w:i/>
          <w:spacing w:val="-7"/>
          <w:sz w:val="20"/>
        </w:rPr>
        <w:t> </w:t>
      </w:r>
      <w:r>
        <w:rPr>
          <w:i/>
          <w:sz w:val="20"/>
        </w:rPr>
        <w:t>архитектуры</w:t>
      </w:r>
      <w:r>
        <w:rPr>
          <w:i/>
          <w:spacing w:val="-7"/>
          <w:sz w:val="20"/>
        </w:rPr>
        <w:t> </w:t>
      </w:r>
      <w:r>
        <w:rPr>
          <w:i/>
          <w:sz w:val="20"/>
        </w:rPr>
        <w:t>(Кремль,</w:t>
      </w:r>
      <w:r>
        <w:rPr>
          <w:i/>
          <w:spacing w:val="-7"/>
          <w:sz w:val="20"/>
        </w:rPr>
        <w:t> </w:t>
      </w:r>
      <w:r>
        <w:rPr>
          <w:i/>
          <w:sz w:val="20"/>
        </w:rPr>
        <w:t>церковь</w:t>
      </w:r>
      <w:r>
        <w:rPr>
          <w:i/>
          <w:spacing w:val="-7"/>
          <w:sz w:val="20"/>
        </w:rPr>
        <w:t> </w:t>
      </w:r>
      <w:r>
        <w:rPr>
          <w:i/>
          <w:sz w:val="20"/>
        </w:rPr>
        <w:t>и</w:t>
      </w:r>
      <w:r>
        <w:rPr>
          <w:i/>
          <w:spacing w:val="-7"/>
          <w:sz w:val="20"/>
        </w:rPr>
        <w:t> </w:t>
      </w:r>
      <w:r>
        <w:rPr>
          <w:i/>
          <w:sz w:val="20"/>
        </w:rPr>
        <w:t>др.).</w:t>
      </w:r>
      <w:r>
        <w:rPr>
          <w:i/>
          <w:spacing w:val="-7"/>
          <w:sz w:val="20"/>
        </w:rPr>
        <w:t> </w:t>
      </w:r>
      <w:r>
        <w:rPr>
          <w:i/>
          <w:sz w:val="20"/>
        </w:rPr>
        <w:t>Предметов может быть несколько.</w:t>
      </w:r>
    </w:p>
    <w:p>
      <w:pPr>
        <w:pStyle w:val="BodyText"/>
        <w:spacing w:line="235" w:lineRule="auto" w:before="1"/>
        <w:ind w:left="425" w:right="1639" w:firstLine="0"/>
      </w:pPr>
      <w:r>
        <w:rPr/>
        <w:t>Возможны</w:t>
      </w:r>
      <w:r>
        <w:rPr>
          <w:spacing w:val="-10"/>
        </w:rPr>
        <w:t> </w:t>
      </w:r>
      <w:r>
        <w:rPr/>
        <w:t>два</w:t>
      </w:r>
      <w:r>
        <w:rPr>
          <w:spacing w:val="-10"/>
        </w:rPr>
        <w:t> </w:t>
      </w:r>
      <w:r>
        <w:rPr/>
        <w:t>варианта</w:t>
      </w:r>
      <w:r>
        <w:rPr>
          <w:spacing w:val="-10"/>
        </w:rPr>
        <w:t> </w:t>
      </w:r>
      <w:r>
        <w:rPr/>
        <w:t>формулировки</w:t>
      </w:r>
      <w:r>
        <w:rPr>
          <w:spacing w:val="-11"/>
        </w:rPr>
        <w:t> </w:t>
      </w:r>
      <w:r>
        <w:rPr/>
        <w:t>задания</w:t>
      </w:r>
      <w:r>
        <w:rPr>
          <w:spacing w:val="-10"/>
        </w:rPr>
        <w:t> </w:t>
      </w:r>
      <w:r>
        <w:rPr/>
        <w:t>для</w:t>
      </w:r>
      <w:r>
        <w:rPr>
          <w:spacing w:val="-10"/>
        </w:rPr>
        <w:t> </w:t>
      </w:r>
      <w:r>
        <w:rPr/>
        <w:t>участников. Вариант 1:</w:t>
      </w:r>
    </w:p>
    <w:p>
      <w:pPr>
        <w:pStyle w:val="ListParagraph"/>
        <w:numPr>
          <w:ilvl w:val="2"/>
          <w:numId w:val="268"/>
        </w:numPr>
        <w:tabs>
          <w:tab w:pos="565" w:val="left" w:leader="none"/>
        </w:tabs>
        <w:spacing w:line="235" w:lineRule="auto" w:before="1" w:after="0"/>
        <w:ind w:left="141" w:right="139" w:firstLine="283"/>
        <w:jc w:val="both"/>
        <w:rPr>
          <w:i/>
          <w:sz w:val="20"/>
        </w:rPr>
      </w:pPr>
      <w:r>
        <w:rPr>
          <w:i/>
          <w:spacing w:val="-2"/>
          <w:sz w:val="20"/>
        </w:rPr>
        <w:t>Нарисуйте</w:t>
      </w:r>
      <w:r>
        <w:rPr>
          <w:i/>
          <w:spacing w:val="-4"/>
          <w:sz w:val="20"/>
        </w:rPr>
        <w:t> </w:t>
      </w:r>
      <w:r>
        <w:rPr>
          <w:i/>
          <w:spacing w:val="-2"/>
          <w:sz w:val="20"/>
        </w:rPr>
        <w:t>артефакт</w:t>
      </w:r>
      <w:r>
        <w:rPr>
          <w:i/>
          <w:spacing w:val="-4"/>
          <w:sz w:val="20"/>
        </w:rPr>
        <w:t> </w:t>
      </w:r>
      <w:r>
        <w:rPr>
          <w:i/>
          <w:spacing w:val="-2"/>
          <w:sz w:val="20"/>
        </w:rPr>
        <w:t>(предмет),</w:t>
      </w:r>
      <w:r>
        <w:rPr>
          <w:i/>
          <w:spacing w:val="-4"/>
          <w:sz w:val="20"/>
        </w:rPr>
        <w:t> </w:t>
      </w:r>
      <w:r>
        <w:rPr>
          <w:i/>
          <w:spacing w:val="-2"/>
          <w:sz w:val="20"/>
        </w:rPr>
        <w:t>который</w:t>
      </w:r>
      <w:r>
        <w:rPr>
          <w:i/>
          <w:spacing w:val="-3"/>
          <w:sz w:val="20"/>
        </w:rPr>
        <w:t> </w:t>
      </w:r>
      <w:r>
        <w:rPr>
          <w:i/>
          <w:spacing w:val="-2"/>
          <w:sz w:val="20"/>
        </w:rPr>
        <w:t>мог</w:t>
      </w:r>
      <w:r>
        <w:rPr>
          <w:i/>
          <w:spacing w:val="-4"/>
          <w:sz w:val="20"/>
        </w:rPr>
        <w:t> </w:t>
      </w:r>
      <w:r>
        <w:rPr>
          <w:i/>
          <w:spacing w:val="-2"/>
          <w:sz w:val="20"/>
        </w:rPr>
        <w:t>бы</w:t>
      </w:r>
      <w:r>
        <w:rPr>
          <w:i/>
          <w:spacing w:val="-4"/>
          <w:sz w:val="20"/>
        </w:rPr>
        <w:t> </w:t>
      </w:r>
      <w:r>
        <w:rPr>
          <w:i/>
          <w:spacing w:val="-2"/>
          <w:sz w:val="20"/>
        </w:rPr>
        <w:t>явиться</w:t>
      </w:r>
      <w:r>
        <w:rPr>
          <w:i/>
          <w:spacing w:val="-4"/>
          <w:sz w:val="20"/>
        </w:rPr>
        <w:t> </w:t>
      </w:r>
      <w:r>
        <w:rPr>
          <w:i/>
          <w:spacing w:val="-2"/>
          <w:sz w:val="20"/>
        </w:rPr>
        <w:t>экспонатом</w:t>
      </w:r>
      <w:r>
        <w:rPr>
          <w:i/>
          <w:spacing w:val="-4"/>
          <w:sz w:val="20"/>
        </w:rPr>
        <w:t> </w:t>
      </w:r>
      <w:r>
        <w:rPr>
          <w:i/>
          <w:spacing w:val="-2"/>
          <w:sz w:val="20"/>
        </w:rPr>
        <w:t>в</w:t>
      </w:r>
      <w:r>
        <w:rPr>
          <w:i/>
          <w:spacing w:val="-4"/>
          <w:sz w:val="20"/>
        </w:rPr>
        <w:t> </w:t>
      </w:r>
      <w:r>
        <w:rPr>
          <w:i/>
          <w:spacing w:val="-2"/>
          <w:sz w:val="20"/>
        </w:rPr>
        <w:t>таком </w:t>
      </w:r>
      <w:r>
        <w:rPr>
          <w:i/>
          <w:sz w:val="20"/>
        </w:rPr>
        <w:t>музее и который отражал бы вашу связь с вашим народом и вашей культурой.</w:t>
      </w:r>
    </w:p>
    <w:p>
      <w:pPr>
        <w:pStyle w:val="BodyText"/>
        <w:spacing w:before="2"/>
        <w:ind w:left="425" w:right="0" w:firstLine="0"/>
      </w:pPr>
      <w:r>
        <w:rPr/>
        <w:t>Вариант </w:t>
      </w:r>
      <w:r>
        <w:rPr>
          <w:spacing w:val="-5"/>
        </w:rPr>
        <w:t>2:</w:t>
      </w:r>
    </w:p>
    <w:p>
      <w:pPr>
        <w:pStyle w:val="ListParagraph"/>
        <w:numPr>
          <w:ilvl w:val="2"/>
          <w:numId w:val="268"/>
        </w:numPr>
        <w:tabs>
          <w:tab w:pos="570" w:val="left" w:leader="none"/>
        </w:tabs>
        <w:spacing w:line="240" w:lineRule="auto" w:before="0" w:after="0"/>
        <w:ind w:left="141" w:right="139" w:firstLine="283"/>
        <w:jc w:val="both"/>
        <w:rPr>
          <w:sz w:val="20"/>
        </w:rPr>
      </w:pPr>
      <w:r>
        <w:rPr>
          <w:i/>
          <w:sz w:val="20"/>
        </w:rPr>
        <w:t>Принесите</w:t>
      </w:r>
      <w:r>
        <w:rPr>
          <w:i/>
          <w:spacing w:val="-13"/>
          <w:sz w:val="20"/>
        </w:rPr>
        <w:t> </w:t>
      </w:r>
      <w:r>
        <w:rPr>
          <w:i/>
          <w:sz w:val="20"/>
        </w:rPr>
        <w:t>(привезите)</w:t>
      </w:r>
      <w:r>
        <w:rPr>
          <w:i/>
          <w:spacing w:val="-12"/>
          <w:sz w:val="20"/>
        </w:rPr>
        <w:t> </w:t>
      </w:r>
      <w:r>
        <w:rPr>
          <w:i/>
          <w:sz w:val="20"/>
        </w:rPr>
        <w:t>с</w:t>
      </w:r>
      <w:r>
        <w:rPr>
          <w:i/>
          <w:spacing w:val="-12"/>
          <w:sz w:val="20"/>
        </w:rPr>
        <w:t> </w:t>
      </w:r>
      <w:r>
        <w:rPr>
          <w:i/>
          <w:sz w:val="20"/>
        </w:rPr>
        <w:t>собой</w:t>
      </w:r>
      <w:r>
        <w:rPr>
          <w:i/>
          <w:spacing w:val="-12"/>
          <w:sz w:val="20"/>
        </w:rPr>
        <w:t> </w:t>
      </w:r>
      <w:r>
        <w:rPr>
          <w:i/>
          <w:sz w:val="20"/>
        </w:rPr>
        <w:t>такой</w:t>
      </w:r>
      <w:r>
        <w:rPr>
          <w:i/>
          <w:spacing w:val="-12"/>
          <w:sz w:val="20"/>
        </w:rPr>
        <w:t> </w:t>
      </w:r>
      <w:r>
        <w:rPr>
          <w:i/>
          <w:sz w:val="20"/>
        </w:rPr>
        <w:t>предмет.</w:t>
      </w:r>
      <w:r>
        <w:rPr>
          <w:i/>
          <w:spacing w:val="-13"/>
          <w:sz w:val="20"/>
        </w:rPr>
        <w:t> </w:t>
      </w:r>
      <w:r>
        <w:rPr>
          <w:sz w:val="20"/>
        </w:rPr>
        <w:t>(Этот</w:t>
      </w:r>
      <w:r>
        <w:rPr>
          <w:spacing w:val="-12"/>
          <w:sz w:val="20"/>
        </w:rPr>
        <w:t> </w:t>
      </w:r>
      <w:r>
        <w:rPr>
          <w:sz w:val="20"/>
        </w:rPr>
        <w:t>вариант</w:t>
      </w:r>
      <w:r>
        <w:rPr>
          <w:spacing w:val="-12"/>
          <w:sz w:val="20"/>
        </w:rPr>
        <w:t> </w:t>
      </w:r>
      <w:r>
        <w:rPr>
          <w:sz w:val="20"/>
        </w:rPr>
        <w:t>может</w:t>
      </w:r>
      <w:r>
        <w:rPr>
          <w:spacing w:val="-12"/>
          <w:sz w:val="20"/>
        </w:rPr>
        <w:t> </w:t>
      </w:r>
      <w:r>
        <w:rPr>
          <w:sz w:val="20"/>
        </w:rPr>
        <w:t>выступать в</w:t>
      </w:r>
      <w:r>
        <w:rPr>
          <w:spacing w:val="-4"/>
          <w:sz w:val="20"/>
        </w:rPr>
        <w:t> </w:t>
      </w:r>
      <w:r>
        <w:rPr>
          <w:sz w:val="20"/>
        </w:rPr>
        <w:t>качестве</w:t>
      </w:r>
      <w:r>
        <w:rPr>
          <w:spacing w:val="-4"/>
          <w:sz w:val="20"/>
        </w:rPr>
        <w:t> </w:t>
      </w:r>
      <w:r>
        <w:rPr>
          <w:sz w:val="20"/>
        </w:rPr>
        <w:t>домашнего</w:t>
      </w:r>
      <w:r>
        <w:rPr>
          <w:spacing w:val="-4"/>
          <w:sz w:val="20"/>
        </w:rPr>
        <w:t> </w:t>
      </w:r>
      <w:r>
        <w:rPr>
          <w:sz w:val="20"/>
        </w:rPr>
        <w:t>задания</w:t>
      </w:r>
      <w:r>
        <w:rPr>
          <w:spacing w:val="-4"/>
          <w:sz w:val="20"/>
        </w:rPr>
        <w:t> </w:t>
      </w:r>
      <w:r>
        <w:rPr>
          <w:sz w:val="20"/>
        </w:rPr>
        <w:t>и</w:t>
      </w:r>
      <w:r>
        <w:rPr>
          <w:spacing w:val="-4"/>
          <w:sz w:val="20"/>
        </w:rPr>
        <w:t> </w:t>
      </w:r>
      <w:r>
        <w:rPr>
          <w:sz w:val="20"/>
        </w:rPr>
        <w:t>вводит</w:t>
      </w:r>
      <w:r>
        <w:rPr>
          <w:spacing w:val="-4"/>
          <w:sz w:val="20"/>
        </w:rPr>
        <w:t> </w:t>
      </w:r>
      <w:r>
        <w:rPr>
          <w:sz w:val="20"/>
        </w:rPr>
        <w:t>участников</w:t>
      </w:r>
      <w:r>
        <w:rPr>
          <w:spacing w:val="-4"/>
          <w:sz w:val="20"/>
        </w:rPr>
        <w:t> </w:t>
      </w:r>
      <w:r>
        <w:rPr>
          <w:sz w:val="20"/>
        </w:rPr>
        <w:t>в</w:t>
      </w:r>
      <w:r>
        <w:rPr>
          <w:spacing w:val="-4"/>
          <w:sz w:val="20"/>
        </w:rPr>
        <w:t> </w:t>
      </w:r>
      <w:r>
        <w:rPr>
          <w:sz w:val="20"/>
        </w:rPr>
        <w:t>контекст</w:t>
      </w:r>
      <w:r>
        <w:rPr>
          <w:spacing w:val="-4"/>
          <w:sz w:val="20"/>
        </w:rPr>
        <w:t> </w:t>
      </w:r>
      <w:r>
        <w:rPr>
          <w:sz w:val="20"/>
        </w:rPr>
        <w:t>мероприятия</w:t>
      </w:r>
      <w:r>
        <w:rPr>
          <w:spacing w:val="-4"/>
          <w:sz w:val="20"/>
        </w:rPr>
        <w:t> </w:t>
      </w:r>
      <w:r>
        <w:rPr>
          <w:sz w:val="20"/>
        </w:rPr>
        <w:t>заблаго- </w:t>
      </w:r>
      <w:r>
        <w:rPr>
          <w:spacing w:val="-2"/>
          <w:sz w:val="20"/>
        </w:rPr>
        <w:t>временно.)</w:t>
      </w:r>
    </w:p>
    <w:p>
      <w:pPr>
        <w:pStyle w:val="BodyText"/>
      </w:pPr>
      <w:r>
        <w:rPr/>
        <w:t>Участники по очереди представляют свои предметы/рисунки и объясняют свой выбор. Затем ведущий предлагает участникам внимательно рассмотреть предметы или</w:t>
      </w:r>
      <w:r>
        <w:rPr>
          <w:spacing w:val="-11"/>
        </w:rPr>
        <w:t> </w:t>
      </w:r>
      <w:r>
        <w:rPr/>
        <w:t>рисунки,</w:t>
      </w:r>
      <w:r>
        <w:rPr>
          <w:spacing w:val="-11"/>
        </w:rPr>
        <w:t> </w:t>
      </w:r>
      <w:r>
        <w:rPr/>
        <w:t>предложенные</w:t>
      </w:r>
      <w:r>
        <w:rPr>
          <w:spacing w:val="-11"/>
        </w:rPr>
        <w:t> </w:t>
      </w:r>
      <w:r>
        <w:rPr/>
        <w:t>другими,</w:t>
      </w:r>
      <w:r>
        <w:rPr>
          <w:spacing w:val="-11"/>
        </w:rPr>
        <w:t> </w:t>
      </w:r>
      <w:r>
        <w:rPr/>
        <w:t>и</w:t>
      </w:r>
      <w:r>
        <w:rPr>
          <w:spacing w:val="-11"/>
        </w:rPr>
        <w:t> </w:t>
      </w:r>
      <w:r>
        <w:rPr/>
        <w:t>объединиться</w:t>
      </w:r>
      <w:r>
        <w:rPr>
          <w:spacing w:val="-11"/>
        </w:rPr>
        <w:t> </w:t>
      </w:r>
      <w:r>
        <w:rPr/>
        <w:t>с</w:t>
      </w:r>
      <w:r>
        <w:rPr>
          <w:spacing w:val="-11"/>
        </w:rPr>
        <w:t> </w:t>
      </w:r>
      <w:r>
        <w:rPr/>
        <w:t>похожими</w:t>
      </w:r>
      <w:r>
        <w:rPr>
          <w:spacing w:val="-11"/>
        </w:rPr>
        <w:t> </w:t>
      </w:r>
      <w:r>
        <w:rPr/>
        <w:t>в</w:t>
      </w:r>
      <w:r>
        <w:rPr>
          <w:spacing w:val="-11"/>
        </w:rPr>
        <w:t> </w:t>
      </w:r>
      <w:r>
        <w:rPr/>
        <w:t>группы.</w:t>
      </w:r>
      <w:r>
        <w:rPr>
          <w:spacing w:val="-11"/>
        </w:rPr>
        <w:t> </w:t>
      </w:r>
      <w:r>
        <w:rPr/>
        <w:t>Количе- ство</w:t>
      </w:r>
      <w:r>
        <w:rPr>
          <w:spacing w:val="-11"/>
        </w:rPr>
        <w:t> </w:t>
      </w:r>
      <w:r>
        <w:rPr/>
        <w:t>групп</w:t>
      </w:r>
      <w:r>
        <w:rPr>
          <w:spacing w:val="-11"/>
        </w:rPr>
        <w:t> </w:t>
      </w:r>
      <w:r>
        <w:rPr/>
        <w:t>и</w:t>
      </w:r>
      <w:r>
        <w:rPr>
          <w:spacing w:val="-11"/>
        </w:rPr>
        <w:t> </w:t>
      </w:r>
      <w:r>
        <w:rPr/>
        <w:t>человек</w:t>
      </w:r>
      <w:r>
        <w:rPr>
          <w:spacing w:val="-11"/>
        </w:rPr>
        <w:t> </w:t>
      </w:r>
      <w:r>
        <w:rPr/>
        <w:t>в</w:t>
      </w:r>
      <w:r>
        <w:rPr>
          <w:spacing w:val="-11"/>
        </w:rPr>
        <w:t> </w:t>
      </w:r>
      <w:r>
        <w:rPr/>
        <w:t>группе</w:t>
      </w:r>
      <w:r>
        <w:rPr>
          <w:spacing w:val="-11"/>
        </w:rPr>
        <w:t> </w:t>
      </w:r>
      <w:r>
        <w:rPr/>
        <w:t>не</w:t>
      </w:r>
      <w:r>
        <w:rPr>
          <w:spacing w:val="-11"/>
        </w:rPr>
        <w:t> </w:t>
      </w:r>
      <w:r>
        <w:rPr/>
        <w:t>регламентируется</w:t>
      </w:r>
      <w:r>
        <w:rPr>
          <w:spacing w:val="-11"/>
        </w:rPr>
        <w:t> </w:t>
      </w:r>
      <w:r>
        <w:rPr/>
        <w:t>и</w:t>
      </w:r>
      <w:r>
        <w:rPr>
          <w:spacing w:val="-11"/>
        </w:rPr>
        <w:t> </w:t>
      </w:r>
      <w:r>
        <w:rPr/>
        <w:t>принцип</w:t>
      </w:r>
      <w:r>
        <w:rPr>
          <w:spacing w:val="-11"/>
        </w:rPr>
        <w:t> </w:t>
      </w:r>
      <w:r>
        <w:rPr/>
        <w:t>похожести</w:t>
      </w:r>
      <w:r>
        <w:rPr>
          <w:spacing w:val="-11"/>
        </w:rPr>
        <w:t> </w:t>
      </w:r>
      <w:r>
        <w:rPr/>
        <w:t>не</w:t>
      </w:r>
      <w:r>
        <w:rPr>
          <w:spacing w:val="-11"/>
        </w:rPr>
        <w:t> </w:t>
      </w:r>
      <w:r>
        <w:rPr/>
        <w:t>оговари- </w:t>
      </w:r>
      <w:r>
        <w:rPr>
          <w:spacing w:val="-2"/>
        </w:rPr>
        <w:t>вается.</w:t>
      </w:r>
      <w:r>
        <w:rPr>
          <w:spacing w:val="-4"/>
        </w:rPr>
        <w:t> </w:t>
      </w:r>
      <w:r>
        <w:rPr>
          <w:spacing w:val="-2"/>
        </w:rPr>
        <w:t>Каждая</w:t>
      </w:r>
      <w:r>
        <w:rPr>
          <w:spacing w:val="-4"/>
        </w:rPr>
        <w:t> </w:t>
      </w:r>
      <w:r>
        <w:rPr>
          <w:spacing w:val="-2"/>
        </w:rPr>
        <w:t>группа</w:t>
      </w:r>
      <w:r>
        <w:rPr>
          <w:spacing w:val="-4"/>
        </w:rPr>
        <w:t> </w:t>
      </w:r>
      <w:r>
        <w:rPr>
          <w:spacing w:val="-2"/>
        </w:rPr>
        <w:t>должна</w:t>
      </w:r>
      <w:r>
        <w:rPr>
          <w:spacing w:val="-4"/>
        </w:rPr>
        <w:t> </w:t>
      </w:r>
      <w:r>
        <w:rPr>
          <w:spacing w:val="-2"/>
        </w:rPr>
        <w:t>сформулировать,</w:t>
      </w:r>
      <w:r>
        <w:rPr>
          <w:spacing w:val="-4"/>
        </w:rPr>
        <w:t> </w:t>
      </w:r>
      <w:r>
        <w:rPr>
          <w:spacing w:val="-2"/>
        </w:rPr>
        <w:t>чем</w:t>
      </w:r>
      <w:r>
        <w:rPr>
          <w:spacing w:val="-4"/>
        </w:rPr>
        <w:t> </w:t>
      </w:r>
      <w:r>
        <w:rPr>
          <w:spacing w:val="-2"/>
        </w:rPr>
        <w:t>похожи</w:t>
      </w:r>
      <w:r>
        <w:rPr>
          <w:spacing w:val="-4"/>
        </w:rPr>
        <w:t> </w:t>
      </w:r>
      <w:r>
        <w:rPr>
          <w:spacing w:val="-2"/>
        </w:rPr>
        <w:t>их</w:t>
      </w:r>
      <w:r>
        <w:rPr>
          <w:spacing w:val="-4"/>
        </w:rPr>
        <w:t> </w:t>
      </w:r>
      <w:r>
        <w:rPr>
          <w:spacing w:val="-2"/>
        </w:rPr>
        <w:t>предметы</w:t>
      </w:r>
      <w:r>
        <w:rPr>
          <w:spacing w:val="-4"/>
        </w:rPr>
        <w:t> </w:t>
      </w:r>
      <w:r>
        <w:rPr>
          <w:spacing w:val="-2"/>
        </w:rPr>
        <w:t>и</w:t>
      </w:r>
      <w:r>
        <w:rPr>
          <w:spacing w:val="-4"/>
        </w:rPr>
        <w:t> </w:t>
      </w:r>
      <w:r>
        <w:rPr>
          <w:spacing w:val="-2"/>
        </w:rPr>
        <w:t>по</w:t>
      </w:r>
      <w:r>
        <w:rPr>
          <w:spacing w:val="-4"/>
        </w:rPr>
        <w:t> </w:t>
      </w:r>
      <w:r>
        <w:rPr>
          <w:spacing w:val="-2"/>
        </w:rPr>
        <w:t>какому </w:t>
      </w:r>
      <w:r>
        <w:rPr/>
        <w:t>принципу они объединились. Ведущий записывает названия групп на флип-чарте.</w:t>
      </w:r>
    </w:p>
    <w:p>
      <w:pPr>
        <w:spacing w:before="0"/>
        <w:ind w:left="425" w:right="0" w:firstLine="0"/>
        <w:jc w:val="both"/>
        <w:rPr>
          <w:sz w:val="20"/>
        </w:rPr>
      </w:pPr>
      <w:r>
        <w:rPr>
          <w:b/>
          <w:sz w:val="20"/>
        </w:rPr>
        <w:t>Вопросы для </w:t>
      </w:r>
      <w:r>
        <w:rPr>
          <w:b/>
          <w:spacing w:val="-2"/>
          <w:sz w:val="20"/>
        </w:rPr>
        <w:t>обсуждения</w:t>
      </w:r>
      <w:r>
        <w:rPr>
          <w:spacing w:val="-2"/>
          <w:sz w:val="20"/>
        </w:rPr>
        <w:t>:</w:t>
      </w:r>
    </w:p>
    <w:p>
      <w:pPr>
        <w:pStyle w:val="ListParagraph"/>
        <w:numPr>
          <w:ilvl w:val="2"/>
          <w:numId w:val="268"/>
        </w:numPr>
        <w:tabs>
          <w:tab w:pos="585" w:val="left" w:leader="none"/>
        </w:tabs>
        <w:spacing w:line="240" w:lineRule="auto" w:before="0" w:after="0"/>
        <w:ind w:left="141" w:right="139" w:firstLine="283"/>
        <w:jc w:val="both"/>
        <w:rPr>
          <w:i/>
          <w:sz w:val="20"/>
        </w:rPr>
      </w:pPr>
      <w:r>
        <w:rPr>
          <w:i/>
          <w:sz w:val="20"/>
        </w:rPr>
        <w:t>Какие чувства возникают, когда вы рисуете или показываете данные предме- ты? Были ли другие варианты и почему остановились именно на этом?</w:t>
      </w:r>
    </w:p>
    <w:p>
      <w:pPr>
        <w:spacing w:before="114"/>
        <w:ind w:left="303" w:right="303" w:firstLine="0"/>
        <w:jc w:val="center"/>
        <w:rPr>
          <w:b/>
          <w:sz w:val="20"/>
        </w:rPr>
      </w:pPr>
      <w:r>
        <w:rPr>
          <w:b/>
          <w:spacing w:val="-2"/>
          <w:sz w:val="20"/>
        </w:rPr>
        <w:t>«Пословицы»</w:t>
      </w:r>
    </w:p>
    <w:p>
      <w:pPr>
        <w:spacing w:before="113"/>
        <w:ind w:left="5401" w:right="0" w:firstLine="0"/>
        <w:jc w:val="left"/>
        <w:rPr>
          <w:i/>
          <w:sz w:val="20"/>
        </w:rPr>
      </w:pPr>
      <w:r>
        <w:rPr>
          <w:b/>
          <w:i/>
          <w:sz w:val="20"/>
        </w:rPr>
        <w:t>Источник</w:t>
      </w:r>
      <w:r>
        <w:rPr>
          <w:i/>
          <w:sz w:val="20"/>
        </w:rPr>
        <w:t>:</w:t>
      </w:r>
      <w:r>
        <w:rPr>
          <w:i/>
          <w:spacing w:val="-10"/>
          <w:sz w:val="20"/>
        </w:rPr>
        <w:t> </w:t>
      </w:r>
      <w:r>
        <w:rPr>
          <w:i/>
          <w:spacing w:val="-2"/>
          <w:sz w:val="20"/>
        </w:rPr>
        <w:t>неизвестен</w:t>
      </w:r>
    </w:p>
    <w:p>
      <w:pPr>
        <w:pStyle w:val="BodyText"/>
        <w:spacing w:before="113"/>
        <w:ind w:right="0"/>
        <w:jc w:val="left"/>
      </w:pPr>
      <w:r>
        <w:rPr/>
        <w:t>Участники получают карточки с пословицами разных народов. Им предлагается вспомнить аналогичные пословицы, существующие в их собственной культуре.</w:t>
      </w:r>
    </w:p>
    <w:p>
      <w:pPr>
        <w:pStyle w:val="BodyText"/>
        <w:ind w:left="425" w:right="0" w:firstLine="0"/>
        <w:jc w:val="left"/>
      </w:pPr>
      <w:r>
        <w:rPr>
          <w:spacing w:val="-2"/>
        </w:rPr>
        <w:t>Примеры:</w:t>
      </w:r>
    </w:p>
    <w:p>
      <w:pPr>
        <w:pStyle w:val="BodyText"/>
        <w:tabs>
          <w:tab w:pos="425" w:val="left" w:leader="none"/>
        </w:tabs>
        <w:ind w:right="0" w:firstLine="0"/>
        <w:jc w:val="left"/>
      </w:pPr>
      <w:r>
        <w:rPr>
          <w:spacing w:val="-10"/>
        </w:rPr>
        <w:t>▫</w:t>
      </w:r>
      <w:r>
        <w:rPr/>
        <w:tab/>
        <w:t>Две</w:t>
      </w:r>
      <w:r>
        <w:rPr>
          <w:spacing w:val="-6"/>
        </w:rPr>
        <w:t> </w:t>
      </w:r>
      <w:r>
        <w:rPr/>
        <w:t>руки</w:t>
      </w:r>
      <w:r>
        <w:rPr>
          <w:spacing w:val="-7"/>
        </w:rPr>
        <w:t> </w:t>
      </w:r>
      <w:r>
        <w:rPr/>
        <w:t>всегда</w:t>
      </w:r>
      <w:r>
        <w:rPr>
          <w:spacing w:val="-5"/>
        </w:rPr>
        <w:t> </w:t>
      </w:r>
      <w:r>
        <w:rPr/>
        <w:t>сильнее</w:t>
      </w:r>
      <w:r>
        <w:rPr>
          <w:spacing w:val="-6"/>
        </w:rPr>
        <w:t> </w:t>
      </w:r>
      <w:r>
        <w:rPr/>
        <w:t>одной</w:t>
      </w:r>
      <w:r>
        <w:rPr>
          <w:spacing w:val="-6"/>
        </w:rPr>
        <w:t> </w:t>
      </w:r>
      <w:r>
        <w:rPr>
          <w:spacing w:val="-2"/>
        </w:rPr>
        <w:t>(арм.)</w:t>
      </w:r>
    </w:p>
    <w:p>
      <w:pPr>
        <w:pStyle w:val="BodyText"/>
        <w:tabs>
          <w:tab w:pos="425" w:val="left" w:leader="none"/>
        </w:tabs>
        <w:ind w:right="0" w:firstLine="0"/>
        <w:jc w:val="left"/>
      </w:pPr>
      <w:r>
        <w:rPr>
          <w:spacing w:val="-10"/>
        </w:rPr>
        <w:t>▫</w:t>
      </w:r>
      <w:r>
        <w:rPr/>
        <w:tab/>
        <w:t>Если</w:t>
      </w:r>
      <w:r>
        <w:rPr>
          <w:spacing w:val="-4"/>
        </w:rPr>
        <w:t> </w:t>
      </w:r>
      <w:r>
        <w:rPr/>
        <w:t>не</w:t>
      </w:r>
      <w:r>
        <w:rPr>
          <w:spacing w:val="-3"/>
        </w:rPr>
        <w:t> </w:t>
      </w:r>
      <w:r>
        <w:rPr/>
        <w:t>любишь</w:t>
      </w:r>
      <w:r>
        <w:rPr>
          <w:spacing w:val="-3"/>
        </w:rPr>
        <w:t> </w:t>
      </w:r>
      <w:r>
        <w:rPr/>
        <w:t>жару</w:t>
      </w:r>
      <w:r>
        <w:rPr>
          <w:spacing w:val="-3"/>
        </w:rPr>
        <w:t> </w:t>
      </w:r>
      <w:r>
        <w:rPr/>
        <w:t>–</w:t>
      </w:r>
      <w:r>
        <w:rPr>
          <w:spacing w:val="-3"/>
        </w:rPr>
        <w:t> </w:t>
      </w:r>
      <w:r>
        <w:rPr/>
        <w:t>выйди</w:t>
      </w:r>
      <w:r>
        <w:rPr>
          <w:spacing w:val="-3"/>
        </w:rPr>
        <w:t> </w:t>
      </w:r>
      <w:r>
        <w:rPr/>
        <w:t>из</w:t>
      </w:r>
      <w:r>
        <w:rPr>
          <w:spacing w:val="-3"/>
        </w:rPr>
        <w:t> </w:t>
      </w:r>
      <w:r>
        <w:rPr/>
        <w:t>кухни</w:t>
      </w:r>
      <w:r>
        <w:rPr>
          <w:spacing w:val="-3"/>
        </w:rPr>
        <w:t> </w:t>
      </w:r>
      <w:r>
        <w:rPr>
          <w:spacing w:val="-2"/>
        </w:rPr>
        <w:t>(амер.)</w:t>
      </w:r>
    </w:p>
    <w:p>
      <w:pPr>
        <w:pStyle w:val="BodyText"/>
        <w:tabs>
          <w:tab w:pos="425" w:val="left" w:leader="none"/>
        </w:tabs>
        <w:ind w:right="0" w:firstLine="0"/>
        <w:jc w:val="left"/>
      </w:pPr>
      <w:r>
        <w:rPr>
          <w:spacing w:val="-10"/>
        </w:rPr>
        <w:t>▫</w:t>
      </w:r>
      <w:r>
        <w:rPr/>
        <w:tab/>
        <w:t>Быстрая</w:t>
      </w:r>
      <w:r>
        <w:rPr>
          <w:spacing w:val="-1"/>
        </w:rPr>
        <w:t> </w:t>
      </w:r>
      <w:r>
        <w:rPr/>
        <w:t>работа</w:t>
      </w:r>
      <w:r>
        <w:rPr>
          <w:spacing w:val="-1"/>
        </w:rPr>
        <w:t> </w:t>
      </w:r>
      <w:r>
        <w:rPr/>
        <w:t>– позор</w:t>
      </w:r>
      <w:r>
        <w:rPr>
          <w:spacing w:val="-1"/>
        </w:rPr>
        <w:t> </w:t>
      </w:r>
      <w:r>
        <w:rPr/>
        <w:t>для</w:t>
      </w:r>
      <w:r>
        <w:rPr>
          <w:spacing w:val="-1"/>
        </w:rPr>
        <w:t> </w:t>
      </w:r>
      <w:r>
        <w:rPr/>
        <w:t>мастера </w:t>
      </w:r>
      <w:r>
        <w:rPr>
          <w:spacing w:val="-2"/>
        </w:rPr>
        <w:t>(венг.).</w:t>
      </w:r>
    </w:p>
    <w:p>
      <w:pPr>
        <w:pStyle w:val="BodyText"/>
        <w:tabs>
          <w:tab w:pos="425" w:val="left" w:leader="none"/>
        </w:tabs>
        <w:ind w:right="0" w:firstLine="0"/>
        <w:jc w:val="left"/>
      </w:pPr>
      <w:r>
        <w:rPr>
          <w:spacing w:val="-10"/>
        </w:rPr>
        <w:t>▫</w:t>
      </w:r>
      <w:r>
        <w:rPr/>
        <w:tab/>
        <w:t>Людей</w:t>
      </w:r>
      <w:r>
        <w:rPr>
          <w:spacing w:val="-8"/>
        </w:rPr>
        <w:t> </w:t>
      </w:r>
      <w:r>
        <w:rPr/>
        <w:t>делает</w:t>
      </w:r>
      <w:r>
        <w:rPr>
          <w:spacing w:val="-7"/>
        </w:rPr>
        <w:t> </w:t>
      </w:r>
      <w:r>
        <w:rPr/>
        <w:t>одежда</w:t>
      </w:r>
      <w:r>
        <w:rPr>
          <w:spacing w:val="-7"/>
        </w:rPr>
        <w:t> </w:t>
      </w:r>
      <w:r>
        <w:rPr>
          <w:spacing w:val="-2"/>
        </w:rPr>
        <w:t>(нем.)</w:t>
      </w:r>
    </w:p>
    <w:p>
      <w:pPr>
        <w:pStyle w:val="BodyText"/>
        <w:tabs>
          <w:tab w:pos="425" w:val="left" w:leader="none"/>
        </w:tabs>
        <w:spacing w:before="1"/>
        <w:ind w:right="0" w:firstLine="0"/>
        <w:jc w:val="left"/>
      </w:pPr>
      <w:r>
        <w:rPr>
          <w:spacing w:val="-10"/>
        </w:rPr>
        <w:t>▫</w:t>
      </w:r>
      <w:r>
        <w:rPr/>
        <w:tab/>
        <w:t>Ленивой</w:t>
      </w:r>
      <w:r>
        <w:rPr>
          <w:spacing w:val="-8"/>
        </w:rPr>
        <w:t> </w:t>
      </w:r>
      <w:r>
        <w:rPr/>
        <w:t>овце</w:t>
      </w:r>
      <w:r>
        <w:rPr>
          <w:spacing w:val="-5"/>
        </w:rPr>
        <w:t> </w:t>
      </w:r>
      <w:r>
        <w:rPr/>
        <w:t>и</w:t>
      </w:r>
      <w:r>
        <w:rPr>
          <w:spacing w:val="-6"/>
        </w:rPr>
        <w:t> </w:t>
      </w:r>
      <w:r>
        <w:rPr/>
        <w:t>своя</w:t>
      </w:r>
      <w:r>
        <w:rPr>
          <w:spacing w:val="-5"/>
        </w:rPr>
        <w:t> </w:t>
      </w:r>
      <w:r>
        <w:rPr/>
        <w:t>шерсть</w:t>
      </w:r>
      <w:r>
        <w:rPr>
          <w:spacing w:val="-6"/>
        </w:rPr>
        <w:t> </w:t>
      </w:r>
      <w:r>
        <w:rPr/>
        <w:t>тяжелой</w:t>
      </w:r>
      <w:r>
        <w:rPr>
          <w:spacing w:val="-6"/>
        </w:rPr>
        <w:t> </w:t>
      </w:r>
      <w:r>
        <w:rPr/>
        <w:t>кажется</w:t>
      </w:r>
      <w:r>
        <w:rPr>
          <w:spacing w:val="-4"/>
        </w:rPr>
        <w:t> </w:t>
      </w:r>
      <w:r>
        <w:rPr>
          <w:spacing w:val="-2"/>
        </w:rPr>
        <w:t>(англ.)</w:t>
      </w:r>
    </w:p>
    <w:p>
      <w:pPr>
        <w:pStyle w:val="BodyText"/>
        <w:tabs>
          <w:tab w:pos="425" w:val="left" w:leader="none"/>
        </w:tabs>
        <w:spacing w:line="228" w:lineRule="exact"/>
        <w:ind w:right="0" w:firstLine="0"/>
        <w:jc w:val="left"/>
      </w:pPr>
      <w:r>
        <w:rPr>
          <w:spacing w:val="-10"/>
        </w:rPr>
        <w:t>▫</w:t>
      </w:r>
      <w:r>
        <w:rPr/>
        <w:tab/>
        <w:t>Бог</w:t>
      </w:r>
      <w:r>
        <w:rPr>
          <w:spacing w:val="-5"/>
        </w:rPr>
        <w:t> </w:t>
      </w:r>
      <w:r>
        <w:rPr/>
        <w:t>не</w:t>
      </w:r>
      <w:r>
        <w:rPr>
          <w:spacing w:val="-4"/>
        </w:rPr>
        <w:t> </w:t>
      </w:r>
      <w:r>
        <w:rPr/>
        <w:t>может</w:t>
      </w:r>
      <w:r>
        <w:rPr>
          <w:spacing w:val="-4"/>
        </w:rPr>
        <w:t> </w:t>
      </w:r>
      <w:r>
        <w:rPr/>
        <w:t>быть</w:t>
      </w:r>
      <w:r>
        <w:rPr>
          <w:spacing w:val="-5"/>
        </w:rPr>
        <w:t> </w:t>
      </w:r>
      <w:r>
        <w:rPr/>
        <w:t>везде</w:t>
      </w:r>
      <w:r>
        <w:rPr>
          <w:spacing w:val="-4"/>
        </w:rPr>
        <w:t> </w:t>
      </w:r>
      <w:r>
        <w:rPr/>
        <w:t>одновременно</w:t>
      </w:r>
      <w:r>
        <w:rPr>
          <w:spacing w:val="-3"/>
        </w:rPr>
        <w:t> </w:t>
      </w:r>
      <w:r>
        <w:rPr/>
        <w:t>–</w:t>
      </w:r>
      <w:r>
        <w:rPr>
          <w:spacing w:val="-4"/>
        </w:rPr>
        <w:t> </w:t>
      </w:r>
      <w:r>
        <w:rPr/>
        <w:t>поэтому</w:t>
      </w:r>
      <w:r>
        <w:rPr>
          <w:spacing w:val="-4"/>
        </w:rPr>
        <w:t> </w:t>
      </w:r>
      <w:r>
        <w:rPr/>
        <w:t>он</w:t>
      </w:r>
      <w:r>
        <w:rPr>
          <w:spacing w:val="-5"/>
        </w:rPr>
        <w:t> </w:t>
      </w:r>
      <w:r>
        <w:rPr/>
        <w:t>создал</w:t>
      </w:r>
      <w:r>
        <w:rPr>
          <w:spacing w:val="-4"/>
        </w:rPr>
        <w:t> </w:t>
      </w:r>
      <w:r>
        <w:rPr/>
        <w:t>матерей</w:t>
      </w:r>
      <w:r>
        <w:rPr>
          <w:spacing w:val="-4"/>
        </w:rPr>
        <w:t> </w:t>
      </w:r>
      <w:r>
        <w:rPr>
          <w:spacing w:val="-2"/>
        </w:rPr>
        <w:t>(евр.)</w:t>
      </w:r>
    </w:p>
    <w:p>
      <w:pPr>
        <w:pStyle w:val="BodyText"/>
        <w:tabs>
          <w:tab w:pos="425" w:val="left" w:leader="none"/>
        </w:tabs>
        <w:spacing w:line="226" w:lineRule="exact"/>
        <w:ind w:right="0" w:firstLine="0"/>
        <w:jc w:val="left"/>
      </w:pPr>
      <w:r>
        <w:rPr>
          <w:spacing w:val="-10"/>
        </w:rPr>
        <w:t>▫</w:t>
      </w:r>
      <w:r>
        <w:rPr/>
        <w:tab/>
        <w:t>Одной</w:t>
      </w:r>
      <w:r>
        <w:rPr>
          <w:spacing w:val="-8"/>
        </w:rPr>
        <w:t> </w:t>
      </w:r>
      <w:r>
        <w:rPr/>
        <w:t>рукой</w:t>
      </w:r>
      <w:r>
        <w:rPr>
          <w:spacing w:val="-7"/>
        </w:rPr>
        <w:t> </w:t>
      </w:r>
      <w:r>
        <w:rPr/>
        <w:t>узел</w:t>
      </w:r>
      <w:r>
        <w:rPr>
          <w:spacing w:val="-6"/>
        </w:rPr>
        <w:t> </w:t>
      </w:r>
      <w:r>
        <w:rPr/>
        <w:t>не</w:t>
      </w:r>
      <w:r>
        <w:rPr>
          <w:spacing w:val="-6"/>
        </w:rPr>
        <w:t> </w:t>
      </w:r>
      <w:r>
        <w:rPr/>
        <w:t>завяжешь</w:t>
      </w:r>
      <w:r>
        <w:rPr>
          <w:spacing w:val="-7"/>
        </w:rPr>
        <w:t> </w:t>
      </w:r>
      <w:r>
        <w:rPr>
          <w:spacing w:val="-2"/>
        </w:rPr>
        <w:t>(чув.)</w:t>
      </w:r>
    </w:p>
    <w:p>
      <w:pPr>
        <w:pStyle w:val="BodyText"/>
        <w:tabs>
          <w:tab w:pos="425" w:val="left" w:leader="none"/>
        </w:tabs>
        <w:spacing w:line="226" w:lineRule="exact"/>
        <w:ind w:right="0" w:firstLine="0"/>
        <w:jc w:val="left"/>
      </w:pPr>
      <w:r>
        <w:rPr>
          <w:spacing w:val="-10"/>
        </w:rPr>
        <w:t>▫</w:t>
      </w:r>
      <w:r>
        <w:rPr/>
        <w:tab/>
        <w:t>С</w:t>
      </w:r>
      <w:r>
        <w:rPr>
          <w:spacing w:val="-4"/>
        </w:rPr>
        <w:t> </w:t>
      </w:r>
      <w:r>
        <w:rPr/>
        <w:t>родственниками</w:t>
      </w:r>
      <w:r>
        <w:rPr>
          <w:spacing w:val="-5"/>
        </w:rPr>
        <w:t> </w:t>
      </w:r>
      <w:r>
        <w:rPr/>
        <w:t>поют</w:t>
      </w:r>
      <w:r>
        <w:rPr>
          <w:spacing w:val="-3"/>
        </w:rPr>
        <w:t> </w:t>
      </w:r>
      <w:r>
        <w:rPr/>
        <w:t>и</w:t>
      </w:r>
      <w:r>
        <w:rPr>
          <w:spacing w:val="-5"/>
        </w:rPr>
        <w:t> </w:t>
      </w:r>
      <w:r>
        <w:rPr/>
        <w:t>смеются,</w:t>
      </w:r>
      <w:r>
        <w:rPr>
          <w:spacing w:val="-4"/>
        </w:rPr>
        <w:t> </w:t>
      </w:r>
      <w:r>
        <w:rPr/>
        <w:t>но</w:t>
      </w:r>
      <w:r>
        <w:rPr>
          <w:spacing w:val="-3"/>
        </w:rPr>
        <w:t> </w:t>
      </w:r>
      <w:r>
        <w:rPr/>
        <w:t>не</w:t>
      </w:r>
      <w:r>
        <w:rPr>
          <w:spacing w:val="-4"/>
        </w:rPr>
        <w:t> </w:t>
      </w:r>
      <w:r>
        <w:rPr/>
        <w:t>занимаются</w:t>
      </w:r>
      <w:r>
        <w:rPr>
          <w:spacing w:val="-4"/>
        </w:rPr>
        <w:t> </w:t>
      </w:r>
      <w:r>
        <w:rPr/>
        <w:t>делами</w:t>
      </w:r>
      <w:r>
        <w:rPr>
          <w:spacing w:val="-4"/>
        </w:rPr>
        <w:t> </w:t>
      </w:r>
      <w:r>
        <w:rPr>
          <w:spacing w:val="-2"/>
        </w:rPr>
        <w:t>(нем.)</w:t>
      </w:r>
    </w:p>
    <w:p>
      <w:pPr>
        <w:pStyle w:val="BodyText"/>
        <w:tabs>
          <w:tab w:pos="425" w:val="left" w:leader="none"/>
        </w:tabs>
        <w:spacing w:line="226" w:lineRule="exact"/>
        <w:ind w:right="0" w:firstLine="0"/>
        <w:jc w:val="left"/>
      </w:pPr>
      <w:r>
        <w:rPr>
          <w:spacing w:val="-10"/>
        </w:rPr>
        <w:t>▫</w:t>
      </w:r>
      <w:r>
        <w:rPr/>
        <w:tab/>
        <w:t>Для</w:t>
      </w:r>
      <w:r>
        <w:rPr>
          <w:spacing w:val="-5"/>
        </w:rPr>
        <w:t> </w:t>
      </w:r>
      <w:r>
        <w:rPr/>
        <w:t>одного</w:t>
      </w:r>
      <w:r>
        <w:rPr>
          <w:spacing w:val="-4"/>
        </w:rPr>
        <w:t> </w:t>
      </w:r>
      <w:r>
        <w:rPr/>
        <w:t>цветка</w:t>
      </w:r>
      <w:r>
        <w:rPr>
          <w:spacing w:val="-5"/>
        </w:rPr>
        <w:t> </w:t>
      </w:r>
      <w:r>
        <w:rPr/>
        <w:t>солнце</w:t>
      </w:r>
      <w:r>
        <w:rPr>
          <w:spacing w:val="-4"/>
        </w:rPr>
        <w:t> </w:t>
      </w:r>
      <w:r>
        <w:rPr/>
        <w:t>не</w:t>
      </w:r>
      <w:r>
        <w:rPr>
          <w:spacing w:val="-5"/>
        </w:rPr>
        <w:t> </w:t>
      </w:r>
      <w:r>
        <w:rPr/>
        <w:t>светит</w:t>
      </w:r>
      <w:r>
        <w:rPr>
          <w:spacing w:val="-4"/>
        </w:rPr>
        <w:t> </w:t>
      </w:r>
      <w:r>
        <w:rPr>
          <w:spacing w:val="-2"/>
        </w:rPr>
        <w:t>(чешск.)</w:t>
      </w:r>
    </w:p>
    <w:p>
      <w:pPr>
        <w:pStyle w:val="BodyText"/>
        <w:tabs>
          <w:tab w:pos="425" w:val="left" w:leader="none"/>
        </w:tabs>
        <w:spacing w:line="228" w:lineRule="exact"/>
        <w:ind w:right="0" w:firstLine="0"/>
        <w:jc w:val="left"/>
      </w:pPr>
      <w:r>
        <w:rPr>
          <w:spacing w:val="-10"/>
        </w:rPr>
        <w:t>▫</w:t>
      </w:r>
      <w:r>
        <w:rPr/>
        <w:tab/>
        <w:t>Девять</w:t>
      </w:r>
      <w:r>
        <w:rPr>
          <w:spacing w:val="-4"/>
        </w:rPr>
        <w:t> </w:t>
      </w:r>
      <w:r>
        <w:rPr/>
        <w:t>бабок</w:t>
      </w:r>
      <w:r>
        <w:rPr>
          <w:spacing w:val="-3"/>
        </w:rPr>
        <w:t> </w:t>
      </w:r>
      <w:r>
        <w:rPr/>
        <w:t>–</w:t>
      </w:r>
      <w:r>
        <w:rPr>
          <w:spacing w:val="-3"/>
        </w:rPr>
        <w:t> </w:t>
      </w:r>
      <w:r>
        <w:rPr/>
        <w:t>ребенок</w:t>
      </w:r>
      <w:r>
        <w:rPr>
          <w:spacing w:val="-3"/>
        </w:rPr>
        <w:t> </w:t>
      </w:r>
      <w:r>
        <w:rPr/>
        <w:t>калека</w:t>
      </w:r>
      <w:r>
        <w:rPr>
          <w:spacing w:val="-3"/>
        </w:rPr>
        <w:t> </w:t>
      </w:r>
      <w:r>
        <w:rPr>
          <w:spacing w:val="-2"/>
        </w:rPr>
        <w:t>(болг.)</w:t>
      </w:r>
    </w:p>
    <w:p>
      <w:pPr>
        <w:spacing w:before="109"/>
        <w:ind w:left="2449" w:right="0" w:firstLine="0"/>
        <w:jc w:val="left"/>
        <w:rPr>
          <w:b/>
          <w:sz w:val="20"/>
        </w:rPr>
      </w:pPr>
      <w:r>
        <w:rPr>
          <w:b/>
          <w:sz w:val="20"/>
        </w:rPr>
        <w:t>Разбор</w:t>
      </w:r>
      <w:r>
        <w:rPr>
          <w:b/>
          <w:spacing w:val="-10"/>
          <w:sz w:val="20"/>
        </w:rPr>
        <w:t> </w:t>
      </w:r>
      <w:r>
        <w:rPr>
          <w:b/>
          <w:sz w:val="20"/>
        </w:rPr>
        <w:t>артефактов</w:t>
      </w:r>
      <w:r>
        <w:rPr>
          <w:b/>
          <w:spacing w:val="-8"/>
          <w:sz w:val="20"/>
        </w:rPr>
        <w:t> </w:t>
      </w:r>
      <w:r>
        <w:rPr>
          <w:b/>
          <w:spacing w:val="-2"/>
          <w:sz w:val="20"/>
        </w:rPr>
        <w:t>культуры</w:t>
      </w:r>
    </w:p>
    <w:p>
      <w:pPr>
        <w:spacing w:before="109"/>
        <w:ind w:left="425" w:right="0" w:firstLine="2751"/>
        <w:jc w:val="left"/>
        <w:rPr>
          <w:i/>
          <w:sz w:val="20"/>
        </w:rPr>
      </w:pPr>
      <w:r>
        <w:rPr>
          <w:b/>
          <w:i/>
          <w:sz w:val="20"/>
        </w:rPr>
        <w:t>Источник</w:t>
      </w:r>
      <w:r>
        <w:rPr>
          <w:i/>
          <w:sz w:val="20"/>
        </w:rPr>
        <w:t>:</w:t>
      </w:r>
      <w:r>
        <w:rPr>
          <w:i/>
          <w:spacing w:val="-8"/>
          <w:sz w:val="20"/>
        </w:rPr>
        <w:t> </w:t>
      </w:r>
      <w:r>
        <w:rPr>
          <w:i/>
          <w:sz w:val="20"/>
        </w:rPr>
        <w:t>авторская</w:t>
      </w:r>
      <w:r>
        <w:rPr>
          <w:i/>
          <w:spacing w:val="-6"/>
          <w:sz w:val="20"/>
        </w:rPr>
        <w:t> </w:t>
      </w:r>
      <w:r>
        <w:rPr>
          <w:i/>
          <w:sz w:val="20"/>
        </w:rPr>
        <w:t>разработка</w:t>
      </w:r>
      <w:r>
        <w:rPr>
          <w:i/>
          <w:spacing w:val="-6"/>
          <w:sz w:val="20"/>
        </w:rPr>
        <w:t> </w:t>
      </w:r>
      <w:r>
        <w:rPr>
          <w:i/>
          <w:sz w:val="20"/>
        </w:rPr>
        <w:t>О.Е.</w:t>
      </w:r>
      <w:r>
        <w:rPr>
          <w:i/>
          <w:spacing w:val="-5"/>
          <w:sz w:val="20"/>
        </w:rPr>
        <w:t> </w:t>
      </w:r>
      <w:r>
        <w:rPr>
          <w:i/>
          <w:spacing w:val="-2"/>
          <w:sz w:val="20"/>
        </w:rPr>
        <w:t>Хухлаева</w:t>
      </w:r>
    </w:p>
    <w:p>
      <w:pPr>
        <w:pStyle w:val="BodyText"/>
        <w:spacing w:line="235" w:lineRule="auto" w:before="113"/>
      </w:pPr>
      <w:r>
        <w:rPr>
          <w:spacing w:val="-2"/>
        </w:rPr>
        <w:t>Психолог</w:t>
      </w:r>
      <w:r>
        <w:rPr>
          <w:spacing w:val="-7"/>
        </w:rPr>
        <w:t> </w:t>
      </w:r>
      <w:r>
        <w:rPr>
          <w:spacing w:val="-2"/>
        </w:rPr>
        <w:t>выбирает</w:t>
      </w:r>
      <w:r>
        <w:rPr>
          <w:spacing w:val="-7"/>
        </w:rPr>
        <w:t> </w:t>
      </w:r>
      <w:r>
        <w:rPr>
          <w:spacing w:val="-2"/>
        </w:rPr>
        <w:t>артефакты</w:t>
      </w:r>
      <w:r>
        <w:rPr>
          <w:spacing w:val="-7"/>
        </w:rPr>
        <w:t> </w:t>
      </w:r>
      <w:r>
        <w:rPr>
          <w:spacing w:val="-2"/>
        </w:rPr>
        <w:t>культуры,</w:t>
      </w:r>
      <w:r>
        <w:rPr>
          <w:spacing w:val="-7"/>
        </w:rPr>
        <w:t> </w:t>
      </w:r>
      <w:r>
        <w:rPr>
          <w:spacing w:val="-2"/>
        </w:rPr>
        <w:t>с</w:t>
      </w:r>
      <w:r>
        <w:rPr>
          <w:spacing w:val="-7"/>
        </w:rPr>
        <w:t> </w:t>
      </w:r>
      <w:r>
        <w:rPr>
          <w:spacing w:val="-2"/>
        </w:rPr>
        <w:t>особенностями</w:t>
      </w:r>
      <w:r>
        <w:rPr>
          <w:spacing w:val="-7"/>
        </w:rPr>
        <w:t> </w:t>
      </w:r>
      <w:r>
        <w:rPr>
          <w:spacing w:val="-2"/>
        </w:rPr>
        <w:t>которой</w:t>
      </w:r>
      <w:r>
        <w:rPr>
          <w:spacing w:val="-7"/>
        </w:rPr>
        <w:t> </w:t>
      </w:r>
      <w:r>
        <w:rPr>
          <w:spacing w:val="-2"/>
        </w:rPr>
        <w:t>он</w:t>
      </w:r>
      <w:r>
        <w:rPr>
          <w:spacing w:val="-7"/>
        </w:rPr>
        <w:t> </w:t>
      </w:r>
      <w:r>
        <w:rPr>
          <w:spacing w:val="-2"/>
        </w:rPr>
        <w:t>хочет</w:t>
      </w:r>
      <w:r>
        <w:rPr>
          <w:spacing w:val="-7"/>
        </w:rPr>
        <w:t> </w:t>
      </w:r>
      <w:r>
        <w:rPr>
          <w:spacing w:val="-2"/>
        </w:rPr>
        <w:t>позна- комить</w:t>
      </w:r>
      <w:r>
        <w:rPr>
          <w:spacing w:val="-11"/>
        </w:rPr>
        <w:t> </w:t>
      </w:r>
      <w:r>
        <w:rPr>
          <w:spacing w:val="-2"/>
        </w:rPr>
        <w:t>учащихся.</w:t>
      </w:r>
      <w:r>
        <w:rPr>
          <w:spacing w:val="-10"/>
        </w:rPr>
        <w:t> </w:t>
      </w:r>
      <w:r>
        <w:rPr>
          <w:spacing w:val="-2"/>
        </w:rPr>
        <w:t>Это</w:t>
      </w:r>
      <w:r>
        <w:rPr>
          <w:spacing w:val="-11"/>
        </w:rPr>
        <w:t> </w:t>
      </w:r>
      <w:r>
        <w:rPr>
          <w:spacing w:val="-2"/>
        </w:rPr>
        <w:t>должен</w:t>
      </w:r>
      <w:r>
        <w:rPr>
          <w:spacing w:val="-10"/>
        </w:rPr>
        <w:t> </w:t>
      </w:r>
      <w:r>
        <w:rPr>
          <w:spacing w:val="-2"/>
        </w:rPr>
        <w:t>быть</w:t>
      </w:r>
      <w:r>
        <w:rPr>
          <w:spacing w:val="-11"/>
        </w:rPr>
        <w:t> </w:t>
      </w:r>
      <w:r>
        <w:rPr>
          <w:spacing w:val="-2"/>
        </w:rPr>
        <w:t>артефакт,</w:t>
      </w:r>
      <w:r>
        <w:rPr>
          <w:spacing w:val="-10"/>
        </w:rPr>
        <w:t> </w:t>
      </w:r>
      <w:r>
        <w:rPr>
          <w:spacing w:val="-2"/>
        </w:rPr>
        <w:t>изучение</w:t>
      </w:r>
      <w:r>
        <w:rPr>
          <w:spacing w:val="-11"/>
        </w:rPr>
        <w:t> </w:t>
      </w:r>
      <w:r>
        <w:rPr>
          <w:spacing w:val="-2"/>
        </w:rPr>
        <w:t>которого</w:t>
      </w:r>
      <w:r>
        <w:rPr>
          <w:spacing w:val="-10"/>
        </w:rPr>
        <w:t> </w:t>
      </w:r>
      <w:r>
        <w:rPr>
          <w:spacing w:val="-2"/>
        </w:rPr>
        <w:t>интересно</w:t>
      </w:r>
      <w:r>
        <w:rPr>
          <w:spacing w:val="-11"/>
        </w:rPr>
        <w:t> </w:t>
      </w:r>
      <w:r>
        <w:rPr>
          <w:spacing w:val="-2"/>
        </w:rPr>
        <w:t>для</w:t>
      </w:r>
      <w:r>
        <w:rPr>
          <w:spacing w:val="-10"/>
        </w:rPr>
        <w:t> </w:t>
      </w:r>
      <w:r>
        <w:rPr>
          <w:spacing w:val="-2"/>
        </w:rPr>
        <w:t>школь- </w:t>
      </w:r>
      <w:r>
        <w:rPr/>
        <w:t>ников. Для младших детей это может быть мультфильм по народным сказкам, для старших</w:t>
      </w:r>
      <w:r>
        <w:rPr>
          <w:spacing w:val="-3"/>
        </w:rPr>
        <w:t> </w:t>
      </w:r>
      <w:r>
        <w:rPr/>
        <w:t>–</w:t>
      </w:r>
      <w:r>
        <w:rPr>
          <w:spacing w:val="-3"/>
        </w:rPr>
        <w:t> </w:t>
      </w:r>
      <w:r>
        <w:rPr/>
        <w:t>фильм,</w:t>
      </w:r>
      <w:r>
        <w:rPr>
          <w:spacing w:val="-3"/>
        </w:rPr>
        <w:t> </w:t>
      </w:r>
      <w:r>
        <w:rPr/>
        <w:t>в</w:t>
      </w:r>
      <w:r>
        <w:rPr>
          <w:spacing w:val="-3"/>
        </w:rPr>
        <w:t> </w:t>
      </w:r>
      <w:r>
        <w:rPr/>
        <w:t>котором</w:t>
      </w:r>
      <w:r>
        <w:rPr>
          <w:spacing w:val="-3"/>
        </w:rPr>
        <w:t> </w:t>
      </w:r>
      <w:r>
        <w:rPr/>
        <w:t>отчетливо</w:t>
      </w:r>
      <w:r>
        <w:rPr>
          <w:spacing w:val="-3"/>
        </w:rPr>
        <w:t> </w:t>
      </w:r>
      <w:r>
        <w:rPr/>
        <w:t>видны</w:t>
      </w:r>
      <w:r>
        <w:rPr>
          <w:spacing w:val="-3"/>
        </w:rPr>
        <w:t> </w:t>
      </w:r>
      <w:r>
        <w:rPr/>
        <w:t>те</w:t>
      </w:r>
      <w:r>
        <w:rPr>
          <w:spacing w:val="-3"/>
        </w:rPr>
        <w:t> </w:t>
      </w:r>
      <w:r>
        <w:rPr/>
        <w:t>или</w:t>
      </w:r>
      <w:r>
        <w:rPr>
          <w:spacing w:val="-3"/>
        </w:rPr>
        <w:t> </w:t>
      </w:r>
      <w:r>
        <w:rPr/>
        <w:t>иные</w:t>
      </w:r>
      <w:r>
        <w:rPr>
          <w:spacing w:val="-3"/>
        </w:rPr>
        <w:t> </w:t>
      </w:r>
      <w:r>
        <w:rPr/>
        <w:t>культурные</w:t>
      </w:r>
      <w:r>
        <w:rPr>
          <w:spacing w:val="-3"/>
        </w:rPr>
        <w:t> </w:t>
      </w:r>
      <w:r>
        <w:rPr/>
        <w:t>особенности.</w:t>
      </w:r>
    </w:p>
    <w:p>
      <w:pPr>
        <w:pStyle w:val="BodyText"/>
        <w:spacing w:line="235" w:lineRule="auto" w:before="3"/>
        <w:ind w:right="140"/>
      </w:pPr>
      <w:r>
        <w:rPr>
          <w:spacing w:val="-2"/>
        </w:rPr>
        <w:t>Так,</w:t>
      </w:r>
      <w:r>
        <w:rPr>
          <w:spacing w:val="-3"/>
        </w:rPr>
        <w:t> </w:t>
      </w:r>
      <w:r>
        <w:rPr>
          <w:spacing w:val="-2"/>
        </w:rPr>
        <w:t>например,</w:t>
      </w:r>
      <w:r>
        <w:rPr>
          <w:spacing w:val="-3"/>
        </w:rPr>
        <w:t> </w:t>
      </w:r>
      <w:r>
        <w:rPr>
          <w:spacing w:val="-2"/>
        </w:rPr>
        <w:t>для</w:t>
      </w:r>
      <w:r>
        <w:rPr>
          <w:spacing w:val="-3"/>
        </w:rPr>
        <w:t> </w:t>
      </w:r>
      <w:r>
        <w:rPr>
          <w:spacing w:val="-2"/>
        </w:rPr>
        <w:t>знакомства</w:t>
      </w:r>
      <w:r>
        <w:rPr>
          <w:spacing w:val="-3"/>
        </w:rPr>
        <w:t> </w:t>
      </w:r>
      <w:r>
        <w:rPr>
          <w:spacing w:val="-2"/>
        </w:rPr>
        <w:t>с</w:t>
      </w:r>
      <w:r>
        <w:rPr>
          <w:spacing w:val="-3"/>
        </w:rPr>
        <w:t> </w:t>
      </w:r>
      <w:r>
        <w:rPr>
          <w:spacing w:val="-2"/>
        </w:rPr>
        <w:t>культурами</w:t>
      </w:r>
      <w:r>
        <w:rPr>
          <w:spacing w:val="-3"/>
        </w:rPr>
        <w:t> </w:t>
      </w:r>
      <w:r>
        <w:rPr>
          <w:spacing w:val="-2"/>
        </w:rPr>
        <w:t>народов</w:t>
      </w:r>
      <w:r>
        <w:rPr>
          <w:spacing w:val="-3"/>
        </w:rPr>
        <w:t> </w:t>
      </w:r>
      <w:r>
        <w:rPr>
          <w:spacing w:val="-2"/>
        </w:rPr>
        <w:t>России</w:t>
      </w:r>
      <w:r>
        <w:rPr>
          <w:spacing w:val="-3"/>
        </w:rPr>
        <w:t> </w:t>
      </w:r>
      <w:r>
        <w:rPr>
          <w:spacing w:val="-2"/>
        </w:rPr>
        <w:t>хорошо</w:t>
      </w:r>
      <w:r>
        <w:rPr>
          <w:spacing w:val="-3"/>
        </w:rPr>
        <w:t> </w:t>
      </w:r>
      <w:r>
        <w:rPr>
          <w:spacing w:val="-2"/>
        </w:rPr>
        <w:t>использовать </w:t>
      </w:r>
      <w:r>
        <w:rPr/>
        <w:t>мультфильмы серии «Гора самоцветов».</w:t>
      </w:r>
    </w:p>
    <w:p>
      <w:pPr>
        <w:pStyle w:val="BodyText"/>
        <w:spacing w:after="0" w:line="235" w:lineRule="auto"/>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right="140"/>
      </w:pPr>
      <w:r>
        <w:rPr/>
        <w:t>В</w:t>
      </w:r>
      <w:r>
        <w:rPr>
          <w:spacing w:val="-9"/>
        </w:rPr>
        <w:t> </w:t>
      </w:r>
      <w:r>
        <w:rPr/>
        <w:t>качестве</w:t>
      </w:r>
      <w:r>
        <w:rPr>
          <w:spacing w:val="-9"/>
        </w:rPr>
        <w:t> </w:t>
      </w:r>
      <w:r>
        <w:rPr/>
        <w:t>артефакта</w:t>
      </w:r>
      <w:r>
        <w:rPr>
          <w:spacing w:val="-9"/>
        </w:rPr>
        <w:t> </w:t>
      </w:r>
      <w:r>
        <w:rPr/>
        <w:t>может</w:t>
      </w:r>
      <w:r>
        <w:rPr>
          <w:spacing w:val="-9"/>
        </w:rPr>
        <w:t> </w:t>
      </w:r>
      <w:r>
        <w:rPr/>
        <w:t>выступать</w:t>
      </w:r>
      <w:r>
        <w:rPr>
          <w:spacing w:val="-9"/>
        </w:rPr>
        <w:t> </w:t>
      </w:r>
      <w:r>
        <w:rPr/>
        <w:t>все</w:t>
      </w:r>
      <w:r>
        <w:rPr>
          <w:spacing w:val="-9"/>
        </w:rPr>
        <w:t> </w:t>
      </w:r>
      <w:r>
        <w:rPr/>
        <w:t>что</w:t>
      </w:r>
      <w:r>
        <w:rPr>
          <w:spacing w:val="-9"/>
        </w:rPr>
        <w:t> </w:t>
      </w:r>
      <w:r>
        <w:rPr/>
        <w:t>угодно,</w:t>
      </w:r>
      <w:r>
        <w:rPr>
          <w:spacing w:val="-9"/>
        </w:rPr>
        <w:t> </w:t>
      </w:r>
      <w:r>
        <w:rPr/>
        <w:t>главное,</w:t>
      </w:r>
      <w:r>
        <w:rPr>
          <w:spacing w:val="-9"/>
        </w:rPr>
        <w:t> </w:t>
      </w:r>
      <w:r>
        <w:rPr/>
        <w:t>чтобы</w:t>
      </w:r>
      <w:r>
        <w:rPr>
          <w:spacing w:val="-9"/>
        </w:rPr>
        <w:t> </w:t>
      </w:r>
      <w:r>
        <w:rPr/>
        <w:t>он</w:t>
      </w:r>
      <w:r>
        <w:rPr>
          <w:spacing w:val="-9"/>
        </w:rPr>
        <w:t> </w:t>
      </w:r>
      <w:r>
        <w:rPr/>
        <w:t>отражал необходимые культурные различия и был интересен для участников.</w:t>
      </w:r>
    </w:p>
    <w:p>
      <w:pPr>
        <w:pStyle w:val="BodyText"/>
        <w:spacing w:line="232" w:lineRule="auto" w:before="3"/>
        <w:ind w:right="140"/>
      </w:pPr>
      <w:r>
        <w:rPr/>
        <w:t>Возможен вариант, когда ведущий сравнивает две культуры, в этом случае идет работа одновременно с двумя артефактами.</w:t>
      </w:r>
    </w:p>
    <w:p>
      <w:pPr>
        <w:pStyle w:val="BodyText"/>
        <w:spacing w:line="232" w:lineRule="auto"/>
      </w:pPr>
      <w:r>
        <w:rPr/>
        <w:t>По технологии работа строится следующим образом. Сначала участники знако- мятся с артефактом культуры (например, смотрят мультфильм). После этого можно вкратце поделиться первыми впечатлениями. Очень важно строго следить за тем, чтобы обмен впечатлениями не носил характер осуждающей дискриминационной </w:t>
      </w:r>
      <w:r>
        <w:rPr>
          <w:spacing w:val="-2"/>
        </w:rPr>
        <w:t>оценки.</w:t>
      </w:r>
    </w:p>
    <w:p>
      <w:pPr>
        <w:pStyle w:val="BodyText"/>
        <w:spacing w:line="232" w:lineRule="auto"/>
      </w:pPr>
      <w:r>
        <w:rPr/>
        <w:t>Затем</w:t>
      </w:r>
      <w:r>
        <w:rPr>
          <w:spacing w:val="-13"/>
        </w:rPr>
        <w:t> </w:t>
      </w:r>
      <w:r>
        <w:rPr/>
        <w:t>в</w:t>
      </w:r>
      <w:r>
        <w:rPr>
          <w:spacing w:val="-12"/>
        </w:rPr>
        <w:t> </w:t>
      </w:r>
      <w:r>
        <w:rPr/>
        <w:t>мини-группах</w:t>
      </w:r>
      <w:r>
        <w:rPr>
          <w:spacing w:val="-13"/>
        </w:rPr>
        <w:t> </w:t>
      </w:r>
      <w:r>
        <w:rPr/>
        <w:t>участники</w:t>
      </w:r>
      <w:r>
        <w:rPr>
          <w:spacing w:val="-12"/>
        </w:rPr>
        <w:t> </w:t>
      </w:r>
      <w:r>
        <w:rPr/>
        <w:t>анализируют</w:t>
      </w:r>
      <w:r>
        <w:rPr>
          <w:spacing w:val="-13"/>
        </w:rPr>
        <w:t> </w:t>
      </w:r>
      <w:r>
        <w:rPr/>
        <w:t>артефакт</w:t>
      </w:r>
      <w:r>
        <w:rPr>
          <w:spacing w:val="-12"/>
        </w:rPr>
        <w:t> </w:t>
      </w:r>
      <w:r>
        <w:rPr/>
        <w:t>культуры</w:t>
      </w:r>
      <w:r>
        <w:rPr>
          <w:spacing w:val="-13"/>
        </w:rPr>
        <w:t> </w:t>
      </w:r>
      <w:r>
        <w:rPr/>
        <w:t>согласно</w:t>
      </w:r>
      <w:r>
        <w:rPr>
          <w:spacing w:val="-12"/>
        </w:rPr>
        <w:t> </w:t>
      </w:r>
      <w:r>
        <w:rPr/>
        <w:t>следу- ющим вопросам:</w:t>
      </w:r>
    </w:p>
    <w:p>
      <w:pPr>
        <w:spacing w:line="232" w:lineRule="auto" w:before="0"/>
        <w:ind w:left="141" w:right="139" w:firstLine="283"/>
        <w:jc w:val="both"/>
        <w:rPr>
          <w:i/>
          <w:sz w:val="20"/>
        </w:rPr>
      </w:pPr>
      <w:r>
        <w:rPr>
          <w:b/>
          <w:sz w:val="20"/>
        </w:rPr>
        <w:t>Что удивило </w:t>
      </w:r>
      <w:r>
        <w:rPr>
          <w:i/>
          <w:sz w:val="20"/>
        </w:rPr>
        <w:t>(«непонятно», «необъяснимо», «странно», «как-то не так», </w:t>
      </w:r>
      <w:r>
        <w:rPr>
          <w:i/>
          <w:sz w:val="20"/>
        </w:rPr>
        <w:t>«нео- жиданно», «никогда такого не встречал»).</w:t>
      </w:r>
    </w:p>
    <w:p>
      <w:pPr>
        <w:spacing w:line="232" w:lineRule="auto" w:before="0"/>
        <w:ind w:left="141" w:right="139" w:firstLine="283"/>
        <w:jc w:val="both"/>
        <w:rPr>
          <w:i/>
          <w:sz w:val="20"/>
        </w:rPr>
      </w:pPr>
      <w:r>
        <w:rPr>
          <w:b/>
          <w:sz w:val="20"/>
        </w:rPr>
        <w:t>Что</w:t>
      </w:r>
      <w:r>
        <w:rPr>
          <w:b/>
          <w:spacing w:val="-8"/>
          <w:sz w:val="20"/>
        </w:rPr>
        <w:t> </w:t>
      </w:r>
      <w:r>
        <w:rPr>
          <w:b/>
          <w:sz w:val="20"/>
        </w:rPr>
        <w:t>не</w:t>
      </w:r>
      <w:r>
        <w:rPr>
          <w:b/>
          <w:spacing w:val="-8"/>
          <w:sz w:val="20"/>
        </w:rPr>
        <w:t> </w:t>
      </w:r>
      <w:r>
        <w:rPr>
          <w:b/>
          <w:sz w:val="20"/>
        </w:rPr>
        <w:t>удивило</w:t>
      </w:r>
      <w:r>
        <w:rPr>
          <w:b/>
          <w:spacing w:val="-8"/>
          <w:sz w:val="20"/>
        </w:rPr>
        <w:t> </w:t>
      </w:r>
      <w:r>
        <w:rPr>
          <w:sz w:val="20"/>
        </w:rPr>
        <w:t>(</w:t>
      </w:r>
      <w:r>
        <w:rPr>
          <w:i/>
          <w:sz w:val="20"/>
        </w:rPr>
        <w:t>«понятно»,</w:t>
      </w:r>
      <w:r>
        <w:rPr>
          <w:i/>
          <w:spacing w:val="-8"/>
          <w:sz w:val="20"/>
        </w:rPr>
        <w:t> </w:t>
      </w:r>
      <w:r>
        <w:rPr>
          <w:i/>
          <w:sz w:val="20"/>
        </w:rPr>
        <w:t>«вполне</w:t>
      </w:r>
      <w:r>
        <w:rPr>
          <w:i/>
          <w:spacing w:val="-8"/>
          <w:sz w:val="20"/>
        </w:rPr>
        <w:t> </w:t>
      </w:r>
      <w:r>
        <w:rPr>
          <w:i/>
          <w:sz w:val="20"/>
        </w:rPr>
        <w:t>объяснимо»,</w:t>
      </w:r>
      <w:r>
        <w:rPr>
          <w:i/>
          <w:spacing w:val="-8"/>
          <w:sz w:val="20"/>
        </w:rPr>
        <w:t> </w:t>
      </w:r>
      <w:r>
        <w:rPr>
          <w:i/>
          <w:sz w:val="20"/>
        </w:rPr>
        <w:t>«все</w:t>
      </w:r>
      <w:r>
        <w:rPr>
          <w:i/>
          <w:spacing w:val="-8"/>
          <w:sz w:val="20"/>
        </w:rPr>
        <w:t> </w:t>
      </w:r>
      <w:r>
        <w:rPr>
          <w:i/>
          <w:sz w:val="20"/>
        </w:rPr>
        <w:t>ясно»,</w:t>
      </w:r>
      <w:r>
        <w:rPr>
          <w:i/>
          <w:spacing w:val="-8"/>
          <w:sz w:val="20"/>
        </w:rPr>
        <w:t> </w:t>
      </w:r>
      <w:r>
        <w:rPr>
          <w:i/>
          <w:sz w:val="20"/>
        </w:rPr>
        <w:t>«ожидаемо»,</w:t>
      </w:r>
      <w:r>
        <w:rPr>
          <w:i/>
          <w:spacing w:val="-8"/>
          <w:sz w:val="20"/>
        </w:rPr>
        <w:t> </w:t>
      </w:r>
      <w:r>
        <w:rPr>
          <w:i/>
          <w:sz w:val="20"/>
        </w:rPr>
        <w:t>«так всегда бывает»).</w:t>
      </w:r>
    </w:p>
    <w:p>
      <w:pPr>
        <w:spacing w:line="232" w:lineRule="auto" w:before="0"/>
        <w:ind w:left="141" w:right="139" w:firstLine="283"/>
        <w:jc w:val="both"/>
        <w:rPr>
          <w:i/>
          <w:sz w:val="20"/>
        </w:rPr>
      </w:pPr>
      <w:r>
        <w:rPr>
          <w:b/>
          <w:sz w:val="20"/>
        </w:rPr>
        <w:t>Что приемлемо </w:t>
      </w:r>
      <w:r>
        <w:rPr>
          <w:i/>
          <w:sz w:val="20"/>
        </w:rPr>
        <w:t>(«нормально», «естественно», «так и надо», «так и должно </w:t>
      </w:r>
      <w:r>
        <w:rPr>
          <w:i/>
          <w:spacing w:val="-2"/>
          <w:sz w:val="20"/>
        </w:rPr>
        <w:t>быть»).</w:t>
      </w:r>
    </w:p>
    <w:p>
      <w:pPr>
        <w:spacing w:line="232" w:lineRule="auto" w:before="0"/>
        <w:ind w:left="141" w:right="139" w:firstLine="283"/>
        <w:jc w:val="both"/>
        <w:rPr>
          <w:i/>
          <w:sz w:val="20"/>
        </w:rPr>
      </w:pPr>
      <w:r>
        <w:rPr>
          <w:b/>
          <w:sz w:val="20"/>
        </w:rPr>
        <w:t>Что неприемлемо </w:t>
      </w:r>
      <w:r>
        <w:rPr>
          <w:i/>
          <w:sz w:val="20"/>
        </w:rPr>
        <w:t>(«ненормально», «неестественно», «так нельзя», «так не должно быть»).</w:t>
      </w:r>
    </w:p>
    <w:p>
      <w:pPr>
        <w:pStyle w:val="BodyText"/>
        <w:spacing w:line="232" w:lineRule="auto"/>
      </w:pPr>
      <w:r>
        <w:rPr/>
        <w:t>В завершение проводится общее обсуждение. Главное внимание ведущий уделя- ет сочетанию того, что удивило и что неприемлемо: именно здесь существует самое большое потенциальное поле для межкультурных противоречий.</w:t>
      </w:r>
    </w:p>
    <w:p>
      <w:pPr>
        <w:spacing w:before="86"/>
        <w:ind w:left="3184" w:right="0" w:firstLine="0"/>
        <w:jc w:val="both"/>
        <w:rPr>
          <w:b/>
          <w:sz w:val="20"/>
        </w:rPr>
      </w:pPr>
      <w:r>
        <w:rPr>
          <w:b/>
          <w:sz w:val="20"/>
        </w:rPr>
        <w:t>«Моя</w:t>
      </w:r>
      <w:r>
        <w:rPr>
          <w:b/>
          <w:spacing w:val="-7"/>
          <w:sz w:val="20"/>
        </w:rPr>
        <w:t> </w:t>
      </w:r>
      <w:r>
        <w:rPr>
          <w:b/>
          <w:spacing w:val="-2"/>
          <w:sz w:val="20"/>
        </w:rPr>
        <w:t>семья»</w:t>
      </w:r>
    </w:p>
    <w:p>
      <w:pPr>
        <w:spacing w:line="232" w:lineRule="auto" w:before="111"/>
        <w:ind w:left="4061" w:right="140" w:hanging="160"/>
        <w:jc w:val="both"/>
        <w:rPr>
          <w:i/>
          <w:sz w:val="20"/>
        </w:rPr>
      </w:pPr>
      <w:r>
        <w:rPr>
          <w:b/>
          <w:i/>
          <w:sz w:val="20"/>
        </w:rPr>
        <w:t>Источник</w:t>
      </w:r>
      <w:r>
        <w:rPr>
          <w:b/>
          <w:sz w:val="20"/>
        </w:rPr>
        <w:t>:</w:t>
      </w:r>
      <w:r>
        <w:rPr>
          <w:b/>
          <w:spacing w:val="-13"/>
          <w:sz w:val="20"/>
        </w:rPr>
        <w:t> </w:t>
      </w:r>
      <w:r>
        <w:rPr>
          <w:i/>
          <w:sz w:val="20"/>
        </w:rPr>
        <w:t>Interkulturelle</w:t>
      </w:r>
      <w:r>
        <w:rPr>
          <w:i/>
          <w:spacing w:val="-12"/>
          <w:sz w:val="20"/>
        </w:rPr>
        <w:t> </w:t>
      </w:r>
      <w:r>
        <w:rPr>
          <w:i/>
          <w:sz w:val="20"/>
        </w:rPr>
        <w:t>Kompetenz</w:t>
      </w:r>
      <w:r>
        <w:rPr>
          <w:i/>
          <w:spacing w:val="-13"/>
          <w:sz w:val="20"/>
        </w:rPr>
        <w:t> </w:t>
      </w:r>
      <w:r>
        <w:rPr>
          <w:i/>
          <w:sz w:val="20"/>
        </w:rPr>
        <w:t>fuer </w:t>
      </w:r>
      <w:r>
        <w:rPr>
          <w:i/>
          <w:spacing w:val="-2"/>
          <w:sz w:val="20"/>
        </w:rPr>
        <w:t>Grundschullehrer.</w:t>
      </w:r>
      <w:r>
        <w:rPr>
          <w:i/>
          <w:spacing w:val="1"/>
          <w:sz w:val="20"/>
        </w:rPr>
        <w:t> </w:t>
      </w:r>
      <w:r>
        <w:rPr>
          <w:i/>
          <w:spacing w:val="-2"/>
          <w:sz w:val="20"/>
        </w:rPr>
        <w:t>Handbuch.</w:t>
      </w:r>
      <w:r>
        <w:rPr>
          <w:i/>
          <w:spacing w:val="2"/>
          <w:sz w:val="20"/>
        </w:rPr>
        <w:t> </w:t>
      </w:r>
      <w:r>
        <w:rPr>
          <w:i/>
          <w:spacing w:val="-2"/>
          <w:sz w:val="20"/>
        </w:rPr>
        <w:t>Sofia,</w:t>
      </w:r>
      <w:r>
        <w:rPr>
          <w:i/>
          <w:spacing w:val="2"/>
          <w:sz w:val="20"/>
        </w:rPr>
        <w:t> </w:t>
      </w:r>
      <w:r>
        <w:rPr>
          <w:i/>
          <w:spacing w:val="-4"/>
          <w:sz w:val="20"/>
        </w:rPr>
        <w:t>2006</w:t>
      </w:r>
    </w:p>
    <w:p>
      <w:pPr>
        <w:pStyle w:val="BodyText"/>
        <w:spacing w:line="232" w:lineRule="auto" w:before="111"/>
      </w:pPr>
      <w:r>
        <w:rPr/>
        <w:t>Участники образуют по возможности группы по 3–5 человек, желательно поли- </w:t>
      </w:r>
      <w:r>
        <w:rPr>
          <w:spacing w:val="-2"/>
        </w:rPr>
        <w:t>культурные.</w:t>
      </w:r>
    </w:p>
    <w:p>
      <w:pPr>
        <w:pStyle w:val="BodyText"/>
        <w:spacing w:line="232" w:lineRule="auto"/>
      </w:pPr>
      <w:r>
        <w:rPr/>
        <w:t>Каждый участник берет столько карточек (лист бумаги А4, разделенный на 8 ча- стей), сколько человек он считает членами своей семьи (включая себя). Потом он пишет</w:t>
      </w:r>
      <w:r>
        <w:rPr>
          <w:spacing w:val="-5"/>
        </w:rPr>
        <w:t> </w:t>
      </w:r>
      <w:r>
        <w:rPr/>
        <w:t>на</w:t>
      </w:r>
      <w:r>
        <w:rPr>
          <w:spacing w:val="-5"/>
        </w:rPr>
        <w:t> </w:t>
      </w:r>
      <w:r>
        <w:rPr/>
        <w:t>каждой</w:t>
      </w:r>
      <w:r>
        <w:rPr>
          <w:spacing w:val="-5"/>
        </w:rPr>
        <w:t> </w:t>
      </w:r>
      <w:r>
        <w:rPr/>
        <w:t>карточке</w:t>
      </w:r>
      <w:r>
        <w:rPr>
          <w:spacing w:val="-5"/>
        </w:rPr>
        <w:t> </w:t>
      </w:r>
      <w:r>
        <w:rPr/>
        <w:t>имя</w:t>
      </w:r>
      <w:r>
        <w:rPr>
          <w:spacing w:val="-5"/>
        </w:rPr>
        <w:t> </w:t>
      </w:r>
      <w:r>
        <w:rPr/>
        <w:t>и</w:t>
      </w:r>
      <w:r>
        <w:rPr>
          <w:spacing w:val="-5"/>
        </w:rPr>
        <w:t> </w:t>
      </w:r>
      <w:r>
        <w:rPr/>
        <w:t>степень</w:t>
      </w:r>
      <w:r>
        <w:rPr>
          <w:spacing w:val="-5"/>
        </w:rPr>
        <w:t> </w:t>
      </w:r>
      <w:r>
        <w:rPr/>
        <w:t>родства,</w:t>
      </w:r>
      <w:r>
        <w:rPr>
          <w:spacing w:val="-5"/>
        </w:rPr>
        <w:t> </w:t>
      </w:r>
      <w:r>
        <w:rPr/>
        <w:t>затем</w:t>
      </w:r>
      <w:r>
        <w:rPr>
          <w:spacing w:val="-5"/>
        </w:rPr>
        <w:t> </w:t>
      </w:r>
      <w:r>
        <w:rPr/>
        <w:t>клеит</w:t>
      </w:r>
      <w:r>
        <w:rPr>
          <w:spacing w:val="-5"/>
        </w:rPr>
        <w:t> </w:t>
      </w:r>
      <w:r>
        <w:rPr/>
        <w:t>свои</w:t>
      </w:r>
      <w:r>
        <w:rPr>
          <w:spacing w:val="-5"/>
        </w:rPr>
        <w:t> </w:t>
      </w:r>
      <w:r>
        <w:rPr/>
        <w:t>карточки</w:t>
      </w:r>
      <w:r>
        <w:rPr>
          <w:spacing w:val="-5"/>
        </w:rPr>
        <w:t> </w:t>
      </w:r>
      <w:r>
        <w:rPr/>
        <w:t>на</w:t>
      </w:r>
      <w:r>
        <w:rPr>
          <w:spacing w:val="-5"/>
        </w:rPr>
        <w:t> </w:t>
      </w:r>
      <w:r>
        <w:rPr/>
        <w:t>лист бумаги А4 или А3 (в зависимости от размера семьи).</w:t>
      </w:r>
    </w:p>
    <w:p>
      <w:pPr>
        <w:pStyle w:val="BodyText"/>
        <w:spacing w:line="232" w:lineRule="auto"/>
      </w:pPr>
      <w:r>
        <w:rPr/>
        <w:t>После</w:t>
      </w:r>
      <w:r>
        <w:rPr>
          <w:spacing w:val="-3"/>
        </w:rPr>
        <w:t> </w:t>
      </w:r>
      <w:r>
        <w:rPr/>
        <w:t>подготовки</w:t>
      </w:r>
      <w:r>
        <w:rPr>
          <w:spacing w:val="-3"/>
        </w:rPr>
        <w:t> </w:t>
      </w:r>
      <w:r>
        <w:rPr/>
        <w:t>карточек</w:t>
      </w:r>
      <w:r>
        <w:rPr>
          <w:spacing w:val="-3"/>
        </w:rPr>
        <w:t> </w:t>
      </w:r>
      <w:r>
        <w:rPr/>
        <w:t>каждый</w:t>
      </w:r>
      <w:r>
        <w:rPr>
          <w:spacing w:val="-3"/>
        </w:rPr>
        <w:t> </w:t>
      </w:r>
      <w:r>
        <w:rPr/>
        <w:t>участник</w:t>
      </w:r>
      <w:r>
        <w:rPr>
          <w:spacing w:val="-3"/>
        </w:rPr>
        <w:t> </w:t>
      </w:r>
      <w:r>
        <w:rPr/>
        <w:t>мини-группы</w:t>
      </w:r>
      <w:r>
        <w:rPr>
          <w:spacing w:val="-3"/>
        </w:rPr>
        <w:t> </w:t>
      </w:r>
      <w:r>
        <w:rPr/>
        <w:t>рассказывает</w:t>
      </w:r>
      <w:r>
        <w:rPr>
          <w:spacing w:val="-3"/>
        </w:rPr>
        <w:t> </w:t>
      </w:r>
      <w:r>
        <w:rPr/>
        <w:t>товари- щам о своей семье.</w:t>
      </w:r>
    </w:p>
    <w:p>
      <w:pPr>
        <w:pStyle w:val="BodyText"/>
        <w:spacing w:line="232" w:lineRule="auto"/>
      </w:pPr>
      <w:r>
        <w:rPr/>
        <w:t>По завершении работы во всех группах психолог задает вопросы для общего об- </w:t>
      </w:r>
      <w:r>
        <w:rPr>
          <w:spacing w:val="-2"/>
        </w:rPr>
        <w:t>суждения:</w:t>
      </w:r>
    </w:p>
    <w:p>
      <w:pPr>
        <w:pStyle w:val="ListParagraph"/>
        <w:numPr>
          <w:ilvl w:val="2"/>
          <w:numId w:val="268"/>
        </w:numPr>
        <w:tabs>
          <w:tab w:pos="573" w:val="left" w:leader="none"/>
        </w:tabs>
        <w:spacing w:line="232" w:lineRule="auto" w:before="0" w:after="0"/>
        <w:ind w:left="141" w:right="139" w:firstLine="283"/>
        <w:jc w:val="both"/>
        <w:rPr>
          <w:i/>
          <w:sz w:val="20"/>
        </w:rPr>
      </w:pPr>
      <w:r>
        <w:rPr>
          <w:i/>
          <w:sz w:val="20"/>
        </w:rPr>
        <w:t>Какие</w:t>
      </w:r>
      <w:r>
        <w:rPr>
          <w:i/>
          <w:spacing w:val="-6"/>
          <w:sz w:val="20"/>
        </w:rPr>
        <w:t> </w:t>
      </w:r>
      <w:r>
        <w:rPr>
          <w:i/>
          <w:sz w:val="20"/>
        </w:rPr>
        <w:t>различия</w:t>
      </w:r>
      <w:r>
        <w:rPr>
          <w:i/>
          <w:spacing w:val="-6"/>
          <w:sz w:val="20"/>
        </w:rPr>
        <w:t> </w:t>
      </w:r>
      <w:r>
        <w:rPr>
          <w:i/>
          <w:sz w:val="20"/>
        </w:rPr>
        <w:t>и</w:t>
      </w:r>
      <w:r>
        <w:rPr>
          <w:i/>
          <w:spacing w:val="-6"/>
          <w:sz w:val="20"/>
        </w:rPr>
        <w:t> </w:t>
      </w:r>
      <w:r>
        <w:rPr>
          <w:i/>
          <w:sz w:val="20"/>
        </w:rPr>
        <w:t>сходства</w:t>
      </w:r>
      <w:r>
        <w:rPr>
          <w:i/>
          <w:spacing w:val="-6"/>
          <w:sz w:val="20"/>
        </w:rPr>
        <w:t> </w:t>
      </w:r>
      <w:r>
        <w:rPr>
          <w:i/>
          <w:sz w:val="20"/>
        </w:rPr>
        <w:t>с</w:t>
      </w:r>
      <w:r>
        <w:rPr>
          <w:i/>
          <w:spacing w:val="-6"/>
          <w:sz w:val="20"/>
        </w:rPr>
        <w:t> </w:t>
      </w:r>
      <w:r>
        <w:rPr>
          <w:i/>
          <w:sz w:val="20"/>
        </w:rPr>
        <w:t>теми,</w:t>
      </w:r>
      <w:r>
        <w:rPr>
          <w:i/>
          <w:spacing w:val="-6"/>
          <w:sz w:val="20"/>
        </w:rPr>
        <w:t> </w:t>
      </w:r>
      <w:r>
        <w:rPr>
          <w:i/>
          <w:sz w:val="20"/>
        </w:rPr>
        <w:t>кого</w:t>
      </w:r>
      <w:r>
        <w:rPr>
          <w:i/>
          <w:spacing w:val="-6"/>
          <w:sz w:val="20"/>
        </w:rPr>
        <w:t> </w:t>
      </w:r>
      <w:r>
        <w:rPr>
          <w:i/>
          <w:sz w:val="20"/>
        </w:rPr>
        <w:t>вы</w:t>
      </w:r>
      <w:r>
        <w:rPr>
          <w:i/>
          <w:spacing w:val="-6"/>
          <w:sz w:val="20"/>
        </w:rPr>
        <w:t> </w:t>
      </w:r>
      <w:r>
        <w:rPr>
          <w:i/>
          <w:sz w:val="20"/>
        </w:rPr>
        <w:t>включили</w:t>
      </w:r>
      <w:r>
        <w:rPr>
          <w:i/>
          <w:spacing w:val="-6"/>
          <w:sz w:val="20"/>
        </w:rPr>
        <w:t> </w:t>
      </w:r>
      <w:r>
        <w:rPr>
          <w:i/>
          <w:sz w:val="20"/>
        </w:rPr>
        <w:t>в</w:t>
      </w:r>
      <w:r>
        <w:rPr>
          <w:i/>
          <w:spacing w:val="-6"/>
          <w:sz w:val="20"/>
        </w:rPr>
        <w:t> </w:t>
      </w:r>
      <w:r>
        <w:rPr>
          <w:i/>
          <w:sz w:val="20"/>
        </w:rPr>
        <w:t>свою</w:t>
      </w:r>
      <w:r>
        <w:rPr>
          <w:i/>
          <w:spacing w:val="-6"/>
          <w:sz w:val="20"/>
        </w:rPr>
        <w:t> </w:t>
      </w:r>
      <w:r>
        <w:rPr>
          <w:i/>
          <w:sz w:val="20"/>
        </w:rPr>
        <w:t>семью,</w:t>
      </w:r>
      <w:r>
        <w:rPr>
          <w:i/>
          <w:spacing w:val="-6"/>
          <w:sz w:val="20"/>
        </w:rPr>
        <w:t> </w:t>
      </w:r>
      <w:r>
        <w:rPr>
          <w:i/>
          <w:sz w:val="20"/>
        </w:rPr>
        <w:t>вам</w:t>
      </w:r>
      <w:r>
        <w:rPr>
          <w:i/>
          <w:spacing w:val="-6"/>
          <w:sz w:val="20"/>
        </w:rPr>
        <w:t> </w:t>
      </w:r>
      <w:r>
        <w:rPr>
          <w:i/>
          <w:sz w:val="20"/>
        </w:rPr>
        <w:t>удалось обнаружить?</w:t>
      </w:r>
      <w:r>
        <w:rPr>
          <w:i/>
          <w:spacing w:val="-11"/>
          <w:sz w:val="20"/>
        </w:rPr>
        <w:t> </w:t>
      </w:r>
      <w:r>
        <w:rPr>
          <w:i/>
          <w:sz w:val="20"/>
        </w:rPr>
        <w:t>С</w:t>
      </w:r>
      <w:r>
        <w:rPr>
          <w:i/>
          <w:spacing w:val="-11"/>
          <w:sz w:val="20"/>
        </w:rPr>
        <w:t> </w:t>
      </w:r>
      <w:r>
        <w:rPr>
          <w:i/>
          <w:sz w:val="20"/>
        </w:rPr>
        <w:t>чем,</w:t>
      </w:r>
      <w:r>
        <w:rPr>
          <w:i/>
          <w:spacing w:val="-11"/>
          <w:sz w:val="20"/>
        </w:rPr>
        <w:t> </w:t>
      </w:r>
      <w:r>
        <w:rPr>
          <w:i/>
          <w:sz w:val="20"/>
        </w:rPr>
        <w:t>как</w:t>
      </w:r>
      <w:r>
        <w:rPr>
          <w:i/>
          <w:spacing w:val="-11"/>
          <w:sz w:val="20"/>
        </w:rPr>
        <w:t> </w:t>
      </w:r>
      <w:r>
        <w:rPr>
          <w:i/>
          <w:sz w:val="20"/>
        </w:rPr>
        <w:t>вам</w:t>
      </w:r>
      <w:r>
        <w:rPr>
          <w:i/>
          <w:spacing w:val="-11"/>
          <w:sz w:val="20"/>
        </w:rPr>
        <w:t> </w:t>
      </w:r>
      <w:r>
        <w:rPr>
          <w:i/>
          <w:sz w:val="20"/>
        </w:rPr>
        <w:t>кажется,</w:t>
      </w:r>
      <w:r>
        <w:rPr>
          <w:i/>
          <w:spacing w:val="-11"/>
          <w:sz w:val="20"/>
        </w:rPr>
        <w:t> </w:t>
      </w:r>
      <w:r>
        <w:rPr>
          <w:i/>
          <w:sz w:val="20"/>
        </w:rPr>
        <w:t>связаны</w:t>
      </w:r>
      <w:r>
        <w:rPr>
          <w:i/>
          <w:spacing w:val="-11"/>
          <w:sz w:val="20"/>
        </w:rPr>
        <w:t> </w:t>
      </w:r>
      <w:r>
        <w:rPr>
          <w:i/>
          <w:sz w:val="20"/>
        </w:rPr>
        <w:t>эти</w:t>
      </w:r>
      <w:r>
        <w:rPr>
          <w:i/>
          <w:spacing w:val="-11"/>
          <w:sz w:val="20"/>
        </w:rPr>
        <w:t> </w:t>
      </w:r>
      <w:r>
        <w:rPr>
          <w:i/>
          <w:sz w:val="20"/>
        </w:rPr>
        <w:t>различия</w:t>
      </w:r>
      <w:r>
        <w:rPr>
          <w:i/>
          <w:spacing w:val="-11"/>
          <w:sz w:val="20"/>
        </w:rPr>
        <w:t> </w:t>
      </w:r>
      <w:r>
        <w:rPr>
          <w:i/>
          <w:sz w:val="20"/>
        </w:rPr>
        <w:t>и</w:t>
      </w:r>
      <w:r>
        <w:rPr>
          <w:i/>
          <w:spacing w:val="-11"/>
          <w:sz w:val="20"/>
        </w:rPr>
        <w:t> </w:t>
      </w:r>
      <w:r>
        <w:rPr>
          <w:i/>
          <w:sz w:val="20"/>
        </w:rPr>
        <w:t>сходства?</w:t>
      </w:r>
      <w:r>
        <w:rPr>
          <w:i/>
          <w:spacing w:val="-11"/>
          <w:sz w:val="20"/>
        </w:rPr>
        <w:t> </w:t>
      </w:r>
      <w:r>
        <w:rPr>
          <w:i/>
          <w:sz w:val="20"/>
        </w:rPr>
        <w:t>Что</w:t>
      </w:r>
      <w:r>
        <w:rPr>
          <w:i/>
          <w:spacing w:val="-11"/>
          <w:sz w:val="20"/>
        </w:rPr>
        <w:t> </w:t>
      </w:r>
      <w:r>
        <w:rPr>
          <w:i/>
          <w:sz w:val="20"/>
        </w:rPr>
        <w:t>ново- го вы узнали о том, как мы по-разному видим свою семью?</w:t>
      </w:r>
    </w:p>
    <w:p>
      <w:pPr>
        <w:spacing w:before="94"/>
        <w:ind w:left="2654" w:right="0" w:firstLine="0"/>
        <w:jc w:val="both"/>
        <w:rPr>
          <w:b/>
          <w:sz w:val="20"/>
        </w:rPr>
      </w:pPr>
      <w:r>
        <w:rPr>
          <w:b/>
          <w:sz w:val="20"/>
        </w:rPr>
        <w:t>«Встреча</w:t>
      </w:r>
      <w:r>
        <w:rPr>
          <w:b/>
          <w:spacing w:val="-5"/>
          <w:sz w:val="20"/>
        </w:rPr>
        <w:t> </w:t>
      </w:r>
      <w:r>
        <w:rPr>
          <w:b/>
          <w:sz w:val="20"/>
        </w:rPr>
        <w:t>на</w:t>
      </w:r>
      <w:r>
        <w:rPr>
          <w:b/>
          <w:spacing w:val="-4"/>
          <w:sz w:val="20"/>
        </w:rPr>
        <w:t> </w:t>
      </w:r>
      <w:r>
        <w:rPr>
          <w:b/>
          <w:sz w:val="20"/>
        </w:rPr>
        <w:t>реке</w:t>
      </w:r>
      <w:r>
        <w:rPr>
          <w:b/>
          <w:spacing w:val="-4"/>
          <w:sz w:val="20"/>
        </w:rPr>
        <w:t> </w:t>
      </w:r>
      <w:r>
        <w:rPr>
          <w:b/>
          <w:spacing w:val="-2"/>
          <w:sz w:val="20"/>
        </w:rPr>
        <w:t>Конго»</w:t>
      </w:r>
    </w:p>
    <w:p>
      <w:pPr>
        <w:spacing w:line="232" w:lineRule="auto" w:before="111"/>
        <w:ind w:left="590" w:right="140" w:firstLine="1564"/>
        <w:jc w:val="right"/>
        <w:rPr>
          <w:i/>
          <w:sz w:val="20"/>
        </w:rPr>
      </w:pPr>
      <w:r>
        <w:rPr>
          <w:b/>
          <w:i/>
          <w:sz w:val="20"/>
        </w:rPr>
        <w:t>Источник</w:t>
      </w:r>
      <w:r>
        <w:rPr>
          <w:b/>
          <w:sz w:val="20"/>
        </w:rPr>
        <w:t>:</w:t>
      </w:r>
      <w:r>
        <w:rPr>
          <w:b/>
          <w:spacing w:val="-8"/>
          <w:sz w:val="20"/>
        </w:rPr>
        <w:t> </w:t>
      </w:r>
      <w:r>
        <w:rPr>
          <w:i/>
          <w:sz w:val="20"/>
        </w:rPr>
        <w:t>Building</w:t>
      </w:r>
      <w:r>
        <w:rPr>
          <w:i/>
          <w:spacing w:val="-8"/>
          <w:sz w:val="20"/>
        </w:rPr>
        <w:t> </w:t>
      </w:r>
      <w:r>
        <w:rPr>
          <w:i/>
          <w:sz w:val="20"/>
        </w:rPr>
        <w:t>Cultural</w:t>
      </w:r>
      <w:r>
        <w:rPr>
          <w:i/>
          <w:spacing w:val="-8"/>
          <w:sz w:val="20"/>
        </w:rPr>
        <w:t> </w:t>
      </w:r>
      <w:r>
        <w:rPr>
          <w:i/>
          <w:sz w:val="20"/>
        </w:rPr>
        <w:t>Competence:</w:t>
      </w:r>
      <w:r>
        <w:rPr>
          <w:i/>
          <w:spacing w:val="-8"/>
          <w:sz w:val="20"/>
        </w:rPr>
        <w:t> </w:t>
      </w:r>
      <w:r>
        <w:rPr>
          <w:i/>
          <w:sz w:val="20"/>
        </w:rPr>
        <w:t>Innovative</w:t>
      </w:r>
      <w:r>
        <w:rPr>
          <w:i/>
          <w:spacing w:val="-12"/>
          <w:sz w:val="20"/>
        </w:rPr>
        <w:t> </w:t>
      </w:r>
      <w:r>
        <w:rPr>
          <w:i/>
          <w:sz w:val="20"/>
        </w:rPr>
        <w:t>Activities and</w:t>
      </w:r>
      <w:r>
        <w:rPr>
          <w:i/>
          <w:spacing w:val="-4"/>
          <w:sz w:val="20"/>
        </w:rPr>
        <w:t> </w:t>
      </w:r>
      <w:r>
        <w:rPr>
          <w:i/>
          <w:sz w:val="20"/>
        </w:rPr>
        <w:t>Models,</w:t>
      </w:r>
      <w:r>
        <w:rPr>
          <w:i/>
          <w:spacing w:val="-4"/>
          <w:sz w:val="20"/>
        </w:rPr>
        <w:t> </w:t>
      </w:r>
      <w:r>
        <w:rPr>
          <w:i/>
          <w:sz w:val="20"/>
        </w:rPr>
        <w:t>eds.</w:t>
      </w:r>
      <w:r>
        <w:rPr>
          <w:i/>
          <w:spacing w:val="-3"/>
          <w:sz w:val="20"/>
        </w:rPr>
        <w:t> </w:t>
      </w:r>
      <w:r>
        <w:rPr>
          <w:i/>
          <w:sz w:val="20"/>
        </w:rPr>
        <w:t>K.</w:t>
      </w:r>
      <w:r>
        <w:rPr>
          <w:i/>
          <w:spacing w:val="-4"/>
          <w:sz w:val="20"/>
        </w:rPr>
        <w:t> </w:t>
      </w:r>
      <w:r>
        <w:rPr>
          <w:i/>
          <w:sz w:val="20"/>
        </w:rPr>
        <w:t>Berardo</w:t>
      </w:r>
      <w:r>
        <w:rPr>
          <w:i/>
          <w:spacing w:val="-3"/>
          <w:sz w:val="20"/>
        </w:rPr>
        <w:t> </w:t>
      </w:r>
      <w:r>
        <w:rPr>
          <w:i/>
          <w:sz w:val="20"/>
        </w:rPr>
        <w:t>and</w:t>
      </w:r>
      <w:r>
        <w:rPr>
          <w:i/>
          <w:spacing w:val="-4"/>
          <w:sz w:val="20"/>
        </w:rPr>
        <w:t> </w:t>
      </w:r>
      <w:r>
        <w:rPr>
          <w:i/>
          <w:sz w:val="20"/>
        </w:rPr>
        <w:t>D.</w:t>
      </w:r>
      <w:r>
        <w:rPr>
          <w:i/>
          <w:spacing w:val="-3"/>
          <w:sz w:val="20"/>
        </w:rPr>
        <w:t> </w:t>
      </w:r>
      <w:r>
        <w:rPr>
          <w:i/>
          <w:sz w:val="20"/>
        </w:rPr>
        <w:t>K.</w:t>
      </w:r>
      <w:r>
        <w:rPr>
          <w:i/>
          <w:spacing w:val="-4"/>
          <w:sz w:val="20"/>
        </w:rPr>
        <w:t> </w:t>
      </w:r>
      <w:r>
        <w:rPr>
          <w:i/>
          <w:sz w:val="20"/>
        </w:rPr>
        <w:t>Deardorff</w:t>
      </w:r>
      <w:r>
        <w:rPr>
          <w:i/>
          <w:spacing w:val="-4"/>
          <w:sz w:val="20"/>
        </w:rPr>
        <w:t> </w:t>
      </w:r>
      <w:r>
        <w:rPr>
          <w:i/>
          <w:sz w:val="20"/>
        </w:rPr>
        <w:t>(Sterling,</w:t>
      </w:r>
      <w:r>
        <w:rPr>
          <w:i/>
          <w:spacing w:val="-4"/>
          <w:sz w:val="20"/>
        </w:rPr>
        <w:t> </w:t>
      </w:r>
      <w:r>
        <w:rPr>
          <w:i/>
          <w:sz w:val="20"/>
        </w:rPr>
        <w:t>VA:</w:t>
      </w:r>
      <w:r>
        <w:rPr>
          <w:i/>
          <w:spacing w:val="-3"/>
          <w:sz w:val="20"/>
        </w:rPr>
        <w:t> </w:t>
      </w:r>
      <w:r>
        <w:rPr>
          <w:i/>
          <w:sz w:val="20"/>
        </w:rPr>
        <w:t>Stylus,</w:t>
      </w:r>
      <w:r>
        <w:rPr>
          <w:i/>
          <w:spacing w:val="-4"/>
          <w:sz w:val="20"/>
        </w:rPr>
        <w:t> </w:t>
      </w:r>
      <w:r>
        <w:rPr>
          <w:i/>
          <w:sz w:val="20"/>
        </w:rPr>
        <w:t>2012),</w:t>
      </w:r>
      <w:r>
        <w:rPr>
          <w:i/>
          <w:spacing w:val="-3"/>
          <w:sz w:val="20"/>
        </w:rPr>
        <w:t> </w:t>
      </w:r>
      <w:r>
        <w:rPr>
          <w:i/>
          <w:spacing w:val="-2"/>
          <w:sz w:val="20"/>
        </w:rPr>
        <w:t>76–80</w:t>
      </w:r>
    </w:p>
    <w:p>
      <w:pPr>
        <w:pStyle w:val="BodyText"/>
        <w:spacing w:line="235" w:lineRule="auto" w:before="109"/>
        <w:jc w:val="right"/>
      </w:pPr>
      <w:r>
        <w:rPr/>
        <w:t>Перед</w:t>
      </w:r>
      <w:r>
        <w:rPr>
          <w:spacing w:val="-13"/>
        </w:rPr>
        <w:t> </w:t>
      </w:r>
      <w:r>
        <w:rPr/>
        <w:t>началом</w:t>
      </w:r>
      <w:r>
        <w:rPr>
          <w:spacing w:val="-12"/>
        </w:rPr>
        <w:t> </w:t>
      </w:r>
      <w:r>
        <w:rPr/>
        <w:t>упражнения</w:t>
      </w:r>
      <w:r>
        <w:rPr>
          <w:spacing w:val="-13"/>
        </w:rPr>
        <w:t> </w:t>
      </w:r>
      <w:r>
        <w:rPr/>
        <w:t>надо</w:t>
      </w:r>
      <w:r>
        <w:rPr>
          <w:spacing w:val="-12"/>
        </w:rPr>
        <w:t> </w:t>
      </w:r>
      <w:r>
        <w:rPr/>
        <w:t>разделить</w:t>
      </w:r>
      <w:r>
        <w:rPr>
          <w:spacing w:val="-13"/>
        </w:rPr>
        <w:t> </w:t>
      </w:r>
      <w:r>
        <w:rPr/>
        <w:t>группу</w:t>
      </w:r>
      <w:r>
        <w:rPr>
          <w:spacing w:val="-12"/>
        </w:rPr>
        <w:t> </w:t>
      </w:r>
      <w:r>
        <w:rPr/>
        <w:t>(класс)</w:t>
      </w:r>
      <w:r>
        <w:rPr>
          <w:spacing w:val="-13"/>
        </w:rPr>
        <w:t> </w:t>
      </w:r>
      <w:r>
        <w:rPr/>
        <w:t>на</w:t>
      </w:r>
      <w:r>
        <w:rPr>
          <w:spacing w:val="-12"/>
        </w:rPr>
        <w:t> </w:t>
      </w:r>
      <w:r>
        <w:rPr/>
        <w:t>2</w:t>
      </w:r>
      <w:r>
        <w:rPr>
          <w:spacing w:val="-13"/>
        </w:rPr>
        <w:t> </w:t>
      </w:r>
      <w:r>
        <w:rPr/>
        <w:t>части.</w:t>
      </w:r>
      <w:r>
        <w:rPr>
          <w:spacing w:val="-12"/>
        </w:rPr>
        <w:t> </w:t>
      </w:r>
      <w:r>
        <w:rPr/>
        <w:t>Каждая</w:t>
      </w:r>
      <w:r>
        <w:rPr>
          <w:spacing w:val="-13"/>
        </w:rPr>
        <w:t> </w:t>
      </w:r>
      <w:r>
        <w:rPr/>
        <w:t>под- группа</w:t>
      </w:r>
      <w:r>
        <w:rPr>
          <w:spacing w:val="6"/>
        </w:rPr>
        <w:t> </w:t>
      </w:r>
      <w:r>
        <w:rPr/>
        <w:t>получает</w:t>
      </w:r>
      <w:r>
        <w:rPr>
          <w:spacing w:val="8"/>
        </w:rPr>
        <w:t> </w:t>
      </w:r>
      <w:r>
        <w:rPr/>
        <w:t>текст,</w:t>
      </w:r>
      <w:r>
        <w:rPr>
          <w:spacing w:val="8"/>
        </w:rPr>
        <w:t> </w:t>
      </w:r>
      <w:r>
        <w:rPr/>
        <w:t>описывающий</w:t>
      </w:r>
      <w:r>
        <w:rPr>
          <w:spacing w:val="8"/>
        </w:rPr>
        <w:t> </w:t>
      </w:r>
      <w:r>
        <w:rPr/>
        <w:t>первую</w:t>
      </w:r>
      <w:r>
        <w:rPr>
          <w:spacing w:val="8"/>
        </w:rPr>
        <w:t> </w:t>
      </w:r>
      <w:r>
        <w:rPr/>
        <w:t>встречу</w:t>
      </w:r>
      <w:r>
        <w:rPr>
          <w:spacing w:val="8"/>
        </w:rPr>
        <w:t> </w:t>
      </w:r>
      <w:r>
        <w:rPr/>
        <w:t>известного</w:t>
      </w:r>
      <w:r>
        <w:rPr>
          <w:spacing w:val="8"/>
        </w:rPr>
        <w:t> </w:t>
      </w:r>
      <w:r>
        <w:rPr>
          <w:spacing w:val="-2"/>
        </w:rPr>
        <w:t>путешественника</w:t>
      </w:r>
    </w:p>
    <w:p>
      <w:pPr>
        <w:pStyle w:val="BodyText"/>
        <w:spacing w:after="0" w:line="235" w:lineRule="auto"/>
        <w:jc w:val="right"/>
        <w:sectPr>
          <w:pgSz w:w="8400" w:h="11910"/>
          <w:pgMar w:header="0" w:footer="530" w:top="400" w:bottom="740" w:left="425" w:right="425"/>
        </w:sectPr>
      </w:pPr>
    </w:p>
    <w:p>
      <w:pPr>
        <w:spacing w:before="80"/>
        <w:ind w:left="141" w:right="0" w:firstLine="0"/>
        <w:jc w:val="left"/>
        <w:rPr>
          <w:rFonts w:ascii="Georgia" w:hAnsi="Georgia"/>
          <w:sz w:val="18"/>
        </w:rPr>
      </w:pPr>
      <w:r>
        <w:rPr>
          <w:rFonts w:ascii="Georgia" w:hAnsi="Georgia"/>
          <w:color w:val="231F20"/>
          <w:sz w:val="18"/>
        </w:rPr>
        <w:t>4.1.</w:t>
      </w:r>
      <w:r>
        <w:rPr>
          <w:rFonts w:ascii="Georgia" w:hAnsi="Georgia"/>
          <w:color w:val="231F20"/>
          <w:spacing w:val="11"/>
          <w:sz w:val="18"/>
        </w:rPr>
        <w:t> </w:t>
      </w:r>
      <w:r>
        <w:rPr>
          <w:rFonts w:ascii="Georgia" w:hAnsi="Georgia"/>
          <w:color w:val="231F20"/>
          <w:sz w:val="18"/>
        </w:rPr>
        <w:t>Активности</w:t>
      </w:r>
      <w:r>
        <w:rPr>
          <w:rFonts w:ascii="Georgia" w:hAnsi="Georgia"/>
          <w:color w:val="231F20"/>
          <w:spacing w:val="12"/>
          <w:sz w:val="18"/>
        </w:rPr>
        <w:t> </w:t>
      </w:r>
      <w:r>
        <w:rPr>
          <w:rFonts w:ascii="Georgia" w:hAnsi="Georgia"/>
          <w:color w:val="231F20"/>
          <w:sz w:val="18"/>
        </w:rPr>
        <w:t>межкультурного</w:t>
      </w:r>
      <w:r>
        <w:rPr>
          <w:rFonts w:ascii="Georgia" w:hAnsi="Georgia"/>
          <w:color w:val="231F20"/>
          <w:spacing w:val="12"/>
          <w:sz w:val="18"/>
        </w:rPr>
        <w:t> </w:t>
      </w:r>
      <w:r>
        <w:rPr>
          <w:rFonts w:ascii="Georgia" w:hAnsi="Georgia"/>
          <w:color w:val="231F20"/>
          <w:sz w:val="18"/>
        </w:rPr>
        <w:t>тренинга</w:t>
      </w:r>
      <w:r>
        <w:rPr>
          <w:rFonts w:ascii="Georgia" w:hAnsi="Georgia"/>
          <w:color w:val="231F20"/>
          <w:spacing w:val="11"/>
          <w:sz w:val="18"/>
        </w:rPr>
        <w:t> </w:t>
      </w:r>
      <w:r>
        <w:rPr>
          <w:rFonts w:ascii="Georgia" w:hAnsi="Georgia"/>
          <w:color w:val="231F20"/>
          <w:sz w:val="18"/>
        </w:rPr>
        <w:t>для</w:t>
      </w:r>
      <w:r>
        <w:rPr>
          <w:rFonts w:ascii="Georgia" w:hAnsi="Georgia"/>
          <w:color w:val="231F20"/>
          <w:spacing w:val="12"/>
          <w:sz w:val="18"/>
        </w:rPr>
        <w:t> </w:t>
      </w:r>
      <w:r>
        <w:rPr>
          <w:rFonts w:ascii="Georgia" w:hAnsi="Georgia"/>
          <w:color w:val="231F20"/>
          <w:sz w:val="18"/>
        </w:rPr>
        <w:t>поликультурного</w:t>
      </w:r>
      <w:r>
        <w:rPr>
          <w:rFonts w:ascii="Georgia" w:hAnsi="Georgia"/>
          <w:color w:val="231F20"/>
          <w:spacing w:val="12"/>
          <w:sz w:val="18"/>
        </w:rPr>
        <w:t> </w:t>
      </w:r>
      <w:r>
        <w:rPr>
          <w:rFonts w:ascii="Georgia" w:hAnsi="Georgia"/>
          <w:color w:val="231F20"/>
          <w:spacing w:val="-2"/>
          <w:sz w:val="18"/>
        </w:rPr>
        <w:t>класса</w:t>
      </w:r>
    </w:p>
    <w:p>
      <w:pPr>
        <w:pStyle w:val="BodyText"/>
        <w:spacing w:line="232" w:lineRule="auto" w:before="118"/>
        <w:ind w:firstLine="0"/>
      </w:pPr>
      <w:r>
        <w:rPr/>
        <w:t>по</w:t>
      </w:r>
      <w:r>
        <w:rPr>
          <w:spacing w:val="-13"/>
        </w:rPr>
        <w:t> </w:t>
      </w:r>
      <w:r>
        <w:rPr/>
        <w:t>Африке</w:t>
      </w:r>
      <w:r>
        <w:rPr>
          <w:spacing w:val="-12"/>
        </w:rPr>
        <w:t> </w:t>
      </w:r>
      <w:r>
        <w:rPr/>
        <w:t>Г.</w:t>
      </w:r>
      <w:r>
        <w:rPr>
          <w:spacing w:val="-13"/>
        </w:rPr>
        <w:t> </w:t>
      </w:r>
      <w:r>
        <w:rPr/>
        <w:t>Стенли</w:t>
      </w:r>
      <w:r>
        <w:rPr>
          <w:spacing w:val="-12"/>
        </w:rPr>
        <w:t> </w:t>
      </w:r>
      <w:r>
        <w:rPr/>
        <w:t>с</w:t>
      </w:r>
      <w:r>
        <w:rPr>
          <w:spacing w:val="-13"/>
        </w:rPr>
        <w:t> </w:t>
      </w:r>
      <w:r>
        <w:rPr/>
        <w:t>туземцами</w:t>
      </w:r>
      <w:r>
        <w:rPr>
          <w:spacing w:val="-12"/>
        </w:rPr>
        <w:t> </w:t>
      </w:r>
      <w:r>
        <w:rPr/>
        <w:t>в</w:t>
      </w:r>
      <w:r>
        <w:rPr>
          <w:spacing w:val="-13"/>
        </w:rPr>
        <w:t> </w:t>
      </w:r>
      <w:r>
        <w:rPr/>
        <w:t>верховьях</w:t>
      </w:r>
      <w:r>
        <w:rPr>
          <w:spacing w:val="-12"/>
        </w:rPr>
        <w:t> </w:t>
      </w:r>
      <w:r>
        <w:rPr/>
        <w:t>реки</w:t>
      </w:r>
      <w:r>
        <w:rPr>
          <w:spacing w:val="-13"/>
        </w:rPr>
        <w:t> </w:t>
      </w:r>
      <w:r>
        <w:rPr/>
        <w:t>Конго.</w:t>
      </w:r>
      <w:r>
        <w:rPr>
          <w:spacing w:val="-12"/>
        </w:rPr>
        <w:t> </w:t>
      </w:r>
      <w:r>
        <w:rPr/>
        <w:t>Подгруппы</w:t>
      </w:r>
      <w:r>
        <w:rPr>
          <w:spacing w:val="-13"/>
        </w:rPr>
        <w:t> </w:t>
      </w:r>
      <w:r>
        <w:rPr/>
        <w:t>не</w:t>
      </w:r>
      <w:r>
        <w:rPr>
          <w:spacing w:val="-12"/>
        </w:rPr>
        <w:t> </w:t>
      </w:r>
      <w:r>
        <w:rPr/>
        <w:t>знают,</w:t>
      </w:r>
      <w:r>
        <w:rPr>
          <w:spacing w:val="-13"/>
        </w:rPr>
        <w:t> </w:t>
      </w:r>
      <w:r>
        <w:rPr/>
        <w:t>что</w:t>
      </w:r>
      <w:r>
        <w:rPr>
          <w:spacing w:val="-12"/>
        </w:rPr>
        <w:t> </w:t>
      </w:r>
      <w:r>
        <w:rPr/>
        <w:t>у них</w:t>
      </w:r>
      <w:r>
        <w:rPr>
          <w:spacing w:val="-7"/>
        </w:rPr>
        <w:t> </w:t>
      </w:r>
      <w:r>
        <w:rPr/>
        <w:t>разные</w:t>
      </w:r>
      <w:r>
        <w:rPr>
          <w:spacing w:val="-7"/>
        </w:rPr>
        <w:t> </w:t>
      </w:r>
      <w:r>
        <w:rPr/>
        <w:t>тексты.</w:t>
      </w:r>
      <w:r>
        <w:rPr>
          <w:spacing w:val="-7"/>
        </w:rPr>
        <w:t> </w:t>
      </w:r>
      <w:r>
        <w:rPr/>
        <w:t>Задача:</w:t>
      </w:r>
      <w:r>
        <w:rPr>
          <w:spacing w:val="-7"/>
        </w:rPr>
        <w:t> </w:t>
      </w:r>
      <w:r>
        <w:rPr/>
        <w:t>в</w:t>
      </w:r>
      <w:r>
        <w:rPr>
          <w:spacing w:val="-7"/>
        </w:rPr>
        <w:t> </w:t>
      </w:r>
      <w:r>
        <w:rPr/>
        <w:t>течение</w:t>
      </w:r>
      <w:r>
        <w:rPr>
          <w:spacing w:val="-7"/>
        </w:rPr>
        <w:t> </w:t>
      </w:r>
      <w:r>
        <w:rPr/>
        <w:t>5–10</w:t>
      </w:r>
      <w:r>
        <w:rPr>
          <w:spacing w:val="-7"/>
        </w:rPr>
        <w:t> </w:t>
      </w:r>
      <w:r>
        <w:rPr/>
        <w:t>минут</w:t>
      </w:r>
      <w:r>
        <w:rPr>
          <w:spacing w:val="-7"/>
        </w:rPr>
        <w:t> </w:t>
      </w:r>
      <w:r>
        <w:rPr/>
        <w:t>(в</w:t>
      </w:r>
      <w:r>
        <w:rPr>
          <w:spacing w:val="-7"/>
        </w:rPr>
        <w:t> </w:t>
      </w:r>
      <w:r>
        <w:rPr/>
        <w:t>зависимости</w:t>
      </w:r>
      <w:r>
        <w:rPr>
          <w:spacing w:val="-7"/>
        </w:rPr>
        <w:t> </w:t>
      </w:r>
      <w:r>
        <w:rPr/>
        <w:t>от</w:t>
      </w:r>
      <w:r>
        <w:rPr>
          <w:spacing w:val="-7"/>
        </w:rPr>
        <w:t> </w:t>
      </w:r>
      <w:r>
        <w:rPr/>
        <w:t>возраста</w:t>
      </w:r>
      <w:r>
        <w:rPr>
          <w:spacing w:val="-7"/>
        </w:rPr>
        <w:t> </w:t>
      </w:r>
      <w:r>
        <w:rPr/>
        <w:t>и</w:t>
      </w:r>
      <w:r>
        <w:rPr>
          <w:spacing w:val="-7"/>
        </w:rPr>
        <w:t> </w:t>
      </w:r>
      <w:r>
        <w:rPr/>
        <w:t>актив- ности детей) прочитать и обвести главные слова в истории, отражающие основные смыслы и оценку случившегося (позицию рассказчика).</w:t>
      </w:r>
    </w:p>
    <w:p>
      <w:pPr>
        <w:pStyle w:val="BodyText"/>
        <w:spacing w:line="232" w:lineRule="auto" w:before="3"/>
        <w:ind w:right="141"/>
      </w:pPr>
      <w:r>
        <w:rPr>
          <w:color w:val="231F20"/>
        </w:rPr>
        <w:t>По</w:t>
      </w:r>
      <w:r>
        <w:rPr>
          <w:color w:val="231F20"/>
          <w:spacing w:val="-13"/>
        </w:rPr>
        <w:t> </w:t>
      </w:r>
      <w:r>
        <w:rPr>
          <w:color w:val="231F20"/>
        </w:rPr>
        <w:t>окончании</w:t>
      </w:r>
      <w:r>
        <w:rPr>
          <w:color w:val="231F20"/>
          <w:spacing w:val="-12"/>
        </w:rPr>
        <w:t> </w:t>
      </w:r>
      <w:r>
        <w:rPr>
          <w:color w:val="231F20"/>
        </w:rPr>
        <w:t>работы</w:t>
      </w:r>
      <w:r>
        <w:rPr>
          <w:color w:val="231F20"/>
          <w:spacing w:val="-13"/>
        </w:rPr>
        <w:t> </w:t>
      </w:r>
      <w:r>
        <w:rPr>
          <w:color w:val="231F20"/>
        </w:rPr>
        <w:t>психолог</w:t>
      </w:r>
      <w:r>
        <w:rPr>
          <w:color w:val="231F20"/>
          <w:spacing w:val="-12"/>
        </w:rPr>
        <w:t> </w:t>
      </w:r>
      <w:r>
        <w:rPr>
          <w:color w:val="231F20"/>
        </w:rPr>
        <w:t>просит</w:t>
      </w:r>
      <w:r>
        <w:rPr>
          <w:color w:val="231F20"/>
          <w:spacing w:val="-13"/>
        </w:rPr>
        <w:t> </w:t>
      </w:r>
      <w:r>
        <w:rPr>
          <w:color w:val="231F20"/>
        </w:rPr>
        <w:t>детей</w:t>
      </w:r>
      <w:r>
        <w:rPr>
          <w:color w:val="231F20"/>
          <w:spacing w:val="-12"/>
        </w:rPr>
        <w:t> </w:t>
      </w:r>
      <w:r>
        <w:rPr>
          <w:color w:val="231F20"/>
        </w:rPr>
        <w:t>из</w:t>
      </w:r>
      <w:r>
        <w:rPr>
          <w:color w:val="231F20"/>
          <w:spacing w:val="-13"/>
        </w:rPr>
        <w:t> </w:t>
      </w:r>
      <w:r>
        <w:rPr>
          <w:color w:val="231F20"/>
        </w:rPr>
        <w:t>подгруппы</w:t>
      </w:r>
      <w:r>
        <w:rPr>
          <w:color w:val="231F20"/>
          <w:spacing w:val="-12"/>
        </w:rPr>
        <w:t> </w:t>
      </w:r>
      <w:r>
        <w:rPr>
          <w:color w:val="231F20"/>
        </w:rPr>
        <w:t>1</w:t>
      </w:r>
      <w:r>
        <w:rPr>
          <w:color w:val="231F20"/>
          <w:spacing w:val="-13"/>
        </w:rPr>
        <w:t> </w:t>
      </w:r>
      <w:r>
        <w:rPr>
          <w:color w:val="231F20"/>
        </w:rPr>
        <w:t>зачитать</w:t>
      </w:r>
      <w:r>
        <w:rPr>
          <w:color w:val="231F20"/>
          <w:spacing w:val="-12"/>
        </w:rPr>
        <w:t> </w:t>
      </w:r>
      <w:r>
        <w:rPr>
          <w:color w:val="231F20"/>
        </w:rPr>
        <w:t>обведенные ключевые слова и записывает их на левой части доски. Затем на правой части доски записываются ключевые слова из истории 2, прочитанной другой группой</w:t>
      </w:r>
    </w:p>
    <w:p>
      <w:pPr>
        <w:pStyle w:val="BodyText"/>
        <w:spacing w:line="232" w:lineRule="auto" w:before="3"/>
      </w:pPr>
      <w:r>
        <w:rPr/>
        <w:t>Если</w:t>
      </w:r>
      <w:r>
        <w:rPr>
          <w:spacing w:val="-6"/>
        </w:rPr>
        <w:t> </w:t>
      </w:r>
      <w:r>
        <w:rPr/>
        <w:t>дети</w:t>
      </w:r>
      <w:r>
        <w:rPr>
          <w:spacing w:val="-6"/>
        </w:rPr>
        <w:t> </w:t>
      </w:r>
      <w:r>
        <w:rPr/>
        <w:t>во</w:t>
      </w:r>
      <w:r>
        <w:rPr>
          <w:spacing w:val="-6"/>
        </w:rPr>
        <w:t> </w:t>
      </w:r>
      <w:r>
        <w:rPr/>
        <w:t>время</w:t>
      </w:r>
      <w:r>
        <w:rPr>
          <w:spacing w:val="-6"/>
        </w:rPr>
        <w:t> </w:t>
      </w:r>
      <w:r>
        <w:rPr/>
        <w:t>записи</w:t>
      </w:r>
      <w:r>
        <w:rPr>
          <w:spacing w:val="-6"/>
        </w:rPr>
        <w:t> </w:t>
      </w:r>
      <w:r>
        <w:rPr/>
        <w:t>начинают</w:t>
      </w:r>
      <w:r>
        <w:rPr>
          <w:spacing w:val="-6"/>
        </w:rPr>
        <w:t> </w:t>
      </w:r>
      <w:r>
        <w:rPr/>
        <w:t>удивляться,</w:t>
      </w:r>
      <w:r>
        <w:rPr>
          <w:spacing w:val="-6"/>
        </w:rPr>
        <w:t> </w:t>
      </w:r>
      <w:r>
        <w:rPr/>
        <w:t>почему</w:t>
      </w:r>
      <w:r>
        <w:rPr>
          <w:spacing w:val="-6"/>
        </w:rPr>
        <w:t> </w:t>
      </w:r>
      <w:r>
        <w:rPr/>
        <w:t>другая</w:t>
      </w:r>
      <w:r>
        <w:rPr>
          <w:spacing w:val="-6"/>
        </w:rPr>
        <w:t> </w:t>
      </w:r>
      <w:r>
        <w:rPr/>
        <w:t>группа</w:t>
      </w:r>
      <w:r>
        <w:rPr>
          <w:spacing w:val="-5"/>
        </w:rPr>
        <w:t> </w:t>
      </w:r>
      <w:r>
        <w:rPr/>
        <w:t>выделила из той же истории иные слова, психолог просит их подождать и обсудить это после завершения</w:t>
      </w:r>
      <w:r>
        <w:rPr>
          <w:spacing w:val="-3"/>
        </w:rPr>
        <w:t> </w:t>
      </w:r>
      <w:r>
        <w:rPr/>
        <w:t>записи.</w:t>
      </w:r>
      <w:r>
        <w:rPr>
          <w:spacing w:val="-3"/>
        </w:rPr>
        <w:t> </w:t>
      </w:r>
      <w:r>
        <w:rPr/>
        <w:t>Затем</w:t>
      </w:r>
      <w:r>
        <w:rPr>
          <w:spacing w:val="-3"/>
        </w:rPr>
        <w:t> </w:t>
      </w:r>
      <w:r>
        <w:rPr/>
        <w:t>психолог</w:t>
      </w:r>
      <w:r>
        <w:rPr>
          <w:spacing w:val="-3"/>
        </w:rPr>
        <w:t> </w:t>
      </w:r>
      <w:r>
        <w:rPr/>
        <w:t>предлагает</w:t>
      </w:r>
      <w:r>
        <w:rPr>
          <w:spacing w:val="-3"/>
        </w:rPr>
        <w:t> </w:t>
      </w:r>
      <w:r>
        <w:rPr/>
        <w:t>детям</w:t>
      </w:r>
      <w:r>
        <w:rPr>
          <w:spacing w:val="-3"/>
        </w:rPr>
        <w:t> </w:t>
      </w:r>
      <w:r>
        <w:rPr/>
        <w:t>подумать,</w:t>
      </w:r>
      <w:r>
        <w:rPr>
          <w:spacing w:val="-3"/>
        </w:rPr>
        <w:t> </w:t>
      </w:r>
      <w:r>
        <w:rPr/>
        <w:t>как</w:t>
      </w:r>
      <w:r>
        <w:rPr>
          <w:spacing w:val="-3"/>
        </w:rPr>
        <w:t> </w:t>
      </w:r>
      <w:r>
        <w:rPr/>
        <w:t>получилось,</w:t>
      </w:r>
      <w:r>
        <w:rPr>
          <w:spacing w:val="-3"/>
        </w:rPr>
        <w:t> </w:t>
      </w:r>
      <w:r>
        <w:rPr/>
        <w:t>что одна</w:t>
      </w:r>
      <w:r>
        <w:rPr>
          <w:spacing w:val="-12"/>
        </w:rPr>
        <w:t> </w:t>
      </w:r>
      <w:r>
        <w:rPr/>
        <w:t>и</w:t>
      </w:r>
      <w:r>
        <w:rPr>
          <w:spacing w:val="-12"/>
        </w:rPr>
        <w:t> </w:t>
      </w:r>
      <w:r>
        <w:rPr/>
        <w:t>та</w:t>
      </w:r>
      <w:r>
        <w:rPr>
          <w:spacing w:val="-12"/>
        </w:rPr>
        <w:t> </w:t>
      </w:r>
      <w:r>
        <w:rPr/>
        <w:t>же</w:t>
      </w:r>
      <w:r>
        <w:rPr>
          <w:spacing w:val="-12"/>
        </w:rPr>
        <w:t> </w:t>
      </w:r>
      <w:r>
        <w:rPr/>
        <w:t>история</w:t>
      </w:r>
      <w:r>
        <w:rPr>
          <w:spacing w:val="-12"/>
        </w:rPr>
        <w:t> </w:t>
      </w:r>
      <w:r>
        <w:rPr/>
        <w:t>оказалась</w:t>
      </w:r>
      <w:r>
        <w:rPr>
          <w:spacing w:val="-12"/>
        </w:rPr>
        <w:t> </w:t>
      </w:r>
      <w:r>
        <w:rPr/>
        <w:t>записана</w:t>
      </w:r>
      <w:r>
        <w:rPr>
          <w:spacing w:val="-12"/>
        </w:rPr>
        <w:t> </w:t>
      </w:r>
      <w:r>
        <w:rPr/>
        <w:t>разными</w:t>
      </w:r>
      <w:r>
        <w:rPr>
          <w:spacing w:val="-12"/>
        </w:rPr>
        <w:t> </w:t>
      </w:r>
      <w:r>
        <w:rPr/>
        <w:t>словами.</w:t>
      </w:r>
      <w:r>
        <w:rPr>
          <w:spacing w:val="-12"/>
        </w:rPr>
        <w:t> </w:t>
      </w:r>
      <w:r>
        <w:rPr/>
        <w:t>После</w:t>
      </w:r>
      <w:r>
        <w:rPr>
          <w:spacing w:val="-12"/>
        </w:rPr>
        <w:t> </w:t>
      </w:r>
      <w:r>
        <w:rPr/>
        <w:t>небольшого</w:t>
      </w:r>
      <w:r>
        <w:rPr>
          <w:spacing w:val="-12"/>
        </w:rPr>
        <w:t> </w:t>
      </w:r>
      <w:r>
        <w:rPr/>
        <w:t>обсуж- дения он просит представителей групп зачитать истории вслух.</w:t>
      </w:r>
    </w:p>
    <w:p>
      <w:pPr>
        <w:pStyle w:val="BodyText"/>
        <w:spacing w:line="232" w:lineRule="auto" w:before="5"/>
        <w:ind w:right="140"/>
      </w:pPr>
      <w:r>
        <w:rPr/>
        <w:t>Завершив чтение, участники пытаются разобраться, каким образом одно и то же событие воспринимается диаметрально противоположным образом.</w:t>
      </w:r>
    </w:p>
    <w:p>
      <w:pPr>
        <w:pStyle w:val="BodyText"/>
        <w:spacing w:line="223" w:lineRule="exact"/>
        <w:ind w:left="425" w:right="0" w:firstLine="0"/>
      </w:pPr>
      <w:r>
        <w:rPr/>
        <w:t>Ключевые</w:t>
      </w:r>
      <w:r>
        <w:rPr>
          <w:spacing w:val="-7"/>
        </w:rPr>
        <w:t> </w:t>
      </w:r>
      <w:r>
        <w:rPr/>
        <w:t>выводы,</w:t>
      </w:r>
      <w:r>
        <w:rPr>
          <w:spacing w:val="-6"/>
        </w:rPr>
        <w:t> </w:t>
      </w:r>
      <w:r>
        <w:rPr/>
        <w:t>к</w:t>
      </w:r>
      <w:r>
        <w:rPr>
          <w:spacing w:val="-7"/>
        </w:rPr>
        <w:t> </w:t>
      </w:r>
      <w:r>
        <w:rPr/>
        <w:t>которым</w:t>
      </w:r>
      <w:r>
        <w:rPr>
          <w:spacing w:val="-6"/>
        </w:rPr>
        <w:t> </w:t>
      </w:r>
      <w:r>
        <w:rPr/>
        <w:t>рекомендуется</w:t>
      </w:r>
      <w:r>
        <w:rPr>
          <w:spacing w:val="-7"/>
        </w:rPr>
        <w:t> </w:t>
      </w:r>
      <w:r>
        <w:rPr/>
        <w:t>прийти</w:t>
      </w:r>
      <w:r>
        <w:rPr>
          <w:spacing w:val="-7"/>
        </w:rPr>
        <w:t> </w:t>
      </w:r>
      <w:r>
        <w:rPr/>
        <w:t>в</w:t>
      </w:r>
      <w:r>
        <w:rPr>
          <w:spacing w:val="-7"/>
        </w:rPr>
        <w:t> </w:t>
      </w:r>
      <w:r>
        <w:rPr/>
        <w:t>процессе</w:t>
      </w:r>
      <w:r>
        <w:rPr>
          <w:spacing w:val="-6"/>
        </w:rPr>
        <w:t> </w:t>
      </w:r>
      <w:r>
        <w:rPr>
          <w:spacing w:val="-2"/>
        </w:rPr>
        <w:t>обсуждения:</w:t>
      </w:r>
    </w:p>
    <w:p>
      <w:pPr>
        <w:pStyle w:val="ListParagraph"/>
        <w:numPr>
          <w:ilvl w:val="0"/>
          <w:numId w:val="269"/>
        </w:numPr>
        <w:tabs>
          <w:tab w:pos="578" w:val="left" w:leader="none"/>
        </w:tabs>
        <w:spacing w:line="232" w:lineRule="auto" w:before="2" w:after="0"/>
        <w:ind w:left="141" w:right="139" w:firstLine="283"/>
        <w:jc w:val="right"/>
        <w:rPr>
          <w:i/>
          <w:sz w:val="20"/>
        </w:rPr>
      </w:pPr>
      <w:r>
        <w:rPr>
          <w:i/>
          <w:sz w:val="20"/>
        </w:rPr>
        <w:t>Существует</w:t>
      </w:r>
      <w:r>
        <w:rPr>
          <w:i/>
          <w:spacing w:val="-10"/>
          <w:sz w:val="20"/>
        </w:rPr>
        <w:t> </w:t>
      </w:r>
      <w:r>
        <w:rPr>
          <w:i/>
          <w:sz w:val="20"/>
        </w:rPr>
        <w:t>множество</w:t>
      </w:r>
      <w:r>
        <w:rPr>
          <w:i/>
          <w:spacing w:val="-10"/>
          <w:sz w:val="20"/>
        </w:rPr>
        <w:t> </w:t>
      </w:r>
      <w:r>
        <w:rPr>
          <w:i/>
          <w:sz w:val="20"/>
        </w:rPr>
        <w:t>различных</w:t>
      </w:r>
      <w:r>
        <w:rPr>
          <w:i/>
          <w:spacing w:val="-10"/>
          <w:sz w:val="20"/>
        </w:rPr>
        <w:t> </w:t>
      </w:r>
      <w:r>
        <w:rPr>
          <w:i/>
          <w:sz w:val="20"/>
        </w:rPr>
        <w:t>интерпретаций</w:t>
      </w:r>
      <w:r>
        <w:rPr>
          <w:i/>
          <w:spacing w:val="-10"/>
          <w:sz w:val="20"/>
        </w:rPr>
        <w:t> </w:t>
      </w:r>
      <w:r>
        <w:rPr>
          <w:i/>
          <w:sz w:val="20"/>
        </w:rPr>
        <w:t>одной</w:t>
      </w:r>
      <w:r>
        <w:rPr>
          <w:i/>
          <w:spacing w:val="-10"/>
          <w:sz w:val="20"/>
        </w:rPr>
        <w:t> </w:t>
      </w:r>
      <w:r>
        <w:rPr>
          <w:i/>
          <w:sz w:val="20"/>
        </w:rPr>
        <w:t>и</w:t>
      </w:r>
      <w:r>
        <w:rPr>
          <w:i/>
          <w:spacing w:val="-10"/>
          <w:sz w:val="20"/>
        </w:rPr>
        <w:t> </w:t>
      </w:r>
      <w:r>
        <w:rPr>
          <w:i/>
          <w:sz w:val="20"/>
        </w:rPr>
        <w:t>той</w:t>
      </w:r>
      <w:r>
        <w:rPr>
          <w:i/>
          <w:spacing w:val="-10"/>
          <w:sz w:val="20"/>
        </w:rPr>
        <w:t> </w:t>
      </w:r>
      <w:r>
        <w:rPr>
          <w:i/>
          <w:sz w:val="20"/>
        </w:rPr>
        <w:t>же</w:t>
      </w:r>
      <w:r>
        <w:rPr>
          <w:i/>
          <w:spacing w:val="-10"/>
          <w:sz w:val="20"/>
        </w:rPr>
        <w:t> </w:t>
      </w:r>
      <w:r>
        <w:rPr>
          <w:i/>
          <w:sz w:val="20"/>
        </w:rPr>
        <w:t>ситуации, </w:t>
      </w:r>
      <w:r>
        <w:rPr>
          <w:i/>
          <w:spacing w:val="-2"/>
          <w:sz w:val="20"/>
        </w:rPr>
        <w:t>основанных</w:t>
      </w:r>
      <w:r>
        <w:rPr>
          <w:i/>
          <w:spacing w:val="-10"/>
          <w:sz w:val="20"/>
        </w:rPr>
        <w:t> </w:t>
      </w:r>
      <w:r>
        <w:rPr>
          <w:i/>
          <w:spacing w:val="-2"/>
          <w:sz w:val="20"/>
        </w:rPr>
        <w:t>на</w:t>
      </w:r>
      <w:r>
        <w:rPr>
          <w:i/>
          <w:spacing w:val="-10"/>
          <w:sz w:val="20"/>
        </w:rPr>
        <w:t> </w:t>
      </w:r>
      <w:r>
        <w:rPr>
          <w:i/>
          <w:spacing w:val="-2"/>
          <w:sz w:val="20"/>
        </w:rPr>
        <w:t>культурных</w:t>
      </w:r>
      <w:r>
        <w:rPr>
          <w:i/>
          <w:spacing w:val="-10"/>
          <w:sz w:val="20"/>
        </w:rPr>
        <w:t> </w:t>
      </w:r>
      <w:r>
        <w:rPr>
          <w:i/>
          <w:spacing w:val="-2"/>
          <w:sz w:val="20"/>
        </w:rPr>
        <w:t>фильтрах</w:t>
      </w:r>
      <w:r>
        <w:rPr>
          <w:i/>
          <w:spacing w:val="-10"/>
          <w:sz w:val="20"/>
        </w:rPr>
        <w:t> </w:t>
      </w:r>
      <w:r>
        <w:rPr>
          <w:i/>
          <w:spacing w:val="-2"/>
          <w:sz w:val="20"/>
        </w:rPr>
        <w:t>людей,</w:t>
      </w:r>
      <w:r>
        <w:rPr>
          <w:i/>
          <w:spacing w:val="-10"/>
          <w:sz w:val="20"/>
        </w:rPr>
        <w:t> </w:t>
      </w:r>
      <w:r>
        <w:rPr>
          <w:i/>
          <w:spacing w:val="-2"/>
          <w:sz w:val="20"/>
        </w:rPr>
        <w:t>их</w:t>
      </w:r>
      <w:r>
        <w:rPr>
          <w:i/>
          <w:spacing w:val="-10"/>
          <w:sz w:val="20"/>
        </w:rPr>
        <w:t> </w:t>
      </w:r>
      <w:r>
        <w:rPr>
          <w:i/>
          <w:spacing w:val="-2"/>
          <w:sz w:val="20"/>
        </w:rPr>
        <w:t>опыте</w:t>
      </w:r>
      <w:r>
        <w:rPr>
          <w:i/>
          <w:spacing w:val="-9"/>
          <w:sz w:val="20"/>
        </w:rPr>
        <w:t> </w:t>
      </w:r>
      <w:r>
        <w:rPr>
          <w:i/>
          <w:spacing w:val="-2"/>
          <w:sz w:val="20"/>
        </w:rPr>
        <w:t>и</w:t>
      </w:r>
      <w:r>
        <w:rPr>
          <w:i/>
          <w:spacing w:val="-10"/>
          <w:sz w:val="20"/>
        </w:rPr>
        <w:t> </w:t>
      </w:r>
      <w:r>
        <w:rPr>
          <w:i/>
          <w:spacing w:val="-2"/>
          <w:sz w:val="20"/>
        </w:rPr>
        <w:t>контекстах</w:t>
      </w:r>
      <w:r>
        <w:rPr>
          <w:i/>
          <w:spacing w:val="-10"/>
          <w:sz w:val="20"/>
        </w:rPr>
        <w:t> </w:t>
      </w:r>
      <w:r>
        <w:rPr>
          <w:i/>
          <w:spacing w:val="-2"/>
          <w:sz w:val="20"/>
        </w:rPr>
        <w:t>времени</w:t>
      </w:r>
      <w:r>
        <w:rPr>
          <w:i/>
          <w:spacing w:val="-10"/>
          <w:sz w:val="20"/>
        </w:rPr>
        <w:t> </w:t>
      </w:r>
      <w:r>
        <w:rPr>
          <w:i/>
          <w:spacing w:val="-2"/>
          <w:sz w:val="20"/>
        </w:rPr>
        <w:t>и</w:t>
      </w:r>
      <w:r>
        <w:rPr>
          <w:i/>
          <w:spacing w:val="-10"/>
          <w:sz w:val="20"/>
        </w:rPr>
        <w:t> </w:t>
      </w:r>
      <w:r>
        <w:rPr>
          <w:i/>
          <w:spacing w:val="-2"/>
          <w:sz w:val="20"/>
        </w:rPr>
        <w:t>места.</w:t>
      </w:r>
    </w:p>
    <w:p>
      <w:pPr>
        <w:pStyle w:val="ListParagraph"/>
        <w:numPr>
          <w:ilvl w:val="0"/>
          <w:numId w:val="269"/>
        </w:numPr>
        <w:tabs>
          <w:tab w:pos="566" w:val="left" w:leader="none"/>
        </w:tabs>
        <w:spacing w:line="232" w:lineRule="auto" w:before="2" w:after="0"/>
        <w:ind w:left="141" w:right="139" w:firstLine="283"/>
        <w:jc w:val="both"/>
        <w:rPr>
          <w:i/>
          <w:sz w:val="20"/>
        </w:rPr>
      </w:pPr>
      <w:r>
        <w:rPr>
          <w:i/>
          <w:sz w:val="20"/>
        </w:rPr>
        <w:t>Изучая</w:t>
      </w:r>
      <w:r>
        <w:rPr>
          <w:i/>
          <w:spacing w:val="-13"/>
          <w:sz w:val="20"/>
        </w:rPr>
        <w:t> </w:t>
      </w:r>
      <w:r>
        <w:rPr>
          <w:i/>
          <w:sz w:val="20"/>
        </w:rPr>
        <w:t>более</w:t>
      </w:r>
      <w:r>
        <w:rPr>
          <w:i/>
          <w:spacing w:val="-12"/>
          <w:sz w:val="20"/>
        </w:rPr>
        <w:t> </w:t>
      </w:r>
      <w:r>
        <w:rPr>
          <w:i/>
          <w:sz w:val="20"/>
        </w:rPr>
        <w:t>чем</w:t>
      </w:r>
      <w:r>
        <w:rPr>
          <w:i/>
          <w:spacing w:val="-13"/>
          <w:sz w:val="20"/>
        </w:rPr>
        <w:t> </w:t>
      </w:r>
      <w:r>
        <w:rPr>
          <w:i/>
          <w:sz w:val="20"/>
        </w:rPr>
        <w:t>одну</w:t>
      </w:r>
      <w:r>
        <w:rPr>
          <w:i/>
          <w:spacing w:val="-12"/>
          <w:sz w:val="20"/>
        </w:rPr>
        <w:t> </w:t>
      </w:r>
      <w:r>
        <w:rPr>
          <w:i/>
          <w:sz w:val="20"/>
        </w:rPr>
        <w:t>перспективу,</w:t>
      </w:r>
      <w:r>
        <w:rPr>
          <w:i/>
          <w:spacing w:val="-13"/>
          <w:sz w:val="20"/>
        </w:rPr>
        <w:t> </w:t>
      </w:r>
      <w:r>
        <w:rPr>
          <w:i/>
          <w:sz w:val="20"/>
        </w:rPr>
        <w:t>мы</w:t>
      </w:r>
      <w:r>
        <w:rPr>
          <w:i/>
          <w:spacing w:val="-12"/>
          <w:sz w:val="20"/>
        </w:rPr>
        <w:t> </w:t>
      </w:r>
      <w:r>
        <w:rPr>
          <w:i/>
          <w:sz w:val="20"/>
        </w:rPr>
        <w:t>с</w:t>
      </w:r>
      <w:r>
        <w:rPr>
          <w:i/>
          <w:spacing w:val="-13"/>
          <w:sz w:val="20"/>
        </w:rPr>
        <w:t> </w:t>
      </w:r>
      <w:r>
        <w:rPr>
          <w:i/>
          <w:sz w:val="20"/>
        </w:rPr>
        <w:t>большей</w:t>
      </w:r>
      <w:r>
        <w:rPr>
          <w:i/>
          <w:spacing w:val="-12"/>
          <w:sz w:val="20"/>
        </w:rPr>
        <w:t> </w:t>
      </w:r>
      <w:r>
        <w:rPr>
          <w:i/>
          <w:sz w:val="20"/>
        </w:rPr>
        <w:t>вероятностью</w:t>
      </w:r>
      <w:r>
        <w:rPr>
          <w:i/>
          <w:spacing w:val="-13"/>
          <w:sz w:val="20"/>
        </w:rPr>
        <w:t> </w:t>
      </w:r>
      <w:r>
        <w:rPr>
          <w:i/>
          <w:sz w:val="20"/>
        </w:rPr>
        <w:t>поймем</w:t>
      </w:r>
      <w:r>
        <w:rPr>
          <w:i/>
          <w:spacing w:val="-12"/>
          <w:sz w:val="20"/>
        </w:rPr>
        <w:t> </w:t>
      </w:r>
      <w:r>
        <w:rPr>
          <w:i/>
          <w:sz w:val="20"/>
        </w:rPr>
        <w:t>причи- ну последующих конфликтов и сможем в будущем их предотвратить.</w:t>
      </w:r>
    </w:p>
    <w:p>
      <w:pPr>
        <w:spacing w:line="227" w:lineRule="exact" w:before="110"/>
        <w:ind w:left="425" w:right="0" w:firstLine="0"/>
        <w:jc w:val="both"/>
        <w:rPr>
          <w:sz w:val="20"/>
        </w:rPr>
      </w:pPr>
      <w:r>
        <w:rPr>
          <w:b/>
          <w:sz w:val="20"/>
        </w:rPr>
        <w:t>История</w:t>
      </w:r>
      <w:r>
        <w:rPr>
          <w:b/>
          <w:spacing w:val="-5"/>
          <w:sz w:val="20"/>
        </w:rPr>
        <w:t> </w:t>
      </w:r>
      <w:r>
        <w:rPr>
          <w:sz w:val="20"/>
        </w:rPr>
        <w:t>1.</w:t>
      </w:r>
      <w:r>
        <w:rPr>
          <w:spacing w:val="-2"/>
          <w:sz w:val="20"/>
        </w:rPr>
        <w:t> </w:t>
      </w:r>
      <w:r>
        <w:rPr>
          <w:sz w:val="20"/>
        </w:rPr>
        <w:t>ЭТО</w:t>
      </w:r>
      <w:r>
        <w:rPr>
          <w:spacing w:val="-2"/>
          <w:sz w:val="20"/>
        </w:rPr>
        <w:t> </w:t>
      </w:r>
      <w:r>
        <w:rPr>
          <w:sz w:val="20"/>
        </w:rPr>
        <w:t>БЫЛ</w:t>
      </w:r>
      <w:r>
        <w:rPr>
          <w:spacing w:val="-3"/>
          <w:sz w:val="20"/>
        </w:rPr>
        <w:t> </w:t>
      </w:r>
      <w:r>
        <w:rPr>
          <w:sz w:val="20"/>
        </w:rPr>
        <w:t>НЕ</w:t>
      </w:r>
      <w:r>
        <w:rPr>
          <w:spacing w:val="-2"/>
          <w:sz w:val="20"/>
        </w:rPr>
        <w:t> </w:t>
      </w:r>
      <w:r>
        <w:rPr>
          <w:spacing w:val="-4"/>
          <w:sz w:val="20"/>
        </w:rPr>
        <w:t>БРАТ!</w:t>
      </w:r>
    </w:p>
    <w:p>
      <w:pPr>
        <w:pStyle w:val="BodyText"/>
        <w:spacing w:line="232" w:lineRule="auto" w:before="2"/>
        <w:ind w:right="140"/>
      </w:pPr>
      <w:r>
        <w:rPr>
          <w:spacing w:val="-2"/>
        </w:rPr>
        <w:t>Король</w:t>
      </w:r>
      <w:r>
        <w:rPr>
          <w:spacing w:val="-6"/>
        </w:rPr>
        <w:t> </w:t>
      </w:r>
      <w:r>
        <w:rPr>
          <w:spacing w:val="-2"/>
        </w:rPr>
        <w:t>Мохимбо,</w:t>
      </w:r>
      <w:r>
        <w:rPr>
          <w:spacing w:val="-6"/>
        </w:rPr>
        <w:t> </w:t>
      </w:r>
      <w:r>
        <w:rPr>
          <w:spacing w:val="-2"/>
        </w:rPr>
        <w:t>живший</w:t>
      </w:r>
      <w:r>
        <w:rPr>
          <w:spacing w:val="-6"/>
        </w:rPr>
        <w:t> </w:t>
      </w:r>
      <w:r>
        <w:rPr>
          <w:spacing w:val="-2"/>
        </w:rPr>
        <w:t>около</w:t>
      </w:r>
      <w:r>
        <w:rPr>
          <w:spacing w:val="-6"/>
        </w:rPr>
        <w:t> </w:t>
      </w:r>
      <w:r>
        <w:rPr>
          <w:spacing w:val="-2"/>
        </w:rPr>
        <w:t>реки</w:t>
      </w:r>
      <w:r>
        <w:rPr>
          <w:spacing w:val="-6"/>
        </w:rPr>
        <w:t> </w:t>
      </w:r>
      <w:r>
        <w:rPr>
          <w:spacing w:val="-2"/>
        </w:rPr>
        <w:t>Конго,</w:t>
      </w:r>
      <w:r>
        <w:rPr>
          <w:spacing w:val="-6"/>
        </w:rPr>
        <w:t> </w:t>
      </w:r>
      <w:r>
        <w:rPr>
          <w:spacing w:val="-2"/>
        </w:rPr>
        <w:t>рассказывает,</w:t>
      </w:r>
      <w:r>
        <w:rPr>
          <w:spacing w:val="-6"/>
        </w:rPr>
        <w:t> </w:t>
      </w:r>
      <w:r>
        <w:rPr>
          <w:spacing w:val="-2"/>
        </w:rPr>
        <w:t>как</w:t>
      </w:r>
      <w:r>
        <w:rPr>
          <w:spacing w:val="-6"/>
        </w:rPr>
        <w:t> </w:t>
      </w:r>
      <w:r>
        <w:rPr>
          <w:spacing w:val="-2"/>
        </w:rPr>
        <w:t>его</w:t>
      </w:r>
      <w:r>
        <w:rPr>
          <w:spacing w:val="-6"/>
        </w:rPr>
        <w:t> </w:t>
      </w:r>
      <w:r>
        <w:rPr>
          <w:spacing w:val="-2"/>
        </w:rPr>
        <w:t>народ</w:t>
      </w:r>
      <w:r>
        <w:rPr>
          <w:spacing w:val="-6"/>
        </w:rPr>
        <w:t> </w:t>
      </w:r>
      <w:r>
        <w:rPr>
          <w:spacing w:val="-2"/>
        </w:rPr>
        <w:t>встретил </w:t>
      </w:r>
      <w:r>
        <w:rPr/>
        <w:t>первого белого человека (Генри Стэнли). Он рассказал эту историю католическому </w:t>
      </w:r>
      <w:r>
        <w:rPr>
          <w:spacing w:val="-2"/>
        </w:rPr>
        <w:t>священнику.</w:t>
      </w:r>
    </w:p>
    <w:p>
      <w:pPr>
        <w:pStyle w:val="ListParagraph"/>
        <w:numPr>
          <w:ilvl w:val="0"/>
          <w:numId w:val="269"/>
        </w:numPr>
        <w:tabs>
          <w:tab w:pos="586" w:val="left" w:leader="none"/>
        </w:tabs>
        <w:spacing w:line="232" w:lineRule="auto" w:before="60" w:after="0"/>
        <w:ind w:left="141" w:right="139" w:firstLine="283"/>
        <w:jc w:val="both"/>
        <w:rPr>
          <w:i/>
          <w:sz w:val="20"/>
        </w:rPr>
      </w:pPr>
      <w:r>
        <w:rPr>
          <w:sz w:val="20"/>
        </w:rPr>
        <w:t>Когда мы услышали, что человек с белой кожей плывет вниз по реке, мы были удивлены.</w:t>
      </w:r>
      <w:r>
        <w:rPr>
          <w:spacing w:val="-10"/>
          <w:sz w:val="20"/>
        </w:rPr>
        <w:t> </w:t>
      </w:r>
      <w:r>
        <w:rPr>
          <w:sz w:val="20"/>
        </w:rPr>
        <w:t>Мы</w:t>
      </w:r>
      <w:r>
        <w:rPr>
          <w:spacing w:val="-10"/>
          <w:sz w:val="20"/>
        </w:rPr>
        <w:t> </w:t>
      </w:r>
      <w:r>
        <w:rPr>
          <w:sz w:val="20"/>
        </w:rPr>
        <w:t>стояли</w:t>
      </w:r>
      <w:r>
        <w:rPr>
          <w:spacing w:val="-10"/>
          <w:sz w:val="20"/>
        </w:rPr>
        <w:t> </w:t>
      </w:r>
      <w:r>
        <w:rPr>
          <w:sz w:val="20"/>
        </w:rPr>
        <w:t>неподвижно.</w:t>
      </w:r>
      <w:r>
        <w:rPr>
          <w:spacing w:val="-10"/>
          <w:sz w:val="20"/>
        </w:rPr>
        <w:t> </w:t>
      </w:r>
      <w:r>
        <w:rPr>
          <w:sz w:val="20"/>
        </w:rPr>
        <w:t>Всю</w:t>
      </w:r>
      <w:r>
        <w:rPr>
          <w:spacing w:val="-10"/>
          <w:sz w:val="20"/>
        </w:rPr>
        <w:t> </w:t>
      </w:r>
      <w:r>
        <w:rPr>
          <w:sz w:val="20"/>
        </w:rPr>
        <w:t>ночь</w:t>
      </w:r>
      <w:r>
        <w:rPr>
          <w:spacing w:val="-10"/>
          <w:sz w:val="20"/>
        </w:rPr>
        <w:t> </w:t>
      </w:r>
      <w:r>
        <w:rPr>
          <w:sz w:val="20"/>
        </w:rPr>
        <w:t>звук</w:t>
      </w:r>
      <w:r>
        <w:rPr>
          <w:spacing w:val="-10"/>
          <w:sz w:val="20"/>
        </w:rPr>
        <w:t> </w:t>
      </w:r>
      <w:r>
        <w:rPr>
          <w:sz w:val="20"/>
        </w:rPr>
        <w:t>барабанов</w:t>
      </w:r>
      <w:r>
        <w:rPr>
          <w:spacing w:val="-10"/>
          <w:sz w:val="20"/>
        </w:rPr>
        <w:t> </w:t>
      </w:r>
      <w:r>
        <w:rPr>
          <w:sz w:val="20"/>
        </w:rPr>
        <w:t>доносил</w:t>
      </w:r>
      <w:r>
        <w:rPr>
          <w:spacing w:val="-10"/>
          <w:sz w:val="20"/>
        </w:rPr>
        <w:t> </w:t>
      </w:r>
      <w:r>
        <w:rPr>
          <w:sz w:val="20"/>
        </w:rPr>
        <w:t>необычные</w:t>
      </w:r>
      <w:r>
        <w:rPr>
          <w:spacing w:val="-10"/>
          <w:sz w:val="20"/>
        </w:rPr>
        <w:t> </w:t>
      </w:r>
      <w:r>
        <w:rPr>
          <w:sz w:val="20"/>
        </w:rPr>
        <w:t>но- вости</w:t>
      </w:r>
      <w:r>
        <w:rPr>
          <w:spacing w:val="-7"/>
          <w:sz w:val="20"/>
        </w:rPr>
        <w:t> </w:t>
      </w:r>
      <w:r>
        <w:rPr>
          <w:i/>
          <w:sz w:val="20"/>
        </w:rPr>
        <w:t>–</w:t>
      </w:r>
      <w:r>
        <w:rPr>
          <w:i/>
          <w:spacing w:val="-7"/>
          <w:sz w:val="20"/>
        </w:rPr>
        <w:t> </w:t>
      </w:r>
      <w:r>
        <w:rPr>
          <w:sz w:val="20"/>
        </w:rPr>
        <w:t>плывет</w:t>
      </w:r>
      <w:r>
        <w:rPr>
          <w:spacing w:val="-7"/>
          <w:sz w:val="20"/>
        </w:rPr>
        <w:t> </w:t>
      </w:r>
      <w:r>
        <w:rPr>
          <w:sz w:val="20"/>
        </w:rPr>
        <w:t>человек</w:t>
      </w:r>
      <w:r>
        <w:rPr>
          <w:spacing w:val="-7"/>
          <w:sz w:val="20"/>
        </w:rPr>
        <w:t> </w:t>
      </w:r>
      <w:r>
        <w:rPr>
          <w:sz w:val="20"/>
        </w:rPr>
        <w:t>с</w:t>
      </w:r>
      <w:r>
        <w:rPr>
          <w:spacing w:val="-7"/>
          <w:sz w:val="20"/>
        </w:rPr>
        <w:t> </w:t>
      </w:r>
      <w:r>
        <w:rPr>
          <w:sz w:val="20"/>
        </w:rPr>
        <w:t>белой</w:t>
      </w:r>
      <w:r>
        <w:rPr>
          <w:spacing w:val="-7"/>
          <w:sz w:val="20"/>
        </w:rPr>
        <w:t> </w:t>
      </w:r>
      <w:r>
        <w:rPr>
          <w:sz w:val="20"/>
        </w:rPr>
        <w:t>кожей!</w:t>
      </w:r>
      <w:r>
        <w:rPr>
          <w:spacing w:val="-7"/>
          <w:sz w:val="20"/>
        </w:rPr>
        <w:t> </w:t>
      </w:r>
      <w:r>
        <w:rPr>
          <w:sz w:val="20"/>
        </w:rPr>
        <w:t>Если</w:t>
      </w:r>
      <w:r>
        <w:rPr>
          <w:spacing w:val="-7"/>
          <w:sz w:val="20"/>
        </w:rPr>
        <w:t> </w:t>
      </w:r>
      <w:r>
        <w:rPr>
          <w:sz w:val="20"/>
        </w:rPr>
        <w:t>у</w:t>
      </w:r>
      <w:r>
        <w:rPr>
          <w:spacing w:val="-7"/>
          <w:sz w:val="20"/>
        </w:rPr>
        <w:t> </w:t>
      </w:r>
      <w:r>
        <w:rPr>
          <w:sz w:val="20"/>
        </w:rPr>
        <w:t>него</w:t>
      </w:r>
      <w:r>
        <w:rPr>
          <w:spacing w:val="-7"/>
          <w:sz w:val="20"/>
        </w:rPr>
        <w:t> </w:t>
      </w:r>
      <w:r>
        <w:rPr>
          <w:sz w:val="20"/>
        </w:rPr>
        <w:t>белая</w:t>
      </w:r>
      <w:r>
        <w:rPr>
          <w:spacing w:val="-7"/>
          <w:sz w:val="20"/>
        </w:rPr>
        <w:t> </w:t>
      </w:r>
      <w:r>
        <w:rPr>
          <w:sz w:val="20"/>
        </w:rPr>
        <w:t>кожа,</w:t>
      </w:r>
      <w:r>
        <w:rPr>
          <w:spacing w:val="-7"/>
          <w:sz w:val="20"/>
        </w:rPr>
        <w:t> </w:t>
      </w:r>
      <w:r>
        <w:rPr>
          <w:sz w:val="20"/>
        </w:rPr>
        <w:t>значит,</w:t>
      </w:r>
      <w:r>
        <w:rPr>
          <w:spacing w:val="-7"/>
          <w:sz w:val="20"/>
        </w:rPr>
        <w:t> </w:t>
      </w:r>
      <w:r>
        <w:rPr>
          <w:sz w:val="20"/>
        </w:rPr>
        <w:t>он</w:t>
      </w:r>
      <w:r>
        <w:rPr>
          <w:spacing w:val="-7"/>
          <w:sz w:val="20"/>
        </w:rPr>
        <w:t> </w:t>
      </w:r>
      <w:r>
        <w:rPr>
          <w:sz w:val="20"/>
        </w:rPr>
        <w:t>из</w:t>
      </w:r>
      <w:r>
        <w:rPr>
          <w:spacing w:val="-7"/>
          <w:sz w:val="20"/>
        </w:rPr>
        <w:t> </w:t>
      </w:r>
      <w:r>
        <w:rPr>
          <w:sz w:val="20"/>
        </w:rPr>
        <w:t>речного </w:t>
      </w:r>
      <w:r>
        <w:rPr>
          <w:spacing w:val="-2"/>
          <w:sz w:val="20"/>
        </w:rPr>
        <w:t>королевства.</w:t>
      </w:r>
      <w:r>
        <w:rPr>
          <w:spacing w:val="-11"/>
          <w:sz w:val="20"/>
        </w:rPr>
        <w:t> </w:t>
      </w:r>
      <w:r>
        <w:rPr>
          <w:spacing w:val="-2"/>
          <w:sz w:val="20"/>
        </w:rPr>
        <w:t>Он</w:t>
      </w:r>
      <w:r>
        <w:rPr>
          <w:spacing w:val="-10"/>
          <w:sz w:val="20"/>
        </w:rPr>
        <w:t> </w:t>
      </w:r>
      <w:r>
        <w:rPr>
          <w:spacing w:val="-2"/>
          <w:sz w:val="20"/>
        </w:rPr>
        <w:t>один</w:t>
      </w:r>
      <w:r>
        <w:rPr>
          <w:spacing w:val="-11"/>
          <w:sz w:val="20"/>
        </w:rPr>
        <w:t> </w:t>
      </w:r>
      <w:r>
        <w:rPr>
          <w:spacing w:val="-2"/>
          <w:sz w:val="20"/>
        </w:rPr>
        <w:t>из</w:t>
      </w:r>
      <w:r>
        <w:rPr>
          <w:spacing w:val="-10"/>
          <w:sz w:val="20"/>
        </w:rPr>
        <w:t> </w:t>
      </w:r>
      <w:r>
        <w:rPr>
          <w:spacing w:val="-2"/>
          <w:sz w:val="20"/>
        </w:rPr>
        <w:t>наших</w:t>
      </w:r>
      <w:r>
        <w:rPr>
          <w:spacing w:val="-11"/>
          <w:sz w:val="20"/>
        </w:rPr>
        <w:t> </w:t>
      </w:r>
      <w:r>
        <w:rPr>
          <w:spacing w:val="-2"/>
          <w:sz w:val="20"/>
        </w:rPr>
        <w:t>братьев,</w:t>
      </w:r>
      <w:r>
        <w:rPr>
          <w:spacing w:val="-10"/>
          <w:sz w:val="20"/>
        </w:rPr>
        <w:t> </w:t>
      </w:r>
      <w:r>
        <w:rPr>
          <w:spacing w:val="-2"/>
          <w:sz w:val="20"/>
        </w:rPr>
        <w:t>утонувших</w:t>
      </w:r>
      <w:r>
        <w:rPr>
          <w:spacing w:val="-11"/>
          <w:sz w:val="20"/>
        </w:rPr>
        <w:t> </w:t>
      </w:r>
      <w:r>
        <w:rPr>
          <w:spacing w:val="-2"/>
          <w:sz w:val="20"/>
        </w:rPr>
        <w:t>в</w:t>
      </w:r>
      <w:r>
        <w:rPr>
          <w:spacing w:val="-10"/>
          <w:sz w:val="20"/>
        </w:rPr>
        <w:t> </w:t>
      </w:r>
      <w:r>
        <w:rPr>
          <w:spacing w:val="-2"/>
          <w:sz w:val="20"/>
        </w:rPr>
        <w:t>реке.</w:t>
      </w:r>
      <w:r>
        <w:rPr>
          <w:spacing w:val="-11"/>
          <w:sz w:val="20"/>
        </w:rPr>
        <w:t> </w:t>
      </w:r>
      <w:r>
        <w:rPr>
          <w:spacing w:val="-2"/>
          <w:sz w:val="20"/>
        </w:rPr>
        <w:t>Вся</w:t>
      </w:r>
      <w:r>
        <w:rPr>
          <w:spacing w:val="-10"/>
          <w:sz w:val="20"/>
        </w:rPr>
        <w:t> </w:t>
      </w:r>
      <w:r>
        <w:rPr>
          <w:spacing w:val="-2"/>
          <w:sz w:val="20"/>
        </w:rPr>
        <w:t>жизнь</w:t>
      </w:r>
      <w:r>
        <w:rPr>
          <w:spacing w:val="-11"/>
          <w:sz w:val="20"/>
        </w:rPr>
        <w:t> </w:t>
      </w:r>
      <w:r>
        <w:rPr>
          <w:spacing w:val="-2"/>
          <w:sz w:val="20"/>
        </w:rPr>
        <w:t>исходит</w:t>
      </w:r>
      <w:r>
        <w:rPr>
          <w:spacing w:val="-10"/>
          <w:sz w:val="20"/>
        </w:rPr>
        <w:t> </w:t>
      </w:r>
      <w:r>
        <w:rPr>
          <w:spacing w:val="-2"/>
          <w:sz w:val="20"/>
        </w:rPr>
        <w:t>из</w:t>
      </w:r>
      <w:r>
        <w:rPr>
          <w:spacing w:val="-11"/>
          <w:sz w:val="20"/>
        </w:rPr>
        <w:t> </w:t>
      </w:r>
      <w:r>
        <w:rPr>
          <w:spacing w:val="-2"/>
          <w:sz w:val="20"/>
        </w:rPr>
        <w:t>воды, </w:t>
      </w:r>
      <w:r>
        <w:rPr>
          <w:sz w:val="20"/>
        </w:rPr>
        <w:t>и в воде он нашел жизнь. Теперь он возвращается к нам. Он возвращается домой.</w:t>
      </w:r>
    </w:p>
    <w:p>
      <w:pPr>
        <w:pStyle w:val="BodyText"/>
        <w:spacing w:line="232" w:lineRule="auto" w:before="4"/>
      </w:pPr>
      <w:r>
        <w:rPr/>
        <w:t>Я приказал приготовить пир и сказал: «Мы пойдем навстречу нашему брату и</w:t>
      </w:r>
      <w:r>
        <w:rPr>
          <w:i/>
        </w:rPr>
        <w:t>, </w:t>
      </w:r>
      <w:r>
        <w:rPr/>
        <w:t>ликуя</w:t>
      </w:r>
      <w:r>
        <w:rPr>
          <w:i/>
        </w:rPr>
        <w:t>,</w:t>
      </w:r>
      <w:r>
        <w:rPr>
          <w:i/>
          <w:spacing w:val="-8"/>
        </w:rPr>
        <w:t> </w:t>
      </w:r>
      <w:r>
        <w:rPr/>
        <w:t>приведем</w:t>
      </w:r>
      <w:r>
        <w:rPr>
          <w:spacing w:val="-8"/>
        </w:rPr>
        <w:t> </w:t>
      </w:r>
      <w:r>
        <w:rPr/>
        <w:t>его</w:t>
      </w:r>
      <w:r>
        <w:rPr>
          <w:spacing w:val="-8"/>
        </w:rPr>
        <w:t> </w:t>
      </w:r>
      <w:r>
        <w:rPr/>
        <w:t>в</w:t>
      </w:r>
      <w:r>
        <w:rPr>
          <w:spacing w:val="-8"/>
        </w:rPr>
        <w:t> </w:t>
      </w:r>
      <w:r>
        <w:rPr/>
        <w:t>деревню!</w:t>
      </w:r>
      <w:r>
        <w:rPr>
          <w:spacing w:val="-8"/>
        </w:rPr>
        <w:t> </w:t>
      </w:r>
      <w:r>
        <w:rPr/>
        <w:t>Мы</w:t>
      </w:r>
      <w:r>
        <w:rPr>
          <w:spacing w:val="-8"/>
        </w:rPr>
        <w:t> </w:t>
      </w:r>
      <w:r>
        <w:rPr/>
        <w:t>наденем</w:t>
      </w:r>
      <w:r>
        <w:rPr>
          <w:spacing w:val="-8"/>
        </w:rPr>
        <w:t> </w:t>
      </w:r>
      <w:r>
        <w:rPr/>
        <w:t>церемониальные</w:t>
      </w:r>
      <w:r>
        <w:rPr>
          <w:spacing w:val="-8"/>
        </w:rPr>
        <w:t> </w:t>
      </w:r>
      <w:r>
        <w:rPr/>
        <w:t>одежды.</w:t>
      </w:r>
      <w:r>
        <w:rPr>
          <w:spacing w:val="-8"/>
        </w:rPr>
        <w:t> </w:t>
      </w:r>
      <w:r>
        <w:rPr/>
        <w:t>Возьмем</w:t>
      </w:r>
      <w:r>
        <w:rPr>
          <w:spacing w:val="-8"/>
        </w:rPr>
        <w:t> </w:t>
      </w:r>
      <w:r>
        <w:rPr/>
        <w:t>луч- шие каноэ!».</w:t>
      </w:r>
    </w:p>
    <w:p>
      <w:pPr>
        <w:pStyle w:val="BodyText"/>
        <w:spacing w:line="224" w:lineRule="exact"/>
        <w:ind w:left="425" w:right="0" w:firstLine="0"/>
      </w:pPr>
      <w:r>
        <w:rPr/>
        <w:t>Мы</w:t>
      </w:r>
      <w:r>
        <w:rPr>
          <w:spacing w:val="-9"/>
        </w:rPr>
        <w:t> </w:t>
      </w:r>
      <w:r>
        <w:rPr/>
        <w:t>слушали</w:t>
      </w:r>
      <w:r>
        <w:rPr>
          <w:spacing w:val="-8"/>
        </w:rPr>
        <w:t> </w:t>
      </w:r>
      <w:r>
        <w:rPr/>
        <w:t>гонг,</w:t>
      </w:r>
      <w:r>
        <w:rPr>
          <w:spacing w:val="-7"/>
        </w:rPr>
        <w:t> </w:t>
      </w:r>
      <w:r>
        <w:rPr/>
        <w:t>который</w:t>
      </w:r>
      <w:r>
        <w:rPr>
          <w:spacing w:val="-7"/>
        </w:rPr>
        <w:t> </w:t>
      </w:r>
      <w:r>
        <w:rPr/>
        <w:t>говорил,</w:t>
      </w:r>
      <w:r>
        <w:rPr>
          <w:spacing w:val="-7"/>
        </w:rPr>
        <w:t> </w:t>
      </w:r>
      <w:r>
        <w:rPr/>
        <w:t>что</w:t>
      </w:r>
      <w:r>
        <w:rPr>
          <w:spacing w:val="-7"/>
        </w:rPr>
        <w:t> </w:t>
      </w:r>
      <w:r>
        <w:rPr/>
        <w:t>наш</w:t>
      </w:r>
      <w:r>
        <w:rPr>
          <w:spacing w:val="-6"/>
        </w:rPr>
        <w:t> </w:t>
      </w:r>
      <w:r>
        <w:rPr/>
        <w:t>брат</w:t>
      </w:r>
      <w:r>
        <w:rPr>
          <w:spacing w:val="-7"/>
        </w:rPr>
        <w:t> </w:t>
      </w:r>
      <w:r>
        <w:rPr/>
        <w:t>прибыл</w:t>
      </w:r>
      <w:r>
        <w:rPr>
          <w:spacing w:val="-7"/>
        </w:rPr>
        <w:t> </w:t>
      </w:r>
      <w:r>
        <w:rPr/>
        <w:t>на</w:t>
      </w:r>
      <w:r>
        <w:rPr>
          <w:spacing w:val="-6"/>
        </w:rPr>
        <w:t> </w:t>
      </w:r>
      <w:r>
        <w:rPr>
          <w:spacing w:val="-2"/>
        </w:rPr>
        <w:t>реку.</w:t>
      </w:r>
    </w:p>
    <w:p>
      <w:pPr>
        <w:pStyle w:val="BodyText"/>
        <w:spacing w:line="232" w:lineRule="auto" w:before="3"/>
      </w:pPr>
      <w:r>
        <w:rPr/>
        <w:t>Теперь</w:t>
      </w:r>
      <w:r>
        <w:rPr>
          <w:spacing w:val="-8"/>
        </w:rPr>
        <w:t> </w:t>
      </w:r>
      <w:r>
        <w:rPr/>
        <w:t>он</w:t>
      </w:r>
      <w:r>
        <w:rPr>
          <w:spacing w:val="-8"/>
        </w:rPr>
        <w:t> </w:t>
      </w:r>
      <w:r>
        <w:rPr/>
        <w:t>входит</w:t>
      </w:r>
      <w:r>
        <w:rPr>
          <w:spacing w:val="-8"/>
        </w:rPr>
        <w:t> </w:t>
      </w:r>
      <w:r>
        <w:rPr/>
        <w:t>в</w:t>
      </w:r>
      <w:r>
        <w:rPr>
          <w:spacing w:val="-8"/>
        </w:rPr>
        <w:t> </w:t>
      </w:r>
      <w:r>
        <w:rPr/>
        <w:t>реку!</w:t>
      </w:r>
      <w:r>
        <w:rPr>
          <w:spacing w:val="-8"/>
        </w:rPr>
        <w:t> </w:t>
      </w:r>
      <w:r>
        <w:rPr/>
        <w:t>Мы</w:t>
      </w:r>
      <w:r>
        <w:rPr>
          <w:spacing w:val="-8"/>
        </w:rPr>
        <w:t> </w:t>
      </w:r>
      <w:r>
        <w:rPr/>
        <w:t>двинулись</w:t>
      </w:r>
      <w:r>
        <w:rPr>
          <w:spacing w:val="-8"/>
        </w:rPr>
        <w:t> </w:t>
      </w:r>
      <w:r>
        <w:rPr/>
        <w:t>вперед,</w:t>
      </w:r>
      <w:r>
        <w:rPr>
          <w:spacing w:val="-8"/>
        </w:rPr>
        <w:t> </w:t>
      </w:r>
      <w:r>
        <w:rPr/>
        <w:t>я</w:t>
      </w:r>
      <w:r>
        <w:rPr>
          <w:spacing w:val="-8"/>
        </w:rPr>
        <w:t> </w:t>
      </w:r>
      <w:r>
        <w:rPr/>
        <w:t>вел</w:t>
      </w:r>
      <w:r>
        <w:rPr>
          <w:spacing w:val="-8"/>
        </w:rPr>
        <w:t> </w:t>
      </w:r>
      <w:r>
        <w:rPr/>
        <w:t>каноэ,</w:t>
      </w:r>
      <w:r>
        <w:rPr>
          <w:spacing w:val="-8"/>
        </w:rPr>
        <w:t> </w:t>
      </w:r>
      <w:r>
        <w:rPr/>
        <w:t>остальные</w:t>
      </w:r>
      <w:r>
        <w:rPr>
          <w:spacing w:val="-8"/>
        </w:rPr>
        <w:t> </w:t>
      </w:r>
      <w:r>
        <w:rPr/>
        <w:t>следовали за нами, с песнями радости и танцами, чтобы встретить первого белого человека и почтить его.</w:t>
      </w:r>
    </w:p>
    <w:p>
      <w:pPr>
        <w:pStyle w:val="BodyText"/>
        <w:spacing w:line="224" w:lineRule="exact"/>
        <w:ind w:left="425" w:right="0" w:firstLine="0"/>
      </w:pPr>
      <w:r>
        <w:rPr/>
        <w:t>Но</w:t>
      </w:r>
      <w:r>
        <w:rPr>
          <w:spacing w:val="16"/>
        </w:rPr>
        <w:t> </w:t>
      </w:r>
      <w:r>
        <w:rPr/>
        <w:t>когда</w:t>
      </w:r>
      <w:r>
        <w:rPr>
          <w:spacing w:val="17"/>
        </w:rPr>
        <w:t> </w:t>
      </w:r>
      <w:r>
        <w:rPr/>
        <w:t>мы</w:t>
      </w:r>
      <w:r>
        <w:rPr>
          <w:spacing w:val="17"/>
        </w:rPr>
        <w:t> </w:t>
      </w:r>
      <w:r>
        <w:rPr/>
        <w:t>подошли</w:t>
      </w:r>
      <w:r>
        <w:rPr>
          <w:spacing w:val="17"/>
        </w:rPr>
        <w:t> </w:t>
      </w:r>
      <w:r>
        <w:rPr/>
        <w:t>к</w:t>
      </w:r>
      <w:r>
        <w:rPr>
          <w:spacing w:val="17"/>
        </w:rPr>
        <w:t> </w:t>
      </w:r>
      <w:r>
        <w:rPr/>
        <w:t>его</w:t>
      </w:r>
      <w:r>
        <w:rPr>
          <w:spacing w:val="17"/>
        </w:rPr>
        <w:t> </w:t>
      </w:r>
      <w:r>
        <w:rPr/>
        <w:t>каноэ,</w:t>
      </w:r>
      <w:r>
        <w:rPr>
          <w:spacing w:val="16"/>
        </w:rPr>
        <w:t> </w:t>
      </w:r>
      <w:r>
        <w:rPr/>
        <w:t>послышались</w:t>
      </w:r>
      <w:r>
        <w:rPr>
          <w:spacing w:val="17"/>
        </w:rPr>
        <w:t> </w:t>
      </w:r>
      <w:r>
        <w:rPr/>
        <w:t>громкие</w:t>
      </w:r>
      <w:r>
        <w:rPr>
          <w:spacing w:val="17"/>
        </w:rPr>
        <w:t> </w:t>
      </w:r>
      <w:r>
        <w:rPr/>
        <w:t>звуки:</w:t>
      </w:r>
      <w:r>
        <w:rPr>
          <w:spacing w:val="17"/>
        </w:rPr>
        <w:t> </w:t>
      </w:r>
      <w:r>
        <w:rPr/>
        <w:t>Бах!</w:t>
      </w:r>
      <w:r>
        <w:rPr>
          <w:spacing w:val="17"/>
        </w:rPr>
        <w:t> </w:t>
      </w:r>
      <w:r>
        <w:rPr/>
        <w:t>Бах!</w:t>
      </w:r>
      <w:r>
        <w:rPr>
          <w:spacing w:val="17"/>
        </w:rPr>
        <w:t> </w:t>
      </w:r>
      <w:r>
        <w:rPr>
          <w:spacing w:val="-4"/>
        </w:rPr>
        <w:t>Бах!</w:t>
      </w:r>
    </w:p>
    <w:p>
      <w:pPr>
        <w:pStyle w:val="BodyText"/>
        <w:spacing w:line="224" w:lineRule="exact"/>
        <w:ind w:right="0" w:firstLine="0"/>
      </w:pPr>
      <w:r>
        <w:rPr/>
        <w:t>Огненные</w:t>
      </w:r>
      <w:r>
        <w:rPr>
          <w:spacing w:val="-2"/>
        </w:rPr>
        <w:t> </w:t>
      </w:r>
      <w:r>
        <w:rPr/>
        <w:t>палки</w:t>
      </w:r>
      <w:r>
        <w:rPr>
          <w:spacing w:val="-3"/>
        </w:rPr>
        <w:t> </w:t>
      </w:r>
      <w:r>
        <w:rPr/>
        <w:t>плевали</w:t>
      </w:r>
      <w:r>
        <w:rPr>
          <w:spacing w:val="-3"/>
        </w:rPr>
        <w:t> </w:t>
      </w:r>
      <w:r>
        <w:rPr/>
        <w:t>в</w:t>
      </w:r>
      <w:r>
        <w:rPr>
          <w:spacing w:val="-2"/>
        </w:rPr>
        <w:t> </w:t>
      </w:r>
      <w:r>
        <w:rPr/>
        <w:t>нас</w:t>
      </w:r>
      <w:r>
        <w:rPr>
          <w:spacing w:val="-2"/>
        </w:rPr>
        <w:t> </w:t>
      </w:r>
      <w:r>
        <w:rPr/>
        <w:t>железяками.</w:t>
      </w:r>
      <w:r>
        <w:rPr>
          <w:spacing w:val="-2"/>
        </w:rPr>
        <w:t> </w:t>
      </w:r>
      <w:r>
        <w:rPr/>
        <w:t>Мы</w:t>
      </w:r>
      <w:r>
        <w:rPr>
          <w:spacing w:val="-1"/>
        </w:rPr>
        <w:t> </w:t>
      </w:r>
      <w:r>
        <w:rPr>
          <w:spacing w:val="-2"/>
        </w:rPr>
        <w:t>испугались.</w:t>
      </w:r>
    </w:p>
    <w:p>
      <w:pPr>
        <w:pStyle w:val="BodyText"/>
        <w:spacing w:line="232" w:lineRule="auto" w:before="3"/>
        <w:ind w:right="140"/>
      </w:pPr>
      <w:r>
        <w:rPr/>
        <w:t>Вещи, которые мы никогда не видели, никогда не слышали </w:t>
      </w:r>
      <w:r>
        <w:rPr>
          <w:i/>
        </w:rPr>
        <w:t>– </w:t>
      </w:r>
      <w:r>
        <w:rPr/>
        <w:t>были ли они делом рук злых духов?</w:t>
      </w:r>
    </w:p>
    <w:p>
      <w:pPr>
        <w:pStyle w:val="BodyText"/>
        <w:spacing w:line="232" w:lineRule="auto" w:before="1"/>
      </w:pPr>
      <w:r>
        <w:rPr/>
        <w:t>Несколько</w:t>
      </w:r>
      <w:r>
        <w:rPr>
          <w:spacing w:val="-13"/>
        </w:rPr>
        <w:t> </w:t>
      </w:r>
      <w:r>
        <w:rPr/>
        <w:t>моих</w:t>
      </w:r>
      <w:r>
        <w:rPr>
          <w:spacing w:val="-12"/>
        </w:rPr>
        <w:t> </w:t>
      </w:r>
      <w:r>
        <w:rPr/>
        <w:t>людей</w:t>
      </w:r>
      <w:r>
        <w:rPr>
          <w:spacing w:val="-13"/>
        </w:rPr>
        <w:t> </w:t>
      </w:r>
      <w:r>
        <w:rPr/>
        <w:t>упали</w:t>
      </w:r>
      <w:r>
        <w:rPr>
          <w:spacing w:val="-12"/>
        </w:rPr>
        <w:t> </w:t>
      </w:r>
      <w:r>
        <w:rPr/>
        <w:t>в</w:t>
      </w:r>
      <w:r>
        <w:rPr>
          <w:spacing w:val="-13"/>
        </w:rPr>
        <w:t> </w:t>
      </w:r>
      <w:r>
        <w:rPr/>
        <w:t>воду.</w:t>
      </w:r>
      <w:r>
        <w:rPr>
          <w:spacing w:val="-12"/>
        </w:rPr>
        <w:t> </w:t>
      </w:r>
      <w:r>
        <w:rPr/>
        <w:t>Почему?</w:t>
      </w:r>
      <w:r>
        <w:rPr>
          <w:spacing w:val="-13"/>
        </w:rPr>
        <w:t> </w:t>
      </w:r>
      <w:r>
        <w:rPr/>
        <w:t>Они</w:t>
      </w:r>
      <w:r>
        <w:rPr>
          <w:spacing w:val="-12"/>
        </w:rPr>
        <w:t> </w:t>
      </w:r>
      <w:r>
        <w:rPr/>
        <w:t>ушли</w:t>
      </w:r>
      <w:r>
        <w:rPr>
          <w:spacing w:val="-13"/>
        </w:rPr>
        <w:t> </w:t>
      </w:r>
      <w:r>
        <w:rPr/>
        <w:t>в</w:t>
      </w:r>
      <w:r>
        <w:rPr>
          <w:spacing w:val="-12"/>
        </w:rPr>
        <w:t> </w:t>
      </w:r>
      <w:r>
        <w:rPr/>
        <w:t>безопасное</w:t>
      </w:r>
      <w:r>
        <w:rPr>
          <w:spacing w:val="-13"/>
        </w:rPr>
        <w:t> </w:t>
      </w:r>
      <w:r>
        <w:rPr/>
        <w:t>место?</w:t>
      </w:r>
      <w:r>
        <w:rPr>
          <w:spacing w:val="-12"/>
        </w:rPr>
        <w:t> </w:t>
      </w:r>
      <w:r>
        <w:rPr/>
        <w:t>Нет, они</w:t>
      </w:r>
      <w:r>
        <w:rPr>
          <w:spacing w:val="-13"/>
        </w:rPr>
        <w:t> </w:t>
      </w:r>
      <w:r>
        <w:rPr/>
        <w:t>умерли</w:t>
      </w:r>
      <w:r>
        <w:rPr>
          <w:spacing w:val="-12"/>
        </w:rPr>
        <w:t> </w:t>
      </w:r>
      <w:r>
        <w:rPr/>
        <w:t>и</w:t>
      </w:r>
      <w:r>
        <w:rPr>
          <w:spacing w:val="-13"/>
        </w:rPr>
        <w:t> </w:t>
      </w:r>
      <w:r>
        <w:rPr/>
        <w:t>упали</w:t>
      </w:r>
      <w:r>
        <w:rPr>
          <w:spacing w:val="-12"/>
        </w:rPr>
        <w:t> </w:t>
      </w:r>
      <w:r>
        <w:rPr/>
        <w:t>в</w:t>
      </w:r>
      <w:r>
        <w:rPr>
          <w:spacing w:val="-13"/>
        </w:rPr>
        <w:t> </w:t>
      </w:r>
      <w:r>
        <w:rPr/>
        <w:t>каноэ.</w:t>
      </w:r>
      <w:r>
        <w:rPr>
          <w:spacing w:val="-12"/>
        </w:rPr>
        <w:t> </w:t>
      </w:r>
      <w:r>
        <w:rPr/>
        <w:t>Некоторые</w:t>
      </w:r>
      <w:r>
        <w:rPr>
          <w:spacing w:val="-13"/>
        </w:rPr>
        <w:t> </w:t>
      </w:r>
      <w:r>
        <w:rPr/>
        <w:t>страшно</w:t>
      </w:r>
      <w:r>
        <w:rPr>
          <w:spacing w:val="-12"/>
        </w:rPr>
        <w:t> </w:t>
      </w:r>
      <w:r>
        <w:rPr/>
        <w:t>кричали.</w:t>
      </w:r>
      <w:r>
        <w:rPr>
          <w:spacing w:val="-13"/>
        </w:rPr>
        <w:t> </w:t>
      </w:r>
      <w:r>
        <w:rPr/>
        <w:t>Другие</w:t>
      </w:r>
      <w:r>
        <w:rPr>
          <w:spacing w:val="-12"/>
        </w:rPr>
        <w:t> </w:t>
      </w:r>
      <w:r>
        <w:rPr/>
        <w:t>молчали.</w:t>
      </w:r>
      <w:r>
        <w:rPr>
          <w:spacing w:val="-13"/>
        </w:rPr>
        <w:t> </w:t>
      </w:r>
      <w:r>
        <w:rPr/>
        <w:t>Они</w:t>
      </w:r>
      <w:r>
        <w:rPr>
          <w:spacing w:val="-12"/>
        </w:rPr>
        <w:t> </w:t>
      </w:r>
      <w:r>
        <w:rPr/>
        <w:t>были мертвы, и кровь текла из маленьких отверстий в телах.</w:t>
      </w:r>
    </w:p>
    <w:p>
      <w:pPr>
        <w:pStyle w:val="BodyText"/>
        <w:spacing w:line="232" w:lineRule="auto" w:before="3"/>
        <w:ind w:left="425" w:right="1507" w:firstLine="0"/>
        <w:jc w:val="left"/>
      </w:pPr>
      <w:r>
        <w:rPr/>
        <w:t>«Война,</w:t>
      </w:r>
      <w:r>
        <w:rPr>
          <w:spacing w:val="-4"/>
        </w:rPr>
        <w:t> </w:t>
      </w:r>
      <w:r>
        <w:rPr/>
        <w:t>война,</w:t>
      </w:r>
      <w:r>
        <w:rPr>
          <w:spacing w:val="-4"/>
        </w:rPr>
        <w:t> </w:t>
      </w:r>
      <w:r>
        <w:rPr/>
        <w:t>это</w:t>
      </w:r>
      <w:r>
        <w:rPr>
          <w:spacing w:val="-4"/>
        </w:rPr>
        <w:t> </w:t>
      </w:r>
      <w:r>
        <w:rPr/>
        <w:t>война!</w:t>
      </w:r>
      <w:r>
        <w:rPr>
          <w:spacing w:val="-5"/>
        </w:rPr>
        <w:t> </w:t>
      </w:r>
      <w:r>
        <w:rPr>
          <w:i/>
        </w:rPr>
        <w:t>–</w:t>
      </w:r>
      <w:r>
        <w:rPr>
          <w:i/>
          <w:spacing w:val="-4"/>
        </w:rPr>
        <w:t> </w:t>
      </w:r>
      <w:r>
        <w:rPr/>
        <w:t>закричал</w:t>
      </w:r>
      <w:r>
        <w:rPr>
          <w:spacing w:val="-4"/>
        </w:rPr>
        <w:t> </w:t>
      </w:r>
      <w:r>
        <w:rPr/>
        <w:t>я.</w:t>
      </w:r>
      <w:r>
        <w:rPr>
          <w:spacing w:val="-5"/>
        </w:rPr>
        <w:t> </w:t>
      </w:r>
      <w:r>
        <w:rPr>
          <w:i/>
        </w:rPr>
        <w:t>–</w:t>
      </w:r>
      <w:r>
        <w:rPr>
          <w:i/>
          <w:spacing w:val="-4"/>
        </w:rPr>
        <w:t> </w:t>
      </w:r>
      <w:r>
        <w:rPr/>
        <w:t>Возвращаемся</w:t>
      </w:r>
      <w:r>
        <w:rPr>
          <w:spacing w:val="-4"/>
        </w:rPr>
        <w:t> </w:t>
      </w:r>
      <w:r>
        <w:rPr/>
        <w:t>назад!» Наши каноэ помчались обратно в деревню.</w:t>
      </w:r>
    </w:p>
    <w:p>
      <w:pPr>
        <w:pStyle w:val="BodyText"/>
        <w:spacing w:line="228" w:lineRule="exact"/>
        <w:ind w:left="425" w:right="0" w:firstLine="0"/>
        <w:jc w:val="left"/>
      </w:pPr>
      <w:r>
        <w:rPr/>
        <w:t>Это</w:t>
      </w:r>
      <w:r>
        <w:rPr>
          <w:spacing w:val="-12"/>
        </w:rPr>
        <w:t> </w:t>
      </w:r>
      <w:r>
        <w:rPr/>
        <w:t>был</w:t>
      </w:r>
      <w:r>
        <w:rPr>
          <w:spacing w:val="-9"/>
        </w:rPr>
        <w:t> </w:t>
      </w:r>
      <w:r>
        <w:rPr/>
        <w:t>не</w:t>
      </w:r>
      <w:r>
        <w:rPr>
          <w:spacing w:val="-9"/>
        </w:rPr>
        <w:t> </w:t>
      </w:r>
      <w:r>
        <w:rPr/>
        <w:t>брат!</w:t>
      </w:r>
      <w:r>
        <w:rPr>
          <w:spacing w:val="-9"/>
        </w:rPr>
        <w:t> </w:t>
      </w:r>
      <w:r>
        <w:rPr/>
        <w:t>Это</w:t>
      </w:r>
      <w:r>
        <w:rPr>
          <w:spacing w:val="-9"/>
        </w:rPr>
        <w:t> </w:t>
      </w:r>
      <w:r>
        <w:rPr/>
        <w:t>был</w:t>
      </w:r>
      <w:r>
        <w:rPr>
          <w:spacing w:val="-9"/>
        </w:rPr>
        <w:t> </w:t>
      </w:r>
      <w:r>
        <w:rPr/>
        <w:t>худший</w:t>
      </w:r>
      <w:r>
        <w:rPr>
          <w:spacing w:val="-9"/>
        </w:rPr>
        <w:t> </w:t>
      </w:r>
      <w:r>
        <w:rPr/>
        <w:t>враг,</w:t>
      </w:r>
      <w:r>
        <w:rPr>
          <w:spacing w:val="-9"/>
        </w:rPr>
        <w:t> </w:t>
      </w:r>
      <w:r>
        <w:rPr/>
        <w:t>которого</w:t>
      </w:r>
      <w:r>
        <w:rPr>
          <w:spacing w:val="-9"/>
        </w:rPr>
        <w:t> </w:t>
      </w:r>
      <w:r>
        <w:rPr/>
        <w:t>наша</w:t>
      </w:r>
      <w:r>
        <w:rPr>
          <w:spacing w:val="-9"/>
        </w:rPr>
        <w:t> </w:t>
      </w:r>
      <w:r>
        <w:rPr/>
        <w:t>страна</w:t>
      </w:r>
      <w:r>
        <w:rPr>
          <w:spacing w:val="-9"/>
        </w:rPr>
        <w:t> </w:t>
      </w:r>
      <w:r>
        <w:rPr/>
        <w:t>когда-либо</w:t>
      </w:r>
      <w:r>
        <w:rPr>
          <w:spacing w:val="-9"/>
        </w:rPr>
        <w:t> </w:t>
      </w:r>
      <w:r>
        <w:rPr>
          <w:spacing w:val="-2"/>
        </w:rPr>
        <w:t>видела.</w:t>
      </w:r>
    </w:p>
    <w:p>
      <w:pPr>
        <w:pStyle w:val="BodyText"/>
        <w:spacing w:after="0" w:line="228" w:lineRule="exact"/>
        <w:jc w:val="left"/>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before="109"/>
        <w:ind w:left="425" w:right="0" w:firstLine="0"/>
        <w:jc w:val="left"/>
        <w:rPr>
          <w:sz w:val="20"/>
        </w:rPr>
      </w:pPr>
      <w:r>
        <w:rPr>
          <w:b/>
          <w:sz w:val="20"/>
        </w:rPr>
        <w:t>История</w:t>
      </w:r>
      <w:r>
        <w:rPr>
          <w:b/>
          <w:spacing w:val="-3"/>
          <w:sz w:val="20"/>
        </w:rPr>
        <w:t> </w:t>
      </w:r>
      <w:r>
        <w:rPr>
          <w:b/>
          <w:sz w:val="20"/>
        </w:rPr>
        <w:t>2.</w:t>
      </w:r>
      <w:r>
        <w:rPr>
          <w:b/>
          <w:spacing w:val="-2"/>
          <w:sz w:val="20"/>
        </w:rPr>
        <w:t> </w:t>
      </w:r>
      <w:r>
        <w:rPr>
          <w:sz w:val="20"/>
        </w:rPr>
        <w:t>ЭТО</w:t>
      </w:r>
      <w:r>
        <w:rPr>
          <w:spacing w:val="-3"/>
          <w:sz w:val="20"/>
        </w:rPr>
        <w:t> </w:t>
      </w:r>
      <w:r>
        <w:rPr>
          <w:sz w:val="20"/>
        </w:rPr>
        <w:t>НЕ</w:t>
      </w:r>
      <w:r>
        <w:rPr>
          <w:spacing w:val="-2"/>
          <w:sz w:val="20"/>
        </w:rPr>
        <w:t> </w:t>
      </w:r>
      <w:r>
        <w:rPr>
          <w:sz w:val="20"/>
        </w:rPr>
        <w:t>БЫЛО</w:t>
      </w:r>
      <w:r>
        <w:rPr>
          <w:spacing w:val="-3"/>
          <w:sz w:val="20"/>
        </w:rPr>
        <w:t> </w:t>
      </w:r>
      <w:r>
        <w:rPr>
          <w:spacing w:val="-2"/>
          <w:sz w:val="20"/>
        </w:rPr>
        <w:t>ПРИВЕТСТВИЕ</w:t>
      </w:r>
    </w:p>
    <w:p>
      <w:pPr>
        <w:pStyle w:val="BodyText"/>
        <w:spacing w:line="235" w:lineRule="auto"/>
      </w:pPr>
      <w:r>
        <w:rPr>
          <w:spacing w:val="-2"/>
        </w:rPr>
        <w:t>Генри</w:t>
      </w:r>
      <w:r>
        <w:rPr>
          <w:spacing w:val="-5"/>
        </w:rPr>
        <w:t> </w:t>
      </w:r>
      <w:r>
        <w:rPr>
          <w:spacing w:val="-2"/>
        </w:rPr>
        <w:t>Стэнли</w:t>
      </w:r>
      <w:r>
        <w:rPr>
          <w:spacing w:val="-4"/>
        </w:rPr>
        <w:t> </w:t>
      </w:r>
      <w:r>
        <w:rPr>
          <w:spacing w:val="-2"/>
        </w:rPr>
        <w:t>был</w:t>
      </w:r>
      <w:r>
        <w:rPr>
          <w:spacing w:val="-5"/>
        </w:rPr>
        <w:t> </w:t>
      </w:r>
      <w:r>
        <w:rPr>
          <w:spacing w:val="-2"/>
        </w:rPr>
        <w:t>первым</w:t>
      </w:r>
      <w:r>
        <w:rPr>
          <w:spacing w:val="-5"/>
        </w:rPr>
        <w:t> </w:t>
      </w:r>
      <w:r>
        <w:rPr>
          <w:spacing w:val="-2"/>
        </w:rPr>
        <w:t>белым</w:t>
      </w:r>
      <w:r>
        <w:rPr>
          <w:spacing w:val="-5"/>
        </w:rPr>
        <w:t> </w:t>
      </w:r>
      <w:r>
        <w:rPr>
          <w:spacing w:val="-2"/>
        </w:rPr>
        <w:t>человеком,</w:t>
      </w:r>
      <w:r>
        <w:rPr>
          <w:spacing w:val="-5"/>
        </w:rPr>
        <w:t> </w:t>
      </w:r>
      <w:r>
        <w:rPr>
          <w:spacing w:val="-2"/>
        </w:rPr>
        <w:t>который</w:t>
      </w:r>
      <w:r>
        <w:rPr>
          <w:spacing w:val="-5"/>
        </w:rPr>
        <w:t> </w:t>
      </w:r>
      <w:r>
        <w:rPr>
          <w:spacing w:val="-2"/>
        </w:rPr>
        <w:t>объехал</w:t>
      </w:r>
      <w:r>
        <w:rPr>
          <w:spacing w:val="-5"/>
        </w:rPr>
        <w:t> </w:t>
      </w:r>
      <w:r>
        <w:rPr>
          <w:spacing w:val="-2"/>
        </w:rPr>
        <w:t>всю</w:t>
      </w:r>
      <w:r>
        <w:rPr>
          <w:spacing w:val="-5"/>
        </w:rPr>
        <w:t> </w:t>
      </w:r>
      <w:r>
        <w:rPr>
          <w:spacing w:val="-2"/>
        </w:rPr>
        <w:t>реку</w:t>
      </w:r>
      <w:r>
        <w:rPr>
          <w:spacing w:val="-5"/>
        </w:rPr>
        <w:t> </w:t>
      </w:r>
      <w:r>
        <w:rPr>
          <w:spacing w:val="-2"/>
        </w:rPr>
        <w:t>Конго.</w:t>
      </w:r>
      <w:r>
        <w:rPr>
          <w:spacing w:val="-5"/>
        </w:rPr>
        <w:t> </w:t>
      </w:r>
      <w:r>
        <w:rPr>
          <w:spacing w:val="-2"/>
        </w:rPr>
        <w:t>Он </w:t>
      </w:r>
      <w:r>
        <w:rPr/>
        <w:t>был</w:t>
      </w:r>
      <w:r>
        <w:rPr>
          <w:spacing w:val="-1"/>
        </w:rPr>
        <w:t> </w:t>
      </w:r>
      <w:r>
        <w:rPr/>
        <w:t>журналистом</w:t>
      </w:r>
      <w:r>
        <w:rPr>
          <w:spacing w:val="-1"/>
        </w:rPr>
        <w:t> </w:t>
      </w:r>
      <w:r>
        <w:rPr/>
        <w:t>и</w:t>
      </w:r>
      <w:r>
        <w:rPr>
          <w:spacing w:val="-1"/>
        </w:rPr>
        <w:t> </w:t>
      </w:r>
      <w:r>
        <w:rPr/>
        <w:t>написал</w:t>
      </w:r>
      <w:r>
        <w:rPr>
          <w:spacing w:val="-1"/>
        </w:rPr>
        <w:t> </w:t>
      </w:r>
      <w:r>
        <w:rPr/>
        <w:t>книгу</w:t>
      </w:r>
      <w:r>
        <w:rPr>
          <w:spacing w:val="-1"/>
        </w:rPr>
        <w:t> </w:t>
      </w:r>
      <w:r>
        <w:rPr/>
        <w:t>о</w:t>
      </w:r>
      <w:r>
        <w:rPr>
          <w:spacing w:val="-1"/>
        </w:rPr>
        <w:t> </w:t>
      </w:r>
      <w:r>
        <w:rPr/>
        <w:t>своих</w:t>
      </w:r>
      <w:r>
        <w:rPr>
          <w:spacing w:val="-1"/>
        </w:rPr>
        <w:t> </w:t>
      </w:r>
      <w:r>
        <w:rPr/>
        <w:t>путешествиях.</w:t>
      </w:r>
      <w:r>
        <w:rPr>
          <w:spacing w:val="-1"/>
        </w:rPr>
        <w:t> </w:t>
      </w:r>
      <w:r>
        <w:rPr/>
        <w:t>В</w:t>
      </w:r>
      <w:r>
        <w:rPr>
          <w:spacing w:val="-1"/>
        </w:rPr>
        <w:t> </w:t>
      </w:r>
      <w:r>
        <w:rPr/>
        <w:t>этой</w:t>
      </w:r>
      <w:r>
        <w:rPr>
          <w:spacing w:val="-1"/>
        </w:rPr>
        <w:t> </w:t>
      </w:r>
      <w:r>
        <w:rPr/>
        <w:t>истории</w:t>
      </w:r>
      <w:r>
        <w:rPr>
          <w:spacing w:val="-1"/>
        </w:rPr>
        <w:t> </w:t>
      </w:r>
      <w:r>
        <w:rPr/>
        <w:t>он</w:t>
      </w:r>
      <w:r>
        <w:rPr>
          <w:spacing w:val="-1"/>
        </w:rPr>
        <w:t> </w:t>
      </w:r>
      <w:r>
        <w:rPr/>
        <w:t>расска- зывает, как его встретили африканцы во время путешествия по Конго.</w:t>
      </w:r>
    </w:p>
    <w:p>
      <w:pPr>
        <w:pStyle w:val="BodyText"/>
        <w:spacing w:line="235" w:lineRule="auto" w:before="58"/>
        <w:rPr>
          <w:i/>
        </w:rPr>
      </w:pPr>
      <w:r>
        <w:rPr/>
        <w:t>Около</w:t>
      </w:r>
      <w:r>
        <w:rPr>
          <w:spacing w:val="-12"/>
        </w:rPr>
        <w:t> </w:t>
      </w:r>
      <w:r>
        <w:rPr/>
        <w:t>8</w:t>
      </w:r>
      <w:r>
        <w:rPr>
          <w:spacing w:val="-12"/>
        </w:rPr>
        <w:t> </w:t>
      </w:r>
      <w:r>
        <w:rPr/>
        <w:t>утра</w:t>
      </w:r>
      <w:r>
        <w:rPr>
          <w:spacing w:val="-12"/>
        </w:rPr>
        <w:t> </w:t>
      </w:r>
      <w:r>
        <w:rPr/>
        <w:t>мы</w:t>
      </w:r>
      <w:r>
        <w:rPr>
          <w:spacing w:val="-12"/>
        </w:rPr>
        <w:t> </w:t>
      </w:r>
      <w:r>
        <w:rPr/>
        <w:t>увидели</w:t>
      </w:r>
      <w:r>
        <w:rPr>
          <w:spacing w:val="-12"/>
        </w:rPr>
        <w:t> </w:t>
      </w:r>
      <w:r>
        <w:rPr/>
        <w:t>место,</w:t>
      </w:r>
      <w:r>
        <w:rPr>
          <w:spacing w:val="-12"/>
        </w:rPr>
        <w:t> </w:t>
      </w:r>
      <w:r>
        <w:rPr/>
        <w:t>где</w:t>
      </w:r>
      <w:r>
        <w:rPr>
          <w:spacing w:val="-12"/>
        </w:rPr>
        <w:t> </w:t>
      </w:r>
      <w:r>
        <w:rPr/>
        <w:t>было</w:t>
      </w:r>
      <w:r>
        <w:rPr>
          <w:spacing w:val="-12"/>
        </w:rPr>
        <w:t> </w:t>
      </w:r>
      <w:r>
        <w:rPr/>
        <w:t>много</w:t>
      </w:r>
      <w:r>
        <w:rPr>
          <w:spacing w:val="-12"/>
        </w:rPr>
        <w:t> </w:t>
      </w:r>
      <w:r>
        <w:rPr/>
        <w:t>маленьких</w:t>
      </w:r>
      <w:r>
        <w:rPr>
          <w:spacing w:val="-12"/>
        </w:rPr>
        <w:t> </w:t>
      </w:r>
      <w:r>
        <w:rPr/>
        <w:t>каноэ.</w:t>
      </w:r>
      <w:r>
        <w:rPr>
          <w:spacing w:val="-12"/>
        </w:rPr>
        <w:t> </w:t>
      </w:r>
      <w:r>
        <w:rPr/>
        <w:t>Мужчины</w:t>
      </w:r>
      <w:r>
        <w:rPr>
          <w:spacing w:val="-12"/>
        </w:rPr>
        <w:t> </w:t>
      </w:r>
      <w:r>
        <w:rPr/>
        <w:t>в</w:t>
      </w:r>
      <w:r>
        <w:rPr>
          <w:spacing w:val="-12"/>
        </w:rPr>
        <w:t> </w:t>
      </w:r>
      <w:r>
        <w:rPr/>
        <w:t>них кружили</w:t>
      </w:r>
      <w:r>
        <w:rPr>
          <w:spacing w:val="-13"/>
        </w:rPr>
        <w:t> </w:t>
      </w:r>
      <w:r>
        <w:rPr/>
        <w:t>вокруг</w:t>
      </w:r>
      <w:r>
        <w:rPr>
          <w:spacing w:val="-12"/>
        </w:rPr>
        <w:t> </w:t>
      </w:r>
      <w:r>
        <w:rPr/>
        <w:t>нас.</w:t>
      </w:r>
      <w:r>
        <w:rPr>
          <w:spacing w:val="-13"/>
        </w:rPr>
        <w:t> </w:t>
      </w:r>
      <w:r>
        <w:rPr/>
        <w:t>Мы</w:t>
      </w:r>
      <w:r>
        <w:rPr>
          <w:spacing w:val="-12"/>
        </w:rPr>
        <w:t> </w:t>
      </w:r>
      <w:r>
        <w:rPr/>
        <w:t>долго</w:t>
      </w:r>
      <w:r>
        <w:rPr>
          <w:spacing w:val="-13"/>
        </w:rPr>
        <w:t> </w:t>
      </w:r>
      <w:r>
        <w:rPr/>
        <w:t>стояли</w:t>
      </w:r>
      <w:r>
        <w:rPr>
          <w:spacing w:val="-12"/>
        </w:rPr>
        <w:t> </w:t>
      </w:r>
      <w:r>
        <w:rPr/>
        <w:t>на</w:t>
      </w:r>
      <w:r>
        <w:rPr>
          <w:spacing w:val="-13"/>
        </w:rPr>
        <w:t> </w:t>
      </w:r>
      <w:r>
        <w:rPr/>
        <w:t>месте,</w:t>
      </w:r>
      <w:r>
        <w:rPr>
          <w:spacing w:val="-12"/>
        </w:rPr>
        <w:t> </w:t>
      </w:r>
      <w:r>
        <w:rPr/>
        <w:t>но</w:t>
      </w:r>
      <w:r>
        <w:rPr>
          <w:spacing w:val="-13"/>
        </w:rPr>
        <w:t> </w:t>
      </w:r>
      <w:r>
        <w:rPr/>
        <w:t>они</w:t>
      </w:r>
      <w:r>
        <w:rPr>
          <w:spacing w:val="-12"/>
        </w:rPr>
        <w:t> </w:t>
      </w:r>
      <w:r>
        <w:rPr/>
        <w:t>осмелели</w:t>
      </w:r>
      <w:r>
        <w:rPr>
          <w:spacing w:val="-13"/>
        </w:rPr>
        <w:t> </w:t>
      </w:r>
      <w:r>
        <w:rPr/>
        <w:t>и</w:t>
      </w:r>
      <w:r>
        <w:rPr>
          <w:spacing w:val="-12"/>
        </w:rPr>
        <w:t> </w:t>
      </w:r>
      <w:r>
        <w:rPr/>
        <w:t>стали</w:t>
      </w:r>
      <w:r>
        <w:rPr>
          <w:spacing w:val="-13"/>
        </w:rPr>
        <w:t> </w:t>
      </w:r>
      <w:r>
        <w:rPr/>
        <w:t>бросать</w:t>
      </w:r>
      <w:r>
        <w:rPr>
          <w:spacing w:val="-12"/>
        </w:rPr>
        <w:t> </w:t>
      </w:r>
      <w:r>
        <w:rPr/>
        <w:t>свои деревянные копья. Мы выстрелили несколько раз, и они ушли. Затем на всю округу загремели барабаны, и мы услышали оглушительные звуки гонгов</w:t>
      </w:r>
      <w:r>
        <w:rPr>
          <w:i/>
        </w:rPr>
        <w:t>. Несколько каноэ смело последовали за нами.</w:t>
      </w:r>
    </w:p>
    <w:p>
      <w:pPr>
        <w:pStyle w:val="BodyText"/>
        <w:spacing w:line="235" w:lineRule="auto" w:before="3"/>
      </w:pPr>
      <w:r>
        <w:rPr/>
        <w:t>В 2 часа дня мы наткнулись на большое количество каноэ. Люди в них встали и громко закричали, когда увидели нас, и трубили в рога громче, чем когда-либо. По- смотрев вверх по течению, мы увидели зрелище, которое повергло нас в неизмери- мый</w:t>
      </w:r>
      <w:r>
        <w:rPr>
          <w:spacing w:val="-13"/>
        </w:rPr>
        <w:t> </w:t>
      </w:r>
      <w:r>
        <w:rPr/>
        <w:t>ужас:</w:t>
      </w:r>
      <w:r>
        <w:rPr>
          <w:spacing w:val="-12"/>
        </w:rPr>
        <w:t> </w:t>
      </w:r>
      <w:r>
        <w:rPr/>
        <w:t>флот</w:t>
      </w:r>
      <w:r>
        <w:rPr>
          <w:spacing w:val="-13"/>
        </w:rPr>
        <w:t> </w:t>
      </w:r>
      <w:r>
        <w:rPr/>
        <w:t>гигантских</w:t>
      </w:r>
      <w:r>
        <w:rPr>
          <w:spacing w:val="-12"/>
        </w:rPr>
        <w:t> </w:t>
      </w:r>
      <w:r>
        <w:rPr/>
        <w:t>каноэ,</w:t>
      </w:r>
      <w:r>
        <w:rPr>
          <w:spacing w:val="-13"/>
        </w:rPr>
        <w:t> </w:t>
      </w:r>
      <w:r>
        <w:rPr/>
        <w:t>несущихся</w:t>
      </w:r>
      <w:r>
        <w:rPr>
          <w:spacing w:val="-12"/>
        </w:rPr>
        <w:t> </w:t>
      </w:r>
      <w:r>
        <w:rPr/>
        <w:t>на</w:t>
      </w:r>
      <w:r>
        <w:rPr>
          <w:spacing w:val="-13"/>
        </w:rPr>
        <w:t> </w:t>
      </w:r>
      <w:r>
        <w:rPr/>
        <w:t>нас,</w:t>
      </w:r>
      <w:r>
        <w:rPr>
          <w:spacing w:val="-12"/>
        </w:rPr>
        <w:t> </w:t>
      </w:r>
      <w:r>
        <w:rPr/>
        <w:t>каждое</w:t>
      </w:r>
      <w:r>
        <w:rPr>
          <w:spacing w:val="-13"/>
        </w:rPr>
        <w:t> </w:t>
      </w:r>
      <w:r>
        <w:rPr/>
        <w:t>из</w:t>
      </w:r>
      <w:r>
        <w:rPr>
          <w:spacing w:val="-12"/>
        </w:rPr>
        <w:t> </w:t>
      </w:r>
      <w:r>
        <w:rPr/>
        <w:t>который</w:t>
      </w:r>
      <w:r>
        <w:rPr>
          <w:spacing w:val="-13"/>
        </w:rPr>
        <w:t> </w:t>
      </w:r>
      <w:r>
        <w:rPr/>
        <w:t>было</w:t>
      </w:r>
      <w:r>
        <w:rPr>
          <w:spacing w:val="-12"/>
        </w:rPr>
        <w:t> </w:t>
      </w:r>
      <w:r>
        <w:rPr/>
        <w:t>больше по размеру, чем те, что мы видели раньше.</w:t>
      </w:r>
      <w:r>
        <w:rPr>
          <w:spacing w:val="80"/>
          <w:w w:val="150"/>
        </w:rPr>
        <w:t> </w:t>
      </w:r>
      <w:r>
        <w:rPr/>
        <w:t>Их было несколько десятков!</w:t>
      </w:r>
    </w:p>
    <w:p>
      <w:pPr>
        <w:pStyle w:val="BodyText"/>
        <w:spacing w:line="235" w:lineRule="auto" w:before="3"/>
      </w:pPr>
      <w:r>
        <w:rPr/>
        <w:t>Впереди было самое громадное каноэ, похожее на монстра. В носовой части на- ходились десять молодых воинов с красными перьями на головах; на корме восемь человек с длинными веслами, верхушки которых были украшены шарами из слоно- вой</w:t>
      </w:r>
      <w:r>
        <w:rPr>
          <w:spacing w:val="-9"/>
        </w:rPr>
        <w:t> </w:t>
      </w:r>
      <w:r>
        <w:rPr/>
        <w:t>кости,</w:t>
      </w:r>
      <w:r>
        <w:rPr>
          <w:spacing w:val="-9"/>
        </w:rPr>
        <w:t> </w:t>
      </w:r>
      <w:r>
        <w:rPr/>
        <w:t>управляли</w:t>
      </w:r>
      <w:r>
        <w:rPr>
          <w:spacing w:val="-9"/>
        </w:rPr>
        <w:t> </w:t>
      </w:r>
      <w:r>
        <w:rPr/>
        <w:t>чудовищным</w:t>
      </w:r>
      <w:r>
        <w:rPr>
          <w:spacing w:val="-9"/>
        </w:rPr>
        <w:t> </w:t>
      </w:r>
      <w:r>
        <w:rPr/>
        <w:t>судном.</w:t>
      </w:r>
      <w:r>
        <w:rPr>
          <w:spacing w:val="-9"/>
        </w:rPr>
        <w:t> </w:t>
      </w:r>
      <w:r>
        <w:rPr/>
        <w:t>Грохот</w:t>
      </w:r>
      <w:r>
        <w:rPr>
          <w:spacing w:val="-9"/>
        </w:rPr>
        <w:t> </w:t>
      </w:r>
      <w:r>
        <w:rPr/>
        <w:t>барабанов</w:t>
      </w:r>
      <w:r>
        <w:rPr>
          <w:spacing w:val="-9"/>
        </w:rPr>
        <w:t> </w:t>
      </w:r>
      <w:r>
        <w:rPr/>
        <w:t>и</w:t>
      </w:r>
      <w:r>
        <w:rPr>
          <w:spacing w:val="-9"/>
        </w:rPr>
        <w:t> </w:t>
      </w:r>
      <w:r>
        <w:rPr/>
        <w:t>рогов</w:t>
      </w:r>
      <w:r>
        <w:rPr>
          <w:spacing w:val="-9"/>
        </w:rPr>
        <w:t> </w:t>
      </w:r>
      <w:r>
        <w:rPr/>
        <w:t>и</w:t>
      </w:r>
      <w:r>
        <w:rPr>
          <w:spacing w:val="-9"/>
        </w:rPr>
        <w:t> </w:t>
      </w:r>
      <w:r>
        <w:rPr/>
        <w:t>вызывающие трепет крики двух тысяч глоток нас очень тревожили.</w:t>
      </w:r>
    </w:p>
    <w:p>
      <w:pPr>
        <w:pStyle w:val="BodyText"/>
        <w:spacing w:line="235" w:lineRule="auto" w:before="3"/>
        <w:rPr>
          <w:i/>
        </w:rPr>
      </w:pPr>
      <w:r>
        <w:rPr/>
        <w:t>Я</w:t>
      </w:r>
      <w:r>
        <w:rPr>
          <w:spacing w:val="-11"/>
        </w:rPr>
        <w:t> </w:t>
      </w:r>
      <w:r>
        <w:rPr/>
        <w:t>сказал</w:t>
      </w:r>
      <w:r>
        <w:rPr>
          <w:spacing w:val="-11"/>
        </w:rPr>
        <w:t> </w:t>
      </w:r>
      <w:r>
        <w:rPr/>
        <w:t>товарищам</w:t>
      </w:r>
      <w:r>
        <w:rPr>
          <w:i/>
        </w:rPr>
        <w:t>:</w:t>
      </w:r>
      <w:r>
        <w:rPr>
          <w:i/>
          <w:spacing w:val="-11"/>
        </w:rPr>
        <w:t> </w:t>
      </w:r>
      <w:r>
        <w:rPr>
          <w:i/>
        </w:rPr>
        <w:t>«</w:t>
      </w:r>
      <w:r>
        <w:rPr/>
        <w:t>Ребята,</w:t>
      </w:r>
      <w:r>
        <w:rPr>
          <w:spacing w:val="-11"/>
        </w:rPr>
        <w:t> </w:t>
      </w:r>
      <w:r>
        <w:rPr/>
        <w:t>будьте</w:t>
      </w:r>
      <w:r>
        <w:rPr>
          <w:spacing w:val="-11"/>
        </w:rPr>
        <w:t> </w:t>
      </w:r>
      <w:r>
        <w:rPr/>
        <w:t>тверды,</w:t>
      </w:r>
      <w:r>
        <w:rPr>
          <w:spacing w:val="-11"/>
        </w:rPr>
        <w:t> </w:t>
      </w:r>
      <w:r>
        <w:rPr/>
        <w:t>как</w:t>
      </w:r>
      <w:r>
        <w:rPr>
          <w:spacing w:val="-11"/>
        </w:rPr>
        <w:t> </w:t>
      </w:r>
      <w:r>
        <w:rPr/>
        <w:t>железо;</w:t>
      </w:r>
      <w:r>
        <w:rPr>
          <w:spacing w:val="-11"/>
        </w:rPr>
        <w:t> </w:t>
      </w:r>
      <w:r>
        <w:rPr/>
        <w:t>подождите,</w:t>
      </w:r>
      <w:r>
        <w:rPr>
          <w:spacing w:val="-11"/>
        </w:rPr>
        <w:t> </w:t>
      </w:r>
      <w:r>
        <w:rPr/>
        <w:t>пока</w:t>
      </w:r>
      <w:r>
        <w:rPr>
          <w:spacing w:val="-11"/>
        </w:rPr>
        <w:t> </w:t>
      </w:r>
      <w:r>
        <w:rPr/>
        <w:t>не</w:t>
      </w:r>
      <w:r>
        <w:rPr>
          <w:spacing w:val="-11"/>
        </w:rPr>
        <w:t> </w:t>
      </w:r>
      <w:r>
        <w:rPr/>
        <w:t>уви- дите первое копье, тогда прицельтесь хорошенько. Не думайте убегать, потому что только наше оружие может спасти нас»</w:t>
      </w:r>
      <w:r>
        <w:rPr>
          <w:i/>
        </w:rPr>
        <w:t>.</w:t>
      </w:r>
    </w:p>
    <w:p>
      <w:pPr>
        <w:pStyle w:val="BodyText"/>
        <w:spacing w:line="235" w:lineRule="auto" w:before="2"/>
      </w:pPr>
      <w:r>
        <w:rPr/>
        <w:t>Чудовищное каноэ нацелилось прямо на мою лодку, как будто собиралось сбить нас,</w:t>
      </w:r>
      <w:r>
        <w:rPr>
          <w:spacing w:val="-2"/>
        </w:rPr>
        <w:t> </w:t>
      </w:r>
      <w:r>
        <w:rPr/>
        <w:t>но</w:t>
      </w:r>
      <w:r>
        <w:rPr>
          <w:spacing w:val="-2"/>
        </w:rPr>
        <w:t> </w:t>
      </w:r>
      <w:r>
        <w:rPr/>
        <w:t>когда</w:t>
      </w:r>
      <w:r>
        <w:rPr>
          <w:spacing w:val="-2"/>
        </w:rPr>
        <w:t> </w:t>
      </w:r>
      <w:r>
        <w:rPr/>
        <w:t>оно</w:t>
      </w:r>
      <w:r>
        <w:rPr>
          <w:spacing w:val="-2"/>
        </w:rPr>
        <w:t> </w:t>
      </w:r>
      <w:r>
        <w:rPr/>
        <w:t>было</w:t>
      </w:r>
      <w:r>
        <w:rPr>
          <w:spacing w:val="-2"/>
        </w:rPr>
        <w:t> </w:t>
      </w:r>
      <w:r>
        <w:rPr/>
        <w:t>в</w:t>
      </w:r>
      <w:r>
        <w:rPr>
          <w:spacing w:val="-2"/>
        </w:rPr>
        <w:t> </w:t>
      </w:r>
      <w:r>
        <w:rPr/>
        <w:t>50</w:t>
      </w:r>
      <w:r>
        <w:rPr>
          <w:spacing w:val="-2"/>
        </w:rPr>
        <w:t> </w:t>
      </w:r>
      <w:r>
        <w:rPr/>
        <w:t>ярдах</w:t>
      </w:r>
      <w:r>
        <w:rPr>
          <w:spacing w:val="-2"/>
        </w:rPr>
        <w:t> </w:t>
      </w:r>
      <w:r>
        <w:rPr/>
        <w:t>от</w:t>
      </w:r>
      <w:r>
        <w:rPr>
          <w:spacing w:val="-2"/>
        </w:rPr>
        <w:t> </w:t>
      </w:r>
      <w:r>
        <w:rPr/>
        <w:t>нас,</w:t>
      </w:r>
      <w:r>
        <w:rPr>
          <w:spacing w:val="-2"/>
        </w:rPr>
        <w:t> </w:t>
      </w:r>
      <w:r>
        <w:rPr/>
        <w:t>оно</w:t>
      </w:r>
      <w:r>
        <w:rPr>
          <w:spacing w:val="-2"/>
        </w:rPr>
        <w:t> </w:t>
      </w:r>
      <w:r>
        <w:rPr/>
        <w:t>свернуло</w:t>
      </w:r>
      <w:r>
        <w:rPr>
          <w:spacing w:val="-2"/>
        </w:rPr>
        <w:t> </w:t>
      </w:r>
      <w:r>
        <w:rPr/>
        <w:t>в</w:t>
      </w:r>
      <w:r>
        <w:rPr>
          <w:spacing w:val="-2"/>
        </w:rPr>
        <w:t> </w:t>
      </w:r>
      <w:r>
        <w:rPr/>
        <w:t>сторону.</w:t>
      </w:r>
      <w:r>
        <w:rPr>
          <w:spacing w:val="-2"/>
        </w:rPr>
        <w:t> </w:t>
      </w:r>
      <w:r>
        <w:rPr/>
        <w:t>Оказавшись</w:t>
      </w:r>
      <w:r>
        <w:rPr>
          <w:spacing w:val="-2"/>
        </w:rPr>
        <w:t> </w:t>
      </w:r>
      <w:r>
        <w:rPr/>
        <w:t>почти напротив нас, воины стали метать копья. Тогда мы стали стрелять.</w:t>
      </w:r>
    </w:p>
    <w:p>
      <w:pPr>
        <w:pStyle w:val="BodyText"/>
        <w:spacing w:line="235" w:lineRule="auto" w:before="2"/>
      </w:pPr>
      <w:r>
        <w:rPr/>
        <w:t>Это был кровожадный мир, и мы впервые почувствовали, что ненавидим его от- вратительных обитателей.</w:t>
      </w:r>
    </w:p>
    <w:p>
      <w:pPr>
        <w:spacing w:before="224"/>
        <w:ind w:left="303" w:right="303" w:firstLine="0"/>
        <w:jc w:val="center"/>
        <w:rPr>
          <w:b/>
          <w:sz w:val="20"/>
        </w:rPr>
      </w:pPr>
      <w:r>
        <w:rPr>
          <w:b/>
          <w:spacing w:val="-2"/>
          <w:sz w:val="20"/>
        </w:rPr>
        <w:t>«Анкета»</w:t>
      </w:r>
    </w:p>
    <w:p>
      <w:pPr>
        <w:spacing w:line="235" w:lineRule="auto" w:before="113"/>
        <w:ind w:left="2892" w:right="140" w:hanging="196"/>
        <w:jc w:val="right"/>
        <w:rPr>
          <w:i/>
          <w:sz w:val="20"/>
        </w:rPr>
      </w:pPr>
      <w:r>
        <w:rPr>
          <w:b/>
          <w:i/>
          <w:sz w:val="20"/>
        </w:rPr>
        <w:t>Источник:</w:t>
      </w:r>
      <w:r>
        <w:rPr>
          <w:b/>
          <w:i/>
          <w:spacing w:val="-7"/>
          <w:sz w:val="20"/>
        </w:rPr>
        <w:t> </w:t>
      </w:r>
      <w:r>
        <w:rPr>
          <w:i/>
          <w:sz w:val="20"/>
        </w:rPr>
        <w:t>Darla</w:t>
      </w:r>
      <w:r>
        <w:rPr>
          <w:i/>
          <w:spacing w:val="-7"/>
          <w:sz w:val="20"/>
        </w:rPr>
        <w:t> </w:t>
      </w:r>
      <w:r>
        <w:rPr>
          <w:i/>
          <w:sz w:val="20"/>
        </w:rPr>
        <w:t>K.</w:t>
      </w:r>
      <w:r>
        <w:rPr>
          <w:i/>
          <w:spacing w:val="-7"/>
          <w:sz w:val="20"/>
        </w:rPr>
        <w:t> </w:t>
      </w:r>
      <w:r>
        <w:rPr>
          <w:i/>
          <w:sz w:val="20"/>
        </w:rPr>
        <w:t>Deardorff,</w:t>
      </w:r>
      <w:r>
        <w:rPr>
          <w:i/>
          <w:spacing w:val="-7"/>
          <w:sz w:val="20"/>
        </w:rPr>
        <w:t> </w:t>
      </w:r>
      <w:r>
        <w:rPr>
          <w:i/>
          <w:sz w:val="20"/>
        </w:rPr>
        <w:t>“The</w:t>
      </w:r>
      <w:r>
        <w:rPr>
          <w:i/>
          <w:spacing w:val="-7"/>
          <w:sz w:val="20"/>
        </w:rPr>
        <w:t> </w:t>
      </w:r>
      <w:r>
        <w:rPr>
          <w:i/>
          <w:sz w:val="20"/>
        </w:rPr>
        <w:t>Form,”</w:t>
      </w:r>
      <w:r>
        <w:rPr>
          <w:i/>
          <w:spacing w:val="-8"/>
          <w:sz w:val="20"/>
        </w:rPr>
        <w:t> </w:t>
      </w:r>
      <w:r>
        <w:rPr>
          <w:i/>
          <w:sz w:val="20"/>
        </w:rPr>
        <w:t>in</w:t>
      </w:r>
      <w:r>
        <w:rPr>
          <w:i/>
          <w:spacing w:val="-7"/>
          <w:sz w:val="20"/>
        </w:rPr>
        <w:t> </w:t>
      </w:r>
      <w:r>
        <w:rPr>
          <w:i/>
          <w:sz w:val="20"/>
        </w:rPr>
        <w:t>Building Cultural</w:t>
      </w:r>
      <w:r>
        <w:rPr>
          <w:i/>
          <w:spacing w:val="-2"/>
          <w:sz w:val="20"/>
        </w:rPr>
        <w:t> </w:t>
      </w:r>
      <w:r>
        <w:rPr>
          <w:i/>
          <w:sz w:val="20"/>
        </w:rPr>
        <w:t>Competence:</w:t>
      </w:r>
      <w:r>
        <w:rPr>
          <w:i/>
          <w:spacing w:val="-2"/>
          <w:sz w:val="20"/>
        </w:rPr>
        <w:t> </w:t>
      </w:r>
      <w:r>
        <w:rPr>
          <w:i/>
          <w:sz w:val="20"/>
        </w:rPr>
        <w:t>Innovative</w:t>
      </w:r>
      <w:r>
        <w:rPr>
          <w:i/>
          <w:spacing w:val="-6"/>
          <w:sz w:val="20"/>
        </w:rPr>
        <w:t> </w:t>
      </w:r>
      <w:r>
        <w:rPr>
          <w:i/>
          <w:sz w:val="20"/>
        </w:rPr>
        <w:t>Activities</w:t>
      </w:r>
      <w:r>
        <w:rPr>
          <w:i/>
          <w:spacing w:val="-3"/>
          <w:sz w:val="20"/>
        </w:rPr>
        <w:t> </w:t>
      </w:r>
      <w:r>
        <w:rPr>
          <w:i/>
          <w:sz w:val="20"/>
        </w:rPr>
        <w:t>and</w:t>
      </w:r>
      <w:r>
        <w:rPr>
          <w:i/>
          <w:spacing w:val="-1"/>
          <w:sz w:val="20"/>
        </w:rPr>
        <w:t> </w:t>
      </w:r>
      <w:r>
        <w:rPr>
          <w:i/>
          <w:spacing w:val="-2"/>
          <w:sz w:val="20"/>
        </w:rPr>
        <w:t>Models,</w:t>
      </w:r>
    </w:p>
    <w:p>
      <w:pPr>
        <w:spacing w:line="235" w:lineRule="auto" w:before="1"/>
        <w:ind w:left="4608" w:right="140" w:hanging="140"/>
        <w:jc w:val="right"/>
        <w:rPr>
          <w:i/>
          <w:sz w:val="20"/>
        </w:rPr>
      </w:pPr>
      <w:r>
        <w:rPr>
          <w:i/>
          <w:sz w:val="20"/>
        </w:rPr>
        <w:t>eds.</w:t>
      </w:r>
      <w:r>
        <w:rPr>
          <w:i/>
          <w:spacing w:val="-8"/>
          <w:sz w:val="20"/>
        </w:rPr>
        <w:t> </w:t>
      </w:r>
      <w:r>
        <w:rPr>
          <w:i/>
          <w:sz w:val="20"/>
        </w:rPr>
        <w:t>K.</w:t>
      </w:r>
      <w:r>
        <w:rPr>
          <w:i/>
          <w:spacing w:val="-8"/>
          <w:sz w:val="20"/>
        </w:rPr>
        <w:t> </w:t>
      </w:r>
      <w:r>
        <w:rPr>
          <w:i/>
          <w:sz w:val="20"/>
        </w:rPr>
        <w:t>Berardo</w:t>
      </w:r>
      <w:r>
        <w:rPr>
          <w:i/>
          <w:spacing w:val="-8"/>
          <w:sz w:val="20"/>
        </w:rPr>
        <w:t> </w:t>
      </w:r>
      <w:r>
        <w:rPr>
          <w:i/>
          <w:sz w:val="20"/>
        </w:rPr>
        <w:t>and</w:t>
      </w:r>
      <w:r>
        <w:rPr>
          <w:i/>
          <w:spacing w:val="-8"/>
          <w:sz w:val="20"/>
        </w:rPr>
        <w:t> </w:t>
      </w:r>
      <w:r>
        <w:rPr>
          <w:i/>
          <w:sz w:val="20"/>
        </w:rPr>
        <w:t>D.</w:t>
      </w:r>
      <w:r>
        <w:rPr>
          <w:i/>
          <w:spacing w:val="-8"/>
          <w:sz w:val="20"/>
        </w:rPr>
        <w:t> </w:t>
      </w:r>
      <w:r>
        <w:rPr>
          <w:i/>
          <w:sz w:val="20"/>
        </w:rPr>
        <w:t>K.</w:t>
      </w:r>
      <w:r>
        <w:rPr>
          <w:i/>
          <w:spacing w:val="-8"/>
          <w:sz w:val="20"/>
        </w:rPr>
        <w:t> </w:t>
      </w:r>
      <w:r>
        <w:rPr>
          <w:i/>
          <w:sz w:val="20"/>
        </w:rPr>
        <w:t>Deardorff (Sterling,</w:t>
      </w:r>
      <w:r>
        <w:rPr>
          <w:i/>
          <w:spacing w:val="-4"/>
          <w:sz w:val="20"/>
        </w:rPr>
        <w:t> </w:t>
      </w:r>
      <w:r>
        <w:rPr>
          <w:i/>
          <w:sz w:val="20"/>
        </w:rPr>
        <w:t>VA:</w:t>
      </w:r>
      <w:r>
        <w:rPr>
          <w:i/>
          <w:spacing w:val="-4"/>
          <w:sz w:val="20"/>
        </w:rPr>
        <w:t> </w:t>
      </w:r>
      <w:r>
        <w:rPr>
          <w:i/>
          <w:sz w:val="20"/>
        </w:rPr>
        <w:t>Stylus,</w:t>
      </w:r>
      <w:r>
        <w:rPr>
          <w:i/>
          <w:spacing w:val="-4"/>
          <w:sz w:val="20"/>
        </w:rPr>
        <w:t> </w:t>
      </w:r>
      <w:r>
        <w:rPr>
          <w:i/>
          <w:sz w:val="20"/>
        </w:rPr>
        <w:t>2012),</w:t>
      </w:r>
      <w:r>
        <w:rPr>
          <w:i/>
          <w:spacing w:val="-3"/>
          <w:sz w:val="20"/>
        </w:rPr>
        <w:t> </w:t>
      </w:r>
      <w:r>
        <w:rPr>
          <w:i/>
          <w:spacing w:val="-2"/>
          <w:sz w:val="20"/>
        </w:rPr>
        <w:t>81–85</w:t>
      </w:r>
    </w:p>
    <w:p>
      <w:pPr>
        <w:pStyle w:val="BodyText"/>
        <w:spacing w:line="235" w:lineRule="auto" w:before="115"/>
      </w:pPr>
      <w:r>
        <w:rPr>
          <w:color w:val="2B2E30"/>
        </w:rPr>
        <w:t>Психолог просит участников тренинга быстро (в течение 2 минут) заполнить не- большую анкету. Он раздает каждому бланк анкеты и, не обращая внимание на воз- можное удивление ребят, объявляет начало отсчета времени, регулярно напоминая участникам:</w:t>
      </w:r>
      <w:r>
        <w:rPr>
          <w:color w:val="2B2E30"/>
          <w:spacing w:val="-1"/>
        </w:rPr>
        <w:t> </w:t>
      </w:r>
      <w:r>
        <w:rPr>
          <w:color w:val="2B2E30"/>
        </w:rPr>
        <w:t>«90</w:t>
      </w:r>
      <w:r>
        <w:rPr>
          <w:color w:val="2B2E30"/>
          <w:spacing w:val="-1"/>
        </w:rPr>
        <w:t> </w:t>
      </w:r>
      <w:r>
        <w:rPr>
          <w:color w:val="2B2E30"/>
        </w:rPr>
        <w:t>секунд,</w:t>
      </w:r>
      <w:r>
        <w:rPr>
          <w:color w:val="2B2E30"/>
          <w:spacing w:val="-1"/>
        </w:rPr>
        <w:t> </w:t>
      </w:r>
      <w:r>
        <w:rPr>
          <w:color w:val="2B2E30"/>
        </w:rPr>
        <w:t>1</w:t>
      </w:r>
      <w:r>
        <w:rPr>
          <w:color w:val="2B2E30"/>
          <w:spacing w:val="-1"/>
        </w:rPr>
        <w:t> </w:t>
      </w:r>
      <w:r>
        <w:rPr>
          <w:color w:val="2B2E30"/>
        </w:rPr>
        <w:t>минута,</w:t>
      </w:r>
      <w:r>
        <w:rPr>
          <w:color w:val="2B2E30"/>
          <w:spacing w:val="-1"/>
        </w:rPr>
        <w:t> </w:t>
      </w:r>
      <w:r>
        <w:rPr>
          <w:color w:val="2B2E30"/>
        </w:rPr>
        <w:t>30</w:t>
      </w:r>
      <w:r>
        <w:rPr>
          <w:color w:val="2B2E30"/>
          <w:spacing w:val="-1"/>
        </w:rPr>
        <w:t> </w:t>
      </w:r>
      <w:r>
        <w:rPr>
          <w:color w:val="2B2E30"/>
        </w:rPr>
        <w:t>секунд,</w:t>
      </w:r>
      <w:r>
        <w:rPr>
          <w:color w:val="2B2E30"/>
          <w:spacing w:val="-1"/>
        </w:rPr>
        <w:t> </w:t>
      </w:r>
      <w:r>
        <w:rPr>
          <w:color w:val="2B2E30"/>
        </w:rPr>
        <w:t>20</w:t>
      </w:r>
      <w:r>
        <w:rPr>
          <w:color w:val="2B2E30"/>
          <w:spacing w:val="-1"/>
        </w:rPr>
        <w:t> </w:t>
      </w:r>
      <w:r>
        <w:rPr>
          <w:color w:val="2B2E30"/>
        </w:rPr>
        <w:t>секунд,</w:t>
      </w:r>
      <w:r>
        <w:rPr>
          <w:color w:val="2B2E30"/>
          <w:spacing w:val="-1"/>
        </w:rPr>
        <w:t> </w:t>
      </w:r>
      <w:r>
        <w:rPr>
          <w:color w:val="2B2E30"/>
        </w:rPr>
        <w:t>10</w:t>
      </w:r>
      <w:r>
        <w:rPr>
          <w:color w:val="2B2E30"/>
          <w:spacing w:val="-1"/>
        </w:rPr>
        <w:t> </w:t>
      </w:r>
      <w:r>
        <w:rPr>
          <w:color w:val="2B2E30"/>
        </w:rPr>
        <w:t>секунд,</w:t>
      </w:r>
      <w:r>
        <w:rPr>
          <w:color w:val="2B2E30"/>
          <w:spacing w:val="-1"/>
        </w:rPr>
        <w:t> </w:t>
      </w:r>
      <w:r>
        <w:rPr>
          <w:color w:val="2B2E30"/>
        </w:rPr>
        <w:t>5</w:t>
      </w:r>
      <w:r>
        <w:rPr>
          <w:color w:val="2B2E30"/>
          <w:spacing w:val="-1"/>
        </w:rPr>
        <w:t> </w:t>
      </w:r>
      <w:r>
        <w:rPr>
          <w:color w:val="2B2E30"/>
        </w:rPr>
        <w:t>секунд,</w:t>
      </w:r>
      <w:r>
        <w:rPr>
          <w:color w:val="2B2E30"/>
          <w:spacing w:val="-1"/>
        </w:rPr>
        <w:t> </w:t>
      </w:r>
      <w:r>
        <w:rPr>
          <w:color w:val="2B2E30"/>
        </w:rPr>
        <w:t>стоп!». </w:t>
      </w:r>
      <w:r>
        <w:rPr>
          <w:spacing w:val="-2"/>
        </w:rPr>
        <w:t>Психолог</w:t>
      </w:r>
      <w:r>
        <w:rPr>
          <w:spacing w:val="-6"/>
        </w:rPr>
        <w:t> </w:t>
      </w:r>
      <w:r>
        <w:rPr>
          <w:spacing w:val="-2"/>
        </w:rPr>
        <w:t>уточняет,</w:t>
      </w:r>
      <w:r>
        <w:rPr>
          <w:spacing w:val="-6"/>
        </w:rPr>
        <w:t> </w:t>
      </w:r>
      <w:r>
        <w:rPr>
          <w:spacing w:val="-2"/>
        </w:rPr>
        <w:t>все</w:t>
      </w:r>
      <w:r>
        <w:rPr>
          <w:spacing w:val="-6"/>
        </w:rPr>
        <w:t> </w:t>
      </w:r>
      <w:r>
        <w:rPr>
          <w:color w:val="2B2E30"/>
          <w:spacing w:val="-2"/>
        </w:rPr>
        <w:t>ли</w:t>
      </w:r>
      <w:r>
        <w:rPr>
          <w:color w:val="2B2E30"/>
          <w:spacing w:val="-6"/>
        </w:rPr>
        <w:t> </w:t>
      </w:r>
      <w:r>
        <w:rPr>
          <w:color w:val="2B2E30"/>
          <w:spacing w:val="-2"/>
        </w:rPr>
        <w:t>заполнили</w:t>
      </w:r>
      <w:r>
        <w:rPr>
          <w:color w:val="2B2E30"/>
          <w:spacing w:val="-6"/>
        </w:rPr>
        <w:t> </w:t>
      </w:r>
      <w:r>
        <w:rPr>
          <w:color w:val="2B2E30"/>
          <w:spacing w:val="-2"/>
        </w:rPr>
        <w:t>анкету,</w:t>
      </w:r>
      <w:r>
        <w:rPr>
          <w:color w:val="2B2E30"/>
          <w:spacing w:val="-6"/>
        </w:rPr>
        <w:t> </w:t>
      </w:r>
      <w:r>
        <w:rPr>
          <w:color w:val="2B2E30"/>
          <w:spacing w:val="-2"/>
        </w:rPr>
        <w:t>и</w:t>
      </w:r>
      <w:r>
        <w:rPr>
          <w:color w:val="2B2E30"/>
          <w:spacing w:val="-6"/>
        </w:rPr>
        <w:t> </w:t>
      </w:r>
      <w:r>
        <w:rPr>
          <w:color w:val="2B2E30"/>
          <w:spacing w:val="-2"/>
        </w:rPr>
        <w:t>сообщает,</w:t>
      </w:r>
      <w:r>
        <w:rPr>
          <w:color w:val="2B2E30"/>
          <w:spacing w:val="-6"/>
        </w:rPr>
        <w:t> </w:t>
      </w:r>
      <w:r>
        <w:rPr>
          <w:color w:val="2B2E30"/>
          <w:spacing w:val="-2"/>
        </w:rPr>
        <w:t>что</w:t>
      </w:r>
      <w:r>
        <w:rPr>
          <w:color w:val="2B2E30"/>
          <w:spacing w:val="-6"/>
        </w:rPr>
        <w:t> </w:t>
      </w:r>
      <w:r>
        <w:rPr>
          <w:color w:val="2B2E30"/>
          <w:spacing w:val="-2"/>
        </w:rPr>
        <w:t>не</w:t>
      </w:r>
      <w:r>
        <w:rPr>
          <w:color w:val="2B2E30"/>
          <w:spacing w:val="-6"/>
        </w:rPr>
        <w:t> </w:t>
      </w:r>
      <w:r>
        <w:rPr>
          <w:color w:val="2B2E30"/>
          <w:spacing w:val="-2"/>
        </w:rPr>
        <w:t>будет</w:t>
      </w:r>
      <w:r>
        <w:rPr>
          <w:color w:val="2B2E30"/>
          <w:spacing w:val="-6"/>
        </w:rPr>
        <w:t> </w:t>
      </w:r>
      <w:r>
        <w:rPr>
          <w:color w:val="2B2E30"/>
          <w:spacing w:val="-2"/>
        </w:rPr>
        <w:t>их</w:t>
      </w:r>
      <w:r>
        <w:rPr>
          <w:color w:val="2B2E30"/>
          <w:spacing w:val="-6"/>
        </w:rPr>
        <w:t> </w:t>
      </w:r>
      <w:r>
        <w:rPr>
          <w:color w:val="2B2E30"/>
          <w:spacing w:val="-2"/>
        </w:rPr>
        <w:t>собирать,</w:t>
      </w:r>
      <w:r>
        <w:rPr>
          <w:color w:val="2B2E30"/>
          <w:spacing w:val="-6"/>
        </w:rPr>
        <w:t> </w:t>
      </w:r>
      <w:r>
        <w:rPr>
          <w:color w:val="2B2E30"/>
          <w:spacing w:val="-2"/>
        </w:rPr>
        <w:t>но </w:t>
      </w:r>
      <w:r>
        <w:rPr>
          <w:color w:val="2B2E30"/>
        </w:rPr>
        <w:t>обсудит процесс заполнения.</w:t>
      </w:r>
    </w:p>
    <w:p>
      <w:pPr>
        <w:pStyle w:val="BodyText"/>
        <w:spacing w:line="228" w:lineRule="exact"/>
        <w:ind w:left="425" w:right="0" w:firstLine="0"/>
        <w:jc w:val="left"/>
      </w:pPr>
      <w:r>
        <w:rPr>
          <w:color w:val="2B2E30"/>
          <w:spacing w:val="-2"/>
        </w:rPr>
        <w:t>Обсуждение:</w:t>
      </w:r>
    </w:p>
    <w:p>
      <w:pPr>
        <w:pStyle w:val="ListParagraph"/>
        <w:numPr>
          <w:ilvl w:val="0"/>
          <w:numId w:val="269"/>
        </w:numPr>
        <w:tabs>
          <w:tab w:pos="584" w:val="left" w:leader="none"/>
        </w:tabs>
        <w:spacing w:line="235" w:lineRule="auto" w:before="1" w:after="0"/>
        <w:ind w:left="141" w:right="139" w:firstLine="283"/>
        <w:jc w:val="left"/>
        <w:rPr>
          <w:color w:val="2B2E30"/>
          <w:sz w:val="20"/>
        </w:rPr>
      </w:pPr>
      <w:r>
        <w:rPr>
          <w:i/>
          <w:color w:val="2B2E30"/>
          <w:sz w:val="20"/>
        </w:rPr>
        <w:t>Опишите свои ощущения, когда вы начали заполнять анкету. Как они поменя- лись потом?</w:t>
      </w:r>
    </w:p>
    <w:p>
      <w:pPr>
        <w:pStyle w:val="ListParagraph"/>
        <w:numPr>
          <w:ilvl w:val="0"/>
          <w:numId w:val="269"/>
        </w:numPr>
        <w:tabs>
          <w:tab w:pos="575" w:val="left" w:leader="none"/>
        </w:tabs>
        <w:spacing w:line="225" w:lineRule="exact" w:before="0" w:after="0"/>
        <w:ind w:left="575" w:right="0" w:hanging="150"/>
        <w:jc w:val="left"/>
        <w:rPr>
          <w:sz w:val="20"/>
        </w:rPr>
      </w:pPr>
      <w:r>
        <w:rPr>
          <w:i/>
          <w:color w:val="2B2E30"/>
          <w:sz w:val="20"/>
        </w:rPr>
        <w:t>Как</w:t>
      </w:r>
      <w:r>
        <w:rPr>
          <w:i/>
          <w:color w:val="2B2E30"/>
          <w:spacing w:val="-4"/>
          <w:sz w:val="20"/>
        </w:rPr>
        <w:t> </w:t>
      </w:r>
      <w:r>
        <w:rPr>
          <w:i/>
          <w:color w:val="2B2E30"/>
          <w:sz w:val="20"/>
        </w:rPr>
        <w:t>вы</w:t>
      </w:r>
      <w:r>
        <w:rPr>
          <w:i/>
          <w:color w:val="2B2E30"/>
          <w:spacing w:val="-3"/>
          <w:sz w:val="20"/>
        </w:rPr>
        <w:t> </w:t>
      </w:r>
      <w:r>
        <w:rPr>
          <w:i/>
          <w:color w:val="2B2E30"/>
          <w:sz w:val="20"/>
        </w:rPr>
        <w:t>справились</w:t>
      </w:r>
      <w:r>
        <w:rPr>
          <w:i/>
          <w:color w:val="2B2E30"/>
          <w:spacing w:val="-4"/>
          <w:sz w:val="20"/>
        </w:rPr>
        <w:t> </w:t>
      </w:r>
      <w:r>
        <w:rPr>
          <w:i/>
          <w:color w:val="2B2E30"/>
          <w:sz w:val="20"/>
        </w:rPr>
        <w:t>с</w:t>
      </w:r>
      <w:r>
        <w:rPr>
          <w:i/>
          <w:color w:val="2B2E30"/>
          <w:spacing w:val="-3"/>
          <w:sz w:val="20"/>
        </w:rPr>
        <w:t> </w:t>
      </w:r>
      <w:r>
        <w:rPr>
          <w:i/>
          <w:color w:val="2B2E30"/>
          <w:sz w:val="20"/>
        </w:rPr>
        <w:t>анкетой?</w:t>
      </w:r>
      <w:r>
        <w:rPr>
          <w:i/>
          <w:color w:val="2B2E30"/>
          <w:spacing w:val="-3"/>
          <w:sz w:val="20"/>
        </w:rPr>
        <w:t> </w:t>
      </w:r>
      <w:r>
        <w:rPr>
          <w:i/>
          <w:color w:val="2B2E30"/>
          <w:sz w:val="20"/>
        </w:rPr>
        <w:t>Что</w:t>
      </w:r>
      <w:r>
        <w:rPr>
          <w:i/>
          <w:color w:val="2B2E30"/>
          <w:spacing w:val="-4"/>
          <w:sz w:val="20"/>
        </w:rPr>
        <w:t> </w:t>
      </w:r>
      <w:r>
        <w:rPr>
          <w:i/>
          <w:color w:val="2B2E30"/>
          <w:sz w:val="20"/>
        </w:rPr>
        <w:t>вам</w:t>
      </w:r>
      <w:r>
        <w:rPr>
          <w:i/>
          <w:color w:val="2B2E30"/>
          <w:spacing w:val="-3"/>
          <w:sz w:val="20"/>
        </w:rPr>
        <w:t> </w:t>
      </w:r>
      <w:r>
        <w:rPr>
          <w:i/>
          <w:color w:val="2B2E30"/>
          <w:spacing w:val="-2"/>
          <w:sz w:val="20"/>
        </w:rPr>
        <w:t>помогло?</w:t>
      </w:r>
    </w:p>
    <w:p>
      <w:pPr>
        <w:pStyle w:val="ListParagraph"/>
        <w:numPr>
          <w:ilvl w:val="0"/>
          <w:numId w:val="269"/>
        </w:numPr>
        <w:tabs>
          <w:tab w:pos="599" w:val="left" w:leader="none"/>
        </w:tabs>
        <w:spacing w:line="228" w:lineRule="exact" w:before="0" w:after="0"/>
        <w:ind w:left="599" w:right="0" w:hanging="174"/>
        <w:jc w:val="left"/>
        <w:rPr>
          <w:sz w:val="20"/>
        </w:rPr>
      </w:pPr>
      <w:r>
        <w:rPr>
          <w:i/>
          <w:color w:val="2B2E30"/>
          <w:sz w:val="20"/>
        </w:rPr>
        <w:t>Заполняя</w:t>
      </w:r>
      <w:r>
        <w:rPr>
          <w:i/>
          <w:color w:val="2B2E30"/>
          <w:spacing w:val="13"/>
          <w:sz w:val="20"/>
        </w:rPr>
        <w:t> </w:t>
      </w:r>
      <w:r>
        <w:rPr>
          <w:i/>
          <w:color w:val="2B2E30"/>
          <w:sz w:val="20"/>
        </w:rPr>
        <w:t>эту</w:t>
      </w:r>
      <w:r>
        <w:rPr>
          <w:i/>
          <w:color w:val="2B2E30"/>
          <w:spacing w:val="16"/>
          <w:sz w:val="20"/>
        </w:rPr>
        <w:t> </w:t>
      </w:r>
      <w:r>
        <w:rPr>
          <w:i/>
          <w:color w:val="2B2E30"/>
          <w:sz w:val="20"/>
        </w:rPr>
        <w:t>анкету,</w:t>
      </w:r>
      <w:r>
        <w:rPr>
          <w:i/>
          <w:color w:val="2B2E30"/>
          <w:spacing w:val="16"/>
          <w:sz w:val="20"/>
        </w:rPr>
        <w:t> </w:t>
      </w:r>
      <w:r>
        <w:rPr>
          <w:i/>
          <w:color w:val="2B2E30"/>
          <w:sz w:val="20"/>
        </w:rPr>
        <w:t>вы</w:t>
      </w:r>
      <w:r>
        <w:rPr>
          <w:i/>
          <w:color w:val="2B2E30"/>
          <w:spacing w:val="16"/>
          <w:sz w:val="20"/>
        </w:rPr>
        <w:t> </w:t>
      </w:r>
      <w:r>
        <w:rPr>
          <w:i/>
          <w:color w:val="2B2E30"/>
          <w:sz w:val="20"/>
        </w:rPr>
        <w:t>могли</w:t>
      </w:r>
      <w:r>
        <w:rPr>
          <w:i/>
          <w:color w:val="2B2E30"/>
          <w:spacing w:val="15"/>
          <w:sz w:val="20"/>
        </w:rPr>
        <w:t> </w:t>
      </w:r>
      <w:r>
        <w:rPr>
          <w:i/>
          <w:color w:val="2B2E30"/>
          <w:sz w:val="20"/>
        </w:rPr>
        <w:t>почувствовать,</w:t>
      </w:r>
      <w:r>
        <w:rPr>
          <w:i/>
          <w:color w:val="2B2E30"/>
          <w:spacing w:val="16"/>
          <w:sz w:val="20"/>
        </w:rPr>
        <w:t> </w:t>
      </w:r>
      <w:r>
        <w:rPr>
          <w:i/>
          <w:color w:val="2B2E30"/>
          <w:sz w:val="20"/>
        </w:rPr>
        <w:t>что</w:t>
      </w:r>
      <w:r>
        <w:rPr>
          <w:i/>
          <w:color w:val="2B2E30"/>
          <w:spacing w:val="16"/>
          <w:sz w:val="20"/>
        </w:rPr>
        <w:t> </w:t>
      </w:r>
      <w:r>
        <w:rPr>
          <w:i/>
          <w:color w:val="2B2E30"/>
          <w:sz w:val="20"/>
        </w:rPr>
        <w:t>происходит</w:t>
      </w:r>
      <w:r>
        <w:rPr>
          <w:i/>
          <w:color w:val="2B2E30"/>
          <w:spacing w:val="16"/>
          <w:sz w:val="20"/>
        </w:rPr>
        <w:t> </w:t>
      </w:r>
      <w:r>
        <w:rPr>
          <w:i/>
          <w:color w:val="2B2E30"/>
          <w:sz w:val="20"/>
        </w:rPr>
        <w:t>с</w:t>
      </w:r>
      <w:r>
        <w:rPr>
          <w:i/>
          <w:color w:val="2B2E30"/>
          <w:spacing w:val="16"/>
          <w:sz w:val="20"/>
        </w:rPr>
        <w:t> </w:t>
      </w:r>
      <w:r>
        <w:rPr>
          <w:i/>
          <w:color w:val="2B2E30"/>
          <w:spacing w:val="-2"/>
          <w:sz w:val="20"/>
        </w:rPr>
        <w:t>человеком,</w:t>
      </w:r>
    </w:p>
    <w:p>
      <w:pPr>
        <w:pStyle w:val="ListParagraph"/>
        <w:spacing w:after="0" w:line="228" w:lineRule="exact"/>
        <w:jc w:val="left"/>
        <w:rPr>
          <w:sz w:val="20"/>
        </w:rPr>
        <w:sectPr>
          <w:pgSz w:w="8400" w:h="11910"/>
          <w:pgMar w:header="0" w:footer="530" w:top="400" w:bottom="740" w:left="425" w:right="425"/>
        </w:sectPr>
      </w:pPr>
    </w:p>
    <w:p>
      <w:pPr>
        <w:pStyle w:val="ListParagraph"/>
        <w:numPr>
          <w:ilvl w:val="1"/>
          <w:numId w:val="270"/>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Активности</w:t>
      </w:r>
      <w:r>
        <w:rPr>
          <w:rFonts w:ascii="Georgia" w:hAnsi="Georgia"/>
          <w:color w:val="231F20"/>
          <w:spacing w:val="15"/>
          <w:sz w:val="18"/>
        </w:rPr>
        <w:t> </w:t>
      </w:r>
      <w:r>
        <w:rPr>
          <w:rFonts w:ascii="Georgia" w:hAnsi="Georgia"/>
          <w:color w:val="231F20"/>
          <w:sz w:val="18"/>
        </w:rPr>
        <w:t>межкультурного</w:t>
      </w:r>
      <w:r>
        <w:rPr>
          <w:rFonts w:ascii="Georgia" w:hAnsi="Georgia"/>
          <w:color w:val="231F20"/>
          <w:spacing w:val="15"/>
          <w:sz w:val="18"/>
        </w:rPr>
        <w:t> </w:t>
      </w:r>
      <w:r>
        <w:rPr>
          <w:rFonts w:ascii="Georgia" w:hAnsi="Georgia"/>
          <w:color w:val="231F20"/>
          <w:sz w:val="18"/>
        </w:rPr>
        <w:t>тренинга</w:t>
      </w:r>
      <w:r>
        <w:rPr>
          <w:rFonts w:ascii="Georgia" w:hAnsi="Georgia"/>
          <w:color w:val="231F20"/>
          <w:spacing w:val="16"/>
          <w:sz w:val="18"/>
        </w:rPr>
        <w:t> </w:t>
      </w:r>
      <w:r>
        <w:rPr>
          <w:rFonts w:ascii="Georgia" w:hAnsi="Georgia"/>
          <w:color w:val="231F20"/>
          <w:sz w:val="18"/>
        </w:rPr>
        <w:t>для</w:t>
      </w:r>
      <w:r>
        <w:rPr>
          <w:rFonts w:ascii="Georgia" w:hAnsi="Georgia"/>
          <w:color w:val="231F20"/>
          <w:spacing w:val="15"/>
          <w:sz w:val="18"/>
        </w:rPr>
        <w:t> </w:t>
      </w:r>
      <w:r>
        <w:rPr>
          <w:rFonts w:ascii="Georgia" w:hAnsi="Georgia"/>
          <w:color w:val="231F20"/>
          <w:sz w:val="18"/>
        </w:rPr>
        <w:t>поликультурного</w:t>
      </w:r>
      <w:r>
        <w:rPr>
          <w:rFonts w:ascii="Georgia" w:hAnsi="Georgia"/>
          <w:color w:val="231F20"/>
          <w:spacing w:val="16"/>
          <w:sz w:val="18"/>
        </w:rPr>
        <w:t> </w:t>
      </w:r>
      <w:r>
        <w:rPr>
          <w:rFonts w:ascii="Georgia" w:hAnsi="Georgia"/>
          <w:color w:val="231F20"/>
          <w:spacing w:val="-2"/>
          <w:sz w:val="18"/>
        </w:rPr>
        <w:t>класса</w:t>
      </w:r>
    </w:p>
    <w:p>
      <w:pPr>
        <w:spacing w:line="235" w:lineRule="auto" w:before="116"/>
        <w:ind w:left="141" w:right="140" w:firstLine="0"/>
        <w:jc w:val="both"/>
        <w:rPr>
          <w:i/>
          <w:sz w:val="20"/>
        </w:rPr>
      </w:pPr>
      <w:r>
        <w:rPr>
          <w:i/>
          <w:color w:val="2B2E30"/>
          <w:sz w:val="20"/>
        </w:rPr>
        <w:t>попавшим</w:t>
      </w:r>
      <w:r>
        <w:rPr>
          <w:i/>
          <w:color w:val="2B2E30"/>
          <w:spacing w:val="-13"/>
          <w:sz w:val="20"/>
        </w:rPr>
        <w:t> </w:t>
      </w:r>
      <w:r>
        <w:rPr>
          <w:i/>
          <w:color w:val="2B2E30"/>
          <w:sz w:val="20"/>
        </w:rPr>
        <w:t>в</w:t>
      </w:r>
      <w:r>
        <w:rPr>
          <w:i/>
          <w:color w:val="2B2E30"/>
          <w:spacing w:val="-12"/>
          <w:sz w:val="20"/>
        </w:rPr>
        <w:t> </w:t>
      </w:r>
      <w:r>
        <w:rPr>
          <w:i/>
          <w:color w:val="2B2E30"/>
          <w:sz w:val="20"/>
        </w:rPr>
        <w:t>новую</w:t>
      </w:r>
      <w:r>
        <w:rPr>
          <w:i/>
          <w:color w:val="2B2E30"/>
          <w:spacing w:val="-13"/>
          <w:sz w:val="20"/>
        </w:rPr>
        <w:t> </w:t>
      </w:r>
      <w:r>
        <w:rPr>
          <w:i/>
          <w:color w:val="2B2E30"/>
          <w:sz w:val="20"/>
        </w:rPr>
        <w:t>культуру</w:t>
      </w:r>
      <w:r>
        <w:rPr>
          <w:i/>
          <w:color w:val="2B2E30"/>
          <w:spacing w:val="-12"/>
          <w:sz w:val="20"/>
        </w:rPr>
        <w:t> </w:t>
      </w:r>
      <w:r>
        <w:rPr>
          <w:i/>
          <w:color w:val="2B2E30"/>
          <w:sz w:val="20"/>
        </w:rPr>
        <w:t>(например,</w:t>
      </w:r>
      <w:r>
        <w:rPr>
          <w:i/>
          <w:color w:val="2B2E30"/>
          <w:spacing w:val="-13"/>
          <w:sz w:val="20"/>
        </w:rPr>
        <w:t> </w:t>
      </w:r>
      <w:r>
        <w:rPr>
          <w:i/>
          <w:color w:val="2B2E30"/>
          <w:sz w:val="20"/>
        </w:rPr>
        <w:t>при</w:t>
      </w:r>
      <w:r>
        <w:rPr>
          <w:i/>
          <w:color w:val="2B2E30"/>
          <w:spacing w:val="-12"/>
          <w:sz w:val="20"/>
        </w:rPr>
        <w:t> </w:t>
      </w:r>
      <w:r>
        <w:rPr>
          <w:i/>
          <w:color w:val="2B2E30"/>
          <w:sz w:val="20"/>
        </w:rPr>
        <w:t>переезде</w:t>
      </w:r>
      <w:r>
        <w:rPr>
          <w:i/>
          <w:color w:val="2B2E30"/>
          <w:spacing w:val="-13"/>
          <w:sz w:val="20"/>
        </w:rPr>
        <w:t> </w:t>
      </w:r>
      <w:r>
        <w:rPr>
          <w:i/>
          <w:color w:val="2B2E30"/>
          <w:sz w:val="20"/>
        </w:rPr>
        <w:t>в</w:t>
      </w:r>
      <w:r>
        <w:rPr>
          <w:i/>
          <w:color w:val="2B2E30"/>
          <w:spacing w:val="-12"/>
          <w:sz w:val="20"/>
        </w:rPr>
        <w:t> </w:t>
      </w:r>
      <w:r>
        <w:rPr>
          <w:i/>
          <w:color w:val="2B2E30"/>
          <w:sz w:val="20"/>
        </w:rPr>
        <w:t>другую</w:t>
      </w:r>
      <w:r>
        <w:rPr>
          <w:i/>
          <w:color w:val="2B2E30"/>
          <w:spacing w:val="-13"/>
          <w:sz w:val="20"/>
        </w:rPr>
        <w:t> </w:t>
      </w:r>
      <w:r>
        <w:rPr>
          <w:i/>
          <w:color w:val="2B2E30"/>
          <w:sz w:val="20"/>
        </w:rPr>
        <w:t>страну).</w:t>
      </w:r>
      <w:r>
        <w:rPr>
          <w:i/>
          <w:color w:val="2B2E30"/>
          <w:spacing w:val="-12"/>
          <w:sz w:val="20"/>
        </w:rPr>
        <w:t> </w:t>
      </w:r>
      <w:r>
        <w:rPr>
          <w:i/>
          <w:color w:val="2B2E30"/>
          <w:sz w:val="20"/>
        </w:rPr>
        <w:t>Что</w:t>
      </w:r>
      <w:r>
        <w:rPr>
          <w:i/>
          <w:color w:val="2B2E30"/>
          <w:spacing w:val="-13"/>
          <w:sz w:val="20"/>
        </w:rPr>
        <w:t> </w:t>
      </w:r>
      <w:r>
        <w:rPr>
          <w:i/>
          <w:color w:val="2B2E30"/>
          <w:sz w:val="20"/>
        </w:rPr>
        <w:t>вы</w:t>
      </w:r>
      <w:r>
        <w:rPr>
          <w:i/>
          <w:color w:val="2B2E30"/>
          <w:spacing w:val="-12"/>
          <w:sz w:val="20"/>
        </w:rPr>
        <w:t> </w:t>
      </w:r>
      <w:r>
        <w:rPr>
          <w:i/>
          <w:color w:val="2B2E30"/>
          <w:sz w:val="20"/>
        </w:rPr>
        <w:t>узнали из этого опыта и какие выводы можете сделать?</w:t>
      </w:r>
    </w:p>
    <w:p>
      <w:pPr>
        <w:spacing w:line="228" w:lineRule="exact" w:before="54"/>
        <w:ind w:left="425" w:right="0" w:firstLine="0"/>
        <w:jc w:val="both"/>
        <w:rPr>
          <w:sz w:val="20"/>
        </w:rPr>
      </w:pPr>
      <w:r>
        <w:rPr>
          <w:b/>
          <w:spacing w:val="-2"/>
          <w:sz w:val="20"/>
        </w:rPr>
        <w:t>Методический</w:t>
      </w:r>
      <w:r>
        <w:rPr>
          <w:b/>
          <w:spacing w:val="4"/>
          <w:sz w:val="20"/>
        </w:rPr>
        <w:t> </w:t>
      </w:r>
      <w:r>
        <w:rPr>
          <w:b/>
          <w:spacing w:val="-2"/>
          <w:sz w:val="20"/>
        </w:rPr>
        <w:t>комментарий</w:t>
      </w:r>
      <w:r>
        <w:rPr>
          <w:spacing w:val="-2"/>
          <w:sz w:val="20"/>
        </w:rPr>
        <w:t>,</w:t>
      </w:r>
      <w:r>
        <w:rPr>
          <w:spacing w:val="4"/>
          <w:sz w:val="20"/>
        </w:rPr>
        <w:t> </w:t>
      </w:r>
      <w:r>
        <w:rPr>
          <w:spacing w:val="-2"/>
          <w:sz w:val="20"/>
        </w:rPr>
        <w:t>который</w:t>
      </w:r>
      <w:r>
        <w:rPr>
          <w:spacing w:val="3"/>
          <w:sz w:val="20"/>
        </w:rPr>
        <w:t> </w:t>
      </w:r>
      <w:r>
        <w:rPr>
          <w:spacing w:val="-2"/>
          <w:sz w:val="20"/>
        </w:rPr>
        <w:t>может</w:t>
      </w:r>
      <w:r>
        <w:rPr>
          <w:spacing w:val="4"/>
          <w:sz w:val="20"/>
        </w:rPr>
        <w:t> </w:t>
      </w:r>
      <w:r>
        <w:rPr>
          <w:spacing w:val="-2"/>
          <w:sz w:val="20"/>
        </w:rPr>
        <w:t>стимулировать</w:t>
      </w:r>
      <w:r>
        <w:rPr>
          <w:spacing w:val="3"/>
          <w:sz w:val="20"/>
        </w:rPr>
        <w:t> </w:t>
      </w:r>
      <w:r>
        <w:rPr>
          <w:spacing w:val="-2"/>
          <w:sz w:val="20"/>
        </w:rPr>
        <w:t>обсуждение:</w:t>
      </w:r>
    </w:p>
    <w:p>
      <w:pPr>
        <w:pStyle w:val="ListParagraph"/>
        <w:numPr>
          <w:ilvl w:val="2"/>
          <w:numId w:val="270"/>
        </w:numPr>
        <w:tabs>
          <w:tab w:pos="573" w:val="left" w:leader="none"/>
        </w:tabs>
        <w:spacing w:line="235" w:lineRule="auto" w:before="2" w:after="0"/>
        <w:ind w:left="141" w:right="139" w:firstLine="283"/>
        <w:jc w:val="both"/>
        <w:rPr>
          <w:i/>
          <w:color w:val="2B2E30"/>
          <w:sz w:val="20"/>
        </w:rPr>
      </w:pPr>
      <w:r>
        <w:rPr>
          <w:i/>
          <w:color w:val="2B2E30"/>
          <w:sz w:val="20"/>
        </w:rPr>
        <w:t>Очень</w:t>
      </w:r>
      <w:r>
        <w:rPr>
          <w:i/>
          <w:color w:val="2B2E30"/>
          <w:spacing w:val="-7"/>
          <w:sz w:val="20"/>
        </w:rPr>
        <w:t> </w:t>
      </w:r>
      <w:r>
        <w:rPr>
          <w:i/>
          <w:color w:val="2B2E30"/>
          <w:sz w:val="20"/>
        </w:rPr>
        <w:t>важно</w:t>
      </w:r>
      <w:r>
        <w:rPr>
          <w:i/>
          <w:color w:val="2B2E30"/>
          <w:spacing w:val="-7"/>
          <w:sz w:val="20"/>
        </w:rPr>
        <w:t> </w:t>
      </w:r>
      <w:r>
        <w:rPr>
          <w:i/>
          <w:color w:val="2B2E30"/>
          <w:sz w:val="20"/>
        </w:rPr>
        <w:t>осознавать,</w:t>
      </w:r>
      <w:r>
        <w:rPr>
          <w:i/>
          <w:color w:val="2B2E30"/>
          <w:spacing w:val="-7"/>
          <w:sz w:val="20"/>
        </w:rPr>
        <w:t> </w:t>
      </w:r>
      <w:r>
        <w:rPr>
          <w:i/>
          <w:color w:val="2B2E30"/>
          <w:sz w:val="20"/>
        </w:rPr>
        <w:t>что</w:t>
      </w:r>
      <w:r>
        <w:rPr>
          <w:i/>
          <w:color w:val="2B2E30"/>
          <w:spacing w:val="-7"/>
          <w:sz w:val="20"/>
        </w:rPr>
        <w:t> </w:t>
      </w:r>
      <w:r>
        <w:rPr>
          <w:i/>
          <w:color w:val="2B2E30"/>
          <w:sz w:val="20"/>
        </w:rPr>
        <w:t>очевидные</w:t>
      </w:r>
      <w:r>
        <w:rPr>
          <w:i/>
          <w:color w:val="2B2E30"/>
          <w:spacing w:val="-7"/>
          <w:sz w:val="20"/>
        </w:rPr>
        <w:t> </w:t>
      </w:r>
      <w:r>
        <w:rPr>
          <w:i/>
          <w:color w:val="2B2E30"/>
          <w:sz w:val="20"/>
        </w:rPr>
        <w:t>общие</w:t>
      </w:r>
      <w:r>
        <w:rPr>
          <w:i/>
          <w:color w:val="2B2E30"/>
          <w:spacing w:val="-7"/>
          <w:sz w:val="20"/>
        </w:rPr>
        <w:t> </w:t>
      </w:r>
      <w:r>
        <w:rPr>
          <w:i/>
          <w:color w:val="2B2E30"/>
          <w:sz w:val="20"/>
        </w:rPr>
        <w:t>представления</w:t>
      </w:r>
      <w:r>
        <w:rPr>
          <w:i/>
          <w:color w:val="2B2E30"/>
          <w:spacing w:val="-7"/>
          <w:sz w:val="20"/>
        </w:rPr>
        <w:t> </w:t>
      </w:r>
      <w:r>
        <w:rPr>
          <w:i/>
          <w:color w:val="2B2E30"/>
          <w:sz w:val="20"/>
        </w:rPr>
        <w:t>(например,</w:t>
      </w:r>
      <w:r>
        <w:rPr>
          <w:i/>
          <w:color w:val="2B2E30"/>
          <w:spacing w:val="-7"/>
          <w:sz w:val="20"/>
        </w:rPr>
        <w:t> </w:t>
      </w:r>
      <w:r>
        <w:rPr>
          <w:i/>
          <w:color w:val="2B2E30"/>
          <w:sz w:val="20"/>
        </w:rPr>
        <w:t>воз- раст), могут по-разному пониматься в разных культурах.</w:t>
      </w:r>
    </w:p>
    <w:p>
      <w:pPr>
        <w:pStyle w:val="ListParagraph"/>
        <w:numPr>
          <w:ilvl w:val="2"/>
          <w:numId w:val="270"/>
        </w:numPr>
        <w:tabs>
          <w:tab w:pos="563" w:val="left" w:leader="none"/>
        </w:tabs>
        <w:spacing w:line="235" w:lineRule="auto" w:before="1" w:after="0"/>
        <w:ind w:left="141" w:right="139" w:firstLine="283"/>
        <w:jc w:val="both"/>
        <w:rPr>
          <w:i/>
          <w:color w:val="2B2E30"/>
          <w:sz w:val="20"/>
        </w:rPr>
      </w:pPr>
      <w:r>
        <w:rPr>
          <w:i/>
          <w:color w:val="2B2E30"/>
          <w:spacing w:val="-2"/>
          <w:sz w:val="20"/>
        </w:rPr>
        <w:t>То,</w:t>
      </w:r>
      <w:r>
        <w:rPr>
          <w:i/>
          <w:color w:val="2B2E30"/>
          <w:spacing w:val="-13"/>
          <w:sz w:val="20"/>
        </w:rPr>
        <w:t> </w:t>
      </w:r>
      <w:r>
        <w:rPr>
          <w:i/>
          <w:color w:val="2B2E30"/>
          <w:spacing w:val="-2"/>
          <w:sz w:val="20"/>
        </w:rPr>
        <w:t>что</w:t>
      </w:r>
      <w:r>
        <w:rPr>
          <w:i/>
          <w:color w:val="2B2E30"/>
          <w:spacing w:val="-10"/>
          <w:sz w:val="20"/>
        </w:rPr>
        <w:t> </w:t>
      </w:r>
      <w:r>
        <w:rPr>
          <w:i/>
          <w:color w:val="2B2E30"/>
          <w:spacing w:val="-2"/>
          <w:sz w:val="20"/>
        </w:rPr>
        <w:t>мы</w:t>
      </w:r>
      <w:r>
        <w:rPr>
          <w:i/>
          <w:color w:val="2B2E30"/>
          <w:spacing w:val="-11"/>
          <w:sz w:val="20"/>
        </w:rPr>
        <w:t> </w:t>
      </w:r>
      <w:r>
        <w:rPr>
          <w:i/>
          <w:color w:val="2B2E30"/>
          <w:spacing w:val="-2"/>
          <w:sz w:val="20"/>
        </w:rPr>
        <w:t>считаем</w:t>
      </w:r>
      <w:r>
        <w:rPr>
          <w:i/>
          <w:color w:val="2B2E30"/>
          <w:spacing w:val="-10"/>
          <w:sz w:val="20"/>
        </w:rPr>
        <w:t> </w:t>
      </w:r>
      <w:r>
        <w:rPr>
          <w:i/>
          <w:color w:val="2B2E30"/>
          <w:spacing w:val="-2"/>
          <w:sz w:val="20"/>
        </w:rPr>
        <w:t>нормальным,</w:t>
      </w:r>
      <w:r>
        <w:rPr>
          <w:i/>
          <w:color w:val="2B2E30"/>
          <w:spacing w:val="-11"/>
          <w:sz w:val="20"/>
        </w:rPr>
        <w:t> </w:t>
      </w:r>
      <w:r>
        <w:rPr>
          <w:i/>
          <w:color w:val="2B2E30"/>
          <w:spacing w:val="-2"/>
          <w:sz w:val="20"/>
        </w:rPr>
        <w:t>естественным</w:t>
      </w:r>
      <w:r>
        <w:rPr>
          <w:i/>
          <w:color w:val="2B2E30"/>
          <w:spacing w:val="-10"/>
          <w:sz w:val="20"/>
        </w:rPr>
        <w:t> </w:t>
      </w:r>
      <w:r>
        <w:rPr>
          <w:i/>
          <w:color w:val="2B2E30"/>
          <w:spacing w:val="-2"/>
          <w:sz w:val="20"/>
        </w:rPr>
        <w:t>и</w:t>
      </w:r>
      <w:r>
        <w:rPr>
          <w:i/>
          <w:color w:val="2B2E30"/>
          <w:spacing w:val="-11"/>
          <w:sz w:val="20"/>
        </w:rPr>
        <w:t> </w:t>
      </w:r>
      <w:r>
        <w:rPr>
          <w:i/>
          <w:color w:val="2B2E30"/>
          <w:spacing w:val="-2"/>
          <w:sz w:val="20"/>
        </w:rPr>
        <w:t>всеобщим,</w:t>
      </w:r>
      <w:r>
        <w:rPr>
          <w:i/>
          <w:color w:val="2B2E30"/>
          <w:spacing w:val="-10"/>
          <w:sz w:val="20"/>
        </w:rPr>
        <w:t> </w:t>
      </w:r>
      <w:r>
        <w:rPr>
          <w:i/>
          <w:color w:val="2B2E30"/>
          <w:spacing w:val="-2"/>
          <w:sz w:val="20"/>
        </w:rPr>
        <w:t>может</w:t>
      </w:r>
      <w:r>
        <w:rPr>
          <w:i/>
          <w:color w:val="2B2E30"/>
          <w:spacing w:val="-11"/>
          <w:sz w:val="20"/>
        </w:rPr>
        <w:t> </w:t>
      </w:r>
      <w:r>
        <w:rPr>
          <w:i/>
          <w:color w:val="2B2E30"/>
          <w:spacing w:val="-2"/>
          <w:sz w:val="20"/>
        </w:rPr>
        <w:t>быть</w:t>
      </w:r>
      <w:r>
        <w:rPr>
          <w:i/>
          <w:color w:val="2B2E30"/>
          <w:spacing w:val="-10"/>
          <w:sz w:val="20"/>
        </w:rPr>
        <w:t> </w:t>
      </w:r>
      <w:r>
        <w:rPr>
          <w:i/>
          <w:color w:val="2B2E30"/>
          <w:spacing w:val="-2"/>
          <w:sz w:val="20"/>
        </w:rPr>
        <w:t>куль- </w:t>
      </w:r>
      <w:r>
        <w:rPr>
          <w:i/>
          <w:color w:val="2B2E30"/>
          <w:sz w:val="20"/>
        </w:rPr>
        <w:t>турно заданным. Например, чтение слева направо в этом задании «не работало».</w:t>
      </w:r>
    </w:p>
    <w:p>
      <w:pPr>
        <w:pStyle w:val="ListParagraph"/>
        <w:numPr>
          <w:ilvl w:val="2"/>
          <w:numId w:val="270"/>
        </w:numPr>
        <w:tabs>
          <w:tab w:pos="568" w:val="left" w:leader="none"/>
        </w:tabs>
        <w:spacing w:line="235" w:lineRule="auto" w:before="1" w:after="0"/>
        <w:ind w:left="141" w:right="139" w:firstLine="283"/>
        <w:jc w:val="both"/>
        <w:rPr>
          <w:i/>
          <w:color w:val="2B2E30"/>
          <w:sz w:val="20"/>
        </w:rPr>
      </w:pPr>
      <w:r>
        <w:rPr>
          <w:i/>
          <w:color w:val="2B2E30"/>
          <w:sz w:val="20"/>
        </w:rPr>
        <w:t>Ситуация</w:t>
      </w:r>
      <w:r>
        <w:rPr>
          <w:i/>
          <w:color w:val="2B2E30"/>
          <w:spacing w:val="-13"/>
          <w:sz w:val="20"/>
        </w:rPr>
        <w:t> </w:t>
      </w:r>
      <w:r>
        <w:rPr>
          <w:i/>
          <w:color w:val="2B2E30"/>
          <w:sz w:val="20"/>
        </w:rPr>
        <w:t>незнания</w:t>
      </w:r>
      <w:r>
        <w:rPr>
          <w:i/>
          <w:color w:val="2B2E30"/>
          <w:spacing w:val="-12"/>
          <w:sz w:val="20"/>
        </w:rPr>
        <w:t> </w:t>
      </w:r>
      <w:r>
        <w:rPr>
          <w:i/>
          <w:color w:val="2B2E30"/>
          <w:sz w:val="20"/>
        </w:rPr>
        <w:t>и</w:t>
      </w:r>
      <w:r>
        <w:rPr>
          <w:i/>
          <w:color w:val="2B2E30"/>
          <w:spacing w:val="-13"/>
          <w:sz w:val="20"/>
        </w:rPr>
        <w:t> </w:t>
      </w:r>
      <w:r>
        <w:rPr>
          <w:i/>
          <w:color w:val="2B2E30"/>
          <w:sz w:val="20"/>
        </w:rPr>
        <w:t>непонимания</w:t>
      </w:r>
      <w:r>
        <w:rPr>
          <w:i/>
          <w:color w:val="2B2E30"/>
          <w:spacing w:val="-12"/>
          <w:sz w:val="20"/>
        </w:rPr>
        <w:t> </w:t>
      </w:r>
      <w:r>
        <w:rPr>
          <w:i/>
          <w:color w:val="2B2E30"/>
          <w:sz w:val="20"/>
        </w:rPr>
        <w:t>может</w:t>
      </w:r>
      <w:r>
        <w:rPr>
          <w:i/>
          <w:color w:val="2B2E30"/>
          <w:spacing w:val="-13"/>
          <w:sz w:val="20"/>
        </w:rPr>
        <w:t> </w:t>
      </w:r>
      <w:r>
        <w:rPr>
          <w:i/>
          <w:color w:val="2B2E30"/>
          <w:sz w:val="20"/>
        </w:rPr>
        <w:t>быть</w:t>
      </w:r>
      <w:r>
        <w:rPr>
          <w:i/>
          <w:color w:val="2B2E30"/>
          <w:spacing w:val="-12"/>
          <w:sz w:val="20"/>
        </w:rPr>
        <w:t> </w:t>
      </w:r>
      <w:r>
        <w:rPr>
          <w:i/>
          <w:color w:val="2B2E30"/>
          <w:sz w:val="20"/>
        </w:rPr>
        <w:t>довольно</w:t>
      </w:r>
      <w:r>
        <w:rPr>
          <w:i/>
          <w:color w:val="2B2E30"/>
          <w:spacing w:val="-13"/>
          <w:sz w:val="20"/>
        </w:rPr>
        <w:t> </w:t>
      </w:r>
      <w:r>
        <w:rPr>
          <w:i/>
          <w:color w:val="2B2E30"/>
          <w:sz w:val="20"/>
        </w:rPr>
        <w:t>неприятным</w:t>
      </w:r>
      <w:r>
        <w:rPr>
          <w:i/>
          <w:color w:val="2B2E30"/>
          <w:spacing w:val="-12"/>
          <w:sz w:val="20"/>
        </w:rPr>
        <w:t> </w:t>
      </w:r>
      <w:r>
        <w:rPr>
          <w:i/>
          <w:color w:val="2B2E30"/>
          <w:sz w:val="20"/>
        </w:rPr>
        <w:t>опытом для</w:t>
      </w:r>
      <w:r>
        <w:rPr>
          <w:i/>
          <w:color w:val="2B2E30"/>
          <w:spacing w:val="-13"/>
          <w:sz w:val="20"/>
        </w:rPr>
        <w:t> </w:t>
      </w:r>
      <w:r>
        <w:rPr>
          <w:i/>
          <w:color w:val="2B2E30"/>
          <w:sz w:val="20"/>
        </w:rPr>
        <w:t>любого</w:t>
      </w:r>
      <w:r>
        <w:rPr>
          <w:i/>
          <w:color w:val="2B2E30"/>
          <w:spacing w:val="-12"/>
          <w:sz w:val="20"/>
        </w:rPr>
        <w:t> </w:t>
      </w:r>
      <w:r>
        <w:rPr>
          <w:i/>
          <w:color w:val="2B2E30"/>
          <w:sz w:val="20"/>
        </w:rPr>
        <w:t>человека.</w:t>
      </w:r>
      <w:r>
        <w:rPr>
          <w:i/>
          <w:color w:val="2B2E30"/>
          <w:spacing w:val="-13"/>
          <w:sz w:val="20"/>
        </w:rPr>
        <w:t> </w:t>
      </w:r>
      <w:r>
        <w:rPr>
          <w:i/>
          <w:color w:val="2B2E30"/>
          <w:sz w:val="20"/>
        </w:rPr>
        <w:t>Важно</w:t>
      </w:r>
      <w:r>
        <w:rPr>
          <w:i/>
          <w:color w:val="2B2E30"/>
          <w:spacing w:val="-12"/>
          <w:sz w:val="20"/>
        </w:rPr>
        <w:t> </w:t>
      </w:r>
      <w:r>
        <w:rPr>
          <w:i/>
          <w:color w:val="2B2E30"/>
          <w:sz w:val="20"/>
        </w:rPr>
        <w:t>помнить,</w:t>
      </w:r>
      <w:r>
        <w:rPr>
          <w:i/>
          <w:color w:val="2B2E30"/>
          <w:spacing w:val="-13"/>
          <w:sz w:val="20"/>
        </w:rPr>
        <w:t> </w:t>
      </w:r>
      <w:r>
        <w:rPr>
          <w:i/>
          <w:color w:val="2B2E30"/>
          <w:sz w:val="20"/>
        </w:rPr>
        <w:t>как</w:t>
      </w:r>
      <w:r>
        <w:rPr>
          <w:i/>
          <w:color w:val="2B2E30"/>
          <w:spacing w:val="-12"/>
          <w:sz w:val="20"/>
        </w:rPr>
        <w:t> </w:t>
      </w:r>
      <w:r>
        <w:rPr>
          <w:i/>
          <w:color w:val="2B2E30"/>
          <w:sz w:val="20"/>
        </w:rPr>
        <w:t>другие</w:t>
      </w:r>
      <w:r>
        <w:rPr>
          <w:i/>
          <w:color w:val="2B2E30"/>
          <w:spacing w:val="-13"/>
          <w:sz w:val="20"/>
        </w:rPr>
        <w:t> </w:t>
      </w:r>
      <w:r>
        <w:rPr>
          <w:i/>
          <w:color w:val="2B2E30"/>
          <w:sz w:val="20"/>
        </w:rPr>
        <w:t>могут</w:t>
      </w:r>
      <w:r>
        <w:rPr>
          <w:i/>
          <w:color w:val="2B2E30"/>
          <w:spacing w:val="-12"/>
          <w:sz w:val="20"/>
        </w:rPr>
        <w:t> </w:t>
      </w:r>
      <w:r>
        <w:rPr>
          <w:i/>
          <w:color w:val="2B2E30"/>
          <w:sz w:val="20"/>
        </w:rPr>
        <w:t>чувствовать</w:t>
      </w:r>
      <w:r>
        <w:rPr>
          <w:i/>
          <w:color w:val="2B2E30"/>
          <w:spacing w:val="-13"/>
          <w:sz w:val="20"/>
        </w:rPr>
        <w:t> </w:t>
      </w:r>
      <w:r>
        <w:rPr>
          <w:i/>
          <w:color w:val="2B2E30"/>
          <w:sz w:val="20"/>
        </w:rPr>
        <w:t>себя</w:t>
      </w:r>
      <w:r>
        <w:rPr>
          <w:i/>
          <w:color w:val="2B2E30"/>
          <w:spacing w:val="-12"/>
          <w:sz w:val="20"/>
        </w:rPr>
        <w:t> </w:t>
      </w:r>
      <w:r>
        <w:rPr>
          <w:i/>
          <w:color w:val="2B2E30"/>
          <w:sz w:val="20"/>
        </w:rPr>
        <w:t>в</w:t>
      </w:r>
      <w:r>
        <w:rPr>
          <w:i/>
          <w:color w:val="2B2E30"/>
          <w:spacing w:val="-13"/>
          <w:sz w:val="20"/>
        </w:rPr>
        <w:t> </w:t>
      </w:r>
      <w:r>
        <w:rPr>
          <w:i/>
          <w:color w:val="2B2E30"/>
          <w:sz w:val="20"/>
        </w:rPr>
        <w:t>ситуаци- ях, когда они не знакомы с культурными правилами или нормами.</w:t>
      </w:r>
    </w:p>
    <w:p>
      <w:pPr>
        <w:spacing w:before="225"/>
        <w:ind w:left="303" w:right="303" w:firstLine="0"/>
        <w:jc w:val="center"/>
        <w:rPr>
          <w:b/>
          <w:sz w:val="20"/>
        </w:rPr>
      </w:pPr>
      <w:r>
        <w:rPr>
          <w:b/>
          <w:spacing w:val="-2"/>
          <w:sz w:val="20"/>
        </w:rPr>
        <w:t>АНКЕТА</w:t>
      </w:r>
    </w:p>
    <w:p>
      <w:pPr>
        <w:pStyle w:val="BodyText"/>
        <w:tabs>
          <w:tab w:pos="6144" w:val="left" w:leader="none"/>
        </w:tabs>
        <w:spacing w:before="166"/>
        <w:ind w:right="0" w:firstLine="0"/>
        <w:jc w:val="left"/>
      </w:pPr>
      <w:r>
        <w:rPr>
          <w:u w:val="single"/>
        </w:rPr>
        <w:tab/>
      </w:r>
      <w:r>
        <w:rPr/>
        <w:t>яилимаф</w:t>
      </w:r>
      <w:r>
        <w:rPr>
          <w:spacing w:val="-12"/>
        </w:rPr>
        <w:t> </w:t>
      </w:r>
      <w:r>
        <w:rPr>
          <w:spacing w:val="-4"/>
        </w:rPr>
        <w:t>ашаВ</w:t>
      </w:r>
    </w:p>
    <w:p>
      <w:pPr>
        <w:pStyle w:val="BodyText"/>
        <w:tabs>
          <w:tab w:pos="3340" w:val="left" w:leader="none"/>
        </w:tabs>
        <w:spacing w:before="110"/>
        <w:ind w:right="0" w:firstLine="0"/>
        <w:jc w:val="left"/>
      </w:pPr>
      <w:r>
        <w:rPr>
          <w:u w:val="single"/>
        </w:rPr>
        <w:tab/>
      </w:r>
      <w:r>
        <w:rPr/>
        <w:t>gatstrubeG</w:t>
      </w:r>
      <w:r>
        <w:rPr>
          <w:spacing w:val="45"/>
        </w:rPr>
        <w:t> </w:t>
      </w:r>
      <w:r>
        <w:rPr/>
        <w:t>огешав</w:t>
      </w:r>
      <w:r>
        <w:rPr>
          <w:spacing w:val="45"/>
        </w:rPr>
        <w:t> </w:t>
      </w:r>
      <w:r>
        <w:rPr/>
        <w:t>од</w:t>
      </w:r>
      <w:r>
        <w:rPr>
          <w:spacing w:val="46"/>
        </w:rPr>
        <w:t> </w:t>
      </w:r>
      <w:r>
        <w:rPr/>
        <w:t>ьсолатсо</w:t>
      </w:r>
      <w:r>
        <w:rPr>
          <w:spacing w:val="45"/>
        </w:rPr>
        <w:t> </w:t>
      </w:r>
      <w:r>
        <w:rPr/>
        <w:t>йенд</w:t>
      </w:r>
      <w:r>
        <w:rPr>
          <w:spacing w:val="46"/>
        </w:rPr>
        <w:t> </w:t>
      </w:r>
      <w:r>
        <w:rPr>
          <w:spacing w:val="-2"/>
        </w:rPr>
        <w:t>окьлокС</w:t>
      </w:r>
    </w:p>
    <w:p>
      <w:pPr>
        <w:pStyle w:val="BodyText"/>
        <w:tabs>
          <w:tab w:pos="5491" w:val="left" w:leader="none"/>
        </w:tabs>
        <w:spacing w:before="109"/>
        <w:ind w:left="191" w:right="0" w:firstLine="0"/>
        <w:jc w:val="left"/>
      </w:pPr>
      <w:r>
        <w:rPr>
          <w:u w:val="single"/>
        </w:rPr>
        <w:tab/>
      </w:r>
      <w:r>
        <w:rPr/>
        <w:t>еероК</w:t>
      </w:r>
      <w:r>
        <w:rPr>
          <w:spacing w:val="42"/>
        </w:rPr>
        <w:t> </w:t>
      </w:r>
      <w:r>
        <w:rPr/>
        <w:t>в</w:t>
      </w:r>
      <w:r>
        <w:rPr>
          <w:spacing w:val="44"/>
        </w:rPr>
        <w:t> </w:t>
      </w:r>
      <w:r>
        <w:rPr/>
        <w:t>тсарзов</w:t>
      </w:r>
      <w:r>
        <w:rPr>
          <w:spacing w:val="44"/>
        </w:rPr>
        <w:t> </w:t>
      </w:r>
      <w:r>
        <w:rPr>
          <w:spacing w:val="-5"/>
        </w:rPr>
        <w:t>шаВ</w:t>
      </w:r>
    </w:p>
    <w:p>
      <w:pPr>
        <w:pStyle w:val="BodyText"/>
        <w:tabs>
          <w:tab w:pos="5693" w:val="left" w:leader="none"/>
        </w:tabs>
        <w:spacing w:before="110"/>
        <w:ind w:left="191" w:right="0" w:firstLine="0"/>
        <w:jc w:val="left"/>
      </w:pPr>
      <w:r>
        <w:rPr>
          <w:u w:val="single"/>
        </w:rPr>
        <w:tab/>
      </w:r>
      <w:r>
        <w:rPr/>
        <w:t>акаидоз</w:t>
      </w:r>
      <w:r>
        <w:rPr>
          <w:spacing w:val="72"/>
          <w:w w:val="150"/>
        </w:rPr>
        <w:t> </w:t>
      </w:r>
      <w:r>
        <w:rPr/>
        <w:t>канз</w:t>
      </w:r>
      <w:r>
        <w:rPr>
          <w:spacing w:val="72"/>
          <w:w w:val="150"/>
        </w:rPr>
        <w:t> </w:t>
      </w:r>
      <w:r>
        <w:rPr>
          <w:spacing w:val="-5"/>
        </w:rPr>
        <w:t>шаВ</w:t>
      </w:r>
    </w:p>
    <w:p>
      <w:pPr>
        <w:pStyle w:val="BodyText"/>
        <w:tabs>
          <w:tab w:pos="1788" w:val="left" w:leader="none"/>
        </w:tabs>
        <w:spacing w:before="109"/>
        <w:ind w:left="191" w:right="0" w:firstLine="0"/>
        <w:jc w:val="left"/>
      </w:pPr>
      <w:r>
        <w:rPr>
          <w:u w:val="single"/>
        </w:rPr>
        <w:tab/>
      </w:r>
      <w:r>
        <w:rPr>
          <w:spacing w:val="-2"/>
        </w:rPr>
        <w:t>иинилйоксниретамопатарбогондорю-херытечили-итяпйешавямИ</w:t>
      </w:r>
    </w:p>
    <w:p>
      <w:pPr>
        <w:pStyle w:val="BodyText"/>
        <w:spacing w:after="0"/>
        <w:jc w:val="left"/>
        <w:sectPr>
          <w:pgSz w:w="8400" w:h="11910"/>
          <w:pgMar w:header="0" w:footer="530" w:top="400" w:bottom="740" w:left="425" w:right="425"/>
        </w:sectPr>
      </w:pPr>
    </w:p>
    <w:p>
      <w:pPr>
        <w:spacing w:before="80"/>
        <w:ind w:left="141" w:right="139" w:firstLine="0"/>
        <w:jc w:val="right"/>
        <w:rPr>
          <w:rFonts w:ascii="Georgia" w:hAnsi="Georgia"/>
          <w:sz w:val="18"/>
        </w:rPr>
      </w:pPr>
      <w:bookmarkStart w:name="_bookmark90" w:id="92"/>
      <w:bookmarkEnd w:id="92"/>
      <w:r>
        <w:rPr/>
      </w:r>
      <w:r>
        <w:rPr>
          <w:rFonts w:ascii="Georgia" w:hAnsi="Georgia"/>
          <w:color w:val="231F20"/>
          <w:spacing w:val="-2"/>
          <w:sz w:val="18"/>
        </w:rPr>
        <w:t>Раздел</w:t>
      </w:r>
      <w:r>
        <w:rPr>
          <w:rFonts w:ascii="Georgia" w:hAnsi="Georgia"/>
          <w:color w:val="231F20"/>
          <w:spacing w:val="-5"/>
          <w:sz w:val="18"/>
        </w:rPr>
        <w:t> 4.</w:t>
      </w:r>
    </w:p>
    <w:p>
      <w:pPr>
        <w:numPr>
          <w:ilvl w:val="2"/>
          <w:numId w:val="264"/>
        </w:numPr>
        <w:tabs>
          <w:tab w:pos="2633" w:val="left" w:leader="none"/>
          <w:tab w:pos="2732" w:val="left" w:leader="none"/>
        </w:tabs>
        <w:spacing w:line="235" w:lineRule="auto" w:before="113"/>
        <w:ind w:left="2633" w:right="2231" w:hanging="401"/>
        <w:jc w:val="left"/>
        <w:rPr>
          <w:b/>
          <w:sz w:val="20"/>
        </w:rPr>
      </w:pPr>
      <w:r>
        <w:rPr>
          <w:b/>
          <w:color w:val="231F20"/>
          <w:sz w:val="20"/>
        </w:rPr>
        <w:t>Тематические</w:t>
      </w:r>
      <w:r>
        <w:rPr>
          <w:b/>
          <w:color w:val="231F20"/>
          <w:spacing w:val="-13"/>
          <w:sz w:val="20"/>
        </w:rPr>
        <w:t> </w:t>
      </w:r>
      <w:r>
        <w:rPr>
          <w:b/>
          <w:color w:val="231F20"/>
          <w:sz w:val="20"/>
        </w:rPr>
        <w:t>активности</w:t>
      </w:r>
      <w:r>
        <w:rPr>
          <w:b/>
          <w:color w:val="231F20"/>
          <w:spacing w:val="-12"/>
          <w:sz w:val="20"/>
        </w:rPr>
        <w:t> </w:t>
      </w:r>
      <w:r>
        <w:rPr>
          <w:b/>
          <w:color w:val="231F20"/>
          <w:sz w:val="20"/>
        </w:rPr>
        <w:t>2. Осознание идентичности</w:t>
      </w:r>
    </w:p>
    <w:p>
      <w:pPr>
        <w:spacing w:before="110"/>
        <w:ind w:left="2828" w:right="0" w:firstLine="0"/>
        <w:jc w:val="left"/>
        <w:rPr>
          <w:sz w:val="20"/>
        </w:rPr>
      </w:pPr>
      <w:r>
        <w:rPr>
          <w:b/>
          <w:color w:val="231F20"/>
          <w:spacing w:val="-2"/>
          <w:sz w:val="20"/>
        </w:rPr>
        <w:t>«Языковой</w:t>
      </w:r>
      <w:r>
        <w:rPr>
          <w:b/>
          <w:color w:val="231F20"/>
          <w:spacing w:val="2"/>
          <w:sz w:val="20"/>
        </w:rPr>
        <w:t> </w:t>
      </w:r>
      <w:r>
        <w:rPr>
          <w:b/>
          <w:color w:val="231F20"/>
          <w:spacing w:val="-2"/>
          <w:sz w:val="20"/>
        </w:rPr>
        <w:t>портрет</w:t>
      </w:r>
      <w:r>
        <w:rPr>
          <w:color w:val="231F20"/>
          <w:spacing w:val="-2"/>
          <w:sz w:val="20"/>
        </w:rPr>
        <w:t>»</w:t>
      </w:r>
    </w:p>
    <w:p>
      <w:pPr>
        <w:spacing w:line="235" w:lineRule="auto" w:before="114"/>
        <w:ind w:left="2095" w:right="139" w:firstLine="415"/>
        <w:jc w:val="right"/>
        <w:rPr>
          <w:i/>
          <w:sz w:val="20"/>
        </w:rPr>
      </w:pPr>
      <w:r>
        <w:rPr>
          <w:b/>
          <w:i/>
          <w:color w:val="231F20"/>
          <w:sz w:val="20"/>
        </w:rPr>
        <w:t>Источник:</w:t>
      </w:r>
      <w:r>
        <w:rPr>
          <w:b/>
          <w:i/>
          <w:color w:val="231F20"/>
          <w:spacing w:val="-10"/>
          <w:sz w:val="20"/>
        </w:rPr>
        <w:t> </w:t>
      </w:r>
      <w:r>
        <w:rPr>
          <w:i/>
          <w:color w:val="231F20"/>
          <w:sz w:val="20"/>
        </w:rPr>
        <w:t>Camila</w:t>
      </w:r>
      <w:r>
        <w:rPr>
          <w:i/>
          <w:color w:val="231F20"/>
          <w:spacing w:val="-10"/>
          <w:sz w:val="20"/>
        </w:rPr>
        <w:t> </w:t>
      </w:r>
      <w:r>
        <w:rPr>
          <w:i/>
          <w:color w:val="231F20"/>
          <w:sz w:val="20"/>
        </w:rPr>
        <w:t>Tabaro</w:t>
      </w:r>
      <w:r>
        <w:rPr>
          <w:i/>
          <w:color w:val="231F20"/>
          <w:spacing w:val="-10"/>
          <w:sz w:val="20"/>
        </w:rPr>
        <w:t> </w:t>
      </w:r>
      <w:r>
        <w:rPr>
          <w:i/>
          <w:color w:val="231F20"/>
          <w:sz w:val="20"/>
        </w:rPr>
        <w:t>Soares,</w:t>
      </w:r>
      <w:r>
        <w:rPr>
          <w:i/>
          <w:color w:val="231F20"/>
          <w:spacing w:val="-10"/>
          <w:sz w:val="20"/>
        </w:rPr>
        <w:t> </w:t>
      </w:r>
      <w:r>
        <w:rPr>
          <w:i/>
          <w:color w:val="231F20"/>
          <w:sz w:val="20"/>
        </w:rPr>
        <w:t>Joana</w:t>
      </w:r>
      <w:r>
        <w:rPr>
          <w:i/>
          <w:color w:val="231F20"/>
          <w:spacing w:val="-10"/>
          <w:sz w:val="20"/>
        </w:rPr>
        <w:t> </w:t>
      </w:r>
      <w:r>
        <w:rPr>
          <w:i/>
          <w:color w:val="231F20"/>
          <w:sz w:val="20"/>
        </w:rPr>
        <w:t>Duarte</w:t>
      </w:r>
      <w:r>
        <w:rPr>
          <w:i/>
          <w:color w:val="231F20"/>
          <w:spacing w:val="-10"/>
          <w:sz w:val="20"/>
        </w:rPr>
        <w:t> </w:t>
      </w:r>
      <w:r>
        <w:rPr>
          <w:i/>
          <w:color w:val="231F20"/>
          <w:sz w:val="20"/>
        </w:rPr>
        <w:t>&amp;</w:t>
      </w:r>
      <w:r>
        <w:rPr>
          <w:i/>
          <w:color w:val="231F20"/>
          <w:spacing w:val="-10"/>
          <w:sz w:val="20"/>
        </w:rPr>
        <w:t> </w:t>
      </w:r>
      <w:r>
        <w:rPr>
          <w:i/>
          <w:color w:val="231F20"/>
          <w:sz w:val="20"/>
        </w:rPr>
        <w:t>Mirjam Günther-van der Meij (2021) ‘Red is the colour of the heart’: making</w:t>
      </w:r>
      <w:r>
        <w:rPr>
          <w:i/>
          <w:color w:val="231F20"/>
          <w:spacing w:val="-12"/>
          <w:sz w:val="20"/>
        </w:rPr>
        <w:t> </w:t>
      </w:r>
      <w:r>
        <w:rPr>
          <w:i/>
          <w:color w:val="231F20"/>
          <w:sz w:val="20"/>
        </w:rPr>
        <w:t>young</w:t>
      </w:r>
      <w:r>
        <w:rPr>
          <w:i/>
          <w:color w:val="231F20"/>
          <w:spacing w:val="-12"/>
          <w:sz w:val="20"/>
        </w:rPr>
        <w:t> </w:t>
      </w:r>
      <w:r>
        <w:rPr>
          <w:i/>
          <w:color w:val="231F20"/>
          <w:sz w:val="20"/>
        </w:rPr>
        <w:t>children’s</w:t>
      </w:r>
      <w:r>
        <w:rPr>
          <w:i/>
          <w:color w:val="231F20"/>
          <w:spacing w:val="-12"/>
          <w:sz w:val="20"/>
        </w:rPr>
        <w:t> </w:t>
      </w:r>
      <w:r>
        <w:rPr>
          <w:i/>
          <w:color w:val="231F20"/>
          <w:sz w:val="20"/>
        </w:rPr>
        <w:t>multilingualism</w:t>
      </w:r>
      <w:r>
        <w:rPr>
          <w:i/>
          <w:color w:val="231F20"/>
          <w:spacing w:val="-12"/>
          <w:sz w:val="20"/>
        </w:rPr>
        <w:t> </w:t>
      </w:r>
      <w:r>
        <w:rPr>
          <w:i/>
          <w:color w:val="231F20"/>
          <w:sz w:val="20"/>
        </w:rPr>
        <w:t>visible</w:t>
      </w:r>
      <w:r>
        <w:rPr>
          <w:i/>
          <w:color w:val="231F20"/>
          <w:spacing w:val="-12"/>
          <w:sz w:val="20"/>
        </w:rPr>
        <w:t> </w:t>
      </w:r>
      <w:r>
        <w:rPr>
          <w:i/>
          <w:color w:val="231F20"/>
          <w:sz w:val="20"/>
        </w:rPr>
        <w:t>through</w:t>
      </w:r>
      <w:r>
        <w:rPr>
          <w:i/>
          <w:color w:val="231F20"/>
          <w:spacing w:val="-12"/>
          <w:sz w:val="20"/>
        </w:rPr>
        <w:t> </w:t>
      </w:r>
      <w:r>
        <w:rPr>
          <w:i/>
          <w:color w:val="231F20"/>
          <w:sz w:val="20"/>
        </w:rPr>
        <w:t>language portraits, Language and Education, 35:1, 22-41,</w:t>
      </w:r>
    </w:p>
    <w:p>
      <w:pPr>
        <w:spacing w:line="229" w:lineRule="exact" w:before="0"/>
        <w:ind w:left="141" w:right="139" w:firstLine="0"/>
        <w:jc w:val="right"/>
        <w:rPr>
          <w:i/>
          <w:sz w:val="20"/>
        </w:rPr>
      </w:pPr>
      <w:r>
        <w:rPr>
          <w:i/>
          <w:color w:val="231F20"/>
          <w:sz w:val="20"/>
        </w:rPr>
        <w:t>DOI: </w:t>
      </w:r>
      <w:r>
        <w:rPr>
          <w:i/>
          <w:color w:val="231F20"/>
          <w:spacing w:val="-2"/>
          <w:sz w:val="20"/>
        </w:rPr>
        <w:t>10.1080/09500782.2020.1833911</w:t>
      </w:r>
    </w:p>
    <w:p>
      <w:pPr>
        <w:pStyle w:val="BodyText"/>
        <w:spacing w:line="228" w:lineRule="exact" w:before="109"/>
        <w:ind w:left="425" w:right="0" w:firstLine="0"/>
        <w:jc w:val="left"/>
      </w:pPr>
      <w:r>
        <w:rPr>
          <w:spacing w:val="-2"/>
        </w:rPr>
        <w:t>М</w:t>
      </w:r>
      <w:r>
        <w:rPr>
          <w:i/>
          <w:spacing w:val="-2"/>
        </w:rPr>
        <w:t>атериалы:</w:t>
      </w:r>
      <w:r>
        <w:rPr>
          <w:i/>
          <w:spacing w:val="-10"/>
        </w:rPr>
        <w:t> </w:t>
      </w:r>
      <w:r>
        <w:rPr>
          <w:color w:val="231F20"/>
          <w:spacing w:val="-2"/>
        </w:rPr>
        <w:t>бумажные</w:t>
      </w:r>
      <w:r>
        <w:rPr>
          <w:color w:val="231F20"/>
          <w:spacing w:val="-9"/>
        </w:rPr>
        <w:t> </w:t>
      </w:r>
      <w:r>
        <w:rPr>
          <w:color w:val="231F20"/>
          <w:spacing w:val="-2"/>
        </w:rPr>
        <w:t>фигурки</w:t>
      </w:r>
      <w:r>
        <w:rPr>
          <w:color w:val="231F20"/>
          <w:spacing w:val="-11"/>
        </w:rPr>
        <w:t> </w:t>
      </w:r>
      <w:r>
        <w:rPr>
          <w:color w:val="231F20"/>
          <w:spacing w:val="-2"/>
        </w:rPr>
        <w:t>человечков,</w:t>
      </w:r>
      <w:r>
        <w:rPr>
          <w:color w:val="231F20"/>
          <w:spacing w:val="-9"/>
        </w:rPr>
        <w:t> </w:t>
      </w:r>
      <w:r>
        <w:rPr>
          <w:color w:val="231F20"/>
          <w:spacing w:val="-2"/>
        </w:rPr>
        <w:t>цветные</w:t>
      </w:r>
      <w:r>
        <w:rPr>
          <w:color w:val="231F20"/>
          <w:spacing w:val="-10"/>
        </w:rPr>
        <w:t> </w:t>
      </w:r>
      <w:r>
        <w:rPr>
          <w:color w:val="231F20"/>
          <w:spacing w:val="-2"/>
        </w:rPr>
        <w:t>карандаши</w:t>
      </w:r>
      <w:r>
        <w:rPr>
          <w:color w:val="231F20"/>
          <w:spacing w:val="-10"/>
        </w:rPr>
        <w:t> </w:t>
      </w:r>
      <w:r>
        <w:rPr>
          <w:color w:val="231F20"/>
          <w:spacing w:val="-2"/>
        </w:rPr>
        <w:t>или</w:t>
      </w:r>
      <w:r>
        <w:rPr>
          <w:color w:val="231F20"/>
          <w:spacing w:val="-10"/>
        </w:rPr>
        <w:t> </w:t>
      </w:r>
      <w:r>
        <w:rPr>
          <w:color w:val="231F20"/>
          <w:spacing w:val="-2"/>
        </w:rPr>
        <w:t>фломастеры.</w:t>
      </w:r>
    </w:p>
    <w:p>
      <w:pPr>
        <w:pStyle w:val="BodyText"/>
        <w:spacing w:line="226" w:lineRule="exact"/>
        <w:ind w:left="425" w:right="0" w:firstLine="0"/>
        <w:jc w:val="left"/>
      </w:pPr>
      <w:r>
        <w:rPr>
          <w:color w:val="231F20"/>
          <w:spacing w:val="-2"/>
        </w:rPr>
        <w:t>Инструкция</w:t>
      </w:r>
    </w:p>
    <w:p>
      <w:pPr>
        <w:pStyle w:val="ListParagraph"/>
        <w:numPr>
          <w:ilvl w:val="2"/>
          <w:numId w:val="270"/>
        </w:numPr>
        <w:tabs>
          <w:tab w:pos="592" w:val="left" w:leader="none"/>
        </w:tabs>
        <w:spacing w:line="235" w:lineRule="auto" w:before="2" w:after="0"/>
        <w:ind w:left="141" w:right="139" w:firstLine="283"/>
        <w:jc w:val="both"/>
        <w:rPr>
          <w:color w:val="231F20"/>
          <w:sz w:val="20"/>
        </w:rPr>
      </w:pPr>
      <w:r>
        <w:rPr>
          <w:i/>
          <w:color w:val="231F20"/>
          <w:sz w:val="20"/>
        </w:rPr>
        <w:t>Вокруг каждого из нас существует множество разных языков. Это язык, на котором</w:t>
      </w:r>
      <w:r>
        <w:rPr>
          <w:i/>
          <w:color w:val="231F20"/>
          <w:spacing w:val="-6"/>
          <w:sz w:val="20"/>
        </w:rPr>
        <w:t> </w:t>
      </w:r>
      <w:r>
        <w:rPr>
          <w:i/>
          <w:color w:val="231F20"/>
          <w:sz w:val="20"/>
        </w:rPr>
        <w:t>говорим</w:t>
      </w:r>
      <w:r>
        <w:rPr>
          <w:i/>
          <w:color w:val="231F20"/>
          <w:spacing w:val="-6"/>
          <w:sz w:val="20"/>
        </w:rPr>
        <w:t> </w:t>
      </w:r>
      <w:r>
        <w:rPr>
          <w:i/>
          <w:color w:val="231F20"/>
          <w:sz w:val="20"/>
        </w:rPr>
        <w:t>мы</w:t>
      </w:r>
      <w:r>
        <w:rPr>
          <w:i/>
          <w:color w:val="231F20"/>
          <w:spacing w:val="-6"/>
          <w:sz w:val="20"/>
        </w:rPr>
        <w:t> </w:t>
      </w:r>
      <w:r>
        <w:rPr>
          <w:i/>
          <w:color w:val="231F20"/>
          <w:sz w:val="20"/>
        </w:rPr>
        <w:t>сами,</w:t>
      </w:r>
      <w:r>
        <w:rPr>
          <w:i/>
          <w:color w:val="231F20"/>
          <w:spacing w:val="-6"/>
          <w:sz w:val="20"/>
        </w:rPr>
        <w:t> </w:t>
      </w:r>
      <w:r>
        <w:rPr>
          <w:i/>
          <w:color w:val="231F20"/>
          <w:sz w:val="20"/>
        </w:rPr>
        <w:t>языки,</w:t>
      </w:r>
      <w:r>
        <w:rPr>
          <w:i/>
          <w:color w:val="231F20"/>
          <w:spacing w:val="-6"/>
          <w:sz w:val="20"/>
        </w:rPr>
        <w:t> </w:t>
      </w:r>
      <w:r>
        <w:rPr>
          <w:i/>
          <w:color w:val="231F20"/>
          <w:sz w:val="20"/>
        </w:rPr>
        <w:t>на</w:t>
      </w:r>
      <w:r>
        <w:rPr>
          <w:i/>
          <w:color w:val="231F20"/>
          <w:spacing w:val="-6"/>
          <w:sz w:val="20"/>
        </w:rPr>
        <w:t> </w:t>
      </w:r>
      <w:r>
        <w:rPr>
          <w:i/>
          <w:color w:val="231F20"/>
          <w:sz w:val="20"/>
        </w:rPr>
        <w:t>которых</w:t>
      </w:r>
      <w:r>
        <w:rPr>
          <w:i/>
          <w:color w:val="231F20"/>
          <w:spacing w:val="-6"/>
          <w:sz w:val="20"/>
        </w:rPr>
        <w:t> </w:t>
      </w:r>
      <w:r>
        <w:rPr>
          <w:i/>
          <w:color w:val="231F20"/>
          <w:sz w:val="20"/>
        </w:rPr>
        <w:t>говорили</w:t>
      </w:r>
      <w:r>
        <w:rPr>
          <w:i/>
          <w:color w:val="231F20"/>
          <w:spacing w:val="-6"/>
          <w:sz w:val="20"/>
        </w:rPr>
        <w:t> </w:t>
      </w:r>
      <w:r>
        <w:rPr>
          <w:i/>
          <w:color w:val="231F20"/>
          <w:sz w:val="20"/>
        </w:rPr>
        <w:t>наши</w:t>
      </w:r>
      <w:r>
        <w:rPr>
          <w:i/>
          <w:color w:val="231F20"/>
          <w:spacing w:val="-6"/>
          <w:sz w:val="20"/>
        </w:rPr>
        <w:t> </w:t>
      </w:r>
      <w:r>
        <w:rPr>
          <w:i/>
          <w:color w:val="231F20"/>
          <w:sz w:val="20"/>
        </w:rPr>
        <w:t>родители</w:t>
      </w:r>
      <w:r>
        <w:rPr>
          <w:i/>
          <w:color w:val="231F20"/>
          <w:spacing w:val="-6"/>
          <w:sz w:val="20"/>
        </w:rPr>
        <w:t> </w:t>
      </w:r>
      <w:r>
        <w:rPr>
          <w:i/>
          <w:color w:val="231F20"/>
          <w:sz w:val="20"/>
        </w:rPr>
        <w:t>или</w:t>
      </w:r>
      <w:r>
        <w:rPr>
          <w:i/>
          <w:color w:val="231F20"/>
          <w:spacing w:val="-6"/>
          <w:sz w:val="20"/>
        </w:rPr>
        <w:t> </w:t>
      </w:r>
      <w:r>
        <w:rPr>
          <w:i/>
          <w:color w:val="231F20"/>
          <w:sz w:val="20"/>
        </w:rPr>
        <w:t>бабушки с дедушками, языки, на которых говорят наши друзья или которые мы сами хотим выучить.</w:t>
      </w:r>
      <w:r>
        <w:rPr>
          <w:i/>
          <w:color w:val="231F20"/>
          <w:spacing w:val="-7"/>
          <w:sz w:val="20"/>
        </w:rPr>
        <w:t> </w:t>
      </w:r>
      <w:r>
        <w:rPr>
          <w:i/>
          <w:color w:val="231F20"/>
          <w:sz w:val="20"/>
        </w:rPr>
        <w:t>Сейчас</w:t>
      </w:r>
      <w:r>
        <w:rPr>
          <w:i/>
          <w:color w:val="231F20"/>
          <w:spacing w:val="-7"/>
          <w:sz w:val="20"/>
        </w:rPr>
        <w:t> </w:t>
      </w:r>
      <w:r>
        <w:rPr>
          <w:i/>
          <w:color w:val="231F20"/>
          <w:sz w:val="20"/>
        </w:rPr>
        <w:t>мы</w:t>
      </w:r>
      <w:r>
        <w:rPr>
          <w:i/>
          <w:color w:val="231F20"/>
          <w:spacing w:val="-7"/>
          <w:sz w:val="20"/>
        </w:rPr>
        <w:t> </w:t>
      </w:r>
      <w:r>
        <w:rPr>
          <w:i/>
          <w:color w:val="231F20"/>
          <w:sz w:val="20"/>
        </w:rPr>
        <w:t>будем</w:t>
      </w:r>
      <w:r>
        <w:rPr>
          <w:i/>
          <w:color w:val="231F20"/>
          <w:spacing w:val="-7"/>
          <w:sz w:val="20"/>
        </w:rPr>
        <w:t> </w:t>
      </w:r>
      <w:r>
        <w:rPr>
          <w:i/>
          <w:color w:val="231F20"/>
          <w:sz w:val="20"/>
        </w:rPr>
        <w:t>делать</w:t>
      </w:r>
      <w:r>
        <w:rPr>
          <w:i/>
          <w:color w:val="231F20"/>
          <w:spacing w:val="-7"/>
          <w:sz w:val="20"/>
        </w:rPr>
        <w:t> </w:t>
      </w:r>
      <w:r>
        <w:rPr>
          <w:i/>
          <w:color w:val="231F20"/>
          <w:sz w:val="20"/>
        </w:rPr>
        <w:t>языковые</w:t>
      </w:r>
      <w:r>
        <w:rPr>
          <w:i/>
          <w:color w:val="231F20"/>
          <w:spacing w:val="-7"/>
          <w:sz w:val="20"/>
        </w:rPr>
        <w:t> </w:t>
      </w:r>
      <w:r>
        <w:rPr>
          <w:i/>
          <w:color w:val="231F20"/>
          <w:sz w:val="20"/>
        </w:rPr>
        <w:t>портреты.</w:t>
      </w:r>
      <w:r>
        <w:rPr>
          <w:i/>
          <w:color w:val="231F20"/>
          <w:spacing w:val="-7"/>
          <w:sz w:val="20"/>
        </w:rPr>
        <w:t> </w:t>
      </w:r>
      <w:r>
        <w:rPr>
          <w:i/>
          <w:color w:val="231F20"/>
          <w:sz w:val="20"/>
        </w:rPr>
        <w:t>Подумайте,</w:t>
      </w:r>
      <w:r>
        <w:rPr>
          <w:i/>
          <w:color w:val="231F20"/>
          <w:spacing w:val="-7"/>
          <w:sz w:val="20"/>
        </w:rPr>
        <w:t> </w:t>
      </w:r>
      <w:r>
        <w:rPr>
          <w:i/>
          <w:color w:val="231F20"/>
          <w:sz w:val="20"/>
        </w:rPr>
        <w:t>какие</w:t>
      </w:r>
      <w:r>
        <w:rPr>
          <w:i/>
          <w:color w:val="231F20"/>
          <w:spacing w:val="-7"/>
          <w:sz w:val="20"/>
        </w:rPr>
        <w:t> </w:t>
      </w:r>
      <w:r>
        <w:rPr>
          <w:i/>
          <w:color w:val="231F20"/>
          <w:sz w:val="20"/>
        </w:rPr>
        <w:t>языки</w:t>
      </w:r>
      <w:r>
        <w:rPr>
          <w:i/>
          <w:color w:val="231F20"/>
          <w:spacing w:val="-7"/>
          <w:sz w:val="20"/>
        </w:rPr>
        <w:t> </w:t>
      </w:r>
      <w:r>
        <w:rPr>
          <w:i/>
          <w:color w:val="231F20"/>
          <w:sz w:val="20"/>
        </w:rPr>
        <w:t>вы бы хотели включить свой портрет. Выберите цвет для каждого языка. Возьмите фигурку</w:t>
      </w:r>
      <w:r>
        <w:rPr>
          <w:i/>
          <w:color w:val="231F20"/>
          <w:spacing w:val="-10"/>
          <w:sz w:val="20"/>
        </w:rPr>
        <w:t> </w:t>
      </w:r>
      <w:r>
        <w:rPr>
          <w:i/>
          <w:color w:val="231F20"/>
          <w:sz w:val="20"/>
        </w:rPr>
        <w:t>и</w:t>
      </w:r>
      <w:r>
        <w:rPr>
          <w:i/>
          <w:color w:val="231F20"/>
          <w:spacing w:val="-10"/>
          <w:sz w:val="20"/>
        </w:rPr>
        <w:t> </w:t>
      </w:r>
      <w:r>
        <w:rPr>
          <w:i/>
          <w:color w:val="231F20"/>
          <w:sz w:val="20"/>
        </w:rPr>
        <w:t>раскрасьте</w:t>
      </w:r>
      <w:r>
        <w:rPr>
          <w:i/>
          <w:color w:val="231F20"/>
          <w:spacing w:val="-10"/>
          <w:sz w:val="20"/>
        </w:rPr>
        <w:t> </w:t>
      </w:r>
      <w:r>
        <w:rPr>
          <w:i/>
          <w:color w:val="231F20"/>
          <w:sz w:val="20"/>
        </w:rPr>
        <w:t>ее</w:t>
      </w:r>
      <w:r>
        <w:rPr>
          <w:i/>
          <w:color w:val="231F20"/>
          <w:spacing w:val="-10"/>
          <w:sz w:val="20"/>
        </w:rPr>
        <w:t> </w:t>
      </w:r>
      <w:r>
        <w:rPr>
          <w:i/>
          <w:color w:val="231F20"/>
          <w:sz w:val="20"/>
        </w:rPr>
        <w:t>так,</w:t>
      </w:r>
      <w:r>
        <w:rPr>
          <w:i/>
          <w:color w:val="231F20"/>
          <w:spacing w:val="-10"/>
          <w:sz w:val="20"/>
        </w:rPr>
        <w:t> </w:t>
      </w:r>
      <w:r>
        <w:rPr>
          <w:i/>
          <w:color w:val="231F20"/>
          <w:sz w:val="20"/>
        </w:rPr>
        <w:t>чтобы</w:t>
      </w:r>
      <w:r>
        <w:rPr>
          <w:i/>
          <w:color w:val="231F20"/>
          <w:spacing w:val="-10"/>
          <w:sz w:val="20"/>
        </w:rPr>
        <w:t> </w:t>
      </w:r>
      <w:r>
        <w:rPr>
          <w:i/>
          <w:color w:val="231F20"/>
          <w:sz w:val="20"/>
        </w:rPr>
        <w:t>включить</w:t>
      </w:r>
      <w:r>
        <w:rPr>
          <w:i/>
          <w:color w:val="231F20"/>
          <w:spacing w:val="-10"/>
          <w:sz w:val="20"/>
        </w:rPr>
        <w:t> </w:t>
      </w:r>
      <w:r>
        <w:rPr>
          <w:i/>
          <w:color w:val="231F20"/>
          <w:sz w:val="20"/>
        </w:rPr>
        <w:t>туда</w:t>
      </w:r>
      <w:r>
        <w:rPr>
          <w:i/>
          <w:color w:val="231F20"/>
          <w:spacing w:val="-10"/>
          <w:sz w:val="20"/>
        </w:rPr>
        <w:t> </w:t>
      </w:r>
      <w:r>
        <w:rPr>
          <w:i/>
          <w:color w:val="231F20"/>
          <w:sz w:val="20"/>
        </w:rPr>
        <w:t>цвета</w:t>
      </w:r>
      <w:r>
        <w:rPr>
          <w:i/>
          <w:color w:val="231F20"/>
          <w:spacing w:val="-10"/>
          <w:sz w:val="20"/>
        </w:rPr>
        <w:t> </w:t>
      </w:r>
      <w:r>
        <w:rPr>
          <w:i/>
          <w:color w:val="231F20"/>
          <w:sz w:val="20"/>
        </w:rPr>
        <w:t>всех</w:t>
      </w:r>
      <w:r>
        <w:rPr>
          <w:i/>
          <w:color w:val="231F20"/>
          <w:spacing w:val="-10"/>
          <w:sz w:val="20"/>
        </w:rPr>
        <w:t> </w:t>
      </w:r>
      <w:r>
        <w:rPr>
          <w:i/>
          <w:color w:val="231F20"/>
          <w:sz w:val="20"/>
        </w:rPr>
        <w:t>языков,</w:t>
      </w:r>
      <w:r>
        <w:rPr>
          <w:i/>
          <w:color w:val="231F20"/>
          <w:spacing w:val="-10"/>
          <w:sz w:val="20"/>
        </w:rPr>
        <w:t> </w:t>
      </w:r>
      <w:r>
        <w:rPr>
          <w:i/>
          <w:color w:val="231F20"/>
          <w:sz w:val="20"/>
        </w:rPr>
        <w:t>которые</w:t>
      </w:r>
      <w:r>
        <w:rPr>
          <w:i/>
          <w:color w:val="231F20"/>
          <w:spacing w:val="-10"/>
          <w:sz w:val="20"/>
        </w:rPr>
        <w:t> </w:t>
      </w:r>
      <w:r>
        <w:rPr>
          <w:i/>
          <w:color w:val="231F20"/>
          <w:sz w:val="20"/>
        </w:rPr>
        <w:t>вас </w:t>
      </w:r>
      <w:r>
        <w:rPr>
          <w:i/>
          <w:color w:val="231F20"/>
          <w:spacing w:val="-2"/>
          <w:sz w:val="20"/>
        </w:rPr>
        <w:t>окружают.</w:t>
      </w:r>
    </w:p>
    <w:p>
      <w:pPr>
        <w:spacing w:before="114"/>
        <w:ind w:left="303" w:right="303" w:firstLine="0"/>
        <w:jc w:val="center"/>
        <w:rPr>
          <w:b/>
          <w:sz w:val="20"/>
        </w:rPr>
      </w:pPr>
      <w:r>
        <w:rPr>
          <w:b/>
          <w:color w:val="231F20"/>
          <w:sz w:val="20"/>
        </w:rPr>
        <w:t>«Кто</w:t>
      </w:r>
      <w:r>
        <w:rPr>
          <w:b/>
          <w:color w:val="231F20"/>
          <w:spacing w:val="-9"/>
          <w:sz w:val="20"/>
        </w:rPr>
        <w:t> </w:t>
      </w:r>
      <w:r>
        <w:rPr>
          <w:b/>
          <w:color w:val="231F20"/>
          <w:spacing w:val="-5"/>
          <w:sz w:val="20"/>
        </w:rPr>
        <w:t>Я?»</w:t>
      </w:r>
    </w:p>
    <w:p>
      <w:pPr>
        <w:spacing w:before="109"/>
        <w:ind w:left="141" w:right="139" w:firstLine="0"/>
        <w:jc w:val="right"/>
        <w:rPr>
          <w:i/>
          <w:sz w:val="20"/>
        </w:rPr>
      </w:pPr>
      <w:r>
        <w:rPr>
          <w:b/>
          <w:i/>
          <w:color w:val="231F20"/>
          <w:sz w:val="20"/>
        </w:rPr>
        <w:t>Источник</w:t>
      </w:r>
      <w:r>
        <w:rPr>
          <w:i/>
          <w:color w:val="231F20"/>
          <w:sz w:val="20"/>
        </w:rPr>
        <w:t>:</w:t>
      </w:r>
      <w:r>
        <w:rPr>
          <w:i/>
          <w:color w:val="231F20"/>
          <w:spacing w:val="-7"/>
          <w:sz w:val="20"/>
        </w:rPr>
        <w:t> </w:t>
      </w:r>
      <w:r>
        <w:rPr>
          <w:i/>
          <w:color w:val="231F20"/>
          <w:sz w:val="20"/>
        </w:rPr>
        <w:t>модификация</w:t>
      </w:r>
      <w:r>
        <w:rPr>
          <w:i/>
          <w:color w:val="231F20"/>
          <w:spacing w:val="-6"/>
          <w:sz w:val="20"/>
        </w:rPr>
        <w:t> </w:t>
      </w:r>
      <w:r>
        <w:rPr>
          <w:i/>
          <w:color w:val="231F20"/>
          <w:sz w:val="20"/>
        </w:rPr>
        <w:t>М.Ю.</w:t>
      </w:r>
      <w:r>
        <w:rPr>
          <w:i/>
          <w:color w:val="231F20"/>
          <w:spacing w:val="-6"/>
          <w:sz w:val="20"/>
        </w:rPr>
        <w:t> </w:t>
      </w:r>
      <w:r>
        <w:rPr>
          <w:i/>
          <w:color w:val="231F20"/>
          <w:spacing w:val="-2"/>
          <w:sz w:val="20"/>
        </w:rPr>
        <w:t>Чибисовой</w:t>
      </w:r>
    </w:p>
    <w:p>
      <w:pPr>
        <w:pStyle w:val="BodyText"/>
        <w:spacing w:line="228" w:lineRule="exact" w:before="110"/>
        <w:ind w:firstLine="0"/>
        <w:jc w:val="right"/>
      </w:pPr>
      <w:r>
        <w:rPr>
          <w:color w:val="231F20"/>
        </w:rPr>
        <w:t>Участникам</w:t>
      </w:r>
      <w:r>
        <w:rPr>
          <w:color w:val="231F20"/>
          <w:spacing w:val="12"/>
        </w:rPr>
        <w:t> </w:t>
      </w:r>
      <w:r>
        <w:rPr>
          <w:color w:val="231F20"/>
        </w:rPr>
        <w:t>необходимо</w:t>
      </w:r>
      <w:r>
        <w:rPr>
          <w:color w:val="231F20"/>
          <w:spacing w:val="12"/>
        </w:rPr>
        <w:t> </w:t>
      </w:r>
      <w:r>
        <w:rPr>
          <w:color w:val="231F20"/>
        </w:rPr>
        <w:t>написать</w:t>
      </w:r>
      <w:r>
        <w:rPr>
          <w:color w:val="231F20"/>
          <w:spacing w:val="12"/>
        </w:rPr>
        <w:t> </w:t>
      </w:r>
      <w:r>
        <w:rPr>
          <w:color w:val="231F20"/>
        </w:rPr>
        <w:t>не</w:t>
      </w:r>
      <w:r>
        <w:rPr>
          <w:color w:val="231F20"/>
          <w:spacing w:val="13"/>
        </w:rPr>
        <w:t> </w:t>
      </w:r>
      <w:r>
        <w:rPr>
          <w:color w:val="231F20"/>
        </w:rPr>
        <w:t>менее</w:t>
      </w:r>
      <w:r>
        <w:rPr>
          <w:color w:val="231F20"/>
          <w:spacing w:val="12"/>
        </w:rPr>
        <w:t> </w:t>
      </w:r>
      <w:r>
        <w:rPr>
          <w:color w:val="231F20"/>
        </w:rPr>
        <w:t>10</w:t>
      </w:r>
      <w:r>
        <w:rPr>
          <w:color w:val="231F20"/>
          <w:spacing w:val="12"/>
        </w:rPr>
        <w:t> </w:t>
      </w:r>
      <w:r>
        <w:rPr>
          <w:color w:val="231F20"/>
        </w:rPr>
        <w:t>и</w:t>
      </w:r>
      <w:r>
        <w:rPr>
          <w:color w:val="231F20"/>
          <w:spacing w:val="12"/>
        </w:rPr>
        <w:t> </w:t>
      </w:r>
      <w:r>
        <w:rPr>
          <w:color w:val="231F20"/>
        </w:rPr>
        <w:t>не</w:t>
      </w:r>
      <w:r>
        <w:rPr>
          <w:color w:val="231F20"/>
          <w:spacing w:val="13"/>
        </w:rPr>
        <w:t> </w:t>
      </w:r>
      <w:r>
        <w:rPr>
          <w:color w:val="231F20"/>
        </w:rPr>
        <w:t>более</w:t>
      </w:r>
      <w:r>
        <w:rPr>
          <w:color w:val="231F20"/>
          <w:spacing w:val="12"/>
        </w:rPr>
        <w:t> </w:t>
      </w:r>
      <w:r>
        <w:rPr>
          <w:color w:val="231F20"/>
        </w:rPr>
        <w:t>20</w:t>
      </w:r>
      <w:r>
        <w:rPr>
          <w:color w:val="231F20"/>
          <w:spacing w:val="13"/>
        </w:rPr>
        <w:t> </w:t>
      </w:r>
      <w:r>
        <w:rPr>
          <w:color w:val="231F20"/>
        </w:rPr>
        <w:t>ответов</w:t>
      </w:r>
      <w:r>
        <w:rPr>
          <w:color w:val="231F20"/>
          <w:spacing w:val="12"/>
        </w:rPr>
        <w:t> </w:t>
      </w:r>
      <w:r>
        <w:rPr>
          <w:color w:val="231F20"/>
        </w:rPr>
        <w:t>на</w:t>
      </w:r>
      <w:r>
        <w:rPr>
          <w:color w:val="231F20"/>
          <w:spacing w:val="14"/>
        </w:rPr>
        <w:t> </w:t>
      </w:r>
      <w:r>
        <w:rPr>
          <w:color w:val="231F20"/>
          <w:spacing w:val="-2"/>
        </w:rPr>
        <w:t>вопрос:</w:t>
      </w:r>
    </w:p>
    <w:p>
      <w:pPr>
        <w:pStyle w:val="BodyText"/>
        <w:spacing w:line="228" w:lineRule="exact"/>
        <w:ind w:right="0" w:firstLine="0"/>
      </w:pPr>
      <w:r>
        <w:rPr>
          <w:color w:val="231F20"/>
        </w:rPr>
        <w:t>«Кто</w:t>
      </w:r>
      <w:r>
        <w:rPr>
          <w:color w:val="231F20"/>
          <w:spacing w:val="-11"/>
        </w:rPr>
        <w:t> </w:t>
      </w:r>
      <w:r>
        <w:rPr>
          <w:color w:val="231F20"/>
        </w:rPr>
        <w:t>я?».</w:t>
      </w:r>
      <w:r>
        <w:rPr>
          <w:color w:val="231F20"/>
          <w:spacing w:val="-8"/>
        </w:rPr>
        <w:t> </w:t>
      </w:r>
      <w:r>
        <w:rPr>
          <w:color w:val="231F20"/>
        </w:rPr>
        <w:t>Далее</w:t>
      </w:r>
      <w:r>
        <w:rPr>
          <w:color w:val="231F20"/>
          <w:spacing w:val="-8"/>
        </w:rPr>
        <w:t> </w:t>
      </w:r>
      <w:r>
        <w:rPr>
          <w:color w:val="231F20"/>
        </w:rPr>
        <w:t>возможны</w:t>
      </w:r>
      <w:r>
        <w:rPr>
          <w:color w:val="231F20"/>
          <w:spacing w:val="-8"/>
        </w:rPr>
        <w:t> </w:t>
      </w:r>
      <w:r>
        <w:rPr>
          <w:color w:val="231F20"/>
        </w:rPr>
        <w:t>несколько</w:t>
      </w:r>
      <w:r>
        <w:rPr>
          <w:color w:val="231F20"/>
          <w:spacing w:val="-8"/>
        </w:rPr>
        <w:t> </w:t>
      </w:r>
      <w:r>
        <w:rPr>
          <w:color w:val="231F20"/>
        </w:rPr>
        <w:t>вариантов</w:t>
      </w:r>
      <w:r>
        <w:rPr>
          <w:color w:val="231F20"/>
          <w:spacing w:val="-8"/>
        </w:rPr>
        <w:t> </w:t>
      </w:r>
      <w:r>
        <w:rPr>
          <w:color w:val="231F20"/>
        </w:rPr>
        <w:t>проведения</w:t>
      </w:r>
      <w:r>
        <w:rPr>
          <w:color w:val="231F20"/>
          <w:spacing w:val="-8"/>
        </w:rPr>
        <w:t> </w:t>
      </w:r>
      <w:r>
        <w:rPr>
          <w:color w:val="231F20"/>
          <w:spacing w:val="-2"/>
        </w:rPr>
        <w:t>упражнения.</w:t>
      </w:r>
    </w:p>
    <w:p>
      <w:pPr>
        <w:spacing w:line="228" w:lineRule="exact" w:before="109"/>
        <w:ind w:left="425" w:right="0" w:firstLine="0"/>
        <w:jc w:val="both"/>
        <w:rPr>
          <w:b/>
          <w:i/>
          <w:sz w:val="20"/>
        </w:rPr>
      </w:pPr>
      <w:r>
        <w:rPr>
          <w:b/>
          <w:i/>
          <w:color w:val="231F20"/>
          <w:sz w:val="20"/>
        </w:rPr>
        <w:t>Вариант </w:t>
      </w:r>
      <w:r>
        <w:rPr>
          <w:b/>
          <w:i/>
          <w:color w:val="231F20"/>
          <w:spacing w:val="-5"/>
          <w:sz w:val="20"/>
        </w:rPr>
        <w:t>1.</w:t>
      </w:r>
    </w:p>
    <w:p>
      <w:pPr>
        <w:pStyle w:val="BodyText"/>
        <w:spacing w:line="235" w:lineRule="auto" w:before="2"/>
      </w:pPr>
      <w:r>
        <w:rPr>
          <w:color w:val="231F20"/>
          <w:spacing w:val="-2"/>
        </w:rPr>
        <w:t>Участники</w:t>
      </w:r>
      <w:r>
        <w:rPr>
          <w:color w:val="231F20"/>
          <w:spacing w:val="-7"/>
        </w:rPr>
        <w:t> </w:t>
      </w:r>
      <w:r>
        <w:rPr>
          <w:color w:val="231F20"/>
          <w:spacing w:val="-2"/>
        </w:rPr>
        <w:t>называют</w:t>
      </w:r>
      <w:r>
        <w:rPr>
          <w:color w:val="231F20"/>
          <w:spacing w:val="-7"/>
        </w:rPr>
        <w:t> </w:t>
      </w:r>
      <w:r>
        <w:rPr>
          <w:color w:val="231F20"/>
          <w:spacing w:val="-2"/>
        </w:rPr>
        <w:t>по</w:t>
      </w:r>
      <w:r>
        <w:rPr>
          <w:color w:val="231F20"/>
          <w:spacing w:val="-7"/>
        </w:rPr>
        <w:t> </w:t>
      </w:r>
      <w:r>
        <w:rPr>
          <w:color w:val="231F20"/>
          <w:spacing w:val="-2"/>
        </w:rPr>
        <w:t>одному</w:t>
      </w:r>
      <w:r>
        <w:rPr>
          <w:color w:val="231F20"/>
          <w:spacing w:val="-7"/>
        </w:rPr>
        <w:t> </w:t>
      </w:r>
      <w:r>
        <w:rPr>
          <w:color w:val="231F20"/>
          <w:spacing w:val="-2"/>
        </w:rPr>
        <w:t>ответу,</w:t>
      </w:r>
      <w:r>
        <w:rPr>
          <w:color w:val="231F20"/>
          <w:spacing w:val="-7"/>
        </w:rPr>
        <w:t> </w:t>
      </w:r>
      <w:r>
        <w:rPr>
          <w:color w:val="231F20"/>
          <w:spacing w:val="-2"/>
        </w:rPr>
        <w:t>которые</w:t>
      </w:r>
      <w:r>
        <w:rPr>
          <w:color w:val="231F20"/>
          <w:spacing w:val="-7"/>
        </w:rPr>
        <w:t> </w:t>
      </w:r>
      <w:r>
        <w:rPr>
          <w:color w:val="231F20"/>
          <w:spacing w:val="-2"/>
        </w:rPr>
        <w:t>ведущий</w:t>
      </w:r>
      <w:r>
        <w:rPr>
          <w:color w:val="231F20"/>
          <w:spacing w:val="-7"/>
        </w:rPr>
        <w:t> </w:t>
      </w:r>
      <w:r>
        <w:rPr>
          <w:color w:val="231F20"/>
          <w:spacing w:val="-2"/>
        </w:rPr>
        <w:t>записывает</w:t>
      </w:r>
      <w:r>
        <w:rPr>
          <w:color w:val="231F20"/>
          <w:spacing w:val="-7"/>
        </w:rPr>
        <w:t> </w:t>
      </w:r>
      <w:r>
        <w:rPr>
          <w:color w:val="231F20"/>
          <w:spacing w:val="-2"/>
        </w:rPr>
        <w:t>на</w:t>
      </w:r>
      <w:r>
        <w:rPr>
          <w:color w:val="231F20"/>
          <w:spacing w:val="-7"/>
        </w:rPr>
        <w:t> </w:t>
      </w:r>
      <w:r>
        <w:rPr>
          <w:color w:val="231F20"/>
          <w:spacing w:val="-2"/>
        </w:rPr>
        <w:t>флип-чар- </w:t>
      </w:r>
      <w:r>
        <w:rPr>
          <w:color w:val="231F20"/>
        </w:rPr>
        <w:t>те.</w:t>
      </w:r>
      <w:r>
        <w:rPr>
          <w:color w:val="231F20"/>
          <w:spacing w:val="-4"/>
        </w:rPr>
        <w:t> </w:t>
      </w:r>
      <w:r>
        <w:rPr>
          <w:color w:val="231F20"/>
        </w:rPr>
        <w:t>Затем</w:t>
      </w:r>
      <w:r>
        <w:rPr>
          <w:color w:val="231F20"/>
          <w:spacing w:val="-4"/>
        </w:rPr>
        <w:t> </w:t>
      </w:r>
      <w:r>
        <w:rPr>
          <w:color w:val="231F20"/>
        </w:rPr>
        <w:t>ведущий</w:t>
      </w:r>
      <w:r>
        <w:rPr>
          <w:color w:val="231F20"/>
          <w:spacing w:val="-4"/>
        </w:rPr>
        <w:t> </w:t>
      </w:r>
      <w:r>
        <w:rPr>
          <w:color w:val="231F20"/>
        </w:rPr>
        <w:t>задает</w:t>
      </w:r>
      <w:r>
        <w:rPr>
          <w:color w:val="231F20"/>
          <w:spacing w:val="-5"/>
        </w:rPr>
        <w:t> </w:t>
      </w:r>
      <w:r>
        <w:rPr>
          <w:color w:val="231F20"/>
        </w:rPr>
        <w:t>вопрос</w:t>
      </w:r>
      <w:r>
        <w:rPr>
          <w:color w:val="231F20"/>
          <w:spacing w:val="-4"/>
        </w:rPr>
        <w:t> </w:t>
      </w:r>
      <w:r>
        <w:rPr>
          <w:color w:val="231F20"/>
        </w:rPr>
        <w:t>«Кто</w:t>
      </w:r>
      <w:r>
        <w:rPr>
          <w:color w:val="231F20"/>
          <w:spacing w:val="-4"/>
        </w:rPr>
        <w:t> </w:t>
      </w:r>
      <w:r>
        <w:rPr>
          <w:color w:val="231F20"/>
        </w:rPr>
        <w:t>считает</w:t>
      </w:r>
      <w:r>
        <w:rPr>
          <w:color w:val="231F20"/>
          <w:spacing w:val="-4"/>
        </w:rPr>
        <w:t> </w:t>
      </w:r>
      <w:r>
        <w:rPr>
          <w:color w:val="231F20"/>
        </w:rPr>
        <w:t>себя...»</w:t>
      </w:r>
      <w:r>
        <w:rPr>
          <w:color w:val="231F20"/>
          <w:spacing w:val="-5"/>
        </w:rPr>
        <w:t> </w:t>
      </w:r>
      <w:r>
        <w:rPr>
          <w:color w:val="231F20"/>
        </w:rPr>
        <w:t>и</w:t>
      </w:r>
      <w:r>
        <w:rPr>
          <w:color w:val="231F20"/>
          <w:spacing w:val="-4"/>
        </w:rPr>
        <w:t> </w:t>
      </w:r>
      <w:r>
        <w:rPr>
          <w:color w:val="231F20"/>
        </w:rPr>
        <w:t>зачитывает</w:t>
      </w:r>
      <w:r>
        <w:rPr>
          <w:color w:val="231F20"/>
          <w:spacing w:val="-4"/>
        </w:rPr>
        <w:t> </w:t>
      </w:r>
      <w:r>
        <w:rPr>
          <w:color w:val="231F20"/>
        </w:rPr>
        <w:t>одно</w:t>
      </w:r>
      <w:r>
        <w:rPr>
          <w:color w:val="231F20"/>
          <w:spacing w:val="-4"/>
        </w:rPr>
        <w:t> </w:t>
      </w:r>
      <w:r>
        <w:rPr>
          <w:color w:val="231F20"/>
        </w:rPr>
        <w:t>из</w:t>
      </w:r>
      <w:r>
        <w:rPr>
          <w:color w:val="231F20"/>
          <w:spacing w:val="-5"/>
        </w:rPr>
        <w:t> </w:t>
      </w:r>
      <w:r>
        <w:rPr>
          <w:color w:val="231F20"/>
        </w:rPr>
        <w:t>записан- ных определений. Те из участников, которые считают себя таковыми, встают.</w:t>
      </w:r>
    </w:p>
    <w:p>
      <w:pPr>
        <w:pStyle w:val="BodyText"/>
        <w:spacing w:line="226" w:lineRule="exact"/>
        <w:ind w:left="425" w:right="0" w:firstLine="0"/>
        <w:jc w:val="left"/>
      </w:pPr>
      <w:r>
        <w:rPr>
          <w:color w:val="231F20"/>
          <w:spacing w:val="-2"/>
        </w:rPr>
        <w:t>Обсуждение:</w:t>
      </w:r>
    </w:p>
    <w:p>
      <w:pPr>
        <w:pStyle w:val="ListParagraph"/>
        <w:numPr>
          <w:ilvl w:val="2"/>
          <w:numId w:val="270"/>
        </w:numPr>
        <w:tabs>
          <w:tab w:pos="565" w:val="left" w:leader="none"/>
        </w:tabs>
        <w:spacing w:line="235" w:lineRule="auto" w:before="1" w:after="0"/>
        <w:ind w:left="141" w:right="139" w:firstLine="283"/>
        <w:jc w:val="both"/>
        <w:rPr>
          <w:i/>
          <w:color w:val="231F20"/>
          <w:sz w:val="20"/>
        </w:rPr>
      </w:pPr>
      <w:r>
        <w:rPr>
          <w:i/>
          <w:color w:val="231F20"/>
          <w:sz w:val="20"/>
        </w:rPr>
        <w:t>Когда</w:t>
      </w:r>
      <w:r>
        <w:rPr>
          <w:i/>
          <w:color w:val="231F20"/>
          <w:spacing w:val="-13"/>
          <w:sz w:val="20"/>
        </w:rPr>
        <w:t> </w:t>
      </w:r>
      <w:r>
        <w:rPr>
          <w:i/>
          <w:color w:val="231F20"/>
          <w:sz w:val="20"/>
        </w:rPr>
        <w:t>приятнее</w:t>
      </w:r>
      <w:r>
        <w:rPr>
          <w:i/>
          <w:color w:val="231F20"/>
          <w:spacing w:val="-12"/>
          <w:sz w:val="20"/>
        </w:rPr>
        <w:t> </w:t>
      </w:r>
      <w:r>
        <w:rPr>
          <w:i/>
          <w:color w:val="231F20"/>
          <w:sz w:val="20"/>
        </w:rPr>
        <w:t>вставать:</w:t>
      </w:r>
      <w:r>
        <w:rPr>
          <w:i/>
          <w:color w:val="231F20"/>
          <w:spacing w:val="-13"/>
          <w:sz w:val="20"/>
        </w:rPr>
        <w:t> </w:t>
      </w:r>
      <w:r>
        <w:rPr>
          <w:i/>
          <w:color w:val="231F20"/>
          <w:sz w:val="20"/>
        </w:rPr>
        <w:t>когда</w:t>
      </w:r>
      <w:r>
        <w:rPr>
          <w:i/>
          <w:color w:val="231F20"/>
          <w:spacing w:val="-12"/>
          <w:sz w:val="20"/>
        </w:rPr>
        <w:t> </w:t>
      </w:r>
      <w:r>
        <w:rPr>
          <w:i/>
          <w:color w:val="231F20"/>
          <w:sz w:val="20"/>
        </w:rPr>
        <w:t>вместе</w:t>
      </w:r>
      <w:r>
        <w:rPr>
          <w:i/>
          <w:color w:val="231F20"/>
          <w:spacing w:val="-13"/>
          <w:sz w:val="20"/>
        </w:rPr>
        <w:t> </w:t>
      </w:r>
      <w:r>
        <w:rPr>
          <w:i/>
          <w:color w:val="231F20"/>
          <w:sz w:val="20"/>
        </w:rPr>
        <w:t>с</w:t>
      </w:r>
      <w:r>
        <w:rPr>
          <w:i/>
          <w:color w:val="231F20"/>
          <w:spacing w:val="-12"/>
          <w:sz w:val="20"/>
        </w:rPr>
        <w:t> </w:t>
      </w:r>
      <w:r>
        <w:rPr>
          <w:i/>
          <w:color w:val="231F20"/>
          <w:sz w:val="20"/>
        </w:rPr>
        <w:t>тобой</w:t>
      </w:r>
      <w:r>
        <w:rPr>
          <w:i/>
          <w:color w:val="231F20"/>
          <w:spacing w:val="-13"/>
          <w:sz w:val="20"/>
        </w:rPr>
        <w:t> </w:t>
      </w:r>
      <w:r>
        <w:rPr>
          <w:i/>
          <w:color w:val="231F20"/>
          <w:sz w:val="20"/>
        </w:rPr>
        <w:t>встает</w:t>
      </w:r>
      <w:r>
        <w:rPr>
          <w:i/>
          <w:color w:val="231F20"/>
          <w:spacing w:val="-12"/>
          <w:sz w:val="20"/>
        </w:rPr>
        <w:t> </w:t>
      </w:r>
      <w:r>
        <w:rPr>
          <w:i/>
          <w:color w:val="231F20"/>
          <w:sz w:val="20"/>
        </w:rPr>
        <w:t>много</w:t>
      </w:r>
      <w:r>
        <w:rPr>
          <w:i/>
          <w:color w:val="231F20"/>
          <w:spacing w:val="-13"/>
          <w:sz w:val="20"/>
        </w:rPr>
        <w:t> </w:t>
      </w:r>
      <w:r>
        <w:rPr>
          <w:i/>
          <w:color w:val="231F20"/>
          <w:sz w:val="20"/>
        </w:rPr>
        <w:t>людей</w:t>
      </w:r>
      <w:r>
        <w:rPr>
          <w:i/>
          <w:color w:val="231F20"/>
          <w:spacing w:val="-12"/>
          <w:sz w:val="20"/>
        </w:rPr>
        <w:t> </w:t>
      </w:r>
      <w:r>
        <w:rPr>
          <w:i/>
          <w:color w:val="231F20"/>
          <w:sz w:val="20"/>
        </w:rPr>
        <w:t>или</w:t>
      </w:r>
      <w:r>
        <w:rPr>
          <w:i/>
          <w:color w:val="231F20"/>
          <w:spacing w:val="-13"/>
          <w:sz w:val="20"/>
        </w:rPr>
        <w:t> </w:t>
      </w:r>
      <w:r>
        <w:rPr>
          <w:i/>
          <w:color w:val="231F20"/>
          <w:sz w:val="20"/>
        </w:rPr>
        <w:t>когда таких, как ты, оказывается мало или ты вообще встаешь один?</w:t>
      </w:r>
    </w:p>
    <w:p>
      <w:pPr>
        <w:pStyle w:val="ListParagraph"/>
        <w:numPr>
          <w:ilvl w:val="2"/>
          <w:numId w:val="270"/>
        </w:numPr>
        <w:tabs>
          <w:tab w:pos="578" w:val="left" w:leader="none"/>
        </w:tabs>
        <w:spacing w:line="235" w:lineRule="auto" w:before="2" w:after="0"/>
        <w:ind w:left="141" w:right="139" w:firstLine="283"/>
        <w:jc w:val="both"/>
        <w:rPr>
          <w:i/>
          <w:color w:val="231F20"/>
          <w:sz w:val="20"/>
        </w:rPr>
      </w:pPr>
      <w:r>
        <w:rPr>
          <w:i/>
          <w:color w:val="231F20"/>
          <w:sz w:val="20"/>
        </w:rPr>
        <w:t>Есть</w:t>
      </w:r>
      <w:r>
        <w:rPr>
          <w:i/>
          <w:color w:val="231F20"/>
          <w:spacing w:val="-1"/>
          <w:sz w:val="20"/>
        </w:rPr>
        <w:t> </w:t>
      </w:r>
      <w:r>
        <w:rPr>
          <w:i/>
          <w:color w:val="231F20"/>
          <w:sz w:val="20"/>
        </w:rPr>
        <w:t>ли</w:t>
      </w:r>
      <w:r>
        <w:rPr>
          <w:i/>
          <w:color w:val="231F20"/>
          <w:spacing w:val="-1"/>
          <w:sz w:val="20"/>
        </w:rPr>
        <w:t> </w:t>
      </w:r>
      <w:r>
        <w:rPr>
          <w:i/>
          <w:color w:val="231F20"/>
          <w:sz w:val="20"/>
        </w:rPr>
        <w:t>в</w:t>
      </w:r>
      <w:r>
        <w:rPr>
          <w:i/>
          <w:color w:val="231F20"/>
          <w:spacing w:val="-1"/>
          <w:sz w:val="20"/>
        </w:rPr>
        <w:t> </w:t>
      </w:r>
      <w:r>
        <w:rPr>
          <w:i/>
          <w:color w:val="231F20"/>
          <w:sz w:val="20"/>
        </w:rPr>
        <w:t>списке</w:t>
      </w:r>
      <w:r>
        <w:rPr>
          <w:i/>
          <w:color w:val="231F20"/>
          <w:spacing w:val="-1"/>
          <w:sz w:val="20"/>
        </w:rPr>
        <w:t> </w:t>
      </w:r>
      <w:r>
        <w:rPr>
          <w:i/>
          <w:color w:val="231F20"/>
          <w:sz w:val="20"/>
        </w:rPr>
        <w:t>этническая</w:t>
      </w:r>
      <w:r>
        <w:rPr>
          <w:i/>
          <w:color w:val="231F20"/>
          <w:spacing w:val="-1"/>
          <w:sz w:val="20"/>
        </w:rPr>
        <w:t> </w:t>
      </w:r>
      <w:r>
        <w:rPr>
          <w:i/>
          <w:color w:val="231F20"/>
          <w:sz w:val="20"/>
        </w:rPr>
        <w:t>принадлежность</w:t>
      </w:r>
      <w:r>
        <w:rPr>
          <w:i/>
          <w:color w:val="231F20"/>
          <w:spacing w:val="-1"/>
          <w:sz w:val="20"/>
        </w:rPr>
        <w:t> </w:t>
      </w:r>
      <w:r>
        <w:rPr>
          <w:i/>
          <w:color w:val="231F20"/>
          <w:sz w:val="20"/>
        </w:rPr>
        <w:t>и</w:t>
      </w:r>
      <w:r>
        <w:rPr>
          <w:i/>
          <w:color w:val="231F20"/>
          <w:spacing w:val="-1"/>
          <w:sz w:val="20"/>
        </w:rPr>
        <w:t> </w:t>
      </w:r>
      <w:r>
        <w:rPr>
          <w:i/>
          <w:color w:val="231F20"/>
          <w:sz w:val="20"/>
        </w:rPr>
        <w:t>/</w:t>
      </w:r>
      <w:r>
        <w:rPr>
          <w:i/>
          <w:color w:val="231F20"/>
          <w:spacing w:val="-1"/>
          <w:sz w:val="20"/>
        </w:rPr>
        <w:t> </w:t>
      </w:r>
      <w:r>
        <w:rPr>
          <w:i/>
          <w:color w:val="231F20"/>
          <w:sz w:val="20"/>
        </w:rPr>
        <w:t>или</w:t>
      </w:r>
      <w:r>
        <w:rPr>
          <w:i/>
          <w:color w:val="231F20"/>
          <w:spacing w:val="-1"/>
          <w:sz w:val="20"/>
        </w:rPr>
        <w:t> </w:t>
      </w:r>
      <w:r>
        <w:rPr>
          <w:i/>
          <w:color w:val="231F20"/>
          <w:sz w:val="20"/>
        </w:rPr>
        <w:t>гражданство</w:t>
      </w:r>
      <w:r>
        <w:rPr>
          <w:i/>
          <w:color w:val="231F20"/>
          <w:spacing w:val="-1"/>
          <w:sz w:val="20"/>
        </w:rPr>
        <w:t> </w:t>
      </w:r>
      <w:r>
        <w:rPr>
          <w:i/>
          <w:color w:val="231F20"/>
          <w:sz w:val="20"/>
        </w:rPr>
        <w:t>и</w:t>
      </w:r>
      <w:r>
        <w:rPr>
          <w:i/>
          <w:color w:val="231F20"/>
          <w:spacing w:val="-1"/>
          <w:sz w:val="20"/>
        </w:rPr>
        <w:t> </w:t>
      </w:r>
      <w:r>
        <w:rPr>
          <w:i/>
          <w:color w:val="231F20"/>
          <w:sz w:val="20"/>
        </w:rPr>
        <w:t>на</w:t>
      </w:r>
      <w:r>
        <w:rPr>
          <w:i/>
          <w:color w:val="231F20"/>
          <w:spacing w:val="-1"/>
          <w:sz w:val="20"/>
        </w:rPr>
        <w:t> </w:t>
      </w:r>
      <w:r>
        <w:rPr>
          <w:i/>
          <w:color w:val="231F20"/>
          <w:sz w:val="20"/>
        </w:rPr>
        <w:t>каком </w:t>
      </w:r>
      <w:r>
        <w:rPr>
          <w:i/>
          <w:color w:val="231F20"/>
          <w:spacing w:val="-2"/>
          <w:sz w:val="20"/>
        </w:rPr>
        <w:t>месте?</w:t>
      </w:r>
    </w:p>
    <w:p>
      <w:pPr>
        <w:pStyle w:val="BodyText"/>
        <w:spacing w:line="235" w:lineRule="auto" w:before="1"/>
      </w:pPr>
      <w:r>
        <w:rPr>
          <w:b/>
          <w:color w:val="231F20"/>
        </w:rPr>
        <w:t>На что ведущему надо обратить внимание. </w:t>
      </w:r>
      <w:r>
        <w:rPr>
          <w:color w:val="231F20"/>
        </w:rPr>
        <w:t>После обсуждения следует сделать теоретический комментарий. Необходимо рассказать участникам, что у человека всегда есть две потребности: потребность быть вместе и потребность отличаться. Этим двум потребностям соответствуют два вида идентичностей: социальная (осоз- нание себя как представителя определенной социальной группы) и персональная (осознание своей уникальности и неповторимости). Разновидностями социальной идентичности</w:t>
      </w:r>
      <w:r>
        <w:rPr>
          <w:color w:val="231F20"/>
          <w:spacing w:val="-4"/>
        </w:rPr>
        <w:t> </w:t>
      </w:r>
      <w:r>
        <w:rPr>
          <w:color w:val="231F20"/>
        </w:rPr>
        <w:t>являются</w:t>
      </w:r>
      <w:r>
        <w:rPr>
          <w:color w:val="231F20"/>
          <w:spacing w:val="-4"/>
        </w:rPr>
        <w:t> </w:t>
      </w:r>
      <w:r>
        <w:rPr>
          <w:color w:val="231F20"/>
        </w:rPr>
        <w:t>этническая</w:t>
      </w:r>
      <w:r>
        <w:rPr>
          <w:color w:val="231F20"/>
          <w:spacing w:val="-4"/>
        </w:rPr>
        <w:t> </w:t>
      </w:r>
      <w:r>
        <w:rPr>
          <w:color w:val="231F20"/>
        </w:rPr>
        <w:t>(осознание</w:t>
      </w:r>
      <w:r>
        <w:rPr>
          <w:color w:val="231F20"/>
          <w:spacing w:val="-4"/>
        </w:rPr>
        <w:t> </w:t>
      </w:r>
      <w:r>
        <w:rPr>
          <w:color w:val="231F20"/>
        </w:rPr>
        <w:t>себя</w:t>
      </w:r>
      <w:r>
        <w:rPr>
          <w:color w:val="231F20"/>
          <w:spacing w:val="-4"/>
        </w:rPr>
        <w:t> </w:t>
      </w:r>
      <w:r>
        <w:rPr>
          <w:color w:val="231F20"/>
        </w:rPr>
        <w:t>как</w:t>
      </w:r>
      <w:r>
        <w:rPr>
          <w:color w:val="231F20"/>
          <w:spacing w:val="-4"/>
        </w:rPr>
        <w:t> </w:t>
      </w:r>
      <w:r>
        <w:rPr>
          <w:color w:val="231F20"/>
        </w:rPr>
        <w:t>представителя</w:t>
      </w:r>
      <w:r>
        <w:rPr>
          <w:color w:val="231F20"/>
          <w:spacing w:val="-4"/>
        </w:rPr>
        <w:t> </w:t>
      </w:r>
      <w:r>
        <w:rPr>
          <w:color w:val="231F20"/>
        </w:rPr>
        <w:t>определенно- го</w:t>
      </w:r>
      <w:r>
        <w:rPr>
          <w:color w:val="231F20"/>
          <w:spacing w:val="-7"/>
        </w:rPr>
        <w:t> </w:t>
      </w:r>
      <w:r>
        <w:rPr>
          <w:color w:val="231F20"/>
        </w:rPr>
        <w:t>этноса),</w:t>
      </w:r>
      <w:r>
        <w:rPr>
          <w:color w:val="231F20"/>
          <w:spacing w:val="-7"/>
        </w:rPr>
        <w:t> </w:t>
      </w:r>
      <w:r>
        <w:rPr>
          <w:color w:val="231F20"/>
        </w:rPr>
        <w:t>гражданская</w:t>
      </w:r>
      <w:r>
        <w:rPr>
          <w:color w:val="231F20"/>
          <w:spacing w:val="-7"/>
        </w:rPr>
        <w:t> </w:t>
      </w:r>
      <w:r>
        <w:rPr>
          <w:color w:val="231F20"/>
        </w:rPr>
        <w:t>(осознание</w:t>
      </w:r>
      <w:r>
        <w:rPr>
          <w:color w:val="231F20"/>
          <w:spacing w:val="-7"/>
        </w:rPr>
        <w:t> </w:t>
      </w:r>
      <w:r>
        <w:rPr>
          <w:color w:val="231F20"/>
        </w:rPr>
        <w:t>себя</w:t>
      </w:r>
      <w:r>
        <w:rPr>
          <w:color w:val="231F20"/>
          <w:spacing w:val="-7"/>
        </w:rPr>
        <w:t> </w:t>
      </w:r>
      <w:r>
        <w:rPr>
          <w:color w:val="231F20"/>
        </w:rPr>
        <w:t>как</w:t>
      </w:r>
      <w:r>
        <w:rPr>
          <w:color w:val="231F20"/>
          <w:spacing w:val="-7"/>
        </w:rPr>
        <w:t> </w:t>
      </w:r>
      <w:r>
        <w:rPr>
          <w:color w:val="231F20"/>
        </w:rPr>
        <w:t>гражданина</w:t>
      </w:r>
      <w:r>
        <w:rPr>
          <w:color w:val="231F20"/>
          <w:spacing w:val="-7"/>
        </w:rPr>
        <w:t> </w:t>
      </w:r>
      <w:r>
        <w:rPr>
          <w:color w:val="231F20"/>
        </w:rPr>
        <w:t>определенного</w:t>
      </w:r>
      <w:r>
        <w:rPr>
          <w:color w:val="231F20"/>
          <w:spacing w:val="-7"/>
        </w:rPr>
        <w:t> </w:t>
      </w:r>
      <w:r>
        <w:rPr>
          <w:color w:val="231F20"/>
        </w:rPr>
        <w:t>государства) и</w:t>
      </w:r>
      <w:r>
        <w:rPr>
          <w:color w:val="231F20"/>
          <w:spacing w:val="-3"/>
        </w:rPr>
        <w:t> </w:t>
      </w:r>
      <w:r>
        <w:rPr>
          <w:color w:val="231F20"/>
        </w:rPr>
        <w:t>региональная</w:t>
      </w:r>
      <w:r>
        <w:rPr>
          <w:color w:val="231F20"/>
          <w:spacing w:val="-3"/>
        </w:rPr>
        <w:t> </w:t>
      </w:r>
      <w:r>
        <w:rPr>
          <w:color w:val="231F20"/>
        </w:rPr>
        <w:t>(осознание</w:t>
      </w:r>
      <w:r>
        <w:rPr>
          <w:color w:val="231F20"/>
          <w:spacing w:val="-3"/>
        </w:rPr>
        <w:t> </w:t>
      </w:r>
      <w:r>
        <w:rPr>
          <w:color w:val="231F20"/>
        </w:rPr>
        <w:t>себя</w:t>
      </w:r>
      <w:r>
        <w:rPr>
          <w:color w:val="231F20"/>
          <w:spacing w:val="-3"/>
        </w:rPr>
        <w:t> </w:t>
      </w:r>
      <w:r>
        <w:rPr>
          <w:color w:val="231F20"/>
        </w:rPr>
        <w:t>как</w:t>
      </w:r>
      <w:r>
        <w:rPr>
          <w:color w:val="231F20"/>
          <w:spacing w:val="-3"/>
        </w:rPr>
        <w:t> </w:t>
      </w:r>
      <w:r>
        <w:rPr>
          <w:color w:val="231F20"/>
        </w:rPr>
        <w:t>жителя</w:t>
      </w:r>
      <w:r>
        <w:rPr>
          <w:color w:val="231F20"/>
          <w:spacing w:val="-3"/>
        </w:rPr>
        <w:t> </w:t>
      </w:r>
      <w:r>
        <w:rPr>
          <w:color w:val="231F20"/>
        </w:rPr>
        <w:t>определенного</w:t>
      </w:r>
      <w:r>
        <w:rPr>
          <w:color w:val="231F20"/>
          <w:spacing w:val="-3"/>
        </w:rPr>
        <w:t> </w:t>
      </w:r>
      <w:r>
        <w:rPr>
          <w:color w:val="231F20"/>
        </w:rPr>
        <w:t>региона:</w:t>
      </w:r>
      <w:r>
        <w:rPr>
          <w:color w:val="231F20"/>
          <w:spacing w:val="-3"/>
        </w:rPr>
        <w:t> </w:t>
      </w:r>
      <w:r>
        <w:rPr>
          <w:color w:val="231F20"/>
        </w:rPr>
        <w:t>области,</w:t>
      </w:r>
      <w:r>
        <w:rPr>
          <w:color w:val="231F20"/>
          <w:spacing w:val="-3"/>
        </w:rPr>
        <w:t> </w:t>
      </w:r>
      <w:r>
        <w:rPr>
          <w:color w:val="231F20"/>
        </w:rPr>
        <w:t>города, края</w:t>
      </w:r>
      <w:r>
        <w:rPr>
          <w:color w:val="231F20"/>
          <w:spacing w:val="-1"/>
        </w:rPr>
        <w:t> </w:t>
      </w:r>
      <w:r>
        <w:rPr>
          <w:color w:val="231F20"/>
        </w:rPr>
        <w:t>и</w:t>
      </w:r>
      <w:r>
        <w:rPr>
          <w:color w:val="231F20"/>
          <w:spacing w:val="-1"/>
        </w:rPr>
        <w:t> </w:t>
      </w:r>
      <w:r>
        <w:rPr>
          <w:color w:val="231F20"/>
        </w:rPr>
        <w:t>др.)</w:t>
      </w:r>
      <w:r>
        <w:rPr>
          <w:color w:val="231F20"/>
          <w:spacing w:val="-1"/>
        </w:rPr>
        <w:t> </w:t>
      </w:r>
      <w:r>
        <w:rPr>
          <w:color w:val="231F20"/>
        </w:rPr>
        <w:t>идентичности.</w:t>
      </w:r>
      <w:r>
        <w:rPr>
          <w:color w:val="231F20"/>
          <w:spacing w:val="-1"/>
        </w:rPr>
        <w:t> </w:t>
      </w:r>
      <w:r>
        <w:rPr>
          <w:color w:val="231F20"/>
        </w:rPr>
        <w:t>При</w:t>
      </w:r>
      <w:r>
        <w:rPr>
          <w:color w:val="231F20"/>
          <w:spacing w:val="-1"/>
        </w:rPr>
        <w:t> </w:t>
      </w:r>
      <w:r>
        <w:rPr>
          <w:color w:val="231F20"/>
        </w:rPr>
        <w:t>обсуждении</w:t>
      </w:r>
      <w:r>
        <w:rPr>
          <w:color w:val="231F20"/>
          <w:spacing w:val="-1"/>
        </w:rPr>
        <w:t> </w:t>
      </w:r>
      <w:r>
        <w:rPr>
          <w:color w:val="231F20"/>
        </w:rPr>
        <w:t>данных</w:t>
      </w:r>
      <w:r>
        <w:rPr>
          <w:color w:val="231F20"/>
          <w:spacing w:val="-1"/>
        </w:rPr>
        <w:t> </w:t>
      </w:r>
      <w:r>
        <w:rPr>
          <w:color w:val="231F20"/>
        </w:rPr>
        <w:t>понятий</w:t>
      </w:r>
      <w:r>
        <w:rPr>
          <w:color w:val="231F20"/>
          <w:spacing w:val="-1"/>
        </w:rPr>
        <w:t> </w:t>
      </w:r>
      <w:r>
        <w:rPr>
          <w:color w:val="231F20"/>
        </w:rPr>
        <w:t>особое</w:t>
      </w:r>
      <w:r>
        <w:rPr>
          <w:color w:val="231F20"/>
          <w:spacing w:val="-1"/>
        </w:rPr>
        <w:t> </w:t>
      </w:r>
      <w:r>
        <w:rPr>
          <w:color w:val="231F20"/>
        </w:rPr>
        <w:t>внимание</w:t>
      </w:r>
      <w:r>
        <w:rPr>
          <w:color w:val="231F20"/>
          <w:spacing w:val="-1"/>
        </w:rPr>
        <w:t> </w:t>
      </w:r>
      <w:r>
        <w:rPr>
          <w:color w:val="231F20"/>
        </w:rPr>
        <w:t>уделя- ется тому, что идентичность является результатом самоопределения, она не задана изначально, а формируется самим человеком.</w:t>
      </w:r>
    </w:p>
    <w:p>
      <w:pPr>
        <w:pStyle w:val="BodyText"/>
        <w:spacing w:after="0" w:line="235" w:lineRule="auto"/>
        <w:sectPr>
          <w:pgSz w:w="8400" w:h="11910"/>
          <w:pgMar w:header="0" w:footer="530" w:top="400" w:bottom="720" w:left="425" w:right="425"/>
        </w:sectPr>
      </w:pPr>
    </w:p>
    <w:p>
      <w:pPr>
        <w:spacing w:before="80"/>
        <w:ind w:left="141" w:right="0" w:firstLine="0"/>
        <w:jc w:val="left"/>
        <w:rPr>
          <w:rFonts w:ascii="Georgia" w:hAnsi="Georgia"/>
          <w:sz w:val="18"/>
        </w:rPr>
      </w:pPr>
      <w:r>
        <w:rPr>
          <w:rFonts w:ascii="Georgia" w:hAnsi="Georgia"/>
          <w:color w:val="231F20"/>
          <w:sz w:val="18"/>
        </w:rPr>
        <w:t>4.1.</w:t>
      </w:r>
      <w:r>
        <w:rPr>
          <w:rFonts w:ascii="Georgia" w:hAnsi="Georgia"/>
          <w:color w:val="231F20"/>
          <w:spacing w:val="11"/>
          <w:sz w:val="18"/>
        </w:rPr>
        <w:t> </w:t>
      </w:r>
      <w:r>
        <w:rPr>
          <w:rFonts w:ascii="Georgia" w:hAnsi="Georgia"/>
          <w:color w:val="231F20"/>
          <w:sz w:val="18"/>
        </w:rPr>
        <w:t>Активности</w:t>
      </w:r>
      <w:r>
        <w:rPr>
          <w:rFonts w:ascii="Georgia" w:hAnsi="Georgia"/>
          <w:color w:val="231F20"/>
          <w:spacing w:val="12"/>
          <w:sz w:val="18"/>
        </w:rPr>
        <w:t> </w:t>
      </w:r>
      <w:r>
        <w:rPr>
          <w:rFonts w:ascii="Georgia" w:hAnsi="Georgia"/>
          <w:color w:val="231F20"/>
          <w:sz w:val="18"/>
        </w:rPr>
        <w:t>межкультурного</w:t>
      </w:r>
      <w:r>
        <w:rPr>
          <w:rFonts w:ascii="Georgia" w:hAnsi="Georgia"/>
          <w:color w:val="231F20"/>
          <w:spacing w:val="12"/>
          <w:sz w:val="18"/>
        </w:rPr>
        <w:t> </w:t>
      </w:r>
      <w:r>
        <w:rPr>
          <w:rFonts w:ascii="Georgia" w:hAnsi="Georgia"/>
          <w:color w:val="231F20"/>
          <w:sz w:val="18"/>
        </w:rPr>
        <w:t>тренинга</w:t>
      </w:r>
      <w:r>
        <w:rPr>
          <w:rFonts w:ascii="Georgia" w:hAnsi="Georgia"/>
          <w:color w:val="231F20"/>
          <w:spacing w:val="11"/>
          <w:sz w:val="18"/>
        </w:rPr>
        <w:t> </w:t>
      </w:r>
      <w:r>
        <w:rPr>
          <w:rFonts w:ascii="Georgia" w:hAnsi="Georgia"/>
          <w:color w:val="231F20"/>
          <w:sz w:val="18"/>
        </w:rPr>
        <w:t>для</w:t>
      </w:r>
      <w:r>
        <w:rPr>
          <w:rFonts w:ascii="Georgia" w:hAnsi="Georgia"/>
          <w:color w:val="231F20"/>
          <w:spacing w:val="12"/>
          <w:sz w:val="18"/>
        </w:rPr>
        <w:t> </w:t>
      </w:r>
      <w:r>
        <w:rPr>
          <w:rFonts w:ascii="Georgia" w:hAnsi="Georgia"/>
          <w:color w:val="231F20"/>
          <w:sz w:val="18"/>
        </w:rPr>
        <w:t>поликультурного</w:t>
      </w:r>
      <w:r>
        <w:rPr>
          <w:rFonts w:ascii="Georgia" w:hAnsi="Georgia"/>
          <w:color w:val="231F20"/>
          <w:spacing w:val="12"/>
          <w:sz w:val="18"/>
        </w:rPr>
        <w:t> </w:t>
      </w:r>
      <w:r>
        <w:rPr>
          <w:rFonts w:ascii="Georgia" w:hAnsi="Georgia"/>
          <w:color w:val="231F20"/>
          <w:spacing w:val="-2"/>
          <w:sz w:val="18"/>
        </w:rPr>
        <w:t>класса</w:t>
      </w:r>
    </w:p>
    <w:p>
      <w:pPr>
        <w:spacing w:line="228" w:lineRule="exact" w:before="109"/>
        <w:ind w:left="425" w:right="0" w:firstLine="0"/>
        <w:jc w:val="both"/>
        <w:rPr>
          <w:b/>
          <w:i/>
          <w:sz w:val="20"/>
        </w:rPr>
      </w:pPr>
      <w:r>
        <w:rPr>
          <w:b/>
          <w:i/>
          <w:color w:val="231F20"/>
          <w:sz w:val="20"/>
        </w:rPr>
        <w:t>Вариант </w:t>
      </w:r>
      <w:r>
        <w:rPr>
          <w:b/>
          <w:i/>
          <w:color w:val="231F20"/>
          <w:spacing w:val="-5"/>
          <w:sz w:val="20"/>
        </w:rPr>
        <w:t>2.</w:t>
      </w:r>
    </w:p>
    <w:p>
      <w:pPr>
        <w:pStyle w:val="BodyText"/>
        <w:spacing w:line="228" w:lineRule="auto" w:before="7"/>
      </w:pPr>
      <w:r>
        <w:rPr>
          <w:color w:val="231F20"/>
        </w:rPr>
        <w:t>Написать</w:t>
      </w:r>
      <w:r>
        <w:rPr>
          <w:color w:val="231F20"/>
          <w:spacing w:val="-4"/>
        </w:rPr>
        <w:t> </w:t>
      </w:r>
      <w:r>
        <w:rPr>
          <w:color w:val="231F20"/>
        </w:rPr>
        <w:t>на</w:t>
      </w:r>
      <w:r>
        <w:rPr>
          <w:color w:val="231F20"/>
          <w:spacing w:val="-4"/>
        </w:rPr>
        <w:t> </w:t>
      </w:r>
      <w:r>
        <w:rPr>
          <w:color w:val="231F20"/>
        </w:rPr>
        <w:t>стикерах</w:t>
      </w:r>
      <w:r>
        <w:rPr>
          <w:color w:val="231F20"/>
          <w:spacing w:val="-4"/>
        </w:rPr>
        <w:t> </w:t>
      </w:r>
      <w:r>
        <w:rPr>
          <w:color w:val="231F20"/>
        </w:rPr>
        <w:t>три</w:t>
      </w:r>
      <w:r>
        <w:rPr>
          <w:color w:val="231F20"/>
          <w:spacing w:val="-4"/>
        </w:rPr>
        <w:t> </w:t>
      </w:r>
      <w:r>
        <w:rPr>
          <w:color w:val="231F20"/>
        </w:rPr>
        <w:t>определения</w:t>
      </w:r>
      <w:r>
        <w:rPr>
          <w:color w:val="231F20"/>
          <w:spacing w:val="-4"/>
        </w:rPr>
        <w:t> </w:t>
      </w:r>
      <w:r>
        <w:rPr>
          <w:color w:val="231F20"/>
        </w:rPr>
        <w:t>из</w:t>
      </w:r>
      <w:r>
        <w:rPr>
          <w:color w:val="231F20"/>
          <w:spacing w:val="-4"/>
        </w:rPr>
        <w:t> </w:t>
      </w:r>
      <w:r>
        <w:rPr>
          <w:color w:val="231F20"/>
        </w:rPr>
        <w:t>списка.</w:t>
      </w:r>
      <w:r>
        <w:rPr>
          <w:color w:val="231F20"/>
          <w:spacing w:val="-4"/>
        </w:rPr>
        <w:t> </w:t>
      </w:r>
      <w:r>
        <w:rPr>
          <w:color w:val="231F20"/>
        </w:rPr>
        <w:t>Наклеить</w:t>
      </w:r>
      <w:r>
        <w:rPr>
          <w:color w:val="231F20"/>
          <w:spacing w:val="-4"/>
        </w:rPr>
        <w:t> </w:t>
      </w:r>
      <w:r>
        <w:rPr>
          <w:color w:val="231F20"/>
        </w:rPr>
        <w:t>эти</w:t>
      </w:r>
      <w:r>
        <w:rPr>
          <w:color w:val="231F20"/>
          <w:spacing w:val="-4"/>
        </w:rPr>
        <w:t> </w:t>
      </w:r>
      <w:r>
        <w:rPr>
          <w:color w:val="231F20"/>
        </w:rPr>
        <w:t>стикеры</w:t>
      </w:r>
      <w:r>
        <w:rPr>
          <w:color w:val="231F20"/>
          <w:spacing w:val="-4"/>
        </w:rPr>
        <w:t> </w:t>
      </w:r>
      <w:r>
        <w:rPr>
          <w:color w:val="231F20"/>
        </w:rPr>
        <w:t>на</w:t>
      </w:r>
      <w:r>
        <w:rPr>
          <w:color w:val="231F20"/>
          <w:spacing w:val="-4"/>
        </w:rPr>
        <w:t> </w:t>
      </w:r>
      <w:r>
        <w:rPr>
          <w:color w:val="231F20"/>
        </w:rPr>
        <w:t>флип- чарт. Причем стикеры с повторяющимися или близкими по смыслу ответами накле- иваются рядом. Участники делятся на группы, каждая группа получает по одному</w:t>
      </w:r>
      <w:r>
        <w:rPr>
          <w:color w:val="231F20"/>
          <w:spacing w:val="40"/>
        </w:rPr>
        <w:t> </w:t>
      </w:r>
      <w:r>
        <w:rPr>
          <w:color w:val="231F20"/>
        </w:rPr>
        <w:t>из</w:t>
      </w:r>
      <w:r>
        <w:rPr>
          <w:color w:val="231F20"/>
          <w:spacing w:val="-3"/>
        </w:rPr>
        <w:t> </w:t>
      </w:r>
      <w:r>
        <w:rPr>
          <w:color w:val="231F20"/>
        </w:rPr>
        <w:t>названных</w:t>
      </w:r>
      <w:r>
        <w:rPr>
          <w:color w:val="231F20"/>
          <w:spacing w:val="-3"/>
        </w:rPr>
        <w:t> </w:t>
      </w:r>
      <w:r>
        <w:rPr>
          <w:color w:val="231F20"/>
        </w:rPr>
        <w:t>участниками</w:t>
      </w:r>
      <w:r>
        <w:rPr>
          <w:color w:val="231F20"/>
          <w:spacing w:val="-3"/>
        </w:rPr>
        <w:t> </w:t>
      </w:r>
      <w:r>
        <w:rPr>
          <w:color w:val="231F20"/>
        </w:rPr>
        <w:t>вариантов</w:t>
      </w:r>
      <w:r>
        <w:rPr>
          <w:color w:val="231F20"/>
          <w:spacing w:val="-3"/>
        </w:rPr>
        <w:t> </w:t>
      </w:r>
      <w:r>
        <w:rPr>
          <w:color w:val="231F20"/>
        </w:rPr>
        <w:t>социальной</w:t>
      </w:r>
      <w:r>
        <w:rPr>
          <w:color w:val="231F20"/>
          <w:spacing w:val="-3"/>
        </w:rPr>
        <w:t> </w:t>
      </w:r>
      <w:r>
        <w:rPr>
          <w:color w:val="231F20"/>
        </w:rPr>
        <w:t>идентичности</w:t>
      </w:r>
      <w:r>
        <w:rPr>
          <w:color w:val="231F20"/>
          <w:spacing w:val="-3"/>
        </w:rPr>
        <w:t> </w:t>
      </w:r>
      <w:r>
        <w:rPr>
          <w:color w:val="231F20"/>
        </w:rPr>
        <w:t>(например,</w:t>
      </w:r>
      <w:r>
        <w:rPr>
          <w:color w:val="231F20"/>
          <w:spacing w:val="-3"/>
        </w:rPr>
        <w:t> </w:t>
      </w:r>
      <w:r>
        <w:rPr>
          <w:color w:val="231F20"/>
        </w:rPr>
        <w:t>студент, преподаватель). Задача групп – ответить на вопрос: что дает человеку принадлеж- ность к этой группе?</w:t>
      </w:r>
    </w:p>
    <w:p>
      <w:pPr>
        <w:pStyle w:val="BodyText"/>
        <w:spacing w:line="212" w:lineRule="exact"/>
        <w:ind w:left="425" w:right="0" w:firstLine="0"/>
        <w:jc w:val="left"/>
      </w:pPr>
      <w:r>
        <w:rPr>
          <w:color w:val="231F20"/>
          <w:spacing w:val="-2"/>
        </w:rPr>
        <w:t>Обсуждение</w:t>
      </w:r>
    </w:p>
    <w:p>
      <w:pPr>
        <w:pStyle w:val="BodyText"/>
        <w:spacing w:line="228" w:lineRule="auto" w:before="3"/>
        <w:ind w:right="0"/>
        <w:jc w:val="left"/>
      </w:pPr>
      <w:r>
        <w:rPr>
          <w:color w:val="231F20"/>
        </w:rPr>
        <w:t>После</w:t>
      </w:r>
      <w:r>
        <w:rPr>
          <w:color w:val="231F20"/>
          <w:spacing w:val="-10"/>
        </w:rPr>
        <w:t> </w:t>
      </w:r>
      <w:r>
        <w:rPr>
          <w:color w:val="231F20"/>
        </w:rPr>
        <w:t>того,</w:t>
      </w:r>
      <w:r>
        <w:rPr>
          <w:color w:val="231F20"/>
          <w:spacing w:val="-10"/>
        </w:rPr>
        <w:t> </w:t>
      </w:r>
      <w:r>
        <w:rPr>
          <w:color w:val="231F20"/>
        </w:rPr>
        <w:t>как</w:t>
      </w:r>
      <w:r>
        <w:rPr>
          <w:color w:val="231F20"/>
          <w:spacing w:val="-10"/>
        </w:rPr>
        <w:t> </w:t>
      </w:r>
      <w:r>
        <w:rPr>
          <w:color w:val="231F20"/>
        </w:rPr>
        <w:t>группы</w:t>
      </w:r>
      <w:r>
        <w:rPr>
          <w:color w:val="231F20"/>
          <w:spacing w:val="-10"/>
        </w:rPr>
        <w:t> </w:t>
      </w:r>
      <w:r>
        <w:rPr>
          <w:color w:val="231F20"/>
        </w:rPr>
        <w:t>озвучили</w:t>
      </w:r>
      <w:r>
        <w:rPr>
          <w:color w:val="231F20"/>
          <w:spacing w:val="-10"/>
        </w:rPr>
        <w:t> </w:t>
      </w:r>
      <w:r>
        <w:rPr>
          <w:color w:val="231F20"/>
        </w:rPr>
        <w:t>результаты</w:t>
      </w:r>
      <w:r>
        <w:rPr>
          <w:color w:val="231F20"/>
          <w:spacing w:val="-10"/>
        </w:rPr>
        <w:t> </w:t>
      </w:r>
      <w:r>
        <w:rPr>
          <w:color w:val="231F20"/>
        </w:rPr>
        <w:t>своей</w:t>
      </w:r>
      <w:r>
        <w:rPr>
          <w:color w:val="231F20"/>
          <w:spacing w:val="-10"/>
        </w:rPr>
        <w:t> </w:t>
      </w:r>
      <w:r>
        <w:rPr>
          <w:color w:val="231F20"/>
        </w:rPr>
        <w:t>работы,</w:t>
      </w:r>
      <w:r>
        <w:rPr>
          <w:color w:val="231F20"/>
          <w:spacing w:val="-10"/>
        </w:rPr>
        <w:t> </w:t>
      </w:r>
      <w:r>
        <w:rPr>
          <w:color w:val="231F20"/>
        </w:rPr>
        <w:t>всем</w:t>
      </w:r>
      <w:r>
        <w:rPr>
          <w:color w:val="231F20"/>
          <w:spacing w:val="-10"/>
        </w:rPr>
        <w:t> </w:t>
      </w:r>
      <w:r>
        <w:rPr>
          <w:color w:val="231F20"/>
        </w:rPr>
        <w:t>вместе</w:t>
      </w:r>
      <w:r>
        <w:rPr>
          <w:color w:val="231F20"/>
          <w:spacing w:val="-10"/>
        </w:rPr>
        <w:t> </w:t>
      </w:r>
      <w:r>
        <w:rPr>
          <w:color w:val="231F20"/>
        </w:rPr>
        <w:t>предлага- ется для обсуждения вопрос:</w:t>
      </w:r>
    </w:p>
    <w:p>
      <w:pPr>
        <w:pStyle w:val="ListParagraph"/>
        <w:numPr>
          <w:ilvl w:val="0"/>
          <w:numId w:val="271"/>
        </w:numPr>
        <w:tabs>
          <w:tab w:pos="575" w:val="left" w:leader="none"/>
        </w:tabs>
        <w:spacing w:line="214" w:lineRule="exact" w:before="0" w:after="0"/>
        <w:ind w:left="575" w:right="0" w:hanging="150"/>
        <w:jc w:val="left"/>
        <w:rPr>
          <w:i/>
          <w:color w:val="231F20"/>
          <w:sz w:val="20"/>
        </w:rPr>
      </w:pPr>
      <w:r>
        <w:rPr>
          <w:i/>
          <w:color w:val="231F20"/>
          <w:sz w:val="20"/>
        </w:rPr>
        <w:t>Что</w:t>
      </w:r>
      <w:r>
        <w:rPr>
          <w:i/>
          <w:color w:val="231F20"/>
          <w:spacing w:val="-7"/>
          <w:sz w:val="20"/>
        </w:rPr>
        <w:t> </w:t>
      </w:r>
      <w:r>
        <w:rPr>
          <w:i/>
          <w:color w:val="231F20"/>
          <w:sz w:val="20"/>
        </w:rPr>
        <w:t>дает</w:t>
      </w:r>
      <w:r>
        <w:rPr>
          <w:i/>
          <w:color w:val="231F20"/>
          <w:spacing w:val="-5"/>
          <w:sz w:val="20"/>
        </w:rPr>
        <w:t> </w:t>
      </w:r>
      <w:r>
        <w:rPr>
          <w:i/>
          <w:color w:val="231F20"/>
          <w:sz w:val="20"/>
        </w:rPr>
        <w:t>человеку</w:t>
      </w:r>
      <w:r>
        <w:rPr>
          <w:i/>
          <w:color w:val="231F20"/>
          <w:spacing w:val="-4"/>
          <w:sz w:val="20"/>
        </w:rPr>
        <w:t> </w:t>
      </w:r>
      <w:r>
        <w:rPr>
          <w:i/>
          <w:color w:val="231F20"/>
          <w:sz w:val="20"/>
        </w:rPr>
        <w:t>принадлежность</w:t>
      </w:r>
      <w:r>
        <w:rPr>
          <w:i/>
          <w:color w:val="231F20"/>
          <w:spacing w:val="-6"/>
          <w:sz w:val="20"/>
        </w:rPr>
        <w:t> </w:t>
      </w:r>
      <w:r>
        <w:rPr>
          <w:i/>
          <w:color w:val="231F20"/>
          <w:sz w:val="20"/>
        </w:rPr>
        <w:t>к</w:t>
      </w:r>
      <w:r>
        <w:rPr>
          <w:i/>
          <w:color w:val="231F20"/>
          <w:spacing w:val="-4"/>
          <w:sz w:val="20"/>
        </w:rPr>
        <w:t> </w:t>
      </w:r>
      <w:r>
        <w:rPr>
          <w:i/>
          <w:color w:val="231F20"/>
          <w:sz w:val="20"/>
        </w:rPr>
        <w:t>этнической</w:t>
      </w:r>
      <w:r>
        <w:rPr>
          <w:i/>
          <w:color w:val="231F20"/>
          <w:spacing w:val="-4"/>
          <w:sz w:val="20"/>
        </w:rPr>
        <w:t> </w:t>
      </w:r>
      <w:r>
        <w:rPr>
          <w:i/>
          <w:color w:val="231F20"/>
          <w:spacing w:val="-2"/>
          <w:sz w:val="20"/>
        </w:rPr>
        <w:t>группе?</w:t>
      </w:r>
    </w:p>
    <w:p>
      <w:pPr>
        <w:pStyle w:val="ListParagraph"/>
        <w:numPr>
          <w:ilvl w:val="0"/>
          <w:numId w:val="271"/>
        </w:numPr>
        <w:tabs>
          <w:tab w:pos="575" w:val="left" w:leader="none"/>
        </w:tabs>
        <w:spacing w:line="218" w:lineRule="exact" w:before="0" w:after="0"/>
        <w:ind w:left="575" w:right="0" w:hanging="150"/>
        <w:jc w:val="left"/>
        <w:rPr>
          <w:i/>
          <w:color w:val="231F20"/>
          <w:sz w:val="20"/>
        </w:rPr>
      </w:pPr>
      <w:r>
        <w:rPr>
          <w:i/>
          <w:color w:val="231F20"/>
          <w:sz w:val="20"/>
        </w:rPr>
        <w:t>Что</w:t>
      </w:r>
      <w:r>
        <w:rPr>
          <w:i/>
          <w:color w:val="231F20"/>
          <w:spacing w:val="-7"/>
          <w:sz w:val="20"/>
        </w:rPr>
        <w:t> </w:t>
      </w:r>
      <w:r>
        <w:rPr>
          <w:i/>
          <w:color w:val="231F20"/>
          <w:sz w:val="20"/>
        </w:rPr>
        <w:t>дает</w:t>
      </w:r>
      <w:r>
        <w:rPr>
          <w:i/>
          <w:color w:val="231F20"/>
          <w:spacing w:val="-4"/>
          <w:sz w:val="20"/>
        </w:rPr>
        <w:t> </w:t>
      </w:r>
      <w:r>
        <w:rPr>
          <w:i/>
          <w:color w:val="231F20"/>
          <w:sz w:val="20"/>
        </w:rPr>
        <w:t>человеку</w:t>
      </w:r>
      <w:r>
        <w:rPr>
          <w:i/>
          <w:color w:val="231F20"/>
          <w:spacing w:val="-4"/>
          <w:sz w:val="20"/>
        </w:rPr>
        <w:t> </w:t>
      </w:r>
      <w:r>
        <w:rPr>
          <w:i/>
          <w:color w:val="231F20"/>
          <w:sz w:val="20"/>
        </w:rPr>
        <w:t>ощущение</w:t>
      </w:r>
      <w:r>
        <w:rPr>
          <w:i/>
          <w:color w:val="231F20"/>
          <w:spacing w:val="-5"/>
          <w:sz w:val="20"/>
        </w:rPr>
        <w:t> </w:t>
      </w:r>
      <w:r>
        <w:rPr>
          <w:i/>
          <w:color w:val="231F20"/>
          <w:sz w:val="20"/>
        </w:rPr>
        <w:t>себя</w:t>
      </w:r>
      <w:r>
        <w:rPr>
          <w:i/>
          <w:color w:val="231F20"/>
          <w:spacing w:val="-4"/>
          <w:sz w:val="20"/>
        </w:rPr>
        <w:t> </w:t>
      </w:r>
      <w:r>
        <w:rPr>
          <w:i/>
          <w:color w:val="231F20"/>
          <w:sz w:val="20"/>
        </w:rPr>
        <w:t>гражданином</w:t>
      </w:r>
      <w:r>
        <w:rPr>
          <w:i/>
          <w:color w:val="231F20"/>
          <w:spacing w:val="-4"/>
          <w:sz w:val="20"/>
        </w:rPr>
        <w:t> </w:t>
      </w:r>
      <w:r>
        <w:rPr>
          <w:i/>
          <w:color w:val="231F20"/>
          <w:sz w:val="20"/>
        </w:rPr>
        <w:t>своей</w:t>
      </w:r>
      <w:r>
        <w:rPr>
          <w:i/>
          <w:color w:val="231F20"/>
          <w:spacing w:val="-4"/>
          <w:sz w:val="20"/>
        </w:rPr>
        <w:t> </w:t>
      </w:r>
      <w:r>
        <w:rPr>
          <w:i/>
          <w:color w:val="231F20"/>
          <w:spacing w:val="-2"/>
          <w:sz w:val="20"/>
        </w:rPr>
        <w:t>страны?</w:t>
      </w:r>
    </w:p>
    <w:p>
      <w:pPr>
        <w:pStyle w:val="BodyText"/>
        <w:spacing w:line="228" w:lineRule="auto" w:before="4"/>
        <w:ind w:right="0"/>
        <w:jc w:val="left"/>
      </w:pPr>
      <w:r>
        <w:rPr>
          <w:color w:val="231F20"/>
        </w:rPr>
        <w:t>После</w:t>
      </w:r>
      <w:r>
        <w:rPr>
          <w:color w:val="231F20"/>
          <w:spacing w:val="-8"/>
        </w:rPr>
        <w:t> </w:t>
      </w:r>
      <w:r>
        <w:rPr>
          <w:color w:val="231F20"/>
        </w:rPr>
        <w:t>этого</w:t>
      </w:r>
      <w:r>
        <w:rPr>
          <w:color w:val="231F20"/>
          <w:spacing w:val="-8"/>
        </w:rPr>
        <w:t> </w:t>
      </w:r>
      <w:r>
        <w:rPr>
          <w:color w:val="231F20"/>
        </w:rPr>
        <w:t>ведущий</w:t>
      </w:r>
      <w:r>
        <w:rPr>
          <w:color w:val="231F20"/>
          <w:spacing w:val="-8"/>
        </w:rPr>
        <w:t> </w:t>
      </w:r>
      <w:r>
        <w:rPr>
          <w:color w:val="231F20"/>
        </w:rPr>
        <w:t>аналогичным</w:t>
      </w:r>
      <w:r>
        <w:rPr>
          <w:color w:val="231F20"/>
          <w:spacing w:val="-8"/>
        </w:rPr>
        <w:t> </w:t>
      </w:r>
      <w:r>
        <w:rPr>
          <w:color w:val="231F20"/>
        </w:rPr>
        <w:t>образом</w:t>
      </w:r>
      <w:r>
        <w:rPr>
          <w:color w:val="231F20"/>
          <w:spacing w:val="-8"/>
        </w:rPr>
        <w:t> </w:t>
      </w:r>
      <w:r>
        <w:rPr>
          <w:color w:val="231F20"/>
        </w:rPr>
        <w:t>вводит</w:t>
      </w:r>
      <w:r>
        <w:rPr>
          <w:color w:val="231F20"/>
          <w:spacing w:val="-8"/>
        </w:rPr>
        <w:t> </w:t>
      </w:r>
      <w:r>
        <w:rPr>
          <w:color w:val="231F20"/>
        </w:rPr>
        <w:t>понятие</w:t>
      </w:r>
      <w:r>
        <w:rPr>
          <w:color w:val="231F20"/>
          <w:spacing w:val="-8"/>
        </w:rPr>
        <w:t> </w:t>
      </w:r>
      <w:r>
        <w:rPr>
          <w:color w:val="231F20"/>
        </w:rPr>
        <w:t>социальной</w:t>
      </w:r>
      <w:r>
        <w:rPr>
          <w:color w:val="231F20"/>
          <w:spacing w:val="-8"/>
        </w:rPr>
        <w:t> </w:t>
      </w:r>
      <w:r>
        <w:rPr>
          <w:color w:val="231F20"/>
        </w:rPr>
        <w:t>идентич- ности и ее разновидностей.</w:t>
      </w:r>
    </w:p>
    <w:p>
      <w:pPr>
        <w:pStyle w:val="BodyText"/>
        <w:spacing w:line="228" w:lineRule="auto"/>
        <w:ind w:right="0"/>
        <w:jc w:val="left"/>
      </w:pPr>
      <w:r>
        <w:rPr>
          <w:color w:val="231F20"/>
        </w:rPr>
        <w:t>Когда</w:t>
      </w:r>
      <w:r>
        <w:rPr>
          <w:color w:val="231F20"/>
          <w:spacing w:val="40"/>
        </w:rPr>
        <w:t> </w:t>
      </w:r>
      <w:r>
        <w:rPr>
          <w:color w:val="231F20"/>
        </w:rPr>
        <w:t>участники</w:t>
      </w:r>
      <w:r>
        <w:rPr>
          <w:color w:val="231F20"/>
          <w:spacing w:val="40"/>
        </w:rPr>
        <w:t> </w:t>
      </w:r>
      <w:r>
        <w:rPr>
          <w:color w:val="231F20"/>
        </w:rPr>
        <w:t>познакомились</w:t>
      </w:r>
      <w:r>
        <w:rPr>
          <w:color w:val="231F20"/>
          <w:spacing w:val="40"/>
        </w:rPr>
        <w:t> </w:t>
      </w:r>
      <w:r>
        <w:rPr>
          <w:color w:val="231F20"/>
        </w:rPr>
        <w:t>с</w:t>
      </w:r>
      <w:r>
        <w:rPr>
          <w:color w:val="231F20"/>
          <w:spacing w:val="40"/>
        </w:rPr>
        <w:t> </w:t>
      </w:r>
      <w:r>
        <w:rPr>
          <w:color w:val="231F20"/>
        </w:rPr>
        <w:t>данными</w:t>
      </w:r>
      <w:r>
        <w:rPr>
          <w:color w:val="231F20"/>
          <w:spacing w:val="40"/>
        </w:rPr>
        <w:t> </w:t>
      </w:r>
      <w:r>
        <w:rPr>
          <w:color w:val="231F20"/>
        </w:rPr>
        <w:t>понятиями,</w:t>
      </w:r>
      <w:r>
        <w:rPr>
          <w:color w:val="231F20"/>
          <w:spacing w:val="40"/>
        </w:rPr>
        <w:t> </w:t>
      </w:r>
      <w:r>
        <w:rPr>
          <w:color w:val="231F20"/>
        </w:rPr>
        <w:t>можно</w:t>
      </w:r>
      <w:r>
        <w:rPr>
          <w:color w:val="231F20"/>
          <w:spacing w:val="40"/>
        </w:rPr>
        <w:t> </w:t>
      </w:r>
      <w:r>
        <w:rPr>
          <w:color w:val="231F20"/>
        </w:rPr>
        <w:t>использовать упражнения, содействующие их лучшему усвоению.</w:t>
      </w:r>
    </w:p>
    <w:p>
      <w:pPr>
        <w:spacing w:line="224" w:lineRule="exact" w:before="102"/>
        <w:ind w:left="425" w:right="0" w:firstLine="0"/>
        <w:jc w:val="left"/>
        <w:rPr>
          <w:b/>
          <w:i/>
          <w:sz w:val="20"/>
        </w:rPr>
      </w:pPr>
      <w:r>
        <w:rPr>
          <w:b/>
          <w:i/>
          <w:sz w:val="20"/>
        </w:rPr>
        <w:t>Вариант </w:t>
      </w:r>
      <w:r>
        <w:rPr>
          <w:b/>
          <w:i/>
          <w:spacing w:val="-5"/>
          <w:sz w:val="20"/>
        </w:rPr>
        <w:t>3.</w:t>
      </w:r>
    </w:p>
    <w:p>
      <w:pPr>
        <w:spacing w:line="228" w:lineRule="auto" w:before="3"/>
        <w:ind w:left="141" w:right="139" w:firstLine="283"/>
        <w:jc w:val="both"/>
        <w:rPr>
          <w:sz w:val="20"/>
        </w:rPr>
      </w:pPr>
      <w:r>
        <w:rPr>
          <w:i/>
          <w:sz w:val="20"/>
        </w:rPr>
        <w:t>Предложите участникам нарисовать пять ответов на вопрос «Кто я?». Это могут</w:t>
      </w:r>
      <w:r>
        <w:rPr>
          <w:i/>
          <w:spacing w:val="-4"/>
          <w:sz w:val="20"/>
        </w:rPr>
        <w:t> </w:t>
      </w:r>
      <w:r>
        <w:rPr>
          <w:i/>
          <w:sz w:val="20"/>
        </w:rPr>
        <w:t>быть</w:t>
      </w:r>
      <w:r>
        <w:rPr>
          <w:i/>
          <w:spacing w:val="-4"/>
          <w:sz w:val="20"/>
        </w:rPr>
        <w:t> </w:t>
      </w:r>
      <w:r>
        <w:rPr>
          <w:i/>
          <w:sz w:val="20"/>
        </w:rPr>
        <w:t>символы,</w:t>
      </w:r>
      <w:r>
        <w:rPr>
          <w:i/>
          <w:spacing w:val="-4"/>
          <w:sz w:val="20"/>
        </w:rPr>
        <w:t> </w:t>
      </w:r>
      <w:r>
        <w:rPr>
          <w:i/>
          <w:sz w:val="20"/>
        </w:rPr>
        <w:t>предметы,</w:t>
      </w:r>
      <w:r>
        <w:rPr>
          <w:i/>
          <w:spacing w:val="-4"/>
          <w:sz w:val="20"/>
        </w:rPr>
        <w:t> </w:t>
      </w:r>
      <w:r>
        <w:rPr>
          <w:i/>
          <w:sz w:val="20"/>
        </w:rPr>
        <w:t>связанные</w:t>
      </w:r>
      <w:r>
        <w:rPr>
          <w:i/>
          <w:spacing w:val="-4"/>
          <w:sz w:val="20"/>
        </w:rPr>
        <w:t> </w:t>
      </w:r>
      <w:r>
        <w:rPr>
          <w:i/>
          <w:sz w:val="20"/>
        </w:rPr>
        <w:t>с</w:t>
      </w:r>
      <w:r>
        <w:rPr>
          <w:i/>
          <w:spacing w:val="-4"/>
          <w:sz w:val="20"/>
        </w:rPr>
        <w:t> </w:t>
      </w:r>
      <w:r>
        <w:rPr>
          <w:i/>
          <w:sz w:val="20"/>
        </w:rPr>
        <w:t>той</w:t>
      </w:r>
      <w:r>
        <w:rPr>
          <w:i/>
          <w:spacing w:val="-4"/>
          <w:sz w:val="20"/>
        </w:rPr>
        <w:t> </w:t>
      </w:r>
      <w:r>
        <w:rPr>
          <w:i/>
          <w:sz w:val="20"/>
        </w:rPr>
        <w:t>или</w:t>
      </w:r>
      <w:r>
        <w:rPr>
          <w:i/>
          <w:spacing w:val="-4"/>
          <w:sz w:val="20"/>
        </w:rPr>
        <w:t> </w:t>
      </w:r>
      <w:r>
        <w:rPr>
          <w:i/>
          <w:sz w:val="20"/>
        </w:rPr>
        <w:t>иной</w:t>
      </w:r>
      <w:r>
        <w:rPr>
          <w:i/>
          <w:spacing w:val="-4"/>
          <w:sz w:val="20"/>
        </w:rPr>
        <w:t> </w:t>
      </w:r>
      <w:r>
        <w:rPr>
          <w:i/>
          <w:sz w:val="20"/>
        </w:rPr>
        <w:t>деятельностью</w:t>
      </w:r>
      <w:r>
        <w:rPr>
          <w:i/>
          <w:spacing w:val="-4"/>
          <w:sz w:val="20"/>
        </w:rPr>
        <w:t> </w:t>
      </w:r>
      <w:r>
        <w:rPr>
          <w:i/>
          <w:sz w:val="20"/>
        </w:rPr>
        <w:t>и</w:t>
      </w:r>
      <w:r>
        <w:rPr>
          <w:i/>
          <w:spacing w:val="-4"/>
          <w:sz w:val="20"/>
        </w:rPr>
        <w:t> </w:t>
      </w:r>
      <w:r>
        <w:rPr>
          <w:i/>
          <w:sz w:val="20"/>
        </w:rPr>
        <w:t>пр</w:t>
      </w:r>
      <w:r>
        <w:rPr>
          <w:sz w:val="20"/>
        </w:rPr>
        <w:t>.</w:t>
      </w:r>
      <w:r>
        <w:rPr>
          <w:spacing w:val="-4"/>
          <w:sz w:val="20"/>
        </w:rPr>
        <w:t> </w:t>
      </w:r>
      <w:r>
        <w:rPr>
          <w:sz w:val="20"/>
        </w:rPr>
        <w:t>За- тем попросите участников разбиться на пары и рассказать друг другу о том, что они нарисовали.</w:t>
      </w:r>
      <w:r>
        <w:rPr>
          <w:spacing w:val="-1"/>
          <w:sz w:val="20"/>
        </w:rPr>
        <w:t> </w:t>
      </w:r>
      <w:r>
        <w:rPr>
          <w:sz w:val="20"/>
        </w:rPr>
        <w:t>Попросите</w:t>
      </w:r>
      <w:r>
        <w:rPr>
          <w:spacing w:val="-1"/>
          <w:sz w:val="20"/>
        </w:rPr>
        <w:t> </w:t>
      </w:r>
      <w:r>
        <w:rPr>
          <w:sz w:val="20"/>
        </w:rPr>
        <w:t>каждую</w:t>
      </w:r>
      <w:r>
        <w:rPr>
          <w:spacing w:val="-1"/>
          <w:sz w:val="20"/>
        </w:rPr>
        <w:t> </w:t>
      </w:r>
      <w:r>
        <w:rPr>
          <w:sz w:val="20"/>
        </w:rPr>
        <w:t>пару</w:t>
      </w:r>
      <w:r>
        <w:rPr>
          <w:spacing w:val="-1"/>
          <w:sz w:val="20"/>
        </w:rPr>
        <w:t> </w:t>
      </w:r>
      <w:r>
        <w:rPr>
          <w:sz w:val="20"/>
        </w:rPr>
        <w:t>подумать,</w:t>
      </w:r>
      <w:r>
        <w:rPr>
          <w:spacing w:val="-1"/>
          <w:sz w:val="20"/>
        </w:rPr>
        <w:t> </w:t>
      </w:r>
      <w:r>
        <w:rPr>
          <w:sz w:val="20"/>
        </w:rPr>
        <w:t>чем</w:t>
      </w:r>
      <w:r>
        <w:rPr>
          <w:spacing w:val="-1"/>
          <w:sz w:val="20"/>
        </w:rPr>
        <w:t> </w:t>
      </w:r>
      <w:r>
        <w:rPr>
          <w:sz w:val="20"/>
        </w:rPr>
        <w:t>похожи</w:t>
      </w:r>
      <w:r>
        <w:rPr>
          <w:spacing w:val="-1"/>
          <w:sz w:val="20"/>
        </w:rPr>
        <w:t> </w:t>
      </w:r>
      <w:r>
        <w:rPr>
          <w:i/>
          <w:sz w:val="20"/>
        </w:rPr>
        <w:t>их</w:t>
      </w:r>
      <w:r>
        <w:rPr>
          <w:i/>
          <w:spacing w:val="-1"/>
          <w:sz w:val="20"/>
        </w:rPr>
        <w:t> </w:t>
      </w:r>
      <w:r>
        <w:rPr>
          <w:i/>
          <w:sz w:val="20"/>
        </w:rPr>
        <w:t>рисунки</w:t>
      </w:r>
      <w:r>
        <w:rPr>
          <w:i/>
          <w:spacing w:val="-1"/>
          <w:sz w:val="20"/>
        </w:rPr>
        <w:t> </w:t>
      </w:r>
      <w:r>
        <w:rPr>
          <w:i/>
          <w:sz w:val="20"/>
        </w:rPr>
        <w:t>и</w:t>
      </w:r>
      <w:r>
        <w:rPr>
          <w:i/>
          <w:spacing w:val="-1"/>
          <w:sz w:val="20"/>
        </w:rPr>
        <w:t> </w:t>
      </w:r>
      <w:r>
        <w:rPr>
          <w:i/>
          <w:sz w:val="20"/>
        </w:rPr>
        <w:t>символы,</w:t>
      </w:r>
      <w:r>
        <w:rPr>
          <w:i/>
          <w:spacing w:val="-1"/>
          <w:sz w:val="20"/>
        </w:rPr>
        <w:t> </w:t>
      </w:r>
      <w:r>
        <w:rPr>
          <w:i/>
          <w:sz w:val="20"/>
        </w:rPr>
        <w:t>и затем предложите рассказать о найденных сходствах</w:t>
      </w:r>
      <w:r>
        <w:rPr>
          <w:sz w:val="20"/>
        </w:rPr>
        <w:t>.</w:t>
      </w:r>
    </w:p>
    <w:p>
      <w:pPr>
        <w:spacing w:line="224" w:lineRule="exact" w:before="45"/>
        <w:ind w:left="425" w:right="0" w:firstLine="0"/>
        <w:jc w:val="left"/>
        <w:rPr>
          <w:sz w:val="20"/>
        </w:rPr>
      </w:pPr>
      <w:r>
        <w:rPr>
          <w:i/>
          <w:sz w:val="20"/>
        </w:rPr>
        <w:t>Вопросы</w:t>
      </w:r>
      <w:r>
        <w:rPr>
          <w:i/>
          <w:spacing w:val="-4"/>
          <w:sz w:val="20"/>
        </w:rPr>
        <w:t> </w:t>
      </w:r>
      <w:r>
        <w:rPr>
          <w:i/>
          <w:sz w:val="20"/>
        </w:rPr>
        <w:t>для</w:t>
      </w:r>
      <w:r>
        <w:rPr>
          <w:i/>
          <w:spacing w:val="-3"/>
          <w:sz w:val="20"/>
        </w:rPr>
        <w:t> </w:t>
      </w:r>
      <w:r>
        <w:rPr>
          <w:i/>
          <w:spacing w:val="-2"/>
          <w:sz w:val="20"/>
        </w:rPr>
        <w:t>обсуждения</w:t>
      </w:r>
      <w:r>
        <w:rPr>
          <w:spacing w:val="-2"/>
          <w:sz w:val="20"/>
        </w:rPr>
        <w:t>:</w:t>
      </w:r>
    </w:p>
    <w:p>
      <w:pPr>
        <w:pStyle w:val="ListParagraph"/>
        <w:numPr>
          <w:ilvl w:val="0"/>
          <w:numId w:val="271"/>
        </w:numPr>
        <w:tabs>
          <w:tab w:pos="575" w:val="left" w:leader="none"/>
        </w:tabs>
        <w:spacing w:line="218" w:lineRule="exact" w:before="0" w:after="0"/>
        <w:ind w:left="575" w:right="0" w:hanging="150"/>
        <w:jc w:val="left"/>
        <w:rPr>
          <w:i/>
          <w:sz w:val="20"/>
        </w:rPr>
      </w:pPr>
      <w:r>
        <w:rPr>
          <w:sz w:val="20"/>
        </w:rPr>
        <w:t>Много</w:t>
      </w:r>
      <w:r>
        <w:rPr>
          <w:spacing w:val="-10"/>
          <w:sz w:val="20"/>
        </w:rPr>
        <w:t> </w:t>
      </w:r>
      <w:r>
        <w:rPr>
          <w:sz w:val="20"/>
        </w:rPr>
        <w:t>ли</w:t>
      </w:r>
      <w:r>
        <w:rPr>
          <w:spacing w:val="-11"/>
          <w:sz w:val="20"/>
        </w:rPr>
        <w:t> </w:t>
      </w:r>
      <w:r>
        <w:rPr>
          <w:sz w:val="20"/>
        </w:rPr>
        <w:t>сходств</w:t>
      </w:r>
      <w:r>
        <w:rPr>
          <w:spacing w:val="-10"/>
          <w:sz w:val="20"/>
        </w:rPr>
        <w:t> </w:t>
      </w:r>
      <w:r>
        <w:rPr>
          <w:sz w:val="20"/>
        </w:rPr>
        <w:t>удалось</w:t>
      </w:r>
      <w:r>
        <w:rPr>
          <w:spacing w:val="-10"/>
          <w:sz w:val="20"/>
        </w:rPr>
        <w:t> </w:t>
      </w:r>
      <w:r>
        <w:rPr>
          <w:spacing w:val="-2"/>
          <w:sz w:val="20"/>
        </w:rPr>
        <w:t>найти?</w:t>
      </w:r>
    </w:p>
    <w:p>
      <w:pPr>
        <w:pStyle w:val="ListParagraph"/>
        <w:numPr>
          <w:ilvl w:val="0"/>
          <w:numId w:val="271"/>
        </w:numPr>
        <w:tabs>
          <w:tab w:pos="575" w:val="left" w:leader="none"/>
        </w:tabs>
        <w:spacing w:line="218" w:lineRule="exact" w:before="0" w:after="0"/>
        <w:ind w:left="575" w:right="0" w:hanging="150"/>
        <w:jc w:val="left"/>
        <w:rPr>
          <w:i/>
          <w:sz w:val="20"/>
        </w:rPr>
      </w:pPr>
      <w:r>
        <w:rPr>
          <w:sz w:val="20"/>
        </w:rPr>
        <w:t>Легко</w:t>
      </w:r>
      <w:r>
        <w:rPr>
          <w:spacing w:val="-8"/>
          <w:sz w:val="20"/>
        </w:rPr>
        <w:t> </w:t>
      </w:r>
      <w:r>
        <w:rPr>
          <w:sz w:val="20"/>
        </w:rPr>
        <w:t>ли</w:t>
      </w:r>
      <w:r>
        <w:rPr>
          <w:spacing w:val="-9"/>
          <w:sz w:val="20"/>
        </w:rPr>
        <w:t> </w:t>
      </w:r>
      <w:r>
        <w:rPr>
          <w:sz w:val="20"/>
        </w:rPr>
        <w:t>было</w:t>
      </w:r>
      <w:r>
        <w:rPr>
          <w:spacing w:val="-8"/>
          <w:sz w:val="20"/>
        </w:rPr>
        <w:t> </w:t>
      </w:r>
      <w:r>
        <w:rPr>
          <w:sz w:val="20"/>
        </w:rPr>
        <w:t>находить</w:t>
      </w:r>
      <w:r>
        <w:rPr>
          <w:spacing w:val="-8"/>
          <w:sz w:val="20"/>
        </w:rPr>
        <w:t> </w:t>
      </w:r>
      <w:r>
        <w:rPr>
          <w:spacing w:val="-2"/>
          <w:sz w:val="20"/>
        </w:rPr>
        <w:t>сходства?</w:t>
      </w:r>
    </w:p>
    <w:p>
      <w:pPr>
        <w:pStyle w:val="ListParagraph"/>
        <w:numPr>
          <w:ilvl w:val="0"/>
          <w:numId w:val="271"/>
        </w:numPr>
        <w:tabs>
          <w:tab w:pos="596" w:val="left" w:leader="none"/>
        </w:tabs>
        <w:spacing w:line="228" w:lineRule="auto" w:before="4" w:after="0"/>
        <w:ind w:left="141" w:right="140" w:firstLine="283"/>
        <w:jc w:val="both"/>
        <w:rPr>
          <w:i/>
          <w:sz w:val="20"/>
        </w:rPr>
      </w:pPr>
      <w:r>
        <w:rPr>
          <w:sz w:val="20"/>
        </w:rPr>
        <w:t>Какие чувства и мысли возникали, когда вы обнаруживали сходства? А когда выяснялось, что вы не похожи друг на друга?</w:t>
      </w:r>
    </w:p>
    <w:p>
      <w:pPr>
        <w:pStyle w:val="BodyText"/>
        <w:spacing w:line="220" w:lineRule="exact"/>
        <w:ind w:left="425" w:right="0" w:firstLine="0"/>
      </w:pPr>
      <w:r>
        <w:rPr>
          <w:color w:val="231F20"/>
        </w:rPr>
        <w:t>Дальнейший</w:t>
      </w:r>
      <w:r>
        <w:rPr>
          <w:color w:val="231F20"/>
          <w:spacing w:val="-9"/>
        </w:rPr>
        <w:t> </w:t>
      </w:r>
      <w:r>
        <w:rPr>
          <w:color w:val="231F20"/>
        </w:rPr>
        <w:t>комментарий</w:t>
      </w:r>
      <w:r>
        <w:rPr>
          <w:color w:val="231F20"/>
          <w:spacing w:val="-8"/>
        </w:rPr>
        <w:t> </w:t>
      </w:r>
      <w:r>
        <w:rPr>
          <w:color w:val="231F20"/>
        </w:rPr>
        <w:t>может</w:t>
      </w:r>
      <w:r>
        <w:rPr>
          <w:color w:val="231F20"/>
          <w:spacing w:val="-7"/>
        </w:rPr>
        <w:t> </w:t>
      </w:r>
      <w:r>
        <w:rPr>
          <w:color w:val="231F20"/>
        </w:rPr>
        <w:t>быть</w:t>
      </w:r>
      <w:r>
        <w:rPr>
          <w:color w:val="231F20"/>
          <w:spacing w:val="-9"/>
        </w:rPr>
        <w:t> </w:t>
      </w:r>
      <w:r>
        <w:rPr>
          <w:color w:val="231F20"/>
        </w:rPr>
        <w:t>аналогичен</w:t>
      </w:r>
      <w:r>
        <w:rPr>
          <w:color w:val="231F20"/>
          <w:spacing w:val="-8"/>
        </w:rPr>
        <w:t> </w:t>
      </w:r>
      <w:r>
        <w:rPr>
          <w:color w:val="231F20"/>
        </w:rPr>
        <w:t>варианту</w:t>
      </w:r>
      <w:r>
        <w:rPr>
          <w:color w:val="231F20"/>
          <w:spacing w:val="-7"/>
        </w:rPr>
        <w:t> </w:t>
      </w:r>
      <w:r>
        <w:rPr>
          <w:color w:val="231F20"/>
          <w:spacing w:val="-5"/>
        </w:rPr>
        <w:t>1.</w:t>
      </w:r>
    </w:p>
    <w:p>
      <w:pPr>
        <w:spacing w:line="224" w:lineRule="exact" w:before="101"/>
        <w:ind w:left="425" w:right="0" w:firstLine="0"/>
        <w:jc w:val="both"/>
        <w:rPr>
          <w:b/>
          <w:i/>
          <w:sz w:val="20"/>
        </w:rPr>
      </w:pPr>
      <w:r>
        <w:rPr>
          <w:b/>
          <w:i/>
          <w:color w:val="231F20"/>
          <w:sz w:val="20"/>
        </w:rPr>
        <w:t>Вариант </w:t>
      </w:r>
      <w:r>
        <w:rPr>
          <w:b/>
          <w:i/>
          <w:color w:val="231F20"/>
          <w:spacing w:val="-5"/>
          <w:sz w:val="20"/>
        </w:rPr>
        <w:t>4.</w:t>
      </w:r>
    </w:p>
    <w:p>
      <w:pPr>
        <w:pStyle w:val="BodyText"/>
        <w:spacing w:line="228" w:lineRule="auto" w:before="3"/>
      </w:pPr>
      <w:r>
        <w:rPr>
          <w:color w:val="231F20"/>
        </w:rPr>
        <w:t>Это визуальное представление первого варианта. Предложите участникам нари- совать в центре листа А4 круг, внутри круга написать свое имя. От этого круга идут лучи, завершающиеся также кругами. Ответы на вопросы «Кто Я?» нужно написать в маленьких кругах.</w:t>
      </w:r>
    </w:p>
    <w:p>
      <w:pPr>
        <w:pStyle w:val="BodyText"/>
        <w:ind w:left="0" w:right="0" w:firstLine="0"/>
        <w:jc w:val="left"/>
      </w:pPr>
    </w:p>
    <w:p>
      <w:pPr>
        <w:pStyle w:val="BodyText"/>
        <w:ind w:left="0" w:right="0" w:firstLine="0"/>
        <w:jc w:val="left"/>
      </w:pPr>
    </w:p>
    <w:p>
      <w:pPr>
        <w:pStyle w:val="BodyText"/>
        <w:spacing w:before="9"/>
        <w:ind w:left="0" w:right="0" w:firstLine="0"/>
        <w:jc w:val="left"/>
      </w:pPr>
      <w:r>
        <w:rPr/>
        <mc:AlternateContent>
          <mc:Choice Requires="wps">
            <w:drawing>
              <wp:anchor distT="0" distB="0" distL="0" distR="0" allowOverlap="1" layoutInCell="1" locked="0" behindDoc="1" simplePos="0" relativeHeight="487639552">
                <wp:simplePos x="0" y="0"/>
                <wp:positionH relativeFrom="page">
                  <wp:posOffset>580784</wp:posOffset>
                </wp:positionH>
                <wp:positionV relativeFrom="paragraph">
                  <wp:posOffset>166992</wp:posOffset>
                </wp:positionV>
                <wp:extent cx="4159250" cy="762000"/>
                <wp:effectExtent l="0" t="0" r="0" b="0"/>
                <wp:wrapTopAndBottom/>
                <wp:docPr id="159" name="Group 159"/>
                <wp:cNvGraphicFramePr>
                  <a:graphicFrameLocks/>
                </wp:cNvGraphicFramePr>
                <a:graphic>
                  <a:graphicData uri="http://schemas.microsoft.com/office/word/2010/wordprocessingGroup">
                    <wpg:wgp>
                      <wpg:cNvPr id="159" name="Group 159"/>
                      <wpg:cNvGrpSpPr/>
                      <wpg:grpSpPr>
                        <a:xfrm>
                          <a:off x="0" y="0"/>
                          <a:ext cx="4159250" cy="762000"/>
                          <a:chExt cx="4159250" cy="762000"/>
                        </a:xfrm>
                      </wpg:grpSpPr>
                      <wps:wsp>
                        <wps:cNvPr id="160" name="Graphic 160"/>
                        <wps:cNvSpPr/>
                        <wps:spPr>
                          <a:xfrm>
                            <a:off x="1705580" y="3175"/>
                            <a:ext cx="755650" cy="755650"/>
                          </a:xfrm>
                          <a:custGeom>
                            <a:avLst/>
                            <a:gdLst/>
                            <a:ahLst/>
                            <a:cxnLst/>
                            <a:rect l="l" t="t" r="r" b="b"/>
                            <a:pathLst>
                              <a:path w="755650" h="755650">
                                <a:moveTo>
                                  <a:pt x="377634" y="755269"/>
                                </a:moveTo>
                                <a:lnTo>
                                  <a:pt x="425003" y="752326"/>
                                </a:lnTo>
                                <a:lnTo>
                                  <a:pt x="470617" y="743735"/>
                                </a:lnTo>
                                <a:lnTo>
                                  <a:pt x="514121" y="729849"/>
                                </a:lnTo>
                                <a:lnTo>
                                  <a:pt x="555161" y="711022"/>
                                </a:lnTo>
                                <a:lnTo>
                                  <a:pt x="593384" y="687608"/>
                                </a:lnTo>
                                <a:lnTo>
                                  <a:pt x="628435" y="659961"/>
                                </a:lnTo>
                                <a:lnTo>
                                  <a:pt x="659961" y="628435"/>
                                </a:lnTo>
                                <a:lnTo>
                                  <a:pt x="687608" y="593384"/>
                                </a:lnTo>
                                <a:lnTo>
                                  <a:pt x="711022" y="555161"/>
                                </a:lnTo>
                                <a:lnTo>
                                  <a:pt x="729849" y="514121"/>
                                </a:lnTo>
                                <a:lnTo>
                                  <a:pt x="743735" y="470617"/>
                                </a:lnTo>
                                <a:lnTo>
                                  <a:pt x="752326" y="425003"/>
                                </a:lnTo>
                                <a:lnTo>
                                  <a:pt x="755269" y="377634"/>
                                </a:lnTo>
                                <a:lnTo>
                                  <a:pt x="752326" y="330265"/>
                                </a:lnTo>
                                <a:lnTo>
                                  <a:pt x="743735" y="284651"/>
                                </a:lnTo>
                                <a:lnTo>
                                  <a:pt x="729849" y="241147"/>
                                </a:lnTo>
                                <a:lnTo>
                                  <a:pt x="711022" y="200107"/>
                                </a:lnTo>
                                <a:lnTo>
                                  <a:pt x="687608" y="161884"/>
                                </a:lnTo>
                                <a:lnTo>
                                  <a:pt x="659961" y="126833"/>
                                </a:lnTo>
                                <a:lnTo>
                                  <a:pt x="628435" y="95307"/>
                                </a:lnTo>
                                <a:lnTo>
                                  <a:pt x="593384" y="67660"/>
                                </a:lnTo>
                                <a:lnTo>
                                  <a:pt x="555161" y="44246"/>
                                </a:lnTo>
                                <a:lnTo>
                                  <a:pt x="514121" y="25419"/>
                                </a:lnTo>
                                <a:lnTo>
                                  <a:pt x="470617" y="11533"/>
                                </a:lnTo>
                                <a:lnTo>
                                  <a:pt x="425003" y="2942"/>
                                </a:lnTo>
                                <a:lnTo>
                                  <a:pt x="377634" y="0"/>
                                </a:lnTo>
                                <a:lnTo>
                                  <a:pt x="330265" y="2942"/>
                                </a:lnTo>
                                <a:lnTo>
                                  <a:pt x="284651" y="11533"/>
                                </a:lnTo>
                                <a:lnTo>
                                  <a:pt x="241147" y="25419"/>
                                </a:lnTo>
                                <a:lnTo>
                                  <a:pt x="200107" y="44246"/>
                                </a:lnTo>
                                <a:lnTo>
                                  <a:pt x="161884" y="67660"/>
                                </a:lnTo>
                                <a:lnTo>
                                  <a:pt x="126833" y="95307"/>
                                </a:lnTo>
                                <a:lnTo>
                                  <a:pt x="95307" y="126833"/>
                                </a:lnTo>
                                <a:lnTo>
                                  <a:pt x="67660" y="161884"/>
                                </a:lnTo>
                                <a:lnTo>
                                  <a:pt x="44246" y="200107"/>
                                </a:lnTo>
                                <a:lnTo>
                                  <a:pt x="25419" y="241147"/>
                                </a:lnTo>
                                <a:lnTo>
                                  <a:pt x="11533" y="284651"/>
                                </a:lnTo>
                                <a:lnTo>
                                  <a:pt x="2942" y="330265"/>
                                </a:lnTo>
                                <a:lnTo>
                                  <a:pt x="0" y="377634"/>
                                </a:lnTo>
                                <a:lnTo>
                                  <a:pt x="2942" y="425003"/>
                                </a:lnTo>
                                <a:lnTo>
                                  <a:pt x="11533" y="470617"/>
                                </a:lnTo>
                                <a:lnTo>
                                  <a:pt x="25419" y="514121"/>
                                </a:lnTo>
                                <a:lnTo>
                                  <a:pt x="44246" y="555161"/>
                                </a:lnTo>
                                <a:lnTo>
                                  <a:pt x="67660" y="593384"/>
                                </a:lnTo>
                                <a:lnTo>
                                  <a:pt x="95307" y="628435"/>
                                </a:lnTo>
                                <a:lnTo>
                                  <a:pt x="126833" y="659961"/>
                                </a:lnTo>
                                <a:lnTo>
                                  <a:pt x="161884" y="687608"/>
                                </a:lnTo>
                                <a:lnTo>
                                  <a:pt x="200107" y="711022"/>
                                </a:lnTo>
                                <a:lnTo>
                                  <a:pt x="241147" y="729849"/>
                                </a:lnTo>
                                <a:lnTo>
                                  <a:pt x="284651" y="743735"/>
                                </a:lnTo>
                                <a:lnTo>
                                  <a:pt x="330265" y="752326"/>
                                </a:lnTo>
                                <a:lnTo>
                                  <a:pt x="377634" y="755269"/>
                                </a:lnTo>
                                <a:close/>
                              </a:path>
                            </a:pathLst>
                          </a:custGeom>
                          <a:ln w="6350">
                            <a:solidFill>
                              <a:srgbClr val="231F20"/>
                            </a:solidFill>
                            <a:prstDash val="solid"/>
                          </a:ln>
                        </wps:spPr>
                        <wps:bodyPr wrap="square" lIns="0" tIns="0" rIns="0" bIns="0" rtlCol="0">
                          <a:prstTxWarp prst="textNoShape">
                            <a:avLst/>
                          </a:prstTxWarp>
                          <a:noAutofit/>
                        </wps:bodyPr>
                      </wps:wsp>
                      <wps:wsp>
                        <wps:cNvPr id="161" name="Graphic 161"/>
                        <wps:cNvSpPr/>
                        <wps:spPr>
                          <a:xfrm>
                            <a:off x="3400392" y="3175"/>
                            <a:ext cx="755650" cy="755650"/>
                          </a:xfrm>
                          <a:custGeom>
                            <a:avLst/>
                            <a:gdLst/>
                            <a:ahLst/>
                            <a:cxnLst/>
                            <a:rect l="l" t="t" r="r" b="b"/>
                            <a:pathLst>
                              <a:path w="755650" h="755650">
                                <a:moveTo>
                                  <a:pt x="377634" y="755269"/>
                                </a:moveTo>
                                <a:lnTo>
                                  <a:pt x="425003" y="752326"/>
                                </a:lnTo>
                                <a:lnTo>
                                  <a:pt x="470617" y="743735"/>
                                </a:lnTo>
                                <a:lnTo>
                                  <a:pt x="514121" y="729849"/>
                                </a:lnTo>
                                <a:lnTo>
                                  <a:pt x="555161" y="711022"/>
                                </a:lnTo>
                                <a:lnTo>
                                  <a:pt x="593384" y="687608"/>
                                </a:lnTo>
                                <a:lnTo>
                                  <a:pt x="628435" y="659961"/>
                                </a:lnTo>
                                <a:lnTo>
                                  <a:pt x="659961" y="628435"/>
                                </a:lnTo>
                                <a:lnTo>
                                  <a:pt x="687608" y="593384"/>
                                </a:lnTo>
                                <a:lnTo>
                                  <a:pt x="711022" y="555161"/>
                                </a:lnTo>
                                <a:lnTo>
                                  <a:pt x="729849" y="514121"/>
                                </a:lnTo>
                                <a:lnTo>
                                  <a:pt x="743735" y="470617"/>
                                </a:lnTo>
                                <a:lnTo>
                                  <a:pt x="752326" y="425003"/>
                                </a:lnTo>
                                <a:lnTo>
                                  <a:pt x="755269" y="377634"/>
                                </a:lnTo>
                                <a:lnTo>
                                  <a:pt x="752326" y="330265"/>
                                </a:lnTo>
                                <a:lnTo>
                                  <a:pt x="743735" y="284651"/>
                                </a:lnTo>
                                <a:lnTo>
                                  <a:pt x="729849" y="241147"/>
                                </a:lnTo>
                                <a:lnTo>
                                  <a:pt x="711022" y="200107"/>
                                </a:lnTo>
                                <a:lnTo>
                                  <a:pt x="687608" y="161884"/>
                                </a:lnTo>
                                <a:lnTo>
                                  <a:pt x="659961" y="126833"/>
                                </a:lnTo>
                                <a:lnTo>
                                  <a:pt x="628435" y="95307"/>
                                </a:lnTo>
                                <a:lnTo>
                                  <a:pt x="593384" y="67660"/>
                                </a:lnTo>
                                <a:lnTo>
                                  <a:pt x="555161" y="44246"/>
                                </a:lnTo>
                                <a:lnTo>
                                  <a:pt x="514121" y="25419"/>
                                </a:lnTo>
                                <a:lnTo>
                                  <a:pt x="470617" y="11533"/>
                                </a:lnTo>
                                <a:lnTo>
                                  <a:pt x="425003" y="2942"/>
                                </a:lnTo>
                                <a:lnTo>
                                  <a:pt x="377634" y="0"/>
                                </a:lnTo>
                                <a:lnTo>
                                  <a:pt x="330265" y="2942"/>
                                </a:lnTo>
                                <a:lnTo>
                                  <a:pt x="284651" y="11533"/>
                                </a:lnTo>
                                <a:lnTo>
                                  <a:pt x="241147" y="25419"/>
                                </a:lnTo>
                                <a:lnTo>
                                  <a:pt x="200107" y="44246"/>
                                </a:lnTo>
                                <a:lnTo>
                                  <a:pt x="161884" y="67660"/>
                                </a:lnTo>
                                <a:lnTo>
                                  <a:pt x="126833" y="95307"/>
                                </a:lnTo>
                                <a:lnTo>
                                  <a:pt x="95307" y="126833"/>
                                </a:lnTo>
                                <a:lnTo>
                                  <a:pt x="67660" y="161884"/>
                                </a:lnTo>
                                <a:lnTo>
                                  <a:pt x="44246" y="200107"/>
                                </a:lnTo>
                                <a:lnTo>
                                  <a:pt x="25419" y="241147"/>
                                </a:lnTo>
                                <a:lnTo>
                                  <a:pt x="11533" y="284651"/>
                                </a:lnTo>
                                <a:lnTo>
                                  <a:pt x="2942" y="330265"/>
                                </a:lnTo>
                                <a:lnTo>
                                  <a:pt x="0" y="377634"/>
                                </a:lnTo>
                                <a:lnTo>
                                  <a:pt x="2942" y="425003"/>
                                </a:lnTo>
                                <a:lnTo>
                                  <a:pt x="11533" y="470617"/>
                                </a:lnTo>
                                <a:lnTo>
                                  <a:pt x="25419" y="514121"/>
                                </a:lnTo>
                                <a:lnTo>
                                  <a:pt x="44246" y="555161"/>
                                </a:lnTo>
                                <a:lnTo>
                                  <a:pt x="67660" y="593384"/>
                                </a:lnTo>
                                <a:lnTo>
                                  <a:pt x="95307" y="628435"/>
                                </a:lnTo>
                                <a:lnTo>
                                  <a:pt x="126833" y="659961"/>
                                </a:lnTo>
                                <a:lnTo>
                                  <a:pt x="161884" y="687608"/>
                                </a:lnTo>
                                <a:lnTo>
                                  <a:pt x="200107" y="711022"/>
                                </a:lnTo>
                                <a:lnTo>
                                  <a:pt x="241147" y="729849"/>
                                </a:lnTo>
                                <a:lnTo>
                                  <a:pt x="284651" y="743735"/>
                                </a:lnTo>
                                <a:lnTo>
                                  <a:pt x="330265" y="752326"/>
                                </a:lnTo>
                                <a:lnTo>
                                  <a:pt x="377634" y="755269"/>
                                </a:lnTo>
                                <a:close/>
                              </a:path>
                            </a:pathLst>
                          </a:custGeom>
                          <a:ln w="6350">
                            <a:solidFill>
                              <a:srgbClr val="231F20"/>
                            </a:solidFill>
                            <a:prstDash val="solid"/>
                          </a:ln>
                        </wps:spPr>
                        <wps:bodyPr wrap="square" lIns="0" tIns="0" rIns="0" bIns="0" rtlCol="0">
                          <a:prstTxWarp prst="textNoShape">
                            <a:avLst/>
                          </a:prstTxWarp>
                          <a:noAutofit/>
                        </wps:bodyPr>
                      </wps:wsp>
                      <wps:wsp>
                        <wps:cNvPr id="162" name="Graphic 162"/>
                        <wps:cNvSpPr/>
                        <wps:spPr>
                          <a:xfrm>
                            <a:off x="3175" y="3175"/>
                            <a:ext cx="755650" cy="755650"/>
                          </a:xfrm>
                          <a:custGeom>
                            <a:avLst/>
                            <a:gdLst/>
                            <a:ahLst/>
                            <a:cxnLst/>
                            <a:rect l="l" t="t" r="r" b="b"/>
                            <a:pathLst>
                              <a:path w="755650" h="755650">
                                <a:moveTo>
                                  <a:pt x="377634" y="755269"/>
                                </a:moveTo>
                                <a:lnTo>
                                  <a:pt x="425003" y="752326"/>
                                </a:lnTo>
                                <a:lnTo>
                                  <a:pt x="470617" y="743735"/>
                                </a:lnTo>
                                <a:lnTo>
                                  <a:pt x="514121" y="729849"/>
                                </a:lnTo>
                                <a:lnTo>
                                  <a:pt x="555161" y="711022"/>
                                </a:lnTo>
                                <a:lnTo>
                                  <a:pt x="593384" y="687608"/>
                                </a:lnTo>
                                <a:lnTo>
                                  <a:pt x="628435" y="659961"/>
                                </a:lnTo>
                                <a:lnTo>
                                  <a:pt x="659961" y="628435"/>
                                </a:lnTo>
                                <a:lnTo>
                                  <a:pt x="687608" y="593384"/>
                                </a:lnTo>
                                <a:lnTo>
                                  <a:pt x="711022" y="555161"/>
                                </a:lnTo>
                                <a:lnTo>
                                  <a:pt x="729849" y="514121"/>
                                </a:lnTo>
                                <a:lnTo>
                                  <a:pt x="743735" y="470617"/>
                                </a:lnTo>
                                <a:lnTo>
                                  <a:pt x="752326" y="425003"/>
                                </a:lnTo>
                                <a:lnTo>
                                  <a:pt x="755269" y="377634"/>
                                </a:lnTo>
                                <a:lnTo>
                                  <a:pt x="752326" y="330265"/>
                                </a:lnTo>
                                <a:lnTo>
                                  <a:pt x="743735" y="284651"/>
                                </a:lnTo>
                                <a:lnTo>
                                  <a:pt x="729849" y="241147"/>
                                </a:lnTo>
                                <a:lnTo>
                                  <a:pt x="711022" y="200107"/>
                                </a:lnTo>
                                <a:lnTo>
                                  <a:pt x="687608" y="161884"/>
                                </a:lnTo>
                                <a:lnTo>
                                  <a:pt x="659961" y="126833"/>
                                </a:lnTo>
                                <a:lnTo>
                                  <a:pt x="628435" y="95307"/>
                                </a:lnTo>
                                <a:lnTo>
                                  <a:pt x="593384" y="67660"/>
                                </a:lnTo>
                                <a:lnTo>
                                  <a:pt x="555161" y="44246"/>
                                </a:lnTo>
                                <a:lnTo>
                                  <a:pt x="514121" y="25419"/>
                                </a:lnTo>
                                <a:lnTo>
                                  <a:pt x="470617" y="11533"/>
                                </a:lnTo>
                                <a:lnTo>
                                  <a:pt x="425003" y="2942"/>
                                </a:lnTo>
                                <a:lnTo>
                                  <a:pt x="377634" y="0"/>
                                </a:lnTo>
                                <a:lnTo>
                                  <a:pt x="330265" y="2942"/>
                                </a:lnTo>
                                <a:lnTo>
                                  <a:pt x="284651" y="11533"/>
                                </a:lnTo>
                                <a:lnTo>
                                  <a:pt x="241147" y="25419"/>
                                </a:lnTo>
                                <a:lnTo>
                                  <a:pt x="200107" y="44246"/>
                                </a:lnTo>
                                <a:lnTo>
                                  <a:pt x="161884" y="67660"/>
                                </a:lnTo>
                                <a:lnTo>
                                  <a:pt x="126833" y="95307"/>
                                </a:lnTo>
                                <a:lnTo>
                                  <a:pt x="95307" y="126833"/>
                                </a:lnTo>
                                <a:lnTo>
                                  <a:pt x="67660" y="161884"/>
                                </a:lnTo>
                                <a:lnTo>
                                  <a:pt x="44246" y="200107"/>
                                </a:lnTo>
                                <a:lnTo>
                                  <a:pt x="25419" y="241147"/>
                                </a:lnTo>
                                <a:lnTo>
                                  <a:pt x="11533" y="284651"/>
                                </a:lnTo>
                                <a:lnTo>
                                  <a:pt x="2942" y="330265"/>
                                </a:lnTo>
                                <a:lnTo>
                                  <a:pt x="0" y="377634"/>
                                </a:lnTo>
                                <a:lnTo>
                                  <a:pt x="2942" y="425003"/>
                                </a:lnTo>
                                <a:lnTo>
                                  <a:pt x="11533" y="470617"/>
                                </a:lnTo>
                                <a:lnTo>
                                  <a:pt x="25419" y="514121"/>
                                </a:lnTo>
                                <a:lnTo>
                                  <a:pt x="44246" y="555161"/>
                                </a:lnTo>
                                <a:lnTo>
                                  <a:pt x="67660" y="593384"/>
                                </a:lnTo>
                                <a:lnTo>
                                  <a:pt x="95307" y="628435"/>
                                </a:lnTo>
                                <a:lnTo>
                                  <a:pt x="126833" y="659961"/>
                                </a:lnTo>
                                <a:lnTo>
                                  <a:pt x="161884" y="687608"/>
                                </a:lnTo>
                                <a:lnTo>
                                  <a:pt x="200107" y="711022"/>
                                </a:lnTo>
                                <a:lnTo>
                                  <a:pt x="241147" y="729849"/>
                                </a:lnTo>
                                <a:lnTo>
                                  <a:pt x="284651" y="743735"/>
                                </a:lnTo>
                                <a:lnTo>
                                  <a:pt x="330265" y="752326"/>
                                </a:lnTo>
                                <a:lnTo>
                                  <a:pt x="377634" y="755269"/>
                                </a:lnTo>
                                <a:close/>
                              </a:path>
                            </a:pathLst>
                          </a:custGeom>
                          <a:ln w="6350">
                            <a:solidFill>
                              <a:srgbClr val="231F20"/>
                            </a:solidFill>
                            <a:prstDash val="solid"/>
                          </a:ln>
                        </wps:spPr>
                        <wps:bodyPr wrap="square" lIns="0" tIns="0" rIns="0" bIns="0" rtlCol="0">
                          <a:prstTxWarp prst="textNoShape">
                            <a:avLst/>
                          </a:prstTxWarp>
                          <a:noAutofit/>
                        </wps:bodyPr>
                      </wps:wsp>
                      <wps:wsp>
                        <wps:cNvPr id="163" name="Graphic 163"/>
                        <wps:cNvSpPr/>
                        <wps:spPr>
                          <a:xfrm>
                            <a:off x="761621" y="380812"/>
                            <a:ext cx="941069" cy="1270"/>
                          </a:xfrm>
                          <a:custGeom>
                            <a:avLst/>
                            <a:gdLst/>
                            <a:ahLst/>
                            <a:cxnLst/>
                            <a:rect l="l" t="t" r="r" b="b"/>
                            <a:pathLst>
                              <a:path w="941069" h="0">
                                <a:moveTo>
                                  <a:pt x="0" y="0"/>
                                </a:moveTo>
                                <a:lnTo>
                                  <a:pt x="940777" y="0"/>
                                </a:lnTo>
                              </a:path>
                            </a:pathLst>
                          </a:custGeom>
                          <a:ln w="6350">
                            <a:solidFill>
                              <a:srgbClr val="231F20"/>
                            </a:solidFill>
                            <a:prstDash val="solid"/>
                          </a:ln>
                        </wps:spPr>
                        <wps:bodyPr wrap="square" lIns="0" tIns="0" rIns="0" bIns="0" rtlCol="0">
                          <a:prstTxWarp prst="textNoShape">
                            <a:avLst/>
                          </a:prstTxWarp>
                          <a:noAutofit/>
                        </wps:bodyPr>
                      </wps:wsp>
                      <wps:wsp>
                        <wps:cNvPr id="164" name="Graphic 164"/>
                        <wps:cNvSpPr/>
                        <wps:spPr>
                          <a:xfrm>
                            <a:off x="2464027" y="380812"/>
                            <a:ext cx="941069" cy="1270"/>
                          </a:xfrm>
                          <a:custGeom>
                            <a:avLst/>
                            <a:gdLst/>
                            <a:ahLst/>
                            <a:cxnLst/>
                            <a:rect l="l" t="t" r="r" b="b"/>
                            <a:pathLst>
                              <a:path w="941069" h="0">
                                <a:moveTo>
                                  <a:pt x="0" y="0"/>
                                </a:moveTo>
                                <a:lnTo>
                                  <a:pt x="940777"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5.731098pt;margin-top:13.149023pt;width:327.5pt;height:60pt;mso-position-horizontal-relative:page;mso-position-vertical-relative:paragraph;z-index:-15676928;mso-wrap-distance-left:0;mso-wrap-distance-right:0" id="docshapegroup101" coordorigin="915,263" coordsize="6550,1200">
                <v:shape style="position:absolute;left:3600;top:267;width:1190;height:1190" id="docshape102" coordorigin="3601,268" coordsize="1190,1190" path="m4195,1457l4270,1453,4342,1439,4410,1417,4475,1388,4535,1351,4590,1307,4640,1258,4683,1202,4720,1142,4750,1078,4772,1009,4785,937,4790,863,4785,788,4772,716,4750,648,4720,583,4683,523,4640,468,4590,418,4535,375,4475,338,4410,308,4342,286,4270,273,4195,268,4121,273,4049,286,3980,308,3916,338,3856,375,3800,418,3751,468,3707,523,3670,583,3641,648,3619,716,3605,788,3601,863,3605,937,3619,1009,3641,1078,3670,1142,3707,1202,3751,1258,3800,1307,3856,1351,3916,1388,3980,1417,4049,1439,4121,1453,4195,1457xe" filled="false" stroked="true" strokeweight=".5pt" strokecolor="#231f20">
                  <v:path arrowok="t"/>
                  <v:stroke dashstyle="solid"/>
                </v:shape>
                <v:shape style="position:absolute;left:6269;top:267;width:1190;height:1190" id="docshape103" coordorigin="6270,268" coordsize="1190,1190" path="m6864,1457l6939,1453,7011,1439,7079,1417,7144,1388,7204,1351,7259,1307,7309,1258,7352,1202,7389,1142,7419,1078,7441,1009,7454,937,7459,863,7454,788,7441,716,7419,648,7389,583,7352,523,7309,468,7259,418,7204,375,7144,338,7079,308,7011,286,6939,273,6864,268,6790,273,6718,286,6649,308,6585,338,6525,375,6469,418,6420,468,6376,523,6339,583,6310,648,6288,716,6274,788,6270,863,6274,937,6288,1009,6310,1078,6339,1142,6376,1202,6420,1258,6469,1307,6525,1351,6585,1388,6649,1417,6718,1439,6790,1453,6864,1457xe" filled="false" stroked="true" strokeweight=".5pt" strokecolor="#231f20">
                  <v:path arrowok="t"/>
                  <v:stroke dashstyle="solid"/>
                </v:shape>
                <v:shape style="position:absolute;left:919;top:267;width:1190;height:1190" id="docshape104" coordorigin="920,268" coordsize="1190,1190" path="m1514,1457l1589,1453,1661,1439,1729,1417,1794,1388,1854,1351,1909,1307,1959,1258,2002,1202,2039,1142,2069,1078,2091,1009,2104,937,2109,863,2104,788,2091,716,2069,648,2039,583,2002,523,1959,468,1909,418,1854,375,1794,338,1729,308,1661,286,1589,273,1514,268,1440,273,1368,286,1299,308,1235,338,1175,375,1119,418,1070,468,1026,523,989,583,960,648,938,716,924,788,920,863,924,937,938,1009,960,1078,989,1142,1026,1202,1070,1258,1119,1307,1175,1351,1235,1388,1299,1417,1368,1439,1440,1453,1514,1457xe" filled="false" stroked="true" strokeweight=".5pt" strokecolor="#231f20">
                  <v:path arrowok="t"/>
                  <v:stroke dashstyle="solid"/>
                </v:shape>
                <v:line style="position:absolute" from="2114,863" to="3596,863" stroked="true" strokeweight=".5pt" strokecolor="#231f20">
                  <v:stroke dashstyle="solid"/>
                </v:line>
                <v:line style="position:absolute" from="4795,863" to="6277,863" stroked="true" strokeweight=".5pt" strokecolor="#231f20">
                  <v:stroke dashstyle="solid"/>
                </v:line>
                <w10:wrap type="topAndBottom"/>
              </v:group>
            </w:pict>
          </mc:Fallback>
        </mc:AlternateContent>
      </w:r>
    </w:p>
    <w:p>
      <w:pPr>
        <w:pStyle w:val="BodyText"/>
        <w:spacing w:after="0"/>
        <w:jc w:val="left"/>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before="112"/>
        <w:ind w:left="303" w:right="303" w:firstLine="0"/>
        <w:jc w:val="center"/>
        <w:rPr>
          <w:b/>
          <w:sz w:val="20"/>
        </w:rPr>
      </w:pPr>
      <w:r>
        <w:rPr>
          <w:sz w:val="20"/>
        </w:rPr>
        <w:t>«</w:t>
      </w:r>
      <w:r>
        <w:rPr>
          <w:b/>
          <w:sz w:val="20"/>
        </w:rPr>
        <w:t>Кто</w:t>
      </w:r>
      <w:r>
        <w:rPr>
          <w:b/>
          <w:spacing w:val="-6"/>
          <w:sz w:val="20"/>
        </w:rPr>
        <w:t> </w:t>
      </w:r>
      <w:r>
        <w:rPr>
          <w:b/>
          <w:sz w:val="20"/>
        </w:rPr>
        <w:t>я?</w:t>
      </w:r>
      <w:r>
        <w:rPr>
          <w:b/>
          <w:spacing w:val="-5"/>
          <w:sz w:val="20"/>
        </w:rPr>
        <w:t> </w:t>
      </w:r>
      <w:r>
        <w:rPr>
          <w:b/>
          <w:sz w:val="20"/>
        </w:rPr>
        <w:t>Кто</w:t>
      </w:r>
      <w:r>
        <w:rPr>
          <w:b/>
          <w:spacing w:val="-5"/>
          <w:sz w:val="20"/>
        </w:rPr>
        <w:t> </w:t>
      </w:r>
      <w:r>
        <w:rPr>
          <w:b/>
          <w:spacing w:val="-4"/>
          <w:sz w:val="20"/>
        </w:rPr>
        <w:t>мы?»</w:t>
      </w:r>
    </w:p>
    <w:p>
      <w:pPr>
        <w:spacing w:before="109"/>
        <w:ind w:left="425" w:right="0" w:firstLine="2751"/>
        <w:jc w:val="both"/>
        <w:rPr>
          <w:i/>
          <w:sz w:val="20"/>
        </w:rPr>
      </w:pPr>
      <w:r>
        <w:rPr>
          <w:b/>
          <w:i/>
          <w:sz w:val="20"/>
        </w:rPr>
        <w:t>Источник:</w:t>
      </w:r>
      <w:r>
        <w:rPr>
          <w:b/>
          <w:i/>
          <w:spacing w:val="-8"/>
          <w:sz w:val="20"/>
        </w:rPr>
        <w:t> </w:t>
      </w:r>
      <w:r>
        <w:rPr>
          <w:i/>
          <w:sz w:val="20"/>
        </w:rPr>
        <w:t>авторская</w:t>
      </w:r>
      <w:r>
        <w:rPr>
          <w:i/>
          <w:spacing w:val="-5"/>
          <w:sz w:val="20"/>
        </w:rPr>
        <w:t> </w:t>
      </w:r>
      <w:r>
        <w:rPr>
          <w:i/>
          <w:sz w:val="20"/>
        </w:rPr>
        <w:t>разработка</w:t>
      </w:r>
      <w:r>
        <w:rPr>
          <w:i/>
          <w:spacing w:val="-6"/>
          <w:sz w:val="20"/>
        </w:rPr>
        <w:t> </w:t>
      </w:r>
      <w:r>
        <w:rPr>
          <w:i/>
          <w:sz w:val="20"/>
        </w:rPr>
        <w:t>О.Е.</w:t>
      </w:r>
      <w:r>
        <w:rPr>
          <w:i/>
          <w:spacing w:val="-5"/>
          <w:sz w:val="20"/>
        </w:rPr>
        <w:t> </w:t>
      </w:r>
      <w:r>
        <w:rPr>
          <w:i/>
          <w:spacing w:val="-2"/>
          <w:sz w:val="20"/>
        </w:rPr>
        <w:t>Хухлаева</w:t>
      </w:r>
    </w:p>
    <w:p>
      <w:pPr>
        <w:pStyle w:val="BodyText"/>
        <w:spacing w:line="235" w:lineRule="auto" w:before="114"/>
      </w:pPr>
      <w:r>
        <w:rPr/>
        <w:t>Психолог просит участников подумать и письменно десять раз (на листе бумаги) ответить на вопрос «Кто я?». Для старшеклассников можно предложить увеличить количество ответов до 15–20.</w:t>
      </w:r>
    </w:p>
    <w:p>
      <w:pPr>
        <w:pStyle w:val="BodyText"/>
        <w:spacing w:line="237" w:lineRule="auto"/>
      </w:pPr>
      <w:r>
        <w:rPr/>
        <w:t>Затем</w:t>
      </w:r>
      <w:r>
        <w:rPr>
          <w:spacing w:val="-8"/>
        </w:rPr>
        <w:t> </w:t>
      </w:r>
      <w:r>
        <w:rPr/>
        <w:t>психолог</w:t>
      </w:r>
      <w:r>
        <w:rPr>
          <w:spacing w:val="-8"/>
        </w:rPr>
        <w:t> </w:t>
      </w:r>
      <w:r>
        <w:rPr/>
        <w:t>просит</w:t>
      </w:r>
      <w:r>
        <w:rPr>
          <w:spacing w:val="-8"/>
        </w:rPr>
        <w:t> </w:t>
      </w:r>
      <w:r>
        <w:rPr/>
        <w:t>участников</w:t>
      </w:r>
      <w:r>
        <w:rPr>
          <w:spacing w:val="-8"/>
        </w:rPr>
        <w:t> </w:t>
      </w:r>
      <w:r>
        <w:rPr/>
        <w:t>выбрать</w:t>
      </w:r>
      <w:r>
        <w:rPr>
          <w:spacing w:val="-8"/>
        </w:rPr>
        <w:t> </w:t>
      </w:r>
      <w:r>
        <w:rPr/>
        <w:t>и</w:t>
      </w:r>
      <w:r>
        <w:rPr>
          <w:spacing w:val="-8"/>
        </w:rPr>
        <w:t> </w:t>
      </w:r>
      <w:r>
        <w:rPr/>
        <w:t>отметить</w:t>
      </w:r>
      <w:r>
        <w:rPr>
          <w:spacing w:val="-8"/>
        </w:rPr>
        <w:t> </w:t>
      </w:r>
      <w:r>
        <w:rPr/>
        <w:t>на</w:t>
      </w:r>
      <w:r>
        <w:rPr>
          <w:spacing w:val="-8"/>
        </w:rPr>
        <w:t> </w:t>
      </w:r>
      <w:r>
        <w:rPr/>
        <w:t>листе</w:t>
      </w:r>
      <w:r>
        <w:rPr>
          <w:spacing w:val="-8"/>
        </w:rPr>
        <w:t> </w:t>
      </w:r>
      <w:r>
        <w:rPr/>
        <w:t>по</w:t>
      </w:r>
      <w:r>
        <w:rPr>
          <w:spacing w:val="-8"/>
        </w:rPr>
        <w:t> </w:t>
      </w:r>
      <w:r>
        <w:rPr/>
        <w:t>два-три</w:t>
      </w:r>
      <w:r>
        <w:rPr>
          <w:spacing w:val="-8"/>
        </w:rPr>
        <w:t> </w:t>
      </w:r>
      <w:r>
        <w:rPr/>
        <w:t>самых главных для него ответов на вопрос «Кто я?» которые характеризуют его как пред- ставителя</w:t>
      </w:r>
      <w:r>
        <w:rPr>
          <w:spacing w:val="-2"/>
        </w:rPr>
        <w:t> </w:t>
      </w:r>
      <w:r>
        <w:rPr/>
        <w:t>социальной</w:t>
      </w:r>
      <w:r>
        <w:rPr>
          <w:spacing w:val="-2"/>
        </w:rPr>
        <w:t> </w:t>
      </w:r>
      <w:r>
        <w:rPr/>
        <w:t>группы.</w:t>
      </w:r>
      <w:r>
        <w:rPr>
          <w:spacing w:val="-2"/>
        </w:rPr>
        <w:t> </w:t>
      </w:r>
      <w:r>
        <w:rPr/>
        <w:t>Это</w:t>
      </w:r>
      <w:r>
        <w:rPr>
          <w:spacing w:val="-2"/>
        </w:rPr>
        <w:t> </w:t>
      </w:r>
      <w:r>
        <w:rPr/>
        <w:t>может</w:t>
      </w:r>
      <w:r>
        <w:rPr>
          <w:spacing w:val="-2"/>
        </w:rPr>
        <w:t> </w:t>
      </w:r>
      <w:r>
        <w:rPr/>
        <w:t>быть</w:t>
      </w:r>
      <w:r>
        <w:rPr>
          <w:spacing w:val="-2"/>
        </w:rPr>
        <w:t> </w:t>
      </w:r>
      <w:r>
        <w:rPr/>
        <w:t>гражданская</w:t>
      </w:r>
      <w:r>
        <w:rPr>
          <w:spacing w:val="-2"/>
        </w:rPr>
        <w:t> </w:t>
      </w:r>
      <w:r>
        <w:rPr/>
        <w:t>(страновая)</w:t>
      </w:r>
      <w:r>
        <w:rPr>
          <w:spacing w:val="-2"/>
        </w:rPr>
        <w:t> </w:t>
      </w:r>
      <w:r>
        <w:rPr/>
        <w:t>принадлеж- ность, этничность, гендерная, возрастная и иные социальные идентичности.</w:t>
      </w:r>
    </w:p>
    <w:p>
      <w:pPr>
        <w:pStyle w:val="BodyText"/>
        <w:spacing w:line="242" w:lineRule="auto" w:before="7"/>
        <w:jc w:val="right"/>
      </w:pPr>
      <w:r>
        <w:rPr/>
        <w:t>После этого психолог просит участников выбрать по два-три самых главных для </w:t>
      </w:r>
      <w:r>
        <w:rPr>
          <w:spacing w:val="-2"/>
        </w:rPr>
        <w:t>него</w:t>
      </w:r>
      <w:r>
        <w:rPr>
          <w:spacing w:val="-11"/>
        </w:rPr>
        <w:t> </w:t>
      </w:r>
      <w:r>
        <w:rPr>
          <w:spacing w:val="-2"/>
        </w:rPr>
        <w:t>ответов</w:t>
      </w:r>
      <w:r>
        <w:rPr>
          <w:spacing w:val="-10"/>
        </w:rPr>
        <w:t> </w:t>
      </w:r>
      <w:r>
        <w:rPr>
          <w:spacing w:val="-2"/>
        </w:rPr>
        <w:t>на</w:t>
      </w:r>
      <w:r>
        <w:rPr>
          <w:spacing w:val="-11"/>
        </w:rPr>
        <w:t> </w:t>
      </w:r>
      <w:r>
        <w:rPr>
          <w:spacing w:val="-2"/>
        </w:rPr>
        <w:t>вопрос</w:t>
      </w:r>
      <w:r>
        <w:rPr>
          <w:spacing w:val="-10"/>
        </w:rPr>
        <w:t> </w:t>
      </w:r>
      <w:r>
        <w:rPr>
          <w:spacing w:val="-2"/>
        </w:rPr>
        <w:t>«Кто</w:t>
      </w:r>
      <w:r>
        <w:rPr>
          <w:spacing w:val="-11"/>
        </w:rPr>
        <w:t> </w:t>
      </w:r>
      <w:r>
        <w:rPr>
          <w:spacing w:val="-2"/>
        </w:rPr>
        <w:t>я?»</w:t>
      </w:r>
      <w:r>
        <w:rPr>
          <w:spacing w:val="-10"/>
        </w:rPr>
        <w:t> </w:t>
      </w:r>
      <w:r>
        <w:rPr>
          <w:spacing w:val="-2"/>
        </w:rPr>
        <w:t>которые</w:t>
      </w:r>
      <w:r>
        <w:rPr>
          <w:spacing w:val="-11"/>
        </w:rPr>
        <w:t> </w:t>
      </w:r>
      <w:r>
        <w:rPr>
          <w:spacing w:val="-2"/>
        </w:rPr>
        <w:t>характеризуют</w:t>
      </w:r>
      <w:r>
        <w:rPr>
          <w:spacing w:val="-10"/>
        </w:rPr>
        <w:t> </w:t>
      </w:r>
      <w:r>
        <w:rPr>
          <w:spacing w:val="-2"/>
        </w:rPr>
        <w:t>его</w:t>
      </w:r>
      <w:r>
        <w:rPr>
          <w:spacing w:val="-11"/>
        </w:rPr>
        <w:t> </w:t>
      </w:r>
      <w:r>
        <w:rPr>
          <w:spacing w:val="-2"/>
        </w:rPr>
        <w:t>как</w:t>
      </w:r>
      <w:r>
        <w:rPr>
          <w:spacing w:val="-10"/>
        </w:rPr>
        <w:t> </w:t>
      </w:r>
      <w:r>
        <w:rPr>
          <w:spacing w:val="-2"/>
        </w:rPr>
        <w:t>уникального</w:t>
      </w:r>
      <w:r>
        <w:rPr>
          <w:spacing w:val="-11"/>
        </w:rPr>
        <w:t> </w:t>
      </w:r>
      <w:r>
        <w:rPr>
          <w:spacing w:val="-2"/>
        </w:rPr>
        <w:t>человека. </w:t>
      </w:r>
      <w:r>
        <w:rPr/>
        <w:t>Затем участники объединяются в мини-группы по 4–5 человек. Мини-группы по- лучают задание изобразить на большом листе (ватмана или А3) контуры человече- ской</w:t>
      </w:r>
      <w:r>
        <w:rPr>
          <w:spacing w:val="-5"/>
        </w:rPr>
        <w:t> </w:t>
      </w:r>
      <w:r>
        <w:rPr/>
        <w:t>фигуры</w:t>
      </w:r>
      <w:r>
        <w:rPr>
          <w:spacing w:val="-5"/>
        </w:rPr>
        <w:t> </w:t>
      </w:r>
      <w:r>
        <w:rPr/>
        <w:t>и</w:t>
      </w:r>
      <w:r>
        <w:rPr>
          <w:spacing w:val="-5"/>
        </w:rPr>
        <w:t> </w:t>
      </w:r>
      <w:r>
        <w:rPr/>
        <w:t>вписать</w:t>
      </w:r>
      <w:r>
        <w:rPr>
          <w:spacing w:val="-5"/>
        </w:rPr>
        <w:t> </w:t>
      </w:r>
      <w:r>
        <w:rPr/>
        <w:t>крупными</w:t>
      </w:r>
      <w:r>
        <w:rPr>
          <w:spacing w:val="-5"/>
        </w:rPr>
        <w:t> </w:t>
      </w:r>
      <w:r>
        <w:rPr/>
        <w:t>буквами</w:t>
      </w:r>
      <w:r>
        <w:rPr>
          <w:spacing w:val="-5"/>
        </w:rPr>
        <w:t> </w:t>
      </w:r>
      <w:r>
        <w:rPr/>
        <w:t>основные</w:t>
      </w:r>
      <w:r>
        <w:rPr>
          <w:spacing w:val="-5"/>
        </w:rPr>
        <w:t> </w:t>
      </w:r>
      <w:r>
        <w:rPr/>
        <w:t>ответы</w:t>
      </w:r>
      <w:r>
        <w:rPr>
          <w:spacing w:val="-5"/>
        </w:rPr>
        <w:t> </w:t>
      </w:r>
      <w:r>
        <w:rPr/>
        <w:t>на</w:t>
      </w:r>
      <w:r>
        <w:rPr>
          <w:spacing w:val="-5"/>
        </w:rPr>
        <w:t> </w:t>
      </w:r>
      <w:r>
        <w:rPr/>
        <w:t>вопрос</w:t>
      </w:r>
      <w:r>
        <w:rPr>
          <w:spacing w:val="-5"/>
        </w:rPr>
        <w:t> </w:t>
      </w:r>
      <w:r>
        <w:rPr/>
        <w:t>«Кто</w:t>
      </w:r>
      <w:r>
        <w:rPr>
          <w:spacing w:val="-5"/>
        </w:rPr>
        <w:t> </w:t>
      </w:r>
      <w:r>
        <w:rPr/>
        <w:t>я?»</w:t>
      </w:r>
      <w:r>
        <w:rPr>
          <w:spacing w:val="-5"/>
        </w:rPr>
        <w:t> </w:t>
      </w:r>
      <w:r>
        <w:rPr/>
        <w:t>всех участников</w:t>
      </w:r>
      <w:r>
        <w:rPr>
          <w:spacing w:val="-6"/>
        </w:rPr>
        <w:t> </w:t>
      </w:r>
      <w:r>
        <w:rPr/>
        <w:t>группы.</w:t>
      </w:r>
      <w:r>
        <w:rPr>
          <w:spacing w:val="-6"/>
        </w:rPr>
        <w:t> </w:t>
      </w:r>
      <w:r>
        <w:rPr/>
        <w:t>Один</w:t>
      </w:r>
      <w:r>
        <w:rPr>
          <w:spacing w:val="-6"/>
        </w:rPr>
        <w:t> </w:t>
      </w:r>
      <w:r>
        <w:rPr/>
        <w:t>вариант,</w:t>
      </w:r>
      <w:r>
        <w:rPr>
          <w:spacing w:val="-6"/>
        </w:rPr>
        <w:t> </w:t>
      </w:r>
      <w:r>
        <w:rPr/>
        <w:t>встречающийся</w:t>
      </w:r>
      <w:r>
        <w:rPr>
          <w:spacing w:val="-6"/>
        </w:rPr>
        <w:t> </w:t>
      </w:r>
      <w:r>
        <w:rPr/>
        <w:t>у</w:t>
      </w:r>
      <w:r>
        <w:rPr>
          <w:spacing w:val="-6"/>
        </w:rPr>
        <w:t> </w:t>
      </w:r>
      <w:r>
        <w:rPr/>
        <w:t>нескольких</w:t>
      </w:r>
      <w:r>
        <w:rPr>
          <w:spacing w:val="-6"/>
        </w:rPr>
        <w:t> </w:t>
      </w:r>
      <w:r>
        <w:rPr/>
        <w:t>участников</w:t>
      </w:r>
      <w:r>
        <w:rPr>
          <w:spacing w:val="-6"/>
        </w:rPr>
        <w:t> </w:t>
      </w:r>
      <w:r>
        <w:rPr/>
        <w:t>(напри- мер,</w:t>
      </w:r>
      <w:r>
        <w:rPr>
          <w:spacing w:val="16"/>
        </w:rPr>
        <w:t> </w:t>
      </w:r>
      <w:r>
        <w:rPr/>
        <w:t>школьник,</w:t>
      </w:r>
      <w:r>
        <w:rPr>
          <w:spacing w:val="16"/>
        </w:rPr>
        <w:t> </w:t>
      </w:r>
      <w:r>
        <w:rPr/>
        <w:t>россиянин),</w:t>
      </w:r>
      <w:r>
        <w:rPr>
          <w:spacing w:val="17"/>
        </w:rPr>
        <w:t> </w:t>
      </w:r>
      <w:r>
        <w:rPr/>
        <w:t>записывается</w:t>
      </w:r>
      <w:r>
        <w:rPr>
          <w:spacing w:val="16"/>
        </w:rPr>
        <w:t> </w:t>
      </w:r>
      <w:r>
        <w:rPr/>
        <w:t>один</w:t>
      </w:r>
      <w:r>
        <w:rPr>
          <w:spacing w:val="16"/>
        </w:rPr>
        <w:t> </w:t>
      </w:r>
      <w:r>
        <w:rPr/>
        <w:t>раз.</w:t>
      </w:r>
      <w:r>
        <w:rPr>
          <w:spacing w:val="17"/>
        </w:rPr>
        <w:t> </w:t>
      </w:r>
      <w:r>
        <w:rPr/>
        <w:t>После</w:t>
      </w:r>
      <w:r>
        <w:rPr>
          <w:spacing w:val="16"/>
        </w:rPr>
        <w:t> </w:t>
      </w:r>
      <w:r>
        <w:rPr/>
        <w:t>этого</w:t>
      </w:r>
      <w:r>
        <w:rPr>
          <w:spacing w:val="16"/>
        </w:rPr>
        <w:t> </w:t>
      </w:r>
      <w:r>
        <w:rPr/>
        <w:t>мини-группы</w:t>
      </w:r>
      <w:r>
        <w:rPr>
          <w:spacing w:val="17"/>
        </w:rPr>
        <w:t> </w:t>
      </w:r>
      <w:r>
        <w:rPr>
          <w:spacing w:val="-4"/>
        </w:rPr>
        <w:t>пре-</w:t>
      </w:r>
    </w:p>
    <w:p>
      <w:pPr>
        <w:pStyle w:val="BodyText"/>
        <w:spacing w:line="223" w:lineRule="exact"/>
        <w:ind w:right="0" w:firstLine="0"/>
      </w:pPr>
      <w:r>
        <w:rPr/>
        <w:t>зентуют</w:t>
      </w:r>
      <w:r>
        <w:rPr>
          <w:spacing w:val="-3"/>
        </w:rPr>
        <w:t> </w:t>
      </w:r>
      <w:r>
        <w:rPr/>
        <w:t>получившиеся</w:t>
      </w:r>
      <w:r>
        <w:rPr>
          <w:spacing w:val="-3"/>
        </w:rPr>
        <w:t> </w:t>
      </w:r>
      <w:r>
        <w:rPr/>
        <w:t>портреты</w:t>
      </w:r>
      <w:r>
        <w:rPr>
          <w:spacing w:val="-3"/>
        </w:rPr>
        <w:t> </w:t>
      </w:r>
      <w:r>
        <w:rPr/>
        <w:t>на</w:t>
      </w:r>
      <w:r>
        <w:rPr>
          <w:spacing w:val="-3"/>
        </w:rPr>
        <w:t> </w:t>
      </w:r>
      <w:r>
        <w:rPr/>
        <w:t>тему</w:t>
      </w:r>
      <w:r>
        <w:rPr>
          <w:spacing w:val="-3"/>
        </w:rPr>
        <w:t> </w:t>
      </w:r>
      <w:r>
        <w:rPr/>
        <w:t>«Кто</w:t>
      </w:r>
      <w:r>
        <w:rPr>
          <w:spacing w:val="-2"/>
        </w:rPr>
        <w:t> </w:t>
      </w:r>
      <w:r>
        <w:rPr>
          <w:spacing w:val="-4"/>
        </w:rPr>
        <w:t>мы?»</w:t>
      </w:r>
    </w:p>
    <w:p>
      <w:pPr>
        <w:pStyle w:val="BodyText"/>
      </w:pPr>
      <w:r>
        <w:rPr/>
        <w:t>Во время обсуждения, кроме впечатлений, участники говорят, насколько легко/ сложно</w:t>
      </w:r>
      <w:r>
        <w:rPr>
          <w:spacing w:val="-8"/>
        </w:rPr>
        <w:t> </w:t>
      </w:r>
      <w:r>
        <w:rPr/>
        <w:t>им</w:t>
      </w:r>
      <w:r>
        <w:rPr>
          <w:spacing w:val="-8"/>
        </w:rPr>
        <w:t> </w:t>
      </w:r>
      <w:r>
        <w:rPr/>
        <w:t>было</w:t>
      </w:r>
      <w:r>
        <w:rPr>
          <w:spacing w:val="-8"/>
        </w:rPr>
        <w:t> </w:t>
      </w:r>
      <w:r>
        <w:rPr/>
        <w:t>отвечать</w:t>
      </w:r>
      <w:r>
        <w:rPr>
          <w:spacing w:val="-8"/>
        </w:rPr>
        <w:t> </w:t>
      </w:r>
      <w:r>
        <w:rPr/>
        <w:t>на</w:t>
      </w:r>
      <w:r>
        <w:rPr>
          <w:spacing w:val="-8"/>
        </w:rPr>
        <w:t> </w:t>
      </w:r>
      <w:r>
        <w:rPr/>
        <w:t>вопрос</w:t>
      </w:r>
      <w:r>
        <w:rPr>
          <w:spacing w:val="-8"/>
        </w:rPr>
        <w:t> </w:t>
      </w:r>
      <w:r>
        <w:rPr/>
        <w:t>«Кто</w:t>
      </w:r>
      <w:r>
        <w:rPr>
          <w:spacing w:val="-8"/>
        </w:rPr>
        <w:t> </w:t>
      </w:r>
      <w:r>
        <w:rPr/>
        <w:t>я?».</w:t>
      </w:r>
      <w:r>
        <w:rPr>
          <w:spacing w:val="-8"/>
        </w:rPr>
        <w:t> </w:t>
      </w:r>
      <w:r>
        <w:rPr/>
        <w:t>Со</w:t>
      </w:r>
      <w:r>
        <w:rPr>
          <w:spacing w:val="-8"/>
        </w:rPr>
        <w:t> </w:t>
      </w:r>
      <w:r>
        <w:rPr/>
        <w:t>старшеклассниками</w:t>
      </w:r>
      <w:r>
        <w:rPr>
          <w:spacing w:val="-8"/>
        </w:rPr>
        <w:t> </w:t>
      </w:r>
      <w:r>
        <w:rPr/>
        <w:t>можно</w:t>
      </w:r>
      <w:r>
        <w:rPr>
          <w:spacing w:val="-8"/>
        </w:rPr>
        <w:t> </w:t>
      </w:r>
      <w:r>
        <w:rPr/>
        <w:t>повести разговор на тему идентичностей. Один из важных вопросов для обсуждения: как со- вместить различные идентичности с разными социальными группами?</w:t>
      </w:r>
    </w:p>
    <w:p>
      <w:pPr>
        <w:spacing w:before="104"/>
        <w:ind w:left="2482" w:right="0" w:firstLine="0"/>
        <w:jc w:val="both"/>
        <w:rPr>
          <w:b/>
          <w:sz w:val="20"/>
        </w:rPr>
      </w:pPr>
      <w:r>
        <w:rPr>
          <w:b/>
          <w:color w:val="231F20"/>
          <w:sz w:val="20"/>
        </w:rPr>
        <w:t>История</w:t>
      </w:r>
      <w:r>
        <w:rPr>
          <w:b/>
          <w:color w:val="231F20"/>
          <w:spacing w:val="-8"/>
          <w:sz w:val="20"/>
        </w:rPr>
        <w:t> </w:t>
      </w:r>
      <w:r>
        <w:rPr>
          <w:b/>
          <w:color w:val="231F20"/>
          <w:sz w:val="20"/>
        </w:rPr>
        <w:t>моей</w:t>
      </w:r>
      <w:r>
        <w:rPr>
          <w:b/>
          <w:color w:val="231F20"/>
          <w:spacing w:val="-5"/>
          <w:sz w:val="20"/>
        </w:rPr>
        <w:t> </w:t>
      </w:r>
      <w:r>
        <w:rPr>
          <w:b/>
          <w:color w:val="231F20"/>
          <w:spacing w:val="-2"/>
          <w:sz w:val="20"/>
        </w:rPr>
        <w:t>идентичности</w:t>
      </w:r>
    </w:p>
    <w:p>
      <w:pPr>
        <w:spacing w:before="112"/>
        <w:ind w:left="2867" w:right="139" w:firstLine="290"/>
        <w:jc w:val="both"/>
        <w:rPr>
          <w:i/>
          <w:sz w:val="20"/>
        </w:rPr>
      </w:pPr>
      <w:r>
        <w:rPr>
          <w:b/>
          <w:i/>
          <w:color w:val="231F20"/>
          <w:sz w:val="20"/>
        </w:rPr>
        <w:t>Источник:</w:t>
      </w:r>
      <w:r>
        <w:rPr>
          <w:b/>
          <w:i/>
          <w:color w:val="231F20"/>
          <w:spacing w:val="-11"/>
          <w:sz w:val="20"/>
        </w:rPr>
        <w:t> </w:t>
      </w:r>
      <w:r>
        <w:rPr>
          <w:i/>
          <w:color w:val="231F20"/>
          <w:sz w:val="20"/>
        </w:rPr>
        <w:t>Diversity</w:t>
      </w:r>
      <w:r>
        <w:rPr>
          <w:i/>
          <w:color w:val="231F20"/>
          <w:spacing w:val="-10"/>
          <w:sz w:val="20"/>
        </w:rPr>
        <w:t> </w:t>
      </w:r>
      <w:r>
        <w:rPr>
          <w:i/>
          <w:color w:val="231F20"/>
          <w:sz w:val="20"/>
        </w:rPr>
        <w:t>Kit:</w:t>
      </w:r>
      <w:r>
        <w:rPr>
          <w:i/>
          <w:color w:val="231F20"/>
          <w:spacing w:val="-13"/>
          <w:sz w:val="20"/>
        </w:rPr>
        <w:t> </w:t>
      </w:r>
      <w:r>
        <w:rPr>
          <w:i/>
          <w:color w:val="231F20"/>
          <w:sz w:val="20"/>
        </w:rPr>
        <w:t>An</w:t>
      </w:r>
      <w:r>
        <w:rPr>
          <w:i/>
          <w:color w:val="231F20"/>
          <w:spacing w:val="-10"/>
          <w:sz w:val="20"/>
        </w:rPr>
        <w:t> </w:t>
      </w:r>
      <w:r>
        <w:rPr>
          <w:i/>
          <w:color w:val="231F20"/>
          <w:sz w:val="20"/>
        </w:rPr>
        <w:t>Introductory</w:t>
      </w:r>
      <w:r>
        <w:rPr>
          <w:i/>
          <w:color w:val="231F20"/>
          <w:spacing w:val="-10"/>
          <w:sz w:val="20"/>
        </w:rPr>
        <w:t> </w:t>
      </w:r>
      <w:r>
        <w:rPr>
          <w:i/>
          <w:color w:val="231F20"/>
          <w:sz w:val="20"/>
        </w:rPr>
        <w:t>Resource for</w:t>
      </w:r>
      <w:r>
        <w:rPr>
          <w:i/>
          <w:color w:val="231F20"/>
          <w:spacing w:val="-5"/>
          <w:sz w:val="20"/>
        </w:rPr>
        <w:t> </w:t>
      </w:r>
      <w:r>
        <w:rPr>
          <w:i/>
          <w:color w:val="231F20"/>
          <w:sz w:val="20"/>
        </w:rPr>
        <w:t>Social</w:t>
      </w:r>
      <w:r>
        <w:rPr>
          <w:i/>
          <w:color w:val="231F20"/>
          <w:spacing w:val="-3"/>
          <w:sz w:val="20"/>
        </w:rPr>
        <w:t> </w:t>
      </w:r>
      <w:r>
        <w:rPr>
          <w:i/>
          <w:color w:val="231F20"/>
          <w:sz w:val="20"/>
        </w:rPr>
        <w:t>Change</w:t>
      </w:r>
      <w:r>
        <w:rPr>
          <w:i/>
          <w:color w:val="231F20"/>
          <w:spacing w:val="-3"/>
          <w:sz w:val="20"/>
        </w:rPr>
        <w:t> </w:t>
      </w:r>
      <w:r>
        <w:rPr>
          <w:i/>
          <w:color w:val="231F20"/>
          <w:sz w:val="20"/>
        </w:rPr>
        <w:t>in</w:t>
      </w:r>
      <w:r>
        <w:rPr>
          <w:i/>
          <w:color w:val="231F20"/>
          <w:spacing w:val="-4"/>
          <w:sz w:val="20"/>
        </w:rPr>
        <w:t> </w:t>
      </w:r>
      <w:r>
        <w:rPr>
          <w:i/>
          <w:color w:val="231F20"/>
          <w:sz w:val="20"/>
        </w:rPr>
        <w:t>Education.</w:t>
      </w:r>
      <w:r>
        <w:rPr>
          <w:i/>
          <w:color w:val="231F20"/>
          <w:spacing w:val="-3"/>
          <w:sz w:val="20"/>
        </w:rPr>
        <w:t> </w:t>
      </w:r>
      <w:r>
        <w:rPr>
          <w:i/>
          <w:color w:val="231F20"/>
          <w:sz w:val="20"/>
        </w:rPr>
        <w:t>Brown</w:t>
      </w:r>
      <w:r>
        <w:rPr>
          <w:i/>
          <w:color w:val="231F20"/>
          <w:spacing w:val="-3"/>
          <w:sz w:val="20"/>
        </w:rPr>
        <w:t> </w:t>
      </w:r>
      <w:r>
        <w:rPr>
          <w:i/>
          <w:color w:val="231F20"/>
          <w:sz w:val="20"/>
        </w:rPr>
        <w:t>University.</w:t>
      </w:r>
      <w:r>
        <w:rPr>
          <w:i/>
          <w:color w:val="231F20"/>
          <w:spacing w:val="-3"/>
          <w:sz w:val="20"/>
        </w:rPr>
        <w:t> </w:t>
      </w:r>
      <w:r>
        <w:rPr>
          <w:i/>
          <w:color w:val="231F20"/>
          <w:spacing w:val="-4"/>
          <w:sz w:val="20"/>
        </w:rPr>
        <w:t>2002</w:t>
      </w:r>
    </w:p>
    <w:p>
      <w:pPr>
        <w:pStyle w:val="BodyText"/>
        <w:spacing w:before="109"/>
      </w:pPr>
      <w:r>
        <w:rPr>
          <w:color w:val="231F20"/>
        </w:rPr>
        <w:t>Каждый</w:t>
      </w:r>
      <w:r>
        <w:rPr>
          <w:color w:val="231F20"/>
          <w:spacing w:val="-8"/>
        </w:rPr>
        <w:t> </w:t>
      </w:r>
      <w:r>
        <w:rPr>
          <w:color w:val="231F20"/>
        </w:rPr>
        <w:t>участник</w:t>
      </w:r>
      <w:r>
        <w:rPr>
          <w:color w:val="231F20"/>
          <w:spacing w:val="-8"/>
        </w:rPr>
        <w:t> </w:t>
      </w:r>
      <w:r>
        <w:rPr>
          <w:color w:val="231F20"/>
        </w:rPr>
        <w:t>получает</w:t>
      </w:r>
      <w:r>
        <w:rPr>
          <w:color w:val="231F20"/>
          <w:spacing w:val="-8"/>
        </w:rPr>
        <w:t> </w:t>
      </w:r>
      <w:r>
        <w:rPr>
          <w:color w:val="231F20"/>
        </w:rPr>
        <w:t>лист</w:t>
      </w:r>
      <w:r>
        <w:rPr>
          <w:color w:val="231F20"/>
          <w:spacing w:val="-8"/>
        </w:rPr>
        <w:t> </w:t>
      </w:r>
      <w:r>
        <w:rPr>
          <w:color w:val="231F20"/>
        </w:rPr>
        <w:t>бумаги</w:t>
      </w:r>
      <w:r>
        <w:rPr>
          <w:color w:val="231F20"/>
          <w:spacing w:val="-8"/>
        </w:rPr>
        <w:t> </w:t>
      </w:r>
      <w:r>
        <w:rPr>
          <w:color w:val="231F20"/>
        </w:rPr>
        <w:t>формата</w:t>
      </w:r>
      <w:r>
        <w:rPr>
          <w:color w:val="231F20"/>
          <w:spacing w:val="-8"/>
        </w:rPr>
        <w:t> </w:t>
      </w:r>
      <w:r>
        <w:rPr>
          <w:color w:val="231F20"/>
        </w:rPr>
        <w:t>А4,</w:t>
      </w:r>
      <w:r>
        <w:rPr>
          <w:color w:val="231F20"/>
          <w:spacing w:val="-8"/>
        </w:rPr>
        <w:t> </w:t>
      </w:r>
      <w:r>
        <w:rPr>
          <w:color w:val="231F20"/>
        </w:rPr>
        <w:t>для</w:t>
      </w:r>
      <w:r>
        <w:rPr>
          <w:color w:val="231F20"/>
          <w:spacing w:val="-8"/>
        </w:rPr>
        <w:t> </w:t>
      </w:r>
      <w:r>
        <w:rPr>
          <w:color w:val="231F20"/>
        </w:rPr>
        <w:t>рисования</w:t>
      </w:r>
      <w:r>
        <w:rPr>
          <w:color w:val="231F20"/>
          <w:spacing w:val="-8"/>
        </w:rPr>
        <w:t> </w:t>
      </w:r>
      <w:r>
        <w:rPr>
          <w:color w:val="231F20"/>
        </w:rPr>
        <w:t>нужны</w:t>
      </w:r>
      <w:r>
        <w:rPr>
          <w:color w:val="231F20"/>
          <w:spacing w:val="-8"/>
        </w:rPr>
        <w:t> </w:t>
      </w:r>
      <w:r>
        <w:rPr>
          <w:color w:val="231F20"/>
        </w:rPr>
        <w:t>также карандаши, фломастеры, мелки. Участникам предлагается поразмыслить над следу- ющими вопросами:</w:t>
      </w:r>
    </w:p>
    <w:p>
      <w:pPr>
        <w:pStyle w:val="ListParagraph"/>
        <w:numPr>
          <w:ilvl w:val="0"/>
          <w:numId w:val="272"/>
        </w:numPr>
        <w:tabs>
          <w:tab w:pos="424" w:val="left" w:leader="none"/>
        </w:tabs>
        <w:spacing w:line="240" w:lineRule="auto" w:before="6" w:after="0"/>
        <w:ind w:left="424" w:right="0" w:hanging="283"/>
        <w:jc w:val="both"/>
        <w:rPr>
          <w:i/>
          <w:sz w:val="20"/>
        </w:rPr>
      </w:pPr>
      <w:r>
        <w:rPr>
          <w:i/>
          <w:color w:val="231F20"/>
          <w:spacing w:val="-6"/>
          <w:sz w:val="20"/>
        </w:rPr>
        <w:t>Кем</w:t>
      </w:r>
      <w:r>
        <w:rPr>
          <w:i/>
          <w:color w:val="231F20"/>
          <w:spacing w:val="-1"/>
          <w:sz w:val="20"/>
        </w:rPr>
        <w:t> </w:t>
      </w:r>
      <w:r>
        <w:rPr>
          <w:i/>
          <w:color w:val="231F20"/>
          <w:spacing w:val="-6"/>
          <w:sz w:val="20"/>
        </w:rPr>
        <w:t>вы</w:t>
      </w:r>
      <w:r>
        <w:rPr>
          <w:i/>
          <w:color w:val="231F20"/>
          <w:spacing w:val="-1"/>
          <w:sz w:val="20"/>
        </w:rPr>
        <w:t> </w:t>
      </w:r>
      <w:r>
        <w:rPr>
          <w:i/>
          <w:color w:val="231F20"/>
          <w:spacing w:val="-6"/>
          <w:sz w:val="20"/>
        </w:rPr>
        <w:t>себя</w:t>
      </w:r>
      <w:r>
        <w:rPr>
          <w:i/>
          <w:color w:val="231F20"/>
          <w:spacing w:val="-1"/>
          <w:sz w:val="20"/>
        </w:rPr>
        <w:t> </w:t>
      </w:r>
      <w:r>
        <w:rPr>
          <w:i/>
          <w:color w:val="231F20"/>
          <w:spacing w:val="-6"/>
          <w:sz w:val="20"/>
        </w:rPr>
        <w:t>считаете</w:t>
      </w:r>
      <w:r>
        <w:rPr>
          <w:i/>
          <w:color w:val="231F20"/>
          <w:spacing w:val="-1"/>
          <w:sz w:val="20"/>
        </w:rPr>
        <w:t> </w:t>
      </w:r>
      <w:r>
        <w:rPr>
          <w:i/>
          <w:color w:val="231F20"/>
          <w:spacing w:val="-6"/>
          <w:sz w:val="20"/>
        </w:rPr>
        <w:t>с</w:t>
      </w:r>
      <w:r>
        <w:rPr>
          <w:i/>
          <w:color w:val="231F20"/>
          <w:spacing w:val="-1"/>
          <w:sz w:val="20"/>
        </w:rPr>
        <w:t> </w:t>
      </w:r>
      <w:r>
        <w:rPr>
          <w:i/>
          <w:color w:val="231F20"/>
          <w:spacing w:val="-6"/>
          <w:sz w:val="20"/>
        </w:rPr>
        <w:t>точки</w:t>
      </w:r>
      <w:r>
        <w:rPr>
          <w:i/>
          <w:color w:val="231F20"/>
          <w:spacing w:val="-1"/>
          <w:sz w:val="20"/>
        </w:rPr>
        <w:t> </w:t>
      </w:r>
      <w:r>
        <w:rPr>
          <w:i/>
          <w:color w:val="231F20"/>
          <w:spacing w:val="-6"/>
          <w:sz w:val="20"/>
        </w:rPr>
        <w:t>зрения</w:t>
      </w:r>
      <w:r>
        <w:rPr>
          <w:i/>
          <w:color w:val="231F20"/>
          <w:sz w:val="20"/>
        </w:rPr>
        <w:t> </w:t>
      </w:r>
      <w:r>
        <w:rPr>
          <w:i/>
          <w:color w:val="231F20"/>
          <w:spacing w:val="-6"/>
          <w:sz w:val="20"/>
        </w:rPr>
        <w:t>этнической</w:t>
      </w:r>
      <w:r>
        <w:rPr>
          <w:i/>
          <w:color w:val="231F20"/>
          <w:spacing w:val="-1"/>
          <w:sz w:val="20"/>
        </w:rPr>
        <w:t> </w:t>
      </w:r>
      <w:r>
        <w:rPr>
          <w:i/>
          <w:color w:val="231F20"/>
          <w:spacing w:val="-6"/>
          <w:sz w:val="20"/>
        </w:rPr>
        <w:t>или</w:t>
      </w:r>
      <w:r>
        <w:rPr>
          <w:i/>
          <w:color w:val="231F20"/>
          <w:spacing w:val="-1"/>
          <w:sz w:val="20"/>
        </w:rPr>
        <w:t> </w:t>
      </w:r>
      <w:r>
        <w:rPr>
          <w:i/>
          <w:color w:val="231F20"/>
          <w:spacing w:val="-6"/>
          <w:sz w:val="20"/>
        </w:rPr>
        <w:t>культурной</w:t>
      </w:r>
      <w:r>
        <w:rPr>
          <w:i/>
          <w:color w:val="231F20"/>
          <w:spacing w:val="-1"/>
          <w:sz w:val="20"/>
        </w:rPr>
        <w:t> </w:t>
      </w:r>
      <w:r>
        <w:rPr>
          <w:i/>
          <w:color w:val="231F20"/>
          <w:spacing w:val="-6"/>
          <w:sz w:val="20"/>
        </w:rPr>
        <w:t>принадлежности?</w:t>
      </w:r>
    </w:p>
    <w:p>
      <w:pPr>
        <w:pStyle w:val="ListParagraph"/>
        <w:numPr>
          <w:ilvl w:val="0"/>
          <w:numId w:val="272"/>
        </w:numPr>
        <w:tabs>
          <w:tab w:pos="425" w:val="left" w:leader="none"/>
        </w:tabs>
        <w:spacing w:line="247" w:lineRule="auto" w:before="6" w:after="0"/>
        <w:ind w:left="425" w:right="139" w:hanging="284"/>
        <w:jc w:val="both"/>
        <w:rPr>
          <w:i/>
          <w:sz w:val="20"/>
        </w:rPr>
      </w:pPr>
      <w:r>
        <w:rPr>
          <w:i/>
          <w:color w:val="231F20"/>
          <w:sz w:val="20"/>
        </w:rPr>
        <w:t>Когда</w:t>
      </w:r>
      <w:r>
        <w:rPr>
          <w:i/>
          <w:color w:val="231F20"/>
          <w:spacing w:val="-13"/>
          <w:sz w:val="20"/>
        </w:rPr>
        <w:t> </w:t>
      </w:r>
      <w:r>
        <w:rPr>
          <w:i/>
          <w:color w:val="231F20"/>
          <w:sz w:val="20"/>
        </w:rPr>
        <w:t>вы</w:t>
      </w:r>
      <w:r>
        <w:rPr>
          <w:i/>
          <w:color w:val="231F20"/>
          <w:spacing w:val="-12"/>
          <w:sz w:val="20"/>
        </w:rPr>
        <w:t> </w:t>
      </w:r>
      <w:r>
        <w:rPr>
          <w:i/>
          <w:color w:val="231F20"/>
          <w:sz w:val="20"/>
        </w:rPr>
        <w:t>впервые</w:t>
      </w:r>
      <w:r>
        <w:rPr>
          <w:i/>
          <w:color w:val="231F20"/>
          <w:spacing w:val="-13"/>
          <w:sz w:val="20"/>
        </w:rPr>
        <w:t> </w:t>
      </w:r>
      <w:r>
        <w:rPr>
          <w:i/>
          <w:color w:val="231F20"/>
          <w:sz w:val="20"/>
        </w:rPr>
        <w:t>поняли,</w:t>
      </w:r>
      <w:r>
        <w:rPr>
          <w:i/>
          <w:color w:val="231F20"/>
          <w:spacing w:val="-12"/>
          <w:sz w:val="20"/>
        </w:rPr>
        <w:t> </w:t>
      </w:r>
      <w:r>
        <w:rPr>
          <w:i/>
          <w:color w:val="231F20"/>
          <w:sz w:val="20"/>
        </w:rPr>
        <w:t>что</w:t>
      </w:r>
      <w:r>
        <w:rPr>
          <w:i/>
          <w:color w:val="231F20"/>
          <w:spacing w:val="-13"/>
          <w:sz w:val="20"/>
        </w:rPr>
        <w:t> </w:t>
      </w:r>
      <w:r>
        <w:rPr>
          <w:i/>
          <w:color w:val="231F20"/>
          <w:sz w:val="20"/>
        </w:rPr>
        <w:t>некоторые</w:t>
      </w:r>
      <w:r>
        <w:rPr>
          <w:i/>
          <w:color w:val="231F20"/>
          <w:spacing w:val="-12"/>
          <w:sz w:val="20"/>
        </w:rPr>
        <w:t> </w:t>
      </w:r>
      <w:r>
        <w:rPr>
          <w:i/>
          <w:color w:val="231F20"/>
          <w:sz w:val="20"/>
        </w:rPr>
        <w:t>люди</w:t>
      </w:r>
      <w:r>
        <w:rPr>
          <w:i/>
          <w:color w:val="231F20"/>
          <w:spacing w:val="-13"/>
          <w:sz w:val="20"/>
        </w:rPr>
        <w:t> </w:t>
      </w:r>
      <w:r>
        <w:rPr>
          <w:i/>
          <w:color w:val="231F20"/>
          <w:sz w:val="20"/>
        </w:rPr>
        <w:t>принадлежат</w:t>
      </w:r>
      <w:r>
        <w:rPr>
          <w:i/>
          <w:color w:val="231F20"/>
          <w:spacing w:val="-12"/>
          <w:sz w:val="20"/>
        </w:rPr>
        <w:t> </w:t>
      </w:r>
      <w:r>
        <w:rPr>
          <w:i/>
          <w:color w:val="231F20"/>
          <w:sz w:val="20"/>
        </w:rPr>
        <w:t>к</w:t>
      </w:r>
      <w:r>
        <w:rPr>
          <w:i/>
          <w:color w:val="231F20"/>
          <w:spacing w:val="-13"/>
          <w:sz w:val="20"/>
        </w:rPr>
        <w:t> </w:t>
      </w:r>
      <w:r>
        <w:rPr>
          <w:i/>
          <w:color w:val="231F20"/>
          <w:sz w:val="20"/>
        </w:rPr>
        <w:t>вашей</w:t>
      </w:r>
      <w:r>
        <w:rPr>
          <w:i/>
          <w:color w:val="231F20"/>
          <w:spacing w:val="-12"/>
          <w:sz w:val="20"/>
        </w:rPr>
        <w:t> </w:t>
      </w:r>
      <w:r>
        <w:rPr>
          <w:i/>
          <w:color w:val="231F20"/>
          <w:sz w:val="20"/>
        </w:rPr>
        <w:t>этнической группе, а некоторые – нет? Постарайтесь найти самое раннее воспоминание</w:t>
      </w:r>
    </w:p>
    <w:p>
      <w:pPr>
        <w:pStyle w:val="ListParagraph"/>
        <w:numPr>
          <w:ilvl w:val="0"/>
          <w:numId w:val="272"/>
        </w:numPr>
        <w:tabs>
          <w:tab w:pos="425" w:val="left" w:leader="none"/>
        </w:tabs>
        <w:spacing w:line="247" w:lineRule="auto" w:before="0" w:after="0"/>
        <w:ind w:left="425" w:right="139" w:hanging="284"/>
        <w:jc w:val="both"/>
        <w:rPr>
          <w:i/>
          <w:sz w:val="20"/>
        </w:rPr>
      </w:pPr>
      <w:r>
        <w:rPr>
          <w:i/>
          <w:color w:val="231F20"/>
          <w:sz w:val="20"/>
        </w:rPr>
        <w:t>Когда</w:t>
      </w:r>
      <w:r>
        <w:rPr>
          <w:i/>
          <w:color w:val="231F20"/>
          <w:spacing w:val="-1"/>
          <w:sz w:val="20"/>
        </w:rPr>
        <w:t> </w:t>
      </w:r>
      <w:r>
        <w:rPr>
          <w:i/>
          <w:color w:val="231F20"/>
          <w:sz w:val="20"/>
        </w:rPr>
        <w:t>вы</w:t>
      </w:r>
      <w:r>
        <w:rPr>
          <w:i/>
          <w:color w:val="231F20"/>
          <w:spacing w:val="-1"/>
          <w:sz w:val="20"/>
        </w:rPr>
        <w:t> </w:t>
      </w:r>
      <w:r>
        <w:rPr>
          <w:i/>
          <w:color w:val="231F20"/>
          <w:sz w:val="20"/>
        </w:rPr>
        <w:t>впервые</w:t>
      </w:r>
      <w:r>
        <w:rPr>
          <w:i/>
          <w:color w:val="231F20"/>
          <w:spacing w:val="-1"/>
          <w:sz w:val="20"/>
        </w:rPr>
        <w:t> </w:t>
      </w:r>
      <w:r>
        <w:rPr>
          <w:i/>
          <w:color w:val="231F20"/>
          <w:sz w:val="20"/>
        </w:rPr>
        <w:t>осознали,</w:t>
      </w:r>
      <w:r>
        <w:rPr>
          <w:i/>
          <w:color w:val="231F20"/>
          <w:spacing w:val="-1"/>
          <w:sz w:val="20"/>
        </w:rPr>
        <w:t> </w:t>
      </w:r>
      <w:r>
        <w:rPr>
          <w:i/>
          <w:color w:val="231F20"/>
          <w:sz w:val="20"/>
        </w:rPr>
        <w:t>что</w:t>
      </w:r>
      <w:r>
        <w:rPr>
          <w:i/>
          <w:color w:val="231F20"/>
          <w:spacing w:val="-1"/>
          <w:sz w:val="20"/>
        </w:rPr>
        <w:t> </w:t>
      </w:r>
      <w:r>
        <w:rPr>
          <w:i/>
          <w:color w:val="231F20"/>
          <w:sz w:val="20"/>
        </w:rPr>
        <w:t>отличаетесь</w:t>
      </w:r>
      <w:r>
        <w:rPr>
          <w:i/>
          <w:color w:val="231F20"/>
          <w:spacing w:val="-1"/>
          <w:sz w:val="20"/>
        </w:rPr>
        <w:t> </w:t>
      </w:r>
      <w:r>
        <w:rPr>
          <w:i/>
          <w:color w:val="231F20"/>
          <w:sz w:val="20"/>
        </w:rPr>
        <w:t>от</w:t>
      </w:r>
      <w:r>
        <w:rPr>
          <w:i/>
          <w:color w:val="231F20"/>
          <w:spacing w:val="-1"/>
          <w:sz w:val="20"/>
        </w:rPr>
        <w:t> </w:t>
      </w:r>
      <w:r>
        <w:rPr>
          <w:i/>
          <w:color w:val="231F20"/>
          <w:sz w:val="20"/>
        </w:rPr>
        <w:t>других</w:t>
      </w:r>
      <w:r>
        <w:rPr>
          <w:i/>
          <w:color w:val="231F20"/>
          <w:spacing w:val="-1"/>
          <w:sz w:val="20"/>
        </w:rPr>
        <w:t> </w:t>
      </w:r>
      <w:r>
        <w:rPr>
          <w:i/>
          <w:color w:val="231F20"/>
          <w:sz w:val="20"/>
        </w:rPr>
        <w:t>по</w:t>
      </w:r>
      <w:r>
        <w:rPr>
          <w:i/>
          <w:color w:val="231F20"/>
          <w:spacing w:val="-1"/>
          <w:sz w:val="20"/>
        </w:rPr>
        <w:t> </w:t>
      </w:r>
      <w:r>
        <w:rPr>
          <w:i/>
          <w:color w:val="231F20"/>
          <w:sz w:val="20"/>
        </w:rPr>
        <w:t>этническому</w:t>
      </w:r>
      <w:r>
        <w:rPr>
          <w:i/>
          <w:color w:val="231F20"/>
          <w:spacing w:val="-1"/>
          <w:sz w:val="20"/>
        </w:rPr>
        <w:t> </w:t>
      </w:r>
      <w:r>
        <w:rPr>
          <w:i/>
          <w:color w:val="231F20"/>
          <w:sz w:val="20"/>
        </w:rPr>
        <w:t>призна- ку? Было ли такое в вашей жизни, что вас не принимали, отвергали именно </w:t>
      </w:r>
      <w:r>
        <w:rPr>
          <w:i/>
          <w:color w:val="231F20"/>
          <w:sz w:val="20"/>
        </w:rPr>
        <w:t>на этом основании? Постарайтесь найти самое раннее воспоминание</w:t>
      </w:r>
    </w:p>
    <w:p>
      <w:pPr>
        <w:pStyle w:val="BodyText"/>
        <w:spacing w:line="227" w:lineRule="exact"/>
        <w:ind w:left="425" w:right="0" w:firstLine="0"/>
        <w:jc w:val="left"/>
      </w:pPr>
      <w:r>
        <w:rPr>
          <w:color w:val="231F20"/>
          <w:spacing w:val="-2"/>
        </w:rPr>
        <w:t>(Вопросы нужно</w:t>
      </w:r>
      <w:r>
        <w:rPr>
          <w:color w:val="231F20"/>
          <w:spacing w:val="-1"/>
        </w:rPr>
        <w:t> </w:t>
      </w:r>
      <w:r>
        <w:rPr>
          <w:color w:val="231F20"/>
          <w:spacing w:val="-2"/>
        </w:rPr>
        <w:t>написать на</w:t>
      </w:r>
      <w:r>
        <w:rPr>
          <w:color w:val="231F20"/>
          <w:spacing w:val="-1"/>
        </w:rPr>
        <w:t> </w:t>
      </w:r>
      <w:r>
        <w:rPr>
          <w:color w:val="231F20"/>
          <w:spacing w:val="-2"/>
        </w:rPr>
        <w:t>флип-чарте или</w:t>
      </w:r>
      <w:r>
        <w:rPr>
          <w:color w:val="231F20"/>
          <w:spacing w:val="-1"/>
        </w:rPr>
        <w:t> </w:t>
      </w:r>
      <w:r>
        <w:rPr>
          <w:color w:val="231F20"/>
          <w:spacing w:val="-2"/>
        </w:rPr>
        <w:t>распечатать для</w:t>
      </w:r>
      <w:r>
        <w:rPr>
          <w:color w:val="231F20"/>
          <w:spacing w:val="-1"/>
        </w:rPr>
        <w:t> </w:t>
      </w:r>
      <w:r>
        <w:rPr>
          <w:color w:val="231F20"/>
          <w:spacing w:val="-2"/>
        </w:rPr>
        <w:t>каждого</w:t>
      </w:r>
      <w:r>
        <w:rPr>
          <w:color w:val="231F20"/>
          <w:spacing w:val="-1"/>
        </w:rPr>
        <w:t> </w:t>
      </w:r>
      <w:r>
        <w:rPr>
          <w:color w:val="231F20"/>
          <w:spacing w:val="-2"/>
        </w:rPr>
        <w:t>участника.)</w:t>
      </w:r>
    </w:p>
    <w:p>
      <w:pPr>
        <w:pStyle w:val="BodyText"/>
        <w:spacing w:line="247" w:lineRule="auto" w:before="5"/>
        <w:ind w:right="0"/>
        <w:jc w:val="left"/>
      </w:pPr>
      <w:r>
        <w:rPr>
          <w:color w:val="231F20"/>
        </w:rPr>
        <w:t>На эти вопросы нужно ответить, используя рисунки, символы, цвета. В итоге у каждого участника получается своего рода «история в картинках».</w:t>
      </w:r>
    </w:p>
    <w:p>
      <w:pPr>
        <w:pStyle w:val="BodyText"/>
        <w:spacing w:line="247" w:lineRule="auto"/>
        <w:ind w:right="0"/>
        <w:jc w:val="left"/>
      </w:pPr>
      <w:r>
        <w:rPr/>
        <w:t>После</w:t>
      </w:r>
      <w:r>
        <w:rPr>
          <w:spacing w:val="-7"/>
        </w:rPr>
        <w:t> </w:t>
      </w:r>
      <w:r>
        <w:rPr/>
        <w:t>того</w:t>
      </w:r>
      <w:r>
        <w:rPr>
          <w:spacing w:val="-7"/>
        </w:rPr>
        <w:t> </w:t>
      </w:r>
      <w:r>
        <w:rPr/>
        <w:t>как</w:t>
      </w:r>
      <w:r>
        <w:rPr>
          <w:spacing w:val="-7"/>
        </w:rPr>
        <w:t> </w:t>
      </w:r>
      <w:r>
        <w:rPr/>
        <w:t>рисунки</w:t>
      </w:r>
      <w:r>
        <w:rPr>
          <w:spacing w:val="-7"/>
        </w:rPr>
        <w:t> </w:t>
      </w:r>
      <w:r>
        <w:rPr/>
        <w:t>готовы,</w:t>
      </w:r>
      <w:r>
        <w:rPr>
          <w:spacing w:val="-7"/>
        </w:rPr>
        <w:t> </w:t>
      </w:r>
      <w:r>
        <w:rPr/>
        <w:t>каждого</w:t>
      </w:r>
      <w:r>
        <w:rPr>
          <w:spacing w:val="-7"/>
        </w:rPr>
        <w:t> </w:t>
      </w:r>
      <w:r>
        <w:rPr/>
        <w:t>участника</w:t>
      </w:r>
      <w:r>
        <w:rPr>
          <w:spacing w:val="-7"/>
        </w:rPr>
        <w:t> </w:t>
      </w:r>
      <w:r>
        <w:rPr/>
        <w:t>просят</w:t>
      </w:r>
      <w:r>
        <w:rPr>
          <w:spacing w:val="-7"/>
        </w:rPr>
        <w:t> </w:t>
      </w:r>
      <w:r>
        <w:rPr/>
        <w:t>показать</w:t>
      </w:r>
      <w:r>
        <w:rPr>
          <w:spacing w:val="-7"/>
        </w:rPr>
        <w:t> </w:t>
      </w:r>
      <w:r>
        <w:rPr/>
        <w:t>свой</w:t>
      </w:r>
      <w:r>
        <w:rPr>
          <w:spacing w:val="-7"/>
        </w:rPr>
        <w:t> </w:t>
      </w:r>
      <w:r>
        <w:rPr/>
        <w:t>рисунок группе, прокомментировать свою историю и ответить на вопросы:</w:t>
      </w:r>
    </w:p>
    <w:p>
      <w:pPr>
        <w:pStyle w:val="ListParagraph"/>
        <w:numPr>
          <w:ilvl w:val="1"/>
          <w:numId w:val="272"/>
        </w:numPr>
        <w:tabs>
          <w:tab w:pos="575" w:val="left" w:leader="none"/>
        </w:tabs>
        <w:spacing w:line="228" w:lineRule="exact" w:before="0" w:after="0"/>
        <w:ind w:left="575" w:right="0" w:hanging="150"/>
        <w:jc w:val="left"/>
        <w:rPr>
          <w:i/>
          <w:sz w:val="20"/>
        </w:rPr>
      </w:pPr>
      <w:r>
        <w:rPr>
          <w:i/>
          <w:sz w:val="20"/>
        </w:rPr>
        <w:t>Какие</w:t>
      </w:r>
      <w:r>
        <w:rPr>
          <w:i/>
          <w:spacing w:val="-4"/>
          <w:sz w:val="20"/>
        </w:rPr>
        <w:t> </w:t>
      </w:r>
      <w:r>
        <w:rPr>
          <w:i/>
          <w:sz w:val="20"/>
        </w:rPr>
        <w:t>мысли</w:t>
      </w:r>
      <w:r>
        <w:rPr>
          <w:i/>
          <w:spacing w:val="-4"/>
          <w:sz w:val="20"/>
        </w:rPr>
        <w:t> </w:t>
      </w:r>
      <w:r>
        <w:rPr>
          <w:i/>
          <w:sz w:val="20"/>
        </w:rPr>
        <w:t>и</w:t>
      </w:r>
      <w:r>
        <w:rPr>
          <w:i/>
          <w:spacing w:val="-3"/>
          <w:sz w:val="20"/>
        </w:rPr>
        <w:t> </w:t>
      </w:r>
      <w:r>
        <w:rPr>
          <w:i/>
          <w:sz w:val="20"/>
        </w:rPr>
        <w:t>чувства</w:t>
      </w:r>
      <w:r>
        <w:rPr>
          <w:i/>
          <w:spacing w:val="-4"/>
          <w:sz w:val="20"/>
        </w:rPr>
        <w:t> </w:t>
      </w:r>
      <w:r>
        <w:rPr>
          <w:i/>
          <w:sz w:val="20"/>
        </w:rPr>
        <w:t>у</w:t>
      </w:r>
      <w:r>
        <w:rPr>
          <w:i/>
          <w:spacing w:val="-3"/>
          <w:sz w:val="20"/>
        </w:rPr>
        <w:t> </w:t>
      </w:r>
      <w:r>
        <w:rPr>
          <w:i/>
          <w:sz w:val="20"/>
        </w:rPr>
        <w:t>вас</w:t>
      </w:r>
      <w:r>
        <w:rPr>
          <w:i/>
          <w:spacing w:val="-3"/>
          <w:sz w:val="20"/>
        </w:rPr>
        <w:t> </w:t>
      </w:r>
      <w:r>
        <w:rPr>
          <w:i/>
          <w:sz w:val="20"/>
        </w:rPr>
        <w:t>возникали</w:t>
      </w:r>
      <w:r>
        <w:rPr>
          <w:i/>
          <w:spacing w:val="-4"/>
          <w:sz w:val="20"/>
        </w:rPr>
        <w:t> </w:t>
      </w:r>
      <w:r>
        <w:rPr>
          <w:i/>
          <w:sz w:val="20"/>
        </w:rPr>
        <w:t>во</w:t>
      </w:r>
      <w:r>
        <w:rPr>
          <w:i/>
          <w:spacing w:val="-3"/>
          <w:sz w:val="20"/>
        </w:rPr>
        <w:t> </w:t>
      </w:r>
      <w:r>
        <w:rPr>
          <w:i/>
          <w:sz w:val="20"/>
        </w:rPr>
        <w:t>время</w:t>
      </w:r>
      <w:r>
        <w:rPr>
          <w:i/>
          <w:spacing w:val="-3"/>
          <w:sz w:val="20"/>
        </w:rPr>
        <w:t> </w:t>
      </w:r>
      <w:r>
        <w:rPr>
          <w:i/>
          <w:spacing w:val="-2"/>
          <w:sz w:val="20"/>
        </w:rPr>
        <w:t>рисования?</w:t>
      </w:r>
    </w:p>
    <w:p>
      <w:pPr>
        <w:pStyle w:val="ListParagraph"/>
        <w:numPr>
          <w:ilvl w:val="1"/>
          <w:numId w:val="272"/>
        </w:numPr>
        <w:tabs>
          <w:tab w:pos="575" w:val="left" w:leader="none"/>
        </w:tabs>
        <w:spacing w:line="240" w:lineRule="auto" w:before="0" w:after="0"/>
        <w:ind w:left="575" w:right="0" w:hanging="150"/>
        <w:jc w:val="left"/>
        <w:rPr>
          <w:i/>
          <w:sz w:val="20"/>
        </w:rPr>
      </w:pPr>
      <w:r>
        <w:rPr>
          <w:i/>
          <w:sz w:val="20"/>
        </w:rPr>
        <w:t>Легко</w:t>
      </w:r>
      <w:r>
        <w:rPr>
          <w:i/>
          <w:spacing w:val="-6"/>
          <w:sz w:val="20"/>
        </w:rPr>
        <w:t> </w:t>
      </w:r>
      <w:r>
        <w:rPr>
          <w:i/>
          <w:sz w:val="20"/>
        </w:rPr>
        <w:t>ли</w:t>
      </w:r>
      <w:r>
        <w:rPr>
          <w:i/>
          <w:spacing w:val="-4"/>
          <w:sz w:val="20"/>
        </w:rPr>
        <w:t> </w:t>
      </w:r>
      <w:r>
        <w:rPr>
          <w:i/>
          <w:sz w:val="20"/>
        </w:rPr>
        <w:t>было</w:t>
      </w:r>
      <w:r>
        <w:rPr>
          <w:i/>
          <w:spacing w:val="-4"/>
          <w:sz w:val="20"/>
        </w:rPr>
        <w:t> </w:t>
      </w:r>
      <w:r>
        <w:rPr>
          <w:i/>
          <w:sz w:val="20"/>
        </w:rPr>
        <w:t>выбрать,</w:t>
      </w:r>
      <w:r>
        <w:rPr>
          <w:i/>
          <w:spacing w:val="-3"/>
          <w:sz w:val="20"/>
        </w:rPr>
        <w:t> </w:t>
      </w:r>
      <w:r>
        <w:rPr>
          <w:i/>
          <w:sz w:val="20"/>
        </w:rPr>
        <w:t>как</w:t>
      </w:r>
      <w:r>
        <w:rPr>
          <w:i/>
          <w:spacing w:val="-4"/>
          <w:sz w:val="20"/>
        </w:rPr>
        <w:t> </w:t>
      </w:r>
      <w:r>
        <w:rPr>
          <w:i/>
          <w:sz w:val="20"/>
        </w:rPr>
        <w:t>нарисовать</w:t>
      </w:r>
      <w:r>
        <w:rPr>
          <w:i/>
          <w:spacing w:val="-5"/>
          <w:sz w:val="20"/>
        </w:rPr>
        <w:t> </w:t>
      </w:r>
      <w:r>
        <w:rPr>
          <w:i/>
          <w:sz w:val="20"/>
        </w:rPr>
        <w:t>свою</w:t>
      </w:r>
      <w:r>
        <w:rPr>
          <w:i/>
          <w:spacing w:val="-4"/>
          <w:sz w:val="20"/>
        </w:rPr>
        <w:t> </w:t>
      </w:r>
      <w:r>
        <w:rPr>
          <w:i/>
          <w:spacing w:val="-2"/>
          <w:sz w:val="20"/>
        </w:rPr>
        <w:t>историю?</w:t>
      </w:r>
    </w:p>
    <w:p>
      <w:pPr>
        <w:pStyle w:val="BodyText"/>
        <w:spacing w:line="242" w:lineRule="auto" w:before="2"/>
        <w:ind w:right="0"/>
        <w:jc w:val="left"/>
      </w:pPr>
      <w:r>
        <w:rPr/>
        <w:t>При</w:t>
      </w:r>
      <w:r>
        <w:rPr>
          <w:spacing w:val="-12"/>
        </w:rPr>
        <w:t> </w:t>
      </w:r>
      <w:r>
        <w:rPr/>
        <w:t>этом</w:t>
      </w:r>
      <w:r>
        <w:rPr>
          <w:spacing w:val="-12"/>
        </w:rPr>
        <w:t> </w:t>
      </w:r>
      <w:r>
        <w:rPr/>
        <w:t>необходимо</w:t>
      </w:r>
      <w:r>
        <w:rPr>
          <w:spacing w:val="-12"/>
        </w:rPr>
        <w:t> </w:t>
      </w:r>
      <w:r>
        <w:rPr/>
        <w:t>попросить</w:t>
      </w:r>
      <w:r>
        <w:rPr>
          <w:spacing w:val="-12"/>
        </w:rPr>
        <w:t> </w:t>
      </w:r>
      <w:r>
        <w:rPr/>
        <w:t>остальных</w:t>
      </w:r>
      <w:r>
        <w:rPr>
          <w:spacing w:val="-12"/>
        </w:rPr>
        <w:t> </w:t>
      </w:r>
      <w:r>
        <w:rPr/>
        <w:t>участников</w:t>
      </w:r>
      <w:r>
        <w:rPr>
          <w:spacing w:val="-12"/>
        </w:rPr>
        <w:t> </w:t>
      </w:r>
      <w:r>
        <w:rPr/>
        <w:t>никак</w:t>
      </w:r>
      <w:r>
        <w:rPr>
          <w:spacing w:val="-12"/>
        </w:rPr>
        <w:t> </w:t>
      </w:r>
      <w:r>
        <w:rPr/>
        <w:t>не</w:t>
      </w:r>
      <w:r>
        <w:rPr>
          <w:spacing w:val="-12"/>
        </w:rPr>
        <w:t> </w:t>
      </w:r>
      <w:r>
        <w:rPr/>
        <w:t>комментировать рассказ, можно только задавать уточняющие вопросы.</w:t>
      </w:r>
    </w:p>
    <w:p>
      <w:pPr>
        <w:pStyle w:val="BodyText"/>
        <w:spacing w:after="0" w:line="242" w:lineRule="auto"/>
        <w:jc w:val="left"/>
        <w:sectPr>
          <w:pgSz w:w="8400" w:h="11910"/>
          <w:pgMar w:header="0" w:footer="530" w:top="400" w:bottom="740" w:left="425" w:right="425"/>
        </w:sectPr>
      </w:pPr>
    </w:p>
    <w:p>
      <w:pPr>
        <w:pStyle w:val="ListParagraph"/>
        <w:numPr>
          <w:ilvl w:val="1"/>
          <w:numId w:val="273"/>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Активности</w:t>
      </w:r>
      <w:r>
        <w:rPr>
          <w:rFonts w:ascii="Georgia" w:hAnsi="Georgia"/>
          <w:color w:val="231F20"/>
          <w:spacing w:val="15"/>
          <w:sz w:val="18"/>
        </w:rPr>
        <w:t> </w:t>
      </w:r>
      <w:r>
        <w:rPr>
          <w:rFonts w:ascii="Georgia" w:hAnsi="Georgia"/>
          <w:color w:val="231F20"/>
          <w:sz w:val="18"/>
        </w:rPr>
        <w:t>межкультурного</w:t>
      </w:r>
      <w:r>
        <w:rPr>
          <w:rFonts w:ascii="Georgia" w:hAnsi="Georgia"/>
          <w:color w:val="231F20"/>
          <w:spacing w:val="15"/>
          <w:sz w:val="18"/>
        </w:rPr>
        <w:t> </w:t>
      </w:r>
      <w:r>
        <w:rPr>
          <w:rFonts w:ascii="Georgia" w:hAnsi="Georgia"/>
          <w:color w:val="231F20"/>
          <w:sz w:val="18"/>
        </w:rPr>
        <w:t>тренинга</w:t>
      </w:r>
      <w:r>
        <w:rPr>
          <w:rFonts w:ascii="Georgia" w:hAnsi="Georgia"/>
          <w:color w:val="231F20"/>
          <w:spacing w:val="16"/>
          <w:sz w:val="18"/>
        </w:rPr>
        <w:t> </w:t>
      </w:r>
      <w:r>
        <w:rPr>
          <w:rFonts w:ascii="Georgia" w:hAnsi="Georgia"/>
          <w:color w:val="231F20"/>
          <w:sz w:val="18"/>
        </w:rPr>
        <w:t>для</w:t>
      </w:r>
      <w:r>
        <w:rPr>
          <w:rFonts w:ascii="Georgia" w:hAnsi="Georgia"/>
          <w:color w:val="231F20"/>
          <w:spacing w:val="15"/>
          <w:sz w:val="18"/>
        </w:rPr>
        <w:t> </w:t>
      </w:r>
      <w:r>
        <w:rPr>
          <w:rFonts w:ascii="Georgia" w:hAnsi="Georgia"/>
          <w:color w:val="231F20"/>
          <w:sz w:val="18"/>
        </w:rPr>
        <w:t>поликультурного</w:t>
      </w:r>
      <w:r>
        <w:rPr>
          <w:rFonts w:ascii="Georgia" w:hAnsi="Georgia"/>
          <w:color w:val="231F20"/>
          <w:spacing w:val="16"/>
          <w:sz w:val="18"/>
        </w:rPr>
        <w:t> </w:t>
      </w:r>
      <w:r>
        <w:rPr>
          <w:rFonts w:ascii="Georgia" w:hAnsi="Georgia"/>
          <w:color w:val="231F20"/>
          <w:spacing w:val="-2"/>
          <w:sz w:val="18"/>
        </w:rPr>
        <w:t>класса</w:t>
      </w:r>
    </w:p>
    <w:p>
      <w:pPr>
        <w:spacing w:line="225" w:lineRule="exact" w:before="112"/>
        <w:ind w:left="425" w:right="0" w:firstLine="0"/>
        <w:jc w:val="left"/>
        <w:rPr>
          <w:i/>
          <w:sz w:val="20"/>
        </w:rPr>
      </w:pPr>
      <w:r>
        <w:rPr>
          <w:i/>
          <w:spacing w:val="-2"/>
          <w:sz w:val="20"/>
        </w:rPr>
        <w:t>Обсуждение</w:t>
      </w:r>
    </w:p>
    <w:p>
      <w:pPr>
        <w:pStyle w:val="BodyText"/>
        <w:spacing w:line="230" w:lineRule="auto" w:before="3"/>
        <w:ind w:right="0"/>
        <w:jc w:val="left"/>
      </w:pPr>
      <w:r>
        <w:rPr/>
        <w:t>Когда все рассказали о своих рисунках, нужно перейти к общему обсуждению и </w:t>
      </w:r>
      <w:r>
        <w:rPr>
          <w:spacing w:val="-2"/>
        </w:rPr>
        <w:t>спросить:</w:t>
      </w:r>
    </w:p>
    <w:p>
      <w:pPr>
        <w:pStyle w:val="ListParagraph"/>
        <w:numPr>
          <w:ilvl w:val="2"/>
          <w:numId w:val="273"/>
        </w:numPr>
        <w:tabs>
          <w:tab w:pos="424" w:val="left" w:leader="none"/>
        </w:tabs>
        <w:spacing w:line="216" w:lineRule="exact" w:before="0" w:after="0"/>
        <w:ind w:left="424" w:right="0" w:hanging="283"/>
        <w:jc w:val="left"/>
        <w:rPr>
          <w:i/>
          <w:sz w:val="20"/>
        </w:rPr>
      </w:pPr>
      <w:r>
        <w:rPr>
          <w:sz w:val="20"/>
        </w:rPr>
        <w:t>Какие</w:t>
      </w:r>
      <w:r>
        <w:rPr>
          <w:spacing w:val="-5"/>
          <w:sz w:val="20"/>
        </w:rPr>
        <w:t> </w:t>
      </w:r>
      <w:r>
        <w:rPr>
          <w:sz w:val="20"/>
        </w:rPr>
        <w:t>сходства</w:t>
      </w:r>
      <w:r>
        <w:rPr>
          <w:spacing w:val="-5"/>
          <w:sz w:val="20"/>
        </w:rPr>
        <w:t> </w:t>
      </w:r>
      <w:r>
        <w:rPr>
          <w:sz w:val="20"/>
        </w:rPr>
        <w:t>и</w:t>
      </w:r>
      <w:r>
        <w:rPr>
          <w:spacing w:val="-5"/>
          <w:sz w:val="20"/>
        </w:rPr>
        <w:t> </w:t>
      </w:r>
      <w:r>
        <w:rPr>
          <w:sz w:val="20"/>
        </w:rPr>
        <w:t>различия</w:t>
      </w:r>
      <w:r>
        <w:rPr>
          <w:spacing w:val="-5"/>
          <w:sz w:val="20"/>
        </w:rPr>
        <w:t> </w:t>
      </w:r>
      <w:r>
        <w:rPr>
          <w:sz w:val="20"/>
        </w:rPr>
        <w:t>вы</w:t>
      </w:r>
      <w:r>
        <w:rPr>
          <w:spacing w:val="-5"/>
          <w:sz w:val="20"/>
        </w:rPr>
        <w:t> </w:t>
      </w:r>
      <w:r>
        <w:rPr>
          <w:sz w:val="20"/>
        </w:rPr>
        <w:t>заметили</w:t>
      </w:r>
      <w:r>
        <w:rPr>
          <w:spacing w:val="-5"/>
          <w:sz w:val="20"/>
        </w:rPr>
        <w:t> </w:t>
      </w:r>
      <w:r>
        <w:rPr>
          <w:sz w:val="20"/>
        </w:rPr>
        <w:t>в</w:t>
      </w:r>
      <w:r>
        <w:rPr>
          <w:spacing w:val="-6"/>
          <w:sz w:val="20"/>
        </w:rPr>
        <w:t> </w:t>
      </w:r>
      <w:r>
        <w:rPr>
          <w:sz w:val="20"/>
        </w:rPr>
        <w:t>рассказанных</w:t>
      </w:r>
      <w:r>
        <w:rPr>
          <w:spacing w:val="-4"/>
          <w:sz w:val="20"/>
        </w:rPr>
        <w:t> </w:t>
      </w:r>
      <w:r>
        <w:rPr>
          <w:spacing w:val="-2"/>
          <w:sz w:val="20"/>
        </w:rPr>
        <w:t>историях?</w:t>
      </w:r>
    </w:p>
    <w:p>
      <w:pPr>
        <w:pStyle w:val="ListParagraph"/>
        <w:numPr>
          <w:ilvl w:val="2"/>
          <w:numId w:val="273"/>
        </w:numPr>
        <w:tabs>
          <w:tab w:pos="425" w:val="left" w:leader="none"/>
        </w:tabs>
        <w:spacing w:line="230" w:lineRule="auto" w:before="2" w:after="0"/>
        <w:ind w:left="425" w:right="139" w:hanging="284"/>
        <w:jc w:val="left"/>
        <w:rPr>
          <w:i/>
          <w:sz w:val="20"/>
        </w:rPr>
      </w:pPr>
      <w:r>
        <w:rPr>
          <w:sz w:val="20"/>
        </w:rPr>
        <w:t>Когда принадлежность к вашей этнической группе становилась для вас преиму- ществом, а когда – препятствием?</w:t>
      </w:r>
    </w:p>
    <w:p>
      <w:pPr>
        <w:pStyle w:val="ListParagraph"/>
        <w:numPr>
          <w:ilvl w:val="2"/>
          <w:numId w:val="273"/>
        </w:numPr>
        <w:tabs>
          <w:tab w:pos="424" w:val="left" w:leader="none"/>
        </w:tabs>
        <w:spacing w:line="216" w:lineRule="exact" w:before="0" w:after="0"/>
        <w:ind w:left="424" w:right="0" w:hanging="283"/>
        <w:jc w:val="left"/>
        <w:rPr>
          <w:i/>
          <w:sz w:val="20"/>
        </w:rPr>
      </w:pPr>
      <w:r>
        <w:rPr>
          <w:spacing w:val="-2"/>
          <w:sz w:val="20"/>
        </w:rPr>
        <w:t>Сталкивались</w:t>
      </w:r>
      <w:r>
        <w:rPr>
          <w:spacing w:val="-8"/>
          <w:sz w:val="20"/>
        </w:rPr>
        <w:t> </w:t>
      </w:r>
      <w:r>
        <w:rPr>
          <w:spacing w:val="-2"/>
          <w:sz w:val="20"/>
        </w:rPr>
        <w:t>ли</w:t>
      </w:r>
      <w:r>
        <w:rPr>
          <w:spacing w:val="-8"/>
          <w:sz w:val="20"/>
        </w:rPr>
        <w:t> </w:t>
      </w:r>
      <w:r>
        <w:rPr>
          <w:spacing w:val="-2"/>
          <w:sz w:val="20"/>
        </w:rPr>
        <w:t>вы</w:t>
      </w:r>
      <w:r>
        <w:rPr>
          <w:spacing w:val="-7"/>
          <w:sz w:val="20"/>
        </w:rPr>
        <w:t> </w:t>
      </w:r>
      <w:r>
        <w:rPr>
          <w:spacing w:val="-2"/>
          <w:sz w:val="20"/>
        </w:rPr>
        <w:t>с</w:t>
      </w:r>
      <w:r>
        <w:rPr>
          <w:spacing w:val="-7"/>
          <w:sz w:val="20"/>
        </w:rPr>
        <w:t> </w:t>
      </w:r>
      <w:r>
        <w:rPr>
          <w:spacing w:val="-2"/>
          <w:sz w:val="20"/>
        </w:rPr>
        <w:t>предрассудками</w:t>
      </w:r>
      <w:r>
        <w:rPr>
          <w:spacing w:val="-7"/>
          <w:sz w:val="20"/>
        </w:rPr>
        <w:t> </w:t>
      </w:r>
      <w:r>
        <w:rPr>
          <w:spacing w:val="-2"/>
          <w:sz w:val="20"/>
        </w:rPr>
        <w:t>по</w:t>
      </w:r>
      <w:r>
        <w:rPr>
          <w:spacing w:val="-7"/>
          <w:sz w:val="20"/>
        </w:rPr>
        <w:t> </w:t>
      </w:r>
      <w:r>
        <w:rPr>
          <w:spacing w:val="-2"/>
          <w:sz w:val="20"/>
        </w:rPr>
        <w:t>отношению</w:t>
      </w:r>
      <w:r>
        <w:rPr>
          <w:spacing w:val="-8"/>
          <w:sz w:val="20"/>
        </w:rPr>
        <w:t> </w:t>
      </w:r>
      <w:r>
        <w:rPr>
          <w:spacing w:val="-2"/>
          <w:sz w:val="20"/>
        </w:rPr>
        <w:t>к</w:t>
      </w:r>
      <w:r>
        <w:rPr>
          <w:spacing w:val="-7"/>
          <w:sz w:val="20"/>
        </w:rPr>
        <w:t> </w:t>
      </w:r>
      <w:r>
        <w:rPr>
          <w:spacing w:val="-2"/>
          <w:sz w:val="20"/>
        </w:rPr>
        <w:t>вашей</w:t>
      </w:r>
      <w:r>
        <w:rPr>
          <w:spacing w:val="-8"/>
          <w:sz w:val="20"/>
        </w:rPr>
        <w:t> </w:t>
      </w:r>
      <w:r>
        <w:rPr>
          <w:spacing w:val="-2"/>
          <w:sz w:val="20"/>
        </w:rPr>
        <w:t>этнической</w:t>
      </w:r>
      <w:r>
        <w:rPr>
          <w:spacing w:val="-8"/>
          <w:sz w:val="20"/>
        </w:rPr>
        <w:t> </w:t>
      </w:r>
      <w:r>
        <w:rPr>
          <w:spacing w:val="-2"/>
          <w:sz w:val="20"/>
        </w:rPr>
        <w:t>группе?</w:t>
      </w:r>
    </w:p>
    <w:p>
      <w:pPr>
        <w:pStyle w:val="ListParagraph"/>
        <w:numPr>
          <w:ilvl w:val="2"/>
          <w:numId w:val="273"/>
        </w:numPr>
        <w:tabs>
          <w:tab w:pos="425" w:val="left" w:leader="none"/>
        </w:tabs>
        <w:spacing w:line="232" w:lineRule="auto" w:before="1" w:after="0"/>
        <w:ind w:left="425" w:right="139" w:hanging="284"/>
        <w:jc w:val="left"/>
        <w:rPr>
          <w:i/>
          <w:sz w:val="20"/>
        </w:rPr>
      </w:pPr>
      <w:r>
        <w:rPr>
          <w:sz w:val="20"/>
        </w:rPr>
        <w:t>С</w:t>
      </w:r>
      <w:r>
        <w:rPr>
          <w:spacing w:val="-11"/>
          <w:sz w:val="20"/>
        </w:rPr>
        <w:t> </w:t>
      </w:r>
      <w:r>
        <w:rPr>
          <w:sz w:val="20"/>
        </w:rPr>
        <w:t>вашей</w:t>
      </w:r>
      <w:r>
        <w:rPr>
          <w:spacing w:val="-11"/>
          <w:sz w:val="20"/>
        </w:rPr>
        <w:t> </w:t>
      </w:r>
      <w:r>
        <w:rPr>
          <w:sz w:val="20"/>
        </w:rPr>
        <w:t>точки</w:t>
      </w:r>
      <w:r>
        <w:rPr>
          <w:spacing w:val="-11"/>
          <w:sz w:val="20"/>
        </w:rPr>
        <w:t> </w:t>
      </w:r>
      <w:r>
        <w:rPr>
          <w:sz w:val="20"/>
        </w:rPr>
        <w:t>зрения,</w:t>
      </w:r>
      <w:r>
        <w:rPr>
          <w:spacing w:val="-11"/>
          <w:sz w:val="20"/>
        </w:rPr>
        <w:t> </w:t>
      </w:r>
      <w:r>
        <w:rPr>
          <w:sz w:val="20"/>
        </w:rPr>
        <w:t>в</w:t>
      </w:r>
      <w:r>
        <w:rPr>
          <w:spacing w:val="-11"/>
          <w:sz w:val="20"/>
        </w:rPr>
        <w:t> </w:t>
      </w:r>
      <w:r>
        <w:rPr>
          <w:sz w:val="20"/>
        </w:rPr>
        <w:t>нашей</w:t>
      </w:r>
      <w:r>
        <w:rPr>
          <w:spacing w:val="-11"/>
          <w:sz w:val="20"/>
        </w:rPr>
        <w:t> </w:t>
      </w:r>
      <w:r>
        <w:rPr>
          <w:sz w:val="20"/>
        </w:rPr>
        <w:t>стране</w:t>
      </w:r>
      <w:r>
        <w:rPr>
          <w:spacing w:val="-11"/>
          <w:sz w:val="20"/>
        </w:rPr>
        <w:t> </w:t>
      </w:r>
      <w:r>
        <w:rPr>
          <w:sz w:val="20"/>
        </w:rPr>
        <w:t>имеет</w:t>
      </w:r>
      <w:r>
        <w:rPr>
          <w:spacing w:val="-11"/>
          <w:sz w:val="20"/>
        </w:rPr>
        <w:t> </w:t>
      </w:r>
      <w:r>
        <w:rPr>
          <w:sz w:val="20"/>
        </w:rPr>
        <w:t>ли</w:t>
      </w:r>
      <w:r>
        <w:rPr>
          <w:spacing w:val="-11"/>
          <w:sz w:val="20"/>
        </w:rPr>
        <w:t> </w:t>
      </w:r>
      <w:r>
        <w:rPr>
          <w:sz w:val="20"/>
        </w:rPr>
        <w:t>значение</w:t>
      </w:r>
      <w:r>
        <w:rPr>
          <w:spacing w:val="-11"/>
          <w:sz w:val="20"/>
        </w:rPr>
        <w:t> </w:t>
      </w:r>
      <w:r>
        <w:rPr>
          <w:sz w:val="20"/>
        </w:rPr>
        <w:t>принадлежность</w:t>
      </w:r>
      <w:r>
        <w:rPr>
          <w:spacing w:val="-11"/>
          <w:sz w:val="20"/>
        </w:rPr>
        <w:t> </w:t>
      </w:r>
      <w:r>
        <w:rPr>
          <w:sz w:val="20"/>
        </w:rPr>
        <w:t>челове- ка к той или иной этнической группе?</w:t>
      </w:r>
    </w:p>
    <w:p>
      <w:pPr>
        <w:pStyle w:val="BodyText"/>
        <w:spacing w:line="230" w:lineRule="auto" w:before="113"/>
      </w:pPr>
      <w:r>
        <w:rPr>
          <w:b/>
          <w:color w:val="231F20"/>
          <w:spacing w:val="-4"/>
        </w:rPr>
        <w:t>На что обратить внимание</w:t>
      </w:r>
      <w:r>
        <w:rPr>
          <w:color w:val="231F20"/>
          <w:spacing w:val="-4"/>
        </w:rPr>
        <w:t>: </w:t>
      </w:r>
      <w:r>
        <w:rPr>
          <w:b/>
          <w:color w:val="231F20"/>
          <w:spacing w:val="-4"/>
        </w:rPr>
        <w:t>у</w:t>
      </w:r>
      <w:r>
        <w:rPr>
          <w:color w:val="231F20"/>
          <w:spacing w:val="-4"/>
        </w:rPr>
        <w:t>пражнение нацелено на осознание особенностей фор- </w:t>
      </w:r>
      <w:r>
        <w:rPr>
          <w:color w:val="231F20"/>
        </w:rPr>
        <w:t>мирования</w:t>
      </w:r>
      <w:r>
        <w:rPr>
          <w:color w:val="231F20"/>
          <w:spacing w:val="-13"/>
        </w:rPr>
        <w:t> </w:t>
      </w:r>
      <w:r>
        <w:rPr>
          <w:color w:val="231F20"/>
        </w:rPr>
        <w:t>этнической</w:t>
      </w:r>
      <w:r>
        <w:rPr>
          <w:color w:val="231F20"/>
          <w:spacing w:val="-12"/>
        </w:rPr>
        <w:t> </w:t>
      </w:r>
      <w:r>
        <w:rPr>
          <w:color w:val="231F20"/>
        </w:rPr>
        <w:t>идентичности</w:t>
      </w:r>
      <w:r>
        <w:rPr>
          <w:color w:val="231F20"/>
          <w:spacing w:val="-13"/>
        </w:rPr>
        <w:t> </w:t>
      </w:r>
      <w:r>
        <w:rPr>
          <w:color w:val="231F20"/>
        </w:rPr>
        <w:t>у</w:t>
      </w:r>
      <w:r>
        <w:rPr>
          <w:color w:val="231F20"/>
          <w:spacing w:val="-12"/>
        </w:rPr>
        <w:t> </w:t>
      </w:r>
      <w:r>
        <w:rPr>
          <w:color w:val="231F20"/>
        </w:rPr>
        <w:t>представителей</w:t>
      </w:r>
      <w:r>
        <w:rPr>
          <w:color w:val="231F20"/>
          <w:spacing w:val="-13"/>
        </w:rPr>
        <w:t> </w:t>
      </w:r>
      <w:r>
        <w:rPr>
          <w:color w:val="231F20"/>
        </w:rPr>
        <w:t>меньшинства</w:t>
      </w:r>
      <w:r>
        <w:rPr>
          <w:color w:val="231F20"/>
          <w:spacing w:val="-12"/>
        </w:rPr>
        <w:t> </w:t>
      </w:r>
      <w:r>
        <w:rPr>
          <w:color w:val="231F20"/>
        </w:rPr>
        <w:t>и</w:t>
      </w:r>
      <w:r>
        <w:rPr>
          <w:color w:val="231F20"/>
          <w:spacing w:val="-13"/>
        </w:rPr>
        <w:t> </w:t>
      </w:r>
      <w:r>
        <w:rPr>
          <w:color w:val="231F20"/>
        </w:rPr>
        <w:t>большинства.</w:t>
      </w:r>
    </w:p>
    <w:p>
      <w:pPr>
        <w:pStyle w:val="BodyText"/>
        <w:spacing w:line="235" w:lineRule="auto" w:before="1"/>
      </w:pPr>
      <w:r>
        <w:rPr>
          <w:color w:val="231F20"/>
          <w:spacing w:val="-4"/>
        </w:rPr>
        <w:t>Проводить это упражнение нужно, когда участники уже знакомы с понятием «иден- </w:t>
      </w:r>
      <w:r>
        <w:rPr>
          <w:color w:val="231F20"/>
          <w:spacing w:val="-2"/>
        </w:rPr>
        <w:t>тичность»</w:t>
      </w:r>
      <w:r>
        <w:rPr>
          <w:color w:val="231F20"/>
          <w:spacing w:val="-8"/>
        </w:rPr>
        <w:t> </w:t>
      </w:r>
      <w:r>
        <w:rPr>
          <w:color w:val="231F20"/>
          <w:spacing w:val="-2"/>
        </w:rPr>
        <w:t>и</w:t>
      </w:r>
      <w:r>
        <w:rPr>
          <w:color w:val="231F20"/>
          <w:spacing w:val="-8"/>
        </w:rPr>
        <w:t> </w:t>
      </w:r>
      <w:r>
        <w:rPr>
          <w:color w:val="231F20"/>
          <w:spacing w:val="-2"/>
        </w:rPr>
        <w:t>понимают,</w:t>
      </w:r>
      <w:r>
        <w:rPr>
          <w:color w:val="231F20"/>
          <w:spacing w:val="-8"/>
        </w:rPr>
        <w:t> </w:t>
      </w:r>
      <w:r>
        <w:rPr>
          <w:color w:val="231F20"/>
          <w:spacing w:val="-2"/>
        </w:rPr>
        <w:t>что</w:t>
      </w:r>
      <w:r>
        <w:rPr>
          <w:color w:val="231F20"/>
          <w:spacing w:val="-8"/>
        </w:rPr>
        <w:t> </w:t>
      </w:r>
      <w:r>
        <w:rPr>
          <w:color w:val="231F20"/>
          <w:spacing w:val="-2"/>
        </w:rPr>
        <w:t>означает</w:t>
      </w:r>
      <w:r>
        <w:rPr>
          <w:color w:val="231F20"/>
          <w:spacing w:val="-8"/>
        </w:rPr>
        <w:t> </w:t>
      </w:r>
      <w:r>
        <w:rPr>
          <w:color w:val="231F20"/>
          <w:spacing w:val="-2"/>
        </w:rPr>
        <w:t>«этническая</w:t>
      </w:r>
      <w:r>
        <w:rPr>
          <w:color w:val="231F20"/>
          <w:spacing w:val="-8"/>
        </w:rPr>
        <w:t> </w:t>
      </w:r>
      <w:r>
        <w:rPr>
          <w:color w:val="231F20"/>
          <w:spacing w:val="-2"/>
        </w:rPr>
        <w:t>идентичность».</w:t>
      </w:r>
      <w:r>
        <w:rPr>
          <w:color w:val="231F20"/>
          <w:spacing w:val="-8"/>
        </w:rPr>
        <w:t> </w:t>
      </w:r>
      <w:r>
        <w:rPr>
          <w:color w:val="231F20"/>
          <w:spacing w:val="-2"/>
        </w:rPr>
        <w:t>Занятие</w:t>
      </w:r>
      <w:r>
        <w:rPr>
          <w:color w:val="231F20"/>
          <w:spacing w:val="-8"/>
        </w:rPr>
        <w:t> </w:t>
      </w:r>
      <w:r>
        <w:rPr>
          <w:color w:val="231F20"/>
          <w:spacing w:val="-2"/>
        </w:rPr>
        <w:t>хорошо</w:t>
      </w:r>
      <w:r>
        <w:rPr>
          <w:color w:val="231F20"/>
          <w:spacing w:val="-8"/>
        </w:rPr>
        <w:t> </w:t>
      </w:r>
      <w:r>
        <w:rPr>
          <w:color w:val="231F20"/>
          <w:spacing w:val="-2"/>
        </w:rPr>
        <w:t>про- </w:t>
      </w:r>
      <w:r>
        <w:rPr>
          <w:color w:val="231F20"/>
        </w:rPr>
        <w:t>ходит</w:t>
      </w:r>
      <w:r>
        <w:rPr>
          <w:color w:val="231F20"/>
          <w:spacing w:val="-5"/>
        </w:rPr>
        <w:t> </w:t>
      </w:r>
      <w:r>
        <w:rPr>
          <w:color w:val="231F20"/>
        </w:rPr>
        <w:t>в</w:t>
      </w:r>
      <w:r>
        <w:rPr>
          <w:color w:val="231F20"/>
          <w:spacing w:val="-5"/>
        </w:rPr>
        <w:t> </w:t>
      </w:r>
      <w:r>
        <w:rPr>
          <w:color w:val="231F20"/>
        </w:rPr>
        <w:t>полиэтнической</w:t>
      </w:r>
      <w:r>
        <w:rPr>
          <w:color w:val="231F20"/>
          <w:spacing w:val="-5"/>
        </w:rPr>
        <w:t> </w:t>
      </w:r>
      <w:r>
        <w:rPr>
          <w:color w:val="231F20"/>
        </w:rPr>
        <w:t>группе,</w:t>
      </w:r>
      <w:r>
        <w:rPr>
          <w:color w:val="231F20"/>
          <w:spacing w:val="-5"/>
        </w:rPr>
        <w:t> </w:t>
      </w:r>
      <w:r>
        <w:rPr>
          <w:color w:val="231F20"/>
        </w:rPr>
        <w:t>где</w:t>
      </w:r>
      <w:r>
        <w:rPr>
          <w:color w:val="231F20"/>
          <w:spacing w:val="-5"/>
        </w:rPr>
        <w:t> </w:t>
      </w:r>
      <w:r>
        <w:rPr>
          <w:color w:val="231F20"/>
        </w:rPr>
        <w:t>есть</w:t>
      </w:r>
      <w:r>
        <w:rPr>
          <w:color w:val="231F20"/>
          <w:spacing w:val="-5"/>
        </w:rPr>
        <w:t> </w:t>
      </w:r>
      <w:r>
        <w:rPr>
          <w:color w:val="231F20"/>
        </w:rPr>
        <w:t>возможность</w:t>
      </w:r>
      <w:r>
        <w:rPr>
          <w:color w:val="231F20"/>
          <w:spacing w:val="-5"/>
        </w:rPr>
        <w:t> </w:t>
      </w:r>
      <w:r>
        <w:rPr>
          <w:color w:val="231F20"/>
        </w:rPr>
        <w:t>сравнить</w:t>
      </w:r>
      <w:r>
        <w:rPr>
          <w:color w:val="231F20"/>
          <w:spacing w:val="-5"/>
        </w:rPr>
        <w:t> </w:t>
      </w:r>
      <w:r>
        <w:rPr>
          <w:color w:val="231F20"/>
        </w:rPr>
        <w:t>особенности</w:t>
      </w:r>
      <w:r>
        <w:rPr>
          <w:color w:val="231F20"/>
          <w:spacing w:val="-5"/>
        </w:rPr>
        <w:t> </w:t>
      </w:r>
      <w:r>
        <w:rPr>
          <w:color w:val="231F20"/>
        </w:rPr>
        <w:t>форми- рования этнической идентичности у представителей большинства и меньшинства.</w:t>
      </w:r>
    </w:p>
    <w:p>
      <w:pPr>
        <w:pStyle w:val="BodyText"/>
        <w:spacing w:line="235" w:lineRule="auto" w:before="2"/>
      </w:pPr>
      <w:r>
        <w:rPr/>
        <w:t>Это упражнение затрагивает очень глубокие и зачастую болезненные темы, по- этому к его проведению следует отнестись максимально осторожно, используя его только</w:t>
      </w:r>
      <w:r>
        <w:rPr>
          <w:spacing w:val="-9"/>
        </w:rPr>
        <w:t> </w:t>
      </w:r>
      <w:r>
        <w:rPr/>
        <w:t>в</w:t>
      </w:r>
      <w:r>
        <w:rPr>
          <w:spacing w:val="-9"/>
        </w:rPr>
        <w:t> </w:t>
      </w:r>
      <w:r>
        <w:rPr/>
        <w:t>небольших</w:t>
      </w:r>
      <w:r>
        <w:rPr>
          <w:spacing w:val="-9"/>
        </w:rPr>
        <w:t> </w:t>
      </w:r>
      <w:r>
        <w:rPr/>
        <w:t>группах</w:t>
      </w:r>
      <w:r>
        <w:rPr>
          <w:spacing w:val="-9"/>
        </w:rPr>
        <w:t> </w:t>
      </w:r>
      <w:r>
        <w:rPr/>
        <w:t>с</w:t>
      </w:r>
      <w:r>
        <w:rPr>
          <w:spacing w:val="-9"/>
        </w:rPr>
        <w:t> </w:t>
      </w:r>
      <w:r>
        <w:rPr/>
        <w:t>высоким</w:t>
      </w:r>
      <w:r>
        <w:rPr>
          <w:spacing w:val="-9"/>
        </w:rPr>
        <w:t> </w:t>
      </w:r>
      <w:r>
        <w:rPr/>
        <w:t>уровнем</w:t>
      </w:r>
      <w:r>
        <w:rPr>
          <w:spacing w:val="-9"/>
        </w:rPr>
        <w:t> </w:t>
      </w:r>
      <w:r>
        <w:rPr/>
        <w:t>доверия</w:t>
      </w:r>
      <w:r>
        <w:rPr>
          <w:spacing w:val="-9"/>
        </w:rPr>
        <w:t> </w:t>
      </w:r>
      <w:r>
        <w:rPr/>
        <w:t>у</w:t>
      </w:r>
      <w:r>
        <w:rPr>
          <w:spacing w:val="-9"/>
        </w:rPr>
        <w:t> </w:t>
      </w:r>
      <w:r>
        <w:rPr/>
        <w:t>участников.</w:t>
      </w:r>
      <w:r>
        <w:rPr>
          <w:spacing w:val="-9"/>
        </w:rPr>
        <w:t> </w:t>
      </w:r>
      <w:r>
        <w:rPr/>
        <w:t>Очень</w:t>
      </w:r>
      <w:r>
        <w:rPr>
          <w:spacing w:val="-9"/>
        </w:rPr>
        <w:t> </w:t>
      </w:r>
      <w:r>
        <w:rPr/>
        <w:t>важно, чтобы</w:t>
      </w:r>
      <w:r>
        <w:rPr>
          <w:spacing w:val="-7"/>
        </w:rPr>
        <w:t> </w:t>
      </w:r>
      <w:r>
        <w:rPr/>
        <w:t>каждый</w:t>
      </w:r>
      <w:r>
        <w:rPr>
          <w:spacing w:val="-7"/>
        </w:rPr>
        <w:t> </w:t>
      </w:r>
      <w:r>
        <w:rPr/>
        <w:t>смог</w:t>
      </w:r>
      <w:r>
        <w:rPr>
          <w:spacing w:val="-7"/>
        </w:rPr>
        <w:t> </w:t>
      </w:r>
      <w:r>
        <w:rPr/>
        <w:t>рассказать</w:t>
      </w:r>
      <w:r>
        <w:rPr>
          <w:spacing w:val="-7"/>
        </w:rPr>
        <w:t> </w:t>
      </w:r>
      <w:r>
        <w:rPr/>
        <w:t>свою</w:t>
      </w:r>
      <w:r>
        <w:rPr>
          <w:spacing w:val="-7"/>
        </w:rPr>
        <w:t> </w:t>
      </w:r>
      <w:r>
        <w:rPr/>
        <w:t>историю.</w:t>
      </w:r>
      <w:r>
        <w:rPr>
          <w:spacing w:val="-7"/>
        </w:rPr>
        <w:t> </w:t>
      </w:r>
      <w:r>
        <w:rPr/>
        <w:t>Если</w:t>
      </w:r>
      <w:r>
        <w:rPr>
          <w:spacing w:val="-7"/>
        </w:rPr>
        <w:t> </w:t>
      </w:r>
      <w:r>
        <w:rPr/>
        <w:t>же</w:t>
      </w:r>
      <w:r>
        <w:rPr>
          <w:spacing w:val="-7"/>
        </w:rPr>
        <w:t> </w:t>
      </w:r>
      <w:r>
        <w:rPr/>
        <w:t>группа</w:t>
      </w:r>
      <w:r>
        <w:rPr>
          <w:spacing w:val="-7"/>
        </w:rPr>
        <w:t> </w:t>
      </w:r>
      <w:r>
        <w:rPr/>
        <w:t>большая,</w:t>
      </w:r>
      <w:r>
        <w:rPr>
          <w:spacing w:val="-7"/>
        </w:rPr>
        <w:t> </w:t>
      </w:r>
      <w:r>
        <w:rPr/>
        <w:t>можно</w:t>
      </w:r>
      <w:r>
        <w:rPr>
          <w:spacing w:val="-7"/>
        </w:rPr>
        <w:t> </w:t>
      </w:r>
      <w:r>
        <w:rPr/>
        <w:t>рисо- вать</w:t>
      </w:r>
      <w:r>
        <w:rPr>
          <w:spacing w:val="-8"/>
        </w:rPr>
        <w:t> </w:t>
      </w:r>
      <w:r>
        <w:rPr/>
        <w:t>индивидуально,</w:t>
      </w:r>
      <w:r>
        <w:rPr>
          <w:spacing w:val="-7"/>
        </w:rPr>
        <w:t> </w:t>
      </w:r>
      <w:r>
        <w:rPr/>
        <w:t>а</w:t>
      </w:r>
      <w:r>
        <w:rPr>
          <w:spacing w:val="-7"/>
        </w:rPr>
        <w:t> </w:t>
      </w:r>
      <w:r>
        <w:rPr/>
        <w:t>затем</w:t>
      </w:r>
      <w:r>
        <w:rPr>
          <w:spacing w:val="-7"/>
        </w:rPr>
        <w:t> </w:t>
      </w:r>
      <w:r>
        <w:rPr/>
        <w:t>поделить</w:t>
      </w:r>
      <w:r>
        <w:rPr>
          <w:spacing w:val="-8"/>
        </w:rPr>
        <w:t> </w:t>
      </w:r>
      <w:r>
        <w:rPr/>
        <w:t>участников</w:t>
      </w:r>
      <w:r>
        <w:rPr>
          <w:spacing w:val="-8"/>
        </w:rPr>
        <w:t> </w:t>
      </w:r>
      <w:r>
        <w:rPr/>
        <w:t>на</w:t>
      </w:r>
      <w:r>
        <w:rPr>
          <w:spacing w:val="-7"/>
        </w:rPr>
        <w:t> </w:t>
      </w:r>
      <w:r>
        <w:rPr/>
        <w:t>небольшие</w:t>
      </w:r>
      <w:r>
        <w:rPr>
          <w:spacing w:val="-7"/>
        </w:rPr>
        <w:t> </w:t>
      </w:r>
      <w:r>
        <w:rPr/>
        <w:t>группы</w:t>
      </w:r>
      <w:r>
        <w:rPr>
          <w:spacing w:val="-7"/>
        </w:rPr>
        <w:t> </w:t>
      </w:r>
      <w:r>
        <w:rPr/>
        <w:t>и</w:t>
      </w:r>
      <w:r>
        <w:rPr>
          <w:spacing w:val="-8"/>
        </w:rPr>
        <w:t> </w:t>
      </w:r>
      <w:r>
        <w:rPr/>
        <w:t>проводить обсуждение в этих группах.</w:t>
      </w:r>
    </w:p>
    <w:p>
      <w:pPr>
        <w:spacing w:before="113"/>
        <w:ind w:left="303" w:right="303" w:firstLine="0"/>
        <w:jc w:val="center"/>
        <w:rPr>
          <w:b/>
          <w:sz w:val="20"/>
        </w:rPr>
      </w:pPr>
      <w:r>
        <w:rPr>
          <w:b/>
          <w:color w:val="231F20"/>
          <w:sz w:val="20"/>
        </w:rPr>
        <w:t>«Шкала</w:t>
      </w:r>
      <w:r>
        <w:rPr>
          <w:b/>
          <w:color w:val="231F20"/>
          <w:spacing w:val="-6"/>
          <w:sz w:val="20"/>
        </w:rPr>
        <w:t> </w:t>
      </w:r>
      <w:r>
        <w:rPr>
          <w:b/>
          <w:color w:val="231F20"/>
          <w:spacing w:val="-2"/>
          <w:sz w:val="20"/>
        </w:rPr>
        <w:t>согласия»</w:t>
      </w:r>
    </w:p>
    <w:p>
      <w:pPr>
        <w:spacing w:before="110"/>
        <w:ind w:left="3604" w:right="14" w:firstLine="0"/>
        <w:jc w:val="center"/>
        <w:rPr>
          <w:i/>
          <w:sz w:val="20"/>
        </w:rPr>
      </w:pPr>
      <w:r>
        <w:rPr>
          <w:b/>
          <w:i/>
          <w:color w:val="231F20"/>
          <w:sz w:val="20"/>
        </w:rPr>
        <w:t>Источник</w:t>
      </w:r>
      <w:r>
        <w:rPr>
          <w:i/>
          <w:color w:val="231F20"/>
          <w:sz w:val="20"/>
        </w:rPr>
        <w:t>:</w:t>
      </w:r>
      <w:r>
        <w:rPr>
          <w:i/>
          <w:color w:val="231F20"/>
          <w:spacing w:val="-7"/>
          <w:sz w:val="20"/>
        </w:rPr>
        <w:t> </w:t>
      </w:r>
      <w:r>
        <w:rPr>
          <w:i/>
          <w:color w:val="231F20"/>
          <w:sz w:val="20"/>
        </w:rPr>
        <w:t>модификация</w:t>
      </w:r>
      <w:r>
        <w:rPr>
          <w:i/>
          <w:color w:val="231F20"/>
          <w:spacing w:val="-6"/>
          <w:sz w:val="20"/>
        </w:rPr>
        <w:t> </w:t>
      </w:r>
      <w:r>
        <w:rPr>
          <w:i/>
          <w:color w:val="231F20"/>
          <w:sz w:val="20"/>
        </w:rPr>
        <w:t>М.Ю.</w:t>
      </w:r>
      <w:r>
        <w:rPr>
          <w:i/>
          <w:color w:val="231F20"/>
          <w:spacing w:val="-6"/>
          <w:sz w:val="20"/>
        </w:rPr>
        <w:t> </w:t>
      </w:r>
      <w:r>
        <w:rPr>
          <w:i/>
          <w:color w:val="231F20"/>
          <w:spacing w:val="-2"/>
          <w:sz w:val="20"/>
        </w:rPr>
        <w:t>Чибисовой</w:t>
      </w:r>
    </w:p>
    <w:p>
      <w:pPr>
        <w:spacing w:before="109"/>
        <w:ind w:left="0" w:right="5714" w:firstLine="0"/>
        <w:jc w:val="center"/>
        <w:rPr>
          <w:b/>
          <w:sz w:val="20"/>
        </w:rPr>
      </w:pPr>
      <w:r>
        <w:rPr>
          <w:b/>
          <w:color w:val="231F20"/>
          <w:sz w:val="20"/>
        </w:rPr>
        <w:t>Вариант</w:t>
      </w:r>
      <w:r>
        <w:rPr>
          <w:b/>
          <w:color w:val="231F20"/>
          <w:spacing w:val="-7"/>
          <w:sz w:val="20"/>
        </w:rPr>
        <w:t> </w:t>
      </w:r>
      <w:r>
        <w:rPr>
          <w:b/>
          <w:color w:val="231F20"/>
          <w:spacing w:val="-5"/>
          <w:sz w:val="20"/>
        </w:rPr>
        <w:t>1.</w:t>
      </w:r>
    </w:p>
    <w:p>
      <w:pPr>
        <w:pStyle w:val="BodyText"/>
        <w:spacing w:line="235" w:lineRule="auto"/>
      </w:pPr>
      <w:r>
        <w:rPr>
          <w:color w:val="231F20"/>
        </w:rPr>
        <w:t>Ведущий обозначает в комнате два крайних полюса: согласия и несогласия. На- пример, абсолютное согласие – у окна, абсолютное несогласие – у двери. Затем он предлагает</w:t>
      </w:r>
      <w:r>
        <w:rPr>
          <w:color w:val="231F20"/>
          <w:spacing w:val="-5"/>
        </w:rPr>
        <w:t> </w:t>
      </w:r>
      <w:r>
        <w:rPr>
          <w:color w:val="231F20"/>
        </w:rPr>
        <w:t>участникам</w:t>
      </w:r>
      <w:r>
        <w:rPr>
          <w:color w:val="231F20"/>
          <w:spacing w:val="-5"/>
        </w:rPr>
        <w:t> </w:t>
      </w:r>
      <w:r>
        <w:rPr>
          <w:color w:val="231F20"/>
        </w:rPr>
        <w:t>разные</w:t>
      </w:r>
      <w:r>
        <w:rPr>
          <w:color w:val="231F20"/>
          <w:spacing w:val="-5"/>
        </w:rPr>
        <w:t> </w:t>
      </w:r>
      <w:r>
        <w:rPr>
          <w:color w:val="231F20"/>
        </w:rPr>
        <w:t>утверждения</w:t>
      </w:r>
      <w:r>
        <w:rPr>
          <w:color w:val="231F20"/>
          <w:spacing w:val="-5"/>
        </w:rPr>
        <w:t> </w:t>
      </w:r>
      <w:r>
        <w:rPr>
          <w:color w:val="231F20"/>
        </w:rPr>
        <w:t>и</w:t>
      </w:r>
      <w:r>
        <w:rPr>
          <w:color w:val="231F20"/>
          <w:spacing w:val="-5"/>
        </w:rPr>
        <w:t> </w:t>
      </w:r>
      <w:r>
        <w:rPr>
          <w:color w:val="231F20"/>
        </w:rPr>
        <w:t>просит</w:t>
      </w:r>
      <w:r>
        <w:rPr>
          <w:color w:val="231F20"/>
          <w:spacing w:val="-5"/>
        </w:rPr>
        <w:t> </w:t>
      </w:r>
      <w:r>
        <w:rPr>
          <w:color w:val="231F20"/>
        </w:rPr>
        <w:t>их</w:t>
      </w:r>
      <w:r>
        <w:rPr>
          <w:color w:val="231F20"/>
          <w:spacing w:val="-5"/>
        </w:rPr>
        <w:t> </w:t>
      </w:r>
      <w:r>
        <w:rPr>
          <w:color w:val="231F20"/>
        </w:rPr>
        <w:t>занять</w:t>
      </w:r>
      <w:r>
        <w:rPr>
          <w:color w:val="231F20"/>
          <w:spacing w:val="-5"/>
        </w:rPr>
        <w:t> </w:t>
      </w:r>
      <w:r>
        <w:rPr>
          <w:color w:val="231F20"/>
        </w:rPr>
        <w:t>позицию</w:t>
      </w:r>
      <w:r>
        <w:rPr>
          <w:color w:val="231F20"/>
          <w:spacing w:val="-5"/>
        </w:rPr>
        <w:t> </w:t>
      </w:r>
      <w:r>
        <w:rPr>
          <w:color w:val="231F20"/>
        </w:rPr>
        <w:t>в</w:t>
      </w:r>
      <w:r>
        <w:rPr>
          <w:color w:val="231F20"/>
          <w:spacing w:val="-5"/>
        </w:rPr>
        <w:t> </w:t>
      </w:r>
      <w:r>
        <w:rPr>
          <w:color w:val="231F20"/>
        </w:rPr>
        <w:t>простран- стве,</w:t>
      </w:r>
      <w:r>
        <w:rPr>
          <w:color w:val="231F20"/>
          <w:spacing w:val="-2"/>
        </w:rPr>
        <w:t> </w:t>
      </w:r>
      <w:r>
        <w:rPr>
          <w:color w:val="231F20"/>
        </w:rPr>
        <w:t>отражающую</w:t>
      </w:r>
      <w:r>
        <w:rPr>
          <w:color w:val="231F20"/>
          <w:spacing w:val="-2"/>
        </w:rPr>
        <w:t> </w:t>
      </w:r>
      <w:r>
        <w:rPr>
          <w:color w:val="231F20"/>
        </w:rPr>
        <w:t>степень</w:t>
      </w:r>
      <w:r>
        <w:rPr>
          <w:color w:val="231F20"/>
          <w:spacing w:val="-2"/>
        </w:rPr>
        <w:t> </w:t>
      </w:r>
      <w:r>
        <w:rPr>
          <w:color w:val="231F20"/>
        </w:rPr>
        <w:t>согласия</w:t>
      </w:r>
      <w:r>
        <w:rPr>
          <w:color w:val="231F20"/>
          <w:spacing w:val="-2"/>
        </w:rPr>
        <w:t> </w:t>
      </w:r>
      <w:r>
        <w:rPr>
          <w:color w:val="231F20"/>
        </w:rPr>
        <w:t>или</w:t>
      </w:r>
      <w:r>
        <w:rPr>
          <w:color w:val="231F20"/>
          <w:spacing w:val="-2"/>
        </w:rPr>
        <w:t> </w:t>
      </w:r>
      <w:r>
        <w:rPr>
          <w:color w:val="231F20"/>
        </w:rPr>
        <w:t>несогласия</w:t>
      </w:r>
      <w:r>
        <w:rPr>
          <w:color w:val="231F20"/>
          <w:spacing w:val="-2"/>
        </w:rPr>
        <w:t> </w:t>
      </w:r>
      <w:r>
        <w:rPr>
          <w:color w:val="231F20"/>
        </w:rPr>
        <w:t>с</w:t>
      </w:r>
      <w:r>
        <w:rPr>
          <w:color w:val="231F20"/>
          <w:spacing w:val="-2"/>
        </w:rPr>
        <w:t> </w:t>
      </w:r>
      <w:r>
        <w:rPr>
          <w:color w:val="231F20"/>
        </w:rPr>
        <w:t>определенным</w:t>
      </w:r>
      <w:r>
        <w:rPr>
          <w:color w:val="231F20"/>
          <w:spacing w:val="-2"/>
        </w:rPr>
        <w:t> </w:t>
      </w:r>
      <w:r>
        <w:rPr>
          <w:color w:val="231F20"/>
        </w:rPr>
        <w:t>утверждением. Участники</w:t>
      </w:r>
      <w:r>
        <w:rPr>
          <w:color w:val="231F20"/>
          <w:spacing w:val="-1"/>
        </w:rPr>
        <w:t> </w:t>
      </w:r>
      <w:r>
        <w:rPr>
          <w:color w:val="231F20"/>
        </w:rPr>
        <w:t>также</w:t>
      </w:r>
      <w:r>
        <w:rPr>
          <w:color w:val="231F20"/>
          <w:spacing w:val="-1"/>
        </w:rPr>
        <w:t> </w:t>
      </w:r>
      <w:r>
        <w:rPr>
          <w:color w:val="231F20"/>
        </w:rPr>
        <w:t>могут</w:t>
      </w:r>
      <w:r>
        <w:rPr>
          <w:color w:val="231F20"/>
          <w:spacing w:val="-1"/>
        </w:rPr>
        <w:t> </w:t>
      </w:r>
      <w:r>
        <w:rPr>
          <w:color w:val="231F20"/>
        </w:rPr>
        <w:t>занимать</w:t>
      </w:r>
      <w:r>
        <w:rPr>
          <w:color w:val="231F20"/>
          <w:spacing w:val="-1"/>
        </w:rPr>
        <w:t> </w:t>
      </w:r>
      <w:r>
        <w:rPr>
          <w:color w:val="231F20"/>
        </w:rPr>
        <w:t>промежуточное</w:t>
      </w:r>
      <w:r>
        <w:rPr>
          <w:color w:val="231F20"/>
          <w:spacing w:val="-1"/>
        </w:rPr>
        <w:t> </w:t>
      </w:r>
      <w:r>
        <w:rPr>
          <w:color w:val="231F20"/>
        </w:rPr>
        <w:t>положение:</w:t>
      </w:r>
      <w:r>
        <w:rPr>
          <w:color w:val="231F20"/>
          <w:spacing w:val="-1"/>
        </w:rPr>
        <w:t> </w:t>
      </w:r>
      <w:r>
        <w:rPr>
          <w:color w:val="231F20"/>
        </w:rPr>
        <w:t>ближе</w:t>
      </w:r>
      <w:r>
        <w:rPr>
          <w:color w:val="231F20"/>
          <w:spacing w:val="-1"/>
        </w:rPr>
        <w:t> </w:t>
      </w:r>
      <w:r>
        <w:rPr>
          <w:color w:val="231F20"/>
        </w:rPr>
        <w:t>к</w:t>
      </w:r>
      <w:r>
        <w:rPr>
          <w:color w:val="231F20"/>
          <w:spacing w:val="-1"/>
        </w:rPr>
        <w:t> </w:t>
      </w:r>
      <w:r>
        <w:rPr>
          <w:color w:val="231F20"/>
        </w:rPr>
        <w:t>согласию</w:t>
      </w:r>
      <w:r>
        <w:rPr>
          <w:color w:val="231F20"/>
          <w:spacing w:val="-1"/>
        </w:rPr>
        <w:t> </w:t>
      </w:r>
      <w:r>
        <w:rPr>
          <w:color w:val="231F20"/>
        </w:rPr>
        <w:t>или ближе к несогласию. После каждого утверждения ведущий просит желающих про- комментировать свою позицию.</w:t>
      </w:r>
    </w:p>
    <w:p>
      <w:pPr>
        <w:spacing w:line="228" w:lineRule="exact" w:before="57"/>
        <w:ind w:left="425" w:right="0" w:firstLine="0"/>
        <w:jc w:val="both"/>
        <w:rPr>
          <w:b/>
          <w:sz w:val="20"/>
        </w:rPr>
      </w:pPr>
      <w:r>
        <w:rPr>
          <w:b/>
          <w:color w:val="231F20"/>
          <w:sz w:val="20"/>
        </w:rPr>
        <w:t>Вариант</w:t>
      </w:r>
      <w:r>
        <w:rPr>
          <w:b/>
          <w:color w:val="231F20"/>
          <w:spacing w:val="-7"/>
          <w:sz w:val="20"/>
        </w:rPr>
        <w:t> </w:t>
      </w:r>
      <w:r>
        <w:rPr>
          <w:b/>
          <w:color w:val="231F20"/>
          <w:spacing w:val="-5"/>
          <w:sz w:val="20"/>
        </w:rPr>
        <w:t>2.</w:t>
      </w:r>
    </w:p>
    <w:p>
      <w:pPr>
        <w:pStyle w:val="BodyText"/>
        <w:spacing w:line="235" w:lineRule="auto" w:before="2"/>
      </w:pPr>
      <w:r>
        <w:rPr>
          <w:color w:val="231F20"/>
        </w:rPr>
        <w:t>Участникам предлагается нарисованная на бумаге шкала, имеющая два полюса: абсолютно</w:t>
      </w:r>
      <w:r>
        <w:rPr>
          <w:color w:val="231F20"/>
          <w:spacing w:val="-13"/>
        </w:rPr>
        <w:t> </w:t>
      </w:r>
      <w:r>
        <w:rPr>
          <w:color w:val="231F20"/>
        </w:rPr>
        <w:t>согласен</w:t>
      </w:r>
      <w:r>
        <w:rPr>
          <w:color w:val="231F20"/>
          <w:spacing w:val="-12"/>
        </w:rPr>
        <w:t> </w:t>
      </w:r>
      <w:r>
        <w:rPr>
          <w:color w:val="231F20"/>
        </w:rPr>
        <w:t>и</w:t>
      </w:r>
      <w:r>
        <w:rPr>
          <w:color w:val="231F20"/>
          <w:spacing w:val="-13"/>
        </w:rPr>
        <w:t> </w:t>
      </w:r>
      <w:r>
        <w:rPr>
          <w:color w:val="231F20"/>
        </w:rPr>
        <w:t>совершенно</w:t>
      </w:r>
      <w:r>
        <w:rPr>
          <w:color w:val="231F20"/>
          <w:spacing w:val="-12"/>
        </w:rPr>
        <w:t> </w:t>
      </w:r>
      <w:r>
        <w:rPr>
          <w:color w:val="231F20"/>
        </w:rPr>
        <w:t>не</w:t>
      </w:r>
      <w:r>
        <w:rPr>
          <w:color w:val="231F20"/>
          <w:spacing w:val="-13"/>
        </w:rPr>
        <w:t> </w:t>
      </w:r>
      <w:r>
        <w:rPr>
          <w:color w:val="231F20"/>
        </w:rPr>
        <w:t>согласен.</w:t>
      </w:r>
      <w:r>
        <w:rPr>
          <w:color w:val="231F20"/>
          <w:spacing w:val="-12"/>
        </w:rPr>
        <w:t> </w:t>
      </w:r>
      <w:r>
        <w:rPr>
          <w:color w:val="231F20"/>
        </w:rPr>
        <w:t>Им</w:t>
      </w:r>
      <w:r>
        <w:rPr>
          <w:color w:val="231F20"/>
          <w:spacing w:val="-13"/>
        </w:rPr>
        <w:t> </w:t>
      </w:r>
      <w:r>
        <w:rPr>
          <w:color w:val="231F20"/>
        </w:rPr>
        <w:t>необходимо</w:t>
      </w:r>
      <w:r>
        <w:rPr>
          <w:color w:val="231F20"/>
          <w:spacing w:val="-12"/>
        </w:rPr>
        <w:t> </w:t>
      </w:r>
      <w:r>
        <w:rPr>
          <w:color w:val="231F20"/>
        </w:rPr>
        <w:t>выразить</w:t>
      </w:r>
      <w:r>
        <w:rPr>
          <w:color w:val="231F20"/>
          <w:spacing w:val="-13"/>
        </w:rPr>
        <w:t> </w:t>
      </w:r>
      <w:r>
        <w:rPr>
          <w:color w:val="231F20"/>
        </w:rPr>
        <w:t>свое</w:t>
      </w:r>
      <w:r>
        <w:rPr>
          <w:color w:val="231F20"/>
          <w:spacing w:val="-12"/>
        </w:rPr>
        <w:t> </w:t>
      </w:r>
      <w:r>
        <w:rPr>
          <w:color w:val="231F20"/>
        </w:rPr>
        <w:t>мнение по обозначенному вопросу (см. ниже), отметив его точкой на шкале. Для каждого утверждения предлагается отдельная шкала.</w:t>
      </w:r>
    </w:p>
    <w:p>
      <w:pPr>
        <w:pStyle w:val="BodyText"/>
        <w:spacing w:line="228" w:lineRule="exact" w:before="112"/>
        <w:ind w:right="0"/>
      </w:pPr>
      <w:r>
        <w:rPr>
          <w:color w:val="231F20"/>
        </w:rPr>
        <w:t>Можно</w:t>
      </w:r>
      <w:r>
        <w:rPr>
          <w:color w:val="231F20"/>
          <w:spacing w:val="-9"/>
        </w:rPr>
        <w:t> </w:t>
      </w:r>
      <w:r>
        <w:rPr>
          <w:color w:val="231F20"/>
        </w:rPr>
        <w:t>предложить</w:t>
      </w:r>
      <w:r>
        <w:rPr>
          <w:color w:val="231F20"/>
          <w:spacing w:val="-8"/>
        </w:rPr>
        <w:t> </w:t>
      </w:r>
      <w:r>
        <w:rPr>
          <w:color w:val="231F20"/>
        </w:rPr>
        <w:t>следующие</w:t>
      </w:r>
      <w:r>
        <w:rPr>
          <w:color w:val="231F20"/>
          <w:spacing w:val="-8"/>
        </w:rPr>
        <w:t> </w:t>
      </w:r>
      <w:r>
        <w:rPr>
          <w:color w:val="231F20"/>
          <w:spacing w:val="-2"/>
        </w:rPr>
        <w:t>утверждения:</w:t>
      </w:r>
    </w:p>
    <w:p>
      <w:pPr>
        <w:pStyle w:val="ListParagraph"/>
        <w:numPr>
          <w:ilvl w:val="2"/>
          <w:numId w:val="273"/>
        </w:numPr>
        <w:tabs>
          <w:tab w:pos="424" w:val="left" w:leader="none"/>
        </w:tabs>
        <w:spacing w:line="226" w:lineRule="exact" w:before="0" w:after="0"/>
        <w:ind w:left="424" w:right="0" w:hanging="283"/>
        <w:jc w:val="left"/>
        <w:rPr>
          <w:i/>
          <w:color w:val="231F20"/>
          <w:sz w:val="20"/>
        </w:rPr>
      </w:pPr>
      <w:r>
        <w:rPr>
          <w:i/>
          <w:color w:val="231F20"/>
          <w:sz w:val="20"/>
        </w:rPr>
        <w:t>Я</w:t>
      </w:r>
      <w:r>
        <w:rPr>
          <w:i/>
          <w:color w:val="231F20"/>
          <w:spacing w:val="-5"/>
          <w:sz w:val="20"/>
        </w:rPr>
        <w:t> </w:t>
      </w:r>
      <w:r>
        <w:rPr>
          <w:i/>
          <w:color w:val="231F20"/>
          <w:sz w:val="20"/>
        </w:rPr>
        <w:t>часто</w:t>
      </w:r>
      <w:r>
        <w:rPr>
          <w:i/>
          <w:color w:val="231F20"/>
          <w:spacing w:val="-4"/>
          <w:sz w:val="20"/>
        </w:rPr>
        <w:t> </w:t>
      </w:r>
      <w:r>
        <w:rPr>
          <w:i/>
          <w:color w:val="231F20"/>
          <w:sz w:val="20"/>
        </w:rPr>
        <w:t>вспоминаю</w:t>
      </w:r>
      <w:r>
        <w:rPr>
          <w:i/>
          <w:color w:val="231F20"/>
          <w:spacing w:val="-5"/>
          <w:sz w:val="20"/>
        </w:rPr>
        <w:t> </w:t>
      </w:r>
      <w:r>
        <w:rPr>
          <w:i/>
          <w:color w:val="231F20"/>
          <w:sz w:val="20"/>
        </w:rPr>
        <w:t>о</w:t>
      </w:r>
      <w:r>
        <w:rPr>
          <w:i/>
          <w:color w:val="231F20"/>
          <w:spacing w:val="-4"/>
          <w:sz w:val="20"/>
        </w:rPr>
        <w:t> </w:t>
      </w:r>
      <w:r>
        <w:rPr>
          <w:i/>
          <w:color w:val="231F20"/>
          <w:sz w:val="20"/>
        </w:rPr>
        <w:t>своей</w:t>
      </w:r>
      <w:r>
        <w:rPr>
          <w:i/>
          <w:color w:val="231F20"/>
          <w:spacing w:val="-3"/>
          <w:sz w:val="20"/>
        </w:rPr>
        <w:t> </w:t>
      </w:r>
      <w:r>
        <w:rPr>
          <w:i/>
          <w:color w:val="231F20"/>
          <w:spacing w:val="-2"/>
          <w:sz w:val="20"/>
        </w:rPr>
        <w:t>национальности.</w:t>
      </w:r>
    </w:p>
    <w:p>
      <w:pPr>
        <w:pStyle w:val="ListParagraph"/>
        <w:numPr>
          <w:ilvl w:val="2"/>
          <w:numId w:val="273"/>
        </w:numPr>
        <w:tabs>
          <w:tab w:pos="425" w:val="left" w:leader="none"/>
        </w:tabs>
        <w:spacing w:line="235" w:lineRule="auto" w:before="2" w:after="0"/>
        <w:ind w:left="425" w:right="139" w:hanging="284"/>
        <w:jc w:val="left"/>
        <w:rPr>
          <w:i/>
          <w:color w:val="231F20"/>
          <w:sz w:val="20"/>
        </w:rPr>
      </w:pPr>
      <w:r>
        <w:rPr>
          <w:i/>
          <w:color w:val="231F20"/>
          <w:sz w:val="20"/>
        </w:rPr>
        <w:t>Только</w:t>
      </w:r>
      <w:r>
        <w:rPr>
          <w:i/>
          <w:color w:val="231F20"/>
          <w:spacing w:val="26"/>
          <w:sz w:val="20"/>
        </w:rPr>
        <w:t> </w:t>
      </w:r>
      <w:r>
        <w:rPr>
          <w:i/>
          <w:color w:val="231F20"/>
          <w:sz w:val="20"/>
        </w:rPr>
        <w:t>человек,</w:t>
      </w:r>
      <w:r>
        <w:rPr>
          <w:i/>
          <w:color w:val="231F20"/>
          <w:spacing w:val="26"/>
          <w:sz w:val="20"/>
        </w:rPr>
        <w:t> </w:t>
      </w:r>
      <w:r>
        <w:rPr>
          <w:i/>
          <w:color w:val="231F20"/>
          <w:sz w:val="20"/>
        </w:rPr>
        <w:t>активно</w:t>
      </w:r>
      <w:r>
        <w:rPr>
          <w:i/>
          <w:color w:val="231F20"/>
          <w:spacing w:val="26"/>
          <w:sz w:val="20"/>
        </w:rPr>
        <w:t> </w:t>
      </w:r>
      <w:r>
        <w:rPr>
          <w:i/>
          <w:color w:val="231F20"/>
          <w:sz w:val="20"/>
        </w:rPr>
        <w:t>участвующий</w:t>
      </w:r>
      <w:r>
        <w:rPr>
          <w:i/>
          <w:color w:val="231F20"/>
          <w:spacing w:val="26"/>
          <w:sz w:val="20"/>
        </w:rPr>
        <w:t> </w:t>
      </w:r>
      <w:r>
        <w:rPr>
          <w:i/>
          <w:color w:val="231F20"/>
          <w:sz w:val="20"/>
        </w:rPr>
        <w:t>в</w:t>
      </w:r>
      <w:r>
        <w:rPr>
          <w:i/>
          <w:color w:val="231F20"/>
          <w:spacing w:val="26"/>
          <w:sz w:val="20"/>
        </w:rPr>
        <w:t> </w:t>
      </w:r>
      <w:r>
        <w:rPr>
          <w:i/>
          <w:color w:val="231F20"/>
          <w:sz w:val="20"/>
        </w:rPr>
        <w:t>жизни</w:t>
      </w:r>
      <w:r>
        <w:rPr>
          <w:i/>
          <w:color w:val="231F20"/>
          <w:spacing w:val="26"/>
          <w:sz w:val="20"/>
        </w:rPr>
        <w:t> </w:t>
      </w:r>
      <w:r>
        <w:rPr>
          <w:i/>
          <w:color w:val="231F20"/>
          <w:sz w:val="20"/>
        </w:rPr>
        <w:t>общества,</w:t>
      </w:r>
      <w:r>
        <w:rPr>
          <w:i/>
          <w:color w:val="231F20"/>
          <w:spacing w:val="26"/>
          <w:sz w:val="20"/>
        </w:rPr>
        <w:t> </w:t>
      </w:r>
      <w:r>
        <w:rPr>
          <w:i/>
          <w:color w:val="231F20"/>
          <w:sz w:val="20"/>
        </w:rPr>
        <w:t>может</w:t>
      </w:r>
      <w:r>
        <w:rPr>
          <w:i/>
          <w:color w:val="231F20"/>
          <w:spacing w:val="26"/>
          <w:sz w:val="20"/>
        </w:rPr>
        <w:t> </w:t>
      </w:r>
      <w:r>
        <w:rPr>
          <w:i/>
          <w:color w:val="231F20"/>
          <w:sz w:val="20"/>
        </w:rPr>
        <w:t>считаться полноценным гражданином своей страны.</w:t>
      </w:r>
    </w:p>
    <w:p>
      <w:pPr>
        <w:pStyle w:val="ListParagraph"/>
        <w:numPr>
          <w:ilvl w:val="2"/>
          <w:numId w:val="273"/>
        </w:numPr>
        <w:tabs>
          <w:tab w:pos="424" w:val="left" w:leader="none"/>
        </w:tabs>
        <w:spacing w:line="225" w:lineRule="exact" w:before="0" w:after="0"/>
        <w:ind w:left="424" w:right="0" w:hanging="283"/>
        <w:jc w:val="left"/>
        <w:rPr>
          <w:i/>
          <w:color w:val="231F20"/>
          <w:sz w:val="20"/>
        </w:rPr>
      </w:pPr>
      <w:r>
        <w:rPr>
          <w:i/>
          <w:color w:val="231F20"/>
          <w:sz w:val="20"/>
        </w:rPr>
        <w:t>Человек</w:t>
      </w:r>
      <w:r>
        <w:rPr>
          <w:i/>
          <w:color w:val="231F20"/>
          <w:spacing w:val="-6"/>
          <w:sz w:val="20"/>
        </w:rPr>
        <w:t> </w:t>
      </w:r>
      <w:r>
        <w:rPr>
          <w:i/>
          <w:color w:val="231F20"/>
          <w:sz w:val="20"/>
        </w:rPr>
        <w:t>сам</w:t>
      </w:r>
      <w:r>
        <w:rPr>
          <w:i/>
          <w:color w:val="231F20"/>
          <w:spacing w:val="-4"/>
          <w:sz w:val="20"/>
        </w:rPr>
        <w:t> </w:t>
      </w:r>
      <w:r>
        <w:rPr>
          <w:i/>
          <w:color w:val="231F20"/>
          <w:sz w:val="20"/>
        </w:rPr>
        <w:t>выбирает,</w:t>
      </w:r>
      <w:r>
        <w:rPr>
          <w:i/>
          <w:color w:val="231F20"/>
          <w:spacing w:val="-4"/>
          <w:sz w:val="20"/>
        </w:rPr>
        <w:t> </w:t>
      </w:r>
      <w:r>
        <w:rPr>
          <w:i/>
          <w:color w:val="231F20"/>
          <w:sz w:val="20"/>
        </w:rPr>
        <w:t>к</w:t>
      </w:r>
      <w:r>
        <w:rPr>
          <w:i/>
          <w:color w:val="231F20"/>
          <w:spacing w:val="-3"/>
          <w:sz w:val="20"/>
        </w:rPr>
        <w:t> </w:t>
      </w:r>
      <w:r>
        <w:rPr>
          <w:i/>
          <w:color w:val="231F20"/>
          <w:sz w:val="20"/>
        </w:rPr>
        <w:t>какой</w:t>
      </w:r>
      <w:r>
        <w:rPr>
          <w:i/>
          <w:color w:val="231F20"/>
          <w:spacing w:val="-4"/>
          <w:sz w:val="20"/>
        </w:rPr>
        <w:t> </w:t>
      </w:r>
      <w:r>
        <w:rPr>
          <w:i/>
          <w:color w:val="231F20"/>
          <w:sz w:val="20"/>
        </w:rPr>
        <w:t>национальности</w:t>
      </w:r>
      <w:r>
        <w:rPr>
          <w:i/>
          <w:color w:val="231F20"/>
          <w:spacing w:val="-3"/>
          <w:sz w:val="20"/>
        </w:rPr>
        <w:t> </w:t>
      </w:r>
      <w:r>
        <w:rPr>
          <w:i/>
          <w:color w:val="231F20"/>
          <w:sz w:val="20"/>
        </w:rPr>
        <w:t>он</w:t>
      </w:r>
      <w:r>
        <w:rPr>
          <w:i/>
          <w:color w:val="231F20"/>
          <w:spacing w:val="-4"/>
          <w:sz w:val="20"/>
        </w:rPr>
        <w:t> </w:t>
      </w:r>
      <w:r>
        <w:rPr>
          <w:i/>
          <w:color w:val="231F20"/>
          <w:spacing w:val="-2"/>
          <w:sz w:val="20"/>
        </w:rPr>
        <w:t>принадлежит.</w:t>
      </w:r>
    </w:p>
    <w:p>
      <w:pPr>
        <w:pStyle w:val="ListParagraph"/>
        <w:numPr>
          <w:ilvl w:val="2"/>
          <w:numId w:val="273"/>
        </w:numPr>
        <w:tabs>
          <w:tab w:pos="425" w:val="left" w:leader="none"/>
        </w:tabs>
        <w:spacing w:line="235" w:lineRule="auto" w:before="2" w:after="0"/>
        <w:ind w:left="425" w:right="139" w:hanging="284"/>
        <w:jc w:val="left"/>
        <w:rPr>
          <w:i/>
          <w:color w:val="231F20"/>
          <w:sz w:val="20"/>
        </w:rPr>
      </w:pPr>
      <w:r>
        <w:rPr>
          <w:i/>
          <w:color w:val="231F20"/>
          <w:sz w:val="20"/>
        </w:rPr>
        <w:t>В</w:t>
      </w:r>
      <w:r>
        <w:rPr>
          <w:i/>
          <w:color w:val="231F20"/>
          <w:spacing w:val="32"/>
          <w:sz w:val="20"/>
        </w:rPr>
        <w:t> </w:t>
      </w:r>
      <w:r>
        <w:rPr>
          <w:i/>
          <w:color w:val="231F20"/>
          <w:sz w:val="20"/>
        </w:rPr>
        <w:t>условиях</w:t>
      </w:r>
      <w:r>
        <w:rPr>
          <w:i/>
          <w:color w:val="231F20"/>
          <w:spacing w:val="32"/>
          <w:sz w:val="20"/>
        </w:rPr>
        <w:t> </w:t>
      </w:r>
      <w:r>
        <w:rPr>
          <w:i/>
          <w:color w:val="231F20"/>
          <w:sz w:val="20"/>
        </w:rPr>
        <w:t>глобализации</w:t>
      </w:r>
      <w:r>
        <w:rPr>
          <w:i/>
          <w:color w:val="231F20"/>
          <w:spacing w:val="32"/>
          <w:sz w:val="20"/>
        </w:rPr>
        <w:t> </w:t>
      </w:r>
      <w:r>
        <w:rPr>
          <w:i/>
          <w:color w:val="231F20"/>
          <w:sz w:val="20"/>
        </w:rPr>
        <w:t>принадлежность</w:t>
      </w:r>
      <w:r>
        <w:rPr>
          <w:i/>
          <w:color w:val="231F20"/>
          <w:spacing w:val="32"/>
          <w:sz w:val="20"/>
        </w:rPr>
        <w:t> </w:t>
      </w:r>
      <w:r>
        <w:rPr>
          <w:i/>
          <w:color w:val="231F20"/>
          <w:sz w:val="20"/>
        </w:rPr>
        <w:t>к</w:t>
      </w:r>
      <w:r>
        <w:rPr>
          <w:i/>
          <w:color w:val="231F20"/>
          <w:spacing w:val="32"/>
          <w:sz w:val="20"/>
        </w:rPr>
        <w:t> </w:t>
      </w:r>
      <w:r>
        <w:rPr>
          <w:i/>
          <w:color w:val="231F20"/>
          <w:sz w:val="20"/>
        </w:rPr>
        <w:t>какому-то</w:t>
      </w:r>
      <w:r>
        <w:rPr>
          <w:i/>
          <w:color w:val="231F20"/>
          <w:spacing w:val="32"/>
          <w:sz w:val="20"/>
        </w:rPr>
        <w:t> </w:t>
      </w:r>
      <w:r>
        <w:rPr>
          <w:i/>
          <w:color w:val="231F20"/>
          <w:sz w:val="20"/>
        </w:rPr>
        <w:t>этносу</w:t>
      </w:r>
      <w:r>
        <w:rPr>
          <w:i/>
          <w:color w:val="231F20"/>
          <w:spacing w:val="32"/>
          <w:sz w:val="20"/>
        </w:rPr>
        <w:t> </w:t>
      </w:r>
      <w:r>
        <w:rPr>
          <w:i/>
          <w:color w:val="231F20"/>
          <w:sz w:val="20"/>
        </w:rPr>
        <w:t>теряет</w:t>
      </w:r>
      <w:r>
        <w:rPr>
          <w:i/>
          <w:color w:val="231F20"/>
          <w:spacing w:val="32"/>
          <w:sz w:val="20"/>
        </w:rPr>
        <w:t> </w:t>
      </w:r>
      <w:r>
        <w:rPr>
          <w:i/>
          <w:color w:val="231F20"/>
          <w:sz w:val="20"/>
        </w:rPr>
        <w:t>значи- </w:t>
      </w:r>
      <w:r>
        <w:rPr>
          <w:i/>
          <w:color w:val="231F20"/>
          <w:spacing w:val="-2"/>
          <w:sz w:val="20"/>
        </w:rPr>
        <w:t>мость.</w:t>
      </w:r>
    </w:p>
    <w:p>
      <w:pPr>
        <w:pStyle w:val="ListParagraph"/>
        <w:spacing w:after="0" w:line="235" w:lineRule="auto"/>
        <w:jc w:val="left"/>
        <w:rPr>
          <w:i/>
          <w:sz w:val="20"/>
        </w:rPr>
        <w:sectPr>
          <w:pgSz w:w="8400" w:h="11910"/>
          <w:pgMar w:header="0" w:footer="530"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ListParagraph"/>
        <w:numPr>
          <w:ilvl w:val="2"/>
          <w:numId w:val="273"/>
        </w:numPr>
        <w:tabs>
          <w:tab w:pos="424" w:val="left" w:leader="none"/>
        </w:tabs>
        <w:spacing w:line="240" w:lineRule="auto" w:before="112" w:after="0"/>
        <w:ind w:left="424" w:right="0" w:hanging="283"/>
        <w:jc w:val="left"/>
        <w:rPr>
          <w:i/>
          <w:color w:val="231F20"/>
          <w:sz w:val="20"/>
        </w:rPr>
      </w:pPr>
      <w:r>
        <w:rPr>
          <w:i/>
          <w:color w:val="231F20"/>
          <w:sz w:val="20"/>
        </w:rPr>
        <w:t>Для</w:t>
      </w:r>
      <w:r>
        <w:rPr>
          <w:i/>
          <w:color w:val="231F20"/>
          <w:spacing w:val="-3"/>
          <w:sz w:val="20"/>
        </w:rPr>
        <w:t> </w:t>
      </w:r>
      <w:r>
        <w:rPr>
          <w:i/>
          <w:color w:val="231F20"/>
          <w:sz w:val="20"/>
        </w:rPr>
        <w:t>меня</w:t>
      </w:r>
      <w:r>
        <w:rPr>
          <w:i/>
          <w:color w:val="231F20"/>
          <w:spacing w:val="-3"/>
          <w:sz w:val="20"/>
        </w:rPr>
        <w:t> </w:t>
      </w:r>
      <w:r>
        <w:rPr>
          <w:i/>
          <w:color w:val="231F20"/>
          <w:sz w:val="20"/>
        </w:rPr>
        <w:t>важно</w:t>
      </w:r>
      <w:r>
        <w:rPr>
          <w:i/>
          <w:color w:val="231F20"/>
          <w:spacing w:val="-3"/>
          <w:sz w:val="20"/>
        </w:rPr>
        <w:t> </w:t>
      </w:r>
      <w:r>
        <w:rPr>
          <w:i/>
          <w:color w:val="231F20"/>
          <w:sz w:val="20"/>
        </w:rPr>
        <w:t>быть</w:t>
      </w:r>
      <w:r>
        <w:rPr>
          <w:i/>
          <w:color w:val="231F20"/>
          <w:spacing w:val="-3"/>
          <w:sz w:val="20"/>
        </w:rPr>
        <w:t> </w:t>
      </w:r>
      <w:r>
        <w:rPr>
          <w:i/>
          <w:color w:val="231F20"/>
          <w:sz w:val="20"/>
        </w:rPr>
        <w:t>гражданином</w:t>
      </w:r>
      <w:r>
        <w:rPr>
          <w:i/>
          <w:color w:val="231F20"/>
          <w:spacing w:val="-4"/>
          <w:sz w:val="20"/>
        </w:rPr>
        <w:t> </w:t>
      </w:r>
      <w:r>
        <w:rPr>
          <w:i/>
          <w:color w:val="231F20"/>
          <w:sz w:val="20"/>
        </w:rPr>
        <w:t>моей</w:t>
      </w:r>
      <w:r>
        <w:rPr>
          <w:i/>
          <w:color w:val="231F20"/>
          <w:spacing w:val="-2"/>
          <w:sz w:val="20"/>
        </w:rPr>
        <w:t> страны.</w:t>
      </w:r>
    </w:p>
    <w:p>
      <w:pPr>
        <w:pStyle w:val="ListParagraph"/>
        <w:numPr>
          <w:ilvl w:val="2"/>
          <w:numId w:val="273"/>
        </w:numPr>
        <w:tabs>
          <w:tab w:pos="424" w:val="left" w:leader="none"/>
        </w:tabs>
        <w:spacing w:line="225" w:lineRule="exact" w:before="0" w:after="0"/>
        <w:ind w:left="424" w:right="0" w:hanging="283"/>
        <w:jc w:val="left"/>
        <w:rPr>
          <w:i/>
          <w:color w:val="231F20"/>
          <w:sz w:val="20"/>
        </w:rPr>
      </w:pPr>
      <w:r>
        <w:rPr>
          <w:i/>
          <w:color w:val="231F20"/>
          <w:sz w:val="20"/>
        </w:rPr>
        <w:t>Принадлежать</w:t>
      </w:r>
      <w:r>
        <w:rPr>
          <w:i/>
          <w:color w:val="231F20"/>
          <w:spacing w:val="-10"/>
          <w:sz w:val="20"/>
        </w:rPr>
        <w:t> </w:t>
      </w:r>
      <w:r>
        <w:rPr>
          <w:i/>
          <w:color w:val="231F20"/>
          <w:sz w:val="20"/>
        </w:rPr>
        <w:t>к</w:t>
      </w:r>
      <w:r>
        <w:rPr>
          <w:i/>
          <w:color w:val="231F20"/>
          <w:spacing w:val="-7"/>
          <w:sz w:val="20"/>
        </w:rPr>
        <w:t> </w:t>
      </w:r>
      <w:r>
        <w:rPr>
          <w:i/>
          <w:color w:val="231F20"/>
          <w:sz w:val="20"/>
        </w:rPr>
        <w:t>двум</w:t>
      </w:r>
      <w:r>
        <w:rPr>
          <w:i/>
          <w:color w:val="231F20"/>
          <w:spacing w:val="-7"/>
          <w:sz w:val="20"/>
        </w:rPr>
        <w:t> </w:t>
      </w:r>
      <w:r>
        <w:rPr>
          <w:i/>
          <w:color w:val="231F20"/>
          <w:sz w:val="20"/>
        </w:rPr>
        <w:t>народам</w:t>
      </w:r>
      <w:r>
        <w:rPr>
          <w:i/>
          <w:color w:val="231F20"/>
          <w:spacing w:val="-7"/>
          <w:sz w:val="20"/>
        </w:rPr>
        <w:t> </w:t>
      </w:r>
      <w:r>
        <w:rPr>
          <w:i/>
          <w:color w:val="231F20"/>
          <w:sz w:val="20"/>
        </w:rPr>
        <w:t>и</w:t>
      </w:r>
      <w:r>
        <w:rPr>
          <w:i/>
          <w:color w:val="231F20"/>
          <w:spacing w:val="-7"/>
          <w:sz w:val="20"/>
        </w:rPr>
        <w:t> </w:t>
      </w:r>
      <w:r>
        <w:rPr>
          <w:i/>
          <w:color w:val="231F20"/>
          <w:sz w:val="20"/>
        </w:rPr>
        <w:t>двум</w:t>
      </w:r>
      <w:r>
        <w:rPr>
          <w:i/>
          <w:color w:val="231F20"/>
          <w:spacing w:val="-8"/>
          <w:sz w:val="20"/>
        </w:rPr>
        <w:t> </w:t>
      </w:r>
      <w:r>
        <w:rPr>
          <w:i/>
          <w:color w:val="231F20"/>
          <w:sz w:val="20"/>
        </w:rPr>
        <w:t>культурам</w:t>
      </w:r>
      <w:r>
        <w:rPr>
          <w:i/>
          <w:color w:val="231F20"/>
          <w:spacing w:val="-7"/>
          <w:sz w:val="20"/>
        </w:rPr>
        <w:t> </w:t>
      </w:r>
      <w:r>
        <w:rPr>
          <w:i/>
          <w:color w:val="231F20"/>
          <w:sz w:val="20"/>
        </w:rPr>
        <w:t>одновременно</w:t>
      </w:r>
      <w:r>
        <w:rPr>
          <w:i/>
          <w:color w:val="231F20"/>
          <w:spacing w:val="-7"/>
          <w:sz w:val="20"/>
        </w:rPr>
        <w:t> </w:t>
      </w:r>
      <w:r>
        <w:rPr>
          <w:i/>
          <w:color w:val="231F20"/>
          <w:sz w:val="20"/>
        </w:rPr>
        <w:t>–</w:t>
      </w:r>
      <w:r>
        <w:rPr>
          <w:i/>
          <w:color w:val="231F20"/>
          <w:spacing w:val="-7"/>
          <w:sz w:val="20"/>
        </w:rPr>
        <w:t> </w:t>
      </w:r>
      <w:r>
        <w:rPr>
          <w:i/>
          <w:color w:val="231F20"/>
          <w:sz w:val="20"/>
        </w:rPr>
        <w:t>это</w:t>
      </w:r>
      <w:r>
        <w:rPr>
          <w:i/>
          <w:color w:val="231F20"/>
          <w:spacing w:val="-7"/>
          <w:sz w:val="20"/>
        </w:rPr>
        <w:t> </w:t>
      </w:r>
      <w:r>
        <w:rPr>
          <w:i/>
          <w:color w:val="231F20"/>
          <w:spacing w:val="-2"/>
          <w:sz w:val="20"/>
        </w:rPr>
        <w:t>возможно.</w:t>
      </w:r>
    </w:p>
    <w:p>
      <w:pPr>
        <w:pStyle w:val="ListParagraph"/>
        <w:numPr>
          <w:ilvl w:val="2"/>
          <w:numId w:val="273"/>
        </w:numPr>
        <w:tabs>
          <w:tab w:pos="424" w:val="left" w:leader="none"/>
        </w:tabs>
        <w:spacing w:line="226" w:lineRule="exact" w:before="0" w:after="0"/>
        <w:ind w:left="424" w:right="0" w:hanging="283"/>
        <w:jc w:val="left"/>
        <w:rPr>
          <w:i/>
          <w:color w:val="231F20"/>
          <w:sz w:val="20"/>
        </w:rPr>
      </w:pPr>
      <w:r>
        <w:rPr>
          <w:i/>
          <w:color w:val="231F20"/>
          <w:sz w:val="20"/>
        </w:rPr>
        <w:t>Человек</w:t>
      </w:r>
      <w:r>
        <w:rPr>
          <w:i/>
          <w:color w:val="231F20"/>
          <w:spacing w:val="-5"/>
          <w:sz w:val="20"/>
        </w:rPr>
        <w:t> </w:t>
      </w:r>
      <w:r>
        <w:rPr>
          <w:i/>
          <w:color w:val="231F20"/>
          <w:sz w:val="20"/>
        </w:rPr>
        <w:t>обязан</w:t>
      </w:r>
      <w:r>
        <w:rPr>
          <w:i/>
          <w:color w:val="231F20"/>
          <w:spacing w:val="-5"/>
          <w:sz w:val="20"/>
        </w:rPr>
        <w:t> </w:t>
      </w:r>
      <w:r>
        <w:rPr>
          <w:i/>
          <w:color w:val="231F20"/>
          <w:sz w:val="20"/>
        </w:rPr>
        <w:t>знать</w:t>
      </w:r>
      <w:r>
        <w:rPr>
          <w:i/>
          <w:color w:val="231F20"/>
          <w:spacing w:val="-6"/>
          <w:sz w:val="20"/>
        </w:rPr>
        <w:t> </w:t>
      </w:r>
      <w:r>
        <w:rPr>
          <w:i/>
          <w:color w:val="231F20"/>
          <w:sz w:val="20"/>
        </w:rPr>
        <w:t>язык</w:t>
      </w:r>
      <w:r>
        <w:rPr>
          <w:i/>
          <w:color w:val="231F20"/>
          <w:spacing w:val="-4"/>
          <w:sz w:val="20"/>
        </w:rPr>
        <w:t> </w:t>
      </w:r>
      <w:r>
        <w:rPr>
          <w:i/>
          <w:color w:val="231F20"/>
          <w:sz w:val="20"/>
        </w:rPr>
        <w:t>своих</w:t>
      </w:r>
      <w:r>
        <w:rPr>
          <w:i/>
          <w:color w:val="231F20"/>
          <w:spacing w:val="-4"/>
          <w:sz w:val="20"/>
        </w:rPr>
        <w:t> </w:t>
      </w:r>
      <w:r>
        <w:rPr>
          <w:i/>
          <w:color w:val="231F20"/>
          <w:spacing w:val="-2"/>
          <w:sz w:val="20"/>
        </w:rPr>
        <w:t>предков.</w:t>
      </w:r>
    </w:p>
    <w:p>
      <w:pPr>
        <w:pStyle w:val="ListParagraph"/>
        <w:numPr>
          <w:ilvl w:val="2"/>
          <w:numId w:val="273"/>
        </w:numPr>
        <w:tabs>
          <w:tab w:pos="424" w:val="left" w:leader="none"/>
        </w:tabs>
        <w:spacing w:line="226" w:lineRule="exact" w:before="0" w:after="0"/>
        <w:ind w:left="424" w:right="0" w:hanging="283"/>
        <w:jc w:val="left"/>
        <w:rPr>
          <w:i/>
          <w:color w:val="231F20"/>
          <w:sz w:val="20"/>
        </w:rPr>
      </w:pPr>
      <w:r>
        <w:rPr>
          <w:i/>
          <w:color w:val="231F20"/>
          <w:sz w:val="20"/>
        </w:rPr>
        <w:t>В</w:t>
      </w:r>
      <w:r>
        <w:rPr>
          <w:i/>
          <w:color w:val="231F20"/>
          <w:spacing w:val="-3"/>
          <w:sz w:val="20"/>
        </w:rPr>
        <w:t> </w:t>
      </w:r>
      <w:r>
        <w:rPr>
          <w:i/>
          <w:color w:val="231F20"/>
          <w:sz w:val="20"/>
        </w:rPr>
        <w:t>общении с</w:t>
      </w:r>
      <w:r>
        <w:rPr>
          <w:i/>
          <w:color w:val="231F20"/>
          <w:spacing w:val="-1"/>
          <w:sz w:val="20"/>
        </w:rPr>
        <w:t> </w:t>
      </w:r>
      <w:r>
        <w:rPr>
          <w:i/>
          <w:color w:val="231F20"/>
          <w:sz w:val="20"/>
        </w:rPr>
        <w:t>другими людьми для</w:t>
      </w:r>
      <w:r>
        <w:rPr>
          <w:i/>
          <w:color w:val="231F20"/>
          <w:spacing w:val="-1"/>
          <w:sz w:val="20"/>
        </w:rPr>
        <w:t> </w:t>
      </w:r>
      <w:r>
        <w:rPr>
          <w:i/>
          <w:color w:val="231F20"/>
          <w:sz w:val="20"/>
        </w:rPr>
        <w:t>меня важна</w:t>
      </w:r>
      <w:r>
        <w:rPr>
          <w:i/>
          <w:color w:val="231F20"/>
          <w:spacing w:val="-1"/>
          <w:sz w:val="20"/>
        </w:rPr>
        <w:t> </w:t>
      </w:r>
      <w:r>
        <w:rPr>
          <w:i/>
          <w:color w:val="231F20"/>
          <w:sz w:val="20"/>
        </w:rPr>
        <w:t>их национальная </w:t>
      </w:r>
      <w:r>
        <w:rPr>
          <w:i/>
          <w:color w:val="231F20"/>
          <w:spacing w:val="-2"/>
          <w:sz w:val="20"/>
        </w:rPr>
        <w:t>принадлежность.</w:t>
      </w:r>
    </w:p>
    <w:p>
      <w:pPr>
        <w:pStyle w:val="ListParagraph"/>
        <w:numPr>
          <w:ilvl w:val="2"/>
          <w:numId w:val="273"/>
        </w:numPr>
        <w:tabs>
          <w:tab w:pos="425" w:val="left" w:leader="none"/>
        </w:tabs>
        <w:spacing w:line="232" w:lineRule="auto" w:before="3" w:after="0"/>
        <w:ind w:left="425" w:right="139" w:hanging="284"/>
        <w:jc w:val="left"/>
        <w:rPr>
          <w:i/>
          <w:color w:val="231F20"/>
          <w:sz w:val="20"/>
        </w:rPr>
      </w:pPr>
      <w:r>
        <w:rPr>
          <w:i/>
          <w:color w:val="231F20"/>
          <w:sz w:val="20"/>
        </w:rPr>
        <w:t>Человек</w:t>
      </w:r>
      <w:r>
        <w:rPr>
          <w:i/>
          <w:color w:val="231F20"/>
          <w:spacing w:val="40"/>
          <w:sz w:val="20"/>
        </w:rPr>
        <w:t> </w:t>
      </w:r>
      <w:r>
        <w:rPr>
          <w:i/>
          <w:color w:val="231F20"/>
          <w:sz w:val="20"/>
        </w:rPr>
        <w:t>может</w:t>
      </w:r>
      <w:r>
        <w:rPr>
          <w:i/>
          <w:color w:val="231F20"/>
          <w:spacing w:val="40"/>
          <w:sz w:val="20"/>
        </w:rPr>
        <w:t> </w:t>
      </w:r>
      <w:r>
        <w:rPr>
          <w:i/>
          <w:color w:val="231F20"/>
          <w:sz w:val="20"/>
        </w:rPr>
        <w:t>претендовать</w:t>
      </w:r>
      <w:r>
        <w:rPr>
          <w:i/>
          <w:color w:val="231F20"/>
          <w:spacing w:val="40"/>
          <w:sz w:val="20"/>
        </w:rPr>
        <w:t> </w:t>
      </w:r>
      <w:r>
        <w:rPr>
          <w:i/>
          <w:color w:val="231F20"/>
          <w:sz w:val="20"/>
        </w:rPr>
        <w:t>на</w:t>
      </w:r>
      <w:r>
        <w:rPr>
          <w:i/>
          <w:color w:val="231F20"/>
          <w:spacing w:val="40"/>
          <w:sz w:val="20"/>
        </w:rPr>
        <w:t> </w:t>
      </w:r>
      <w:r>
        <w:rPr>
          <w:i/>
          <w:color w:val="231F20"/>
          <w:sz w:val="20"/>
        </w:rPr>
        <w:t>принадлежность</w:t>
      </w:r>
      <w:r>
        <w:rPr>
          <w:i/>
          <w:color w:val="231F20"/>
          <w:spacing w:val="40"/>
          <w:sz w:val="20"/>
        </w:rPr>
        <w:t> </w:t>
      </w:r>
      <w:r>
        <w:rPr>
          <w:i/>
          <w:color w:val="231F20"/>
          <w:sz w:val="20"/>
        </w:rPr>
        <w:t>к</w:t>
      </w:r>
      <w:r>
        <w:rPr>
          <w:i/>
          <w:color w:val="231F20"/>
          <w:spacing w:val="40"/>
          <w:sz w:val="20"/>
        </w:rPr>
        <w:t> </w:t>
      </w:r>
      <w:r>
        <w:rPr>
          <w:i/>
          <w:color w:val="231F20"/>
          <w:sz w:val="20"/>
        </w:rPr>
        <w:t>определенному</w:t>
      </w:r>
      <w:r>
        <w:rPr>
          <w:i/>
          <w:color w:val="231F20"/>
          <w:spacing w:val="40"/>
          <w:sz w:val="20"/>
        </w:rPr>
        <w:t> </w:t>
      </w:r>
      <w:r>
        <w:rPr>
          <w:i/>
          <w:color w:val="231F20"/>
          <w:sz w:val="20"/>
        </w:rPr>
        <w:t>этносу, только если у него есть соответствующие «корни».</w:t>
      </w:r>
    </w:p>
    <w:p>
      <w:pPr>
        <w:pStyle w:val="ListParagraph"/>
        <w:numPr>
          <w:ilvl w:val="2"/>
          <w:numId w:val="273"/>
        </w:numPr>
        <w:tabs>
          <w:tab w:pos="425" w:val="left" w:leader="none"/>
        </w:tabs>
        <w:spacing w:line="232" w:lineRule="auto" w:before="0" w:after="0"/>
        <w:ind w:left="425" w:right="139" w:hanging="284"/>
        <w:jc w:val="left"/>
        <w:rPr>
          <w:i/>
          <w:color w:val="231F20"/>
          <w:sz w:val="20"/>
        </w:rPr>
      </w:pPr>
      <w:r>
        <w:rPr>
          <w:i/>
          <w:color w:val="231F20"/>
          <w:sz w:val="20"/>
        </w:rPr>
        <w:t>Люди одной национальности должны поддерживать друг друга всеми возмож- ными способами.</w:t>
      </w:r>
    </w:p>
    <w:p>
      <w:pPr>
        <w:pStyle w:val="ListParagraph"/>
        <w:numPr>
          <w:ilvl w:val="2"/>
          <w:numId w:val="273"/>
        </w:numPr>
        <w:tabs>
          <w:tab w:pos="424" w:val="left" w:leader="none"/>
        </w:tabs>
        <w:spacing w:line="222" w:lineRule="exact" w:before="0" w:after="0"/>
        <w:ind w:left="424" w:right="0" w:hanging="283"/>
        <w:jc w:val="left"/>
        <w:rPr>
          <w:i/>
          <w:color w:val="231F20"/>
          <w:sz w:val="20"/>
        </w:rPr>
      </w:pPr>
      <w:r>
        <w:rPr>
          <w:i/>
          <w:color w:val="231F20"/>
          <w:sz w:val="20"/>
        </w:rPr>
        <w:t>Что</w:t>
      </w:r>
      <w:r>
        <w:rPr>
          <w:i/>
          <w:color w:val="231F20"/>
          <w:spacing w:val="-2"/>
          <w:sz w:val="20"/>
        </w:rPr>
        <w:t> </w:t>
      </w:r>
      <w:r>
        <w:rPr>
          <w:i/>
          <w:color w:val="231F20"/>
          <w:sz w:val="20"/>
        </w:rPr>
        <w:t>хорошо</w:t>
      </w:r>
      <w:r>
        <w:rPr>
          <w:i/>
          <w:color w:val="231F20"/>
          <w:spacing w:val="-2"/>
          <w:sz w:val="20"/>
        </w:rPr>
        <w:t> </w:t>
      </w:r>
      <w:r>
        <w:rPr>
          <w:i/>
          <w:color w:val="231F20"/>
          <w:sz w:val="20"/>
        </w:rPr>
        <w:t>для</w:t>
      </w:r>
      <w:r>
        <w:rPr>
          <w:i/>
          <w:color w:val="231F20"/>
          <w:spacing w:val="-1"/>
          <w:sz w:val="20"/>
        </w:rPr>
        <w:t> </w:t>
      </w:r>
      <w:r>
        <w:rPr>
          <w:i/>
          <w:color w:val="231F20"/>
          <w:sz w:val="20"/>
        </w:rPr>
        <w:t>моего</w:t>
      </w:r>
      <w:r>
        <w:rPr>
          <w:i/>
          <w:color w:val="231F20"/>
          <w:spacing w:val="-2"/>
          <w:sz w:val="20"/>
        </w:rPr>
        <w:t> </w:t>
      </w:r>
      <w:r>
        <w:rPr>
          <w:i/>
          <w:color w:val="231F20"/>
          <w:sz w:val="20"/>
        </w:rPr>
        <w:t>народа,</w:t>
      </w:r>
      <w:r>
        <w:rPr>
          <w:i/>
          <w:color w:val="231F20"/>
          <w:spacing w:val="-2"/>
          <w:sz w:val="20"/>
        </w:rPr>
        <w:t> </w:t>
      </w:r>
      <w:r>
        <w:rPr>
          <w:i/>
          <w:color w:val="231F20"/>
          <w:sz w:val="20"/>
        </w:rPr>
        <w:t>то</w:t>
      </w:r>
      <w:r>
        <w:rPr>
          <w:i/>
          <w:color w:val="231F20"/>
          <w:spacing w:val="-1"/>
          <w:sz w:val="20"/>
        </w:rPr>
        <w:t> </w:t>
      </w:r>
      <w:r>
        <w:rPr>
          <w:i/>
          <w:color w:val="231F20"/>
          <w:sz w:val="20"/>
        </w:rPr>
        <w:t>хорошо</w:t>
      </w:r>
      <w:r>
        <w:rPr>
          <w:i/>
          <w:color w:val="231F20"/>
          <w:spacing w:val="-2"/>
          <w:sz w:val="20"/>
        </w:rPr>
        <w:t> </w:t>
      </w:r>
      <w:r>
        <w:rPr>
          <w:i/>
          <w:color w:val="231F20"/>
          <w:sz w:val="20"/>
        </w:rPr>
        <w:t>для</w:t>
      </w:r>
      <w:r>
        <w:rPr>
          <w:i/>
          <w:color w:val="231F20"/>
          <w:spacing w:val="-1"/>
          <w:sz w:val="20"/>
        </w:rPr>
        <w:t> </w:t>
      </w:r>
      <w:r>
        <w:rPr>
          <w:i/>
          <w:color w:val="231F20"/>
          <w:spacing w:val="-2"/>
          <w:sz w:val="20"/>
        </w:rPr>
        <w:t>меня.</w:t>
      </w:r>
    </w:p>
    <w:p>
      <w:pPr>
        <w:pStyle w:val="BodyText"/>
        <w:spacing w:line="232" w:lineRule="auto" w:before="109"/>
      </w:pPr>
      <w:r>
        <w:rPr>
          <w:color w:val="231F20"/>
        </w:rPr>
        <w:t>На</w:t>
      </w:r>
      <w:r>
        <w:rPr>
          <w:color w:val="231F20"/>
          <w:spacing w:val="-13"/>
        </w:rPr>
        <w:t> </w:t>
      </w:r>
      <w:r>
        <w:rPr>
          <w:color w:val="231F20"/>
        </w:rPr>
        <w:t>что</w:t>
      </w:r>
      <w:r>
        <w:rPr>
          <w:color w:val="231F20"/>
          <w:spacing w:val="-12"/>
        </w:rPr>
        <w:t> </w:t>
      </w:r>
      <w:r>
        <w:rPr>
          <w:color w:val="231F20"/>
        </w:rPr>
        <w:t>обратить</w:t>
      </w:r>
      <w:r>
        <w:rPr>
          <w:color w:val="231F20"/>
          <w:spacing w:val="-13"/>
        </w:rPr>
        <w:t> </w:t>
      </w:r>
      <w:r>
        <w:rPr>
          <w:color w:val="231F20"/>
        </w:rPr>
        <w:t>внимание</w:t>
      </w:r>
      <w:r>
        <w:rPr>
          <w:color w:val="231F20"/>
          <w:spacing w:val="-12"/>
        </w:rPr>
        <w:t> </w:t>
      </w:r>
      <w:r>
        <w:rPr>
          <w:color w:val="231F20"/>
        </w:rPr>
        <w:t>при</w:t>
      </w:r>
      <w:r>
        <w:rPr>
          <w:color w:val="231F20"/>
          <w:spacing w:val="-13"/>
        </w:rPr>
        <w:t> </w:t>
      </w:r>
      <w:r>
        <w:rPr>
          <w:color w:val="231F20"/>
        </w:rPr>
        <w:t>проведении.</w:t>
      </w:r>
      <w:r>
        <w:rPr>
          <w:color w:val="231F20"/>
          <w:spacing w:val="-12"/>
        </w:rPr>
        <w:t> </w:t>
      </w:r>
      <w:r>
        <w:rPr>
          <w:color w:val="231F20"/>
        </w:rPr>
        <w:t>Это</w:t>
      </w:r>
      <w:r>
        <w:rPr>
          <w:color w:val="231F20"/>
          <w:spacing w:val="-13"/>
        </w:rPr>
        <w:t> </w:t>
      </w:r>
      <w:r>
        <w:rPr>
          <w:color w:val="231F20"/>
        </w:rPr>
        <w:t>упражнение</w:t>
      </w:r>
      <w:r>
        <w:rPr>
          <w:color w:val="231F20"/>
          <w:spacing w:val="-12"/>
        </w:rPr>
        <w:t> </w:t>
      </w:r>
      <w:r>
        <w:rPr>
          <w:color w:val="231F20"/>
        </w:rPr>
        <w:t>хорошо</w:t>
      </w:r>
      <w:r>
        <w:rPr>
          <w:color w:val="231F20"/>
          <w:spacing w:val="-13"/>
        </w:rPr>
        <w:t> </w:t>
      </w:r>
      <w:r>
        <w:rPr>
          <w:color w:val="231F20"/>
        </w:rPr>
        <w:t>использовать в</w:t>
      </w:r>
      <w:r>
        <w:rPr>
          <w:color w:val="231F20"/>
          <w:spacing w:val="-10"/>
        </w:rPr>
        <w:t> </w:t>
      </w:r>
      <w:r>
        <w:rPr>
          <w:color w:val="231F20"/>
        </w:rPr>
        <w:t>начале</w:t>
      </w:r>
      <w:r>
        <w:rPr>
          <w:color w:val="231F20"/>
          <w:spacing w:val="-10"/>
        </w:rPr>
        <w:t> </w:t>
      </w:r>
      <w:r>
        <w:rPr>
          <w:color w:val="231F20"/>
        </w:rPr>
        <w:t>обсуждения</w:t>
      </w:r>
      <w:r>
        <w:rPr>
          <w:color w:val="231F20"/>
          <w:spacing w:val="-10"/>
        </w:rPr>
        <w:t> </w:t>
      </w:r>
      <w:r>
        <w:rPr>
          <w:color w:val="231F20"/>
        </w:rPr>
        <w:t>этнокультурной</w:t>
      </w:r>
      <w:r>
        <w:rPr>
          <w:color w:val="231F20"/>
          <w:spacing w:val="-10"/>
        </w:rPr>
        <w:t> </w:t>
      </w:r>
      <w:r>
        <w:rPr>
          <w:color w:val="231F20"/>
        </w:rPr>
        <w:t>проблематики.</w:t>
      </w:r>
      <w:r>
        <w:rPr>
          <w:color w:val="231F20"/>
          <w:spacing w:val="-10"/>
        </w:rPr>
        <w:t> </w:t>
      </w:r>
      <w:r>
        <w:rPr>
          <w:color w:val="231F20"/>
        </w:rPr>
        <w:t>Количество</w:t>
      </w:r>
      <w:r>
        <w:rPr>
          <w:color w:val="231F20"/>
          <w:spacing w:val="-10"/>
        </w:rPr>
        <w:t> </w:t>
      </w:r>
      <w:r>
        <w:rPr>
          <w:color w:val="231F20"/>
        </w:rPr>
        <w:t>утверждений,</w:t>
      </w:r>
      <w:r>
        <w:rPr>
          <w:color w:val="231F20"/>
          <w:spacing w:val="-10"/>
        </w:rPr>
        <w:t> </w:t>
      </w:r>
      <w:r>
        <w:rPr>
          <w:color w:val="231F20"/>
        </w:rPr>
        <w:t>кото- рые предлагаются участникам, зависит от активности группы: в некоторых случаях даже одно-два высказывания вызывают оживленное обсуждение, в других потребу- ется четыре-пять.</w:t>
      </w:r>
    </w:p>
    <w:p>
      <w:pPr>
        <w:pStyle w:val="BodyText"/>
        <w:spacing w:line="232" w:lineRule="auto"/>
      </w:pPr>
      <w:r>
        <w:rPr>
          <w:color w:val="231F20"/>
        </w:rPr>
        <w:t>Если участники придерживаются различных, даже полярных позиций по како- му-то</w:t>
      </w:r>
      <w:r>
        <w:rPr>
          <w:color w:val="231F20"/>
          <w:spacing w:val="-9"/>
        </w:rPr>
        <w:t> </w:t>
      </w:r>
      <w:r>
        <w:rPr>
          <w:color w:val="231F20"/>
        </w:rPr>
        <w:t>вопросу,</w:t>
      </w:r>
      <w:r>
        <w:rPr>
          <w:color w:val="231F20"/>
          <w:spacing w:val="-9"/>
        </w:rPr>
        <w:t> </w:t>
      </w:r>
      <w:r>
        <w:rPr>
          <w:color w:val="231F20"/>
        </w:rPr>
        <w:t>ведущему</w:t>
      </w:r>
      <w:r>
        <w:rPr>
          <w:color w:val="231F20"/>
          <w:spacing w:val="-9"/>
        </w:rPr>
        <w:t> </w:t>
      </w:r>
      <w:r>
        <w:rPr>
          <w:color w:val="231F20"/>
        </w:rPr>
        <w:t>следует</w:t>
      </w:r>
      <w:r>
        <w:rPr>
          <w:color w:val="231F20"/>
          <w:spacing w:val="-9"/>
        </w:rPr>
        <w:t> </w:t>
      </w:r>
      <w:r>
        <w:rPr>
          <w:color w:val="231F20"/>
        </w:rPr>
        <w:t>предложить</w:t>
      </w:r>
      <w:r>
        <w:rPr>
          <w:color w:val="231F20"/>
          <w:spacing w:val="-9"/>
        </w:rPr>
        <w:t> </w:t>
      </w:r>
      <w:r>
        <w:rPr>
          <w:color w:val="231F20"/>
        </w:rPr>
        <w:t>им</w:t>
      </w:r>
      <w:r>
        <w:rPr>
          <w:color w:val="231F20"/>
          <w:spacing w:val="-9"/>
        </w:rPr>
        <w:t> </w:t>
      </w:r>
      <w:r>
        <w:rPr>
          <w:color w:val="231F20"/>
        </w:rPr>
        <w:t>высказаться,</w:t>
      </w:r>
      <w:r>
        <w:rPr>
          <w:color w:val="231F20"/>
          <w:spacing w:val="-9"/>
        </w:rPr>
        <w:t> </w:t>
      </w:r>
      <w:r>
        <w:rPr>
          <w:color w:val="231F20"/>
        </w:rPr>
        <w:t>даже</w:t>
      </w:r>
      <w:r>
        <w:rPr>
          <w:color w:val="231F20"/>
          <w:spacing w:val="-9"/>
        </w:rPr>
        <w:t> </w:t>
      </w:r>
      <w:r>
        <w:rPr>
          <w:color w:val="231F20"/>
        </w:rPr>
        <w:t>если</w:t>
      </w:r>
      <w:r>
        <w:rPr>
          <w:color w:val="231F20"/>
          <w:spacing w:val="-9"/>
        </w:rPr>
        <w:t> </w:t>
      </w:r>
      <w:r>
        <w:rPr>
          <w:color w:val="231F20"/>
        </w:rPr>
        <w:t>сами</w:t>
      </w:r>
      <w:r>
        <w:rPr>
          <w:color w:val="231F20"/>
          <w:spacing w:val="-9"/>
        </w:rPr>
        <w:t> </w:t>
      </w:r>
      <w:r>
        <w:rPr>
          <w:color w:val="231F20"/>
        </w:rPr>
        <w:t>участ- ники не проявляют инициативы. Ведущий может предоставить участникам возмож- ность изменить свою позицию, после того как заслушаны доводы всех участников.</w:t>
      </w:r>
    </w:p>
    <w:p>
      <w:pPr>
        <w:pStyle w:val="BodyText"/>
        <w:spacing w:line="232" w:lineRule="auto"/>
      </w:pPr>
      <w:r>
        <w:rPr>
          <w:color w:val="231F20"/>
        </w:rPr>
        <w:t>Приведенные</w:t>
      </w:r>
      <w:r>
        <w:rPr>
          <w:color w:val="231F20"/>
          <w:spacing w:val="-2"/>
        </w:rPr>
        <w:t> </w:t>
      </w:r>
      <w:r>
        <w:rPr>
          <w:color w:val="231F20"/>
        </w:rPr>
        <w:t>выше</w:t>
      </w:r>
      <w:r>
        <w:rPr>
          <w:color w:val="231F20"/>
          <w:spacing w:val="-2"/>
        </w:rPr>
        <w:t> </w:t>
      </w:r>
      <w:r>
        <w:rPr>
          <w:color w:val="231F20"/>
        </w:rPr>
        <w:t>утверждения</w:t>
      </w:r>
      <w:r>
        <w:rPr>
          <w:color w:val="231F20"/>
          <w:spacing w:val="-2"/>
        </w:rPr>
        <w:t> </w:t>
      </w:r>
      <w:r>
        <w:rPr>
          <w:color w:val="231F20"/>
        </w:rPr>
        <w:t>для</w:t>
      </w:r>
      <w:r>
        <w:rPr>
          <w:color w:val="231F20"/>
          <w:spacing w:val="-2"/>
        </w:rPr>
        <w:t> </w:t>
      </w:r>
      <w:r>
        <w:rPr>
          <w:color w:val="231F20"/>
        </w:rPr>
        <w:t>данного</w:t>
      </w:r>
      <w:r>
        <w:rPr>
          <w:color w:val="231F20"/>
          <w:spacing w:val="-2"/>
        </w:rPr>
        <w:t> </w:t>
      </w:r>
      <w:r>
        <w:rPr>
          <w:color w:val="231F20"/>
        </w:rPr>
        <w:t>упражнения</w:t>
      </w:r>
      <w:r>
        <w:rPr>
          <w:color w:val="231F20"/>
          <w:spacing w:val="-2"/>
        </w:rPr>
        <w:t> </w:t>
      </w:r>
      <w:r>
        <w:rPr>
          <w:color w:val="231F20"/>
        </w:rPr>
        <w:t>должны</w:t>
      </w:r>
      <w:r>
        <w:rPr>
          <w:color w:val="231F20"/>
          <w:spacing w:val="-2"/>
        </w:rPr>
        <w:t> </w:t>
      </w:r>
      <w:r>
        <w:rPr>
          <w:color w:val="231F20"/>
        </w:rPr>
        <w:t>быть</w:t>
      </w:r>
      <w:r>
        <w:rPr>
          <w:color w:val="231F20"/>
          <w:spacing w:val="-2"/>
        </w:rPr>
        <w:t> </w:t>
      </w:r>
      <w:r>
        <w:rPr>
          <w:color w:val="231F20"/>
        </w:rPr>
        <w:t>сформу- лированы именно в утвердительной форме.</w:t>
      </w:r>
    </w:p>
    <w:p>
      <w:pPr>
        <w:pStyle w:val="BodyText"/>
        <w:spacing w:line="232" w:lineRule="auto"/>
      </w:pPr>
      <w:r>
        <w:rPr>
          <w:color w:val="231F20"/>
        </w:rPr>
        <w:t>Первый вариант упражнения более динамичен. Второй вариант удобен в услови- </w:t>
      </w:r>
      <w:r>
        <w:rPr>
          <w:color w:val="231F20"/>
          <w:spacing w:val="-2"/>
        </w:rPr>
        <w:t>ях,</w:t>
      </w:r>
      <w:r>
        <w:rPr>
          <w:color w:val="231F20"/>
          <w:spacing w:val="-5"/>
        </w:rPr>
        <w:t> </w:t>
      </w:r>
      <w:r>
        <w:rPr>
          <w:color w:val="231F20"/>
          <w:spacing w:val="-2"/>
        </w:rPr>
        <w:t>когда</w:t>
      </w:r>
      <w:r>
        <w:rPr>
          <w:color w:val="231F20"/>
          <w:spacing w:val="-5"/>
        </w:rPr>
        <w:t> </w:t>
      </w:r>
      <w:r>
        <w:rPr>
          <w:color w:val="231F20"/>
          <w:spacing w:val="-2"/>
        </w:rPr>
        <w:t>группа</w:t>
      </w:r>
      <w:r>
        <w:rPr>
          <w:color w:val="231F20"/>
          <w:spacing w:val="-5"/>
        </w:rPr>
        <w:t> </w:t>
      </w:r>
      <w:r>
        <w:rPr>
          <w:color w:val="231F20"/>
          <w:spacing w:val="-2"/>
        </w:rPr>
        <w:t>работает</w:t>
      </w:r>
      <w:r>
        <w:rPr>
          <w:color w:val="231F20"/>
          <w:spacing w:val="-5"/>
        </w:rPr>
        <w:t> </w:t>
      </w:r>
      <w:r>
        <w:rPr>
          <w:color w:val="231F20"/>
          <w:spacing w:val="-2"/>
        </w:rPr>
        <w:t>в</w:t>
      </w:r>
      <w:r>
        <w:rPr>
          <w:color w:val="231F20"/>
          <w:spacing w:val="-5"/>
        </w:rPr>
        <w:t> </w:t>
      </w:r>
      <w:r>
        <w:rPr>
          <w:color w:val="231F20"/>
          <w:spacing w:val="-2"/>
        </w:rPr>
        <w:t>небольшом</w:t>
      </w:r>
      <w:r>
        <w:rPr>
          <w:color w:val="231F20"/>
          <w:spacing w:val="-5"/>
        </w:rPr>
        <w:t> </w:t>
      </w:r>
      <w:r>
        <w:rPr>
          <w:color w:val="231F20"/>
          <w:spacing w:val="-2"/>
        </w:rPr>
        <w:t>помещении.</w:t>
      </w:r>
      <w:r>
        <w:rPr>
          <w:color w:val="231F20"/>
          <w:spacing w:val="-5"/>
        </w:rPr>
        <w:t> </w:t>
      </w:r>
      <w:r>
        <w:rPr>
          <w:color w:val="231F20"/>
          <w:spacing w:val="-2"/>
        </w:rPr>
        <w:t>Кроме</w:t>
      </w:r>
      <w:r>
        <w:rPr>
          <w:color w:val="231F20"/>
          <w:spacing w:val="-5"/>
        </w:rPr>
        <w:t> </w:t>
      </w:r>
      <w:r>
        <w:rPr>
          <w:color w:val="231F20"/>
          <w:spacing w:val="-2"/>
        </w:rPr>
        <w:t>того,</w:t>
      </w:r>
      <w:r>
        <w:rPr>
          <w:color w:val="231F20"/>
          <w:spacing w:val="-5"/>
        </w:rPr>
        <w:t> </w:t>
      </w:r>
      <w:r>
        <w:rPr>
          <w:color w:val="231F20"/>
          <w:spacing w:val="-2"/>
        </w:rPr>
        <w:t>в</w:t>
      </w:r>
      <w:r>
        <w:rPr>
          <w:color w:val="231F20"/>
          <w:spacing w:val="-5"/>
        </w:rPr>
        <w:t> </w:t>
      </w:r>
      <w:r>
        <w:rPr>
          <w:color w:val="231F20"/>
          <w:spacing w:val="-2"/>
        </w:rPr>
        <w:t>этом</w:t>
      </w:r>
      <w:r>
        <w:rPr>
          <w:color w:val="231F20"/>
          <w:spacing w:val="-5"/>
        </w:rPr>
        <w:t> </w:t>
      </w:r>
      <w:r>
        <w:rPr>
          <w:color w:val="231F20"/>
          <w:spacing w:val="-2"/>
        </w:rPr>
        <w:t>случае</w:t>
      </w:r>
      <w:r>
        <w:rPr>
          <w:color w:val="231F20"/>
          <w:spacing w:val="-5"/>
        </w:rPr>
        <w:t> </w:t>
      </w:r>
      <w:r>
        <w:rPr>
          <w:color w:val="231F20"/>
          <w:spacing w:val="-2"/>
        </w:rPr>
        <w:t>появля- </w:t>
      </w:r>
      <w:r>
        <w:rPr>
          <w:color w:val="231F20"/>
        </w:rPr>
        <w:t>ется возможность сохранить для анализа данные, какую позицию заняли участники по тому или иному вопросу.</w:t>
      </w:r>
    </w:p>
    <w:p>
      <w:pPr>
        <w:spacing w:before="92"/>
        <w:ind w:left="303" w:right="303" w:firstLine="0"/>
        <w:jc w:val="center"/>
        <w:rPr>
          <w:b/>
          <w:sz w:val="20"/>
        </w:rPr>
      </w:pPr>
      <w:r>
        <w:rPr>
          <w:b/>
          <w:sz w:val="20"/>
        </w:rPr>
        <w:t>«Портрет</w:t>
      </w:r>
      <w:r>
        <w:rPr>
          <w:b/>
          <w:spacing w:val="-7"/>
          <w:sz w:val="20"/>
        </w:rPr>
        <w:t> </w:t>
      </w:r>
      <w:r>
        <w:rPr>
          <w:b/>
          <w:spacing w:val="-2"/>
          <w:sz w:val="20"/>
        </w:rPr>
        <w:t>одноклассника»</w:t>
      </w:r>
    </w:p>
    <w:p>
      <w:pPr>
        <w:spacing w:line="232" w:lineRule="auto" w:before="111"/>
        <w:ind w:left="2443" w:right="139" w:hanging="392"/>
        <w:jc w:val="right"/>
        <w:rPr>
          <w:i/>
          <w:sz w:val="20"/>
        </w:rPr>
      </w:pPr>
      <w:r>
        <w:rPr>
          <w:b/>
          <w:i/>
          <w:sz w:val="20"/>
        </w:rPr>
        <w:t>Источник:</w:t>
      </w:r>
      <w:r>
        <w:rPr>
          <w:b/>
          <w:i/>
          <w:spacing w:val="-7"/>
          <w:sz w:val="20"/>
        </w:rPr>
        <w:t> </w:t>
      </w:r>
      <w:r>
        <w:rPr>
          <w:i/>
          <w:sz w:val="20"/>
        </w:rPr>
        <w:t>модификация</w:t>
      </w:r>
      <w:r>
        <w:rPr>
          <w:i/>
          <w:spacing w:val="-7"/>
          <w:sz w:val="20"/>
        </w:rPr>
        <w:t> </w:t>
      </w:r>
      <w:r>
        <w:rPr>
          <w:i/>
          <w:sz w:val="20"/>
        </w:rPr>
        <w:t>упражнения</w:t>
      </w:r>
      <w:r>
        <w:rPr>
          <w:i/>
          <w:spacing w:val="-8"/>
          <w:sz w:val="20"/>
        </w:rPr>
        <w:t> </w:t>
      </w:r>
      <w:r>
        <w:rPr>
          <w:i/>
          <w:sz w:val="20"/>
        </w:rPr>
        <w:t>«Me</w:t>
      </w:r>
      <w:r>
        <w:rPr>
          <w:i/>
          <w:spacing w:val="-7"/>
          <w:sz w:val="20"/>
        </w:rPr>
        <w:t> </w:t>
      </w:r>
      <w:r>
        <w:rPr>
          <w:i/>
          <w:sz w:val="20"/>
        </w:rPr>
        <w:t>you</w:t>
      </w:r>
      <w:r>
        <w:rPr>
          <w:i/>
          <w:spacing w:val="-7"/>
          <w:sz w:val="20"/>
        </w:rPr>
        <w:t> </w:t>
      </w:r>
      <w:r>
        <w:rPr>
          <w:i/>
          <w:sz w:val="20"/>
        </w:rPr>
        <w:t>identity</w:t>
      </w:r>
      <w:r>
        <w:rPr>
          <w:i/>
          <w:spacing w:val="-7"/>
          <w:sz w:val="20"/>
        </w:rPr>
        <w:t> </w:t>
      </w:r>
      <w:r>
        <w:rPr>
          <w:i/>
          <w:sz w:val="20"/>
        </w:rPr>
        <w:t>poems» из</w:t>
      </w:r>
      <w:r>
        <w:rPr>
          <w:i/>
          <w:spacing w:val="-6"/>
          <w:sz w:val="20"/>
        </w:rPr>
        <w:t> </w:t>
      </w:r>
      <w:r>
        <w:rPr>
          <w:i/>
          <w:sz w:val="20"/>
        </w:rPr>
        <w:t>книги</w:t>
      </w:r>
      <w:r>
        <w:rPr>
          <w:i/>
          <w:spacing w:val="-5"/>
          <w:sz w:val="20"/>
        </w:rPr>
        <w:t> </w:t>
      </w:r>
      <w:r>
        <w:rPr>
          <w:i/>
          <w:sz w:val="20"/>
        </w:rPr>
        <w:t>Building</w:t>
      </w:r>
      <w:r>
        <w:rPr>
          <w:i/>
          <w:spacing w:val="-5"/>
          <w:sz w:val="20"/>
        </w:rPr>
        <w:t> </w:t>
      </w:r>
      <w:r>
        <w:rPr>
          <w:i/>
          <w:sz w:val="20"/>
        </w:rPr>
        <w:t>Cultural</w:t>
      </w:r>
      <w:r>
        <w:rPr>
          <w:i/>
          <w:spacing w:val="-5"/>
          <w:sz w:val="20"/>
        </w:rPr>
        <w:t> </w:t>
      </w:r>
      <w:r>
        <w:rPr>
          <w:i/>
          <w:sz w:val="20"/>
        </w:rPr>
        <w:t>Competence:</w:t>
      </w:r>
      <w:r>
        <w:rPr>
          <w:i/>
          <w:spacing w:val="-5"/>
          <w:sz w:val="20"/>
        </w:rPr>
        <w:t> </w:t>
      </w:r>
      <w:r>
        <w:rPr>
          <w:i/>
          <w:sz w:val="20"/>
        </w:rPr>
        <w:t>Innovative</w:t>
      </w:r>
      <w:r>
        <w:rPr>
          <w:i/>
          <w:spacing w:val="-9"/>
          <w:sz w:val="20"/>
        </w:rPr>
        <w:t> </w:t>
      </w:r>
      <w:r>
        <w:rPr>
          <w:i/>
          <w:sz w:val="20"/>
        </w:rPr>
        <w:t>Activities and Models, eds. K. Berardo and D. K. Deardorff</w:t>
      </w:r>
    </w:p>
    <w:p>
      <w:pPr>
        <w:spacing w:line="221" w:lineRule="exact" w:before="0"/>
        <w:ind w:left="141" w:right="140" w:firstLine="0"/>
        <w:jc w:val="right"/>
        <w:rPr>
          <w:i/>
          <w:sz w:val="20"/>
        </w:rPr>
      </w:pPr>
      <w:r>
        <w:rPr>
          <w:i/>
          <w:sz w:val="20"/>
        </w:rPr>
        <w:t>(Sterling,</w:t>
      </w:r>
      <w:r>
        <w:rPr>
          <w:i/>
          <w:spacing w:val="-4"/>
          <w:sz w:val="20"/>
        </w:rPr>
        <w:t> </w:t>
      </w:r>
      <w:r>
        <w:rPr>
          <w:i/>
          <w:sz w:val="20"/>
        </w:rPr>
        <w:t>VA:</w:t>
      </w:r>
      <w:r>
        <w:rPr>
          <w:i/>
          <w:spacing w:val="-4"/>
          <w:sz w:val="20"/>
        </w:rPr>
        <w:t> </w:t>
      </w:r>
      <w:r>
        <w:rPr>
          <w:i/>
          <w:sz w:val="20"/>
        </w:rPr>
        <w:t>Stylus,</w:t>
      </w:r>
      <w:r>
        <w:rPr>
          <w:i/>
          <w:spacing w:val="-4"/>
          <w:sz w:val="20"/>
        </w:rPr>
        <w:t> </w:t>
      </w:r>
      <w:r>
        <w:rPr>
          <w:i/>
          <w:sz w:val="20"/>
        </w:rPr>
        <w:t>2012),</w:t>
      </w:r>
      <w:r>
        <w:rPr>
          <w:i/>
          <w:spacing w:val="-3"/>
          <w:sz w:val="20"/>
        </w:rPr>
        <w:t> </w:t>
      </w:r>
      <w:r>
        <w:rPr>
          <w:i/>
          <w:spacing w:val="-2"/>
          <w:sz w:val="20"/>
        </w:rPr>
        <w:t>228–233</w:t>
      </w:r>
    </w:p>
    <w:p>
      <w:pPr>
        <w:pStyle w:val="BodyText"/>
        <w:spacing w:line="232" w:lineRule="auto" w:before="111"/>
      </w:pPr>
      <w:r>
        <w:rPr/>
        <w:t>Психолог делит класс на пары в случайном порядке. Один из пары становится журналистом-интервьюером,</w:t>
      </w:r>
      <w:r>
        <w:rPr>
          <w:spacing w:val="-9"/>
        </w:rPr>
        <w:t> </w:t>
      </w:r>
      <w:r>
        <w:rPr/>
        <w:t>в</w:t>
      </w:r>
      <w:r>
        <w:rPr>
          <w:spacing w:val="-9"/>
        </w:rPr>
        <w:t> </w:t>
      </w:r>
      <w:r>
        <w:rPr/>
        <w:t>задачу</w:t>
      </w:r>
      <w:r>
        <w:rPr>
          <w:spacing w:val="-9"/>
        </w:rPr>
        <w:t> </w:t>
      </w:r>
      <w:r>
        <w:rPr/>
        <w:t>которого</w:t>
      </w:r>
      <w:r>
        <w:rPr>
          <w:spacing w:val="-9"/>
        </w:rPr>
        <w:t> </w:t>
      </w:r>
      <w:r>
        <w:rPr/>
        <w:t>входит</w:t>
      </w:r>
      <w:r>
        <w:rPr>
          <w:spacing w:val="-9"/>
        </w:rPr>
        <w:t> </w:t>
      </w:r>
      <w:r>
        <w:rPr/>
        <w:t>расспросить</w:t>
      </w:r>
      <w:r>
        <w:rPr>
          <w:spacing w:val="-9"/>
        </w:rPr>
        <w:t> </w:t>
      </w:r>
      <w:r>
        <w:rPr/>
        <w:t>одноклассника</w:t>
      </w:r>
      <w:r>
        <w:rPr>
          <w:spacing w:val="-9"/>
        </w:rPr>
        <w:t> </w:t>
      </w:r>
      <w:r>
        <w:rPr/>
        <w:t>и составить</w:t>
      </w:r>
      <w:r>
        <w:rPr>
          <w:spacing w:val="-7"/>
        </w:rPr>
        <w:t> </w:t>
      </w:r>
      <w:r>
        <w:rPr/>
        <w:t>его</w:t>
      </w:r>
      <w:r>
        <w:rPr>
          <w:spacing w:val="-7"/>
        </w:rPr>
        <w:t> </w:t>
      </w:r>
      <w:r>
        <w:rPr/>
        <w:t>вербальный</w:t>
      </w:r>
      <w:r>
        <w:rPr>
          <w:spacing w:val="-7"/>
        </w:rPr>
        <w:t> </w:t>
      </w:r>
      <w:r>
        <w:rPr/>
        <w:t>портрет.</w:t>
      </w:r>
      <w:r>
        <w:rPr>
          <w:spacing w:val="-7"/>
        </w:rPr>
        <w:t> </w:t>
      </w:r>
      <w:r>
        <w:rPr/>
        <w:t>Необходимо,</w:t>
      </w:r>
      <w:r>
        <w:rPr>
          <w:spacing w:val="-7"/>
        </w:rPr>
        <w:t> </w:t>
      </w:r>
      <w:r>
        <w:rPr/>
        <w:t>чтобы</w:t>
      </w:r>
      <w:r>
        <w:rPr>
          <w:spacing w:val="-7"/>
        </w:rPr>
        <w:t> </w:t>
      </w:r>
      <w:r>
        <w:rPr/>
        <w:t>на</w:t>
      </w:r>
      <w:r>
        <w:rPr>
          <w:spacing w:val="-7"/>
        </w:rPr>
        <w:t> </w:t>
      </w:r>
      <w:r>
        <w:rPr/>
        <w:t>все</w:t>
      </w:r>
      <w:r>
        <w:rPr>
          <w:spacing w:val="-7"/>
        </w:rPr>
        <w:t> </w:t>
      </w:r>
      <w:r>
        <w:rPr/>
        <w:t>вопросы</w:t>
      </w:r>
      <w:r>
        <w:rPr>
          <w:spacing w:val="-7"/>
        </w:rPr>
        <w:t> </w:t>
      </w:r>
      <w:r>
        <w:rPr/>
        <w:t>для</w:t>
      </w:r>
      <w:r>
        <w:rPr>
          <w:spacing w:val="-7"/>
        </w:rPr>
        <w:t> </w:t>
      </w:r>
      <w:r>
        <w:rPr/>
        <w:t>интервью (см. приложение) были по возможности получены ответы. В результате должен по- лучиться</w:t>
      </w:r>
      <w:r>
        <w:rPr>
          <w:spacing w:val="-7"/>
        </w:rPr>
        <w:t> </w:t>
      </w:r>
      <w:r>
        <w:rPr/>
        <w:t>текст</w:t>
      </w:r>
      <w:r>
        <w:rPr>
          <w:spacing w:val="-7"/>
        </w:rPr>
        <w:t> </w:t>
      </w:r>
      <w:r>
        <w:rPr/>
        <w:t>на</w:t>
      </w:r>
      <w:r>
        <w:rPr>
          <w:spacing w:val="-7"/>
        </w:rPr>
        <w:t> </w:t>
      </w:r>
      <w:r>
        <w:rPr/>
        <w:t>страницу</w:t>
      </w:r>
      <w:r>
        <w:rPr>
          <w:spacing w:val="-7"/>
        </w:rPr>
        <w:t> </w:t>
      </w:r>
      <w:r>
        <w:rPr/>
        <w:t>А4,</w:t>
      </w:r>
      <w:r>
        <w:rPr>
          <w:spacing w:val="-7"/>
        </w:rPr>
        <w:t> </w:t>
      </w:r>
      <w:r>
        <w:rPr/>
        <w:t>где</w:t>
      </w:r>
      <w:r>
        <w:rPr>
          <w:spacing w:val="-7"/>
        </w:rPr>
        <w:t> </w:t>
      </w:r>
      <w:r>
        <w:rPr/>
        <w:t>сверху</w:t>
      </w:r>
      <w:r>
        <w:rPr>
          <w:spacing w:val="-7"/>
        </w:rPr>
        <w:t> </w:t>
      </w:r>
      <w:r>
        <w:rPr/>
        <w:t>–</w:t>
      </w:r>
      <w:r>
        <w:rPr>
          <w:spacing w:val="-7"/>
        </w:rPr>
        <w:t> </w:t>
      </w:r>
      <w:r>
        <w:rPr/>
        <w:t>фамилия</w:t>
      </w:r>
      <w:r>
        <w:rPr>
          <w:spacing w:val="-7"/>
        </w:rPr>
        <w:t> </w:t>
      </w:r>
      <w:r>
        <w:rPr/>
        <w:t>и</w:t>
      </w:r>
      <w:r>
        <w:rPr>
          <w:spacing w:val="-7"/>
        </w:rPr>
        <w:t> </w:t>
      </w:r>
      <w:r>
        <w:rPr/>
        <w:t>имя</w:t>
      </w:r>
      <w:r>
        <w:rPr>
          <w:spacing w:val="-7"/>
        </w:rPr>
        <w:t> </w:t>
      </w:r>
      <w:r>
        <w:rPr/>
        <w:t>героя,</w:t>
      </w:r>
      <w:r>
        <w:rPr>
          <w:spacing w:val="-7"/>
        </w:rPr>
        <w:t> </w:t>
      </w:r>
      <w:r>
        <w:rPr/>
        <w:t>внизу</w:t>
      </w:r>
      <w:r>
        <w:rPr>
          <w:spacing w:val="-7"/>
        </w:rPr>
        <w:t> </w:t>
      </w:r>
      <w:r>
        <w:rPr/>
        <w:t>–</w:t>
      </w:r>
      <w:r>
        <w:rPr>
          <w:spacing w:val="-7"/>
        </w:rPr>
        <w:t> </w:t>
      </w:r>
      <w:r>
        <w:rPr/>
        <w:t>фамилия</w:t>
      </w:r>
      <w:r>
        <w:rPr>
          <w:spacing w:val="-7"/>
        </w:rPr>
        <w:t> </w:t>
      </w:r>
      <w:r>
        <w:rPr/>
        <w:t>и имя журналиста, а между ними располагается словесный портрет (сделанный по во- просам</w:t>
      </w:r>
      <w:r>
        <w:rPr>
          <w:spacing w:val="-13"/>
        </w:rPr>
        <w:t> </w:t>
      </w:r>
      <w:r>
        <w:rPr/>
        <w:t>приложения).</w:t>
      </w:r>
      <w:r>
        <w:rPr>
          <w:spacing w:val="-12"/>
        </w:rPr>
        <w:t> </w:t>
      </w:r>
      <w:r>
        <w:rPr/>
        <w:t>Желательно</w:t>
      </w:r>
      <w:r>
        <w:rPr>
          <w:spacing w:val="-13"/>
        </w:rPr>
        <w:t> </w:t>
      </w:r>
      <w:r>
        <w:rPr/>
        <w:t>писать</w:t>
      </w:r>
      <w:r>
        <w:rPr>
          <w:spacing w:val="-12"/>
        </w:rPr>
        <w:t> </w:t>
      </w:r>
      <w:r>
        <w:rPr/>
        <w:t>крупными</w:t>
      </w:r>
      <w:r>
        <w:rPr>
          <w:spacing w:val="-13"/>
        </w:rPr>
        <w:t> </w:t>
      </w:r>
      <w:r>
        <w:rPr/>
        <w:t>печатными</w:t>
      </w:r>
      <w:r>
        <w:rPr>
          <w:spacing w:val="-12"/>
        </w:rPr>
        <w:t> </w:t>
      </w:r>
      <w:r>
        <w:rPr/>
        <w:t>буквами,</w:t>
      </w:r>
      <w:r>
        <w:rPr>
          <w:spacing w:val="-13"/>
        </w:rPr>
        <w:t> </w:t>
      </w:r>
      <w:r>
        <w:rPr/>
        <w:t>чтобы</w:t>
      </w:r>
      <w:r>
        <w:rPr>
          <w:spacing w:val="-12"/>
        </w:rPr>
        <w:t> </w:t>
      </w:r>
      <w:r>
        <w:rPr/>
        <w:t>текст был легко читаем. Страницу можно украсить (по желанию).</w:t>
      </w:r>
    </w:p>
    <w:p>
      <w:pPr>
        <w:pStyle w:val="BodyText"/>
        <w:spacing w:line="235" w:lineRule="auto" w:before="1"/>
      </w:pPr>
      <w:r>
        <w:rPr/>
        <w:t>После</w:t>
      </w:r>
      <w:r>
        <w:rPr>
          <w:spacing w:val="-3"/>
        </w:rPr>
        <w:t> </w:t>
      </w:r>
      <w:r>
        <w:rPr/>
        <w:t>выполнения</w:t>
      </w:r>
      <w:r>
        <w:rPr>
          <w:spacing w:val="-3"/>
        </w:rPr>
        <w:t> </w:t>
      </w:r>
      <w:r>
        <w:rPr/>
        <w:t>задания</w:t>
      </w:r>
      <w:r>
        <w:rPr>
          <w:spacing w:val="-3"/>
        </w:rPr>
        <w:t> </w:t>
      </w:r>
      <w:r>
        <w:rPr/>
        <w:t>(время</w:t>
      </w:r>
      <w:r>
        <w:rPr>
          <w:spacing w:val="-3"/>
        </w:rPr>
        <w:t> </w:t>
      </w:r>
      <w:r>
        <w:rPr/>
        <w:t>на</w:t>
      </w:r>
      <w:r>
        <w:rPr>
          <w:spacing w:val="-3"/>
        </w:rPr>
        <w:t> </w:t>
      </w:r>
      <w:r>
        <w:rPr/>
        <w:t>него,</w:t>
      </w:r>
      <w:r>
        <w:rPr>
          <w:spacing w:val="-3"/>
        </w:rPr>
        <w:t> </w:t>
      </w:r>
      <w:r>
        <w:rPr/>
        <w:t>в</w:t>
      </w:r>
      <w:r>
        <w:rPr>
          <w:spacing w:val="-3"/>
        </w:rPr>
        <w:t> </w:t>
      </w:r>
      <w:r>
        <w:rPr/>
        <w:t>зависимости</w:t>
      </w:r>
      <w:r>
        <w:rPr>
          <w:spacing w:val="-3"/>
        </w:rPr>
        <w:t> </w:t>
      </w:r>
      <w:r>
        <w:rPr/>
        <w:t>от</w:t>
      </w:r>
      <w:r>
        <w:rPr>
          <w:spacing w:val="-3"/>
        </w:rPr>
        <w:t> </w:t>
      </w:r>
      <w:r>
        <w:rPr/>
        <w:t>особенностей</w:t>
      </w:r>
      <w:r>
        <w:rPr>
          <w:spacing w:val="-3"/>
        </w:rPr>
        <w:t> </w:t>
      </w:r>
      <w:r>
        <w:rPr/>
        <w:t>участ- ников,</w:t>
      </w:r>
      <w:r>
        <w:rPr>
          <w:spacing w:val="-5"/>
        </w:rPr>
        <w:t> </w:t>
      </w:r>
      <w:r>
        <w:rPr/>
        <w:t>–</w:t>
      </w:r>
      <w:r>
        <w:rPr>
          <w:spacing w:val="-5"/>
        </w:rPr>
        <w:t> </w:t>
      </w:r>
      <w:r>
        <w:rPr/>
        <w:t>от</w:t>
      </w:r>
      <w:r>
        <w:rPr>
          <w:spacing w:val="-5"/>
        </w:rPr>
        <w:t> </w:t>
      </w:r>
      <w:r>
        <w:rPr/>
        <w:t>15</w:t>
      </w:r>
      <w:r>
        <w:rPr>
          <w:spacing w:val="-5"/>
        </w:rPr>
        <w:t> </w:t>
      </w:r>
      <w:r>
        <w:rPr/>
        <w:t>до</w:t>
      </w:r>
      <w:r>
        <w:rPr>
          <w:spacing w:val="-5"/>
        </w:rPr>
        <w:t> </w:t>
      </w:r>
      <w:r>
        <w:rPr/>
        <w:t>30</w:t>
      </w:r>
      <w:r>
        <w:rPr>
          <w:spacing w:val="-5"/>
        </w:rPr>
        <w:t> </w:t>
      </w:r>
      <w:r>
        <w:rPr/>
        <w:t>минут),</w:t>
      </w:r>
      <w:r>
        <w:rPr>
          <w:spacing w:val="-5"/>
        </w:rPr>
        <w:t> </w:t>
      </w:r>
      <w:r>
        <w:rPr/>
        <w:t>психолог</w:t>
      </w:r>
      <w:r>
        <w:rPr>
          <w:spacing w:val="-5"/>
        </w:rPr>
        <w:t> </w:t>
      </w:r>
      <w:r>
        <w:rPr/>
        <w:t>меняет</w:t>
      </w:r>
      <w:r>
        <w:rPr>
          <w:spacing w:val="-5"/>
        </w:rPr>
        <w:t> </w:t>
      </w:r>
      <w:r>
        <w:rPr/>
        <w:t>пары:</w:t>
      </w:r>
      <w:r>
        <w:rPr>
          <w:spacing w:val="-5"/>
        </w:rPr>
        <w:t> </w:t>
      </w:r>
      <w:r>
        <w:rPr/>
        <w:t>интервьюер</w:t>
      </w:r>
      <w:r>
        <w:rPr>
          <w:spacing w:val="-5"/>
        </w:rPr>
        <w:t> </w:t>
      </w:r>
      <w:r>
        <w:rPr/>
        <w:t>становится</w:t>
      </w:r>
      <w:r>
        <w:rPr>
          <w:spacing w:val="-5"/>
        </w:rPr>
        <w:t> </w:t>
      </w:r>
      <w:r>
        <w:rPr/>
        <w:t>тем,</w:t>
      </w:r>
      <w:r>
        <w:rPr>
          <w:spacing w:val="-5"/>
        </w:rPr>
        <w:t> </w:t>
      </w:r>
      <w:r>
        <w:rPr/>
        <w:t>кого расспрашивают, и наоборот. В результате каждый ученик в классе должен получить свой словесный портрет.</w:t>
      </w:r>
    </w:p>
    <w:p>
      <w:pPr>
        <w:pStyle w:val="BodyText"/>
        <w:spacing w:line="235" w:lineRule="auto" w:before="3"/>
      </w:pPr>
      <w:r>
        <w:rPr/>
        <w:t>Важно уточнить, что интервьюируемый имеет право вето на включение в интер- вью той или иной информации; нельзя в портрете писать что-то, на что не давал со- гласие интервьюируемый.</w:t>
      </w:r>
    </w:p>
    <w:p>
      <w:pPr>
        <w:pStyle w:val="BodyText"/>
        <w:spacing w:after="0" w:line="235" w:lineRule="auto"/>
        <w:sectPr>
          <w:pgSz w:w="8400" w:h="11910"/>
          <w:pgMar w:header="0" w:footer="530" w:top="400" w:bottom="740" w:left="425" w:right="425"/>
        </w:sectPr>
      </w:pPr>
    </w:p>
    <w:p>
      <w:pPr>
        <w:pStyle w:val="ListParagraph"/>
        <w:numPr>
          <w:ilvl w:val="1"/>
          <w:numId w:val="274"/>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Активности</w:t>
      </w:r>
      <w:r>
        <w:rPr>
          <w:rFonts w:ascii="Georgia" w:hAnsi="Georgia"/>
          <w:color w:val="231F20"/>
          <w:spacing w:val="15"/>
          <w:sz w:val="18"/>
        </w:rPr>
        <w:t> </w:t>
      </w:r>
      <w:r>
        <w:rPr>
          <w:rFonts w:ascii="Georgia" w:hAnsi="Georgia"/>
          <w:color w:val="231F20"/>
          <w:sz w:val="18"/>
        </w:rPr>
        <w:t>межкультурного</w:t>
      </w:r>
      <w:r>
        <w:rPr>
          <w:rFonts w:ascii="Georgia" w:hAnsi="Georgia"/>
          <w:color w:val="231F20"/>
          <w:spacing w:val="15"/>
          <w:sz w:val="18"/>
        </w:rPr>
        <w:t> </w:t>
      </w:r>
      <w:r>
        <w:rPr>
          <w:rFonts w:ascii="Georgia" w:hAnsi="Georgia"/>
          <w:color w:val="231F20"/>
          <w:sz w:val="18"/>
        </w:rPr>
        <w:t>тренинга</w:t>
      </w:r>
      <w:r>
        <w:rPr>
          <w:rFonts w:ascii="Georgia" w:hAnsi="Georgia"/>
          <w:color w:val="231F20"/>
          <w:spacing w:val="16"/>
          <w:sz w:val="18"/>
        </w:rPr>
        <w:t> </w:t>
      </w:r>
      <w:r>
        <w:rPr>
          <w:rFonts w:ascii="Georgia" w:hAnsi="Georgia"/>
          <w:color w:val="231F20"/>
          <w:sz w:val="18"/>
        </w:rPr>
        <w:t>для</w:t>
      </w:r>
      <w:r>
        <w:rPr>
          <w:rFonts w:ascii="Georgia" w:hAnsi="Georgia"/>
          <w:color w:val="231F20"/>
          <w:spacing w:val="15"/>
          <w:sz w:val="18"/>
        </w:rPr>
        <w:t> </w:t>
      </w:r>
      <w:r>
        <w:rPr>
          <w:rFonts w:ascii="Georgia" w:hAnsi="Georgia"/>
          <w:color w:val="231F20"/>
          <w:sz w:val="18"/>
        </w:rPr>
        <w:t>поликультурного</w:t>
      </w:r>
      <w:r>
        <w:rPr>
          <w:rFonts w:ascii="Georgia" w:hAnsi="Georgia"/>
          <w:color w:val="231F20"/>
          <w:spacing w:val="16"/>
          <w:sz w:val="18"/>
        </w:rPr>
        <w:t> </w:t>
      </w:r>
      <w:r>
        <w:rPr>
          <w:rFonts w:ascii="Georgia" w:hAnsi="Georgia"/>
          <w:color w:val="231F20"/>
          <w:spacing w:val="-2"/>
          <w:sz w:val="18"/>
        </w:rPr>
        <w:t>класса</w:t>
      </w:r>
    </w:p>
    <w:p>
      <w:pPr>
        <w:pStyle w:val="BodyText"/>
        <w:spacing w:line="242" w:lineRule="auto" w:before="112"/>
      </w:pPr>
      <w:r>
        <w:rPr/>
        <w:t>По</w:t>
      </w:r>
      <w:r>
        <w:rPr>
          <w:spacing w:val="-5"/>
        </w:rPr>
        <w:t> </w:t>
      </w:r>
      <w:r>
        <w:rPr/>
        <w:t>окончании</w:t>
      </w:r>
      <w:r>
        <w:rPr>
          <w:spacing w:val="-5"/>
        </w:rPr>
        <w:t> </w:t>
      </w:r>
      <w:r>
        <w:rPr/>
        <w:t>организуется</w:t>
      </w:r>
      <w:r>
        <w:rPr>
          <w:spacing w:val="-5"/>
        </w:rPr>
        <w:t> </w:t>
      </w:r>
      <w:r>
        <w:rPr/>
        <w:t>выставка</w:t>
      </w:r>
      <w:r>
        <w:rPr>
          <w:spacing w:val="-5"/>
        </w:rPr>
        <w:t> </w:t>
      </w:r>
      <w:r>
        <w:rPr/>
        <w:t>словесных</w:t>
      </w:r>
      <w:r>
        <w:rPr>
          <w:spacing w:val="-5"/>
        </w:rPr>
        <w:t> </w:t>
      </w:r>
      <w:r>
        <w:rPr/>
        <w:t>портретов</w:t>
      </w:r>
      <w:r>
        <w:rPr>
          <w:spacing w:val="-5"/>
        </w:rPr>
        <w:t> </w:t>
      </w:r>
      <w:r>
        <w:rPr/>
        <w:t>класса.</w:t>
      </w:r>
      <w:r>
        <w:rPr>
          <w:spacing w:val="-5"/>
        </w:rPr>
        <w:t> </w:t>
      </w:r>
      <w:r>
        <w:rPr/>
        <w:t>Участники</w:t>
      </w:r>
      <w:r>
        <w:rPr>
          <w:spacing w:val="-5"/>
        </w:rPr>
        <w:t> </w:t>
      </w:r>
      <w:r>
        <w:rPr/>
        <w:t>за- нятия</w:t>
      </w:r>
      <w:r>
        <w:rPr>
          <w:spacing w:val="-9"/>
        </w:rPr>
        <w:t> </w:t>
      </w:r>
      <w:r>
        <w:rPr/>
        <w:t>в</w:t>
      </w:r>
      <w:r>
        <w:rPr>
          <w:spacing w:val="-9"/>
        </w:rPr>
        <w:t> </w:t>
      </w:r>
      <w:r>
        <w:rPr/>
        <w:t>свободном</w:t>
      </w:r>
      <w:r>
        <w:rPr>
          <w:spacing w:val="-9"/>
        </w:rPr>
        <w:t> </w:t>
      </w:r>
      <w:r>
        <w:rPr/>
        <w:t>режиме</w:t>
      </w:r>
      <w:r>
        <w:rPr>
          <w:spacing w:val="-9"/>
        </w:rPr>
        <w:t> </w:t>
      </w:r>
      <w:r>
        <w:rPr/>
        <w:t>ходят</w:t>
      </w:r>
      <w:r>
        <w:rPr>
          <w:spacing w:val="-9"/>
        </w:rPr>
        <w:t> </w:t>
      </w:r>
      <w:r>
        <w:rPr/>
        <w:t>по</w:t>
      </w:r>
      <w:r>
        <w:rPr>
          <w:spacing w:val="-9"/>
        </w:rPr>
        <w:t> </w:t>
      </w:r>
      <w:r>
        <w:rPr/>
        <w:t>выставке</w:t>
      </w:r>
      <w:r>
        <w:rPr>
          <w:spacing w:val="-9"/>
        </w:rPr>
        <w:t> </w:t>
      </w:r>
      <w:r>
        <w:rPr/>
        <w:t>и</w:t>
      </w:r>
      <w:r>
        <w:rPr>
          <w:spacing w:val="-9"/>
        </w:rPr>
        <w:t> </w:t>
      </w:r>
      <w:r>
        <w:rPr/>
        <w:t>знакомятся</w:t>
      </w:r>
      <w:r>
        <w:rPr>
          <w:spacing w:val="-9"/>
        </w:rPr>
        <w:t> </w:t>
      </w:r>
      <w:r>
        <w:rPr/>
        <w:t>с</w:t>
      </w:r>
      <w:r>
        <w:rPr>
          <w:spacing w:val="-9"/>
        </w:rPr>
        <w:t> </w:t>
      </w:r>
      <w:r>
        <w:rPr/>
        <w:t>содержанием</w:t>
      </w:r>
      <w:r>
        <w:rPr>
          <w:spacing w:val="-9"/>
        </w:rPr>
        <w:t> </w:t>
      </w:r>
      <w:r>
        <w:rPr/>
        <w:t>интервью. Несколько учащихся могут (при согласии интервьюируемых) зачитать словесный портрет вслух.</w:t>
      </w:r>
    </w:p>
    <w:p>
      <w:pPr>
        <w:pStyle w:val="BodyText"/>
        <w:spacing w:line="244" w:lineRule="auto"/>
      </w:pPr>
      <w:r>
        <w:rPr/>
        <w:t>В</w:t>
      </w:r>
      <w:r>
        <w:rPr>
          <w:spacing w:val="-6"/>
        </w:rPr>
        <w:t> </w:t>
      </w:r>
      <w:r>
        <w:rPr/>
        <w:t>обсуждении</w:t>
      </w:r>
      <w:r>
        <w:rPr>
          <w:spacing w:val="-6"/>
        </w:rPr>
        <w:t> </w:t>
      </w:r>
      <w:r>
        <w:rPr/>
        <w:t>психолог</w:t>
      </w:r>
      <w:r>
        <w:rPr>
          <w:spacing w:val="-6"/>
        </w:rPr>
        <w:t> </w:t>
      </w:r>
      <w:r>
        <w:rPr/>
        <w:t>обращает</w:t>
      </w:r>
      <w:r>
        <w:rPr>
          <w:spacing w:val="-6"/>
        </w:rPr>
        <w:t> </w:t>
      </w:r>
      <w:r>
        <w:rPr/>
        <w:t>внимание,</w:t>
      </w:r>
      <w:r>
        <w:rPr>
          <w:spacing w:val="-6"/>
        </w:rPr>
        <w:t> </w:t>
      </w:r>
      <w:r>
        <w:rPr/>
        <w:t>насколько</w:t>
      </w:r>
      <w:r>
        <w:rPr>
          <w:spacing w:val="-6"/>
        </w:rPr>
        <w:t> </w:t>
      </w:r>
      <w:r>
        <w:rPr/>
        <w:t>участникам</w:t>
      </w:r>
      <w:r>
        <w:rPr>
          <w:spacing w:val="-6"/>
        </w:rPr>
        <w:t> </w:t>
      </w:r>
      <w:r>
        <w:rPr/>
        <w:t>было</w:t>
      </w:r>
      <w:r>
        <w:rPr>
          <w:spacing w:val="-6"/>
        </w:rPr>
        <w:t> </w:t>
      </w:r>
      <w:r>
        <w:rPr/>
        <w:t>трудно/ легко делиться информацией о себе и что помогало, а что мешало этому процессу.</w:t>
      </w:r>
    </w:p>
    <w:p>
      <w:pPr>
        <w:pStyle w:val="BodyText"/>
        <w:spacing w:line="225" w:lineRule="exact" w:before="111"/>
        <w:ind w:left="425" w:right="0" w:firstLine="0"/>
      </w:pPr>
      <w:r>
        <w:rPr>
          <w:color w:val="231F20"/>
        </w:rPr>
        <w:t>План</w:t>
      </w:r>
      <w:r>
        <w:rPr>
          <w:color w:val="231F20"/>
          <w:spacing w:val="-6"/>
        </w:rPr>
        <w:t> </w:t>
      </w:r>
      <w:r>
        <w:rPr>
          <w:color w:val="231F20"/>
        </w:rPr>
        <w:t>интервью</w:t>
      </w:r>
      <w:r>
        <w:rPr>
          <w:color w:val="231F20"/>
          <w:spacing w:val="-6"/>
        </w:rPr>
        <w:t> </w:t>
      </w:r>
      <w:r>
        <w:rPr>
          <w:color w:val="231F20"/>
          <w:spacing w:val="-2"/>
        </w:rPr>
        <w:t>одноклассника:</w:t>
      </w:r>
    </w:p>
    <w:p>
      <w:pPr>
        <w:pStyle w:val="ListParagraph"/>
        <w:numPr>
          <w:ilvl w:val="2"/>
          <w:numId w:val="274"/>
        </w:numPr>
        <w:tabs>
          <w:tab w:pos="424" w:val="left" w:leader="none"/>
        </w:tabs>
        <w:spacing w:line="234" w:lineRule="exact" w:before="0" w:after="0"/>
        <w:ind w:left="424" w:right="0" w:hanging="283"/>
        <w:jc w:val="left"/>
        <w:rPr>
          <w:sz w:val="20"/>
        </w:rPr>
      </w:pPr>
      <w:r>
        <w:rPr>
          <w:sz w:val="20"/>
        </w:rPr>
        <w:t>Имя, </w:t>
      </w:r>
      <w:r>
        <w:rPr>
          <w:spacing w:val="-2"/>
          <w:sz w:val="20"/>
        </w:rPr>
        <w:t>фамилия.</w:t>
      </w:r>
    </w:p>
    <w:p>
      <w:pPr>
        <w:pStyle w:val="ListParagraph"/>
        <w:numPr>
          <w:ilvl w:val="2"/>
          <w:numId w:val="274"/>
        </w:numPr>
        <w:tabs>
          <w:tab w:pos="424" w:val="left" w:leader="none"/>
        </w:tabs>
        <w:spacing w:line="234" w:lineRule="exact" w:before="0" w:after="0"/>
        <w:ind w:left="424" w:right="0" w:hanging="283"/>
        <w:jc w:val="left"/>
        <w:rPr>
          <w:sz w:val="20"/>
        </w:rPr>
      </w:pPr>
      <w:r>
        <w:rPr>
          <w:sz w:val="20"/>
        </w:rPr>
        <w:t>Четыре</w:t>
      </w:r>
      <w:r>
        <w:rPr>
          <w:spacing w:val="-8"/>
          <w:sz w:val="20"/>
        </w:rPr>
        <w:t> </w:t>
      </w:r>
      <w:r>
        <w:rPr>
          <w:sz w:val="20"/>
        </w:rPr>
        <w:t>характеристики,</w:t>
      </w:r>
      <w:r>
        <w:rPr>
          <w:spacing w:val="-7"/>
          <w:sz w:val="20"/>
        </w:rPr>
        <w:t> </w:t>
      </w:r>
      <w:r>
        <w:rPr>
          <w:sz w:val="20"/>
        </w:rPr>
        <w:t>которые</w:t>
      </w:r>
      <w:r>
        <w:rPr>
          <w:spacing w:val="-8"/>
          <w:sz w:val="20"/>
        </w:rPr>
        <w:t> </w:t>
      </w:r>
      <w:r>
        <w:rPr>
          <w:sz w:val="20"/>
        </w:rPr>
        <w:t>его</w:t>
      </w:r>
      <w:r>
        <w:rPr>
          <w:spacing w:val="-7"/>
          <w:sz w:val="20"/>
        </w:rPr>
        <w:t> </w:t>
      </w:r>
      <w:r>
        <w:rPr>
          <w:spacing w:val="-2"/>
          <w:sz w:val="20"/>
        </w:rPr>
        <w:t>описывают.</w:t>
      </w:r>
    </w:p>
    <w:p>
      <w:pPr>
        <w:pStyle w:val="ListParagraph"/>
        <w:numPr>
          <w:ilvl w:val="2"/>
          <w:numId w:val="274"/>
        </w:numPr>
        <w:tabs>
          <w:tab w:pos="424" w:val="left" w:leader="none"/>
        </w:tabs>
        <w:spacing w:line="234" w:lineRule="exact" w:before="0" w:after="0"/>
        <w:ind w:left="424" w:right="0" w:hanging="283"/>
        <w:jc w:val="left"/>
        <w:rPr>
          <w:sz w:val="20"/>
        </w:rPr>
      </w:pPr>
      <w:r>
        <w:rPr>
          <w:sz w:val="20"/>
        </w:rPr>
        <w:t>Он/она</w:t>
      </w:r>
      <w:r>
        <w:rPr>
          <w:spacing w:val="-4"/>
          <w:sz w:val="20"/>
        </w:rPr>
        <w:t> </w:t>
      </w:r>
      <w:r>
        <w:rPr>
          <w:sz w:val="20"/>
        </w:rPr>
        <w:t>родом</w:t>
      </w:r>
      <w:r>
        <w:rPr>
          <w:spacing w:val="-3"/>
          <w:sz w:val="20"/>
        </w:rPr>
        <w:t> </w:t>
      </w:r>
      <w:r>
        <w:rPr>
          <w:sz w:val="20"/>
        </w:rPr>
        <w:t>из</w:t>
      </w:r>
      <w:r>
        <w:rPr>
          <w:spacing w:val="-3"/>
          <w:sz w:val="20"/>
        </w:rPr>
        <w:t> </w:t>
      </w:r>
      <w:r>
        <w:rPr>
          <w:spacing w:val="-10"/>
          <w:sz w:val="20"/>
        </w:rPr>
        <w:t>…</w:t>
      </w:r>
    </w:p>
    <w:p>
      <w:pPr>
        <w:pStyle w:val="ListParagraph"/>
        <w:numPr>
          <w:ilvl w:val="2"/>
          <w:numId w:val="274"/>
        </w:numPr>
        <w:tabs>
          <w:tab w:pos="424" w:val="left" w:leader="none"/>
        </w:tabs>
        <w:spacing w:line="234" w:lineRule="exact" w:before="0" w:after="0"/>
        <w:ind w:left="424" w:right="0" w:hanging="283"/>
        <w:jc w:val="left"/>
        <w:rPr>
          <w:sz w:val="20"/>
        </w:rPr>
      </w:pPr>
      <w:r>
        <w:rPr>
          <w:sz w:val="20"/>
        </w:rPr>
        <w:t>Он/она</w:t>
      </w:r>
      <w:r>
        <w:rPr>
          <w:spacing w:val="-2"/>
          <w:sz w:val="20"/>
        </w:rPr>
        <w:t> </w:t>
      </w:r>
      <w:r>
        <w:rPr>
          <w:sz w:val="20"/>
        </w:rPr>
        <w:t>считает</w:t>
      </w:r>
      <w:r>
        <w:rPr>
          <w:spacing w:val="-1"/>
          <w:sz w:val="20"/>
        </w:rPr>
        <w:t> </w:t>
      </w:r>
      <w:r>
        <w:rPr>
          <w:sz w:val="20"/>
        </w:rPr>
        <w:t>важным</w:t>
      </w:r>
      <w:r>
        <w:rPr>
          <w:spacing w:val="-1"/>
          <w:sz w:val="20"/>
        </w:rPr>
        <w:t> </w:t>
      </w:r>
      <w:r>
        <w:rPr>
          <w:sz w:val="20"/>
        </w:rPr>
        <w:t>в</w:t>
      </w:r>
      <w:r>
        <w:rPr>
          <w:spacing w:val="-2"/>
          <w:sz w:val="20"/>
        </w:rPr>
        <w:t> жизни.</w:t>
      </w:r>
    </w:p>
    <w:p>
      <w:pPr>
        <w:pStyle w:val="ListParagraph"/>
        <w:numPr>
          <w:ilvl w:val="2"/>
          <w:numId w:val="274"/>
        </w:numPr>
        <w:tabs>
          <w:tab w:pos="424" w:val="left" w:leader="none"/>
        </w:tabs>
        <w:spacing w:line="234" w:lineRule="exact" w:before="0" w:after="0"/>
        <w:ind w:left="424" w:right="0" w:hanging="283"/>
        <w:jc w:val="left"/>
        <w:rPr>
          <w:sz w:val="20"/>
        </w:rPr>
      </w:pPr>
      <w:r>
        <w:rPr>
          <w:sz w:val="20"/>
        </w:rPr>
        <w:t>Он/она</w:t>
      </w:r>
      <w:r>
        <w:rPr>
          <w:spacing w:val="-3"/>
          <w:sz w:val="20"/>
        </w:rPr>
        <w:t> </w:t>
      </w:r>
      <w:r>
        <w:rPr>
          <w:sz w:val="20"/>
        </w:rPr>
        <w:t>хотел</w:t>
      </w:r>
      <w:r>
        <w:rPr>
          <w:spacing w:val="-3"/>
          <w:sz w:val="20"/>
        </w:rPr>
        <w:t> </w:t>
      </w:r>
      <w:r>
        <w:rPr>
          <w:sz w:val="20"/>
        </w:rPr>
        <w:t>бы</w:t>
      </w:r>
      <w:r>
        <w:rPr>
          <w:spacing w:val="-3"/>
          <w:sz w:val="20"/>
        </w:rPr>
        <w:t> </w:t>
      </w:r>
      <w:r>
        <w:rPr>
          <w:sz w:val="20"/>
        </w:rPr>
        <w:t>в</w:t>
      </w:r>
      <w:r>
        <w:rPr>
          <w:spacing w:val="-3"/>
          <w:sz w:val="20"/>
        </w:rPr>
        <w:t> </w:t>
      </w:r>
      <w:r>
        <w:rPr>
          <w:spacing w:val="-2"/>
          <w:sz w:val="20"/>
        </w:rPr>
        <w:t>жизни…</w:t>
      </w:r>
    </w:p>
    <w:p>
      <w:pPr>
        <w:pStyle w:val="ListParagraph"/>
        <w:numPr>
          <w:ilvl w:val="2"/>
          <w:numId w:val="274"/>
        </w:numPr>
        <w:tabs>
          <w:tab w:pos="424" w:val="left" w:leader="none"/>
        </w:tabs>
        <w:spacing w:line="240" w:lineRule="exact" w:before="0" w:after="0"/>
        <w:ind w:left="424" w:right="0" w:hanging="283"/>
        <w:jc w:val="left"/>
        <w:rPr>
          <w:sz w:val="20"/>
        </w:rPr>
      </w:pPr>
      <w:r>
        <w:rPr>
          <w:sz w:val="20"/>
        </w:rPr>
        <w:t>Он/она</w:t>
      </w:r>
      <w:r>
        <w:rPr>
          <w:spacing w:val="-7"/>
          <w:sz w:val="20"/>
        </w:rPr>
        <w:t> </w:t>
      </w:r>
      <w:r>
        <w:rPr>
          <w:sz w:val="20"/>
        </w:rPr>
        <w:t>может</w:t>
      </w:r>
      <w:r>
        <w:rPr>
          <w:spacing w:val="-4"/>
          <w:sz w:val="20"/>
        </w:rPr>
        <w:t> </w:t>
      </w:r>
      <w:r>
        <w:rPr>
          <w:sz w:val="20"/>
        </w:rPr>
        <w:t>помочь</w:t>
      </w:r>
      <w:r>
        <w:rPr>
          <w:spacing w:val="-6"/>
          <w:sz w:val="20"/>
        </w:rPr>
        <w:t> </w:t>
      </w:r>
      <w:r>
        <w:rPr>
          <w:sz w:val="20"/>
        </w:rPr>
        <w:t>другим</w:t>
      </w:r>
      <w:r>
        <w:rPr>
          <w:spacing w:val="-4"/>
          <w:sz w:val="20"/>
        </w:rPr>
        <w:t> </w:t>
      </w:r>
      <w:r>
        <w:rPr>
          <w:sz w:val="20"/>
        </w:rPr>
        <w:t>в</w:t>
      </w:r>
      <w:r>
        <w:rPr>
          <w:spacing w:val="-5"/>
          <w:sz w:val="20"/>
        </w:rPr>
        <w:t> </w:t>
      </w:r>
      <w:r>
        <w:rPr>
          <w:spacing w:val="-10"/>
          <w:sz w:val="20"/>
        </w:rPr>
        <w:t>…</w:t>
      </w:r>
    </w:p>
    <w:p>
      <w:pPr>
        <w:spacing w:before="117"/>
        <w:ind w:left="2564" w:right="0" w:firstLine="0"/>
        <w:jc w:val="left"/>
        <w:rPr>
          <w:b/>
          <w:sz w:val="20"/>
        </w:rPr>
      </w:pPr>
      <w:r>
        <w:rPr>
          <w:b/>
          <w:color w:val="231F20"/>
          <w:sz w:val="20"/>
        </w:rPr>
        <w:t>«Парадокс</w:t>
      </w:r>
      <w:r>
        <w:rPr>
          <w:b/>
          <w:color w:val="231F20"/>
          <w:spacing w:val="-11"/>
          <w:sz w:val="20"/>
        </w:rPr>
        <w:t> </w:t>
      </w:r>
      <w:r>
        <w:rPr>
          <w:b/>
          <w:color w:val="231F20"/>
          <w:sz w:val="20"/>
        </w:rPr>
        <w:t>корабля</w:t>
      </w:r>
      <w:r>
        <w:rPr>
          <w:b/>
          <w:color w:val="231F20"/>
          <w:spacing w:val="-10"/>
          <w:sz w:val="20"/>
        </w:rPr>
        <w:t> </w:t>
      </w:r>
      <w:r>
        <w:rPr>
          <w:b/>
          <w:color w:val="231F20"/>
          <w:spacing w:val="-2"/>
          <w:sz w:val="20"/>
        </w:rPr>
        <w:t>Тесея»</w:t>
      </w:r>
    </w:p>
    <w:p>
      <w:pPr>
        <w:spacing w:line="244" w:lineRule="auto" w:before="117"/>
        <w:ind w:left="2100" w:right="139" w:firstLine="545"/>
        <w:jc w:val="right"/>
        <w:rPr>
          <w:i/>
          <w:sz w:val="20"/>
        </w:rPr>
      </w:pPr>
      <w:r>
        <w:rPr>
          <w:i/>
          <w:color w:val="231F20"/>
          <w:sz w:val="20"/>
        </w:rPr>
        <w:t>Источник</w:t>
      </w:r>
      <w:r>
        <w:rPr>
          <w:b/>
          <w:i/>
          <w:color w:val="231F20"/>
          <w:sz w:val="20"/>
        </w:rPr>
        <w:t>:</w:t>
      </w:r>
      <w:r>
        <w:rPr>
          <w:b/>
          <w:i/>
          <w:color w:val="231F20"/>
          <w:spacing w:val="-10"/>
          <w:sz w:val="20"/>
        </w:rPr>
        <w:t> </w:t>
      </w:r>
      <w:r>
        <w:rPr>
          <w:i/>
          <w:color w:val="231F20"/>
          <w:sz w:val="20"/>
        </w:rPr>
        <w:t>модификация</w:t>
      </w:r>
      <w:r>
        <w:rPr>
          <w:i/>
          <w:color w:val="231F20"/>
          <w:spacing w:val="-10"/>
          <w:sz w:val="20"/>
        </w:rPr>
        <w:t> </w:t>
      </w:r>
      <w:r>
        <w:rPr>
          <w:i/>
          <w:color w:val="231F20"/>
          <w:sz w:val="20"/>
        </w:rPr>
        <w:t>упражнения</w:t>
      </w:r>
      <w:r>
        <w:rPr>
          <w:i/>
          <w:color w:val="231F20"/>
          <w:spacing w:val="-10"/>
          <w:sz w:val="20"/>
        </w:rPr>
        <w:t> </w:t>
      </w:r>
      <w:r>
        <w:rPr>
          <w:i/>
          <w:color w:val="231F20"/>
          <w:sz w:val="20"/>
        </w:rPr>
        <w:t>«Before</w:t>
      </w:r>
      <w:r>
        <w:rPr>
          <w:i/>
          <w:color w:val="231F20"/>
          <w:spacing w:val="-10"/>
          <w:sz w:val="20"/>
        </w:rPr>
        <w:t> </w:t>
      </w:r>
      <w:r>
        <w:rPr>
          <w:i/>
          <w:color w:val="231F20"/>
          <w:sz w:val="20"/>
        </w:rPr>
        <w:t>and</w:t>
      </w:r>
      <w:r>
        <w:rPr>
          <w:i/>
          <w:color w:val="231F20"/>
          <w:spacing w:val="-10"/>
          <w:sz w:val="20"/>
        </w:rPr>
        <w:t> </w:t>
      </w:r>
      <w:r>
        <w:rPr>
          <w:i/>
          <w:color w:val="231F20"/>
          <w:sz w:val="20"/>
        </w:rPr>
        <w:t>after: the</w:t>
      </w:r>
      <w:r>
        <w:rPr>
          <w:i/>
          <w:color w:val="231F20"/>
          <w:spacing w:val="-4"/>
          <w:sz w:val="20"/>
        </w:rPr>
        <w:t> </w:t>
      </w:r>
      <w:r>
        <w:rPr>
          <w:i/>
          <w:color w:val="231F20"/>
          <w:sz w:val="20"/>
        </w:rPr>
        <w:t>dilemma»</w:t>
      </w:r>
      <w:r>
        <w:rPr>
          <w:i/>
          <w:color w:val="231F20"/>
          <w:spacing w:val="-4"/>
          <w:sz w:val="20"/>
        </w:rPr>
        <w:t> </w:t>
      </w:r>
      <w:r>
        <w:rPr>
          <w:i/>
          <w:color w:val="231F20"/>
          <w:sz w:val="20"/>
        </w:rPr>
        <w:t>из</w:t>
      </w:r>
      <w:r>
        <w:rPr>
          <w:i/>
          <w:color w:val="231F20"/>
          <w:spacing w:val="-5"/>
          <w:sz w:val="20"/>
        </w:rPr>
        <w:t> </w:t>
      </w:r>
      <w:r>
        <w:rPr>
          <w:i/>
          <w:color w:val="231F20"/>
          <w:sz w:val="20"/>
        </w:rPr>
        <w:t>книги</w:t>
      </w:r>
      <w:r>
        <w:rPr>
          <w:i/>
          <w:color w:val="231F20"/>
          <w:spacing w:val="-4"/>
          <w:sz w:val="20"/>
        </w:rPr>
        <w:t> </w:t>
      </w:r>
      <w:r>
        <w:rPr>
          <w:i/>
          <w:color w:val="231F20"/>
          <w:sz w:val="20"/>
        </w:rPr>
        <w:t>Building</w:t>
      </w:r>
      <w:r>
        <w:rPr>
          <w:i/>
          <w:color w:val="231F20"/>
          <w:spacing w:val="-4"/>
          <w:sz w:val="20"/>
        </w:rPr>
        <w:t> </w:t>
      </w:r>
      <w:r>
        <w:rPr>
          <w:i/>
          <w:color w:val="231F20"/>
          <w:sz w:val="20"/>
        </w:rPr>
        <w:t>Cultural</w:t>
      </w:r>
      <w:r>
        <w:rPr>
          <w:i/>
          <w:color w:val="231F20"/>
          <w:spacing w:val="-4"/>
          <w:sz w:val="20"/>
        </w:rPr>
        <w:t> </w:t>
      </w:r>
      <w:r>
        <w:rPr>
          <w:i/>
          <w:color w:val="231F20"/>
          <w:sz w:val="20"/>
        </w:rPr>
        <w:t>Competence:</w:t>
      </w:r>
      <w:r>
        <w:rPr>
          <w:i/>
          <w:color w:val="231F20"/>
          <w:spacing w:val="-4"/>
          <w:sz w:val="20"/>
        </w:rPr>
        <w:t> </w:t>
      </w:r>
      <w:r>
        <w:rPr>
          <w:i/>
          <w:color w:val="231F20"/>
          <w:sz w:val="20"/>
        </w:rPr>
        <w:t>Innovative Activities and Models, eds. K. Berardo and D. K. Deardorff</w:t>
      </w:r>
    </w:p>
    <w:p>
      <w:pPr>
        <w:spacing w:line="228" w:lineRule="exact" w:before="0"/>
        <w:ind w:left="141" w:right="140" w:firstLine="0"/>
        <w:jc w:val="right"/>
        <w:rPr>
          <w:i/>
          <w:sz w:val="20"/>
        </w:rPr>
      </w:pPr>
      <w:r>
        <w:rPr>
          <w:i/>
          <w:color w:val="231F20"/>
          <w:sz w:val="20"/>
        </w:rPr>
        <w:t>(Sterling,</w:t>
      </w:r>
      <w:r>
        <w:rPr>
          <w:i/>
          <w:color w:val="231F20"/>
          <w:spacing w:val="-4"/>
          <w:sz w:val="20"/>
        </w:rPr>
        <w:t> </w:t>
      </w:r>
      <w:r>
        <w:rPr>
          <w:i/>
          <w:color w:val="231F20"/>
          <w:sz w:val="20"/>
        </w:rPr>
        <w:t>VA:</w:t>
      </w:r>
      <w:r>
        <w:rPr>
          <w:i/>
          <w:color w:val="231F20"/>
          <w:spacing w:val="-4"/>
          <w:sz w:val="20"/>
        </w:rPr>
        <w:t> </w:t>
      </w:r>
      <w:r>
        <w:rPr>
          <w:i/>
          <w:color w:val="231F20"/>
          <w:sz w:val="20"/>
        </w:rPr>
        <w:t>Stylus,</w:t>
      </w:r>
      <w:r>
        <w:rPr>
          <w:i/>
          <w:color w:val="231F20"/>
          <w:spacing w:val="-4"/>
          <w:sz w:val="20"/>
        </w:rPr>
        <w:t> </w:t>
      </w:r>
      <w:r>
        <w:rPr>
          <w:i/>
          <w:color w:val="231F20"/>
          <w:sz w:val="20"/>
        </w:rPr>
        <w:t>2012),</w:t>
      </w:r>
      <w:r>
        <w:rPr>
          <w:i/>
          <w:color w:val="231F20"/>
          <w:spacing w:val="-3"/>
          <w:sz w:val="20"/>
        </w:rPr>
        <w:t> </w:t>
      </w:r>
      <w:r>
        <w:rPr>
          <w:i/>
          <w:color w:val="231F20"/>
          <w:spacing w:val="-2"/>
          <w:sz w:val="20"/>
        </w:rPr>
        <w:t>220–225</w:t>
      </w:r>
    </w:p>
    <w:p>
      <w:pPr>
        <w:pStyle w:val="BodyText"/>
        <w:spacing w:line="244" w:lineRule="auto" w:before="118"/>
      </w:pPr>
      <w:r>
        <w:rPr>
          <w:color w:val="231F20"/>
        </w:rPr>
        <w:t>Психолог читает группе историю «Парадокс корабля Тесея»</w:t>
      </w:r>
      <w:r>
        <w:rPr>
          <w:color w:val="231F20"/>
          <w:vertAlign w:val="superscript"/>
        </w:rPr>
        <w:t>1</w:t>
      </w:r>
      <w:r>
        <w:rPr>
          <w:color w:val="231F20"/>
          <w:vertAlign w:val="baseline"/>
        </w:rPr>
        <w:t>. После краткого ее обсуждения (главное – убедиться, что все участники понимают, в ч</w:t>
      </w:r>
      <w:r>
        <w:rPr>
          <w:vertAlign w:val="baseline"/>
        </w:rPr>
        <w:t>ем заключается парадокс) психолог делит группу на 2 части, каждая из которых готовит аргументы за одну из двух противоположных точек зрения. После подготовки точки зрения оз- </w:t>
      </w:r>
      <w:r>
        <w:rPr>
          <w:spacing w:val="-2"/>
          <w:vertAlign w:val="baseline"/>
        </w:rPr>
        <w:t>вучиваются.</w:t>
      </w:r>
    </w:p>
    <w:p>
      <w:pPr>
        <w:pStyle w:val="BodyText"/>
        <w:spacing w:line="244" w:lineRule="auto"/>
      </w:pPr>
      <w:r>
        <w:rPr/>
        <w:t>Психолог</w:t>
      </w:r>
      <w:r>
        <w:rPr>
          <w:spacing w:val="-9"/>
        </w:rPr>
        <w:t> </w:t>
      </w:r>
      <w:r>
        <w:rPr/>
        <w:t>делает</w:t>
      </w:r>
      <w:r>
        <w:rPr>
          <w:spacing w:val="-9"/>
        </w:rPr>
        <w:t> </w:t>
      </w:r>
      <w:r>
        <w:rPr/>
        <w:t>вывод,</w:t>
      </w:r>
      <w:r>
        <w:rPr>
          <w:spacing w:val="-9"/>
        </w:rPr>
        <w:t> </w:t>
      </w:r>
      <w:r>
        <w:rPr/>
        <w:t>что</w:t>
      </w:r>
      <w:r>
        <w:rPr>
          <w:spacing w:val="-9"/>
        </w:rPr>
        <w:t> </w:t>
      </w:r>
      <w:r>
        <w:rPr/>
        <w:t>парадокс</w:t>
      </w:r>
      <w:r>
        <w:rPr>
          <w:spacing w:val="-9"/>
        </w:rPr>
        <w:t> </w:t>
      </w:r>
      <w:r>
        <w:rPr/>
        <w:t>неразрешим,</w:t>
      </w:r>
      <w:r>
        <w:rPr>
          <w:spacing w:val="-9"/>
        </w:rPr>
        <w:t> </w:t>
      </w:r>
      <w:r>
        <w:rPr/>
        <w:t>однако</w:t>
      </w:r>
      <w:r>
        <w:rPr>
          <w:spacing w:val="-9"/>
        </w:rPr>
        <w:t> </w:t>
      </w:r>
      <w:r>
        <w:rPr/>
        <w:t>в</w:t>
      </w:r>
      <w:r>
        <w:rPr>
          <w:spacing w:val="-9"/>
        </w:rPr>
        <w:t> </w:t>
      </w:r>
      <w:r>
        <w:rPr/>
        <w:t>нашей</w:t>
      </w:r>
      <w:r>
        <w:rPr>
          <w:spacing w:val="-9"/>
        </w:rPr>
        <w:t> </w:t>
      </w:r>
      <w:r>
        <w:rPr/>
        <w:t>жизни</w:t>
      </w:r>
      <w:r>
        <w:rPr>
          <w:spacing w:val="-9"/>
        </w:rPr>
        <w:t> </w:t>
      </w:r>
      <w:r>
        <w:rPr/>
        <w:t>бывают ситуации, когда верно и другое представление: несмотря на замену составляющих, вещь</w:t>
      </w:r>
      <w:r>
        <w:rPr>
          <w:spacing w:val="-4"/>
        </w:rPr>
        <w:t> </w:t>
      </w:r>
      <w:r>
        <w:rPr/>
        <w:t>может</w:t>
      </w:r>
      <w:r>
        <w:rPr>
          <w:spacing w:val="-4"/>
        </w:rPr>
        <w:t> </w:t>
      </w:r>
      <w:r>
        <w:rPr/>
        <w:t>остаться</w:t>
      </w:r>
      <w:r>
        <w:rPr>
          <w:spacing w:val="-4"/>
        </w:rPr>
        <w:t> </w:t>
      </w:r>
      <w:r>
        <w:rPr/>
        <w:t>неизменной.</w:t>
      </w:r>
      <w:r>
        <w:rPr>
          <w:spacing w:val="-4"/>
        </w:rPr>
        <w:t> </w:t>
      </w:r>
      <w:r>
        <w:rPr/>
        <w:t>Это</w:t>
      </w:r>
      <w:r>
        <w:rPr>
          <w:spacing w:val="-4"/>
        </w:rPr>
        <w:t> </w:t>
      </w:r>
      <w:r>
        <w:rPr/>
        <w:t>верно,</w:t>
      </w:r>
      <w:r>
        <w:rPr>
          <w:spacing w:val="-4"/>
        </w:rPr>
        <w:t> </w:t>
      </w:r>
      <w:r>
        <w:rPr/>
        <w:t>когда</w:t>
      </w:r>
      <w:r>
        <w:rPr>
          <w:spacing w:val="-4"/>
        </w:rPr>
        <w:t> </w:t>
      </w:r>
      <w:r>
        <w:rPr/>
        <w:t>главное</w:t>
      </w:r>
      <w:r>
        <w:rPr>
          <w:spacing w:val="-4"/>
        </w:rPr>
        <w:t> </w:t>
      </w:r>
      <w:r>
        <w:rPr/>
        <w:t>–</w:t>
      </w:r>
      <w:r>
        <w:rPr>
          <w:spacing w:val="-4"/>
        </w:rPr>
        <w:t> </w:t>
      </w:r>
      <w:r>
        <w:rPr/>
        <w:t>не</w:t>
      </w:r>
      <w:r>
        <w:rPr>
          <w:spacing w:val="-4"/>
        </w:rPr>
        <w:t> </w:t>
      </w:r>
      <w:r>
        <w:rPr/>
        <w:t>материальные</w:t>
      </w:r>
      <w:r>
        <w:rPr>
          <w:spacing w:val="-4"/>
        </w:rPr>
        <w:t> </w:t>
      </w:r>
      <w:r>
        <w:rPr/>
        <w:t>пред- меты, а наши мнения, фантазии, образы.</w:t>
      </w:r>
    </w:p>
    <w:p>
      <w:pPr>
        <w:pStyle w:val="BodyText"/>
        <w:spacing w:line="244" w:lineRule="auto"/>
      </w:pPr>
      <w:r>
        <w:rPr/>
        <w:t>Психолог приводит пример с легендарным итальянским автомобилем Фиат-500, который</w:t>
      </w:r>
      <w:r>
        <w:rPr>
          <w:spacing w:val="-2"/>
        </w:rPr>
        <w:t> </w:t>
      </w:r>
      <w:r>
        <w:rPr/>
        <w:t>после</w:t>
      </w:r>
      <w:r>
        <w:rPr>
          <w:spacing w:val="-2"/>
        </w:rPr>
        <w:t> </w:t>
      </w:r>
      <w:r>
        <w:rPr/>
        <w:t>реновации</w:t>
      </w:r>
      <w:r>
        <w:rPr>
          <w:spacing w:val="-2"/>
        </w:rPr>
        <w:t> </w:t>
      </w:r>
      <w:r>
        <w:rPr/>
        <w:t>стал</w:t>
      </w:r>
      <w:r>
        <w:rPr>
          <w:spacing w:val="-2"/>
        </w:rPr>
        <w:t> </w:t>
      </w:r>
      <w:r>
        <w:rPr/>
        <w:t>серьезно</w:t>
      </w:r>
      <w:r>
        <w:rPr>
          <w:spacing w:val="-2"/>
        </w:rPr>
        <w:t> </w:t>
      </w:r>
      <w:r>
        <w:rPr/>
        <w:t>отличаться</w:t>
      </w:r>
      <w:r>
        <w:rPr>
          <w:spacing w:val="-2"/>
        </w:rPr>
        <w:t> </w:t>
      </w:r>
      <w:r>
        <w:rPr/>
        <w:t>от</w:t>
      </w:r>
      <w:r>
        <w:rPr>
          <w:spacing w:val="-2"/>
        </w:rPr>
        <w:t> </w:t>
      </w:r>
      <w:r>
        <w:rPr/>
        <w:t>предшественника.</w:t>
      </w:r>
      <w:r>
        <w:rPr>
          <w:spacing w:val="-2"/>
        </w:rPr>
        <w:t> </w:t>
      </w:r>
      <w:r>
        <w:rPr/>
        <w:t>Однако</w:t>
      </w:r>
      <w:r>
        <w:rPr>
          <w:spacing w:val="-2"/>
        </w:rPr>
        <w:t> </w:t>
      </w:r>
      <w:r>
        <w:rPr/>
        <w:t>ав- толюбители</w:t>
      </w:r>
      <w:r>
        <w:rPr>
          <w:spacing w:val="-11"/>
        </w:rPr>
        <w:t> </w:t>
      </w:r>
      <w:r>
        <w:rPr/>
        <w:t>все</w:t>
      </w:r>
      <w:r>
        <w:rPr>
          <w:spacing w:val="-11"/>
        </w:rPr>
        <w:t> </w:t>
      </w:r>
      <w:r>
        <w:rPr/>
        <w:t>равно</w:t>
      </w:r>
      <w:r>
        <w:rPr>
          <w:spacing w:val="-11"/>
        </w:rPr>
        <w:t> </w:t>
      </w:r>
      <w:r>
        <w:rPr/>
        <w:t>воспринимают</w:t>
      </w:r>
      <w:r>
        <w:rPr>
          <w:spacing w:val="-11"/>
        </w:rPr>
        <w:t> </w:t>
      </w:r>
      <w:r>
        <w:rPr/>
        <w:t>его</w:t>
      </w:r>
      <w:r>
        <w:rPr>
          <w:spacing w:val="-11"/>
        </w:rPr>
        <w:t> </w:t>
      </w:r>
      <w:r>
        <w:rPr/>
        <w:t>под</w:t>
      </w:r>
      <w:r>
        <w:rPr>
          <w:spacing w:val="-11"/>
        </w:rPr>
        <w:t> </w:t>
      </w:r>
      <w:r>
        <w:rPr/>
        <w:t>старым</w:t>
      </w:r>
      <w:r>
        <w:rPr>
          <w:spacing w:val="-11"/>
        </w:rPr>
        <w:t> </w:t>
      </w:r>
      <w:r>
        <w:rPr/>
        <w:t>брендом,</w:t>
      </w:r>
      <w:r>
        <w:rPr>
          <w:spacing w:val="-11"/>
        </w:rPr>
        <w:t> </w:t>
      </w:r>
      <w:r>
        <w:rPr/>
        <w:t>потому</w:t>
      </w:r>
      <w:r>
        <w:rPr>
          <w:spacing w:val="-11"/>
        </w:rPr>
        <w:t> </w:t>
      </w:r>
      <w:r>
        <w:rPr/>
        <w:t>что</w:t>
      </w:r>
      <w:r>
        <w:rPr>
          <w:spacing w:val="-11"/>
        </w:rPr>
        <w:t> </w:t>
      </w:r>
      <w:r>
        <w:rPr/>
        <w:t>он</w:t>
      </w:r>
      <w:r>
        <w:rPr>
          <w:spacing w:val="-11"/>
        </w:rPr>
        <w:t> </w:t>
      </w:r>
      <w:r>
        <w:rPr/>
        <w:t>для</w:t>
      </w:r>
      <w:r>
        <w:rPr>
          <w:spacing w:val="-11"/>
        </w:rPr>
        <w:t> </w:t>
      </w:r>
      <w:r>
        <w:rPr/>
        <w:t>них символизирует что-то важное (см. рис. 1 и 2 на след. стр.).</w:t>
      </w:r>
    </w:p>
    <w:p>
      <w:pPr>
        <w:pStyle w:val="BodyText"/>
        <w:spacing w:line="244" w:lineRule="auto"/>
        <w:ind w:left="425" w:right="767" w:firstLine="0"/>
      </w:pPr>
      <w:r>
        <w:rPr/>
        <w:t>Психолог</w:t>
      </w:r>
      <w:r>
        <w:rPr>
          <w:spacing w:val="-8"/>
        </w:rPr>
        <w:t> </w:t>
      </w:r>
      <w:r>
        <w:rPr/>
        <w:t>просит</w:t>
      </w:r>
      <w:r>
        <w:rPr>
          <w:spacing w:val="-7"/>
        </w:rPr>
        <w:t> </w:t>
      </w:r>
      <w:r>
        <w:rPr/>
        <w:t>участников</w:t>
      </w:r>
      <w:r>
        <w:rPr>
          <w:spacing w:val="-8"/>
        </w:rPr>
        <w:t> </w:t>
      </w:r>
      <w:r>
        <w:rPr/>
        <w:t>привести</w:t>
      </w:r>
      <w:r>
        <w:rPr>
          <w:spacing w:val="-8"/>
        </w:rPr>
        <w:t> </w:t>
      </w:r>
      <w:r>
        <w:rPr/>
        <w:t>похожие</w:t>
      </w:r>
      <w:r>
        <w:rPr>
          <w:spacing w:val="-7"/>
        </w:rPr>
        <w:t> </w:t>
      </w:r>
      <w:r>
        <w:rPr/>
        <w:t>примеры</w:t>
      </w:r>
      <w:r>
        <w:rPr>
          <w:spacing w:val="-7"/>
        </w:rPr>
        <w:t> </w:t>
      </w:r>
      <w:r>
        <w:rPr/>
        <w:t>из</w:t>
      </w:r>
      <w:r>
        <w:rPr>
          <w:spacing w:val="-7"/>
        </w:rPr>
        <w:t> </w:t>
      </w:r>
      <w:r>
        <w:rPr/>
        <w:t>своего</w:t>
      </w:r>
      <w:r>
        <w:rPr>
          <w:spacing w:val="-7"/>
        </w:rPr>
        <w:t> </w:t>
      </w:r>
      <w:r>
        <w:rPr/>
        <w:t>опыта. </w:t>
      </w:r>
      <w:r>
        <w:rPr>
          <w:spacing w:val="-2"/>
        </w:rPr>
        <w:t>Психолог:</w:t>
      </w:r>
    </w:p>
    <w:p>
      <w:pPr>
        <w:spacing w:line="244" w:lineRule="auto" w:before="0"/>
        <w:ind w:left="141" w:right="139" w:firstLine="283"/>
        <w:jc w:val="both"/>
        <w:rPr>
          <w:i/>
          <w:sz w:val="20"/>
        </w:rPr>
      </w:pPr>
      <w:r>
        <w:rPr>
          <w:i/>
          <w:sz w:val="20"/>
        </w:rPr>
        <w:t>– Бывает так, что в нашей жизни многое меняется, но мы при этом остаемся прежними.</w:t>
      </w:r>
      <w:r>
        <w:rPr>
          <w:i/>
          <w:spacing w:val="-5"/>
          <w:sz w:val="20"/>
        </w:rPr>
        <w:t> </w:t>
      </w:r>
      <w:r>
        <w:rPr>
          <w:i/>
          <w:sz w:val="20"/>
        </w:rPr>
        <w:t>Например,</w:t>
      </w:r>
      <w:r>
        <w:rPr>
          <w:i/>
          <w:spacing w:val="-5"/>
          <w:sz w:val="20"/>
        </w:rPr>
        <w:t> </w:t>
      </w:r>
      <w:r>
        <w:rPr>
          <w:i/>
          <w:sz w:val="20"/>
        </w:rPr>
        <w:t>мы</w:t>
      </w:r>
      <w:r>
        <w:rPr>
          <w:i/>
          <w:spacing w:val="-5"/>
          <w:sz w:val="20"/>
        </w:rPr>
        <w:t> </w:t>
      </w:r>
      <w:r>
        <w:rPr>
          <w:i/>
          <w:sz w:val="20"/>
        </w:rPr>
        <w:t>переходим</w:t>
      </w:r>
      <w:r>
        <w:rPr>
          <w:i/>
          <w:spacing w:val="-5"/>
          <w:sz w:val="20"/>
        </w:rPr>
        <w:t> </w:t>
      </w:r>
      <w:r>
        <w:rPr>
          <w:i/>
          <w:sz w:val="20"/>
        </w:rPr>
        <w:t>из</w:t>
      </w:r>
      <w:r>
        <w:rPr>
          <w:i/>
          <w:spacing w:val="-5"/>
          <w:sz w:val="20"/>
        </w:rPr>
        <w:t> </w:t>
      </w:r>
      <w:r>
        <w:rPr>
          <w:i/>
          <w:sz w:val="20"/>
        </w:rPr>
        <w:t>одной</w:t>
      </w:r>
      <w:r>
        <w:rPr>
          <w:i/>
          <w:spacing w:val="-5"/>
          <w:sz w:val="20"/>
        </w:rPr>
        <w:t> </w:t>
      </w:r>
      <w:r>
        <w:rPr>
          <w:i/>
          <w:sz w:val="20"/>
        </w:rPr>
        <w:t>школы</w:t>
      </w:r>
      <w:r>
        <w:rPr>
          <w:i/>
          <w:spacing w:val="-5"/>
          <w:sz w:val="20"/>
        </w:rPr>
        <w:t> </w:t>
      </w:r>
      <w:r>
        <w:rPr>
          <w:i/>
          <w:sz w:val="20"/>
        </w:rPr>
        <w:t>в</w:t>
      </w:r>
      <w:r>
        <w:rPr>
          <w:i/>
          <w:spacing w:val="-5"/>
          <w:sz w:val="20"/>
        </w:rPr>
        <w:t> </w:t>
      </w:r>
      <w:r>
        <w:rPr>
          <w:i/>
          <w:sz w:val="20"/>
        </w:rPr>
        <w:t>другую,</w:t>
      </w:r>
      <w:r>
        <w:rPr>
          <w:i/>
          <w:spacing w:val="-5"/>
          <w:sz w:val="20"/>
        </w:rPr>
        <w:t> </w:t>
      </w:r>
      <w:r>
        <w:rPr>
          <w:i/>
          <w:sz w:val="20"/>
        </w:rPr>
        <w:t>переезжаем</w:t>
      </w:r>
      <w:r>
        <w:rPr>
          <w:i/>
          <w:spacing w:val="-5"/>
          <w:sz w:val="20"/>
        </w:rPr>
        <w:t> </w:t>
      </w:r>
      <w:r>
        <w:rPr>
          <w:i/>
          <w:sz w:val="20"/>
        </w:rPr>
        <w:t>из</w:t>
      </w:r>
      <w:r>
        <w:rPr>
          <w:i/>
          <w:spacing w:val="-5"/>
          <w:sz w:val="20"/>
        </w:rPr>
        <w:t> </w:t>
      </w:r>
      <w:r>
        <w:rPr>
          <w:i/>
          <w:sz w:val="20"/>
        </w:rPr>
        <w:t>одной страны в другую, но при этом мы остаемся самими собой. Значит, в нас есть что- то важное, что позволяет нам сохраниться, остаться самими собой.</w:t>
      </w:r>
    </w:p>
    <w:p>
      <w:pPr>
        <w:pStyle w:val="BodyText"/>
        <w:spacing w:before="10"/>
        <w:ind w:left="0" w:right="0" w:firstLine="0"/>
        <w:jc w:val="left"/>
        <w:rPr>
          <w:i/>
          <w:sz w:val="9"/>
        </w:rPr>
      </w:pPr>
      <w:r>
        <w:rPr>
          <w:i/>
          <w:sz w:val="9"/>
        </w:rPr>
        <mc:AlternateContent>
          <mc:Choice Requires="wps">
            <w:drawing>
              <wp:anchor distT="0" distB="0" distL="0" distR="0" allowOverlap="1" layoutInCell="1" locked="0" behindDoc="1" simplePos="0" relativeHeight="487640064">
                <wp:simplePos x="0" y="0"/>
                <wp:positionH relativeFrom="page">
                  <wp:posOffset>360000</wp:posOffset>
                </wp:positionH>
                <wp:positionV relativeFrom="paragraph">
                  <wp:posOffset>87729</wp:posOffset>
                </wp:positionV>
                <wp:extent cx="1440180" cy="1270"/>
                <wp:effectExtent l="0" t="0" r="0" b="0"/>
                <wp:wrapTopAndBottom/>
                <wp:docPr id="165" name="Graphic 165"/>
                <wp:cNvGraphicFramePr>
                  <a:graphicFrameLocks/>
                </wp:cNvGraphicFramePr>
                <a:graphic>
                  <a:graphicData uri="http://schemas.microsoft.com/office/word/2010/wordprocessingShape">
                    <wps:wsp>
                      <wps:cNvPr id="165" name="Graphic 165"/>
                      <wps:cNvSpPr/>
                      <wps:spPr>
                        <a:xfrm>
                          <a:off x="0" y="0"/>
                          <a:ext cx="1440180" cy="1270"/>
                        </a:xfrm>
                        <a:custGeom>
                          <a:avLst/>
                          <a:gdLst/>
                          <a:ahLst/>
                          <a:cxnLst/>
                          <a:rect l="l" t="t" r="r" b="b"/>
                          <a:pathLst>
                            <a:path w="1440180" h="0">
                              <a:moveTo>
                                <a:pt x="0" y="0"/>
                              </a:moveTo>
                              <a:lnTo>
                                <a:pt x="1440002"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5pt;margin-top:6.907851pt;width:113.4pt;height:.1pt;mso-position-horizontal-relative:page;mso-position-vertical-relative:paragraph;z-index:-15676416;mso-wrap-distance-left:0;mso-wrap-distance-right:0" id="docshape105" coordorigin="567,138" coordsize="2268,0" path="m567,138l2835,138e" filled="false" stroked="true" strokeweight=".5pt" strokecolor="#231f20">
                <v:path arrowok="t"/>
                <v:stroke dashstyle="solid"/>
                <w10:wrap type="topAndBottom"/>
              </v:shape>
            </w:pict>
          </mc:Fallback>
        </mc:AlternateContent>
      </w:r>
    </w:p>
    <w:p>
      <w:pPr>
        <w:spacing w:line="203" w:lineRule="exact" w:before="27"/>
        <w:ind w:left="141" w:right="0" w:firstLine="0"/>
        <w:jc w:val="both"/>
        <w:rPr>
          <w:sz w:val="18"/>
        </w:rPr>
      </w:pPr>
      <w:r>
        <w:rPr>
          <w:color w:val="231F20"/>
          <w:sz w:val="18"/>
          <w:vertAlign w:val="superscript"/>
        </w:rPr>
        <w:t>1</w:t>
      </w:r>
      <w:r>
        <w:rPr>
          <w:color w:val="231F20"/>
          <w:spacing w:val="42"/>
          <w:sz w:val="18"/>
          <w:vertAlign w:val="baseline"/>
        </w:rPr>
        <w:t>  </w:t>
      </w:r>
      <w:r>
        <w:rPr>
          <w:color w:val="231F20"/>
          <w:sz w:val="18"/>
          <w:vertAlign w:val="baseline"/>
        </w:rPr>
        <w:t>Можно</w:t>
      </w:r>
      <w:r>
        <w:rPr>
          <w:color w:val="231F20"/>
          <w:spacing w:val="1"/>
          <w:sz w:val="18"/>
          <w:vertAlign w:val="baseline"/>
        </w:rPr>
        <w:t> </w:t>
      </w:r>
      <w:r>
        <w:rPr>
          <w:color w:val="231F20"/>
          <w:sz w:val="18"/>
          <w:vertAlign w:val="baseline"/>
        </w:rPr>
        <w:t>дополнительно</w:t>
      </w:r>
      <w:r>
        <w:rPr>
          <w:color w:val="231F20"/>
          <w:spacing w:val="1"/>
          <w:sz w:val="18"/>
          <w:vertAlign w:val="baseline"/>
        </w:rPr>
        <w:t> </w:t>
      </w:r>
      <w:r>
        <w:rPr>
          <w:color w:val="231F20"/>
          <w:sz w:val="18"/>
          <w:vertAlign w:val="baseline"/>
        </w:rPr>
        <w:t>проиллюстрировать</w:t>
      </w:r>
      <w:r>
        <w:rPr>
          <w:color w:val="231F20"/>
          <w:spacing w:val="1"/>
          <w:sz w:val="18"/>
          <w:vertAlign w:val="baseline"/>
        </w:rPr>
        <w:t> </w:t>
      </w:r>
      <w:r>
        <w:rPr>
          <w:color w:val="231F20"/>
          <w:sz w:val="18"/>
          <w:vertAlign w:val="baseline"/>
        </w:rPr>
        <w:t>данный</w:t>
      </w:r>
      <w:r>
        <w:rPr>
          <w:color w:val="231F20"/>
          <w:spacing w:val="1"/>
          <w:sz w:val="18"/>
          <w:vertAlign w:val="baseline"/>
        </w:rPr>
        <w:t> </w:t>
      </w:r>
      <w:r>
        <w:rPr>
          <w:color w:val="231F20"/>
          <w:sz w:val="18"/>
          <w:vertAlign w:val="baseline"/>
        </w:rPr>
        <w:t>парадокс</w:t>
      </w:r>
      <w:r>
        <w:rPr>
          <w:color w:val="231F20"/>
          <w:spacing w:val="1"/>
          <w:sz w:val="18"/>
          <w:vertAlign w:val="baseline"/>
        </w:rPr>
        <w:t> </w:t>
      </w:r>
      <w:r>
        <w:rPr>
          <w:color w:val="231F20"/>
          <w:sz w:val="18"/>
          <w:vertAlign w:val="baseline"/>
        </w:rPr>
        <w:t>видеоцитатой</w:t>
      </w:r>
      <w:r>
        <w:rPr>
          <w:color w:val="231F20"/>
          <w:spacing w:val="1"/>
          <w:sz w:val="18"/>
          <w:vertAlign w:val="baseline"/>
        </w:rPr>
        <w:t> </w:t>
      </w:r>
      <w:r>
        <w:rPr>
          <w:color w:val="231F20"/>
          <w:sz w:val="18"/>
          <w:vertAlign w:val="baseline"/>
        </w:rPr>
        <w:t>из</w:t>
      </w:r>
      <w:r>
        <w:rPr>
          <w:color w:val="231F20"/>
          <w:spacing w:val="1"/>
          <w:sz w:val="18"/>
          <w:vertAlign w:val="baseline"/>
        </w:rPr>
        <w:t> </w:t>
      </w:r>
      <w:r>
        <w:rPr>
          <w:color w:val="231F20"/>
          <w:spacing w:val="-2"/>
          <w:sz w:val="18"/>
          <w:vertAlign w:val="baseline"/>
        </w:rPr>
        <w:t>телесериала</w:t>
      </w:r>
    </w:p>
    <w:p>
      <w:pPr>
        <w:spacing w:line="232" w:lineRule="auto" w:before="1"/>
        <w:ind w:left="141" w:right="139" w:firstLine="0"/>
        <w:jc w:val="both"/>
        <w:rPr>
          <w:sz w:val="18"/>
        </w:rPr>
      </w:pPr>
      <w:r>
        <w:rPr>
          <w:color w:val="231F20"/>
          <w:sz w:val="18"/>
        </w:rPr>
        <w:t>«Доктор</w:t>
      </w:r>
      <w:r>
        <w:rPr>
          <w:color w:val="231F20"/>
          <w:spacing w:val="-1"/>
          <w:sz w:val="18"/>
        </w:rPr>
        <w:t> </w:t>
      </w:r>
      <w:r>
        <w:rPr>
          <w:color w:val="231F20"/>
          <w:sz w:val="18"/>
        </w:rPr>
        <w:t>Кто»</w:t>
      </w:r>
      <w:r>
        <w:rPr>
          <w:color w:val="231F20"/>
          <w:spacing w:val="-1"/>
          <w:sz w:val="18"/>
        </w:rPr>
        <w:t> </w:t>
      </w:r>
      <w:r>
        <w:rPr>
          <w:color w:val="231F20"/>
          <w:sz w:val="18"/>
        </w:rPr>
        <w:t>(1</w:t>
      </w:r>
      <w:r>
        <w:rPr>
          <w:color w:val="231F20"/>
          <w:spacing w:val="-1"/>
          <w:sz w:val="18"/>
        </w:rPr>
        <w:t> </w:t>
      </w:r>
      <w:r>
        <w:rPr>
          <w:color w:val="231F20"/>
          <w:sz w:val="18"/>
        </w:rPr>
        <w:t>серия</w:t>
      </w:r>
      <w:r>
        <w:rPr>
          <w:color w:val="231F20"/>
          <w:spacing w:val="-1"/>
          <w:sz w:val="18"/>
        </w:rPr>
        <w:t> </w:t>
      </w:r>
      <w:r>
        <w:rPr>
          <w:color w:val="231F20"/>
          <w:sz w:val="18"/>
        </w:rPr>
        <w:t>8</w:t>
      </w:r>
      <w:r>
        <w:rPr>
          <w:color w:val="231F20"/>
          <w:spacing w:val="-1"/>
          <w:sz w:val="18"/>
        </w:rPr>
        <w:t> </w:t>
      </w:r>
      <w:r>
        <w:rPr>
          <w:color w:val="231F20"/>
          <w:sz w:val="18"/>
        </w:rPr>
        <w:t>сезона).</w:t>
      </w:r>
      <w:r>
        <w:rPr>
          <w:color w:val="231F20"/>
          <w:spacing w:val="-1"/>
          <w:sz w:val="18"/>
        </w:rPr>
        <w:t> </w:t>
      </w:r>
      <w:r>
        <w:rPr>
          <w:color w:val="231F20"/>
          <w:sz w:val="18"/>
        </w:rPr>
        <w:t>В</w:t>
      </w:r>
      <w:r>
        <w:rPr>
          <w:color w:val="231F20"/>
          <w:spacing w:val="-1"/>
          <w:sz w:val="18"/>
        </w:rPr>
        <w:t> </w:t>
      </w:r>
      <w:r>
        <w:rPr>
          <w:color w:val="231F20"/>
          <w:sz w:val="18"/>
        </w:rPr>
        <w:t>ней</w:t>
      </w:r>
      <w:r>
        <w:rPr>
          <w:color w:val="231F20"/>
          <w:spacing w:val="-1"/>
          <w:sz w:val="18"/>
        </w:rPr>
        <w:t> </w:t>
      </w:r>
      <w:r>
        <w:rPr>
          <w:color w:val="231F20"/>
          <w:sz w:val="18"/>
        </w:rPr>
        <w:t>герой</w:t>
      </w:r>
      <w:r>
        <w:rPr>
          <w:color w:val="231F20"/>
          <w:spacing w:val="-1"/>
          <w:sz w:val="18"/>
        </w:rPr>
        <w:t> </w:t>
      </w:r>
      <w:r>
        <w:rPr>
          <w:color w:val="231F20"/>
          <w:sz w:val="18"/>
        </w:rPr>
        <w:t>сталкивается</w:t>
      </w:r>
      <w:r>
        <w:rPr>
          <w:color w:val="231F20"/>
          <w:spacing w:val="-1"/>
          <w:sz w:val="18"/>
        </w:rPr>
        <w:t> </w:t>
      </w:r>
      <w:r>
        <w:rPr>
          <w:color w:val="231F20"/>
          <w:sz w:val="18"/>
        </w:rPr>
        <w:t>с</w:t>
      </w:r>
      <w:r>
        <w:rPr>
          <w:color w:val="231F20"/>
          <w:spacing w:val="-1"/>
          <w:sz w:val="18"/>
        </w:rPr>
        <w:t> </w:t>
      </w:r>
      <w:r>
        <w:rPr>
          <w:color w:val="231F20"/>
          <w:sz w:val="18"/>
        </w:rPr>
        <w:t>заводными</w:t>
      </w:r>
      <w:r>
        <w:rPr>
          <w:color w:val="231F20"/>
          <w:spacing w:val="-1"/>
          <w:sz w:val="18"/>
        </w:rPr>
        <w:t> </w:t>
      </w:r>
      <w:r>
        <w:rPr>
          <w:color w:val="231F20"/>
          <w:sz w:val="18"/>
        </w:rPr>
        <w:t>андроидами,</w:t>
      </w:r>
      <w:r>
        <w:rPr>
          <w:color w:val="231F20"/>
          <w:spacing w:val="-1"/>
          <w:sz w:val="18"/>
        </w:rPr>
        <w:t> </w:t>
      </w:r>
      <w:r>
        <w:rPr>
          <w:color w:val="231F20"/>
          <w:sz w:val="18"/>
        </w:rPr>
        <w:t>которые на</w:t>
      </w:r>
      <w:r>
        <w:rPr>
          <w:color w:val="231F20"/>
          <w:spacing w:val="-7"/>
          <w:sz w:val="18"/>
        </w:rPr>
        <w:t> </w:t>
      </w:r>
      <w:r>
        <w:rPr>
          <w:color w:val="231F20"/>
          <w:sz w:val="18"/>
        </w:rPr>
        <w:t>протяжении</w:t>
      </w:r>
      <w:r>
        <w:rPr>
          <w:color w:val="231F20"/>
          <w:spacing w:val="-7"/>
          <w:sz w:val="18"/>
        </w:rPr>
        <w:t> </w:t>
      </w:r>
      <w:r>
        <w:rPr>
          <w:color w:val="231F20"/>
          <w:sz w:val="18"/>
        </w:rPr>
        <w:t>сотен</w:t>
      </w:r>
      <w:r>
        <w:rPr>
          <w:color w:val="231F20"/>
          <w:spacing w:val="-7"/>
          <w:sz w:val="18"/>
        </w:rPr>
        <w:t> </w:t>
      </w:r>
      <w:r>
        <w:rPr>
          <w:color w:val="231F20"/>
          <w:sz w:val="18"/>
        </w:rPr>
        <w:t>лет</w:t>
      </w:r>
      <w:r>
        <w:rPr>
          <w:color w:val="231F20"/>
          <w:spacing w:val="-7"/>
          <w:sz w:val="18"/>
        </w:rPr>
        <w:t> </w:t>
      </w:r>
      <w:r>
        <w:rPr>
          <w:color w:val="231F20"/>
          <w:sz w:val="18"/>
        </w:rPr>
        <w:t>похищали</w:t>
      </w:r>
      <w:r>
        <w:rPr>
          <w:color w:val="231F20"/>
          <w:spacing w:val="-7"/>
          <w:sz w:val="18"/>
        </w:rPr>
        <w:t> </w:t>
      </w:r>
      <w:r>
        <w:rPr>
          <w:color w:val="231F20"/>
          <w:sz w:val="18"/>
        </w:rPr>
        <w:t>людей</w:t>
      </w:r>
      <w:r>
        <w:rPr>
          <w:color w:val="231F20"/>
          <w:spacing w:val="-7"/>
          <w:sz w:val="18"/>
        </w:rPr>
        <w:t> </w:t>
      </w:r>
      <w:r>
        <w:rPr>
          <w:color w:val="231F20"/>
          <w:sz w:val="18"/>
        </w:rPr>
        <w:t>и</w:t>
      </w:r>
      <w:r>
        <w:rPr>
          <w:color w:val="231F20"/>
          <w:spacing w:val="-7"/>
          <w:sz w:val="18"/>
        </w:rPr>
        <w:t> </w:t>
      </w:r>
      <w:r>
        <w:rPr>
          <w:color w:val="231F20"/>
          <w:sz w:val="18"/>
        </w:rPr>
        <w:t>заменяли</w:t>
      </w:r>
      <w:r>
        <w:rPr>
          <w:color w:val="231F20"/>
          <w:spacing w:val="-7"/>
          <w:sz w:val="18"/>
        </w:rPr>
        <w:t> </w:t>
      </w:r>
      <w:r>
        <w:rPr>
          <w:color w:val="231F20"/>
          <w:sz w:val="18"/>
        </w:rPr>
        <w:t>свои</w:t>
      </w:r>
      <w:r>
        <w:rPr>
          <w:color w:val="231F20"/>
          <w:spacing w:val="-7"/>
          <w:sz w:val="18"/>
        </w:rPr>
        <w:t> </w:t>
      </w:r>
      <w:r>
        <w:rPr>
          <w:color w:val="231F20"/>
          <w:sz w:val="18"/>
        </w:rPr>
        <w:t>запчасти</w:t>
      </w:r>
      <w:r>
        <w:rPr>
          <w:color w:val="231F20"/>
          <w:spacing w:val="-7"/>
          <w:sz w:val="18"/>
        </w:rPr>
        <w:t> </w:t>
      </w:r>
      <w:r>
        <w:rPr>
          <w:color w:val="231F20"/>
          <w:sz w:val="18"/>
        </w:rPr>
        <w:t>человеческими</w:t>
      </w:r>
      <w:r>
        <w:rPr>
          <w:color w:val="231F20"/>
          <w:spacing w:val="-7"/>
          <w:sz w:val="18"/>
        </w:rPr>
        <w:t> </w:t>
      </w:r>
      <w:r>
        <w:rPr>
          <w:color w:val="231F20"/>
          <w:sz w:val="18"/>
        </w:rPr>
        <w:t>органами. </w:t>
      </w:r>
      <w:r>
        <w:rPr>
          <w:color w:val="231F20"/>
          <w:spacing w:val="-2"/>
          <w:sz w:val="18"/>
        </w:rPr>
        <w:t>Доктор утверждает, что от настоящих андроидов таким образом уже не осталось следа, проводя </w:t>
      </w:r>
      <w:r>
        <w:rPr>
          <w:color w:val="231F20"/>
          <w:spacing w:val="-4"/>
          <w:sz w:val="18"/>
        </w:rPr>
        <w:t>аналогию с</w:t>
      </w:r>
      <w:r>
        <w:rPr>
          <w:color w:val="231F20"/>
          <w:spacing w:val="-3"/>
          <w:sz w:val="18"/>
        </w:rPr>
        <w:t> </w:t>
      </w:r>
      <w:r>
        <w:rPr>
          <w:color w:val="231F20"/>
          <w:spacing w:val="-4"/>
          <w:sz w:val="18"/>
        </w:rPr>
        <w:t>метлой:</w:t>
      </w:r>
      <w:r>
        <w:rPr>
          <w:color w:val="231F20"/>
          <w:spacing w:val="-3"/>
          <w:sz w:val="18"/>
        </w:rPr>
        <w:t> </w:t>
      </w:r>
      <w:r>
        <w:rPr>
          <w:color w:val="231F20"/>
          <w:spacing w:val="-4"/>
          <w:sz w:val="18"/>
        </w:rPr>
        <w:t>если</w:t>
      </w:r>
      <w:r>
        <w:rPr>
          <w:color w:val="231F20"/>
          <w:spacing w:val="-3"/>
          <w:sz w:val="18"/>
        </w:rPr>
        <w:t> </w:t>
      </w:r>
      <w:r>
        <w:rPr>
          <w:color w:val="231F20"/>
          <w:spacing w:val="-4"/>
          <w:sz w:val="18"/>
        </w:rPr>
        <w:t>снова</w:t>
      </w:r>
      <w:r>
        <w:rPr>
          <w:color w:val="231F20"/>
          <w:spacing w:val="-3"/>
          <w:sz w:val="18"/>
        </w:rPr>
        <w:t> </w:t>
      </w:r>
      <w:r>
        <w:rPr>
          <w:color w:val="231F20"/>
          <w:spacing w:val="-4"/>
          <w:sz w:val="18"/>
        </w:rPr>
        <w:t>и снова</w:t>
      </w:r>
      <w:r>
        <w:rPr>
          <w:color w:val="231F20"/>
          <w:spacing w:val="-3"/>
          <w:sz w:val="18"/>
        </w:rPr>
        <w:t> </w:t>
      </w:r>
      <w:r>
        <w:rPr>
          <w:color w:val="231F20"/>
          <w:spacing w:val="-4"/>
          <w:sz w:val="18"/>
        </w:rPr>
        <w:t>заменять</w:t>
      </w:r>
      <w:r>
        <w:rPr>
          <w:color w:val="231F20"/>
          <w:spacing w:val="-3"/>
          <w:sz w:val="18"/>
        </w:rPr>
        <w:t> </w:t>
      </w:r>
      <w:r>
        <w:rPr>
          <w:color w:val="231F20"/>
          <w:spacing w:val="-4"/>
          <w:sz w:val="18"/>
        </w:rPr>
        <w:t>черенок</w:t>
      </w:r>
      <w:r>
        <w:rPr>
          <w:color w:val="231F20"/>
          <w:spacing w:val="-3"/>
          <w:sz w:val="18"/>
        </w:rPr>
        <w:t> </w:t>
      </w:r>
      <w:r>
        <w:rPr>
          <w:color w:val="231F20"/>
          <w:spacing w:val="-4"/>
          <w:sz w:val="18"/>
        </w:rPr>
        <w:t>и</w:t>
      </w:r>
      <w:r>
        <w:rPr>
          <w:color w:val="231F20"/>
          <w:spacing w:val="-3"/>
          <w:sz w:val="18"/>
        </w:rPr>
        <w:t> </w:t>
      </w:r>
      <w:r>
        <w:rPr>
          <w:color w:val="231F20"/>
          <w:spacing w:val="-4"/>
          <w:sz w:val="18"/>
        </w:rPr>
        <w:t>щётку,</w:t>
      </w:r>
      <w:r>
        <w:rPr>
          <w:color w:val="231F20"/>
          <w:spacing w:val="-3"/>
          <w:sz w:val="18"/>
        </w:rPr>
        <w:t> </w:t>
      </w:r>
      <w:r>
        <w:rPr>
          <w:color w:val="231F20"/>
          <w:spacing w:val="-4"/>
          <w:sz w:val="18"/>
        </w:rPr>
        <w:t>будет ли</w:t>
      </w:r>
      <w:r>
        <w:rPr>
          <w:color w:val="231F20"/>
          <w:spacing w:val="-3"/>
          <w:sz w:val="18"/>
        </w:rPr>
        <w:t> </w:t>
      </w:r>
      <w:r>
        <w:rPr>
          <w:color w:val="231F20"/>
          <w:spacing w:val="-4"/>
          <w:sz w:val="18"/>
        </w:rPr>
        <w:t>это</w:t>
      </w:r>
      <w:r>
        <w:rPr>
          <w:color w:val="231F20"/>
          <w:spacing w:val="-3"/>
          <w:sz w:val="18"/>
        </w:rPr>
        <w:t> </w:t>
      </w:r>
      <w:r>
        <w:rPr>
          <w:color w:val="231F20"/>
          <w:spacing w:val="-4"/>
          <w:sz w:val="18"/>
        </w:rPr>
        <w:t>та</w:t>
      </w:r>
      <w:r>
        <w:rPr>
          <w:color w:val="231F20"/>
          <w:spacing w:val="-3"/>
          <w:sz w:val="18"/>
        </w:rPr>
        <w:t> </w:t>
      </w:r>
      <w:r>
        <w:rPr>
          <w:color w:val="231F20"/>
          <w:spacing w:val="-4"/>
          <w:sz w:val="18"/>
        </w:rPr>
        <w:t>же</w:t>
      </w:r>
      <w:r>
        <w:rPr>
          <w:color w:val="231F20"/>
          <w:spacing w:val="-3"/>
          <w:sz w:val="18"/>
        </w:rPr>
        <w:t> </w:t>
      </w:r>
      <w:r>
        <w:rPr>
          <w:color w:val="231F20"/>
          <w:spacing w:val="-4"/>
          <w:sz w:val="18"/>
        </w:rPr>
        <w:t>самая метла?</w:t>
      </w:r>
    </w:p>
    <w:p>
      <w:pPr>
        <w:spacing w:after="0" w:line="232" w:lineRule="auto"/>
        <w:jc w:val="both"/>
        <w:rPr>
          <w:sz w:val="18"/>
        </w:rPr>
        <w:sectPr>
          <w:pgSz w:w="8400" w:h="11910"/>
          <w:pgMar w:header="0" w:footer="530"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ind w:left="0" w:right="0" w:firstLine="0"/>
        <w:jc w:val="left"/>
        <w:rPr>
          <w:rFonts w:ascii="Georgia"/>
          <w:sz w:val="12"/>
        </w:rPr>
      </w:pPr>
      <w:r>
        <w:rPr>
          <w:rFonts w:ascii="Georgia"/>
          <w:sz w:val="12"/>
        </w:rPr>
        <w:drawing>
          <wp:anchor distT="0" distB="0" distL="0" distR="0" allowOverlap="1" layoutInCell="1" locked="0" behindDoc="1" simplePos="0" relativeHeight="487640576">
            <wp:simplePos x="0" y="0"/>
            <wp:positionH relativeFrom="page">
              <wp:posOffset>360000</wp:posOffset>
            </wp:positionH>
            <wp:positionV relativeFrom="paragraph">
              <wp:posOffset>101829</wp:posOffset>
            </wp:positionV>
            <wp:extent cx="2434334" cy="1194815"/>
            <wp:effectExtent l="0" t="0" r="0" b="0"/>
            <wp:wrapTopAndBottom/>
            <wp:docPr id="166" name="Image 166"/>
            <wp:cNvGraphicFramePr>
              <a:graphicFrameLocks/>
            </wp:cNvGraphicFramePr>
            <a:graphic>
              <a:graphicData uri="http://schemas.openxmlformats.org/drawingml/2006/picture">
                <pic:pic>
                  <pic:nvPicPr>
                    <pic:cNvPr id="166" name="Image 166"/>
                    <pic:cNvPicPr/>
                  </pic:nvPicPr>
                  <pic:blipFill>
                    <a:blip r:embed="rId233" cstate="print"/>
                    <a:stretch>
                      <a:fillRect/>
                    </a:stretch>
                  </pic:blipFill>
                  <pic:spPr>
                    <a:xfrm>
                      <a:off x="0" y="0"/>
                      <a:ext cx="2434334" cy="1194815"/>
                    </a:xfrm>
                    <a:prstGeom prst="rect">
                      <a:avLst/>
                    </a:prstGeom>
                  </pic:spPr>
                </pic:pic>
              </a:graphicData>
            </a:graphic>
          </wp:anchor>
        </w:drawing>
      </w:r>
      <w:r>
        <w:rPr>
          <w:rFonts w:ascii="Georgia"/>
          <w:sz w:val="12"/>
        </w:rPr>
        <w:drawing>
          <wp:anchor distT="0" distB="0" distL="0" distR="0" allowOverlap="1" layoutInCell="1" locked="0" behindDoc="1" simplePos="0" relativeHeight="487641088">
            <wp:simplePos x="0" y="0"/>
            <wp:positionH relativeFrom="page">
              <wp:posOffset>2844000</wp:posOffset>
            </wp:positionH>
            <wp:positionV relativeFrom="paragraph">
              <wp:posOffset>101829</wp:posOffset>
            </wp:positionV>
            <wp:extent cx="2114930" cy="1185290"/>
            <wp:effectExtent l="0" t="0" r="0" b="0"/>
            <wp:wrapTopAndBottom/>
            <wp:docPr id="167" name="Image 167"/>
            <wp:cNvGraphicFramePr>
              <a:graphicFrameLocks/>
            </wp:cNvGraphicFramePr>
            <a:graphic>
              <a:graphicData uri="http://schemas.openxmlformats.org/drawingml/2006/picture">
                <pic:pic>
                  <pic:nvPicPr>
                    <pic:cNvPr id="167" name="Image 167"/>
                    <pic:cNvPicPr/>
                  </pic:nvPicPr>
                  <pic:blipFill>
                    <a:blip r:embed="rId234" cstate="print"/>
                    <a:stretch>
                      <a:fillRect/>
                    </a:stretch>
                  </pic:blipFill>
                  <pic:spPr>
                    <a:xfrm>
                      <a:off x="0" y="0"/>
                      <a:ext cx="2114930" cy="1185290"/>
                    </a:xfrm>
                    <a:prstGeom prst="rect">
                      <a:avLst/>
                    </a:prstGeom>
                  </pic:spPr>
                </pic:pic>
              </a:graphicData>
            </a:graphic>
          </wp:anchor>
        </w:drawing>
      </w:r>
    </w:p>
    <w:p>
      <w:pPr>
        <w:tabs>
          <w:tab w:pos="3887" w:val="left" w:leader="none"/>
        </w:tabs>
        <w:spacing w:before="6"/>
        <w:ind w:left="151" w:right="0" w:firstLine="0"/>
        <w:jc w:val="center"/>
        <w:rPr>
          <w:i/>
          <w:sz w:val="18"/>
        </w:rPr>
      </w:pPr>
      <w:r>
        <w:rPr>
          <w:i/>
          <w:sz w:val="18"/>
        </w:rPr>
        <w:t>Рис</w:t>
      </w:r>
      <w:r>
        <w:rPr>
          <w:i/>
          <w:spacing w:val="1"/>
          <w:sz w:val="18"/>
        </w:rPr>
        <w:t> </w:t>
      </w:r>
      <w:r>
        <w:rPr>
          <w:i/>
          <w:sz w:val="18"/>
        </w:rPr>
        <w:t>1.</w:t>
      </w:r>
      <w:r>
        <w:rPr>
          <w:i/>
          <w:spacing w:val="1"/>
          <w:sz w:val="18"/>
        </w:rPr>
        <w:t> </w:t>
      </w:r>
      <w:r>
        <w:rPr>
          <w:i/>
          <w:sz w:val="18"/>
        </w:rPr>
        <w:t>«Старый»</w:t>
      </w:r>
      <w:r>
        <w:rPr>
          <w:i/>
          <w:spacing w:val="2"/>
          <w:sz w:val="18"/>
        </w:rPr>
        <w:t> </w:t>
      </w:r>
      <w:r>
        <w:rPr>
          <w:i/>
          <w:sz w:val="18"/>
        </w:rPr>
        <w:t>Фиат-</w:t>
      </w:r>
      <w:r>
        <w:rPr>
          <w:i/>
          <w:spacing w:val="-5"/>
          <w:sz w:val="18"/>
        </w:rPr>
        <w:t>500</w:t>
      </w:r>
      <w:r>
        <w:rPr>
          <w:i/>
          <w:sz w:val="18"/>
        </w:rPr>
        <w:tab/>
        <w:t>Рис</w:t>
      </w:r>
      <w:r>
        <w:rPr>
          <w:i/>
          <w:spacing w:val="-2"/>
          <w:sz w:val="18"/>
        </w:rPr>
        <w:t> </w:t>
      </w:r>
      <w:r>
        <w:rPr>
          <w:i/>
          <w:sz w:val="18"/>
        </w:rPr>
        <w:t>2. «Новый» Фиат-</w:t>
      </w:r>
      <w:r>
        <w:rPr>
          <w:i/>
          <w:spacing w:val="-5"/>
          <w:sz w:val="18"/>
        </w:rPr>
        <w:t>500</w:t>
      </w:r>
    </w:p>
    <w:p>
      <w:pPr>
        <w:pStyle w:val="BodyText"/>
        <w:spacing w:line="235" w:lineRule="auto" w:before="118"/>
      </w:pPr>
      <w:r>
        <w:rPr/>
        <w:t>Психолог делит группу на пары и предлагает поделиться друг с другом своим мнением: что позволяет остаться самими собой, что в человеке неизменно несмотря ни на что. В другом варианте можно предложить сделать рисунок на данную тему и затем устроить выставку.</w:t>
      </w:r>
    </w:p>
    <w:p>
      <w:pPr>
        <w:pStyle w:val="BodyText"/>
        <w:spacing w:line="235" w:lineRule="auto" w:before="2"/>
      </w:pPr>
      <w:r>
        <w:rPr/>
        <w:t>Во время обсуждения нужно сфокусироваться на том, что помогает участникам сохранить ощущение себя. Особое внимание следует уделить учащимся с миграци- онным опытом.</w:t>
      </w:r>
    </w:p>
    <w:p>
      <w:pPr>
        <w:spacing w:line="228" w:lineRule="exact" w:before="112"/>
        <w:ind w:left="5838" w:right="301" w:firstLine="0"/>
        <w:jc w:val="center"/>
        <w:rPr>
          <w:b/>
          <w:i/>
          <w:sz w:val="20"/>
        </w:rPr>
      </w:pPr>
      <w:r>
        <w:rPr>
          <w:b/>
          <w:i/>
          <w:spacing w:val="-2"/>
          <w:sz w:val="20"/>
        </w:rPr>
        <w:t>Приложение</w:t>
      </w:r>
    </w:p>
    <w:p>
      <w:pPr>
        <w:spacing w:line="228" w:lineRule="exact" w:before="0"/>
        <w:ind w:left="303" w:right="303" w:firstLine="0"/>
        <w:jc w:val="center"/>
        <w:rPr>
          <w:b/>
          <w:i/>
          <w:sz w:val="20"/>
        </w:rPr>
      </w:pPr>
      <w:r>
        <w:rPr>
          <w:b/>
          <w:color w:val="231F20"/>
          <w:sz w:val="20"/>
        </w:rPr>
        <w:t>«</w:t>
      </w:r>
      <w:r>
        <w:rPr>
          <w:b/>
          <w:i/>
          <w:color w:val="231F20"/>
          <w:sz w:val="20"/>
        </w:rPr>
        <w:t>Парадокс</w:t>
      </w:r>
      <w:r>
        <w:rPr>
          <w:b/>
          <w:i/>
          <w:color w:val="231F20"/>
          <w:spacing w:val="-12"/>
          <w:sz w:val="20"/>
        </w:rPr>
        <w:t> </w:t>
      </w:r>
      <w:r>
        <w:rPr>
          <w:b/>
          <w:i/>
          <w:color w:val="231F20"/>
          <w:sz w:val="20"/>
        </w:rPr>
        <w:t>корабля</w:t>
      </w:r>
      <w:r>
        <w:rPr>
          <w:b/>
          <w:i/>
          <w:color w:val="231F20"/>
          <w:spacing w:val="-11"/>
          <w:sz w:val="20"/>
        </w:rPr>
        <w:t> </w:t>
      </w:r>
      <w:r>
        <w:rPr>
          <w:b/>
          <w:i/>
          <w:color w:val="231F20"/>
          <w:spacing w:val="-2"/>
          <w:sz w:val="20"/>
        </w:rPr>
        <w:t>Тесея»</w:t>
      </w:r>
    </w:p>
    <w:p>
      <w:pPr>
        <w:spacing w:line="235" w:lineRule="auto" w:before="56"/>
        <w:ind w:left="425" w:right="423" w:firstLine="283"/>
        <w:jc w:val="both"/>
        <w:rPr>
          <w:i/>
          <w:sz w:val="20"/>
        </w:rPr>
      </w:pPr>
      <w:r>
        <w:rPr>
          <w:i/>
          <w:color w:val="231F20"/>
          <w:sz w:val="20"/>
        </w:rPr>
        <w:t>Согласно греческой легенде, Тесей, мифический царь – основатель грече- ской столицы Афины и победитель Минотавра, вернулся из морского похода на старинном деревянном корабле с тридцатью веслами.</w:t>
      </w:r>
    </w:p>
    <w:p>
      <w:pPr>
        <w:spacing w:line="235" w:lineRule="auto" w:before="2"/>
        <w:ind w:left="425" w:right="422" w:firstLine="283"/>
        <w:jc w:val="both"/>
        <w:rPr>
          <w:i/>
          <w:sz w:val="20"/>
        </w:rPr>
      </w:pPr>
      <w:r>
        <w:rPr>
          <w:i/>
          <w:color w:val="231F20"/>
          <w:sz w:val="20"/>
        </w:rPr>
        <w:t>Его корабль стал священным для афинян. Каждый год его использовали для священного посольства на остров </w:t>
      </w:r>
      <w:hyperlink r:id="rId235">
        <w:r>
          <w:rPr>
            <w:i/>
            <w:color w:val="231F20"/>
            <w:sz w:val="20"/>
          </w:rPr>
          <w:t>Делос</w:t>
        </w:r>
      </w:hyperlink>
      <w:r>
        <w:rPr>
          <w:i/>
          <w:color w:val="231F20"/>
          <w:sz w:val="20"/>
        </w:rPr>
        <w:t>. Перед каждым плаванием ко- рабль чинили, заменяя часть досок. В результате спустя некоторое время были заменены почти все части корабля. Из-за этого среди древнегреческих философов возник спор, всё ли это еще тот корабль или уже другой, новый</w:t>
      </w:r>
    </w:p>
    <w:p>
      <w:pPr>
        <w:spacing w:line="235" w:lineRule="auto" w:before="3"/>
        <w:ind w:left="425" w:right="423" w:firstLine="283"/>
        <w:jc w:val="both"/>
        <w:rPr>
          <w:i/>
          <w:sz w:val="20"/>
        </w:rPr>
      </w:pPr>
      <w:r>
        <w:rPr>
          <w:i/>
          <w:color w:val="231F20"/>
          <w:sz w:val="20"/>
        </w:rPr>
        <w:t>Одни говорили: да, это все тот же корабль! Другие: нет, это уже новый корабль, не имеющий отношения к прежнему.</w:t>
      </w:r>
    </w:p>
    <w:p>
      <w:pPr>
        <w:spacing w:after="0" w:line="235" w:lineRule="auto"/>
        <w:jc w:val="both"/>
        <w:rPr>
          <w:i/>
          <w:sz w:val="20"/>
        </w:rPr>
        <w:sectPr>
          <w:pgSz w:w="8400" w:h="11910"/>
          <w:pgMar w:header="0" w:footer="530" w:top="400" w:bottom="740" w:left="425" w:right="425"/>
        </w:sectPr>
      </w:pPr>
    </w:p>
    <w:p>
      <w:pPr>
        <w:spacing w:before="80"/>
        <w:ind w:left="141" w:right="0" w:firstLine="0"/>
        <w:jc w:val="left"/>
        <w:rPr>
          <w:rFonts w:ascii="Georgia" w:hAnsi="Georgia"/>
          <w:sz w:val="18"/>
        </w:rPr>
      </w:pPr>
      <w:bookmarkStart w:name="_bookmark91" w:id="93"/>
      <w:bookmarkEnd w:id="93"/>
      <w:r>
        <w:rPr/>
      </w:r>
      <w:r>
        <w:rPr>
          <w:rFonts w:ascii="Georgia" w:hAnsi="Georgia"/>
          <w:color w:val="231F20"/>
          <w:sz w:val="18"/>
        </w:rPr>
        <w:t>4.1.</w:t>
      </w:r>
      <w:r>
        <w:rPr>
          <w:rFonts w:ascii="Georgia" w:hAnsi="Georgia"/>
          <w:color w:val="231F20"/>
          <w:spacing w:val="11"/>
          <w:sz w:val="18"/>
        </w:rPr>
        <w:t> </w:t>
      </w:r>
      <w:r>
        <w:rPr>
          <w:rFonts w:ascii="Georgia" w:hAnsi="Georgia"/>
          <w:color w:val="231F20"/>
          <w:sz w:val="18"/>
        </w:rPr>
        <w:t>Активности</w:t>
      </w:r>
      <w:r>
        <w:rPr>
          <w:rFonts w:ascii="Georgia" w:hAnsi="Georgia"/>
          <w:color w:val="231F20"/>
          <w:spacing w:val="12"/>
          <w:sz w:val="18"/>
        </w:rPr>
        <w:t> </w:t>
      </w:r>
      <w:r>
        <w:rPr>
          <w:rFonts w:ascii="Georgia" w:hAnsi="Georgia"/>
          <w:color w:val="231F20"/>
          <w:sz w:val="18"/>
        </w:rPr>
        <w:t>межкультурного</w:t>
      </w:r>
      <w:r>
        <w:rPr>
          <w:rFonts w:ascii="Georgia" w:hAnsi="Georgia"/>
          <w:color w:val="231F20"/>
          <w:spacing w:val="12"/>
          <w:sz w:val="18"/>
        </w:rPr>
        <w:t> </w:t>
      </w:r>
      <w:r>
        <w:rPr>
          <w:rFonts w:ascii="Georgia" w:hAnsi="Georgia"/>
          <w:color w:val="231F20"/>
          <w:sz w:val="18"/>
        </w:rPr>
        <w:t>тренинга</w:t>
      </w:r>
      <w:r>
        <w:rPr>
          <w:rFonts w:ascii="Georgia" w:hAnsi="Georgia"/>
          <w:color w:val="231F20"/>
          <w:spacing w:val="11"/>
          <w:sz w:val="18"/>
        </w:rPr>
        <w:t> </w:t>
      </w:r>
      <w:r>
        <w:rPr>
          <w:rFonts w:ascii="Georgia" w:hAnsi="Georgia"/>
          <w:color w:val="231F20"/>
          <w:sz w:val="18"/>
        </w:rPr>
        <w:t>для</w:t>
      </w:r>
      <w:r>
        <w:rPr>
          <w:rFonts w:ascii="Georgia" w:hAnsi="Georgia"/>
          <w:color w:val="231F20"/>
          <w:spacing w:val="12"/>
          <w:sz w:val="18"/>
        </w:rPr>
        <w:t> </w:t>
      </w:r>
      <w:r>
        <w:rPr>
          <w:rFonts w:ascii="Georgia" w:hAnsi="Georgia"/>
          <w:color w:val="231F20"/>
          <w:sz w:val="18"/>
        </w:rPr>
        <w:t>поликультурного</w:t>
      </w:r>
      <w:r>
        <w:rPr>
          <w:rFonts w:ascii="Georgia" w:hAnsi="Georgia"/>
          <w:color w:val="231F20"/>
          <w:spacing w:val="12"/>
          <w:sz w:val="18"/>
        </w:rPr>
        <w:t> </w:t>
      </w:r>
      <w:r>
        <w:rPr>
          <w:rFonts w:ascii="Georgia" w:hAnsi="Georgia"/>
          <w:color w:val="231F20"/>
          <w:spacing w:val="-2"/>
          <w:sz w:val="18"/>
        </w:rPr>
        <w:t>класса</w:t>
      </w:r>
    </w:p>
    <w:p>
      <w:pPr>
        <w:numPr>
          <w:ilvl w:val="2"/>
          <w:numId w:val="264"/>
        </w:numPr>
        <w:tabs>
          <w:tab w:pos="2732" w:val="left" w:leader="none"/>
        </w:tabs>
        <w:spacing w:line="235" w:lineRule="auto" w:before="113"/>
        <w:ind w:left="1874" w:right="1872" w:firstLine="358"/>
        <w:jc w:val="left"/>
        <w:rPr>
          <w:b/>
          <w:sz w:val="20"/>
        </w:rPr>
      </w:pPr>
      <w:r>
        <w:rPr>
          <w:b/>
          <w:color w:val="231F20"/>
          <w:sz w:val="20"/>
        </w:rPr>
        <w:t>Тематические активности 3. </w:t>
      </w:r>
      <w:r>
        <w:rPr>
          <w:b/>
          <w:color w:val="231F20"/>
          <w:spacing w:val="-2"/>
          <w:sz w:val="20"/>
        </w:rPr>
        <w:t>Успешная</w:t>
      </w:r>
      <w:r>
        <w:rPr>
          <w:b/>
          <w:color w:val="231F20"/>
          <w:spacing w:val="-6"/>
          <w:sz w:val="20"/>
        </w:rPr>
        <w:t> </w:t>
      </w:r>
      <w:r>
        <w:rPr>
          <w:b/>
          <w:color w:val="231F20"/>
          <w:spacing w:val="-2"/>
          <w:sz w:val="20"/>
        </w:rPr>
        <w:t>межкультурная</w:t>
      </w:r>
      <w:r>
        <w:rPr>
          <w:b/>
          <w:color w:val="231F20"/>
          <w:spacing w:val="-6"/>
          <w:sz w:val="20"/>
        </w:rPr>
        <w:t> </w:t>
      </w:r>
      <w:r>
        <w:rPr>
          <w:b/>
          <w:color w:val="231F20"/>
          <w:spacing w:val="-2"/>
          <w:sz w:val="20"/>
        </w:rPr>
        <w:t>коммуникация</w:t>
      </w:r>
    </w:p>
    <w:p>
      <w:pPr>
        <w:spacing w:before="110"/>
        <w:ind w:left="3419" w:right="0" w:firstLine="0"/>
        <w:jc w:val="left"/>
        <w:rPr>
          <w:b/>
          <w:sz w:val="20"/>
        </w:rPr>
      </w:pPr>
      <w:r>
        <w:rPr>
          <w:b/>
          <w:spacing w:val="-2"/>
          <w:sz w:val="20"/>
        </w:rPr>
        <w:t>«Гость»</w:t>
      </w:r>
    </w:p>
    <w:p>
      <w:pPr>
        <w:spacing w:line="235" w:lineRule="auto" w:before="114"/>
        <w:ind w:left="3689" w:right="0" w:firstLine="585"/>
        <w:jc w:val="left"/>
        <w:rPr>
          <w:i/>
          <w:sz w:val="20"/>
        </w:rPr>
      </w:pPr>
      <w:r>
        <w:rPr>
          <w:b/>
          <w:i/>
          <w:sz w:val="20"/>
        </w:rPr>
        <w:t>Источник:</w:t>
      </w:r>
      <w:r>
        <w:rPr>
          <w:b/>
          <w:i/>
          <w:spacing w:val="-13"/>
          <w:sz w:val="20"/>
        </w:rPr>
        <w:t> </w:t>
      </w:r>
      <w:r>
        <w:rPr>
          <w:i/>
          <w:sz w:val="20"/>
        </w:rPr>
        <w:t>Interkulturelle</w:t>
      </w:r>
      <w:r>
        <w:rPr>
          <w:i/>
          <w:spacing w:val="-12"/>
          <w:sz w:val="20"/>
        </w:rPr>
        <w:t> </w:t>
      </w:r>
      <w:r>
        <w:rPr>
          <w:i/>
          <w:sz w:val="20"/>
        </w:rPr>
        <w:t>Kompetenz </w:t>
      </w:r>
      <w:r>
        <w:rPr>
          <w:i/>
          <w:spacing w:val="-2"/>
          <w:sz w:val="20"/>
        </w:rPr>
        <w:t>fuer</w:t>
      </w:r>
      <w:r>
        <w:rPr>
          <w:i/>
          <w:spacing w:val="1"/>
          <w:sz w:val="20"/>
        </w:rPr>
        <w:t> </w:t>
      </w:r>
      <w:r>
        <w:rPr>
          <w:i/>
          <w:spacing w:val="-2"/>
          <w:sz w:val="20"/>
        </w:rPr>
        <w:t>Grundschullehrer.</w:t>
      </w:r>
      <w:r>
        <w:rPr>
          <w:i/>
          <w:spacing w:val="3"/>
          <w:sz w:val="20"/>
        </w:rPr>
        <w:t> </w:t>
      </w:r>
      <w:r>
        <w:rPr>
          <w:i/>
          <w:spacing w:val="-2"/>
          <w:sz w:val="20"/>
        </w:rPr>
        <w:t>Handbuch.</w:t>
      </w:r>
      <w:r>
        <w:rPr>
          <w:i/>
          <w:spacing w:val="2"/>
          <w:sz w:val="20"/>
        </w:rPr>
        <w:t> </w:t>
      </w:r>
      <w:r>
        <w:rPr>
          <w:i/>
          <w:spacing w:val="-2"/>
          <w:sz w:val="20"/>
        </w:rPr>
        <w:t>Sofia,</w:t>
      </w:r>
      <w:r>
        <w:rPr>
          <w:i/>
          <w:spacing w:val="3"/>
          <w:sz w:val="20"/>
        </w:rPr>
        <w:t> </w:t>
      </w:r>
      <w:r>
        <w:rPr>
          <w:i/>
          <w:spacing w:val="-4"/>
          <w:sz w:val="20"/>
        </w:rPr>
        <w:t>2006</w:t>
      </w:r>
    </w:p>
    <w:p>
      <w:pPr>
        <w:spacing w:before="110"/>
        <w:ind w:left="425" w:right="0" w:firstLine="0"/>
        <w:jc w:val="left"/>
        <w:rPr>
          <w:b/>
          <w:sz w:val="20"/>
        </w:rPr>
      </w:pPr>
      <w:r>
        <w:rPr>
          <w:b/>
          <w:spacing w:val="-2"/>
          <w:sz w:val="20"/>
        </w:rPr>
        <w:t>Инструкция</w:t>
      </w:r>
    </w:p>
    <w:p>
      <w:pPr>
        <w:spacing w:line="247" w:lineRule="auto" w:before="6"/>
        <w:ind w:left="141" w:right="139" w:firstLine="283"/>
        <w:jc w:val="both"/>
        <w:rPr>
          <w:i/>
          <w:sz w:val="19"/>
        </w:rPr>
      </w:pPr>
      <w:r>
        <w:rPr>
          <w:i/>
          <w:w w:val="105"/>
          <w:sz w:val="19"/>
        </w:rPr>
        <w:t>–</w:t>
      </w:r>
      <w:r>
        <w:rPr>
          <w:i/>
          <w:spacing w:val="-3"/>
          <w:w w:val="105"/>
          <w:sz w:val="19"/>
        </w:rPr>
        <w:t> </w:t>
      </w:r>
      <w:r>
        <w:rPr>
          <w:i/>
          <w:w w:val="105"/>
          <w:sz w:val="19"/>
        </w:rPr>
        <w:t>Представьте</w:t>
      </w:r>
      <w:r>
        <w:rPr>
          <w:i/>
          <w:spacing w:val="-3"/>
          <w:w w:val="105"/>
          <w:sz w:val="19"/>
        </w:rPr>
        <w:t> </w:t>
      </w:r>
      <w:r>
        <w:rPr>
          <w:i/>
          <w:w w:val="105"/>
          <w:sz w:val="19"/>
        </w:rPr>
        <w:t>себе,</w:t>
      </w:r>
      <w:r>
        <w:rPr>
          <w:i/>
          <w:spacing w:val="-3"/>
          <w:w w:val="105"/>
          <w:sz w:val="19"/>
        </w:rPr>
        <w:t> </w:t>
      </w:r>
      <w:r>
        <w:rPr>
          <w:i/>
          <w:w w:val="105"/>
          <w:sz w:val="19"/>
        </w:rPr>
        <w:t>что</w:t>
      </w:r>
      <w:r>
        <w:rPr>
          <w:i/>
          <w:spacing w:val="-3"/>
          <w:w w:val="105"/>
          <w:sz w:val="19"/>
        </w:rPr>
        <w:t> </w:t>
      </w:r>
      <w:r>
        <w:rPr>
          <w:i/>
          <w:w w:val="105"/>
          <w:sz w:val="19"/>
        </w:rPr>
        <w:t>вы</w:t>
      </w:r>
      <w:r>
        <w:rPr>
          <w:i/>
          <w:spacing w:val="-3"/>
          <w:w w:val="105"/>
          <w:sz w:val="19"/>
        </w:rPr>
        <w:t> </w:t>
      </w:r>
      <w:r>
        <w:rPr>
          <w:i/>
          <w:w w:val="105"/>
          <w:sz w:val="19"/>
        </w:rPr>
        <w:t>все</w:t>
      </w:r>
      <w:r>
        <w:rPr>
          <w:i/>
          <w:spacing w:val="-3"/>
          <w:w w:val="105"/>
          <w:sz w:val="19"/>
        </w:rPr>
        <w:t> </w:t>
      </w:r>
      <w:r>
        <w:rPr>
          <w:i/>
          <w:w w:val="105"/>
          <w:sz w:val="19"/>
        </w:rPr>
        <w:t>–</w:t>
      </w:r>
      <w:r>
        <w:rPr>
          <w:i/>
          <w:spacing w:val="-3"/>
          <w:w w:val="105"/>
          <w:sz w:val="19"/>
        </w:rPr>
        <w:t> </w:t>
      </w:r>
      <w:r>
        <w:rPr>
          <w:i/>
          <w:w w:val="105"/>
          <w:sz w:val="19"/>
        </w:rPr>
        <w:t>жители</w:t>
      </w:r>
      <w:r>
        <w:rPr>
          <w:i/>
          <w:spacing w:val="-3"/>
          <w:w w:val="105"/>
          <w:sz w:val="19"/>
        </w:rPr>
        <w:t> </w:t>
      </w:r>
      <w:r>
        <w:rPr>
          <w:i/>
          <w:w w:val="105"/>
          <w:sz w:val="19"/>
        </w:rPr>
        <w:t>разных</w:t>
      </w:r>
      <w:r>
        <w:rPr>
          <w:i/>
          <w:spacing w:val="-3"/>
          <w:w w:val="105"/>
          <w:sz w:val="19"/>
        </w:rPr>
        <w:t> </w:t>
      </w:r>
      <w:r>
        <w:rPr>
          <w:i/>
          <w:w w:val="105"/>
          <w:sz w:val="19"/>
        </w:rPr>
        <w:t>стран.</w:t>
      </w:r>
      <w:r>
        <w:rPr>
          <w:i/>
          <w:spacing w:val="-3"/>
          <w:w w:val="105"/>
          <w:sz w:val="19"/>
        </w:rPr>
        <w:t> </w:t>
      </w:r>
      <w:r>
        <w:rPr>
          <w:i/>
          <w:w w:val="105"/>
          <w:sz w:val="19"/>
        </w:rPr>
        <w:t>В</w:t>
      </w:r>
      <w:r>
        <w:rPr>
          <w:i/>
          <w:spacing w:val="-3"/>
          <w:w w:val="105"/>
          <w:sz w:val="19"/>
        </w:rPr>
        <w:t> </w:t>
      </w:r>
      <w:r>
        <w:rPr>
          <w:i/>
          <w:w w:val="105"/>
          <w:sz w:val="19"/>
        </w:rPr>
        <w:t>каждой</w:t>
      </w:r>
      <w:r>
        <w:rPr>
          <w:i/>
          <w:spacing w:val="-3"/>
          <w:w w:val="105"/>
          <w:sz w:val="19"/>
        </w:rPr>
        <w:t> </w:t>
      </w:r>
      <w:r>
        <w:rPr>
          <w:i/>
          <w:w w:val="105"/>
          <w:sz w:val="19"/>
        </w:rPr>
        <w:t>стране</w:t>
      </w:r>
      <w:r>
        <w:rPr>
          <w:i/>
          <w:spacing w:val="-3"/>
          <w:w w:val="105"/>
          <w:sz w:val="19"/>
        </w:rPr>
        <w:t> </w:t>
      </w:r>
      <w:r>
        <w:rPr>
          <w:i/>
          <w:w w:val="105"/>
          <w:sz w:val="19"/>
        </w:rPr>
        <w:t>есть какая-то главная ценность, которая наиболее полно характеризует ее культуру. К вам собирается приехать человек из другой страны. Проблема заключается в том, что</w:t>
      </w:r>
      <w:r>
        <w:rPr>
          <w:i/>
          <w:spacing w:val="-10"/>
          <w:w w:val="105"/>
          <w:sz w:val="19"/>
        </w:rPr>
        <w:t> </w:t>
      </w:r>
      <w:r>
        <w:rPr>
          <w:i/>
          <w:w w:val="105"/>
          <w:sz w:val="19"/>
        </w:rPr>
        <w:t>он</w:t>
      </w:r>
      <w:r>
        <w:rPr>
          <w:i/>
          <w:spacing w:val="-10"/>
          <w:w w:val="105"/>
          <w:sz w:val="19"/>
        </w:rPr>
        <w:t> </w:t>
      </w:r>
      <w:r>
        <w:rPr>
          <w:i/>
          <w:w w:val="105"/>
          <w:sz w:val="19"/>
        </w:rPr>
        <w:t>не</w:t>
      </w:r>
      <w:r>
        <w:rPr>
          <w:i/>
          <w:spacing w:val="-10"/>
          <w:w w:val="105"/>
          <w:sz w:val="19"/>
        </w:rPr>
        <w:t> </w:t>
      </w:r>
      <w:r>
        <w:rPr>
          <w:i/>
          <w:w w:val="105"/>
          <w:sz w:val="19"/>
        </w:rPr>
        <w:t>говорит</w:t>
      </w:r>
      <w:r>
        <w:rPr>
          <w:i/>
          <w:spacing w:val="-10"/>
          <w:w w:val="105"/>
          <w:sz w:val="19"/>
        </w:rPr>
        <w:t> </w:t>
      </w:r>
      <w:r>
        <w:rPr>
          <w:i/>
          <w:w w:val="105"/>
          <w:sz w:val="19"/>
        </w:rPr>
        <w:t>на</w:t>
      </w:r>
      <w:r>
        <w:rPr>
          <w:i/>
          <w:spacing w:val="-10"/>
          <w:w w:val="105"/>
          <w:sz w:val="19"/>
        </w:rPr>
        <w:t> </w:t>
      </w:r>
      <w:r>
        <w:rPr>
          <w:i/>
          <w:w w:val="105"/>
          <w:sz w:val="19"/>
        </w:rPr>
        <w:t>вашем</w:t>
      </w:r>
      <w:r>
        <w:rPr>
          <w:i/>
          <w:spacing w:val="-10"/>
          <w:w w:val="105"/>
          <w:sz w:val="19"/>
        </w:rPr>
        <w:t> </w:t>
      </w:r>
      <w:r>
        <w:rPr>
          <w:i/>
          <w:w w:val="105"/>
          <w:sz w:val="19"/>
        </w:rPr>
        <w:t>языке,</w:t>
      </w:r>
      <w:r>
        <w:rPr>
          <w:i/>
          <w:spacing w:val="-10"/>
          <w:w w:val="105"/>
          <w:sz w:val="19"/>
        </w:rPr>
        <w:t> </w:t>
      </w:r>
      <w:r>
        <w:rPr>
          <w:i/>
          <w:w w:val="105"/>
          <w:sz w:val="19"/>
        </w:rPr>
        <w:t>и</w:t>
      </w:r>
      <w:r>
        <w:rPr>
          <w:i/>
          <w:spacing w:val="-10"/>
          <w:w w:val="105"/>
          <w:sz w:val="19"/>
        </w:rPr>
        <w:t> </w:t>
      </w:r>
      <w:r>
        <w:rPr>
          <w:i/>
          <w:w w:val="105"/>
          <w:sz w:val="19"/>
        </w:rPr>
        <w:t>вы</w:t>
      </w:r>
      <w:r>
        <w:rPr>
          <w:i/>
          <w:spacing w:val="-10"/>
          <w:w w:val="105"/>
          <w:sz w:val="19"/>
        </w:rPr>
        <w:t> </w:t>
      </w:r>
      <w:r>
        <w:rPr>
          <w:i/>
          <w:w w:val="105"/>
          <w:sz w:val="19"/>
        </w:rPr>
        <w:t>можете</w:t>
      </w:r>
      <w:r>
        <w:rPr>
          <w:i/>
          <w:spacing w:val="-10"/>
          <w:w w:val="105"/>
          <w:sz w:val="19"/>
        </w:rPr>
        <w:t> </w:t>
      </w:r>
      <w:r>
        <w:rPr>
          <w:i/>
          <w:w w:val="105"/>
          <w:sz w:val="19"/>
        </w:rPr>
        <w:t>общаться</w:t>
      </w:r>
      <w:r>
        <w:rPr>
          <w:i/>
          <w:spacing w:val="-10"/>
          <w:w w:val="105"/>
          <w:sz w:val="19"/>
        </w:rPr>
        <w:t> </w:t>
      </w:r>
      <w:r>
        <w:rPr>
          <w:i/>
          <w:w w:val="105"/>
          <w:sz w:val="19"/>
        </w:rPr>
        <w:t>с</w:t>
      </w:r>
      <w:r>
        <w:rPr>
          <w:i/>
          <w:spacing w:val="-10"/>
          <w:w w:val="105"/>
          <w:sz w:val="19"/>
        </w:rPr>
        <w:t> </w:t>
      </w:r>
      <w:r>
        <w:rPr>
          <w:i/>
          <w:w w:val="105"/>
          <w:sz w:val="19"/>
        </w:rPr>
        <w:t>ним</w:t>
      </w:r>
      <w:r>
        <w:rPr>
          <w:i/>
          <w:spacing w:val="-10"/>
          <w:w w:val="105"/>
          <w:sz w:val="19"/>
        </w:rPr>
        <w:t> </w:t>
      </w:r>
      <w:r>
        <w:rPr>
          <w:i/>
          <w:w w:val="105"/>
          <w:sz w:val="19"/>
        </w:rPr>
        <w:t>только</w:t>
      </w:r>
      <w:r>
        <w:rPr>
          <w:i/>
          <w:spacing w:val="-10"/>
          <w:w w:val="105"/>
          <w:sz w:val="19"/>
        </w:rPr>
        <w:t> </w:t>
      </w:r>
      <w:r>
        <w:rPr>
          <w:i/>
          <w:w w:val="105"/>
          <w:sz w:val="19"/>
        </w:rPr>
        <w:t>молча.</w:t>
      </w:r>
      <w:r>
        <w:rPr>
          <w:i/>
          <w:spacing w:val="-10"/>
          <w:w w:val="105"/>
          <w:sz w:val="19"/>
        </w:rPr>
        <w:t> </w:t>
      </w:r>
      <w:r>
        <w:rPr>
          <w:i/>
          <w:w w:val="105"/>
          <w:sz w:val="19"/>
        </w:rPr>
        <w:t>Кро- ме этого, он не может видеть, поскольку глаза у него завязаны. Вы должны невер- бально</w:t>
      </w:r>
      <w:r>
        <w:rPr>
          <w:i/>
          <w:spacing w:val="-13"/>
          <w:w w:val="105"/>
          <w:sz w:val="19"/>
        </w:rPr>
        <w:t> </w:t>
      </w:r>
      <w:r>
        <w:rPr>
          <w:i/>
          <w:w w:val="105"/>
          <w:sz w:val="19"/>
        </w:rPr>
        <w:t>представить</w:t>
      </w:r>
      <w:r>
        <w:rPr>
          <w:i/>
          <w:spacing w:val="-12"/>
          <w:w w:val="105"/>
          <w:sz w:val="19"/>
        </w:rPr>
        <w:t> </w:t>
      </w:r>
      <w:r>
        <w:rPr>
          <w:i/>
          <w:w w:val="105"/>
          <w:sz w:val="19"/>
        </w:rPr>
        <w:t>главную</w:t>
      </w:r>
      <w:r>
        <w:rPr>
          <w:i/>
          <w:spacing w:val="-13"/>
          <w:w w:val="105"/>
          <w:sz w:val="19"/>
        </w:rPr>
        <w:t> </w:t>
      </w:r>
      <w:r>
        <w:rPr>
          <w:i/>
          <w:w w:val="105"/>
          <w:sz w:val="19"/>
        </w:rPr>
        <w:t>ценность</w:t>
      </w:r>
      <w:r>
        <w:rPr>
          <w:i/>
          <w:spacing w:val="-12"/>
          <w:w w:val="105"/>
          <w:sz w:val="19"/>
        </w:rPr>
        <w:t> </w:t>
      </w:r>
      <w:r>
        <w:rPr>
          <w:i/>
          <w:w w:val="105"/>
          <w:sz w:val="19"/>
        </w:rPr>
        <w:t>вашей</w:t>
      </w:r>
      <w:r>
        <w:rPr>
          <w:i/>
          <w:spacing w:val="-13"/>
          <w:w w:val="105"/>
          <w:sz w:val="19"/>
        </w:rPr>
        <w:t> </w:t>
      </w:r>
      <w:r>
        <w:rPr>
          <w:i/>
          <w:w w:val="105"/>
          <w:sz w:val="19"/>
        </w:rPr>
        <w:t>культуры,</w:t>
      </w:r>
      <w:r>
        <w:rPr>
          <w:i/>
          <w:spacing w:val="-12"/>
          <w:w w:val="105"/>
          <w:sz w:val="19"/>
        </w:rPr>
        <w:t> </w:t>
      </w:r>
      <w:r>
        <w:rPr>
          <w:i/>
          <w:w w:val="105"/>
          <w:sz w:val="19"/>
        </w:rPr>
        <w:t>а</w:t>
      </w:r>
      <w:r>
        <w:rPr>
          <w:i/>
          <w:spacing w:val="-13"/>
          <w:w w:val="105"/>
          <w:sz w:val="19"/>
        </w:rPr>
        <w:t> </w:t>
      </w:r>
      <w:r>
        <w:rPr>
          <w:i/>
          <w:w w:val="105"/>
          <w:sz w:val="19"/>
        </w:rPr>
        <w:t>гость</w:t>
      </w:r>
      <w:r>
        <w:rPr>
          <w:i/>
          <w:spacing w:val="-12"/>
          <w:w w:val="105"/>
          <w:sz w:val="19"/>
        </w:rPr>
        <w:t> </w:t>
      </w:r>
      <w:r>
        <w:rPr>
          <w:i/>
          <w:w w:val="105"/>
          <w:sz w:val="19"/>
        </w:rPr>
        <w:t>должен</w:t>
      </w:r>
      <w:r>
        <w:rPr>
          <w:i/>
          <w:spacing w:val="-13"/>
          <w:w w:val="105"/>
          <w:sz w:val="19"/>
        </w:rPr>
        <w:t> </w:t>
      </w:r>
      <w:r>
        <w:rPr>
          <w:i/>
          <w:w w:val="105"/>
          <w:sz w:val="19"/>
        </w:rPr>
        <w:t>догадаться, что</w:t>
      </w:r>
      <w:r>
        <w:rPr>
          <w:i/>
          <w:spacing w:val="-6"/>
          <w:w w:val="105"/>
          <w:sz w:val="19"/>
        </w:rPr>
        <w:t> </w:t>
      </w:r>
      <w:r>
        <w:rPr>
          <w:i/>
          <w:w w:val="105"/>
          <w:sz w:val="19"/>
        </w:rPr>
        <w:t>вы</w:t>
      </w:r>
      <w:r>
        <w:rPr>
          <w:i/>
          <w:spacing w:val="-6"/>
          <w:w w:val="105"/>
          <w:sz w:val="19"/>
        </w:rPr>
        <w:t> </w:t>
      </w:r>
      <w:r>
        <w:rPr>
          <w:i/>
          <w:w w:val="105"/>
          <w:sz w:val="19"/>
        </w:rPr>
        <w:t>имеете</w:t>
      </w:r>
      <w:r>
        <w:rPr>
          <w:i/>
          <w:spacing w:val="-6"/>
          <w:w w:val="105"/>
          <w:sz w:val="19"/>
        </w:rPr>
        <w:t> </w:t>
      </w:r>
      <w:r>
        <w:rPr>
          <w:i/>
          <w:w w:val="105"/>
          <w:sz w:val="19"/>
        </w:rPr>
        <w:t>в</w:t>
      </w:r>
      <w:r>
        <w:rPr>
          <w:i/>
          <w:spacing w:val="-6"/>
          <w:w w:val="105"/>
          <w:sz w:val="19"/>
        </w:rPr>
        <w:t> </w:t>
      </w:r>
      <w:r>
        <w:rPr>
          <w:i/>
          <w:w w:val="105"/>
          <w:sz w:val="19"/>
        </w:rPr>
        <w:t>виду.</w:t>
      </w:r>
      <w:r>
        <w:rPr>
          <w:i/>
          <w:spacing w:val="-6"/>
          <w:w w:val="105"/>
          <w:sz w:val="19"/>
        </w:rPr>
        <w:t> </w:t>
      </w:r>
      <w:r>
        <w:rPr>
          <w:i/>
          <w:w w:val="105"/>
          <w:sz w:val="19"/>
        </w:rPr>
        <w:t>Гостя</w:t>
      </w:r>
      <w:r>
        <w:rPr>
          <w:i/>
          <w:spacing w:val="-6"/>
          <w:w w:val="105"/>
          <w:sz w:val="19"/>
        </w:rPr>
        <w:t> </w:t>
      </w:r>
      <w:r>
        <w:rPr>
          <w:i/>
          <w:w w:val="105"/>
          <w:sz w:val="19"/>
        </w:rPr>
        <w:t>можно</w:t>
      </w:r>
      <w:r>
        <w:rPr>
          <w:i/>
          <w:spacing w:val="-6"/>
          <w:w w:val="105"/>
          <w:sz w:val="19"/>
        </w:rPr>
        <w:t> </w:t>
      </w:r>
      <w:r>
        <w:rPr>
          <w:i/>
          <w:w w:val="105"/>
          <w:sz w:val="19"/>
        </w:rPr>
        <w:t>задействовать,</w:t>
      </w:r>
      <w:r>
        <w:rPr>
          <w:i/>
          <w:spacing w:val="-6"/>
          <w:w w:val="105"/>
          <w:sz w:val="19"/>
        </w:rPr>
        <w:t> </w:t>
      </w:r>
      <w:r>
        <w:rPr>
          <w:i/>
          <w:w w:val="105"/>
          <w:sz w:val="19"/>
        </w:rPr>
        <w:t>но</w:t>
      </w:r>
      <w:r>
        <w:rPr>
          <w:i/>
          <w:spacing w:val="-6"/>
          <w:w w:val="105"/>
          <w:sz w:val="19"/>
        </w:rPr>
        <w:t> </w:t>
      </w:r>
      <w:r>
        <w:rPr>
          <w:i/>
          <w:w w:val="105"/>
          <w:sz w:val="19"/>
        </w:rPr>
        <w:t>нельзя</w:t>
      </w:r>
      <w:r>
        <w:rPr>
          <w:i/>
          <w:spacing w:val="-6"/>
          <w:w w:val="105"/>
          <w:sz w:val="19"/>
        </w:rPr>
        <w:t> </w:t>
      </w:r>
      <w:r>
        <w:rPr>
          <w:i/>
          <w:w w:val="105"/>
          <w:sz w:val="19"/>
        </w:rPr>
        <w:t>причинять</w:t>
      </w:r>
      <w:r>
        <w:rPr>
          <w:i/>
          <w:spacing w:val="-6"/>
          <w:w w:val="105"/>
          <w:sz w:val="19"/>
        </w:rPr>
        <w:t> </w:t>
      </w:r>
      <w:r>
        <w:rPr>
          <w:i/>
          <w:w w:val="105"/>
          <w:sz w:val="19"/>
        </w:rPr>
        <w:t>ему</w:t>
      </w:r>
      <w:r>
        <w:rPr>
          <w:i/>
          <w:spacing w:val="-6"/>
          <w:w w:val="105"/>
          <w:sz w:val="19"/>
        </w:rPr>
        <w:t> </w:t>
      </w:r>
      <w:r>
        <w:rPr>
          <w:i/>
          <w:w w:val="105"/>
          <w:sz w:val="19"/>
        </w:rPr>
        <w:t>вред».</w:t>
      </w:r>
    </w:p>
    <w:p>
      <w:pPr>
        <w:spacing w:line="228" w:lineRule="exact" w:before="111"/>
        <w:ind w:left="425" w:right="0" w:firstLine="0"/>
        <w:jc w:val="both"/>
        <w:rPr>
          <w:b/>
          <w:sz w:val="20"/>
        </w:rPr>
      </w:pPr>
      <w:r>
        <w:rPr>
          <w:b/>
          <w:spacing w:val="-2"/>
          <w:sz w:val="20"/>
        </w:rPr>
        <w:t>Ход</w:t>
      </w:r>
      <w:r>
        <w:rPr>
          <w:b/>
          <w:spacing w:val="-7"/>
          <w:sz w:val="20"/>
        </w:rPr>
        <w:t> </w:t>
      </w:r>
      <w:r>
        <w:rPr>
          <w:b/>
          <w:spacing w:val="-2"/>
          <w:sz w:val="20"/>
        </w:rPr>
        <w:t>упражнения</w:t>
      </w:r>
    </w:p>
    <w:p>
      <w:pPr>
        <w:pStyle w:val="BodyText"/>
        <w:spacing w:line="235" w:lineRule="auto" w:before="1"/>
      </w:pPr>
      <w:r>
        <w:rPr/>
        <w:t>Участники</w:t>
      </w:r>
      <w:r>
        <w:rPr>
          <w:spacing w:val="-7"/>
        </w:rPr>
        <w:t> </w:t>
      </w:r>
      <w:r>
        <w:rPr/>
        <w:t>делятся</w:t>
      </w:r>
      <w:r>
        <w:rPr>
          <w:spacing w:val="-6"/>
        </w:rPr>
        <w:t> </w:t>
      </w:r>
      <w:r>
        <w:rPr/>
        <w:t>на</w:t>
      </w:r>
      <w:r>
        <w:rPr>
          <w:spacing w:val="-6"/>
        </w:rPr>
        <w:t> </w:t>
      </w:r>
      <w:r>
        <w:rPr/>
        <w:t>3–4</w:t>
      </w:r>
      <w:r>
        <w:rPr>
          <w:spacing w:val="-6"/>
        </w:rPr>
        <w:t> </w:t>
      </w:r>
      <w:r>
        <w:rPr/>
        <w:t>группы.</w:t>
      </w:r>
      <w:r>
        <w:rPr>
          <w:spacing w:val="-6"/>
        </w:rPr>
        <w:t> </w:t>
      </w:r>
      <w:r>
        <w:rPr/>
        <w:t>Каждая</w:t>
      </w:r>
      <w:r>
        <w:rPr>
          <w:spacing w:val="-6"/>
        </w:rPr>
        <w:t> </w:t>
      </w:r>
      <w:r>
        <w:rPr/>
        <w:t>группа</w:t>
      </w:r>
      <w:r>
        <w:rPr>
          <w:spacing w:val="-6"/>
        </w:rPr>
        <w:t> </w:t>
      </w:r>
      <w:r>
        <w:rPr/>
        <w:t>получает</w:t>
      </w:r>
      <w:r>
        <w:rPr>
          <w:spacing w:val="-6"/>
        </w:rPr>
        <w:t> </w:t>
      </w:r>
      <w:r>
        <w:rPr/>
        <w:t>карточку</w:t>
      </w:r>
      <w:r>
        <w:rPr>
          <w:spacing w:val="-6"/>
        </w:rPr>
        <w:t> </w:t>
      </w:r>
      <w:r>
        <w:rPr/>
        <w:t>с</w:t>
      </w:r>
      <w:r>
        <w:rPr>
          <w:spacing w:val="-6"/>
        </w:rPr>
        <w:t> </w:t>
      </w:r>
      <w:r>
        <w:rPr/>
        <w:t>названием ценности</w:t>
      </w:r>
      <w:r>
        <w:rPr>
          <w:spacing w:val="-9"/>
        </w:rPr>
        <w:t> </w:t>
      </w:r>
      <w:r>
        <w:rPr/>
        <w:t>(можно</w:t>
      </w:r>
      <w:r>
        <w:rPr>
          <w:spacing w:val="-9"/>
        </w:rPr>
        <w:t> </w:t>
      </w:r>
      <w:r>
        <w:rPr/>
        <w:t>использовать</w:t>
      </w:r>
      <w:r>
        <w:rPr>
          <w:spacing w:val="-9"/>
        </w:rPr>
        <w:t> </w:t>
      </w:r>
      <w:r>
        <w:rPr/>
        <w:t>такие</w:t>
      </w:r>
      <w:r>
        <w:rPr>
          <w:spacing w:val="-9"/>
        </w:rPr>
        <w:t> </w:t>
      </w:r>
      <w:r>
        <w:rPr/>
        <w:t>ценности:</w:t>
      </w:r>
      <w:r>
        <w:rPr>
          <w:spacing w:val="-9"/>
        </w:rPr>
        <w:t> </w:t>
      </w:r>
      <w:r>
        <w:rPr/>
        <w:t>организованность,</w:t>
      </w:r>
      <w:r>
        <w:rPr>
          <w:spacing w:val="-9"/>
        </w:rPr>
        <w:t> </w:t>
      </w:r>
      <w:r>
        <w:rPr/>
        <w:t>бережливость,</w:t>
      </w:r>
      <w:r>
        <w:rPr>
          <w:spacing w:val="-9"/>
        </w:rPr>
        <w:t> </w:t>
      </w:r>
      <w:r>
        <w:rPr/>
        <w:t>са- мостоятельность,</w:t>
      </w:r>
      <w:r>
        <w:rPr>
          <w:spacing w:val="-12"/>
        </w:rPr>
        <w:t> </w:t>
      </w:r>
      <w:r>
        <w:rPr/>
        <w:t>уважение</w:t>
      </w:r>
      <w:r>
        <w:rPr>
          <w:spacing w:val="-12"/>
        </w:rPr>
        <w:t> </w:t>
      </w:r>
      <w:r>
        <w:rPr/>
        <w:t>традиций,</w:t>
      </w:r>
      <w:r>
        <w:rPr>
          <w:spacing w:val="-12"/>
        </w:rPr>
        <w:t> </w:t>
      </w:r>
      <w:r>
        <w:rPr/>
        <w:t>толерантность,</w:t>
      </w:r>
      <w:r>
        <w:rPr>
          <w:spacing w:val="-12"/>
        </w:rPr>
        <w:t> </w:t>
      </w:r>
      <w:r>
        <w:rPr/>
        <w:t>взаимопомощь).</w:t>
      </w:r>
      <w:r>
        <w:rPr>
          <w:spacing w:val="-12"/>
        </w:rPr>
        <w:t> </w:t>
      </w:r>
      <w:r>
        <w:rPr/>
        <w:t>У</w:t>
      </w:r>
      <w:r>
        <w:rPr>
          <w:spacing w:val="-12"/>
        </w:rPr>
        <w:t> </w:t>
      </w:r>
      <w:r>
        <w:rPr/>
        <w:t>группы</w:t>
      </w:r>
      <w:r>
        <w:rPr>
          <w:spacing w:val="-12"/>
        </w:rPr>
        <w:t> </w:t>
      </w:r>
      <w:r>
        <w:rPr/>
        <w:t>есть 5 минут, чтобы обдумать, как показать данные ценности.</w:t>
      </w:r>
    </w:p>
    <w:p>
      <w:pPr>
        <w:pStyle w:val="BodyText"/>
        <w:spacing w:line="227" w:lineRule="exact"/>
        <w:ind w:left="425" w:right="0" w:firstLine="0"/>
      </w:pPr>
      <w:r>
        <w:rPr/>
        <w:t>Затем</w:t>
      </w:r>
      <w:r>
        <w:rPr>
          <w:spacing w:val="7"/>
        </w:rPr>
        <w:t> </w:t>
      </w:r>
      <w:r>
        <w:rPr/>
        <w:t>каждая</w:t>
      </w:r>
      <w:r>
        <w:rPr>
          <w:spacing w:val="9"/>
        </w:rPr>
        <w:t> </w:t>
      </w:r>
      <w:r>
        <w:rPr/>
        <w:t>группа</w:t>
      </w:r>
      <w:r>
        <w:rPr>
          <w:spacing w:val="9"/>
        </w:rPr>
        <w:t> </w:t>
      </w:r>
      <w:r>
        <w:rPr/>
        <w:t>выбирает</w:t>
      </w:r>
      <w:r>
        <w:rPr>
          <w:spacing w:val="9"/>
        </w:rPr>
        <w:t> </w:t>
      </w:r>
      <w:r>
        <w:rPr/>
        <w:t>одного</w:t>
      </w:r>
      <w:r>
        <w:rPr>
          <w:spacing w:val="9"/>
        </w:rPr>
        <w:t> </w:t>
      </w:r>
      <w:r>
        <w:rPr/>
        <w:t>участника,</w:t>
      </w:r>
      <w:r>
        <w:rPr>
          <w:spacing w:val="9"/>
        </w:rPr>
        <w:t> </w:t>
      </w:r>
      <w:r>
        <w:rPr/>
        <w:t>который</w:t>
      </w:r>
      <w:r>
        <w:rPr>
          <w:spacing w:val="9"/>
        </w:rPr>
        <w:t> </w:t>
      </w:r>
      <w:r>
        <w:rPr/>
        <w:t>становится</w:t>
      </w:r>
      <w:r>
        <w:rPr>
          <w:spacing w:val="10"/>
        </w:rPr>
        <w:t> </w:t>
      </w:r>
      <w:r>
        <w:rPr>
          <w:spacing w:val="-2"/>
        </w:rPr>
        <w:t>«гостем».</w:t>
      </w:r>
    </w:p>
    <w:p>
      <w:pPr>
        <w:pStyle w:val="BodyText"/>
        <w:spacing w:line="226" w:lineRule="exact"/>
        <w:ind w:right="0" w:firstLine="0"/>
      </w:pPr>
      <w:r>
        <w:rPr/>
        <w:t>Посещение</w:t>
      </w:r>
      <w:r>
        <w:rPr>
          <w:spacing w:val="-6"/>
        </w:rPr>
        <w:t> </w:t>
      </w:r>
      <w:r>
        <w:rPr/>
        <w:t>«гостями»</w:t>
      </w:r>
      <w:r>
        <w:rPr>
          <w:spacing w:val="-3"/>
        </w:rPr>
        <w:t> </w:t>
      </w:r>
      <w:r>
        <w:rPr/>
        <w:t>чужих</w:t>
      </w:r>
      <w:r>
        <w:rPr>
          <w:spacing w:val="-4"/>
        </w:rPr>
        <w:t> </w:t>
      </w:r>
      <w:r>
        <w:rPr/>
        <w:t>стран</w:t>
      </w:r>
      <w:r>
        <w:rPr>
          <w:spacing w:val="-4"/>
        </w:rPr>
        <w:t> </w:t>
      </w:r>
      <w:r>
        <w:rPr/>
        <w:t>происходит</w:t>
      </w:r>
      <w:r>
        <w:rPr>
          <w:spacing w:val="-3"/>
        </w:rPr>
        <w:t> </w:t>
      </w:r>
      <w:r>
        <w:rPr/>
        <w:t>по</w:t>
      </w:r>
      <w:r>
        <w:rPr>
          <w:spacing w:val="-4"/>
        </w:rPr>
        <w:t> </w:t>
      </w:r>
      <w:r>
        <w:rPr/>
        <w:t>очереди,</w:t>
      </w:r>
      <w:r>
        <w:rPr>
          <w:spacing w:val="-3"/>
        </w:rPr>
        <w:t> </w:t>
      </w:r>
      <w:r>
        <w:rPr/>
        <w:t>не</w:t>
      </w:r>
      <w:r>
        <w:rPr>
          <w:spacing w:val="-3"/>
        </w:rPr>
        <w:t> </w:t>
      </w:r>
      <w:r>
        <w:rPr>
          <w:spacing w:val="-2"/>
        </w:rPr>
        <w:t>одновременно.</w:t>
      </w:r>
    </w:p>
    <w:p>
      <w:pPr>
        <w:pStyle w:val="BodyText"/>
        <w:spacing w:line="235" w:lineRule="auto" w:before="2"/>
      </w:pPr>
      <w:r>
        <w:rPr/>
        <w:t>«Гостю»</w:t>
      </w:r>
      <w:r>
        <w:rPr>
          <w:spacing w:val="-2"/>
        </w:rPr>
        <w:t> </w:t>
      </w:r>
      <w:r>
        <w:rPr/>
        <w:t>завязывают</w:t>
      </w:r>
      <w:r>
        <w:rPr>
          <w:spacing w:val="-2"/>
        </w:rPr>
        <w:t> </w:t>
      </w:r>
      <w:r>
        <w:rPr/>
        <w:t>глаза.</w:t>
      </w:r>
      <w:r>
        <w:rPr>
          <w:spacing w:val="-2"/>
        </w:rPr>
        <w:t> </w:t>
      </w:r>
      <w:r>
        <w:rPr/>
        <w:t>Участники</w:t>
      </w:r>
      <w:r>
        <w:rPr>
          <w:spacing w:val="-2"/>
        </w:rPr>
        <w:t> </w:t>
      </w:r>
      <w:r>
        <w:rPr/>
        <w:t>группы</w:t>
      </w:r>
      <w:r>
        <w:rPr>
          <w:spacing w:val="-2"/>
        </w:rPr>
        <w:t> </w:t>
      </w:r>
      <w:r>
        <w:rPr/>
        <w:t>«хозяева»</w:t>
      </w:r>
      <w:r>
        <w:rPr>
          <w:spacing w:val="-2"/>
        </w:rPr>
        <w:t> </w:t>
      </w:r>
      <w:r>
        <w:rPr/>
        <w:t>знакомят</w:t>
      </w:r>
      <w:r>
        <w:rPr>
          <w:spacing w:val="-2"/>
        </w:rPr>
        <w:t> </w:t>
      </w:r>
      <w:r>
        <w:rPr/>
        <w:t>гостя</w:t>
      </w:r>
      <w:r>
        <w:rPr>
          <w:spacing w:val="-2"/>
        </w:rPr>
        <w:t> </w:t>
      </w:r>
      <w:r>
        <w:rPr/>
        <w:t>со</w:t>
      </w:r>
      <w:r>
        <w:rPr>
          <w:spacing w:val="-2"/>
        </w:rPr>
        <w:t> </w:t>
      </w:r>
      <w:r>
        <w:rPr/>
        <w:t>своей ценностью,</w:t>
      </w:r>
      <w:r>
        <w:rPr>
          <w:spacing w:val="-9"/>
        </w:rPr>
        <w:t> </w:t>
      </w:r>
      <w:r>
        <w:rPr/>
        <w:t>причем</w:t>
      </w:r>
      <w:r>
        <w:rPr>
          <w:spacing w:val="-9"/>
        </w:rPr>
        <w:t> </w:t>
      </w:r>
      <w:r>
        <w:rPr/>
        <w:t>все</w:t>
      </w:r>
      <w:r>
        <w:rPr>
          <w:spacing w:val="-9"/>
        </w:rPr>
        <w:t> </w:t>
      </w:r>
      <w:r>
        <w:rPr/>
        <w:t>остальные</w:t>
      </w:r>
      <w:r>
        <w:rPr>
          <w:spacing w:val="-9"/>
        </w:rPr>
        <w:t> </w:t>
      </w:r>
      <w:r>
        <w:rPr/>
        <w:t>в</w:t>
      </w:r>
      <w:r>
        <w:rPr>
          <w:spacing w:val="-9"/>
        </w:rPr>
        <w:t> </w:t>
      </w:r>
      <w:r>
        <w:rPr/>
        <w:t>это</w:t>
      </w:r>
      <w:r>
        <w:rPr>
          <w:spacing w:val="-9"/>
        </w:rPr>
        <w:t> </w:t>
      </w:r>
      <w:r>
        <w:rPr/>
        <w:t>время</w:t>
      </w:r>
      <w:r>
        <w:rPr>
          <w:spacing w:val="-9"/>
        </w:rPr>
        <w:t> </w:t>
      </w:r>
      <w:r>
        <w:rPr/>
        <w:t>молчат.</w:t>
      </w:r>
      <w:r>
        <w:rPr>
          <w:spacing w:val="-9"/>
        </w:rPr>
        <w:t> </w:t>
      </w:r>
      <w:r>
        <w:rPr/>
        <w:t>После</w:t>
      </w:r>
      <w:r>
        <w:rPr>
          <w:spacing w:val="-9"/>
        </w:rPr>
        <w:t> </w:t>
      </w:r>
      <w:r>
        <w:rPr/>
        <w:t>того</w:t>
      </w:r>
      <w:r>
        <w:rPr>
          <w:spacing w:val="-9"/>
        </w:rPr>
        <w:t> </w:t>
      </w:r>
      <w:r>
        <w:rPr/>
        <w:t>как</w:t>
      </w:r>
      <w:r>
        <w:rPr>
          <w:spacing w:val="-9"/>
        </w:rPr>
        <w:t> </w:t>
      </w:r>
      <w:r>
        <w:rPr/>
        <w:t>хозяева</w:t>
      </w:r>
      <w:r>
        <w:rPr>
          <w:spacing w:val="-9"/>
        </w:rPr>
        <w:t> </w:t>
      </w:r>
      <w:r>
        <w:rPr/>
        <w:t>показа- ли все, что хотели, гостю развязывают глаза.</w:t>
      </w:r>
    </w:p>
    <w:p>
      <w:pPr>
        <w:pStyle w:val="BodyText"/>
        <w:spacing w:line="235" w:lineRule="auto" w:before="2"/>
      </w:pPr>
      <w:r>
        <w:rPr/>
        <w:t>Ведущий спрашивает гостя, что с ним происходило во время экскурсии. Он опи- сывает действия хозяев. Потом ведущий спрашивает гостя, какую ценность, по его мнению,</w:t>
      </w:r>
      <w:r>
        <w:rPr>
          <w:spacing w:val="-9"/>
        </w:rPr>
        <w:t> </w:t>
      </w:r>
      <w:r>
        <w:rPr/>
        <w:t>хотели</w:t>
      </w:r>
      <w:r>
        <w:rPr>
          <w:spacing w:val="-9"/>
        </w:rPr>
        <w:t> </w:t>
      </w:r>
      <w:r>
        <w:rPr/>
        <w:t>показать</w:t>
      </w:r>
      <w:r>
        <w:rPr>
          <w:spacing w:val="-9"/>
        </w:rPr>
        <w:t> </w:t>
      </w:r>
      <w:r>
        <w:rPr/>
        <w:t>хозяева.</w:t>
      </w:r>
      <w:r>
        <w:rPr>
          <w:spacing w:val="-9"/>
        </w:rPr>
        <w:t> </w:t>
      </w:r>
      <w:r>
        <w:rPr/>
        <w:t>Гость</w:t>
      </w:r>
      <w:r>
        <w:rPr>
          <w:spacing w:val="-9"/>
        </w:rPr>
        <w:t> </w:t>
      </w:r>
      <w:r>
        <w:rPr/>
        <w:t>может</w:t>
      </w:r>
      <w:r>
        <w:rPr>
          <w:spacing w:val="-9"/>
        </w:rPr>
        <w:t> </w:t>
      </w:r>
      <w:r>
        <w:rPr/>
        <w:t>высказать</w:t>
      </w:r>
      <w:r>
        <w:rPr>
          <w:spacing w:val="-9"/>
        </w:rPr>
        <w:t> </w:t>
      </w:r>
      <w:r>
        <w:rPr/>
        <w:t>несколько</w:t>
      </w:r>
      <w:r>
        <w:rPr>
          <w:spacing w:val="-9"/>
        </w:rPr>
        <w:t> </w:t>
      </w:r>
      <w:r>
        <w:rPr/>
        <w:t>предположений.</w:t>
      </w:r>
    </w:p>
    <w:p>
      <w:pPr>
        <w:pStyle w:val="BodyText"/>
        <w:spacing w:before="55"/>
        <w:ind w:left="425" w:right="0" w:firstLine="0"/>
      </w:pPr>
      <w:r>
        <w:rPr/>
        <w:t>Для</w:t>
      </w:r>
      <w:r>
        <w:rPr>
          <w:spacing w:val="-4"/>
        </w:rPr>
        <w:t> </w:t>
      </w:r>
      <w:r>
        <w:rPr/>
        <w:t>записи</w:t>
      </w:r>
      <w:r>
        <w:rPr>
          <w:spacing w:val="-5"/>
        </w:rPr>
        <w:t> </w:t>
      </w:r>
      <w:r>
        <w:rPr/>
        <w:t>догадок</w:t>
      </w:r>
      <w:r>
        <w:rPr>
          <w:spacing w:val="-4"/>
        </w:rPr>
        <w:t> </w:t>
      </w:r>
      <w:r>
        <w:rPr/>
        <w:t>используется</w:t>
      </w:r>
      <w:r>
        <w:rPr>
          <w:spacing w:val="-3"/>
        </w:rPr>
        <w:t> </w:t>
      </w:r>
      <w:r>
        <w:rPr>
          <w:spacing w:val="-2"/>
        </w:rPr>
        <w:t>таблица:</w:t>
      </w:r>
    </w:p>
    <w:p>
      <w:pPr>
        <w:pStyle w:val="BodyText"/>
        <w:spacing w:before="1"/>
        <w:ind w:left="0" w:right="0" w:firstLine="0"/>
        <w:jc w:val="left"/>
        <w:rPr>
          <w:sz w:val="8"/>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6"/>
        <w:gridCol w:w="2416"/>
        <w:gridCol w:w="2416"/>
      </w:tblGrid>
      <w:tr>
        <w:trPr>
          <w:trHeight w:val="425" w:hRule="atLeast"/>
        </w:trPr>
        <w:tc>
          <w:tcPr>
            <w:tcW w:w="2416" w:type="dxa"/>
          </w:tcPr>
          <w:p>
            <w:pPr>
              <w:pStyle w:val="TableParagraph"/>
              <w:spacing w:before="105"/>
              <w:ind w:left="407"/>
              <w:rPr>
                <w:b/>
                <w:sz w:val="18"/>
              </w:rPr>
            </w:pPr>
            <w:r>
              <w:rPr>
                <w:b/>
                <w:sz w:val="18"/>
              </w:rPr>
              <w:t>Что</w:t>
            </w:r>
            <w:r>
              <w:rPr>
                <w:b/>
                <w:spacing w:val="-7"/>
                <w:sz w:val="18"/>
              </w:rPr>
              <w:t> </w:t>
            </w:r>
            <w:r>
              <w:rPr>
                <w:b/>
                <w:sz w:val="18"/>
              </w:rPr>
              <w:t>подумал</w:t>
            </w:r>
            <w:r>
              <w:rPr>
                <w:b/>
                <w:spacing w:val="-7"/>
                <w:sz w:val="18"/>
              </w:rPr>
              <w:t> </w:t>
            </w:r>
            <w:r>
              <w:rPr>
                <w:b/>
                <w:spacing w:val="-2"/>
                <w:sz w:val="18"/>
              </w:rPr>
              <w:t>гость?</w:t>
            </w:r>
          </w:p>
        </w:tc>
        <w:tc>
          <w:tcPr>
            <w:tcW w:w="2416" w:type="dxa"/>
          </w:tcPr>
          <w:p>
            <w:pPr>
              <w:pStyle w:val="TableParagraph"/>
              <w:spacing w:line="200" w:lineRule="exact" w:before="5"/>
              <w:ind w:left="730" w:right="326" w:hanging="387"/>
              <w:rPr>
                <w:b/>
                <w:sz w:val="18"/>
              </w:rPr>
            </w:pPr>
            <w:r>
              <w:rPr>
                <w:b/>
                <w:sz w:val="18"/>
              </w:rPr>
              <w:t>Что</w:t>
            </w:r>
            <w:r>
              <w:rPr>
                <w:b/>
                <w:spacing w:val="-12"/>
                <w:sz w:val="18"/>
              </w:rPr>
              <w:t> </w:t>
            </w:r>
            <w:r>
              <w:rPr>
                <w:b/>
                <w:sz w:val="18"/>
              </w:rPr>
              <w:t>подумали</w:t>
            </w:r>
            <w:r>
              <w:rPr>
                <w:b/>
                <w:spacing w:val="-11"/>
                <w:sz w:val="18"/>
              </w:rPr>
              <w:t> </w:t>
            </w:r>
            <w:r>
              <w:rPr>
                <w:b/>
                <w:sz w:val="18"/>
              </w:rPr>
              <w:t>другие </w:t>
            </w:r>
            <w:r>
              <w:rPr>
                <w:b/>
                <w:spacing w:val="-2"/>
                <w:sz w:val="18"/>
              </w:rPr>
              <w:t>участники?</w:t>
            </w:r>
          </w:p>
        </w:tc>
        <w:tc>
          <w:tcPr>
            <w:tcW w:w="2416" w:type="dxa"/>
          </w:tcPr>
          <w:p>
            <w:pPr>
              <w:pStyle w:val="TableParagraph"/>
              <w:spacing w:line="200" w:lineRule="exact" w:before="5"/>
              <w:ind w:left="856" w:right="326" w:hanging="484"/>
              <w:rPr>
                <w:b/>
                <w:sz w:val="18"/>
              </w:rPr>
            </w:pPr>
            <w:r>
              <w:rPr>
                <w:b/>
                <w:spacing w:val="-2"/>
                <w:sz w:val="18"/>
              </w:rPr>
              <w:t>Что</w:t>
            </w:r>
            <w:r>
              <w:rPr>
                <w:b/>
                <w:spacing w:val="-10"/>
                <w:sz w:val="18"/>
              </w:rPr>
              <w:t> </w:t>
            </w:r>
            <w:r>
              <w:rPr>
                <w:b/>
                <w:spacing w:val="-2"/>
                <w:sz w:val="18"/>
              </w:rPr>
              <w:t>хотели</w:t>
            </w:r>
            <w:r>
              <w:rPr>
                <w:b/>
                <w:spacing w:val="-9"/>
                <w:sz w:val="18"/>
              </w:rPr>
              <w:t> </w:t>
            </w:r>
            <w:r>
              <w:rPr>
                <w:b/>
                <w:spacing w:val="-2"/>
                <w:sz w:val="18"/>
              </w:rPr>
              <w:t>показать хозяева?</w:t>
            </w:r>
          </w:p>
        </w:tc>
      </w:tr>
      <w:tr>
        <w:trPr>
          <w:trHeight w:val="228" w:hRule="atLeast"/>
        </w:trPr>
        <w:tc>
          <w:tcPr>
            <w:tcW w:w="2416" w:type="dxa"/>
          </w:tcPr>
          <w:p>
            <w:pPr>
              <w:pStyle w:val="TableParagraph"/>
              <w:rPr>
                <w:sz w:val="16"/>
              </w:rPr>
            </w:pPr>
          </w:p>
        </w:tc>
        <w:tc>
          <w:tcPr>
            <w:tcW w:w="2416" w:type="dxa"/>
          </w:tcPr>
          <w:p>
            <w:pPr>
              <w:pStyle w:val="TableParagraph"/>
              <w:rPr>
                <w:sz w:val="16"/>
              </w:rPr>
            </w:pPr>
          </w:p>
        </w:tc>
        <w:tc>
          <w:tcPr>
            <w:tcW w:w="2416" w:type="dxa"/>
          </w:tcPr>
          <w:p>
            <w:pPr>
              <w:pStyle w:val="TableParagraph"/>
              <w:rPr>
                <w:sz w:val="16"/>
              </w:rPr>
            </w:pPr>
          </w:p>
        </w:tc>
      </w:tr>
    </w:tbl>
    <w:p>
      <w:pPr>
        <w:pStyle w:val="BodyText"/>
        <w:spacing w:line="235" w:lineRule="auto" w:before="20"/>
        <w:jc w:val="right"/>
      </w:pPr>
      <w:r>
        <w:rPr/>
        <w:t>Догадки гостей ведущий записывает в первую колонку. Затем аналогичный во- прос задает остальным участникам, и они также могут предложить свои варианты. Эти версии заносятся во вторую колонку. Когда наступает очередь хозяев, они рас- сказывают,</w:t>
      </w:r>
      <w:r>
        <w:rPr>
          <w:spacing w:val="-12"/>
        </w:rPr>
        <w:t> </w:t>
      </w:r>
      <w:r>
        <w:rPr/>
        <w:t>что</w:t>
      </w:r>
      <w:r>
        <w:rPr>
          <w:spacing w:val="-12"/>
        </w:rPr>
        <w:t> </w:t>
      </w:r>
      <w:r>
        <w:rPr/>
        <w:t>хотели</w:t>
      </w:r>
      <w:r>
        <w:rPr>
          <w:spacing w:val="-12"/>
        </w:rPr>
        <w:t> </w:t>
      </w:r>
      <w:r>
        <w:rPr/>
        <w:t>представить.</w:t>
      </w:r>
      <w:r>
        <w:rPr>
          <w:spacing w:val="-12"/>
        </w:rPr>
        <w:t> </w:t>
      </w:r>
      <w:r>
        <w:rPr/>
        <w:t>Ценность</w:t>
      </w:r>
      <w:r>
        <w:rPr>
          <w:spacing w:val="-12"/>
        </w:rPr>
        <w:t> </w:t>
      </w:r>
      <w:r>
        <w:rPr/>
        <w:t>хозяев</w:t>
      </w:r>
      <w:r>
        <w:rPr>
          <w:spacing w:val="-12"/>
        </w:rPr>
        <w:t> </w:t>
      </w:r>
      <w:r>
        <w:rPr/>
        <w:t>записывается</w:t>
      </w:r>
      <w:r>
        <w:rPr>
          <w:spacing w:val="-12"/>
        </w:rPr>
        <w:t> </w:t>
      </w:r>
      <w:r>
        <w:rPr/>
        <w:t>в</w:t>
      </w:r>
      <w:r>
        <w:rPr>
          <w:spacing w:val="-12"/>
        </w:rPr>
        <w:t> </w:t>
      </w:r>
      <w:r>
        <w:rPr/>
        <w:t>третью</w:t>
      </w:r>
      <w:r>
        <w:rPr>
          <w:spacing w:val="-12"/>
        </w:rPr>
        <w:t> </w:t>
      </w:r>
      <w:r>
        <w:rPr/>
        <w:t>колонку.</w:t>
      </w:r>
    </w:p>
    <w:p>
      <w:pPr>
        <w:pStyle w:val="BodyText"/>
        <w:spacing w:line="235" w:lineRule="auto" w:before="2"/>
        <w:ind w:right="0"/>
        <w:jc w:val="left"/>
      </w:pPr>
      <w:r>
        <w:rPr/>
        <w:t>Когда</w:t>
      </w:r>
      <w:r>
        <w:rPr>
          <w:spacing w:val="-1"/>
        </w:rPr>
        <w:t> </w:t>
      </w:r>
      <w:r>
        <w:rPr/>
        <w:t>вся</w:t>
      </w:r>
      <w:r>
        <w:rPr>
          <w:spacing w:val="-1"/>
        </w:rPr>
        <w:t> </w:t>
      </w:r>
      <w:r>
        <w:rPr/>
        <w:t>строка</w:t>
      </w:r>
      <w:r>
        <w:rPr>
          <w:spacing w:val="-1"/>
        </w:rPr>
        <w:t> </w:t>
      </w:r>
      <w:r>
        <w:rPr/>
        <w:t>заполнена,</w:t>
      </w:r>
      <w:r>
        <w:rPr>
          <w:spacing w:val="-1"/>
        </w:rPr>
        <w:t> </w:t>
      </w:r>
      <w:r>
        <w:rPr/>
        <w:t>можно</w:t>
      </w:r>
      <w:r>
        <w:rPr>
          <w:spacing w:val="-1"/>
        </w:rPr>
        <w:t> </w:t>
      </w:r>
      <w:r>
        <w:rPr/>
        <w:t>переходить</w:t>
      </w:r>
      <w:r>
        <w:rPr>
          <w:spacing w:val="-1"/>
        </w:rPr>
        <w:t> </w:t>
      </w:r>
      <w:r>
        <w:rPr/>
        <w:t>к</w:t>
      </w:r>
      <w:r>
        <w:rPr>
          <w:spacing w:val="-1"/>
        </w:rPr>
        <w:t> </w:t>
      </w:r>
      <w:r>
        <w:rPr/>
        <w:t>следующему</w:t>
      </w:r>
      <w:r>
        <w:rPr>
          <w:spacing w:val="-1"/>
        </w:rPr>
        <w:t> </w:t>
      </w:r>
      <w:r>
        <w:rPr/>
        <w:t>гостю.</w:t>
      </w:r>
      <w:r>
        <w:rPr>
          <w:spacing w:val="-1"/>
        </w:rPr>
        <w:t> </w:t>
      </w:r>
      <w:r>
        <w:rPr/>
        <w:t>После</w:t>
      </w:r>
      <w:r>
        <w:rPr>
          <w:spacing w:val="-1"/>
        </w:rPr>
        <w:t> </w:t>
      </w:r>
      <w:r>
        <w:rPr/>
        <w:t>того как свои ценности показали все, начинается общее обсуждение.</w:t>
      </w:r>
    </w:p>
    <w:p>
      <w:pPr>
        <w:spacing w:line="228" w:lineRule="exact" w:before="111"/>
        <w:ind w:left="425" w:right="0" w:firstLine="0"/>
        <w:jc w:val="left"/>
        <w:rPr>
          <w:sz w:val="20"/>
        </w:rPr>
      </w:pPr>
      <w:r>
        <w:rPr>
          <w:b/>
          <w:sz w:val="20"/>
        </w:rPr>
        <w:t>Вопросы для </w:t>
      </w:r>
      <w:r>
        <w:rPr>
          <w:b/>
          <w:spacing w:val="-2"/>
          <w:sz w:val="20"/>
        </w:rPr>
        <w:t>обсуждения</w:t>
      </w:r>
      <w:r>
        <w:rPr>
          <w:spacing w:val="-2"/>
          <w:sz w:val="20"/>
        </w:rPr>
        <w:t>:</w:t>
      </w:r>
    </w:p>
    <w:p>
      <w:pPr>
        <w:pStyle w:val="ListParagraph"/>
        <w:numPr>
          <w:ilvl w:val="0"/>
          <w:numId w:val="275"/>
        </w:numPr>
        <w:tabs>
          <w:tab w:pos="575" w:val="left" w:leader="none"/>
        </w:tabs>
        <w:spacing w:line="226" w:lineRule="exact" w:before="0" w:after="0"/>
        <w:ind w:left="575" w:right="0" w:hanging="150"/>
        <w:jc w:val="left"/>
        <w:rPr>
          <w:i/>
          <w:sz w:val="20"/>
        </w:rPr>
      </w:pPr>
      <w:r>
        <w:rPr>
          <w:i/>
          <w:sz w:val="20"/>
        </w:rPr>
        <w:t>Сложно</w:t>
      </w:r>
      <w:r>
        <w:rPr>
          <w:i/>
          <w:spacing w:val="-3"/>
          <w:sz w:val="20"/>
        </w:rPr>
        <w:t> </w:t>
      </w:r>
      <w:r>
        <w:rPr>
          <w:i/>
          <w:sz w:val="20"/>
        </w:rPr>
        <w:t>ли</w:t>
      </w:r>
      <w:r>
        <w:rPr>
          <w:i/>
          <w:spacing w:val="-3"/>
          <w:sz w:val="20"/>
        </w:rPr>
        <w:t> </w:t>
      </w:r>
      <w:r>
        <w:rPr>
          <w:i/>
          <w:sz w:val="20"/>
        </w:rPr>
        <w:t>было</w:t>
      </w:r>
      <w:r>
        <w:rPr>
          <w:i/>
          <w:spacing w:val="-3"/>
          <w:sz w:val="20"/>
        </w:rPr>
        <w:t> </w:t>
      </w:r>
      <w:r>
        <w:rPr>
          <w:i/>
          <w:sz w:val="20"/>
        </w:rPr>
        <w:t>показать</w:t>
      </w:r>
      <w:r>
        <w:rPr>
          <w:i/>
          <w:spacing w:val="-3"/>
          <w:sz w:val="20"/>
        </w:rPr>
        <w:t> </w:t>
      </w:r>
      <w:r>
        <w:rPr>
          <w:i/>
          <w:sz w:val="20"/>
        </w:rPr>
        <w:t>и</w:t>
      </w:r>
      <w:r>
        <w:rPr>
          <w:i/>
          <w:spacing w:val="-3"/>
          <w:sz w:val="20"/>
        </w:rPr>
        <w:t> </w:t>
      </w:r>
      <w:r>
        <w:rPr>
          <w:i/>
          <w:sz w:val="20"/>
        </w:rPr>
        <w:t>угадать</w:t>
      </w:r>
      <w:r>
        <w:rPr>
          <w:i/>
          <w:spacing w:val="-3"/>
          <w:sz w:val="20"/>
        </w:rPr>
        <w:t> </w:t>
      </w:r>
      <w:r>
        <w:rPr>
          <w:i/>
          <w:spacing w:val="-2"/>
          <w:sz w:val="20"/>
        </w:rPr>
        <w:t>ценность?</w:t>
      </w:r>
    </w:p>
    <w:p>
      <w:pPr>
        <w:pStyle w:val="ListParagraph"/>
        <w:numPr>
          <w:ilvl w:val="0"/>
          <w:numId w:val="275"/>
        </w:numPr>
        <w:tabs>
          <w:tab w:pos="575" w:val="left" w:leader="none"/>
        </w:tabs>
        <w:spacing w:line="226" w:lineRule="exact" w:before="0" w:after="0"/>
        <w:ind w:left="575" w:right="0" w:hanging="150"/>
        <w:jc w:val="left"/>
        <w:rPr>
          <w:i/>
          <w:sz w:val="20"/>
        </w:rPr>
      </w:pPr>
      <w:r>
        <w:rPr>
          <w:i/>
          <w:sz w:val="20"/>
        </w:rPr>
        <w:t>Что</w:t>
      </w:r>
      <w:r>
        <w:rPr>
          <w:i/>
          <w:spacing w:val="-5"/>
          <w:sz w:val="20"/>
        </w:rPr>
        <w:t> </w:t>
      </w:r>
      <w:r>
        <w:rPr>
          <w:i/>
          <w:sz w:val="20"/>
        </w:rPr>
        <w:t>чувствовали</w:t>
      </w:r>
      <w:r>
        <w:rPr>
          <w:i/>
          <w:spacing w:val="-4"/>
          <w:sz w:val="20"/>
        </w:rPr>
        <w:t> </w:t>
      </w:r>
      <w:r>
        <w:rPr>
          <w:i/>
          <w:sz w:val="20"/>
        </w:rPr>
        <w:t>«гости»</w:t>
      </w:r>
      <w:r>
        <w:rPr>
          <w:i/>
          <w:spacing w:val="-4"/>
          <w:sz w:val="20"/>
        </w:rPr>
        <w:t> </w:t>
      </w:r>
      <w:r>
        <w:rPr>
          <w:i/>
          <w:sz w:val="20"/>
        </w:rPr>
        <w:t>и</w:t>
      </w:r>
      <w:r>
        <w:rPr>
          <w:i/>
          <w:spacing w:val="-4"/>
          <w:sz w:val="20"/>
        </w:rPr>
        <w:t> </w:t>
      </w:r>
      <w:r>
        <w:rPr>
          <w:i/>
          <w:sz w:val="20"/>
        </w:rPr>
        <w:t>«хозяева»</w:t>
      </w:r>
      <w:r>
        <w:rPr>
          <w:i/>
          <w:spacing w:val="-5"/>
          <w:sz w:val="20"/>
        </w:rPr>
        <w:t> </w:t>
      </w:r>
      <w:r>
        <w:rPr>
          <w:i/>
          <w:sz w:val="20"/>
        </w:rPr>
        <w:t>по</w:t>
      </w:r>
      <w:r>
        <w:rPr>
          <w:i/>
          <w:spacing w:val="-4"/>
          <w:sz w:val="20"/>
        </w:rPr>
        <w:t> </w:t>
      </w:r>
      <w:r>
        <w:rPr>
          <w:i/>
          <w:sz w:val="20"/>
        </w:rPr>
        <w:t>отношению</w:t>
      </w:r>
      <w:r>
        <w:rPr>
          <w:i/>
          <w:spacing w:val="-5"/>
          <w:sz w:val="20"/>
        </w:rPr>
        <w:t> </w:t>
      </w:r>
      <w:r>
        <w:rPr>
          <w:i/>
          <w:sz w:val="20"/>
        </w:rPr>
        <w:t>друг</w:t>
      </w:r>
      <w:r>
        <w:rPr>
          <w:i/>
          <w:spacing w:val="-5"/>
          <w:sz w:val="20"/>
        </w:rPr>
        <w:t> </w:t>
      </w:r>
      <w:r>
        <w:rPr>
          <w:i/>
          <w:sz w:val="20"/>
        </w:rPr>
        <w:t>к</w:t>
      </w:r>
      <w:r>
        <w:rPr>
          <w:i/>
          <w:spacing w:val="-4"/>
          <w:sz w:val="20"/>
        </w:rPr>
        <w:t> </w:t>
      </w:r>
      <w:r>
        <w:rPr>
          <w:i/>
          <w:spacing w:val="-2"/>
          <w:sz w:val="20"/>
        </w:rPr>
        <w:t>другу?</w:t>
      </w:r>
    </w:p>
    <w:p>
      <w:pPr>
        <w:pStyle w:val="BodyText"/>
        <w:spacing w:line="235" w:lineRule="auto" w:before="2"/>
      </w:pPr>
      <w:r>
        <w:rPr/>
        <w:t>При анализе таблицы ведущий обращает внимание участников на расхождения между столбцами и спрашивает, какой реальный феномен иллюстрирует эта игра. В ходе</w:t>
      </w:r>
      <w:r>
        <w:rPr>
          <w:spacing w:val="-10"/>
        </w:rPr>
        <w:t> </w:t>
      </w:r>
      <w:r>
        <w:rPr/>
        <w:t>обсуждения</w:t>
      </w:r>
      <w:r>
        <w:rPr>
          <w:spacing w:val="-8"/>
        </w:rPr>
        <w:t> </w:t>
      </w:r>
      <w:r>
        <w:rPr/>
        <w:t>необходимо</w:t>
      </w:r>
      <w:r>
        <w:rPr>
          <w:spacing w:val="-8"/>
        </w:rPr>
        <w:t> </w:t>
      </w:r>
      <w:r>
        <w:rPr/>
        <w:t>подчеркнуть,</w:t>
      </w:r>
      <w:r>
        <w:rPr>
          <w:spacing w:val="-8"/>
        </w:rPr>
        <w:t> </w:t>
      </w:r>
      <w:r>
        <w:rPr/>
        <w:t>что</w:t>
      </w:r>
      <w:r>
        <w:rPr>
          <w:spacing w:val="-8"/>
        </w:rPr>
        <w:t> </w:t>
      </w:r>
      <w:r>
        <w:rPr/>
        <w:t>одни</w:t>
      </w:r>
      <w:r>
        <w:rPr>
          <w:spacing w:val="-8"/>
        </w:rPr>
        <w:t> </w:t>
      </w:r>
      <w:r>
        <w:rPr/>
        <w:t>и</w:t>
      </w:r>
      <w:r>
        <w:rPr>
          <w:spacing w:val="-8"/>
        </w:rPr>
        <w:t> </w:t>
      </w:r>
      <w:r>
        <w:rPr/>
        <w:t>те</w:t>
      </w:r>
      <w:r>
        <w:rPr>
          <w:spacing w:val="-8"/>
        </w:rPr>
        <w:t> </w:t>
      </w:r>
      <w:r>
        <w:rPr/>
        <w:t>же</w:t>
      </w:r>
      <w:r>
        <w:rPr>
          <w:spacing w:val="-8"/>
        </w:rPr>
        <w:t> </w:t>
      </w:r>
      <w:r>
        <w:rPr/>
        <w:t>ценности</w:t>
      </w:r>
      <w:r>
        <w:rPr>
          <w:spacing w:val="-8"/>
        </w:rPr>
        <w:t> </w:t>
      </w:r>
      <w:r>
        <w:rPr/>
        <w:t>в</w:t>
      </w:r>
      <w:r>
        <w:rPr>
          <w:spacing w:val="-8"/>
        </w:rPr>
        <w:t> </w:t>
      </w:r>
      <w:r>
        <w:rPr/>
        <w:t>разных</w:t>
      </w:r>
      <w:r>
        <w:rPr>
          <w:spacing w:val="-7"/>
        </w:rPr>
        <w:t> </w:t>
      </w:r>
      <w:r>
        <w:rPr>
          <w:spacing w:val="-2"/>
        </w:rPr>
        <w:t>куль-</w:t>
      </w:r>
    </w:p>
    <w:p>
      <w:pPr>
        <w:pStyle w:val="BodyText"/>
        <w:spacing w:after="0" w:line="235" w:lineRule="auto"/>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firstLine="0"/>
      </w:pPr>
      <w:r>
        <w:rPr/>
        <w:t>турах могут проявляться по-разному, и не всегда просто понять и правильно интер- претировать</w:t>
      </w:r>
      <w:r>
        <w:rPr>
          <w:spacing w:val="-7"/>
        </w:rPr>
        <w:t> </w:t>
      </w:r>
      <w:r>
        <w:rPr/>
        <w:t>ценности</w:t>
      </w:r>
      <w:r>
        <w:rPr>
          <w:spacing w:val="-7"/>
        </w:rPr>
        <w:t> </w:t>
      </w:r>
      <w:r>
        <w:rPr/>
        <w:t>другой</w:t>
      </w:r>
      <w:r>
        <w:rPr>
          <w:spacing w:val="-7"/>
        </w:rPr>
        <w:t> </w:t>
      </w:r>
      <w:r>
        <w:rPr/>
        <w:t>культуры.</w:t>
      </w:r>
      <w:r>
        <w:rPr>
          <w:spacing w:val="-7"/>
        </w:rPr>
        <w:t> </w:t>
      </w:r>
      <w:r>
        <w:rPr/>
        <w:t>Если</w:t>
      </w:r>
      <w:r>
        <w:rPr>
          <w:spacing w:val="-7"/>
        </w:rPr>
        <w:t> </w:t>
      </w:r>
      <w:r>
        <w:rPr/>
        <w:t>участники</w:t>
      </w:r>
      <w:r>
        <w:rPr>
          <w:spacing w:val="-7"/>
        </w:rPr>
        <w:t> </w:t>
      </w:r>
      <w:r>
        <w:rPr/>
        <w:t>обладают</w:t>
      </w:r>
      <w:r>
        <w:rPr>
          <w:spacing w:val="-7"/>
        </w:rPr>
        <w:t> </w:t>
      </w:r>
      <w:r>
        <w:rPr/>
        <w:t>опытом</w:t>
      </w:r>
      <w:r>
        <w:rPr>
          <w:spacing w:val="-7"/>
        </w:rPr>
        <w:t> </w:t>
      </w:r>
      <w:r>
        <w:rPr/>
        <w:t>межкуль- турного</w:t>
      </w:r>
      <w:r>
        <w:rPr>
          <w:spacing w:val="-4"/>
        </w:rPr>
        <w:t> </w:t>
      </w:r>
      <w:r>
        <w:rPr/>
        <w:t>взаимодействия,</w:t>
      </w:r>
      <w:r>
        <w:rPr>
          <w:spacing w:val="-4"/>
        </w:rPr>
        <w:t> </w:t>
      </w:r>
      <w:r>
        <w:rPr/>
        <w:t>можно</w:t>
      </w:r>
      <w:r>
        <w:rPr>
          <w:spacing w:val="-4"/>
        </w:rPr>
        <w:t> </w:t>
      </w:r>
      <w:r>
        <w:rPr/>
        <w:t>попросить</w:t>
      </w:r>
      <w:r>
        <w:rPr>
          <w:spacing w:val="-4"/>
        </w:rPr>
        <w:t> </w:t>
      </w:r>
      <w:r>
        <w:rPr/>
        <w:t>их</w:t>
      </w:r>
      <w:r>
        <w:rPr>
          <w:spacing w:val="-4"/>
        </w:rPr>
        <w:t> </w:t>
      </w:r>
      <w:r>
        <w:rPr/>
        <w:t>привести</w:t>
      </w:r>
      <w:r>
        <w:rPr>
          <w:spacing w:val="-4"/>
        </w:rPr>
        <w:t> </w:t>
      </w:r>
      <w:r>
        <w:rPr/>
        <w:t>свои</w:t>
      </w:r>
      <w:r>
        <w:rPr>
          <w:spacing w:val="-4"/>
        </w:rPr>
        <w:t> </w:t>
      </w:r>
      <w:r>
        <w:rPr/>
        <w:t>примеры</w:t>
      </w:r>
      <w:r>
        <w:rPr>
          <w:spacing w:val="-4"/>
        </w:rPr>
        <w:t> </w:t>
      </w:r>
      <w:r>
        <w:rPr/>
        <w:t>столкновения с ценностями иной культуры.</w:t>
      </w:r>
    </w:p>
    <w:p>
      <w:pPr>
        <w:spacing w:before="112"/>
        <w:ind w:left="303" w:right="303" w:firstLine="0"/>
        <w:jc w:val="center"/>
        <w:rPr>
          <w:b/>
          <w:sz w:val="20"/>
        </w:rPr>
      </w:pPr>
      <w:r>
        <w:rPr>
          <w:b/>
          <w:spacing w:val="-2"/>
          <w:sz w:val="20"/>
        </w:rPr>
        <w:t>«Приветствие»</w:t>
      </w:r>
    </w:p>
    <w:p>
      <w:pPr>
        <w:spacing w:line="235" w:lineRule="auto" w:before="113"/>
        <w:ind w:left="2812" w:right="139" w:firstLine="1060"/>
        <w:jc w:val="right"/>
        <w:rPr>
          <w:i/>
          <w:sz w:val="20"/>
        </w:rPr>
      </w:pPr>
      <w:r>
        <w:rPr>
          <w:b/>
          <w:i/>
          <w:sz w:val="20"/>
        </w:rPr>
        <w:t>Источник</w:t>
      </w:r>
      <w:r>
        <w:rPr>
          <w:i/>
          <w:sz w:val="20"/>
        </w:rPr>
        <w:t>:</w:t>
      </w:r>
      <w:r>
        <w:rPr>
          <w:i/>
          <w:spacing w:val="-13"/>
          <w:sz w:val="20"/>
        </w:rPr>
        <w:t> </w:t>
      </w:r>
      <w:r>
        <w:rPr>
          <w:i/>
          <w:sz w:val="20"/>
        </w:rPr>
        <w:t>разработка</w:t>
      </w:r>
      <w:r>
        <w:rPr>
          <w:i/>
          <w:spacing w:val="-12"/>
          <w:sz w:val="20"/>
        </w:rPr>
        <w:t> </w:t>
      </w:r>
      <w:r>
        <w:rPr>
          <w:i/>
          <w:sz w:val="20"/>
        </w:rPr>
        <w:t>М.Ю.</w:t>
      </w:r>
      <w:r>
        <w:rPr>
          <w:i/>
          <w:spacing w:val="-13"/>
          <w:sz w:val="20"/>
        </w:rPr>
        <w:t> </w:t>
      </w:r>
      <w:r>
        <w:rPr>
          <w:i/>
          <w:sz w:val="20"/>
        </w:rPr>
        <w:t>Чибисовой на</w:t>
      </w:r>
      <w:r>
        <w:rPr>
          <w:i/>
          <w:spacing w:val="-13"/>
          <w:sz w:val="20"/>
        </w:rPr>
        <w:t> </w:t>
      </w:r>
      <w:r>
        <w:rPr>
          <w:i/>
          <w:sz w:val="20"/>
        </w:rPr>
        <w:t>основании</w:t>
      </w:r>
      <w:r>
        <w:rPr>
          <w:i/>
          <w:spacing w:val="-12"/>
          <w:sz w:val="20"/>
        </w:rPr>
        <w:t> </w:t>
      </w:r>
      <w:r>
        <w:rPr>
          <w:i/>
          <w:sz w:val="20"/>
        </w:rPr>
        <w:t>игры</w:t>
      </w:r>
      <w:r>
        <w:rPr>
          <w:i/>
          <w:spacing w:val="-13"/>
          <w:sz w:val="20"/>
        </w:rPr>
        <w:t> </w:t>
      </w:r>
      <w:r>
        <w:rPr>
          <w:i/>
          <w:sz w:val="20"/>
        </w:rPr>
        <w:t>«Альбатрос»</w:t>
      </w:r>
      <w:r>
        <w:rPr>
          <w:i/>
          <w:spacing w:val="-12"/>
          <w:sz w:val="20"/>
        </w:rPr>
        <w:t> </w:t>
      </w:r>
      <w:r>
        <w:rPr>
          <w:i/>
          <w:sz w:val="20"/>
        </w:rPr>
        <w:t>(EDUCATION</w:t>
      </w:r>
      <w:r>
        <w:rPr>
          <w:i/>
          <w:spacing w:val="-13"/>
          <w:sz w:val="20"/>
        </w:rPr>
        <w:t> </w:t>
      </w:r>
      <w:r>
        <w:rPr>
          <w:i/>
          <w:sz w:val="20"/>
        </w:rPr>
        <w:t>PACK. Ideas, resources, methods and activities for informal intercultural education with young people and adults.</w:t>
      </w:r>
    </w:p>
    <w:p>
      <w:pPr>
        <w:spacing w:line="229" w:lineRule="exact" w:before="0"/>
        <w:ind w:left="141" w:right="139" w:firstLine="0"/>
        <w:jc w:val="right"/>
        <w:rPr>
          <w:i/>
          <w:sz w:val="20"/>
        </w:rPr>
      </w:pPr>
      <w:r>
        <w:rPr>
          <w:i/>
          <w:sz w:val="20"/>
        </w:rPr>
        <w:t>Council</w:t>
      </w:r>
      <w:r>
        <w:rPr>
          <w:i/>
          <w:spacing w:val="-2"/>
          <w:sz w:val="20"/>
        </w:rPr>
        <w:t> </w:t>
      </w:r>
      <w:r>
        <w:rPr>
          <w:i/>
          <w:sz w:val="20"/>
        </w:rPr>
        <w:t>of </w:t>
      </w:r>
      <w:r>
        <w:rPr>
          <w:i/>
          <w:spacing w:val="-2"/>
          <w:sz w:val="20"/>
        </w:rPr>
        <w:t>Europe)</w:t>
      </w:r>
    </w:p>
    <w:p>
      <w:pPr>
        <w:pStyle w:val="BodyText"/>
        <w:spacing w:line="235" w:lineRule="auto" w:before="113"/>
      </w:pPr>
      <w:r>
        <w:rPr/>
        <w:t>Участники делятся на три-четыре группы. Каждая группа – жители некой услов- ной страны. Им необходимо поприветствовать туристов, приехавших с экскурсией. Ритуал приветствия должен отражать убеждения, свойственные жителям страны.</w:t>
      </w:r>
    </w:p>
    <w:p>
      <w:pPr>
        <w:pStyle w:val="BodyText"/>
        <w:spacing w:line="235" w:lineRule="auto" w:before="2"/>
      </w:pPr>
      <w:r>
        <w:rPr/>
        <w:t>Каждая</w:t>
      </w:r>
      <w:r>
        <w:rPr>
          <w:spacing w:val="-4"/>
        </w:rPr>
        <w:t> </w:t>
      </w:r>
      <w:r>
        <w:rPr/>
        <w:t>группа</w:t>
      </w:r>
      <w:r>
        <w:rPr>
          <w:spacing w:val="-4"/>
        </w:rPr>
        <w:t> </w:t>
      </w:r>
      <w:r>
        <w:rPr/>
        <w:t>получает</w:t>
      </w:r>
      <w:r>
        <w:rPr>
          <w:spacing w:val="-4"/>
        </w:rPr>
        <w:t> </w:t>
      </w:r>
      <w:r>
        <w:rPr/>
        <w:t>карточку,</w:t>
      </w:r>
      <w:r>
        <w:rPr>
          <w:spacing w:val="-4"/>
        </w:rPr>
        <w:t> </w:t>
      </w:r>
      <w:r>
        <w:rPr/>
        <w:t>на</w:t>
      </w:r>
      <w:r>
        <w:rPr>
          <w:spacing w:val="-4"/>
        </w:rPr>
        <w:t> </w:t>
      </w:r>
      <w:r>
        <w:rPr/>
        <w:t>которой</w:t>
      </w:r>
      <w:r>
        <w:rPr>
          <w:spacing w:val="-4"/>
        </w:rPr>
        <w:t> </w:t>
      </w:r>
      <w:r>
        <w:rPr/>
        <w:t>перечислены</w:t>
      </w:r>
      <w:r>
        <w:rPr>
          <w:spacing w:val="-4"/>
        </w:rPr>
        <w:t> </w:t>
      </w:r>
      <w:r>
        <w:rPr/>
        <w:t>ценности</w:t>
      </w:r>
      <w:r>
        <w:rPr>
          <w:spacing w:val="-4"/>
        </w:rPr>
        <w:t> </w:t>
      </w:r>
      <w:r>
        <w:rPr/>
        <w:t>и</w:t>
      </w:r>
      <w:r>
        <w:rPr>
          <w:spacing w:val="-4"/>
        </w:rPr>
        <w:t> </w:t>
      </w:r>
      <w:r>
        <w:rPr/>
        <w:t>традиции условных стран, например:</w:t>
      </w:r>
    </w:p>
    <w:p>
      <w:pPr>
        <w:pStyle w:val="BodyText"/>
        <w:spacing w:line="225" w:lineRule="exact"/>
        <w:ind w:left="425" w:right="0" w:firstLine="0"/>
      </w:pPr>
      <w:r>
        <w:rPr>
          <w:spacing w:val="-5"/>
        </w:rPr>
        <w:t>Культура</w:t>
      </w:r>
      <w:r>
        <w:rPr>
          <w:spacing w:val="3"/>
        </w:rPr>
        <w:t> </w:t>
      </w:r>
      <w:r>
        <w:rPr>
          <w:spacing w:val="-10"/>
        </w:rPr>
        <w:t>А</w:t>
      </w:r>
    </w:p>
    <w:p>
      <w:pPr>
        <w:pStyle w:val="ListParagraph"/>
        <w:numPr>
          <w:ilvl w:val="0"/>
          <w:numId w:val="275"/>
        </w:numPr>
        <w:tabs>
          <w:tab w:pos="574" w:val="left" w:leader="none"/>
        </w:tabs>
        <w:spacing w:line="235" w:lineRule="auto" w:before="2" w:after="0"/>
        <w:ind w:left="141" w:right="139" w:firstLine="283"/>
        <w:jc w:val="both"/>
        <w:rPr>
          <w:i/>
          <w:sz w:val="20"/>
        </w:rPr>
      </w:pPr>
      <w:r>
        <w:rPr>
          <w:i/>
          <w:sz w:val="20"/>
        </w:rPr>
        <w:t>В</w:t>
      </w:r>
      <w:r>
        <w:rPr>
          <w:i/>
          <w:spacing w:val="-11"/>
          <w:sz w:val="20"/>
        </w:rPr>
        <w:t> </w:t>
      </w:r>
      <w:r>
        <w:rPr>
          <w:i/>
          <w:sz w:val="20"/>
        </w:rPr>
        <w:t>вашей</w:t>
      </w:r>
      <w:r>
        <w:rPr>
          <w:i/>
          <w:spacing w:val="-11"/>
          <w:sz w:val="20"/>
        </w:rPr>
        <w:t> </w:t>
      </w:r>
      <w:r>
        <w:rPr>
          <w:i/>
          <w:sz w:val="20"/>
        </w:rPr>
        <w:t>культуре</w:t>
      </w:r>
      <w:r>
        <w:rPr>
          <w:i/>
          <w:spacing w:val="-11"/>
          <w:sz w:val="20"/>
        </w:rPr>
        <w:t> </w:t>
      </w:r>
      <w:r>
        <w:rPr>
          <w:i/>
          <w:sz w:val="20"/>
        </w:rPr>
        <w:t>считается,</w:t>
      </w:r>
      <w:r>
        <w:rPr>
          <w:i/>
          <w:spacing w:val="-11"/>
          <w:sz w:val="20"/>
        </w:rPr>
        <w:t> </w:t>
      </w:r>
      <w:r>
        <w:rPr>
          <w:i/>
          <w:sz w:val="20"/>
        </w:rPr>
        <w:t>что</w:t>
      </w:r>
      <w:r>
        <w:rPr>
          <w:i/>
          <w:spacing w:val="-11"/>
          <w:sz w:val="20"/>
        </w:rPr>
        <w:t> </w:t>
      </w:r>
      <w:r>
        <w:rPr>
          <w:i/>
          <w:sz w:val="20"/>
        </w:rPr>
        <w:t>земля</w:t>
      </w:r>
      <w:r>
        <w:rPr>
          <w:i/>
          <w:spacing w:val="-11"/>
          <w:sz w:val="20"/>
        </w:rPr>
        <w:t> </w:t>
      </w:r>
      <w:r>
        <w:rPr>
          <w:i/>
          <w:sz w:val="20"/>
        </w:rPr>
        <w:t>священная.</w:t>
      </w:r>
      <w:r>
        <w:rPr>
          <w:i/>
          <w:spacing w:val="-11"/>
          <w:sz w:val="20"/>
        </w:rPr>
        <w:t> </w:t>
      </w:r>
      <w:r>
        <w:rPr>
          <w:i/>
          <w:sz w:val="20"/>
        </w:rPr>
        <w:t>Чем</w:t>
      </w:r>
      <w:r>
        <w:rPr>
          <w:i/>
          <w:spacing w:val="-11"/>
          <w:sz w:val="20"/>
        </w:rPr>
        <w:t> </w:t>
      </w:r>
      <w:r>
        <w:rPr>
          <w:i/>
          <w:sz w:val="20"/>
        </w:rPr>
        <w:t>ближе</w:t>
      </w:r>
      <w:r>
        <w:rPr>
          <w:i/>
          <w:spacing w:val="-11"/>
          <w:sz w:val="20"/>
        </w:rPr>
        <w:t> </w:t>
      </w:r>
      <w:r>
        <w:rPr>
          <w:i/>
          <w:sz w:val="20"/>
        </w:rPr>
        <w:t>к</w:t>
      </w:r>
      <w:r>
        <w:rPr>
          <w:i/>
          <w:spacing w:val="-11"/>
          <w:sz w:val="20"/>
        </w:rPr>
        <w:t> </w:t>
      </w:r>
      <w:r>
        <w:rPr>
          <w:i/>
          <w:sz w:val="20"/>
        </w:rPr>
        <w:t>земле</w:t>
      </w:r>
      <w:r>
        <w:rPr>
          <w:i/>
          <w:spacing w:val="-11"/>
          <w:sz w:val="20"/>
        </w:rPr>
        <w:t> </w:t>
      </w:r>
      <w:r>
        <w:rPr>
          <w:i/>
          <w:sz w:val="20"/>
        </w:rPr>
        <w:t>человек, тем в более благоприятном положении он находится. Желая получить поддержку от</w:t>
      </w:r>
      <w:r>
        <w:rPr>
          <w:i/>
          <w:spacing w:val="-1"/>
          <w:sz w:val="20"/>
        </w:rPr>
        <w:t> </w:t>
      </w:r>
      <w:r>
        <w:rPr>
          <w:i/>
          <w:sz w:val="20"/>
        </w:rPr>
        <w:t>земли,</w:t>
      </w:r>
      <w:r>
        <w:rPr>
          <w:i/>
          <w:spacing w:val="-1"/>
          <w:sz w:val="20"/>
        </w:rPr>
        <w:t> </w:t>
      </w:r>
      <w:r>
        <w:rPr>
          <w:i/>
          <w:sz w:val="20"/>
        </w:rPr>
        <w:t>вы</w:t>
      </w:r>
      <w:r>
        <w:rPr>
          <w:i/>
          <w:spacing w:val="-1"/>
          <w:sz w:val="20"/>
        </w:rPr>
        <w:t> </w:t>
      </w:r>
      <w:r>
        <w:rPr>
          <w:i/>
          <w:sz w:val="20"/>
        </w:rPr>
        <w:t>кланяетесь</w:t>
      </w:r>
      <w:r>
        <w:rPr>
          <w:i/>
          <w:spacing w:val="-1"/>
          <w:sz w:val="20"/>
        </w:rPr>
        <w:t> </w:t>
      </w:r>
      <w:r>
        <w:rPr>
          <w:i/>
          <w:sz w:val="20"/>
        </w:rPr>
        <w:t>как</w:t>
      </w:r>
      <w:r>
        <w:rPr>
          <w:i/>
          <w:spacing w:val="-1"/>
          <w:sz w:val="20"/>
        </w:rPr>
        <w:t> </w:t>
      </w:r>
      <w:r>
        <w:rPr>
          <w:i/>
          <w:sz w:val="20"/>
        </w:rPr>
        <w:t>можно</w:t>
      </w:r>
      <w:r>
        <w:rPr>
          <w:i/>
          <w:spacing w:val="-1"/>
          <w:sz w:val="20"/>
        </w:rPr>
        <w:t> </w:t>
      </w:r>
      <w:r>
        <w:rPr>
          <w:i/>
          <w:sz w:val="20"/>
        </w:rPr>
        <w:t>ниже,</w:t>
      </w:r>
      <w:r>
        <w:rPr>
          <w:i/>
          <w:spacing w:val="-1"/>
          <w:sz w:val="20"/>
        </w:rPr>
        <w:t> </w:t>
      </w:r>
      <w:r>
        <w:rPr>
          <w:i/>
          <w:sz w:val="20"/>
        </w:rPr>
        <w:t>касаясь</w:t>
      </w:r>
      <w:r>
        <w:rPr>
          <w:i/>
          <w:spacing w:val="-1"/>
          <w:sz w:val="20"/>
        </w:rPr>
        <w:t> </w:t>
      </w:r>
      <w:r>
        <w:rPr>
          <w:i/>
          <w:sz w:val="20"/>
        </w:rPr>
        <w:t>земли</w:t>
      </w:r>
      <w:r>
        <w:rPr>
          <w:i/>
          <w:spacing w:val="-1"/>
          <w:sz w:val="20"/>
        </w:rPr>
        <w:t> </w:t>
      </w:r>
      <w:r>
        <w:rPr>
          <w:i/>
          <w:sz w:val="20"/>
        </w:rPr>
        <w:t>(пола),</w:t>
      </w:r>
      <w:r>
        <w:rPr>
          <w:i/>
          <w:spacing w:val="-1"/>
          <w:sz w:val="20"/>
        </w:rPr>
        <w:t> </w:t>
      </w:r>
      <w:r>
        <w:rPr>
          <w:i/>
          <w:sz w:val="20"/>
        </w:rPr>
        <w:t>и</w:t>
      </w:r>
      <w:r>
        <w:rPr>
          <w:i/>
          <w:spacing w:val="-1"/>
          <w:sz w:val="20"/>
        </w:rPr>
        <w:t> </w:t>
      </w:r>
      <w:r>
        <w:rPr>
          <w:i/>
          <w:sz w:val="20"/>
        </w:rPr>
        <w:t>побуждаете</w:t>
      </w:r>
      <w:r>
        <w:rPr>
          <w:i/>
          <w:spacing w:val="-1"/>
          <w:sz w:val="20"/>
        </w:rPr>
        <w:t> </w:t>
      </w:r>
      <w:r>
        <w:rPr>
          <w:i/>
          <w:sz w:val="20"/>
        </w:rPr>
        <w:t>это делать</w:t>
      </w:r>
      <w:r>
        <w:rPr>
          <w:i/>
          <w:spacing w:val="-13"/>
          <w:sz w:val="20"/>
        </w:rPr>
        <w:t> </w:t>
      </w:r>
      <w:r>
        <w:rPr>
          <w:i/>
          <w:sz w:val="20"/>
        </w:rPr>
        <w:t>других</w:t>
      </w:r>
      <w:r>
        <w:rPr>
          <w:i/>
          <w:spacing w:val="-12"/>
          <w:sz w:val="20"/>
        </w:rPr>
        <w:t> </w:t>
      </w:r>
      <w:r>
        <w:rPr>
          <w:i/>
          <w:sz w:val="20"/>
        </w:rPr>
        <w:t>людей.</w:t>
      </w:r>
      <w:r>
        <w:rPr>
          <w:i/>
          <w:spacing w:val="-13"/>
          <w:sz w:val="20"/>
        </w:rPr>
        <w:t> </w:t>
      </w:r>
      <w:r>
        <w:rPr>
          <w:i/>
          <w:sz w:val="20"/>
        </w:rPr>
        <w:t>Все</w:t>
      </w:r>
      <w:r>
        <w:rPr>
          <w:i/>
          <w:spacing w:val="-12"/>
          <w:sz w:val="20"/>
        </w:rPr>
        <w:t> </w:t>
      </w:r>
      <w:r>
        <w:rPr>
          <w:i/>
          <w:sz w:val="20"/>
        </w:rPr>
        <w:t>самые</w:t>
      </w:r>
      <w:r>
        <w:rPr>
          <w:i/>
          <w:spacing w:val="-13"/>
          <w:sz w:val="20"/>
        </w:rPr>
        <w:t> </w:t>
      </w:r>
      <w:r>
        <w:rPr>
          <w:i/>
          <w:sz w:val="20"/>
        </w:rPr>
        <w:t>ценные</w:t>
      </w:r>
      <w:r>
        <w:rPr>
          <w:i/>
          <w:spacing w:val="-12"/>
          <w:sz w:val="20"/>
        </w:rPr>
        <w:t> </w:t>
      </w:r>
      <w:r>
        <w:rPr>
          <w:i/>
          <w:sz w:val="20"/>
        </w:rPr>
        <w:t>и</w:t>
      </w:r>
      <w:r>
        <w:rPr>
          <w:i/>
          <w:spacing w:val="-13"/>
          <w:sz w:val="20"/>
        </w:rPr>
        <w:t> </w:t>
      </w:r>
      <w:r>
        <w:rPr>
          <w:i/>
          <w:sz w:val="20"/>
        </w:rPr>
        <w:t>важные</w:t>
      </w:r>
      <w:r>
        <w:rPr>
          <w:i/>
          <w:spacing w:val="-12"/>
          <w:sz w:val="20"/>
        </w:rPr>
        <w:t> </w:t>
      </w:r>
      <w:r>
        <w:rPr>
          <w:i/>
          <w:sz w:val="20"/>
        </w:rPr>
        <w:t>вещи</w:t>
      </w:r>
      <w:r>
        <w:rPr>
          <w:i/>
          <w:spacing w:val="-13"/>
          <w:sz w:val="20"/>
        </w:rPr>
        <w:t> </w:t>
      </w:r>
      <w:r>
        <w:rPr>
          <w:i/>
          <w:sz w:val="20"/>
        </w:rPr>
        <w:t>вы</w:t>
      </w:r>
      <w:r>
        <w:rPr>
          <w:i/>
          <w:spacing w:val="-12"/>
          <w:sz w:val="20"/>
        </w:rPr>
        <w:t> </w:t>
      </w:r>
      <w:r>
        <w:rPr>
          <w:i/>
          <w:sz w:val="20"/>
        </w:rPr>
        <w:t>кладете</w:t>
      </w:r>
      <w:r>
        <w:rPr>
          <w:i/>
          <w:spacing w:val="-13"/>
          <w:sz w:val="20"/>
        </w:rPr>
        <w:t> </w:t>
      </w:r>
      <w:r>
        <w:rPr>
          <w:i/>
          <w:sz w:val="20"/>
        </w:rPr>
        <w:t>на</w:t>
      </w:r>
      <w:r>
        <w:rPr>
          <w:i/>
          <w:spacing w:val="-12"/>
          <w:sz w:val="20"/>
        </w:rPr>
        <w:t> </w:t>
      </w:r>
      <w:r>
        <w:rPr>
          <w:i/>
          <w:sz w:val="20"/>
        </w:rPr>
        <w:t>землю</w:t>
      </w:r>
      <w:r>
        <w:rPr>
          <w:i/>
          <w:spacing w:val="-13"/>
          <w:sz w:val="20"/>
        </w:rPr>
        <w:t> </w:t>
      </w:r>
      <w:r>
        <w:rPr>
          <w:i/>
          <w:sz w:val="20"/>
        </w:rPr>
        <w:t>(на</w:t>
      </w:r>
      <w:r>
        <w:rPr>
          <w:i/>
          <w:spacing w:val="-12"/>
          <w:sz w:val="20"/>
        </w:rPr>
        <w:t> </w:t>
      </w:r>
      <w:r>
        <w:rPr>
          <w:i/>
          <w:sz w:val="20"/>
        </w:rPr>
        <w:t>пол).</w:t>
      </w:r>
    </w:p>
    <w:p>
      <w:pPr>
        <w:pStyle w:val="BodyText"/>
        <w:spacing w:line="227" w:lineRule="exact"/>
        <w:ind w:left="425" w:right="0" w:firstLine="0"/>
      </w:pPr>
      <w:r>
        <w:rPr>
          <w:spacing w:val="-5"/>
        </w:rPr>
        <w:t>Культура</w:t>
      </w:r>
      <w:r>
        <w:rPr>
          <w:spacing w:val="3"/>
        </w:rPr>
        <w:t> </w:t>
      </w:r>
      <w:r>
        <w:rPr>
          <w:spacing w:val="-10"/>
        </w:rPr>
        <w:t>Б</w:t>
      </w:r>
    </w:p>
    <w:p>
      <w:pPr>
        <w:pStyle w:val="ListParagraph"/>
        <w:numPr>
          <w:ilvl w:val="0"/>
          <w:numId w:val="275"/>
        </w:numPr>
        <w:tabs>
          <w:tab w:pos="587" w:val="left" w:leader="none"/>
        </w:tabs>
        <w:spacing w:line="235" w:lineRule="auto" w:before="2" w:after="0"/>
        <w:ind w:left="141" w:right="139" w:firstLine="283"/>
        <w:jc w:val="both"/>
        <w:rPr>
          <w:i/>
          <w:sz w:val="20"/>
        </w:rPr>
      </w:pPr>
      <w:r>
        <w:rPr>
          <w:i/>
          <w:sz w:val="20"/>
        </w:rPr>
        <w:t>Огромное внимание в вашей культуре уделяется глазам – это самое главное в человеке. В вашей культуре считается, что люди со светлыми и темными глазами не</w:t>
      </w:r>
      <w:r>
        <w:rPr>
          <w:i/>
          <w:spacing w:val="-13"/>
          <w:sz w:val="20"/>
        </w:rPr>
        <w:t> </w:t>
      </w:r>
      <w:r>
        <w:rPr>
          <w:i/>
          <w:sz w:val="20"/>
        </w:rPr>
        <w:t>должны</w:t>
      </w:r>
      <w:r>
        <w:rPr>
          <w:i/>
          <w:spacing w:val="-12"/>
          <w:sz w:val="20"/>
        </w:rPr>
        <w:t> </w:t>
      </w:r>
      <w:r>
        <w:rPr>
          <w:i/>
          <w:sz w:val="20"/>
        </w:rPr>
        <w:t>сидеть</w:t>
      </w:r>
      <w:r>
        <w:rPr>
          <w:i/>
          <w:spacing w:val="-13"/>
          <w:sz w:val="20"/>
        </w:rPr>
        <w:t> </w:t>
      </w:r>
      <w:r>
        <w:rPr>
          <w:i/>
          <w:sz w:val="20"/>
        </w:rPr>
        <w:t>рядом</w:t>
      </w:r>
      <w:r>
        <w:rPr>
          <w:i/>
          <w:spacing w:val="-12"/>
          <w:sz w:val="20"/>
        </w:rPr>
        <w:t> </w:t>
      </w:r>
      <w:r>
        <w:rPr>
          <w:i/>
          <w:sz w:val="20"/>
        </w:rPr>
        <w:t>друг</w:t>
      </w:r>
      <w:r>
        <w:rPr>
          <w:i/>
          <w:spacing w:val="-13"/>
          <w:sz w:val="20"/>
        </w:rPr>
        <w:t> </w:t>
      </w:r>
      <w:r>
        <w:rPr>
          <w:i/>
          <w:sz w:val="20"/>
        </w:rPr>
        <w:t>с</w:t>
      </w:r>
      <w:r>
        <w:rPr>
          <w:i/>
          <w:spacing w:val="-12"/>
          <w:sz w:val="20"/>
        </w:rPr>
        <w:t> </w:t>
      </w:r>
      <w:r>
        <w:rPr>
          <w:i/>
          <w:sz w:val="20"/>
        </w:rPr>
        <w:t>другом,</w:t>
      </w:r>
      <w:r>
        <w:rPr>
          <w:i/>
          <w:spacing w:val="-13"/>
          <w:sz w:val="20"/>
        </w:rPr>
        <w:t> </w:t>
      </w:r>
      <w:r>
        <w:rPr>
          <w:i/>
          <w:sz w:val="20"/>
        </w:rPr>
        <w:t>это</w:t>
      </w:r>
      <w:r>
        <w:rPr>
          <w:i/>
          <w:spacing w:val="-12"/>
          <w:sz w:val="20"/>
        </w:rPr>
        <w:t> </w:t>
      </w:r>
      <w:r>
        <w:rPr>
          <w:i/>
          <w:sz w:val="20"/>
        </w:rPr>
        <w:t>невежливо,</w:t>
      </w:r>
      <w:r>
        <w:rPr>
          <w:i/>
          <w:spacing w:val="-13"/>
          <w:sz w:val="20"/>
        </w:rPr>
        <w:t> </w:t>
      </w:r>
      <w:r>
        <w:rPr>
          <w:i/>
          <w:sz w:val="20"/>
        </w:rPr>
        <w:t>их</w:t>
      </w:r>
      <w:r>
        <w:rPr>
          <w:i/>
          <w:spacing w:val="-12"/>
          <w:sz w:val="20"/>
        </w:rPr>
        <w:t> </w:t>
      </w:r>
      <w:r>
        <w:rPr>
          <w:i/>
          <w:sz w:val="20"/>
        </w:rPr>
        <w:t>нужно</w:t>
      </w:r>
      <w:r>
        <w:rPr>
          <w:i/>
          <w:spacing w:val="-13"/>
          <w:sz w:val="20"/>
        </w:rPr>
        <w:t> </w:t>
      </w:r>
      <w:r>
        <w:rPr>
          <w:i/>
          <w:sz w:val="20"/>
        </w:rPr>
        <w:t>сажать</w:t>
      </w:r>
      <w:r>
        <w:rPr>
          <w:i/>
          <w:spacing w:val="-12"/>
          <w:sz w:val="20"/>
        </w:rPr>
        <w:t> </w:t>
      </w:r>
      <w:r>
        <w:rPr>
          <w:i/>
          <w:sz w:val="20"/>
        </w:rPr>
        <w:t>отдельно. Смотреть в глаза считается неприличным. Чтобы выразить симпатию и уваже- ние, нужно прикрыть глаза рукой.</w:t>
      </w:r>
    </w:p>
    <w:p>
      <w:pPr>
        <w:pStyle w:val="BodyText"/>
        <w:spacing w:line="227" w:lineRule="exact"/>
        <w:ind w:left="425" w:right="0" w:firstLine="0"/>
      </w:pPr>
      <w:r>
        <w:rPr>
          <w:spacing w:val="-5"/>
        </w:rPr>
        <w:t>Культура</w:t>
      </w:r>
      <w:r>
        <w:rPr>
          <w:spacing w:val="3"/>
        </w:rPr>
        <w:t> </w:t>
      </w:r>
      <w:r>
        <w:rPr>
          <w:spacing w:val="-10"/>
        </w:rPr>
        <w:t>В</w:t>
      </w:r>
    </w:p>
    <w:p>
      <w:pPr>
        <w:pStyle w:val="ListParagraph"/>
        <w:numPr>
          <w:ilvl w:val="0"/>
          <w:numId w:val="275"/>
        </w:numPr>
        <w:tabs>
          <w:tab w:pos="590" w:val="left" w:leader="none"/>
        </w:tabs>
        <w:spacing w:line="235" w:lineRule="auto" w:before="1" w:after="0"/>
        <w:ind w:left="141" w:right="139" w:firstLine="283"/>
        <w:jc w:val="both"/>
        <w:rPr>
          <w:i/>
          <w:sz w:val="20"/>
        </w:rPr>
      </w:pPr>
      <w:r>
        <w:rPr>
          <w:i/>
          <w:sz w:val="20"/>
        </w:rPr>
        <w:t>Самые уважаемые люди – это люди с большим размером ноги. Их нужно об- наружить</w:t>
      </w:r>
      <w:r>
        <w:rPr>
          <w:i/>
          <w:spacing w:val="-5"/>
          <w:sz w:val="20"/>
        </w:rPr>
        <w:t> </w:t>
      </w:r>
      <w:r>
        <w:rPr>
          <w:i/>
          <w:sz w:val="20"/>
        </w:rPr>
        <w:t>среди</w:t>
      </w:r>
      <w:r>
        <w:rPr>
          <w:i/>
          <w:spacing w:val="-5"/>
          <w:sz w:val="20"/>
        </w:rPr>
        <w:t> </w:t>
      </w:r>
      <w:r>
        <w:rPr>
          <w:i/>
          <w:sz w:val="20"/>
        </w:rPr>
        <w:t>гостей</w:t>
      </w:r>
      <w:r>
        <w:rPr>
          <w:i/>
          <w:spacing w:val="-5"/>
          <w:sz w:val="20"/>
        </w:rPr>
        <w:t> </w:t>
      </w:r>
      <w:r>
        <w:rPr>
          <w:i/>
          <w:sz w:val="20"/>
        </w:rPr>
        <w:t>и</w:t>
      </w:r>
      <w:r>
        <w:rPr>
          <w:i/>
          <w:spacing w:val="-5"/>
          <w:sz w:val="20"/>
        </w:rPr>
        <w:t> </w:t>
      </w:r>
      <w:r>
        <w:rPr>
          <w:i/>
          <w:sz w:val="20"/>
        </w:rPr>
        <w:t>посадить</w:t>
      </w:r>
      <w:r>
        <w:rPr>
          <w:i/>
          <w:spacing w:val="-5"/>
          <w:sz w:val="20"/>
        </w:rPr>
        <w:t> </w:t>
      </w:r>
      <w:r>
        <w:rPr>
          <w:i/>
          <w:sz w:val="20"/>
        </w:rPr>
        <w:t>на</w:t>
      </w:r>
      <w:r>
        <w:rPr>
          <w:i/>
          <w:spacing w:val="-5"/>
          <w:sz w:val="20"/>
        </w:rPr>
        <w:t> </w:t>
      </w:r>
      <w:r>
        <w:rPr>
          <w:i/>
          <w:sz w:val="20"/>
        </w:rPr>
        <w:t>почетное</w:t>
      </w:r>
      <w:r>
        <w:rPr>
          <w:i/>
          <w:spacing w:val="-5"/>
          <w:sz w:val="20"/>
        </w:rPr>
        <w:t> </w:t>
      </w:r>
      <w:r>
        <w:rPr>
          <w:i/>
          <w:sz w:val="20"/>
        </w:rPr>
        <w:t>место.</w:t>
      </w:r>
      <w:r>
        <w:rPr>
          <w:i/>
          <w:spacing w:val="-6"/>
          <w:sz w:val="20"/>
        </w:rPr>
        <w:t> </w:t>
      </w:r>
      <w:r>
        <w:rPr>
          <w:i/>
          <w:sz w:val="20"/>
        </w:rPr>
        <w:t>Особой</w:t>
      </w:r>
      <w:r>
        <w:rPr>
          <w:i/>
          <w:spacing w:val="-5"/>
          <w:sz w:val="20"/>
        </w:rPr>
        <w:t> </w:t>
      </w:r>
      <w:r>
        <w:rPr>
          <w:i/>
          <w:sz w:val="20"/>
        </w:rPr>
        <w:t>ценностью</w:t>
      </w:r>
      <w:r>
        <w:rPr>
          <w:i/>
          <w:spacing w:val="-6"/>
          <w:sz w:val="20"/>
        </w:rPr>
        <w:t> </w:t>
      </w:r>
      <w:r>
        <w:rPr>
          <w:i/>
          <w:sz w:val="20"/>
        </w:rPr>
        <w:t>в</w:t>
      </w:r>
      <w:r>
        <w:rPr>
          <w:i/>
          <w:spacing w:val="-5"/>
          <w:sz w:val="20"/>
        </w:rPr>
        <w:t> </w:t>
      </w:r>
      <w:r>
        <w:rPr>
          <w:i/>
          <w:sz w:val="20"/>
        </w:rPr>
        <w:t>вашей культуре</w:t>
      </w:r>
      <w:r>
        <w:rPr>
          <w:i/>
          <w:spacing w:val="-11"/>
          <w:sz w:val="20"/>
        </w:rPr>
        <w:t> </w:t>
      </w:r>
      <w:r>
        <w:rPr>
          <w:i/>
          <w:sz w:val="20"/>
        </w:rPr>
        <w:t>обладает</w:t>
      </w:r>
      <w:r>
        <w:rPr>
          <w:i/>
          <w:spacing w:val="-11"/>
          <w:sz w:val="20"/>
        </w:rPr>
        <w:t> </w:t>
      </w:r>
      <w:r>
        <w:rPr>
          <w:i/>
          <w:sz w:val="20"/>
        </w:rPr>
        <w:t>вода.</w:t>
      </w:r>
      <w:r>
        <w:rPr>
          <w:i/>
          <w:spacing w:val="-11"/>
          <w:sz w:val="20"/>
        </w:rPr>
        <w:t> </w:t>
      </w:r>
      <w:r>
        <w:rPr>
          <w:i/>
          <w:sz w:val="20"/>
        </w:rPr>
        <w:t>С</w:t>
      </w:r>
      <w:r>
        <w:rPr>
          <w:i/>
          <w:spacing w:val="-11"/>
          <w:sz w:val="20"/>
        </w:rPr>
        <w:t> </w:t>
      </w:r>
      <w:r>
        <w:rPr>
          <w:i/>
          <w:sz w:val="20"/>
        </w:rPr>
        <w:t>помощью</w:t>
      </w:r>
      <w:r>
        <w:rPr>
          <w:i/>
          <w:spacing w:val="-11"/>
          <w:sz w:val="20"/>
        </w:rPr>
        <w:t> </w:t>
      </w:r>
      <w:r>
        <w:rPr>
          <w:i/>
          <w:sz w:val="20"/>
        </w:rPr>
        <w:t>воды</w:t>
      </w:r>
      <w:r>
        <w:rPr>
          <w:i/>
          <w:spacing w:val="-11"/>
          <w:sz w:val="20"/>
        </w:rPr>
        <w:t> </w:t>
      </w:r>
      <w:r>
        <w:rPr>
          <w:i/>
          <w:sz w:val="20"/>
        </w:rPr>
        <w:t>можно</w:t>
      </w:r>
      <w:r>
        <w:rPr>
          <w:i/>
          <w:spacing w:val="-11"/>
          <w:sz w:val="20"/>
        </w:rPr>
        <w:t> </w:t>
      </w:r>
      <w:r>
        <w:rPr>
          <w:i/>
          <w:sz w:val="20"/>
        </w:rPr>
        <w:t>защититься</w:t>
      </w:r>
      <w:r>
        <w:rPr>
          <w:i/>
          <w:spacing w:val="-11"/>
          <w:sz w:val="20"/>
        </w:rPr>
        <w:t> </w:t>
      </w:r>
      <w:r>
        <w:rPr>
          <w:i/>
          <w:sz w:val="20"/>
        </w:rPr>
        <w:t>от</w:t>
      </w:r>
      <w:r>
        <w:rPr>
          <w:i/>
          <w:spacing w:val="-11"/>
          <w:sz w:val="20"/>
        </w:rPr>
        <w:t> </w:t>
      </w:r>
      <w:r>
        <w:rPr>
          <w:i/>
          <w:sz w:val="20"/>
        </w:rPr>
        <w:t>неблагоприятных воздействий или выразить наилучшие пожелания. Гостей нужно напоить водой. При</w:t>
      </w:r>
      <w:r>
        <w:rPr>
          <w:i/>
          <w:spacing w:val="-5"/>
          <w:sz w:val="20"/>
        </w:rPr>
        <w:t> </w:t>
      </w:r>
      <w:r>
        <w:rPr>
          <w:i/>
          <w:sz w:val="20"/>
        </w:rPr>
        <w:t>этом</w:t>
      </w:r>
      <w:r>
        <w:rPr>
          <w:i/>
          <w:spacing w:val="-5"/>
          <w:sz w:val="20"/>
        </w:rPr>
        <w:t> </w:t>
      </w:r>
      <w:r>
        <w:rPr>
          <w:i/>
          <w:sz w:val="20"/>
        </w:rPr>
        <w:t>самые</w:t>
      </w:r>
      <w:r>
        <w:rPr>
          <w:i/>
          <w:spacing w:val="-5"/>
          <w:sz w:val="20"/>
        </w:rPr>
        <w:t> </w:t>
      </w:r>
      <w:r>
        <w:rPr>
          <w:i/>
          <w:sz w:val="20"/>
        </w:rPr>
        <w:t>уважаемые</w:t>
      </w:r>
      <w:r>
        <w:rPr>
          <w:i/>
          <w:spacing w:val="-5"/>
          <w:sz w:val="20"/>
        </w:rPr>
        <w:t> </w:t>
      </w:r>
      <w:r>
        <w:rPr>
          <w:i/>
          <w:sz w:val="20"/>
        </w:rPr>
        <w:t>люди</w:t>
      </w:r>
      <w:r>
        <w:rPr>
          <w:i/>
          <w:spacing w:val="-5"/>
          <w:sz w:val="20"/>
        </w:rPr>
        <w:t> </w:t>
      </w:r>
      <w:r>
        <w:rPr>
          <w:i/>
          <w:sz w:val="20"/>
        </w:rPr>
        <w:t>должны</w:t>
      </w:r>
      <w:r>
        <w:rPr>
          <w:i/>
          <w:spacing w:val="-5"/>
          <w:sz w:val="20"/>
        </w:rPr>
        <w:t> </w:t>
      </w:r>
      <w:r>
        <w:rPr>
          <w:i/>
          <w:sz w:val="20"/>
        </w:rPr>
        <w:t>пить</w:t>
      </w:r>
      <w:r>
        <w:rPr>
          <w:i/>
          <w:spacing w:val="-5"/>
          <w:sz w:val="20"/>
        </w:rPr>
        <w:t> </w:t>
      </w:r>
      <w:r>
        <w:rPr>
          <w:i/>
          <w:sz w:val="20"/>
        </w:rPr>
        <w:t>сами,</w:t>
      </w:r>
      <w:r>
        <w:rPr>
          <w:i/>
          <w:spacing w:val="-5"/>
          <w:sz w:val="20"/>
        </w:rPr>
        <w:t> </w:t>
      </w:r>
      <w:r>
        <w:rPr>
          <w:i/>
          <w:sz w:val="20"/>
        </w:rPr>
        <w:t>а</w:t>
      </w:r>
      <w:r>
        <w:rPr>
          <w:i/>
          <w:spacing w:val="-5"/>
          <w:sz w:val="20"/>
        </w:rPr>
        <w:t> </w:t>
      </w:r>
      <w:r>
        <w:rPr>
          <w:i/>
          <w:sz w:val="20"/>
        </w:rPr>
        <w:t>остальных</w:t>
      </w:r>
      <w:r>
        <w:rPr>
          <w:i/>
          <w:spacing w:val="-5"/>
          <w:sz w:val="20"/>
        </w:rPr>
        <w:t> </w:t>
      </w:r>
      <w:r>
        <w:rPr>
          <w:i/>
          <w:sz w:val="20"/>
        </w:rPr>
        <w:t>нужно</w:t>
      </w:r>
      <w:r>
        <w:rPr>
          <w:i/>
          <w:spacing w:val="-5"/>
          <w:sz w:val="20"/>
        </w:rPr>
        <w:t> </w:t>
      </w:r>
      <w:r>
        <w:rPr>
          <w:i/>
          <w:sz w:val="20"/>
        </w:rPr>
        <w:t>напоить из стакана.</w:t>
      </w:r>
    </w:p>
    <w:p>
      <w:pPr>
        <w:pStyle w:val="BodyText"/>
        <w:spacing w:line="235" w:lineRule="auto" w:before="117"/>
      </w:pPr>
      <w:r>
        <w:rPr/>
        <w:t>Группы</w:t>
      </w:r>
      <w:r>
        <w:rPr>
          <w:spacing w:val="-13"/>
        </w:rPr>
        <w:t> </w:t>
      </w:r>
      <w:r>
        <w:rPr/>
        <w:t>готовят</w:t>
      </w:r>
      <w:r>
        <w:rPr>
          <w:spacing w:val="-12"/>
        </w:rPr>
        <w:t> </w:t>
      </w:r>
      <w:r>
        <w:rPr/>
        <w:t>ритуал</w:t>
      </w:r>
      <w:r>
        <w:rPr>
          <w:spacing w:val="-13"/>
        </w:rPr>
        <w:t> </w:t>
      </w:r>
      <w:r>
        <w:rPr/>
        <w:t>приветствия</w:t>
      </w:r>
      <w:r>
        <w:rPr>
          <w:spacing w:val="-12"/>
        </w:rPr>
        <w:t> </w:t>
      </w:r>
      <w:r>
        <w:rPr/>
        <w:t>и</w:t>
      </w:r>
      <w:r>
        <w:rPr>
          <w:spacing w:val="-13"/>
        </w:rPr>
        <w:t> </w:t>
      </w:r>
      <w:r>
        <w:rPr/>
        <w:t>демонстрируют</w:t>
      </w:r>
      <w:r>
        <w:rPr>
          <w:spacing w:val="-12"/>
        </w:rPr>
        <w:t> </w:t>
      </w:r>
      <w:r>
        <w:rPr/>
        <w:t>его</w:t>
      </w:r>
      <w:r>
        <w:rPr>
          <w:spacing w:val="-13"/>
        </w:rPr>
        <w:t> </w:t>
      </w:r>
      <w:r>
        <w:rPr/>
        <w:t>другой</w:t>
      </w:r>
      <w:r>
        <w:rPr>
          <w:spacing w:val="-12"/>
        </w:rPr>
        <w:t> </w:t>
      </w:r>
      <w:r>
        <w:rPr/>
        <w:t>группе,</w:t>
      </w:r>
      <w:r>
        <w:rPr>
          <w:spacing w:val="-13"/>
        </w:rPr>
        <w:t> </w:t>
      </w:r>
      <w:r>
        <w:rPr/>
        <w:t>участни- ки которой выступают в качестве туристов. Их просят поделиться впечатлениями и выводами о том, что свойственно жителям данной страны.</w:t>
      </w:r>
    </w:p>
    <w:p>
      <w:pPr>
        <w:spacing w:before="112"/>
        <w:ind w:left="3212" w:right="0" w:firstLine="0"/>
        <w:jc w:val="both"/>
        <w:rPr>
          <w:b/>
          <w:sz w:val="20"/>
        </w:rPr>
      </w:pPr>
      <w:r>
        <w:rPr>
          <w:b/>
          <w:color w:val="231F20"/>
          <w:sz w:val="20"/>
        </w:rPr>
        <w:t>«Города</w:t>
      </w:r>
      <w:r>
        <w:rPr>
          <w:b/>
          <w:color w:val="231F20"/>
          <w:spacing w:val="-13"/>
          <w:sz w:val="20"/>
        </w:rPr>
        <w:t> </w:t>
      </w:r>
      <w:r>
        <w:rPr>
          <w:b/>
          <w:color w:val="231F20"/>
          <w:sz w:val="20"/>
        </w:rPr>
        <w:t>–</w:t>
      </w:r>
      <w:r>
        <w:rPr>
          <w:b/>
          <w:color w:val="231F20"/>
          <w:spacing w:val="-12"/>
          <w:sz w:val="20"/>
        </w:rPr>
        <w:t> </w:t>
      </w:r>
      <w:r>
        <w:rPr>
          <w:b/>
          <w:color w:val="231F20"/>
          <w:spacing w:val="-5"/>
          <w:sz w:val="20"/>
        </w:rPr>
        <w:t>1»</w:t>
      </w:r>
    </w:p>
    <w:p>
      <w:pPr>
        <w:spacing w:before="109"/>
        <w:ind w:left="3872" w:right="0" w:firstLine="0"/>
        <w:jc w:val="both"/>
        <w:rPr>
          <w:i/>
          <w:sz w:val="20"/>
        </w:rPr>
      </w:pPr>
      <w:r>
        <w:rPr>
          <w:b/>
          <w:i/>
          <w:color w:val="231F20"/>
          <w:sz w:val="20"/>
        </w:rPr>
        <w:t>Источник</w:t>
      </w:r>
      <w:r>
        <w:rPr>
          <w:i/>
          <w:color w:val="231F20"/>
          <w:sz w:val="20"/>
        </w:rPr>
        <w:t>:</w:t>
      </w:r>
      <w:r>
        <w:rPr>
          <w:i/>
          <w:color w:val="231F20"/>
          <w:spacing w:val="-6"/>
          <w:sz w:val="20"/>
        </w:rPr>
        <w:t> </w:t>
      </w:r>
      <w:r>
        <w:rPr>
          <w:i/>
          <w:color w:val="231F20"/>
          <w:sz w:val="20"/>
        </w:rPr>
        <w:t>разработка</w:t>
      </w:r>
      <w:r>
        <w:rPr>
          <w:i/>
          <w:color w:val="231F20"/>
          <w:spacing w:val="-6"/>
          <w:sz w:val="20"/>
        </w:rPr>
        <w:t> </w:t>
      </w:r>
      <w:r>
        <w:rPr>
          <w:i/>
          <w:color w:val="231F20"/>
          <w:sz w:val="20"/>
        </w:rPr>
        <w:t>М.Ю.</w:t>
      </w:r>
      <w:r>
        <w:rPr>
          <w:i/>
          <w:color w:val="231F20"/>
          <w:spacing w:val="-6"/>
          <w:sz w:val="20"/>
        </w:rPr>
        <w:t> </w:t>
      </w:r>
      <w:r>
        <w:rPr>
          <w:i/>
          <w:color w:val="231F20"/>
          <w:spacing w:val="-2"/>
          <w:sz w:val="20"/>
        </w:rPr>
        <w:t>Чибисовой</w:t>
      </w:r>
    </w:p>
    <w:p>
      <w:pPr>
        <w:spacing w:line="228" w:lineRule="exact" w:before="110"/>
        <w:ind w:left="425" w:right="0" w:firstLine="0"/>
        <w:jc w:val="left"/>
        <w:rPr>
          <w:b/>
          <w:sz w:val="20"/>
        </w:rPr>
      </w:pPr>
      <w:r>
        <w:rPr>
          <w:b/>
          <w:color w:val="231F20"/>
          <w:spacing w:val="-2"/>
          <w:sz w:val="20"/>
        </w:rPr>
        <w:t>Инструкция</w:t>
      </w:r>
    </w:p>
    <w:p>
      <w:pPr>
        <w:pStyle w:val="ListParagraph"/>
        <w:numPr>
          <w:ilvl w:val="0"/>
          <w:numId w:val="275"/>
        </w:numPr>
        <w:tabs>
          <w:tab w:pos="566" w:val="left" w:leader="none"/>
        </w:tabs>
        <w:spacing w:line="235" w:lineRule="auto" w:before="1" w:after="0"/>
        <w:ind w:left="141" w:right="139" w:firstLine="283"/>
        <w:jc w:val="both"/>
        <w:rPr>
          <w:i/>
          <w:color w:val="231F20"/>
          <w:sz w:val="20"/>
        </w:rPr>
      </w:pPr>
      <w:r>
        <w:rPr>
          <w:i/>
          <w:color w:val="231F20"/>
          <w:sz w:val="20"/>
        </w:rPr>
        <w:t>Вы</w:t>
      </w:r>
      <w:r>
        <w:rPr>
          <w:i/>
          <w:color w:val="231F20"/>
          <w:spacing w:val="-13"/>
          <w:sz w:val="20"/>
        </w:rPr>
        <w:t> </w:t>
      </w:r>
      <w:r>
        <w:rPr>
          <w:i/>
          <w:color w:val="231F20"/>
          <w:sz w:val="20"/>
        </w:rPr>
        <w:t>все</w:t>
      </w:r>
      <w:r>
        <w:rPr>
          <w:i/>
          <w:color w:val="231F20"/>
          <w:spacing w:val="-12"/>
          <w:sz w:val="20"/>
        </w:rPr>
        <w:t> </w:t>
      </w:r>
      <w:r>
        <w:rPr>
          <w:i/>
          <w:color w:val="231F20"/>
          <w:sz w:val="20"/>
        </w:rPr>
        <w:t>–</w:t>
      </w:r>
      <w:r>
        <w:rPr>
          <w:i/>
          <w:color w:val="231F20"/>
          <w:spacing w:val="-13"/>
          <w:sz w:val="20"/>
        </w:rPr>
        <w:t> </w:t>
      </w:r>
      <w:r>
        <w:rPr>
          <w:i/>
          <w:color w:val="231F20"/>
          <w:sz w:val="20"/>
        </w:rPr>
        <w:t>жители</w:t>
      </w:r>
      <w:r>
        <w:rPr>
          <w:i/>
          <w:color w:val="231F20"/>
          <w:spacing w:val="-12"/>
          <w:sz w:val="20"/>
        </w:rPr>
        <w:t> </w:t>
      </w:r>
      <w:r>
        <w:rPr>
          <w:i/>
          <w:color w:val="231F20"/>
          <w:sz w:val="20"/>
        </w:rPr>
        <w:t>разных</w:t>
      </w:r>
      <w:r>
        <w:rPr>
          <w:i/>
          <w:color w:val="231F20"/>
          <w:spacing w:val="-13"/>
          <w:sz w:val="20"/>
        </w:rPr>
        <w:t> </w:t>
      </w:r>
      <w:r>
        <w:rPr>
          <w:i/>
          <w:color w:val="231F20"/>
          <w:sz w:val="20"/>
        </w:rPr>
        <w:t>городов.</w:t>
      </w:r>
      <w:r>
        <w:rPr>
          <w:i/>
          <w:color w:val="231F20"/>
          <w:spacing w:val="-12"/>
          <w:sz w:val="20"/>
        </w:rPr>
        <w:t> </w:t>
      </w:r>
      <w:r>
        <w:rPr>
          <w:i/>
          <w:color w:val="231F20"/>
          <w:sz w:val="20"/>
        </w:rPr>
        <w:t>Жители</w:t>
      </w:r>
      <w:r>
        <w:rPr>
          <w:i/>
          <w:color w:val="231F20"/>
          <w:spacing w:val="-13"/>
          <w:sz w:val="20"/>
        </w:rPr>
        <w:t> </w:t>
      </w:r>
      <w:r>
        <w:rPr>
          <w:i/>
          <w:color w:val="231F20"/>
          <w:sz w:val="20"/>
        </w:rPr>
        <w:t>одного</w:t>
      </w:r>
      <w:r>
        <w:rPr>
          <w:i/>
          <w:color w:val="231F20"/>
          <w:spacing w:val="-12"/>
          <w:sz w:val="20"/>
        </w:rPr>
        <w:t> </w:t>
      </w:r>
      <w:r>
        <w:rPr>
          <w:i/>
          <w:color w:val="231F20"/>
          <w:sz w:val="20"/>
        </w:rPr>
        <w:t>города</w:t>
      </w:r>
      <w:r>
        <w:rPr>
          <w:i/>
          <w:color w:val="231F20"/>
          <w:spacing w:val="-13"/>
          <w:sz w:val="20"/>
        </w:rPr>
        <w:t> </w:t>
      </w:r>
      <w:r>
        <w:rPr>
          <w:i/>
          <w:color w:val="231F20"/>
          <w:sz w:val="20"/>
        </w:rPr>
        <w:t>чем-то</w:t>
      </w:r>
      <w:r>
        <w:rPr>
          <w:i/>
          <w:color w:val="231F20"/>
          <w:spacing w:val="-12"/>
          <w:sz w:val="20"/>
        </w:rPr>
        <w:t> </w:t>
      </w:r>
      <w:r>
        <w:rPr>
          <w:i/>
          <w:color w:val="231F20"/>
          <w:sz w:val="20"/>
        </w:rPr>
        <w:t>похожи</w:t>
      </w:r>
      <w:r>
        <w:rPr>
          <w:i/>
          <w:color w:val="231F20"/>
          <w:spacing w:val="-13"/>
          <w:sz w:val="20"/>
        </w:rPr>
        <w:t> </w:t>
      </w:r>
      <w:r>
        <w:rPr>
          <w:i/>
          <w:color w:val="231F20"/>
          <w:sz w:val="20"/>
        </w:rPr>
        <w:t>друг</w:t>
      </w:r>
      <w:r>
        <w:rPr>
          <w:i/>
          <w:color w:val="231F20"/>
          <w:spacing w:val="-12"/>
          <w:sz w:val="20"/>
        </w:rPr>
        <w:t> </w:t>
      </w:r>
      <w:r>
        <w:rPr>
          <w:i/>
          <w:color w:val="231F20"/>
          <w:sz w:val="20"/>
        </w:rPr>
        <w:t>на друга, но во всех городах любят общаться, высказывать свое мнение по разным во- просам.</w:t>
      </w:r>
      <w:r>
        <w:rPr>
          <w:i/>
          <w:color w:val="231F20"/>
          <w:spacing w:val="-10"/>
          <w:sz w:val="20"/>
        </w:rPr>
        <w:t> </w:t>
      </w:r>
      <w:r>
        <w:rPr>
          <w:i/>
          <w:color w:val="231F20"/>
          <w:sz w:val="20"/>
        </w:rPr>
        <w:t>Именно</w:t>
      </w:r>
      <w:r>
        <w:rPr>
          <w:i/>
          <w:color w:val="231F20"/>
          <w:spacing w:val="-8"/>
          <w:sz w:val="20"/>
        </w:rPr>
        <w:t> </w:t>
      </w:r>
      <w:r>
        <w:rPr>
          <w:i/>
          <w:color w:val="231F20"/>
          <w:sz w:val="20"/>
        </w:rPr>
        <w:t>этим</w:t>
      </w:r>
      <w:r>
        <w:rPr>
          <w:i/>
          <w:color w:val="231F20"/>
          <w:spacing w:val="-7"/>
          <w:sz w:val="20"/>
        </w:rPr>
        <w:t> </w:t>
      </w:r>
      <w:r>
        <w:rPr>
          <w:i/>
          <w:color w:val="231F20"/>
          <w:sz w:val="20"/>
        </w:rPr>
        <w:t>мы</w:t>
      </w:r>
      <w:r>
        <w:rPr>
          <w:i/>
          <w:color w:val="231F20"/>
          <w:spacing w:val="-8"/>
          <w:sz w:val="20"/>
        </w:rPr>
        <w:t> </w:t>
      </w:r>
      <w:r>
        <w:rPr>
          <w:i/>
          <w:color w:val="231F20"/>
          <w:sz w:val="20"/>
        </w:rPr>
        <w:t>с</w:t>
      </w:r>
      <w:r>
        <w:rPr>
          <w:i/>
          <w:color w:val="231F20"/>
          <w:spacing w:val="-7"/>
          <w:sz w:val="20"/>
        </w:rPr>
        <w:t> </w:t>
      </w:r>
      <w:r>
        <w:rPr>
          <w:i/>
          <w:color w:val="231F20"/>
          <w:sz w:val="20"/>
        </w:rPr>
        <w:t>вами</w:t>
      </w:r>
      <w:r>
        <w:rPr>
          <w:i/>
          <w:color w:val="231F20"/>
          <w:spacing w:val="-8"/>
          <w:sz w:val="20"/>
        </w:rPr>
        <w:t> </w:t>
      </w:r>
      <w:r>
        <w:rPr>
          <w:i/>
          <w:color w:val="231F20"/>
          <w:sz w:val="20"/>
        </w:rPr>
        <w:t>и</w:t>
      </w:r>
      <w:r>
        <w:rPr>
          <w:i/>
          <w:color w:val="231F20"/>
          <w:spacing w:val="-8"/>
          <w:sz w:val="20"/>
        </w:rPr>
        <w:t> </w:t>
      </w:r>
      <w:r>
        <w:rPr>
          <w:i/>
          <w:color w:val="231F20"/>
          <w:sz w:val="20"/>
        </w:rPr>
        <w:t>будем</w:t>
      </w:r>
      <w:r>
        <w:rPr>
          <w:i/>
          <w:color w:val="231F20"/>
          <w:spacing w:val="-7"/>
          <w:sz w:val="20"/>
        </w:rPr>
        <w:t> </w:t>
      </w:r>
      <w:r>
        <w:rPr>
          <w:i/>
          <w:color w:val="231F20"/>
          <w:sz w:val="20"/>
        </w:rPr>
        <w:t>заниматься.</w:t>
      </w:r>
      <w:r>
        <w:rPr>
          <w:i/>
          <w:color w:val="231F20"/>
          <w:spacing w:val="-8"/>
          <w:sz w:val="20"/>
        </w:rPr>
        <w:t> </w:t>
      </w:r>
      <w:r>
        <w:rPr>
          <w:i/>
          <w:color w:val="231F20"/>
          <w:sz w:val="20"/>
        </w:rPr>
        <w:t>Начнем</w:t>
      </w:r>
      <w:r>
        <w:rPr>
          <w:i/>
          <w:color w:val="231F20"/>
          <w:spacing w:val="-7"/>
          <w:sz w:val="20"/>
        </w:rPr>
        <w:t> </w:t>
      </w:r>
      <w:r>
        <w:rPr>
          <w:i/>
          <w:color w:val="231F20"/>
          <w:sz w:val="20"/>
        </w:rPr>
        <w:t>разговаривать</w:t>
      </w:r>
      <w:r>
        <w:rPr>
          <w:i/>
          <w:color w:val="231F20"/>
          <w:spacing w:val="-8"/>
          <w:sz w:val="20"/>
        </w:rPr>
        <w:t> </w:t>
      </w:r>
      <w:r>
        <w:rPr>
          <w:i/>
          <w:color w:val="231F20"/>
          <w:sz w:val="20"/>
        </w:rPr>
        <w:t>в</w:t>
      </w:r>
      <w:r>
        <w:rPr>
          <w:i/>
          <w:color w:val="231F20"/>
          <w:spacing w:val="-7"/>
          <w:sz w:val="20"/>
        </w:rPr>
        <w:t> </w:t>
      </w:r>
      <w:r>
        <w:rPr>
          <w:i/>
          <w:color w:val="231F20"/>
          <w:spacing w:val="-2"/>
          <w:sz w:val="20"/>
        </w:rPr>
        <w:t>своем</w:t>
      </w:r>
    </w:p>
    <w:p>
      <w:pPr>
        <w:pStyle w:val="ListParagraph"/>
        <w:spacing w:after="0" w:line="235" w:lineRule="auto"/>
        <w:jc w:val="both"/>
        <w:rPr>
          <w:i/>
          <w:sz w:val="20"/>
        </w:rPr>
        <w:sectPr>
          <w:pgSz w:w="8400" w:h="11910"/>
          <w:pgMar w:header="0" w:footer="530" w:top="400" w:bottom="720" w:left="425" w:right="425"/>
        </w:sectPr>
      </w:pPr>
    </w:p>
    <w:p>
      <w:pPr>
        <w:pStyle w:val="ListParagraph"/>
        <w:numPr>
          <w:ilvl w:val="1"/>
          <w:numId w:val="276"/>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Активности</w:t>
      </w:r>
      <w:r>
        <w:rPr>
          <w:rFonts w:ascii="Georgia" w:hAnsi="Georgia"/>
          <w:color w:val="231F20"/>
          <w:spacing w:val="15"/>
          <w:sz w:val="18"/>
        </w:rPr>
        <w:t> </w:t>
      </w:r>
      <w:r>
        <w:rPr>
          <w:rFonts w:ascii="Georgia" w:hAnsi="Georgia"/>
          <w:color w:val="231F20"/>
          <w:sz w:val="18"/>
        </w:rPr>
        <w:t>межкультурного</w:t>
      </w:r>
      <w:r>
        <w:rPr>
          <w:rFonts w:ascii="Georgia" w:hAnsi="Georgia"/>
          <w:color w:val="231F20"/>
          <w:spacing w:val="15"/>
          <w:sz w:val="18"/>
        </w:rPr>
        <w:t> </w:t>
      </w:r>
      <w:r>
        <w:rPr>
          <w:rFonts w:ascii="Georgia" w:hAnsi="Georgia"/>
          <w:color w:val="231F20"/>
          <w:sz w:val="18"/>
        </w:rPr>
        <w:t>тренинга</w:t>
      </w:r>
      <w:r>
        <w:rPr>
          <w:rFonts w:ascii="Georgia" w:hAnsi="Georgia"/>
          <w:color w:val="231F20"/>
          <w:spacing w:val="16"/>
          <w:sz w:val="18"/>
        </w:rPr>
        <w:t> </w:t>
      </w:r>
      <w:r>
        <w:rPr>
          <w:rFonts w:ascii="Georgia" w:hAnsi="Georgia"/>
          <w:color w:val="231F20"/>
          <w:sz w:val="18"/>
        </w:rPr>
        <w:t>для</w:t>
      </w:r>
      <w:r>
        <w:rPr>
          <w:rFonts w:ascii="Georgia" w:hAnsi="Georgia"/>
          <w:color w:val="231F20"/>
          <w:spacing w:val="15"/>
          <w:sz w:val="18"/>
        </w:rPr>
        <w:t> </w:t>
      </w:r>
      <w:r>
        <w:rPr>
          <w:rFonts w:ascii="Georgia" w:hAnsi="Georgia"/>
          <w:color w:val="231F20"/>
          <w:sz w:val="18"/>
        </w:rPr>
        <w:t>поликультурного</w:t>
      </w:r>
      <w:r>
        <w:rPr>
          <w:rFonts w:ascii="Georgia" w:hAnsi="Georgia"/>
          <w:color w:val="231F20"/>
          <w:spacing w:val="16"/>
          <w:sz w:val="18"/>
        </w:rPr>
        <w:t> </w:t>
      </w:r>
      <w:r>
        <w:rPr>
          <w:rFonts w:ascii="Georgia" w:hAnsi="Georgia"/>
          <w:color w:val="231F20"/>
          <w:spacing w:val="-2"/>
          <w:sz w:val="18"/>
        </w:rPr>
        <w:t>класса</w:t>
      </w:r>
    </w:p>
    <w:p>
      <w:pPr>
        <w:spacing w:line="228" w:lineRule="auto" w:before="122"/>
        <w:ind w:left="141" w:right="139" w:firstLine="0"/>
        <w:jc w:val="both"/>
        <w:rPr>
          <w:i/>
          <w:sz w:val="20"/>
        </w:rPr>
      </w:pPr>
      <w:r>
        <w:rPr>
          <w:i/>
          <w:color w:val="231F20"/>
          <w:sz w:val="20"/>
        </w:rPr>
        <w:t>городе, а затем получим возможность познакомиться с соседями. Сейчас жители каждого города получат карточку, на которой написано, чем именно вы похожи. Прочтите ее молча и отложите в сторону.</w:t>
      </w:r>
    </w:p>
    <w:p>
      <w:pPr>
        <w:spacing w:line="224" w:lineRule="exact" w:before="102"/>
        <w:ind w:left="425" w:right="0" w:firstLine="0"/>
        <w:jc w:val="both"/>
        <w:rPr>
          <w:b/>
          <w:sz w:val="20"/>
        </w:rPr>
      </w:pPr>
      <w:r>
        <w:rPr>
          <w:b/>
          <w:color w:val="231F20"/>
          <w:spacing w:val="-2"/>
          <w:sz w:val="20"/>
        </w:rPr>
        <w:t>Ход</w:t>
      </w:r>
      <w:r>
        <w:rPr>
          <w:b/>
          <w:color w:val="231F20"/>
          <w:spacing w:val="-7"/>
          <w:sz w:val="20"/>
        </w:rPr>
        <w:t> </w:t>
      </w:r>
      <w:r>
        <w:rPr>
          <w:b/>
          <w:color w:val="231F20"/>
          <w:spacing w:val="-4"/>
          <w:sz w:val="20"/>
        </w:rPr>
        <w:t>игры</w:t>
      </w:r>
    </w:p>
    <w:p>
      <w:pPr>
        <w:pStyle w:val="BodyText"/>
        <w:spacing w:line="228" w:lineRule="auto" w:before="3"/>
      </w:pPr>
      <w:r>
        <w:rPr>
          <w:color w:val="231F20"/>
        </w:rPr>
        <w:t>Участники делятся на три группы: города А, Б и В. Каждая группа получает кар- точку</w:t>
      </w:r>
      <w:r>
        <w:rPr>
          <w:color w:val="231F20"/>
          <w:spacing w:val="-13"/>
        </w:rPr>
        <w:t> </w:t>
      </w:r>
      <w:r>
        <w:rPr>
          <w:color w:val="231F20"/>
        </w:rPr>
        <w:t>с</w:t>
      </w:r>
      <w:r>
        <w:rPr>
          <w:color w:val="231F20"/>
          <w:spacing w:val="-12"/>
        </w:rPr>
        <w:t> </w:t>
      </w:r>
      <w:r>
        <w:rPr>
          <w:color w:val="231F20"/>
        </w:rPr>
        <w:t>правилами</w:t>
      </w:r>
      <w:r>
        <w:rPr>
          <w:color w:val="231F20"/>
          <w:spacing w:val="-13"/>
        </w:rPr>
        <w:t> </w:t>
      </w:r>
      <w:r>
        <w:rPr>
          <w:color w:val="231F20"/>
        </w:rPr>
        <w:t>поведения,</w:t>
      </w:r>
      <w:r>
        <w:rPr>
          <w:color w:val="231F20"/>
          <w:spacing w:val="-12"/>
        </w:rPr>
        <w:t> </w:t>
      </w:r>
      <w:r>
        <w:rPr>
          <w:color w:val="231F20"/>
        </w:rPr>
        <w:t>знакомится</w:t>
      </w:r>
      <w:r>
        <w:rPr>
          <w:color w:val="231F20"/>
          <w:spacing w:val="-13"/>
        </w:rPr>
        <w:t> </w:t>
      </w:r>
      <w:r>
        <w:rPr>
          <w:color w:val="231F20"/>
        </w:rPr>
        <w:t>с</w:t>
      </w:r>
      <w:r>
        <w:rPr>
          <w:color w:val="231F20"/>
          <w:spacing w:val="-12"/>
        </w:rPr>
        <w:t> </w:t>
      </w:r>
      <w:r>
        <w:rPr>
          <w:color w:val="231F20"/>
        </w:rPr>
        <w:t>ними.</w:t>
      </w:r>
      <w:r>
        <w:rPr>
          <w:color w:val="231F20"/>
          <w:spacing w:val="-13"/>
        </w:rPr>
        <w:t> </w:t>
      </w:r>
      <w:r>
        <w:rPr>
          <w:color w:val="231F20"/>
        </w:rPr>
        <w:t>Затем</w:t>
      </w:r>
      <w:r>
        <w:rPr>
          <w:color w:val="231F20"/>
          <w:spacing w:val="-12"/>
        </w:rPr>
        <w:t> </w:t>
      </w:r>
      <w:r>
        <w:rPr>
          <w:color w:val="231F20"/>
        </w:rPr>
        <w:t>ведущий</w:t>
      </w:r>
      <w:r>
        <w:rPr>
          <w:color w:val="231F20"/>
          <w:spacing w:val="-13"/>
        </w:rPr>
        <w:t> </w:t>
      </w:r>
      <w:r>
        <w:rPr>
          <w:color w:val="231F20"/>
        </w:rPr>
        <w:t>дает</w:t>
      </w:r>
      <w:r>
        <w:rPr>
          <w:color w:val="231F20"/>
          <w:spacing w:val="-12"/>
        </w:rPr>
        <w:t> </w:t>
      </w:r>
      <w:r>
        <w:rPr>
          <w:color w:val="231F20"/>
        </w:rPr>
        <w:t>задание,</w:t>
      </w:r>
      <w:r>
        <w:rPr>
          <w:color w:val="231F20"/>
          <w:spacing w:val="-13"/>
        </w:rPr>
        <w:t> </w:t>
      </w:r>
      <w:r>
        <w:rPr>
          <w:color w:val="231F20"/>
        </w:rPr>
        <w:t>в</w:t>
      </w:r>
      <w:r>
        <w:rPr>
          <w:color w:val="231F20"/>
          <w:spacing w:val="-12"/>
        </w:rPr>
        <w:t> </w:t>
      </w:r>
      <w:r>
        <w:rPr>
          <w:color w:val="231F20"/>
        </w:rPr>
        <w:t>ходе которого участники отрабатывают технику общения по правилам:</w:t>
      </w:r>
    </w:p>
    <w:p>
      <w:pPr>
        <w:pStyle w:val="ListParagraph"/>
        <w:numPr>
          <w:ilvl w:val="0"/>
          <w:numId w:val="277"/>
        </w:numPr>
        <w:tabs>
          <w:tab w:pos="576" w:val="left" w:leader="none"/>
        </w:tabs>
        <w:spacing w:line="228" w:lineRule="auto" w:before="0" w:after="0"/>
        <w:ind w:left="141" w:right="139" w:firstLine="283"/>
        <w:jc w:val="both"/>
        <w:rPr>
          <w:sz w:val="20"/>
        </w:rPr>
      </w:pPr>
      <w:r>
        <w:rPr>
          <w:i/>
          <w:color w:val="231F20"/>
          <w:sz w:val="20"/>
        </w:rPr>
        <w:t>Сейчас</w:t>
      </w:r>
      <w:r>
        <w:rPr>
          <w:i/>
          <w:color w:val="231F20"/>
          <w:spacing w:val="-3"/>
          <w:sz w:val="20"/>
        </w:rPr>
        <w:t> </w:t>
      </w:r>
      <w:r>
        <w:rPr>
          <w:i/>
          <w:color w:val="231F20"/>
          <w:sz w:val="20"/>
        </w:rPr>
        <w:t>я</w:t>
      </w:r>
      <w:r>
        <w:rPr>
          <w:i/>
          <w:color w:val="231F20"/>
          <w:spacing w:val="-3"/>
          <w:sz w:val="20"/>
        </w:rPr>
        <w:t> </w:t>
      </w:r>
      <w:r>
        <w:rPr>
          <w:i/>
          <w:color w:val="231F20"/>
          <w:sz w:val="20"/>
        </w:rPr>
        <w:t>назову</w:t>
      </w:r>
      <w:r>
        <w:rPr>
          <w:i/>
          <w:color w:val="231F20"/>
          <w:spacing w:val="-3"/>
          <w:sz w:val="20"/>
        </w:rPr>
        <w:t> </w:t>
      </w:r>
      <w:r>
        <w:rPr>
          <w:i/>
          <w:color w:val="231F20"/>
          <w:sz w:val="20"/>
        </w:rPr>
        <w:t>тему</w:t>
      </w:r>
      <w:r>
        <w:rPr>
          <w:i/>
          <w:color w:val="231F20"/>
          <w:spacing w:val="-3"/>
          <w:sz w:val="20"/>
        </w:rPr>
        <w:t> </w:t>
      </w:r>
      <w:r>
        <w:rPr>
          <w:i/>
          <w:color w:val="231F20"/>
          <w:sz w:val="20"/>
        </w:rPr>
        <w:t>для</w:t>
      </w:r>
      <w:r>
        <w:rPr>
          <w:i/>
          <w:color w:val="231F20"/>
          <w:spacing w:val="-3"/>
          <w:sz w:val="20"/>
        </w:rPr>
        <w:t> </w:t>
      </w:r>
      <w:r>
        <w:rPr>
          <w:i/>
          <w:color w:val="231F20"/>
          <w:sz w:val="20"/>
        </w:rPr>
        <w:t>обсуждения.</w:t>
      </w:r>
      <w:r>
        <w:rPr>
          <w:i/>
          <w:color w:val="231F20"/>
          <w:spacing w:val="-3"/>
          <w:sz w:val="20"/>
        </w:rPr>
        <w:t> </w:t>
      </w:r>
      <w:r>
        <w:rPr>
          <w:i/>
          <w:color w:val="231F20"/>
          <w:sz w:val="20"/>
        </w:rPr>
        <w:t>Вам</w:t>
      </w:r>
      <w:r>
        <w:rPr>
          <w:i/>
          <w:color w:val="231F20"/>
          <w:spacing w:val="-3"/>
          <w:sz w:val="20"/>
        </w:rPr>
        <w:t> </w:t>
      </w:r>
      <w:r>
        <w:rPr>
          <w:i/>
          <w:color w:val="231F20"/>
          <w:sz w:val="20"/>
        </w:rPr>
        <w:t>нужно</w:t>
      </w:r>
      <w:r>
        <w:rPr>
          <w:i/>
          <w:color w:val="231F20"/>
          <w:spacing w:val="-3"/>
          <w:sz w:val="20"/>
        </w:rPr>
        <w:t> </w:t>
      </w:r>
      <w:r>
        <w:rPr>
          <w:i/>
          <w:color w:val="231F20"/>
          <w:sz w:val="20"/>
        </w:rPr>
        <w:t>будет</w:t>
      </w:r>
      <w:r>
        <w:rPr>
          <w:i/>
          <w:color w:val="231F20"/>
          <w:spacing w:val="-3"/>
          <w:sz w:val="20"/>
        </w:rPr>
        <w:t> </w:t>
      </w:r>
      <w:r>
        <w:rPr>
          <w:i/>
          <w:color w:val="231F20"/>
          <w:sz w:val="20"/>
        </w:rPr>
        <w:t>пообщаться</w:t>
      </w:r>
      <w:r>
        <w:rPr>
          <w:i/>
          <w:color w:val="231F20"/>
          <w:spacing w:val="-3"/>
          <w:sz w:val="20"/>
        </w:rPr>
        <w:t> </w:t>
      </w:r>
      <w:r>
        <w:rPr>
          <w:i/>
          <w:color w:val="231F20"/>
          <w:sz w:val="20"/>
        </w:rPr>
        <w:t>с</w:t>
      </w:r>
      <w:r>
        <w:rPr>
          <w:i/>
          <w:color w:val="231F20"/>
          <w:spacing w:val="-3"/>
          <w:sz w:val="20"/>
        </w:rPr>
        <w:t> </w:t>
      </w:r>
      <w:r>
        <w:rPr>
          <w:i/>
          <w:color w:val="231F20"/>
          <w:sz w:val="20"/>
        </w:rPr>
        <w:t>жите- лями своего города, соблюдая ваши правила </w:t>
      </w:r>
      <w:r>
        <w:rPr>
          <w:color w:val="231F20"/>
          <w:sz w:val="20"/>
        </w:rPr>
        <w:t>(2 мин.).</w:t>
      </w:r>
    </w:p>
    <w:p>
      <w:pPr>
        <w:pStyle w:val="BodyText"/>
        <w:spacing w:line="228" w:lineRule="auto"/>
      </w:pPr>
      <w:r>
        <w:rPr>
          <w:color w:val="231F20"/>
        </w:rPr>
        <w:t>Для обсуждения можно предложить тему: «Самое здоровое питание – вегетари- </w:t>
      </w:r>
      <w:r>
        <w:rPr>
          <w:color w:val="231F20"/>
          <w:spacing w:val="-2"/>
        </w:rPr>
        <w:t>анство».</w:t>
      </w:r>
    </w:p>
    <w:p>
      <w:pPr>
        <w:pStyle w:val="BodyText"/>
        <w:spacing w:line="215" w:lineRule="exact"/>
        <w:ind w:left="425" w:right="0" w:firstLine="0"/>
      </w:pPr>
      <w:r>
        <w:rPr>
          <w:color w:val="231F20"/>
        </w:rPr>
        <w:t>Когда</w:t>
      </w:r>
      <w:r>
        <w:rPr>
          <w:color w:val="231F20"/>
          <w:spacing w:val="-6"/>
        </w:rPr>
        <w:t> </w:t>
      </w:r>
      <w:r>
        <w:rPr>
          <w:color w:val="231F20"/>
        </w:rPr>
        <w:t>правила</w:t>
      </w:r>
      <w:r>
        <w:rPr>
          <w:color w:val="231F20"/>
          <w:spacing w:val="-4"/>
        </w:rPr>
        <w:t> </w:t>
      </w:r>
      <w:r>
        <w:rPr>
          <w:color w:val="231F20"/>
        </w:rPr>
        <w:t>общения</w:t>
      </w:r>
      <w:r>
        <w:rPr>
          <w:color w:val="231F20"/>
          <w:spacing w:val="-3"/>
        </w:rPr>
        <w:t> </w:t>
      </w:r>
      <w:r>
        <w:rPr>
          <w:color w:val="231F20"/>
        </w:rPr>
        <w:t>в</w:t>
      </w:r>
      <w:r>
        <w:rPr>
          <w:color w:val="231F20"/>
          <w:spacing w:val="-5"/>
        </w:rPr>
        <w:t> </w:t>
      </w:r>
      <w:r>
        <w:rPr>
          <w:color w:val="231F20"/>
        </w:rPr>
        <w:t>группе</w:t>
      </w:r>
      <w:r>
        <w:rPr>
          <w:color w:val="231F20"/>
          <w:spacing w:val="-3"/>
        </w:rPr>
        <w:t> </w:t>
      </w:r>
      <w:r>
        <w:rPr>
          <w:color w:val="231F20"/>
        </w:rPr>
        <w:t>освоены,</w:t>
      </w:r>
      <w:r>
        <w:rPr>
          <w:color w:val="231F20"/>
          <w:spacing w:val="-4"/>
        </w:rPr>
        <w:t> </w:t>
      </w:r>
      <w:r>
        <w:rPr>
          <w:color w:val="231F20"/>
        </w:rPr>
        <w:t>ведущий</w:t>
      </w:r>
      <w:r>
        <w:rPr>
          <w:color w:val="231F20"/>
          <w:spacing w:val="-4"/>
        </w:rPr>
        <w:t> </w:t>
      </w:r>
      <w:r>
        <w:rPr>
          <w:color w:val="231F20"/>
        </w:rPr>
        <w:t>дает</w:t>
      </w:r>
      <w:r>
        <w:rPr>
          <w:color w:val="231F20"/>
          <w:spacing w:val="-4"/>
        </w:rPr>
        <w:t> </w:t>
      </w:r>
      <w:r>
        <w:rPr>
          <w:color w:val="231F20"/>
        </w:rPr>
        <w:t>следующее</w:t>
      </w:r>
      <w:r>
        <w:rPr>
          <w:color w:val="231F20"/>
          <w:spacing w:val="-3"/>
        </w:rPr>
        <w:t> </w:t>
      </w:r>
      <w:r>
        <w:rPr>
          <w:color w:val="231F20"/>
          <w:spacing w:val="-2"/>
        </w:rPr>
        <w:t>задание:</w:t>
      </w:r>
    </w:p>
    <w:p>
      <w:pPr>
        <w:pStyle w:val="ListParagraph"/>
        <w:numPr>
          <w:ilvl w:val="0"/>
          <w:numId w:val="277"/>
        </w:numPr>
        <w:tabs>
          <w:tab w:pos="569" w:val="left" w:leader="none"/>
        </w:tabs>
        <w:spacing w:line="230" w:lineRule="auto" w:before="1" w:after="0"/>
        <w:ind w:left="141" w:right="139" w:firstLine="283"/>
        <w:jc w:val="both"/>
        <w:rPr>
          <w:i/>
          <w:sz w:val="20"/>
        </w:rPr>
      </w:pPr>
      <w:r>
        <w:rPr>
          <w:i/>
          <w:color w:val="231F20"/>
          <w:sz w:val="20"/>
        </w:rPr>
        <w:t>Теперь</w:t>
      </w:r>
      <w:r>
        <w:rPr>
          <w:i/>
          <w:color w:val="231F20"/>
          <w:spacing w:val="-12"/>
          <w:sz w:val="20"/>
        </w:rPr>
        <w:t> </w:t>
      </w:r>
      <w:r>
        <w:rPr>
          <w:i/>
          <w:color w:val="231F20"/>
          <w:sz w:val="20"/>
        </w:rPr>
        <w:t>один</w:t>
      </w:r>
      <w:r>
        <w:rPr>
          <w:i/>
          <w:color w:val="231F20"/>
          <w:spacing w:val="-12"/>
          <w:sz w:val="20"/>
        </w:rPr>
        <w:t> </w:t>
      </w:r>
      <w:r>
        <w:rPr>
          <w:i/>
          <w:color w:val="231F20"/>
          <w:sz w:val="20"/>
        </w:rPr>
        <w:t>житель</w:t>
      </w:r>
      <w:r>
        <w:rPr>
          <w:i/>
          <w:color w:val="231F20"/>
          <w:spacing w:val="-12"/>
          <w:sz w:val="20"/>
        </w:rPr>
        <w:t> </w:t>
      </w:r>
      <w:r>
        <w:rPr>
          <w:i/>
          <w:color w:val="231F20"/>
          <w:sz w:val="20"/>
        </w:rPr>
        <w:t>каждого</w:t>
      </w:r>
      <w:r>
        <w:rPr>
          <w:i/>
          <w:color w:val="231F20"/>
          <w:spacing w:val="-12"/>
          <w:sz w:val="20"/>
        </w:rPr>
        <w:t> </w:t>
      </w:r>
      <w:r>
        <w:rPr>
          <w:i/>
          <w:color w:val="231F20"/>
          <w:sz w:val="20"/>
        </w:rPr>
        <w:t>города</w:t>
      </w:r>
      <w:r>
        <w:rPr>
          <w:i/>
          <w:color w:val="231F20"/>
          <w:spacing w:val="-12"/>
          <w:sz w:val="20"/>
        </w:rPr>
        <w:t> </w:t>
      </w:r>
      <w:r>
        <w:rPr>
          <w:i/>
          <w:color w:val="231F20"/>
          <w:sz w:val="20"/>
        </w:rPr>
        <w:t>отправляется</w:t>
      </w:r>
      <w:r>
        <w:rPr>
          <w:i/>
          <w:color w:val="231F20"/>
          <w:spacing w:val="-12"/>
          <w:sz w:val="20"/>
        </w:rPr>
        <w:t> </w:t>
      </w:r>
      <w:r>
        <w:rPr>
          <w:i/>
          <w:color w:val="231F20"/>
          <w:sz w:val="20"/>
        </w:rPr>
        <w:t>в</w:t>
      </w:r>
      <w:r>
        <w:rPr>
          <w:i/>
          <w:color w:val="231F20"/>
          <w:spacing w:val="-12"/>
          <w:sz w:val="20"/>
        </w:rPr>
        <w:t> </w:t>
      </w:r>
      <w:r>
        <w:rPr>
          <w:i/>
          <w:color w:val="231F20"/>
          <w:sz w:val="20"/>
        </w:rPr>
        <w:t>соседний</w:t>
      </w:r>
      <w:r>
        <w:rPr>
          <w:i/>
          <w:color w:val="231F20"/>
          <w:spacing w:val="-12"/>
          <w:sz w:val="20"/>
        </w:rPr>
        <w:t> </w:t>
      </w:r>
      <w:r>
        <w:rPr>
          <w:i/>
          <w:color w:val="231F20"/>
          <w:sz w:val="20"/>
        </w:rPr>
        <w:t>город.</w:t>
      </w:r>
      <w:r>
        <w:rPr>
          <w:i/>
          <w:color w:val="231F20"/>
          <w:spacing w:val="-12"/>
          <w:sz w:val="20"/>
        </w:rPr>
        <w:t> </w:t>
      </w:r>
      <w:r>
        <w:rPr>
          <w:i/>
          <w:color w:val="231F20"/>
          <w:sz w:val="20"/>
        </w:rPr>
        <w:t>Вам</w:t>
      </w:r>
      <w:r>
        <w:rPr>
          <w:i/>
          <w:color w:val="231F20"/>
          <w:spacing w:val="-12"/>
          <w:sz w:val="20"/>
        </w:rPr>
        <w:t> </w:t>
      </w:r>
      <w:r>
        <w:rPr>
          <w:i/>
          <w:color w:val="231F20"/>
          <w:sz w:val="20"/>
        </w:rPr>
        <w:t>нуж- но общаться с его жителями, сохраняя неизменными свои собственные качества. Для обсуждения предлагается новая тема …</w:t>
      </w:r>
    </w:p>
    <w:p>
      <w:pPr>
        <w:pStyle w:val="BodyText"/>
        <w:spacing w:line="230" w:lineRule="auto"/>
      </w:pPr>
      <w:r>
        <w:rPr>
          <w:color w:val="231F20"/>
        </w:rPr>
        <w:t>Этот шаг повторяется 2–3 раза, причем участники могут переходить в другие го- рода</w:t>
      </w:r>
      <w:r>
        <w:rPr>
          <w:color w:val="231F20"/>
          <w:spacing w:val="-13"/>
        </w:rPr>
        <w:t> </w:t>
      </w:r>
      <w:r>
        <w:rPr>
          <w:color w:val="231F20"/>
        </w:rPr>
        <w:t>сначала</w:t>
      </w:r>
      <w:r>
        <w:rPr>
          <w:color w:val="231F20"/>
          <w:spacing w:val="-12"/>
        </w:rPr>
        <w:t> </w:t>
      </w:r>
      <w:r>
        <w:rPr>
          <w:color w:val="231F20"/>
        </w:rPr>
        <w:t>по</w:t>
      </w:r>
      <w:r>
        <w:rPr>
          <w:color w:val="231F20"/>
          <w:spacing w:val="-13"/>
        </w:rPr>
        <w:t> </w:t>
      </w:r>
      <w:r>
        <w:rPr>
          <w:color w:val="231F20"/>
        </w:rPr>
        <w:t>часовой</w:t>
      </w:r>
      <w:r>
        <w:rPr>
          <w:color w:val="231F20"/>
          <w:spacing w:val="-12"/>
        </w:rPr>
        <w:t> </w:t>
      </w:r>
      <w:r>
        <w:rPr>
          <w:color w:val="231F20"/>
        </w:rPr>
        <w:t>стрелке,</w:t>
      </w:r>
      <w:r>
        <w:rPr>
          <w:color w:val="231F20"/>
          <w:spacing w:val="-13"/>
        </w:rPr>
        <w:t> </w:t>
      </w:r>
      <w:r>
        <w:rPr>
          <w:color w:val="231F20"/>
        </w:rPr>
        <w:t>потом</w:t>
      </w:r>
      <w:r>
        <w:rPr>
          <w:color w:val="231F20"/>
          <w:spacing w:val="-12"/>
        </w:rPr>
        <w:t> </w:t>
      </w:r>
      <w:r>
        <w:rPr>
          <w:color w:val="231F20"/>
        </w:rPr>
        <w:t>–</w:t>
      </w:r>
      <w:r>
        <w:rPr>
          <w:color w:val="231F20"/>
          <w:spacing w:val="-13"/>
        </w:rPr>
        <w:t> </w:t>
      </w:r>
      <w:r>
        <w:rPr>
          <w:color w:val="231F20"/>
        </w:rPr>
        <w:t>против.</w:t>
      </w:r>
      <w:r>
        <w:rPr>
          <w:color w:val="231F20"/>
          <w:spacing w:val="-12"/>
        </w:rPr>
        <w:t> </w:t>
      </w:r>
      <w:r>
        <w:rPr>
          <w:color w:val="231F20"/>
        </w:rPr>
        <w:t>Для</w:t>
      </w:r>
      <w:r>
        <w:rPr>
          <w:color w:val="231F20"/>
          <w:spacing w:val="-13"/>
        </w:rPr>
        <w:t> </w:t>
      </w:r>
      <w:r>
        <w:rPr>
          <w:color w:val="231F20"/>
        </w:rPr>
        <w:t>каждого</w:t>
      </w:r>
      <w:r>
        <w:rPr>
          <w:color w:val="231F20"/>
          <w:spacing w:val="-12"/>
        </w:rPr>
        <w:t> </w:t>
      </w:r>
      <w:r>
        <w:rPr>
          <w:color w:val="231F20"/>
        </w:rPr>
        <w:t>обсуждения</w:t>
      </w:r>
      <w:r>
        <w:rPr>
          <w:color w:val="231F20"/>
          <w:spacing w:val="-13"/>
        </w:rPr>
        <w:t> </w:t>
      </w:r>
      <w:r>
        <w:rPr>
          <w:color w:val="231F20"/>
        </w:rPr>
        <w:t>отводится 3 минуты.</w:t>
      </w:r>
    </w:p>
    <w:p>
      <w:pPr>
        <w:pStyle w:val="BodyText"/>
        <w:spacing w:line="215" w:lineRule="exact"/>
        <w:ind w:left="425" w:right="0" w:firstLine="0"/>
      </w:pPr>
      <w:r>
        <w:rPr>
          <w:color w:val="231F20"/>
        </w:rPr>
        <w:t>Варианты тем для </w:t>
      </w:r>
      <w:r>
        <w:rPr>
          <w:color w:val="231F20"/>
          <w:spacing w:val="-2"/>
        </w:rPr>
        <w:t>дискуссии:</w:t>
      </w:r>
    </w:p>
    <w:p>
      <w:pPr>
        <w:pStyle w:val="ListParagraph"/>
        <w:numPr>
          <w:ilvl w:val="2"/>
          <w:numId w:val="276"/>
        </w:numPr>
        <w:tabs>
          <w:tab w:pos="424" w:val="left" w:leader="none"/>
        </w:tabs>
        <w:spacing w:line="220" w:lineRule="exact" w:before="0" w:after="0"/>
        <w:ind w:left="424" w:right="0" w:hanging="283"/>
        <w:jc w:val="left"/>
        <w:rPr>
          <w:i/>
          <w:sz w:val="20"/>
        </w:rPr>
      </w:pPr>
      <w:r>
        <w:rPr>
          <w:i/>
          <w:color w:val="231F20"/>
          <w:sz w:val="20"/>
        </w:rPr>
        <w:t>Книги</w:t>
      </w:r>
      <w:r>
        <w:rPr>
          <w:i/>
          <w:color w:val="231F20"/>
          <w:spacing w:val="-3"/>
          <w:sz w:val="20"/>
        </w:rPr>
        <w:t> </w:t>
      </w:r>
      <w:r>
        <w:rPr>
          <w:i/>
          <w:color w:val="231F20"/>
          <w:sz w:val="20"/>
        </w:rPr>
        <w:t>всегда</w:t>
      </w:r>
      <w:r>
        <w:rPr>
          <w:i/>
          <w:color w:val="231F20"/>
          <w:spacing w:val="-3"/>
          <w:sz w:val="20"/>
        </w:rPr>
        <w:t> </w:t>
      </w:r>
      <w:r>
        <w:rPr>
          <w:i/>
          <w:color w:val="231F20"/>
          <w:sz w:val="20"/>
        </w:rPr>
        <w:t>лучше</w:t>
      </w:r>
      <w:r>
        <w:rPr>
          <w:i/>
          <w:color w:val="231F20"/>
          <w:spacing w:val="-3"/>
          <w:sz w:val="20"/>
        </w:rPr>
        <w:t> </w:t>
      </w:r>
      <w:r>
        <w:rPr>
          <w:i/>
          <w:color w:val="231F20"/>
          <w:spacing w:val="-2"/>
          <w:sz w:val="20"/>
        </w:rPr>
        <w:t>экранизаций</w:t>
      </w:r>
    </w:p>
    <w:p>
      <w:pPr>
        <w:pStyle w:val="ListParagraph"/>
        <w:numPr>
          <w:ilvl w:val="2"/>
          <w:numId w:val="276"/>
        </w:numPr>
        <w:tabs>
          <w:tab w:pos="424" w:val="left" w:leader="none"/>
        </w:tabs>
        <w:spacing w:line="220" w:lineRule="exact" w:before="0" w:after="0"/>
        <w:ind w:left="424" w:right="0" w:hanging="283"/>
        <w:jc w:val="left"/>
        <w:rPr>
          <w:i/>
          <w:sz w:val="20"/>
        </w:rPr>
      </w:pPr>
      <w:r>
        <w:rPr>
          <w:i/>
          <w:color w:val="231F20"/>
          <w:sz w:val="20"/>
        </w:rPr>
        <w:t>Лучшее</w:t>
      </w:r>
      <w:r>
        <w:rPr>
          <w:i/>
          <w:color w:val="231F20"/>
          <w:spacing w:val="-5"/>
          <w:sz w:val="20"/>
        </w:rPr>
        <w:t> </w:t>
      </w:r>
      <w:r>
        <w:rPr>
          <w:i/>
          <w:color w:val="231F20"/>
          <w:sz w:val="20"/>
        </w:rPr>
        <w:t>время</w:t>
      </w:r>
      <w:r>
        <w:rPr>
          <w:i/>
          <w:color w:val="231F20"/>
          <w:spacing w:val="-2"/>
          <w:sz w:val="20"/>
        </w:rPr>
        <w:t> </w:t>
      </w:r>
      <w:r>
        <w:rPr>
          <w:i/>
          <w:color w:val="231F20"/>
          <w:sz w:val="20"/>
        </w:rPr>
        <w:t>года</w:t>
      </w:r>
      <w:r>
        <w:rPr>
          <w:i/>
          <w:color w:val="231F20"/>
          <w:spacing w:val="-2"/>
          <w:sz w:val="20"/>
        </w:rPr>
        <w:t> </w:t>
      </w:r>
      <w:r>
        <w:rPr>
          <w:i/>
          <w:color w:val="231F20"/>
          <w:sz w:val="20"/>
        </w:rPr>
        <w:t>–</w:t>
      </w:r>
      <w:r>
        <w:rPr>
          <w:i/>
          <w:color w:val="231F20"/>
          <w:spacing w:val="-2"/>
          <w:sz w:val="20"/>
        </w:rPr>
        <w:t> </w:t>
      </w:r>
      <w:r>
        <w:rPr>
          <w:i/>
          <w:color w:val="231F20"/>
          <w:spacing w:val="-4"/>
          <w:sz w:val="20"/>
        </w:rPr>
        <w:t>зима</w:t>
      </w:r>
    </w:p>
    <w:p>
      <w:pPr>
        <w:pStyle w:val="ListParagraph"/>
        <w:numPr>
          <w:ilvl w:val="2"/>
          <w:numId w:val="276"/>
        </w:numPr>
        <w:tabs>
          <w:tab w:pos="424" w:val="left" w:leader="none"/>
        </w:tabs>
        <w:spacing w:line="220" w:lineRule="exact" w:before="0" w:after="0"/>
        <w:ind w:left="424" w:right="0" w:hanging="283"/>
        <w:jc w:val="left"/>
        <w:rPr>
          <w:i/>
          <w:sz w:val="20"/>
        </w:rPr>
      </w:pPr>
      <w:r>
        <w:rPr>
          <w:i/>
          <w:color w:val="231F20"/>
          <w:sz w:val="20"/>
        </w:rPr>
        <w:t>Блондинки</w:t>
      </w:r>
      <w:r>
        <w:rPr>
          <w:i/>
          <w:color w:val="231F20"/>
          <w:spacing w:val="-1"/>
          <w:sz w:val="20"/>
        </w:rPr>
        <w:t> </w:t>
      </w:r>
      <w:r>
        <w:rPr>
          <w:i/>
          <w:color w:val="231F20"/>
          <w:sz w:val="20"/>
        </w:rPr>
        <w:t>красивее</w:t>
      </w:r>
      <w:r>
        <w:rPr>
          <w:i/>
          <w:color w:val="231F20"/>
          <w:spacing w:val="1"/>
          <w:sz w:val="20"/>
        </w:rPr>
        <w:t> </w:t>
      </w:r>
      <w:r>
        <w:rPr>
          <w:i/>
          <w:color w:val="231F20"/>
          <w:spacing w:val="-2"/>
          <w:sz w:val="20"/>
        </w:rPr>
        <w:t>брюнеток</w:t>
      </w:r>
    </w:p>
    <w:p>
      <w:pPr>
        <w:pStyle w:val="ListParagraph"/>
        <w:numPr>
          <w:ilvl w:val="2"/>
          <w:numId w:val="276"/>
        </w:numPr>
        <w:tabs>
          <w:tab w:pos="424" w:val="left" w:leader="none"/>
        </w:tabs>
        <w:spacing w:line="220" w:lineRule="exact" w:before="0" w:after="0"/>
        <w:ind w:left="424" w:right="0" w:hanging="283"/>
        <w:jc w:val="left"/>
        <w:rPr>
          <w:i/>
          <w:sz w:val="20"/>
        </w:rPr>
      </w:pPr>
      <w:r>
        <w:rPr>
          <w:i/>
          <w:color w:val="231F20"/>
          <w:sz w:val="20"/>
        </w:rPr>
        <w:t>Самолеты</w:t>
      </w:r>
      <w:r>
        <w:rPr>
          <w:i/>
          <w:color w:val="231F20"/>
          <w:spacing w:val="-4"/>
          <w:sz w:val="20"/>
        </w:rPr>
        <w:t> </w:t>
      </w:r>
      <w:r>
        <w:rPr>
          <w:i/>
          <w:color w:val="231F20"/>
          <w:sz w:val="20"/>
        </w:rPr>
        <w:t>лучше</w:t>
      </w:r>
      <w:r>
        <w:rPr>
          <w:i/>
          <w:color w:val="231F20"/>
          <w:spacing w:val="-3"/>
          <w:sz w:val="20"/>
        </w:rPr>
        <w:t> </w:t>
      </w:r>
      <w:r>
        <w:rPr>
          <w:i/>
          <w:color w:val="231F20"/>
          <w:spacing w:val="-2"/>
          <w:sz w:val="20"/>
        </w:rPr>
        <w:t>поездов</w:t>
      </w:r>
    </w:p>
    <w:p>
      <w:pPr>
        <w:pStyle w:val="ListParagraph"/>
        <w:numPr>
          <w:ilvl w:val="2"/>
          <w:numId w:val="276"/>
        </w:numPr>
        <w:tabs>
          <w:tab w:pos="424" w:val="left" w:leader="none"/>
        </w:tabs>
        <w:spacing w:line="220" w:lineRule="exact" w:before="0" w:after="0"/>
        <w:ind w:left="424" w:right="0" w:hanging="283"/>
        <w:jc w:val="left"/>
        <w:rPr>
          <w:i/>
          <w:sz w:val="20"/>
        </w:rPr>
      </w:pPr>
      <w:r>
        <w:rPr>
          <w:i/>
          <w:color w:val="231F20"/>
          <w:sz w:val="20"/>
        </w:rPr>
        <w:t>Собаке</w:t>
      </w:r>
      <w:r>
        <w:rPr>
          <w:i/>
          <w:color w:val="231F20"/>
          <w:spacing w:val="-3"/>
          <w:sz w:val="20"/>
        </w:rPr>
        <w:t> </w:t>
      </w:r>
      <w:r>
        <w:rPr>
          <w:i/>
          <w:color w:val="231F20"/>
          <w:sz w:val="20"/>
        </w:rPr>
        <w:t>не</w:t>
      </w:r>
      <w:r>
        <w:rPr>
          <w:i/>
          <w:color w:val="231F20"/>
          <w:spacing w:val="-3"/>
          <w:sz w:val="20"/>
        </w:rPr>
        <w:t> </w:t>
      </w:r>
      <w:r>
        <w:rPr>
          <w:i/>
          <w:color w:val="231F20"/>
          <w:sz w:val="20"/>
        </w:rPr>
        <w:t>место</w:t>
      </w:r>
      <w:r>
        <w:rPr>
          <w:i/>
          <w:color w:val="231F20"/>
          <w:spacing w:val="-2"/>
          <w:sz w:val="20"/>
        </w:rPr>
        <w:t> </w:t>
      </w:r>
      <w:r>
        <w:rPr>
          <w:i/>
          <w:color w:val="231F20"/>
          <w:sz w:val="20"/>
        </w:rPr>
        <w:t>в</w:t>
      </w:r>
      <w:r>
        <w:rPr>
          <w:i/>
          <w:color w:val="231F20"/>
          <w:spacing w:val="-3"/>
          <w:sz w:val="20"/>
        </w:rPr>
        <w:t> </w:t>
      </w:r>
      <w:r>
        <w:rPr>
          <w:i/>
          <w:color w:val="231F20"/>
          <w:spacing w:val="-2"/>
          <w:sz w:val="20"/>
        </w:rPr>
        <w:t>квартире</w:t>
      </w:r>
    </w:p>
    <w:p>
      <w:pPr>
        <w:pStyle w:val="BodyText"/>
        <w:spacing w:line="288" w:lineRule="auto"/>
        <w:ind w:left="425" w:right="1507" w:firstLine="0"/>
        <w:jc w:val="left"/>
      </w:pPr>
      <w:r>
        <w:rPr>
          <w:color w:val="231F20"/>
        </w:rPr>
        <w:t>После</w:t>
      </w:r>
      <w:r>
        <w:rPr>
          <w:color w:val="231F20"/>
          <w:spacing w:val="-8"/>
        </w:rPr>
        <w:t> </w:t>
      </w:r>
      <w:r>
        <w:rPr>
          <w:color w:val="231F20"/>
        </w:rPr>
        <w:t>визитов</w:t>
      </w:r>
      <w:r>
        <w:rPr>
          <w:color w:val="231F20"/>
          <w:spacing w:val="-9"/>
        </w:rPr>
        <w:t> </w:t>
      </w:r>
      <w:r>
        <w:rPr>
          <w:color w:val="231F20"/>
        </w:rPr>
        <w:t>участники</w:t>
      </w:r>
      <w:r>
        <w:rPr>
          <w:color w:val="231F20"/>
          <w:spacing w:val="-9"/>
        </w:rPr>
        <w:t> </w:t>
      </w:r>
      <w:r>
        <w:rPr>
          <w:color w:val="231F20"/>
        </w:rPr>
        <w:t>групп</w:t>
      </w:r>
      <w:r>
        <w:rPr>
          <w:color w:val="231F20"/>
          <w:spacing w:val="-9"/>
        </w:rPr>
        <w:t> </w:t>
      </w:r>
      <w:r>
        <w:rPr>
          <w:color w:val="231F20"/>
        </w:rPr>
        <w:t>возвращаются</w:t>
      </w:r>
      <w:r>
        <w:rPr>
          <w:color w:val="231F20"/>
          <w:spacing w:val="-8"/>
        </w:rPr>
        <w:t> </w:t>
      </w:r>
      <w:r>
        <w:rPr>
          <w:color w:val="231F20"/>
        </w:rPr>
        <w:t>в</w:t>
      </w:r>
      <w:r>
        <w:rPr>
          <w:color w:val="231F20"/>
          <w:spacing w:val="-9"/>
        </w:rPr>
        <w:t> </w:t>
      </w:r>
      <w:r>
        <w:rPr>
          <w:color w:val="231F20"/>
        </w:rPr>
        <w:t>общий</w:t>
      </w:r>
      <w:r>
        <w:rPr>
          <w:color w:val="231F20"/>
          <w:spacing w:val="-9"/>
        </w:rPr>
        <w:t> </w:t>
      </w:r>
      <w:r>
        <w:rPr>
          <w:color w:val="231F20"/>
        </w:rPr>
        <w:t>круг. Вопросы для обсуждения:</w:t>
      </w:r>
    </w:p>
    <w:p>
      <w:pPr>
        <w:pStyle w:val="ListParagraph"/>
        <w:numPr>
          <w:ilvl w:val="2"/>
          <w:numId w:val="276"/>
        </w:numPr>
        <w:tabs>
          <w:tab w:pos="424" w:val="left" w:leader="none"/>
        </w:tabs>
        <w:spacing w:line="170" w:lineRule="exact" w:before="0" w:after="0"/>
        <w:ind w:left="424" w:right="0" w:hanging="283"/>
        <w:jc w:val="left"/>
        <w:rPr>
          <w:i/>
          <w:sz w:val="20"/>
        </w:rPr>
      </w:pPr>
      <w:r>
        <w:rPr>
          <w:i/>
          <w:color w:val="231F20"/>
          <w:sz w:val="20"/>
        </w:rPr>
        <w:t>Как</w:t>
      </w:r>
      <w:r>
        <w:rPr>
          <w:i/>
          <w:color w:val="231F20"/>
          <w:spacing w:val="-5"/>
          <w:sz w:val="20"/>
        </w:rPr>
        <w:t> </w:t>
      </w:r>
      <w:r>
        <w:rPr>
          <w:i/>
          <w:color w:val="231F20"/>
          <w:sz w:val="20"/>
        </w:rPr>
        <w:t>проходило</w:t>
      </w:r>
      <w:r>
        <w:rPr>
          <w:i/>
          <w:color w:val="231F20"/>
          <w:spacing w:val="-4"/>
          <w:sz w:val="20"/>
        </w:rPr>
        <w:t> </w:t>
      </w:r>
      <w:r>
        <w:rPr>
          <w:i/>
          <w:color w:val="231F20"/>
          <w:sz w:val="20"/>
        </w:rPr>
        <w:t>ваше</w:t>
      </w:r>
      <w:r>
        <w:rPr>
          <w:i/>
          <w:color w:val="231F20"/>
          <w:spacing w:val="-4"/>
          <w:sz w:val="20"/>
        </w:rPr>
        <w:t> </w:t>
      </w:r>
      <w:r>
        <w:rPr>
          <w:i/>
          <w:color w:val="231F20"/>
          <w:spacing w:val="-2"/>
          <w:sz w:val="20"/>
        </w:rPr>
        <w:t>общение?</w:t>
      </w:r>
    </w:p>
    <w:p>
      <w:pPr>
        <w:pStyle w:val="ListParagraph"/>
        <w:numPr>
          <w:ilvl w:val="2"/>
          <w:numId w:val="276"/>
        </w:numPr>
        <w:tabs>
          <w:tab w:pos="425" w:val="left" w:leader="none"/>
        </w:tabs>
        <w:spacing w:line="230" w:lineRule="auto" w:before="0" w:after="0"/>
        <w:ind w:left="425" w:right="139" w:hanging="284"/>
        <w:jc w:val="left"/>
        <w:rPr>
          <w:sz w:val="20"/>
        </w:rPr>
      </w:pPr>
      <w:r>
        <w:rPr>
          <w:i/>
          <w:color w:val="231F20"/>
          <w:sz w:val="20"/>
        </w:rPr>
        <w:t>Какими вам показались жители</w:t>
      </w:r>
      <w:r>
        <w:rPr>
          <w:i/>
          <w:color w:val="231F20"/>
          <w:spacing w:val="23"/>
          <w:sz w:val="20"/>
        </w:rPr>
        <w:t> </w:t>
      </w:r>
      <w:r>
        <w:rPr>
          <w:i/>
          <w:color w:val="231F20"/>
          <w:sz w:val="20"/>
        </w:rPr>
        <w:t>других</w:t>
      </w:r>
      <w:r>
        <w:rPr>
          <w:i/>
          <w:color w:val="231F20"/>
          <w:spacing w:val="23"/>
          <w:sz w:val="20"/>
        </w:rPr>
        <w:t> </w:t>
      </w:r>
      <w:r>
        <w:rPr>
          <w:i/>
          <w:color w:val="231F20"/>
          <w:sz w:val="20"/>
        </w:rPr>
        <w:t>городов? </w:t>
      </w:r>
      <w:r>
        <w:rPr>
          <w:color w:val="231F20"/>
          <w:sz w:val="20"/>
        </w:rPr>
        <w:t>(После</w:t>
      </w:r>
      <w:r>
        <w:rPr>
          <w:color w:val="231F20"/>
          <w:spacing w:val="23"/>
          <w:sz w:val="20"/>
        </w:rPr>
        <w:t> </w:t>
      </w:r>
      <w:r>
        <w:rPr>
          <w:color w:val="231F20"/>
          <w:sz w:val="20"/>
        </w:rPr>
        <w:t>ответа</w:t>
      </w:r>
      <w:r>
        <w:rPr>
          <w:color w:val="231F20"/>
          <w:spacing w:val="23"/>
          <w:sz w:val="20"/>
        </w:rPr>
        <w:t> </w:t>
      </w:r>
      <w:r>
        <w:rPr>
          <w:color w:val="231F20"/>
          <w:sz w:val="20"/>
        </w:rPr>
        <w:t>на</w:t>
      </w:r>
      <w:r>
        <w:rPr>
          <w:color w:val="231F20"/>
          <w:spacing w:val="23"/>
          <w:sz w:val="20"/>
        </w:rPr>
        <w:t> </w:t>
      </w:r>
      <w:r>
        <w:rPr>
          <w:color w:val="231F20"/>
          <w:sz w:val="20"/>
        </w:rPr>
        <w:t>этот вопрос можно озвучить содержание инструкции).</w:t>
      </w:r>
    </w:p>
    <w:p>
      <w:pPr>
        <w:pStyle w:val="ListParagraph"/>
        <w:numPr>
          <w:ilvl w:val="2"/>
          <w:numId w:val="276"/>
        </w:numPr>
        <w:tabs>
          <w:tab w:pos="425" w:val="left" w:leader="none"/>
        </w:tabs>
        <w:spacing w:line="230" w:lineRule="auto" w:before="0" w:after="0"/>
        <w:ind w:left="425" w:right="139" w:hanging="284"/>
        <w:jc w:val="left"/>
        <w:rPr>
          <w:i/>
          <w:sz w:val="20"/>
        </w:rPr>
      </w:pPr>
      <w:r>
        <w:rPr>
          <w:i/>
          <w:color w:val="231F20"/>
          <w:sz w:val="20"/>
        </w:rPr>
        <w:t>Какие мысли и чувства у вас возникали во время общения в своем городе и с жи- телями других городов?</w:t>
      </w:r>
    </w:p>
    <w:p>
      <w:pPr>
        <w:pStyle w:val="ListParagraph"/>
        <w:numPr>
          <w:ilvl w:val="2"/>
          <w:numId w:val="276"/>
        </w:numPr>
        <w:tabs>
          <w:tab w:pos="424" w:val="left" w:leader="none"/>
        </w:tabs>
        <w:spacing w:line="221" w:lineRule="exact" w:before="0" w:after="0"/>
        <w:ind w:left="424" w:right="0" w:hanging="283"/>
        <w:jc w:val="left"/>
        <w:rPr>
          <w:i/>
          <w:sz w:val="20"/>
        </w:rPr>
      </w:pPr>
      <w:r>
        <w:rPr>
          <w:i/>
          <w:color w:val="231F20"/>
          <w:sz w:val="20"/>
        </w:rPr>
        <w:t>Какие</w:t>
      </w:r>
      <w:r>
        <w:rPr>
          <w:i/>
          <w:color w:val="231F20"/>
          <w:spacing w:val="-5"/>
          <w:sz w:val="20"/>
        </w:rPr>
        <w:t> </w:t>
      </w:r>
      <w:r>
        <w:rPr>
          <w:i/>
          <w:color w:val="231F20"/>
          <w:sz w:val="20"/>
        </w:rPr>
        <w:t>реальные</w:t>
      </w:r>
      <w:r>
        <w:rPr>
          <w:i/>
          <w:color w:val="231F20"/>
          <w:spacing w:val="-2"/>
          <w:sz w:val="20"/>
        </w:rPr>
        <w:t> </w:t>
      </w:r>
      <w:r>
        <w:rPr>
          <w:i/>
          <w:color w:val="231F20"/>
          <w:sz w:val="20"/>
        </w:rPr>
        <w:t>явления</w:t>
      </w:r>
      <w:r>
        <w:rPr>
          <w:i/>
          <w:color w:val="231F20"/>
          <w:spacing w:val="-2"/>
          <w:sz w:val="20"/>
        </w:rPr>
        <w:t> </w:t>
      </w:r>
      <w:r>
        <w:rPr>
          <w:i/>
          <w:color w:val="231F20"/>
          <w:sz w:val="20"/>
        </w:rPr>
        <w:t>иллюстрирует</w:t>
      </w:r>
      <w:r>
        <w:rPr>
          <w:i/>
          <w:color w:val="231F20"/>
          <w:spacing w:val="-3"/>
          <w:sz w:val="20"/>
        </w:rPr>
        <w:t> </w:t>
      </w:r>
      <w:r>
        <w:rPr>
          <w:i/>
          <w:color w:val="231F20"/>
          <w:sz w:val="20"/>
        </w:rPr>
        <w:t>эта</w:t>
      </w:r>
      <w:r>
        <w:rPr>
          <w:i/>
          <w:color w:val="231F20"/>
          <w:spacing w:val="-2"/>
          <w:sz w:val="20"/>
        </w:rPr>
        <w:t> </w:t>
      </w:r>
      <w:r>
        <w:rPr>
          <w:i/>
          <w:color w:val="231F20"/>
          <w:sz w:val="20"/>
        </w:rPr>
        <w:t>игра?</w:t>
      </w:r>
      <w:r>
        <w:rPr>
          <w:i/>
          <w:color w:val="231F20"/>
          <w:spacing w:val="-2"/>
          <w:sz w:val="20"/>
        </w:rPr>
        <w:t> </w:t>
      </w:r>
      <w:r>
        <w:rPr>
          <w:i/>
          <w:color w:val="231F20"/>
          <w:sz w:val="20"/>
        </w:rPr>
        <w:t>Приведите</w:t>
      </w:r>
      <w:r>
        <w:rPr>
          <w:i/>
          <w:color w:val="231F20"/>
          <w:spacing w:val="-2"/>
          <w:sz w:val="20"/>
        </w:rPr>
        <w:t> примеры.</w:t>
      </w:r>
    </w:p>
    <w:p>
      <w:pPr>
        <w:pStyle w:val="BodyText"/>
        <w:spacing w:line="224" w:lineRule="exact" w:before="95"/>
        <w:ind w:left="425" w:right="0" w:firstLine="0"/>
      </w:pPr>
      <w:r>
        <w:rPr>
          <w:color w:val="231F20"/>
          <w:spacing w:val="-6"/>
        </w:rPr>
        <w:t>Важно,</w:t>
      </w:r>
      <w:r>
        <w:rPr>
          <w:color w:val="231F20"/>
        </w:rPr>
        <w:t> </w:t>
      </w:r>
      <w:r>
        <w:rPr>
          <w:color w:val="231F20"/>
          <w:spacing w:val="-6"/>
        </w:rPr>
        <w:t>чтобы</w:t>
      </w:r>
      <w:r>
        <w:rPr>
          <w:color w:val="231F20"/>
        </w:rPr>
        <w:t> </w:t>
      </w:r>
      <w:r>
        <w:rPr>
          <w:color w:val="231F20"/>
          <w:spacing w:val="-6"/>
        </w:rPr>
        <w:t>участники</w:t>
      </w:r>
      <w:r>
        <w:rPr>
          <w:color w:val="231F20"/>
          <w:spacing w:val="-1"/>
        </w:rPr>
        <w:t> </w:t>
      </w:r>
      <w:r>
        <w:rPr>
          <w:color w:val="231F20"/>
          <w:spacing w:val="-6"/>
        </w:rPr>
        <w:t>не</w:t>
      </w:r>
      <w:r>
        <w:rPr>
          <w:color w:val="231F20"/>
        </w:rPr>
        <w:t> </w:t>
      </w:r>
      <w:r>
        <w:rPr>
          <w:color w:val="231F20"/>
          <w:spacing w:val="-6"/>
        </w:rPr>
        <w:t>говорили</w:t>
      </w:r>
      <w:r>
        <w:rPr>
          <w:color w:val="231F20"/>
        </w:rPr>
        <w:t> </w:t>
      </w:r>
      <w:r>
        <w:rPr>
          <w:color w:val="231F20"/>
          <w:spacing w:val="-6"/>
        </w:rPr>
        <w:t>друг</w:t>
      </w:r>
      <w:r>
        <w:rPr>
          <w:color w:val="231F20"/>
          <w:spacing w:val="-1"/>
        </w:rPr>
        <w:t> </w:t>
      </w:r>
      <w:r>
        <w:rPr>
          <w:color w:val="231F20"/>
          <w:spacing w:val="-6"/>
        </w:rPr>
        <w:t>другу</w:t>
      </w:r>
      <w:r>
        <w:rPr>
          <w:color w:val="231F20"/>
        </w:rPr>
        <w:t> </w:t>
      </w:r>
      <w:r>
        <w:rPr>
          <w:color w:val="231F20"/>
          <w:spacing w:val="-6"/>
        </w:rPr>
        <w:t>о</w:t>
      </w:r>
      <w:r>
        <w:rPr>
          <w:color w:val="231F20"/>
        </w:rPr>
        <w:t> </w:t>
      </w:r>
      <w:r>
        <w:rPr>
          <w:color w:val="231F20"/>
          <w:spacing w:val="-6"/>
        </w:rPr>
        <w:t>полученных</w:t>
      </w:r>
      <w:r>
        <w:rPr>
          <w:color w:val="231F20"/>
        </w:rPr>
        <w:t> </w:t>
      </w:r>
      <w:r>
        <w:rPr>
          <w:color w:val="231F20"/>
          <w:spacing w:val="-6"/>
        </w:rPr>
        <w:t>ими</w:t>
      </w:r>
      <w:r>
        <w:rPr>
          <w:color w:val="231F20"/>
        </w:rPr>
        <w:t> </w:t>
      </w:r>
      <w:r>
        <w:rPr>
          <w:color w:val="231F20"/>
          <w:spacing w:val="-6"/>
        </w:rPr>
        <w:t>инструкциях.</w:t>
      </w:r>
    </w:p>
    <w:p>
      <w:pPr>
        <w:pStyle w:val="BodyText"/>
        <w:spacing w:line="228" w:lineRule="auto" w:before="3"/>
      </w:pPr>
      <w:r>
        <w:rPr>
          <w:color w:val="231F20"/>
        </w:rPr>
        <w:t>В ходе обсуждения жители других городов описываются как «странные» и «не- понятные», часто возникают негативно окрашенные характеристики: «наглые», «за- крытые»,</w:t>
      </w:r>
      <w:r>
        <w:rPr>
          <w:color w:val="231F20"/>
          <w:spacing w:val="-8"/>
        </w:rPr>
        <w:t> </w:t>
      </w:r>
      <w:r>
        <w:rPr>
          <w:color w:val="231F20"/>
        </w:rPr>
        <w:t>«чопорные».</w:t>
      </w:r>
      <w:r>
        <w:rPr>
          <w:color w:val="231F20"/>
          <w:spacing w:val="-8"/>
        </w:rPr>
        <w:t> </w:t>
      </w:r>
      <w:r>
        <w:rPr>
          <w:color w:val="231F20"/>
        </w:rPr>
        <w:t>Этому</w:t>
      </w:r>
      <w:r>
        <w:rPr>
          <w:color w:val="231F20"/>
          <w:spacing w:val="-8"/>
        </w:rPr>
        <w:t> </w:t>
      </w:r>
      <w:r>
        <w:rPr>
          <w:color w:val="231F20"/>
        </w:rPr>
        <w:t>следует</w:t>
      </w:r>
      <w:r>
        <w:rPr>
          <w:color w:val="231F20"/>
          <w:spacing w:val="-8"/>
        </w:rPr>
        <w:t> </w:t>
      </w:r>
      <w:r>
        <w:rPr>
          <w:color w:val="231F20"/>
        </w:rPr>
        <w:t>уделить</w:t>
      </w:r>
      <w:r>
        <w:rPr>
          <w:color w:val="231F20"/>
          <w:spacing w:val="-8"/>
        </w:rPr>
        <w:t> </w:t>
      </w:r>
      <w:r>
        <w:rPr>
          <w:color w:val="231F20"/>
        </w:rPr>
        <w:t>особое</w:t>
      </w:r>
      <w:r>
        <w:rPr>
          <w:color w:val="231F20"/>
          <w:spacing w:val="-8"/>
        </w:rPr>
        <w:t> </w:t>
      </w:r>
      <w:r>
        <w:rPr>
          <w:color w:val="231F20"/>
        </w:rPr>
        <w:t>внимание,</w:t>
      </w:r>
      <w:r>
        <w:rPr>
          <w:color w:val="231F20"/>
          <w:spacing w:val="-8"/>
        </w:rPr>
        <w:t> </w:t>
      </w:r>
      <w:r>
        <w:rPr>
          <w:color w:val="231F20"/>
        </w:rPr>
        <w:t>поскольку</w:t>
      </w:r>
      <w:r>
        <w:rPr>
          <w:color w:val="231F20"/>
          <w:spacing w:val="-8"/>
        </w:rPr>
        <w:t> </w:t>
      </w:r>
      <w:r>
        <w:rPr>
          <w:color w:val="231F20"/>
        </w:rPr>
        <w:t>подобная ситуация демонстрирует типичные ошибки восприятия, возникающие в ходе меж- культурной коммуникации.</w:t>
      </w:r>
    </w:p>
    <w:p>
      <w:pPr>
        <w:spacing w:line="224" w:lineRule="exact" w:before="102"/>
        <w:ind w:left="425" w:right="0" w:firstLine="0"/>
        <w:jc w:val="left"/>
        <w:rPr>
          <w:b/>
          <w:sz w:val="20"/>
        </w:rPr>
      </w:pPr>
      <w:r>
        <w:rPr>
          <w:b/>
          <w:color w:val="231F20"/>
          <w:spacing w:val="-4"/>
          <w:sz w:val="20"/>
        </w:rPr>
        <w:t>Город </w:t>
      </w:r>
      <w:r>
        <w:rPr>
          <w:b/>
          <w:color w:val="231F20"/>
          <w:spacing w:val="-12"/>
          <w:sz w:val="20"/>
        </w:rPr>
        <w:t>А</w:t>
      </w:r>
    </w:p>
    <w:p>
      <w:pPr>
        <w:pStyle w:val="ListParagraph"/>
        <w:numPr>
          <w:ilvl w:val="0"/>
          <w:numId w:val="278"/>
        </w:numPr>
        <w:tabs>
          <w:tab w:pos="425" w:val="left" w:leader="none"/>
        </w:tabs>
        <w:spacing w:line="228" w:lineRule="auto" w:before="3" w:after="0"/>
        <w:ind w:left="425" w:right="139" w:hanging="284"/>
        <w:jc w:val="left"/>
        <w:rPr>
          <w:i/>
          <w:sz w:val="20"/>
        </w:rPr>
      </w:pPr>
      <w:r>
        <w:rPr>
          <w:i/>
          <w:color w:val="231F20"/>
          <w:sz w:val="20"/>
        </w:rPr>
        <w:t>Вы считаете, что истина рождается в споре, поэтому постоянно дискутируе- те друг с другом.</w:t>
      </w:r>
    </w:p>
    <w:p>
      <w:pPr>
        <w:pStyle w:val="ListParagraph"/>
        <w:numPr>
          <w:ilvl w:val="0"/>
          <w:numId w:val="278"/>
        </w:numPr>
        <w:tabs>
          <w:tab w:pos="425" w:val="left" w:leader="none"/>
        </w:tabs>
        <w:spacing w:line="228" w:lineRule="auto" w:before="0" w:after="0"/>
        <w:ind w:left="425" w:right="139" w:hanging="284"/>
        <w:jc w:val="left"/>
        <w:rPr>
          <w:i/>
          <w:sz w:val="20"/>
        </w:rPr>
      </w:pPr>
      <w:r>
        <w:rPr>
          <w:i/>
          <w:color w:val="231F20"/>
          <w:sz w:val="20"/>
        </w:rPr>
        <w:t>Вы</w:t>
      </w:r>
      <w:r>
        <w:rPr>
          <w:i/>
          <w:color w:val="231F20"/>
          <w:spacing w:val="-13"/>
          <w:sz w:val="20"/>
        </w:rPr>
        <w:t> </w:t>
      </w:r>
      <w:r>
        <w:rPr>
          <w:i/>
          <w:color w:val="231F20"/>
          <w:sz w:val="20"/>
        </w:rPr>
        <w:t>уважаете</w:t>
      </w:r>
      <w:r>
        <w:rPr>
          <w:i/>
          <w:color w:val="231F20"/>
          <w:spacing w:val="-12"/>
          <w:sz w:val="20"/>
        </w:rPr>
        <w:t> </w:t>
      </w:r>
      <w:r>
        <w:rPr>
          <w:i/>
          <w:color w:val="231F20"/>
          <w:sz w:val="20"/>
        </w:rPr>
        <w:t>личное</w:t>
      </w:r>
      <w:r>
        <w:rPr>
          <w:i/>
          <w:color w:val="231F20"/>
          <w:spacing w:val="-13"/>
          <w:sz w:val="20"/>
        </w:rPr>
        <w:t> </w:t>
      </w:r>
      <w:r>
        <w:rPr>
          <w:i/>
          <w:color w:val="231F20"/>
          <w:sz w:val="20"/>
        </w:rPr>
        <w:t>пространство</w:t>
      </w:r>
      <w:r>
        <w:rPr>
          <w:i/>
          <w:color w:val="231F20"/>
          <w:spacing w:val="-12"/>
          <w:sz w:val="20"/>
        </w:rPr>
        <w:t> </w:t>
      </w:r>
      <w:r>
        <w:rPr>
          <w:i/>
          <w:color w:val="231F20"/>
          <w:sz w:val="20"/>
        </w:rPr>
        <w:t>другого</w:t>
      </w:r>
      <w:r>
        <w:rPr>
          <w:i/>
          <w:color w:val="231F20"/>
          <w:spacing w:val="-13"/>
          <w:sz w:val="20"/>
        </w:rPr>
        <w:t> </w:t>
      </w:r>
      <w:r>
        <w:rPr>
          <w:i/>
          <w:color w:val="231F20"/>
          <w:sz w:val="20"/>
        </w:rPr>
        <w:t>человека,</w:t>
      </w:r>
      <w:r>
        <w:rPr>
          <w:i/>
          <w:color w:val="231F20"/>
          <w:spacing w:val="-12"/>
          <w:sz w:val="20"/>
        </w:rPr>
        <w:t> </w:t>
      </w:r>
      <w:r>
        <w:rPr>
          <w:i/>
          <w:color w:val="231F20"/>
          <w:sz w:val="20"/>
        </w:rPr>
        <w:t>поэтому</w:t>
      </w:r>
      <w:r>
        <w:rPr>
          <w:i/>
          <w:color w:val="231F20"/>
          <w:spacing w:val="-13"/>
          <w:sz w:val="20"/>
        </w:rPr>
        <w:t> </w:t>
      </w:r>
      <w:r>
        <w:rPr>
          <w:i/>
          <w:color w:val="231F20"/>
          <w:sz w:val="20"/>
        </w:rPr>
        <w:t>вы</w:t>
      </w:r>
      <w:r>
        <w:rPr>
          <w:i/>
          <w:color w:val="231F20"/>
          <w:spacing w:val="-12"/>
          <w:sz w:val="20"/>
        </w:rPr>
        <w:t> </w:t>
      </w:r>
      <w:r>
        <w:rPr>
          <w:i/>
          <w:color w:val="231F20"/>
          <w:sz w:val="20"/>
        </w:rPr>
        <w:t>никогда</w:t>
      </w:r>
      <w:r>
        <w:rPr>
          <w:i/>
          <w:color w:val="231F20"/>
          <w:spacing w:val="-13"/>
          <w:sz w:val="20"/>
        </w:rPr>
        <w:t> </w:t>
      </w:r>
      <w:r>
        <w:rPr>
          <w:i/>
          <w:color w:val="231F20"/>
          <w:sz w:val="20"/>
        </w:rPr>
        <w:t>не</w:t>
      </w:r>
      <w:r>
        <w:rPr>
          <w:i/>
          <w:color w:val="231F20"/>
          <w:spacing w:val="-12"/>
          <w:sz w:val="20"/>
        </w:rPr>
        <w:t> </w:t>
      </w:r>
      <w:r>
        <w:rPr>
          <w:i/>
          <w:color w:val="231F20"/>
          <w:sz w:val="20"/>
        </w:rPr>
        <w:t>при- касаетесь к собеседнику.</w:t>
      </w:r>
    </w:p>
    <w:p>
      <w:pPr>
        <w:pStyle w:val="ListParagraph"/>
        <w:numPr>
          <w:ilvl w:val="0"/>
          <w:numId w:val="278"/>
        </w:numPr>
        <w:tabs>
          <w:tab w:pos="425" w:val="left" w:leader="none"/>
        </w:tabs>
        <w:spacing w:line="235" w:lineRule="auto" w:before="0" w:after="0"/>
        <w:ind w:left="425" w:right="139" w:hanging="284"/>
        <w:jc w:val="left"/>
        <w:rPr>
          <w:i/>
          <w:sz w:val="20"/>
        </w:rPr>
      </w:pPr>
      <w:r>
        <w:rPr>
          <w:i/>
          <w:color w:val="231F20"/>
          <w:sz w:val="20"/>
        </w:rPr>
        <w:t>Вы считаете, что нет ничего плохого в том, чтобы перебивать собеседника, и часто это делаете.</w:t>
      </w:r>
    </w:p>
    <w:p>
      <w:pPr>
        <w:pStyle w:val="ListParagraph"/>
        <w:spacing w:after="0" w:line="235" w:lineRule="auto"/>
        <w:jc w:val="left"/>
        <w:rPr>
          <w:i/>
          <w:sz w:val="20"/>
        </w:rPr>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before="109"/>
        <w:ind w:left="425" w:right="0" w:firstLine="0"/>
        <w:jc w:val="left"/>
        <w:rPr>
          <w:b/>
          <w:sz w:val="20"/>
        </w:rPr>
      </w:pPr>
      <w:r>
        <w:rPr>
          <w:b/>
          <w:color w:val="231F20"/>
          <w:spacing w:val="-4"/>
          <w:sz w:val="20"/>
        </w:rPr>
        <w:t>Город </w:t>
      </w:r>
      <w:r>
        <w:rPr>
          <w:b/>
          <w:color w:val="231F20"/>
          <w:spacing w:val="-12"/>
          <w:sz w:val="20"/>
        </w:rPr>
        <w:t>Б</w:t>
      </w:r>
    </w:p>
    <w:p>
      <w:pPr>
        <w:pStyle w:val="ListParagraph"/>
        <w:numPr>
          <w:ilvl w:val="0"/>
          <w:numId w:val="279"/>
        </w:numPr>
        <w:tabs>
          <w:tab w:pos="425" w:val="left" w:leader="none"/>
        </w:tabs>
        <w:spacing w:line="235" w:lineRule="auto" w:before="0" w:after="0"/>
        <w:ind w:left="425" w:right="139" w:hanging="284"/>
        <w:jc w:val="left"/>
        <w:rPr>
          <w:i/>
          <w:sz w:val="20"/>
        </w:rPr>
      </w:pPr>
      <w:r>
        <w:rPr>
          <w:i/>
          <w:color w:val="231F20"/>
          <w:sz w:val="20"/>
        </w:rPr>
        <w:t>Вы</w:t>
      </w:r>
      <w:r>
        <w:rPr>
          <w:i/>
          <w:color w:val="231F20"/>
          <w:spacing w:val="-6"/>
          <w:sz w:val="20"/>
        </w:rPr>
        <w:t> </w:t>
      </w:r>
      <w:r>
        <w:rPr>
          <w:i/>
          <w:color w:val="231F20"/>
          <w:sz w:val="20"/>
        </w:rPr>
        <w:t>считаете,</w:t>
      </w:r>
      <w:r>
        <w:rPr>
          <w:i/>
          <w:color w:val="231F20"/>
          <w:spacing w:val="-6"/>
          <w:sz w:val="20"/>
        </w:rPr>
        <w:t> </w:t>
      </w:r>
      <w:r>
        <w:rPr>
          <w:i/>
          <w:color w:val="231F20"/>
          <w:sz w:val="20"/>
        </w:rPr>
        <w:t>что</w:t>
      </w:r>
      <w:r>
        <w:rPr>
          <w:i/>
          <w:color w:val="231F20"/>
          <w:spacing w:val="-6"/>
          <w:sz w:val="20"/>
        </w:rPr>
        <w:t> </w:t>
      </w:r>
      <w:r>
        <w:rPr>
          <w:i/>
          <w:color w:val="231F20"/>
          <w:sz w:val="20"/>
        </w:rPr>
        <w:t>главное</w:t>
      </w:r>
      <w:r>
        <w:rPr>
          <w:i/>
          <w:color w:val="231F20"/>
          <w:spacing w:val="-6"/>
          <w:sz w:val="20"/>
        </w:rPr>
        <w:t> </w:t>
      </w:r>
      <w:r>
        <w:rPr>
          <w:i/>
          <w:color w:val="231F20"/>
          <w:sz w:val="20"/>
        </w:rPr>
        <w:t>–</w:t>
      </w:r>
      <w:r>
        <w:rPr>
          <w:i/>
          <w:color w:val="231F20"/>
          <w:spacing w:val="-6"/>
          <w:sz w:val="20"/>
        </w:rPr>
        <w:t> </w:t>
      </w:r>
      <w:r>
        <w:rPr>
          <w:i/>
          <w:color w:val="231F20"/>
          <w:sz w:val="20"/>
        </w:rPr>
        <w:t>сохранить</w:t>
      </w:r>
      <w:r>
        <w:rPr>
          <w:i/>
          <w:color w:val="231F20"/>
          <w:spacing w:val="-6"/>
          <w:sz w:val="20"/>
        </w:rPr>
        <w:t> </w:t>
      </w:r>
      <w:r>
        <w:rPr>
          <w:i/>
          <w:color w:val="231F20"/>
          <w:sz w:val="20"/>
        </w:rPr>
        <w:t>хорошие</w:t>
      </w:r>
      <w:r>
        <w:rPr>
          <w:i/>
          <w:color w:val="231F20"/>
          <w:spacing w:val="-6"/>
          <w:sz w:val="20"/>
        </w:rPr>
        <w:t> </w:t>
      </w:r>
      <w:r>
        <w:rPr>
          <w:i/>
          <w:color w:val="231F20"/>
          <w:sz w:val="20"/>
        </w:rPr>
        <w:t>отношения</w:t>
      </w:r>
      <w:r>
        <w:rPr>
          <w:i/>
          <w:color w:val="231F20"/>
          <w:spacing w:val="-6"/>
          <w:sz w:val="20"/>
        </w:rPr>
        <w:t> </w:t>
      </w:r>
      <w:r>
        <w:rPr>
          <w:i/>
          <w:color w:val="231F20"/>
          <w:sz w:val="20"/>
        </w:rPr>
        <w:t>между</w:t>
      </w:r>
      <w:r>
        <w:rPr>
          <w:i/>
          <w:color w:val="231F20"/>
          <w:spacing w:val="-7"/>
          <w:sz w:val="20"/>
        </w:rPr>
        <w:t> </w:t>
      </w:r>
      <w:r>
        <w:rPr>
          <w:i/>
          <w:color w:val="231F20"/>
          <w:sz w:val="20"/>
        </w:rPr>
        <w:t>людьми,</w:t>
      </w:r>
      <w:r>
        <w:rPr>
          <w:i/>
          <w:color w:val="231F20"/>
          <w:spacing w:val="-6"/>
          <w:sz w:val="20"/>
        </w:rPr>
        <w:t> </w:t>
      </w:r>
      <w:r>
        <w:rPr>
          <w:i/>
          <w:color w:val="231F20"/>
          <w:sz w:val="20"/>
        </w:rPr>
        <w:t>поэ- тому обычно соглашаетесь с собеседником.</w:t>
      </w:r>
    </w:p>
    <w:p>
      <w:pPr>
        <w:pStyle w:val="ListParagraph"/>
        <w:numPr>
          <w:ilvl w:val="0"/>
          <w:numId w:val="279"/>
        </w:numPr>
        <w:tabs>
          <w:tab w:pos="425" w:val="left" w:leader="none"/>
        </w:tabs>
        <w:spacing w:line="235" w:lineRule="auto" w:before="1" w:after="0"/>
        <w:ind w:left="425" w:right="139" w:hanging="284"/>
        <w:jc w:val="left"/>
        <w:rPr>
          <w:i/>
          <w:sz w:val="20"/>
        </w:rPr>
      </w:pPr>
      <w:r>
        <w:rPr>
          <w:i/>
          <w:color w:val="231F20"/>
          <w:spacing w:val="-2"/>
          <w:sz w:val="20"/>
        </w:rPr>
        <w:t>При</w:t>
      </w:r>
      <w:r>
        <w:rPr>
          <w:i/>
          <w:color w:val="231F20"/>
          <w:spacing w:val="-5"/>
          <w:sz w:val="20"/>
        </w:rPr>
        <w:t> </w:t>
      </w:r>
      <w:r>
        <w:rPr>
          <w:i/>
          <w:color w:val="231F20"/>
          <w:spacing w:val="-2"/>
          <w:sz w:val="20"/>
        </w:rPr>
        <w:t>разговоре</w:t>
      </w:r>
      <w:r>
        <w:rPr>
          <w:i/>
          <w:color w:val="231F20"/>
          <w:spacing w:val="-5"/>
          <w:sz w:val="20"/>
        </w:rPr>
        <w:t> </w:t>
      </w:r>
      <w:r>
        <w:rPr>
          <w:i/>
          <w:color w:val="231F20"/>
          <w:spacing w:val="-2"/>
          <w:sz w:val="20"/>
        </w:rPr>
        <w:t>вы</w:t>
      </w:r>
      <w:r>
        <w:rPr>
          <w:i/>
          <w:color w:val="231F20"/>
          <w:spacing w:val="-5"/>
          <w:sz w:val="20"/>
        </w:rPr>
        <w:t> </w:t>
      </w:r>
      <w:r>
        <w:rPr>
          <w:i/>
          <w:color w:val="231F20"/>
          <w:spacing w:val="-2"/>
          <w:sz w:val="20"/>
        </w:rPr>
        <w:t>стремитесь</w:t>
      </w:r>
      <w:r>
        <w:rPr>
          <w:i/>
          <w:color w:val="231F20"/>
          <w:spacing w:val="-5"/>
          <w:sz w:val="20"/>
        </w:rPr>
        <w:t> </w:t>
      </w:r>
      <w:r>
        <w:rPr>
          <w:i/>
          <w:color w:val="231F20"/>
          <w:spacing w:val="-2"/>
          <w:sz w:val="20"/>
        </w:rPr>
        <w:t>создать</w:t>
      </w:r>
      <w:r>
        <w:rPr>
          <w:i/>
          <w:color w:val="231F20"/>
          <w:spacing w:val="-5"/>
          <w:sz w:val="20"/>
        </w:rPr>
        <w:t> </w:t>
      </w:r>
      <w:r>
        <w:rPr>
          <w:i/>
          <w:color w:val="231F20"/>
          <w:spacing w:val="-2"/>
          <w:sz w:val="20"/>
        </w:rPr>
        <w:t>максимально</w:t>
      </w:r>
      <w:r>
        <w:rPr>
          <w:i/>
          <w:color w:val="231F20"/>
          <w:spacing w:val="-5"/>
          <w:sz w:val="20"/>
        </w:rPr>
        <w:t> </w:t>
      </w:r>
      <w:r>
        <w:rPr>
          <w:i/>
          <w:color w:val="231F20"/>
          <w:spacing w:val="-2"/>
          <w:sz w:val="20"/>
        </w:rPr>
        <w:t>теплую</w:t>
      </w:r>
      <w:r>
        <w:rPr>
          <w:i/>
          <w:color w:val="231F20"/>
          <w:spacing w:val="-5"/>
          <w:sz w:val="20"/>
        </w:rPr>
        <w:t> </w:t>
      </w:r>
      <w:r>
        <w:rPr>
          <w:i/>
          <w:color w:val="231F20"/>
          <w:spacing w:val="-2"/>
          <w:sz w:val="20"/>
        </w:rPr>
        <w:t>атмосферу,</w:t>
      </w:r>
      <w:r>
        <w:rPr>
          <w:i/>
          <w:color w:val="231F20"/>
          <w:spacing w:val="-5"/>
          <w:sz w:val="20"/>
        </w:rPr>
        <w:t> </w:t>
      </w:r>
      <w:r>
        <w:rPr>
          <w:i/>
          <w:color w:val="231F20"/>
          <w:spacing w:val="-2"/>
          <w:sz w:val="20"/>
        </w:rPr>
        <w:t>поэтому </w:t>
      </w:r>
      <w:r>
        <w:rPr>
          <w:i/>
          <w:color w:val="231F20"/>
          <w:sz w:val="20"/>
        </w:rPr>
        <w:t>часто прикасаетесь к собеседнику.</w:t>
      </w:r>
    </w:p>
    <w:p>
      <w:pPr>
        <w:pStyle w:val="ListParagraph"/>
        <w:numPr>
          <w:ilvl w:val="0"/>
          <w:numId w:val="279"/>
        </w:numPr>
        <w:tabs>
          <w:tab w:pos="424" w:val="left" w:leader="none"/>
        </w:tabs>
        <w:spacing w:line="227" w:lineRule="exact" w:before="0" w:after="0"/>
        <w:ind w:left="424" w:right="0" w:hanging="283"/>
        <w:jc w:val="left"/>
        <w:rPr>
          <w:i/>
          <w:sz w:val="20"/>
        </w:rPr>
      </w:pPr>
      <w:r>
        <w:rPr>
          <w:i/>
          <w:color w:val="231F20"/>
          <w:sz w:val="20"/>
        </w:rPr>
        <w:t>Вы</w:t>
      </w:r>
      <w:r>
        <w:rPr>
          <w:i/>
          <w:color w:val="231F20"/>
          <w:spacing w:val="-6"/>
          <w:sz w:val="20"/>
        </w:rPr>
        <w:t> </w:t>
      </w:r>
      <w:r>
        <w:rPr>
          <w:i/>
          <w:color w:val="231F20"/>
          <w:sz w:val="20"/>
        </w:rPr>
        <w:t>используете</w:t>
      </w:r>
      <w:r>
        <w:rPr>
          <w:i/>
          <w:color w:val="231F20"/>
          <w:spacing w:val="-4"/>
          <w:sz w:val="20"/>
        </w:rPr>
        <w:t> </w:t>
      </w:r>
      <w:r>
        <w:rPr>
          <w:i/>
          <w:color w:val="231F20"/>
          <w:sz w:val="20"/>
        </w:rPr>
        <w:t>много</w:t>
      </w:r>
      <w:r>
        <w:rPr>
          <w:i/>
          <w:color w:val="231F20"/>
          <w:spacing w:val="-5"/>
          <w:sz w:val="20"/>
        </w:rPr>
        <w:t> </w:t>
      </w:r>
      <w:r>
        <w:rPr>
          <w:i/>
          <w:color w:val="231F20"/>
          <w:sz w:val="20"/>
        </w:rPr>
        <w:t>вежливых</w:t>
      </w:r>
      <w:r>
        <w:rPr>
          <w:i/>
          <w:color w:val="231F20"/>
          <w:spacing w:val="-4"/>
          <w:sz w:val="20"/>
        </w:rPr>
        <w:t> </w:t>
      </w:r>
      <w:r>
        <w:rPr>
          <w:i/>
          <w:color w:val="231F20"/>
          <w:sz w:val="20"/>
        </w:rPr>
        <w:t>слов:</w:t>
      </w:r>
      <w:r>
        <w:rPr>
          <w:i/>
          <w:color w:val="231F20"/>
          <w:spacing w:val="-5"/>
          <w:sz w:val="20"/>
        </w:rPr>
        <w:t> </w:t>
      </w:r>
      <w:r>
        <w:rPr>
          <w:i/>
          <w:color w:val="231F20"/>
          <w:sz w:val="20"/>
        </w:rPr>
        <w:t>«спасибо»,</w:t>
      </w:r>
      <w:r>
        <w:rPr>
          <w:i/>
          <w:color w:val="231F20"/>
          <w:spacing w:val="-4"/>
          <w:sz w:val="20"/>
        </w:rPr>
        <w:t> </w:t>
      </w:r>
      <w:r>
        <w:rPr>
          <w:i/>
          <w:color w:val="231F20"/>
          <w:sz w:val="20"/>
        </w:rPr>
        <w:t>«пожалуйста»,</w:t>
      </w:r>
      <w:r>
        <w:rPr>
          <w:i/>
          <w:color w:val="231F20"/>
          <w:spacing w:val="-4"/>
          <w:sz w:val="20"/>
        </w:rPr>
        <w:t> </w:t>
      </w:r>
      <w:r>
        <w:rPr>
          <w:i/>
          <w:color w:val="231F20"/>
          <w:spacing w:val="-2"/>
          <w:sz w:val="20"/>
        </w:rPr>
        <w:t>«извините».</w:t>
      </w:r>
    </w:p>
    <w:p>
      <w:pPr>
        <w:spacing w:line="228" w:lineRule="exact" w:before="109"/>
        <w:ind w:left="425" w:right="0" w:firstLine="0"/>
        <w:jc w:val="left"/>
        <w:rPr>
          <w:b/>
          <w:sz w:val="20"/>
        </w:rPr>
      </w:pPr>
      <w:r>
        <w:rPr>
          <w:b/>
          <w:color w:val="231F20"/>
          <w:spacing w:val="-4"/>
          <w:sz w:val="20"/>
        </w:rPr>
        <w:t>Город </w:t>
      </w:r>
      <w:r>
        <w:rPr>
          <w:b/>
          <w:color w:val="231F20"/>
          <w:spacing w:val="-12"/>
          <w:sz w:val="20"/>
        </w:rPr>
        <w:t>В</w:t>
      </w:r>
    </w:p>
    <w:p>
      <w:pPr>
        <w:pStyle w:val="ListParagraph"/>
        <w:numPr>
          <w:ilvl w:val="0"/>
          <w:numId w:val="280"/>
        </w:numPr>
        <w:tabs>
          <w:tab w:pos="425" w:val="left" w:leader="none"/>
        </w:tabs>
        <w:spacing w:line="235" w:lineRule="auto" w:before="2" w:after="0"/>
        <w:ind w:left="425" w:right="139" w:hanging="284"/>
        <w:jc w:val="left"/>
        <w:rPr>
          <w:i/>
          <w:sz w:val="20"/>
        </w:rPr>
      </w:pPr>
      <w:r>
        <w:rPr>
          <w:i/>
          <w:color w:val="231F20"/>
          <w:sz w:val="20"/>
        </w:rPr>
        <w:t>Вы</w:t>
      </w:r>
      <w:r>
        <w:rPr>
          <w:i/>
          <w:color w:val="231F20"/>
          <w:spacing w:val="-13"/>
          <w:sz w:val="20"/>
        </w:rPr>
        <w:t> </w:t>
      </w:r>
      <w:r>
        <w:rPr>
          <w:i/>
          <w:color w:val="231F20"/>
          <w:sz w:val="20"/>
        </w:rPr>
        <w:t>считаете,</w:t>
      </w:r>
      <w:r>
        <w:rPr>
          <w:i/>
          <w:color w:val="231F20"/>
          <w:spacing w:val="-12"/>
          <w:sz w:val="20"/>
        </w:rPr>
        <w:t> </w:t>
      </w:r>
      <w:r>
        <w:rPr>
          <w:i/>
          <w:color w:val="231F20"/>
          <w:sz w:val="20"/>
        </w:rPr>
        <w:t>что</w:t>
      </w:r>
      <w:r>
        <w:rPr>
          <w:i/>
          <w:color w:val="231F20"/>
          <w:spacing w:val="-13"/>
          <w:sz w:val="20"/>
        </w:rPr>
        <w:t> </w:t>
      </w:r>
      <w:r>
        <w:rPr>
          <w:i/>
          <w:color w:val="231F20"/>
          <w:sz w:val="20"/>
        </w:rPr>
        <w:t>высказывать</w:t>
      </w:r>
      <w:r>
        <w:rPr>
          <w:i/>
          <w:color w:val="231F20"/>
          <w:spacing w:val="-12"/>
          <w:sz w:val="20"/>
        </w:rPr>
        <w:t> </w:t>
      </w:r>
      <w:r>
        <w:rPr>
          <w:i/>
          <w:color w:val="231F20"/>
          <w:sz w:val="20"/>
        </w:rPr>
        <w:t>однозначное</w:t>
      </w:r>
      <w:r>
        <w:rPr>
          <w:i/>
          <w:color w:val="231F20"/>
          <w:spacing w:val="-13"/>
          <w:sz w:val="20"/>
        </w:rPr>
        <w:t> </w:t>
      </w:r>
      <w:r>
        <w:rPr>
          <w:i/>
          <w:color w:val="231F20"/>
          <w:sz w:val="20"/>
        </w:rPr>
        <w:t>мнение</w:t>
      </w:r>
      <w:r>
        <w:rPr>
          <w:i/>
          <w:color w:val="231F20"/>
          <w:spacing w:val="-12"/>
          <w:sz w:val="20"/>
        </w:rPr>
        <w:t> </w:t>
      </w:r>
      <w:r>
        <w:rPr>
          <w:i/>
          <w:color w:val="231F20"/>
          <w:sz w:val="20"/>
        </w:rPr>
        <w:t>невежливо,</w:t>
      </w:r>
      <w:r>
        <w:rPr>
          <w:i/>
          <w:color w:val="231F20"/>
          <w:spacing w:val="-13"/>
          <w:sz w:val="20"/>
        </w:rPr>
        <w:t> </w:t>
      </w:r>
      <w:r>
        <w:rPr>
          <w:i/>
          <w:color w:val="231F20"/>
          <w:sz w:val="20"/>
        </w:rPr>
        <w:t>поэтому</w:t>
      </w:r>
      <w:r>
        <w:rPr>
          <w:i/>
          <w:color w:val="231F20"/>
          <w:spacing w:val="-12"/>
          <w:sz w:val="20"/>
        </w:rPr>
        <w:t> </w:t>
      </w:r>
      <w:r>
        <w:rPr>
          <w:i/>
          <w:color w:val="231F20"/>
          <w:sz w:val="20"/>
        </w:rPr>
        <w:t>обычно не говорите ни да, ни нет, высказываетесь уклончиво.</w:t>
      </w:r>
    </w:p>
    <w:p>
      <w:pPr>
        <w:pStyle w:val="ListParagraph"/>
        <w:numPr>
          <w:ilvl w:val="0"/>
          <w:numId w:val="280"/>
        </w:numPr>
        <w:tabs>
          <w:tab w:pos="424" w:val="left" w:leader="none"/>
        </w:tabs>
        <w:spacing w:line="225" w:lineRule="exact" w:before="0" w:after="0"/>
        <w:ind w:left="424" w:right="0" w:hanging="283"/>
        <w:jc w:val="left"/>
        <w:rPr>
          <w:i/>
          <w:sz w:val="20"/>
        </w:rPr>
      </w:pPr>
      <w:r>
        <w:rPr>
          <w:i/>
          <w:color w:val="231F20"/>
          <w:sz w:val="20"/>
        </w:rPr>
        <w:t>Вы</w:t>
      </w:r>
      <w:r>
        <w:rPr>
          <w:i/>
          <w:color w:val="231F20"/>
          <w:spacing w:val="-6"/>
          <w:sz w:val="20"/>
        </w:rPr>
        <w:t> </w:t>
      </w:r>
      <w:r>
        <w:rPr>
          <w:i/>
          <w:color w:val="231F20"/>
          <w:sz w:val="20"/>
        </w:rPr>
        <w:t>цените</w:t>
      </w:r>
      <w:r>
        <w:rPr>
          <w:i/>
          <w:color w:val="231F20"/>
          <w:spacing w:val="-3"/>
          <w:sz w:val="20"/>
        </w:rPr>
        <w:t> </w:t>
      </w:r>
      <w:r>
        <w:rPr>
          <w:i/>
          <w:color w:val="231F20"/>
          <w:sz w:val="20"/>
        </w:rPr>
        <w:t>скромность</w:t>
      </w:r>
      <w:r>
        <w:rPr>
          <w:i/>
          <w:color w:val="231F20"/>
          <w:spacing w:val="-3"/>
          <w:sz w:val="20"/>
        </w:rPr>
        <w:t> </w:t>
      </w:r>
      <w:r>
        <w:rPr>
          <w:i/>
          <w:color w:val="231F20"/>
          <w:sz w:val="20"/>
        </w:rPr>
        <w:t>и</w:t>
      </w:r>
      <w:r>
        <w:rPr>
          <w:i/>
          <w:color w:val="231F20"/>
          <w:spacing w:val="-3"/>
          <w:sz w:val="20"/>
        </w:rPr>
        <w:t> </w:t>
      </w:r>
      <w:r>
        <w:rPr>
          <w:i/>
          <w:color w:val="231F20"/>
          <w:sz w:val="20"/>
        </w:rPr>
        <w:t>поэтому</w:t>
      </w:r>
      <w:r>
        <w:rPr>
          <w:i/>
          <w:color w:val="231F20"/>
          <w:spacing w:val="-3"/>
          <w:sz w:val="20"/>
        </w:rPr>
        <w:t> </w:t>
      </w:r>
      <w:r>
        <w:rPr>
          <w:i/>
          <w:color w:val="231F20"/>
          <w:sz w:val="20"/>
        </w:rPr>
        <w:t>не</w:t>
      </w:r>
      <w:r>
        <w:rPr>
          <w:i/>
          <w:color w:val="231F20"/>
          <w:spacing w:val="-2"/>
          <w:sz w:val="20"/>
        </w:rPr>
        <w:t> </w:t>
      </w:r>
      <w:r>
        <w:rPr>
          <w:i/>
          <w:color w:val="231F20"/>
          <w:sz w:val="20"/>
        </w:rPr>
        <w:t>смотрите</w:t>
      </w:r>
      <w:r>
        <w:rPr>
          <w:i/>
          <w:color w:val="231F20"/>
          <w:spacing w:val="-3"/>
          <w:sz w:val="20"/>
        </w:rPr>
        <w:t> </w:t>
      </w:r>
      <w:r>
        <w:rPr>
          <w:i/>
          <w:color w:val="231F20"/>
          <w:sz w:val="20"/>
        </w:rPr>
        <w:t>в</w:t>
      </w:r>
      <w:r>
        <w:rPr>
          <w:i/>
          <w:color w:val="231F20"/>
          <w:spacing w:val="-4"/>
          <w:sz w:val="20"/>
        </w:rPr>
        <w:t> </w:t>
      </w:r>
      <w:r>
        <w:rPr>
          <w:i/>
          <w:color w:val="231F20"/>
          <w:sz w:val="20"/>
        </w:rPr>
        <w:t>глаза</w:t>
      </w:r>
      <w:r>
        <w:rPr>
          <w:i/>
          <w:color w:val="231F20"/>
          <w:spacing w:val="-2"/>
          <w:sz w:val="20"/>
        </w:rPr>
        <w:t> собеседнику.</w:t>
      </w:r>
    </w:p>
    <w:p>
      <w:pPr>
        <w:pStyle w:val="ListParagraph"/>
        <w:numPr>
          <w:ilvl w:val="0"/>
          <w:numId w:val="280"/>
        </w:numPr>
        <w:tabs>
          <w:tab w:pos="424" w:val="left" w:leader="none"/>
        </w:tabs>
        <w:spacing w:line="228" w:lineRule="exact" w:before="0" w:after="0"/>
        <w:ind w:left="424" w:right="0" w:hanging="283"/>
        <w:jc w:val="left"/>
        <w:rPr>
          <w:i/>
          <w:sz w:val="20"/>
        </w:rPr>
      </w:pPr>
      <w:r>
        <w:rPr>
          <w:i/>
          <w:color w:val="231F20"/>
          <w:sz w:val="20"/>
        </w:rPr>
        <w:t>Вы</w:t>
      </w:r>
      <w:r>
        <w:rPr>
          <w:i/>
          <w:color w:val="231F20"/>
          <w:spacing w:val="-13"/>
          <w:sz w:val="20"/>
        </w:rPr>
        <w:t> </w:t>
      </w:r>
      <w:r>
        <w:rPr>
          <w:i/>
          <w:color w:val="231F20"/>
          <w:sz w:val="20"/>
        </w:rPr>
        <w:t>часто</w:t>
      </w:r>
      <w:r>
        <w:rPr>
          <w:i/>
          <w:color w:val="231F20"/>
          <w:spacing w:val="-9"/>
          <w:sz w:val="20"/>
        </w:rPr>
        <w:t> </w:t>
      </w:r>
      <w:r>
        <w:rPr>
          <w:i/>
          <w:color w:val="231F20"/>
          <w:sz w:val="20"/>
        </w:rPr>
        <w:t>переспрашиваете</w:t>
      </w:r>
      <w:r>
        <w:rPr>
          <w:i/>
          <w:color w:val="231F20"/>
          <w:spacing w:val="-9"/>
          <w:sz w:val="20"/>
        </w:rPr>
        <w:t> </w:t>
      </w:r>
      <w:r>
        <w:rPr>
          <w:i/>
          <w:color w:val="231F20"/>
          <w:sz w:val="20"/>
        </w:rPr>
        <w:t>собеседника:</w:t>
      </w:r>
      <w:r>
        <w:rPr>
          <w:i/>
          <w:color w:val="231F20"/>
          <w:spacing w:val="-10"/>
          <w:sz w:val="20"/>
        </w:rPr>
        <w:t> </w:t>
      </w:r>
      <w:r>
        <w:rPr>
          <w:i/>
          <w:color w:val="231F20"/>
          <w:sz w:val="20"/>
        </w:rPr>
        <w:t>это</w:t>
      </w:r>
      <w:r>
        <w:rPr>
          <w:i/>
          <w:color w:val="231F20"/>
          <w:spacing w:val="-9"/>
          <w:sz w:val="20"/>
        </w:rPr>
        <w:t> </w:t>
      </w:r>
      <w:r>
        <w:rPr>
          <w:i/>
          <w:color w:val="231F20"/>
          <w:sz w:val="20"/>
        </w:rPr>
        <w:t>способствует</w:t>
      </w:r>
      <w:r>
        <w:rPr>
          <w:i/>
          <w:color w:val="231F20"/>
          <w:spacing w:val="-10"/>
          <w:sz w:val="20"/>
        </w:rPr>
        <w:t> </w:t>
      </w:r>
      <w:r>
        <w:rPr>
          <w:i/>
          <w:color w:val="231F20"/>
          <w:spacing w:val="-2"/>
          <w:sz w:val="20"/>
        </w:rPr>
        <w:t>взаимопониманию.</w:t>
      </w:r>
    </w:p>
    <w:p>
      <w:pPr>
        <w:spacing w:before="109"/>
        <w:ind w:left="3212" w:right="0" w:firstLine="0"/>
        <w:jc w:val="left"/>
        <w:rPr>
          <w:b/>
          <w:sz w:val="20"/>
        </w:rPr>
      </w:pPr>
      <w:r>
        <w:rPr>
          <w:b/>
          <w:color w:val="231F20"/>
          <w:sz w:val="20"/>
        </w:rPr>
        <w:t>«Города</w:t>
      </w:r>
      <w:r>
        <w:rPr>
          <w:b/>
          <w:color w:val="231F20"/>
          <w:spacing w:val="-13"/>
          <w:sz w:val="20"/>
        </w:rPr>
        <w:t> </w:t>
      </w:r>
      <w:r>
        <w:rPr>
          <w:b/>
          <w:color w:val="231F20"/>
          <w:sz w:val="20"/>
        </w:rPr>
        <w:t>–</w:t>
      </w:r>
      <w:r>
        <w:rPr>
          <w:b/>
          <w:color w:val="231F20"/>
          <w:spacing w:val="-12"/>
          <w:sz w:val="20"/>
        </w:rPr>
        <w:t> </w:t>
      </w:r>
      <w:r>
        <w:rPr>
          <w:b/>
          <w:color w:val="231F20"/>
          <w:spacing w:val="-5"/>
          <w:sz w:val="20"/>
        </w:rPr>
        <w:t>2»</w:t>
      </w:r>
    </w:p>
    <w:p>
      <w:pPr>
        <w:spacing w:line="235" w:lineRule="auto" w:before="113"/>
        <w:ind w:left="4549" w:right="136" w:hanging="149"/>
        <w:jc w:val="left"/>
        <w:rPr>
          <w:i/>
          <w:sz w:val="20"/>
        </w:rPr>
      </w:pPr>
      <w:r>
        <w:rPr>
          <w:b/>
          <w:i/>
          <w:color w:val="231F20"/>
          <w:sz w:val="20"/>
        </w:rPr>
        <w:t>Источник</w:t>
      </w:r>
      <w:r>
        <w:rPr>
          <w:i/>
          <w:color w:val="231F20"/>
          <w:sz w:val="20"/>
        </w:rPr>
        <w:t>:</w:t>
      </w:r>
      <w:r>
        <w:rPr>
          <w:i/>
          <w:color w:val="231F20"/>
          <w:spacing w:val="-13"/>
          <w:sz w:val="20"/>
        </w:rPr>
        <w:t> </w:t>
      </w:r>
      <w:r>
        <w:rPr>
          <w:i/>
          <w:color w:val="231F20"/>
          <w:sz w:val="20"/>
        </w:rPr>
        <w:t>авторская</w:t>
      </w:r>
      <w:r>
        <w:rPr>
          <w:i/>
          <w:color w:val="231F20"/>
          <w:spacing w:val="-12"/>
          <w:sz w:val="20"/>
        </w:rPr>
        <w:t> </w:t>
      </w:r>
      <w:r>
        <w:rPr>
          <w:i/>
          <w:color w:val="231F20"/>
          <w:sz w:val="20"/>
        </w:rPr>
        <w:t>разработка М.Ю.</w:t>
      </w:r>
      <w:r>
        <w:rPr>
          <w:i/>
          <w:color w:val="231F20"/>
          <w:spacing w:val="-3"/>
          <w:sz w:val="20"/>
        </w:rPr>
        <w:t> </w:t>
      </w:r>
      <w:r>
        <w:rPr>
          <w:i/>
          <w:color w:val="231F20"/>
          <w:sz w:val="20"/>
        </w:rPr>
        <w:t>Чибисовой</w:t>
      </w:r>
      <w:r>
        <w:rPr>
          <w:i/>
          <w:color w:val="231F20"/>
          <w:spacing w:val="-2"/>
          <w:sz w:val="20"/>
        </w:rPr>
        <w:t> </w:t>
      </w:r>
      <w:r>
        <w:rPr>
          <w:i/>
          <w:color w:val="231F20"/>
          <w:sz w:val="20"/>
        </w:rPr>
        <w:t>и</w:t>
      </w:r>
      <w:r>
        <w:rPr>
          <w:i/>
          <w:color w:val="231F20"/>
          <w:spacing w:val="-2"/>
          <w:sz w:val="20"/>
        </w:rPr>
        <w:t> </w:t>
      </w:r>
      <w:r>
        <w:rPr>
          <w:i/>
          <w:color w:val="231F20"/>
          <w:sz w:val="20"/>
        </w:rPr>
        <w:t>А.Е.</w:t>
      </w:r>
      <w:r>
        <w:rPr>
          <w:i/>
          <w:color w:val="231F20"/>
          <w:spacing w:val="-2"/>
          <w:sz w:val="20"/>
        </w:rPr>
        <w:t> Сысоевой</w:t>
      </w:r>
    </w:p>
    <w:p>
      <w:pPr>
        <w:spacing w:before="111"/>
        <w:ind w:left="425" w:right="0" w:firstLine="0"/>
        <w:jc w:val="left"/>
        <w:rPr>
          <w:b/>
          <w:sz w:val="20"/>
        </w:rPr>
      </w:pPr>
      <w:r>
        <w:rPr>
          <w:b/>
          <w:color w:val="231F20"/>
          <w:spacing w:val="-2"/>
          <w:sz w:val="20"/>
        </w:rPr>
        <w:t>Ход</w:t>
      </w:r>
      <w:r>
        <w:rPr>
          <w:b/>
          <w:color w:val="231F20"/>
          <w:spacing w:val="-7"/>
          <w:sz w:val="20"/>
        </w:rPr>
        <w:t> </w:t>
      </w:r>
      <w:r>
        <w:rPr>
          <w:b/>
          <w:color w:val="231F20"/>
          <w:spacing w:val="-4"/>
          <w:sz w:val="20"/>
        </w:rPr>
        <w:t>игры</w:t>
      </w:r>
    </w:p>
    <w:p>
      <w:pPr>
        <w:pStyle w:val="BodyText"/>
        <w:spacing w:line="235" w:lineRule="auto"/>
        <w:ind w:right="140"/>
      </w:pPr>
      <w:r>
        <w:rPr/>
        <w:t>Участники делятся на команды про помощи разноцветных карточек, которые им раздает ведущий, а затем получают инструкцию (см. приложение).</w:t>
      </w:r>
    </w:p>
    <w:p>
      <w:pPr>
        <w:pStyle w:val="BodyText"/>
        <w:spacing w:line="235" w:lineRule="auto" w:before="1"/>
      </w:pPr>
      <w:r>
        <w:rPr/>
        <w:t>Ведущий</w:t>
      </w:r>
      <w:r>
        <w:rPr>
          <w:spacing w:val="-7"/>
        </w:rPr>
        <w:t> </w:t>
      </w:r>
      <w:r>
        <w:rPr/>
        <w:t>предупреждает</w:t>
      </w:r>
      <w:r>
        <w:rPr>
          <w:spacing w:val="-7"/>
        </w:rPr>
        <w:t> </w:t>
      </w:r>
      <w:r>
        <w:rPr/>
        <w:t>группу,</w:t>
      </w:r>
      <w:r>
        <w:rPr>
          <w:spacing w:val="-7"/>
        </w:rPr>
        <w:t> </w:t>
      </w:r>
      <w:r>
        <w:rPr/>
        <w:t>что</w:t>
      </w:r>
      <w:r>
        <w:rPr>
          <w:spacing w:val="-7"/>
        </w:rPr>
        <w:t> </w:t>
      </w:r>
      <w:r>
        <w:rPr/>
        <w:t>есть</w:t>
      </w:r>
      <w:r>
        <w:rPr>
          <w:spacing w:val="-7"/>
        </w:rPr>
        <w:t> </w:t>
      </w:r>
      <w:r>
        <w:rPr/>
        <w:t>люди,</w:t>
      </w:r>
      <w:r>
        <w:rPr>
          <w:spacing w:val="-7"/>
        </w:rPr>
        <w:t> </w:t>
      </w:r>
      <w:r>
        <w:rPr/>
        <w:t>которые</w:t>
      </w:r>
      <w:r>
        <w:rPr>
          <w:spacing w:val="-7"/>
        </w:rPr>
        <w:t> </w:t>
      </w:r>
      <w:r>
        <w:rPr/>
        <w:t>будут</w:t>
      </w:r>
      <w:r>
        <w:rPr>
          <w:spacing w:val="-7"/>
        </w:rPr>
        <w:t> </w:t>
      </w:r>
      <w:r>
        <w:rPr/>
        <w:t>переходить</w:t>
      </w:r>
      <w:r>
        <w:rPr>
          <w:spacing w:val="-7"/>
        </w:rPr>
        <w:t> </w:t>
      </w:r>
      <w:r>
        <w:rPr/>
        <w:t>из</w:t>
      </w:r>
      <w:r>
        <w:rPr>
          <w:spacing w:val="-7"/>
        </w:rPr>
        <w:t> </w:t>
      </w:r>
      <w:r>
        <w:rPr/>
        <w:t>од- ной</w:t>
      </w:r>
      <w:r>
        <w:rPr>
          <w:spacing w:val="-7"/>
        </w:rPr>
        <w:t> </w:t>
      </w:r>
      <w:r>
        <w:rPr/>
        <w:t>команды</w:t>
      </w:r>
      <w:r>
        <w:rPr>
          <w:spacing w:val="-7"/>
        </w:rPr>
        <w:t> </w:t>
      </w:r>
      <w:r>
        <w:rPr/>
        <w:t>в</w:t>
      </w:r>
      <w:r>
        <w:rPr>
          <w:spacing w:val="-7"/>
        </w:rPr>
        <w:t> </w:t>
      </w:r>
      <w:r>
        <w:rPr/>
        <w:t>другую.</w:t>
      </w:r>
      <w:r>
        <w:rPr>
          <w:spacing w:val="-7"/>
        </w:rPr>
        <w:t> </w:t>
      </w:r>
      <w:r>
        <w:rPr/>
        <w:t>Среди</w:t>
      </w:r>
      <w:r>
        <w:rPr>
          <w:spacing w:val="-7"/>
        </w:rPr>
        <w:t> </w:t>
      </w:r>
      <w:r>
        <w:rPr/>
        <w:t>всех</w:t>
      </w:r>
      <w:r>
        <w:rPr>
          <w:spacing w:val="-7"/>
        </w:rPr>
        <w:t> </w:t>
      </w:r>
      <w:r>
        <w:rPr/>
        <w:t>карточек</w:t>
      </w:r>
      <w:r>
        <w:rPr>
          <w:spacing w:val="-7"/>
        </w:rPr>
        <w:t> </w:t>
      </w:r>
      <w:r>
        <w:rPr/>
        <w:t>есть</w:t>
      </w:r>
      <w:r>
        <w:rPr>
          <w:spacing w:val="-7"/>
        </w:rPr>
        <w:t> </w:t>
      </w:r>
      <w:r>
        <w:rPr/>
        <w:t>шесть,</w:t>
      </w:r>
      <w:r>
        <w:rPr>
          <w:spacing w:val="-7"/>
        </w:rPr>
        <w:t> </w:t>
      </w:r>
      <w:r>
        <w:rPr/>
        <w:t>содержащих</w:t>
      </w:r>
      <w:r>
        <w:rPr>
          <w:spacing w:val="-7"/>
        </w:rPr>
        <w:t> </w:t>
      </w:r>
      <w:r>
        <w:rPr/>
        <w:t>в</w:t>
      </w:r>
      <w:r>
        <w:rPr>
          <w:spacing w:val="-7"/>
        </w:rPr>
        <w:t> </w:t>
      </w:r>
      <w:r>
        <w:rPr/>
        <w:t>себе</w:t>
      </w:r>
      <w:r>
        <w:rPr>
          <w:spacing w:val="-7"/>
        </w:rPr>
        <w:t> </w:t>
      </w:r>
      <w:r>
        <w:rPr/>
        <w:t>скрытую инструкцию (см. приложение).</w:t>
      </w:r>
    </w:p>
    <w:p>
      <w:pPr>
        <w:pStyle w:val="BodyText"/>
        <w:spacing w:line="235" w:lineRule="auto" w:before="2"/>
        <w:ind w:right="140"/>
      </w:pPr>
      <w:r>
        <w:rPr/>
        <w:t>Ведущий дает команду, что можно приступать к обсуждению, и напоминает, что на обсуждение отводится только три минуты.</w:t>
      </w:r>
    </w:p>
    <w:p>
      <w:pPr>
        <w:pStyle w:val="BodyText"/>
        <w:spacing w:line="235" w:lineRule="auto" w:before="1"/>
      </w:pPr>
      <w:r>
        <w:rPr/>
        <w:t>По</w:t>
      </w:r>
      <w:r>
        <w:rPr>
          <w:spacing w:val="-9"/>
        </w:rPr>
        <w:t> </w:t>
      </w:r>
      <w:r>
        <w:rPr/>
        <w:t>истечении</w:t>
      </w:r>
      <w:r>
        <w:rPr>
          <w:spacing w:val="-9"/>
        </w:rPr>
        <w:t> </w:t>
      </w:r>
      <w:r>
        <w:rPr/>
        <w:t>трех</w:t>
      </w:r>
      <w:r>
        <w:rPr>
          <w:spacing w:val="-9"/>
        </w:rPr>
        <w:t> </w:t>
      </w:r>
      <w:r>
        <w:rPr/>
        <w:t>минут</w:t>
      </w:r>
      <w:r>
        <w:rPr>
          <w:spacing w:val="-9"/>
        </w:rPr>
        <w:t> </w:t>
      </w:r>
      <w:r>
        <w:rPr/>
        <w:t>ведущий</w:t>
      </w:r>
      <w:r>
        <w:rPr>
          <w:spacing w:val="-9"/>
        </w:rPr>
        <w:t> </w:t>
      </w:r>
      <w:r>
        <w:rPr/>
        <w:t>объявляет,</w:t>
      </w:r>
      <w:r>
        <w:rPr>
          <w:spacing w:val="-9"/>
        </w:rPr>
        <w:t> </w:t>
      </w:r>
      <w:r>
        <w:rPr/>
        <w:t>что</w:t>
      </w:r>
      <w:r>
        <w:rPr>
          <w:spacing w:val="-9"/>
        </w:rPr>
        <w:t> </w:t>
      </w:r>
      <w:r>
        <w:rPr/>
        <w:t>разговаривать</w:t>
      </w:r>
      <w:r>
        <w:rPr>
          <w:spacing w:val="-9"/>
        </w:rPr>
        <w:t> </w:t>
      </w:r>
      <w:r>
        <w:rPr/>
        <w:t>больше</w:t>
      </w:r>
      <w:r>
        <w:rPr>
          <w:spacing w:val="-9"/>
        </w:rPr>
        <w:t> </w:t>
      </w:r>
      <w:r>
        <w:rPr/>
        <w:t>нельзя,</w:t>
      </w:r>
      <w:r>
        <w:rPr>
          <w:spacing w:val="-9"/>
        </w:rPr>
        <w:t> </w:t>
      </w:r>
      <w:r>
        <w:rPr/>
        <w:t>и приглашает группы приступить к рисованию. Через 3–4 минуты после начала рисо- вания ведущий подает первый знак – хлопает два раза. Три человека с особыми ин- струкциями</w:t>
      </w:r>
      <w:r>
        <w:rPr>
          <w:spacing w:val="-10"/>
        </w:rPr>
        <w:t> </w:t>
      </w:r>
      <w:r>
        <w:rPr/>
        <w:t>должны</w:t>
      </w:r>
      <w:r>
        <w:rPr>
          <w:spacing w:val="-10"/>
        </w:rPr>
        <w:t> </w:t>
      </w:r>
      <w:r>
        <w:rPr/>
        <w:t>поменять</w:t>
      </w:r>
      <w:r>
        <w:rPr>
          <w:spacing w:val="-10"/>
        </w:rPr>
        <w:t> </w:t>
      </w:r>
      <w:r>
        <w:rPr/>
        <w:t>группы</w:t>
      </w:r>
      <w:r>
        <w:rPr>
          <w:spacing w:val="-10"/>
        </w:rPr>
        <w:t> </w:t>
      </w:r>
      <w:r>
        <w:rPr/>
        <w:t>и</w:t>
      </w:r>
      <w:r>
        <w:rPr>
          <w:spacing w:val="-10"/>
        </w:rPr>
        <w:t> </w:t>
      </w:r>
      <w:r>
        <w:rPr/>
        <w:t>продолжить</w:t>
      </w:r>
      <w:r>
        <w:rPr>
          <w:spacing w:val="-10"/>
        </w:rPr>
        <w:t> </w:t>
      </w:r>
      <w:r>
        <w:rPr/>
        <w:t>рисование</w:t>
      </w:r>
      <w:r>
        <w:rPr>
          <w:spacing w:val="-10"/>
        </w:rPr>
        <w:t> </w:t>
      </w:r>
      <w:r>
        <w:rPr/>
        <w:t>в</w:t>
      </w:r>
      <w:r>
        <w:rPr>
          <w:spacing w:val="-10"/>
        </w:rPr>
        <w:t> </w:t>
      </w:r>
      <w:r>
        <w:rPr/>
        <w:t>новом</w:t>
      </w:r>
      <w:r>
        <w:rPr>
          <w:spacing w:val="-10"/>
        </w:rPr>
        <w:t> </w:t>
      </w:r>
      <w:r>
        <w:rPr/>
        <w:t>составе.</w:t>
      </w:r>
      <w:r>
        <w:rPr>
          <w:spacing w:val="-10"/>
        </w:rPr>
        <w:t> </w:t>
      </w:r>
      <w:r>
        <w:rPr/>
        <w:t>Еще через</w:t>
      </w:r>
      <w:r>
        <w:rPr>
          <w:spacing w:val="-2"/>
        </w:rPr>
        <w:t> </w:t>
      </w:r>
      <w:r>
        <w:rPr/>
        <w:t>3–4</w:t>
      </w:r>
      <w:r>
        <w:rPr>
          <w:spacing w:val="-2"/>
        </w:rPr>
        <w:t> </w:t>
      </w:r>
      <w:r>
        <w:rPr/>
        <w:t>минуты</w:t>
      </w:r>
      <w:r>
        <w:rPr>
          <w:spacing w:val="-2"/>
        </w:rPr>
        <w:t> </w:t>
      </w:r>
      <w:r>
        <w:rPr/>
        <w:t>ведущий</w:t>
      </w:r>
      <w:r>
        <w:rPr>
          <w:spacing w:val="-2"/>
        </w:rPr>
        <w:t> </w:t>
      </w:r>
      <w:r>
        <w:rPr/>
        <w:t>подает</w:t>
      </w:r>
      <w:r>
        <w:rPr>
          <w:spacing w:val="-2"/>
        </w:rPr>
        <w:t> </w:t>
      </w:r>
      <w:r>
        <w:rPr/>
        <w:t>второй</w:t>
      </w:r>
      <w:r>
        <w:rPr>
          <w:spacing w:val="-2"/>
        </w:rPr>
        <w:t> </w:t>
      </w:r>
      <w:r>
        <w:rPr/>
        <w:t>знак</w:t>
      </w:r>
      <w:r>
        <w:rPr>
          <w:spacing w:val="-2"/>
        </w:rPr>
        <w:t> </w:t>
      </w:r>
      <w:r>
        <w:rPr/>
        <w:t>–</w:t>
      </w:r>
      <w:r>
        <w:rPr>
          <w:spacing w:val="-2"/>
        </w:rPr>
        <w:t> </w:t>
      </w:r>
      <w:r>
        <w:rPr/>
        <w:t>хлопает</w:t>
      </w:r>
      <w:r>
        <w:rPr>
          <w:spacing w:val="-2"/>
        </w:rPr>
        <w:t> </w:t>
      </w:r>
      <w:r>
        <w:rPr/>
        <w:t>три</w:t>
      </w:r>
      <w:r>
        <w:rPr>
          <w:spacing w:val="-2"/>
        </w:rPr>
        <w:t> </w:t>
      </w:r>
      <w:r>
        <w:rPr/>
        <w:t>раза.</w:t>
      </w:r>
      <w:r>
        <w:rPr>
          <w:spacing w:val="-2"/>
        </w:rPr>
        <w:t> </w:t>
      </w:r>
      <w:r>
        <w:rPr/>
        <w:t>Еще</w:t>
      </w:r>
      <w:r>
        <w:rPr>
          <w:spacing w:val="-2"/>
        </w:rPr>
        <w:t> </w:t>
      </w:r>
      <w:r>
        <w:rPr/>
        <w:t>три</w:t>
      </w:r>
      <w:r>
        <w:rPr>
          <w:spacing w:val="-2"/>
        </w:rPr>
        <w:t> </w:t>
      </w:r>
      <w:r>
        <w:rPr/>
        <w:t>человека меняют группы. Через 3 минуты ведущий подает сигнал к окончанию рисования.</w:t>
      </w:r>
    </w:p>
    <w:p>
      <w:pPr>
        <w:pStyle w:val="BodyText"/>
        <w:spacing w:line="235" w:lineRule="auto" w:before="4"/>
      </w:pPr>
      <w:r>
        <w:rPr/>
        <w:t>Ведущий</w:t>
      </w:r>
      <w:r>
        <w:rPr>
          <w:spacing w:val="-13"/>
        </w:rPr>
        <w:t> </w:t>
      </w:r>
      <w:r>
        <w:rPr/>
        <w:t>просит</w:t>
      </w:r>
      <w:r>
        <w:rPr>
          <w:spacing w:val="-12"/>
        </w:rPr>
        <w:t> </w:t>
      </w:r>
      <w:r>
        <w:rPr/>
        <w:t>каждую</w:t>
      </w:r>
      <w:r>
        <w:rPr>
          <w:spacing w:val="-13"/>
        </w:rPr>
        <w:t> </w:t>
      </w:r>
      <w:r>
        <w:rPr/>
        <w:t>группу</w:t>
      </w:r>
      <w:r>
        <w:rPr>
          <w:spacing w:val="-12"/>
        </w:rPr>
        <w:t> </w:t>
      </w:r>
      <w:r>
        <w:rPr/>
        <w:t>показать</w:t>
      </w:r>
      <w:r>
        <w:rPr>
          <w:spacing w:val="-13"/>
        </w:rPr>
        <w:t> </w:t>
      </w:r>
      <w:r>
        <w:rPr/>
        <w:t>и</w:t>
      </w:r>
      <w:r>
        <w:rPr>
          <w:spacing w:val="-12"/>
        </w:rPr>
        <w:t> </w:t>
      </w:r>
      <w:r>
        <w:rPr/>
        <w:t>кратко</w:t>
      </w:r>
      <w:r>
        <w:rPr>
          <w:spacing w:val="-13"/>
        </w:rPr>
        <w:t> </w:t>
      </w:r>
      <w:r>
        <w:rPr/>
        <w:t>прокомментировать</w:t>
      </w:r>
      <w:r>
        <w:rPr>
          <w:spacing w:val="-12"/>
        </w:rPr>
        <w:t> </w:t>
      </w:r>
      <w:r>
        <w:rPr/>
        <w:t>свой</w:t>
      </w:r>
      <w:r>
        <w:rPr>
          <w:spacing w:val="-13"/>
        </w:rPr>
        <w:t> </w:t>
      </w:r>
      <w:r>
        <w:rPr/>
        <w:t>рису- нок, после чего проводит обсуждение упражнения.</w:t>
      </w:r>
    </w:p>
    <w:p>
      <w:pPr>
        <w:pStyle w:val="BodyText"/>
        <w:spacing w:line="228" w:lineRule="exact" w:before="54"/>
        <w:ind w:left="425" w:right="0" w:firstLine="0"/>
      </w:pPr>
      <w:r>
        <w:rPr/>
        <w:t>Вопросы для</w:t>
      </w:r>
      <w:r>
        <w:rPr>
          <w:spacing w:val="3"/>
        </w:rPr>
        <w:t> </w:t>
      </w:r>
      <w:r>
        <w:rPr>
          <w:spacing w:val="-2"/>
        </w:rPr>
        <w:t>обсуждения:</w:t>
      </w:r>
    </w:p>
    <w:p>
      <w:pPr>
        <w:pStyle w:val="ListParagraph"/>
        <w:numPr>
          <w:ilvl w:val="0"/>
          <w:numId w:val="281"/>
        </w:numPr>
        <w:tabs>
          <w:tab w:pos="424" w:val="left" w:leader="none"/>
        </w:tabs>
        <w:spacing w:line="226" w:lineRule="exact" w:before="0" w:after="0"/>
        <w:ind w:left="424" w:right="0" w:hanging="283"/>
        <w:jc w:val="left"/>
        <w:rPr>
          <w:i/>
          <w:sz w:val="20"/>
        </w:rPr>
      </w:pPr>
      <w:r>
        <w:rPr>
          <w:i/>
          <w:sz w:val="20"/>
        </w:rPr>
        <w:t>Нравится</w:t>
      </w:r>
      <w:r>
        <w:rPr>
          <w:i/>
          <w:spacing w:val="-4"/>
          <w:sz w:val="20"/>
        </w:rPr>
        <w:t> </w:t>
      </w:r>
      <w:r>
        <w:rPr>
          <w:i/>
          <w:sz w:val="20"/>
        </w:rPr>
        <w:t>ли</w:t>
      </w:r>
      <w:r>
        <w:rPr>
          <w:i/>
          <w:spacing w:val="-4"/>
          <w:sz w:val="20"/>
        </w:rPr>
        <w:t> </w:t>
      </w:r>
      <w:r>
        <w:rPr>
          <w:i/>
          <w:sz w:val="20"/>
        </w:rPr>
        <w:t>вам</w:t>
      </w:r>
      <w:r>
        <w:rPr>
          <w:i/>
          <w:spacing w:val="-5"/>
          <w:sz w:val="20"/>
        </w:rPr>
        <w:t> </w:t>
      </w:r>
      <w:r>
        <w:rPr>
          <w:i/>
          <w:sz w:val="20"/>
        </w:rPr>
        <w:t>результат</w:t>
      </w:r>
      <w:r>
        <w:rPr>
          <w:i/>
          <w:spacing w:val="-5"/>
          <w:sz w:val="20"/>
        </w:rPr>
        <w:t> </w:t>
      </w:r>
      <w:r>
        <w:rPr>
          <w:i/>
          <w:sz w:val="20"/>
        </w:rPr>
        <w:t>вашей</w:t>
      </w:r>
      <w:r>
        <w:rPr>
          <w:i/>
          <w:spacing w:val="-3"/>
          <w:sz w:val="20"/>
        </w:rPr>
        <w:t> </w:t>
      </w:r>
      <w:r>
        <w:rPr>
          <w:i/>
          <w:spacing w:val="-2"/>
          <w:sz w:val="20"/>
        </w:rPr>
        <w:t>работы?</w:t>
      </w:r>
    </w:p>
    <w:p>
      <w:pPr>
        <w:pStyle w:val="ListParagraph"/>
        <w:numPr>
          <w:ilvl w:val="0"/>
          <w:numId w:val="281"/>
        </w:numPr>
        <w:tabs>
          <w:tab w:pos="424" w:val="left" w:leader="none"/>
        </w:tabs>
        <w:spacing w:line="226" w:lineRule="exact" w:before="0" w:after="0"/>
        <w:ind w:left="424" w:right="0" w:hanging="283"/>
        <w:jc w:val="left"/>
        <w:rPr>
          <w:i/>
          <w:sz w:val="20"/>
        </w:rPr>
      </w:pPr>
      <w:r>
        <w:rPr>
          <w:i/>
          <w:sz w:val="20"/>
        </w:rPr>
        <w:t>Легко</w:t>
      </w:r>
      <w:r>
        <w:rPr>
          <w:i/>
          <w:spacing w:val="-3"/>
          <w:sz w:val="20"/>
        </w:rPr>
        <w:t> </w:t>
      </w:r>
      <w:r>
        <w:rPr>
          <w:i/>
          <w:sz w:val="20"/>
        </w:rPr>
        <w:t>ли</w:t>
      </w:r>
      <w:r>
        <w:rPr>
          <w:i/>
          <w:spacing w:val="-4"/>
          <w:sz w:val="20"/>
        </w:rPr>
        <w:t> </w:t>
      </w:r>
      <w:r>
        <w:rPr>
          <w:i/>
          <w:sz w:val="20"/>
        </w:rPr>
        <w:t>было</w:t>
      </w:r>
      <w:r>
        <w:rPr>
          <w:i/>
          <w:spacing w:val="-3"/>
          <w:sz w:val="20"/>
        </w:rPr>
        <w:t> </w:t>
      </w:r>
      <w:r>
        <w:rPr>
          <w:i/>
          <w:sz w:val="20"/>
        </w:rPr>
        <w:t>рисовать</w:t>
      </w:r>
      <w:r>
        <w:rPr>
          <w:i/>
          <w:spacing w:val="-3"/>
          <w:sz w:val="20"/>
        </w:rPr>
        <w:t> </w:t>
      </w:r>
      <w:r>
        <w:rPr>
          <w:i/>
          <w:sz w:val="20"/>
        </w:rPr>
        <w:t>совместно,</w:t>
      </w:r>
      <w:r>
        <w:rPr>
          <w:i/>
          <w:spacing w:val="-3"/>
          <w:sz w:val="20"/>
        </w:rPr>
        <w:t> </w:t>
      </w:r>
      <w:r>
        <w:rPr>
          <w:i/>
          <w:sz w:val="20"/>
        </w:rPr>
        <w:t>не</w:t>
      </w:r>
      <w:r>
        <w:rPr>
          <w:i/>
          <w:spacing w:val="-3"/>
          <w:sz w:val="20"/>
        </w:rPr>
        <w:t> </w:t>
      </w:r>
      <w:r>
        <w:rPr>
          <w:i/>
          <w:sz w:val="20"/>
        </w:rPr>
        <w:t>произнося</w:t>
      </w:r>
      <w:r>
        <w:rPr>
          <w:i/>
          <w:spacing w:val="-3"/>
          <w:sz w:val="20"/>
        </w:rPr>
        <w:t> </w:t>
      </w:r>
      <w:r>
        <w:rPr>
          <w:i/>
          <w:sz w:val="20"/>
        </w:rPr>
        <w:t>ни</w:t>
      </w:r>
      <w:r>
        <w:rPr>
          <w:i/>
          <w:spacing w:val="-3"/>
          <w:sz w:val="20"/>
        </w:rPr>
        <w:t> </w:t>
      </w:r>
      <w:r>
        <w:rPr>
          <w:i/>
          <w:spacing w:val="-2"/>
          <w:sz w:val="20"/>
        </w:rPr>
        <w:t>слова?</w:t>
      </w:r>
    </w:p>
    <w:p>
      <w:pPr>
        <w:pStyle w:val="ListParagraph"/>
        <w:numPr>
          <w:ilvl w:val="0"/>
          <w:numId w:val="281"/>
        </w:numPr>
        <w:tabs>
          <w:tab w:pos="424" w:val="left" w:leader="none"/>
        </w:tabs>
        <w:spacing w:line="226" w:lineRule="exact" w:before="0" w:after="0"/>
        <w:ind w:left="424" w:right="0" w:hanging="283"/>
        <w:jc w:val="left"/>
        <w:rPr>
          <w:i/>
          <w:sz w:val="20"/>
        </w:rPr>
      </w:pPr>
      <w:r>
        <w:rPr>
          <w:i/>
          <w:sz w:val="20"/>
        </w:rPr>
        <w:t>Если нет, что вам</w:t>
      </w:r>
      <w:r>
        <w:rPr>
          <w:i/>
          <w:spacing w:val="-1"/>
          <w:sz w:val="20"/>
        </w:rPr>
        <w:t> </w:t>
      </w:r>
      <w:r>
        <w:rPr>
          <w:i/>
          <w:sz w:val="20"/>
        </w:rPr>
        <w:t>мешало? Если да, что </w:t>
      </w:r>
      <w:r>
        <w:rPr>
          <w:i/>
          <w:spacing w:val="-2"/>
          <w:sz w:val="20"/>
        </w:rPr>
        <w:t>помогало?</w:t>
      </w:r>
    </w:p>
    <w:p>
      <w:pPr>
        <w:pStyle w:val="ListParagraph"/>
        <w:numPr>
          <w:ilvl w:val="0"/>
          <w:numId w:val="281"/>
        </w:numPr>
        <w:tabs>
          <w:tab w:pos="425" w:val="left" w:leader="none"/>
        </w:tabs>
        <w:spacing w:line="235" w:lineRule="auto" w:before="2" w:after="0"/>
        <w:ind w:left="425" w:right="139" w:hanging="284"/>
        <w:jc w:val="left"/>
        <w:rPr>
          <w:i/>
          <w:sz w:val="20"/>
        </w:rPr>
      </w:pPr>
      <w:r>
        <w:rPr>
          <w:i/>
          <w:sz w:val="20"/>
        </w:rPr>
        <w:t>Что изменилось, когда появился гость? Каким гость вам показался? Как проис- ходило взаимодействие? Что произошло, когда гостей оказалось двое?</w:t>
      </w:r>
    </w:p>
    <w:p>
      <w:pPr>
        <w:pStyle w:val="BodyText"/>
        <w:spacing w:line="235" w:lineRule="auto" w:before="58"/>
      </w:pPr>
      <w:r>
        <w:rPr/>
        <w:t>Затем ведущий просит участников со скрытой инструкцией поделиться своими впечатлениями</w:t>
      </w:r>
      <w:r>
        <w:rPr>
          <w:spacing w:val="-1"/>
        </w:rPr>
        <w:t> </w:t>
      </w:r>
      <w:r>
        <w:rPr/>
        <w:t>о проделанной</w:t>
      </w:r>
      <w:r>
        <w:rPr>
          <w:spacing w:val="-1"/>
        </w:rPr>
        <w:t> </w:t>
      </w:r>
      <w:r>
        <w:rPr/>
        <w:t>работе и</w:t>
      </w:r>
      <w:r>
        <w:rPr>
          <w:spacing w:val="-1"/>
        </w:rPr>
        <w:t> </w:t>
      </w:r>
      <w:r>
        <w:rPr/>
        <w:t>рассказать, с</w:t>
      </w:r>
      <w:r>
        <w:rPr>
          <w:spacing w:val="-1"/>
        </w:rPr>
        <w:t> </w:t>
      </w:r>
      <w:r>
        <w:rPr/>
        <w:t>какими</w:t>
      </w:r>
      <w:r>
        <w:rPr>
          <w:spacing w:val="-1"/>
        </w:rPr>
        <w:t> </w:t>
      </w:r>
      <w:r>
        <w:rPr/>
        <w:t>сложностями</w:t>
      </w:r>
      <w:r>
        <w:rPr>
          <w:spacing w:val="-1"/>
        </w:rPr>
        <w:t> </w:t>
      </w:r>
      <w:r>
        <w:rPr/>
        <w:t>они стол- кнулись. Нужно также попросить их сказать, какие именно были у них инструкции.</w:t>
      </w:r>
    </w:p>
    <w:p>
      <w:pPr>
        <w:pStyle w:val="BodyText"/>
        <w:spacing w:line="235" w:lineRule="auto" w:before="2"/>
      </w:pPr>
      <w:r>
        <w:rPr/>
        <w:t>В заключение ведущий спрашивает группу, на какие реальные события похожа эта игра.</w:t>
      </w:r>
    </w:p>
    <w:p>
      <w:pPr>
        <w:pStyle w:val="BodyText"/>
        <w:spacing w:line="235" w:lineRule="auto" w:before="1"/>
      </w:pPr>
      <w:r>
        <w:rPr>
          <w:color w:val="231F20"/>
        </w:rPr>
        <w:t>Очень важно обратить внимание участников, что люди, ведущие себя по иным правилам,</w:t>
      </w:r>
      <w:r>
        <w:rPr>
          <w:color w:val="231F20"/>
          <w:spacing w:val="-3"/>
        </w:rPr>
        <w:t> </w:t>
      </w:r>
      <w:r>
        <w:rPr>
          <w:color w:val="231F20"/>
        </w:rPr>
        <w:t>кажутся</w:t>
      </w:r>
      <w:r>
        <w:rPr>
          <w:color w:val="231F20"/>
          <w:spacing w:val="-1"/>
        </w:rPr>
        <w:t> </w:t>
      </w:r>
      <w:r>
        <w:rPr>
          <w:color w:val="231F20"/>
        </w:rPr>
        <w:t>нам</w:t>
      </w:r>
      <w:r>
        <w:rPr>
          <w:color w:val="231F20"/>
          <w:spacing w:val="-1"/>
        </w:rPr>
        <w:t> </w:t>
      </w:r>
      <w:r>
        <w:rPr>
          <w:color w:val="231F20"/>
        </w:rPr>
        <w:t>«странными».</w:t>
      </w:r>
      <w:r>
        <w:rPr>
          <w:color w:val="231F20"/>
          <w:spacing w:val="-1"/>
        </w:rPr>
        <w:t> </w:t>
      </w:r>
      <w:r>
        <w:rPr>
          <w:color w:val="231F20"/>
        </w:rPr>
        <w:t>В</w:t>
      </w:r>
      <w:r>
        <w:rPr>
          <w:color w:val="231F20"/>
          <w:spacing w:val="-1"/>
        </w:rPr>
        <w:t> </w:t>
      </w:r>
      <w:r>
        <w:rPr>
          <w:color w:val="231F20"/>
        </w:rPr>
        <w:t>конце</w:t>
      </w:r>
      <w:r>
        <w:rPr>
          <w:color w:val="231F20"/>
          <w:spacing w:val="-1"/>
        </w:rPr>
        <w:t> </w:t>
      </w:r>
      <w:r>
        <w:rPr>
          <w:color w:val="231F20"/>
        </w:rPr>
        <w:t>обсуждения</w:t>
      </w:r>
      <w:r>
        <w:rPr>
          <w:color w:val="231F20"/>
          <w:spacing w:val="-1"/>
        </w:rPr>
        <w:t> </w:t>
      </w:r>
      <w:r>
        <w:rPr>
          <w:color w:val="231F20"/>
        </w:rPr>
        <w:t>нужно</w:t>
      </w:r>
      <w:r>
        <w:rPr>
          <w:color w:val="231F20"/>
          <w:spacing w:val="-1"/>
        </w:rPr>
        <w:t> </w:t>
      </w:r>
      <w:r>
        <w:rPr>
          <w:color w:val="231F20"/>
        </w:rPr>
        <w:t>подвести</w:t>
      </w:r>
      <w:r>
        <w:rPr>
          <w:color w:val="231F20"/>
          <w:spacing w:val="-1"/>
        </w:rPr>
        <w:t> </w:t>
      </w:r>
      <w:r>
        <w:rPr>
          <w:color w:val="231F20"/>
          <w:spacing w:val="-2"/>
        </w:rPr>
        <w:t>участни-</w:t>
      </w:r>
    </w:p>
    <w:p>
      <w:pPr>
        <w:pStyle w:val="BodyText"/>
        <w:spacing w:after="0" w:line="235" w:lineRule="auto"/>
        <w:sectPr>
          <w:pgSz w:w="8400" w:h="11910"/>
          <w:pgMar w:header="0" w:footer="530" w:top="400" w:bottom="720" w:left="425" w:right="425"/>
        </w:sectPr>
      </w:pPr>
    </w:p>
    <w:p>
      <w:pPr>
        <w:spacing w:before="80"/>
        <w:ind w:left="141" w:right="0" w:firstLine="0"/>
        <w:jc w:val="left"/>
        <w:rPr>
          <w:rFonts w:ascii="Georgia" w:hAnsi="Georgia"/>
          <w:sz w:val="18"/>
        </w:rPr>
      </w:pPr>
      <w:r>
        <w:rPr>
          <w:rFonts w:ascii="Georgia" w:hAnsi="Georgia"/>
          <w:color w:val="231F20"/>
          <w:sz w:val="18"/>
        </w:rPr>
        <w:t>4.1.</w:t>
      </w:r>
      <w:r>
        <w:rPr>
          <w:rFonts w:ascii="Georgia" w:hAnsi="Georgia"/>
          <w:color w:val="231F20"/>
          <w:spacing w:val="11"/>
          <w:sz w:val="18"/>
        </w:rPr>
        <w:t> </w:t>
      </w:r>
      <w:r>
        <w:rPr>
          <w:rFonts w:ascii="Georgia" w:hAnsi="Georgia"/>
          <w:color w:val="231F20"/>
          <w:sz w:val="18"/>
        </w:rPr>
        <w:t>Активности</w:t>
      </w:r>
      <w:r>
        <w:rPr>
          <w:rFonts w:ascii="Georgia" w:hAnsi="Georgia"/>
          <w:color w:val="231F20"/>
          <w:spacing w:val="12"/>
          <w:sz w:val="18"/>
        </w:rPr>
        <w:t> </w:t>
      </w:r>
      <w:r>
        <w:rPr>
          <w:rFonts w:ascii="Georgia" w:hAnsi="Georgia"/>
          <w:color w:val="231F20"/>
          <w:sz w:val="18"/>
        </w:rPr>
        <w:t>межкультурного</w:t>
      </w:r>
      <w:r>
        <w:rPr>
          <w:rFonts w:ascii="Georgia" w:hAnsi="Georgia"/>
          <w:color w:val="231F20"/>
          <w:spacing w:val="12"/>
          <w:sz w:val="18"/>
        </w:rPr>
        <w:t> </w:t>
      </w:r>
      <w:r>
        <w:rPr>
          <w:rFonts w:ascii="Georgia" w:hAnsi="Georgia"/>
          <w:color w:val="231F20"/>
          <w:sz w:val="18"/>
        </w:rPr>
        <w:t>тренинга</w:t>
      </w:r>
      <w:r>
        <w:rPr>
          <w:rFonts w:ascii="Georgia" w:hAnsi="Georgia"/>
          <w:color w:val="231F20"/>
          <w:spacing w:val="11"/>
          <w:sz w:val="18"/>
        </w:rPr>
        <w:t> </w:t>
      </w:r>
      <w:r>
        <w:rPr>
          <w:rFonts w:ascii="Georgia" w:hAnsi="Georgia"/>
          <w:color w:val="231F20"/>
          <w:sz w:val="18"/>
        </w:rPr>
        <w:t>для</w:t>
      </w:r>
      <w:r>
        <w:rPr>
          <w:rFonts w:ascii="Georgia" w:hAnsi="Georgia"/>
          <w:color w:val="231F20"/>
          <w:spacing w:val="12"/>
          <w:sz w:val="18"/>
        </w:rPr>
        <w:t> </w:t>
      </w:r>
      <w:r>
        <w:rPr>
          <w:rFonts w:ascii="Georgia" w:hAnsi="Georgia"/>
          <w:color w:val="231F20"/>
          <w:sz w:val="18"/>
        </w:rPr>
        <w:t>поликультурного</w:t>
      </w:r>
      <w:r>
        <w:rPr>
          <w:rFonts w:ascii="Georgia" w:hAnsi="Georgia"/>
          <w:color w:val="231F20"/>
          <w:spacing w:val="12"/>
          <w:sz w:val="18"/>
        </w:rPr>
        <w:t> </w:t>
      </w:r>
      <w:r>
        <w:rPr>
          <w:rFonts w:ascii="Georgia" w:hAnsi="Georgia"/>
          <w:color w:val="231F20"/>
          <w:spacing w:val="-2"/>
          <w:sz w:val="18"/>
        </w:rPr>
        <w:t>класса</w:t>
      </w:r>
    </w:p>
    <w:p>
      <w:pPr>
        <w:pStyle w:val="BodyText"/>
        <w:spacing w:line="235" w:lineRule="auto" w:before="116"/>
        <w:ind w:right="0" w:firstLine="0"/>
        <w:jc w:val="left"/>
      </w:pPr>
      <w:r>
        <w:rPr>
          <w:color w:val="231F20"/>
        </w:rPr>
        <w:t>ков</w:t>
      </w:r>
      <w:r>
        <w:rPr>
          <w:color w:val="231F20"/>
          <w:spacing w:val="-8"/>
        </w:rPr>
        <w:t> </w:t>
      </w:r>
      <w:r>
        <w:rPr>
          <w:color w:val="231F20"/>
        </w:rPr>
        <w:t>к</w:t>
      </w:r>
      <w:r>
        <w:rPr>
          <w:color w:val="231F20"/>
          <w:spacing w:val="-8"/>
        </w:rPr>
        <w:t> </w:t>
      </w:r>
      <w:r>
        <w:rPr>
          <w:color w:val="231F20"/>
        </w:rPr>
        <w:t>мысли,</w:t>
      </w:r>
      <w:r>
        <w:rPr>
          <w:color w:val="231F20"/>
          <w:spacing w:val="-8"/>
        </w:rPr>
        <w:t> </w:t>
      </w:r>
      <w:r>
        <w:rPr>
          <w:color w:val="231F20"/>
        </w:rPr>
        <w:t>что</w:t>
      </w:r>
      <w:r>
        <w:rPr>
          <w:color w:val="231F20"/>
          <w:spacing w:val="-8"/>
        </w:rPr>
        <w:t> </w:t>
      </w:r>
      <w:r>
        <w:rPr>
          <w:color w:val="231F20"/>
        </w:rPr>
        <w:t>игра</w:t>
      </w:r>
      <w:r>
        <w:rPr>
          <w:color w:val="231F20"/>
          <w:spacing w:val="-8"/>
        </w:rPr>
        <w:t> </w:t>
      </w:r>
      <w:r>
        <w:rPr>
          <w:color w:val="231F20"/>
        </w:rPr>
        <w:t>показывает,</w:t>
      </w:r>
      <w:r>
        <w:rPr>
          <w:color w:val="231F20"/>
          <w:spacing w:val="-8"/>
        </w:rPr>
        <w:t> </w:t>
      </w:r>
      <w:r>
        <w:rPr>
          <w:color w:val="231F20"/>
        </w:rPr>
        <w:t>как</w:t>
      </w:r>
      <w:r>
        <w:rPr>
          <w:color w:val="231F20"/>
          <w:spacing w:val="-8"/>
        </w:rPr>
        <w:t> </w:t>
      </w:r>
      <w:r>
        <w:rPr>
          <w:color w:val="231F20"/>
        </w:rPr>
        <w:t>происходит</w:t>
      </w:r>
      <w:r>
        <w:rPr>
          <w:color w:val="231F20"/>
          <w:spacing w:val="-8"/>
        </w:rPr>
        <w:t> </w:t>
      </w:r>
      <w:r>
        <w:rPr>
          <w:color w:val="231F20"/>
        </w:rPr>
        <w:t>взаимодействие</w:t>
      </w:r>
      <w:r>
        <w:rPr>
          <w:color w:val="231F20"/>
          <w:spacing w:val="-8"/>
        </w:rPr>
        <w:t> </w:t>
      </w:r>
      <w:r>
        <w:rPr>
          <w:color w:val="231F20"/>
        </w:rPr>
        <w:t>между</w:t>
      </w:r>
      <w:r>
        <w:rPr>
          <w:color w:val="231F20"/>
          <w:spacing w:val="-9"/>
        </w:rPr>
        <w:t> </w:t>
      </w:r>
      <w:r>
        <w:rPr>
          <w:color w:val="231F20"/>
        </w:rPr>
        <w:t>представи- телями</w:t>
      </w:r>
      <w:r>
        <w:rPr>
          <w:color w:val="231F20"/>
          <w:spacing w:val="-4"/>
        </w:rPr>
        <w:t> </w:t>
      </w:r>
      <w:r>
        <w:rPr>
          <w:color w:val="231F20"/>
        </w:rPr>
        <w:t>различных</w:t>
      </w:r>
      <w:r>
        <w:rPr>
          <w:color w:val="231F20"/>
          <w:spacing w:val="-3"/>
        </w:rPr>
        <w:t> </w:t>
      </w:r>
      <w:r>
        <w:rPr>
          <w:color w:val="231F20"/>
        </w:rPr>
        <w:t>культур</w:t>
      </w:r>
      <w:r>
        <w:rPr>
          <w:color w:val="231F20"/>
          <w:spacing w:val="-3"/>
        </w:rPr>
        <w:t> </w:t>
      </w:r>
      <w:r>
        <w:rPr>
          <w:color w:val="231F20"/>
        </w:rPr>
        <w:t>и</w:t>
      </w:r>
      <w:r>
        <w:rPr>
          <w:color w:val="231F20"/>
          <w:spacing w:val="-4"/>
        </w:rPr>
        <w:t> </w:t>
      </w:r>
      <w:r>
        <w:rPr>
          <w:color w:val="231F20"/>
        </w:rPr>
        <w:t>какие</w:t>
      </w:r>
      <w:r>
        <w:rPr>
          <w:color w:val="231F20"/>
          <w:spacing w:val="-3"/>
        </w:rPr>
        <w:t> </w:t>
      </w:r>
      <w:r>
        <w:rPr>
          <w:color w:val="231F20"/>
        </w:rPr>
        <w:t>возможные</w:t>
      </w:r>
      <w:r>
        <w:rPr>
          <w:color w:val="231F20"/>
          <w:spacing w:val="-3"/>
        </w:rPr>
        <w:t> </w:t>
      </w:r>
      <w:r>
        <w:rPr>
          <w:color w:val="231F20"/>
        </w:rPr>
        <w:t>препятствия</w:t>
      </w:r>
      <w:r>
        <w:rPr>
          <w:color w:val="231F20"/>
          <w:spacing w:val="-3"/>
        </w:rPr>
        <w:t> </w:t>
      </w:r>
      <w:r>
        <w:rPr>
          <w:color w:val="231F20"/>
        </w:rPr>
        <w:t>на</w:t>
      </w:r>
      <w:r>
        <w:rPr>
          <w:color w:val="231F20"/>
          <w:spacing w:val="-3"/>
        </w:rPr>
        <w:t> </w:t>
      </w:r>
      <w:r>
        <w:rPr>
          <w:color w:val="231F20"/>
        </w:rPr>
        <w:t>этом</w:t>
      </w:r>
      <w:r>
        <w:rPr>
          <w:color w:val="231F20"/>
          <w:spacing w:val="-3"/>
        </w:rPr>
        <w:t> </w:t>
      </w:r>
      <w:r>
        <w:rPr>
          <w:color w:val="231F20"/>
        </w:rPr>
        <w:t>пути</w:t>
      </w:r>
      <w:r>
        <w:rPr>
          <w:color w:val="231F20"/>
          <w:spacing w:val="-4"/>
        </w:rPr>
        <w:t> </w:t>
      </w:r>
      <w:r>
        <w:rPr>
          <w:color w:val="231F20"/>
        </w:rPr>
        <w:t>возникают.</w:t>
      </w:r>
    </w:p>
    <w:p>
      <w:pPr>
        <w:spacing w:before="119"/>
        <w:ind w:left="141" w:right="423" w:firstLine="0"/>
        <w:jc w:val="right"/>
        <w:rPr>
          <w:b/>
          <w:i/>
          <w:sz w:val="20"/>
        </w:rPr>
      </w:pPr>
      <w:r>
        <w:rPr>
          <w:b/>
          <w:i/>
          <w:color w:val="231F20"/>
          <w:spacing w:val="-2"/>
          <w:sz w:val="20"/>
        </w:rPr>
        <w:t>Приложение</w:t>
      </w:r>
    </w:p>
    <w:p>
      <w:pPr>
        <w:spacing w:before="4"/>
        <w:ind w:left="2253" w:right="0" w:firstLine="0"/>
        <w:jc w:val="both"/>
        <w:rPr>
          <w:b/>
          <w:sz w:val="20"/>
        </w:rPr>
      </w:pPr>
      <w:r>
        <w:rPr>
          <w:b/>
          <w:color w:val="231F20"/>
          <w:sz w:val="20"/>
        </w:rPr>
        <w:t>Инструкции</w:t>
      </w:r>
      <w:r>
        <w:rPr>
          <w:b/>
          <w:color w:val="231F20"/>
          <w:spacing w:val="-4"/>
          <w:sz w:val="20"/>
        </w:rPr>
        <w:t> </w:t>
      </w:r>
      <w:r>
        <w:rPr>
          <w:b/>
          <w:color w:val="231F20"/>
          <w:sz w:val="20"/>
        </w:rPr>
        <w:t>для</w:t>
      </w:r>
      <w:r>
        <w:rPr>
          <w:b/>
          <w:color w:val="231F20"/>
          <w:spacing w:val="-3"/>
          <w:sz w:val="20"/>
        </w:rPr>
        <w:t> </w:t>
      </w:r>
      <w:r>
        <w:rPr>
          <w:b/>
          <w:color w:val="231F20"/>
          <w:sz w:val="20"/>
        </w:rPr>
        <w:t>всех</w:t>
      </w:r>
      <w:r>
        <w:rPr>
          <w:b/>
          <w:color w:val="231F20"/>
          <w:spacing w:val="-2"/>
          <w:sz w:val="20"/>
        </w:rPr>
        <w:t> участников</w:t>
      </w:r>
    </w:p>
    <w:p>
      <w:pPr>
        <w:pStyle w:val="ListParagraph"/>
        <w:numPr>
          <w:ilvl w:val="0"/>
          <w:numId w:val="282"/>
        </w:numPr>
        <w:tabs>
          <w:tab w:pos="869" w:val="left" w:leader="none"/>
        </w:tabs>
        <w:spacing w:line="244" w:lineRule="auto" w:before="4" w:after="0"/>
        <w:ind w:left="425" w:right="422" w:firstLine="283"/>
        <w:jc w:val="both"/>
        <w:rPr>
          <w:i/>
          <w:sz w:val="20"/>
        </w:rPr>
      </w:pPr>
      <w:r>
        <w:rPr>
          <w:i/>
          <w:sz w:val="20"/>
        </w:rPr>
        <w:t>Вы оказались в команде № 1. Вам предстоит вместе с вашей командой нарисовать город. На обсуждение города у вас есть 3 минуты, затем вы бу- дете</w:t>
      </w:r>
      <w:r>
        <w:rPr>
          <w:i/>
          <w:spacing w:val="-3"/>
          <w:sz w:val="20"/>
        </w:rPr>
        <w:t> </w:t>
      </w:r>
      <w:r>
        <w:rPr>
          <w:i/>
          <w:sz w:val="20"/>
        </w:rPr>
        <w:t>работать</w:t>
      </w:r>
      <w:r>
        <w:rPr>
          <w:i/>
          <w:spacing w:val="-3"/>
          <w:sz w:val="20"/>
        </w:rPr>
        <w:t> </w:t>
      </w:r>
      <w:r>
        <w:rPr>
          <w:i/>
          <w:sz w:val="20"/>
        </w:rPr>
        <w:t>молча.</w:t>
      </w:r>
      <w:r>
        <w:rPr>
          <w:i/>
          <w:spacing w:val="-3"/>
          <w:sz w:val="20"/>
        </w:rPr>
        <w:t> </w:t>
      </w:r>
      <w:r>
        <w:rPr>
          <w:i/>
          <w:sz w:val="20"/>
        </w:rPr>
        <w:t>Обсудив</w:t>
      </w:r>
      <w:r>
        <w:rPr>
          <w:i/>
          <w:spacing w:val="-3"/>
          <w:sz w:val="20"/>
        </w:rPr>
        <w:t> </w:t>
      </w:r>
      <w:r>
        <w:rPr>
          <w:i/>
          <w:sz w:val="20"/>
        </w:rPr>
        <w:t>будущий</w:t>
      </w:r>
      <w:r>
        <w:rPr>
          <w:i/>
          <w:spacing w:val="-3"/>
          <w:sz w:val="20"/>
        </w:rPr>
        <w:t> </w:t>
      </w:r>
      <w:r>
        <w:rPr>
          <w:i/>
          <w:sz w:val="20"/>
        </w:rPr>
        <w:t>город,</w:t>
      </w:r>
      <w:r>
        <w:rPr>
          <w:i/>
          <w:spacing w:val="-3"/>
          <w:sz w:val="20"/>
        </w:rPr>
        <w:t> </w:t>
      </w:r>
      <w:r>
        <w:rPr>
          <w:i/>
          <w:sz w:val="20"/>
        </w:rPr>
        <w:t>подойдите</w:t>
      </w:r>
      <w:r>
        <w:rPr>
          <w:i/>
          <w:spacing w:val="-3"/>
          <w:sz w:val="20"/>
        </w:rPr>
        <w:t> </w:t>
      </w:r>
      <w:r>
        <w:rPr>
          <w:i/>
          <w:sz w:val="20"/>
        </w:rPr>
        <w:t>к</w:t>
      </w:r>
      <w:r>
        <w:rPr>
          <w:i/>
          <w:spacing w:val="-3"/>
          <w:sz w:val="20"/>
        </w:rPr>
        <w:t> </w:t>
      </w:r>
      <w:r>
        <w:rPr>
          <w:i/>
          <w:sz w:val="20"/>
        </w:rPr>
        <w:t>столу,</w:t>
      </w:r>
      <w:r>
        <w:rPr>
          <w:i/>
          <w:spacing w:val="-3"/>
          <w:sz w:val="20"/>
        </w:rPr>
        <w:t> </w:t>
      </w:r>
      <w:r>
        <w:rPr>
          <w:i/>
          <w:sz w:val="20"/>
        </w:rPr>
        <w:t>возьмите карандаш или кисточку. Удобно расположитесь</w:t>
      </w:r>
      <w:r>
        <w:rPr>
          <w:i/>
          <w:spacing w:val="-1"/>
          <w:sz w:val="20"/>
        </w:rPr>
        <w:t> </w:t>
      </w:r>
      <w:r>
        <w:rPr>
          <w:i/>
          <w:sz w:val="20"/>
        </w:rPr>
        <w:t>для работы</w:t>
      </w:r>
      <w:r>
        <w:rPr>
          <w:i/>
          <w:spacing w:val="-1"/>
          <w:sz w:val="20"/>
        </w:rPr>
        <w:t> </w:t>
      </w:r>
      <w:r>
        <w:rPr>
          <w:i/>
          <w:sz w:val="20"/>
        </w:rPr>
        <w:t>и приступайте.</w:t>
      </w:r>
    </w:p>
    <w:p>
      <w:pPr>
        <w:pStyle w:val="ListParagraph"/>
        <w:numPr>
          <w:ilvl w:val="0"/>
          <w:numId w:val="282"/>
        </w:numPr>
        <w:tabs>
          <w:tab w:pos="869" w:val="left" w:leader="none"/>
        </w:tabs>
        <w:spacing w:line="244" w:lineRule="auto" w:before="54" w:after="0"/>
        <w:ind w:left="425" w:right="422" w:firstLine="283"/>
        <w:jc w:val="both"/>
        <w:rPr>
          <w:i/>
          <w:sz w:val="20"/>
        </w:rPr>
      </w:pPr>
      <w:r>
        <w:rPr>
          <w:i/>
          <w:sz w:val="20"/>
        </w:rPr>
        <w:t>Вы оказались в команде № 2. Вам предстоит вместе с вашей командой нарисовать город. На обсуждение города у вас есть 3 минуты, затем вы бу- дете</w:t>
      </w:r>
      <w:r>
        <w:rPr>
          <w:i/>
          <w:spacing w:val="-3"/>
          <w:sz w:val="20"/>
        </w:rPr>
        <w:t> </w:t>
      </w:r>
      <w:r>
        <w:rPr>
          <w:i/>
          <w:sz w:val="20"/>
        </w:rPr>
        <w:t>работать</w:t>
      </w:r>
      <w:r>
        <w:rPr>
          <w:i/>
          <w:spacing w:val="-3"/>
          <w:sz w:val="20"/>
        </w:rPr>
        <w:t> </w:t>
      </w:r>
      <w:r>
        <w:rPr>
          <w:i/>
          <w:sz w:val="20"/>
        </w:rPr>
        <w:t>молча.</w:t>
      </w:r>
      <w:r>
        <w:rPr>
          <w:i/>
          <w:spacing w:val="-3"/>
          <w:sz w:val="20"/>
        </w:rPr>
        <w:t> </w:t>
      </w:r>
      <w:r>
        <w:rPr>
          <w:i/>
          <w:sz w:val="20"/>
        </w:rPr>
        <w:t>Обсудив</w:t>
      </w:r>
      <w:r>
        <w:rPr>
          <w:i/>
          <w:spacing w:val="-3"/>
          <w:sz w:val="20"/>
        </w:rPr>
        <w:t> </w:t>
      </w:r>
      <w:r>
        <w:rPr>
          <w:i/>
          <w:sz w:val="20"/>
        </w:rPr>
        <w:t>будущий</w:t>
      </w:r>
      <w:r>
        <w:rPr>
          <w:i/>
          <w:spacing w:val="-3"/>
          <w:sz w:val="20"/>
        </w:rPr>
        <w:t> </w:t>
      </w:r>
      <w:r>
        <w:rPr>
          <w:i/>
          <w:sz w:val="20"/>
        </w:rPr>
        <w:t>город,</w:t>
      </w:r>
      <w:r>
        <w:rPr>
          <w:i/>
          <w:spacing w:val="-3"/>
          <w:sz w:val="20"/>
        </w:rPr>
        <w:t> </w:t>
      </w:r>
      <w:r>
        <w:rPr>
          <w:i/>
          <w:sz w:val="20"/>
        </w:rPr>
        <w:t>подойдите</w:t>
      </w:r>
      <w:r>
        <w:rPr>
          <w:i/>
          <w:spacing w:val="-3"/>
          <w:sz w:val="20"/>
        </w:rPr>
        <w:t> </w:t>
      </w:r>
      <w:r>
        <w:rPr>
          <w:i/>
          <w:sz w:val="20"/>
        </w:rPr>
        <w:t>к</w:t>
      </w:r>
      <w:r>
        <w:rPr>
          <w:i/>
          <w:spacing w:val="-3"/>
          <w:sz w:val="20"/>
        </w:rPr>
        <w:t> </w:t>
      </w:r>
      <w:r>
        <w:rPr>
          <w:i/>
          <w:sz w:val="20"/>
        </w:rPr>
        <w:t>столу,</w:t>
      </w:r>
      <w:r>
        <w:rPr>
          <w:i/>
          <w:spacing w:val="-3"/>
          <w:sz w:val="20"/>
        </w:rPr>
        <w:t> </w:t>
      </w:r>
      <w:r>
        <w:rPr>
          <w:i/>
          <w:sz w:val="20"/>
        </w:rPr>
        <w:t>возьмите карандаш или кисточку. Удобно расположитесь</w:t>
      </w:r>
      <w:r>
        <w:rPr>
          <w:i/>
          <w:spacing w:val="-1"/>
          <w:sz w:val="20"/>
        </w:rPr>
        <w:t> </w:t>
      </w:r>
      <w:r>
        <w:rPr>
          <w:i/>
          <w:sz w:val="20"/>
        </w:rPr>
        <w:t>для работы</w:t>
      </w:r>
      <w:r>
        <w:rPr>
          <w:i/>
          <w:spacing w:val="-1"/>
          <w:sz w:val="20"/>
        </w:rPr>
        <w:t> </w:t>
      </w:r>
      <w:r>
        <w:rPr>
          <w:i/>
          <w:sz w:val="20"/>
        </w:rPr>
        <w:t>и приступайте.</w:t>
      </w:r>
    </w:p>
    <w:p>
      <w:pPr>
        <w:pStyle w:val="ListParagraph"/>
        <w:numPr>
          <w:ilvl w:val="0"/>
          <w:numId w:val="282"/>
        </w:numPr>
        <w:tabs>
          <w:tab w:pos="869" w:val="left" w:leader="none"/>
        </w:tabs>
        <w:spacing w:line="244" w:lineRule="auto" w:before="54" w:after="0"/>
        <w:ind w:left="425" w:right="422" w:firstLine="283"/>
        <w:jc w:val="both"/>
        <w:rPr>
          <w:i/>
          <w:sz w:val="20"/>
        </w:rPr>
      </w:pPr>
      <w:r>
        <w:rPr>
          <w:i/>
          <w:sz w:val="20"/>
        </w:rPr>
        <w:t>Вы оказались в команде № 3. Вам предстоит вместе с вашей командой нарисовать город. На обсуждение города у вас есть 3 минуты, затем вы бу- дете</w:t>
      </w:r>
      <w:r>
        <w:rPr>
          <w:i/>
          <w:spacing w:val="-3"/>
          <w:sz w:val="20"/>
        </w:rPr>
        <w:t> </w:t>
      </w:r>
      <w:r>
        <w:rPr>
          <w:i/>
          <w:sz w:val="20"/>
        </w:rPr>
        <w:t>работать</w:t>
      </w:r>
      <w:r>
        <w:rPr>
          <w:i/>
          <w:spacing w:val="-3"/>
          <w:sz w:val="20"/>
        </w:rPr>
        <w:t> </w:t>
      </w:r>
      <w:r>
        <w:rPr>
          <w:i/>
          <w:sz w:val="20"/>
        </w:rPr>
        <w:t>молча.</w:t>
      </w:r>
      <w:r>
        <w:rPr>
          <w:i/>
          <w:spacing w:val="-3"/>
          <w:sz w:val="20"/>
        </w:rPr>
        <w:t> </w:t>
      </w:r>
      <w:r>
        <w:rPr>
          <w:i/>
          <w:sz w:val="20"/>
        </w:rPr>
        <w:t>Обсудив</w:t>
      </w:r>
      <w:r>
        <w:rPr>
          <w:i/>
          <w:spacing w:val="-3"/>
          <w:sz w:val="20"/>
        </w:rPr>
        <w:t> </w:t>
      </w:r>
      <w:r>
        <w:rPr>
          <w:i/>
          <w:sz w:val="20"/>
        </w:rPr>
        <w:t>будущий</w:t>
      </w:r>
      <w:r>
        <w:rPr>
          <w:i/>
          <w:spacing w:val="-3"/>
          <w:sz w:val="20"/>
        </w:rPr>
        <w:t> </w:t>
      </w:r>
      <w:r>
        <w:rPr>
          <w:i/>
          <w:sz w:val="20"/>
        </w:rPr>
        <w:t>город,</w:t>
      </w:r>
      <w:r>
        <w:rPr>
          <w:i/>
          <w:spacing w:val="-3"/>
          <w:sz w:val="20"/>
        </w:rPr>
        <w:t> </w:t>
      </w:r>
      <w:r>
        <w:rPr>
          <w:i/>
          <w:sz w:val="20"/>
        </w:rPr>
        <w:t>подойдите</w:t>
      </w:r>
      <w:r>
        <w:rPr>
          <w:i/>
          <w:spacing w:val="-3"/>
          <w:sz w:val="20"/>
        </w:rPr>
        <w:t> </w:t>
      </w:r>
      <w:r>
        <w:rPr>
          <w:i/>
          <w:sz w:val="20"/>
        </w:rPr>
        <w:t>к</w:t>
      </w:r>
      <w:r>
        <w:rPr>
          <w:i/>
          <w:spacing w:val="-3"/>
          <w:sz w:val="20"/>
        </w:rPr>
        <w:t> </w:t>
      </w:r>
      <w:r>
        <w:rPr>
          <w:i/>
          <w:sz w:val="20"/>
        </w:rPr>
        <w:t>столу,</w:t>
      </w:r>
      <w:r>
        <w:rPr>
          <w:i/>
          <w:spacing w:val="-3"/>
          <w:sz w:val="20"/>
        </w:rPr>
        <w:t> </w:t>
      </w:r>
      <w:r>
        <w:rPr>
          <w:i/>
          <w:sz w:val="20"/>
        </w:rPr>
        <w:t>возьмите карандаш или кисточку. Удобно расположитесь</w:t>
      </w:r>
      <w:r>
        <w:rPr>
          <w:i/>
          <w:spacing w:val="-1"/>
          <w:sz w:val="20"/>
        </w:rPr>
        <w:t> </w:t>
      </w:r>
      <w:r>
        <w:rPr>
          <w:i/>
          <w:sz w:val="20"/>
        </w:rPr>
        <w:t>для работы</w:t>
      </w:r>
      <w:r>
        <w:rPr>
          <w:i/>
          <w:spacing w:val="-1"/>
          <w:sz w:val="20"/>
        </w:rPr>
        <w:t> </w:t>
      </w:r>
      <w:r>
        <w:rPr>
          <w:i/>
          <w:sz w:val="20"/>
        </w:rPr>
        <w:t>и приступайте.</w:t>
      </w:r>
    </w:p>
    <w:p>
      <w:pPr>
        <w:spacing w:line="244" w:lineRule="auto" w:before="111"/>
        <w:ind w:left="1981" w:right="1566" w:hanging="413"/>
        <w:jc w:val="both"/>
        <w:rPr>
          <w:b/>
          <w:sz w:val="20"/>
        </w:rPr>
      </w:pPr>
      <w:r>
        <w:rPr>
          <w:b/>
          <w:sz w:val="20"/>
        </w:rPr>
        <w:t>Инструкции</w:t>
      </w:r>
      <w:r>
        <w:rPr>
          <w:b/>
          <w:spacing w:val="-13"/>
          <w:sz w:val="20"/>
        </w:rPr>
        <w:t> </w:t>
      </w:r>
      <w:r>
        <w:rPr>
          <w:b/>
          <w:sz w:val="20"/>
        </w:rPr>
        <w:t>для</w:t>
      </w:r>
      <w:r>
        <w:rPr>
          <w:b/>
          <w:spacing w:val="-12"/>
          <w:sz w:val="20"/>
        </w:rPr>
        <w:t> </w:t>
      </w:r>
      <w:r>
        <w:rPr>
          <w:b/>
          <w:sz w:val="20"/>
        </w:rPr>
        <w:t>участников,</w:t>
      </w:r>
      <w:r>
        <w:rPr>
          <w:b/>
          <w:spacing w:val="-13"/>
          <w:sz w:val="20"/>
        </w:rPr>
        <w:t> </w:t>
      </w:r>
      <w:r>
        <w:rPr>
          <w:b/>
          <w:sz w:val="20"/>
        </w:rPr>
        <w:t>которые</w:t>
      </w:r>
      <w:r>
        <w:rPr>
          <w:b/>
          <w:spacing w:val="-12"/>
          <w:sz w:val="20"/>
        </w:rPr>
        <w:t> </w:t>
      </w:r>
      <w:r>
        <w:rPr>
          <w:b/>
          <w:sz w:val="20"/>
        </w:rPr>
        <w:t>переходят в другую группу после первого сигнала</w:t>
      </w:r>
    </w:p>
    <w:p>
      <w:pPr>
        <w:pStyle w:val="ListParagraph"/>
        <w:numPr>
          <w:ilvl w:val="0"/>
          <w:numId w:val="282"/>
        </w:numPr>
        <w:tabs>
          <w:tab w:pos="921" w:val="left" w:leader="none"/>
        </w:tabs>
        <w:spacing w:line="244" w:lineRule="auto" w:before="0" w:after="0"/>
        <w:ind w:left="425" w:right="422" w:firstLine="340"/>
        <w:jc w:val="both"/>
        <w:rPr>
          <w:i/>
          <w:sz w:val="20"/>
        </w:rPr>
      </w:pPr>
      <w:r>
        <w:rPr>
          <w:i/>
          <w:sz w:val="20"/>
        </w:rPr>
        <w:t>Вы оказались в команде № 1. Вам предстоит вместе с вашей командой нарисовать</w:t>
      </w:r>
      <w:r>
        <w:rPr>
          <w:i/>
          <w:spacing w:val="-13"/>
          <w:sz w:val="20"/>
        </w:rPr>
        <w:t> </w:t>
      </w:r>
      <w:r>
        <w:rPr>
          <w:i/>
          <w:sz w:val="20"/>
        </w:rPr>
        <w:t>город.</w:t>
      </w:r>
      <w:r>
        <w:rPr>
          <w:i/>
          <w:spacing w:val="-12"/>
          <w:sz w:val="20"/>
        </w:rPr>
        <w:t> </w:t>
      </w:r>
      <w:r>
        <w:rPr>
          <w:i/>
          <w:sz w:val="20"/>
        </w:rPr>
        <w:t>На</w:t>
      </w:r>
      <w:r>
        <w:rPr>
          <w:i/>
          <w:spacing w:val="-13"/>
          <w:sz w:val="20"/>
        </w:rPr>
        <w:t> </w:t>
      </w:r>
      <w:r>
        <w:rPr>
          <w:i/>
          <w:sz w:val="20"/>
        </w:rPr>
        <w:t>обсуждение</w:t>
      </w:r>
      <w:r>
        <w:rPr>
          <w:i/>
          <w:spacing w:val="-12"/>
          <w:sz w:val="20"/>
        </w:rPr>
        <w:t> </w:t>
      </w:r>
      <w:r>
        <w:rPr>
          <w:i/>
          <w:sz w:val="20"/>
        </w:rPr>
        <w:t>города</w:t>
      </w:r>
      <w:r>
        <w:rPr>
          <w:i/>
          <w:spacing w:val="-13"/>
          <w:sz w:val="20"/>
        </w:rPr>
        <w:t> </w:t>
      </w:r>
      <w:r>
        <w:rPr>
          <w:i/>
          <w:sz w:val="20"/>
        </w:rPr>
        <w:t>у</w:t>
      </w:r>
      <w:r>
        <w:rPr>
          <w:i/>
          <w:spacing w:val="-12"/>
          <w:sz w:val="20"/>
        </w:rPr>
        <w:t> </w:t>
      </w:r>
      <w:r>
        <w:rPr>
          <w:i/>
          <w:sz w:val="20"/>
        </w:rPr>
        <w:t>вас</w:t>
      </w:r>
      <w:r>
        <w:rPr>
          <w:i/>
          <w:spacing w:val="-13"/>
          <w:sz w:val="20"/>
        </w:rPr>
        <w:t> </w:t>
      </w:r>
      <w:r>
        <w:rPr>
          <w:i/>
          <w:sz w:val="20"/>
        </w:rPr>
        <w:t>есть</w:t>
      </w:r>
      <w:r>
        <w:rPr>
          <w:i/>
          <w:spacing w:val="-12"/>
          <w:sz w:val="20"/>
        </w:rPr>
        <w:t> </w:t>
      </w:r>
      <w:r>
        <w:rPr>
          <w:i/>
          <w:sz w:val="20"/>
        </w:rPr>
        <w:t>3</w:t>
      </w:r>
      <w:r>
        <w:rPr>
          <w:i/>
          <w:spacing w:val="-13"/>
          <w:sz w:val="20"/>
        </w:rPr>
        <w:t> </w:t>
      </w:r>
      <w:r>
        <w:rPr>
          <w:i/>
          <w:sz w:val="20"/>
        </w:rPr>
        <w:t>минуты,</w:t>
      </w:r>
      <w:r>
        <w:rPr>
          <w:i/>
          <w:spacing w:val="-12"/>
          <w:sz w:val="20"/>
        </w:rPr>
        <w:t> </w:t>
      </w:r>
      <w:r>
        <w:rPr>
          <w:i/>
          <w:sz w:val="20"/>
        </w:rPr>
        <w:t>затем</w:t>
      </w:r>
      <w:r>
        <w:rPr>
          <w:i/>
          <w:spacing w:val="-13"/>
          <w:sz w:val="20"/>
        </w:rPr>
        <w:t> </w:t>
      </w:r>
      <w:r>
        <w:rPr>
          <w:i/>
          <w:sz w:val="20"/>
        </w:rPr>
        <w:t>вы</w:t>
      </w:r>
      <w:r>
        <w:rPr>
          <w:i/>
          <w:spacing w:val="-12"/>
          <w:sz w:val="20"/>
        </w:rPr>
        <w:t> </w:t>
      </w:r>
      <w:r>
        <w:rPr>
          <w:i/>
          <w:sz w:val="20"/>
        </w:rPr>
        <w:t>буде- те</w:t>
      </w:r>
      <w:r>
        <w:rPr>
          <w:i/>
          <w:spacing w:val="-13"/>
          <w:sz w:val="20"/>
        </w:rPr>
        <w:t> </w:t>
      </w:r>
      <w:r>
        <w:rPr>
          <w:i/>
          <w:sz w:val="20"/>
        </w:rPr>
        <w:t>работать</w:t>
      </w:r>
      <w:r>
        <w:rPr>
          <w:i/>
          <w:spacing w:val="-12"/>
          <w:sz w:val="20"/>
        </w:rPr>
        <w:t> </w:t>
      </w:r>
      <w:r>
        <w:rPr>
          <w:i/>
          <w:sz w:val="20"/>
        </w:rPr>
        <w:t>молча.</w:t>
      </w:r>
      <w:r>
        <w:rPr>
          <w:i/>
          <w:spacing w:val="-13"/>
          <w:sz w:val="20"/>
        </w:rPr>
        <w:t> </w:t>
      </w:r>
      <w:r>
        <w:rPr>
          <w:i/>
          <w:sz w:val="20"/>
        </w:rPr>
        <w:t>Обсудив</w:t>
      </w:r>
      <w:r>
        <w:rPr>
          <w:i/>
          <w:spacing w:val="-12"/>
          <w:sz w:val="20"/>
        </w:rPr>
        <w:t> </w:t>
      </w:r>
      <w:r>
        <w:rPr>
          <w:i/>
          <w:sz w:val="20"/>
        </w:rPr>
        <w:t>будущий</w:t>
      </w:r>
      <w:r>
        <w:rPr>
          <w:i/>
          <w:spacing w:val="-13"/>
          <w:sz w:val="20"/>
        </w:rPr>
        <w:t> </w:t>
      </w:r>
      <w:r>
        <w:rPr>
          <w:i/>
          <w:sz w:val="20"/>
        </w:rPr>
        <w:t>город,</w:t>
      </w:r>
      <w:r>
        <w:rPr>
          <w:i/>
          <w:spacing w:val="-12"/>
          <w:sz w:val="20"/>
        </w:rPr>
        <w:t> </w:t>
      </w:r>
      <w:r>
        <w:rPr>
          <w:i/>
          <w:sz w:val="20"/>
        </w:rPr>
        <w:t>подойдите</w:t>
      </w:r>
      <w:r>
        <w:rPr>
          <w:i/>
          <w:spacing w:val="-13"/>
          <w:sz w:val="20"/>
        </w:rPr>
        <w:t> </w:t>
      </w:r>
      <w:r>
        <w:rPr>
          <w:i/>
          <w:sz w:val="20"/>
        </w:rPr>
        <w:t>к</w:t>
      </w:r>
      <w:r>
        <w:rPr>
          <w:i/>
          <w:spacing w:val="-12"/>
          <w:sz w:val="20"/>
        </w:rPr>
        <w:t> </w:t>
      </w:r>
      <w:r>
        <w:rPr>
          <w:i/>
          <w:sz w:val="20"/>
        </w:rPr>
        <w:t>столу,</w:t>
      </w:r>
      <w:r>
        <w:rPr>
          <w:i/>
          <w:spacing w:val="-13"/>
          <w:sz w:val="20"/>
        </w:rPr>
        <w:t> </w:t>
      </w:r>
      <w:r>
        <w:rPr>
          <w:i/>
          <w:sz w:val="20"/>
        </w:rPr>
        <w:t>возьмите</w:t>
      </w:r>
      <w:r>
        <w:rPr>
          <w:i/>
          <w:spacing w:val="-12"/>
          <w:sz w:val="20"/>
        </w:rPr>
        <w:t> </w:t>
      </w:r>
      <w:r>
        <w:rPr>
          <w:i/>
          <w:sz w:val="20"/>
        </w:rPr>
        <w:t>ка- рандаш</w:t>
      </w:r>
      <w:r>
        <w:rPr>
          <w:i/>
          <w:spacing w:val="-12"/>
          <w:sz w:val="20"/>
        </w:rPr>
        <w:t> </w:t>
      </w:r>
      <w:r>
        <w:rPr>
          <w:i/>
          <w:sz w:val="20"/>
        </w:rPr>
        <w:t>или</w:t>
      </w:r>
      <w:r>
        <w:rPr>
          <w:i/>
          <w:spacing w:val="-12"/>
          <w:sz w:val="20"/>
        </w:rPr>
        <w:t> </w:t>
      </w:r>
      <w:r>
        <w:rPr>
          <w:i/>
          <w:sz w:val="20"/>
        </w:rPr>
        <w:t>кисточку.</w:t>
      </w:r>
      <w:r>
        <w:rPr>
          <w:i/>
          <w:spacing w:val="-12"/>
          <w:sz w:val="20"/>
        </w:rPr>
        <w:t> </w:t>
      </w:r>
      <w:r>
        <w:rPr>
          <w:i/>
          <w:sz w:val="20"/>
        </w:rPr>
        <w:t>Удобно</w:t>
      </w:r>
      <w:r>
        <w:rPr>
          <w:i/>
          <w:spacing w:val="-12"/>
          <w:sz w:val="20"/>
        </w:rPr>
        <w:t> </w:t>
      </w:r>
      <w:r>
        <w:rPr>
          <w:i/>
          <w:sz w:val="20"/>
        </w:rPr>
        <w:t>расположитесь</w:t>
      </w:r>
      <w:r>
        <w:rPr>
          <w:i/>
          <w:spacing w:val="-12"/>
          <w:sz w:val="20"/>
        </w:rPr>
        <w:t> </w:t>
      </w:r>
      <w:r>
        <w:rPr>
          <w:i/>
          <w:sz w:val="20"/>
        </w:rPr>
        <w:t>для</w:t>
      </w:r>
      <w:r>
        <w:rPr>
          <w:i/>
          <w:spacing w:val="-12"/>
          <w:sz w:val="20"/>
        </w:rPr>
        <w:t> </w:t>
      </w:r>
      <w:r>
        <w:rPr>
          <w:i/>
          <w:sz w:val="20"/>
        </w:rPr>
        <w:t>работы</w:t>
      </w:r>
      <w:r>
        <w:rPr>
          <w:i/>
          <w:spacing w:val="-12"/>
          <w:sz w:val="20"/>
        </w:rPr>
        <w:t> </w:t>
      </w:r>
      <w:r>
        <w:rPr>
          <w:i/>
          <w:sz w:val="20"/>
        </w:rPr>
        <w:t>и</w:t>
      </w:r>
      <w:r>
        <w:rPr>
          <w:i/>
          <w:spacing w:val="-12"/>
          <w:sz w:val="20"/>
        </w:rPr>
        <w:t> </w:t>
      </w:r>
      <w:r>
        <w:rPr>
          <w:i/>
          <w:sz w:val="20"/>
        </w:rPr>
        <w:t>приступайте.</w:t>
      </w:r>
      <w:r>
        <w:rPr>
          <w:i/>
          <w:spacing w:val="-12"/>
          <w:sz w:val="20"/>
        </w:rPr>
        <w:t> </w:t>
      </w:r>
      <w:r>
        <w:rPr>
          <w:i/>
          <w:sz w:val="20"/>
        </w:rPr>
        <w:t>По условному сигналу (два хлопка) вы переходите в команду, находящуюся слева от</w:t>
      </w:r>
      <w:r>
        <w:rPr>
          <w:i/>
          <w:spacing w:val="-4"/>
          <w:sz w:val="20"/>
        </w:rPr>
        <w:t> </w:t>
      </w:r>
      <w:r>
        <w:rPr>
          <w:i/>
          <w:sz w:val="20"/>
        </w:rPr>
        <w:t>вас,</w:t>
      </w:r>
      <w:r>
        <w:rPr>
          <w:i/>
          <w:spacing w:val="-4"/>
          <w:sz w:val="20"/>
        </w:rPr>
        <w:t> </w:t>
      </w:r>
      <w:r>
        <w:rPr>
          <w:i/>
          <w:sz w:val="20"/>
        </w:rPr>
        <w:t>и</w:t>
      </w:r>
      <w:r>
        <w:rPr>
          <w:i/>
          <w:spacing w:val="-4"/>
          <w:sz w:val="20"/>
        </w:rPr>
        <w:t> </w:t>
      </w:r>
      <w:r>
        <w:rPr>
          <w:i/>
          <w:sz w:val="20"/>
        </w:rPr>
        <w:t>рисуете</w:t>
      </w:r>
      <w:r>
        <w:rPr>
          <w:i/>
          <w:spacing w:val="-5"/>
          <w:sz w:val="20"/>
        </w:rPr>
        <w:t> </w:t>
      </w:r>
      <w:r>
        <w:rPr>
          <w:i/>
          <w:sz w:val="20"/>
        </w:rPr>
        <w:t>вместе</w:t>
      </w:r>
      <w:r>
        <w:rPr>
          <w:i/>
          <w:spacing w:val="-4"/>
          <w:sz w:val="20"/>
        </w:rPr>
        <w:t> </w:t>
      </w:r>
      <w:r>
        <w:rPr>
          <w:i/>
          <w:sz w:val="20"/>
        </w:rPr>
        <w:t>с</w:t>
      </w:r>
      <w:r>
        <w:rPr>
          <w:i/>
          <w:spacing w:val="-4"/>
          <w:sz w:val="20"/>
        </w:rPr>
        <w:t> </w:t>
      </w:r>
      <w:r>
        <w:rPr>
          <w:i/>
          <w:sz w:val="20"/>
        </w:rPr>
        <w:t>другой</w:t>
      </w:r>
      <w:r>
        <w:rPr>
          <w:i/>
          <w:spacing w:val="-4"/>
          <w:sz w:val="20"/>
        </w:rPr>
        <w:t> </w:t>
      </w:r>
      <w:r>
        <w:rPr>
          <w:i/>
          <w:sz w:val="20"/>
        </w:rPr>
        <w:t>командой,</w:t>
      </w:r>
      <w:r>
        <w:rPr>
          <w:i/>
          <w:spacing w:val="-5"/>
          <w:sz w:val="20"/>
        </w:rPr>
        <w:t> </w:t>
      </w:r>
      <w:r>
        <w:rPr>
          <w:i/>
          <w:sz w:val="20"/>
        </w:rPr>
        <w:t>но</w:t>
      </w:r>
      <w:r>
        <w:rPr>
          <w:i/>
          <w:spacing w:val="-4"/>
          <w:sz w:val="20"/>
        </w:rPr>
        <w:t> </w:t>
      </w:r>
      <w:r>
        <w:rPr>
          <w:i/>
          <w:sz w:val="20"/>
        </w:rPr>
        <w:t>исключительно</w:t>
      </w:r>
      <w:r>
        <w:rPr>
          <w:i/>
          <w:spacing w:val="-4"/>
          <w:sz w:val="20"/>
        </w:rPr>
        <w:t> </w:t>
      </w:r>
      <w:r>
        <w:rPr>
          <w:i/>
          <w:sz w:val="20"/>
        </w:rPr>
        <w:t>черные</w:t>
      </w:r>
      <w:r>
        <w:rPr>
          <w:i/>
          <w:spacing w:val="-4"/>
          <w:sz w:val="20"/>
        </w:rPr>
        <w:t> </w:t>
      </w:r>
      <w:r>
        <w:rPr>
          <w:i/>
          <w:sz w:val="20"/>
        </w:rPr>
        <w:t>круги. До</w:t>
      </w:r>
      <w:r>
        <w:rPr>
          <w:i/>
          <w:spacing w:val="-12"/>
          <w:sz w:val="20"/>
        </w:rPr>
        <w:t> </w:t>
      </w:r>
      <w:r>
        <w:rPr>
          <w:i/>
          <w:sz w:val="20"/>
        </w:rPr>
        <w:t>конца</w:t>
      </w:r>
      <w:r>
        <w:rPr>
          <w:i/>
          <w:spacing w:val="-12"/>
          <w:sz w:val="20"/>
        </w:rPr>
        <w:t> </w:t>
      </w:r>
      <w:r>
        <w:rPr>
          <w:i/>
          <w:sz w:val="20"/>
        </w:rPr>
        <w:t>игры</w:t>
      </w:r>
      <w:r>
        <w:rPr>
          <w:i/>
          <w:spacing w:val="-12"/>
          <w:sz w:val="20"/>
        </w:rPr>
        <w:t> </w:t>
      </w:r>
      <w:r>
        <w:rPr>
          <w:i/>
          <w:sz w:val="20"/>
        </w:rPr>
        <w:t>вы</w:t>
      </w:r>
      <w:r>
        <w:rPr>
          <w:i/>
          <w:spacing w:val="-12"/>
          <w:sz w:val="20"/>
        </w:rPr>
        <w:t> </w:t>
      </w:r>
      <w:r>
        <w:rPr>
          <w:i/>
          <w:sz w:val="20"/>
        </w:rPr>
        <w:t>остаетесь</w:t>
      </w:r>
      <w:r>
        <w:rPr>
          <w:i/>
          <w:spacing w:val="-12"/>
          <w:sz w:val="20"/>
        </w:rPr>
        <w:t> </w:t>
      </w:r>
      <w:r>
        <w:rPr>
          <w:i/>
          <w:sz w:val="20"/>
        </w:rPr>
        <w:t>в</w:t>
      </w:r>
      <w:r>
        <w:rPr>
          <w:i/>
          <w:spacing w:val="-12"/>
          <w:sz w:val="20"/>
        </w:rPr>
        <w:t> </w:t>
      </w:r>
      <w:r>
        <w:rPr>
          <w:i/>
          <w:sz w:val="20"/>
        </w:rPr>
        <w:t>этой</w:t>
      </w:r>
      <w:r>
        <w:rPr>
          <w:i/>
          <w:spacing w:val="-12"/>
          <w:sz w:val="20"/>
        </w:rPr>
        <w:t> </w:t>
      </w:r>
      <w:r>
        <w:rPr>
          <w:i/>
          <w:sz w:val="20"/>
        </w:rPr>
        <w:t>команде</w:t>
      </w:r>
      <w:r>
        <w:rPr>
          <w:i/>
          <w:spacing w:val="-12"/>
          <w:sz w:val="20"/>
        </w:rPr>
        <w:t> </w:t>
      </w:r>
      <w:r>
        <w:rPr>
          <w:i/>
          <w:sz w:val="20"/>
        </w:rPr>
        <w:t>и</w:t>
      </w:r>
      <w:r>
        <w:rPr>
          <w:i/>
          <w:spacing w:val="-12"/>
          <w:sz w:val="20"/>
        </w:rPr>
        <w:t> </w:t>
      </w:r>
      <w:r>
        <w:rPr>
          <w:i/>
          <w:sz w:val="20"/>
        </w:rPr>
        <w:t>продолжаете</w:t>
      </w:r>
      <w:r>
        <w:rPr>
          <w:i/>
          <w:spacing w:val="-12"/>
          <w:sz w:val="20"/>
        </w:rPr>
        <w:t> </w:t>
      </w:r>
      <w:r>
        <w:rPr>
          <w:i/>
          <w:sz w:val="20"/>
        </w:rPr>
        <w:t>рисовать</w:t>
      </w:r>
      <w:r>
        <w:rPr>
          <w:i/>
          <w:spacing w:val="-12"/>
          <w:sz w:val="20"/>
        </w:rPr>
        <w:t> </w:t>
      </w:r>
      <w:r>
        <w:rPr>
          <w:i/>
          <w:sz w:val="20"/>
        </w:rPr>
        <w:t>только черные круги.</w:t>
      </w:r>
    </w:p>
    <w:p>
      <w:pPr>
        <w:pStyle w:val="ListParagraph"/>
        <w:numPr>
          <w:ilvl w:val="0"/>
          <w:numId w:val="282"/>
        </w:numPr>
        <w:tabs>
          <w:tab w:pos="869" w:val="left" w:leader="none"/>
        </w:tabs>
        <w:spacing w:line="244" w:lineRule="auto" w:before="51" w:after="0"/>
        <w:ind w:left="425" w:right="422" w:firstLine="283"/>
        <w:jc w:val="both"/>
        <w:rPr>
          <w:i/>
          <w:sz w:val="20"/>
        </w:rPr>
      </w:pPr>
      <w:r>
        <w:rPr>
          <w:i/>
          <w:sz w:val="20"/>
        </w:rPr>
        <w:t>Вы оказались в команде № 2. Вам предстоит вместе с вашей командой нарисовать</w:t>
      </w:r>
      <w:r>
        <w:rPr>
          <w:i/>
          <w:spacing w:val="-13"/>
          <w:sz w:val="20"/>
        </w:rPr>
        <w:t> </w:t>
      </w:r>
      <w:r>
        <w:rPr>
          <w:i/>
          <w:sz w:val="20"/>
        </w:rPr>
        <w:t>город.</w:t>
      </w:r>
      <w:r>
        <w:rPr>
          <w:i/>
          <w:spacing w:val="-12"/>
          <w:sz w:val="20"/>
        </w:rPr>
        <w:t> </w:t>
      </w:r>
      <w:r>
        <w:rPr>
          <w:i/>
          <w:sz w:val="20"/>
        </w:rPr>
        <w:t>На</w:t>
      </w:r>
      <w:r>
        <w:rPr>
          <w:i/>
          <w:spacing w:val="-13"/>
          <w:sz w:val="20"/>
        </w:rPr>
        <w:t> </w:t>
      </w:r>
      <w:r>
        <w:rPr>
          <w:i/>
          <w:sz w:val="20"/>
        </w:rPr>
        <w:t>обсуждение</w:t>
      </w:r>
      <w:r>
        <w:rPr>
          <w:i/>
          <w:spacing w:val="-12"/>
          <w:sz w:val="20"/>
        </w:rPr>
        <w:t> </w:t>
      </w:r>
      <w:r>
        <w:rPr>
          <w:i/>
          <w:sz w:val="20"/>
        </w:rPr>
        <w:t>города</w:t>
      </w:r>
      <w:r>
        <w:rPr>
          <w:i/>
          <w:spacing w:val="-13"/>
          <w:sz w:val="20"/>
        </w:rPr>
        <w:t> </w:t>
      </w:r>
      <w:r>
        <w:rPr>
          <w:i/>
          <w:sz w:val="20"/>
        </w:rPr>
        <w:t>у</w:t>
      </w:r>
      <w:r>
        <w:rPr>
          <w:i/>
          <w:spacing w:val="-12"/>
          <w:sz w:val="20"/>
        </w:rPr>
        <w:t> </w:t>
      </w:r>
      <w:r>
        <w:rPr>
          <w:i/>
          <w:sz w:val="20"/>
        </w:rPr>
        <w:t>вас</w:t>
      </w:r>
      <w:r>
        <w:rPr>
          <w:i/>
          <w:spacing w:val="-13"/>
          <w:sz w:val="20"/>
        </w:rPr>
        <w:t> </w:t>
      </w:r>
      <w:r>
        <w:rPr>
          <w:i/>
          <w:sz w:val="20"/>
        </w:rPr>
        <w:t>есть</w:t>
      </w:r>
      <w:r>
        <w:rPr>
          <w:i/>
          <w:spacing w:val="-12"/>
          <w:sz w:val="20"/>
        </w:rPr>
        <w:t> </w:t>
      </w:r>
      <w:r>
        <w:rPr>
          <w:i/>
          <w:sz w:val="20"/>
        </w:rPr>
        <w:t>3</w:t>
      </w:r>
      <w:r>
        <w:rPr>
          <w:i/>
          <w:spacing w:val="-13"/>
          <w:sz w:val="20"/>
        </w:rPr>
        <w:t> </w:t>
      </w:r>
      <w:r>
        <w:rPr>
          <w:i/>
          <w:sz w:val="20"/>
        </w:rPr>
        <w:t>минуты,</w:t>
      </w:r>
      <w:r>
        <w:rPr>
          <w:i/>
          <w:spacing w:val="-12"/>
          <w:sz w:val="20"/>
        </w:rPr>
        <w:t> </w:t>
      </w:r>
      <w:r>
        <w:rPr>
          <w:i/>
          <w:sz w:val="20"/>
        </w:rPr>
        <w:t>затем</w:t>
      </w:r>
      <w:r>
        <w:rPr>
          <w:i/>
          <w:spacing w:val="-13"/>
          <w:sz w:val="20"/>
        </w:rPr>
        <w:t> </w:t>
      </w:r>
      <w:r>
        <w:rPr>
          <w:i/>
          <w:sz w:val="20"/>
        </w:rPr>
        <w:t>вы</w:t>
      </w:r>
      <w:r>
        <w:rPr>
          <w:i/>
          <w:spacing w:val="-12"/>
          <w:sz w:val="20"/>
        </w:rPr>
        <w:t> </w:t>
      </w:r>
      <w:r>
        <w:rPr>
          <w:i/>
          <w:sz w:val="20"/>
        </w:rPr>
        <w:t>буде- те</w:t>
      </w:r>
      <w:r>
        <w:rPr>
          <w:i/>
          <w:spacing w:val="-13"/>
          <w:sz w:val="20"/>
        </w:rPr>
        <w:t> </w:t>
      </w:r>
      <w:r>
        <w:rPr>
          <w:i/>
          <w:sz w:val="20"/>
        </w:rPr>
        <w:t>работать</w:t>
      </w:r>
      <w:r>
        <w:rPr>
          <w:i/>
          <w:spacing w:val="-12"/>
          <w:sz w:val="20"/>
        </w:rPr>
        <w:t> </w:t>
      </w:r>
      <w:r>
        <w:rPr>
          <w:i/>
          <w:sz w:val="20"/>
        </w:rPr>
        <w:t>молча.</w:t>
      </w:r>
      <w:r>
        <w:rPr>
          <w:i/>
          <w:spacing w:val="-13"/>
          <w:sz w:val="20"/>
        </w:rPr>
        <w:t> </w:t>
      </w:r>
      <w:r>
        <w:rPr>
          <w:i/>
          <w:sz w:val="20"/>
        </w:rPr>
        <w:t>Обсудив</w:t>
      </w:r>
      <w:r>
        <w:rPr>
          <w:i/>
          <w:spacing w:val="-12"/>
          <w:sz w:val="20"/>
        </w:rPr>
        <w:t> </w:t>
      </w:r>
      <w:r>
        <w:rPr>
          <w:i/>
          <w:sz w:val="20"/>
        </w:rPr>
        <w:t>будущий</w:t>
      </w:r>
      <w:r>
        <w:rPr>
          <w:i/>
          <w:spacing w:val="-13"/>
          <w:sz w:val="20"/>
        </w:rPr>
        <w:t> </w:t>
      </w:r>
      <w:r>
        <w:rPr>
          <w:i/>
          <w:sz w:val="20"/>
        </w:rPr>
        <w:t>город,</w:t>
      </w:r>
      <w:r>
        <w:rPr>
          <w:i/>
          <w:spacing w:val="-12"/>
          <w:sz w:val="20"/>
        </w:rPr>
        <w:t> </w:t>
      </w:r>
      <w:r>
        <w:rPr>
          <w:i/>
          <w:sz w:val="20"/>
        </w:rPr>
        <w:t>подойдите</w:t>
      </w:r>
      <w:r>
        <w:rPr>
          <w:i/>
          <w:spacing w:val="-13"/>
          <w:sz w:val="20"/>
        </w:rPr>
        <w:t> </w:t>
      </w:r>
      <w:r>
        <w:rPr>
          <w:i/>
          <w:sz w:val="20"/>
        </w:rPr>
        <w:t>к</w:t>
      </w:r>
      <w:r>
        <w:rPr>
          <w:i/>
          <w:spacing w:val="-12"/>
          <w:sz w:val="20"/>
        </w:rPr>
        <w:t> </w:t>
      </w:r>
      <w:r>
        <w:rPr>
          <w:i/>
          <w:sz w:val="20"/>
        </w:rPr>
        <w:t>столу,</w:t>
      </w:r>
      <w:r>
        <w:rPr>
          <w:i/>
          <w:spacing w:val="-13"/>
          <w:sz w:val="20"/>
        </w:rPr>
        <w:t> </w:t>
      </w:r>
      <w:r>
        <w:rPr>
          <w:i/>
          <w:sz w:val="20"/>
        </w:rPr>
        <w:t>возьмите</w:t>
      </w:r>
      <w:r>
        <w:rPr>
          <w:i/>
          <w:spacing w:val="-12"/>
          <w:sz w:val="20"/>
        </w:rPr>
        <w:t> </w:t>
      </w:r>
      <w:r>
        <w:rPr>
          <w:i/>
          <w:sz w:val="20"/>
        </w:rPr>
        <w:t>ка- рандаш</w:t>
      </w:r>
      <w:r>
        <w:rPr>
          <w:i/>
          <w:spacing w:val="-12"/>
          <w:sz w:val="20"/>
        </w:rPr>
        <w:t> </w:t>
      </w:r>
      <w:r>
        <w:rPr>
          <w:i/>
          <w:sz w:val="20"/>
        </w:rPr>
        <w:t>или</w:t>
      </w:r>
      <w:r>
        <w:rPr>
          <w:i/>
          <w:spacing w:val="-12"/>
          <w:sz w:val="20"/>
        </w:rPr>
        <w:t> </w:t>
      </w:r>
      <w:r>
        <w:rPr>
          <w:i/>
          <w:sz w:val="20"/>
        </w:rPr>
        <w:t>кисточку.</w:t>
      </w:r>
      <w:r>
        <w:rPr>
          <w:i/>
          <w:spacing w:val="-12"/>
          <w:sz w:val="20"/>
        </w:rPr>
        <w:t> </w:t>
      </w:r>
      <w:r>
        <w:rPr>
          <w:i/>
          <w:sz w:val="20"/>
        </w:rPr>
        <w:t>Удобно</w:t>
      </w:r>
      <w:r>
        <w:rPr>
          <w:i/>
          <w:spacing w:val="-12"/>
          <w:sz w:val="20"/>
        </w:rPr>
        <w:t> </w:t>
      </w:r>
      <w:r>
        <w:rPr>
          <w:i/>
          <w:sz w:val="20"/>
        </w:rPr>
        <w:t>расположитесь</w:t>
      </w:r>
      <w:r>
        <w:rPr>
          <w:i/>
          <w:spacing w:val="-12"/>
          <w:sz w:val="20"/>
        </w:rPr>
        <w:t> </w:t>
      </w:r>
      <w:r>
        <w:rPr>
          <w:i/>
          <w:sz w:val="20"/>
        </w:rPr>
        <w:t>для</w:t>
      </w:r>
      <w:r>
        <w:rPr>
          <w:i/>
          <w:spacing w:val="-12"/>
          <w:sz w:val="20"/>
        </w:rPr>
        <w:t> </w:t>
      </w:r>
      <w:r>
        <w:rPr>
          <w:i/>
          <w:sz w:val="20"/>
        </w:rPr>
        <w:t>работы</w:t>
      </w:r>
      <w:r>
        <w:rPr>
          <w:i/>
          <w:spacing w:val="-12"/>
          <w:sz w:val="20"/>
        </w:rPr>
        <w:t> </w:t>
      </w:r>
      <w:r>
        <w:rPr>
          <w:i/>
          <w:sz w:val="20"/>
        </w:rPr>
        <w:t>и</w:t>
      </w:r>
      <w:r>
        <w:rPr>
          <w:i/>
          <w:spacing w:val="-12"/>
          <w:sz w:val="20"/>
        </w:rPr>
        <w:t> </w:t>
      </w:r>
      <w:r>
        <w:rPr>
          <w:i/>
          <w:sz w:val="20"/>
        </w:rPr>
        <w:t>приступайте.</w:t>
      </w:r>
      <w:r>
        <w:rPr>
          <w:i/>
          <w:spacing w:val="-12"/>
          <w:sz w:val="20"/>
        </w:rPr>
        <w:t> </w:t>
      </w:r>
      <w:r>
        <w:rPr>
          <w:i/>
          <w:sz w:val="20"/>
        </w:rPr>
        <w:t>По условному сигналу (два хлопка) вы переходите в команду, находящуюся слева от</w:t>
      </w:r>
      <w:r>
        <w:rPr>
          <w:i/>
          <w:spacing w:val="-4"/>
          <w:sz w:val="20"/>
        </w:rPr>
        <w:t> </w:t>
      </w:r>
      <w:r>
        <w:rPr>
          <w:i/>
          <w:sz w:val="20"/>
        </w:rPr>
        <w:t>вас,</w:t>
      </w:r>
      <w:r>
        <w:rPr>
          <w:i/>
          <w:spacing w:val="-4"/>
          <w:sz w:val="20"/>
        </w:rPr>
        <w:t> </w:t>
      </w:r>
      <w:r>
        <w:rPr>
          <w:i/>
          <w:sz w:val="20"/>
        </w:rPr>
        <w:t>и</w:t>
      </w:r>
      <w:r>
        <w:rPr>
          <w:i/>
          <w:spacing w:val="-4"/>
          <w:sz w:val="20"/>
        </w:rPr>
        <w:t> </w:t>
      </w:r>
      <w:r>
        <w:rPr>
          <w:i/>
          <w:sz w:val="20"/>
        </w:rPr>
        <w:t>рисуете</w:t>
      </w:r>
      <w:r>
        <w:rPr>
          <w:i/>
          <w:spacing w:val="-5"/>
          <w:sz w:val="20"/>
        </w:rPr>
        <w:t> </w:t>
      </w:r>
      <w:r>
        <w:rPr>
          <w:i/>
          <w:sz w:val="20"/>
        </w:rPr>
        <w:t>вместе</w:t>
      </w:r>
      <w:r>
        <w:rPr>
          <w:i/>
          <w:spacing w:val="-4"/>
          <w:sz w:val="20"/>
        </w:rPr>
        <w:t> </w:t>
      </w:r>
      <w:r>
        <w:rPr>
          <w:i/>
          <w:sz w:val="20"/>
        </w:rPr>
        <w:t>с</w:t>
      </w:r>
      <w:r>
        <w:rPr>
          <w:i/>
          <w:spacing w:val="-4"/>
          <w:sz w:val="20"/>
        </w:rPr>
        <w:t> </w:t>
      </w:r>
      <w:r>
        <w:rPr>
          <w:i/>
          <w:sz w:val="20"/>
        </w:rPr>
        <w:t>другой</w:t>
      </w:r>
      <w:r>
        <w:rPr>
          <w:i/>
          <w:spacing w:val="-4"/>
          <w:sz w:val="20"/>
        </w:rPr>
        <w:t> </w:t>
      </w:r>
      <w:r>
        <w:rPr>
          <w:i/>
          <w:sz w:val="20"/>
        </w:rPr>
        <w:t>командой,</w:t>
      </w:r>
      <w:r>
        <w:rPr>
          <w:i/>
          <w:spacing w:val="-5"/>
          <w:sz w:val="20"/>
        </w:rPr>
        <w:t> </w:t>
      </w:r>
      <w:r>
        <w:rPr>
          <w:i/>
          <w:sz w:val="20"/>
        </w:rPr>
        <w:t>но</w:t>
      </w:r>
      <w:r>
        <w:rPr>
          <w:i/>
          <w:spacing w:val="-4"/>
          <w:sz w:val="20"/>
        </w:rPr>
        <w:t> </w:t>
      </w:r>
      <w:r>
        <w:rPr>
          <w:i/>
          <w:sz w:val="20"/>
        </w:rPr>
        <w:t>исключительно</w:t>
      </w:r>
      <w:r>
        <w:rPr>
          <w:i/>
          <w:spacing w:val="-4"/>
          <w:sz w:val="20"/>
        </w:rPr>
        <w:t> </w:t>
      </w:r>
      <w:r>
        <w:rPr>
          <w:i/>
          <w:sz w:val="20"/>
        </w:rPr>
        <w:t>черные</w:t>
      </w:r>
      <w:r>
        <w:rPr>
          <w:i/>
          <w:spacing w:val="-4"/>
          <w:sz w:val="20"/>
        </w:rPr>
        <w:t> </w:t>
      </w:r>
      <w:r>
        <w:rPr>
          <w:i/>
          <w:sz w:val="20"/>
        </w:rPr>
        <w:t>круги. До</w:t>
      </w:r>
      <w:r>
        <w:rPr>
          <w:i/>
          <w:spacing w:val="-12"/>
          <w:sz w:val="20"/>
        </w:rPr>
        <w:t> </w:t>
      </w:r>
      <w:r>
        <w:rPr>
          <w:i/>
          <w:sz w:val="20"/>
        </w:rPr>
        <w:t>конца</w:t>
      </w:r>
      <w:r>
        <w:rPr>
          <w:i/>
          <w:spacing w:val="-12"/>
          <w:sz w:val="20"/>
        </w:rPr>
        <w:t> </w:t>
      </w:r>
      <w:r>
        <w:rPr>
          <w:i/>
          <w:sz w:val="20"/>
        </w:rPr>
        <w:t>игры</w:t>
      </w:r>
      <w:r>
        <w:rPr>
          <w:i/>
          <w:spacing w:val="-12"/>
          <w:sz w:val="20"/>
        </w:rPr>
        <w:t> </w:t>
      </w:r>
      <w:r>
        <w:rPr>
          <w:i/>
          <w:sz w:val="20"/>
        </w:rPr>
        <w:t>вы</w:t>
      </w:r>
      <w:r>
        <w:rPr>
          <w:i/>
          <w:spacing w:val="-12"/>
          <w:sz w:val="20"/>
        </w:rPr>
        <w:t> </w:t>
      </w:r>
      <w:r>
        <w:rPr>
          <w:i/>
          <w:sz w:val="20"/>
        </w:rPr>
        <w:t>остаетесь</w:t>
      </w:r>
      <w:r>
        <w:rPr>
          <w:i/>
          <w:spacing w:val="-12"/>
          <w:sz w:val="20"/>
        </w:rPr>
        <w:t> </w:t>
      </w:r>
      <w:r>
        <w:rPr>
          <w:i/>
          <w:sz w:val="20"/>
        </w:rPr>
        <w:t>в</w:t>
      </w:r>
      <w:r>
        <w:rPr>
          <w:i/>
          <w:spacing w:val="-12"/>
          <w:sz w:val="20"/>
        </w:rPr>
        <w:t> </w:t>
      </w:r>
      <w:r>
        <w:rPr>
          <w:i/>
          <w:sz w:val="20"/>
        </w:rPr>
        <w:t>этой</w:t>
      </w:r>
      <w:r>
        <w:rPr>
          <w:i/>
          <w:spacing w:val="-12"/>
          <w:sz w:val="20"/>
        </w:rPr>
        <w:t> </w:t>
      </w:r>
      <w:r>
        <w:rPr>
          <w:i/>
          <w:sz w:val="20"/>
        </w:rPr>
        <w:t>команде</w:t>
      </w:r>
      <w:r>
        <w:rPr>
          <w:i/>
          <w:spacing w:val="-12"/>
          <w:sz w:val="20"/>
        </w:rPr>
        <w:t> </w:t>
      </w:r>
      <w:r>
        <w:rPr>
          <w:i/>
          <w:sz w:val="20"/>
        </w:rPr>
        <w:t>и</w:t>
      </w:r>
      <w:r>
        <w:rPr>
          <w:i/>
          <w:spacing w:val="-12"/>
          <w:sz w:val="20"/>
        </w:rPr>
        <w:t> </w:t>
      </w:r>
      <w:r>
        <w:rPr>
          <w:i/>
          <w:sz w:val="20"/>
        </w:rPr>
        <w:t>продолжаете</w:t>
      </w:r>
      <w:r>
        <w:rPr>
          <w:i/>
          <w:spacing w:val="-12"/>
          <w:sz w:val="20"/>
        </w:rPr>
        <w:t> </w:t>
      </w:r>
      <w:r>
        <w:rPr>
          <w:i/>
          <w:sz w:val="20"/>
        </w:rPr>
        <w:t>рисовать</w:t>
      </w:r>
      <w:r>
        <w:rPr>
          <w:i/>
          <w:spacing w:val="-12"/>
          <w:sz w:val="20"/>
        </w:rPr>
        <w:t> </w:t>
      </w:r>
      <w:r>
        <w:rPr>
          <w:i/>
          <w:sz w:val="20"/>
        </w:rPr>
        <w:t>только черные круги.</w:t>
      </w:r>
    </w:p>
    <w:p>
      <w:pPr>
        <w:pStyle w:val="ListParagraph"/>
        <w:numPr>
          <w:ilvl w:val="0"/>
          <w:numId w:val="282"/>
        </w:numPr>
        <w:tabs>
          <w:tab w:pos="869" w:val="left" w:leader="none"/>
        </w:tabs>
        <w:spacing w:line="244" w:lineRule="auto" w:before="52" w:after="0"/>
        <w:ind w:left="425" w:right="423" w:firstLine="283"/>
        <w:jc w:val="both"/>
        <w:rPr>
          <w:i/>
          <w:sz w:val="20"/>
        </w:rPr>
      </w:pPr>
      <w:r>
        <w:rPr>
          <w:i/>
          <w:sz w:val="20"/>
        </w:rPr>
        <w:t>Вы оказались в команде № 3. Вам предстоит вместе с вашей командой нарисовать</w:t>
      </w:r>
      <w:r>
        <w:rPr>
          <w:i/>
          <w:spacing w:val="-13"/>
          <w:sz w:val="20"/>
        </w:rPr>
        <w:t> </w:t>
      </w:r>
      <w:r>
        <w:rPr>
          <w:i/>
          <w:sz w:val="20"/>
        </w:rPr>
        <w:t>город.</w:t>
      </w:r>
      <w:r>
        <w:rPr>
          <w:i/>
          <w:spacing w:val="-12"/>
          <w:sz w:val="20"/>
        </w:rPr>
        <w:t> </w:t>
      </w:r>
      <w:r>
        <w:rPr>
          <w:i/>
          <w:sz w:val="20"/>
        </w:rPr>
        <w:t>На</w:t>
      </w:r>
      <w:r>
        <w:rPr>
          <w:i/>
          <w:spacing w:val="-13"/>
          <w:sz w:val="20"/>
        </w:rPr>
        <w:t> </w:t>
      </w:r>
      <w:r>
        <w:rPr>
          <w:i/>
          <w:sz w:val="20"/>
        </w:rPr>
        <w:t>обсуждение</w:t>
      </w:r>
      <w:r>
        <w:rPr>
          <w:i/>
          <w:spacing w:val="-12"/>
          <w:sz w:val="20"/>
        </w:rPr>
        <w:t> </w:t>
      </w:r>
      <w:r>
        <w:rPr>
          <w:i/>
          <w:sz w:val="20"/>
        </w:rPr>
        <w:t>города</w:t>
      </w:r>
      <w:r>
        <w:rPr>
          <w:i/>
          <w:spacing w:val="-13"/>
          <w:sz w:val="20"/>
        </w:rPr>
        <w:t> </w:t>
      </w:r>
      <w:r>
        <w:rPr>
          <w:i/>
          <w:sz w:val="20"/>
        </w:rPr>
        <w:t>у</w:t>
      </w:r>
      <w:r>
        <w:rPr>
          <w:i/>
          <w:spacing w:val="-12"/>
          <w:sz w:val="20"/>
        </w:rPr>
        <w:t> </w:t>
      </w:r>
      <w:r>
        <w:rPr>
          <w:i/>
          <w:sz w:val="20"/>
        </w:rPr>
        <w:t>вас</w:t>
      </w:r>
      <w:r>
        <w:rPr>
          <w:i/>
          <w:spacing w:val="-13"/>
          <w:sz w:val="20"/>
        </w:rPr>
        <w:t> </w:t>
      </w:r>
      <w:r>
        <w:rPr>
          <w:i/>
          <w:sz w:val="20"/>
        </w:rPr>
        <w:t>есть</w:t>
      </w:r>
      <w:r>
        <w:rPr>
          <w:i/>
          <w:spacing w:val="-12"/>
          <w:sz w:val="20"/>
        </w:rPr>
        <w:t> </w:t>
      </w:r>
      <w:r>
        <w:rPr>
          <w:i/>
          <w:sz w:val="20"/>
        </w:rPr>
        <w:t>3</w:t>
      </w:r>
      <w:r>
        <w:rPr>
          <w:i/>
          <w:spacing w:val="-13"/>
          <w:sz w:val="20"/>
        </w:rPr>
        <w:t> </w:t>
      </w:r>
      <w:r>
        <w:rPr>
          <w:i/>
          <w:sz w:val="20"/>
        </w:rPr>
        <w:t>минуты,</w:t>
      </w:r>
      <w:r>
        <w:rPr>
          <w:i/>
          <w:spacing w:val="-12"/>
          <w:sz w:val="20"/>
        </w:rPr>
        <w:t> </w:t>
      </w:r>
      <w:r>
        <w:rPr>
          <w:i/>
          <w:sz w:val="20"/>
        </w:rPr>
        <w:t>затем</w:t>
      </w:r>
      <w:r>
        <w:rPr>
          <w:i/>
          <w:spacing w:val="-13"/>
          <w:sz w:val="20"/>
        </w:rPr>
        <w:t> </w:t>
      </w:r>
      <w:r>
        <w:rPr>
          <w:i/>
          <w:sz w:val="20"/>
        </w:rPr>
        <w:t>вы</w:t>
      </w:r>
      <w:r>
        <w:rPr>
          <w:i/>
          <w:spacing w:val="-12"/>
          <w:sz w:val="20"/>
        </w:rPr>
        <w:t> </w:t>
      </w:r>
      <w:r>
        <w:rPr>
          <w:i/>
          <w:sz w:val="20"/>
        </w:rPr>
        <w:t>буде- те</w:t>
      </w:r>
      <w:r>
        <w:rPr>
          <w:i/>
          <w:spacing w:val="-13"/>
          <w:sz w:val="20"/>
        </w:rPr>
        <w:t> </w:t>
      </w:r>
      <w:r>
        <w:rPr>
          <w:i/>
          <w:sz w:val="20"/>
        </w:rPr>
        <w:t>работать</w:t>
      </w:r>
      <w:r>
        <w:rPr>
          <w:i/>
          <w:spacing w:val="-12"/>
          <w:sz w:val="20"/>
        </w:rPr>
        <w:t> </w:t>
      </w:r>
      <w:r>
        <w:rPr>
          <w:i/>
          <w:sz w:val="20"/>
        </w:rPr>
        <w:t>молча.</w:t>
      </w:r>
      <w:r>
        <w:rPr>
          <w:i/>
          <w:spacing w:val="-13"/>
          <w:sz w:val="20"/>
        </w:rPr>
        <w:t> </w:t>
      </w:r>
      <w:r>
        <w:rPr>
          <w:i/>
          <w:sz w:val="20"/>
        </w:rPr>
        <w:t>Обсудив</w:t>
      </w:r>
      <w:r>
        <w:rPr>
          <w:i/>
          <w:spacing w:val="-12"/>
          <w:sz w:val="20"/>
        </w:rPr>
        <w:t> </w:t>
      </w:r>
      <w:r>
        <w:rPr>
          <w:i/>
          <w:sz w:val="20"/>
        </w:rPr>
        <w:t>будущий</w:t>
      </w:r>
      <w:r>
        <w:rPr>
          <w:i/>
          <w:spacing w:val="-13"/>
          <w:sz w:val="20"/>
        </w:rPr>
        <w:t> </w:t>
      </w:r>
      <w:r>
        <w:rPr>
          <w:i/>
          <w:sz w:val="20"/>
        </w:rPr>
        <w:t>город,</w:t>
      </w:r>
      <w:r>
        <w:rPr>
          <w:i/>
          <w:spacing w:val="-12"/>
          <w:sz w:val="20"/>
        </w:rPr>
        <w:t> </w:t>
      </w:r>
      <w:r>
        <w:rPr>
          <w:i/>
          <w:sz w:val="20"/>
        </w:rPr>
        <w:t>подойдите</w:t>
      </w:r>
      <w:r>
        <w:rPr>
          <w:i/>
          <w:spacing w:val="-13"/>
          <w:sz w:val="20"/>
        </w:rPr>
        <w:t> </w:t>
      </w:r>
      <w:r>
        <w:rPr>
          <w:i/>
          <w:sz w:val="20"/>
        </w:rPr>
        <w:t>к</w:t>
      </w:r>
      <w:r>
        <w:rPr>
          <w:i/>
          <w:spacing w:val="-12"/>
          <w:sz w:val="20"/>
        </w:rPr>
        <w:t> </w:t>
      </w:r>
      <w:r>
        <w:rPr>
          <w:i/>
          <w:sz w:val="20"/>
        </w:rPr>
        <w:t>столу,</w:t>
      </w:r>
      <w:r>
        <w:rPr>
          <w:i/>
          <w:spacing w:val="-13"/>
          <w:sz w:val="20"/>
        </w:rPr>
        <w:t> </w:t>
      </w:r>
      <w:r>
        <w:rPr>
          <w:i/>
          <w:sz w:val="20"/>
        </w:rPr>
        <w:t>возьмите</w:t>
      </w:r>
      <w:r>
        <w:rPr>
          <w:i/>
          <w:spacing w:val="-12"/>
          <w:sz w:val="20"/>
        </w:rPr>
        <w:t> </w:t>
      </w:r>
      <w:r>
        <w:rPr>
          <w:i/>
          <w:sz w:val="20"/>
        </w:rPr>
        <w:t>ка- рандаш</w:t>
      </w:r>
      <w:r>
        <w:rPr>
          <w:i/>
          <w:spacing w:val="-12"/>
          <w:sz w:val="20"/>
        </w:rPr>
        <w:t> </w:t>
      </w:r>
      <w:r>
        <w:rPr>
          <w:i/>
          <w:sz w:val="20"/>
        </w:rPr>
        <w:t>или</w:t>
      </w:r>
      <w:r>
        <w:rPr>
          <w:i/>
          <w:spacing w:val="-12"/>
          <w:sz w:val="20"/>
        </w:rPr>
        <w:t> </w:t>
      </w:r>
      <w:r>
        <w:rPr>
          <w:i/>
          <w:sz w:val="20"/>
        </w:rPr>
        <w:t>кисточку.</w:t>
      </w:r>
      <w:r>
        <w:rPr>
          <w:i/>
          <w:spacing w:val="-12"/>
          <w:sz w:val="20"/>
        </w:rPr>
        <w:t> </w:t>
      </w:r>
      <w:r>
        <w:rPr>
          <w:i/>
          <w:sz w:val="20"/>
        </w:rPr>
        <w:t>Удобно</w:t>
      </w:r>
      <w:r>
        <w:rPr>
          <w:i/>
          <w:spacing w:val="-12"/>
          <w:sz w:val="20"/>
        </w:rPr>
        <w:t> </w:t>
      </w:r>
      <w:r>
        <w:rPr>
          <w:i/>
          <w:sz w:val="20"/>
        </w:rPr>
        <w:t>расположитесь</w:t>
      </w:r>
      <w:r>
        <w:rPr>
          <w:i/>
          <w:spacing w:val="-12"/>
          <w:sz w:val="20"/>
        </w:rPr>
        <w:t> </w:t>
      </w:r>
      <w:r>
        <w:rPr>
          <w:i/>
          <w:sz w:val="20"/>
        </w:rPr>
        <w:t>для</w:t>
      </w:r>
      <w:r>
        <w:rPr>
          <w:i/>
          <w:spacing w:val="-12"/>
          <w:sz w:val="20"/>
        </w:rPr>
        <w:t> </w:t>
      </w:r>
      <w:r>
        <w:rPr>
          <w:i/>
          <w:sz w:val="20"/>
        </w:rPr>
        <w:t>работы</w:t>
      </w:r>
      <w:r>
        <w:rPr>
          <w:i/>
          <w:spacing w:val="-12"/>
          <w:sz w:val="20"/>
        </w:rPr>
        <w:t> </w:t>
      </w:r>
      <w:r>
        <w:rPr>
          <w:i/>
          <w:sz w:val="20"/>
        </w:rPr>
        <w:t>и</w:t>
      </w:r>
      <w:r>
        <w:rPr>
          <w:i/>
          <w:spacing w:val="-12"/>
          <w:sz w:val="20"/>
        </w:rPr>
        <w:t> </w:t>
      </w:r>
      <w:r>
        <w:rPr>
          <w:i/>
          <w:sz w:val="20"/>
        </w:rPr>
        <w:t>приступайте.</w:t>
      </w:r>
      <w:r>
        <w:rPr>
          <w:i/>
          <w:spacing w:val="-12"/>
          <w:sz w:val="20"/>
        </w:rPr>
        <w:t> </w:t>
      </w:r>
      <w:r>
        <w:rPr>
          <w:i/>
          <w:sz w:val="20"/>
        </w:rPr>
        <w:t>По условному сигналу (два хлопка) вы переходите в команду, находящуюся слева от</w:t>
      </w:r>
      <w:r>
        <w:rPr>
          <w:i/>
          <w:spacing w:val="-5"/>
          <w:sz w:val="20"/>
        </w:rPr>
        <w:t> </w:t>
      </w:r>
      <w:r>
        <w:rPr>
          <w:i/>
          <w:sz w:val="20"/>
        </w:rPr>
        <w:t>вас,</w:t>
      </w:r>
      <w:r>
        <w:rPr>
          <w:i/>
          <w:spacing w:val="-5"/>
          <w:sz w:val="20"/>
        </w:rPr>
        <w:t> </w:t>
      </w:r>
      <w:r>
        <w:rPr>
          <w:i/>
          <w:sz w:val="20"/>
        </w:rPr>
        <w:t>и</w:t>
      </w:r>
      <w:r>
        <w:rPr>
          <w:i/>
          <w:spacing w:val="-5"/>
          <w:sz w:val="20"/>
        </w:rPr>
        <w:t> </w:t>
      </w:r>
      <w:r>
        <w:rPr>
          <w:i/>
          <w:sz w:val="20"/>
        </w:rPr>
        <w:t>рисуете</w:t>
      </w:r>
      <w:r>
        <w:rPr>
          <w:i/>
          <w:spacing w:val="-5"/>
          <w:sz w:val="20"/>
        </w:rPr>
        <w:t> </w:t>
      </w:r>
      <w:r>
        <w:rPr>
          <w:i/>
          <w:sz w:val="20"/>
        </w:rPr>
        <w:t>вместе</w:t>
      </w:r>
      <w:r>
        <w:rPr>
          <w:i/>
          <w:spacing w:val="-5"/>
          <w:sz w:val="20"/>
        </w:rPr>
        <w:t> </w:t>
      </w:r>
      <w:r>
        <w:rPr>
          <w:i/>
          <w:sz w:val="20"/>
        </w:rPr>
        <w:t>с</w:t>
      </w:r>
      <w:r>
        <w:rPr>
          <w:i/>
          <w:spacing w:val="-5"/>
          <w:sz w:val="20"/>
        </w:rPr>
        <w:t> </w:t>
      </w:r>
      <w:r>
        <w:rPr>
          <w:i/>
          <w:sz w:val="20"/>
        </w:rPr>
        <w:t>другой</w:t>
      </w:r>
      <w:r>
        <w:rPr>
          <w:i/>
          <w:spacing w:val="-5"/>
          <w:sz w:val="20"/>
        </w:rPr>
        <w:t> </w:t>
      </w:r>
      <w:r>
        <w:rPr>
          <w:i/>
          <w:sz w:val="20"/>
        </w:rPr>
        <w:t>командой,</w:t>
      </w:r>
      <w:r>
        <w:rPr>
          <w:i/>
          <w:spacing w:val="-5"/>
          <w:sz w:val="20"/>
        </w:rPr>
        <w:t> </w:t>
      </w:r>
      <w:r>
        <w:rPr>
          <w:i/>
          <w:sz w:val="20"/>
        </w:rPr>
        <w:t>но</w:t>
      </w:r>
      <w:r>
        <w:rPr>
          <w:i/>
          <w:spacing w:val="-5"/>
          <w:sz w:val="20"/>
        </w:rPr>
        <w:t> </w:t>
      </w:r>
      <w:r>
        <w:rPr>
          <w:i/>
          <w:sz w:val="20"/>
        </w:rPr>
        <w:t>исключительно</w:t>
      </w:r>
      <w:r>
        <w:rPr>
          <w:i/>
          <w:spacing w:val="-5"/>
          <w:sz w:val="20"/>
        </w:rPr>
        <w:t> </w:t>
      </w:r>
      <w:r>
        <w:rPr>
          <w:i/>
          <w:sz w:val="20"/>
        </w:rPr>
        <w:t>черные</w:t>
      </w:r>
      <w:r>
        <w:rPr>
          <w:i/>
          <w:spacing w:val="-5"/>
          <w:sz w:val="20"/>
        </w:rPr>
        <w:t> </w:t>
      </w:r>
      <w:r>
        <w:rPr>
          <w:i/>
          <w:sz w:val="20"/>
        </w:rPr>
        <w:t>круги. До</w:t>
      </w:r>
      <w:r>
        <w:rPr>
          <w:i/>
          <w:spacing w:val="-13"/>
          <w:sz w:val="20"/>
        </w:rPr>
        <w:t> </w:t>
      </w:r>
      <w:r>
        <w:rPr>
          <w:i/>
          <w:sz w:val="20"/>
        </w:rPr>
        <w:t>конца</w:t>
      </w:r>
      <w:r>
        <w:rPr>
          <w:i/>
          <w:spacing w:val="-12"/>
          <w:sz w:val="20"/>
        </w:rPr>
        <w:t> </w:t>
      </w:r>
      <w:r>
        <w:rPr>
          <w:i/>
          <w:sz w:val="20"/>
        </w:rPr>
        <w:t>игры</w:t>
      </w:r>
      <w:r>
        <w:rPr>
          <w:i/>
          <w:spacing w:val="-13"/>
          <w:sz w:val="20"/>
        </w:rPr>
        <w:t> </w:t>
      </w:r>
      <w:r>
        <w:rPr>
          <w:i/>
          <w:sz w:val="20"/>
        </w:rPr>
        <w:t>вы</w:t>
      </w:r>
      <w:r>
        <w:rPr>
          <w:i/>
          <w:spacing w:val="-12"/>
          <w:sz w:val="20"/>
        </w:rPr>
        <w:t> </w:t>
      </w:r>
      <w:r>
        <w:rPr>
          <w:i/>
          <w:sz w:val="20"/>
        </w:rPr>
        <w:t>остаетесь</w:t>
      </w:r>
      <w:r>
        <w:rPr>
          <w:i/>
          <w:spacing w:val="-13"/>
          <w:sz w:val="20"/>
        </w:rPr>
        <w:t> </w:t>
      </w:r>
      <w:r>
        <w:rPr>
          <w:i/>
          <w:sz w:val="20"/>
        </w:rPr>
        <w:t>в</w:t>
      </w:r>
      <w:r>
        <w:rPr>
          <w:i/>
          <w:spacing w:val="-12"/>
          <w:sz w:val="20"/>
        </w:rPr>
        <w:t> </w:t>
      </w:r>
      <w:r>
        <w:rPr>
          <w:i/>
          <w:sz w:val="20"/>
        </w:rPr>
        <w:t>этой</w:t>
      </w:r>
      <w:r>
        <w:rPr>
          <w:i/>
          <w:spacing w:val="-13"/>
          <w:sz w:val="20"/>
        </w:rPr>
        <w:t> </w:t>
      </w:r>
      <w:r>
        <w:rPr>
          <w:i/>
          <w:sz w:val="20"/>
        </w:rPr>
        <w:t>команде</w:t>
      </w:r>
      <w:r>
        <w:rPr>
          <w:i/>
          <w:spacing w:val="-12"/>
          <w:sz w:val="20"/>
        </w:rPr>
        <w:t> </w:t>
      </w:r>
      <w:r>
        <w:rPr>
          <w:i/>
          <w:sz w:val="20"/>
        </w:rPr>
        <w:t>и</w:t>
      </w:r>
      <w:r>
        <w:rPr>
          <w:i/>
          <w:spacing w:val="-13"/>
          <w:sz w:val="20"/>
        </w:rPr>
        <w:t> </w:t>
      </w:r>
      <w:r>
        <w:rPr>
          <w:i/>
          <w:sz w:val="20"/>
        </w:rPr>
        <w:t>продолжаете</w:t>
      </w:r>
      <w:r>
        <w:rPr>
          <w:i/>
          <w:spacing w:val="-12"/>
          <w:sz w:val="20"/>
        </w:rPr>
        <w:t> </w:t>
      </w:r>
      <w:r>
        <w:rPr>
          <w:i/>
          <w:sz w:val="20"/>
        </w:rPr>
        <w:t>рисовать</w:t>
      </w:r>
      <w:r>
        <w:rPr>
          <w:i/>
          <w:spacing w:val="-13"/>
          <w:sz w:val="20"/>
        </w:rPr>
        <w:t> </w:t>
      </w:r>
      <w:r>
        <w:rPr>
          <w:i/>
          <w:sz w:val="20"/>
        </w:rPr>
        <w:t>только черные круги.</w:t>
      </w:r>
    </w:p>
    <w:p>
      <w:pPr>
        <w:pStyle w:val="ListParagraph"/>
        <w:spacing w:after="0" w:line="244" w:lineRule="auto"/>
        <w:jc w:val="both"/>
        <w:rPr>
          <w:i/>
          <w:sz w:val="20"/>
        </w:rPr>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line="254" w:lineRule="auto" w:before="109"/>
        <w:ind w:left="1987" w:right="1507" w:hanging="419"/>
        <w:jc w:val="left"/>
        <w:rPr>
          <w:b/>
          <w:sz w:val="20"/>
        </w:rPr>
      </w:pPr>
      <w:r>
        <w:rPr>
          <w:b/>
          <w:sz w:val="20"/>
        </w:rPr>
        <w:t>Инструкции</w:t>
      </w:r>
      <w:r>
        <w:rPr>
          <w:b/>
          <w:spacing w:val="-13"/>
          <w:sz w:val="20"/>
        </w:rPr>
        <w:t> </w:t>
      </w:r>
      <w:r>
        <w:rPr>
          <w:b/>
          <w:sz w:val="20"/>
        </w:rPr>
        <w:t>для</w:t>
      </w:r>
      <w:r>
        <w:rPr>
          <w:b/>
          <w:spacing w:val="-12"/>
          <w:sz w:val="20"/>
        </w:rPr>
        <w:t> </w:t>
      </w:r>
      <w:r>
        <w:rPr>
          <w:b/>
          <w:sz w:val="20"/>
        </w:rPr>
        <w:t>участников,</w:t>
      </w:r>
      <w:r>
        <w:rPr>
          <w:b/>
          <w:spacing w:val="-13"/>
          <w:sz w:val="20"/>
        </w:rPr>
        <w:t> </w:t>
      </w:r>
      <w:r>
        <w:rPr>
          <w:b/>
          <w:sz w:val="20"/>
        </w:rPr>
        <w:t>которые</w:t>
      </w:r>
      <w:r>
        <w:rPr>
          <w:b/>
          <w:spacing w:val="-12"/>
          <w:sz w:val="20"/>
        </w:rPr>
        <w:t> </w:t>
      </w:r>
      <w:r>
        <w:rPr>
          <w:b/>
          <w:sz w:val="20"/>
        </w:rPr>
        <w:t>переходят в другую группу после второго сигнала</w:t>
      </w:r>
    </w:p>
    <w:p>
      <w:pPr>
        <w:pStyle w:val="ListParagraph"/>
        <w:numPr>
          <w:ilvl w:val="0"/>
          <w:numId w:val="282"/>
        </w:numPr>
        <w:tabs>
          <w:tab w:pos="869" w:val="left" w:leader="none"/>
        </w:tabs>
        <w:spacing w:line="247" w:lineRule="auto" w:before="0" w:after="0"/>
        <w:ind w:left="425" w:right="423" w:firstLine="283"/>
        <w:jc w:val="both"/>
        <w:rPr>
          <w:i/>
          <w:sz w:val="20"/>
        </w:rPr>
      </w:pPr>
      <w:r>
        <w:rPr>
          <w:i/>
          <w:sz w:val="20"/>
        </w:rPr>
        <w:t>Вы оказались в команде № 1. Вам предстоит вместе с вашей командой нарисовать город. На обсуждение города у вас есть 3 минуты, затем вы бу- дете</w:t>
      </w:r>
      <w:r>
        <w:rPr>
          <w:i/>
          <w:spacing w:val="-3"/>
          <w:sz w:val="20"/>
        </w:rPr>
        <w:t> </w:t>
      </w:r>
      <w:r>
        <w:rPr>
          <w:i/>
          <w:sz w:val="20"/>
        </w:rPr>
        <w:t>работать</w:t>
      </w:r>
      <w:r>
        <w:rPr>
          <w:i/>
          <w:spacing w:val="-4"/>
          <w:sz w:val="20"/>
        </w:rPr>
        <w:t> </w:t>
      </w:r>
      <w:r>
        <w:rPr>
          <w:i/>
          <w:sz w:val="20"/>
        </w:rPr>
        <w:t>молча.</w:t>
      </w:r>
      <w:r>
        <w:rPr>
          <w:i/>
          <w:spacing w:val="-3"/>
          <w:sz w:val="20"/>
        </w:rPr>
        <w:t> </w:t>
      </w:r>
      <w:r>
        <w:rPr>
          <w:i/>
          <w:sz w:val="20"/>
        </w:rPr>
        <w:t>Обсудив</w:t>
      </w:r>
      <w:r>
        <w:rPr>
          <w:i/>
          <w:spacing w:val="-4"/>
          <w:sz w:val="20"/>
        </w:rPr>
        <w:t> </w:t>
      </w:r>
      <w:r>
        <w:rPr>
          <w:i/>
          <w:sz w:val="20"/>
        </w:rPr>
        <w:t>будущий</w:t>
      </w:r>
      <w:r>
        <w:rPr>
          <w:i/>
          <w:spacing w:val="-3"/>
          <w:sz w:val="20"/>
        </w:rPr>
        <w:t> </w:t>
      </w:r>
      <w:r>
        <w:rPr>
          <w:i/>
          <w:sz w:val="20"/>
        </w:rPr>
        <w:t>город,</w:t>
      </w:r>
      <w:r>
        <w:rPr>
          <w:i/>
          <w:spacing w:val="-4"/>
          <w:sz w:val="20"/>
        </w:rPr>
        <w:t> </w:t>
      </w:r>
      <w:r>
        <w:rPr>
          <w:i/>
          <w:sz w:val="20"/>
        </w:rPr>
        <w:t>подойдите</w:t>
      </w:r>
      <w:r>
        <w:rPr>
          <w:i/>
          <w:spacing w:val="-3"/>
          <w:sz w:val="20"/>
        </w:rPr>
        <w:t> </w:t>
      </w:r>
      <w:r>
        <w:rPr>
          <w:i/>
          <w:sz w:val="20"/>
        </w:rPr>
        <w:t>к</w:t>
      </w:r>
      <w:r>
        <w:rPr>
          <w:i/>
          <w:spacing w:val="-4"/>
          <w:sz w:val="20"/>
        </w:rPr>
        <w:t> </w:t>
      </w:r>
      <w:r>
        <w:rPr>
          <w:i/>
          <w:sz w:val="20"/>
        </w:rPr>
        <w:t>столу,</w:t>
      </w:r>
      <w:r>
        <w:rPr>
          <w:i/>
          <w:spacing w:val="-3"/>
          <w:sz w:val="20"/>
        </w:rPr>
        <w:t> </w:t>
      </w:r>
      <w:r>
        <w:rPr>
          <w:i/>
          <w:sz w:val="20"/>
        </w:rPr>
        <w:t>возьмите карандаш</w:t>
      </w:r>
      <w:r>
        <w:rPr>
          <w:i/>
          <w:spacing w:val="-1"/>
          <w:sz w:val="20"/>
        </w:rPr>
        <w:t> </w:t>
      </w:r>
      <w:r>
        <w:rPr>
          <w:i/>
          <w:sz w:val="20"/>
        </w:rPr>
        <w:t>или</w:t>
      </w:r>
      <w:r>
        <w:rPr>
          <w:i/>
          <w:spacing w:val="-1"/>
          <w:sz w:val="20"/>
        </w:rPr>
        <w:t> </w:t>
      </w:r>
      <w:r>
        <w:rPr>
          <w:i/>
          <w:sz w:val="20"/>
        </w:rPr>
        <w:t>кисточку.</w:t>
      </w:r>
      <w:r>
        <w:rPr>
          <w:i/>
          <w:spacing w:val="-1"/>
          <w:sz w:val="20"/>
        </w:rPr>
        <w:t> </w:t>
      </w:r>
      <w:r>
        <w:rPr>
          <w:i/>
          <w:sz w:val="20"/>
        </w:rPr>
        <w:t>Удобно</w:t>
      </w:r>
      <w:r>
        <w:rPr>
          <w:i/>
          <w:spacing w:val="-1"/>
          <w:sz w:val="20"/>
        </w:rPr>
        <w:t> </w:t>
      </w:r>
      <w:r>
        <w:rPr>
          <w:i/>
          <w:sz w:val="20"/>
        </w:rPr>
        <w:t>расположитесь</w:t>
      </w:r>
      <w:r>
        <w:rPr>
          <w:i/>
          <w:spacing w:val="-1"/>
          <w:sz w:val="20"/>
        </w:rPr>
        <w:t> </w:t>
      </w:r>
      <w:r>
        <w:rPr>
          <w:i/>
          <w:sz w:val="20"/>
        </w:rPr>
        <w:t>для</w:t>
      </w:r>
      <w:r>
        <w:rPr>
          <w:i/>
          <w:spacing w:val="-1"/>
          <w:sz w:val="20"/>
        </w:rPr>
        <w:t> </w:t>
      </w:r>
      <w:r>
        <w:rPr>
          <w:i/>
          <w:sz w:val="20"/>
        </w:rPr>
        <w:t>работы</w:t>
      </w:r>
      <w:r>
        <w:rPr>
          <w:i/>
          <w:spacing w:val="-1"/>
          <w:sz w:val="20"/>
        </w:rPr>
        <w:t> </w:t>
      </w:r>
      <w:r>
        <w:rPr>
          <w:i/>
          <w:sz w:val="20"/>
        </w:rPr>
        <w:t>и</w:t>
      </w:r>
      <w:r>
        <w:rPr>
          <w:i/>
          <w:spacing w:val="-1"/>
          <w:sz w:val="20"/>
        </w:rPr>
        <w:t> </w:t>
      </w:r>
      <w:r>
        <w:rPr>
          <w:i/>
          <w:sz w:val="20"/>
        </w:rPr>
        <w:t>приступайте. По первому условному сигналу (два хлопка) вы остаетесь в своей команде и продолжаете рисовать, как договаривались. По второму условному сигналу (три</w:t>
      </w:r>
      <w:r>
        <w:rPr>
          <w:i/>
          <w:spacing w:val="-9"/>
          <w:sz w:val="20"/>
        </w:rPr>
        <w:t> </w:t>
      </w:r>
      <w:r>
        <w:rPr>
          <w:i/>
          <w:sz w:val="20"/>
        </w:rPr>
        <w:t>хлопка)</w:t>
      </w:r>
      <w:r>
        <w:rPr>
          <w:i/>
          <w:spacing w:val="-9"/>
          <w:sz w:val="20"/>
        </w:rPr>
        <w:t> </w:t>
      </w:r>
      <w:r>
        <w:rPr>
          <w:i/>
          <w:sz w:val="20"/>
        </w:rPr>
        <w:t>вы</w:t>
      </w:r>
      <w:r>
        <w:rPr>
          <w:i/>
          <w:spacing w:val="-9"/>
          <w:sz w:val="20"/>
        </w:rPr>
        <w:t> </w:t>
      </w:r>
      <w:r>
        <w:rPr>
          <w:i/>
          <w:sz w:val="20"/>
        </w:rPr>
        <w:t>переходите</w:t>
      </w:r>
      <w:r>
        <w:rPr>
          <w:i/>
          <w:spacing w:val="-9"/>
          <w:sz w:val="20"/>
        </w:rPr>
        <w:t> </w:t>
      </w:r>
      <w:r>
        <w:rPr>
          <w:i/>
          <w:sz w:val="20"/>
        </w:rPr>
        <w:t>в</w:t>
      </w:r>
      <w:r>
        <w:rPr>
          <w:i/>
          <w:spacing w:val="-9"/>
          <w:sz w:val="20"/>
        </w:rPr>
        <w:t> </w:t>
      </w:r>
      <w:r>
        <w:rPr>
          <w:i/>
          <w:sz w:val="20"/>
        </w:rPr>
        <w:t>команду,</w:t>
      </w:r>
      <w:r>
        <w:rPr>
          <w:i/>
          <w:spacing w:val="-9"/>
          <w:sz w:val="20"/>
        </w:rPr>
        <w:t> </w:t>
      </w:r>
      <w:r>
        <w:rPr>
          <w:i/>
          <w:sz w:val="20"/>
        </w:rPr>
        <w:t>находящуюся</w:t>
      </w:r>
      <w:r>
        <w:rPr>
          <w:i/>
          <w:spacing w:val="-9"/>
          <w:sz w:val="20"/>
        </w:rPr>
        <w:t> </w:t>
      </w:r>
      <w:r>
        <w:rPr>
          <w:i/>
          <w:sz w:val="20"/>
        </w:rPr>
        <w:t>справа</w:t>
      </w:r>
      <w:r>
        <w:rPr>
          <w:i/>
          <w:spacing w:val="-9"/>
          <w:sz w:val="20"/>
        </w:rPr>
        <w:t> </w:t>
      </w:r>
      <w:r>
        <w:rPr>
          <w:i/>
          <w:sz w:val="20"/>
        </w:rPr>
        <w:t>от</w:t>
      </w:r>
      <w:r>
        <w:rPr>
          <w:i/>
          <w:spacing w:val="-9"/>
          <w:sz w:val="20"/>
        </w:rPr>
        <w:t> </w:t>
      </w:r>
      <w:r>
        <w:rPr>
          <w:i/>
          <w:sz w:val="20"/>
        </w:rPr>
        <w:t>вас,</w:t>
      </w:r>
      <w:r>
        <w:rPr>
          <w:i/>
          <w:spacing w:val="-9"/>
          <w:sz w:val="20"/>
        </w:rPr>
        <w:t> </w:t>
      </w:r>
      <w:r>
        <w:rPr>
          <w:i/>
          <w:sz w:val="20"/>
        </w:rPr>
        <w:t>и</w:t>
      </w:r>
      <w:r>
        <w:rPr>
          <w:i/>
          <w:spacing w:val="-9"/>
          <w:sz w:val="20"/>
        </w:rPr>
        <w:t> </w:t>
      </w:r>
      <w:r>
        <w:rPr>
          <w:i/>
          <w:sz w:val="20"/>
        </w:rPr>
        <w:t>рисуете совместно</w:t>
      </w:r>
      <w:r>
        <w:rPr>
          <w:i/>
          <w:spacing w:val="-5"/>
          <w:sz w:val="20"/>
        </w:rPr>
        <w:t> </w:t>
      </w:r>
      <w:r>
        <w:rPr>
          <w:i/>
          <w:sz w:val="20"/>
        </w:rPr>
        <w:t>с</w:t>
      </w:r>
      <w:r>
        <w:rPr>
          <w:i/>
          <w:spacing w:val="-5"/>
          <w:sz w:val="20"/>
        </w:rPr>
        <w:t> </w:t>
      </w:r>
      <w:r>
        <w:rPr>
          <w:i/>
          <w:sz w:val="20"/>
        </w:rPr>
        <w:t>другой</w:t>
      </w:r>
      <w:r>
        <w:rPr>
          <w:i/>
          <w:spacing w:val="-5"/>
          <w:sz w:val="20"/>
        </w:rPr>
        <w:t> </w:t>
      </w:r>
      <w:r>
        <w:rPr>
          <w:i/>
          <w:sz w:val="20"/>
        </w:rPr>
        <w:t>командой,</w:t>
      </w:r>
      <w:r>
        <w:rPr>
          <w:i/>
          <w:spacing w:val="-5"/>
          <w:sz w:val="20"/>
        </w:rPr>
        <w:t> </w:t>
      </w:r>
      <w:r>
        <w:rPr>
          <w:i/>
          <w:sz w:val="20"/>
        </w:rPr>
        <w:t>но</w:t>
      </w:r>
      <w:r>
        <w:rPr>
          <w:i/>
          <w:spacing w:val="-5"/>
          <w:sz w:val="20"/>
        </w:rPr>
        <w:t> </w:t>
      </w:r>
      <w:r>
        <w:rPr>
          <w:i/>
          <w:sz w:val="20"/>
        </w:rPr>
        <w:t>исключительно</w:t>
      </w:r>
      <w:r>
        <w:rPr>
          <w:i/>
          <w:spacing w:val="-5"/>
          <w:sz w:val="20"/>
        </w:rPr>
        <w:t> </w:t>
      </w:r>
      <w:r>
        <w:rPr>
          <w:i/>
          <w:sz w:val="20"/>
        </w:rPr>
        <w:t>синие</w:t>
      </w:r>
      <w:r>
        <w:rPr>
          <w:i/>
          <w:spacing w:val="-5"/>
          <w:sz w:val="20"/>
        </w:rPr>
        <w:t> </w:t>
      </w:r>
      <w:r>
        <w:rPr>
          <w:i/>
          <w:sz w:val="20"/>
        </w:rPr>
        <w:t>треугольники.</w:t>
      </w:r>
      <w:r>
        <w:rPr>
          <w:i/>
          <w:spacing w:val="-5"/>
          <w:sz w:val="20"/>
        </w:rPr>
        <w:t> </w:t>
      </w:r>
      <w:r>
        <w:rPr>
          <w:i/>
          <w:sz w:val="20"/>
        </w:rPr>
        <w:t>До</w:t>
      </w:r>
      <w:r>
        <w:rPr>
          <w:i/>
          <w:spacing w:val="-5"/>
          <w:sz w:val="20"/>
        </w:rPr>
        <w:t> </w:t>
      </w:r>
      <w:r>
        <w:rPr>
          <w:i/>
          <w:sz w:val="20"/>
        </w:rPr>
        <w:t>кон- ца</w:t>
      </w:r>
      <w:r>
        <w:rPr>
          <w:i/>
          <w:spacing w:val="-9"/>
          <w:sz w:val="20"/>
        </w:rPr>
        <w:t> </w:t>
      </w:r>
      <w:r>
        <w:rPr>
          <w:i/>
          <w:sz w:val="20"/>
        </w:rPr>
        <w:t>игры</w:t>
      </w:r>
      <w:r>
        <w:rPr>
          <w:i/>
          <w:spacing w:val="-9"/>
          <w:sz w:val="20"/>
        </w:rPr>
        <w:t> </w:t>
      </w:r>
      <w:r>
        <w:rPr>
          <w:i/>
          <w:sz w:val="20"/>
        </w:rPr>
        <w:t>вы</w:t>
      </w:r>
      <w:r>
        <w:rPr>
          <w:i/>
          <w:spacing w:val="-9"/>
          <w:sz w:val="20"/>
        </w:rPr>
        <w:t> </w:t>
      </w:r>
      <w:r>
        <w:rPr>
          <w:i/>
          <w:sz w:val="20"/>
        </w:rPr>
        <w:t>остаетесь</w:t>
      </w:r>
      <w:r>
        <w:rPr>
          <w:i/>
          <w:spacing w:val="-9"/>
          <w:sz w:val="20"/>
        </w:rPr>
        <w:t> </w:t>
      </w:r>
      <w:r>
        <w:rPr>
          <w:i/>
          <w:sz w:val="20"/>
        </w:rPr>
        <w:t>в</w:t>
      </w:r>
      <w:r>
        <w:rPr>
          <w:i/>
          <w:spacing w:val="-9"/>
          <w:sz w:val="20"/>
        </w:rPr>
        <w:t> </w:t>
      </w:r>
      <w:r>
        <w:rPr>
          <w:i/>
          <w:sz w:val="20"/>
        </w:rPr>
        <w:t>этой</w:t>
      </w:r>
      <w:r>
        <w:rPr>
          <w:i/>
          <w:spacing w:val="-9"/>
          <w:sz w:val="20"/>
        </w:rPr>
        <w:t> </w:t>
      </w:r>
      <w:r>
        <w:rPr>
          <w:i/>
          <w:sz w:val="20"/>
        </w:rPr>
        <w:t>команде</w:t>
      </w:r>
      <w:r>
        <w:rPr>
          <w:i/>
          <w:spacing w:val="-9"/>
          <w:sz w:val="20"/>
        </w:rPr>
        <w:t> </w:t>
      </w:r>
      <w:r>
        <w:rPr>
          <w:i/>
          <w:sz w:val="20"/>
        </w:rPr>
        <w:t>и</w:t>
      </w:r>
      <w:r>
        <w:rPr>
          <w:i/>
          <w:spacing w:val="-9"/>
          <w:sz w:val="20"/>
        </w:rPr>
        <w:t> </w:t>
      </w:r>
      <w:r>
        <w:rPr>
          <w:i/>
          <w:sz w:val="20"/>
        </w:rPr>
        <w:t>продолжаете</w:t>
      </w:r>
      <w:r>
        <w:rPr>
          <w:i/>
          <w:spacing w:val="-9"/>
          <w:sz w:val="20"/>
        </w:rPr>
        <w:t> </w:t>
      </w:r>
      <w:r>
        <w:rPr>
          <w:i/>
          <w:sz w:val="20"/>
        </w:rPr>
        <w:t>рисовать</w:t>
      </w:r>
      <w:r>
        <w:rPr>
          <w:i/>
          <w:spacing w:val="-9"/>
          <w:sz w:val="20"/>
        </w:rPr>
        <w:t> </w:t>
      </w:r>
      <w:r>
        <w:rPr>
          <w:i/>
          <w:sz w:val="20"/>
        </w:rPr>
        <w:t>только</w:t>
      </w:r>
      <w:r>
        <w:rPr>
          <w:i/>
          <w:spacing w:val="-9"/>
          <w:sz w:val="20"/>
        </w:rPr>
        <w:t> </w:t>
      </w:r>
      <w:r>
        <w:rPr>
          <w:i/>
          <w:sz w:val="20"/>
        </w:rPr>
        <w:t>синие </w:t>
      </w:r>
      <w:r>
        <w:rPr>
          <w:i/>
          <w:spacing w:val="-2"/>
          <w:sz w:val="20"/>
        </w:rPr>
        <w:t>треугольники.</w:t>
      </w:r>
    </w:p>
    <w:p>
      <w:pPr>
        <w:pStyle w:val="ListParagraph"/>
        <w:numPr>
          <w:ilvl w:val="0"/>
          <w:numId w:val="282"/>
        </w:numPr>
        <w:tabs>
          <w:tab w:pos="869" w:val="left" w:leader="none"/>
        </w:tabs>
        <w:spacing w:line="244" w:lineRule="auto" w:before="16" w:after="0"/>
        <w:ind w:left="425" w:right="422" w:firstLine="283"/>
        <w:jc w:val="both"/>
        <w:rPr>
          <w:i/>
          <w:sz w:val="20"/>
        </w:rPr>
      </w:pPr>
      <w:r>
        <w:rPr>
          <w:i/>
          <w:sz w:val="20"/>
        </w:rPr>
        <w:t>Вы оказались в команде № 2. Вам предстоит вместе с вашей командой нарисовать город. На обсуждение города у вас есть 3 минуты, затем вы бу- дете</w:t>
      </w:r>
      <w:r>
        <w:rPr>
          <w:i/>
          <w:spacing w:val="-3"/>
          <w:sz w:val="20"/>
        </w:rPr>
        <w:t> </w:t>
      </w:r>
      <w:r>
        <w:rPr>
          <w:i/>
          <w:sz w:val="20"/>
        </w:rPr>
        <w:t>работать</w:t>
      </w:r>
      <w:r>
        <w:rPr>
          <w:i/>
          <w:spacing w:val="-3"/>
          <w:sz w:val="20"/>
        </w:rPr>
        <w:t> </w:t>
      </w:r>
      <w:r>
        <w:rPr>
          <w:i/>
          <w:sz w:val="20"/>
        </w:rPr>
        <w:t>молча.</w:t>
      </w:r>
      <w:r>
        <w:rPr>
          <w:i/>
          <w:spacing w:val="-3"/>
          <w:sz w:val="20"/>
        </w:rPr>
        <w:t> </w:t>
      </w:r>
      <w:r>
        <w:rPr>
          <w:i/>
          <w:sz w:val="20"/>
        </w:rPr>
        <w:t>Обсудив</w:t>
      </w:r>
      <w:r>
        <w:rPr>
          <w:i/>
          <w:spacing w:val="-3"/>
          <w:sz w:val="20"/>
        </w:rPr>
        <w:t> </w:t>
      </w:r>
      <w:r>
        <w:rPr>
          <w:i/>
          <w:sz w:val="20"/>
        </w:rPr>
        <w:t>будущий</w:t>
      </w:r>
      <w:r>
        <w:rPr>
          <w:i/>
          <w:spacing w:val="-3"/>
          <w:sz w:val="20"/>
        </w:rPr>
        <w:t> </w:t>
      </w:r>
      <w:r>
        <w:rPr>
          <w:i/>
          <w:sz w:val="20"/>
        </w:rPr>
        <w:t>город,</w:t>
      </w:r>
      <w:r>
        <w:rPr>
          <w:i/>
          <w:spacing w:val="-3"/>
          <w:sz w:val="20"/>
        </w:rPr>
        <w:t> </w:t>
      </w:r>
      <w:r>
        <w:rPr>
          <w:i/>
          <w:sz w:val="20"/>
        </w:rPr>
        <w:t>подойдите</w:t>
      </w:r>
      <w:r>
        <w:rPr>
          <w:i/>
          <w:spacing w:val="-3"/>
          <w:sz w:val="20"/>
        </w:rPr>
        <w:t> </w:t>
      </w:r>
      <w:r>
        <w:rPr>
          <w:i/>
          <w:sz w:val="20"/>
        </w:rPr>
        <w:t>к</w:t>
      </w:r>
      <w:r>
        <w:rPr>
          <w:i/>
          <w:spacing w:val="-3"/>
          <w:sz w:val="20"/>
        </w:rPr>
        <w:t> </w:t>
      </w:r>
      <w:r>
        <w:rPr>
          <w:i/>
          <w:sz w:val="20"/>
        </w:rPr>
        <w:t>столу,</w:t>
      </w:r>
      <w:r>
        <w:rPr>
          <w:i/>
          <w:spacing w:val="-3"/>
          <w:sz w:val="20"/>
        </w:rPr>
        <w:t> </w:t>
      </w:r>
      <w:r>
        <w:rPr>
          <w:i/>
          <w:sz w:val="20"/>
        </w:rPr>
        <w:t>возьмите карандаш</w:t>
      </w:r>
      <w:r>
        <w:rPr>
          <w:i/>
          <w:spacing w:val="-1"/>
          <w:sz w:val="20"/>
        </w:rPr>
        <w:t> </w:t>
      </w:r>
      <w:r>
        <w:rPr>
          <w:i/>
          <w:sz w:val="20"/>
        </w:rPr>
        <w:t>или</w:t>
      </w:r>
      <w:r>
        <w:rPr>
          <w:i/>
          <w:spacing w:val="-1"/>
          <w:sz w:val="20"/>
        </w:rPr>
        <w:t> </w:t>
      </w:r>
      <w:r>
        <w:rPr>
          <w:i/>
          <w:sz w:val="20"/>
        </w:rPr>
        <w:t>кисточку.</w:t>
      </w:r>
      <w:r>
        <w:rPr>
          <w:i/>
          <w:spacing w:val="-1"/>
          <w:sz w:val="20"/>
        </w:rPr>
        <w:t> </w:t>
      </w:r>
      <w:r>
        <w:rPr>
          <w:i/>
          <w:sz w:val="20"/>
        </w:rPr>
        <w:t>Удобно</w:t>
      </w:r>
      <w:r>
        <w:rPr>
          <w:i/>
          <w:spacing w:val="-1"/>
          <w:sz w:val="20"/>
        </w:rPr>
        <w:t> </w:t>
      </w:r>
      <w:r>
        <w:rPr>
          <w:i/>
          <w:sz w:val="20"/>
        </w:rPr>
        <w:t>расположитесь</w:t>
      </w:r>
      <w:r>
        <w:rPr>
          <w:i/>
          <w:spacing w:val="-1"/>
          <w:sz w:val="20"/>
        </w:rPr>
        <w:t> </w:t>
      </w:r>
      <w:r>
        <w:rPr>
          <w:i/>
          <w:sz w:val="20"/>
        </w:rPr>
        <w:t>для</w:t>
      </w:r>
      <w:r>
        <w:rPr>
          <w:i/>
          <w:spacing w:val="-1"/>
          <w:sz w:val="20"/>
        </w:rPr>
        <w:t> </w:t>
      </w:r>
      <w:r>
        <w:rPr>
          <w:i/>
          <w:sz w:val="20"/>
        </w:rPr>
        <w:t>работы</w:t>
      </w:r>
      <w:r>
        <w:rPr>
          <w:i/>
          <w:spacing w:val="-1"/>
          <w:sz w:val="20"/>
        </w:rPr>
        <w:t> </w:t>
      </w:r>
      <w:r>
        <w:rPr>
          <w:i/>
          <w:sz w:val="20"/>
        </w:rPr>
        <w:t>и</w:t>
      </w:r>
      <w:r>
        <w:rPr>
          <w:i/>
          <w:spacing w:val="-1"/>
          <w:sz w:val="20"/>
        </w:rPr>
        <w:t> </w:t>
      </w:r>
      <w:r>
        <w:rPr>
          <w:i/>
          <w:sz w:val="20"/>
        </w:rPr>
        <w:t>приступайте. По первому условному сигналу (два хлопка) вы остаетесь в своей команде и продолжаете рисовать, как договаривались. По второму условному сигналу (три</w:t>
      </w:r>
      <w:r>
        <w:rPr>
          <w:i/>
          <w:spacing w:val="-9"/>
          <w:sz w:val="20"/>
        </w:rPr>
        <w:t> </w:t>
      </w:r>
      <w:r>
        <w:rPr>
          <w:i/>
          <w:sz w:val="20"/>
        </w:rPr>
        <w:t>хлопка)</w:t>
      </w:r>
      <w:r>
        <w:rPr>
          <w:i/>
          <w:spacing w:val="-9"/>
          <w:sz w:val="20"/>
        </w:rPr>
        <w:t> </w:t>
      </w:r>
      <w:r>
        <w:rPr>
          <w:i/>
          <w:sz w:val="20"/>
        </w:rPr>
        <w:t>вы</w:t>
      </w:r>
      <w:r>
        <w:rPr>
          <w:i/>
          <w:spacing w:val="-9"/>
          <w:sz w:val="20"/>
        </w:rPr>
        <w:t> </w:t>
      </w:r>
      <w:r>
        <w:rPr>
          <w:i/>
          <w:sz w:val="20"/>
        </w:rPr>
        <w:t>переходите</w:t>
      </w:r>
      <w:r>
        <w:rPr>
          <w:i/>
          <w:spacing w:val="-9"/>
          <w:sz w:val="20"/>
        </w:rPr>
        <w:t> </w:t>
      </w:r>
      <w:r>
        <w:rPr>
          <w:i/>
          <w:sz w:val="20"/>
        </w:rPr>
        <w:t>в</w:t>
      </w:r>
      <w:r>
        <w:rPr>
          <w:i/>
          <w:spacing w:val="-9"/>
          <w:sz w:val="20"/>
        </w:rPr>
        <w:t> </w:t>
      </w:r>
      <w:r>
        <w:rPr>
          <w:i/>
          <w:sz w:val="20"/>
        </w:rPr>
        <w:t>команду,</w:t>
      </w:r>
      <w:r>
        <w:rPr>
          <w:i/>
          <w:spacing w:val="-9"/>
          <w:sz w:val="20"/>
        </w:rPr>
        <w:t> </w:t>
      </w:r>
      <w:r>
        <w:rPr>
          <w:i/>
          <w:sz w:val="20"/>
        </w:rPr>
        <w:t>находящуюся</w:t>
      </w:r>
      <w:r>
        <w:rPr>
          <w:i/>
          <w:spacing w:val="-9"/>
          <w:sz w:val="20"/>
        </w:rPr>
        <w:t> </w:t>
      </w:r>
      <w:r>
        <w:rPr>
          <w:i/>
          <w:sz w:val="20"/>
        </w:rPr>
        <w:t>справа</w:t>
      </w:r>
      <w:r>
        <w:rPr>
          <w:i/>
          <w:spacing w:val="-9"/>
          <w:sz w:val="20"/>
        </w:rPr>
        <w:t> </w:t>
      </w:r>
      <w:r>
        <w:rPr>
          <w:i/>
          <w:sz w:val="20"/>
        </w:rPr>
        <w:t>от</w:t>
      </w:r>
      <w:r>
        <w:rPr>
          <w:i/>
          <w:spacing w:val="-9"/>
          <w:sz w:val="20"/>
        </w:rPr>
        <w:t> </w:t>
      </w:r>
      <w:r>
        <w:rPr>
          <w:i/>
          <w:sz w:val="20"/>
        </w:rPr>
        <w:t>вас,</w:t>
      </w:r>
      <w:r>
        <w:rPr>
          <w:i/>
          <w:spacing w:val="-9"/>
          <w:sz w:val="20"/>
        </w:rPr>
        <w:t> </w:t>
      </w:r>
      <w:r>
        <w:rPr>
          <w:i/>
          <w:sz w:val="20"/>
        </w:rPr>
        <w:t>и</w:t>
      </w:r>
      <w:r>
        <w:rPr>
          <w:i/>
          <w:spacing w:val="-9"/>
          <w:sz w:val="20"/>
        </w:rPr>
        <w:t> </w:t>
      </w:r>
      <w:r>
        <w:rPr>
          <w:i/>
          <w:sz w:val="20"/>
        </w:rPr>
        <w:t>рисуете совместно</w:t>
      </w:r>
      <w:r>
        <w:rPr>
          <w:i/>
          <w:spacing w:val="-5"/>
          <w:sz w:val="20"/>
        </w:rPr>
        <w:t> </w:t>
      </w:r>
      <w:r>
        <w:rPr>
          <w:i/>
          <w:sz w:val="20"/>
        </w:rPr>
        <w:t>с</w:t>
      </w:r>
      <w:r>
        <w:rPr>
          <w:i/>
          <w:spacing w:val="-5"/>
          <w:sz w:val="20"/>
        </w:rPr>
        <w:t> </w:t>
      </w:r>
      <w:r>
        <w:rPr>
          <w:i/>
          <w:sz w:val="20"/>
        </w:rPr>
        <w:t>другой</w:t>
      </w:r>
      <w:r>
        <w:rPr>
          <w:i/>
          <w:spacing w:val="-5"/>
          <w:sz w:val="20"/>
        </w:rPr>
        <w:t> </w:t>
      </w:r>
      <w:r>
        <w:rPr>
          <w:i/>
          <w:sz w:val="20"/>
        </w:rPr>
        <w:t>командой,</w:t>
      </w:r>
      <w:r>
        <w:rPr>
          <w:i/>
          <w:spacing w:val="-5"/>
          <w:sz w:val="20"/>
        </w:rPr>
        <w:t> </w:t>
      </w:r>
      <w:r>
        <w:rPr>
          <w:i/>
          <w:sz w:val="20"/>
        </w:rPr>
        <w:t>но</w:t>
      </w:r>
      <w:r>
        <w:rPr>
          <w:i/>
          <w:spacing w:val="-5"/>
          <w:sz w:val="20"/>
        </w:rPr>
        <w:t> </w:t>
      </w:r>
      <w:r>
        <w:rPr>
          <w:i/>
          <w:sz w:val="20"/>
        </w:rPr>
        <w:t>исключительно</w:t>
      </w:r>
      <w:r>
        <w:rPr>
          <w:i/>
          <w:spacing w:val="-5"/>
          <w:sz w:val="20"/>
        </w:rPr>
        <w:t> </w:t>
      </w:r>
      <w:r>
        <w:rPr>
          <w:i/>
          <w:sz w:val="20"/>
        </w:rPr>
        <w:t>синие</w:t>
      </w:r>
      <w:r>
        <w:rPr>
          <w:i/>
          <w:spacing w:val="-5"/>
          <w:sz w:val="20"/>
        </w:rPr>
        <w:t> </w:t>
      </w:r>
      <w:r>
        <w:rPr>
          <w:i/>
          <w:sz w:val="20"/>
        </w:rPr>
        <w:t>треугольники.</w:t>
      </w:r>
      <w:r>
        <w:rPr>
          <w:i/>
          <w:spacing w:val="-5"/>
          <w:sz w:val="20"/>
        </w:rPr>
        <w:t> </w:t>
      </w:r>
      <w:r>
        <w:rPr>
          <w:i/>
          <w:sz w:val="20"/>
        </w:rPr>
        <w:t>До</w:t>
      </w:r>
      <w:r>
        <w:rPr>
          <w:i/>
          <w:spacing w:val="-5"/>
          <w:sz w:val="20"/>
        </w:rPr>
        <w:t> </w:t>
      </w:r>
      <w:r>
        <w:rPr>
          <w:i/>
          <w:sz w:val="20"/>
        </w:rPr>
        <w:t>кон- ца</w:t>
      </w:r>
      <w:r>
        <w:rPr>
          <w:i/>
          <w:spacing w:val="-8"/>
          <w:sz w:val="20"/>
        </w:rPr>
        <w:t> </w:t>
      </w:r>
      <w:r>
        <w:rPr>
          <w:i/>
          <w:sz w:val="20"/>
        </w:rPr>
        <w:t>игры</w:t>
      </w:r>
      <w:r>
        <w:rPr>
          <w:i/>
          <w:spacing w:val="-9"/>
          <w:sz w:val="20"/>
        </w:rPr>
        <w:t> </w:t>
      </w:r>
      <w:r>
        <w:rPr>
          <w:i/>
          <w:sz w:val="20"/>
        </w:rPr>
        <w:t>вы</w:t>
      </w:r>
      <w:r>
        <w:rPr>
          <w:i/>
          <w:spacing w:val="-8"/>
          <w:sz w:val="20"/>
        </w:rPr>
        <w:t> </w:t>
      </w:r>
      <w:r>
        <w:rPr>
          <w:i/>
          <w:sz w:val="20"/>
        </w:rPr>
        <w:t>остаетесь</w:t>
      </w:r>
      <w:r>
        <w:rPr>
          <w:i/>
          <w:spacing w:val="-9"/>
          <w:sz w:val="20"/>
        </w:rPr>
        <w:t> </w:t>
      </w:r>
      <w:r>
        <w:rPr>
          <w:i/>
          <w:sz w:val="20"/>
        </w:rPr>
        <w:t>в</w:t>
      </w:r>
      <w:r>
        <w:rPr>
          <w:i/>
          <w:spacing w:val="-8"/>
          <w:sz w:val="20"/>
        </w:rPr>
        <w:t> </w:t>
      </w:r>
      <w:r>
        <w:rPr>
          <w:i/>
          <w:sz w:val="20"/>
        </w:rPr>
        <w:t>этой</w:t>
      </w:r>
      <w:r>
        <w:rPr>
          <w:i/>
          <w:spacing w:val="-9"/>
          <w:sz w:val="20"/>
        </w:rPr>
        <w:t> </w:t>
      </w:r>
      <w:r>
        <w:rPr>
          <w:i/>
          <w:sz w:val="20"/>
        </w:rPr>
        <w:t>команде</w:t>
      </w:r>
      <w:r>
        <w:rPr>
          <w:i/>
          <w:spacing w:val="-8"/>
          <w:sz w:val="20"/>
        </w:rPr>
        <w:t> </w:t>
      </w:r>
      <w:r>
        <w:rPr>
          <w:i/>
          <w:sz w:val="20"/>
        </w:rPr>
        <w:t>и</w:t>
      </w:r>
      <w:r>
        <w:rPr>
          <w:i/>
          <w:spacing w:val="-9"/>
          <w:sz w:val="20"/>
        </w:rPr>
        <w:t> </w:t>
      </w:r>
      <w:r>
        <w:rPr>
          <w:i/>
          <w:sz w:val="20"/>
        </w:rPr>
        <w:t>продолжаете</w:t>
      </w:r>
      <w:r>
        <w:rPr>
          <w:i/>
          <w:spacing w:val="-8"/>
          <w:sz w:val="20"/>
        </w:rPr>
        <w:t> </w:t>
      </w:r>
      <w:r>
        <w:rPr>
          <w:i/>
          <w:sz w:val="20"/>
        </w:rPr>
        <w:t>рисовать</w:t>
      </w:r>
      <w:r>
        <w:rPr>
          <w:i/>
          <w:spacing w:val="-9"/>
          <w:sz w:val="20"/>
        </w:rPr>
        <w:t> </w:t>
      </w:r>
      <w:r>
        <w:rPr>
          <w:i/>
          <w:sz w:val="20"/>
        </w:rPr>
        <w:t>только</w:t>
      </w:r>
      <w:r>
        <w:rPr>
          <w:i/>
          <w:spacing w:val="-8"/>
          <w:sz w:val="20"/>
        </w:rPr>
        <w:t> </w:t>
      </w:r>
      <w:r>
        <w:rPr>
          <w:i/>
          <w:sz w:val="20"/>
        </w:rPr>
        <w:t>синие </w:t>
      </w:r>
      <w:r>
        <w:rPr>
          <w:i/>
          <w:spacing w:val="-2"/>
          <w:sz w:val="20"/>
        </w:rPr>
        <w:t>треугольники.</w:t>
      </w:r>
    </w:p>
    <w:p>
      <w:pPr>
        <w:pStyle w:val="ListParagraph"/>
        <w:numPr>
          <w:ilvl w:val="0"/>
          <w:numId w:val="282"/>
        </w:numPr>
        <w:tabs>
          <w:tab w:pos="869" w:val="left" w:leader="none"/>
        </w:tabs>
        <w:spacing w:line="244" w:lineRule="auto" w:before="22" w:after="0"/>
        <w:ind w:left="425" w:right="422" w:firstLine="283"/>
        <w:jc w:val="both"/>
        <w:rPr>
          <w:i/>
          <w:sz w:val="20"/>
        </w:rPr>
      </w:pPr>
      <w:r>
        <w:rPr>
          <w:i/>
          <w:sz w:val="20"/>
        </w:rPr>
        <w:t>Вы оказались в команде № 3. Вам предстоит вместе с вашей командой нарисовать город. На обсуждение города у вас есть 3 минуты, затем вы бу- дете</w:t>
      </w:r>
      <w:r>
        <w:rPr>
          <w:i/>
          <w:spacing w:val="-3"/>
          <w:sz w:val="20"/>
        </w:rPr>
        <w:t> </w:t>
      </w:r>
      <w:r>
        <w:rPr>
          <w:i/>
          <w:sz w:val="20"/>
        </w:rPr>
        <w:t>работать</w:t>
      </w:r>
      <w:r>
        <w:rPr>
          <w:i/>
          <w:spacing w:val="-3"/>
          <w:sz w:val="20"/>
        </w:rPr>
        <w:t> </w:t>
      </w:r>
      <w:r>
        <w:rPr>
          <w:i/>
          <w:sz w:val="20"/>
        </w:rPr>
        <w:t>молча.</w:t>
      </w:r>
      <w:r>
        <w:rPr>
          <w:i/>
          <w:spacing w:val="-3"/>
          <w:sz w:val="20"/>
        </w:rPr>
        <w:t> </w:t>
      </w:r>
      <w:r>
        <w:rPr>
          <w:i/>
          <w:sz w:val="20"/>
        </w:rPr>
        <w:t>Обсудив</w:t>
      </w:r>
      <w:r>
        <w:rPr>
          <w:i/>
          <w:spacing w:val="-3"/>
          <w:sz w:val="20"/>
        </w:rPr>
        <w:t> </w:t>
      </w:r>
      <w:r>
        <w:rPr>
          <w:i/>
          <w:sz w:val="20"/>
        </w:rPr>
        <w:t>будущий</w:t>
      </w:r>
      <w:r>
        <w:rPr>
          <w:i/>
          <w:spacing w:val="-3"/>
          <w:sz w:val="20"/>
        </w:rPr>
        <w:t> </w:t>
      </w:r>
      <w:r>
        <w:rPr>
          <w:i/>
          <w:sz w:val="20"/>
        </w:rPr>
        <w:t>город,</w:t>
      </w:r>
      <w:r>
        <w:rPr>
          <w:i/>
          <w:spacing w:val="-3"/>
          <w:sz w:val="20"/>
        </w:rPr>
        <w:t> </w:t>
      </w:r>
      <w:r>
        <w:rPr>
          <w:i/>
          <w:sz w:val="20"/>
        </w:rPr>
        <w:t>подойдите</w:t>
      </w:r>
      <w:r>
        <w:rPr>
          <w:i/>
          <w:spacing w:val="-3"/>
          <w:sz w:val="20"/>
        </w:rPr>
        <w:t> </w:t>
      </w:r>
      <w:r>
        <w:rPr>
          <w:i/>
          <w:sz w:val="20"/>
        </w:rPr>
        <w:t>к</w:t>
      </w:r>
      <w:r>
        <w:rPr>
          <w:i/>
          <w:spacing w:val="-3"/>
          <w:sz w:val="20"/>
        </w:rPr>
        <w:t> </w:t>
      </w:r>
      <w:r>
        <w:rPr>
          <w:i/>
          <w:sz w:val="20"/>
        </w:rPr>
        <w:t>столу,</w:t>
      </w:r>
      <w:r>
        <w:rPr>
          <w:i/>
          <w:spacing w:val="-3"/>
          <w:sz w:val="20"/>
        </w:rPr>
        <w:t> </w:t>
      </w:r>
      <w:r>
        <w:rPr>
          <w:i/>
          <w:sz w:val="20"/>
        </w:rPr>
        <w:t>возьмите карандаш</w:t>
      </w:r>
      <w:r>
        <w:rPr>
          <w:i/>
          <w:spacing w:val="-1"/>
          <w:sz w:val="20"/>
        </w:rPr>
        <w:t> </w:t>
      </w:r>
      <w:r>
        <w:rPr>
          <w:i/>
          <w:sz w:val="20"/>
        </w:rPr>
        <w:t>или</w:t>
      </w:r>
      <w:r>
        <w:rPr>
          <w:i/>
          <w:spacing w:val="-1"/>
          <w:sz w:val="20"/>
        </w:rPr>
        <w:t> </w:t>
      </w:r>
      <w:r>
        <w:rPr>
          <w:i/>
          <w:sz w:val="20"/>
        </w:rPr>
        <w:t>кисточку.</w:t>
      </w:r>
      <w:r>
        <w:rPr>
          <w:i/>
          <w:spacing w:val="-1"/>
          <w:sz w:val="20"/>
        </w:rPr>
        <w:t> </w:t>
      </w:r>
      <w:r>
        <w:rPr>
          <w:i/>
          <w:sz w:val="20"/>
        </w:rPr>
        <w:t>Удобно</w:t>
      </w:r>
      <w:r>
        <w:rPr>
          <w:i/>
          <w:spacing w:val="-1"/>
          <w:sz w:val="20"/>
        </w:rPr>
        <w:t> </w:t>
      </w:r>
      <w:r>
        <w:rPr>
          <w:i/>
          <w:sz w:val="20"/>
        </w:rPr>
        <w:t>расположитесь</w:t>
      </w:r>
      <w:r>
        <w:rPr>
          <w:i/>
          <w:spacing w:val="-1"/>
          <w:sz w:val="20"/>
        </w:rPr>
        <w:t> </w:t>
      </w:r>
      <w:r>
        <w:rPr>
          <w:i/>
          <w:sz w:val="20"/>
        </w:rPr>
        <w:t>для</w:t>
      </w:r>
      <w:r>
        <w:rPr>
          <w:i/>
          <w:spacing w:val="-1"/>
          <w:sz w:val="20"/>
        </w:rPr>
        <w:t> </w:t>
      </w:r>
      <w:r>
        <w:rPr>
          <w:i/>
          <w:sz w:val="20"/>
        </w:rPr>
        <w:t>работы</w:t>
      </w:r>
      <w:r>
        <w:rPr>
          <w:i/>
          <w:spacing w:val="-1"/>
          <w:sz w:val="20"/>
        </w:rPr>
        <w:t> </w:t>
      </w:r>
      <w:r>
        <w:rPr>
          <w:i/>
          <w:sz w:val="20"/>
        </w:rPr>
        <w:t>и</w:t>
      </w:r>
      <w:r>
        <w:rPr>
          <w:i/>
          <w:spacing w:val="-1"/>
          <w:sz w:val="20"/>
        </w:rPr>
        <w:t> </w:t>
      </w:r>
      <w:r>
        <w:rPr>
          <w:i/>
          <w:sz w:val="20"/>
        </w:rPr>
        <w:t>приступайте. По первому условному сигналу (два хлопка) вы остаетесь в своей команде и продолжаете рисовать, как договаривались. По второму условному сигналу (три</w:t>
      </w:r>
      <w:r>
        <w:rPr>
          <w:i/>
          <w:spacing w:val="-9"/>
          <w:sz w:val="20"/>
        </w:rPr>
        <w:t> </w:t>
      </w:r>
      <w:r>
        <w:rPr>
          <w:i/>
          <w:sz w:val="20"/>
        </w:rPr>
        <w:t>хлопка)</w:t>
      </w:r>
      <w:r>
        <w:rPr>
          <w:i/>
          <w:spacing w:val="-9"/>
          <w:sz w:val="20"/>
        </w:rPr>
        <w:t> </w:t>
      </w:r>
      <w:r>
        <w:rPr>
          <w:i/>
          <w:sz w:val="20"/>
        </w:rPr>
        <w:t>вы</w:t>
      </w:r>
      <w:r>
        <w:rPr>
          <w:i/>
          <w:spacing w:val="-9"/>
          <w:sz w:val="20"/>
        </w:rPr>
        <w:t> </w:t>
      </w:r>
      <w:r>
        <w:rPr>
          <w:i/>
          <w:sz w:val="20"/>
        </w:rPr>
        <w:t>переходите</w:t>
      </w:r>
      <w:r>
        <w:rPr>
          <w:i/>
          <w:spacing w:val="-9"/>
          <w:sz w:val="20"/>
        </w:rPr>
        <w:t> </w:t>
      </w:r>
      <w:r>
        <w:rPr>
          <w:i/>
          <w:sz w:val="20"/>
        </w:rPr>
        <w:t>в</w:t>
      </w:r>
      <w:r>
        <w:rPr>
          <w:i/>
          <w:spacing w:val="-9"/>
          <w:sz w:val="20"/>
        </w:rPr>
        <w:t> </w:t>
      </w:r>
      <w:r>
        <w:rPr>
          <w:i/>
          <w:sz w:val="20"/>
        </w:rPr>
        <w:t>команду,</w:t>
      </w:r>
      <w:r>
        <w:rPr>
          <w:i/>
          <w:spacing w:val="-9"/>
          <w:sz w:val="20"/>
        </w:rPr>
        <w:t> </w:t>
      </w:r>
      <w:r>
        <w:rPr>
          <w:i/>
          <w:sz w:val="20"/>
        </w:rPr>
        <w:t>находящуюся</w:t>
      </w:r>
      <w:r>
        <w:rPr>
          <w:i/>
          <w:spacing w:val="-9"/>
          <w:sz w:val="20"/>
        </w:rPr>
        <w:t> </w:t>
      </w:r>
      <w:r>
        <w:rPr>
          <w:i/>
          <w:sz w:val="20"/>
        </w:rPr>
        <w:t>справа</w:t>
      </w:r>
      <w:r>
        <w:rPr>
          <w:i/>
          <w:spacing w:val="-9"/>
          <w:sz w:val="20"/>
        </w:rPr>
        <w:t> </w:t>
      </w:r>
      <w:r>
        <w:rPr>
          <w:i/>
          <w:sz w:val="20"/>
        </w:rPr>
        <w:t>от</w:t>
      </w:r>
      <w:r>
        <w:rPr>
          <w:i/>
          <w:spacing w:val="-9"/>
          <w:sz w:val="20"/>
        </w:rPr>
        <w:t> </w:t>
      </w:r>
      <w:r>
        <w:rPr>
          <w:i/>
          <w:sz w:val="20"/>
        </w:rPr>
        <w:t>вас,</w:t>
      </w:r>
      <w:r>
        <w:rPr>
          <w:i/>
          <w:spacing w:val="-9"/>
          <w:sz w:val="20"/>
        </w:rPr>
        <w:t> </w:t>
      </w:r>
      <w:r>
        <w:rPr>
          <w:i/>
          <w:sz w:val="20"/>
        </w:rPr>
        <w:t>и</w:t>
      </w:r>
      <w:r>
        <w:rPr>
          <w:i/>
          <w:spacing w:val="-9"/>
          <w:sz w:val="20"/>
        </w:rPr>
        <w:t> </w:t>
      </w:r>
      <w:r>
        <w:rPr>
          <w:i/>
          <w:sz w:val="20"/>
        </w:rPr>
        <w:t>рисуете совместно</w:t>
      </w:r>
      <w:r>
        <w:rPr>
          <w:i/>
          <w:spacing w:val="-5"/>
          <w:sz w:val="20"/>
        </w:rPr>
        <w:t> </w:t>
      </w:r>
      <w:r>
        <w:rPr>
          <w:i/>
          <w:sz w:val="20"/>
        </w:rPr>
        <w:t>с</w:t>
      </w:r>
      <w:r>
        <w:rPr>
          <w:i/>
          <w:spacing w:val="-5"/>
          <w:sz w:val="20"/>
        </w:rPr>
        <w:t> </w:t>
      </w:r>
      <w:r>
        <w:rPr>
          <w:i/>
          <w:sz w:val="20"/>
        </w:rPr>
        <w:t>другой</w:t>
      </w:r>
      <w:r>
        <w:rPr>
          <w:i/>
          <w:spacing w:val="-5"/>
          <w:sz w:val="20"/>
        </w:rPr>
        <w:t> </w:t>
      </w:r>
      <w:r>
        <w:rPr>
          <w:i/>
          <w:sz w:val="20"/>
        </w:rPr>
        <w:t>командой,</w:t>
      </w:r>
      <w:r>
        <w:rPr>
          <w:i/>
          <w:spacing w:val="-5"/>
          <w:sz w:val="20"/>
        </w:rPr>
        <w:t> </w:t>
      </w:r>
      <w:r>
        <w:rPr>
          <w:i/>
          <w:sz w:val="20"/>
        </w:rPr>
        <w:t>но</w:t>
      </w:r>
      <w:r>
        <w:rPr>
          <w:i/>
          <w:spacing w:val="-5"/>
          <w:sz w:val="20"/>
        </w:rPr>
        <w:t> </w:t>
      </w:r>
      <w:r>
        <w:rPr>
          <w:i/>
          <w:sz w:val="20"/>
        </w:rPr>
        <w:t>исключительно</w:t>
      </w:r>
      <w:r>
        <w:rPr>
          <w:i/>
          <w:spacing w:val="-5"/>
          <w:sz w:val="20"/>
        </w:rPr>
        <w:t> </w:t>
      </w:r>
      <w:r>
        <w:rPr>
          <w:i/>
          <w:sz w:val="20"/>
        </w:rPr>
        <w:t>синие</w:t>
      </w:r>
      <w:r>
        <w:rPr>
          <w:i/>
          <w:spacing w:val="-5"/>
          <w:sz w:val="20"/>
        </w:rPr>
        <w:t> </w:t>
      </w:r>
      <w:r>
        <w:rPr>
          <w:i/>
          <w:sz w:val="20"/>
        </w:rPr>
        <w:t>треугольники.</w:t>
      </w:r>
      <w:r>
        <w:rPr>
          <w:i/>
          <w:spacing w:val="-5"/>
          <w:sz w:val="20"/>
        </w:rPr>
        <w:t> </w:t>
      </w:r>
      <w:r>
        <w:rPr>
          <w:i/>
          <w:sz w:val="20"/>
        </w:rPr>
        <w:t>До</w:t>
      </w:r>
      <w:r>
        <w:rPr>
          <w:i/>
          <w:spacing w:val="-5"/>
          <w:sz w:val="20"/>
        </w:rPr>
        <w:t> </w:t>
      </w:r>
      <w:r>
        <w:rPr>
          <w:i/>
          <w:sz w:val="20"/>
        </w:rPr>
        <w:t>кон- ца</w:t>
      </w:r>
      <w:r>
        <w:rPr>
          <w:i/>
          <w:spacing w:val="-8"/>
          <w:sz w:val="20"/>
        </w:rPr>
        <w:t> </w:t>
      </w:r>
      <w:r>
        <w:rPr>
          <w:i/>
          <w:sz w:val="20"/>
        </w:rPr>
        <w:t>игры</w:t>
      </w:r>
      <w:r>
        <w:rPr>
          <w:i/>
          <w:spacing w:val="-9"/>
          <w:sz w:val="20"/>
        </w:rPr>
        <w:t> </w:t>
      </w:r>
      <w:r>
        <w:rPr>
          <w:i/>
          <w:sz w:val="20"/>
        </w:rPr>
        <w:t>вы</w:t>
      </w:r>
      <w:r>
        <w:rPr>
          <w:i/>
          <w:spacing w:val="-8"/>
          <w:sz w:val="20"/>
        </w:rPr>
        <w:t> </w:t>
      </w:r>
      <w:r>
        <w:rPr>
          <w:i/>
          <w:sz w:val="20"/>
        </w:rPr>
        <w:t>остаетесь</w:t>
      </w:r>
      <w:r>
        <w:rPr>
          <w:i/>
          <w:spacing w:val="-9"/>
          <w:sz w:val="20"/>
        </w:rPr>
        <w:t> </w:t>
      </w:r>
      <w:r>
        <w:rPr>
          <w:i/>
          <w:sz w:val="20"/>
        </w:rPr>
        <w:t>в</w:t>
      </w:r>
      <w:r>
        <w:rPr>
          <w:i/>
          <w:spacing w:val="-8"/>
          <w:sz w:val="20"/>
        </w:rPr>
        <w:t> </w:t>
      </w:r>
      <w:r>
        <w:rPr>
          <w:i/>
          <w:sz w:val="20"/>
        </w:rPr>
        <w:t>этой</w:t>
      </w:r>
      <w:r>
        <w:rPr>
          <w:i/>
          <w:spacing w:val="-9"/>
          <w:sz w:val="20"/>
        </w:rPr>
        <w:t> </w:t>
      </w:r>
      <w:r>
        <w:rPr>
          <w:i/>
          <w:sz w:val="20"/>
        </w:rPr>
        <w:t>команде</w:t>
      </w:r>
      <w:r>
        <w:rPr>
          <w:i/>
          <w:spacing w:val="-8"/>
          <w:sz w:val="20"/>
        </w:rPr>
        <w:t> </w:t>
      </w:r>
      <w:r>
        <w:rPr>
          <w:i/>
          <w:sz w:val="20"/>
        </w:rPr>
        <w:t>и</w:t>
      </w:r>
      <w:r>
        <w:rPr>
          <w:i/>
          <w:spacing w:val="-9"/>
          <w:sz w:val="20"/>
        </w:rPr>
        <w:t> </w:t>
      </w:r>
      <w:r>
        <w:rPr>
          <w:i/>
          <w:sz w:val="20"/>
        </w:rPr>
        <w:t>продолжаете</w:t>
      </w:r>
      <w:r>
        <w:rPr>
          <w:i/>
          <w:spacing w:val="-8"/>
          <w:sz w:val="20"/>
        </w:rPr>
        <w:t> </w:t>
      </w:r>
      <w:r>
        <w:rPr>
          <w:i/>
          <w:sz w:val="20"/>
        </w:rPr>
        <w:t>рисовать</w:t>
      </w:r>
      <w:r>
        <w:rPr>
          <w:i/>
          <w:spacing w:val="-9"/>
          <w:sz w:val="20"/>
        </w:rPr>
        <w:t> </w:t>
      </w:r>
      <w:r>
        <w:rPr>
          <w:i/>
          <w:sz w:val="20"/>
        </w:rPr>
        <w:t>только</w:t>
      </w:r>
      <w:r>
        <w:rPr>
          <w:i/>
          <w:spacing w:val="-8"/>
          <w:sz w:val="20"/>
        </w:rPr>
        <w:t> </w:t>
      </w:r>
      <w:r>
        <w:rPr>
          <w:i/>
          <w:sz w:val="20"/>
        </w:rPr>
        <w:t>синие </w:t>
      </w:r>
      <w:r>
        <w:rPr>
          <w:i/>
          <w:spacing w:val="-2"/>
          <w:sz w:val="20"/>
        </w:rPr>
        <w:t>треугольники.</w:t>
      </w:r>
    </w:p>
    <w:p>
      <w:pPr>
        <w:spacing w:before="165"/>
        <w:ind w:left="303" w:right="303" w:firstLine="0"/>
        <w:jc w:val="center"/>
        <w:rPr>
          <w:b/>
          <w:sz w:val="20"/>
        </w:rPr>
      </w:pPr>
      <w:r>
        <w:rPr>
          <w:b/>
          <w:sz w:val="20"/>
        </w:rPr>
        <w:t>Рисунок</w:t>
      </w:r>
      <w:r>
        <w:rPr>
          <w:b/>
          <w:spacing w:val="-9"/>
          <w:sz w:val="20"/>
        </w:rPr>
        <w:t> </w:t>
      </w:r>
      <w:r>
        <w:rPr>
          <w:b/>
          <w:sz w:val="20"/>
        </w:rPr>
        <w:t>нашего</w:t>
      </w:r>
      <w:r>
        <w:rPr>
          <w:b/>
          <w:spacing w:val="-7"/>
          <w:sz w:val="20"/>
        </w:rPr>
        <w:t> </w:t>
      </w:r>
      <w:r>
        <w:rPr>
          <w:b/>
          <w:spacing w:val="-2"/>
          <w:sz w:val="20"/>
        </w:rPr>
        <w:t>города</w:t>
      </w:r>
    </w:p>
    <w:p>
      <w:pPr>
        <w:spacing w:before="4"/>
        <w:ind w:left="303" w:right="303" w:firstLine="0"/>
        <w:jc w:val="center"/>
        <w:rPr>
          <w:i/>
          <w:sz w:val="20"/>
        </w:rPr>
      </w:pPr>
      <w:r>
        <w:rPr>
          <w:i/>
          <w:sz w:val="20"/>
        </w:rPr>
        <w:t>(модификация</w:t>
      </w:r>
      <w:r>
        <w:rPr>
          <w:i/>
          <w:spacing w:val="-6"/>
          <w:sz w:val="20"/>
        </w:rPr>
        <w:t> </w:t>
      </w:r>
      <w:r>
        <w:rPr>
          <w:i/>
          <w:sz w:val="20"/>
        </w:rPr>
        <w:t>О.В.</w:t>
      </w:r>
      <w:r>
        <w:rPr>
          <w:i/>
          <w:spacing w:val="-5"/>
          <w:sz w:val="20"/>
        </w:rPr>
        <w:t> </w:t>
      </w:r>
      <w:r>
        <w:rPr>
          <w:i/>
          <w:sz w:val="20"/>
        </w:rPr>
        <w:t>Тюкиль</w:t>
      </w:r>
      <w:r>
        <w:rPr>
          <w:i/>
          <w:spacing w:val="-5"/>
          <w:sz w:val="20"/>
        </w:rPr>
        <w:t> </w:t>
      </w:r>
      <w:r>
        <w:rPr>
          <w:i/>
          <w:sz w:val="20"/>
        </w:rPr>
        <w:t>на</w:t>
      </w:r>
      <w:r>
        <w:rPr>
          <w:i/>
          <w:spacing w:val="-5"/>
          <w:sz w:val="20"/>
        </w:rPr>
        <w:t> </w:t>
      </w:r>
      <w:r>
        <w:rPr>
          <w:i/>
          <w:sz w:val="20"/>
        </w:rPr>
        <w:t>основе</w:t>
      </w:r>
      <w:r>
        <w:rPr>
          <w:i/>
          <w:spacing w:val="-5"/>
          <w:sz w:val="20"/>
        </w:rPr>
        <w:t> </w:t>
      </w:r>
      <w:r>
        <w:rPr>
          <w:i/>
          <w:sz w:val="20"/>
        </w:rPr>
        <w:t>«Города</w:t>
      </w:r>
      <w:r>
        <w:rPr>
          <w:i/>
          <w:spacing w:val="-5"/>
          <w:sz w:val="20"/>
        </w:rPr>
        <w:t> </w:t>
      </w:r>
      <w:r>
        <w:rPr>
          <w:i/>
          <w:sz w:val="20"/>
        </w:rPr>
        <w:t>–</w:t>
      </w:r>
      <w:r>
        <w:rPr>
          <w:i/>
          <w:spacing w:val="-5"/>
          <w:sz w:val="20"/>
        </w:rPr>
        <w:t> 2»)</w:t>
      </w:r>
    </w:p>
    <w:p>
      <w:pPr>
        <w:pStyle w:val="BodyText"/>
        <w:spacing w:line="244" w:lineRule="auto" w:before="60"/>
      </w:pPr>
      <w:r>
        <w:rPr/>
        <w:t>Необходимы следующие материалы: каждой команде выдается лист ватмана, ка- рандаши только одного цвета, карточка с инструкцией с описанием архитектурных особенностей, которые необходимо соблюдать при «строительстве» домов.</w:t>
      </w:r>
    </w:p>
    <w:p>
      <w:pPr>
        <w:pStyle w:val="BodyText"/>
        <w:spacing w:line="228" w:lineRule="exact"/>
        <w:ind w:left="425" w:right="0" w:firstLine="0"/>
        <w:jc w:val="left"/>
      </w:pPr>
      <w:r>
        <w:rPr>
          <w:spacing w:val="-2"/>
        </w:rPr>
        <w:t>Например:</w:t>
      </w:r>
    </w:p>
    <w:p>
      <w:pPr>
        <w:pStyle w:val="BodyText"/>
        <w:spacing w:line="244" w:lineRule="auto" w:before="4"/>
      </w:pPr>
      <w:r>
        <w:rPr/>
        <w:t>«дома</w:t>
      </w:r>
      <w:r>
        <w:rPr>
          <w:spacing w:val="-12"/>
        </w:rPr>
        <w:t> </w:t>
      </w:r>
      <w:r>
        <w:rPr/>
        <w:t>только</w:t>
      </w:r>
      <w:r>
        <w:rPr>
          <w:spacing w:val="-12"/>
        </w:rPr>
        <w:t> </w:t>
      </w:r>
      <w:r>
        <w:rPr/>
        <w:t>одноэтажные,</w:t>
      </w:r>
      <w:r>
        <w:rPr>
          <w:spacing w:val="-12"/>
        </w:rPr>
        <w:t> </w:t>
      </w:r>
      <w:r>
        <w:rPr/>
        <w:t>с</w:t>
      </w:r>
      <w:r>
        <w:rPr>
          <w:spacing w:val="-12"/>
        </w:rPr>
        <w:t> </w:t>
      </w:r>
      <w:r>
        <w:rPr/>
        <w:t>высокой</w:t>
      </w:r>
      <w:r>
        <w:rPr>
          <w:spacing w:val="-12"/>
        </w:rPr>
        <w:t> </w:t>
      </w:r>
      <w:r>
        <w:rPr/>
        <w:t>острой</w:t>
      </w:r>
      <w:r>
        <w:rPr>
          <w:spacing w:val="-12"/>
        </w:rPr>
        <w:t> </w:t>
      </w:r>
      <w:r>
        <w:rPr/>
        <w:t>крышей</w:t>
      </w:r>
      <w:r>
        <w:rPr>
          <w:spacing w:val="-12"/>
        </w:rPr>
        <w:t> </w:t>
      </w:r>
      <w:r>
        <w:rPr/>
        <w:t>с</w:t>
      </w:r>
      <w:r>
        <w:rPr>
          <w:spacing w:val="-12"/>
        </w:rPr>
        <w:t> </w:t>
      </w:r>
      <w:r>
        <w:rPr/>
        <w:t>флюгером»,</w:t>
      </w:r>
      <w:r>
        <w:rPr>
          <w:spacing w:val="-12"/>
        </w:rPr>
        <w:t> </w:t>
      </w:r>
      <w:r>
        <w:rPr/>
        <w:t>«дома</w:t>
      </w:r>
      <w:r>
        <w:rPr>
          <w:spacing w:val="-12"/>
        </w:rPr>
        <w:t> </w:t>
      </w:r>
      <w:r>
        <w:rPr/>
        <w:t>только многоэтажные</w:t>
      </w:r>
      <w:r>
        <w:rPr>
          <w:spacing w:val="-6"/>
        </w:rPr>
        <w:t> </w:t>
      </w:r>
      <w:r>
        <w:rPr/>
        <w:t>с</w:t>
      </w:r>
      <w:r>
        <w:rPr>
          <w:spacing w:val="-6"/>
        </w:rPr>
        <w:t> </w:t>
      </w:r>
      <w:r>
        <w:rPr/>
        <w:t>плоской</w:t>
      </w:r>
      <w:r>
        <w:rPr>
          <w:spacing w:val="-6"/>
        </w:rPr>
        <w:t> </w:t>
      </w:r>
      <w:r>
        <w:rPr/>
        <w:t>крышей</w:t>
      </w:r>
      <w:r>
        <w:rPr>
          <w:spacing w:val="-6"/>
        </w:rPr>
        <w:t> </w:t>
      </w:r>
      <w:r>
        <w:rPr/>
        <w:t>и</w:t>
      </w:r>
      <w:r>
        <w:rPr>
          <w:spacing w:val="-6"/>
        </w:rPr>
        <w:t> </w:t>
      </w:r>
      <w:r>
        <w:rPr/>
        <w:t>панорамными</w:t>
      </w:r>
      <w:r>
        <w:rPr>
          <w:spacing w:val="-6"/>
        </w:rPr>
        <w:t> </w:t>
      </w:r>
      <w:r>
        <w:rPr/>
        <w:t>окнами</w:t>
      </w:r>
      <w:r>
        <w:rPr>
          <w:spacing w:val="-6"/>
        </w:rPr>
        <w:t> </w:t>
      </w:r>
      <w:r>
        <w:rPr/>
        <w:t>на</w:t>
      </w:r>
      <w:r>
        <w:rPr>
          <w:spacing w:val="-6"/>
        </w:rPr>
        <w:t> </w:t>
      </w:r>
      <w:r>
        <w:rPr/>
        <w:t>балконах»,</w:t>
      </w:r>
      <w:r>
        <w:rPr>
          <w:spacing w:val="-6"/>
        </w:rPr>
        <w:t> </w:t>
      </w:r>
      <w:r>
        <w:rPr/>
        <w:t>«на</w:t>
      </w:r>
      <w:r>
        <w:rPr>
          <w:spacing w:val="-6"/>
        </w:rPr>
        <w:t> </w:t>
      </w:r>
      <w:r>
        <w:rPr/>
        <w:t>клумбах высажены</w:t>
      </w:r>
      <w:r>
        <w:rPr>
          <w:spacing w:val="-13"/>
        </w:rPr>
        <w:t> </w:t>
      </w:r>
      <w:r>
        <w:rPr/>
        <w:t>одни</w:t>
      </w:r>
      <w:r>
        <w:rPr>
          <w:spacing w:val="-12"/>
        </w:rPr>
        <w:t> </w:t>
      </w:r>
      <w:r>
        <w:rPr/>
        <w:t>астры»,</w:t>
      </w:r>
      <w:r>
        <w:rPr>
          <w:spacing w:val="-13"/>
        </w:rPr>
        <w:t> </w:t>
      </w:r>
      <w:r>
        <w:rPr/>
        <w:t>«на</w:t>
      </w:r>
      <w:r>
        <w:rPr>
          <w:spacing w:val="-12"/>
        </w:rPr>
        <w:t> </w:t>
      </w:r>
      <w:r>
        <w:rPr/>
        <w:t>клумбах</w:t>
      </w:r>
      <w:r>
        <w:rPr>
          <w:spacing w:val="-13"/>
        </w:rPr>
        <w:t> </w:t>
      </w:r>
      <w:r>
        <w:rPr/>
        <w:t>растут</w:t>
      </w:r>
      <w:r>
        <w:rPr>
          <w:spacing w:val="-12"/>
        </w:rPr>
        <w:t> </w:t>
      </w:r>
      <w:r>
        <w:rPr/>
        <w:t>колокольчики»</w:t>
      </w:r>
      <w:r>
        <w:rPr>
          <w:spacing w:val="-13"/>
        </w:rPr>
        <w:t> </w:t>
      </w:r>
      <w:r>
        <w:rPr/>
        <w:t>и</w:t>
      </w:r>
      <w:r>
        <w:rPr>
          <w:spacing w:val="-12"/>
        </w:rPr>
        <w:t> </w:t>
      </w:r>
      <w:r>
        <w:rPr/>
        <w:t>т.д.</w:t>
      </w:r>
      <w:r>
        <w:rPr>
          <w:spacing w:val="-13"/>
        </w:rPr>
        <w:t> </w:t>
      </w:r>
      <w:r>
        <w:rPr/>
        <w:t>При</w:t>
      </w:r>
      <w:r>
        <w:rPr>
          <w:spacing w:val="-12"/>
        </w:rPr>
        <w:t> </w:t>
      </w:r>
      <w:r>
        <w:rPr/>
        <w:t>этом</w:t>
      </w:r>
      <w:r>
        <w:rPr>
          <w:spacing w:val="-13"/>
        </w:rPr>
        <w:t> </w:t>
      </w:r>
      <w:r>
        <w:rPr/>
        <w:t>в</w:t>
      </w:r>
      <w:r>
        <w:rPr>
          <w:spacing w:val="-12"/>
        </w:rPr>
        <w:t> </w:t>
      </w:r>
      <w:r>
        <w:rPr/>
        <w:t>инструк- ции между участниками группы разделяются обязанности.</w:t>
      </w:r>
    </w:p>
    <w:p>
      <w:pPr>
        <w:pStyle w:val="BodyText"/>
        <w:spacing w:after="0" w:line="244" w:lineRule="auto"/>
        <w:sectPr>
          <w:pgSz w:w="8400" w:h="11910"/>
          <w:pgMar w:header="0" w:footer="530" w:top="400" w:bottom="740" w:left="425" w:right="425"/>
        </w:sectPr>
      </w:pPr>
    </w:p>
    <w:p>
      <w:pPr>
        <w:pStyle w:val="ListParagraph"/>
        <w:numPr>
          <w:ilvl w:val="1"/>
          <w:numId w:val="283"/>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Активности</w:t>
      </w:r>
      <w:r>
        <w:rPr>
          <w:rFonts w:ascii="Georgia" w:hAnsi="Georgia"/>
          <w:color w:val="231F20"/>
          <w:spacing w:val="15"/>
          <w:sz w:val="18"/>
        </w:rPr>
        <w:t> </w:t>
      </w:r>
      <w:r>
        <w:rPr>
          <w:rFonts w:ascii="Georgia" w:hAnsi="Georgia"/>
          <w:color w:val="231F20"/>
          <w:sz w:val="18"/>
        </w:rPr>
        <w:t>межкультурного</w:t>
      </w:r>
      <w:r>
        <w:rPr>
          <w:rFonts w:ascii="Georgia" w:hAnsi="Georgia"/>
          <w:color w:val="231F20"/>
          <w:spacing w:val="15"/>
          <w:sz w:val="18"/>
        </w:rPr>
        <w:t> </w:t>
      </w:r>
      <w:r>
        <w:rPr>
          <w:rFonts w:ascii="Georgia" w:hAnsi="Georgia"/>
          <w:color w:val="231F20"/>
          <w:sz w:val="18"/>
        </w:rPr>
        <w:t>тренинга</w:t>
      </w:r>
      <w:r>
        <w:rPr>
          <w:rFonts w:ascii="Georgia" w:hAnsi="Georgia"/>
          <w:color w:val="231F20"/>
          <w:spacing w:val="16"/>
          <w:sz w:val="18"/>
        </w:rPr>
        <w:t> </w:t>
      </w:r>
      <w:r>
        <w:rPr>
          <w:rFonts w:ascii="Georgia" w:hAnsi="Georgia"/>
          <w:color w:val="231F20"/>
          <w:sz w:val="18"/>
        </w:rPr>
        <w:t>для</w:t>
      </w:r>
      <w:r>
        <w:rPr>
          <w:rFonts w:ascii="Georgia" w:hAnsi="Georgia"/>
          <w:color w:val="231F20"/>
          <w:spacing w:val="15"/>
          <w:sz w:val="18"/>
        </w:rPr>
        <w:t> </w:t>
      </w:r>
      <w:r>
        <w:rPr>
          <w:rFonts w:ascii="Georgia" w:hAnsi="Georgia"/>
          <w:color w:val="231F20"/>
          <w:sz w:val="18"/>
        </w:rPr>
        <w:t>поликультурного</w:t>
      </w:r>
      <w:r>
        <w:rPr>
          <w:rFonts w:ascii="Georgia" w:hAnsi="Georgia"/>
          <w:color w:val="231F20"/>
          <w:spacing w:val="16"/>
          <w:sz w:val="18"/>
        </w:rPr>
        <w:t> </w:t>
      </w:r>
      <w:r>
        <w:rPr>
          <w:rFonts w:ascii="Georgia" w:hAnsi="Georgia"/>
          <w:color w:val="231F20"/>
          <w:spacing w:val="-2"/>
          <w:sz w:val="18"/>
        </w:rPr>
        <w:t>класса</w:t>
      </w:r>
    </w:p>
    <w:p>
      <w:pPr>
        <w:pStyle w:val="BodyText"/>
        <w:spacing w:before="112"/>
        <w:ind w:left="425" w:right="0" w:firstLine="0"/>
        <w:jc w:val="left"/>
      </w:pPr>
      <w:r>
        <w:rPr>
          <w:spacing w:val="-2"/>
        </w:rPr>
        <w:t>Например:</w:t>
      </w:r>
    </w:p>
    <w:p>
      <w:pPr>
        <w:pStyle w:val="ListParagraph"/>
        <w:numPr>
          <w:ilvl w:val="2"/>
          <w:numId w:val="283"/>
        </w:numPr>
        <w:tabs>
          <w:tab w:pos="424" w:val="left" w:leader="none"/>
        </w:tabs>
        <w:spacing w:line="240" w:lineRule="auto" w:before="20" w:after="0"/>
        <w:ind w:left="424" w:right="0" w:hanging="283"/>
        <w:jc w:val="left"/>
        <w:rPr>
          <w:sz w:val="20"/>
        </w:rPr>
      </w:pPr>
      <w:r>
        <w:rPr>
          <w:sz w:val="20"/>
        </w:rPr>
        <w:t>Участник</w:t>
      </w:r>
      <w:r>
        <w:rPr>
          <w:spacing w:val="-8"/>
          <w:sz w:val="20"/>
        </w:rPr>
        <w:t> </w:t>
      </w:r>
      <w:r>
        <w:rPr>
          <w:sz w:val="20"/>
        </w:rPr>
        <w:t>команды</w:t>
      </w:r>
      <w:r>
        <w:rPr>
          <w:spacing w:val="-8"/>
          <w:sz w:val="20"/>
        </w:rPr>
        <w:t> </w:t>
      </w:r>
      <w:r>
        <w:rPr>
          <w:sz w:val="20"/>
        </w:rPr>
        <w:t>под</w:t>
      </w:r>
      <w:r>
        <w:rPr>
          <w:spacing w:val="-8"/>
          <w:sz w:val="20"/>
        </w:rPr>
        <w:t> </w:t>
      </w:r>
      <w:r>
        <w:rPr>
          <w:sz w:val="20"/>
        </w:rPr>
        <w:t>условным</w:t>
      </w:r>
      <w:r>
        <w:rPr>
          <w:spacing w:val="-8"/>
          <w:sz w:val="20"/>
        </w:rPr>
        <w:t> </w:t>
      </w:r>
      <w:r>
        <w:rPr>
          <w:sz w:val="20"/>
        </w:rPr>
        <w:t>номером</w:t>
      </w:r>
      <w:r>
        <w:rPr>
          <w:spacing w:val="-8"/>
          <w:sz w:val="20"/>
        </w:rPr>
        <w:t> </w:t>
      </w:r>
      <w:r>
        <w:rPr>
          <w:sz w:val="20"/>
        </w:rPr>
        <w:t>1</w:t>
      </w:r>
      <w:r>
        <w:rPr>
          <w:spacing w:val="-8"/>
          <w:sz w:val="20"/>
        </w:rPr>
        <w:t> </w:t>
      </w:r>
      <w:r>
        <w:rPr>
          <w:sz w:val="20"/>
        </w:rPr>
        <w:t>рисует</w:t>
      </w:r>
      <w:r>
        <w:rPr>
          <w:spacing w:val="-8"/>
          <w:sz w:val="20"/>
        </w:rPr>
        <w:t> </w:t>
      </w:r>
      <w:r>
        <w:rPr>
          <w:sz w:val="20"/>
        </w:rPr>
        <w:t>только</w:t>
      </w:r>
      <w:r>
        <w:rPr>
          <w:spacing w:val="-8"/>
          <w:sz w:val="20"/>
        </w:rPr>
        <w:t> </w:t>
      </w:r>
      <w:r>
        <w:rPr>
          <w:sz w:val="20"/>
        </w:rPr>
        <w:t>коробки</w:t>
      </w:r>
      <w:r>
        <w:rPr>
          <w:spacing w:val="-8"/>
          <w:sz w:val="20"/>
        </w:rPr>
        <w:t> </w:t>
      </w:r>
      <w:r>
        <w:rPr>
          <w:spacing w:val="-2"/>
          <w:sz w:val="20"/>
        </w:rPr>
        <w:t>домов;</w:t>
      </w:r>
    </w:p>
    <w:p>
      <w:pPr>
        <w:pStyle w:val="ListParagraph"/>
        <w:numPr>
          <w:ilvl w:val="2"/>
          <w:numId w:val="283"/>
        </w:numPr>
        <w:tabs>
          <w:tab w:pos="424" w:val="left" w:leader="none"/>
        </w:tabs>
        <w:spacing w:line="228" w:lineRule="exact" w:before="26" w:after="0"/>
        <w:ind w:left="424" w:right="0" w:hanging="283"/>
        <w:jc w:val="left"/>
        <w:rPr>
          <w:sz w:val="20"/>
        </w:rPr>
      </w:pPr>
      <w:r>
        <w:rPr>
          <w:sz w:val="20"/>
        </w:rPr>
        <w:t>Участник</w:t>
      </w:r>
      <w:r>
        <w:rPr>
          <w:spacing w:val="-8"/>
          <w:sz w:val="20"/>
        </w:rPr>
        <w:t> </w:t>
      </w:r>
      <w:r>
        <w:rPr>
          <w:sz w:val="20"/>
        </w:rPr>
        <w:t>команды</w:t>
      </w:r>
      <w:r>
        <w:rPr>
          <w:spacing w:val="-7"/>
          <w:sz w:val="20"/>
        </w:rPr>
        <w:t> </w:t>
      </w:r>
      <w:r>
        <w:rPr>
          <w:sz w:val="20"/>
        </w:rPr>
        <w:t>под</w:t>
      </w:r>
      <w:r>
        <w:rPr>
          <w:spacing w:val="-6"/>
          <w:sz w:val="20"/>
        </w:rPr>
        <w:t> </w:t>
      </w:r>
      <w:r>
        <w:rPr>
          <w:sz w:val="20"/>
        </w:rPr>
        <w:t>условным</w:t>
      </w:r>
      <w:r>
        <w:rPr>
          <w:spacing w:val="-7"/>
          <w:sz w:val="20"/>
        </w:rPr>
        <w:t> </w:t>
      </w:r>
      <w:r>
        <w:rPr>
          <w:sz w:val="20"/>
        </w:rPr>
        <w:t>номером</w:t>
      </w:r>
      <w:r>
        <w:rPr>
          <w:spacing w:val="-6"/>
          <w:sz w:val="20"/>
        </w:rPr>
        <w:t> </w:t>
      </w:r>
      <w:r>
        <w:rPr>
          <w:sz w:val="20"/>
        </w:rPr>
        <w:t>2</w:t>
      </w:r>
      <w:r>
        <w:rPr>
          <w:spacing w:val="-7"/>
          <w:sz w:val="20"/>
        </w:rPr>
        <w:t> </w:t>
      </w:r>
      <w:r>
        <w:rPr>
          <w:sz w:val="20"/>
        </w:rPr>
        <w:t>рисует</w:t>
      </w:r>
      <w:r>
        <w:rPr>
          <w:spacing w:val="-6"/>
          <w:sz w:val="20"/>
        </w:rPr>
        <w:t> </w:t>
      </w:r>
      <w:r>
        <w:rPr>
          <w:sz w:val="20"/>
        </w:rPr>
        <w:t>только</w:t>
      </w:r>
      <w:r>
        <w:rPr>
          <w:spacing w:val="-7"/>
          <w:sz w:val="20"/>
        </w:rPr>
        <w:t> </w:t>
      </w:r>
      <w:r>
        <w:rPr>
          <w:sz w:val="20"/>
        </w:rPr>
        <w:t>крыши</w:t>
      </w:r>
      <w:r>
        <w:rPr>
          <w:spacing w:val="-7"/>
          <w:sz w:val="20"/>
        </w:rPr>
        <w:t> </w:t>
      </w:r>
      <w:r>
        <w:rPr>
          <w:spacing w:val="-2"/>
          <w:sz w:val="20"/>
        </w:rPr>
        <w:t>домов;</w:t>
      </w:r>
    </w:p>
    <w:p>
      <w:pPr>
        <w:pStyle w:val="ListParagraph"/>
        <w:numPr>
          <w:ilvl w:val="2"/>
          <w:numId w:val="283"/>
        </w:numPr>
        <w:tabs>
          <w:tab w:pos="424" w:val="left" w:leader="none"/>
        </w:tabs>
        <w:spacing w:line="226" w:lineRule="exact" w:before="0" w:after="0"/>
        <w:ind w:left="424" w:right="0" w:hanging="283"/>
        <w:jc w:val="left"/>
        <w:rPr>
          <w:sz w:val="20"/>
        </w:rPr>
      </w:pPr>
      <w:r>
        <w:rPr>
          <w:sz w:val="20"/>
        </w:rPr>
        <w:t>Участник</w:t>
      </w:r>
      <w:r>
        <w:rPr>
          <w:spacing w:val="-6"/>
          <w:sz w:val="20"/>
        </w:rPr>
        <w:t> </w:t>
      </w:r>
      <w:r>
        <w:rPr>
          <w:sz w:val="20"/>
        </w:rPr>
        <w:t>команды</w:t>
      </w:r>
      <w:r>
        <w:rPr>
          <w:spacing w:val="-6"/>
          <w:sz w:val="20"/>
        </w:rPr>
        <w:t> </w:t>
      </w:r>
      <w:r>
        <w:rPr>
          <w:sz w:val="20"/>
        </w:rPr>
        <w:t>под</w:t>
      </w:r>
      <w:r>
        <w:rPr>
          <w:spacing w:val="-6"/>
          <w:sz w:val="20"/>
        </w:rPr>
        <w:t> </w:t>
      </w:r>
      <w:r>
        <w:rPr>
          <w:sz w:val="20"/>
        </w:rPr>
        <w:t>условным</w:t>
      </w:r>
      <w:r>
        <w:rPr>
          <w:spacing w:val="-5"/>
          <w:sz w:val="20"/>
        </w:rPr>
        <w:t> </w:t>
      </w:r>
      <w:r>
        <w:rPr>
          <w:sz w:val="20"/>
        </w:rPr>
        <w:t>номером</w:t>
      </w:r>
      <w:r>
        <w:rPr>
          <w:spacing w:val="-6"/>
          <w:sz w:val="20"/>
        </w:rPr>
        <w:t> </w:t>
      </w:r>
      <w:r>
        <w:rPr>
          <w:sz w:val="20"/>
        </w:rPr>
        <w:t>3</w:t>
      </w:r>
      <w:r>
        <w:rPr>
          <w:spacing w:val="-6"/>
          <w:sz w:val="20"/>
        </w:rPr>
        <w:t> </w:t>
      </w:r>
      <w:r>
        <w:rPr>
          <w:sz w:val="20"/>
        </w:rPr>
        <w:t>рисует</w:t>
      </w:r>
      <w:r>
        <w:rPr>
          <w:spacing w:val="-5"/>
          <w:sz w:val="20"/>
        </w:rPr>
        <w:t> </w:t>
      </w:r>
      <w:r>
        <w:rPr>
          <w:sz w:val="20"/>
        </w:rPr>
        <w:t>только</w:t>
      </w:r>
      <w:r>
        <w:rPr>
          <w:spacing w:val="-6"/>
          <w:sz w:val="20"/>
        </w:rPr>
        <w:t> </w:t>
      </w:r>
      <w:r>
        <w:rPr>
          <w:sz w:val="20"/>
        </w:rPr>
        <w:t>клумбы</w:t>
      </w:r>
      <w:r>
        <w:rPr>
          <w:spacing w:val="-6"/>
          <w:sz w:val="20"/>
        </w:rPr>
        <w:t> </w:t>
      </w:r>
      <w:r>
        <w:rPr>
          <w:sz w:val="20"/>
        </w:rPr>
        <w:t>и</w:t>
      </w:r>
      <w:r>
        <w:rPr>
          <w:spacing w:val="-6"/>
          <w:sz w:val="20"/>
        </w:rPr>
        <w:t> </w:t>
      </w:r>
      <w:r>
        <w:rPr>
          <w:spacing w:val="-2"/>
          <w:sz w:val="20"/>
        </w:rPr>
        <w:t>дорожки.</w:t>
      </w:r>
    </w:p>
    <w:p>
      <w:pPr>
        <w:pStyle w:val="BodyText"/>
        <w:spacing w:line="226" w:lineRule="exact"/>
        <w:ind w:left="425" w:right="0" w:firstLine="0"/>
        <w:jc w:val="left"/>
      </w:pPr>
      <w:r>
        <w:rPr>
          <w:spacing w:val="-4"/>
        </w:rPr>
        <w:t>Ход</w:t>
      </w:r>
      <w:r>
        <w:rPr>
          <w:spacing w:val="-7"/>
        </w:rPr>
        <w:t> </w:t>
      </w:r>
      <w:r>
        <w:rPr>
          <w:spacing w:val="-4"/>
        </w:rPr>
        <w:t>игры</w:t>
      </w:r>
    </w:p>
    <w:p>
      <w:pPr>
        <w:pStyle w:val="BodyText"/>
        <w:spacing w:line="235" w:lineRule="auto" w:before="2"/>
        <w:ind w:right="0"/>
        <w:jc w:val="left"/>
      </w:pPr>
      <w:r>
        <w:rPr/>
        <w:t>Участники</w:t>
      </w:r>
      <w:r>
        <w:rPr>
          <w:spacing w:val="-5"/>
        </w:rPr>
        <w:t> </w:t>
      </w:r>
      <w:r>
        <w:rPr/>
        <w:t>делятся</w:t>
      </w:r>
      <w:r>
        <w:rPr>
          <w:spacing w:val="-5"/>
        </w:rPr>
        <w:t> </w:t>
      </w:r>
      <w:r>
        <w:rPr/>
        <w:t>на</w:t>
      </w:r>
      <w:r>
        <w:rPr>
          <w:spacing w:val="-5"/>
        </w:rPr>
        <w:t> </w:t>
      </w:r>
      <w:r>
        <w:rPr/>
        <w:t>команды,</w:t>
      </w:r>
      <w:r>
        <w:rPr>
          <w:spacing w:val="-5"/>
        </w:rPr>
        <w:t> </w:t>
      </w:r>
      <w:r>
        <w:rPr/>
        <w:t>а</w:t>
      </w:r>
      <w:r>
        <w:rPr>
          <w:spacing w:val="-5"/>
        </w:rPr>
        <w:t> </w:t>
      </w:r>
      <w:r>
        <w:rPr/>
        <w:t>затем</w:t>
      </w:r>
      <w:r>
        <w:rPr>
          <w:spacing w:val="-5"/>
        </w:rPr>
        <w:t> </w:t>
      </w:r>
      <w:r>
        <w:rPr/>
        <w:t>получают</w:t>
      </w:r>
      <w:r>
        <w:rPr>
          <w:spacing w:val="-5"/>
        </w:rPr>
        <w:t> </w:t>
      </w:r>
      <w:r>
        <w:rPr/>
        <w:t>инструкции.</w:t>
      </w:r>
      <w:r>
        <w:rPr>
          <w:spacing w:val="-5"/>
        </w:rPr>
        <w:t> </w:t>
      </w:r>
      <w:r>
        <w:rPr/>
        <w:t>Рекомендовано</w:t>
      </w:r>
      <w:r>
        <w:rPr>
          <w:spacing w:val="-5"/>
        </w:rPr>
        <w:t> </w:t>
      </w:r>
      <w:r>
        <w:rPr/>
        <w:t>не создавать группы более 4 человек в составе.</w:t>
      </w:r>
    </w:p>
    <w:p>
      <w:pPr>
        <w:pStyle w:val="BodyText"/>
        <w:spacing w:line="235" w:lineRule="auto" w:before="1"/>
        <w:ind w:right="0"/>
        <w:jc w:val="left"/>
      </w:pPr>
      <w:r>
        <w:rPr/>
        <w:t>Ведущий:</w:t>
      </w:r>
      <w:r>
        <w:rPr>
          <w:spacing w:val="36"/>
        </w:rPr>
        <w:t> </w:t>
      </w:r>
      <w:r>
        <w:rPr/>
        <w:t>Уважаемые</w:t>
      </w:r>
      <w:r>
        <w:rPr>
          <w:spacing w:val="36"/>
        </w:rPr>
        <w:t> </w:t>
      </w:r>
      <w:r>
        <w:rPr/>
        <w:t>друзья!</w:t>
      </w:r>
      <w:r>
        <w:rPr>
          <w:spacing w:val="36"/>
        </w:rPr>
        <w:t> </w:t>
      </w:r>
      <w:r>
        <w:rPr/>
        <w:t>Жители</w:t>
      </w:r>
      <w:r>
        <w:rPr>
          <w:spacing w:val="36"/>
        </w:rPr>
        <w:t> </w:t>
      </w:r>
      <w:r>
        <w:rPr/>
        <w:t>города</w:t>
      </w:r>
      <w:r>
        <w:rPr>
          <w:spacing w:val="36"/>
        </w:rPr>
        <w:t> </w:t>
      </w:r>
      <w:r>
        <w:rPr/>
        <w:t>предлагают</w:t>
      </w:r>
      <w:r>
        <w:rPr>
          <w:spacing w:val="36"/>
        </w:rPr>
        <w:t> </w:t>
      </w:r>
      <w:r>
        <w:rPr/>
        <w:t>нам</w:t>
      </w:r>
      <w:r>
        <w:rPr>
          <w:spacing w:val="36"/>
        </w:rPr>
        <w:t> </w:t>
      </w:r>
      <w:r>
        <w:rPr/>
        <w:t>остаться</w:t>
      </w:r>
      <w:r>
        <w:rPr>
          <w:spacing w:val="36"/>
        </w:rPr>
        <w:t> </w:t>
      </w:r>
      <w:r>
        <w:rPr/>
        <w:t>в</w:t>
      </w:r>
      <w:r>
        <w:rPr>
          <w:spacing w:val="36"/>
        </w:rPr>
        <w:t> </w:t>
      </w:r>
      <w:r>
        <w:rPr/>
        <w:t>нем жить, но построить свои жилые кварталы мы должны сами, как нам нравится.</w:t>
      </w:r>
    </w:p>
    <w:p>
      <w:pPr>
        <w:pStyle w:val="BodyText"/>
        <w:spacing w:line="235" w:lineRule="auto" w:before="1"/>
        <w:ind w:right="140"/>
        <w:jc w:val="left"/>
      </w:pPr>
      <w:r>
        <w:rPr/>
        <w:t>Ведущий дает команду, что можно приступать к обсуждению, и напоминает, что на обсуждение отводится только три минуты.</w:t>
      </w:r>
    </w:p>
    <w:p>
      <w:pPr>
        <w:pStyle w:val="BodyText"/>
        <w:spacing w:line="235" w:lineRule="auto" w:before="2"/>
        <w:jc w:val="right"/>
      </w:pPr>
      <w:r>
        <w:rPr/>
        <w:t>По</w:t>
      </w:r>
      <w:r>
        <w:rPr>
          <w:spacing w:val="-5"/>
        </w:rPr>
        <w:t> </w:t>
      </w:r>
      <w:r>
        <w:rPr/>
        <w:t>истечении</w:t>
      </w:r>
      <w:r>
        <w:rPr>
          <w:spacing w:val="-5"/>
        </w:rPr>
        <w:t> </w:t>
      </w:r>
      <w:r>
        <w:rPr/>
        <w:t>минуты</w:t>
      </w:r>
      <w:r>
        <w:rPr>
          <w:spacing w:val="-5"/>
        </w:rPr>
        <w:t> </w:t>
      </w:r>
      <w:r>
        <w:rPr/>
        <w:t>ведущий</w:t>
      </w:r>
      <w:r>
        <w:rPr>
          <w:spacing w:val="-5"/>
        </w:rPr>
        <w:t> </w:t>
      </w:r>
      <w:r>
        <w:rPr/>
        <w:t>приглашает</w:t>
      </w:r>
      <w:r>
        <w:rPr>
          <w:spacing w:val="-5"/>
        </w:rPr>
        <w:t> </w:t>
      </w:r>
      <w:r>
        <w:rPr/>
        <w:t>группы</w:t>
      </w:r>
      <w:r>
        <w:rPr>
          <w:spacing w:val="-5"/>
        </w:rPr>
        <w:t> </w:t>
      </w:r>
      <w:r>
        <w:rPr/>
        <w:t>приступить</w:t>
      </w:r>
      <w:r>
        <w:rPr>
          <w:spacing w:val="-5"/>
        </w:rPr>
        <w:t> </w:t>
      </w:r>
      <w:r>
        <w:rPr/>
        <w:t>к</w:t>
      </w:r>
      <w:r>
        <w:rPr>
          <w:spacing w:val="-5"/>
        </w:rPr>
        <w:t> </w:t>
      </w:r>
      <w:r>
        <w:rPr/>
        <w:t>рисованию.</w:t>
      </w:r>
      <w:r>
        <w:rPr>
          <w:spacing w:val="-5"/>
        </w:rPr>
        <w:t> </w:t>
      </w:r>
      <w:r>
        <w:rPr/>
        <w:t>Че- рез 2 минуты после начала рисования ведущий подает первый знак – хлопает два</w:t>
      </w:r>
      <w:r>
        <w:rPr>
          <w:spacing w:val="80"/>
        </w:rPr>
        <w:t> </w:t>
      </w:r>
      <w:r>
        <w:rPr/>
        <w:t>раза.</w:t>
      </w:r>
      <w:r>
        <w:rPr>
          <w:spacing w:val="80"/>
        </w:rPr>
        <w:t> </w:t>
      </w:r>
      <w:r>
        <w:rPr/>
        <w:t>Участники команд под условными номерами «1» должны одновременно по- менять группы и продолжить рисование в новом составе. Еще через 2 минуты веду- щий</w:t>
      </w:r>
      <w:r>
        <w:rPr>
          <w:spacing w:val="-7"/>
        </w:rPr>
        <w:t> </w:t>
      </w:r>
      <w:r>
        <w:rPr/>
        <w:t>подает</w:t>
      </w:r>
      <w:r>
        <w:rPr>
          <w:spacing w:val="-7"/>
        </w:rPr>
        <w:t> </w:t>
      </w:r>
      <w:r>
        <w:rPr/>
        <w:t>второй</w:t>
      </w:r>
      <w:r>
        <w:rPr>
          <w:spacing w:val="-7"/>
        </w:rPr>
        <w:t> </w:t>
      </w:r>
      <w:r>
        <w:rPr/>
        <w:t>знак</w:t>
      </w:r>
      <w:r>
        <w:rPr>
          <w:spacing w:val="-7"/>
        </w:rPr>
        <w:t> </w:t>
      </w:r>
      <w:r>
        <w:rPr/>
        <w:t>–</w:t>
      </w:r>
      <w:r>
        <w:rPr>
          <w:spacing w:val="-7"/>
        </w:rPr>
        <w:t> </w:t>
      </w:r>
      <w:r>
        <w:rPr/>
        <w:t>хлопает</w:t>
      </w:r>
      <w:r>
        <w:rPr>
          <w:spacing w:val="-7"/>
        </w:rPr>
        <w:t> </w:t>
      </w:r>
      <w:r>
        <w:rPr/>
        <w:t>три</w:t>
      </w:r>
      <w:r>
        <w:rPr>
          <w:spacing w:val="-7"/>
        </w:rPr>
        <w:t> </w:t>
      </w:r>
      <w:r>
        <w:rPr/>
        <w:t>раза.</w:t>
      </w:r>
      <w:r>
        <w:rPr>
          <w:spacing w:val="-7"/>
        </w:rPr>
        <w:t> </w:t>
      </w:r>
      <w:r>
        <w:rPr/>
        <w:t>Участники</w:t>
      </w:r>
      <w:r>
        <w:rPr>
          <w:spacing w:val="-7"/>
        </w:rPr>
        <w:t> </w:t>
      </w:r>
      <w:r>
        <w:rPr/>
        <w:t>под</w:t>
      </w:r>
      <w:r>
        <w:rPr>
          <w:spacing w:val="-7"/>
        </w:rPr>
        <w:t> </w:t>
      </w:r>
      <w:r>
        <w:rPr/>
        <w:t>условными</w:t>
      </w:r>
      <w:r>
        <w:rPr>
          <w:spacing w:val="-7"/>
        </w:rPr>
        <w:t> </w:t>
      </w:r>
      <w:r>
        <w:rPr/>
        <w:t>номерами</w:t>
      </w:r>
      <w:r>
        <w:rPr>
          <w:spacing w:val="-8"/>
        </w:rPr>
        <w:t> </w:t>
      </w:r>
      <w:r>
        <w:rPr/>
        <w:t>«2» должны</w:t>
      </w:r>
      <w:r>
        <w:rPr>
          <w:spacing w:val="-8"/>
        </w:rPr>
        <w:t> </w:t>
      </w:r>
      <w:r>
        <w:rPr/>
        <w:t>одновременно</w:t>
      </w:r>
      <w:r>
        <w:rPr>
          <w:spacing w:val="-8"/>
        </w:rPr>
        <w:t> </w:t>
      </w:r>
      <w:r>
        <w:rPr/>
        <w:t>поменять</w:t>
      </w:r>
      <w:r>
        <w:rPr>
          <w:spacing w:val="-8"/>
        </w:rPr>
        <w:t> </w:t>
      </w:r>
      <w:r>
        <w:rPr/>
        <w:t>группы</w:t>
      </w:r>
      <w:r>
        <w:rPr>
          <w:spacing w:val="-8"/>
        </w:rPr>
        <w:t> </w:t>
      </w:r>
      <w:r>
        <w:rPr/>
        <w:t>меняет</w:t>
      </w:r>
      <w:r>
        <w:rPr>
          <w:spacing w:val="-8"/>
        </w:rPr>
        <w:t> </w:t>
      </w:r>
      <w:r>
        <w:rPr/>
        <w:t>группу.</w:t>
      </w:r>
      <w:r>
        <w:rPr>
          <w:spacing w:val="-8"/>
        </w:rPr>
        <w:t> </w:t>
      </w:r>
      <w:r>
        <w:rPr/>
        <w:t>И</w:t>
      </w:r>
      <w:r>
        <w:rPr>
          <w:spacing w:val="-8"/>
        </w:rPr>
        <w:t> </w:t>
      </w:r>
      <w:r>
        <w:rPr/>
        <w:t>так</w:t>
      </w:r>
      <w:r>
        <w:rPr>
          <w:spacing w:val="-8"/>
        </w:rPr>
        <w:t> </w:t>
      </w:r>
      <w:r>
        <w:rPr/>
        <w:t>далее,</w:t>
      </w:r>
      <w:r>
        <w:rPr>
          <w:spacing w:val="-8"/>
        </w:rPr>
        <w:t> </w:t>
      </w:r>
      <w:r>
        <w:rPr/>
        <w:t>пока</w:t>
      </w:r>
      <w:r>
        <w:rPr>
          <w:spacing w:val="-8"/>
        </w:rPr>
        <w:t> </w:t>
      </w:r>
      <w:r>
        <w:rPr/>
        <w:t>не</w:t>
      </w:r>
      <w:r>
        <w:rPr>
          <w:spacing w:val="-8"/>
        </w:rPr>
        <w:t> </w:t>
      </w:r>
      <w:r>
        <w:rPr/>
        <w:t>сменит- ся</w:t>
      </w:r>
      <w:r>
        <w:rPr>
          <w:spacing w:val="-9"/>
        </w:rPr>
        <w:t> </w:t>
      </w:r>
      <w:r>
        <w:rPr/>
        <w:t>весь</w:t>
      </w:r>
      <w:r>
        <w:rPr>
          <w:spacing w:val="-9"/>
        </w:rPr>
        <w:t> </w:t>
      </w:r>
      <w:r>
        <w:rPr/>
        <w:t>состав</w:t>
      </w:r>
      <w:r>
        <w:rPr>
          <w:spacing w:val="-9"/>
        </w:rPr>
        <w:t> </w:t>
      </w:r>
      <w:r>
        <w:rPr/>
        <w:t>групп.</w:t>
      </w:r>
      <w:r>
        <w:rPr>
          <w:spacing w:val="-8"/>
        </w:rPr>
        <w:t> </w:t>
      </w:r>
      <w:r>
        <w:rPr/>
        <w:t>Через</w:t>
      </w:r>
      <w:r>
        <w:rPr>
          <w:spacing w:val="-9"/>
        </w:rPr>
        <w:t> </w:t>
      </w:r>
      <w:r>
        <w:rPr/>
        <w:t>3</w:t>
      </w:r>
      <w:r>
        <w:rPr>
          <w:spacing w:val="-9"/>
        </w:rPr>
        <w:t> </w:t>
      </w:r>
      <w:r>
        <w:rPr/>
        <w:t>минуты</w:t>
      </w:r>
      <w:r>
        <w:rPr>
          <w:spacing w:val="-9"/>
        </w:rPr>
        <w:t> </w:t>
      </w:r>
      <w:r>
        <w:rPr/>
        <w:t>ведущий</w:t>
      </w:r>
      <w:r>
        <w:rPr>
          <w:spacing w:val="-9"/>
        </w:rPr>
        <w:t> </w:t>
      </w:r>
      <w:r>
        <w:rPr/>
        <w:t>подает</w:t>
      </w:r>
      <w:r>
        <w:rPr>
          <w:spacing w:val="-9"/>
        </w:rPr>
        <w:t> </w:t>
      </w:r>
      <w:r>
        <w:rPr/>
        <w:t>сигнал</w:t>
      </w:r>
      <w:r>
        <w:rPr>
          <w:spacing w:val="-9"/>
        </w:rPr>
        <w:t> </w:t>
      </w:r>
      <w:r>
        <w:rPr/>
        <w:t>к</w:t>
      </w:r>
      <w:r>
        <w:rPr>
          <w:spacing w:val="-9"/>
        </w:rPr>
        <w:t> </w:t>
      </w:r>
      <w:r>
        <w:rPr/>
        <w:t>окончанию</w:t>
      </w:r>
      <w:r>
        <w:rPr>
          <w:spacing w:val="-8"/>
        </w:rPr>
        <w:t> </w:t>
      </w:r>
      <w:r>
        <w:rPr/>
        <w:t>рисования Ведущий просит каждую группу показать и кратко прокомментировать свой рису-</w:t>
      </w:r>
    </w:p>
    <w:p>
      <w:pPr>
        <w:pStyle w:val="BodyText"/>
        <w:spacing w:line="228" w:lineRule="exact" w:before="1"/>
        <w:ind w:right="0" w:firstLine="0"/>
        <w:jc w:val="left"/>
      </w:pPr>
      <w:r>
        <w:rPr/>
        <w:t>нок</w:t>
      </w:r>
      <w:r>
        <w:rPr>
          <w:spacing w:val="-8"/>
        </w:rPr>
        <w:t> </w:t>
      </w:r>
      <w:r>
        <w:rPr/>
        <w:t>своего</w:t>
      </w:r>
      <w:r>
        <w:rPr>
          <w:spacing w:val="-5"/>
        </w:rPr>
        <w:t> </w:t>
      </w:r>
      <w:r>
        <w:rPr/>
        <w:t>микрорайона</w:t>
      </w:r>
      <w:r>
        <w:rPr>
          <w:spacing w:val="-5"/>
        </w:rPr>
        <w:t> </w:t>
      </w:r>
      <w:r>
        <w:rPr/>
        <w:t>города,</w:t>
      </w:r>
      <w:r>
        <w:rPr>
          <w:spacing w:val="-5"/>
        </w:rPr>
        <w:t> </w:t>
      </w:r>
      <w:r>
        <w:rPr/>
        <w:t>после</w:t>
      </w:r>
      <w:r>
        <w:rPr>
          <w:spacing w:val="-5"/>
        </w:rPr>
        <w:t> </w:t>
      </w:r>
      <w:r>
        <w:rPr/>
        <w:t>чего</w:t>
      </w:r>
      <w:r>
        <w:rPr>
          <w:spacing w:val="-5"/>
        </w:rPr>
        <w:t> </w:t>
      </w:r>
      <w:r>
        <w:rPr/>
        <w:t>проводит</w:t>
      </w:r>
      <w:r>
        <w:rPr>
          <w:spacing w:val="-5"/>
        </w:rPr>
        <w:t> </w:t>
      </w:r>
      <w:r>
        <w:rPr/>
        <w:t>обсуждение</w:t>
      </w:r>
      <w:r>
        <w:rPr>
          <w:spacing w:val="-5"/>
        </w:rPr>
        <w:t> </w:t>
      </w:r>
      <w:r>
        <w:rPr>
          <w:spacing w:val="-2"/>
        </w:rPr>
        <w:t>упражнения.</w:t>
      </w:r>
    </w:p>
    <w:p>
      <w:pPr>
        <w:pStyle w:val="BodyText"/>
        <w:spacing w:line="226" w:lineRule="exact"/>
        <w:ind w:left="425" w:right="0" w:firstLine="0"/>
        <w:jc w:val="left"/>
      </w:pPr>
      <w:r>
        <w:rPr/>
        <w:t>Вопросы для</w:t>
      </w:r>
      <w:r>
        <w:rPr>
          <w:spacing w:val="3"/>
        </w:rPr>
        <w:t> </w:t>
      </w:r>
      <w:r>
        <w:rPr>
          <w:spacing w:val="-2"/>
        </w:rPr>
        <w:t>обсуждения:</w:t>
      </w:r>
    </w:p>
    <w:p>
      <w:pPr>
        <w:pStyle w:val="ListParagraph"/>
        <w:numPr>
          <w:ilvl w:val="2"/>
          <w:numId w:val="283"/>
        </w:numPr>
        <w:tabs>
          <w:tab w:pos="424" w:val="left" w:leader="none"/>
        </w:tabs>
        <w:spacing w:line="226" w:lineRule="exact" w:before="0" w:after="0"/>
        <w:ind w:left="424" w:right="0" w:hanging="283"/>
        <w:jc w:val="left"/>
        <w:rPr>
          <w:sz w:val="20"/>
        </w:rPr>
      </w:pPr>
      <w:r>
        <w:rPr>
          <w:sz w:val="20"/>
        </w:rPr>
        <w:t>Нравится</w:t>
      </w:r>
      <w:r>
        <w:rPr>
          <w:spacing w:val="-9"/>
          <w:sz w:val="20"/>
        </w:rPr>
        <w:t> </w:t>
      </w:r>
      <w:r>
        <w:rPr>
          <w:sz w:val="20"/>
        </w:rPr>
        <w:t>ли</w:t>
      </w:r>
      <w:r>
        <w:rPr>
          <w:spacing w:val="-8"/>
          <w:sz w:val="20"/>
        </w:rPr>
        <w:t> </w:t>
      </w:r>
      <w:r>
        <w:rPr>
          <w:sz w:val="20"/>
        </w:rPr>
        <w:t>вам</w:t>
      </w:r>
      <w:r>
        <w:rPr>
          <w:spacing w:val="-6"/>
          <w:sz w:val="20"/>
        </w:rPr>
        <w:t> </w:t>
      </w:r>
      <w:r>
        <w:rPr>
          <w:sz w:val="20"/>
        </w:rPr>
        <w:t>результат</w:t>
      </w:r>
      <w:r>
        <w:rPr>
          <w:spacing w:val="-7"/>
          <w:sz w:val="20"/>
        </w:rPr>
        <w:t> </w:t>
      </w:r>
      <w:r>
        <w:rPr>
          <w:sz w:val="20"/>
        </w:rPr>
        <w:t>вашей</w:t>
      </w:r>
      <w:r>
        <w:rPr>
          <w:spacing w:val="-7"/>
          <w:sz w:val="20"/>
        </w:rPr>
        <w:t> </w:t>
      </w:r>
      <w:r>
        <w:rPr>
          <w:spacing w:val="-2"/>
          <w:sz w:val="20"/>
        </w:rPr>
        <w:t>работы?</w:t>
      </w:r>
    </w:p>
    <w:p>
      <w:pPr>
        <w:pStyle w:val="ListParagraph"/>
        <w:numPr>
          <w:ilvl w:val="2"/>
          <w:numId w:val="283"/>
        </w:numPr>
        <w:tabs>
          <w:tab w:pos="425" w:val="left" w:leader="none"/>
        </w:tabs>
        <w:spacing w:line="235" w:lineRule="auto" w:before="1" w:after="0"/>
        <w:ind w:left="425" w:right="139" w:hanging="284"/>
        <w:jc w:val="left"/>
        <w:rPr>
          <w:sz w:val="20"/>
        </w:rPr>
      </w:pPr>
      <w:r>
        <w:rPr>
          <w:sz w:val="20"/>
        </w:rPr>
        <w:t>Как</w:t>
      </w:r>
      <w:r>
        <w:rPr>
          <w:spacing w:val="-11"/>
          <w:sz w:val="20"/>
        </w:rPr>
        <w:t> </w:t>
      </w:r>
      <w:r>
        <w:rPr>
          <w:sz w:val="20"/>
        </w:rPr>
        <w:t>Вы</w:t>
      </w:r>
      <w:r>
        <w:rPr>
          <w:spacing w:val="-11"/>
          <w:sz w:val="20"/>
        </w:rPr>
        <w:t> </w:t>
      </w:r>
      <w:r>
        <w:rPr>
          <w:sz w:val="20"/>
        </w:rPr>
        <w:t>считаете,</w:t>
      </w:r>
      <w:r>
        <w:rPr>
          <w:spacing w:val="-11"/>
          <w:sz w:val="20"/>
        </w:rPr>
        <w:t> </w:t>
      </w:r>
      <w:r>
        <w:rPr>
          <w:sz w:val="20"/>
        </w:rPr>
        <w:t>Ваш</w:t>
      </w:r>
      <w:r>
        <w:rPr>
          <w:spacing w:val="-11"/>
          <w:sz w:val="20"/>
        </w:rPr>
        <w:t> </w:t>
      </w:r>
      <w:r>
        <w:rPr>
          <w:sz w:val="20"/>
        </w:rPr>
        <w:t>микрорайон</w:t>
      </w:r>
      <w:r>
        <w:rPr>
          <w:spacing w:val="-11"/>
          <w:sz w:val="20"/>
        </w:rPr>
        <w:t> </w:t>
      </w:r>
      <w:r>
        <w:rPr>
          <w:sz w:val="20"/>
        </w:rPr>
        <w:t>стал</w:t>
      </w:r>
      <w:r>
        <w:rPr>
          <w:spacing w:val="-11"/>
          <w:sz w:val="20"/>
        </w:rPr>
        <w:t> </w:t>
      </w:r>
      <w:r>
        <w:rPr>
          <w:sz w:val="20"/>
        </w:rPr>
        <w:t>красивее</w:t>
      </w:r>
      <w:r>
        <w:rPr>
          <w:spacing w:val="-11"/>
          <w:sz w:val="20"/>
        </w:rPr>
        <w:t> </w:t>
      </w:r>
      <w:r>
        <w:rPr>
          <w:sz w:val="20"/>
        </w:rPr>
        <w:t>после</w:t>
      </w:r>
      <w:r>
        <w:rPr>
          <w:spacing w:val="-11"/>
          <w:sz w:val="20"/>
        </w:rPr>
        <w:t> </w:t>
      </w:r>
      <w:r>
        <w:rPr>
          <w:sz w:val="20"/>
        </w:rPr>
        <w:t>того,</w:t>
      </w:r>
      <w:r>
        <w:rPr>
          <w:spacing w:val="-11"/>
          <w:sz w:val="20"/>
        </w:rPr>
        <w:t> </w:t>
      </w:r>
      <w:r>
        <w:rPr>
          <w:sz w:val="20"/>
        </w:rPr>
        <w:t>как</w:t>
      </w:r>
      <w:r>
        <w:rPr>
          <w:spacing w:val="-11"/>
          <w:sz w:val="20"/>
        </w:rPr>
        <w:t> </w:t>
      </w:r>
      <w:r>
        <w:rPr>
          <w:sz w:val="20"/>
        </w:rPr>
        <w:t>к</w:t>
      </w:r>
      <w:r>
        <w:rPr>
          <w:spacing w:val="-11"/>
          <w:sz w:val="20"/>
        </w:rPr>
        <w:t> </w:t>
      </w:r>
      <w:r>
        <w:rPr>
          <w:sz w:val="20"/>
        </w:rPr>
        <w:t>его</w:t>
      </w:r>
      <w:r>
        <w:rPr>
          <w:spacing w:val="-11"/>
          <w:sz w:val="20"/>
        </w:rPr>
        <w:t> </w:t>
      </w:r>
      <w:r>
        <w:rPr>
          <w:sz w:val="20"/>
        </w:rPr>
        <w:t>«строитель- ству» присоединились «гости»?</w:t>
      </w:r>
    </w:p>
    <w:p>
      <w:pPr>
        <w:pStyle w:val="ListParagraph"/>
        <w:numPr>
          <w:ilvl w:val="2"/>
          <w:numId w:val="283"/>
        </w:numPr>
        <w:tabs>
          <w:tab w:pos="424" w:val="left" w:leader="none"/>
        </w:tabs>
        <w:spacing w:line="225" w:lineRule="exact" w:before="0" w:after="0"/>
        <w:ind w:left="424" w:right="0" w:hanging="283"/>
        <w:jc w:val="left"/>
        <w:rPr>
          <w:sz w:val="20"/>
        </w:rPr>
      </w:pPr>
      <w:r>
        <w:rPr>
          <w:sz w:val="20"/>
        </w:rPr>
        <w:t>Легко</w:t>
      </w:r>
      <w:r>
        <w:rPr>
          <w:spacing w:val="-7"/>
          <w:sz w:val="20"/>
        </w:rPr>
        <w:t> </w:t>
      </w:r>
      <w:r>
        <w:rPr>
          <w:sz w:val="20"/>
        </w:rPr>
        <w:t>ли</w:t>
      </w:r>
      <w:r>
        <w:rPr>
          <w:spacing w:val="-6"/>
          <w:sz w:val="20"/>
        </w:rPr>
        <w:t> </w:t>
      </w:r>
      <w:r>
        <w:rPr>
          <w:sz w:val="20"/>
        </w:rPr>
        <w:t>было</w:t>
      </w:r>
      <w:r>
        <w:rPr>
          <w:spacing w:val="-4"/>
          <w:sz w:val="20"/>
        </w:rPr>
        <w:t> </w:t>
      </w:r>
      <w:r>
        <w:rPr>
          <w:sz w:val="20"/>
        </w:rPr>
        <w:t>Вам</w:t>
      </w:r>
      <w:r>
        <w:rPr>
          <w:spacing w:val="-5"/>
          <w:sz w:val="20"/>
        </w:rPr>
        <w:t> </w:t>
      </w:r>
      <w:r>
        <w:rPr>
          <w:sz w:val="20"/>
        </w:rPr>
        <w:t>выполнять</w:t>
      </w:r>
      <w:r>
        <w:rPr>
          <w:spacing w:val="-6"/>
          <w:sz w:val="20"/>
        </w:rPr>
        <w:t> </w:t>
      </w:r>
      <w:r>
        <w:rPr>
          <w:sz w:val="20"/>
        </w:rPr>
        <w:t>задание</w:t>
      </w:r>
      <w:r>
        <w:rPr>
          <w:spacing w:val="-4"/>
          <w:sz w:val="20"/>
        </w:rPr>
        <w:t> </w:t>
      </w:r>
      <w:r>
        <w:rPr>
          <w:sz w:val="20"/>
        </w:rPr>
        <w:t>при</w:t>
      </w:r>
      <w:r>
        <w:rPr>
          <w:spacing w:val="-6"/>
          <w:sz w:val="20"/>
        </w:rPr>
        <w:t> </w:t>
      </w:r>
      <w:r>
        <w:rPr>
          <w:sz w:val="20"/>
        </w:rPr>
        <w:t>переходе</w:t>
      </w:r>
      <w:r>
        <w:rPr>
          <w:spacing w:val="-4"/>
          <w:sz w:val="20"/>
        </w:rPr>
        <w:t> </w:t>
      </w:r>
      <w:r>
        <w:rPr>
          <w:sz w:val="20"/>
        </w:rPr>
        <w:t>в</w:t>
      </w:r>
      <w:r>
        <w:rPr>
          <w:spacing w:val="-6"/>
          <w:sz w:val="20"/>
        </w:rPr>
        <w:t> </w:t>
      </w:r>
      <w:r>
        <w:rPr>
          <w:sz w:val="20"/>
        </w:rPr>
        <w:t>другую</w:t>
      </w:r>
      <w:r>
        <w:rPr>
          <w:spacing w:val="-5"/>
          <w:sz w:val="20"/>
        </w:rPr>
        <w:t> </w:t>
      </w:r>
      <w:r>
        <w:rPr>
          <w:spacing w:val="-2"/>
          <w:sz w:val="20"/>
        </w:rPr>
        <w:t>команду?</w:t>
      </w:r>
    </w:p>
    <w:p>
      <w:pPr>
        <w:pStyle w:val="ListParagraph"/>
        <w:numPr>
          <w:ilvl w:val="2"/>
          <w:numId w:val="283"/>
        </w:numPr>
        <w:tabs>
          <w:tab w:pos="424" w:val="left" w:leader="none"/>
        </w:tabs>
        <w:spacing w:line="226" w:lineRule="exact" w:before="0" w:after="0"/>
        <w:ind w:left="424" w:right="0" w:hanging="283"/>
        <w:jc w:val="left"/>
        <w:rPr>
          <w:sz w:val="20"/>
        </w:rPr>
      </w:pPr>
      <w:r>
        <w:rPr>
          <w:sz w:val="20"/>
        </w:rPr>
        <w:t>Если</w:t>
      </w:r>
      <w:r>
        <w:rPr>
          <w:spacing w:val="-7"/>
          <w:sz w:val="20"/>
        </w:rPr>
        <w:t> </w:t>
      </w:r>
      <w:r>
        <w:rPr>
          <w:sz w:val="20"/>
        </w:rPr>
        <w:t>нет,</w:t>
      </w:r>
      <w:r>
        <w:rPr>
          <w:spacing w:val="-4"/>
          <w:sz w:val="20"/>
        </w:rPr>
        <w:t> </w:t>
      </w:r>
      <w:r>
        <w:rPr>
          <w:sz w:val="20"/>
        </w:rPr>
        <w:t>что</w:t>
      </w:r>
      <w:r>
        <w:rPr>
          <w:spacing w:val="-4"/>
          <w:sz w:val="20"/>
        </w:rPr>
        <w:t> </w:t>
      </w:r>
      <w:r>
        <w:rPr>
          <w:sz w:val="20"/>
        </w:rPr>
        <w:t>вам</w:t>
      </w:r>
      <w:r>
        <w:rPr>
          <w:spacing w:val="-3"/>
          <w:sz w:val="20"/>
        </w:rPr>
        <w:t> </w:t>
      </w:r>
      <w:r>
        <w:rPr>
          <w:sz w:val="20"/>
        </w:rPr>
        <w:t>мешало?</w:t>
      </w:r>
      <w:r>
        <w:rPr>
          <w:spacing w:val="-4"/>
          <w:sz w:val="20"/>
        </w:rPr>
        <w:t> </w:t>
      </w:r>
      <w:r>
        <w:rPr>
          <w:sz w:val="20"/>
        </w:rPr>
        <w:t>Если</w:t>
      </w:r>
      <w:r>
        <w:rPr>
          <w:spacing w:val="-5"/>
          <w:sz w:val="20"/>
        </w:rPr>
        <w:t> </w:t>
      </w:r>
      <w:r>
        <w:rPr>
          <w:sz w:val="20"/>
        </w:rPr>
        <w:t>да,</w:t>
      </w:r>
      <w:r>
        <w:rPr>
          <w:spacing w:val="-4"/>
          <w:sz w:val="20"/>
        </w:rPr>
        <w:t> </w:t>
      </w:r>
      <w:r>
        <w:rPr>
          <w:sz w:val="20"/>
        </w:rPr>
        <w:t>что</w:t>
      </w:r>
      <w:r>
        <w:rPr>
          <w:spacing w:val="-3"/>
          <w:sz w:val="20"/>
        </w:rPr>
        <w:t> </w:t>
      </w:r>
      <w:r>
        <w:rPr>
          <w:spacing w:val="-2"/>
          <w:sz w:val="20"/>
        </w:rPr>
        <w:t>помогало?</w:t>
      </w:r>
    </w:p>
    <w:p>
      <w:pPr>
        <w:pStyle w:val="ListParagraph"/>
        <w:numPr>
          <w:ilvl w:val="2"/>
          <w:numId w:val="283"/>
        </w:numPr>
        <w:tabs>
          <w:tab w:pos="424" w:val="left" w:leader="none"/>
        </w:tabs>
        <w:spacing w:line="226" w:lineRule="exact" w:before="0" w:after="0"/>
        <w:ind w:left="424" w:right="0" w:hanging="283"/>
        <w:jc w:val="left"/>
        <w:rPr>
          <w:sz w:val="20"/>
        </w:rPr>
      </w:pPr>
      <w:r>
        <w:rPr>
          <w:sz w:val="20"/>
        </w:rPr>
        <w:t>Что</w:t>
      </w:r>
      <w:r>
        <w:rPr>
          <w:spacing w:val="-7"/>
          <w:sz w:val="20"/>
        </w:rPr>
        <w:t> </w:t>
      </w:r>
      <w:r>
        <w:rPr>
          <w:sz w:val="20"/>
        </w:rPr>
        <w:t>изменилось</w:t>
      </w:r>
      <w:r>
        <w:rPr>
          <w:spacing w:val="-6"/>
          <w:sz w:val="20"/>
        </w:rPr>
        <w:t> </w:t>
      </w:r>
      <w:r>
        <w:rPr>
          <w:sz w:val="20"/>
        </w:rPr>
        <w:t>в</w:t>
      </w:r>
      <w:r>
        <w:rPr>
          <w:spacing w:val="-7"/>
          <w:sz w:val="20"/>
        </w:rPr>
        <w:t> </w:t>
      </w:r>
      <w:r>
        <w:rPr>
          <w:sz w:val="20"/>
        </w:rPr>
        <w:t>рисунке</w:t>
      </w:r>
      <w:r>
        <w:rPr>
          <w:spacing w:val="-6"/>
          <w:sz w:val="20"/>
        </w:rPr>
        <w:t> </w:t>
      </w:r>
      <w:r>
        <w:rPr>
          <w:sz w:val="20"/>
        </w:rPr>
        <w:t>вашего</w:t>
      </w:r>
      <w:r>
        <w:rPr>
          <w:spacing w:val="-6"/>
          <w:sz w:val="20"/>
        </w:rPr>
        <w:t> </w:t>
      </w:r>
      <w:r>
        <w:rPr>
          <w:sz w:val="20"/>
        </w:rPr>
        <w:t>микрорайона,</w:t>
      </w:r>
      <w:r>
        <w:rPr>
          <w:spacing w:val="-6"/>
          <w:sz w:val="20"/>
        </w:rPr>
        <w:t> </w:t>
      </w:r>
      <w:r>
        <w:rPr>
          <w:sz w:val="20"/>
        </w:rPr>
        <w:t>когда</w:t>
      </w:r>
      <w:r>
        <w:rPr>
          <w:spacing w:val="-6"/>
          <w:sz w:val="20"/>
        </w:rPr>
        <w:t> </w:t>
      </w:r>
      <w:r>
        <w:rPr>
          <w:sz w:val="20"/>
        </w:rPr>
        <w:t>появился</w:t>
      </w:r>
      <w:r>
        <w:rPr>
          <w:spacing w:val="-6"/>
          <w:sz w:val="20"/>
        </w:rPr>
        <w:t> </w:t>
      </w:r>
      <w:r>
        <w:rPr>
          <w:spacing w:val="-2"/>
          <w:sz w:val="20"/>
        </w:rPr>
        <w:t>«гость»?</w:t>
      </w:r>
    </w:p>
    <w:p>
      <w:pPr>
        <w:pStyle w:val="ListParagraph"/>
        <w:numPr>
          <w:ilvl w:val="2"/>
          <w:numId w:val="283"/>
        </w:numPr>
        <w:tabs>
          <w:tab w:pos="424" w:val="left" w:leader="none"/>
        </w:tabs>
        <w:spacing w:line="226" w:lineRule="exact" w:before="0" w:after="0"/>
        <w:ind w:left="424" w:right="0" w:hanging="283"/>
        <w:jc w:val="left"/>
        <w:rPr>
          <w:sz w:val="20"/>
        </w:rPr>
      </w:pPr>
      <w:r>
        <w:rPr>
          <w:sz w:val="20"/>
        </w:rPr>
        <w:t>Как</w:t>
      </w:r>
      <w:r>
        <w:rPr>
          <w:spacing w:val="-10"/>
          <w:sz w:val="20"/>
        </w:rPr>
        <w:t> </w:t>
      </w:r>
      <w:r>
        <w:rPr>
          <w:sz w:val="20"/>
        </w:rPr>
        <w:t>происходило</w:t>
      </w:r>
      <w:r>
        <w:rPr>
          <w:spacing w:val="-10"/>
          <w:sz w:val="20"/>
        </w:rPr>
        <w:t> </w:t>
      </w:r>
      <w:r>
        <w:rPr>
          <w:spacing w:val="-2"/>
          <w:sz w:val="20"/>
        </w:rPr>
        <w:t>взаимодействие?</w:t>
      </w:r>
    </w:p>
    <w:p>
      <w:pPr>
        <w:pStyle w:val="ListParagraph"/>
        <w:numPr>
          <w:ilvl w:val="2"/>
          <w:numId w:val="283"/>
        </w:numPr>
        <w:tabs>
          <w:tab w:pos="425" w:val="left" w:leader="none"/>
        </w:tabs>
        <w:spacing w:line="235" w:lineRule="auto" w:before="2" w:after="0"/>
        <w:ind w:left="425" w:right="139" w:hanging="284"/>
        <w:jc w:val="both"/>
        <w:rPr>
          <w:sz w:val="20"/>
        </w:rPr>
      </w:pPr>
      <w:r>
        <w:rPr>
          <w:sz w:val="20"/>
        </w:rPr>
        <w:t>Что</w:t>
      </w:r>
      <w:r>
        <w:rPr>
          <w:spacing w:val="-3"/>
          <w:sz w:val="20"/>
        </w:rPr>
        <w:t> </w:t>
      </w:r>
      <w:r>
        <w:rPr>
          <w:sz w:val="20"/>
        </w:rPr>
        <w:t>произошло,</w:t>
      </w:r>
      <w:r>
        <w:rPr>
          <w:spacing w:val="-3"/>
          <w:sz w:val="20"/>
        </w:rPr>
        <w:t> </w:t>
      </w:r>
      <w:r>
        <w:rPr>
          <w:sz w:val="20"/>
        </w:rPr>
        <w:t>когда</w:t>
      </w:r>
      <w:r>
        <w:rPr>
          <w:spacing w:val="-3"/>
          <w:sz w:val="20"/>
        </w:rPr>
        <w:t> </w:t>
      </w:r>
      <w:r>
        <w:rPr>
          <w:sz w:val="20"/>
        </w:rPr>
        <w:t>«гостей»</w:t>
      </w:r>
      <w:r>
        <w:rPr>
          <w:spacing w:val="-3"/>
          <w:sz w:val="20"/>
        </w:rPr>
        <w:t> </w:t>
      </w:r>
      <w:r>
        <w:rPr>
          <w:sz w:val="20"/>
        </w:rPr>
        <w:t>оказалось</w:t>
      </w:r>
      <w:r>
        <w:rPr>
          <w:spacing w:val="-3"/>
          <w:sz w:val="20"/>
        </w:rPr>
        <w:t> </w:t>
      </w:r>
      <w:r>
        <w:rPr>
          <w:sz w:val="20"/>
        </w:rPr>
        <w:t>двое,</w:t>
      </w:r>
      <w:r>
        <w:rPr>
          <w:spacing w:val="-3"/>
          <w:sz w:val="20"/>
        </w:rPr>
        <w:t> </w:t>
      </w:r>
      <w:r>
        <w:rPr>
          <w:sz w:val="20"/>
        </w:rPr>
        <w:t>трое?</w:t>
      </w:r>
      <w:r>
        <w:rPr>
          <w:spacing w:val="-3"/>
          <w:sz w:val="20"/>
        </w:rPr>
        <w:t> </w:t>
      </w:r>
      <w:r>
        <w:rPr>
          <w:sz w:val="20"/>
        </w:rPr>
        <w:t>Очень</w:t>
      </w:r>
      <w:r>
        <w:rPr>
          <w:spacing w:val="-3"/>
          <w:sz w:val="20"/>
        </w:rPr>
        <w:t> </w:t>
      </w:r>
      <w:r>
        <w:rPr>
          <w:sz w:val="20"/>
        </w:rPr>
        <w:t>важно</w:t>
      </w:r>
      <w:r>
        <w:rPr>
          <w:spacing w:val="-3"/>
          <w:sz w:val="20"/>
        </w:rPr>
        <w:t> </w:t>
      </w:r>
      <w:r>
        <w:rPr>
          <w:sz w:val="20"/>
        </w:rPr>
        <w:t>обратить</w:t>
      </w:r>
      <w:r>
        <w:rPr>
          <w:spacing w:val="-3"/>
          <w:sz w:val="20"/>
        </w:rPr>
        <w:t> </w:t>
      </w:r>
      <w:r>
        <w:rPr>
          <w:sz w:val="20"/>
        </w:rPr>
        <w:t>вни- мание участников, что люди, ведущие себя по иным правилам, кажутся нам «не- удобными», делающими все не по правилам, установленным в нашем обществе. Но</w:t>
      </w:r>
      <w:r>
        <w:rPr>
          <w:spacing w:val="-13"/>
          <w:sz w:val="20"/>
        </w:rPr>
        <w:t> </w:t>
      </w:r>
      <w:r>
        <w:rPr>
          <w:sz w:val="20"/>
        </w:rPr>
        <w:t>если</w:t>
      </w:r>
      <w:r>
        <w:rPr>
          <w:spacing w:val="-12"/>
          <w:sz w:val="20"/>
        </w:rPr>
        <w:t> </w:t>
      </w:r>
      <w:r>
        <w:rPr>
          <w:sz w:val="20"/>
        </w:rPr>
        <w:t>мы</w:t>
      </w:r>
      <w:r>
        <w:rPr>
          <w:spacing w:val="-13"/>
          <w:sz w:val="20"/>
        </w:rPr>
        <w:t> </w:t>
      </w:r>
      <w:r>
        <w:rPr>
          <w:sz w:val="20"/>
        </w:rPr>
        <w:t>находим</w:t>
      </w:r>
      <w:r>
        <w:rPr>
          <w:spacing w:val="-12"/>
          <w:sz w:val="20"/>
        </w:rPr>
        <w:t> </w:t>
      </w:r>
      <w:r>
        <w:rPr>
          <w:sz w:val="20"/>
        </w:rPr>
        <w:t>с</w:t>
      </w:r>
      <w:r>
        <w:rPr>
          <w:spacing w:val="-13"/>
          <w:sz w:val="20"/>
        </w:rPr>
        <w:t> </w:t>
      </w:r>
      <w:r>
        <w:rPr>
          <w:sz w:val="20"/>
        </w:rPr>
        <w:t>ними</w:t>
      </w:r>
      <w:r>
        <w:rPr>
          <w:spacing w:val="-12"/>
          <w:sz w:val="20"/>
        </w:rPr>
        <w:t> </w:t>
      </w:r>
      <w:r>
        <w:rPr>
          <w:sz w:val="20"/>
        </w:rPr>
        <w:t>общий</w:t>
      </w:r>
      <w:r>
        <w:rPr>
          <w:spacing w:val="-13"/>
          <w:sz w:val="20"/>
        </w:rPr>
        <w:t> </w:t>
      </w:r>
      <w:r>
        <w:rPr>
          <w:sz w:val="20"/>
        </w:rPr>
        <w:t>язык,</w:t>
      </w:r>
      <w:r>
        <w:rPr>
          <w:spacing w:val="-12"/>
          <w:sz w:val="20"/>
        </w:rPr>
        <w:t> </w:t>
      </w:r>
      <w:r>
        <w:rPr>
          <w:sz w:val="20"/>
        </w:rPr>
        <w:t>результат</w:t>
      </w:r>
      <w:r>
        <w:rPr>
          <w:spacing w:val="-13"/>
          <w:sz w:val="20"/>
        </w:rPr>
        <w:t> </w:t>
      </w:r>
      <w:r>
        <w:rPr>
          <w:sz w:val="20"/>
        </w:rPr>
        <w:t>получается</w:t>
      </w:r>
      <w:r>
        <w:rPr>
          <w:spacing w:val="-12"/>
          <w:sz w:val="20"/>
        </w:rPr>
        <w:t> </w:t>
      </w:r>
      <w:r>
        <w:rPr>
          <w:sz w:val="20"/>
        </w:rPr>
        <w:t>гораздо</w:t>
      </w:r>
      <w:r>
        <w:rPr>
          <w:spacing w:val="-13"/>
          <w:sz w:val="20"/>
        </w:rPr>
        <w:t> </w:t>
      </w:r>
      <w:r>
        <w:rPr>
          <w:sz w:val="20"/>
        </w:rPr>
        <w:t>лучше,</w:t>
      </w:r>
      <w:r>
        <w:rPr>
          <w:spacing w:val="-12"/>
          <w:sz w:val="20"/>
        </w:rPr>
        <w:t> </w:t>
      </w:r>
      <w:r>
        <w:rPr>
          <w:sz w:val="20"/>
        </w:rPr>
        <w:t>чем планировался, устраивающий «всех жителей микрорайона».</w:t>
      </w:r>
    </w:p>
    <w:p>
      <w:pPr>
        <w:pStyle w:val="BodyText"/>
        <w:spacing w:line="235" w:lineRule="auto" w:before="3"/>
      </w:pPr>
      <w:r>
        <w:rPr/>
        <w:t>В конце активности ведущий предлагает «заселить свои микрорайоны жителя- ми»,</w:t>
      </w:r>
      <w:r>
        <w:rPr>
          <w:spacing w:val="-1"/>
        </w:rPr>
        <w:t> </w:t>
      </w:r>
      <w:r>
        <w:rPr/>
        <w:t>наклеить</w:t>
      </w:r>
      <w:r>
        <w:rPr>
          <w:spacing w:val="-1"/>
        </w:rPr>
        <w:t> </w:t>
      </w:r>
      <w:r>
        <w:rPr/>
        <w:t>на</w:t>
      </w:r>
      <w:r>
        <w:rPr>
          <w:spacing w:val="-1"/>
        </w:rPr>
        <w:t> </w:t>
      </w:r>
      <w:r>
        <w:rPr/>
        <w:t>рисунки</w:t>
      </w:r>
      <w:r>
        <w:rPr>
          <w:spacing w:val="-1"/>
        </w:rPr>
        <w:t> </w:t>
      </w:r>
      <w:r>
        <w:rPr/>
        <w:t>фигурки</w:t>
      </w:r>
      <w:r>
        <w:rPr>
          <w:spacing w:val="-1"/>
        </w:rPr>
        <w:t> </w:t>
      </w:r>
      <w:r>
        <w:rPr/>
        <w:t>человечков</w:t>
      </w:r>
      <w:r>
        <w:rPr>
          <w:spacing w:val="-1"/>
        </w:rPr>
        <w:t> </w:t>
      </w:r>
      <w:r>
        <w:rPr/>
        <w:t>и</w:t>
      </w:r>
      <w:r>
        <w:rPr>
          <w:spacing w:val="-1"/>
        </w:rPr>
        <w:t> </w:t>
      </w:r>
      <w:r>
        <w:rPr/>
        <w:t>рассказать</w:t>
      </w:r>
      <w:r>
        <w:rPr>
          <w:spacing w:val="-1"/>
        </w:rPr>
        <w:t> </w:t>
      </w:r>
      <w:r>
        <w:rPr/>
        <w:t>о</w:t>
      </w:r>
      <w:r>
        <w:rPr>
          <w:spacing w:val="-1"/>
        </w:rPr>
        <w:t> </w:t>
      </w:r>
      <w:r>
        <w:rPr/>
        <w:t>том,</w:t>
      </w:r>
      <w:r>
        <w:rPr>
          <w:spacing w:val="-1"/>
        </w:rPr>
        <w:t> </w:t>
      </w:r>
      <w:r>
        <w:rPr/>
        <w:t>какие</w:t>
      </w:r>
      <w:r>
        <w:rPr>
          <w:spacing w:val="-1"/>
        </w:rPr>
        <w:t> </w:t>
      </w:r>
      <w:r>
        <w:rPr/>
        <w:t>микрорайо- ны они «построили» и что за жители в них «живут».</w:t>
      </w:r>
    </w:p>
    <w:p>
      <w:pPr>
        <w:pStyle w:val="BodyText"/>
        <w:spacing w:line="235" w:lineRule="auto" w:before="2"/>
      </w:pPr>
      <w:r>
        <w:rPr/>
        <w:t>На флип-чарте ведущий записывает основные характеристики микрорайонов го- </w:t>
      </w:r>
      <w:r>
        <w:rPr>
          <w:spacing w:val="-2"/>
        </w:rPr>
        <w:t>рода,</w:t>
      </w:r>
      <w:r>
        <w:rPr>
          <w:spacing w:val="-4"/>
        </w:rPr>
        <w:t> </w:t>
      </w:r>
      <w:r>
        <w:rPr>
          <w:spacing w:val="-2"/>
        </w:rPr>
        <w:t>которые</w:t>
      </w:r>
      <w:r>
        <w:rPr>
          <w:spacing w:val="-4"/>
        </w:rPr>
        <w:t> </w:t>
      </w:r>
      <w:r>
        <w:rPr>
          <w:spacing w:val="-2"/>
        </w:rPr>
        <w:t>озвучивают</w:t>
      </w:r>
      <w:r>
        <w:rPr>
          <w:spacing w:val="-4"/>
        </w:rPr>
        <w:t> </w:t>
      </w:r>
      <w:r>
        <w:rPr>
          <w:spacing w:val="-2"/>
        </w:rPr>
        <w:t>участники:</w:t>
      </w:r>
      <w:r>
        <w:rPr>
          <w:spacing w:val="-4"/>
        </w:rPr>
        <w:t> </w:t>
      </w:r>
      <w:r>
        <w:rPr>
          <w:spacing w:val="-2"/>
        </w:rPr>
        <w:t>«дома</w:t>
      </w:r>
      <w:r>
        <w:rPr>
          <w:spacing w:val="-4"/>
        </w:rPr>
        <w:t> </w:t>
      </w:r>
      <w:r>
        <w:rPr>
          <w:spacing w:val="-2"/>
        </w:rPr>
        <w:t>стали</w:t>
      </w:r>
      <w:r>
        <w:rPr>
          <w:spacing w:val="-4"/>
        </w:rPr>
        <w:t> </w:t>
      </w:r>
      <w:r>
        <w:rPr>
          <w:spacing w:val="-2"/>
        </w:rPr>
        <w:t>красивее,</w:t>
      </w:r>
      <w:r>
        <w:rPr>
          <w:spacing w:val="-4"/>
        </w:rPr>
        <w:t> </w:t>
      </w:r>
      <w:r>
        <w:rPr>
          <w:spacing w:val="-2"/>
        </w:rPr>
        <w:t>когда</w:t>
      </w:r>
      <w:r>
        <w:rPr>
          <w:spacing w:val="-4"/>
        </w:rPr>
        <w:t> </w:t>
      </w:r>
      <w:r>
        <w:rPr>
          <w:spacing w:val="-2"/>
        </w:rPr>
        <w:t>их</w:t>
      </w:r>
      <w:r>
        <w:rPr>
          <w:spacing w:val="-4"/>
        </w:rPr>
        <w:t> </w:t>
      </w:r>
      <w:r>
        <w:rPr>
          <w:spacing w:val="-2"/>
        </w:rPr>
        <w:t>начали</w:t>
      </w:r>
      <w:r>
        <w:rPr>
          <w:spacing w:val="-4"/>
        </w:rPr>
        <w:t> </w:t>
      </w:r>
      <w:r>
        <w:rPr>
          <w:spacing w:val="-2"/>
        </w:rPr>
        <w:t>рисовать </w:t>
      </w:r>
      <w:r>
        <w:rPr/>
        <w:t>разными цветами», «стало удобнее жителям, когда появились многоэтажные дома»,</w:t>
      </w:r>
    </w:p>
    <w:p>
      <w:pPr>
        <w:pStyle w:val="BodyText"/>
        <w:spacing w:line="235" w:lineRule="auto" w:before="2"/>
        <w:ind w:right="140" w:firstLine="0"/>
      </w:pPr>
      <w:r>
        <w:rPr/>
        <w:t>«цветочные клумбы с разными цветками-лучше», «хорошо, когда в городе живут люди с разными талантами и увлечениями».</w:t>
      </w:r>
    </w:p>
    <w:p>
      <w:pPr>
        <w:pStyle w:val="BodyText"/>
        <w:spacing w:after="0" w:line="235" w:lineRule="auto"/>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before="109"/>
        <w:ind w:left="303" w:right="303" w:firstLine="0"/>
        <w:jc w:val="center"/>
        <w:rPr>
          <w:b/>
          <w:sz w:val="20"/>
        </w:rPr>
      </w:pPr>
      <w:r>
        <w:rPr>
          <w:b/>
          <w:color w:val="231F20"/>
          <w:sz w:val="20"/>
        </w:rPr>
        <w:t>Страны</w:t>
      </w:r>
      <w:r>
        <w:rPr>
          <w:b/>
          <w:color w:val="231F20"/>
          <w:spacing w:val="-3"/>
          <w:sz w:val="20"/>
        </w:rPr>
        <w:t> </w:t>
      </w:r>
      <w:r>
        <w:rPr>
          <w:b/>
          <w:color w:val="231F20"/>
          <w:sz w:val="20"/>
        </w:rPr>
        <w:t>Альфа и</w:t>
      </w:r>
      <w:r>
        <w:rPr>
          <w:b/>
          <w:color w:val="231F20"/>
          <w:spacing w:val="-1"/>
          <w:sz w:val="20"/>
        </w:rPr>
        <w:t> </w:t>
      </w:r>
      <w:r>
        <w:rPr>
          <w:b/>
          <w:color w:val="231F20"/>
          <w:spacing w:val="-4"/>
          <w:sz w:val="20"/>
        </w:rPr>
        <w:t>Бета</w:t>
      </w:r>
    </w:p>
    <w:p>
      <w:pPr>
        <w:spacing w:line="228" w:lineRule="auto" w:before="111"/>
        <w:ind w:left="2656" w:right="139" w:firstLine="1216"/>
        <w:jc w:val="right"/>
        <w:rPr>
          <w:i/>
          <w:sz w:val="20"/>
        </w:rPr>
      </w:pPr>
      <w:r>
        <w:rPr>
          <w:b/>
          <w:i/>
          <w:color w:val="231F20"/>
          <w:sz w:val="20"/>
        </w:rPr>
        <w:t>Источник:</w:t>
      </w:r>
      <w:r>
        <w:rPr>
          <w:b/>
          <w:i/>
          <w:color w:val="231F20"/>
          <w:spacing w:val="-13"/>
          <w:sz w:val="20"/>
        </w:rPr>
        <w:t> </w:t>
      </w:r>
      <w:r>
        <w:rPr>
          <w:i/>
          <w:color w:val="231F20"/>
          <w:sz w:val="20"/>
        </w:rPr>
        <w:t>разработка</w:t>
      </w:r>
      <w:r>
        <w:rPr>
          <w:i/>
          <w:color w:val="231F20"/>
          <w:spacing w:val="-12"/>
          <w:sz w:val="20"/>
        </w:rPr>
        <w:t> </w:t>
      </w:r>
      <w:r>
        <w:rPr>
          <w:i/>
          <w:color w:val="231F20"/>
          <w:sz w:val="20"/>
        </w:rPr>
        <w:t>М</w:t>
      </w:r>
      <w:r>
        <w:rPr>
          <w:b/>
          <w:i/>
          <w:color w:val="231F20"/>
          <w:sz w:val="20"/>
        </w:rPr>
        <w:t>.</w:t>
      </w:r>
      <w:r>
        <w:rPr>
          <w:i/>
          <w:color w:val="231F20"/>
          <w:sz w:val="20"/>
        </w:rPr>
        <w:t>Ю</w:t>
      </w:r>
      <w:r>
        <w:rPr>
          <w:b/>
          <w:i/>
          <w:color w:val="231F20"/>
          <w:sz w:val="20"/>
        </w:rPr>
        <w:t>.</w:t>
      </w:r>
      <w:r>
        <w:rPr>
          <w:b/>
          <w:i/>
          <w:color w:val="231F20"/>
          <w:spacing w:val="-13"/>
          <w:sz w:val="20"/>
        </w:rPr>
        <w:t> </w:t>
      </w:r>
      <w:r>
        <w:rPr>
          <w:i/>
          <w:color w:val="231F20"/>
          <w:sz w:val="20"/>
        </w:rPr>
        <w:t>Чибисовой на</w:t>
      </w:r>
      <w:r>
        <w:rPr>
          <w:i/>
          <w:color w:val="231F20"/>
          <w:spacing w:val="-9"/>
          <w:sz w:val="20"/>
        </w:rPr>
        <w:t> </w:t>
      </w:r>
      <w:r>
        <w:rPr>
          <w:i/>
          <w:color w:val="231F20"/>
          <w:sz w:val="20"/>
        </w:rPr>
        <w:t>основе</w:t>
      </w:r>
      <w:r>
        <w:rPr>
          <w:i/>
          <w:color w:val="231F20"/>
          <w:spacing w:val="-10"/>
          <w:sz w:val="20"/>
        </w:rPr>
        <w:t> </w:t>
      </w:r>
      <w:r>
        <w:rPr>
          <w:i/>
          <w:color w:val="231F20"/>
          <w:sz w:val="20"/>
        </w:rPr>
        <w:t>идеи</w:t>
      </w:r>
      <w:r>
        <w:rPr>
          <w:i/>
          <w:color w:val="231F20"/>
          <w:spacing w:val="-10"/>
          <w:sz w:val="20"/>
        </w:rPr>
        <w:t> </w:t>
      </w:r>
      <w:r>
        <w:rPr>
          <w:i/>
          <w:color w:val="231F20"/>
          <w:sz w:val="20"/>
        </w:rPr>
        <w:t>D.M.</w:t>
      </w:r>
      <w:r>
        <w:rPr>
          <w:i/>
          <w:color w:val="231F20"/>
          <w:spacing w:val="-9"/>
          <w:sz w:val="20"/>
        </w:rPr>
        <w:t> </w:t>
      </w:r>
      <w:r>
        <w:rPr>
          <w:i/>
          <w:color w:val="231F20"/>
          <w:sz w:val="20"/>
        </w:rPr>
        <w:t>Stringer,</w:t>
      </w:r>
      <w:r>
        <w:rPr>
          <w:i/>
          <w:color w:val="231F20"/>
          <w:spacing w:val="-9"/>
          <w:sz w:val="20"/>
        </w:rPr>
        <w:t> </w:t>
      </w:r>
      <w:r>
        <w:rPr>
          <w:i/>
          <w:color w:val="231F20"/>
          <w:sz w:val="20"/>
        </w:rPr>
        <w:t>P.A.</w:t>
      </w:r>
      <w:r>
        <w:rPr>
          <w:i/>
          <w:color w:val="231F20"/>
          <w:spacing w:val="-9"/>
          <w:sz w:val="20"/>
        </w:rPr>
        <w:t> </w:t>
      </w:r>
      <w:r>
        <w:rPr>
          <w:i/>
          <w:color w:val="231F20"/>
          <w:sz w:val="20"/>
        </w:rPr>
        <w:t>Cassiday</w:t>
      </w:r>
      <w:r>
        <w:rPr>
          <w:i/>
          <w:color w:val="231F20"/>
          <w:spacing w:val="-9"/>
          <w:sz w:val="20"/>
        </w:rPr>
        <w:t> </w:t>
      </w:r>
      <w:r>
        <w:rPr>
          <w:i/>
          <w:color w:val="231F20"/>
          <w:sz w:val="20"/>
        </w:rPr>
        <w:t>«52</w:t>
      </w:r>
      <w:r>
        <w:rPr>
          <w:i/>
          <w:color w:val="231F20"/>
          <w:spacing w:val="-13"/>
          <w:sz w:val="20"/>
        </w:rPr>
        <w:t> </w:t>
      </w:r>
      <w:r>
        <w:rPr>
          <w:i/>
          <w:color w:val="231F20"/>
          <w:sz w:val="20"/>
        </w:rPr>
        <w:t>Activities for Improving Cross-Cultural Communication»,</w:t>
      </w:r>
    </w:p>
    <w:p>
      <w:pPr>
        <w:spacing w:line="219" w:lineRule="exact" w:before="0"/>
        <w:ind w:left="141" w:right="140" w:firstLine="0"/>
        <w:jc w:val="right"/>
        <w:rPr>
          <w:i/>
          <w:sz w:val="20"/>
        </w:rPr>
      </w:pPr>
      <w:r>
        <w:rPr>
          <w:i/>
          <w:color w:val="231F20"/>
          <w:sz w:val="20"/>
        </w:rPr>
        <w:t>Intercultural</w:t>
      </w:r>
      <w:r>
        <w:rPr>
          <w:i/>
          <w:color w:val="231F20"/>
          <w:spacing w:val="-11"/>
          <w:sz w:val="20"/>
        </w:rPr>
        <w:t> </w:t>
      </w:r>
      <w:r>
        <w:rPr>
          <w:i/>
          <w:color w:val="231F20"/>
          <w:sz w:val="20"/>
        </w:rPr>
        <w:t>Press,</w:t>
      </w:r>
      <w:r>
        <w:rPr>
          <w:i/>
          <w:color w:val="231F20"/>
          <w:spacing w:val="-10"/>
          <w:sz w:val="20"/>
        </w:rPr>
        <w:t> </w:t>
      </w:r>
      <w:r>
        <w:rPr>
          <w:i/>
          <w:color w:val="231F20"/>
          <w:spacing w:val="-4"/>
          <w:sz w:val="20"/>
        </w:rPr>
        <w:t>2009</w:t>
      </w:r>
    </w:p>
    <w:p>
      <w:pPr>
        <w:spacing w:line="224" w:lineRule="exact" w:before="99"/>
        <w:ind w:left="425" w:right="0" w:firstLine="0"/>
        <w:jc w:val="left"/>
        <w:rPr>
          <w:b/>
          <w:sz w:val="20"/>
        </w:rPr>
      </w:pPr>
      <w:r>
        <w:rPr>
          <w:b/>
          <w:color w:val="231F20"/>
          <w:spacing w:val="-2"/>
          <w:sz w:val="20"/>
        </w:rPr>
        <w:t>Инструкция</w:t>
      </w:r>
    </w:p>
    <w:p>
      <w:pPr>
        <w:pStyle w:val="ListParagraph"/>
        <w:numPr>
          <w:ilvl w:val="3"/>
          <w:numId w:val="283"/>
        </w:numPr>
        <w:tabs>
          <w:tab w:pos="614" w:val="left" w:leader="none"/>
        </w:tabs>
        <w:spacing w:line="232" w:lineRule="auto" w:before="0" w:after="0"/>
        <w:ind w:left="141" w:right="139" w:firstLine="283"/>
        <w:jc w:val="both"/>
        <w:rPr>
          <w:i/>
          <w:sz w:val="20"/>
        </w:rPr>
      </w:pPr>
      <w:r>
        <w:rPr>
          <w:i/>
          <w:color w:val="231F20"/>
          <w:sz w:val="20"/>
        </w:rPr>
        <w:t>Вы – жители двух соседних стран: Альфа и Бета. В каждой стране свои правила общения. Сначала вы будете общаться с жителями своей страны, а за- тем</w:t>
      </w:r>
      <w:r>
        <w:rPr>
          <w:i/>
          <w:color w:val="231F20"/>
          <w:spacing w:val="-12"/>
          <w:sz w:val="20"/>
        </w:rPr>
        <w:t> </w:t>
      </w:r>
      <w:r>
        <w:rPr>
          <w:i/>
          <w:color w:val="231F20"/>
          <w:sz w:val="20"/>
        </w:rPr>
        <w:t>–</w:t>
      </w:r>
      <w:r>
        <w:rPr>
          <w:i/>
          <w:color w:val="231F20"/>
          <w:spacing w:val="-12"/>
          <w:sz w:val="20"/>
        </w:rPr>
        <w:t> </w:t>
      </w:r>
      <w:r>
        <w:rPr>
          <w:i/>
          <w:color w:val="231F20"/>
          <w:sz w:val="20"/>
        </w:rPr>
        <w:t>вперемешку,</w:t>
      </w:r>
      <w:r>
        <w:rPr>
          <w:i/>
          <w:color w:val="231F20"/>
          <w:spacing w:val="-12"/>
          <w:sz w:val="20"/>
        </w:rPr>
        <w:t> </w:t>
      </w:r>
      <w:r>
        <w:rPr>
          <w:i/>
          <w:color w:val="231F20"/>
          <w:sz w:val="20"/>
        </w:rPr>
        <w:t>в</w:t>
      </w:r>
      <w:r>
        <w:rPr>
          <w:i/>
          <w:color w:val="231F20"/>
          <w:spacing w:val="-12"/>
          <w:sz w:val="20"/>
        </w:rPr>
        <w:t> </w:t>
      </w:r>
      <w:r>
        <w:rPr>
          <w:i/>
          <w:color w:val="231F20"/>
          <w:sz w:val="20"/>
        </w:rPr>
        <w:t>том</w:t>
      </w:r>
      <w:r>
        <w:rPr>
          <w:i/>
          <w:color w:val="231F20"/>
          <w:spacing w:val="-12"/>
          <w:sz w:val="20"/>
        </w:rPr>
        <w:t> </w:t>
      </w:r>
      <w:r>
        <w:rPr>
          <w:i/>
          <w:color w:val="231F20"/>
          <w:sz w:val="20"/>
        </w:rPr>
        <w:t>числе</w:t>
      </w:r>
      <w:r>
        <w:rPr>
          <w:i/>
          <w:color w:val="231F20"/>
          <w:spacing w:val="-12"/>
          <w:sz w:val="20"/>
        </w:rPr>
        <w:t> </w:t>
      </w:r>
      <w:r>
        <w:rPr>
          <w:i/>
          <w:color w:val="231F20"/>
          <w:sz w:val="20"/>
        </w:rPr>
        <w:t>и</w:t>
      </w:r>
      <w:r>
        <w:rPr>
          <w:i/>
          <w:color w:val="231F20"/>
          <w:spacing w:val="-12"/>
          <w:sz w:val="20"/>
        </w:rPr>
        <w:t> </w:t>
      </w:r>
      <w:r>
        <w:rPr>
          <w:i/>
          <w:color w:val="231F20"/>
          <w:sz w:val="20"/>
        </w:rPr>
        <w:t>с</w:t>
      </w:r>
      <w:r>
        <w:rPr>
          <w:i/>
          <w:color w:val="231F20"/>
          <w:spacing w:val="-12"/>
          <w:sz w:val="20"/>
        </w:rPr>
        <w:t> </w:t>
      </w:r>
      <w:r>
        <w:rPr>
          <w:i/>
          <w:color w:val="231F20"/>
          <w:sz w:val="20"/>
        </w:rPr>
        <w:t>жителями</w:t>
      </w:r>
      <w:r>
        <w:rPr>
          <w:i/>
          <w:color w:val="231F20"/>
          <w:spacing w:val="-12"/>
          <w:sz w:val="20"/>
        </w:rPr>
        <w:t> </w:t>
      </w:r>
      <w:r>
        <w:rPr>
          <w:i/>
          <w:color w:val="231F20"/>
          <w:sz w:val="20"/>
        </w:rPr>
        <w:t>соседней</w:t>
      </w:r>
      <w:r>
        <w:rPr>
          <w:i/>
          <w:color w:val="231F20"/>
          <w:spacing w:val="-12"/>
          <w:sz w:val="20"/>
        </w:rPr>
        <w:t> </w:t>
      </w:r>
      <w:r>
        <w:rPr>
          <w:i/>
          <w:color w:val="231F20"/>
          <w:sz w:val="20"/>
        </w:rPr>
        <w:t>страны.</w:t>
      </w:r>
      <w:r>
        <w:rPr>
          <w:i/>
          <w:color w:val="231F20"/>
          <w:spacing w:val="-12"/>
          <w:sz w:val="20"/>
        </w:rPr>
        <w:t> </w:t>
      </w:r>
      <w:r>
        <w:rPr>
          <w:i/>
          <w:color w:val="231F20"/>
          <w:sz w:val="20"/>
        </w:rPr>
        <w:t>Каждый</w:t>
      </w:r>
      <w:r>
        <w:rPr>
          <w:i/>
          <w:color w:val="231F20"/>
          <w:spacing w:val="-12"/>
          <w:sz w:val="20"/>
        </w:rPr>
        <w:t> </w:t>
      </w:r>
      <w:r>
        <w:rPr>
          <w:i/>
          <w:color w:val="231F20"/>
          <w:sz w:val="20"/>
        </w:rPr>
        <w:t>из</w:t>
      </w:r>
      <w:r>
        <w:rPr>
          <w:i/>
          <w:color w:val="231F20"/>
          <w:spacing w:val="-12"/>
          <w:sz w:val="20"/>
        </w:rPr>
        <w:t> </w:t>
      </w:r>
      <w:r>
        <w:rPr>
          <w:i/>
          <w:color w:val="231F20"/>
          <w:sz w:val="20"/>
        </w:rPr>
        <w:t>вас</w:t>
      </w:r>
      <w:r>
        <w:rPr>
          <w:i/>
          <w:color w:val="231F20"/>
          <w:spacing w:val="-12"/>
          <w:sz w:val="20"/>
        </w:rPr>
        <w:t> </w:t>
      </w:r>
      <w:r>
        <w:rPr>
          <w:i/>
          <w:color w:val="231F20"/>
          <w:sz w:val="20"/>
        </w:rPr>
        <w:t>полу- чит</w:t>
      </w:r>
      <w:r>
        <w:rPr>
          <w:i/>
          <w:color w:val="231F20"/>
          <w:spacing w:val="-12"/>
          <w:sz w:val="20"/>
        </w:rPr>
        <w:t> </w:t>
      </w:r>
      <w:r>
        <w:rPr>
          <w:i/>
          <w:color w:val="231F20"/>
          <w:sz w:val="20"/>
        </w:rPr>
        <w:t>опросник,</w:t>
      </w:r>
      <w:r>
        <w:rPr>
          <w:i/>
          <w:color w:val="231F20"/>
          <w:spacing w:val="-12"/>
          <w:sz w:val="20"/>
        </w:rPr>
        <w:t> </w:t>
      </w:r>
      <w:r>
        <w:rPr>
          <w:i/>
          <w:color w:val="231F20"/>
          <w:sz w:val="20"/>
        </w:rPr>
        <w:t>состоящий</w:t>
      </w:r>
      <w:r>
        <w:rPr>
          <w:i/>
          <w:color w:val="231F20"/>
          <w:spacing w:val="-12"/>
          <w:sz w:val="20"/>
        </w:rPr>
        <w:t> </w:t>
      </w:r>
      <w:r>
        <w:rPr>
          <w:i/>
          <w:color w:val="231F20"/>
          <w:sz w:val="20"/>
        </w:rPr>
        <w:t>из</w:t>
      </w:r>
      <w:r>
        <w:rPr>
          <w:i/>
          <w:color w:val="231F20"/>
          <w:spacing w:val="-12"/>
          <w:sz w:val="20"/>
        </w:rPr>
        <w:t> </w:t>
      </w:r>
      <w:r>
        <w:rPr>
          <w:i/>
          <w:color w:val="231F20"/>
          <w:sz w:val="20"/>
        </w:rPr>
        <w:t>20</w:t>
      </w:r>
      <w:r>
        <w:rPr>
          <w:i/>
          <w:color w:val="231F20"/>
          <w:spacing w:val="-12"/>
          <w:sz w:val="20"/>
        </w:rPr>
        <w:t> </w:t>
      </w:r>
      <w:r>
        <w:rPr>
          <w:i/>
          <w:color w:val="231F20"/>
          <w:sz w:val="20"/>
        </w:rPr>
        <w:t>вопросов.</w:t>
      </w:r>
      <w:r>
        <w:rPr>
          <w:i/>
          <w:color w:val="231F20"/>
          <w:spacing w:val="-12"/>
          <w:sz w:val="20"/>
        </w:rPr>
        <w:t> </w:t>
      </w:r>
      <w:r>
        <w:rPr>
          <w:i/>
          <w:color w:val="231F20"/>
          <w:sz w:val="20"/>
        </w:rPr>
        <w:t>Вам</w:t>
      </w:r>
      <w:r>
        <w:rPr>
          <w:i/>
          <w:color w:val="231F20"/>
          <w:spacing w:val="-12"/>
          <w:sz w:val="20"/>
        </w:rPr>
        <w:t> </w:t>
      </w:r>
      <w:r>
        <w:rPr>
          <w:i/>
          <w:color w:val="231F20"/>
          <w:sz w:val="20"/>
        </w:rPr>
        <w:t>необходимо</w:t>
      </w:r>
      <w:r>
        <w:rPr>
          <w:i/>
          <w:color w:val="231F20"/>
          <w:spacing w:val="-12"/>
          <w:sz w:val="20"/>
        </w:rPr>
        <w:t> </w:t>
      </w:r>
      <w:r>
        <w:rPr>
          <w:i/>
          <w:color w:val="231F20"/>
          <w:sz w:val="20"/>
        </w:rPr>
        <w:t>ответить</w:t>
      </w:r>
      <w:r>
        <w:rPr>
          <w:i/>
          <w:color w:val="231F20"/>
          <w:spacing w:val="-12"/>
          <w:sz w:val="20"/>
        </w:rPr>
        <w:t> </w:t>
      </w:r>
      <w:r>
        <w:rPr>
          <w:i/>
          <w:color w:val="231F20"/>
          <w:sz w:val="20"/>
        </w:rPr>
        <w:t>на</w:t>
      </w:r>
      <w:r>
        <w:rPr>
          <w:i/>
          <w:color w:val="231F20"/>
          <w:spacing w:val="-12"/>
          <w:sz w:val="20"/>
        </w:rPr>
        <w:t> </w:t>
      </w:r>
      <w:r>
        <w:rPr>
          <w:i/>
          <w:color w:val="231F20"/>
          <w:sz w:val="20"/>
        </w:rPr>
        <w:t>все</w:t>
      </w:r>
      <w:r>
        <w:rPr>
          <w:i/>
          <w:color w:val="231F20"/>
          <w:spacing w:val="-12"/>
          <w:sz w:val="20"/>
        </w:rPr>
        <w:t> </w:t>
      </w:r>
      <w:r>
        <w:rPr>
          <w:i/>
          <w:color w:val="231F20"/>
          <w:sz w:val="20"/>
        </w:rPr>
        <w:t>вопросы, написав</w:t>
      </w:r>
      <w:r>
        <w:rPr>
          <w:i/>
          <w:color w:val="231F20"/>
          <w:spacing w:val="-13"/>
          <w:sz w:val="20"/>
        </w:rPr>
        <w:t> </w:t>
      </w:r>
      <w:r>
        <w:rPr>
          <w:i/>
          <w:color w:val="231F20"/>
          <w:sz w:val="20"/>
        </w:rPr>
        <w:t>имя</w:t>
      </w:r>
      <w:r>
        <w:rPr>
          <w:i/>
          <w:color w:val="231F20"/>
          <w:spacing w:val="-12"/>
          <w:sz w:val="20"/>
        </w:rPr>
        <w:t> </w:t>
      </w:r>
      <w:r>
        <w:rPr>
          <w:i/>
          <w:color w:val="231F20"/>
          <w:sz w:val="20"/>
        </w:rPr>
        <w:t>кого-либо</w:t>
      </w:r>
      <w:r>
        <w:rPr>
          <w:i/>
          <w:color w:val="231F20"/>
          <w:spacing w:val="-13"/>
          <w:sz w:val="20"/>
        </w:rPr>
        <w:t> </w:t>
      </w:r>
      <w:r>
        <w:rPr>
          <w:i/>
          <w:color w:val="231F20"/>
          <w:sz w:val="20"/>
        </w:rPr>
        <w:t>из</w:t>
      </w:r>
      <w:r>
        <w:rPr>
          <w:i/>
          <w:color w:val="231F20"/>
          <w:spacing w:val="-12"/>
          <w:sz w:val="20"/>
        </w:rPr>
        <w:t> </w:t>
      </w:r>
      <w:r>
        <w:rPr>
          <w:i/>
          <w:color w:val="231F20"/>
          <w:sz w:val="20"/>
        </w:rPr>
        <w:t>присутствующих</w:t>
      </w:r>
      <w:r>
        <w:rPr>
          <w:i/>
          <w:color w:val="231F20"/>
          <w:spacing w:val="-13"/>
          <w:sz w:val="20"/>
        </w:rPr>
        <w:t> </w:t>
      </w:r>
      <w:r>
        <w:rPr>
          <w:i/>
          <w:color w:val="231F20"/>
          <w:sz w:val="20"/>
        </w:rPr>
        <w:t>здесь.</w:t>
      </w:r>
      <w:r>
        <w:rPr>
          <w:i/>
          <w:color w:val="231F20"/>
          <w:spacing w:val="-12"/>
          <w:sz w:val="20"/>
        </w:rPr>
        <w:t> </w:t>
      </w:r>
      <w:r>
        <w:rPr>
          <w:i/>
          <w:color w:val="231F20"/>
          <w:sz w:val="20"/>
        </w:rPr>
        <w:t>За</w:t>
      </w:r>
      <w:r>
        <w:rPr>
          <w:i/>
          <w:color w:val="231F20"/>
          <w:spacing w:val="-13"/>
          <w:sz w:val="20"/>
        </w:rPr>
        <w:t> </w:t>
      </w:r>
      <w:r>
        <w:rPr>
          <w:i/>
          <w:color w:val="231F20"/>
          <w:sz w:val="20"/>
        </w:rPr>
        <w:t>один</w:t>
      </w:r>
      <w:r>
        <w:rPr>
          <w:i/>
          <w:color w:val="231F20"/>
          <w:spacing w:val="-12"/>
          <w:sz w:val="20"/>
        </w:rPr>
        <w:t> </w:t>
      </w:r>
      <w:r>
        <w:rPr>
          <w:i/>
          <w:color w:val="231F20"/>
          <w:sz w:val="20"/>
        </w:rPr>
        <w:t>разговор</w:t>
      </w:r>
      <w:r>
        <w:rPr>
          <w:i/>
          <w:color w:val="231F20"/>
          <w:spacing w:val="-13"/>
          <w:sz w:val="20"/>
        </w:rPr>
        <w:t> </w:t>
      </w:r>
      <w:r>
        <w:rPr>
          <w:i/>
          <w:color w:val="231F20"/>
          <w:sz w:val="20"/>
        </w:rPr>
        <w:t>с</w:t>
      </w:r>
      <w:r>
        <w:rPr>
          <w:i/>
          <w:color w:val="231F20"/>
          <w:spacing w:val="-12"/>
          <w:sz w:val="20"/>
        </w:rPr>
        <w:t> </w:t>
      </w:r>
      <w:r>
        <w:rPr>
          <w:i/>
          <w:color w:val="231F20"/>
          <w:sz w:val="20"/>
        </w:rPr>
        <w:t>одним</w:t>
      </w:r>
      <w:r>
        <w:rPr>
          <w:i/>
          <w:color w:val="231F20"/>
          <w:spacing w:val="-13"/>
          <w:sz w:val="20"/>
        </w:rPr>
        <w:t> </w:t>
      </w:r>
      <w:r>
        <w:rPr>
          <w:i/>
          <w:color w:val="231F20"/>
          <w:sz w:val="20"/>
        </w:rPr>
        <w:t>человеком вы можете задать ему только один из перечисленных вопросов.</w:t>
      </w:r>
    </w:p>
    <w:p>
      <w:pPr>
        <w:spacing w:line="214" w:lineRule="exact" w:before="0"/>
        <w:ind w:left="425" w:right="0" w:firstLine="0"/>
        <w:jc w:val="both"/>
        <w:rPr>
          <w:b/>
          <w:sz w:val="20"/>
        </w:rPr>
      </w:pPr>
      <w:r>
        <w:rPr>
          <w:b/>
          <w:color w:val="231F20"/>
          <w:spacing w:val="-2"/>
          <w:sz w:val="20"/>
        </w:rPr>
        <w:t>Ход</w:t>
      </w:r>
      <w:r>
        <w:rPr>
          <w:b/>
          <w:color w:val="231F20"/>
          <w:spacing w:val="-7"/>
          <w:sz w:val="20"/>
        </w:rPr>
        <w:t> </w:t>
      </w:r>
      <w:r>
        <w:rPr>
          <w:b/>
          <w:color w:val="231F20"/>
          <w:spacing w:val="-4"/>
          <w:sz w:val="20"/>
        </w:rPr>
        <w:t>игры</w:t>
      </w:r>
    </w:p>
    <w:p>
      <w:pPr>
        <w:pStyle w:val="BodyText"/>
        <w:spacing w:line="230" w:lineRule="auto" w:before="1"/>
      </w:pPr>
      <w:r>
        <w:rPr>
          <w:color w:val="231F20"/>
        </w:rPr>
        <w:t>Участники делятся на две группы – Альфа и Бета. Каждый получает индивиду- альный лист с вопросами и инструкцию с правилами поведения в стране Альфа и стране Бета.</w:t>
      </w:r>
    </w:p>
    <w:p>
      <w:pPr>
        <w:pStyle w:val="BodyText"/>
        <w:spacing w:line="228" w:lineRule="auto"/>
      </w:pPr>
      <w:r>
        <w:rPr>
          <w:color w:val="231F20"/>
        </w:rPr>
        <w:t>Ведущий предлагает участникам познакомиться с правилами и попробовать по- общаться</w:t>
      </w:r>
      <w:r>
        <w:rPr>
          <w:color w:val="231F20"/>
          <w:spacing w:val="-1"/>
        </w:rPr>
        <w:t> </w:t>
      </w:r>
      <w:r>
        <w:rPr>
          <w:color w:val="231F20"/>
        </w:rPr>
        <w:t>по</w:t>
      </w:r>
      <w:r>
        <w:rPr>
          <w:color w:val="231F20"/>
          <w:spacing w:val="-1"/>
        </w:rPr>
        <w:t> </w:t>
      </w:r>
      <w:r>
        <w:rPr>
          <w:color w:val="231F20"/>
        </w:rPr>
        <w:t>этим</w:t>
      </w:r>
      <w:r>
        <w:rPr>
          <w:color w:val="231F20"/>
          <w:spacing w:val="-1"/>
        </w:rPr>
        <w:t> </w:t>
      </w:r>
      <w:r>
        <w:rPr>
          <w:color w:val="231F20"/>
        </w:rPr>
        <w:t>правилам</w:t>
      </w:r>
      <w:r>
        <w:rPr>
          <w:color w:val="231F20"/>
          <w:spacing w:val="-1"/>
        </w:rPr>
        <w:t> </w:t>
      </w:r>
      <w:r>
        <w:rPr>
          <w:color w:val="231F20"/>
        </w:rPr>
        <w:t>со</w:t>
      </w:r>
      <w:r>
        <w:rPr>
          <w:color w:val="231F20"/>
          <w:spacing w:val="-1"/>
        </w:rPr>
        <w:t> </w:t>
      </w:r>
      <w:r>
        <w:rPr>
          <w:color w:val="231F20"/>
        </w:rPr>
        <w:t>своими</w:t>
      </w:r>
      <w:r>
        <w:rPr>
          <w:color w:val="231F20"/>
          <w:spacing w:val="-1"/>
        </w:rPr>
        <w:t> </w:t>
      </w:r>
      <w:r>
        <w:rPr>
          <w:color w:val="231F20"/>
        </w:rPr>
        <w:t>соотечественниками</w:t>
      </w:r>
      <w:r>
        <w:rPr>
          <w:color w:val="231F20"/>
          <w:spacing w:val="-1"/>
        </w:rPr>
        <w:t> </w:t>
      </w:r>
      <w:r>
        <w:rPr>
          <w:color w:val="231F20"/>
        </w:rPr>
        <w:t>на</w:t>
      </w:r>
      <w:r>
        <w:rPr>
          <w:color w:val="231F20"/>
          <w:spacing w:val="-1"/>
        </w:rPr>
        <w:t> </w:t>
      </w:r>
      <w:r>
        <w:rPr>
          <w:color w:val="231F20"/>
        </w:rPr>
        <w:t>произвольные</w:t>
      </w:r>
      <w:r>
        <w:rPr>
          <w:color w:val="231F20"/>
          <w:spacing w:val="-1"/>
        </w:rPr>
        <w:t> </w:t>
      </w:r>
      <w:r>
        <w:rPr>
          <w:color w:val="231F20"/>
        </w:rPr>
        <w:t>темы</w:t>
      </w:r>
      <w:r>
        <w:rPr>
          <w:color w:val="231F20"/>
          <w:spacing w:val="-1"/>
        </w:rPr>
        <w:t> </w:t>
      </w:r>
      <w:r>
        <w:rPr>
          <w:color w:val="231F20"/>
        </w:rPr>
        <w:t>в </w:t>
      </w:r>
      <w:r>
        <w:rPr>
          <w:color w:val="231F20"/>
          <w:spacing w:val="-2"/>
        </w:rPr>
        <w:t>течение</w:t>
      </w:r>
      <w:r>
        <w:rPr>
          <w:color w:val="231F20"/>
          <w:spacing w:val="-6"/>
        </w:rPr>
        <w:t> </w:t>
      </w:r>
      <w:r>
        <w:rPr>
          <w:color w:val="231F20"/>
          <w:spacing w:val="-2"/>
        </w:rPr>
        <w:t>трех–пяти</w:t>
      </w:r>
      <w:r>
        <w:rPr>
          <w:color w:val="231F20"/>
          <w:spacing w:val="-6"/>
        </w:rPr>
        <w:t> </w:t>
      </w:r>
      <w:r>
        <w:rPr>
          <w:color w:val="231F20"/>
          <w:spacing w:val="-2"/>
        </w:rPr>
        <w:t>минут.</w:t>
      </w:r>
      <w:r>
        <w:rPr>
          <w:color w:val="231F20"/>
          <w:spacing w:val="-6"/>
        </w:rPr>
        <w:t> </w:t>
      </w:r>
      <w:r>
        <w:rPr>
          <w:color w:val="231F20"/>
          <w:spacing w:val="-2"/>
        </w:rPr>
        <w:t>Затем</w:t>
      </w:r>
      <w:r>
        <w:rPr>
          <w:color w:val="231F20"/>
          <w:spacing w:val="-6"/>
        </w:rPr>
        <w:t> </w:t>
      </w:r>
      <w:r>
        <w:rPr>
          <w:color w:val="231F20"/>
          <w:spacing w:val="-2"/>
        </w:rPr>
        <w:t>ведущий</w:t>
      </w:r>
      <w:r>
        <w:rPr>
          <w:color w:val="231F20"/>
          <w:spacing w:val="-6"/>
        </w:rPr>
        <w:t> </w:t>
      </w:r>
      <w:r>
        <w:rPr>
          <w:color w:val="231F20"/>
          <w:spacing w:val="-2"/>
        </w:rPr>
        <w:t>объявляет</w:t>
      </w:r>
      <w:r>
        <w:rPr>
          <w:color w:val="231F20"/>
          <w:spacing w:val="-6"/>
        </w:rPr>
        <w:t> </w:t>
      </w:r>
      <w:r>
        <w:rPr>
          <w:color w:val="231F20"/>
          <w:spacing w:val="-2"/>
        </w:rPr>
        <w:t>первую</w:t>
      </w:r>
      <w:r>
        <w:rPr>
          <w:color w:val="231F20"/>
          <w:spacing w:val="-6"/>
        </w:rPr>
        <w:t> </w:t>
      </w:r>
      <w:r>
        <w:rPr>
          <w:color w:val="231F20"/>
          <w:spacing w:val="-2"/>
        </w:rPr>
        <w:t>часть</w:t>
      </w:r>
      <w:r>
        <w:rPr>
          <w:color w:val="231F20"/>
          <w:spacing w:val="-6"/>
        </w:rPr>
        <w:t> </w:t>
      </w:r>
      <w:r>
        <w:rPr>
          <w:color w:val="231F20"/>
          <w:spacing w:val="-2"/>
        </w:rPr>
        <w:t>игры</w:t>
      </w:r>
      <w:r>
        <w:rPr>
          <w:color w:val="231F20"/>
          <w:spacing w:val="-6"/>
        </w:rPr>
        <w:t> </w:t>
      </w:r>
      <w:r>
        <w:rPr>
          <w:color w:val="231F20"/>
          <w:spacing w:val="-2"/>
        </w:rPr>
        <w:t>законченной</w:t>
      </w:r>
      <w:r>
        <w:rPr>
          <w:color w:val="231F20"/>
          <w:spacing w:val="-6"/>
        </w:rPr>
        <w:t> </w:t>
      </w:r>
      <w:r>
        <w:rPr>
          <w:color w:val="231F20"/>
          <w:spacing w:val="-2"/>
        </w:rPr>
        <w:t>– </w:t>
      </w:r>
      <w:r>
        <w:rPr>
          <w:color w:val="231F20"/>
        </w:rPr>
        <w:t>участники</w:t>
      </w:r>
      <w:r>
        <w:rPr>
          <w:color w:val="231F20"/>
          <w:spacing w:val="-13"/>
        </w:rPr>
        <w:t> </w:t>
      </w:r>
      <w:r>
        <w:rPr>
          <w:color w:val="231F20"/>
        </w:rPr>
        <w:t>собирают</w:t>
      </w:r>
      <w:r>
        <w:rPr>
          <w:color w:val="231F20"/>
          <w:spacing w:val="-12"/>
        </w:rPr>
        <w:t> </w:t>
      </w:r>
      <w:r>
        <w:rPr>
          <w:color w:val="231F20"/>
        </w:rPr>
        <w:t>информацию,</w:t>
      </w:r>
      <w:r>
        <w:rPr>
          <w:color w:val="231F20"/>
          <w:spacing w:val="-13"/>
        </w:rPr>
        <w:t> </w:t>
      </w:r>
      <w:r>
        <w:rPr>
          <w:color w:val="231F20"/>
        </w:rPr>
        <w:t>общаясь</w:t>
      </w:r>
      <w:r>
        <w:rPr>
          <w:color w:val="231F20"/>
          <w:spacing w:val="-12"/>
        </w:rPr>
        <w:t> </w:t>
      </w:r>
      <w:r>
        <w:rPr>
          <w:color w:val="231F20"/>
        </w:rPr>
        <w:t>со</w:t>
      </w:r>
      <w:r>
        <w:rPr>
          <w:color w:val="231F20"/>
          <w:spacing w:val="-13"/>
        </w:rPr>
        <w:t> </w:t>
      </w:r>
      <w:r>
        <w:rPr>
          <w:color w:val="231F20"/>
        </w:rPr>
        <w:t>своими</w:t>
      </w:r>
      <w:r>
        <w:rPr>
          <w:color w:val="231F20"/>
          <w:spacing w:val="-12"/>
        </w:rPr>
        <w:t> </w:t>
      </w:r>
      <w:r>
        <w:rPr>
          <w:color w:val="231F20"/>
        </w:rPr>
        <w:t>соотечественниками</w:t>
      </w:r>
      <w:r>
        <w:rPr>
          <w:color w:val="231F20"/>
          <w:spacing w:val="-13"/>
        </w:rPr>
        <w:t> </w:t>
      </w:r>
      <w:r>
        <w:rPr>
          <w:color w:val="231F20"/>
        </w:rPr>
        <w:t>по</w:t>
      </w:r>
      <w:r>
        <w:rPr>
          <w:color w:val="231F20"/>
          <w:spacing w:val="-12"/>
        </w:rPr>
        <w:t> </w:t>
      </w:r>
      <w:r>
        <w:rPr>
          <w:color w:val="231F20"/>
        </w:rPr>
        <w:t>прави- лам</w:t>
      </w:r>
      <w:r>
        <w:rPr>
          <w:color w:val="231F20"/>
          <w:spacing w:val="-6"/>
        </w:rPr>
        <w:t> </w:t>
      </w:r>
      <w:r>
        <w:rPr>
          <w:color w:val="231F20"/>
        </w:rPr>
        <w:t>своей</w:t>
      </w:r>
      <w:r>
        <w:rPr>
          <w:color w:val="231F20"/>
          <w:spacing w:val="-6"/>
        </w:rPr>
        <w:t> </w:t>
      </w:r>
      <w:r>
        <w:rPr>
          <w:color w:val="231F20"/>
        </w:rPr>
        <w:t>страны.</w:t>
      </w:r>
      <w:r>
        <w:rPr>
          <w:color w:val="231F20"/>
          <w:spacing w:val="-6"/>
        </w:rPr>
        <w:t> </w:t>
      </w:r>
      <w:r>
        <w:rPr>
          <w:color w:val="231F20"/>
        </w:rPr>
        <w:t>Через</w:t>
      </w:r>
      <w:r>
        <w:rPr>
          <w:color w:val="231F20"/>
          <w:spacing w:val="-6"/>
        </w:rPr>
        <w:t> </w:t>
      </w:r>
      <w:r>
        <w:rPr>
          <w:color w:val="231F20"/>
        </w:rPr>
        <w:t>7–10</w:t>
      </w:r>
      <w:r>
        <w:rPr>
          <w:color w:val="231F20"/>
          <w:spacing w:val="-6"/>
        </w:rPr>
        <w:t> </w:t>
      </w:r>
      <w:r>
        <w:rPr>
          <w:color w:val="231F20"/>
        </w:rPr>
        <w:t>минут</w:t>
      </w:r>
      <w:r>
        <w:rPr>
          <w:color w:val="231F20"/>
          <w:spacing w:val="-6"/>
        </w:rPr>
        <w:t> </w:t>
      </w:r>
      <w:r>
        <w:rPr>
          <w:color w:val="231F20"/>
        </w:rPr>
        <w:t>(в</w:t>
      </w:r>
      <w:r>
        <w:rPr>
          <w:color w:val="231F20"/>
          <w:spacing w:val="-6"/>
        </w:rPr>
        <w:t> </w:t>
      </w:r>
      <w:r>
        <w:rPr>
          <w:color w:val="231F20"/>
        </w:rPr>
        <w:t>зависимости</w:t>
      </w:r>
      <w:r>
        <w:rPr>
          <w:color w:val="231F20"/>
          <w:spacing w:val="-6"/>
        </w:rPr>
        <w:t> </w:t>
      </w:r>
      <w:r>
        <w:rPr>
          <w:color w:val="231F20"/>
        </w:rPr>
        <w:t>от</w:t>
      </w:r>
      <w:r>
        <w:rPr>
          <w:color w:val="231F20"/>
          <w:spacing w:val="-6"/>
        </w:rPr>
        <w:t> </w:t>
      </w:r>
      <w:r>
        <w:rPr>
          <w:color w:val="231F20"/>
        </w:rPr>
        <w:t>количества</w:t>
      </w:r>
      <w:r>
        <w:rPr>
          <w:color w:val="231F20"/>
          <w:spacing w:val="-6"/>
        </w:rPr>
        <w:t> </w:t>
      </w:r>
      <w:r>
        <w:rPr>
          <w:color w:val="231F20"/>
        </w:rPr>
        <w:t>игроков)</w:t>
      </w:r>
      <w:r>
        <w:rPr>
          <w:color w:val="231F20"/>
          <w:spacing w:val="-6"/>
        </w:rPr>
        <w:t> </w:t>
      </w:r>
      <w:r>
        <w:rPr>
          <w:color w:val="231F20"/>
        </w:rPr>
        <w:t>ведущий объявляет вторую часть игры: участники собирают информацию, общаясь со всеми игроками по правилам своей страны и стараясь разобраться в правилах соседей.</w:t>
      </w:r>
    </w:p>
    <w:p>
      <w:pPr>
        <w:pStyle w:val="BodyText"/>
        <w:spacing w:line="228" w:lineRule="auto" w:before="50"/>
      </w:pPr>
      <w:r>
        <w:rPr>
          <w:color w:val="231F20"/>
          <w:spacing w:val="-4"/>
        </w:rPr>
        <w:t>По завершении второго этапа проходит обсуждение. Сперва группа обсуждает отве- </w:t>
      </w:r>
      <w:r>
        <w:rPr>
          <w:color w:val="231F20"/>
          <w:spacing w:val="-2"/>
        </w:rPr>
        <w:t>ты</w:t>
      </w:r>
      <w:r>
        <w:rPr>
          <w:color w:val="231F20"/>
          <w:spacing w:val="-9"/>
        </w:rPr>
        <w:t> </w:t>
      </w:r>
      <w:r>
        <w:rPr>
          <w:color w:val="231F20"/>
          <w:spacing w:val="-2"/>
        </w:rPr>
        <w:t>на</w:t>
      </w:r>
      <w:r>
        <w:rPr>
          <w:color w:val="231F20"/>
          <w:spacing w:val="-9"/>
        </w:rPr>
        <w:t> </w:t>
      </w:r>
      <w:r>
        <w:rPr>
          <w:color w:val="231F20"/>
          <w:spacing w:val="-2"/>
        </w:rPr>
        <w:t>вопросы</w:t>
      </w:r>
      <w:r>
        <w:rPr>
          <w:color w:val="231F20"/>
          <w:spacing w:val="-9"/>
        </w:rPr>
        <w:t> </w:t>
      </w:r>
      <w:r>
        <w:rPr>
          <w:color w:val="231F20"/>
          <w:spacing w:val="-2"/>
        </w:rPr>
        <w:t>из</w:t>
      </w:r>
      <w:r>
        <w:rPr>
          <w:color w:val="231F20"/>
          <w:spacing w:val="-9"/>
        </w:rPr>
        <w:t> </w:t>
      </w:r>
      <w:r>
        <w:rPr>
          <w:color w:val="231F20"/>
          <w:spacing w:val="-2"/>
        </w:rPr>
        <w:t>опросника,</w:t>
      </w:r>
      <w:r>
        <w:rPr>
          <w:color w:val="231F20"/>
          <w:spacing w:val="-9"/>
        </w:rPr>
        <w:t> </w:t>
      </w:r>
      <w:r>
        <w:rPr>
          <w:color w:val="231F20"/>
          <w:spacing w:val="-2"/>
        </w:rPr>
        <w:t>который</w:t>
      </w:r>
      <w:r>
        <w:rPr>
          <w:color w:val="231F20"/>
          <w:spacing w:val="-9"/>
        </w:rPr>
        <w:t> </w:t>
      </w:r>
      <w:r>
        <w:rPr>
          <w:color w:val="231F20"/>
          <w:spacing w:val="-2"/>
        </w:rPr>
        <w:t>получили</w:t>
      </w:r>
      <w:r>
        <w:rPr>
          <w:color w:val="231F20"/>
          <w:spacing w:val="-9"/>
        </w:rPr>
        <w:t> </w:t>
      </w:r>
      <w:r>
        <w:rPr>
          <w:color w:val="231F20"/>
          <w:spacing w:val="-2"/>
        </w:rPr>
        <w:t>вначале,</w:t>
      </w:r>
      <w:r>
        <w:rPr>
          <w:color w:val="231F20"/>
          <w:spacing w:val="-9"/>
        </w:rPr>
        <w:t> </w:t>
      </w:r>
      <w:r>
        <w:rPr>
          <w:color w:val="231F20"/>
          <w:spacing w:val="-2"/>
        </w:rPr>
        <w:t>а</w:t>
      </w:r>
      <w:r>
        <w:rPr>
          <w:color w:val="231F20"/>
          <w:spacing w:val="-9"/>
        </w:rPr>
        <w:t> </w:t>
      </w:r>
      <w:r>
        <w:rPr>
          <w:color w:val="231F20"/>
          <w:spacing w:val="-2"/>
        </w:rPr>
        <w:t>затем</w:t>
      </w:r>
      <w:r>
        <w:rPr>
          <w:color w:val="231F20"/>
          <w:spacing w:val="-9"/>
        </w:rPr>
        <w:t> </w:t>
      </w:r>
      <w:r>
        <w:rPr>
          <w:color w:val="231F20"/>
          <w:spacing w:val="-2"/>
        </w:rPr>
        <w:t>ведущий</w:t>
      </w:r>
      <w:r>
        <w:rPr>
          <w:color w:val="231F20"/>
          <w:spacing w:val="-9"/>
        </w:rPr>
        <w:t> </w:t>
      </w:r>
      <w:r>
        <w:rPr>
          <w:color w:val="231F20"/>
          <w:spacing w:val="-2"/>
        </w:rPr>
        <w:t>спрашивает:</w:t>
      </w:r>
    </w:p>
    <w:p>
      <w:pPr>
        <w:pStyle w:val="ListParagraph"/>
        <w:numPr>
          <w:ilvl w:val="2"/>
          <w:numId w:val="283"/>
        </w:numPr>
        <w:tabs>
          <w:tab w:pos="424" w:val="left" w:leader="none"/>
        </w:tabs>
        <w:spacing w:line="214" w:lineRule="exact" w:before="0" w:after="0"/>
        <w:ind w:left="424" w:right="0" w:hanging="283"/>
        <w:jc w:val="left"/>
        <w:rPr>
          <w:i/>
          <w:color w:val="231F20"/>
          <w:sz w:val="20"/>
        </w:rPr>
      </w:pPr>
      <w:r>
        <w:rPr>
          <w:i/>
          <w:color w:val="231F20"/>
          <w:sz w:val="20"/>
        </w:rPr>
        <w:t>Как</w:t>
      </w:r>
      <w:r>
        <w:rPr>
          <w:i/>
          <w:color w:val="231F20"/>
          <w:spacing w:val="-6"/>
          <w:sz w:val="20"/>
        </w:rPr>
        <w:t> </w:t>
      </w:r>
      <w:r>
        <w:rPr>
          <w:i/>
          <w:color w:val="231F20"/>
          <w:sz w:val="20"/>
        </w:rPr>
        <w:t>вы</w:t>
      </w:r>
      <w:r>
        <w:rPr>
          <w:i/>
          <w:color w:val="231F20"/>
          <w:spacing w:val="-6"/>
          <w:sz w:val="20"/>
        </w:rPr>
        <w:t> </w:t>
      </w:r>
      <w:r>
        <w:rPr>
          <w:i/>
          <w:color w:val="231F20"/>
          <w:sz w:val="20"/>
        </w:rPr>
        <w:t>себя</w:t>
      </w:r>
      <w:r>
        <w:rPr>
          <w:i/>
          <w:color w:val="231F20"/>
          <w:spacing w:val="-6"/>
          <w:sz w:val="20"/>
        </w:rPr>
        <w:t> </w:t>
      </w:r>
      <w:r>
        <w:rPr>
          <w:i/>
          <w:color w:val="231F20"/>
          <w:sz w:val="20"/>
        </w:rPr>
        <w:t>чувствовали</w:t>
      </w:r>
      <w:r>
        <w:rPr>
          <w:i/>
          <w:color w:val="231F20"/>
          <w:spacing w:val="-5"/>
          <w:sz w:val="20"/>
        </w:rPr>
        <w:t> </w:t>
      </w:r>
      <w:r>
        <w:rPr>
          <w:i/>
          <w:color w:val="231F20"/>
          <w:sz w:val="20"/>
        </w:rPr>
        <w:t>во</w:t>
      </w:r>
      <w:r>
        <w:rPr>
          <w:i/>
          <w:color w:val="231F20"/>
          <w:spacing w:val="-6"/>
          <w:sz w:val="20"/>
        </w:rPr>
        <w:t> </w:t>
      </w:r>
      <w:r>
        <w:rPr>
          <w:i/>
          <w:color w:val="231F20"/>
          <w:sz w:val="20"/>
        </w:rPr>
        <w:t>время</w:t>
      </w:r>
      <w:r>
        <w:rPr>
          <w:i/>
          <w:color w:val="231F20"/>
          <w:spacing w:val="-5"/>
          <w:sz w:val="20"/>
        </w:rPr>
        <w:t> </w:t>
      </w:r>
      <w:r>
        <w:rPr>
          <w:i/>
          <w:color w:val="231F20"/>
          <w:spacing w:val="-2"/>
          <w:sz w:val="20"/>
        </w:rPr>
        <w:t>игры?</w:t>
      </w:r>
    </w:p>
    <w:p>
      <w:pPr>
        <w:pStyle w:val="ListParagraph"/>
        <w:numPr>
          <w:ilvl w:val="2"/>
          <w:numId w:val="283"/>
        </w:numPr>
        <w:tabs>
          <w:tab w:pos="424" w:val="left" w:leader="none"/>
        </w:tabs>
        <w:spacing w:line="218" w:lineRule="exact" w:before="0" w:after="0"/>
        <w:ind w:left="424" w:right="0" w:hanging="283"/>
        <w:jc w:val="left"/>
        <w:rPr>
          <w:i/>
          <w:color w:val="231F20"/>
          <w:sz w:val="20"/>
        </w:rPr>
      </w:pPr>
      <w:r>
        <w:rPr>
          <w:i/>
          <w:color w:val="231F20"/>
          <w:sz w:val="20"/>
        </w:rPr>
        <w:t>Что</w:t>
      </w:r>
      <w:r>
        <w:rPr>
          <w:i/>
          <w:color w:val="231F20"/>
          <w:spacing w:val="-1"/>
          <w:sz w:val="20"/>
        </w:rPr>
        <w:t> </w:t>
      </w:r>
      <w:r>
        <w:rPr>
          <w:i/>
          <w:color w:val="231F20"/>
          <w:sz w:val="20"/>
        </w:rPr>
        <w:t>было сложным, а что </w:t>
      </w:r>
      <w:r>
        <w:rPr>
          <w:i/>
          <w:color w:val="231F20"/>
          <w:spacing w:val="-2"/>
          <w:sz w:val="20"/>
        </w:rPr>
        <w:t>легким?</w:t>
      </w:r>
    </w:p>
    <w:p>
      <w:pPr>
        <w:pStyle w:val="ListParagraph"/>
        <w:numPr>
          <w:ilvl w:val="2"/>
          <w:numId w:val="283"/>
        </w:numPr>
        <w:tabs>
          <w:tab w:pos="424" w:val="left" w:leader="none"/>
        </w:tabs>
        <w:spacing w:line="218" w:lineRule="exact" w:before="0" w:after="0"/>
        <w:ind w:left="424" w:right="0" w:hanging="283"/>
        <w:jc w:val="left"/>
        <w:rPr>
          <w:i/>
          <w:color w:val="231F20"/>
          <w:sz w:val="20"/>
        </w:rPr>
      </w:pPr>
      <w:r>
        <w:rPr>
          <w:i/>
          <w:color w:val="231F20"/>
          <w:sz w:val="20"/>
        </w:rPr>
        <w:t>Какими</w:t>
      </w:r>
      <w:r>
        <w:rPr>
          <w:i/>
          <w:color w:val="231F20"/>
          <w:spacing w:val="-10"/>
          <w:sz w:val="20"/>
        </w:rPr>
        <w:t> </w:t>
      </w:r>
      <w:r>
        <w:rPr>
          <w:i/>
          <w:color w:val="231F20"/>
          <w:sz w:val="20"/>
        </w:rPr>
        <w:t>вам</w:t>
      </w:r>
      <w:r>
        <w:rPr>
          <w:i/>
          <w:color w:val="231F20"/>
          <w:spacing w:val="-9"/>
          <w:sz w:val="20"/>
        </w:rPr>
        <w:t> </w:t>
      </w:r>
      <w:r>
        <w:rPr>
          <w:i/>
          <w:color w:val="231F20"/>
          <w:sz w:val="20"/>
        </w:rPr>
        <w:t>показались</w:t>
      </w:r>
      <w:r>
        <w:rPr>
          <w:i/>
          <w:color w:val="231F20"/>
          <w:spacing w:val="-9"/>
          <w:sz w:val="20"/>
        </w:rPr>
        <w:t> </w:t>
      </w:r>
      <w:r>
        <w:rPr>
          <w:i/>
          <w:color w:val="231F20"/>
          <w:sz w:val="20"/>
        </w:rPr>
        <w:t>собеседники</w:t>
      </w:r>
      <w:r>
        <w:rPr>
          <w:i/>
          <w:color w:val="231F20"/>
          <w:spacing w:val="-8"/>
          <w:sz w:val="20"/>
        </w:rPr>
        <w:t> </w:t>
      </w:r>
      <w:r>
        <w:rPr>
          <w:i/>
          <w:color w:val="231F20"/>
          <w:sz w:val="20"/>
        </w:rPr>
        <w:t>из</w:t>
      </w:r>
      <w:r>
        <w:rPr>
          <w:i/>
          <w:color w:val="231F20"/>
          <w:spacing w:val="-9"/>
          <w:sz w:val="20"/>
        </w:rPr>
        <w:t> </w:t>
      </w:r>
      <w:r>
        <w:rPr>
          <w:i/>
          <w:color w:val="231F20"/>
          <w:sz w:val="20"/>
        </w:rPr>
        <w:t>соседней</w:t>
      </w:r>
      <w:r>
        <w:rPr>
          <w:i/>
          <w:color w:val="231F20"/>
          <w:spacing w:val="-7"/>
          <w:sz w:val="20"/>
        </w:rPr>
        <w:t> </w:t>
      </w:r>
      <w:r>
        <w:rPr>
          <w:i/>
          <w:color w:val="231F20"/>
          <w:spacing w:val="-2"/>
          <w:sz w:val="20"/>
        </w:rPr>
        <w:t>страны?</w:t>
      </w:r>
    </w:p>
    <w:p>
      <w:pPr>
        <w:pStyle w:val="ListParagraph"/>
        <w:numPr>
          <w:ilvl w:val="2"/>
          <w:numId w:val="283"/>
        </w:numPr>
        <w:tabs>
          <w:tab w:pos="424" w:val="left" w:leader="none"/>
        </w:tabs>
        <w:spacing w:line="218" w:lineRule="exact" w:before="0" w:after="0"/>
        <w:ind w:left="424" w:right="0" w:hanging="283"/>
        <w:jc w:val="left"/>
        <w:rPr>
          <w:i/>
          <w:color w:val="231F20"/>
          <w:sz w:val="20"/>
        </w:rPr>
      </w:pPr>
      <w:r>
        <w:rPr>
          <w:i/>
          <w:color w:val="231F20"/>
          <w:sz w:val="20"/>
        </w:rPr>
        <w:t>Что</w:t>
      </w:r>
      <w:r>
        <w:rPr>
          <w:i/>
          <w:color w:val="231F20"/>
          <w:spacing w:val="-1"/>
          <w:sz w:val="20"/>
        </w:rPr>
        <w:t> </w:t>
      </w:r>
      <w:r>
        <w:rPr>
          <w:i/>
          <w:color w:val="231F20"/>
          <w:sz w:val="20"/>
        </w:rPr>
        <w:t>вам</w:t>
      </w:r>
      <w:r>
        <w:rPr>
          <w:i/>
          <w:color w:val="231F20"/>
          <w:spacing w:val="-1"/>
          <w:sz w:val="20"/>
        </w:rPr>
        <w:t> </w:t>
      </w:r>
      <w:r>
        <w:rPr>
          <w:i/>
          <w:color w:val="231F20"/>
          <w:sz w:val="20"/>
        </w:rPr>
        <w:t>мешало </w:t>
      </w:r>
      <w:r>
        <w:rPr>
          <w:i/>
          <w:color w:val="231F20"/>
          <w:spacing w:val="-2"/>
          <w:sz w:val="20"/>
        </w:rPr>
        <w:t>общаться?</w:t>
      </w:r>
    </w:p>
    <w:p>
      <w:pPr>
        <w:pStyle w:val="ListParagraph"/>
        <w:numPr>
          <w:ilvl w:val="2"/>
          <w:numId w:val="283"/>
        </w:numPr>
        <w:tabs>
          <w:tab w:pos="424" w:val="left" w:leader="none"/>
        </w:tabs>
        <w:spacing w:line="218" w:lineRule="exact" w:before="0" w:after="0"/>
        <w:ind w:left="424" w:right="0" w:hanging="283"/>
        <w:jc w:val="left"/>
        <w:rPr>
          <w:i/>
          <w:color w:val="231F20"/>
          <w:sz w:val="20"/>
        </w:rPr>
      </w:pPr>
      <w:r>
        <w:rPr>
          <w:i/>
          <w:color w:val="231F20"/>
          <w:sz w:val="20"/>
        </w:rPr>
        <w:t>Что</w:t>
      </w:r>
      <w:r>
        <w:rPr>
          <w:i/>
          <w:color w:val="231F20"/>
          <w:spacing w:val="-3"/>
          <w:sz w:val="20"/>
        </w:rPr>
        <w:t> </w:t>
      </w:r>
      <w:r>
        <w:rPr>
          <w:i/>
          <w:color w:val="231F20"/>
          <w:sz w:val="20"/>
        </w:rPr>
        <w:t>помогало</w:t>
      </w:r>
      <w:r>
        <w:rPr>
          <w:i/>
          <w:color w:val="231F20"/>
          <w:spacing w:val="-2"/>
          <w:sz w:val="20"/>
        </w:rPr>
        <w:t> </w:t>
      </w:r>
      <w:r>
        <w:rPr>
          <w:i/>
          <w:color w:val="231F20"/>
          <w:sz w:val="20"/>
        </w:rPr>
        <w:t>в</w:t>
      </w:r>
      <w:r>
        <w:rPr>
          <w:i/>
          <w:color w:val="231F20"/>
          <w:spacing w:val="-2"/>
          <w:sz w:val="20"/>
        </w:rPr>
        <w:t> общении?</w:t>
      </w:r>
    </w:p>
    <w:p>
      <w:pPr>
        <w:pStyle w:val="ListParagraph"/>
        <w:numPr>
          <w:ilvl w:val="2"/>
          <w:numId w:val="283"/>
        </w:numPr>
        <w:tabs>
          <w:tab w:pos="424" w:val="left" w:leader="none"/>
        </w:tabs>
        <w:spacing w:line="218" w:lineRule="exact" w:before="0" w:after="0"/>
        <w:ind w:left="424" w:right="0" w:hanging="283"/>
        <w:jc w:val="left"/>
        <w:rPr>
          <w:i/>
          <w:color w:val="231F20"/>
          <w:sz w:val="20"/>
        </w:rPr>
      </w:pPr>
      <w:r>
        <w:rPr>
          <w:i/>
          <w:color w:val="231F20"/>
          <w:sz w:val="20"/>
        </w:rPr>
        <w:t>На</w:t>
      </w:r>
      <w:r>
        <w:rPr>
          <w:i/>
          <w:color w:val="231F20"/>
          <w:spacing w:val="-6"/>
          <w:sz w:val="20"/>
        </w:rPr>
        <w:t> </w:t>
      </w:r>
      <w:r>
        <w:rPr>
          <w:i/>
          <w:color w:val="231F20"/>
          <w:sz w:val="20"/>
        </w:rPr>
        <w:t>какие</w:t>
      </w:r>
      <w:r>
        <w:rPr>
          <w:i/>
          <w:color w:val="231F20"/>
          <w:spacing w:val="-5"/>
          <w:sz w:val="20"/>
        </w:rPr>
        <w:t> </w:t>
      </w:r>
      <w:r>
        <w:rPr>
          <w:i/>
          <w:color w:val="231F20"/>
          <w:sz w:val="20"/>
        </w:rPr>
        <w:t>реальные</w:t>
      </w:r>
      <w:r>
        <w:rPr>
          <w:i/>
          <w:color w:val="231F20"/>
          <w:spacing w:val="-6"/>
          <w:sz w:val="20"/>
        </w:rPr>
        <w:t> </w:t>
      </w:r>
      <w:r>
        <w:rPr>
          <w:i/>
          <w:color w:val="231F20"/>
          <w:sz w:val="20"/>
        </w:rPr>
        <w:t>ситуации</w:t>
      </w:r>
      <w:r>
        <w:rPr>
          <w:i/>
          <w:color w:val="231F20"/>
          <w:spacing w:val="-5"/>
          <w:sz w:val="20"/>
        </w:rPr>
        <w:t> </w:t>
      </w:r>
      <w:r>
        <w:rPr>
          <w:i/>
          <w:color w:val="231F20"/>
          <w:sz w:val="20"/>
        </w:rPr>
        <w:t>похожа</w:t>
      </w:r>
      <w:r>
        <w:rPr>
          <w:i/>
          <w:color w:val="231F20"/>
          <w:spacing w:val="-6"/>
          <w:sz w:val="20"/>
        </w:rPr>
        <w:t> </w:t>
      </w:r>
      <w:r>
        <w:rPr>
          <w:i/>
          <w:color w:val="231F20"/>
          <w:sz w:val="20"/>
        </w:rPr>
        <w:t>эта</w:t>
      </w:r>
      <w:r>
        <w:rPr>
          <w:i/>
          <w:color w:val="231F20"/>
          <w:spacing w:val="-5"/>
          <w:sz w:val="20"/>
        </w:rPr>
        <w:t> </w:t>
      </w:r>
      <w:r>
        <w:rPr>
          <w:i/>
          <w:color w:val="231F20"/>
          <w:spacing w:val="-2"/>
          <w:sz w:val="20"/>
        </w:rPr>
        <w:t>игра?</w:t>
      </w:r>
    </w:p>
    <w:p>
      <w:pPr>
        <w:pStyle w:val="ListParagraph"/>
        <w:numPr>
          <w:ilvl w:val="2"/>
          <w:numId w:val="283"/>
        </w:numPr>
        <w:tabs>
          <w:tab w:pos="424" w:val="left" w:leader="none"/>
        </w:tabs>
        <w:spacing w:line="224" w:lineRule="exact" w:before="0" w:after="0"/>
        <w:ind w:left="424" w:right="0" w:hanging="283"/>
        <w:jc w:val="left"/>
        <w:rPr>
          <w:i/>
          <w:color w:val="231F20"/>
          <w:sz w:val="20"/>
        </w:rPr>
      </w:pPr>
      <w:r>
        <w:rPr>
          <w:i/>
          <w:color w:val="231F20"/>
          <w:sz w:val="20"/>
        </w:rPr>
        <w:t>Что</w:t>
      </w:r>
      <w:r>
        <w:rPr>
          <w:i/>
          <w:color w:val="231F20"/>
          <w:spacing w:val="-2"/>
          <w:sz w:val="20"/>
        </w:rPr>
        <w:t> </w:t>
      </w:r>
      <w:r>
        <w:rPr>
          <w:i/>
          <w:color w:val="231F20"/>
          <w:sz w:val="20"/>
        </w:rPr>
        <w:t>можно</w:t>
      </w:r>
      <w:r>
        <w:rPr>
          <w:i/>
          <w:color w:val="231F20"/>
          <w:spacing w:val="-2"/>
          <w:sz w:val="20"/>
        </w:rPr>
        <w:t> </w:t>
      </w:r>
      <w:r>
        <w:rPr>
          <w:i/>
          <w:color w:val="231F20"/>
          <w:sz w:val="20"/>
        </w:rPr>
        <w:t>сделать,</w:t>
      </w:r>
      <w:r>
        <w:rPr>
          <w:i/>
          <w:color w:val="231F20"/>
          <w:spacing w:val="-1"/>
          <w:sz w:val="20"/>
        </w:rPr>
        <w:t> </w:t>
      </w:r>
      <w:r>
        <w:rPr>
          <w:i/>
          <w:color w:val="231F20"/>
          <w:sz w:val="20"/>
        </w:rPr>
        <w:t>чтобы</w:t>
      </w:r>
      <w:r>
        <w:rPr>
          <w:i/>
          <w:color w:val="231F20"/>
          <w:spacing w:val="-3"/>
          <w:sz w:val="20"/>
        </w:rPr>
        <w:t> </w:t>
      </w:r>
      <w:r>
        <w:rPr>
          <w:i/>
          <w:color w:val="231F20"/>
          <w:sz w:val="20"/>
        </w:rPr>
        <w:t>справиться</w:t>
      </w:r>
      <w:r>
        <w:rPr>
          <w:i/>
          <w:color w:val="231F20"/>
          <w:spacing w:val="-2"/>
          <w:sz w:val="20"/>
        </w:rPr>
        <w:t> </w:t>
      </w:r>
      <w:r>
        <w:rPr>
          <w:i/>
          <w:color w:val="231F20"/>
          <w:sz w:val="20"/>
        </w:rPr>
        <w:t>с</w:t>
      </w:r>
      <w:r>
        <w:rPr>
          <w:i/>
          <w:color w:val="231F20"/>
          <w:spacing w:val="-1"/>
          <w:sz w:val="20"/>
        </w:rPr>
        <w:t> </w:t>
      </w:r>
      <w:r>
        <w:rPr>
          <w:i/>
          <w:color w:val="231F20"/>
          <w:sz w:val="20"/>
        </w:rPr>
        <w:t>заданием</w:t>
      </w:r>
      <w:r>
        <w:rPr>
          <w:i/>
          <w:color w:val="231F20"/>
          <w:spacing w:val="-3"/>
          <w:sz w:val="20"/>
        </w:rPr>
        <w:t> </w:t>
      </w:r>
      <w:r>
        <w:rPr>
          <w:i/>
          <w:color w:val="231F20"/>
          <w:sz w:val="20"/>
        </w:rPr>
        <w:t>было</w:t>
      </w:r>
      <w:r>
        <w:rPr>
          <w:i/>
          <w:color w:val="231F20"/>
          <w:spacing w:val="-1"/>
          <w:sz w:val="20"/>
        </w:rPr>
        <w:t> </w:t>
      </w:r>
      <w:r>
        <w:rPr>
          <w:i/>
          <w:color w:val="231F20"/>
          <w:spacing w:val="-2"/>
          <w:sz w:val="20"/>
        </w:rPr>
        <w:t>проще?</w:t>
      </w:r>
    </w:p>
    <w:p>
      <w:pPr>
        <w:spacing w:line="224" w:lineRule="exact" w:before="45"/>
        <w:ind w:left="425" w:right="0" w:firstLine="0"/>
        <w:jc w:val="both"/>
        <w:rPr>
          <w:b/>
          <w:sz w:val="20"/>
        </w:rPr>
      </w:pPr>
      <w:r>
        <w:rPr>
          <w:b/>
          <w:color w:val="231F20"/>
          <w:sz w:val="20"/>
        </w:rPr>
        <w:t>Страна</w:t>
      </w:r>
      <w:r>
        <w:rPr>
          <w:b/>
          <w:color w:val="231F20"/>
          <w:spacing w:val="-1"/>
          <w:sz w:val="20"/>
        </w:rPr>
        <w:t> </w:t>
      </w:r>
      <w:r>
        <w:rPr>
          <w:b/>
          <w:color w:val="231F20"/>
          <w:spacing w:val="-2"/>
          <w:sz w:val="20"/>
        </w:rPr>
        <w:t>Альфа</w:t>
      </w:r>
    </w:p>
    <w:p>
      <w:pPr>
        <w:pStyle w:val="ListParagraph"/>
        <w:numPr>
          <w:ilvl w:val="3"/>
          <w:numId w:val="283"/>
        </w:numPr>
        <w:tabs>
          <w:tab w:pos="592" w:val="left" w:leader="none"/>
        </w:tabs>
        <w:spacing w:line="228" w:lineRule="auto" w:before="3" w:after="0"/>
        <w:ind w:left="141" w:right="139" w:firstLine="283"/>
        <w:jc w:val="both"/>
        <w:rPr>
          <w:i/>
          <w:sz w:val="20"/>
        </w:rPr>
      </w:pPr>
      <w:r>
        <w:rPr>
          <w:i/>
          <w:color w:val="231F20"/>
          <w:sz w:val="20"/>
        </w:rPr>
        <w:t>В вашей культуре у людей с длинными волосами статус выше, чем у людей с короткими волосами. Когда два человека начинают разговор, тот, у кого волосы короче, должен поклониться тому, у кого волосы длиннее. Если волосы примерно одинаковой</w:t>
      </w:r>
      <w:r>
        <w:rPr>
          <w:i/>
          <w:color w:val="231F20"/>
          <w:spacing w:val="-7"/>
          <w:sz w:val="20"/>
        </w:rPr>
        <w:t> </w:t>
      </w:r>
      <w:r>
        <w:rPr>
          <w:i/>
          <w:color w:val="231F20"/>
          <w:sz w:val="20"/>
        </w:rPr>
        <w:t>длины,</w:t>
      </w:r>
      <w:r>
        <w:rPr>
          <w:i/>
          <w:color w:val="231F20"/>
          <w:spacing w:val="-7"/>
          <w:sz w:val="20"/>
        </w:rPr>
        <w:t> </w:t>
      </w:r>
      <w:r>
        <w:rPr>
          <w:i/>
          <w:color w:val="231F20"/>
          <w:sz w:val="20"/>
        </w:rPr>
        <w:t>должны</w:t>
      </w:r>
      <w:r>
        <w:rPr>
          <w:i/>
          <w:color w:val="231F20"/>
          <w:spacing w:val="-7"/>
          <w:sz w:val="20"/>
        </w:rPr>
        <w:t> </w:t>
      </w:r>
      <w:r>
        <w:rPr>
          <w:i/>
          <w:color w:val="231F20"/>
          <w:sz w:val="20"/>
        </w:rPr>
        <w:t>поклониться</w:t>
      </w:r>
      <w:r>
        <w:rPr>
          <w:i/>
          <w:color w:val="231F20"/>
          <w:spacing w:val="-7"/>
          <w:sz w:val="20"/>
        </w:rPr>
        <w:t> </w:t>
      </w:r>
      <w:r>
        <w:rPr>
          <w:i/>
          <w:color w:val="231F20"/>
          <w:sz w:val="20"/>
        </w:rPr>
        <w:t>оба</w:t>
      </w:r>
      <w:r>
        <w:rPr>
          <w:i/>
          <w:color w:val="231F20"/>
          <w:spacing w:val="-7"/>
          <w:sz w:val="20"/>
        </w:rPr>
        <w:t> </w:t>
      </w:r>
      <w:r>
        <w:rPr>
          <w:i/>
          <w:color w:val="231F20"/>
          <w:sz w:val="20"/>
        </w:rPr>
        <w:t>собеседника.</w:t>
      </w:r>
      <w:r>
        <w:rPr>
          <w:i/>
          <w:color w:val="231F20"/>
          <w:spacing w:val="-7"/>
          <w:sz w:val="20"/>
        </w:rPr>
        <w:t> </w:t>
      </w:r>
      <w:r>
        <w:rPr>
          <w:i/>
          <w:color w:val="231F20"/>
          <w:sz w:val="20"/>
        </w:rPr>
        <w:t>Рукопожатие</w:t>
      </w:r>
      <w:r>
        <w:rPr>
          <w:i/>
          <w:color w:val="231F20"/>
          <w:spacing w:val="-7"/>
          <w:sz w:val="20"/>
        </w:rPr>
        <w:t> </w:t>
      </w:r>
      <w:r>
        <w:rPr>
          <w:i/>
          <w:color w:val="231F20"/>
          <w:sz w:val="20"/>
        </w:rPr>
        <w:t>считается неприличным. После поклона нужно немного поговорить друг с другом. Считается вежливым задавать вопросы о семье: сколько у вас детей, братьев или сестер, где живут</w:t>
      </w:r>
      <w:r>
        <w:rPr>
          <w:i/>
          <w:color w:val="231F20"/>
          <w:spacing w:val="-13"/>
          <w:sz w:val="20"/>
        </w:rPr>
        <w:t> </w:t>
      </w:r>
      <w:r>
        <w:rPr>
          <w:i/>
          <w:color w:val="231F20"/>
          <w:sz w:val="20"/>
        </w:rPr>
        <w:t>ваши</w:t>
      </w:r>
      <w:r>
        <w:rPr>
          <w:i/>
          <w:color w:val="231F20"/>
          <w:spacing w:val="-12"/>
          <w:sz w:val="20"/>
        </w:rPr>
        <w:t> </w:t>
      </w:r>
      <w:r>
        <w:rPr>
          <w:i/>
          <w:color w:val="231F20"/>
          <w:sz w:val="20"/>
        </w:rPr>
        <w:t>родители,</w:t>
      </w:r>
      <w:r>
        <w:rPr>
          <w:i/>
          <w:color w:val="231F20"/>
          <w:spacing w:val="-13"/>
          <w:sz w:val="20"/>
        </w:rPr>
        <w:t> </w:t>
      </w:r>
      <w:r>
        <w:rPr>
          <w:i/>
          <w:color w:val="231F20"/>
          <w:sz w:val="20"/>
        </w:rPr>
        <w:t>сколько</w:t>
      </w:r>
      <w:r>
        <w:rPr>
          <w:i/>
          <w:color w:val="231F20"/>
          <w:spacing w:val="-12"/>
          <w:sz w:val="20"/>
        </w:rPr>
        <w:t> </w:t>
      </w:r>
      <w:r>
        <w:rPr>
          <w:i/>
          <w:color w:val="231F20"/>
          <w:sz w:val="20"/>
        </w:rPr>
        <w:t>им</w:t>
      </w:r>
      <w:r>
        <w:rPr>
          <w:i/>
          <w:color w:val="231F20"/>
          <w:spacing w:val="-13"/>
          <w:sz w:val="20"/>
        </w:rPr>
        <w:t> </w:t>
      </w:r>
      <w:r>
        <w:rPr>
          <w:i/>
          <w:color w:val="231F20"/>
          <w:sz w:val="20"/>
        </w:rPr>
        <w:t>лет.</w:t>
      </w:r>
      <w:r>
        <w:rPr>
          <w:i/>
          <w:color w:val="231F20"/>
          <w:spacing w:val="-12"/>
          <w:sz w:val="20"/>
        </w:rPr>
        <w:t> </w:t>
      </w:r>
      <w:r>
        <w:rPr>
          <w:i/>
          <w:color w:val="231F20"/>
          <w:sz w:val="20"/>
        </w:rPr>
        <w:t>Обязательно</w:t>
      </w:r>
      <w:r>
        <w:rPr>
          <w:i/>
          <w:color w:val="231F20"/>
          <w:spacing w:val="-13"/>
          <w:sz w:val="20"/>
        </w:rPr>
        <w:t> </w:t>
      </w:r>
      <w:r>
        <w:rPr>
          <w:i/>
          <w:color w:val="231F20"/>
          <w:sz w:val="20"/>
        </w:rPr>
        <w:t>нужно</w:t>
      </w:r>
      <w:r>
        <w:rPr>
          <w:i/>
          <w:color w:val="231F20"/>
          <w:spacing w:val="-12"/>
          <w:sz w:val="20"/>
        </w:rPr>
        <w:t> </w:t>
      </w:r>
      <w:r>
        <w:rPr>
          <w:i/>
          <w:color w:val="231F20"/>
          <w:sz w:val="20"/>
        </w:rPr>
        <w:t>спрашивать,</w:t>
      </w:r>
      <w:r>
        <w:rPr>
          <w:i/>
          <w:color w:val="231F20"/>
          <w:spacing w:val="-13"/>
          <w:sz w:val="20"/>
        </w:rPr>
        <w:t> </w:t>
      </w:r>
      <w:r>
        <w:rPr>
          <w:i/>
          <w:color w:val="231F20"/>
          <w:sz w:val="20"/>
        </w:rPr>
        <w:t>длинные</w:t>
      </w:r>
      <w:r>
        <w:rPr>
          <w:i/>
          <w:color w:val="231F20"/>
          <w:spacing w:val="-12"/>
          <w:sz w:val="20"/>
        </w:rPr>
        <w:t> </w:t>
      </w:r>
      <w:r>
        <w:rPr>
          <w:i/>
          <w:color w:val="231F20"/>
          <w:sz w:val="20"/>
        </w:rPr>
        <w:t>ли волосы у тех, о ком идет речь.</w:t>
      </w:r>
    </w:p>
    <w:p>
      <w:pPr>
        <w:spacing w:line="224" w:lineRule="exact" w:before="44"/>
        <w:ind w:left="425" w:right="0" w:firstLine="0"/>
        <w:jc w:val="both"/>
        <w:rPr>
          <w:b/>
          <w:sz w:val="20"/>
        </w:rPr>
      </w:pPr>
      <w:r>
        <w:rPr>
          <w:b/>
          <w:color w:val="231F20"/>
          <w:sz w:val="20"/>
        </w:rPr>
        <w:t>Страна</w:t>
      </w:r>
      <w:r>
        <w:rPr>
          <w:b/>
          <w:color w:val="231F20"/>
          <w:spacing w:val="-3"/>
          <w:sz w:val="20"/>
        </w:rPr>
        <w:t> </w:t>
      </w:r>
      <w:r>
        <w:rPr>
          <w:b/>
          <w:color w:val="231F20"/>
          <w:spacing w:val="-4"/>
          <w:sz w:val="20"/>
        </w:rPr>
        <w:t>Бета</w:t>
      </w:r>
    </w:p>
    <w:p>
      <w:pPr>
        <w:pStyle w:val="ListParagraph"/>
        <w:numPr>
          <w:ilvl w:val="3"/>
          <w:numId w:val="283"/>
        </w:numPr>
        <w:tabs>
          <w:tab w:pos="606" w:val="left" w:leader="none"/>
        </w:tabs>
        <w:spacing w:line="230" w:lineRule="auto" w:before="1" w:after="0"/>
        <w:ind w:left="141" w:right="139" w:firstLine="283"/>
        <w:jc w:val="both"/>
        <w:rPr>
          <w:i/>
          <w:sz w:val="20"/>
        </w:rPr>
      </w:pPr>
      <w:r>
        <w:rPr>
          <w:i/>
          <w:color w:val="231F20"/>
          <w:sz w:val="20"/>
        </w:rPr>
        <w:t>В вашей культуре существуют определенные правила коммуникации. При ка- ждом</w:t>
      </w:r>
      <w:r>
        <w:rPr>
          <w:i/>
          <w:color w:val="231F20"/>
          <w:spacing w:val="-13"/>
          <w:sz w:val="20"/>
        </w:rPr>
        <w:t> </w:t>
      </w:r>
      <w:r>
        <w:rPr>
          <w:i/>
          <w:color w:val="231F20"/>
          <w:sz w:val="20"/>
        </w:rPr>
        <w:t>вопросе</w:t>
      </w:r>
      <w:r>
        <w:rPr>
          <w:i/>
          <w:color w:val="231F20"/>
          <w:spacing w:val="-12"/>
          <w:sz w:val="20"/>
        </w:rPr>
        <w:t> </w:t>
      </w:r>
      <w:r>
        <w:rPr>
          <w:i/>
          <w:color w:val="231F20"/>
          <w:sz w:val="20"/>
        </w:rPr>
        <w:t>у</w:t>
      </w:r>
      <w:r>
        <w:rPr>
          <w:i/>
          <w:color w:val="231F20"/>
          <w:spacing w:val="-13"/>
          <w:sz w:val="20"/>
        </w:rPr>
        <w:t> </w:t>
      </w:r>
      <w:r>
        <w:rPr>
          <w:i/>
          <w:color w:val="231F20"/>
          <w:sz w:val="20"/>
        </w:rPr>
        <w:t>вас</w:t>
      </w:r>
      <w:r>
        <w:rPr>
          <w:i/>
          <w:color w:val="231F20"/>
          <w:spacing w:val="-12"/>
          <w:sz w:val="20"/>
        </w:rPr>
        <w:t> </w:t>
      </w:r>
      <w:r>
        <w:rPr>
          <w:i/>
          <w:color w:val="231F20"/>
          <w:sz w:val="20"/>
        </w:rPr>
        <w:t>принято</w:t>
      </w:r>
      <w:r>
        <w:rPr>
          <w:i/>
          <w:color w:val="231F20"/>
          <w:spacing w:val="-13"/>
          <w:sz w:val="20"/>
        </w:rPr>
        <w:t> </w:t>
      </w:r>
      <w:r>
        <w:rPr>
          <w:i/>
          <w:color w:val="231F20"/>
          <w:sz w:val="20"/>
        </w:rPr>
        <w:t>хлопать.</w:t>
      </w:r>
      <w:r>
        <w:rPr>
          <w:i/>
          <w:color w:val="231F20"/>
          <w:spacing w:val="-12"/>
          <w:sz w:val="20"/>
        </w:rPr>
        <w:t> </w:t>
      </w:r>
      <w:r>
        <w:rPr>
          <w:i/>
          <w:color w:val="231F20"/>
          <w:sz w:val="20"/>
        </w:rPr>
        <w:t>Если</w:t>
      </w:r>
      <w:r>
        <w:rPr>
          <w:i/>
          <w:color w:val="231F20"/>
          <w:spacing w:val="-13"/>
          <w:sz w:val="20"/>
        </w:rPr>
        <w:t> </w:t>
      </w:r>
      <w:r>
        <w:rPr>
          <w:i/>
          <w:color w:val="231F20"/>
          <w:sz w:val="20"/>
        </w:rPr>
        <w:t>спрашивающий</w:t>
      </w:r>
      <w:r>
        <w:rPr>
          <w:i/>
          <w:color w:val="231F20"/>
          <w:spacing w:val="-12"/>
          <w:sz w:val="20"/>
        </w:rPr>
        <w:t> </w:t>
      </w:r>
      <w:r>
        <w:rPr>
          <w:i/>
          <w:color w:val="231F20"/>
          <w:sz w:val="20"/>
        </w:rPr>
        <w:t>не</w:t>
      </w:r>
      <w:r>
        <w:rPr>
          <w:i/>
          <w:color w:val="231F20"/>
          <w:spacing w:val="-13"/>
          <w:sz w:val="20"/>
        </w:rPr>
        <w:t> </w:t>
      </w:r>
      <w:r>
        <w:rPr>
          <w:i/>
          <w:color w:val="231F20"/>
          <w:sz w:val="20"/>
        </w:rPr>
        <w:t>хлопает,</w:t>
      </w:r>
      <w:r>
        <w:rPr>
          <w:i/>
          <w:color w:val="231F20"/>
          <w:spacing w:val="-12"/>
          <w:sz w:val="20"/>
        </w:rPr>
        <w:t> </w:t>
      </w:r>
      <w:r>
        <w:rPr>
          <w:i/>
          <w:color w:val="231F20"/>
          <w:sz w:val="20"/>
        </w:rPr>
        <w:t>на</w:t>
      </w:r>
      <w:r>
        <w:rPr>
          <w:i/>
          <w:color w:val="231F20"/>
          <w:spacing w:val="-13"/>
          <w:sz w:val="20"/>
        </w:rPr>
        <w:t> </w:t>
      </w:r>
      <w:r>
        <w:rPr>
          <w:i/>
          <w:color w:val="231F20"/>
          <w:sz w:val="20"/>
        </w:rPr>
        <w:t>вопрос</w:t>
      </w:r>
      <w:r>
        <w:rPr>
          <w:i/>
          <w:color w:val="231F20"/>
          <w:spacing w:val="-12"/>
          <w:sz w:val="20"/>
        </w:rPr>
        <w:t> </w:t>
      </w:r>
      <w:r>
        <w:rPr>
          <w:i/>
          <w:color w:val="231F20"/>
          <w:sz w:val="20"/>
        </w:rPr>
        <w:t>от- </w:t>
      </w:r>
      <w:r>
        <w:rPr>
          <w:i/>
          <w:color w:val="231F20"/>
          <w:spacing w:val="-4"/>
          <w:sz w:val="20"/>
        </w:rPr>
        <w:t>вечать</w:t>
      </w:r>
      <w:r>
        <w:rPr>
          <w:i/>
          <w:color w:val="231F20"/>
          <w:spacing w:val="-1"/>
          <w:sz w:val="20"/>
        </w:rPr>
        <w:t> </w:t>
      </w:r>
      <w:r>
        <w:rPr>
          <w:i/>
          <w:color w:val="231F20"/>
          <w:spacing w:val="-4"/>
          <w:sz w:val="20"/>
        </w:rPr>
        <w:t>не</w:t>
      </w:r>
      <w:r>
        <w:rPr>
          <w:i/>
          <w:color w:val="231F20"/>
          <w:spacing w:val="-1"/>
          <w:sz w:val="20"/>
        </w:rPr>
        <w:t> </w:t>
      </w:r>
      <w:r>
        <w:rPr>
          <w:i/>
          <w:color w:val="231F20"/>
          <w:spacing w:val="-4"/>
          <w:sz w:val="20"/>
        </w:rPr>
        <w:t>принято.</w:t>
      </w:r>
      <w:r>
        <w:rPr>
          <w:i/>
          <w:color w:val="231F20"/>
          <w:spacing w:val="-1"/>
          <w:sz w:val="20"/>
        </w:rPr>
        <w:t> </w:t>
      </w:r>
      <w:r>
        <w:rPr>
          <w:i/>
          <w:color w:val="231F20"/>
          <w:spacing w:val="-4"/>
          <w:sz w:val="20"/>
        </w:rPr>
        <w:t>Также</w:t>
      </w:r>
      <w:r>
        <w:rPr>
          <w:i/>
          <w:color w:val="231F20"/>
          <w:sz w:val="20"/>
        </w:rPr>
        <w:t> </w:t>
      </w:r>
      <w:r>
        <w:rPr>
          <w:i/>
          <w:color w:val="231F20"/>
          <w:spacing w:val="-4"/>
          <w:sz w:val="20"/>
        </w:rPr>
        <w:t>в</w:t>
      </w:r>
      <w:r>
        <w:rPr>
          <w:i/>
          <w:color w:val="231F20"/>
          <w:spacing w:val="-1"/>
          <w:sz w:val="20"/>
        </w:rPr>
        <w:t> </w:t>
      </w:r>
      <w:r>
        <w:rPr>
          <w:i/>
          <w:color w:val="231F20"/>
          <w:spacing w:val="-4"/>
          <w:sz w:val="20"/>
        </w:rPr>
        <w:t>вашей</w:t>
      </w:r>
      <w:r>
        <w:rPr>
          <w:i/>
          <w:color w:val="231F20"/>
          <w:spacing w:val="-1"/>
          <w:sz w:val="20"/>
        </w:rPr>
        <w:t> </w:t>
      </w:r>
      <w:r>
        <w:rPr>
          <w:i/>
          <w:color w:val="231F20"/>
          <w:spacing w:val="-4"/>
          <w:sz w:val="20"/>
        </w:rPr>
        <w:t>культуре</w:t>
      </w:r>
      <w:r>
        <w:rPr>
          <w:i/>
          <w:color w:val="231F20"/>
          <w:sz w:val="20"/>
        </w:rPr>
        <w:t> </w:t>
      </w:r>
      <w:r>
        <w:rPr>
          <w:i/>
          <w:color w:val="231F20"/>
          <w:spacing w:val="-4"/>
          <w:sz w:val="20"/>
        </w:rPr>
        <w:t>есть</w:t>
      </w:r>
      <w:r>
        <w:rPr>
          <w:i/>
          <w:color w:val="231F20"/>
          <w:spacing w:val="-1"/>
          <w:sz w:val="20"/>
        </w:rPr>
        <w:t> </w:t>
      </w:r>
      <w:r>
        <w:rPr>
          <w:i/>
          <w:color w:val="231F20"/>
          <w:spacing w:val="-4"/>
          <w:sz w:val="20"/>
        </w:rPr>
        <w:t>слова,</w:t>
      </w:r>
      <w:r>
        <w:rPr>
          <w:i/>
          <w:color w:val="231F20"/>
          <w:spacing w:val="-1"/>
          <w:sz w:val="20"/>
        </w:rPr>
        <w:t> </w:t>
      </w:r>
      <w:r>
        <w:rPr>
          <w:i/>
          <w:color w:val="231F20"/>
          <w:spacing w:val="-4"/>
          <w:sz w:val="20"/>
        </w:rPr>
        <w:t>которые</w:t>
      </w:r>
      <w:r>
        <w:rPr>
          <w:i/>
          <w:color w:val="231F20"/>
          <w:sz w:val="20"/>
        </w:rPr>
        <w:t> </w:t>
      </w:r>
      <w:r>
        <w:rPr>
          <w:i/>
          <w:color w:val="231F20"/>
          <w:spacing w:val="-4"/>
          <w:sz w:val="20"/>
        </w:rPr>
        <w:t>нельзя</w:t>
      </w:r>
      <w:r>
        <w:rPr>
          <w:i/>
          <w:color w:val="231F20"/>
          <w:spacing w:val="-1"/>
          <w:sz w:val="20"/>
        </w:rPr>
        <w:t> </w:t>
      </w:r>
      <w:r>
        <w:rPr>
          <w:i/>
          <w:color w:val="231F20"/>
          <w:spacing w:val="-4"/>
          <w:sz w:val="20"/>
        </w:rPr>
        <w:t>произносить:</w:t>
      </w:r>
    </w:p>
    <w:p>
      <w:pPr>
        <w:pStyle w:val="ListParagraph"/>
        <w:spacing w:after="0" w:line="230" w:lineRule="auto"/>
        <w:jc w:val="both"/>
        <w:rPr>
          <w:i/>
          <w:sz w:val="20"/>
        </w:rPr>
        <w:sectPr>
          <w:pgSz w:w="8400" w:h="11910"/>
          <w:pgMar w:header="0" w:footer="530" w:top="400" w:bottom="740" w:left="425" w:right="425"/>
        </w:sectPr>
      </w:pPr>
    </w:p>
    <w:p>
      <w:pPr>
        <w:spacing w:before="80"/>
        <w:ind w:left="141" w:right="0" w:firstLine="0"/>
        <w:jc w:val="left"/>
        <w:rPr>
          <w:rFonts w:ascii="Georgia" w:hAnsi="Georgia"/>
          <w:sz w:val="18"/>
        </w:rPr>
      </w:pPr>
      <w:r>
        <w:rPr>
          <w:rFonts w:ascii="Georgia" w:hAnsi="Georgia"/>
          <w:color w:val="231F20"/>
          <w:sz w:val="18"/>
        </w:rPr>
        <w:t>4.1.</w:t>
      </w:r>
      <w:r>
        <w:rPr>
          <w:rFonts w:ascii="Georgia" w:hAnsi="Georgia"/>
          <w:color w:val="231F20"/>
          <w:spacing w:val="11"/>
          <w:sz w:val="18"/>
        </w:rPr>
        <w:t> </w:t>
      </w:r>
      <w:r>
        <w:rPr>
          <w:rFonts w:ascii="Georgia" w:hAnsi="Georgia"/>
          <w:color w:val="231F20"/>
          <w:sz w:val="18"/>
        </w:rPr>
        <w:t>Активности</w:t>
      </w:r>
      <w:r>
        <w:rPr>
          <w:rFonts w:ascii="Georgia" w:hAnsi="Georgia"/>
          <w:color w:val="231F20"/>
          <w:spacing w:val="12"/>
          <w:sz w:val="18"/>
        </w:rPr>
        <w:t> </w:t>
      </w:r>
      <w:r>
        <w:rPr>
          <w:rFonts w:ascii="Georgia" w:hAnsi="Georgia"/>
          <w:color w:val="231F20"/>
          <w:sz w:val="18"/>
        </w:rPr>
        <w:t>межкультурного</w:t>
      </w:r>
      <w:r>
        <w:rPr>
          <w:rFonts w:ascii="Georgia" w:hAnsi="Georgia"/>
          <w:color w:val="231F20"/>
          <w:spacing w:val="12"/>
          <w:sz w:val="18"/>
        </w:rPr>
        <w:t> </w:t>
      </w:r>
      <w:r>
        <w:rPr>
          <w:rFonts w:ascii="Georgia" w:hAnsi="Georgia"/>
          <w:color w:val="231F20"/>
          <w:sz w:val="18"/>
        </w:rPr>
        <w:t>тренинга</w:t>
      </w:r>
      <w:r>
        <w:rPr>
          <w:rFonts w:ascii="Georgia" w:hAnsi="Georgia"/>
          <w:color w:val="231F20"/>
          <w:spacing w:val="11"/>
          <w:sz w:val="18"/>
        </w:rPr>
        <w:t> </w:t>
      </w:r>
      <w:r>
        <w:rPr>
          <w:rFonts w:ascii="Georgia" w:hAnsi="Georgia"/>
          <w:color w:val="231F20"/>
          <w:sz w:val="18"/>
        </w:rPr>
        <w:t>для</w:t>
      </w:r>
      <w:r>
        <w:rPr>
          <w:rFonts w:ascii="Georgia" w:hAnsi="Georgia"/>
          <w:color w:val="231F20"/>
          <w:spacing w:val="12"/>
          <w:sz w:val="18"/>
        </w:rPr>
        <w:t> </w:t>
      </w:r>
      <w:r>
        <w:rPr>
          <w:rFonts w:ascii="Georgia" w:hAnsi="Georgia"/>
          <w:color w:val="231F20"/>
          <w:sz w:val="18"/>
        </w:rPr>
        <w:t>поликультурного</w:t>
      </w:r>
      <w:r>
        <w:rPr>
          <w:rFonts w:ascii="Georgia" w:hAnsi="Georgia"/>
          <w:color w:val="231F20"/>
          <w:spacing w:val="12"/>
          <w:sz w:val="18"/>
        </w:rPr>
        <w:t> </w:t>
      </w:r>
      <w:r>
        <w:rPr>
          <w:rFonts w:ascii="Georgia" w:hAnsi="Georgia"/>
          <w:color w:val="231F20"/>
          <w:spacing w:val="-2"/>
          <w:sz w:val="18"/>
        </w:rPr>
        <w:t>класса</w:t>
      </w:r>
    </w:p>
    <w:p>
      <w:pPr>
        <w:spacing w:line="232" w:lineRule="auto" w:before="118"/>
        <w:ind w:left="425" w:right="2833" w:firstLine="0"/>
        <w:jc w:val="left"/>
        <w:rPr>
          <w:i/>
          <w:sz w:val="20"/>
        </w:rPr>
      </w:pPr>
      <w:r>
        <w:rPr>
          <w:i/>
          <w:color w:val="231F20"/>
          <w:sz w:val="20"/>
        </w:rPr>
        <w:t>вместо приветствия вы почесываете за ухом, вместо слова «да» вы показываете на пол, вместо</w:t>
      </w:r>
      <w:r>
        <w:rPr>
          <w:i/>
          <w:color w:val="231F20"/>
          <w:spacing w:val="-8"/>
          <w:sz w:val="20"/>
        </w:rPr>
        <w:t> </w:t>
      </w:r>
      <w:r>
        <w:rPr>
          <w:i/>
          <w:color w:val="231F20"/>
          <w:sz w:val="20"/>
        </w:rPr>
        <w:t>слова</w:t>
      </w:r>
      <w:r>
        <w:rPr>
          <w:i/>
          <w:color w:val="231F20"/>
          <w:spacing w:val="-8"/>
          <w:sz w:val="20"/>
        </w:rPr>
        <w:t> </w:t>
      </w:r>
      <w:r>
        <w:rPr>
          <w:i/>
          <w:color w:val="231F20"/>
          <w:sz w:val="20"/>
        </w:rPr>
        <w:t>«нет»</w:t>
      </w:r>
      <w:r>
        <w:rPr>
          <w:i/>
          <w:color w:val="231F20"/>
          <w:spacing w:val="-8"/>
          <w:sz w:val="20"/>
        </w:rPr>
        <w:t> </w:t>
      </w:r>
      <w:r>
        <w:rPr>
          <w:i/>
          <w:color w:val="231F20"/>
          <w:sz w:val="20"/>
        </w:rPr>
        <w:t>вы</w:t>
      </w:r>
      <w:r>
        <w:rPr>
          <w:i/>
          <w:color w:val="231F20"/>
          <w:spacing w:val="-8"/>
          <w:sz w:val="20"/>
        </w:rPr>
        <w:t> </w:t>
      </w:r>
      <w:r>
        <w:rPr>
          <w:i/>
          <w:color w:val="231F20"/>
          <w:sz w:val="20"/>
        </w:rPr>
        <w:t>показываете</w:t>
      </w:r>
      <w:r>
        <w:rPr>
          <w:i/>
          <w:color w:val="231F20"/>
          <w:spacing w:val="-8"/>
          <w:sz w:val="20"/>
        </w:rPr>
        <w:t> </w:t>
      </w:r>
      <w:r>
        <w:rPr>
          <w:i/>
          <w:color w:val="231F20"/>
          <w:sz w:val="20"/>
        </w:rPr>
        <w:t>на</w:t>
      </w:r>
      <w:r>
        <w:rPr>
          <w:i/>
          <w:color w:val="231F20"/>
          <w:spacing w:val="-8"/>
          <w:sz w:val="20"/>
        </w:rPr>
        <w:t> </w:t>
      </w:r>
      <w:r>
        <w:rPr>
          <w:i/>
          <w:color w:val="231F20"/>
          <w:sz w:val="20"/>
        </w:rPr>
        <w:t>потолок.</w:t>
      </w:r>
    </w:p>
    <w:p>
      <w:pPr>
        <w:spacing w:line="235" w:lineRule="auto" w:before="0"/>
        <w:ind w:left="141" w:right="139" w:firstLine="283"/>
        <w:jc w:val="both"/>
        <w:rPr>
          <w:i/>
          <w:sz w:val="20"/>
        </w:rPr>
      </w:pPr>
      <w:r>
        <w:rPr>
          <w:i/>
          <w:color w:val="231F20"/>
          <w:sz w:val="20"/>
        </w:rPr>
        <w:t>В разговоре с собеседником нужно обязательно сделать ему какой-то компли- мент.</w:t>
      </w:r>
      <w:r>
        <w:rPr>
          <w:i/>
          <w:color w:val="231F20"/>
          <w:spacing w:val="-13"/>
          <w:sz w:val="20"/>
        </w:rPr>
        <w:t> </w:t>
      </w:r>
      <w:r>
        <w:rPr>
          <w:i/>
          <w:color w:val="231F20"/>
          <w:sz w:val="20"/>
        </w:rPr>
        <w:t>Человек,</w:t>
      </w:r>
      <w:r>
        <w:rPr>
          <w:i/>
          <w:color w:val="231F20"/>
          <w:spacing w:val="-12"/>
          <w:sz w:val="20"/>
        </w:rPr>
        <w:t> </w:t>
      </w:r>
      <w:r>
        <w:rPr>
          <w:i/>
          <w:color w:val="231F20"/>
          <w:sz w:val="20"/>
        </w:rPr>
        <w:t>который</w:t>
      </w:r>
      <w:r>
        <w:rPr>
          <w:i/>
          <w:color w:val="231F20"/>
          <w:spacing w:val="-13"/>
          <w:sz w:val="20"/>
        </w:rPr>
        <w:t> </w:t>
      </w:r>
      <w:r>
        <w:rPr>
          <w:i/>
          <w:color w:val="231F20"/>
          <w:sz w:val="20"/>
        </w:rPr>
        <w:t>не</w:t>
      </w:r>
      <w:r>
        <w:rPr>
          <w:i/>
          <w:color w:val="231F20"/>
          <w:spacing w:val="-12"/>
          <w:sz w:val="20"/>
        </w:rPr>
        <w:t> </w:t>
      </w:r>
      <w:r>
        <w:rPr>
          <w:i/>
          <w:color w:val="231F20"/>
          <w:sz w:val="20"/>
        </w:rPr>
        <w:t>делает</w:t>
      </w:r>
      <w:r>
        <w:rPr>
          <w:i/>
          <w:color w:val="231F20"/>
          <w:spacing w:val="-13"/>
          <w:sz w:val="20"/>
        </w:rPr>
        <w:t> </w:t>
      </w:r>
      <w:r>
        <w:rPr>
          <w:i/>
          <w:color w:val="231F20"/>
          <w:sz w:val="20"/>
        </w:rPr>
        <w:t>комплиментов,</w:t>
      </w:r>
      <w:r>
        <w:rPr>
          <w:i/>
          <w:color w:val="231F20"/>
          <w:spacing w:val="-12"/>
          <w:sz w:val="20"/>
        </w:rPr>
        <w:t> </w:t>
      </w:r>
      <w:r>
        <w:rPr>
          <w:i/>
          <w:color w:val="231F20"/>
          <w:sz w:val="20"/>
        </w:rPr>
        <w:t>воспринимается</w:t>
      </w:r>
      <w:r>
        <w:rPr>
          <w:i/>
          <w:color w:val="231F20"/>
          <w:spacing w:val="-13"/>
          <w:sz w:val="20"/>
        </w:rPr>
        <w:t> </w:t>
      </w:r>
      <w:r>
        <w:rPr>
          <w:i/>
          <w:color w:val="231F20"/>
          <w:sz w:val="20"/>
        </w:rPr>
        <w:t>как</w:t>
      </w:r>
      <w:r>
        <w:rPr>
          <w:i/>
          <w:color w:val="231F20"/>
          <w:spacing w:val="-12"/>
          <w:sz w:val="20"/>
        </w:rPr>
        <w:t> </w:t>
      </w:r>
      <w:r>
        <w:rPr>
          <w:i/>
          <w:color w:val="231F20"/>
          <w:sz w:val="20"/>
        </w:rPr>
        <w:t>невежливый. Говорить о других людях считается неприличным.</w:t>
      </w:r>
    </w:p>
    <w:p>
      <w:pPr>
        <w:spacing w:line="295" w:lineRule="auto" w:before="110"/>
        <w:ind w:left="2269" w:right="1731" w:hanging="537"/>
        <w:jc w:val="both"/>
        <w:rPr>
          <w:b/>
          <w:sz w:val="20"/>
        </w:rPr>
      </w:pPr>
      <w:r>
        <w:rPr>
          <w:b/>
          <w:color w:val="231F20"/>
          <w:sz w:val="20"/>
        </w:rPr>
        <w:t>Опросник</w:t>
      </w:r>
      <w:r>
        <w:rPr>
          <w:b/>
          <w:color w:val="231F20"/>
          <w:spacing w:val="-5"/>
          <w:sz w:val="20"/>
        </w:rPr>
        <w:t> </w:t>
      </w:r>
      <w:r>
        <w:rPr>
          <w:b/>
          <w:color w:val="231F20"/>
          <w:sz w:val="20"/>
        </w:rPr>
        <w:t>для</w:t>
      </w:r>
      <w:r>
        <w:rPr>
          <w:b/>
          <w:color w:val="231F20"/>
          <w:spacing w:val="-4"/>
          <w:sz w:val="20"/>
        </w:rPr>
        <w:t> </w:t>
      </w:r>
      <w:r>
        <w:rPr>
          <w:b/>
          <w:color w:val="231F20"/>
          <w:sz w:val="20"/>
        </w:rPr>
        <w:t>игры</w:t>
      </w:r>
      <w:r>
        <w:rPr>
          <w:b/>
          <w:color w:val="231F20"/>
          <w:spacing w:val="-4"/>
          <w:sz w:val="20"/>
        </w:rPr>
        <w:t> </w:t>
      </w:r>
      <w:r>
        <w:rPr>
          <w:b/>
          <w:color w:val="231F20"/>
          <w:sz w:val="20"/>
        </w:rPr>
        <w:t>«Страны</w:t>
      </w:r>
      <w:r>
        <w:rPr>
          <w:b/>
          <w:color w:val="231F20"/>
          <w:spacing w:val="-4"/>
          <w:sz w:val="20"/>
        </w:rPr>
        <w:t> </w:t>
      </w:r>
      <w:r>
        <w:rPr>
          <w:b/>
          <w:color w:val="231F20"/>
          <w:sz w:val="20"/>
        </w:rPr>
        <w:t>Альфа</w:t>
      </w:r>
      <w:r>
        <w:rPr>
          <w:b/>
          <w:color w:val="231F20"/>
          <w:spacing w:val="-4"/>
          <w:sz w:val="20"/>
        </w:rPr>
        <w:t> </w:t>
      </w:r>
      <w:r>
        <w:rPr>
          <w:b/>
          <w:color w:val="231F20"/>
          <w:sz w:val="20"/>
        </w:rPr>
        <w:t>и</w:t>
      </w:r>
      <w:r>
        <w:rPr>
          <w:b/>
          <w:color w:val="231F20"/>
          <w:spacing w:val="-5"/>
          <w:sz w:val="20"/>
        </w:rPr>
        <w:t> </w:t>
      </w:r>
      <w:r>
        <w:rPr>
          <w:b/>
          <w:color w:val="231F20"/>
          <w:sz w:val="20"/>
        </w:rPr>
        <w:t>Бета» КТО ИЗ ПРИСУТСТВУЮЩИХ:</w:t>
      </w:r>
    </w:p>
    <w:p>
      <w:pPr>
        <w:pStyle w:val="ListParagraph"/>
        <w:numPr>
          <w:ilvl w:val="0"/>
          <w:numId w:val="284"/>
        </w:numPr>
        <w:tabs>
          <w:tab w:pos="424" w:val="left" w:leader="none"/>
        </w:tabs>
        <w:spacing w:line="171" w:lineRule="exact" w:before="0" w:after="0"/>
        <w:ind w:left="424" w:right="0" w:hanging="283"/>
        <w:jc w:val="left"/>
        <w:rPr>
          <w:i/>
          <w:sz w:val="20"/>
        </w:rPr>
      </w:pPr>
      <w:r>
        <w:rPr>
          <w:i/>
          <w:color w:val="231F20"/>
          <w:sz w:val="20"/>
        </w:rPr>
        <w:t>Бывал</w:t>
      </w:r>
      <w:r>
        <w:rPr>
          <w:i/>
          <w:color w:val="231F20"/>
          <w:spacing w:val="-7"/>
          <w:sz w:val="20"/>
        </w:rPr>
        <w:t> </w:t>
      </w:r>
      <w:r>
        <w:rPr>
          <w:i/>
          <w:color w:val="231F20"/>
          <w:sz w:val="20"/>
        </w:rPr>
        <w:t>в</w:t>
      </w:r>
      <w:r>
        <w:rPr>
          <w:i/>
          <w:color w:val="231F20"/>
          <w:spacing w:val="-5"/>
          <w:sz w:val="20"/>
        </w:rPr>
        <w:t> </w:t>
      </w:r>
      <w:r>
        <w:rPr>
          <w:i/>
          <w:color w:val="231F20"/>
          <w:sz w:val="20"/>
        </w:rPr>
        <w:t>какой-либо</w:t>
      </w:r>
      <w:r>
        <w:rPr>
          <w:i/>
          <w:color w:val="231F20"/>
          <w:spacing w:val="-4"/>
          <w:sz w:val="20"/>
        </w:rPr>
        <w:t> </w:t>
      </w:r>
      <w:r>
        <w:rPr>
          <w:i/>
          <w:color w:val="231F20"/>
          <w:sz w:val="20"/>
        </w:rPr>
        <w:t>стране</w:t>
      </w:r>
      <w:r>
        <w:rPr>
          <w:i/>
          <w:color w:val="231F20"/>
          <w:spacing w:val="-5"/>
          <w:sz w:val="20"/>
        </w:rPr>
        <w:t> </w:t>
      </w:r>
      <w:r>
        <w:rPr>
          <w:i/>
          <w:color w:val="231F20"/>
          <w:sz w:val="20"/>
        </w:rPr>
        <w:t>за</w:t>
      </w:r>
      <w:r>
        <w:rPr>
          <w:i/>
          <w:color w:val="231F20"/>
          <w:spacing w:val="-4"/>
          <w:sz w:val="20"/>
        </w:rPr>
        <w:t> </w:t>
      </w:r>
      <w:r>
        <w:rPr>
          <w:i/>
          <w:color w:val="231F20"/>
          <w:sz w:val="20"/>
        </w:rPr>
        <w:t>пределами</w:t>
      </w:r>
      <w:r>
        <w:rPr>
          <w:i/>
          <w:color w:val="231F20"/>
          <w:spacing w:val="-4"/>
          <w:sz w:val="20"/>
        </w:rPr>
        <w:t> </w:t>
      </w:r>
      <w:r>
        <w:rPr>
          <w:i/>
          <w:color w:val="231F20"/>
          <w:sz w:val="20"/>
        </w:rPr>
        <w:t>Европы?</w:t>
      </w:r>
      <w:r>
        <w:rPr>
          <w:i/>
          <w:color w:val="231F20"/>
          <w:spacing w:val="-5"/>
          <w:sz w:val="20"/>
        </w:rPr>
        <w:t> </w:t>
      </w:r>
      <w:r>
        <w:rPr>
          <w:i/>
          <w:color w:val="231F20"/>
          <w:sz w:val="20"/>
        </w:rPr>
        <w:t>В</w:t>
      </w:r>
      <w:r>
        <w:rPr>
          <w:i/>
          <w:color w:val="231F20"/>
          <w:spacing w:val="-4"/>
          <w:sz w:val="20"/>
        </w:rPr>
        <w:t> </w:t>
      </w:r>
      <w:r>
        <w:rPr>
          <w:i/>
          <w:color w:val="231F20"/>
          <w:sz w:val="20"/>
        </w:rPr>
        <w:t>какой</w:t>
      </w:r>
      <w:r>
        <w:rPr>
          <w:i/>
          <w:color w:val="231F20"/>
          <w:spacing w:val="-4"/>
          <w:sz w:val="20"/>
        </w:rPr>
        <w:t> </w:t>
      </w:r>
      <w:r>
        <w:rPr>
          <w:i/>
          <w:color w:val="231F20"/>
          <w:spacing w:val="-2"/>
          <w:sz w:val="20"/>
        </w:rPr>
        <w:t>именно?</w:t>
      </w:r>
    </w:p>
    <w:p>
      <w:pPr>
        <w:pStyle w:val="ListParagraph"/>
        <w:numPr>
          <w:ilvl w:val="0"/>
          <w:numId w:val="284"/>
        </w:numPr>
        <w:tabs>
          <w:tab w:pos="424" w:val="left" w:leader="none"/>
        </w:tabs>
        <w:spacing w:line="226" w:lineRule="exact" w:before="0" w:after="0"/>
        <w:ind w:left="424" w:right="0" w:hanging="283"/>
        <w:jc w:val="left"/>
        <w:rPr>
          <w:i/>
          <w:sz w:val="20"/>
        </w:rPr>
      </w:pPr>
      <w:r>
        <w:rPr>
          <w:i/>
          <w:color w:val="231F20"/>
          <w:sz w:val="20"/>
        </w:rPr>
        <w:t>Знает</w:t>
      </w:r>
      <w:r>
        <w:rPr>
          <w:i/>
          <w:color w:val="231F20"/>
          <w:spacing w:val="-4"/>
          <w:sz w:val="20"/>
        </w:rPr>
        <w:t> </w:t>
      </w:r>
      <w:r>
        <w:rPr>
          <w:i/>
          <w:color w:val="231F20"/>
          <w:sz w:val="20"/>
        </w:rPr>
        <w:t>иностранный</w:t>
      </w:r>
      <w:r>
        <w:rPr>
          <w:i/>
          <w:color w:val="231F20"/>
          <w:spacing w:val="-3"/>
          <w:sz w:val="20"/>
        </w:rPr>
        <w:t> </w:t>
      </w:r>
      <w:r>
        <w:rPr>
          <w:i/>
          <w:color w:val="231F20"/>
          <w:sz w:val="20"/>
        </w:rPr>
        <w:t>язык?</w:t>
      </w:r>
      <w:r>
        <w:rPr>
          <w:i/>
          <w:color w:val="231F20"/>
          <w:spacing w:val="-3"/>
          <w:sz w:val="20"/>
        </w:rPr>
        <w:t> </w:t>
      </w:r>
      <w:r>
        <w:rPr>
          <w:i/>
          <w:color w:val="231F20"/>
          <w:sz w:val="20"/>
        </w:rPr>
        <w:t>Какой</w:t>
      </w:r>
      <w:r>
        <w:rPr>
          <w:i/>
          <w:color w:val="231F20"/>
          <w:spacing w:val="-2"/>
          <w:sz w:val="20"/>
        </w:rPr>
        <w:t> именно?</w:t>
      </w:r>
    </w:p>
    <w:p>
      <w:pPr>
        <w:pStyle w:val="ListParagraph"/>
        <w:numPr>
          <w:ilvl w:val="0"/>
          <w:numId w:val="284"/>
        </w:numPr>
        <w:tabs>
          <w:tab w:pos="424" w:val="left" w:leader="none"/>
        </w:tabs>
        <w:spacing w:line="226" w:lineRule="exact" w:before="0" w:after="0"/>
        <w:ind w:left="424" w:right="0" w:hanging="283"/>
        <w:jc w:val="left"/>
        <w:rPr>
          <w:i/>
          <w:sz w:val="20"/>
        </w:rPr>
      </w:pPr>
      <w:r>
        <w:rPr>
          <w:i/>
          <w:color w:val="231F20"/>
          <w:sz w:val="20"/>
        </w:rPr>
        <w:t>Родился</w:t>
      </w:r>
      <w:r>
        <w:rPr>
          <w:i/>
          <w:color w:val="231F20"/>
          <w:spacing w:val="-3"/>
          <w:sz w:val="20"/>
        </w:rPr>
        <w:t> </w:t>
      </w:r>
      <w:r>
        <w:rPr>
          <w:i/>
          <w:color w:val="231F20"/>
          <w:sz w:val="20"/>
        </w:rPr>
        <w:t>не</w:t>
      </w:r>
      <w:r>
        <w:rPr>
          <w:i/>
          <w:color w:val="231F20"/>
          <w:spacing w:val="-3"/>
          <w:sz w:val="20"/>
        </w:rPr>
        <w:t> </w:t>
      </w:r>
      <w:r>
        <w:rPr>
          <w:i/>
          <w:color w:val="231F20"/>
          <w:sz w:val="20"/>
        </w:rPr>
        <w:t>в</w:t>
      </w:r>
      <w:r>
        <w:rPr>
          <w:i/>
          <w:color w:val="231F20"/>
          <w:spacing w:val="-4"/>
          <w:sz w:val="20"/>
        </w:rPr>
        <w:t> </w:t>
      </w:r>
      <w:r>
        <w:rPr>
          <w:i/>
          <w:color w:val="231F20"/>
          <w:sz w:val="20"/>
        </w:rPr>
        <w:t>Москве?</w:t>
      </w:r>
      <w:r>
        <w:rPr>
          <w:i/>
          <w:color w:val="231F20"/>
          <w:spacing w:val="-3"/>
          <w:sz w:val="20"/>
        </w:rPr>
        <w:t> </w:t>
      </w:r>
      <w:r>
        <w:rPr>
          <w:i/>
          <w:color w:val="231F20"/>
          <w:sz w:val="20"/>
        </w:rPr>
        <w:t>Где</w:t>
      </w:r>
      <w:r>
        <w:rPr>
          <w:i/>
          <w:color w:val="231F20"/>
          <w:spacing w:val="-2"/>
          <w:sz w:val="20"/>
        </w:rPr>
        <w:t> именно?</w:t>
      </w:r>
    </w:p>
    <w:p>
      <w:pPr>
        <w:pStyle w:val="ListParagraph"/>
        <w:numPr>
          <w:ilvl w:val="0"/>
          <w:numId w:val="284"/>
        </w:numPr>
        <w:tabs>
          <w:tab w:pos="424" w:val="left" w:leader="none"/>
        </w:tabs>
        <w:spacing w:line="226" w:lineRule="exact" w:before="0" w:after="0"/>
        <w:ind w:left="424" w:right="0" w:hanging="283"/>
        <w:jc w:val="left"/>
        <w:rPr>
          <w:i/>
          <w:sz w:val="20"/>
        </w:rPr>
      </w:pPr>
      <w:r>
        <w:rPr>
          <w:i/>
          <w:color w:val="231F20"/>
          <w:sz w:val="20"/>
        </w:rPr>
        <w:t>Имеет</w:t>
      </w:r>
      <w:r>
        <w:rPr>
          <w:i/>
          <w:color w:val="231F20"/>
          <w:spacing w:val="-4"/>
          <w:sz w:val="20"/>
        </w:rPr>
        <w:t> </w:t>
      </w:r>
      <w:r>
        <w:rPr>
          <w:i/>
          <w:color w:val="231F20"/>
          <w:sz w:val="20"/>
        </w:rPr>
        <w:t>родственников</w:t>
      </w:r>
      <w:r>
        <w:rPr>
          <w:i/>
          <w:color w:val="231F20"/>
          <w:spacing w:val="-4"/>
          <w:sz w:val="20"/>
        </w:rPr>
        <w:t> </w:t>
      </w:r>
      <w:r>
        <w:rPr>
          <w:i/>
          <w:color w:val="231F20"/>
          <w:sz w:val="20"/>
        </w:rPr>
        <w:t>в</w:t>
      </w:r>
      <w:r>
        <w:rPr>
          <w:i/>
          <w:color w:val="231F20"/>
          <w:spacing w:val="-4"/>
          <w:sz w:val="20"/>
        </w:rPr>
        <w:t> </w:t>
      </w:r>
      <w:r>
        <w:rPr>
          <w:i/>
          <w:color w:val="231F20"/>
          <w:sz w:val="20"/>
        </w:rPr>
        <w:t>другой</w:t>
      </w:r>
      <w:r>
        <w:rPr>
          <w:i/>
          <w:color w:val="231F20"/>
          <w:spacing w:val="-3"/>
          <w:sz w:val="20"/>
        </w:rPr>
        <w:t> </w:t>
      </w:r>
      <w:r>
        <w:rPr>
          <w:i/>
          <w:color w:val="231F20"/>
          <w:sz w:val="20"/>
        </w:rPr>
        <w:t>стране?</w:t>
      </w:r>
      <w:r>
        <w:rPr>
          <w:i/>
          <w:color w:val="231F20"/>
          <w:spacing w:val="-3"/>
          <w:sz w:val="20"/>
        </w:rPr>
        <w:t> </w:t>
      </w:r>
      <w:r>
        <w:rPr>
          <w:i/>
          <w:color w:val="231F20"/>
          <w:sz w:val="20"/>
        </w:rPr>
        <w:t>В</w:t>
      </w:r>
      <w:r>
        <w:rPr>
          <w:i/>
          <w:color w:val="231F20"/>
          <w:spacing w:val="-3"/>
          <w:sz w:val="20"/>
        </w:rPr>
        <w:t> </w:t>
      </w:r>
      <w:r>
        <w:rPr>
          <w:i/>
          <w:color w:val="231F20"/>
          <w:spacing w:val="-2"/>
          <w:sz w:val="20"/>
        </w:rPr>
        <w:t>какой?</w:t>
      </w:r>
    </w:p>
    <w:p>
      <w:pPr>
        <w:pStyle w:val="ListParagraph"/>
        <w:numPr>
          <w:ilvl w:val="0"/>
          <w:numId w:val="284"/>
        </w:numPr>
        <w:tabs>
          <w:tab w:pos="424" w:val="left" w:leader="none"/>
        </w:tabs>
        <w:spacing w:line="226" w:lineRule="exact" w:before="0" w:after="0"/>
        <w:ind w:left="424" w:right="0" w:hanging="283"/>
        <w:jc w:val="left"/>
        <w:rPr>
          <w:i/>
          <w:sz w:val="20"/>
        </w:rPr>
      </w:pPr>
      <w:r>
        <w:rPr>
          <w:i/>
          <w:color w:val="231F20"/>
          <w:sz w:val="20"/>
        </w:rPr>
        <w:t>Соблюдает</w:t>
      </w:r>
      <w:r>
        <w:rPr>
          <w:i/>
          <w:color w:val="231F20"/>
          <w:spacing w:val="-9"/>
          <w:sz w:val="20"/>
        </w:rPr>
        <w:t> </w:t>
      </w:r>
      <w:r>
        <w:rPr>
          <w:i/>
          <w:color w:val="231F20"/>
          <w:sz w:val="20"/>
        </w:rPr>
        <w:t>какую-нибудь</w:t>
      </w:r>
      <w:r>
        <w:rPr>
          <w:i/>
          <w:color w:val="231F20"/>
          <w:spacing w:val="-9"/>
          <w:sz w:val="20"/>
        </w:rPr>
        <w:t> </w:t>
      </w:r>
      <w:r>
        <w:rPr>
          <w:i/>
          <w:color w:val="231F20"/>
          <w:sz w:val="20"/>
        </w:rPr>
        <w:t>национальную</w:t>
      </w:r>
      <w:r>
        <w:rPr>
          <w:i/>
          <w:color w:val="231F20"/>
          <w:spacing w:val="-9"/>
          <w:sz w:val="20"/>
        </w:rPr>
        <w:t> </w:t>
      </w:r>
      <w:r>
        <w:rPr>
          <w:i/>
          <w:color w:val="231F20"/>
          <w:sz w:val="20"/>
        </w:rPr>
        <w:t>традицию?</w:t>
      </w:r>
      <w:r>
        <w:rPr>
          <w:i/>
          <w:color w:val="231F20"/>
          <w:spacing w:val="-7"/>
          <w:sz w:val="20"/>
        </w:rPr>
        <w:t> </w:t>
      </w:r>
      <w:r>
        <w:rPr>
          <w:i/>
          <w:color w:val="231F20"/>
          <w:spacing w:val="-2"/>
          <w:sz w:val="20"/>
        </w:rPr>
        <w:t>Какую?</w:t>
      </w:r>
    </w:p>
    <w:p>
      <w:pPr>
        <w:pStyle w:val="ListParagraph"/>
        <w:numPr>
          <w:ilvl w:val="0"/>
          <w:numId w:val="284"/>
        </w:numPr>
        <w:tabs>
          <w:tab w:pos="424" w:val="left" w:leader="none"/>
        </w:tabs>
        <w:spacing w:line="226" w:lineRule="exact" w:before="0" w:after="0"/>
        <w:ind w:left="424" w:right="0" w:hanging="283"/>
        <w:jc w:val="left"/>
        <w:rPr>
          <w:i/>
          <w:sz w:val="20"/>
        </w:rPr>
      </w:pPr>
      <w:r>
        <w:rPr>
          <w:i/>
          <w:color w:val="231F20"/>
          <w:sz w:val="20"/>
        </w:rPr>
        <w:t>Бывал</w:t>
      </w:r>
      <w:r>
        <w:rPr>
          <w:i/>
          <w:color w:val="231F20"/>
          <w:spacing w:val="-7"/>
          <w:sz w:val="20"/>
        </w:rPr>
        <w:t> </w:t>
      </w:r>
      <w:r>
        <w:rPr>
          <w:i/>
          <w:color w:val="231F20"/>
          <w:sz w:val="20"/>
        </w:rPr>
        <w:t>в</w:t>
      </w:r>
      <w:r>
        <w:rPr>
          <w:i/>
          <w:color w:val="231F20"/>
          <w:spacing w:val="-6"/>
          <w:sz w:val="20"/>
        </w:rPr>
        <w:t> </w:t>
      </w:r>
      <w:r>
        <w:rPr>
          <w:i/>
          <w:color w:val="231F20"/>
          <w:sz w:val="20"/>
        </w:rPr>
        <w:t>столице</w:t>
      </w:r>
      <w:r>
        <w:rPr>
          <w:i/>
          <w:color w:val="231F20"/>
          <w:spacing w:val="-6"/>
          <w:sz w:val="20"/>
        </w:rPr>
        <w:t> </w:t>
      </w:r>
      <w:r>
        <w:rPr>
          <w:i/>
          <w:color w:val="231F20"/>
          <w:sz w:val="20"/>
        </w:rPr>
        <w:t>какого-либо</w:t>
      </w:r>
      <w:r>
        <w:rPr>
          <w:i/>
          <w:color w:val="231F20"/>
          <w:spacing w:val="-6"/>
          <w:sz w:val="20"/>
        </w:rPr>
        <w:t> </w:t>
      </w:r>
      <w:r>
        <w:rPr>
          <w:i/>
          <w:color w:val="231F20"/>
          <w:sz w:val="20"/>
        </w:rPr>
        <w:t>европейского</w:t>
      </w:r>
      <w:r>
        <w:rPr>
          <w:i/>
          <w:color w:val="231F20"/>
          <w:spacing w:val="-6"/>
          <w:sz w:val="20"/>
        </w:rPr>
        <w:t> </w:t>
      </w:r>
      <w:r>
        <w:rPr>
          <w:i/>
          <w:color w:val="231F20"/>
          <w:sz w:val="20"/>
        </w:rPr>
        <w:t>государства?</w:t>
      </w:r>
      <w:r>
        <w:rPr>
          <w:i/>
          <w:color w:val="231F20"/>
          <w:spacing w:val="-6"/>
          <w:sz w:val="20"/>
        </w:rPr>
        <w:t> </w:t>
      </w:r>
      <w:r>
        <w:rPr>
          <w:i/>
          <w:color w:val="231F20"/>
          <w:sz w:val="20"/>
        </w:rPr>
        <w:t>Где</w:t>
      </w:r>
      <w:r>
        <w:rPr>
          <w:i/>
          <w:color w:val="231F20"/>
          <w:spacing w:val="-6"/>
          <w:sz w:val="20"/>
        </w:rPr>
        <w:t> </w:t>
      </w:r>
      <w:r>
        <w:rPr>
          <w:i/>
          <w:color w:val="231F20"/>
          <w:spacing w:val="-2"/>
          <w:sz w:val="20"/>
        </w:rPr>
        <w:t>именно?</w:t>
      </w:r>
    </w:p>
    <w:p>
      <w:pPr>
        <w:pStyle w:val="ListParagraph"/>
        <w:numPr>
          <w:ilvl w:val="0"/>
          <w:numId w:val="284"/>
        </w:numPr>
        <w:tabs>
          <w:tab w:pos="424" w:val="left" w:leader="none"/>
        </w:tabs>
        <w:spacing w:line="226" w:lineRule="exact" w:before="0" w:after="0"/>
        <w:ind w:left="424" w:right="0" w:hanging="283"/>
        <w:jc w:val="left"/>
        <w:rPr>
          <w:i/>
          <w:sz w:val="20"/>
        </w:rPr>
      </w:pPr>
      <w:r>
        <w:rPr>
          <w:i/>
          <w:color w:val="231F20"/>
          <w:sz w:val="20"/>
        </w:rPr>
        <w:t>Имеет</w:t>
      </w:r>
      <w:r>
        <w:rPr>
          <w:i/>
          <w:color w:val="231F20"/>
          <w:spacing w:val="-7"/>
          <w:sz w:val="20"/>
        </w:rPr>
        <w:t> </w:t>
      </w:r>
      <w:r>
        <w:rPr>
          <w:i/>
          <w:color w:val="231F20"/>
          <w:sz w:val="20"/>
        </w:rPr>
        <w:t>среди</w:t>
      </w:r>
      <w:r>
        <w:rPr>
          <w:i/>
          <w:color w:val="231F20"/>
          <w:spacing w:val="-5"/>
          <w:sz w:val="20"/>
        </w:rPr>
        <w:t> </w:t>
      </w:r>
      <w:r>
        <w:rPr>
          <w:i/>
          <w:color w:val="231F20"/>
          <w:sz w:val="20"/>
        </w:rPr>
        <w:t>своих</w:t>
      </w:r>
      <w:r>
        <w:rPr>
          <w:i/>
          <w:color w:val="231F20"/>
          <w:spacing w:val="-5"/>
          <w:sz w:val="20"/>
        </w:rPr>
        <w:t> </w:t>
      </w:r>
      <w:r>
        <w:rPr>
          <w:i/>
          <w:color w:val="231F20"/>
          <w:sz w:val="20"/>
        </w:rPr>
        <w:t>друзей</w:t>
      </w:r>
      <w:r>
        <w:rPr>
          <w:i/>
          <w:color w:val="231F20"/>
          <w:spacing w:val="-5"/>
          <w:sz w:val="20"/>
        </w:rPr>
        <w:t> </w:t>
      </w:r>
      <w:r>
        <w:rPr>
          <w:i/>
          <w:color w:val="231F20"/>
          <w:sz w:val="20"/>
        </w:rPr>
        <w:t>людей</w:t>
      </w:r>
      <w:r>
        <w:rPr>
          <w:i/>
          <w:color w:val="231F20"/>
          <w:spacing w:val="-6"/>
          <w:sz w:val="20"/>
        </w:rPr>
        <w:t> </w:t>
      </w:r>
      <w:r>
        <w:rPr>
          <w:i/>
          <w:color w:val="231F20"/>
          <w:sz w:val="20"/>
        </w:rPr>
        <w:t>иной</w:t>
      </w:r>
      <w:r>
        <w:rPr>
          <w:i/>
          <w:color w:val="231F20"/>
          <w:spacing w:val="-5"/>
          <w:sz w:val="20"/>
        </w:rPr>
        <w:t> </w:t>
      </w:r>
      <w:r>
        <w:rPr>
          <w:i/>
          <w:color w:val="231F20"/>
          <w:sz w:val="20"/>
        </w:rPr>
        <w:t>культуры?</w:t>
      </w:r>
      <w:r>
        <w:rPr>
          <w:i/>
          <w:color w:val="231F20"/>
          <w:spacing w:val="-5"/>
          <w:sz w:val="20"/>
        </w:rPr>
        <w:t> </w:t>
      </w:r>
      <w:r>
        <w:rPr>
          <w:i/>
          <w:color w:val="231F20"/>
          <w:sz w:val="20"/>
        </w:rPr>
        <w:t>Какой</w:t>
      </w:r>
      <w:r>
        <w:rPr>
          <w:i/>
          <w:color w:val="231F20"/>
          <w:spacing w:val="-5"/>
          <w:sz w:val="20"/>
        </w:rPr>
        <w:t> </w:t>
      </w:r>
      <w:r>
        <w:rPr>
          <w:i/>
          <w:color w:val="231F20"/>
          <w:spacing w:val="-2"/>
          <w:sz w:val="20"/>
        </w:rPr>
        <w:t>именно?</w:t>
      </w:r>
    </w:p>
    <w:p>
      <w:pPr>
        <w:pStyle w:val="ListParagraph"/>
        <w:numPr>
          <w:ilvl w:val="0"/>
          <w:numId w:val="284"/>
        </w:numPr>
        <w:tabs>
          <w:tab w:pos="424" w:val="left" w:leader="none"/>
        </w:tabs>
        <w:spacing w:line="226" w:lineRule="exact" w:before="0" w:after="0"/>
        <w:ind w:left="424" w:right="0" w:hanging="283"/>
        <w:jc w:val="left"/>
        <w:rPr>
          <w:i/>
          <w:sz w:val="20"/>
        </w:rPr>
      </w:pPr>
      <w:r>
        <w:rPr>
          <w:i/>
          <w:color w:val="231F20"/>
          <w:sz w:val="20"/>
        </w:rPr>
        <w:t>Любит</w:t>
      </w:r>
      <w:r>
        <w:rPr>
          <w:i/>
          <w:color w:val="231F20"/>
          <w:spacing w:val="-9"/>
          <w:sz w:val="20"/>
        </w:rPr>
        <w:t> </w:t>
      </w:r>
      <w:r>
        <w:rPr>
          <w:i/>
          <w:color w:val="231F20"/>
          <w:sz w:val="20"/>
        </w:rPr>
        <w:t>произведения</w:t>
      </w:r>
      <w:r>
        <w:rPr>
          <w:i/>
          <w:color w:val="231F20"/>
          <w:spacing w:val="-8"/>
          <w:sz w:val="20"/>
        </w:rPr>
        <w:t> </w:t>
      </w:r>
      <w:r>
        <w:rPr>
          <w:i/>
          <w:color w:val="231F20"/>
          <w:sz w:val="20"/>
        </w:rPr>
        <w:t>какого-нибудь</w:t>
      </w:r>
      <w:r>
        <w:rPr>
          <w:i/>
          <w:color w:val="231F20"/>
          <w:spacing w:val="-9"/>
          <w:sz w:val="20"/>
        </w:rPr>
        <w:t> </w:t>
      </w:r>
      <w:r>
        <w:rPr>
          <w:i/>
          <w:color w:val="231F20"/>
          <w:sz w:val="20"/>
        </w:rPr>
        <w:t>иностранного</w:t>
      </w:r>
      <w:r>
        <w:rPr>
          <w:i/>
          <w:color w:val="231F20"/>
          <w:spacing w:val="-8"/>
          <w:sz w:val="20"/>
        </w:rPr>
        <w:t> </w:t>
      </w:r>
      <w:r>
        <w:rPr>
          <w:i/>
          <w:color w:val="231F20"/>
          <w:sz w:val="20"/>
        </w:rPr>
        <w:t>писателя?</w:t>
      </w:r>
      <w:r>
        <w:rPr>
          <w:i/>
          <w:color w:val="231F20"/>
          <w:spacing w:val="-8"/>
          <w:sz w:val="20"/>
        </w:rPr>
        <w:t> </w:t>
      </w:r>
      <w:r>
        <w:rPr>
          <w:i/>
          <w:color w:val="231F20"/>
          <w:sz w:val="20"/>
        </w:rPr>
        <w:t>Какого</w:t>
      </w:r>
      <w:r>
        <w:rPr>
          <w:i/>
          <w:color w:val="231F20"/>
          <w:spacing w:val="-7"/>
          <w:sz w:val="20"/>
        </w:rPr>
        <w:t> </w:t>
      </w:r>
      <w:r>
        <w:rPr>
          <w:i/>
          <w:color w:val="231F20"/>
          <w:spacing w:val="-2"/>
          <w:sz w:val="20"/>
        </w:rPr>
        <w:t>именно?</w:t>
      </w:r>
    </w:p>
    <w:p>
      <w:pPr>
        <w:pStyle w:val="ListParagraph"/>
        <w:numPr>
          <w:ilvl w:val="0"/>
          <w:numId w:val="284"/>
        </w:numPr>
        <w:tabs>
          <w:tab w:pos="424" w:val="left" w:leader="none"/>
        </w:tabs>
        <w:spacing w:line="226" w:lineRule="exact" w:before="0" w:after="0"/>
        <w:ind w:left="424" w:right="0" w:hanging="283"/>
        <w:jc w:val="left"/>
        <w:rPr>
          <w:i/>
          <w:sz w:val="20"/>
        </w:rPr>
      </w:pPr>
      <w:r>
        <w:rPr>
          <w:i/>
          <w:color w:val="231F20"/>
          <w:sz w:val="20"/>
        </w:rPr>
        <w:t>Бывал</w:t>
      </w:r>
      <w:r>
        <w:rPr>
          <w:i/>
          <w:color w:val="231F20"/>
          <w:spacing w:val="-5"/>
          <w:sz w:val="20"/>
        </w:rPr>
        <w:t> </w:t>
      </w:r>
      <w:r>
        <w:rPr>
          <w:i/>
          <w:color w:val="231F20"/>
          <w:sz w:val="20"/>
        </w:rPr>
        <w:t>в</w:t>
      </w:r>
      <w:r>
        <w:rPr>
          <w:i/>
          <w:color w:val="231F20"/>
          <w:spacing w:val="-5"/>
          <w:sz w:val="20"/>
        </w:rPr>
        <w:t> </w:t>
      </w:r>
      <w:r>
        <w:rPr>
          <w:i/>
          <w:color w:val="231F20"/>
          <w:sz w:val="20"/>
        </w:rPr>
        <w:t>храме</w:t>
      </w:r>
      <w:r>
        <w:rPr>
          <w:i/>
          <w:color w:val="231F20"/>
          <w:spacing w:val="-4"/>
          <w:sz w:val="20"/>
        </w:rPr>
        <w:t> </w:t>
      </w:r>
      <w:r>
        <w:rPr>
          <w:i/>
          <w:color w:val="231F20"/>
          <w:sz w:val="20"/>
        </w:rPr>
        <w:t>иной</w:t>
      </w:r>
      <w:r>
        <w:rPr>
          <w:i/>
          <w:color w:val="231F20"/>
          <w:spacing w:val="-5"/>
          <w:sz w:val="20"/>
        </w:rPr>
        <w:t> </w:t>
      </w:r>
      <w:r>
        <w:rPr>
          <w:i/>
          <w:color w:val="231F20"/>
          <w:sz w:val="20"/>
        </w:rPr>
        <w:t>религии?</w:t>
      </w:r>
      <w:r>
        <w:rPr>
          <w:i/>
          <w:color w:val="231F20"/>
          <w:spacing w:val="-4"/>
          <w:sz w:val="20"/>
        </w:rPr>
        <w:t> </w:t>
      </w:r>
      <w:r>
        <w:rPr>
          <w:i/>
          <w:color w:val="231F20"/>
          <w:sz w:val="20"/>
        </w:rPr>
        <w:t>В</w:t>
      </w:r>
      <w:r>
        <w:rPr>
          <w:i/>
          <w:color w:val="231F20"/>
          <w:spacing w:val="-4"/>
          <w:sz w:val="20"/>
        </w:rPr>
        <w:t> </w:t>
      </w:r>
      <w:r>
        <w:rPr>
          <w:i/>
          <w:color w:val="231F20"/>
          <w:sz w:val="20"/>
        </w:rPr>
        <w:t>каком</w:t>
      </w:r>
      <w:r>
        <w:rPr>
          <w:i/>
          <w:color w:val="231F20"/>
          <w:spacing w:val="-5"/>
          <w:sz w:val="20"/>
        </w:rPr>
        <w:t> </w:t>
      </w:r>
      <w:r>
        <w:rPr>
          <w:i/>
          <w:color w:val="231F20"/>
          <w:spacing w:val="-2"/>
          <w:sz w:val="20"/>
        </w:rPr>
        <w:t>именно?</w:t>
      </w:r>
    </w:p>
    <w:p>
      <w:pPr>
        <w:pStyle w:val="ListParagraph"/>
        <w:numPr>
          <w:ilvl w:val="0"/>
          <w:numId w:val="284"/>
        </w:numPr>
        <w:tabs>
          <w:tab w:pos="441" w:val="left" w:leader="none"/>
        </w:tabs>
        <w:spacing w:line="226" w:lineRule="exact" w:before="0" w:after="0"/>
        <w:ind w:left="441" w:right="0" w:hanging="300"/>
        <w:jc w:val="left"/>
        <w:rPr>
          <w:i/>
          <w:sz w:val="20"/>
        </w:rPr>
      </w:pPr>
      <w:r>
        <w:rPr>
          <w:i/>
          <w:color w:val="231F20"/>
          <w:sz w:val="20"/>
        </w:rPr>
        <w:t>Знает,</w:t>
      </w:r>
      <w:r>
        <w:rPr>
          <w:i/>
          <w:color w:val="231F20"/>
          <w:spacing w:val="-4"/>
          <w:sz w:val="20"/>
        </w:rPr>
        <w:t> </w:t>
      </w:r>
      <w:r>
        <w:rPr>
          <w:i/>
          <w:color w:val="231F20"/>
          <w:sz w:val="20"/>
        </w:rPr>
        <w:t>как</w:t>
      </w:r>
      <w:r>
        <w:rPr>
          <w:i/>
          <w:color w:val="231F20"/>
          <w:spacing w:val="-2"/>
          <w:sz w:val="20"/>
        </w:rPr>
        <w:t> </w:t>
      </w:r>
      <w:r>
        <w:rPr>
          <w:i/>
          <w:color w:val="231F20"/>
          <w:sz w:val="20"/>
        </w:rPr>
        <w:t>звали</w:t>
      </w:r>
      <w:r>
        <w:rPr>
          <w:i/>
          <w:color w:val="231F20"/>
          <w:spacing w:val="-2"/>
          <w:sz w:val="20"/>
        </w:rPr>
        <w:t> </w:t>
      </w:r>
      <w:r>
        <w:rPr>
          <w:i/>
          <w:color w:val="231F20"/>
          <w:sz w:val="20"/>
        </w:rPr>
        <w:t>его</w:t>
      </w:r>
      <w:r>
        <w:rPr>
          <w:i/>
          <w:color w:val="231F20"/>
          <w:spacing w:val="-2"/>
          <w:sz w:val="20"/>
        </w:rPr>
        <w:t> </w:t>
      </w:r>
      <w:r>
        <w:rPr>
          <w:i/>
          <w:color w:val="231F20"/>
          <w:sz w:val="20"/>
        </w:rPr>
        <w:t>прабабушку</w:t>
      </w:r>
      <w:r>
        <w:rPr>
          <w:i/>
          <w:color w:val="231F20"/>
          <w:spacing w:val="-2"/>
          <w:sz w:val="20"/>
        </w:rPr>
        <w:t> </w:t>
      </w:r>
      <w:r>
        <w:rPr>
          <w:i/>
          <w:color w:val="231F20"/>
          <w:sz w:val="20"/>
        </w:rPr>
        <w:t>или</w:t>
      </w:r>
      <w:r>
        <w:rPr>
          <w:i/>
          <w:color w:val="231F20"/>
          <w:spacing w:val="-2"/>
          <w:sz w:val="20"/>
        </w:rPr>
        <w:t> </w:t>
      </w:r>
      <w:r>
        <w:rPr>
          <w:i/>
          <w:color w:val="231F20"/>
          <w:sz w:val="20"/>
        </w:rPr>
        <w:t>прадедушку?</w:t>
      </w:r>
      <w:r>
        <w:rPr>
          <w:i/>
          <w:color w:val="231F20"/>
          <w:spacing w:val="-2"/>
          <w:sz w:val="20"/>
        </w:rPr>
        <w:t> </w:t>
      </w:r>
      <w:r>
        <w:rPr>
          <w:i/>
          <w:color w:val="231F20"/>
          <w:sz w:val="20"/>
        </w:rPr>
        <w:t>Как</w:t>
      </w:r>
      <w:r>
        <w:rPr>
          <w:i/>
          <w:color w:val="231F20"/>
          <w:spacing w:val="-2"/>
          <w:sz w:val="20"/>
        </w:rPr>
        <w:t> именно?</w:t>
      </w:r>
    </w:p>
    <w:p>
      <w:pPr>
        <w:pStyle w:val="ListParagraph"/>
        <w:numPr>
          <w:ilvl w:val="0"/>
          <w:numId w:val="284"/>
        </w:numPr>
        <w:tabs>
          <w:tab w:pos="432" w:val="left" w:leader="none"/>
        </w:tabs>
        <w:spacing w:line="225" w:lineRule="exact" w:before="0" w:after="0"/>
        <w:ind w:left="432" w:right="0" w:hanging="291"/>
        <w:jc w:val="left"/>
        <w:rPr>
          <w:i/>
          <w:sz w:val="20"/>
        </w:rPr>
      </w:pPr>
      <w:r>
        <w:rPr>
          <w:i/>
          <w:color w:val="231F20"/>
          <w:sz w:val="20"/>
        </w:rPr>
        <w:t>Может</w:t>
      </w:r>
      <w:r>
        <w:rPr>
          <w:i/>
          <w:color w:val="231F20"/>
          <w:spacing w:val="-8"/>
          <w:sz w:val="20"/>
        </w:rPr>
        <w:t> </w:t>
      </w:r>
      <w:r>
        <w:rPr>
          <w:i/>
          <w:color w:val="231F20"/>
          <w:sz w:val="20"/>
        </w:rPr>
        <w:t>посчитать</w:t>
      </w:r>
      <w:r>
        <w:rPr>
          <w:i/>
          <w:color w:val="231F20"/>
          <w:spacing w:val="-5"/>
          <w:sz w:val="20"/>
        </w:rPr>
        <w:t> </w:t>
      </w:r>
      <w:r>
        <w:rPr>
          <w:i/>
          <w:color w:val="231F20"/>
          <w:sz w:val="20"/>
        </w:rPr>
        <w:t>до</w:t>
      </w:r>
      <w:r>
        <w:rPr>
          <w:i/>
          <w:color w:val="231F20"/>
          <w:spacing w:val="-5"/>
          <w:sz w:val="20"/>
        </w:rPr>
        <w:t> </w:t>
      </w:r>
      <w:r>
        <w:rPr>
          <w:i/>
          <w:color w:val="231F20"/>
          <w:sz w:val="20"/>
        </w:rPr>
        <w:t>пяти</w:t>
      </w:r>
      <w:r>
        <w:rPr>
          <w:i/>
          <w:color w:val="231F20"/>
          <w:spacing w:val="-4"/>
          <w:sz w:val="20"/>
        </w:rPr>
        <w:t> </w:t>
      </w:r>
      <w:r>
        <w:rPr>
          <w:i/>
          <w:color w:val="231F20"/>
          <w:sz w:val="20"/>
        </w:rPr>
        <w:t>на</w:t>
      </w:r>
      <w:r>
        <w:rPr>
          <w:i/>
          <w:color w:val="231F20"/>
          <w:spacing w:val="-4"/>
          <w:sz w:val="20"/>
        </w:rPr>
        <w:t> </w:t>
      </w:r>
      <w:r>
        <w:rPr>
          <w:i/>
          <w:color w:val="231F20"/>
          <w:sz w:val="20"/>
        </w:rPr>
        <w:t>другом</w:t>
      </w:r>
      <w:r>
        <w:rPr>
          <w:i/>
          <w:color w:val="231F20"/>
          <w:spacing w:val="-6"/>
          <w:sz w:val="20"/>
        </w:rPr>
        <w:t> </w:t>
      </w:r>
      <w:r>
        <w:rPr>
          <w:i/>
          <w:color w:val="231F20"/>
          <w:sz w:val="20"/>
        </w:rPr>
        <w:t>языке?</w:t>
      </w:r>
      <w:r>
        <w:rPr>
          <w:i/>
          <w:color w:val="231F20"/>
          <w:spacing w:val="-4"/>
          <w:sz w:val="20"/>
        </w:rPr>
        <w:t> </w:t>
      </w:r>
      <w:r>
        <w:rPr>
          <w:i/>
          <w:color w:val="231F20"/>
          <w:sz w:val="20"/>
        </w:rPr>
        <w:t>На</w:t>
      </w:r>
      <w:r>
        <w:rPr>
          <w:i/>
          <w:color w:val="231F20"/>
          <w:spacing w:val="-4"/>
          <w:sz w:val="20"/>
        </w:rPr>
        <w:t> </w:t>
      </w:r>
      <w:r>
        <w:rPr>
          <w:i/>
          <w:color w:val="231F20"/>
          <w:spacing w:val="-2"/>
          <w:sz w:val="20"/>
        </w:rPr>
        <w:t>каком?</w:t>
      </w:r>
    </w:p>
    <w:p>
      <w:pPr>
        <w:pStyle w:val="ListParagraph"/>
        <w:numPr>
          <w:ilvl w:val="0"/>
          <w:numId w:val="284"/>
        </w:numPr>
        <w:tabs>
          <w:tab w:pos="441" w:val="left" w:leader="none"/>
        </w:tabs>
        <w:spacing w:line="224" w:lineRule="exact" w:before="0" w:after="0"/>
        <w:ind w:left="441" w:right="0" w:hanging="300"/>
        <w:jc w:val="left"/>
        <w:rPr>
          <w:i/>
          <w:sz w:val="20"/>
        </w:rPr>
      </w:pPr>
      <w:r>
        <w:rPr>
          <w:i/>
          <w:color w:val="231F20"/>
          <w:sz w:val="20"/>
        </w:rPr>
        <w:t>Знает</w:t>
      </w:r>
      <w:r>
        <w:rPr>
          <w:i/>
          <w:color w:val="231F20"/>
          <w:spacing w:val="-4"/>
          <w:sz w:val="20"/>
        </w:rPr>
        <w:t> </w:t>
      </w:r>
      <w:r>
        <w:rPr>
          <w:i/>
          <w:color w:val="231F20"/>
          <w:sz w:val="20"/>
        </w:rPr>
        <w:t>пословицу</w:t>
      </w:r>
      <w:r>
        <w:rPr>
          <w:i/>
          <w:color w:val="231F20"/>
          <w:spacing w:val="-3"/>
          <w:sz w:val="20"/>
        </w:rPr>
        <w:t> </w:t>
      </w:r>
      <w:r>
        <w:rPr>
          <w:i/>
          <w:color w:val="231F20"/>
          <w:sz w:val="20"/>
        </w:rPr>
        <w:t>или</w:t>
      </w:r>
      <w:r>
        <w:rPr>
          <w:i/>
          <w:color w:val="231F20"/>
          <w:spacing w:val="-3"/>
          <w:sz w:val="20"/>
        </w:rPr>
        <w:t> </w:t>
      </w:r>
      <w:r>
        <w:rPr>
          <w:i/>
          <w:color w:val="231F20"/>
          <w:sz w:val="20"/>
        </w:rPr>
        <w:t>поговорку</w:t>
      </w:r>
      <w:r>
        <w:rPr>
          <w:i/>
          <w:color w:val="231F20"/>
          <w:spacing w:val="-3"/>
          <w:sz w:val="20"/>
        </w:rPr>
        <w:t> </w:t>
      </w:r>
      <w:r>
        <w:rPr>
          <w:i/>
          <w:color w:val="231F20"/>
          <w:sz w:val="20"/>
        </w:rPr>
        <w:t>другого</w:t>
      </w:r>
      <w:r>
        <w:rPr>
          <w:i/>
          <w:color w:val="231F20"/>
          <w:spacing w:val="-4"/>
          <w:sz w:val="20"/>
        </w:rPr>
        <w:t> </w:t>
      </w:r>
      <w:r>
        <w:rPr>
          <w:i/>
          <w:color w:val="231F20"/>
          <w:sz w:val="20"/>
        </w:rPr>
        <w:t>народа?</w:t>
      </w:r>
      <w:r>
        <w:rPr>
          <w:i/>
          <w:color w:val="231F20"/>
          <w:spacing w:val="-3"/>
          <w:sz w:val="20"/>
        </w:rPr>
        <w:t> </w:t>
      </w:r>
      <w:r>
        <w:rPr>
          <w:i/>
          <w:color w:val="231F20"/>
          <w:sz w:val="20"/>
        </w:rPr>
        <w:t>Какую</w:t>
      </w:r>
      <w:r>
        <w:rPr>
          <w:i/>
          <w:color w:val="231F20"/>
          <w:spacing w:val="-3"/>
          <w:sz w:val="20"/>
        </w:rPr>
        <w:t> </w:t>
      </w:r>
      <w:r>
        <w:rPr>
          <w:i/>
          <w:color w:val="231F20"/>
          <w:spacing w:val="-2"/>
          <w:sz w:val="20"/>
        </w:rPr>
        <w:t>именно?</w:t>
      </w:r>
    </w:p>
    <w:p>
      <w:pPr>
        <w:pStyle w:val="ListParagraph"/>
        <w:numPr>
          <w:ilvl w:val="0"/>
          <w:numId w:val="284"/>
        </w:numPr>
        <w:tabs>
          <w:tab w:pos="441" w:val="left" w:leader="none"/>
        </w:tabs>
        <w:spacing w:line="224" w:lineRule="exact" w:before="0" w:after="0"/>
        <w:ind w:left="441" w:right="0" w:hanging="300"/>
        <w:jc w:val="left"/>
        <w:rPr>
          <w:i/>
          <w:sz w:val="20"/>
        </w:rPr>
      </w:pPr>
      <w:r>
        <w:rPr>
          <w:i/>
          <w:color w:val="231F20"/>
          <w:sz w:val="20"/>
        </w:rPr>
        <w:t>Умеет</w:t>
      </w:r>
      <w:r>
        <w:rPr>
          <w:i/>
          <w:color w:val="231F20"/>
          <w:spacing w:val="-12"/>
          <w:sz w:val="20"/>
        </w:rPr>
        <w:t> </w:t>
      </w:r>
      <w:r>
        <w:rPr>
          <w:i/>
          <w:color w:val="231F20"/>
          <w:sz w:val="20"/>
        </w:rPr>
        <w:t>готовить</w:t>
      </w:r>
      <w:r>
        <w:rPr>
          <w:i/>
          <w:color w:val="231F20"/>
          <w:spacing w:val="-9"/>
          <w:sz w:val="20"/>
        </w:rPr>
        <w:t> </w:t>
      </w:r>
      <w:r>
        <w:rPr>
          <w:i/>
          <w:color w:val="231F20"/>
          <w:sz w:val="20"/>
        </w:rPr>
        <w:t>национальное</w:t>
      </w:r>
      <w:r>
        <w:rPr>
          <w:i/>
          <w:color w:val="231F20"/>
          <w:spacing w:val="-9"/>
          <w:sz w:val="20"/>
        </w:rPr>
        <w:t> </w:t>
      </w:r>
      <w:r>
        <w:rPr>
          <w:i/>
          <w:color w:val="231F20"/>
          <w:sz w:val="20"/>
        </w:rPr>
        <w:t>блюдо</w:t>
      </w:r>
      <w:r>
        <w:rPr>
          <w:i/>
          <w:color w:val="231F20"/>
          <w:spacing w:val="-8"/>
          <w:sz w:val="20"/>
        </w:rPr>
        <w:t> </w:t>
      </w:r>
      <w:r>
        <w:rPr>
          <w:i/>
          <w:color w:val="231F20"/>
          <w:sz w:val="20"/>
        </w:rPr>
        <w:t>какой-либо</w:t>
      </w:r>
      <w:r>
        <w:rPr>
          <w:i/>
          <w:color w:val="231F20"/>
          <w:spacing w:val="-9"/>
          <w:sz w:val="20"/>
        </w:rPr>
        <w:t> </w:t>
      </w:r>
      <w:r>
        <w:rPr>
          <w:i/>
          <w:color w:val="231F20"/>
          <w:sz w:val="20"/>
        </w:rPr>
        <w:t>иной</w:t>
      </w:r>
      <w:r>
        <w:rPr>
          <w:i/>
          <w:color w:val="231F20"/>
          <w:spacing w:val="-8"/>
          <w:sz w:val="20"/>
        </w:rPr>
        <w:t> </w:t>
      </w:r>
      <w:r>
        <w:rPr>
          <w:i/>
          <w:color w:val="231F20"/>
          <w:sz w:val="20"/>
        </w:rPr>
        <w:t>культуры?</w:t>
      </w:r>
      <w:r>
        <w:rPr>
          <w:i/>
          <w:color w:val="231F20"/>
          <w:spacing w:val="-8"/>
          <w:sz w:val="20"/>
        </w:rPr>
        <w:t> </w:t>
      </w:r>
      <w:r>
        <w:rPr>
          <w:i/>
          <w:color w:val="231F20"/>
          <w:spacing w:val="-2"/>
          <w:sz w:val="20"/>
        </w:rPr>
        <w:t>Какое?</w:t>
      </w:r>
    </w:p>
    <w:p>
      <w:pPr>
        <w:pStyle w:val="ListParagraph"/>
        <w:numPr>
          <w:ilvl w:val="0"/>
          <w:numId w:val="284"/>
        </w:numPr>
        <w:tabs>
          <w:tab w:pos="425" w:val="left" w:leader="none"/>
          <w:tab w:pos="440" w:val="left" w:leader="none"/>
        </w:tabs>
        <w:spacing w:line="232" w:lineRule="auto" w:before="3" w:after="0"/>
        <w:ind w:left="425" w:right="139" w:hanging="284"/>
        <w:jc w:val="left"/>
        <w:rPr>
          <w:i/>
          <w:sz w:val="20"/>
        </w:rPr>
      </w:pPr>
      <w:r>
        <w:rPr>
          <w:i/>
          <w:color w:val="231F20"/>
          <w:sz w:val="20"/>
        </w:rPr>
        <w:t>Может</w:t>
      </w:r>
      <w:r>
        <w:rPr>
          <w:i/>
          <w:color w:val="231F20"/>
          <w:sz w:val="20"/>
        </w:rPr>
        <w:t> прочитать</w:t>
      </w:r>
      <w:r>
        <w:rPr>
          <w:i/>
          <w:color w:val="231F20"/>
          <w:spacing w:val="-9"/>
          <w:sz w:val="20"/>
        </w:rPr>
        <w:t> </w:t>
      </w:r>
      <w:r>
        <w:rPr>
          <w:i/>
          <w:color w:val="231F20"/>
          <w:sz w:val="20"/>
        </w:rPr>
        <w:t>стихотворение</w:t>
      </w:r>
      <w:r>
        <w:rPr>
          <w:i/>
          <w:color w:val="231F20"/>
          <w:spacing w:val="-9"/>
          <w:sz w:val="20"/>
        </w:rPr>
        <w:t> </w:t>
      </w:r>
      <w:r>
        <w:rPr>
          <w:i/>
          <w:color w:val="231F20"/>
          <w:sz w:val="20"/>
        </w:rPr>
        <w:t>(хотя</w:t>
      </w:r>
      <w:r>
        <w:rPr>
          <w:i/>
          <w:color w:val="231F20"/>
          <w:spacing w:val="-9"/>
          <w:sz w:val="20"/>
        </w:rPr>
        <w:t> </w:t>
      </w:r>
      <w:r>
        <w:rPr>
          <w:i/>
          <w:color w:val="231F20"/>
          <w:sz w:val="20"/>
        </w:rPr>
        <w:t>бы</w:t>
      </w:r>
      <w:r>
        <w:rPr>
          <w:i/>
          <w:color w:val="231F20"/>
          <w:spacing w:val="-9"/>
          <w:sz w:val="20"/>
        </w:rPr>
        <w:t> </w:t>
      </w:r>
      <w:r>
        <w:rPr>
          <w:i/>
          <w:color w:val="231F20"/>
          <w:sz w:val="20"/>
        </w:rPr>
        <w:t>отрывок!),</w:t>
      </w:r>
      <w:r>
        <w:rPr>
          <w:i/>
          <w:color w:val="231F20"/>
          <w:spacing w:val="-9"/>
          <w:sz w:val="20"/>
        </w:rPr>
        <w:t> </w:t>
      </w:r>
      <w:r>
        <w:rPr>
          <w:i/>
          <w:color w:val="231F20"/>
          <w:sz w:val="20"/>
        </w:rPr>
        <w:t>которое</w:t>
      </w:r>
      <w:r>
        <w:rPr>
          <w:i/>
          <w:color w:val="231F20"/>
          <w:spacing w:val="-9"/>
          <w:sz w:val="20"/>
        </w:rPr>
        <w:t> </w:t>
      </w:r>
      <w:r>
        <w:rPr>
          <w:i/>
          <w:color w:val="231F20"/>
          <w:sz w:val="20"/>
        </w:rPr>
        <w:t>было</w:t>
      </w:r>
      <w:r>
        <w:rPr>
          <w:i/>
          <w:color w:val="231F20"/>
          <w:spacing w:val="-9"/>
          <w:sz w:val="20"/>
        </w:rPr>
        <w:t> </w:t>
      </w:r>
      <w:r>
        <w:rPr>
          <w:i/>
          <w:color w:val="231F20"/>
          <w:sz w:val="20"/>
        </w:rPr>
        <w:t>написано на другом языке?</w:t>
      </w:r>
    </w:p>
    <w:p>
      <w:pPr>
        <w:pStyle w:val="ListParagraph"/>
        <w:numPr>
          <w:ilvl w:val="0"/>
          <w:numId w:val="284"/>
        </w:numPr>
        <w:tabs>
          <w:tab w:pos="441" w:val="left" w:leader="none"/>
        </w:tabs>
        <w:spacing w:line="223" w:lineRule="exact" w:before="0" w:after="0"/>
        <w:ind w:left="441" w:right="0" w:hanging="300"/>
        <w:jc w:val="left"/>
        <w:rPr>
          <w:i/>
          <w:sz w:val="20"/>
        </w:rPr>
      </w:pPr>
      <w:r>
        <w:rPr>
          <w:i/>
          <w:color w:val="231F20"/>
          <w:sz w:val="20"/>
        </w:rPr>
        <w:t>Может</w:t>
      </w:r>
      <w:r>
        <w:rPr>
          <w:i/>
          <w:color w:val="231F20"/>
          <w:spacing w:val="-9"/>
          <w:sz w:val="20"/>
        </w:rPr>
        <w:t> </w:t>
      </w:r>
      <w:r>
        <w:rPr>
          <w:i/>
          <w:color w:val="231F20"/>
          <w:sz w:val="20"/>
        </w:rPr>
        <w:t>рассказать</w:t>
      </w:r>
      <w:r>
        <w:rPr>
          <w:i/>
          <w:color w:val="231F20"/>
          <w:spacing w:val="-6"/>
          <w:sz w:val="20"/>
        </w:rPr>
        <w:t> </w:t>
      </w:r>
      <w:r>
        <w:rPr>
          <w:i/>
          <w:color w:val="231F20"/>
          <w:sz w:val="20"/>
        </w:rPr>
        <w:t>сказку</w:t>
      </w:r>
      <w:r>
        <w:rPr>
          <w:i/>
          <w:color w:val="231F20"/>
          <w:spacing w:val="-5"/>
          <w:sz w:val="20"/>
        </w:rPr>
        <w:t> </w:t>
      </w:r>
      <w:r>
        <w:rPr>
          <w:i/>
          <w:color w:val="231F20"/>
          <w:sz w:val="20"/>
        </w:rPr>
        <w:t>или</w:t>
      </w:r>
      <w:r>
        <w:rPr>
          <w:i/>
          <w:color w:val="231F20"/>
          <w:spacing w:val="-5"/>
          <w:sz w:val="20"/>
        </w:rPr>
        <w:t> </w:t>
      </w:r>
      <w:r>
        <w:rPr>
          <w:i/>
          <w:color w:val="231F20"/>
          <w:sz w:val="20"/>
        </w:rPr>
        <w:t>легенду</w:t>
      </w:r>
      <w:r>
        <w:rPr>
          <w:i/>
          <w:color w:val="231F20"/>
          <w:spacing w:val="-6"/>
          <w:sz w:val="20"/>
        </w:rPr>
        <w:t> </w:t>
      </w:r>
      <w:r>
        <w:rPr>
          <w:i/>
          <w:color w:val="231F20"/>
          <w:sz w:val="20"/>
        </w:rPr>
        <w:t>другого</w:t>
      </w:r>
      <w:r>
        <w:rPr>
          <w:i/>
          <w:color w:val="231F20"/>
          <w:spacing w:val="-5"/>
          <w:sz w:val="20"/>
        </w:rPr>
        <w:t> </w:t>
      </w:r>
      <w:r>
        <w:rPr>
          <w:i/>
          <w:color w:val="231F20"/>
          <w:sz w:val="20"/>
        </w:rPr>
        <w:t>народа?</w:t>
      </w:r>
      <w:r>
        <w:rPr>
          <w:i/>
          <w:color w:val="231F20"/>
          <w:spacing w:val="-5"/>
          <w:sz w:val="20"/>
        </w:rPr>
        <w:t> </w:t>
      </w:r>
      <w:r>
        <w:rPr>
          <w:i/>
          <w:color w:val="231F20"/>
          <w:sz w:val="20"/>
        </w:rPr>
        <w:t>Какого</w:t>
      </w:r>
      <w:r>
        <w:rPr>
          <w:i/>
          <w:color w:val="231F20"/>
          <w:spacing w:val="-5"/>
          <w:sz w:val="20"/>
        </w:rPr>
        <w:t> </w:t>
      </w:r>
      <w:r>
        <w:rPr>
          <w:i/>
          <w:color w:val="231F20"/>
          <w:spacing w:val="-2"/>
          <w:sz w:val="20"/>
        </w:rPr>
        <w:t>именно?</w:t>
      </w:r>
    </w:p>
    <w:p>
      <w:pPr>
        <w:pStyle w:val="ListParagraph"/>
        <w:numPr>
          <w:ilvl w:val="0"/>
          <w:numId w:val="284"/>
        </w:numPr>
        <w:tabs>
          <w:tab w:pos="441" w:val="left" w:leader="none"/>
        </w:tabs>
        <w:spacing w:line="224" w:lineRule="exact" w:before="0" w:after="0"/>
        <w:ind w:left="441" w:right="0" w:hanging="300"/>
        <w:jc w:val="left"/>
        <w:rPr>
          <w:i/>
          <w:sz w:val="20"/>
        </w:rPr>
      </w:pPr>
      <w:r>
        <w:rPr>
          <w:i/>
          <w:color w:val="231F20"/>
          <w:sz w:val="20"/>
        </w:rPr>
        <w:t>Не</w:t>
      </w:r>
      <w:r>
        <w:rPr>
          <w:i/>
          <w:color w:val="231F20"/>
          <w:spacing w:val="-2"/>
          <w:sz w:val="20"/>
        </w:rPr>
        <w:t> </w:t>
      </w:r>
      <w:r>
        <w:rPr>
          <w:i/>
          <w:color w:val="231F20"/>
          <w:sz w:val="20"/>
        </w:rPr>
        <w:t>менее</w:t>
      </w:r>
      <w:r>
        <w:rPr>
          <w:i/>
          <w:color w:val="231F20"/>
          <w:spacing w:val="-2"/>
          <w:sz w:val="20"/>
        </w:rPr>
        <w:t> </w:t>
      </w:r>
      <w:r>
        <w:rPr>
          <w:i/>
          <w:color w:val="231F20"/>
          <w:sz w:val="20"/>
        </w:rPr>
        <w:t>двух</w:t>
      </w:r>
      <w:r>
        <w:rPr>
          <w:i/>
          <w:color w:val="231F20"/>
          <w:spacing w:val="-1"/>
          <w:sz w:val="20"/>
        </w:rPr>
        <w:t> </w:t>
      </w:r>
      <w:r>
        <w:rPr>
          <w:i/>
          <w:color w:val="231F20"/>
          <w:sz w:val="20"/>
        </w:rPr>
        <w:t>месяцев</w:t>
      </w:r>
      <w:r>
        <w:rPr>
          <w:i/>
          <w:color w:val="231F20"/>
          <w:spacing w:val="-3"/>
          <w:sz w:val="20"/>
        </w:rPr>
        <w:t> </w:t>
      </w:r>
      <w:r>
        <w:rPr>
          <w:i/>
          <w:color w:val="231F20"/>
          <w:sz w:val="20"/>
        </w:rPr>
        <w:t>жил</w:t>
      </w:r>
      <w:r>
        <w:rPr>
          <w:i/>
          <w:color w:val="231F20"/>
          <w:spacing w:val="-1"/>
          <w:sz w:val="20"/>
        </w:rPr>
        <w:t> </w:t>
      </w:r>
      <w:r>
        <w:rPr>
          <w:i/>
          <w:color w:val="231F20"/>
          <w:sz w:val="20"/>
        </w:rPr>
        <w:t>в</w:t>
      </w:r>
      <w:r>
        <w:rPr>
          <w:i/>
          <w:color w:val="231F20"/>
          <w:spacing w:val="-3"/>
          <w:sz w:val="20"/>
        </w:rPr>
        <w:t> </w:t>
      </w:r>
      <w:r>
        <w:rPr>
          <w:i/>
          <w:color w:val="231F20"/>
          <w:sz w:val="20"/>
        </w:rPr>
        <w:t>другом</w:t>
      </w:r>
      <w:r>
        <w:rPr>
          <w:i/>
          <w:color w:val="231F20"/>
          <w:spacing w:val="-2"/>
          <w:sz w:val="20"/>
        </w:rPr>
        <w:t> </w:t>
      </w:r>
      <w:r>
        <w:rPr>
          <w:i/>
          <w:color w:val="231F20"/>
          <w:sz w:val="20"/>
        </w:rPr>
        <w:t>городе</w:t>
      </w:r>
      <w:r>
        <w:rPr>
          <w:i/>
          <w:color w:val="231F20"/>
          <w:spacing w:val="-2"/>
          <w:sz w:val="20"/>
        </w:rPr>
        <w:t> </w:t>
      </w:r>
      <w:r>
        <w:rPr>
          <w:i/>
          <w:color w:val="231F20"/>
          <w:sz w:val="20"/>
        </w:rPr>
        <w:t>или</w:t>
      </w:r>
      <w:r>
        <w:rPr>
          <w:i/>
          <w:color w:val="231F20"/>
          <w:spacing w:val="-1"/>
          <w:sz w:val="20"/>
        </w:rPr>
        <w:t> </w:t>
      </w:r>
      <w:r>
        <w:rPr>
          <w:i/>
          <w:color w:val="231F20"/>
          <w:sz w:val="20"/>
        </w:rPr>
        <w:t>стране?</w:t>
      </w:r>
      <w:r>
        <w:rPr>
          <w:i/>
          <w:color w:val="231F20"/>
          <w:spacing w:val="-2"/>
          <w:sz w:val="20"/>
        </w:rPr>
        <w:t> </w:t>
      </w:r>
      <w:r>
        <w:rPr>
          <w:i/>
          <w:color w:val="231F20"/>
          <w:sz w:val="20"/>
        </w:rPr>
        <w:t>Где</w:t>
      </w:r>
      <w:r>
        <w:rPr>
          <w:i/>
          <w:color w:val="231F20"/>
          <w:spacing w:val="-1"/>
          <w:sz w:val="20"/>
        </w:rPr>
        <w:t> </w:t>
      </w:r>
      <w:r>
        <w:rPr>
          <w:i/>
          <w:color w:val="231F20"/>
          <w:spacing w:val="-2"/>
          <w:sz w:val="20"/>
        </w:rPr>
        <w:t>именно?</w:t>
      </w:r>
    </w:p>
    <w:p>
      <w:pPr>
        <w:pStyle w:val="ListParagraph"/>
        <w:numPr>
          <w:ilvl w:val="0"/>
          <w:numId w:val="284"/>
        </w:numPr>
        <w:tabs>
          <w:tab w:pos="441" w:val="left" w:leader="none"/>
        </w:tabs>
        <w:spacing w:line="224" w:lineRule="exact" w:before="0" w:after="0"/>
        <w:ind w:left="441" w:right="0" w:hanging="300"/>
        <w:jc w:val="left"/>
        <w:rPr>
          <w:i/>
          <w:sz w:val="20"/>
        </w:rPr>
      </w:pPr>
      <w:r>
        <w:rPr>
          <w:i/>
          <w:color w:val="231F20"/>
          <w:sz w:val="20"/>
        </w:rPr>
        <w:t>Знает</w:t>
      </w:r>
      <w:r>
        <w:rPr>
          <w:i/>
          <w:color w:val="231F20"/>
          <w:spacing w:val="-5"/>
          <w:sz w:val="20"/>
        </w:rPr>
        <w:t> </w:t>
      </w:r>
      <w:r>
        <w:rPr>
          <w:i/>
          <w:color w:val="231F20"/>
          <w:sz w:val="20"/>
        </w:rPr>
        <w:t>народную</w:t>
      </w:r>
      <w:r>
        <w:rPr>
          <w:i/>
          <w:color w:val="231F20"/>
          <w:spacing w:val="-5"/>
          <w:sz w:val="20"/>
        </w:rPr>
        <w:t> </w:t>
      </w:r>
      <w:r>
        <w:rPr>
          <w:i/>
          <w:color w:val="231F20"/>
          <w:sz w:val="20"/>
        </w:rPr>
        <w:t>песню?</w:t>
      </w:r>
      <w:r>
        <w:rPr>
          <w:i/>
          <w:color w:val="231F20"/>
          <w:spacing w:val="-4"/>
          <w:sz w:val="20"/>
        </w:rPr>
        <w:t> </w:t>
      </w:r>
      <w:r>
        <w:rPr>
          <w:i/>
          <w:color w:val="231F20"/>
          <w:spacing w:val="-2"/>
          <w:sz w:val="20"/>
        </w:rPr>
        <w:t>Какую?</w:t>
      </w:r>
    </w:p>
    <w:p>
      <w:pPr>
        <w:pStyle w:val="ListParagraph"/>
        <w:numPr>
          <w:ilvl w:val="0"/>
          <w:numId w:val="284"/>
        </w:numPr>
        <w:tabs>
          <w:tab w:pos="441" w:val="left" w:leader="none"/>
        </w:tabs>
        <w:spacing w:line="224" w:lineRule="exact" w:before="0" w:after="0"/>
        <w:ind w:left="441" w:right="0" w:hanging="300"/>
        <w:jc w:val="left"/>
        <w:rPr>
          <w:i/>
          <w:sz w:val="20"/>
        </w:rPr>
      </w:pPr>
      <w:r>
        <w:rPr>
          <w:i/>
          <w:color w:val="231F20"/>
          <w:sz w:val="20"/>
        </w:rPr>
        <w:t>Имеет</w:t>
      </w:r>
      <w:r>
        <w:rPr>
          <w:i/>
          <w:color w:val="231F20"/>
          <w:spacing w:val="-5"/>
          <w:sz w:val="20"/>
        </w:rPr>
        <w:t> </w:t>
      </w:r>
      <w:r>
        <w:rPr>
          <w:i/>
          <w:color w:val="231F20"/>
          <w:sz w:val="20"/>
        </w:rPr>
        <w:t>дома</w:t>
      </w:r>
      <w:r>
        <w:rPr>
          <w:i/>
          <w:color w:val="231F20"/>
          <w:spacing w:val="-3"/>
          <w:sz w:val="20"/>
        </w:rPr>
        <w:t> </w:t>
      </w:r>
      <w:r>
        <w:rPr>
          <w:i/>
          <w:color w:val="231F20"/>
          <w:sz w:val="20"/>
        </w:rPr>
        <w:t>предмет,</w:t>
      </w:r>
      <w:r>
        <w:rPr>
          <w:i/>
          <w:color w:val="231F20"/>
          <w:spacing w:val="-3"/>
          <w:sz w:val="20"/>
        </w:rPr>
        <w:t> </w:t>
      </w:r>
      <w:r>
        <w:rPr>
          <w:i/>
          <w:color w:val="231F20"/>
          <w:sz w:val="20"/>
        </w:rPr>
        <w:t>привезенный</w:t>
      </w:r>
      <w:r>
        <w:rPr>
          <w:i/>
          <w:color w:val="231F20"/>
          <w:spacing w:val="-3"/>
          <w:sz w:val="20"/>
        </w:rPr>
        <w:t> </w:t>
      </w:r>
      <w:r>
        <w:rPr>
          <w:i/>
          <w:color w:val="231F20"/>
          <w:sz w:val="20"/>
        </w:rPr>
        <w:t>из</w:t>
      </w:r>
      <w:r>
        <w:rPr>
          <w:i/>
          <w:color w:val="231F20"/>
          <w:spacing w:val="-4"/>
          <w:sz w:val="20"/>
        </w:rPr>
        <w:t> </w:t>
      </w:r>
      <w:r>
        <w:rPr>
          <w:i/>
          <w:color w:val="231F20"/>
          <w:sz w:val="20"/>
        </w:rPr>
        <w:t>другой</w:t>
      </w:r>
      <w:r>
        <w:rPr>
          <w:i/>
          <w:color w:val="231F20"/>
          <w:spacing w:val="-3"/>
          <w:sz w:val="20"/>
        </w:rPr>
        <w:t> </w:t>
      </w:r>
      <w:r>
        <w:rPr>
          <w:i/>
          <w:color w:val="231F20"/>
          <w:sz w:val="20"/>
        </w:rPr>
        <w:t>страны?</w:t>
      </w:r>
      <w:r>
        <w:rPr>
          <w:i/>
          <w:color w:val="231F20"/>
          <w:spacing w:val="-3"/>
          <w:sz w:val="20"/>
        </w:rPr>
        <w:t> </w:t>
      </w:r>
      <w:r>
        <w:rPr>
          <w:i/>
          <w:color w:val="231F20"/>
          <w:spacing w:val="-2"/>
          <w:sz w:val="20"/>
        </w:rPr>
        <w:t>Какой?</w:t>
      </w:r>
    </w:p>
    <w:p>
      <w:pPr>
        <w:pStyle w:val="ListParagraph"/>
        <w:numPr>
          <w:ilvl w:val="0"/>
          <w:numId w:val="284"/>
        </w:numPr>
        <w:tabs>
          <w:tab w:pos="441" w:val="left" w:leader="none"/>
        </w:tabs>
        <w:spacing w:line="224" w:lineRule="exact" w:before="0" w:after="0"/>
        <w:ind w:left="441" w:right="0" w:hanging="300"/>
        <w:jc w:val="left"/>
        <w:rPr>
          <w:i/>
          <w:sz w:val="20"/>
        </w:rPr>
      </w:pPr>
      <w:r>
        <w:rPr>
          <w:i/>
          <w:color w:val="231F20"/>
          <w:sz w:val="20"/>
        </w:rPr>
        <w:t>Принимал</w:t>
      </w:r>
      <w:r>
        <w:rPr>
          <w:i/>
          <w:color w:val="231F20"/>
          <w:spacing w:val="-11"/>
          <w:sz w:val="20"/>
        </w:rPr>
        <w:t> </w:t>
      </w:r>
      <w:r>
        <w:rPr>
          <w:i/>
          <w:color w:val="231F20"/>
          <w:sz w:val="20"/>
        </w:rPr>
        <w:t>участие</w:t>
      </w:r>
      <w:r>
        <w:rPr>
          <w:i/>
          <w:color w:val="231F20"/>
          <w:spacing w:val="-9"/>
          <w:sz w:val="20"/>
        </w:rPr>
        <w:t> </w:t>
      </w:r>
      <w:r>
        <w:rPr>
          <w:i/>
          <w:color w:val="231F20"/>
          <w:sz w:val="20"/>
        </w:rPr>
        <w:t>в</w:t>
      </w:r>
      <w:r>
        <w:rPr>
          <w:i/>
          <w:color w:val="231F20"/>
          <w:spacing w:val="-10"/>
          <w:sz w:val="20"/>
        </w:rPr>
        <w:t> </w:t>
      </w:r>
      <w:r>
        <w:rPr>
          <w:i/>
          <w:color w:val="231F20"/>
          <w:sz w:val="20"/>
        </w:rPr>
        <w:t>каком-либо</w:t>
      </w:r>
      <w:r>
        <w:rPr>
          <w:i/>
          <w:color w:val="231F20"/>
          <w:spacing w:val="-9"/>
          <w:sz w:val="20"/>
        </w:rPr>
        <w:t> </w:t>
      </w:r>
      <w:r>
        <w:rPr>
          <w:i/>
          <w:color w:val="231F20"/>
          <w:sz w:val="20"/>
        </w:rPr>
        <w:t>народном</w:t>
      </w:r>
      <w:r>
        <w:rPr>
          <w:i/>
          <w:color w:val="231F20"/>
          <w:spacing w:val="-10"/>
          <w:sz w:val="20"/>
        </w:rPr>
        <w:t> </w:t>
      </w:r>
      <w:r>
        <w:rPr>
          <w:i/>
          <w:color w:val="231F20"/>
          <w:sz w:val="20"/>
        </w:rPr>
        <w:t>празднике?</w:t>
      </w:r>
      <w:r>
        <w:rPr>
          <w:i/>
          <w:color w:val="231F20"/>
          <w:spacing w:val="-9"/>
          <w:sz w:val="20"/>
        </w:rPr>
        <w:t> </w:t>
      </w:r>
      <w:r>
        <w:rPr>
          <w:i/>
          <w:color w:val="231F20"/>
          <w:sz w:val="20"/>
        </w:rPr>
        <w:t>Каком</w:t>
      </w:r>
      <w:r>
        <w:rPr>
          <w:i/>
          <w:color w:val="231F20"/>
          <w:spacing w:val="-9"/>
          <w:sz w:val="20"/>
        </w:rPr>
        <w:t> </w:t>
      </w:r>
      <w:r>
        <w:rPr>
          <w:i/>
          <w:color w:val="231F20"/>
          <w:spacing w:val="-2"/>
          <w:sz w:val="20"/>
        </w:rPr>
        <w:t>именно?</w:t>
      </w:r>
    </w:p>
    <w:p>
      <w:pPr>
        <w:pStyle w:val="ListParagraph"/>
        <w:numPr>
          <w:ilvl w:val="0"/>
          <w:numId w:val="284"/>
        </w:numPr>
        <w:tabs>
          <w:tab w:pos="441" w:val="left" w:leader="none"/>
        </w:tabs>
        <w:spacing w:line="227" w:lineRule="exact" w:before="0" w:after="0"/>
        <w:ind w:left="441" w:right="0" w:hanging="300"/>
        <w:jc w:val="left"/>
        <w:rPr>
          <w:i/>
          <w:sz w:val="20"/>
        </w:rPr>
      </w:pPr>
      <w:r>
        <w:rPr>
          <w:i/>
          <w:color w:val="231F20"/>
          <w:sz w:val="20"/>
        </w:rPr>
        <w:t>Имеет</w:t>
      </w:r>
      <w:r>
        <w:rPr>
          <w:i/>
          <w:color w:val="231F20"/>
          <w:spacing w:val="-4"/>
          <w:sz w:val="20"/>
        </w:rPr>
        <w:t> </w:t>
      </w:r>
      <w:r>
        <w:rPr>
          <w:i/>
          <w:color w:val="231F20"/>
          <w:sz w:val="20"/>
        </w:rPr>
        <w:t>в</w:t>
      </w:r>
      <w:r>
        <w:rPr>
          <w:i/>
          <w:color w:val="231F20"/>
          <w:spacing w:val="-4"/>
          <w:sz w:val="20"/>
        </w:rPr>
        <w:t> </w:t>
      </w:r>
      <w:r>
        <w:rPr>
          <w:i/>
          <w:color w:val="231F20"/>
          <w:sz w:val="20"/>
        </w:rPr>
        <w:t>своей</w:t>
      </w:r>
      <w:r>
        <w:rPr>
          <w:i/>
          <w:color w:val="231F20"/>
          <w:spacing w:val="-3"/>
          <w:sz w:val="20"/>
        </w:rPr>
        <w:t> </w:t>
      </w:r>
      <w:r>
        <w:rPr>
          <w:i/>
          <w:color w:val="231F20"/>
          <w:sz w:val="20"/>
        </w:rPr>
        <w:t>семье</w:t>
      </w:r>
      <w:r>
        <w:rPr>
          <w:i/>
          <w:color w:val="231F20"/>
          <w:spacing w:val="-3"/>
          <w:sz w:val="20"/>
        </w:rPr>
        <w:t> </w:t>
      </w:r>
      <w:r>
        <w:rPr>
          <w:i/>
          <w:color w:val="231F20"/>
          <w:sz w:val="20"/>
        </w:rPr>
        <w:t>людей</w:t>
      </w:r>
      <w:r>
        <w:rPr>
          <w:i/>
          <w:color w:val="231F20"/>
          <w:spacing w:val="-3"/>
          <w:sz w:val="20"/>
        </w:rPr>
        <w:t> </w:t>
      </w:r>
      <w:r>
        <w:rPr>
          <w:i/>
          <w:color w:val="231F20"/>
          <w:sz w:val="20"/>
        </w:rPr>
        <w:t>различных</w:t>
      </w:r>
      <w:r>
        <w:rPr>
          <w:i/>
          <w:color w:val="231F20"/>
          <w:spacing w:val="-3"/>
          <w:sz w:val="20"/>
        </w:rPr>
        <w:t> </w:t>
      </w:r>
      <w:r>
        <w:rPr>
          <w:i/>
          <w:color w:val="231F20"/>
          <w:sz w:val="20"/>
        </w:rPr>
        <w:t>национальностей?</w:t>
      </w:r>
      <w:r>
        <w:rPr>
          <w:i/>
          <w:color w:val="231F20"/>
          <w:spacing w:val="-2"/>
          <w:sz w:val="20"/>
        </w:rPr>
        <w:t> Каких?</w:t>
      </w:r>
    </w:p>
    <w:p>
      <w:pPr>
        <w:spacing w:before="107"/>
        <w:ind w:left="3433" w:right="0" w:firstLine="0"/>
        <w:jc w:val="left"/>
        <w:rPr>
          <w:b/>
          <w:sz w:val="20"/>
        </w:rPr>
      </w:pPr>
      <w:r>
        <w:rPr>
          <w:b/>
          <w:color w:val="231F20"/>
          <w:spacing w:val="-2"/>
          <w:sz w:val="20"/>
        </w:rPr>
        <w:t>«Мост»</w:t>
      </w:r>
    </w:p>
    <w:p>
      <w:pPr>
        <w:spacing w:line="232" w:lineRule="auto" w:before="113"/>
        <w:ind w:left="2349" w:right="139" w:hanging="87"/>
        <w:jc w:val="right"/>
        <w:rPr>
          <w:i/>
          <w:sz w:val="20"/>
        </w:rPr>
      </w:pPr>
      <w:r>
        <w:rPr>
          <w:b/>
          <w:i/>
          <w:color w:val="231F20"/>
          <w:sz w:val="20"/>
        </w:rPr>
        <w:t>Источник:</w:t>
      </w:r>
      <w:r>
        <w:rPr>
          <w:b/>
          <w:i/>
          <w:color w:val="231F20"/>
          <w:spacing w:val="-6"/>
          <w:sz w:val="20"/>
        </w:rPr>
        <w:t> </w:t>
      </w:r>
      <w:r>
        <w:rPr>
          <w:i/>
          <w:color w:val="231F20"/>
          <w:sz w:val="20"/>
        </w:rPr>
        <w:t>адаптировано</w:t>
      </w:r>
      <w:r>
        <w:rPr>
          <w:i/>
          <w:color w:val="231F20"/>
          <w:spacing w:val="-6"/>
          <w:sz w:val="20"/>
        </w:rPr>
        <w:t> </w:t>
      </w:r>
      <w:r>
        <w:rPr>
          <w:i/>
          <w:color w:val="231F20"/>
          <w:sz w:val="20"/>
        </w:rPr>
        <w:t>на</w:t>
      </w:r>
      <w:r>
        <w:rPr>
          <w:i/>
          <w:color w:val="231F20"/>
          <w:spacing w:val="-6"/>
          <w:sz w:val="20"/>
        </w:rPr>
        <w:t> </w:t>
      </w:r>
      <w:r>
        <w:rPr>
          <w:i/>
          <w:color w:val="231F20"/>
          <w:sz w:val="20"/>
        </w:rPr>
        <w:t>основе</w:t>
      </w:r>
      <w:r>
        <w:rPr>
          <w:i/>
          <w:color w:val="231F20"/>
          <w:spacing w:val="-6"/>
          <w:sz w:val="20"/>
        </w:rPr>
        <w:t> </w:t>
      </w:r>
      <w:r>
        <w:rPr>
          <w:i/>
          <w:color w:val="231F20"/>
          <w:sz w:val="20"/>
        </w:rPr>
        <w:t>BUILDING</w:t>
      </w:r>
      <w:r>
        <w:rPr>
          <w:i/>
          <w:color w:val="231F20"/>
          <w:spacing w:val="-7"/>
          <w:sz w:val="20"/>
        </w:rPr>
        <w:t> </w:t>
      </w:r>
      <w:r>
        <w:rPr>
          <w:i/>
          <w:color w:val="231F20"/>
          <w:sz w:val="20"/>
        </w:rPr>
        <w:t>BRIDGES</w:t>
      </w:r>
      <w:r>
        <w:rPr>
          <w:i/>
          <w:color w:val="231F20"/>
          <w:spacing w:val="-6"/>
          <w:sz w:val="20"/>
        </w:rPr>
        <w:t> </w:t>
      </w:r>
      <w:r>
        <w:rPr>
          <w:i/>
          <w:color w:val="231F20"/>
          <w:sz w:val="20"/>
        </w:rPr>
        <w:t>– A</w:t>
      </w:r>
      <w:r>
        <w:rPr>
          <w:i/>
          <w:color w:val="231F20"/>
          <w:spacing w:val="-7"/>
          <w:sz w:val="20"/>
        </w:rPr>
        <w:t> </w:t>
      </w:r>
      <w:r>
        <w:rPr>
          <w:i/>
          <w:color w:val="231F20"/>
          <w:sz w:val="20"/>
        </w:rPr>
        <w:t>game</w:t>
      </w:r>
      <w:r>
        <w:rPr>
          <w:i/>
          <w:color w:val="231F20"/>
          <w:spacing w:val="-2"/>
          <w:sz w:val="20"/>
        </w:rPr>
        <w:t> </w:t>
      </w:r>
      <w:r>
        <w:rPr>
          <w:i/>
          <w:color w:val="231F20"/>
          <w:sz w:val="20"/>
        </w:rPr>
        <w:t>about</w:t>
      </w:r>
      <w:r>
        <w:rPr>
          <w:i/>
          <w:color w:val="231F20"/>
          <w:spacing w:val="-2"/>
          <w:sz w:val="20"/>
        </w:rPr>
        <w:t> </w:t>
      </w:r>
      <w:r>
        <w:rPr>
          <w:i/>
          <w:color w:val="231F20"/>
          <w:sz w:val="20"/>
        </w:rPr>
        <w:t>dealing</w:t>
      </w:r>
      <w:r>
        <w:rPr>
          <w:i/>
          <w:color w:val="231F20"/>
          <w:spacing w:val="-3"/>
          <w:sz w:val="20"/>
        </w:rPr>
        <w:t> </w:t>
      </w:r>
      <w:r>
        <w:rPr>
          <w:i/>
          <w:color w:val="231F20"/>
          <w:sz w:val="20"/>
        </w:rPr>
        <w:t>with</w:t>
      </w:r>
      <w:r>
        <w:rPr>
          <w:i/>
          <w:color w:val="231F20"/>
          <w:spacing w:val="-2"/>
          <w:sz w:val="20"/>
        </w:rPr>
        <w:t> </w:t>
      </w:r>
      <w:r>
        <w:rPr>
          <w:i/>
          <w:color w:val="231F20"/>
          <w:sz w:val="20"/>
        </w:rPr>
        <w:t>cultural</w:t>
      </w:r>
      <w:r>
        <w:rPr>
          <w:i/>
          <w:color w:val="231F20"/>
          <w:spacing w:val="-3"/>
          <w:sz w:val="20"/>
        </w:rPr>
        <w:t> </w:t>
      </w:r>
      <w:r>
        <w:rPr>
          <w:i/>
          <w:color w:val="231F20"/>
          <w:sz w:val="20"/>
        </w:rPr>
        <w:t>differences</w:t>
      </w:r>
      <w:r>
        <w:rPr>
          <w:i/>
          <w:color w:val="231F20"/>
          <w:spacing w:val="-3"/>
          <w:sz w:val="20"/>
        </w:rPr>
        <w:t> </w:t>
      </w:r>
      <w:r>
        <w:rPr>
          <w:i/>
          <w:color w:val="231F20"/>
          <w:sz w:val="20"/>
        </w:rPr>
        <w:t>//</w:t>
      </w:r>
      <w:r>
        <w:rPr>
          <w:i/>
          <w:color w:val="231F20"/>
          <w:spacing w:val="-2"/>
          <w:sz w:val="20"/>
        </w:rPr>
        <w:t> </w:t>
      </w:r>
      <w:r>
        <w:rPr>
          <w:i/>
          <w:color w:val="231F20"/>
          <w:sz w:val="20"/>
        </w:rPr>
        <w:t>PRACTICE</w:t>
      </w:r>
      <w:r>
        <w:rPr>
          <w:i/>
          <w:color w:val="231F20"/>
          <w:spacing w:val="-3"/>
          <w:sz w:val="20"/>
        </w:rPr>
        <w:t> </w:t>
      </w:r>
      <w:r>
        <w:rPr>
          <w:i/>
          <w:color w:val="231F20"/>
          <w:spacing w:val="-10"/>
          <w:sz w:val="20"/>
        </w:rPr>
        <w:t>–</w:t>
      </w:r>
    </w:p>
    <w:p>
      <w:pPr>
        <w:spacing w:line="223" w:lineRule="exact" w:before="0"/>
        <w:ind w:left="141" w:right="140" w:firstLine="0"/>
        <w:jc w:val="right"/>
        <w:rPr>
          <w:i/>
          <w:sz w:val="20"/>
        </w:rPr>
      </w:pPr>
      <w:r>
        <w:rPr>
          <w:i/>
          <w:color w:val="231F20"/>
          <w:sz w:val="20"/>
        </w:rPr>
        <w:t>Preventing</w:t>
      </w:r>
      <w:r>
        <w:rPr>
          <w:i/>
          <w:color w:val="231F20"/>
          <w:spacing w:val="-5"/>
          <w:sz w:val="20"/>
        </w:rPr>
        <w:t> </w:t>
      </w:r>
      <w:r>
        <w:rPr>
          <w:i/>
          <w:color w:val="231F20"/>
          <w:sz w:val="20"/>
        </w:rPr>
        <w:t>Radicalisation</w:t>
      </w:r>
      <w:r>
        <w:rPr>
          <w:i/>
          <w:color w:val="231F20"/>
          <w:spacing w:val="-4"/>
          <w:sz w:val="20"/>
        </w:rPr>
        <w:t> </w:t>
      </w:r>
      <w:r>
        <w:rPr>
          <w:i/>
          <w:color w:val="231F20"/>
          <w:spacing w:val="-2"/>
          <w:sz w:val="20"/>
        </w:rPr>
        <w:t>Programme</w:t>
      </w:r>
    </w:p>
    <w:p>
      <w:pPr>
        <w:pStyle w:val="BodyText"/>
        <w:spacing w:line="227" w:lineRule="exact"/>
        <w:ind w:firstLine="0"/>
        <w:jc w:val="right"/>
      </w:pPr>
      <w:hyperlink r:id="rId236">
        <w:r>
          <w:rPr>
            <w:color w:val="2255A6"/>
            <w:spacing w:val="-2"/>
            <w:u w:val="single" w:color="2255A6"/>
          </w:rPr>
          <w:t>https://practice-school.eu/oer-radicalisation-prevention-programme/</w:t>
        </w:r>
      </w:hyperlink>
    </w:p>
    <w:p>
      <w:pPr>
        <w:spacing w:line="227" w:lineRule="exact" w:before="108"/>
        <w:ind w:left="425" w:right="0" w:firstLine="0"/>
        <w:jc w:val="both"/>
        <w:rPr>
          <w:b/>
          <w:sz w:val="20"/>
        </w:rPr>
      </w:pPr>
      <w:r>
        <w:rPr>
          <w:b/>
          <w:color w:val="231F20"/>
          <w:spacing w:val="-2"/>
          <w:sz w:val="20"/>
        </w:rPr>
        <w:t>Ход</w:t>
      </w:r>
      <w:r>
        <w:rPr>
          <w:b/>
          <w:color w:val="231F20"/>
          <w:spacing w:val="-7"/>
          <w:sz w:val="20"/>
        </w:rPr>
        <w:t> </w:t>
      </w:r>
      <w:r>
        <w:rPr>
          <w:b/>
          <w:color w:val="231F20"/>
          <w:spacing w:val="-4"/>
          <w:sz w:val="20"/>
        </w:rPr>
        <w:t>игры</w:t>
      </w:r>
    </w:p>
    <w:p>
      <w:pPr>
        <w:pStyle w:val="BodyText"/>
        <w:spacing w:line="232" w:lineRule="auto" w:before="2"/>
      </w:pPr>
      <w:r>
        <w:rPr>
          <w:color w:val="231F20"/>
        </w:rPr>
        <w:t>Участники делятся на две группы – горожан и инженеров. В течение 20 минут каждая</w:t>
      </w:r>
      <w:r>
        <w:rPr>
          <w:color w:val="231F20"/>
          <w:spacing w:val="-5"/>
        </w:rPr>
        <w:t> </w:t>
      </w:r>
      <w:r>
        <w:rPr>
          <w:color w:val="231F20"/>
        </w:rPr>
        <w:t>группа</w:t>
      </w:r>
      <w:r>
        <w:rPr>
          <w:color w:val="231F20"/>
          <w:spacing w:val="-4"/>
        </w:rPr>
        <w:t> </w:t>
      </w:r>
      <w:r>
        <w:rPr>
          <w:color w:val="231F20"/>
        </w:rPr>
        <w:t>готовится</w:t>
      </w:r>
      <w:r>
        <w:rPr>
          <w:color w:val="231F20"/>
          <w:spacing w:val="-5"/>
        </w:rPr>
        <w:t> </w:t>
      </w:r>
      <w:r>
        <w:rPr>
          <w:color w:val="231F20"/>
        </w:rPr>
        <w:t>в</w:t>
      </w:r>
      <w:r>
        <w:rPr>
          <w:color w:val="231F20"/>
          <w:spacing w:val="-4"/>
        </w:rPr>
        <w:t> </w:t>
      </w:r>
      <w:r>
        <w:rPr>
          <w:color w:val="231F20"/>
        </w:rPr>
        <w:t>соответствии</w:t>
      </w:r>
      <w:r>
        <w:rPr>
          <w:color w:val="231F20"/>
          <w:spacing w:val="-4"/>
        </w:rPr>
        <w:t> </w:t>
      </w:r>
      <w:r>
        <w:rPr>
          <w:color w:val="231F20"/>
        </w:rPr>
        <w:t>с</w:t>
      </w:r>
      <w:r>
        <w:rPr>
          <w:color w:val="231F20"/>
          <w:spacing w:val="-4"/>
        </w:rPr>
        <w:t> </w:t>
      </w:r>
      <w:r>
        <w:rPr>
          <w:color w:val="231F20"/>
        </w:rPr>
        <w:t>полученной</w:t>
      </w:r>
      <w:r>
        <w:rPr>
          <w:color w:val="231F20"/>
          <w:spacing w:val="-4"/>
        </w:rPr>
        <w:t> </w:t>
      </w:r>
      <w:r>
        <w:rPr>
          <w:color w:val="231F20"/>
        </w:rPr>
        <w:t>инструкцией.</w:t>
      </w:r>
      <w:r>
        <w:rPr>
          <w:color w:val="231F20"/>
          <w:spacing w:val="-4"/>
        </w:rPr>
        <w:t> </w:t>
      </w:r>
      <w:r>
        <w:rPr>
          <w:color w:val="231F20"/>
        </w:rPr>
        <w:t>Затем</w:t>
      </w:r>
      <w:r>
        <w:rPr>
          <w:color w:val="231F20"/>
          <w:spacing w:val="-4"/>
        </w:rPr>
        <w:t> </w:t>
      </w:r>
      <w:r>
        <w:rPr>
          <w:color w:val="231F20"/>
        </w:rPr>
        <w:t>в</w:t>
      </w:r>
      <w:r>
        <w:rPr>
          <w:color w:val="231F20"/>
          <w:spacing w:val="-4"/>
        </w:rPr>
        <w:t> </w:t>
      </w:r>
      <w:r>
        <w:rPr>
          <w:color w:val="231F20"/>
        </w:rPr>
        <w:t>течение 30 минут группа инженеров должна научить группу горожан строить мост. Через 30 минут игра завершается, даже если мост не будет построен.</w:t>
      </w:r>
    </w:p>
    <w:p>
      <w:pPr>
        <w:spacing w:line="227" w:lineRule="exact" w:before="55"/>
        <w:ind w:left="425" w:right="0" w:firstLine="0"/>
        <w:jc w:val="both"/>
        <w:rPr>
          <w:b/>
          <w:sz w:val="20"/>
        </w:rPr>
      </w:pPr>
      <w:r>
        <w:rPr>
          <w:b/>
          <w:color w:val="231F20"/>
          <w:sz w:val="20"/>
        </w:rPr>
        <w:t>Инструкция</w:t>
      </w:r>
      <w:r>
        <w:rPr>
          <w:b/>
          <w:color w:val="231F20"/>
          <w:spacing w:val="-2"/>
          <w:sz w:val="20"/>
        </w:rPr>
        <w:t> </w:t>
      </w:r>
      <w:r>
        <w:rPr>
          <w:b/>
          <w:color w:val="231F20"/>
          <w:sz w:val="20"/>
        </w:rPr>
        <w:t>для</w:t>
      </w:r>
      <w:r>
        <w:rPr>
          <w:b/>
          <w:color w:val="231F20"/>
          <w:spacing w:val="-2"/>
          <w:sz w:val="20"/>
        </w:rPr>
        <w:t> инженеров</w:t>
      </w:r>
    </w:p>
    <w:p>
      <w:pPr>
        <w:spacing w:line="232" w:lineRule="auto" w:before="3"/>
        <w:ind w:left="141" w:right="139" w:firstLine="283"/>
        <w:jc w:val="both"/>
        <w:rPr>
          <w:i/>
          <w:sz w:val="20"/>
        </w:rPr>
      </w:pPr>
      <w:r>
        <w:rPr>
          <w:i/>
          <w:color w:val="231F20"/>
          <w:sz w:val="20"/>
        </w:rPr>
        <w:t>– Вы инженеры, специалисты по постройке мостов. Вам нужно будет поехать в</w:t>
      </w:r>
      <w:r>
        <w:rPr>
          <w:i/>
          <w:color w:val="231F20"/>
          <w:spacing w:val="-6"/>
          <w:sz w:val="20"/>
        </w:rPr>
        <w:t> </w:t>
      </w:r>
      <w:r>
        <w:rPr>
          <w:i/>
          <w:color w:val="231F20"/>
          <w:sz w:val="20"/>
        </w:rPr>
        <w:t>соседний</w:t>
      </w:r>
      <w:r>
        <w:rPr>
          <w:i/>
          <w:color w:val="231F20"/>
          <w:spacing w:val="-6"/>
          <w:sz w:val="20"/>
        </w:rPr>
        <w:t> </w:t>
      </w:r>
      <w:r>
        <w:rPr>
          <w:i/>
          <w:color w:val="231F20"/>
          <w:sz w:val="20"/>
        </w:rPr>
        <w:t>город</w:t>
      </w:r>
      <w:r>
        <w:rPr>
          <w:i/>
          <w:color w:val="231F20"/>
          <w:spacing w:val="-6"/>
          <w:sz w:val="20"/>
        </w:rPr>
        <w:t> </w:t>
      </w:r>
      <w:r>
        <w:rPr>
          <w:i/>
          <w:color w:val="231F20"/>
          <w:sz w:val="20"/>
        </w:rPr>
        <w:t>и</w:t>
      </w:r>
      <w:r>
        <w:rPr>
          <w:i/>
          <w:color w:val="231F20"/>
          <w:spacing w:val="-6"/>
          <w:sz w:val="20"/>
        </w:rPr>
        <w:t> </w:t>
      </w:r>
      <w:r>
        <w:rPr>
          <w:i/>
          <w:color w:val="231F20"/>
          <w:sz w:val="20"/>
        </w:rPr>
        <w:t>научить</w:t>
      </w:r>
      <w:r>
        <w:rPr>
          <w:i/>
          <w:color w:val="231F20"/>
          <w:spacing w:val="-6"/>
          <w:sz w:val="20"/>
        </w:rPr>
        <w:t> </w:t>
      </w:r>
      <w:r>
        <w:rPr>
          <w:i/>
          <w:color w:val="231F20"/>
          <w:sz w:val="20"/>
        </w:rPr>
        <w:t>его</w:t>
      </w:r>
      <w:r>
        <w:rPr>
          <w:i/>
          <w:color w:val="231F20"/>
          <w:spacing w:val="-6"/>
          <w:sz w:val="20"/>
        </w:rPr>
        <w:t> </w:t>
      </w:r>
      <w:r>
        <w:rPr>
          <w:i/>
          <w:color w:val="231F20"/>
          <w:sz w:val="20"/>
        </w:rPr>
        <w:t>жителей</w:t>
      </w:r>
      <w:r>
        <w:rPr>
          <w:i/>
          <w:color w:val="231F20"/>
          <w:spacing w:val="-6"/>
          <w:sz w:val="20"/>
        </w:rPr>
        <w:t> </w:t>
      </w:r>
      <w:r>
        <w:rPr>
          <w:i/>
          <w:color w:val="231F20"/>
          <w:sz w:val="20"/>
        </w:rPr>
        <w:t>строить</w:t>
      </w:r>
      <w:r>
        <w:rPr>
          <w:i/>
          <w:color w:val="231F20"/>
          <w:spacing w:val="-6"/>
          <w:sz w:val="20"/>
        </w:rPr>
        <w:t> </w:t>
      </w:r>
      <w:r>
        <w:rPr>
          <w:i/>
          <w:color w:val="231F20"/>
          <w:sz w:val="20"/>
        </w:rPr>
        <w:t>мост.</w:t>
      </w:r>
      <w:r>
        <w:rPr>
          <w:i/>
          <w:color w:val="231F20"/>
          <w:spacing w:val="-6"/>
          <w:sz w:val="20"/>
        </w:rPr>
        <w:t> </w:t>
      </w:r>
      <w:r>
        <w:rPr>
          <w:i/>
          <w:color w:val="231F20"/>
          <w:sz w:val="20"/>
        </w:rPr>
        <w:t>Культура</w:t>
      </w:r>
      <w:r>
        <w:rPr>
          <w:i/>
          <w:color w:val="231F20"/>
          <w:spacing w:val="-6"/>
          <w:sz w:val="20"/>
        </w:rPr>
        <w:t> </w:t>
      </w:r>
      <w:r>
        <w:rPr>
          <w:i/>
          <w:color w:val="231F20"/>
          <w:sz w:val="20"/>
        </w:rPr>
        <w:t>соседнего</w:t>
      </w:r>
      <w:r>
        <w:rPr>
          <w:i/>
          <w:color w:val="231F20"/>
          <w:spacing w:val="-6"/>
          <w:sz w:val="20"/>
        </w:rPr>
        <w:t> </w:t>
      </w:r>
      <w:r>
        <w:rPr>
          <w:i/>
          <w:color w:val="231F20"/>
          <w:sz w:val="20"/>
        </w:rPr>
        <w:t>города </w:t>
      </w:r>
      <w:r>
        <w:rPr>
          <w:i/>
          <w:color w:val="231F20"/>
          <w:spacing w:val="-2"/>
          <w:sz w:val="20"/>
        </w:rPr>
        <w:t>разительно отличается от вашей. Успех</w:t>
      </w:r>
      <w:r>
        <w:rPr>
          <w:i/>
          <w:color w:val="231F20"/>
          <w:spacing w:val="-1"/>
          <w:sz w:val="20"/>
        </w:rPr>
        <w:t> </w:t>
      </w:r>
      <w:r>
        <w:rPr>
          <w:i/>
          <w:color w:val="231F20"/>
          <w:spacing w:val="-2"/>
          <w:sz w:val="20"/>
        </w:rPr>
        <w:t>вашей миссии во многом будет</w:t>
      </w:r>
      <w:r>
        <w:rPr>
          <w:i/>
          <w:color w:val="231F20"/>
          <w:spacing w:val="-1"/>
          <w:sz w:val="20"/>
        </w:rPr>
        <w:t> </w:t>
      </w:r>
      <w:r>
        <w:rPr>
          <w:i/>
          <w:color w:val="231F20"/>
          <w:spacing w:val="-2"/>
          <w:sz w:val="20"/>
        </w:rPr>
        <w:t>определять-</w:t>
      </w:r>
    </w:p>
    <w:p>
      <w:pPr>
        <w:spacing w:after="0" w:line="232" w:lineRule="auto"/>
        <w:jc w:val="both"/>
        <w:rPr>
          <w:i/>
          <w:sz w:val="20"/>
        </w:rPr>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line="232" w:lineRule="auto" w:before="118"/>
        <w:ind w:left="141" w:right="0" w:firstLine="0"/>
        <w:jc w:val="left"/>
        <w:rPr>
          <w:i/>
          <w:sz w:val="20"/>
        </w:rPr>
      </w:pPr>
      <w:r>
        <w:rPr>
          <w:i/>
          <w:color w:val="231F20"/>
          <w:sz w:val="20"/>
        </w:rPr>
        <w:t>ся</w:t>
      </w:r>
      <w:r>
        <w:rPr>
          <w:i/>
          <w:color w:val="231F20"/>
          <w:spacing w:val="-3"/>
          <w:sz w:val="20"/>
        </w:rPr>
        <w:t> </w:t>
      </w:r>
      <w:r>
        <w:rPr>
          <w:i/>
          <w:color w:val="231F20"/>
          <w:sz w:val="20"/>
        </w:rPr>
        <w:t>тем,</w:t>
      </w:r>
      <w:r>
        <w:rPr>
          <w:i/>
          <w:color w:val="231F20"/>
          <w:spacing w:val="-3"/>
          <w:sz w:val="20"/>
        </w:rPr>
        <w:t> </w:t>
      </w:r>
      <w:r>
        <w:rPr>
          <w:i/>
          <w:color w:val="231F20"/>
          <w:sz w:val="20"/>
        </w:rPr>
        <w:t>насколько</w:t>
      </w:r>
      <w:r>
        <w:rPr>
          <w:i/>
          <w:color w:val="231F20"/>
          <w:spacing w:val="-3"/>
          <w:sz w:val="20"/>
        </w:rPr>
        <w:t> </w:t>
      </w:r>
      <w:r>
        <w:rPr>
          <w:i/>
          <w:color w:val="231F20"/>
          <w:sz w:val="20"/>
        </w:rPr>
        <w:t>вам</w:t>
      </w:r>
      <w:r>
        <w:rPr>
          <w:i/>
          <w:color w:val="231F20"/>
          <w:spacing w:val="-3"/>
          <w:sz w:val="20"/>
        </w:rPr>
        <w:t> </w:t>
      </w:r>
      <w:r>
        <w:rPr>
          <w:i/>
          <w:color w:val="231F20"/>
          <w:sz w:val="20"/>
        </w:rPr>
        <w:t>удастся</w:t>
      </w:r>
      <w:r>
        <w:rPr>
          <w:i/>
          <w:color w:val="231F20"/>
          <w:spacing w:val="-3"/>
          <w:sz w:val="20"/>
        </w:rPr>
        <w:t> </w:t>
      </w:r>
      <w:r>
        <w:rPr>
          <w:i/>
          <w:color w:val="231F20"/>
          <w:sz w:val="20"/>
        </w:rPr>
        <w:t>выстроить</w:t>
      </w:r>
      <w:r>
        <w:rPr>
          <w:i/>
          <w:color w:val="231F20"/>
          <w:spacing w:val="-3"/>
          <w:sz w:val="20"/>
        </w:rPr>
        <w:t> </w:t>
      </w:r>
      <w:r>
        <w:rPr>
          <w:i/>
          <w:color w:val="231F20"/>
          <w:sz w:val="20"/>
        </w:rPr>
        <w:t>контакт</w:t>
      </w:r>
      <w:r>
        <w:rPr>
          <w:i/>
          <w:color w:val="231F20"/>
          <w:spacing w:val="-3"/>
          <w:sz w:val="20"/>
        </w:rPr>
        <w:t> </w:t>
      </w:r>
      <w:r>
        <w:rPr>
          <w:i/>
          <w:color w:val="231F20"/>
          <w:sz w:val="20"/>
        </w:rPr>
        <w:t>с</w:t>
      </w:r>
      <w:r>
        <w:rPr>
          <w:i/>
          <w:color w:val="231F20"/>
          <w:spacing w:val="-3"/>
          <w:sz w:val="20"/>
        </w:rPr>
        <w:t> </w:t>
      </w:r>
      <w:r>
        <w:rPr>
          <w:i/>
          <w:color w:val="231F20"/>
          <w:sz w:val="20"/>
        </w:rPr>
        <w:t>горожанами.</w:t>
      </w:r>
      <w:r>
        <w:rPr>
          <w:i/>
          <w:color w:val="231F20"/>
          <w:spacing w:val="-3"/>
          <w:sz w:val="20"/>
        </w:rPr>
        <w:t> </w:t>
      </w:r>
      <w:r>
        <w:rPr>
          <w:i/>
          <w:color w:val="231F20"/>
          <w:sz w:val="20"/>
        </w:rPr>
        <w:t>Они</w:t>
      </w:r>
      <w:r>
        <w:rPr>
          <w:i/>
          <w:color w:val="231F20"/>
          <w:spacing w:val="-3"/>
          <w:sz w:val="20"/>
        </w:rPr>
        <w:t> </w:t>
      </w:r>
      <w:r>
        <w:rPr>
          <w:i/>
          <w:color w:val="231F20"/>
          <w:sz w:val="20"/>
        </w:rPr>
        <w:t>говорят</w:t>
      </w:r>
      <w:r>
        <w:rPr>
          <w:i/>
          <w:color w:val="231F20"/>
          <w:spacing w:val="-3"/>
          <w:sz w:val="20"/>
        </w:rPr>
        <w:t> </w:t>
      </w:r>
      <w:r>
        <w:rPr>
          <w:i/>
          <w:color w:val="231F20"/>
          <w:sz w:val="20"/>
        </w:rPr>
        <w:t>на том же языке, что и вы.</w:t>
      </w:r>
    </w:p>
    <w:p>
      <w:pPr>
        <w:pStyle w:val="BodyText"/>
        <w:spacing w:line="223" w:lineRule="exact"/>
        <w:ind w:left="425" w:right="0" w:firstLine="0"/>
        <w:jc w:val="left"/>
      </w:pPr>
      <w:r>
        <w:rPr>
          <w:color w:val="231F20"/>
          <w:spacing w:val="-2"/>
        </w:rPr>
        <w:t>Подготовка:</w:t>
      </w:r>
    </w:p>
    <w:p>
      <w:pPr>
        <w:pStyle w:val="ListParagraph"/>
        <w:numPr>
          <w:ilvl w:val="0"/>
          <w:numId w:val="285"/>
        </w:numPr>
        <w:tabs>
          <w:tab w:pos="574" w:val="left" w:leader="none"/>
        </w:tabs>
        <w:spacing w:line="235" w:lineRule="auto" w:before="1" w:after="0"/>
        <w:ind w:left="141" w:right="139" w:firstLine="283"/>
        <w:jc w:val="both"/>
        <w:rPr>
          <w:i/>
          <w:color w:val="231F20"/>
          <w:sz w:val="20"/>
        </w:rPr>
      </w:pPr>
      <w:r>
        <w:rPr>
          <w:i/>
          <w:color w:val="231F20"/>
          <w:sz w:val="20"/>
        </w:rPr>
        <w:t>У</w:t>
      </w:r>
      <w:r>
        <w:rPr>
          <w:i/>
          <w:color w:val="231F20"/>
          <w:spacing w:val="-4"/>
          <w:sz w:val="20"/>
        </w:rPr>
        <w:t> </w:t>
      </w:r>
      <w:r>
        <w:rPr>
          <w:i/>
          <w:color w:val="231F20"/>
          <w:sz w:val="20"/>
        </w:rPr>
        <w:t>вас</w:t>
      </w:r>
      <w:r>
        <w:rPr>
          <w:i/>
          <w:color w:val="231F20"/>
          <w:spacing w:val="-4"/>
          <w:sz w:val="20"/>
        </w:rPr>
        <w:t> </w:t>
      </w:r>
      <w:r>
        <w:rPr>
          <w:i/>
          <w:color w:val="231F20"/>
          <w:sz w:val="20"/>
        </w:rPr>
        <w:t>есть</w:t>
      </w:r>
      <w:r>
        <w:rPr>
          <w:i/>
          <w:color w:val="231F20"/>
          <w:spacing w:val="-4"/>
          <w:sz w:val="20"/>
        </w:rPr>
        <w:t> </w:t>
      </w:r>
      <w:r>
        <w:rPr>
          <w:i/>
          <w:color w:val="231F20"/>
          <w:sz w:val="20"/>
        </w:rPr>
        <w:t>20</w:t>
      </w:r>
      <w:r>
        <w:rPr>
          <w:i/>
          <w:color w:val="231F20"/>
          <w:spacing w:val="-4"/>
          <w:sz w:val="20"/>
        </w:rPr>
        <w:t> </w:t>
      </w:r>
      <w:r>
        <w:rPr>
          <w:i/>
          <w:color w:val="231F20"/>
          <w:sz w:val="20"/>
        </w:rPr>
        <w:t>минут,</w:t>
      </w:r>
      <w:r>
        <w:rPr>
          <w:i/>
          <w:color w:val="231F20"/>
          <w:spacing w:val="-4"/>
          <w:sz w:val="20"/>
        </w:rPr>
        <w:t> </w:t>
      </w:r>
      <w:r>
        <w:rPr>
          <w:i/>
          <w:color w:val="231F20"/>
          <w:sz w:val="20"/>
        </w:rPr>
        <w:t>чтобы</w:t>
      </w:r>
      <w:r>
        <w:rPr>
          <w:i/>
          <w:color w:val="231F20"/>
          <w:spacing w:val="-4"/>
          <w:sz w:val="20"/>
        </w:rPr>
        <w:t> </w:t>
      </w:r>
      <w:r>
        <w:rPr>
          <w:i/>
          <w:color w:val="231F20"/>
          <w:sz w:val="20"/>
        </w:rPr>
        <w:t>потренироваться</w:t>
      </w:r>
      <w:r>
        <w:rPr>
          <w:i/>
          <w:color w:val="231F20"/>
          <w:spacing w:val="-4"/>
          <w:sz w:val="20"/>
        </w:rPr>
        <w:t> </w:t>
      </w:r>
      <w:r>
        <w:rPr>
          <w:i/>
          <w:color w:val="231F20"/>
          <w:sz w:val="20"/>
        </w:rPr>
        <w:t>в</w:t>
      </w:r>
      <w:r>
        <w:rPr>
          <w:i/>
          <w:color w:val="231F20"/>
          <w:spacing w:val="-4"/>
          <w:sz w:val="20"/>
        </w:rPr>
        <w:t> </w:t>
      </w:r>
      <w:r>
        <w:rPr>
          <w:i/>
          <w:color w:val="231F20"/>
          <w:sz w:val="20"/>
        </w:rPr>
        <w:t>постройке</w:t>
      </w:r>
      <w:r>
        <w:rPr>
          <w:i/>
          <w:color w:val="231F20"/>
          <w:spacing w:val="-4"/>
          <w:sz w:val="20"/>
        </w:rPr>
        <w:t> </w:t>
      </w:r>
      <w:r>
        <w:rPr>
          <w:i/>
          <w:color w:val="231F20"/>
          <w:sz w:val="20"/>
        </w:rPr>
        <w:t>моста.</w:t>
      </w:r>
      <w:r>
        <w:rPr>
          <w:i/>
          <w:color w:val="231F20"/>
          <w:spacing w:val="-4"/>
          <w:sz w:val="20"/>
        </w:rPr>
        <w:t> </w:t>
      </w:r>
      <w:r>
        <w:rPr>
          <w:i/>
          <w:color w:val="231F20"/>
          <w:sz w:val="20"/>
        </w:rPr>
        <w:t>Вам</w:t>
      </w:r>
      <w:r>
        <w:rPr>
          <w:i/>
          <w:color w:val="231F20"/>
          <w:spacing w:val="-4"/>
          <w:sz w:val="20"/>
        </w:rPr>
        <w:t> </w:t>
      </w:r>
      <w:r>
        <w:rPr>
          <w:i/>
          <w:color w:val="231F20"/>
          <w:sz w:val="20"/>
        </w:rPr>
        <w:t>нужно будет</w:t>
      </w:r>
      <w:r>
        <w:rPr>
          <w:i/>
          <w:color w:val="231F20"/>
          <w:spacing w:val="-13"/>
          <w:sz w:val="20"/>
        </w:rPr>
        <w:t> </w:t>
      </w:r>
      <w:r>
        <w:rPr>
          <w:i/>
          <w:color w:val="231F20"/>
          <w:sz w:val="20"/>
        </w:rPr>
        <w:t>научить</w:t>
      </w:r>
      <w:r>
        <w:rPr>
          <w:i/>
          <w:color w:val="231F20"/>
          <w:spacing w:val="-12"/>
          <w:sz w:val="20"/>
        </w:rPr>
        <w:t> </w:t>
      </w:r>
      <w:r>
        <w:rPr>
          <w:i/>
          <w:color w:val="231F20"/>
          <w:sz w:val="20"/>
        </w:rPr>
        <w:t>этому</w:t>
      </w:r>
      <w:r>
        <w:rPr>
          <w:i/>
          <w:color w:val="231F20"/>
          <w:spacing w:val="-13"/>
          <w:sz w:val="20"/>
        </w:rPr>
        <w:t> </w:t>
      </w:r>
      <w:r>
        <w:rPr>
          <w:i/>
          <w:color w:val="231F20"/>
          <w:sz w:val="20"/>
        </w:rPr>
        <w:t>горожан.</w:t>
      </w:r>
      <w:r>
        <w:rPr>
          <w:i/>
          <w:color w:val="231F20"/>
          <w:spacing w:val="-12"/>
          <w:sz w:val="20"/>
        </w:rPr>
        <w:t> </w:t>
      </w:r>
      <w:r>
        <w:rPr>
          <w:i/>
          <w:color w:val="231F20"/>
          <w:sz w:val="20"/>
        </w:rPr>
        <w:t>Все</w:t>
      </w:r>
      <w:r>
        <w:rPr>
          <w:i/>
          <w:color w:val="231F20"/>
          <w:spacing w:val="-13"/>
          <w:sz w:val="20"/>
        </w:rPr>
        <w:t> </w:t>
      </w:r>
      <w:r>
        <w:rPr>
          <w:i/>
          <w:color w:val="231F20"/>
          <w:sz w:val="20"/>
        </w:rPr>
        <w:t>необходимые</w:t>
      </w:r>
      <w:r>
        <w:rPr>
          <w:i/>
          <w:color w:val="231F20"/>
          <w:spacing w:val="-12"/>
          <w:sz w:val="20"/>
        </w:rPr>
        <w:t> </w:t>
      </w:r>
      <w:r>
        <w:rPr>
          <w:i/>
          <w:color w:val="231F20"/>
          <w:sz w:val="20"/>
        </w:rPr>
        <w:t>материалы</w:t>
      </w:r>
      <w:r>
        <w:rPr>
          <w:i/>
          <w:color w:val="231F20"/>
          <w:spacing w:val="-13"/>
          <w:sz w:val="20"/>
        </w:rPr>
        <w:t> </w:t>
      </w:r>
      <w:r>
        <w:rPr>
          <w:i/>
          <w:color w:val="231F20"/>
          <w:sz w:val="20"/>
        </w:rPr>
        <w:t>у</w:t>
      </w:r>
      <w:r>
        <w:rPr>
          <w:i/>
          <w:color w:val="231F20"/>
          <w:spacing w:val="-12"/>
          <w:sz w:val="20"/>
        </w:rPr>
        <w:t> </w:t>
      </w:r>
      <w:r>
        <w:rPr>
          <w:i/>
          <w:color w:val="231F20"/>
          <w:sz w:val="20"/>
        </w:rPr>
        <w:t>них</w:t>
      </w:r>
      <w:r>
        <w:rPr>
          <w:i/>
          <w:color w:val="231F20"/>
          <w:spacing w:val="-13"/>
          <w:sz w:val="20"/>
        </w:rPr>
        <w:t> </w:t>
      </w:r>
      <w:r>
        <w:rPr>
          <w:i/>
          <w:color w:val="231F20"/>
          <w:sz w:val="20"/>
        </w:rPr>
        <w:t>есть,</w:t>
      </w:r>
      <w:r>
        <w:rPr>
          <w:i/>
          <w:color w:val="231F20"/>
          <w:spacing w:val="-12"/>
          <w:sz w:val="20"/>
        </w:rPr>
        <w:t> </w:t>
      </w:r>
      <w:r>
        <w:rPr>
          <w:i/>
          <w:color w:val="231F20"/>
          <w:sz w:val="20"/>
        </w:rPr>
        <w:t>но</w:t>
      </w:r>
      <w:r>
        <w:rPr>
          <w:i/>
          <w:color w:val="231F20"/>
          <w:spacing w:val="-13"/>
          <w:sz w:val="20"/>
        </w:rPr>
        <w:t> </w:t>
      </w:r>
      <w:r>
        <w:rPr>
          <w:i/>
          <w:color w:val="231F20"/>
          <w:sz w:val="20"/>
        </w:rPr>
        <w:t>строить мост они не умеют.</w:t>
      </w:r>
    </w:p>
    <w:p>
      <w:pPr>
        <w:pStyle w:val="BodyText"/>
        <w:spacing w:line="226" w:lineRule="exact"/>
        <w:ind w:left="425" w:right="0" w:firstLine="0"/>
      </w:pPr>
      <w:r>
        <w:rPr>
          <w:color w:val="231F20"/>
        </w:rPr>
        <w:t>Как</w:t>
      </w:r>
      <w:r>
        <w:rPr>
          <w:color w:val="231F20"/>
          <w:spacing w:val="-1"/>
        </w:rPr>
        <w:t> </w:t>
      </w:r>
      <w:r>
        <w:rPr>
          <w:color w:val="231F20"/>
        </w:rPr>
        <w:t>построить</w:t>
      </w:r>
      <w:r>
        <w:rPr>
          <w:color w:val="231F20"/>
          <w:spacing w:val="-1"/>
        </w:rPr>
        <w:t> </w:t>
      </w:r>
      <w:r>
        <w:rPr>
          <w:color w:val="231F20"/>
          <w:spacing w:val="-4"/>
        </w:rPr>
        <w:t>мост:</w:t>
      </w:r>
    </w:p>
    <w:p>
      <w:pPr>
        <w:pStyle w:val="ListParagraph"/>
        <w:numPr>
          <w:ilvl w:val="0"/>
          <w:numId w:val="285"/>
        </w:numPr>
        <w:tabs>
          <w:tab w:pos="569" w:val="left" w:leader="none"/>
        </w:tabs>
        <w:spacing w:line="235" w:lineRule="auto" w:before="1" w:after="0"/>
        <w:ind w:left="141" w:right="139" w:firstLine="283"/>
        <w:jc w:val="both"/>
        <w:rPr>
          <w:i/>
          <w:color w:val="231F20"/>
          <w:sz w:val="20"/>
        </w:rPr>
      </w:pPr>
      <w:r>
        <w:rPr>
          <w:i/>
          <w:color w:val="231F20"/>
          <w:sz w:val="20"/>
        </w:rPr>
        <w:t>У</w:t>
      </w:r>
      <w:r>
        <w:rPr>
          <w:i/>
          <w:color w:val="231F20"/>
          <w:spacing w:val="-9"/>
          <w:sz w:val="20"/>
        </w:rPr>
        <w:t> </w:t>
      </w:r>
      <w:r>
        <w:rPr>
          <w:i/>
          <w:color w:val="231F20"/>
          <w:sz w:val="20"/>
        </w:rPr>
        <w:t>вас</w:t>
      </w:r>
      <w:r>
        <w:rPr>
          <w:i/>
          <w:color w:val="231F20"/>
          <w:spacing w:val="-9"/>
          <w:sz w:val="20"/>
        </w:rPr>
        <w:t> </w:t>
      </w:r>
      <w:r>
        <w:rPr>
          <w:i/>
          <w:color w:val="231F20"/>
          <w:sz w:val="20"/>
        </w:rPr>
        <w:t>имеются</w:t>
      </w:r>
      <w:r>
        <w:rPr>
          <w:i/>
          <w:color w:val="231F20"/>
          <w:spacing w:val="-9"/>
          <w:sz w:val="20"/>
        </w:rPr>
        <w:t> </w:t>
      </w:r>
      <w:r>
        <w:rPr>
          <w:i/>
          <w:color w:val="231F20"/>
          <w:sz w:val="20"/>
        </w:rPr>
        <w:t>следующие</w:t>
      </w:r>
      <w:r>
        <w:rPr>
          <w:i/>
          <w:color w:val="231F20"/>
          <w:spacing w:val="-9"/>
          <w:sz w:val="20"/>
        </w:rPr>
        <w:t> </w:t>
      </w:r>
      <w:r>
        <w:rPr>
          <w:i/>
          <w:color w:val="231F20"/>
          <w:sz w:val="20"/>
        </w:rPr>
        <w:t>материалы:</w:t>
      </w:r>
      <w:r>
        <w:rPr>
          <w:i/>
          <w:color w:val="231F20"/>
          <w:spacing w:val="-9"/>
          <w:sz w:val="20"/>
        </w:rPr>
        <w:t> </w:t>
      </w:r>
      <w:r>
        <w:rPr>
          <w:i/>
          <w:color w:val="231F20"/>
          <w:sz w:val="20"/>
        </w:rPr>
        <w:t>бумага,</w:t>
      </w:r>
      <w:r>
        <w:rPr>
          <w:i/>
          <w:color w:val="231F20"/>
          <w:spacing w:val="-9"/>
          <w:sz w:val="20"/>
        </w:rPr>
        <w:t> </w:t>
      </w:r>
      <w:r>
        <w:rPr>
          <w:i/>
          <w:color w:val="231F20"/>
          <w:sz w:val="20"/>
        </w:rPr>
        <w:t>3</w:t>
      </w:r>
      <w:r>
        <w:rPr>
          <w:i/>
          <w:color w:val="231F20"/>
          <w:spacing w:val="-9"/>
          <w:sz w:val="20"/>
        </w:rPr>
        <w:t> </w:t>
      </w:r>
      <w:r>
        <w:rPr>
          <w:i/>
          <w:color w:val="231F20"/>
          <w:sz w:val="20"/>
        </w:rPr>
        <w:t>пары</w:t>
      </w:r>
      <w:r>
        <w:rPr>
          <w:i/>
          <w:color w:val="231F20"/>
          <w:spacing w:val="-9"/>
          <w:sz w:val="20"/>
        </w:rPr>
        <w:t> </w:t>
      </w:r>
      <w:r>
        <w:rPr>
          <w:i/>
          <w:color w:val="231F20"/>
          <w:sz w:val="20"/>
        </w:rPr>
        <w:t>ножниц,</w:t>
      </w:r>
      <w:r>
        <w:rPr>
          <w:i/>
          <w:color w:val="231F20"/>
          <w:spacing w:val="-9"/>
          <w:sz w:val="20"/>
        </w:rPr>
        <w:t> </w:t>
      </w:r>
      <w:r>
        <w:rPr>
          <w:i/>
          <w:color w:val="231F20"/>
          <w:sz w:val="20"/>
        </w:rPr>
        <w:t>3</w:t>
      </w:r>
      <w:r>
        <w:rPr>
          <w:i/>
          <w:color w:val="231F20"/>
          <w:spacing w:val="-9"/>
          <w:sz w:val="20"/>
        </w:rPr>
        <w:t> </w:t>
      </w:r>
      <w:r>
        <w:rPr>
          <w:i/>
          <w:color w:val="231F20"/>
          <w:sz w:val="20"/>
        </w:rPr>
        <w:t>клея-каранда- ша,</w:t>
      </w:r>
      <w:r>
        <w:rPr>
          <w:i/>
          <w:color w:val="231F20"/>
          <w:spacing w:val="-8"/>
          <w:sz w:val="20"/>
        </w:rPr>
        <w:t> </w:t>
      </w:r>
      <w:r>
        <w:rPr>
          <w:i/>
          <w:color w:val="231F20"/>
          <w:sz w:val="20"/>
        </w:rPr>
        <w:t>3</w:t>
      </w:r>
      <w:r>
        <w:rPr>
          <w:i/>
          <w:color w:val="231F20"/>
          <w:spacing w:val="-8"/>
          <w:sz w:val="20"/>
        </w:rPr>
        <w:t> </w:t>
      </w:r>
      <w:r>
        <w:rPr>
          <w:i/>
          <w:color w:val="231F20"/>
          <w:sz w:val="20"/>
        </w:rPr>
        <w:t>линейки,</w:t>
      </w:r>
      <w:r>
        <w:rPr>
          <w:i/>
          <w:color w:val="231F20"/>
          <w:spacing w:val="-8"/>
          <w:sz w:val="20"/>
        </w:rPr>
        <w:t> </w:t>
      </w:r>
      <w:r>
        <w:rPr>
          <w:i/>
          <w:color w:val="231F20"/>
          <w:sz w:val="20"/>
        </w:rPr>
        <w:t>3</w:t>
      </w:r>
      <w:r>
        <w:rPr>
          <w:i/>
          <w:color w:val="231F20"/>
          <w:spacing w:val="-8"/>
          <w:sz w:val="20"/>
        </w:rPr>
        <w:t> </w:t>
      </w:r>
      <w:r>
        <w:rPr>
          <w:i/>
          <w:color w:val="231F20"/>
          <w:sz w:val="20"/>
        </w:rPr>
        <w:t>карандаша.</w:t>
      </w:r>
      <w:r>
        <w:rPr>
          <w:i/>
          <w:color w:val="231F20"/>
          <w:spacing w:val="-8"/>
          <w:sz w:val="20"/>
        </w:rPr>
        <w:t> </w:t>
      </w:r>
      <w:r>
        <w:rPr>
          <w:i/>
          <w:color w:val="231F20"/>
          <w:sz w:val="20"/>
        </w:rPr>
        <w:t>Мост</w:t>
      </w:r>
      <w:r>
        <w:rPr>
          <w:i/>
          <w:color w:val="231F20"/>
          <w:spacing w:val="-8"/>
          <w:sz w:val="20"/>
        </w:rPr>
        <w:t> </w:t>
      </w:r>
      <w:r>
        <w:rPr>
          <w:i/>
          <w:color w:val="231F20"/>
          <w:sz w:val="20"/>
        </w:rPr>
        <w:t>должен</w:t>
      </w:r>
      <w:r>
        <w:rPr>
          <w:i/>
          <w:color w:val="231F20"/>
          <w:spacing w:val="-8"/>
          <w:sz w:val="20"/>
        </w:rPr>
        <w:t> </w:t>
      </w:r>
      <w:r>
        <w:rPr>
          <w:i/>
          <w:color w:val="231F20"/>
          <w:sz w:val="20"/>
        </w:rPr>
        <w:t>быть</w:t>
      </w:r>
      <w:r>
        <w:rPr>
          <w:i/>
          <w:color w:val="231F20"/>
          <w:spacing w:val="-8"/>
          <w:sz w:val="20"/>
        </w:rPr>
        <w:t> </w:t>
      </w:r>
      <w:r>
        <w:rPr>
          <w:i/>
          <w:color w:val="231F20"/>
          <w:sz w:val="20"/>
        </w:rPr>
        <w:t>минимум</w:t>
      </w:r>
      <w:r>
        <w:rPr>
          <w:i/>
          <w:color w:val="231F20"/>
          <w:spacing w:val="-8"/>
          <w:sz w:val="20"/>
        </w:rPr>
        <w:t> </w:t>
      </w:r>
      <w:r>
        <w:rPr>
          <w:i/>
          <w:color w:val="231F20"/>
          <w:sz w:val="20"/>
        </w:rPr>
        <w:t>40</w:t>
      </w:r>
      <w:r>
        <w:rPr>
          <w:i/>
          <w:color w:val="231F20"/>
          <w:spacing w:val="-8"/>
          <w:sz w:val="20"/>
        </w:rPr>
        <w:t> </w:t>
      </w:r>
      <w:r>
        <w:rPr>
          <w:i/>
          <w:color w:val="231F20"/>
          <w:sz w:val="20"/>
        </w:rPr>
        <w:t>см</w:t>
      </w:r>
      <w:r>
        <w:rPr>
          <w:i/>
          <w:color w:val="231F20"/>
          <w:spacing w:val="-8"/>
          <w:sz w:val="20"/>
        </w:rPr>
        <w:t> </w:t>
      </w:r>
      <w:r>
        <w:rPr>
          <w:i/>
          <w:color w:val="231F20"/>
          <w:sz w:val="20"/>
        </w:rPr>
        <w:t>в</w:t>
      </w:r>
      <w:r>
        <w:rPr>
          <w:i/>
          <w:color w:val="231F20"/>
          <w:spacing w:val="-8"/>
          <w:sz w:val="20"/>
        </w:rPr>
        <w:t> </w:t>
      </w:r>
      <w:r>
        <w:rPr>
          <w:i/>
          <w:color w:val="231F20"/>
          <w:sz w:val="20"/>
        </w:rPr>
        <w:t>длину</w:t>
      </w:r>
      <w:r>
        <w:rPr>
          <w:i/>
          <w:color w:val="231F20"/>
          <w:spacing w:val="-8"/>
          <w:sz w:val="20"/>
        </w:rPr>
        <w:t> </w:t>
      </w:r>
      <w:r>
        <w:rPr>
          <w:i/>
          <w:color w:val="231F20"/>
          <w:sz w:val="20"/>
        </w:rPr>
        <w:t>и</w:t>
      </w:r>
      <w:r>
        <w:rPr>
          <w:i/>
          <w:color w:val="231F20"/>
          <w:spacing w:val="-8"/>
          <w:sz w:val="20"/>
        </w:rPr>
        <w:t> </w:t>
      </w:r>
      <w:r>
        <w:rPr>
          <w:i/>
          <w:color w:val="231F20"/>
          <w:sz w:val="20"/>
        </w:rPr>
        <w:t>достаточ- но устойчивым, чтобы на него можно было положить линейку. Мост строится из листков бумаги 14×8 см, каждый листок нужно отмерить и вырезать. Склеивать листки можно любым способом.</w:t>
      </w:r>
    </w:p>
    <w:p>
      <w:pPr>
        <w:spacing w:line="229" w:lineRule="exact" w:before="0"/>
        <w:ind w:left="425" w:right="0" w:firstLine="0"/>
        <w:jc w:val="both"/>
        <w:rPr>
          <w:b/>
          <w:sz w:val="20"/>
        </w:rPr>
      </w:pPr>
      <w:r>
        <w:rPr>
          <w:b/>
          <w:color w:val="231F20"/>
          <w:sz w:val="20"/>
        </w:rPr>
        <w:t>Инструкция</w:t>
      </w:r>
      <w:r>
        <w:rPr>
          <w:b/>
          <w:color w:val="231F20"/>
          <w:spacing w:val="-2"/>
          <w:sz w:val="20"/>
        </w:rPr>
        <w:t> </w:t>
      </w:r>
      <w:r>
        <w:rPr>
          <w:b/>
          <w:color w:val="231F20"/>
          <w:sz w:val="20"/>
        </w:rPr>
        <w:t>для</w:t>
      </w:r>
      <w:r>
        <w:rPr>
          <w:b/>
          <w:color w:val="231F20"/>
          <w:spacing w:val="-2"/>
          <w:sz w:val="20"/>
        </w:rPr>
        <w:t> горожан</w:t>
      </w:r>
    </w:p>
    <w:p>
      <w:pPr>
        <w:pStyle w:val="ListParagraph"/>
        <w:numPr>
          <w:ilvl w:val="0"/>
          <w:numId w:val="285"/>
        </w:numPr>
        <w:tabs>
          <w:tab w:pos="573" w:val="left" w:leader="none"/>
        </w:tabs>
        <w:spacing w:line="249" w:lineRule="auto" w:before="2" w:after="0"/>
        <w:ind w:left="141" w:right="139" w:firstLine="283"/>
        <w:jc w:val="both"/>
        <w:rPr>
          <w:i/>
          <w:color w:val="231F20"/>
          <w:sz w:val="20"/>
        </w:rPr>
      </w:pPr>
      <w:r>
        <w:rPr>
          <w:i/>
          <w:color w:val="231F20"/>
          <w:sz w:val="20"/>
        </w:rPr>
        <w:t>Вы</w:t>
      </w:r>
      <w:r>
        <w:rPr>
          <w:i/>
          <w:color w:val="231F20"/>
          <w:spacing w:val="-9"/>
          <w:sz w:val="20"/>
        </w:rPr>
        <w:t> </w:t>
      </w:r>
      <w:r>
        <w:rPr>
          <w:i/>
          <w:color w:val="231F20"/>
          <w:sz w:val="20"/>
        </w:rPr>
        <w:t>горожане,</w:t>
      </w:r>
      <w:r>
        <w:rPr>
          <w:i/>
          <w:color w:val="231F20"/>
          <w:spacing w:val="-9"/>
          <w:sz w:val="20"/>
        </w:rPr>
        <w:t> </w:t>
      </w:r>
      <w:r>
        <w:rPr>
          <w:i/>
          <w:color w:val="231F20"/>
          <w:sz w:val="20"/>
        </w:rPr>
        <w:t>к</w:t>
      </w:r>
      <w:r>
        <w:rPr>
          <w:i/>
          <w:color w:val="231F20"/>
          <w:spacing w:val="-9"/>
          <w:sz w:val="20"/>
        </w:rPr>
        <w:t> </w:t>
      </w:r>
      <w:r>
        <w:rPr>
          <w:i/>
          <w:color w:val="231F20"/>
          <w:sz w:val="20"/>
        </w:rPr>
        <w:t>которым</w:t>
      </w:r>
      <w:r>
        <w:rPr>
          <w:i/>
          <w:color w:val="231F20"/>
          <w:spacing w:val="-9"/>
          <w:sz w:val="20"/>
        </w:rPr>
        <w:t> </w:t>
      </w:r>
      <w:r>
        <w:rPr>
          <w:i/>
          <w:color w:val="231F20"/>
          <w:sz w:val="20"/>
        </w:rPr>
        <w:t>скоро</w:t>
      </w:r>
      <w:r>
        <w:rPr>
          <w:i/>
          <w:color w:val="231F20"/>
          <w:spacing w:val="-9"/>
          <w:sz w:val="20"/>
        </w:rPr>
        <w:t> </w:t>
      </w:r>
      <w:r>
        <w:rPr>
          <w:i/>
          <w:color w:val="231F20"/>
          <w:sz w:val="20"/>
        </w:rPr>
        <w:t>приедут</w:t>
      </w:r>
      <w:r>
        <w:rPr>
          <w:i/>
          <w:color w:val="231F20"/>
          <w:spacing w:val="-9"/>
          <w:sz w:val="20"/>
        </w:rPr>
        <w:t> </w:t>
      </w:r>
      <w:r>
        <w:rPr>
          <w:i/>
          <w:color w:val="231F20"/>
          <w:sz w:val="20"/>
        </w:rPr>
        <w:t>инженеры</w:t>
      </w:r>
      <w:r>
        <w:rPr>
          <w:i/>
          <w:color w:val="231F20"/>
          <w:spacing w:val="-9"/>
          <w:sz w:val="20"/>
        </w:rPr>
        <w:t> </w:t>
      </w:r>
      <w:r>
        <w:rPr>
          <w:i/>
          <w:color w:val="231F20"/>
          <w:sz w:val="20"/>
        </w:rPr>
        <w:t>из</w:t>
      </w:r>
      <w:r>
        <w:rPr>
          <w:i/>
          <w:color w:val="231F20"/>
          <w:spacing w:val="-9"/>
          <w:sz w:val="20"/>
        </w:rPr>
        <w:t> </w:t>
      </w:r>
      <w:r>
        <w:rPr>
          <w:i/>
          <w:color w:val="231F20"/>
          <w:sz w:val="20"/>
        </w:rPr>
        <w:t>соседнего</w:t>
      </w:r>
      <w:r>
        <w:rPr>
          <w:i/>
          <w:color w:val="231F20"/>
          <w:spacing w:val="-9"/>
          <w:sz w:val="20"/>
        </w:rPr>
        <w:t> </w:t>
      </w:r>
      <w:r>
        <w:rPr>
          <w:i/>
          <w:color w:val="231F20"/>
          <w:sz w:val="20"/>
        </w:rPr>
        <w:t>города.</w:t>
      </w:r>
      <w:r>
        <w:rPr>
          <w:i/>
          <w:color w:val="231F20"/>
          <w:spacing w:val="-9"/>
          <w:sz w:val="20"/>
        </w:rPr>
        <w:t> </w:t>
      </w:r>
      <w:r>
        <w:rPr>
          <w:i/>
          <w:color w:val="231F20"/>
          <w:sz w:val="20"/>
        </w:rPr>
        <w:t>Инже- неры научат вас строить мост. Хотя вы говорите на одном языке, ваши культуры разительно отличаются.</w:t>
      </w:r>
    </w:p>
    <w:p>
      <w:pPr>
        <w:pStyle w:val="BodyText"/>
        <w:spacing w:before="3"/>
        <w:ind w:left="425" w:right="0" w:firstLine="0"/>
        <w:jc w:val="left"/>
      </w:pPr>
      <w:r>
        <w:rPr>
          <w:color w:val="231F20"/>
          <w:spacing w:val="-2"/>
        </w:rPr>
        <w:t>Подготовка:</w:t>
      </w:r>
    </w:p>
    <w:p>
      <w:pPr>
        <w:pStyle w:val="ListParagraph"/>
        <w:numPr>
          <w:ilvl w:val="0"/>
          <w:numId w:val="285"/>
        </w:numPr>
        <w:tabs>
          <w:tab w:pos="598" w:val="left" w:leader="none"/>
        </w:tabs>
        <w:spacing w:line="249" w:lineRule="auto" w:before="10" w:after="0"/>
        <w:ind w:left="141" w:right="139" w:firstLine="283"/>
        <w:jc w:val="left"/>
        <w:rPr>
          <w:i/>
          <w:color w:val="231F20"/>
          <w:sz w:val="20"/>
        </w:rPr>
      </w:pPr>
      <w:r>
        <w:rPr>
          <w:i/>
          <w:color w:val="231F20"/>
          <w:sz w:val="20"/>
        </w:rPr>
        <w:t>У вас есть 20 минут, чтобы потренироваться общаться в соответствии с</w:t>
      </w:r>
      <w:r>
        <w:rPr>
          <w:i/>
          <w:color w:val="231F20"/>
          <w:spacing w:val="40"/>
          <w:sz w:val="20"/>
        </w:rPr>
        <w:t> </w:t>
      </w:r>
      <w:r>
        <w:rPr>
          <w:i/>
          <w:color w:val="231F20"/>
          <w:sz w:val="20"/>
        </w:rPr>
        <w:t>правилами вашего города.</w:t>
      </w:r>
    </w:p>
    <w:p>
      <w:pPr>
        <w:pStyle w:val="BodyText"/>
        <w:spacing w:before="1"/>
        <w:ind w:left="425" w:right="0" w:firstLine="0"/>
        <w:jc w:val="left"/>
      </w:pPr>
      <w:r>
        <w:rPr>
          <w:color w:val="231F20"/>
          <w:spacing w:val="-2"/>
        </w:rPr>
        <w:t>Правила:</w:t>
      </w:r>
    </w:p>
    <w:p>
      <w:pPr>
        <w:pStyle w:val="ListParagraph"/>
        <w:numPr>
          <w:ilvl w:val="0"/>
          <w:numId w:val="285"/>
        </w:numPr>
        <w:tabs>
          <w:tab w:pos="582" w:val="left" w:leader="none"/>
        </w:tabs>
        <w:spacing w:line="249" w:lineRule="auto" w:before="10" w:after="0"/>
        <w:ind w:left="141" w:right="138" w:firstLine="283"/>
        <w:jc w:val="both"/>
        <w:rPr>
          <w:i/>
          <w:color w:val="231F20"/>
          <w:sz w:val="20"/>
        </w:rPr>
      </w:pPr>
      <w:r>
        <w:rPr>
          <w:i/>
          <w:color w:val="231F20"/>
          <w:sz w:val="20"/>
        </w:rPr>
        <w:t>Приветствие: вы приветствуете друг друга поклоном. Другие формы привет- ствия оскорбительны, при отсутствии поклона нужно отвечать «Почему вы со мной не здороваетесь?»</w:t>
      </w:r>
    </w:p>
    <w:p>
      <w:pPr>
        <w:pStyle w:val="ListParagraph"/>
        <w:numPr>
          <w:ilvl w:val="0"/>
          <w:numId w:val="285"/>
        </w:numPr>
        <w:tabs>
          <w:tab w:pos="582" w:val="left" w:leader="none"/>
        </w:tabs>
        <w:spacing w:line="249" w:lineRule="auto" w:before="3" w:after="0"/>
        <w:ind w:left="141" w:right="139" w:firstLine="283"/>
        <w:jc w:val="both"/>
        <w:rPr>
          <w:color w:val="231F20"/>
          <w:sz w:val="20"/>
        </w:rPr>
      </w:pPr>
      <w:r>
        <w:rPr>
          <w:i/>
          <w:color w:val="231F20"/>
          <w:sz w:val="20"/>
        </w:rPr>
        <w:t>Прикосновение: горожане прикасаются к плечу друг друга во время разговора. Если к плечу не прикасаются, это неуважение. Если инженеры попробуют с вами разговаривать, не прикасаясь к плечу, вы закрываете уши руками и не реагируете. Когда вы что-то делаете вместе, вы прикасаетесь к плечу собеседника.</w:t>
      </w:r>
    </w:p>
    <w:p>
      <w:pPr>
        <w:pStyle w:val="ListParagraph"/>
        <w:numPr>
          <w:ilvl w:val="0"/>
          <w:numId w:val="285"/>
        </w:numPr>
        <w:tabs>
          <w:tab w:pos="586" w:val="left" w:leader="none"/>
        </w:tabs>
        <w:spacing w:line="249" w:lineRule="auto" w:before="3" w:after="0"/>
        <w:ind w:left="141" w:right="139" w:firstLine="283"/>
        <w:jc w:val="both"/>
        <w:rPr>
          <w:color w:val="231F20"/>
          <w:sz w:val="20"/>
        </w:rPr>
      </w:pPr>
      <w:r>
        <w:rPr>
          <w:i/>
          <w:color w:val="231F20"/>
          <w:sz w:val="20"/>
        </w:rPr>
        <w:t>Да и нет. У вас не принято говорить «нет». Вместо слова «нет» нужно ска- зать «да» и покачать головой.</w:t>
      </w:r>
    </w:p>
    <w:p>
      <w:pPr>
        <w:pStyle w:val="ListParagraph"/>
        <w:numPr>
          <w:ilvl w:val="0"/>
          <w:numId w:val="285"/>
        </w:numPr>
        <w:tabs>
          <w:tab w:pos="601" w:val="left" w:leader="none"/>
        </w:tabs>
        <w:spacing w:line="249" w:lineRule="auto" w:before="2" w:after="0"/>
        <w:ind w:left="141" w:right="139" w:firstLine="283"/>
        <w:jc w:val="both"/>
        <w:rPr>
          <w:i/>
          <w:color w:val="231F20"/>
          <w:sz w:val="20"/>
        </w:rPr>
      </w:pPr>
      <w:r>
        <w:rPr>
          <w:i/>
          <w:color w:val="231F20"/>
          <w:sz w:val="20"/>
        </w:rPr>
        <w:t>Распределение задач. Каждый человек может выполнять только одно дело: кто-то режет, кто-то чертит, кто-то клеит. Пользоваться бумагой могут все.</w:t>
      </w:r>
    </w:p>
    <w:p>
      <w:pPr>
        <w:pStyle w:val="BodyText"/>
        <w:spacing w:before="58"/>
        <w:ind w:left="425" w:right="0" w:firstLine="0"/>
        <w:jc w:val="left"/>
      </w:pPr>
      <w:r>
        <w:rPr>
          <w:color w:val="231F20"/>
        </w:rPr>
        <w:t>Вопросы для</w:t>
      </w:r>
      <w:r>
        <w:rPr>
          <w:color w:val="231F20"/>
          <w:spacing w:val="3"/>
        </w:rPr>
        <w:t> </w:t>
      </w:r>
      <w:r>
        <w:rPr>
          <w:color w:val="231F20"/>
          <w:spacing w:val="-2"/>
        </w:rPr>
        <w:t>обсуждения:</w:t>
      </w:r>
    </w:p>
    <w:p>
      <w:pPr>
        <w:pStyle w:val="ListParagraph"/>
        <w:numPr>
          <w:ilvl w:val="0"/>
          <w:numId w:val="285"/>
        </w:numPr>
        <w:tabs>
          <w:tab w:pos="575" w:val="left" w:leader="none"/>
        </w:tabs>
        <w:spacing w:line="240" w:lineRule="auto" w:before="10" w:after="0"/>
        <w:ind w:left="575" w:right="0" w:hanging="150"/>
        <w:jc w:val="left"/>
        <w:rPr>
          <w:i/>
          <w:color w:val="231F20"/>
          <w:sz w:val="20"/>
        </w:rPr>
      </w:pPr>
      <w:r>
        <w:rPr>
          <w:i/>
          <w:color w:val="231F20"/>
          <w:sz w:val="20"/>
        </w:rPr>
        <w:t>Как</w:t>
      </w:r>
      <w:r>
        <w:rPr>
          <w:i/>
          <w:color w:val="231F20"/>
          <w:spacing w:val="-4"/>
          <w:sz w:val="20"/>
        </w:rPr>
        <w:t> </w:t>
      </w:r>
      <w:r>
        <w:rPr>
          <w:i/>
          <w:color w:val="231F20"/>
          <w:sz w:val="20"/>
        </w:rPr>
        <w:t>вы</w:t>
      </w:r>
      <w:r>
        <w:rPr>
          <w:i/>
          <w:color w:val="231F20"/>
          <w:spacing w:val="-4"/>
          <w:sz w:val="20"/>
        </w:rPr>
        <w:t> </w:t>
      </w:r>
      <w:r>
        <w:rPr>
          <w:i/>
          <w:color w:val="231F20"/>
          <w:sz w:val="20"/>
        </w:rPr>
        <w:t>себя</w:t>
      </w:r>
      <w:r>
        <w:rPr>
          <w:i/>
          <w:color w:val="231F20"/>
          <w:spacing w:val="-3"/>
          <w:sz w:val="20"/>
        </w:rPr>
        <w:t> </w:t>
      </w:r>
      <w:r>
        <w:rPr>
          <w:i/>
          <w:color w:val="231F20"/>
          <w:sz w:val="20"/>
        </w:rPr>
        <w:t>ощущали</w:t>
      </w:r>
      <w:r>
        <w:rPr>
          <w:i/>
          <w:color w:val="231F20"/>
          <w:spacing w:val="-3"/>
          <w:sz w:val="20"/>
        </w:rPr>
        <w:t> </w:t>
      </w:r>
      <w:r>
        <w:rPr>
          <w:i/>
          <w:color w:val="231F20"/>
          <w:sz w:val="20"/>
        </w:rPr>
        <w:t>во</w:t>
      </w:r>
      <w:r>
        <w:rPr>
          <w:i/>
          <w:color w:val="231F20"/>
          <w:spacing w:val="-3"/>
          <w:sz w:val="20"/>
        </w:rPr>
        <w:t> </w:t>
      </w:r>
      <w:r>
        <w:rPr>
          <w:i/>
          <w:color w:val="231F20"/>
          <w:sz w:val="20"/>
        </w:rPr>
        <w:t>время</w:t>
      </w:r>
      <w:r>
        <w:rPr>
          <w:i/>
          <w:color w:val="231F20"/>
          <w:spacing w:val="-3"/>
          <w:sz w:val="20"/>
        </w:rPr>
        <w:t> </w:t>
      </w:r>
      <w:r>
        <w:rPr>
          <w:i/>
          <w:color w:val="231F20"/>
          <w:spacing w:val="-2"/>
          <w:sz w:val="20"/>
        </w:rPr>
        <w:t>игры?</w:t>
      </w:r>
    </w:p>
    <w:p>
      <w:pPr>
        <w:pStyle w:val="ListParagraph"/>
        <w:numPr>
          <w:ilvl w:val="0"/>
          <w:numId w:val="285"/>
        </w:numPr>
        <w:tabs>
          <w:tab w:pos="575" w:val="left" w:leader="none"/>
        </w:tabs>
        <w:spacing w:line="240" w:lineRule="auto" w:before="10" w:after="0"/>
        <w:ind w:left="575" w:right="0" w:hanging="150"/>
        <w:jc w:val="left"/>
        <w:rPr>
          <w:i/>
          <w:color w:val="231F20"/>
          <w:sz w:val="20"/>
        </w:rPr>
      </w:pPr>
      <w:r>
        <w:rPr>
          <w:i/>
          <w:color w:val="231F20"/>
          <w:sz w:val="20"/>
        </w:rPr>
        <w:t>Какими</w:t>
      </w:r>
      <w:r>
        <w:rPr>
          <w:i/>
          <w:color w:val="231F20"/>
          <w:spacing w:val="-4"/>
          <w:sz w:val="20"/>
        </w:rPr>
        <w:t> </w:t>
      </w:r>
      <w:r>
        <w:rPr>
          <w:i/>
          <w:color w:val="231F20"/>
          <w:sz w:val="20"/>
        </w:rPr>
        <w:t>вам</w:t>
      </w:r>
      <w:r>
        <w:rPr>
          <w:i/>
          <w:color w:val="231F20"/>
          <w:spacing w:val="-3"/>
          <w:sz w:val="20"/>
        </w:rPr>
        <w:t> </w:t>
      </w:r>
      <w:r>
        <w:rPr>
          <w:i/>
          <w:color w:val="231F20"/>
          <w:sz w:val="20"/>
        </w:rPr>
        <w:t>казались</w:t>
      </w:r>
      <w:r>
        <w:rPr>
          <w:i/>
          <w:color w:val="231F20"/>
          <w:spacing w:val="-4"/>
          <w:sz w:val="20"/>
        </w:rPr>
        <w:t> </w:t>
      </w:r>
      <w:r>
        <w:rPr>
          <w:i/>
          <w:color w:val="231F20"/>
          <w:sz w:val="20"/>
        </w:rPr>
        <w:t>люди</w:t>
      </w:r>
      <w:r>
        <w:rPr>
          <w:i/>
          <w:color w:val="231F20"/>
          <w:spacing w:val="-3"/>
          <w:sz w:val="20"/>
        </w:rPr>
        <w:t> </w:t>
      </w:r>
      <w:r>
        <w:rPr>
          <w:i/>
          <w:color w:val="231F20"/>
          <w:sz w:val="20"/>
        </w:rPr>
        <w:t>из</w:t>
      </w:r>
      <w:r>
        <w:rPr>
          <w:i/>
          <w:color w:val="231F20"/>
          <w:spacing w:val="-4"/>
          <w:sz w:val="20"/>
        </w:rPr>
        <w:t> </w:t>
      </w:r>
      <w:r>
        <w:rPr>
          <w:i/>
          <w:color w:val="231F20"/>
          <w:sz w:val="20"/>
        </w:rPr>
        <w:t>другой</w:t>
      </w:r>
      <w:r>
        <w:rPr>
          <w:i/>
          <w:color w:val="231F20"/>
          <w:spacing w:val="-3"/>
          <w:sz w:val="20"/>
        </w:rPr>
        <w:t> </w:t>
      </w:r>
      <w:r>
        <w:rPr>
          <w:i/>
          <w:color w:val="231F20"/>
          <w:spacing w:val="-2"/>
          <w:sz w:val="20"/>
        </w:rPr>
        <w:t>команды?</w:t>
      </w:r>
    </w:p>
    <w:p>
      <w:pPr>
        <w:pStyle w:val="ListParagraph"/>
        <w:numPr>
          <w:ilvl w:val="0"/>
          <w:numId w:val="285"/>
        </w:numPr>
        <w:tabs>
          <w:tab w:pos="575" w:val="left" w:leader="none"/>
        </w:tabs>
        <w:spacing w:line="240" w:lineRule="auto" w:before="10" w:after="0"/>
        <w:ind w:left="575" w:right="0" w:hanging="150"/>
        <w:jc w:val="left"/>
        <w:rPr>
          <w:i/>
          <w:color w:val="231F20"/>
          <w:sz w:val="20"/>
        </w:rPr>
      </w:pPr>
      <w:r>
        <w:rPr>
          <w:i/>
          <w:color w:val="231F20"/>
          <w:sz w:val="20"/>
        </w:rPr>
        <w:t>Было</w:t>
      </w:r>
      <w:r>
        <w:rPr>
          <w:i/>
          <w:color w:val="231F20"/>
          <w:spacing w:val="-1"/>
          <w:sz w:val="20"/>
        </w:rPr>
        <w:t> </w:t>
      </w:r>
      <w:r>
        <w:rPr>
          <w:i/>
          <w:color w:val="231F20"/>
          <w:sz w:val="20"/>
        </w:rPr>
        <w:t>ли трудно общаться и </w:t>
      </w:r>
      <w:r>
        <w:rPr>
          <w:i/>
          <w:color w:val="231F20"/>
          <w:spacing w:val="-2"/>
          <w:sz w:val="20"/>
        </w:rPr>
        <w:t>почему?</w:t>
      </w:r>
    </w:p>
    <w:p>
      <w:pPr>
        <w:pStyle w:val="ListParagraph"/>
        <w:numPr>
          <w:ilvl w:val="0"/>
          <w:numId w:val="285"/>
        </w:numPr>
        <w:tabs>
          <w:tab w:pos="575" w:val="left" w:leader="none"/>
        </w:tabs>
        <w:spacing w:line="240" w:lineRule="auto" w:before="10" w:after="0"/>
        <w:ind w:left="575" w:right="0" w:hanging="150"/>
        <w:jc w:val="left"/>
        <w:rPr>
          <w:i/>
          <w:color w:val="231F20"/>
          <w:sz w:val="20"/>
        </w:rPr>
      </w:pPr>
      <w:r>
        <w:rPr>
          <w:i/>
          <w:color w:val="231F20"/>
          <w:sz w:val="20"/>
        </w:rPr>
        <w:t>Что</w:t>
      </w:r>
      <w:r>
        <w:rPr>
          <w:i/>
          <w:color w:val="231F20"/>
          <w:spacing w:val="-6"/>
          <w:sz w:val="20"/>
        </w:rPr>
        <w:t> </w:t>
      </w:r>
      <w:r>
        <w:rPr>
          <w:i/>
          <w:color w:val="231F20"/>
          <w:sz w:val="20"/>
        </w:rPr>
        <w:t>можно</w:t>
      </w:r>
      <w:r>
        <w:rPr>
          <w:i/>
          <w:color w:val="231F20"/>
          <w:spacing w:val="-3"/>
          <w:sz w:val="20"/>
        </w:rPr>
        <w:t> </w:t>
      </w:r>
      <w:r>
        <w:rPr>
          <w:i/>
          <w:color w:val="231F20"/>
          <w:sz w:val="20"/>
        </w:rPr>
        <w:t>было</w:t>
      </w:r>
      <w:r>
        <w:rPr>
          <w:i/>
          <w:color w:val="231F20"/>
          <w:spacing w:val="-3"/>
          <w:sz w:val="20"/>
        </w:rPr>
        <w:t> </w:t>
      </w:r>
      <w:r>
        <w:rPr>
          <w:i/>
          <w:color w:val="231F20"/>
          <w:sz w:val="20"/>
        </w:rPr>
        <w:t>сделать,</w:t>
      </w:r>
      <w:r>
        <w:rPr>
          <w:i/>
          <w:color w:val="231F20"/>
          <w:spacing w:val="-3"/>
          <w:sz w:val="20"/>
        </w:rPr>
        <w:t> </w:t>
      </w:r>
      <w:r>
        <w:rPr>
          <w:i/>
          <w:color w:val="231F20"/>
          <w:sz w:val="20"/>
        </w:rPr>
        <w:t>чтобы</w:t>
      </w:r>
      <w:r>
        <w:rPr>
          <w:i/>
          <w:color w:val="231F20"/>
          <w:spacing w:val="-4"/>
          <w:sz w:val="20"/>
        </w:rPr>
        <w:t> </w:t>
      </w:r>
      <w:r>
        <w:rPr>
          <w:i/>
          <w:color w:val="231F20"/>
          <w:sz w:val="20"/>
        </w:rPr>
        <w:t>избежать</w:t>
      </w:r>
      <w:r>
        <w:rPr>
          <w:i/>
          <w:color w:val="231F20"/>
          <w:spacing w:val="-3"/>
          <w:sz w:val="20"/>
        </w:rPr>
        <w:t> </w:t>
      </w:r>
      <w:r>
        <w:rPr>
          <w:i/>
          <w:color w:val="231F20"/>
          <w:spacing w:val="-2"/>
          <w:sz w:val="20"/>
        </w:rPr>
        <w:t>сложностей?</w:t>
      </w:r>
    </w:p>
    <w:p>
      <w:pPr>
        <w:pStyle w:val="ListParagraph"/>
        <w:numPr>
          <w:ilvl w:val="0"/>
          <w:numId w:val="285"/>
        </w:numPr>
        <w:tabs>
          <w:tab w:pos="575" w:val="left" w:leader="none"/>
        </w:tabs>
        <w:spacing w:line="240" w:lineRule="auto" w:before="10" w:after="0"/>
        <w:ind w:left="575" w:right="0" w:hanging="150"/>
        <w:jc w:val="left"/>
        <w:rPr>
          <w:i/>
          <w:color w:val="231F20"/>
          <w:sz w:val="20"/>
        </w:rPr>
      </w:pPr>
      <w:r>
        <w:rPr>
          <w:i/>
          <w:color w:val="231F20"/>
          <w:sz w:val="20"/>
        </w:rPr>
        <w:t>На</w:t>
      </w:r>
      <w:r>
        <w:rPr>
          <w:i/>
          <w:color w:val="231F20"/>
          <w:spacing w:val="-6"/>
          <w:sz w:val="20"/>
        </w:rPr>
        <w:t> </w:t>
      </w:r>
      <w:r>
        <w:rPr>
          <w:i/>
          <w:color w:val="231F20"/>
          <w:sz w:val="20"/>
        </w:rPr>
        <w:t>какие</w:t>
      </w:r>
      <w:r>
        <w:rPr>
          <w:i/>
          <w:color w:val="231F20"/>
          <w:spacing w:val="-4"/>
          <w:sz w:val="20"/>
        </w:rPr>
        <w:t> </w:t>
      </w:r>
      <w:r>
        <w:rPr>
          <w:i/>
          <w:color w:val="231F20"/>
          <w:sz w:val="20"/>
        </w:rPr>
        <w:t>реальные</w:t>
      </w:r>
      <w:r>
        <w:rPr>
          <w:i/>
          <w:color w:val="231F20"/>
          <w:spacing w:val="-3"/>
          <w:sz w:val="20"/>
        </w:rPr>
        <w:t> </w:t>
      </w:r>
      <w:r>
        <w:rPr>
          <w:i/>
          <w:color w:val="231F20"/>
          <w:sz w:val="20"/>
        </w:rPr>
        <w:t>явления</w:t>
      </w:r>
      <w:r>
        <w:rPr>
          <w:i/>
          <w:color w:val="231F20"/>
          <w:spacing w:val="-4"/>
          <w:sz w:val="20"/>
        </w:rPr>
        <w:t> </w:t>
      </w:r>
      <w:r>
        <w:rPr>
          <w:i/>
          <w:color w:val="231F20"/>
          <w:sz w:val="20"/>
        </w:rPr>
        <w:t>похожа</w:t>
      </w:r>
      <w:r>
        <w:rPr>
          <w:i/>
          <w:color w:val="231F20"/>
          <w:spacing w:val="-4"/>
          <w:sz w:val="20"/>
        </w:rPr>
        <w:t> </w:t>
      </w:r>
      <w:r>
        <w:rPr>
          <w:i/>
          <w:color w:val="231F20"/>
          <w:sz w:val="20"/>
        </w:rPr>
        <w:t>эта</w:t>
      </w:r>
      <w:r>
        <w:rPr>
          <w:i/>
          <w:color w:val="231F20"/>
          <w:spacing w:val="-3"/>
          <w:sz w:val="20"/>
        </w:rPr>
        <w:t> </w:t>
      </w:r>
      <w:r>
        <w:rPr>
          <w:i/>
          <w:color w:val="231F20"/>
          <w:spacing w:val="-2"/>
          <w:sz w:val="20"/>
        </w:rPr>
        <w:t>игра?</w:t>
      </w:r>
    </w:p>
    <w:p>
      <w:pPr>
        <w:pStyle w:val="ListParagraph"/>
        <w:spacing w:after="0" w:line="240" w:lineRule="auto"/>
        <w:jc w:val="left"/>
        <w:rPr>
          <w:i/>
          <w:sz w:val="20"/>
        </w:rPr>
        <w:sectPr>
          <w:pgSz w:w="8400" w:h="11910"/>
          <w:pgMar w:header="0" w:footer="530" w:top="400" w:bottom="740" w:left="425" w:right="425"/>
        </w:sectPr>
      </w:pPr>
    </w:p>
    <w:p>
      <w:pPr>
        <w:pStyle w:val="ListParagraph"/>
        <w:numPr>
          <w:ilvl w:val="1"/>
          <w:numId w:val="286"/>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Активности</w:t>
      </w:r>
      <w:r>
        <w:rPr>
          <w:rFonts w:ascii="Georgia" w:hAnsi="Georgia"/>
          <w:color w:val="231F20"/>
          <w:spacing w:val="15"/>
          <w:sz w:val="18"/>
        </w:rPr>
        <w:t> </w:t>
      </w:r>
      <w:r>
        <w:rPr>
          <w:rFonts w:ascii="Georgia" w:hAnsi="Georgia"/>
          <w:color w:val="231F20"/>
          <w:sz w:val="18"/>
        </w:rPr>
        <w:t>межкультурного</w:t>
      </w:r>
      <w:r>
        <w:rPr>
          <w:rFonts w:ascii="Georgia" w:hAnsi="Georgia"/>
          <w:color w:val="231F20"/>
          <w:spacing w:val="15"/>
          <w:sz w:val="18"/>
        </w:rPr>
        <w:t> </w:t>
      </w:r>
      <w:r>
        <w:rPr>
          <w:rFonts w:ascii="Georgia" w:hAnsi="Georgia"/>
          <w:color w:val="231F20"/>
          <w:sz w:val="18"/>
        </w:rPr>
        <w:t>тренинга</w:t>
      </w:r>
      <w:r>
        <w:rPr>
          <w:rFonts w:ascii="Georgia" w:hAnsi="Georgia"/>
          <w:color w:val="231F20"/>
          <w:spacing w:val="16"/>
          <w:sz w:val="18"/>
        </w:rPr>
        <w:t> </w:t>
      </w:r>
      <w:r>
        <w:rPr>
          <w:rFonts w:ascii="Georgia" w:hAnsi="Georgia"/>
          <w:color w:val="231F20"/>
          <w:sz w:val="18"/>
        </w:rPr>
        <w:t>для</w:t>
      </w:r>
      <w:r>
        <w:rPr>
          <w:rFonts w:ascii="Georgia" w:hAnsi="Georgia"/>
          <w:color w:val="231F20"/>
          <w:spacing w:val="15"/>
          <w:sz w:val="18"/>
        </w:rPr>
        <w:t> </w:t>
      </w:r>
      <w:r>
        <w:rPr>
          <w:rFonts w:ascii="Georgia" w:hAnsi="Georgia"/>
          <w:color w:val="231F20"/>
          <w:sz w:val="18"/>
        </w:rPr>
        <w:t>поликультурного</w:t>
      </w:r>
      <w:r>
        <w:rPr>
          <w:rFonts w:ascii="Georgia" w:hAnsi="Georgia"/>
          <w:color w:val="231F20"/>
          <w:spacing w:val="16"/>
          <w:sz w:val="18"/>
        </w:rPr>
        <w:t> </w:t>
      </w:r>
      <w:r>
        <w:rPr>
          <w:rFonts w:ascii="Georgia" w:hAnsi="Georgia"/>
          <w:color w:val="231F20"/>
          <w:spacing w:val="-2"/>
          <w:sz w:val="18"/>
        </w:rPr>
        <w:t>класса</w:t>
      </w:r>
    </w:p>
    <w:p>
      <w:pPr>
        <w:spacing w:before="109"/>
        <w:ind w:left="303" w:right="303" w:firstLine="0"/>
        <w:jc w:val="center"/>
        <w:rPr>
          <w:b/>
          <w:sz w:val="20"/>
        </w:rPr>
      </w:pPr>
      <w:r>
        <w:rPr>
          <w:b/>
          <w:color w:val="231F20"/>
          <w:spacing w:val="-2"/>
          <w:sz w:val="20"/>
        </w:rPr>
        <w:t>«Поезд»</w:t>
      </w:r>
    </w:p>
    <w:p>
      <w:pPr>
        <w:spacing w:line="249" w:lineRule="auto" w:before="123"/>
        <w:ind w:left="3100" w:right="139" w:firstLine="363"/>
        <w:jc w:val="right"/>
        <w:rPr>
          <w:i/>
          <w:sz w:val="20"/>
        </w:rPr>
      </w:pPr>
      <w:r>
        <w:rPr>
          <w:b/>
          <w:i/>
          <w:color w:val="231F20"/>
          <w:sz w:val="20"/>
        </w:rPr>
        <w:t>Источник:</w:t>
      </w:r>
      <w:r>
        <w:rPr>
          <w:b/>
          <w:i/>
          <w:color w:val="231F20"/>
          <w:spacing w:val="-13"/>
          <w:sz w:val="20"/>
        </w:rPr>
        <w:t> </w:t>
      </w:r>
      <w:r>
        <w:rPr>
          <w:i/>
          <w:color w:val="231F20"/>
          <w:sz w:val="20"/>
        </w:rPr>
        <w:t>адаптированное</w:t>
      </w:r>
      <w:r>
        <w:rPr>
          <w:i/>
          <w:color w:val="231F20"/>
          <w:spacing w:val="-12"/>
          <w:sz w:val="20"/>
        </w:rPr>
        <w:t> </w:t>
      </w:r>
      <w:r>
        <w:rPr>
          <w:i/>
          <w:color w:val="231F20"/>
          <w:sz w:val="20"/>
        </w:rPr>
        <w:t>М.Ю.</w:t>
      </w:r>
      <w:r>
        <w:rPr>
          <w:i/>
          <w:color w:val="231F20"/>
          <w:spacing w:val="-13"/>
          <w:sz w:val="20"/>
        </w:rPr>
        <w:t> </w:t>
      </w:r>
      <w:r>
        <w:rPr>
          <w:i/>
          <w:color w:val="231F20"/>
          <w:sz w:val="20"/>
        </w:rPr>
        <w:t>Чибисовой упражнение</w:t>
      </w:r>
      <w:r>
        <w:rPr>
          <w:i/>
          <w:color w:val="231F20"/>
          <w:spacing w:val="-2"/>
          <w:sz w:val="20"/>
        </w:rPr>
        <w:t> </w:t>
      </w:r>
      <w:r>
        <w:rPr>
          <w:i/>
          <w:color w:val="231F20"/>
          <w:sz w:val="20"/>
        </w:rPr>
        <w:t>«Euro-Rail</w:t>
      </w:r>
      <w:r>
        <w:rPr>
          <w:i/>
          <w:color w:val="231F20"/>
          <w:spacing w:val="-2"/>
          <w:sz w:val="20"/>
        </w:rPr>
        <w:t> </w:t>
      </w:r>
      <w:r>
        <w:rPr>
          <w:i/>
          <w:color w:val="231F20"/>
          <w:sz w:val="20"/>
        </w:rPr>
        <w:t>à</w:t>
      </w:r>
      <w:r>
        <w:rPr>
          <w:i/>
          <w:color w:val="231F20"/>
          <w:spacing w:val="-2"/>
          <w:sz w:val="20"/>
        </w:rPr>
        <w:t> </w:t>
      </w:r>
      <w:r>
        <w:rPr>
          <w:i/>
          <w:color w:val="231F20"/>
          <w:sz w:val="20"/>
        </w:rPr>
        <w:t>la</w:t>
      </w:r>
      <w:r>
        <w:rPr>
          <w:i/>
          <w:color w:val="231F20"/>
          <w:spacing w:val="-2"/>
          <w:sz w:val="20"/>
        </w:rPr>
        <w:t> </w:t>
      </w:r>
      <w:r>
        <w:rPr>
          <w:i/>
          <w:color w:val="231F20"/>
          <w:sz w:val="20"/>
        </w:rPr>
        <w:t>carte»</w:t>
      </w:r>
      <w:r>
        <w:rPr>
          <w:i/>
          <w:color w:val="231F20"/>
          <w:spacing w:val="-2"/>
          <w:sz w:val="20"/>
        </w:rPr>
        <w:t> </w:t>
      </w:r>
      <w:r>
        <w:rPr>
          <w:i/>
          <w:color w:val="231F20"/>
          <w:sz w:val="20"/>
        </w:rPr>
        <w:t>(Education</w:t>
      </w:r>
      <w:r>
        <w:rPr>
          <w:i/>
          <w:color w:val="231F20"/>
          <w:spacing w:val="-1"/>
          <w:sz w:val="20"/>
        </w:rPr>
        <w:t> </w:t>
      </w:r>
      <w:r>
        <w:rPr>
          <w:i/>
          <w:color w:val="231F20"/>
          <w:spacing w:val="-4"/>
          <w:sz w:val="20"/>
        </w:rPr>
        <w:t>Pack</w:t>
      </w:r>
    </w:p>
    <w:p>
      <w:pPr>
        <w:spacing w:before="2"/>
        <w:ind w:left="141" w:right="139" w:firstLine="0"/>
        <w:jc w:val="right"/>
        <w:rPr>
          <w:i/>
          <w:sz w:val="20"/>
        </w:rPr>
      </w:pPr>
      <w:r>
        <w:rPr>
          <w:i/>
          <w:color w:val="231F20"/>
          <w:sz w:val="20"/>
        </w:rPr>
        <w:t>«all</w:t>
      </w:r>
      <w:r>
        <w:rPr>
          <w:i/>
          <w:color w:val="231F20"/>
          <w:spacing w:val="-6"/>
          <w:sz w:val="20"/>
        </w:rPr>
        <w:t> </w:t>
      </w:r>
      <w:r>
        <w:rPr>
          <w:i/>
          <w:color w:val="231F20"/>
          <w:sz w:val="20"/>
        </w:rPr>
        <w:t>different</w:t>
      </w:r>
      <w:r>
        <w:rPr>
          <w:i/>
          <w:color w:val="231F20"/>
          <w:spacing w:val="-5"/>
          <w:sz w:val="20"/>
        </w:rPr>
        <w:t> </w:t>
      </w:r>
      <w:r>
        <w:rPr>
          <w:i/>
          <w:color w:val="231F20"/>
          <w:sz w:val="20"/>
        </w:rPr>
        <w:t>–</w:t>
      </w:r>
      <w:r>
        <w:rPr>
          <w:i/>
          <w:color w:val="231F20"/>
          <w:spacing w:val="-5"/>
          <w:sz w:val="20"/>
        </w:rPr>
        <w:t> </w:t>
      </w:r>
      <w:r>
        <w:rPr>
          <w:i/>
          <w:color w:val="231F20"/>
          <w:sz w:val="20"/>
        </w:rPr>
        <w:t>all</w:t>
      </w:r>
      <w:r>
        <w:rPr>
          <w:i/>
          <w:color w:val="231F20"/>
          <w:spacing w:val="-5"/>
          <w:sz w:val="20"/>
        </w:rPr>
        <w:t> </w:t>
      </w:r>
      <w:r>
        <w:rPr>
          <w:i/>
          <w:color w:val="231F20"/>
          <w:sz w:val="20"/>
        </w:rPr>
        <w:t>equal»,</w:t>
      </w:r>
      <w:r>
        <w:rPr>
          <w:i/>
          <w:color w:val="231F20"/>
          <w:spacing w:val="-5"/>
          <w:sz w:val="20"/>
        </w:rPr>
        <w:t> </w:t>
      </w:r>
      <w:r>
        <w:rPr>
          <w:i/>
          <w:color w:val="231F20"/>
          <w:sz w:val="20"/>
        </w:rPr>
        <w:t>Directorate</w:t>
      </w:r>
      <w:r>
        <w:rPr>
          <w:i/>
          <w:color w:val="231F20"/>
          <w:spacing w:val="-5"/>
          <w:sz w:val="20"/>
        </w:rPr>
        <w:t> </w:t>
      </w:r>
      <w:r>
        <w:rPr>
          <w:i/>
          <w:color w:val="231F20"/>
          <w:sz w:val="20"/>
        </w:rPr>
        <w:t>of</w:t>
      </w:r>
      <w:r>
        <w:rPr>
          <w:i/>
          <w:color w:val="231F20"/>
          <w:spacing w:val="-6"/>
          <w:sz w:val="20"/>
        </w:rPr>
        <w:t> </w:t>
      </w:r>
      <w:r>
        <w:rPr>
          <w:i/>
          <w:color w:val="231F20"/>
          <w:sz w:val="20"/>
        </w:rPr>
        <w:t>Youth</w:t>
      </w:r>
      <w:r>
        <w:rPr>
          <w:i/>
          <w:color w:val="231F20"/>
          <w:spacing w:val="-5"/>
          <w:sz w:val="20"/>
        </w:rPr>
        <w:t> </w:t>
      </w:r>
      <w:r>
        <w:rPr>
          <w:i/>
          <w:color w:val="231F20"/>
          <w:sz w:val="20"/>
        </w:rPr>
        <w:t>and</w:t>
      </w:r>
      <w:r>
        <w:rPr>
          <w:i/>
          <w:color w:val="231F20"/>
          <w:spacing w:val="-5"/>
          <w:sz w:val="20"/>
        </w:rPr>
        <w:t> </w:t>
      </w:r>
      <w:r>
        <w:rPr>
          <w:i/>
          <w:color w:val="231F20"/>
          <w:spacing w:val="-2"/>
          <w:sz w:val="20"/>
        </w:rPr>
        <w:t>Sport,</w:t>
      </w:r>
    </w:p>
    <w:p>
      <w:pPr>
        <w:spacing w:before="10"/>
        <w:ind w:left="141" w:right="139" w:firstLine="0"/>
        <w:jc w:val="right"/>
        <w:rPr>
          <w:i/>
          <w:sz w:val="20"/>
        </w:rPr>
      </w:pPr>
      <w:r>
        <w:rPr>
          <w:i/>
          <w:color w:val="231F20"/>
          <w:sz w:val="20"/>
        </w:rPr>
        <w:t>Council</w:t>
      </w:r>
      <w:r>
        <w:rPr>
          <w:i/>
          <w:color w:val="231F20"/>
          <w:spacing w:val="-3"/>
          <w:sz w:val="20"/>
        </w:rPr>
        <w:t> </w:t>
      </w:r>
      <w:r>
        <w:rPr>
          <w:i/>
          <w:color w:val="231F20"/>
          <w:sz w:val="20"/>
        </w:rPr>
        <w:t>of</w:t>
      </w:r>
      <w:r>
        <w:rPr>
          <w:i/>
          <w:color w:val="231F20"/>
          <w:spacing w:val="-2"/>
          <w:sz w:val="20"/>
        </w:rPr>
        <w:t> </w:t>
      </w:r>
      <w:r>
        <w:rPr>
          <w:i/>
          <w:color w:val="231F20"/>
          <w:sz w:val="20"/>
        </w:rPr>
        <w:t>Europe,</w:t>
      </w:r>
      <w:r>
        <w:rPr>
          <w:i/>
          <w:color w:val="231F20"/>
          <w:spacing w:val="-3"/>
          <w:sz w:val="20"/>
        </w:rPr>
        <w:t> </w:t>
      </w:r>
      <w:r>
        <w:rPr>
          <w:i/>
          <w:color w:val="231F20"/>
          <w:sz w:val="20"/>
        </w:rPr>
        <w:t>2nd</w:t>
      </w:r>
      <w:r>
        <w:rPr>
          <w:i/>
          <w:color w:val="231F20"/>
          <w:spacing w:val="-2"/>
          <w:sz w:val="20"/>
        </w:rPr>
        <w:t> edition)</w:t>
      </w:r>
    </w:p>
    <w:p>
      <w:pPr>
        <w:pStyle w:val="BodyText"/>
        <w:spacing w:before="123"/>
        <w:ind w:left="425" w:right="0" w:firstLine="0"/>
        <w:jc w:val="left"/>
      </w:pPr>
      <w:r>
        <w:rPr>
          <w:color w:val="231F20"/>
          <w:spacing w:val="-4"/>
        </w:rPr>
        <w:t>Игра</w:t>
      </w:r>
      <w:r>
        <w:rPr>
          <w:color w:val="231F20"/>
          <w:spacing w:val="2"/>
        </w:rPr>
        <w:t> </w:t>
      </w:r>
      <w:r>
        <w:rPr>
          <w:color w:val="231F20"/>
          <w:spacing w:val="-4"/>
        </w:rPr>
        <w:t>предназначена</w:t>
      </w:r>
      <w:r>
        <w:rPr>
          <w:color w:val="231F20"/>
          <w:spacing w:val="3"/>
        </w:rPr>
        <w:t> </w:t>
      </w:r>
      <w:r>
        <w:rPr>
          <w:color w:val="231F20"/>
          <w:spacing w:val="-4"/>
        </w:rPr>
        <w:t>для</w:t>
      </w:r>
      <w:r>
        <w:rPr>
          <w:color w:val="231F20"/>
          <w:spacing w:val="3"/>
        </w:rPr>
        <w:t> </w:t>
      </w:r>
      <w:r>
        <w:rPr>
          <w:color w:val="231F20"/>
          <w:spacing w:val="-4"/>
        </w:rPr>
        <w:t>осмысления</w:t>
      </w:r>
      <w:r>
        <w:rPr>
          <w:color w:val="231F20"/>
          <w:spacing w:val="3"/>
        </w:rPr>
        <w:t> </w:t>
      </w:r>
      <w:r>
        <w:rPr>
          <w:color w:val="231F20"/>
          <w:spacing w:val="-4"/>
        </w:rPr>
        <w:t>и</w:t>
      </w:r>
      <w:r>
        <w:rPr>
          <w:color w:val="231F20"/>
          <w:spacing w:val="3"/>
        </w:rPr>
        <w:t> </w:t>
      </w:r>
      <w:r>
        <w:rPr>
          <w:color w:val="231F20"/>
          <w:spacing w:val="-4"/>
        </w:rPr>
        <w:t>анализа</w:t>
      </w:r>
      <w:r>
        <w:rPr>
          <w:color w:val="231F20"/>
          <w:spacing w:val="3"/>
        </w:rPr>
        <w:t> </w:t>
      </w:r>
      <w:r>
        <w:rPr>
          <w:color w:val="231F20"/>
          <w:spacing w:val="-4"/>
        </w:rPr>
        <w:t>этнических</w:t>
      </w:r>
      <w:r>
        <w:rPr>
          <w:color w:val="231F20"/>
          <w:spacing w:val="3"/>
        </w:rPr>
        <w:t> </w:t>
      </w:r>
      <w:r>
        <w:rPr>
          <w:color w:val="231F20"/>
          <w:spacing w:val="-4"/>
        </w:rPr>
        <w:t>стереотипов</w:t>
      </w:r>
      <w:r>
        <w:rPr>
          <w:color w:val="231F20"/>
          <w:spacing w:val="3"/>
        </w:rPr>
        <w:t> </w:t>
      </w:r>
      <w:r>
        <w:rPr>
          <w:color w:val="231F20"/>
          <w:spacing w:val="-4"/>
        </w:rPr>
        <w:t>участников.</w:t>
      </w:r>
    </w:p>
    <w:p>
      <w:pPr>
        <w:spacing w:before="67"/>
        <w:ind w:left="425" w:right="0" w:firstLine="0"/>
        <w:jc w:val="left"/>
        <w:rPr>
          <w:b/>
          <w:sz w:val="20"/>
        </w:rPr>
      </w:pPr>
      <w:r>
        <w:rPr>
          <w:b/>
          <w:color w:val="231F20"/>
          <w:spacing w:val="-2"/>
          <w:sz w:val="20"/>
        </w:rPr>
        <w:t>Инструкция</w:t>
      </w:r>
    </w:p>
    <w:p>
      <w:pPr>
        <w:pStyle w:val="ListParagraph"/>
        <w:numPr>
          <w:ilvl w:val="0"/>
          <w:numId w:val="287"/>
        </w:numPr>
        <w:tabs>
          <w:tab w:pos="587" w:val="left" w:leader="none"/>
        </w:tabs>
        <w:spacing w:line="249" w:lineRule="auto" w:before="10" w:after="0"/>
        <w:ind w:left="141" w:right="139" w:firstLine="283"/>
        <w:jc w:val="both"/>
        <w:rPr>
          <w:i/>
          <w:color w:val="231F20"/>
          <w:sz w:val="20"/>
        </w:rPr>
      </w:pPr>
      <w:r>
        <w:rPr>
          <w:i/>
          <w:color w:val="231F20"/>
          <w:sz w:val="20"/>
        </w:rPr>
        <w:t>Вы едете на поезде из Москвы во Владивосток. В купе четыре места, и у вас есть</w:t>
      </w:r>
      <w:r>
        <w:rPr>
          <w:i/>
          <w:color w:val="231F20"/>
          <w:spacing w:val="-1"/>
          <w:sz w:val="20"/>
        </w:rPr>
        <w:t> </w:t>
      </w:r>
      <w:r>
        <w:rPr>
          <w:i/>
          <w:color w:val="231F20"/>
          <w:sz w:val="20"/>
        </w:rPr>
        <w:t>предварительный</w:t>
      </w:r>
      <w:r>
        <w:rPr>
          <w:i/>
          <w:color w:val="231F20"/>
          <w:spacing w:val="-1"/>
          <w:sz w:val="20"/>
        </w:rPr>
        <w:t> </w:t>
      </w:r>
      <w:r>
        <w:rPr>
          <w:i/>
          <w:color w:val="231F20"/>
          <w:sz w:val="20"/>
        </w:rPr>
        <w:t>список</w:t>
      </w:r>
      <w:r>
        <w:rPr>
          <w:i/>
          <w:color w:val="231F20"/>
          <w:spacing w:val="-1"/>
          <w:sz w:val="20"/>
        </w:rPr>
        <w:t> </w:t>
      </w:r>
      <w:r>
        <w:rPr>
          <w:i/>
          <w:color w:val="231F20"/>
          <w:sz w:val="20"/>
        </w:rPr>
        <w:t>пассажиров.</w:t>
      </w:r>
      <w:r>
        <w:rPr>
          <w:i/>
          <w:color w:val="231F20"/>
          <w:spacing w:val="-1"/>
          <w:sz w:val="20"/>
        </w:rPr>
        <w:t> </w:t>
      </w:r>
      <w:r>
        <w:rPr>
          <w:i/>
          <w:color w:val="231F20"/>
          <w:sz w:val="20"/>
        </w:rPr>
        <w:t>Вам</w:t>
      </w:r>
      <w:r>
        <w:rPr>
          <w:i/>
          <w:color w:val="231F20"/>
          <w:spacing w:val="-1"/>
          <w:sz w:val="20"/>
        </w:rPr>
        <w:t> </w:t>
      </w:r>
      <w:r>
        <w:rPr>
          <w:i/>
          <w:color w:val="231F20"/>
          <w:sz w:val="20"/>
        </w:rPr>
        <w:t>необходимо</w:t>
      </w:r>
      <w:r>
        <w:rPr>
          <w:i/>
          <w:color w:val="231F20"/>
          <w:spacing w:val="-1"/>
          <w:sz w:val="20"/>
        </w:rPr>
        <w:t> </w:t>
      </w:r>
      <w:r>
        <w:rPr>
          <w:i/>
          <w:color w:val="231F20"/>
          <w:sz w:val="20"/>
        </w:rPr>
        <w:t>выбрать</w:t>
      </w:r>
      <w:r>
        <w:rPr>
          <w:i/>
          <w:color w:val="231F20"/>
          <w:spacing w:val="-1"/>
          <w:sz w:val="20"/>
        </w:rPr>
        <w:t> </w:t>
      </w:r>
      <w:r>
        <w:rPr>
          <w:i/>
          <w:color w:val="231F20"/>
          <w:sz w:val="20"/>
        </w:rPr>
        <w:t>трех</w:t>
      </w:r>
      <w:r>
        <w:rPr>
          <w:i/>
          <w:color w:val="231F20"/>
          <w:spacing w:val="-1"/>
          <w:sz w:val="20"/>
        </w:rPr>
        <w:t> </w:t>
      </w:r>
      <w:r>
        <w:rPr>
          <w:i/>
          <w:color w:val="231F20"/>
          <w:sz w:val="20"/>
        </w:rPr>
        <w:t>человек, с которыми поедете в одном купе, и трех человек, которых вы категорически не хотите видеть своими соседями.</w:t>
      </w:r>
      <w:r>
        <w:rPr>
          <w:i/>
          <w:color w:val="231F20"/>
          <w:spacing w:val="-7"/>
          <w:sz w:val="20"/>
        </w:rPr>
        <w:t> </w:t>
      </w:r>
      <w:r>
        <w:rPr>
          <w:i/>
          <w:color w:val="231F20"/>
          <w:sz w:val="20"/>
        </w:rPr>
        <w:t>Отметьте в первом столбике таблицы плюсами тех, с кем готовы ехать, и минусами – тех, с кем ехать категорически не хотите.</w:t>
      </w:r>
    </w:p>
    <w:p>
      <w:pPr>
        <w:pStyle w:val="BodyText"/>
        <w:spacing w:line="247" w:lineRule="auto" w:before="4"/>
      </w:pPr>
      <w:r>
        <w:rPr>
          <w:color w:val="231F20"/>
        </w:rPr>
        <w:t>Затем то же самое делается в парах и в четверках. Если участников немного и время</w:t>
      </w:r>
      <w:r>
        <w:rPr>
          <w:color w:val="231F20"/>
          <w:spacing w:val="-13"/>
        </w:rPr>
        <w:t> </w:t>
      </w:r>
      <w:r>
        <w:rPr>
          <w:color w:val="231F20"/>
        </w:rPr>
        <w:t>позволит,</w:t>
      </w:r>
      <w:r>
        <w:rPr>
          <w:color w:val="231F20"/>
          <w:spacing w:val="-12"/>
        </w:rPr>
        <w:t> </w:t>
      </w:r>
      <w:r>
        <w:rPr>
          <w:color w:val="231F20"/>
        </w:rPr>
        <w:t>окончательное</w:t>
      </w:r>
      <w:r>
        <w:rPr>
          <w:color w:val="231F20"/>
          <w:spacing w:val="-13"/>
        </w:rPr>
        <w:t> </w:t>
      </w:r>
      <w:r>
        <w:rPr>
          <w:color w:val="231F20"/>
        </w:rPr>
        <w:t>решение</w:t>
      </w:r>
      <w:r>
        <w:rPr>
          <w:color w:val="231F20"/>
          <w:spacing w:val="-12"/>
        </w:rPr>
        <w:t> </w:t>
      </w:r>
      <w:r>
        <w:rPr>
          <w:color w:val="231F20"/>
        </w:rPr>
        <w:t>принимается</w:t>
      </w:r>
      <w:r>
        <w:rPr>
          <w:color w:val="231F20"/>
          <w:spacing w:val="-13"/>
        </w:rPr>
        <w:t> </w:t>
      </w:r>
      <w:r>
        <w:rPr>
          <w:color w:val="231F20"/>
        </w:rPr>
        <w:t>всей</w:t>
      </w:r>
      <w:r>
        <w:rPr>
          <w:color w:val="231F20"/>
          <w:spacing w:val="-12"/>
        </w:rPr>
        <w:t> </w:t>
      </w:r>
      <w:r>
        <w:rPr>
          <w:color w:val="231F20"/>
        </w:rPr>
        <w:t>группой.</w:t>
      </w:r>
      <w:r>
        <w:rPr>
          <w:color w:val="231F20"/>
          <w:spacing w:val="-13"/>
        </w:rPr>
        <w:t> </w:t>
      </w:r>
      <w:r>
        <w:rPr>
          <w:color w:val="231F20"/>
        </w:rPr>
        <w:t>При</w:t>
      </w:r>
      <w:r>
        <w:rPr>
          <w:color w:val="231F20"/>
          <w:spacing w:val="-12"/>
        </w:rPr>
        <w:t> </w:t>
      </w:r>
      <w:r>
        <w:rPr>
          <w:color w:val="231F20"/>
        </w:rPr>
        <w:t>обсуждении голосовать</w:t>
      </w:r>
      <w:r>
        <w:rPr>
          <w:color w:val="231F20"/>
          <w:spacing w:val="-5"/>
        </w:rPr>
        <w:t> </w:t>
      </w:r>
      <w:r>
        <w:rPr>
          <w:color w:val="231F20"/>
        </w:rPr>
        <w:t>нельзя,</w:t>
      </w:r>
      <w:r>
        <w:rPr>
          <w:color w:val="231F20"/>
          <w:spacing w:val="-5"/>
        </w:rPr>
        <w:t> </w:t>
      </w:r>
      <w:r>
        <w:rPr>
          <w:color w:val="231F20"/>
        </w:rPr>
        <w:t>нужно</w:t>
      </w:r>
      <w:r>
        <w:rPr>
          <w:color w:val="231F20"/>
          <w:spacing w:val="-5"/>
        </w:rPr>
        <w:t> </w:t>
      </w:r>
      <w:r>
        <w:rPr>
          <w:color w:val="231F20"/>
        </w:rPr>
        <w:t>прийти</w:t>
      </w:r>
      <w:r>
        <w:rPr>
          <w:color w:val="231F20"/>
          <w:spacing w:val="-5"/>
        </w:rPr>
        <w:t> </w:t>
      </w:r>
      <w:r>
        <w:rPr>
          <w:color w:val="231F20"/>
        </w:rPr>
        <w:t>к</w:t>
      </w:r>
      <w:r>
        <w:rPr>
          <w:color w:val="231F20"/>
          <w:spacing w:val="-5"/>
        </w:rPr>
        <w:t> </w:t>
      </w:r>
      <w:r>
        <w:rPr>
          <w:color w:val="231F20"/>
        </w:rPr>
        <w:t>решению,</w:t>
      </w:r>
      <w:r>
        <w:rPr>
          <w:color w:val="231F20"/>
          <w:spacing w:val="-5"/>
        </w:rPr>
        <w:t> </w:t>
      </w:r>
      <w:r>
        <w:rPr>
          <w:color w:val="231F20"/>
        </w:rPr>
        <w:t>с</w:t>
      </w:r>
      <w:r>
        <w:rPr>
          <w:color w:val="231F20"/>
          <w:spacing w:val="-5"/>
        </w:rPr>
        <w:t> </w:t>
      </w:r>
      <w:r>
        <w:rPr>
          <w:color w:val="231F20"/>
        </w:rPr>
        <w:t>которым</w:t>
      </w:r>
      <w:r>
        <w:rPr>
          <w:color w:val="231F20"/>
          <w:spacing w:val="-5"/>
        </w:rPr>
        <w:t> </w:t>
      </w:r>
      <w:r>
        <w:rPr>
          <w:color w:val="231F20"/>
        </w:rPr>
        <w:t>все</w:t>
      </w:r>
      <w:r>
        <w:rPr>
          <w:color w:val="231F20"/>
          <w:spacing w:val="-5"/>
        </w:rPr>
        <w:t> </w:t>
      </w:r>
      <w:r>
        <w:rPr>
          <w:color w:val="231F20"/>
        </w:rPr>
        <w:t>в</w:t>
      </w:r>
      <w:r>
        <w:rPr>
          <w:color w:val="231F20"/>
          <w:spacing w:val="-5"/>
        </w:rPr>
        <w:t> </w:t>
      </w:r>
      <w:r>
        <w:rPr>
          <w:color w:val="231F20"/>
        </w:rPr>
        <w:t>парах/четверках</w:t>
      </w:r>
      <w:r>
        <w:rPr>
          <w:color w:val="231F20"/>
          <w:spacing w:val="-5"/>
        </w:rPr>
        <w:t> </w:t>
      </w:r>
      <w:r>
        <w:rPr>
          <w:color w:val="231F20"/>
        </w:rPr>
        <w:t>будут </w:t>
      </w:r>
      <w:r>
        <w:rPr>
          <w:color w:val="231F20"/>
          <w:spacing w:val="-2"/>
        </w:rPr>
        <w:t>согласны.</w:t>
      </w:r>
    </w:p>
    <w:p>
      <w:pPr>
        <w:pStyle w:val="BodyText"/>
        <w:spacing w:line="218" w:lineRule="exact"/>
        <w:ind w:left="425" w:right="0" w:firstLine="0"/>
        <w:jc w:val="left"/>
      </w:pPr>
      <w:r>
        <w:rPr>
          <w:color w:val="231F20"/>
        </w:rPr>
        <w:t>Вопросы для</w:t>
      </w:r>
      <w:r>
        <w:rPr>
          <w:color w:val="231F20"/>
          <w:spacing w:val="3"/>
        </w:rPr>
        <w:t> </w:t>
      </w:r>
      <w:r>
        <w:rPr>
          <w:color w:val="231F20"/>
          <w:spacing w:val="-2"/>
        </w:rPr>
        <w:t>обсуждения:</w:t>
      </w:r>
    </w:p>
    <w:p>
      <w:pPr>
        <w:pStyle w:val="ListParagraph"/>
        <w:numPr>
          <w:ilvl w:val="0"/>
          <w:numId w:val="287"/>
        </w:numPr>
        <w:tabs>
          <w:tab w:pos="575" w:val="left" w:leader="none"/>
        </w:tabs>
        <w:spacing w:line="226" w:lineRule="exact" w:before="0" w:after="0"/>
        <w:ind w:left="575" w:right="0" w:hanging="150"/>
        <w:jc w:val="left"/>
        <w:rPr>
          <w:i/>
          <w:color w:val="231F20"/>
          <w:sz w:val="20"/>
        </w:rPr>
      </w:pPr>
      <w:r>
        <w:rPr>
          <w:i/>
          <w:color w:val="231F20"/>
          <w:sz w:val="20"/>
        </w:rPr>
        <w:t>Как </w:t>
      </w:r>
      <w:r>
        <w:rPr>
          <w:i/>
          <w:color w:val="231F20"/>
          <w:spacing w:val="-2"/>
          <w:sz w:val="20"/>
        </w:rPr>
        <w:t>игралось?</w:t>
      </w:r>
    </w:p>
    <w:p>
      <w:pPr>
        <w:pStyle w:val="ListParagraph"/>
        <w:numPr>
          <w:ilvl w:val="0"/>
          <w:numId w:val="287"/>
        </w:numPr>
        <w:tabs>
          <w:tab w:pos="575" w:val="left" w:leader="none"/>
        </w:tabs>
        <w:spacing w:line="226" w:lineRule="exact" w:before="0" w:after="0"/>
        <w:ind w:left="575" w:right="0" w:hanging="150"/>
        <w:jc w:val="left"/>
        <w:rPr>
          <w:i/>
          <w:color w:val="231F20"/>
          <w:sz w:val="20"/>
        </w:rPr>
      </w:pPr>
      <w:r>
        <w:rPr>
          <w:i/>
          <w:color w:val="231F20"/>
          <w:sz w:val="20"/>
        </w:rPr>
        <w:t>Почему</w:t>
      </w:r>
      <w:r>
        <w:rPr>
          <w:i/>
          <w:color w:val="231F20"/>
          <w:spacing w:val="-3"/>
          <w:sz w:val="20"/>
        </w:rPr>
        <w:t> </w:t>
      </w:r>
      <w:r>
        <w:rPr>
          <w:i/>
          <w:color w:val="231F20"/>
          <w:sz w:val="20"/>
        </w:rPr>
        <w:t>вы</w:t>
      </w:r>
      <w:r>
        <w:rPr>
          <w:i/>
          <w:color w:val="231F20"/>
          <w:spacing w:val="-3"/>
          <w:sz w:val="20"/>
        </w:rPr>
        <w:t> </w:t>
      </w:r>
      <w:r>
        <w:rPr>
          <w:i/>
          <w:color w:val="231F20"/>
          <w:sz w:val="20"/>
        </w:rPr>
        <w:t>делали</w:t>
      </w:r>
      <w:r>
        <w:rPr>
          <w:i/>
          <w:color w:val="231F20"/>
          <w:spacing w:val="-2"/>
          <w:sz w:val="20"/>
        </w:rPr>
        <w:t> </w:t>
      </w:r>
      <w:r>
        <w:rPr>
          <w:i/>
          <w:color w:val="231F20"/>
          <w:sz w:val="20"/>
        </w:rPr>
        <w:t>именно</w:t>
      </w:r>
      <w:r>
        <w:rPr>
          <w:i/>
          <w:color w:val="231F20"/>
          <w:spacing w:val="-2"/>
          <w:sz w:val="20"/>
        </w:rPr>
        <w:t> </w:t>
      </w:r>
      <w:r>
        <w:rPr>
          <w:i/>
          <w:color w:val="231F20"/>
          <w:sz w:val="20"/>
        </w:rPr>
        <w:t>такие</w:t>
      </w:r>
      <w:r>
        <w:rPr>
          <w:i/>
          <w:color w:val="231F20"/>
          <w:spacing w:val="-2"/>
          <w:sz w:val="20"/>
        </w:rPr>
        <w:t> выборы?</w:t>
      </w:r>
    </w:p>
    <w:p>
      <w:pPr>
        <w:pStyle w:val="ListParagraph"/>
        <w:numPr>
          <w:ilvl w:val="0"/>
          <w:numId w:val="287"/>
        </w:numPr>
        <w:tabs>
          <w:tab w:pos="575" w:val="left" w:leader="none"/>
        </w:tabs>
        <w:spacing w:line="228" w:lineRule="exact" w:before="0" w:after="0"/>
        <w:ind w:left="575" w:right="0" w:hanging="150"/>
        <w:jc w:val="left"/>
        <w:rPr>
          <w:i/>
          <w:color w:val="231F20"/>
          <w:sz w:val="20"/>
        </w:rPr>
      </w:pPr>
      <w:r>
        <w:rPr>
          <w:i/>
          <w:color w:val="231F20"/>
          <w:sz w:val="20"/>
        </w:rPr>
        <w:t>Какие</w:t>
      </w:r>
      <w:r>
        <w:rPr>
          <w:i/>
          <w:color w:val="231F20"/>
          <w:spacing w:val="-6"/>
          <w:sz w:val="20"/>
        </w:rPr>
        <w:t> </w:t>
      </w:r>
      <w:r>
        <w:rPr>
          <w:i/>
          <w:color w:val="231F20"/>
          <w:sz w:val="20"/>
        </w:rPr>
        <w:t>выводы</w:t>
      </w:r>
      <w:r>
        <w:rPr>
          <w:i/>
          <w:color w:val="231F20"/>
          <w:spacing w:val="-5"/>
          <w:sz w:val="20"/>
        </w:rPr>
        <w:t> </w:t>
      </w:r>
      <w:r>
        <w:rPr>
          <w:i/>
          <w:color w:val="231F20"/>
          <w:sz w:val="20"/>
        </w:rPr>
        <w:t>в</w:t>
      </w:r>
      <w:r>
        <w:rPr>
          <w:i/>
          <w:color w:val="231F20"/>
          <w:spacing w:val="-5"/>
          <w:sz w:val="20"/>
        </w:rPr>
        <w:t> </w:t>
      </w:r>
      <w:r>
        <w:rPr>
          <w:i/>
          <w:color w:val="231F20"/>
          <w:sz w:val="20"/>
        </w:rPr>
        <w:t>целом</w:t>
      </w:r>
      <w:r>
        <w:rPr>
          <w:i/>
          <w:color w:val="231F20"/>
          <w:spacing w:val="-5"/>
          <w:sz w:val="20"/>
        </w:rPr>
        <w:t> </w:t>
      </w:r>
      <w:r>
        <w:rPr>
          <w:i/>
          <w:color w:val="231F20"/>
          <w:sz w:val="20"/>
        </w:rPr>
        <w:t>вы</w:t>
      </w:r>
      <w:r>
        <w:rPr>
          <w:i/>
          <w:color w:val="231F20"/>
          <w:spacing w:val="-4"/>
          <w:sz w:val="20"/>
        </w:rPr>
        <w:t> </w:t>
      </w:r>
      <w:r>
        <w:rPr>
          <w:i/>
          <w:color w:val="231F20"/>
          <w:sz w:val="20"/>
        </w:rPr>
        <w:t>можете</w:t>
      </w:r>
      <w:r>
        <w:rPr>
          <w:i/>
          <w:color w:val="231F20"/>
          <w:spacing w:val="-4"/>
          <w:sz w:val="20"/>
        </w:rPr>
        <w:t> </w:t>
      </w:r>
      <w:r>
        <w:rPr>
          <w:i/>
          <w:color w:val="231F20"/>
          <w:sz w:val="20"/>
        </w:rPr>
        <w:t>сделать</w:t>
      </w:r>
      <w:r>
        <w:rPr>
          <w:i/>
          <w:color w:val="231F20"/>
          <w:spacing w:val="-5"/>
          <w:sz w:val="20"/>
        </w:rPr>
        <w:t> </w:t>
      </w:r>
      <w:r>
        <w:rPr>
          <w:i/>
          <w:color w:val="231F20"/>
          <w:sz w:val="20"/>
        </w:rPr>
        <w:t>из</w:t>
      </w:r>
      <w:r>
        <w:rPr>
          <w:i/>
          <w:color w:val="231F20"/>
          <w:spacing w:val="-5"/>
          <w:sz w:val="20"/>
        </w:rPr>
        <w:t> </w:t>
      </w:r>
      <w:r>
        <w:rPr>
          <w:i/>
          <w:color w:val="231F20"/>
          <w:sz w:val="20"/>
        </w:rPr>
        <w:t>этой</w:t>
      </w:r>
      <w:r>
        <w:rPr>
          <w:i/>
          <w:color w:val="231F20"/>
          <w:spacing w:val="-3"/>
          <w:sz w:val="20"/>
        </w:rPr>
        <w:t> </w:t>
      </w:r>
      <w:r>
        <w:rPr>
          <w:i/>
          <w:color w:val="231F20"/>
          <w:spacing w:val="-2"/>
          <w:sz w:val="20"/>
        </w:rPr>
        <w:t>игры?</w:t>
      </w:r>
    </w:p>
    <w:p>
      <w:pPr>
        <w:pStyle w:val="BodyText"/>
        <w:spacing w:before="1"/>
        <w:ind w:left="0" w:right="0" w:firstLine="0"/>
        <w:jc w:val="left"/>
        <w:rPr>
          <w:i/>
          <w:sz w:val="13"/>
        </w:rPr>
      </w:pPr>
    </w:p>
    <w:tbl>
      <w:tblPr>
        <w:tblW w:w="0" w:type="auto"/>
        <w:jc w:val="left"/>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06"/>
        <w:gridCol w:w="3288"/>
        <w:gridCol w:w="1184"/>
        <w:gridCol w:w="1184"/>
        <w:gridCol w:w="1184"/>
      </w:tblGrid>
      <w:tr>
        <w:trPr>
          <w:trHeight w:val="274" w:hRule="atLeast"/>
        </w:trPr>
        <w:tc>
          <w:tcPr>
            <w:tcW w:w="406" w:type="dxa"/>
          </w:tcPr>
          <w:p>
            <w:pPr>
              <w:pStyle w:val="TableParagraph"/>
              <w:rPr>
                <w:sz w:val="18"/>
              </w:rPr>
            </w:pPr>
          </w:p>
        </w:tc>
        <w:tc>
          <w:tcPr>
            <w:tcW w:w="3288" w:type="dxa"/>
          </w:tcPr>
          <w:p>
            <w:pPr>
              <w:pStyle w:val="TableParagraph"/>
              <w:rPr>
                <w:sz w:val="18"/>
              </w:rPr>
            </w:pPr>
          </w:p>
        </w:tc>
        <w:tc>
          <w:tcPr>
            <w:tcW w:w="1184" w:type="dxa"/>
          </w:tcPr>
          <w:p>
            <w:pPr>
              <w:pStyle w:val="TableParagraph"/>
              <w:spacing w:before="29"/>
              <w:ind w:left="374"/>
              <w:rPr>
                <w:b/>
                <w:sz w:val="18"/>
              </w:rPr>
            </w:pPr>
            <w:r>
              <w:rPr>
                <w:b/>
                <w:color w:val="231F20"/>
                <w:spacing w:val="-4"/>
                <w:sz w:val="18"/>
              </w:rPr>
              <w:t>Один</w:t>
            </w:r>
          </w:p>
        </w:tc>
        <w:tc>
          <w:tcPr>
            <w:tcW w:w="1184" w:type="dxa"/>
          </w:tcPr>
          <w:p>
            <w:pPr>
              <w:pStyle w:val="TableParagraph"/>
              <w:spacing w:before="29"/>
              <w:ind w:left="294"/>
              <w:rPr>
                <w:b/>
                <w:sz w:val="18"/>
              </w:rPr>
            </w:pPr>
            <w:r>
              <w:rPr>
                <w:b/>
                <w:color w:val="231F20"/>
                <w:spacing w:val="-2"/>
                <w:sz w:val="18"/>
              </w:rPr>
              <w:t>Вдвоем</w:t>
            </w:r>
          </w:p>
        </w:tc>
        <w:tc>
          <w:tcPr>
            <w:tcW w:w="1184" w:type="dxa"/>
          </w:tcPr>
          <w:p>
            <w:pPr>
              <w:pStyle w:val="TableParagraph"/>
              <w:spacing w:before="29"/>
              <w:ind w:left="156"/>
              <w:rPr>
                <w:b/>
                <w:sz w:val="18"/>
              </w:rPr>
            </w:pPr>
            <w:r>
              <w:rPr>
                <w:b/>
                <w:color w:val="231F20"/>
                <w:spacing w:val="-2"/>
                <w:sz w:val="18"/>
              </w:rPr>
              <w:t>Вчетвером</w:t>
            </w:r>
          </w:p>
        </w:tc>
      </w:tr>
      <w:tr>
        <w:trPr>
          <w:trHeight w:val="506" w:hRule="atLeast"/>
        </w:trPr>
        <w:tc>
          <w:tcPr>
            <w:tcW w:w="406" w:type="dxa"/>
          </w:tcPr>
          <w:p>
            <w:pPr>
              <w:pStyle w:val="TableParagraph"/>
              <w:spacing w:before="31"/>
              <w:ind w:left="10"/>
              <w:jc w:val="center"/>
              <w:rPr>
                <w:sz w:val="18"/>
              </w:rPr>
            </w:pPr>
            <w:r>
              <w:rPr>
                <w:color w:val="231F20"/>
                <w:spacing w:val="-5"/>
                <w:sz w:val="18"/>
              </w:rPr>
              <w:t>1.</w:t>
            </w:r>
          </w:p>
        </w:tc>
        <w:tc>
          <w:tcPr>
            <w:tcW w:w="3288" w:type="dxa"/>
          </w:tcPr>
          <w:p>
            <w:pPr>
              <w:pStyle w:val="TableParagraph"/>
              <w:spacing w:line="232" w:lineRule="auto" w:before="36"/>
              <w:ind w:left="80" w:right="186"/>
              <w:rPr>
                <w:sz w:val="18"/>
              </w:rPr>
            </w:pPr>
            <w:r>
              <w:rPr>
                <w:color w:val="231F20"/>
                <w:spacing w:val="-2"/>
                <w:sz w:val="18"/>
              </w:rPr>
              <w:t>Студентка</w:t>
            </w:r>
            <w:r>
              <w:rPr>
                <w:color w:val="231F20"/>
                <w:spacing w:val="-3"/>
                <w:sz w:val="18"/>
              </w:rPr>
              <w:t> </w:t>
            </w:r>
            <w:r>
              <w:rPr>
                <w:color w:val="231F20"/>
                <w:spacing w:val="-2"/>
                <w:sz w:val="18"/>
              </w:rPr>
              <w:t>медицинского</w:t>
            </w:r>
            <w:r>
              <w:rPr>
                <w:color w:val="231F20"/>
                <w:spacing w:val="-3"/>
                <w:sz w:val="18"/>
              </w:rPr>
              <w:t> </w:t>
            </w:r>
            <w:r>
              <w:rPr>
                <w:color w:val="231F20"/>
                <w:spacing w:val="-2"/>
                <w:sz w:val="18"/>
              </w:rPr>
              <w:t>университета </w:t>
            </w:r>
            <w:r>
              <w:rPr>
                <w:color w:val="231F20"/>
                <w:sz w:val="18"/>
              </w:rPr>
              <w:t>из Саудовской Аравии, 20 лет</w:t>
            </w:r>
          </w:p>
        </w:tc>
        <w:tc>
          <w:tcPr>
            <w:tcW w:w="1184" w:type="dxa"/>
          </w:tcPr>
          <w:p>
            <w:pPr>
              <w:pStyle w:val="TableParagraph"/>
              <w:rPr>
                <w:sz w:val="18"/>
              </w:rPr>
            </w:pPr>
          </w:p>
        </w:tc>
        <w:tc>
          <w:tcPr>
            <w:tcW w:w="1184" w:type="dxa"/>
          </w:tcPr>
          <w:p>
            <w:pPr>
              <w:pStyle w:val="TableParagraph"/>
              <w:rPr>
                <w:sz w:val="18"/>
              </w:rPr>
            </w:pPr>
          </w:p>
        </w:tc>
        <w:tc>
          <w:tcPr>
            <w:tcW w:w="1184" w:type="dxa"/>
          </w:tcPr>
          <w:p>
            <w:pPr>
              <w:pStyle w:val="TableParagraph"/>
              <w:rPr>
                <w:sz w:val="18"/>
              </w:rPr>
            </w:pPr>
          </w:p>
        </w:tc>
      </w:tr>
      <w:tr>
        <w:trPr>
          <w:trHeight w:val="274" w:hRule="atLeast"/>
        </w:trPr>
        <w:tc>
          <w:tcPr>
            <w:tcW w:w="406" w:type="dxa"/>
          </w:tcPr>
          <w:p>
            <w:pPr>
              <w:pStyle w:val="TableParagraph"/>
              <w:spacing w:before="31"/>
              <w:ind w:left="10"/>
              <w:jc w:val="center"/>
              <w:rPr>
                <w:sz w:val="18"/>
              </w:rPr>
            </w:pPr>
            <w:r>
              <w:rPr>
                <w:color w:val="231F20"/>
                <w:spacing w:val="-5"/>
                <w:sz w:val="18"/>
              </w:rPr>
              <w:t>2.</w:t>
            </w:r>
          </w:p>
        </w:tc>
        <w:tc>
          <w:tcPr>
            <w:tcW w:w="3288" w:type="dxa"/>
          </w:tcPr>
          <w:p>
            <w:pPr>
              <w:pStyle w:val="TableParagraph"/>
              <w:spacing w:before="31"/>
              <w:ind w:left="80"/>
              <w:rPr>
                <w:sz w:val="18"/>
              </w:rPr>
            </w:pPr>
            <w:r>
              <w:rPr>
                <w:color w:val="231F20"/>
                <w:sz w:val="18"/>
              </w:rPr>
              <w:t>Программист</w:t>
            </w:r>
            <w:r>
              <w:rPr>
                <w:color w:val="231F20"/>
                <w:spacing w:val="-3"/>
                <w:sz w:val="18"/>
              </w:rPr>
              <w:t> </w:t>
            </w:r>
            <w:r>
              <w:rPr>
                <w:color w:val="231F20"/>
                <w:sz w:val="18"/>
              </w:rPr>
              <w:t>из</w:t>
            </w:r>
            <w:r>
              <w:rPr>
                <w:color w:val="231F20"/>
                <w:spacing w:val="-1"/>
                <w:sz w:val="18"/>
              </w:rPr>
              <w:t> </w:t>
            </w:r>
            <w:r>
              <w:rPr>
                <w:color w:val="231F20"/>
                <w:sz w:val="18"/>
              </w:rPr>
              <w:t>Челябинска,</w:t>
            </w:r>
            <w:r>
              <w:rPr>
                <w:color w:val="231F20"/>
                <w:spacing w:val="-1"/>
                <w:sz w:val="18"/>
              </w:rPr>
              <w:t> </w:t>
            </w:r>
            <w:r>
              <w:rPr>
                <w:color w:val="231F20"/>
                <w:sz w:val="18"/>
              </w:rPr>
              <w:t>37 </w:t>
            </w:r>
            <w:r>
              <w:rPr>
                <w:color w:val="231F20"/>
                <w:spacing w:val="-5"/>
                <w:sz w:val="18"/>
              </w:rPr>
              <w:t>лет</w:t>
            </w:r>
          </w:p>
        </w:tc>
        <w:tc>
          <w:tcPr>
            <w:tcW w:w="1184" w:type="dxa"/>
          </w:tcPr>
          <w:p>
            <w:pPr>
              <w:pStyle w:val="TableParagraph"/>
              <w:rPr>
                <w:sz w:val="18"/>
              </w:rPr>
            </w:pPr>
          </w:p>
        </w:tc>
        <w:tc>
          <w:tcPr>
            <w:tcW w:w="1184" w:type="dxa"/>
          </w:tcPr>
          <w:p>
            <w:pPr>
              <w:pStyle w:val="TableParagraph"/>
              <w:rPr>
                <w:sz w:val="18"/>
              </w:rPr>
            </w:pPr>
          </w:p>
        </w:tc>
        <w:tc>
          <w:tcPr>
            <w:tcW w:w="1184" w:type="dxa"/>
          </w:tcPr>
          <w:p>
            <w:pPr>
              <w:pStyle w:val="TableParagraph"/>
              <w:rPr>
                <w:sz w:val="18"/>
              </w:rPr>
            </w:pPr>
          </w:p>
        </w:tc>
      </w:tr>
      <w:tr>
        <w:trPr>
          <w:trHeight w:val="674" w:hRule="atLeast"/>
        </w:trPr>
        <w:tc>
          <w:tcPr>
            <w:tcW w:w="406" w:type="dxa"/>
          </w:tcPr>
          <w:p>
            <w:pPr>
              <w:pStyle w:val="TableParagraph"/>
              <w:spacing w:before="31"/>
              <w:ind w:left="10"/>
              <w:jc w:val="center"/>
              <w:rPr>
                <w:sz w:val="18"/>
              </w:rPr>
            </w:pPr>
            <w:r>
              <w:rPr>
                <w:color w:val="231F20"/>
                <w:spacing w:val="-5"/>
                <w:sz w:val="18"/>
              </w:rPr>
              <w:t>3.</w:t>
            </w:r>
          </w:p>
        </w:tc>
        <w:tc>
          <w:tcPr>
            <w:tcW w:w="3288" w:type="dxa"/>
          </w:tcPr>
          <w:p>
            <w:pPr>
              <w:pStyle w:val="TableParagraph"/>
              <w:spacing w:line="232" w:lineRule="auto" w:before="36"/>
              <w:ind w:left="80" w:right="284"/>
              <w:jc w:val="both"/>
              <w:rPr>
                <w:sz w:val="18"/>
              </w:rPr>
            </w:pPr>
            <w:r>
              <w:rPr>
                <w:color w:val="231F20"/>
                <w:sz w:val="18"/>
              </w:rPr>
              <w:t>Болгарская</w:t>
            </w:r>
            <w:r>
              <w:rPr>
                <w:color w:val="231F20"/>
                <w:spacing w:val="-12"/>
                <w:sz w:val="18"/>
              </w:rPr>
              <w:t> </w:t>
            </w:r>
            <w:r>
              <w:rPr>
                <w:color w:val="231F20"/>
                <w:sz w:val="18"/>
              </w:rPr>
              <w:t>старшеклассница,</w:t>
            </w:r>
            <w:r>
              <w:rPr>
                <w:color w:val="231F20"/>
                <w:spacing w:val="-11"/>
                <w:sz w:val="18"/>
              </w:rPr>
              <w:t> </w:t>
            </w:r>
            <w:r>
              <w:rPr>
                <w:color w:val="231F20"/>
                <w:sz w:val="18"/>
              </w:rPr>
              <w:t>которая практически</w:t>
            </w:r>
            <w:r>
              <w:rPr>
                <w:color w:val="231F20"/>
                <w:spacing w:val="-12"/>
                <w:sz w:val="18"/>
              </w:rPr>
              <w:t> </w:t>
            </w:r>
            <w:r>
              <w:rPr>
                <w:color w:val="231F20"/>
                <w:sz w:val="18"/>
              </w:rPr>
              <w:t>не</w:t>
            </w:r>
            <w:r>
              <w:rPr>
                <w:color w:val="231F20"/>
                <w:spacing w:val="-11"/>
                <w:sz w:val="18"/>
              </w:rPr>
              <w:t> </w:t>
            </w:r>
            <w:r>
              <w:rPr>
                <w:color w:val="231F20"/>
                <w:sz w:val="18"/>
              </w:rPr>
              <w:t>говорит</w:t>
            </w:r>
            <w:r>
              <w:rPr>
                <w:color w:val="231F20"/>
                <w:spacing w:val="-11"/>
                <w:sz w:val="18"/>
              </w:rPr>
              <w:t> </w:t>
            </w:r>
            <w:r>
              <w:rPr>
                <w:color w:val="231F20"/>
                <w:sz w:val="18"/>
              </w:rPr>
              <w:t>по-русски,</w:t>
            </w:r>
            <w:r>
              <w:rPr>
                <w:color w:val="231F20"/>
                <w:spacing w:val="-11"/>
                <w:sz w:val="18"/>
              </w:rPr>
              <w:t> </w:t>
            </w:r>
            <w:r>
              <w:rPr>
                <w:color w:val="231F20"/>
                <w:sz w:val="18"/>
              </w:rPr>
              <w:t>17 </w:t>
            </w:r>
            <w:r>
              <w:rPr>
                <w:color w:val="231F20"/>
                <w:spacing w:val="-4"/>
                <w:sz w:val="18"/>
              </w:rPr>
              <w:t>лет</w:t>
            </w:r>
          </w:p>
        </w:tc>
        <w:tc>
          <w:tcPr>
            <w:tcW w:w="1184" w:type="dxa"/>
          </w:tcPr>
          <w:p>
            <w:pPr>
              <w:pStyle w:val="TableParagraph"/>
              <w:rPr>
                <w:sz w:val="18"/>
              </w:rPr>
            </w:pPr>
          </w:p>
        </w:tc>
        <w:tc>
          <w:tcPr>
            <w:tcW w:w="1184" w:type="dxa"/>
          </w:tcPr>
          <w:p>
            <w:pPr>
              <w:pStyle w:val="TableParagraph"/>
              <w:rPr>
                <w:sz w:val="18"/>
              </w:rPr>
            </w:pPr>
          </w:p>
        </w:tc>
        <w:tc>
          <w:tcPr>
            <w:tcW w:w="1184" w:type="dxa"/>
          </w:tcPr>
          <w:p>
            <w:pPr>
              <w:pStyle w:val="TableParagraph"/>
              <w:rPr>
                <w:sz w:val="18"/>
              </w:rPr>
            </w:pPr>
          </w:p>
        </w:tc>
      </w:tr>
      <w:tr>
        <w:trPr>
          <w:trHeight w:val="474" w:hRule="atLeast"/>
        </w:trPr>
        <w:tc>
          <w:tcPr>
            <w:tcW w:w="406" w:type="dxa"/>
          </w:tcPr>
          <w:p>
            <w:pPr>
              <w:pStyle w:val="TableParagraph"/>
              <w:spacing w:before="31"/>
              <w:ind w:left="10"/>
              <w:jc w:val="center"/>
              <w:rPr>
                <w:sz w:val="18"/>
              </w:rPr>
            </w:pPr>
            <w:r>
              <w:rPr>
                <w:color w:val="231F20"/>
                <w:spacing w:val="-5"/>
                <w:sz w:val="18"/>
              </w:rPr>
              <w:t>4.</w:t>
            </w:r>
          </w:p>
        </w:tc>
        <w:tc>
          <w:tcPr>
            <w:tcW w:w="3288" w:type="dxa"/>
          </w:tcPr>
          <w:p>
            <w:pPr>
              <w:pStyle w:val="TableParagraph"/>
              <w:spacing w:line="232" w:lineRule="auto" w:before="37"/>
              <w:ind w:left="80" w:right="186"/>
              <w:rPr>
                <w:sz w:val="18"/>
              </w:rPr>
            </w:pPr>
            <w:r>
              <w:rPr>
                <w:color w:val="231F20"/>
                <w:sz w:val="18"/>
              </w:rPr>
              <w:t>Солистка</w:t>
            </w:r>
            <w:r>
              <w:rPr>
                <w:color w:val="231F20"/>
                <w:spacing w:val="-12"/>
                <w:sz w:val="18"/>
              </w:rPr>
              <w:t> </w:t>
            </w:r>
            <w:r>
              <w:rPr>
                <w:color w:val="231F20"/>
                <w:sz w:val="18"/>
              </w:rPr>
              <w:t>ансамбля</w:t>
            </w:r>
            <w:r>
              <w:rPr>
                <w:color w:val="231F20"/>
                <w:spacing w:val="-11"/>
                <w:sz w:val="18"/>
              </w:rPr>
              <w:t> </w:t>
            </w:r>
            <w:r>
              <w:rPr>
                <w:color w:val="231F20"/>
                <w:sz w:val="18"/>
              </w:rPr>
              <w:t>цыганской</w:t>
            </w:r>
            <w:r>
              <w:rPr>
                <w:color w:val="231F20"/>
                <w:spacing w:val="-11"/>
                <w:sz w:val="18"/>
              </w:rPr>
              <w:t> </w:t>
            </w:r>
            <w:r>
              <w:rPr>
                <w:color w:val="231F20"/>
                <w:sz w:val="18"/>
              </w:rPr>
              <w:t>песни, 33 года</w:t>
            </w:r>
          </w:p>
        </w:tc>
        <w:tc>
          <w:tcPr>
            <w:tcW w:w="1184" w:type="dxa"/>
          </w:tcPr>
          <w:p>
            <w:pPr>
              <w:pStyle w:val="TableParagraph"/>
              <w:rPr>
                <w:sz w:val="18"/>
              </w:rPr>
            </w:pPr>
          </w:p>
        </w:tc>
        <w:tc>
          <w:tcPr>
            <w:tcW w:w="1184" w:type="dxa"/>
          </w:tcPr>
          <w:p>
            <w:pPr>
              <w:pStyle w:val="TableParagraph"/>
              <w:rPr>
                <w:sz w:val="18"/>
              </w:rPr>
            </w:pPr>
          </w:p>
        </w:tc>
        <w:tc>
          <w:tcPr>
            <w:tcW w:w="1184" w:type="dxa"/>
          </w:tcPr>
          <w:p>
            <w:pPr>
              <w:pStyle w:val="TableParagraph"/>
              <w:rPr>
                <w:sz w:val="18"/>
              </w:rPr>
            </w:pPr>
          </w:p>
        </w:tc>
      </w:tr>
      <w:tr>
        <w:trPr>
          <w:trHeight w:val="474" w:hRule="atLeast"/>
        </w:trPr>
        <w:tc>
          <w:tcPr>
            <w:tcW w:w="406" w:type="dxa"/>
          </w:tcPr>
          <w:p>
            <w:pPr>
              <w:pStyle w:val="TableParagraph"/>
              <w:spacing w:before="31"/>
              <w:ind w:left="10"/>
              <w:jc w:val="center"/>
              <w:rPr>
                <w:sz w:val="18"/>
              </w:rPr>
            </w:pPr>
            <w:r>
              <w:rPr>
                <w:color w:val="231F20"/>
                <w:spacing w:val="-5"/>
                <w:sz w:val="18"/>
              </w:rPr>
              <w:t>5.</w:t>
            </w:r>
          </w:p>
        </w:tc>
        <w:tc>
          <w:tcPr>
            <w:tcW w:w="3288" w:type="dxa"/>
          </w:tcPr>
          <w:p>
            <w:pPr>
              <w:pStyle w:val="TableParagraph"/>
              <w:spacing w:line="232" w:lineRule="auto" w:before="36"/>
              <w:ind w:left="80" w:right="186"/>
              <w:rPr>
                <w:sz w:val="18"/>
              </w:rPr>
            </w:pPr>
            <w:r>
              <w:rPr>
                <w:color w:val="231F20"/>
                <w:sz w:val="18"/>
              </w:rPr>
              <w:t>Китаец,</w:t>
            </w:r>
            <w:r>
              <w:rPr>
                <w:color w:val="231F20"/>
                <w:spacing w:val="-12"/>
                <w:sz w:val="18"/>
              </w:rPr>
              <w:t> </w:t>
            </w:r>
            <w:r>
              <w:rPr>
                <w:color w:val="231F20"/>
                <w:sz w:val="18"/>
              </w:rPr>
              <w:t>который</w:t>
            </w:r>
            <w:r>
              <w:rPr>
                <w:color w:val="231F20"/>
                <w:spacing w:val="-11"/>
                <w:sz w:val="18"/>
              </w:rPr>
              <w:t> </w:t>
            </w:r>
            <w:r>
              <w:rPr>
                <w:color w:val="231F20"/>
                <w:sz w:val="18"/>
              </w:rPr>
              <w:t>работает</w:t>
            </w:r>
            <w:r>
              <w:rPr>
                <w:color w:val="231F20"/>
                <w:spacing w:val="-11"/>
                <w:sz w:val="18"/>
              </w:rPr>
              <w:t> </w:t>
            </w:r>
            <w:r>
              <w:rPr>
                <w:color w:val="231F20"/>
                <w:sz w:val="18"/>
              </w:rPr>
              <w:t>поваром</w:t>
            </w:r>
            <w:r>
              <w:rPr>
                <w:color w:val="231F20"/>
                <w:spacing w:val="-11"/>
                <w:sz w:val="18"/>
              </w:rPr>
              <w:t> </w:t>
            </w:r>
            <w:r>
              <w:rPr>
                <w:color w:val="231F20"/>
                <w:sz w:val="18"/>
              </w:rPr>
              <w:t>в известном ресторане, 42 года</w:t>
            </w:r>
          </w:p>
        </w:tc>
        <w:tc>
          <w:tcPr>
            <w:tcW w:w="1184" w:type="dxa"/>
          </w:tcPr>
          <w:p>
            <w:pPr>
              <w:pStyle w:val="TableParagraph"/>
              <w:rPr>
                <w:sz w:val="18"/>
              </w:rPr>
            </w:pPr>
          </w:p>
        </w:tc>
        <w:tc>
          <w:tcPr>
            <w:tcW w:w="1184" w:type="dxa"/>
          </w:tcPr>
          <w:p>
            <w:pPr>
              <w:pStyle w:val="TableParagraph"/>
              <w:rPr>
                <w:sz w:val="18"/>
              </w:rPr>
            </w:pPr>
          </w:p>
        </w:tc>
        <w:tc>
          <w:tcPr>
            <w:tcW w:w="1184" w:type="dxa"/>
          </w:tcPr>
          <w:p>
            <w:pPr>
              <w:pStyle w:val="TableParagraph"/>
              <w:rPr>
                <w:sz w:val="18"/>
              </w:rPr>
            </w:pPr>
          </w:p>
        </w:tc>
      </w:tr>
      <w:tr>
        <w:trPr>
          <w:trHeight w:val="474" w:hRule="atLeast"/>
        </w:trPr>
        <w:tc>
          <w:tcPr>
            <w:tcW w:w="406" w:type="dxa"/>
          </w:tcPr>
          <w:p>
            <w:pPr>
              <w:pStyle w:val="TableParagraph"/>
              <w:spacing w:before="31"/>
              <w:ind w:left="10"/>
              <w:jc w:val="center"/>
              <w:rPr>
                <w:sz w:val="18"/>
              </w:rPr>
            </w:pPr>
            <w:r>
              <w:rPr>
                <w:color w:val="231F20"/>
                <w:spacing w:val="-5"/>
                <w:sz w:val="18"/>
              </w:rPr>
              <w:t>6.</w:t>
            </w:r>
          </w:p>
        </w:tc>
        <w:tc>
          <w:tcPr>
            <w:tcW w:w="3288" w:type="dxa"/>
          </w:tcPr>
          <w:p>
            <w:pPr>
              <w:pStyle w:val="TableParagraph"/>
              <w:spacing w:line="232" w:lineRule="auto" w:before="36"/>
              <w:ind w:left="80" w:right="186"/>
              <w:rPr>
                <w:sz w:val="18"/>
              </w:rPr>
            </w:pPr>
            <w:r>
              <w:rPr>
                <w:color w:val="231F20"/>
                <w:sz w:val="18"/>
              </w:rPr>
              <w:t>Профессор</w:t>
            </w:r>
            <w:r>
              <w:rPr>
                <w:color w:val="231F20"/>
                <w:spacing w:val="-12"/>
                <w:sz w:val="18"/>
              </w:rPr>
              <w:t> </w:t>
            </w:r>
            <w:r>
              <w:rPr>
                <w:color w:val="231F20"/>
                <w:sz w:val="18"/>
              </w:rPr>
              <w:t>из</w:t>
            </w:r>
            <w:r>
              <w:rPr>
                <w:color w:val="231F20"/>
                <w:spacing w:val="-11"/>
                <w:sz w:val="18"/>
              </w:rPr>
              <w:t> </w:t>
            </w:r>
            <w:r>
              <w:rPr>
                <w:color w:val="231F20"/>
                <w:sz w:val="18"/>
              </w:rPr>
              <w:t>швейцарского</w:t>
            </w:r>
            <w:r>
              <w:rPr>
                <w:color w:val="231F20"/>
                <w:spacing w:val="-11"/>
                <w:sz w:val="18"/>
              </w:rPr>
              <w:t> </w:t>
            </w:r>
            <w:r>
              <w:rPr>
                <w:color w:val="231F20"/>
                <w:sz w:val="18"/>
              </w:rPr>
              <w:t>универси- тета, 48 лет</w:t>
            </w:r>
          </w:p>
        </w:tc>
        <w:tc>
          <w:tcPr>
            <w:tcW w:w="1184" w:type="dxa"/>
          </w:tcPr>
          <w:p>
            <w:pPr>
              <w:pStyle w:val="TableParagraph"/>
              <w:rPr>
                <w:sz w:val="18"/>
              </w:rPr>
            </w:pPr>
          </w:p>
        </w:tc>
        <w:tc>
          <w:tcPr>
            <w:tcW w:w="1184" w:type="dxa"/>
          </w:tcPr>
          <w:p>
            <w:pPr>
              <w:pStyle w:val="TableParagraph"/>
              <w:rPr>
                <w:sz w:val="18"/>
              </w:rPr>
            </w:pPr>
          </w:p>
        </w:tc>
        <w:tc>
          <w:tcPr>
            <w:tcW w:w="1184" w:type="dxa"/>
          </w:tcPr>
          <w:p>
            <w:pPr>
              <w:pStyle w:val="TableParagraph"/>
              <w:rPr>
                <w:sz w:val="18"/>
              </w:rPr>
            </w:pPr>
          </w:p>
        </w:tc>
      </w:tr>
      <w:tr>
        <w:trPr>
          <w:trHeight w:val="474" w:hRule="atLeast"/>
        </w:trPr>
        <w:tc>
          <w:tcPr>
            <w:tcW w:w="406" w:type="dxa"/>
          </w:tcPr>
          <w:p>
            <w:pPr>
              <w:pStyle w:val="TableParagraph"/>
              <w:spacing w:before="31"/>
              <w:ind w:left="10"/>
              <w:jc w:val="center"/>
              <w:rPr>
                <w:sz w:val="18"/>
              </w:rPr>
            </w:pPr>
            <w:r>
              <w:rPr>
                <w:color w:val="231F20"/>
                <w:spacing w:val="-5"/>
                <w:sz w:val="18"/>
              </w:rPr>
              <w:t>7.</w:t>
            </w:r>
          </w:p>
        </w:tc>
        <w:tc>
          <w:tcPr>
            <w:tcW w:w="3288" w:type="dxa"/>
          </w:tcPr>
          <w:p>
            <w:pPr>
              <w:pStyle w:val="TableParagraph"/>
              <w:spacing w:line="232" w:lineRule="auto" w:before="37"/>
              <w:ind w:left="80" w:right="186"/>
              <w:rPr>
                <w:sz w:val="18"/>
              </w:rPr>
            </w:pPr>
            <w:r>
              <w:rPr>
                <w:color w:val="231F20"/>
                <w:spacing w:val="-2"/>
                <w:sz w:val="18"/>
              </w:rPr>
              <w:t>Голландская учительница </w:t>
            </w:r>
            <w:r>
              <w:rPr>
                <w:color w:val="231F20"/>
                <w:spacing w:val="-2"/>
                <w:sz w:val="18"/>
              </w:rPr>
              <w:t>математики, </w:t>
            </w:r>
            <w:r>
              <w:rPr>
                <w:color w:val="231F20"/>
                <w:sz w:val="18"/>
              </w:rPr>
              <w:t>35 лет</w:t>
            </w:r>
          </w:p>
        </w:tc>
        <w:tc>
          <w:tcPr>
            <w:tcW w:w="1184" w:type="dxa"/>
          </w:tcPr>
          <w:p>
            <w:pPr>
              <w:pStyle w:val="TableParagraph"/>
              <w:rPr>
                <w:sz w:val="18"/>
              </w:rPr>
            </w:pPr>
          </w:p>
        </w:tc>
        <w:tc>
          <w:tcPr>
            <w:tcW w:w="1184" w:type="dxa"/>
          </w:tcPr>
          <w:p>
            <w:pPr>
              <w:pStyle w:val="TableParagraph"/>
              <w:rPr>
                <w:sz w:val="18"/>
              </w:rPr>
            </w:pPr>
          </w:p>
        </w:tc>
        <w:tc>
          <w:tcPr>
            <w:tcW w:w="1184" w:type="dxa"/>
          </w:tcPr>
          <w:p>
            <w:pPr>
              <w:pStyle w:val="TableParagraph"/>
              <w:rPr>
                <w:sz w:val="18"/>
              </w:rPr>
            </w:pPr>
          </w:p>
        </w:tc>
      </w:tr>
      <w:tr>
        <w:trPr>
          <w:trHeight w:val="474" w:hRule="atLeast"/>
        </w:trPr>
        <w:tc>
          <w:tcPr>
            <w:tcW w:w="406" w:type="dxa"/>
          </w:tcPr>
          <w:p>
            <w:pPr>
              <w:pStyle w:val="TableParagraph"/>
              <w:spacing w:before="31"/>
              <w:ind w:left="10"/>
              <w:jc w:val="center"/>
              <w:rPr>
                <w:sz w:val="18"/>
              </w:rPr>
            </w:pPr>
            <w:r>
              <w:rPr>
                <w:color w:val="231F20"/>
                <w:spacing w:val="-5"/>
                <w:sz w:val="18"/>
              </w:rPr>
              <w:t>8.</w:t>
            </w:r>
          </w:p>
        </w:tc>
        <w:tc>
          <w:tcPr>
            <w:tcW w:w="3288" w:type="dxa"/>
          </w:tcPr>
          <w:p>
            <w:pPr>
              <w:pStyle w:val="TableParagraph"/>
              <w:spacing w:line="232" w:lineRule="auto" w:before="36"/>
              <w:ind w:left="80"/>
              <w:rPr>
                <w:sz w:val="18"/>
              </w:rPr>
            </w:pPr>
            <w:r>
              <w:rPr>
                <w:color w:val="231F20"/>
                <w:sz w:val="18"/>
              </w:rPr>
              <w:t>Православный</w:t>
            </w:r>
            <w:r>
              <w:rPr>
                <w:color w:val="231F20"/>
                <w:spacing w:val="-12"/>
                <w:sz w:val="18"/>
              </w:rPr>
              <w:t> </w:t>
            </w:r>
            <w:r>
              <w:rPr>
                <w:color w:val="231F20"/>
                <w:sz w:val="18"/>
              </w:rPr>
              <w:t>священник</w:t>
            </w:r>
            <w:r>
              <w:rPr>
                <w:color w:val="231F20"/>
                <w:spacing w:val="-11"/>
                <w:sz w:val="18"/>
              </w:rPr>
              <w:t> </w:t>
            </w:r>
            <w:r>
              <w:rPr>
                <w:color w:val="231F20"/>
                <w:sz w:val="18"/>
              </w:rPr>
              <w:t>из</w:t>
            </w:r>
            <w:r>
              <w:rPr>
                <w:color w:val="231F20"/>
                <w:spacing w:val="-11"/>
                <w:sz w:val="18"/>
              </w:rPr>
              <w:t> </w:t>
            </w:r>
            <w:r>
              <w:rPr>
                <w:color w:val="231F20"/>
                <w:sz w:val="18"/>
              </w:rPr>
              <w:t>Ярославля, 58 лет</w:t>
            </w:r>
          </w:p>
        </w:tc>
        <w:tc>
          <w:tcPr>
            <w:tcW w:w="1184" w:type="dxa"/>
          </w:tcPr>
          <w:p>
            <w:pPr>
              <w:pStyle w:val="TableParagraph"/>
              <w:rPr>
                <w:sz w:val="18"/>
              </w:rPr>
            </w:pPr>
          </w:p>
        </w:tc>
        <w:tc>
          <w:tcPr>
            <w:tcW w:w="1184" w:type="dxa"/>
          </w:tcPr>
          <w:p>
            <w:pPr>
              <w:pStyle w:val="TableParagraph"/>
              <w:rPr>
                <w:sz w:val="18"/>
              </w:rPr>
            </w:pPr>
          </w:p>
        </w:tc>
        <w:tc>
          <w:tcPr>
            <w:tcW w:w="1184" w:type="dxa"/>
          </w:tcPr>
          <w:p>
            <w:pPr>
              <w:pStyle w:val="TableParagraph"/>
              <w:rPr>
                <w:sz w:val="18"/>
              </w:rPr>
            </w:pPr>
          </w:p>
        </w:tc>
      </w:tr>
      <w:tr>
        <w:trPr>
          <w:trHeight w:val="274" w:hRule="atLeast"/>
        </w:trPr>
        <w:tc>
          <w:tcPr>
            <w:tcW w:w="406" w:type="dxa"/>
          </w:tcPr>
          <w:p>
            <w:pPr>
              <w:pStyle w:val="TableParagraph"/>
              <w:spacing w:before="31"/>
              <w:ind w:left="10"/>
              <w:jc w:val="center"/>
              <w:rPr>
                <w:sz w:val="18"/>
              </w:rPr>
            </w:pPr>
            <w:r>
              <w:rPr>
                <w:color w:val="231F20"/>
                <w:spacing w:val="-5"/>
                <w:sz w:val="18"/>
              </w:rPr>
              <w:t>9.</w:t>
            </w:r>
          </w:p>
        </w:tc>
        <w:tc>
          <w:tcPr>
            <w:tcW w:w="3288" w:type="dxa"/>
          </w:tcPr>
          <w:p>
            <w:pPr>
              <w:pStyle w:val="TableParagraph"/>
              <w:spacing w:before="31"/>
              <w:ind w:left="80"/>
              <w:rPr>
                <w:sz w:val="18"/>
              </w:rPr>
            </w:pPr>
            <w:r>
              <w:rPr>
                <w:color w:val="231F20"/>
                <w:sz w:val="18"/>
              </w:rPr>
              <w:t>Футболист</w:t>
            </w:r>
            <w:r>
              <w:rPr>
                <w:color w:val="231F20"/>
                <w:spacing w:val="-6"/>
                <w:sz w:val="18"/>
              </w:rPr>
              <w:t> </w:t>
            </w:r>
            <w:r>
              <w:rPr>
                <w:color w:val="231F20"/>
                <w:sz w:val="18"/>
              </w:rPr>
              <w:t>из</w:t>
            </w:r>
            <w:r>
              <w:rPr>
                <w:color w:val="231F20"/>
                <w:spacing w:val="-5"/>
                <w:sz w:val="18"/>
              </w:rPr>
              <w:t> </w:t>
            </w:r>
            <w:r>
              <w:rPr>
                <w:color w:val="231F20"/>
                <w:sz w:val="18"/>
              </w:rPr>
              <w:t>Германии,</w:t>
            </w:r>
            <w:r>
              <w:rPr>
                <w:color w:val="231F20"/>
                <w:spacing w:val="-6"/>
                <w:sz w:val="18"/>
              </w:rPr>
              <w:t> </w:t>
            </w:r>
            <w:r>
              <w:rPr>
                <w:color w:val="231F20"/>
                <w:sz w:val="18"/>
              </w:rPr>
              <w:t>27</w:t>
            </w:r>
            <w:r>
              <w:rPr>
                <w:color w:val="231F20"/>
                <w:spacing w:val="-5"/>
                <w:sz w:val="18"/>
              </w:rPr>
              <w:t> лет</w:t>
            </w:r>
          </w:p>
        </w:tc>
        <w:tc>
          <w:tcPr>
            <w:tcW w:w="1184" w:type="dxa"/>
          </w:tcPr>
          <w:p>
            <w:pPr>
              <w:pStyle w:val="TableParagraph"/>
              <w:rPr>
                <w:sz w:val="18"/>
              </w:rPr>
            </w:pPr>
          </w:p>
        </w:tc>
        <w:tc>
          <w:tcPr>
            <w:tcW w:w="1184" w:type="dxa"/>
          </w:tcPr>
          <w:p>
            <w:pPr>
              <w:pStyle w:val="TableParagraph"/>
              <w:rPr>
                <w:sz w:val="18"/>
              </w:rPr>
            </w:pPr>
          </w:p>
        </w:tc>
        <w:tc>
          <w:tcPr>
            <w:tcW w:w="1184" w:type="dxa"/>
          </w:tcPr>
          <w:p>
            <w:pPr>
              <w:pStyle w:val="TableParagraph"/>
              <w:rPr>
                <w:sz w:val="18"/>
              </w:rPr>
            </w:pPr>
          </w:p>
        </w:tc>
      </w:tr>
      <w:tr>
        <w:trPr>
          <w:trHeight w:val="274" w:hRule="atLeast"/>
        </w:trPr>
        <w:tc>
          <w:tcPr>
            <w:tcW w:w="406" w:type="dxa"/>
          </w:tcPr>
          <w:p>
            <w:pPr>
              <w:pStyle w:val="TableParagraph"/>
              <w:spacing w:before="31"/>
              <w:ind w:left="10"/>
              <w:jc w:val="center"/>
              <w:rPr>
                <w:sz w:val="18"/>
              </w:rPr>
            </w:pPr>
            <w:r>
              <w:rPr>
                <w:color w:val="231F20"/>
                <w:spacing w:val="-5"/>
                <w:sz w:val="18"/>
              </w:rPr>
              <w:t>10.</w:t>
            </w:r>
          </w:p>
        </w:tc>
        <w:tc>
          <w:tcPr>
            <w:tcW w:w="3288" w:type="dxa"/>
          </w:tcPr>
          <w:p>
            <w:pPr>
              <w:pStyle w:val="TableParagraph"/>
              <w:spacing w:before="31"/>
              <w:ind w:left="80"/>
              <w:rPr>
                <w:sz w:val="18"/>
              </w:rPr>
            </w:pPr>
            <w:r>
              <w:rPr>
                <w:color w:val="231F20"/>
                <w:sz w:val="18"/>
              </w:rPr>
              <w:t>Дама</w:t>
            </w:r>
            <w:r>
              <w:rPr>
                <w:color w:val="231F20"/>
                <w:spacing w:val="-3"/>
                <w:sz w:val="18"/>
              </w:rPr>
              <w:t> </w:t>
            </w:r>
            <w:r>
              <w:rPr>
                <w:color w:val="231F20"/>
                <w:sz w:val="18"/>
              </w:rPr>
              <w:t>из</w:t>
            </w:r>
            <w:r>
              <w:rPr>
                <w:color w:val="231F20"/>
                <w:spacing w:val="-2"/>
                <w:sz w:val="18"/>
              </w:rPr>
              <w:t> </w:t>
            </w:r>
            <w:r>
              <w:rPr>
                <w:color w:val="231F20"/>
                <w:sz w:val="18"/>
              </w:rPr>
              <w:t>Великобритании,</w:t>
            </w:r>
            <w:r>
              <w:rPr>
                <w:color w:val="231F20"/>
                <w:spacing w:val="-3"/>
                <w:sz w:val="18"/>
              </w:rPr>
              <w:t> </w:t>
            </w:r>
            <w:r>
              <w:rPr>
                <w:color w:val="231F20"/>
                <w:sz w:val="18"/>
              </w:rPr>
              <w:t>52</w:t>
            </w:r>
            <w:r>
              <w:rPr>
                <w:color w:val="231F20"/>
                <w:spacing w:val="-2"/>
                <w:sz w:val="18"/>
              </w:rPr>
              <w:t> </w:t>
            </w:r>
            <w:r>
              <w:rPr>
                <w:color w:val="231F20"/>
                <w:spacing w:val="-4"/>
                <w:sz w:val="18"/>
              </w:rPr>
              <w:t>года</w:t>
            </w:r>
          </w:p>
        </w:tc>
        <w:tc>
          <w:tcPr>
            <w:tcW w:w="1184" w:type="dxa"/>
          </w:tcPr>
          <w:p>
            <w:pPr>
              <w:pStyle w:val="TableParagraph"/>
              <w:rPr>
                <w:sz w:val="18"/>
              </w:rPr>
            </w:pPr>
          </w:p>
        </w:tc>
        <w:tc>
          <w:tcPr>
            <w:tcW w:w="1184" w:type="dxa"/>
          </w:tcPr>
          <w:p>
            <w:pPr>
              <w:pStyle w:val="TableParagraph"/>
              <w:rPr>
                <w:sz w:val="18"/>
              </w:rPr>
            </w:pPr>
          </w:p>
        </w:tc>
        <w:tc>
          <w:tcPr>
            <w:tcW w:w="1184" w:type="dxa"/>
          </w:tcPr>
          <w:p>
            <w:pPr>
              <w:pStyle w:val="TableParagraph"/>
              <w:rPr>
                <w:sz w:val="18"/>
              </w:rPr>
            </w:pPr>
          </w:p>
        </w:tc>
      </w:tr>
    </w:tbl>
    <w:p>
      <w:pPr>
        <w:pStyle w:val="TableParagraph"/>
        <w:spacing w:after="0"/>
        <w:rPr>
          <w:sz w:val="18"/>
        </w:rPr>
        <w:sectPr>
          <w:pgSz w:w="8400" w:h="11910"/>
          <w:pgMar w:header="0" w:footer="530" w:top="400" w:bottom="740" w:left="425" w:right="425"/>
        </w:sectPr>
      </w:pPr>
    </w:p>
    <w:p>
      <w:pPr>
        <w:pStyle w:val="BodyText"/>
        <w:spacing w:before="163"/>
        <w:ind w:left="0" w:right="0" w:firstLine="0"/>
        <w:jc w:val="left"/>
        <w:rPr>
          <w:i/>
        </w:rPr>
      </w:pPr>
    </w:p>
    <w:p>
      <w:pPr>
        <w:numPr>
          <w:ilvl w:val="2"/>
          <w:numId w:val="264"/>
        </w:numPr>
        <w:tabs>
          <w:tab w:pos="2290" w:val="left" w:leader="none"/>
          <w:tab w:pos="2790" w:val="left" w:leader="none"/>
        </w:tabs>
        <w:spacing w:line="355" w:lineRule="auto" w:before="0"/>
        <w:ind w:left="2790" w:right="0" w:hanging="1000"/>
        <w:jc w:val="left"/>
        <w:rPr>
          <w:b/>
          <w:sz w:val="20"/>
        </w:rPr>
      </w:pPr>
      <w:bookmarkStart w:name="_bookmark92" w:id="94"/>
      <w:bookmarkEnd w:id="94"/>
      <w:r>
        <w:rPr/>
      </w:r>
      <w:r>
        <w:rPr>
          <w:b/>
          <w:color w:val="231F20"/>
          <w:sz w:val="20"/>
        </w:rPr>
        <w:t>Вводные</w:t>
      </w:r>
      <w:r>
        <w:rPr>
          <w:b/>
          <w:color w:val="231F20"/>
          <w:spacing w:val="-13"/>
          <w:sz w:val="20"/>
        </w:rPr>
        <w:t> </w:t>
      </w:r>
      <w:r>
        <w:rPr>
          <w:b/>
          <w:color w:val="231F20"/>
          <w:sz w:val="20"/>
        </w:rPr>
        <w:t>и</w:t>
      </w:r>
      <w:r>
        <w:rPr>
          <w:b/>
          <w:color w:val="231F20"/>
          <w:spacing w:val="-12"/>
          <w:sz w:val="20"/>
        </w:rPr>
        <w:t> </w:t>
      </w:r>
      <w:r>
        <w:rPr>
          <w:b/>
          <w:color w:val="231F20"/>
          <w:sz w:val="20"/>
        </w:rPr>
        <w:t>завершающие</w:t>
      </w:r>
      <w:r>
        <w:rPr>
          <w:b/>
          <w:color w:val="231F20"/>
          <w:spacing w:val="-13"/>
          <w:sz w:val="20"/>
        </w:rPr>
        <w:t> </w:t>
      </w:r>
      <w:r>
        <w:rPr>
          <w:b/>
          <w:color w:val="231F20"/>
          <w:sz w:val="20"/>
        </w:rPr>
        <w:t>упражнения </w:t>
      </w:r>
      <w:r>
        <w:rPr>
          <w:b/>
          <w:sz w:val="20"/>
          <w:u w:val="single"/>
        </w:rPr>
        <w:t>Вводные упражнения</w:t>
      </w:r>
    </w:p>
    <w:p>
      <w:pPr>
        <w:spacing w:line="228" w:lineRule="exact" w:before="0"/>
        <w:ind w:left="2859" w:right="0" w:firstLine="0"/>
        <w:jc w:val="left"/>
        <w:rPr>
          <w:b/>
          <w:sz w:val="20"/>
        </w:rPr>
      </w:pPr>
      <w:r>
        <w:rPr>
          <w:b/>
          <w:sz w:val="20"/>
        </w:rPr>
        <w:t>«Встреча</w:t>
      </w:r>
      <w:r>
        <w:rPr>
          <w:b/>
          <w:spacing w:val="-6"/>
          <w:sz w:val="20"/>
        </w:rPr>
        <w:t> </w:t>
      </w:r>
      <w:r>
        <w:rPr>
          <w:b/>
          <w:spacing w:val="-2"/>
          <w:sz w:val="20"/>
        </w:rPr>
        <w:t>земляков»</w:t>
      </w:r>
    </w:p>
    <w:p>
      <w:pPr>
        <w:spacing w:before="80"/>
        <w:ind w:left="866" w:right="0" w:firstLine="0"/>
        <w:jc w:val="left"/>
        <w:rPr>
          <w:rFonts w:ascii="Georgia" w:hAnsi="Georgia"/>
          <w:sz w:val="18"/>
        </w:rPr>
      </w:pPr>
      <w:r>
        <w:rPr/>
        <w:br w:type="column"/>
      </w:r>
      <w:r>
        <w:rPr>
          <w:rFonts w:ascii="Georgia" w:hAnsi="Georgia"/>
          <w:color w:val="231F20"/>
          <w:spacing w:val="-2"/>
          <w:sz w:val="18"/>
        </w:rPr>
        <w:t>Раздел</w:t>
      </w:r>
      <w:r>
        <w:rPr>
          <w:rFonts w:ascii="Georgia" w:hAnsi="Georgia"/>
          <w:color w:val="231F20"/>
          <w:spacing w:val="-5"/>
          <w:sz w:val="18"/>
        </w:rPr>
        <w:t> 4.</w:t>
      </w:r>
    </w:p>
    <w:p>
      <w:pPr>
        <w:spacing w:after="0"/>
        <w:jc w:val="left"/>
        <w:rPr>
          <w:rFonts w:ascii="Georgia" w:hAnsi="Georgia"/>
          <w:sz w:val="18"/>
        </w:rPr>
        <w:sectPr>
          <w:pgSz w:w="8400" w:h="11910"/>
          <w:pgMar w:header="0" w:footer="530" w:top="400" w:bottom="740" w:left="425" w:right="425"/>
          <w:cols w:num="2" w:equalWidth="0">
            <w:col w:w="5750" w:space="40"/>
            <w:col w:w="1760"/>
          </w:cols>
        </w:sectPr>
      </w:pPr>
    </w:p>
    <w:p>
      <w:pPr>
        <w:pStyle w:val="BodyText"/>
        <w:ind w:left="0" w:right="0" w:firstLine="0"/>
        <w:jc w:val="left"/>
        <w:rPr>
          <w:rFonts w:ascii="Georgia"/>
        </w:rPr>
      </w:pPr>
    </w:p>
    <w:p>
      <w:pPr>
        <w:pStyle w:val="BodyText"/>
        <w:ind w:left="0" w:right="0" w:firstLine="0"/>
        <w:jc w:val="left"/>
        <w:rPr>
          <w:rFonts w:ascii="Georgia"/>
        </w:rPr>
      </w:pPr>
    </w:p>
    <w:p>
      <w:pPr>
        <w:pStyle w:val="BodyText"/>
        <w:spacing w:before="219"/>
        <w:ind w:left="0" w:right="0" w:firstLine="0"/>
        <w:jc w:val="left"/>
        <w:rPr>
          <w:rFonts w:ascii="Georgia"/>
        </w:rPr>
      </w:pPr>
    </w:p>
    <w:p>
      <w:pPr>
        <w:spacing w:before="0"/>
        <w:ind w:left="425" w:right="0" w:firstLine="0"/>
        <w:jc w:val="left"/>
        <w:rPr>
          <w:b/>
          <w:sz w:val="20"/>
        </w:rPr>
      </w:pPr>
      <w:r>
        <w:rPr>
          <w:b/>
          <w:spacing w:val="-2"/>
          <w:sz w:val="20"/>
        </w:rPr>
        <w:t>Инструкция</w:t>
      </w:r>
    </w:p>
    <w:p>
      <w:pPr>
        <w:spacing w:line="235" w:lineRule="auto" w:before="113"/>
        <w:ind w:left="425" w:right="139" w:firstLine="184"/>
        <w:jc w:val="left"/>
        <w:rPr>
          <w:i/>
          <w:sz w:val="20"/>
        </w:rPr>
      </w:pPr>
      <w:r>
        <w:rPr/>
        <w:br w:type="column"/>
      </w:r>
      <w:r>
        <w:rPr>
          <w:b/>
          <w:i/>
          <w:sz w:val="20"/>
        </w:rPr>
        <w:t>Источник</w:t>
      </w:r>
      <w:r>
        <w:rPr>
          <w:i/>
          <w:sz w:val="20"/>
        </w:rPr>
        <w:t>:</w:t>
      </w:r>
      <w:r>
        <w:rPr>
          <w:i/>
          <w:spacing w:val="-13"/>
          <w:sz w:val="20"/>
        </w:rPr>
        <w:t> </w:t>
      </w:r>
      <w:r>
        <w:rPr>
          <w:i/>
          <w:sz w:val="20"/>
        </w:rPr>
        <w:t>Рот</w:t>
      </w:r>
      <w:r>
        <w:rPr>
          <w:i/>
          <w:spacing w:val="-12"/>
          <w:sz w:val="20"/>
        </w:rPr>
        <w:t> </w:t>
      </w:r>
      <w:r>
        <w:rPr>
          <w:i/>
          <w:sz w:val="20"/>
        </w:rPr>
        <w:t>Ю.,</w:t>
      </w:r>
      <w:r>
        <w:rPr>
          <w:i/>
          <w:spacing w:val="-13"/>
          <w:sz w:val="20"/>
        </w:rPr>
        <w:t> </w:t>
      </w:r>
      <w:r>
        <w:rPr>
          <w:i/>
          <w:sz w:val="20"/>
        </w:rPr>
        <w:t>Коптельцева</w:t>
      </w:r>
      <w:r>
        <w:rPr>
          <w:i/>
          <w:spacing w:val="-12"/>
          <w:sz w:val="20"/>
        </w:rPr>
        <w:t> </w:t>
      </w:r>
      <w:r>
        <w:rPr>
          <w:i/>
          <w:sz w:val="20"/>
        </w:rPr>
        <w:t>Г.</w:t>
      </w:r>
      <w:r>
        <w:rPr>
          <w:i/>
          <w:spacing w:val="-13"/>
          <w:sz w:val="20"/>
        </w:rPr>
        <w:t> </w:t>
      </w:r>
      <w:r>
        <w:rPr>
          <w:i/>
          <w:sz w:val="20"/>
        </w:rPr>
        <w:t>Межкультурная коммуникация.</w:t>
      </w:r>
      <w:r>
        <w:rPr>
          <w:i/>
          <w:spacing w:val="-9"/>
          <w:sz w:val="20"/>
        </w:rPr>
        <w:t> </w:t>
      </w:r>
      <w:r>
        <w:rPr>
          <w:i/>
          <w:sz w:val="20"/>
        </w:rPr>
        <w:t>Теория</w:t>
      </w:r>
      <w:r>
        <w:rPr>
          <w:i/>
          <w:spacing w:val="-9"/>
          <w:sz w:val="20"/>
        </w:rPr>
        <w:t> </w:t>
      </w:r>
      <w:r>
        <w:rPr>
          <w:i/>
          <w:sz w:val="20"/>
        </w:rPr>
        <w:t>и</w:t>
      </w:r>
      <w:r>
        <w:rPr>
          <w:i/>
          <w:spacing w:val="-9"/>
          <w:sz w:val="20"/>
        </w:rPr>
        <w:t> </w:t>
      </w:r>
      <w:r>
        <w:rPr>
          <w:i/>
          <w:sz w:val="20"/>
        </w:rPr>
        <w:t>тренинг:</w:t>
      </w:r>
      <w:r>
        <w:rPr>
          <w:i/>
          <w:spacing w:val="-8"/>
          <w:sz w:val="20"/>
        </w:rPr>
        <w:t> </w:t>
      </w:r>
      <w:r>
        <w:rPr>
          <w:i/>
          <w:sz w:val="20"/>
        </w:rPr>
        <w:t>учебно-</w:t>
      </w:r>
      <w:r>
        <w:rPr>
          <w:i/>
          <w:spacing w:val="-2"/>
          <w:sz w:val="20"/>
        </w:rPr>
        <w:t>методическое</w:t>
      </w:r>
    </w:p>
    <w:p>
      <w:pPr>
        <w:spacing w:line="227" w:lineRule="exact" w:before="0"/>
        <w:ind w:left="1955" w:right="0" w:firstLine="0"/>
        <w:jc w:val="left"/>
        <w:rPr>
          <w:i/>
          <w:sz w:val="20"/>
        </w:rPr>
      </w:pPr>
      <w:r>
        <w:rPr>
          <w:i/>
          <w:sz w:val="20"/>
        </w:rPr>
        <w:t>пособие.</w:t>
      </w:r>
      <w:r>
        <w:rPr>
          <w:i/>
          <w:spacing w:val="-2"/>
          <w:sz w:val="20"/>
        </w:rPr>
        <w:t> </w:t>
      </w:r>
      <w:r>
        <w:rPr>
          <w:i/>
          <w:sz w:val="20"/>
        </w:rPr>
        <w:t>–</w:t>
      </w:r>
      <w:r>
        <w:rPr>
          <w:i/>
          <w:spacing w:val="-3"/>
          <w:sz w:val="20"/>
        </w:rPr>
        <w:t> </w:t>
      </w:r>
      <w:r>
        <w:rPr>
          <w:i/>
          <w:sz w:val="20"/>
        </w:rPr>
        <w:t>М.:</w:t>
      </w:r>
      <w:r>
        <w:rPr>
          <w:i/>
          <w:spacing w:val="-2"/>
          <w:sz w:val="20"/>
        </w:rPr>
        <w:t> </w:t>
      </w:r>
      <w:r>
        <w:rPr>
          <w:i/>
          <w:sz w:val="20"/>
        </w:rPr>
        <w:t>ЮНИТИ</w:t>
      </w:r>
      <w:r>
        <w:rPr>
          <w:i/>
          <w:spacing w:val="-2"/>
          <w:sz w:val="20"/>
        </w:rPr>
        <w:t> </w:t>
      </w:r>
      <w:r>
        <w:rPr>
          <w:i/>
          <w:sz w:val="20"/>
        </w:rPr>
        <w:t>–</w:t>
      </w:r>
      <w:r>
        <w:rPr>
          <w:i/>
          <w:spacing w:val="-2"/>
          <w:sz w:val="20"/>
        </w:rPr>
        <w:t> </w:t>
      </w:r>
      <w:r>
        <w:rPr>
          <w:i/>
          <w:sz w:val="20"/>
        </w:rPr>
        <w:t>ДАНА,</w:t>
      </w:r>
      <w:r>
        <w:rPr>
          <w:i/>
          <w:spacing w:val="-2"/>
          <w:sz w:val="20"/>
        </w:rPr>
        <w:t> </w:t>
      </w:r>
      <w:r>
        <w:rPr>
          <w:i/>
          <w:spacing w:val="-4"/>
          <w:sz w:val="20"/>
        </w:rPr>
        <w:t>2006</w:t>
      </w:r>
    </w:p>
    <w:p>
      <w:pPr>
        <w:spacing w:after="0" w:line="227" w:lineRule="exact"/>
        <w:jc w:val="left"/>
        <w:rPr>
          <w:i/>
          <w:sz w:val="20"/>
        </w:rPr>
        <w:sectPr>
          <w:type w:val="continuous"/>
          <w:pgSz w:w="8400" w:h="11910"/>
          <w:pgMar w:header="0" w:footer="530" w:top="1260" w:bottom="740" w:left="425" w:right="425"/>
          <w:cols w:num="2" w:equalWidth="0">
            <w:col w:w="1588" w:space="634"/>
            <w:col w:w="5328"/>
          </w:cols>
        </w:sectPr>
      </w:pPr>
    </w:p>
    <w:p>
      <w:pPr>
        <w:pStyle w:val="ListParagraph"/>
        <w:numPr>
          <w:ilvl w:val="0"/>
          <w:numId w:val="287"/>
        </w:numPr>
        <w:tabs>
          <w:tab w:pos="563" w:val="left" w:leader="none"/>
        </w:tabs>
        <w:spacing w:line="235" w:lineRule="auto" w:before="0" w:after="0"/>
        <w:ind w:left="141" w:right="139" w:firstLine="283"/>
        <w:jc w:val="both"/>
        <w:rPr>
          <w:i/>
          <w:sz w:val="20"/>
        </w:rPr>
      </w:pPr>
      <w:r>
        <w:rPr>
          <w:i/>
          <w:spacing w:val="-2"/>
          <w:sz w:val="20"/>
        </w:rPr>
        <w:t>Представьте</w:t>
      </w:r>
      <w:r>
        <w:rPr>
          <w:i/>
          <w:spacing w:val="-4"/>
          <w:sz w:val="20"/>
        </w:rPr>
        <w:t> </w:t>
      </w:r>
      <w:r>
        <w:rPr>
          <w:i/>
          <w:spacing w:val="-2"/>
          <w:sz w:val="20"/>
        </w:rPr>
        <w:t>себе,</w:t>
      </w:r>
      <w:r>
        <w:rPr>
          <w:i/>
          <w:spacing w:val="-4"/>
          <w:sz w:val="20"/>
        </w:rPr>
        <w:t> </w:t>
      </w:r>
      <w:r>
        <w:rPr>
          <w:i/>
          <w:spacing w:val="-2"/>
          <w:sz w:val="20"/>
        </w:rPr>
        <w:t>что</w:t>
      </w:r>
      <w:r>
        <w:rPr>
          <w:i/>
          <w:spacing w:val="-4"/>
          <w:sz w:val="20"/>
        </w:rPr>
        <w:t> </w:t>
      </w:r>
      <w:r>
        <w:rPr>
          <w:i/>
          <w:spacing w:val="-2"/>
          <w:sz w:val="20"/>
        </w:rPr>
        <w:t>вы</w:t>
      </w:r>
      <w:r>
        <w:rPr>
          <w:i/>
          <w:spacing w:val="-4"/>
          <w:sz w:val="20"/>
        </w:rPr>
        <w:t> </w:t>
      </w:r>
      <w:r>
        <w:rPr>
          <w:i/>
          <w:spacing w:val="-2"/>
          <w:sz w:val="20"/>
        </w:rPr>
        <w:t>находитесь</w:t>
      </w:r>
      <w:r>
        <w:rPr>
          <w:i/>
          <w:spacing w:val="-4"/>
          <w:sz w:val="20"/>
        </w:rPr>
        <w:t> </w:t>
      </w:r>
      <w:r>
        <w:rPr>
          <w:i/>
          <w:spacing w:val="-2"/>
          <w:sz w:val="20"/>
        </w:rPr>
        <w:t>в</w:t>
      </w:r>
      <w:r>
        <w:rPr>
          <w:i/>
          <w:spacing w:val="-4"/>
          <w:sz w:val="20"/>
        </w:rPr>
        <w:t> </w:t>
      </w:r>
      <w:r>
        <w:rPr>
          <w:i/>
          <w:spacing w:val="-2"/>
          <w:sz w:val="20"/>
        </w:rPr>
        <w:t>аэропорту,</w:t>
      </w:r>
      <w:r>
        <w:rPr>
          <w:i/>
          <w:spacing w:val="-4"/>
          <w:sz w:val="20"/>
        </w:rPr>
        <w:t> </w:t>
      </w:r>
      <w:r>
        <w:rPr>
          <w:i/>
          <w:spacing w:val="-2"/>
          <w:sz w:val="20"/>
        </w:rPr>
        <w:t>где</w:t>
      </w:r>
      <w:r>
        <w:rPr>
          <w:i/>
          <w:spacing w:val="-4"/>
          <w:sz w:val="20"/>
        </w:rPr>
        <w:t> </w:t>
      </w:r>
      <w:r>
        <w:rPr>
          <w:i/>
          <w:spacing w:val="-2"/>
          <w:sz w:val="20"/>
        </w:rPr>
        <w:t>одновременно</w:t>
      </w:r>
      <w:r>
        <w:rPr>
          <w:i/>
          <w:spacing w:val="-4"/>
          <w:sz w:val="20"/>
        </w:rPr>
        <w:t> </w:t>
      </w:r>
      <w:r>
        <w:rPr>
          <w:i/>
          <w:spacing w:val="-2"/>
          <w:sz w:val="20"/>
        </w:rPr>
        <w:t>приземли- </w:t>
      </w:r>
      <w:r>
        <w:rPr>
          <w:i/>
          <w:sz w:val="20"/>
        </w:rPr>
        <w:t>лось</w:t>
      </w:r>
      <w:r>
        <w:rPr>
          <w:i/>
          <w:spacing w:val="-10"/>
          <w:sz w:val="20"/>
        </w:rPr>
        <w:t> </w:t>
      </w:r>
      <w:r>
        <w:rPr>
          <w:i/>
          <w:sz w:val="20"/>
        </w:rPr>
        <w:t>несколько</w:t>
      </w:r>
      <w:r>
        <w:rPr>
          <w:i/>
          <w:spacing w:val="-10"/>
          <w:sz w:val="20"/>
        </w:rPr>
        <w:t> </w:t>
      </w:r>
      <w:r>
        <w:rPr>
          <w:i/>
          <w:sz w:val="20"/>
        </w:rPr>
        <w:t>самолетов</w:t>
      </w:r>
      <w:r>
        <w:rPr>
          <w:i/>
          <w:spacing w:val="-10"/>
          <w:sz w:val="20"/>
        </w:rPr>
        <w:t> </w:t>
      </w:r>
      <w:r>
        <w:rPr>
          <w:i/>
          <w:sz w:val="20"/>
        </w:rPr>
        <w:t>из</w:t>
      </w:r>
      <w:r>
        <w:rPr>
          <w:i/>
          <w:spacing w:val="-10"/>
          <w:sz w:val="20"/>
        </w:rPr>
        <w:t> </w:t>
      </w:r>
      <w:r>
        <w:rPr>
          <w:i/>
          <w:sz w:val="20"/>
        </w:rPr>
        <w:t>разных</w:t>
      </w:r>
      <w:r>
        <w:rPr>
          <w:i/>
          <w:spacing w:val="-9"/>
          <w:sz w:val="20"/>
        </w:rPr>
        <w:t> </w:t>
      </w:r>
      <w:r>
        <w:rPr>
          <w:i/>
          <w:sz w:val="20"/>
        </w:rPr>
        <w:t>стран.</w:t>
      </w:r>
      <w:r>
        <w:rPr>
          <w:i/>
          <w:spacing w:val="-10"/>
          <w:sz w:val="20"/>
        </w:rPr>
        <w:t> </w:t>
      </w:r>
      <w:r>
        <w:rPr>
          <w:i/>
          <w:sz w:val="20"/>
        </w:rPr>
        <w:t>Среди</w:t>
      </w:r>
      <w:r>
        <w:rPr>
          <w:i/>
          <w:spacing w:val="-10"/>
          <w:sz w:val="20"/>
        </w:rPr>
        <w:t> </w:t>
      </w:r>
      <w:r>
        <w:rPr>
          <w:i/>
          <w:sz w:val="20"/>
        </w:rPr>
        <w:t>большого</w:t>
      </w:r>
      <w:r>
        <w:rPr>
          <w:i/>
          <w:spacing w:val="-10"/>
          <w:sz w:val="20"/>
        </w:rPr>
        <w:t> </w:t>
      </w:r>
      <w:r>
        <w:rPr>
          <w:i/>
          <w:sz w:val="20"/>
        </w:rPr>
        <w:t>количества</w:t>
      </w:r>
      <w:r>
        <w:rPr>
          <w:i/>
          <w:spacing w:val="-10"/>
          <w:sz w:val="20"/>
        </w:rPr>
        <w:t> </w:t>
      </w:r>
      <w:r>
        <w:rPr>
          <w:i/>
          <w:sz w:val="20"/>
        </w:rPr>
        <w:t>пассажиров вам</w:t>
      </w:r>
      <w:r>
        <w:rPr>
          <w:i/>
          <w:spacing w:val="-10"/>
          <w:sz w:val="20"/>
        </w:rPr>
        <w:t> </w:t>
      </w:r>
      <w:r>
        <w:rPr>
          <w:i/>
          <w:sz w:val="20"/>
        </w:rPr>
        <w:t>необходимо</w:t>
      </w:r>
      <w:r>
        <w:rPr>
          <w:i/>
          <w:spacing w:val="-10"/>
          <w:sz w:val="20"/>
        </w:rPr>
        <w:t> </w:t>
      </w:r>
      <w:r>
        <w:rPr>
          <w:i/>
          <w:sz w:val="20"/>
        </w:rPr>
        <w:t>найти</w:t>
      </w:r>
      <w:r>
        <w:rPr>
          <w:i/>
          <w:spacing w:val="-10"/>
          <w:sz w:val="20"/>
        </w:rPr>
        <w:t> </w:t>
      </w:r>
      <w:r>
        <w:rPr>
          <w:i/>
          <w:sz w:val="20"/>
        </w:rPr>
        <w:t>своего</w:t>
      </w:r>
      <w:r>
        <w:rPr>
          <w:i/>
          <w:spacing w:val="-10"/>
          <w:sz w:val="20"/>
        </w:rPr>
        <w:t> </w:t>
      </w:r>
      <w:r>
        <w:rPr>
          <w:i/>
          <w:sz w:val="20"/>
        </w:rPr>
        <w:t>земляка.</w:t>
      </w:r>
      <w:r>
        <w:rPr>
          <w:i/>
          <w:spacing w:val="-10"/>
          <w:sz w:val="20"/>
        </w:rPr>
        <w:t> </w:t>
      </w:r>
      <w:r>
        <w:rPr>
          <w:i/>
          <w:sz w:val="20"/>
        </w:rPr>
        <w:t>Узнать</w:t>
      </w:r>
      <w:r>
        <w:rPr>
          <w:i/>
          <w:spacing w:val="-10"/>
          <w:sz w:val="20"/>
        </w:rPr>
        <w:t> </w:t>
      </w:r>
      <w:r>
        <w:rPr>
          <w:i/>
          <w:sz w:val="20"/>
        </w:rPr>
        <w:t>его</w:t>
      </w:r>
      <w:r>
        <w:rPr>
          <w:i/>
          <w:spacing w:val="-10"/>
          <w:sz w:val="20"/>
        </w:rPr>
        <w:t> </w:t>
      </w:r>
      <w:r>
        <w:rPr>
          <w:i/>
          <w:sz w:val="20"/>
        </w:rPr>
        <w:t>можно</w:t>
      </w:r>
      <w:r>
        <w:rPr>
          <w:i/>
          <w:spacing w:val="-10"/>
          <w:sz w:val="20"/>
        </w:rPr>
        <w:t> </w:t>
      </w:r>
      <w:r>
        <w:rPr>
          <w:i/>
          <w:sz w:val="20"/>
        </w:rPr>
        <w:t>только</w:t>
      </w:r>
      <w:r>
        <w:rPr>
          <w:i/>
          <w:spacing w:val="-10"/>
          <w:sz w:val="20"/>
        </w:rPr>
        <w:t> </w:t>
      </w:r>
      <w:r>
        <w:rPr>
          <w:i/>
          <w:sz w:val="20"/>
        </w:rPr>
        <w:t>по</w:t>
      </w:r>
      <w:r>
        <w:rPr>
          <w:i/>
          <w:spacing w:val="-10"/>
          <w:sz w:val="20"/>
        </w:rPr>
        <w:t> </w:t>
      </w:r>
      <w:r>
        <w:rPr>
          <w:i/>
          <w:sz w:val="20"/>
        </w:rPr>
        <w:t>традиционному приветствию, принятому в вашей культуре. Тот, кто поприветствует вас таким же образом, и есть ваш земляк. Разговаривать при этом не разрешается.</w:t>
      </w:r>
    </w:p>
    <w:p>
      <w:pPr>
        <w:spacing w:line="228" w:lineRule="exact" w:before="56"/>
        <w:ind w:left="425" w:right="0" w:firstLine="0"/>
        <w:jc w:val="both"/>
        <w:rPr>
          <w:b/>
          <w:sz w:val="20"/>
        </w:rPr>
      </w:pPr>
      <w:r>
        <w:rPr>
          <w:b/>
          <w:spacing w:val="-2"/>
          <w:sz w:val="20"/>
        </w:rPr>
        <w:t>Ход</w:t>
      </w:r>
      <w:r>
        <w:rPr>
          <w:b/>
          <w:spacing w:val="-7"/>
          <w:sz w:val="20"/>
        </w:rPr>
        <w:t> </w:t>
      </w:r>
      <w:r>
        <w:rPr>
          <w:b/>
          <w:spacing w:val="-2"/>
          <w:sz w:val="20"/>
        </w:rPr>
        <w:t>упражнения</w:t>
      </w:r>
    </w:p>
    <w:p>
      <w:pPr>
        <w:pStyle w:val="BodyText"/>
        <w:spacing w:line="235" w:lineRule="auto" w:before="2"/>
      </w:pPr>
      <w:r>
        <w:rPr/>
        <w:t>Участники получают карточки, на которых указано, к какой культуре они при- надлежат и каким образом в этой культуре принято приветствовать друг друга. По сигналу ведущего они начинают искать земляка.</w:t>
      </w:r>
    </w:p>
    <w:p>
      <w:pPr>
        <w:pStyle w:val="BodyText"/>
        <w:spacing w:line="235" w:lineRule="auto" w:before="2"/>
      </w:pPr>
      <w:r>
        <w:rPr/>
        <w:t>После</w:t>
      </w:r>
      <w:r>
        <w:rPr>
          <w:spacing w:val="-12"/>
        </w:rPr>
        <w:t> </w:t>
      </w:r>
      <w:r>
        <w:rPr/>
        <w:t>того</w:t>
      </w:r>
      <w:r>
        <w:rPr>
          <w:spacing w:val="-12"/>
        </w:rPr>
        <w:t> </w:t>
      </w:r>
      <w:r>
        <w:rPr/>
        <w:t>как</w:t>
      </w:r>
      <w:r>
        <w:rPr>
          <w:spacing w:val="-12"/>
        </w:rPr>
        <w:t> </w:t>
      </w:r>
      <w:r>
        <w:rPr/>
        <w:t>все</w:t>
      </w:r>
      <w:r>
        <w:rPr>
          <w:spacing w:val="-12"/>
        </w:rPr>
        <w:t> </w:t>
      </w:r>
      <w:r>
        <w:rPr/>
        <w:t>земляки</w:t>
      </w:r>
      <w:r>
        <w:rPr>
          <w:spacing w:val="-12"/>
        </w:rPr>
        <w:t> </w:t>
      </w:r>
      <w:r>
        <w:rPr/>
        <w:t>нашлись,</w:t>
      </w:r>
      <w:r>
        <w:rPr>
          <w:spacing w:val="-12"/>
        </w:rPr>
        <w:t> </w:t>
      </w:r>
      <w:r>
        <w:rPr/>
        <w:t>ведущий</w:t>
      </w:r>
      <w:r>
        <w:rPr>
          <w:spacing w:val="-12"/>
        </w:rPr>
        <w:t> </w:t>
      </w:r>
      <w:r>
        <w:rPr/>
        <w:t>просит</w:t>
      </w:r>
      <w:r>
        <w:rPr>
          <w:spacing w:val="-12"/>
        </w:rPr>
        <w:t> </w:t>
      </w:r>
      <w:r>
        <w:rPr/>
        <w:t>всех</w:t>
      </w:r>
      <w:r>
        <w:rPr>
          <w:spacing w:val="-12"/>
        </w:rPr>
        <w:t> </w:t>
      </w:r>
      <w:r>
        <w:rPr/>
        <w:t>озвучить,</w:t>
      </w:r>
      <w:r>
        <w:rPr>
          <w:spacing w:val="-12"/>
        </w:rPr>
        <w:t> </w:t>
      </w:r>
      <w:r>
        <w:rPr/>
        <w:t>к</w:t>
      </w:r>
      <w:r>
        <w:rPr>
          <w:spacing w:val="-12"/>
        </w:rPr>
        <w:t> </w:t>
      </w:r>
      <w:r>
        <w:rPr/>
        <w:t>какой</w:t>
      </w:r>
      <w:r>
        <w:rPr>
          <w:spacing w:val="-12"/>
        </w:rPr>
        <w:t> </w:t>
      </w:r>
      <w:r>
        <w:rPr/>
        <w:t>куль- туре они принадлежат.</w:t>
      </w:r>
    </w:p>
    <w:p>
      <w:pPr>
        <w:spacing w:line="228" w:lineRule="exact" w:before="54"/>
        <w:ind w:left="425" w:right="0" w:firstLine="0"/>
        <w:jc w:val="left"/>
        <w:rPr>
          <w:sz w:val="20"/>
        </w:rPr>
      </w:pPr>
      <w:r>
        <w:rPr>
          <w:b/>
          <w:spacing w:val="-2"/>
          <w:sz w:val="20"/>
        </w:rPr>
        <w:t>Обсуждение</w:t>
      </w:r>
      <w:r>
        <w:rPr>
          <w:spacing w:val="-2"/>
          <w:sz w:val="20"/>
        </w:rPr>
        <w:t>:</w:t>
      </w:r>
    </w:p>
    <w:p>
      <w:pPr>
        <w:pStyle w:val="ListParagraph"/>
        <w:numPr>
          <w:ilvl w:val="0"/>
          <w:numId w:val="287"/>
        </w:numPr>
        <w:tabs>
          <w:tab w:pos="575" w:val="left" w:leader="none"/>
        </w:tabs>
        <w:spacing w:line="228" w:lineRule="exact" w:before="0" w:after="0"/>
        <w:ind w:left="575" w:right="0" w:hanging="150"/>
        <w:jc w:val="left"/>
        <w:rPr>
          <w:i/>
          <w:sz w:val="20"/>
        </w:rPr>
      </w:pPr>
      <w:r>
        <w:rPr>
          <w:i/>
          <w:sz w:val="20"/>
        </w:rPr>
        <w:t>Какие</w:t>
      </w:r>
      <w:r>
        <w:rPr>
          <w:i/>
          <w:spacing w:val="-5"/>
          <w:sz w:val="20"/>
        </w:rPr>
        <w:t> </w:t>
      </w:r>
      <w:r>
        <w:rPr>
          <w:i/>
          <w:sz w:val="20"/>
        </w:rPr>
        <w:t>чувства</w:t>
      </w:r>
      <w:r>
        <w:rPr>
          <w:i/>
          <w:spacing w:val="-5"/>
          <w:sz w:val="20"/>
        </w:rPr>
        <w:t> </w:t>
      </w:r>
      <w:r>
        <w:rPr>
          <w:i/>
          <w:sz w:val="20"/>
        </w:rPr>
        <w:t>возникают,</w:t>
      </w:r>
      <w:r>
        <w:rPr>
          <w:i/>
          <w:spacing w:val="-5"/>
          <w:sz w:val="20"/>
        </w:rPr>
        <w:t> </w:t>
      </w:r>
      <w:r>
        <w:rPr>
          <w:i/>
          <w:sz w:val="20"/>
        </w:rPr>
        <w:t>когда</w:t>
      </w:r>
      <w:r>
        <w:rPr>
          <w:i/>
          <w:spacing w:val="-5"/>
          <w:sz w:val="20"/>
        </w:rPr>
        <w:t> </w:t>
      </w:r>
      <w:r>
        <w:rPr>
          <w:i/>
          <w:sz w:val="20"/>
        </w:rPr>
        <w:t>удается</w:t>
      </w:r>
      <w:r>
        <w:rPr>
          <w:i/>
          <w:spacing w:val="-5"/>
          <w:sz w:val="20"/>
        </w:rPr>
        <w:t> </w:t>
      </w:r>
      <w:r>
        <w:rPr>
          <w:i/>
          <w:sz w:val="20"/>
        </w:rPr>
        <w:t>найти</w:t>
      </w:r>
      <w:r>
        <w:rPr>
          <w:i/>
          <w:spacing w:val="-5"/>
          <w:sz w:val="20"/>
        </w:rPr>
        <w:t> </w:t>
      </w:r>
      <w:r>
        <w:rPr>
          <w:i/>
          <w:spacing w:val="-2"/>
          <w:sz w:val="20"/>
        </w:rPr>
        <w:t>земляка?</w:t>
      </w:r>
    </w:p>
    <w:p>
      <w:pPr>
        <w:pStyle w:val="BodyText"/>
        <w:spacing w:line="235" w:lineRule="auto" w:before="56"/>
      </w:pPr>
      <w:r>
        <w:rPr>
          <w:b/>
        </w:rPr>
        <w:t>На что ведущему следует обратить внимание</w:t>
      </w:r>
      <w:r>
        <w:rPr/>
        <w:t>. Участники могут выполнять упражнение</w:t>
      </w:r>
      <w:r>
        <w:rPr>
          <w:spacing w:val="-6"/>
        </w:rPr>
        <w:t> </w:t>
      </w:r>
      <w:r>
        <w:rPr/>
        <w:t>«вперемешку»,</w:t>
      </w:r>
      <w:r>
        <w:rPr>
          <w:spacing w:val="-7"/>
        </w:rPr>
        <w:t> </w:t>
      </w:r>
      <w:r>
        <w:rPr/>
        <w:t>по</w:t>
      </w:r>
      <w:r>
        <w:rPr>
          <w:spacing w:val="-6"/>
        </w:rPr>
        <w:t> </w:t>
      </w:r>
      <w:r>
        <w:rPr/>
        <w:t>очереди</w:t>
      </w:r>
      <w:r>
        <w:rPr>
          <w:spacing w:val="-7"/>
        </w:rPr>
        <w:t> </w:t>
      </w:r>
      <w:r>
        <w:rPr/>
        <w:t>с</w:t>
      </w:r>
      <w:r>
        <w:rPr>
          <w:spacing w:val="-6"/>
        </w:rPr>
        <w:t> </w:t>
      </w:r>
      <w:r>
        <w:rPr/>
        <w:t>каждым,</w:t>
      </w:r>
      <w:r>
        <w:rPr>
          <w:spacing w:val="-7"/>
        </w:rPr>
        <w:t> </w:t>
      </w:r>
      <w:r>
        <w:rPr/>
        <w:t>или</w:t>
      </w:r>
      <w:r>
        <w:rPr>
          <w:spacing w:val="-6"/>
        </w:rPr>
        <w:t> </w:t>
      </w:r>
      <w:r>
        <w:rPr/>
        <w:t>же,</w:t>
      </w:r>
      <w:r>
        <w:rPr>
          <w:spacing w:val="-7"/>
        </w:rPr>
        <w:t> </w:t>
      </w:r>
      <w:r>
        <w:rPr/>
        <w:t>не</w:t>
      </w:r>
      <w:r>
        <w:rPr>
          <w:spacing w:val="-6"/>
        </w:rPr>
        <w:t> </w:t>
      </w:r>
      <w:r>
        <w:rPr/>
        <w:t>договариваясь,</w:t>
      </w:r>
      <w:r>
        <w:rPr>
          <w:spacing w:val="-7"/>
        </w:rPr>
        <w:t> </w:t>
      </w:r>
      <w:r>
        <w:rPr/>
        <w:t>встать</w:t>
      </w:r>
      <w:r>
        <w:rPr>
          <w:spacing w:val="-6"/>
        </w:rPr>
        <w:t> </w:t>
      </w:r>
      <w:r>
        <w:rPr/>
        <w:t>в круг и продемонстрировать свое приветствие. Это решение группа должна принять самостоятельно.</w:t>
      </w:r>
      <w:r>
        <w:rPr>
          <w:spacing w:val="-6"/>
        </w:rPr>
        <w:t> </w:t>
      </w:r>
      <w:r>
        <w:rPr/>
        <w:t>Упражнение можно усложнить, если ввести сходные приветствия. Например,</w:t>
      </w:r>
      <w:r>
        <w:rPr>
          <w:spacing w:val="-12"/>
        </w:rPr>
        <w:t> </w:t>
      </w:r>
      <w:r>
        <w:rPr/>
        <w:t>у</w:t>
      </w:r>
      <w:r>
        <w:rPr>
          <w:spacing w:val="-12"/>
        </w:rPr>
        <w:t> </w:t>
      </w:r>
      <w:r>
        <w:rPr/>
        <w:t>испанцев,</w:t>
      </w:r>
      <w:r>
        <w:rPr>
          <w:spacing w:val="-12"/>
        </w:rPr>
        <w:t> </w:t>
      </w:r>
      <w:r>
        <w:rPr/>
        <w:t>как</w:t>
      </w:r>
      <w:r>
        <w:rPr>
          <w:spacing w:val="-13"/>
        </w:rPr>
        <w:t> </w:t>
      </w:r>
      <w:r>
        <w:rPr/>
        <w:t>и</w:t>
      </w:r>
      <w:r>
        <w:rPr>
          <w:spacing w:val="-12"/>
        </w:rPr>
        <w:t> </w:t>
      </w:r>
      <w:r>
        <w:rPr/>
        <w:t>у</w:t>
      </w:r>
      <w:r>
        <w:rPr>
          <w:spacing w:val="-12"/>
        </w:rPr>
        <w:t> </w:t>
      </w:r>
      <w:r>
        <w:rPr/>
        <w:t>французов,</w:t>
      </w:r>
      <w:r>
        <w:rPr>
          <w:spacing w:val="-12"/>
        </w:rPr>
        <w:t> </w:t>
      </w:r>
      <w:r>
        <w:rPr/>
        <w:t>принят</w:t>
      </w:r>
      <w:r>
        <w:rPr>
          <w:spacing w:val="-12"/>
        </w:rPr>
        <w:t> </w:t>
      </w:r>
      <w:r>
        <w:rPr/>
        <w:t>двукратный</w:t>
      </w:r>
      <w:r>
        <w:rPr>
          <w:spacing w:val="-12"/>
        </w:rPr>
        <w:t> </w:t>
      </w:r>
      <w:r>
        <w:rPr/>
        <w:t>поцелуй,</w:t>
      </w:r>
      <w:r>
        <w:rPr>
          <w:spacing w:val="-12"/>
        </w:rPr>
        <w:t> </w:t>
      </w:r>
      <w:r>
        <w:rPr/>
        <w:t>но</w:t>
      </w:r>
      <w:r>
        <w:rPr>
          <w:spacing w:val="-12"/>
        </w:rPr>
        <w:t> </w:t>
      </w:r>
      <w:r>
        <w:rPr/>
        <w:t>у</w:t>
      </w:r>
      <w:r>
        <w:rPr>
          <w:spacing w:val="-12"/>
        </w:rPr>
        <w:t> </w:t>
      </w:r>
      <w:r>
        <w:rPr/>
        <w:t>испанцев с прикосновением к партнеру.</w:t>
      </w:r>
    </w:p>
    <w:p>
      <w:pPr>
        <w:spacing w:line="228" w:lineRule="exact" w:before="114"/>
        <w:ind w:left="1624" w:right="0" w:firstLine="0"/>
        <w:jc w:val="both"/>
        <w:rPr>
          <w:b/>
          <w:sz w:val="20"/>
        </w:rPr>
      </w:pPr>
      <w:r>
        <w:rPr>
          <w:b/>
          <w:sz w:val="20"/>
        </w:rPr>
        <w:t>Карточки</w:t>
      </w:r>
      <w:r>
        <w:rPr>
          <w:b/>
          <w:spacing w:val="-7"/>
          <w:sz w:val="20"/>
        </w:rPr>
        <w:t> </w:t>
      </w:r>
      <w:r>
        <w:rPr>
          <w:b/>
          <w:sz w:val="20"/>
        </w:rPr>
        <w:t>для</w:t>
      </w:r>
      <w:r>
        <w:rPr>
          <w:b/>
          <w:spacing w:val="-6"/>
          <w:sz w:val="20"/>
        </w:rPr>
        <w:t> </w:t>
      </w:r>
      <w:r>
        <w:rPr>
          <w:b/>
          <w:sz w:val="20"/>
        </w:rPr>
        <w:t>упражнения</w:t>
      </w:r>
      <w:r>
        <w:rPr>
          <w:b/>
          <w:spacing w:val="-6"/>
          <w:sz w:val="20"/>
        </w:rPr>
        <w:t> </w:t>
      </w:r>
      <w:r>
        <w:rPr>
          <w:b/>
          <w:sz w:val="20"/>
        </w:rPr>
        <w:t>«Встреча</w:t>
      </w:r>
      <w:r>
        <w:rPr>
          <w:b/>
          <w:spacing w:val="-6"/>
          <w:sz w:val="20"/>
        </w:rPr>
        <w:t> </w:t>
      </w:r>
      <w:r>
        <w:rPr>
          <w:b/>
          <w:spacing w:val="-2"/>
          <w:sz w:val="20"/>
        </w:rPr>
        <w:t>земляков»</w:t>
      </w:r>
    </w:p>
    <w:p>
      <w:pPr>
        <w:pStyle w:val="ListParagraph"/>
        <w:numPr>
          <w:ilvl w:val="0"/>
          <w:numId w:val="288"/>
        </w:numPr>
        <w:tabs>
          <w:tab w:pos="425" w:val="left" w:leader="none"/>
        </w:tabs>
        <w:spacing w:line="235" w:lineRule="auto" w:before="2" w:after="0"/>
        <w:ind w:left="425" w:right="139" w:hanging="284"/>
        <w:jc w:val="both"/>
        <w:rPr>
          <w:i/>
          <w:sz w:val="20"/>
        </w:rPr>
      </w:pPr>
      <w:r>
        <w:rPr>
          <w:i/>
          <w:sz w:val="20"/>
        </w:rPr>
        <w:t>Вы</w:t>
      </w:r>
      <w:r>
        <w:rPr>
          <w:i/>
          <w:spacing w:val="-13"/>
          <w:sz w:val="20"/>
        </w:rPr>
        <w:t> </w:t>
      </w:r>
      <w:r>
        <w:rPr>
          <w:i/>
          <w:sz w:val="20"/>
        </w:rPr>
        <w:t>–</w:t>
      </w:r>
      <w:r>
        <w:rPr>
          <w:i/>
          <w:spacing w:val="-12"/>
          <w:sz w:val="20"/>
        </w:rPr>
        <w:t> </w:t>
      </w:r>
      <w:r>
        <w:rPr>
          <w:i/>
          <w:sz w:val="20"/>
        </w:rPr>
        <w:t>представитель</w:t>
      </w:r>
      <w:r>
        <w:rPr>
          <w:i/>
          <w:spacing w:val="-13"/>
          <w:sz w:val="20"/>
        </w:rPr>
        <w:t> </w:t>
      </w:r>
      <w:r>
        <w:rPr>
          <w:i/>
          <w:sz w:val="20"/>
        </w:rPr>
        <w:t>французской</w:t>
      </w:r>
      <w:r>
        <w:rPr>
          <w:i/>
          <w:spacing w:val="-12"/>
          <w:sz w:val="20"/>
        </w:rPr>
        <w:t> </w:t>
      </w:r>
      <w:r>
        <w:rPr>
          <w:i/>
          <w:sz w:val="20"/>
        </w:rPr>
        <w:t>культуры,</w:t>
      </w:r>
      <w:r>
        <w:rPr>
          <w:i/>
          <w:spacing w:val="-13"/>
          <w:sz w:val="20"/>
        </w:rPr>
        <w:t> </w:t>
      </w:r>
      <w:r>
        <w:rPr>
          <w:i/>
          <w:sz w:val="20"/>
        </w:rPr>
        <w:t>ваше</w:t>
      </w:r>
      <w:r>
        <w:rPr>
          <w:i/>
          <w:spacing w:val="-12"/>
          <w:sz w:val="20"/>
        </w:rPr>
        <w:t> </w:t>
      </w:r>
      <w:r>
        <w:rPr>
          <w:i/>
          <w:sz w:val="20"/>
        </w:rPr>
        <w:t>приветствие</w:t>
      </w:r>
      <w:r>
        <w:rPr>
          <w:i/>
          <w:spacing w:val="-13"/>
          <w:sz w:val="20"/>
        </w:rPr>
        <w:t> </w:t>
      </w:r>
      <w:r>
        <w:rPr>
          <w:i/>
          <w:sz w:val="20"/>
        </w:rPr>
        <w:t>–</w:t>
      </w:r>
      <w:r>
        <w:rPr>
          <w:i/>
          <w:spacing w:val="-12"/>
          <w:sz w:val="20"/>
        </w:rPr>
        <w:t> </w:t>
      </w:r>
      <w:r>
        <w:rPr>
          <w:i/>
          <w:sz w:val="20"/>
        </w:rPr>
        <w:t>двукратный</w:t>
      </w:r>
      <w:r>
        <w:rPr>
          <w:i/>
          <w:spacing w:val="-13"/>
          <w:sz w:val="20"/>
        </w:rPr>
        <w:t> </w:t>
      </w:r>
      <w:r>
        <w:rPr>
          <w:i/>
          <w:sz w:val="20"/>
        </w:rPr>
        <w:t>по- целуй,</w:t>
      </w:r>
      <w:r>
        <w:rPr>
          <w:i/>
          <w:spacing w:val="-1"/>
          <w:sz w:val="20"/>
        </w:rPr>
        <w:t> </w:t>
      </w:r>
      <w:r>
        <w:rPr>
          <w:i/>
          <w:sz w:val="20"/>
        </w:rPr>
        <w:t>причем</w:t>
      </w:r>
      <w:r>
        <w:rPr>
          <w:i/>
          <w:spacing w:val="-1"/>
          <w:sz w:val="20"/>
        </w:rPr>
        <w:t> </w:t>
      </w:r>
      <w:r>
        <w:rPr>
          <w:i/>
          <w:sz w:val="20"/>
        </w:rPr>
        <w:t>партнеры</w:t>
      </w:r>
      <w:r>
        <w:rPr>
          <w:i/>
          <w:spacing w:val="-1"/>
          <w:sz w:val="20"/>
        </w:rPr>
        <w:t> </w:t>
      </w:r>
      <w:r>
        <w:rPr>
          <w:i/>
          <w:sz w:val="20"/>
        </w:rPr>
        <w:t>при</w:t>
      </w:r>
      <w:r>
        <w:rPr>
          <w:i/>
          <w:spacing w:val="-1"/>
          <w:sz w:val="20"/>
        </w:rPr>
        <w:t> </w:t>
      </w:r>
      <w:r>
        <w:rPr>
          <w:i/>
          <w:sz w:val="20"/>
        </w:rPr>
        <w:t>этом</w:t>
      </w:r>
      <w:r>
        <w:rPr>
          <w:i/>
          <w:spacing w:val="-1"/>
          <w:sz w:val="20"/>
        </w:rPr>
        <w:t> </w:t>
      </w:r>
      <w:r>
        <w:rPr>
          <w:i/>
          <w:sz w:val="20"/>
        </w:rPr>
        <w:t>не</w:t>
      </w:r>
      <w:r>
        <w:rPr>
          <w:i/>
          <w:spacing w:val="-1"/>
          <w:sz w:val="20"/>
        </w:rPr>
        <w:t> </w:t>
      </w:r>
      <w:r>
        <w:rPr>
          <w:i/>
          <w:sz w:val="20"/>
        </w:rPr>
        <w:t>касаются</w:t>
      </w:r>
      <w:r>
        <w:rPr>
          <w:i/>
          <w:spacing w:val="-1"/>
          <w:sz w:val="20"/>
        </w:rPr>
        <w:t> </w:t>
      </w:r>
      <w:r>
        <w:rPr>
          <w:i/>
          <w:sz w:val="20"/>
        </w:rPr>
        <w:t>друг</w:t>
      </w:r>
      <w:r>
        <w:rPr>
          <w:i/>
          <w:spacing w:val="-1"/>
          <w:sz w:val="20"/>
        </w:rPr>
        <w:t> </w:t>
      </w:r>
      <w:r>
        <w:rPr>
          <w:i/>
          <w:sz w:val="20"/>
        </w:rPr>
        <w:t>друга,</w:t>
      </w:r>
      <w:r>
        <w:rPr>
          <w:i/>
          <w:spacing w:val="-1"/>
          <w:sz w:val="20"/>
        </w:rPr>
        <w:t> </w:t>
      </w:r>
      <w:r>
        <w:rPr>
          <w:i/>
          <w:sz w:val="20"/>
        </w:rPr>
        <w:t>а</w:t>
      </w:r>
      <w:r>
        <w:rPr>
          <w:i/>
          <w:spacing w:val="-1"/>
          <w:sz w:val="20"/>
        </w:rPr>
        <w:t> </w:t>
      </w:r>
      <w:r>
        <w:rPr>
          <w:i/>
          <w:sz w:val="20"/>
        </w:rPr>
        <w:t>как</w:t>
      </w:r>
      <w:r>
        <w:rPr>
          <w:i/>
          <w:spacing w:val="-1"/>
          <w:sz w:val="20"/>
        </w:rPr>
        <w:t> </w:t>
      </w:r>
      <w:r>
        <w:rPr>
          <w:i/>
          <w:sz w:val="20"/>
        </w:rPr>
        <w:t>бы</w:t>
      </w:r>
      <w:r>
        <w:rPr>
          <w:i/>
          <w:spacing w:val="-1"/>
          <w:sz w:val="20"/>
        </w:rPr>
        <w:t> </w:t>
      </w:r>
      <w:r>
        <w:rPr>
          <w:i/>
          <w:sz w:val="20"/>
        </w:rPr>
        <w:t>имитируют поцелуй «в воздух».</w:t>
      </w:r>
    </w:p>
    <w:p>
      <w:pPr>
        <w:pStyle w:val="ListParagraph"/>
        <w:numPr>
          <w:ilvl w:val="0"/>
          <w:numId w:val="288"/>
        </w:numPr>
        <w:tabs>
          <w:tab w:pos="425" w:val="left" w:leader="none"/>
        </w:tabs>
        <w:spacing w:line="235" w:lineRule="auto" w:before="1" w:after="0"/>
        <w:ind w:left="425" w:right="139" w:hanging="284"/>
        <w:jc w:val="both"/>
        <w:rPr>
          <w:i/>
          <w:sz w:val="20"/>
        </w:rPr>
      </w:pPr>
      <w:r>
        <w:rPr>
          <w:i/>
          <w:sz w:val="20"/>
        </w:rPr>
        <w:t>Вы</w:t>
      </w:r>
      <w:r>
        <w:rPr>
          <w:i/>
          <w:spacing w:val="-5"/>
          <w:sz w:val="20"/>
        </w:rPr>
        <w:t> </w:t>
      </w:r>
      <w:r>
        <w:rPr>
          <w:i/>
          <w:sz w:val="20"/>
        </w:rPr>
        <w:t>–</w:t>
      </w:r>
      <w:r>
        <w:rPr>
          <w:i/>
          <w:spacing w:val="-6"/>
          <w:sz w:val="20"/>
        </w:rPr>
        <w:t> </w:t>
      </w:r>
      <w:r>
        <w:rPr>
          <w:i/>
          <w:sz w:val="20"/>
        </w:rPr>
        <w:t>представитель</w:t>
      </w:r>
      <w:r>
        <w:rPr>
          <w:i/>
          <w:spacing w:val="-6"/>
          <w:sz w:val="20"/>
        </w:rPr>
        <w:t> </w:t>
      </w:r>
      <w:r>
        <w:rPr>
          <w:i/>
          <w:sz w:val="20"/>
        </w:rPr>
        <w:t>культуры</w:t>
      </w:r>
      <w:r>
        <w:rPr>
          <w:i/>
          <w:spacing w:val="-6"/>
          <w:sz w:val="20"/>
        </w:rPr>
        <w:t> </w:t>
      </w:r>
      <w:r>
        <w:rPr>
          <w:i/>
          <w:sz w:val="20"/>
        </w:rPr>
        <w:t>США.</w:t>
      </w:r>
      <w:r>
        <w:rPr>
          <w:i/>
          <w:spacing w:val="-6"/>
          <w:sz w:val="20"/>
        </w:rPr>
        <w:t> </w:t>
      </w:r>
      <w:r>
        <w:rPr>
          <w:i/>
          <w:sz w:val="20"/>
        </w:rPr>
        <w:t>Ваше</w:t>
      </w:r>
      <w:r>
        <w:rPr>
          <w:i/>
          <w:spacing w:val="-6"/>
          <w:sz w:val="20"/>
        </w:rPr>
        <w:t> </w:t>
      </w:r>
      <w:r>
        <w:rPr>
          <w:i/>
          <w:sz w:val="20"/>
        </w:rPr>
        <w:t>приветствие:</w:t>
      </w:r>
      <w:r>
        <w:rPr>
          <w:i/>
          <w:spacing w:val="-5"/>
          <w:sz w:val="20"/>
        </w:rPr>
        <w:t> </w:t>
      </w:r>
      <w:r>
        <w:rPr>
          <w:i/>
          <w:sz w:val="20"/>
        </w:rPr>
        <w:t>коротко</w:t>
      </w:r>
      <w:r>
        <w:rPr>
          <w:i/>
          <w:spacing w:val="-6"/>
          <w:sz w:val="20"/>
        </w:rPr>
        <w:t> </w:t>
      </w:r>
      <w:r>
        <w:rPr>
          <w:i/>
          <w:sz w:val="20"/>
        </w:rPr>
        <w:t>сказать</w:t>
      </w:r>
      <w:r>
        <w:rPr>
          <w:i/>
          <w:spacing w:val="-5"/>
          <w:sz w:val="20"/>
        </w:rPr>
        <w:t> </w:t>
      </w:r>
      <w:r>
        <w:rPr>
          <w:i/>
          <w:sz w:val="20"/>
        </w:rPr>
        <w:t>«хел- ло», стоя от партнера на расстоянии примерно 50 см.</w:t>
      </w:r>
    </w:p>
    <w:p>
      <w:pPr>
        <w:pStyle w:val="ListParagraph"/>
        <w:numPr>
          <w:ilvl w:val="0"/>
          <w:numId w:val="288"/>
        </w:numPr>
        <w:tabs>
          <w:tab w:pos="425" w:val="left" w:leader="none"/>
        </w:tabs>
        <w:spacing w:line="235" w:lineRule="auto" w:before="2" w:after="0"/>
        <w:ind w:left="425" w:right="139" w:hanging="284"/>
        <w:jc w:val="both"/>
        <w:rPr>
          <w:i/>
          <w:sz w:val="20"/>
        </w:rPr>
      </w:pPr>
      <w:r>
        <w:rPr>
          <w:i/>
          <w:sz w:val="20"/>
        </w:rPr>
        <w:t>Вы</w:t>
      </w:r>
      <w:r>
        <w:rPr>
          <w:i/>
          <w:spacing w:val="-13"/>
          <w:sz w:val="20"/>
        </w:rPr>
        <w:t> </w:t>
      </w:r>
      <w:r>
        <w:rPr>
          <w:i/>
          <w:sz w:val="20"/>
        </w:rPr>
        <w:t>–</w:t>
      </w:r>
      <w:r>
        <w:rPr>
          <w:i/>
          <w:spacing w:val="-12"/>
          <w:sz w:val="20"/>
        </w:rPr>
        <w:t> </w:t>
      </w:r>
      <w:r>
        <w:rPr>
          <w:i/>
          <w:sz w:val="20"/>
        </w:rPr>
        <w:t>представитель</w:t>
      </w:r>
      <w:r>
        <w:rPr>
          <w:i/>
          <w:spacing w:val="-13"/>
          <w:sz w:val="20"/>
        </w:rPr>
        <w:t> </w:t>
      </w:r>
      <w:r>
        <w:rPr>
          <w:i/>
          <w:sz w:val="20"/>
        </w:rPr>
        <w:t>немецкой</w:t>
      </w:r>
      <w:r>
        <w:rPr>
          <w:i/>
          <w:spacing w:val="-12"/>
          <w:sz w:val="20"/>
        </w:rPr>
        <w:t> </w:t>
      </w:r>
      <w:r>
        <w:rPr>
          <w:i/>
          <w:sz w:val="20"/>
        </w:rPr>
        <w:t>культуры.</w:t>
      </w:r>
      <w:r>
        <w:rPr>
          <w:i/>
          <w:spacing w:val="-13"/>
          <w:sz w:val="20"/>
        </w:rPr>
        <w:t> </w:t>
      </w:r>
      <w:r>
        <w:rPr>
          <w:i/>
          <w:sz w:val="20"/>
        </w:rPr>
        <w:t>Ваше</w:t>
      </w:r>
      <w:r>
        <w:rPr>
          <w:i/>
          <w:spacing w:val="-12"/>
          <w:sz w:val="20"/>
        </w:rPr>
        <w:t> </w:t>
      </w:r>
      <w:r>
        <w:rPr>
          <w:i/>
          <w:sz w:val="20"/>
        </w:rPr>
        <w:t>приветствие:</w:t>
      </w:r>
      <w:r>
        <w:rPr>
          <w:i/>
          <w:spacing w:val="-13"/>
          <w:sz w:val="20"/>
        </w:rPr>
        <w:t> </w:t>
      </w:r>
      <w:r>
        <w:rPr>
          <w:i/>
          <w:sz w:val="20"/>
        </w:rPr>
        <w:t>стоя</w:t>
      </w:r>
      <w:r>
        <w:rPr>
          <w:i/>
          <w:spacing w:val="-12"/>
          <w:sz w:val="20"/>
        </w:rPr>
        <w:t> </w:t>
      </w:r>
      <w:r>
        <w:rPr>
          <w:i/>
          <w:sz w:val="20"/>
        </w:rPr>
        <w:t>на</w:t>
      </w:r>
      <w:r>
        <w:rPr>
          <w:i/>
          <w:spacing w:val="-13"/>
          <w:sz w:val="20"/>
        </w:rPr>
        <w:t> </w:t>
      </w:r>
      <w:r>
        <w:rPr>
          <w:i/>
          <w:sz w:val="20"/>
        </w:rPr>
        <w:t>не</w:t>
      </w:r>
      <w:r>
        <w:rPr>
          <w:i/>
          <w:spacing w:val="-12"/>
          <w:sz w:val="20"/>
        </w:rPr>
        <w:t> </w:t>
      </w:r>
      <w:r>
        <w:rPr>
          <w:i/>
          <w:sz w:val="20"/>
        </w:rPr>
        <w:t>слишком близком расстоянии от партнера, коротко и крепко пожать ему руку.</w:t>
      </w:r>
    </w:p>
    <w:p>
      <w:pPr>
        <w:pStyle w:val="ListParagraph"/>
        <w:numPr>
          <w:ilvl w:val="0"/>
          <w:numId w:val="288"/>
        </w:numPr>
        <w:tabs>
          <w:tab w:pos="425" w:val="left" w:leader="none"/>
        </w:tabs>
        <w:spacing w:line="235" w:lineRule="auto" w:before="1" w:after="0"/>
        <w:ind w:left="425" w:right="139" w:hanging="284"/>
        <w:jc w:val="both"/>
        <w:rPr>
          <w:i/>
          <w:sz w:val="20"/>
        </w:rPr>
      </w:pPr>
      <w:r>
        <w:rPr>
          <w:i/>
          <w:sz w:val="20"/>
        </w:rPr>
        <w:t>Вы</w:t>
      </w:r>
      <w:r>
        <w:rPr>
          <w:i/>
          <w:spacing w:val="-1"/>
          <w:sz w:val="20"/>
        </w:rPr>
        <w:t> </w:t>
      </w:r>
      <w:r>
        <w:rPr>
          <w:i/>
          <w:sz w:val="20"/>
        </w:rPr>
        <w:t>–</w:t>
      </w:r>
      <w:r>
        <w:rPr>
          <w:i/>
          <w:spacing w:val="-1"/>
          <w:sz w:val="20"/>
        </w:rPr>
        <w:t> </w:t>
      </w:r>
      <w:r>
        <w:rPr>
          <w:i/>
          <w:sz w:val="20"/>
        </w:rPr>
        <w:t>представитель</w:t>
      </w:r>
      <w:r>
        <w:rPr>
          <w:i/>
          <w:spacing w:val="-1"/>
          <w:sz w:val="20"/>
        </w:rPr>
        <w:t> </w:t>
      </w:r>
      <w:r>
        <w:rPr>
          <w:i/>
          <w:sz w:val="20"/>
        </w:rPr>
        <w:t>культуры</w:t>
      </w:r>
      <w:r>
        <w:rPr>
          <w:i/>
          <w:spacing w:val="-1"/>
          <w:sz w:val="20"/>
        </w:rPr>
        <w:t> </w:t>
      </w:r>
      <w:r>
        <w:rPr>
          <w:i/>
          <w:sz w:val="20"/>
        </w:rPr>
        <w:t>маори.</w:t>
      </w:r>
      <w:r>
        <w:rPr>
          <w:i/>
          <w:spacing w:val="-1"/>
          <w:sz w:val="20"/>
        </w:rPr>
        <w:t> </w:t>
      </w:r>
      <w:r>
        <w:rPr>
          <w:i/>
          <w:sz w:val="20"/>
        </w:rPr>
        <w:t>Ваше</w:t>
      </w:r>
      <w:r>
        <w:rPr>
          <w:i/>
          <w:spacing w:val="-1"/>
          <w:sz w:val="20"/>
        </w:rPr>
        <w:t> </w:t>
      </w:r>
      <w:r>
        <w:rPr>
          <w:i/>
          <w:sz w:val="20"/>
        </w:rPr>
        <w:t>приветствие:</w:t>
      </w:r>
      <w:r>
        <w:rPr>
          <w:i/>
          <w:spacing w:val="-1"/>
          <w:sz w:val="20"/>
        </w:rPr>
        <w:t> </w:t>
      </w:r>
      <w:r>
        <w:rPr>
          <w:i/>
          <w:sz w:val="20"/>
        </w:rPr>
        <w:t>три</w:t>
      </w:r>
      <w:r>
        <w:rPr>
          <w:i/>
          <w:spacing w:val="-1"/>
          <w:sz w:val="20"/>
        </w:rPr>
        <w:t> </w:t>
      </w:r>
      <w:r>
        <w:rPr>
          <w:i/>
          <w:sz w:val="20"/>
        </w:rPr>
        <w:t>раза</w:t>
      </w:r>
      <w:r>
        <w:rPr>
          <w:i/>
          <w:spacing w:val="-1"/>
          <w:sz w:val="20"/>
        </w:rPr>
        <w:t> </w:t>
      </w:r>
      <w:r>
        <w:rPr>
          <w:i/>
          <w:sz w:val="20"/>
        </w:rPr>
        <w:t>потереться носом о нос партнера.</w:t>
      </w:r>
    </w:p>
    <w:p>
      <w:pPr>
        <w:pStyle w:val="ListParagraph"/>
        <w:numPr>
          <w:ilvl w:val="0"/>
          <w:numId w:val="288"/>
        </w:numPr>
        <w:tabs>
          <w:tab w:pos="425" w:val="left" w:leader="none"/>
        </w:tabs>
        <w:spacing w:line="235" w:lineRule="auto" w:before="1" w:after="0"/>
        <w:ind w:left="425" w:right="139" w:hanging="284"/>
        <w:jc w:val="both"/>
        <w:rPr>
          <w:i/>
          <w:sz w:val="20"/>
        </w:rPr>
      </w:pPr>
      <w:r>
        <w:rPr>
          <w:i/>
          <w:sz w:val="20"/>
        </w:rPr>
        <w:t>Вы – представитель индийской культуры. Ваше приветствие: сложить ладони вертикально перед грудью и слегка поклониться.</w:t>
      </w:r>
    </w:p>
    <w:p>
      <w:pPr>
        <w:pStyle w:val="ListParagraph"/>
        <w:numPr>
          <w:ilvl w:val="0"/>
          <w:numId w:val="288"/>
        </w:numPr>
        <w:tabs>
          <w:tab w:pos="425" w:val="left" w:leader="none"/>
        </w:tabs>
        <w:spacing w:line="235" w:lineRule="auto" w:before="1" w:after="0"/>
        <w:ind w:left="425" w:right="139" w:hanging="284"/>
        <w:jc w:val="both"/>
        <w:rPr>
          <w:i/>
          <w:sz w:val="20"/>
        </w:rPr>
      </w:pPr>
      <w:r>
        <w:rPr>
          <w:i/>
          <w:sz w:val="20"/>
        </w:rPr>
        <w:t>Вы – представитель японской культуры. Ваше приветствие: держа руки по швам,</w:t>
      </w:r>
      <w:r>
        <w:rPr>
          <w:i/>
          <w:spacing w:val="-5"/>
          <w:sz w:val="20"/>
        </w:rPr>
        <w:t> </w:t>
      </w:r>
      <w:r>
        <w:rPr>
          <w:i/>
          <w:sz w:val="20"/>
        </w:rPr>
        <w:t>сделать</w:t>
      </w:r>
      <w:r>
        <w:rPr>
          <w:i/>
          <w:spacing w:val="-5"/>
          <w:sz w:val="20"/>
        </w:rPr>
        <w:t> </w:t>
      </w:r>
      <w:r>
        <w:rPr>
          <w:i/>
          <w:sz w:val="20"/>
        </w:rPr>
        <w:t>легкий</w:t>
      </w:r>
      <w:r>
        <w:rPr>
          <w:i/>
          <w:spacing w:val="-5"/>
          <w:sz w:val="20"/>
        </w:rPr>
        <w:t> </w:t>
      </w:r>
      <w:r>
        <w:rPr>
          <w:i/>
          <w:sz w:val="20"/>
        </w:rPr>
        <w:t>поклон</w:t>
      </w:r>
      <w:r>
        <w:rPr>
          <w:i/>
          <w:spacing w:val="-5"/>
          <w:sz w:val="20"/>
        </w:rPr>
        <w:t> </w:t>
      </w:r>
      <w:r>
        <w:rPr>
          <w:i/>
          <w:sz w:val="20"/>
        </w:rPr>
        <w:t>(наклон</w:t>
      </w:r>
      <w:r>
        <w:rPr>
          <w:i/>
          <w:spacing w:val="-5"/>
          <w:sz w:val="20"/>
        </w:rPr>
        <w:t> </w:t>
      </w:r>
      <w:r>
        <w:rPr>
          <w:i/>
          <w:sz w:val="20"/>
        </w:rPr>
        <w:t>туловища</w:t>
      </w:r>
      <w:r>
        <w:rPr>
          <w:i/>
          <w:spacing w:val="-5"/>
          <w:sz w:val="20"/>
        </w:rPr>
        <w:t> </w:t>
      </w:r>
      <w:r>
        <w:rPr>
          <w:i/>
          <w:sz w:val="20"/>
        </w:rPr>
        <w:t>под</w:t>
      </w:r>
      <w:r>
        <w:rPr>
          <w:i/>
          <w:spacing w:val="-5"/>
          <w:sz w:val="20"/>
        </w:rPr>
        <w:t> </w:t>
      </w:r>
      <w:r>
        <w:rPr>
          <w:i/>
          <w:sz w:val="20"/>
        </w:rPr>
        <w:t>углом</w:t>
      </w:r>
      <w:r>
        <w:rPr>
          <w:i/>
          <w:spacing w:val="-5"/>
          <w:sz w:val="20"/>
        </w:rPr>
        <w:t> </w:t>
      </w:r>
      <w:r>
        <w:rPr>
          <w:i/>
          <w:sz w:val="20"/>
        </w:rPr>
        <w:t>45</w:t>
      </w:r>
      <w:r>
        <w:rPr>
          <w:i/>
          <w:spacing w:val="-5"/>
          <w:sz w:val="20"/>
        </w:rPr>
        <w:t> </w:t>
      </w:r>
      <w:r>
        <w:rPr>
          <w:i/>
          <w:sz w:val="20"/>
        </w:rPr>
        <w:t>градусов)</w:t>
      </w:r>
      <w:r>
        <w:rPr>
          <w:i/>
          <w:spacing w:val="-5"/>
          <w:sz w:val="20"/>
        </w:rPr>
        <w:t> </w:t>
      </w:r>
      <w:r>
        <w:rPr>
          <w:i/>
          <w:sz w:val="20"/>
        </w:rPr>
        <w:t>в</w:t>
      </w:r>
      <w:r>
        <w:rPr>
          <w:i/>
          <w:spacing w:val="-5"/>
          <w:sz w:val="20"/>
        </w:rPr>
        <w:t> </w:t>
      </w:r>
      <w:r>
        <w:rPr>
          <w:i/>
          <w:sz w:val="20"/>
        </w:rPr>
        <w:t>сторону партнера, замерев на две секунды.</w:t>
      </w:r>
    </w:p>
    <w:p>
      <w:pPr>
        <w:pStyle w:val="ListParagraph"/>
        <w:spacing w:after="0" w:line="235" w:lineRule="auto"/>
        <w:jc w:val="both"/>
        <w:rPr>
          <w:i/>
          <w:sz w:val="20"/>
        </w:rPr>
        <w:sectPr>
          <w:type w:val="continuous"/>
          <w:pgSz w:w="8400" w:h="11910"/>
          <w:pgMar w:header="0" w:footer="530" w:top="1260" w:bottom="740" w:left="425" w:right="425"/>
        </w:sectPr>
      </w:pPr>
    </w:p>
    <w:p>
      <w:pPr>
        <w:pStyle w:val="ListParagraph"/>
        <w:numPr>
          <w:ilvl w:val="1"/>
          <w:numId w:val="289"/>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Активности</w:t>
      </w:r>
      <w:r>
        <w:rPr>
          <w:rFonts w:ascii="Georgia" w:hAnsi="Georgia"/>
          <w:color w:val="231F20"/>
          <w:spacing w:val="15"/>
          <w:sz w:val="18"/>
        </w:rPr>
        <w:t> </w:t>
      </w:r>
      <w:r>
        <w:rPr>
          <w:rFonts w:ascii="Georgia" w:hAnsi="Georgia"/>
          <w:color w:val="231F20"/>
          <w:sz w:val="18"/>
        </w:rPr>
        <w:t>межкультурного</w:t>
      </w:r>
      <w:r>
        <w:rPr>
          <w:rFonts w:ascii="Georgia" w:hAnsi="Georgia"/>
          <w:color w:val="231F20"/>
          <w:spacing w:val="15"/>
          <w:sz w:val="18"/>
        </w:rPr>
        <w:t> </w:t>
      </w:r>
      <w:r>
        <w:rPr>
          <w:rFonts w:ascii="Georgia" w:hAnsi="Georgia"/>
          <w:color w:val="231F20"/>
          <w:sz w:val="18"/>
        </w:rPr>
        <w:t>тренинга</w:t>
      </w:r>
      <w:r>
        <w:rPr>
          <w:rFonts w:ascii="Georgia" w:hAnsi="Georgia"/>
          <w:color w:val="231F20"/>
          <w:spacing w:val="16"/>
          <w:sz w:val="18"/>
        </w:rPr>
        <w:t> </w:t>
      </w:r>
      <w:r>
        <w:rPr>
          <w:rFonts w:ascii="Georgia" w:hAnsi="Georgia"/>
          <w:color w:val="231F20"/>
          <w:sz w:val="18"/>
        </w:rPr>
        <w:t>для</w:t>
      </w:r>
      <w:r>
        <w:rPr>
          <w:rFonts w:ascii="Georgia" w:hAnsi="Georgia"/>
          <w:color w:val="231F20"/>
          <w:spacing w:val="15"/>
          <w:sz w:val="18"/>
        </w:rPr>
        <w:t> </w:t>
      </w:r>
      <w:r>
        <w:rPr>
          <w:rFonts w:ascii="Georgia" w:hAnsi="Georgia"/>
          <w:color w:val="231F20"/>
          <w:sz w:val="18"/>
        </w:rPr>
        <w:t>поликультурного</w:t>
      </w:r>
      <w:r>
        <w:rPr>
          <w:rFonts w:ascii="Georgia" w:hAnsi="Georgia"/>
          <w:color w:val="231F20"/>
          <w:spacing w:val="16"/>
          <w:sz w:val="18"/>
        </w:rPr>
        <w:t> </w:t>
      </w:r>
      <w:r>
        <w:rPr>
          <w:rFonts w:ascii="Georgia" w:hAnsi="Georgia"/>
          <w:color w:val="231F20"/>
          <w:spacing w:val="-2"/>
          <w:sz w:val="18"/>
        </w:rPr>
        <w:t>класса</w:t>
      </w:r>
    </w:p>
    <w:p>
      <w:pPr>
        <w:spacing w:before="109"/>
        <w:ind w:left="3137" w:right="0" w:firstLine="0"/>
        <w:jc w:val="left"/>
        <w:rPr>
          <w:b/>
          <w:sz w:val="20"/>
        </w:rPr>
      </w:pPr>
      <w:r>
        <w:rPr>
          <w:b/>
          <w:color w:val="231F20"/>
          <w:sz w:val="20"/>
        </w:rPr>
        <w:t>«Найди</w:t>
      </w:r>
      <w:r>
        <w:rPr>
          <w:b/>
          <w:color w:val="231F20"/>
          <w:spacing w:val="-8"/>
          <w:sz w:val="20"/>
        </w:rPr>
        <w:t> </w:t>
      </w:r>
      <w:r>
        <w:rPr>
          <w:b/>
          <w:color w:val="231F20"/>
          <w:spacing w:val="-2"/>
          <w:sz w:val="20"/>
        </w:rPr>
        <w:t>пару»</w:t>
      </w:r>
    </w:p>
    <w:p>
      <w:pPr>
        <w:spacing w:before="103"/>
        <w:ind w:left="425" w:right="0" w:firstLine="3306"/>
        <w:jc w:val="left"/>
        <w:rPr>
          <w:i/>
          <w:sz w:val="20"/>
        </w:rPr>
      </w:pPr>
      <w:r>
        <w:rPr>
          <w:b/>
          <w:i/>
          <w:color w:val="231F20"/>
          <w:sz w:val="20"/>
        </w:rPr>
        <w:t>Источник</w:t>
      </w:r>
      <w:r>
        <w:rPr>
          <w:i/>
          <w:color w:val="231F20"/>
          <w:sz w:val="20"/>
        </w:rPr>
        <w:t>:</w:t>
      </w:r>
      <w:r>
        <w:rPr>
          <w:i/>
          <w:color w:val="231F20"/>
          <w:spacing w:val="-9"/>
          <w:sz w:val="20"/>
        </w:rPr>
        <w:t> </w:t>
      </w:r>
      <w:r>
        <w:rPr>
          <w:i/>
          <w:color w:val="231F20"/>
          <w:sz w:val="20"/>
        </w:rPr>
        <w:t>модификация</w:t>
      </w:r>
      <w:r>
        <w:rPr>
          <w:i/>
          <w:color w:val="231F20"/>
          <w:spacing w:val="-6"/>
          <w:sz w:val="20"/>
        </w:rPr>
        <w:t> </w:t>
      </w:r>
      <w:r>
        <w:rPr>
          <w:i/>
          <w:color w:val="231F20"/>
          <w:sz w:val="20"/>
        </w:rPr>
        <w:t>М.Ю.</w:t>
      </w:r>
      <w:r>
        <w:rPr>
          <w:i/>
          <w:color w:val="231F20"/>
          <w:spacing w:val="-6"/>
          <w:sz w:val="20"/>
        </w:rPr>
        <w:t> </w:t>
      </w:r>
      <w:r>
        <w:rPr>
          <w:i/>
          <w:color w:val="231F20"/>
          <w:spacing w:val="-2"/>
          <w:sz w:val="20"/>
        </w:rPr>
        <w:t>Чибисовой</w:t>
      </w:r>
    </w:p>
    <w:p>
      <w:pPr>
        <w:pStyle w:val="BodyText"/>
        <w:spacing w:line="230" w:lineRule="auto" w:before="111"/>
        <w:ind w:right="0"/>
        <w:jc w:val="left"/>
      </w:pPr>
      <w:r>
        <w:rPr>
          <w:color w:val="231F20"/>
        </w:rPr>
        <w:t>Упражнение нацелено на актуализацию темы этнических различий и стимулиро- вание обсуждения этнических стереотипов.</w:t>
      </w:r>
    </w:p>
    <w:p>
      <w:pPr>
        <w:spacing w:line="216" w:lineRule="exact" w:before="0"/>
        <w:ind w:left="425" w:right="0" w:firstLine="0"/>
        <w:jc w:val="left"/>
        <w:rPr>
          <w:b/>
          <w:sz w:val="20"/>
        </w:rPr>
      </w:pPr>
      <w:r>
        <w:rPr>
          <w:b/>
          <w:color w:val="231F20"/>
          <w:spacing w:val="-2"/>
          <w:sz w:val="20"/>
        </w:rPr>
        <w:t>Инструкция</w:t>
      </w:r>
    </w:p>
    <w:p>
      <w:pPr>
        <w:spacing w:line="230" w:lineRule="auto" w:before="3"/>
        <w:ind w:left="141" w:right="139" w:firstLine="283"/>
        <w:jc w:val="both"/>
        <w:rPr>
          <w:i/>
          <w:sz w:val="20"/>
        </w:rPr>
      </w:pPr>
      <w:r>
        <w:rPr>
          <w:i/>
          <w:color w:val="231F20"/>
          <w:sz w:val="20"/>
        </w:rPr>
        <w:t>– Сейчас вы получите карточку с названием национальности. Вам необходимо найти в группе человека такой же национальности, не используя слов (т.е. с помо- щью мимики и жестов).</w:t>
      </w:r>
    </w:p>
    <w:p>
      <w:pPr>
        <w:spacing w:line="215" w:lineRule="exact" w:before="0"/>
        <w:ind w:left="425" w:right="0" w:firstLine="0"/>
        <w:jc w:val="both"/>
        <w:rPr>
          <w:b/>
          <w:sz w:val="20"/>
        </w:rPr>
      </w:pPr>
      <w:r>
        <w:rPr>
          <w:b/>
          <w:color w:val="231F20"/>
          <w:spacing w:val="-2"/>
          <w:sz w:val="20"/>
        </w:rPr>
        <w:t>Ход</w:t>
      </w:r>
      <w:r>
        <w:rPr>
          <w:b/>
          <w:color w:val="231F20"/>
          <w:spacing w:val="-7"/>
          <w:sz w:val="20"/>
        </w:rPr>
        <w:t> </w:t>
      </w:r>
      <w:r>
        <w:rPr>
          <w:b/>
          <w:color w:val="231F20"/>
          <w:spacing w:val="-2"/>
          <w:sz w:val="20"/>
        </w:rPr>
        <w:t>упражнения</w:t>
      </w:r>
    </w:p>
    <w:p>
      <w:pPr>
        <w:pStyle w:val="BodyText"/>
        <w:spacing w:line="230" w:lineRule="auto" w:before="2"/>
      </w:pPr>
      <w:r>
        <w:rPr>
          <w:color w:val="231F20"/>
        </w:rPr>
        <w:t>Для игры необходим набор карточек с названиями национальностей по числу участников.</w:t>
      </w:r>
      <w:r>
        <w:rPr>
          <w:color w:val="231F20"/>
          <w:spacing w:val="-7"/>
        </w:rPr>
        <w:t> </w:t>
      </w:r>
      <w:r>
        <w:rPr>
          <w:color w:val="231F20"/>
        </w:rPr>
        <w:t>В</w:t>
      </w:r>
      <w:r>
        <w:rPr>
          <w:color w:val="231F20"/>
          <w:spacing w:val="-7"/>
        </w:rPr>
        <w:t> </w:t>
      </w:r>
      <w:r>
        <w:rPr>
          <w:color w:val="231F20"/>
        </w:rPr>
        <w:t>наборе</w:t>
      </w:r>
      <w:r>
        <w:rPr>
          <w:color w:val="231F20"/>
          <w:spacing w:val="-7"/>
        </w:rPr>
        <w:t> </w:t>
      </w:r>
      <w:r>
        <w:rPr>
          <w:color w:val="231F20"/>
        </w:rPr>
        <w:t>должно</w:t>
      </w:r>
      <w:r>
        <w:rPr>
          <w:color w:val="231F20"/>
          <w:spacing w:val="-7"/>
        </w:rPr>
        <w:t> </w:t>
      </w:r>
      <w:r>
        <w:rPr>
          <w:color w:val="231F20"/>
        </w:rPr>
        <w:t>быть</w:t>
      </w:r>
      <w:r>
        <w:rPr>
          <w:color w:val="231F20"/>
          <w:spacing w:val="-7"/>
        </w:rPr>
        <w:t> </w:t>
      </w:r>
      <w:r>
        <w:rPr>
          <w:color w:val="231F20"/>
        </w:rPr>
        <w:t>по</w:t>
      </w:r>
      <w:r>
        <w:rPr>
          <w:color w:val="231F20"/>
          <w:spacing w:val="-7"/>
        </w:rPr>
        <w:t> </w:t>
      </w:r>
      <w:r>
        <w:rPr>
          <w:color w:val="231F20"/>
        </w:rPr>
        <w:t>две</w:t>
      </w:r>
      <w:r>
        <w:rPr>
          <w:color w:val="231F20"/>
          <w:spacing w:val="-7"/>
        </w:rPr>
        <w:t> </w:t>
      </w:r>
      <w:r>
        <w:rPr>
          <w:color w:val="231F20"/>
        </w:rPr>
        <w:t>карточки</w:t>
      </w:r>
      <w:r>
        <w:rPr>
          <w:color w:val="231F20"/>
          <w:spacing w:val="-7"/>
        </w:rPr>
        <w:t> </w:t>
      </w:r>
      <w:r>
        <w:rPr>
          <w:color w:val="231F20"/>
        </w:rPr>
        <w:t>с</w:t>
      </w:r>
      <w:r>
        <w:rPr>
          <w:color w:val="231F20"/>
          <w:spacing w:val="-7"/>
        </w:rPr>
        <w:t> </w:t>
      </w:r>
      <w:r>
        <w:rPr>
          <w:color w:val="231F20"/>
        </w:rPr>
        <w:t>названиями</w:t>
      </w:r>
      <w:r>
        <w:rPr>
          <w:color w:val="231F20"/>
          <w:spacing w:val="-7"/>
        </w:rPr>
        <w:t> </w:t>
      </w:r>
      <w:r>
        <w:rPr>
          <w:color w:val="231F20"/>
        </w:rPr>
        <w:t>каждой</w:t>
      </w:r>
      <w:r>
        <w:rPr>
          <w:color w:val="231F20"/>
          <w:spacing w:val="-7"/>
        </w:rPr>
        <w:t> </w:t>
      </w:r>
      <w:r>
        <w:rPr>
          <w:color w:val="231F20"/>
        </w:rPr>
        <w:t>националь- </w:t>
      </w:r>
      <w:r>
        <w:rPr>
          <w:color w:val="231F20"/>
          <w:spacing w:val="-2"/>
        </w:rPr>
        <w:t>ности.</w:t>
      </w:r>
    </w:p>
    <w:p>
      <w:pPr>
        <w:pStyle w:val="BodyText"/>
        <w:spacing w:line="215" w:lineRule="exact"/>
        <w:ind w:left="425" w:right="0" w:firstLine="0"/>
        <w:jc w:val="left"/>
      </w:pPr>
      <w:r>
        <w:rPr>
          <w:color w:val="231F20"/>
          <w:spacing w:val="-2"/>
        </w:rPr>
        <w:t>Варианты:</w:t>
      </w:r>
    </w:p>
    <w:p>
      <w:pPr>
        <w:pStyle w:val="ListParagraph"/>
        <w:numPr>
          <w:ilvl w:val="0"/>
          <w:numId w:val="290"/>
        </w:numPr>
        <w:tabs>
          <w:tab w:pos="424" w:val="left" w:leader="none"/>
        </w:tabs>
        <w:spacing w:line="220" w:lineRule="exact" w:before="0" w:after="0"/>
        <w:ind w:left="424" w:right="0" w:hanging="283"/>
        <w:jc w:val="left"/>
        <w:rPr>
          <w:sz w:val="20"/>
        </w:rPr>
      </w:pPr>
      <w:r>
        <w:rPr>
          <w:color w:val="231F20"/>
          <w:spacing w:val="-2"/>
          <w:sz w:val="20"/>
        </w:rPr>
        <w:t>русский</w:t>
      </w:r>
    </w:p>
    <w:p>
      <w:pPr>
        <w:pStyle w:val="ListParagraph"/>
        <w:numPr>
          <w:ilvl w:val="0"/>
          <w:numId w:val="290"/>
        </w:numPr>
        <w:tabs>
          <w:tab w:pos="424" w:val="left" w:leader="none"/>
        </w:tabs>
        <w:spacing w:line="220" w:lineRule="exact" w:before="0" w:after="0"/>
        <w:ind w:left="424" w:right="0" w:hanging="283"/>
        <w:jc w:val="left"/>
        <w:rPr>
          <w:sz w:val="20"/>
        </w:rPr>
      </w:pPr>
      <w:r>
        <w:rPr>
          <w:color w:val="231F20"/>
          <w:spacing w:val="-2"/>
          <w:sz w:val="20"/>
        </w:rPr>
        <w:t>немец</w:t>
      </w:r>
    </w:p>
    <w:p>
      <w:pPr>
        <w:pStyle w:val="ListParagraph"/>
        <w:numPr>
          <w:ilvl w:val="0"/>
          <w:numId w:val="290"/>
        </w:numPr>
        <w:tabs>
          <w:tab w:pos="424" w:val="left" w:leader="none"/>
        </w:tabs>
        <w:spacing w:line="220" w:lineRule="exact" w:before="0" w:after="0"/>
        <w:ind w:left="424" w:right="0" w:hanging="283"/>
        <w:jc w:val="left"/>
        <w:rPr>
          <w:sz w:val="20"/>
        </w:rPr>
      </w:pPr>
      <w:r>
        <w:rPr>
          <w:color w:val="231F20"/>
          <w:spacing w:val="-2"/>
          <w:sz w:val="20"/>
        </w:rPr>
        <w:t>француз</w:t>
      </w:r>
    </w:p>
    <w:p>
      <w:pPr>
        <w:pStyle w:val="ListParagraph"/>
        <w:numPr>
          <w:ilvl w:val="0"/>
          <w:numId w:val="290"/>
        </w:numPr>
        <w:tabs>
          <w:tab w:pos="424" w:val="left" w:leader="none"/>
        </w:tabs>
        <w:spacing w:line="220" w:lineRule="exact" w:before="0" w:after="0"/>
        <w:ind w:left="424" w:right="0" w:hanging="283"/>
        <w:jc w:val="left"/>
        <w:rPr>
          <w:sz w:val="20"/>
        </w:rPr>
      </w:pPr>
      <w:r>
        <w:rPr>
          <w:color w:val="231F20"/>
          <w:spacing w:val="-2"/>
          <w:sz w:val="20"/>
        </w:rPr>
        <w:t>итальянец</w:t>
      </w:r>
    </w:p>
    <w:p>
      <w:pPr>
        <w:pStyle w:val="ListParagraph"/>
        <w:numPr>
          <w:ilvl w:val="0"/>
          <w:numId w:val="290"/>
        </w:numPr>
        <w:tabs>
          <w:tab w:pos="424" w:val="left" w:leader="none"/>
        </w:tabs>
        <w:spacing w:line="220" w:lineRule="exact" w:before="0" w:after="0"/>
        <w:ind w:left="424" w:right="0" w:hanging="283"/>
        <w:jc w:val="left"/>
        <w:rPr>
          <w:sz w:val="20"/>
        </w:rPr>
      </w:pPr>
      <w:r>
        <w:rPr>
          <w:color w:val="231F20"/>
          <w:spacing w:val="-2"/>
          <w:sz w:val="20"/>
        </w:rPr>
        <w:t>американец</w:t>
      </w:r>
    </w:p>
    <w:p>
      <w:pPr>
        <w:pStyle w:val="ListParagraph"/>
        <w:numPr>
          <w:ilvl w:val="0"/>
          <w:numId w:val="290"/>
        </w:numPr>
        <w:tabs>
          <w:tab w:pos="424" w:val="left" w:leader="none"/>
        </w:tabs>
        <w:spacing w:line="220" w:lineRule="exact" w:before="0" w:after="0"/>
        <w:ind w:left="424" w:right="0" w:hanging="283"/>
        <w:jc w:val="left"/>
        <w:rPr>
          <w:sz w:val="20"/>
        </w:rPr>
      </w:pPr>
      <w:r>
        <w:rPr>
          <w:color w:val="231F20"/>
          <w:spacing w:val="-2"/>
          <w:sz w:val="20"/>
        </w:rPr>
        <w:t>грузин</w:t>
      </w:r>
    </w:p>
    <w:p>
      <w:pPr>
        <w:pStyle w:val="BodyText"/>
        <w:spacing w:line="230" w:lineRule="auto" w:before="3"/>
        <w:ind w:right="0"/>
        <w:jc w:val="left"/>
      </w:pPr>
      <w:r>
        <w:rPr>
          <w:color w:val="231F20"/>
        </w:rPr>
        <w:t>Когда все участники разбились по парам, ведущий просит каждую пару назвать свою национальность и рассказать, как они нашли друг друга.</w:t>
      </w:r>
    </w:p>
    <w:p>
      <w:pPr>
        <w:spacing w:before="104"/>
        <w:ind w:left="2685" w:right="0" w:firstLine="0"/>
        <w:jc w:val="left"/>
        <w:rPr>
          <w:b/>
          <w:sz w:val="20"/>
        </w:rPr>
      </w:pPr>
      <w:r>
        <w:rPr>
          <w:b/>
          <w:sz w:val="20"/>
        </w:rPr>
        <w:t>«Внутри</w:t>
      </w:r>
      <w:r>
        <w:rPr>
          <w:b/>
          <w:spacing w:val="-5"/>
          <w:sz w:val="20"/>
        </w:rPr>
        <w:t> </w:t>
      </w:r>
      <w:r>
        <w:rPr>
          <w:b/>
          <w:sz w:val="20"/>
        </w:rPr>
        <w:t>и</w:t>
      </w:r>
      <w:r>
        <w:rPr>
          <w:b/>
          <w:spacing w:val="-4"/>
          <w:sz w:val="20"/>
        </w:rPr>
        <w:t> </w:t>
      </w:r>
      <w:r>
        <w:rPr>
          <w:b/>
          <w:sz w:val="20"/>
        </w:rPr>
        <w:t>вовне</w:t>
      </w:r>
      <w:r>
        <w:rPr>
          <w:b/>
          <w:spacing w:val="-3"/>
          <w:sz w:val="20"/>
        </w:rPr>
        <w:t> </w:t>
      </w:r>
      <w:r>
        <w:rPr>
          <w:b/>
          <w:spacing w:val="-2"/>
          <w:sz w:val="20"/>
        </w:rPr>
        <w:t>круга»</w:t>
      </w:r>
    </w:p>
    <w:p>
      <w:pPr>
        <w:spacing w:line="225" w:lineRule="exact" w:before="103"/>
        <w:ind w:left="141" w:right="139" w:firstLine="0"/>
        <w:jc w:val="right"/>
        <w:rPr>
          <w:i/>
          <w:sz w:val="20"/>
        </w:rPr>
      </w:pPr>
      <w:r>
        <w:rPr>
          <w:b/>
          <w:i/>
          <w:sz w:val="20"/>
        </w:rPr>
        <w:t>Источник:</w:t>
      </w:r>
      <w:r>
        <w:rPr>
          <w:b/>
          <w:i/>
          <w:spacing w:val="-3"/>
          <w:sz w:val="20"/>
        </w:rPr>
        <w:t> </w:t>
      </w:r>
      <w:r>
        <w:rPr>
          <w:i/>
          <w:sz w:val="20"/>
        </w:rPr>
        <w:t>Building</w:t>
      </w:r>
      <w:r>
        <w:rPr>
          <w:i/>
          <w:spacing w:val="-3"/>
          <w:sz w:val="20"/>
        </w:rPr>
        <w:t> </w:t>
      </w:r>
      <w:r>
        <w:rPr>
          <w:i/>
          <w:sz w:val="20"/>
        </w:rPr>
        <w:t>Cultural</w:t>
      </w:r>
      <w:r>
        <w:rPr>
          <w:i/>
          <w:spacing w:val="-3"/>
          <w:sz w:val="20"/>
        </w:rPr>
        <w:t> </w:t>
      </w:r>
      <w:r>
        <w:rPr>
          <w:i/>
          <w:spacing w:val="-2"/>
          <w:sz w:val="20"/>
        </w:rPr>
        <w:t>Competence:</w:t>
      </w:r>
    </w:p>
    <w:p>
      <w:pPr>
        <w:spacing w:line="230" w:lineRule="auto" w:before="3"/>
        <w:ind w:left="2787" w:right="140" w:firstLine="628"/>
        <w:jc w:val="right"/>
        <w:rPr>
          <w:i/>
          <w:sz w:val="20"/>
        </w:rPr>
      </w:pPr>
      <w:r>
        <w:rPr>
          <w:i/>
          <w:sz w:val="20"/>
        </w:rPr>
        <w:t>Innovative</w:t>
      </w:r>
      <w:r>
        <w:rPr>
          <w:i/>
          <w:spacing w:val="-10"/>
          <w:sz w:val="20"/>
        </w:rPr>
        <w:t> </w:t>
      </w:r>
      <w:r>
        <w:rPr>
          <w:i/>
          <w:sz w:val="20"/>
        </w:rPr>
        <w:t>Activities</w:t>
      </w:r>
      <w:r>
        <w:rPr>
          <w:i/>
          <w:spacing w:val="-7"/>
          <w:sz w:val="20"/>
        </w:rPr>
        <w:t> </w:t>
      </w:r>
      <w:r>
        <w:rPr>
          <w:i/>
          <w:sz w:val="20"/>
        </w:rPr>
        <w:t>and</w:t>
      </w:r>
      <w:r>
        <w:rPr>
          <w:i/>
          <w:spacing w:val="-6"/>
          <w:sz w:val="20"/>
        </w:rPr>
        <w:t> </w:t>
      </w:r>
      <w:r>
        <w:rPr>
          <w:i/>
          <w:sz w:val="20"/>
        </w:rPr>
        <w:t>Models,</w:t>
      </w:r>
      <w:r>
        <w:rPr>
          <w:i/>
          <w:spacing w:val="-6"/>
          <w:sz w:val="20"/>
        </w:rPr>
        <w:t> </w:t>
      </w:r>
      <w:r>
        <w:rPr>
          <w:i/>
          <w:sz w:val="20"/>
        </w:rPr>
        <w:t>eds.</w:t>
      </w:r>
      <w:r>
        <w:rPr>
          <w:i/>
          <w:spacing w:val="-6"/>
          <w:sz w:val="20"/>
        </w:rPr>
        <w:t> </w:t>
      </w:r>
      <w:r>
        <w:rPr>
          <w:i/>
          <w:sz w:val="20"/>
        </w:rPr>
        <w:t>K.</w:t>
      </w:r>
      <w:r>
        <w:rPr>
          <w:i/>
          <w:spacing w:val="-6"/>
          <w:sz w:val="20"/>
        </w:rPr>
        <w:t> </w:t>
      </w:r>
      <w:r>
        <w:rPr>
          <w:i/>
          <w:sz w:val="20"/>
        </w:rPr>
        <w:t>Berardo and</w:t>
      </w:r>
      <w:r>
        <w:rPr>
          <w:i/>
          <w:spacing w:val="-5"/>
          <w:sz w:val="20"/>
        </w:rPr>
        <w:t> </w:t>
      </w:r>
      <w:r>
        <w:rPr>
          <w:i/>
          <w:sz w:val="20"/>
        </w:rPr>
        <w:t>D.K.</w:t>
      </w:r>
      <w:r>
        <w:rPr>
          <w:i/>
          <w:spacing w:val="-5"/>
          <w:sz w:val="20"/>
        </w:rPr>
        <w:t> </w:t>
      </w:r>
      <w:r>
        <w:rPr>
          <w:i/>
          <w:sz w:val="20"/>
        </w:rPr>
        <w:t>Deardorff</w:t>
      </w:r>
      <w:r>
        <w:rPr>
          <w:i/>
          <w:spacing w:val="-6"/>
          <w:sz w:val="20"/>
        </w:rPr>
        <w:t> </w:t>
      </w:r>
      <w:r>
        <w:rPr>
          <w:i/>
          <w:sz w:val="20"/>
        </w:rPr>
        <w:t>(Sterling,</w:t>
      </w:r>
      <w:r>
        <w:rPr>
          <w:i/>
          <w:spacing w:val="-5"/>
          <w:sz w:val="20"/>
        </w:rPr>
        <w:t> </w:t>
      </w:r>
      <w:r>
        <w:rPr>
          <w:i/>
          <w:sz w:val="20"/>
        </w:rPr>
        <w:t>VA:</w:t>
      </w:r>
      <w:r>
        <w:rPr>
          <w:i/>
          <w:spacing w:val="-5"/>
          <w:sz w:val="20"/>
        </w:rPr>
        <w:t> </w:t>
      </w:r>
      <w:r>
        <w:rPr>
          <w:i/>
          <w:sz w:val="20"/>
        </w:rPr>
        <w:t>Stylus,</w:t>
      </w:r>
      <w:r>
        <w:rPr>
          <w:i/>
          <w:spacing w:val="-5"/>
          <w:sz w:val="20"/>
        </w:rPr>
        <w:t> </w:t>
      </w:r>
      <w:r>
        <w:rPr>
          <w:i/>
          <w:sz w:val="20"/>
        </w:rPr>
        <w:t>2012),</w:t>
      </w:r>
      <w:r>
        <w:rPr>
          <w:i/>
          <w:spacing w:val="-4"/>
          <w:sz w:val="20"/>
        </w:rPr>
        <w:t> </w:t>
      </w:r>
      <w:r>
        <w:rPr>
          <w:i/>
          <w:spacing w:val="-2"/>
          <w:sz w:val="20"/>
        </w:rPr>
        <w:t>344–348</w:t>
      </w:r>
    </w:p>
    <w:p>
      <w:pPr>
        <w:pStyle w:val="BodyText"/>
        <w:spacing w:line="230" w:lineRule="auto" w:before="112"/>
      </w:pPr>
      <w:r>
        <w:rPr/>
        <w:t>Перед</w:t>
      </w:r>
      <w:r>
        <w:rPr>
          <w:spacing w:val="-13"/>
        </w:rPr>
        <w:t> </w:t>
      </w:r>
      <w:r>
        <w:rPr/>
        <w:t>началом</w:t>
      </w:r>
      <w:r>
        <w:rPr>
          <w:spacing w:val="-12"/>
        </w:rPr>
        <w:t> </w:t>
      </w:r>
      <w:r>
        <w:rPr/>
        <w:t>упражнения</w:t>
      </w:r>
      <w:r>
        <w:rPr>
          <w:spacing w:val="-13"/>
        </w:rPr>
        <w:t> </w:t>
      </w:r>
      <w:r>
        <w:rPr/>
        <w:t>нужно</w:t>
      </w:r>
      <w:r>
        <w:rPr>
          <w:spacing w:val="-12"/>
        </w:rPr>
        <w:t> </w:t>
      </w:r>
      <w:r>
        <w:rPr/>
        <w:t>организовать</w:t>
      </w:r>
      <w:r>
        <w:rPr>
          <w:spacing w:val="-13"/>
        </w:rPr>
        <w:t> </w:t>
      </w:r>
      <w:r>
        <w:rPr/>
        <w:t>пространство:</w:t>
      </w:r>
      <w:r>
        <w:rPr>
          <w:spacing w:val="-12"/>
        </w:rPr>
        <w:t> </w:t>
      </w:r>
      <w:r>
        <w:rPr/>
        <w:t>обозначить</w:t>
      </w:r>
      <w:r>
        <w:rPr>
          <w:spacing w:val="-13"/>
        </w:rPr>
        <w:t> </w:t>
      </w:r>
      <w:r>
        <w:rPr/>
        <w:t>в</w:t>
      </w:r>
      <w:r>
        <w:rPr>
          <w:spacing w:val="-12"/>
        </w:rPr>
        <w:t> </w:t>
      </w:r>
      <w:r>
        <w:rPr/>
        <w:t>сере- дине</w:t>
      </w:r>
      <w:r>
        <w:rPr>
          <w:spacing w:val="-13"/>
        </w:rPr>
        <w:t> </w:t>
      </w:r>
      <w:r>
        <w:rPr/>
        <w:t>тренингового</w:t>
      </w:r>
      <w:r>
        <w:rPr>
          <w:spacing w:val="-12"/>
        </w:rPr>
        <w:t> </w:t>
      </w:r>
      <w:r>
        <w:rPr/>
        <w:t>помещения</w:t>
      </w:r>
      <w:r>
        <w:rPr>
          <w:spacing w:val="-13"/>
        </w:rPr>
        <w:t> </w:t>
      </w:r>
      <w:r>
        <w:rPr/>
        <w:t>внутренний</w:t>
      </w:r>
      <w:r>
        <w:rPr>
          <w:spacing w:val="-12"/>
        </w:rPr>
        <w:t> </w:t>
      </w:r>
      <w:r>
        <w:rPr/>
        <w:t>круг</w:t>
      </w:r>
      <w:r>
        <w:rPr>
          <w:spacing w:val="-13"/>
        </w:rPr>
        <w:t> </w:t>
      </w:r>
      <w:r>
        <w:rPr/>
        <w:t>(веревкой,</w:t>
      </w:r>
      <w:r>
        <w:rPr>
          <w:spacing w:val="-12"/>
        </w:rPr>
        <w:t> </w:t>
      </w:r>
      <w:r>
        <w:rPr/>
        <w:t>скотчем</w:t>
      </w:r>
      <w:r>
        <w:rPr>
          <w:spacing w:val="-13"/>
        </w:rPr>
        <w:t> </w:t>
      </w:r>
      <w:r>
        <w:rPr/>
        <w:t>и</w:t>
      </w:r>
      <w:r>
        <w:rPr>
          <w:spacing w:val="-12"/>
        </w:rPr>
        <w:t> </w:t>
      </w:r>
      <w:r>
        <w:rPr/>
        <w:t>пр.).</w:t>
      </w:r>
      <w:r>
        <w:rPr>
          <w:spacing w:val="-13"/>
        </w:rPr>
        <w:t> </w:t>
      </w:r>
      <w:r>
        <w:rPr/>
        <w:t>Участники встают вокруг него, образуя внешний круг.</w:t>
      </w:r>
    </w:p>
    <w:p>
      <w:pPr>
        <w:pStyle w:val="BodyText"/>
        <w:spacing w:line="230" w:lineRule="auto"/>
        <w:jc w:val="right"/>
      </w:pPr>
      <w:r>
        <w:rPr/>
        <w:t>Ведущий</w:t>
      </w:r>
      <w:r>
        <w:rPr>
          <w:spacing w:val="-3"/>
        </w:rPr>
        <w:t> </w:t>
      </w:r>
      <w:r>
        <w:rPr/>
        <w:t>предлагает</w:t>
      </w:r>
      <w:r>
        <w:rPr>
          <w:spacing w:val="-4"/>
        </w:rPr>
        <w:t> </w:t>
      </w:r>
      <w:r>
        <w:rPr/>
        <w:t>зайти</w:t>
      </w:r>
      <w:r>
        <w:rPr>
          <w:spacing w:val="-3"/>
        </w:rPr>
        <w:t> </w:t>
      </w:r>
      <w:r>
        <w:rPr/>
        <w:t>внутрь</w:t>
      </w:r>
      <w:r>
        <w:rPr>
          <w:spacing w:val="-3"/>
        </w:rPr>
        <w:t> </w:t>
      </w:r>
      <w:r>
        <w:rPr/>
        <w:t>круга</w:t>
      </w:r>
      <w:r>
        <w:rPr>
          <w:spacing w:val="-3"/>
        </w:rPr>
        <w:t> </w:t>
      </w:r>
      <w:r>
        <w:rPr/>
        <w:t>тех,</w:t>
      </w:r>
      <w:r>
        <w:rPr>
          <w:spacing w:val="-3"/>
        </w:rPr>
        <w:t> </w:t>
      </w:r>
      <w:r>
        <w:rPr/>
        <w:t>к</w:t>
      </w:r>
      <w:r>
        <w:rPr>
          <w:spacing w:val="-3"/>
        </w:rPr>
        <w:t> </w:t>
      </w:r>
      <w:r>
        <w:rPr/>
        <w:t>кому</w:t>
      </w:r>
      <w:r>
        <w:rPr>
          <w:spacing w:val="-3"/>
        </w:rPr>
        <w:t> </w:t>
      </w:r>
      <w:r>
        <w:rPr/>
        <w:t>относится</w:t>
      </w:r>
      <w:r>
        <w:rPr>
          <w:spacing w:val="-3"/>
        </w:rPr>
        <w:t> </w:t>
      </w:r>
      <w:r>
        <w:rPr/>
        <w:t>фраза,</w:t>
      </w:r>
      <w:r>
        <w:rPr>
          <w:spacing w:val="-4"/>
        </w:rPr>
        <w:t> </w:t>
      </w:r>
      <w:r>
        <w:rPr/>
        <w:t>которую</w:t>
      </w:r>
      <w:r>
        <w:rPr>
          <w:spacing w:val="-3"/>
        </w:rPr>
        <w:t> </w:t>
      </w:r>
      <w:r>
        <w:rPr/>
        <w:t>он будет</w:t>
      </w:r>
      <w:r>
        <w:rPr>
          <w:spacing w:val="-5"/>
        </w:rPr>
        <w:t> </w:t>
      </w:r>
      <w:r>
        <w:rPr/>
        <w:t>произносить.</w:t>
      </w:r>
      <w:r>
        <w:rPr>
          <w:spacing w:val="-5"/>
        </w:rPr>
        <w:t> </w:t>
      </w:r>
      <w:r>
        <w:rPr/>
        <w:t>После</w:t>
      </w:r>
      <w:r>
        <w:rPr>
          <w:spacing w:val="-5"/>
        </w:rPr>
        <w:t> </w:t>
      </w:r>
      <w:r>
        <w:rPr/>
        <w:t>того</w:t>
      </w:r>
      <w:r>
        <w:rPr>
          <w:spacing w:val="-5"/>
        </w:rPr>
        <w:t> </w:t>
      </w:r>
      <w:r>
        <w:rPr/>
        <w:t>как</w:t>
      </w:r>
      <w:r>
        <w:rPr>
          <w:spacing w:val="-5"/>
        </w:rPr>
        <w:t> </w:t>
      </w:r>
      <w:r>
        <w:rPr/>
        <w:t>фраза</w:t>
      </w:r>
      <w:r>
        <w:rPr>
          <w:spacing w:val="-5"/>
        </w:rPr>
        <w:t> </w:t>
      </w:r>
      <w:r>
        <w:rPr/>
        <w:t>произнесена</w:t>
      </w:r>
      <w:r>
        <w:rPr>
          <w:spacing w:val="-5"/>
        </w:rPr>
        <w:t> </w:t>
      </w:r>
      <w:r>
        <w:rPr/>
        <w:t>и</w:t>
      </w:r>
      <w:r>
        <w:rPr>
          <w:spacing w:val="-5"/>
        </w:rPr>
        <w:t> </w:t>
      </w:r>
      <w:r>
        <w:rPr/>
        <w:t>все</w:t>
      </w:r>
      <w:r>
        <w:rPr>
          <w:spacing w:val="-5"/>
        </w:rPr>
        <w:t> </w:t>
      </w:r>
      <w:r>
        <w:rPr/>
        <w:t>желающие</w:t>
      </w:r>
      <w:r>
        <w:rPr>
          <w:spacing w:val="-5"/>
        </w:rPr>
        <w:t> </w:t>
      </w:r>
      <w:r>
        <w:rPr/>
        <w:t>зашли</w:t>
      </w:r>
      <w:r>
        <w:rPr>
          <w:spacing w:val="-5"/>
        </w:rPr>
        <w:t> </w:t>
      </w:r>
      <w:r>
        <w:rPr/>
        <w:t>внутрь круга,</w:t>
      </w:r>
      <w:r>
        <w:rPr>
          <w:spacing w:val="-12"/>
        </w:rPr>
        <w:t> </w:t>
      </w:r>
      <w:r>
        <w:rPr/>
        <w:t>им</w:t>
      </w:r>
      <w:r>
        <w:rPr>
          <w:spacing w:val="-12"/>
        </w:rPr>
        <w:t> </w:t>
      </w:r>
      <w:r>
        <w:rPr/>
        <w:t>нужно</w:t>
      </w:r>
      <w:r>
        <w:rPr>
          <w:spacing w:val="-12"/>
        </w:rPr>
        <w:t> </w:t>
      </w:r>
      <w:r>
        <w:rPr/>
        <w:t>посмотреть</w:t>
      </w:r>
      <w:r>
        <w:rPr>
          <w:spacing w:val="-12"/>
        </w:rPr>
        <w:t> </w:t>
      </w:r>
      <w:r>
        <w:rPr/>
        <w:t>друг</w:t>
      </w:r>
      <w:r>
        <w:rPr>
          <w:spacing w:val="-12"/>
        </w:rPr>
        <w:t> </w:t>
      </w:r>
      <w:r>
        <w:rPr/>
        <w:t>на</w:t>
      </w:r>
      <w:r>
        <w:rPr>
          <w:spacing w:val="-12"/>
        </w:rPr>
        <w:t> </w:t>
      </w:r>
      <w:r>
        <w:rPr/>
        <w:t>друга,</w:t>
      </w:r>
      <w:r>
        <w:rPr>
          <w:spacing w:val="-12"/>
        </w:rPr>
        <w:t> </w:t>
      </w:r>
      <w:r>
        <w:rPr/>
        <w:t>а</w:t>
      </w:r>
      <w:r>
        <w:rPr>
          <w:spacing w:val="-12"/>
        </w:rPr>
        <w:t> </w:t>
      </w:r>
      <w:r>
        <w:rPr/>
        <w:t>затем</w:t>
      </w:r>
      <w:r>
        <w:rPr>
          <w:spacing w:val="-12"/>
        </w:rPr>
        <w:t> </w:t>
      </w:r>
      <w:r>
        <w:rPr/>
        <w:t>медленно</w:t>
      </w:r>
      <w:r>
        <w:rPr>
          <w:spacing w:val="-12"/>
        </w:rPr>
        <w:t> </w:t>
      </w:r>
      <w:r>
        <w:rPr/>
        <w:t>вернуться</w:t>
      </w:r>
      <w:r>
        <w:rPr>
          <w:spacing w:val="-12"/>
        </w:rPr>
        <w:t> </w:t>
      </w:r>
      <w:r>
        <w:rPr/>
        <w:t>на</w:t>
      </w:r>
      <w:r>
        <w:rPr>
          <w:spacing w:val="-12"/>
        </w:rPr>
        <w:t> </w:t>
      </w:r>
      <w:r>
        <w:rPr/>
        <w:t>свои</w:t>
      </w:r>
      <w:r>
        <w:rPr>
          <w:spacing w:val="-12"/>
        </w:rPr>
        <w:t> </w:t>
      </w:r>
      <w:r>
        <w:rPr/>
        <w:t>места. </w:t>
      </w:r>
      <w:r>
        <w:rPr>
          <w:spacing w:val="-2"/>
        </w:rPr>
        <w:t>Первые</w:t>
      </w:r>
      <w:r>
        <w:rPr>
          <w:spacing w:val="-7"/>
        </w:rPr>
        <w:t> </w:t>
      </w:r>
      <w:r>
        <w:rPr>
          <w:spacing w:val="-2"/>
        </w:rPr>
        <w:t>несколько</w:t>
      </w:r>
      <w:r>
        <w:rPr>
          <w:spacing w:val="-7"/>
        </w:rPr>
        <w:t> </w:t>
      </w:r>
      <w:r>
        <w:rPr>
          <w:spacing w:val="-2"/>
        </w:rPr>
        <w:t>«подходов»</w:t>
      </w:r>
      <w:r>
        <w:rPr>
          <w:spacing w:val="-7"/>
        </w:rPr>
        <w:t> </w:t>
      </w:r>
      <w:r>
        <w:rPr>
          <w:spacing w:val="-2"/>
        </w:rPr>
        <w:t>в</w:t>
      </w:r>
      <w:r>
        <w:rPr>
          <w:spacing w:val="-7"/>
        </w:rPr>
        <w:t> </w:t>
      </w:r>
      <w:r>
        <w:rPr>
          <w:spacing w:val="-2"/>
        </w:rPr>
        <w:t>роли</w:t>
      </w:r>
      <w:r>
        <w:rPr>
          <w:spacing w:val="-7"/>
        </w:rPr>
        <w:t> </w:t>
      </w:r>
      <w:r>
        <w:rPr>
          <w:spacing w:val="-2"/>
        </w:rPr>
        <w:t>ведущего</w:t>
      </w:r>
      <w:r>
        <w:rPr>
          <w:spacing w:val="-7"/>
        </w:rPr>
        <w:t> </w:t>
      </w:r>
      <w:r>
        <w:rPr>
          <w:spacing w:val="-2"/>
        </w:rPr>
        <w:t>выступает</w:t>
      </w:r>
      <w:r>
        <w:rPr>
          <w:spacing w:val="-7"/>
        </w:rPr>
        <w:t> </w:t>
      </w:r>
      <w:r>
        <w:rPr>
          <w:spacing w:val="-2"/>
        </w:rPr>
        <w:t>психолог;</w:t>
      </w:r>
      <w:r>
        <w:rPr>
          <w:spacing w:val="-6"/>
        </w:rPr>
        <w:t> </w:t>
      </w:r>
      <w:r>
        <w:rPr>
          <w:spacing w:val="-2"/>
        </w:rPr>
        <w:t>ниже</w:t>
      </w:r>
      <w:r>
        <w:rPr>
          <w:spacing w:val="-7"/>
        </w:rPr>
        <w:t> </w:t>
      </w:r>
      <w:r>
        <w:rPr>
          <w:spacing w:val="-2"/>
        </w:rPr>
        <w:t>можно</w:t>
      </w:r>
      <w:r>
        <w:rPr>
          <w:spacing w:val="-7"/>
        </w:rPr>
        <w:t> </w:t>
      </w:r>
      <w:r>
        <w:rPr>
          <w:spacing w:val="-2"/>
        </w:rPr>
        <w:t>най- </w:t>
      </w:r>
      <w:r>
        <w:rPr/>
        <w:t>ти</w:t>
      </w:r>
      <w:r>
        <w:rPr>
          <w:spacing w:val="-6"/>
        </w:rPr>
        <w:t> </w:t>
      </w:r>
      <w:r>
        <w:rPr/>
        <w:t>примеры</w:t>
      </w:r>
      <w:r>
        <w:rPr>
          <w:spacing w:val="-5"/>
        </w:rPr>
        <w:t> </w:t>
      </w:r>
      <w:r>
        <w:rPr/>
        <w:t>заготовок</w:t>
      </w:r>
      <w:r>
        <w:rPr>
          <w:spacing w:val="-5"/>
        </w:rPr>
        <w:t> </w:t>
      </w:r>
      <w:r>
        <w:rPr/>
        <w:t>фраз</w:t>
      </w:r>
      <w:r>
        <w:rPr>
          <w:spacing w:val="-5"/>
        </w:rPr>
        <w:t> </w:t>
      </w:r>
      <w:r>
        <w:rPr/>
        <w:t>для</w:t>
      </w:r>
      <w:r>
        <w:rPr>
          <w:spacing w:val="-5"/>
        </w:rPr>
        <w:t> </w:t>
      </w:r>
      <w:r>
        <w:rPr/>
        <w:t>начала</w:t>
      </w:r>
      <w:r>
        <w:rPr>
          <w:spacing w:val="-5"/>
        </w:rPr>
        <w:t> </w:t>
      </w:r>
      <w:r>
        <w:rPr/>
        <w:t>упражнения,</w:t>
      </w:r>
      <w:r>
        <w:rPr>
          <w:spacing w:val="-5"/>
        </w:rPr>
        <w:t> </w:t>
      </w:r>
      <w:r>
        <w:rPr/>
        <w:t>которые</w:t>
      </w:r>
      <w:r>
        <w:rPr>
          <w:spacing w:val="-5"/>
        </w:rPr>
        <w:t> </w:t>
      </w:r>
      <w:r>
        <w:rPr/>
        <w:t>он</w:t>
      </w:r>
      <w:r>
        <w:rPr>
          <w:spacing w:val="-6"/>
        </w:rPr>
        <w:t> </w:t>
      </w:r>
      <w:r>
        <w:rPr/>
        <w:t>может</w:t>
      </w:r>
      <w:r>
        <w:rPr>
          <w:spacing w:val="-5"/>
        </w:rPr>
        <w:t> </w:t>
      </w:r>
      <w:r>
        <w:rPr/>
        <w:t>использовать. После того как группа «разогрелась», ведущий предлагает кому-то из участников стать</w:t>
      </w:r>
      <w:r>
        <w:rPr>
          <w:spacing w:val="-11"/>
        </w:rPr>
        <w:t> </w:t>
      </w:r>
      <w:r>
        <w:rPr/>
        <w:t>ведущим</w:t>
      </w:r>
      <w:r>
        <w:rPr>
          <w:spacing w:val="-11"/>
        </w:rPr>
        <w:t> </w:t>
      </w:r>
      <w:r>
        <w:rPr/>
        <w:t>и</w:t>
      </w:r>
      <w:r>
        <w:rPr>
          <w:spacing w:val="-10"/>
        </w:rPr>
        <w:t> </w:t>
      </w:r>
      <w:r>
        <w:rPr/>
        <w:t>придумать</w:t>
      </w:r>
      <w:r>
        <w:rPr>
          <w:spacing w:val="-11"/>
        </w:rPr>
        <w:t> </w:t>
      </w:r>
      <w:r>
        <w:rPr/>
        <w:t>свою</w:t>
      </w:r>
      <w:r>
        <w:rPr>
          <w:spacing w:val="-10"/>
        </w:rPr>
        <w:t> </w:t>
      </w:r>
      <w:r>
        <w:rPr/>
        <w:t>фразу,</w:t>
      </w:r>
      <w:r>
        <w:rPr>
          <w:spacing w:val="-11"/>
        </w:rPr>
        <w:t> </w:t>
      </w:r>
      <w:r>
        <w:rPr/>
        <w:t>чтобы</w:t>
      </w:r>
      <w:r>
        <w:rPr>
          <w:spacing w:val="-10"/>
        </w:rPr>
        <w:t> </w:t>
      </w:r>
      <w:r>
        <w:rPr/>
        <w:t>было</w:t>
      </w:r>
      <w:r>
        <w:rPr>
          <w:spacing w:val="-11"/>
        </w:rPr>
        <w:t> </w:t>
      </w:r>
      <w:r>
        <w:rPr/>
        <w:t>понятно,</w:t>
      </w:r>
      <w:r>
        <w:rPr>
          <w:spacing w:val="-10"/>
        </w:rPr>
        <w:t> </w:t>
      </w:r>
      <w:r>
        <w:rPr/>
        <w:t>кого</w:t>
      </w:r>
      <w:r>
        <w:rPr>
          <w:spacing w:val="-11"/>
        </w:rPr>
        <w:t> </w:t>
      </w:r>
      <w:r>
        <w:rPr/>
        <w:t>он</w:t>
      </w:r>
      <w:r>
        <w:rPr>
          <w:spacing w:val="-10"/>
        </w:rPr>
        <w:t> </w:t>
      </w:r>
      <w:r>
        <w:rPr/>
        <w:t>просит</w:t>
      </w:r>
      <w:r>
        <w:rPr>
          <w:spacing w:val="-11"/>
        </w:rPr>
        <w:t> </w:t>
      </w:r>
      <w:r>
        <w:rPr/>
        <w:t>выйти</w:t>
      </w:r>
      <w:r>
        <w:rPr>
          <w:spacing w:val="-10"/>
        </w:rPr>
        <w:t> в</w:t>
      </w:r>
    </w:p>
    <w:p>
      <w:pPr>
        <w:pStyle w:val="BodyText"/>
        <w:spacing w:line="212" w:lineRule="exact"/>
        <w:ind w:right="0" w:firstLine="0"/>
        <w:jc w:val="left"/>
      </w:pPr>
      <w:r>
        <w:rPr/>
        <w:t>круг.</w:t>
      </w:r>
      <w:r>
        <w:rPr>
          <w:spacing w:val="-12"/>
        </w:rPr>
        <w:t> </w:t>
      </w:r>
      <w:r>
        <w:rPr/>
        <w:t>Затем</w:t>
      </w:r>
      <w:r>
        <w:rPr>
          <w:spacing w:val="-9"/>
        </w:rPr>
        <w:t> </w:t>
      </w:r>
      <w:r>
        <w:rPr/>
        <w:t>тот,</w:t>
      </w:r>
      <w:r>
        <w:rPr>
          <w:spacing w:val="-9"/>
        </w:rPr>
        <w:t> </w:t>
      </w:r>
      <w:r>
        <w:rPr/>
        <w:t>кто</w:t>
      </w:r>
      <w:r>
        <w:rPr>
          <w:spacing w:val="-9"/>
        </w:rPr>
        <w:t> </w:t>
      </w:r>
      <w:r>
        <w:rPr/>
        <w:t>был</w:t>
      </w:r>
      <w:r>
        <w:rPr>
          <w:spacing w:val="-9"/>
        </w:rPr>
        <w:t> </w:t>
      </w:r>
      <w:r>
        <w:rPr/>
        <w:t>ведущим,</w:t>
      </w:r>
      <w:r>
        <w:rPr>
          <w:spacing w:val="-9"/>
        </w:rPr>
        <w:t> </w:t>
      </w:r>
      <w:r>
        <w:rPr/>
        <w:t>передает</w:t>
      </w:r>
      <w:r>
        <w:rPr>
          <w:spacing w:val="-9"/>
        </w:rPr>
        <w:t> </w:t>
      </w:r>
      <w:r>
        <w:rPr/>
        <w:t>свою</w:t>
      </w:r>
      <w:r>
        <w:rPr>
          <w:spacing w:val="-10"/>
        </w:rPr>
        <w:t> </w:t>
      </w:r>
      <w:r>
        <w:rPr/>
        <w:t>роль</w:t>
      </w:r>
      <w:r>
        <w:rPr>
          <w:spacing w:val="-9"/>
        </w:rPr>
        <w:t> </w:t>
      </w:r>
      <w:r>
        <w:rPr/>
        <w:t>другому</w:t>
      </w:r>
      <w:r>
        <w:rPr>
          <w:spacing w:val="-9"/>
        </w:rPr>
        <w:t> </w:t>
      </w:r>
      <w:r>
        <w:rPr>
          <w:spacing w:val="-2"/>
        </w:rPr>
        <w:t>участнику.</w:t>
      </w:r>
    </w:p>
    <w:p>
      <w:pPr>
        <w:pStyle w:val="BodyText"/>
        <w:spacing w:line="230" w:lineRule="auto"/>
        <w:ind w:right="0"/>
        <w:jc w:val="left"/>
      </w:pPr>
      <w:r>
        <w:rPr/>
        <w:t>По завершении упражнения обсуждение строится вокруг того, что и как объеди- няет друг с другом участников тренинга.</w:t>
      </w:r>
    </w:p>
    <w:p>
      <w:pPr>
        <w:pStyle w:val="BodyText"/>
        <w:spacing w:line="216" w:lineRule="exact"/>
        <w:ind w:left="425" w:right="0" w:firstLine="0"/>
        <w:jc w:val="left"/>
      </w:pPr>
      <w:r>
        <w:rPr/>
        <w:t>Фразы</w:t>
      </w:r>
      <w:r>
        <w:rPr>
          <w:spacing w:val="-5"/>
        </w:rPr>
        <w:t> </w:t>
      </w:r>
      <w:r>
        <w:rPr/>
        <w:t>для</w:t>
      </w:r>
      <w:r>
        <w:rPr>
          <w:spacing w:val="-3"/>
        </w:rPr>
        <w:t> </w:t>
      </w:r>
      <w:r>
        <w:rPr/>
        <w:t>начала</w:t>
      </w:r>
      <w:r>
        <w:rPr>
          <w:spacing w:val="-2"/>
        </w:rPr>
        <w:t> упражнения:</w:t>
      </w:r>
    </w:p>
    <w:p>
      <w:pPr>
        <w:pStyle w:val="ListParagraph"/>
        <w:numPr>
          <w:ilvl w:val="0"/>
          <w:numId w:val="291"/>
        </w:numPr>
        <w:tabs>
          <w:tab w:pos="575" w:val="left" w:leader="none"/>
        </w:tabs>
        <w:spacing w:line="220" w:lineRule="exact" w:before="0" w:after="0"/>
        <w:ind w:left="575" w:right="0" w:hanging="150"/>
        <w:jc w:val="left"/>
        <w:rPr>
          <w:i/>
          <w:sz w:val="20"/>
        </w:rPr>
      </w:pPr>
      <w:r>
        <w:rPr>
          <w:i/>
          <w:sz w:val="20"/>
        </w:rPr>
        <w:t>Кто</w:t>
      </w:r>
      <w:r>
        <w:rPr>
          <w:i/>
          <w:spacing w:val="-3"/>
          <w:sz w:val="20"/>
        </w:rPr>
        <w:t> </w:t>
      </w:r>
      <w:r>
        <w:rPr>
          <w:i/>
          <w:sz w:val="20"/>
        </w:rPr>
        <w:t>мечтает</w:t>
      </w:r>
      <w:r>
        <w:rPr>
          <w:i/>
          <w:spacing w:val="-4"/>
          <w:sz w:val="20"/>
        </w:rPr>
        <w:t> </w:t>
      </w:r>
      <w:r>
        <w:rPr>
          <w:i/>
          <w:sz w:val="20"/>
        </w:rPr>
        <w:t>в</w:t>
      </w:r>
      <w:r>
        <w:rPr>
          <w:i/>
          <w:spacing w:val="-4"/>
          <w:sz w:val="20"/>
        </w:rPr>
        <w:t> </w:t>
      </w:r>
      <w:r>
        <w:rPr>
          <w:i/>
          <w:sz w:val="20"/>
        </w:rPr>
        <w:t>будущем</w:t>
      </w:r>
      <w:r>
        <w:rPr>
          <w:i/>
          <w:spacing w:val="-4"/>
          <w:sz w:val="20"/>
        </w:rPr>
        <w:t> </w:t>
      </w:r>
      <w:r>
        <w:rPr>
          <w:i/>
          <w:sz w:val="20"/>
        </w:rPr>
        <w:t>стать</w:t>
      </w:r>
      <w:r>
        <w:rPr>
          <w:i/>
          <w:spacing w:val="-3"/>
          <w:sz w:val="20"/>
        </w:rPr>
        <w:t> </w:t>
      </w:r>
      <w:r>
        <w:rPr>
          <w:i/>
          <w:spacing w:val="-2"/>
          <w:sz w:val="20"/>
        </w:rPr>
        <w:t>успешным?</w:t>
      </w:r>
    </w:p>
    <w:p>
      <w:pPr>
        <w:pStyle w:val="ListParagraph"/>
        <w:numPr>
          <w:ilvl w:val="0"/>
          <w:numId w:val="291"/>
        </w:numPr>
        <w:tabs>
          <w:tab w:pos="575" w:val="left" w:leader="none"/>
        </w:tabs>
        <w:spacing w:line="220" w:lineRule="exact" w:before="0" w:after="0"/>
        <w:ind w:left="575" w:right="0" w:hanging="150"/>
        <w:jc w:val="left"/>
        <w:rPr>
          <w:i/>
          <w:sz w:val="20"/>
        </w:rPr>
      </w:pPr>
      <w:r>
        <w:rPr>
          <w:i/>
          <w:sz w:val="20"/>
        </w:rPr>
        <w:t>Кто</w:t>
      </w:r>
      <w:r>
        <w:rPr>
          <w:i/>
          <w:spacing w:val="-4"/>
          <w:sz w:val="20"/>
        </w:rPr>
        <w:t> </w:t>
      </w:r>
      <w:r>
        <w:rPr>
          <w:i/>
          <w:sz w:val="20"/>
        </w:rPr>
        <w:t>чувствует,</w:t>
      </w:r>
      <w:r>
        <w:rPr>
          <w:i/>
          <w:spacing w:val="-2"/>
          <w:sz w:val="20"/>
        </w:rPr>
        <w:t> </w:t>
      </w:r>
      <w:r>
        <w:rPr>
          <w:i/>
          <w:sz w:val="20"/>
        </w:rPr>
        <w:t>что</w:t>
      </w:r>
      <w:r>
        <w:rPr>
          <w:i/>
          <w:spacing w:val="-2"/>
          <w:sz w:val="20"/>
        </w:rPr>
        <w:t> </w:t>
      </w:r>
      <w:r>
        <w:rPr>
          <w:i/>
          <w:sz w:val="20"/>
        </w:rPr>
        <w:t>его</w:t>
      </w:r>
      <w:r>
        <w:rPr>
          <w:i/>
          <w:spacing w:val="-2"/>
          <w:sz w:val="20"/>
        </w:rPr>
        <w:t> </w:t>
      </w:r>
      <w:r>
        <w:rPr>
          <w:i/>
          <w:sz w:val="20"/>
        </w:rPr>
        <w:t>не</w:t>
      </w:r>
      <w:r>
        <w:rPr>
          <w:i/>
          <w:spacing w:val="-2"/>
          <w:sz w:val="20"/>
        </w:rPr>
        <w:t> </w:t>
      </w:r>
      <w:r>
        <w:rPr>
          <w:i/>
          <w:sz w:val="20"/>
        </w:rPr>
        <w:t>понимают</w:t>
      </w:r>
      <w:r>
        <w:rPr>
          <w:i/>
          <w:spacing w:val="-2"/>
          <w:sz w:val="20"/>
        </w:rPr>
        <w:t> другие?</w:t>
      </w:r>
    </w:p>
    <w:p>
      <w:pPr>
        <w:pStyle w:val="ListParagraph"/>
        <w:numPr>
          <w:ilvl w:val="0"/>
          <w:numId w:val="291"/>
        </w:numPr>
        <w:tabs>
          <w:tab w:pos="575" w:val="left" w:leader="none"/>
        </w:tabs>
        <w:spacing w:line="220" w:lineRule="exact" w:before="0" w:after="0"/>
        <w:ind w:left="575" w:right="0" w:hanging="150"/>
        <w:jc w:val="left"/>
        <w:rPr>
          <w:i/>
          <w:sz w:val="20"/>
        </w:rPr>
      </w:pPr>
      <w:r>
        <w:rPr>
          <w:i/>
          <w:sz w:val="20"/>
        </w:rPr>
        <w:t>У</w:t>
      </w:r>
      <w:r>
        <w:rPr>
          <w:i/>
          <w:spacing w:val="-3"/>
          <w:sz w:val="20"/>
        </w:rPr>
        <w:t> </w:t>
      </w:r>
      <w:r>
        <w:rPr>
          <w:i/>
          <w:sz w:val="20"/>
        </w:rPr>
        <w:t>кого</w:t>
      </w:r>
      <w:r>
        <w:rPr>
          <w:i/>
          <w:spacing w:val="-3"/>
          <w:sz w:val="20"/>
        </w:rPr>
        <w:t> </w:t>
      </w:r>
      <w:r>
        <w:rPr>
          <w:i/>
          <w:sz w:val="20"/>
        </w:rPr>
        <w:t>много</w:t>
      </w:r>
      <w:r>
        <w:rPr>
          <w:i/>
          <w:spacing w:val="-2"/>
          <w:sz w:val="20"/>
        </w:rPr>
        <w:t> родственников?</w:t>
      </w:r>
    </w:p>
    <w:p>
      <w:pPr>
        <w:pStyle w:val="ListParagraph"/>
        <w:numPr>
          <w:ilvl w:val="0"/>
          <w:numId w:val="291"/>
        </w:numPr>
        <w:tabs>
          <w:tab w:pos="575" w:val="left" w:leader="none"/>
        </w:tabs>
        <w:spacing w:line="223" w:lineRule="exact" w:before="0" w:after="0"/>
        <w:ind w:left="575" w:right="0" w:hanging="150"/>
        <w:jc w:val="left"/>
        <w:rPr>
          <w:i/>
          <w:sz w:val="20"/>
        </w:rPr>
      </w:pPr>
      <w:r>
        <w:rPr>
          <w:i/>
          <w:sz w:val="20"/>
        </w:rPr>
        <w:t>Кто</w:t>
      </w:r>
      <w:r>
        <w:rPr>
          <w:i/>
          <w:spacing w:val="-4"/>
          <w:sz w:val="20"/>
        </w:rPr>
        <w:t> </w:t>
      </w:r>
      <w:r>
        <w:rPr>
          <w:i/>
          <w:sz w:val="20"/>
        </w:rPr>
        <w:t>приехал</w:t>
      </w:r>
      <w:r>
        <w:rPr>
          <w:i/>
          <w:spacing w:val="-3"/>
          <w:sz w:val="20"/>
        </w:rPr>
        <w:t> </w:t>
      </w:r>
      <w:r>
        <w:rPr>
          <w:i/>
          <w:sz w:val="20"/>
        </w:rPr>
        <w:t>издалека</w:t>
      </w:r>
      <w:r>
        <w:rPr>
          <w:i/>
          <w:spacing w:val="-3"/>
          <w:sz w:val="20"/>
        </w:rPr>
        <w:t> </w:t>
      </w:r>
      <w:r>
        <w:rPr>
          <w:i/>
          <w:sz w:val="20"/>
        </w:rPr>
        <w:t>чтобы</w:t>
      </w:r>
      <w:r>
        <w:rPr>
          <w:i/>
          <w:spacing w:val="-4"/>
          <w:sz w:val="20"/>
        </w:rPr>
        <w:t> </w:t>
      </w:r>
      <w:r>
        <w:rPr>
          <w:i/>
          <w:sz w:val="20"/>
        </w:rPr>
        <w:t>жить</w:t>
      </w:r>
      <w:r>
        <w:rPr>
          <w:i/>
          <w:spacing w:val="-4"/>
          <w:sz w:val="20"/>
        </w:rPr>
        <w:t> </w:t>
      </w:r>
      <w:r>
        <w:rPr>
          <w:i/>
          <w:sz w:val="20"/>
        </w:rPr>
        <w:t>в</w:t>
      </w:r>
      <w:r>
        <w:rPr>
          <w:i/>
          <w:spacing w:val="-4"/>
          <w:sz w:val="20"/>
        </w:rPr>
        <w:t> </w:t>
      </w:r>
      <w:r>
        <w:rPr>
          <w:i/>
          <w:sz w:val="20"/>
        </w:rPr>
        <w:t>нашем</w:t>
      </w:r>
      <w:r>
        <w:rPr>
          <w:i/>
          <w:spacing w:val="-4"/>
          <w:sz w:val="20"/>
        </w:rPr>
        <w:t> </w:t>
      </w:r>
      <w:r>
        <w:rPr>
          <w:i/>
          <w:sz w:val="20"/>
        </w:rPr>
        <w:t>городе</w:t>
      </w:r>
      <w:r>
        <w:rPr>
          <w:i/>
          <w:spacing w:val="-3"/>
          <w:sz w:val="20"/>
        </w:rPr>
        <w:t> </w:t>
      </w:r>
      <w:r>
        <w:rPr>
          <w:i/>
          <w:sz w:val="20"/>
        </w:rPr>
        <w:t>(селе,</w:t>
      </w:r>
      <w:r>
        <w:rPr>
          <w:i/>
          <w:spacing w:val="-3"/>
          <w:sz w:val="20"/>
        </w:rPr>
        <w:t> </w:t>
      </w:r>
      <w:r>
        <w:rPr>
          <w:i/>
          <w:spacing w:val="-2"/>
          <w:sz w:val="20"/>
        </w:rPr>
        <w:t>регионе)?</w:t>
      </w:r>
    </w:p>
    <w:p>
      <w:pPr>
        <w:pStyle w:val="ListParagraph"/>
        <w:numPr>
          <w:ilvl w:val="0"/>
          <w:numId w:val="291"/>
        </w:numPr>
        <w:tabs>
          <w:tab w:pos="575" w:val="left" w:leader="none"/>
        </w:tabs>
        <w:spacing w:line="228" w:lineRule="exact" w:before="0" w:after="0"/>
        <w:ind w:left="575" w:right="0" w:hanging="150"/>
        <w:jc w:val="left"/>
        <w:rPr>
          <w:i/>
          <w:sz w:val="20"/>
        </w:rPr>
      </w:pPr>
      <w:r>
        <w:rPr>
          <w:i/>
          <w:sz w:val="20"/>
        </w:rPr>
        <w:t>Кому</w:t>
      </w:r>
      <w:r>
        <w:rPr>
          <w:i/>
          <w:spacing w:val="-6"/>
          <w:sz w:val="20"/>
        </w:rPr>
        <w:t> </w:t>
      </w:r>
      <w:r>
        <w:rPr>
          <w:i/>
          <w:sz w:val="20"/>
        </w:rPr>
        <w:t>тяжело</w:t>
      </w:r>
      <w:r>
        <w:rPr>
          <w:i/>
          <w:spacing w:val="-5"/>
          <w:sz w:val="20"/>
        </w:rPr>
        <w:t> </w:t>
      </w:r>
      <w:r>
        <w:rPr>
          <w:i/>
          <w:sz w:val="20"/>
        </w:rPr>
        <w:t>учиться</w:t>
      </w:r>
      <w:r>
        <w:rPr>
          <w:i/>
          <w:spacing w:val="-5"/>
          <w:sz w:val="20"/>
        </w:rPr>
        <w:t> </w:t>
      </w:r>
      <w:r>
        <w:rPr>
          <w:i/>
          <w:sz w:val="20"/>
        </w:rPr>
        <w:t>в</w:t>
      </w:r>
      <w:r>
        <w:rPr>
          <w:i/>
          <w:spacing w:val="-6"/>
          <w:sz w:val="20"/>
        </w:rPr>
        <w:t> </w:t>
      </w:r>
      <w:r>
        <w:rPr>
          <w:i/>
          <w:spacing w:val="-2"/>
          <w:sz w:val="20"/>
        </w:rPr>
        <w:t>школе?</w:t>
      </w:r>
    </w:p>
    <w:p>
      <w:pPr>
        <w:pStyle w:val="ListParagraph"/>
        <w:spacing w:after="0" w:line="228" w:lineRule="exact"/>
        <w:jc w:val="left"/>
        <w:rPr>
          <w:i/>
          <w:sz w:val="20"/>
        </w:rPr>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before="109"/>
        <w:ind w:left="303" w:right="303" w:firstLine="0"/>
        <w:jc w:val="center"/>
        <w:rPr>
          <w:b/>
          <w:sz w:val="20"/>
        </w:rPr>
      </w:pPr>
      <w:r>
        <w:rPr>
          <w:b/>
          <w:sz w:val="20"/>
          <w:u w:val="single"/>
        </w:rPr>
        <w:t>Завершающие </w:t>
      </w:r>
      <w:r>
        <w:rPr>
          <w:b/>
          <w:spacing w:val="-2"/>
          <w:sz w:val="20"/>
          <w:u w:val="single"/>
        </w:rPr>
        <w:t>упражнения</w:t>
      </w:r>
    </w:p>
    <w:p>
      <w:pPr>
        <w:spacing w:before="109"/>
        <w:ind w:left="303" w:right="303" w:firstLine="0"/>
        <w:jc w:val="center"/>
        <w:rPr>
          <w:b/>
          <w:sz w:val="20"/>
        </w:rPr>
      </w:pPr>
      <w:r>
        <w:rPr>
          <w:b/>
          <w:spacing w:val="-2"/>
          <w:sz w:val="20"/>
        </w:rPr>
        <w:t>«Домино»</w:t>
      </w:r>
    </w:p>
    <w:p>
      <w:pPr>
        <w:spacing w:line="235" w:lineRule="auto" w:before="113"/>
        <w:ind w:left="1931" w:right="139" w:firstLine="813"/>
        <w:jc w:val="right"/>
        <w:rPr>
          <w:i/>
          <w:sz w:val="20"/>
        </w:rPr>
      </w:pPr>
      <w:r>
        <w:rPr>
          <w:b/>
          <w:i/>
          <w:sz w:val="20"/>
        </w:rPr>
        <w:t>Источник</w:t>
      </w:r>
      <w:r>
        <w:rPr>
          <w:i/>
          <w:sz w:val="20"/>
        </w:rPr>
        <w:t>:</w:t>
      </w:r>
      <w:r>
        <w:rPr>
          <w:i/>
          <w:spacing w:val="-11"/>
          <w:sz w:val="20"/>
        </w:rPr>
        <w:t> </w:t>
      </w:r>
      <w:r>
        <w:rPr>
          <w:i/>
          <w:sz w:val="20"/>
        </w:rPr>
        <w:t>Аксельрод</w:t>
      </w:r>
      <w:r>
        <w:rPr>
          <w:i/>
          <w:spacing w:val="-11"/>
          <w:sz w:val="20"/>
        </w:rPr>
        <w:t> </w:t>
      </w:r>
      <w:r>
        <w:rPr>
          <w:i/>
          <w:sz w:val="20"/>
        </w:rPr>
        <w:t>А.,</w:t>
      </w:r>
      <w:r>
        <w:rPr>
          <w:i/>
          <w:spacing w:val="-11"/>
          <w:sz w:val="20"/>
        </w:rPr>
        <w:t> </w:t>
      </w:r>
      <w:r>
        <w:rPr>
          <w:i/>
          <w:sz w:val="20"/>
        </w:rPr>
        <w:t>Любарская</w:t>
      </w:r>
      <w:r>
        <w:rPr>
          <w:i/>
          <w:spacing w:val="-11"/>
          <w:sz w:val="20"/>
        </w:rPr>
        <w:t> </w:t>
      </w:r>
      <w:r>
        <w:rPr>
          <w:i/>
          <w:sz w:val="20"/>
        </w:rPr>
        <w:t>Е.</w:t>
      </w:r>
      <w:r>
        <w:rPr>
          <w:i/>
          <w:spacing w:val="-11"/>
          <w:sz w:val="20"/>
        </w:rPr>
        <w:t> </w:t>
      </w:r>
      <w:r>
        <w:rPr>
          <w:i/>
          <w:sz w:val="20"/>
        </w:rPr>
        <w:t>Мир</w:t>
      </w:r>
      <w:r>
        <w:rPr>
          <w:i/>
          <w:spacing w:val="-11"/>
          <w:sz w:val="20"/>
        </w:rPr>
        <w:t> </w:t>
      </w:r>
      <w:r>
        <w:rPr>
          <w:i/>
          <w:sz w:val="20"/>
        </w:rPr>
        <w:t>различий. Сборник</w:t>
      </w:r>
      <w:r>
        <w:rPr>
          <w:i/>
          <w:spacing w:val="-6"/>
          <w:sz w:val="20"/>
        </w:rPr>
        <w:t> </w:t>
      </w:r>
      <w:r>
        <w:rPr>
          <w:i/>
          <w:sz w:val="20"/>
        </w:rPr>
        <w:t>упражнений</w:t>
      </w:r>
      <w:r>
        <w:rPr>
          <w:i/>
          <w:spacing w:val="-5"/>
          <w:sz w:val="20"/>
        </w:rPr>
        <w:t> </w:t>
      </w:r>
      <w:r>
        <w:rPr>
          <w:i/>
          <w:sz w:val="20"/>
        </w:rPr>
        <w:t>для</w:t>
      </w:r>
      <w:r>
        <w:rPr>
          <w:i/>
          <w:spacing w:val="-6"/>
          <w:sz w:val="20"/>
        </w:rPr>
        <w:t> </w:t>
      </w:r>
      <w:r>
        <w:rPr>
          <w:i/>
          <w:sz w:val="20"/>
        </w:rPr>
        <w:t>учащихся</w:t>
      </w:r>
      <w:r>
        <w:rPr>
          <w:i/>
          <w:spacing w:val="-5"/>
          <w:sz w:val="20"/>
        </w:rPr>
        <w:t> </w:t>
      </w:r>
      <w:r>
        <w:rPr>
          <w:i/>
          <w:sz w:val="20"/>
        </w:rPr>
        <w:t>общеобразовательных</w:t>
      </w:r>
      <w:r>
        <w:rPr>
          <w:i/>
          <w:spacing w:val="-5"/>
          <w:sz w:val="20"/>
        </w:rPr>
        <w:t> </w:t>
      </w:r>
      <w:r>
        <w:rPr>
          <w:i/>
          <w:spacing w:val="-4"/>
          <w:sz w:val="20"/>
        </w:rPr>
        <w:t>школ</w:t>
      </w:r>
    </w:p>
    <w:p>
      <w:pPr>
        <w:pStyle w:val="BodyText"/>
        <w:spacing w:line="235" w:lineRule="auto" w:before="115"/>
      </w:pPr>
      <w:r>
        <w:rPr/>
        <w:t>Ведущий напоминает участникам правила игры в домино и предлагает им пои- грать в особенное домино.</w:t>
      </w:r>
    </w:p>
    <w:p>
      <w:pPr>
        <w:pStyle w:val="BodyText"/>
        <w:spacing w:line="225" w:lineRule="exact"/>
        <w:ind w:left="425" w:right="0" w:firstLine="0"/>
      </w:pPr>
      <w:r>
        <w:rPr/>
        <w:t>Правила </w:t>
      </w:r>
      <w:r>
        <w:rPr>
          <w:spacing w:val="-4"/>
        </w:rPr>
        <w:t>игры</w:t>
      </w:r>
    </w:p>
    <w:p>
      <w:pPr>
        <w:pStyle w:val="BodyText"/>
        <w:spacing w:line="235" w:lineRule="auto" w:before="2"/>
      </w:pPr>
      <w:r>
        <w:rPr/>
        <w:t>Первый</w:t>
      </w:r>
      <w:r>
        <w:rPr>
          <w:spacing w:val="-9"/>
        </w:rPr>
        <w:t> </w:t>
      </w:r>
      <w:r>
        <w:rPr/>
        <w:t>участник</w:t>
      </w:r>
      <w:r>
        <w:rPr>
          <w:spacing w:val="-9"/>
        </w:rPr>
        <w:t> </w:t>
      </w:r>
      <w:r>
        <w:rPr/>
        <w:t>(желательно</w:t>
      </w:r>
      <w:r>
        <w:rPr>
          <w:spacing w:val="-10"/>
        </w:rPr>
        <w:t> </w:t>
      </w:r>
      <w:r>
        <w:rPr/>
        <w:t>–</w:t>
      </w:r>
      <w:r>
        <w:rPr>
          <w:spacing w:val="-10"/>
        </w:rPr>
        <w:t> </w:t>
      </w:r>
      <w:r>
        <w:rPr/>
        <w:t>ведущий)</w:t>
      </w:r>
      <w:r>
        <w:rPr>
          <w:spacing w:val="-9"/>
        </w:rPr>
        <w:t> </w:t>
      </w:r>
      <w:r>
        <w:rPr/>
        <w:t>становится</w:t>
      </w:r>
      <w:r>
        <w:rPr>
          <w:spacing w:val="-10"/>
        </w:rPr>
        <w:t> </w:t>
      </w:r>
      <w:r>
        <w:rPr/>
        <w:t>в</w:t>
      </w:r>
      <w:r>
        <w:rPr>
          <w:spacing w:val="-10"/>
        </w:rPr>
        <w:t> </w:t>
      </w:r>
      <w:r>
        <w:rPr/>
        <w:t>центр</w:t>
      </w:r>
      <w:r>
        <w:rPr>
          <w:spacing w:val="-9"/>
        </w:rPr>
        <w:t> </w:t>
      </w:r>
      <w:r>
        <w:rPr/>
        <w:t>и</w:t>
      </w:r>
      <w:r>
        <w:rPr>
          <w:spacing w:val="-10"/>
        </w:rPr>
        <w:t> </w:t>
      </w:r>
      <w:r>
        <w:rPr/>
        <w:t>называет</w:t>
      </w:r>
      <w:r>
        <w:rPr>
          <w:spacing w:val="-10"/>
        </w:rPr>
        <w:t> </w:t>
      </w:r>
      <w:r>
        <w:rPr/>
        <w:t>две</w:t>
      </w:r>
      <w:r>
        <w:rPr>
          <w:spacing w:val="-9"/>
        </w:rPr>
        <w:t> </w:t>
      </w:r>
      <w:r>
        <w:rPr/>
        <w:t>свои характеристики. Например: «С одной стороны, я ношу очки, с другой – люблю мо- роженое». Участник, который тоже носит очки или тоже любит мороженое, подхо- дит</w:t>
      </w:r>
      <w:r>
        <w:rPr>
          <w:spacing w:val="-2"/>
        </w:rPr>
        <w:t> </w:t>
      </w:r>
      <w:r>
        <w:rPr/>
        <w:t>к</w:t>
      </w:r>
      <w:r>
        <w:rPr>
          <w:spacing w:val="-2"/>
        </w:rPr>
        <w:t> </w:t>
      </w:r>
      <w:r>
        <w:rPr/>
        <w:t>первому</w:t>
      </w:r>
      <w:r>
        <w:rPr>
          <w:spacing w:val="-2"/>
        </w:rPr>
        <w:t> </w:t>
      </w:r>
      <w:r>
        <w:rPr/>
        <w:t>участнику</w:t>
      </w:r>
      <w:r>
        <w:rPr>
          <w:spacing w:val="-2"/>
        </w:rPr>
        <w:t> </w:t>
      </w:r>
      <w:r>
        <w:rPr/>
        <w:t>и</w:t>
      </w:r>
      <w:r>
        <w:rPr>
          <w:spacing w:val="-2"/>
        </w:rPr>
        <w:t> </w:t>
      </w:r>
      <w:r>
        <w:rPr/>
        <w:t>берет</w:t>
      </w:r>
      <w:r>
        <w:rPr>
          <w:spacing w:val="-2"/>
        </w:rPr>
        <w:t> </w:t>
      </w:r>
      <w:r>
        <w:rPr/>
        <w:t>его</w:t>
      </w:r>
      <w:r>
        <w:rPr>
          <w:spacing w:val="-2"/>
        </w:rPr>
        <w:t> </w:t>
      </w:r>
      <w:r>
        <w:rPr/>
        <w:t>за</w:t>
      </w:r>
      <w:r>
        <w:rPr>
          <w:spacing w:val="-2"/>
        </w:rPr>
        <w:t> </w:t>
      </w:r>
      <w:r>
        <w:rPr/>
        <w:t>руку,</w:t>
      </w:r>
      <w:r>
        <w:rPr>
          <w:spacing w:val="-2"/>
        </w:rPr>
        <w:t> </w:t>
      </w:r>
      <w:r>
        <w:rPr/>
        <w:t>говоря,</w:t>
      </w:r>
      <w:r>
        <w:rPr>
          <w:spacing w:val="-2"/>
        </w:rPr>
        <w:t> </w:t>
      </w:r>
      <w:r>
        <w:rPr/>
        <w:t>например:</w:t>
      </w:r>
      <w:r>
        <w:rPr>
          <w:spacing w:val="-2"/>
        </w:rPr>
        <w:t> </w:t>
      </w:r>
      <w:r>
        <w:rPr/>
        <w:t>«С</w:t>
      </w:r>
      <w:r>
        <w:rPr>
          <w:spacing w:val="-2"/>
        </w:rPr>
        <w:t> </w:t>
      </w:r>
      <w:r>
        <w:rPr/>
        <w:t>одной</w:t>
      </w:r>
      <w:r>
        <w:rPr>
          <w:spacing w:val="-2"/>
        </w:rPr>
        <w:t> </w:t>
      </w:r>
      <w:r>
        <w:rPr/>
        <w:t>стороны,</w:t>
      </w:r>
      <w:r>
        <w:rPr>
          <w:spacing w:val="-2"/>
        </w:rPr>
        <w:t> </w:t>
      </w:r>
      <w:r>
        <w:rPr/>
        <w:t>я люблю</w:t>
      </w:r>
      <w:r>
        <w:rPr>
          <w:spacing w:val="-1"/>
        </w:rPr>
        <w:t> </w:t>
      </w:r>
      <w:r>
        <w:rPr/>
        <w:t>мороженое,</w:t>
      </w:r>
      <w:r>
        <w:rPr>
          <w:spacing w:val="-1"/>
        </w:rPr>
        <w:t> </w:t>
      </w:r>
      <w:r>
        <w:rPr/>
        <w:t>с</w:t>
      </w:r>
      <w:r>
        <w:rPr>
          <w:spacing w:val="-1"/>
        </w:rPr>
        <w:t> </w:t>
      </w:r>
      <w:r>
        <w:rPr/>
        <w:t>другой</w:t>
      </w:r>
      <w:r>
        <w:rPr>
          <w:spacing w:val="-1"/>
        </w:rPr>
        <w:t> </w:t>
      </w:r>
      <w:r>
        <w:rPr/>
        <w:t>стороны,</w:t>
      </w:r>
      <w:r>
        <w:rPr>
          <w:spacing w:val="-1"/>
        </w:rPr>
        <w:t> </w:t>
      </w:r>
      <w:r>
        <w:rPr/>
        <w:t>у</w:t>
      </w:r>
      <w:r>
        <w:rPr>
          <w:spacing w:val="-1"/>
        </w:rPr>
        <w:t> </w:t>
      </w:r>
      <w:r>
        <w:rPr/>
        <w:t>меня</w:t>
      </w:r>
      <w:r>
        <w:rPr>
          <w:spacing w:val="-1"/>
        </w:rPr>
        <w:t> </w:t>
      </w:r>
      <w:r>
        <w:rPr/>
        <w:t>есть</w:t>
      </w:r>
      <w:r>
        <w:rPr>
          <w:spacing w:val="-1"/>
        </w:rPr>
        <w:t> </w:t>
      </w:r>
      <w:r>
        <w:rPr/>
        <w:t>собака».</w:t>
      </w:r>
      <w:r>
        <w:rPr>
          <w:spacing w:val="-1"/>
        </w:rPr>
        <w:t> </w:t>
      </w:r>
      <w:r>
        <w:rPr/>
        <w:t>Игра</w:t>
      </w:r>
      <w:r>
        <w:rPr>
          <w:spacing w:val="-1"/>
        </w:rPr>
        <w:t> </w:t>
      </w:r>
      <w:r>
        <w:rPr/>
        <w:t>продолжается,</w:t>
      </w:r>
      <w:r>
        <w:rPr>
          <w:spacing w:val="-1"/>
        </w:rPr>
        <w:t> </w:t>
      </w:r>
      <w:r>
        <w:rPr/>
        <w:t>пока все участники не станут частью домино. Возможны вариации в построении домино: можно построить круг или типичную «доминошную» структуру, участники могут браться за руки, обниматься, стоять или лежать на полу и др.</w:t>
      </w:r>
    </w:p>
    <w:p>
      <w:pPr>
        <w:spacing w:before="114"/>
        <w:ind w:left="1759" w:right="0" w:firstLine="0"/>
        <w:jc w:val="both"/>
        <w:rPr>
          <w:b/>
          <w:sz w:val="20"/>
        </w:rPr>
      </w:pPr>
      <w:r>
        <w:rPr>
          <w:b/>
          <w:sz w:val="20"/>
        </w:rPr>
        <w:t>Подвижная</w:t>
      </w:r>
      <w:r>
        <w:rPr>
          <w:b/>
          <w:spacing w:val="-11"/>
          <w:sz w:val="20"/>
        </w:rPr>
        <w:t> </w:t>
      </w:r>
      <w:r>
        <w:rPr>
          <w:b/>
          <w:sz w:val="20"/>
        </w:rPr>
        <w:t>игра</w:t>
      </w:r>
      <w:r>
        <w:rPr>
          <w:b/>
          <w:spacing w:val="-11"/>
          <w:sz w:val="20"/>
        </w:rPr>
        <w:t> </w:t>
      </w:r>
      <w:r>
        <w:rPr>
          <w:b/>
          <w:sz w:val="20"/>
        </w:rPr>
        <w:t>«Все–некоторые–только</w:t>
      </w:r>
      <w:r>
        <w:rPr>
          <w:b/>
          <w:spacing w:val="-11"/>
          <w:sz w:val="20"/>
        </w:rPr>
        <w:t> </w:t>
      </w:r>
      <w:r>
        <w:rPr>
          <w:b/>
          <w:spacing w:val="-5"/>
          <w:sz w:val="20"/>
        </w:rPr>
        <w:t>я»</w:t>
      </w:r>
    </w:p>
    <w:p>
      <w:pPr>
        <w:spacing w:line="235" w:lineRule="auto" w:before="113"/>
        <w:ind w:left="3140" w:right="139" w:hanging="370"/>
        <w:jc w:val="both"/>
        <w:rPr>
          <w:i/>
          <w:sz w:val="20"/>
        </w:rPr>
      </w:pPr>
      <w:r>
        <w:rPr>
          <w:b/>
          <w:i/>
          <w:sz w:val="20"/>
        </w:rPr>
        <w:t>Источник</w:t>
      </w:r>
      <w:r>
        <w:rPr>
          <w:i/>
          <w:sz w:val="20"/>
        </w:rPr>
        <w:t>:</w:t>
      </w:r>
      <w:r>
        <w:rPr>
          <w:i/>
          <w:spacing w:val="-13"/>
          <w:sz w:val="20"/>
        </w:rPr>
        <w:t> </w:t>
      </w:r>
      <w:r>
        <w:rPr>
          <w:i/>
          <w:sz w:val="20"/>
        </w:rPr>
        <w:t>Цукерман</w:t>
      </w:r>
      <w:r>
        <w:rPr>
          <w:i/>
          <w:spacing w:val="-12"/>
          <w:sz w:val="20"/>
        </w:rPr>
        <w:t> </w:t>
      </w:r>
      <w:r>
        <w:rPr>
          <w:i/>
          <w:sz w:val="20"/>
        </w:rPr>
        <w:t>Г.А.</w:t>
      </w:r>
      <w:r>
        <w:rPr>
          <w:i/>
          <w:spacing w:val="-13"/>
          <w:sz w:val="20"/>
        </w:rPr>
        <w:t> </w:t>
      </w:r>
      <w:r>
        <w:rPr>
          <w:i/>
          <w:sz w:val="20"/>
        </w:rPr>
        <w:t>Психология</w:t>
      </w:r>
      <w:r>
        <w:rPr>
          <w:i/>
          <w:spacing w:val="-12"/>
          <w:sz w:val="20"/>
        </w:rPr>
        <w:t> </w:t>
      </w:r>
      <w:r>
        <w:rPr>
          <w:i/>
          <w:sz w:val="20"/>
        </w:rPr>
        <w:t>саморазвития</w:t>
      </w:r>
      <w:r>
        <w:rPr>
          <w:i/>
          <w:spacing w:val="-13"/>
          <w:sz w:val="20"/>
        </w:rPr>
        <w:t> </w:t>
      </w:r>
      <w:r>
        <w:rPr>
          <w:i/>
          <w:sz w:val="20"/>
        </w:rPr>
        <w:t>/ Г.А.</w:t>
      </w:r>
      <w:r>
        <w:rPr>
          <w:i/>
          <w:spacing w:val="-7"/>
          <w:sz w:val="20"/>
        </w:rPr>
        <w:t> </w:t>
      </w:r>
      <w:r>
        <w:rPr>
          <w:i/>
          <w:sz w:val="20"/>
        </w:rPr>
        <w:t>Цукерман,</w:t>
      </w:r>
      <w:r>
        <w:rPr>
          <w:i/>
          <w:spacing w:val="-6"/>
          <w:sz w:val="20"/>
        </w:rPr>
        <w:t> </w:t>
      </w:r>
      <w:r>
        <w:rPr>
          <w:i/>
          <w:sz w:val="20"/>
        </w:rPr>
        <w:t>Б.М.</w:t>
      </w:r>
      <w:r>
        <w:rPr>
          <w:i/>
          <w:spacing w:val="-6"/>
          <w:sz w:val="20"/>
        </w:rPr>
        <w:t> </w:t>
      </w:r>
      <w:r>
        <w:rPr>
          <w:i/>
          <w:sz w:val="20"/>
        </w:rPr>
        <w:t>Мастеров.</w:t>
      </w:r>
      <w:r>
        <w:rPr>
          <w:i/>
          <w:spacing w:val="-6"/>
          <w:sz w:val="20"/>
        </w:rPr>
        <w:t> </w:t>
      </w:r>
      <w:r>
        <w:rPr>
          <w:i/>
          <w:sz w:val="20"/>
        </w:rPr>
        <w:t>–</w:t>
      </w:r>
      <w:r>
        <w:rPr>
          <w:i/>
          <w:spacing w:val="-6"/>
          <w:sz w:val="20"/>
        </w:rPr>
        <w:t> </w:t>
      </w:r>
      <w:r>
        <w:rPr>
          <w:i/>
          <w:sz w:val="20"/>
        </w:rPr>
        <w:t>М.:</w:t>
      </w:r>
      <w:r>
        <w:rPr>
          <w:i/>
          <w:spacing w:val="-6"/>
          <w:sz w:val="20"/>
        </w:rPr>
        <w:t> </w:t>
      </w:r>
      <w:r>
        <w:rPr>
          <w:i/>
          <w:sz w:val="20"/>
        </w:rPr>
        <w:t>Наука,</w:t>
      </w:r>
      <w:r>
        <w:rPr>
          <w:i/>
          <w:spacing w:val="-6"/>
          <w:sz w:val="20"/>
        </w:rPr>
        <w:t> </w:t>
      </w:r>
      <w:r>
        <w:rPr>
          <w:i/>
          <w:spacing w:val="-2"/>
          <w:sz w:val="20"/>
        </w:rPr>
        <w:t>1995.</w:t>
      </w:r>
    </w:p>
    <w:p>
      <w:pPr>
        <w:pStyle w:val="BodyText"/>
        <w:spacing w:line="235" w:lineRule="auto" w:before="115"/>
        <w:ind w:right="138"/>
        <w:jc w:val="right"/>
      </w:pPr>
      <w:r>
        <w:rPr/>
        <w:t>В круг ставятся стулья на один меньше числа играющих. Все садятся на них, а</w:t>
      </w:r>
      <w:r>
        <w:rPr>
          <w:spacing w:val="40"/>
        </w:rPr>
        <w:t> </w:t>
      </w:r>
      <w:r>
        <w:rPr>
          <w:spacing w:val="-2"/>
        </w:rPr>
        <w:t>водящий</w:t>
      </w:r>
      <w:r>
        <w:rPr>
          <w:spacing w:val="-8"/>
        </w:rPr>
        <w:t> </w:t>
      </w:r>
      <w:r>
        <w:rPr>
          <w:spacing w:val="-2"/>
        </w:rPr>
        <w:t>становится</w:t>
      </w:r>
      <w:r>
        <w:rPr>
          <w:spacing w:val="-8"/>
        </w:rPr>
        <w:t> </w:t>
      </w:r>
      <w:r>
        <w:rPr>
          <w:spacing w:val="-2"/>
        </w:rPr>
        <w:t>в</w:t>
      </w:r>
      <w:r>
        <w:rPr>
          <w:spacing w:val="-8"/>
        </w:rPr>
        <w:t> </w:t>
      </w:r>
      <w:r>
        <w:rPr>
          <w:spacing w:val="-2"/>
        </w:rPr>
        <w:t>центр</w:t>
      </w:r>
      <w:r>
        <w:rPr>
          <w:spacing w:val="-8"/>
        </w:rPr>
        <w:t> </w:t>
      </w:r>
      <w:r>
        <w:rPr>
          <w:spacing w:val="-2"/>
        </w:rPr>
        <w:t>круга.</w:t>
      </w:r>
      <w:r>
        <w:rPr>
          <w:spacing w:val="-8"/>
        </w:rPr>
        <w:t> </w:t>
      </w:r>
      <w:r>
        <w:rPr>
          <w:spacing w:val="-2"/>
        </w:rPr>
        <w:t>Водящий</w:t>
      </w:r>
      <w:r>
        <w:rPr>
          <w:spacing w:val="-8"/>
        </w:rPr>
        <w:t> </w:t>
      </w:r>
      <w:r>
        <w:rPr>
          <w:spacing w:val="-2"/>
        </w:rPr>
        <w:t>называет</w:t>
      </w:r>
      <w:r>
        <w:rPr>
          <w:spacing w:val="-8"/>
        </w:rPr>
        <w:t> </w:t>
      </w:r>
      <w:r>
        <w:rPr>
          <w:spacing w:val="-2"/>
        </w:rPr>
        <w:t>какой-нибудь</w:t>
      </w:r>
      <w:r>
        <w:rPr>
          <w:spacing w:val="-8"/>
        </w:rPr>
        <w:t> </w:t>
      </w:r>
      <w:r>
        <w:rPr>
          <w:spacing w:val="-2"/>
        </w:rPr>
        <w:t>признак,</w:t>
      </w:r>
      <w:r>
        <w:rPr>
          <w:spacing w:val="-8"/>
        </w:rPr>
        <w:t> </w:t>
      </w:r>
      <w:r>
        <w:rPr>
          <w:spacing w:val="-2"/>
        </w:rPr>
        <w:t>который </w:t>
      </w:r>
      <w:r>
        <w:rPr/>
        <w:t>может</w:t>
      </w:r>
      <w:r>
        <w:rPr>
          <w:spacing w:val="-3"/>
        </w:rPr>
        <w:t> </w:t>
      </w:r>
      <w:r>
        <w:rPr/>
        <w:t>подойти</w:t>
      </w:r>
      <w:r>
        <w:rPr>
          <w:spacing w:val="-3"/>
        </w:rPr>
        <w:t> </w:t>
      </w:r>
      <w:r>
        <w:rPr/>
        <w:t>ко</w:t>
      </w:r>
      <w:r>
        <w:rPr>
          <w:spacing w:val="-3"/>
        </w:rPr>
        <w:t> </w:t>
      </w:r>
      <w:r>
        <w:rPr/>
        <w:t>всем</w:t>
      </w:r>
      <w:r>
        <w:rPr>
          <w:spacing w:val="-3"/>
        </w:rPr>
        <w:t> </w:t>
      </w:r>
      <w:r>
        <w:rPr/>
        <w:t>ребятам,</w:t>
      </w:r>
      <w:r>
        <w:rPr>
          <w:spacing w:val="-3"/>
        </w:rPr>
        <w:t> </w:t>
      </w:r>
      <w:r>
        <w:rPr/>
        <w:t>сидящим</w:t>
      </w:r>
      <w:r>
        <w:rPr>
          <w:spacing w:val="-3"/>
        </w:rPr>
        <w:t> </w:t>
      </w:r>
      <w:r>
        <w:rPr/>
        <w:t>в</w:t>
      </w:r>
      <w:r>
        <w:rPr>
          <w:spacing w:val="-3"/>
        </w:rPr>
        <w:t> </w:t>
      </w:r>
      <w:r>
        <w:rPr/>
        <w:t>кругу,</w:t>
      </w:r>
      <w:r>
        <w:rPr>
          <w:spacing w:val="-3"/>
        </w:rPr>
        <w:t> </w:t>
      </w:r>
      <w:r>
        <w:rPr/>
        <w:t>к</w:t>
      </w:r>
      <w:r>
        <w:rPr>
          <w:spacing w:val="-3"/>
        </w:rPr>
        <w:t> </w:t>
      </w:r>
      <w:r>
        <w:rPr/>
        <w:t>некоторым</w:t>
      </w:r>
      <w:r>
        <w:rPr>
          <w:spacing w:val="-3"/>
        </w:rPr>
        <w:t> </w:t>
      </w:r>
      <w:r>
        <w:rPr/>
        <w:t>из</w:t>
      </w:r>
      <w:r>
        <w:rPr>
          <w:spacing w:val="-3"/>
        </w:rPr>
        <w:t> </w:t>
      </w:r>
      <w:r>
        <w:rPr/>
        <w:t>них</w:t>
      </w:r>
      <w:r>
        <w:rPr>
          <w:spacing w:val="-3"/>
        </w:rPr>
        <w:t> </w:t>
      </w:r>
      <w:r>
        <w:rPr/>
        <w:t>или</w:t>
      </w:r>
      <w:r>
        <w:rPr>
          <w:spacing w:val="-4"/>
        </w:rPr>
        <w:t> </w:t>
      </w:r>
      <w:r>
        <w:rPr/>
        <w:t>к</w:t>
      </w:r>
      <w:r>
        <w:rPr>
          <w:spacing w:val="-3"/>
        </w:rPr>
        <w:t> </w:t>
      </w:r>
      <w:r>
        <w:rPr/>
        <w:t>одному </w:t>
      </w:r>
      <w:r>
        <w:rPr>
          <w:spacing w:val="-4"/>
        </w:rPr>
        <w:t>человеку. Тотчас все, кто считает, что названное относится к нему, встают, добегают до </w:t>
      </w:r>
      <w:r>
        <w:rPr/>
        <w:t>центра</w:t>
      </w:r>
      <w:r>
        <w:rPr>
          <w:spacing w:val="-10"/>
        </w:rPr>
        <w:t> </w:t>
      </w:r>
      <w:r>
        <w:rPr/>
        <w:t>круга,</w:t>
      </w:r>
      <w:r>
        <w:rPr>
          <w:spacing w:val="-10"/>
        </w:rPr>
        <w:t> </w:t>
      </w:r>
      <w:r>
        <w:rPr/>
        <w:t>а</w:t>
      </w:r>
      <w:r>
        <w:rPr>
          <w:spacing w:val="-10"/>
        </w:rPr>
        <w:t> </w:t>
      </w:r>
      <w:r>
        <w:rPr/>
        <w:t>затем</w:t>
      </w:r>
      <w:r>
        <w:rPr>
          <w:spacing w:val="-10"/>
        </w:rPr>
        <w:t> </w:t>
      </w:r>
      <w:r>
        <w:rPr/>
        <w:t>стремятся</w:t>
      </w:r>
      <w:r>
        <w:rPr>
          <w:spacing w:val="-10"/>
        </w:rPr>
        <w:t> </w:t>
      </w:r>
      <w:r>
        <w:rPr/>
        <w:t>занять</w:t>
      </w:r>
      <w:r>
        <w:rPr>
          <w:spacing w:val="-10"/>
        </w:rPr>
        <w:t> </w:t>
      </w:r>
      <w:r>
        <w:rPr/>
        <w:t>любой</w:t>
      </w:r>
      <w:r>
        <w:rPr>
          <w:spacing w:val="-10"/>
        </w:rPr>
        <w:t> </w:t>
      </w:r>
      <w:r>
        <w:rPr/>
        <w:t>свободный</w:t>
      </w:r>
      <w:r>
        <w:rPr>
          <w:spacing w:val="-10"/>
        </w:rPr>
        <w:t> </w:t>
      </w:r>
      <w:r>
        <w:rPr/>
        <w:t>стул</w:t>
      </w:r>
      <w:r>
        <w:rPr>
          <w:spacing w:val="-10"/>
        </w:rPr>
        <w:t> </w:t>
      </w:r>
      <w:r>
        <w:rPr/>
        <w:t>(но</w:t>
      </w:r>
      <w:r>
        <w:rPr>
          <w:spacing w:val="-10"/>
        </w:rPr>
        <w:t> </w:t>
      </w:r>
      <w:r>
        <w:rPr/>
        <w:t>не</w:t>
      </w:r>
      <w:r>
        <w:rPr>
          <w:spacing w:val="-10"/>
        </w:rPr>
        <w:t> </w:t>
      </w:r>
      <w:r>
        <w:rPr/>
        <w:t>свой).</w:t>
      </w:r>
      <w:r>
        <w:rPr>
          <w:spacing w:val="-10"/>
        </w:rPr>
        <w:t> </w:t>
      </w:r>
      <w:r>
        <w:rPr/>
        <w:t>Точно</w:t>
      </w:r>
      <w:r>
        <w:rPr>
          <w:spacing w:val="-10"/>
        </w:rPr>
        <w:t> </w:t>
      </w:r>
      <w:r>
        <w:rPr/>
        <w:t>так же</w:t>
      </w:r>
      <w:r>
        <w:rPr>
          <w:spacing w:val="-12"/>
        </w:rPr>
        <w:t> </w:t>
      </w:r>
      <w:r>
        <w:rPr/>
        <w:t>поступает</w:t>
      </w:r>
      <w:r>
        <w:rPr>
          <w:spacing w:val="-12"/>
        </w:rPr>
        <w:t> </w:t>
      </w:r>
      <w:r>
        <w:rPr/>
        <w:t>и</w:t>
      </w:r>
      <w:r>
        <w:rPr>
          <w:spacing w:val="-12"/>
        </w:rPr>
        <w:t> </w:t>
      </w:r>
      <w:r>
        <w:rPr/>
        <w:t>водящий,</w:t>
      </w:r>
      <w:r>
        <w:rPr>
          <w:spacing w:val="-12"/>
        </w:rPr>
        <w:t> </w:t>
      </w:r>
      <w:r>
        <w:rPr/>
        <w:t>однако</w:t>
      </w:r>
      <w:r>
        <w:rPr>
          <w:spacing w:val="-12"/>
        </w:rPr>
        <w:t> </w:t>
      </w:r>
      <w:r>
        <w:rPr/>
        <w:t>в</w:t>
      </w:r>
      <w:r>
        <w:rPr>
          <w:spacing w:val="-12"/>
        </w:rPr>
        <w:t> </w:t>
      </w:r>
      <w:r>
        <w:rPr/>
        <w:t>центр</w:t>
      </w:r>
      <w:r>
        <w:rPr>
          <w:spacing w:val="-12"/>
        </w:rPr>
        <w:t> </w:t>
      </w:r>
      <w:r>
        <w:rPr/>
        <w:t>круга</w:t>
      </w:r>
      <w:r>
        <w:rPr>
          <w:spacing w:val="-12"/>
        </w:rPr>
        <w:t> </w:t>
      </w:r>
      <w:r>
        <w:rPr/>
        <w:t>ему</w:t>
      </w:r>
      <w:r>
        <w:rPr>
          <w:spacing w:val="-12"/>
        </w:rPr>
        <w:t> </w:t>
      </w:r>
      <w:r>
        <w:rPr/>
        <w:t>бежать</w:t>
      </w:r>
      <w:r>
        <w:rPr>
          <w:spacing w:val="-12"/>
        </w:rPr>
        <w:t> </w:t>
      </w:r>
      <w:r>
        <w:rPr/>
        <w:t>не</w:t>
      </w:r>
      <w:r>
        <w:rPr>
          <w:spacing w:val="-12"/>
        </w:rPr>
        <w:t> </w:t>
      </w:r>
      <w:r>
        <w:rPr/>
        <w:t>надо,</w:t>
      </w:r>
      <w:r>
        <w:rPr>
          <w:spacing w:val="-12"/>
        </w:rPr>
        <w:t> </w:t>
      </w:r>
      <w:r>
        <w:rPr/>
        <w:t>он</w:t>
      </w:r>
      <w:r>
        <w:rPr>
          <w:spacing w:val="-12"/>
        </w:rPr>
        <w:t> </w:t>
      </w:r>
      <w:r>
        <w:rPr/>
        <w:t>и</w:t>
      </w:r>
      <w:r>
        <w:rPr>
          <w:spacing w:val="-12"/>
        </w:rPr>
        <w:t> </w:t>
      </w:r>
      <w:r>
        <w:rPr/>
        <w:t>так</w:t>
      </w:r>
      <w:r>
        <w:rPr>
          <w:spacing w:val="-12"/>
        </w:rPr>
        <w:t> </w:t>
      </w:r>
      <w:r>
        <w:rPr/>
        <w:t>там</w:t>
      </w:r>
      <w:r>
        <w:rPr>
          <w:spacing w:val="-12"/>
        </w:rPr>
        <w:t> </w:t>
      </w:r>
      <w:r>
        <w:rPr/>
        <w:t>стоит. Можно начать игру, приведя ребятам примеры разных признаков: «Все, кто при- шел сегодня в школу; все, у кого есть аккаунт на соцсетях; все, кто любит джинсы». </w:t>
      </w:r>
      <w:r>
        <w:rPr>
          <w:spacing w:val="-2"/>
        </w:rPr>
        <w:t>Водящий</w:t>
      </w:r>
      <w:r>
        <w:rPr>
          <w:spacing w:val="-6"/>
        </w:rPr>
        <w:t> </w:t>
      </w:r>
      <w:r>
        <w:rPr>
          <w:spacing w:val="-2"/>
        </w:rPr>
        <w:t>может</w:t>
      </w:r>
      <w:r>
        <w:rPr>
          <w:spacing w:val="-6"/>
        </w:rPr>
        <w:t> </w:t>
      </w:r>
      <w:r>
        <w:rPr>
          <w:spacing w:val="-2"/>
        </w:rPr>
        <w:t>использовать</w:t>
      </w:r>
      <w:r>
        <w:rPr>
          <w:spacing w:val="-6"/>
        </w:rPr>
        <w:t> </w:t>
      </w:r>
      <w:r>
        <w:rPr>
          <w:spacing w:val="-2"/>
        </w:rPr>
        <w:t>эту</w:t>
      </w:r>
      <w:r>
        <w:rPr>
          <w:spacing w:val="-6"/>
        </w:rPr>
        <w:t> </w:t>
      </w:r>
      <w:r>
        <w:rPr>
          <w:spacing w:val="-2"/>
        </w:rPr>
        <w:t>игру,</w:t>
      </w:r>
      <w:r>
        <w:rPr>
          <w:spacing w:val="-6"/>
        </w:rPr>
        <w:t> </w:t>
      </w:r>
      <w:r>
        <w:rPr>
          <w:spacing w:val="-2"/>
        </w:rPr>
        <w:t>выбирая</w:t>
      </w:r>
      <w:r>
        <w:rPr>
          <w:spacing w:val="-6"/>
        </w:rPr>
        <w:t> </w:t>
      </w:r>
      <w:r>
        <w:rPr>
          <w:spacing w:val="-2"/>
        </w:rPr>
        <w:t>признаки,</w:t>
      </w:r>
      <w:r>
        <w:rPr>
          <w:spacing w:val="-6"/>
        </w:rPr>
        <w:t> </w:t>
      </w:r>
      <w:r>
        <w:rPr>
          <w:spacing w:val="-2"/>
        </w:rPr>
        <w:t>которые</w:t>
      </w:r>
      <w:r>
        <w:rPr>
          <w:spacing w:val="-6"/>
        </w:rPr>
        <w:t> </w:t>
      </w:r>
      <w:r>
        <w:rPr>
          <w:spacing w:val="-2"/>
        </w:rPr>
        <w:t>помогут</w:t>
      </w:r>
      <w:r>
        <w:rPr>
          <w:spacing w:val="-6"/>
        </w:rPr>
        <w:t> </w:t>
      </w:r>
      <w:r>
        <w:rPr>
          <w:spacing w:val="-2"/>
        </w:rPr>
        <w:t>ему</w:t>
      </w:r>
      <w:r>
        <w:rPr>
          <w:spacing w:val="-6"/>
        </w:rPr>
        <w:t> </w:t>
      </w:r>
      <w:r>
        <w:rPr>
          <w:spacing w:val="-2"/>
        </w:rPr>
        <w:t>боль- </w:t>
      </w:r>
      <w:r>
        <w:rPr/>
        <w:t>ше</w:t>
      </w:r>
      <w:r>
        <w:rPr>
          <w:spacing w:val="-13"/>
        </w:rPr>
        <w:t> </w:t>
      </w:r>
      <w:r>
        <w:rPr/>
        <w:t>узнать</w:t>
      </w:r>
      <w:r>
        <w:rPr>
          <w:spacing w:val="-12"/>
        </w:rPr>
        <w:t> </w:t>
      </w:r>
      <w:r>
        <w:rPr/>
        <w:t>об</w:t>
      </w:r>
      <w:r>
        <w:rPr>
          <w:spacing w:val="-13"/>
        </w:rPr>
        <w:t> </w:t>
      </w:r>
      <w:r>
        <w:rPr/>
        <w:t>одноклассниках,</w:t>
      </w:r>
      <w:r>
        <w:rPr>
          <w:spacing w:val="-12"/>
        </w:rPr>
        <w:t> </w:t>
      </w:r>
      <w:r>
        <w:rPr/>
        <w:t>например:</w:t>
      </w:r>
      <w:r>
        <w:rPr>
          <w:spacing w:val="-13"/>
        </w:rPr>
        <w:t> </w:t>
      </w:r>
      <w:r>
        <w:rPr/>
        <w:t>«Все,</w:t>
      </w:r>
      <w:r>
        <w:rPr>
          <w:spacing w:val="-12"/>
        </w:rPr>
        <w:t> </w:t>
      </w:r>
      <w:r>
        <w:rPr/>
        <w:t>кто</w:t>
      </w:r>
      <w:r>
        <w:rPr>
          <w:spacing w:val="-13"/>
        </w:rPr>
        <w:t> </w:t>
      </w:r>
      <w:r>
        <w:rPr/>
        <w:t>любит</w:t>
      </w:r>
      <w:r>
        <w:rPr>
          <w:spacing w:val="-12"/>
        </w:rPr>
        <w:t> </w:t>
      </w:r>
      <w:r>
        <w:rPr/>
        <w:t>сериал</w:t>
      </w:r>
      <w:r>
        <w:rPr>
          <w:spacing w:val="-13"/>
        </w:rPr>
        <w:t> </w:t>
      </w:r>
      <w:r>
        <w:rPr/>
        <w:t>«Игра</w:t>
      </w:r>
      <w:r>
        <w:rPr>
          <w:spacing w:val="-12"/>
        </w:rPr>
        <w:t> </w:t>
      </w:r>
      <w:r>
        <w:rPr/>
        <w:t>престолов».</w:t>
      </w:r>
      <w:r>
        <w:rPr>
          <w:spacing w:val="-13"/>
        </w:rPr>
        <w:t> </w:t>
      </w:r>
      <w:r>
        <w:rPr/>
        <w:t>В </w:t>
      </w:r>
      <w:r>
        <w:rPr>
          <w:spacing w:val="-2"/>
        </w:rPr>
        <w:t>то</w:t>
      </w:r>
      <w:r>
        <w:rPr>
          <w:spacing w:val="-7"/>
        </w:rPr>
        <w:t> </w:t>
      </w:r>
      <w:r>
        <w:rPr>
          <w:spacing w:val="-2"/>
        </w:rPr>
        <w:t>же</w:t>
      </w:r>
      <w:r>
        <w:rPr>
          <w:spacing w:val="-5"/>
        </w:rPr>
        <w:t> </w:t>
      </w:r>
      <w:r>
        <w:rPr>
          <w:spacing w:val="-2"/>
        </w:rPr>
        <w:t>время</w:t>
      </w:r>
      <w:r>
        <w:rPr>
          <w:spacing w:val="-6"/>
        </w:rPr>
        <w:t> </w:t>
      </w:r>
      <w:r>
        <w:rPr>
          <w:spacing w:val="-2"/>
        </w:rPr>
        <w:t>у</w:t>
      </w:r>
      <w:r>
        <w:rPr>
          <w:spacing w:val="-5"/>
        </w:rPr>
        <w:t> </w:t>
      </w:r>
      <w:r>
        <w:rPr>
          <w:spacing w:val="-2"/>
        </w:rPr>
        <w:t>ведущего</w:t>
      </w:r>
      <w:r>
        <w:rPr>
          <w:spacing w:val="-5"/>
        </w:rPr>
        <w:t> </w:t>
      </w:r>
      <w:r>
        <w:rPr>
          <w:spacing w:val="-2"/>
        </w:rPr>
        <w:t>должно</w:t>
      </w:r>
      <w:r>
        <w:rPr>
          <w:spacing w:val="-5"/>
        </w:rPr>
        <w:t> </w:t>
      </w:r>
      <w:r>
        <w:rPr>
          <w:spacing w:val="-2"/>
        </w:rPr>
        <w:t>остаться</w:t>
      </w:r>
      <w:r>
        <w:rPr>
          <w:spacing w:val="-4"/>
        </w:rPr>
        <w:t> </w:t>
      </w:r>
      <w:r>
        <w:rPr>
          <w:spacing w:val="-2"/>
        </w:rPr>
        <w:t>право</w:t>
      </w:r>
      <w:r>
        <w:rPr>
          <w:spacing w:val="-5"/>
        </w:rPr>
        <w:t> </w:t>
      </w:r>
      <w:r>
        <w:rPr>
          <w:spacing w:val="-2"/>
        </w:rPr>
        <w:t>«вето»</w:t>
      </w:r>
      <w:r>
        <w:rPr>
          <w:spacing w:val="-5"/>
        </w:rPr>
        <w:t> </w:t>
      </w:r>
      <w:r>
        <w:rPr>
          <w:spacing w:val="-2"/>
        </w:rPr>
        <w:t>на</w:t>
      </w:r>
      <w:r>
        <w:rPr>
          <w:spacing w:val="-5"/>
        </w:rPr>
        <w:t> </w:t>
      </w:r>
      <w:r>
        <w:rPr>
          <w:spacing w:val="-2"/>
        </w:rPr>
        <w:t>вопрос,</w:t>
      </w:r>
      <w:r>
        <w:rPr>
          <w:spacing w:val="-5"/>
        </w:rPr>
        <w:t> </w:t>
      </w:r>
      <w:r>
        <w:rPr>
          <w:spacing w:val="-2"/>
        </w:rPr>
        <w:t>который</w:t>
      </w:r>
      <w:r>
        <w:rPr>
          <w:spacing w:val="-6"/>
        </w:rPr>
        <w:t> </w:t>
      </w:r>
      <w:r>
        <w:rPr>
          <w:spacing w:val="-2"/>
        </w:rPr>
        <w:t>может</w:t>
      </w:r>
      <w:r>
        <w:rPr>
          <w:spacing w:val="-5"/>
        </w:rPr>
        <w:t> </w:t>
      </w:r>
      <w:r>
        <w:rPr>
          <w:spacing w:val="-4"/>
        </w:rPr>
        <w:t>быть</w:t>
      </w:r>
    </w:p>
    <w:p>
      <w:pPr>
        <w:pStyle w:val="BodyText"/>
        <w:spacing w:line="228" w:lineRule="exact" w:before="3"/>
        <w:ind w:right="0" w:firstLine="0"/>
      </w:pPr>
      <w:r>
        <w:rPr/>
        <w:t>оскорбительным</w:t>
      </w:r>
      <w:r>
        <w:rPr>
          <w:spacing w:val="-12"/>
        </w:rPr>
        <w:t> </w:t>
      </w:r>
      <w:r>
        <w:rPr/>
        <w:t>для</w:t>
      </w:r>
      <w:r>
        <w:rPr>
          <w:spacing w:val="-12"/>
        </w:rPr>
        <w:t> </w:t>
      </w:r>
      <w:r>
        <w:rPr/>
        <w:t>кого-</w:t>
      </w:r>
      <w:r>
        <w:rPr>
          <w:spacing w:val="-5"/>
        </w:rPr>
        <w:t>то.</w:t>
      </w:r>
    </w:p>
    <w:p>
      <w:pPr>
        <w:pStyle w:val="BodyText"/>
        <w:spacing w:line="226" w:lineRule="exact"/>
        <w:ind w:left="425" w:right="0" w:firstLine="0"/>
      </w:pPr>
      <w:r>
        <w:rPr>
          <w:color w:val="231F20"/>
        </w:rPr>
        <w:t>После</w:t>
      </w:r>
      <w:r>
        <w:rPr>
          <w:color w:val="231F20"/>
          <w:spacing w:val="-3"/>
        </w:rPr>
        <w:t> </w:t>
      </w:r>
      <w:r>
        <w:rPr>
          <w:color w:val="231F20"/>
        </w:rPr>
        <w:t>завершения</w:t>
      </w:r>
      <w:r>
        <w:rPr>
          <w:color w:val="231F20"/>
          <w:spacing w:val="-3"/>
        </w:rPr>
        <w:t> </w:t>
      </w:r>
      <w:r>
        <w:rPr>
          <w:color w:val="231F20"/>
        </w:rPr>
        <w:t>ведущий</w:t>
      </w:r>
      <w:r>
        <w:rPr>
          <w:color w:val="231F20"/>
          <w:spacing w:val="-3"/>
        </w:rPr>
        <w:t> </w:t>
      </w:r>
      <w:r>
        <w:rPr>
          <w:color w:val="231F20"/>
          <w:spacing w:val="-2"/>
        </w:rPr>
        <w:t>говорит:</w:t>
      </w:r>
    </w:p>
    <w:p>
      <w:pPr>
        <w:pStyle w:val="ListParagraph"/>
        <w:numPr>
          <w:ilvl w:val="0"/>
          <w:numId w:val="291"/>
        </w:numPr>
        <w:tabs>
          <w:tab w:pos="571" w:val="left" w:leader="none"/>
        </w:tabs>
        <w:spacing w:line="235" w:lineRule="auto" w:before="2" w:after="0"/>
        <w:ind w:left="141" w:right="139" w:firstLine="283"/>
        <w:jc w:val="both"/>
        <w:rPr>
          <w:color w:val="231F20"/>
          <w:sz w:val="20"/>
        </w:rPr>
      </w:pPr>
      <w:r>
        <w:rPr>
          <w:i/>
          <w:sz w:val="20"/>
        </w:rPr>
        <w:t>Во</w:t>
      </w:r>
      <w:r>
        <w:rPr>
          <w:i/>
          <w:spacing w:val="-11"/>
          <w:sz w:val="20"/>
        </w:rPr>
        <w:t> </w:t>
      </w:r>
      <w:r>
        <w:rPr>
          <w:i/>
          <w:sz w:val="20"/>
        </w:rPr>
        <w:t>время</w:t>
      </w:r>
      <w:r>
        <w:rPr>
          <w:i/>
          <w:spacing w:val="-11"/>
          <w:sz w:val="20"/>
        </w:rPr>
        <w:t> </w:t>
      </w:r>
      <w:r>
        <w:rPr>
          <w:i/>
          <w:sz w:val="20"/>
        </w:rPr>
        <w:t>этой</w:t>
      </w:r>
      <w:r>
        <w:rPr>
          <w:i/>
          <w:spacing w:val="-11"/>
          <w:sz w:val="20"/>
        </w:rPr>
        <w:t> </w:t>
      </w:r>
      <w:r>
        <w:rPr>
          <w:i/>
          <w:sz w:val="20"/>
        </w:rPr>
        <w:t>игры</w:t>
      </w:r>
      <w:r>
        <w:rPr>
          <w:i/>
          <w:spacing w:val="-11"/>
          <w:sz w:val="20"/>
        </w:rPr>
        <w:t> </w:t>
      </w:r>
      <w:r>
        <w:rPr>
          <w:i/>
          <w:sz w:val="20"/>
        </w:rPr>
        <w:t>мы</w:t>
      </w:r>
      <w:r>
        <w:rPr>
          <w:i/>
          <w:spacing w:val="-11"/>
          <w:sz w:val="20"/>
        </w:rPr>
        <w:t> </w:t>
      </w:r>
      <w:r>
        <w:rPr>
          <w:i/>
          <w:sz w:val="20"/>
        </w:rPr>
        <w:t>с</w:t>
      </w:r>
      <w:r>
        <w:rPr>
          <w:i/>
          <w:spacing w:val="-11"/>
          <w:sz w:val="20"/>
        </w:rPr>
        <w:t> </w:t>
      </w:r>
      <w:r>
        <w:rPr>
          <w:i/>
          <w:sz w:val="20"/>
        </w:rPr>
        <w:t>вами</w:t>
      </w:r>
      <w:r>
        <w:rPr>
          <w:i/>
          <w:spacing w:val="-11"/>
          <w:sz w:val="20"/>
        </w:rPr>
        <w:t> </w:t>
      </w:r>
      <w:r>
        <w:rPr>
          <w:i/>
          <w:sz w:val="20"/>
        </w:rPr>
        <w:t>заметили,</w:t>
      </w:r>
      <w:r>
        <w:rPr>
          <w:i/>
          <w:spacing w:val="-11"/>
          <w:sz w:val="20"/>
        </w:rPr>
        <w:t> </w:t>
      </w:r>
      <w:r>
        <w:rPr>
          <w:i/>
          <w:sz w:val="20"/>
        </w:rPr>
        <w:t>что</w:t>
      </w:r>
      <w:r>
        <w:rPr>
          <w:i/>
          <w:spacing w:val="-11"/>
          <w:sz w:val="20"/>
        </w:rPr>
        <w:t> </w:t>
      </w:r>
      <w:r>
        <w:rPr>
          <w:i/>
          <w:sz w:val="20"/>
        </w:rPr>
        <w:t>в</w:t>
      </w:r>
      <w:r>
        <w:rPr>
          <w:i/>
          <w:spacing w:val="-11"/>
          <w:sz w:val="20"/>
        </w:rPr>
        <w:t> </w:t>
      </w:r>
      <w:r>
        <w:rPr>
          <w:i/>
          <w:sz w:val="20"/>
        </w:rPr>
        <w:t>некоторых</w:t>
      </w:r>
      <w:r>
        <w:rPr>
          <w:i/>
          <w:spacing w:val="-11"/>
          <w:sz w:val="20"/>
        </w:rPr>
        <w:t> </w:t>
      </w:r>
      <w:r>
        <w:rPr>
          <w:i/>
          <w:sz w:val="20"/>
        </w:rPr>
        <w:t>случаях</w:t>
      </w:r>
      <w:r>
        <w:rPr>
          <w:i/>
          <w:spacing w:val="-11"/>
          <w:sz w:val="20"/>
        </w:rPr>
        <w:t> </w:t>
      </w:r>
      <w:r>
        <w:rPr>
          <w:i/>
          <w:sz w:val="20"/>
        </w:rPr>
        <w:t>вставали</w:t>
      </w:r>
      <w:r>
        <w:rPr>
          <w:i/>
          <w:spacing w:val="-11"/>
          <w:sz w:val="20"/>
        </w:rPr>
        <w:t> </w:t>
      </w:r>
      <w:r>
        <w:rPr>
          <w:i/>
          <w:sz w:val="20"/>
        </w:rPr>
        <w:t>все или почти все, а в других – только несколько человек. Тем не менее мы обнаружили много</w:t>
      </w:r>
      <w:r>
        <w:rPr>
          <w:i/>
          <w:spacing w:val="-5"/>
          <w:sz w:val="20"/>
        </w:rPr>
        <w:t> </w:t>
      </w:r>
      <w:r>
        <w:rPr>
          <w:i/>
          <w:sz w:val="20"/>
        </w:rPr>
        <w:t>характеристик,</w:t>
      </w:r>
      <w:r>
        <w:rPr>
          <w:i/>
          <w:spacing w:val="-5"/>
          <w:sz w:val="20"/>
        </w:rPr>
        <w:t> </w:t>
      </w:r>
      <w:r>
        <w:rPr>
          <w:i/>
          <w:sz w:val="20"/>
        </w:rPr>
        <w:t>которые</w:t>
      </w:r>
      <w:r>
        <w:rPr>
          <w:i/>
          <w:spacing w:val="-5"/>
          <w:sz w:val="20"/>
        </w:rPr>
        <w:t> </w:t>
      </w:r>
      <w:r>
        <w:rPr>
          <w:i/>
          <w:sz w:val="20"/>
        </w:rPr>
        <w:t>нас</w:t>
      </w:r>
      <w:r>
        <w:rPr>
          <w:i/>
          <w:spacing w:val="-5"/>
          <w:sz w:val="20"/>
        </w:rPr>
        <w:t> </w:t>
      </w:r>
      <w:r>
        <w:rPr>
          <w:i/>
          <w:sz w:val="20"/>
        </w:rPr>
        <w:t>объединяют.</w:t>
      </w:r>
      <w:r>
        <w:rPr>
          <w:i/>
          <w:spacing w:val="-5"/>
          <w:sz w:val="20"/>
        </w:rPr>
        <w:t> </w:t>
      </w:r>
      <w:r>
        <w:rPr>
          <w:i/>
          <w:sz w:val="20"/>
        </w:rPr>
        <w:t>Например,</w:t>
      </w:r>
      <w:r>
        <w:rPr>
          <w:i/>
          <w:spacing w:val="-5"/>
          <w:sz w:val="20"/>
        </w:rPr>
        <w:t> </w:t>
      </w:r>
      <w:r>
        <w:rPr>
          <w:i/>
          <w:sz w:val="20"/>
        </w:rPr>
        <w:t>какие?</w:t>
      </w:r>
      <w:r>
        <w:rPr>
          <w:i/>
          <w:spacing w:val="-5"/>
          <w:sz w:val="20"/>
        </w:rPr>
        <w:t> </w:t>
      </w:r>
      <w:r>
        <w:rPr>
          <w:sz w:val="20"/>
        </w:rPr>
        <w:t>(Выслушать</w:t>
      </w:r>
      <w:r>
        <w:rPr>
          <w:spacing w:val="-5"/>
          <w:sz w:val="20"/>
        </w:rPr>
        <w:t> </w:t>
      </w:r>
      <w:r>
        <w:rPr>
          <w:sz w:val="20"/>
        </w:rPr>
        <w:t>не- </w:t>
      </w:r>
      <w:r>
        <w:rPr>
          <w:spacing w:val="-4"/>
          <w:sz w:val="20"/>
        </w:rPr>
        <w:t>сколько</w:t>
      </w:r>
      <w:r>
        <w:rPr>
          <w:spacing w:val="-2"/>
          <w:sz w:val="20"/>
        </w:rPr>
        <w:t> </w:t>
      </w:r>
      <w:r>
        <w:rPr>
          <w:spacing w:val="-4"/>
          <w:sz w:val="20"/>
        </w:rPr>
        <w:t>ответов.)</w:t>
      </w:r>
      <w:r>
        <w:rPr>
          <w:spacing w:val="-1"/>
          <w:sz w:val="20"/>
        </w:rPr>
        <w:t> </w:t>
      </w:r>
      <w:r>
        <w:rPr>
          <w:i/>
          <w:spacing w:val="-4"/>
          <w:sz w:val="20"/>
        </w:rPr>
        <w:t>Получается,</w:t>
      </w:r>
      <w:r>
        <w:rPr>
          <w:i/>
          <w:spacing w:val="-1"/>
          <w:sz w:val="20"/>
        </w:rPr>
        <w:t> </w:t>
      </w:r>
      <w:r>
        <w:rPr>
          <w:i/>
          <w:spacing w:val="-4"/>
          <w:sz w:val="20"/>
        </w:rPr>
        <w:t>все</w:t>
      </w:r>
      <w:r>
        <w:rPr>
          <w:i/>
          <w:spacing w:val="-1"/>
          <w:sz w:val="20"/>
        </w:rPr>
        <w:t> </w:t>
      </w:r>
      <w:r>
        <w:rPr>
          <w:i/>
          <w:spacing w:val="-4"/>
          <w:sz w:val="20"/>
        </w:rPr>
        <w:t>люди</w:t>
      </w:r>
      <w:r>
        <w:rPr>
          <w:i/>
          <w:spacing w:val="-1"/>
          <w:sz w:val="20"/>
        </w:rPr>
        <w:t> </w:t>
      </w:r>
      <w:r>
        <w:rPr>
          <w:i/>
          <w:spacing w:val="-4"/>
          <w:sz w:val="20"/>
        </w:rPr>
        <w:t>похожи,</w:t>
      </w:r>
      <w:r>
        <w:rPr>
          <w:i/>
          <w:spacing w:val="-1"/>
          <w:sz w:val="20"/>
        </w:rPr>
        <w:t> </w:t>
      </w:r>
      <w:r>
        <w:rPr>
          <w:i/>
          <w:spacing w:val="-4"/>
          <w:sz w:val="20"/>
        </w:rPr>
        <w:t>и</w:t>
      </w:r>
      <w:r>
        <w:rPr>
          <w:i/>
          <w:spacing w:val="-1"/>
          <w:sz w:val="20"/>
        </w:rPr>
        <w:t> </w:t>
      </w:r>
      <w:r>
        <w:rPr>
          <w:i/>
          <w:spacing w:val="-4"/>
          <w:sz w:val="20"/>
        </w:rPr>
        <w:t>любые</w:t>
      </w:r>
      <w:r>
        <w:rPr>
          <w:i/>
          <w:spacing w:val="-1"/>
          <w:sz w:val="20"/>
        </w:rPr>
        <w:t> </w:t>
      </w:r>
      <w:r>
        <w:rPr>
          <w:i/>
          <w:spacing w:val="-4"/>
          <w:sz w:val="20"/>
        </w:rPr>
        <w:t>различия</w:t>
      </w:r>
      <w:r>
        <w:rPr>
          <w:i/>
          <w:spacing w:val="-1"/>
          <w:sz w:val="20"/>
        </w:rPr>
        <w:t> </w:t>
      </w:r>
      <w:r>
        <w:rPr>
          <w:i/>
          <w:spacing w:val="-4"/>
          <w:sz w:val="20"/>
        </w:rPr>
        <w:t>можно</w:t>
      </w:r>
      <w:r>
        <w:rPr>
          <w:i/>
          <w:spacing w:val="-1"/>
          <w:sz w:val="20"/>
        </w:rPr>
        <w:t> </w:t>
      </w:r>
      <w:r>
        <w:rPr>
          <w:i/>
          <w:spacing w:val="-4"/>
          <w:sz w:val="20"/>
        </w:rPr>
        <w:t>преодолеть.</w:t>
      </w:r>
    </w:p>
    <w:p>
      <w:pPr>
        <w:spacing w:before="112"/>
        <w:ind w:left="3003" w:right="0" w:firstLine="0"/>
        <w:jc w:val="both"/>
        <w:rPr>
          <w:b/>
          <w:sz w:val="20"/>
        </w:rPr>
      </w:pPr>
      <w:r>
        <w:rPr>
          <w:b/>
          <w:sz w:val="20"/>
        </w:rPr>
        <w:t>«Игра в </w:t>
      </w:r>
      <w:r>
        <w:rPr>
          <w:b/>
          <w:spacing w:val="-2"/>
          <w:sz w:val="20"/>
        </w:rPr>
        <w:t>снежки»</w:t>
      </w:r>
    </w:p>
    <w:p>
      <w:pPr>
        <w:spacing w:line="235" w:lineRule="auto" w:before="113"/>
        <w:ind w:left="3430" w:right="140" w:hanging="1276"/>
        <w:jc w:val="right"/>
        <w:rPr>
          <w:i/>
          <w:sz w:val="20"/>
        </w:rPr>
      </w:pPr>
      <w:r>
        <w:rPr>
          <w:b/>
          <w:i/>
          <w:sz w:val="20"/>
        </w:rPr>
        <w:t>Источник</w:t>
      </w:r>
      <w:r>
        <w:rPr>
          <w:i/>
          <w:sz w:val="20"/>
        </w:rPr>
        <w:t>:</w:t>
      </w:r>
      <w:r>
        <w:rPr>
          <w:i/>
          <w:spacing w:val="-8"/>
          <w:sz w:val="20"/>
        </w:rPr>
        <w:t> </w:t>
      </w:r>
      <w:r>
        <w:rPr>
          <w:i/>
          <w:sz w:val="20"/>
        </w:rPr>
        <w:t>Building</w:t>
      </w:r>
      <w:r>
        <w:rPr>
          <w:i/>
          <w:spacing w:val="-8"/>
          <w:sz w:val="20"/>
        </w:rPr>
        <w:t> </w:t>
      </w:r>
      <w:r>
        <w:rPr>
          <w:i/>
          <w:sz w:val="20"/>
        </w:rPr>
        <w:t>Cultural</w:t>
      </w:r>
      <w:r>
        <w:rPr>
          <w:i/>
          <w:spacing w:val="-8"/>
          <w:sz w:val="20"/>
        </w:rPr>
        <w:t> </w:t>
      </w:r>
      <w:r>
        <w:rPr>
          <w:i/>
          <w:sz w:val="20"/>
        </w:rPr>
        <w:t>Competence:</w:t>
      </w:r>
      <w:r>
        <w:rPr>
          <w:i/>
          <w:spacing w:val="-8"/>
          <w:sz w:val="20"/>
        </w:rPr>
        <w:t> </w:t>
      </w:r>
      <w:r>
        <w:rPr>
          <w:i/>
          <w:sz w:val="20"/>
        </w:rPr>
        <w:t>Innovative</w:t>
      </w:r>
      <w:r>
        <w:rPr>
          <w:i/>
          <w:spacing w:val="-12"/>
          <w:sz w:val="20"/>
        </w:rPr>
        <w:t> </w:t>
      </w:r>
      <w:r>
        <w:rPr>
          <w:i/>
          <w:sz w:val="20"/>
        </w:rPr>
        <w:t>Activities and</w:t>
      </w:r>
      <w:r>
        <w:rPr>
          <w:i/>
          <w:spacing w:val="-6"/>
          <w:sz w:val="20"/>
        </w:rPr>
        <w:t> </w:t>
      </w:r>
      <w:r>
        <w:rPr>
          <w:i/>
          <w:sz w:val="20"/>
        </w:rPr>
        <w:t>Models,</w:t>
      </w:r>
      <w:r>
        <w:rPr>
          <w:i/>
          <w:spacing w:val="-6"/>
          <w:sz w:val="20"/>
        </w:rPr>
        <w:t> </w:t>
      </w:r>
      <w:r>
        <w:rPr>
          <w:i/>
          <w:sz w:val="20"/>
        </w:rPr>
        <w:t>eds.</w:t>
      </w:r>
      <w:r>
        <w:rPr>
          <w:i/>
          <w:spacing w:val="-6"/>
          <w:sz w:val="20"/>
        </w:rPr>
        <w:t> </w:t>
      </w:r>
      <w:r>
        <w:rPr>
          <w:i/>
          <w:sz w:val="20"/>
        </w:rPr>
        <w:t>K.</w:t>
      </w:r>
      <w:r>
        <w:rPr>
          <w:i/>
          <w:spacing w:val="-6"/>
          <w:sz w:val="20"/>
        </w:rPr>
        <w:t> </w:t>
      </w:r>
      <w:r>
        <w:rPr>
          <w:i/>
          <w:sz w:val="20"/>
        </w:rPr>
        <w:t>Berardo</w:t>
      </w:r>
      <w:r>
        <w:rPr>
          <w:i/>
          <w:spacing w:val="-6"/>
          <w:sz w:val="20"/>
        </w:rPr>
        <w:t> </w:t>
      </w:r>
      <w:r>
        <w:rPr>
          <w:i/>
          <w:sz w:val="20"/>
        </w:rPr>
        <w:t>and</w:t>
      </w:r>
      <w:r>
        <w:rPr>
          <w:i/>
          <w:spacing w:val="-6"/>
          <w:sz w:val="20"/>
        </w:rPr>
        <w:t> </w:t>
      </w:r>
      <w:r>
        <w:rPr>
          <w:i/>
          <w:sz w:val="20"/>
        </w:rPr>
        <w:t>D.</w:t>
      </w:r>
      <w:r>
        <w:rPr>
          <w:i/>
          <w:spacing w:val="-6"/>
          <w:sz w:val="20"/>
        </w:rPr>
        <w:t> </w:t>
      </w:r>
      <w:r>
        <w:rPr>
          <w:i/>
          <w:sz w:val="20"/>
        </w:rPr>
        <w:t>K.</w:t>
      </w:r>
      <w:r>
        <w:rPr>
          <w:i/>
          <w:spacing w:val="-6"/>
          <w:sz w:val="20"/>
        </w:rPr>
        <w:t> </w:t>
      </w:r>
      <w:r>
        <w:rPr>
          <w:i/>
          <w:sz w:val="20"/>
        </w:rPr>
        <w:t>Deardorff (Sterling, VA: Stylus, 2012), 339-343</w:t>
      </w:r>
    </w:p>
    <w:p>
      <w:pPr>
        <w:pStyle w:val="BodyText"/>
        <w:spacing w:line="235" w:lineRule="auto" w:before="115"/>
      </w:pPr>
      <w:r>
        <w:rPr/>
        <w:t>Ведущий просит участников написать на листе бумаги ответы на 5 вопросов о себе согласно следующей инструкции.</w:t>
      </w:r>
    </w:p>
    <w:p>
      <w:pPr>
        <w:pStyle w:val="BodyText"/>
        <w:spacing w:after="0" w:line="235" w:lineRule="auto"/>
        <w:sectPr>
          <w:pgSz w:w="8400" w:h="11910"/>
          <w:pgMar w:header="0" w:footer="530" w:top="400" w:bottom="720" w:left="425" w:right="425"/>
        </w:sectPr>
      </w:pPr>
    </w:p>
    <w:p>
      <w:pPr>
        <w:pStyle w:val="ListParagraph"/>
        <w:numPr>
          <w:ilvl w:val="1"/>
          <w:numId w:val="292"/>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Активности</w:t>
      </w:r>
      <w:r>
        <w:rPr>
          <w:rFonts w:ascii="Georgia" w:hAnsi="Georgia"/>
          <w:color w:val="231F20"/>
          <w:spacing w:val="15"/>
          <w:sz w:val="18"/>
        </w:rPr>
        <w:t> </w:t>
      </w:r>
      <w:r>
        <w:rPr>
          <w:rFonts w:ascii="Georgia" w:hAnsi="Georgia"/>
          <w:color w:val="231F20"/>
          <w:sz w:val="18"/>
        </w:rPr>
        <w:t>межкультурного</w:t>
      </w:r>
      <w:r>
        <w:rPr>
          <w:rFonts w:ascii="Georgia" w:hAnsi="Georgia"/>
          <w:color w:val="231F20"/>
          <w:spacing w:val="15"/>
          <w:sz w:val="18"/>
        </w:rPr>
        <w:t> </w:t>
      </w:r>
      <w:r>
        <w:rPr>
          <w:rFonts w:ascii="Georgia" w:hAnsi="Georgia"/>
          <w:color w:val="231F20"/>
          <w:sz w:val="18"/>
        </w:rPr>
        <w:t>тренинга</w:t>
      </w:r>
      <w:r>
        <w:rPr>
          <w:rFonts w:ascii="Georgia" w:hAnsi="Georgia"/>
          <w:color w:val="231F20"/>
          <w:spacing w:val="16"/>
          <w:sz w:val="18"/>
        </w:rPr>
        <w:t> </w:t>
      </w:r>
      <w:r>
        <w:rPr>
          <w:rFonts w:ascii="Georgia" w:hAnsi="Georgia"/>
          <w:color w:val="231F20"/>
          <w:sz w:val="18"/>
        </w:rPr>
        <w:t>для</w:t>
      </w:r>
      <w:r>
        <w:rPr>
          <w:rFonts w:ascii="Georgia" w:hAnsi="Georgia"/>
          <w:color w:val="231F20"/>
          <w:spacing w:val="15"/>
          <w:sz w:val="18"/>
        </w:rPr>
        <w:t> </w:t>
      </w:r>
      <w:r>
        <w:rPr>
          <w:rFonts w:ascii="Georgia" w:hAnsi="Georgia"/>
          <w:color w:val="231F20"/>
          <w:sz w:val="18"/>
        </w:rPr>
        <w:t>поликультурного</w:t>
      </w:r>
      <w:r>
        <w:rPr>
          <w:rFonts w:ascii="Georgia" w:hAnsi="Georgia"/>
          <w:color w:val="231F20"/>
          <w:spacing w:val="16"/>
          <w:sz w:val="18"/>
        </w:rPr>
        <w:t> </w:t>
      </w:r>
      <w:r>
        <w:rPr>
          <w:rFonts w:ascii="Georgia" w:hAnsi="Georgia"/>
          <w:color w:val="231F20"/>
          <w:spacing w:val="-2"/>
          <w:sz w:val="18"/>
        </w:rPr>
        <w:t>класса</w:t>
      </w:r>
    </w:p>
    <w:p>
      <w:pPr>
        <w:pStyle w:val="ListParagraph"/>
        <w:numPr>
          <w:ilvl w:val="2"/>
          <w:numId w:val="292"/>
        </w:numPr>
        <w:tabs>
          <w:tab w:pos="592" w:val="left" w:leader="none"/>
        </w:tabs>
        <w:spacing w:line="235" w:lineRule="auto" w:before="116" w:after="0"/>
        <w:ind w:left="141" w:right="139" w:firstLine="283"/>
        <w:jc w:val="both"/>
        <w:rPr>
          <w:i/>
          <w:sz w:val="20"/>
        </w:rPr>
      </w:pPr>
      <w:r>
        <w:rPr>
          <w:i/>
          <w:sz w:val="20"/>
        </w:rPr>
        <w:t>В левом верхнем углу напишите ответ на вопрос: какая ваша самая любимая </w:t>
      </w:r>
      <w:r>
        <w:rPr>
          <w:i/>
          <w:spacing w:val="-4"/>
          <w:sz w:val="20"/>
        </w:rPr>
        <w:t>еда?</w:t>
      </w:r>
    </w:p>
    <w:p>
      <w:pPr>
        <w:pStyle w:val="ListParagraph"/>
        <w:numPr>
          <w:ilvl w:val="2"/>
          <w:numId w:val="292"/>
        </w:numPr>
        <w:tabs>
          <w:tab w:pos="564" w:val="left" w:leader="none"/>
        </w:tabs>
        <w:spacing w:line="235" w:lineRule="auto" w:before="1" w:after="0"/>
        <w:ind w:left="141" w:right="139" w:firstLine="283"/>
        <w:jc w:val="both"/>
        <w:rPr>
          <w:i/>
          <w:sz w:val="20"/>
        </w:rPr>
      </w:pPr>
      <w:r>
        <w:rPr>
          <w:i/>
          <w:spacing w:val="-2"/>
          <w:sz w:val="20"/>
        </w:rPr>
        <w:t>В</w:t>
      </w:r>
      <w:r>
        <w:rPr>
          <w:i/>
          <w:spacing w:val="-6"/>
          <w:sz w:val="20"/>
        </w:rPr>
        <w:t> </w:t>
      </w:r>
      <w:r>
        <w:rPr>
          <w:i/>
          <w:spacing w:val="-2"/>
          <w:sz w:val="20"/>
        </w:rPr>
        <w:t>правом</w:t>
      </w:r>
      <w:r>
        <w:rPr>
          <w:i/>
          <w:spacing w:val="-6"/>
          <w:sz w:val="20"/>
        </w:rPr>
        <w:t> </w:t>
      </w:r>
      <w:r>
        <w:rPr>
          <w:i/>
          <w:spacing w:val="-2"/>
          <w:sz w:val="20"/>
        </w:rPr>
        <w:t>верхнем</w:t>
      </w:r>
      <w:r>
        <w:rPr>
          <w:i/>
          <w:spacing w:val="-6"/>
          <w:sz w:val="20"/>
        </w:rPr>
        <w:t> </w:t>
      </w:r>
      <w:r>
        <w:rPr>
          <w:i/>
          <w:spacing w:val="-2"/>
          <w:sz w:val="20"/>
        </w:rPr>
        <w:t>углу</w:t>
      </w:r>
      <w:r>
        <w:rPr>
          <w:i/>
          <w:spacing w:val="-6"/>
          <w:sz w:val="20"/>
        </w:rPr>
        <w:t> </w:t>
      </w:r>
      <w:r>
        <w:rPr>
          <w:i/>
          <w:spacing w:val="-2"/>
          <w:sz w:val="20"/>
        </w:rPr>
        <w:t>напишите</w:t>
      </w:r>
      <w:r>
        <w:rPr>
          <w:i/>
          <w:spacing w:val="-6"/>
          <w:sz w:val="20"/>
        </w:rPr>
        <w:t> </w:t>
      </w:r>
      <w:r>
        <w:rPr>
          <w:i/>
          <w:spacing w:val="-2"/>
          <w:sz w:val="20"/>
        </w:rPr>
        <w:t>ответ</w:t>
      </w:r>
      <w:r>
        <w:rPr>
          <w:i/>
          <w:spacing w:val="-6"/>
          <w:sz w:val="20"/>
        </w:rPr>
        <w:t> </w:t>
      </w:r>
      <w:r>
        <w:rPr>
          <w:i/>
          <w:spacing w:val="-2"/>
          <w:sz w:val="20"/>
        </w:rPr>
        <w:t>на</w:t>
      </w:r>
      <w:r>
        <w:rPr>
          <w:i/>
          <w:spacing w:val="-6"/>
          <w:sz w:val="20"/>
        </w:rPr>
        <w:t> </w:t>
      </w:r>
      <w:r>
        <w:rPr>
          <w:i/>
          <w:spacing w:val="-2"/>
          <w:sz w:val="20"/>
        </w:rPr>
        <w:t>вопрос:</w:t>
      </w:r>
      <w:r>
        <w:rPr>
          <w:i/>
          <w:spacing w:val="-6"/>
          <w:sz w:val="20"/>
        </w:rPr>
        <w:t> </w:t>
      </w:r>
      <w:r>
        <w:rPr>
          <w:i/>
          <w:spacing w:val="-2"/>
          <w:sz w:val="20"/>
        </w:rPr>
        <w:t>в</w:t>
      </w:r>
      <w:r>
        <w:rPr>
          <w:i/>
          <w:spacing w:val="-6"/>
          <w:sz w:val="20"/>
        </w:rPr>
        <w:t> </w:t>
      </w:r>
      <w:r>
        <w:rPr>
          <w:i/>
          <w:spacing w:val="-2"/>
          <w:sz w:val="20"/>
        </w:rPr>
        <w:t>какой</w:t>
      </w:r>
      <w:r>
        <w:rPr>
          <w:i/>
          <w:spacing w:val="-6"/>
          <w:sz w:val="20"/>
        </w:rPr>
        <w:t> </w:t>
      </w:r>
      <w:r>
        <w:rPr>
          <w:i/>
          <w:spacing w:val="-2"/>
          <w:sz w:val="20"/>
        </w:rPr>
        <w:t>ситуации</w:t>
      </w:r>
      <w:r>
        <w:rPr>
          <w:i/>
          <w:spacing w:val="-6"/>
          <w:sz w:val="20"/>
        </w:rPr>
        <w:t> </w:t>
      </w:r>
      <w:r>
        <w:rPr>
          <w:i/>
          <w:spacing w:val="-2"/>
          <w:sz w:val="20"/>
        </w:rPr>
        <w:t>в</w:t>
      </w:r>
      <w:r>
        <w:rPr>
          <w:i/>
          <w:spacing w:val="-6"/>
          <w:sz w:val="20"/>
        </w:rPr>
        <w:t> </w:t>
      </w:r>
      <w:r>
        <w:rPr>
          <w:i/>
          <w:spacing w:val="-2"/>
          <w:sz w:val="20"/>
        </w:rPr>
        <w:t>последний </w:t>
      </w:r>
      <w:r>
        <w:rPr>
          <w:i/>
          <w:sz w:val="20"/>
        </w:rPr>
        <w:t>раз вам было весело?</w:t>
      </w:r>
    </w:p>
    <w:p>
      <w:pPr>
        <w:pStyle w:val="ListParagraph"/>
        <w:numPr>
          <w:ilvl w:val="2"/>
          <w:numId w:val="292"/>
        </w:numPr>
        <w:tabs>
          <w:tab w:pos="603" w:val="left" w:leader="none"/>
        </w:tabs>
        <w:spacing w:line="235" w:lineRule="auto" w:before="1" w:after="0"/>
        <w:ind w:left="141" w:right="139" w:firstLine="283"/>
        <w:jc w:val="both"/>
        <w:rPr>
          <w:i/>
          <w:sz w:val="20"/>
        </w:rPr>
      </w:pPr>
      <w:r>
        <w:rPr>
          <w:i/>
          <w:sz w:val="20"/>
        </w:rPr>
        <w:t>В центре напишите ответ на вопрос: кто больше всего вам помог в вашей </w:t>
      </w:r>
      <w:r>
        <w:rPr>
          <w:i/>
          <w:spacing w:val="-2"/>
          <w:sz w:val="20"/>
        </w:rPr>
        <w:t>жизни?</w:t>
      </w:r>
    </w:p>
    <w:p>
      <w:pPr>
        <w:pStyle w:val="ListParagraph"/>
        <w:numPr>
          <w:ilvl w:val="2"/>
          <w:numId w:val="292"/>
        </w:numPr>
        <w:tabs>
          <w:tab w:pos="577" w:val="left" w:leader="none"/>
        </w:tabs>
        <w:spacing w:line="235" w:lineRule="auto" w:before="2" w:after="0"/>
        <w:ind w:left="141" w:right="139" w:firstLine="283"/>
        <w:jc w:val="both"/>
        <w:rPr>
          <w:i/>
          <w:sz w:val="20"/>
        </w:rPr>
      </w:pPr>
      <w:r>
        <w:rPr>
          <w:i/>
          <w:sz w:val="20"/>
        </w:rPr>
        <w:t>В</w:t>
      </w:r>
      <w:r>
        <w:rPr>
          <w:i/>
          <w:spacing w:val="-3"/>
          <w:sz w:val="20"/>
        </w:rPr>
        <w:t> </w:t>
      </w:r>
      <w:r>
        <w:rPr>
          <w:i/>
          <w:sz w:val="20"/>
        </w:rPr>
        <w:t>левом</w:t>
      </w:r>
      <w:r>
        <w:rPr>
          <w:i/>
          <w:spacing w:val="-3"/>
          <w:sz w:val="20"/>
        </w:rPr>
        <w:t> </w:t>
      </w:r>
      <w:r>
        <w:rPr>
          <w:i/>
          <w:sz w:val="20"/>
        </w:rPr>
        <w:t>нижнем</w:t>
      </w:r>
      <w:r>
        <w:rPr>
          <w:i/>
          <w:spacing w:val="-3"/>
          <w:sz w:val="20"/>
        </w:rPr>
        <w:t> </w:t>
      </w:r>
      <w:r>
        <w:rPr>
          <w:i/>
          <w:sz w:val="20"/>
        </w:rPr>
        <w:t>углу</w:t>
      </w:r>
      <w:r>
        <w:rPr>
          <w:i/>
          <w:spacing w:val="-3"/>
          <w:sz w:val="20"/>
        </w:rPr>
        <w:t> </w:t>
      </w:r>
      <w:r>
        <w:rPr>
          <w:i/>
          <w:sz w:val="20"/>
        </w:rPr>
        <w:t>напишите</w:t>
      </w:r>
      <w:r>
        <w:rPr>
          <w:i/>
          <w:spacing w:val="-3"/>
          <w:sz w:val="20"/>
        </w:rPr>
        <w:t> </w:t>
      </w:r>
      <w:r>
        <w:rPr>
          <w:i/>
          <w:sz w:val="20"/>
        </w:rPr>
        <w:t>ответ</w:t>
      </w:r>
      <w:r>
        <w:rPr>
          <w:i/>
          <w:spacing w:val="-3"/>
          <w:sz w:val="20"/>
        </w:rPr>
        <w:t> </w:t>
      </w:r>
      <w:r>
        <w:rPr>
          <w:i/>
          <w:sz w:val="20"/>
        </w:rPr>
        <w:t>на</w:t>
      </w:r>
      <w:r>
        <w:rPr>
          <w:i/>
          <w:spacing w:val="-3"/>
          <w:sz w:val="20"/>
        </w:rPr>
        <w:t> </w:t>
      </w:r>
      <w:r>
        <w:rPr>
          <w:i/>
          <w:sz w:val="20"/>
        </w:rPr>
        <w:t>вопрос:</w:t>
      </w:r>
      <w:r>
        <w:rPr>
          <w:i/>
          <w:spacing w:val="-3"/>
          <w:sz w:val="20"/>
        </w:rPr>
        <w:t> </w:t>
      </w:r>
      <w:r>
        <w:rPr>
          <w:i/>
          <w:sz w:val="20"/>
        </w:rPr>
        <w:t>какое</w:t>
      </w:r>
      <w:r>
        <w:rPr>
          <w:i/>
          <w:spacing w:val="-3"/>
          <w:sz w:val="20"/>
        </w:rPr>
        <w:t> </w:t>
      </w:r>
      <w:r>
        <w:rPr>
          <w:i/>
          <w:sz w:val="20"/>
        </w:rPr>
        <w:t>время</w:t>
      </w:r>
      <w:r>
        <w:rPr>
          <w:i/>
          <w:spacing w:val="-3"/>
          <w:sz w:val="20"/>
        </w:rPr>
        <w:t> </w:t>
      </w:r>
      <w:r>
        <w:rPr>
          <w:i/>
          <w:sz w:val="20"/>
        </w:rPr>
        <w:t>года</w:t>
      </w:r>
      <w:r>
        <w:rPr>
          <w:i/>
          <w:spacing w:val="-3"/>
          <w:sz w:val="20"/>
        </w:rPr>
        <w:t> </w:t>
      </w:r>
      <w:r>
        <w:rPr>
          <w:i/>
          <w:sz w:val="20"/>
        </w:rPr>
        <w:t>вам</w:t>
      </w:r>
      <w:r>
        <w:rPr>
          <w:i/>
          <w:spacing w:val="-3"/>
          <w:sz w:val="20"/>
        </w:rPr>
        <w:t> </w:t>
      </w:r>
      <w:r>
        <w:rPr>
          <w:i/>
          <w:sz w:val="20"/>
        </w:rPr>
        <w:t>больше всего нравится и почему?</w:t>
      </w:r>
    </w:p>
    <w:p>
      <w:pPr>
        <w:pStyle w:val="ListParagraph"/>
        <w:numPr>
          <w:ilvl w:val="2"/>
          <w:numId w:val="292"/>
        </w:numPr>
        <w:tabs>
          <w:tab w:pos="566" w:val="left" w:leader="none"/>
        </w:tabs>
        <w:spacing w:line="235" w:lineRule="auto" w:before="1" w:after="0"/>
        <w:ind w:left="141" w:right="139" w:firstLine="283"/>
        <w:jc w:val="both"/>
        <w:rPr>
          <w:i/>
          <w:sz w:val="20"/>
        </w:rPr>
      </w:pPr>
      <w:r>
        <w:rPr>
          <w:i/>
          <w:sz w:val="20"/>
        </w:rPr>
        <w:t>В</w:t>
      </w:r>
      <w:r>
        <w:rPr>
          <w:i/>
          <w:spacing w:val="-12"/>
          <w:sz w:val="20"/>
        </w:rPr>
        <w:t> </w:t>
      </w:r>
      <w:r>
        <w:rPr>
          <w:i/>
          <w:sz w:val="20"/>
        </w:rPr>
        <w:t>правом</w:t>
      </w:r>
      <w:r>
        <w:rPr>
          <w:i/>
          <w:spacing w:val="-12"/>
          <w:sz w:val="20"/>
        </w:rPr>
        <w:t> </w:t>
      </w:r>
      <w:r>
        <w:rPr>
          <w:i/>
          <w:sz w:val="20"/>
        </w:rPr>
        <w:t>нижнем</w:t>
      </w:r>
      <w:r>
        <w:rPr>
          <w:i/>
          <w:spacing w:val="-12"/>
          <w:sz w:val="20"/>
        </w:rPr>
        <w:t> </w:t>
      </w:r>
      <w:r>
        <w:rPr>
          <w:i/>
          <w:sz w:val="20"/>
        </w:rPr>
        <w:t>углу</w:t>
      </w:r>
      <w:r>
        <w:rPr>
          <w:i/>
          <w:spacing w:val="-12"/>
          <w:sz w:val="20"/>
        </w:rPr>
        <w:t> </w:t>
      </w:r>
      <w:r>
        <w:rPr>
          <w:i/>
          <w:sz w:val="20"/>
        </w:rPr>
        <w:t>напишите</w:t>
      </w:r>
      <w:r>
        <w:rPr>
          <w:i/>
          <w:spacing w:val="-12"/>
          <w:sz w:val="20"/>
        </w:rPr>
        <w:t> </w:t>
      </w:r>
      <w:r>
        <w:rPr>
          <w:i/>
          <w:sz w:val="20"/>
        </w:rPr>
        <w:t>ответ</w:t>
      </w:r>
      <w:r>
        <w:rPr>
          <w:i/>
          <w:spacing w:val="-12"/>
          <w:sz w:val="20"/>
        </w:rPr>
        <w:t> </w:t>
      </w:r>
      <w:r>
        <w:rPr>
          <w:i/>
          <w:sz w:val="20"/>
        </w:rPr>
        <w:t>на</w:t>
      </w:r>
      <w:r>
        <w:rPr>
          <w:i/>
          <w:spacing w:val="-12"/>
          <w:sz w:val="20"/>
        </w:rPr>
        <w:t> </w:t>
      </w:r>
      <w:r>
        <w:rPr>
          <w:i/>
          <w:sz w:val="20"/>
        </w:rPr>
        <w:t>вопрос:</w:t>
      </w:r>
      <w:r>
        <w:rPr>
          <w:i/>
          <w:spacing w:val="-12"/>
          <w:sz w:val="20"/>
        </w:rPr>
        <w:t> </w:t>
      </w:r>
      <w:r>
        <w:rPr>
          <w:i/>
          <w:sz w:val="20"/>
        </w:rPr>
        <w:t>если</w:t>
      </w:r>
      <w:r>
        <w:rPr>
          <w:i/>
          <w:spacing w:val="-12"/>
          <w:sz w:val="20"/>
        </w:rPr>
        <w:t> </w:t>
      </w:r>
      <w:r>
        <w:rPr>
          <w:i/>
          <w:sz w:val="20"/>
        </w:rPr>
        <w:t>бы</w:t>
      </w:r>
      <w:r>
        <w:rPr>
          <w:i/>
          <w:spacing w:val="-12"/>
          <w:sz w:val="20"/>
        </w:rPr>
        <w:t> </w:t>
      </w:r>
      <w:r>
        <w:rPr>
          <w:i/>
          <w:sz w:val="20"/>
        </w:rPr>
        <w:t>у</w:t>
      </w:r>
      <w:r>
        <w:rPr>
          <w:i/>
          <w:spacing w:val="-12"/>
          <w:sz w:val="20"/>
        </w:rPr>
        <w:t> </w:t>
      </w:r>
      <w:r>
        <w:rPr>
          <w:i/>
          <w:sz w:val="20"/>
        </w:rPr>
        <w:t>вас</w:t>
      </w:r>
      <w:r>
        <w:rPr>
          <w:i/>
          <w:spacing w:val="-12"/>
          <w:sz w:val="20"/>
        </w:rPr>
        <w:t> </w:t>
      </w:r>
      <w:r>
        <w:rPr>
          <w:i/>
          <w:sz w:val="20"/>
        </w:rPr>
        <w:t>была</w:t>
      </w:r>
      <w:r>
        <w:rPr>
          <w:i/>
          <w:spacing w:val="-12"/>
          <w:sz w:val="20"/>
        </w:rPr>
        <w:t> </w:t>
      </w:r>
      <w:r>
        <w:rPr>
          <w:i/>
          <w:sz w:val="20"/>
        </w:rPr>
        <w:t>суперсила (как у супермена), то в чем бы она заключалась?</w:t>
      </w:r>
    </w:p>
    <w:p>
      <w:pPr>
        <w:pStyle w:val="BodyText"/>
        <w:spacing w:line="235" w:lineRule="auto" w:before="58"/>
      </w:pPr>
      <w:r>
        <w:rPr/>
        <w:t>Инструкцию можно менять в зависимости от особенностей тренинговой группы. В</w:t>
      </w:r>
      <w:r>
        <w:rPr>
          <w:spacing w:val="-3"/>
        </w:rPr>
        <w:t> </w:t>
      </w:r>
      <w:r>
        <w:rPr/>
        <w:t>распечатанном</w:t>
      </w:r>
      <w:r>
        <w:rPr>
          <w:spacing w:val="-3"/>
        </w:rPr>
        <w:t> </w:t>
      </w:r>
      <w:r>
        <w:rPr/>
        <w:t>виде</w:t>
      </w:r>
      <w:r>
        <w:rPr>
          <w:spacing w:val="-3"/>
        </w:rPr>
        <w:t> </w:t>
      </w:r>
      <w:r>
        <w:rPr/>
        <w:t>инструкцию</w:t>
      </w:r>
      <w:r>
        <w:rPr>
          <w:spacing w:val="-3"/>
        </w:rPr>
        <w:t> </w:t>
      </w:r>
      <w:r>
        <w:rPr/>
        <w:t>после</w:t>
      </w:r>
      <w:r>
        <w:rPr>
          <w:spacing w:val="-3"/>
        </w:rPr>
        <w:t> </w:t>
      </w:r>
      <w:r>
        <w:rPr/>
        <w:t>прочтения</w:t>
      </w:r>
      <w:r>
        <w:rPr>
          <w:spacing w:val="-3"/>
        </w:rPr>
        <w:t> </w:t>
      </w:r>
      <w:r>
        <w:rPr/>
        <w:t>нужно</w:t>
      </w:r>
      <w:r>
        <w:rPr>
          <w:spacing w:val="-3"/>
        </w:rPr>
        <w:t> </w:t>
      </w:r>
      <w:r>
        <w:rPr/>
        <w:t>разместить</w:t>
      </w:r>
      <w:r>
        <w:rPr>
          <w:spacing w:val="-3"/>
        </w:rPr>
        <w:t> </w:t>
      </w:r>
      <w:r>
        <w:rPr/>
        <w:t>для</w:t>
      </w:r>
      <w:r>
        <w:rPr>
          <w:spacing w:val="-3"/>
        </w:rPr>
        <w:t> </w:t>
      </w:r>
      <w:r>
        <w:rPr/>
        <w:t>всеобще- го обозрения. Необходимо указать, что имя писать ни в коем случае нельзя.</w:t>
      </w:r>
    </w:p>
    <w:p>
      <w:pPr>
        <w:pStyle w:val="BodyText"/>
        <w:spacing w:line="235" w:lineRule="auto" w:before="2"/>
      </w:pPr>
      <w:r>
        <w:rPr/>
        <w:t>После завершения ответов на вопросы ведущий просит всех участников груп-</w:t>
      </w:r>
      <w:r>
        <w:rPr>
          <w:spacing w:val="80"/>
        </w:rPr>
        <w:t> </w:t>
      </w:r>
      <w:r>
        <w:rPr/>
        <w:t>пы</w:t>
      </w:r>
      <w:r>
        <w:rPr>
          <w:spacing w:val="23"/>
        </w:rPr>
        <w:t> </w:t>
      </w:r>
      <w:r>
        <w:rPr/>
        <w:t>выйти</w:t>
      </w:r>
      <w:r>
        <w:rPr>
          <w:spacing w:val="23"/>
        </w:rPr>
        <w:t> </w:t>
      </w:r>
      <w:r>
        <w:rPr/>
        <w:t>на</w:t>
      </w:r>
      <w:r>
        <w:rPr>
          <w:spacing w:val="23"/>
        </w:rPr>
        <w:t> </w:t>
      </w:r>
      <w:r>
        <w:rPr/>
        <w:t>открытое</w:t>
      </w:r>
      <w:r>
        <w:rPr>
          <w:spacing w:val="23"/>
        </w:rPr>
        <w:t> </w:t>
      </w:r>
      <w:r>
        <w:rPr/>
        <w:t>пространство,</w:t>
      </w:r>
      <w:r>
        <w:rPr>
          <w:spacing w:val="23"/>
        </w:rPr>
        <w:t> </w:t>
      </w:r>
      <w:r>
        <w:rPr/>
        <w:t>свободное</w:t>
      </w:r>
      <w:r>
        <w:rPr>
          <w:spacing w:val="23"/>
        </w:rPr>
        <w:t> </w:t>
      </w:r>
      <w:r>
        <w:rPr/>
        <w:t>от</w:t>
      </w:r>
      <w:r>
        <w:rPr>
          <w:spacing w:val="23"/>
        </w:rPr>
        <w:t> </w:t>
      </w:r>
      <w:r>
        <w:rPr/>
        <w:t>мебели,</w:t>
      </w:r>
      <w:r>
        <w:rPr>
          <w:spacing w:val="23"/>
        </w:rPr>
        <w:t> </w:t>
      </w:r>
      <w:r>
        <w:rPr/>
        <w:t>и</w:t>
      </w:r>
      <w:r>
        <w:rPr>
          <w:spacing w:val="23"/>
        </w:rPr>
        <w:t> </w:t>
      </w:r>
      <w:r>
        <w:rPr/>
        <w:t>предлагает</w:t>
      </w:r>
      <w:r>
        <w:rPr>
          <w:spacing w:val="23"/>
        </w:rPr>
        <w:t> </w:t>
      </w:r>
      <w:r>
        <w:rPr/>
        <w:t>поиграть в снежки. Для этого каждый сминает свой листок и по команде «начали!» кидает в кого-то.</w:t>
      </w:r>
      <w:r>
        <w:rPr>
          <w:spacing w:val="-11"/>
        </w:rPr>
        <w:t> </w:t>
      </w:r>
      <w:r>
        <w:rPr/>
        <w:t>Игра</w:t>
      </w:r>
      <w:r>
        <w:rPr>
          <w:spacing w:val="-11"/>
        </w:rPr>
        <w:t> </w:t>
      </w:r>
      <w:r>
        <w:rPr/>
        <w:t>заканчивается</w:t>
      </w:r>
      <w:r>
        <w:rPr>
          <w:spacing w:val="-11"/>
        </w:rPr>
        <w:t> </w:t>
      </w:r>
      <w:r>
        <w:rPr/>
        <w:t>также</w:t>
      </w:r>
      <w:r>
        <w:rPr>
          <w:spacing w:val="-11"/>
        </w:rPr>
        <w:t> </w:t>
      </w:r>
      <w:r>
        <w:rPr/>
        <w:t>по</w:t>
      </w:r>
      <w:r>
        <w:rPr>
          <w:spacing w:val="-11"/>
        </w:rPr>
        <w:t> </w:t>
      </w:r>
      <w:r>
        <w:rPr/>
        <w:t>команде</w:t>
      </w:r>
      <w:r>
        <w:rPr>
          <w:spacing w:val="-11"/>
        </w:rPr>
        <w:t> </w:t>
      </w:r>
      <w:r>
        <w:rPr/>
        <w:t>ведущего.</w:t>
      </w:r>
      <w:r>
        <w:rPr>
          <w:spacing w:val="-11"/>
        </w:rPr>
        <w:t> </w:t>
      </w:r>
      <w:r>
        <w:rPr/>
        <w:t>Всем</w:t>
      </w:r>
      <w:r>
        <w:rPr>
          <w:spacing w:val="-11"/>
        </w:rPr>
        <w:t> </w:t>
      </w:r>
      <w:r>
        <w:rPr/>
        <w:t>участникам</w:t>
      </w:r>
      <w:r>
        <w:rPr>
          <w:spacing w:val="-11"/>
        </w:rPr>
        <w:t> </w:t>
      </w:r>
      <w:r>
        <w:rPr/>
        <w:t>нужно</w:t>
      </w:r>
      <w:r>
        <w:rPr>
          <w:spacing w:val="-11"/>
        </w:rPr>
        <w:t> </w:t>
      </w:r>
      <w:r>
        <w:rPr/>
        <w:t>по- добрать</w:t>
      </w:r>
      <w:r>
        <w:rPr>
          <w:spacing w:val="-2"/>
        </w:rPr>
        <w:t> </w:t>
      </w:r>
      <w:r>
        <w:rPr/>
        <w:t>по</w:t>
      </w:r>
      <w:r>
        <w:rPr>
          <w:spacing w:val="-2"/>
        </w:rPr>
        <w:t> </w:t>
      </w:r>
      <w:r>
        <w:rPr/>
        <w:t>одному</w:t>
      </w:r>
      <w:r>
        <w:rPr>
          <w:spacing w:val="-2"/>
        </w:rPr>
        <w:t> </w:t>
      </w:r>
      <w:r>
        <w:rPr/>
        <w:t>«снежку»</w:t>
      </w:r>
      <w:r>
        <w:rPr>
          <w:spacing w:val="-2"/>
        </w:rPr>
        <w:t> </w:t>
      </w:r>
      <w:r>
        <w:rPr/>
        <w:t>и</w:t>
      </w:r>
      <w:r>
        <w:rPr>
          <w:spacing w:val="-2"/>
        </w:rPr>
        <w:t> </w:t>
      </w:r>
      <w:r>
        <w:rPr/>
        <w:t>развернуть</w:t>
      </w:r>
      <w:r>
        <w:rPr>
          <w:spacing w:val="-2"/>
        </w:rPr>
        <w:t> </w:t>
      </w:r>
      <w:r>
        <w:rPr/>
        <w:t>его.</w:t>
      </w:r>
      <w:r>
        <w:rPr>
          <w:spacing w:val="-2"/>
        </w:rPr>
        <w:t> </w:t>
      </w:r>
      <w:r>
        <w:rPr/>
        <w:t>Если</w:t>
      </w:r>
      <w:r>
        <w:rPr>
          <w:spacing w:val="-2"/>
        </w:rPr>
        <w:t> </w:t>
      </w:r>
      <w:r>
        <w:rPr/>
        <w:t>ведущий</w:t>
      </w:r>
      <w:r>
        <w:rPr>
          <w:spacing w:val="-2"/>
        </w:rPr>
        <w:t> </w:t>
      </w:r>
      <w:r>
        <w:rPr/>
        <w:t>испытывает</w:t>
      </w:r>
      <w:r>
        <w:rPr>
          <w:spacing w:val="-2"/>
        </w:rPr>
        <w:t> </w:t>
      </w:r>
      <w:r>
        <w:rPr/>
        <w:t>беспокой- ство по поводу дисциплины в группе и возможностей взаимной агрессии, можно не устраивать</w:t>
      </w:r>
      <w:r>
        <w:rPr>
          <w:spacing w:val="-9"/>
        </w:rPr>
        <w:t> </w:t>
      </w:r>
      <w:r>
        <w:rPr/>
        <w:t>перекидывание</w:t>
      </w:r>
      <w:r>
        <w:rPr>
          <w:spacing w:val="-9"/>
        </w:rPr>
        <w:t> </w:t>
      </w:r>
      <w:r>
        <w:rPr/>
        <w:t>снежков,</w:t>
      </w:r>
      <w:r>
        <w:rPr>
          <w:spacing w:val="-9"/>
        </w:rPr>
        <w:t> </w:t>
      </w:r>
      <w:r>
        <w:rPr/>
        <w:t>а</w:t>
      </w:r>
      <w:r>
        <w:rPr>
          <w:spacing w:val="-9"/>
        </w:rPr>
        <w:t> </w:t>
      </w:r>
      <w:r>
        <w:rPr/>
        <w:t>попросить</w:t>
      </w:r>
      <w:r>
        <w:rPr>
          <w:spacing w:val="-9"/>
        </w:rPr>
        <w:t> </w:t>
      </w:r>
      <w:r>
        <w:rPr/>
        <w:t>участников</w:t>
      </w:r>
      <w:r>
        <w:rPr>
          <w:spacing w:val="-9"/>
        </w:rPr>
        <w:t> </w:t>
      </w:r>
      <w:r>
        <w:rPr/>
        <w:t>сделать</w:t>
      </w:r>
      <w:r>
        <w:rPr>
          <w:spacing w:val="-9"/>
        </w:rPr>
        <w:t> </w:t>
      </w:r>
      <w:r>
        <w:rPr/>
        <w:t>из</w:t>
      </w:r>
      <w:r>
        <w:rPr>
          <w:spacing w:val="-9"/>
        </w:rPr>
        <w:t> </w:t>
      </w:r>
      <w:r>
        <w:rPr/>
        <w:t>них</w:t>
      </w:r>
      <w:r>
        <w:rPr>
          <w:spacing w:val="-9"/>
        </w:rPr>
        <w:t> </w:t>
      </w:r>
      <w:r>
        <w:rPr/>
        <w:t>большой снежный ком, а потом разобрать по одному снежку.</w:t>
      </w:r>
    </w:p>
    <w:p>
      <w:pPr>
        <w:pStyle w:val="BodyText"/>
        <w:spacing w:line="235" w:lineRule="auto" w:before="5"/>
        <w:ind w:right="140"/>
      </w:pPr>
      <w:r>
        <w:rPr/>
        <w:t>После того как участники развернули снежки, надо убедиться, что у каждого из них</w:t>
      </w:r>
      <w:r>
        <w:rPr>
          <w:spacing w:val="-2"/>
        </w:rPr>
        <w:t> </w:t>
      </w:r>
      <w:r>
        <w:rPr/>
        <w:t>в</w:t>
      </w:r>
      <w:r>
        <w:rPr>
          <w:spacing w:val="-2"/>
        </w:rPr>
        <w:t> </w:t>
      </w:r>
      <w:r>
        <w:rPr/>
        <w:t>руках</w:t>
      </w:r>
      <w:r>
        <w:rPr>
          <w:spacing w:val="-2"/>
        </w:rPr>
        <w:t> </w:t>
      </w:r>
      <w:r>
        <w:rPr/>
        <w:t>находится</w:t>
      </w:r>
      <w:r>
        <w:rPr>
          <w:spacing w:val="-2"/>
        </w:rPr>
        <w:t> </w:t>
      </w:r>
      <w:r>
        <w:rPr/>
        <w:t>чужой</w:t>
      </w:r>
      <w:r>
        <w:rPr>
          <w:spacing w:val="-2"/>
        </w:rPr>
        <w:t> </w:t>
      </w:r>
      <w:r>
        <w:rPr/>
        <w:t>текст.</w:t>
      </w:r>
      <w:r>
        <w:rPr>
          <w:spacing w:val="-2"/>
        </w:rPr>
        <w:t> </w:t>
      </w:r>
      <w:r>
        <w:rPr/>
        <w:t>Если</w:t>
      </w:r>
      <w:r>
        <w:rPr>
          <w:spacing w:val="-2"/>
        </w:rPr>
        <w:t> </w:t>
      </w:r>
      <w:r>
        <w:rPr/>
        <w:t>кому-то</w:t>
      </w:r>
      <w:r>
        <w:rPr>
          <w:spacing w:val="-2"/>
        </w:rPr>
        <w:t> </w:t>
      </w:r>
      <w:r>
        <w:rPr/>
        <w:t>попались</w:t>
      </w:r>
      <w:r>
        <w:rPr>
          <w:spacing w:val="-2"/>
        </w:rPr>
        <w:t> </w:t>
      </w:r>
      <w:r>
        <w:rPr/>
        <w:t>свои</w:t>
      </w:r>
      <w:r>
        <w:rPr>
          <w:spacing w:val="-2"/>
        </w:rPr>
        <w:t> </w:t>
      </w:r>
      <w:r>
        <w:rPr/>
        <w:t>ответы</w:t>
      </w:r>
      <w:r>
        <w:rPr>
          <w:spacing w:val="-2"/>
        </w:rPr>
        <w:t> </w:t>
      </w:r>
      <w:r>
        <w:rPr/>
        <w:t>на</w:t>
      </w:r>
      <w:r>
        <w:rPr>
          <w:spacing w:val="-2"/>
        </w:rPr>
        <w:t> </w:t>
      </w:r>
      <w:r>
        <w:rPr/>
        <w:t>вопросы, он сообщает об этом ведущему, и игра повторяется.</w:t>
      </w:r>
    </w:p>
    <w:p>
      <w:pPr>
        <w:pStyle w:val="BodyText"/>
        <w:spacing w:line="235" w:lineRule="auto" w:before="1"/>
      </w:pPr>
      <w:r>
        <w:rPr/>
        <w:t>Затем</w:t>
      </w:r>
      <w:r>
        <w:rPr>
          <w:spacing w:val="-10"/>
        </w:rPr>
        <w:t> </w:t>
      </w:r>
      <w:r>
        <w:rPr/>
        <w:t>ведущий</w:t>
      </w:r>
      <w:r>
        <w:rPr>
          <w:spacing w:val="-10"/>
        </w:rPr>
        <w:t> </w:t>
      </w:r>
      <w:r>
        <w:rPr/>
        <w:t>просит</w:t>
      </w:r>
      <w:r>
        <w:rPr>
          <w:spacing w:val="-10"/>
        </w:rPr>
        <w:t> </w:t>
      </w:r>
      <w:r>
        <w:rPr/>
        <w:t>каждого</w:t>
      </w:r>
      <w:r>
        <w:rPr>
          <w:spacing w:val="-10"/>
        </w:rPr>
        <w:t> </w:t>
      </w:r>
      <w:r>
        <w:rPr/>
        <w:t>участника</w:t>
      </w:r>
      <w:r>
        <w:rPr>
          <w:spacing w:val="-10"/>
        </w:rPr>
        <w:t> </w:t>
      </w:r>
      <w:r>
        <w:rPr/>
        <w:t>найти</w:t>
      </w:r>
      <w:r>
        <w:rPr>
          <w:spacing w:val="-10"/>
        </w:rPr>
        <w:t> </w:t>
      </w:r>
      <w:r>
        <w:rPr/>
        <w:t>автора</w:t>
      </w:r>
      <w:r>
        <w:rPr>
          <w:spacing w:val="-10"/>
        </w:rPr>
        <w:t> </w:t>
      </w:r>
      <w:r>
        <w:rPr/>
        <w:t>ответов</w:t>
      </w:r>
      <w:r>
        <w:rPr>
          <w:spacing w:val="-10"/>
        </w:rPr>
        <w:t> </w:t>
      </w:r>
      <w:r>
        <w:rPr/>
        <w:t>на</w:t>
      </w:r>
      <w:r>
        <w:rPr>
          <w:spacing w:val="-10"/>
        </w:rPr>
        <w:t> </w:t>
      </w:r>
      <w:r>
        <w:rPr/>
        <w:t>вопросы,</w:t>
      </w:r>
      <w:r>
        <w:rPr>
          <w:spacing w:val="-10"/>
        </w:rPr>
        <w:t> </w:t>
      </w:r>
      <w:r>
        <w:rPr/>
        <w:t>кото- рые</w:t>
      </w:r>
      <w:r>
        <w:rPr>
          <w:spacing w:val="-9"/>
        </w:rPr>
        <w:t> </w:t>
      </w:r>
      <w:r>
        <w:rPr/>
        <w:t>написаны</w:t>
      </w:r>
      <w:r>
        <w:rPr>
          <w:spacing w:val="-9"/>
        </w:rPr>
        <w:t> </w:t>
      </w:r>
      <w:r>
        <w:rPr/>
        <w:t>на</w:t>
      </w:r>
      <w:r>
        <w:rPr>
          <w:spacing w:val="-9"/>
        </w:rPr>
        <w:t> </w:t>
      </w:r>
      <w:r>
        <w:rPr/>
        <w:t>листе-снежке,</w:t>
      </w:r>
      <w:r>
        <w:rPr>
          <w:spacing w:val="-9"/>
        </w:rPr>
        <w:t> </w:t>
      </w:r>
      <w:r>
        <w:rPr/>
        <w:t>попавшем</w:t>
      </w:r>
      <w:r>
        <w:rPr>
          <w:spacing w:val="-9"/>
        </w:rPr>
        <w:t> </w:t>
      </w:r>
      <w:r>
        <w:rPr/>
        <w:t>ему</w:t>
      </w:r>
      <w:r>
        <w:rPr>
          <w:spacing w:val="-9"/>
        </w:rPr>
        <w:t> </w:t>
      </w:r>
      <w:r>
        <w:rPr/>
        <w:t>в</w:t>
      </w:r>
      <w:r>
        <w:rPr>
          <w:spacing w:val="-9"/>
        </w:rPr>
        <w:t> </w:t>
      </w:r>
      <w:r>
        <w:rPr/>
        <w:t>руки.</w:t>
      </w:r>
      <w:r>
        <w:rPr>
          <w:spacing w:val="-9"/>
        </w:rPr>
        <w:t> </w:t>
      </w:r>
      <w:r>
        <w:rPr/>
        <w:t>Для</w:t>
      </w:r>
      <w:r>
        <w:rPr>
          <w:spacing w:val="-9"/>
        </w:rPr>
        <w:t> </w:t>
      </w:r>
      <w:r>
        <w:rPr/>
        <w:t>этого</w:t>
      </w:r>
      <w:r>
        <w:rPr>
          <w:spacing w:val="-9"/>
        </w:rPr>
        <w:t> </w:t>
      </w:r>
      <w:r>
        <w:rPr/>
        <w:t>участники</w:t>
      </w:r>
      <w:r>
        <w:rPr>
          <w:spacing w:val="-9"/>
        </w:rPr>
        <w:t> </w:t>
      </w:r>
      <w:r>
        <w:rPr/>
        <w:t>начинают свободно</w:t>
      </w:r>
      <w:r>
        <w:rPr>
          <w:spacing w:val="-11"/>
        </w:rPr>
        <w:t> </w:t>
      </w:r>
      <w:r>
        <w:rPr/>
        <w:t>двигаться</w:t>
      </w:r>
      <w:r>
        <w:rPr>
          <w:spacing w:val="-11"/>
        </w:rPr>
        <w:t> </w:t>
      </w:r>
      <w:r>
        <w:rPr/>
        <w:t>по</w:t>
      </w:r>
      <w:r>
        <w:rPr>
          <w:spacing w:val="-11"/>
        </w:rPr>
        <w:t> </w:t>
      </w:r>
      <w:r>
        <w:rPr/>
        <w:t>помещению</w:t>
      </w:r>
      <w:r>
        <w:rPr>
          <w:spacing w:val="-11"/>
        </w:rPr>
        <w:t> </w:t>
      </w:r>
      <w:r>
        <w:rPr/>
        <w:t>и</w:t>
      </w:r>
      <w:r>
        <w:rPr>
          <w:spacing w:val="-11"/>
        </w:rPr>
        <w:t> </w:t>
      </w:r>
      <w:r>
        <w:rPr/>
        <w:t>читать</w:t>
      </w:r>
      <w:r>
        <w:rPr>
          <w:spacing w:val="-11"/>
        </w:rPr>
        <w:t> </w:t>
      </w:r>
      <w:r>
        <w:rPr/>
        <w:t>вслух</w:t>
      </w:r>
      <w:r>
        <w:rPr>
          <w:spacing w:val="-11"/>
        </w:rPr>
        <w:t> </w:t>
      </w:r>
      <w:r>
        <w:rPr/>
        <w:t>ответы</w:t>
      </w:r>
      <w:r>
        <w:rPr>
          <w:spacing w:val="-11"/>
        </w:rPr>
        <w:t> </w:t>
      </w:r>
      <w:r>
        <w:rPr/>
        <w:t>на</w:t>
      </w:r>
      <w:r>
        <w:rPr>
          <w:spacing w:val="-11"/>
        </w:rPr>
        <w:t> </w:t>
      </w:r>
      <w:r>
        <w:rPr/>
        <w:t>вопросы,</w:t>
      </w:r>
      <w:r>
        <w:rPr>
          <w:spacing w:val="-11"/>
        </w:rPr>
        <w:t> </w:t>
      </w:r>
      <w:r>
        <w:rPr/>
        <w:t>написанные</w:t>
      </w:r>
      <w:r>
        <w:rPr>
          <w:spacing w:val="-11"/>
        </w:rPr>
        <w:t> </w:t>
      </w:r>
      <w:r>
        <w:rPr/>
        <w:t>на листе,</w:t>
      </w:r>
      <w:r>
        <w:rPr>
          <w:spacing w:val="-4"/>
        </w:rPr>
        <w:t> </w:t>
      </w:r>
      <w:r>
        <w:rPr/>
        <w:t>попавшем</w:t>
      </w:r>
      <w:r>
        <w:rPr>
          <w:spacing w:val="-4"/>
        </w:rPr>
        <w:t> </w:t>
      </w:r>
      <w:r>
        <w:rPr/>
        <w:t>им</w:t>
      </w:r>
      <w:r>
        <w:rPr>
          <w:spacing w:val="-4"/>
        </w:rPr>
        <w:t> </w:t>
      </w:r>
      <w:r>
        <w:rPr/>
        <w:t>в</w:t>
      </w:r>
      <w:r>
        <w:rPr>
          <w:spacing w:val="-4"/>
        </w:rPr>
        <w:t> </w:t>
      </w:r>
      <w:r>
        <w:rPr/>
        <w:t>руки.</w:t>
      </w:r>
      <w:r>
        <w:rPr>
          <w:spacing w:val="-4"/>
        </w:rPr>
        <w:t> </w:t>
      </w:r>
      <w:r>
        <w:rPr/>
        <w:t>Не</w:t>
      </w:r>
      <w:r>
        <w:rPr>
          <w:spacing w:val="-4"/>
        </w:rPr>
        <w:t> </w:t>
      </w:r>
      <w:r>
        <w:rPr/>
        <w:t>произнося</w:t>
      </w:r>
      <w:r>
        <w:rPr>
          <w:spacing w:val="-4"/>
        </w:rPr>
        <w:t> </w:t>
      </w:r>
      <w:r>
        <w:rPr/>
        <w:t>больше</w:t>
      </w:r>
      <w:r>
        <w:rPr>
          <w:spacing w:val="-4"/>
        </w:rPr>
        <w:t> </w:t>
      </w:r>
      <w:r>
        <w:rPr/>
        <w:t>никаких</w:t>
      </w:r>
      <w:r>
        <w:rPr>
          <w:spacing w:val="-4"/>
        </w:rPr>
        <w:t> </w:t>
      </w:r>
      <w:r>
        <w:rPr/>
        <w:t>слов,</w:t>
      </w:r>
      <w:r>
        <w:rPr>
          <w:spacing w:val="-4"/>
        </w:rPr>
        <w:t> </w:t>
      </w:r>
      <w:r>
        <w:rPr/>
        <w:t>нужно</w:t>
      </w:r>
      <w:r>
        <w:rPr>
          <w:spacing w:val="-4"/>
        </w:rPr>
        <w:t> </w:t>
      </w:r>
      <w:r>
        <w:rPr/>
        <w:t>найти</w:t>
      </w:r>
      <w:r>
        <w:rPr>
          <w:spacing w:val="-4"/>
        </w:rPr>
        <w:t> </w:t>
      </w:r>
      <w:r>
        <w:rPr/>
        <w:t>автора этих ответов. Когда автор найден, нужно встать справа от него.</w:t>
      </w:r>
    </w:p>
    <w:p>
      <w:pPr>
        <w:pStyle w:val="BodyText"/>
        <w:spacing w:line="235" w:lineRule="auto" w:before="4"/>
      </w:pPr>
      <w:r>
        <w:rPr>
          <w:spacing w:val="-2"/>
        </w:rPr>
        <w:t>В</w:t>
      </w:r>
      <w:r>
        <w:rPr>
          <w:spacing w:val="-8"/>
        </w:rPr>
        <w:t> </w:t>
      </w:r>
      <w:r>
        <w:rPr>
          <w:spacing w:val="-2"/>
        </w:rPr>
        <w:t>конце</w:t>
      </w:r>
      <w:r>
        <w:rPr>
          <w:spacing w:val="-8"/>
        </w:rPr>
        <w:t> </w:t>
      </w:r>
      <w:r>
        <w:rPr>
          <w:spacing w:val="-2"/>
        </w:rPr>
        <w:t>концов</w:t>
      </w:r>
      <w:r>
        <w:rPr>
          <w:spacing w:val="-8"/>
        </w:rPr>
        <w:t> </w:t>
      </w:r>
      <w:r>
        <w:rPr>
          <w:spacing w:val="-2"/>
        </w:rPr>
        <w:t>все</w:t>
      </w:r>
      <w:r>
        <w:rPr>
          <w:spacing w:val="-8"/>
        </w:rPr>
        <w:t> </w:t>
      </w:r>
      <w:r>
        <w:rPr>
          <w:spacing w:val="-2"/>
        </w:rPr>
        <w:t>находят</w:t>
      </w:r>
      <w:r>
        <w:rPr>
          <w:spacing w:val="-8"/>
        </w:rPr>
        <w:t> </w:t>
      </w:r>
      <w:r>
        <w:rPr>
          <w:spacing w:val="-2"/>
        </w:rPr>
        <w:t>друг</w:t>
      </w:r>
      <w:r>
        <w:rPr>
          <w:spacing w:val="-8"/>
        </w:rPr>
        <w:t> </w:t>
      </w:r>
      <w:r>
        <w:rPr>
          <w:spacing w:val="-2"/>
        </w:rPr>
        <w:t>друга</w:t>
      </w:r>
      <w:r>
        <w:rPr>
          <w:spacing w:val="-8"/>
        </w:rPr>
        <w:t> </w:t>
      </w:r>
      <w:r>
        <w:rPr>
          <w:spacing w:val="-2"/>
        </w:rPr>
        <w:t>и</w:t>
      </w:r>
      <w:r>
        <w:rPr>
          <w:spacing w:val="-8"/>
        </w:rPr>
        <w:t> </w:t>
      </w:r>
      <w:r>
        <w:rPr>
          <w:spacing w:val="-2"/>
        </w:rPr>
        <w:t>встают</w:t>
      </w:r>
      <w:r>
        <w:rPr>
          <w:spacing w:val="-8"/>
        </w:rPr>
        <w:t> </w:t>
      </w:r>
      <w:r>
        <w:rPr>
          <w:spacing w:val="-2"/>
        </w:rPr>
        <w:t>в</w:t>
      </w:r>
      <w:r>
        <w:rPr>
          <w:spacing w:val="-8"/>
        </w:rPr>
        <w:t> </w:t>
      </w:r>
      <w:r>
        <w:rPr>
          <w:spacing w:val="-2"/>
        </w:rPr>
        <w:t>круг</w:t>
      </w:r>
      <w:r>
        <w:rPr>
          <w:spacing w:val="-8"/>
        </w:rPr>
        <w:t> </w:t>
      </w:r>
      <w:r>
        <w:rPr>
          <w:spacing w:val="-2"/>
        </w:rPr>
        <w:t>(или</w:t>
      </w:r>
      <w:r>
        <w:rPr>
          <w:spacing w:val="-8"/>
        </w:rPr>
        <w:t> </w:t>
      </w:r>
      <w:r>
        <w:rPr>
          <w:spacing w:val="-2"/>
        </w:rPr>
        <w:t>несколько</w:t>
      </w:r>
      <w:r>
        <w:rPr>
          <w:spacing w:val="-8"/>
        </w:rPr>
        <w:t> </w:t>
      </w:r>
      <w:r>
        <w:rPr>
          <w:spacing w:val="-2"/>
        </w:rPr>
        <w:t>кругов).</w:t>
      </w:r>
      <w:r>
        <w:rPr>
          <w:spacing w:val="-8"/>
        </w:rPr>
        <w:t> </w:t>
      </w:r>
      <w:r>
        <w:rPr>
          <w:spacing w:val="-2"/>
        </w:rPr>
        <w:t>Как только</w:t>
      </w:r>
      <w:r>
        <w:rPr>
          <w:spacing w:val="-5"/>
        </w:rPr>
        <w:t> </w:t>
      </w:r>
      <w:r>
        <w:rPr>
          <w:spacing w:val="-2"/>
        </w:rPr>
        <w:t>это</w:t>
      </w:r>
      <w:r>
        <w:rPr>
          <w:spacing w:val="-5"/>
        </w:rPr>
        <w:t> </w:t>
      </w:r>
      <w:r>
        <w:rPr>
          <w:spacing w:val="-2"/>
        </w:rPr>
        <w:t>происходит,</w:t>
      </w:r>
      <w:r>
        <w:rPr>
          <w:spacing w:val="-5"/>
        </w:rPr>
        <w:t> </w:t>
      </w:r>
      <w:r>
        <w:rPr>
          <w:spacing w:val="-2"/>
        </w:rPr>
        <w:t>участникам</w:t>
      </w:r>
      <w:r>
        <w:rPr>
          <w:spacing w:val="-5"/>
        </w:rPr>
        <w:t> </w:t>
      </w:r>
      <w:r>
        <w:rPr>
          <w:spacing w:val="-2"/>
        </w:rPr>
        <w:t>необходимо</w:t>
      </w:r>
      <w:r>
        <w:rPr>
          <w:spacing w:val="-6"/>
        </w:rPr>
        <w:t> </w:t>
      </w:r>
      <w:r>
        <w:rPr>
          <w:spacing w:val="-2"/>
        </w:rPr>
        <w:t>представить</w:t>
      </w:r>
      <w:r>
        <w:rPr>
          <w:spacing w:val="-5"/>
        </w:rPr>
        <w:t> </w:t>
      </w:r>
      <w:r>
        <w:rPr>
          <w:spacing w:val="-2"/>
        </w:rPr>
        <w:t>группе</w:t>
      </w:r>
      <w:r>
        <w:rPr>
          <w:spacing w:val="-5"/>
        </w:rPr>
        <w:t> </w:t>
      </w:r>
      <w:r>
        <w:rPr>
          <w:spacing w:val="-2"/>
        </w:rPr>
        <w:t>того,</w:t>
      </w:r>
      <w:r>
        <w:rPr>
          <w:spacing w:val="-5"/>
        </w:rPr>
        <w:t> </w:t>
      </w:r>
      <w:r>
        <w:rPr>
          <w:spacing w:val="-2"/>
        </w:rPr>
        <w:t>чья</w:t>
      </w:r>
      <w:r>
        <w:rPr>
          <w:spacing w:val="-5"/>
        </w:rPr>
        <w:t> </w:t>
      </w:r>
      <w:r>
        <w:rPr>
          <w:spacing w:val="-2"/>
        </w:rPr>
        <w:t>работа</w:t>
      </w:r>
      <w:r>
        <w:rPr>
          <w:spacing w:val="-5"/>
        </w:rPr>
        <w:t> </w:t>
      </w:r>
      <w:r>
        <w:rPr>
          <w:spacing w:val="-2"/>
        </w:rPr>
        <w:t>у </w:t>
      </w:r>
      <w:r>
        <w:rPr/>
        <w:t>них</w:t>
      </w:r>
      <w:r>
        <w:rPr>
          <w:spacing w:val="-1"/>
        </w:rPr>
        <w:t> </w:t>
      </w:r>
      <w:r>
        <w:rPr/>
        <w:t>в</w:t>
      </w:r>
      <w:r>
        <w:rPr>
          <w:spacing w:val="-1"/>
        </w:rPr>
        <w:t> </w:t>
      </w:r>
      <w:r>
        <w:rPr/>
        <w:t>руках</w:t>
      </w:r>
      <w:r>
        <w:rPr>
          <w:spacing w:val="-1"/>
        </w:rPr>
        <w:t> </w:t>
      </w:r>
      <w:r>
        <w:rPr/>
        <w:t>(на</w:t>
      </w:r>
      <w:r>
        <w:rPr>
          <w:spacing w:val="-1"/>
        </w:rPr>
        <w:t> </w:t>
      </w:r>
      <w:r>
        <w:rPr/>
        <w:t>листе-снежке).</w:t>
      </w:r>
      <w:r>
        <w:rPr>
          <w:spacing w:val="-1"/>
        </w:rPr>
        <w:t> </w:t>
      </w:r>
      <w:r>
        <w:rPr/>
        <w:t>Представляющий</w:t>
      </w:r>
      <w:r>
        <w:rPr>
          <w:spacing w:val="-1"/>
        </w:rPr>
        <w:t> </w:t>
      </w:r>
      <w:r>
        <w:rPr/>
        <w:t>должен</w:t>
      </w:r>
      <w:r>
        <w:rPr>
          <w:spacing w:val="-1"/>
        </w:rPr>
        <w:t> </w:t>
      </w:r>
      <w:r>
        <w:rPr/>
        <w:t>назвать</w:t>
      </w:r>
      <w:r>
        <w:rPr>
          <w:spacing w:val="-1"/>
        </w:rPr>
        <w:t> </w:t>
      </w:r>
      <w:r>
        <w:rPr/>
        <w:t>имя</w:t>
      </w:r>
      <w:r>
        <w:rPr>
          <w:spacing w:val="-1"/>
        </w:rPr>
        <w:t> </w:t>
      </w:r>
      <w:r>
        <w:rPr/>
        <w:t>автора,</w:t>
      </w:r>
      <w:r>
        <w:rPr>
          <w:spacing w:val="-1"/>
        </w:rPr>
        <w:t> </w:t>
      </w:r>
      <w:r>
        <w:rPr/>
        <w:t>а</w:t>
      </w:r>
      <w:r>
        <w:rPr>
          <w:spacing w:val="-1"/>
        </w:rPr>
        <w:t> </w:t>
      </w:r>
      <w:r>
        <w:rPr/>
        <w:t>затем прочитать список ответов на каждый вопрос.</w:t>
      </w:r>
    </w:p>
    <w:p>
      <w:pPr>
        <w:pStyle w:val="BodyText"/>
        <w:spacing w:line="235" w:lineRule="auto" w:before="2"/>
        <w:ind w:right="140"/>
      </w:pPr>
      <w:r>
        <w:rPr/>
        <w:t>Обсуждение</w:t>
      </w:r>
      <w:r>
        <w:rPr>
          <w:spacing w:val="-3"/>
        </w:rPr>
        <w:t> </w:t>
      </w:r>
      <w:r>
        <w:rPr/>
        <w:t>фокусируется</w:t>
      </w:r>
      <w:r>
        <w:rPr>
          <w:spacing w:val="-3"/>
        </w:rPr>
        <w:t> </w:t>
      </w:r>
      <w:r>
        <w:rPr/>
        <w:t>вокруг</w:t>
      </w:r>
      <w:r>
        <w:rPr>
          <w:spacing w:val="-3"/>
        </w:rPr>
        <w:t> </w:t>
      </w:r>
      <w:r>
        <w:rPr/>
        <w:t>того,</w:t>
      </w:r>
      <w:r>
        <w:rPr>
          <w:spacing w:val="-3"/>
        </w:rPr>
        <w:t> </w:t>
      </w:r>
      <w:r>
        <w:rPr/>
        <w:t>что</w:t>
      </w:r>
      <w:r>
        <w:rPr>
          <w:spacing w:val="-3"/>
        </w:rPr>
        <w:t> </w:t>
      </w:r>
      <w:r>
        <w:rPr/>
        <w:t>у</w:t>
      </w:r>
      <w:r>
        <w:rPr>
          <w:spacing w:val="-3"/>
        </w:rPr>
        <w:t> </w:t>
      </w:r>
      <w:r>
        <w:rPr/>
        <w:t>каждого</w:t>
      </w:r>
      <w:r>
        <w:rPr>
          <w:spacing w:val="-3"/>
        </w:rPr>
        <w:t> </w:t>
      </w:r>
      <w:r>
        <w:rPr/>
        <w:t>из</w:t>
      </w:r>
      <w:r>
        <w:rPr>
          <w:spacing w:val="-3"/>
        </w:rPr>
        <w:t> </w:t>
      </w:r>
      <w:r>
        <w:rPr/>
        <w:t>участников</w:t>
      </w:r>
      <w:r>
        <w:rPr>
          <w:spacing w:val="-3"/>
        </w:rPr>
        <w:t> </w:t>
      </w:r>
      <w:r>
        <w:rPr/>
        <w:t>есть</w:t>
      </w:r>
      <w:r>
        <w:rPr>
          <w:spacing w:val="-3"/>
        </w:rPr>
        <w:t> </w:t>
      </w:r>
      <w:r>
        <w:rPr/>
        <w:t>общего с другими и как это может повлиять на общение и взаимопонимание.</w:t>
      </w:r>
    </w:p>
    <w:p>
      <w:pPr>
        <w:pStyle w:val="BodyText"/>
        <w:spacing w:after="0" w:line="235" w:lineRule="auto"/>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before="114"/>
        <w:ind w:left="425" w:right="0" w:firstLine="0"/>
        <w:jc w:val="left"/>
        <w:rPr>
          <w:b/>
          <w:sz w:val="18"/>
        </w:rPr>
      </w:pPr>
      <w:r>
        <w:rPr>
          <w:b/>
          <w:color w:val="231F20"/>
          <w:spacing w:val="-2"/>
          <w:sz w:val="18"/>
        </w:rPr>
        <w:t>Литература</w:t>
      </w:r>
    </w:p>
    <w:p>
      <w:pPr>
        <w:pStyle w:val="ListParagraph"/>
        <w:numPr>
          <w:ilvl w:val="0"/>
          <w:numId w:val="293"/>
        </w:numPr>
        <w:tabs>
          <w:tab w:pos="708" w:val="left" w:leader="none"/>
        </w:tabs>
        <w:spacing w:line="240" w:lineRule="auto" w:before="0" w:after="0"/>
        <w:ind w:left="708" w:right="423" w:hanging="284"/>
        <w:jc w:val="both"/>
        <w:rPr>
          <w:color w:val="231F20"/>
          <w:sz w:val="18"/>
        </w:rPr>
      </w:pPr>
      <w:r>
        <w:rPr>
          <w:color w:val="231F20"/>
          <w:sz w:val="18"/>
        </w:rPr>
        <w:t>Вачков И.В. Психология тренинговой работы: Содержательные, организационные и методические аспекты ведения тренинговой группы. – М.: Эксмо, 2007. – 416 с.</w:t>
      </w:r>
    </w:p>
    <w:p>
      <w:pPr>
        <w:pStyle w:val="ListParagraph"/>
        <w:numPr>
          <w:ilvl w:val="0"/>
          <w:numId w:val="293"/>
        </w:numPr>
        <w:tabs>
          <w:tab w:pos="708" w:val="left" w:leader="none"/>
        </w:tabs>
        <w:spacing w:line="240" w:lineRule="auto" w:before="0" w:after="0"/>
        <w:ind w:left="708" w:right="423" w:hanging="284"/>
        <w:jc w:val="both"/>
        <w:rPr>
          <w:sz w:val="18"/>
        </w:rPr>
      </w:pPr>
      <w:r>
        <w:rPr>
          <w:sz w:val="18"/>
        </w:rPr>
        <w:t>Искусство жить с непохожими людьми: психотехника толерантности / Под ред. А.Г. Асмолова, Г.У. Солдатовой, А.В. Макарчук. – М., 2009.</w:t>
      </w:r>
    </w:p>
    <w:p>
      <w:pPr>
        <w:pStyle w:val="ListParagraph"/>
        <w:numPr>
          <w:ilvl w:val="0"/>
          <w:numId w:val="293"/>
        </w:numPr>
        <w:tabs>
          <w:tab w:pos="708" w:val="left" w:leader="none"/>
        </w:tabs>
        <w:spacing w:line="240" w:lineRule="auto" w:before="0" w:after="0"/>
        <w:ind w:left="708" w:right="423" w:hanging="284"/>
        <w:jc w:val="both"/>
        <w:rPr>
          <w:sz w:val="18"/>
        </w:rPr>
      </w:pPr>
      <w:r>
        <w:rPr>
          <w:sz w:val="18"/>
        </w:rPr>
        <w:t>Лейбман И.Я., Корнилова М.В. Межкультурный тренинг: общая характеристика и примеры</w:t>
      </w:r>
      <w:r>
        <w:rPr>
          <w:spacing w:val="-2"/>
          <w:sz w:val="18"/>
        </w:rPr>
        <w:t> </w:t>
      </w:r>
      <w:r>
        <w:rPr>
          <w:sz w:val="18"/>
        </w:rPr>
        <w:t>упражнений</w:t>
      </w:r>
      <w:r>
        <w:rPr>
          <w:spacing w:val="-2"/>
          <w:sz w:val="18"/>
        </w:rPr>
        <w:t> </w:t>
      </w:r>
      <w:r>
        <w:rPr>
          <w:sz w:val="18"/>
        </w:rPr>
        <w:t>//</w:t>
      </w:r>
      <w:r>
        <w:rPr>
          <w:spacing w:val="-2"/>
          <w:sz w:val="18"/>
        </w:rPr>
        <w:t> </w:t>
      </w:r>
      <w:r>
        <w:rPr>
          <w:sz w:val="18"/>
        </w:rPr>
        <w:t>Технологии</w:t>
      </w:r>
      <w:r>
        <w:rPr>
          <w:spacing w:val="-2"/>
          <w:sz w:val="18"/>
        </w:rPr>
        <w:t> </w:t>
      </w:r>
      <w:r>
        <w:rPr>
          <w:sz w:val="18"/>
        </w:rPr>
        <w:t>психологического</w:t>
      </w:r>
      <w:r>
        <w:rPr>
          <w:spacing w:val="-2"/>
          <w:sz w:val="18"/>
        </w:rPr>
        <w:t> </w:t>
      </w:r>
      <w:r>
        <w:rPr>
          <w:sz w:val="18"/>
        </w:rPr>
        <w:t>сопровождения</w:t>
      </w:r>
      <w:r>
        <w:rPr>
          <w:spacing w:val="-2"/>
          <w:sz w:val="18"/>
        </w:rPr>
        <w:t> </w:t>
      </w:r>
      <w:r>
        <w:rPr>
          <w:sz w:val="18"/>
        </w:rPr>
        <w:t>интеграции мигрантов в образовательной среде. Учебно-методическое пособие. – М., 2013. </w:t>
      </w:r>
      <w:hyperlink r:id="rId107">
        <w:r>
          <w:rPr>
            <w:color w:val="2255A6"/>
            <w:spacing w:val="-2"/>
            <w:sz w:val="18"/>
            <w:u w:val="single" w:color="2255A6"/>
          </w:rPr>
          <w:t>https://psyjournals.ru/soprovozhdenie_migrantov/issue/66982.shtml</w:t>
        </w:r>
      </w:hyperlink>
      <w:r>
        <w:rPr>
          <w:color w:val="231F20"/>
          <w:spacing w:val="-2"/>
          <w:sz w:val="18"/>
        </w:rPr>
        <w:t>.</w:t>
      </w:r>
    </w:p>
    <w:p>
      <w:pPr>
        <w:pStyle w:val="ListParagraph"/>
        <w:numPr>
          <w:ilvl w:val="0"/>
          <w:numId w:val="293"/>
        </w:numPr>
        <w:tabs>
          <w:tab w:pos="708" w:val="left" w:leader="none"/>
        </w:tabs>
        <w:spacing w:line="240" w:lineRule="auto" w:before="0" w:after="0"/>
        <w:ind w:left="708" w:right="422" w:hanging="284"/>
        <w:jc w:val="both"/>
        <w:rPr>
          <w:sz w:val="18"/>
        </w:rPr>
      </w:pPr>
      <w:r>
        <w:rPr>
          <w:sz w:val="18"/>
        </w:rPr>
        <w:t>Лебедева Н.М., Лунева О.В., Стефаненко Т.Г. Тренинг этнической толерантности для школьников: Учебное пособие для студентов психологических специальнос- тей. – М.: Привет, 2004. – 358 с.</w:t>
      </w:r>
    </w:p>
    <w:p>
      <w:pPr>
        <w:pStyle w:val="ListParagraph"/>
        <w:numPr>
          <w:ilvl w:val="0"/>
          <w:numId w:val="293"/>
        </w:numPr>
        <w:tabs>
          <w:tab w:pos="708" w:val="left" w:leader="none"/>
        </w:tabs>
        <w:spacing w:line="240" w:lineRule="auto" w:before="0" w:after="0"/>
        <w:ind w:left="708" w:right="422" w:hanging="284"/>
        <w:jc w:val="both"/>
        <w:rPr>
          <w:color w:val="231F20"/>
          <w:sz w:val="18"/>
        </w:rPr>
      </w:pPr>
      <w:r>
        <w:rPr>
          <w:color w:val="231F20"/>
          <w:sz w:val="18"/>
        </w:rPr>
        <w:t>Фопель</w:t>
      </w:r>
      <w:r>
        <w:rPr>
          <w:color w:val="231F20"/>
          <w:spacing w:val="-4"/>
          <w:sz w:val="18"/>
        </w:rPr>
        <w:t> </w:t>
      </w:r>
      <w:r>
        <w:rPr>
          <w:color w:val="231F20"/>
          <w:sz w:val="18"/>
        </w:rPr>
        <w:t>К.</w:t>
      </w:r>
      <w:r>
        <w:rPr>
          <w:color w:val="231F20"/>
          <w:spacing w:val="-4"/>
          <w:sz w:val="18"/>
        </w:rPr>
        <w:t> </w:t>
      </w:r>
      <w:r>
        <w:rPr>
          <w:color w:val="231F20"/>
          <w:sz w:val="18"/>
        </w:rPr>
        <w:t>Как</w:t>
      </w:r>
      <w:r>
        <w:rPr>
          <w:color w:val="231F20"/>
          <w:spacing w:val="-4"/>
          <w:sz w:val="18"/>
        </w:rPr>
        <w:t> </w:t>
      </w:r>
      <w:r>
        <w:rPr>
          <w:color w:val="231F20"/>
          <w:sz w:val="18"/>
        </w:rPr>
        <w:t>научить</w:t>
      </w:r>
      <w:r>
        <w:rPr>
          <w:color w:val="231F20"/>
          <w:spacing w:val="-4"/>
          <w:sz w:val="18"/>
        </w:rPr>
        <w:t> </w:t>
      </w:r>
      <w:r>
        <w:rPr>
          <w:color w:val="231F20"/>
          <w:sz w:val="18"/>
        </w:rPr>
        <w:t>детей</w:t>
      </w:r>
      <w:r>
        <w:rPr>
          <w:color w:val="231F20"/>
          <w:spacing w:val="-4"/>
          <w:sz w:val="18"/>
        </w:rPr>
        <w:t> </w:t>
      </w:r>
      <w:r>
        <w:rPr>
          <w:color w:val="231F20"/>
          <w:sz w:val="18"/>
        </w:rPr>
        <w:t>сотрудничать?</w:t>
      </w:r>
      <w:r>
        <w:rPr>
          <w:color w:val="231F20"/>
          <w:spacing w:val="-4"/>
          <w:sz w:val="18"/>
        </w:rPr>
        <w:t> </w:t>
      </w:r>
      <w:r>
        <w:rPr>
          <w:color w:val="231F20"/>
          <w:sz w:val="18"/>
        </w:rPr>
        <w:t>Психологические</w:t>
      </w:r>
      <w:r>
        <w:rPr>
          <w:color w:val="231F20"/>
          <w:spacing w:val="-4"/>
          <w:sz w:val="18"/>
        </w:rPr>
        <w:t> </w:t>
      </w:r>
      <w:r>
        <w:rPr>
          <w:color w:val="231F20"/>
          <w:sz w:val="18"/>
        </w:rPr>
        <w:t>игры</w:t>
      </w:r>
      <w:r>
        <w:rPr>
          <w:color w:val="231F20"/>
          <w:spacing w:val="-4"/>
          <w:sz w:val="18"/>
        </w:rPr>
        <w:t> </w:t>
      </w:r>
      <w:r>
        <w:rPr>
          <w:color w:val="231F20"/>
          <w:sz w:val="18"/>
        </w:rPr>
        <w:t>и</w:t>
      </w:r>
      <w:r>
        <w:rPr>
          <w:color w:val="231F20"/>
          <w:spacing w:val="-4"/>
          <w:sz w:val="18"/>
        </w:rPr>
        <w:t> </w:t>
      </w:r>
      <w:r>
        <w:rPr>
          <w:color w:val="231F20"/>
          <w:sz w:val="18"/>
        </w:rPr>
        <w:t>упражнения: Практическое пособие / Пер. с нем. – В 4 т. Т. 4. – М.: Генезис, 1999.</w:t>
      </w:r>
    </w:p>
    <w:p>
      <w:pPr>
        <w:pStyle w:val="ListParagraph"/>
        <w:numPr>
          <w:ilvl w:val="0"/>
          <w:numId w:val="293"/>
        </w:numPr>
        <w:tabs>
          <w:tab w:pos="708" w:val="left" w:leader="none"/>
        </w:tabs>
        <w:spacing w:line="205" w:lineRule="exact" w:before="0" w:after="0"/>
        <w:ind w:left="708" w:right="0" w:hanging="283"/>
        <w:jc w:val="both"/>
        <w:rPr>
          <w:color w:val="231F20"/>
          <w:sz w:val="18"/>
        </w:rPr>
      </w:pPr>
      <w:r>
        <w:rPr>
          <w:color w:val="231F20"/>
          <w:sz w:val="18"/>
        </w:rPr>
        <w:t>Building</w:t>
      </w:r>
      <w:r>
        <w:rPr>
          <w:color w:val="231F20"/>
          <w:spacing w:val="17"/>
          <w:sz w:val="18"/>
        </w:rPr>
        <w:t> </w:t>
      </w:r>
      <w:r>
        <w:rPr>
          <w:color w:val="231F20"/>
          <w:sz w:val="18"/>
        </w:rPr>
        <w:t>Cultural</w:t>
      </w:r>
      <w:r>
        <w:rPr>
          <w:color w:val="231F20"/>
          <w:spacing w:val="17"/>
          <w:sz w:val="18"/>
        </w:rPr>
        <w:t> </w:t>
      </w:r>
      <w:r>
        <w:rPr>
          <w:color w:val="231F20"/>
          <w:sz w:val="18"/>
        </w:rPr>
        <w:t>Competence:</w:t>
      </w:r>
      <w:r>
        <w:rPr>
          <w:color w:val="231F20"/>
          <w:spacing w:val="17"/>
          <w:sz w:val="18"/>
        </w:rPr>
        <w:t> </w:t>
      </w:r>
      <w:r>
        <w:rPr>
          <w:color w:val="231F20"/>
          <w:sz w:val="18"/>
        </w:rPr>
        <w:t>Innovative</w:t>
      </w:r>
      <w:r>
        <w:rPr>
          <w:color w:val="231F20"/>
          <w:spacing w:val="7"/>
          <w:sz w:val="18"/>
        </w:rPr>
        <w:t> </w:t>
      </w:r>
      <w:r>
        <w:rPr>
          <w:color w:val="231F20"/>
          <w:sz w:val="18"/>
        </w:rPr>
        <w:t>Activities</w:t>
      </w:r>
      <w:r>
        <w:rPr>
          <w:color w:val="231F20"/>
          <w:spacing w:val="17"/>
          <w:sz w:val="18"/>
        </w:rPr>
        <w:t> </w:t>
      </w:r>
      <w:r>
        <w:rPr>
          <w:color w:val="231F20"/>
          <w:sz w:val="18"/>
        </w:rPr>
        <w:t>and</w:t>
      </w:r>
      <w:r>
        <w:rPr>
          <w:color w:val="231F20"/>
          <w:spacing w:val="17"/>
          <w:sz w:val="18"/>
        </w:rPr>
        <w:t> </w:t>
      </w:r>
      <w:r>
        <w:rPr>
          <w:color w:val="231F20"/>
          <w:sz w:val="18"/>
        </w:rPr>
        <w:t>Models,</w:t>
      </w:r>
      <w:r>
        <w:rPr>
          <w:color w:val="231F20"/>
          <w:spacing w:val="17"/>
          <w:sz w:val="18"/>
        </w:rPr>
        <w:t> </w:t>
      </w:r>
      <w:r>
        <w:rPr>
          <w:color w:val="231F20"/>
          <w:sz w:val="18"/>
        </w:rPr>
        <w:t>eds.</w:t>
      </w:r>
      <w:r>
        <w:rPr>
          <w:color w:val="231F20"/>
          <w:spacing w:val="17"/>
          <w:sz w:val="18"/>
        </w:rPr>
        <w:t> </w:t>
      </w:r>
      <w:r>
        <w:rPr>
          <w:color w:val="231F20"/>
          <w:sz w:val="18"/>
        </w:rPr>
        <w:t>K.</w:t>
      </w:r>
      <w:r>
        <w:rPr>
          <w:color w:val="231F20"/>
          <w:spacing w:val="17"/>
          <w:sz w:val="18"/>
        </w:rPr>
        <w:t> </w:t>
      </w:r>
      <w:r>
        <w:rPr>
          <w:color w:val="231F20"/>
          <w:sz w:val="18"/>
        </w:rPr>
        <w:t>Berardo</w:t>
      </w:r>
      <w:r>
        <w:rPr>
          <w:color w:val="231F20"/>
          <w:spacing w:val="18"/>
          <w:sz w:val="18"/>
        </w:rPr>
        <w:t> </w:t>
      </w:r>
      <w:r>
        <w:rPr>
          <w:color w:val="231F20"/>
          <w:spacing w:val="-5"/>
          <w:sz w:val="18"/>
        </w:rPr>
        <w:t>and</w:t>
      </w:r>
    </w:p>
    <w:p>
      <w:pPr>
        <w:spacing w:line="206" w:lineRule="exact" w:before="0"/>
        <w:ind w:left="708" w:right="0" w:firstLine="0"/>
        <w:jc w:val="both"/>
        <w:rPr>
          <w:sz w:val="18"/>
        </w:rPr>
      </w:pPr>
      <w:r>
        <w:rPr>
          <w:color w:val="231F20"/>
          <w:sz w:val="18"/>
        </w:rPr>
        <w:t>D.K.</w:t>
      </w:r>
      <w:r>
        <w:rPr>
          <w:color w:val="231F20"/>
          <w:spacing w:val="-8"/>
          <w:sz w:val="18"/>
        </w:rPr>
        <w:t> </w:t>
      </w:r>
      <w:r>
        <w:rPr>
          <w:color w:val="231F20"/>
          <w:sz w:val="18"/>
        </w:rPr>
        <w:t>Deardorff.</w:t>
      </w:r>
      <w:r>
        <w:rPr>
          <w:color w:val="231F20"/>
          <w:spacing w:val="-8"/>
          <w:sz w:val="18"/>
        </w:rPr>
        <w:t> </w:t>
      </w:r>
      <w:r>
        <w:rPr>
          <w:color w:val="231F20"/>
          <w:sz w:val="18"/>
        </w:rPr>
        <w:t>Sterling,</w:t>
      </w:r>
      <w:r>
        <w:rPr>
          <w:color w:val="231F20"/>
          <w:spacing w:val="-12"/>
          <w:sz w:val="18"/>
        </w:rPr>
        <w:t> </w:t>
      </w:r>
      <w:r>
        <w:rPr>
          <w:color w:val="231F20"/>
          <w:sz w:val="18"/>
        </w:rPr>
        <w:t>VA:</w:t>
      </w:r>
      <w:r>
        <w:rPr>
          <w:color w:val="231F20"/>
          <w:spacing w:val="-8"/>
          <w:sz w:val="18"/>
        </w:rPr>
        <w:t> </w:t>
      </w:r>
      <w:r>
        <w:rPr>
          <w:color w:val="231F20"/>
          <w:sz w:val="18"/>
        </w:rPr>
        <w:t>Stylus,</w:t>
      </w:r>
      <w:r>
        <w:rPr>
          <w:color w:val="231F20"/>
          <w:spacing w:val="-8"/>
          <w:sz w:val="18"/>
        </w:rPr>
        <w:t> </w:t>
      </w:r>
      <w:r>
        <w:rPr>
          <w:color w:val="231F20"/>
          <w:spacing w:val="-2"/>
          <w:sz w:val="18"/>
        </w:rPr>
        <w:t>2012.</w:t>
      </w:r>
    </w:p>
    <w:p>
      <w:pPr>
        <w:pStyle w:val="ListParagraph"/>
        <w:numPr>
          <w:ilvl w:val="0"/>
          <w:numId w:val="293"/>
        </w:numPr>
        <w:tabs>
          <w:tab w:pos="708" w:val="left" w:leader="none"/>
        </w:tabs>
        <w:spacing w:line="240" w:lineRule="auto" w:before="0" w:after="0"/>
        <w:ind w:left="708" w:right="422" w:hanging="284"/>
        <w:jc w:val="both"/>
        <w:rPr>
          <w:color w:val="231F20"/>
          <w:sz w:val="18"/>
        </w:rPr>
      </w:pPr>
      <w:r>
        <w:rPr>
          <w:color w:val="231F20"/>
          <w:sz w:val="18"/>
        </w:rPr>
        <w:t>Kohls R., Knight J.M. Developing intercultural awareness: a cross-cultural training handbook / L. USA,1994.</w:t>
      </w:r>
    </w:p>
    <w:p>
      <w:pPr>
        <w:spacing w:line="206" w:lineRule="exact" w:before="99"/>
        <w:ind w:left="425" w:right="0" w:firstLine="0"/>
        <w:jc w:val="left"/>
        <w:rPr>
          <w:b/>
          <w:sz w:val="18"/>
        </w:rPr>
      </w:pPr>
      <w:r>
        <w:rPr>
          <w:b/>
          <w:color w:val="231F20"/>
          <w:sz w:val="18"/>
        </w:rPr>
        <w:t>Литература</w:t>
      </w:r>
      <w:r>
        <w:rPr>
          <w:b/>
          <w:color w:val="231F20"/>
          <w:spacing w:val="-11"/>
          <w:sz w:val="18"/>
        </w:rPr>
        <w:t> </w:t>
      </w:r>
      <w:r>
        <w:rPr>
          <w:b/>
          <w:color w:val="231F20"/>
          <w:sz w:val="18"/>
        </w:rPr>
        <w:t>по</w:t>
      </w:r>
      <w:r>
        <w:rPr>
          <w:b/>
          <w:color w:val="231F20"/>
          <w:spacing w:val="-11"/>
          <w:sz w:val="18"/>
        </w:rPr>
        <w:t> </w:t>
      </w:r>
      <w:r>
        <w:rPr>
          <w:b/>
          <w:color w:val="231F20"/>
          <w:sz w:val="18"/>
        </w:rPr>
        <w:t>межкультурному</w:t>
      </w:r>
      <w:r>
        <w:rPr>
          <w:b/>
          <w:color w:val="231F20"/>
          <w:spacing w:val="-11"/>
          <w:sz w:val="18"/>
        </w:rPr>
        <w:t> </w:t>
      </w:r>
      <w:r>
        <w:rPr>
          <w:b/>
          <w:color w:val="231F20"/>
          <w:spacing w:val="-2"/>
          <w:sz w:val="18"/>
        </w:rPr>
        <w:t>тренингу</w:t>
      </w:r>
    </w:p>
    <w:p>
      <w:pPr>
        <w:pStyle w:val="ListParagraph"/>
        <w:numPr>
          <w:ilvl w:val="0"/>
          <w:numId w:val="294"/>
        </w:numPr>
        <w:tabs>
          <w:tab w:pos="708" w:val="left" w:leader="none"/>
        </w:tabs>
        <w:spacing w:line="240" w:lineRule="auto" w:before="0" w:after="0"/>
        <w:ind w:left="708" w:right="423" w:hanging="284"/>
        <w:jc w:val="left"/>
        <w:rPr>
          <w:sz w:val="18"/>
        </w:rPr>
      </w:pPr>
      <w:r>
        <w:rPr>
          <w:color w:val="231F20"/>
          <w:sz w:val="18"/>
        </w:rPr>
        <w:t>Аксельрод</w:t>
      </w:r>
      <w:r>
        <w:rPr>
          <w:color w:val="231F20"/>
          <w:spacing w:val="22"/>
          <w:sz w:val="18"/>
        </w:rPr>
        <w:t> </w:t>
      </w:r>
      <w:r>
        <w:rPr>
          <w:color w:val="231F20"/>
          <w:sz w:val="18"/>
        </w:rPr>
        <w:t>А.,</w:t>
      </w:r>
      <w:r>
        <w:rPr>
          <w:color w:val="231F20"/>
          <w:spacing w:val="22"/>
          <w:sz w:val="18"/>
        </w:rPr>
        <w:t> </w:t>
      </w:r>
      <w:r>
        <w:rPr>
          <w:color w:val="231F20"/>
          <w:sz w:val="18"/>
        </w:rPr>
        <w:t>Любарская</w:t>
      </w:r>
      <w:r>
        <w:rPr>
          <w:color w:val="231F20"/>
          <w:spacing w:val="22"/>
          <w:sz w:val="18"/>
        </w:rPr>
        <w:t> </w:t>
      </w:r>
      <w:r>
        <w:rPr>
          <w:color w:val="231F20"/>
          <w:sz w:val="18"/>
        </w:rPr>
        <w:t>Е.</w:t>
      </w:r>
      <w:r>
        <w:rPr>
          <w:color w:val="231F20"/>
          <w:spacing w:val="22"/>
          <w:sz w:val="18"/>
        </w:rPr>
        <w:t> </w:t>
      </w:r>
      <w:r>
        <w:rPr>
          <w:color w:val="231F20"/>
          <w:sz w:val="18"/>
        </w:rPr>
        <w:t>Мир</w:t>
      </w:r>
      <w:r>
        <w:rPr>
          <w:color w:val="231F20"/>
          <w:spacing w:val="22"/>
          <w:sz w:val="18"/>
        </w:rPr>
        <w:t> </w:t>
      </w:r>
      <w:r>
        <w:rPr>
          <w:color w:val="231F20"/>
          <w:sz w:val="18"/>
        </w:rPr>
        <w:t>различий.</w:t>
      </w:r>
      <w:r>
        <w:rPr>
          <w:color w:val="231F20"/>
          <w:spacing w:val="22"/>
          <w:sz w:val="18"/>
        </w:rPr>
        <w:t> </w:t>
      </w:r>
      <w:r>
        <w:rPr>
          <w:color w:val="231F20"/>
          <w:sz w:val="18"/>
        </w:rPr>
        <w:t>Сборник</w:t>
      </w:r>
      <w:r>
        <w:rPr>
          <w:color w:val="231F20"/>
          <w:spacing w:val="22"/>
          <w:sz w:val="18"/>
        </w:rPr>
        <w:t> </w:t>
      </w:r>
      <w:r>
        <w:rPr>
          <w:color w:val="231F20"/>
          <w:sz w:val="18"/>
        </w:rPr>
        <w:t>упражнений</w:t>
      </w:r>
      <w:r>
        <w:rPr>
          <w:color w:val="231F20"/>
          <w:spacing w:val="22"/>
          <w:sz w:val="18"/>
        </w:rPr>
        <w:t> </w:t>
      </w:r>
      <w:r>
        <w:rPr>
          <w:color w:val="231F20"/>
          <w:sz w:val="18"/>
        </w:rPr>
        <w:t>для</w:t>
      </w:r>
      <w:r>
        <w:rPr>
          <w:color w:val="231F20"/>
          <w:spacing w:val="22"/>
          <w:sz w:val="18"/>
        </w:rPr>
        <w:t> </w:t>
      </w:r>
      <w:r>
        <w:rPr>
          <w:color w:val="231F20"/>
          <w:sz w:val="18"/>
        </w:rPr>
        <w:t>учащихся общеобразовательных школ. – М., 2003.</w:t>
      </w:r>
    </w:p>
    <w:p>
      <w:pPr>
        <w:pStyle w:val="ListParagraph"/>
        <w:numPr>
          <w:ilvl w:val="0"/>
          <w:numId w:val="294"/>
        </w:numPr>
        <w:tabs>
          <w:tab w:pos="708" w:val="left" w:leader="none"/>
        </w:tabs>
        <w:spacing w:line="205" w:lineRule="exact" w:before="0" w:after="0"/>
        <w:ind w:left="708" w:right="0" w:hanging="283"/>
        <w:jc w:val="left"/>
        <w:rPr>
          <w:sz w:val="18"/>
        </w:rPr>
      </w:pPr>
      <w:r>
        <w:rPr>
          <w:color w:val="231F20"/>
          <w:sz w:val="18"/>
        </w:rPr>
        <w:t>Кипнис</w:t>
      </w:r>
      <w:r>
        <w:rPr>
          <w:color w:val="231F20"/>
          <w:spacing w:val="-6"/>
          <w:sz w:val="18"/>
        </w:rPr>
        <w:t> </w:t>
      </w:r>
      <w:r>
        <w:rPr>
          <w:color w:val="231F20"/>
          <w:sz w:val="18"/>
        </w:rPr>
        <w:t>М.</w:t>
      </w:r>
      <w:r>
        <w:rPr>
          <w:color w:val="231F20"/>
          <w:spacing w:val="-5"/>
          <w:sz w:val="18"/>
        </w:rPr>
        <w:t> </w:t>
      </w:r>
      <w:r>
        <w:rPr>
          <w:color w:val="231F20"/>
          <w:sz w:val="18"/>
        </w:rPr>
        <w:t>Тренинг</w:t>
      </w:r>
      <w:r>
        <w:rPr>
          <w:color w:val="231F20"/>
          <w:spacing w:val="-6"/>
          <w:sz w:val="18"/>
        </w:rPr>
        <w:t> </w:t>
      </w:r>
      <w:r>
        <w:rPr>
          <w:color w:val="231F20"/>
          <w:sz w:val="18"/>
        </w:rPr>
        <w:t>межкультурных</w:t>
      </w:r>
      <w:r>
        <w:rPr>
          <w:color w:val="231F20"/>
          <w:spacing w:val="-5"/>
          <w:sz w:val="18"/>
        </w:rPr>
        <w:t> </w:t>
      </w:r>
      <w:r>
        <w:rPr>
          <w:color w:val="231F20"/>
          <w:sz w:val="18"/>
        </w:rPr>
        <w:t>отношений.</w:t>
      </w:r>
      <w:r>
        <w:rPr>
          <w:color w:val="231F20"/>
          <w:spacing w:val="-5"/>
          <w:sz w:val="18"/>
        </w:rPr>
        <w:t> </w:t>
      </w:r>
      <w:r>
        <w:rPr>
          <w:color w:val="231F20"/>
          <w:sz w:val="18"/>
        </w:rPr>
        <w:t>–</w:t>
      </w:r>
      <w:r>
        <w:rPr>
          <w:color w:val="231F20"/>
          <w:spacing w:val="-5"/>
          <w:sz w:val="18"/>
        </w:rPr>
        <w:t> </w:t>
      </w:r>
      <w:r>
        <w:rPr>
          <w:color w:val="231F20"/>
          <w:sz w:val="18"/>
        </w:rPr>
        <w:t>М.,</w:t>
      </w:r>
      <w:r>
        <w:rPr>
          <w:color w:val="231F20"/>
          <w:spacing w:val="-5"/>
          <w:sz w:val="18"/>
        </w:rPr>
        <w:t> </w:t>
      </w:r>
      <w:r>
        <w:rPr>
          <w:color w:val="231F20"/>
          <w:spacing w:val="-2"/>
          <w:sz w:val="18"/>
        </w:rPr>
        <w:t>2006.</w:t>
      </w:r>
    </w:p>
    <w:p>
      <w:pPr>
        <w:pStyle w:val="ListParagraph"/>
        <w:numPr>
          <w:ilvl w:val="0"/>
          <w:numId w:val="294"/>
        </w:numPr>
        <w:tabs>
          <w:tab w:pos="708" w:val="left" w:leader="none"/>
        </w:tabs>
        <w:spacing w:line="240" w:lineRule="auto" w:before="0" w:after="0"/>
        <w:ind w:left="708" w:right="423" w:hanging="284"/>
        <w:jc w:val="left"/>
        <w:rPr>
          <w:sz w:val="18"/>
        </w:rPr>
      </w:pPr>
      <w:r>
        <w:rPr>
          <w:color w:val="231F20"/>
          <w:sz w:val="18"/>
        </w:rPr>
        <w:t>Культурный ассимилятор. Тренинг адаптации к жизни в Санкт-Петербурге / Под ред. Р.К. Тангалычевой, Н.А. Головина. – СПб.,2009.</w:t>
      </w:r>
    </w:p>
    <w:p>
      <w:pPr>
        <w:pStyle w:val="ListParagraph"/>
        <w:numPr>
          <w:ilvl w:val="0"/>
          <w:numId w:val="294"/>
        </w:numPr>
        <w:tabs>
          <w:tab w:pos="708" w:val="left" w:leader="none"/>
        </w:tabs>
        <w:spacing w:line="240" w:lineRule="auto" w:before="0" w:after="0"/>
        <w:ind w:left="708" w:right="423" w:hanging="284"/>
        <w:jc w:val="left"/>
        <w:rPr>
          <w:sz w:val="18"/>
        </w:rPr>
      </w:pPr>
      <w:r>
        <w:rPr>
          <w:color w:val="231F20"/>
          <w:sz w:val="18"/>
        </w:rPr>
        <w:t>Лебедева Н.М. и др. Межкультурный диалог. Тренинг этнокультурной компетент- ности. – М., 2003.</w:t>
      </w:r>
    </w:p>
    <w:p>
      <w:pPr>
        <w:pStyle w:val="ListParagraph"/>
        <w:numPr>
          <w:ilvl w:val="0"/>
          <w:numId w:val="294"/>
        </w:numPr>
        <w:tabs>
          <w:tab w:pos="708" w:val="left" w:leader="none"/>
        </w:tabs>
        <w:spacing w:line="205" w:lineRule="exact" w:before="0" w:after="0"/>
        <w:ind w:left="708" w:right="0" w:hanging="283"/>
        <w:jc w:val="left"/>
        <w:rPr>
          <w:sz w:val="18"/>
        </w:rPr>
      </w:pPr>
      <w:r>
        <w:rPr>
          <w:color w:val="231F20"/>
          <w:sz w:val="18"/>
        </w:rPr>
        <w:t>Лебедева</w:t>
      </w:r>
      <w:r>
        <w:rPr>
          <w:color w:val="231F20"/>
          <w:spacing w:val="-8"/>
          <w:sz w:val="18"/>
        </w:rPr>
        <w:t> </w:t>
      </w:r>
      <w:r>
        <w:rPr>
          <w:color w:val="231F20"/>
          <w:sz w:val="18"/>
        </w:rPr>
        <w:t>Н.М.</w:t>
      </w:r>
      <w:r>
        <w:rPr>
          <w:color w:val="231F20"/>
          <w:spacing w:val="-6"/>
          <w:sz w:val="18"/>
        </w:rPr>
        <w:t> </w:t>
      </w:r>
      <w:r>
        <w:rPr>
          <w:color w:val="231F20"/>
          <w:sz w:val="18"/>
        </w:rPr>
        <w:t>Этнопсихология.</w:t>
      </w:r>
      <w:r>
        <w:rPr>
          <w:color w:val="231F20"/>
          <w:spacing w:val="-6"/>
          <w:sz w:val="18"/>
        </w:rPr>
        <w:t> </w:t>
      </w:r>
      <w:r>
        <w:rPr>
          <w:color w:val="231F20"/>
          <w:sz w:val="18"/>
        </w:rPr>
        <w:t>–</w:t>
      </w:r>
      <w:r>
        <w:rPr>
          <w:color w:val="231F20"/>
          <w:spacing w:val="-5"/>
          <w:sz w:val="18"/>
        </w:rPr>
        <w:t> </w:t>
      </w:r>
      <w:r>
        <w:rPr>
          <w:color w:val="231F20"/>
          <w:spacing w:val="-2"/>
          <w:sz w:val="18"/>
        </w:rPr>
        <w:t>М.,2015.</w:t>
      </w:r>
    </w:p>
    <w:p>
      <w:pPr>
        <w:pStyle w:val="ListParagraph"/>
        <w:numPr>
          <w:ilvl w:val="0"/>
          <w:numId w:val="294"/>
        </w:numPr>
        <w:tabs>
          <w:tab w:pos="708" w:val="left" w:leader="none"/>
        </w:tabs>
        <w:spacing w:line="240" w:lineRule="auto" w:before="0" w:after="0"/>
        <w:ind w:left="708" w:right="423" w:hanging="284"/>
        <w:jc w:val="left"/>
        <w:rPr>
          <w:sz w:val="18"/>
        </w:rPr>
      </w:pPr>
      <w:r>
        <w:rPr>
          <w:color w:val="231F20"/>
          <w:sz w:val="18"/>
        </w:rPr>
        <w:t>Методическая</w:t>
      </w:r>
      <w:r>
        <w:rPr>
          <w:color w:val="231F20"/>
          <w:spacing w:val="-10"/>
          <w:sz w:val="18"/>
        </w:rPr>
        <w:t> </w:t>
      </w:r>
      <w:r>
        <w:rPr>
          <w:color w:val="231F20"/>
          <w:sz w:val="18"/>
        </w:rPr>
        <w:t>брошюра</w:t>
      </w:r>
      <w:r>
        <w:rPr>
          <w:color w:val="231F20"/>
          <w:spacing w:val="-10"/>
          <w:sz w:val="18"/>
        </w:rPr>
        <w:t> </w:t>
      </w:r>
      <w:r>
        <w:rPr>
          <w:color w:val="231F20"/>
          <w:sz w:val="18"/>
        </w:rPr>
        <w:t>«Baustein:</w:t>
      </w:r>
      <w:r>
        <w:rPr>
          <w:color w:val="231F20"/>
          <w:spacing w:val="-10"/>
          <w:sz w:val="18"/>
        </w:rPr>
        <w:t> </w:t>
      </w:r>
      <w:r>
        <w:rPr>
          <w:color w:val="231F20"/>
          <w:sz w:val="18"/>
        </w:rPr>
        <w:t>пособие</w:t>
      </w:r>
      <w:r>
        <w:rPr>
          <w:color w:val="231F20"/>
          <w:spacing w:val="-10"/>
          <w:sz w:val="18"/>
        </w:rPr>
        <w:t> </w:t>
      </w:r>
      <w:r>
        <w:rPr>
          <w:color w:val="231F20"/>
          <w:sz w:val="18"/>
        </w:rPr>
        <w:t>по</w:t>
      </w:r>
      <w:r>
        <w:rPr>
          <w:color w:val="231F20"/>
          <w:spacing w:val="-10"/>
          <w:sz w:val="18"/>
        </w:rPr>
        <w:t> </w:t>
      </w:r>
      <w:r>
        <w:rPr>
          <w:color w:val="231F20"/>
          <w:sz w:val="18"/>
        </w:rPr>
        <w:t>не-расистскому</w:t>
      </w:r>
      <w:r>
        <w:rPr>
          <w:color w:val="231F20"/>
          <w:spacing w:val="-10"/>
          <w:sz w:val="18"/>
        </w:rPr>
        <w:t> </w:t>
      </w:r>
      <w:r>
        <w:rPr>
          <w:color w:val="231F20"/>
          <w:sz w:val="18"/>
        </w:rPr>
        <w:t>образованию».</w:t>
      </w:r>
      <w:r>
        <w:rPr>
          <w:color w:val="231F20"/>
          <w:spacing w:val="-10"/>
          <w:sz w:val="18"/>
        </w:rPr>
        <w:t> </w:t>
      </w:r>
      <w:r>
        <w:rPr>
          <w:color w:val="231F20"/>
          <w:sz w:val="18"/>
        </w:rPr>
        <w:t>–</w:t>
      </w:r>
      <w:r>
        <w:rPr>
          <w:color w:val="231F20"/>
          <w:spacing w:val="-10"/>
          <w:sz w:val="18"/>
        </w:rPr>
        <w:t> </w:t>
      </w:r>
      <w:r>
        <w:rPr>
          <w:color w:val="231F20"/>
          <w:sz w:val="18"/>
        </w:rPr>
        <w:t>Во- ронеж, 2011.</w:t>
      </w:r>
    </w:p>
    <w:p>
      <w:pPr>
        <w:pStyle w:val="ListParagraph"/>
        <w:numPr>
          <w:ilvl w:val="0"/>
          <w:numId w:val="294"/>
        </w:numPr>
        <w:tabs>
          <w:tab w:pos="708" w:val="left" w:leader="none"/>
        </w:tabs>
        <w:spacing w:line="205" w:lineRule="exact" w:before="0" w:after="0"/>
        <w:ind w:left="708" w:right="0" w:hanging="283"/>
        <w:jc w:val="left"/>
        <w:rPr>
          <w:sz w:val="18"/>
        </w:rPr>
      </w:pPr>
      <w:r>
        <w:rPr>
          <w:color w:val="231F20"/>
          <w:sz w:val="18"/>
        </w:rPr>
        <w:t>Риэрдон</w:t>
      </w:r>
      <w:r>
        <w:rPr>
          <w:color w:val="231F20"/>
          <w:spacing w:val="-8"/>
          <w:sz w:val="18"/>
        </w:rPr>
        <w:t> </w:t>
      </w:r>
      <w:r>
        <w:rPr>
          <w:i/>
          <w:color w:val="231F20"/>
          <w:sz w:val="18"/>
        </w:rPr>
        <w:t>Б.Э</w:t>
      </w:r>
      <w:r>
        <w:rPr>
          <w:color w:val="231F20"/>
          <w:sz w:val="18"/>
        </w:rPr>
        <w:t>.</w:t>
      </w:r>
      <w:r>
        <w:rPr>
          <w:color w:val="231F20"/>
          <w:spacing w:val="-5"/>
          <w:sz w:val="18"/>
        </w:rPr>
        <w:t> </w:t>
      </w:r>
      <w:r>
        <w:rPr>
          <w:color w:val="231F20"/>
          <w:sz w:val="18"/>
        </w:rPr>
        <w:t>Толерантность</w:t>
      </w:r>
      <w:r>
        <w:rPr>
          <w:color w:val="231F20"/>
          <w:spacing w:val="-4"/>
          <w:sz w:val="18"/>
        </w:rPr>
        <w:t> </w:t>
      </w:r>
      <w:r>
        <w:rPr>
          <w:color w:val="231F20"/>
          <w:sz w:val="18"/>
        </w:rPr>
        <w:t>–</w:t>
      </w:r>
      <w:r>
        <w:rPr>
          <w:color w:val="231F20"/>
          <w:spacing w:val="-5"/>
          <w:sz w:val="18"/>
        </w:rPr>
        <w:t> </w:t>
      </w:r>
      <w:r>
        <w:rPr>
          <w:color w:val="231F20"/>
          <w:sz w:val="18"/>
        </w:rPr>
        <w:t>дорога</w:t>
      </w:r>
      <w:r>
        <w:rPr>
          <w:color w:val="231F20"/>
          <w:spacing w:val="-4"/>
          <w:sz w:val="18"/>
        </w:rPr>
        <w:t> </w:t>
      </w:r>
      <w:r>
        <w:rPr>
          <w:color w:val="231F20"/>
          <w:sz w:val="18"/>
        </w:rPr>
        <w:t>к</w:t>
      </w:r>
      <w:r>
        <w:rPr>
          <w:color w:val="231F20"/>
          <w:spacing w:val="-5"/>
          <w:sz w:val="18"/>
        </w:rPr>
        <w:t> </w:t>
      </w:r>
      <w:r>
        <w:rPr>
          <w:color w:val="231F20"/>
          <w:sz w:val="18"/>
        </w:rPr>
        <w:t>миру.</w:t>
      </w:r>
      <w:r>
        <w:rPr>
          <w:color w:val="231F20"/>
          <w:spacing w:val="-4"/>
          <w:sz w:val="18"/>
        </w:rPr>
        <w:t> </w:t>
      </w:r>
      <w:r>
        <w:rPr>
          <w:color w:val="231F20"/>
          <w:sz w:val="18"/>
        </w:rPr>
        <w:t>–</w:t>
      </w:r>
      <w:r>
        <w:rPr>
          <w:color w:val="231F20"/>
          <w:spacing w:val="-5"/>
          <w:sz w:val="18"/>
        </w:rPr>
        <w:t> </w:t>
      </w:r>
      <w:r>
        <w:rPr>
          <w:color w:val="231F20"/>
          <w:sz w:val="18"/>
        </w:rPr>
        <w:t>М.,</w:t>
      </w:r>
      <w:r>
        <w:rPr>
          <w:color w:val="231F20"/>
          <w:spacing w:val="-4"/>
          <w:sz w:val="18"/>
        </w:rPr>
        <w:t> </w:t>
      </w:r>
      <w:r>
        <w:rPr>
          <w:color w:val="231F20"/>
          <w:spacing w:val="-2"/>
          <w:sz w:val="18"/>
        </w:rPr>
        <w:t>2001.</w:t>
      </w:r>
    </w:p>
    <w:p>
      <w:pPr>
        <w:pStyle w:val="ListParagraph"/>
        <w:numPr>
          <w:ilvl w:val="0"/>
          <w:numId w:val="294"/>
        </w:numPr>
        <w:tabs>
          <w:tab w:pos="708" w:val="left" w:leader="none"/>
        </w:tabs>
        <w:spacing w:line="206" w:lineRule="exact" w:before="0" w:after="0"/>
        <w:ind w:left="708" w:right="0" w:hanging="283"/>
        <w:jc w:val="left"/>
        <w:rPr>
          <w:sz w:val="18"/>
        </w:rPr>
      </w:pPr>
      <w:r>
        <w:rPr>
          <w:color w:val="231F20"/>
          <w:spacing w:val="-2"/>
          <w:sz w:val="18"/>
        </w:rPr>
        <w:t>Рот</w:t>
      </w:r>
      <w:r>
        <w:rPr>
          <w:color w:val="231F20"/>
          <w:spacing w:val="-8"/>
          <w:sz w:val="18"/>
        </w:rPr>
        <w:t> </w:t>
      </w:r>
      <w:r>
        <w:rPr>
          <w:color w:val="231F20"/>
          <w:spacing w:val="-2"/>
          <w:sz w:val="18"/>
        </w:rPr>
        <w:t>Ю.,</w:t>
      </w:r>
      <w:r>
        <w:rPr>
          <w:color w:val="231F20"/>
          <w:spacing w:val="-8"/>
          <w:sz w:val="18"/>
        </w:rPr>
        <w:t> </w:t>
      </w:r>
      <w:r>
        <w:rPr>
          <w:color w:val="231F20"/>
          <w:spacing w:val="-2"/>
          <w:sz w:val="18"/>
        </w:rPr>
        <w:t>Коптельцева</w:t>
      </w:r>
      <w:r>
        <w:rPr>
          <w:color w:val="231F20"/>
          <w:spacing w:val="-8"/>
          <w:sz w:val="18"/>
        </w:rPr>
        <w:t> </w:t>
      </w:r>
      <w:r>
        <w:rPr>
          <w:color w:val="231F20"/>
          <w:spacing w:val="-2"/>
          <w:sz w:val="18"/>
        </w:rPr>
        <w:t>Г.</w:t>
      </w:r>
      <w:r>
        <w:rPr>
          <w:color w:val="231F20"/>
          <w:spacing w:val="-7"/>
          <w:sz w:val="18"/>
        </w:rPr>
        <w:t> </w:t>
      </w:r>
      <w:r>
        <w:rPr>
          <w:color w:val="231F20"/>
          <w:spacing w:val="-2"/>
          <w:sz w:val="18"/>
        </w:rPr>
        <w:t>Межкультурная</w:t>
      </w:r>
      <w:r>
        <w:rPr>
          <w:color w:val="231F20"/>
          <w:spacing w:val="-8"/>
          <w:sz w:val="18"/>
        </w:rPr>
        <w:t> </w:t>
      </w:r>
      <w:r>
        <w:rPr>
          <w:color w:val="231F20"/>
          <w:spacing w:val="-2"/>
          <w:sz w:val="18"/>
        </w:rPr>
        <w:t>коммуникация:</w:t>
      </w:r>
      <w:r>
        <w:rPr>
          <w:color w:val="231F20"/>
          <w:spacing w:val="-8"/>
          <w:sz w:val="18"/>
        </w:rPr>
        <w:t> </w:t>
      </w:r>
      <w:r>
        <w:rPr>
          <w:color w:val="231F20"/>
          <w:spacing w:val="-2"/>
          <w:sz w:val="18"/>
        </w:rPr>
        <w:t>теория</w:t>
      </w:r>
      <w:r>
        <w:rPr>
          <w:color w:val="231F20"/>
          <w:spacing w:val="-8"/>
          <w:sz w:val="18"/>
        </w:rPr>
        <w:t> </w:t>
      </w:r>
      <w:r>
        <w:rPr>
          <w:color w:val="231F20"/>
          <w:spacing w:val="-2"/>
          <w:sz w:val="18"/>
        </w:rPr>
        <w:t>и</w:t>
      </w:r>
      <w:r>
        <w:rPr>
          <w:color w:val="231F20"/>
          <w:spacing w:val="-7"/>
          <w:sz w:val="18"/>
        </w:rPr>
        <w:t> </w:t>
      </w:r>
      <w:r>
        <w:rPr>
          <w:color w:val="231F20"/>
          <w:spacing w:val="-2"/>
          <w:sz w:val="18"/>
        </w:rPr>
        <w:t>тренинг.</w:t>
      </w:r>
      <w:r>
        <w:rPr>
          <w:color w:val="231F20"/>
          <w:spacing w:val="-8"/>
          <w:sz w:val="18"/>
        </w:rPr>
        <w:t> </w:t>
      </w:r>
      <w:r>
        <w:rPr>
          <w:color w:val="231F20"/>
          <w:spacing w:val="-2"/>
          <w:sz w:val="18"/>
        </w:rPr>
        <w:t>–</w:t>
      </w:r>
      <w:r>
        <w:rPr>
          <w:color w:val="231F20"/>
          <w:spacing w:val="-8"/>
          <w:sz w:val="18"/>
        </w:rPr>
        <w:t> </w:t>
      </w:r>
      <w:r>
        <w:rPr>
          <w:color w:val="231F20"/>
          <w:spacing w:val="-2"/>
          <w:sz w:val="18"/>
        </w:rPr>
        <w:t>М.,</w:t>
      </w:r>
      <w:r>
        <w:rPr>
          <w:color w:val="231F20"/>
          <w:spacing w:val="-7"/>
          <w:sz w:val="18"/>
        </w:rPr>
        <w:t> </w:t>
      </w:r>
      <w:r>
        <w:rPr>
          <w:color w:val="231F20"/>
          <w:spacing w:val="-2"/>
          <w:sz w:val="18"/>
        </w:rPr>
        <w:t>2006.</w:t>
      </w:r>
    </w:p>
    <w:p>
      <w:pPr>
        <w:pStyle w:val="ListParagraph"/>
        <w:numPr>
          <w:ilvl w:val="0"/>
          <w:numId w:val="294"/>
        </w:numPr>
        <w:tabs>
          <w:tab w:pos="708" w:val="left" w:leader="none"/>
        </w:tabs>
        <w:spacing w:line="206" w:lineRule="exact" w:before="0" w:after="0"/>
        <w:ind w:left="708" w:right="0" w:hanging="283"/>
        <w:jc w:val="left"/>
        <w:rPr>
          <w:sz w:val="18"/>
        </w:rPr>
      </w:pPr>
      <w:r>
        <w:rPr>
          <w:color w:val="231F20"/>
          <w:sz w:val="18"/>
        </w:rPr>
        <w:t>Солдатова</w:t>
      </w:r>
      <w:r>
        <w:rPr>
          <w:color w:val="231F20"/>
          <w:spacing w:val="-11"/>
          <w:sz w:val="18"/>
        </w:rPr>
        <w:t> </w:t>
      </w:r>
      <w:r>
        <w:rPr>
          <w:color w:val="231F20"/>
          <w:sz w:val="18"/>
        </w:rPr>
        <w:t>Г.У.</w:t>
      </w:r>
      <w:r>
        <w:rPr>
          <w:color w:val="231F20"/>
          <w:spacing w:val="-11"/>
          <w:sz w:val="18"/>
        </w:rPr>
        <w:t> </w:t>
      </w:r>
      <w:r>
        <w:rPr>
          <w:color w:val="231F20"/>
          <w:sz w:val="18"/>
        </w:rPr>
        <w:t>и</w:t>
      </w:r>
      <w:r>
        <w:rPr>
          <w:color w:val="231F20"/>
          <w:spacing w:val="-11"/>
          <w:sz w:val="18"/>
        </w:rPr>
        <w:t> </w:t>
      </w:r>
      <w:r>
        <w:rPr>
          <w:color w:val="231F20"/>
          <w:sz w:val="18"/>
        </w:rPr>
        <w:t>др.</w:t>
      </w:r>
      <w:r>
        <w:rPr>
          <w:color w:val="231F20"/>
          <w:spacing w:val="-11"/>
          <w:sz w:val="18"/>
        </w:rPr>
        <w:t> </w:t>
      </w:r>
      <w:r>
        <w:rPr>
          <w:color w:val="231F20"/>
          <w:sz w:val="18"/>
        </w:rPr>
        <w:t>Искусство</w:t>
      </w:r>
      <w:r>
        <w:rPr>
          <w:color w:val="231F20"/>
          <w:spacing w:val="-11"/>
          <w:sz w:val="18"/>
        </w:rPr>
        <w:t> </w:t>
      </w:r>
      <w:r>
        <w:rPr>
          <w:color w:val="231F20"/>
          <w:sz w:val="18"/>
        </w:rPr>
        <w:t>жить</w:t>
      </w:r>
      <w:r>
        <w:rPr>
          <w:color w:val="231F20"/>
          <w:spacing w:val="-10"/>
          <w:sz w:val="18"/>
        </w:rPr>
        <w:t> </w:t>
      </w:r>
      <w:r>
        <w:rPr>
          <w:color w:val="231F20"/>
          <w:sz w:val="18"/>
        </w:rPr>
        <w:t>с</w:t>
      </w:r>
      <w:r>
        <w:rPr>
          <w:color w:val="231F20"/>
          <w:spacing w:val="-11"/>
          <w:sz w:val="18"/>
        </w:rPr>
        <w:t> </w:t>
      </w:r>
      <w:r>
        <w:rPr>
          <w:color w:val="231F20"/>
          <w:sz w:val="18"/>
        </w:rPr>
        <w:t>непохожими</w:t>
      </w:r>
      <w:r>
        <w:rPr>
          <w:color w:val="231F20"/>
          <w:spacing w:val="-11"/>
          <w:sz w:val="18"/>
        </w:rPr>
        <w:t> </w:t>
      </w:r>
      <w:r>
        <w:rPr>
          <w:color w:val="231F20"/>
          <w:sz w:val="18"/>
        </w:rPr>
        <w:t>людьми.–</w:t>
      </w:r>
      <w:r>
        <w:rPr>
          <w:color w:val="231F20"/>
          <w:spacing w:val="-11"/>
          <w:sz w:val="18"/>
        </w:rPr>
        <w:t> </w:t>
      </w:r>
      <w:r>
        <w:rPr>
          <w:color w:val="231F20"/>
          <w:sz w:val="18"/>
        </w:rPr>
        <w:t>М.,</w:t>
      </w:r>
      <w:r>
        <w:rPr>
          <w:color w:val="231F20"/>
          <w:spacing w:val="-10"/>
          <w:sz w:val="18"/>
        </w:rPr>
        <w:t> </w:t>
      </w:r>
      <w:r>
        <w:rPr>
          <w:color w:val="231F20"/>
          <w:spacing w:val="-4"/>
          <w:sz w:val="18"/>
        </w:rPr>
        <w:t>2009</w:t>
      </w:r>
    </w:p>
    <w:p>
      <w:pPr>
        <w:pStyle w:val="ListParagraph"/>
        <w:numPr>
          <w:ilvl w:val="0"/>
          <w:numId w:val="294"/>
        </w:numPr>
        <w:tabs>
          <w:tab w:pos="708" w:val="left" w:leader="none"/>
        </w:tabs>
        <w:spacing w:line="240" w:lineRule="auto" w:before="0" w:after="0"/>
        <w:ind w:left="708" w:right="424" w:hanging="284"/>
        <w:jc w:val="left"/>
        <w:rPr>
          <w:sz w:val="18"/>
        </w:rPr>
      </w:pPr>
      <w:r>
        <w:rPr>
          <w:color w:val="231F20"/>
          <w:sz w:val="18"/>
        </w:rPr>
        <w:t>Солдатова</w:t>
      </w:r>
      <w:r>
        <w:rPr>
          <w:color w:val="231F20"/>
          <w:spacing w:val="-2"/>
          <w:sz w:val="18"/>
        </w:rPr>
        <w:t> </w:t>
      </w:r>
      <w:r>
        <w:rPr>
          <w:color w:val="231F20"/>
          <w:sz w:val="18"/>
        </w:rPr>
        <w:t>Г.,</w:t>
      </w:r>
      <w:r>
        <w:rPr>
          <w:color w:val="231F20"/>
          <w:spacing w:val="-2"/>
          <w:sz w:val="18"/>
        </w:rPr>
        <w:t> </w:t>
      </w:r>
      <w:r>
        <w:rPr>
          <w:color w:val="231F20"/>
          <w:sz w:val="18"/>
        </w:rPr>
        <w:t>Шайгерова</w:t>
      </w:r>
      <w:r>
        <w:rPr>
          <w:color w:val="231F20"/>
          <w:spacing w:val="-2"/>
          <w:sz w:val="18"/>
        </w:rPr>
        <w:t> </w:t>
      </w:r>
      <w:r>
        <w:rPr>
          <w:color w:val="231F20"/>
          <w:sz w:val="18"/>
        </w:rPr>
        <w:t>Л.,</w:t>
      </w:r>
      <w:r>
        <w:rPr>
          <w:color w:val="231F20"/>
          <w:spacing w:val="-2"/>
          <w:sz w:val="18"/>
        </w:rPr>
        <w:t> </w:t>
      </w:r>
      <w:r>
        <w:rPr>
          <w:color w:val="231F20"/>
          <w:sz w:val="18"/>
        </w:rPr>
        <w:t>Шарова</w:t>
      </w:r>
      <w:r>
        <w:rPr>
          <w:color w:val="231F20"/>
          <w:spacing w:val="-2"/>
          <w:sz w:val="18"/>
        </w:rPr>
        <w:t> </w:t>
      </w:r>
      <w:r>
        <w:rPr>
          <w:color w:val="231F20"/>
          <w:sz w:val="18"/>
        </w:rPr>
        <w:t>О.</w:t>
      </w:r>
      <w:r>
        <w:rPr>
          <w:color w:val="231F20"/>
          <w:spacing w:val="-2"/>
          <w:sz w:val="18"/>
        </w:rPr>
        <w:t> </w:t>
      </w:r>
      <w:r>
        <w:rPr>
          <w:color w:val="231F20"/>
          <w:sz w:val="18"/>
        </w:rPr>
        <w:t>Жить</w:t>
      </w:r>
      <w:r>
        <w:rPr>
          <w:color w:val="231F20"/>
          <w:spacing w:val="-3"/>
          <w:sz w:val="18"/>
        </w:rPr>
        <w:t> </w:t>
      </w:r>
      <w:r>
        <w:rPr>
          <w:color w:val="231F20"/>
          <w:sz w:val="18"/>
        </w:rPr>
        <w:t>в</w:t>
      </w:r>
      <w:r>
        <w:rPr>
          <w:color w:val="231F20"/>
          <w:spacing w:val="-2"/>
          <w:sz w:val="18"/>
        </w:rPr>
        <w:t> </w:t>
      </w:r>
      <w:r>
        <w:rPr>
          <w:color w:val="231F20"/>
          <w:sz w:val="18"/>
        </w:rPr>
        <w:t>мире</w:t>
      </w:r>
      <w:r>
        <w:rPr>
          <w:color w:val="231F20"/>
          <w:spacing w:val="-2"/>
          <w:sz w:val="18"/>
        </w:rPr>
        <w:t> </w:t>
      </w:r>
      <w:r>
        <w:rPr>
          <w:color w:val="231F20"/>
          <w:sz w:val="18"/>
        </w:rPr>
        <w:t>с</w:t>
      </w:r>
      <w:r>
        <w:rPr>
          <w:color w:val="231F20"/>
          <w:spacing w:val="-2"/>
          <w:sz w:val="18"/>
        </w:rPr>
        <w:t> </w:t>
      </w:r>
      <w:r>
        <w:rPr>
          <w:color w:val="231F20"/>
          <w:sz w:val="18"/>
        </w:rPr>
        <w:t>собой</w:t>
      </w:r>
      <w:r>
        <w:rPr>
          <w:color w:val="231F20"/>
          <w:spacing w:val="-2"/>
          <w:sz w:val="18"/>
        </w:rPr>
        <w:t> </w:t>
      </w:r>
      <w:r>
        <w:rPr>
          <w:color w:val="231F20"/>
          <w:sz w:val="18"/>
        </w:rPr>
        <w:t>и</w:t>
      </w:r>
      <w:r>
        <w:rPr>
          <w:color w:val="231F20"/>
          <w:spacing w:val="-2"/>
          <w:sz w:val="18"/>
        </w:rPr>
        <w:t> </w:t>
      </w:r>
      <w:r>
        <w:rPr>
          <w:color w:val="231F20"/>
          <w:sz w:val="18"/>
        </w:rPr>
        <w:t>с</w:t>
      </w:r>
      <w:r>
        <w:rPr>
          <w:color w:val="231F20"/>
          <w:spacing w:val="-2"/>
          <w:sz w:val="18"/>
        </w:rPr>
        <w:t> </w:t>
      </w:r>
      <w:r>
        <w:rPr>
          <w:color w:val="231F20"/>
          <w:sz w:val="18"/>
        </w:rPr>
        <w:t>другими.</w:t>
      </w:r>
      <w:r>
        <w:rPr>
          <w:color w:val="231F20"/>
          <w:spacing w:val="-3"/>
          <w:sz w:val="18"/>
        </w:rPr>
        <w:t> </w:t>
      </w:r>
      <w:r>
        <w:rPr>
          <w:color w:val="231F20"/>
          <w:sz w:val="18"/>
        </w:rPr>
        <w:t>Тренинг толерантности для подростков. – М., 2001.</w:t>
      </w:r>
    </w:p>
    <w:p>
      <w:pPr>
        <w:pStyle w:val="ListParagraph"/>
        <w:numPr>
          <w:ilvl w:val="0"/>
          <w:numId w:val="294"/>
        </w:numPr>
        <w:tabs>
          <w:tab w:pos="708" w:val="left" w:leader="none"/>
        </w:tabs>
        <w:spacing w:line="240" w:lineRule="auto" w:before="0" w:after="0"/>
        <w:ind w:left="708" w:right="423" w:hanging="284"/>
        <w:jc w:val="left"/>
        <w:rPr>
          <w:sz w:val="18"/>
        </w:rPr>
      </w:pPr>
      <w:r>
        <w:rPr>
          <w:color w:val="231F20"/>
          <w:sz w:val="18"/>
        </w:rPr>
        <w:t>Солдатова Г., Макарчук А. Может ли «другой» стать другом?» Тренинг по профи- лактике ксенофобии. – М., 2006.</w:t>
      </w:r>
    </w:p>
    <w:p>
      <w:pPr>
        <w:pStyle w:val="ListParagraph"/>
        <w:numPr>
          <w:ilvl w:val="0"/>
          <w:numId w:val="294"/>
        </w:numPr>
        <w:tabs>
          <w:tab w:pos="708" w:val="left" w:leader="none"/>
        </w:tabs>
        <w:spacing w:line="240" w:lineRule="auto" w:before="0" w:after="0"/>
        <w:ind w:left="708" w:right="423" w:hanging="284"/>
        <w:jc w:val="left"/>
        <w:rPr>
          <w:sz w:val="18"/>
        </w:rPr>
      </w:pPr>
      <w:r>
        <w:rPr>
          <w:color w:val="231F20"/>
          <w:sz w:val="18"/>
        </w:rPr>
        <w:t>Солдатова Г., Макарчук А., Хухлаев О., Шайгерова Л, Щепина А. Позволь другим быть другими. Тренинг толерантности для подростков. – М., 2002.</w:t>
      </w:r>
    </w:p>
    <w:p>
      <w:pPr>
        <w:pStyle w:val="ListParagraph"/>
        <w:numPr>
          <w:ilvl w:val="0"/>
          <w:numId w:val="294"/>
        </w:numPr>
        <w:tabs>
          <w:tab w:pos="708" w:val="left" w:leader="none"/>
        </w:tabs>
        <w:spacing w:line="205" w:lineRule="exact" w:before="0" w:after="0"/>
        <w:ind w:left="708" w:right="0" w:hanging="283"/>
        <w:jc w:val="left"/>
        <w:rPr>
          <w:sz w:val="18"/>
        </w:rPr>
      </w:pPr>
      <w:r>
        <w:rPr>
          <w:color w:val="231F20"/>
          <w:spacing w:val="-2"/>
          <w:sz w:val="18"/>
        </w:rPr>
        <w:t>Стефаненко</w:t>
      </w:r>
      <w:r>
        <w:rPr>
          <w:color w:val="231F20"/>
          <w:spacing w:val="1"/>
          <w:sz w:val="18"/>
        </w:rPr>
        <w:t> </w:t>
      </w:r>
      <w:r>
        <w:rPr>
          <w:color w:val="231F20"/>
          <w:spacing w:val="-2"/>
          <w:sz w:val="18"/>
        </w:rPr>
        <w:t>Т.Г.</w:t>
      </w:r>
      <w:r>
        <w:rPr>
          <w:color w:val="231F20"/>
          <w:spacing w:val="2"/>
          <w:sz w:val="18"/>
        </w:rPr>
        <w:t> </w:t>
      </w:r>
      <w:r>
        <w:rPr>
          <w:color w:val="231F20"/>
          <w:spacing w:val="-2"/>
          <w:sz w:val="18"/>
        </w:rPr>
        <w:t>Этнопсихология.</w:t>
      </w:r>
      <w:r>
        <w:rPr>
          <w:color w:val="231F20"/>
          <w:spacing w:val="2"/>
          <w:sz w:val="18"/>
        </w:rPr>
        <w:t> </w:t>
      </w:r>
      <w:r>
        <w:rPr>
          <w:color w:val="231F20"/>
          <w:spacing w:val="-2"/>
          <w:sz w:val="18"/>
        </w:rPr>
        <w:t>Практикум.</w:t>
      </w:r>
      <w:r>
        <w:rPr>
          <w:color w:val="231F20"/>
          <w:spacing w:val="2"/>
          <w:sz w:val="18"/>
        </w:rPr>
        <w:t> </w:t>
      </w:r>
      <w:r>
        <w:rPr>
          <w:color w:val="231F20"/>
          <w:spacing w:val="-2"/>
          <w:sz w:val="18"/>
        </w:rPr>
        <w:t>–</w:t>
      </w:r>
      <w:r>
        <w:rPr>
          <w:color w:val="231F20"/>
          <w:spacing w:val="2"/>
          <w:sz w:val="18"/>
        </w:rPr>
        <w:t> </w:t>
      </w:r>
      <w:r>
        <w:rPr>
          <w:color w:val="231F20"/>
          <w:spacing w:val="-2"/>
          <w:sz w:val="18"/>
        </w:rPr>
        <w:t>М.,2006.</w:t>
      </w:r>
    </w:p>
    <w:p>
      <w:pPr>
        <w:pStyle w:val="ListParagraph"/>
        <w:numPr>
          <w:ilvl w:val="0"/>
          <w:numId w:val="294"/>
        </w:numPr>
        <w:tabs>
          <w:tab w:pos="708" w:val="left" w:leader="none"/>
        </w:tabs>
        <w:spacing w:line="240" w:lineRule="auto" w:before="0" w:after="0"/>
        <w:ind w:left="708" w:right="423" w:hanging="284"/>
        <w:jc w:val="left"/>
        <w:rPr>
          <w:sz w:val="18"/>
        </w:rPr>
      </w:pPr>
      <w:r>
        <w:rPr>
          <w:color w:val="231F20"/>
          <w:sz w:val="18"/>
        </w:rPr>
        <w:t>Фопель</w:t>
      </w:r>
      <w:r>
        <w:rPr>
          <w:color w:val="231F20"/>
          <w:spacing w:val="-11"/>
          <w:sz w:val="18"/>
        </w:rPr>
        <w:t> </w:t>
      </w:r>
      <w:r>
        <w:rPr>
          <w:color w:val="231F20"/>
          <w:sz w:val="18"/>
        </w:rPr>
        <w:t>К.</w:t>
      </w:r>
      <w:r>
        <w:rPr>
          <w:color w:val="231F20"/>
          <w:spacing w:val="-11"/>
          <w:sz w:val="18"/>
        </w:rPr>
        <w:t> </w:t>
      </w:r>
      <w:r>
        <w:rPr>
          <w:color w:val="231F20"/>
          <w:sz w:val="18"/>
        </w:rPr>
        <w:t>Сплоченность</w:t>
      </w:r>
      <w:r>
        <w:rPr>
          <w:color w:val="231F20"/>
          <w:spacing w:val="-11"/>
          <w:sz w:val="18"/>
        </w:rPr>
        <w:t> </w:t>
      </w:r>
      <w:r>
        <w:rPr>
          <w:color w:val="231F20"/>
          <w:sz w:val="18"/>
        </w:rPr>
        <w:t>и</w:t>
      </w:r>
      <w:r>
        <w:rPr>
          <w:color w:val="231F20"/>
          <w:spacing w:val="-11"/>
          <w:sz w:val="18"/>
        </w:rPr>
        <w:t> </w:t>
      </w:r>
      <w:r>
        <w:rPr>
          <w:color w:val="231F20"/>
          <w:sz w:val="18"/>
        </w:rPr>
        <w:t>толерантность</w:t>
      </w:r>
      <w:r>
        <w:rPr>
          <w:color w:val="231F20"/>
          <w:spacing w:val="-11"/>
          <w:sz w:val="18"/>
        </w:rPr>
        <w:t> </w:t>
      </w:r>
      <w:r>
        <w:rPr>
          <w:color w:val="231F20"/>
          <w:sz w:val="18"/>
        </w:rPr>
        <w:t>в</w:t>
      </w:r>
      <w:r>
        <w:rPr>
          <w:color w:val="231F20"/>
          <w:spacing w:val="-11"/>
          <w:sz w:val="18"/>
        </w:rPr>
        <w:t> </w:t>
      </w:r>
      <w:r>
        <w:rPr>
          <w:color w:val="231F20"/>
          <w:sz w:val="18"/>
        </w:rPr>
        <w:t>группе:</w:t>
      </w:r>
      <w:r>
        <w:rPr>
          <w:color w:val="231F20"/>
          <w:spacing w:val="-11"/>
          <w:sz w:val="18"/>
        </w:rPr>
        <w:t> </w:t>
      </w:r>
      <w:r>
        <w:rPr>
          <w:color w:val="231F20"/>
          <w:sz w:val="18"/>
        </w:rPr>
        <w:t>психологические</w:t>
      </w:r>
      <w:r>
        <w:rPr>
          <w:color w:val="231F20"/>
          <w:spacing w:val="-11"/>
          <w:sz w:val="18"/>
        </w:rPr>
        <w:t> </w:t>
      </w:r>
      <w:r>
        <w:rPr>
          <w:color w:val="231F20"/>
          <w:sz w:val="18"/>
        </w:rPr>
        <w:t>игры</w:t>
      </w:r>
      <w:r>
        <w:rPr>
          <w:color w:val="231F20"/>
          <w:spacing w:val="-11"/>
          <w:sz w:val="18"/>
        </w:rPr>
        <w:t> </w:t>
      </w:r>
      <w:r>
        <w:rPr>
          <w:color w:val="231F20"/>
          <w:sz w:val="18"/>
        </w:rPr>
        <w:t>и</w:t>
      </w:r>
      <w:r>
        <w:rPr>
          <w:color w:val="231F20"/>
          <w:spacing w:val="-11"/>
          <w:sz w:val="18"/>
        </w:rPr>
        <w:t> </w:t>
      </w:r>
      <w:r>
        <w:rPr>
          <w:color w:val="231F20"/>
          <w:sz w:val="18"/>
        </w:rPr>
        <w:t>упраж- нения. – М., 2002.</w:t>
      </w:r>
    </w:p>
    <w:p>
      <w:pPr>
        <w:pStyle w:val="ListParagraph"/>
        <w:numPr>
          <w:ilvl w:val="0"/>
          <w:numId w:val="294"/>
        </w:numPr>
        <w:tabs>
          <w:tab w:pos="708" w:val="left" w:leader="none"/>
        </w:tabs>
        <w:spacing w:line="240" w:lineRule="auto" w:before="0" w:after="0"/>
        <w:ind w:left="708" w:right="423" w:hanging="284"/>
        <w:jc w:val="left"/>
        <w:rPr>
          <w:sz w:val="18"/>
        </w:rPr>
      </w:pPr>
      <w:r>
        <w:rPr>
          <w:color w:val="231F20"/>
          <w:sz w:val="18"/>
        </w:rPr>
        <w:t>Хухлаева О.В., Чибисова М.Ю. Работа психолога в многонациональной школе. – М., 2011.</w:t>
      </w:r>
    </w:p>
    <w:p>
      <w:pPr>
        <w:pStyle w:val="ListParagraph"/>
        <w:numPr>
          <w:ilvl w:val="0"/>
          <w:numId w:val="294"/>
        </w:numPr>
        <w:tabs>
          <w:tab w:pos="708" w:val="left" w:leader="none"/>
        </w:tabs>
        <w:spacing w:line="240" w:lineRule="auto" w:before="0" w:after="0"/>
        <w:ind w:left="708" w:right="423" w:hanging="284"/>
        <w:jc w:val="left"/>
        <w:rPr>
          <w:sz w:val="18"/>
        </w:rPr>
      </w:pPr>
      <w:r>
        <w:rPr>
          <w:color w:val="231F20"/>
          <w:sz w:val="18"/>
        </w:rPr>
        <w:t>Чикер В.А., Капустина А.Н., Захарова А.М. 18 программ тренингов: руководство для профессионалов. – СПб., 2007 (раздел про межкультурный тренинг).</w:t>
      </w:r>
    </w:p>
    <w:p>
      <w:pPr>
        <w:pStyle w:val="ListParagraph"/>
        <w:numPr>
          <w:ilvl w:val="0"/>
          <w:numId w:val="294"/>
        </w:numPr>
        <w:tabs>
          <w:tab w:pos="708" w:val="left" w:leader="none"/>
        </w:tabs>
        <w:spacing w:line="240" w:lineRule="auto" w:before="0" w:after="0"/>
        <w:ind w:left="708" w:right="423" w:hanging="284"/>
        <w:jc w:val="left"/>
        <w:rPr>
          <w:sz w:val="18"/>
        </w:rPr>
      </w:pPr>
      <w:r>
        <w:rPr>
          <w:color w:val="231F20"/>
          <w:sz w:val="18"/>
        </w:rPr>
        <w:t>Kirkpatrick</w:t>
      </w:r>
      <w:r>
        <w:rPr>
          <w:color w:val="231F20"/>
          <w:spacing w:val="-2"/>
          <w:sz w:val="18"/>
        </w:rPr>
        <w:t> </w:t>
      </w:r>
      <w:r>
        <w:rPr>
          <w:color w:val="231F20"/>
          <w:sz w:val="18"/>
        </w:rPr>
        <w:t>D.L.Techniques</w:t>
      </w:r>
      <w:r>
        <w:rPr>
          <w:color w:val="231F20"/>
          <w:spacing w:val="-2"/>
          <w:sz w:val="18"/>
        </w:rPr>
        <w:t> </w:t>
      </w:r>
      <w:r>
        <w:rPr>
          <w:color w:val="231F20"/>
          <w:sz w:val="18"/>
        </w:rPr>
        <w:t>for</w:t>
      </w:r>
      <w:r>
        <w:rPr>
          <w:color w:val="231F20"/>
          <w:spacing w:val="-2"/>
          <w:sz w:val="18"/>
        </w:rPr>
        <w:t> </w:t>
      </w:r>
      <w:r>
        <w:rPr>
          <w:color w:val="231F20"/>
          <w:sz w:val="18"/>
        </w:rPr>
        <w:t>Evolutions</w:t>
      </w:r>
      <w:r>
        <w:rPr>
          <w:color w:val="231F20"/>
          <w:spacing w:val="-5"/>
          <w:sz w:val="18"/>
        </w:rPr>
        <w:t> </w:t>
      </w:r>
      <w:r>
        <w:rPr>
          <w:color w:val="231F20"/>
          <w:sz w:val="18"/>
        </w:rPr>
        <w:t>Training</w:t>
      </w:r>
      <w:r>
        <w:rPr>
          <w:color w:val="231F20"/>
          <w:spacing w:val="-2"/>
          <w:sz w:val="18"/>
        </w:rPr>
        <w:t> </w:t>
      </w:r>
      <w:r>
        <w:rPr>
          <w:color w:val="231F20"/>
          <w:sz w:val="18"/>
        </w:rPr>
        <w:t>Programs//</w:t>
      </w:r>
      <w:r>
        <w:rPr>
          <w:color w:val="231F20"/>
          <w:spacing w:val="-2"/>
          <w:sz w:val="18"/>
        </w:rPr>
        <w:t> </w:t>
      </w:r>
      <w:r>
        <w:rPr>
          <w:color w:val="231F20"/>
          <w:sz w:val="18"/>
        </w:rPr>
        <w:t>Journal</w:t>
      </w:r>
      <w:r>
        <w:rPr>
          <w:color w:val="231F20"/>
          <w:spacing w:val="-2"/>
          <w:sz w:val="18"/>
        </w:rPr>
        <w:t> </w:t>
      </w:r>
      <w:r>
        <w:rPr>
          <w:color w:val="231F20"/>
          <w:sz w:val="18"/>
        </w:rPr>
        <w:t>of</w:t>
      </w:r>
      <w:r>
        <w:rPr>
          <w:color w:val="231F20"/>
          <w:spacing w:val="-2"/>
          <w:sz w:val="18"/>
        </w:rPr>
        <w:t> </w:t>
      </w:r>
      <w:r>
        <w:rPr>
          <w:color w:val="231F20"/>
          <w:sz w:val="18"/>
        </w:rPr>
        <w:t>the</w:t>
      </w:r>
      <w:r>
        <w:rPr>
          <w:color w:val="231F20"/>
          <w:spacing w:val="-11"/>
          <w:sz w:val="18"/>
        </w:rPr>
        <w:t> </w:t>
      </w:r>
      <w:r>
        <w:rPr>
          <w:color w:val="231F20"/>
          <w:sz w:val="18"/>
        </w:rPr>
        <w:t>American Society of trainings directors, 13, 21–26.1959.</w:t>
      </w:r>
    </w:p>
    <w:p>
      <w:pPr>
        <w:pStyle w:val="ListParagraph"/>
        <w:spacing w:after="0" w:line="240" w:lineRule="auto"/>
        <w:jc w:val="left"/>
        <w:rPr>
          <w:sz w:val="18"/>
        </w:rPr>
        <w:sectPr>
          <w:pgSz w:w="8400" w:h="11910"/>
          <w:pgMar w:header="0" w:footer="530" w:top="400" w:bottom="740" w:left="425" w:right="425"/>
        </w:sectPr>
      </w:pPr>
    </w:p>
    <w:p>
      <w:pPr>
        <w:numPr>
          <w:ilvl w:val="1"/>
          <w:numId w:val="264"/>
        </w:numPr>
        <w:tabs>
          <w:tab w:pos="1082" w:val="left" w:leader="none"/>
          <w:tab w:pos="1420" w:val="left" w:leader="none"/>
        </w:tabs>
        <w:spacing w:line="235" w:lineRule="auto" w:before="77"/>
        <w:ind w:left="1420" w:right="730" w:hanging="688"/>
        <w:jc w:val="left"/>
        <w:rPr>
          <w:b/>
          <w:color w:val="231F20"/>
          <w:sz w:val="20"/>
        </w:rPr>
      </w:pPr>
      <w:bookmarkStart w:name="_bookmark93" w:id="95"/>
      <w:bookmarkEnd w:id="95"/>
      <w:r>
        <w:rPr/>
      </w:r>
      <w:r>
        <w:rPr>
          <w:b/>
          <w:color w:val="231F20"/>
          <w:sz w:val="20"/>
        </w:rPr>
        <w:t>«Живая</w:t>
      </w:r>
      <w:r>
        <w:rPr>
          <w:b/>
          <w:color w:val="231F20"/>
          <w:spacing w:val="-9"/>
          <w:sz w:val="20"/>
        </w:rPr>
        <w:t> </w:t>
      </w:r>
      <w:r>
        <w:rPr>
          <w:b/>
          <w:color w:val="231F20"/>
          <w:sz w:val="20"/>
        </w:rPr>
        <w:t>библиотека»</w:t>
      </w:r>
      <w:r>
        <w:rPr>
          <w:b/>
          <w:color w:val="231F20"/>
          <w:spacing w:val="-10"/>
          <w:sz w:val="20"/>
        </w:rPr>
        <w:t> </w:t>
      </w:r>
      <w:r>
        <w:rPr>
          <w:b/>
          <w:color w:val="231F20"/>
          <w:sz w:val="20"/>
        </w:rPr>
        <w:t>как</w:t>
      </w:r>
      <w:r>
        <w:rPr>
          <w:b/>
          <w:color w:val="231F20"/>
          <w:spacing w:val="-10"/>
          <w:sz w:val="20"/>
        </w:rPr>
        <w:t> </w:t>
      </w:r>
      <w:r>
        <w:rPr>
          <w:b/>
          <w:color w:val="231F20"/>
          <w:sz w:val="20"/>
        </w:rPr>
        <w:t>универсальная</w:t>
      </w:r>
      <w:r>
        <w:rPr>
          <w:b/>
          <w:color w:val="231F20"/>
          <w:spacing w:val="-9"/>
          <w:sz w:val="20"/>
        </w:rPr>
        <w:t> </w:t>
      </w:r>
      <w:r>
        <w:rPr>
          <w:b/>
          <w:color w:val="231F20"/>
          <w:sz w:val="20"/>
        </w:rPr>
        <w:t>технология</w:t>
      </w:r>
      <w:r>
        <w:rPr>
          <w:b/>
          <w:color w:val="231F20"/>
          <w:spacing w:val="-10"/>
          <w:sz w:val="20"/>
        </w:rPr>
        <w:t> </w:t>
      </w:r>
      <w:r>
        <w:rPr>
          <w:b/>
          <w:color w:val="231F20"/>
          <w:sz w:val="20"/>
        </w:rPr>
        <w:t>снижения предубежденности: программа организации работы</w:t>
      </w:r>
    </w:p>
    <w:p>
      <w:pPr>
        <w:spacing w:before="168"/>
        <w:ind w:left="3340" w:right="0" w:firstLine="0"/>
        <w:jc w:val="left"/>
        <w:rPr>
          <w:i/>
          <w:sz w:val="20"/>
        </w:rPr>
      </w:pPr>
      <w:r>
        <w:rPr>
          <w:i/>
          <w:color w:val="231F20"/>
          <w:sz w:val="20"/>
        </w:rPr>
        <w:t>М.И.Чернецова,</w:t>
      </w:r>
      <w:r>
        <w:rPr>
          <w:i/>
          <w:color w:val="231F20"/>
          <w:spacing w:val="-1"/>
          <w:sz w:val="20"/>
        </w:rPr>
        <w:t> </w:t>
      </w:r>
      <w:r>
        <w:rPr>
          <w:i/>
          <w:color w:val="231F20"/>
          <w:sz w:val="20"/>
        </w:rPr>
        <w:t>Е.А.Рубцова,</w:t>
      </w:r>
      <w:r>
        <w:rPr>
          <w:i/>
          <w:color w:val="231F20"/>
          <w:spacing w:val="-1"/>
          <w:sz w:val="20"/>
        </w:rPr>
        <w:t> </w:t>
      </w:r>
      <w:r>
        <w:rPr>
          <w:i/>
          <w:color w:val="231F20"/>
          <w:spacing w:val="-2"/>
          <w:sz w:val="20"/>
        </w:rPr>
        <w:t>С.П.С.Саламанка</w:t>
      </w:r>
    </w:p>
    <w:p>
      <w:pPr>
        <w:pStyle w:val="BodyText"/>
        <w:spacing w:line="232" w:lineRule="auto" w:before="115"/>
      </w:pPr>
      <w:r>
        <w:rPr>
          <w:color w:val="231F20"/>
        </w:rPr>
        <w:t>«Живая</w:t>
      </w:r>
      <w:r>
        <w:rPr>
          <w:color w:val="231F20"/>
          <w:spacing w:val="-8"/>
        </w:rPr>
        <w:t> </w:t>
      </w:r>
      <w:r>
        <w:rPr>
          <w:color w:val="231F20"/>
        </w:rPr>
        <w:t>библиотека»</w:t>
      </w:r>
      <w:r>
        <w:rPr>
          <w:color w:val="231F20"/>
          <w:spacing w:val="-8"/>
        </w:rPr>
        <w:t> </w:t>
      </w:r>
      <w:r>
        <w:rPr>
          <w:color w:val="231F20"/>
        </w:rPr>
        <w:t>–</w:t>
      </w:r>
      <w:r>
        <w:rPr>
          <w:color w:val="231F20"/>
          <w:spacing w:val="-8"/>
        </w:rPr>
        <w:t> </w:t>
      </w:r>
      <w:r>
        <w:rPr>
          <w:color w:val="231F20"/>
        </w:rPr>
        <w:t>это</w:t>
      </w:r>
      <w:r>
        <w:rPr>
          <w:color w:val="231F20"/>
          <w:spacing w:val="-8"/>
        </w:rPr>
        <w:t> </w:t>
      </w:r>
      <w:r>
        <w:rPr>
          <w:color w:val="231F20"/>
        </w:rPr>
        <w:t>действующий</w:t>
      </w:r>
      <w:r>
        <w:rPr>
          <w:color w:val="231F20"/>
          <w:spacing w:val="-8"/>
        </w:rPr>
        <w:t> </w:t>
      </w:r>
      <w:r>
        <w:rPr>
          <w:color w:val="231F20"/>
        </w:rPr>
        <w:t>международный</w:t>
      </w:r>
      <w:r>
        <w:rPr>
          <w:color w:val="231F20"/>
          <w:spacing w:val="-8"/>
        </w:rPr>
        <w:t> </w:t>
      </w:r>
      <w:r>
        <w:rPr>
          <w:color w:val="231F20"/>
        </w:rPr>
        <w:t>проект</w:t>
      </w:r>
      <w:r>
        <w:rPr>
          <w:color w:val="231F20"/>
          <w:spacing w:val="-8"/>
        </w:rPr>
        <w:t> </w:t>
      </w:r>
      <w:r>
        <w:rPr>
          <w:color w:val="231F20"/>
        </w:rPr>
        <w:t>по</w:t>
      </w:r>
      <w:r>
        <w:rPr>
          <w:color w:val="231F20"/>
          <w:spacing w:val="-8"/>
        </w:rPr>
        <w:t> </w:t>
      </w:r>
      <w:r>
        <w:rPr>
          <w:color w:val="231F20"/>
        </w:rPr>
        <w:t>борьбе</w:t>
      </w:r>
      <w:r>
        <w:rPr>
          <w:color w:val="231F20"/>
          <w:spacing w:val="-8"/>
        </w:rPr>
        <w:t> </w:t>
      </w:r>
      <w:r>
        <w:rPr>
          <w:color w:val="231F20"/>
        </w:rPr>
        <w:t>с</w:t>
      </w:r>
      <w:r>
        <w:rPr>
          <w:color w:val="231F20"/>
          <w:spacing w:val="-8"/>
        </w:rPr>
        <w:t> </w:t>
      </w:r>
      <w:r>
        <w:rPr>
          <w:color w:val="231F20"/>
        </w:rPr>
        <w:t>дис- криминацией</w:t>
      </w:r>
      <w:r>
        <w:rPr>
          <w:color w:val="231F20"/>
          <w:spacing w:val="-13"/>
        </w:rPr>
        <w:t> </w:t>
      </w:r>
      <w:r>
        <w:rPr>
          <w:color w:val="231F20"/>
        </w:rPr>
        <w:t>и</w:t>
      </w:r>
      <w:r>
        <w:rPr>
          <w:color w:val="231F20"/>
          <w:spacing w:val="-12"/>
        </w:rPr>
        <w:t> </w:t>
      </w:r>
      <w:r>
        <w:rPr>
          <w:color w:val="231F20"/>
        </w:rPr>
        <w:t>ксенофобией,</w:t>
      </w:r>
      <w:r>
        <w:rPr>
          <w:color w:val="231F20"/>
          <w:spacing w:val="-13"/>
        </w:rPr>
        <w:t> </w:t>
      </w:r>
      <w:r>
        <w:rPr>
          <w:color w:val="231F20"/>
        </w:rPr>
        <w:t>который</w:t>
      </w:r>
      <w:r>
        <w:rPr>
          <w:color w:val="231F20"/>
          <w:spacing w:val="-12"/>
        </w:rPr>
        <w:t> </w:t>
      </w:r>
      <w:r>
        <w:rPr>
          <w:color w:val="231F20"/>
        </w:rPr>
        <w:t>проводится</w:t>
      </w:r>
      <w:r>
        <w:rPr>
          <w:color w:val="231F20"/>
          <w:spacing w:val="-13"/>
        </w:rPr>
        <w:t> </w:t>
      </w:r>
      <w:r>
        <w:rPr>
          <w:color w:val="231F20"/>
        </w:rPr>
        <w:t>регулярно</w:t>
      </w:r>
      <w:r>
        <w:rPr>
          <w:color w:val="231F20"/>
          <w:spacing w:val="-12"/>
        </w:rPr>
        <w:t> </w:t>
      </w:r>
      <w:r>
        <w:rPr>
          <w:color w:val="231F20"/>
        </w:rPr>
        <w:t>как</w:t>
      </w:r>
      <w:r>
        <w:rPr>
          <w:color w:val="231F20"/>
          <w:spacing w:val="-13"/>
        </w:rPr>
        <w:t> </w:t>
      </w:r>
      <w:r>
        <w:rPr>
          <w:color w:val="231F20"/>
        </w:rPr>
        <w:t>в</w:t>
      </w:r>
      <w:r>
        <w:rPr>
          <w:color w:val="231F20"/>
          <w:spacing w:val="-12"/>
        </w:rPr>
        <w:t> </w:t>
      </w:r>
      <w:r>
        <w:rPr>
          <w:color w:val="231F20"/>
        </w:rPr>
        <w:t>очном,</w:t>
      </w:r>
      <w:r>
        <w:rPr>
          <w:color w:val="231F20"/>
          <w:spacing w:val="-13"/>
        </w:rPr>
        <w:t> </w:t>
      </w:r>
      <w:r>
        <w:rPr>
          <w:color w:val="231F20"/>
        </w:rPr>
        <w:t>так</w:t>
      </w:r>
      <w:r>
        <w:rPr>
          <w:color w:val="231F20"/>
          <w:spacing w:val="-12"/>
        </w:rPr>
        <w:t> </w:t>
      </w:r>
      <w:r>
        <w:rPr>
          <w:color w:val="231F20"/>
        </w:rPr>
        <w:t>и</w:t>
      </w:r>
      <w:r>
        <w:rPr>
          <w:color w:val="231F20"/>
          <w:spacing w:val="-13"/>
        </w:rPr>
        <w:t> </w:t>
      </w:r>
      <w:r>
        <w:rPr>
          <w:color w:val="231F20"/>
        </w:rPr>
        <w:t>в</w:t>
      </w:r>
      <w:r>
        <w:rPr>
          <w:color w:val="231F20"/>
          <w:spacing w:val="-12"/>
        </w:rPr>
        <w:t> </w:t>
      </w:r>
      <w:r>
        <w:rPr>
          <w:color w:val="231F20"/>
        </w:rPr>
        <w:t>дис- танционном форматах и имеет обширную географию (более 80 стран). «Живая би- блиотека» ставит целью интеграцию социальных групп, подверженных негативным стереотипам,</w:t>
      </w:r>
      <w:r>
        <w:rPr>
          <w:color w:val="231F20"/>
          <w:spacing w:val="-11"/>
        </w:rPr>
        <w:t> </w:t>
      </w:r>
      <w:r>
        <w:rPr>
          <w:color w:val="231F20"/>
        </w:rPr>
        <w:t>и</w:t>
      </w:r>
      <w:r>
        <w:rPr>
          <w:color w:val="231F20"/>
          <w:spacing w:val="-11"/>
        </w:rPr>
        <w:t> </w:t>
      </w:r>
      <w:r>
        <w:rPr>
          <w:color w:val="231F20"/>
        </w:rPr>
        <w:t>предоставляет</w:t>
      </w:r>
      <w:r>
        <w:rPr>
          <w:color w:val="231F20"/>
          <w:spacing w:val="-11"/>
        </w:rPr>
        <w:t> </w:t>
      </w:r>
      <w:r>
        <w:rPr>
          <w:color w:val="231F20"/>
        </w:rPr>
        <w:t>пространство</w:t>
      </w:r>
      <w:r>
        <w:rPr>
          <w:color w:val="231F20"/>
          <w:spacing w:val="-11"/>
        </w:rPr>
        <w:t> </w:t>
      </w:r>
      <w:r>
        <w:rPr>
          <w:color w:val="231F20"/>
        </w:rPr>
        <w:t>общения</w:t>
      </w:r>
      <w:r>
        <w:rPr>
          <w:color w:val="231F20"/>
          <w:spacing w:val="-11"/>
        </w:rPr>
        <w:t> </w:t>
      </w:r>
      <w:r>
        <w:rPr>
          <w:color w:val="231F20"/>
        </w:rPr>
        <w:t>и</w:t>
      </w:r>
      <w:r>
        <w:rPr>
          <w:color w:val="231F20"/>
          <w:spacing w:val="-11"/>
        </w:rPr>
        <w:t> </w:t>
      </w:r>
      <w:r>
        <w:rPr>
          <w:color w:val="231F20"/>
        </w:rPr>
        <w:t>встречи.</w:t>
      </w:r>
      <w:r>
        <w:rPr>
          <w:color w:val="231F20"/>
          <w:spacing w:val="-11"/>
        </w:rPr>
        <w:t> </w:t>
      </w:r>
      <w:r>
        <w:rPr>
          <w:color w:val="231F20"/>
        </w:rPr>
        <w:t>В</w:t>
      </w:r>
      <w:r>
        <w:rPr>
          <w:color w:val="231F20"/>
          <w:spacing w:val="-11"/>
        </w:rPr>
        <w:t> </w:t>
      </w:r>
      <w:r>
        <w:rPr>
          <w:color w:val="231F20"/>
        </w:rPr>
        <w:t>том</w:t>
      </w:r>
      <w:r>
        <w:rPr>
          <w:color w:val="231F20"/>
          <w:spacing w:val="-11"/>
        </w:rPr>
        <w:t> </w:t>
      </w:r>
      <w:r>
        <w:rPr>
          <w:color w:val="231F20"/>
        </w:rPr>
        <w:t>числе</w:t>
      </w:r>
      <w:r>
        <w:rPr>
          <w:color w:val="231F20"/>
          <w:spacing w:val="-11"/>
        </w:rPr>
        <w:t> </w:t>
      </w:r>
      <w:r>
        <w:rPr>
          <w:color w:val="231F20"/>
        </w:rPr>
        <w:t>«Живую библиотеку» можно использовать для работы в школах с детьми-мигрантами.</w:t>
      </w:r>
    </w:p>
    <w:p>
      <w:pPr>
        <w:pStyle w:val="BodyText"/>
        <w:spacing w:line="215" w:lineRule="exact"/>
        <w:ind w:left="425" w:right="0" w:firstLine="0"/>
      </w:pPr>
      <w:r>
        <w:rPr>
          <w:color w:val="231F20"/>
        </w:rPr>
        <w:t>Ресурсы</w:t>
      </w:r>
      <w:r>
        <w:rPr>
          <w:color w:val="231F20"/>
          <w:spacing w:val="-6"/>
        </w:rPr>
        <w:t> </w:t>
      </w:r>
      <w:r>
        <w:rPr>
          <w:color w:val="231F20"/>
        </w:rPr>
        <w:t>использования</w:t>
      </w:r>
      <w:r>
        <w:rPr>
          <w:color w:val="231F20"/>
          <w:spacing w:val="-6"/>
        </w:rPr>
        <w:t> </w:t>
      </w:r>
      <w:r>
        <w:rPr>
          <w:color w:val="231F20"/>
        </w:rPr>
        <w:t>«Живой</w:t>
      </w:r>
      <w:r>
        <w:rPr>
          <w:color w:val="231F20"/>
          <w:spacing w:val="-6"/>
        </w:rPr>
        <w:t> </w:t>
      </w:r>
      <w:r>
        <w:rPr>
          <w:color w:val="231F20"/>
          <w:spacing w:val="-2"/>
        </w:rPr>
        <w:t>библиотеки».</w:t>
      </w:r>
    </w:p>
    <w:p>
      <w:pPr>
        <w:pStyle w:val="ListParagraph"/>
        <w:numPr>
          <w:ilvl w:val="0"/>
          <w:numId w:val="295"/>
        </w:numPr>
        <w:tabs>
          <w:tab w:pos="425" w:val="left" w:leader="none"/>
        </w:tabs>
        <w:spacing w:line="230" w:lineRule="auto" w:before="0" w:after="0"/>
        <w:ind w:left="425" w:right="140" w:hanging="284"/>
        <w:jc w:val="both"/>
        <w:rPr>
          <w:sz w:val="20"/>
        </w:rPr>
      </w:pPr>
      <w:r>
        <w:rPr>
          <w:color w:val="231F20"/>
          <w:sz w:val="20"/>
        </w:rPr>
        <w:t>Позволяет создать пространство для размышлений через жизненные истории и </w:t>
      </w:r>
      <w:r>
        <w:rPr>
          <w:color w:val="231F20"/>
          <w:spacing w:val="-2"/>
          <w:sz w:val="20"/>
        </w:rPr>
        <w:t>напрямую</w:t>
      </w:r>
      <w:r>
        <w:rPr>
          <w:color w:val="231F20"/>
          <w:spacing w:val="-6"/>
          <w:sz w:val="20"/>
        </w:rPr>
        <w:t> </w:t>
      </w:r>
      <w:r>
        <w:rPr>
          <w:color w:val="231F20"/>
          <w:spacing w:val="-2"/>
          <w:sz w:val="20"/>
        </w:rPr>
        <w:t>взаимодействовать</w:t>
      </w:r>
      <w:r>
        <w:rPr>
          <w:color w:val="231F20"/>
          <w:spacing w:val="-6"/>
          <w:sz w:val="20"/>
        </w:rPr>
        <w:t> </w:t>
      </w:r>
      <w:r>
        <w:rPr>
          <w:color w:val="231F20"/>
          <w:spacing w:val="-2"/>
          <w:sz w:val="20"/>
        </w:rPr>
        <w:t>с</w:t>
      </w:r>
      <w:r>
        <w:rPr>
          <w:color w:val="231F20"/>
          <w:spacing w:val="-6"/>
          <w:sz w:val="20"/>
        </w:rPr>
        <w:t> </w:t>
      </w:r>
      <w:r>
        <w:rPr>
          <w:color w:val="231F20"/>
          <w:spacing w:val="-2"/>
          <w:sz w:val="20"/>
        </w:rPr>
        <w:t>персонажем,</w:t>
      </w:r>
      <w:r>
        <w:rPr>
          <w:color w:val="231F20"/>
          <w:spacing w:val="-6"/>
          <w:sz w:val="20"/>
        </w:rPr>
        <w:t> </w:t>
      </w:r>
      <w:r>
        <w:rPr>
          <w:color w:val="231F20"/>
          <w:spacing w:val="-2"/>
          <w:sz w:val="20"/>
        </w:rPr>
        <w:t>что</w:t>
      </w:r>
      <w:r>
        <w:rPr>
          <w:color w:val="231F20"/>
          <w:spacing w:val="-6"/>
          <w:sz w:val="20"/>
        </w:rPr>
        <w:t> </w:t>
      </w:r>
      <w:r>
        <w:rPr>
          <w:color w:val="231F20"/>
          <w:spacing w:val="-2"/>
          <w:sz w:val="20"/>
        </w:rPr>
        <w:t>приводит</w:t>
      </w:r>
      <w:r>
        <w:rPr>
          <w:color w:val="231F20"/>
          <w:spacing w:val="-6"/>
          <w:sz w:val="20"/>
        </w:rPr>
        <w:t> </w:t>
      </w:r>
      <w:r>
        <w:rPr>
          <w:color w:val="231F20"/>
          <w:spacing w:val="-2"/>
          <w:sz w:val="20"/>
        </w:rPr>
        <w:t>к</w:t>
      </w:r>
      <w:r>
        <w:rPr>
          <w:color w:val="231F20"/>
          <w:spacing w:val="-6"/>
          <w:sz w:val="20"/>
        </w:rPr>
        <w:t> </w:t>
      </w:r>
      <w:r>
        <w:rPr>
          <w:color w:val="231F20"/>
          <w:spacing w:val="-2"/>
          <w:sz w:val="20"/>
        </w:rPr>
        <w:t>большему</w:t>
      </w:r>
      <w:r>
        <w:rPr>
          <w:color w:val="231F20"/>
          <w:spacing w:val="-6"/>
          <w:sz w:val="20"/>
        </w:rPr>
        <w:t> </w:t>
      </w:r>
      <w:r>
        <w:rPr>
          <w:color w:val="231F20"/>
          <w:spacing w:val="-2"/>
          <w:sz w:val="20"/>
        </w:rPr>
        <w:t>пониманию </w:t>
      </w:r>
      <w:r>
        <w:rPr>
          <w:color w:val="231F20"/>
          <w:sz w:val="20"/>
        </w:rPr>
        <w:t>и сопереживанию.</w:t>
      </w:r>
    </w:p>
    <w:p>
      <w:pPr>
        <w:pStyle w:val="ListParagraph"/>
        <w:numPr>
          <w:ilvl w:val="0"/>
          <w:numId w:val="295"/>
        </w:numPr>
        <w:tabs>
          <w:tab w:pos="425" w:val="left" w:leader="none"/>
        </w:tabs>
        <w:spacing w:line="230" w:lineRule="auto" w:before="0" w:after="0"/>
        <w:ind w:left="425" w:right="139" w:hanging="284"/>
        <w:jc w:val="both"/>
        <w:rPr>
          <w:sz w:val="20"/>
        </w:rPr>
      </w:pPr>
      <w:r>
        <w:rPr>
          <w:color w:val="231F20"/>
          <w:sz w:val="20"/>
        </w:rPr>
        <w:t>Позволяет работать над самооценкой и социальной сплоченностью, делиться личным опытом.</w:t>
      </w:r>
    </w:p>
    <w:p>
      <w:pPr>
        <w:pStyle w:val="ListParagraph"/>
        <w:numPr>
          <w:ilvl w:val="0"/>
          <w:numId w:val="295"/>
        </w:numPr>
        <w:tabs>
          <w:tab w:pos="425" w:val="left" w:leader="none"/>
        </w:tabs>
        <w:spacing w:line="230" w:lineRule="auto" w:before="0" w:after="0"/>
        <w:ind w:left="425" w:right="140" w:hanging="284"/>
        <w:jc w:val="both"/>
        <w:rPr>
          <w:sz w:val="20"/>
        </w:rPr>
      </w:pPr>
      <w:r>
        <w:rPr>
          <w:color w:val="231F20"/>
          <w:sz w:val="20"/>
        </w:rPr>
        <w:t>Позволяет развивать навыки общения и межкультурного диалога, осознавая различия в обществе, мнения и учась у других.</w:t>
      </w:r>
    </w:p>
    <w:p>
      <w:pPr>
        <w:pStyle w:val="BodyText"/>
        <w:spacing w:line="219" w:lineRule="exact" w:before="25"/>
        <w:ind w:left="425" w:right="0" w:firstLine="0"/>
      </w:pPr>
      <w:r>
        <w:rPr>
          <w:color w:val="231F20"/>
        </w:rPr>
        <w:t>Требования</w:t>
      </w:r>
      <w:r>
        <w:rPr>
          <w:color w:val="231F20"/>
          <w:spacing w:val="-8"/>
        </w:rPr>
        <w:t> </w:t>
      </w:r>
      <w:r>
        <w:rPr>
          <w:color w:val="231F20"/>
        </w:rPr>
        <w:t>к</w:t>
      </w:r>
      <w:r>
        <w:rPr>
          <w:color w:val="231F20"/>
          <w:spacing w:val="-7"/>
        </w:rPr>
        <w:t> </w:t>
      </w:r>
      <w:r>
        <w:rPr>
          <w:color w:val="231F20"/>
          <w:spacing w:val="-2"/>
        </w:rPr>
        <w:t>проведению</w:t>
      </w:r>
    </w:p>
    <w:p>
      <w:pPr>
        <w:pStyle w:val="ListParagraph"/>
        <w:numPr>
          <w:ilvl w:val="0"/>
          <w:numId w:val="295"/>
        </w:numPr>
        <w:tabs>
          <w:tab w:pos="425" w:val="left" w:leader="none"/>
        </w:tabs>
        <w:spacing w:line="230" w:lineRule="auto" w:before="0" w:after="0"/>
        <w:ind w:left="425" w:right="139" w:hanging="284"/>
        <w:jc w:val="both"/>
        <w:rPr>
          <w:sz w:val="20"/>
        </w:rPr>
      </w:pPr>
      <w:r>
        <w:rPr>
          <w:color w:val="231F20"/>
          <w:sz w:val="20"/>
        </w:rPr>
        <w:t>Организатор «Живой библиотеки» должен понимать выявленные проблемы в контексте ситуации и места, где она происходит.</w:t>
      </w:r>
    </w:p>
    <w:p>
      <w:pPr>
        <w:pStyle w:val="ListParagraph"/>
        <w:numPr>
          <w:ilvl w:val="0"/>
          <w:numId w:val="295"/>
        </w:numPr>
        <w:tabs>
          <w:tab w:pos="425" w:val="left" w:leader="none"/>
        </w:tabs>
        <w:spacing w:line="230" w:lineRule="auto" w:before="0" w:after="0"/>
        <w:ind w:left="425" w:right="139" w:hanging="284"/>
        <w:jc w:val="both"/>
        <w:rPr>
          <w:sz w:val="20"/>
        </w:rPr>
      </w:pPr>
      <w:r>
        <w:rPr>
          <w:color w:val="231F20"/>
          <w:sz w:val="20"/>
        </w:rPr>
        <w:t>Организатор «Живой библиотеки» должен обладать способностью распознавать </w:t>
      </w:r>
      <w:r>
        <w:rPr>
          <w:color w:val="231F20"/>
          <w:spacing w:val="-2"/>
          <w:sz w:val="20"/>
        </w:rPr>
        <w:t>предрассудки,</w:t>
      </w:r>
      <w:r>
        <w:rPr>
          <w:color w:val="231F20"/>
          <w:spacing w:val="-3"/>
          <w:sz w:val="20"/>
        </w:rPr>
        <w:t> </w:t>
      </w:r>
      <w:r>
        <w:rPr>
          <w:color w:val="231F20"/>
          <w:spacing w:val="-2"/>
          <w:sz w:val="20"/>
        </w:rPr>
        <w:t>которые</w:t>
      </w:r>
      <w:r>
        <w:rPr>
          <w:color w:val="231F20"/>
          <w:spacing w:val="-3"/>
          <w:sz w:val="20"/>
        </w:rPr>
        <w:t> </w:t>
      </w:r>
      <w:r>
        <w:rPr>
          <w:color w:val="231F20"/>
          <w:spacing w:val="-2"/>
          <w:sz w:val="20"/>
        </w:rPr>
        <w:t>могут</w:t>
      </w:r>
      <w:r>
        <w:rPr>
          <w:color w:val="231F20"/>
          <w:spacing w:val="-3"/>
          <w:sz w:val="20"/>
        </w:rPr>
        <w:t> </w:t>
      </w:r>
      <w:r>
        <w:rPr>
          <w:color w:val="231F20"/>
          <w:spacing w:val="-2"/>
          <w:sz w:val="20"/>
        </w:rPr>
        <w:t>иметь</w:t>
      </w:r>
      <w:r>
        <w:rPr>
          <w:color w:val="231F20"/>
          <w:spacing w:val="-3"/>
          <w:sz w:val="20"/>
        </w:rPr>
        <w:t> </w:t>
      </w:r>
      <w:r>
        <w:rPr>
          <w:color w:val="231F20"/>
          <w:spacing w:val="-2"/>
          <w:sz w:val="20"/>
        </w:rPr>
        <w:t>читатели</w:t>
      </w:r>
      <w:r>
        <w:rPr>
          <w:color w:val="231F20"/>
          <w:spacing w:val="-3"/>
          <w:sz w:val="20"/>
        </w:rPr>
        <w:t> </w:t>
      </w:r>
      <w:r>
        <w:rPr>
          <w:color w:val="231F20"/>
          <w:spacing w:val="-2"/>
          <w:sz w:val="20"/>
        </w:rPr>
        <w:t>или,</w:t>
      </w:r>
      <w:r>
        <w:rPr>
          <w:color w:val="231F20"/>
          <w:spacing w:val="-3"/>
          <w:sz w:val="20"/>
        </w:rPr>
        <w:t> </w:t>
      </w:r>
      <w:r>
        <w:rPr>
          <w:color w:val="231F20"/>
          <w:spacing w:val="-2"/>
          <w:sz w:val="20"/>
        </w:rPr>
        <w:t>возможно,</w:t>
      </w:r>
      <w:r>
        <w:rPr>
          <w:color w:val="231F20"/>
          <w:spacing w:val="-3"/>
          <w:sz w:val="20"/>
        </w:rPr>
        <w:t> </w:t>
      </w:r>
      <w:r>
        <w:rPr>
          <w:color w:val="231F20"/>
          <w:spacing w:val="-2"/>
          <w:sz w:val="20"/>
        </w:rPr>
        <w:t>книги,</w:t>
      </w:r>
      <w:r>
        <w:rPr>
          <w:color w:val="231F20"/>
          <w:spacing w:val="-3"/>
          <w:sz w:val="20"/>
        </w:rPr>
        <w:t> </w:t>
      </w:r>
      <w:r>
        <w:rPr>
          <w:color w:val="231F20"/>
          <w:spacing w:val="-2"/>
          <w:sz w:val="20"/>
        </w:rPr>
        <w:t>поскольку</w:t>
      </w:r>
      <w:r>
        <w:rPr>
          <w:color w:val="231F20"/>
          <w:spacing w:val="-3"/>
          <w:sz w:val="20"/>
        </w:rPr>
        <w:t> </w:t>
      </w:r>
      <w:r>
        <w:rPr>
          <w:color w:val="231F20"/>
          <w:spacing w:val="-2"/>
          <w:sz w:val="20"/>
        </w:rPr>
        <w:t>это </w:t>
      </w:r>
      <w:r>
        <w:rPr>
          <w:color w:val="231F20"/>
          <w:sz w:val="20"/>
        </w:rPr>
        <w:t>позволит проводить ретроспективные и интроспективные размышления.</w:t>
      </w:r>
    </w:p>
    <w:p>
      <w:pPr>
        <w:pStyle w:val="ListParagraph"/>
        <w:numPr>
          <w:ilvl w:val="0"/>
          <w:numId w:val="295"/>
        </w:numPr>
        <w:tabs>
          <w:tab w:pos="425" w:val="left" w:leader="none"/>
        </w:tabs>
        <w:spacing w:line="230" w:lineRule="auto" w:before="0" w:after="0"/>
        <w:ind w:left="425" w:right="140" w:hanging="284"/>
        <w:jc w:val="both"/>
        <w:rPr>
          <w:sz w:val="20"/>
        </w:rPr>
      </w:pPr>
      <w:r>
        <w:rPr>
          <w:color w:val="231F20"/>
          <w:sz w:val="20"/>
        </w:rPr>
        <w:t>Организатор «Живой библиотеки» должен иметь навыки межкультурной коммуникации, создавая пространство толерантности и уважения к «другому».</w:t>
      </w:r>
    </w:p>
    <w:p>
      <w:pPr>
        <w:pStyle w:val="ListParagraph"/>
        <w:numPr>
          <w:ilvl w:val="0"/>
          <w:numId w:val="295"/>
        </w:numPr>
        <w:tabs>
          <w:tab w:pos="425" w:val="left" w:leader="none"/>
        </w:tabs>
        <w:spacing w:line="230" w:lineRule="auto" w:before="0" w:after="0"/>
        <w:ind w:left="425" w:right="139" w:hanging="284"/>
        <w:jc w:val="both"/>
        <w:rPr>
          <w:sz w:val="20"/>
        </w:rPr>
      </w:pPr>
      <w:r>
        <w:rPr>
          <w:color w:val="231F20"/>
          <w:sz w:val="20"/>
        </w:rPr>
        <w:t>Организатор «Живой библиотеки» должен иметь навыки эмпатии и чувствительности в общении.</w:t>
      </w:r>
    </w:p>
    <w:p>
      <w:pPr>
        <w:spacing w:line="226" w:lineRule="exact" w:before="13"/>
        <w:ind w:left="425" w:right="0" w:firstLine="0"/>
        <w:jc w:val="both"/>
        <w:rPr>
          <w:b/>
          <w:sz w:val="20"/>
        </w:rPr>
      </w:pPr>
      <w:r>
        <w:rPr>
          <w:b/>
          <w:color w:val="231F20"/>
          <w:sz w:val="20"/>
        </w:rPr>
        <w:t>Инструкция</w:t>
      </w:r>
      <w:r>
        <w:rPr>
          <w:b/>
          <w:color w:val="231F20"/>
          <w:spacing w:val="-2"/>
          <w:sz w:val="20"/>
        </w:rPr>
        <w:t> </w:t>
      </w:r>
      <w:r>
        <w:rPr>
          <w:b/>
          <w:color w:val="231F20"/>
          <w:sz w:val="20"/>
        </w:rPr>
        <w:t>по</w:t>
      </w:r>
      <w:r>
        <w:rPr>
          <w:b/>
          <w:color w:val="231F20"/>
          <w:spacing w:val="-2"/>
          <w:sz w:val="20"/>
        </w:rPr>
        <w:t> проведению</w:t>
      </w:r>
    </w:p>
    <w:p>
      <w:pPr>
        <w:pStyle w:val="BodyText"/>
        <w:spacing w:line="226" w:lineRule="exact"/>
        <w:ind w:left="425" w:right="0" w:firstLine="0"/>
      </w:pPr>
      <w:r>
        <w:rPr>
          <w:color w:val="231F20"/>
        </w:rPr>
        <w:t>Для</w:t>
      </w:r>
      <w:r>
        <w:rPr>
          <w:color w:val="231F20"/>
          <w:spacing w:val="-9"/>
        </w:rPr>
        <w:t> </w:t>
      </w:r>
      <w:r>
        <w:rPr>
          <w:color w:val="231F20"/>
        </w:rPr>
        <w:t>того,</w:t>
      </w:r>
      <w:r>
        <w:rPr>
          <w:color w:val="231F20"/>
          <w:spacing w:val="-7"/>
        </w:rPr>
        <w:t> </w:t>
      </w:r>
      <w:r>
        <w:rPr>
          <w:color w:val="231F20"/>
        </w:rPr>
        <w:t>чтобы</w:t>
      </w:r>
      <w:r>
        <w:rPr>
          <w:color w:val="231F20"/>
          <w:spacing w:val="-7"/>
        </w:rPr>
        <w:t> </w:t>
      </w:r>
      <w:r>
        <w:rPr>
          <w:color w:val="231F20"/>
        </w:rPr>
        <w:t>провести</w:t>
      </w:r>
      <w:r>
        <w:rPr>
          <w:color w:val="231F20"/>
          <w:spacing w:val="-8"/>
        </w:rPr>
        <w:t> </w:t>
      </w:r>
      <w:r>
        <w:rPr>
          <w:color w:val="231F20"/>
        </w:rPr>
        <w:t>«Живую</w:t>
      </w:r>
      <w:r>
        <w:rPr>
          <w:color w:val="231F20"/>
          <w:spacing w:val="-7"/>
        </w:rPr>
        <w:t> </w:t>
      </w:r>
      <w:r>
        <w:rPr>
          <w:color w:val="231F20"/>
        </w:rPr>
        <w:t>библиотеку»,</w:t>
      </w:r>
      <w:r>
        <w:rPr>
          <w:color w:val="231F20"/>
          <w:spacing w:val="-7"/>
        </w:rPr>
        <w:t> </w:t>
      </w:r>
      <w:r>
        <w:rPr>
          <w:color w:val="231F20"/>
        </w:rPr>
        <w:t>можно</w:t>
      </w:r>
      <w:r>
        <w:rPr>
          <w:color w:val="231F20"/>
          <w:spacing w:val="-7"/>
        </w:rPr>
        <w:t> </w:t>
      </w:r>
      <w:r>
        <w:rPr>
          <w:color w:val="231F20"/>
        </w:rPr>
        <w:t>следовать</w:t>
      </w:r>
      <w:r>
        <w:rPr>
          <w:color w:val="231F20"/>
          <w:spacing w:val="-7"/>
        </w:rPr>
        <w:t> </w:t>
      </w:r>
      <w:r>
        <w:rPr>
          <w:color w:val="231F20"/>
          <w:spacing w:val="-2"/>
        </w:rPr>
        <w:t>плану:</w:t>
      </w:r>
    </w:p>
    <w:p>
      <w:pPr>
        <w:pStyle w:val="ListParagraph"/>
        <w:numPr>
          <w:ilvl w:val="0"/>
          <w:numId w:val="296"/>
        </w:numPr>
        <w:tabs>
          <w:tab w:pos="424" w:val="left" w:leader="none"/>
        </w:tabs>
        <w:spacing w:line="226" w:lineRule="exact" w:before="49" w:after="0"/>
        <w:ind w:left="424" w:right="0" w:hanging="283"/>
        <w:jc w:val="both"/>
        <w:rPr>
          <w:i/>
          <w:sz w:val="20"/>
        </w:rPr>
      </w:pPr>
      <w:r>
        <w:rPr>
          <w:i/>
          <w:color w:val="231F20"/>
          <w:sz w:val="20"/>
        </w:rPr>
        <w:t>Определиться</w:t>
      </w:r>
      <w:r>
        <w:rPr>
          <w:i/>
          <w:color w:val="231F20"/>
          <w:spacing w:val="-8"/>
          <w:sz w:val="20"/>
        </w:rPr>
        <w:t> </w:t>
      </w:r>
      <w:r>
        <w:rPr>
          <w:i/>
          <w:color w:val="231F20"/>
          <w:sz w:val="20"/>
        </w:rPr>
        <w:t>с</w:t>
      </w:r>
      <w:r>
        <w:rPr>
          <w:i/>
          <w:color w:val="231F20"/>
          <w:spacing w:val="-5"/>
          <w:sz w:val="20"/>
        </w:rPr>
        <w:t> </w:t>
      </w:r>
      <w:r>
        <w:rPr>
          <w:i/>
          <w:color w:val="231F20"/>
          <w:sz w:val="20"/>
        </w:rPr>
        <w:t>форматом</w:t>
      </w:r>
      <w:r>
        <w:rPr>
          <w:i/>
          <w:color w:val="231F20"/>
          <w:spacing w:val="-7"/>
          <w:sz w:val="20"/>
        </w:rPr>
        <w:t> </w:t>
      </w:r>
      <w:r>
        <w:rPr>
          <w:i/>
          <w:color w:val="231F20"/>
          <w:sz w:val="20"/>
        </w:rPr>
        <w:t>проведения:</w:t>
      </w:r>
      <w:r>
        <w:rPr>
          <w:i/>
          <w:color w:val="231F20"/>
          <w:spacing w:val="-5"/>
          <w:sz w:val="20"/>
        </w:rPr>
        <w:t> </w:t>
      </w:r>
      <w:r>
        <w:rPr>
          <w:i/>
          <w:color w:val="231F20"/>
          <w:sz w:val="20"/>
        </w:rPr>
        <w:t>онлайн</w:t>
      </w:r>
      <w:r>
        <w:rPr>
          <w:i/>
          <w:color w:val="231F20"/>
          <w:spacing w:val="-6"/>
          <w:sz w:val="20"/>
        </w:rPr>
        <w:t> </w:t>
      </w:r>
      <w:r>
        <w:rPr>
          <w:i/>
          <w:color w:val="231F20"/>
          <w:sz w:val="20"/>
        </w:rPr>
        <w:t>или</w:t>
      </w:r>
      <w:r>
        <w:rPr>
          <w:i/>
          <w:color w:val="231F20"/>
          <w:spacing w:val="-6"/>
          <w:sz w:val="20"/>
        </w:rPr>
        <w:t> </w:t>
      </w:r>
      <w:r>
        <w:rPr>
          <w:i/>
          <w:color w:val="231F20"/>
          <w:sz w:val="20"/>
        </w:rPr>
        <w:t>оффлайн</w:t>
      </w:r>
      <w:r>
        <w:rPr>
          <w:i/>
          <w:color w:val="231F20"/>
          <w:spacing w:val="-6"/>
          <w:sz w:val="20"/>
        </w:rPr>
        <w:t> </w:t>
      </w:r>
      <w:r>
        <w:rPr>
          <w:i/>
          <w:color w:val="231F20"/>
          <w:sz w:val="20"/>
        </w:rPr>
        <w:t>(очный</w:t>
      </w:r>
      <w:r>
        <w:rPr>
          <w:i/>
          <w:color w:val="231F20"/>
          <w:spacing w:val="-5"/>
          <w:sz w:val="20"/>
        </w:rPr>
        <w:t> </w:t>
      </w:r>
      <w:r>
        <w:rPr>
          <w:i/>
          <w:color w:val="231F20"/>
          <w:spacing w:val="-2"/>
          <w:sz w:val="20"/>
        </w:rPr>
        <w:t>формат)</w:t>
      </w:r>
    </w:p>
    <w:p>
      <w:pPr>
        <w:pStyle w:val="BodyText"/>
        <w:spacing w:line="232" w:lineRule="auto" w:before="1"/>
        <w:ind w:left="425" w:right="4819" w:firstLine="0"/>
        <w:jc w:val="left"/>
      </w:pPr>
      <w:r>
        <w:rPr>
          <w:color w:val="231F20"/>
        </w:rPr>
        <w:t>В</w:t>
      </w:r>
      <w:r>
        <w:rPr>
          <w:color w:val="231F20"/>
          <w:spacing w:val="-6"/>
        </w:rPr>
        <w:t> </w:t>
      </w:r>
      <w:r>
        <w:rPr>
          <w:color w:val="231F20"/>
        </w:rPr>
        <w:t>обоих</w:t>
      </w:r>
      <w:r>
        <w:rPr>
          <w:color w:val="231F20"/>
          <w:spacing w:val="-6"/>
        </w:rPr>
        <w:t> </w:t>
      </w:r>
      <w:r>
        <w:rPr>
          <w:color w:val="231F20"/>
        </w:rPr>
        <w:t>есть</w:t>
      </w:r>
      <w:r>
        <w:rPr>
          <w:color w:val="231F20"/>
          <w:spacing w:val="-7"/>
        </w:rPr>
        <w:t> </w:t>
      </w:r>
      <w:r>
        <w:rPr>
          <w:color w:val="231F20"/>
        </w:rPr>
        <w:t>свои</w:t>
      </w:r>
      <w:r>
        <w:rPr>
          <w:color w:val="231F20"/>
          <w:spacing w:val="-7"/>
        </w:rPr>
        <w:t> </w:t>
      </w:r>
      <w:r>
        <w:rPr>
          <w:color w:val="231F20"/>
        </w:rPr>
        <w:t>плюсы. В оффлайн формате:</w:t>
      </w:r>
    </w:p>
    <w:p>
      <w:pPr>
        <w:pStyle w:val="ListParagraph"/>
        <w:numPr>
          <w:ilvl w:val="1"/>
          <w:numId w:val="296"/>
        </w:numPr>
        <w:tabs>
          <w:tab w:pos="707" w:val="left" w:leader="none"/>
        </w:tabs>
        <w:spacing w:line="218" w:lineRule="exact" w:before="0" w:after="0"/>
        <w:ind w:left="707" w:right="0" w:hanging="282"/>
        <w:jc w:val="left"/>
        <w:rPr>
          <w:sz w:val="20"/>
        </w:rPr>
      </w:pPr>
      <w:r>
        <w:rPr>
          <w:color w:val="231F20"/>
          <w:sz w:val="20"/>
        </w:rPr>
        <w:t>Закрытое</w:t>
      </w:r>
      <w:r>
        <w:rPr>
          <w:color w:val="231F20"/>
          <w:spacing w:val="-4"/>
          <w:sz w:val="20"/>
        </w:rPr>
        <w:t> </w:t>
      </w:r>
      <w:r>
        <w:rPr>
          <w:color w:val="231F20"/>
          <w:sz w:val="20"/>
        </w:rPr>
        <w:t>пространство</w:t>
      </w:r>
      <w:r>
        <w:rPr>
          <w:color w:val="231F20"/>
          <w:spacing w:val="-2"/>
          <w:sz w:val="20"/>
        </w:rPr>
        <w:t> </w:t>
      </w:r>
      <w:r>
        <w:rPr>
          <w:color w:val="231F20"/>
          <w:sz w:val="20"/>
        </w:rPr>
        <w:t>создает</w:t>
      </w:r>
      <w:r>
        <w:rPr>
          <w:color w:val="231F20"/>
          <w:spacing w:val="-2"/>
          <w:sz w:val="20"/>
        </w:rPr>
        <w:t> безопасность;</w:t>
      </w:r>
    </w:p>
    <w:p>
      <w:pPr>
        <w:pStyle w:val="ListParagraph"/>
        <w:numPr>
          <w:ilvl w:val="1"/>
          <w:numId w:val="296"/>
        </w:numPr>
        <w:tabs>
          <w:tab w:pos="707" w:val="left" w:leader="none"/>
        </w:tabs>
        <w:spacing w:line="232" w:lineRule="auto" w:before="2" w:after="0"/>
        <w:ind w:left="425" w:right="2318" w:firstLine="0"/>
        <w:jc w:val="left"/>
        <w:rPr>
          <w:sz w:val="20"/>
        </w:rPr>
      </w:pPr>
      <w:r>
        <w:rPr>
          <w:color w:val="231F20"/>
          <w:sz w:val="20"/>
        </w:rPr>
        <w:t>Есть</w:t>
      </w:r>
      <w:r>
        <w:rPr>
          <w:color w:val="231F20"/>
          <w:spacing w:val="-11"/>
          <w:sz w:val="20"/>
        </w:rPr>
        <w:t> </w:t>
      </w:r>
      <w:r>
        <w:rPr>
          <w:color w:val="231F20"/>
          <w:sz w:val="20"/>
        </w:rPr>
        <w:t>возможность</w:t>
      </w:r>
      <w:r>
        <w:rPr>
          <w:color w:val="231F20"/>
          <w:spacing w:val="-11"/>
          <w:sz w:val="20"/>
        </w:rPr>
        <w:t> </w:t>
      </w:r>
      <w:r>
        <w:rPr>
          <w:color w:val="231F20"/>
          <w:sz w:val="20"/>
        </w:rPr>
        <w:t>живого</w:t>
      </w:r>
      <w:r>
        <w:rPr>
          <w:color w:val="231F20"/>
          <w:spacing w:val="-11"/>
          <w:sz w:val="20"/>
        </w:rPr>
        <w:t> </w:t>
      </w:r>
      <w:r>
        <w:rPr>
          <w:color w:val="231F20"/>
          <w:sz w:val="20"/>
        </w:rPr>
        <w:t>эмоционального</w:t>
      </w:r>
      <w:r>
        <w:rPr>
          <w:color w:val="231F20"/>
          <w:spacing w:val="-11"/>
          <w:sz w:val="20"/>
        </w:rPr>
        <w:t> </w:t>
      </w:r>
      <w:r>
        <w:rPr>
          <w:color w:val="231F20"/>
          <w:sz w:val="20"/>
        </w:rPr>
        <w:t>общения. При онлайн формате:</w:t>
      </w:r>
    </w:p>
    <w:p>
      <w:pPr>
        <w:pStyle w:val="ListParagraph"/>
        <w:numPr>
          <w:ilvl w:val="2"/>
          <w:numId w:val="296"/>
        </w:numPr>
        <w:tabs>
          <w:tab w:pos="707" w:val="left" w:leader="none"/>
        </w:tabs>
        <w:spacing w:line="218" w:lineRule="exact" w:before="0" w:after="0"/>
        <w:ind w:left="707" w:right="0" w:hanging="282"/>
        <w:jc w:val="left"/>
        <w:rPr>
          <w:sz w:val="20"/>
        </w:rPr>
      </w:pPr>
      <w:r>
        <w:rPr>
          <w:color w:val="231F20"/>
          <w:sz w:val="20"/>
        </w:rPr>
        <w:t>Можно</w:t>
      </w:r>
      <w:r>
        <w:rPr>
          <w:color w:val="231F20"/>
          <w:spacing w:val="40"/>
          <w:sz w:val="20"/>
        </w:rPr>
        <w:t> </w:t>
      </w:r>
      <w:r>
        <w:rPr>
          <w:color w:val="231F20"/>
          <w:sz w:val="20"/>
        </w:rPr>
        <w:t>пригласить</w:t>
      </w:r>
      <w:r>
        <w:rPr>
          <w:color w:val="231F20"/>
          <w:spacing w:val="40"/>
          <w:sz w:val="20"/>
        </w:rPr>
        <w:t> </w:t>
      </w:r>
      <w:r>
        <w:rPr>
          <w:color w:val="231F20"/>
          <w:sz w:val="20"/>
        </w:rPr>
        <w:t>участников</w:t>
      </w:r>
      <w:r>
        <w:rPr>
          <w:color w:val="231F20"/>
          <w:spacing w:val="40"/>
          <w:sz w:val="20"/>
        </w:rPr>
        <w:t> </w:t>
      </w:r>
      <w:r>
        <w:rPr>
          <w:color w:val="231F20"/>
          <w:sz w:val="20"/>
        </w:rPr>
        <w:t>из</w:t>
      </w:r>
      <w:r>
        <w:rPr>
          <w:color w:val="231F20"/>
          <w:spacing w:val="40"/>
          <w:sz w:val="20"/>
        </w:rPr>
        <w:t> </w:t>
      </w:r>
      <w:r>
        <w:rPr>
          <w:color w:val="231F20"/>
          <w:sz w:val="20"/>
        </w:rPr>
        <w:t>других</w:t>
      </w:r>
      <w:r>
        <w:rPr>
          <w:color w:val="231F20"/>
          <w:spacing w:val="41"/>
          <w:sz w:val="20"/>
        </w:rPr>
        <w:t> </w:t>
      </w:r>
      <w:r>
        <w:rPr>
          <w:color w:val="231F20"/>
          <w:sz w:val="20"/>
        </w:rPr>
        <w:t>городов:</w:t>
      </w:r>
      <w:r>
        <w:rPr>
          <w:color w:val="231F20"/>
          <w:spacing w:val="40"/>
          <w:sz w:val="20"/>
        </w:rPr>
        <w:t> </w:t>
      </w:r>
      <w:r>
        <w:rPr>
          <w:color w:val="231F20"/>
          <w:sz w:val="20"/>
        </w:rPr>
        <w:t>как</w:t>
      </w:r>
      <w:r>
        <w:rPr>
          <w:color w:val="231F20"/>
          <w:spacing w:val="40"/>
          <w:sz w:val="20"/>
        </w:rPr>
        <w:t> </w:t>
      </w:r>
      <w:r>
        <w:rPr>
          <w:color w:val="231F20"/>
          <w:sz w:val="20"/>
        </w:rPr>
        <w:t>«Читателей»,</w:t>
      </w:r>
      <w:r>
        <w:rPr>
          <w:color w:val="231F20"/>
          <w:spacing w:val="40"/>
          <w:sz w:val="20"/>
        </w:rPr>
        <w:t> </w:t>
      </w:r>
      <w:r>
        <w:rPr>
          <w:color w:val="231F20"/>
          <w:sz w:val="20"/>
        </w:rPr>
        <w:t>так</w:t>
      </w:r>
      <w:r>
        <w:rPr>
          <w:color w:val="231F20"/>
          <w:spacing w:val="41"/>
          <w:sz w:val="20"/>
        </w:rPr>
        <w:t> </w:t>
      </w:r>
      <w:r>
        <w:rPr>
          <w:color w:val="231F20"/>
          <w:spacing w:val="-10"/>
          <w:sz w:val="20"/>
        </w:rPr>
        <w:t>и</w:t>
      </w:r>
    </w:p>
    <w:p>
      <w:pPr>
        <w:pStyle w:val="BodyText"/>
        <w:spacing w:line="222" w:lineRule="exact"/>
        <w:ind w:left="708" w:right="0" w:firstLine="0"/>
        <w:jc w:val="left"/>
      </w:pPr>
      <w:r>
        <w:rPr>
          <w:color w:val="231F20"/>
          <w:spacing w:val="-2"/>
        </w:rPr>
        <w:t>«Книг»;</w:t>
      </w:r>
    </w:p>
    <w:p>
      <w:pPr>
        <w:pStyle w:val="ListParagraph"/>
        <w:numPr>
          <w:ilvl w:val="2"/>
          <w:numId w:val="296"/>
        </w:numPr>
        <w:tabs>
          <w:tab w:pos="706" w:val="left" w:leader="none"/>
          <w:tab w:pos="708" w:val="left" w:leader="none"/>
        </w:tabs>
        <w:spacing w:line="232" w:lineRule="auto" w:before="1" w:after="0"/>
        <w:ind w:left="708" w:right="139" w:hanging="284"/>
        <w:jc w:val="both"/>
        <w:rPr>
          <w:sz w:val="20"/>
        </w:rPr>
      </w:pPr>
      <w:r>
        <w:rPr>
          <w:color w:val="231F20"/>
          <w:sz w:val="20"/>
        </w:rPr>
        <w:t>Более удобно встречаться перед «Живой библиотекой» организаторам и устроить созвон после мероприятия, например, чтобы «Книгам» удалось поделиться впечатлениями.</w:t>
      </w:r>
    </w:p>
    <w:p>
      <w:pPr>
        <w:pStyle w:val="BodyText"/>
        <w:spacing w:line="235" w:lineRule="auto"/>
      </w:pPr>
      <w:r>
        <w:rPr>
          <w:color w:val="231F20"/>
        </w:rPr>
        <w:t>Если</w:t>
      </w:r>
      <w:r>
        <w:rPr>
          <w:color w:val="231F20"/>
          <w:spacing w:val="-13"/>
        </w:rPr>
        <w:t> </w:t>
      </w:r>
      <w:r>
        <w:rPr>
          <w:color w:val="231F20"/>
        </w:rPr>
        <w:t>вы</w:t>
      </w:r>
      <w:r>
        <w:rPr>
          <w:color w:val="231F20"/>
          <w:spacing w:val="-12"/>
        </w:rPr>
        <w:t> </w:t>
      </w:r>
      <w:r>
        <w:rPr>
          <w:color w:val="231F20"/>
        </w:rPr>
        <w:t>выбрали</w:t>
      </w:r>
      <w:r>
        <w:rPr>
          <w:color w:val="231F20"/>
          <w:spacing w:val="-13"/>
        </w:rPr>
        <w:t> </w:t>
      </w:r>
      <w:r>
        <w:rPr>
          <w:color w:val="231F20"/>
        </w:rPr>
        <w:t>формат</w:t>
      </w:r>
      <w:r>
        <w:rPr>
          <w:color w:val="231F20"/>
          <w:spacing w:val="-12"/>
        </w:rPr>
        <w:t> </w:t>
      </w:r>
      <w:r>
        <w:rPr>
          <w:color w:val="231F20"/>
        </w:rPr>
        <w:t>оффлайн</w:t>
      </w:r>
      <w:r>
        <w:rPr>
          <w:color w:val="231F20"/>
          <w:spacing w:val="-13"/>
        </w:rPr>
        <w:t> </w:t>
      </w:r>
      <w:r>
        <w:rPr>
          <w:color w:val="231F20"/>
        </w:rPr>
        <w:t>–</w:t>
      </w:r>
      <w:r>
        <w:rPr>
          <w:color w:val="231F20"/>
          <w:spacing w:val="-12"/>
        </w:rPr>
        <w:t> </w:t>
      </w:r>
      <w:r>
        <w:rPr>
          <w:color w:val="231F20"/>
        </w:rPr>
        <w:t>это</w:t>
      </w:r>
      <w:r>
        <w:rPr>
          <w:color w:val="231F20"/>
          <w:spacing w:val="-13"/>
        </w:rPr>
        <w:t> </w:t>
      </w:r>
      <w:r>
        <w:rPr>
          <w:color w:val="231F20"/>
        </w:rPr>
        <w:t>должно</w:t>
      </w:r>
      <w:r>
        <w:rPr>
          <w:color w:val="231F20"/>
          <w:spacing w:val="-12"/>
        </w:rPr>
        <w:t> </w:t>
      </w:r>
      <w:r>
        <w:rPr>
          <w:color w:val="231F20"/>
        </w:rPr>
        <w:t>быть</w:t>
      </w:r>
      <w:r>
        <w:rPr>
          <w:color w:val="231F20"/>
          <w:spacing w:val="-13"/>
        </w:rPr>
        <w:t> </w:t>
      </w:r>
      <w:r>
        <w:rPr>
          <w:color w:val="231F20"/>
        </w:rPr>
        <w:t>помещение,</w:t>
      </w:r>
      <w:r>
        <w:rPr>
          <w:color w:val="231F20"/>
          <w:spacing w:val="-12"/>
        </w:rPr>
        <w:t> </w:t>
      </w:r>
      <w:r>
        <w:rPr>
          <w:color w:val="231F20"/>
        </w:rPr>
        <w:t>где</w:t>
      </w:r>
      <w:r>
        <w:rPr>
          <w:color w:val="231F20"/>
          <w:spacing w:val="-13"/>
        </w:rPr>
        <w:t> </w:t>
      </w:r>
      <w:r>
        <w:rPr>
          <w:color w:val="231F20"/>
        </w:rPr>
        <w:t>можно</w:t>
      </w:r>
      <w:r>
        <w:rPr>
          <w:color w:val="231F20"/>
          <w:spacing w:val="-12"/>
        </w:rPr>
        <w:t> </w:t>
      </w:r>
      <w:r>
        <w:rPr>
          <w:color w:val="231F20"/>
        </w:rPr>
        <w:t>было бы</w:t>
      </w:r>
      <w:r>
        <w:rPr>
          <w:color w:val="231F20"/>
          <w:spacing w:val="-3"/>
        </w:rPr>
        <w:t> </w:t>
      </w:r>
      <w:r>
        <w:rPr>
          <w:color w:val="231F20"/>
        </w:rPr>
        <w:t>собрать</w:t>
      </w:r>
      <w:r>
        <w:rPr>
          <w:color w:val="231F20"/>
          <w:spacing w:val="-3"/>
        </w:rPr>
        <w:t> </w:t>
      </w:r>
      <w:r>
        <w:rPr>
          <w:color w:val="231F20"/>
        </w:rPr>
        <w:t>несколько</w:t>
      </w:r>
      <w:r>
        <w:rPr>
          <w:color w:val="231F20"/>
          <w:spacing w:val="-3"/>
        </w:rPr>
        <w:t> </w:t>
      </w:r>
      <w:r>
        <w:rPr>
          <w:color w:val="231F20"/>
        </w:rPr>
        <w:t>групп</w:t>
      </w:r>
      <w:r>
        <w:rPr>
          <w:color w:val="231F20"/>
          <w:spacing w:val="-3"/>
        </w:rPr>
        <w:t> </w:t>
      </w:r>
      <w:r>
        <w:rPr>
          <w:color w:val="231F20"/>
        </w:rPr>
        <w:t>чтобы</w:t>
      </w:r>
      <w:r>
        <w:rPr>
          <w:color w:val="231F20"/>
          <w:spacing w:val="-3"/>
        </w:rPr>
        <w:t> </w:t>
      </w:r>
      <w:r>
        <w:rPr>
          <w:color w:val="231F20"/>
        </w:rPr>
        <w:t>они</w:t>
      </w:r>
      <w:r>
        <w:rPr>
          <w:color w:val="231F20"/>
          <w:spacing w:val="-3"/>
        </w:rPr>
        <w:t> </w:t>
      </w:r>
      <w:r>
        <w:rPr>
          <w:color w:val="231F20"/>
        </w:rPr>
        <w:t>не</w:t>
      </w:r>
      <w:r>
        <w:rPr>
          <w:color w:val="231F20"/>
          <w:spacing w:val="-3"/>
        </w:rPr>
        <w:t> </w:t>
      </w:r>
      <w:r>
        <w:rPr>
          <w:color w:val="231F20"/>
        </w:rPr>
        <w:t>мешали</w:t>
      </w:r>
      <w:r>
        <w:rPr>
          <w:color w:val="231F20"/>
          <w:spacing w:val="-3"/>
        </w:rPr>
        <w:t> </w:t>
      </w:r>
      <w:r>
        <w:rPr>
          <w:color w:val="231F20"/>
        </w:rPr>
        <w:t>друг</w:t>
      </w:r>
      <w:r>
        <w:rPr>
          <w:color w:val="231F20"/>
          <w:spacing w:val="-3"/>
        </w:rPr>
        <w:t> </w:t>
      </w:r>
      <w:r>
        <w:rPr>
          <w:color w:val="231F20"/>
        </w:rPr>
        <w:t>другу.</w:t>
      </w:r>
      <w:r>
        <w:rPr>
          <w:color w:val="231F20"/>
          <w:spacing w:val="-3"/>
        </w:rPr>
        <w:t> </w:t>
      </w:r>
      <w:r>
        <w:rPr>
          <w:color w:val="231F20"/>
        </w:rPr>
        <w:t>Это</w:t>
      </w:r>
      <w:r>
        <w:rPr>
          <w:color w:val="231F20"/>
          <w:spacing w:val="-3"/>
        </w:rPr>
        <w:t> </w:t>
      </w:r>
      <w:r>
        <w:rPr>
          <w:color w:val="231F20"/>
        </w:rPr>
        <w:t>может</w:t>
      </w:r>
      <w:r>
        <w:rPr>
          <w:color w:val="231F20"/>
          <w:spacing w:val="-3"/>
        </w:rPr>
        <w:t> </w:t>
      </w:r>
      <w:r>
        <w:rPr>
          <w:color w:val="231F20"/>
        </w:rPr>
        <w:t>быть</w:t>
      </w:r>
      <w:r>
        <w:rPr>
          <w:color w:val="231F20"/>
          <w:spacing w:val="-3"/>
        </w:rPr>
        <w:t> </w:t>
      </w:r>
      <w:r>
        <w:rPr>
          <w:color w:val="231F20"/>
        </w:rPr>
        <w:t>боль- шой зал, или перегороженное пространство (например, библиотека), или простран- ство</w:t>
      </w:r>
      <w:r>
        <w:rPr>
          <w:color w:val="231F20"/>
          <w:spacing w:val="-3"/>
        </w:rPr>
        <w:t> </w:t>
      </w:r>
      <w:r>
        <w:rPr>
          <w:color w:val="231F20"/>
        </w:rPr>
        <w:t>с</w:t>
      </w:r>
      <w:r>
        <w:rPr>
          <w:color w:val="231F20"/>
          <w:spacing w:val="-3"/>
        </w:rPr>
        <w:t> </w:t>
      </w:r>
      <w:r>
        <w:rPr>
          <w:color w:val="231F20"/>
        </w:rPr>
        <w:t>отдельными</w:t>
      </w:r>
      <w:r>
        <w:rPr>
          <w:color w:val="231F20"/>
          <w:spacing w:val="-3"/>
        </w:rPr>
        <w:t> </w:t>
      </w:r>
      <w:r>
        <w:rPr>
          <w:color w:val="231F20"/>
        </w:rPr>
        <w:t>комнатами.</w:t>
      </w:r>
      <w:r>
        <w:rPr>
          <w:color w:val="231F20"/>
          <w:spacing w:val="-3"/>
        </w:rPr>
        <w:t> </w:t>
      </w:r>
      <w:r>
        <w:rPr>
          <w:color w:val="231F20"/>
        </w:rPr>
        <w:t>Мимо</w:t>
      </w:r>
      <w:r>
        <w:rPr>
          <w:color w:val="231F20"/>
          <w:spacing w:val="-3"/>
        </w:rPr>
        <w:t> </w:t>
      </w:r>
      <w:r>
        <w:rPr>
          <w:color w:val="231F20"/>
        </w:rPr>
        <w:t>групп</w:t>
      </w:r>
      <w:r>
        <w:rPr>
          <w:color w:val="231F20"/>
          <w:spacing w:val="-2"/>
        </w:rPr>
        <w:t> </w:t>
      </w:r>
      <w:r>
        <w:rPr>
          <w:color w:val="231F20"/>
        </w:rPr>
        <w:t>в</w:t>
      </w:r>
      <w:r>
        <w:rPr>
          <w:color w:val="231F20"/>
          <w:spacing w:val="-3"/>
        </w:rPr>
        <w:t> </w:t>
      </w:r>
      <w:r>
        <w:rPr>
          <w:color w:val="231F20"/>
        </w:rPr>
        <w:t>процессе</w:t>
      </w:r>
      <w:r>
        <w:rPr>
          <w:color w:val="231F20"/>
          <w:spacing w:val="-3"/>
        </w:rPr>
        <w:t> </w:t>
      </w:r>
      <w:r>
        <w:rPr>
          <w:color w:val="231F20"/>
        </w:rPr>
        <w:t>работы</w:t>
      </w:r>
      <w:r>
        <w:rPr>
          <w:color w:val="231F20"/>
          <w:spacing w:val="-2"/>
        </w:rPr>
        <w:t> </w:t>
      </w:r>
      <w:r>
        <w:rPr>
          <w:color w:val="231F20"/>
        </w:rPr>
        <w:t>не</w:t>
      </w:r>
      <w:r>
        <w:rPr>
          <w:color w:val="231F20"/>
          <w:spacing w:val="-3"/>
        </w:rPr>
        <w:t> </w:t>
      </w:r>
      <w:r>
        <w:rPr>
          <w:color w:val="231F20"/>
        </w:rPr>
        <w:t>должны</w:t>
      </w:r>
      <w:r>
        <w:rPr>
          <w:color w:val="231F20"/>
          <w:spacing w:val="-2"/>
        </w:rPr>
        <w:t> проходить</w:t>
      </w:r>
    </w:p>
    <w:p>
      <w:pPr>
        <w:pStyle w:val="BodyText"/>
        <w:spacing w:after="0" w:line="235" w:lineRule="auto"/>
        <w:sectPr>
          <w:pgSz w:w="8400" w:h="11910"/>
          <w:pgMar w:header="0" w:footer="530" w:top="72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28" w:lineRule="exact" w:before="112"/>
        <w:ind w:right="0" w:firstLine="0"/>
      </w:pPr>
      <w:r>
        <w:rPr>
          <w:color w:val="231F20"/>
        </w:rPr>
        <w:t>посторонние</w:t>
      </w:r>
      <w:r>
        <w:rPr>
          <w:color w:val="231F20"/>
          <w:spacing w:val="18"/>
        </w:rPr>
        <w:t> </w:t>
      </w:r>
      <w:r>
        <w:rPr>
          <w:color w:val="231F20"/>
        </w:rPr>
        <w:t>люди.</w:t>
      </w:r>
      <w:r>
        <w:rPr>
          <w:color w:val="231F20"/>
          <w:spacing w:val="20"/>
        </w:rPr>
        <w:t> </w:t>
      </w:r>
      <w:r>
        <w:rPr>
          <w:color w:val="231F20"/>
        </w:rPr>
        <w:t>У</w:t>
      </w:r>
      <w:r>
        <w:rPr>
          <w:color w:val="231F20"/>
          <w:spacing w:val="20"/>
        </w:rPr>
        <w:t> </w:t>
      </w:r>
      <w:r>
        <w:rPr>
          <w:color w:val="231F20"/>
        </w:rPr>
        <w:t>книг</w:t>
      </w:r>
      <w:r>
        <w:rPr>
          <w:color w:val="231F20"/>
          <w:spacing w:val="20"/>
        </w:rPr>
        <w:t> </w:t>
      </w:r>
      <w:r>
        <w:rPr>
          <w:color w:val="231F20"/>
        </w:rPr>
        <w:t>и</w:t>
      </w:r>
      <w:r>
        <w:rPr>
          <w:color w:val="231F20"/>
          <w:spacing w:val="20"/>
        </w:rPr>
        <w:t> </w:t>
      </w:r>
      <w:r>
        <w:rPr>
          <w:color w:val="231F20"/>
        </w:rPr>
        <w:t>читателей</w:t>
      </w:r>
      <w:r>
        <w:rPr>
          <w:color w:val="231F20"/>
          <w:spacing w:val="20"/>
        </w:rPr>
        <w:t> </w:t>
      </w:r>
      <w:r>
        <w:rPr>
          <w:color w:val="231F20"/>
        </w:rPr>
        <w:t>должно</w:t>
      </w:r>
      <w:r>
        <w:rPr>
          <w:color w:val="231F20"/>
          <w:spacing w:val="20"/>
        </w:rPr>
        <w:t> </w:t>
      </w:r>
      <w:r>
        <w:rPr>
          <w:color w:val="231F20"/>
        </w:rPr>
        <w:t>возникать</w:t>
      </w:r>
      <w:r>
        <w:rPr>
          <w:color w:val="231F20"/>
          <w:spacing w:val="20"/>
        </w:rPr>
        <w:t> </w:t>
      </w:r>
      <w:r>
        <w:rPr>
          <w:color w:val="231F20"/>
        </w:rPr>
        <w:t>ощущение</w:t>
      </w:r>
      <w:r>
        <w:rPr>
          <w:color w:val="231F20"/>
          <w:spacing w:val="20"/>
        </w:rPr>
        <w:t> </w:t>
      </w:r>
      <w:r>
        <w:rPr>
          <w:color w:val="231F20"/>
          <w:spacing w:val="-2"/>
        </w:rPr>
        <w:t>максимально</w:t>
      </w:r>
    </w:p>
    <w:p>
      <w:pPr>
        <w:pStyle w:val="BodyText"/>
        <w:spacing w:line="226" w:lineRule="exact"/>
        <w:ind w:right="0" w:firstLine="0"/>
      </w:pPr>
      <w:r>
        <w:rPr>
          <w:color w:val="231F20"/>
          <w:spacing w:val="-2"/>
        </w:rPr>
        <w:t>«защищенного</w:t>
      </w:r>
      <w:r>
        <w:rPr>
          <w:color w:val="231F20"/>
          <w:spacing w:val="9"/>
        </w:rPr>
        <w:t> </w:t>
      </w:r>
      <w:r>
        <w:rPr>
          <w:color w:val="231F20"/>
          <w:spacing w:val="-2"/>
        </w:rPr>
        <w:t>пространства».</w:t>
      </w:r>
    </w:p>
    <w:p>
      <w:pPr>
        <w:pStyle w:val="BodyText"/>
        <w:spacing w:line="235" w:lineRule="auto" w:before="2"/>
      </w:pPr>
      <w:r>
        <w:rPr>
          <w:color w:val="231F20"/>
        </w:rPr>
        <w:t>Встреча</w:t>
      </w:r>
      <w:r>
        <w:rPr>
          <w:color w:val="231F20"/>
          <w:spacing w:val="-3"/>
        </w:rPr>
        <w:t> </w:t>
      </w:r>
      <w:r>
        <w:rPr>
          <w:color w:val="231F20"/>
        </w:rPr>
        <w:t>будет</w:t>
      </w:r>
      <w:r>
        <w:rPr>
          <w:color w:val="231F20"/>
          <w:spacing w:val="-3"/>
        </w:rPr>
        <w:t> </w:t>
      </w:r>
      <w:r>
        <w:rPr>
          <w:color w:val="231F20"/>
        </w:rPr>
        <w:t>длиться</w:t>
      </w:r>
      <w:r>
        <w:rPr>
          <w:color w:val="231F20"/>
          <w:spacing w:val="-3"/>
        </w:rPr>
        <w:t> </w:t>
      </w:r>
      <w:r>
        <w:rPr>
          <w:color w:val="231F20"/>
        </w:rPr>
        <w:t>не</w:t>
      </w:r>
      <w:r>
        <w:rPr>
          <w:color w:val="231F20"/>
          <w:spacing w:val="-3"/>
        </w:rPr>
        <w:t> </w:t>
      </w:r>
      <w:r>
        <w:rPr>
          <w:color w:val="231F20"/>
        </w:rPr>
        <w:t>меньше</w:t>
      </w:r>
      <w:r>
        <w:rPr>
          <w:color w:val="231F20"/>
          <w:spacing w:val="-3"/>
        </w:rPr>
        <w:t> </w:t>
      </w:r>
      <w:r>
        <w:rPr>
          <w:color w:val="231F20"/>
        </w:rPr>
        <w:t>2</w:t>
      </w:r>
      <w:r>
        <w:rPr>
          <w:color w:val="231F20"/>
          <w:spacing w:val="-3"/>
        </w:rPr>
        <w:t> </w:t>
      </w:r>
      <w:r>
        <w:rPr>
          <w:color w:val="231F20"/>
        </w:rPr>
        <w:t>часов,</w:t>
      </w:r>
      <w:r>
        <w:rPr>
          <w:color w:val="231F20"/>
          <w:spacing w:val="-3"/>
        </w:rPr>
        <w:t> </w:t>
      </w:r>
      <w:r>
        <w:rPr>
          <w:color w:val="231F20"/>
        </w:rPr>
        <w:t>поэтому</w:t>
      </w:r>
      <w:r>
        <w:rPr>
          <w:color w:val="231F20"/>
          <w:spacing w:val="-3"/>
        </w:rPr>
        <w:t> </w:t>
      </w:r>
      <w:r>
        <w:rPr>
          <w:color w:val="231F20"/>
        </w:rPr>
        <w:t>стоит</w:t>
      </w:r>
      <w:r>
        <w:rPr>
          <w:color w:val="231F20"/>
          <w:spacing w:val="-3"/>
        </w:rPr>
        <w:t> </w:t>
      </w:r>
      <w:r>
        <w:rPr>
          <w:color w:val="231F20"/>
        </w:rPr>
        <w:t>проветрить</w:t>
      </w:r>
      <w:r>
        <w:rPr>
          <w:color w:val="231F20"/>
          <w:spacing w:val="-3"/>
        </w:rPr>
        <w:t> </w:t>
      </w:r>
      <w:r>
        <w:rPr>
          <w:color w:val="231F20"/>
        </w:rPr>
        <w:t>помещение, подумать</w:t>
      </w:r>
      <w:r>
        <w:rPr>
          <w:color w:val="231F20"/>
          <w:spacing w:val="-1"/>
        </w:rPr>
        <w:t> </w:t>
      </w:r>
      <w:r>
        <w:rPr>
          <w:color w:val="231F20"/>
        </w:rPr>
        <w:t>об</w:t>
      </w:r>
      <w:r>
        <w:rPr>
          <w:color w:val="231F20"/>
          <w:spacing w:val="-1"/>
        </w:rPr>
        <w:t> </w:t>
      </w:r>
      <w:r>
        <w:rPr>
          <w:color w:val="231F20"/>
        </w:rPr>
        <w:t>удобствах,</w:t>
      </w:r>
      <w:r>
        <w:rPr>
          <w:color w:val="231F20"/>
          <w:spacing w:val="-1"/>
        </w:rPr>
        <w:t> </w:t>
      </w:r>
      <w:r>
        <w:rPr>
          <w:color w:val="231F20"/>
        </w:rPr>
        <w:t>возможно,</w:t>
      </w:r>
      <w:r>
        <w:rPr>
          <w:color w:val="231F20"/>
          <w:spacing w:val="-1"/>
        </w:rPr>
        <w:t> </w:t>
      </w:r>
      <w:r>
        <w:rPr>
          <w:color w:val="231F20"/>
        </w:rPr>
        <w:t>о</w:t>
      </w:r>
      <w:r>
        <w:rPr>
          <w:color w:val="231F20"/>
          <w:spacing w:val="-1"/>
        </w:rPr>
        <w:t> </w:t>
      </w:r>
      <w:r>
        <w:rPr>
          <w:color w:val="231F20"/>
        </w:rPr>
        <w:t>воде,</w:t>
      </w:r>
      <w:r>
        <w:rPr>
          <w:color w:val="231F20"/>
          <w:spacing w:val="-1"/>
        </w:rPr>
        <w:t> </w:t>
      </w:r>
      <w:r>
        <w:rPr>
          <w:color w:val="231F20"/>
        </w:rPr>
        <w:t>а</w:t>
      </w:r>
      <w:r>
        <w:rPr>
          <w:color w:val="231F20"/>
          <w:spacing w:val="-1"/>
        </w:rPr>
        <w:t> </w:t>
      </w:r>
      <w:r>
        <w:rPr>
          <w:color w:val="231F20"/>
        </w:rPr>
        <w:t>чай</w:t>
      </w:r>
      <w:r>
        <w:rPr>
          <w:color w:val="231F20"/>
          <w:spacing w:val="-1"/>
        </w:rPr>
        <w:t> </w:t>
      </w:r>
      <w:r>
        <w:rPr>
          <w:color w:val="231F20"/>
        </w:rPr>
        <w:t>и</w:t>
      </w:r>
      <w:r>
        <w:rPr>
          <w:color w:val="231F20"/>
          <w:spacing w:val="-1"/>
        </w:rPr>
        <w:t> </w:t>
      </w:r>
      <w:r>
        <w:rPr>
          <w:color w:val="231F20"/>
        </w:rPr>
        <w:t>кофе</w:t>
      </w:r>
      <w:r>
        <w:rPr>
          <w:color w:val="231F20"/>
          <w:spacing w:val="-1"/>
        </w:rPr>
        <w:t> </w:t>
      </w:r>
      <w:r>
        <w:rPr>
          <w:color w:val="231F20"/>
        </w:rPr>
        <w:t>с</w:t>
      </w:r>
      <w:r>
        <w:rPr>
          <w:color w:val="231F20"/>
          <w:spacing w:val="-1"/>
        </w:rPr>
        <w:t> </w:t>
      </w:r>
      <w:r>
        <w:rPr>
          <w:color w:val="231F20"/>
        </w:rPr>
        <w:t>угощениями</w:t>
      </w:r>
      <w:r>
        <w:rPr>
          <w:color w:val="231F20"/>
          <w:spacing w:val="-1"/>
        </w:rPr>
        <w:t> </w:t>
      </w:r>
      <w:r>
        <w:rPr>
          <w:color w:val="231F20"/>
        </w:rPr>
        <w:t>–</w:t>
      </w:r>
      <w:r>
        <w:rPr>
          <w:color w:val="231F20"/>
          <w:spacing w:val="-1"/>
        </w:rPr>
        <w:t> </w:t>
      </w:r>
      <w:r>
        <w:rPr>
          <w:color w:val="231F20"/>
        </w:rPr>
        <w:t>лучше</w:t>
      </w:r>
      <w:r>
        <w:rPr>
          <w:color w:val="231F20"/>
          <w:spacing w:val="-1"/>
        </w:rPr>
        <w:t> </w:t>
      </w:r>
      <w:r>
        <w:rPr>
          <w:color w:val="231F20"/>
        </w:rPr>
        <w:t>после </w:t>
      </w:r>
      <w:r>
        <w:rPr>
          <w:color w:val="231F20"/>
          <w:spacing w:val="-2"/>
        </w:rPr>
        <w:t>встречи.</w:t>
      </w:r>
    </w:p>
    <w:p>
      <w:pPr>
        <w:pStyle w:val="ListParagraph"/>
        <w:numPr>
          <w:ilvl w:val="0"/>
          <w:numId w:val="296"/>
        </w:numPr>
        <w:tabs>
          <w:tab w:pos="424" w:val="left" w:leader="none"/>
        </w:tabs>
        <w:spacing w:line="228" w:lineRule="exact" w:before="111" w:after="0"/>
        <w:ind w:left="424" w:right="0" w:hanging="283"/>
        <w:jc w:val="both"/>
        <w:rPr>
          <w:i/>
          <w:sz w:val="20"/>
        </w:rPr>
      </w:pPr>
      <w:r>
        <w:rPr>
          <w:i/>
          <w:color w:val="231F20"/>
          <w:sz w:val="20"/>
        </w:rPr>
        <w:t>Наберите </w:t>
      </w:r>
      <w:r>
        <w:rPr>
          <w:i/>
          <w:color w:val="231F20"/>
          <w:spacing w:val="-2"/>
          <w:sz w:val="20"/>
        </w:rPr>
        <w:t>команду</w:t>
      </w:r>
    </w:p>
    <w:p>
      <w:pPr>
        <w:pStyle w:val="BodyText"/>
        <w:spacing w:line="235" w:lineRule="auto" w:before="2"/>
      </w:pPr>
      <w:r>
        <w:rPr>
          <w:color w:val="231F20"/>
        </w:rPr>
        <w:t>В ней должны быть люди, которые смогут администрировать процесс. Отвечать на вопросы, договариваться с «Книгами», организовывать пространство. Во время встречи администраторы участвуют в процессе. Это могут быть волонтеры-старше- классники или педагоги.</w:t>
      </w:r>
    </w:p>
    <w:p>
      <w:pPr>
        <w:pStyle w:val="BodyText"/>
        <w:spacing w:line="235" w:lineRule="auto" w:before="2"/>
      </w:pPr>
      <w:r>
        <w:rPr>
          <w:color w:val="231F20"/>
        </w:rPr>
        <w:t>При онлайн встрече распределяют по «комнатам», ходят по ним, контролируют соблюдение правил. Если «Живая библиотека» проходит очно – встречают гостей и</w:t>
      </w:r>
    </w:p>
    <w:p>
      <w:pPr>
        <w:pStyle w:val="BodyText"/>
        <w:spacing w:line="225" w:lineRule="exact"/>
        <w:ind w:right="0" w:firstLine="0"/>
      </w:pPr>
      <w:r>
        <w:rPr>
          <w:color w:val="231F20"/>
        </w:rPr>
        <w:t>«Книг»,</w:t>
      </w:r>
      <w:r>
        <w:rPr>
          <w:color w:val="231F20"/>
          <w:spacing w:val="-5"/>
        </w:rPr>
        <w:t> </w:t>
      </w:r>
      <w:r>
        <w:rPr>
          <w:color w:val="231F20"/>
        </w:rPr>
        <w:t>организовывают</w:t>
      </w:r>
      <w:r>
        <w:rPr>
          <w:color w:val="231F20"/>
          <w:spacing w:val="-2"/>
        </w:rPr>
        <w:t> </w:t>
      </w:r>
      <w:r>
        <w:rPr>
          <w:color w:val="231F20"/>
        </w:rPr>
        <w:t>пространство</w:t>
      </w:r>
      <w:r>
        <w:rPr>
          <w:color w:val="231F20"/>
          <w:spacing w:val="-3"/>
        </w:rPr>
        <w:t> </w:t>
      </w:r>
      <w:r>
        <w:rPr>
          <w:color w:val="231F20"/>
        </w:rPr>
        <w:t>(так</w:t>
      </w:r>
      <w:r>
        <w:rPr>
          <w:color w:val="231F20"/>
          <w:spacing w:val="-2"/>
        </w:rPr>
        <w:t> </w:t>
      </w:r>
      <w:r>
        <w:rPr>
          <w:color w:val="231F20"/>
        </w:rPr>
        <w:t>же,</w:t>
      </w:r>
      <w:r>
        <w:rPr>
          <w:color w:val="231F20"/>
          <w:spacing w:val="-3"/>
        </w:rPr>
        <w:t> </w:t>
      </w:r>
      <w:r>
        <w:rPr>
          <w:color w:val="231F20"/>
        </w:rPr>
        <w:t>как</w:t>
      </w:r>
      <w:r>
        <w:rPr>
          <w:color w:val="231F20"/>
          <w:spacing w:val="-2"/>
        </w:rPr>
        <w:t> </w:t>
      </w:r>
      <w:r>
        <w:rPr>
          <w:color w:val="231F20"/>
        </w:rPr>
        <w:t>и</w:t>
      </w:r>
      <w:r>
        <w:rPr>
          <w:color w:val="231F20"/>
          <w:spacing w:val="-3"/>
        </w:rPr>
        <w:t> </w:t>
      </w:r>
      <w:r>
        <w:rPr>
          <w:color w:val="231F20"/>
          <w:spacing w:val="-2"/>
        </w:rPr>
        <w:t>онлайн).</w:t>
      </w:r>
    </w:p>
    <w:p>
      <w:pPr>
        <w:pStyle w:val="BodyText"/>
        <w:spacing w:line="235" w:lineRule="auto" w:before="2"/>
        <w:ind w:right="140"/>
      </w:pPr>
      <w:r>
        <w:rPr>
          <w:color w:val="231F20"/>
        </w:rPr>
        <w:t>Роли</w:t>
      </w:r>
      <w:r>
        <w:rPr>
          <w:color w:val="231F20"/>
          <w:spacing w:val="-7"/>
        </w:rPr>
        <w:t> </w:t>
      </w:r>
      <w:r>
        <w:rPr>
          <w:color w:val="231F20"/>
        </w:rPr>
        <w:t>в</w:t>
      </w:r>
      <w:r>
        <w:rPr>
          <w:color w:val="231F20"/>
          <w:spacing w:val="-7"/>
        </w:rPr>
        <w:t> </w:t>
      </w:r>
      <w:r>
        <w:rPr>
          <w:color w:val="231F20"/>
        </w:rPr>
        <w:t>команде</w:t>
      </w:r>
      <w:r>
        <w:rPr>
          <w:color w:val="231F20"/>
          <w:spacing w:val="-7"/>
        </w:rPr>
        <w:t> </w:t>
      </w:r>
      <w:r>
        <w:rPr>
          <w:color w:val="231F20"/>
        </w:rPr>
        <w:t>лучше</w:t>
      </w:r>
      <w:r>
        <w:rPr>
          <w:color w:val="231F20"/>
          <w:spacing w:val="-7"/>
        </w:rPr>
        <w:t> </w:t>
      </w:r>
      <w:r>
        <w:rPr>
          <w:color w:val="231F20"/>
        </w:rPr>
        <w:t>распределить</w:t>
      </w:r>
      <w:r>
        <w:rPr>
          <w:color w:val="231F20"/>
          <w:spacing w:val="-7"/>
        </w:rPr>
        <w:t> </w:t>
      </w:r>
      <w:r>
        <w:rPr>
          <w:color w:val="231F20"/>
        </w:rPr>
        <w:t>заранее,</w:t>
      </w:r>
      <w:r>
        <w:rPr>
          <w:color w:val="231F20"/>
          <w:spacing w:val="-7"/>
        </w:rPr>
        <w:t> </w:t>
      </w:r>
      <w:r>
        <w:rPr>
          <w:color w:val="231F20"/>
        </w:rPr>
        <w:t>чтобы</w:t>
      </w:r>
      <w:r>
        <w:rPr>
          <w:color w:val="231F20"/>
          <w:spacing w:val="-7"/>
        </w:rPr>
        <w:t> </w:t>
      </w:r>
      <w:r>
        <w:rPr>
          <w:color w:val="231F20"/>
        </w:rPr>
        <w:t>каждый</w:t>
      </w:r>
      <w:r>
        <w:rPr>
          <w:color w:val="231F20"/>
          <w:spacing w:val="-7"/>
        </w:rPr>
        <w:t> </w:t>
      </w:r>
      <w:r>
        <w:rPr>
          <w:color w:val="231F20"/>
        </w:rPr>
        <w:t>знал,</w:t>
      </w:r>
      <w:r>
        <w:rPr>
          <w:color w:val="231F20"/>
          <w:spacing w:val="-7"/>
        </w:rPr>
        <w:t> </w:t>
      </w:r>
      <w:r>
        <w:rPr>
          <w:color w:val="231F20"/>
        </w:rPr>
        <w:t>за</w:t>
      </w:r>
      <w:r>
        <w:rPr>
          <w:color w:val="231F20"/>
          <w:spacing w:val="-7"/>
        </w:rPr>
        <w:t> </w:t>
      </w:r>
      <w:r>
        <w:rPr>
          <w:color w:val="231F20"/>
        </w:rPr>
        <w:t>что</w:t>
      </w:r>
      <w:r>
        <w:rPr>
          <w:color w:val="231F20"/>
          <w:spacing w:val="-7"/>
        </w:rPr>
        <w:t> </w:t>
      </w:r>
      <w:r>
        <w:rPr>
          <w:color w:val="231F20"/>
        </w:rPr>
        <w:t>отвечает, </w:t>
      </w:r>
      <w:r>
        <w:rPr>
          <w:color w:val="231F20"/>
          <w:spacing w:val="-2"/>
        </w:rPr>
        <w:t>и</w:t>
      </w:r>
      <w:r>
        <w:rPr>
          <w:color w:val="231F20"/>
          <w:spacing w:val="-4"/>
        </w:rPr>
        <w:t> </w:t>
      </w:r>
      <w:r>
        <w:rPr>
          <w:color w:val="231F20"/>
          <w:spacing w:val="-2"/>
        </w:rPr>
        <w:t>все</w:t>
      </w:r>
      <w:r>
        <w:rPr>
          <w:color w:val="231F20"/>
          <w:spacing w:val="-4"/>
        </w:rPr>
        <w:t> </w:t>
      </w:r>
      <w:r>
        <w:rPr>
          <w:color w:val="231F20"/>
          <w:spacing w:val="-2"/>
        </w:rPr>
        <w:t>действовали</w:t>
      </w:r>
      <w:r>
        <w:rPr>
          <w:color w:val="231F20"/>
          <w:spacing w:val="-4"/>
        </w:rPr>
        <w:t> </w:t>
      </w:r>
      <w:r>
        <w:rPr>
          <w:color w:val="231F20"/>
          <w:spacing w:val="-2"/>
        </w:rPr>
        <w:t>слажено.</w:t>
      </w:r>
      <w:r>
        <w:rPr>
          <w:color w:val="231F20"/>
          <w:spacing w:val="-4"/>
        </w:rPr>
        <w:t> </w:t>
      </w:r>
      <w:r>
        <w:rPr>
          <w:color w:val="231F20"/>
          <w:spacing w:val="-2"/>
        </w:rPr>
        <w:t>Подготовьте</w:t>
      </w:r>
      <w:r>
        <w:rPr>
          <w:color w:val="231F20"/>
          <w:spacing w:val="-4"/>
        </w:rPr>
        <w:t> </w:t>
      </w:r>
      <w:r>
        <w:rPr>
          <w:color w:val="231F20"/>
          <w:spacing w:val="-2"/>
        </w:rPr>
        <w:t>бейджики</w:t>
      </w:r>
      <w:r>
        <w:rPr>
          <w:color w:val="231F20"/>
          <w:spacing w:val="-4"/>
        </w:rPr>
        <w:t> </w:t>
      </w:r>
      <w:r>
        <w:rPr>
          <w:color w:val="231F20"/>
          <w:spacing w:val="-2"/>
        </w:rPr>
        <w:t>для</w:t>
      </w:r>
      <w:r>
        <w:rPr>
          <w:color w:val="231F20"/>
          <w:spacing w:val="-4"/>
        </w:rPr>
        <w:t> </w:t>
      </w:r>
      <w:r>
        <w:rPr>
          <w:color w:val="231F20"/>
          <w:spacing w:val="-2"/>
        </w:rPr>
        <w:t>команды,</w:t>
      </w:r>
      <w:r>
        <w:rPr>
          <w:color w:val="231F20"/>
          <w:spacing w:val="-4"/>
        </w:rPr>
        <w:t> </w:t>
      </w:r>
      <w:r>
        <w:rPr>
          <w:color w:val="231F20"/>
          <w:spacing w:val="-2"/>
        </w:rPr>
        <w:t>чтобы</w:t>
      </w:r>
      <w:r>
        <w:rPr>
          <w:color w:val="231F20"/>
          <w:spacing w:val="-4"/>
        </w:rPr>
        <w:t> </w:t>
      </w:r>
      <w:r>
        <w:rPr>
          <w:color w:val="231F20"/>
          <w:spacing w:val="-2"/>
        </w:rPr>
        <w:t>и</w:t>
      </w:r>
      <w:r>
        <w:rPr>
          <w:color w:val="231F20"/>
          <w:spacing w:val="-4"/>
        </w:rPr>
        <w:t> </w:t>
      </w:r>
      <w:r>
        <w:rPr>
          <w:color w:val="231F20"/>
          <w:spacing w:val="-2"/>
        </w:rPr>
        <w:t>«Читатели», </w:t>
      </w:r>
      <w:r>
        <w:rPr>
          <w:color w:val="231F20"/>
        </w:rPr>
        <w:t>и «Книги» обращались к участникам по именам в случае возникновения вопросов.</w:t>
      </w:r>
    </w:p>
    <w:p>
      <w:pPr>
        <w:pStyle w:val="ListParagraph"/>
        <w:numPr>
          <w:ilvl w:val="0"/>
          <w:numId w:val="296"/>
        </w:numPr>
        <w:tabs>
          <w:tab w:pos="424" w:val="left" w:leader="none"/>
        </w:tabs>
        <w:spacing w:line="228" w:lineRule="exact" w:before="112" w:after="0"/>
        <w:ind w:left="424" w:right="0" w:hanging="283"/>
        <w:jc w:val="both"/>
        <w:rPr>
          <w:i/>
          <w:sz w:val="20"/>
        </w:rPr>
      </w:pPr>
      <w:r>
        <w:rPr>
          <w:i/>
          <w:color w:val="231F20"/>
          <w:sz w:val="20"/>
        </w:rPr>
        <w:t>Пропишите</w:t>
      </w:r>
      <w:r>
        <w:rPr>
          <w:i/>
          <w:color w:val="231F20"/>
          <w:spacing w:val="-4"/>
          <w:sz w:val="20"/>
        </w:rPr>
        <w:t> </w:t>
      </w:r>
      <w:r>
        <w:rPr>
          <w:i/>
          <w:color w:val="231F20"/>
          <w:sz w:val="20"/>
        </w:rPr>
        <w:t>правила</w:t>
      </w:r>
      <w:r>
        <w:rPr>
          <w:i/>
          <w:color w:val="231F20"/>
          <w:spacing w:val="-1"/>
          <w:sz w:val="20"/>
        </w:rPr>
        <w:t> </w:t>
      </w:r>
      <w:r>
        <w:rPr>
          <w:i/>
          <w:color w:val="231F20"/>
          <w:sz w:val="20"/>
        </w:rPr>
        <w:t>«Живой</w:t>
      </w:r>
      <w:r>
        <w:rPr>
          <w:i/>
          <w:color w:val="231F20"/>
          <w:spacing w:val="-1"/>
          <w:sz w:val="20"/>
        </w:rPr>
        <w:t> </w:t>
      </w:r>
      <w:r>
        <w:rPr>
          <w:i/>
          <w:color w:val="231F20"/>
          <w:spacing w:val="-2"/>
          <w:sz w:val="20"/>
        </w:rPr>
        <w:t>библиотеки»</w:t>
      </w:r>
    </w:p>
    <w:p>
      <w:pPr>
        <w:pStyle w:val="BodyText"/>
        <w:spacing w:line="235" w:lineRule="auto" w:before="1"/>
      </w:pPr>
      <w:r>
        <w:rPr>
          <w:color w:val="231F20"/>
        </w:rPr>
        <w:t>Примерные</w:t>
      </w:r>
      <w:r>
        <w:rPr>
          <w:color w:val="231F20"/>
          <w:spacing w:val="-9"/>
        </w:rPr>
        <w:t> </w:t>
      </w:r>
      <w:r>
        <w:rPr>
          <w:color w:val="231F20"/>
        </w:rPr>
        <w:t>правила</w:t>
      </w:r>
      <w:r>
        <w:rPr>
          <w:color w:val="231F20"/>
          <w:spacing w:val="-9"/>
        </w:rPr>
        <w:t> </w:t>
      </w:r>
      <w:r>
        <w:rPr>
          <w:color w:val="231F20"/>
        </w:rPr>
        <w:t>«Живой</w:t>
      </w:r>
      <w:r>
        <w:rPr>
          <w:color w:val="231F20"/>
          <w:spacing w:val="-9"/>
        </w:rPr>
        <w:t> </w:t>
      </w:r>
      <w:r>
        <w:rPr>
          <w:color w:val="231F20"/>
        </w:rPr>
        <w:t>библиотеки»</w:t>
      </w:r>
      <w:r>
        <w:rPr>
          <w:color w:val="231F20"/>
          <w:spacing w:val="-9"/>
        </w:rPr>
        <w:t> </w:t>
      </w:r>
      <w:r>
        <w:rPr>
          <w:color w:val="231F20"/>
        </w:rPr>
        <w:t>можно</w:t>
      </w:r>
      <w:r>
        <w:rPr>
          <w:color w:val="231F20"/>
          <w:spacing w:val="-9"/>
        </w:rPr>
        <w:t> </w:t>
      </w:r>
      <w:r>
        <w:rPr>
          <w:color w:val="231F20"/>
        </w:rPr>
        <w:t>посмотреть</w:t>
      </w:r>
      <w:r>
        <w:rPr>
          <w:color w:val="231F20"/>
          <w:spacing w:val="-9"/>
        </w:rPr>
        <w:t> </w:t>
      </w:r>
      <w:r>
        <w:rPr>
          <w:color w:val="231F20"/>
        </w:rPr>
        <w:t>в</w:t>
      </w:r>
      <w:r>
        <w:rPr>
          <w:color w:val="231F20"/>
          <w:spacing w:val="-9"/>
        </w:rPr>
        <w:t> </w:t>
      </w:r>
      <w:r>
        <w:rPr>
          <w:color w:val="231F20"/>
        </w:rPr>
        <w:t>Методических</w:t>
      </w:r>
      <w:r>
        <w:rPr>
          <w:color w:val="231F20"/>
          <w:spacing w:val="-9"/>
        </w:rPr>
        <w:t> </w:t>
      </w:r>
      <w:r>
        <w:rPr>
          <w:color w:val="231F20"/>
        </w:rPr>
        <w:t>ре- комендациях. Но вы можете настроить их, что-то добавив или изменив под обстоя- тельства.</w:t>
      </w:r>
      <w:r>
        <w:rPr>
          <w:color w:val="231F20"/>
          <w:spacing w:val="-9"/>
        </w:rPr>
        <w:t> </w:t>
      </w:r>
      <w:r>
        <w:rPr>
          <w:color w:val="231F20"/>
        </w:rPr>
        <w:t>Правила</w:t>
      </w:r>
      <w:r>
        <w:rPr>
          <w:color w:val="231F20"/>
          <w:spacing w:val="-9"/>
        </w:rPr>
        <w:t> </w:t>
      </w:r>
      <w:r>
        <w:rPr>
          <w:color w:val="231F20"/>
        </w:rPr>
        <w:t>сделаны</w:t>
      </w:r>
      <w:r>
        <w:rPr>
          <w:color w:val="231F20"/>
          <w:spacing w:val="-9"/>
        </w:rPr>
        <w:t> </w:t>
      </w:r>
      <w:r>
        <w:rPr>
          <w:color w:val="231F20"/>
        </w:rPr>
        <w:t>для</w:t>
      </w:r>
      <w:r>
        <w:rPr>
          <w:color w:val="231F20"/>
          <w:spacing w:val="-9"/>
        </w:rPr>
        <w:t> </w:t>
      </w:r>
      <w:r>
        <w:rPr>
          <w:color w:val="231F20"/>
        </w:rPr>
        <w:t>того,</w:t>
      </w:r>
      <w:r>
        <w:rPr>
          <w:color w:val="231F20"/>
          <w:spacing w:val="-9"/>
        </w:rPr>
        <w:t> </w:t>
      </w:r>
      <w:r>
        <w:rPr>
          <w:color w:val="231F20"/>
        </w:rPr>
        <w:t>чтобы</w:t>
      </w:r>
      <w:r>
        <w:rPr>
          <w:color w:val="231F20"/>
          <w:spacing w:val="-9"/>
        </w:rPr>
        <w:t> </w:t>
      </w:r>
      <w:r>
        <w:rPr>
          <w:color w:val="231F20"/>
        </w:rPr>
        <w:t>«Книгам»</w:t>
      </w:r>
      <w:r>
        <w:rPr>
          <w:color w:val="231F20"/>
          <w:spacing w:val="-9"/>
        </w:rPr>
        <w:t> </w:t>
      </w:r>
      <w:r>
        <w:rPr>
          <w:color w:val="231F20"/>
        </w:rPr>
        <w:t>было</w:t>
      </w:r>
      <w:r>
        <w:rPr>
          <w:color w:val="231F20"/>
          <w:spacing w:val="-9"/>
        </w:rPr>
        <w:t> </w:t>
      </w:r>
      <w:r>
        <w:rPr>
          <w:color w:val="231F20"/>
        </w:rPr>
        <w:t>безопасно</w:t>
      </w:r>
      <w:r>
        <w:rPr>
          <w:color w:val="231F20"/>
          <w:spacing w:val="-9"/>
        </w:rPr>
        <w:t> </w:t>
      </w:r>
      <w:r>
        <w:rPr>
          <w:color w:val="231F20"/>
        </w:rPr>
        <w:t>рассказывать</w:t>
      </w:r>
      <w:r>
        <w:rPr>
          <w:color w:val="231F20"/>
          <w:spacing w:val="-9"/>
        </w:rPr>
        <w:t> </w:t>
      </w:r>
      <w:r>
        <w:rPr>
          <w:color w:val="231F20"/>
        </w:rPr>
        <w:t>о своем опыте и чтобы «Читатели» чувствовали себя комфортно.</w:t>
      </w:r>
    </w:p>
    <w:p>
      <w:pPr>
        <w:pStyle w:val="BodyText"/>
        <w:spacing w:line="235" w:lineRule="auto" w:before="3"/>
      </w:pPr>
      <w:r>
        <w:rPr>
          <w:color w:val="231F20"/>
        </w:rPr>
        <w:t>Мы</w:t>
      </w:r>
      <w:r>
        <w:rPr>
          <w:color w:val="231F20"/>
          <w:spacing w:val="-1"/>
        </w:rPr>
        <w:t> </w:t>
      </w:r>
      <w:r>
        <w:rPr>
          <w:color w:val="231F20"/>
        </w:rPr>
        <w:t>предлагаем</w:t>
      </w:r>
      <w:r>
        <w:rPr>
          <w:color w:val="231F20"/>
          <w:spacing w:val="-2"/>
        </w:rPr>
        <w:t> </w:t>
      </w:r>
      <w:r>
        <w:rPr>
          <w:color w:val="231F20"/>
        </w:rPr>
        <w:t>ознакомиться</w:t>
      </w:r>
      <w:r>
        <w:rPr>
          <w:color w:val="231F20"/>
          <w:spacing w:val="-1"/>
        </w:rPr>
        <w:t> </w:t>
      </w:r>
      <w:r>
        <w:rPr>
          <w:color w:val="231F20"/>
        </w:rPr>
        <w:t>с</w:t>
      </w:r>
      <w:r>
        <w:rPr>
          <w:color w:val="231F20"/>
          <w:spacing w:val="-1"/>
        </w:rPr>
        <w:t> </w:t>
      </w:r>
      <w:r>
        <w:rPr>
          <w:color w:val="231F20"/>
        </w:rPr>
        <w:t>примером</w:t>
      </w:r>
      <w:r>
        <w:rPr>
          <w:color w:val="231F20"/>
          <w:spacing w:val="-1"/>
        </w:rPr>
        <w:t> </w:t>
      </w:r>
      <w:r>
        <w:rPr>
          <w:color w:val="231F20"/>
        </w:rPr>
        <w:t>правил</w:t>
      </w:r>
      <w:r>
        <w:rPr>
          <w:color w:val="231F20"/>
          <w:spacing w:val="-1"/>
        </w:rPr>
        <w:t> </w:t>
      </w:r>
      <w:r>
        <w:rPr>
          <w:color w:val="231F20"/>
        </w:rPr>
        <w:t>«Живой</w:t>
      </w:r>
      <w:r>
        <w:rPr>
          <w:color w:val="231F20"/>
          <w:spacing w:val="-1"/>
        </w:rPr>
        <w:t> </w:t>
      </w:r>
      <w:r>
        <w:rPr>
          <w:color w:val="231F20"/>
        </w:rPr>
        <w:t>библиотеки</w:t>
      </w:r>
      <w:r>
        <w:rPr>
          <w:color w:val="231F20"/>
          <w:spacing w:val="-1"/>
        </w:rPr>
        <w:t> </w:t>
      </w:r>
      <w:r>
        <w:rPr>
          <w:color w:val="231F20"/>
        </w:rPr>
        <w:t>МГППУ», которая</w:t>
      </w:r>
      <w:r>
        <w:rPr>
          <w:color w:val="231F20"/>
          <w:spacing w:val="-13"/>
        </w:rPr>
        <w:t> </w:t>
      </w:r>
      <w:r>
        <w:rPr>
          <w:color w:val="231F20"/>
        </w:rPr>
        <w:t>представляла</w:t>
      </w:r>
      <w:r>
        <w:rPr>
          <w:color w:val="231F20"/>
          <w:spacing w:val="-12"/>
        </w:rPr>
        <w:t> </w:t>
      </w:r>
      <w:r>
        <w:rPr>
          <w:color w:val="231F20"/>
        </w:rPr>
        <w:t>собой</w:t>
      </w:r>
      <w:r>
        <w:rPr>
          <w:color w:val="231F20"/>
          <w:spacing w:val="-13"/>
        </w:rPr>
        <w:t> </w:t>
      </w:r>
      <w:r>
        <w:rPr>
          <w:color w:val="231F20"/>
        </w:rPr>
        <w:t>«пилотную»</w:t>
      </w:r>
      <w:r>
        <w:rPr>
          <w:color w:val="231F20"/>
          <w:spacing w:val="-12"/>
        </w:rPr>
        <w:t> </w:t>
      </w:r>
      <w:r>
        <w:rPr>
          <w:color w:val="231F20"/>
        </w:rPr>
        <w:t>версию.</w:t>
      </w:r>
      <w:r>
        <w:rPr>
          <w:color w:val="231F20"/>
          <w:spacing w:val="-13"/>
        </w:rPr>
        <w:t> </w:t>
      </w:r>
      <w:r>
        <w:rPr>
          <w:color w:val="231F20"/>
        </w:rPr>
        <w:t>Благодаря</w:t>
      </w:r>
      <w:r>
        <w:rPr>
          <w:color w:val="231F20"/>
          <w:spacing w:val="-12"/>
        </w:rPr>
        <w:t> </w:t>
      </w:r>
      <w:r>
        <w:rPr>
          <w:color w:val="231F20"/>
        </w:rPr>
        <w:t>данному</w:t>
      </w:r>
      <w:r>
        <w:rPr>
          <w:color w:val="231F20"/>
          <w:spacing w:val="-13"/>
        </w:rPr>
        <w:t> </w:t>
      </w:r>
      <w:r>
        <w:rPr>
          <w:color w:val="231F20"/>
        </w:rPr>
        <w:t>опыту</w:t>
      </w:r>
      <w:r>
        <w:rPr>
          <w:color w:val="231F20"/>
          <w:spacing w:val="-12"/>
        </w:rPr>
        <w:t> </w:t>
      </w:r>
      <w:r>
        <w:rPr>
          <w:color w:val="231F20"/>
        </w:rPr>
        <w:t>мы</w:t>
      </w:r>
      <w:r>
        <w:rPr>
          <w:color w:val="231F20"/>
          <w:spacing w:val="-13"/>
        </w:rPr>
        <w:t> </w:t>
      </w:r>
      <w:r>
        <w:rPr>
          <w:color w:val="231F20"/>
        </w:rPr>
        <w:t>выде- лили особенности проведения «Живой библиотеки», с которыми вы можете ознако- миться в Методических рекомендациях.</w:t>
      </w:r>
    </w:p>
    <w:p>
      <w:pPr>
        <w:pStyle w:val="BodyText"/>
        <w:spacing w:line="235" w:lineRule="auto" w:before="59"/>
      </w:pPr>
      <w:r>
        <w:rPr>
          <w:color w:val="231F20"/>
          <w:spacing w:val="-2"/>
        </w:rPr>
        <w:t>«Чтение»</w:t>
      </w:r>
      <w:r>
        <w:rPr>
          <w:color w:val="231F20"/>
          <w:spacing w:val="-6"/>
        </w:rPr>
        <w:t> </w:t>
      </w:r>
      <w:r>
        <w:rPr>
          <w:color w:val="231F20"/>
          <w:spacing w:val="-2"/>
        </w:rPr>
        <w:t>одной</w:t>
      </w:r>
      <w:r>
        <w:rPr>
          <w:color w:val="231F20"/>
          <w:spacing w:val="-6"/>
        </w:rPr>
        <w:t> </w:t>
      </w:r>
      <w:r>
        <w:rPr>
          <w:color w:val="231F20"/>
          <w:spacing w:val="-2"/>
        </w:rPr>
        <w:t>«Книги»</w:t>
      </w:r>
      <w:r>
        <w:rPr>
          <w:color w:val="231F20"/>
          <w:spacing w:val="-6"/>
        </w:rPr>
        <w:t> </w:t>
      </w:r>
      <w:r>
        <w:rPr>
          <w:color w:val="231F20"/>
          <w:spacing w:val="-2"/>
        </w:rPr>
        <w:t>обычно</w:t>
      </w:r>
      <w:r>
        <w:rPr>
          <w:color w:val="231F20"/>
          <w:spacing w:val="-6"/>
        </w:rPr>
        <w:t> </w:t>
      </w:r>
      <w:r>
        <w:rPr>
          <w:color w:val="231F20"/>
          <w:spacing w:val="-2"/>
        </w:rPr>
        <w:t>занимает</w:t>
      </w:r>
      <w:r>
        <w:rPr>
          <w:color w:val="231F20"/>
          <w:spacing w:val="-6"/>
        </w:rPr>
        <w:t> </w:t>
      </w:r>
      <w:r>
        <w:rPr>
          <w:color w:val="231F20"/>
          <w:spacing w:val="-2"/>
        </w:rPr>
        <w:t>меньше</w:t>
      </w:r>
      <w:r>
        <w:rPr>
          <w:color w:val="231F20"/>
          <w:spacing w:val="-6"/>
        </w:rPr>
        <w:t> </w:t>
      </w:r>
      <w:r>
        <w:rPr>
          <w:color w:val="231F20"/>
          <w:spacing w:val="-2"/>
        </w:rPr>
        <w:t>времени,</w:t>
      </w:r>
      <w:r>
        <w:rPr>
          <w:color w:val="231F20"/>
          <w:spacing w:val="-6"/>
        </w:rPr>
        <w:t> </w:t>
      </w:r>
      <w:r>
        <w:rPr>
          <w:color w:val="231F20"/>
          <w:spacing w:val="-2"/>
        </w:rPr>
        <w:t>чем</w:t>
      </w:r>
      <w:r>
        <w:rPr>
          <w:color w:val="231F20"/>
          <w:spacing w:val="-6"/>
        </w:rPr>
        <w:t> </w:t>
      </w:r>
      <w:r>
        <w:rPr>
          <w:color w:val="231F20"/>
          <w:spacing w:val="-2"/>
        </w:rPr>
        <w:t>хочется,</w:t>
      </w:r>
      <w:r>
        <w:rPr>
          <w:color w:val="231F20"/>
          <w:spacing w:val="-6"/>
        </w:rPr>
        <w:t> </w:t>
      </w:r>
      <w:r>
        <w:rPr>
          <w:color w:val="231F20"/>
          <w:spacing w:val="-2"/>
        </w:rPr>
        <w:t>и</w:t>
      </w:r>
      <w:r>
        <w:rPr>
          <w:color w:val="231F20"/>
          <w:spacing w:val="-6"/>
        </w:rPr>
        <w:t> </w:t>
      </w:r>
      <w:r>
        <w:rPr>
          <w:color w:val="231F20"/>
          <w:spacing w:val="-2"/>
        </w:rPr>
        <w:t>соблю- </w:t>
      </w:r>
      <w:r>
        <w:rPr>
          <w:color w:val="231F20"/>
        </w:rPr>
        <w:t>дение правил помогает получить максимально интересный опыт за короткое время.</w:t>
      </w:r>
    </w:p>
    <w:p>
      <w:pPr>
        <w:pStyle w:val="BodyText"/>
        <w:spacing w:before="7"/>
        <w:ind w:left="0" w:right="0" w:firstLine="0"/>
        <w:jc w:val="left"/>
        <w:rPr>
          <w:sz w:val="9"/>
        </w:rPr>
      </w:pPr>
      <w:r>
        <w:rPr>
          <w:sz w:val="9"/>
        </w:rPr>
        <mc:AlternateContent>
          <mc:Choice Requires="wps">
            <w:drawing>
              <wp:anchor distT="0" distB="0" distL="0" distR="0" allowOverlap="1" layoutInCell="1" locked="0" behindDoc="1" simplePos="0" relativeHeight="487641600">
                <wp:simplePos x="0" y="0"/>
                <wp:positionH relativeFrom="page">
                  <wp:posOffset>558143</wp:posOffset>
                </wp:positionH>
                <wp:positionV relativeFrom="paragraph">
                  <wp:posOffset>85505</wp:posOffset>
                </wp:positionV>
                <wp:extent cx="4211955" cy="2369185"/>
                <wp:effectExtent l="0" t="0" r="0" b="0"/>
                <wp:wrapTopAndBottom/>
                <wp:docPr id="168" name="Group 168"/>
                <wp:cNvGraphicFramePr>
                  <a:graphicFrameLocks/>
                </wp:cNvGraphicFramePr>
                <a:graphic>
                  <a:graphicData uri="http://schemas.microsoft.com/office/word/2010/wordprocessingGroup">
                    <wpg:wgp>
                      <wpg:cNvPr id="168" name="Group 168"/>
                      <wpg:cNvGrpSpPr/>
                      <wpg:grpSpPr>
                        <a:xfrm>
                          <a:off x="0" y="0"/>
                          <a:ext cx="4211955" cy="2369185"/>
                          <a:chExt cx="4211955" cy="2369185"/>
                        </a:xfrm>
                      </wpg:grpSpPr>
                      <pic:pic>
                        <pic:nvPicPr>
                          <pic:cNvPr id="169" name="Image 169"/>
                          <pic:cNvPicPr/>
                        </pic:nvPicPr>
                        <pic:blipFill>
                          <a:blip r:embed="rId237" cstate="print"/>
                          <a:stretch>
                            <a:fillRect/>
                          </a:stretch>
                        </pic:blipFill>
                        <pic:spPr>
                          <a:xfrm>
                            <a:off x="0" y="157927"/>
                            <a:ext cx="4211709" cy="2210990"/>
                          </a:xfrm>
                          <a:prstGeom prst="rect">
                            <a:avLst/>
                          </a:prstGeom>
                        </pic:spPr>
                      </pic:pic>
                      <pic:pic>
                        <pic:nvPicPr>
                          <pic:cNvPr id="170" name="Image 170"/>
                          <pic:cNvPicPr/>
                        </pic:nvPicPr>
                        <pic:blipFill>
                          <a:blip r:embed="rId238" cstate="print"/>
                          <a:stretch>
                            <a:fillRect/>
                          </a:stretch>
                        </pic:blipFill>
                        <pic:spPr>
                          <a:xfrm>
                            <a:off x="3680849" y="0"/>
                            <a:ext cx="530860" cy="371473"/>
                          </a:xfrm>
                          <a:prstGeom prst="rect">
                            <a:avLst/>
                          </a:prstGeom>
                        </pic:spPr>
                      </pic:pic>
                    </wpg:wgp>
                  </a:graphicData>
                </a:graphic>
              </wp:anchor>
            </w:drawing>
          </mc:Choice>
          <mc:Fallback>
            <w:pict>
              <v:group style="position:absolute;margin-left:43.948334pt;margin-top:6.732677pt;width:331.65pt;height:186.55pt;mso-position-horizontal-relative:page;mso-position-vertical-relative:paragraph;z-index:-15674880;mso-wrap-distance-left:0;mso-wrap-distance-right:0" id="docshapegroup106" coordorigin="879,135" coordsize="6633,3731">
                <v:shape style="position:absolute;left:878;top:383;width:6633;height:3482" type="#_x0000_t75" id="docshape107" stroked="false">
                  <v:imagedata r:id="rId237" o:title=""/>
                </v:shape>
                <v:shape style="position:absolute;left:6675;top:134;width:836;height:585" type="#_x0000_t75" id="docshape108" stroked="false">
                  <v:imagedata r:id="rId238" o:title=""/>
                </v:shape>
                <w10:wrap type="topAndBottom"/>
              </v:group>
            </w:pict>
          </mc:Fallback>
        </mc:AlternateContent>
      </w:r>
    </w:p>
    <w:p>
      <w:pPr>
        <w:pStyle w:val="BodyText"/>
        <w:spacing w:after="0"/>
        <w:jc w:val="left"/>
        <w:rPr>
          <w:sz w:val="9"/>
        </w:rPr>
        <w:sectPr>
          <w:pgSz w:w="8400" w:h="11910"/>
          <w:pgMar w:header="0" w:footer="530" w:top="400" w:bottom="740" w:left="425" w:right="425"/>
        </w:sectPr>
      </w:pPr>
    </w:p>
    <w:p>
      <w:pPr>
        <w:pStyle w:val="ListParagraph"/>
        <w:numPr>
          <w:ilvl w:val="1"/>
          <w:numId w:val="292"/>
        </w:numPr>
        <w:tabs>
          <w:tab w:pos="455" w:val="left" w:leader="none"/>
        </w:tabs>
        <w:spacing w:line="240" w:lineRule="auto" w:before="80" w:after="0"/>
        <w:ind w:left="455" w:right="0" w:hanging="314"/>
        <w:jc w:val="both"/>
        <w:rPr>
          <w:rFonts w:ascii="Georgia" w:hAnsi="Georgia"/>
          <w:sz w:val="18"/>
        </w:rPr>
      </w:pPr>
      <w:r>
        <w:rPr>
          <w:rFonts w:ascii="Georgia" w:hAnsi="Georgia"/>
          <w:color w:val="231F20"/>
          <w:sz w:val="18"/>
        </w:rPr>
        <w:t>«Живая</w:t>
      </w:r>
      <w:r>
        <w:rPr>
          <w:rFonts w:ascii="Georgia" w:hAnsi="Georgia"/>
          <w:color w:val="231F20"/>
          <w:spacing w:val="-7"/>
          <w:sz w:val="18"/>
        </w:rPr>
        <w:t> </w:t>
      </w:r>
      <w:r>
        <w:rPr>
          <w:rFonts w:ascii="Georgia" w:hAnsi="Georgia"/>
          <w:color w:val="231F20"/>
          <w:sz w:val="18"/>
        </w:rPr>
        <w:t>библиотека»</w:t>
      </w:r>
      <w:r>
        <w:rPr>
          <w:rFonts w:ascii="Georgia" w:hAnsi="Georgia"/>
          <w:color w:val="231F20"/>
          <w:spacing w:val="-6"/>
          <w:sz w:val="18"/>
        </w:rPr>
        <w:t> </w:t>
      </w:r>
      <w:r>
        <w:rPr>
          <w:rFonts w:ascii="Georgia" w:hAnsi="Georgia"/>
          <w:color w:val="231F20"/>
          <w:sz w:val="18"/>
        </w:rPr>
        <w:t>как</w:t>
      </w:r>
      <w:r>
        <w:rPr>
          <w:rFonts w:ascii="Georgia" w:hAnsi="Georgia"/>
          <w:color w:val="231F20"/>
          <w:spacing w:val="-7"/>
          <w:sz w:val="18"/>
        </w:rPr>
        <w:t> </w:t>
      </w:r>
      <w:r>
        <w:rPr>
          <w:rFonts w:ascii="Georgia" w:hAnsi="Georgia"/>
          <w:color w:val="231F20"/>
          <w:sz w:val="18"/>
        </w:rPr>
        <w:t>универсальная</w:t>
      </w:r>
      <w:r>
        <w:rPr>
          <w:rFonts w:ascii="Georgia" w:hAnsi="Georgia"/>
          <w:color w:val="231F20"/>
          <w:spacing w:val="-6"/>
          <w:sz w:val="18"/>
        </w:rPr>
        <w:t> </w:t>
      </w:r>
      <w:r>
        <w:rPr>
          <w:rFonts w:ascii="Georgia" w:hAnsi="Georgia"/>
          <w:color w:val="231F20"/>
          <w:sz w:val="18"/>
        </w:rPr>
        <w:t>технология</w:t>
      </w:r>
      <w:r>
        <w:rPr>
          <w:rFonts w:ascii="Georgia" w:hAnsi="Georgia"/>
          <w:color w:val="231F20"/>
          <w:spacing w:val="-6"/>
          <w:sz w:val="18"/>
        </w:rPr>
        <w:t> </w:t>
      </w:r>
      <w:r>
        <w:rPr>
          <w:rFonts w:ascii="Georgia" w:hAnsi="Georgia"/>
          <w:color w:val="231F20"/>
          <w:spacing w:val="-2"/>
          <w:sz w:val="18"/>
        </w:rPr>
        <w:t>предубежденности...</w:t>
      </w:r>
    </w:p>
    <w:p>
      <w:pPr>
        <w:pStyle w:val="ListParagraph"/>
        <w:numPr>
          <w:ilvl w:val="0"/>
          <w:numId w:val="296"/>
        </w:numPr>
        <w:tabs>
          <w:tab w:pos="424" w:val="left" w:leader="none"/>
        </w:tabs>
        <w:spacing w:line="228" w:lineRule="exact" w:before="112" w:after="0"/>
        <w:ind w:left="424" w:right="0" w:hanging="283"/>
        <w:jc w:val="both"/>
        <w:rPr>
          <w:i/>
          <w:sz w:val="20"/>
        </w:rPr>
      </w:pPr>
      <w:r>
        <w:rPr>
          <w:i/>
          <w:color w:val="231F20"/>
          <w:sz w:val="20"/>
        </w:rPr>
        <w:t>Выберите</w:t>
      </w:r>
      <w:r>
        <w:rPr>
          <w:i/>
          <w:color w:val="231F20"/>
          <w:spacing w:val="-3"/>
          <w:sz w:val="20"/>
        </w:rPr>
        <w:t> </w:t>
      </w:r>
      <w:r>
        <w:rPr>
          <w:i/>
          <w:color w:val="231F20"/>
          <w:sz w:val="20"/>
        </w:rPr>
        <w:t>тему</w:t>
      </w:r>
      <w:r>
        <w:rPr>
          <w:i/>
          <w:color w:val="231F20"/>
          <w:spacing w:val="-3"/>
          <w:sz w:val="20"/>
        </w:rPr>
        <w:t> </w:t>
      </w:r>
      <w:r>
        <w:rPr>
          <w:i/>
          <w:color w:val="231F20"/>
          <w:sz w:val="20"/>
        </w:rPr>
        <w:t>«Живой</w:t>
      </w:r>
      <w:r>
        <w:rPr>
          <w:i/>
          <w:color w:val="231F20"/>
          <w:spacing w:val="-2"/>
          <w:sz w:val="20"/>
        </w:rPr>
        <w:t> </w:t>
      </w:r>
      <w:r>
        <w:rPr>
          <w:i/>
          <w:color w:val="231F20"/>
          <w:sz w:val="20"/>
        </w:rPr>
        <w:t>библиотеки»</w:t>
      </w:r>
      <w:r>
        <w:rPr>
          <w:i/>
          <w:color w:val="231F20"/>
          <w:spacing w:val="-3"/>
          <w:sz w:val="20"/>
        </w:rPr>
        <w:t> </w:t>
      </w:r>
      <w:r>
        <w:rPr>
          <w:i/>
          <w:color w:val="231F20"/>
          <w:sz w:val="20"/>
        </w:rPr>
        <w:t>и</w:t>
      </w:r>
      <w:r>
        <w:rPr>
          <w:i/>
          <w:color w:val="231F20"/>
          <w:spacing w:val="-3"/>
          <w:sz w:val="20"/>
        </w:rPr>
        <w:t> </w:t>
      </w:r>
      <w:r>
        <w:rPr>
          <w:i/>
          <w:color w:val="231F20"/>
          <w:sz w:val="20"/>
        </w:rPr>
        <w:t>найдите</w:t>
      </w:r>
      <w:r>
        <w:rPr>
          <w:i/>
          <w:color w:val="231F20"/>
          <w:spacing w:val="-2"/>
          <w:sz w:val="20"/>
        </w:rPr>
        <w:t> «Книги»</w:t>
      </w:r>
    </w:p>
    <w:p>
      <w:pPr>
        <w:pStyle w:val="BodyText"/>
        <w:spacing w:line="235" w:lineRule="auto" w:before="2"/>
      </w:pPr>
      <w:r>
        <w:rPr>
          <w:color w:val="231F20"/>
        </w:rPr>
        <w:t>Тут</w:t>
      </w:r>
      <w:r>
        <w:rPr>
          <w:color w:val="231F20"/>
          <w:spacing w:val="-3"/>
        </w:rPr>
        <w:t> </w:t>
      </w:r>
      <w:r>
        <w:rPr>
          <w:color w:val="231F20"/>
        </w:rPr>
        <w:t>тематика</w:t>
      </w:r>
      <w:r>
        <w:rPr>
          <w:color w:val="231F20"/>
          <w:spacing w:val="-3"/>
        </w:rPr>
        <w:t> </w:t>
      </w:r>
      <w:r>
        <w:rPr>
          <w:color w:val="231F20"/>
        </w:rPr>
        <w:t>не</w:t>
      </w:r>
      <w:r>
        <w:rPr>
          <w:color w:val="231F20"/>
          <w:spacing w:val="-3"/>
        </w:rPr>
        <w:t> </w:t>
      </w:r>
      <w:r>
        <w:rPr>
          <w:color w:val="231F20"/>
        </w:rPr>
        <w:t>ограничена!</w:t>
      </w:r>
      <w:r>
        <w:rPr>
          <w:color w:val="231F20"/>
          <w:spacing w:val="-3"/>
        </w:rPr>
        <w:t> </w:t>
      </w:r>
      <w:r>
        <w:rPr>
          <w:color w:val="231F20"/>
        </w:rPr>
        <w:t>Это</w:t>
      </w:r>
      <w:r>
        <w:rPr>
          <w:color w:val="231F20"/>
          <w:spacing w:val="-3"/>
        </w:rPr>
        <w:t> </w:t>
      </w:r>
      <w:r>
        <w:rPr>
          <w:color w:val="231F20"/>
        </w:rPr>
        <w:t>может</w:t>
      </w:r>
      <w:r>
        <w:rPr>
          <w:color w:val="231F20"/>
          <w:spacing w:val="-3"/>
        </w:rPr>
        <w:t> </w:t>
      </w:r>
      <w:r>
        <w:rPr>
          <w:color w:val="231F20"/>
        </w:rPr>
        <w:t>быть</w:t>
      </w:r>
      <w:r>
        <w:rPr>
          <w:color w:val="231F20"/>
          <w:spacing w:val="-3"/>
        </w:rPr>
        <w:t> </w:t>
      </w:r>
      <w:r>
        <w:rPr>
          <w:color w:val="231F20"/>
        </w:rPr>
        <w:t>«монотема»</w:t>
      </w:r>
      <w:r>
        <w:rPr>
          <w:color w:val="231F20"/>
          <w:spacing w:val="-3"/>
        </w:rPr>
        <w:t> </w:t>
      </w:r>
      <w:r>
        <w:rPr>
          <w:color w:val="231F20"/>
        </w:rPr>
        <w:t>(например,</w:t>
      </w:r>
      <w:r>
        <w:rPr>
          <w:color w:val="231F20"/>
          <w:spacing w:val="-3"/>
        </w:rPr>
        <w:t> </w:t>
      </w:r>
      <w:r>
        <w:rPr>
          <w:color w:val="231F20"/>
        </w:rPr>
        <w:t>«Жизнь</w:t>
      </w:r>
      <w:r>
        <w:rPr>
          <w:color w:val="231F20"/>
          <w:spacing w:val="-3"/>
        </w:rPr>
        <w:t> </w:t>
      </w:r>
      <w:r>
        <w:rPr>
          <w:color w:val="231F20"/>
        </w:rPr>
        <w:t>со- временного шахтера») или тема, предполагающая подборку разных «книг» (напри- мер, «Мой опыт миграции»).</w:t>
      </w:r>
    </w:p>
    <w:p>
      <w:pPr>
        <w:pStyle w:val="BodyText"/>
        <w:spacing w:line="235" w:lineRule="auto" w:before="2"/>
      </w:pPr>
      <w:r>
        <w:rPr>
          <w:color w:val="231F20"/>
        </w:rPr>
        <w:t>Тема</w:t>
      </w:r>
      <w:r>
        <w:rPr>
          <w:color w:val="231F20"/>
          <w:spacing w:val="-8"/>
        </w:rPr>
        <w:t> </w:t>
      </w:r>
      <w:r>
        <w:rPr>
          <w:color w:val="231F20"/>
        </w:rPr>
        <w:t>живой</w:t>
      </w:r>
      <w:r>
        <w:rPr>
          <w:color w:val="231F20"/>
          <w:spacing w:val="-8"/>
        </w:rPr>
        <w:t> </w:t>
      </w:r>
      <w:r>
        <w:rPr>
          <w:color w:val="231F20"/>
        </w:rPr>
        <w:t>библиотеки</w:t>
      </w:r>
      <w:r>
        <w:rPr>
          <w:color w:val="231F20"/>
          <w:spacing w:val="-9"/>
        </w:rPr>
        <w:t> </w:t>
      </w:r>
      <w:r>
        <w:rPr>
          <w:color w:val="231F20"/>
        </w:rPr>
        <w:t>зависит</w:t>
      </w:r>
      <w:r>
        <w:rPr>
          <w:color w:val="231F20"/>
          <w:spacing w:val="-8"/>
        </w:rPr>
        <w:t> </w:t>
      </w:r>
      <w:r>
        <w:rPr>
          <w:color w:val="231F20"/>
        </w:rPr>
        <w:t>от</w:t>
      </w:r>
      <w:r>
        <w:rPr>
          <w:color w:val="231F20"/>
          <w:spacing w:val="-8"/>
        </w:rPr>
        <w:t> </w:t>
      </w:r>
      <w:r>
        <w:rPr>
          <w:color w:val="231F20"/>
        </w:rPr>
        <w:t>задач,</w:t>
      </w:r>
      <w:r>
        <w:rPr>
          <w:color w:val="231F20"/>
          <w:spacing w:val="-8"/>
        </w:rPr>
        <w:t> </w:t>
      </w:r>
      <w:r>
        <w:rPr>
          <w:color w:val="231F20"/>
        </w:rPr>
        <w:t>которые</w:t>
      </w:r>
      <w:r>
        <w:rPr>
          <w:color w:val="231F20"/>
          <w:spacing w:val="-8"/>
        </w:rPr>
        <w:t> </w:t>
      </w:r>
      <w:r>
        <w:rPr>
          <w:color w:val="231F20"/>
        </w:rPr>
        <w:t>вы</w:t>
      </w:r>
      <w:r>
        <w:rPr>
          <w:color w:val="231F20"/>
          <w:spacing w:val="-8"/>
        </w:rPr>
        <w:t> </w:t>
      </w:r>
      <w:r>
        <w:rPr>
          <w:color w:val="231F20"/>
        </w:rPr>
        <w:t>ставите,</w:t>
      </w:r>
      <w:r>
        <w:rPr>
          <w:color w:val="231F20"/>
          <w:spacing w:val="-9"/>
        </w:rPr>
        <w:t> </w:t>
      </w:r>
      <w:r>
        <w:rPr>
          <w:color w:val="231F20"/>
        </w:rPr>
        <w:t>так</w:t>
      </w:r>
      <w:r>
        <w:rPr>
          <w:color w:val="231F20"/>
          <w:spacing w:val="-9"/>
        </w:rPr>
        <w:t> </w:t>
      </w:r>
      <w:r>
        <w:rPr>
          <w:color w:val="231F20"/>
        </w:rPr>
        <w:t>как</w:t>
      </w:r>
      <w:r>
        <w:rPr>
          <w:color w:val="231F20"/>
          <w:spacing w:val="-8"/>
        </w:rPr>
        <w:t> </w:t>
      </w:r>
      <w:r>
        <w:rPr>
          <w:color w:val="231F20"/>
        </w:rPr>
        <w:t>«Живая</w:t>
      </w:r>
      <w:r>
        <w:rPr>
          <w:color w:val="231F20"/>
          <w:spacing w:val="-9"/>
        </w:rPr>
        <w:t> </w:t>
      </w:r>
      <w:r>
        <w:rPr>
          <w:color w:val="231F20"/>
        </w:rPr>
        <w:t>би- блиотека»</w:t>
      </w:r>
      <w:r>
        <w:rPr>
          <w:color w:val="231F20"/>
          <w:spacing w:val="-12"/>
        </w:rPr>
        <w:t> </w:t>
      </w:r>
      <w:r>
        <w:rPr>
          <w:color w:val="231F20"/>
        </w:rPr>
        <w:t>–</w:t>
      </w:r>
      <w:r>
        <w:rPr>
          <w:color w:val="231F20"/>
          <w:spacing w:val="-12"/>
        </w:rPr>
        <w:t> </w:t>
      </w:r>
      <w:r>
        <w:rPr>
          <w:color w:val="231F20"/>
        </w:rPr>
        <w:t>это</w:t>
      </w:r>
      <w:r>
        <w:rPr>
          <w:color w:val="231F20"/>
          <w:spacing w:val="-12"/>
        </w:rPr>
        <w:t> </w:t>
      </w:r>
      <w:r>
        <w:rPr>
          <w:color w:val="231F20"/>
        </w:rPr>
        <w:t>не</w:t>
      </w:r>
      <w:r>
        <w:rPr>
          <w:color w:val="231F20"/>
          <w:spacing w:val="-12"/>
        </w:rPr>
        <w:t> </w:t>
      </w:r>
      <w:r>
        <w:rPr>
          <w:color w:val="231F20"/>
        </w:rPr>
        <w:t>только</w:t>
      </w:r>
      <w:r>
        <w:rPr>
          <w:color w:val="231F20"/>
          <w:spacing w:val="-12"/>
        </w:rPr>
        <w:t> </w:t>
      </w:r>
      <w:r>
        <w:rPr>
          <w:color w:val="231F20"/>
        </w:rPr>
        <w:t>очень</w:t>
      </w:r>
      <w:r>
        <w:rPr>
          <w:color w:val="231F20"/>
          <w:spacing w:val="-12"/>
        </w:rPr>
        <w:t> </w:t>
      </w:r>
      <w:r>
        <w:rPr>
          <w:color w:val="231F20"/>
        </w:rPr>
        <w:t>интересно,</w:t>
      </w:r>
      <w:r>
        <w:rPr>
          <w:color w:val="231F20"/>
          <w:spacing w:val="-12"/>
        </w:rPr>
        <w:t> </w:t>
      </w:r>
      <w:r>
        <w:rPr>
          <w:color w:val="231F20"/>
        </w:rPr>
        <w:t>но</w:t>
      </w:r>
      <w:r>
        <w:rPr>
          <w:color w:val="231F20"/>
          <w:spacing w:val="-12"/>
        </w:rPr>
        <w:t> </w:t>
      </w:r>
      <w:r>
        <w:rPr>
          <w:color w:val="231F20"/>
        </w:rPr>
        <w:t>и</w:t>
      </w:r>
      <w:r>
        <w:rPr>
          <w:color w:val="231F20"/>
          <w:spacing w:val="-12"/>
        </w:rPr>
        <w:t> </w:t>
      </w:r>
      <w:r>
        <w:rPr>
          <w:color w:val="231F20"/>
        </w:rPr>
        <w:t>полезно:</w:t>
      </w:r>
      <w:r>
        <w:rPr>
          <w:color w:val="231F20"/>
          <w:spacing w:val="-12"/>
        </w:rPr>
        <w:t> </w:t>
      </w:r>
      <w:r>
        <w:rPr>
          <w:color w:val="231F20"/>
        </w:rPr>
        <w:t>помогает</w:t>
      </w:r>
      <w:r>
        <w:rPr>
          <w:color w:val="231F20"/>
          <w:spacing w:val="-12"/>
        </w:rPr>
        <w:t> </w:t>
      </w:r>
      <w:r>
        <w:rPr>
          <w:color w:val="231F20"/>
        </w:rPr>
        <w:t>сделать</w:t>
      </w:r>
      <w:r>
        <w:rPr>
          <w:color w:val="231F20"/>
          <w:spacing w:val="-12"/>
        </w:rPr>
        <w:t> </w:t>
      </w:r>
      <w:r>
        <w:rPr>
          <w:color w:val="231F20"/>
        </w:rPr>
        <w:t>знакомым неизвестное. Таким образом, можно наладить отношения с тем, кто казался чужим.</w:t>
      </w:r>
    </w:p>
    <w:p>
      <w:pPr>
        <w:pStyle w:val="BodyText"/>
        <w:spacing w:line="235" w:lineRule="auto" w:before="2"/>
      </w:pPr>
      <w:r>
        <w:rPr>
          <w:color w:val="231F20"/>
        </w:rPr>
        <w:t>В</w:t>
      </w:r>
      <w:r>
        <w:rPr>
          <w:color w:val="231F20"/>
          <w:spacing w:val="-2"/>
        </w:rPr>
        <w:t> </w:t>
      </w:r>
      <w:r>
        <w:rPr>
          <w:color w:val="231F20"/>
        </w:rPr>
        <w:t>классе,</w:t>
      </w:r>
      <w:r>
        <w:rPr>
          <w:color w:val="231F20"/>
          <w:spacing w:val="-2"/>
        </w:rPr>
        <w:t> </w:t>
      </w:r>
      <w:r>
        <w:rPr>
          <w:color w:val="231F20"/>
        </w:rPr>
        <w:t>где</w:t>
      </w:r>
      <w:r>
        <w:rPr>
          <w:color w:val="231F20"/>
          <w:spacing w:val="-2"/>
        </w:rPr>
        <w:t> </w:t>
      </w:r>
      <w:r>
        <w:rPr>
          <w:color w:val="231F20"/>
        </w:rPr>
        <w:t>есть</w:t>
      </w:r>
      <w:r>
        <w:rPr>
          <w:color w:val="231F20"/>
          <w:spacing w:val="-2"/>
        </w:rPr>
        <w:t> </w:t>
      </w:r>
      <w:r>
        <w:rPr>
          <w:color w:val="231F20"/>
        </w:rPr>
        <w:t>дети-мигранты,</w:t>
      </w:r>
      <w:r>
        <w:rPr>
          <w:color w:val="231F20"/>
          <w:spacing w:val="-2"/>
        </w:rPr>
        <w:t> </w:t>
      </w:r>
      <w:r>
        <w:rPr>
          <w:color w:val="231F20"/>
        </w:rPr>
        <w:t>рекомендуется</w:t>
      </w:r>
      <w:r>
        <w:rPr>
          <w:color w:val="231F20"/>
          <w:spacing w:val="-2"/>
        </w:rPr>
        <w:t> </w:t>
      </w:r>
      <w:r>
        <w:rPr>
          <w:color w:val="231F20"/>
        </w:rPr>
        <w:t>провести</w:t>
      </w:r>
      <w:r>
        <w:rPr>
          <w:color w:val="231F20"/>
          <w:spacing w:val="-2"/>
        </w:rPr>
        <w:t> </w:t>
      </w:r>
      <w:r>
        <w:rPr>
          <w:color w:val="231F20"/>
        </w:rPr>
        <w:t>«Живую</w:t>
      </w:r>
      <w:r>
        <w:rPr>
          <w:color w:val="231F20"/>
          <w:spacing w:val="-2"/>
        </w:rPr>
        <w:t> </w:t>
      </w:r>
      <w:r>
        <w:rPr>
          <w:color w:val="231F20"/>
        </w:rPr>
        <w:t>библиотеку» на тему миграции. Это может быть, например, цикл встреч на тему «Наша жизнь на новом месте». В этих встречах «Книгами» могут выступать как сами дети, так и их </w:t>
      </w:r>
      <w:r>
        <w:rPr>
          <w:color w:val="231F20"/>
          <w:spacing w:val="-2"/>
        </w:rPr>
        <w:t>родители.</w:t>
      </w:r>
    </w:p>
    <w:p>
      <w:pPr>
        <w:pStyle w:val="BodyText"/>
        <w:spacing w:line="237" w:lineRule="auto"/>
      </w:pPr>
      <w:r>
        <w:rPr>
          <w:color w:val="231F20"/>
          <w:spacing w:val="-2"/>
        </w:rPr>
        <w:t>Если</w:t>
      </w:r>
      <w:r>
        <w:rPr>
          <w:color w:val="231F20"/>
          <w:spacing w:val="-9"/>
        </w:rPr>
        <w:t> </w:t>
      </w:r>
      <w:r>
        <w:rPr>
          <w:color w:val="231F20"/>
          <w:spacing w:val="-2"/>
        </w:rPr>
        <w:t>приглашать</w:t>
      </w:r>
      <w:r>
        <w:rPr>
          <w:color w:val="231F20"/>
          <w:spacing w:val="-9"/>
        </w:rPr>
        <w:t> </w:t>
      </w:r>
      <w:r>
        <w:rPr>
          <w:color w:val="231F20"/>
          <w:spacing w:val="-2"/>
        </w:rPr>
        <w:t>детей,</w:t>
      </w:r>
      <w:r>
        <w:rPr>
          <w:color w:val="231F20"/>
          <w:spacing w:val="-9"/>
        </w:rPr>
        <w:t> </w:t>
      </w:r>
      <w:r>
        <w:rPr>
          <w:color w:val="231F20"/>
          <w:spacing w:val="-2"/>
        </w:rPr>
        <w:t>необходимо</w:t>
      </w:r>
      <w:r>
        <w:rPr>
          <w:color w:val="231F20"/>
          <w:spacing w:val="-9"/>
        </w:rPr>
        <w:t> </w:t>
      </w:r>
      <w:r>
        <w:rPr>
          <w:color w:val="231F20"/>
          <w:spacing w:val="-2"/>
        </w:rPr>
        <w:t>оценить,</w:t>
      </w:r>
      <w:r>
        <w:rPr>
          <w:color w:val="231F20"/>
          <w:spacing w:val="-9"/>
        </w:rPr>
        <w:t> </w:t>
      </w:r>
      <w:r>
        <w:rPr>
          <w:color w:val="231F20"/>
          <w:spacing w:val="-2"/>
        </w:rPr>
        <w:t>насколько</w:t>
      </w:r>
      <w:r>
        <w:rPr>
          <w:color w:val="231F20"/>
          <w:spacing w:val="-9"/>
        </w:rPr>
        <w:t> </w:t>
      </w:r>
      <w:r>
        <w:rPr>
          <w:color w:val="231F20"/>
          <w:spacing w:val="-2"/>
        </w:rPr>
        <w:t>им</w:t>
      </w:r>
      <w:r>
        <w:rPr>
          <w:color w:val="231F20"/>
          <w:spacing w:val="-9"/>
        </w:rPr>
        <w:t> </w:t>
      </w:r>
      <w:r>
        <w:rPr>
          <w:color w:val="231F20"/>
          <w:spacing w:val="-2"/>
        </w:rPr>
        <w:t>легко</w:t>
      </w:r>
      <w:r>
        <w:rPr>
          <w:color w:val="231F20"/>
          <w:spacing w:val="-9"/>
        </w:rPr>
        <w:t> </w:t>
      </w:r>
      <w:r>
        <w:rPr>
          <w:color w:val="231F20"/>
          <w:spacing w:val="-2"/>
        </w:rPr>
        <w:t>будет</w:t>
      </w:r>
      <w:r>
        <w:rPr>
          <w:color w:val="231F20"/>
          <w:spacing w:val="-9"/>
        </w:rPr>
        <w:t> </w:t>
      </w:r>
      <w:r>
        <w:rPr>
          <w:color w:val="231F20"/>
          <w:spacing w:val="-2"/>
        </w:rPr>
        <w:t>справиться </w:t>
      </w:r>
      <w:r>
        <w:rPr>
          <w:color w:val="231F20"/>
        </w:rPr>
        <w:t>с</w:t>
      </w:r>
      <w:r>
        <w:rPr>
          <w:color w:val="231F20"/>
          <w:spacing w:val="-6"/>
        </w:rPr>
        <w:t> </w:t>
      </w:r>
      <w:r>
        <w:rPr>
          <w:color w:val="231F20"/>
        </w:rPr>
        <w:t>задачей</w:t>
      </w:r>
      <w:r>
        <w:rPr>
          <w:color w:val="231F20"/>
          <w:spacing w:val="-6"/>
        </w:rPr>
        <w:t> </w:t>
      </w:r>
      <w:r>
        <w:rPr>
          <w:color w:val="231F20"/>
        </w:rPr>
        <w:t>рассказать</w:t>
      </w:r>
      <w:r>
        <w:rPr>
          <w:color w:val="231F20"/>
          <w:spacing w:val="-6"/>
        </w:rPr>
        <w:t> </w:t>
      </w:r>
      <w:r>
        <w:rPr>
          <w:color w:val="231F20"/>
        </w:rPr>
        <w:t>о</w:t>
      </w:r>
      <w:r>
        <w:rPr>
          <w:color w:val="231F20"/>
          <w:spacing w:val="-6"/>
        </w:rPr>
        <w:t> </w:t>
      </w:r>
      <w:r>
        <w:rPr>
          <w:color w:val="231F20"/>
        </w:rPr>
        <w:t>себе</w:t>
      </w:r>
      <w:r>
        <w:rPr>
          <w:color w:val="231F20"/>
          <w:spacing w:val="-6"/>
        </w:rPr>
        <w:t> </w:t>
      </w:r>
      <w:r>
        <w:rPr>
          <w:color w:val="231F20"/>
        </w:rPr>
        <w:t>–</w:t>
      </w:r>
      <w:r>
        <w:rPr>
          <w:color w:val="231F20"/>
          <w:spacing w:val="-6"/>
        </w:rPr>
        <w:t> </w:t>
      </w:r>
      <w:r>
        <w:rPr>
          <w:color w:val="231F20"/>
        </w:rPr>
        <w:t>из-за</w:t>
      </w:r>
      <w:r>
        <w:rPr>
          <w:color w:val="231F20"/>
          <w:spacing w:val="-6"/>
        </w:rPr>
        <w:t> </w:t>
      </w:r>
      <w:r>
        <w:rPr>
          <w:color w:val="231F20"/>
        </w:rPr>
        <w:t>возраста</w:t>
      </w:r>
      <w:r>
        <w:rPr>
          <w:color w:val="231F20"/>
          <w:spacing w:val="-6"/>
        </w:rPr>
        <w:t> </w:t>
      </w:r>
      <w:r>
        <w:rPr>
          <w:color w:val="231F20"/>
        </w:rPr>
        <w:t>и</w:t>
      </w:r>
      <w:r>
        <w:rPr>
          <w:color w:val="231F20"/>
          <w:spacing w:val="-6"/>
        </w:rPr>
        <w:t> </w:t>
      </w:r>
      <w:r>
        <w:rPr>
          <w:color w:val="231F20"/>
        </w:rPr>
        <w:t>характера</w:t>
      </w:r>
      <w:r>
        <w:rPr>
          <w:color w:val="231F20"/>
          <w:spacing w:val="-6"/>
        </w:rPr>
        <w:t> </w:t>
      </w:r>
      <w:r>
        <w:rPr>
          <w:color w:val="231F20"/>
        </w:rPr>
        <w:t>личных</w:t>
      </w:r>
      <w:r>
        <w:rPr>
          <w:color w:val="231F20"/>
          <w:spacing w:val="-6"/>
        </w:rPr>
        <w:t> </w:t>
      </w:r>
      <w:r>
        <w:rPr>
          <w:color w:val="231F20"/>
        </w:rPr>
        <w:t>переживаний.</w:t>
      </w:r>
      <w:r>
        <w:rPr>
          <w:color w:val="231F20"/>
          <w:spacing w:val="-6"/>
        </w:rPr>
        <w:t> </w:t>
      </w:r>
      <w:r>
        <w:rPr>
          <w:color w:val="231F20"/>
        </w:rPr>
        <w:t>Чтобы оценить</w:t>
      </w:r>
      <w:r>
        <w:rPr>
          <w:color w:val="231F20"/>
          <w:spacing w:val="-13"/>
        </w:rPr>
        <w:t> </w:t>
      </w:r>
      <w:r>
        <w:rPr>
          <w:color w:val="231F20"/>
        </w:rPr>
        <w:t>готовность</w:t>
      </w:r>
      <w:r>
        <w:rPr>
          <w:color w:val="231F20"/>
          <w:spacing w:val="-12"/>
        </w:rPr>
        <w:t> </w:t>
      </w:r>
      <w:r>
        <w:rPr>
          <w:color w:val="231F20"/>
        </w:rPr>
        <w:t>ребенка</w:t>
      </w:r>
      <w:r>
        <w:rPr>
          <w:color w:val="231F20"/>
          <w:spacing w:val="-13"/>
        </w:rPr>
        <w:t> </w:t>
      </w:r>
      <w:r>
        <w:rPr>
          <w:color w:val="231F20"/>
        </w:rPr>
        <w:t>из</w:t>
      </w:r>
      <w:r>
        <w:rPr>
          <w:color w:val="231F20"/>
          <w:spacing w:val="-12"/>
        </w:rPr>
        <w:t> </w:t>
      </w:r>
      <w:r>
        <w:rPr>
          <w:color w:val="231F20"/>
        </w:rPr>
        <w:t>семьи</w:t>
      </w:r>
      <w:r>
        <w:rPr>
          <w:color w:val="231F20"/>
          <w:spacing w:val="-13"/>
        </w:rPr>
        <w:t> </w:t>
      </w:r>
      <w:r>
        <w:rPr>
          <w:color w:val="231F20"/>
        </w:rPr>
        <w:t>мигрантов</w:t>
      </w:r>
      <w:r>
        <w:rPr>
          <w:color w:val="231F20"/>
          <w:spacing w:val="-12"/>
        </w:rPr>
        <w:t> </w:t>
      </w:r>
      <w:r>
        <w:rPr>
          <w:color w:val="231F20"/>
        </w:rPr>
        <w:t>быть</w:t>
      </w:r>
      <w:r>
        <w:rPr>
          <w:color w:val="231F20"/>
          <w:spacing w:val="-13"/>
        </w:rPr>
        <w:t> </w:t>
      </w:r>
      <w:r>
        <w:rPr>
          <w:color w:val="231F20"/>
        </w:rPr>
        <w:t>«Книгой»,</w:t>
      </w:r>
      <w:r>
        <w:rPr>
          <w:color w:val="231F20"/>
          <w:spacing w:val="-12"/>
        </w:rPr>
        <w:t> </w:t>
      </w:r>
      <w:r>
        <w:rPr>
          <w:color w:val="231F20"/>
        </w:rPr>
        <w:t>может</w:t>
      </w:r>
      <w:r>
        <w:rPr>
          <w:color w:val="231F20"/>
          <w:spacing w:val="-13"/>
        </w:rPr>
        <w:t> </w:t>
      </w:r>
      <w:r>
        <w:rPr>
          <w:color w:val="231F20"/>
        </w:rPr>
        <w:t>понадобиться помощь</w:t>
      </w:r>
      <w:r>
        <w:rPr>
          <w:color w:val="231F20"/>
          <w:spacing w:val="-11"/>
        </w:rPr>
        <w:t> </w:t>
      </w:r>
      <w:r>
        <w:rPr>
          <w:color w:val="231F20"/>
        </w:rPr>
        <w:t>психолога.</w:t>
      </w:r>
      <w:r>
        <w:rPr>
          <w:color w:val="231F20"/>
          <w:spacing w:val="-11"/>
        </w:rPr>
        <w:t> </w:t>
      </w:r>
      <w:r>
        <w:rPr>
          <w:color w:val="231F20"/>
        </w:rPr>
        <w:t>В</w:t>
      </w:r>
      <w:r>
        <w:rPr>
          <w:color w:val="231F20"/>
          <w:spacing w:val="-11"/>
        </w:rPr>
        <w:t> </w:t>
      </w:r>
      <w:r>
        <w:rPr>
          <w:color w:val="231F20"/>
        </w:rPr>
        <w:t>ходе</w:t>
      </w:r>
      <w:r>
        <w:rPr>
          <w:color w:val="231F20"/>
          <w:spacing w:val="-11"/>
        </w:rPr>
        <w:t> </w:t>
      </w:r>
      <w:r>
        <w:rPr>
          <w:color w:val="231F20"/>
        </w:rPr>
        <w:t>этой</w:t>
      </w:r>
      <w:r>
        <w:rPr>
          <w:color w:val="231F20"/>
          <w:spacing w:val="-11"/>
        </w:rPr>
        <w:t> </w:t>
      </w:r>
      <w:r>
        <w:rPr>
          <w:color w:val="231F20"/>
        </w:rPr>
        <w:t>«Живой</w:t>
      </w:r>
      <w:r>
        <w:rPr>
          <w:color w:val="231F20"/>
          <w:spacing w:val="-11"/>
        </w:rPr>
        <w:t> </w:t>
      </w:r>
      <w:r>
        <w:rPr>
          <w:color w:val="231F20"/>
        </w:rPr>
        <w:t>библиотеки»</w:t>
      </w:r>
      <w:r>
        <w:rPr>
          <w:color w:val="231F20"/>
          <w:spacing w:val="-11"/>
        </w:rPr>
        <w:t> </w:t>
      </w:r>
      <w:r>
        <w:rPr>
          <w:color w:val="231F20"/>
        </w:rPr>
        <w:t>они</w:t>
      </w:r>
      <w:r>
        <w:rPr>
          <w:color w:val="231F20"/>
          <w:spacing w:val="-11"/>
        </w:rPr>
        <w:t> </w:t>
      </w:r>
      <w:r>
        <w:rPr>
          <w:color w:val="231F20"/>
        </w:rPr>
        <w:t>могут</w:t>
      </w:r>
      <w:r>
        <w:rPr>
          <w:color w:val="231F20"/>
          <w:spacing w:val="-11"/>
        </w:rPr>
        <w:t> </w:t>
      </w:r>
      <w:r>
        <w:rPr>
          <w:color w:val="231F20"/>
        </w:rPr>
        <w:t>рассказать</w:t>
      </w:r>
      <w:r>
        <w:rPr>
          <w:color w:val="231F20"/>
          <w:spacing w:val="-11"/>
        </w:rPr>
        <w:t> </w:t>
      </w:r>
      <w:r>
        <w:rPr>
          <w:color w:val="231F20"/>
        </w:rPr>
        <w:t>о</w:t>
      </w:r>
      <w:r>
        <w:rPr>
          <w:color w:val="231F20"/>
          <w:spacing w:val="-11"/>
        </w:rPr>
        <w:t> </w:t>
      </w:r>
      <w:r>
        <w:rPr>
          <w:color w:val="231F20"/>
        </w:rPr>
        <w:t>том,</w:t>
      </w:r>
      <w:r>
        <w:rPr>
          <w:color w:val="231F20"/>
          <w:spacing w:val="-11"/>
        </w:rPr>
        <w:t> </w:t>
      </w:r>
      <w:r>
        <w:rPr>
          <w:color w:val="231F20"/>
        </w:rPr>
        <w:t>что переживали</w:t>
      </w:r>
      <w:r>
        <w:rPr>
          <w:color w:val="231F20"/>
          <w:spacing w:val="-3"/>
        </w:rPr>
        <w:t> </w:t>
      </w:r>
      <w:r>
        <w:rPr>
          <w:color w:val="231F20"/>
        </w:rPr>
        <w:t>при</w:t>
      </w:r>
      <w:r>
        <w:rPr>
          <w:color w:val="231F20"/>
          <w:spacing w:val="-3"/>
        </w:rPr>
        <w:t> </w:t>
      </w:r>
      <w:r>
        <w:rPr>
          <w:color w:val="231F20"/>
        </w:rPr>
        <w:t>переезде,</w:t>
      </w:r>
      <w:r>
        <w:rPr>
          <w:color w:val="231F20"/>
          <w:spacing w:val="-4"/>
        </w:rPr>
        <w:t> </w:t>
      </w:r>
      <w:r>
        <w:rPr>
          <w:color w:val="231F20"/>
        </w:rPr>
        <w:t>как</w:t>
      </w:r>
      <w:r>
        <w:rPr>
          <w:color w:val="231F20"/>
          <w:spacing w:val="-3"/>
        </w:rPr>
        <w:t> </w:t>
      </w:r>
      <w:r>
        <w:rPr>
          <w:color w:val="231F20"/>
        </w:rPr>
        <w:t>воспринимают</w:t>
      </w:r>
      <w:r>
        <w:rPr>
          <w:color w:val="231F20"/>
          <w:spacing w:val="-3"/>
        </w:rPr>
        <w:t> </w:t>
      </w:r>
      <w:r>
        <w:rPr>
          <w:color w:val="231F20"/>
        </w:rPr>
        <w:t>новизну</w:t>
      </w:r>
      <w:r>
        <w:rPr>
          <w:color w:val="231F20"/>
          <w:spacing w:val="-4"/>
        </w:rPr>
        <w:t> </w:t>
      </w:r>
      <w:r>
        <w:rPr>
          <w:color w:val="231F20"/>
        </w:rPr>
        <w:t>разных</w:t>
      </w:r>
      <w:r>
        <w:rPr>
          <w:color w:val="231F20"/>
          <w:spacing w:val="-3"/>
        </w:rPr>
        <w:t> </w:t>
      </w:r>
      <w:r>
        <w:rPr>
          <w:color w:val="231F20"/>
        </w:rPr>
        <w:t>вещей,</w:t>
      </w:r>
      <w:r>
        <w:rPr>
          <w:color w:val="231F20"/>
          <w:spacing w:val="-3"/>
        </w:rPr>
        <w:t> </w:t>
      </w:r>
      <w:r>
        <w:rPr>
          <w:color w:val="231F20"/>
        </w:rPr>
        <w:t>находят</w:t>
      </w:r>
      <w:r>
        <w:rPr>
          <w:color w:val="231F20"/>
          <w:spacing w:val="-4"/>
        </w:rPr>
        <w:t> </w:t>
      </w:r>
      <w:r>
        <w:rPr>
          <w:color w:val="231F20"/>
        </w:rPr>
        <w:t>общий язык с новыми друзьями, какие были сложности, что нравится.</w:t>
      </w:r>
    </w:p>
    <w:p>
      <w:pPr>
        <w:pStyle w:val="BodyText"/>
        <w:spacing w:before="4"/>
      </w:pPr>
      <w:r>
        <w:rPr>
          <w:color w:val="231F20"/>
        </w:rPr>
        <w:t>«Семейная живая библиотека», на которую приглашены «Книгами» родители из семей</w:t>
      </w:r>
      <w:r>
        <w:rPr>
          <w:color w:val="231F20"/>
          <w:spacing w:val="-13"/>
        </w:rPr>
        <w:t> </w:t>
      </w:r>
      <w:r>
        <w:rPr>
          <w:color w:val="231F20"/>
        </w:rPr>
        <w:t>мигрантов,</w:t>
      </w:r>
      <w:r>
        <w:rPr>
          <w:color w:val="231F20"/>
          <w:spacing w:val="-12"/>
        </w:rPr>
        <w:t> </w:t>
      </w:r>
      <w:r>
        <w:rPr>
          <w:color w:val="231F20"/>
        </w:rPr>
        <w:t>может</w:t>
      </w:r>
      <w:r>
        <w:rPr>
          <w:color w:val="231F20"/>
          <w:spacing w:val="-13"/>
        </w:rPr>
        <w:t> </w:t>
      </w:r>
      <w:r>
        <w:rPr>
          <w:color w:val="231F20"/>
        </w:rPr>
        <w:t>стать</w:t>
      </w:r>
      <w:r>
        <w:rPr>
          <w:color w:val="231F20"/>
          <w:spacing w:val="-12"/>
        </w:rPr>
        <w:t> </w:t>
      </w:r>
      <w:r>
        <w:rPr>
          <w:color w:val="231F20"/>
        </w:rPr>
        <w:t>очень</w:t>
      </w:r>
      <w:r>
        <w:rPr>
          <w:color w:val="231F20"/>
          <w:spacing w:val="-13"/>
        </w:rPr>
        <w:t> </w:t>
      </w:r>
      <w:r>
        <w:rPr>
          <w:color w:val="231F20"/>
        </w:rPr>
        <w:t>ценным</w:t>
      </w:r>
      <w:r>
        <w:rPr>
          <w:color w:val="231F20"/>
          <w:spacing w:val="-12"/>
        </w:rPr>
        <w:t> </w:t>
      </w:r>
      <w:r>
        <w:rPr>
          <w:color w:val="231F20"/>
        </w:rPr>
        <w:t>ресурсом</w:t>
      </w:r>
      <w:r>
        <w:rPr>
          <w:color w:val="231F20"/>
          <w:spacing w:val="-13"/>
        </w:rPr>
        <w:t> </w:t>
      </w:r>
      <w:r>
        <w:rPr>
          <w:color w:val="231F20"/>
        </w:rPr>
        <w:t>поддержки</w:t>
      </w:r>
      <w:r>
        <w:rPr>
          <w:color w:val="231F20"/>
          <w:spacing w:val="-12"/>
        </w:rPr>
        <w:t> </w:t>
      </w:r>
      <w:r>
        <w:rPr>
          <w:color w:val="231F20"/>
        </w:rPr>
        <w:t>родителей</w:t>
      </w:r>
      <w:r>
        <w:rPr>
          <w:color w:val="231F20"/>
          <w:spacing w:val="-13"/>
        </w:rPr>
        <w:t> </w:t>
      </w:r>
      <w:r>
        <w:rPr>
          <w:color w:val="231F20"/>
        </w:rPr>
        <w:t>в</w:t>
      </w:r>
      <w:r>
        <w:rPr>
          <w:color w:val="231F20"/>
          <w:spacing w:val="-12"/>
        </w:rPr>
        <w:t> </w:t>
      </w:r>
      <w:r>
        <w:rPr>
          <w:color w:val="231F20"/>
        </w:rPr>
        <w:t>той</w:t>
      </w:r>
      <w:r>
        <w:rPr>
          <w:color w:val="231F20"/>
          <w:spacing w:val="-13"/>
        </w:rPr>
        <w:t> </w:t>
      </w:r>
      <w:r>
        <w:rPr>
          <w:color w:val="231F20"/>
        </w:rPr>
        <w:t>же ситуации.</w:t>
      </w:r>
      <w:r>
        <w:rPr>
          <w:color w:val="231F20"/>
          <w:spacing w:val="-12"/>
        </w:rPr>
        <w:t> </w:t>
      </w:r>
      <w:r>
        <w:rPr>
          <w:color w:val="231F20"/>
        </w:rPr>
        <w:t>Как</w:t>
      </w:r>
      <w:r>
        <w:rPr>
          <w:color w:val="231F20"/>
          <w:spacing w:val="-12"/>
        </w:rPr>
        <w:t> </w:t>
      </w:r>
      <w:r>
        <w:rPr>
          <w:color w:val="231F20"/>
        </w:rPr>
        <w:t>«Книги»</w:t>
      </w:r>
      <w:r>
        <w:rPr>
          <w:color w:val="231F20"/>
          <w:spacing w:val="-12"/>
        </w:rPr>
        <w:t> </w:t>
      </w:r>
      <w:r>
        <w:rPr>
          <w:color w:val="231F20"/>
        </w:rPr>
        <w:t>родители</w:t>
      </w:r>
      <w:r>
        <w:rPr>
          <w:color w:val="231F20"/>
          <w:spacing w:val="-12"/>
        </w:rPr>
        <w:t> </w:t>
      </w:r>
      <w:r>
        <w:rPr>
          <w:color w:val="231F20"/>
        </w:rPr>
        <w:t>в</w:t>
      </w:r>
      <w:r>
        <w:rPr>
          <w:color w:val="231F20"/>
          <w:spacing w:val="-12"/>
        </w:rPr>
        <w:t> </w:t>
      </w:r>
      <w:r>
        <w:rPr>
          <w:color w:val="231F20"/>
        </w:rPr>
        <w:t>этом</w:t>
      </w:r>
      <w:r>
        <w:rPr>
          <w:color w:val="231F20"/>
          <w:spacing w:val="-12"/>
        </w:rPr>
        <w:t> </w:t>
      </w:r>
      <w:r>
        <w:rPr>
          <w:color w:val="231F20"/>
        </w:rPr>
        <w:t>формате</w:t>
      </w:r>
      <w:r>
        <w:rPr>
          <w:color w:val="231F20"/>
          <w:spacing w:val="-12"/>
        </w:rPr>
        <w:t> </w:t>
      </w:r>
      <w:r>
        <w:rPr>
          <w:color w:val="231F20"/>
        </w:rPr>
        <w:t>могут</w:t>
      </w:r>
      <w:r>
        <w:rPr>
          <w:color w:val="231F20"/>
          <w:spacing w:val="-12"/>
        </w:rPr>
        <w:t> </w:t>
      </w:r>
      <w:r>
        <w:rPr>
          <w:color w:val="231F20"/>
        </w:rPr>
        <w:t>выступать</w:t>
      </w:r>
      <w:r>
        <w:rPr>
          <w:color w:val="231F20"/>
          <w:spacing w:val="-12"/>
        </w:rPr>
        <w:t> </w:t>
      </w:r>
      <w:r>
        <w:rPr>
          <w:color w:val="231F20"/>
        </w:rPr>
        <w:t>вместе</w:t>
      </w:r>
      <w:r>
        <w:rPr>
          <w:color w:val="231F20"/>
          <w:spacing w:val="-12"/>
        </w:rPr>
        <w:t> </w:t>
      </w:r>
      <w:r>
        <w:rPr>
          <w:color w:val="231F20"/>
        </w:rPr>
        <w:t>или</w:t>
      </w:r>
      <w:r>
        <w:rPr>
          <w:color w:val="231F20"/>
          <w:spacing w:val="-12"/>
        </w:rPr>
        <w:t> </w:t>
      </w:r>
      <w:r>
        <w:rPr>
          <w:color w:val="231F20"/>
        </w:rPr>
        <w:t>отдель- но. Если папа и мама рассказывают историю вместе, они могут обогащать рассказ друг друга, но тогда стоит заранее договориться, кто и о чем скажет. В этом форма- те «Читателями» выступают не школьники и</w:t>
      </w:r>
      <w:r>
        <w:rPr>
          <w:color w:val="231F20"/>
          <w:spacing w:val="-1"/>
        </w:rPr>
        <w:t> </w:t>
      </w:r>
      <w:r>
        <w:rPr>
          <w:color w:val="231F20"/>
        </w:rPr>
        <w:t>в интересах</w:t>
      </w:r>
      <w:r>
        <w:rPr>
          <w:color w:val="231F20"/>
          <w:spacing w:val="-1"/>
        </w:rPr>
        <w:t> </w:t>
      </w:r>
      <w:r>
        <w:rPr>
          <w:color w:val="231F20"/>
        </w:rPr>
        <w:t>детей</w:t>
      </w:r>
      <w:r>
        <w:rPr>
          <w:color w:val="231F20"/>
          <w:spacing w:val="-1"/>
        </w:rPr>
        <w:t> </w:t>
      </w:r>
      <w:r>
        <w:rPr>
          <w:color w:val="231F20"/>
        </w:rPr>
        <w:t>важно</w:t>
      </w:r>
      <w:r>
        <w:rPr>
          <w:color w:val="231F20"/>
          <w:spacing w:val="-1"/>
        </w:rPr>
        <w:t> </w:t>
      </w:r>
      <w:r>
        <w:rPr>
          <w:color w:val="231F20"/>
        </w:rPr>
        <w:t>позаботиться, чтобы</w:t>
      </w:r>
      <w:r>
        <w:rPr>
          <w:color w:val="231F20"/>
          <w:spacing w:val="15"/>
        </w:rPr>
        <w:t> </w:t>
      </w:r>
      <w:r>
        <w:rPr>
          <w:color w:val="231F20"/>
        </w:rPr>
        <w:t>дети</w:t>
      </w:r>
      <w:r>
        <w:rPr>
          <w:color w:val="231F20"/>
          <w:spacing w:val="15"/>
        </w:rPr>
        <w:t> </w:t>
      </w:r>
      <w:r>
        <w:rPr>
          <w:color w:val="231F20"/>
        </w:rPr>
        <w:t>не</w:t>
      </w:r>
      <w:r>
        <w:rPr>
          <w:color w:val="231F20"/>
          <w:spacing w:val="15"/>
        </w:rPr>
        <w:t> </w:t>
      </w:r>
      <w:r>
        <w:rPr>
          <w:color w:val="231F20"/>
        </w:rPr>
        <w:t>пришли</w:t>
      </w:r>
      <w:r>
        <w:rPr>
          <w:color w:val="231F20"/>
          <w:spacing w:val="15"/>
        </w:rPr>
        <w:t> </w:t>
      </w:r>
      <w:r>
        <w:rPr>
          <w:color w:val="231F20"/>
        </w:rPr>
        <w:t>в</w:t>
      </w:r>
      <w:r>
        <w:rPr>
          <w:color w:val="231F20"/>
          <w:spacing w:val="15"/>
        </w:rPr>
        <w:t> </w:t>
      </w:r>
      <w:r>
        <w:rPr>
          <w:color w:val="231F20"/>
        </w:rPr>
        <w:t>качестве</w:t>
      </w:r>
      <w:r>
        <w:rPr>
          <w:color w:val="231F20"/>
          <w:spacing w:val="15"/>
        </w:rPr>
        <w:t> </w:t>
      </w:r>
      <w:r>
        <w:rPr>
          <w:color w:val="231F20"/>
        </w:rPr>
        <w:t>слушателей.</w:t>
      </w:r>
      <w:r>
        <w:rPr>
          <w:color w:val="231F20"/>
          <w:spacing w:val="15"/>
        </w:rPr>
        <w:t> </w:t>
      </w:r>
      <w:r>
        <w:rPr>
          <w:color w:val="231F20"/>
        </w:rPr>
        <w:t>Во-первых,</w:t>
      </w:r>
      <w:r>
        <w:rPr>
          <w:color w:val="231F20"/>
          <w:spacing w:val="15"/>
        </w:rPr>
        <w:t> </w:t>
      </w:r>
      <w:r>
        <w:rPr>
          <w:color w:val="231F20"/>
        </w:rPr>
        <w:t>детям</w:t>
      </w:r>
      <w:r>
        <w:rPr>
          <w:color w:val="231F20"/>
          <w:spacing w:val="15"/>
        </w:rPr>
        <w:t> </w:t>
      </w:r>
      <w:r>
        <w:rPr>
          <w:color w:val="231F20"/>
        </w:rPr>
        <w:t>не</w:t>
      </w:r>
      <w:r>
        <w:rPr>
          <w:color w:val="231F20"/>
          <w:spacing w:val="15"/>
        </w:rPr>
        <w:t> </w:t>
      </w:r>
      <w:r>
        <w:rPr>
          <w:color w:val="231F20"/>
        </w:rPr>
        <w:t>стоит</w:t>
      </w:r>
      <w:r>
        <w:rPr>
          <w:color w:val="231F20"/>
          <w:spacing w:val="15"/>
        </w:rPr>
        <w:t> </w:t>
      </w:r>
      <w:r>
        <w:rPr>
          <w:color w:val="231F20"/>
        </w:rPr>
        <w:t>слушать о «взрослых» проблемах родителей, во-вторых, острота обсуждаемой темы может травмировать ребенка, в-третьих, это смешение контекстов (родители не смогут об- суждать</w:t>
      </w:r>
      <w:r>
        <w:rPr>
          <w:color w:val="231F20"/>
          <w:spacing w:val="-5"/>
        </w:rPr>
        <w:t> </w:t>
      </w:r>
      <w:r>
        <w:rPr>
          <w:color w:val="231F20"/>
        </w:rPr>
        <w:t>открыто</w:t>
      </w:r>
      <w:r>
        <w:rPr>
          <w:color w:val="231F20"/>
          <w:spacing w:val="-5"/>
        </w:rPr>
        <w:t> </w:t>
      </w:r>
      <w:r>
        <w:rPr>
          <w:color w:val="231F20"/>
        </w:rPr>
        <w:t>проблемы</w:t>
      </w:r>
      <w:r>
        <w:rPr>
          <w:color w:val="231F20"/>
          <w:spacing w:val="-5"/>
        </w:rPr>
        <w:t> </w:t>
      </w:r>
      <w:r>
        <w:rPr>
          <w:color w:val="231F20"/>
        </w:rPr>
        <w:t>детско-родительских</w:t>
      </w:r>
      <w:r>
        <w:rPr>
          <w:color w:val="231F20"/>
          <w:spacing w:val="-5"/>
        </w:rPr>
        <w:t> </w:t>
      </w:r>
      <w:r>
        <w:rPr>
          <w:color w:val="231F20"/>
        </w:rPr>
        <w:t>отношений,</w:t>
      </w:r>
      <w:r>
        <w:rPr>
          <w:color w:val="231F20"/>
          <w:spacing w:val="-4"/>
        </w:rPr>
        <w:t> </w:t>
      </w:r>
      <w:r>
        <w:rPr>
          <w:color w:val="231F20"/>
        </w:rPr>
        <w:t>например).</w:t>
      </w:r>
      <w:r>
        <w:rPr>
          <w:color w:val="231F20"/>
          <w:spacing w:val="-5"/>
        </w:rPr>
        <w:t> </w:t>
      </w:r>
      <w:r>
        <w:rPr>
          <w:color w:val="231F20"/>
        </w:rPr>
        <w:t>По</w:t>
      </w:r>
      <w:r>
        <w:rPr>
          <w:color w:val="231F20"/>
          <w:spacing w:val="-5"/>
        </w:rPr>
        <w:t> </w:t>
      </w:r>
      <w:r>
        <w:rPr>
          <w:color w:val="231F20"/>
        </w:rPr>
        <w:t>этой</w:t>
      </w:r>
      <w:r>
        <w:rPr>
          <w:color w:val="231F20"/>
          <w:spacing w:val="-5"/>
        </w:rPr>
        <w:t> </w:t>
      </w:r>
      <w:r>
        <w:rPr>
          <w:color w:val="231F20"/>
        </w:rPr>
        <w:t>же причине, на таких встречах стоит обратить особое внимание на правило конфиден- циальности</w:t>
      </w:r>
      <w:r>
        <w:rPr>
          <w:color w:val="231F20"/>
          <w:spacing w:val="-10"/>
        </w:rPr>
        <w:t> </w:t>
      </w:r>
      <w:r>
        <w:rPr>
          <w:color w:val="231F20"/>
        </w:rPr>
        <w:t>–</w:t>
      </w:r>
      <w:r>
        <w:rPr>
          <w:color w:val="231F20"/>
          <w:spacing w:val="-10"/>
        </w:rPr>
        <w:t> </w:t>
      </w:r>
      <w:r>
        <w:rPr>
          <w:color w:val="231F20"/>
        </w:rPr>
        <w:t>договориться</w:t>
      </w:r>
      <w:r>
        <w:rPr>
          <w:color w:val="231F20"/>
          <w:spacing w:val="-10"/>
        </w:rPr>
        <w:t> </w:t>
      </w:r>
      <w:r>
        <w:rPr>
          <w:color w:val="231F20"/>
        </w:rPr>
        <w:t>в</w:t>
      </w:r>
      <w:r>
        <w:rPr>
          <w:color w:val="231F20"/>
          <w:spacing w:val="-10"/>
        </w:rPr>
        <w:t> </w:t>
      </w:r>
      <w:r>
        <w:rPr>
          <w:color w:val="231F20"/>
        </w:rPr>
        <w:t>начале</w:t>
      </w:r>
      <w:r>
        <w:rPr>
          <w:color w:val="231F20"/>
          <w:spacing w:val="-10"/>
        </w:rPr>
        <w:t> </w:t>
      </w:r>
      <w:r>
        <w:rPr>
          <w:color w:val="231F20"/>
        </w:rPr>
        <w:t>встречи</w:t>
      </w:r>
      <w:r>
        <w:rPr>
          <w:color w:val="231F20"/>
          <w:spacing w:val="-10"/>
        </w:rPr>
        <w:t> </w:t>
      </w:r>
      <w:r>
        <w:rPr>
          <w:color w:val="231F20"/>
        </w:rPr>
        <w:t>со</w:t>
      </w:r>
      <w:r>
        <w:rPr>
          <w:color w:val="231F20"/>
          <w:spacing w:val="-10"/>
        </w:rPr>
        <w:t> </w:t>
      </w:r>
      <w:r>
        <w:rPr>
          <w:color w:val="231F20"/>
        </w:rPr>
        <w:t>всеми</w:t>
      </w:r>
      <w:r>
        <w:rPr>
          <w:color w:val="231F20"/>
          <w:spacing w:val="-10"/>
        </w:rPr>
        <w:t> </w:t>
      </w:r>
      <w:r>
        <w:rPr>
          <w:color w:val="231F20"/>
        </w:rPr>
        <w:t>слушателями</w:t>
      </w:r>
      <w:r>
        <w:rPr>
          <w:color w:val="231F20"/>
          <w:spacing w:val="-10"/>
        </w:rPr>
        <w:t> </w:t>
      </w:r>
      <w:r>
        <w:rPr>
          <w:color w:val="231F20"/>
        </w:rPr>
        <w:t>не</w:t>
      </w:r>
      <w:r>
        <w:rPr>
          <w:color w:val="231F20"/>
          <w:spacing w:val="-10"/>
        </w:rPr>
        <w:t> </w:t>
      </w:r>
      <w:r>
        <w:rPr>
          <w:color w:val="231F20"/>
        </w:rPr>
        <w:t>пересказывать сказанное</w:t>
      </w:r>
      <w:r>
        <w:rPr>
          <w:color w:val="231F20"/>
          <w:spacing w:val="-13"/>
        </w:rPr>
        <w:t> </w:t>
      </w:r>
      <w:r>
        <w:rPr>
          <w:color w:val="231F20"/>
        </w:rPr>
        <w:t>вне</w:t>
      </w:r>
      <w:r>
        <w:rPr>
          <w:color w:val="231F20"/>
          <w:spacing w:val="-12"/>
        </w:rPr>
        <w:t> </w:t>
      </w:r>
      <w:r>
        <w:rPr>
          <w:color w:val="231F20"/>
        </w:rPr>
        <w:t>групп</w:t>
      </w:r>
      <w:r>
        <w:rPr>
          <w:color w:val="231F20"/>
          <w:spacing w:val="-13"/>
        </w:rPr>
        <w:t> </w:t>
      </w:r>
      <w:r>
        <w:rPr>
          <w:color w:val="231F20"/>
        </w:rPr>
        <w:t>«Читателей»,</w:t>
      </w:r>
      <w:r>
        <w:rPr>
          <w:color w:val="231F20"/>
          <w:spacing w:val="-12"/>
        </w:rPr>
        <w:t> </w:t>
      </w:r>
      <w:r>
        <w:rPr>
          <w:color w:val="231F20"/>
        </w:rPr>
        <w:t>не</w:t>
      </w:r>
      <w:r>
        <w:rPr>
          <w:color w:val="231F20"/>
          <w:spacing w:val="-13"/>
        </w:rPr>
        <w:t> </w:t>
      </w:r>
      <w:r>
        <w:rPr>
          <w:color w:val="231F20"/>
        </w:rPr>
        <w:t>записывать</w:t>
      </w:r>
      <w:r>
        <w:rPr>
          <w:color w:val="231F20"/>
          <w:spacing w:val="-12"/>
        </w:rPr>
        <w:t> </w:t>
      </w:r>
      <w:r>
        <w:rPr>
          <w:color w:val="231F20"/>
        </w:rPr>
        <w:t>на</w:t>
      </w:r>
      <w:r>
        <w:rPr>
          <w:color w:val="231F20"/>
          <w:spacing w:val="-13"/>
        </w:rPr>
        <w:t> </w:t>
      </w:r>
      <w:r>
        <w:rPr>
          <w:color w:val="231F20"/>
        </w:rPr>
        <w:t>аудио</w:t>
      </w:r>
      <w:r>
        <w:rPr>
          <w:color w:val="231F20"/>
          <w:spacing w:val="-12"/>
        </w:rPr>
        <w:t> </w:t>
      </w:r>
      <w:r>
        <w:rPr>
          <w:color w:val="231F20"/>
        </w:rPr>
        <w:t>или</w:t>
      </w:r>
      <w:r>
        <w:rPr>
          <w:color w:val="231F20"/>
          <w:spacing w:val="-13"/>
        </w:rPr>
        <w:t> </w:t>
      </w:r>
      <w:r>
        <w:rPr>
          <w:color w:val="231F20"/>
        </w:rPr>
        <w:t>видео</w:t>
      </w:r>
      <w:r>
        <w:rPr>
          <w:color w:val="231F20"/>
          <w:spacing w:val="-12"/>
        </w:rPr>
        <w:t> </w:t>
      </w:r>
      <w:r>
        <w:rPr>
          <w:color w:val="231F20"/>
        </w:rPr>
        <w:t>рассказы</w:t>
      </w:r>
      <w:r>
        <w:rPr>
          <w:color w:val="231F20"/>
          <w:spacing w:val="-13"/>
        </w:rPr>
        <w:t> </w:t>
      </w:r>
      <w:r>
        <w:rPr>
          <w:color w:val="231F20"/>
        </w:rPr>
        <w:t>родите- лей.</w:t>
      </w:r>
      <w:r>
        <w:rPr>
          <w:color w:val="231F20"/>
          <w:spacing w:val="-1"/>
        </w:rPr>
        <w:t> </w:t>
      </w:r>
      <w:r>
        <w:rPr>
          <w:color w:val="231F20"/>
        </w:rPr>
        <w:t>Приглашать</w:t>
      </w:r>
      <w:r>
        <w:rPr>
          <w:color w:val="231F20"/>
          <w:spacing w:val="-1"/>
        </w:rPr>
        <w:t> </w:t>
      </w:r>
      <w:r>
        <w:rPr>
          <w:color w:val="231F20"/>
        </w:rPr>
        <w:t>на</w:t>
      </w:r>
      <w:r>
        <w:rPr>
          <w:color w:val="231F20"/>
          <w:spacing w:val="-1"/>
        </w:rPr>
        <w:t> </w:t>
      </w:r>
      <w:r>
        <w:rPr>
          <w:color w:val="231F20"/>
        </w:rPr>
        <w:t>такие</w:t>
      </w:r>
      <w:r>
        <w:rPr>
          <w:color w:val="231F20"/>
          <w:spacing w:val="-1"/>
        </w:rPr>
        <w:t> </w:t>
      </w:r>
      <w:r>
        <w:rPr>
          <w:color w:val="231F20"/>
        </w:rPr>
        <w:t>встречи</w:t>
      </w:r>
      <w:r>
        <w:rPr>
          <w:color w:val="231F20"/>
          <w:spacing w:val="-1"/>
        </w:rPr>
        <w:t> </w:t>
      </w:r>
      <w:r>
        <w:rPr>
          <w:color w:val="231F20"/>
        </w:rPr>
        <w:t>можно</w:t>
      </w:r>
      <w:r>
        <w:rPr>
          <w:color w:val="231F20"/>
          <w:spacing w:val="-1"/>
        </w:rPr>
        <w:t> </w:t>
      </w:r>
      <w:r>
        <w:rPr>
          <w:color w:val="231F20"/>
        </w:rPr>
        <w:t>не</w:t>
      </w:r>
      <w:r>
        <w:rPr>
          <w:color w:val="231F20"/>
          <w:spacing w:val="-1"/>
        </w:rPr>
        <w:t> </w:t>
      </w:r>
      <w:r>
        <w:rPr>
          <w:color w:val="231F20"/>
        </w:rPr>
        <w:t>только</w:t>
      </w:r>
      <w:r>
        <w:rPr>
          <w:color w:val="231F20"/>
          <w:spacing w:val="-1"/>
        </w:rPr>
        <w:t> </w:t>
      </w:r>
      <w:r>
        <w:rPr>
          <w:color w:val="231F20"/>
        </w:rPr>
        <w:t>родителей-мигрантов,</w:t>
      </w:r>
      <w:r>
        <w:rPr>
          <w:color w:val="231F20"/>
          <w:spacing w:val="-1"/>
        </w:rPr>
        <w:t> </w:t>
      </w:r>
      <w:r>
        <w:rPr>
          <w:color w:val="231F20"/>
        </w:rPr>
        <w:t>но</w:t>
      </w:r>
      <w:r>
        <w:rPr>
          <w:color w:val="231F20"/>
          <w:spacing w:val="-1"/>
        </w:rPr>
        <w:t> </w:t>
      </w:r>
      <w:r>
        <w:rPr>
          <w:color w:val="231F20"/>
        </w:rPr>
        <w:t>и</w:t>
      </w:r>
      <w:r>
        <w:rPr>
          <w:color w:val="231F20"/>
          <w:spacing w:val="-1"/>
        </w:rPr>
        <w:t> </w:t>
      </w:r>
      <w:r>
        <w:rPr>
          <w:color w:val="231F20"/>
        </w:rPr>
        <w:t>всех, кому интересна и важна тема.</w:t>
      </w:r>
    </w:p>
    <w:p>
      <w:pPr>
        <w:pStyle w:val="BodyText"/>
        <w:spacing w:line="235" w:lineRule="auto" w:before="4"/>
      </w:pPr>
      <w:r>
        <w:rPr>
          <w:color w:val="231F20"/>
        </w:rPr>
        <w:t>В остальном при проведении такой библиотеки – те же правила и рекоменда- ции, как и при проведении других «Живых библиотек». В своем рассказе родители- мигранты</w:t>
      </w:r>
      <w:r>
        <w:rPr>
          <w:color w:val="231F20"/>
          <w:spacing w:val="-2"/>
        </w:rPr>
        <w:t> </w:t>
      </w:r>
      <w:r>
        <w:rPr>
          <w:color w:val="231F20"/>
        </w:rPr>
        <w:t>могут</w:t>
      </w:r>
      <w:r>
        <w:rPr>
          <w:color w:val="231F20"/>
          <w:spacing w:val="-2"/>
        </w:rPr>
        <w:t> </w:t>
      </w:r>
      <w:r>
        <w:rPr>
          <w:color w:val="231F20"/>
        </w:rPr>
        <w:t>делиться,</w:t>
      </w:r>
      <w:r>
        <w:rPr>
          <w:color w:val="231F20"/>
          <w:spacing w:val="-3"/>
        </w:rPr>
        <w:t> </w:t>
      </w:r>
      <w:r>
        <w:rPr>
          <w:color w:val="231F20"/>
        </w:rPr>
        <w:t>например,</w:t>
      </w:r>
      <w:r>
        <w:rPr>
          <w:color w:val="231F20"/>
          <w:spacing w:val="-3"/>
        </w:rPr>
        <w:t> </w:t>
      </w:r>
      <w:r>
        <w:rPr>
          <w:color w:val="231F20"/>
        </w:rPr>
        <w:t>с</w:t>
      </w:r>
      <w:r>
        <w:rPr>
          <w:color w:val="231F20"/>
          <w:spacing w:val="-2"/>
        </w:rPr>
        <w:t> </w:t>
      </w:r>
      <w:r>
        <w:rPr>
          <w:color w:val="231F20"/>
        </w:rPr>
        <w:t>какими</w:t>
      </w:r>
      <w:r>
        <w:rPr>
          <w:color w:val="231F20"/>
          <w:spacing w:val="-3"/>
        </w:rPr>
        <w:t> </w:t>
      </w:r>
      <w:r>
        <w:rPr>
          <w:color w:val="231F20"/>
        </w:rPr>
        <w:t>сложностями</w:t>
      </w:r>
      <w:r>
        <w:rPr>
          <w:color w:val="231F20"/>
          <w:spacing w:val="-3"/>
        </w:rPr>
        <w:t> </w:t>
      </w:r>
      <w:r>
        <w:rPr>
          <w:color w:val="231F20"/>
        </w:rPr>
        <w:t>приходится</w:t>
      </w:r>
      <w:r>
        <w:rPr>
          <w:color w:val="231F20"/>
          <w:spacing w:val="-3"/>
        </w:rPr>
        <w:t> </w:t>
      </w:r>
      <w:r>
        <w:rPr>
          <w:color w:val="231F20"/>
        </w:rPr>
        <w:t>сталкивать- ся, что позволяет их разрешить, на что они опираются и что дает ресурсы поддерж- ки себя и своих детей в чужой стране. Пригласить родителей-мигрантов на «Живую библиотеку»</w:t>
      </w:r>
      <w:r>
        <w:rPr>
          <w:color w:val="231F20"/>
          <w:spacing w:val="-4"/>
        </w:rPr>
        <w:t> </w:t>
      </w:r>
      <w:r>
        <w:rPr>
          <w:color w:val="231F20"/>
        </w:rPr>
        <w:t>может</w:t>
      </w:r>
      <w:r>
        <w:rPr>
          <w:color w:val="231F20"/>
          <w:spacing w:val="-4"/>
        </w:rPr>
        <w:t> </w:t>
      </w:r>
      <w:r>
        <w:rPr>
          <w:color w:val="231F20"/>
        </w:rPr>
        <w:t>быть</w:t>
      </w:r>
      <w:r>
        <w:rPr>
          <w:color w:val="231F20"/>
          <w:spacing w:val="-4"/>
        </w:rPr>
        <w:t> </w:t>
      </w:r>
      <w:r>
        <w:rPr>
          <w:color w:val="231F20"/>
        </w:rPr>
        <w:t>ценно</w:t>
      </w:r>
      <w:r>
        <w:rPr>
          <w:color w:val="231F20"/>
          <w:spacing w:val="-4"/>
        </w:rPr>
        <w:t> </w:t>
      </w:r>
      <w:r>
        <w:rPr>
          <w:color w:val="231F20"/>
        </w:rPr>
        <w:t>не</w:t>
      </w:r>
      <w:r>
        <w:rPr>
          <w:color w:val="231F20"/>
          <w:spacing w:val="-4"/>
        </w:rPr>
        <w:t> </w:t>
      </w:r>
      <w:r>
        <w:rPr>
          <w:color w:val="231F20"/>
        </w:rPr>
        <w:t>только</w:t>
      </w:r>
      <w:r>
        <w:rPr>
          <w:color w:val="231F20"/>
          <w:spacing w:val="-4"/>
        </w:rPr>
        <w:t> </w:t>
      </w:r>
      <w:r>
        <w:rPr>
          <w:color w:val="231F20"/>
        </w:rPr>
        <w:t>из-за</w:t>
      </w:r>
      <w:r>
        <w:rPr>
          <w:color w:val="231F20"/>
          <w:spacing w:val="-4"/>
        </w:rPr>
        <w:t> </w:t>
      </w:r>
      <w:r>
        <w:rPr>
          <w:color w:val="231F20"/>
        </w:rPr>
        <w:t>рассказа</w:t>
      </w:r>
      <w:r>
        <w:rPr>
          <w:color w:val="231F20"/>
          <w:spacing w:val="-4"/>
        </w:rPr>
        <w:t> </w:t>
      </w:r>
      <w:r>
        <w:rPr>
          <w:color w:val="231F20"/>
        </w:rPr>
        <w:t>и</w:t>
      </w:r>
      <w:r>
        <w:rPr>
          <w:color w:val="231F20"/>
          <w:spacing w:val="-4"/>
        </w:rPr>
        <w:t> </w:t>
      </w:r>
      <w:r>
        <w:rPr>
          <w:color w:val="231F20"/>
        </w:rPr>
        <w:t>обмена</w:t>
      </w:r>
      <w:r>
        <w:rPr>
          <w:color w:val="231F20"/>
          <w:spacing w:val="-4"/>
        </w:rPr>
        <w:t> </w:t>
      </w:r>
      <w:r>
        <w:rPr>
          <w:color w:val="231F20"/>
        </w:rPr>
        <w:t>опытом,</w:t>
      </w:r>
      <w:r>
        <w:rPr>
          <w:color w:val="231F20"/>
          <w:spacing w:val="-4"/>
        </w:rPr>
        <w:t> </w:t>
      </w:r>
      <w:r>
        <w:rPr>
          <w:color w:val="231F20"/>
        </w:rPr>
        <w:t>но</w:t>
      </w:r>
      <w:r>
        <w:rPr>
          <w:color w:val="231F20"/>
          <w:spacing w:val="-4"/>
        </w:rPr>
        <w:t> </w:t>
      </w:r>
      <w:r>
        <w:rPr>
          <w:color w:val="231F20"/>
        </w:rPr>
        <w:t>и</w:t>
      </w:r>
      <w:r>
        <w:rPr>
          <w:color w:val="231F20"/>
          <w:spacing w:val="-4"/>
        </w:rPr>
        <w:t> </w:t>
      </w:r>
      <w:r>
        <w:rPr>
          <w:color w:val="231F20"/>
        </w:rPr>
        <w:t>из-за знакомства,</w:t>
      </w:r>
      <w:r>
        <w:rPr>
          <w:color w:val="231F20"/>
          <w:spacing w:val="-13"/>
        </w:rPr>
        <w:t> </w:t>
      </w:r>
      <w:r>
        <w:rPr>
          <w:color w:val="231F20"/>
        </w:rPr>
        <w:t>создания</w:t>
      </w:r>
      <w:r>
        <w:rPr>
          <w:color w:val="231F20"/>
          <w:spacing w:val="-12"/>
        </w:rPr>
        <w:t> </w:t>
      </w:r>
      <w:r>
        <w:rPr>
          <w:color w:val="231F20"/>
        </w:rPr>
        <w:t>поддерживающих</w:t>
      </w:r>
      <w:r>
        <w:rPr>
          <w:color w:val="231F20"/>
          <w:spacing w:val="-13"/>
        </w:rPr>
        <w:t> </w:t>
      </w:r>
      <w:r>
        <w:rPr>
          <w:color w:val="231F20"/>
        </w:rPr>
        <w:t>связей.</w:t>
      </w:r>
      <w:r>
        <w:rPr>
          <w:color w:val="231F20"/>
          <w:spacing w:val="-12"/>
        </w:rPr>
        <w:t> </w:t>
      </w:r>
      <w:r>
        <w:rPr>
          <w:color w:val="231F20"/>
        </w:rPr>
        <w:t>И</w:t>
      </w:r>
      <w:r>
        <w:rPr>
          <w:color w:val="231F20"/>
          <w:spacing w:val="-13"/>
        </w:rPr>
        <w:t> </w:t>
      </w:r>
      <w:r>
        <w:rPr>
          <w:color w:val="231F20"/>
        </w:rPr>
        <w:t>между</w:t>
      </w:r>
      <w:r>
        <w:rPr>
          <w:color w:val="231F20"/>
          <w:spacing w:val="-12"/>
        </w:rPr>
        <w:t> </w:t>
      </w:r>
      <w:r>
        <w:rPr>
          <w:color w:val="231F20"/>
        </w:rPr>
        <w:t>«Читателями»</w:t>
      </w:r>
      <w:r>
        <w:rPr>
          <w:color w:val="231F20"/>
          <w:spacing w:val="-13"/>
        </w:rPr>
        <w:t> </w:t>
      </w:r>
      <w:r>
        <w:rPr>
          <w:color w:val="231F20"/>
        </w:rPr>
        <w:t>и</w:t>
      </w:r>
      <w:r>
        <w:rPr>
          <w:color w:val="231F20"/>
          <w:spacing w:val="-12"/>
        </w:rPr>
        <w:t> </w:t>
      </w:r>
      <w:r>
        <w:rPr>
          <w:color w:val="231F20"/>
        </w:rPr>
        <w:t>«Книгами», и</w:t>
      </w:r>
      <w:r>
        <w:rPr>
          <w:color w:val="231F20"/>
          <w:spacing w:val="-7"/>
        </w:rPr>
        <w:t> </w:t>
      </w:r>
      <w:r>
        <w:rPr>
          <w:color w:val="231F20"/>
        </w:rPr>
        <w:t>между</w:t>
      </w:r>
      <w:r>
        <w:rPr>
          <w:color w:val="231F20"/>
          <w:spacing w:val="-7"/>
        </w:rPr>
        <w:t> </w:t>
      </w:r>
      <w:r>
        <w:rPr>
          <w:color w:val="231F20"/>
        </w:rPr>
        <w:t>«Книгами».</w:t>
      </w:r>
      <w:r>
        <w:rPr>
          <w:color w:val="231F20"/>
          <w:spacing w:val="-7"/>
        </w:rPr>
        <w:t> </w:t>
      </w:r>
      <w:r>
        <w:rPr>
          <w:color w:val="231F20"/>
        </w:rPr>
        <w:t>Как</w:t>
      </w:r>
      <w:r>
        <w:rPr>
          <w:color w:val="231F20"/>
          <w:spacing w:val="-7"/>
        </w:rPr>
        <w:t> </w:t>
      </w:r>
      <w:r>
        <w:rPr>
          <w:color w:val="231F20"/>
        </w:rPr>
        <w:t>известно,</w:t>
      </w:r>
      <w:r>
        <w:rPr>
          <w:color w:val="231F20"/>
          <w:spacing w:val="-7"/>
        </w:rPr>
        <w:t> </w:t>
      </w:r>
      <w:r>
        <w:rPr>
          <w:color w:val="231F20"/>
        </w:rPr>
        <w:t>опора</w:t>
      </w:r>
      <w:r>
        <w:rPr>
          <w:color w:val="231F20"/>
          <w:spacing w:val="-7"/>
        </w:rPr>
        <w:t> </w:t>
      </w:r>
      <w:r>
        <w:rPr>
          <w:color w:val="231F20"/>
        </w:rPr>
        <w:t>на</w:t>
      </w:r>
      <w:r>
        <w:rPr>
          <w:color w:val="231F20"/>
          <w:spacing w:val="-7"/>
        </w:rPr>
        <w:t> </w:t>
      </w:r>
      <w:r>
        <w:rPr>
          <w:color w:val="231F20"/>
        </w:rPr>
        <w:t>тех,</w:t>
      </w:r>
      <w:r>
        <w:rPr>
          <w:color w:val="231F20"/>
          <w:spacing w:val="-7"/>
        </w:rPr>
        <w:t> </w:t>
      </w:r>
      <w:r>
        <w:rPr>
          <w:color w:val="231F20"/>
        </w:rPr>
        <w:t>кто</w:t>
      </w:r>
      <w:r>
        <w:rPr>
          <w:color w:val="231F20"/>
          <w:spacing w:val="-7"/>
        </w:rPr>
        <w:t> </w:t>
      </w:r>
      <w:r>
        <w:rPr>
          <w:color w:val="231F20"/>
        </w:rPr>
        <w:t>может</w:t>
      </w:r>
      <w:r>
        <w:rPr>
          <w:color w:val="231F20"/>
          <w:spacing w:val="-7"/>
        </w:rPr>
        <w:t> </w:t>
      </w:r>
      <w:r>
        <w:rPr>
          <w:color w:val="231F20"/>
        </w:rPr>
        <w:t>понять</w:t>
      </w:r>
      <w:r>
        <w:rPr>
          <w:color w:val="231F20"/>
          <w:spacing w:val="-7"/>
        </w:rPr>
        <w:t> </w:t>
      </w:r>
      <w:r>
        <w:rPr>
          <w:color w:val="231F20"/>
        </w:rPr>
        <w:t>и</w:t>
      </w:r>
      <w:r>
        <w:rPr>
          <w:color w:val="231F20"/>
          <w:spacing w:val="-7"/>
        </w:rPr>
        <w:t> </w:t>
      </w:r>
      <w:r>
        <w:rPr>
          <w:color w:val="231F20"/>
        </w:rPr>
        <w:t>разделить</w:t>
      </w:r>
      <w:r>
        <w:rPr>
          <w:color w:val="231F20"/>
          <w:spacing w:val="-7"/>
        </w:rPr>
        <w:t> </w:t>
      </w:r>
      <w:r>
        <w:rPr>
          <w:color w:val="231F20"/>
        </w:rPr>
        <w:t>слож- ности и переживания — это ключевой ресурс в процессе адаптации в новой стране. С</w:t>
      </w:r>
      <w:r>
        <w:rPr>
          <w:color w:val="231F20"/>
          <w:spacing w:val="-11"/>
        </w:rPr>
        <w:t> </w:t>
      </w:r>
      <w:r>
        <w:rPr>
          <w:color w:val="231F20"/>
        </w:rPr>
        <w:t>этой</w:t>
      </w:r>
      <w:r>
        <w:rPr>
          <w:color w:val="231F20"/>
          <w:spacing w:val="-11"/>
        </w:rPr>
        <w:t> </w:t>
      </w:r>
      <w:r>
        <w:rPr>
          <w:color w:val="231F20"/>
        </w:rPr>
        <w:t>целью</w:t>
      </w:r>
      <w:r>
        <w:rPr>
          <w:color w:val="231F20"/>
          <w:spacing w:val="-11"/>
        </w:rPr>
        <w:t> </w:t>
      </w:r>
      <w:r>
        <w:rPr>
          <w:color w:val="231F20"/>
        </w:rPr>
        <w:t>можно</w:t>
      </w:r>
      <w:r>
        <w:rPr>
          <w:color w:val="231F20"/>
          <w:spacing w:val="-11"/>
        </w:rPr>
        <w:t> </w:t>
      </w:r>
      <w:r>
        <w:rPr>
          <w:color w:val="231F20"/>
        </w:rPr>
        <w:t>пригласить</w:t>
      </w:r>
      <w:r>
        <w:rPr>
          <w:color w:val="231F20"/>
          <w:spacing w:val="-11"/>
        </w:rPr>
        <w:t> </w:t>
      </w:r>
      <w:r>
        <w:rPr>
          <w:color w:val="231F20"/>
        </w:rPr>
        <w:t>«Книг»</w:t>
      </w:r>
      <w:r>
        <w:rPr>
          <w:color w:val="231F20"/>
          <w:spacing w:val="-11"/>
        </w:rPr>
        <w:t> </w:t>
      </w:r>
      <w:r>
        <w:rPr>
          <w:color w:val="231F20"/>
        </w:rPr>
        <w:t>на</w:t>
      </w:r>
      <w:r>
        <w:rPr>
          <w:color w:val="231F20"/>
          <w:spacing w:val="-11"/>
        </w:rPr>
        <w:t> </w:t>
      </w:r>
      <w:r>
        <w:rPr>
          <w:color w:val="231F20"/>
        </w:rPr>
        <w:t>шеринг</w:t>
      </w:r>
      <w:r>
        <w:rPr>
          <w:color w:val="231F20"/>
          <w:spacing w:val="-11"/>
        </w:rPr>
        <w:t> </w:t>
      </w:r>
      <w:r>
        <w:rPr>
          <w:color w:val="231F20"/>
        </w:rPr>
        <w:t>после</w:t>
      </w:r>
      <w:r>
        <w:rPr>
          <w:color w:val="231F20"/>
          <w:spacing w:val="-11"/>
        </w:rPr>
        <w:t> </w:t>
      </w:r>
      <w:r>
        <w:rPr>
          <w:color w:val="231F20"/>
        </w:rPr>
        <w:t>проведения,</w:t>
      </w:r>
      <w:r>
        <w:rPr>
          <w:color w:val="231F20"/>
          <w:spacing w:val="-11"/>
        </w:rPr>
        <w:t> </w:t>
      </w:r>
      <w:r>
        <w:rPr>
          <w:color w:val="231F20"/>
        </w:rPr>
        <w:t>создать</w:t>
      </w:r>
      <w:r>
        <w:rPr>
          <w:color w:val="231F20"/>
          <w:spacing w:val="-11"/>
        </w:rPr>
        <w:t> </w:t>
      </w:r>
      <w:r>
        <w:rPr>
          <w:color w:val="231F20"/>
        </w:rPr>
        <w:t>группу для</w:t>
      </w:r>
      <w:r>
        <w:rPr>
          <w:color w:val="231F20"/>
          <w:spacing w:val="-11"/>
        </w:rPr>
        <w:t> </w:t>
      </w:r>
      <w:r>
        <w:rPr>
          <w:color w:val="231F20"/>
        </w:rPr>
        <w:t>«Книг»</w:t>
      </w:r>
      <w:r>
        <w:rPr>
          <w:color w:val="231F20"/>
          <w:spacing w:val="-11"/>
        </w:rPr>
        <w:t> </w:t>
      </w:r>
      <w:r>
        <w:rPr>
          <w:color w:val="231F20"/>
        </w:rPr>
        <w:t>в</w:t>
      </w:r>
      <w:r>
        <w:rPr>
          <w:color w:val="231F20"/>
          <w:spacing w:val="-11"/>
        </w:rPr>
        <w:t> </w:t>
      </w:r>
      <w:r>
        <w:rPr>
          <w:color w:val="231F20"/>
        </w:rPr>
        <w:t>мессенджере</w:t>
      </w:r>
      <w:r>
        <w:rPr>
          <w:color w:val="231F20"/>
          <w:spacing w:val="-11"/>
        </w:rPr>
        <w:t> </w:t>
      </w:r>
      <w:r>
        <w:rPr>
          <w:color w:val="231F20"/>
        </w:rPr>
        <w:t>и</w:t>
      </w:r>
      <w:r>
        <w:rPr>
          <w:color w:val="231F20"/>
          <w:spacing w:val="-11"/>
        </w:rPr>
        <w:t> </w:t>
      </w:r>
      <w:r>
        <w:rPr>
          <w:color w:val="231F20"/>
        </w:rPr>
        <w:t>добавить</w:t>
      </w:r>
      <w:r>
        <w:rPr>
          <w:color w:val="231F20"/>
          <w:spacing w:val="-11"/>
        </w:rPr>
        <w:t> </w:t>
      </w:r>
      <w:r>
        <w:rPr>
          <w:color w:val="231F20"/>
        </w:rPr>
        <w:t>туда</w:t>
      </w:r>
      <w:r>
        <w:rPr>
          <w:color w:val="231F20"/>
          <w:spacing w:val="-11"/>
        </w:rPr>
        <w:t> </w:t>
      </w:r>
      <w:r>
        <w:rPr>
          <w:color w:val="231F20"/>
        </w:rPr>
        <w:t>желающих</w:t>
      </w:r>
      <w:r>
        <w:rPr>
          <w:color w:val="231F20"/>
          <w:spacing w:val="-11"/>
        </w:rPr>
        <w:t> </w:t>
      </w:r>
      <w:r>
        <w:rPr>
          <w:color w:val="231F20"/>
        </w:rPr>
        <w:t>из</w:t>
      </w:r>
      <w:r>
        <w:rPr>
          <w:color w:val="231F20"/>
          <w:spacing w:val="-11"/>
        </w:rPr>
        <w:t> </w:t>
      </w:r>
      <w:r>
        <w:rPr>
          <w:color w:val="231F20"/>
        </w:rPr>
        <w:t>тех,</w:t>
      </w:r>
      <w:r>
        <w:rPr>
          <w:color w:val="231F20"/>
          <w:spacing w:val="-11"/>
        </w:rPr>
        <w:t> </w:t>
      </w:r>
      <w:r>
        <w:rPr>
          <w:color w:val="231F20"/>
        </w:rPr>
        <w:t>кто</w:t>
      </w:r>
      <w:r>
        <w:rPr>
          <w:color w:val="231F20"/>
          <w:spacing w:val="-11"/>
        </w:rPr>
        <w:t> </w:t>
      </w:r>
      <w:r>
        <w:rPr>
          <w:color w:val="231F20"/>
        </w:rPr>
        <w:t>был</w:t>
      </w:r>
      <w:r>
        <w:rPr>
          <w:color w:val="231F20"/>
          <w:spacing w:val="-11"/>
        </w:rPr>
        <w:t> </w:t>
      </w:r>
      <w:r>
        <w:rPr>
          <w:color w:val="231F20"/>
        </w:rPr>
        <w:t>«Книгой»</w:t>
      </w:r>
      <w:r>
        <w:rPr>
          <w:color w:val="231F20"/>
          <w:spacing w:val="-11"/>
        </w:rPr>
        <w:t> </w:t>
      </w:r>
      <w:r>
        <w:rPr>
          <w:color w:val="231F20"/>
        </w:rPr>
        <w:t>и</w:t>
      </w:r>
      <w:r>
        <w:rPr>
          <w:color w:val="231F20"/>
          <w:spacing w:val="-11"/>
        </w:rPr>
        <w:t> </w:t>
      </w:r>
      <w:r>
        <w:rPr>
          <w:color w:val="231F20"/>
        </w:rPr>
        <w:t>т.п. В</w:t>
      </w:r>
      <w:r>
        <w:rPr>
          <w:color w:val="231F20"/>
          <w:spacing w:val="-4"/>
        </w:rPr>
        <w:t> </w:t>
      </w:r>
      <w:r>
        <w:rPr>
          <w:color w:val="231F20"/>
        </w:rPr>
        <w:t>этом</w:t>
      </w:r>
      <w:r>
        <w:rPr>
          <w:color w:val="231F20"/>
          <w:spacing w:val="-4"/>
        </w:rPr>
        <w:t> </w:t>
      </w:r>
      <w:r>
        <w:rPr>
          <w:color w:val="231F20"/>
        </w:rPr>
        <w:t>моменте</w:t>
      </w:r>
      <w:r>
        <w:rPr>
          <w:color w:val="231F20"/>
          <w:spacing w:val="-5"/>
        </w:rPr>
        <w:t> </w:t>
      </w:r>
      <w:r>
        <w:rPr>
          <w:color w:val="231F20"/>
        </w:rPr>
        <w:t>важно</w:t>
      </w:r>
      <w:r>
        <w:rPr>
          <w:color w:val="231F20"/>
          <w:spacing w:val="-5"/>
        </w:rPr>
        <w:t> </w:t>
      </w:r>
      <w:r>
        <w:rPr>
          <w:color w:val="231F20"/>
        </w:rPr>
        <w:t>соблюдать</w:t>
      </w:r>
      <w:r>
        <w:rPr>
          <w:color w:val="231F20"/>
          <w:spacing w:val="-5"/>
        </w:rPr>
        <w:t> </w:t>
      </w:r>
      <w:r>
        <w:rPr>
          <w:color w:val="231F20"/>
        </w:rPr>
        <w:t>баланс</w:t>
      </w:r>
      <w:r>
        <w:rPr>
          <w:color w:val="231F20"/>
          <w:spacing w:val="-4"/>
        </w:rPr>
        <w:t> </w:t>
      </w:r>
      <w:r>
        <w:rPr>
          <w:color w:val="231F20"/>
        </w:rPr>
        <w:t>между</w:t>
      </w:r>
      <w:r>
        <w:rPr>
          <w:color w:val="231F20"/>
          <w:spacing w:val="-5"/>
        </w:rPr>
        <w:t> </w:t>
      </w:r>
      <w:r>
        <w:rPr>
          <w:color w:val="231F20"/>
        </w:rPr>
        <w:t>созданием</w:t>
      </w:r>
      <w:r>
        <w:rPr>
          <w:color w:val="231F20"/>
          <w:spacing w:val="-5"/>
        </w:rPr>
        <w:t> </w:t>
      </w:r>
      <w:r>
        <w:rPr>
          <w:color w:val="231F20"/>
        </w:rPr>
        <w:t>общего</w:t>
      </w:r>
      <w:r>
        <w:rPr>
          <w:color w:val="231F20"/>
          <w:spacing w:val="-4"/>
        </w:rPr>
        <w:t> </w:t>
      </w:r>
      <w:r>
        <w:rPr>
          <w:color w:val="231F20"/>
        </w:rPr>
        <w:t>пространства</w:t>
      </w:r>
      <w:r>
        <w:rPr>
          <w:color w:val="231F20"/>
          <w:spacing w:val="-4"/>
        </w:rPr>
        <w:t> </w:t>
      </w:r>
      <w:r>
        <w:rPr>
          <w:color w:val="231F20"/>
        </w:rPr>
        <w:t>для общения</w:t>
      </w:r>
      <w:r>
        <w:rPr>
          <w:color w:val="231F20"/>
          <w:spacing w:val="-12"/>
        </w:rPr>
        <w:t> </w:t>
      </w:r>
      <w:r>
        <w:rPr>
          <w:color w:val="231F20"/>
        </w:rPr>
        <w:t>и</w:t>
      </w:r>
      <w:r>
        <w:rPr>
          <w:color w:val="231F20"/>
          <w:spacing w:val="-10"/>
        </w:rPr>
        <w:t> </w:t>
      </w:r>
      <w:r>
        <w:rPr>
          <w:color w:val="231F20"/>
        </w:rPr>
        <w:t>чувствительностью</w:t>
      </w:r>
      <w:r>
        <w:rPr>
          <w:color w:val="231F20"/>
          <w:spacing w:val="-10"/>
        </w:rPr>
        <w:t> </w:t>
      </w:r>
      <w:r>
        <w:rPr>
          <w:color w:val="231F20"/>
        </w:rPr>
        <w:t>к</w:t>
      </w:r>
      <w:r>
        <w:rPr>
          <w:color w:val="231F20"/>
          <w:spacing w:val="-10"/>
        </w:rPr>
        <w:t> </w:t>
      </w:r>
      <w:r>
        <w:rPr>
          <w:color w:val="231F20"/>
        </w:rPr>
        <w:t>личным</w:t>
      </w:r>
      <w:r>
        <w:rPr>
          <w:color w:val="231F20"/>
          <w:spacing w:val="-8"/>
        </w:rPr>
        <w:t> </w:t>
      </w:r>
      <w:r>
        <w:rPr>
          <w:color w:val="231F20"/>
        </w:rPr>
        <w:t>границам</w:t>
      </w:r>
      <w:r>
        <w:rPr>
          <w:color w:val="231F20"/>
          <w:spacing w:val="-9"/>
        </w:rPr>
        <w:t> </w:t>
      </w:r>
      <w:r>
        <w:rPr>
          <w:color w:val="231F20"/>
        </w:rPr>
        <w:t>«Книг».</w:t>
      </w:r>
      <w:r>
        <w:rPr>
          <w:color w:val="231F20"/>
          <w:spacing w:val="-9"/>
        </w:rPr>
        <w:t> </w:t>
      </w:r>
      <w:r>
        <w:rPr>
          <w:color w:val="231F20"/>
        </w:rPr>
        <w:t>Для</w:t>
      </w:r>
      <w:r>
        <w:rPr>
          <w:color w:val="231F20"/>
          <w:spacing w:val="-9"/>
        </w:rPr>
        <w:t> </w:t>
      </w:r>
      <w:r>
        <w:rPr>
          <w:color w:val="231F20"/>
        </w:rPr>
        <w:t>кого-то</w:t>
      </w:r>
      <w:r>
        <w:rPr>
          <w:color w:val="231F20"/>
          <w:spacing w:val="-10"/>
        </w:rPr>
        <w:t> </w:t>
      </w:r>
      <w:r>
        <w:rPr>
          <w:color w:val="231F20"/>
        </w:rPr>
        <w:t>общаться</w:t>
      </w:r>
      <w:r>
        <w:rPr>
          <w:color w:val="231F20"/>
          <w:spacing w:val="-9"/>
        </w:rPr>
        <w:t> </w:t>
      </w:r>
      <w:r>
        <w:rPr>
          <w:color w:val="231F20"/>
          <w:spacing w:val="-5"/>
        </w:rPr>
        <w:t>вне</w:t>
      </w:r>
    </w:p>
    <w:p>
      <w:pPr>
        <w:pStyle w:val="BodyText"/>
        <w:spacing w:after="0" w:line="235" w:lineRule="auto"/>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right="138" w:firstLine="0"/>
      </w:pPr>
      <w:r>
        <w:rPr>
          <w:color w:val="231F20"/>
        </w:rPr>
        <w:t>мероприятия</w:t>
      </w:r>
      <w:r>
        <w:rPr>
          <w:color w:val="231F20"/>
          <w:spacing w:val="-5"/>
        </w:rPr>
        <w:t> </w:t>
      </w:r>
      <w:r>
        <w:rPr>
          <w:color w:val="231F20"/>
        </w:rPr>
        <w:t>может</w:t>
      </w:r>
      <w:r>
        <w:rPr>
          <w:color w:val="231F20"/>
          <w:spacing w:val="-5"/>
        </w:rPr>
        <w:t> </w:t>
      </w:r>
      <w:r>
        <w:rPr>
          <w:color w:val="231F20"/>
        </w:rPr>
        <w:t>показаться</w:t>
      </w:r>
      <w:r>
        <w:rPr>
          <w:color w:val="231F20"/>
          <w:spacing w:val="-5"/>
        </w:rPr>
        <w:t> </w:t>
      </w:r>
      <w:r>
        <w:rPr>
          <w:color w:val="231F20"/>
        </w:rPr>
        <w:t>излишним</w:t>
      </w:r>
      <w:r>
        <w:rPr>
          <w:color w:val="231F20"/>
          <w:spacing w:val="-5"/>
        </w:rPr>
        <w:t> </w:t>
      </w:r>
      <w:r>
        <w:rPr>
          <w:color w:val="231F20"/>
        </w:rPr>
        <w:t>или</w:t>
      </w:r>
      <w:r>
        <w:rPr>
          <w:color w:val="231F20"/>
          <w:spacing w:val="-5"/>
        </w:rPr>
        <w:t> </w:t>
      </w:r>
      <w:r>
        <w:rPr>
          <w:color w:val="231F20"/>
        </w:rPr>
        <w:t>нарушающим</w:t>
      </w:r>
      <w:r>
        <w:rPr>
          <w:color w:val="231F20"/>
          <w:spacing w:val="-5"/>
        </w:rPr>
        <w:t> </w:t>
      </w:r>
      <w:r>
        <w:rPr>
          <w:color w:val="231F20"/>
        </w:rPr>
        <w:t>конфиденциальность,</w:t>
      </w:r>
      <w:r>
        <w:rPr>
          <w:color w:val="231F20"/>
          <w:spacing w:val="-5"/>
        </w:rPr>
        <w:t> </w:t>
      </w:r>
      <w:r>
        <w:rPr>
          <w:color w:val="231F20"/>
        </w:rPr>
        <w:t>и к этому стоит отнестись с пониманием.</w:t>
      </w:r>
    </w:p>
    <w:p>
      <w:pPr>
        <w:pStyle w:val="BodyText"/>
        <w:spacing w:line="235" w:lineRule="auto" w:before="1"/>
      </w:pPr>
      <w:r>
        <w:rPr>
          <w:color w:val="231F20"/>
        </w:rPr>
        <w:t>Также</w:t>
      </w:r>
      <w:r>
        <w:rPr>
          <w:color w:val="231F20"/>
          <w:spacing w:val="-13"/>
        </w:rPr>
        <w:t> </w:t>
      </w:r>
      <w:r>
        <w:rPr>
          <w:color w:val="231F20"/>
        </w:rPr>
        <w:t>можно</w:t>
      </w:r>
      <w:r>
        <w:rPr>
          <w:color w:val="231F20"/>
          <w:spacing w:val="-12"/>
        </w:rPr>
        <w:t> </w:t>
      </w:r>
      <w:r>
        <w:rPr>
          <w:color w:val="231F20"/>
        </w:rPr>
        <w:t>провести</w:t>
      </w:r>
      <w:r>
        <w:rPr>
          <w:color w:val="231F20"/>
          <w:spacing w:val="-13"/>
        </w:rPr>
        <w:t> </w:t>
      </w:r>
      <w:r>
        <w:rPr>
          <w:color w:val="231F20"/>
        </w:rPr>
        <w:t>«Живую</w:t>
      </w:r>
      <w:r>
        <w:rPr>
          <w:color w:val="231F20"/>
          <w:spacing w:val="-12"/>
        </w:rPr>
        <w:t> </w:t>
      </w:r>
      <w:r>
        <w:rPr>
          <w:color w:val="231F20"/>
        </w:rPr>
        <w:t>библиотеку»</w:t>
      </w:r>
      <w:r>
        <w:rPr>
          <w:color w:val="231F20"/>
          <w:spacing w:val="-13"/>
        </w:rPr>
        <w:t> </w:t>
      </w:r>
      <w:r>
        <w:rPr>
          <w:color w:val="231F20"/>
        </w:rPr>
        <w:t>на</w:t>
      </w:r>
      <w:r>
        <w:rPr>
          <w:color w:val="231F20"/>
          <w:spacing w:val="-12"/>
        </w:rPr>
        <w:t> </w:t>
      </w:r>
      <w:r>
        <w:rPr>
          <w:color w:val="231F20"/>
        </w:rPr>
        <w:t>тему</w:t>
      </w:r>
      <w:r>
        <w:rPr>
          <w:color w:val="231F20"/>
          <w:spacing w:val="-13"/>
        </w:rPr>
        <w:t> </w:t>
      </w:r>
      <w:r>
        <w:rPr>
          <w:i/>
          <w:color w:val="231F20"/>
        </w:rPr>
        <w:t>«Разные</w:t>
      </w:r>
      <w:r>
        <w:rPr>
          <w:i/>
          <w:color w:val="231F20"/>
          <w:spacing w:val="-12"/>
        </w:rPr>
        <w:t> </w:t>
      </w:r>
      <w:r>
        <w:rPr>
          <w:i/>
          <w:color w:val="231F20"/>
        </w:rPr>
        <w:t>люди</w:t>
      </w:r>
      <w:r>
        <w:rPr>
          <w:i/>
          <w:color w:val="231F20"/>
          <w:spacing w:val="-13"/>
        </w:rPr>
        <w:t> </w:t>
      </w:r>
      <w:r>
        <w:rPr>
          <w:i/>
          <w:color w:val="231F20"/>
        </w:rPr>
        <w:t>в</w:t>
      </w:r>
      <w:r>
        <w:rPr>
          <w:i/>
          <w:color w:val="231F20"/>
          <w:spacing w:val="-12"/>
        </w:rPr>
        <w:t> </w:t>
      </w:r>
      <w:r>
        <w:rPr>
          <w:i/>
          <w:color w:val="231F20"/>
        </w:rPr>
        <w:t>профессии»</w:t>
      </w:r>
      <w:r>
        <w:rPr>
          <w:color w:val="231F20"/>
        </w:rPr>
        <w:t>, пригласив</w:t>
      </w:r>
      <w:r>
        <w:rPr>
          <w:color w:val="231F20"/>
          <w:spacing w:val="-13"/>
        </w:rPr>
        <w:t> </w:t>
      </w:r>
      <w:r>
        <w:rPr>
          <w:color w:val="231F20"/>
        </w:rPr>
        <w:t>на</w:t>
      </w:r>
      <w:r>
        <w:rPr>
          <w:color w:val="231F20"/>
          <w:spacing w:val="-12"/>
        </w:rPr>
        <w:t> </w:t>
      </w:r>
      <w:r>
        <w:rPr>
          <w:color w:val="231F20"/>
        </w:rPr>
        <w:t>нее</w:t>
      </w:r>
      <w:r>
        <w:rPr>
          <w:color w:val="231F20"/>
          <w:spacing w:val="-13"/>
        </w:rPr>
        <w:t> </w:t>
      </w:r>
      <w:r>
        <w:rPr>
          <w:color w:val="231F20"/>
        </w:rPr>
        <w:t>профессионалов</w:t>
      </w:r>
      <w:r>
        <w:rPr>
          <w:color w:val="231F20"/>
          <w:spacing w:val="-12"/>
        </w:rPr>
        <w:t> </w:t>
      </w:r>
      <w:r>
        <w:rPr>
          <w:color w:val="231F20"/>
        </w:rPr>
        <w:t>разной</w:t>
      </w:r>
      <w:r>
        <w:rPr>
          <w:color w:val="231F20"/>
          <w:spacing w:val="-13"/>
        </w:rPr>
        <w:t> </w:t>
      </w:r>
      <w:r>
        <w:rPr>
          <w:color w:val="231F20"/>
        </w:rPr>
        <w:t>национальности.</w:t>
      </w:r>
      <w:r>
        <w:rPr>
          <w:color w:val="231F20"/>
          <w:spacing w:val="-12"/>
        </w:rPr>
        <w:t> </w:t>
      </w:r>
      <w:r>
        <w:rPr>
          <w:color w:val="231F20"/>
        </w:rPr>
        <w:t>Например,</w:t>
      </w:r>
      <w:r>
        <w:rPr>
          <w:color w:val="231F20"/>
          <w:spacing w:val="-13"/>
        </w:rPr>
        <w:t> </w:t>
      </w:r>
      <w:r>
        <w:rPr>
          <w:color w:val="231F20"/>
        </w:rPr>
        <w:t>киргиза-невро- лога, фотографа из Таджикистана, менеджера по туризму из Казахстана. Это одно- временно снижает групповую предубежденность к национальным меньшинствам в профессии и повышает мотивацию к профессиональному росту.</w:t>
      </w:r>
    </w:p>
    <w:p>
      <w:pPr>
        <w:pStyle w:val="BodyText"/>
        <w:spacing w:line="237" w:lineRule="auto" w:before="1"/>
      </w:pPr>
      <w:r>
        <w:rPr>
          <w:color w:val="231F20"/>
        </w:rPr>
        <w:t>Одной из актуальных психологических проблем может быть буллинг в классе. И если это есть, то можно пригласить взрослых, переживших буллинг</w:t>
      </w:r>
      <w:r>
        <w:rPr>
          <w:i/>
          <w:color w:val="231F20"/>
        </w:rPr>
        <w:t>, </w:t>
      </w:r>
      <w:r>
        <w:rPr>
          <w:color w:val="231F20"/>
        </w:rPr>
        <w:t>чтобы они по- делились</w:t>
      </w:r>
      <w:r>
        <w:rPr>
          <w:color w:val="231F20"/>
          <w:spacing w:val="-8"/>
        </w:rPr>
        <w:t> </w:t>
      </w:r>
      <w:r>
        <w:rPr>
          <w:color w:val="231F20"/>
        </w:rPr>
        <w:t>переживаниями</w:t>
      </w:r>
      <w:r>
        <w:rPr>
          <w:color w:val="231F20"/>
          <w:spacing w:val="-8"/>
        </w:rPr>
        <w:t> </w:t>
      </w:r>
      <w:r>
        <w:rPr>
          <w:color w:val="231F20"/>
        </w:rPr>
        <w:t>и</w:t>
      </w:r>
      <w:r>
        <w:rPr>
          <w:color w:val="231F20"/>
          <w:spacing w:val="-8"/>
        </w:rPr>
        <w:t> </w:t>
      </w:r>
      <w:r>
        <w:rPr>
          <w:color w:val="231F20"/>
        </w:rPr>
        <w:t>опытом,</w:t>
      </w:r>
      <w:r>
        <w:rPr>
          <w:color w:val="231F20"/>
          <w:spacing w:val="-8"/>
        </w:rPr>
        <w:t> </w:t>
      </w:r>
      <w:r>
        <w:rPr>
          <w:color w:val="231F20"/>
        </w:rPr>
        <w:t>назвав</w:t>
      </w:r>
      <w:r>
        <w:rPr>
          <w:color w:val="231F20"/>
          <w:spacing w:val="-8"/>
        </w:rPr>
        <w:t> </w:t>
      </w:r>
      <w:r>
        <w:rPr>
          <w:color w:val="231F20"/>
        </w:rPr>
        <w:t>«Живую</w:t>
      </w:r>
      <w:r>
        <w:rPr>
          <w:color w:val="231F20"/>
          <w:spacing w:val="-8"/>
        </w:rPr>
        <w:t> </w:t>
      </w:r>
      <w:r>
        <w:rPr>
          <w:color w:val="231F20"/>
        </w:rPr>
        <w:t>библиотеку»</w:t>
      </w:r>
      <w:r>
        <w:rPr>
          <w:color w:val="231F20"/>
          <w:spacing w:val="-7"/>
        </w:rPr>
        <w:t> </w:t>
      </w:r>
      <w:r>
        <w:rPr>
          <w:i/>
          <w:color w:val="231F20"/>
        </w:rPr>
        <w:t>«Каждый</w:t>
      </w:r>
      <w:r>
        <w:rPr>
          <w:i/>
          <w:color w:val="231F20"/>
          <w:spacing w:val="-8"/>
        </w:rPr>
        <w:t> </w:t>
      </w:r>
      <w:r>
        <w:rPr>
          <w:i/>
          <w:color w:val="231F20"/>
        </w:rPr>
        <w:t>важен»</w:t>
      </w:r>
      <w:r>
        <w:rPr>
          <w:color w:val="231F20"/>
        </w:rPr>
        <w:t>. Можно</w:t>
      </w:r>
      <w:r>
        <w:rPr>
          <w:color w:val="231F20"/>
          <w:spacing w:val="-3"/>
        </w:rPr>
        <w:t> </w:t>
      </w:r>
      <w:r>
        <w:rPr>
          <w:color w:val="231F20"/>
        </w:rPr>
        <w:t>провести</w:t>
      </w:r>
      <w:r>
        <w:rPr>
          <w:color w:val="231F20"/>
          <w:spacing w:val="-3"/>
        </w:rPr>
        <w:t> </w:t>
      </w:r>
      <w:r>
        <w:rPr>
          <w:color w:val="231F20"/>
        </w:rPr>
        <w:t>такую</w:t>
      </w:r>
      <w:r>
        <w:rPr>
          <w:color w:val="231F20"/>
          <w:spacing w:val="-3"/>
        </w:rPr>
        <w:t> </w:t>
      </w:r>
      <w:r>
        <w:rPr>
          <w:color w:val="231F20"/>
        </w:rPr>
        <w:t>же</w:t>
      </w:r>
      <w:r>
        <w:rPr>
          <w:color w:val="231F20"/>
          <w:spacing w:val="-3"/>
        </w:rPr>
        <w:t> </w:t>
      </w:r>
      <w:r>
        <w:rPr>
          <w:color w:val="231F20"/>
        </w:rPr>
        <w:t>«Живую</w:t>
      </w:r>
      <w:r>
        <w:rPr>
          <w:color w:val="231F20"/>
          <w:spacing w:val="-3"/>
        </w:rPr>
        <w:t> </w:t>
      </w:r>
      <w:r>
        <w:rPr>
          <w:color w:val="231F20"/>
        </w:rPr>
        <w:t>библиотеку»</w:t>
      </w:r>
      <w:r>
        <w:rPr>
          <w:color w:val="231F20"/>
          <w:spacing w:val="-3"/>
        </w:rPr>
        <w:t> </w:t>
      </w:r>
      <w:r>
        <w:rPr>
          <w:color w:val="231F20"/>
        </w:rPr>
        <w:t>с</w:t>
      </w:r>
      <w:r>
        <w:rPr>
          <w:color w:val="231F20"/>
          <w:spacing w:val="-3"/>
        </w:rPr>
        <w:t> </w:t>
      </w:r>
      <w:r>
        <w:rPr>
          <w:color w:val="231F20"/>
        </w:rPr>
        <w:t>«Книгами»</w:t>
      </w:r>
      <w:r>
        <w:rPr>
          <w:color w:val="231F20"/>
          <w:spacing w:val="-3"/>
        </w:rPr>
        <w:t> </w:t>
      </w:r>
      <w:r>
        <w:rPr>
          <w:color w:val="231F20"/>
        </w:rPr>
        <w:t>юношеского</w:t>
      </w:r>
      <w:r>
        <w:rPr>
          <w:color w:val="231F20"/>
          <w:spacing w:val="-3"/>
        </w:rPr>
        <w:t> </w:t>
      </w:r>
      <w:r>
        <w:rPr>
          <w:color w:val="231F20"/>
        </w:rPr>
        <w:t>возраста (17–22 года), так как их опыт может быть ближе к школьникам и вызывать доверие.</w:t>
      </w:r>
    </w:p>
    <w:p>
      <w:pPr>
        <w:pStyle w:val="BodyText"/>
        <w:spacing w:line="242" w:lineRule="auto" w:before="2"/>
      </w:pPr>
      <w:r>
        <w:rPr>
          <w:color w:val="231F20"/>
        </w:rPr>
        <w:t>Можно</w:t>
      </w:r>
      <w:r>
        <w:rPr>
          <w:color w:val="231F20"/>
          <w:spacing w:val="-2"/>
        </w:rPr>
        <w:t> </w:t>
      </w:r>
      <w:r>
        <w:rPr>
          <w:color w:val="231F20"/>
        </w:rPr>
        <w:t>посвящать</w:t>
      </w:r>
      <w:r>
        <w:rPr>
          <w:color w:val="231F20"/>
          <w:spacing w:val="-2"/>
        </w:rPr>
        <w:t> </w:t>
      </w:r>
      <w:r>
        <w:rPr>
          <w:color w:val="231F20"/>
        </w:rPr>
        <w:t>«Живую</w:t>
      </w:r>
      <w:r>
        <w:rPr>
          <w:color w:val="231F20"/>
          <w:spacing w:val="-2"/>
        </w:rPr>
        <w:t> </w:t>
      </w:r>
      <w:r>
        <w:rPr>
          <w:color w:val="231F20"/>
        </w:rPr>
        <w:t>библиотеку»</w:t>
      </w:r>
      <w:r>
        <w:rPr>
          <w:color w:val="231F20"/>
          <w:spacing w:val="-2"/>
        </w:rPr>
        <w:t> </w:t>
      </w:r>
      <w:r>
        <w:rPr>
          <w:color w:val="231F20"/>
        </w:rPr>
        <w:t>общечеловеческим</w:t>
      </w:r>
      <w:r>
        <w:rPr>
          <w:color w:val="231F20"/>
          <w:spacing w:val="-2"/>
        </w:rPr>
        <w:t> </w:t>
      </w:r>
      <w:r>
        <w:rPr>
          <w:color w:val="231F20"/>
        </w:rPr>
        <w:t>темам,</w:t>
      </w:r>
      <w:r>
        <w:rPr>
          <w:color w:val="231F20"/>
          <w:spacing w:val="-2"/>
        </w:rPr>
        <w:t> </w:t>
      </w:r>
      <w:r>
        <w:rPr>
          <w:color w:val="231F20"/>
        </w:rPr>
        <w:t>которые</w:t>
      </w:r>
      <w:r>
        <w:rPr>
          <w:color w:val="231F20"/>
          <w:spacing w:val="-2"/>
        </w:rPr>
        <w:t> </w:t>
      </w:r>
      <w:r>
        <w:rPr>
          <w:color w:val="231F20"/>
        </w:rPr>
        <w:t>вол- нуют школьников. Такие как дружба, влюбленность, мечты, отношения с родителя- ми. Например, </w:t>
      </w:r>
      <w:r>
        <w:rPr>
          <w:i/>
          <w:color w:val="231F20"/>
        </w:rPr>
        <w:t>«Как я конфликтую»</w:t>
      </w:r>
      <w:r>
        <w:rPr>
          <w:color w:val="231F20"/>
        </w:rPr>
        <w:t>. «Книгами» могут выступать разные люди, или же</w:t>
      </w:r>
      <w:r>
        <w:rPr>
          <w:color w:val="231F20"/>
          <w:spacing w:val="-11"/>
        </w:rPr>
        <w:t> </w:t>
      </w:r>
      <w:r>
        <w:rPr>
          <w:color w:val="231F20"/>
        </w:rPr>
        <w:t>можно</w:t>
      </w:r>
      <w:r>
        <w:rPr>
          <w:color w:val="231F20"/>
          <w:spacing w:val="-11"/>
        </w:rPr>
        <w:t> </w:t>
      </w:r>
      <w:r>
        <w:rPr>
          <w:color w:val="231F20"/>
        </w:rPr>
        <w:t>пригласить</w:t>
      </w:r>
      <w:r>
        <w:rPr>
          <w:color w:val="231F20"/>
          <w:spacing w:val="-11"/>
        </w:rPr>
        <w:t> </w:t>
      </w:r>
      <w:r>
        <w:rPr>
          <w:color w:val="231F20"/>
        </w:rPr>
        <w:t>учеников</w:t>
      </w:r>
      <w:r>
        <w:rPr>
          <w:color w:val="231F20"/>
          <w:spacing w:val="-11"/>
        </w:rPr>
        <w:t> </w:t>
      </w:r>
      <w:r>
        <w:rPr>
          <w:color w:val="231F20"/>
        </w:rPr>
        <w:t>психологического</w:t>
      </w:r>
      <w:r>
        <w:rPr>
          <w:color w:val="231F20"/>
          <w:spacing w:val="-11"/>
        </w:rPr>
        <w:t> </w:t>
      </w:r>
      <w:r>
        <w:rPr>
          <w:color w:val="231F20"/>
        </w:rPr>
        <w:t>лицея</w:t>
      </w:r>
      <w:r>
        <w:rPr>
          <w:color w:val="231F20"/>
          <w:spacing w:val="-11"/>
        </w:rPr>
        <w:t> </w:t>
      </w:r>
      <w:r>
        <w:rPr>
          <w:color w:val="231F20"/>
        </w:rPr>
        <w:t>или</w:t>
      </w:r>
      <w:r>
        <w:rPr>
          <w:color w:val="231F20"/>
          <w:spacing w:val="-11"/>
        </w:rPr>
        <w:t> </w:t>
      </w:r>
      <w:r>
        <w:rPr>
          <w:color w:val="231F20"/>
        </w:rPr>
        <w:t>студентов</w:t>
      </w:r>
      <w:r>
        <w:rPr>
          <w:color w:val="231F20"/>
          <w:spacing w:val="-11"/>
        </w:rPr>
        <w:t> </w:t>
      </w:r>
      <w:r>
        <w:rPr>
          <w:color w:val="231F20"/>
        </w:rPr>
        <w:t>психологиче- ского факультета.</w:t>
      </w:r>
    </w:p>
    <w:p>
      <w:pPr>
        <w:pStyle w:val="BodyText"/>
        <w:spacing w:line="229" w:lineRule="exact"/>
        <w:ind w:left="425" w:right="0" w:firstLine="0"/>
      </w:pPr>
      <w:r>
        <w:rPr>
          <w:color w:val="231F20"/>
        </w:rPr>
        <w:t>Проведению</w:t>
      </w:r>
      <w:r>
        <w:rPr>
          <w:color w:val="231F20"/>
          <w:spacing w:val="-7"/>
        </w:rPr>
        <w:t> </w:t>
      </w:r>
      <w:r>
        <w:rPr>
          <w:color w:val="231F20"/>
        </w:rPr>
        <w:t>«Живой</w:t>
      </w:r>
      <w:r>
        <w:rPr>
          <w:color w:val="231F20"/>
          <w:spacing w:val="-6"/>
        </w:rPr>
        <w:t> </w:t>
      </w:r>
      <w:r>
        <w:rPr>
          <w:color w:val="231F20"/>
        </w:rPr>
        <w:t>библиотеки»</w:t>
      </w:r>
      <w:r>
        <w:rPr>
          <w:color w:val="231F20"/>
          <w:spacing w:val="-6"/>
        </w:rPr>
        <w:t> </w:t>
      </w:r>
      <w:r>
        <w:rPr>
          <w:color w:val="231F20"/>
        </w:rPr>
        <w:t>можно</w:t>
      </w:r>
      <w:r>
        <w:rPr>
          <w:color w:val="231F20"/>
          <w:spacing w:val="-5"/>
        </w:rPr>
        <w:t> </w:t>
      </w:r>
      <w:r>
        <w:rPr>
          <w:color w:val="231F20"/>
        </w:rPr>
        <w:t>посвятить</w:t>
      </w:r>
      <w:r>
        <w:rPr>
          <w:color w:val="231F20"/>
          <w:spacing w:val="-6"/>
        </w:rPr>
        <w:t> </w:t>
      </w:r>
      <w:r>
        <w:rPr>
          <w:color w:val="231F20"/>
        </w:rPr>
        <w:t>один</w:t>
      </w:r>
      <w:r>
        <w:rPr>
          <w:color w:val="231F20"/>
          <w:spacing w:val="-7"/>
        </w:rPr>
        <w:t> </w:t>
      </w:r>
      <w:r>
        <w:rPr>
          <w:color w:val="231F20"/>
        </w:rPr>
        <w:t>из</w:t>
      </w:r>
      <w:r>
        <w:rPr>
          <w:color w:val="231F20"/>
          <w:spacing w:val="-5"/>
        </w:rPr>
        <w:t> </w:t>
      </w:r>
      <w:r>
        <w:rPr>
          <w:color w:val="231F20"/>
        </w:rPr>
        <w:t>классных</w:t>
      </w:r>
      <w:r>
        <w:rPr>
          <w:color w:val="231F20"/>
          <w:spacing w:val="-5"/>
        </w:rPr>
        <w:t> </w:t>
      </w:r>
      <w:r>
        <w:rPr>
          <w:color w:val="231F20"/>
          <w:spacing w:val="-2"/>
        </w:rPr>
        <w:t>часов.</w:t>
      </w:r>
    </w:p>
    <w:p>
      <w:pPr>
        <w:pStyle w:val="ListParagraph"/>
        <w:numPr>
          <w:ilvl w:val="0"/>
          <w:numId w:val="296"/>
        </w:numPr>
        <w:tabs>
          <w:tab w:pos="424" w:val="left" w:leader="none"/>
        </w:tabs>
        <w:spacing w:line="240" w:lineRule="auto" w:before="115" w:after="0"/>
        <w:ind w:left="424" w:right="0" w:hanging="283"/>
        <w:jc w:val="both"/>
        <w:rPr>
          <w:i/>
          <w:sz w:val="20"/>
        </w:rPr>
      </w:pPr>
      <w:r>
        <w:rPr>
          <w:i/>
          <w:color w:val="231F20"/>
          <w:sz w:val="20"/>
        </w:rPr>
        <w:t>Назначьте</w:t>
      </w:r>
      <w:r>
        <w:rPr>
          <w:i/>
          <w:color w:val="231F20"/>
          <w:spacing w:val="-8"/>
          <w:sz w:val="20"/>
        </w:rPr>
        <w:t> </w:t>
      </w:r>
      <w:r>
        <w:rPr>
          <w:i/>
          <w:color w:val="231F20"/>
          <w:sz w:val="20"/>
        </w:rPr>
        <w:t>дату</w:t>
      </w:r>
      <w:r>
        <w:rPr>
          <w:i/>
          <w:color w:val="231F20"/>
          <w:spacing w:val="-5"/>
          <w:sz w:val="20"/>
        </w:rPr>
        <w:t> </w:t>
      </w:r>
      <w:r>
        <w:rPr>
          <w:i/>
          <w:color w:val="231F20"/>
          <w:sz w:val="20"/>
        </w:rPr>
        <w:t>Живой</w:t>
      </w:r>
      <w:r>
        <w:rPr>
          <w:i/>
          <w:color w:val="231F20"/>
          <w:spacing w:val="-5"/>
          <w:sz w:val="20"/>
        </w:rPr>
        <w:t> </w:t>
      </w:r>
      <w:r>
        <w:rPr>
          <w:i/>
          <w:color w:val="231F20"/>
          <w:sz w:val="20"/>
        </w:rPr>
        <w:t>библиотеки</w:t>
      </w:r>
      <w:r>
        <w:rPr>
          <w:i/>
          <w:color w:val="231F20"/>
          <w:spacing w:val="-5"/>
          <w:sz w:val="20"/>
        </w:rPr>
        <w:t> </w:t>
      </w:r>
      <w:r>
        <w:rPr>
          <w:i/>
          <w:color w:val="231F20"/>
          <w:sz w:val="20"/>
        </w:rPr>
        <w:t>и</w:t>
      </w:r>
      <w:r>
        <w:rPr>
          <w:i/>
          <w:color w:val="231F20"/>
          <w:spacing w:val="-5"/>
          <w:sz w:val="20"/>
        </w:rPr>
        <w:t> </w:t>
      </w:r>
      <w:r>
        <w:rPr>
          <w:i/>
          <w:color w:val="231F20"/>
          <w:sz w:val="20"/>
        </w:rPr>
        <w:t>начните</w:t>
      </w:r>
      <w:r>
        <w:rPr>
          <w:i/>
          <w:color w:val="231F20"/>
          <w:spacing w:val="-5"/>
          <w:sz w:val="20"/>
        </w:rPr>
        <w:t> </w:t>
      </w:r>
      <w:r>
        <w:rPr>
          <w:i/>
          <w:color w:val="231F20"/>
          <w:sz w:val="20"/>
        </w:rPr>
        <w:t>приглашать</w:t>
      </w:r>
      <w:r>
        <w:rPr>
          <w:i/>
          <w:color w:val="231F20"/>
          <w:spacing w:val="-6"/>
          <w:sz w:val="20"/>
        </w:rPr>
        <w:t> </w:t>
      </w:r>
      <w:r>
        <w:rPr>
          <w:i/>
          <w:color w:val="231F20"/>
          <w:spacing w:val="-2"/>
          <w:sz w:val="20"/>
        </w:rPr>
        <w:t>«Читателей»</w:t>
      </w:r>
    </w:p>
    <w:p>
      <w:pPr>
        <w:pStyle w:val="BodyText"/>
        <w:spacing w:line="242" w:lineRule="auto" w:before="2"/>
      </w:pPr>
      <w:r>
        <w:rPr>
          <w:color w:val="231F20"/>
        </w:rPr>
        <w:t>Это могут быть посты в социальных сетях, постеры на доске объявлений, объяв- ление в чате или на собрании… Все, что сочтете нужным!</w:t>
      </w:r>
    </w:p>
    <w:p>
      <w:pPr>
        <w:pStyle w:val="BodyText"/>
        <w:spacing w:line="242" w:lineRule="auto"/>
      </w:pPr>
      <w:r>
        <w:rPr>
          <w:color w:val="231F20"/>
          <w:spacing w:val="-2"/>
        </w:rPr>
        <w:t>Имейте</w:t>
      </w:r>
      <w:r>
        <w:rPr>
          <w:color w:val="231F20"/>
          <w:spacing w:val="-5"/>
        </w:rPr>
        <w:t> </w:t>
      </w:r>
      <w:r>
        <w:rPr>
          <w:color w:val="231F20"/>
          <w:spacing w:val="-2"/>
        </w:rPr>
        <w:t>в</w:t>
      </w:r>
      <w:r>
        <w:rPr>
          <w:color w:val="231F20"/>
          <w:spacing w:val="-5"/>
        </w:rPr>
        <w:t> </w:t>
      </w:r>
      <w:r>
        <w:rPr>
          <w:color w:val="231F20"/>
          <w:spacing w:val="-2"/>
        </w:rPr>
        <w:t>виду,</w:t>
      </w:r>
      <w:r>
        <w:rPr>
          <w:color w:val="231F20"/>
          <w:spacing w:val="-5"/>
        </w:rPr>
        <w:t> </w:t>
      </w:r>
      <w:r>
        <w:rPr>
          <w:color w:val="231F20"/>
          <w:spacing w:val="-2"/>
        </w:rPr>
        <w:t>что</w:t>
      </w:r>
      <w:r>
        <w:rPr>
          <w:color w:val="231F20"/>
          <w:spacing w:val="-5"/>
        </w:rPr>
        <w:t> </w:t>
      </w:r>
      <w:r>
        <w:rPr>
          <w:color w:val="231F20"/>
          <w:spacing w:val="-2"/>
        </w:rPr>
        <w:t>количество</w:t>
      </w:r>
      <w:r>
        <w:rPr>
          <w:color w:val="231F20"/>
          <w:spacing w:val="-5"/>
        </w:rPr>
        <w:t> </w:t>
      </w:r>
      <w:r>
        <w:rPr>
          <w:color w:val="231F20"/>
          <w:spacing w:val="-2"/>
        </w:rPr>
        <w:t>приглашенных</w:t>
      </w:r>
      <w:r>
        <w:rPr>
          <w:color w:val="231F20"/>
          <w:spacing w:val="-5"/>
        </w:rPr>
        <w:t> </w:t>
      </w:r>
      <w:r>
        <w:rPr>
          <w:color w:val="231F20"/>
          <w:spacing w:val="-2"/>
        </w:rPr>
        <w:t>в</w:t>
      </w:r>
      <w:r>
        <w:rPr>
          <w:color w:val="231F20"/>
          <w:spacing w:val="-5"/>
        </w:rPr>
        <w:t> </w:t>
      </w:r>
      <w:r>
        <w:rPr>
          <w:color w:val="231F20"/>
          <w:spacing w:val="-2"/>
        </w:rPr>
        <w:t>«Живую</w:t>
      </w:r>
      <w:r>
        <w:rPr>
          <w:color w:val="231F20"/>
          <w:spacing w:val="-5"/>
        </w:rPr>
        <w:t> </w:t>
      </w:r>
      <w:r>
        <w:rPr>
          <w:color w:val="231F20"/>
          <w:spacing w:val="-2"/>
        </w:rPr>
        <w:t>библиотеку»</w:t>
      </w:r>
      <w:r>
        <w:rPr>
          <w:color w:val="231F20"/>
          <w:spacing w:val="-5"/>
        </w:rPr>
        <w:t> </w:t>
      </w:r>
      <w:r>
        <w:rPr>
          <w:color w:val="231F20"/>
          <w:spacing w:val="-2"/>
        </w:rPr>
        <w:t>ограничено. </w:t>
      </w:r>
      <w:r>
        <w:rPr>
          <w:color w:val="231F20"/>
        </w:rPr>
        <w:t>Это</w:t>
      </w:r>
      <w:r>
        <w:rPr>
          <w:color w:val="231F20"/>
          <w:spacing w:val="-10"/>
        </w:rPr>
        <w:t> </w:t>
      </w:r>
      <w:r>
        <w:rPr>
          <w:color w:val="231F20"/>
        </w:rPr>
        <w:t>важный</w:t>
      </w:r>
      <w:r>
        <w:rPr>
          <w:color w:val="231F20"/>
          <w:spacing w:val="-10"/>
        </w:rPr>
        <w:t> </w:t>
      </w:r>
      <w:r>
        <w:rPr>
          <w:color w:val="231F20"/>
        </w:rPr>
        <w:t>момент</w:t>
      </w:r>
      <w:r>
        <w:rPr>
          <w:color w:val="231F20"/>
          <w:spacing w:val="-10"/>
        </w:rPr>
        <w:t> </w:t>
      </w:r>
      <w:r>
        <w:rPr>
          <w:color w:val="231F20"/>
        </w:rPr>
        <w:t>техники</w:t>
      </w:r>
      <w:r>
        <w:rPr>
          <w:color w:val="231F20"/>
          <w:spacing w:val="-10"/>
        </w:rPr>
        <w:t> </w:t>
      </w:r>
      <w:r>
        <w:rPr>
          <w:color w:val="231F20"/>
        </w:rPr>
        <w:t>проведения.</w:t>
      </w:r>
      <w:r>
        <w:rPr>
          <w:color w:val="231F20"/>
          <w:spacing w:val="-10"/>
        </w:rPr>
        <w:t> </w:t>
      </w:r>
      <w:r>
        <w:rPr>
          <w:color w:val="231F20"/>
        </w:rPr>
        <w:t>Набрав</w:t>
      </w:r>
      <w:r>
        <w:rPr>
          <w:color w:val="231F20"/>
          <w:spacing w:val="-10"/>
        </w:rPr>
        <w:t> </w:t>
      </w:r>
      <w:r>
        <w:rPr>
          <w:color w:val="231F20"/>
        </w:rPr>
        <w:t>книги,</w:t>
      </w:r>
      <w:r>
        <w:rPr>
          <w:color w:val="231F20"/>
          <w:spacing w:val="-10"/>
        </w:rPr>
        <w:t> </w:t>
      </w:r>
      <w:r>
        <w:rPr>
          <w:color w:val="231F20"/>
        </w:rPr>
        <w:t>можно</w:t>
      </w:r>
      <w:r>
        <w:rPr>
          <w:color w:val="231F20"/>
          <w:spacing w:val="-10"/>
        </w:rPr>
        <w:t> </w:t>
      </w:r>
      <w:r>
        <w:rPr>
          <w:color w:val="231F20"/>
        </w:rPr>
        <w:t>рассчитать</w:t>
      </w:r>
      <w:r>
        <w:rPr>
          <w:color w:val="231F20"/>
          <w:spacing w:val="-10"/>
        </w:rPr>
        <w:t> </w:t>
      </w:r>
      <w:r>
        <w:rPr>
          <w:color w:val="231F20"/>
        </w:rPr>
        <w:t>примерно по</w:t>
      </w:r>
      <w:r>
        <w:rPr>
          <w:color w:val="231F20"/>
          <w:spacing w:val="-3"/>
        </w:rPr>
        <w:t> </w:t>
      </w:r>
      <w:r>
        <w:rPr>
          <w:color w:val="231F20"/>
        </w:rPr>
        <w:t>3-4</w:t>
      </w:r>
      <w:r>
        <w:rPr>
          <w:color w:val="231F20"/>
          <w:spacing w:val="-3"/>
        </w:rPr>
        <w:t> </w:t>
      </w:r>
      <w:r>
        <w:rPr>
          <w:color w:val="231F20"/>
        </w:rPr>
        <w:t>человек</w:t>
      </w:r>
      <w:r>
        <w:rPr>
          <w:color w:val="231F20"/>
          <w:spacing w:val="-3"/>
        </w:rPr>
        <w:t> </w:t>
      </w:r>
      <w:r>
        <w:rPr>
          <w:color w:val="231F20"/>
        </w:rPr>
        <w:t>на</w:t>
      </w:r>
      <w:r>
        <w:rPr>
          <w:color w:val="231F20"/>
          <w:spacing w:val="-3"/>
        </w:rPr>
        <w:t> </w:t>
      </w:r>
      <w:r>
        <w:rPr>
          <w:color w:val="231F20"/>
        </w:rPr>
        <w:t>«Книгу».</w:t>
      </w:r>
      <w:r>
        <w:rPr>
          <w:color w:val="231F20"/>
          <w:spacing w:val="-3"/>
        </w:rPr>
        <w:t> </w:t>
      </w:r>
      <w:r>
        <w:rPr>
          <w:color w:val="231F20"/>
        </w:rPr>
        <w:t>Однако</w:t>
      </w:r>
      <w:r>
        <w:rPr>
          <w:color w:val="231F20"/>
          <w:spacing w:val="-3"/>
        </w:rPr>
        <w:t> </w:t>
      </w:r>
      <w:r>
        <w:rPr>
          <w:color w:val="231F20"/>
        </w:rPr>
        <w:t>если</w:t>
      </w:r>
      <w:r>
        <w:rPr>
          <w:color w:val="231F20"/>
          <w:spacing w:val="-3"/>
        </w:rPr>
        <w:t> </w:t>
      </w:r>
      <w:r>
        <w:rPr>
          <w:color w:val="231F20"/>
        </w:rPr>
        <w:t>не</w:t>
      </w:r>
      <w:r>
        <w:rPr>
          <w:color w:val="231F20"/>
          <w:spacing w:val="-3"/>
        </w:rPr>
        <w:t> </w:t>
      </w:r>
      <w:r>
        <w:rPr>
          <w:color w:val="231F20"/>
        </w:rPr>
        <w:t>придет</w:t>
      </w:r>
      <w:r>
        <w:rPr>
          <w:color w:val="231F20"/>
          <w:spacing w:val="-3"/>
        </w:rPr>
        <w:t> </w:t>
      </w:r>
      <w:r>
        <w:rPr>
          <w:color w:val="231F20"/>
        </w:rPr>
        <w:t>кто-то</w:t>
      </w:r>
      <w:r>
        <w:rPr>
          <w:color w:val="231F20"/>
          <w:spacing w:val="-3"/>
        </w:rPr>
        <w:t> </w:t>
      </w:r>
      <w:r>
        <w:rPr>
          <w:color w:val="231F20"/>
        </w:rPr>
        <w:t>из</w:t>
      </w:r>
      <w:r>
        <w:rPr>
          <w:color w:val="231F20"/>
          <w:spacing w:val="-3"/>
        </w:rPr>
        <w:t> </w:t>
      </w:r>
      <w:r>
        <w:rPr>
          <w:color w:val="231F20"/>
        </w:rPr>
        <w:t>«Книг»,</w:t>
      </w:r>
      <w:r>
        <w:rPr>
          <w:color w:val="231F20"/>
          <w:spacing w:val="-3"/>
        </w:rPr>
        <w:t> </w:t>
      </w:r>
      <w:r>
        <w:rPr>
          <w:color w:val="231F20"/>
        </w:rPr>
        <w:t>то</w:t>
      </w:r>
      <w:r>
        <w:rPr>
          <w:color w:val="231F20"/>
          <w:spacing w:val="-3"/>
        </w:rPr>
        <w:t> </w:t>
      </w:r>
      <w:r>
        <w:rPr>
          <w:color w:val="231F20"/>
        </w:rPr>
        <w:t>«Читателей» может стать больше. Не рекомендуется «читать» одну «Книгу» больше восьми «Чи- тателям»: если читателей у книги в один момент слишком много, не все успевают задать свои вопросы и обсуждение рискует стать поверхностным.</w:t>
      </w:r>
    </w:p>
    <w:p>
      <w:pPr>
        <w:pStyle w:val="BodyText"/>
        <w:spacing w:line="235" w:lineRule="auto"/>
      </w:pPr>
      <w:r>
        <w:rPr>
          <w:color w:val="231F20"/>
        </w:rPr>
        <w:t>Предупредите гостей, чтобы они постарались не опаздывать. «Книга» будет рас- сказывать иногда об очень личном опыте, поэтому крайне важно не перебивать и не отвлекать группу. Это правило распространяется даже на дистанционный формат проведения «Живой библиотеки».</w:t>
      </w:r>
    </w:p>
    <w:p>
      <w:pPr>
        <w:pStyle w:val="ListParagraph"/>
        <w:numPr>
          <w:ilvl w:val="0"/>
          <w:numId w:val="296"/>
        </w:numPr>
        <w:tabs>
          <w:tab w:pos="424" w:val="left" w:leader="none"/>
        </w:tabs>
        <w:spacing w:line="228" w:lineRule="exact" w:before="108" w:after="0"/>
        <w:ind w:left="424" w:right="0" w:hanging="283"/>
        <w:jc w:val="both"/>
        <w:rPr>
          <w:i/>
          <w:sz w:val="20"/>
        </w:rPr>
      </w:pPr>
      <w:r>
        <w:rPr>
          <w:i/>
          <w:color w:val="231F20"/>
          <w:spacing w:val="-2"/>
          <w:sz w:val="20"/>
        </w:rPr>
        <w:t>Приготовьтесь!</w:t>
      </w:r>
    </w:p>
    <w:p>
      <w:pPr>
        <w:pStyle w:val="BodyText"/>
        <w:spacing w:line="235" w:lineRule="auto" w:before="2"/>
      </w:pPr>
      <w:r>
        <w:rPr>
          <w:color w:val="231F20"/>
        </w:rPr>
        <w:t>Сделайте</w:t>
      </w:r>
      <w:r>
        <w:rPr>
          <w:color w:val="231F20"/>
          <w:spacing w:val="-10"/>
        </w:rPr>
        <w:t> </w:t>
      </w:r>
      <w:r>
        <w:rPr>
          <w:color w:val="231F20"/>
        </w:rPr>
        <w:t>организационные</w:t>
      </w:r>
      <w:r>
        <w:rPr>
          <w:color w:val="231F20"/>
          <w:spacing w:val="-10"/>
        </w:rPr>
        <w:t> </w:t>
      </w:r>
      <w:r>
        <w:rPr>
          <w:color w:val="231F20"/>
        </w:rPr>
        <w:t>созвоны</w:t>
      </w:r>
      <w:r>
        <w:rPr>
          <w:color w:val="231F20"/>
          <w:spacing w:val="-10"/>
        </w:rPr>
        <w:t> </w:t>
      </w:r>
      <w:r>
        <w:rPr>
          <w:color w:val="231F20"/>
        </w:rPr>
        <w:t>с</w:t>
      </w:r>
      <w:r>
        <w:rPr>
          <w:color w:val="231F20"/>
          <w:spacing w:val="-10"/>
        </w:rPr>
        <w:t> </w:t>
      </w:r>
      <w:r>
        <w:rPr>
          <w:color w:val="231F20"/>
        </w:rPr>
        <w:t>«Книгами».</w:t>
      </w:r>
      <w:r>
        <w:rPr>
          <w:color w:val="231F20"/>
          <w:spacing w:val="-10"/>
        </w:rPr>
        <w:t> </w:t>
      </w:r>
      <w:r>
        <w:rPr>
          <w:color w:val="231F20"/>
        </w:rPr>
        <w:t>Если</w:t>
      </w:r>
      <w:r>
        <w:rPr>
          <w:color w:val="231F20"/>
          <w:spacing w:val="-10"/>
        </w:rPr>
        <w:t> </w:t>
      </w:r>
      <w:r>
        <w:rPr>
          <w:color w:val="231F20"/>
        </w:rPr>
        <w:t>«Живая</w:t>
      </w:r>
      <w:r>
        <w:rPr>
          <w:color w:val="231F20"/>
          <w:spacing w:val="-10"/>
        </w:rPr>
        <w:t> </w:t>
      </w:r>
      <w:r>
        <w:rPr>
          <w:color w:val="231F20"/>
        </w:rPr>
        <w:t>библиотека»</w:t>
      </w:r>
      <w:r>
        <w:rPr>
          <w:color w:val="231F20"/>
          <w:spacing w:val="-10"/>
        </w:rPr>
        <w:t> </w:t>
      </w:r>
      <w:r>
        <w:rPr>
          <w:color w:val="231F20"/>
        </w:rPr>
        <w:t>про- ходит</w:t>
      </w:r>
      <w:r>
        <w:rPr>
          <w:color w:val="231F20"/>
          <w:spacing w:val="-2"/>
        </w:rPr>
        <w:t> </w:t>
      </w:r>
      <w:r>
        <w:rPr>
          <w:color w:val="231F20"/>
        </w:rPr>
        <w:t>в</w:t>
      </w:r>
      <w:r>
        <w:rPr>
          <w:color w:val="231F20"/>
          <w:spacing w:val="-2"/>
        </w:rPr>
        <w:t> </w:t>
      </w:r>
      <w:r>
        <w:rPr>
          <w:color w:val="231F20"/>
        </w:rPr>
        <w:t>очном</w:t>
      </w:r>
      <w:r>
        <w:rPr>
          <w:color w:val="231F20"/>
          <w:spacing w:val="-2"/>
        </w:rPr>
        <w:t> </w:t>
      </w:r>
      <w:r>
        <w:rPr>
          <w:color w:val="231F20"/>
        </w:rPr>
        <w:t>формате</w:t>
      </w:r>
      <w:r>
        <w:rPr>
          <w:color w:val="231F20"/>
          <w:spacing w:val="-2"/>
        </w:rPr>
        <w:t> </w:t>
      </w:r>
      <w:r>
        <w:rPr>
          <w:color w:val="231F20"/>
        </w:rPr>
        <w:t>–</w:t>
      </w:r>
      <w:r>
        <w:rPr>
          <w:color w:val="231F20"/>
          <w:spacing w:val="-2"/>
        </w:rPr>
        <w:t> </w:t>
      </w:r>
      <w:r>
        <w:rPr>
          <w:color w:val="231F20"/>
        </w:rPr>
        <w:t>подумайте,</w:t>
      </w:r>
      <w:r>
        <w:rPr>
          <w:color w:val="231F20"/>
          <w:spacing w:val="-2"/>
        </w:rPr>
        <w:t> </w:t>
      </w:r>
      <w:r>
        <w:rPr>
          <w:color w:val="231F20"/>
        </w:rPr>
        <w:t>как</w:t>
      </w:r>
      <w:r>
        <w:rPr>
          <w:color w:val="231F20"/>
          <w:spacing w:val="-2"/>
        </w:rPr>
        <w:t> </w:t>
      </w:r>
      <w:r>
        <w:rPr>
          <w:color w:val="231F20"/>
        </w:rPr>
        <w:t>организовать</w:t>
      </w:r>
      <w:r>
        <w:rPr>
          <w:color w:val="231F20"/>
          <w:spacing w:val="-2"/>
        </w:rPr>
        <w:t> </w:t>
      </w:r>
      <w:r>
        <w:rPr>
          <w:color w:val="231F20"/>
        </w:rPr>
        <w:t>пространство</w:t>
      </w:r>
      <w:r>
        <w:rPr>
          <w:color w:val="231F20"/>
          <w:spacing w:val="-2"/>
        </w:rPr>
        <w:t> </w:t>
      </w:r>
      <w:r>
        <w:rPr>
          <w:color w:val="231F20"/>
        </w:rPr>
        <w:t>(где</w:t>
      </w:r>
      <w:r>
        <w:rPr>
          <w:color w:val="231F20"/>
          <w:spacing w:val="-2"/>
        </w:rPr>
        <w:t> </w:t>
      </w:r>
      <w:r>
        <w:rPr>
          <w:color w:val="231F20"/>
        </w:rPr>
        <w:t>разместить все малые группы, хватит ли всем стульев и т.д.).</w:t>
      </w:r>
    </w:p>
    <w:p>
      <w:pPr>
        <w:pStyle w:val="BodyText"/>
        <w:spacing w:line="235" w:lineRule="auto" w:before="2"/>
      </w:pPr>
      <w:r>
        <w:rPr>
          <w:color w:val="231F20"/>
        </w:rPr>
        <w:t>На</w:t>
      </w:r>
      <w:r>
        <w:rPr>
          <w:color w:val="231F20"/>
          <w:spacing w:val="-5"/>
        </w:rPr>
        <w:t> </w:t>
      </w:r>
      <w:r>
        <w:rPr>
          <w:color w:val="231F20"/>
        </w:rPr>
        <w:t>одной</w:t>
      </w:r>
      <w:r>
        <w:rPr>
          <w:color w:val="231F20"/>
          <w:spacing w:val="-5"/>
        </w:rPr>
        <w:t> </w:t>
      </w:r>
      <w:r>
        <w:rPr>
          <w:color w:val="231F20"/>
        </w:rPr>
        <w:t>из</w:t>
      </w:r>
      <w:r>
        <w:rPr>
          <w:color w:val="231F20"/>
          <w:spacing w:val="-5"/>
        </w:rPr>
        <w:t> </w:t>
      </w:r>
      <w:r>
        <w:rPr>
          <w:color w:val="231F20"/>
        </w:rPr>
        <w:t>встреч</w:t>
      </w:r>
      <w:r>
        <w:rPr>
          <w:color w:val="231F20"/>
          <w:spacing w:val="-5"/>
        </w:rPr>
        <w:t> </w:t>
      </w:r>
      <w:r>
        <w:rPr>
          <w:color w:val="231F20"/>
        </w:rPr>
        <w:t>с</w:t>
      </w:r>
      <w:r>
        <w:rPr>
          <w:color w:val="231F20"/>
          <w:spacing w:val="-5"/>
        </w:rPr>
        <w:t> </w:t>
      </w:r>
      <w:r>
        <w:rPr>
          <w:color w:val="231F20"/>
        </w:rPr>
        <w:t>организаторами</w:t>
      </w:r>
      <w:r>
        <w:rPr>
          <w:color w:val="231F20"/>
          <w:spacing w:val="-5"/>
        </w:rPr>
        <w:t> </w:t>
      </w:r>
      <w:r>
        <w:rPr>
          <w:color w:val="231F20"/>
        </w:rPr>
        <w:t>проговорите</w:t>
      </w:r>
      <w:r>
        <w:rPr>
          <w:color w:val="231F20"/>
          <w:spacing w:val="-5"/>
        </w:rPr>
        <w:t> </w:t>
      </w:r>
      <w:r>
        <w:rPr>
          <w:color w:val="231F20"/>
        </w:rPr>
        <w:t>возможные</w:t>
      </w:r>
      <w:r>
        <w:rPr>
          <w:color w:val="231F20"/>
          <w:spacing w:val="-5"/>
        </w:rPr>
        <w:t> </w:t>
      </w:r>
      <w:r>
        <w:rPr>
          <w:color w:val="231F20"/>
        </w:rPr>
        <w:t>риски</w:t>
      </w:r>
      <w:r>
        <w:rPr>
          <w:color w:val="231F20"/>
          <w:spacing w:val="-5"/>
        </w:rPr>
        <w:t> </w:t>
      </w:r>
      <w:r>
        <w:rPr>
          <w:color w:val="231F20"/>
        </w:rPr>
        <w:t>и</w:t>
      </w:r>
      <w:r>
        <w:rPr>
          <w:color w:val="231F20"/>
          <w:spacing w:val="-5"/>
        </w:rPr>
        <w:t> </w:t>
      </w:r>
      <w:r>
        <w:rPr>
          <w:color w:val="231F20"/>
        </w:rPr>
        <w:t>действия</w:t>
      </w:r>
      <w:r>
        <w:rPr>
          <w:color w:val="231F20"/>
          <w:spacing w:val="-5"/>
        </w:rPr>
        <w:t> </w:t>
      </w:r>
      <w:r>
        <w:rPr>
          <w:color w:val="231F20"/>
        </w:rPr>
        <w:t>в них. Например:</w:t>
      </w:r>
    </w:p>
    <w:p>
      <w:pPr>
        <w:pStyle w:val="ListParagraph"/>
        <w:numPr>
          <w:ilvl w:val="0"/>
          <w:numId w:val="297"/>
        </w:numPr>
        <w:tabs>
          <w:tab w:pos="708" w:val="left" w:leader="none"/>
        </w:tabs>
        <w:spacing w:line="235" w:lineRule="auto" w:before="1" w:after="0"/>
        <w:ind w:left="708" w:right="140" w:hanging="284"/>
        <w:jc w:val="both"/>
        <w:rPr>
          <w:sz w:val="20"/>
        </w:rPr>
      </w:pPr>
      <w:r>
        <w:rPr>
          <w:color w:val="231F20"/>
          <w:sz w:val="20"/>
        </w:rPr>
        <w:t>Если</w:t>
      </w:r>
      <w:r>
        <w:rPr>
          <w:color w:val="231F20"/>
          <w:spacing w:val="-10"/>
          <w:sz w:val="20"/>
        </w:rPr>
        <w:t> </w:t>
      </w:r>
      <w:r>
        <w:rPr>
          <w:color w:val="231F20"/>
          <w:sz w:val="20"/>
        </w:rPr>
        <w:t>разговор</w:t>
      </w:r>
      <w:r>
        <w:rPr>
          <w:color w:val="231F20"/>
          <w:spacing w:val="-10"/>
          <w:sz w:val="20"/>
        </w:rPr>
        <w:t> </w:t>
      </w:r>
      <w:r>
        <w:rPr>
          <w:color w:val="231F20"/>
          <w:sz w:val="20"/>
        </w:rPr>
        <w:t>не</w:t>
      </w:r>
      <w:r>
        <w:rPr>
          <w:color w:val="231F20"/>
          <w:spacing w:val="-10"/>
          <w:sz w:val="20"/>
        </w:rPr>
        <w:t> </w:t>
      </w:r>
      <w:r>
        <w:rPr>
          <w:color w:val="231F20"/>
          <w:sz w:val="20"/>
        </w:rPr>
        <w:t>ладится</w:t>
      </w:r>
      <w:r>
        <w:rPr>
          <w:color w:val="231F20"/>
          <w:spacing w:val="-10"/>
          <w:sz w:val="20"/>
        </w:rPr>
        <w:t> </w:t>
      </w:r>
      <w:r>
        <w:rPr>
          <w:color w:val="231F20"/>
          <w:sz w:val="20"/>
        </w:rPr>
        <w:t>в</w:t>
      </w:r>
      <w:r>
        <w:rPr>
          <w:color w:val="231F20"/>
          <w:spacing w:val="-10"/>
          <w:sz w:val="20"/>
        </w:rPr>
        <w:t> </w:t>
      </w:r>
      <w:r>
        <w:rPr>
          <w:color w:val="231F20"/>
          <w:sz w:val="20"/>
        </w:rPr>
        <w:t>одной</w:t>
      </w:r>
      <w:r>
        <w:rPr>
          <w:color w:val="231F20"/>
          <w:spacing w:val="-10"/>
          <w:sz w:val="20"/>
        </w:rPr>
        <w:t> </w:t>
      </w:r>
      <w:r>
        <w:rPr>
          <w:color w:val="231F20"/>
          <w:sz w:val="20"/>
        </w:rPr>
        <w:t>из</w:t>
      </w:r>
      <w:r>
        <w:rPr>
          <w:color w:val="231F20"/>
          <w:spacing w:val="-10"/>
          <w:sz w:val="20"/>
        </w:rPr>
        <w:t> </w:t>
      </w:r>
      <w:r>
        <w:rPr>
          <w:color w:val="231F20"/>
          <w:sz w:val="20"/>
        </w:rPr>
        <w:t>групп,</w:t>
      </w:r>
      <w:r>
        <w:rPr>
          <w:color w:val="231F20"/>
          <w:spacing w:val="-10"/>
          <w:sz w:val="20"/>
        </w:rPr>
        <w:t> </w:t>
      </w:r>
      <w:r>
        <w:rPr>
          <w:color w:val="231F20"/>
          <w:sz w:val="20"/>
        </w:rPr>
        <w:t>то</w:t>
      </w:r>
      <w:r>
        <w:rPr>
          <w:color w:val="231F20"/>
          <w:spacing w:val="-10"/>
          <w:sz w:val="20"/>
        </w:rPr>
        <w:t> </w:t>
      </w:r>
      <w:r>
        <w:rPr>
          <w:color w:val="231F20"/>
          <w:sz w:val="20"/>
        </w:rPr>
        <w:t>одному</w:t>
      </w:r>
      <w:r>
        <w:rPr>
          <w:color w:val="231F20"/>
          <w:spacing w:val="-10"/>
          <w:sz w:val="20"/>
        </w:rPr>
        <w:t> </w:t>
      </w:r>
      <w:r>
        <w:rPr>
          <w:color w:val="231F20"/>
          <w:sz w:val="20"/>
        </w:rPr>
        <w:t>из</w:t>
      </w:r>
      <w:r>
        <w:rPr>
          <w:color w:val="231F20"/>
          <w:spacing w:val="-10"/>
          <w:sz w:val="20"/>
        </w:rPr>
        <w:t> </w:t>
      </w:r>
      <w:r>
        <w:rPr>
          <w:color w:val="231F20"/>
          <w:sz w:val="20"/>
        </w:rPr>
        <w:t>организаторов</w:t>
      </w:r>
      <w:r>
        <w:rPr>
          <w:color w:val="231F20"/>
          <w:spacing w:val="-10"/>
          <w:sz w:val="20"/>
        </w:rPr>
        <w:t> </w:t>
      </w:r>
      <w:r>
        <w:rPr>
          <w:color w:val="231F20"/>
          <w:sz w:val="20"/>
        </w:rPr>
        <w:t>можно подойти и завести беседу самостоятельно в роли «Книги».</w:t>
      </w:r>
    </w:p>
    <w:p>
      <w:pPr>
        <w:pStyle w:val="ListParagraph"/>
        <w:numPr>
          <w:ilvl w:val="0"/>
          <w:numId w:val="297"/>
        </w:numPr>
        <w:tabs>
          <w:tab w:pos="708" w:val="left" w:leader="none"/>
        </w:tabs>
        <w:spacing w:line="225" w:lineRule="exact" w:before="0" w:after="0"/>
        <w:ind w:left="708" w:right="0" w:hanging="283"/>
        <w:jc w:val="both"/>
        <w:rPr>
          <w:sz w:val="20"/>
        </w:rPr>
      </w:pPr>
      <w:r>
        <w:rPr>
          <w:color w:val="231F20"/>
          <w:sz w:val="20"/>
        </w:rPr>
        <w:t>Если</w:t>
      </w:r>
      <w:r>
        <w:rPr>
          <w:color w:val="231F20"/>
          <w:spacing w:val="10"/>
          <w:sz w:val="20"/>
        </w:rPr>
        <w:t> </w:t>
      </w:r>
      <w:r>
        <w:rPr>
          <w:color w:val="231F20"/>
          <w:sz w:val="20"/>
        </w:rPr>
        <w:t>вы</w:t>
      </w:r>
      <w:r>
        <w:rPr>
          <w:color w:val="231F20"/>
          <w:spacing w:val="12"/>
          <w:sz w:val="20"/>
        </w:rPr>
        <w:t> </w:t>
      </w:r>
      <w:r>
        <w:rPr>
          <w:color w:val="231F20"/>
          <w:sz w:val="20"/>
        </w:rPr>
        <w:t>видите,</w:t>
      </w:r>
      <w:r>
        <w:rPr>
          <w:color w:val="231F20"/>
          <w:spacing w:val="12"/>
          <w:sz w:val="20"/>
        </w:rPr>
        <w:t> </w:t>
      </w:r>
      <w:r>
        <w:rPr>
          <w:color w:val="231F20"/>
          <w:sz w:val="20"/>
        </w:rPr>
        <w:t>«Читатель»</w:t>
      </w:r>
      <w:r>
        <w:rPr>
          <w:color w:val="231F20"/>
          <w:spacing w:val="12"/>
          <w:sz w:val="20"/>
        </w:rPr>
        <w:t> </w:t>
      </w:r>
      <w:r>
        <w:rPr>
          <w:color w:val="231F20"/>
          <w:sz w:val="20"/>
        </w:rPr>
        <w:t>ведет</w:t>
      </w:r>
      <w:r>
        <w:rPr>
          <w:color w:val="231F20"/>
          <w:spacing w:val="13"/>
          <w:sz w:val="20"/>
        </w:rPr>
        <w:t> </w:t>
      </w:r>
      <w:r>
        <w:rPr>
          <w:color w:val="231F20"/>
          <w:sz w:val="20"/>
        </w:rPr>
        <w:t>себя</w:t>
      </w:r>
      <w:r>
        <w:rPr>
          <w:color w:val="231F20"/>
          <w:spacing w:val="12"/>
          <w:sz w:val="20"/>
        </w:rPr>
        <w:t> </w:t>
      </w:r>
      <w:r>
        <w:rPr>
          <w:color w:val="231F20"/>
          <w:sz w:val="20"/>
        </w:rPr>
        <w:t>неуважительно,</w:t>
      </w:r>
      <w:r>
        <w:rPr>
          <w:color w:val="231F20"/>
          <w:spacing w:val="12"/>
          <w:sz w:val="20"/>
        </w:rPr>
        <w:t> </w:t>
      </w:r>
      <w:r>
        <w:rPr>
          <w:color w:val="231F20"/>
          <w:sz w:val="20"/>
        </w:rPr>
        <w:t>то</w:t>
      </w:r>
      <w:r>
        <w:rPr>
          <w:color w:val="231F20"/>
          <w:spacing w:val="12"/>
          <w:sz w:val="20"/>
        </w:rPr>
        <w:t> </w:t>
      </w:r>
      <w:r>
        <w:rPr>
          <w:color w:val="231F20"/>
          <w:sz w:val="20"/>
        </w:rPr>
        <w:t>можно</w:t>
      </w:r>
      <w:r>
        <w:rPr>
          <w:color w:val="231F20"/>
          <w:spacing w:val="13"/>
          <w:sz w:val="20"/>
        </w:rPr>
        <w:t> </w:t>
      </w:r>
      <w:r>
        <w:rPr>
          <w:color w:val="231F20"/>
          <w:spacing w:val="-2"/>
          <w:sz w:val="20"/>
        </w:rPr>
        <w:t>напомнить</w:t>
      </w:r>
    </w:p>
    <w:p>
      <w:pPr>
        <w:pStyle w:val="BodyText"/>
        <w:spacing w:line="235" w:lineRule="auto" w:before="2"/>
        <w:ind w:left="708" w:right="141" w:firstLine="0"/>
      </w:pPr>
      <w:r>
        <w:rPr>
          <w:color w:val="231F20"/>
        </w:rPr>
        <w:t>«Книге»,</w:t>
      </w:r>
      <w:r>
        <w:rPr>
          <w:color w:val="231F20"/>
          <w:spacing w:val="-8"/>
        </w:rPr>
        <w:t> </w:t>
      </w:r>
      <w:r>
        <w:rPr>
          <w:color w:val="231F20"/>
        </w:rPr>
        <w:t>что</w:t>
      </w:r>
      <w:r>
        <w:rPr>
          <w:color w:val="231F20"/>
          <w:spacing w:val="-8"/>
        </w:rPr>
        <w:t> </w:t>
      </w:r>
      <w:r>
        <w:rPr>
          <w:color w:val="231F20"/>
        </w:rPr>
        <w:t>она</w:t>
      </w:r>
      <w:r>
        <w:rPr>
          <w:color w:val="231F20"/>
          <w:spacing w:val="-8"/>
        </w:rPr>
        <w:t> </w:t>
      </w:r>
      <w:r>
        <w:rPr>
          <w:color w:val="231F20"/>
        </w:rPr>
        <w:t>имеет</w:t>
      </w:r>
      <w:r>
        <w:rPr>
          <w:color w:val="231F20"/>
          <w:spacing w:val="-8"/>
        </w:rPr>
        <w:t> </w:t>
      </w:r>
      <w:r>
        <w:rPr>
          <w:color w:val="231F20"/>
        </w:rPr>
        <w:t>право</w:t>
      </w:r>
      <w:r>
        <w:rPr>
          <w:color w:val="231F20"/>
          <w:spacing w:val="-8"/>
        </w:rPr>
        <w:t> </w:t>
      </w:r>
      <w:r>
        <w:rPr>
          <w:color w:val="231F20"/>
        </w:rPr>
        <w:t>не</w:t>
      </w:r>
      <w:r>
        <w:rPr>
          <w:color w:val="231F20"/>
          <w:spacing w:val="-8"/>
        </w:rPr>
        <w:t> </w:t>
      </w:r>
      <w:r>
        <w:rPr>
          <w:color w:val="231F20"/>
        </w:rPr>
        <w:t>отвечать</w:t>
      </w:r>
      <w:r>
        <w:rPr>
          <w:color w:val="231F20"/>
          <w:spacing w:val="-8"/>
        </w:rPr>
        <w:t> </w:t>
      </w:r>
      <w:r>
        <w:rPr>
          <w:color w:val="231F20"/>
        </w:rPr>
        <w:t>на</w:t>
      </w:r>
      <w:r>
        <w:rPr>
          <w:color w:val="231F20"/>
          <w:spacing w:val="-8"/>
        </w:rPr>
        <w:t> </w:t>
      </w:r>
      <w:r>
        <w:rPr>
          <w:color w:val="231F20"/>
        </w:rPr>
        <w:t>некомфортные</w:t>
      </w:r>
      <w:r>
        <w:rPr>
          <w:color w:val="231F20"/>
          <w:spacing w:val="-8"/>
        </w:rPr>
        <w:t> </w:t>
      </w:r>
      <w:r>
        <w:rPr>
          <w:color w:val="231F20"/>
        </w:rPr>
        <w:t>вопросы</w:t>
      </w:r>
      <w:r>
        <w:rPr>
          <w:color w:val="231F20"/>
          <w:spacing w:val="-8"/>
        </w:rPr>
        <w:t> </w:t>
      </w:r>
      <w:r>
        <w:rPr>
          <w:color w:val="231F20"/>
        </w:rPr>
        <w:t>или</w:t>
      </w:r>
      <w:r>
        <w:rPr>
          <w:color w:val="231F20"/>
          <w:spacing w:val="-8"/>
        </w:rPr>
        <w:t> </w:t>
      </w:r>
      <w:r>
        <w:rPr>
          <w:color w:val="231F20"/>
        </w:rPr>
        <w:t>даже завершить диалог.</w:t>
      </w:r>
    </w:p>
    <w:p>
      <w:pPr>
        <w:pStyle w:val="ListParagraph"/>
        <w:numPr>
          <w:ilvl w:val="0"/>
          <w:numId w:val="297"/>
        </w:numPr>
        <w:tabs>
          <w:tab w:pos="708" w:val="left" w:leader="none"/>
        </w:tabs>
        <w:spacing w:line="235" w:lineRule="auto" w:before="1" w:after="0"/>
        <w:ind w:left="708" w:right="140" w:hanging="284"/>
        <w:jc w:val="both"/>
        <w:rPr>
          <w:sz w:val="20"/>
        </w:rPr>
      </w:pPr>
      <w:r>
        <w:rPr>
          <w:color w:val="231F20"/>
          <w:spacing w:val="-4"/>
          <w:sz w:val="20"/>
        </w:rPr>
        <w:t>Если</w:t>
      </w:r>
      <w:r>
        <w:rPr>
          <w:color w:val="231F20"/>
          <w:spacing w:val="-6"/>
          <w:sz w:val="20"/>
        </w:rPr>
        <w:t> </w:t>
      </w:r>
      <w:r>
        <w:rPr>
          <w:color w:val="231F20"/>
          <w:spacing w:val="-4"/>
          <w:sz w:val="20"/>
        </w:rPr>
        <w:t>вы</w:t>
      </w:r>
      <w:r>
        <w:rPr>
          <w:color w:val="231F20"/>
          <w:spacing w:val="-6"/>
          <w:sz w:val="20"/>
        </w:rPr>
        <w:t> </w:t>
      </w:r>
      <w:r>
        <w:rPr>
          <w:color w:val="231F20"/>
          <w:spacing w:val="-4"/>
          <w:sz w:val="20"/>
        </w:rPr>
        <w:t>видите,</w:t>
      </w:r>
      <w:r>
        <w:rPr>
          <w:color w:val="231F20"/>
          <w:spacing w:val="-6"/>
          <w:sz w:val="20"/>
        </w:rPr>
        <w:t> </w:t>
      </w:r>
      <w:r>
        <w:rPr>
          <w:color w:val="231F20"/>
          <w:spacing w:val="-4"/>
          <w:sz w:val="20"/>
        </w:rPr>
        <w:t>что</w:t>
      </w:r>
      <w:r>
        <w:rPr>
          <w:color w:val="231F20"/>
          <w:spacing w:val="-6"/>
          <w:sz w:val="20"/>
        </w:rPr>
        <w:t> </w:t>
      </w:r>
      <w:r>
        <w:rPr>
          <w:color w:val="231F20"/>
          <w:spacing w:val="-4"/>
          <w:sz w:val="20"/>
        </w:rPr>
        <w:t>кто-то</w:t>
      </w:r>
      <w:r>
        <w:rPr>
          <w:color w:val="231F20"/>
          <w:spacing w:val="-6"/>
          <w:sz w:val="20"/>
        </w:rPr>
        <w:t> </w:t>
      </w:r>
      <w:r>
        <w:rPr>
          <w:color w:val="231F20"/>
          <w:spacing w:val="-4"/>
          <w:sz w:val="20"/>
        </w:rPr>
        <w:t>из</w:t>
      </w:r>
      <w:r>
        <w:rPr>
          <w:color w:val="231F20"/>
          <w:spacing w:val="-6"/>
          <w:sz w:val="20"/>
        </w:rPr>
        <w:t> </w:t>
      </w:r>
      <w:r>
        <w:rPr>
          <w:color w:val="231F20"/>
          <w:spacing w:val="-4"/>
          <w:sz w:val="20"/>
        </w:rPr>
        <w:t>«Читателей»</w:t>
      </w:r>
      <w:r>
        <w:rPr>
          <w:color w:val="231F20"/>
          <w:spacing w:val="-6"/>
          <w:sz w:val="20"/>
        </w:rPr>
        <w:t> </w:t>
      </w:r>
      <w:r>
        <w:rPr>
          <w:color w:val="231F20"/>
          <w:spacing w:val="-4"/>
          <w:sz w:val="20"/>
        </w:rPr>
        <w:t>плачет</w:t>
      </w:r>
      <w:r>
        <w:rPr>
          <w:color w:val="231F20"/>
          <w:spacing w:val="-6"/>
          <w:sz w:val="20"/>
        </w:rPr>
        <w:t> </w:t>
      </w:r>
      <w:r>
        <w:rPr>
          <w:color w:val="231F20"/>
          <w:spacing w:val="-4"/>
          <w:sz w:val="20"/>
        </w:rPr>
        <w:t>или</w:t>
      </w:r>
      <w:r>
        <w:rPr>
          <w:color w:val="231F20"/>
          <w:spacing w:val="-6"/>
          <w:sz w:val="20"/>
        </w:rPr>
        <w:t> </w:t>
      </w:r>
      <w:r>
        <w:rPr>
          <w:color w:val="231F20"/>
          <w:spacing w:val="-4"/>
          <w:sz w:val="20"/>
        </w:rPr>
        <w:t>ему</w:t>
      </w:r>
      <w:r>
        <w:rPr>
          <w:color w:val="231F20"/>
          <w:spacing w:val="-6"/>
          <w:sz w:val="20"/>
        </w:rPr>
        <w:t> </w:t>
      </w:r>
      <w:r>
        <w:rPr>
          <w:color w:val="231F20"/>
          <w:spacing w:val="-4"/>
          <w:sz w:val="20"/>
        </w:rPr>
        <w:t>тяжело,</w:t>
      </w:r>
      <w:r>
        <w:rPr>
          <w:color w:val="231F20"/>
          <w:spacing w:val="-6"/>
          <w:sz w:val="20"/>
        </w:rPr>
        <w:t> </w:t>
      </w:r>
      <w:r>
        <w:rPr>
          <w:color w:val="231F20"/>
          <w:spacing w:val="-4"/>
          <w:sz w:val="20"/>
        </w:rPr>
        <w:t>некомфортно, </w:t>
      </w:r>
      <w:r>
        <w:rPr>
          <w:color w:val="231F20"/>
          <w:sz w:val="20"/>
        </w:rPr>
        <w:t>можно предложить ему выйти из пространства группы и предложить воды.</w:t>
      </w:r>
    </w:p>
    <w:p>
      <w:pPr>
        <w:pStyle w:val="ListParagraph"/>
        <w:spacing w:after="0" w:line="235" w:lineRule="auto"/>
        <w:jc w:val="both"/>
        <w:rPr>
          <w:sz w:val="20"/>
        </w:rPr>
        <w:sectPr>
          <w:pgSz w:w="8400" w:h="11910"/>
          <w:pgMar w:header="0" w:footer="530" w:top="400" w:bottom="740" w:left="425" w:right="425"/>
        </w:sectPr>
      </w:pPr>
    </w:p>
    <w:p>
      <w:pPr>
        <w:pStyle w:val="ListParagraph"/>
        <w:numPr>
          <w:ilvl w:val="1"/>
          <w:numId w:val="289"/>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«Живая</w:t>
      </w:r>
      <w:r>
        <w:rPr>
          <w:rFonts w:ascii="Georgia" w:hAnsi="Georgia"/>
          <w:color w:val="231F20"/>
          <w:spacing w:val="-7"/>
          <w:sz w:val="18"/>
        </w:rPr>
        <w:t> </w:t>
      </w:r>
      <w:r>
        <w:rPr>
          <w:rFonts w:ascii="Georgia" w:hAnsi="Georgia"/>
          <w:color w:val="231F20"/>
          <w:sz w:val="18"/>
        </w:rPr>
        <w:t>библиотека»</w:t>
      </w:r>
      <w:r>
        <w:rPr>
          <w:rFonts w:ascii="Georgia" w:hAnsi="Georgia"/>
          <w:color w:val="231F20"/>
          <w:spacing w:val="-6"/>
          <w:sz w:val="18"/>
        </w:rPr>
        <w:t> </w:t>
      </w:r>
      <w:r>
        <w:rPr>
          <w:rFonts w:ascii="Georgia" w:hAnsi="Georgia"/>
          <w:color w:val="231F20"/>
          <w:sz w:val="18"/>
        </w:rPr>
        <w:t>как</w:t>
      </w:r>
      <w:r>
        <w:rPr>
          <w:rFonts w:ascii="Georgia" w:hAnsi="Georgia"/>
          <w:color w:val="231F20"/>
          <w:spacing w:val="-7"/>
          <w:sz w:val="18"/>
        </w:rPr>
        <w:t> </w:t>
      </w:r>
      <w:r>
        <w:rPr>
          <w:rFonts w:ascii="Georgia" w:hAnsi="Georgia"/>
          <w:color w:val="231F20"/>
          <w:sz w:val="18"/>
        </w:rPr>
        <w:t>универсальная</w:t>
      </w:r>
      <w:r>
        <w:rPr>
          <w:rFonts w:ascii="Georgia" w:hAnsi="Georgia"/>
          <w:color w:val="231F20"/>
          <w:spacing w:val="-6"/>
          <w:sz w:val="18"/>
        </w:rPr>
        <w:t> </w:t>
      </w:r>
      <w:r>
        <w:rPr>
          <w:rFonts w:ascii="Georgia" w:hAnsi="Georgia"/>
          <w:color w:val="231F20"/>
          <w:sz w:val="18"/>
        </w:rPr>
        <w:t>технология</w:t>
      </w:r>
      <w:r>
        <w:rPr>
          <w:rFonts w:ascii="Georgia" w:hAnsi="Georgia"/>
          <w:color w:val="231F20"/>
          <w:spacing w:val="-6"/>
          <w:sz w:val="18"/>
        </w:rPr>
        <w:t> </w:t>
      </w:r>
      <w:r>
        <w:rPr>
          <w:rFonts w:ascii="Georgia" w:hAnsi="Georgia"/>
          <w:color w:val="231F20"/>
          <w:spacing w:val="-2"/>
          <w:sz w:val="18"/>
        </w:rPr>
        <w:t>предубежденности...</w:t>
      </w:r>
    </w:p>
    <w:p>
      <w:pPr>
        <w:pStyle w:val="ListParagraph"/>
        <w:numPr>
          <w:ilvl w:val="0"/>
          <w:numId w:val="297"/>
        </w:numPr>
        <w:tabs>
          <w:tab w:pos="708" w:val="left" w:leader="none"/>
        </w:tabs>
        <w:spacing w:line="237" w:lineRule="auto" w:before="114" w:after="0"/>
        <w:ind w:left="708" w:right="139" w:hanging="284"/>
        <w:jc w:val="both"/>
        <w:rPr>
          <w:sz w:val="20"/>
        </w:rPr>
      </w:pPr>
      <w:r>
        <w:rPr>
          <w:color w:val="231F20"/>
          <w:sz w:val="20"/>
        </w:rPr>
        <w:t>Если окажется, что некоторые «Книги» не пришли или отказались от участия по личным причинам и их окажется слишком мало, то можно увеличить численность групп, до 8 человек.</w:t>
      </w:r>
    </w:p>
    <w:p>
      <w:pPr>
        <w:pStyle w:val="ListParagraph"/>
        <w:numPr>
          <w:ilvl w:val="0"/>
          <w:numId w:val="297"/>
        </w:numPr>
        <w:tabs>
          <w:tab w:pos="708" w:val="left" w:leader="none"/>
        </w:tabs>
        <w:spacing w:line="240" w:lineRule="auto" w:before="1" w:after="0"/>
        <w:ind w:left="708" w:right="139" w:hanging="284"/>
        <w:jc w:val="both"/>
        <w:rPr>
          <w:sz w:val="20"/>
        </w:rPr>
      </w:pPr>
      <w:r>
        <w:rPr>
          <w:color w:val="231F20"/>
          <w:sz w:val="20"/>
        </w:rPr>
        <w:t>Если пришло слишком мало «Читателей», то можно сократить количество участников</w:t>
      </w:r>
      <w:r>
        <w:rPr>
          <w:color w:val="231F20"/>
          <w:spacing w:val="-13"/>
          <w:sz w:val="20"/>
        </w:rPr>
        <w:t> </w:t>
      </w:r>
      <w:r>
        <w:rPr>
          <w:color w:val="231F20"/>
          <w:sz w:val="20"/>
        </w:rPr>
        <w:t>в</w:t>
      </w:r>
      <w:r>
        <w:rPr>
          <w:color w:val="231F20"/>
          <w:spacing w:val="-12"/>
          <w:sz w:val="20"/>
        </w:rPr>
        <w:t> </w:t>
      </w:r>
      <w:r>
        <w:rPr>
          <w:color w:val="231F20"/>
          <w:sz w:val="20"/>
        </w:rPr>
        <w:t>группе</w:t>
      </w:r>
      <w:r>
        <w:rPr>
          <w:color w:val="231F20"/>
          <w:spacing w:val="-13"/>
          <w:sz w:val="20"/>
        </w:rPr>
        <w:t> </w:t>
      </w:r>
      <w:r>
        <w:rPr>
          <w:color w:val="231F20"/>
          <w:sz w:val="20"/>
        </w:rPr>
        <w:t>до</w:t>
      </w:r>
      <w:r>
        <w:rPr>
          <w:color w:val="231F20"/>
          <w:spacing w:val="-12"/>
          <w:sz w:val="20"/>
        </w:rPr>
        <w:t> </w:t>
      </w:r>
      <w:r>
        <w:rPr>
          <w:color w:val="231F20"/>
          <w:sz w:val="20"/>
        </w:rPr>
        <w:t>двух</w:t>
      </w:r>
      <w:r>
        <w:rPr>
          <w:color w:val="231F20"/>
          <w:spacing w:val="-13"/>
          <w:sz w:val="20"/>
        </w:rPr>
        <w:t> </w:t>
      </w:r>
      <w:r>
        <w:rPr>
          <w:color w:val="231F20"/>
          <w:sz w:val="20"/>
        </w:rPr>
        <w:t>или</w:t>
      </w:r>
      <w:r>
        <w:rPr>
          <w:color w:val="231F20"/>
          <w:spacing w:val="-12"/>
          <w:sz w:val="20"/>
        </w:rPr>
        <w:t> </w:t>
      </w:r>
      <w:r>
        <w:rPr>
          <w:color w:val="231F20"/>
          <w:sz w:val="20"/>
        </w:rPr>
        <w:t>же</w:t>
      </w:r>
      <w:r>
        <w:rPr>
          <w:color w:val="231F20"/>
          <w:spacing w:val="-13"/>
          <w:sz w:val="20"/>
        </w:rPr>
        <w:t> </w:t>
      </w:r>
      <w:r>
        <w:rPr>
          <w:color w:val="231F20"/>
          <w:sz w:val="20"/>
        </w:rPr>
        <w:t>продлить</w:t>
      </w:r>
      <w:r>
        <w:rPr>
          <w:color w:val="231F20"/>
          <w:spacing w:val="-12"/>
          <w:sz w:val="20"/>
        </w:rPr>
        <w:t> </w:t>
      </w:r>
      <w:r>
        <w:rPr>
          <w:color w:val="231F20"/>
          <w:sz w:val="20"/>
        </w:rPr>
        <w:t>мероприятие,</w:t>
      </w:r>
      <w:r>
        <w:rPr>
          <w:color w:val="231F20"/>
          <w:spacing w:val="-13"/>
          <w:sz w:val="20"/>
        </w:rPr>
        <w:t> </w:t>
      </w:r>
      <w:r>
        <w:rPr>
          <w:color w:val="231F20"/>
          <w:sz w:val="20"/>
        </w:rPr>
        <w:t>чтобы</w:t>
      </w:r>
      <w:r>
        <w:rPr>
          <w:color w:val="231F20"/>
          <w:spacing w:val="-12"/>
          <w:sz w:val="20"/>
        </w:rPr>
        <w:t> </w:t>
      </w:r>
      <w:r>
        <w:rPr>
          <w:color w:val="231F20"/>
          <w:sz w:val="20"/>
        </w:rPr>
        <w:t>все</w:t>
      </w:r>
      <w:r>
        <w:rPr>
          <w:color w:val="231F20"/>
          <w:spacing w:val="-13"/>
          <w:sz w:val="20"/>
        </w:rPr>
        <w:t> </w:t>
      </w:r>
      <w:r>
        <w:rPr>
          <w:color w:val="231F20"/>
          <w:sz w:val="20"/>
        </w:rPr>
        <w:t>«Книги» могли рассказать историю.</w:t>
      </w:r>
    </w:p>
    <w:p>
      <w:pPr>
        <w:pStyle w:val="ListParagraph"/>
        <w:numPr>
          <w:ilvl w:val="0"/>
          <w:numId w:val="297"/>
        </w:numPr>
        <w:tabs>
          <w:tab w:pos="708" w:val="left" w:leader="none"/>
        </w:tabs>
        <w:spacing w:line="240" w:lineRule="auto" w:before="0" w:after="0"/>
        <w:ind w:left="708" w:right="140" w:hanging="284"/>
        <w:jc w:val="both"/>
        <w:rPr>
          <w:sz w:val="20"/>
        </w:rPr>
      </w:pPr>
      <w:r>
        <w:rPr>
          <w:color w:val="231F20"/>
          <w:sz w:val="20"/>
        </w:rPr>
        <w:t>Есть</w:t>
      </w:r>
      <w:r>
        <w:rPr>
          <w:color w:val="231F20"/>
          <w:spacing w:val="-12"/>
          <w:sz w:val="20"/>
        </w:rPr>
        <w:t> </w:t>
      </w:r>
      <w:r>
        <w:rPr>
          <w:color w:val="231F20"/>
          <w:sz w:val="20"/>
        </w:rPr>
        <w:t>риск</w:t>
      </w:r>
      <w:r>
        <w:rPr>
          <w:color w:val="231F20"/>
          <w:spacing w:val="-12"/>
          <w:sz w:val="20"/>
        </w:rPr>
        <w:t> </w:t>
      </w:r>
      <w:r>
        <w:rPr>
          <w:color w:val="231F20"/>
          <w:sz w:val="20"/>
        </w:rPr>
        <w:t>при</w:t>
      </w:r>
      <w:r>
        <w:rPr>
          <w:color w:val="231F20"/>
          <w:spacing w:val="-12"/>
          <w:sz w:val="20"/>
        </w:rPr>
        <w:t> </w:t>
      </w:r>
      <w:r>
        <w:rPr>
          <w:color w:val="231F20"/>
          <w:sz w:val="20"/>
        </w:rPr>
        <w:t>проведении</w:t>
      </w:r>
      <w:r>
        <w:rPr>
          <w:color w:val="231F20"/>
          <w:spacing w:val="-12"/>
          <w:sz w:val="20"/>
        </w:rPr>
        <w:t> </w:t>
      </w:r>
      <w:r>
        <w:rPr>
          <w:color w:val="231F20"/>
          <w:sz w:val="20"/>
        </w:rPr>
        <w:t>онлайн</w:t>
      </w:r>
      <w:r>
        <w:rPr>
          <w:color w:val="231F20"/>
          <w:spacing w:val="-12"/>
          <w:sz w:val="20"/>
        </w:rPr>
        <w:t> </w:t>
      </w:r>
      <w:r>
        <w:rPr>
          <w:color w:val="231F20"/>
          <w:sz w:val="20"/>
        </w:rPr>
        <w:t>случайно</w:t>
      </w:r>
      <w:r>
        <w:rPr>
          <w:color w:val="231F20"/>
          <w:spacing w:val="-12"/>
          <w:sz w:val="20"/>
        </w:rPr>
        <w:t> </w:t>
      </w:r>
      <w:r>
        <w:rPr>
          <w:color w:val="231F20"/>
          <w:sz w:val="20"/>
        </w:rPr>
        <w:t>перепутать</w:t>
      </w:r>
      <w:r>
        <w:rPr>
          <w:color w:val="231F20"/>
          <w:spacing w:val="-12"/>
          <w:sz w:val="20"/>
        </w:rPr>
        <w:t> </w:t>
      </w:r>
      <w:r>
        <w:rPr>
          <w:color w:val="231F20"/>
          <w:sz w:val="20"/>
        </w:rPr>
        <w:t>«Читателя»</w:t>
      </w:r>
      <w:r>
        <w:rPr>
          <w:color w:val="231F20"/>
          <w:spacing w:val="-12"/>
          <w:sz w:val="20"/>
        </w:rPr>
        <w:t> </w:t>
      </w:r>
      <w:r>
        <w:rPr>
          <w:color w:val="231F20"/>
          <w:sz w:val="20"/>
        </w:rPr>
        <w:t>и</w:t>
      </w:r>
      <w:r>
        <w:rPr>
          <w:color w:val="231F20"/>
          <w:spacing w:val="-12"/>
          <w:sz w:val="20"/>
        </w:rPr>
        <w:t> </w:t>
      </w:r>
      <w:r>
        <w:rPr>
          <w:color w:val="231F20"/>
          <w:sz w:val="20"/>
        </w:rPr>
        <w:t>«Книгу», поэтому</w:t>
      </w:r>
      <w:r>
        <w:rPr>
          <w:color w:val="231F20"/>
          <w:spacing w:val="-6"/>
          <w:sz w:val="20"/>
        </w:rPr>
        <w:t> </w:t>
      </w:r>
      <w:r>
        <w:rPr>
          <w:color w:val="231F20"/>
          <w:sz w:val="20"/>
        </w:rPr>
        <w:t>нужен</w:t>
      </w:r>
      <w:r>
        <w:rPr>
          <w:color w:val="231F20"/>
          <w:spacing w:val="-7"/>
          <w:sz w:val="20"/>
        </w:rPr>
        <w:t> </w:t>
      </w:r>
      <w:r>
        <w:rPr>
          <w:color w:val="231F20"/>
          <w:sz w:val="20"/>
        </w:rPr>
        <w:t>волонтер,</w:t>
      </w:r>
      <w:r>
        <w:rPr>
          <w:color w:val="231F20"/>
          <w:spacing w:val="-6"/>
          <w:sz w:val="20"/>
        </w:rPr>
        <w:t> </w:t>
      </w:r>
      <w:r>
        <w:rPr>
          <w:color w:val="231F20"/>
          <w:sz w:val="20"/>
        </w:rPr>
        <w:t>который</w:t>
      </w:r>
      <w:r>
        <w:rPr>
          <w:color w:val="231F20"/>
          <w:spacing w:val="-7"/>
          <w:sz w:val="20"/>
        </w:rPr>
        <w:t> </w:t>
      </w:r>
      <w:r>
        <w:rPr>
          <w:color w:val="231F20"/>
          <w:sz w:val="20"/>
        </w:rPr>
        <w:t>точно</w:t>
      </w:r>
      <w:r>
        <w:rPr>
          <w:color w:val="231F20"/>
          <w:spacing w:val="-6"/>
          <w:sz w:val="20"/>
        </w:rPr>
        <w:t> </w:t>
      </w:r>
      <w:r>
        <w:rPr>
          <w:color w:val="231F20"/>
          <w:sz w:val="20"/>
        </w:rPr>
        <w:t>знает,</w:t>
      </w:r>
      <w:r>
        <w:rPr>
          <w:color w:val="231F20"/>
          <w:spacing w:val="-6"/>
          <w:sz w:val="20"/>
        </w:rPr>
        <w:t> </w:t>
      </w:r>
      <w:r>
        <w:rPr>
          <w:color w:val="231F20"/>
          <w:sz w:val="20"/>
        </w:rPr>
        <w:t>кто</w:t>
      </w:r>
      <w:r>
        <w:rPr>
          <w:color w:val="231F20"/>
          <w:spacing w:val="-6"/>
          <w:sz w:val="20"/>
        </w:rPr>
        <w:t> </w:t>
      </w:r>
      <w:r>
        <w:rPr>
          <w:color w:val="231F20"/>
          <w:sz w:val="20"/>
        </w:rPr>
        <w:t>«Книга»</w:t>
      </w:r>
      <w:r>
        <w:rPr>
          <w:color w:val="231F20"/>
          <w:spacing w:val="-6"/>
          <w:sz w:val="20"/>
        </w:rPr>
        <w:t> </w:t>
      </w:r>
      <w:r>
        <w:rPr>
          <w:color w:val="231F20"/>
          <w:sz w:val="20"/>
        </w:rPr>
        <w:t>и</w:t>
      </w:r>
      <w:r>
        <w:rPr>
          <w:color w:val="231F20"/>
          <w:spacing w:val="-7"/>
          <w:sz w:val="20"/>
        </w:rPr>
        <w:t> </w:t>
      </w:r>
      <w:r>
        <w:rPr>
          <w:color w:val="231F20"/>
          <w:sz w:val="20"/>
        </w:rPr>
        <w:t>кто</w:t>
      </w:r>
      <w:r>
        <w:rPr>
          <w:color w:val="231F20"/>
          <w:spacing w:val="-6"/>
          <w:sz w:val="20"/>
        </w:rPr>
        <w:t> </w:t>
      </w:r>
      <w:r>
        <w:rPr>
          <w:color w:val="231F20"/>
          <w:sz w:val="20"/>
        </w:rPr>
        <w:t>«Читатель».</w:t>
      </w:r>
    </w:p>
    <w:p>
      <w:pPr>
        <w:pStyle w:val="ListParagraph"/>
        <w:numPr>
          <w:ilvl w:val="0"/>
          <w:numId w:val="297"/>
        </w:numPr>
        <w:tabs>
          <w:tab w:pos="708" w:val="left" w:leader="none"/>
        </w:tabs>
        <w:spacing w:line="240" w:lineRule="auto" w:before="0" w:after="0"/>
        <w:ind w:left="708" w:right="140" w:hanging="284"/>
        <w:jc w:val="both"/>
        <w:rPr>
          <w:sz w:val="20"/>
        </w:rPr>
      </w:pPr>
      <w:r>
        <w:rPr>
          <w:color w:val="231F20"/>
          <w:sz w:val="20"/>
        </w:rPr>
        <w:t>Нужно четко следовать таймингу, иначе следующей «Книге» достанется меньше времени на рассказ.</w:t>
      </w:r>
    </w:p>
    <w:p>
      <w:pPr>
        <w:pStyle w:val="ListParagraph"/>
        <w:numPr>
          <w:ilvl w:val="0"/>
          <w:numId w:val="297"/>
        </w:numPr>
        <w:tabs>
          <w:tab w:pos="708" w:val="left" w:leader="none"/>
        </w:tabs>
        <w:spacing w:line="240" w:lineRule="auto" w:before="0" w:after="0"/>
        <w:ind w:left="708" w:right="139" w:hanging="284"/>
        <w:jc w:val="both"/>
        <w:rPr>
          <w:sz w:val="20"/>
        </w:rPr>
      </w:pPr>
      <w:r>
        <w:rPr>
          <w:color w:val="231F20"/>
          <w:sz w:val="20"/>
        </w:rPr>
        <w:t>Нужно</w:t>
      </w:r>
      <w:r>
        <w:rPr>
          <w:color w:val="231F20"/>
          <w:spacing w:val="-12"/>
          <w:sz w:val="20"/>
        </w:rPr>
        <w:t> </w:t>
      </w:r>
      <w:r>
        <w:rPr>
          <w:color w:val="231F20"/>
          <w:sz w:val="20"/>
        </w:rPr>
        <w:t>делать</w:t>
      </w:r>
      <w:r>
        <w:rPr>
          <w:color w:val="231F20"/>
          <w:spacing w:val="-12"/>
          <w:sz w:val="20"/>
        </w:rPr>
        <w:t> </w:t>
      </w:r>
      <w:r>
        <w:rPr>
          <w:color w:val="231F20"/>
          <w:sz w:val="20"/>
        </w:rPr>
        <w:t>перерывы.</w:t>
      </w:r>
      <w:r>
        <w:rPr>
          <w:color w:val="231F20"/>
          <w:spacing w:val="-12"/>
          <w:sz w:val="20"/>
        </w:rPr>
        <w:t> </w:t>
      </w:r>
      <w:r>
        <w:rPr>
          <w:color w:val="231F20"/>
          <w:sz w:val="20"/>
        </w:rPr>
        <w:t>И</w:t>
      </w:r>
      <w:r>
        <w:rPr>
          <w:color w:val="231F20"/>
          <w:spacing w:val="-12"/>
          <w:sz w:val="20"/>
        </w:rPr>
        <w:t> </w:t>
      </w:r>
      <w:r>
        <w:rPr>
          <w:color w:val="231F20"/>
          <w:sz w:val="20"/>
        </w:rPr>
        <w:t>после</w:t>
      </w:r>
      <w:r>
        <w:rPr>
          <w:color w:val="231F20"/>
          <w:spacing w:val="-12"/>
          <w:sz w:val="20"/>
        </w:rPr>
        <w:t> </w:t>
      </w:r>
      <w:r>
        <w:rPr>
          <w:color w:val="231F20"/>
          <w:sz w:val="20"/>
        </w:rPr>
        <w:t>перерыва</w:t>
      </w:r>
      <w:r>
        <w:rPr>
          <w:color w:val="231F20"/>
          <w:spacing w:val="-12"/>
          <w:sz w:val="20"/>
        </w:rPr>
        <w:t> </w:t>
      </w:r>
      <w:r>
        <w:rPr>
          <w:color w:val="231F20"/>
          <w:sz w:val="20"/>
        </w:rPr>
        <w:t>кто-то</w:t>
      </w:r>
      <w:r>
        <w:rPr>
          <w:color w:val="231F20"/>
          <w:spacing w:val="-12"/>
          <w:sz w:val="20"/>
        </w:rPr>
        <w:t> </w:t>
      </w:r>
      <w:r>
        <w:rPr>
          <w:color w:val="231F20"/>
          <w:sz w:val="20"/>
        </w:rPr>
        <w:t>из</w:t>
      </w:r>
      <w:r>
        <w:rPr>
          <w:color w:val="231F20"/>
          <w:spacing w:val="-12"/>
          <w:sz w:val="20"/>
        </w:rPr>
        <w:t> </w:t>
      </w:r>
      <w:r>
        <w:rPr>
          <w:color w:val="231F20"/>
          <w:sz w:val="20"/>
        </w:rPr>
        <w:t>«Читателей»</w:t>
      </w:r>
      <w:r>
        <w:rPr>
          <w:color w:val="231F20"/>
          <w:spacing w:val="-12"/>
          <w:sz w:val="20"/>
        </w:rPr>
        <w:t> </w:t>
      </w:r>
      <w:r>
        <w:rPr>
          <w:color w:val="231F20"/>
          <w:sz w:val="20"/>
        </w:rPr>
        <w:t>может</w:t>
      </w:r>
      <w:r>
        <w:rPr>
          <w:color w:val="231F20"/>
          <w:spacing w:val="-12"/>
          <w:sz w:val="20"/>
        </w:rPr>
        <w:t> </w:t>
      </w:r>
      <w:r>
        <w:rPr>
          <w:color w:val="231F20"/>
          <w:sz w:val="20"/>
        </w:rPr>
        <w:t>уйти, не предупредив, хотя в правилах мы просим по возможности оставаться до конца.</w:t>
      </w:r>
      <w:r>
        <w:rPr>
          <w:color w:val="231F20"/>
          <w:spacing w:val="-3"/>
          <w:sz w:val="20"/>
        </w:rPr>
        <w:t> </w:t>
      </w:r>
      <w:r>
        <w:rPr>
          <w:color w:val="231F20"/>
          <w:sz w:val="20"/>
        </w:rPr>
        <w:t>И</w:t>
      </w:r>
      <w:r>
        <w:rPr>
          <w:color w:val="231F20"/>
          <w:spacing w:val="-3"/>
          <w:sz w:val="20"/>
        </w:rPr>
        <w:t> </w:t>
      </w:r>
      <w:r>
        <w:rPr>
          <w:color w:val="231F20"/>
          <w:sz w:val="20"/>
        </w:rPr>
        <w:t>тогда,</w:t>
      </w:r>
      <w:r>
        <w:rPr>
          <w:color w:val="231F20"/>
          <w:spacing w:val="-3"/>
          <w:sz w:val="20"/>
        </w:rPr>
        <w:t> </w:t>
      </w:r>
      <w:r>
        <w:rPr>
          <w:color w:val="231F20"/>
          <w:sz w:val="20"/>
        </w:rPr>
        <w:t>после</w:t>
      </w:r>
      <w:r>
        <w:rPr>
          <w:color w:val="231F20"/>
          <w:spacing w:val="-3"/>
          <w:sz w:val="20"/>
        </w:rPr>
        <w:t> </w:t>
      </w:r>
      <w:r>
        <w:rPr>
          <w:color w:val="231F20"/>
          <w:sz w:val="20"/>
        </w:rPr>
        <w:t>перерыва</w:t>
      </w:r>
      <w:r>
        <w:rPr>
          <w:color w:val="231F20"/>
          <w:spacing w:val="-3"/>
          <w:sz w:val="20"/>
        </w:rPr>
        <w:t> </w:t>
      </w:r>
      <w:r>
        <w:rPr>
          <w:color w:val="231F20"/>
          <w:sz w:val="20"/>
        </w:rPr>
        <w:t>волонтер</w:t>
      </w:r>
      <w:r>
        <w:rPr>
          <w:color w:val="231F20"/>
          <w:spacing w:val="-3"/>
          <w:sz w:val="20"/>
        </w:rPr>
        <w:t> </w:t>
      </w:r>
      <w:r>
        <w:rPr>
          <w:color w:val="231F20"/>
          <w:sz w:val="20"/>
        </w:rPr>
        <w:t>должен</w:t>
      </w:r>
      <w:r>
        <w:rPr>
          <w:color w:val="231F20"/>
          <w:spacing w:val="-3"/>
          <w:sz w:val="20"/>
        </w:rPr>
        <w:t> </w:t>
      </w:r>
      <w:r>
        <w:rPr>
          <w:color w:val="231F20"/>
          <w:sz w:val="20"/>
        </w:rPr>
        <w:t>проверить,</w:t>
      </w:r>
      <w:r>
        <w:rPr>
          <w:color w:val="231F20"/>
          <w:spacing w:val="-3"/>
          <w:sz w:val="20"/>
        </w:rPr>
        <w:t> </w:t>
      </w:r>
      <w:r>
        <w:rPr>
          <w:color w:val="231F20"/>
          <w:sz w:val="20"/>
        </w:rPr>
        <w:t>у</w:t>
      </w:r>
      <w:r>
        <w:rPr>
          <w:color w:val="231F20"/>
          <w:spacing w:val="-3"/>
          <w:sz w:val="20"/>
        </w:rPr>
        <w:t> </w:t>
      </w:r>
      <w:r>
        <w:rPr>
          <w:color w:val="231F20"/>
          <w:sz w:val="20"/>
        </w:rPr>
        <w:t>всех</w:t>
      </w:r>
      <w:r>
        <w:rPr>
          <w:color w:val="231F20"/>
          <w:spacing w:val="-3"/>
          <w:sz w:val="20"/>
        </w:rPr>
        <w:t> </w:t>
      </w:r>
      <w:r>
        <w:rPr>
          <w:color w:val="231F20"/>
          <w:sz w:val="20"/>
        </w:rPr>
        <w:t>ли</w:t>
      </w:r>
      <w:r>
        <w:rPr>
          <w:color w:val="231F20"/>
          <w:spacing w:val="-3"/>
          <w:sz w:val="20"/>
        </w:rPr>
        <w:t> </w:t>
      </w:r>
      <w:r>
        <w:rPr>
          <w:color w:val="231F20"/>
          <w:sz w:val="20"/>
        </w:rPr>
        <w:t>«Книг» есть</w:t>
      </w:r>
      <w:r>
        <w:rPr>
          <w:color w:val="231F20"/>
          <w:spacing w:val="-13"/>
          <w:sz w:val="20"/>
        </w:rPr>
        <w:t> </w:t>
      </w:r>
      <w:r>
        <w:rPr>
          <w:color w:val="231F20"/>
          <w:sz w:val="20"/>
        </w:rPr>
        <w:t>достаточное</w:t>
      </w:r>
      <w:r>
        <w:rPr>
          <w:color w:val="231F20"/>
          <w:spacing w:val="-12"/>
          <w:sz w:val="20"/>
        </w:rPr>
        <w:t> </w:t>
      </w:r>
      <w:r>
        <w:rPr>
          <w:color w:val="231F20"/>
          <w:sz w:val="20"/>
        </w:rPr>
        <w:t>количество</w:t>
      </w:r>
      <w:r>
        <w:rPr>
          <w:color w:val="231F20"/>
          <w:spacing w:val="-13"/>
          <w:sz w:val="20"/>
        </w:rPr>
        <w:t> </w:t>
      </w:r>
      <w:r>
        <w:rPr>
          <w:color w:val="231F20"/>
          <w:sz w:val="20"/>
        </w:rPr>
        <w:t>«Читателей».</w:t>
      </w:r>
      <w:r>
        <w:rPr>
          <w:color w:val="231F20"/>
          <w:spacing w:val="-12"/>
          <w:sz w:val="20"/>
        </w:rPr>
        <w:t> </w:t>
      </w:r>
      <w:r>
        <w:rPr>
          <w:color w:val="231F20"/>
          <w:sz w:val="20"/>
        </w:rPr>
        <w:t>И</w:t>
      </w:r>
      <w:r>
        <w:rPr>
          <w:color w:val="231F20"/>
          <w:spacing w:val="-13"/>
          <w:sz w:val="20"/>
        </w:rPr>
        <w:t> </w:t>
      </w:r>
      <w:r>
        <w:rPr>
          <w:color w:val="231F20"/>
          <w:sz w:val="20"/>
        </w:rPr>
        <w:t>тогда,</w:t>
      </w:r>
      <w:r>
        <w:rPr>
          <w:color w:val="231F20"/>
          <w:spacing w:val="-12"/>
          <w:sz w:val="20"/>
        </w:rPr>
        <w:t> </w:t>
      </w:r>
      <w:r>
        <w:rPr>
          <w:color w:val="231F20"/>
          <w:sz w:val="20"/>
        </w:rPr>
        <w:t>если</w:t>
      </w:r>
      <w:r>
        <w:rPr>
          <w:color w:val="231F20"/>
          <w:spacing w:val="-13"/>
          <w:sz w:val="20"/>
        </w:rPr>
        <w:t> </w:t>
      </w:r>
      <w:r>
        <w:rPr>
          <w:color w:val="231F20"/>
          <w:sz w:val="20"/>
        </w:rPr>
        <w:t>нет,</w:t>
      </w:r>
      <w:r>
        <w:rPr>
          <w:color w:val="231F20"/>
          <w:spacing w:val="-12"/>
          <w:sz w:val="20"/>
        </w:rPr>
        <w:t> </w:t>
      </w:r>
      <w:r>
        <w:rPr>
          <w:color w:val="231F20"/>
          <w:sz w:val="20"/>
        </w:rPr>
        <w:t>можно</w:t>
      </w:r>
      <w:r>
        <w:rPr>
          <w:color w:val="231F20"/>
          <w:spacing w:val="-13"/>
          <w:sz w:val="20"/>
        </w:rPr>
        <w:t> </w:t>
      </w:r>
      <w:r>
        <w:rPr>
          <w:color w:val="231F20"/>
          <w:sz w:val="20"/>
        </w:rPr>
        <w:t>попросить кого-то из волонтеров поучаствовать в качестве «Читателя».</w:t>
      </w:r>
    </w:p>
    <w:p>
      <w:pPr>
        <w:pStyle w:val="ListParagraph"/>
        <w:numPr>
          <w:ilvl w:val="0"/>
          <w:numId w:val="297"/>
        </w:numPr>
        <w:tabs>
          <w:tab w:pos="708" w:val="left" w:leader="none"/>
        </w:tabs>
        <w:spacing w:line="240" w:lineRule="auto" w:before="0" w:after="0"/>
        <w:ind w:left="708" w:right="139" w:hanging="284"/>
        <w:jc w:val="both"/>
        <w:rPr>
          <w:sz w:val="20"/>
        </w:rPr>
      </w:pPr>
      <w:r>
        <w:rPr>
          <w:color w:val="231F20"/>
          <w:sz w:val="20"/>
        </w:rPr>
        <w:t>Некоторые темы могут оказаться потенциально травмирующими для «Книг», поэтому полезно в процессе участие психолога. В процессе собеседования с</w:t>
      </w:r>
    </w:p>
    <w:p>
      <w:pPr>
        <w:pStyle w:val="BodyText"/>
        <w:ind w:left="708" w:firstLine="0"/>
      </w:pPr>
      <w:r>
        <w:rPr>
          <w:color w:val="231F20"/>
        </w:rPr>
        <w:t>«Книгами» важно оценить, насколько тема рассказа уже пережита «Книгой»</w:t>
      </w:r>
      <w:r>
        <w:rPr>
          <w:color w:val="231F20"/>
          <w:spacing w:val="40"/>
        </w:rPr>
        <w:t> </w:t>
      </w:r>
      <w:r>
        <w:rPr>
          <w:color w:val="231F20"/>
        </w:rPr>
        <w:t>и не является ли это свежей травмой. Перед тяжелыми рассказами стоит </w:t>
      </w:r>
      <w:r>
        <w:rPr>
          <w:color w:val="231F20"/>
          <w:spacing w:val="-2"/>
        </w:rPr>
        <w:t>предупредить</w:t>
      </w:r>
      <w:r>
        <w:rPr>
          <w:color w:val="231F20"/>
          <w:spacing w:val="-8"/>
        </w:rPr>
        <w:t> </w:t>
      </w:r>
      <w:r>
        <w:rPr>
          <w:color w:val="231F20"/>
          <w:spacing w:val="-2"/>
        </w:rPr>
        <w:t>аудиторию</w:t>
      </w:r>
      <w:r>
        <w:rPr>
          <w:color w:val="231F20"/>
          <w:spacing w:val="-8"/>
        </w:rPr>
        <w:t> </w:t>
      </w:r>
      <w:r>
        <w:rPr>
          <w:color w:val="231F20"/>
          <w:spacing w:val="-2"/>
        </w:rPr>
        <w:t>или</w:t>
      </w:r>
      <w:r>
        <w:rPr>
          <w:color w:val="231F20"/>
          <w:spacing w:val="-8"/>
        </w:rPr>
        <w:t> </w:t>
      </w:r>
      <w:r>
        <w:rPr>
          <w:color w:val="231F20"/>
          <w:spacing w:val="-2"/>
        </w:rPr>
        <w:t>ограничиться</w:t>
      </w:r>
      <w:r>
        <w:rPr>
          <w:color w:val="231F20"/>
          <w:spacing w:val="-8"/>
        </w:rPr>
        <w:t> </w:t>
      </w:r>
      <w:r>
        <w:rPr>
          <w:color w:val="231F20"/>
          <w:spacing w:val="-2"/>
        </w:rPr>
        <w:t>той</w:t>
      </w:r>
      <w:r>
        <w:rPr>
          <w:color w:val="231F20"/>
          <w:spacing w:val="-8"/>
        </w:rPr>
        <w:t> </w:t>
      </w:r>
      <w:r>
        <w:rPr>
          <w:color w:val="231F20"/>
          <w:spacing w:val="-2"/>
        </w:rPr>
        <w:t>историей,</w:t>
      </w:r>
      <w:r>
        <w:rPr>
          <w:color w:val="231F20"/>
          <w:spacing w:val="-8"/>
        </w:rPr>
        <w:t> </w:t>
      </w:r>
      <w:r>
        <w:rPr>
          <w:color w:val="231F20"/>
          <w:spacing w:val="-2"/>
        </w:rPr>
        <w:t>что</w:t>
      </w:r>
      <w:r>
        <w:rPr>
          <w:color w:val="231F20"/>
          <w:spacing w:val="-8"/>
        </w:rPr>
        <w:t> </w:t>
      </w:r>
      <w:r>
        <w:rPr>
          <w:color w:val="231F20"/>
          <w:spacing w:val="-2"/>
        </w:rPr>
        <w:t>не</w:t>
      </w:r>
      <w:r>
        <w:rPr>
          <w:color w:val="231F20"/>
          <w:spacing w:val="-8"/>
        </w:rPr>
        <w:t> </w:t>
      </w:r>
      <w:r>
        <w:rPr>
          <w:color w:val="231F20"/>
          <w:spacing w:val="-2"/>
        </w:rPr>
        <w:t>может</w:t>
      </w:r>
      <w:r>
        <w:rPr>
          <w:color w:val="231F20"/>
          <w:spacing w:val="-8"/>
        </w:rPr>
        <w:t> </w:t>
      </w:r>
      <w:r>
        <w:rPr>
          <w:color w:val="231F20"/>
          <w:spacing w:val="-2"/>
        </w:rPr>
        <w:t>вызвать </w:t>
      </w:r>
      <w:r>
        <w:rPr>
          <w:color w:val="231F20"/>
        </w:rPr>
        <w:t>травматический отклик.</w:t>
      </w:r>
    </w:p>
    <w:p>
      <w:pPr>
        <w:pStyle w:val="BodyText"/>
        <w:spacing w:line="242" w:lineRule="auto" w:before="59"/>
        <w:ind w:right="140"/>
      </w:pPr>
      <w:r>
        <w:rPr>
          <w:color w:val="231F20"/>
        </w:rPr>
        <w:t>Есть два варианта проведения «Живой библиотеки» с точки зрения возможности для «Читателей» выбирать, какие «Книги» они хотят «читать».</w:t>
      </w:r>
    </w:p>
    <w:p>
      <w:pPr>
        <w:pStyle w:val="BodyText"/>
        <w:spacing w:line="242" w:lineRule="auto"/>
      </w:pPr>
      <w:r>
        <w:rPr>
          <w:color w:val="231F20"/>
        </w:rPr>
        <w:t>Проще всего для организаторов распределять «Читателей» по «Книгам» случай- ным</w:t>
      </w:r>
      <w:r>
        <w:rPr>
          <w:color w:val="231F20"/>
          <w:spacing w:val="-4"/>
        </w:rPr>
        <w:t> </w:t>
      </w:r>
      <w:r>
        <w:rPr>
          <w:color w:val="231F20"/>
        </w:rPr>
        <w:t>образом,</w:t>
      </w:r>
      <w:r>
        <w:rPr>
          <w:color w:val="231F20"/>
          <w:spacing w:val="-4"/>
        </w:rPr>
        <w:t> </w:t>
      </w:r>
      <w:r>
        <w:rPr>
          <w:color w:val="231F20"/>
        </w:rPr>
        <w:t>следя</w:t>
      </w:r>
      <w:r>
        <w:rPr>
          <w:color w:val="231F20"/>
          <w:spacing w:val="-4"/>
        </w:rPr>
        <w:t> </w:t>
      </w:r>
      <w:r>
        <w:rPr>
          <w:color w:val="231F20"/>
        </w:rPr>
        <w:t>за</w:t>
      </w:r>
      <w:r>
        <w:rPr>
          <w:color w:val="231F20"/>
          <w:spacing w:val="-4"/>
        </w:rPr>
        <w:t> </w:t>
      </w:r>
      <w:r>
        <w:rPr>
          <w:color w:val="231F20"/>
        </w:rPr>
        <w:t>тем,</w:t>
      </w:r>
      <w:r>
        <w:rPr>
          <w:color w:val="231F20"/>
          <w:spacing w:val="-4"/>
        </w:rPr>
        <w:t> </w:t>
      </w:r>
      <w:r>
        <w:rPr>
          <w:color w:val="231F20"/>
        </w:rPr>
        <w:t>чтобы</w:t>
      </w:r>
      <w:r>
        <w:rPr>
          <w:color w:val="231F20"/>
          <w:spacing w:val="-4"/>
        </w:rPr>
        <w:t> </w:t>
      </w:r>
      <w:r>
        <w:rPr>
          <w:color w:val="231F20"/>
        </w:rPr>
        <w:t>один</w:t>
      </w:r>
      <w:r>
        <w:rPr>
          <w:color w:val="231F20"/>
          <w:spacing w:val="-4"/>
        </w:rPr>
        <w:t> </w:t>
      </w:r>
      <w:r>
        <w:rPr>
          <w:color w:val="231F20"/>
        </w:rPr>
        <w:t>«Читатель»</w:t>
      </w:r>
      <w:r>
        <w:rPr>
          <w:color w:val="231F20"/>
          <w:spacing w:val="-4"/>
        </w:rPr>
        <w:t> </w:t>
      </w:r>
      <w:r>
        <w:rPr>
          <w:color w:val="231F20"/>
        </w:rPr>
        <w:t>не</w:t>
      </w:r>
      <w:r>
        <w:rPr>
          <w:color w:val="231F20"/>
          <w:spacing w:val="-4"/>
        </w:rPr>
        <w:t> </w:t>
      </w:r>
      <w:r>
        <w:rPr>
          <w:color w:val="231F20"/>
        </w:rPr>
        <w:t>попал</w:t>
      </w:r>
      <w:r>
        <w:rPr>
          <w:color w:val="231F20"/>
          <w:spacing w:val="-4"/>
        </w:rPr>
        <w:t> </w:t>
      </w:r>
      <w:r>
        <w:rPr>
          <w:color w:val="231F20"/>
        </w:rPr>
        <w:t>к</w:t>
      </w:r>
      <w:r>
        <w:rPr>
          <w:color w:val="231F20"/>
          <w:spacing w:val="-4"/>
        </w:rPr>
        <w:t> </w:t>
      </w:r>
      <w:r>
        <w:rPr>
          <w:color w:val="231F20"/>
        </w:rPr>
        <w:t>«Книге»</w:t>
      </w:r>
      <w:r>
        <w:rPr>
          <w:color w:val="231F20"/>
          <w:spacing w:val="-4"/>
        </w:rPr>
        <w:t> </w:t>
      </w:r>
      <w:r>
        <w:rPr>
          <w:color w:val="231F20"/>
        </w:rPr>
        <w:t>дважды.</w:t>
      </w:r>
      <w:r>
        <w:rPr>
          <w:color w:val="231F20"/>
          <w:spacing w:val="-4"/>
        </w:rPr>
        <w:t> </w:t>
      </w:r>
      <w:r>
        <w:rPr>
          <w:color w:val="231F20"/>
        </w:rPr>
        <w:t>Тог- да «Читатели» знают тему, но какую «Книгу» они будут «читать» – для них загадка до момента знакомства с «Книгой». Это просто сделать, распределив участников по группам, и тогда группы остаются стабильными, а «Книги» переходят от группы к группе. Обычно «Читатели» не могут прочесть все «Книги»: мы не советуем делать больше</w:t>
      </w:r>
      <w:r>
        <w:rPr>
          <w:color w:val="231F20"/>
          <w:spacing w:val="-6"/>
        </w:rPr>
        <w:t> </w:t>
      </w:r>
      <w:r>
        <w:rPr>
          <w:color w:val="231F20"/>
        </w:rPr>
        <w:t>чем</w:t>
      </w:r>
      <w:r>
        <w:rPr>
          <w:color w:val="231F20"/>
          <w:spacing w:val="-6"/>
        </w:rPr>
        <w:t> </w:t>
      </w:r>
      <w:r>
        <w:rPr>
          <w:color w:val="231F20"/>
        </w:rPr>
        <w:t>2–3</w:t>
      </w:r>
      <w:r>
        <w:rPr>
          <w:color w:val="231F20"/>
          <w:spacing w:val="-6"/>
        </w:rPr>
        <w:t> </w:t>
      </w:r>
      <w:r>
        <w:rPr>
          <w:color w:val="231F20"/>
        </w:rPr>
        <w:t>встречи</w:t>
      </w:r>
      <w:r>
        <w:rPr>
          <w:color w:val="231F20"/>
          <w:spacing w:val="-6"/>
        </w:rPr>
        <w:t> </w:t>
      </w:r>
      <w:r>
        <w:rPr>
          <w:color w:val="231F20"/>
        </w:rPr>
        <w:t>за</w:t>
      </w:r>
      <w:r>
        <w:rPr>
          <w:color w:val="231F20"/>
          <w:spacing w:val="-6"/>
        </w:rPr>
        <w:t> </w:t>
      </w:r>
      <w:r>
        <w:rPr>
          <w:color w:val="231F20"/>
        </w:rPr>
        <w:t>вечер,</w:t>
      </w:r>
      <w:r>
        <w:rPr>
          <w:color w:val="231F20"/>
          <w:spacing w:val="-6"/>
        </w:rPr>
        <w:t> </w:t>
      </w:r>
      <w:r>
        <w:rPr>
          <w:color w:val="231F20"/>
        </w:rPr>
        <w:t>так</w:t>
      </w:r>
      <w:r>
        <w:rPr>
          <w:color w:val="231F20"/>
          <w:spacing w:val="-6"/>
        </w:rPr>
        <w:t> </w:t>
      </w:r>
      <w:r>
        <w:rPr>
          <w:color w:val="231F20"/>
        </w:rPr>
        <w:t>как</w:t>
      </w:r>
      <w:r>
        <w:rPr>
          <w:color w:val="231F20"/>
          <w:spacing w:val="-6"/>
        </w:rPr>
        <w:t> </w:t>
      </w:r>
      <w:r>
        <w:rPr>
          <w:color w:val="231F20"/>
        </w:rPr>
        <w:t>больше</w:t>
      </w:r>
      <w:r>
        <w:rPr>
          <w:color w:val="231F20"/>
          <w:spacing w:val="-6"/>
        </w:rPr>
        <w:t> </w:t>
      </w:r>
      <w:r>
        <w:rPr>
          <w:color w:val="231F20"/>
        </w:rPr>
        <w:t>может</w:t>
      </w:r>
      <w:r>
        <w:rPr>
          <w:color w:val="231F20"/>
          <w:spacing w:val="-6"/>
        </w:rPr>
        <w:t> </w:t>
      </w:r>
      <w:r>
        <w:rPr>
          <w:color w:val="231F20"/>
        </w:rPr>
        <w:t>быть</w:t>
      </w:r>
      <w:r>
        <w:rPr>
          <w:color w:val="231F20"/>
          <w:spacing w:val="-6"/>
        </w:rPr>
        <w:t> </w:t>
      </w:r>
      <w:r>
        <w:rPr>
          <w:color w:val="231F20"/>
        </w:rPr>
        <w:t>утомительно,</w:t>
      </w:r>
      <w:r>
        <w:rPr>
          <w:color w:val="231F20"/>
          <w:spacing w:val="-6"/>
        </w:rPr>
        <w:t> </w:t>
      </w:r>
      <w:r>
        <w:rPr>
          <w:color w:val="231F20"/>
        </w:rPr>
        <w:t>особенно </w:t>
      </w:r>
      <w:r>
        <w:rPr>
          <w:color w:val="231F20"/>
          <w:spacing w:val="-2"/>
        </w:rPr>
        <w:t>при</w:t>
      </w:r>
      <w:r>
        <w:rPr>
          <w:color w:val="231F20"/>
          <w:spacing w:val="-5"/>
        </w:rPr>
        <w:t> </w:t>
      </w:r>
      <w:r>
        <w:rPr>
          <w:color w:val="231F20"/>
          <w:spacing w:val="-2"/>
        </w:rPr>
        <w:t>онлайн</w:t>
      </w:r>
      <w:r>
        <w:rPr>
          <w:color w:val="231F20"/>
          <w:spacing w:val="-5"/>
        </w:rPr>
        <w:t> </w:t>
      </w:r>
      <w:r>
        <w:rPr>
          <w:color w:val="231F20"/>
          <w:spacing w:val="-2"/>
        </w:rPr>
        <w:t>формате.</w:t>
      </w:r>
      <w:r>
        <w:rPr>
          <w:color w:val="231F20"/>
          <w:spacing w:val="-5"/>
        </w:rPr>
        <w:t> </w:t>
      </w:r>
      <w:r>
        <w:rPr>
          <w:color w:val="231F20"/>
          <w:spacing w:val="-2"/>
        </w:rPr>
        <w:t>Такой</w:t>
      </w:r>
      <w:r>
        <w:rPr>
          <w:color w:val="231F20"/>
          <w:spacing w:val="-5"/>
        </w:rPr>
        <w:t> </w:t>
      </w:r>
      <w:r>
        <w:rPr>
          <w:color w:val="231F20"/>
          <w:spacing w:val="-2"/>
        </w:rPr>
        <w:t>формат</w:t>
      </w:r>
      <w:r>
        <w:rPr>
          <w:color w:val="231F20"/>
          <w:spacing w:val="-5"/>
        </w:rPr>
        <w:t> </w:t>
      </w:r>
      <w:r>
        <w:rPr>
          <w:color w:val="231F20"/>
          <w:spacing w:val="-2"/>
        </w:rPr>
        <w:t>советуем</w:t>
      </w:r>
      <w:r>
        <w:rPr>
          <w:color w:val="231F20"/>
          <w:spacing w:val="-5"/>
        </w:rPr>
        <w:t> </w:t>
      </w:r>
      <w:r>
        <w:rPr>
          <w:color w:val="231F20"/>
          <w:spacing w:val="-2"/>
        </w:rPr>
        <w:t>начинающим</w:t>
      </w:r>
      <w:r>
        <w:rPr>
          <w:color w:val="231F20"/>
          <w:spacing w:val="-5"/>
        </w:rPr>
        <w:t> </w:t>
      </w:r>
      <w:r>
        <w:rPr>
          <w:color w:val="231F20"/>
          <w:spacing w:val="-2"/>
        </w:rPr>
        <w:t>проводить</w:t>
      </w:r>
      <w:r>
        <w:rPr>
          <w:color w:val="231F20"/>
          <w:spacing w:val="-5"/>
        </w:rPr>
        <w:t> </w:t>
      </w:r>
      <w:r>
        <w:rPr>
          <w:color w:val="231F20"/>
          <w:spacing w:val="-2"/>
        </w:rPr>
        <w:t>«Живую</w:t>
      </w:r>
      <w:r>
        <w:rPr>
          <w:color w:val="231F20"/>
          <w:spacing w:val="-5"/>
        </w:rPr>
        <w:t> </w:t>
      </w:r>
      <w:r>
        <w:rPr>
          <w:color w:val="231F20"/>
          <w:spacing w:val="-2"/>
        </w:rPr>
        <w:t>библи- </w:t>
      </w:r>
      <w:r>
        <w:rPr>
          <w:color w:val="231F20"/>
        </w:rPr>
        <w:t>отеку», особенно если мероприятие планируется онлайн или есть страх запутаться.</w:t>
      </w:r>
    </w:p>
    <w:p>
      <w:pPr>
        <w:pStyle w:val="BodyText"/>
        <w:spacing w:line="242" w:lineRule="auto"/>
      </w:pPr>
      <w:r>
        <w:rPr>
          <w:color w:val="231F20"/>
        </w:rPr>
        <w:t>Но, если есть желание, чтобы у «Читателей» была возможность выбора, и если группа</w:t>
      </w:r>
      <w:r>
        <w:rPr>
          <w:color w:val="231F20"/>
          <w:spacing w:val="-11"/>
        </w:rPr>
        <w:t> </w:t>
      </w:r>
      <w:r>
        <w:rPr>
          <w:color w:val="231F20"/>
        </w:rPr>
        <w:t>«Читателей»</w:t>
      </w:r>
      <w:r>
        <w:rPr>
          <w:color w:val="231F20"/>
          <w:spacing w:val="-11"/>
        </w:rPr>
        <w:t> </w:t>
      </w:r>
      <w:r>
        <w:rPr>
          <w:color w:val="231F20"/>
        </w:rPr>
        <w:t>не</w:t>
      </w:r>
      <w:r>
        <w:rPr>
          <w:color w:val="231F20"/>
          <w:spacing w:val="-11"/>
        </w:rPr>
        <w:t> </w:t>
      </w:r>
      <w:r>
        <w:rPr>
          <w:color w:val="231F20"/>
        </w:rPr>
        <w:t>очень</w:t>
      </w:r>
      <w:r>
        <w:rPr>
          <w:color w:val="231F20"/>
          <w:spacing w:val="-11"/>
        </w:rPr>
        <w:t> </w:t>
      </w:r>
      <w:r>
        <w:rPr>
          <w:color w:val="231F20"/>
        </w:rPr>
        <w:t>большая</w:t>
      </w:r>
      <w:r>
        <w:rPr>
          <w:color w:val="231F20"/>
          <w:spacing w:val="-11"/>
        </w:rPr>
        <w:t> </w:t>
      </w:r>
      <w:r>
        <w:rPr>
          <w:color w:val="231F20"/>
        </w:rPr>
        <w:t>и</w:t>
      </w:r>
      <w:r>
        <w:rPr>
          <w:color w:val="231F20"/>
          <w:spacing w:val="-11"/>
        </w:rPr>
        <w:t> </w:t>
      </w:r>
      <w:r>
        <w:rPr>
          <w:color w:val="231F20"/>
        </w:rPr>
        <w:t>есть</w:t>
      </w:r>
      <w:r>
        <w:rPr>
          <w:color w:val="231F20"/>
          <w:spacing w:val="-11"/>
        </w:rPr>
        <w:t> </w:t>
      </w:r>
      <w:r>
        <w:rPr>
          <w:color w:val="231F20"/>
        </w:rPr>
        <w:t>волонтеры,</w:t>
      </w:r>
      <w:r>
        <w:rPr>
          <w:color w:val="231F20"/>
          <w:spacing w:val="-11"/>
        </w:rPr>
        <w:t> </w:t>
      </w:r>
      <w:r>
        <w:rPr>
          <w:color w:val="231F20"/>
        </w:rPr>
        <w:t>то</w:t>
      </w:r>
      <w:r>
        <w:rPr>
          <w:color w:val="231F20"/>
          <w:spacing w:val="-11"/>
        </w:rPr>
        <w:t> </w:t>
      </w:r>
      <w:r>
        <w:rPr>
          <w:color w:val="231F20"/>
        </w:rPr>
        <w:t>сейчас</w:t>
      </w:r>
      <w:r>
        <w:rPr>
          <w:color w:val="231F20"/>
          <w:spacing w:val="-11"/>
        </w:rPr>
        <w:t> </w:t>
      </w:r>
      <w:r>
        <w:rPr>
          <w:color w:val="231F20"/>
        </w:rPr>
        <w:t>мы</w:t>
      </w:r>
      <w:r>
        <w:rPr>
          <w:color w:val="231F20"/>
          <w:spacing w:val="-11"/>
        </w:rPr>
        <w:t> </w:t>
      </w:r>
      <w:r>
        <w:rPr>
          <w:color w:val="231F20"/>
        </w:rPr>
        <w:t>расскажем,</w:t>
      </w:r>
      <w:r>
        <w:rPr>
          <w:color w:val="231F20"/>
          <w:spacing w:val="-11"/>
        </w:rPr>
        <w:t> </w:t>
      </w:r>
      <w:r>
        <w:rPr>
          <w:color w:val="231F20"/>
        </w:rPr>
        <w:t>как это можно сделать.</w:t>
      </w:r>
    </w:p>
    <w:p>
      <w:pPr>
        <w:spacing w:before="53"/>
        <w:ind w:left="425" w:right="0" w:firstLine="0"/>
        <w:jc w:val="both"/>
        <w:rPr>
          <w:i/>
          <w:sz w:val="20"/>
        </w:rPr>
      </w:pPr>
      <w:r>
        <w:rPr>
          <w:i/>
          <w:color w:val="231F20"/>
          <w:sz w:val="20"/>
        </w:rPr>
        <w:t>При</w:t>
      </w:r>
      <w:r>
        <w:rPr>
          <w:i/>
          <w:color w:val="231F20"/>
          <w:spacing w:val="-3"/>
          <w:sz w:val="20"/>
        </w:rPr>
        <w:t> </w:t>
      </w:r>
      <w:r>
        <w:rPr>
          <w:i/>
          <w:color w:val="231F20"/>
          <w:sz w:val="20"/>
        </w:rPr>
        <w:t>офлайн</w:t>
      </w:r>
      <w:r>
        <w:rPr>
          <w:i/>
          <w:color w:val="231F20"/>
          <w:spacing w:val="-3"/>
          <w:sz w:val="20"/>
        </w:rPr>
        <w:t> </w:t>
      </w:r>
      <w:r>
        <w:rPr>
          <w:i/>
          <w:color w:val="231F20"/>
          <w:spacing w:val="-2"/>
          <w:sz w:val="20"/>
        </w:rPr>
        <w:t>формате:</w:t>
      </w:r>
    </w:p>
    <w:p>
      <w:pPr>
        <w:pStyle w:val="ListParagraph"/>
        <w:numPr>
          <w:ilvl w:val="0"/>
          <w:numId w:val="298"/>
        </w:numPr>
        <w:tabs>
          <w:tab w:pos="425" w:val="left" w:leader="none"/>
        </w:tabs>
        <w:spacing w:line="242" w:lineRule="auto" w:before="2" w:after="0"/>
        <w:ind w:left="425" w:right="139" w:hanging="284"/>
        <w:jc w:val="both"/>
        <w:rPr>
          <w:sz w:val="20"/>
        </w:rPr>
      </w:pPr>
      <w:r>
        <w:rPr>
          <w:color w:val="231F20"/>
          <w:sz w:val="20"/>
        </w:rPr>
        <w:t>На</w:t>
      </w:r>
      <w:r>
        <w:rPr>
          <w:color w:val="231F20"/>
          <w:spacing w:val="-8"/>
          <w:sz w:val="20"/>
        </w:rPr>
        <w:t> </w:t>
      </w:r>
      <w:r>
        <w:rPr>
          <w:color w:val="231F20"/>
          <w:sz w:val="20"/>
        </w:rPr>
        <w:t>этапе</w:t>
      </w:r>
      <w:r>
        <w:rPr>
          <w:color w:val="231F20"/>
          <w:spacing w:val="-8"/>
          <w:sz w:val="20"/>
        </w:rPr>
        <w:t> </w:t>
      </w:r>
      <w:r>
        <w:rPr>
          <w:color w:val="231F20"/>
          <w:sz w:val="20"/>
        </w:rPr>
        <w:t>предварительного</w:t>
      </w:r>
      <w:r>
        <w:rPr>
          <w:color w:val="231F20"/>
          <w:spacing w:val="-8"/>
          <w:sz w:val="20"/>
        </w:rPr>
        <w:t> </w:t>
      </w:r>
      <w:r>
        <w:rPr>
          <w:color w:val="231F20"/>
          <w:sz w:val="20"/>
        </w:rPr>
        <w:t>созвона</w:t>
      </w:r>
      <w:r>
        <w:rPr>
          <w:color w:val="231F20"/>
          <w:spacing w:val="-8"/>
          <w:sz w:val="20"/>
        </w:rPr>
        <w:t> </w:t>
      </w:r>
      <w:r>
        <w:rPr>
          <w:color w:val="231F20"/>
          <w:sz w:val="20"/>
        </w:rPr>
        <w:t>с</w:t>
      </w:r>
      <w:r>
        <w:rPr>
          <w:color w:val="231F20"/>
          <w:spacing w:val="-8"/>
          <w:sz w:val="20"/>
        </w:rPr>
        <w:t> </w:t>
      </w:r>
      <w:r>
        <w:rPr>
          <w:color w:val="231F20"/>
          <w:sz w:val="20"/>
        </w:rPr>
        <w:t>«Книгами»,</w:t>
      </w:r>
      <w:r>
        <w:rPr>
          <w:color w:val="231F20"/>
          <w:spacing w:val="-8"/>
          <w:sz w:val="20"/>
        </w:rPr>
        <w:t> </w:t>
      </w:r>
      <w:r>
        <w:rPr>
          <w:color w:val="231F20"/>
          <w:sz w:val="20"/>
        </w:rPr>
        <w:t>после</w:t>
      </w:r>
      <w:r>
        <w:rPr>
          <w:color w:val="231F20"/>
          <w:spacing w:val="-8"/>
          <w:sz w:val="20"/>
        </w:rPr>
        <w:t> </w:t>
      </w:r>
      <w:r>
        <w:rPr>
          <w:color w:val="231F20"/>
          <w:sz w:val="20"/>
        </w:rPr>
        <w:t>того,</w:t>
      </w:r>
      <w:r>
        <w:rPr>
          <w:color w:val="231F20"/>
          <w:spacing w:val="-8"/>
          <w:sz w:val="20"/>
        </w:rPr>
        <w:t> </w:t>
      </w:r>
      <w:r>
        <w:rPr>
          <w:color w:val="231F20"/>
          <w:sz w:val="20"/>
        </w:rPr>
        <w:t>как</w:t>
      </w:r>
      <w:r>
        <w:rPr>
          <w:color w:val="231F20"/>
          <w:spacing w:val="-8"/>
          <w:sz w:val="20"/>
        </w:rPr>
        <w:t> </w:t>
      </w:r>
      <w:r>
        <w:rPr>
          <w:color w:val="231F20"/>
          <w:sz w:val="20"/>
        </w:rPr>
        <w:t>книга</w:t>
      </w:r>
      <w:r>
        <w:rPr>
          <w:color w:val="231F20"/>
          <w:spacing w:val="-8"/>
          <w:sz w:val="20"/>
        </w:rPr>
        <w:t> </w:t>
      </w:r>
      <w:r>
        <w:rPr>
          <w:color w:val="231F20"/>
          <w:sz w:val="20"/>
        </w:rPr>
        <w:t>расскажет свою историю, предложить обдумать, какая цитата из ее рассказа лучше всего выражает суть того, о чем рассказ. Можно помочь «Книге», предложить ее как слушатель, обсудить с «Книгой». Это должно быть совместное решение.</w:t>
      </w:r>
    </w:p>
    <w:p>
      <w:pPr>
        <w:pStyle w:val="ListParagraph"/>
        <w:numPr>
          <w:ilvl w:val="0"/>
          <w:numId w:val="298"/>
        </w:numPr>
        <w:tabs>
          <w:tab w:pos="425" w:val="left" w:leader="none"/>
        </w:tabs>
        <w:spacing w:line="240" w:lineRule="auto" w:before="0" w:after="0"/>
        <w:ind w:left="425" w:right="139" w:hanging="284"/>
        <w:jc w:val="both"/>
        <w:rPr>
          <w:sz w:val="20"/>
        </w:rPr>
      </w:pPr>
      <w:r>
        <w:rPr>
          <w:color w:val="231F20"/>
          <w:sz w:val="20"/>
        </w:rPr>
        <w:t>При</w:t>
      </w:r>
      <w:r>
        <w:rPr>
          <w:color w:val="231F20"/>
          <w:spacing w:val="-10"/>
          <w:sz w:val="20"/>
        </w:rPr>
        <w:t> </w:t>
      </w:r>
      <w:r>
        <w:rPr>
          <w:color w:val="231F20"/>
          <w:sz w:val="20"/>
        </w:rPr>
        <w:t>проведении</w:t>
      </w:r>
      <w:r>
        <w:rPr>
          <w:color w:val="231F20"/>
          <w:spacing w:val="-10"/>
          <w:sz w:val="20"/>
        </w:rPr>
        <w:t> </w:t>
      </w:r>
      <w:r>
        <w:rPr>
          <w:color w:val="231F20"/>
          <w:sz w:val="20"/>
        </w:rPr>
        <w:t>«Живой</w:t>
      </w:r>
      <w:r>
        <w:rPr>
          <w:color w:val="231F20"/>
          <w:spacing w:val="-10"/>
          <w:sz w:val="20"/>
        </w:rPr>
        <w:t> </w:t>
      </w:r>
      <w:r>
        <w:rPr>
          <w:color w:val="231F20"/>
          <w:sz w:val="20"/>
        </w:rPr>
        <w:t>библиотеки»</w:t>
      </w:r>
      <w:r>
        <w:rPr>
          <w:color w:val="231F20"/>
          <w:spacing w:val="-10"/>
          <w:sz w:val="20"/>
        </w:rPr>
        <w:t> </w:t>
      </w:r>
      <w:r>
        <w:rPr>
          <w:color w:val="231F20"/>
          <w:sz w:val="20"/>
        </w:rPr>
        <w:t>помним</w:t>
      </w:r>
      <w:r>
        <w:rPr>
          <w:color w:val="231F20"/>
          <w:spacing w:val="-10"/>
          <w:sz w:val="20"/>
        </w:rPr>
        <w:t> </w:t>
      </w:r>
      <w:r>
        <w:rPr>
          <w:color w:val="231F20"/>
          <w:sz w:val="20"/>
        </w:rPr>
        <w:t>о</w:t>
      </w:r>
      <w:r>
        <w:rPr>
          <w:color w:val="231F20"/>
          <w:spacing w:val="-10"/>
          <w:sz w:val="20"/>
        </w:rPr>
        <w:t> </w:t>
      </w:r>
      <w:r>
        <w:rPr>
          <w:color w:val="231F20"/>
          <w:sz w:val="20"/>
        </w:rPr>
        <w:t>том,</w:t>
      </w:r>
      <w:r>
        <w:rPr>
          <w:color w:val="231F20"/>
          <w:spacing w:val="-10"/>
          <w:sz w:val="20"/>
        </w:rPr>
        <w:t> </w:t>
      </w:r>
      <w:r>
        <w:rPr>
          <w:color w:val="231F20"/>
          <w:sz w:val="20"/>
        </w:rPr>
        <w:t>что</w:t>
      </w:r>
      <w:r>
        <w:rPr>
          <w:color w:val="231F20"/>
          <w:spacing w:val="-10"/>
          <w:sz w:val="20"/>
        </w:rPr>
        <w:t> </w:t>
      </w:r>
      <w:r>
        <w:rPr>
          <w:color w:val="231F20"/>
          <w:sz w:val="20"/>
        </w:rPr>
        <w:t>оптимальная</w:t>
      </w:r>
      <w:r>
        <w:rPr>
          <w:color w:val="231F20"/>
          <w:spacing w:val="-10"/>
          <w:sz w:val="20"/>
        </w:rPr>
        <w:t> </w:t>
      </w:r>
      <w:r>
        <w:rPr>
          <w:color w:val="231F20"/>
          <w:sz w:val="20"/>
        </w:rPr>
        <w:t>группа</w:t>
      </w:r>
      <w:r>
        <w:rPr>
          <w:color w:val="231F20"/>
          <w:spacing w:val="-10"/>
          <w:sz w:val="20"/>
        </w:rPr>
        <w:t> </w:t>
      </w:r>
      <w:r>
        <w:rPr>
          <w:color w:val="231F20"/>
          <w:sz w:val="20"/>
        </w:rPr>
        <w:t>для </w:t>
      </w:r>
      <w:r>
        <w:rPr>
          <w:color w:val="231F20"/>
          <w:spacing w:val="-4"/>
          <w:sz w:val="20"/>
        </w:rPr>
        <w:t>единовременного</w:t>
      </w:r>
      <w:r>
        <w:rPr>
          <w:color w:val="231F20"/>
          <w:spacing w:val="-5"/>
          <w:sz w:val="20"/>
        </w:rPr>
        <w:t> </w:t>
      </w:r>
      <w:r>
        <w:rPr>
          <w:color w:val="231F20"/>
          <w:spacing w:val="-4"/>
          <w:sz w:val="20"/>
        </w:rPr>
        <w:t>чтения</w:t>
      </w:r>
      <w:r>
        <w:rPr>
          <w:color w:val="231F20"/>
          <w:spacing w:val="-5"/>
          <w:sz w:val="20"/>
        </w:rPr>
        <w:t> </w:t>
      </w:r>
      <w:r>
        <w:rPr>
          <w:color w:val="231F20"/>
          <w:spacing w:val="-4"/>
          <w:sz w:val="20"/>
        </w:rPr>
        <w:t>книг</w:t>
      </w:r>
      <w:r>
        <w:rPr>
          <w:color w:val="231F20"/>
          <w:spacing w:val="-5"/>
          <w:sz w:val="20"/>
        </w:rPr>
        <w:t> </w:t>
      </w:r>
      <w:r>
        <w:rPr>
          <w:color w:val="231F20"/>
          <w:spacing w:val="-4"/>
          <w:sz w:val="20"/>
        </w:rPr>
        <w:t>–</w:t>
      </w:r>
      <w:r>
        <w:rPr>
          <w:color w:val="231F20"/>
          <w:spacing w:val="-5"/>
          <w:sz w:val="20"/>
        </w:rPr>
        <w:t> </w:t>
      </w:r>
      <w:r>
        <w:rPr>
          <w:color w:val="231F20"/>
          <w:spacing w:val="-4"/>
          <w:sz w:val="20"/>
        </w:rPr>
        <w:t>не</w:t>
      </w:r>
      <w:r>
        <w:rPr>
          <w:color w:val="231F20"/>
          <w:spacing w:val="-5"/>
          <w:sz w:val="20"/>
        </w:rPr>
        <w:t> </w:t>
      </w:r>
      <w:r>
        <w:rPr>
          <w:color w:val="231F20"/>
          <w:spacing w:val="-4"/>
          <w:sz w:val="20"/>
        </w:rPr>
        <w:t>больше</w:t>
      </w:r>
      <w:r>
        <w:rPr>
          <w:color w:val="231F20"/>
          <w:spacing w:val="-5"/>
          <w:sz w:val="20"/>
        </w:rPr>
        <w:t> </w:t>
      </w:r>
      <w:r>
        <w:rPr>
          <w:color w:val="231F20"/>
          <w:spacing w:val="-4"/>
          <w:sz w:val="20"/>
        </w:rPr>
        <w:t>7</w:t>
      </w:r>
      <w:r>
        <w:rPr>
          <w:color w:val="231F20"/>
          <w:spacing w:val="-5"/>
          <w:sz w:val="20"/>
        </w:rPr>
        <w:t> </w:t>
      </w:r>
      <w:r>
        <w:rPr>
          <w:color w:val="231F20"/>
          <w:spacing w:val="-4"/>
          <w:sz w:val="20"/>
        </w:rPr>
        <w:t>человек.</w:t>
      </w:r>
      <w:r>
        <w:rPr>
          <w:color w:val="231F20"/>
          <w:spacing w:val="-5"/>
          <w:sz w:val="20"/>
        </w:rPr>
        <w:t> </w:t>
      </w:r>
      <w:r>
        <w:rPr>
          <w:color w:val="231F20"/>
          <w:spacing w:val="-4"/>
          <w:sz w:val="20"/>
        </w:rPr>
        <w:t>В</w:t>
      </w:r>
      <w:r>
        <w:rPr>
          <w:color w:val="231F20"/>
          <w:spacing w:val="-5"/>
          <w:sz w:val="20"/>
        </w:rPr>
        <w:t> </w:t>
      </w:r>
      <w:r>
        <w:rPr>
          <w:color w:val="231F20"/>
          <w:spacing w:val="-4"/>
          <w:sz w:val="20"/>
        </w:rPr>
        <w:t>начале</w:t>
      </w:r>
      <w:r>
        <w:rPr>
          <w:color w:val="231F20"/>
          <w:spacing w:val="-5"/>
          <w:sz w:val="20"/>
        </w:rPr>
        <w:t> </w:t>
      </w:r>
      <w:r>
        <w:rPr>
          <w:color w:val="231F20"/>
          <w:spacing w:val="-4"/>
          <w:sz w:val="20"/>
        </w:rPr>
        <w:t>«Живой</w:t>
      </w:r>
      <w:r>
        <w:rPr>
          <w:color w:val="231F20"/>
          <w:spacing w:val="-5"/>
          <w:sz w:val="20"/>
        </w:rPr>
        <w:t> </w:t>
      </w:r>
      <w:r>
        <w:rPr>
          <w:color w:val="231F20"/>
          <w:spacing w:val="-4"/>
          <w:sz w:val="20"/>
        </w:rPr>
        <w:t>библиотеки» </w:t>
      </w:r>
      <w:r>
        <w:rPr>
          <w:color w:val="231F20"/>
          <w:sz w:val="20"/>
        </w:rPr>
        <w:t>делим количество фактически пришедших «Читателей» на количество «Книг» и представляем, сколько «Читателей» приходится на «Книгу».</w:t>
      </w:r>
    </w:p>
    <w:p>
      <w:pPr>
        <w:pStyle w:val="ListParagraph"/>
        <w:spacing w:after="0" w:line="240" w:lineRule="auto"/>
        <w:jc w:val="both"/>
        <w:rPr>
          <w:sz w:val="20"/>
        </w:rPr>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ListParagraph"/>
        <w:numPr>
          <w:ilvl w:val="0"/>
          <w:numId w:val="298"/>
        </w:numPr>
        <w:tabs>
          <w:tab w:pos="425" w:val="left" w:leader="none"/>
        </w:tabs>
        <w:spacing w:line="235" w:lineRule="auto" w:before="116" w:after="0"/>
        <w:ind w:left="425" w:right="139" w:hanging="284"/>
        <w:jc w:val="both"/>
        <w:rPr>
          <w:sz w:val="20"/>
        </w:rPr>
      </w:pPr>
      <w:r>
        <w:rPr>
          <w:color w:val="231F20"/>
          <w:sz w:val="20"/>
        </w:rPr>
        <w:t>Стоит</w:t>
      </w:r>
      <w:r>
        <w:rPr>
          <w:color w:val="231F20"/>
          <w:spacing w:val="-12"/>
          <w:sz w:val="20"/>
        </w:rPr>
        <w:t> </w:t>
      </w:r>
      <w:r>
        <w:rPr>
          <w:color w:val="231F20"/>
          <w:sz w:val="20"/>
        </w:rPr>
        <w:t>заранее</w:t>
      </w:r>
      <w:r>
        <w:rPr>
          <w:color w:val="231F20"/>
          <w:spacing w:val="-12"/>
          <w:sz w:val="20"/>
        </w:rPr>
        <w:t> </w:t>
      </w:r>
      <w:r>
        <w:rPr>
          <w:color w:val="231F20"/>
          <w:sz w:val="20"/>
        </w:rPr>
        <w:t>подготовить</w:t>
      </w:r>
      <w:r>
        <w:rPr>
          <w:color w:val="231F20"/>
          <w:spacing w:val="-12"/>
          <w:sz w:val="20"/>
        </w:rPr>
        <w:t> </w:t>
      </w:r>
      <w:r>
        <w:rPr>
          <w:color w:val="231F20"/>
          <w:sz w:val="20"/>
        </w:rPr>
        <w:t>листы,</w:t>
      </w:r>
      <w:r>
        <w:rPr>
          <w:color w:val="231F20"/>
          <w:spacing w:val="-12"/>
          <w:sz w:val="20"/>
        </w:rPr>
        <w:t> </w:t>
      </w:r>
      <w:r>
        <w:rPr>
          <w:color w:val="231F20"/>
          <w:sz w:val="20"/>
        </w:rPr>
        <w:t>на</w:t>
      </w:r>
      <w:r>
        <w:rPr>
          <w:color w:val="231F20"/>
          <w:spacing w:val="-12"/>
          <w:sz w:val="20"/>
        </w:rPr>
        <w:t> </w:t>
      </w:r>
      <w:r>
        <w:rPr>
          <w:color w:val="231F20"/>
          <w:sz w:val="20"/>
        </w:rPr>
        <w:t>которых</w:t>
      </w:r>
      <w:r>
        <w:rPr>
          <w:color w:val="231F20"/>
          <w:spacing w:val="-12"/>
          <w:sz w:val="20"/>
        </w:rPr>
        <w:t> </w:t>
      </w:r>
      <w:r>
        <w:rPr>
          <w:color w:val="231F20"/>
          <w:sz w:val="20"/>
        </w:rPr>
        <w:t>можно</w:t>
      </w:r>
      <w:r>
        <w:rPr>
          <w:color w:val="231F20"/>
          <w:spacing w:val="-12"/>
          <w:sz w:val="20"/>
        </w:rPr>
        <w:t> </w:t>
      </w:r>
      <w:r>
        <w:rPr>
          <w:color w:val="231F20"/>
          <w:sz w:val="20"/>
        </w:rPr>
        <w:t>будет</w:t>
      </w:r>
      <w:r>
        <w:rPr>
          <w:color w:val="231F20"/>
          <w:spacing w:val="-12"/>
          <w:sz w:val="20"/>
        </w:rPr>
        <w:t> </w:t>
      </w:r>
      <w:r>
        <w:rPr>
          <w:color w:val="231F20"/>
          <w:sz w:val="20"/>
        </w:rPr>
        <w:t>записаться</w:t>
      </w:r>
      <w:r>
        <w:rPr>
          <w:color w:val="231F20"/>
          <w:spacing w:val="-12"/>
          <w:sz w:val="20"/>
        </w:rPr>
        <w:t> </w:t>
      </w:r>
      <w:r>
        <w:rPr>
          <w:color w:val="231F20"/>
          <w:sz w:val="20"/>
        </w:rPr>
        <w:t>по</w:t>
      </w:r>
      <w:r>
        <w:rPr>
          <w:color w:val="231F20"/>
          <w:spacing w:val="-12"/>
          <w:sz w:val="20"/>
        </w:rPr>
        <w:t> </w:t>
      </w:r>
      <w:r>
        <w:rPr>
          <w:color w:val="231F20"/>
          <w:sz w:val="20"/>
        </w:rPr>
        <w:t>очереди не более чем среднему количеству «Читателей» в группе и прикрепить их на видное место.</w:t>
      </w:r>
    </w:p>
    <w:p>
      <w:pPr>
        <w:pStyle w:val="ListParagraph"/>
        <w:numPr>
          <w:ilvl w:val="0"/>
          <w:numId w:val="298"/>
        </w:numPr>
        <w:tabs>
          <w:tab w:pos="425" w:val="left" w:leader="none"/>
        </w:tabs>
        <w:spacing w:line="235" w:lineRule="auto" w:before="2" w:after="0"/>
        <w:ind w:left="425" w:right="139" w:hanging="284"/>
        <w:jc w:val="both"/>
        <w:rPr>
          <w:sz w:val="20"/>
        </w:rPr>
      </w:pPr>
      <w:r>
        <w:rPr>
          <w:color w:val="231F20"/>
          <w:sz w:val="20"/>
        </w:rPr>
        <w:t>В приветственной части объявляем, что сейчас «Книги» представятся и скажут </w:t>
      </w:r>
      <w:r>
        <w:rPr>
          <w:color w:val="231F20"/>
          <w:spacing w:val="-4"/>
          <w:sz w:val="20"/>
        </w:rPr>
        <w:t>слоган</w:t>
      </w:r>
      <w:r>
        <w:rPr>
          <w:color w:val="231F20"/>
          <w:spacing w:val="-5"/>
          <w:sz w:val="20"/>
        </w:rPr>
        <w:t> </w:t>
      </w:r>
      <w:r>
        <w:rPr>
          <w:color w:val="231F20"/>
          <w:spacing w:val="-4"/>
          <w:sz w:val="20"/>
        </w:rPr>
        <w:t>своей</w:t>
      </w:r>
      <w:r>
        <w:rPr>
          <w:color w:val="231F20"/>
          <w:spacing w:val="-5"/>
          <w:sz w:val="20"/>
        </w:rPr>
        <w:t> </w:t>
      </w:r>
      <w:r>
        <w:rPr>
          <w:color w:val="231F20"/>
          <w:spacing w:val="-4"/>
          <w:sz w:val="20"/>
        </w:rPr>
        <w:t>истории.</w:t>
      </w:r>
      <w:r>
        <w:rPr>
          <w:color w:val="231F20"/>
          <w:spacing w:val="-5"/>
          <w:sz w:val="20"/>
        </w:rPr>
        <w:t> </w:t>
      </w:r>
      <w:r>
        <w:rPr>
          <w:color w:val="231F20"/>
          <w:spacing w:val="-4"/>
          <w:sz w:val="20"/>
        </w:rPr>
        <w:t>К</w:t>
      </w:r>
      <w:r>
        <w:rPr>
          <w:color w:val="231F20"/>
          <w:spacing w:val="-5"/>
          <w:sz w:val="20"/>
        </w:rPr>
        <w:t> </w:t>
      </w:r>
      <w:r>
        <w:rPr>
          <w:color w:val="231F20"/>
          <w:spacing w:val="-4"/>
          <w:sz w:val="20"/>
        </w:rPr>
        <w:t>ним</w:t>
      </w:r>
      <w:r>
        <w:rPr>
          <w:color w:val="231F20"/>
          <w:spacing w:val="-5"/>
          <w:sz w:val="20"/>
        </w:rPr>
        <w:t> </w:t>
      </w:r>
      <w:r>
        <w:rPr>
          <w:color w:val="231F20"/>
          <w:spacing w:val="-4"/>
          <w:sz w:val="20"/>
        </w:rPr>
        <w:t>можно</w:t>
      </w:r>
      <w:r>
        <w:rPr>
          <w:color w:val="231F20"/>
          <w:spacing w:val="-5"/>
          <w:sz w:val="20"/>
        </w:rPr>
        <w:t> </w:t>
      </w:r>
      <w:r>
        <w:rPr>
          <w:color w:val="231F20"/>
          <w:spacing w:val="-4"/>
          <w:sz w:val="20"/>
        </w:rPr>
        <w:t>будет</w:t>
      </w:r>
      <w:r>
        <w:rPr>
          <w:color w:val="231F20"/>
          <w:spacing w:val="-5"/>
          <w:sz w:val="20"/>
        </w:rPr>
        <w:t> </w:t>
      </w:r>
      <w:r>
        <w:rPr>
          <w:color w:val="231F20"/>
          <w:spacing w:val="-4"/>
          <w:sz w:val="20"/>
        </w:rPr>
        <w:t>записаться</w:t>
      </w:r>
      <w:r>
        <w:rPr>
          <w:color w:val="231F20"/>
          <w:spacing w:val="-5"/>
          <w:sz w:val="20"/>
        </w:rPr>
        <w:t> </w:t>
      </w:r>
      <w:r>
        <w:rPr>
          <w:color w:val="231F20"/>
          <w:spacing w:val="-4"/>
          <w:sz w:val="20"/>
        </w:rPr>
        <w:t>после</w:t>
      </w:r>
      <w:r>
        <w:rPr>
          <w:color w:val="231F20"/>
          <w:spacing w:val="-5"/>
          <w:sz w:val="20"/>
        </w:rPr>
        <w:t> </w:t>
      </w:r>
      <w:r>
        <w:rPr>
          <w:color w:val="231F20"/>
          <w:spacing w:val="-4"/>
          <w:sz w:val="20"/>
        </w:rPr>
        <w:t>приветствия</w:t>
      </w:r>
      <w:r>
        <w:rPr>
          <w:color w:val="231F20"/>
          <w:spacing w:val="-5"/>
          <w:sz w:val="20"/>
        </w:rPr>
        <w:t> </w:t>
      </w:r>
      <w:r>
        <w:rPr>
          <w:color w:val="231F20"/>
          <w:spacing w:val="-4"/>
          <w:sz w:val="20"/>
        </w:rPr>
        <w:t>в</w:t>
      </w:r>
      <w:r>
        <w:rPr>
          <w:color w:val="231F20"/>
          <w:spacing w:val="-5"/>
          <w:sz w:val="20"/>
        </w:rPr>
        <w:t> </w:t>
      </w:r>
      <w:r>
        <w:rPr>
          <w:color w:val="231F20"/>
          <w:spacing w:val="-4"/>
          <w:sz w:val="20"/>
        </w:rPr>
        <w:t>перерыве, </w:t>
      </w:r>
      <w:r>
        <w:rPr>
          <w:color w:val="231F20"/>
          <w:sz w:val="20"/>
        </w:rPr>
        <w:t>но просим не записываться более чем (нужное вам среднее количество человек). Ограничивать количество человек у одной «Книги» в группе необходимо, чтобы к</w:t>
      </w:r>
      <w:r>
        <w:rPr>
          <w:color w:val="231F20"/>
          <w:spacing w:val="-8"/>
          <w:sz w:val="20"/>
        </w:rPr>
        <w:t> </w:t>
      </w:r>
      <w:r>
        <w:rPr>
          <w:color w:val="231F20"/>
          <w:sz w:val="20"/>
        </w:rPr>
        <w:t>одной</w:t>
      </w:r>
      <w:r>
        <w:rPr>
          <w:color w:val="231F20"/>
          <w:spacing w:val="-8"/>
          <w:sz w:val="20"/>
        </w:rPr>
        <w:t> </w:t>
      </w:r>
      <w:r>
        <w:rPr>
          <w:color w:val="231F20"/>
          <w:sz w:val="20"/>
        </w:rPr>
        <w:t>«Книге»</w:t>
      </w:r>
      <w:r>
        <w:rPr>
          <w:color w:val="231F20"/>
          <w:spacing w:val="-8"/>
          <w:sz w:val="20"/>
        </w:rPr>
        <w:t> </w:t>
      </w:r>
      <w:r>
        <w:rPr>
          <w:color w:val="231F20"/>
          <w:sz w:val="20"/>
        </w:rPr>
        <w:t>не</w:t>
      </w:r>
      <w:r>
        <w:rPr>
          <w:color w:val="231F20"/>
          <w:spacing w:val="-8"/>
          <w:sz w:val="20"/>
        </w:rPr>
        <w:t> </w:t>
      </w:r>
      <w:r>
        <w:rPr>
          <w:color w:val="231F20"/>
          <w:sz w:val="20"/>
        </w:rPr>
        <w:t>записалось</w:t>
      </w:r>
      <w:r>
        <w:rPr>
          <w:color w:val="231F20"/>
          <w:spacing w:val="-8"/>
          <w:sz w:val="20"/>
        </w:rPr>
        <w:t> </w:t>
      </w:r>
      <w:r>
        <w:rPr>
          <w:color w:val="231F20"/>
          <w:sz w:val="20"/>
        </w:rPr>
        <w:t>очень</w:t>
      </w:r>
      <w:r>
        <w:rPr>
          <w:color w:val="231F20"/>
          <w:spacing w:val="-8"/>
          <w:sz w:val="20"/>
        </w:rPr>
        <w:t> </w:t>
      </w:r>
      <w:r>
        <w:rPr>
          <w:color w:val="231F20"/>
          <w:sz w:val="20"/>
        </w:rPr>
        <w:t>много</w:t>
      </w:r>
      <w:r>
        <w:rPr>
          <w:color w:val="231F20"/>
          <w:spacing w:val="-8"/>
          <w:sz w:val="20"/>
        </w:rPr>
        <w:t> </w:t>
      </w:r>
      <w:r>
        <w:rPr>
          <w:color w:val="231F20"/>
          <w:sz w:val="20"/>
        </w:rPr>
        <w:t>человек</w:t>
      </w:r>
      <w:r>
        <w:rPr>
          <w:color w:val="231F20"/>
          <w:spacing w:val="-8"/>
          <w:sz w:val="20"/>
        </w:rPr>
        <w:t> </w:t>
      </w:r>
      <w:r>
        <w:rPr>
          <w:color w:val="231F20"/>
          <w:sz w:val="20"/>
        </w:rPr>
        <w:t>и</w:t>
      </w:r>
      <w:r>
        <w:rPr>
          <w:color w:val="231F20"/>
          <w:spacing w:val="-8"/>
          <w:sz w:val="20"/>
        </w:rPr>
        <w:t> </w:t>
      </w:r>
      <w:r>
        <w:rPr>
          <w:color w:val="231F20"/>
          <w:sz w:val="20"/>
        </w:rPr>
        <w:t>было</w:t>
      </w:r>
      <w:r>
        <w:rPr>
          <w:color w:val="231F20"/>
          <w:spacing w:val="-8"/>
          <w:sz w:val="20"/>
        </w:rPr>
        <w:t> </w:t>
      </w:r>
      <w:r>
        <w:rPr>
          <w:color w:val="231F20"/>
          <w:sz w:val="20"/>
        </w:rPr>
        <w:t>неудобно</w:t>
      </w:r>
      <w:r>
        <w:rPr>
          <w:color w:val="231F20"/>
          <w:spacing w:val="-8"/>
          <w:sz w:val="20"/>
        </w:rPr>
        <w:t> </w:t>
      </w:r>
      <w:r>
        <w:rPr>
          <w:color w:val="231F20"/>
          <w:sz w:val="20"/>
        </w:rPr>
        <w:t>общаться,</w:t>
      </w:r>
      <w:r>
        <w:rPr>
          <w:color w:val="231F20"/>
          <w:spacing w:val="-8"/>
          <w:sz w:val="20"/>
        </w:rPr>
        <w:t> </w:t>
      </w:r>
      <w:r>
        <w:rPr>
          <w:color w:val="231F20"/>
          <w:sz w:val="20"/>
        </w:rPr>
        <w:t>а кто-то</w:t>
      </w:r>
      <w:r>
        <w:rPr>
          <w:color w:val="231F20"/>
          <w:spacing w:val="-13"/>
          <w:sz w:val="20"/>
        </w:rPr>
        <w:t> </w:t>
      </w:r>
      <w:r>
        <w:rPr>
          <w:color w:val="231F20"/>
          <w:sz w:val="20"/>
        </w:rPr>
        <w:t>не</w:t>
      </w:r>
      <w:r>
        <w:rPr>
          <w:color w:val="231F20"/>
          <w:spacing w:val="-12"/>
          <w:sz w:val="20"/>
        </w:rPr>
        <w:t> </w:t>
      </w:r>
      <w:r>
        <w:rPr>
          <w:color w:val="231F20"/>
          <w:sz w:val="20"/>
        </w:rPr>
        <w:t>остался</w:t>
      </w:r>
      <w:r>
        <w:rPr>
          <w:color w:val="231F20"/>
          <w:spacing w:val="-13"/>
          <w:sz w:val="20"/>
        </w:rPr>
        <w:t> </w:t>
      </w:r>
      <w:r>
        <w:rPr>
          <w:color w:val="231F20"/>
          <w:sz w:val="20"/>
        </w:rPr>
        <w:t>бы</w:t>
      </w:r>
      <w:r>
        <w:rPr>
          <w:color w:val="231F20"/>
          <w:spacing w:val="-12"/>
          <w:sz w:val="20"/>
        </w:rPr>
        <w:t> </w:t>
      </w:r>
      <w:r>
        <w:rPr>
          <w:color w:val="231F20"/>
          <w:sz w:val="20"/>
        </w:rPr>
        <w:t>случайно</w:t>
      </w:r>
      <w:r>
        <w:rPr>
          <w:color w:val="231F20"/>
          <w:spacing w:val="-13"/>
          <w:sz w:val="20"/>
        </w:rPr>
        <w:t> </w:t>
      </w:r>
      <w:r>
        <w:rPr>
          <w:color w:val="231F20"/>
          <w:sz w:val="20"/>
        </w:rPr>
        <w:t>без</w:t>
      </w:r>
      <w:r>
        <w:rPr>
          <w:color w:val="231F20"/>
          <w:spacing w:val="-12"/>
          <w:sz w:val="20"/>
        </w:rPr>
        <w:t> </w:t>
      </w:r>
      <w:r>
        <w:rPr>
          <w:color w:val="231F20"/>
          <w:sz w:val="20"/>
        </w:rPr>
        <w:t>«Читателей».</w:t>
      </w:r>
      <w:r>
        <w:rPr>
          <w:color w:val="231F20"/>
          <w:spacing w:val="-13"/>
          <w:sz w:val="20"/>
        </w:rPr>
        <w:t> </w:t>
      </w:r>
      <w:r>
        <w:rPr>
          <w:color w:val="231F20"/>
          <w:sz w:val="20"/>
        </w:rPr>
        <w:t>Запись</w:t>
      </w:r>
      <w:r>
        <w:rPr>
          <w:color w:val="231F20"/>
          <w:spacing w:val="-12"/>
          <w:sz w:val="20"/>
        </w:rPr>
        <w:t> </w:t>
      </w:r>
      <w:r>
        <w:rPr>
          <w:color w:val="231F20"/>
          <w:sz w:val="20"/>
        </w:rPr>
        <w:t>открывается</w:t>
      </w:r>
      <w:r>
        <w:rPr>
          <w:color w:val="231F20"/>
          <w:spacing w:val="-13"/>
          <w:sz w:val="20"/>
        </w:rPr>
        <w:t> </w:t>
      </w:r>
      <w:r>
        <w:rPr>
          <w:color w:val="231F20"/>
          <w:sz w:val="20"/>
        </w:rPr>
        <w:t>на</w:t>
      </w:r>
      <w:r>
        <w:rPr>
          <w:color w:val="231F20"/>
          <w:spacing w:val="-12"/>
          <w:sz w:val="20"/>
        </w:rPr>
        <w:t> </w:t>
      </w:r>
      <w:r>
        <w:rPr>
          <w:color w:val="231F20"/>
          <w:sz w:val="20"/>
        </w:rPr>
        <w:t>весь</w:t>
      </w:r>
      <w:r>
        <w:rPr>
          <w:color w:val="231F20"/>
          <w:spacing w:val="-13"/>
          <w:sz w:val="20"/>
        </w:rPr>
        <w:t> </w:t>
      </w:r>
      <w:r>
        <w:rPr>
          <w:color w:val="231F20"/>
          <w:sz w:val="20"/>
        </w:rPr>
        <w:t>вечер, так</w:t>
      </w:r>
      <w:r>
        <w:rPr>
          <w:color w:val="231F20"/>
          <w:spacing w:val="-6"/>
          <w:sz w:val="20"/>
        </w:rPr>
        <w:t> </w:t>
      </w:r>
      <w:r>
        <w:rPr>
          <w:color w:val="231F20"/>
          <w:sz w:val="20"/>
        </w:rPr>
        <w:t>что</w:t>
      </w:r>
      <w:r>
        <w:rPr>
          <w:color w:val="231F20"/>
          <w:spacing w:val="-6"/>
          <w:sz w:val="20"/>
        </w:rPr>
        <w:t> </w:t>
      </w:r>
      <w:r>
        <w:rPr>
          <w:color w:val="231F20"/>
          <w:sz w:val="20"/>
        </w:rPr>
        <w:t>можно</w:t>
      </w:r>
      <w:r>
        <w:rPr>
          <w:color w:val="231F20"/>
          <w:spacing w:val="-6"/>
          <w:sz w:val="20"/>
        </w:rPr>
        <w:t> </w:t>
      </w:r>
      <w:r>
        <w:rPr>
          <w:color w:val="231F20"/>
          <w:sz w:val="20"/>
        </w:rPr>
        <w:t>продумать,</w:t>
      </w:r>
      <w:r>
        <w:rPr>
          <w:color w:val="231F20"/>
          <w:spacing w:val="-6"/>
          <w:sz w:val="20"/>
        </w:rPr>
        <w:t> </w:t>
      </w:r>
      <w:r>
        <w:rPr>
          <w:color w:val="231F20"/>
          <w:sz w:val="20"/>
        </w:rPr>
        <w:t>какие</w:t>
      </w:r>
      <w:r>
        <w:rPr>
          <w:color w:val="231F20"/>
          <w:spacing w:val="-6"/>
          <w:sz w:val="20"/>
        </w:rPr>
        <w:t> </w:t>
      </w:r>
      <w:r>
        <w:rPr>
          <w:color w:val="231F20"/>
          <w:sz w:val="20"/>
        </w:rPr>
        <w:t>2–3,</w:t>
      </w:r>
      <w:r>
        <w:rPr>
          <w:color w:val="231F20"/>
          <w:spacing w:val="-6"/>
          <w:sz w:val="20"/>
        </w:rPr>
        <w:t> </w:t>
      </w:r>
      <w:r>
        <w:rPr>
          <w:color w:val="231F20"/>
          <w:sz w:val="20"/>
        </w:rPr>
        <w:t>в</w:t>
      </w:r>
      <w:r>
        <w:rPr>
          <w:color w:val="231F20"/>
          <w:spacing w:val="-6"/>
          <w:sz w:val="20"/>
        </w:rPr>
        <w:t> </w:t>
      </w:r>
      <w:r>
        <w:rPr>
          <w:color w:val="231F20"/>
          <w:sz w:val="20"/>
        </w:rPr>
        <w:t>зависимости</w:t>
      </w:r>
      <w:r>
        <w:rPr>
          <w:color w:val="231F20"/>
          <w:spacing w:val="-6"/>
          <w:sz w:val="20"/>
        </w:rPr>
        <w:t> </w:t>
      </w:r>
      <w:r>
        <w:rPr>
          <w:color w:val="231F20"/>
          <w:sz w:val="20"/>
        </w:rPr>
        <w:t>от</w:t>
      </w:r>
      <w:r>
        <w:rPr>
          <w:color w:val="231F20"/>
          <w:spacing w:val="-6"/>
          <w:sz w:val="20"/>
        </w:rPr>
        <w:t> </w:t>
      </w:r>
      <w:r>
        <w:rPr>
          <w:color w:val="231F20"/>
          <w:sz w:val="20"/>
        </w:rPr>
        <w:t>того</w:t>
      </w:r>
      <w:r>
        <w:rPr>
          <w:color w:val="231F20"/>
          <w:spacing w:val="-6"/>
          <w:sz w:val="20"/>
        </w:rPr>
        <w:t> </w:t>
      </w:r>
      <w:r>
        <w:rPr>
          <w:color w:val="231F20"/>
          <w:sz w:val="20"/>
        </w:rPr>
        <w:t>сколько</w:t>
      </w:r>
      <w:r>
        <w:rPr>
          <w:color w:val="231F20"/>
          <w:spacing w:val="-6"/>
          <w:sz w:val="20"/>
        </w:rPr>
        <w:t> </w:t>
      </w:r>
      <w:r>
        <w:rPr>
          <w:color w:val="231F20"/>
          <w:sz w:val="20"/>
        </w:rPr>
        <w:t>длится</w:t>
      </w:r>
      <w:r>
        <w:rPr>
          <w:color w:val="231F20"/>
          <w:spacing w:val="-6"/>
          <w:sz w:val="20"/>
        </w:rPr>
        <w:t> </w:t>
      </w:r>
      <w:r>
        <w:rPr>
          <w:color w:val="231F20"/>
          <w:sz w:val="20"/>
        </w:rPr>
        <w:t>вечер,</w:t>
      </w:r>
    </w:p>
    <w:p>
      <w:pPr>
        <w:pStyle w:val="BodyText"/>
        <w:spacing w:line="235" w:lineRule="auto" w:before="4"/>
        <w:ind w:left="425" w:firstLine="0"/>
      </w:pPr>
      <w:r>
        <w:rPr>
          <w:color w:val="231F20"/>
        </w:rPr>
        <w:t>«Книги»</w:t>
      </w:r>
      <w:r>
        <w:rPr>
          <w:color w:val="231F20"/>
          <w:spacing w:val="-13"/>
        </w:rPr>
        <w:t> </w:t>
      </w:r>
      <w:r>
        <w:rPr>
          <w:color w:val="231F20"/>
        </w:rPr>
        <w:t>хочется</w:t>
      </w:r>
      <w:r>
        <w:rPr>
          <w:color w:val="231F20"/>
          <w:spacing w:val="-12"/>
        </w:rPr>
        <w:t> </w:t>
      </w:r>
      <w:r>
        <w:rPr>
          <w:color w:val="231F20"/>
        </w:rPr>
        <w:t>«читать».</w:t>
      </w:r>
      <w:r>
        <w:rPr>
          <w:color w:val="231F20"/>
          <w:spacing w:val="-13"/>
        </w:rPr>
        <w:t> </w:t>
      </w:r>
      <w:r>
        <w:rPr>
          <w:color w:val="231F20"/>
        </w:rPr>
        <w:t>У</w:t>
      </w:r>
      <w:r>
        <w:rPr>
          <w:color w:val="231F20"/>
          <w:spacing w:val="-12"/>
        </w:rPr>
        <w:t> </w:t>
      </w:r>
      <w:r>
        <w:rPr>
          <w:color w:val="231F20"/>
        </w:rPr>
        <w:t>«Читателей»</w:t>
      </w:r>
      <w:r>
        <w:rPr>
          <w:color w:val="231F20"/>
          <w:spacing w:val="-13"/>
        </w:rPr>
        <w:t> </w:t>
      </w:r>
      <w:r>
        <w:rPr>
          <w:color w:val="231F20"/>
        </w:rPr>
        <w:t>тогда</w:t>
      </w:r>
      <w:r>
        <w:rPr>
          <w:color w:val="231F20"/>
          <w:spacing w:val="-12"/>
        </w:rPr>
        <w:t> </w:t>
      </w:r>
      <w:r>
        <w:rPr>
          <w:color w:val="231F20"/>
        </w:rPr>
        <w:t>возникает</w:t>
      </w:r>
      <w:r>
        <w:rPr>
          <w:color w:val="231F20"/>
          <w:spacing w:val="-13"/>
        </w:rPr>
        <w:t> </w:t>
      </w:r>
      <w:r>
        <w:rPr>
          <w:color w:val="231F20"/>
        </w:rPr>
        <w:t>ясность,</w:t>
      </w:r>
      <w:r>
        <w:rPr>
          <w:color w:val="231F20"/>
          <w:spacing w:val="-12"/>
        </w:rPr>
        <w:t> </w:t>
      </w:r>
      <w:r>
        <w:rPr>
          <w:color w:val="231F20"/>
        </w:rPr>
        <w:t>к</w:t>
      </w:r>
      <w:r>
        <w:rPr>
          <w:color w:val="231F20"/>
          <w:spacing w:val="-13"/>
        </w:rPr>
        <w:t> </w:t>
      </w:r>
      <w:r>
        <w:rPr>
          <w:color w:val="231F20"/>
        </w:rPr>
        <w:t>кому</w:t>
      </w:r>
      <w:r>
        <w:rPr>
          <w:color w:val="231F20"/>
          <w:spacing w:val="-12"/>
        </w:rPr>
        <w:t> </w:t>
      </w:r>
      <w:r>
        <w:rPr>
          <w:color w:val="231F20"/>
        </w:rPr>
        <w:t>и</w:t>
      </w:r>
      <w:r>
        <w:rPr>
          <w:color w:val="231F20"/>
          <w:spacing w:val="-13"/>
        </w:rPr>
        <w:t> </w:t>
      </w:r>
      <w:r>
        <w:rPr>
          <w:color w:val="231F20"/>
        </w:rPr>
        <w:t>когда они попадают.</w:t>
      </w:r>
    </w:p>
    <w:p>
      <w:pPr>
        <w:pStyle w:val="ListParagraph"/>
        <w:numPr>
          <w:ilvl w:val="0"/>
          <w:numId w:val="298"/>
        </w:numPr>
        <w:tabs>
          <w:tab w:pos="425" w:val="left" w:leader="none"/>
        </w:tabs>
        <w:spacing w:line="235" w:lineRule="auto" w:before="1" w:after="0"/>
        <w:ind w:left="425" w:right="140" w:hanging="284"/>
        <w:jc w:val="both"/>
        <w:rPr>
          <w:sz w:val="20"/>
        </w:rPr>
      </w:pPr>
      <w:r>
        <w:rPr>
          <w:color w:val="231F20"/>
          <w:sz w:val="20"/>
        </w:rPr>
        <w:t>После</w:t>
      </w:r>
      <w:r>
        <w:rPr>
          <w:color w:val="231F20"/>
          <w:spacing w:val="-4"/>
          <w:sz w:val="20"/>
        </w:rPr>
        <w:t> </w:t>
      </w:r>
      <w:r>
        <w:rPr>
          <w:color w:val="231F20"/>
          <w:sz w:val="20"/>
        </w:rPr>
        <w:t>перерыва</w:t>
      </w:r>
      <w:r>
        <w:rPr>
          <w:color w:val="231F20"/>
          <w:spacing w:val="-4"/>
          <w:sz w:val="20"/>
        </w:rPr>
        <w:t> </w:t>
      </w:r>
      <w:r>
        <w:rPr>
          <w:color w:val="231F20"/>
          <w:sz w:val="20"/>
        </w:rPr>
        <w:t>начинается</w:t>
      </w:r>
      <w:r>
        <w:rPr>
          <w:color w:val="231F20"/>
          <w:spacing w:val="-4"/>
          <w:sz w:val="20"/>
        </w:rPr>
        <w:t> </w:t>
      </w:r>
      <w:r>
        <w:rPr>
          <w:color w:val="231F20"/>
          <w:sz w:val="20"/>
        </w:rPr>
        <w:t>«чтение».</w:t>
      </w:r>
      <w:r>
        <w:rPr>
          <w:color w:val="231F20"/>
          <w:spacing w:val="-4"/>
          <w:sz w:val="20"/>
        </w:rPr>
        <w:t> </w:t>
      </w:r>
      <w:r>
        <w:rPr>
          <w:color w:val="231F20"/>
          <w:sz w:val="20"/>
        </w:rPr>
        <w:t>Хорошо,</w:t>
      </w:r>
      <w:r>
        <w:rPr>
          <w:color w:val="231F20"/>
          <w:spacing w:val="-4"/>
          <w:sz w:val="20"/>
        </w:rPr>
        <w:t> </w:t>
      </w:r>
      <w:r>
        <w:rPr>
          <w:color w:val="231F20"/>
          <w:sz w:val="20"/>
        </w:rPr>
        <w:t>если</w:t>
      </w:r>
      <w:r>
        <w:rPr>
          <w:color w:val="231F20"/>
          <w:spacing w:val="-4"/>
          <w:sz w:val="20"/>
        </w:rPr>
        <w:t> </w:t>
      </w:r>
      <w:r>
        <w:rPr>
          <w:color w:val="231F20"/>
          <w:sz w:val="20"/>
        </w:rPr>
        <w:t>все</w:t>
      </w:r>
      <w:r>
        <w:rPr>
          <w:color w:val="231F20"/>
          <w:spacing w:val="-4"/>
          <w:sz w:val="20"/>
        </w:rPr>
        <w:t> </w:t>
      </w:r>
      <w:r>
        <w:rPr>
          <w:color w:val="231F20"/>
          <w:sz w:val="20"/>
        </w:rPr>
        <w:t>соблюдают</w:t>
      </w:r>
      <w:r>
        <w:rPr>
          <w:color w:val="231F20"/>
          <w:spacing w:val="-4"/>
          <w:sz w:val="20"/>
        </w:rPr>
        <w:t> </w:t>
      </w:r>
      <w:r>
        <w:rPr>
          <w:color w:val="231F20"/>
          <w:sz w:val="20"/>
        </w:rPr>
        <w:t>свою</w:t>
      </w:r>
      <w:r>
        <w:rPr>
          <w:color w:val="231F20"/>
          <w:spacing w:val="-4"/>
          <w:sz w:val="20"/>
        </w:rPr>
        <w:t> </w:t>
      </w:r>
      <w:r>
        <w:rPr>
          <w:color w:val="231F20"/>
          <w:sz w:val="20"/>
        </w:rPr>
        <w:t>запись, но</w:t>
      </w:r>
      <w:r>
        <w:rPr>
          <w:color w:val="231F20"/>
          <w:spacing w:val="-2"/>
          <w:sz w:val="20"/>
        </w:rPr>
        <w:t> </w:t>
      </w:r>
      <w:r>
        <w:rPr>
          <w:color w:val="231F20"/>
          <w:sz w:val="20"/>
        </w:rPr>
        <w:t>если</w:t>
      </w:r>
      <w:r>
        <w:rPr>
          <w:color w:val="231F20"/>
          <w:spacing w:val="-2"/>
          <w:sz w:val="20"/>
        </w:rPr>
        <w:t> </w:t>
      </w:r>
      <w:r>
        <w:rPr>
          <w:color w:val="231F20"/>
          <w:sz w:val="20"/>
        </w:rPr>
        <w:t>у</w:t>
      </w:r>
      <w:r>
        <w:rPr>
          <w:color w:val="231F20"/>
          <w:spacing w:val="-2"/>
          <w:sz w:val="20"/>
        </w:rPr>
        <w:t> </w:t>
      </w:r>
      <w:r>
        <w:rPr>
          <w:color w:val="231F20"/>
          <w:sz w:val="20"/>
        </w:rPr>
        <w:t>какой-то</w:t>
      </w:r>
      <w:r>
        <w:rPr>
          <w:color w:val="231F20"/>
          <w:spacing w:val="-2"/>
          <w:sz w:val="20"/>
        </w:rPr>
        <w:t> </w:t>
      </w:r>
      <w:r>
        <w:rPr>
          <w:color w:val="231F20"/>
          <w:sz w:val="20"/>
        </w:rPr>
        <w:t>«Книги»</w:t>
      </w:r>
      <w:r>
        <w:rPr>
          <w:color w:val="231F20"/>
          <w:spacing w:val="-2"/>
          <w:sz w:val="20"/>
        </w:rPr>
        <w:t> </w:t>
      </w:r>
      <w:r>
        <w:rPr>
          <w:color w:val="231F20"/>
          <w:sz w:val="20"/>
        </w:rPr>
        <w:t>оказалось</w:t>
      </w:r>
      <w:r>
        <w:rPr>
          <w:color w:val="231F20"/>
          <w:spacing w:val="-2"/>
          <w:sz w:val="20"/>
        </w:rPr>
        <w:t> </w:t>
      </w:r>
      <w:r>
        <w:rPr>
          <w:color w:val="231F20"/>
          <w:sz w:val="20"/>
        </w:rPr>
        <w:t>слишком</w:t>
      </w:r>
      <w:r>
        <w:rPr>
          <w:color w:val="231F20"/>
          <w:spacing w:val="-2"/>
          <w:sz w:val="20"/>
        </w:rPr>
        <w:t> </w:t>
      </w:r>
      <w:r>
        <w:rPr>
          <w:color w:val="231F20"/>
          <w:sz w:val="20"/>
        </w:rPr>
        <w:t>много</w:t>
      </w:r>
      <w:r>
        <w:rPr>
          <w:color w:val="231F20"/>
          <w:spacing w:val="-2"/>
          <w:sz w:val="20"/>
        </w:rPr>
        <w:t> </w:t>
      </w:r>
      <w:r>
        <w:rPr>
          <w:color w:val="231F20"/>
          <w:sz w:val="20"/>
        </w:rPr>
        <w:t>человек,</w:t>
      </w:r>
      <w:r>
        <w:rPr>
          <w:color w:val="231F20"/>
          <w:spacing w:val="-2"/>
          <w:sz w:val="20"/>
        </w:rPr>
        <w:t> </w:t>
      </w:r>
      <w:r>
        <w:rPr>
          <w:color w:val="231F20"/>
          <w:sz w:val="20"/>
        </w:rPr>
        <w:t>волонтеру</w:t>
      </w:r>
      <w:r>
        <w:rPr>
          <w:color w:val="231F20"/>
          <w:spacing w:val="-2"/>
          <w:sz w:val="20"/>
        </w:rPr>
        <w:t> </w:t>
      </w:r>
      <w:r>
        <w:rPr>
          <w:color w:val="231F20"/>
          <w:sz w:val="20"/>
        </w:rPr>
        <w:t>можно подойти и попросить остаться записавшихся.</w:t>
      </w:r>
    </w:p>
    <w:p>
      <w:pPr>
        <w:pStyle w:val="ListParagraph"/>
        <w:numPr>
          <w:ilvl w:val="0"/>
          <w:numId w:val="298"/>
        </w:numPr>
        <w:tabs>
          <w:tab w:pos="425" w:val="left" w:leader="none"/>
        </w:tabs>
        <w:spacing w:line="237" w:lineRule="auto" w:before="0" w:after="0"/>
        <w:ind w:left="425" w:right="139" w:hanging="284"/>
        <w:jc w:val="both"/>
        <w:rPr>
          <w:sz w:val="20"/>
        </w:rPr>
      </w:pPr>
      <w:r>
        <w:rPr>
          <w:color w:val="231F20"/>
          <w:sz w:val="20"/>
        </w:rPr>
        <w:t>При этом варианте проведения «Книги» могут оставаться на своих местах, после перерыва к ним подходят «Читатели», которые записались к ним на следующее время. Чтобы «Читателям» было проще найти «Книги», можно поставить опознавательные таблички у мест, где находятся «Книги». Это относится и к варианту, где «Книги» выбрать нельзя и «Читатели» формируются в стабильные группы. Тогда ходят «Книги», и для их удобства можно обозначить группы номерами</w:t>
      </w:r>
      <w:r>
        <w:rPr>
          <w:color w:val="231F20"/>
          <w:spacing w:val="36"/>
          <w:sz w:val="20"/>
        </w:rPr>
        <w:t> </w:t>
      </w:r>
      <w:r>
        <w:rPr>
          <w:color w:val="231F20"/>
          <w:sz w:val="20"/>
        </w:rPr>
        <w:t>и</w:t>
      </w:r>
      <w:r>
        <w:rPr>
          <w:color w:val="231F20"/>
          <w:spacing w:val="36"/>
          <w:sz w:val="20"/>
        </w:rPr>
        <w:t> </w:t>
      </w:r>
      <w:r>
        <w:rPr>
          <w:color w:val="231F20"/>
          <w:sz w:val="20"/>
        </w:rPr>
        <w:t>сказать</w:t>
      </w:r>
      <w:r>
        <w:rPr>
          <w:color w:val="231F20"/>
          <w:spacing w:val="36"/>
          <w:sz w:val="20"/>
        </w:rPr>
        <w:t> </w:t>
      </w:r>
      <w:r>
        <w:rPr>
          <w:color w:val="231F20"/>
          <w:sz w:val="20"/>
        </w:rPr>
        <w:t>им</w:t>
      </w:r>
      <w:r>
        <w:rPr>
          <w:color w:val="231F20"/>
          <w:spacing w:val="36"/>
          <w:sz w:val="20"/>
        </w:rPr>
        <w:t> </w:t>
      </w:r>
      <w:r>
        <w:rPr>
          <w:color w:val="231F20"/>
          <w:sz w:val="20"/>
        </w:rPr>
        <w:t>очередность.</w:t>
      </w:r>
      <w:r>
        <w:rPr>
          <w:color w:val="231F20"/>
          <w:spacing w:val="36"/>
          <w:sz w:val="20"/>
        </w:rPr>
        <w:t> </w:t>
      </w:r>
      <w:r>
        <w:rPr>
          <w:color w:val="231F20"/>
          <w:sz w:val="20"/>
        </w:rPr>
        <w:t>В</w:t>
      </w:r>
      <w:r>
        <w:rPr>
          <w:color w:val="231F20"/>
          <w:spacing w:val="36"/>
          <w:sz w:val="20"/>
        </w:rPr>
        <w:t> </w:t>
      </w:r>
      <w:r>
        <w:rPr>
          <w:color w:val="231F20"/>
          <w:sz w:val="20"/>
        </w:rPr>
        <w:t>любом</w:t>
      </w:r>
      <w:r>
        <w:rPr>
          <w:color w:val="231F20"/>
          <w:spacing w:val="36"/>
          <w:sz w:val="20"/>
        </w:rPr>
        <w:t> </w:t>
      </w:r>
      <w:r>
        <w:rPr>
          <w:color w:val="231F20"/>
          <w:sz w:val="20"/>
        </w:rPr>
        <w:t>случае,</w:t>
      </w:r>
      <w:r>
        <w:rPr>
          <w:color w:val="231F20"/>
          <w:spacing w:val="36"/>
          <w:sz w:val="20"/>
        </w:rPr>
        <w:t> </w:t>
      </w:r>
      <w:r>
        <w:rPr>
          <w:color w:val="231F20"/>
          <w:sz w:val="20"/>
        </w:rPr>
        <w:t>помочь</w:t>
      </w:r>
      <w:r>
        <w:rPr>
          <w:color w:val="231F20"/>
          <w:spacing w:val="36"/>
          <w:sz w:val="20"/>
        </w:rPr>
        <w:t> </w:t>
      </w:r>
      <w:r>
        <w:rPr>
          <w:color w:val="231F20"/>
          <w:sz w:val="20"/>
        </w:rPr>
        <w:t>«Читателям»</w:t>
      </w:r>
      <w:r>
        <w:rPr>
          <w:color w:val="231F20"/>
          <w:spacing w:val="36"/>
          <w:sz w:val="20"/>
        </w:rPr>
        <w:t> </w:t>
      </w:r>
      <w:r>
        <w:rPr>
          <w:color w:val="231F20"/>
          <w:sz w:val="20"/>
        </w:rPr>
        <w:t>и</w:t>
      </w:r>
    </w:p>
    <w:p>
      <w:pPr>
        <w:pStyle w:val="BodyText"/>
        <w:spacing w:before="3"/>
        <w:ind w:left="425" w:right="0" w:firstLine="0"/>
      </w:pPr>
      <w:r>
        <w:rPr>
          <w:color w:val="231F20"/>
        </w:rPr>
        <w:t>«Книгам»</w:t>
      </w:r>
      <w:r>
        <w:rPr>
          <w:color w:val="231F20"/>
          <w:spacing w:val="-4"/>
        </w:rPr>
        <w:t> </w:t>
      </w:r>
      <w:r>
        <w:rPr>
          <w:color w:val="231F20"/>
        </w:rPr>
        <w:t>найти</w:t>
      </w:r>
      <w:r>
        <w:rPr>
          <w:color w:val="231F20"/>
          <w:spacing w:val="-4"/>
        </w:rPr>
        <w:t> </w:t>
      </w:r>
      <w:r>
        <w:rPr>
          <w:color w:val="231F20"/>
        </w:rPr>
        <w:t>группы</w:t>
      </w:r>
      <w:r>
        <w:rPr>
          <w:color w:val="231F20"/>
          <w:spacing w:val="-4"/>
        </w:rPr>
        <w:t> </w:t>
      </w:r>
      <w:r>
        <w:rPr>
          <w:color w:val="231F20"/>
        </w:rPr>
        <w:t>–</w:t>
      </w:r>
      <w:r>
        <w:rPr>
          <w:color w:val="231F20"/>
          <w:spacing w:val="-3"/>
        </w:rPr>
        <w:t> </w:t>
      </w:r>
      <w:r>
        <w:rPr>
          <w:color w:val="231F20"/>
        </w:rPr>
        <w:t>задача</w:t>
      </w:r>
      <w:r>
        <w:rPr>
          <w:color w:val="231F20"/>
          <w:spacing w:val="-3"/>
        </w:rPr>
        <w:t> </w:t>
      </w:r>
      <w:r>
        <w:rPr>
          <w:color w:val="231F20"/>
        </w:rPr>
        <w:t>ответственных</w:t>
      </w:r>
      <w:r>
        <w:rPr>
          <w:color w:val="231F20"/>
          <w:spacing w:val="-4"/>
        </w:rPr>
        <w:t> </w:t>
      </w:r>
      <w:r>
        <w:rPr>
          <w:color w:val="231F20"/>
        </w:rPr>
        <w:t>за</w:t>
      </w:r>
      <w:r>
        <w:rPr>
          <w:color w:val="231F20"/>
          <w:spacing w:val="-3"/>
        </w:rPr>
        <w:t> </w:t>
      </w:r>
      <w:r>
        <w:rPr>
          <w:color w:val="231F20"/>
        </w:rPr>
        <w:t>это</w:t>
      </w:r>
      <w:r>
        <w:rPr>
          <w:color w:val="231F20"/>
          <w:spacing w:val="-3"/>
        </w:rPr>
        <w:t> </w:t>
      </w:r>
      <w:r>
        <w:rPr>
          <w:color w:val="231F20"/>
          <w:spacing w:val="-2"/>
        </w:rPr>
        <w:t>волонтеров.</w:t>
      </w:r>
    </w:p>
    <w:p>
      <w:pPr>
        <w:spacing w:before="113"/>
        <w:ind w:left="425" w:right="0" w:firstLine="0"/>
        <w:jc w:val="both"/>
        <w:rPr>
          <w:i/>
          <w:sz w:val="20"/>
        </w:rPr>
      </w:pPr>
      <w:r>
        <w:rPr>
          <w:i/>
          <w:color w:val="231F20"/>
          <w:sz w:val="20"/>
        </w:rPr>
        <w:t>При онлайн</w:t>
      </w:r>
      <w:r>
        <w:rPr>
          <w:i/>
          <w:color w:val="231F20"/>
          <w:spacing w:val="-1"/>
          <w:sz w:val="20"/>
        </w:rPr>
        <w:t> </w:t>
      </w:r>
      <w:r>
        <w:rPr>
          <w:i/>
          <w:color w:val="231F20"/>
          <w:spacing w:val="-2"/>
          <w:sz w:val="20"/>
        </w:rPr>
        <w:t>формате:</w:t>
      </w:r>
    </w:p>
    <w:p>
      <w:pPr>
        <w:pStyle w:val="ListParagraph"/>
        <w:numPr>
          <w:ilvl w:val="0"/>
          <w:numId w:val="299"/>
        </w:numPr>
        <w:tabs>
          <w:tab w:pos="425" w:val="left" w:leader="none"/>
        </w:tabs>
        <w:spacing w:line="240" w:lineRule="auto" w:before="0" w:after="0"/>
        <w:ind w:left="425" w:right="139" w:hanging="284"/>
        <w:jc w:val="both"/>
        <w:rPr>
          <w:sz w:val="20"/>
        </w:rPr>
      </w:pPr>
      <w:r>
        <w:rPr>
          <w:color w:val="231F20"/>
          <w:sz w:val="20"/>
        </w:rPr>
        <w:t>Организаторы «Живой библиотеки» должны заранее подготовить объявление, где будет сказано, какие «Книги» точно участвуют, с каким названием и краткой аннотацией (как сделать аннотацию-фразу, см. выше).</w:t>
      </w:r>
    </w:p>
    <w:p>
      <w:pPr>
        <w:pStyle w:val="ListParagraph"/>
        <w:numPr>
          <w:ilvl w:val="0"/>
          <w:numId w:val="299"/>
        </w:numPr>
        <w:tabs>
          <w:tab w:pos="425" w:val="left" w:leader="none"/>
        </w:tabs>
        <w:spacing w:line="240" w:lineRule="auto" w:before="0" w:after="0"/>
        <w:ind w:left="425" w:right="139" w:hanging="284"/>
        <w:jc w:val="both"/>
        <w:rPr>
          <w:sz w:val="20"/>
        </w:rPr>
      </w:pPr>
      <w:r>
        <w:rPr>
          <w:color w:val="231F20"/>
          <w:sz w:val="20"/>
        </w:rPr>
        <w:t>Предложить участникам регистрационную форму, в которой «Читатель» сможет выбрать три наиболее интересные для него «Книги». Важно предупредить </w:t>
      </w:r>
      <w:r>
        <w:rPr>
          <w:color w:val="231F20"/>
          <w:spacing w:val="-2"/>
          <w:sz w:val="20"/>
        </w:rPr>
        <w:t>участников, что организаторы будут стараться учитывать пожелания «Читателей», </w:t>
      </w:r>
      <w:r>
        <w:rPr>
          <w:color w:val="231F20"/>
          <w:sz w:val="20"/>
        </w:rPr>
        <w:t>но не гарантируют распределения в точности к тем, к кому есть наибольший интерес</w:t>
      </w:r>
      <w:r>
        <w:rPr>
          <w:color w:val="231F20"/>
          <w:spacing w:val="40"/>
          <w:sz w:val="20"/>
        </w:rPr>
        <w:t> </w:t>
      </w:r>
      <w:r>
        <w:rPr>
          <w:color w:val="231F20"/>
          <w:sz w:val="20"/>
        </w:rPr>
        <w:t>(какая-то</w:t>
      </w:r>
      <w:r>
        <w:rPr>
          <w:color w:val="231F20"/>
          <w:spacing w:val="40"/>
          <w:sz w:val="20"/>
        </w:rPr>
        <w:t> </w:t>
      </w:r>
      <w:r>
        <w:rPr>
          <w:color w:val="231F20"/>
          <w:sz w:val="20"/>
        </w:rPr>
        <w:t>«Книга»</w:t>
      </w:r>
      <w:r>
        <w:rPr>
          <w:color w:val="231F20"/>
          <w:spacing w:val="40"/>
          <w:sz w:val="20"/>
        </w:rPr>
        <w:t> </w:t>
      </w:r>
      <w:r>
        <w:rPr>
          <w:color w:val="231F20"/>
          <w:sz w:val="20"/>
        </w:rPr>
        <w:t>может</w:t>
      </w:r>
      <w:r>
        <w:rPr>
          <w:color w:val="231F20"/>
          <w:spacing w:val="40"/>
          <w:sz w:val="20"/>
        </w:rPr>
        <w:t> </w:t>
      </w:r>
      <w:r>
        <w:rPr>
          <w:color w:val="231F20"/>
          <w:sz w:val="20"/>
        </w:rPr>
        <w:t>быть</w:t>
      </w:r>
      <w:r>
        <w:rPr>
          <w:color w:val="231F20"/>
          <w:spacing w:val="40"/>
          <w:sz w:val="20"/>
        </w:rPr>
        <w:t> </w:t>
      </w:r>
      <w:r>
        <w:rPr>
          <w:color w:val="231F20"/>
          <w:sz w:val="20"/>
        </w:rPr>
        <w:t>так</w:t>
      </w:r>
      <w:r>
        <w:rPr>
          <w:color w:val="231F20"/>
          <w:spacing w:val="40"/>
          <w:sz w:val="20"/>
        </w:rPr>
        <w:t> </w:t>
      </w:r>
      <w:r>
        <w:rPr>
          <w:color w:val="231F20"/>
          <w:sz w:val="20"/>
        </w:rPr>
        <w:t>популярна,</w:t>
      </w:r>
      <w:r>
        <w:rPr>
          <w:color w:val="231F20"/>
          <w:spacing w:val="40"/>
          <w:sz w:val="20"/>
        </w:rPr>
        <w:t> </w:t>
      </w:r>
      <w:r>
        <w:rPr>
          <w:color w:val="231F20"/>
          <w:sz w:val="20"/>
        </w:rPr>
        <w:t>что</w:t>
      </w:r>
      <w:r>
        <w:rPr>
          <w:color w:val="231F20"/>
          <w:spacing w:val="40"/>
          <w:sz w:val="20"/>
        </w:rPr>
        <w:t> </w:t>
      </w:r>
      <w:r>
        <w:rPr>
          <w:color w:val="231F20"/>
          <w:sz w:val="20"/>
        </w:rPr>
        <w:t>ее</w:t>
      </w:r>
      <w:r>
        <w:rPr>
          <w:color w:val="231F20"/>
          <w:spacing w:val="40"/>
          <w:sz w:val="20"/>
        </w:rPr>
        <w:t> </w:t>
      </w:r>
      <w:r>
        <w:rPr>
          <w:color w:val="231F20"/>
          <w:sz w:val="20"/>
        </w:rPr>
        <w:t>не</w:t>
      </w:r>
      <w:r>
        <w:rPr>
          <w:color w:val="231F20"/>
          <w:spacing w:val="40"/>
          <w:sz w:val="20"/>
        </w:rPr>
        <w:t> </w:t>
      </w:r>
      <w:r>
        <w:rPr>
          <w:color w:val="231F20"/>
          <w:sz w:val="20"/>
        </w:rPr>
        <w:t>получится</w:t>
      </w:r>
    </w:p>
    <w:p>
      <w:pPr>
        <w:pStyle w:val="BodyText"/>
        <w:ind w:left="425" w:right="0" w:firstLine="0"/>
      </w:pPr>
      <w:r>
        <w:rPr>
          <w:color w:val="231F20"/>
        </w:rPr>
        <w:t>«прочесть»</w:t>
      </w:r>
      <w:r>
        <w:rPr>
          <w:color w:val="231F20"/>
          <w:spacing w:val="-10"/>
        </w:rPr>
        <w:t> </w:t>
      </w:r>
      <w:r>
        <w:rPr>
          <w:color w:val="231F20"/>
        </w:rPr>
        <w:t>всем</w:t>
      </w:r>
      <w:r>
        <w:rPr>
          <w:color w:val="231F20"/>
          <w:spacing w:val="-8"/>
        </w:rPr>
        <w:t> </w:t>
      </w:r>
      <w:r>
        <w:rPr>
          <w:color w:val="231F20"/>
        </w:rPr>
        <w:t>желающим,</w:t>
      </w:r>
      <w:r>
        <w:rPr>
          <w:color w:val="231F20"/>
          <w:spacing w:val="-8"/>
        </w:rPr>
        <w:t> </w:t>
      </w:r>
      <w:r>
        <w:rPr>
          <w:color w:val="231F20"/>
        </w:rPr>
        <w:t>тогда</w:t>
      </w:r>
      <w:r>
        <w:rPr>
          <w:color w:val="231F20"/>
          <w:spacing w:val="-8"/>
        </w:rPr>
        <w:t> </w:t>
      </w:r>
      <w:r>
        <w:rPr>
          <w:color w:val="231F20"/>
        </w:rPr>
        <w:t>можно</w:t>
      </w:r>
      <w:r>
        <w:rPr>
          <w:color w:val="231F20"/>
          <w:spacing w:val="-8"/>
        </w:rPr>
        <w:t> </w:t>
      </w:r>
      <w:r>
        <w:rPr>
          <w:color w:val="231F20"/>
        </w:rPr>
        <w:t>соблюдать</w:t>
      </w:r>
      <w:r>
        <w:rPr>
          <w:color w:val="231F20"/>
          <w:spacing w:val="-9"/>
        </w:rPr>
        <w:t> </w:t>
      </w:r>
      <w:r>
        <w:rPr>
          <w:color w:val="231F20"/>
        </w:rPr>
        <w:t>принцип</w:t>
      </w:r>
      <w:r>
        <w:rPr>
          <w:color w:val="231F20"/>
          <w:spacing w:val="-8"/>
        </w:rPr>
        <w:t> </w:t>
      </w:r>
      <w:r>
        <w:rPr>
          <w:color w:val="231F20"/>
          <w:spacing w:val="-2"/>
        </w:rPr>
        <w:t>очередности).</w:t>
      </w:r>
    </w:p>
    <w:p>
      <w:pPr>
        <w:pStyle w:val="ListParagraph"/>
        <w:numPr>
          <w:ilvl w:val="0"/>
          <w:numId w:val="299"/>
        </w:numPr>
        <w:tabs>
          <w:tab w:pos="425" w:val="left" w:leader="none"/>
        </w:tabs>
        <w:spacing w:line="240" w:lineRule="auto" w:before="0" w:after="0"/>
        <w:ind w:left="425" w:right="139" w:hanging="284"/>
        <w:jc w:val="both"/>
        <w:rPr>
          <w:sz w:val="20"/>
        </w:rPr>
      </w:pPr>
      <w:r>
        <w:rPr>
          <w:color w:val="231F20"/>
          <w:sz w:val="20"/>
        </w:rPr>
        <w:t>Организаторы заранее распределяют «Читателей» по «Книгам» на все раунды </w:t>
      </w:r>
      <w:r>
        <w:rPr>
          <w:color w:val="231F20"/>
          <w:spacing w:val="-2"/>
          <w:sz w:val="20"/>
        </w:rPr>
        <w:t>чтения,</w:t>
      </w:r>
      <w:r>
        <w:rPr>
          <w:color w:val="231F20"/>
          <w:spacing w:val="-7"/>
          <w:sz w:val="20"/>
        </w:rPr>
        <w:t> </w:t>
      </w:r>
      <w:r>
        <w:rPr>
          <w:color w:val="231F20"/>
          <w:spacing w:val="-2"/>
          <w:sz w:val="20"/>
        </w:rPr>
        <w:t>которые</w:t>
      </w:r>
      <w:r>
        <w:rPr>
          <w:color w:val="231F20"/>
          <w:spacing w:val="-7"/>
          <w:sz w:val="20"/>
        </w:rPr>
        <w:t> </w:t>
      </w:r>
      <w:r>
        <w:rPr>
          <w:color w:val="231F20"/>
          <w:spacing w:val="-2"/>
          <w:sz w:val="20"/>
        </w:rPr>
        <w:t>будут.</w:t>
      </w:r>
      <w:r>
        <w:rPr>
          <w:color w:val="231F20"/>
          <w:spacing w:val="-7"/>
          <w:sz w:val="20"/>
        </w:rPr>
        <w:t> </w:t>
      </w:r>
      <w:r>
        <w:rPr>
          <w:color w:val="231F20"/>
          <w:spacing w:val="-2"/>
          <w:sz w:val="20"/>
        </w:rPr>
        <w:t>Распределив,</w:t>
      </w:r>
      <w:r>
        <w:rPr>
          <w:color w:val="231F20"/>
          <w:spacing w:val="-7"/>
          <w:sz w:val="20"/>
        </w:rPr>
        <w:t> </w:t>
      </w:r>
      <w:r>
        <w:rPr>
          <w:color w:val="231F20"/>
          <w:spacing w:val="-2"/>
          <w:sz w:val="20"/>
        </w:rPr>
        <w:t>они</w:t>
      </w:r>
      <w:r>
        <w:rPr>
          <w:color w:val="231F20"/>
          <w:spacing w:val="-7"/>
          <w:sz w:val="20"/>
        </w:rPr>
        <w:t> </w:t>
      </w:r>
      <w:r>
        <w:rPr>
          <w:color w:val="231F20"/>
          <w:spacing w:val="-2"/>
          <w:sz w:val="20"/>
        </w:rPr>
        <w:t>присылают</w:t>
      </w:r>
      <w:r>
        <w:rPr>
          <w:color w:val="231F20"/>
          <w:spacing w:val="-7"/>
          <w:sz w:val="20"/>
        </w:rPr>
        <w:t> </w:t>
      </w:r>
      <w:r>
        <w:rPr>
          <w:color w:val="231F20"/>
          <w:spacing w:val="-2"/>
          <w:sz w:val="20"/>
        </w:rPr>
        <w:t>каждому</w:t>
      </w:r>
      <w:r>
        <w:rPr>
          <w:color w:val="231F20"/>
          <w:spacing w:val="-7"/>
          <w:sz w:val="20"/>
        </w:rPr>
        <w:t> </w:t>
      </w:r>
      <w:r>
        <w:rPr>
          <w:color w:val="231F20"/>
          <w:spacing w:val="-2"/>
          <w:sz w:val="20"/>
        </w:rPr>
        <w:t>«Читателю»</w:t>
      </w:r>
      <w:r>
        <w:rPr>
          <w:color w:val="231F20"/>
          <w:spacing w:val="38"/>
          <w:sz w:val="20"/>
        </w:rPr>
        <w:t> </w:t>
      </w:r>
      <w:r>
        <w:rPr>
          <w:color w:val="231F20"/>
          <w:spacing w:val="-2"/>
          <w:sz w:val="20"/>
        </w:rPr>
        <w:t>ссылку </w:t>
      </w:r>
      <w:r>
        <w:rPr>
          <w:color w:val="231F20"/>
          <w:sz w:val="20"/>
        </w:rPr>
        <w:t>на</w:t>
      </w:r>
      <w:r>
        <w:rPr>
          <w:color w:val="231F20"/>
          <w:spacing w:val="-13"/>
          <w:sz w:val="20"/>
        </w:rPr>
        <w:t> </w:t>
      </w:r>
      <w:r>
        <w:rPr>
          <w:color w:val="231F20"/>
          <w:sz w:val="20"/>
        </w:rPr>
        <w:t>открытие</w:t>
      </w:r>
      <w:r>
        <w:rPr>
          <w:color w:val="231F20"/>
          <w:spacing w:val="-12"/>
          <w:sz w:val="20"/>
        </w:rPr>
        <w:t> </w:t>
      </w:r>
      <w:r>
        <w:rPr>
          <w:color w:val="231F20"/>
          <w:sz w:val="20"/>
        </w:rPr>
        <w:t>«Живой</w:t>
      </w:r>
      <w:r>
        <w:rPr>
          <w:color w:val="231F20"/>
          <w:spacing w:val="-13"/>
          <w:sz w:val="20"/>
        </w:rPr>
        <w:t> </w:t>
      </w:r>
      <w:r>
        <w:rPr>
          <w:color w:val="231F20"/>
          <w:sz w:val="20"/>
        </w:rPr>
        <w:t>библиотеки»,</w:t>
      </w:r>
      <w:r>
        <w:rPr>
          <w:color w:val="231F20"/>
          <w:spacing w:val="-12"/>
          <w:sz w:val="20"/>
        </w:rPr>
        <w:t> </w:t>
      </w:r>
      <w:r>
        <w:rPr>
          <w:color w:val="231F20"/>
          <w:sz w:val="20"/>
        </w:rPr>
        <w:t>где</w:t>
      </w:r>
      <w:r>
        <w:rPr>
          <w:color w:val="231F20"/>
          <w:spacing w:val="-13"/>
          <w:sz w:val="20"/>
        </w:rPr>
        <w:t> </w:t>
      </w:r>
      <w:r>
        <w:rPr>
          <w:color w:val="231F20"/>
          <w:sz w:val="20"/>
        </w:rPr>
        <w:t>слушает</w:t>
      </w:r>
      <w:r>
        <w:rPr>
          <w:color w:val="231F20"/>
          <w:spacing w:val="-12"/>
          <w:sz w:val="20"/>
        </w:rPr>
        <w:t> </w:t>
      </w:r>
      <w:r>
        <w:rPr>
          <w:color w:val="231F20"/>
          <w:sz w:val="20"/>
        </w:rPr>
        <w:t>приветственное</w:t>
      </w:r>
      <w:r>
        <w:rPr>
          <w:color w:val="231F20"/>
          <w:spacing w:val="-13"/>
          <w:sz w:val="20"/>
        </w:rPr>
        <w:t> </w:t>
      </w:r>
      <w:r>
        <w:rPr>
          <w:color w:val="231F20"/>
          <w:sz w:val="20"/>
        </w:rPr>
        <w:t>слово</w:t>
      </w:r>
      <w:r>
        <w:rPr>
          <w:color w:val="231F20"/>
          <w:spacing w:val="-12"/>
          <w:sz w:val="20"/>
        </w:rPr>
        <w:t> </w:t>
      </w:r>
      <w:r>
        <w:rPr>
          <w:color w:val="231F20"/>
          <w:sz w:val="20"/>
        </w:rPr>
        <w:t>и</w:t>
      </w:r>
      <w:r>
        <w:rPr>
          <w:color w:val="231F20"/>
          <w:spacing w:val="-13"/>
          <w:sz w:val="20"/>
        </w:rPr>
        <w:t> </w:t>
      </w:r>
      <w:r>
        <w:rPr>
          <w:color w:val="231F20"/>
          <w:sz w:val="20"/>
        </w:rPr>
        <w:t>правила,</w:t>
      </w:r>
      <w:r>
        <w:rPr>
          <w:color w:val="231F20"/>
          <w:spacing w:val="-12"/>
          <w:sz w:val="20"/>
        </w:rPr>
        <w:t> </w:t>
      </w:r>
      <w:r>
        <w:rPr>
          <w:color w:val="231F20"/>
          <w:sz w:val="20"/>
        </w:rPr>
        <w:t>а затем</w:t>
      </w:r>
      <w:r>
        <w:rPr>
          <w:color w:val="231F20"/>
          <w:spacing w:val="-8"/>
          <w:sz w:val="20"/>
        </w:rPr>
        <w:t> </w:t>
      </w:r>
      <w:r>
        <w:rPr>
          <w:color w:val="231F20"/>
          <w:sz w:val="20"/>
        </w:rPr>
        <w:t>в</w:t>
      </w:r>
      <w:r>
        <w:rPr>
          <w:color w:val="231F20"/>
          <w:spacing w:val="-8"/>
          <w:sz w:val="20"/>
        </w:rPr>
        <w:t> </w:t>
      </w:r>
      <w:r>
        <w:rPr>
          <w:color w:val="231F20"/>
          <w:sz w:val="20"/>
        </w:rPr>
        <w:t>личные</w:t>
      </w:r>
      <w:r>
        <w:rPr>
          <w:color w:val="231F20"/>
          <w:spacing w:val="-8"/>
          <w:sz w:val="20"/>
        </w:rPr>
        <w:t> </w:t>
      </w:r>
      <w:r>
        <w:rPr>
          <w:color w:val="231F20"/>
          <w:sz w:val="20"/>
        </w:rPr>
        <w:t>сообщения</w:t>
      </w:r>
      <w:r>
        <w:rPr>
          <w:color w:val="231F20"/>
          <w:spacing w:val="-8"/>
          <w:sz w:val="20"/>
        </w:rPr>
        <w:t> </w:t>
      </w:r>
      <w:r>
        <w:rPr>
          <w:color w:val="231F20"/>
          <w:sz w:val="20"/>
        </w:rPr>
        <w:t>получает</w:t>
      </w:r>
      <w:r>
        <w:rPr>
          <w:color w:val="231F20"/>
          <w:spacing w:val="-8"/>
          <w:sz w:val="20"/>
        </w:rPr>
        <w:t> </w:t>
      </w:r>
      <w:r>
        <w:rPr>
          <w:color w:val="231F20"/>
          <w:sz w:val="20"/>
        </w:rPr>
        <w:t>доступ</w:t>
      </w:r>
      <w:r>
        <w:rPr>
          <w:color w:val="231F20"/>
          <w:spacing w:val="-8"/>
          <w:sz w:val="20"/>
        </w:rPr>
        <w:t> </w:t>
      </w:r>
      <w:r>
        <w:rPr>
          <w:color w:val="231F20"/>
          <w:sz w:val="20"/>
        </w:rPr>
        <w:t>к</w:t>
      </w:r>
      <w:r>
        <w:rPr>
          <w:color w:val="231F20"/>
          <w:spacing w:val="-8"/>
          <w:sz w:val="20"/>
        </w:rPr>
        <w:t> </w:t>
      </w:r>
      <w:r>
        <w:rPr>
          <w:color w:val="231F20"/>
          <w:sz w:val="20"/>
        </w:rPr>
        <w:t>тем</w:t>
      </w:r>
      <w:r>
        <w:rPr>
          <w:color w:val="231F20"/>
          <w:spacing w:val="-8"/>
          <w:sz w:val="20"/>
        </w:rPr>
        <w:t> </w:t>
      </w:r>
      <w:r>
        <w:rPr>
          <w:color w:val="231F20"/>
          <w:sz w:val="20"/>
        </w:rPr>
        <w:t>«Книгам»,</w:t>
      </w:r>
      <w:r>
        <w:rPr>
          <w:color w:val="231F20"/>
          <w:spacing w:val="-8"/>
          <w:sz w:val="20"/>
        </w:rPr>
        <w:t> </w:t>
      </w:r>
      <w:r>
        <w:rPr>
          <w:color w:val="231F20"/>
          <w:sz w:val="20"/>
        </w:rPr>
        <w:t>которых</w:t>
      </w:r>
      <w:r>
        <w:rPr>
          <w:color w:val="231F20"/>
          <w:spacing w:val="-8"/>
          <w:sz w:val="20"/>
        </w:rPr>
        <w:t> </w:t>
      </w:r>
      <w:r>
        <w:rPr>
          <w:color w:val="231F20"/>
          <w:sz w:val="20"/>
        </w:rPr>
        <w:t>он</w:t>
      </w:r>
      <w:r>
        <w:rPr>
          <w:color w:val="231F20"/>
          <w:spacing w:val="-8"/>
          <w:sz w:val="20"/>
        </w:rPr>
        <w:t> </w:t>
      </w:r>
      <w:r>
        <w:rPr>
          <w:color w:val="231F20"/>
          <w:sz w:val="20"/>
        </w:rPr>
        <w:t>выбрал</w:t>
      </w:r>
      <w:r>
        <w:rPr>
          <w:color w:val="231F20"/>
          <w:spacing w:val="-8"/>
          <w:sz w:val="20"/>
        </w:rPr>
        <w:t> </w:t>
      </w:r>
      <w:r>
        <w:rPr>
          <w:color w:val="231F20"/>
          <w:sz w:val="20"/>
        </w:rPr>
        <w:t>в регистрационной форме ранее.</w:t>
      </w:r>
    </w:p>
    <w:p>
      <w:pPr>
        <w:spacing w:before="114"/>
        <w:ind w:left="425" w:right="0" w:firstLine="0"/>
        <w:jc w:val="both"/>
        <w:rPr>
          <w:i/>
          <w:sz w:val="20"/>
        </w:rPr>
      </w:pPr>
      <w:r>
        <w:rPr>
          <w:i/>
          <w:color w:val="231F20"/>
          <w:sz w:val="20"/>
        </w:rPr>
        <w:t>Чек-ап</w:t>
      </w:r>
      <w:r>
        <w:rPr>
          <w:i/>
          <w:color w:val="231F20"/>
          <w:spacing w:val="-8"/>
          <w:sz w:val="20"/>
        </w:rPr>
        <w:t> </w:t>
      </w:r>
      <w:r>
        <w:rPr>
          <w:i/>
          <w:color w:val="231F20"/>
          <w:sz w:val="20"/>
        </w:rPr>
        <w:t>перед</w:t>
      </w:r>
      <w:r>
        <w:rPr>
          <w:i/>
          <w:color w:val="231F20"/>
          <w:spacing w:val="-6"/>
          <w:sz w:val="20"/>
        </w:rPr>
        <w:t> </w:t>
      </w:r>
      <w:r>
        <w:rPr>
          <w:i/>
          <w:color w:val="231F20"/>
          <w:sz w:val="20"/>
        </w:rPr>
        <w:t>началом</w:t>
      </w:r>
      <w:r>
        <w:rPr>
          <w:i/>
          <w:color w:val="231F20"/>
          <w:spacing w:val="-7"/>
          <w:sz w:val="20"/>
        </w:rPr>
        <w:t> </w:t>
      </w:r>
      <w:r>
        <w:rPr>
          <w:i/>
          <w:color w:val="231F20"/>
          <w:sz w:val="20"/>
        </w:rPr>
        <w:t>«Живой</w:t>
      </w:r>
      <w:r>
        <w:rPr>
          <w:i/>
          <w:color w:val="231F20"/>
          <w:spacing w:val="-5"/>
          <w:sz w:val="20"/>
        </w:rPr>
        <w:t> </w:t>
      </w:r>
      <w:r>
        <w:rPr>
          <w:i/>
          <w:color w:val="231F20"/>
          <w:sz w:val="20"/>
        </w:rPr>
        <w:t>библиотеки»</w:t>
      </w:r>
      <w:r>
        <w:rPr>
          <w:i/>
          <w:color w:val="231F20"/>
          <w:spacing w:val="-6"/>
          <w:sz w:val="20"/>
        </w:rPr>
        <w:t> </w:t>
      </w:r>
      <w:r>
        <w:rPr>
          <w:i/>
          <w:color w:val="231F20"/>
          <w:sz w:val="20"/>
        </w:rPr>
        <w:t>в</w:t>
      </w:r>
      <w:r>
        <w:rPr>
          <w:i/>
          <w:color w:val="231F20"/>
          <w:spacing w:val="-7"/>
          <w:sz w:val="20"/>
        </w:rPr>
        <w:t> </w:t>
      </w:r>
      <w:r>
        <w:rPr>
          <w:i/>
          <w:color w:val="231F20"/>
          <w:sz w:val="20"/>
        </w:rPr>
        <w:t>очном</w:t>
      </w:r>
      <w:r>
        <w:rPr>
          <w:i/>
          <w:color w:val="231F20"/>
          <w:spacing w:val="-6"/>
          <w:sz w:val="20"/>
        </w:rPr>
        <w:t> </w:t>
      </w:r>
      <w:r>
        <w:rPr>
          <w:i/>
          <w:color w:val="231F20"/>
          <w:spacing w:val="-2"/>
          <w:sz w:val="20"/>
        </w:rPr>
        <w:t>формате:</w:t>
      </w:r>
    </w:p>
    <w:p>
      <w:pPr>
        <w:pStyle w:val="ListParagraph"/>
        <w:numPr>
          <w:ilvl w:val="0"/>
          <w:numId w:val="300"/>
        </w:numPr>
        <w:tabs>
          <w:tab w:pos="424" w:val="left" w:leader="none"/>
        </w:tabs>
        <w:spacing w:line="228" w:lineRule="exact" w:before="0" w:after="0"/>
        <w:ind w:left="424" w:right="0" w:hanging="283"/>
        <w:jc w:val="both"/>
        <w:rPr>
          <w:sz w:val="20"/>
        </w:rPr>
      </w:pPr>
      <w:r>
        <w:rPr>
          <w:color w:val="231F20"/>
          <w:sz w:val="20"/>
        </w:rPr>
        <w:t>Проветрено</w:t>
      </w:r>
      <w:r>
        <w:rPr>
          <w:color w:val="231F20"/>
          <w:spacing w:val="-2"/>
          <w:sz w:val="20"/>
        </w:rPr>
        <w:t> </w:t>
      </w:r>
      <w:r>
        <w:rPr>
          <w:color w:val="231F20"/>
          <w:sz w:val="20"/>
        </w:rPr>
        <w:t>ли</w:t>
      </w:r>
      <w:r>
        <w:rPr>
          <w:color w:val="231F20"/>
          <w:spacing w:val="-2"/>
          <w:sz w:val="20"/>
        </w:rPr>
        <w:t> помещение?</w:t>
      </w:r>
    </w:p>
    <w:p>
      <w:pPr>
        <w:pStyle w:val="ListParagraph"/>
        <w:numPr>
          <w:ilvl w:val="0"/>
          <w:numId w:val="300"/>
        </w:numPr>
        <w:tabs>
          <w:tab w:pos="424" w:val="left" w:leader="none"/>
        </w:tabs>
        <w:spacing w:line="226" w:lineRule="exact" w:before="0" w:after="0"/>
        <w:ind w:left="424" w:right="0" w:hanging="283"/>
        <w:jc w:val="both"/>
        <w:rPr>
          <w:sz w:val="20"/>
        </w:rPr>
      </w:pPr>
      <w:r>
        <w:rPr>
          <w:color w:val="231F20"/>
          <w:sz w:val="20"/>
        </w:rPr>
        <w:t>Достаточно</w:t>
      </w:r>
      <w:r>
        <w:rPr>
          <w:color w:val="231F20"/>
          <w:spacing w:val="-7"/>
          <w:sz w:val="20"/>
        </w:rPr>
        <w:t> </w:t>
      </w:r>
      <w:r>
        <w:rPr>
          <w:color w:val="231F20"/>
          <w:sz w:val="20"/>
        </w:rPr>
        <w:t>ли</w:t>
      </w:r>
      <w:r>
        <w:rPr>
          <w:color w:val="231F20"/>
          <w:spacing w:val="-8"/>
          <w:sz w:val="20"/>
        </w:rPr>
        <w:t> </w:t>
      </w:r>
      <w:r>
        <w:rPr>
          <w:color w:val="231F20"/>
          <w:sz w:val="20"/>
        </w:rPr>
        <w:t>стульев</w:t>
      </w:r>
      <w:r>
        <w:rPr>
          <w:color w:val="231F20"/>
          <w:spacing w:val="-7"/>
          <w:sz w:val="20"/>
        </w:rPr>
        <w:t> </w:t>
      </w:r>
      <w:r>
        <w:rPr>
          <w:color w:val="231F20"/>
          <w:sz w:val="20"/>
        </w:rPr>
        <w:t>с</w:t>
      </w:r>
      <w:r>
        <w:rPr>
          <w:color w:val="231F20"/>
          <w:spacing w:val="-7"/>
          <w:sz w:val="20"/>
        </w:rPr>
        <w:t> </w:t>
      </w:r>
      <w:r>
        <w:rPr>
          <w:color w:val="231F20"/>
          <w:sz w:val="20"/>
        </w:rPr>
        <w:t>учетом</w:t>
      </w:r>
      <w:r>
        <w:rPr>
          <w:color w:val="231F20"/>
          <w:spacing w:val="-7"/>
          <w:sz w:val="20"/>
        </w:rPr>
        <w:t> </w:t>
      </w:r>
      <w:r>
        <w:rPr>
          <w:color w:val="231F20"/>
          <w:sz w:val="20"/>
        </w:rPr>
        <w:t>количества</w:t>
      </w:r>
      <w:r>
        <w:rPr>
          <w:color w:val="231F20"/>
          <w:spacing w:val="-6"/>
          <w:sz w:val="20"/>
        </w:rPr>
        <w:t> </w:t>
      </w:r>
      <w:r>
        <w:rPr>
          <w:color w:val="231F20"/>
          <w:sz w:val="20"/>
        </w:rPr>
        <w:t>читателей</w:t>
      </w:r>
      <w:r>
        <w:rPr>
          <w:color w:val="231F20"/>
          <w:spacing w:val="-8"/>
          <w:sz w:val="20"/>
        </w:rPr>
        <w:t> </w:t>
      </w:r>
      <w:r>
        <w:rPr>
          <w:color w:val="231F20"/>
          <w:sz w:val="20"/>
        </w:rPr>
        <w:t>и</w:t>
      </w:r>
      <w:r>
        <w:rPr>
          <w:color w:val="231F20"/>
          <w:spacing w:val="-7"/>
          <w:sz w:val="20"/>
        </w:rPr>
        <w:t> </w:t>
      </w:r>
      <w:r>
        <w:rPr>
          <w:color w:val="231F20"/>
          <w:spacing w:val="-2"/>
          <w:sz w:val="20"/>
        </w:rPr>
        <w:t>книг?</w:t>
      </w:r>
    </w:p>
    <w:p>
      <w:pPr>
        <w:pStyle w:val="ListParagraph"/>
        <w:numPr>
          <w:ilvl w:val="0"/>
          <w:numId w:val="300"/>
        </w:numPr>
        <w:tabs>
          <w:tab w:pos="425" w:val="left" w:leader="none"/>
        </w:tabs>
        <w:spacing w:line="235" w:lineRule="auto" w:before="1" w:after="0"/>
        <w:ind w:left="425" w:right="140" w:hanging="284"/>
        <w:jc w:val="both"/>
        <w:rPr>
          <w:sz w:val="20"/>
        </w:rPr>
      </w:pPr>
      <w:r>
        <w:rPr>
          <w:color w:val="231F20"/>
          <w:sz w:val="20"/>
        </w:rPr>
        <w:t>Продуманы ли места, где будут встречи с книгами, на достаточном ли они расстоянии друг от друга и хватит ли всем книгам?</w:t>
      </w:r>
    </w:p>
    <w:p>
      <w:pPr>
        <w:pStyle w:val="ListParagraph"/>
        <w:numPr>
          <w:ilvl w:val="0"/>
          <w:numId w:val="300"/>
        </w:numPr>
        <w:tabs>
          <w:tab w:pos="424" w:val="left" w:leader="none"/>
        </w:tabs>
        <w:spacing w:line="227" w:lineRule="exact" w:before="0" w:after="0"/>
        <w:ind w:left="424" w:right="0" w:hanging="283"/>
        <w:jc w:val="both"/>
        <w:rPr>
          <w:sz w:val="20"/>
        </w:rPr>
      </w:pPr>
      <w:r>
        <w:rPr>
          <w:color w:val="231F20"/>
          <w:sz w:val="20"/>
        </w:rPr>
        <w:t>Если</w:t>
      </w:r>
      <w:r>
        <w:rPr>
          <w:color w:val="231F20"/>
          <w:spacing w:val="-3"/>
          <w:sz w:val="20"/>
        </w:rPr>
        <w:t> </w:t>
      </w:r>
      <w:r>
        <w:rPr>
          <w:color w:val="231F20"/>
          <w:sz w:val="20"/>
        </w:rPr>
        <w:t>планируется</w:t>
      </w:r>
      <w:r>
        <w:rPr>
          <w:color w:val="231F20"/>
          <w:spacing w:val="-1"/>
          <w:sz w:val="20"/>
        </w:rPr>
        <w:t> </w:t>
      </w:r>
      <w:r>
        <w:rPr>
          <w:color w:val="231F20"/>
          <w:sz w:val="20"/>
        </w:rPr>
        <w:t>перерыв</w:t>
      </w:r>
      <w:r>
        <w:rPr>
          <w:color w:val="231F20"/>
          <w:spacing w:val="-3"/>
          <w:sz w:val="20"/>
        </w:rPr>
        <w:t> </w:t>
      </w:r>
      <w:r>
        <w:rPr>
          <w:color w:val="231F20"/>
          <w:sz w:val="20"/>
        </w:rPr>
        <w:t>на</w:t>
      </w:r>
      <w:r>
        <w:rPr>
          <w:color w:val="231F20"/>
          <w:spacing w:val="-1"/>
          <w:sz w:val="20"/>
        </w:rPr>
        <w:t> </w:t>
      </w:r>
      <w:r>
        <w:rPr>
          <w:color w:val="231F20"/>
          <w:sz w:val="20"/>
        </w:rPr>
        <w:t>чай,</w:t>
      </w:r>
      <w:r>
        <w:rPr>
          <w:color w:val="231F20"/>
          <w:spacing w:val="-2"/>
          <w:sz w:val="20"/>
        </w:rPr>
        <w:t> </w:t>
      </w:r>
      <w:r>
        <w:rPr>
          <w:color w:val="231F20"/>
          <w:sz w:val="20"/>
        </w:rPr>
        <w:t>есть</w:t>
      </w:r>
      <w:r>
        <w:rPr>
          <w:color w:val="231F20"/>
          <w:spacing w:val="-2"/>
          <w:sz w:val="20"/>
        </w:rPr>
        <w:t> </w:t>
      </w:r>
      <w:r>
        <w:rPr>
          <w:color w:val="231F20"/>
          <w:sz w:val="20"/>
        </w:rPr>
        <w:t>ли</w:t>
      </w:r>
      <w:r>
        <w:rPr>
          <w:color w:val="231F20"/>
          <w:spacing w:val="-3"/>
          <w:sz w:val="20"/>
        </w:rPr>
        <w:t> </w:t>
      </w:r>
      <w:r>
        <w:rPr>
          <w:color w:val="231F20"/>
          <w:sz w:val="20"/>
        </w:rPr>
        <w:t>все</w:t>
      </w:r>
      <w:r>
        <w:rPr>
          <w:color w:val="231F20"/>
          <w:spacing w:val="-1"/>
          <w:sz w:val="20"/>
        </w:rPr>
        <w:t> </w:t>
      </w:r>
      <w:r>
        <w:rPr>
          <w:color w:val="231F20"/>
          <w:spacing w:val="-2"/>
          <w:sz w:val="20"/>
        </w:rPr>
        <w:t>необходимое?</w:t>
      </w:r>
    </w:p>
    <w:p>
      <w:pPr>
        <w:pStyle w:val="ListParagraph"/>
        <w:spacing w:after="0" w:line="227" w:lineRule="exact"/>
        <w:jc w:val="both"/>
        <w:rPr>
          <w:sz w:val="20"/>
        </w:rPr>
        <w:sectPr>
          <w:pgSz w:w="8400" w:h="11910"/>
          <w:pgMar w:header="0" w:footer="530" w:top="400" w:bottom="740" w:left="425" w:right="425"/>
        </w:sectPr>
      </w:pPr>
    </w:p>
    <w:p>
      <w:pPr>
        <w:pStyle w:val="ListParagraph"/>
        <w:numPr>
          <w:ilvl w:val="1"/>
          <w:numId w:val="286"/>
        </w:numPr>
        <w:tabs>
          <w:tab w:pos="455" w:val="left" w:leader="none"/>
        </w:tabs>
        <w:spacing w:line="240" w:lineRule="auto" w:before="80" w:after="0"/>
        <w:ind w:left="455" w:right="0" w:hanging="314"/>
        <w:jc w:val="both"/>
        <w:rPr>
          <w:rFonts w:ascii="Georgia" w:hAnsi="Georgia"/>
          <w:color w:val="231F20"/>
          <w:sz w:val="18"/>
        </w:rPr>
      </w:pPr>
      <w:r>
        <w:rPr>
          <w:rFonts w:ascii="Georgia" w:hAnsi="Georgia"/>
          <w:color w:val="231F20"/>
          <w:sz w:val="18"/>
        </w:rPr>
        <w:t>«Живая</w:t>
      </w:r>
      <w:r>
        <w:rPr>
          <w:rFonts w:ascii="Georgia" w:hAnsi="Georgia"/>
          <w:color w:val="231F20"/>
          <w:spacing w:val="-7"/>
          <w:sz w:val="18"/>
        </w:rPr>
        <w:t> </w:t>
      </w:r>
      <w:r>
        <w:rPr>
          <w:rFonts w:ascii="Georgia" w:hAnsi="Georgia"/>
          <w:color w:val="231F20"/>
          <w:sz w:val="18"/>
        </w:rPr>
        <w:t>библиотека»</w:t>
      </w:r>
      <w:r>
        <w:rPr>
          <w:rFonts w:ascii="Georgia" w:hAnsi="Georgia"/>
          <w:color w:val="231F20"/>
          <w:spacing w:val="-6"/>
          <w:sz w:val="18"/>
        </w:rPr>
        <w:t> </w:t>
      </w:r>
      <w:r>
        <w:rPr>
          <w:rFonts w:ascii="Georgia" w:hAnsi="Georgia"/>
          <w:color w:val="231F20"/>
          <w:sz w:val="18"/>
        </w:rPr>
        <w:t>как</w:t>
      </w:r>
      <w:r>
        <w:rPr>
          <w:rFonts w:ascii="Georgia" w:hAnsi="Georgia"/>
          <w:color w:val="231F20"/>
          <w:spacing w:val="-7"/>
          <w:sz w:val="18"/>
        </w:rPr>
        <w:t> </w:t>
      </w:r>
      <w:r>
        <w:rPr>
          <w:rFonts w:ascii="Georgia" w:hAnsi="Georgia"/>
          <w:color w:val="231F20"/>
          <w:sz w:val="18"/>
        </w:rPr>
        <w:t>универсальная</w:t>
      </w:r>
      <w:r>
        <w:rPr>
          <w:rFonts w:ascii="Georgia" w:hAnsi="Georgia"/>
          <w:color w:val="231F20"/>
          <w:spacing w:val="-6"/>
          <w:sz w:val="18"/>
        </w:rPr>
        <w:t> </w:t>
      </w:r>
      <w:r>
        <w:rPr>
          <w:rFonts w:ascii="Georgia" w:hAnsi="Georgia"/>
          <w:color w:val="231F20"/>
          <w:sz w:val="18"/>
        </w:rPr>
        <w:t>технология</w:t>
      </w:r>
      <w:r>
        <w:rPr>
          <w:rFonts w:ascii="Georgia" w:hAnsi="Georgia"/>
          <w:color w:val="231F20"/>
          <w:spacing w:val="-6"/>
          <w:sz w:val="18"/>
        </w:rPr>
        <w:t> </w:t>
      </w:r>
      <w:r>
        <w:rPr>
          <w:rFonts w:ascii="Georgia" w:hAnsi="Georgia"/>
          <w:color w:val="231F20"/>
          <w:spacing w:val="-2"/>
          <w:sz w:val="18"/>
        </w:rPr>
        <w:t>предубежденности...</w:t>
      </w:r>
    </w:p>
    <w:p>
      <w:pPr>
        <w:pStyle w:val="ListParagraph"/>
        <w:numPr>
          <w:ilvl w:val="0"/>
          <w:numId w:val="300"/>
        </w:numPr>
        <w:tabs>
          <w:tab w:pos="425" w:val="left" w:leader="none"/>
        </w:tabs>
        <w:spacing w:line="235" w:lineRule="auto" w:before="116" w:after="0"/>
        <w:ind w:left="425" w:right="139" w:hanging="284"/>
        <w:jc w:val="both"/>
        <w:rPr>
          <w:sz w:val="20"/>
        </w:rPr>
      </w:pPr>
      <w:r>
        <w:rPr>
          <w:color w:val="231F20"/>
          <w:sz w:val="20"/>
        </w:rPr>
        <w:t>Все ли волонтеры помнят, за что они отвечают? Пройтись по ключевым обязанностям, как тайминг и т.д.</w:t>
      </w:r>
    </w:p>
    <w:p>
      <w:pPr>
        <w:pStyle w:val="ListParagraph"/>
        <w:numPr>
          <w:ilvl w:val="0"/>
          <w:numId w:val="300"/>
        </w:numPr>
        <w:tabs>
          <w:tab w:pos="425" w:val="left" w:leader="none"/>
        </w:tabs>
        <w:spacing w:line="235" w:lineRule="auto" w:before="1" w:after="0"/>
        <w:ind w:left="425" w:right="139" w:hanging="284"/>
        <w:jc w:val="both"/>
        <w:rPr>
          <w:sz w:val="20"/>
        </w:rPr>
      </w:pPr>
      <w:r>
        <w:rPr>
          <w:color w:val="231F20"/>
          <w:sz w:val="20"/>
        </w:rPr>
        <w:t>Есть ли мел или маркер, чтобы написать правила после договоренности о них на </w:t>
      </w:r>
      <w:r>
        <w:rPr>
          <w:color w:val="231F20"/>
          <w:spacing w:val="-2"/>
          <w:sz w:val="20"/>
        </w:rPr>
        <w:t>доске?</w:t>
      </w:r>
    </w:p>
    <w:p>
      <w:pPr>
        <w:spacing w:line="228" w:lineRule="exact" w:before="111"/>
        <w:ind w:left="425" w:right="0" w:firstLine="0"/>
        <w:jc w:val="both"/>
        <w:rPr>
          <w:i/>
          <w:sz w:val="20"/>
        </w:rPr>
      </w:pPr>
      <w:r>
        <w:rPr>
          <w:i/>
          <w:color w:val="231F20"/>
          <w:sz w:val="20"/>
        </w:rPr>
        <w:t>Чек-ап</w:t>
      </w:r>
      <w:r>
        <w:rPr>
          <w:i/>
          <w:color w:val="231F20"/>
          <w:spacing w:val="-7"/>
          <w:sz w:val="20"/>
        </w:rPr>
        <w:t> </w:t>
      </w:r>
      <w:r>
        <w:rPr>
          <w:i/>
          <w:color w:val="231F20"/>
          <w:sz w:val="20"/>
        </w:rPr>
        <w:t>перед</w:t>
      </w:r>
      <w:r>
        <w:rPr>
          <w:i/>
          <w:color w:val="231F20"/>
          <w:spacing w:val="-4"/>
          <w:sz w:val="20"/>
        </w:rPr>
        <w:t> </w:t>
      </w:r>
      <w:r>
        <w:rPr>
          <w:i/>
          <w:color w:val="231F20"/>
          <w:sz w:val="20"/>
        </w:rPr>
        <w:t>«Живой</w:t>
      </w:r>
      <w:r>
        <w:rPr>
          <w:i/>
          <w:color w:val="231F20"/>
          <w:spacing w:val="-4"/>
          <w:sz w:val="20"/>
        </w:rPr>
        <w:t> </w:t>
      </w:r>
      <w:r>
        <w:rPr>
          <w:i/>
          <w:color w:val="231F20"/>
          <w:sz w:val="20"/>
        </w:rPr>
        <w:t>библиотекой»</w:t>
      </w:r>
      <w:r>
        <w:rPr>
          <w:i/>
          <w:color w:val="231F20"/>
          <w:spacing w:val="-4"/>
          <w:sz w:val="20"/>
        </w:rPr>
        <w:t> </w:t>
      </w:r>
      <w:r>
        <w:rPr>
          <w:i/>
          <w:color w:val="231F20"/>
          <w:sz w:val="20"/>
        </w:rPr>
        <w:t>в</w:t>
      </w:r>
      <w:r>
        <w:rPr>
          <w:i/>
          <w:color w:val="231F20"/>
          <w:spacing w:val="-5"/>
          <w:sz w:val="20"/>
        </w:rPr>
        <w:t> </w:t>
      </w:r>
      <w:r>
        <w:rPr>
          <w:i/>
          <w:color w:val="231F20"/>
          <w:sz w:val="20"/>
        </w:rPr>
        <w:t>онлайн</w:t>
      </w:r>
      <w:r>
        <w:rPr>
          <w:i/>
          <w:color w:val="231F20"/>
          <w:spacing w:val="-5"/>
          <w:sz w:val="20"/>
        </w:rPr>
        <w:t> </w:t>
      </w:r>
      <w:r>
        <w:rPr>
          <w:i/>
          <w:color w:val="231F20"/>
          <w:spacing w:val="-2"/>
          <w:sz w:val="20"/>
        </w:rPr>
        <w:t>формате:</w:t>
      </w:r>
    </w:p>
    <w:p>
      <w:pPr>
        <w:pStyle w:val="ListParagraph"/>
        <w:numPr>
          <w:ilvl w:val="0"/>
          <w:numId w:val="301"/>
        </w:numPr>
        <w:tabs>
          <w:tab w:pos="425" w:val="left" w:leader="none"/>
        </w:tabs>
        <w:spacing w:line="237" w:lineRule="auto" w:before="0" w:after="0"/>
        <w:ind w:left="425" w:right="139" w:hanging="284"/>
        <w:jc w:val="both"/>
        <w:rPr>
          <w:sz w:val="20"/>
        </w:rPr>
      </w:pPr>
      <w:r>
        <w:rPr>
          <w:color w:val="231F20"/>
          <w:sz w:val="20"/>
        </w:rPr>
        <w:t>Команде стоит прийти в комнату раньше (желательно за 15 минут). Все ли волонтеры помнят, за что они отвечают? Пройтись по ключевым обязанностям, как тайминг и т.д.</w:t>
      </w:r>
    </w:p>
    <w:p>
      <w:pPr>
        <w:pStyle w:val="ListParagraph"/>
        <w:numPr>
          <w:ilvl w:val="0"/>
          <w:numId w:val="301"/>
        </w:numPr>
        <w:tabs>
          <w:tab w:pos="425" w:val="left" w:leader="none"/>
        </w:tabs>
        <w:spacing w:line="237" w:lineRule="auto" w:before="0" w:after="0"/>
        <w:ind w:left="425" w:right="139" w:hanging="284"/>
        <w:jc w:val="both"/>
        <w:rPr>
          <w:sz w:val="20"/>
        </w:rPr>
      </w:pPr>
      <w:r>
        <w:rPr>
          <w:color w:val="231F20"/>
          <w:sz w:val="20"/>
        </w:rPr>
        <w:t>После</w:t>
      </w:r>
      <w:r>
        <w:rPr>
          <w:color w:val="231F20"/>
          <w:spacing w:val="40"/>
          <w:sz w:val="20"/>
        </w:rPr>
        <w:t> </w:t>
      </w:r>
      <w:r>
        <w:rPr>
          <w:color w:val="231F20"/>
          <w:sz w:val="20"/>
        </w:rPr>
        <w:t>начала</w:t>
      </w:r>
      <w:r>
        <w:rPr>
          <w:color w:val="231F20"/>
          <w:spacing w:val="40"/>
          <w:sz w:val="20"/>
        </w:rPr>
        <w:t> </w:t>
      </w:r>
      <w:r>
        <w:rPr>
          <w:color w:val="231F20"/>
          <w:sz w:val="20"/>
        </w:rPr>
        <w:t>–</w:t>
      </w:r>
      <w:r>
        <w:rPr>
          <w:color w:val="231F20"/>
          <w:spacing w:val="40"/>
          <w:sz w:val="20"/>
        </w:rPr>
        <w:t> </w:t>
      </w:r>
      <w:r>
        <w:rPr>
          <w:color w:val="231F20"/>
          <w:sz w:val="20"/>
        </w:rPr>
        <w:t>свериться</w:t>
      </w:r>
      <w:r>
        <w:rPr>
          <w:color w:val="231F20"/>
          <w:spacing w:val="40"/>
          <w:sz w:val="20"/>
        </w:rPr>
        <w:t> </w:t>
      </w:r>
      <w:r>
        <w:rPr>
          <w:color w:val="231F20"/>
          <w:sz w:val="20"/>
        </w:rPr>
        <w:t>с</w:t>
      </w:r>
      <w:r>
        <w:rPr>
          <w:color w:val="231F20"/>
          <w:spacing w:val="40"/>
          <w:sz w:val="20"/>
        </w:rPr>
        <w:t> </w:t>
      </w:r>
      <w:r>
        <w:rPr>
          <w:color w:val="231F20"/>
          <w:sz w:val="20"/>
        </w:rPr>
        <w:t>количеством</w:t>
      </w:r>
      <w:r>
        <w:rPr>
          <w:color w:val="231F20"/>
          <w:spacing w:val="40"/>
          <w:sz w:val="20"/>
        </w:rPr>
        <w:t> </w:t>
      </w:r>
      <w:r>
        <w:rPr>
          <w:color w:val="231F20"/>
          <w:sz w:val="20"/>
        </w:rPr>
        <w:t>зарегистрированных</w:t>
      </w:r>
      <w:r>
        <w:rPr>
          <w:color w:val="231F20"/>
          <w:spacing w:val="40"/>
          <w:sz w:val="20"/>
        </w:rPr>
        <w:t> </w:t>
      </w:r>
      <w:r>
        <w:rPr>
          <w:color w:val="231F20"/>
          <w:sz w:val="20"/>
        </w:rPr>
        <w:t>и</w:t>
      </w:r>
      <w:r>
        <w:rPr>
          <w:color w:val="231F20"/>
          <w:spacing w:val="40"/>
          <w:sz w:val="20"/>
        </w:rPr>
        <w:t> </w:t>
      </w:r>
      <w:r>
        <w:rPr>
          <w:color w:val="231F20"/>
          <w:sz w:val="20"/>
        </w:rPr>
        <w:t>пришедших. Все ли «Книги» и «Читатели» подключились? Есть ли у кого-то проблемы с </w:t>
      </w:r>
      <w:r>
        <w:rPr>
          <w:color w:val="231F20"/>
          <w:spacing w:val="-2"/>
          <w:sz w:val="20"/>
        </w:rPr>
        <w:t>подключением?</w:t>
      </w:r>
    </w:p>
    <w:p>
      <w:pPr>
        <w:pStyle w:val="ListParagraph"/>
        <w:numPr>
          <w:ilvl w:val="0"/>
          <w:numId w:val="301"/>
        </w:numPr>
        <w:tabs>
          <w:tab w:pos="425" w:val="left" w:leader="none"/>
        </w:tabs>
        <w:spacing w:line="240" w:lineRule="auto" w:before="0" w:after="0"/>
        <w:ind w:left="425" w:right="139" w:hanging="284"/>
        <w:jc w:val="both"/>
        <w:rPr>
          <w:sz w:val="20"/>
        </w:rPr>
      </w:pPr>
      <w:r>
        <w:rPr>
          <w:color w:val="231F20"/>
          <w:sz w:val="20"/>
        </w:rPr>
        <w:t>Распределить правильно количество участников по группам с книгами. У всех</w:t>
      </w:r>
      <w:r>
        <w:rPr>
          <w:color w:val="231F20"/>
          <w:spacing w:val="80"/>
          <w:sz w:val="20"/>
        </w:rPr>
        <w:t> </w:t>
      </w:r>
      <w:r>
        <w:rPr>
          <w:color w:val="231F20"/>
          <w:sz w:val="20"/>
        </w:rPr>
        <w:t>ли «Книг» имеется достаточное количество «Читателей»? Все ли «Читатели» находятся в сессионных залах?</w:t>
      </w:r>
    </w:p>
    <w:p>
      <w:pPr>
        <w:spacing w:line="229" w:lineRule="exact" w:before="105"/>
        <w:ind w:left="425" w:right="0" w:firstLine="0"/>
        <w:jc w:val="both"/>
        <w:rPr>
          <w:i/>
          <w:sz w:val="20"/>
        </w:rPr>
      </w:pPr>
      <w:r>
        <w:rPr>
          <w:i/>
          <w:color w:val="231F20"/>
          <w:sz w:val="20"/>
        </w:rPr>
        <w:t>Во</w:t>
      </w:r>
      <w:r>
        <w:rPr>
          <w:i/>
          <w:color w:val="231F20"/>
          <w:spacing w:val="-4"/>
          <w:sz w:val="20"/>
        </w:rPr>
        <w:t> </w:t>
      </w:r>
      <w:r>
        <w:rPr>
          <w:i/>
          <w:color w:val="231F20"/>
          <w:sz w:val="20"/>
        </w:rPr>
        <w:t>время</w:t>
      </w:r>
      <w:r>
        <w:rPr>
          <w:i/>
          <w:color w:val="231F20"/>
          <w:spacing w:val="-4"/>
          <w:sz w:val="20"/>
        </w:rPr>
        <w:t> </w:t>
      </w:r>
      <w:r>
        <w:rPr>
          <w:i/>
          <w:color w:val="231F20"/>
          <w:sz w:val="20"/>
        </w:rPr>
        <w:t>«Живой</w:t>
      </w:r>
      <w:r>
        <w:rPr>
          <w:i/>
          <w:color w:val="231F20"/>
          <w:spacing w:val="-3"/>
          <w:sz w:val="20"/>
        </w:rPr>
        <w:t> </w:t>
      </w:r>
      <w:r>
        <w:rPr>
          <w:i/>
          <w:color w:val="231F20"/>
          <w:spacing w:val="-2"/>
          <w:sz w:val="20"/>
        </w:rPr>
        <w:t>библиотеки»:</w:t>
      </w:r>
    </w:p>
    <w:p>
      <w:pPr>
        <w:pStyle w:val="ListParagraph"/>
        <w:numPr>
          <w:ilvl w:val="0"/>
          <w:numId w:val="302"/>
        </w:numPr>
        <w:tabs>
          <w:tab w:pos="425" w:val="left" w:leader="none"/>
        </w:tabs>
        <w:spacing w:line="240" w:lineRule="auto" w:before="0" w:after="0"/>
        <w:ind w:left="425" w:right="139" w:hanging="284"/>
        <w:jc w:val="both"/>
        <w:rPr>
          <w:sz w:val="20"/>
        </w:rPr>
      </w:pPr>
      <w:r>
        <w:rPr>
          <w:color w:val="231F20"/>
          <w:sz w:val="20"/>
        </w:rPr>
        <w:t>Расскажите немного о «Живой библиотеке» (не больше 5 минут). Проговорите правила (см. Методические рекомендации).</w:t>
      </w:r>
    </w:p>
    <w:p>
      <w:pPr>
        <w:pStyle w:val="ListParagraph"/>
        <w:numPr>
          <w:ilvl w:val="0"/>
          <w:numId w:val="302"/>
        </w:numPr>
        <w:tabs>
          <w:tab w:pos="425" w:val="left" w:leader="none"/>
        </w:tabs>
        <w:spacing w:line="237" w:lineRule="auto" w:before="0" w:after="0"/>
        <w:ind w:left="425" w:right="139" w:hanging="284"/>
        <w:jc w:val="both"/>
        <w:rPr>
          <w:sz w:val="20"/>
        </w:rPr>
      </w:pPr>
      <w:r>
        <w:rPr>
          <w:color w:val="231F20"/>
          <w:sz w:val="20"/>
        </w:rPr>
        <w:t>Основное время. Обычно на 1 книгу дается примерно 15-20 минут: на рассказ </w:t>
      </w:r>
      <w:r>
        <w:rPr>
          <w:color w:val="231F20"/>
          <w:sz w:val="20"/>
        </w:rPr>
        <w:t>и последующие вопросы. В процессе «Живой библиотеки» каждый «Читатель» должен</w:t>
      </w:r>
      <w:r>
        <w:rPr>
          <w:color w:val="231F20"/>
          <w:spacing w:val="-2"/>
          <w:sz w:val="20"/>
        </w:rPr>
        <w:t> </w:t>
      </w:r>
      <w:r>
        <w:rPr>
          <w:color w:val="231F20"/>
          <w:sz w:val="20"/>
        </w:rPr>
        <w:t>«почитать»</w:t>
      </w:r>
      <w:r>
        <w:rPr>
          <w:color w:val="231F20"/>
          <w:spacing w:val="-2"/>
          <w:sz w:val="20"/>
        </w:rPr>
        <w:t> </w:t>
      </w:r>
      <w:r>
        <w:rPr>
          <w:color w:val="231F20"/>
          <w:sz w:val="20"/>
        </w:rPr>
        <w:t>несколько</w:t>
      </w:r>
      <w:r>
        <w:rPr>
          <w:color w:val="231F20"/>
          <w:spacing w:val="-2"/>
          <w:sz w:val="20"/>
        </w:rPr>
        <w:t> </w:t>
      </w:r>
      <w:r>
        <w:rPr>
          <w:color w:val="231F20"/>
          <w:sz w:val="20"/>
        </w:rPr>
        <w:t>разных</w:t>
      </w:r>
      <w:r>
        <w:rPr>
          <w:color w:val="231F20"/>
          <w:spacing w:val="-2"/>
          <w:sz w:val="20"/>
        </w:rPr>
        <w:t> </w:t>
      </w:r>
      <w:r>
        <w:rPr>
          <w:color w:val="231F20"/>
          <w:sz w:val="20"/>
        </w:rPr>
        <w:t>книг</w:t>
      </w:r>
      <w:r>
        <w:rPr>
          <w:color w:val="231F20"/>
          <w:spacing w:val="-2"/>
          <w:sz w:val="20"/>
        </w:rPr>
        <w:t> </w:t>
      </w:r>
      <w:r>
        <w:rPr>
          <w:color w:val="231F20"/>
          <w:sz w:val="20"/>
        </w:rPr>
        <w:t>(обычно</w:t>
      </w:r>
      <w:r>
        <w:rPr>
          <w:color w:val="231F20"/>
          <w:spacing w:val="-2"/>
          <w:sz w:val="20"/>
        </w:rPr>
        <w:t> </w:t>
      </w:r>
      <w:r>
        <w:rPr>
          <w:color w:val="231F20"/>
          <w:sz w:val="20"/>
        </w:rPr>
        <w:t>3).</w:t>
      </w:r>
      <w:r>
        <w:rPr>
          <w:color w:val="231F20"/>
          <w:spacing w:val="-2"/>
          <w:sz w:val="20"/>
        </w:rPr>
        <w:t> </w:t>
      </w:r>
      <w:r>
        <w:rPr>
          <w:color w:val="231F20"/>
          <w:sz w:val="20"/>
        </w:rPr>
        <w:t>Важно</w:t>
      </w:r>
      <w:r>
        <w:rPr>
          <w:color w:val="231F20"/>
          <w:spacing w:val="-2"/>
          <w:sz w:val="20"/>
        </w:rPr>
        <w:t> </w:t>
      </w:r>
      <w:r>
        <w:rPr>
          <w:color w:val="231F20"/>
          <w:sz w:val="20"/>
        </w:rPr>
        <w:t>сделать</w:t>
      </w:r>
      <w:r>
        <w:rPr>
          <w:color w:val="231F20"/>
          <w:spacing w:val="-2"/>
          <w:sz w:val="20"/>
        </w:rPr>
        <w:t> </w:t>
      </w:r>
      <w:r>
        <w:rPr>
          <w:color w:val="231F20"/>
          <w:sz w:val="20"/>
        </w:rPr>
        <w:t>так,</w:t>
      </w:r>
      <w:r>
        <w:rPr>
          <w:color w:val="231F20"/>
          <w:spacing w:val="-2"/>
          <w:sz w:val="20"/>
        </w:rPr>
        <w:t> </w:t>
      </w:r>
      <w:r>
        <w:rPr>
          <w:color w:val="231F20"/>
          <w:sz w:val="20"/>
        </w:rPr>
        <w:t>чтобы это</w:t>
      </w:r>
      <w:r>
        <w:rPr>
          <w:color w:val="231F20"/>
          <w:spacing w:val="-7"/>
          <w:sz w:val="20"/>
        </w:rPr>
        <w:t> </w:t>
      </w:r>
      <w:r>
        <w:rPr>
          <w:color w:val="231F20"/>
          <w:sz w:val="20"/>
        </w:rPr>
        <w:t>были</w:t>
      </w:r>
      <w:r>
        <w:rPr>
          <w:color w:val="231F20"/>
          <w:spacing w:val="-7"/>
          <w:sz w:val="20"/>
        </w:rPr>
        <w:t> </w:t>
      </w:r>
      <w:r>
        <w:rPr>
          <w:color w:val="231F20"/>
          <w:sz w:val="20"/>
        </w:rPr>
        <w:t>разные</w:t>
      </w:r>
      <w:r>
        <w:rPr>
          <w:color w:val="231F20"/>
          <w:spacing w:val="-7"/>
          <w:sz w:val="20"/>
        </w:rPr>
        <w:t> </w:t>
      </w:r>
      <w:r>
        <w:rPr>
          <w:color w:val="231F20"/>
          <w:sz w:val="20"/>
        </w:rPr>
        <w:t>«Книги»,</w:t>
      </w:r>
      <w:r>
        <w:rPr>
          <w:color w:val="231F20"/>
          <w:spacing w:val="-7"/>
          <w:sz w:val="20"/>
        </w:rPr>
        <w:t> </w:t>
      </w:r>
      <w:r>
        <w:rPr>
          <w:color w:val="231F20"/>
          <w:sz w:val="20"/>
        </w:rPr>
        <w:t>и</w:t>
      </w:r>
      <w:r>
        <w:rPr>
          <w:color w:val="231F20"/>
          <w:spacing w:val="-7"/>
          <w:sz w:val="20"/>
        </w:rPr>
        <w:t> </w:t>
      </w:r>
      <w:r>
        <w:rPr>
          <w:color w:val="231F20"/>
          <w:sz w:val="20"/>
        </w:rPr>
        <w:t>при</w:t>
      </w:r>
      <w:r>
        <w:rPr>
          <w:color w:val="231F20"/>
          <w:spacing w:val="-7"/>
          <w:sz w:val="20"/>
        </w:rPr>
        <w:t> </w:t>
      </w:r>
      <w:r>
        <w:rPr>
          <w:color w:val="231F20"/>
          <w:sz w:val="20"/>
        </w:rPr>
        <w:t>этом</w:t>
      </w:r>
      <w:r>
        <w:rPr>
          <w:color w:val="231F20"/>
          <w:spacing w:val="-7"/>
          <w:sz w:val="20"/>
        </w:rPr>
        <w:t> </w:t>
      </w:r>
      <w:r>
        <w:rPr>
          <w:color w:val="231F20"/>
          <w:sz w:val="20"/>
        </w:rPr>
        <w:t>чтобы</w:t>
      </w:r>
      <w:r>
        <w:rPr>
          <w:color w:val="231F20"/>
          <w:spacing w:val="-7"/>
          <w:sz w:val="20"/>
        </w:rPr>
        <w:t> </w:t>
      </w:r>
      <w:r>
        <w:rPr>
          <w:color w:val="231F20"/>
          <w:sz w:val="20"/>
        </w:rPr>
        <w:t>количество</w:t>
      </w:r>
      <w:r>
        <w:rPr>
          <w:color w:val="231F20"/>
          <w:spacing w:val="-7"/>
          <w:sz w:val="20"/>
        </w:rPr>
        <w:t> </w:t>
      </w:r>
      <w:r>
        <w:rPr>
          <w:color w:val="231F20"/>
          <w:sz w:val="20"/>
        </w:rPr>
        <w:t>человек</w:t>
      </w:r>
      <w:r>
        <w:rPr>
          <w:color w:val="231F20"/>
          <w:spacing w:val="-7"/>
          <w:sz w:val="20"/>
        </w:rPr>
        <w:t> </w:t>
      </w:r>
      <w:r>
        <w:rPr>
          <w:color w:val="231F20"/>
          <w:sz w:val="20"/>
        </w:rPr>
        <w:t>в</w:t>
      </w:r>
      <w:r>
        <w:rPr>
          <w:color w:val="231F20"/>
          <w:spacing w:val="-7"/>
          <w:sz w:val="20"/>
        </w:rPr>
        <w:t> </w:t>
      </w:r>
      <w:r>
        <w:rPr>
          <w:color w:val="231F20"/>
          <w:sz w:val="20"/>
        </w:rPr>
        <w:t>группе</w:t>
      </w:r>
      <w:r>
        <w:rPr>
          <w:color w:val="231F20"/>
          <w:spacing w:val="-7"/>
          <w:sz w:val="20"/>
        </w:rPr>
        <w:t> </w:t>
      </w:r>
      <w:r>
        <w:rPr>
          <w:color w:val="231F20"/>
          <w:sz w:val="20"/>
        </w:rPr>
        <w:t>было</w:t>
      </w:r>
      <w:r>
        <w:rPr>
          <w:color w:val="231F20"/>
          <w:spacing w:val="-7"/>
          <w:sz w:val="20"/>
        </w:rPr>
        <w:t> </w:t>
      </w:r>
      <w:r>
        <w:rPr>
          <w:color w:val="231F20"/>
          <w:sz w:val="20"/>
        </w:rPr>
        <w:t>от 3</w:t>
      </w:r>
      <w:r>
        <w:rPr>
          <w:color w:val="231F20"/>
          <w:spacing w:val="-5"/>
          <w:sz w:val="20"/>
        </w:rPr>
        <w:t> </w:t>
      </w:r>
      <w:r>
        <w:rPr>
          <w:color w:val="231F20"/>
          <w:sz w:val="20"/>
        </w:rPr>
        <w:t>до</w:t>
      </w:r>
      <w:r>
        <w:rPr>
          <w:color w:val="231F20"/>
          <w:spacing w:val="-5"/>
          <w:sz w:val="20"/>
        </w:rPr>
        <w:t> </w:t>
      </w:r>
      <w:r>
        <w:rPr>
          <w:color w:val="231F20"/>
          <w:sz w:val="20"/>
        </w:rPr>
        <w:t>5.</w:t>
      </w:r>
      <w:r>
        <w:rPr>
          <w:color w:val="231F20"/>
          <w:spacing w:val="-5"/>
          <w:sz w:val="20"/>
        </w:rPr>
        <w:t> </w:t>
      </w:r>
      <w:r>
        <w:rPr>
          <w:color w:val="231F20"/>
          <w:sz w:val="20"/>
        </w:rPr>
        <w:t>Поэтому</w:t>
      </w:r>
      <w:r>
        <w:rPr>
          <w:color w:val="231F20"/>
          <w:spacing w:val="-5"/>
          <w:sz w:val="20"/>
        </w:rPr>
        <w:t> </w:t>
      </w:r>
      <w:r>
        <w:rPr>
          <w:color w:val="231F20"/>
          <w:sz w:val="20"/>
        </w:rPr>
        <w:t>можно</w:t>
      </w:r>
      <w:r>
        <w:rPr>
          <w:color w:val="231F20"/>
          <w:spacing w:val="-5"/>
          <w:sz w:val="20"/>
        </w:rPr>
        <w:t> </w:t>
      </w:r>
      <w:r>
        <w:rPr>
          <w:color w:val="231F20"/>
          <w:sz w:val="20"/>
        </w:rPr>
        <w:t>«читать»</w:t>
      </w:r>
      <w:r>
        <w:rPr>
          <w:color w:val="231F20"/>
          <w:spacing w:val="-5"/>
          <w:sz w:val="20"/>
        </w:rPr>
        <w:t> </w:t>
      </w:r>
      <w:r>
        <w:rPr>
          <w:color w:val="231F20"/>
          <w:sz w:val="20"/>
        </w:rPr>
        <w:t>«Книги»</w:t>
      </w:r>
      <w:r>
        <w:rPr>
          <w:color w:val="231F20"/>
          <w:spacing w:val="-5"/>
          <w:sz w:val="20"/>
        </w:rPr>
        <w:t> </w:t>
      </w:r>
      <w:r>
        <w:rPr>
          <w:color w:val="231F20"/>
          <w:sz w:val="20"/>
        </w:rPr>
        <w:t>вслепую</w:t>
      </w:r>
      <w:r>
        <w:rPr>
          <w:color w:val="231F20"/>
          <w:spacing w:val="-5"/>
          <w:sz w:val="20"/>
        </w:rPr>
        <w:t> </w:t>
      </w:r>
      <w:r>
        <w:rPr>
          <w:color w:val="231F20"/>
          <w:sz w:val="20"/>
        </w:rPr>
        <w:t>–</w:t>
      </w:r>
      <w:r>
        <w:rPr>
          <w:color w:val="231F20"/>
          <w:spacing w:val="-5"/>
          <w:sz w:val="20"/>
        </w:rPr>
        <w:t> </w:t>
      </w:r>
      <w:r>
        <w:rPr>
          <w:color w:val="231F20"/>
          <w:sz w:val="20"/>
        </w:rPr>
        <w:t>какая</w:t>
      </w:r>
      <w:r>
        <w:rPr>
          <w:color w:val="231F20"/>
          <w:spacing w:val="-5"/>
          <w:sz w:val="20"/>
        </w:rPr>
        <w:t> </w:t>
      </w:r>
      <w:r>
        <w:rPr>
          <w:color w:val="231F20"/>
          <w:sz w:val="20"/>
        </w:rPr>
        <w:t>именно</w:t>
      </w:r>
      <w:r>
        <w:rPr>
          <w:color w:val="231F20"/>
          <w:spacing w:val="-5"/>
          <w:sz w:val="20"/>
        </w:rPr>
        <w:t> </w:t>
      </w:r>
      <w:r>
        <w:rPr>
          <w:color w:val="231F20"/>
          <w:sz w:val="20"/>
        </w:rPr>
        <w:t>«Книга»</w:t>
      </w:r>
      <w:r>
        <w:rPr>
          <w:color w:val="231F20"/>
          <w:spacing w:val="-5"/>
          <w:sz w:val="20"/>
        </w:rPr>
        <w:t> </w:t>
      </w:r>
      <w:r>
        <w:rPr>
          <w:color w:val="231F20"/>
          <w:sz w:val="20"/>
        </w:rPr>
        <w:t>перед </w:t>
      </w:r>
      <w:r>
        <w:rPr>
          <w:color w:val="231F20"/>
          <w:spacing w:val="-2"/>
          <w:sz w:val="20"/>
        </w:rPr>
        <w:t>ним</w:t>
      </w:r>
      <w:r>
        <w:rPr>
          <w:color w:val="231F20"/>
          <w:spacing w:val="-8"/>
          <w:sz w:val="20"/>
        </w:rPr>
        <w:t> </w:t>
      </w:r>
      <w:r>
        <w:rPr>
          <w:color w:val="231F20"/>
          <w:spacing w:val="-2"/>
          <w:sz w:val="20"/>
        </w:rPr>
        <w:t>«Читатели»</w:t>
      </w:r>
      <w:r>
        <w:rPr>
          <w:color w:val="231F20"/>
          <w:spacing w:val="-8"/>
          <w:sz w:val="20"/>
        </w:rPr>
        <w:t> </w:t>
      </w:r>
      <w:r>
        <w:rPr>
          <w:color w:val="231F20"/>
          <w:spacing w:val="-2"/>
          <w:sz w:val="20"/>
        </w:rPr>
        <w:t>узнают</w:t>
      </w:r>
      <w:r>
        <w:rPr>
          <w:color w:val="231F20"/>
          <w:spacing w:val="-8"/>
          <w:sz w:val="20"/>
        </w:rPr>
        <w:t> </w:t>
      </w:r>
      <w:r>
        <w:rPr>
          <w:color w:val="231F20"/>
          <w:spacing w:val="-2"/>
          <w:sz w:val="20"/>
        </w:rPr>
        <w:t>уже</w:t>
      </w:r>
      <w:r>
        <w:rPr>
          <w:color w:val="231F20"/>
          <w:spacing w:val="-8"/>
          <w:sz w:val="20"/>
        </w:rPr>
        <w:t> </w:t>
      </w:r>
      <w:r>
        <w:rPr>
          <w:color w:val="231F20"/>
          <w:spacing w:val="-2"/>
          <w:sz w:val="20"/>
        </w:rPr>
        <w:t>в</w:t>
      </w:r>
      <w:r>
        <w:rPr>
          <w:color w:val="231F20"/>
          <w:spacing w:val="-8"/>
          <w:sz w:val="20"/>
        </w:rPr>
        <w:t> </w:t>
      </w:r>
      <w:r>
        <w:rPr>
          <w:color w:val="231F20"/>
          <w:spacing w:val="-2"/>
          <w:sz w:val="20"/>
        </w:rPr>
        <w:t>рассказе.</w:t>
      </w:r>
      <w:r>
        <w:rPr>
          <w:color w:val="231F20"/>
          <w:spacing w:val="-8"/>
          <w:sz w:val="20"/>
        </w:rPr>
        <w:t> </w:t>
      </w:r>
      <w:r>
        <w:rPr>
          <w:color w:val="231F20"/>
          <w:spacing w:val="-2"/>
          <w:sz w:val="20"/>
        </w:rPr>
        <w:t>Организатор</w:t>
      </w:r>
      <w:r>
        <w:rPr>
          <w:color w:val="231F20"/>
          <w:spacing w:val="-8"/>
          <w:sz w:val="20"/>
        </w:rPr>
        <w:t> </w:t>
      </w:r>
      <w:r>
        <w:rPr>
          <w:color w:val="231F20"/>
          <w:spacing w:val="-2"/>
          <w:sz w:val="20"/>
        </w:rPr>
        <w:t>или</w:t>
      </w:r>
      <w:r>
        <w:rPr>
          <w:color w:val="231F20"/>
          <w:spacing w:val="-8"/>
          <w:sz w:val="20"/>
        </w:rPr>
        <w:t> </w:t>
      </w:r>
      <w:r>
        <w:rPr>
          <w:color w:val="231F20"/>
          <w:spacing w:val="-2"/>
          <w:sz w:val="20"/>
        </w:rPr>
        <w:t>волонтер</w:t>
      </w:r>
      <w:r>
        <w:rPr>
          <w:color w:val="231F20"/>
          <w:spacing w:val="-8"/>
          <w:sz w:val="20"/>
        </w:rPr>
        <w:t> </w:t>
      </w:r>
      <w:r>
        <w:rPr>
          <w:color w:val="231F20"/>
          <w:spacing w:val="-2"/>
          <w:sz w:val="20"/>
        </w:rPr>
        <w:t>распределяет</w:t>
      </w:r>
      <w:r>
        <w:rPr>
          <w:color w:val="231F20"/>
          <w:spacing w:val="-8"/>
          <w:sz w:val="20"/>
        </w:rPr>
        <w:t> </w:t>
      </w:r>
      <w:r>
        <w:rPr>
          <w:color w:val="231F20"/>
          <w:spacing w:val="-2"/>
          <w:sz w:val="20"/>
        </w:rPr>
        <w:t>по </w:t>
      </w:r>
      <w:r>
        <w:rPr>
          <w:color w:val="231F20"/>
          <w:sz w:val="20"/>
        </w:rPr>
        <w:t>группам</w:t>
      </w:r>
      <w:r>
        <w:rPr>
          <w:color w:val="231F20"/>
          <w:spacing w:val="-2"/>
          <w:sz w:val="20"/>
        </w:rPr>
        <w:t> </w:t>
      </w:r>
      <w:r>
        <w:rPr>
          <w:color w:val="231F20"/>
          <w:sz w:val="20"/>
        </w:rPr>
        <w:t>случайным</w:t>
      </w:r>
      <w:r>
        <w:rPr>
          <w:color w:val="231F20"/>
          <w:spacing w:val="-2"/>
          <w:sz w:val="20"/>
        </w:rPr>
        <w:t> </w:t>
      </w:r>
      <w:r>
        <w:rPr>
          <w:color w:val="231F20"/>
          <w:sz w:val="20"/>
        </w:rPr>
        <w:t>образом,</w:t>
      </w:r>
      <w:r>
        <w:rPr>
          <w:color w:val="231F20"/>
          <w:spacing w:val="-2"/>
          <w:sz w:val="20"/>
        </w:rPr>
        <w:t> </w:t>
      </w:r>
      <w:r>
        <w:rPr>
          <w:color w:val="231F20"/>
          <w:sz w:val="20"/>
        </w:rPr>
        <w:t>и</w:t>
      </w:r>
      <w:r>
        <w:rPr>
          <w:color w:val="231F20"/>
          <w:spacing w:val="-2"/>
          <w:sz w:val="20"/>
        </w:rPr>
        <w:t> </w:t>
      </w:r>
      <w:r>
        <w:rPr>
          <w:color w:val="231F20"/>
          <w:sz w:val="20"/>
        </w:rPr>
        <w:t>далее</w:t>
      </w:r>
      <w:r>
        <w:rPr>
          <w:color w:val="231F20"/>
          <w:spacing w:val="-2"/>
          <w:sz w:val="20"/>
        </w:rPr>
        <w:t> </w:t>
      </w:r>
      <w:r>
        <w:rPr>
          <w:color w:val="231F20"/>
          <w:sz w:val="20"/>
        </w:rPr>
        <w:t>–</w:t>
      </w:r>
      <w:r>
        <w:rPr>
          <w:color w:val="231F20"/>
          <w:spacing w:val="-2"/>
          <w:sz w:val="20"/>
        </w:rPr>
        <w:t> </w:t>
      </w:r>
      <w:r>
        <w:rPr>
          <w:color w:val="231F20"/>
          <w:sz w:val="20"/>
        </w:rPr>
        <w:t>просто</w:t>
      </w:r>
      <w:r>
        <w:rPr>
          <w:color w:val="231F20"/>
          <w:spacing w:val="-2"/>
          <w:sz w:val="20"/>
        </w:rPr>
        <w:t> </w:t>
      </w:r>
      <w:r>
        <w:rPr>
          <w:color w:val="231F20"/>
          <w:sz w:val="20"/>
        </w:rPr>
        <w:t>меняет</w:t>
      </w:r>
      <w:r>
        <w:rPr>
          <w:color w:val="231F20"/>
          <w:spacing w:val="-2"/>
          <w:sz w:val="20"/>
        </w:rPr>
        <w:t> </w:t>
      </w:r>
      <w:r>
        <w:rPr>
          <w:color w:val="231F20"/>
          <w:sz w:val="20"/>
        </w:rPr>
        <w:t>«Книги»,</w:t>
      </w:r>
      <w:r>
        <w:rPr>
          <w:color w:val="231F20"/>
          <w:spacing w:val="-2"/>
          <w:sz w:val="20"/>
        </w:rPr>
        <w:t> </w:t>
      </w:r>
      <w:r>
        <w:rPr>
          <w:color w:val="231F20"/>
          <w:sz w:val="20"/>
        </w:rPr>
        <w:t>группы</w:t>
      </w:r>
      <w:r>
        <w:rPr>
          <w:color w:val="231F20"/>
          <w:spacing w:val="-2"/>
          <w:sz w:val="20"/>
        </w:rPr>
        <w:t> </w:t>
      </w:r>
      <w:r>
        <w:rPr>
          <w:color w:val="231F20"/>
          <w:sz w:val="20"/>
        </w:rPr>
        <w:t>остаются те</w:t>
      </w:r>
      <w:r>
        <w:rPr>
          <w:color w:val="231F20"/>
          <w:spacing w:val="-5"/>
          <w:sz w:val="20"/>
        </w:rPr>
        <w:t> </w:t>
      </w:r>
      <w:r>
        <w:rPr>
          <w:color w:val="231F20"/>
          <w:sz w:val="20"/>
        </w:rPr>
        <w:t>же.</w:t>
      </w:r>
      <w:r>
        <w:rPr>
          <w:color w:val="231F20"/>
          <w:spacing w:val="-5"/>
          <w:sz w:val="20"/>
        </w:rPr>
        <w:t> </w:t>
      </w:r>
      <w:r>
        <w:rPr>
          <w:color w:val="231F20"/>
          <w:sz w:val="20"/>
        </w:rPr>
        <w:t>Это</w:t>
      </w:r>
      <w:r>
        <w:rPr>
          <w:color w:val="231F20"/>
          <w:spacing w:val="-5"/>
          <w:sz w:val="20"/>
        </w:rPr>
        <w:t> </w:t>
      </w:r>
      <w:r>
        <w:rPr>
          <w:color w:val="231F20"/>
          <w:sz w:val="20"/>
        </w:rPr>
        <w:t>самый</w:t>
      </w:r>
      <w:r>
        <w:rPr>
          <w:color w:val="231F20"/>
          <w:spacing w:val="-5"/>
          <w:sz w:val="20"/>
        </w:rPr>
        <w:t> </w:t>
      </w:r>
      <w:r>
        <w:rPr>
          <w:color w:val="231F20"/>
          <w:sz w:val="20"/>
        </w:rPr>
        <w:t>простой</w:t>
      </w:r>
      <w:r>
        <w:rPr>
          <w:color w:val="231F20"/>
          <w:spacing w:val="-5"/>
          <w:sz w:val="20"/>
        </w:rPr>
        <w:t> </w:t>
      </w:r>
      <w:r>
        <w:rPr>
          <w:color w:val="231F20"/>
          <w:sz w:val="20"/>
        </w:rPr>
        <w:t>с</w:t>
      </w:r>
      <w:r>
        <w:rPr>
          <w:color w:val="231F20"/>
          <w:spacing w:val="-5"/>
          <w:sz w:val="20"/>
        </w:rPr>
        <w:t> </w:t>
      </w:r>
      <w:r>
        <w:rPr>
          <w:color w:val="231F20"/>
          <w:sz w:val="20"/>
        </w:rPr>
        <w:t>точки</w:t>
      </w:r>
      <w:r>
        <w:rPr>
          <w:color w:val="231F20"/>
          <w:spacing w:val="-5"/>
          <w:sz w:val="20"/>
        </w:rPr>
        <w:t> </w:t>
      </w:r>
      <w:r>
        <w:rPr>
          <w:color w:val="231F20"/>
          <w:sz w:val="20"/>
        </w:rPr>
        <w:t>зрения</w:t>
      </w:r>
      <w:r>
        <w:rPr>
          <w:color w:val="231F20"/>
          <w:spacing w:val="-5"/>
          <w:sz w:val="20"/>
        </w:rPr>
        <w:t> </w:t>
      </w:r>
      <w:r>
        <w:rPr>
          <w:color w:val="231F20"/>
          <w:sz w:val="20"/>
        </w:rPr>
        <w:t>организации</w:t>
      </w:r>
      <w:r>
        <w:rPr>
          <w:color w:val="231F20"/>
          <w:spacing w:val="-5"/>
          <w:sz w:val="20"/>
        </w:rPr>
        <w:t> </w:t>
      </w:r>
      <w:r>
        <w:rPr>
          <w:color w:val="231F20"/>
          <w:sz w:val="20"/>
        </w:rPr>
        <w:t>путь.</w:t>
      </w:r>
      <w:r>
        <w:rPr>
          <w:color w:val="231F20"/>
          <w:spacing w:val="-5"/>
          <w:sz w:val="20"/>
        </w:rPr>
        <w:t> </w:t>
      </w:r>
      <w:r>
        <w:rPr>
          <w:color w:val="231F20"/>
          <w:sz w:val="20"/>
        </w:rPr>
        <w:t>Если</w:t>
      </w:r>
      <w:r>
        <w:rPr>
          <w:color w:val="231F20"/>
          <w:spacing w:val="-5"/>
          <w:sz w:val="20"/>
        </w:rPr>
        <w:t> </w:t>
      </w:r>
      <w:r>
        <w:rPr>
          <w:color w:val="231F20"/>
          <w:sz w:val="20"/>
        </w:rPr>
        <w:t>хочется</w:t>
      </w:r>
      <w:r>
        <w:rPr>
          <w:color w:val="231F20"/>
          <w:spacing w:val="-5"/>
          <w:sz w:val="20"/>
        </w:rPr>
        <w:t> </w:t>
      </w:r>
      <w:r>
        <w:rPr>
          <w:color w:val="231F20"/>
          <w:sz w:val="20"/>
        </w:rPr>
        <w:t>сделать возможность выбора «Книг» по заглавиям, это сложнее технически, так как </w:t>
      </w:r>
      <w:r>
        <w:rPr>
          <w:color w:val="231F20"/>
          <w:spacing w:val="-2"/>
          <w:sz w:val="20"/>
        </w:rPr>
        <w:t>необходимо</w:t>
      </w:r>
      <w:r>
        <w:rPr>
          <w:color w:val="231F20"/>
          <w:spacing w:val="-4"/>
          <w:sz w:val="20"/>
        </w:rPr>
        <w:t> </w:t>
      </w:r>
      <w:r>
        <w:rPr>
          <w:color w:val="231F20"/>
          <w:spacing w:val="-2"/>
          <w:sz w:val="20"/>
        </w:rPr>
        <w:t>регулировать</w:t>
      </w:r>
      <w:r>
        <w:rPr>
          <w:color w:val="231F20"/>
          <w:spacing w:val="-4"/>
          <w:sz w:val="20"/>
        </w:rPr>
        <w:t> </w:t>
      </w:r>
      <w:r>
        <w:rPr>
          <w:color w:val="231F20"/>
          <w:spacing w:val="-2"/>
          <w:sz w:val="20"/>
        </w:rPr>
        <w:t>количество</w:t>
      </w:r>
      <w:r>
        <w:rPr>
          <w:color w:val="231F20"/>
          <w:spacing w:val="-4"/>
          <w:sz w:val="20"/>
        </w:rPr>
        <w:t> </w:t>
      </w:r>
      <w:r>
        <w:rPr>
          <w:color w:val="231F20"/>
          <w:spacing w:val="-2"/>
          <w:sz w:val="20"/>
        </w:rPr>
        <w:t>человек,</w:t>
      </w:r>
      <w:r>
        <w:rPr>
          <w:color w:val="231F20"/>
          <w:spacing w:val="-4"/>
          <w:sz w:val="20"/>
        </w:rPr>
        <w:t> </w:t>
      </w:r>
      <w:r>
        <w:rPr>
          <w:color w:val="231F20"/>
          <w:spacing w:val="-2"/>
          <w:sz w:val="20"/>
        </w:rPr>
        <w:t>и</w:t>
      </w:r>
      <w:r>
        <w:rPr>
          <w:color w:val="231F20"/>
          <w:spacing w:val="-4"/>
          <w:sz w:val="20"/>
        </w:rPr>
        <w:t> </w:t>
      </w:r>
      <w:r>
        <w:rPr>
          <w:color w:val="231F20"/>
          <w:spacing w:val="-2"/>
          <w:sz w:val="20"/>
        </w:rPr>
        <w:t>нужно,</w:t>
      </w:r>
      <w:r>
        <w:rPr>
          <w:color w:val="231F20"/>
          <w:spacing w:val="-4"/>
          <w:sz w:val="20"/>
        </w:rPr>
        <w:t> </w:t>
      </w:r>
      <w:r>
        <w:rPr>
          <w:color w:val="231F20"/>
          <w:spacing w:val="-2"/>
          <w:sz w:val="20"/>
        </w:rPr>
        <w:t>чтобы</w:t>
      </w:r>
      <w:r>
        <w:rPr>
          <w:color w:val="231F20"/>
          <w:spacing w:val="-4"/>
          <w:sz w:val="20"/>
        </w:rPr>
        <w:t> </w:t>
      </w:r>
      <w:r>
        <w:rPr>
          <w:color w:val="231F20"/>
          <w:spacing w:val="-2"/>
          <w:sz w:val="20"/>
        </w:rPr>
        <w:t>ни</w:t>
      </w:r>
      <w:r>
        <w:rPr>
          <w:color w:val="231F20"/>
          <w:spacing w:val="-4"/>
          <w:sz w:val="20"/>
        </w:rPr>
        <w:t> </w:t>
      </w:r>
      <w:r>
        <w:rPr>
          <w:color w:val="231F20"/>
          <w:spacing w:val="-2"/>
          <w:sz w:val="20"/>
        </w:rPr>
        <w:t>одна</w:t>
      </w:r>
      <w:r>
        <w:rPr>
          <w:color w:val="231F20"/>
          <w:spacing w:val="-4"/>
          <w:sz w:val="20"/>
        </w:rPr>
        <w:t> </w:t>
      </w:r>
      <w:r>
        <w:rPr>
          <w:color w:val="231F20"/>
          <w:spacing w:val="-2"/>
          <w:sz w:val="20"/>
        </w:rPr>
        <w:t>«Книга»</w:t>
      </w:r>
      <w:r>
        <w:rPr>
          <w:color w:val="231F20"/>
          <w:spacing w:val="-4"/>
          <w:sz w:val="20"/>
        </w:rPr>
        <w:t> </w:t>
      </w:r>
      <w:r>
        <w:rPr>
          <w:color w:val="231F20"/>
          <w:spacing w:val="-2"/>
          <w:sz w:val="20"/>
        </w:rPr>
        <w:t>не </w:t>
      </w:r>
      <w:r>
        <w:rPr>
          <w:color w:val="231F20"/>
          <w:sz w:val="20"/>
        </w:rPr>
        <w:t>осталась</w:t>
      </w:r>
      <w:r>
        <w:rPr>
          <w:color w:val="231F20"/>
          <w:spacing w:val="-11"/>
          <w:sz w:val="20"/>
        </w:rPr>
        <w:t> </w:t>
      </w:r>
      <w:r>
        <w:rPr>
          <w:color w:val="231F20"/>
          <w:sz w:val="20"/>
        </w:rPr>
        <w:t>без</w:t>
      </w:r>
      <w:r>
        <w:rPr>
          <w:color w:val="231F20"/>
          <w:spacing w:val="-10"/>
          <w:sz w:val="20"/>
        </w:rPr>
        <w:t> </w:t>
      </w:r>
      <w:r>
        <w:rPr>
          <w:color w:val="231F20"/>
          <w:sz w:val="20"/>
        </w:rPr>
        <w:t>группы</w:t>
      </w:r>
      <w:r>
        <w:rPr>
          <w:color w:val="231F20"/>
          <w:spacing w:val="-10"/>
          <w:sz w:val="20"/>
        </w:rPr>
        <w:t> </w:t>
      </w:r>
      <w:r>
        <w:rPr>
          <w:color w:val="231F20"/>
          <w:sz w:val="20"/>
        </w:rPr>
        <w:t>«Читателей».</w:t>
      </w:r>
      <w:r>
        <w:rPr>
          <w:color w:val="231F20"/>
          <w:spacing w:val="-10"/>
          <w:sz w:val="20"/>
        </w:rPr>
        <w:t> </w:t>
      </w:r>
      <w:r>
        <w:rPr>
          <w:color w:val="231F20"/>
          <w:sz w:val="20"/>
        </w:rPr>
        <w:t>О</w:t>
      </w:r>
      <w:r>
        <w:rPr>
          <w:color w:val="231F20"/>
          <w:spacing w:val="-11"/>
          <w:sz w:val="20"/>
        </w:rPr>
        <w:t> </w:t>
      </w:r>
      <w:r>
        <w:rPr>
          <w:color w:val="231F20"/>
          <w:sz w:val="20"/>
        </w:rPr>
        <w:t>том,</w:t>
      </w:r>
      <w:r>
        <w:rPr>
          <w:color w:val="231F20"/>
          <w:spacing w:val="-10"/>
          <w:sz w:val="20"/>
        </w:rPr>
        <w:t> </w:t>
      </w:r>
      <w:r>
        <w:rPr>
          <w:color w:val="231F20"/>
          <w:sz w:val="20"/>
        </w:rPr>
        <w:t>как</w:t>
      </w:r>
      <w:r>
        <w:rPr>
          <w:color w:val="231F20"/>
          <w:spacing w:val="-10"/>
          <w:sz w:val="20"/>
        </w:rPr>
        <w:t> </w:t>
      </w:r>
      <w:r>
        <w:rPr>
          <w:color w:val="231F20"/>
          <w:sz w:val="20"/>
        </w:rPr>
        <w:t>это</w:t>
      </w:r>
      <w:r>
        <w:rPr>
          <w:color w:val="231F20"/>
          <w:spacing w:val="-10"/>
          <w:sz w:val="20"/>
        </w:rPr>
        <w:t> </w:t>
      </w:r>
      <w:r>
        <w:rPr>
          <w:color w:val="231F20"/>
          <w:sz w:val="20"/>
        </w:rPr>
        <w:t>можно</w:t>
      </w:r>
      <w:r>
        <w:rPr>
          <w:color w:val="231F20"/>
          <w:spacing w:val="-10"/>
          <w:sz w:val="20"/>
        </w:rPr>
        <w:t> </w:t>
      </w:r>
      <w:r>
        <w:rPr>
          <w:color w:val="231F20"/>
          <w:sz w:val="20"/>
        </w:rPr>
        <w:t>решить,</w:t>
      </w:r>
      <w:r>
        <w:rPr>
          <w:color w:val="231F20"/>
          <w:spacing w:val="-10"/>
          <w:sz w:val="20"/>
        </w:rPr>
        <w:t> </w:t>
      </w:r>
      <w:r>
        <w:rPr>
          <w:color w:val="231F20"/>
          <w:sz w:val="20"/>
        </w:rPr>
        <w:t>мы</w:t>
      </w:r>
      <w:r>
        <w:rPr>
          <w:color w:val="231F20"/>
          <w:spacing w:val="-10"/>
          <w:sz w:val="20"/>
        </w:rPr>
        <w:t> </w:t>
      </w:r>
      <w:r>
        <w:rPr>
          <w:color w:val="231F20"/>
          <w:sz w:val="20"/>
        </w:rPr>
        <w:t>писали</w:t>
      </w:r>
      <w:r>
        <w:rPr>
          <w:color w:val="231F20"/>
          <w:spacing w:val="-11"/>
          <w:sz w:val="20"/>
        </w:rPr>
        <w:t> </w:t>
      </w:r>
      <w:r>
        <w:rPr>
          <w:color w:val="231F20"/>
          <w:sz w:val="20"/>
        </w:rPr>
        <w:t>выше.</w:t>
      </w:r>
    </w:p>
    <w:p>
      <w:pPr>
        <w:pStyle w:val="ListParagraph"/>
        <w:numPr>
          <w:ilvl w:val="0"/>
          <w:numId w:val="302"/>
        </w:numPr>
        <w:tabs>
          <w:tab w:pos="425" w:val="left" w:leader="none"/>
        </w:tabs>
        <w:spacing w:line="240" w:lineRule="auto" w:before="9" w:after="0"/>
        <w:ind w:left="425" w:right="139" w:hanging="284"/>
        <w:jc w:val="both"/>
        <w:rPr>
          <w:sz w:val="20"/>
        </w:rPr>
      </w:pPr>
      <w:r>
        <w:rPr>
          <w:color w:val="231F20"/>
          <w:sz w:val="20"/>
        </w:rPr>
        <w:t>Завершение. Вскрытие «корешков» – представление «Книг». «Книги» могут удалиться</w:t>
      </w:r>
      <w:r>
        <w:rPr>
          <w:color w:val="231F20"/>
          <w:spacing w:val="59"/>
          <w:sz w:val="20"/>
        </w:rPr>
        <w:t> </w:t>
      </w:r>
      <w:r>
        <w:rPr>
          <w:color w:val="231F20"/>
          <w:sz w:val="20"/>
        </w:rPr>
        <w:t>на</w:t>
      </w:r>
      <w:r>
        <w:rPr>
          <w:color w:val="231F20"/>
          <w:spacing w:val="59"/>
          <w:sz w:val="20"/>
        </w:rPr>
        <w:t> </w:t>
      </w:r>
      <w:r>
        <w:rPr>
          <w:color w:val="231F20"/>
          <w:sz w:val="20"/>
        </w:rPr>
        <w:t>свой</w:t>
      </w:r>
      <w:r>
        <w:rPr>
          <w:color w:val="231F20"/>
          <w:spacing w:val="59"/>
          <w:sz w:val="20"/>
        </w:rPr>
        <w:t> </w:t>
      </w:r>
      <w:r>
        <w:rPr>
          <w:color w:val="231F20"/>
          <w:sz w:val="20"/>
        </w:rPr>
        <w:t>шеринг</w:t>
      </w:r>
      <w:r>
        <w:rPr>
          <w:color w:val="231F20"/>
          <w:spacing w:val="59"/>
          <w:sz w:val="20"/>
        </w:rPr>
        <w:t> </w:t>
      </w:r>
      <w:r>
        <w:rPr>
          <w:color w:val="231F20"/>
          <w:sz w:val="20"/>
        </w:rPr>
        <w:t>–</w:t>
      </w:r>
      <w:r>
        <w:rPr>
          <w:color w:val="231F20"/>
          <w:spacing w:val="59"/>
          <w:sz w:val="20"/>
        </w:rPr>
        <w:t> </w:t>
      </w:r>
      <w:r>
        <w:rPr>
          <w:color w:val="231F20"/>
          <w:sz w:val="20"/>
        </w:rPr>
        <w:t>обсуждение,</w:t>
      </w:r>
      <w:r>
        <w:rPr>
          <w:color w:val="231F20"/>
          <w:spacing w:val="59"/>
          <w:sz w:val="20"/>
        </w:rPr>
        <w:t> </w:t>
      </w:r>
      <w:r>
        <w:rPr>
          <w:color w:val="231F20"/>
          <w:sz w:val="20"/>
        </w:rPr>
        <w:t>когда</w:t>
      </w:r>
      <w:r>
        <w:rPr>
          <w:color w:val="231F20"/>
          <w:spacing w:val="59"/>
          <w:sz w:val="20"/>
        </w:rPr>
        <w:t> </w:t>
      </w:r>
      <w:r>
        <w:rPr>
          <w:color w:val="231F20"/>
          <w:sz w:val="20"/>
        </w:rPr>
        <w:t>«Книги»</w:t>
      </w:r>
      <w:r>
        <w:rPr>
          <w:color w:val="231F20"/>
          <w:spacing w:val="59"/>
          <w:sz w:val="20"/>
        </w:rPr>
        <w:t> </w:t>
      </w:r>
      <w:r>
        <w:rPr>
          <w:color w:val="231F20"/>
          <w:sz w:val="20"/>
        </w:rPr>
        <w:t>делятся</w:t>
      </w:r>
      <w:r>
        <w:rPr>
          <w:color w:val="231F20"/>
          <w:spacing w:val="59"/>
          <w:sz w:val="20"/>
        </w:rPr>
        <w:t> </w:t>
      </w:r>
      <w:r>
        <w:rPr>
          <w:color w:val="231F20"/>
          <w:sz w:val="20"/>
        </w:rPr>
        <w:t>эмоциями и впечатлениями. Участникам предлагается также обсудить опыт, высказать эмоции. Важно, чтобы все могли поделиться чувствами, так как иногда чувств у</w:t>
      </w:r>
    </w:p>
    <w:p>
      <w:pPr>
        <w:pStyle w:val="BodyText"/>
        <w:ind w:left="425" w:right="0" w:firstLine="0"/>
      </w:pPr>
      <w:r>
        <w:rPr>
          <w:color w:val="231F20"/>
        </w:rPr>
        <w:t>«Читателей»</w:t>
      </w:r>
      <w:r>
        <w:rPr>
          <w:color w:val="231F20"/>
          <w:spacing w:val="-9"/>
        </w:rPr>
        <w:t> </w:t>
      </w:r>
      <w:r>
        <w:rPr>
          <w:color w:val="231F20"/>
        </w:rPr>
        <w:t>бывает</w:t>
      </w:r>
      <w:r>
        <w:rPr>
          <w:color w:val="231F20"/>
          <w:spacing w:val="-6"/>
        </w:rPr>
        <w:t> </w:t>
      </w:r>
      <w:r>
        <w:rPr>
          <w:color w:val="231F20"/>
        </w:rPr>
        <w:t>очень</w:t>
      </w:r>
      <w:r>
        <w:rPr>
          <w:color w:val="231F20"/>
          <w:spacing w:val="-6"/>
        </w:rPr>
        <w:t> </w:t>
      </w:r>
      <w:r>
        <w:rPr>
          <w:color w:val="231F20"/>
          <w:spacing w:val="-2"/>
        </w:rPr>
        <w:t>много.</w:t>
      </w:r>
    </w:p>
    <w:p>
      <w:pPr>
        <w:spacing w:before="113"/>
        <w:ind w:left="425" w:right="0" w:firstLine="0"/>
        <w:jc w:val="both"/>
        <w:rPr>
          <w:i/>
          <w:sz w:val="20"/>
        </w:rPr>
      </w:pPr>
      <w:r>
        <w:rPr>
          <w:i/>
          <w:color w:val="231F20"/>
          <w:sz w:val="20"/>
        </w:rPr>
        <w:t>После</w:t>
      </w:r>
      <w:r>
        <w:rPr>
          <w:i/>
          <w:color w:val="231F20"/>
          <w:spacing w:val="-1"/>
          <w:sz w:val="20"/>
        </w:rPr>
        <w:t> </w:t>
      </w:r>
      <w:r>
        <w:rPr>
          <w:i/>
          <w:color w:val="231F20"/>
          <w:sz w:val="20"/>
        </w:rPr>
        <w:t>«Живой </w:t>
      </w:r>
      <w:r>
        <w:rPr>
          <w:i/>
          <w:color w:val="231F20"/>
          <w:spacing w:val="-2"/>
          <w:sz w:val="20"/>
        </w:rPr>
        <w:t>библиотеки»:</w:t>
      </w:r>
    </w:p>
    <w:p>
      <w:pPr>
        <w:pStyle w:val="ListParagraph"/>
        <w:numPr>
          <w:ilvl w:val="0"/>
          <w:numId w:val="303"/>
        </w:numPr>
        <w:tabs>
          <w:tab w:pos="425" w:val="left" w:leader="none"/>
        </w:tabs>
        <w:spacing w:line="240" w:lineRule="auto" w:before="0" w:after="0"/>
        <w:ind w:left="425" w:right="139" w:hanging="284"/>
        <w:jc w:val="both"/>
        <w:rPr>
          <w:sz w:val="20"/>
        </w:rPr>
      </w:pPr>
      <w:r>
        <w:rPr>
          <w:color w:val="231F20"/>
          <w:sz w:val="20"/>
        </w:rPr>
        <w:t>Разошлите</w:t>
      </w:r>
      <w:r>
        <w:rPr>
          <w:color w:val="231F20"/>
          <w:spacing w:val="-8"/>
          <w:sz w:val="20"/>
        </w:rPr>
        <w:t> </w:t>
      </w:r>
      <w:r>
        <w:rPr>
          <w:color w:val="231F20"/>
          <w:sz w:val="20"/>
        </w:rPr>
        <w:t>опросники</w:t>
      </w:r>
      <w:r>
        <w:rPr>
          <w:color w:val="231F20"/>
          <w:spacing w:val="-8"/>
          <w:sz w:val="20"/>
        </w:rPr>
        <w:t> </w:t>
      </w:r>
      <w:r>
        <w:rPr>
          <w:color w:val="231F20"/>
          <w:sz w:val="20"/>
        </w:rPr>
        <w:t>для</w:t>
      </w:r>
      <w:r>
        <w:rPr>
          <w:color w:val="231F20"/>
          <w:spacing w:val="-8"/>
          <w:sz w:val="20"/>
        </w:rPr>
        <w:t> </w:t>
      </w:r>
      <w:r>
        <w:rPr>
          <w:color w:val="231F20"/>
          <w:sz w:val="20"/>
        </w:rPr>
        <w:t>«Читателей»</w:t>
      </w:r>
      <w:r>
        <w:rPr>
          <w:color w:val="231F20"/>
          <w:spacing w:val="-8"/>
          <w:sz w:val="20"/>
        </w:rPr>
        <w:t> </w:t>
      </w:r>
      <w:r>
        <w:rPr>
          <w:color w:val="231F20"/>
          <w:sz w:val="20"/>
        </w:rPr>
        <w:t>и</w:t>
      </w:r>
      <w:r>
        <w:rPr>
          <w:color w:val="231F20"/>
          <w:spacing w:val="-8"/>
          <w:sz w:val="20"/>
        </w:rPr>
        <w:t> </w:t>
      </w:r>
      <w:r>
        <w:rPr>
          <w:color w:val="231F20"/>
          <w:sz w:val="20"/>
        </w:rPr>
        <w:t>«Книг»,</w:t>
      </w:r>
      <w:r>
        <w:rPr>
          <w:color w:val="231F20"/>
          <w:spacing w:val="-8"/>
          <w:sz w:val="20"/>
        </w:rPr>
        <w:t> </w:t>
      </w:r>
      <w:r>
        <w:rPr>
          <w:color w:val="231F20"/>
          <w:sz w:val="20"/>
        </w:rPr>
        <w:t>из</w:t>
      </w:r>
      <w:r>
        <w:rPr>
          <w:color w:val="231F20"/>
          <w:spacing w:val="-8"/>
          <w:sz w:val="20"/>
        </w:rPr>
        <w:t> </w:t>
      </w:r>
      <w:r>
        <w:rPr>
          <w:color w:val="231F20"/>
          <w:sz w:val="20"/>
        </w:rPr>
        <w:t>которых</w:t>
      </w:r>
      <w:r>
        <w:rPr>
          <w:color w:val="231F20"/>
          <w:spacing w:val="-8"/>
          <w:sz w:val="20"/>
        </w:rPr>
        <w:t> </w:t>
      </w:r>
      <w:r>
        <w:rPr>
          <w:color w:val="231F20"/>
          <w:sz w:val="20"/>
        </w:rPr>
        <w:t>вы</w:t>
      </w:r>
      <w:r>
        <w:rPr>
          <w:color w:val="231F20"/>
          <w:spacing w:val="-8"/>
          <w:sz w:val="20"/>
        </w:rPr>
        <w:t> </w:t>
      </w:r>
      <w:r>
        <w:rPr>
          <w:color w:val="231F20"/>
          <w:sz w:val="20"/>
        </w:rPr>
        <w:t>сможете</w:t>
      </w:r>
      <w:r>
        <w:rPr>
          <w:color w:val="231F20"/>
          <w:spacing w:val="-8"/>
          <w:sz w:val="20"/>
        </w:rPr>
        <w:t> </w:t>
      </w:r>
      <w:r>
        <w:rPr>
          <w:color w:val="231F20"/>
          <w:sz w:val="20"/>
        </w:rPr>
        <w:t>увидеть обратную</w:t>
      </w:r>
      <w:r>
        <w:rPr>
          <w:color w:val="231F20"/>
          <w:spacing w:val="-5"/>
          <w:sz w:val="20"/>
        </w:rPr>
        <w:t> </w:t>
      </w:r>
      <w:r>
        <w:rPr>
          <w:color w:val="231F20"/>
          <w:sz w:val="20"/>
        </w:rPr>
        <w:t>связь:</w:t>
      </w:r>
      <w:r>
        <w:rPr>
          <w:color w:val="231F20"/>
          <w:spacing w:val="-5"/>
          <w:sz w:val="20"/>
        </w:rPr>
        <w:t> </w:t>
      </w:r>
      <w:r>
        <w:rPr>
          <w:color w:val="231F20"/>
          <w:sz w:val="20"/>
        </w:rPr>
        <w:t>благодарности,</w:t>
      </w:r>
      <w:r>
        <w:rPr>
          <w:color w:val="231F20"/>
          <w:spacing w:val="-5"/>
          <w:sz w:val="20"/>
        </w:rPr>
        <w:t> </w:t>
      </w:r>
      <w:r>
        <w:rPr>
          <w:color w:val="231F20"/>
          <w:sz w:val="20"/>
        </w:rPr>
        <w:t>сильные</w:t>
      </w:r>
      <w:r>
        <w:rPr>
          <w:color w:val="231F20"/>
          <w:spacing w:val="-5"/>
          <w:sz w:val="20"/>
        </w:rPr>
        <w:t> </w:t>
      </w:r>
      <w:r>
        <w:rPr>
          <w:color w:val="231F20"/>
          <w:sz w:val="20"/>
        </w:rPr>
        <w:t>стороны</w:t>
      </w:r>
      <w:r>
        <w:rPr>
          <w:color w:val="231F20"/>
          <w:spacing w:val="-5"/>
          <w:sz w:val="20"/>
        </w:rPr>
        <w:t> </w:t>
      </w:r>
      <w:r>
        <w:rPr>
          <w:color w:val="231F20"/>
          <w:sz w:val="20"/>
        </w:rPr>
        <w:t>и</w:t>
      </w:r>
      <w:r>
        <w:rPr>
          <w:color w:val="231F20"/>
          <w:spacing w:val="-5"/>
          <w:sz w:val="20"/>
        </w:rPr>
        <w:t> </w:t>
      </w:r>
      <w:r>
        <w:rPr>
          <w:color w:val="231F20"/>
          <w:sz w:val="20"/>
        </w:rPr>
        <w:t>то,</w:t>
      </w:r>
      <w:r>
        <w:rPr>
          <w:color w:val="231F20"/>
          <w:spacing w:val="-5"/>
          <w:sz w:val="20"/>
        </w:rPr>
        <w:t> </w:t>
      </w:r>
      <w:r>
        <w:rPr>
          <w:color w:val="231F20"/>
          <w:sz w:val="20"/>
        </w:rPr>
        <w:t>на</w:t>
      </w:r>
      <w:r>
        <w:rPr>
          <w:color w:val="231F20"/>
          <w:spacing w:val="-5"/>
          <w:sz w:val="20"/>
        </w:rPr>
        <w:t> </w:t>
      </w:r>
      <w:r>
        <w:rPr>
          <w:color w:val="231F20"/>
          <w:sz w:val="20"/>
        </w:rPr>
        <w:t>что</w:t>
      </w:r>
      <w:r>
        <w:rPr>
          <w:color w:val="231F20"/>
          <w:spacing w:val="-5"/>
          <w:sz w:val="20"/>
        </w:rPr>
        <w:t> </w:t>
      </w:r>
      <w:r>
        <w:rPr>
          <w:color w:val="231F20"/>
          <w:sz w:val="20"/>
        </w:rPr>
        <w:t>обратить</w:t>
      </w:r>
      <w:r>
        <w:rPr>
          <w:color w:val="231F20"/>
          <w:spacing w:val="-5"/>
          <w:sz w:val="20"/>
        </w:rPr>
        <w:t> </w:t>
      </w:r>
      <w:r>
        <w:rPr>
          <w:color w:val="231F20"/>
          <w:sz w:val="20"/>
        </w:rPr>
        <w:t>внимание в следующих «Живых библиотеках», которые вы сделаете.</w:t>
      </w:r>
    </w:p>
    <w:p>
      <w:pPr>
        <w:pStyle w:val="ListParagraph"/>
        <w:numPr>
          <w:ilvl w:val="0"/>
          <w:numId w:val="303"/>
        </w:numPr>
        <w:tabs>
          <w:tab w:pos="425" w:val="left" w:leader="none"/>
        </w:tabs>
        <w:spacing w:line="240" w:lineRule="auto" w:before="0" w:after="0"/>
        <w:ind w:left="425" w:right="140" w:hanging="284"/>
        <w:jc w:val="both"/>
        <w:rPr>
          <w:sz w:val="20"/>
        </w:rPr>
      </w:pPr>
      <w:r>
        <w:rPr>
          <w:color w:val="231F20"/>
          <w:sz w:val="20"/>
        </w:rPr>
        <w:t>Возможно, стоит сделать сообщество «Книг», которых вы нашли по конкретной </w:t>
      </w:r>
      <w:r>
        <w:rPr>
          <w:color w:val="231F20"/>
          <w:spacing w:val="-2"/>
          <w:sz w:val="20"/>
        </w:rPr>
        <w:t>теме.</w:t>
      </w:r>
    </w:p>
    <w:p>
      <w:pPr>
        <w:pStyle w:val="ListParagraph"/>
        <w:numPr>
          <w:ilvl w:val="0"/>
          <w:numId w:val="303"/>
        </w:numPr>
        <w:tabs>
          <w:tab w:pos="424" w:val="left" w:leader="none"/>
        </w:tabs>
        <w:spacing w:line="224" w:lineRule="exact" w:before="0" w:after="0"/>
        <w:ind w:left="424" w:right="0" w:hanging="283"/>
        <w:jc w:val="both"/>
        <w:rPr>
          <w:sz w:val="20"/>
        </w:rPr>
      </w:pPr>
      <w:r>
        <w:rPr>
          <w:color w:val="231F20"/>
          <w:sz w:val="20"/>
        </w:rPr>
        <w:t>Похвалите</w:t>
      </w:r>
      <w:r>
        <w:rPr>
          <w:color w:val="231F20"/>
          <w:spacing w:val="-10"/>
          <w:sz w:val="20"/>
        </w:rPr>
        <w:t> </w:t>
      </w:r>
      <w:r>
        <w:rPr>
          <w:color w:val="231F20"/>
          <w:sz w:val="20"/>
        </w:rPr>
        <w:t>команду</w:t>
      </w:r>
      <w:r>
        <w:rPr>
          <w:color w:val="231F20"/>
          <w:spacing w:val="-8"/>
          <w:sz w:val="20"/>
        </w:rPr>
        <w:t> </w:t>
      </w:r>
      <w:r>
        <w:rPr>
          <w:color w:val="231F20"/>
          <w:sz w:val="20"/>
        </w:rPr>
        <w:t>и</w:t>
      </w:r>
      <w:r>
        <w:rPr>
          <w:color w:val="231F20"/>
          <w:spacing w:val="-9"/>
          <w:sz w:val="20"/>
        </w:rPr>
        <w:t> </w:t>
      </w:r>
      <w:r>
        <w:rPr>
          <w:color w:val="231F20"/>
          <w:sz w:val="20"/>
        </w:rPr>
        <w:t>запланируйте</w:t>
      </w:r>
      <w:r>
        <w:rPr>
          <w:color w:val="231F20"/>
          <w:spacing w:val="-7"/>
          <w:sz w:val="20"/>
        </w:rPr>
        <w:t> </w:t>
      </w:r>
      <w:r>
        <w:rPr>
          <w:color w:val="231F20"/>
          <w:sz w:val="20"/>
        </w:rPr>
        <w:t>дату</w:t>
      </w:r>
      <w:r>
        <w:rPr>
          <w:color w:val="231F20"/>
          <w:spacing w:val="-8"/>
          <w:sz w:val="20"/>
        </w:rPr>
        <w:t> </w:t>
      </w:r>
      <w:r>
        <w:rPr>
          <w:color w:val="231F20"/>
          <w:sz w:val="20"/>
        </w:rPr>
        <w:t>следующей</w:t>
      </w:r>
      <w:r>
        <w:rPr>
          <w:color w:val="231F20"/>
          <w:spacing w:val="-9"/>
          <w:sz w:val="20"/>
        </w:rPr>
        <w:t> </w:t>
      </w:r>
      <w:r>
        <w:rPr>
          <w:color w:val="231F20"/>
          <w:sz w:val="20"/>
        </w:rPr>
        <w:t>«Живой</w:t>
      </w:r>
      <w:r>
        <w:rPr>
          <w:color w:val="231F20"/>
          <w:spacing w:val="-8"/>
          <w:sz w:val="20"/>
        </w:rPr>
        <w:t> </w:t>
      </w:r>
      <w:r>
        <w:rPr>
          <w:color w:val="231F20"/>
          <w:spacing w:val="-2"/>
          <w:sz w:val="20"/>
        </w:rPr>
        <w:t>библиотеки»!</w:t>
      </w:r>
    </w:p>
    <w:p>
      <w:pPr>
        <w:pStyle w:val="BodyText"/>
        <w:spacing w:line="235" w:lineRule="auto" w:before="114"/>
      </w:pPr>
      <w:r>
        <w:rPr>
          <w:color w:val="231F20"/>
        </w:rPr>
        <w:t>По итогам апробации возможно сформулировать дополнительные рекомендации для</w:t>
      </w:r>
      <w:r>
        <w:rPr>
          <w:color w:val="231F20"/>
          <w:spacing w:val="33"/>
        </w:rPr>
        <w:t> </w:t>
      </w:r>
      <w:r>
        <w:rPr>
          <w:color w:val="231F20"/>
        </w:rPr>
        <w:t>проведения</w:t>
      </w:r>
      <w:r>
        <w:rPr>
          <w:color w:val="231F20"/>
          <w:spacing w:val="-9"/>
        </w:rPr>
        <w:t> </w:t>
      </w:r>
      <w:r>
        <w:rPr>
          <w:color w:val="231F20"/>
        </w:rPr>
        <w:t>«Живой</w:t>
      </w:r>
      <w:r>
        <w:rPr>
          <w:color w:val="231F20"/>
          <w:spacing w:val="-9"/>
        </w:rPr>
        <w:t> </w:t>
      </w:r>
      <w:r>
        <w:rPr>
          <w:color w:val="231F20"/>
        </w:rPr>
        <w:t>библиотеки».</w:t>
      </w:r>
      <w:r>
        <w:rPr>
          <w:color w:val="231F20"/>
          <w:spacing w:val="-9"/>
        </w:rPr>
        <w:t> </w:t>
      </w:r>
      <w:r>
        <w:rPr>
          <w:color w:val="231F20"/>
        </w:rPr>
        <w:t>В</w:t>
      </w:r>
      <w:r>
        <w:rPr>
          <w:color w:val="231F20"/>
          <w:spacing w:val="-9"/>
        </w:rPr>
        <w:t> </w:t>
      </w:r>
      <w:r>
        <w:rPr>
          <w:color w:val="231F20"/>
        </w:rPr>
        <w:t>качестве</w:t>
      </w:r>
      <w:r>
        <w:rPr>
          <w:color w:val="231F20"/>
          <w:spacing w:val="-9"/>
        </w:rPr>
        <w:t> </w:t>
      </w:r>
      <w:r>
        <w:rPr>
          <w:color w:val="231F20"/>
        </w:rPr>
        <w:t>«Книг»</w:t>
      </w:r>
      <w:r>
        <w:rPr>
          <w:color w:val="231F20"/>
          <w:spacing w:val="-9"/>
        </w:rPr>
        <w:t> </w:t>
      </w:r>
      <w:r>
        <w:rPr>
          <w:color w:val="231F20"/>
        </w:rPr>
        <w:t>могут</w:t>
      </w:r>
      <w:r>
        <w:rPr>
          <w:color w:val="231F20"/>
          <w:spacing w:val="-9"/>
        </w:rPr>
        <w:t> </w:t>
      </w:r>
      <w:r>
        <w:rPr>
          <w:color w:val="231F20"/>
        </w:rPr>
        <w:t>выступать</w:t>
      </w:r>
      <w:r>
        <w:rPr>
          <w:color w:val="231F20"/>
          <w:spacing w:val="-9"/>
        </w:rPr>
        <w:t> </w:t>
      </w:r>
      <w:r>
        <w:rPr>
          <w:color w:val="231F20"/>
        </w:rPr>
        <w:t>сами</w:t>
      </w:r>
      <w:r>
        <w:rPr>
          <w:color w:val="231F20"/>
          <w:spacing w:val="-9"/>
        </w:rPr>
        <w:t> </w:t>
      </w:r>
      <w:r>
        <w:rPr>
          <w:color w:val="231F20"/>
        </w:rPr>
        <w:t>обу- чающиеся</w:t>
      </w:r>
      <w:r>
        <w:rPr>
          <w:color w:val="231F20"/>
          <w:spacing w:val="-3"/>
        </w:rPr>
        <w:t> </w:t>
      </w:r>
      <w:r>
        <w:rPr>
          <w:color w:val="231F20"/>
        </w:rPr>
        <w:t>–</w:t>
      </w:r>
      <w:r>
        <w:rPr>
          <w:color w:val="231F20"/>
          <w:spacing w:val="-1"/>
        </w:rPr>
        <w:t> </w:t>
      </w:r>
      <w:r>
        <w:rPr>
          <w:color w:val="231F20"/>
        </w:rPr>
        <w:t>несовершеннолетние</w:t>
      </w:r>
      <w:r>
        <w:rPr>
          <w:color w:val="231F20"/>
          <w:spacing w:val="-1"/>
        </w:rPr>
        <w:t> </w:t>
      </w:r>
      <w:r>
        <w:rPr>
          <w:color w:val="231F20"/>
        </w:rPr>
        <w:t>иностранные граждане,</w:t>
      </w:r>
      <w:r>
        <w:rPr>
          <w:color w:val="231F20"/>
          <w:spacing w:val="-1"/>
        </w:rPr>
        <w:t> </w:t>
      </w:r>
      <w:r>
        <w:rPr>
          <w:color w:val="231F20"/>
        </w:rPr>
        <w:t>причем</w:t>
      </w:r>
      <w:r>
        <w:rPr>
          <w:color w:val="231F20"/>
          <w:spacing w:val="-1"/>
        </w:rPr>
        <w:t> </w:t>
      </w:r>
      <w:r>
        <w:rPr>
          <w:color w:val="231F20"/>
        </w:rPr>
        <w:t>если</w:t>
      </w:r>
      <w:r>
        <w:rPr>
          <w:color w:val="231F20"/>
          <w:spacing w:val="-1"/>
        </w:rPr>
        <w:t> </w:t>
      </w:r>
      <w:r>
        <w:rPr>
          <w:color w:val="231F20"/>
        </w:rPr>
        <w:t>дети </w:t>
      </w:r>
      <w:r>
        <w:rPr>
          <w:color w:val="231F20"/>
          <w:spacing w:val="-2"/>
        </w:rPr>
        <w:t>знакомы</w:t>
      </w:r>
    </w:p>
    <w:p>
      <w:pPr>
        <w:pStyle w:val="BodyText"/>
        <w:spacing w:after="0" w:line="235" w:lineRule="auto"/>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firstLine="0"/>
      </w:pPr>
      <w:r>
        <w:rPr>
          <w:color w:val="231F20"/>
        </w:rPr>
        <w:t>между</w:t>
      </w:r>
      <w:r>
        <w:rPr>
          <w:color w:val="231F20"/>
          <w:spacing w:val="-13"/>
        </w:rPr>
        <w:t> </w:t>
      </w:r>
      <w:r>
        <w:rPr>
          <w:color w:val="231F20"/>
        </w:rPr>
        <w:t>собой,</w:t>
      </w:r>
      <w:r>
        <w:rPr>
          <w:color w:val="231F20"/>
          <w:spacing w:val="-12"/>
        </w:rPr>
        <w:t> </w:t>
      </w:r>
      <w:r>
        <w:rPr>
          <w:color w:val="231F20"/>
        </w:rPr>
        <w:t>они</w:t>
      </w:r>
      <w:r>
        <w:rPr>
          <w:color w:val="231F20"/>
          <w:spacing w:val="-13"/>
        </w:rPr>
        <w:t> </w:t>
      </w:r>
      <w:r>
        <w:rPr>
          <w:color w:val="231F20"/>
        </w:rPr>
        <w:t>могут</w:t>
      </w:r>
      <w:r>
        <w:rPr>
          <w:color w:val="231F20"/>
          <w:spacing w:val="-12"/>
        </w:rPr>
        <w:t> </w:t>
      </w:r>
      <w:r>
        <w:rPr>
          <w:color w:val="231F20"/>
        </w:rPr>
        <w:t>выступать</w:t>
      </w:r>
      <w:r>
        <w:rPr>
          <w:color w:val="231F20"/>
          <w:spacing w:val="-13"/>
        </w:rPr>
        <w:t> </w:t>
      </w:r>
      <w:r>
        <w:rPr>
          <w:color w:val="231F20"/>
        </w:rPr>
        <w:t>по</w:t>
      </w:r>
      <w:r>
        <w:rPr>
          <w:color w:val="231F20"/>
          <w:spacing w:val="-12"/>
        </w:rPr>
        <w:t> </w:t>
      </w:r>
      <w:r>
        <w:rPr>
          <w:color w:val="231F20"/>
        </w:rPr>
        <w:t>двое</w:t>
      </w:r>
      <w:r>
        <w:rPr>
          <w:color w:val="231F20"/>
          <w:spacing w:val="-13"/>
        </w:rPr>
        <w:t> </w:t>
      </w:r>
      <w:r>
        <w:rPr>
          <w:color w:val="231F20"/>
        </w:rPr>
        <w:t>или</w:t>
      </w:r>
      <w:r>
        <w:rPr>
          <w:color w:val="231F20"/>
          <w:spacing w:val="-12"/>
        </w:rPr>
        <w:t> </w:t>
      </w:r>
      <w:r>
        <w:rPr>
          <w:color w:val="231F20"/>
        </w:rPr>
        <w:t>трое.</w:t>
      </w:r>
      <w:r>
        <w:rPr>
          <w:color w:val="231F20"/>
          <w:spacing w:val="-13"/>
        </w:rPr>
        <w:t> </w:t>
      </w:r>
      <w:r>
        <w:rPr>
          <w:color w:val="231F20"/>
        </w:rPr>
        <w:t>Тематика</w:t>
      </w:r>
      <w:r>
        <w:rPr>
          <w:color w:val="231F20"/>
          <w:spacing w:val="-12"/>
        </w:rPr>
        <w:t> </w:t>
      </w:r>
      <w:r>
        <w:rPr>
          <w:color w:val="231F20"/>
        </w:rPr>
        <w:t>их</w:t>
      </w:r>
      <w:r>
        <w:rPr>
          <w:color w:val="231F20"/>
          <w:spacing w:val="-13"/>
        </w:rPr>
        <w:t> </w:t>
      </w:r>
      <w:r>
        <w:rPr>
          <w:color w:val="231F20"/>
        </w:rPr>
        <w:t>выступлений</w:t>
      </w:r>
      <w:r>
        <w:rPr>
          <w:color w:val="231F20"/>
          <w:spacing w:val="-12"/>
        </w:rPr>
        <w:t> </w:t>
      </w:r>
      <w:r>
        <w:rPr>
          <w:color w:val="231F20"/>
        </w:rPr>
        <w:t>может касаться</w:t>
      </w:r>
      <w:r>
        <w:rPr>
          <w:color w:val="231F20"/>
          <w:spacing w:val="-1"/>
        </w:rPr>
        <w:t> </w:t>
      </w:r>
      <w:r>
        <w:rPr>
          <w:color w:val="231F20"/>
        </w:rPr>
        <w:t>страны</w:t>
      </w:r>
      <w:r>
        <w:rPr>
          <w:color w:val="231F20"/>
          <w:spacing w:val="-1"/>
        </w:rPr>
        <w:t> </w:t>
      </w:r>
      <w:r>
        <w:rPr>
          <w:color w:val="231F20"/>
        </w:rPr>
        <w:t>их</w:t>
      </w:r>
      <w:r>
        <w:rPr>
          <w:color w:val="231F20"/>
          <w:spacing w:val="-1"/>
        </w:rPr>
        <w:t> </w:t>
      </w:r>
      <w:r>
        <w:rPr>
          <w:color w:val="231F20"/>
        </w:rPr>
        <w:t>исхода</w:t>
      </w:r>
      <w:r>
        <w:rPr>
          <w:color w:val="231F20"/>
          <w:spacing w:val="-1"/>
        </w:rPr>
        <w:t> </w:t>
      </w:r>
      <w:r>
        <w:rPr>
          <w:color w:val="231F20"/>
        </w:rPr>
        <w:t>(знакомство</w:t>
      </w:r>
      <w:r>
        <w:rPr>
          <w:color w:val="231F20"/>
          <w:spacing w:val="-1"/>
        </w:rPr>
        <w:t> </w:t>
      </w:r>
      <w:r>
        <w:rPr>
          <w:color w:val="231F20"/>
        </w:rPr>
        <w:t>со</w:t>
      </w:r>
      <w:r>
        <w:rPr>
          <w:color w:val="231F20"/>
          <w:spacing w:val="-1"/>
        </w:rPr>
        <w:t> </w:t>
      </w:r>
      <w:r>
        <w:rPr>
          <w:color w:val="231F20"/>
        </w:rPr>
        <w:t>страной,</w:t>
      </w:r>
      <w:r>
        <w:rPr>
          <w:color w:val="231F20"/>
          <w:spacing w:val="-1"/>
        </w:rPr>
        <w:t> </w:t>
      </w:r>
      <w:r>
        <w:rPr>
          <w:color w:val="231F20"/>
        </w:rPr>
        <w:t>ее</w:t>
      </w:r>
      <w:r>
        <w:rPr>
          <w:color w:val="231F20"/>
          <w:spacing w:val="-1"/>
        </w:rPr>
        <w:t> </w:t>
      </w:r>
      <w:r>
        <w:rPr>
          <w:color w:val="231F20"/>
        </w:rPr>
        <w:t>культурой</w:t>
      </w:r>
      <w:r>
        <w:rPr>
          <w:color w:val="231F20"/>
          <w:spacing w:val="-1"/>
        </w:rPr>
        <w:t> </w:t>
      </w:r>
      <w:r>
        <w:rPr>
          <w:color w:val="231F20"/>
        </w:rPr>
        <w:t>и</w:t>
      </w:r>
      <w:r>
        <w:rPr>
          <w:color w:val="231F20"/>
          <w:spacing w:val="-1"/>
        </w:rPr>
        <w:t> </w:t>
      </w:r>
      <w:r>
        <w:rPr>
          <w:color w:val="231F20"/>
        </w:rPr>
        <w:t>историей).</w:t>
      </w:r>
      <w:r>
        <w:rPr>
          <w:color w:val="231F20"/>
          <w:spacing w:val="-1"/>
        </w:rPr>
        <w:t> </w:t>
      </w:r>
      <w:r>
        <w:rPr>
          <w:color w:val="231F20"/>
        </w:rPr>
        <w:t>Также в качестве «Книг» могут выступать педагоги школы, особенно педагоги с миграци- онной историей.</w:t>
      </w:r>
    </w:p>
    <w:p>
      <w:pPr>
        <w:pStyle w:val="BodyText"/>
        <w:spacing w:line="235" w:lineRule="auto" w:before="2"/>
      </w:pPr>
      <w:r>
        <w:rPr>
          <w:color w:val="231F20"/>
        </w:rPr>
        <w:t>«Живую библиотеку» можно проводить с обучающимися младшего школьного </w:t>
      </w:r>
      <w:r>
        <w:rPr>
          <w:color w:val="231F20"/>
          <w:spacing w:val="-2"/>
        </w:rPr>
        <w:t>возраста при условии предварительной подготовки обучающихся (знакомство с поня- </w:t>
      </w:r>
      <w:r>
        <w:rPr>
          <w:color w:val="231F20"/>
        </w:rPr>
        <w:t>тием «библиотека», подготовка вопросов к «книгам»).</w:t>
      </w:r>
    </w:p>
    <w:p>
      <w:pPr>
        <w:pStyle w:val="BodyText"/>
        <w:spacing w:after="0" w:line="235" w:lineRule="auto"/>
        <w:sectPr>
          <w:pgSz w:w="8400" w:h="11910"/>
          <w:pgMar w:header="0" w:footer="530" w:top="400" w:bottom="740" w:left="425" w:right="425"/>
        </w:sectPr>
      </w:pPr>
    </w:p>
    <w:p>
      <w:pPr>
        <w:numPr>
          <w:ilvl w:val="1"/>
          <w:numId w:val="286"/>
        </w:numPr>
        <w:tabs>
          <w:tab w:pos="767" w:val="left" w:leader="none"/>
          <w:tab w:pos="1674" w:val="left" w:leader="none"/>
        </w:tabs>
        <w:spacing w:line="235" w:lineRule="auto" w:before="77"/>
        <w:ind w:left="1674" w:right="415" w:hanging="1257"/>
        <w:jc w:val="left"/>
        <w:rPr>
          <w:b/>
          <w:color w:val="231F20"/>
          <w:sz w:val="20"/>
        </w:rPr>
      </w:pPr>
      <w:bookmarkStart w:name="_bookmark94" w:id="96"/>
      <w:bookmarkEnd w:id="96"/>
      <w:r>
        <w:rPr/>
      </w:r>
      <w:r>
        <w:rPr>
          <w:b/>
          <w:color w:val="231F20"/>
          <w:sz w:val="20"/>
        </w:rPr>
        <w:t>Организация</w:t>
      </w:r>
      <w:r>
        <w:rPr>
          <w:b/>
          <w:color w:val="231F20"/>
          <w:spacing w:val="-12"/>
          <w:sz w:val="20"/>
        </w:rPr>
        <w:t> </w:t>
      </w:r>
      <w:r>
        <w:rPr>
          <w:b/>
          <w:color w:val="231F20"/>
          <w:sz w:val="20"/>
        </w:rPr>
        <w:t>групповой</w:t>
      </w:r>
      <w:r>
        <w:rPr>
          <w:b/>
          <w:color w:val="231F20"/>
          <w:spacing w:val="-13"/>
          <w:sz w:val="20"/>
        </w:rPr>
        <w:t> </w:t>
      </w:r>
      <w:r>
        <w:rPr>
          <w:b/>
          <w:color w:val="231F20"/>
          <w:sz w:val="20"/>
        </w:rPr>
        <w:t>учебной</w:t>
      </w:r>
      <w:r>
        <w:rPr>
          <w:b/>
          <w:color w:val="231F20"/>
          <w:spacing w:val="-12"/>
          <w:sz w:val="20"/>
        </w:rPr>
        <w:t> </w:t>
      </w:r>
      <w:r>
        <w:rPr>
          <w:b/>
          <w:color w:val="231F20"/>
          <w:sz w:val="20"/>
        </w:rPr>
        <w:t>работы</w:t>
      </w:r>
      <w:r>
        <w:rPr>
          <w:b/>
          <w:color w:val="231F20"/>
          <w:spacing w:val="-12"/>
          <w:sz w:val="20"/>
        </w:rPr>
        <w:t> </w:t>
      </w:r>
      <w:r>
        <w:rPr>
          <w:b/>
          <w:color w:val="231F20"/>
          <w:sz w:val="20"/>
        </w:rPr>
        <w:t>учащихся</w:t>
      </w:r>
      <w:r>
        <w:rPr>
          <w:b/>
          <w:color w:val="231F20"/>
          <w:spacing w:val="-12"/>
          <w:sz w:val="20"/>
        </w:rPr>
        <w:t> </w:t>
      </w:r>
      <w:r>
        <w:rPr>
          <w:b/>
          <w:color w:val="231F20"/>
          <w:sz w:val="20"/>
        </w:rPr>
        <w:t>в</w:t>
      </w:r>
      <w:r>
        <w:rPr>
          <w:b/>
          <w:color w:val="231F20"/>
          <w:spacing w:val="-12"/>
          <w:sz w:val="20"/>
        </w:rPr>
        <w:t> </w:t>
      </w:r>
      <w:r>
        <w:rPr>
          <w:b/>
          <w:color w:val="231F20"/>
          <w:sz w:val="20"/>
        </w:rPr>
        <w:t>поликультурном классе: программа организации деятельности</w:t>
      </w:r>
    </w:p>
    <w:p>
      <w:pPr>
        <w:spacing w:before="168"/>
        <w:ind w:left="4674" w:right="14" w:firstLine="0"/>
        <w:jc w:val="center"/>
        <w:rPr>
          <w:i/>
          <w:sz w:val="20"/>
        </w:rPr>
      </w:pPr>
      <w:r>
        <w:rPr>
          <w:i/>
          <w:color w:val="231F20"/>
          <w:sz w:val="20"/>
        </w:rPr>
        <w:t>Фомичева</w:t>
      </w:r>
      <w:r>
        <w:rPr>
          <w:i/>
          <w:color w:val="231F20"/>
          <w:spacing w:val="-8"/>
          <w:sz w:val="20"/>
        </w:rPr>
        <w:t> </w:t>
      </w:r>
      <w:r>
        <w:rPr>
          <w:i/>
          <w:color w:val="231F20"/>
          <w:sz w:val="20"/>
        </w:rPr>
        <w:t>А.Е.,</w:t>
      </w:r>
      <w:r>
        <w:rPr>
          <w:i/>
          <w:color w:val="231F20"/>
          <w:spacing w:val="-8"/>
          <w:sz w:val="20"/>
        </w:rPr>
        <w:t> </w:t>
      </w:r>
      <w:r>
        <w:rPr>
          <w:i/>
          <w:color w:val="231F20"/>
          <w:sz w:val="20"/>
        </w:rPr>
        <w:t>Моисеева</w:t>
      </w:r>
      <w:r>
        <w:rPr>
          <w:i/>
          <w:color w:val="231F20"/>
          <w:spacing w:val="-8"/>
          <w:sz w:val="20"/>
        </w:rPr>
        <w:t> </w:t>
      </w:r>
      <w:r>
        <w:rPr>
          <w:i/>
          <w:color w:val="231F20"/>
          <w:spacing w:val="-4"/>
          <w:sz w:val="20"/>
        </w:rPr>
        <w:t>М.В.</w:t>
      </w:r>
    </w:p>
    <w:p>
      <w:pPr>
        <w:numPr>
          <w:ilvl w:val="2"/>
          <w:numId w:val="286"/>
        </w:numPr>
        <w:tabs>
          <w:tab w:pos="500" w:val="left" w:leader="none"/>
        </w:tabs>
        <w:spacing w:before="109"/>
        <w:ind w:left="500" w:right="0" w:hanging="500"/>
        <w:jc w:val="center"/>
        <w:rPr>
          <w:b/>
          <w:sz w:val="20"/>
        </w:rPr>
      </w:pPr>
      <w:r>
        <w:rPr>
          <w:b/>
          <w:color w:val="231F20"/>
          <w:sz w:val="20"/>
        </w:rPr>
        <w:t>Внедрение</w:t>
      </w:r>
      <w:r>
        <w:rPr>
          <w:b/>
          <w:color w:val="231F20"/>
          <w:spacing w:val="-10"/>
          <w:sz w:val="20"/>
        </w:rPr>
        <w:t> </w:t>
      </w:r>
      <w:r>
        <w:rPr>
          <w:b/>
          <w:color w:val="231F20"/>
          <w:sz w:val="20"/>
        </w:rPr>
        <w:t>групповой</w:t>
      </w:r>
      <w:r>
        <w:rPr>
          <w:b/>
          <w:color w:val="231F20"/>
          <w:spacing w:val="-11"/>
          <w:sz w:val="20"/>
        </w:rPr>
        <w:t> </w:t>
      </w:r>
      <w:r>
        <w:rPr>
          <w:b/>
          <w:color w:val="231F20"/>
          <w:sz w:val="20"/>
        </w:rPr>
        <w:t>работы</w:t>
      </w:r>
      <w:r>
        <w:rPr>
          <w:b/>
          <w:color w:val="231F20"/>
          <w:spacing w:val="-10"/>
          <w:sz w:val="20"/>
        </w:rPr>
        <w:t> </w:t>
      </w:r>
      <w:r>
        <w:rPr>
          <w:b/>
          <w:color w:val="231F20"/>
          <w:sz w:val="20"/>
        </w:rPr>
        <w:t>в</w:t>
      </w:r>
      <w:r>
        <w:rPr>
          <w:b/>
          <w:color w:val="231F20"/>
          <w:spacing w:val="-10"/>
          <w:sz w:val="20"/>
        </w:rPr>
        <w:t> </w:t>
      </w:r>
      <w:r>
        <w:rPr>
          <w:b/>
          <w:color w:val="231F20"/>
          <w:sz w:val="20"/>
        </w:rPr>
        <w:t>поликультурном</w:t>
      </w:r>
      <w:r>
        <w:rPr>
          <w:b/>
          <w:color w:val="231F20"/>
          <w:spacing w:val="-10"/>
          <w:sz w:val="20"/>
        </w:rPr>
        <w:t> </w:t>
      </w:r>
      <w:r>
        <w:rPr>
          <w:b/>
          <w:color w:val="231F20"/>
          <w:spacing w:val="-2"/>
          <w:sz w:val="20"/>
        </w:rPr>
        <w:t>классе</w:t>
      </w:r>
    </w:p>
    <w:p>
      <w:pPr>
        <w:pStyle w:val="BodyText"/>
        <w:spacing w:line="232" w:lineRule="auto" w:before="115"/>
      </w:pPr>
      <w:r>
        <w:rPr>
          <w:color w:val="231F20"/>
        </w:rPr>
        <w:t>Использование</w:t>
      </w:r>
      <w:r>
        <w:rPr>
          <w:color w:val="231F20"/>
          <w:spacing w:val="-13"/>
        </w:rPr>
        <w:t> </w:t>
      </w:r>
      <w:r>
        <w:rPr>
          <w:color w:val="231F20"/>
        </w:rPr>
        <w:t>в</w:t>
      </w:r>
      <w:r>
        <w:rPr>
          <w:color w:val="231F20"/>
          <w:spacing w:val="-12"/>
        </w:rPr>
        <w:t> </w:t>
      </w:r>
      <w:r>
        <w:rPr>
          <w:color w:val="231F20"/>
        </w:rPr>
        <w:t>поликультурных</w:t>
      </w:r>
      <w:r>
        <w:rPr>
          <w:color w:val="231F20"/>
          <w:spacing w:val="-13"/>
        </w:rPr>
        <w:t> </w:t>
      </w:r>
      <w:r>
        <w:rPr>
          <w:color w:val="231F20"/>
        </w:rPr>
        <w:t>классах</w:t>
      </w:r>
      <w:r>
        <w:rPr>
          <w:color w:val="231F20"/>
          <w:spacing w:val="-12"/>
        </w:rPr>
        <w:t> </w:t>
      </w:r>
      <w:r>
        <w:rPr>
          <w:color w:val="231F20"/>
        </w:rPr>
        <w:t>технологий</w:t>
      </w:r>
      <w:r>
        <w:rPr>
          <w:color w:val="231F20"/>
          <w:spacing w:val="-13"/>
        </w:rPr>
        <w:t> </w:t>
      </w:r>
      <w:r>
        <w:rPr>
          <w:color w:val="231F20"/>
        </w:rPr>
        <w:t>обучения</w:t>
      </w:r>
      <w:r>
        <w:rPr>
          <w:color w:val="231F20"/>
          <w:spacing w:val="-12"/>
        </w:rPr>
        <w:t> </w:t>
      </w:r>
      <w:r>
        <w:rPr>
          <w:color w:val="231F20"/>
        </w:rPr>
        <w:t>в</w:t>
      </w:r>
      <w:r>
        <w:rPr>
          <w:color w:val="231F20"/>
          <w:spacing w:val="-13"/>
        </w:rPr>
        <w:t> </w:t>
      </w:r>
      <w:r>
        <w:rPr>
          <w:color w:val="231F20"/>
        </w:rPr>
        <w:t>сотрудничестве требует от учителя значительной предварительной подготовки, поэтому проводить подобные</w:t>
      </w:r>
      <w:r>
        <w:rPr>
          <w:color w:val="231F20"/>
          <w:spacing w:val="-7"/>
        </w:rPr>
        <w:t> </w:t>
      </w:r>
      <w:r>
        <w:rPr>
          <w:color w:val="231F20"/>
        </w:rPr>
        <w:t>занятия</w:t>
      </w:r>
      <w:r>
        <w:rPr>
          <w:color w:val="231F20"/>
          <w:spacing w:val="-7"/>
        </w:rPr>
        <w:t> </w:t>
      </w:r>
      <w:r>
        <w:rPr>
          <w:color w:val="231F20"/>
        </w:rPr>
        <w:t>на</w:t>
      </w:r>
      <w:r>
        <w:rPr>
          <w:color w:val="231F20"/>
          <w:spacing w:val="-7"/>
        </w:rPr>
        <w:t> </w:t>
      </w:r>
      <w:r>
        <w:rPr>
          <w:color w:val="231F20"/>
        </w:rPr>
        <w:t>регулярной</w:t>
      </w:r>
      <w:r>
        <w:rPr>
          <w:color w:val="231F20"/>
          <w:spacing w:val="-7"/>
        </w:rPr>
        <w:t> </w:t>
      </w:r>
      <w:r>
        <w:rPr>
          <w:color w:val="231F20"/>
        </w:rPr>
        <w:t>основе</w:t>
      </w:r>
      <w:r>
        <w:rPr>
          <w:color w:val="231F20"/>
          <w:spacing w:val="-7"/>
        </w:rPr>
        <w:t> </w:t>
      </w:r>
      <w:r>
        <w:rPr>
          <w:color w:val="231F20"/>
        </w:rPr>
        <w:t>достаточно</w:t>
      </w:r>
      <w:r>
        <w:rPr>
          <w:color w:val="231F20"/>
          <w:spacing w:val="-7"/>
        </w:rPr>
        <w:t> </w:t>
      </w:r>
      <w:r>
        <w:rPr>
          <w:color w:val="231F20"/>
        </w:rPr>
        <w:t>сложно.</w:t>
      </w:r>
      <w:r>
        <w:rPr>
          <w:color w:val="231F20"/>
          <w:spacing w:val="-7"/>
        </w:rPr>
        <w:t> </w:t>
      </w:r>
      <w:r>
        <w:rPr>
          <w:color w:val="231F20"/>
        </w:rPr>
        <w:t>Опыт</w:t>
      </w:r>
      <w:r>
        <w:rPr>
          <w:color w:val="231F20"/>
          <w:spacing w:val="-7"/>
        </w:rPr>
        <w:t> </w:t>
      </w:r>
      <w:r>
        <w:rPr>
          <w:color w:val="231F20"/>
        </w:rPr>
        <w:t>учителей</w:t>
      </w:r>
      <w:r>
        <w:rPr>
          <w:color w:val="231F20"/>
          <w:spacing w:val="-7"/>
        </w:rPr>
        <w:t> </w:t>
      </w:r>
      <w:r>
        <w:rPr>
          <w:color w:val="231F20"/>
        </w:rPr>
        <w:t>средних школ показывает, что наиболее эффективны трудозатраты педагога-предметника на организацию такого обучения в следующих ситуациях:</w:t>
      </w:r>
    </w:p>
    <w:p>
      <w:pPr>
        <w:pStyle w:val="ListParagraph"/>
        <w:numPr>
          <w:ilvl w:val="0"/>
          <w:numId w:val="304"/>
        </w:numPr>
        <w:tabs>
          <w:tab w:pos="425" w:val="left" w:leader="none"/>
        </w:tabs>
        <w:spacing w:line="226" w:lineRule="exact" w:before="0" w:after="0"/>
        <w:ind w:left="425" w:right="0" w:hanging="284"/>
        <w:jc w:val="left"/>
        <w:rPr>
          <w:sz w:val="20"/>
        </w:rPr>
      </w:pPr>
      <w:r>
        <w:rPr>
          <w:color w:val="231F20"/>
          <w:sz w:val="20"/>
        </w:rPr>
        <w:t>итоговые</w:t>
      </w:r>
      <w:r>
        <w:rPr>
          <w:color w:val="231F20"/>
          <w:spacing w:val="-5"/>
          <w:sz w:val="20"/>
        </w:rPr>
        <w:t> </w:t>
      </w:r>
      <w:r>
        <w:rPr>
          <w:color w:val="231F20"/>
          <w:sz w:val="20"/>
        </w:rPr>
        <w:t>(зачетные)</w:t>
      </w:r>
      <w:r>
        <w:rPr>
          <w:color w:val="231F20"/>
          <w:spacing w:val="-4"/>
          <w:sz w:val="20"/>
        </w:rPr>
        <w:t> </w:t>
      </w:r>
      <w:r>
        <w:rPr>
          <w:color w:val="231F20"/>
          <w:sz w:val="20"/>
        </w:rPr>
        <w:t>уроки</w:t>
      </w:r>
      <w:r>
        <w:rPr>
          <w:color w:val="231F20"/>
          <w:spacing w:val="-5"/>
          <w:sz w:val="20"/>
        </w:rPr>
        <w:t> </w:t>
      </w:r>
      <w:r>
        <w:rPr>
          <w:color w:val="231F20"/>
          <w:sz w:val="20"/>
        </w:rPr>
        <w:t>по</w:t>
      </w:r>
      <w:r>
        <w:rPr>
          <w:color w:val="231F20"/>
          <w:spacing w:val="-4"/>
          <w:sz w:val="20"/>
        </w:rPr>
        <w:t> </w:t>
      </w:r>
      <w:r>
        <w:rPr>
          <w:color w:val="231F20"/>
          <w:sz w:val="20"/>
        </w:rPr>
        <w:t>теме</w:t>
      </w:r>
      <w:r>
        <w:rPr>
          <w:color w:val="231F20"/>
          <w:spacing w:val="-4"/>
          <w:sz w:val="20"/>
        </w:rPr>
        <w:t> </w:t>
      </w:r>
      <w:r>
        <w:rPr>
          <w:color w:val="231F20"/>
          <w:spacing w:val="-2"/>
          <w:sz w:val="20"/>
        </w:rPr>
        <w:t>курса;</w:t>
      </w:r>
    </w:p>
    <w:p>
      <w:pPr>
        <w:pStyle w:val="ListParagraph"/>
        <w:numPr>
          <w:ilvl w:val="0"/>
          <w:numId w:val="304"/>
        </w:numPr>
        <w:tabs>
          <w:tab w:pos="425" w:val="left" w:leader="none"/>
        </w:tabs>
        <w:spacing w:line="224" w:lineRule="exact" w:before="0" w:after="0"/>
        <w:ind w:left="425" w:right="0" w:hanging="284"/>
        <w:jc w:val="left"/>
        <w:rPr>
          <w:sz w:val="20"/>
        </w:rPr>
      </w:pPr>
      <w:r>
        <w:rPr>
          <w:color w:val="231F20"/>
          <w:sz w:val="20"/>
        </w:rPr>
        <w:t>открытые</w:t>
      </w:r>
      <w:r>
        <w:rPr>
          <w:color w:val="231F20"/>
          <w:spacing w:val="-7"/>
          <w:sz w:val="20"/>
        </w:rPr>
        <w:t> </w:t>
      </w:r>
      <w:r>
        <w:rPr>
          <w:color w:val="231F20"/>
          <w:sz w:val="20"/>
        </w:rPr>
        <w:t>уроки</w:t>
      </w:r>
      <w:r>
        <w:rPr>
          <w:color w:val="231F20"/>
          <w:spacing w:val="-8"/>
          <w:sz w:val="20"/>
        </w:rPr>
        <w:t> </w:t>
      </w:r>
      <w:r>
        <w:rPr>
          <w:color w:val="231F20"/>
          <w:sz w:val="20"/>
        </w:rPr>
        <w:t>для</w:t>
      </w:r>
      <w:r>
        <w:rPr>
          <w:color w:val="231F20"/>
          <w:spacing w:val="-6"/>
          <w:sz w:val="20"/>
        </w:rPr>
        <w:t> </w:t>
      </w:r>
      <w:r>
        <w:rPr>
          <w:color w:val="231F20"/>
          <w:sz w:val="20"/>
        </w:rPr>
        <w:t>коллег-</w:t>
      </w:r>
      <w:r>
        <w:rPr>
          <w:color w:val="231F20"/>
          <w:spacing w:val="-2"/>
          <w:sz w:val="20"/>
        </w:rPr>
        <w:t>учителей;</w:t>
      </w:r>
    </w:p>
    <w:p>
      <w:pPr>
        <w:pStyle w:val="ListParagraph"/>
        <w:numPr>
          <w:ilvl w:val="0"/>
          <w:numId w:val="304"/>
        </w:numPr>
        <w:tabs>
          <w:tab w:pos="425" w:val="left" w:leader="none"/>
        </w:tabs>
        <w:spacing w:line="224" w:lineRule="exact" w:before="0" w:after="0"/>
        <w:ind w:left="425" w:right="0" w:hanging="284"/>
        <w:jc w:val="left"/>
        <w:rPr>
          <w:sz w:val="20"/>
        </w:rPr>
      </w:pPr>
      <w:r>
        <w:rPr>
          <w:color w:val="231F20"/>
          <w:sz w:val="20"/>
        </w:rPr>
        <w:t>открытые</w:t>
      </w:r>
      <w:r>
        <w:rPr>
          <w:color w:val="231F20"/>
          <w:spacing w:val="-10"/>
          <w:sz w:val="20"/>
        </w:rPr>
        <w:t> </w:t>
      </w:r>
      <w:r>
        <w:rPr>
          <w:color w:val="231F20"/>
          <w:sz w:val="20"/>
        </w:rPr>
        <w:t>уроки</w:t>
      </w:r>
      <w:r>
        <w:rPr>
          <w:color w:val="231F20"/>
          <w:spacing w:val="-8"/>
          <w:sz w:val="20"/>
        </w:rPr>
        <w:t> </w:t>
      </w:r>
      <w:r>
        <w:rPr>
          <w:color w:val="231F20"/>
          <w:sz w:val="20"/>
        </w:rPr>
        <w:t>с</w:t>
      </w:r>
      <w:r>
        <w:rPr>
          <w:color w:val="231F20"/>
          <w:spacing w:val="-7"/>
          <w:sz w:val="20"/>
        </w:rPr>
        <w:t> </w:t>
      </w:r>
      <w:r>
        <w:rPr>
          <w:color w:val="231F20"/>
          <w:sz w:val="20"/>
        </w:rPr>
        <w:t>присутствием</w:t>
      </w:r>
      <w:r>
        <w:rPr>
          <w:color w:val="231F20"/>
          <w:spacing w:val="-8"/>
          <w:sz w:val="20"/>
        </w:rPr>
        <w:t> </w:t>
      </w:r>
      <w:r>
        <w:rPr>
          <w:color w:val="231F20"/>
          <w:sz w:val="20"/>
        </w:rPr>
        <w:t>в</w:t>
      </w:r>
      <w:r>
        <w:rPr>
          <w:color w:val="231F20"/>
          <w:spacing w:val="-8"/>
          <w:sz w:val="20"/>
        </w:rPr>
        <w:t> </w:t>
      </w:r>
      <w:r>
        <w:rPr>
          <w:color w:val="231F20"/>
          <w:sz w:val="20"/>
        </w:rPr>
        <w:t>качестве</w:t>
      </w:r>
      <w:r>
        <w:rPr>
          <w:color w:val="231F20"/>
          <w:spacing w:val="-7"/>
          <w:sz w:val="20"/>
        </w:rPr>
        <w:t> </w:t>
      </w:r>
      <w:r>
        <w:rPr>
          <w:color w:val="231F20"/>
          <w:sz w:val="20"/>
        </w:rPr>
        <w:t>наблюдателей</w:t>
      </w:r>
      <w:r>
        <w:rPr>
          <w:color w:val="231F20"/>
          <w:spacing w:val="-8"/>
          <w:sz w:val="20"/>
        </w:rPr>
        <w:t> </w:t>
      </w:r>
      <w:r>
        <w:rPr>
          <w:color w:val="231F20"/>
          <w:sz w:val="20"/>
        </w:rPr>
        <w:t>родителей</w:t>
      </w:r>
      <w:r>
        <w:rPr>
          <w:color w:val="231F20"/>
          <w:spacing w:val="-8"/>
          <w:sz w:val="20"/>
        </w:rPr>
        <w:t> </w:t>
      </w:r>
      <w:r>
        <w:rPr>
          <w:color w:val="231F20"/>
          <w:spacing w:val="-2"/>
          <w:sz w:val="20"/>
        </w:rPr>
        <w:t>учащихся;</w:t>
      </w:r>
    </w:p>
    <w:p>
      <w:pPr>
        <w:pStyle w:val="ListParagraph"/>
        <w:numPr>
          <w:ilvl w:val="0"/>
          <w:numId w:val="304"/>
        </w:numPr>
        <w:tabs>
          <w:tab w:pos="425" w:val="left" w:leader="none"/>
        </w:tabs>
        <w:spacing w:line="232" w:lineRule="auto" w:before="3" w:after="0"/>
        <w:ind w:left="425" w:right="139" w:hanging="284"/>
        <w:jc w:val="left"/>
        <w:rPr>
          <w:sz w:val="20"/>
        </w:rPr>
      </w:pPr>
      <w:r>
        <w:rPr>
          <w:color w:val="231F20"/>
          <w:sz w:val="20"/>
        </w:rPr>
        <w:t>другие</w:t>
      </w:r>
      <w:r>
        <w:rPr>
          <w:color w:val="231F20"/>
          <w:spacing w:val="23"/>
          <w:sz w:val="20"/>
        </w:rPr>
        <w:t> </w:t>
      </w:r>
      <w:r>
        <w:rPr>
          <w:color w:val="231F20"/>
          <w:sz w:val="20"/>
        </w:rPr>
        <w:t>личностно-ориентированные</w:t>
      </w:r>
      <w:r>
        <w:rPr>
          <w:color w:val="231F20"/>
          <w:spacing w:val="23"/>
          <w:sz w:val="20"/>
        </w:rPr>
        <w:t> </w:t>
      </w:r>
      <w:r>
        <w:rPr>
          <w:color w:val="231F20"/>
          <w:sz w:val="20"/>
        </w:rPr>
        <w:t>методы</w:t>
      </w:r>
      <w:r>
        <w:rPr>
          <w:color w:val="231F20"/>
          <w:spacing w:val="23"/>
          <w:sz w:val="20"/>
        </w:rPr>
        <w:t> </w:t>
      </w:r>
      <w:r>
        <w:rPr>
          <w:color w:val="231F20"/>
          <w:sz w:val="20"/>
        </w:rPr>
        <w:t>обучения</w:t>
      </w:r>
      <w:r>
        <w:rPr>
          <w:color w:val="231F20"/>
          <w:spacing w:val="23"/>
          <w:sz w:val="20"/>
        </w:rPr>
        <w:t> </w:t>
      </w:r>
      <w:r>
        <w:rPr>
          <w:color w:val="231F20"/>
          <w:sz w:val="20"/>
        </w:rPr>
        <w:t>(например,</w:t>
      </w:r>
      <w:r>
        <w:rPr>
          <w:color w:val="231F20"/>
          <w:spacing w:val="23"/>
          <w:sz w:val="20"/>
        </w:rPr>
        <w:t> </w:t>
      </w:r>
      <w:r>
        <w:rPr>
          <w:color w:val="231F20"/>
          <w:sz w:val="20"/>
        </w:rPr>
        <w:t>метод</w:t>
      </w:r>
      <w:r>
        <w:rPr>
          <w:color w:val="231F20"/>
          <w:spacing w:val="23"/>
          <w:sz w:val="20"/>
        </w:rPr>
        <w:t> </w:t>
      </w:r>
      <w:r>
        <w:rPr>
          <w:color w:val="231F20"/>
          <w:sz w:val="20"/>
        </w:rPr>
        <w:t>проек- тов, исследовательский метод, метод «перевернутого класса»);</w:t>
      </w:r>
    </w:p>
    <w:p>
      <w:pPr>
        <w:pStyle w:val="ListParagraph"/>
        <w:numPr>
          <w:ilvl w:val="0"/>
          <w:numId w:val="304"/>
        </w:numPr>
        <w:tabs>
          <w:tab w:pos="425" w:val="left" w:leader="none"/>
        </w:tabs>
        <w:spacing w:line="232" w:lineRule="auto" w:before="1" w:after="0"/>
        <w:ind w:left="425" w:right="139" w:hanging="284"/>
        <w:jc w:val="left"/>
        <w:rPr>
          <w:sz w:val="20"/>
        </w:rPr>
      </w:pPr>
      <w:r>
        <w:rPr>
          <w:color w:val="231F20"/>
          <w:sz w:val="20"/>
        </w:rPr>
        <w:t>уроки технологии, информатики или изо, когда итогом работы учащихся в груп- пах должно быть создание дизайн-проекта, шаблона или объекта/предмета;</w:t>
      </w:r>
    </w:p>
    <w:p>
      <w:pPr>
        <w:pStyle w:val="ListParagraph"/>
        <w:numPr>
          <w:ilvl w:val="0"/>
          <w:numId w:val="304"/>
        </w:numPr>
        <w:tabs>
          <w:tab w:pos="425" w:val="left" w:leader="none"/>
        </w:tabs>
        <w:spacing w:line="232" w:lineRule="auto" w:before="2" w:after="0"/>
        <w:ind w:left="425" w:right="140" w:hanging="284"/>
        <w:jc w:val="left"/>
        <w:rPr>
          <w:sz w:val="20"/>
        </w:rPr>
      </w:pPr>
      <w:r>
        <w:rPr>
          <w:color w:val="231F20"/>
          <w:sz w:val="20"/>
        </w:rPr>
        <w:t>активизация познавательной активности и мотивации учащихся при введении в новую тему и др.</w:t>
      </w:r>
    </w:p>
    <w:p>
      <w:pPr>
        <w:pStyle w:val="BodyText"/>
        <w:spacing w:line="232" w:lineRule="auto" w:before="2"/>
      </w:pPr>
      <w:r>
        <w:rPr>
          <w:color w:val="231F20"/>
        </w:rPr>
        <w:t>В этих случаях тщательная подготовка урока, его поминутное планирование, на- писание норм и правил для групповой работы, подготовка инструкционных матери- алов и использование внеурочного времени для проведения психологических тре- нингов</w:t>
      </w:r>
      <w:r>
        <w:rPr>
          <w:color w:val="231F20"/>
          <w:spacing w:val="-6"/>
        </w:rPr>
        <w:t> </w:t>
      </w:r>
      <w:r>
        <w:rPr>
          <w:color w:val="231F20"/>
        </w:rPr>
        <w:t>будут</w:t>
      </w:r>
      <w:r>
        <w:rPr>
          <w:color w:val="231F20"/>
          <w:spacing w:val="-6"/>
        </w:rPr>
        <w:t> </w:t>
      </w:r>
      <w:r>
        <w:rPr>
          <w:color w:val="231F20"/>
        </w:rPr>
        <w:t>оправданы.</w:t>
      </w:r>
      <w:r>
        <w:rPr>
          <w:color w:val="231F20"/>
          <w:spacing w:val="-6"/>
        </w:rPr>
        <w:t> </w:t>
      </w:r>
      <w:r>
        <w:rPr>
          <w:color w:val="231F20"/>
        </w:rPr>
        <w:t>Если</w:t>
      </w:r>
      <w:r>
        <w:rPr>
          <w:color w:val="231F20"/>
          <w:spacing w:val="-6"/>
        </w:rPr>
        <w:t> </w:t>
      </w:r>
      <w:r>
        <w:rPr>
          <w:color w:val="231F20"/>
        </w:rPr>
        <w:t>один-два</w:t>
      </w:r>
      <w:r>
        <w:rPr>
          <w:color w:val="231F20"/>
          <w:spacing w:val="-6"/>
        </w:rPr>
        <w:t> </w:t>
      </w:r>
      <w:r>
        <w:rPr>
          <w:color w:val="231F20"/>
        </w:rPr>
        <w:t>учителя-предметника</w:t>
      </w:r>
      <w:r>
        <w:rPr>
          <w:color w:val="231F20"/>
          <w:spacing w:val="-6"/>
        </w:rPr>
        <w:t> </w:t>
      </w:r>
      <w:r>
        <w:rPr>
          <w:color w:val="231F20"/>
        </w:rPr>
        <w:t>и</w:t>
      </w:r>
      <w:r>
        <w:rPr>
          <w:color w:val="231F20"/>
          <w:spacing w:val="-6"/>
        </w:rPr>
        <w:t> </w:t>
      </w:r>
      <w:r>
        <w:rPr>
          <w:color w:val="231F20"/>
        </w:rPr>
        <w:t>школьный</w:t>
      </w:r>
      <w:r>
        <w:rPr>
          <w:color w:val="231F20"/>
          <w:spacing w:val="-6"/>
        </w:rPr>
        <w:t> </w:t>
      </w:r>
      <w:r>
        <w:rPr>
          <w:color w:val="231F20"/>
        </w:rPr>
        <w:t>психолог спланируют и проведут психологический тренинг по подготовке учащихся к обуче- нию</w:t>
      </w:r>
      <w:r>
        <w:rPr>
          <w:color w:val="231F20"/>
          <w:spacing w:val="-13"/>
        </w:rPr>
        <w:t> </w:t>
      </w:r>
      <w:r>
        <w:rPr>
          <w:color w:val="231F20"/>
        </w:rPr>
        <w:t>в</w:t>
      </w:r>
      <w:r>
        <w:rPr>
          <w:color w:val="231F20"/>
          <w:spacing w:val="-12"/>
        </w:rPr>
        <w:t> </w:t>
      </w:r>
      <w:r>
        <w:rPr>
          <w:color w:val="231F20"/>
        </w:rPr>
        <w:t>сотрудничестве,</w:t>
      </w:r>
      <w:r>
        <w:rPr>
          <w:color w:val="231F20"/>
          <w:spacing w:val="-13"/>
        </w:rPr>
        <w:t> </w:t>
      </w:r>
      <w:r>
        <w:rPr>
          <w:color w:val="231F20"/>
        </w:rPr>
        <w:t>значит</w:t>
      </w:r>
      <w:r>
        <w:rPr>
          <w:color w:val="231F20"/>
          <w:spacing w:val="-12"/>
        </w:rPr>
        <w:t> </w:t>
      </w:r>
      <w:r>
        <w:rPr>
          <w:color w:val="231F20"/>
        </w:rPr>
        <w:t>с</w:t>
      </w:r>
      <w:r>
        <w:rPr>
          <w:color w:val="231F20"/>
          <w:spacing w:val="-13"/>
        </w:rPr>
        <w:t> </w:t>
      </w:r>
      <w:r>
        <w:rPr>
          <w:color w:val="231F20"/>
        </w:rPr>
        <w:t>этой</w:t>
      </w:r>
      <w:r>
        <w:rPr>
          <w:color w:val="231F20"/>
          <w:spacing w:val="-12"/>
        </w:rPr>
        <w:t> </w:t>
      </w:r>
      <w:r>
        <w:rPr>
          <w:color w:val="231F20"/>
        </w:rPr>
        <w:t>группой</w:t>
      </w:r>
      <w:r>
        <w:rPr>
          <w:color w:val="231F20"/>
          <w:spacing w:val="-13"/>
        </w:rPr>
        <w:t> </w:t>
      </w:r>
      <w:r>
        <w:rPr>
          <w:color w:val="231F20"/>
        </w:rPr>
        <w:t>учащихся</w:t>
      </w:r>
      <w:r>
        <w:rPr>
          <w:color w:val="231F20"/>
          <w:spacing w:val="-12"/>
        </w:rPr>
        <w:t> </w:t>
      </w:r>
      <w:r>
        <w:rPr>
          <w:color w:val="231F20"/>
        </w:rPr>
        <w:t>можно</w:t>
      </w:r>
      <w:r>
        <w:rPr>
          <w:color w:val="231F20"/>
          <w:spacing w:val="-13"/>
        </w:rPr>
        <w:t> </w:t>
      </w:r>
      <w:r>
        <w:rPr>
          <w:color w:val="231F20"/>
        </w:rPr>
        <w:t>работать</w:t>
      </w:r>
      <w:r>
        <w:rPr>
          <w:color w:val="231F20"/>
          <w:spacing w:val="-12"/>
        </w:rPr>
        <w:t> </w:t>
      </w:r>
      <w:r>
        <w:rPr>
          <w:color w:val="231F20"/>
        </w:rPr>
        <w:t>в</w:t>
      </w:r>
      <w:r>
        <w:rPr>
          <w:color w:val="231F20"/>
          <w:spacing w:val="-13"/>
        </w:rPr>
        <w:t> </w:t>
      </w:r>
      <w:r>
        <w:rPr>
          <w:color w:val="231F20"/>
        </w:rPr>
        <w:t>технологии сотрудничества и другим учителям, и на других предметах.</w:t>
      </w:r>
    </w:p>
    <w:p>
      <w:pPr>
        <w:pStyle w:val="BodyText"/>
        <w:spacing w:line="232" w:lineRule="auto" w:before="7"/>
      </w:pPr>
      <w:r>
        <w:rPr>
          <w:color w:val="231F20"/>
        </w:rPr>
        <w:t>При</w:t>
      </w:r>
      <w:r>
        <w:rPr>
          <w:color w:val="231F20"/>
          <w:spacing w:val="-6"/>
        </w:rPr>
        <w:t> </w:t>
      </w:r>
      <w:r>
        <w:rPr>
          <w:color w:val="231F20"/>
        </w:rPr>
        <w:t>появлении</w:t>
      </w:r>
      <w:r>
        <w:rPr>
          <w:color w:val="231F20"/>
          <w:spacing w:val="-6"/>
        </w:rPr>
        <w:t> </w:t>
      </w:r>
      <w:r>
        <w:rPr>
          <w:color w:val="231F20"/>
        </w:rPr>
        <w:t>интереса</w:t>
      </w:r>
      <w:r>
        <w:rPr>
          <w:color w:val="231F20"/>
          <w:spacing w:val="-6"/>
        </w:rPr>
        <w:t> </w:t>
      </w:r>
      <w:r>
        <w:rPr>
          <w:color w:val="231F20"/>
        </w:rPr>
        <w:t>к</w:t>
      </w:r>
      <w:r>
        <w:rPr>
          <w:color w:val="231F20"/>
          <w:spacing w:val="-6"/>
        </w:rPr>
        <w:t> </w:t>
      </w:r>
      <w:r>
        <w:rPr>
          <w:color w:val="231F20"/>
        </w:rPr>
        <w:t>использованию</w:t>
      </w:r>
      <w:r>
        <w:rPr>
          <w:color w:val="231F20"/>
          <w:spacing w:val="-6"/>
        </w:rPr>
        <w:t> </w:t>
      </w:r>
      <w:r>
        <w:rPr>
          <w:color w:val="231F20"/>
        </w:rPr>
        <w:t>данной</w:t>
      </w:r>
      <w:r>
        <w:rPr>
          <w:color w:val="231F20"/>
          <w:spacing w:val="-6"/>
        </w:rPr>
        <w:t> </w:t>
      </w:r>
      <w:r>
        <w:rPr>
          <w:color w:val="231F20"/>
        </w:rPr>
        <w:t>технологии</w:t>
      </w:r>
      <w:r>
        <w:rPr>
          <w:color w:val="231F20"/>
          <w:spacing w:val="-6"/>
        </w:rPr>
        <w:t> </w:t>
      </w:r>
      <w:r>
        <w:rPr>
          <w:color w:val="231F20"/>
        </w:rPr>
        <w:t>обучения</w:t>
      </w:r>
      <w:r>
        <w:rPr>
          <w:color w:val="231F20"/>
          <w:spacing w:val="-6"/>
        </w:rPr>
        <w:t> </w:t>
      </w:r>
      <w:r>
        <w:rPr>
          <w:color w:val="231F20"/>
        </w:rPr>
        <w:t>со</w:t>
      </w:r>
      <w:r>
        <w:rPr>
          <w:color w:val="231F20"/>
          <w:spacing w:val="-6"/>
        </w:rPr>
        <w:t> </w:t>
      </w:r>
      <w:r>
        <w:rPr>
          <w:color w:val="231F20"/>
        </w:rPr>
        <w:t>сторо- ны</w:t>
      </w:r>
      <w:r>
        <w:rPr>
          <w:color w:val="231F20"/>
          <w:spacing w:val="-5"/>
        </w:rPr>
        <w:t> </w:t>
      </w:r>
      <w:r>
        <w:rPr>
          <w:color w:val="231F20"/>
        </w:rPr>
        <w:t>методических</w:t>
      </w:r>
      <w:r>
        <w:rPr>
          <w:color w:val="231F20"/>
          <w:spacing w:val="-5"/>
        </w:rPr>
        <w:t> </w:t>
      </w:r>
      <w:r>
        <w:rPr>
          <w:color w:val="231F20"/>
        </w:rPr>
        <w:t>объединений</w:t>
      </w:r>
      <w:r>
        <w:rPr>
          <w:color w:val="231F20"/>
          <w:spacing w:val="-5"/>
        </w:rPr>
        <w:t> </w:t>
      </w:r>
      <w:r>
        <w:rPr>
          <w:color w:val="231F20"/>
        </w:rPr>
        <w:t>школы,</w:t>
      </w:r>
      <w:r>
        <w:rPr>
          <w:color w:val="231F20"/>
          <w:spacing w:val="-5"/>
        </w:rPr>
        <w:t> </w:t>
      </w:r>
      <w:r>
        <w:rPr>
          <w:color w:val="231F20"/>
        </w:rPr>
        <w:t>учителей-методистов</w:t>
      </w:r>
      <w:r>
        <w:rPr>
          <w:color w:val="231F20"/>
          <w:spacing w:val="-5"/>
        </w:rPr>
        <w:t> </w:t>
      </w:r>
      <w:r>
        <w:rPr>
          <w:color w:val="231F20"/>
        </w:rPr>
        <w:t>и</w:t>
      </w:r>
      <w:r>
        <w:rPr>
          <w:color w:val="231F20"/>
          <w:spacing w:val="-5"/>
        </w:rPr>
        <w:t> </w:t>
      </w:r>
      <w:r>
        <w:rPr>
          <w:color w:val="231F20"/>
        </w:rPr>
        <w:t>заместителя</w:t>
      </w:r>
      <w:r>
        <w:rPr>
          <w:color w:val="231F20"/>
          <w:spacing w:val="-5"/>
        </w:rPr>
        <w:t> </w:t>
      </w:r>
      <w:r>
        <w:rPr>
          <w:color w:val="231F20"/>
        </w:rPr>
        <w:t>директо- ра</w:t>
      </w:r>
      <w:r>
        <w:rPr>
          <w:color w:val="231F20"/>
          <w:spacing w:val="-2"/>
        </w:rPr>
        <w:t> </w:t>
      </w:r>
      <w:r>
        <w:rPr>
          <w:color w:val="231F20"/>
        </w:rPr>
        <w:t>школы</w:t>
      </w:r>
      <w:r>
        <w:rPr>
          <w:color w:val="231F20"/>
          <w:spacing w:val="-2"/>
        </w:rPr>
        <w:t> </w:t>
      </w:r>
      <w:r>
        <w:rPr>
          <w:color w:val="231F20"/>
        </w:rPr>
        <w:t>по</w:t>
      </w:r>
      <w:r>
        <w:rPr>
          <w:color w:val="231F20"/>
          <w:spacing w:val="-2"/>
        </w:rPr>
        <w:t> </w:t>
      </w:r>
      <w:r>
        <w:rPr>
          <w:color w:val="231F20"/>
        </w:rPr>
        <w:t>содержанию</w:t>
      </w:r>
      <w:r>
        <w:rPr>
          <w:color w:val="231F20"/>
          <w:spacing w:val="-2"/>
        </w:rPr>
        <w:t> </w:t>
      </w:r>
      <w:r>
        <w:rPr>
          <w:color w:val="231F20"/>
        </w:rPr>
        <w:t>образования</w:t>
      </w:r>
      <w:r>
        <w:rPr>
          <w:color w:val="231F20"/>
          <w:spacing w:val="-2"/>
        </w:rPr>
        <w:t> </w:t>
      </w:r>
      <w:r>
        <w:rPr>
          <w:color w:val="231F20"/>
        </w:rPr>
        <w:t>можно</w:t>
      </w:r>
      <w:r>
        <w:rPr>
          <w:color w:val="231F20"/>
          <w:spacing w:val="-2"/>
        </w:rPr>
        <w:t> </w:t>
      </w:r>
      <w:r>
        <w:rPr>
          <w:color w:val="231F20"/>
        </w:rPr>
        <w:t>постепенно</w:t>
      </w:r>
      <w:r>
        <w:rPr>
          <w:color w:val="231F20"/>
          <w:spacing w:val="-2"/>
        </w:rPr>
        <w:t> </w:t>
      </w:r>
      <w:r>
        <w:rPr>
          <w:color w:val="231F20"/>
        </w:rPr>
        <w:t>распространить</w:t>
      </w:r>
      <w:r>
        <w:rPr>
          <w:color w:val="231F20"/>
          <w:spacing w:val="-2"/>
        </w:rPr>
        <w:t> </w:t>
      </w:r>
      <w:r>
        <w:rPr>
          <w:color w:val="231F20"/>
        </w:rPr>
        <w:t>этот</w:t>
      </w:r>
      <w:r>
        <w:rPr>
          <w:color w:val="231F20"/>
          <w:spacing w:val="-2"/>
        </w:rPr>
        <w:t> </w:t>
      </w:r>
      <w:r>
        <w:rPr>
          <w:color w:val="231F20"/>
        </w:rPr>
        <w:t>опыт на другие предметы. То есть сложное и во многом экспериментальное обучение в сотрудничестве</w:t>
      </w:r>
      <w:r>
        <w:rPr>
          <w:color w:val="231F20"/>
          <w:spacing w:val="-11"/>
        </w:rPr>
        <w:t> </w:t>
      </w:r>
      <w:r>
        <w:rPr>
          <w:color w:val="231F20"/>
        </w:rPr>
        <w:t>в</w:t>
      </w:r>
      <w:r>
        <w:rPr>
          <w:color w:val="231F20"/>
          <w:spacing w:val="-11"/>
        </w:rPr>
        <w:t> </w:t>
      </w:r>
      <w:r>
        <w:rPr>
          <w:color w:val="231F20"/>
        </w:rPr>
        <w:t>поликультурных</w:t>
      </w:r>
      <w:r>
        <w:rPr>
          <w:color w:val="231F20"/>
          <w:spacing w:val="-11"/>
        </w:rPr>
        <w:t> </w:t>
      </w:r>
      <w:r>
        <w:rPr>
          <w:color w:val="231F20"/>
        </w:rPr>
        <w:t>классах</w:t>
      </w:r>
      <w:r>
        <w:rPr>
          <w:color w:val="231F20"/>
          <w:spacing w:val="-11"/>
        </w:rPr>
        <w:t> </w:t>
      </w:r>
      <w:r>
        <w:rPr>
          <w:color w:val="231F20"/>
        </w:rPr>
        <w:t>может</w:t>
      </w:r>
      <w:r>
        <w:rPr>
          <w:color w:val="231F20"/>
          <w:spacing w:val="-11"/>
        </w:rPr>
        <w:t> </w:t>
      </w:r>
      <w:r>
        <w:rPr>
          <w:color w:val="231F20"/>
        </w:rPr>
        <w:t>иметь</w:t>
      </w:r>
      <w:r>
        <w:rPr>
          <w:color w:val="231F20"/>
          <w:spacing w:val="-12"/>
        </w:rPr>
        <w:t> </w:t>
      </w:r>
      <w:r>
        <w:rPr>
          <w:color w:val="231F20"/>
        </w:rPr>
        <w:t>большой</w:t>
      </w:r>
      <w:r>
        <w:rPr>
          <w:color w:val="231F20"/>
          <w:spacing w:val="-12"/>
        </w:rPr>
        <w:t> </w:t>
      </w:r>
      <w:r>
        <w:rPr>
          <w:color w:val="231F20"/>
        </w:rPr>
        <w:t>пролонгированный социальный и методический эффект, который будет виден на уровне всей школы.</w:t>
      </w:r>
    </w:p>
    <w:p>
      <w:pPr>
        <w:pStyle w:val="BodyText"/>
        <w:spacing w:line="232" w:lineRule="auto" w:before="5"/>
        <w:ind w:right="140"/>
      </w:pPr>
      <w:r>
        <w:rPr>
          <w:color w:val="231F20"/>
        </w:rPr>
        <w:t>В</w:t>
      </w:r>
      <w:r>
        <w:rPr>
          <w:color w:val="231F20"/>
          <w:spacing w:val="-7"/>
        </w:rPr>
        <w:t> </w:t>
      </w:r>
      <w:r>
        <w:rPr>
          <w:color w:val="231F20"/>
        </w:rPr>
        <w:t>основе</w:t>
      </w:r>
      <w:r>
        <w:rPr>
          <w:color w:val="231F20"/>
          <w:spacing w:val="-7"/>
        </w:rPr>
        <w:t> </w:t>
      </w:r>
      <w:r>
        <w:rPr>
          <w:color w:val="231F20"/>
        </w:rPr>
        <w:t>обучения</w:t>
      </w:r>
      <w:r>
        <w:rPr>
          <w:color w:val="231F20"/>
          <w:spacing w:val="-7"/>
        </w:rPr>
        <w:t> </w:t>
      </w:r>
      <w:r>
        <w:rPr>
          <w:color w:val="231F20"/>
        </w:rPr>
        <w:t>в</w:t>
      </w:r>
      <w:r>
        <w:rPr>
          <w:color w:val="231F20"/>
          <w:spacing w:val="-7"/>
        </w:rPr>
        <w:t> </w:t>
      </w:r>
      <w:r>
        <w:rPr>
          <w:color w:val="231F20"/>
        </w:rPr>
        <w:t>сотрудничестве</w:t>
      </w:r>
      <w:r>
        <w:rPr>
          <w:color w:val="231F20"/>
          <w:spacing w:val="-7"/>
        </w:rPr>
        <w:t> </w:t>
      </w:r>
      <w:r>
        <w:rPr>
          <w:color w:val="231F20"/>
        </w:rPr>
        <w:t>лежит</w:t>
      </w:r>
      <w:r>
        <w:rPr>
          <w:color w:val="231F20"/>
          <w:spacing w:val="-7"/>
        </w:rPr>
        <w:t> </w:t>
      </w:r>
      <w:r>
        <w:rPr>
          <w:color w:val="231F20"/>
        </w:rPr>
        <w:t>групповая</w:t>
      </w:r>
      <w:r>
        <w:rPr>
          <w:color w:val="231F20"/>
          <w:spacing w:val="-7"/>
        </w:rPr>
        <w:t> </w:t>
      </w:r>
      <w:r>
        <w:rPr>
          <w:color w:val="231F20"/>
        </w:rPr>
        <w:t>работа</w:t>
      </w:r>
      <w:r>
        <w:rPr>
          <w:color w:val="231F20"/>
          <w:spacing w:val="-7"/>
        </w:rPr>
        <w:t> </w:t>
      </w:r>
      <w:r>
        <w:rPr>
          <w:color w:val="231F20"/>
        </w:rPr>
        <w:t>учащихся.</w:t>
      </w:r>
      <w:r>
        <w:rPr>
          <w:color w:val="231F20"/>
          <w:spacing w:val="-7"/>
        </w:rPr>
        <w:t> </w:t>
      </w:r>
      <w:r>
        <w:rPr>
          <w:color w:val="231F20"/>
        </w:rPr>
        <w:t>Учитель, который организует учебный процесс, всегда стоит перед выбором:</w:t>
      </w:r>
    </w:p>
    <w:p>
      <w:pPr>
        <w:pStyle w:val="ListParagraph"/>
        <w:numPr>
          <w:ilvl w:val="0"/>
          <w:numId w:val="305"/>
        </w:numPr>
        <w:tabs>
          <w:tab w:pos="424" w:val="left" w:leader="none"/>
        </w:tabs>
        <w:spacing w:line="223" w:lineRule="exact" w:before="0" w:after="0"/>
        <w:ind w:left="424" w:right="0" w:hanging="283"/>
        <w:jc w:val="both"/>
        <w:rPr>
          <w:i/>
          <w:sz w:val="20"/>
        </w:rPr>
      </w:pPr>
      <w:r>
        <w:rPr>
          <w:i/>
          <w:color w:val="231F20"/>
          <w:sz w:val="20"/>
        </w:rPr>
        <w:t>Провести</w:t>
      </w:r>
      <w:r>
        <w:rPr>
          <w:i/>
          <w:color w:val="231F20"/>
          <w:spacing w:val="-4"/>
          <w:sz w:val="20"/>
        </w:rPr>
        <w:t> </w:t>
      </w:r>
      <w:r>
        <w:rPr>
          <w:i/>
          <w:color w:val="231F20"/>
          <w:sz w:val="20"/>
        </w:rPr>
        <w:t>традиционный</w:t>
      </w:r>
      <w:r>
        <w:rPr>
          <w:i/>
          <w:color w:val="231F20"/>
          <w:spacing w:val="-2"/>
          <w:sz w:val="20"/>
        </w:rPr>
        <w:t> </w:t>
      </w:r>
      <w:r>
        <w:rPr>
          <w:i/>
          <w:color w:val="231F20"/>
          <w:sz w:val="20"/>
        </w:rPr>
        <w:t>(фронтальный)</w:t>
      </w:r>
      <w:r>
        <w:rPr>
          <w:i/>
          <w:color w:val="231F20"/>
          <w:spacing w:val="-2"/>
          <w:sz w:val="20"/>
        </w:rPr>
        <w:t> урок.</w:t>
      </w:r>
    </w:p>
    <w:p>
      <w:pPr>
        <w:pStyle w:val="BodyText"/>
        <w:spacing w:line="232" w:lineRule="auto" w:before="3"/>
        <w:ind w:right="140"/>
      </w:pPr>
      <w:r>
        <w:rPr>
          <w:color w:val="231F20"/>
        </w:rPr>
        <w:t>В этом случае учитель сможет сам дать учащимся весь необходимый учебный </w:t>
      </w:r>
      <w:r>
        <w:rPr>
          <w:color w:val="231F20"/>
          <w:spacing w:val="-2"/>
        </w:rPr>
        <w:t>материал.</w:t>
      </w:r>
    </w:p>
    <w:p>
      <w:pPr>
        <w:pStyle w:val="ListParagraph"/>
        <w:numPr>
          <w:ilvl w:val="0"/>
          <w:numId w:val="305"/>
        </w:numPr>
        <w:tabs>
          <w:tab w:pos="424" w:val="left" w:leader="none"/>
        </w:tabs>
        <w:spacing w:line="223" w:lineRule="exact" w:before="0" w:after="0"/>
        <w:ind w:left="424" w:right="0" w:hanging="283"/>
        <w:jc w:val="both"/>
        <w:rPr>
          <w:i/>
          <w:sz w:val="20"/>
        </w:rPr>
      </w:pPr>
      <w:r>
        <w:rPr>
          <w:i/>
          <w:color w:val="231F20"/>
          <w:sz w:val="20"/>
        </w:rPr>
        <w:t>Предложить</w:t>
      </w:r>
      <w:r>
        <w:rPr>
          <w:i/>
          <w:color w:val="231F20"/>
          <w:spacing w:val="-8"/>
          <w:sz w:val="20"/>
        </w:rPr>
        <w:t> </w:t>
      </w:r>
      <w:r>
        <w:rPr>
          <w:i/>
          <w:color w:val="231F20"/>
          <w:sz w:val="20"/>
        </w:rPr>
        <w:t>учащимся</w:t>
      </w:r>
      <w:r>
        <w:rPr>
          <w:i/>
          <w:color w:val="231F20"/>
          <w:spacing w:val="-4"/>
          <w:sz w:val="20"/>
        </w:rPr>
        <w:t> </w:t>
      </w:r>
      <w:r>
        <w:rPr>
          <w:i/>
          <w:color w:val="231F20"/>
          <w:sz w:val="20"/>
        </w:rPr>
        <w:t>сделать</w:t>
      </w:r>
      <w:r>
        <w:rPr>
          <w:i/>
          <w:color w:val="231F20"/>
          <w:spacing w:val="-5"/>
          <w:sz w:val="20"/>
        </w:rPr>
        <w:t> </w:t>
      </w:r>
      <w:r>
        <w:rPr>
          <w:i/>
          <w:color w:val="231F20"/>
          <w:sz w:val="20"/>
        </w:rPr>
        <w:t>индивидуальный</w:t>
      </w:r>
      <w:r>
        <w:rPr>
          <w:i/>
          <w:color w:val="231F20"/>
          <w:spacing w:val="-4"/>
          <w:sz w:val="20"/>
        </w:rPr>
        <w:t> </w:t>
      </w:r>
      <w:r>
        <w:rPr>
          <w:i/>
          <w:color w:val="231F20"/>
          <w:spacing w:val="-2"/>
          <w:sz w:val="20"/>
        </w:rPr>
        <w:t>проект.</w:t>
      </w:r>
    </w:p>
    <w:p>
      <w:pPr>
        <w:pStyle w:val="BodyText"/>
        <w:spacing w:line="232" w:lineRule="auto" w:before="2"/>
      </w:pPr>
      <w:r>
        <w:rPr>
          <w:color w:val="231F20"/>
        </w:rPr>
        <w:t>В</w:t>
      </w:r>
      <w:r>
        <w:rPr>
          <w:color w:val="231F20"/>
          <w:spacing w:val="-8"/>
        </w:rPr>
        <w:t> </w:t>
      </w:r>
      <w:r>
        <w:rPr>
          <w:color w:val="231F20"/>
        </w:rPr>
        <w:t>этом</w:t>
      </w:r>
      <w:r>
        <w:rPr>
          <w:color w:val="231F20"/>
          <w:spacing w:val="-8"/>
        </w:rPr>
        <w:t> </w:t>
      </w:r>
      <w:r>
        <w:rPr>
          <w:color w:val="231F20"/>
        </w:rPr>
        <w:t>случае</w:t>
      </w:r>
      <w:r>
        <w:rPr>
          <w:color w:val="231F20"/>
          <w:spacing w:val="-8"/>
        </w:rPr>
        <w:t> </w:t>
      </w:r>
      <w:r>
        <w:rPr>
          <w:color w:val="231F20"/>
        </w:rPr>
        <w:t>каждый</w:t>
      </w:r>
      <w:r>
        <w:rPr>
          <w:color w:val="231F20"/>
          <w:spacing w:val="-8"/>
        </w:rPr>
        <w:t> </w:t>
      </w:r>
      <w:r>
        <w:rPr>
          <w:color w:val="231F20"/>
        </w:rPr>
        <w:t>учащийся</w:t>
      </w:r>
      <w:r>
        <w:rPr>
          <w:color w:val="231F20"/>
          <w:spacing w:val="-8"/>
        </w:rPr>
        <w:t> </w:t>
      </w:r>
      <w:r>
        <w:rPr>
          <w:color w:val="231F20"/>
        </w:rPr>
        <w:t>выполняет</w:t>
      </w:r>
      <w:r>
        <w:rPr>
          <w:color w:val="231F20"/>
          <w:spacing w:val="-8"/>
        </w:rPr>
        <w:t> </w:t>
      </w:r>
      <w:r>
        <w:rPr>
          <w:color w:val="231F20"/>
        </w:rPr>
        <w:t>определенные</w:t>
      </w:r>
      <w:r>
        <w:rPr>
          <w:color w:val="231F20"/>
          <w:spacing w:val="-8"/>
        </w:rPr>
        <w:t> </w:t>
      </w:r>
      <w:r>
        <w:rPr>
          <w:color w:val="231F20"/>
        </w:rPr>
        <w:t>этапы</w:t>
      </w:r>
      <w:r>
        <w:rPr>
          <w:color w:val="231F20"/>
          <w:spacing w:val="-8"/>
        </w:rPr>
        <w:t> </w:t>
      </w:r>
      <w:r>
        <w:rPr>
          <w:color w:val="231F20"/>
        </w:rPr>
        <w:t>работ,</w:t>
      </w:r>
      <w:r>
        <w:rPr>
          <w:color w:val="231F20"/>
          <w:spacing w:val="-8"/>
        </w:rPr>
        <w:t> </w:t>
      </w:r>
      <w:r>
        <w:rPr>
          <w:color w:val="231F20"/>
        </w:rPr>
        <w:t>а</w:t>
      </w:r>
      <w:r>
        <w:rPr>
          <w:color w:val="231F20"/>
          <w:spacing w:val="-8"/>
        </w:rPr>
        <w:t> </w:t>
      </w:r>
      <w:r>
        <w:rPr>
          <w:color w:val="231F20"/>
        </w:rPr>
        <w:t>учитель корректирует результаты.</w:t>
      </w:r>
    </w:p>
    <w:p>
      <w:pPr>
        <w:pStyle w:val="ListParagraph"/>
        <w:numPr>
          <w:ilvl w:val="0"/>
          <w:numId w:val="305"/>
        </w:numPr>
        <w:tabs>
          <w:tab w:pos="425" w:val="left" w:leader="none"/>
        </w:tabs>
        <w:spacing w:line="232" w:lineRule="auto" w:before="2" w:after="0"/>
        <w:ind w:left="425" w:right="139" w:hanging="284"/>
        <w:jc w:val="both"/>
        <w:rPr>
          <w:i/>
          <w:sz w:val="20"/>
        </w:rPr>
      </w:pPr>
      <w:r>
        <w:rPr>
          <w:i/>
          <w:color w:val="231F20"/>
          <w:sz w:val="20"/>
        </w:rPr>
        <w:t>Организовать</w:t>
      </w:r>
      <w:r>
        <w:rPr>
          <w:i/>
          <w:color w:val="231F20"/>
          <w:spacing w:val="-13"/>
          <w:sz w:val="20"/>
        </w:rPr>
        <w:t> </w:t>
      </w:r>
      <w:r>
        <w:rPr>
          <w:i/>
          <w:color w:val="231F20"/>
          <w:sz w:val="20"/>
        </w:rPr>
        <w:t>групповую</w:t>
      </w:r>
      <w:r>
        <w:rPr>
          <w:i/>
          <w:color w:val="231F20"/>
          <w:spacing w:val="-12"/>
          <w:sz w:val="20"/>
        </w:rPr>
        <w:t> </w:t>
      </w:r>
      <w:r>
        <w:rPr>
          <w:i/>
          <w:color w:val="231F20"/>
          <w:sz w:val="20"/>
        </w:rPr>
        <w:t>работу</w:t>
      </w:r>
      <w:r>
        <w:rPr>
          <w:i/>
          <w:color w:val="231F20"/>
          <w:spacing w:val="-13"/>
          <w:sz w:val="20"/>
        </w:rPr>
        <w:t> </w:t>
      </w:r>
      <w:r>
        <w:rPr>
          <w:i/>
          <w:color w:val="231F20"/>
          <w:sz w:val="20"/>
        </w:rPr>
        <w:t>на</w:t>
      </w:r>
      <w:r>
        <w:rPr>
          <w:i/>
          <w:color w:val="231F20"/>
          <w:spacing w:val="-12"/>
          <w:sz w:val="20"/>
        </w:rPr>
        <w:t> </w:t>
      </w:r>
      <w:r>
        <w:rPr>
          <w:i/>
          <w:color w:val="231F20"/>
          <w:sz w:val="20"/>
        </w:rPr>
        <w:t>уроке,</w:t>
      </w:r>
      <w:r>
        <w:rPr>
          <w:i/>
          <w:color w:val="231F20"/>
          <w:spacing w:val="-13"/>
          <w:sz w:val="20"/>
        </w:rPr>
        <w:t> </w:t>
      </w:r>
      <w:r>
        <w:rPr>
          <w:i/>
          <w:color w:val="231F20"/>
          <w:sz w:val="20"/>
        </w:rPr>
        <w:t>которая</w:t>
      </w:r>
      <w:r>
        <w:rPr>
          <w:i/>
          <w:color w:val="231F20"/>
          <w:spacing w:val="-12"/>
          <w:sz w:val="20"/>
        </w:rPr>
        <w:t> </w:t>
      </w:r>
      <w:r>
        <w:rPr>
          <w:i/>
          <w:color w:val="231F20"/>
          <w:sz w:val="20"/>
        </w:rPr>
        <w:t>может</w:t>
      </w:r>
      <w:r>
        <w:rPr>
          <w:i/>
          <w:color w:val="231F20"/>
          <w:spacing w:val="-13"/>
          <w:sz w:val="20"/>
        </w:rPr>
        <w:t> </w:t>
      </w:r>
      <w:r>
        <w:rPr>
          <w:i/>
          <w:color w:val="231F20"/>
          <w:sz w:val="20"/>
        </w:rPr>
        <w:t>быть</w:t>
      </w:r>
      <w:r>
        <w:rPr>
          <w:i/>
          <w:color w:val="231F20"/>
          <w:spacing w:val="-12"/>
          <w:sz w:val="20"/>
        </w:rPr>
        <w:t> </w:t>
      </w:r>
      <w:r>
        <w:rPr>
          <w:i/>
          <w:color w:val="231F20"/>
          <w:sz w:val="20"/>
        </w:rPr>
        <w:t>продолжена</w:t>
      </w:r>
      <w:r>
        <w:rPr>
          <w:i/>
          <w:color w:val="231F20"/>
          <w:spacing w:val="-13"/>
          <w:sz w:val="20"/>
        </w:rPr>
        <w:t> </w:t>
      </w:r>
      <w:r>
        <w:rPr>
          <w:i/>
          <w:color w:val="231F20"/>
          <w:sz w:val="20"/>
        </w:rPr>
        <w:t>по- сле урока.</w:t>
      </w:r>
    </w:p>
    <w:p>
      <w:pPr>
        <w:pStyle w:val="BodyText"/>
        <w:spacing w:line="235" w:lineRule="auto"/>
      </w:pPr>
      <w:r>
        <w:rPr>
          <w:color w:val="231F20"/>
        </w:rPr>
        <w:t>В</w:t>
      </w:r>
      <w:r>
        <w:rPr>
          <w:color w:val="231F20"/>
          <w:spacing w:val="-9"/>
        </w:rPr>
        <w:t> </w:t>
      </w:r>
      <w:r>
        <w:rPr>
          <w:color w:val="231F20"/>
        </w:rPr>
        <w:t>этом</w:t>
      </w:r>
      <w:r>
        <w:rPr>
          <w:color w:val="231F20"/>
          <w:spacing w:val="-9"/>
        </w:rPr>
        <w:t> </w:t>
      </w:r>
      <w:r>
        <w:rPr>
          <w:color w:val="231F20"/>
        </w:rPr>
        <w:t>случае</w:t>
      </w:r>
      <w:r>
        <w:rPr>
          <w:color w:val="231F20"/>
          <w:spacing w:val="-9"/>
        </w:rPr>
        <w:t> </w:t>
      </w:r>
      <w:r>
        <w:rPr>
          <w:color w:val="231F20"/>
        </w:rPr>
        <w:t>учителю</w:t>
      </w:r>
      <w:r>
        <w:rPr>
          <w:color w:val="231F20"/>
          <w:spacing w:val="-9"/>
        </w:rPr>
        <w:t> </w:t>
      </w:r>
      <w:r>
        <w:rPr>
          <w:color w:val="231F20"/>
        </w:rPr>
        <w:t>придется</w:t>
      </w:r>
      <w:r>
        <w:rPr>
          <w:color w:val="231F20"/>
          <w:spacing w:val="-9"/>
        </w:rPr>
        <w:t> </w:t>
      </w:r>
      <w:r>
        <w:rPr>
          <w:color w:val="231F20"/>
        </w:rPr>
        <w:t>проделать</w:t>
      </w:r>
      <w:r>
        <w:rPr>
          <w:color w:val="231F20"/>
          <w:spacing w:val="-9"/>
        </w:rPr>
        <w:t> </w:t>
      </w:r>
      <w:r>
        <w:rPr>
          <w:color w:val="231F20"/>
        </w:rPr>
        <w:t>большую</w:t>
      </w:r>
      <w:r>
        <w:rPr>
          <w:color w:val="231F20"/>
          <w:spacing w:val="-9"/>
        </w:rPr>
        <w:t> </w:t>
      </w:r>
      <w:r>
        <w:rPr>
          <w:color w:val="231F20"/>
        </w:rPr>
        <w:t>дополнительную</w:t>
      </w:r>
      <w:r>
        <w:rPr>
          <w:color w:val="231F20"/>
          <w:spacing w:val="-9"/>
        </w:rPr>
        <w:t> </w:t>
      </w:r>
      <w:r>
        <w:rPr>
          <w:color w:val="231F20"/>
        </w:rPr>
        <w:t>работу,</w:t>
      </w:r>
      <w:r>
        <w:rPr>
          <w:color w:val="231F20"/>
          <w:spacing w:val="-9"/>
        </w:rPr>
        <w:t> </w:t>
      </w:r>
      <w:r>
        <w:rPr>
          <w:color w:val="231F20"/>
        </w:rPr>
        <w:t>за- ранее</w:t>
      </w:r>
      <w:r>
        <w:rPr>
          <w:color w:val="231F20"/>
          <w:spacing w:val="-7"/>
        </w:rPr>
        <w:t> </w:t>
      </w:r>
      <w:r>
        <w:rPr>
          <w:color w:val="231F20"/>
        </w:rPr>
        <w:t>продумав</w:t>
      </w:r>
      <w:r>
        <w:rPr>
          <w:color w:val="231F20"/>
          <w:spacing w:val="-7"/>
        </w:rPr>
        <w:t> </w:t>
      </w:r>
      <w:r>
        <w:rPr>
          <w:color w:val="231F20"/>
        </w:rPr>
        <w:t>принцип</w:t>
      </w:r>
      <w:r>
        <w:rPr>
          <w:color w:val="231F20"/>
          <w:spacing w:val="-7"/>
        </w:rPr>
        <w:t> </w:t>
      </w:r>
      <w:r>
        <w:rPr>
          <w:color w:val="231F20"/>
        </w:rPr>
        <w:t>деления</w:t>
      </w:r>
      <w:r>
        <w:rPr>
          <w:color w:val="231F20"/>
          <w:spacing w:val="-7"/>
        </w:rPr>
        <w:t> </w:t>
      </w:r>
      <w:r>
        <w:rPr>
          <w:color w:val="231F20"/>
        </w:rPr>
        <w:t>учащихся</w:t>
      </w:r>
      <w:r>
        <w:rPr>
          <w:color w:val="231F20"/>
          <w:spacing w:val="-7"/>
        </w:rPr>
        <w:t> </w:t>
      </w:r>
      <w:r>
        <w:rPr>
          <w:color w:val="231F20"/>
        </w:rPr>
        <w:t>на</w:t>
      </w:r>
      <w:r>
        <w:rPr>
          <w:color w:val="231F20"/>
          <w:spacing w:val="-7"/>
        </w:rPr>
        <w:t> </w:t>
      </w:r>
      <w:r>
        <w:rPr>
          <w:color w:val="231F20"/>
        </w:rPr>
        <w:t>группы</w:t>
      </w:r>
      <w:r>
        <w:rPr>
          <w:color w:val="231F20"/>
          <w:spacing w:val="-7"/>
        </w:rPr>
        <w:t> </w:t>
      </w:r>
      <w:r>
        <w:rPr>
          <w:color w:val="231F20"/>
        </w:rPr>
        <w:t>и</w:t>
      </w:r>
      <w:r>
        <w:rPr>
          <w:color w:val="231F20"/>
          <w:spacing w:val="-7"/>
        </w:rPr>
        <w:t> </w:t>
      </w:r>
      <w:r>
        <w:rPr>
          <w:color w:val="231F20"/>
        </w:rPr>
        <w:t>проведя</w:t>
      </w:r>
      <w:r>
        <w:rPr>
          <w:color w:val="231F20"/>
          <w:spacing w:val="-7"/>
        </w:rPr>
        <w:t> </w:t>
      </w:r>
      <w:r>
        <w:rPr>
          <w:color w:val="231F20"/>
        </w:rPr>
        <w:t>вводные</w:t>
      </w:r>
      <w:r>
        <w:rPr>
          <w:color w:val="231F20"/>
          <w:spacing w:val="-7"/>
        </w:rPr>
        <w:t> </w:t>
      </w:r>
      <w:r>
        <w:rPr>
          <w:color w:val="231F20"/>
        </w:rPr>
        <w:t>занятия</w:t>
      </w:r>
      <w:r>
        <w:rPr>
          <w:color w:val="231F20"/>
          <w:spacing w:val="-7"/>
        </w:rPr>
        <w:t> </w:t>
      </w:r>
      <w:r>
        <w:rPr>
          <w:color w:val="231F20"/>
        </w:rPr>
        <w:t>по обучению школьников работать в составе учебных групп сотрудничества.</w:t>
      </w:r>
    </w:p>
    <w:p>
      <w:pPr>
        <w:pStyle w:val="BodyText"/>
        <w:spacing w:after="0" w:line="235" w:lineRule="auto"/>
        <w:sectPr>
          <w:pgSz w:w="8400" w:h="11910"/>
          <w:pgMar w:header="0" w:footer="530" w:top="72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pPr>
      <w:r>
        <w:rPr>
          <w:color w:val="231F20"/>
        </w:rPr>
        <w:t>На сегодня в педагогической практике используются два приема формирования групп сотрудничества.</w:t>
      </w:r>
    </w:p>
    <w:p>
      <w:pPr>
        <w:pStyle w:val="ListParagraph"/>
        <w:numPr>
          <w:ilvl w:val="0"/>
          <w:numId w:val="306"/>
        </w:numPr>
        <w:tabs>
          <w:tab w:pos="425" w:val="left" w:leader="none"/>
        </w:tabs>
        <w:spacing w:line="232" w:lineRule="auto" w:before="1" w:after="0"/>
        <w:ind w:left="425" w:right="139" w:hanging="284"/>
        <w:jc w:val="both"/>
        <w:rPr>
          <w:sz w:val="20"/>
        </w:rPr>
      </w:pPr>
      <w:r>
        <w:rPr>
          <w:color w:val="231F20"/>
          <w:sz w:val="20"/>
        </w:rPr>
        <w:t>Формирование групп на основе способностей и качества обученности учащихся. Это</w:t>
      </w:r>
      <w:r>
        <w:rPr>
          <w:color w:val="231F20"/>
          <w:spacing w:val="-7"/>
          <w:sz w:val="20"/>
        </w:rPr>
        <w:t> </w:t>
      </w:r>
      <w:r>
        <w:rPr>
          <w:color w:val="231F20"/>
          <w:sz w:val="20"/>
        </w:rPr>
        <w:t>моногенные</w:t>
      </w:r>
      <w:r>
        <w:rPr>
          <w:color w:val="231F20"/>
          <w:spacing w:val="-7"/>
          <w:sz w:val="20"/>
        </w:rPr>
        <w:t> </w:t>
      </w:r>
      <w:r>
        <w:rPr>
          <w:color w:val="231F20"/>
          <w:sz w:val="20"/>
        </w:rPr>
        <w:t>по</w:t>
      </w:r>
      <w:r>
        <w:rPr>
          <w:color w:val="231F20"/>
          <w:spacing w:val="-7"/>
          <w:sz w:val="20"/>
        </w:rPr>
        <w:t> </w:t>
      </w:r>
      <w:r>
        <w:rPr>
          <w:color w:val="231F20"/>
          <w:sz w:val="20"/>
        </w:rPr>
        <w:t>составу</w:t>
      </w:r>
      <w:r>
        <w:rPr>
          <w:color w:val="231F20"/>
          <w:spacing w:val="-7"/>
          <w:sz w:val="20"/>
        </w:rPr>
        <w:t> </w:t>
      </w:r>
      <w:r>
        <w:rPr>
          <w:color w:val="231F20"/>
          <w:sz w:val="20"/>
        </w:rPr>
        <w:t>учащихся</w:t>
      </w:r>
      <w:r>
        <w:rPr>
          <w:color w:val="231F20"/>
          <w:spacing w:val="-7"/>
          <w:sz w:val="20"/>
        </w:rPr>
        <w:t> </w:t>
      </w:r>
      <w:r>
        <w:rPr>
          <w:color w:val="231F20"/>
          <w:sz w:val="20"/>
        </w:rPr>
        <w:t>группы,</w:t>
      </w:r>
      <w:r>
        <w:rPr>
          <w:color w:val="231F20"/>
          <w:spacing w:val="-7"/>
          <w:sz w:val="20"/>
        </w:rPr>
        <w:t> </w:t>
      </w:r>
      <w:r>
        <w:rPr>
          <w:color w:val="231F20"/>
          <w:sz w:val="20"/>
        </w:rPr>
        <w:t>в</w:t>
      </w:r>
      <w:r>
        <w:rPr>
          <w:color w:val="231F20"/>
          <w:spacing w:val="-7"/>
          <w:sz w:val="20"/>
        </w:rPr>
        <w:t> </w:t>
      </w:r>
      <w:r>
        <w:rPr>
          <w:color w:val="231F20"/>
          <w:sz w:val="20"/>
        </w:rPr>
        <w:t>каждой</w:t>
      </w:r>
      <w:r>
        <w:rPr>
          <w:color w:val="231F20"/>
          <w:spacing w:val="-7"/>
          <w:sz w:val="20"/>
        </w:rPr>
        <w:t> </w:t>
      </w:r>
      <w:r>
        <w:rPr>
          <w:color w:val="231F20"/>
          <w:sz w:val="20"/>
        </w:rPr>
        <w:t>из</w:t>
      </w:r>
      <w:r>
        <w:rPr>
          <w:color w:val="231F20"/>
          <w:spacing w:val="-7"/>
          <w:sz w:val="20"/>
        </w:rPr>
        <w:t> </w:t>
      </w:r>
      <w:r>
        <w:rPr>
          <w:color w:val="231F20"/>
          <w:sz w:val="20"/>
        </w:rPr>
        <w:t>которых</w:t>
      </w:r>
      <w:r>
        <w:rPr>
          <w:color w:val="231F20"/>
          <w:spacing w:val="-7"/>
          <w:sz w:val="20"/>
        </w:rPr>
        <w:t> </w:t>
      </w:r>
      <w:r>
        <w:rPr>
          <w:color w:val="231F20"/>
          <w:sz w:val="20"/>
        </w:rPr>
        <w:t>будут</w:t>
      </w:r>
      <w:r>
        <w:rPr>
          <w:color w:val="231F20"/>
          <w:spacing w:val="-7"/>
          <w:sz w:val="20"/>
        </w:rPr>
        <w:t> </w:t>
      </w:r>
      <w:r>
        <w:rPr>
          <w:color w:val="231F20"/>
          <w:sz w:val="20"/>
        </w:rPr>
        <w:t>учащи-</w:t>
      </w:r>
    </w:p>
    <w:p>
      <w:pPr>
        <w:pStyle w:val="BodyText"/>
        <w:spacing w:line="232" w:lineRule="auto" w:before="2"/>
        <w:ind w:firstLine="0"/>
      </w:pPr>
      <w:r>
        <w:rPr>
          <w:color w:val="231F20"/>
        </w:rPr>
        <w:t>еся примерно с одинаковым уровнем подготовки по предмету и имеющие похожие навыки учебной деятельности и коммуникации.</w:t>
      </w:r>
    </w:p>
    <w:p>
      <w:pPr>
        <w:pStyle w:val="BodyText"/>
        <w:spacing w:line="232" w:lineRule="auto" w:before="2"/>
        <w:ind w:right="140"/>
      </w:pPr>
      <w:r>
        <w:rPr>
          <w:color w:val="231F20"/>
          <w:spacing w:val="-2"/>
        </w:rPr>
        <w:t>Основное достоинство такой группы, что учащимся легко взаимодействовать друг </w:t>
      </w:r>
      <w:r>
        <w:rPr>
          <w:color w:val="231F20"/>
        </w:rPr>
        <w:t>с</w:t>
      </w:r>
      <w:r>
        <w:rPr>
          <w:color w:val="231F20"/>
          <w:spacing w:val="-11"/>
        </w:rPr>
        <w:t> </w:t>
      </w:r>
      <w:r>
        <w:rPr>
          <w:color w:val="231F20"/>
        </w:rPr>
        <w:t>другом</w:t>
      </w:r>
      <w:r>
        <w:rPr>
          <w:color w:val="231F20"/>
          <w:spacing w:val="-11"/>
        </w:rPr>
        <w:t> </w:t>
      </w:r>
      <w:r>
        <w:rPr>
          <w:color w:val="231F20"/>
        </w:rPr>
        <w:t>в</w:t>
      </w:r>
      <w:r>
        <w:rPr>
          <w:color w:val="231F20"/>
          <w:spacing w:val="-11"/>
        </w:rPr>
        <w:t> </w:t>
      </w:r>
      <w:r>
        <w:rPr>
          <w:color w:val="231F20"/>
        </w:rPr>
        <w:t>процессе</w:t>
      </w:r>
      <w:r>
        <w:rPr>
          <w:color w:val="231F20"/>
          <w:spacing w:val="-11"/>
        </w:rPr>
        <w:t> </w:t>
      </w:r>
      <w:r>
        <w:rPr>
          <w:color w:val="231F20"/>
        </w:rPr>
        <w:t>совместной</w:t>
      </w:r>
      <w:r>
        <w:rPr>
          <w:color w:val="231F20"/>
          <w:spacing w:val="-11"/>
        </w:rPr>
        <w:t> </w:t>
      </w:r>
      <w:r>
        <w:rPr>
          <w:color w:val="231F20"/>
        </w:rPr>
        <w:t>деятельности,</w:t>
      </w:r>
      <w:r>
        <w:rPr>
          <w:color w:val="231F20"/>
          <w:spacing w:val="-11"/>
        </w:rPr>
        <w:t> </w:t>
      </w:r>
      <w:r>
        <w:rPr>
          <w:color w:val="231F20"/>
        </w:rPr>
        <w:t>они</w:t>
      </w:r>
      <w:r>
        <w:rPr>
          <w:color w:val="231F20"/>
          <w:spacing w:val="-11"/>
        </w:rPr>
        <w:t> </w:t>
      </w:r>
      <w:r>
        <w:rPr>
          <w:color w:val="231F20"/>
        </w:rPr>
        <w:t>быстрее</w:t>
      </w:r>
      <w:r>
        <w:rPr>
          <w:color w:val="231F20"/>
          <w:spacing w:val="-11"/>
        </w:rPr>
        <w:t> </w:t>
      </w:r>
      <w:r>
        <w:rPr>
          <w:color w:val="231F20"/>
        </w:rPr>
        <w:t>освоят</w:t>
      </w:r>
      <w:r>
        <w:rPr>
          <w:color w:val="231F20"/>
          <w:spacing w:val="-11"/>
        </w:rPr>
        <w:t> </w:t>
      </w:r>
      <w:r>
        <w:rPr>
          <w:color w:val="231F20"/>
        </w:rPr>
        <w:t>учебный</w:t>
      </w:r>
      <w:r>
        <w:rPr>
          <w:color w:val="231F20"/>
          <w:spacing w:val="-11"/>
        </w:rPr>
        <w:t> </w:t>
      </w:r>
      <w:r>
        <w:rPr>
          <w:color w:val="231F20"/>
        </w:rPr>
        <w:t>материал и получат ожидаемый результат, а при необходимости смогут помочь друг другу.</w:t>
      </w:r>
    </w:p>
    <w:p>
      <w:pPr>
        <w:pStyle w:val="BodyText"/>
        <w:spacing w:line="232" w:lineRule="auto" w:before="2"/>
      </w:pPr>
      <w:r>
        <w:rPr>
          <w:color w:val="231F20"/>
        </w:rPr>
        <w:t>К недостаткам формирования групп по этому принципу относится сегрегация групп учащихся и формирование заведомо слабых по уровню успеваемости групп, усиление конфронтации разных по социальному, образовательному и культурному уровню</w:t>
      </w:r>
      <w:r>
        <w:rPr>
          <w:color w:val="231F20"/>
          <w:spacing w:val="24"/>
        </w:rPr>
        <w:t> </w:t>
      </w:r>
      <w:r>
        <w:rPr>
          <w:color w:val="231F20"/>
        </w:rPr>
        <w:t>учащихся,</w:t>
      </w:r>
      <w:r>
        <w:rPr>
          <w:color w:val="231F20"/>
          <w:spacing w:val="24"/>
        </w:rPr>
        <w:t> </w:t>
      </w:r>
      <w:r>
        <w:rPr>
          <w:color w:val="231F20"/>
        </w:rPr>
        <w:t>снижение</w:t>
      </w:r>
      <w:r>
        <w:rPr>
          <w:color w:val="231F20"/>
          <w:spacing w:val="24"/>
        </w:rPr>
        <w:t> </w:t>
      </w:r>
      <w:r>
        <w:rPr>
          <w:color w:val="231F20"/>
        </w:rPr>
        <w:t>мотивации</w:t>
      </w:r>
      <w:r>
        <w:rPr>
          <w:color w:val="231F20"/>
          <w:spacing w:val="24"/>
        </w:rPr>
        <w:t> </w:t>
      </w:r>
      <w:r>
        <w:rPr>
          <w:color w:val="231F20"/>
        </w:rPr>
        <w:t>детей</w:t>
      </w:r>
      <w:r>
        <w:rPr>
          <w:color w:val="231F20"/>
          <w:spacing w:val="24"/>
        </w:rPr>
        <w:t> </w:t>
      </w:r>
      <w:r>
        <w:rPr>
          <w:color w:val="231F20"/>
        </w:rPr>
        <w:t>из</w:t>
      </w:r>
      <w:r>
        <w:rPr>
          <w:color w:val="231F20"/>
          <w:spacing w:val="24"/>
        </w:rPr>
        <w:t> </w:t>
      </w:r>
      <w:r>
        <w:rPr>
          <w:color w:val="231F20"/>
        </w:rPr>
        <w:t>«слабых</w:t>
      </w:r>
      <w:r>
        <w:rPr>
          <w:color w:val="231F20"/>
          <w:spacing w:val="24"/>
        </w:rPr>
        <w:t> </w:t>
      </w:r>
      <w:r>
        <w:rPr>
          <w:color w:val="231F20"/>
        </w:rPr>
        <w:t>групп»</w:t>
      </w:r>
      <w:r>
        <w:rPr>
          <w:color w:val="231F20"/>
          <w:spacing w:val="24"/>
        </w:rPr>
        <w:t> </w:t>
      </w:r>
      <w:r>
        <w:rPr>
          <w:color w:val="231F20"/>
        </w:rPr>
        <w:t>по</w:t>
      </w:r>
      <w:r>
        <w:rPr>
          <w:color w:val="231F20"/>
          <w:spacing w:val="24"/>
        </w:rPr>
        <w:t> </w:t>
      </w:r>
      <w:r>
        <w:rPr>
          <w:color w:val="231F20"/>
        </w:rPr>
        <w:t>сравнению</w:t>
      </w:r>
      <w:r>
        <w:rPr>
          <w:color w:val="231F20"/>
          <w:spacing w:val="24"/>
        </w:rPr>
        <w:t> </w:t>
      </w:r>
      <w:r>
        <w:rPr>
          <w:color w:val="231F20"/>
        </w:rPr>
        <w:t>с</w:t>
      </w:r>
    </w:p>
    <w:p>
      <w:pPr>
        <w:pStyle w:val="BodyText"/>
        <w:spacing w:line="232" w:lineRule="auto" w:before="4"/>
        <w:ind w:firstLine="0"/>
      </w:pPr>
      <w:r>
        <w:rPr>
          <w:color w:val="231F20"/>
        </w:rPr>
        <w:t>«сильными</w:t>
      </w:r>
      <w:r>
        <w:rPr>
          <w:color w:val="231F20"/>
          <w:spacing w:val="-11"/>
        </w:rPr>
        <w:t> </w:t>
      </w:r>
      <w:r>
        <w:rPr>
          <w:color w:val="231F20"/>
        </w:rPr>
        <w:t>группами».</w:t>
      </w:r>
      <w:r>
        <w:rPr>
          <w:color w:val="231F20"/>
          <w:spacing w:val="-11"/>
        </w:rPr>
        <w:t> </w:t>
      </w:r>
      <w:r>
        <w:rPr>
          <w:color w:val="231F20"/>
        </w:rPr>
        <w:t>Можно</w:t>
      </w:r>
      <w:r>
        <w:rPr>
          <w:color w:val="231F20"/>
          <w:spacing w:val="-11"/>
        </w:rPr>
        <w:t> </w:t>
      </w:r>
      <w:r>
        <w:rPr>
          <w:color w:val="231F20"/>
        </w:rPr>
        <w:t>предположить,</w:t>
      </w:r>
      <w:r>
        <w:rPr>
          <w:color w:val="231F20"/>
          <w:spacing w:val="-11"/>
        </w:rPr>
        <w:t> </w:t>
      </w:r>
      <w:r>
        <w:rPr>
          <w:color w:val="231F20"/>
        </w:rPr>
        <w:t>что</w:t>
      </w:r>
      <w:r>
        <w:rPr>
          <w:color w:val="231F20"/>
          <w:spacing w:val="-11"/>
        </w:rPr>
        <w:t> </w:t>
      </w:r>
      <w:r>
        <w:rPr>
          <w:color w:val="231F20"/>
        </w:rPr>
        <w:t>учитель</w:t>
      </w:r>
      <w:r>
        <w:rPr>
          <w:color w:val="231F20"/>
          <w:spacing w:val="-11"/>
        </w:rPr>
        <w:t> </w:t>
      </w:r>
      <w:r>
        <w:rPr>
          <w:color w:val="231F20"/>
        </w:rPr>
        <w:t>будет</w:t>
      </w:r>
      <w:r>
        <w:rPr>
          <w:color w:val="231F20"/>
          <w:spacing w:val="-11"/>
        </w:rPr>
        <w:t> </w:t>
      </w:r>
      <w:r>
        <w:rPr>
          <w:color w:val="231F20"/>
        </w:rPr>
        <w:t>готовить</w:t>
      </w:r>
      <w:r>
        <w:rPr>
          <w:color w:val="231F20"/>
          <w:spacing w:val="-11"/>
        </w:rPr>
        <w:t> </w:t>
      </w:r>
      <w:r>
        <w:rPr>
          <w:color w:val="231F20"/>
        </w:rPr>
        <w:t>для</w:t>
      </w:r>
      <w:r>
        <w:rPr>
          <w:color w:val="231F20"/>
          <w:spacing w:val="-11"/>
        </w:rPr>
        <w:t> </w:t>
      </w:r>
      <w:r>
        <w:rPr>
          <w:color w:val="231F20"/>
        </w:rPr>
        <w:t>«силь- ных» и «слабых» групп разные по форме и объему изучаемого материала задания, а также по-разному контролировать работу этих групп.</w:t>
      </w:r>
    </w:p>
    <w:p>
      <w:pPr>
        <w:pStyle w:val="ListParagraph"/>
        <w:numPr>
          <w:ilvl w:val="0"/>
          <w:numId w:val="306"/>
        </w:numPr>
        <w:tabs>
          <w:tab w:pos="425" w:val="left" w:leader="none"/>
        </w:tabs>
        <w:spacing w:line="232" w:lineRule="auto" w:before="59" w:after="0"/>
        <w:ind w:left="425" w:right="140" w:hanging="284"/>
        <w:jc w:val="both"/>
        <w:rPr>
          <w:sz w:val="20"/>
        </w:rPr>
      </w:pPr>
      <w:r>
        <w:rPr>
          <w:color w:val="231F20"/>
          <w:sz w:val="20"/>
        </w:rPr>
        <w:t>Формирование</w:t>
      </w:r>
      <w:r>
        <w:rPr>
          <w:color w:val="231F20"/>
          <w:spacing w:val="-3"/>
          <w:sz w:val="20"/>
        </w:rPr>
        <w:t> </w:t>
      </w:r>
      <w:r>
        <w:rPr>
          <w:color w:val="231F20"/>
          <w:sz w:val="20"/>
        </w:rPr>
        <w:t>смешанных</w:t>
      </w:r>
      <w:r>
        <w:rPr>
          <w:color w:val="231F20"/>
          <w:spacing w:val="-3"/>
          <w:sz w:val="20"/>
        </w:rPr>
        <w:t> </w:t>
      </w:r>
      <w:r>
        <w:rPr>
          <w:color w:val="231F20"/>
          <w:sz w:val="20"/>
        </w:rPr>
        <w:t>групп</w:t>
      </w:r>
      <w:r>
        <w:rPr>
          <w:color w:val="231F20"/>
          <w:spacing w:val="-3"/>
          <w:sz w:val="20"/>
        </w:rPr>
        <w:t> </w:t>
      </w:r>
      <w:r>
        <w:rPr>
          <w:color w:val="231F20"/>
          <w:sz w:val="20"/>
        </w:rPr>
        <w:t>на</w:t>
      </w:r>
      <w:r>
        <w:rPr>
          <w:color w:val="231F20"/>
          <w:spacing w:val="-3"/>
          <w:sz w:val="20"/>
        </w:rPr>
        <w:t> </w:t>
      </w:r>
      <w:r>
        <w:rPr>
          <w:color w:val="231F20"/>
          <w:sz w:val="20"/>
        </w:rPr>
        <w:t>основе</w:t>
      </w:r>
      <w:r>
        <w:rPr>
          <w:color w:val="231F20"/>
          <w:spacing w:val="-3"/>
          <w:sz w:val="20"/>
        </w:rPr>
        <w:t> </w:t>
      </w:r>
      <w:r>
        <w:rPr>
          <w:color w:val="231F20"/>
          <w:sz w:val="20"/>
        </w:rPr>
        <w:t>принципов</w:t>
      </w:r>
      <w:r>
        <w:rPr>
          <w:color w:val="231F20"/>
          <w:spacing w:val="-3"/>
          <w:sz w:val="20"/>
        </w:rPr>
        <w:t> </w:t>
      </w:r>
      <w:r>
        <w:rPr>
          <w:color w:val="231F20"/>
          <w:sz w:val="20"/>
        </w:rPr>
        <w:t>свободы</w:t>
      </w:r>
      <w:r>
        <w:rPr>
          <w:color w:val="231F20"/>
          <w:spacing w:val="-3"/>
          <w:sz w:val="20"/>
        </w:rPr>
        <w:t> </w:t>
      </w:r>
      <w:r>
        <w:rPr>
          <w:color w:val="231F20"/>
          <w:sz w:val="20"/>
        </w:rPr>
        <w:t>и</w:t>
      </w:r>
      <w:r>
        <w:rPr>
          <w:color w:val="231F20"/>
          <w:spacing w:val="-3"/>
          <w:sz w:val="20"/>
        </w:rPr>
        <w:t> </w:t>
      </w:r>
      <w:r>
        <w:rPr>
          <w:color w:val="231F20"/>
          <w:sz w:val="20"/>
        </w:rPr>
        <w:t>равенства</w:t>
      </w:r>
      <w:r>
        <w:rPr>
          <w:color w:val="231F20"/>
          <w:spacing w:val="-3"/>
          <w:sz w:val="20"/>
        </w:rPr>
        <w:t> </w:t>
      </w:r>
      <w:r>
        <w:rPr>
          <w:color w:val="231F20"/>
          <w:sz w:val="20"/>
        </w:rPr>
        <w:t>всех участников обучения.</w:t>
      </w:r>
    </w:p>
    <w:p>
      <w:pPr>
        <w:pStyle w:val="BodyText"/>
        <w:spacing w:line="232" w:lineRule="auto" w:before="2"/>
      </w:pPr>
      <w:r>
        <w:rPr>
          <w:color w:val="231F20"/>
        </w:rPr>
        <w:t>Это</w:t>
      </w:r>
      <w:r>
        <w:rPr>
          <w:color w:val="231F20"/>
          <w:spacing w:val="-13"/>
        </w:rPr>
        <w:t> </w:t>
      </w:r>
      <w:r>
        <w:rPr>
          <w:color w:val="231F20"/>
        </w:rPr>
        <w:t>гетерогенные</w:t>
      </w:r>
      <w:r>
        <w:rPr>
          <w:color w:val="231F20"/>
          <w:spacing w:val="-12"/>
        </w:rPr>
        <w:t> </w:t>
      </w:r>
      <w:r>
        <w:rPr>
          <w:color w:val="231F20"/>
        </w:rPr>
        <w:t>(смешанные)</w:t>
      </w:r>
      <w:r>
        <w:rPr>
          <w:color w:val="231F20"/>
          <w:spacing w:val="-13"/>
        </w:rPr>
        <w:t> </w:t>
      </w:r>
      <w:r>
        <w:rPr>
          <w:color w:val="231F20"/>
        </w:rPr>
        <w:t>по</w:t>
      </w:r>
      <w:r>
        <w:rPr>
          <w:color w:val="231F20"/>
          <w:spacing w:val="-12"/>
        </w:rPr>
        <w:t> </w:t>
      </w:r>
      <w:r>
        <w:rPr>
          <w:color w:val="231F20"/>
        </w:rPr>
        <w:t>составу</w:t>
      </w:r>
      <w:r>
        <w:rPr>
          <w:color w:val="231F20"/>
          <w:spacing w:val="-13"/>
        </w:rPr>
        <w:t> </w:t>
      </w:r>
      <w:r>
        <w:rPr>
          <w:color w:val="231F20"/>
        </w:rPr>
        <w:t>учащихся</w:t>
      </w:r>
      <w:r>
        <w:rPr>
          <w:color w:val="231F20"/>
          <w:spacing w:val="-12"/>
        </w:rPr>
        <w:t> </w:t>
      </w:r>
      <w:r>
        <w:rPr>
          <w:color w:val="231F20"/>
        </w:rPr>
        <w:t>группы,</w:t>
      </w:r>
      <w:r>
        <w:rPr>
          <w:color w:val="231F20"/>
          <w:spacing w:val="-13"/>
        </w:rPr>
        <w:t> </w:t>
      </w:r>
      <w:r>
        <w:rPr>
          <w:color w:val="231F20"/>
        </w:rPr>
        <w:t>в</w:t>
      </w:r>
      <w:r>
        <w:rPr>
          <w:color w:val="231F20"/>
          <w:spacing w:val="-12"/>
        </w:rPr>
        <w:t> </w:t>
      </w:r>
      <w:r>
        <w:rPr>
          <w:color w:val="231F20"/>
        </w:rPr>
        <w:t>каждой</w:t>
      </w:r>
      <w:r>
        <w:rPr>
          <w:color w:val="231F20"/>
          <w:spacing w:val="-13"/>
        </w:rPr>
        <w:t> </w:t>
      </w:r>
      <w:r>
        <w:rPr>
          <w:color w:val="231F20"/>
        </w:rPr>
        <w:t>из</w:t>
      </w:r>
      <w:r>
        <w:rPr>
          <w:color w:val="231F20"/>
          <w:spacing w:val="-12"/>
        </w:rPr>
        <w:t> </w:t>
      </w:r>
      <w:r>
        <w:rPr>
          <w:color w:val="231F20"/>
        </w:rPr>
        <w:t>которых будут</w:t>
      </w:r>
      <w:r>
        <w:rPr>
          <w:color w:val="231F20"/>
          <w:spacing w:val="-10"/>
        </w:rPr>
        <w:t> </w:t>
      </w:r>
      <w:r>
        <w:rPr>
          <w:color w:val="231F20"/>
        </w:rPr>
        <w:t>сильные</w:t>
      </w:r>
      <w:r>
        <w:rPr>
          <w:color w:val="231F20"/>
          <w:spacing w:val="-10"/>
        </w:rPr>
        <w:t> </w:t>
      </w:r>
      <w:r>
        <w:rPr>
          <w:color w:val="231F20"/>
        </w:rPr>
        <w:t>и</w:t>
      </w:r>
      <w:r>
        <w:rPr>
          <w:color w:val="231F20"/>
          <w:spacing w:val="-10"/>
        </w:rPr>
        <w:t> </w:t>
      </w:r>
      <w:r>
        <w:rPr>
          <w:color w:val="231F20"/>
        </w:rPr>
        <w:t>слабые</w:t>
      </w:r>
      <w:r>
        <w:rPr>
          <w:color w:val="231F20"/>
          <w:spacing w:val="-10"/>
        </w:rPr>
        <w:t> </w:t>
      </w:r>
      <w:r>
        <w:rPr>
          <w:color w:val="231F20"/>
        </w:rPr>
        <w:t>ребята</w:t>
      </w:r>
      <w:r>
        <w:rPr>
          <w:color w:val="231F20"/>
          <w:spacing w:val="-10"/>
        </w:rPr>
        <w:t> </w:t>
      </w:r>
      <w:r>
        <w:rPr>
          <w:color w:val="231F20"/>
        </w:rPr>
        <w:t>по</w:t>
      </w:r>
      <w:r>
        <w:rPr>
          <w:color w:val="231F20"/>
          <w:spacing w:val="-10"/>
        </w:rPr>
        <w:t> </w:t>
      </w:r>
      <w:r>
        <w:rPr>
          <w:color w:val="231F20"/>
        </w:rPr>
        <w:t>уровню</w:t>
      </w:r>
      <w:r>
        <w:rPr>
          <w:color w:val="231F20"/>
          <w:spacing w:val="-10"/>
        </w:rPr>
        <w:t> </w:t>
      </w:r>
      <w:r>
        <w:rPr>
          <w:color w:val="231F20"/>
        </w:rPr>
        <w:t>подготовки,</w:t>
      </w:r>
      <w:r>
        <w:rPr>
          <w:color w:val="231F20"/>
          <w:spacing w:val="-10"/>
        </w:rPr>
        <w:t> </w:t>
      </w:r>
      <w:r>
        <w:rPr>
          <w:color w:val="231F20"/>
        </w:rPr>
        <w:t>разные</w:t>
      </w:r>
      <w:r>
        <w:rPr>
          <w:color w:val="231F20"/>
          <w:spacing w:val="-10"/>
        </w:rPr>
        <w:t> </w:t>
      </w:r>
      <w:r>
        <w:rPr>
          <w:color w:val="231F20"/>
        </w:rPr>
        <w:t>по</w:t>
      </w:r>
      <w:r>
        <w:rPr>
          <w:color w:val="231F20"/>
          <w:spacing w:val="-10"/>
        </w:rPr>
        <w:t> </w:t>
      </w:r>
      <w:r>
        <w:rPr>
          <w:color w:val="231F20"/>
        </w:rPr>
        <w:t>социальному,</w:t>
      </w:r>
      <w:r>
        <w:rPr>
          <w:color w:val="231F20"/>
          <w:spacing w:val="-10"/>
        </w:rPr>
        <w:t> </w:t>
      </w:r>
      <w:r>
        <w:rPr>
          <w:color w:val="231F20"/>
        </w:rPr>
        <w:t>куль- турному и образовательному уровням.</w:t>
      </w:r>
    </w:p>
    <w:p>
      <w:pPr>
        <w:pStyle w:val="BodyText"/>
        <w:spacing w:line="232" w:lineRule="auto" w:before="3"/>
      </w:pPr>
      <w:r>
        <w:rPr>
          <w:color w:val="231F20"/>
        </w:rPr>
        <w:t>Основные преимущества такого состава группы – возможность учиться друг у друга, дополнять знания и умения, имеющиеся у каждого члена группы. Если класс делится</w:t>
      </w:r>
      <w:r>
        <w:rPr>
          <w:color w:val="231F20"/>
          <w:spacing w:val="-4"/>
        </w:rPr>
        <w:t> </w:t>
      </w:r>
      <w:r>
        <w:rPr>
          <w:color w:val="231F20"/>
        </w:rPr>
        <w:t>на</w:t>
      </w:r>
      <w:r>
        <w:rPr>
          <w:color w:val="231F20"/>
          <w:spacing w:val="-3"/>
        </w:rPr>
        <w:t> </w:t>
      </w:r>
      <w:r>
        <w:rPr>
          <w:color w:val="231F20"/>
        </w:rPr>
        <w:t>смешанные</w:t>
      </w:r>
      <w:r>
        <w:rPr>
          <w:color w:val="231F20"/>
          <w:spacing w:val="-4"/>
        </w:rPr>
        <w:t> </w:t>
      </w:r>
      <w:r>
        <w:rPr>
          <w:color w:val="231F20"/>
        </w:rPr>
        <w:t>группы,</w:t>
      </w:r>
      <w:r>
        <w:rPr>
          <w:color w:val="231F20"/>
          <w:spacing w:val="-3"/>
        </w:rPr>
        <w:t> </w:t>
      </w:r>
      <w:r>
        <w:rPr>
          <w:color w:val="231F20"/>
        </w:rPr>
        <w:t>то</w:t>
      </w:r>
      <w:r>
        <w:rPr>
          <w:color w:val="231F20"/>
          <w:spacing w:val="-4"/>
        </w:rPr>
        <w:t> </w:t>
      </w:r>
      <w:r>
        <w:rPr>
          <w:color w:val="231F20"/>
        </w:rPr>
        <w:t>не</w:t>
      </w:r>
      <w:r>
        <w:rPr>
          <w:color w:val="231F20"/>
          <w:spacing w:val="-3"/>
        </w:rPr>
        <w:t> </w:t>
      </w:r>
      <w:r>
        <w:rPr>
          <w:color w:val="231F20"/>
        </w:rPr>
        <w:t>будет</w:t>
      </w:r>
      <w:r>
        <w:rPr>
          <w:color w:val="231F20"/>
          <w:spacing w:val="-4"/>
        </w:rPr>
        <w:t> </w:t>
      </w:r>
      <w:r>
        <w:rPr>
          <w:color w:val="231F20"/>
        </w:rPr>
        <w:t>«сильных»</w:t>
      </w:r>
      <w:r>
        <w:rPr>
          <w:color w:val="231F20"/>
          <w:spacing w:val="-4"/>
        </w:rPr>
        <w:t> </w:t>
      </w:r>
      <w:r>
        <w:rPr>
          <w:color w:val="231F20"/>
        </w:rPr>
        <w:t>или</w:t>
      </w:r>
      <w:r>
        <w:rPr>
          <w:color w:val="231F20"/>
          <w:spacing w:val="-3"/>
        </w:rPr>
        <w:t> </w:t>
      </w:r>
      <w:r>
        <w:rPr>
          <w:color w:val="231F20"/>
        </w:rPr>
        <w:t>«слабых»,</w:t>
      </w:r>
      <w:r>
        <w:rPr>
          <w:color w:val="231F20"/>
          <w:spacing w:val="-4"/>
        </w:rPr>
        <w:t> </w:t>
      </w:r>
      <w:r>
        <w:rPr>
          <w:color w:val="231F20"/>
        </w:rPr>
        <w:t>все</w:t>
      </w:r>
      <w:r>
        <w:rPr>
          <w:color w:val="231F20"/>
          <w:spacing w:val="-4"/>
        </w:rPr>
        <w:t> </w:t>
      </w:r>
      <w:r>
        <w:rPr>
          <w:color w:val="231F20"/>
        </w:rPr>
        <w:t>группы</w:t>
      </w:r>
      <w:r>
        <w:rPr>
          <w:color w:val="231F20"/>
          <w:spacing w:val="-3"/>
        </w:rPr>
        <w:t> </w:t>
      </w:r>
      <w:r>
        <w:rPr>
          <w:color w:val="231F20"/>
        </w:rPr>
        <w:t>бу- дут</w:t>
      </w:r>
      <w:r>
        <w:rPr>
          <w:color w:val="231F20"/>
          <w:spacing w:val="-7"/>
        </w:rPr>
        <w:t> </w:t>
      </w:r>
      <w:r>
        <w:rPr>
          <w:color w:val="231F20"/>
        </w:rPr>
        <w:t>примерно</w:t>
      </w:r>
      <w:r>
        <w:rPr>
          <w:color w:val="231F20"/>
          <w:spacing w:val="-7"/>
        </w:rPr>
        <w:t> </w:t>
      </w:r>
      <w:r>
        <w:rPr>
          <w:color w:val="231F20"/>
        </w:rPr>
        <w:t>равны</w:t>
      </w:r>
      <w:r>
        <w:rPr>
          <w:color w:val="231F20"/>
          <w:spacing w:val="-7"/>
        </w:rPr>
        <w:t> </w:t>
      </w:r>
      <w:r>
        <w:rPr>
          <w:color w:val="231F20"/>
        </w:rPr>
        <w:t>по</w:t>
      </w:r>
      <w:r>
        <w:rPr>
          <w:color w:val="231F20"/>
          <w:spacing w:val="-7"/>
        </w:rPr>
        <w:t> </w:t>
      </w:r>
      <w:r>
        <w:rPr>
          <w:color w:val="231F20"/>
        </w:rPr>
        <w:t>силам,</w:t>
      </w:r>
      <w:r>
        <w:rPr>
          <w:color w:val="231F20"/>
          <w:spacing w:val="-7"/>
        </w:rPr>
        <w:t> </w:t>
      </w:r>
      <w:r>
        <w:rPr>
          <w:color w:val="231F20"/>
        </w:rPr>
        <w:t>поэтому</w:t>
      </w:r>
      <w:r>
        <w:rPr>
          <w:color w:val="231F20"/>
          <w:spacing w:val="-7"/>
        </w:rPr>
        <w:t> </w:t>
      </w:r>
      <w:r>
        <w:rPr>
          <w:color w:val="231F20"/>
        </w:rPr>
        <w:t>учителю</w:t>
      </w:r>
      <w:r>
        <w:rPr>
          <w:color w:val="231F20"/>
          <w:spacing w:val="-7"/>
        </w:rPr>
        <w:t> </w:t>
      </w:r>
      <w:r>
        <w:rPr>
          <w:color w:val="231F20"/>
        </w:rPr>
        <w:t>не</w:t>
      </w:r>
      <w:r>
        <w:rPr>
          <w:color w:val="231F20"/>
          <w:spacing w:val="-7"/>
        </w:rPr>
        <w:t> </w:t>
      </w:r>
      <w:r>
        <w:rPr>
          <w:color w:val="231F20"/>
        </w:rPr>
        <w:t>придется</w:t>
      </w:r>
      <w:r>
        <w:rPr>
          <w:color w:val="231F20"/>
          <w:spacing w:val="-7"/>
        </w:rPr>
        <w:t> </w:t>
      </w:r>
      <w:r>
        <w:rPr>
          <w:color w:val="231F20"/>
        </w:rPr>
        <w:t>готовить</w:t>
      </w:r>
      <w:r>
        <w:rPr>
          <w:color w:val="231F20"/>
          <w:spacing w:val="-7"/>
        </w:rPr>
        <w:t> </w:t>
      </w:r>
      <w:r>
        <w:rPr>
          <w:color w:val="231F20"/>
        </w:rPr>
        <w:t>отдельные</w:t>
      </w:r>
      <w:r>
        <w:rPr>
          <w:color w:val="231F20"/>
          <w:spacing w:val="-7"/>
        </w:rPr>
        <w:t> </w:t>
      </w:r>
      <w:r>
        <w:rPr>
          <w:color w:val="231F20"/>
        </w:rPr>
        <w:t>ин- струкции и учебный материал для разных по уровню подготовки учащихся, задания в этом случае будут универсальные. Обучение в смешанных группах повышает са- мооценку учащихся, укрепляет взаимоотношения и способствует развитию положи- тельной</w:t>
      </w:r>
      <w:r>
        <w:rPr>
          <w:color w:val="231F20"/>
          <w:spacing w:val="-13"/>
        </w:rPr>
        <w:t> </w:t>
      </w:r>
      <w:r>
        <w:rPr>
          <w:color w:val="231F20"/>
        </w:rPr>
        <w:t>групповой</w:t>
      </w:r>
      <w:r>
        <w:rPr>
          <w:color w:val="231F20"/>
          <w:spacing w:val="-12"/>
        </w:rPr>
        <w:t> </w:t>
      </w:r>
      <w:r>
        <w:rPr>
          <w:color w:val="231F20"/>
        </w:rPr>
        <w:t>динамики</w:t>
      </w:r>
      <w:r>
        <w:rPr>
          <w:color w:val="231F20"/>
          <w:spacing w:val="-13"/>
        </w:rPr>
        <w:t> </w:t>
      </w:r>
      <w:r>
        <w:rPr>
          <w:color w:val="231F20"/>
        </w:rPr>
        <w:t>в</w:t>
      </w:r>
      <w:r>
        <w:rPr>
          <w:color w:val="231F20"/>
          <w:spacing w:val="-12"/>
        </w:rPr>
        <w:t> </w:t>
      </w:r>
      <w:r>
        <w:rPr>
          <w:color w:val="231F20"/>
        </w:rPr>
        <w:t>классе.</w:t>
      </w:r>
      <w:r>
        <w:rPr>
          <w:color w:val="231F20"/>
          <w:spacing w:val="-13"/>
        </w:rPr>
        <w:t> </w:t>
      </w:r>
      <w:r>
        <w:rPr>
          <w:color w:val="231F20"/>
        </w:rPr>
        <w:t>Недостатки</w:t>
      </w:r>
      <w:r>
        <w:rPr>
          <w:color w:val="231F20"/>
          <w:spacing w:val="-12"/>
        </w:rPr>
        <w:t> </w:t>
      </w:r>
      <w:r>
        <w:rPr>
          <w:color w:val="231F20"/>
        </w:rPr>
        <w:t>такого</w:t>
      </w:r>
      <w:r>
        <w:rPr>
          <w:color w:val="231F20"/>
          <w:spacing w:val="-13"/>
        </w:rPr>
        <w:t> </w:t>
      </w:r>
      <w:r>
        <w:rPr>
          <w:color w:val="231F20"/>
        </w:rPr>
        <w:t>обучения,</w:t>
      </w:r>
      <w:r>
        <w:rPr>
          <w:color w:val="231F20"/>
          <w:spacing w:val="-12"/>
        </w:rPr>
        <w:t> </w:t>
      </w:r>
      <w:r>
        <w:rPr>
          <w:color w:val="231F20"/>
        </w:rPr>
        <w:t>что</w:t>
      </w:r>
      <w:r>
        <w:rPr>
          <w:color w:val="231F20"/>
          <w:spacing w:val="-13"/>
        </w:rPr>
        <w:t> </w:t>
      </w:r>
      <w:r>
        <w:rPr>
          <w:color w:val="231F20"/>
        </w:rPr>
        <w:t>для</w:t>
      </w:r>
      <w:r>
        <w:rPr>
          <w:color w:val="231F20"/>
          <w:spacing w:val="-12"/>
        </w:rPr>
        <w:t> </w:t>
      </w:r>
      <w:r>
        <w:rPr>
          <w:color w:val="231F20"/>
        </w:rPr>
        <w:t>наиболее </w:t>
      </w:r>
      <w:r>
        <w:rPr>
          <w:color w:val="231F20"/>
          <w:spacing w:val="-2"/>
        </w:rPr>
        <w:t>сильных</w:t>
      </w:r>
      <w:r>
        <w:rPr>
          <w:color w:val="231F20"/>
          <w:spacing w:val="-5"/>
        </w:rPr>
        <w:t> </w:t>
      </w:r>
      <w:r>
        <w:rPr>
          <w:color w:val="231F20"/>
          <w:spacing w:val="-2"/>
        </w:rPr>
        <w:t>ребят</w:t>
      </w:r>
      <w:r>
        <w:rPr>
          <w:color w:val="231F20"/>
          <w:spacing w:val="-5"/>
        </w:rPr>
        <w:t> </w:t>
      </w:r>
      <w:r>
        <w:rPr>
          <w:color w:val="231F20"/>
          <w:spacing w:val="-2"/>
        </w:rPr>
        <w:t>такая</w:t>
      </w:r>
      <w:r>
        <w:rPr>
          <w:color w:val="231F20"/>
          <w:spacing w:val="-5"/>
        </w:rPr>
        <w:t> </w:t>
      </w:r>
      <w:r>
        <w:rPr>
          <w:color w:val="231F20"/>
          <w:spacing w:val="-2"/>
        </w:rPr>
        <w:t>работа</w:t>
      </w:r>
      <w:r>
        <w:rPr>
          <w:color w:val="231F20"/>
          <w:spacing w:val="-5"/>
        </w:rPr>
        <w:t> </w:t>
      </w:r>
      <w:r>
        <w:rPr>
          <w:color w:val="231F20"/>
          <w:spacing w:val="-2"/>
        </w:rPr>
        <w:t>может</w:t>
      </w:r>
      <w:r>
        <w:rPr>
          <w:color w:val="231F20"/>
          <w:spacing w:val="-5"/>
        </w:rPr>
        <w:t> </w:t>
      </w:r>
      <w:r>
        <w:rPr>
          <w:color w:val="231F20"/>
          <w:spacing w:val="-2"/>
        </w:rPr>
        <w:t>показаться</w:t>
      </w:r>
      <w:r>
        <w:rPr>
          <w:color w:val="231F20"/>
          <w:spacing w:val="-5"/>
        </w:rPr>
        <w:t> </w:t>
      </w:r>
      <w:r>
        <w:rPr>
          <w:color w:val="231F20"/>
          <w:spacing w:val="-2"/>
        </w:rPr>
        <w:t>неинтересной,</w:t>
      </w:r>
      <w:r>
        <w:rPr>
          <w:color w:val="231F20"/>
          <w:spacing w:val="-5"/>
        </w:rPr>
        <w:t> </w:t>
      </w:r>
      <w:r>
        <w:rPr>
          <w:color w:val="231F20"/>
          <w:spacing w:val="-2"/>
        </w:rPr>
        <w:t>так</w:t>
      </w:r>
      <w:r>
        <w:rPr>
          <w:color w:val="231F20"/>
          <w:spacing w:val="-5"/>
        </w:rPr>
        <w:t> </w:t>
      </w:r>
      <w:r>
        <w:rPr>
          <w:color w:val="231F20"/>
          <w:spacing w:val="-2"/>
        </w:rPr>
        <w:t>как</w:t>
      </w:r>
      <w:r>
        <w:rPr>
          <w:color w:val="231F20"/>
          <w:spacing w:val="-5"/>
        </w:rPr>
        <w:t> </w:t>
      </w:r>
      <w:r>
        <w:rPr>
          <w:color w:val="231F20"/>
          <w:spacing w:val="-2"/>
        </w:rPr>
        <w:t>им</w:t>
      </w:r>
      <w:r>
        <w:rPr>
          <w:color w:val="231F20"/>
          <w:spacing w:val="-5"/>
        </w:rPr>
        <w:t> </w:t>
      </w:r>
      <w:r>
        <w:rPr>
          <w:color w:val="231F20"/>
          <w:spacing w:val="-2"/>
        </w:rPr>
        <w:t>будет</w:t>
      </w:r>
      <w:r>
        <w:rPr>
          <w:color w:val="231F20"/>
          <w:spacing w:val="-5"/>
        </w:rPr>
        <w:t> </w:t>
      </w:r>
      <w:r>
        <w:rPr>
          <w:color w:val="231F20"/>
          <w:spacing w:val="-2"/>
        </w:rPr>
        <w:t>не</w:t>
      </w:r>
      <w:r>
        <w:rPr>
          <w:color w:val="231F20"/>
          <w:spacing w:val="-5"/>
        </w:rPr>
        <w:t> </w:t>
      </w:r>
      <w:r>
        <w:rPr>
          <w:color w:val="231F20"/>
          <w:spacing w:val="-2"/>
        </w:rPr>
        <w:t>с</w:t>
      </w:r>
      <w:r>
        <w:rPr>
          <w:color w:val="231F20"/>
          <w:spacing w:val="-5"/>
        </w:rPr>
        <w:t> </w:t>
      </w:r>
      <w:r>
        <w:rPr>
          <w:color w:val="231F20"/>
          <w:spacing w:val="-2"/>
        </w:rPr>
        <w:t>кем </w:t>
      </w:r>
      <w:r>
        <w:rPr>
          <w:color w:val="231F20"/>
        </w:rPr>
        <w:t>соревноваться и они могут почувствовать себя «недооцененными».</w:t>
      </w:r>
    </w:p>
    <w:p>
      <w:pPr>
        <w:pStyle w:val="BodyText"/>
        <w:spacing w:line="235" w:lineRule="auto" w:before="7"/>
        <w:ind w:right="140"/>
      </w:pPr>
      <w:r>
        <w:rPr>
          <w:color w:val="231F20"/>
        </w:rPr>
        <w:t>Таким образом, при выборе той или иной формы группового обучения учителю надо ориентироваться на следующее (см. табл.).</w:t>
      </w:r>
    </w:p>
    <w:p>
      <w:pPr>
        <w:pStyle w:val="BodyText"/>
        <w:spacing w:before="2"/>
        <w:ind w:left="0" w:right="0" w:firstLine="0"/>
        <w:jc w:val="left"/>
        <w:rPr>
          <w:sz w:val="13"/>
        </w:rPr>
      </w:pPr>
    </w:p>
    <w:tbl>
      <w:tblPr>
        <w:tblW w:w="0" w:type="auto"/>
        <w:jc w:val="left"/>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183"/>
        <w:gridCol w:w="1265"/>
        <w:gridCol w:w="1265"/>
        <w:gridCol w:w="1265"/>
        <w:gridCol w:w="1265"/>
      </w:tblGrid>
      <w:tr>
        <w:trPr>
          <w:trHeight w:val="476" w:hRule="atLeast"/>
        </w:trPr>
        <w:tc>
          <w:tcPr>
            <w:tcW w:w="2183" w:type="dxa"/>
            <w:vMerge w:val="restart"/>
          </w:tcPr>
          <w:p>
            <w:pPr>
              <w:pStyle w:val="TableParagraph"/>
              <w:rPr>
                <w:sz w:val="18"/>
              </w:rPr>
            </w:pPr>
          </w:p>
          <w:p>
            <w:pPr>
              <w:pStyle w:val="TableParagraph"/>
              <w:spacing w:before="60"/>
              <w:rPr>
                <w:sz w:val="18"/>
              </w:rPr>
            </w:pPr>
          </w:p>
          <w:p>
            <w:pPr>
              <w:pStyle w:val="TableParagraph"/>
              <w:ind w:left="361"/>
              <w:rPr>
                <w:b/>
                <w:sz w:val="18"/>
              </w:rPr>
            </w:pPr>
            <w:r>
              <w:rPr>
                <w:b/>
                <w:color w:val="231F20"/>
                <w:sz w:val="18"/>
              </w:rPr>
              <w:t>Критерии</w:t>
            </w:r>
            <w:r>
              <w:rPr>
                <w:b/>
                <w:color w:val="231F20"/>
                <w:spacing w:val="-8"/>
                <w:sz w:val="18"/>
              </w:rPr>
              <w:t> </w:t>
            </w:r>
            <w:r>
              <w:rPr>
                <w:b/>
                <w:color w:val="231F20"/>
                <w:spacing w:val="-2"/>
                <w:sz w:val="18"/>
              </w:rPr>
              <w:t>выбора</w:t>
            </w:r>
          </w:p>
        </w:tc>
        <w:tc>
          <w:tcPr>
            <w:tcW w:w="2530" w:type="dxa"/>
            <w:gridSpan w:val="2"/>
          </w:tcPr>
          <w:p>
            <w:pPr>
              <w:pStyle w:val="TableParagraph"/>
              <w:spacing w:before="131"/>
              <w:ind w:left="291"/>
              <w:rPr>
                <w:b/>
                <w:sz w:val="18"/>
              </w:rPr>
            </w:pPr>
            <w:r>
              <w:rPr>
                <w:b/>
                <w:color w:val="231F20"/>
                <w:sz w:val="18"/>
              </w:rPr>
              <w:t>Традиционное</w:t>
            </w:r>
            <w:r>
              <w:rPr>
                <w:b/>
                <w:color w:val="231F20"/>
                <w:spacing w:val="-7"/>
                <w:sz w:val="18"/>
              </w:rPr>
              <w:t> </w:t>
            </w:r>
            <w:r>
              <w:rPr>
                <w:b/>
                <w:color w:val="231F20"/>
                <w:spacing w:val="-2"/>
                <w:sz w:val="18"/>
              </w:rPr>
              <w:t>обучение</w:t>
            </w:r>
          </w:p>
        </w:tc>
        <w:tc>
          <w:tcPr>
            <w:tcW w:w="2530" w:type="dxa"/>
            <w:gridSpan w:val="2"/>
          </w:tcPr>
          <w:p>
            <w:pPr>
              <w:pStyle w:val="TableParagraph"/>
              <w:spacing w:line="203" w:lineRule="exact" w:before="31"/>
              <w:ind w:left="15"/>
              <w:jc w:val="center"/>
              <w:rPr>
                <w:b/>
                <w:sz w:val="18"/>
              </w:rPr>
            </w:pPr>
            <w:r>
              <w:rPr>
                <w:b/>
                <w:color w:val="231F20"/>
                <w:spacing w:val="-2"/>
                <w:sz w:val="18"/>
              </w:rPr>
              <w:t>Обучение</w:t>
            </w:r>
          </w:p>
          <w:p>
            <w:pPr>
              <w:pStyle w:val="TableParagraph"/>
              <w:spacing w:line="203" w:lineRule="exact"/>
              <w:ind w:left="15"/>
              <w:jc w:val="center"/>
              <w:rPr>
                <w:b/>
                <w:sz w:val="18"/>
              </w:rPr>
            </w:pPr>
            <w:r>
              <w:rPr>
                <w:b/>
                <w:color w:val="231F20"/>
                <w:sz w:val="18"/>
              </w:rPr>
              <w:t>в </w:t>
            </w:r>
            <w:r>
              <w:rPr>
                <w:b/>
                <w:color w:val="231F20"/>
                <w:spacing w:val="-2"/>
                <w:sz w:val="18"/>
              </w:rPr>
              <w:t>сотрудничестве</w:t>
            </w:r>
          </w:p>
        </w:tc>
      </w:tr>
      <w:tr>
        <w:trPr>
          <w:trHeight w:val="676" w:hRule="atLeast"/>
        </w:trPr>
        <w:tc>
          <w:tcPr>
            <w:tcW w:w="2183" w:type="dxa"/>
            <w:vMerge/>
            <w:tcBorders>
              <w:top w:val="nil"/>
            </w:tcBorders>
          </w:tcPr>
          <w:p>
            <w:pPr>
              <w:rPr>
                <w:sz w:val="2"/>
                <w:szCs w:val="2"/>
              </w:rPr>
            </w:pPr>
          </w:p>
        </w:tc>
        <w:tc>
          <w:tcPr>
            <w:tcW w:w="1265" w:type="dxa"/>
          </w:tcPr>
          <w:p>
            <w:pPr>
              <w:pStyle w:val="TableParagraph"/>
              <w:spacing w:line="232" w:lineRule="auto" w:before="36"/>
              <w:ind w:left="297" w:hanging="224"/>
              <w:rPr>
                <w:b/>
                <w:sz w:val="18"/>
              </w:rPr>
            </w:pPr>
            <w:r>
              <w:rPr>
                <w:b/>
                <w:color w:val="231F20"/>
                <w:spacing w:val="-2"/>
                <w:sz w:val="18"/>
              </w:rPr>
              <w:t>Фронтальная </w:t>
            </w:r>
            <w:r>
              <w:rPr>
                <w:b/>
                <w:color w:val="231F20"/>
                <w:sz w:val="18"/>
              </w:rPr>
              <w:t>работа с </w:t>
            </w:r>
            <w:r>
              <w:rPr>
                <w:b/>
                <w:color w:val="231F20"/>
                <w:spacing w:val="-2"/>
                <w:sz w:val="18"/>
              </w:rPr>
              <w:t>классом</w:t>
            </w:r>
          </w:p>
        </w:tc>
        <w:tc>
          <w:tcPr>
            <w:tcW w:w="1265" w:type="dxa"/>
          </w:tcPr>
          <w:p>
            <w:pPr>
              <w:pStyle w:val="TableParagraph"/>
              <w:spacing w:line="232" w:lineRule="auto" w:before="36"/>
              <w:ind w:left="193" w:right="178"/>
              <w:jc w:val="center"/>
              <w:rPr>
                <w:b/>
                <w:sz w:val="18"/>
              </w:rPr>
            </w:pPr>
            <w:r>
              <w:rPr>
                <w:b/>
                <w:color w:val="231F20"/>
                <w:spacing w:val="-2"/>
                <w:sz w:val="18"/>
              </w:rPr>
              <w:t>Индивиду- альные проекты</w:t>
            </w:r>
          </w:p>
        </w:tc>
        <w:tc>
          <w:tcPr>
            <w:tcW w:w="1265" w:type="dxa"/>
          </w:tcPr>
          <w:p>
            <w:pPr>
              <w:pStyle w:val="TableParagraph"/>
              <w:spacing w:line="232" w:lineRule="auto" w:before="36"/>
              <w:ind w:left="134" w:right="117"/>
              <w:jc w:val="center"/>
              <w:rPr>
                <w:b/>
                <w:sz w:val="18"/>
              </w:rPr>
            </w:pPr>
            <w:r>
              <w:rPr>
                <w:b/>
                <w:color w:val="231F20"/>
                <w:sz w:val="18"/>
              </w:rPr>
              <w:t>Обучение в </w:t>
            </w:r>
            <w:r>
              <w:rPr>
                <w:b/>
                <w:color w:val="231F20"/>
                <w:spacing w:val="-2"/>
                <w:sz w:val="18"/>
              </w:rPr>
              <w:t>моногенных группах</w:t>
            </w:r>
          </w:p>
        </w:tc>
        <w:tc>
          <w:tcPr>
            <w:tcW w:w="1265" w:type="dxa"/>
          </w:tcPr>
          <w:p>
            <w:pPr>
              <w:pStyle w:val="TableParagraph"/>
              <w:spacing w:line="232" w:lineRule="auto" w:before="36"/>
              <w:ind w:left="19"/>
              <w:jc w:val="center"/>
              <w:rPr>
                <w:b/>
                <w:sz w:val="18"/>
              </w:rPr>
            </w:pPr>
            <w:r>
              <w:rPr>
                <w:b/>
                <w:color w:val="231F20"/>
                <w:sz w:val="18"/>
              </w:rPr>
              <w:t>Обучение в </w:t>
            </w:r>
            <w:r>
              <w:rPr>
                <w:b/>
                <w:color w:val="231F20"/>
                <w:spacing w:val="-2"/>
                <w:sz w:val="18"/>
              </w:rPr>
              <w:t>гетерогенных группах</w:t>
            </w:r>
          </w:p>
        </w:tc>
      </w:tr>
      <w:tr>
        <w:trPr>
          <w:trHeight w:val="479" w:hRule="atLeast"/>
        </w:trPr>
        <w:tc>
          <w:tcPr>
            <w:tcW w:w="2183" w:type="dxa"/>
          </w:tcPr>
          <w:p>
            <w:pPr>
              <w:pStyle w:val="TableParagraph"/>
              <w:spacing w:line="232" w:lineRule="auto" w:before="39"/>
              <w:ind w:left="56"/>
              <w:rPr>
                <w:sz w:val="18"/>
              </w:rPr>
            </w:pPr>
            <w:r>
              <w:rPr>
                <w:color w:val="231F20"/>
                <w:sz w:val="18"/>
              </w:rPr>
              <w:t>Повышение</w:t>
            </w:r>
            <w:r>
              <w:rPr>
                <w:color w:val="231F20"/>
                <w:spacing w:val="-12"/>
                <w:sz w:val="18"/>
              </w:rPr>
              <w:t> </w:t>
            </w:r>
            <w:r>
              <w:rPr>
                <w:color w:val="231F20"/>
                <w:sz w:val="18"/>
              </w:rPr>
              <w:t>учебной</w:t>
            </w:r>
            <w:r>
              <w:rPr>
                <w:color w:val="231F20"/>
                <w:spacing w:val="-11"/>
                <w:sz w:val="18"/>
              </w:rPr>
              <w:t> </w:t>
            </w:r>
            <w:r>
              <w:rPr>
                <w:color w:val="231F20"/>
                <w:sz w:val="18"/>
              </w:rPr>
              <w:t>мо- тивация учащихся</w:t>
            </w:r>
          </w:p>
        </w:tc>
        <w:tc>
          <w:tcPr>
            <w:tcW w:w="1265" w:type="dxa"/>
          </w:tcPr>
          <w:p>
            <w:pPr>
              <w:pStyle w:val="TableParagraph"/>
              <w:rPr>
                <w:sz w:val="18"/>
              </w:rPr>
            </w:pPr>
          </w:p>
        </w:tc>
        <w:tc>
          <w:tcPr>
            <w:tcW w:w="1265" w:type="dxa"/>
          </w:tcPr>
          <w:p>
            <w:pPr>
              <w:pStyle w:val="TableParagraph"/>
              <w:spacing w:before="132"/>
              <w:ind w:left="13"/>
              <w:jc w:val="center"/>
              <w:rPr>
                <w:b/>
                <w:sz w:val="18"/>
              </w:rPr>
            </w:pPr>
            <w:r>
              <w:rPr>
                <w:b/>
                <w:color w:val="231F20"/>
                <w:spacing w:val="-10"/>
                <w:sz w:val="18"/>
              </w:rPr>
              <w:t>v</w:t>
            </w:r>
          </w:p>
        </w:tc>
        <w:tc>
          <w:tcPr>
            <w:tcW w:w="1265" w:type="dxa"/>
          </w:tcPr>
          <w:p>
            <w:pPr>
              <w:pStyle w:val="TableParagraph"/>
              <w:spacing w:before="132"/>
              <w:ind w:left="14"/>
              <w:jc w:val="center"/>
              <w:rPr>
                <w:b/>
                <w:sz w:val="18"/>
              </w:rPr>
            </w:pPr>
            <w:r>
              <w:rPr>
                <w:b/>
                <w:color w:val="231F20"/>
                <w:spacing w:val="-10"/>
                <w:sz w:val="18"/>
              </w:rPr>
              <w:t>v</w:t>
            </w:r>
          </w:p>
        </w:tc>
        <w:tc>
          <w:tcPr>
            <w:tcW w:w="1265" w:type="dxa"/>
          </w:tcPr>
          <w:p>
            <w:pPr>
              <w:pStyle w:val="TableParagraph"/>
              <w:spacing w:before="132"/>
              <w:ind w:left="16"/>
              <w:jc w:val="center"/>
              <w:rPr>
                <w:b/>
                <w:sz w:val="18"/>
              </w:rPr>
            </w:pPr>
            <w:r>
              <w:rPr>
                <w:b/>
                <w:color w:val="231F20"/>
                <w:spacing w:val="-10"/>
                <w:sz w:val="18"/>
              </w:rPr>
              <w:t>v</w:t>
            </w:r>
          </w:p>
        </w:tc>
      </w:tr>
      <w:tr>
        <w:trPr>
          <w:trHeight w:val="473" w:hRule="atLeast"/>
        </w:trPr>
        <w:tc>
          <w:tcPr>
            <w:tcW w:w="2183" w:type="dxa"/>
          </w:tcPr>
          <w:p>
            <w:pPr>
              <w:pStyle w:val="TableParagraph"/>
              <w:spacing w:line="232" w:lineRule="auto" w:before="36"/>
              <w:ind w:left="56" w:right="20"/>
              <w:rPr>
                <w:sz w:val="18"/>
              </w:rPr>
            </w:pPr>
            <w:r>
              <w:rPr>
                <w:color w:val="231F20"/>
                <w:sz w:val="18"/>
              </w:rPr>
              <w:t>Время</w:t>
            </w:r>
            <w:r>
              <w:rPr>
                <w:color w:val="231F20"/>
                <w:spacing w:val="-12"/>
                <w:sz w:val="18"/>
              </w:rPr>
              <w:t> </w:t>
            </w:r>
            <w:r>
              <w:rPr>
                <w:color w:val="231F20"/>
                <w:sz w:val="18"/>
              </w:rPr>
              <w:t>на</w:t>
            </w:r>
            <w:r>
              <w:rPr>
                <w:color w:val="231F20"/>
                <w:spacing w:val="-11"/>
                <w:sz w:val="18"/>
              </w:rPr>
              <w:t> </w:t>
            </w:r>
            <w:r>
              <w:rPr>
                <w:color w:val="231F20"/>
                <w:sz w:val="18"/>
              </w:rPr>
              <w:t>подготовку</w:t>
            </w:r>
            <w:r>
              <w:rPr>
                <w:color w:val="231F20"/>
                <w:spacing w:val="-11"/>
                <w:sz w:val="18"/>
              </w:rPr>
              <w:t> </w:t>
            </w:r>
            <w:r>
              <w:rPr>
                <w:color w:val="231F20"/>
                <w:sz w:val="18"/>
              </w:rPr>
              <w:t>уро- ка у учителя</w:t>
            </w:r>
          </w:p>
        </w:tc>
        <w:tc>
          <w:tcPr>
            <w:tcW w:w="1265" w:type="dxa"/>
          </w:tcPr>
          <w:p>
            <w:pPr>
              <w:pStyle w:val="TableParagraph"/>
              <w:rPr>
                <w:sz w:val="18"/>
              </w:rPr>
            </w:pPr>
          </w:p>
        </w:tc>
        <w:tc>
          <w:tcPr>
            <w:tcW w:w="1265" w:type="dxa"/>
          </w:tcPr>
          <w:p>
            <w:pPr>
              <w:pStyle w:val="TableParagraph"/>
              <w:rPr>
                <w:sz w:val="18"/>
              </w:rPr>
            </w:pPr>
          </w:p>
        </w:tc>
        <w:tc>
          <w:tcPr>
            <w:tcW w:w="1265" w:type="dxa"/>
          </w:tcPr>
          <w:p>
            <w:pPr>
              <w:pStyle w:val="TableParagraph"/>
              <w:spacing w:before="129"/>
              <w:ind w:left="14"/>
              <w:jc w:val="center"/>
              <w:rPr>
                <w:b/>
                <w:sz w:val="18"/>
              </w:rPr>
            </w:pPr>
            <w:r>
              <w:rPr>
                <w:b/>
                <w:color w:val="231F20"/>
                <w:spacing w:val="-10"/>
                <w:sz w:val="18"/>
              </w:rPr>
              <w:t>v</w:t>
            </w:r>
          </w:p>
        </w:tc>
        <w:tc>
          <w:tcPr>
            <w:tcW w:w="1265" w:type="dxa"/>
          </w:tcPr>
          <w:p>
            <w:pPr>
              <w:pStyle w:val="TableParagraph"/>
              <w:spacing w:before="129"/>
              <w:ind w:left="16"/>
              <w:jc w:val="center"/>
              <w:rPr>
                <w:b/>
                <w:sz w:val="18"/>
              </w:rPr>
            </w:pPr>
            <w:r>
              <w:rPr>
                <w:b/>
                <w:color w:val="231F20"/>
                <w:spacing w:val="-10"/>
                <w:sz w:val="18"/>
              </w:rPr>
              <w:t>v</w:t>
            </w:r>
          </w:p>
        </w:tc>
      </w:tr>
      <w:tr>
        <w:trPr>
          <w:trHeight w:val="473" w:hRule="atLeast"/>
        </w:trPr>
        <w:tc>
          <w:tcPr>
            <w:tcW w:w="2183" w:type="dxa"/>
          </w:tcPr>
          <w:p>
            <w:pPr>
              <w:pStyle w:val="TableParagraph"/>
              <w:spacing w:line="232" w:lineRule="auto" w:before="36"/>
              <w:ind w:left="56"/>
              <w:rPr>
                <w:sz w:val="18"/>
              </w:rPr>
            </w:pPr>
            <w:r>
              <w:rPr>
                <w:color w:val="231F20"/>
                <w:spacing w:val="-2"/>
                <w:sz w:val="18"/>
              </w:rPr>
              <w:t>Предварительная</w:t>
            </w:r>
            <w:r>
              <w:rPr>
                <w:color w:val="231F20"/>
                <w:spacing w:val="-10"/>
                <w:sz w:val="18"/>
              </w:rPr>
              <w:t> </w:t>
            </w:r>
            <w:r>
              <w:rPr>
                <w:color w:val="231F20"/>
                <w:spacing w:val="-2"/>
                <w:sz w:val="18"/>
              </w:rPr>
              <w:t>подго- </w:t>
            </w:r>
            <w:r>
              <w:rPr>
                <w:color w:val="231F20"/>
                <w:sz w:val="18"/>
              </w:rPr>
              <w:t>товка учащихся</w:t>
            </w:r>
          </w:p>
        </w:tc>
        <w:tc>
          <w:tcPr>
            <w:tcW w:w="1265" w:type="dxa"/>
          </w:tcPr>
          <w:p>
            <w:pPr>
              <w:pStyle w:val="TableParagraph"/>
              <w:rPr>
                <w:sz w:val="18"/>
              </w:rPr>
            </w:pPr>
          </w:p>
        </w:tc>
        <w:tc>
          <w:tcPr>
            <w:tcW w:w="1265" w:type="dxa"/>
          </w:tcPr>
          <w:p>
            <w:pPr>
              <w:pStyle w:val="TableParagraph"/>
              <w:rPr>
                <w:sz w:val="18"/>
              </w:rPr>
            </w:pPr>
          </w:p>
        </w:tc>
        <w:tc>
          <w:tcPr>
            <w:tcW w:w="1265" w:type="dxa"/>
          </w:tcPr>
          <w:p>
            <w:pPr>
              <w:pStyle w:val="TableParagraph"/>
              <w:rPr>
                <w:sz w:val="18"/>
              </w:rPr>
            </w:pPr>
          </w:p>
        </w:tc>
        <w:tc>
          <w:tcPr>
            <w:tcW w:w="1265" w:type="dxa"/>
          </w:tcPr>
          <w:p>
            <w:pPr>
              <w:pStyle w:val="TableParagraph"/>
              <w:spacing w:before="129"/>
              <w:ind w:left="16"/>
              <w:jc w:val="center"/>
              <w:rPr>
                <w:b/>
                <w:sz w:val="18"/>
              </w:rPr>
            </w:pPr>
            <w:r>
              <w:rPr>
                <w:b/>
                <w:color w:val="231F20"/>
                <w:spacing w:val="-10"/>
                <w:sz w:val="18"/>
              </w:rPr>
              <w:t>v</w:t>
            </w:r>
          </w:p>
        </w:tc>
      </w:tr>
    </w:tbl>
    <w:p>
      <w:pPr>
        <w:pStyle w:val="TableParagraph"/>
        <w:spacing w:after="0"/>
        <w:jc w:val="center"/>
        <w:rPr>
          <w:b/>
          <w:sz w:val="18"/>
        </w:rPr>
        <w:sectPr>
          <w:pgSz w:w="8400" w:h="11910"/>
          <w:pgMar w:header="0" w:footer="530" w:top="400" w:bottom="740" w:left="425" w:right="425"/>
        </w:sectPr>
      </w:pPr>
    </w:p>
    <w:p>
      <w:pPr>
        <w:pStyle w:val="ListParagraph"/>
        <w:numPr>
          <w:ilvl w:val="1"/>
          <w:numId w:val="289"/>
        </w:numPr>
        <w:tabs>
          <w:tab w:pos="455" w:val="left" w:leader="none"/>
        </w:tabs>
        <w:spacing w:line="240" w:lineRule="auto" w:before="80" w:after="0"/>
        <w:ind w:left="455" w:right="0" w:hanging="314"/>
        <w:jc w:val="both"/>
        <w:rPr>
          <w:rFonts w:ascii="Georgia" w:hAnsi="Georgia"/>
          <w:sz w:val="18"/>
        </w:rPr>
      </w:pPr>
      <w:r>
        <w:rPr>
          <w:rFonts w:ascii="Georgia" w:hAnsi="Georgia"/>
          <w:color w:val="231F20"/>
          <w:sz w:val="18"/>
        </w:rPr>
        <w:t>Организация</w:t>
      </w:r>
      <w:r>
        <w:rPr>
          <w:rFonts w:ascii="Georgia" w:hAnsi="Georgia"/>
          <w:color w:val="231F20"/>
          <w:spacing w:val="11"/>
          <w:sz w:val="18"/>
        </w:rPr>
        <w:t> </w:t>
      </w:r>
      <w:r>
        <w:rPr>
          <w:rFonts w:ascii="Georgia" w:hAnsi="Georgia"/>
          <w:color w:val="231F20"/>
          <w:sz w:val="18"/>
        </w:rPr>
        <w:t>групповой</w:t>
      </w:r>
      <w:r>
        <w:rPr>
          <w:rFonts w:ascii="Georgia" w:hAnsi="Georgia"/>
          <w:color w:val="231F20"/>
          <w:spacing w:val="12"/>
          <w:sz w:val="18"/>
        </w:rPr>
        <w:t> </w:t>
      </w:r>
      <w:r>
        <w:rPr>
          <w:rFonts w:ascii="Georgia" w:hAnsi="Georgia"/>
          <w:color w:val="231F20"/>
          <w:sz w:val="18"/>
        </w:rPr>
        <w:t>учебной</w:t>
      </w:r>
      <w:r>
        <w:rPr>
          <w:rFonts w:ascii="Georgia" w:hAnsi="Georgia"/>
          <w:color w:val="231F20"/>
          <w:spacing w:val="12"/>
          <w:sz w:val="18"/>
        </w:rPr>
        <w:t> </w:t>
      </w:r>
      <w:r>
        <w:rPr>
          <w:rFonts w:ascii="Georgia" w:hAnsi="Georgia"/>
          <w:color w:val="231F20"/>
          <w:sz w:val="18"/>
        </w:rPr>
        <w:t>работы</w:t>
      </w:r>
      <w:r>
        <w:rPr>
          <w:rFonts w:ascii="Georgia" w:hAnsi="Georgia"/>
          <w:color w:val="231F20"/>
          <w:spacing w:val="12"/>
          <w:sz w:val="18"/>
        </w:rPr>
        <w:t> </w:t>
      </w:r>
      <w:r>
        <w:rPr>
          <w:rFonts w:ascii="Georgia" w:hAnsi="Georgia"/>
          <w:color w:val="231F20"/>
          <w:sz w:val="18"/>
        </w:rPr>
        <w:t>учащихся</w:t>
      </w:r>
      <w:r>
        <w:rPr>
          <w:rFonts w:ascii="Georgia" w:hAnsi="Georgia"/>
          <w:color w:val="231F20"/>
          <w:spacing w:val="11"/>
          <w:sz w:val="18"/>
        </w:rPr>
        <w:t> </w:t>
      </w:r>
      <w:r>
        <w:rPr>
          <w:rFonts w:ascii="Georgia" w:hAnsi="Georgia"/>
          <w:color w:val="231F20"/>
          <w:sz w:val="18"/>
        </w:rPr>
        <w:t>в</w:t>
      </w:r>
      <w:r>
        <w:rPr>
          <w:rFonts w:ascii="Georgia" w:hAnsi="Georgia"/>
          <w:color w:val="231F20"/>
          <w:spacing w:val="12"/>
          <w:sz w:val="18"/>
        </w:rPr>
        <w:t> </w:t>
      </w:r>
      <w:r>
        <w:rPr>
          <w:rFonts w:ascii="Georgia" w:hAnsi="Georgia"/>
          <w:color w:val="231F20"/>
          <w:sz w:val="18"/>
        </w:rPr>
        <w:t>поликультурном</w:t>
      </w:r>
      <w:r>
        <w:rPr>
          <w:rFonts w:ascii="Georgia" w:hAnsi="Georgia"/>
          <w:color w:val="231F20"/>
          <w:spacing w:val="12"/>
          <w:sz w:val="18"/>
        </w:rPr>
        <w:t> </w:t>
      </w:r>
      <w:r>
        <w:rPr>
          <w:rFonts w:ascii="Georgia" w:hAnsi="Georgia"/>
          <w:color w:val="231F20"/>
          <w:spacing w:val="-2"/>
          <w:sz w:val="18"/>
        </w:rPr>
        <w:t>классе...</w:t>
      </w:r>
    </w:p>
    <w:p>
      <w:pPr>
        <w:pStyle w:val="BodyText"/>
        <w:spacing w:before="1"/>
        <w:ind w:left="0" w:right="0" w:firstLine="0"/>
        <w:jc w:val="left"/>
        <w:rPr>
          <w:rFonts w:ascii="Georgia"/>
          <w:sz w:val="14"/>
        </w:rPr>
      </w:pPr>
    </w:p>
    <w:tbl>
      <w:tblPr>
        <w:tblW w:w="0" w:type="auto"/>
        <w:jc w:val="left"/>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183"/>
        <w:gridCol w:w="1265"/>
        <w:gridCol w:w="1265"/>
        <w:gridCol w:w="1265"/>
        <w:gridCol w:w="1265"/>
      </w:tblGrid>
      <w:tr>
        <w:trPr>
          <w:trHeight w:val="628" w:hRule="atLeast"/>
        </w:trPr>
        <w:tc>
          <w:tcPr>
            <w:tcW w:w="2183" w:type="dxa"/>
          </w:tcPr>
          <w:p>
            <w:pPr>
              <w:pStyle w:val="TableParagraph"/>
              <w:spacing w:line="200" w:lineRule="exact" w:before="8"/>
              <w:ind w:left="56"/>
              <w:rPr>
                <w:sz w:val="18"/>
              </w:rPr>
            </w:pPr>
            <w:r>
              <w:rPr>
                <w:color w:val="231F20"/>
                <w:sz w:val="18"/>
              </w:rPr>
              <w:t>Цель</w:t>
            </w:r>
            <w:r>
              <w:rPr>
                <w:color w:val="231F20"/>
                <w:spacing w:val="-12"/>
                <w:sz w:val="18"/>
              </w:rPr>
              <w:t> </w:t>
            </w:r>
            <w:r>
              <w:rPr>
                <w:color w:val="231F20"/>
                <w:sz w:val="18"/>
              </w:rPr>
              <w:t>–</w:t>
            </w:r>
            <w:r>
              <w:rPr>
                <w:color w:val="231F20"/>
                <w:spacing w:val="-11"/>
                <w:sz w:val="18"/>
              </w:rPr>
              <w:t> </w:t>
            </w:r>
            <w:r>
              <w:rPr>
                <w:color w:val="231F20"/>
                <w:sz w:val="18"/>
              </w:rPr>
              <w:t>достижение</w:t>
            </w:r>
            <w:r>
              <w:rPr>
                <w:color w:val="231F20"/>
                <w:spacing w:val="-11"/>
                <w:sz w:val="18"/>
              </w:rPr>
              <w:t> </w:t>
            </w:r>
            <w:r>
              <w:rPr>
                <w:color w:val="231F20"/>
                <w:sz w:val="18"/>
              </w:rPr>
              <w:t>высо- ких результатов обучен- </w:t>
            </w:r>
            <w:r>
              <w:rPr>
                <w:color w:val="231F20"/>
                <w:spacing w:val="-2"/>
                <w:sz w:val="18"/>
              </w:rPr>
              <w:t>ности</w:t>
            </w:r>
          </w:p>
        </w:tc>
        <w:tc>
          <w:tcPr>
            <w:tcW w:w="1265" w:type="dxa"/>
          </w:tcPr>
          <w:p>
            <w:pPr>
              <w:pStyle w:val="TableParagraph"/>
              <w:spacing w:before="2"/>
              <w:rPr>
                <w:rFonts w:ascii="Georgia"/>
                <w:sz w:val="18"/>
              </w:rPr>
            </w:pPr>
          </w:p>
          <w:p>
            <w:pPr>
              <w:pStyle w:val="TableParagraph"/>
              <w:ind w:left="11"/>
              <w:jc w:val="center"/>
              <w:rPr>
                <w:b/>
                <w:sz w:val="18"/>
              </w:rPr>
            </w:pPr>
            <w:r>
              <w:rPr>
                <w:b/>
                <w:color w:val="231F20"/>
                <w:spacing w:val="-10"/>
                <w:sz w:val="18"/>
              </w:rPr>
              <w:t>v</w:t>
            </w:r>
          </w:p>
        </w:tc>
        <w:tc>
          <w:tcPr>
            <w:tcW w:w="1265" w:type="dxa"/>
          </w:tcPr>
          <w:p>
            <w:pPr>
              <w:pStyle w:val="TableParagraph"/>
              <w:rPr>
                <w:sz w:val="18"/>
              </w:rPr>
            </w:pPr>
          </w:p>
        </w:tc>
        <w:tc>
          <w:tcPr>
            <w:tcW w:w="1265" w:type="dxa"/>
          </w:tcPr>
          <w:p>
            <w:pPr>
              <w:pStyle w:val="TableParagraph"/>
              <w:spacing w:before="2"/>
              <w:rPr>
                <w:rFonts w:ascii="Georgia"/>
                <w:sz w:val="18"/>
              </w:rPr>
            </w:pPr>
          </w:p>
          <w:p>
            <w:pPr>
              <w:pStyle w:val="TableParagraph"/>
              <w:ind w:left="14"/>
              <w:jc w:val="center"/>
              <w:rPr>
                <w:b/>
                <w:sz w:val="18"/>
              </w:rPr>
            </w:pPr>
            <w:r>
              <w:rPr>
                <w:b/>
                <w:color w:val="231F20"/>
                <w:spacing w:val="-10"/>
                <w:sz w:val="18"/>
              </w:rPr>
              <w:t>v</w:t>
            </w:r>
          </w:p>
        </w:tc>
        <w:tc>
          <w:tcPr>
            <w:tcW w:w="1265" w:type="dxa"/>
          </w:tcPr>
          <w:p>
            <w:pPr>
              <w:pStyle w:val="TableParagraph"/>
              <w:spacing w:before="2"/>
              <w:rPr>
                <w:rFonts w:ascii="Georgia"/>
                <w:sz w:val="18"/>
              </w:rPr>
            </w:pPr>
          </w:p>
          <w:p>
            <w:pPr>
              <w:pStyle w:val="TableParagraph"/>
              <w:ind w:left="16"/>
              <w:jc w:val="center"/>
              <w:rPr>
                <w:b/>
                <w:sz w:val="18"/>
              </w:rPr>
            </w:pPr>
            <w:r>
              <w:rPr>
                <w:b/>
                <w:color w:val="231F20"/>
                <w:spacing w:val="-10"/>
                <w:sz w:val="18"/>
              </w:rPr>
              <w:t>v</w:t>
            </w:r>
          </w:p>
        </w:tc>
      </w:tr>
      <w:tr>
        <w:trPr>
          <w:trHeight w:val="628" w:hRule="atLeast"/>
        </w:trPr>
        <w:tc>
          <w:tcPr>
            <w:tcW w:w="2183" w:type="dxa"/>
          </w:tcPr>
          <w:p>
            <w:pPr>
              <w:pStyle w:val="TableParagraph"/>
              <w:spacing w:line="200" w:lineRule="exact" w:before="8"/>
              <w:ind w:left="56" w:right="20"/>
              <w:rPr>
                <w:sz w:val="18"/>
              </w:rPr>
            </w:pPr>
            <w:r>
              <w:rPr>
                <w:color w:val="231F20"/>
                <w:sz w:val="18"/>
              </w:rPr>
              <w:t>Цель</w:t>
            </w:r>
            <w:r>
              <w:rPr>
                <w:color w:val="231F20"/>
                <w:spacing w:val="-12"/>
                <w:sz w:val="18"/>
              </w:rPr>
              <w:t> </w:t>
            </w:r>
            <w:r>
              <w:rPr>
                <w:color w:val="231F20"/>
                <w:sz w:val="18"/>
              </w:rPr>
              <w:t>–</w:t>
            </w:r>
            <w:r>
              <w:rPr>
                <w:color w:val="231F20"/>
                <w:spacing w:val="-11"/>
                <w:sz w:val="18"/>
              </w:rPr>
              <w:t> </w:t>
            </w:r>
            <w:r>
              <w:rPr>
                <w:color w:val="231F20"/>
                <w:sz w:val="18"/>
              </w:rPr>
              <w:t>социализация</w:t>
            </w:r>
            <w:r>
              <w:rPr>
                <w:color w:val="231F20"/>
                <w:spacing w:val="-11"/>
                <w:sz w:val="18"/>
              </w:rPr>
              <w:t> </w:t>
            </w:r>
            <w:r>
              <w:rPr>
                <w:color w:val="231F20"/>
                <w:sz w:val="18"/>
              </w:rPr>
              <w:t>уча- щихся, развитие навыков 21 века</w:t>
            </w:r>
          </w:p>
        </w:tc>
        <w:tc>
          <w:tcPr>
            <w:tcW w:w="1265" w:type="dxa"/>
          </w:tcPr>
          <w:p>
            <w:pPr>
              <w:pStyle w:val="TableParagraph"/>
              <w:rPr>
                <w:sz w:val="18"/>
              </w:rPr>
            </w:pPr>
          </w:p>
        </w:tc>
        <w:tc>
          <w:tcPr>
            <w:tcW w:w="1265" w:type="dxa"/>
          </w:tcPr>
          <w:p>
            <w:pPr>
              <w:pStyle w:val="TableParagraph"/>
              <w:rPr>
                <w:sz w:val="18"/>
              </w:rPr>
            </w:pPr>
          </w:p>
        </w:tc>
        <w:tc>
          <w:tcPr>
            <w:tcW w:w="1265" w:type="dxa"/>
          </w:tcPr>
          <w:p>
            <w:pPr>
              <w:pStyle w:val="TableParagraph"/>
              <w:rPr>
                <w:sz w:val="18"/>
              </w:rPr>
            </w:pPr>
          </w:p>
        </w:tc>
        <w:tc>
          <w:tcPr>
            <w:tcW w:w="1265" w:type="dxa"/>
          </w:tcPr>
          <w:p>
            <w:pPr>
              <w:pStyle w:val="TableParagraph"/>
              <w:spacing w:before="2"/>
              <w:rPr>
                <w:rFonts w:ascii="Georgia"/>
                <w:sz w:val="18"/>
              </w:rPr>
            </w:pPr>
          </w:p>
          <w:p>
            <w:pPr>
              <w:pStyle w:val="TableParagraph"/>
              <w:ind w:left="16"/>
              <w:jc w:val="center"/>
              <w:rPr>
                <w:b/>
                <w:sz w:val="18"/>
              </w:rPr>
            </w:pPr>
            <w:r>
              <w:rPr>
                <w:b/>
                <w:color w:val="231F20"/>
                <w:spacing w:val="-10"/>
                <w:sz w:val="18"/>
              </w:rPr>
              <w:t>v</w:t>
            </w:r>
          </w:p>
        </w:tc>
      </w:tr>
      <w:tr>
        <w:trPr>
          <w:trHeight w:val="428" w:hRule="atLeast"/>
        </w:trPr>
        <w:tc>
          <w:tcPr>
            <w:tcW w:w="2183" w:type="dxa"/>
          </w:tcPr>
          <w:p>
            <w:pPr>
              <w:pStyle w:val="TableParagraph"/>
              <w:spacing w:line="200" w:lineRule="exact" w:before="8"/>
              <w:ind w:left="56" w:right="20"/>
              <w:rPr>
                <w:sz w:val="18"/>
              </w:rPr>
            </w:pPr>
            <w:r>
              <w:rPr>
                <w:color w:val="231F20"/>
                <w:spacing w:val="-2"/>
                <w:sz w:val="18"/>
              </w:rPr>
              <w:t>Профилактика</w:t>
            </w:r>
            <w:r>
              <w:rPr>
                <w:color w:val="231F20"/>
                <w:spacing w:val="-10"/>
                <w:sz w:val="18"/>
              </w:rPr>
              <w:t> </w:t>
            </w:r>
            <w:r>
              <w:rPr>
                <w:color w:val="231F20"/>
                <w:spacing w:val="-2"/>
                <w:sz w:val="18"/>
              </w:rPr>
              <w:t>конфликтов </w:t>
            </w:r>
            <w:r>
              <w:rPr>
                <w:color w:val="231F20"/>
                <w:sz w:val="18"/>
              </w:rPr>
              <w:t>в классе</w:t>
            </w:r>
          </w:p>
        </w:tc>
        <w:tc>
          <w:tcPr>
            <w:tcW w:w="1265" w:type="dxa"/>
          </w:tcPr>
          <w:p>
            <w:pPr>
              <w:pStyle w:val="TableParagraph"/>
              <w:rPr>
                <w:sz w:val="18"/>
              </w:rPr>
            </w:pPr>
          </w:p>
        </w:tc>
        <w:tc>
          <w:tcPr>
            <w:tcW w:w="1265" w:type="dxa"/>
          </w:tcPr>
          <w:p>
            <w:pPr>
              <w:pStyle w:val="TableParagraph"/>
              <w:rPr>
                <w:sz w:val="18"/>
              </w:rPr>
            </w:pPr>
          </w:p>
        </w:tc>
        <w:tc>
          <w:tcPr>
            <w:tcW w:w="1265" w:type="dxa"/>
          </w:tcPr>
          <w:p>
            <w:pPr>
              <w:pStyle w:val="TableParagraph"/>
              <w:spacing w:before="107"/>
              <w:ind w:left="14"/>
              <w:jc w:val="center"/>
              <w:rPr>
                <w:b/>
                <w:sz w:val="18"/>
              </w:rPr>
            </w:pPr>
            <w:r>
              <w:rPr>
                <w:b/>
                <w:color w:val="231F20"/>
                <w:spacing w:val="-10"/>
                <w:sz w:val="18"/>
              </w:rPr>
              <w:t>v</w:t>
            </w:r>
          </w:p>
        </w:tc>
        <w:tc>
          <w:tcPr>
            <w:tcW w:w="1265" w:type="dxa"/>
          </w:tcPr>
          <w:p>
            <w:pPr>
              <w:pStyle w:val="TableParagraph"/>
              <w:spacing w:before="107"/>
              <w:ind w:left="16"/>
              <w:jc w:val="center"/>
              <w:rPr>
                <w:b/>
                <w:sz w:val="18"/>
              </w:rPr>
            </w:pPr>
            <w:r>
              <w:rPr>
                <w:b/>
                <w:color w:val="231F20"/>
                <w:spacing w:val="-10"/>
                <w:sz w:val="18"/>
              </w:rPr>
              <w:t>v</w:t>
            </w:r>
          </w:p>
        </w:tc>
      </w:tr>
    </w:tbl>
    <w:p>
      <w:pPr>
        <w:pStyle w:val="BodyText"/>
        <w:spacing w:line="235" w:lineRule="auto" w:before="77"/>
      </w:pPr>
      <w:r>
        <w:rPr>
          <w:color w:val="231F20"/>
        </w:rPr>
        <w:t>Из таблицы видно, что обучение в гетерогенных группах сотрудничества опти- мально, если учитель:</w:t>
      </w:r>
    </w:p>
    <w:p>
      <w:pPr>
        <w:pStyle w:val="ListParagraph"/>
        <w:numPr>
          <w:ilvl w:val="2"/>
          <w:numId w:val="289"/>
        </w:numPr>
        <w:tabs>
          <w:tab w:pos="423" w:val="left" w:leader="none"/>
          <w:tab w:pos="425" w:val="left" w:leader="none"/>
        </w:tabs>
        <w:spacing w:line="235" w:lineRule="auto" w:before="1" w:after="0"/>
        <w:ind w:left="425" w:right="139" w:hanging="284"/>
        <w:jc w:val="both"/>
        <w:rPr>
          <w:sz w:val="20"/>
        </w:rPr>
      </w:pPr>
      <w:r>
        <w:rPr>
          <w:color w:val="231F20"/>
          <w:sz w:val="20"/>
        </w:rPr>
        <w:t>хочет</w:t>
      </w:r>
      <w:r>
        <w:rPr>
          <w:color w:val="231F20"/>
          <w:spacing w:val="-4"/>
          <w:sz w:val="20"/>
        </w:rPr>
        <w:t> </w:t>
      </w:r>
      <w:r>
        <w:rPr>
          <w:color w:val="231F20"/>
          <w:sz w:val="20"/>
        </w:rPr>
        <w:t>повысить</w:t>
      </w:r>
      <w:r>
        <w:rPr>
          <w:color w:val="231F20"/>
          <w:spacing w:val="-4"/>
          <w:sz w:val="20"/>
        </w:rPr>
        <w:t> </w:t>
      </w:r>
      <w:r>
        <w:rPr>
          <w:color w:val="231F20"/>
          <w:sz w:val="20"/>
        </w:rPr>
        <w:t>учебную</w:t>
      </w:r>
      <w:r>
        <w:rPr>
          <w:color w:val="231F20"/>
          <w:spacing w:val="-4"/>
          <w:sz w:val="20"/>
        </w:rPr>
        <w:t> </w:t>
      </w:r>
      <w:r>
        <w:rPr>
          <w:color w:val="231F20"/>
          <w:sz w:val="20"/>
        </w:rPr>
        <w:t>мотивацию</w:t>
      </w:r>
      <w:r>
        <w:rPr>
          <w:color w:val="231F20"/>
          <w:spacing w:val="-4"/>
          <w:sz w:val="20"/>
        </w:rPr>
        <w:t> </w:t>
      </w:r>
      <w:r>
        <w:rPr>
          <w:color w:val="231F20"/>
          <w:sz w:val="20"/>
        </w:rPr>
        <w:t>всех</w:t>
      </w:r>
      <w:r>
        <w:rPr>
          <w:color w:val="231F20"/>
          <w:spacing w:val="-4"/>
          <w:sz w:val="20"/>
        </w:rPr>
        <w:t> </w:t>
      </w:r>
      <w:r>
        <w:rPr>
          <w:color w:val="231F20"/>
          <w:sz w:val="20"/>
        </w:rPr>
        <w:t>детей</w:t>
      </w:r>
      <w:r>
        <w:rPr>
          <w:color w:val="231F20"/>
          <w:spacing w:val="-4"/>
          <w:sz w:val="20"/>
        </w:rPr>
        <w:t> </w:t>
      </w:r>
      <w:r>
        <w:rPr>
          <w:color w:val="231F20"/>
          <w:sz w:val="20"/>
        </w:rPr>
        <w:t>в</w:t>
      </w:r>
      <w:r>
        <w:rPr>
          <w:color w:val="231F20"/>
          <w:spacing w:val="-4"/>
          <w:sz w:val="20"/>
        </w:rPr>
        <w:t> </w:t>
      </w:r>
      <w:r>
        <w:rPr>
          <w:color w:val="231F20"/>
          <w:sz w:val="20"/>
        </w:rPr>
        <w:t>классе,</w:t>
      </w:r>
      <w:r>
        <w:rPr>
          <w:color w:val="231F20"/>
          <w:spacing w:val="-4"/>
          <w:sz w:val="20"/>
        </w:rPr>
        <w:t> </w:t>
      </w:r>
      <w:r>
        <w:rPr>
          <w:color w:val="231F20"/>
          <w:sz w:val="20"/>
        </w:rPr>
        <w:t>вне</w:t>
      </w:r>
      <w:r>
        <w:rPr>
          <w:color w:val="231F20"/>
          <w:spacing w:val="-4"/>
          <w:sz w:val="20"/>
        </w:rPr>
        <w:t> </w:t>
      </w:r>
      <w:r>
        <w:rPr>
          <w:color w:val="231F20"/>
          <w:sz w:val="20"/>
        </w:rPr>
        <w:t>зависимости</w:t>
      </w:r>
      <w:r>
        <w:rPr>
          <w:color w:val="231F20"/>
          <w:spacing w:val="-4"/>
          <w:sz w:val="20"/>
        </w:rPr>
        <w:t> </w:t>
      </w:r>
      <w:r>
        <w:rPr>
          <w:color w:val="231F20"/>
          <w:sz w:val="20"/>
        </w:rPr>
        <w:t>от</w:t>
      </w:r>
      <w:r>
        <w:rPr>
          <w:color w:val="231F20"/>
          <w:spacing w:val="-4"/>
          <w:sz w:val="20"/>
        </w:rPr>
        <w:t> </w:t>
      </w:r>
      <w:r>
        <w:rPr>
          <w:color w:val="231F20"/>
          <w:sz w:val="20"/>
        </w:rPr>
        <w:t>раз- </w:t>
      </w:r>
      <w:r>
        <w:rPr>
          <w:color w:val="231F20"/>
          <w:spacing w:val="-2"/>
          <w:sz w:val="20"/>
        </w:rPr>
        <w:t>личий;</w:t>
      </w:r>
    </w:p>
    <w:p>
      <w:pPr>
        <w:pStyle w:val="ListParagraph"/>
        <w:numPr>
          <w:ilvl w:val="2"/>
          <w:numId w:val="289"/>
        </w:numPr>
        <w:tabs>
          <w:tab w:pos="423" w:val="left" w:leader="none"/>
          <w:tab w:pos="425" w:val="left" w:leader="none"/>
        </w:tabs>
        <w:spacing w:line="235" w:lineRule="auto" w:before="1" w:after="0"/>
        <w:ind w:left="425" w:right="139" w:hanging="284"/>
        <w:jc w:val="both"/>
        <w:rPr>
          <w:sz w:val="20"/>
        </w:rPr>
      </w:pPr>
      <w:r>
        <w:rPr>
          <w:color w:val="231F20"/>
          <w:sz w:val="20"/>
        </w:rPr>
        <w:t>готов</w:t>
      </w:r>
      <w:r>
        <w:rPr>
          <w:color w:val="231F20"/>
          <w:spacing w:val="-9"/>
          <w:sz w:val="20"/>
        </w:rPr>
        <w:t> </w:t>
      </w:r>
      <w:r>
        <w:rPr>
          <w:color w:val="231F20"/>
          <w:sz w:val="20"/>
        </w:rPr>
        <w:t>потратить</w:t>
      </w:r>
      <w:r>
        <w:rPr>
          <w:color w:val="231F20"/>
          <w:spacing w:val="-9"/>
          <w:sz w:val="20"/>
        </w:rPr>
        <w:t> </w:t>
      </w:r>
      <w:r>
        <w:rPr>
          <w:color w:val="231F20"/>
          <w:sz w:val="20"/>
        </w:rPr>
        <w:t>время</w:t>
      </w:r>
      <w:r>
        <w:rPr>
          <w:color w:val="231F20"/>
          <w:spacing w:val="-9"/>
          <w:sz w:val="20"/>
        </w:rPr>
        <w:t> </w:t>
      </w:r>
      <w:r>
        <w:rPr>
          <w:color w:val="231F20"/>
          <w:sz w:val="20"/>
        </w:rPr>
        <w:t>на</w:t>
      </w:r>
      <w:r>
        <w:rPr>
          <w:color w:val="231F20"/>
          <w:spacing w:val="-9"/>
          <w:sz w:val="20"/>
        </w:rPr>
        <w:t> </w:t>
      </w:r>
      <w:r>
        <w:rPr>
          <w:color w:val="231F20"/>
          <w:sz w:val="20"/>
        </w:rPr>
        <w:t>подготовку</w:t>
      </w:r>
      <w:r>
        <w:rPr>
          <w:color w:val="231F20"/>
          <w:spacing w:val="-9"/>
          <w:sz w:val="20"/>
        </w:rPr>
        <w:t> </w:t>
      </w:r>
      <w:r>
        <w:rPr>
          <w:color w:val="231F20"/>
          <w:sz w:val="20"/>
        </w:rPr>
        <w:t>урока</w:t>
      </w:r>
      <w:r>
        <w:rPr>
          <w:color w:val="231F20"/>
          <w:spacing w:val="-9"/>
          <w:sz w:val="20"/>
        </w:rPr>
        <w:t> </w:t>
      </w:r>
      <w:r>
        <w:rPr>
          <w:color w:val="231F20"/>
          <w:sz w:val="20"/>
        </w:rPr>
        <w:t>с</w:t>
      </w:r>
      <w:r>
        <w:rPr>
          <w:color w:val="231F20"/>
          <w:spacing w:val="-9"/>
          <w:sz w:val="20"/>
        </w:rPr>
        <w:t> </w:t>
      </w:r>
      <w:r>
        <w:rPr>
          <w:color w:val="231F20"/>
          <w:sz w:val="20"/>
        </w:rPr>
        <w:t>использованием</w:t>
      </w:r>
      <w:r>
        <w:rPr>
          <w:color w:val="231F20"/>
          <w:spacing w:val="-9"/>
          <w:sz w:val="20"/>
        </w:rPr>
        <w:t> </w:t>
      </w:r>
      <w:r>
        <w:rPr>
          <w:color w:val="231F20"/>
          <w:sz w:val="20"/>
        </w:rPr>
        <w:t>технологии</w:t>
      </w:r>
      <w:r>
        <w:rPr>
          <w:color w:val="231F20"/>
          <w:spacing w:val="-9"/>
          <w:sz w:val="20"/>
        </w:rPr>
        <w:t> </w:t>
      </w:r>
      <w:r>
        <w:rPr>
          <w:color w:val="231F20"/>
          <w:sz w:val="20"/>
        </w:rPr>
        <w:t>сотруд- ничества, включая планирование процедуры формирования смешанных групп, разработку заданий, инструкций для учащихся и комплектов учебно-методиче- ских материалов;</w:t>
      </w:r>
    </w:p>
    <w:p>
      <w:pPr>
        <w:pStyle w:val="ListParagraph"/>
        <w:numPr>
          <w:ilvl w:val="2"/>
          <w:numId w:val="289"/>
        </w:numPr>
        <w:tabs>
          <w:tab w:pos="423" w:val="left" w:leader="none"/>
          <w:tab w:pos="425" w:val="left" w:leader="none"/>
        </w:tabs>
        <w:spacing w:line="235" w:lineRule="auto" w:before="3" w:after="0"/>
        <w:ind w:left="425" w:right="139" w:hanging="284"/>
        <w:jc w:val="both"/>
        <w:rPr>
          <w:sz w:val="20"/>
        </w:rPr>
      </w:pPr>
      <w:r>
        <w:rPr>
          <w:color w:val="231F20"/>
          <w:sz w:val="20"/>
        </w:rPr>
        <w:t>может</w:t>
      </w:r>
      <w:r>
        <w:rPr>
          <w:color w:val="231F20"/>
          <w:spacing w:val="-5"/>
          <w:sz w:val="20"/>
        </w:rPr>
        <w:t> </w:t>
      </w:r>
      <w:r>
        <w:rPr>
          <w:color w:val="231F20"/>
          <w:sz w:val="20"/>
        </w:rPr>
        <w:t>договориться</w:t>
      </w:r>
      <w:r>
        <w:rPr>
          <w:color w:val="231F20"/>
          <w:spacing w:val="-5"/>
          <w:sz w:val="20"/>
        </w:rPr>
        <w:t> </w:t>
      </w:r>
      <w:r>
        <w:rPr>
          <w:color w:val="231F20"/>
          <w:sz w:val="20"/>
        </w:rPr>
        <w:t>с</w:t>
      </w:r>
      <w:r>
        <w:rPr>
          <w:color w:val="231F20"/>
          <w:spacing w:val="-5"/>
          <w:sz w:val="20"/>
        </w:rPr>
        <w:t> </w:t>
      </w:r>
      <w:r>
        <w:rPr>
          <w:color w:val="231F20"/>
          <w:sz w:val="20"/>
        </w:rPr>
        <w:t>психологом</w:t>
      </w:r>
      <w:r>
        <w:rPr>
          <w:color w:val="231F20"/>
          <w:spacing w:val="-5"/>
          <w:sz w:val="20"/>
        </w:rPr>
        <w:t> </w:t>
      </w:r>
      <w:r>
        <w:rPr>
          <w:color w:val="231F20"/>
          <w:sz w:val="20"/>
        </w:rPr>
        <w:t>и</w:t>
      </w:r>
      <w:r>
        <w:rPr>
          <w:color w:val="231F20"/>
          <w:spacing w:val="-5"/>
          <w:sz w:val="20"/>
        </w:rPr>
        <w:t> </w:t>
      </w:r>
      <w:r>
        <w:rPr>
          <w:color w:val="231F20"/>
          <w:sz w:val="20"/>
        </w:rPr>
        <w:t>выделить</w:t>
      </w:r>
      <w:r>
        <w:rPr>
          <w:color w:val="231F20"/>
          <w:spacing w:val="-5"/>
          <w:sz w:val="20"/>
        </w:rPr>
        <w:t> </w:t>
      </w:r>
      <w:r>
        <w:rPr>
          <w:color w:val="231F20"/>
          <w:sz w:val="20"/>
        </w:rPr>
        <w:t>время</w:t>
      </w:r>
      <w:r>
        <w:rPr>
          <w:color w:val="231F20"/>
          <w:spacing w:val="-5"/>
          <w:sz w:val="20"/>
        </w:rPr>
        <w:t> </w:t>
      </w:r>
      <w:r>
        <w:rPr>
          <w:color w:val="231F20"/>
          <w:sz w:val="20"/>
        </w:rPr>
        <w:t>вне</w:t>
      </w:r>
      <w:r>
        <w:rPr>
          <w:color w:val="231F20"/>
          <w:spacing w:val="-5"/>
          <w:sz w:val="20"/>
        </w:rPr>
        <w:t> </w:t>
      </w:r>
      <w:r>
        <w:rPr>
          <w:color w:val="231F20"/>
          <w:sz w:val="20"/>
        </w:rPr>
        <w:t>урока</w:t>
      </w:r>
      <w:r>
        <w:rPr>
          <w:color w:val="231F20"/>
          <w:spacing w:val="-5"/>
          <w:sz w:val="20"/>
        </w:rPr>
        <w:t> </w:t>
      </w:r>
      <w:r>
        <w:rPr>
          <w:color w:val="231F20"/>
          <w:sz w:val="20"/>
        </w:rPr>
        <w:t>для</w:t>
      </w:r>
      <w:r>
        <w:rPr>
          <w:color w:val="231F20"/>
          <w:spacing w:val="-5"/>
          <w:sz w:val="20"/>
        </w:rPr>
        <w:t> </w:t>
      </w:r>
      <w:r>
        <w:rPr>
          <w:color w:val="231F20"/>
          <w:sz w:val="20"/>
        </w:rPr>
        <w:t>предваритель- ной подготовки класса к работе в смешанных группах сотрудничества;</w:t>
      </w:r>
    </w:p>
    <w:p>
      <w:pPr>
        <w:pStyle w:val="ListParagraph"/>
        <w:numPr>
          <w:ilvl w:val="2"/>
          <w:numId w:val="289"/>
        </w:numPr>
        <w:tabs>
          <w:tab w:pos="423" w:val="left" w:leader="none"/>
          <w:tab w:pos="425" w:val="left" w:leader="none"/>
        </w:tabs>
        <w:spacing w:line="235" w:lineRule="auto" w:before="1" w:after="0"/>
        <w:ind w:left="425" w:right="139" w:hanging="284"/>
        <w:jc w:val="both"/>
        <w:rPr>
          <w:sz w:val="20"/>
        </w:rPr>
      </w:pPr>
      <w:r>
        <w:rPr>
          <w:color w:val="231F20"/>
          <w:sz w:val="20"/>
        </w:rPr>
        <w:t>хочет</w:t>
      </w:r>
      <w:r>
        <w:rPr>
          <w:color w:val="231F20"/>
          <w:spacing w:val="-10"/>
          <w:sz w:val="20"/>
        </w:rPr>
        <w:t> </w:t>
      </w:r>
      <w:r>
        <w:rPr>
          <w:color w:val="231F20"/>
          <w:sz w:val="20"/>
        </w:rPr>
        <w:t>улучшить</w:t>
      </w:r>
      <w:r>
        <w:rPr>
          <w:color w:val="231F20"/>
          <w:spacing w:val="-10"/>
          <w:sz w:val="20"/>
        </w:rPr>
        <w:t> </w:t>
      </w:r>
      <w:r>
        <w:rPr>
          <w:color w:val="231F20"/>
          <w:sz w:val="20"/>
        </w:rPr>
        <w:t>результаты</w:t>
      </w:r>
      <w:r>
        <w:rPr>
          <w:color w:val="231F20"/>
          <w:spacing w:val="-10"/>
          <w:sz w:val="20"/>
        </w:rPr>
        <w:t> </w:t>
      </w:r>
      <w:r>
        <w:rPr>
          <w:color w:val="231F20"/>
          <w:sz w:val="20"/>
        </w:rPr>
        <w:t>обученности</w:t>
      </w:r>
      <w:r>
        <w:rPr>
          <w:color w:val="231F20"/>
          <w:spacing w:val="-10"/>
          <w:sz w:val="20"/>
        </w:rPr>
        <w:t> </w:t>
      </w:r>
      <w:r>
        <w:rPr>
          <w:color w:val="231F20"/>
          <w:sz w:val="20"/>
        </w:rPr>
        <w:t>не</w:t>
      </w:r>
      <w:r>
        <w:rPr>
          <w:color w:val="231F20"/>
          <w:spacing w:val="-10"/>
          <w:sz w:val="20"/>
        </w:rPr>
        <w:t> </w:t>
      </w:r>
      <w:r>
        <w:rPr>
          <w:color w:val="231F20"/>
          <w:sz w:val="20"/>
        </w:rPr>
        <w:t>отдельных</w:t>
      </w:r>
      <w:r>
        <w:rPr>
          <w:color w:val="231F20"/>
          <w:spacing w:val="-10"/>
          <w:sz w:val="20"/>
        </w:rPr>
        <w:t> </w:t>
      </w:r>
      <w:r>
        <w:rPr>
          <w:color w:val="231F20"/>
          <w:sz w:val="20"/>
        </w:rPr>
        <w:t>групп</w:t>
      </w:r>
      <w:r>
        <w:rPr>
          <w:color w:val="231F20"/>
          <w:spacing w:val="-10"/>
          <w:sz w:val="20"/>
        </w:rPr>
        <w:t> </w:t>
      </w:r>
      <w:r>
        <w:rPr>
          <w:color w:val="231F20"/>
          <w:sz w:val="20"/>
        </w:rPr>
        <w:t>самых</w:t>
      </w:r>
      <w:r>
        <w:rPr>
          <w:color w:val="231F20"/>
          <w:spacing w:val="-10"/>
          <w:sz w:val="20"/>
        </w:rPr>
        <w:t> </w:t>
      </w:r>
      <w:r>
        <w:rPr>
          <w:color w:val="231F20"/>
          <w:sz w:val="20"/>
        </w:rPr>
        <w:t>сильных</w:t>
      </w:r>
      <w:r>
        <w:rPr>
          <w:color w:val="231F20"/>
          <w:spacing w:val="-10"/>
          <w:sz w:val="20"/>
        </w:rPr>
        <w:t> </w:t>
      </w:r>
      <w:r>
        <w:rPr>
          <w:color w:val="231F20"/>
          <w:sz w:val="20"/>
        </w:rPr>
        <w:t>уча- щихся</w:t>
      </w:r>
      <w:r>
        <w:rPr>
          <w:color w:val="231F20"/>
          <w:spacing w:val="-2"/>
          <w:sz w:val="20"/>
        </w:rPr>
        <w:t> </w:t>
      </w:r>
      <w:r>
        <w:rPr>
          <w:color w:val="231F20"/>
          <w:sz w:val="20"/>
        </w:rPr>
        <w:t>класса,</w:t>
      </w:r>
      <w:r>
        <w:rPr>
          <w:color w:val="231F20"/>
          <w:spacing w:val="-2"/>
          <w:sz w:val="20"/>
        </w:rPr>
        <w:t> </w:t>
      </w:r>
      <w:r>
        <w:rPr>
          <w:color w:val="231F20"/>
          <w:sz w:val="20"/>
        </w:rPr>
        <w:t>а</w:t>
      </w:r>
      <w:r>
        <w:rPr>
          <w:color w:val="231F20"/>
          <w:spacing w:val="-2"/>
          <w:sz w:val="20"/>
        </w:rPr>
        <w:t> </w:t>
      </w:r>
      <w:r>
        <w:rPr>
          <w:color w:val="231F20"/>
          <w:sz w:val="20"/>
        </w:rPr>
        <w:t>всех</w:t>
      </w:r>
      <w:r>
        <w:rPr>
          <w:color w:val="231F20"/>
          <w:spacing w:val="-2"/>
          <w:sz w:val="20"/>
        </w:rPr>
        <w:t> </w:t>
      </w:r>
      <w:r>
        <w:rPr>
          <w:color w:val="231F20"/>
          <w:sz w:val="20"/>
        </w:rPr>
        <w:t>учащихся,</w:t>
      </w:r>
      <w:r>
        <w:rPr>
          <w:color w:val="231F20"/>
          <w:spacing w:val="-2"/>
          <w:sz w:val="20"/>
        </w:rPr>
        <w:t> </w:t>
      </w:r>
      <w:r>
        <w:rPr>
          <w:color w:val="231F20"/>
          <w:sz w:val="20"/>
        </w:rPr>
        <w:t>вне</w:t>
      </w:r>
      <w:r>
        <w:rPr>
          <w:color w:val="231F20"/>
          <w:spacing w:val="-2"/>
          <w:sz w:val="20"/>
        </w:rPr>
        <w:t> </w:t>
      </w:r>
      <w:r>
        <w:rPr>
          <w:color w:val="231F20"/>
          <w:sz w:val="20"/>
        </w:rPr>
        <w:t>зависимости</w:t>
      </w:r>
      <w:r>
        <w:rPr>
          <w:color w:val="231F20"/>
          <w:spacing w:val="-2"/>
          <w:sz w:val="20"/>
        </w:rPr>
        <w:t> </w:t>
      </w:r>
      <w:r>
        <w:rPr>
          <w:color w:val="231F20"/>
          <w:sz w:val="20"/>
        </w:rPr>
        <w:t>от</w:t>
      </w:r>
      <w:r>
        <w:rPr>
          <w:color w:val="231F20"/>
          <w:spacing w:val="-2"/>
          <w:sz w:val="20"/>
        </w:rPr>
        <w:t> </w:t>
      </w:r>
      <w:r>
        <w:rPr>
          <w:color w:val="231F20"/>
          <w:sz w:val="20"/>
        </w:rPr>
        <w:t>текущей</w:t>
      </w:r>
      <w:r>
        <w:rPr>
          <w:color w:val="231F20"/>
          <w:spacing w:val="-2"/>
          <w:sz w:val="20"/>
        </w:rPr>
        <w:t> </w:t>
      </w:r>
      <w:r>
        <w:rPr>
          <w:color w:val="231F20"/>
          <w:sz w:val="20"/>
        </w:rPr>
        <w:t>успеваемости</w:t>
      </w:r>
      <w:r>
        <w:rPr>
          <w:color w:val="231F20"/>
          <w:spacing w:val="-2"/>
          <w:sz w:val="20"/>
        </w:rPr>
        <w:t> </w:t>
      </w:r>
      <w:r>
        <w:rPr>
          <w:color w:val="231F20"/>
          <w:sz w:val="20"/>
        </w:rPr>
        <w:t>и</w:t>
      </w:r>
      <w:r>
        <w:rPr>
          <w:color w:val="231F20"/>
          <w:spacing w:val="-2"/>
          <w:sz w:val="20"/>
        </w:rPr>
        <w:t> </w:t>
      </w:r>
      <w:r>
        <w:rPr>
          <w:color w:val="231F20"/>
          <w:sz w:val="20"/>
        </w:rPr>
        <w:t>про- </w:t>
      </w:r>
      <w:r>
        <w:rPr>
          <w:color w:val="231F20"/>
          <w:spacing w:val="-2"/>
          <w:sz w:val="20"/>
        </w:rPr>
        <w:t>блем;</w:t>
      </w:r>
    </w:p>
    <w:p>
      <w:pPr>
        <w:pStyle w:val="ListParagraph"/>
        <w:numPr>
          <w:ilvl w:val="2"/>
          <w:numId w:val="289"/>
        </w:numPr>
        <w:tabs>
          <w:tab w:pos="423" w:val="left" w:leader="none"/>
          <w:tab w:pos="425" w:val="left" w:leader="none"/>
        </w:tabs>
        <w:spacing w:line="235" w:lineRule="auto" w:before="2" w:after="0"/>
        <w:ind w:left="425" w:right="139" w:hanging="284"/>
        <w:jc w:val="both"/>
        <w:rPr>
          <w:sz w:val="20"/>
        </w:rPr>
      </w:pPr>
      <w:r>
        <w:rPr>
          <w:color w:val="231F20"/>
          <w:sz w:val="20"/>
        </w:rPr>
        <w:t>придает особое значение формированию социализации и развитию у учащихся навыков 21 века, включая навыки групповой деятельности, коммуникации и ре- шения проблем;</w:t>
      </w:r>
    </w:p>
    <w:p>
      <w:pPr>
        <w:pStyle w:val="ListParagraph"/>
        <w:numPr>
          <w:ilvl w:val="2"/>
          <w:numId w:val="289"/>
        </w:numPr>
        <w:tabs>
          <w:tab w:pos="423" w:val="left" w:leader="none"/>
        </w:tabs>
        <w:spacing w:line="228" w:lineRule="exact" w:before="0" w:after="0"/>
        <w:ind w:left="423" w:right="0" w:hanging="282"/>
        <w:jc w:val="both"/>
        <w:rPr>
          <w:sz w:val="20"/>
        </w:rPr>
      </w:pPr>
      <w:r>
        <w:rPr>
          <w:color w:val="231F20"/>
          <w:sz w:val="20"/>
        </w:rPr>
        <w:t>занимается</w:t>
      </w:r>
      <w:r>
        <w:rPr>
          <w:color w:val="231F20"/>
          <w:spacing w:val="-11"/>
          <w:sz w:val="20"/>
        </w:rPr>
        <w:t> </w:t>
      </w:r>
      <w:r>
        <w:rPr>
          <w:color w:val="231F20"/>
          <w:sz w:val="20"/>
        </w:rPr>
        <w:t>профилактикой</w:t>
      </w:r>
      <w:r>
        <w:rPr>
          <w:color w:val="231F20"/>
          <w:spacing w:val="-11"/>
          <w:sz w:val="20"/>
        </w:rPr>
        <w:t> </w:t>
      </w:r>
      <w:r>
        <w:rPr>
          <w:color w:val="231F20"/>
          <w:sz w:val="20"/>
        </w:rPr>
        <w:t>конфликтов</w:t>
      </w:r>
      <w:r>
        <w:rPr>
          <w:color w:val="231F20"/>
          <w:spacing w:val="-11"/>
          <w:sz w:val="20"/>
        </w:rPr>
        <w:t> </w:t>
      </w:r>
      <w:r>
        <w:rPr>
          <w:color w:val="231F20"/>
          <w:sz w:val="20"/>
        </w:rPr>
        <w:t>в</w:t>
      </w:r>
      <w:r>
        <w:rPr>
          <w:color w:val="231F20"/>
          <w:spacing w:val="-11"/>
          <w:sz w:val="20"/>
        </w:rPr>
        <w:t> </w:t>
      </w:r>
      <w:r>
        <w:rPr>
          <w:color w:val="231F20"/>
          <w:sz w:val="20"/>
        </w:rPr>
        <w:t>детском</w:t>
      </w:r>
      <w:r>
        <w:rPr>
          <w:color w:val="231F20"/>
          <w:spacing w:val="-10"/>
          <w:sz w:val="20"/>
        </w:rPr>
        <w:t> </w:t>
      </w:r>
      <w:r>
        <w:rPr>
          <w:color w:val="231F20"/>
          <w:spacing w:val="-2"/>
          <w:sz w:val="20"/>
        </w:rPr>
        <w:t>коллективе.</w:t>
      </w:r>
    </w:p>
    <w:p>
      <w:pPr>
        <w:pStyle w:val="ListParagraph"/>
        <w:spacing w:after="0" w:line="228" w:lineRule="exact"/>
        <w:jc w:val="both"/>
        <w:rPr>
          <w:sz w:val="20"/>
        </w:rPr>
        <w:sectPr>
          <w:pgSz w:w="8400" w:h="11910"/>
          <w:pgMar w:header="0" w:footer="530" w:top="400" w:bottom="740" w:left="425" w:right="425"/>
        </w:sectPr>
      </w:pPr>
    </w:p>
    <w:p>
      <w:pPr>
        <w:spacing w:before="80"/>
        <w:ind w:left="141" w:right="139" w:firstLine="0"/>
        <w:jc w:val="right"/>
        <w:rPr>
          <w:rFonts w:ascii="Georgia" w:hAnsi="Georgia"/>
          <w:sz w:val="18"/>
        </w:rPr>
      </w:pPr>
      <w:bookmarkStart w:name="_bookmark95" w:id="97"/>
      <w:bookmarkEnd w:id="97"/>
      <w:r>
        <w:rPr/>
      </w:r>
      <w:r>
        <w:rPr>
          <w:rFonts w:ascii="Georgia" w:hAnsi="Georgia"/>
          <w:color w:val="231F20"/>
          <w:spacing w:val="-2"/>
          <w:sz w:val="18"/>
        </w:rPr>
        <w:t>Раздел</w:t>
      </w:r>
      <w:r>
        <w:rPr>
          <w:rFonts w:ascii="Georgia" w:hAnsi="Georgia"/>
          <w:color w:val="231F20"/>
          <w:spacing w:val="-5"/>
          <w:sz w:val="18"/>
        </w:rPr>
        <w:t> 4.</w:t>
      </w:r>
    </w:p>
    <w:p>
      <w:pPr>
        <w:numPr>
          <w:ilvl w:val="2"/>
          <w:numId w:val="286"/>
        </w:numPr>
        <w:tabs>
          <w:tab w:pos="1677" w:val="left" w:leader="none"/>
        </w:tabs>
        <w:spacing w:before="109"/>
        <w:ind w:left="1677" w:right="0" w:hanging="500"/>
        <w:jc w:val="left"/>
        <w:rPr>
          <w:b/>
          <w:sz w:val="20"/>
        </w:rPr>
      </w:pPr>
      <w:r>
        <w:rPr>
          <w:b/>
          <w:color w:val="231F20"/>
          <w:sz w:val="20"/>
        </w:rPr>
        <w:t>Подготовка</w:t>
      </w:r>
      <w:r>
        <w:rPr>
          <w:b/>
          <w:color w:val="231F20"/>
          <w:spacing w:val="-10"/>
          <w:sz w:val="20"/>
        </w:rPr>
        <w:t> </w:t>
      </w:r>
      <w:r>
        <w:rPr>
          <w:b/>
          <w:color w:val="231F20"/>
          <w:sz w:val="20"/>
        </w:rPr>
        <w:t>учащихся</w:t>
      </w:r>
      <w:r>
        <w:rPr>
          <w:b/>
          <w:color w:val="231F20"/>
          <w:spacing w:val="-9"/>
          <w:sz w:val="20"/>
        </w:rPr>
        <w:t> </w:t>
      </w:r>
      <w:r>
        <w:rPr>
          <w:b/>
          <w:color w:val="231F20"/>
          <w:sz w:val="20"/>
        </w:rPr>
        <w:t>к</w:t>
      </w:r>
      <w:r>
        <w:rPr>
          <w:b/>
          <w:color w:val="231F20"/>
          <w:spacing w:val="-11"/>
          <w:sz w:val="20"/>
        </w:rPr>
        <w:t> </w:t>
      </w:r>
      <w:r>
        <w:rPr>
          <w:b/>
          <w:color w:val="231F20"/>
          <w:sz w:val="20"/>
        </w:rPr>
        <w:t>обучению</w:t>
      </w:r>
      <w:r>
        <w:rPr>
          <w:b/>
          <w:color w:val="231F20"/>
          <w:spacing w:val="-10"/>
          <w:sz w:val="20"/>
        </w:rPr>
        <w:t> </w:t>
      </w:r>
      <w:r>
        <w:rPr>
          <w:b/>
          <w:color w:val="231F20"/>
          <w:sz w:val="20"/>
        </w:rPr>
        <w:t>в</w:t>
      </w:r>
      <w:r>
        <w:rPr>
          <w:b/>
          <w:color w:val="231F20"/>
          <w:spacing w:val="-9"/>
          <w:sz w:val="20"/>
        </w:rPr>
        <w:t> </w:t>
      </w:r>
      <w:r>
        <w:rPr>
          <w:b/>
          <w:color w:val="231F20"/>
          <w:spacing w:val="-2"/>
          <w:sz w:val="20"/>
        </w:rPr>
        <w:t>сотрудничестве</w:t>
      </w:r>
    </w:p>
    <w:p>
      <w:pPr>
        <w:pStyle w:val="BodyText"/>
        <w:spacing w:line="237" w:lineRule="auto" w:before="111"/>
      </w:pPr>
      <w:r>
        <w:rPr>
          <w:color w:val="231F20"/>
        </w:rPr>
        <w:t>На начальном этапе подготовки учащихся к обучению в сотрудничестве следу-</w:t>
      </w:r>
      <w:r>
        <w:rPr>
          <w:color w:val="231F20"/>
          <w:spacing w:val="40"/>
        </w:rPr>
        <w:t> </w:t>
      </w:r>
      <w:r>
        <w:rPr>
          <w:color w:val="231F20"/>
        </w:rPr>
        <w:t>ет выделить время и поговорить с ними о базовых правилах эффективной работы в группе. Для лучшего запоминания этих правил их можно красиво оформить и выве- сить на одном из стендов в классе.</w:t>
      </w:r>
    </w:p>
    <w:p>
      <w:pPr>
        <w:spacing w:before="60"/>
        <w:ind w:left="425" w:right="0" w:firstLine="0"/>
        <w:jc w:val="both"/>
        <w:rPr>
          <w:b/>
          <w:sz w:val="20"/>
        </w:rPr>
      </w:pPr>
      <w:r>
        <w:rPr>
          <w:b/>
          <w:color w:val="231F20"/>
          <w:sz w:val="20"/>
        </w:rPr>
        <w:t>Основные</w:t>
      </w:r>
      <w:r>
        <w:rPr>
          <w:b/>
          <w:color w:val="231F20"/>
          <w:spacing w:val="-6"/>
          <w:sz w:val="20"/>
        </w:rPr>
        <w:t> </w:t>
      </w:r>
      <w:r>
        <w:rPr>
          <w:b/>
          <w:color w:val="231F20"/>
          <w:spacing w:val="-2"/>
          <w:sz w:val="20"/>
        </w:rPr>
        <w:t>правила</w:t>
      </w:r>
    </w:p>
    <w:p>
      <w:pPr>
        <w:pStyle w:val="ListParagraph"/>
        <w:numPr>
          <w:ilvl w:val="0"/>
          <w:numId w:val="307"/>
        </w:numPr>
        <w:tabs>
          <w:tab w:pos="424" w:val="left" w:leader="none"/>
        </w:tabs>
        <w:spacing w:line="240" w:lineRule="auto" w:before="2" w:after="0"/>
        <w:ind w:left="424" w:right="0" w:hanging="283"/>
        <w:jc w:val="left"/>
        <w:rPr>
          <w:sz w:val="20"/>
        </w:rPr>
      </w:pPr>
      <w:r>
        <w:rPr>
          <w:color w:val="231F20"/>
          <w:sz w:val="20"/>
        </w:rPr>
        <w:t>Говорите,</w:t>
      </w:r>
      <w:r>
        <w:rPr>
          <w:color w:val="231F20"/>
          <w:spacing w:val="-12"/>
          <w:sz w:val="20"/>
        </w:rPr>
        <w:t> </w:t>
      </w:r>
      <w:r>
        <w:rPr>
          <w:color w:val="231F20"/>
          <w:sz w:val="20"/>
        </w:rPr>
        <w:t>что</w:t>
      </w:r>
      <w:r>
        <w:rPr>
          <w:color w:val="231F20"/>
          <w:spacing w:val="-12"/>
          <w:sz w:val="20"/>
        </w:rPr>
        <w:t> </w:t>
      </w:r>
      <w:r>
        <w:rPr>
          <w:color w:val="231F20"/>
          <w:spacing w:val="-2"/>
          <w:sz w:val="20"/>
        </w:rPr>
        <w:t>думаете.</w:t>
      </w:r>
    </w:p>
    <w:p>
      <w:pPr>
        <w:pStyle w:val="ListParagraph"/>
        <w:numPr>
          <w:ilvl w:val="0"/>
          <w:numId w:val="307"/>
        </w:numPr>
        <w:tabs>
          <w:tab w:pos="425" w:val="left" w:leader="none"/>
        </w:tabs>
        <w:spacing w:line="242" w:lineRule="auto" w:before="2" w:after="0"/>
        <w:ind w:left="425" w:right="139" w:hanging="284"/>
        <w:jc w:val="left"/>
        <w:rPr>
          <w:sz w:val="20"/>
        </w:rPr>
      </w:pPr>
      <w:r>
        <w:rPr>
          <w:color w:val="231F20"/>
          <w:sz w:val="20"/>
        </w:rPr>
        <w:t>Слушайте</w:t>
      </w:r>
      <w:r>
        <w:rPr>
          <w:color w:val="231F20"/>
          <w:spacing w:val="27"/>
          <w:sz w:val="20"/>
        </w:rPr>
        <w:t> </w:t>
      </w:r>
      <w:r>
        <w:rPr>
          <w:color w:val="231F20"/>
          <w:sz w:val="20"/>
        </w:rPr>
        <w:t>других</w:t>
      </w:r>
      <w:r>
        <w:rPr>
          <w:color w:val="231F20"/>
          <w:spacing w:val="28"/>
          <w:sz w:val="20"/>
        </w:rPr>
        <w:t> </w:t>
      </w:r>
      <w:r>
        <w:rPr>
          <w:color w:val="231F20"/>
          <w:sz w:val="20"/>
        </w:rPr>
        <w:t>участников;</w:t>
      </w:r>
      <w:r>
        <w:rPr>
          <w:color w:val="231F20"/>
          <w:spacing w:val="28"/>
          <w:sz w:val="20"/>
        </w:rPr>
        <w:t> </w:t>
      </w:r>
      <w:r>
        <w:rPr>
          <w:color w:val="231F20"/>
          <w:sz w:val="20"/>
        </w:rPr>
        <w:t>не</w:t>
      </w:r>
      <w:r>
        <w:rPr>
          <w:color w:val="231F20"/>
          <w:spacing w:val="28"/>
          <w:sz w:val="20"/>
        </w:rPr>
        <w:t> </w:t>
      </w:r>
      <w:r>
        <w:rPr>
          <w:color w:val="231F20"/>
          <w:sz w:val="20"/>
        </w:rPr>
        <w:t>перебивайте,</w:t>
      </w:r>
      <w:r>
        <w:rPr>
          <w:color w:val="231F20"/>
          <w:spacing w:val="27"/>
          <w:sz w:val="20"/>
        </w:rPr>
        <w:t> </w:t>
      </w:r>
      <w:r>
        <w:rPr>
          <w:color w:val="231F20"/>
          <w:sz w:val="20"/>
        </w:rPr>
        <w:t>дайте</w:t>
      </w:r>
      <w:r>
        <w:rPr>
          <w:color w:val="231F20"/>
          <w:spacing w:val="27"/>
          <w:sz w:val="20"/>
        </w:rPr>
        <w:t> </w:t>
      </w:r>
      <w:r>
        <w:rPr>
          <w:color w:val="231F20"/>
          <w:sz w:val="20"/>
        </w:rPr>
        <w:t>возможность</w:t>
      </w:r>
      <w:r>
        <w:rPr>
          <w:color w:val="231F20"/>
          <w:spacing w:val="27"/>
          <w:sz w:val="20"/>
        </w:rPr>
        <w:t> </w:t>
      </w:r>
      <w:r>
        <w:rPr>
          <w:color w:val="231F20"/>
          <w:sz w:val="20"/>
        </w:rPr>
        <w:t>высказаться всем, кто хочет это сделать.</w:t>
      </w:r>
    </w:p>
    <w:p>
      <w:pPr>
        <w:pStyle w:val="ListParagraph"/>
        <w:numPr>
          <w:ilvl w:val="0"/>
          <w:numId w:val="307"/>
        </w:numPr>
        <w:tabs>
          <w:tab w:pos="424" w:val="left" w:leader="none"/>
        </w:tabs>
        <w:spacing w:line="229" w:lineRule="exact" w:before="0" w:after="0"/>
        <w:ind w:left="424" w:right="0" w:hanging="283"/>
        <w:jc w:val="left"/>
        <w:rPr>
          <w:sz w:val="20"/>
        </w:rPr>
      </w:pPr>
      <w:r>
        <w:rPr>
          <w:color w:val="231F20"/>
          <w:sz w:val="20"/>
        </w:rPr>
        <w:t>Задавайте</w:t>
      </w:r>
      <w:r>
        <w:rPr>
          <w:color w:val="231F20"/>
          <w:spacing w:val="-6"/>
          <w:sz w:val="20"/>
        </w:rPr>
        <w:t> </w:t>
      </w:r>
      <w:r>
        <w:rPr>
          <w:color w:val="231F20"/>
          <w:sz w:val="20"/>
        </w:rPr>
        <w:t>вопросы</w:t>
      </w:r>
      <w:r>
        <w:rPr>
          <w:color w:val="231F20"/>
          <w:spacing w:val="-3"/>
          <w:sz w:val="20"/>
        </w:rPr>
        <w:t> </w:t>
      </w:r>
      <w:r>
        <w:rPr>
          <w:color w:val="231F20"/>
          <w:sz w:val="20"/>
        </w:rPr>
        <w:t>участникам</w:t>
      </w:r>
      <w:r>
        <w:rPr>
          <w:color w:val="231F20"/>
          <w:spacing w:val="-3"/>
          <w:sz w:val="20"/>
        </w:rPr>
        <w:t> </w:t>
      </w:r>
      <w:r>
        <w:rPr>
          <w:color w:val="231F20"/>
          <w:sz w:val="20"/>
        </w:rPr>
        <w:t>группы,</w:t>
      </w:r>
      <w:r>
        <w:rPr>
          <w:color w:val="231F20"/>
          <w:spacing w:val="-3"/>
          <w:sz w:val="20"/>
        </w:rPr>
        <w:t> </w:t>
      </w:r>
      <w:r>
        <w:rPr>
          <w:color w:val="231F20"/>
          <w:sz w:val="20"/>
        </w:rPr>
        <w:t>чтобы</w:t>
      </w:r>
      <w:r>
        <w:rPr>
          <w:color w:val="231F20"/>
          <w:spacing w:val="-3"/>
          <w:sz w:val="20"/>
        </w:rPr>
        <w:t> </w:t>
      </w:r>
      <w:r>
        <w:rPr>
          <w:color w:val="231F20"/>
          <w:sz w:val="20"/>
        </w:rPr>
        <w:t>узнать,</w:t>
      </w:r>
      <w:r>
        <w:rPr>
          <w:color w:val="231F20"/>
          <w:spacing w:val="-3"/>
          <w:sz w:val="20"/>
        </w:rPr>
        <w:t> </w:t>
      </w:r>
      <w:r>
        <w:rPr>
          <w:color w:val="231F20"/>
          <w:sz w:val="20"/>
        </w:rPr>
        <w:t>что</w:t>
      </w:r>
      <w:r>
        <w:rPr>
          <w:color w:val="231F20"/>
          <w:spacing w:val="-3"/>
          <w:sz w:val="20"/>
        </w:rPr>
        <w:t> </w:t>
      </w:r>
      <w:r>
        <w:rPr>
          <w:color w:val="231F20"/>
          <w:sz w:val="20"/>
        </w:rPr>
        <w:t>они</w:t>
      </w:r>
      <w:r>
        <w:rPr>
          <w:color w:val="231F20"/>
          <w:spacing w:val="-4"/>
          <w:sz w:val="20"/>
        </w:rPr>
        <w:t> </w:t>
      </w:r>
      <w:r>
        <w:rPr>
          <w:color w:val="231F20"/>
          <w:spacing w:val="-2"/>
          <w:sz w:val="20"/>
        </w:rPr>
        <w:t>думают.</w:t>
      </w:r>
    </w:p>
    <w:p>
      <w:pPr>
        <w:pStyle w:val="ListParagraph"/>
        <w:numPr>
          <w:ilvl w:val="0"/>
          <w:numId w:val="307"/>
        </w:numPr>
        <w:tabs>
          <w:tab w:pos="424" w:val="left" w:leader="none"/>
        </w:tabs>
        <w:spacing w:line="240" w:lineRule="auto" w:before="2" w:after="0"/>
        <w:ind w:left="424" w:right="0" w:hanging="283"/>
        <w:jc w:val="left"/>
        <w:rPr>
          <w:sz w:val="20"/>
        </w:rPr>
      </w:pPr>
      <w:r>
        <w:rPr>
          <w:color w:val="231F20"/>
          <w:sz w:val="20"/>
        </w:rPr>
        <w:t>Аргументируйте</w:t>
      </w:r>
      <w:r>
        <w:rPr>
          <w:color w:val="231F20"/>
          <w:spacing w:val="-4"/>
          <w:sz w:val="20"/>
        </w:rPr>
        <w:t> </w:t>
      </w:r>
      <w:r>
        <w:rPr>
          <w:color w:val="231F20"/>
          <w:sz w:val="20"/>
        </w:rPr>
        <w:t>свои</w:t>
      </w:r>
      <w:r>
        <w:rPr>
          <w:color w:val="231F20"/>
          <w:spacing w:val="-4"/>
          <w:sz w:val="20"/>
        </w:rPr>
        <w:t> </w:t>
      </w:r>
      <w:r>
        <w:rPr>
          <w:color w:val="231F20"/>
          <w:sz w:val="20"/>
        </w:rPr>
        <w:t>идеи</w:t>
      </w:r>
      <w:r>
        <w:rPr>
          <w:color w:val="231F20"/>
          <w:spacing w:val="-4"/>
          <w:sz w:val="20"/>
        </w:rPr>
        <w:t> </w:t>
      </w:r>
      <w:r>
        <w:rPr>
          <w:color w:val="231F20"/>
          <w:sz w:val="20"/>
        </w:rPr>
        <w:t>и</w:t>
      </w:r>
      <w:r>
        <w:rPr>
          <w:color w:val="231F20"/>
          <w:spacing w:val="-4"/>
          <w:sz w:val="20"/>
        </w:rPr>
        <w:t> </w:t>
      </w:r>
      <w:r>
        <w:rPr>
          <w:color w:val="231F20"/>
          <w:spacing w:val="-2"/>
          <w:sz w:val="20"/>
        </w:rPr>
        <w:t>мнения.</w:t>
      </w:r>
    </w:p>
    <w:p>
      <w:pPr>
        <w:pStyle w:val="BodyText"/>
        <w:spacing w:line="242" w:lineRule="auto" w:before="2"/>
      </w:pPr>
      <w:r>
        <w:rPr>
          <w:color w:val="231F20"/>
          <w:spacing w:val="-2"/>
        </w:rPr>
        <w:t>Когда</w:t>
      </w:r>
      <w:r>
        <w:rPr>
          <w:color w:val="231F20"/>
          <w:spacing w:val="-5"/>
        </w:rPr>
        <w:t> </w:t>
      </w:r>
      <w:r>
        <w:rPr>
          <w:color w:val="231F20"/>
          <w:spacing w:val="-2"/>
        </w:rPr>
        <w:t>обучение</w:t>
      </w:r>
      <w:r>
        <w:rPr>
          <w:color w:val="231F20"/>
          <w:spacing w:val="-5"/>
        </w:rPr>
        <w:t> </w:t>
      </w:r>
      <w:r>
        <w:rPr>
          <w:color w:val="231F20"/>
          <w:spacing w:val="-2"/>
        </w:rPr>
        <w:t>в</w:t>
      </w:r>
      <w:r>
        <w:rPr>
          <w:color w:val="231F20"/>
          <w:spacing w:val="-5"/>
        </w:rPr>
        <w:t> </w:t>
      </w:r>
      <w:r>
        <w:rPr>
          <w:color w:val="231F20"/>
          <w:spacing w:val="-2"/>
        </w:rPr>
        <w:t>сотрудничестве</w:t>
      </w:r>
      <w:r>
        <w:rPr>
          <w:color w:val="231F20"/>
          <w:spacing w:val="-5"/>
        </w:rPr>
        <w:t> </w:t>
      </w:r>
      <w:r>
        <w:rPr>
          <w:color w:val="231F20"/>
          <w:spacing w:val="-2"/>
        </w:rPr>
        <w:t>начнется</w:t>
      </w:r>
      <w:r>
        <w:rPr>
          <w:color w:val="231F20"/>
          <w:spacing w:val="-5"/>
        </w:rPr>
        <w:t> </w:t>
      </w:r>
      <w:r>
        <w:rPr>
          <w:color w:val="231F20"/>
          <w:spacing w:val="-2"/>
        </w:rPr>
        <w:t>и</w:t>
      </w:r>
      <w:r>
        <w:rPr>
          <w:color w:val="231F20"/>
          <w:spacing w:val="-5"/>
        </w:rPr>
        <w:t> </w:t>
      </w:r>
      <w:r>
        <w:rPr>
          <w:color w:val="231F20"/>
          <w:spacing w:val="-2"/>
        </w:rPr>
        <w:t>учащиеся</w:t>
      </w:r>
      <w:r>
        <w:rPr>
          <w:color w:val="231F20"/>
          <w:spacing w:val="-5"/>
        </w:rPr>
        <w:t> </w:t>
      </w:r>
      <w:r>
        <w:rPr>
          <w:color w:val="231F20"/>
          <w:spacing w:val="-2"/>
        </w:rPr>
        <w:t>будут</w:t>
      </w:r>
      <w:r>
        <w:rPr>
          <w:color w:val="231F20"/>
          <w:spacing w:val="-5"/>
        </w:rPr>
        <w:t> </w:t>
      </w:r>
      <w:r>
        <w:rPr>
          <w:color w:val="231F20"/>
          <w:spacing w:val="-2"/>
        </w:rPr>
        <w:t>работать</w:t>
      </w:r>
      <w:r>
        <w:rPr>
          <w:color w:val="231F20"/>
          <w:spacing w:val="-5"/>
        </w:rPr>
        <w:t> </w:t>
      </w:r>
      <w:r>
        <w:rPr>
          <w:color w:val="231F20"/>
          <w:spacing w:val="-2"/>
        </w:rPr>
        <w:t>по</w:t>
      </w:r>
      <w:r>
        <w:rPr>
          <w:color w:val="231F20"/>
          <w:spacing w:val="-5"/>
        </w:rPr>
        <w:t> </w:t>
      </w:r>
      <w:r>
        <w:rPr>
          <w:color w:val="231F20"/>
          <w:spacing w:val="-2"/>
        </w:rPr>
        <w:t>группам, </w:t>
      </w:r>
      <w:r>
        <w:rPr>
          <w:color w:val="231F20"/>
        </w:rPr>
        <w:t>они смогут ориентироваться на вопросы рефлексивного характера, которые также можно заранее проговорить с учащимися и разместить на стенде в классе.</w:t>
      </w:r>
    </w:p>
    <w:p>
      <w:pPr>
        <w:spacing w:before="56"/>
        <w:ind w:left="425" w:right="0" w:firstLine="0"/>
        <w:jc w:val="both"/>
        <w:rPr>
          <w:b/>
          <w:sz w:val="20"/>
        </w:rPr>
      </w:pPr>
      <w:r>
        <w:rPr>
          <w:b/>
          <w:color w:val="231F20"/>
          <w:sz w:val="20"/>
        </w:rPr>
        <w:t>Вопросы на </w:t>
      </w:r>
      <w:r>
        <w:rPr>
          <w:b/>
          <w:color w:val="231F20"/>
          <w:spacing w:val="-2"/>
          <w:sz w:val="20"/>
        </w:rPr>
        <w:t>рефлексию</w:t>
      </w:r>
    </w:p>
    <w:p>
      <w:pPr>
        <w:pStyle w:val="ListParagraph"/>
        <w:numPr>
          <w:ilvl w:val="1"/>
          <w:numId w:val="307"/>
        </w:numPr>
        <w:tabs>
          <w:tab w:pos="424" w:val="left" w:leader="none"/>
        </w:tabs>
        <w:spacing w:line="240" w:lineRule="auto" w:before="2" w:after="0"/>
        <w:ind w:left="424" w:right="0" w:hanging="283"/>
        <w:jc w:val="both"/>
        <w:rPr>
          <w:sz w:val="20"/>
        </w:rPr>
      </w:pPr>
      <w:r>
        <w:rPr>
          <w:color w:val="231F20"/>
          <w:sz w:val="20"/>
        </w:rPr>
        <w:t>Все</w:t>
      </w:r>
      <w:r>
        <w:rPr>
          <w:color w:val="231F20"/>
          <w:spacing w:val="-5"/>
          <w:sz w:val="20"/>
        </w:rPr>
        <w:t> </w:t>
      </w:r>
      <w:r>
        <w:rPr>
          <w:color w:val="231F20"/>
          <w:sz w:val="20"/>
        </w:rPr>
        <w:t>ли</w:t>
      </w:r>
      <w:r>
        <w:rPr>
          <w:color w:val="231F20"/>
          <w:spacing w:val="-6"/>
          <w:sz w:val="20"/>
        </w:rPr>
        <w:t> </w:t>
      </w:r>
      <w:r>
        <w:rPr>
          <w:color w:val="231F20"/>
          <w:sz w:val="20"/>
        </w:rPr>
        <w:t>участники</w:t>
      </w:r>
      <w:r>
        <w:rPr>
          <w:color w:val="231F20"/>
          <w:spacing w:val="-6"/>
          <w:sz w:val="20"/>
        </w:rPr>
        <w:t> </w:t>
      </w:r>
      <w:r>
        <w:rPr>
          <w:color w:val="231F20"/>
          <w:sz w:val="20"/>
        </w:rPr>
        <w:t>группы</w:t>
      </w:r>
      <w:r>
        <w:rPr>
          <w:color w:val="231F20"/>
          <w:spacing w:val="-5"/>
          <w:sz w:val="20"/>
        </w:rPr>
        <w:t> </w:t>
      </w:r>
      <w:r>
        <w:rPr>
          <w:color w:val="231F20"/>
          <w:sz w:val="20"/>
        </w:rPr>
        <w:t>говорили</w:t>
      </w:r>
      <w:r>
        <w:rPr>
          <w:color w:val="231F20"/>
          <w:spacing w:val="-6"/>
          <w:sz w:val="20"/>
        </w:rPr>
        <w:t> </w:t>
      </w:r>
      <w:r>
        <w:rPr>
          <w:color w:val="231F20"/>
          <w:sz w:val="20"/>
        </w:rPr>
        <w:t>(участвовали</w:t>
      </w:r>
      <w:r>
        <w:rPr>
          <w:color w:val="231F20"/>
          <w:spacing w:val="-6"/>
          <w:sz w:val="20"/>
        </w:rPr>
        <w:t> </w:t>
      </w:r>
      <w:r>
        <w:rPr>
          <w:color w:val="231F20"/>
          <w:sz w:val="20"/>
        </w:rPr>
        <w:t>в</w:t>
      </w:r>
      <w:r>
        <w:rPr>
          <w:color w:val="231F20"/>
          <w:spacing w:val="-5"/>
          <w:sz w:val="20"/>
        </w:rPr>
        <w:t> </w:t>
      </w:r>
      <w:r>
        <w:rPr>
          <w:color w:val="231F20"/>
          <w:spacing w:val="-2"/>
          <w:sz w:val="20"/>
        </w:rPr>
        <w:t>обсуждении)?</w:t>
      </w:r>
    </w:p>
    <w:p>
      <w:pPr>
        <w:pStyle w:val="ListParagraph"/>
        <w:numPr>
          <w:ilvl w:val="1"/>
          <w:numId w:val="307"/>
        </w:numPr>
        <w:tabs>
          <w:tab w:pos="424" w:val="left" w:leader="none"/>
        </w:tabs>
        <w:spacing w:line="240" w:lineRule="auto" w:before="2" w:after="0"/>
        <w:ind w:left="424" w:right="0" w:hanging="283"/>
        <w:jc w:val="both"/>
        <w:rPr>
          <w:sz w:val="20"/>
        </w:rPr>
      </w:pPr>
      <w:r>
        <w:rPr>
          <w:color w:val="231F20"/>
          <w:sz w:val="20"/>
        </w:rPr>
        <w:t>Слушал ли</w:t>
      </w:r>
      <w:r>
        <w:rPr>
          <w:color w:val="231F20"/>
          <w:spacing w:val="-1"/>
          <w:sz w:val="20"/>
        </w:rPr>
        <w:t> </w:t>
      </w:r>
      <w:r>
        <w:rPr>
          <w:color w:val="231F20"/>
          <w:sz w:val="20"/>
        </w:rPr>
        <w:t>я </w:t>
      </w:r>
      <w:r>
        <w:rPr>
          <w:color w:val="231F20"/>
          <w:spacing w:val="-2"/>
          <w:sz w:val="20"/>
        </w:rPr>
        <w:t>других?</w:t>
      </w:r>
    </w:p>
    <w:p>
      <w:pPr>
        <w:pStyle w:val="ListParagraph"/>
        <w:numPr>
          <w:ilvl w:val="1"/>
          <w:numId w:val="307"/>
        </w:numPr>
        <w:tabs>
          <w:tab w:pos="425" w:val="left" w:leader="none"/>
        </w:tabs>
        <w:spacing w:line="242" w:lineRule="auto" w:before="2" w:after="0"/>
        <w:ind w:left="425" w:right="139" w:hanging="284"/>
        <w:jc w:val="left"/>
        <w:rPr>
          <w:sz w:val="20"/>
        </w:rPr>
      </w:pPr>
      <w:r>
        <w:rPr>
          <w:color w:val="231F20"/>
          <w:sz w:val="20"/>
        </w:rPr>
        <w:t>Задавал ли я вопросы? Какие вопросы я задал участникам группы, чтобы лучше понять, что они хотели сказать?</w:t>
      </w:r>
    </w:p>
    <w:p>
      <w:pPr>
        <w:pStyle w:val="ListParagraph"/>
        <w:numPr>
          <w:ilvl w:val="1"/>
          <w:numId w:val="307"/>
        </w:numPr>
        <w:tabs>
          <w:tab w:pos="425" w:val="left" w:leader="none"/>
        </w:tabs>
        <w:spacing w:line="242" w:lineRule="auto" w:before="0" w:after="0"/>
        <w:ind w:left="425" w:right="140" w:hanging="284"/>
        <w:jc w:val="left"/>
        <w:rPr>
          <w:sz w:val="20"/>
        </w:rPr>
      </w:pPr>
      <w:r>
        <w:rPr>
          <w:color w:val="231F20"/>
          <w:sz w:val="20"/>
        </w:rPr>
        <w:t>Приводил ли я аргументы, когда делился с другими участниками группы своими </w:t>
      </w:r>
      <w:r>
        <w:rPr>
          <w:color w:val="231F20"/>
          <w:spacing w:val="-2"/>
          <w:sz w:val="20"/>
        </w:rPr>
        <w:t>идеями?</w:t>
      </w:r>
    </w:p>
    <w:p>
      <w:pPr>
        <w:pStyle w:val="ListParagraph"/>
        <w:numPr>
          <w:ilvl w:val="1"/>
          <w:numId w:val="307"/>
        </w:numPr>
        <w:tabs>
          <w:tab w:pos="425" w:val="left" w:leader="none"/>
        </w:tabs>
        <w:spacing w:line="242" w:lineRule="auto" w:before="0" w:after="0"/>
        <w:ind w:left="425" w:right="140" w:hanging="284"/>
        <w:jc w:val="left"/>
        <w:rPr>
          <w:sz w:val="20"/>
        </w:rPr>
      </w:pPr>
      <w:r>
        <w:rPr>
          <w:color w:val="231F20"/>
          <w:sz w:val="20"/>
        </w:rPr>
        <w:t>Как я задавал вопрос тем участникам, которые делились своими идеями, но не</w:t>
      </w:r>
      <w:r>
        <w:rPr>
          <w:color w:val="231F20"/>
          <w:spacing w:val="40"/>
          <w:sz w:val="20"/>
        </w:rPr>
        <w:t> </w:t>
      </w:r>
      <w:r>
        <w:rPr>
          <w:color w:val="231F20"/>
          <w:sz w:val="20"/>
        </w:rPr>
        <w:t>подтверждали их аргументами?</w:t>
      </w:r>
    </w:p>
    <w:p>
      <w:pPr>
        <w:spacing w:before="55"/>
        <w:ind w:left="425" w:right="0" w:firstLine="0"/>
        <w:jc w:val="both"/>
        <w:rPr>
          <w:b/>
          <w:i/>
          <w:sz w:val="20"/>
        </w:rPr>
      </w:pPr>
      <w:r>
        <w:rPr>
          <w:b/>
          <w:i/>
          <w:color w:val="231F20"/>
          <w:sz w:val="20"/>
        </w:rPr>
        <w:t>О</w:t>
      </w:r>
      <w:r>
        <w:rPr>
          <w:b/>
          <w:i/>
          <w:color w:val="231F20"/>
          <w:spacing w:val="-5"/>
          <w:sz w:val="20"/>
        </w:rPr>
        <w:t> </w:t>
      </w:r>
      <w:r>
        <w:rPr>
          <w:b/>
          <w:i/>
          <w:color w:val="231F20"/>
          <w:sz w:val="20"/>
        </w:rPr>
        <w:t>чем</w:t>
      </w:r>
      <w:r>
        <w:rPr>
          <w:b/>
          <w:i/>
          <w:color w:val="231F20"/>
          <w:spacing w:val="-3"/>
          <w:sz w:val="20"/>
        </w:rPr>
        <w:t> </w:t>
      </w:r>
      <w:r>
        <w:rPr>
          <w:b/>
          <w:i/>
          <w:color w:val="231F20"/>
          <w:sz w:val="20"/>
        </w:rPr>
        <w:t>говорит</w:t>
      </w:r>
      <w:r>
        <w:rPr>
          <w:b/>
          <w:i/>
          <w:color w:val="231F20"/>
          <w:spacing w:val="-2"/>
          <w:sz w:val="20"/>
        </w:rPr>
        <w:t> </w:t>
      </w:r>
      <w:r>
        <w:rPr>
          <w:b/>
          <w:i/>
          <w:color w:val="231F20"/>
          <w:sz w:val="20"/>
        </w:rPr>
        <w:t>язык</w:t>
      </w:r>
      <w:r>
        <w:rPr>
          <w:b/>
          <w:i/>
          <w:color w:val="231F20"/>
          <w:spacing w:val="-2"/>
          <w:sz w:val="20"/>
        </w:rPr>
        <w:t> </w:t>
      </w:r>
      <w:r>
        <w:rPr>
          <w:b/>
          <w:i/>
          <w:color w:val="231F20"/>
          <w:spacing w:val="-4"/>
          <w:sz w:val="20"/>
        </w:rPr>
        <w:t>тела</w:t>
      </w:r>
    </w:p>
    <w:p>
      <w:pPr>
        <w:pStyle w:val="BodyText"/>
        <w:spacing w:line="242" w:lineRule="auto" w:before="2"/>
      </w:pPr>
      <w:r>
        <w:rPr>
          <w:color w:val="231F20"/>
        </w:rPr>
        <w:t>Работа учителя в поликультурном классе подразумевает понимание скрытых угроз не только в словах учащихся, но и в так называемом языке тела, что в услови- ях групповой учебной деятельности может привести к непониманию и конфликтам. Специалисты,</w:t>
      </w:r>
      <w:r>
        <w:rPr>
          <w:color w:val="231F20"/>
          <w:spacing w:val="-3"/>
        </w:rPr>
        <w:t> </w:t>
      </w:r>
      <w:r>
        <w:rPr>
          <w:color w:val="231F20"/>
        </w:rPr>
        <w:t>работающие</w:t>
      </w:r>
      <w:r>
        <w:rPr>
          <w:color w:val="231F20"/>
          <w:spacing w:val="-3"/>
        </w:rPr>
        <w:t> </w:t>
      </w:r>
      <w:r>
        <w:rPr>
          <w:color w:val="231F20"/>
        </w:rPr>
        <w:t>в</w:t>
      </w:r>
      <w:r>
        <w:rPr>
          <w:color w:val="231F20"/>
          <w:spacing w:val="-3"/>
        </w:rPr>
        <w:t> </w:t>
      </w:r>
      <w:r>
        <w:rPr>
          <w:color w:val="231F20"/>
        </w:rPr>
        <w:t>поликультурных</w:t>
      </w:r>
      <w:r>
        <w:rPr>
          <w:color w:val="231F20"/>
          <w:spacing w:val="-3"/>
        </w:rPr>
        <w:t> </w:t>
      </w:r>
      <w:r>
        <w:rPr>
          <w:color w:val="231F20"/>
        </w:rPr>
        <w:t>классах,</w:t>
      </w:r>
      <w:r>
        <w:rPr>
          <w:color w:val="231F20"/>
          <w:spacing w:val="-3"/>
        </w:rPr>
        <w:t> </w:t>
      </w:r>
      <w:r>
        <w:rPr>
          <w:color w:val="231F20"/>
        </w:rPr>
        <w:t>выделяют</w:t>
      </w:r>
      <w:r>
        <w:rPr>
          <w:color w:val="231F20"/>
          <w:spacing w:val="-3"/>
        </w:rPr>
        <w:t> </w:t>
      </w:r>
      <w:r>
        <w:rPr>
          <w:color w:val="231F20"/>
        </w:rPr>
        <w:t>следующие</w:t>
      </w:r>
      <w:r>
        <w:rPr>
          <w:color w:val="231F20"/>
          <w:spacing w:val="-3"/>
        </w:rPr>
        <w:t> </w:t>
      </w:r>
      <w:r>
        <w:rPr>
          <w:color w:val="231F20"/>
        </w:rPr>
        <w:t>типич- ные для начала конфликтов ситуации, которые можно зафиксировать по языку тела </w:t>
      </w:r>
      <w:r>
        <w:rPr>
          <w:color w:val="231F20"/>
          <w:spacing w:val="-2"/>
        </w:rPr>
        <w:t>участников:</w:t>
      </w:r>
    </w:p>
    <w:p>
      <w:pPr>
        <w:pStyle w:val="ListParagraph"/>
        <w:numPr>
          <w:ilvl w:val="1"/>
          <w:numId w:val="307"/>
        </w:numPr>
        <w:tabs>
          <w:tab w:pos="425" w:val="left" w:leader="none"/>
        </w:tabs>
        <w:spacing w:line="242" w:lineRule="auto" w:before="0" w:after="0"/>
        <w:ind w:left="425" w:right="139" w:hanging="284"/>
        <w:jc w:val="both"/>
        <w:rPr>
          <w:sz w:val="20"/>
        </w:rPr>
      </w:pPr>
      <w:r>
        <w:rPr>
          <w:color w:val="231F20"/>
          <w:sz w:val="20"/>
        </w:rPr>
        <w:t>два</w:t>
      </w:r>
      <w:r>
        <w:rPr>
          <w:color w:val="231F20"/>
          <w:spacing w:val="-4"/>
          <w:sz w:val="20"/>
        </w:rPr>
        <w:t> </w:t>
      </w:r>
      <w:r>
        <w:rPr>
          <w:color w:val="231F20"/>
          <w:sz w:val="20"/>
        </w:rPr>
        <w:t>участника</w:t>
      </w:r>
      <w:r>
        <w:rPr>
          <w:color w:val="231F20"/>
          <w:spacing w:val="-4"/>
          <w:sz w:val="20"/>
        </w:rPr>
        <w:t> </w:t>
      </w:r>
      <w:r>
        <w:rPr>
          <w:color w:val="231F20"/>
          <w:sz w:val="20"/>
        </w:rPr>
        <w:t>группы</w:t>
      </w:r>
      <w:r>
        <w:rPr>
          <w:color w:val="231F20"/>
          <w:spacing w:val="-4"/>
          <w:sz w:val="20"/>
        </w:rPr>
        <w:t> </w:t>
      </w:r>
      <w:r>
        <w:rPr>
          <w:color w:val="231F20"/>
          <w:sz w:val="20"/>
        </w:rPr>
        <w:t>сидят</w:t>
      </w:r>
      <w:r>
        <w:rPr>
          <w:color w:val="231F20"/>
          <w:spacing w:val="-4"/>
          <w:sz w:val="20"/>
        </w:rPr>
        <w:t> </w:t>
      </w:r>
      <w:r>
        <w:rPr>
          <w:color w:val="231F20"/>
          <w:sz w:val="20"/>
        </w:rPr>
        <w:t>рядом</w:t>
      </w:r>
      <w:r>
        <w:rPr>
          <w:color w:val="231F20"/>
          <w:spacing w:val="-4"/>
          <w:sz w:val="20"/>
        </w:rPr>
        <w:t> </w:t>
      </w:r>
      <w:r>
        <w:rPr>
          <w:color w:val="231F20"/>
          <w:sz w:val="20"/>
        </w:rPr>
        <w:t>и</w:t>
      </w:r>
      <w:r>
        <w:rPr>
          <w:color w:val="231F20"/>
          <w:spacing w:val="-4"/>
          <w:sz w:val="20"/>
        </w:rPr>
        <w:t> </w:t>
      </w:r>
      <w:r>
        <w:rPr>
          <w:color w:val="231F20"/>
          <w:sz w:val="20"/>
        </w:rPr>
        <w:t>держат</w:t>
      </w:r>
      <w:r>
        <w:rPr>
          <w:color w:val="231F20"/>
          <w:spacing w:val="-4"/>
          <w:sz w:val="20"/>
        </w:rPr>
        <w:t> </w:t>
      </w:r>
      <w:r>
        <w:rPr>
          <w:color w:val="231F20"/>
          <w:sz w:val="20"/>
        </w:rPr>
        <w:t>книгу</w:t>
      </w:r>
      <w:r>
        <w:rPr>
          <w:color w:val="231F20"/>
          <w:spacing w:val="-4"/>
          <w:sz w:val="20"/>
        </w:rPr>
        <w:t> </w:t>
      </w:r>
      <w:r>
        <w:rPr>
          <w:color w:val="231F20"/>
          <w:sz w:val="20"/>
        </w:rPr>
        <w:t>или</w:t>
      </w:r>
      <w:r>
        <w:rPr>
          <w:color w:val="231F20"/>
          <w:spacing w:val="-4"/>
          <w:sz w:val="20"/>
        </w:rPr>
        <w:t> </w:t>
      </w:r>
      <w:r>
        <w:rPr>
          <w:color w:val="231F20"/>
          <w:sz w:val="20"/>
        </w:rPr>
        <w:t>информационную</w:t>
      </w:r>
      <w:r>
        <w:rPr>
          <w:color w:val="231F20"/>
          <w:spacing w:val="-4"/>
          <w:sz w:val="20"/>
        </w:rPr>
        <w:t> </w:t>
      </w:r>
      <w:r>
        <w:rPr>
          <w:color w:val="231F20"/>
          <w:sz w:val="20"/>
        </w:rPr>
        <w:t>таблич- ку так, чтобы их никто не мог увидеть;</w:t>
      </w:r>
    </w:p>
    <w:p>
      <w:pPr>
        <w:pStyle w:val="ListParagraph"/>
        <w:numPr>
          <w:ilvl w:val="1"/>
          <w:numId w:val="307"/>
        </w:numPr>
        <w:tabs>
          <w:tab w:pos="425" w:val="left" w:leader="none"/>
        </w:tabs>
        <w:spacing w:line="242" w:lineRule="auto" w:before="0" w:after="0"/>
        <w:ind w:left="425" w:right="139" w:hanging="284"/>
        <w:jc w:val="both"/>
        <w:rPr>
          <w:sz w:val="20"/>
        </w:rPr>
      </w:pPr>
      <w:r>
        <w:rPr>
          <w:color w:val="231F20"/>
          <w:sz w:val="20"/>
        </w:rPr>
        <w:t>два участника группы сидят напротив друг друга и сосредоточены на общении друг</w:t>
      </w:r>
      <w:r>
        <w:rPr>
          <w:color w:val="231F20"/>
          <w:spacing w:val="-12"/>
          <w:sz w:val="20"/>
        </w:rPr>
        <w:t> </w:t>
      </w:r>
      <w:r>
        <w:rPr>
          <w:color w:val="231F20"/>
          <w:sz w:val="20"/>
        </w:rPr>
        <w:t>с</w:t>
      </w:r>
      <w:r>
        <w:rPr>
          <w:color w:val="231F20"/>
          <w:spacing w:val="-12"/>
          <w:sz w:val="20"/>
        </w:rPr>
        <w:t> </w:t>
      </w:r>
      <w:r>
        <w:rPr>
          <w:color w:val="231F20"/>
          <w:sz w:val="20"/>
        </w:rPr>
        <w:t>другом,</w:t>
      </w:r>
      <w:r>
        <w:rPr>
          <w:color w:val="231F20"/>
          <w:spacing w:val="-12"/>
          <w:sz w:val="20"/>
        </w:rPr>
        <w:t> </w:t>
      </w:r>
      <w:r>
        <w:rPr>
          <w:color w:val="231F20"/>
          <w:sz w:val="20"/>
        </w:rPr>
        <w:t>не</w:t>
      </w:r>
      <w:r>
        <w:rPr>
          <w:color w:val="231F20"/>
          <w:spacing w:val="-12"/>
          <w:sz w:val="20"/>
        </w:rPr>
        <w:t> </w:t>
      </w:r>
      <w:r>
        <w:rPr>
          <w:color w:val="231F20"/>
          <w:sz w:val="20"/>
        </w:rPr>
        <w:t>допуская</w:t>
      </w:r>
      <w:r>
        <w:rPr>
          <w:color w:val="231F20"/>
          <w:spacing w:val="-12"/>
          <w:sz w:val="20"/>
        </w:rPr>
        <w:t> </w:t>
      </w:r>
      <w:r>
        <w:rPr>
          <w:color w:val="231F20"/>
          <w:sz w:val="20"/>
        </w:rPr>
        <w:t>ни</w:t>
      </w:r>
      <w:r>
        <w:rPr>
          <w:color w:val="231F20"/>
          <w:spacing w:val="-12"/>
          <w:sz w:val="20"/>
        </w:rPr>
        <w:t> </w:t>
      </w:r>
      <w:r>
        <w:rPr>
          <w:color w:val="231F20"/>
          <w:sz w:val="20"/>
        </w:rPr>
        <w:t>для</w:t>
      </w:r>
      <w:r>
        <w:rPr>
          <w:color w:val="231F20"/>
          <w:spacing w:val="-12"/>
          <w:sz w:val="20"/>
        </w:rPr>
        <w:t> </w:t>
      </w:r>
      <w:r>
        <w:rPr>
          <w:color w:val="231F20"/>
          <w:sz w:val="20"/>
        </w:rPr>
        <w:t>кого</w:t>
      </w:r>
      <w:r>
        <w:rPr>
          <w:color w:val="231F20"/>
          <w:spacing w:val="-12"/>
          <w:sz w:val="20"/>
        </w:rPr>
        <w:t> </w:t>
      </w:r>
      <w:r>
        <w:rPr>
          <w:color w:val="231F20"/>
          <w:sz w:val="20"/>
        </w:rPr>
        <w:t>возможности</w:t>
      </w:r>
      <w:r>
        <w:rPr>
          <w:color w:val="231F20"/>
          <w:spacing w:val="-12"/>
          <w:sz w:val="20"/>
        </w:rPr>
        <w:t> </w:t>
      </w:r>
      <w:r>
        <w:rPr>
          <w:color w:val="231F20"/>
          <w:sz w:val="20"/>
        </w:rPr>
        <w:t>включиться</w:t>
      </w:r>
      <w:r>
        <w:rPr>
          <w:color w:val="231F20"/>
          <w:spacing w:val="-12"/>
          <w:sz w:val="20"/>
        </w:rPr>
        <w:t> </w:t>
      </w:r>
      <w:r>
        <w:rPr>
          <w:color w:val="231F20"/>
          <w:sz w:val="20"/>
        </w:rPr>
        <w:t>в</w:t>
      </w:r>
      <w:r>
        <w:rPr>
          <w:color w:val="231F20"/>
          <w:spacing w:val="-12"/>
          <w:sz w:val="20"/>
        </w:rPr>
        <w:t> </w:t>
      </w:r>
      <w:r>
        <w:rPr>
          <w:color w:val="231F20"/>
          <w:sz w:val="20"/>
        </w:rPr>
        <w:t>эту</w:t>
      </w:r>
      <w:r>
        <w:rPr>
          <w:color w:val="231F20"/>
          <w:spacing w:val="-12"/>
          <w:sz w:val="20"/>
        </w:rPr>
        <w:t> </w:t>
      </w:r>
      <w:r>
        <w:rPr>
          <w:color w:val="231F20"/>
          <w:sz w:val="20"/>
        </w:rPr>
        <w:t>дискуссию;</w:t>
      </w:r>
    </w:p>
    <w:p>
      <w:pPr>
        <w:pStyle w:val="ListParagraph"/>
        <w:numPr>
          <w:ilvl w:val="1"/>
          <w:numId w:val="307"/>
        </w:numPr>
        <w:tabs>
          <w:tab w:pos="425" w:val="left" w:leader="none"/>
        </w:tabs>
        <w:spacing w:line="242" w:lineRule="auto" w:before="0" w:after="0"/>
        <w:ind w:left="425" w:right="139" w:hanging="284"/>
        <w:jc w:val="both"/>
        <w:rPr>
          <w:sz w:val="20"/>
        </w:rPr>
      </w:pPr>
      <w:r>
        <w:rPr>
          <w:color w:val="231F20"/>
          <w:sz w:val="20"/>
        </w:rPr>
        <w:t>во</w:t>
      </w:r>
      <w:r>
        <w:rPr>
          <w:color w:val="231F20"/>
          <w:spacing w:val="-13"/>
          <w:sz w:val="20"/>
        </w:rPr>
        <w:t> </w:t>
      </w:r>
      <w:r>
        <w:rPr>
          <w:color w:val="231F20"/>
          <w:sz w:val="20"/>
        </w:rPr>
        <w:t>время</w:t>
      </w:r>
      <w:r>
        <w:rPr>
          <w:color w:val="231F20"/>
          <w:spacing w:val="-12"/>
          <w:sz w:val="20"/>
        </w:rPr>
        <w:t> </w:t>
      </w:r>
      <w:r>
        <w:rPr>
          <w:color w:val="231F20"/>
          <w:sz w:val="20"/>
        </w:rPr>
        <w:t>групповой</w:t>
      </w:r>
      <w:r>
        <w:rPr>
          <w:color w:val="231F20"/>
          <w:spacing w:val="-13"/>
          <w:sz w:val="20"/>
        </w:rPr>
        <w:t> </w:t>
      </w:r>
      <w:r>
        <w:rPr>
          <w:color w:val="231F20"/>
          <w:sz w:val="20"/>
        </w:rPr>
        <w:t>дискуссии</w:t>
      </w:r>
      <w:r>
        <w:rPr>
          <w:color w:val="231F20"/>
          <w:spacing w:val="-12"/>
          <w:sz w:val="20"/>
        </w:rPr>
        <w:t> </w:t>
      </w:r>
      <w:r>
        <w:rPr>
          <w:color w:val="231F20"/>
          <w:sz w:val="20"/>
        </w:rPr>
        <w:t>участники</w:t>
      </w:r>
      <w:r>
        <w:rPr>
          <w:color w:val="231F20"/>
          <w:spacing w:val="-13"/>
          <w:sz w:val="20"/>
        </w:rPr>
        <w:t> </w:t>
      </w:r>
      <w:r>
        <w:rPr>
          <w:color w:val="231F20"/>
          <w:sz w:val="20"/>
        </w:rPr>
        <w:t>открыто</w:t>
      </w:r>
      <w:r>
        <w:rPr>
          <w:color w:val="231F20"/>
          <w:spacing w:val="-12"/>
          <w:sz w:val="20"/>
        </w:rPr>
        <w:t> </w:t>
      </w:r>
      <w:r>
        <w:rPr>
          <w:color w:val="231F20"/>
          <w:sz w:val="20"/>
        </w:rPr>
        <w:t>игнорируют</w:t>
      </w:r>
      <w:r>
        <w:rPr>
          <w:color w:val="231F20"/>
          <w:spacing w:val="-13"/>
          <w:sz w:val="20"/>
        </w:rPr>
        <w:t> </w:t>
      </w:r>
      <w:r>
        <w:rPr>
          <w:color w:val="231F20"/>
          <w:sz w:val="20"/>
        </w:rPr>
        <w:t>(бойкотируют)</w:t>
      </w:r>
      <w:r>
        <w:rPr>
          <w:color w:val="231F20"/>
          <w:spacing w:val="-12"/>
          <w:sz w:val="20"/>
        </w:rPr>
        <w:t> </w:t>
      </w:r>
      <w:r>
        <w:rPr>
          <w:color w:val="231F20"/>
          <w:sz w:val="20"/>
        </w:rPr>
        <w:t>од- ного из участников группы, не давая ему высказаться;</w:t>
      </w:r>
    </w:p>
    <w:p>
      <w:pPr>
        <w:pStyle w:val="ListParagraph"/>
        <w:numPr>
          <w:ilvl w:val="1"/>
          <w:numId w:val="307"/>
        </w:numPr>
        <w:tabs>
          <w:tab w:pos="425" w:val="left" w:leader="none"/>
        </w:tabs>
        <w:spacing w:line="242" w:lineRule="auto" w:before="0" w:after="0"/>
        <w:ind w:left="425" w:right="139" w:hanging="284"/>
        <w:jc w:val="both"/>
        <w:rPr>
          <w:sz w:val="20"/>
        </w:rPr>
      </w:pPr>
      <w:r>
        <w:rPr>
          <w:color w:val="231F20"/>
          <w:sz w:val="20"/>
        </w:rPr>
        <w:t>к</w:t>
      </w:r>
      <w:r>
        <w:rPr>
          <w:color w:val="231F20"/>
          <w:spacing w:val="-13"/>
          <w:sz w:val="20"/>
        </w:rPr>
        <w:t> </w:t>
      </w:r>
      <w:r>
        <w:rPr>
          <w:color w:val="231F20"/>
          <w:sz w:val="20"/>
        </w:rPr>
        <w:t>группе</w:t>
      </w:r>
      <w:r>
        <w:rPr>
          <w:color w:val="231F20"/>
          <w:spacing w:val="-12"/>
          <w:sz w:val="20"/>
        </w:rPr>
        <w:t> </w:t>
      </w:r>
      <w:r>
        <w:rPr>
          <w:color w:val="231F20"/>
          <w:sz w:val="20"/>
        </w:rPr>
        <w:t>присоединяется</w:t>
      </w:r>
      <w:r>
        <w:rPr>
          <w:color w:val="231F20"/>
          <w:spacing w:val="-13"/>
          <w:sz w:val="20"/>
        </w:rPr>
        <w:t> </w:t>
      </w:r>
      <w:r>
        <w:rPr>
          <w:color w:val="231F20"/>
          <w:sz w:val="20"/>
        </w:rPr>
        <w:t>новый</w:t>
      </w:r>
      <w:r>
        <w:rPr>
          <w:color w:val="231F20"/>
          <w:spacing w:val="-12"/>
          <w:sz w:val="20"/>
        </w:rPr>
        <w:t> </w:t>
      </w:r>
      <w:r>
        <w:rPr>
          <w:color w:val="231F20"/>
          <w:sz w:val="20"/>
        </w:rPr>
        <w:t>участник,</w:t>
      </w:r>
      <w:r>
        <w:rPr>
          <w:color w:val="231F20"/>
          <w:spacing w:val="-13"/>
          <w:sz w:val="20"/>
        </w:rPr>
        <w:t> </w:t>
      </w:r>
      <w:r>
        <w:rPr>
          <w:color w:val="231F20"/>
          <w:sz w:val="20"/>
        </w:rPr>
        <w:t>а</w:t>
      </w:r>
      <w:r>
        <w:rPr>
          <w:color w:val="231F20"/>
          <w:spacing w:val="-12"/>
          <w:sz w:val="20"/>
        </w:rPr>
        <w:t> </w:t>
      </w:r>
      <w:r>
        <w:rPr>
          <w:color w:val="231F20"/>
          <w:sz w:val="20"/>
        </w:rPr>
        <w:t>все</w:t>
      </w:r>
      <w:r>
        <w:rPr>
          <w:color w:val="231F20"/>
          <w:spacing w:val="-13"/>
          <w:sz w:val="20"/>
        </w:rPr>
        <w:t> </w:t>
      </w:r>
      <w:r>
        <w:rPr>
          <w:color w:val="231F20"/>
          <w:sz w:val="20"/>
        </w:rPr>
        <w:t>другие</w:t>
      </w:r>
      <w:r>
        <w:rPr>
          <w:color w:val="231F20"/>
          <w:spacing w:val="-12"/>
          <w:sz w:val="20"/>
        </w:rPr>
        <w:t> </w:t>
      </w:r>
      <w:r>
        <w:rPr>
          <w:color w:val="231F20"/>
          <w:sz w:val="20"/>
        </w:rPr>
        <w:t>его</w:t>
      </w:r>
      <w:r>
        <w:rPr>
          <w:color w:val="231F20"/>
          <w:spacing w:val="-13"/>
          <w:sz w:val="20"/>
        </w:rPr>
        <w:t> </w:t>
      </w:r>
      <w:r>
        <w:rPr>
          <w:color w:val="231F20"/>
          <w:sz w:val="20"/>
        </w:rPr>
        <w:t>открыто</w:t>
      </w:r>
      <w:r>
        <w:rPr>
          <w:color w:val="231F20"/>
          <w:spacing w:val="-12"/>
          <w:sz w:val="20"/>
        </w:rPr>
        <w:t> </w:t>
      </w:r>
      <w:r>
        <w:rPr>
          <w:color w:val="231F20"/>
          <w:sz w:val="20"/>
        </w:rPr>
        <w:t>не</w:t>
      </w:r>
      <w:r>
        <w:rPr>
          <w:color w:val="231F20"/>
          <w:spacing w:val="-13"/>
          <w:sz w:val="20"/>
        </w:rPr>
        <w:t> </w:t>
      </w:r>
      <w:r>
        <w:rPr>
          <w:color w:val="231F20"/>
          <w:sz w:val="20"/>
        </w:rPr>
        <w:t>принимают, выражая свое недовольство;</w:t>
      </w:r>
    </w:p>
    <w:p>
      <w:pPr>
        <w:pStyle w:val="ListParagraph"/>
        <w:numPr>
          <w:ilvl w:val="1"/>
          <w:numId w:val="307"/>
        </w:numPr>
        <w:tabs>
          <w:tab w:pos="425" w:val="left" w:leader="none"/>
        </w:tabs>
        <w:spacing w:line="235" w:lineRule="auto" w:before="0" w:after="0"/>
        <w:ind w:left="425" w:right="140" w:hanging="284"/>
        <w:jc w:val="both"/>
        <w:rPr>
          <w:sz w:val="20"/>
        </w:rPr>
      </w:pPr>
      <w:r>
        <w:rPr>
          <w:color w:val="231F20"/>
          <w:sz w:val="20"/>
        </w:rPr>
        <w:t>во время презентации итогов работы участник пытается дистанцироваться от группы, в которой выполнял задание, или от конкретных ее участников;</w:t>
      </w:r>
    </w:p>
    <w:p>
      <w:pPr>
        <w:pStyle w:val="ListParagraph"/>
        <w:numPr>
          <w:ilvl w:val="1"/>
          <w:numId w:val="307"/>
        </w:numPr>
        <w:tabs>
          <w:tab w:pos="425" w:val="left" w:leader="none"/>
        </w:tabs>
        <w:spacing w:line="235" w:lineRule="auto" w:before="1" w:after="0"/>
        <w:ind w:left="425" w:right="139" w:hanging="284"/>
        <w:jc w:val="both"/>
        <w:rPr>
          <w:sz w:val="20"/>
        </w:rPr>
      </w:pPr>
      <w:r>
        <w:rPr>
          <w:color w:val="231F20"/>
          <w:sz w:val="20"/>
        </w:rPr>
        <w:t>в ходе разработки темы участники группы открыто обсуждают, что один из уча- щихся</w:t>
      </w:r>
      <w:r>
        <w:rPr>
          <w:color w:val="231F20"/>
          <w:spacing w:val="-3"/>
          <w:sz w:val="20"/>
        </w:rPr>
        <w:t> </w:t>
      </w:r>
      <w:r>
        <w:rPr>
          <w:color w:val="231F20"/>
          <w:sz w:val="20"/>
        </w:rPr>
        <w:t>ничего</w:t>
      </w:r>
      <w:r>
        <w:rPr>
          <w:color w:val="231F20"/>
          <w:spacing w:val="-3"/>
          <w:sz w:val="20"/>
        </w:rPr>
        <w:t> </w:t>
      </w:r>
      <w:r>
        <w:rPr>
          <w:color w:val="231F20"/>
          <w:sz w:val="20"/>
        </w:rPr>
        <w:t>не</w:t>
      </w:r>
      <w:r>
        <w:rPr>
          <w:color w:val="231F20"/>
          <w:spacing w:val="-3"/>
          <w:sz w:val="20"/>
        </w:rPr>
        <w:t> </w:t>
      </w:r>
      <w:r>
        <w:rPr>
          <w:color w:val="231F20"/>
          <w:sz w:val="20"/>
        </w:rPr>
        <w:t>может</w:t>
      </w:r>
      <w:r>
        <w:rPr>
          <w:color w:val="231F20"/>
          <w:spacing w:val="-3"/>
          <w:sz w:val="20"/>
        </w:rPr>
        <w:t> </w:t>
      </w:r>
      <w:r>
        <w:rPr>
          <w:color w:val="231F20"/>
          <w:sz w:val="20"/>
        </w:rPr>
        <w:t>привнести</w:t>
      </w:r>
      <w:r>
        <w:rPr>
          <w:color w:val="231F20"/>
          <w:spacing w:val="-3"/>
          <w:sz w:val="20"/>
        </w:rPr>
        <w:t> </w:t>
      </w:r>
      <w:r>
        <w:rPr>
          <w:color w:val="231F20"/>
          <w:sz w:val="20"/>
        </w:rPr>
        <w:t>в</w:t>
      </w:r>
      <w:r>
        <w:rPr>
          <w:color w:val="231F20"/>
          <w:spacing w:val="-3"/>
          <w:sz w:val="20"/>
        </w:rPr>
        <w:t> </w:t>
      </w:r>
      <w:r>
        <w:rPr>
          <w:color w:val="231F20"/>
          <w:sz w:val="20"/>
        </w:rPr>
        <w:t>работу</w:t>
      </w:r>
      <w:r>
        <w:rPr>
          <w:color w:val="231F20"/>
          <w:spacing w:val="-3"/>
          <w:sz w:val="20"/>
        </w:rPr>
        <w:t> </w:t>
      </w:r>
      <w:r>
        <w:rPr>
          <w:color w:val="231F20"/>
          <w:sz w:val="20"/>
        </w:rPr>
        <w:t>группы</w:t>
      </w:r>
      <w:r>
        <w:rPr>
          <w:color w:val="231F20"/>
          <w:spacing w:val="-3"/>
          <w:sz w:val="20"/>
        </w:rPr>
        <w:t> </w:t>
      </w:r>
      <w:r>
        <w:rPr>
          <w:color w:val="231F20"/>
          <w:sz w:val="20"/>
        </w:rPr>
        <w:t>и</w:t>
      </w:r>
      <w:r>
        <w:rPr>
          <w:color w:val="231F20"/>
          <w:spacing w:val="-3"/>
          <w:sz w:val="20"/>
        </w:rPr>
        <w:t> </w:t>
      </w:r>
      <w:r>
        <w:rPr>
          <w:color w:val="231F20"/>
          <w:sz w:val="20"/>
        </w:rPr>
        <w:t>подготовлен</w:t>
      </w:r>
      <w:r>
        <w:rPr>
          <w:color w:val="231F20"/>
          <w:spacing w:val="-3"/>
          <w:sz w:val="20"/>
        </w:rPr>
        <w:t> </w:t>
      </w:r>
      <w:r>
        <w:rPr>
          <w:color w:val="231F20"/>
          <w:sz w:val="20"/>
        </w:rPr>
        <w:t>слабее</w:t>
      </w:r>
      <w:r>
        <w:rPr>
          <w:color w:val="231F20"/>
          <w:spacing w:val="-3"/>
          <w:sz w:val="20"/>
        </w:rPr>
        <w:t> </w:t>
      </w:r>
      <w:r>
        <w:rPr>
          <w:color w:val="231F20"/>
          <w:sz w:val="20"/>
        </w:rPr>
        <w:t>других, поэтому они не хотят с ним работать.</w:t>
      </w:r>
    </w:p>
    <w:p>
      <w:pPr>
        <w:pStyle w:val="ListParagraph"/>
        <w:spacing w:after="0" w:line="235" w:lineRule="auto"/>
        <w:jc w:val="both"/>
        <w:rPr>
          <w:sz w:val="20"/>
        </w:rPr>
        <w:sectPr>
          <w:pgSz w:w="8400" w:h="11910"/>
          <w:pgMar w:header="0" w:footer="530" w:top="400" w:bottom="740" w:left="425" w:right="425"/>
        </w:sectPr>
      </w:pPr>
    </w:p>
    <w:p>
      <w:pPr>
        <w:pStyle w:val="ListParagraph"/>
        <w:numPr>
          <w:ilvl w:val="1"/>
          <w:numId w:val="292"/>
        </w:numPr>
        <w:tabs>
          <w:tab w:pos="455" w:val="left" w:leader="none"/>
        </w:tabs>
        <w:spacing w:line="240" w:lineRule="auto" w:before="80" w:after="0"/>
        <w:ind w:left="455" w:right="0" w:hanging="314"/>
        <w:jc w:val="left"/>
        <w:rPr>
          <w:rFonts w:ascii="Georgia" w:hAnsi="Georgia"/>
          <w:sz w:val="18"/>
        </w:rPr>
      </w:pPr>
      <w:r>
        <w:rPr>
          <w:rFonts w:ascii="Georgia" w:hAnsi="Georgia"/>
          <w:color w:val="231F20"/>
          <w:sz w:val="18"/>
        </w:rPr>
        <w:t>Организация</w:t>
      </w:r>
      <w:r>
        <w:rPr>
          <w:rFonts w:ascii="Georgia" w:hAnsi="Georgia"/>
          <w:color w:val="231F20"/>
          <w:spacing w:val="11"/>
          <w:sz w:val="18"/>
        </w:rPr>
        <w:t> </w:t>
      </w:r>
      <w:r>
        <w:rPr>
          <w:rFonts w:ascii="Georgia" w:hAnsi="Georgia"/>
          <w:color w:val="231F20"/>
          <w:sz w:val="18"/>
        </w:rPr>
        <w:t>групповой</w:t>
      </w:r>
      <w:r>
        <w:rPr>
          <w:rFonts w:ascii="Georgia" w:hAnsi="Georgia"/>
          <w:color w:val="231F20"/>
          <w:spacing w:val="12"/>
          <w:sz w:val="18"/>
        </w:rPr>
        <w:t> </w:t>
      </w:r>
      <w:r>
        <w:rPr>
          <w:rFonts w:ascii="Georgia" w:hAnsi="Georgia"/>
          <w:color w:val="231F20"/>
          <w:sz w:val="18"/>
        </w:rPr>
        <w:t>учебной</w:t>
      </w:r>
      <w:r>
        <w:rPr>
          <w:rFonts w:ascii="Georgia" w:hAnsi="Georgia"/>
          <w:color w:val="231F20"/>
          <w:spacing w:val="12"/>
          <w:sz w:val="18"/>
        </w:rPr>
        <w:t> </w:t>
      </w:r>
      <w:r>
        <w:rPr>
          <w:rFonts w:ascii="Georgia" w:hAnsi="Georgia"/>
          <w:color w:val="231F20"/>
          <w:sz w:val="18"/>
        </w:rPr>
        <w:t>работы</w:t>
      </w:r>
      <w:r>
        <w:rPr>
          <w:rFonts w:ascii="Georgia" w:hAnsi="Georgia"/>
          <w:color w:val="231F20"/>
          <w:spacing w:val="12"/>
          <w:sz w:val="18"/>
        </w:rPr>
        <w:t> </w:t>
      </w:r>
      <w:r>
        <w:rPr>
          <w:rFonts w:ascii="Georgia" w:hAnsi="Georgia"/>
          <w:color w:val="231F20"/>
          <w:sz w:val="18"/>
        </w:rPr>
        <w:t>учащихся</w:t>
      </w:r>
      <w:r>
        <w:rPr>
          <w:rFonts w:ascii="Georgia" w:hAnsi="Georgia"/>
          <w:color w:val="231F20"/>
          <w:spacing w:val="11"/>
          <w:sz w:val="18"/>
        </w:rPr>
        <w:t> </w:t>
      </w:r>
      <w:r>
        <w:rPr>
          <w:rFonts w:ascii="Georgia" w:hAnsi="Georgia"/>
          <w:color w:val="231F20"/>
          <w:sz w:val="18"/>
        </w:rPr>
        <w:t>в</w:t>
      </w:r>
      <w:r>
        <w:rPr>
          <w:rFonts w:ascii="Georgia" w:hAnsi="Georgia"/>
          <w:color w:val="231F20"/>
          <w:spacing w:val="12"/>
          <w:sz w:val="18"/>
        </w:rPr>
        <w:t> </w:t>
      </w:r>
      <w:r>
        <w:rPr>
          <w:rFonts w:ascii="Georgia" w:hAnsi="Georgia"/>
          <w:color w:val="231F20"/>
          <w:sz w:val="18"/>
        </w:rPr>
        <w:t>поликультурном</w:t>
      </w:r>
      <w:r>
        <w:rPr>
          <w:rFonts w:ascii="Georgia" w:hAnsi="Georgia"/>
          <w:color w:val="231F20"/>
          <w:spacing w:val="12"/>
          <w:sz w:val="18"/>
        </w:rPr>
        <w:t> </w:t>
      </w:r>
      <w:r>
        <w:rPr>
          <w:rFonts w:ascii="Georgia" w:hAnsi="Georgia"/>
          <w:color w:val="231F20"/>
          <w:spacing w:val="-2"/>
          <w:sz w:val="18"/>
        </w:rPr>
        <w:t>классе...</w:t>
      </w:r>
    </w:p>
    <w:p>
      <w:pPr>
        <w:spacing w:line="226" w:lineRule="exact" w:before="109"/>
        <w:ind w:left="425" w:right="0" w:firstLine="0"/>
        <w:jc w:val="both"/>
        <w:rPr>
          <w:b/>
          <w:i/>
          <w:sz w:val="20"/>
        </w:rPr>
      </w:pPr>
      <w:r>
        <w:rPr>
          <w:b/>
          <w:i/>
          <w:color w:val="231F20"/>
          <w:sz w:val="20"/>
        </w:rPr>
        <w:t>Организация</w:t>
      </w:r>
      <w:r>
        <w:rPr>
          <w:b/>
          <w:i/>
          <w:color w:val="231F20"/>
          <w:spacing w:val="-10"/>
          <w:sz w:val="20"/>
        </w:rPr>
        <w:t> </w:t>
      </w:r>
      <w:r>
        <w:rPr>
          <w:b/>
          <w:i/>
          <w:color w:val="231F20"/>
          <w:sz w:val="20"/>
        </w:rPr>
        <w:t>работы</w:t>
      </w:r>
      <w:r>
        <w:rPr>
          <w:b/>
          <w:i/>
          <w:color w:val="231F20"/>
          <w:spacing w:val="-8"/>
          <w:sz w:val="20"/>
        </w:rPr>
        <w:t> </w:t>
      </w:r>
      <w:r>
        <w:rPr>
          <w:b/>
          <w:i/>
          <w:color w:val="231F20"/>
          <w:sz w:val="20"/>
        </w:rPr>
        <w:t>в</w:t>
      </w:r>
      <w:r>
        <w:rPr>
          <w:b/>
          <w:i/>
          <w:color w:val="231F20"/>
          <w:spacing w:val="-9"/>
          <w:sz w:val="20"/>
        </w:rPr>
        <w:t> </w:t>
      </w:r>
      <w:r>
        <w:rPr>
          <w:b/>
          <w:i/>
          <w:color w:val="231F20"/>
          <w:sz w:val="20"/>
        </w:rPr>
        <w:t>школьном</w:t>
      </w:r>
      <w:r>
        <w:rPr>
          <w:b/>
          <w:i/>
          <w:color w:val="231F20"/>
          <w:spacing w:val="-9"/>
          <w:sz w:val="20"/>
        </w:rPr>
        <w:t> </w:t>
      </w:r>
      <w:r>
        <w:rPr>
          <w:b/>
          <w:i/>
          <w:color w:val="231F20"/>
          <w:spacing w:val="-2"/>
          <w:sz w:val="20"/>
        </w:rPr>
        <w:t>кабинете</w:t>
      </w:r>
    </w:p>
    <w:p>
      <w:pPr>
        <w:pStyle w:val="BodyText"/>
        <w:spacing w:line="232" w:lineRule="auto" w:before="1"/>
      </w:pPr>
      <w:r>
        <w:rPr>
          <w:color w:val="231F20"/>
        </w:rPr>
        <w:t>Желательно рассказать учащимся, что правильная расстановка мебели в классе также способствует эффективности групповой деятельности. Традиционно в боль- шинстве классов, где преподавание идет в формате фронтального объяснения, уча- щиеся сидят по два человека за партой, парты организованы в ряды, по 5–6 парт в одном ряду, а дети смотрят в затылок друг другу.</w:t>
      </w:r>
    </w:p>
    <w:p>
      <w:pPr>
        <w:pStyle w:val="BodyText"/>
        <w:spacing w:line="232" w:lineRule="auto"/>
      </w:pPr>
      <w:r>
        <w:rPr>
          <w:color w:val="231F20"/>
        </w:rPr>
        <w:t>Организация</w:t>
      </w:r>
      <w:r>
        <w:rPr>
          <w:color w:val="231F20"/>
          <w:spacing w:val="-7"/>
        </w:rPr>
        <w:t> </w:t>
      </w:r>
      <w:r>
        <w:rPr>
          <w:color w:val="231F20"/>
        </w:rPr>
        <w:t>класса</w:t>
      </w:r>
      <w:r>
        <w:rPr>
          <w:color w:val="231F20"/>
          <w:spacing w:val="-7"/>
        </w:rPr>
        <w:t> </w:t>
      </w:r>
      <w:r>
        <w:rPr>
          <w:color w:val="231F20"/>
        </w:rPr>
        <w:t>для</w:t>
      </w:r>
      <w:r>
        <w:rPr>
          <w:color w:val="231F20"/>
          <w:spacing w:val="-7"/>
        </w:rPr>
        <w:t> </w:t>
      </w:r>
      <w:r>
        <w:rPr>
          <w:color w:val="231F20"/>
        </w:rPr>
        <w:t>обучения</w:t>
      </w:r>
      <w:r>
        <w:rPr>
          <w:color w:val="231F20"/>
          <w:spacing w:val="-7"/>
        </w:rPr>
        <w:t> </w:t>
      </w:r>
      <w:r>
        <w:rPr>
          <w:color w:val="231F20"/>
        </w:rPr>
        <w:t>в</w:t>
      </w:r>
      <w:r>
        <w:rPr>
          <w:color w:val="231F20"/>
          <w:spacing w:val="-7"/>
        </w:rPr>
        <w:t> </w:t>
      </w:r>
      <w:r>
        <w:rPr>
          <w:color w:val="231F20"/>
        </w:rPr>
        <w:t>сотрудничестве</w:t>
      </w:r>
      <w:r>
        <w:rPr>
          <w:color w:val="231F20"/>
          <w:spacing w:val="-7"/>
        </w:rPr>
        <w:t> </w:t>
      </w:r>
      <w:r>
        <w:rPr>
          <w:color w:val="231F20"/>
        </w:rPr>
        <w:t>в</w:t>
      </w:r>
      <w:r>
        <w:rPr>
          <w:color w:val="231F20"/>
          <w:spacing w:val="-7"/>
        </w:rPr>
        <w:t> </w:t>
      </w:r>
      <w:r>
        <w:rPr>
          <w:color w:val="231F20"/>
        </w:rPr>
        <w:t>составе</w:t>
      </w:r>
      <w:r>
        <w:rPr>
          <w:color w:val="231F20"/>
          <w:spacing w:val="-7"/>
        </w:rPr>
        <w:t> </w:t>
      </w:r>
      <w:r>
        <w:rPr>
          <w:color w:val="231F20"/>
        </w:rPr>
        <w:t>малых</w:t>
      </w:r>
      <w:r>
        <w:rPr>
          <w:color w:val="231F20"/>
          <w:spacing w:val="-7"/>
        </w:rPr>
        <w:t> </w:t>
      </w:r>
      <w:r>
        <w:rPr>
          <w:color w:val="231F20"/>
        </w:rPr>
        <w:t>групп</w:t>
      </w:r>
      <w:r>
        <w:rPr>
          <w:color w:val="231F20"/>
          <w:spacing w:val="-7"/>
        </w:rPr>
        <w:t> </w:t>
      </w:r>
      <w:r>
        <w:rPr>
          <w:color w:val="231F20"/>
        </w:rPr>
        <w:t>по</w:t>
      </w:r>
      <w:r>
        <w:rPr>
          <w:color w:val="231F20"/>
          <w:spacing w:val="-7"/>
        </w:rPr>
        <w:t> </w:t>
      </w:r>
      <w:r>
        <w:rPr>
          <w:color w:val="231F20"/>
        </w:rPr>
        <w:t>3–5 человек</w:t>
      </w:r>
      <w:r>
        <w:rPr>
          <w:color w:val="231F20"/>
          <w:spacing w:val="-4"/>
        </w:rPr>
        <w:t> </w:t>
      </w:r>
      <w:r>
        <w:rPr>
          <w:color w:val="231F20"/>
        </w:rPr>
        <w:t>предполагает,</w:t>
      </w:r>
      <w:r>
        <w:rPr>
          <w:color w:val="231F20"/>
          <w:spacing w:val="-4"/>
        </w:rPr>
        <w:t> </w:t>
      </w:r>
      <w:r>
        <w:rPr>
          <w:color w:val="231F20"/>
        </w:rPr>
        <w:t>что</w:t>
      </w:r>
      <w:r>
        <w:rPr>
          <w:color w:val="231F20"/>
          <w:spacing w:val="-4"/>
        </w:rPr>
        <w:t> </w:t>
      </w:r>
      <w:r>
        <w:rPr>
          <w:color w:val="231F20"/>
        </w:rPr>
        <w:t>в</w:t>
      </w:r>
      <w:r>
        <w:rPr>
          <w:color w:val="231F20"/>
          <w:spacing w:val="-4"/>
        </w:rPr>
        <w:t> </w:t>
      </w:r>
      <w:r>
        <w:rPr>
          <w:color w:val="231F20"/>
        </w:rPr>
        <w:t>классе</w:t>
      </w:r>
      <w:r>
        <w:rPr>
          <w:color w:val="231F20"/>
          <w:spacing w:val="-4"/>
        </w:rPr>
        <w:t> </w:t>
      </w:r>
      <w:r>
        <w:rPr>
          <w:color w:val="231F20"/>
        </w:rPr>
        <w:t>организовано,</w:t>
      </w:r>
      <w:r>
        <w:rPr>
          <w:color w:val="231F20"/>
          <w:spacing w:val="-4"/>
        </w:rPr>
        <w:t> </w:t>
      </w:r>
      <w:r>
        <w:rPr>
          <w:color w:val="231F20"/>
        </w:rPr>
        <w:t>как</w:t>
      </w:r>
      <w:r>
        <w:rPr>
          <w:color w:val="231F20"/>
          <w:spacing w:val="-4"/>
        </w:rPr>
        <w:t> </w:t>
      </w:r>
      <w:r>
        <w:rPr>
          <w:color w:val="231F20"/>
        </w:rPr>
        <w:t>минимум,</w:t>
      </w:r>
      <w:r>
        <w:rPr>
          <w:color w:val="231F20"/>
          <w:spacing w:val="-4"/>
        </w:rPr>
        <w:t> </w:t>
      </w:r>
      <w:r>
        <w:rPr>
          <w:color w:val="231F20"/>
        </w:rPr>
        <w:t>пять</w:t>
      </w:r>
      <w:r>
        <w:rPr>
          <w:color w:val="231F20"/>
          <w:spacing w:val="-4"/>
        </w:rPr>
        <w:t> </w:t>
      </w:r>
      <w:r>
        <w:rPr>
          <w:color w:val="231F20"/>
        </w:rPr>
        <w:t>«станций»,</w:t>
      </w:r>
      <w:r>
        <w:rPr>
          <w:color w:val="231F20"/>
          <w:spacing w:val="-4"/>
        </w:rPr>
        <w:t> </w:t>
      </w:r>
      <w:r>
        <w:rPr>
          <w:color w:val="231F20"/>
        </w:rPr>
        <w:t>или </w:t>
      </w:r>
      <w:r>
        <w:rPr>
          <w:color w:val="231F20"/>
          <w:spacing w:val="-4"/>
        </w:rPr>
        <w:t>столов, вокруг которых должно стоять столько стульев, сколько предполагается в груп- </w:t>
      </w:r>
      <w:r>
        <w:rPr>
          <w:color w:val="231F20"/>
        </w:rPr>
        <w:t>пе</w:t>
      </w:r>
      <w:r>
        <w:rPr>
          <w:color w:val="231F20"/>
          <w:spacing w:val="-9"/>
        </w:rPr>
        <w:t> </w:t>
      </w:r>
      <w:r>
        <w:rPr>
          <w:color w:val="231F20"/>
        </w:rPr>
        <w:t>участников.</w:t>
      </w:r>
      <w:r>
        <w:rPr>
          <w:color w:val="231F20"/>
          <w:spacing w:val="-9"/>
        </w:rPr>
        <w:t> </w:t>
      </w:r>
      <w:r>
        <w:rPr>
          <w:color w:val="231F20"/>
        </w:rPr>
        <w:t>В</w:t>
      </w:r>
      <w:r>
        <w:rPr>
          <w:color w:val="231F20"/>
          <w:spacing w:val="-9"/>
        </w:rPr>
        <w:t> </w:t>
      </w:r>
      <w:r>
        <w:rPr>
          <w:color w:val="231F20"/>
        </w:rPr>
        <w:t>отдельном</w:t>
      </w:r>
      <w:r>
        <w:rPr>
          <w:color w:val="231F20"/>
          <w:spacing w:val="-9"/>
        </w:rPr>
        <w:t> </w:t>
      </w:r>
      <w:r>
        <w:rPr>
          <w:color w:val="231F20"/>
        </w:rPr>
        <w:t>месте</w:t>
      </w:r>
      <w:r>
        <w:rPr>
          <w:color w:val="231F20"/>
          <w:spacing w:val="-9"/>
        </w:rPr>
        <w:t> </w:t>
      </w:r>
      <w:r>
        <w:rPr>
          <w:color w:val="231F20"/>
        </w:rPr>
        <w:t>в</w:t>
      </w:r>
      <w:r>
        <w:rPr>
          <w:color w:val="231F20"/>
          <w:spacing w:val="-9"/>
        </w:rPr>
        <w:t> </w:t>
      </w:r>
      <w:r>
        <w:rPr>
          <w:color w:val="231F20"/>
        </w:rPr>
        <w:t>классе</w:t>
      </w:r>
      <w:r>
        <w:rPr>
          <w:color w:val="231F20"/>
          <w:spacing w:val="-9"/>
        </w:rPr>
        <w:t> </w:t>
      </w:r>
      <w:r>
        <w:rPr>
          <w:color w:val="231F20"/>
        </w:rPr>
        <w:t>создается</w:t>
      </w:r>
      <w:r>
        <w:rPr>
          <w:color w:val="231F20"/>
          <w:spacing w:val="-9"/>
        </w:rPr>
        <w:t> </w:t>
      </w:r>
      <w:r>
        <w:rPr>
          <w:color w:val="231F20"/>
        </w:rPr>
        <w:t>«справочная»</w:t>
      </w:r>
      <w:r>
        <w:rPr>
          <w:color w:val="231F20"/>
          <w:spacing w:val="-9"/>
        </w:rPr>
        <w:t> </w:t>
      </w:r>
      <w:r>
        <w:rPr>
          <w:color w:val="231F20"/>
        </w:rPr>
        <w:t>или</w:t>
      </w:r>
      <w:r>
        <w:rPr>
          <w:color w:val="231F20"/>
          <w:spacing w:val="-9"/>
        </w:rPr>
        <w:t> </w:t>
      </w:r>
      <w:r>
        <w:rPr>
          <w:color w:val="231F20"/>
        </w:rPr>
        <w:t>«информаци- </w:t>
      </w:r>
      <w:r>
        <w:rPr>
          <w:color w:val="231F20"/>
          <w:spacing w:val="-2"/>
        </w:rPr>
        <w:t>онная</w:t>
      </w:r>
      <w:r>
        <w:rPr>
          <w:color w:val="231F20"/>
          <w:spacing w:val="-5"/>
        </w:rPr>
        <w:t> </w:t>
      </w:r>
      <w:r>
        <w:rPr>
          <w:color w:val="231F20"/>
          <w:spacing w:val="-2"/>
        </w:rPr>
        <w:t>зона»,</w:t>
      </w:r>
      <w:r>
        <w:rPr>
          <w:color w:val="231F20"/>
          <w:spacing w:val="-5"/>
        </w:rPr>
        <w:t> </w:t>
      </w:r>
      <w:r>
        <w:rPr>
          <w:color w:val="231F20"/>
          <w:spacing w:val="-2"/>
        </w:rPr>
        <w:t>где</w:t>
      </w:r>
      <w:r>
        <w:rPr>
          <w:color w:val="231F20"/>
          <w:spacing w:val="-5"/>
        </w:rPr>
        <w:t> </w:t>
      </w:r>
      <w:r>
        <w:rPr>
          <w:color w:val="231F20"/>
          <w:spacing w:val="-2"/>
        </w:rPr>
        <w:t>учащиеся</w:t>
      </w:r>
      <w:r>
        <w:rPr>
          <w:color w:val="231F20"/>
          <w:spacing w:val="-5"/>
        </w:rPr>
        <w:t> </w:t>
      </w:r>
      <w:r>
        <w:rPr>
          <w:color w:val="231F20"/>
          <w:spacing w:val="-2"/>
        </w:rPr>
        <w:t>могут</w:t>
      </w:r>
      <w:r>
        <w:rPr>
          <w:color w:val="231F20"/>
          <w:spacing w:val="-5"/>
        </w:rPr>
        <w:t> </w:t>
      </w:r>
      <w:r>
        <w:rPr>
          <w:color w:val="231F20"/>
          <w:spacing w:val="-2"/>
        </w:rPr>
        <w:t>найти</w:t>
      </w:r>
      <w:r>
        <w:rPr>
          <w:color w:val="231F20"/>
          <w:spacing w:val="-5"/>
        </w:rPr>
        <w:t> </w:t>
      </w:r>
      <w:r>
        <w:rPr>
          <w:color w:val="231F20"/>
          <w:spacing w:val="-2"/>
        </w:rPr>
        <w:t>дополнительные</w:t>
      </w:r>
      <w:r>
        <w:rPr>
          <w:color w:val="231F20"/>
          <w:spacing w:val="-5"/>
        </w:rPr>
        <w:t> </w:t>
      </w:r>
      <w:r>
        <w:rPr>
          <w:color w:val="231F20"/>
          <w:spacing w:val="-2"/>
        </w:rPr>
        <w:t>учебные</w:t>
      </w:r>
      <w:r>
        <w:rPr>
          <w:color w:val="231F20"/>
          <w:spacing w:val="-5"/>
        </w:rPr>
        <w:t> </w:t>
      </w:r>
      <w:r>
        <w:rPr>
          <w:color w:val="231F20"/>
          <w:spacing w:val="-2"/>
        </w:rPr>
        <w:t>материалы,</w:t>
      </w:r>
      <w:r>
        <w:rPr>
          <w:color w:val="231F20"/>
          <w:spacing w:val="-5"/>
        </w:rPr>
        <w:t> </w:t>
      </w:r>
      <w:r>
        <w:rPr>
          <w:color w:val="231F20"/>
          <w:spacing w:val="-2"/>
        </w:rPr>
        <w:t>справоч- </w:t>
      </w:r>
      <w:r>
        <w:rPr>
          <w:color w:val="231F20"/>
        </w:rPr>
        <w:t>ники и инструменты, с которыми будут работать в группе. Если учащиеся не могут </w:t>
      </w:r>
      <w:r>
        <w:rPr>
          <w:color w:val="231F20"/>
          <w:spacing w:val="-2"/>
        </w:rPr>
        <w:t>использовать</w:t>
      </w:r>
      <w:r>
        <w:rPr>
          <w:color w:val="231F20"/>
          <w:spacing w:val="-3"/>
        </w:rPr>
        <w:t> </w:t>
      </w:r>
      <w:r>
        <w:rPr>
          <w:color w:val="231F20"/>
          <w:spacing w:val="-2"/>
        </w:rPr>
        <w:t>свои</w:t>
      </w:r>
      <w:r>
        <w:rPr>
          <w:color w:val="231F20"/>
          <w:spacing w:val="-3"/>
        </w:rPr>
        <w:t> </w:t>
      </w:r>
      <w:r>
        <w:rPr>
          <w:color w:val="231F20"/>
          <w:spacing w:val="-2"/>
        </w:rPr>
        <w:t>персональные</w:t>
      </w:r>
      <w:r>
        <w:rPr>
          <w:color w:val="231F20"/>
          <w:spacing w:val="-3"/>
        </w:rPr>
        <w:t> </w:t>
      </w:r>
      <w:r>
        <w:rPr>
          <w:color w:val="231F20"/>
          <w:spacing w:val="-2"/>
        </w:rPr>
        <w:t>смартфоны</w:t>
      </w:r>
      <w:r>
        <w:rPr>
          <w:color w:val="231F20"/>
          <w:spacing w:val="-4"/>
        </w:rPr>
        <w:t> </w:t>
      </w:r>
      <w:r>
        <w:rPr>
          <w:color w:val="231F20"/>
          <w:spacing w:val="-2"/>
        </w:rPr>
        <w:t>(например,</w:t>
      </w:r>
      <w:r>
        <w:rPr>
          <w:color w:val="231F20"/>
          <w:spacing w:val="-3"/>
        </w:rPr>
        <w:t> </w:t>
      </w:r>
      <w:r>
        <w:rPr>
          <w:color w:val="231F20"/>
          <w:spacing w:val="-2"/>
        </w:rPr>
        <w:t>их</w:t>
      </w:r>
      <w:r>
        <w:rPr>
          <w:color w:val="231F20"/>
          <w:spacing w:val="-3"/>
        </w:rPr>
        <w:t> </w:t>
      </w:r>
      <w:r>
        <w:rPr>
          <w:color w:val="231F20"/>
          <w:spacing w:val="-2"/>
        </w:rPr>
        <w:t>у</w:t>
      </w:r>
      <w:r>
        <w:rPr>
          <w:color w:val="231F20"/>
          <w:spacing w:val="-3"/>
        </w:rPr>
        <w:t> </w:t>
      </w:r>
      <w:r>
        <w:rPr>
          <w:color w:val="231F20"/>
          <w:spacing w:val="-2"/>
        </w:rPr>
        <w:t>детей</w:t>
      </w:r>
      <w:r>
        <w:rPr>
          <w:color w:val="231F20"/>
          <w:spacing w:val="-4"/>
        </w:rPr>
        <w:t> </w:t>
      </w:r>
      <w:r>
        <w:rPr>
          <w:color w:val="231F20"/>
          <w:spacing w:val="-2"/>
        </w:rPr>
        <w:t>нет</w:t>
      </w:r>
      <w:r>
        <w:rPr>
          <w:color w:val="231F20"/>
          <w:spacing w:val="-3"/>
        </w:rPr>
        <w:t> </w:t>
      </w:r>
      <w:r>
        <w:rPr>
          <w:color w:val="231F20"/>
          <w:spacing w:val="-2"/>
        </w:rPr>
        <w:t>или</w:t>
      </w:r>
      <w:r>
        <w:rPr>
          <w:color w:val="231F20"/>
          <w:spacing w:val="-3"/>
        </w:rPr>
        <w:t> </w:t>
      </w:r>
      <w:r>
        <w:rPr>
          <w:color w:val="231F20"/>
          <w:spacing w:val="-2"/>
        </w:rPr>
        <w:t>они</w:t>
      </w:r>
      <w:r>
        <w:rPr>
          <w:color w:val="231F20"/>
          <w:spacing w:val="-3"/>
        </w:rPr>
        <w:t> </w:t>
      </w:r>
      <w:r>
        <w:rPr>
          <w:color w:val="231F20"/>
          <w:spacing w:val="-2"/>
        </w:rPr>
        <w:t>запре- щены</w:t>
      </w:r>
      <w:r>
        <w:rPr>
          <w:color w:val="231F20"/>
          <w:spacing w:val="-8"/>
        </w:rPr>
        <w:t> </w:t>
      </w:r>
      <w:r>
        <w:rPr>
          <w:color w:val="231F20"/>
          <w:spacing w:val="-2"/>
        </w:rPr>
        <w:t>для</w:t>
      </w:r>
      <w:r>
        <w:rPr>
          <w:color w:val="231F20"/>
          <w:spacing w:val="-8"/>
        </w:rPr>
        <w:t> </w:t>
      </w:r>
      <w:r>
        <w:rPr>
          <w:color w:val="231F20"/>
          <w:spacing w:val="-2"/>
        </w:rPr>
        <w:t>использования</w:t>
      </w:r>
      <w:r>
        <w:rPr>
          <w:color w:val="231F20"/>
          <w:spacing w:val="-8"/>
        </w:rPr>
        <w:t> </w:t>
      </w:r>
      <w:r>
        <w:rPr>
          <w:color w:val="231F20"/>
          <w:spacing w:val="-2"/>
        </w:rPr>
        <w:t>на</w:t>
      </w:r>
      <w:r>
        <w:rPr>
          <w:color w:val="231F20"/>
          <w:spacing w:val="-8"/>
        </w:rPr>
        <w:t> </w:t>
      </w:r>
      <w:r>
        <w:rPr>
          <w:color w:val="231F20"/>
          <w:spacing w:val="-2"/>
        </w:rPr>
        <w:t>уроках),</w:t>
      </w:r>
      <w:r>
        <w:rPr>
          <w:color w:val="231F20"/>
          <w:spacing w:val="-8"/>
        </w:rPr>
        <w:t> </w:t>
      </w:r>
      <w:r>
        <w:rPr>
          <w:color w:val="231F20"/>
          <w:spacing w:val="-2"/>
        </w:rPr>
        <w:t>для</w:t>
      </w:r>
      <w:r>
        <w:rPr>
          <w:color w:val="231F20"/>
          <w:spacing w:val="-8"/>
        </w:rPr>
        <w:t> </w:t>
      </w:r>
      <w:r>
        <w:rPr>
          <w:color w:val="231F20"/>
          <w:spacing w:val="-2"/>
        </w:rPr>
        <w:t>доступа</w:t>
      </w:r>
      <w:r>
        <w:rPr>
          <w:color w:val="231F20"/>
          <w:spacing w:val="-8"/>
        </w:rPr>
        <w:t> </w:t>
      </w:r>
      <w:r>
        <w:rPr>
          <w:color w:val="231F20"/>
          <w:spacing w:val="-2"/>
        </w:rPr>
        <w:t>к</w:t>
      </w:r>
      <w:r>
        <w:rPr>
          <w:color w:val="231F20"/>
          <w:spacing w:val="-8"/>
        </w:rPr>
        <w:t> </w:t>
      </w:r>
      <w:r>
        <w:rPr>
          <w:color w:val="231F20"/>
          <w:spacing w:val="-2"/>
        </w:rPr>
        <w:t>информации</w:t>
      </w:r>
      <w:r>
        <w:rPr>
          <w:color w:val="231F20"/>
          <w:spacing w:val="-9"/>
        </w:rPr>
        <w:t> </w:t>
      </w:r>
      <w:r>
        <w:rPr>
          <w:color w:val="231F20"/>
          <w:spacing w:val="-2"/>
        </w:rPr>
        <w:t>в</w:t>
      </w:r>
      <w:r>
        <w:rPr>
          <w:color w:val="231F20"/>
          <w:spacing w:val="-9"/>
        </w:rPr>
        <w:t> </w:t>
      </w:r>
      <w:r>
        <w:rPr>
          <w:color w:val="231F20"/>
          <w:spacing w:val="-2"/>
        </w:rPr>
        <w:t>интернете</w:t>
      </w:r>
      <w:r>
        <w:rPr>
          <w:color w:val="231F20"/>
          <w:spacing w:val="-8"/>
        </w:rPr>
        <w:t> </w:t>
      </w:r>
      <w:r>
        <w:rPr>
          <w:color w:val="231F20"/>
          <w:spacing w:val="-2"/>
        </w:rPr>
        <w:t>учащимся </w:t>
      </w:r>
      <w:r>
        <w:rPr>
          <w:color w:val="231F20"/>
        </w:rPr>
        <w:t>должны быть доступны ноутбуки или планшеты (желательно по одному на группу).</w:t>
      </w:r>
    </w:p>
    <w:p>
      <w:pPr>
        <w:spacing w:line="232" w:lineRule="auto" w:before="42"/>
        <w:ind w:left="141" w:right="139" w:firstLine="283"/>
        <w:jc w:val="both"/>
        <w:rPr>
          <w:b/>
          <w:i/>
          <w:sz w:val="20"/>
        </w:rPr>
      </w:pPr>
      <w:r>
        <w:rPr>
          <w:b/>
          <w:i/>
          <w:color w:val="231F20"/>
          <w:sz w:val="20"/>
        </w:rPr>
        <w:t>Социально-психологический</w:t>
      </w:r>
      <w:r>
        <w:rPr>
          <w:b/>
          <w:i/>
          <w:color w:val="231F20"/>
          <w:spacing w:val="-1"/>
          <w:sz w:val="20"/>
        </w:rPr>
        <w:t> </w:t>
      </w:r>
      <w:r>
        <w:rPr>
          <w:b/>
          <w:i/>
          <w:color w:val="231F20"/>
          <w:sz w:val="20"/>
        </w:rPr>
        <w:t>тренинг</w:t>
      </w:r>
      <w:r>
        <w:rPr>
          <w:b/>
          <w:i/>
          <w:color w:val="231F20"/>
          <w:spacing w:val="-1"/>
          <w:sz w:val="20"/>
        </w:rPr>
        <w:t> </w:t>
      </w:r>
      <w:r>
        <w:rPr>
          <w:b/>
          <w:i/>
          <w:color w:val="231F20"/>
          <w:sz w:val="20"/>
        </w:rPr>
        <w:t>как</w:t>
      </w:r>
      <w:r>
        <w:rPr>
          <w:b/>
          <w:i/>
          <w:color w:val="231F20"/>
          <w:spacing w:val="-1"/>
          <w:sz w:val="20"/>
        </w:rPr>
        <w:t> </w:t>
      </w:r>
      <w:r>
        <w:rPr>
          <w:b/>
          <w:i/>
          <w:color w:val="231F20"/>
          <w:sz w:val="20"/>
        </w:rPr>
        <w:t>подготовка</w:t>
      </w:r>
      <w:r>
        <w:rPr>
          <w:b/>
          <w:i/>
          <w:color w:val="231F20"/>
          <w:spacing w:val="-1"/>
          <w:sz w:val="20"/>
        </w:rPr>
        <w:t> </w:t>
      </w:r>
      <w:r>
        <w:rPr>
          <w:b/>
          <w:i/>
          <w:color w:val="231F20"/>
          <w:sz w:val="20"/>
        </w:rPr>
        <w:t>школьного</w:t>
      </w:r>
      <w:r>
        <w:rPr>
          <w:b/>
          <w:i/>
          <w:color w:val="231F20"/>
          <w:spacing w:val="-1"/>
          <w:sz w:val="20"/>
        </w:rPr>
        <w:t> </w:t>
      </w:r>
      <w:r>
        <w:rPr>
          <w:b/>
          <w:i/>
          <w:color w:val="231F20"/>
          <w:sz w:val="20"/>
        </w:rPr>
        <w:t>класса</w:t>
      </w:r>
      <w:r>
        <w:rPr>
          <w:b/>
          <w:i/>
          <w:color w:val="231F20"/>
          <w:spacing w:val="-1"/>
          <w:sz w:val="20"/>
        </w:rPr>
        <w:t> </w:t>
      </w:r>
      <w:r>
        <w:rPr>
          <w:b/>
          <w:i/>
          <w:color w:val="231F20"/>
          <w:sz w:val="20"/>
        </w:rPr>
        <w:t>к</w:t>
      </w:r>
      <w:r>
        <w:rPr>
          <w:b/>
          <w:i/>
          <w:color w:val="231F20"/>
          <w:spacing w:val="-1"/>
          <w:sz w:val="20"/>
        </w:rPr>
        <w:t> </w:t>
      </w:r>
      <w:r>
        <w:rPr>
          <w:b/>
          <w:i/>
          <w:color w:val="231F20"/>
          <w:sz w:val="20"/>
        </w:rPr>
        <w:t>обу- чению в сотрудничестве</w:t>
      </w:r>
    </w:p>
    <w:p>
      <w:pPr>
        <w:pStyle w:val="BodyText"/>
        <w:spacing w:line="232" w:lineRule="auto"/>
      </w:pPr>
      <w:r>
        <w:rPr>
          <w:color w:val="231F20"/>
        </w:rPr>
        <w:t>Подготовка учащихся к обучению в сотрудничестве с учетом специфики поли- культурных классов может включать следующие виды тренингов:</w:t>
      </w:r>
    </w:p>
    <w:p>
      <w:pPr>
        <w:pStyle w:val="ListParagraph"/>
        <w:numPr>
          <w:ilvl w:val="0"/>
          <w:numId w:val="308"/>
        </w:numPr>
        <w:tabs>
          <w:tab w:pos="425" w:val="left" w:leader="none"/>
        </w:tabs>
        <w:spacing w:line="232" w:lineRule="auto" w:before="0" w:after="0"/>
        <w:ind w:left="425" w:right="139" w:hanging="284"/>
        <w:jc w:val="left"/>
        <w:rPr>
          <w:sz w:val="20"/>
        </w:rPr>
      </w:pPr>
      <w:r>
        <w:rPr>
          <w:color w:val="231F20"/>
          <w:sz w:val="20"/>
        </w:rPr>
        <w:t>освоение работы в группе с учетом потребностей других членов группы и наце- ленности на общий результат;</w:t>
      </w:r>
    </w:p>
    <w:p>
      <w:pPr>
        <w:pStyle w:val="ListParagraph"/>
        <w:numPr>
          <w:ilvl w:val="0"/>
          <w:numId w:val="308"/>
        </w:numPr>
        <w:tabs>
          <w:tab w:pos="424" w:val="left" w:leader="none"/>
        </w:tabs>
        <w:spacing w:line="218" w:lineRule="exact" w:before="0" w:after="0"/>
        <w:ind w:left="424" w:right="0" w:hanging="283"/>
        <w:jc w:val="left"/>
        <w:rPr>
          <w:sz w:val="20"/>
        </w:rPr>
      </w:pPr>
      <w:r>
        <w:rPr>
          <w:color w:val="231F20"/>
          <w:sz w:val="20"/>
        </w:rPr>
        <w:t>формирование</w:t>
      </w:r>
      <w:r>
        <w:rPr>
          <w:color w:val="231F20"/>
          <w:spacing w:val="-12"/>
          <w:sz w:val="20"/>
        </w:rPr>
        <w:t> </w:t>
      </w:r>
      <w:r>
        <w:rPr>
          <w:color w:val="231F20"/>
          <w:sz w:val="20"/>
        </w:rPr>
        <w:t>навыков</w:t>
      </w:r>
      <w:r>
        <w:rPr>
          <w:color w:val="231F20"/>
          <w:spacing w:val="-12"/>
          <w:sz w:val="20"/>
        </w:rPr>
        <w:t> </w:t>
      </w:r>
      <w:r>
        <w:rPr>
          <w:color w:val="231F20"/>
          <w:spacing w:val="-2"/>
          <w:sz w:val="20"/>
        </w:rPr>
        <w:t>сотрудничества;</w:t>
      </w:r>
    </w:p>
    <w:p>
      <w:pPr>
        <w:pStyle w:val="ListParagraph"/>
        <w:numPr>
          <w:ilvl w:val="0"/>
          <w:numId w:val="308"/>
        </w:numPr>
        <w:tabs>
          <w:tab w:pos="424" w:val="left" w:leader="none"/>
        </w:tabs>
        <w:spacing w:line="222" w:lineRule="exact" w:before="0" w:after="0"/>
        <w:ind w:left="424" w:right="0" w:hanging="283"/>
        <w:jc w:val="left"/>
        <w:rPr>
          <w:sz w:val="20"/>
        </w:rPr>
      </w:pPr>
      <w:r>
        <w:rPr>
          <w:color w:val="231F20"/>
          <w:sz w:val="20"/>
        </w:rPr>
        <w:t>развитие</w:t>
      </w:r>
      <w:r>
        <w:rPr>
          <w:color w:val="231F20"/>
          <w:spacing w:val="-8"/>
          <w:sz w:val="20"/>
        </w:rPr>
        <w:t> </w:t>
      </w:r>
      <w:r>
        <w:rPr>
          <w:color w:val="231F20"/>
          <w:sz w:val="20"/>
        </w:rPr>
        <w:t>навыков</w:t>
      </w:r>
      <w:r>
        <w:rPr>
          <w:color w:val="231F20"/>
          <w:spacing w:val="-6"/>
          <w:sz w:val="20"/>
        </w:rPr>
        <w:t> </w:t>
      </w:r>
      <w:r>
        <w:rPr>
          <w:color w:val="231F20"/>
          <w:sz w:val="20"/>
        </w:rPr>
        <w:t>коммуникации</w:t>
      </w:r>
      <w:r>
        <w:rPr>
          <w:color w:val="231F20"/>
          <w:spacing w:val="-6"/>
          <w:sz w:val="20"/>
        </w:rPr>
        <w:t> </w:t>
      </w:r>
      <w:r>
        <w:rPr>
          <w:color w:val="231F20"/>
          <w:sz w:val="20"/>
        </w:rPr>
        <w:t>и</w:t>
      </w:r>
      <w:r>
        <w:rPr>
          <w:color w:val="231F20"/>
          <w:spacing w:val="-7"/>
          <w:sz w:val="20"/>
        </w:rPr>
        <w:t> </w:t>
      </w:r>
      <w:r>
        <w:rPr>
          <w:color w:val="231F20"/>
          <w:sz w:val="20"/>
        </w:rPr>
        <w:t>участия</w:t>
      </w:r>
      <w:r>
        <w:rPr>
          <w:color w:val="231F20"/>
          <w:spacing w:val="-5"/>
          <w:sz w:val="20"/>
        </w:rPr>
        <w:t> </w:t>
      </w:r>
      <w:r>
        <w:rPr>
          <w:color w:val="231F20"/>
          <w:sz w:val="20"/>
        </w:rPr>
        <w:t>в</w:t>
      </w:r>
      <w:r>
        <w:rPr>
          <w:color w:val="231F20"/>
          <w:spacing w:val="-6"/>
          <w:sz w:val="20"/>
        </w:rPr>
        <w:t> </w:t>
      </w:r>
      <w:r>
        <w:rPr>
          <w:color w:val="231F20"/>
          <w:sz w:val="20"/>
        </w:rPr>
        <w:t>групповых</w:t>
      </w:r>
      <w:r>
        <w:rPr>
          <w:color w:val="231F20"/>
          <w:spacing w:val="-5"/>
          <w:sz w:val="20"/>
        </w:rPr>
        <w:t> </w:t>
      </w:r>
      <w:r>
        <w:rPr>
          <w:color w:val="231F20"/>
          <w:spacing w:val="-2"/>
          <w:sz w:val="20"/>
        </w:rPr>
        <w:t>дискуссиях;</w:t>
      </w:r>
    </w:p>
    <w:p>
      <w:pPr>
        <w:pStyle w:val="ListParagraph"/>
        <w:numPr>
          <w:ilvl w:val="0"/>
          <w:numId w:val="308"/>
        </w:numPr>
        <w:tabs>
          <w:tab w:pos="424" w:val="left" w:leader="none"/>
        </w:tabs>
        <w:spacing w:line="224" w:lineRule="exact" w:before="0" w:after="0"/>
        <w:ind w:left="424" w:right="0" w:hanging="283"/>
        <w:jc w:val="left"/>
        <w:rPr>
          <w:sz w:val="20"/>
        </w:rPr>
      </w:pPr>
      <w:r>
        <w:rPr>
          <w:color w:val="231F20"/>
          <w:sz w:val="20"/>
        </w:rPr>
        <w:t>выработка</w:t>
      </w:r>
      <w:r>
        <w:rPr>
          <w:color w:val="231F20"/>
          <w:spacing w:val="-6"/>
          <w:sz w:val="20"/>
        </w:rPr>
        <w:t> </w:t>
      </w:r>
      <w:r>
        <w:rPr>
          <w:color w:val="231F20"/>
          <w:sz w:val="20"/>
        </w:rPr>
        <w:t>норм</w:t>
      </w:r>
      <w:r>
        <w:rPr>
          <w:color w:val="231F20"/>
          <w:spacing w:val="-5"/>
          <w:sz w:val="20"/>
        </w:rPr>
        <w:t> </w:t>
      </w:r>
      <w:r>
        <w:rPr>
          <w:color w:val="231F20"/>
          <w:sz w:val="20"/>
        </w:rPr>
        <w:t>и</w:t>
      </w:r>
      <w:r>
        <w:rPr>
          <w:color w:val="231F20"/>
          <w:spacing w:val="-6"/>
          <w:sz w:val="20"/>
        </w:rPr>
        <w:t> </w:t>
      </w:r>
      <w:r>
        <w:rPr>
          <w:color w:val="231F20"/>
          <w:sz w:val="20"/>
        </w:rPr>
        <w:t>правил</w:t>
      </w:r>
      <w:r>
        <w:rPr>
          <w:color w:val="231F20"/>
          <w:spacing w:val="-5"/>
          <w:sz w:val="20"/>
        </w:rPr>
        <w:t> </w:t>
      </w:r>
      <w:r>
        <w:rPr>
          <w:color w:val="231F20"/>
          <w:sz w:val="20"/>
        </w:rPr>
        <w:t>группового</w:t>
      </w:r>
      <w:r>
        <w:rPr>
          <w:color w:val="231F20"/>
          <w:spacing w:val="-5"/>
          <w:sz w:val="20"/>
        </w:rPr>
        <w:t> </w:t>
      </w:r>
      <w:r>
        <w:rPr>
          <w:color w:val="231F20"/>
          <w:spacing w:val="-2"/>
          <w:sz w:val="20"/>
        </w:rPr>
        <w:t>поведения;</w:t>
      </w:r>
    </w:p>
    <w:p>
      <w:pPr>
        <w:pStyle w:val="ListParagraph"/>
        <w:numPr>
          <w:ilvl w:val="0"/>
          <w:numId w:val="308"/>
        </w:numPr>
        <w:tabs>
          <w:tab w:pos="424" w:val="left" w:leader="none"/>
        </w:tabs>
        <w:spacing w:line="226" w:lineRule="exact" w:before="0" w:after="0"/>
        <w:ind w:left="424" w:right="0" w:hanging="283"/>
        <w:jc w:val="left"/>
        <w:rPr>
          <w:sz w:val="20"/>
        </w:rPr>
      </w:pPr>
      <w:r>
        <w:rPr>
          <w:color w:val="231F20"/>
          <w:sz w:val="20"/>
        </w:rPr>
        <w:t>предотвращение</w:t>
      </w:r>
      <w:r>
        <w:rPr>
          <w:color w:val="231F20"/>
          <w:spacing w:val="-7"/>
          <w:sz w:val="20"/>
        </w:rPr>
        <w:t> </w:t>
      </w:r>
      <w:r>
        <w:rPr>
          <w:color w:val="231F20"/>
          <w:sz w:val="20"/>
        </w:rPr>
        <w:t>групповых</w:t>
      </w:r>
      <w:r>
        <w:rPr>
          <w:color w:val="231F20"/>
          <w:spacing w:val="-5"/>
          <w:sz w:val="20"/>
        </w:rPr>
        <w:t> </w:t>
      </w:r>
      <w:r>
        <w:rPr>
          <w:color w:val="231F20"/>
          <w:sz w:val="20"/>
        </w:rPr>
        <w:t>и</w:t>
      </w:r>
      <w:r>
        <w:rPr>
          <w:color w:val="231F20"/>
          <w:spacing w:val="-6"/>
          <w:sz w:val="20"/>
        </w:rPr>
        <w:t> </w:t>
      </w:r>
      <w:r>
        <w:rPr>
          <w:color w:val="231F20"/>
          <w:sz w:val="20"/>
        </w:rPr>
        <w:t>межличностных</w:t>
      </w:r>
      <w:r>
        <w:rPr>
          <w:color w:val="231F20"/>
          <w:spacing w:val="-4"/>
          <w:sz w:val="20"/>
        </w:rPr>
        <w:t> </w:t>
      </w:r>
      <w:r>
        <w:rPr>
          <w:color w:val="231F20"/>
          <w:sz w:val="20"/>
        </w:rPr>
        <w:t>конфликтов</w:t>
      </w:r>
      <w:r>
        <w:rPr>
          <w:color w:val="231F20"/>
          <w:spacing w:val="-6"/>
          <w:sz w:val="20"/>
        </w:rPr>
        <w:t> </w:t>
      </w:r>
      <w:r>
        <w:rPr>
          <w:color w:val="231F20"/>
          <w:sz w:val="20"/>
        </w:rPr>
        <w:t>и</w:t>
      </w:r>
      <w:r>
        <w:rPr>
          <w:color w:val="231F20"/>
          <w:spacing w:val="-5"/>
          <w:sz w:val="20"/>
        </w:rPr>
        <w:t> др.</w:t>
      </w:r>
    </w:p>
    <w:p>
      <w:pPr>
        <w:pStyle w:val="BodyText"/>
        <w:spacing w:line="235" w:lineRule="auto"/>
        <w:ind w:right="0"/>
        <w:jc w:val="left"/>
      </w:pPr>
      <w:r>
        <w:rPr>
          <w:color w:val="231F20"/>
        </w:rPr>
        <w:t>Ниже приведены примеры тренинговых упражнений, которые можно использо- вать при организации данного тренинга.</w:t>
      </w:r>
    </w:p>
    <w:p>
      <w:pPr>
        <w:spacing w:line="228" w:lineRule="exact" w:before="108"/>
        <w:ind w:left="2261" w:right="0" w:firstLine="0"/>
        <w:jc w:val="left"/>
        <w:rPr>
          <w:b/>
          <w:sz w:val="20"/>
        </w:rPr>
      </w:pPr>
      <w:r>
        <w:rPr>
          <w:b/>
          <w:color w:val="231F20"/>
          <w:sz w:val="20"/>
        </w:rPr>
        <w:t>Упражнение</w:t>
      </w:r>
      <w:r>
        <w:rPr>
          <w:b/>
          <w:color w:val="231F20"/>
          <w:spacing w:val="-12"/>
          <w:sz w:val="20"/>
        </w:rPr>
        <w:t> </w:t>
      </w:r>
      <w:r>
        <w:rPr>
          <w:b/>
          <w:color w:val="231F20"/>
          <w:sz w:val="20"/>
        </w:rPr>
        <w:t>«Сломанные</w:t>
      </w:r>
      <w:r>
        <w:rPr>
          <w:b/>
          <w:color w:val="231F20"/>
          <w:spacing w:val="-11"/>
          <w:sz w:val="20"/>
        </w:rPr>
        <w:t> </w:t>
      </w:r>
      <w:r>
        <w:rPr>
          <w:b/>
          <w:color w:val="231F20"/>
          <w:spacing w:val="-2"/>
          <w:sz w:val="20"/>
        </w:rPr>
        <w:t>круги»</w:t>
      </w:r>
    </w:p>
    <w:p>
      <w:pPr>
        <w:pStyle w:val="BodyText"/>
        <w:spacing w:line="235" w:lineRule="auto" w:before="2"/>
      </w:pPr>
      <w:r>
        <w:rPr>
          <w:color w:val="231F20"/>
        </w:rPr>
        <w:t>Одно из лучших упражнений, развивающих умение работать в группе и учиты- вать</w:t>
      </w:r>
      <w:r>
        <w:rPr>
          <w:color w:val="231F20"/>
          <w:spacing w:val="-13"/>
        </w:rPr>
        <w:t> </w:t>
      </w:r>
      <w:r>
        <w:rPr>
          <w:color w:val="231F20"/>
        </w:rPr>
        <w:t>потребности</w:t>
      </w:r>
      <w:r>
        <w:rPr>
          <w:color w:val="231F20"/>
          <w:spacing w:val="-12"/>
        </w:rPr>
        <w:t> </w:t>
      </w:r>
      <w:r>
        <w:rPr>
          <w:color w:val="231F20"/>
        </w:rPr>
        <w:t>других</w:t>
      </w:r>
      <w:r>
        <w:rPr>
          <w:color w:val="231F20"/>
          <w:spacing w:val="-13"/>
        </w:rPr>
        <w:t> </w:t>
      </w:r>
      <w:r>
        <w:rPr>
          <w:color w:val="231F20"/>
        </w:rPr>
        <w:t>участников</w:t>
      </w:r>
      <w:r>
        <w:rPr>
          <w:color w:val="231F20"/>
          <w:spacing w:val="-12"/>
        </w:rPr>
        <w:t> </w:t>
      </w:r>
      <w:r>
        <w:rPr>
          <w:color w:val="231F20"/>
        </w:rPr>
        <w:t>для</w:t>
      </w:r>
      <w:r>
        <w:rPr>
          <w:color w:val="231F20"/>
          <w:spacing w:val="-13"/>
        </w:rPr>
        <w:t> </w:t>
      </w:r>
      <w:r>
        <w:rPr>
          <w:color w:val="231F20"/>
        </w:rPr>
        <w:t>получения</w:t>
      </w:r>
      <w:r>
        <w:rPr>
          <w:color w:val="231F20"/>
          <w:spacing w:val="-12"/>
        </w:rPr>
        <w:t> </w:t>
      </w:r>
      <w:r>
        <w:rPr>
          <w:color w:val="231F20"/>
        </w:rPr>
        <w:t>итогового,</w:t>
      </w:r>
      <w:r>
        <w:rPr>
          <w:color w:val="231F20"/>
          <w:spacing w:val="-13"/>
        </w:rPr>
        <w:t> </w:t>
      </w:r>
      <w:r>
        <w:rPr>
          <w:color w:val="231F20"/>
        </w:rPr>
        <w:t>общего</w:t>
      </w:r>
      <w:r>
        <w:rPr>
          <w:color w:val="231F20"/>
          <w:spacing w:val="-12"/>
        </w:rPr>
        <w:t> </w:t>
      </w:r>
      <w:r>
        <w:rPr>
          <w:color w:val="231F20"/>
        </w:rPr>
        <w:t>для</w:t>
      </w:r>
      <w:r>
        <w:rPr>
          <w:color w:val="231F20"/>
          <w:spacing w:val="-13"/>
        </w:rPr>
        <w:t> </w:t>
      </w:r>
      <w:r>
        <w:rPr>
          <w:color w:val="231F20"/>
        </w:rPr>
        <w:t>всей</w:t>
      </w:r>
      <w:r>
        <w:rPr>
          <w:color w:val="231F20"/>
          <w:spacing w:val="-12"/>
        </w:rPr>
        <w:t> </w:t>
      </w:r>
      <w:r>
        <w:rPr>
          <w:color w:val="231F20"/>
        </w:rPr>
        <w:t>груп- пы результата, – это упражнение, которое называется «Сломанные круги» (</w:t>
      </w:r>
      <w:r>
        <w:rPr>
          <w:i/>
          <w:color w:val="231F20"/>
        </w:rPr>
        <w:t>Broken Circles</w:t>
      </w:r>
      <w:r>
        <w:rPr>
          <w:color w:val="231F20"/>
        </w:rPr>
        <w:t>, авт. Нэнси и Тэд Грейвс, 1985). Идея упражнения очень проста: участники группы</w:t>
      </w:r>
      <w:r>
        <w:rPr>
          <w:color w:val="231F20"/>
          <w:spacing w:val="-13"/>
        </w:rPr>
        <w:t> </w:t>
      </w:r>
      <w:r>
        <w:rPr>
          <w:color w:val="231F20"/>
        </w:rPr>
        <w:t>не</w:t>
      </w:r>
      <w:r>
        <w:rPr>
          <w:color w:val="231F20"/>
          <w:spacing w:val="-12"/>
        </w:rPr>
        <w:t> </w:t>
      </w:r>
      <w:r>
        <w:rPr>
          <w:color w:val="231F20"/>
        </w:rPr>
        <w:t>смогут</w:t>
      </w:r>
      <w:r>
        <w:rPr>
          <w:color w:val="231F20"/>
          <w:spacing w:val="-13"/>
        </w:rPr>
        <w:t> </w:t>
      </w:r>
      <w:r>
        <w:rPr>
          <w:color w:val="231F20"/>
        </w:rPr>
        <w:t>полностью</w:t>
      </w:r>
      <w:r>
        <w:rPr>
          <w:color w:val="231F20"/>
          <w:spacing w:val="-12"/>
        </w:rPr>
        <w:t> </w:t>
      </w:r>
      <w:r>
        <w:rPr>
          <w:color w:val="231F20"/>
        </w:rPr>
        <w:t>сложить</w:t>
      </w:r>
      <w:r>
        <w:rPr>
          <w:color w:val="231F20"/>
          <w:spacing w:val="-13"/>
        </w:rPr>
        <w:t> </w:t>
      </w:r>
      <w:r>
        <w:rPr>
          <w:color w:val="231F20"/>
        </w:rPr>
        <w:t>мозаику</w:t>
      </w:r>
      <w:r>
        <w:rPr>
          <w:color w:val="231F20"/>
          <w:spacing w:val="-12"/>
        </w:rPr>
        <w:t> </w:t>
      </w:r>
      <w:r>
        <w:rPr>
          <w:color w:val="231F20"/>
        </w:rPr>
        <w:t>в</w:t>
      </w:r>
      <w:r>
        <w:rPr>
          <w:color w:val="231F20"/>
          <w:spacing w:val="-13"/>
        </w:rPr>
        <w:t> </w:t>
      </w:r>
      <w:r>
        <w:rPr>
          <w:color w:val="231F20"/>
        </w:rPr>
        <w:t>форме</w:t>
      </w:r>
      <w:r>
        <w:rPr>
          <w:color w:val="231F20"/>
          <w:spacing w:val="-12"/>
        </w:rPr>
        <w:t> </w:t>
      </w:r>
      <w:r>
        <w:rPr>
          <w:color w:val="231F20"/>
        </w:rPr>
        <w:t>кругов,</w:t>
      </w:r>
      <w:r>
        <w:rPr>
          <w:color w:val="231F20"/>
          <w:spacing w:val="-13"/>
        </w:rPr>
        <w:t> </w:t>
      </w:r>
      <w:r>
        <w:rPr>
          <w:color w:val="231F20"/>
        </w:rPr>
        <w:t>пока</w:t>
      </w:r>
      <w:r>
        <w:rPr>
          <w:color w:val="231F20"/>
          <w:spacing w:val="-12"/>
        </w:rPr>
        <w:t> </w:t>
      </w:r>
      <w:r>
        <w:rPr>
          <w:color w:val="231F20"/>
        </w:rPr>
        <w:t>каждый</w:t>
      </w:r>
      <w:r>
        <w:rPr>
          <w:color w:val="231F20"/>
          <w:spacing w:val="-13"/>
        </w:rPr>
        <w:t> </w:t>
      </w:r>
      <w:r>
        <w:rPr>
          <w:color w:val="231F20"/>
        </w:rPr>
        <w:t>из</w:t>
      </w:r>
      <w:r>
        <w:rPr>
          <w:color w:val="231F20"/>
          <w:spacing w:val="-12"/>
        </w:rPr>
        <w:t> </w:t>
      </w:r>
      <w:r>
        <w:rPr>
          <w:color w:val="231F20"/>
        </w:rPr>
        <w:t>участ- ников не поймет, чего именно не хватает другим, из-за чего они не могут сложить свои собственные круги.</w:t>
      </w:r>
    </w:p>
    <w:p>
      <w:pPr>
        <w:pStyle w:val="BodyText"/>
        <w:spacing w:line="235" w:lineRule="auto" w:before="4"/>
      </w:pPr>
      <w:r>
        <w:rPr>
          <w:color w:val="231F20"/>
        </w:rPr>
        <w:t>Для</w:t>
      </w:r>
      <w:r>
        <w:rPr>
          <w:color w:val="231F20"/>
          <w:spacing w:val="-6"/>
        </w:rPr>
        <w:t> </w:t>
      </w:r>
      <w:r>
        <w:rPr>
          <w:color w:val="231F20"/>
        </w:rPr>
        <w:t>выполнения</w:t>
      </w:r>
      <w:r>
        <w:rPr>
          <w:color w:val="231F20"/>
          <w:spacing w:val="-6"/>
        </w:rPr>
        <w:t> </w:t>
      </w:r>
      <w:r>
        <w:rPr>
          <w:color w:val="231F20"/>
        </w:rPr>
        <w:t>этого</w:t>
      </w:r>
      <w:r>
        <w:rPr>
          <w:color w:val="231F20"/>
          <w:spacing w:val="-6"/>
        </w:rPr>
        <w:t> </w:t>
      </w:r>
      <w:r>
        <w:rPr>
          <w:color w:val="231F20"/>
        </w:rPr>
        <w:t>упражнения</w:t>
      </w:r>
      <w:r>
        <w:rPr>
          <w:color w:val="231F20"/>
          <w:spacing w:val="-6"/>
        </w:rPr>
        <w:t> </w:t>
      </w:r>
      <w:r>
        <w:rPr>
          <w:color w:val="231F20"/>
        </w:rPr>
        <w:t>класс</w:t>
      </w:r>
      <w:r>
        <w:rPr>
          <w:color w:val="231F20"/>
          <w:spacing w:val="-6"/>
        </w:rPr>
        <w:t> </w:t>
      </w:r>
      <w:r>
        <w:rPr>
          <w:color w:val="231F20"/>
        </w:rPr>
        <w:t>делится</w:t>
      </w:r>
      <w:r>
        <w:rPr>
          <w:color w:val="231F20"/>
          <w:spacing w:val="-6"/>
        </w:rPr>
        <w:t> </w:t>
      </w:r>
      <w:r>
        <w:rPr>
          <w:color w:val="231F20"/>
        </w:rPr>
        <w:t>на</w:t>
      </w:r>
      <w:r>
        <w:rPr>
          <w:color w:val="231F20"/>
          <w:spacing w:val="-6"/>
        </w:rPr>
        <w:t> </w:t>
      </w:r>
      <w:r>
        <w:rPr>
          <w:color w:val="231F20"/>
        </w:rPr>
        <w:t>группы</w:t>
      </w:r>
      <w:r>
        <w:rPr>
          <w:color w:val="231F20"/>
          <w:spacing w:val="-6"/>
        </w:rPr>
        <w:t> </w:t>
      </w:r>
      <w:r>
        <w:rPr>
          <w:color w:val="231F20"/>
        </w:rPr>
        <w:t>по</w:t>
      </w:r>
      <w:r>
        <w:rPr>
          <w:color w:val="231F20"/>
          <w:spacing w:val="-6"/>
        </w:rPr>
        <w:t> </w:t>
      </w:r>
      <w:r>
        <w:rPr>
          <w:color w:val="231F20"/>
        </w:rPr>
        <w:t>3–6</w:t>
      </w:r>
      <w:r>
        <w:rPr>
          <w:color w:val="231F20"/>
          <w:spacing w:val="-6"/>
        </w:rPr>
        <w:t> </w:t>
      </w:r>
      <w:r>
        <w:rPr>
          <w:color w:val="231F20"/>
        </w:rPr>
        <w:t>человек.</w:t>
      </w:r>
      <w:r>
        <w:rPr>
          <w:color w:val="231F20"/>
          <w:spacing w:val="-6"/>
        </w:rPr>
        <w:t> </w:t>
      </w:r>
      <w:r>
        <w:rPr>
          <w:color w:val="231F20"/>
        </w:rPr>
        <w:t>Учи- тель</w:t>
      </w:r>
      <w:r>
        <w:rPr>
          <w:color w:val="231F20"/>
          <w:spacing w:val="-10"/>
        </w:rPr>
        <w:t> </w:t>
      </w:r>
      <w:r>
        <w:rPr>
          <w:color w:val="231F20"/>
        </w:rPr>
        <w:t>выдает</w:t>
      </w:r>
      <w:r>
        <w:rPr>
          <w:color w:val="231F20"/>
          <w:spacing w:val="-10"/>
        </w:rPr>
        <w:t> </w:t>
      </w:r>
      <w:r>
        <w:rPr>
          <w:color w:val="231F20"/>
        </w:rPr>
        <w:t>каждому</w:t>
      </w:r>
      <w:r>
        <w:rPr>
          <w:color w:val="231F20"/>
          <w:spacing w:val="-10"/>
        </w:rPr>
        <w:t> </w:t>
      </w:r>
      <w:r>
        <w:rPr>
          <w:color w:val="231F20"/>
        </w:rPr>
        <w:t>конверт,</w:t>
      </w:r>
      <w:r>
        <w:rPr>
          <w:color w:val="231F20"/>
          <w:spacing w:val="-10"/>
        </w:rPr>
        <w:t> </w:t>
      </w:r>
      <w:r>
        <w:rPr>
          <w:color w:val="231F20"/>
        </w:rPr>
        <w:t>внутри</w:t>
      </w:r>
      <w:r>
        <w:rPr>
          <w:color w:val="231F20"/>
          <w:spacing w:val="-10"/>
        </w:rPr>
        <w:t> </w:t>
      </w:r>
      <w:r>
        <w:rPr>
          <w:color w:val="231F20"/>
        </w:rPr>
        <w:t>которого</w:t>
      </w:r>
      <w:r>
        <w:rPr>
          <w:color w:val="231F20"/>
          <w:spacing w:val="-10"/>
        </w:rPr>
        <w:t> </w:t>
      </w:r>
      <w:r>
        <w:rPr>
          <w:color w:val="231F20"/>
        </w:rPr>
        <w:t>лежат</w:t>
      </w:r>
      <w:r>
        <w:rPr>
          <w:color w:val="231F20"/>
          <w:spacing w:val="-10"/>
        </w:rPr>
        <w:t> </w:t>
      </w:r>
      <w:r>
        <w:rPr>
          <w:color w:val="231F20"/>
        </w:rPr>
        <w:t>фрагменты</w:t>
      </w:r>
      <w:r>
        <w:rPr>
          <w:color w:val="231F20"/>
          <w:spacing w:val="-10"/>
        </w:rPr>
        <w:t> </w:t>
      </w:r>
      <w:r>
        <w:rPr>
          <w:color w:val="231F20"/>
        </w:rPr>
        <w:t>круга.</w:t>
      </w:r>
      <w:r>
        <w:rPr>
          <w:color w:val="231F20"/>
          <w:spacing w:val="-10"/>
        </w:rPr>
        <w:t> </w:t>
      </w:r>
      <w:r>
        <w:rPr>
          <w:color w:val="231F20"/>
        </w:rPr>
        <w:t>Перед</w:t>
      </w:r>
      <w:r>
        <w:rPr>
          <w:color w:val="231F20"/>
          <w:spacing w:val="-10"/>
        </w:rPr>
        <w:t> </w:t>
      </w:r>
      <w:r>
        <w:rPr>
          <w:color w:val="231F20"/>
        </w:rPr>
        <w:t>участ- ником</w:t>
      </w:r>
      <w:r>
        <w:rPr>
          <w:color w:val="231F20"/>
          <w:spacing w:val="-11"/>
        </w:rPr>
        <w:t> </w:t>
      </w:r>
      <w:r>
        <w:rPr>
          <w:color w:val="231F20"/>
        </w:rPr>
        <w:t>ставится</w:t>
      </w:r>
      <w:r>
        <w:rPr>
          <w:color w:val="231F20"/>
          <w:spacing w:val="-11"/>
        </w:rPr>
        <w:t> </w:t>
      </w:r>
      <w:r>
        <w:rPr>
          <w:color w:val="231F20"/>
        </w:rPr>
        <w:t>задача:</w:t>
      </w:r>
      <w:r>
        <w:rPr>
          <w:color w:val="231F20"/>
          <w:spacing w:val="-11"/>
        </w:rPr>
        <w:t> </w:t>
      </w:r>
      <w:r>
        <w:rPr>
          <w:color w:val="231F20"/>
        </w:rPr>
        <w:t>собрать</w:t>
      </w:r>
      <w:r>
        <w:rPr>
          <w:color w:val="231F20"/>
          <w:spacing w:val="-11"/>
        </w:rPr>
        <w:t> </w:t>
      </w:r>
      <w:r>
        <w:rPr>
          <w:color w:val="231F20"/>
        </w:rPr>
        <w:t>полный</w:t>
      </w:r>
      <w:r>
        <w:rPr>
          <w:color w:val="231F20"/>
          <w:spacing w:val="-11"/>
        </w:rPr>
        <w:t> </w:t>
      </w:r>
      <w:r>
        <w:rPr>
          <w:color w:val="231F20"/>
        </w:rPr>
        <w:t>круг.</w:t>
      </w:r>
      <w:r>
        <w:rPr>
          <w:color w:val="231F20"/>
          <w:spacing w:val="-11"/>
        </w:rPr>
        <w:t> </w:t>
      </w:r>
      <w:r>
        <w:rPr>
          <w:color w:val="231F20"/>
        </w:rPr>
        <w:t>Но</w:t>
      </w:r>
      <w:r>
        <w:rPr>
          <w:color w:val="231F20"/>
          <w:spacing w:val="-11"/>
        </w:rPr>
        <w:t> </w:t>
      </w:r>
      <w:r>
        <w:rPr>
          <w:color w:val="231F20"/>
        </w:rPr>
        <w:t>для</w:t>
      </w:r>
      <w:r>
        <w:rPr>
          <w:color w:val="231F20"/>
          <w:spacing w:val="-11"/>
        </w:rPr>
        <w:t> </w:t>
      </w:r>
      <w:r>
        <w:rPr>
          <w:color w:val="231F20"/>
        </w:rPr>
        <w:t>того</w:t>
      </w:r>
      <w:r>
        <w:rPr>
          <w:color w:val="231F20"/>
          <w:spacing w:val="-11"/>
        </w:rPr>
        <w:t> </w:t>
      </w:r>
      <w:r>
        <w:rPr>
          <w:color w:val="231F20"/>
        </w:rPr>
        <w:t>чтобы</w:t>
      </w:r>
      <w:r>
        <w:rPr>
          <w:color w:val="231F20"/>
          <w:spacing w:val="-11"/>
        </w:rPr>
        <w:t> </w:t>
      </w:r>
      <w:r>
        <w:rPr>
          <w:color w:val="231F20"/>
        </w:rPr>
        <w:t>ее</w:t>
      </w:r>
      <w:r>
        <w:rPr>
          <w:color w:val="231F20"/>
          <w:spacing w:val="-11"/>
        </w:rPr>
        <w:t> </w:t>
      </w:r>
      <w:r>
        <w:rPr>
          <w:color w:val="231F20"/>
        </w:rPr>
        <w:t>выполнить,</w:t>
      </w:r>
      <w:r>
        <w:rPr>
          <w:color w:val="231F20"/>
          <w:spacing w:val="-11"/>
        </w:rPr>
        <w:t> </w:t>
      </w:r>
      <w:r>
        <w:rPr>
          <w:color w:val="231F20"/>
        </w:rPr>
        <w:t>нужно понять, что получили в конвертах другие участники, и договориться об обмене. Раз- говаривать</w:t>
      </w:r>
      <w:r>
        <w:rPr>
          <w:color w:val="231F20"/>
          <w:spacing w:val="-6"/>
        </w:rPr>
        <w:t> </w:t>
      </w:r>
      <w:r>
        <w:rPr>
          <w:color w:val="231F20"/>
        </w:rPr>
        <w:t>друг</w:t>
      </w:r>
      <w:r>
        <w:rPr>
          <w:color w:val="231F20"/>
          <w:spacing w:val="-7"/>
        </w:rPr>
        <w:t> </w:t>
      </w:r>
      <w:r>
        <w:rPr>
          <w:color w:val="231F20"/>
        </w:rPr>
        <w:t>с</w:t>
      </w:r>
      <w:r>
        <w:rPr>
          <w:color w:val="231F20"/>
          <w:spacing w:val="-6"/>
        </w:rPr>
        <w:t> </w:t>
      </w:r>
      <w:r>
        <w:rPr>
          <w:color w:val="231F20"/>
        </w:rPr>
        <w:t>другом</w:t>
      </w:r>
      <w:r>
        <w:rPr>
          <w:color w:val="231F20"/>
          <w:spacing w:val="-6"/>
        </w:rPr>
        <w:t> </w:t>
      </w:r>
      <w:r>
        <w:rPr>
          <w:color w:val="231F20"/>
        </w:rPr>
        <w:t>и</w:t>
      </w:r>
      <w:r>
        <w:rPr>
          <w:color w:val="231F20"/>
          <w:spacing w:val="-6"/>
        </w:rPr>
        <w:t> </w:t>
      </w:r>
      <w:r>
        <w:rPr>
          <w:color w:val="231F20"/>
        </w:rPr>
        <w:t>заглядывать</w:t>
      </w:r>
      <w:r>
        <w:rPr>
          <w:color w:val="231F20"/>
          <w:spacing w:val="-6"/>
        </w:rPr>
        <w:t> </w:t>
      </w:r>
      <w:r>
        <w:rPr>
          <w:color w:val="231F20"/>
        </w:rPr>
        <w:t>в</w:t>
      </w:r>
      <w:r>
        <w:rPr>
          <w:color w:val="231F20"/>
          <w:spacing w:val="-6"/>
        </w:rPr>
        <w:t> </w:t>
      </w:r>
      <w:r>
        <w:rPr>
          <w:color w:val="231F20"/>
        </w:rPr>
        <w:t>чужие</w:t>
      </w:r>
      <w:r>
        <w:rPr>
          <w:color w:val="231F20"/>
          <w:spacing w:val="-6"/>
        </w:rPr>
        <w:t> </w:t>
      </w:r>
      <w:r>
        <w:rPr>
          <w:color w:val="231F20"/>
        </w:rPr>
        <w:t>конверты</w:t>
      </w:r>
      <w:r>
        <w:rPr>
          <w:color w:val="231F20"/>
          <w:spacing w:val="-6"/>
        </w:rPr>
        <w:t> </w:t>
      </w:r>
      <w:r>
        <w:rPr>
          <w:color w:val="231F20"/>
        </w:rPr>
        <w:t>не</w:t>
      </w:r>
      <w:r>
        <w:rPr>
          <w:color w:val="231F20"/>
          <w:spacing w:val="-6"/>
        </w:rPr>
        <w:t> </w:t>
      </w:r>
      <w:r>
        <w:rPr>
          <w:color w:val="231F20"/>
        </w:rPr>
        <w:t>разрешается.</w:t>
      </w:r>
      <w:r>
        <w:rPr>
          <w:color w:val="231F20"/>
          <w:spacing w:val="-7"/>
        </w:rPr>
        <w:t> </w:t>
      </w:r>
      <w:r>
        <w:rPr>
          <w:color w:val="231F20"/>
        </w:rPr>
        <w:t>Упражне- ние</w:t>
      </w:r>
      <w:r>
        <w:rPr>
          <w:color w:val="231F20"/>
          <w:spacing w:val="-11"/>
        </w:rPr>
        <w:t> </w:t>
      </w:r>
      <w:r>
        <w:rPr>
          <w:color w:val="231F20"/>
        </w:rPr>
        <w:t>считается</w:t>
      </w:r>
      <w:r>
        <w:rPr>
          <w:color w:val="231F20"/>
          <w:spacing w:val="-11"/>
        </w:rPr>
        <w:t> </w:t>
      </w:r>
      <w:r>
        <w:rPr>
          <w:color w:val="231F20"/>
        </w:rPr>
        <w:t>выполненным,</w:t>
      </w:r>
      <w:r>
        <w:rPr>
          <w:color w:val="231F20"/>
          <w:spacing w:val="-11"/>
        </w:rPr>
        <w:t> </w:t>
      </w:r>
      <w:r>
        <w:rPr>
          <w:color w:val="231F20"/>
        </w:rPr>
        <w:t>когда</w:t>
      </w:r>
      <w:r>
        <w:rPr>
          <w:color w:val="231F20"/>
          <w:spacing w:val="-11"/>
        </w:rPr>
        <w:t> </w:t>
      </w:r>
      <w:r>
        <w:rPr>
          <w:color w:val="231F20"/>
        </w:rPr>
        <w:t>напротив</w:t>
      </w:r>
      <w:r>
        <w:rPr>
          <w:color w:val="231F20"/>
          <w:spacing w:val="-11"/>
        </w:rPr>
        <w:t> </w:t>
      </w:r>
      <w:r>
        <w:rPr>
          <w:color w:val="231F20"/>
        </w:rPr>
        <w:t>каждого</w:t>
      </w:r>
      <w:r>
        <w:rPr>
          <w:color w:val="231F20"/>
          <w:spacing w:val="-11"/>
        </w:rPr>
        <w:t> </w:t>
      </w:r>
      <w:r>
        <w:rPr>
          <w:color w:val="231F20"/>
        </w:rPr>
        <w:t>участника</w:t>
      </w:r>
      <w:r>
        <w:rPr>
          <w:color w:val="231F20"/>
          <w:spacing w:val="-11"/>
        </w:rPr>
        <w:t> </w:t>
      </w:r>
      <w:r>
        <w:rPr>
          <w:color w:val="231F20"/>
        </w:rPr>
        <w:t>будет</w:t>
      </w:r>
      <w:r>
        <w:rPr>
          <w:color w:val="231F20"/>
          <w:spacing w:val="-11"/>
        </w:rPr>
        <w:t> </w:t>
      </w:r>
      <w:r>
        <w:rPr>
          <w:color w:val="231F20"/>
        </w:rPr>
        <w:t>лежать</w:t>
      </w:r>
      <w:r>
        <w:rPr>
          <w:color w:val="231F20"/>
          <w:spacing w:val="-11"/>
        </w:rPr>
        <w:t> </w:t>
      </w:r>
      <w:r>
        <w:rPr>
          <w:color w:val="231F20"/>
        </w:rPr>
        <w:t>полно- стью собранный круг.</w:t>
      </w:r>
    </w:p>
    <w:p>
      <w:pPr>
        <w:spacing w:line="226" w:lineRule="exact" w:before="50"/>
        <w:ind w:left="425" w:right="0" w:firstLine="0"/>
        <w:jc w:val="both"/>
        <w:rPr>
          <w:b/>
          <w:sz w:val="20"/>
        </w:rPr>
      </w:pPr>
      <w:r>
        <w:rPr>
          <w:b/>
          <w:color w:val="231F20"/>
          <w:sz w:val="20"/>
        </w:rPr>
        <w:t>Инструкции</w:t>
      </w:r>
      <w:r>
        <w:rPr>
          <w:b/>
          <w:color w:val="231F20"/>
          <w:spacing w:val="-5"/>
          <w:sz w:val="20"/>
        </w:rPr>
        <w:t> </w:t>
      </w:r>
      <w:r>
        <w:rPr>
          <w:b/>
          <w:color w:val="231F20"/>
          <w:sz w:val="20"/>
        </w:rPr>
        <w:t>для</w:t>
      </w:r>
      <w:r>
        <w:rPr>
          <w:b/>
          <w:color w:val="231F20"/>
          <w:spacing w:val="-4"/>
          <w:sz w:val="20"/>
        </w:rPr>
        <w:t> </w:t>
      </w:r>
      <w:r>
        <w:rPr>
          <w:b/>
          <w:color w:val="231F20"/>
          <w:spacing w:val="-2"/>
          <w:sz w:val="20"/>
        </w:rPr>
        <w:t>участников</w:t>
      </w:r>
    </w:p>
    <w:p>
      <w:pPr>
        <w:spacing w:line="235" w:lineRule="auto" w:before="0"/>
        <w:ind w:left="141" w:right="139" w:firstLine="283"/>
        <w:jc w:val="both"/>
        <w:rPr>
          <w:i/>
          <w:sz w:val="20"/>
        </w:rPr>
      </w:pPr>
      <w:r>
        <w:rPr>
          <w:color w:val="231F20"/>
          <w:sz w:val="20"/>
        </w:rPr>
        <w:t>– </w:t>
      </w:r>
      <w:r>
        <w:rPr>
          <w:i/>
          <w:color w:val="231F20"/>
          <w:sz w:val="20"/>
        </w:rPr>
        <w:t>Каждый из вас получил конверт, в котором лежат 2–3 части разрезанного круга.</w:t>
      </w:r>
      <w:r>
        <w:rPr>
          <w:i/>
          <w:color w:val="231F20"/>
          <w:spacing w:val="-10"/>
          <w:sz w:val="20"/>
        </w:rPr>
        <w:t> </w:t>
      </w:r>
      <w:r>
        <w:rPr>
          <w:i/>
          <w:color w:val="231F20"/>
          <w:sz w:val="20"/>
        </w:rPr>
        <w:t>Для</w:t>
      </w:r>
      <w:r>
        <w:rPr>
          <w:i/>
          <w:color w:val="231F20"/>
          <w:spacing w:val="-9"/>
          <w:sz w:val="20"/>
        </w:rPr>
        <w:t> </w:t>
      </w:r>
      <w:r>
        <w:rPr>
          <w:i/>
          <w:color w:val="231F20"/>
          <w:sz w:val="20"/>
        </w:rPr>
        <w:t>выполнения</w:t>
      </w:r>
      <w:r>
        <w:rPr>
          <w:i/>
          <w:color w:val="231F20"/>
          <w:spacing w:val="-9"/>
          <w:sz w:val="20"/>
        </w:rPr>
        <w:t> </w:t>
      </w:r>
      <w:r>
        <w:rPr>
          <w:i/>
          <w:color w:val="231F20"/>
          <w:sz w:val="20"/>
        </w:rPr>
        <w:t>упражнения</w:t>
      </w:r>
      <w:r>
        <w:rPr>
          <w:i/>
          <w:color w:val="231F20"/>
          <w:spacing w:val="-10"/>
          <w:sz w:val="20"/>
        </w:rPr>
        <w:t> </w:t>
      </w:r>
      <w:r>
        <w:rPr>
          <w:i/>
          <w:color w:val="231F20"/>
          <w:sz w:val="20"/>
        </w:rPr>
        <w:t>вам</w:t>
      </w:r>
      <w:r>
        <w:rPr>
          <w:i/>
          <w:color w:val="231F20"/>
          <w:spacing w:val="-9"/>
          <w:sz w:val="20"/>
        </w:rPr>
        <w:t> </w:t>
      </w:r>
      <w:r>
        <w:rPr>
          <w:i/>
          <w:color w:val="231F20"/>
          <w:sz w:val="20"/>
        </w:rPr>
        <w:t>нужно</w:t>
      </w:r>
      <w:r>
        <w:rPr>
          <w:i/>
          <w:color w:val="231F20"/>
          <w:spacing w:val="-9"/>
          <w:sz w:val="20"/>
        </w:rPr>
        <w:t> </w:t>
      </w:r>
      <w:r>
        <w:rPr>
          <w:i/>
          <w:color w:val="231F20"/>
          <w:sz w:val="20"/>
        </w:rPr>
        <w:t>сложить</w:t>
      </w:r>
      <w:r>
        <w:rPr>
          <w:i/>
          <w:color w:val="231F20"/>
          <w:spacing w:val="-9"/>
          <w:sz w:val="20"/>
        </w:rPr>
        <w:t> </w:t>
      </w:r>
      <w:r>
        <w:rPr>
          <w:i/>
          <w:color w:val="231F20"/>
          <w:sz w:val="20"/>
        </w:rPr>
        <w:t>перед</w:t>
      </w:r>
      <w:r>
        <w:rPr>
          <w:i/>
          <w:color w:val="231F20"/>
          <w:spacing w:val="-10"/>
          <w:sz w:val="20"/>
        </w:rPr>
        <w:t> </w:t>
      </w:r>
      <w:r>
        <w:rPr>
          <w:i/>
          <w:color w:val="231F20"/>
          <w:sz w:val="20"/>
        </w:rPr>
        <w:t>собой</w:t>
      </w:r>
      <w:r>
        <w:rPr>
          <w:i/>
          <w:color w:val="231F20"/>
          <w:spacing w:val="-9"/>
          <w:sz w:val="20"/>
        </w:rPr>
        <w:t> </w:t>
      </w:r>
      <w:r>
        <w:rPr>
          <w:i/>
          <w:color w:val="231F20"/>
          <w:sz w:val="20"/>
        </w:rPr>
        <w:t>полный</w:t>
      </w:r>
      <w:r>
        <w:rPr>
          <w:i/>
          <w:color w:val="231F20"/>
          <w:spacing w:val="-9"/>
          <w:sz w:val="20"/>
        </w:rPr>
        <w:t> </w:t>
      </w:r>
      <w:r>
        <w:rPr>
          <w:i/>
          <w:color w:val="231F20"/>
          <w:sz w:val="20"/>
        </w:rPr>
        <w:t>круг,</w:t>
      </w:r>
      <w:r>
        <w:rPr>
          <w:i/>
          <w:color w:val="231F20"/>
          <w:spacing w:val="-9"/>
          <w:sz w:val="20"/>
        </w:rPr>
        <w:t> </w:t>
      </w:r>
      <w:r>
        <w:rPr>
          <w:i/>
          <w:color w:val="231F20"/>
          <w:spacing w:val="-5"/>
          <w:sz w:val="20"/>
        </w:rPr>
        <w:t>но,</w:t>
      </w:r>
    </w:p>
    <w:p>
      <w:pPr>
        <w:spacing w:after="0" w:line="235" w:lineRule="auto"/>
        <w:jc w:val="both"/>
        <w:rPr>
          <w:i/>
          <w:sz w:val="20"/>
        </w:rPr>
        <w:sectPr>
          <w:pgSz w:w="8400" w:h="11910"/>
          <w:pgMar w:header="0" w:footer="530"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line="235" w:lineRule="auto" w:before="116"/>
        <w:ind w:left="141" w:right="139" w:firstLine="0"/>
        <w:jc w:val="both"/>
        <w:rPr>
          <w:i/>
          <w:sz w:val="20"/>
        </w:rPr>
      </w:pPr>
      <w:r>
        <w:rPr>
          <w:i/>
          <w:color w:val="231F20"/>
          <w:sz w:val="20"/>
        </w:rPr>
        <w:t>поскольку</w:t>
      </w:r>
      <w:r>
        <w:rPr>
          <w:i/>
          <w:color w:val="231F20"/>
          <w:spacing w:val="-6"/>
          <w:sz w:val="20"/>
        </w:rPr>
        <w:t> </w:t>
      </w:r>
      <w:r>
        <w:rPr>
          <w:i/>
          <w:color w:val="231F20"/>
          <w:sz w:val="20"/>
        </w:rPr>
        <w:t>вам</w:t>
      </w:r>
      <w:r>
        <w:rPr>
          <w:i/>
          <w:color w:val="231F20"/>
          <w:spacing w:val="-6"/>
          <w:sz w:val="20"/>
        </w:rPr>
        <w:t> </w:t>
      </w:r>
      <w:r>
        <w:rPr>
          <w:i/>
          <w:color w:val="231F20"/>
          <w:sz w:val="20"/>
        </w:rPr>
        <w:t>может</w:t>
      </w:r>
      <w:r>
        <w:rPr>
          <w:i/>
          <w:color w:val="231F20"/>
          <w:spacing w:val="-6"/>
          <w:sz w:val="20"/>
        </w:rPr>
        <w:t> </w:t>
      </w:r>
      <w:r>
        <w:rPr>
          <w:i/>
          <w:color w:val="231F20"/>
          <w:sz w:val="20"/>
        </w:rPr>
        <w:t>не</w:t>
      </w:r>
      <w:r>
        <w:rPr>
          <w:i/>
          <w:color w:val="231F20"/>
          <w:spacing w:val="-6"/>
          <w:sz w:val="20"/>
        </w:rPr>
        <w:t> </w:t>
      </w:r>
      <w:r>
        <w:rPr>
          <w:i/>
          <w:color w:val="231F20"/>
          <w:sz w:val="20"/>
        </w:rPr>
        <w:t>хватить</w:t>
      </w:r>
      <w:r>
        <w:rPr>
          <w:i/>
          <w:color w:val="231F20"/>
          <w:spacing w:val="-6"/>
          <w:sz w:val="20"/>
        </w:rPr>
        <w:t> </w:t>
      </w:r>
      <w:r>
        <w:rPr>
          <w:i/>
          <w:color w:val="231F20"/>
          <w:sz w:val="20"/>
        </w:rPr>
        <w:t>каких-то</w:t>
      </w:r>
      <w:r>
        <w:rPr>
          <w:i/>
          <w:color w:val="231F20"/>
          <w:spacing w:val="-6"/>
          <w:sz w:val="20"/>
        </w:rPr>
        <w:t> </w:t>
      </w:r>
      <w:r>
        <w:rPr>
          <w:i/>
          <w:color w:val="231F20"/>
          <w:sz w:val="20"/>
        </w:rPr>
        <w:t>частей</w:t>
      </w:r>
      <w:r>
        <w:rPr>
          <w:i/>
          <w:color w:val="231F20"/>
          <w:spacing w:val="-6"/>
          <w:sz w:val="20"/>
        </w:rPr>
        <w:t> </w:t>
      </w:r>
      <w:r>
        <w:rPr>
          <w:i/>
          <w:color w:val="231F20"/>
          <w:sz w:val="20"/>
        </w:rPr>
        <w:t>круга,</w:t>
      </w:r>
      <w:r>
        <w:rPr>
          <w:i/>
          <w:color w:val="231F20"/>
          <w:spacing w:val="-6"/>
          <w:sz w:val="20"/>
        </w:rPr>
        <w:t> </w:t>
      </w:r>
      <w:r>
        <w:rPr>
          <w:i/>
          <w:color w:val="231F20"/>
          <w:sz w:val="20"/>
        </w:rPr>
        <w:t>нужно</w:t>
      </w:r>
      <w:r>
        <w:rPr>
          <w:i/>
          <w:color w:val="231F20"/>
          <w:spacing w:val="-6"/>
          <w:sz w:val="20"/>
        </w:rPr>
        <w:t> </w:t>
      </w:r>
      <w:r>
        <w:rPr>
          <w:i/>
          <w:color w:val="231F20"/>
          <w:sz w:val="20"/>
        </w:rPr>
        <w:t>договориться</w:t>
      </w:r>
      <w:r>
        <w:rPr>
          <w:i/>
          <w:color w:val="231F20"/>
          <w:spacing w:val="-6"/>
          <w:sz w:val="20"/>
        </w:rPr>
        <w:t> </w:t>
      </w:r>
      <w:r>
        <w:rPr>
          <w:i/>
          <w:color w:val="231F20"/>
          <w:sz w:val="20"/>
        </w:rPr>
        <w:t>друг с другом и произвести обмен или поделиться фрагментами круга. Есть несколько правил,</w:t>
      </w:r>
      <w:r>
        <w:rPr>
          <w:i/>
          <w:color w:val="231F20"/>
          <w:spacing w:val="-8"/>
          <w:sz w:val="20"/>
        </w:rPr>
        <w:t> </w:t>
      </w:r>
      <w:r>
        <w:rPr>
          <w:i/>
          <w:color w:val="231F20"/>
          <w:sz w:val="20"/>
        </w:rPr>
        <w:t>которых</w:t>
      </w:r>
      <w:r>
        <w:rPr>
          <w:i/>
          <w:color w:val="231F20"/>
          <w:spacing w:val="-8"/>
          <w:sz w:val="20"/>
        </w:rPr>
        <w:t> </w:t>
      </w:r>
      <w:r>
        <w:rPr>
          <w:i/>
          <w:color w:val="231F20"/>
          <w:sz w:val="20"/>
        </w:rPr>
        <w:t>вы</w:t>
      </w:r>
      <w:r>
        <w:rPr>
          <w:i/>
          <w:color w:val="231F20"/>
          <w:spacing w:val="-8"/>
          <w:sz w:val="20"/>
        </w:rPr>
        <w:t> </w:t>
      </w:r>
      <w:r>
        <w:rPr>
          <w:i/>
          <w:color w:val="231F20"/>
          <w:sz w:val="20"/>
        </w:rPr>
        <w:t>должны</w:t>
      </w:r>
      <w:r>
        <w:rPr>
          <w:i/>
          <w:color w:val="231F20"/>
          <w:spacing w:val="-8"/>
          <w:sz w:val="20"/>
        </w:rPr>
        <w:t> </w:t>
      </w:r>
      <w:r>
        <w:rPr>
          <w:i/>
          <w:color w:val="231F20"/>
          <w:sz w:val="20"/>
        </w:rPr>
        <w:t>придерживаться</w:t>
      </w:r>
      <w:r>
        <w:rPr>
          <w:i/>
          <w:color w:val="231F20"/>
          <w:spacing w:val="-8"/>
          <w:sz w:val="20"/>
        </w:rPr>
        <w:t> </w:t>
      </w:r>
      <w:r>
        <w:rPr>
          <w:i/>
          <w:color w:val="231F20"/>
          <w:sz w:val="20"/>
        </w:rPr>
        <w:t>при</w:t>
      </w:r>
      <w:r>
        <w:rPr>
          <w:i/>
          <w:color w:val="231F20"/>
          <w:spacing w:val="-8"/>
          <w:sz w:val="20"/>
        </w:rPr>
        <w:t> </w:t>
      </w:r>
      <w:r>
        <w:rPr>
          <w:i/>
          <w:color w:val="231F20"/>
          <w:sz w:val="20"/>
        </w:rPr>
        <w:t>выполнении</w:t>
      </w:r>
      <w:r>
        <w:rPr>
          <w:i/>
          <w:color w:val="231F20"/>
          <w:spacing w:val="-8"/>
          <w:sz w:val="20"/>
        </w:rPr>
        <w:t> </w:t>
      </w:r>
      <w:r>
        <w:rPr>
          <w:i/>
          <w:color w:val="231F20"/>
          <w:sz w:val="20"/>
        </w:rPr>
        <w:t>упражнения.</w:t>
      </w:r>
      <w:r>
        <w:rPr>
          <w:i/>
          <w:color w:val="231F20"/>
          <w:spacing w:val="-8"/>
          <w:sz w:val="20"/>
        </w:rPr>
        <w:t> </w:t>
      </w:r>
      <w:r>
        <w:rPr>
          <w:i/>
          <w:color w:val="231F20"/>
          <w:sz w:val="20"/>
        </w:rPr>
        <w:t>Упраж- нение выполняется в полной тишине. Разговаривать нельзя.</w:t>
      </w:r>
    </w:p>
    <w:p>
      <w:pPr>
        <w:pStyle w:val="ListParagraph"/>
        <w:numPr>
          <w:ilvl w:val="0"/>
          <w:numId w:val="309"/>
        </w:numPr>
        <w:tabs>
          <w:tab w:pos="425" w:val="left" w:leader="none"/>
        </w:tabs>
        <w:spacing w:line="232" w:lineRule="auto" w:before="0" w:after="0"/>
        <w:ind w:left="425" w:right="139" w:hanging="284"/>
        <w:jc w:val="both"/>
        <w:rPr>
          <w:i/>
          <w:sz w:val="20"/>
        </w:rPr>
      </w:pPr>
      <w:r>
        <w:rPr>
          <w:i/>
          <w:color w:val="231F20"/>
          <w:sz w:val="20"/>
        </w:rPr>
        <w:t>Не</w:t>
      </w:r>
      <w:r>
        <w:rPr>
          <w:i/>
          <w:color w:val="231F20"/>
          <w:spacing w:val="-13"/>
          <w:sz w:val="20"/>
        </w:rPr>
        <w:t> </w:t>
      </w:r>
      <w:r>
        <w:rPr>
          <w:i/>
          <w:color w:val="231F20"/>
          <w:sz w:val="20"/>
        </w:rPr>
        <w:t>разрешается</w:t>
      </w:r>
      <w:r>
        <w:rPr>
          <w:i/>
          <w:color w:val="231F20"/>
          <w:spacing w:val="-12"/>
          <w:sz w:val="20"/>
        </w:rPr>
        <w:t> </w:t>
      </w:r>
      <w:r>
        <w:rPr>
          <w:i/>
          <w:color w:val="231F20"/>
          <w:sz w:val="20"/>
        </w:rPr>
        <w:t>показывать</w:t>
      </w:r>
      <w:r>
        <w:rPr>
          <w:i/>
          <w:color w:val="231F20"/>
          <w:spacing w:val="-13"/>
          <w:sz w:val="20"/>
        </w:rPr>
        <w:t> </w:t>
      </w:r>
      <w:r>
        <w:rPr>
          <w:i/>
          <w:color w:val="231F20"/>
          <w:sz w:val="20"/>
        </w:rPr>
        <w:t>пальцем</w:t>
      </w:r>
      <w:r>
        <w:rPr>
          <w:i/>
          <w:color w:val="231F20"/>
          <w:spacing w:val="-12"/>
          <w:sz w:val="20"/>
        </w:rPr>
        <w:t> </w:t>
      </w:r>
      <w:r>
        <w:rPr>
          <w:i/>
          <w:color w:val="231F20"/>
          <w:sz w:val="20"/>
        </w:rPr>
        <w:t>на</w:t>
      </w:r>
      <w:r>
        <w:rPr>
          <w:i/>
          <w:color w:val="231F20"/>
          <w:spacing w:val="-13"/>
          <w:sz w:val="20"/>
        </w:rPr>
        <w:t> </w:t>
      </w:r>
      <w:r>
        <w:rPr>
          <w:i/>
          <w:color w:val="231F20"/>
          <w:sz w:val="20"/>
        </w:rPr>
        <w:t>те</w:t>
      </w:r>
      <w:r>
        <w:rPr>
          <w:i/>
          <w:color w:val="231F20"/>
          <w:spacing w:val="-12"/>
          <w:sz w:val="20"/>
        </w:rPr>
        <w:t> </w:t>
      </w:r>
      <w:r>
        <w:rPr>
          <w:i/>
          <w:color w:val="231F20"/>
          <w:sz w:val="20"/>
        </w:rPr>
        <w:t>части</w:t>
      </w:r>
      <w:r>
        <w:rPr>
          <w:i/>
          <w:color w:val="231F20"/>
          <w:spacing w:val="-13"/>
          <w:sz w:val="20"/>
        </w:rPr>
        <w:t> </w:t>
      </w:r>
      <w:r>
        <w:rPr>
          <w:i/>
          <w:color w:val="231F20"/>
          <w:sz w:val="20"/>
        </w:rPr>
        <w:t>круга,</w:t>
      </w:r>
      <w:r>
        <w:rPr>
          <w:i/>
          <w:color w:val="231F20"/>
          <w:spacing w:val="-12"/>
          <w:sz w:val="20"/>
        </w:rPr>
        <w:t> </w:t>
      </w:r>
      <w:r>
        <w:rPr>
          <w:i/>
          <w:color w:val="231F20"/>
          <w:sz w:val="20"/>
        </w:rPr>
        <w:t>которые</w:t>
      </w:r>
      <w:r>
        <w:rPr>
          <w:i/>
          <w:color w:val="231F20"/>
          <w:spacing w:val="-13"/>
          <w:sz w:val="20"/>
        </w:rPr>
        <w:t> </w:t>
      </w:r>
      <w:r>
        <w:rPr>
          <w:i/>
          <w:color w:val="231F20"/>
          <w:sz w:val="20"/>
        </w:rPr>
        <w:t>вам</w:t>
      </w:r>
      <w:r>
        <w:rPr>
          <w:i/>
          <w:color w:val="231F20"/>
          <w:spacing w:val="-12"/>
          <w:sz w:val="20"/>
        </w:rPr>
        <w:t> </w:t>
      </w:r>
      <w:r>
        <w:rPr>
          <w:i/>
          <w:color w:val="231F20"/>
          <w:sz w:val="20"/>
        </w:rPr>
        <w:t>нужны</w:t>
      </w:r>
      <w:r>
        <w:rPr>
          <w:i/>
          <w:color w:val="231F20"/>
          <w:spacing w:val="-13"/>
          <w:sz w:val="20"/>
        </w:rPr>
        <w:t> </w:t>
      </w:r>
      <w:r>
        <w:rPr>
          <w:i/>
          <w:color w:val="231F20"/>
          <w:sz w:val="20"/>
        </w:rPr>
        <w:t>для завершения работы.</w:t>
      </w:r>
    </w:p>
    <w:p>
      <w:pPr>
        <w:pStyle w:val="ListParagraph"/>
        <w:numPr>
          <w:ilvl w:val="0"/>
          <w:numId w:val="309"/>
        </w:numPr>
        <w:tabs>
          <w:tab w:pos="425" w:val="left" w:leader="none"/>
        </w:tabs>
        <w:spacing w:line="232" w:lineRule="auto" w:before="0" w:after="0"/>
        <w:ind w:left="425" w:right="139" w:hanging="284"/>
        <w:jc w:val="both"/>
        <w:rPr>
          <w:i/>
          <w:sz w:val="20"/>
        </w:rPr>
      </w:pPr>
      <w:r>
        <w:rPr>
          <w:i/>
          <w:color w:val="231F20"/>
          <w:sz w:val="20"/>
        </w:rPr>
        <w:t>Каждый участник должен сам сложить свой круг, никто не может его торо- пить или делать упражнение за него.</w:t>
      </w:r>
    </w:p>
    <w:p>
      <w:pPr>
        <w:pStyle w:val="ListParagraph"/>
        <w:numPr>
          <w:ilvl w:val="0"/>
          <w:numId w:val="309"/>
        </w:numPr>
        <w:tabs>
          <w:tab w:pos="425" w:val="left" w:leader="none"/>
        </w:tabs>
        <w:spacing w:line="232" w:lineRule="auto" w:before="2" w:after="0"/>
        <w:ind w:left="425" w:right="139" w:hanging="284"/>
        <w:jc w:val="both"/>
        <w:rPr>
          <w:i/>
          <w:sz w:val="20"/>
        </w:rPr>
      </w:pPr>
      <w:r>
        <w:rPr>
          <w:i/>
          <w:color w:val="231F20"/>
          <w:sz w:val="20"/>
        </w:rPr>
        <w:t>Смысл</w:t>
      </w:r>
      <w:r>
        <w:rPr>
          <w:i/>
          <w:color w:val="231F20"/>
          <w:spacing w:val="-10"/>
          <w:sz w:val="20"/>
        </w:rPr>
        <w:t> </w:t>
      </w:r>
      <w:r>
        <w:rPr>
          <w:i/>
          <w:color w:val="231F20"/>
          <w:sz w:val="20"/>
        </w:rPr>
        <w:t>этого</w:t>
      </w:r>
      <w:r>
        <w:rPr>
          <w:i/>
          <w:color w:val="231F20"/>
          <w:spacing w:val="-10"/>
          <w:sz w:val="20"/>
        </w:rPr>
        <w:t> </w:t>
      </w:r>
      <w:r>
        <w:rPr>
          <w:i/>
          <w:color w:val="231F20"/>
          <w:sz w:val="20"/>
        </w:rPr>
        <w:t>упражнения</w:t>
      </w:r>
      <w:r>
        <w:rPr>
          <w:i/>
          <w:color w:val="231F20"/>
          <w:spacing w:val="-10"/>
          <w:sz w:val="20"/>
        </w:rPr>
        <w:t> </w:t>
      </w:r>
      <w:r>
        <w:rPr>
          <w:i/>
          <w:color w:val="231F20"/>
          <w:sz w:val="20"/>
        </w:rPr>
        <w:t>в</w:t>
      </w:r>
      <w:r>
        <w:rPr>
          <w:i/>
          <w:color w:val="231F20"/>
          <w:spacing w:val="-10"/>
          <w:sz w:val="20"/>
        </w:rPr>
        <w:t> </w:t>
      </w:r>
      <w:r>
        <w:rPr>
          <w:i/>
          <w:color w:val="231F20"/>
          <w:sz w:val="20"/>
        </w:rPr>
        <w:t>том,</w:t>
      </w:r>
      <w:r>
        <w:rPr>
          <w:i/>
          <w:color w:val="231F20"/>
          <w:spacing w:val="-10"/>
          <w:sz w:val="20"/>
        </w:rPr>
        <w:t> </w:t>
      </w:r>
      <w:r>
        <w:rPr>
          <w:i/>
          <w:color w:val="231F20"/>
          <w:sz w:val="20"/>
        </w:rPr>
        <w:t>чтобы</w:t>
      </w:r>
      <w:r>
        <w:rPr>
          <w:i/>
          <w:color w:val="231F20"/>
          <w:spacing w:val="-10"/>
          <w:sz w:val="20"/>
        </w:rPr>
        <w:t> </w:t>
      </w:r>
      <w:r>
        <w:rPr>
          <w:i/>
          <w:color w:val="231F20"/>
          <w:sz w:val="20"/>
        </w:rPr>
        <w:t>научиться</w:t>
      </w:r>
      <w:r>
        <w:rPr>
          <w:i/>
          <w:color w:val="231F20"/>
          <w:spacing w:val="-10"/>
          <w:sz w:val="20"/>
        </w:rPr>
        <w:t> </w:t>
      </w:r>
      <w:r>
        <w:rPr>
          <w:i/>
          <w:color w:val="231F20"/>
          <w:sz w:val="20"/>
        </w:rPr>
        <w:t>что-то</w:t>
      </w:r>
      <w:r>
        <w:rPr>
          <w:i/>
          <w:color w:val="231F20"/>
          <w:spacing w:val="-10"/>
          <w:sz w:val="20"/>
        </w:rPr>
        <w:t> </w:t>
      </w:r>
      <w:r>
        <w:rPr>
          <w:i/>
          <w:color w:val="231F20"/>
          <w:sz w:val="20"/>
        </w:rPr>
        <w:t>отдавать</w:t>
      </w:r>
      <w:r>
        <w:rPr>
          <w:i/>
          <w:color w:val="231F20"/>
          <w:spacing w:val="-10"/>
          <w:sz w:val="20"/>
        </w:rPr>
        <w:t> </w:t>
      </w:r>
      <w:r>
        <w:rPr>
          <w:i/>
          <w:color w:val="231F20"/>
          <w:sz w:val="20"/>
        </w:rPr>
        <w:t>другим.</w:t>
      </w:r>
      <w:r>
        <w:rPr>
          <w:i/>
          <w:color w:val="231F20"/>
          <w:spacing w:val="-10"/>
          <w:sz w:val="20"/>
        </w:rPr>
        <w:t> </w:t>
      </w:r>
      <w:r>
        <w:rPr>
          <w:i/>
          <w:color w:val="231F20"/>
          <w:sz w:val="20"/>
        </w:rPr>
        <w:t>Вы не</w:t>
      </w:r>
      <w:r>
        <w:rPr>
          <w:i/>
          <w:color w:val="231F20"/>
          <w:spacing w:val="-7"/>
          <w:sz w:val="20"/>
        </w:rPr>
        <w:t> </w:t>
      </w:r>
      <w:r>
        <w:rPr>
          <w:i/>
          <w:color w:val="231F20"/>
          <w:sz w:val="20"/>
        </w:rPr>
        <w:t>можете</w:t>
      </w:r>
      <w:r>
        <w:rPr>
          <w:i/>
          <w:color w:val="231F20"/>
          <w:spacing w:val="-7"/>
          <w:sz w:val="20"/>
        </w:rPr>
        <w:t> </w:t>
      </w:r>
      <w:r>
        <w:rPr>
          <w:i/>
          <w:color w:val="231F20"/>
          <w:sz w:val="20"/>
        </w:rPr>
        <w:t>забрать</w:t>
      </w:r>
      <w:r>
        <w:rPr>
          <w:i/>
          <w:color w:val="231F20"/>
          <w:spacing w:val="-7"/>
          <w:sz w:val="20"/>
        </w:rPr>
        <w:t> </w:t>
      </w:r>
      <w:r>
        <w:rPr>
          <w:i/>
          <w:color w:val="231F20"/>
          <w:sz w:val="20"/>
        </w:rPr>
        <w:t>нужный</w:t>
      </w:r>
      <w:r>
        <w:rPr>
          <w:i/>
          <w:color w:val="231F20"/>
          <w:spacing w:val="-7"/>
          <w:sz w:val="20"/>
        </w:rPr>
        <w:t> </w:t>
      </w:r>
      <w:r>
        <w:rPr>
          <w:i/>
          <w:color w:val="231F20"/>
          <w:sz w:val="20"/>
        </w:rPr>
        <w:t>вам</w:t>
      </w:r>
      <w:r>
        <w:rPr>
          <w:i/>
          <w:color w:val="231F20"/>
          <w:spacing w:val="-7"/>
          <w:sz w:val="20"/>
        </w:rPr>
        <w:t> </w:t>
      </w:r>
      <w:r>
        <w:rPr>
          <w:i/>
          <w:color w:val="231F20"/>
          <w:sz w:val="20"/>
        </w:rPr>
        <w:t>фрагмент</w:t>
      </w:r>
      <w:r>
        <w:rPr>
          <w:i/>
          <w:color w:val="231F20"/>
          <w:spacing w:val="-7"/>
          <w:sz w:val="20"/>
        </w:rPr>
        <w:t> </w:t>
      </w:r>
      <w:r>
        <w:rPr>
          <w:i/>
          <w:color w:val="231F20"/>
          <w:sz w:val="20"/>
        </w:rPr>
        <w:t>круга</w:t>
      </w:r>
      <w:r>
        <w:rPr>
          <w:i/>
          <w:color w:val="231F20"/>
          <w:spacing w:val="-7"/>
          <w:sz w:val="20"/>
        </w:rPr>
        <w:t> </w:t>
      </w:r>
      <w:r>
        <w:rPr>
          <w:i/>
          <w:color w:val="231F20"/>
          <w:sz w:val="20"/>
        </w:rPr>
        <w:t>у</w:t>
      </w:r>
      <w:r>
        <w:rPr>
          <w:i/>
          <w:color w:val="231F20"/>
          <w:spacing w:val="-7"/>
          <w:sz w:val="20"/>
        </w:rPr>
        <w:t> </w:t>
      </w:r>
      <w:r>
        <w:rPr>
          <w:i/>
          <w:color w:val="231F20"/>
          <w:sz w:val="20"/>
        </w:rPr>
        <w:t>другого</w:t>
      </w:r>
      <w:r>
        <w:rPr>
          <w:i/>
          <w:color w:val="231F20"/>
          <w:spacing w:val="-7"/>
          <w:sz w:val="20"/>
        </w:rPr>
        <w:t> </w:t>
      </w:r>
      <w:r>
        <w:rPr>
          <w:i/>
          <w:color w:val="231F20"/>
          <w:sz w:val="20"/>
        </w:rPr>
        <w:t>участника,</w:t>
      </w:r>
      <w:r>
        <w:rPr>
          <w:i/>
          <w:color w:val="231F20"/>
          <w:spacing w:val="-7"/>
          <w:sz w:val="20"/>
        </w:rPr>
        <w:t> </w:t>
      </w:r>
      <w:r>
        <w:rPr>
          <w:i/>
          <w:color w:val="231F20"/>
          <w:sz w:val="20"/>
        </w:rPr>
        <w:t>но</w:t>
      </w:r>
      <w:r>
        <w:rPr>
          <w:i/>
          <w:color w:val="231F20"/>
          <w:spacing w:val="-7"/>
          <w:sz w:val="20"/>
        </w:rPr>
        <w:t> </w:t>
      </w:r>
      <w:r>
        <w:rPr>
          <w:i/>
          <w:color w:val="231F20"/>
          <w:sz w:val="20"/>
        </w:rPr>
        <w:t>може- те</w:t>
      </w:r>
      <w:r>
        <w:rPr>
          <w:i/>
          <w:color w:val="231F20"/>
          <w:spacing w:val="-1"/>
          <w:sz w:val="20"/>
        </w:rPr>
        <w:t> </w:t>
      </w:r>
      <w:r>
        <w:rPr>
          <w:i/>
          <w:color w:val="231F20"/>
          <w:sz w:val="20"/>
        </w:rPr>
        <w:t>отдать</w:t>
      </w:r>
      <w:r>
        <w:rPr>
          <w:i/>
          <w:color w:val="231F20"/>
          <w:spacing w:val="-1"/>
          <w:sz w:val="20"/>
        </w:rPr>
        <w:t> </w:t>
      </w:r>
      <w:r>
        <w:rPr>
          <w:i/>
          <w:color w:val="231F20"/>
          <w:sz w:val="20"/>
        </w:rPr>
        <w:t>части</w:t>
      </w:r>
      <w:r>
        <w:rPr>
          <w:i/>
          <w:color w:val="231F20"/>
          <w:spacing w:val="-1"/>
          <w:sz w:val="20"/>
        </w:rPr>
        <w:t> </w:t>
      </w:r>
      <w:r>
        <w:rPr>
          <w:i/>
          <w:color w:val="231F20"/>
          <w:sz w:val="20"/>
        </w:rPr>
        <w:t>круга,</w:t>
      </w:r>
      <w:r>
        <w:rPr>
          <w:i/>
          <w:color w:val="231F20"/>
          <w:spacing w:val="-1"/>
          <w:sz w:val="20"/>
        </w:rPr>
        <w:t> </w:t>
      </w:r>
      <w:r>
        <w:rPr>
          <w:i/>
          <w:color w:val="231F20"/>
          <w:sz w:val="20"/>
        </w:rPr>
        <w:t>которые</w:t>
      </w:r>
      <w:r>
        <w:rPr>
          <w:i/>
          <w:color w:val="231F20"/>
          <w:spacing w:val="-1"/>
          <w:sz w:val="20"/>
        </w:rPr>
        <w:t> </w:t>
      </w:r>
      <w:r>
        <w:rPr>
          <w:i/>
          <w:color w:val="231F20"/>
          <w:sz w:val="20"/>
        </w:rPr>
        <w:t>есть</w:t>
      </w:r>
      <w:r>
        <w:rPr>
          <w:i/>
          <w:color w:val="231F20"/>
          <w:spacing w:val="-1"/>
          <w:sz w:val="20"/>
        </w:rPr>
        <w:t> </w:t>
      </w:r>
      <w:r>
        <w:rPr>
          <w:i/>
          <w:color w:val="231F20"/>
          <w:sz w:val="20"/>
        </w:rPr>
        <w:t>в</w:t>
      </w:r>
      <w:r>
        <w:rPr>
          <w:i/>
          <w:color w:val="231F20"/>
          <w:spacing w:val="-1"/>
          <w:sz w:val="20"/>
        </w:rPr>
        <w:t> </w:t>
      </w:r>
      <w:r>
        <w:rPr>
          <w:i/>
          <w:color w:val="231F20"/>
          <w:sz w:val="20"/>
        </w:rPr>
        <w:t>вашем</w:t>
      </w:r>
      <w:r>
        <w:rPr>
          <w:i/>
          <w:color w:val="231F20"/>
          <w:spacing w:val="-1"/>
          <w:sz w:val="20"/>
        </w:rPr>
        <w:t> </w:t>
      </w:r>
      <w:r>
        <w:rPr>
          <w:i/>
          <w:color w:val="231F20"/>
          <w:sz w:val="20"/>
        </w:rPr>
        <w:t>конверте,</w:t>
      </w:r>
      <w:r>
        <w:rPr>
          <w:i/>
          <w:color w:val="231F20"/>
          <w:spacing w:val="-1"/>
          <w:sz w:val="20"/>
        </w:rPr>
        <w:t> </w:t>
      </w:r>
      <w:r>
        <w:rPr>
          <w:i/>
          <w:color w:val="231F20"/>
          <w:sz w:val="20"/>
        </w:rPr>
        <w:t>другим</w:t>
      </w:r>
      <w:r>
        <w:rPr>
          <w:i/>
          <w:color w:val="231F20"/>
          <w:spacing w:val="-1"/>
          <w:sz w:val="20"/>
        </w:rPr>
        <w:t> </w:t>
      </w:r>
      <w:r>
        <w:rPr>
          <w:i/>
          <w:color w:val="231F20"/>
          <w:sz w:val="20"/>
        </w:rPr>
        <w:t>участникам,</w:t>
      </w:r>
      <w:r>
        <w:rPr>
          <w:i/>
          <w:color w:val="231F20"/>
          <w:spacing w:val="-1"/>
          <w:sz w:val="20"/>
        </w:rPr>
        <w:t> </w:t>
      </w:r>
      <w:r>
        <w:rPr>
          <w:i/>
          <w:color w:val="231F20"/>
          <w:sz w:val="20"/>
        </w:rPr>
        <w:t>а они, в свою очередь, могут отдать те части круга, которые нужны вам.</w:t>
      </w:r>
    </w:p>
    <w:p>
      <w:pPr>
        <w:pStyle w:val="ListParagraph"/>
        <w:numPr>
          <w:ilvl w:val="0"/>
          <w:numId w:val="309"/>
        </w:numPr>
        <w:tabs>
          <w:tab w:pos="425" w:val="left" w:leader="none"/>
        </w:tabs>
        <w:spacing w:line="232" w:lineRule="auto" w:before="4" w:after="0"/>
        <w:ind w:left="425" w:right="139" w:hanging="284"/>
        <w:jc w:val="both"/>
        <w:rPr>
          <w:i/>
          <w:sz w:val="20"/>
        </w:rPr>
      </w:pPr>
      <w:r>
        <w:rPr>
          <w:i/>
          <w:color w:val="231F20"/>
          <w:sz w:val="20"/>
        </w:rPr>
        <w:t>Нельзя ставить фрагмент круга в мозаику, которую собирает другой участник группы, вы можете только молча положить фрагмент на стол перед ним.</w:t>
      </w:r>
    </w:p>
    <w:p>
      <w:pPr>
        <w:pStyle w:val="ListParagraph"/>
        <w:numPr>
          <w:ilvl w:val="0"/>
          <w:numId w:val="309"/>
        </w:numPr>
        <w:tabs>
          <w:tab w:pos="425" w:val="left" w:leader="none"/>
        </w:tabs>
        <w:spacing w:line="232" w:lineRule="auto" w:before="1" w:after="0"/>
        <w:ind w:left="425" w:right="139" w:hanging="284"/>
        <w:jc w:val="both"/>
        <w:rPr>
          <w:i/>
          <w:sz w:val="20"/>
        </w:rPr>
      </w:pPr>
      <w:r>
        <w:rPr>
          <w:i/>
          <w:color w:val="231F20"/>
          <w:sz w:val="20"/>
        </w:rPr>
        <w:t>Теперь вы можете открыть свой конверт и выложить из него на стол (перед собой) то, что в нем окажется. Для выполнения работы вам потребуется 10 </w:t>
      </w:r>
      <w:r>
        <w:rPr>
          <w:i/>
          <w:color w:val="231F20"/>
          <w:spacing w:val="-2"/>
          <w:sz w:val="20"/>
        </w:rPr>
        <w:t>минут.</w:t>
      </w:r>
    </w:p>
    <w:p>
      <w:pPr>
        <w:spacing w:line="232" w:lineRule="auto" w:before="3"/>
        <w:ind w:left="141" w:right="139" w:firstLine="283"/>
        <w:jc w:val="both"/>
        <w:rPr>
          <w:i/>
          <w:sz w:val="20"/>
        </w:rPr>
      </w:pPr>
      <w:r>
        <w:rPr>
          <w:i/>
          <w:color w:val="231F20"/>
          <w:sz w:val="20"/>
        </w:rPr>
        <w:t>Не забудьте, что упражнение считается выполненным, если перед каждым участником группы на столе будет лежать полностью собранный круг. Если кто- то соберет свой круг быстрее других, оставшееся время он может потратить на то,</w:t>
      </w:r>
      <w:r>
        <w:rPr>
          <w:i/>
          <w:color w:val="231F20"/>
          <w:spacing w:val="-12"/>
          <w:sz w:val="20"/>
        </w:rPr>
        <w:t> </w:t>
      </w:r>
      <w:r>
        <w:rPr>
          <w:i/>
          <w:color w:val="231F20"/>
          <w:sz w:val="20"/>
        </w:rPr>
        <w:t>чтобы</w:t>
      </w:r>
      <w:r>
        <w:rPr>
          <w:i/>
          <w:color w:val="231F20"/>
          <w:spacing w:val="-12"/>
          <w:sz w:val="20"/>
        </w:rPr>
        <w:t> </w:t>
      </w:r>
      <w:r>
        <w:rPr>
          <w:i/>
          <w:color w:val="231F20"/>
          <w:sz w:val="20"/>
        </w:rPr>
        <w:t>подумать,</w:t>
      </w:r>
      <w:r>
        <w:rPr>
          <w:i/>
          <w:color w:val="231F20"/>
          <w:spacing w:val="-12"/>
          <w:sz w:val="20"/>
        </w:rPr>
        <w:t> </w:t>
      </w:r>
      <w:r>
        <w:rPr>
          <w:i/>
          <w:color w:val="231F20"/>
          <w:sz w:val="20"/>
        </w:rPr>
        <w:t>каким</w:t>
      </w:r>
      <w:r>
        <w:rPr>
          <w:i/>
          <w:color w:val="231F20"/>
          <w:spacing w:val="-12"/>
          <w:sz w:val="20"/>
        </w:rPr>
        <w:t> </w:t>
      </w:r>
      <w:r>
        <w:rPr>
          <w:i/>
          <w:color w:val="231F20"/>
          <w:sz w:val="20"/>
        </w:rPr>
        <w:t>еще</w:t>
      </w:r>
      <w:r>
        <w:rPr>
          <w:i/>
          <w:color w:val="231F20"/>
          <w:spacing w:val="-12"/>
          <w:sz w:val="20"/>
        </w:rPr>
        <w:t> </w:t>
      </w:r>
      <w:r>
        <w:rPr>
          <w:i/>
          <w:color w:val="231F20"/>
          <w:sz w:val="20"/>
        </w:rPr>
        <w:t>образом</w:t>
      </w:r>
      <w:r>
        <w:rPr>
          <w:i/>
          <w:color w:val="231F20"/>
          <w:spacing w:val="-12"/>
          <w:sz w:val="20"/>
        </w:rPr>
        <w:t> </w:t>
      </w:r>
      <w:r>
        <w:rPr>
          <w:i/>
          <w:color w:val="231F20"/>
          <w:sz w:val="20"/>
        </w:rPr>
        <w:t>можно</w:t>
      </w:r>
      <w:r>
        <w:rPr>
          <w:i/>
          <w:color w:val="231F20"/>
          <w:spacing w:val="-12"/>
          <w:sz w:val="20"/>
        </w:rPr>
        <w:t> </w:t>
      </w:r>
      <w:r>
        <w:rPr>
          <w:i/>
          <w:color w:val="231F20"/>
          <w:sz w:val="20"/>
        </w:rPr>
        <w:t>было</w:t>
      </w:r>
      <w:r>
        <w:rPr>
          <w:i/>
          <w:color w:val="231F20"/>
          <w:spacing w:val="-12"/>
          <w:sz w:val="20"/>
        </w:rPr>
        <w:t> </w:t>
      </w:r>
      <w:r>
        <w:rPr>
          <w:i/>
          <w:color w:val="231F20"/>
          <w:sz w:val="20"/>
        </w:rPr>
        <w:t>бы</w:t>
      </w:r>
      <w:r>
        <w:rPr>
          <w:i/>
          <w:color w:val="231F20"/>
          <w:spacing w:val="-12"/>
          <w:sz w:val="20"/>
        </w:rPr>
        <w:t> </w:t>
      </w:r>
      <w:r>
        <w:rPr>
          <w:i/>
          <w:color w:val="231F20"/>
          <w:sz w:val="20"/>
        </w:rPr>
        <w:t>собрать</w:t>
      </w:r>
      <w:r>
        <w:rPr>
          <w:i/>
          <w:color w:val="231F20"/>
          <w:spacing w:val="-12"/>
          <w:sz w:val="20"/>
        </w:rPr>
        <w:t> </w:t>
      </w:r>
      <w:r>
        <w:rPr>
          <w:i/>
          <w:color w:val="231F20"/>
          <w:sz w:val="20"/>
        </w:rPr>
        <w:t>все</w:t>
      </w:r>
      <w:r>
        <w:rPr>
          <w:i/>
          <w:color w:val="231F20"/>
          <w:spacing w:val="-12"/>
          <w:sz w:val="20"/>
        </w:rPr>
        <w:t> </w:t>
      </w:r>
      <w:r>
        <w:rPr>
          <w:i/>
          <w:color w:val="231F20"/>
          <w:sz w:val="20"/>
        </w:rPr>
        <w:t>круги,</w:t>
      </w:r>
      <w:r>
        <w:rPr>
          <w:i/>
          <w:color w:val="231F20"/>
          <w:spacing w:val="-12"/>
          <w:sz w:val="20"/>
        </w:rPr>
        <w:t> </w:t>
      </w:r>
      <w:r>
        <w:rPr>
          <w:i/>
          <w:color w:val="231F20"/>
          <w:sz w:val="20"/>
        </w:rPr>
        <w:t>быстро выполнив упражнение.</w:t>
      </w:r>
    </w:p>
    <w:p>
      <w:pPr>
        <w:pStyle w:val="BodyText"/>
        <w:spacing w:line="235" w:lineRule="auto" w:before="3"/>
      </w:pPr>
      <w:r>
        <w:rPr>
          <w:color w:val="231F20"/>
        </w:rPr>
        <w:t>Упражнение подходит для учащихся разного возраста. Авторы рекомендуют три уровня сложности: набор </w:t>
      </w:r>
      <w:r>
        <w:rPr>
          <w:i/>
          <w:color w:val="231F20"/>
        </w:rPr>
        <w:t>п</w:t>
      </w:r>
      <w:r>
        <w:rPr>
          <w:color w:val="231F20"/>
        </w:rPr>
        <w:t>ростейших кругов (рис. 1) для дошкольников, простых кругов (рис. 2) для детей 8–10 лет и набор усложненных кругов (рис. 3) для всех остальных – учащихся старших классов и взрослых.</w:t>
      </w:r>
    </w:p>
    <w:p>
      <w:pPr>
        <w:pStyle w:val="BodyText"/>
        <w:spacing w:before="11"/>
        <w:ind w:left="0" w:right="0" w:firstLine="0"/>
        <w:jc w:val="left"/>
        <w:rPr>
          <w:sz w:val="13"/>
        </w:rPr>
      </w:pPr>
      <w:r>
        <w:rPr>
          <w:sz w:val="13"/>
        </w:rPr>
        <w:drawing>
          <wp:anchor distT="0" distB="0" distL="0" distR="0" allowOverlap="1" layoutInCell="1" locked="0" behindDoc="1" simplePos="0" relativeHeight="487642112">
            <wp:simplePos x="0" y="0"/>
            <wp:positionH relativeFrom="page">
              <wp:posOffset>372141</wp:posOffset>
            </wp:positionH>
            <wp:positionV relativeFrom="paragraph">
              <wp:posOffset>126350</wp:posOffset>
            </wp:positionV>
            <wp:extent cx="1911205" cy="585216"/>
            <wp:effectExtent l="0" t="0" r="0" b="0"/>
            <wp:wrapTopAndBottom/>
            <wp:docPr id="171" name="Image 171"/>
            <wp:cNvGraphicFramePr>
              <a:graphicFrameLocks/>
            </wp:cNvGraphicFramePr>
            <a:graphic>
              <a:graphicData uri="http://schemas.openxmlformats.org/drawingml/2006/picture">
                <pic:pic>
                  <pic:nvPicPr>
                    <pic:cNvPr id="171" name="Image 171"/>
                    <pic:cNvPicPr/>
                  </pic:nvPicPr>
                  <pic:blipFill>
                    <a:blip r:embed="rId239" cstate="print"/>
                    <a:stretch>
                      <a:fillRect/>
                    </a:stretch>
                  </pic:blipFill>
                  <pic:spPr>
                    <a:xfrm>
                      <a:off x="0" y="0"/>
                      <a:ext cx="1911205" cy="585216"/>
                    </a:xfrm>
                    <a:prstGeom prst="rect">
                      <a:avLst/>
                    </a:prstGeom>
                  </pic:spPr>
                </pic:pic>
              </a:graphicData>
            </a:graphic>
          </wp:anchor>
        </w:drawing>
      </w:r>
      <w:r>
        <w:rPr>
          <w:sz w:val="13"/>
        </w:rPr>
        <w:drawing>
          <wp:anchor distT="0" distB="0" distL="0" distR="0" allowOverlap="1" layoutInCell="1" locked="0" behindDoc="1" simplePos="0" relativeHeight="487642624">
            <wp:simplePos x="0" y="0"/>
            <wp:positionH relativeFrom="page">
              <wp:posOffset>2480141</wp:posOffset>
            </wp:positionH>
            <wp:positionV relativeFrom="paragraph">
              <wp:posOffset>117395</wp:posOffset>
            </wp:positionV>
            <wp:extent cx="2309946" cy="560832"/>
            <wp:effectExtent l="0" t="0" r="0" b="0"/>
            <wp:wrapTopAndBottom/>
            <wp:docPr id="172" name="Image 172"/>
            <wp:cNvGraphicFramePr>
              <a:graphicFrameLocks/>
            </wp:cNvGraphicFramePr>
            <a:graphic>
              <a:graphicData uri="http://schemas.openxmlformats.org/drawingml/2006/picture">
                <pic:pic>
                  <pic:nvPicPr>
                    <pic:cNvPr id="172" name="Image 172"/>
                    <pic:cNvPicPr/>
                  </pic:nvPicPr>
                  <pic:blipFill>
                    <a:blip r:embed="rId240" cstate="print"/>
                    <a:stretch>
                      <a:fillRect/>
                    </a:stretch>
                  </pic:blipFill>
                  <pic:spPr>
                    <a:xfrm>
                      <a:off x="0" y="0"/>
                      <a:ext cx="2309946" cy="560832"/>
                    </a:xfrm>
                    <a:prstGeom prst="rect">
                      <a:avLst/>
                    </a:prstGeom>
                  </pic:spPr>
                </pic:pic>
              </a:graphicData>
            </a:graphic>
          </wp:anchor>
        </w:drawing>
      </w:r>
    </w:p>
    <w:p>
      <w:pPr>
        <w:tabs>
          <w:tab w:pos="5046" w:val="left" w:leader="none"/>
        </w:tabs>
        <w:spacing w:before="69"/>
        <w:ind w:left="1460" w:right="0" w:firstLine="0"/>
        <w:jc w:val="left"/>
        <w:rPr>
          <w:sz w:val="18"/>
        </w:rPr>
      </w:pPr>
      <w:r>
        <w:rPr>
          <w:color w:val="231F20"/>
          <w:sz w:val="18"/>
        </w:rPr>
        <w:t>Рис. </w:t>
      </w:r>
      <w:r>
        <w:rPr>
          <w:color w:val="231F20"/>
          <w:spacing w:val="-10"/>
          <w:sz w:val="18"/>
        </w:rPr>
        <w:t>1</w:t>
      </w:r>
      <w:r>
        <w:rPr>
          <w:color w:val="231F20"/>
          <w:sz w:val="18"/>
        </w:rPr>
        <w:tab/>
        <w:t>Рис. </w:t>
      </w:r>
      <w:r>
        <w:rPr>
          <w:color w:val="231F20"/>
          <w:spacing w:val="-10"/>
          <w:sz w:val="18"/>
        </w:rPr>
        <w:t>2</w:t>
      </w:r>
    </w:p>
    <w:p>
      <w:pPr>
        <w:pStyle w:val="BodyText"/>
        <w:spacing w:before="1"/>
        <w:ind w:left="0" w:right="0" w:firstLine="0"/>
        <w:jc w:val="left"/>
        <w:rPr>
          <w:sz w:val="11"/>
        </w:rPr>
      </w:pPr>
      <w:r>
        <w:rPr>
          <w:sz w:val="11"/>
        </w:rPr>
        <w:drawing>
          <wp:anchor distT="0" distB="0" distL="0" distR="0" allowOverlap="1" layoutInCell="1" locked="0" behindDoc="1" simplePos="0" relativeHeight="487643136">
            <wp:simplePos x="0" y="0"/>
            <wp:positionH relativeFrom="page">
              <wp:posOffset>1650200</wp:posOffset>
            </wp:positionH>
            <wp:positionV relativeFrom="paragraph">
              <wp:posOffset>96607</wp:posOffset>
            </wp:positionV>
            <wp:extent cx="1987403" cy="1344168"/>
            <wp:effectExtent l="0" t="0" r="0" b="0"/>
            <wp:wrapTopAndBottom/>
            <wp:docPr id="173" name="Image 173"/>
            <wp:cNvGraphicFramePr>
              <a:graphicFrameLocks/>
            </wp:cNvGraphicFramePr>
            <a:graphic>
              <a:graphicData uri="http://schemas.openxmlformats.org/drawingml/2006/picture">
                <pic:pic>
                  <pic:nvPicPr>
                    <pic:cNvPr id="173" name="Image 173"/>
                    <pic:cNvPicPr/>
                  </pic:nvPicPr>
                  <pic:blipFill>
                    <a:blip r:embed="rId241" cstate="print"/>
                    <a:stretch>
                      <a:fillRect/>
                    </a:stretch>
                  </pic:blipFill>
                  <pic:spPr>
                    <a:xfrm>
                      <a:off x="0" y="0"/>
                      <a:ext cx="1987403" cy="1344168"/>
                    </a:xfrm>
                    <a:prstGeom prst="rect">
                      <a:avLst/>
                    </a:prstGeom>
                  </pic:spPr>
                </pic:pic>
              </a:graphicData>
            </a:graphic>
          </wp:anchor>
        </w:drawing>
      </w:r>
    </w:p>
    <w:p>
      <w:pPr>
        <w:spacing w:before="124"/>
        <w:ind w:left="303" w:right="303" w:firstLine="0"/>
        <w:jc w:val="center"/>
        <w:rPr>
          <w:sz w:val="18"/>
        </w:rPr>
      </w:pPr>
      <w:r>
        <w:rPr>
          <w:color w:val="231F20"/>
          <w:sz w:val="18"/>
        </w:rPr>
        <w:t>Рис. </w:t>
      </w:r>
      <w:r>
        <w:rPr>
          <w:color w:val="231F20"/>
          <w:spacing w:val="-10"/>
          <w:sz w:val="18"/>
        </w:rPr>
        <w:t>3</w:t>
      </w:r>
    </w:p>
    <w:p>
      <w:pPr>
        <w:spacing w:after="0"/>
        <w:jc w:val="center"/>
        <w:rPr>
          <w:sz w:val="18"/>
        </w:rPr>
        <w:sectPr>
          <w:pgSz w:w="8400" w:h="11910"/>
          <w:pgMar w:header="0" w:footer="530" w:top="400" w:bottom="740" w:left="425" w:right="425"/>
        </w:sectPr>
      </w:pPr>
    </w:p>
    <w:p>
      <w:pPr>
        <w:pStyle w:val="ListParagraph"/>
        <w:numPr>
          <w:ilvl w:val="1"/>
          <w:numId w:val="264"/>
        </w:numPr>
        <w:tabs>
          <w:tab w:pos="455" w:val="left" w:leader="none"/>
        </w:tabs>
        <w:spacing w:line="240" w:lineRule="auto" w:before="80" w:after="0"/>
        <w:ind w:left="455" w:right="0" w:hanging="314"/>
        <w:jc w:val="left"/>
        <w:rPr>
          <w:rFonts w:ascii="Georgia" w:hAnsi="Georgia"/>
          <w:color w:val="231F20"/>
          <w:sz w:val="18"/>
        </w:rPr>
      </w:pPr>
      <w:r>
        <w:rPr>
          <w:rFonts w:ascii="Georgia" w:hAnsi="Georgia"/>
          <w:color w:val="231F20"/>
          <w:sz w:val="18"/>
        </w:rPr>
        <w:t>Организация</w:t>
      </w:r>
      <w:r>
        <w:rPr>
          <w:rFonts w:ascii="Georgia" w:hAnsi="Georgia"/>
          <w:color w:val="231F20"/>
          <w:spacing w:val="11"/>
          <w:sz w:val="18"/>
        </w:rPr>
        <w:t> </w:t>
      </w:r>
      <w:r>
        <w:rPr>
          <w:rFonts w:ascii="Georgia" w:hAnsi="Georgia"/>
          <w:color w:val="231F20"/>
          <w:sz w:val="18"/>
        </w:rPr>
        <w:t>групповой</w:t>
      </w:r>
      <w:r>
        <w:rPr>
          <w:rFonts w:ascii="Georgia" w:hAnsi="Georgia"/>
          <w:color w:val="231F20"/>
          <w:spacing w:val="12"/>
          <w:sz w:val="18"/>
        </w:rPr>
        <w:t> </w:t>
      </w:r>
      <w:r>
        <w:rPr>
          <w:rFonts w:ascii="Georgia" w:hAnsi="Georgia"/>
          <w:color w:val="231F20"/>
          <w:sz w:val="18"/>
        </w:rPr>
        <w:t>учебной</w:t>
      </w:r>
      <w:r>
        <w:rPr>
          <w:rFonts w:ascii="Georgia" w:hAnsi="Georgia"/>
          <w:color w:val="231F20"/>
          <w:spacing w:val="12"/>
          <w:sz w:val="18"/>
        </w:rPr>
        <w:t> </w:t>
      </w:r>
      <w:r>
        <w:rPr>
          <w:rFonts w:ascii="Georgia" w:hAnsi="Georgia"/>
          <w:color w:val="231F20"/>
          <w:sz w:val="18"/>
        </w:rPr>
        <w:t>работы</w:t>
      </w:r>
      <w:r>
        <w:rPr>
          <w:rFonts w:ascii="Georgia" w:hAnsi="Georgia"/>
          <w:color w:val="231F20"/>
          <w:spacing w:val="12"/>
          <w:sz w:val="18"/>
        </w:rPr>
        <w:t> </w:t>
      </w:r>
      <w:r>
        <w:rPr>
          <w:rFonts w:ascii="Georgia" w:hAnsi="Georgia"/>
          <w:color w:val="231F20"/>
          <w:sz w:val="18"/>
        </w:rPr>
        <w:t>учащихся</w:t>
      </w:r>
      <w:r>
        <w:rPr>
          <w:rFonts w:ascii="Georgia" w:hAnsi="Georgia"/>
          <w:color w:val="231F20"/>
          <w:spacing w:val="11"/>
          <w:sz w:val="18"/>
        </w:rPr>
        <w:t> </w:t>
      </w:r>
      <w:r>
        <w:rPr>
          <w:rFonts w:ascii="Georgia" w:hAnsi="Georgia"/>
          <w:color w:val="231F20"/>
          <w:sz w:val="18"/>
        </w:rPr>
        <w:t>в</w:t>
      </w:r>
      <w:r>
        <w:rPr>
          <w:rFonts w:ascii="Georgia" w:hAnsi="Georgia"/>
          <w:color w:val="231F20"/>
          <w:spacing w:val="12"/>
          <w:sz w:val="18"/>
        </w:rPr>
        <w:t> </w:t>
      </w:r>
      <w:r>
        <w:rPr>
          <w:rFonts w:ascii="Georgia" w:hAnsi="Georgia"/>
          <w:color w:val="231F20"/>
          <w:sz w:val="18"/>
        </w:rPr>
        <w:t>поликультурном</w:t>
      </w:r>
      <w:r>
        <w:rPr>
          <w:rFonts w:ascii="Georgia" w:hAnsi="Georgia"/>
          <w:color w:val="231F20"/>
          <w:spacing w:val="12"/>
          <w:sz w:val="18"/>
        </w:rPr>
        <w:t> </w:t>
      </w:r>
      <w:r>
        <w:rPr>
          <w:rFonts w:ascii="Georgia" w:hAnsi="Georgia"/>
          <w:color w:val="231F20"/>
          <w:spacing w:val="-2"/>
          <w:sz w:val="18"/>
        </w:rPr>
        <w:t>классе...</w:t>
      </w:r>
    </w:p>
    <w:p>
      <w:pPr>
        <w:pStyle w:val="BodyText"/>
        <w:spacing w:line="235" w:lineRule="auto" w:before="116"/>
        <w:jc w:val="right"/>
      </w:pPr>
      <w:r>
        <w:rPr>
          <w:color w:val="231F20"/>
        </w:rPr>
        <w:t>Набор простейших кругов рассчитан на занятие с группами детей, в каждой из которых</w:t>
      </w:r>
      <w:r>
        <w:rPr>
          <w:color w:val="231F20"/>
          <w:spacing w:val="-3"/>
        </w:rPr>
        <w:t> </w:t>
      </w:r>
      <w:r>
        <w:rPr>
          <w:color w:val="231F20"/>
        </w:rPr>
        <w:t>по</w:t>
      </w:r>
      <w:r>
        <w:rPr>
          <w:color w:val="231F20"/>
          <w:spacing w:val="-3"/>
        </w:rPr>
        <w:t> </w:t>
      </w:r>
      <w:r>
        <w:rPr>
          <w:color w:val="231F20"/>
        </w:rPr>
        <w:t>три</w:t>
      </w:r>
      <w:r>
        <w:rPr>
          <w:color w:val="231F20"/>
          <w:spacing w:val="-3"/>
        </w:rPr>
        <w:t> </w:t>
      </w:r>
      <w:r>
        <w:rPr>
          <w:color w:val="231F20"/>
        </w:rPr>
        <w:t>ребенка.</w:t>
      </w:r>
      <w:r>
        <w:rPr>
          <w:color w:val="231F20"/>
          <w:spacing w:val="-3"/>
        </w:rPr>
        <w:t> </w:t>
      </w:r>
      <w:r>
        <w:rPr>
          <w:color w:val="231F20"/>
        </w:rPr>
        <w:t>Учитель</w:t>
      </w:r>
      <w:r>
        <w:rPr>
          <w:color w:val="231F20"/>
          <w:spacing w:val="-3"/>
        </w:rPr>
        <w:t> </w:t>
      </w:r>
      <w:r>
        <w:rPr>
          <w:color w:val="231F20"/>
        </w:rPr>
        <w:t>раскладывает</w:t>
      </w:r>
      <w:r>
        <w:rPr>
          <w:color w:val="231F20"/>
          <w:spacing w:val="-3"/>
        </w:rPr>
        <w:t> </w:t>
      </w:r>
      <w:r>
        <w:rPr>
          <w:color w:val="231F20"/>
        </w:rPr>
        <w:t>части</w:t>
      </w:r>
      <w:r>
        <w:rPr>
          <w:color w:val="231F20"/>
          <w:spacing w:val="-3"/>
        </w:rPr>
        <w:t> </w:t>
      </w:r>
      <w:r>
        <w:rPr>
          <w:color w:val="231F20"/>
        </w:rPr>
        <w:t>кругов</w:t>
      </w:r>
      <w:r>
        <w:rPr>
          <w:color w:val="231F20"/>
          <w:spacing w:val="-3"/>
        </w:rPr>
        <w:t> </w:t>
      </w:r>
      <w:r>
        <w:rPr>
          <w:color w:val="231F20"/>
        </w:rPr>
        <w:t>по</w:t>
      </w:r>
      <w:r>
        <w:rPr>
          <w:color w:val="231F20"/>
          <w:spacing w:val="-3"/>
        </w:rPr>
        <w:t> </w:t>
      </w:r>
      <w:r>
        <w:rPr>
          <w:color w:val="231F20"/>
        </w:rPr>
        <w:t>конвертам</w:t>
      </w:r>
      <w:r>
        <w:rPr>
          <w:color w:val="231F20"/>
          <w:spacing w:val="-3"/>
        </w:rPr>
        <w:t> </w:t>
      </w:r>
      <w:r>
        <w:rPr>
          <w:color w:val="231F20"/>
        </w:rPr>
        <w:t>и</w:t>
      </w:r>
      <w:r>
        <w:rPr>
          <w:color w:val="231F20"/>
          <w:spacing w:val="-3"/>
        </w:rPr>
        <w:t> </w:t>
      </w:r>
      <w:r>
        <w:rPr>
          <w:color w:val="231F20"/>
        </w:rPr>
        <w:t>раздает их</w:t>
      </w:r>
      <w:r>
        <w:rPr>
          <w:color w:val="231F20"/>
          <w:spacing w:val="-11"/>
        </w:rPr>
        <w:t> </w:t>
      </w:r>
      <w:r>
        <w:rPr>
          <w:color w:val="231F20"/>
        </w:rPr>
        <w:t>каждому.</w:t>
      </w:r>
      <w:r>
        <w:rPr>
          <w:color w:val="231F20"/>
          <w:spacing w:val="-11"/>
        </w:rPr>
        <w:t> </w:t>
      </w:r>
      <w:r>
        <w:rPr>
          <w:color w:val="231F20"/>
        </w:rPr>
        <w:t>На</w:t>
      </w:r>
      <w:r>
        <w:rPr>
          <w:color w:val="231F20"/>
          <w:spacing w:val="-11"/>
        </w:rPr>
        <w:t> </w:t>
      </w:r>
      <w:r>
        <w:rPr>
          <w:color w:val="231F20"/>
        </w:rPr>
        <w:t>рисунке</w:t>
      </w:r>
      <w:r>
        <w:rPr>
          <w:color w:val="231F20"/>
          <w:spacing w:val="-11"/>
        </w:rPr>
        <w:t> </w:t>
      </w:r>
      <w:r>
        <w:rPr>
          <w:color w:val="231F20"/>
        </w:rPr>
        <w:t>1</w:t>
      </w:r>
      <w:r>
        <w:rPr>
          <w:color w:val="231F20"/>
          <w:spacing w:val="-11"/>
        </w:rPr>
        <w:t> </w:t>
      </w:r>
      <w:r>
        <w:rPr>
          <w:color w:val="231F20"/>
        </w:rPr>
        <w:t>показаны</w:t>
      </w:r>
      <w:r>
        <w:rPr>
          <w:color w:val="231F20"/>
          <w:spacing w:val="-11"/>
        </w:rPr>
        <w:t> </w:t>
      </w:r>
      <w:r>
        <w:rPr>
          <w:color w:val="231F20"/>
        </w:rPr>
        <w:t>возможные</w:t>
      </w:r>
      <w:r>
        <w:rPr>
          <w:color w:val="231F20"/>
          <w:spacing w:val="-11"/>
        </w:rPr>
        <w:t> </w:t>
      </w:r>
      <w:r>
        <w:rPr>
          <w:color w:val="231F20"/>
        </w:rPr>
        <w:t>варианты</w:t>
      </w:r>
      <w:r>
        <w:rPr>
          <w:color w:val="231F20"/>
          <w:spacing w:val="-11"/>
        </w:rPr>
        <w:t> </w:t>
      </w:r>
      <w:r>
        <w:rPr>
          <w:color w:val="231F20"/>
        </w:rPr>
        <w:t>правильной</w:t>
      </w:r>
      <w:r>
        <w:rPr>
          <w:color w:val="231F20"/>
          <w:spacing w:val="-11"/>
        </w:rPr>
        <w:t> </w:t>
      </w:r>
      <w:r>
        <w:rPr>
          <w:color w:val="231F20"/>
        </w:rPr>
        <w:t>сборки</w:t>
      </w:r>
      <w:r>
        <w:rPr>
          <w:color w:val="231F20"/>
          <w:spacing w:val="-11"/>
        </w:rPr>
        <w:t> </w:t>
      </w:r>
      <w:r>
        <w:rPr>
          <w:color w:val="231F20"/>
        </w:rPr>
        <w:t>кругов. Упражнение с простыми кругами (рис. 2) предназначено для работы в группах по четыре</w:t>
      </w:r>
      <w:r>
        <w:rPr>
          <w:color w:val="231F20"/>
          <w:spacing w:val="-9"/>
        </w:rPr>
        <w:t> </w:t>
      </w:r>
      <w:r>
        <w:rPr>
          <w:color w:val="231F20"/>
        </w:rPr>
        <w:t>человека.</w:t>
      </w:r>
      <w:r>
        <w:rPr>
          <w:color w:val="231F20"/>
          <w:spacing w:val="-9"/>
        </w:rPr>
        <w:t> </w:t>
      </w:r>
      <w:r>
        <w:rPr>
          <w:color w:val="231F20"/>
        </w:rPr>
        <w:t>Если</w:t>
      </w:r>
      <w:r>
        <w:rPr>
          <w:color w:val="231F20"/>
          <w:spacing w:val="-9"/>
        </w:rPr>
        <w:t> </w:t>
      </w:r>
      <w:r>
        <w:rPr>
          <w:color w:val="231F20"/>
        </w:rPr>
        <w:t>какая-то</w:t>
      </w:r>
      <w:r>
        <w:rPr>
          <w:color w:val="231F20"/>
          <w:spacing w:val="-9"/>
        </w:rPr>
        <w:t> </w:t>
      </w:r>
      <w:r>
        <w:rPr>
          <w:color w:val="231F20"/>
        </w:rPr>
        <w:t>группа</w:t>
      </w:r>
      <w:r>
        <w:rPr>
          <w:color w:val="231F20"/>
          <w:spacing w:val="-9"/>
        </w:rPr>
        <w:t> </w:t>
      </w:r>
      <w:r>
        <w:rPr>
          <w:color w:val="231F20"/>
        </w:rPr>
        <w:t>собирает</w:t>
      </w:r>
      <w:r>
        <w:rPr>
          <w:color w:val="231F20"/>
          <w:spacing w:val="-9"/>
        </w:rPr>
        <w:t> </w:t>
      </w:r>
      <w:r>
        <w:rPr>
          <w:color w:val="231F20"/>
        </w:rPr>
        <w:t>круги</w:t>
      </w:r>
      <w:r>
        <w:rPr>
          <w:color w:val="231F20"/>
          <w:spacing w:val="-9"/>
        </w:rPr>
        <w:t> </w:t>
      </w:r>
      <w:r>
        <w:rPr>
          <w:color w:val="231F20"/>
        </w:rPr>
        <w:t>быстрее</w:t>
      </w:r>
      <w:r>
        <w:rPr>
          <w:color w:val="231F20"/>
          <w:spacing w:val="-9"/>
        </w:rPr>
        <w:t> </w:t>
      </w:r>
      <w:r>
        <w:rPr>
          <w:color w:val="231F20"/>
        </w:rPr>
        <w:t>других,</w:t>
      </w:r>
      <w:r>
        <w:rPr>
          <w:color w:val="231F20"/>
          <w:spacing w:val="-9"/>
        </w:rPr>
        <w:t> </w:t>
      </w:r>
      <w:r>
        <w:rPr>
          <w:color w:val="231F20"/>
        </w:rPr>
        <w:t>можно</w:t>
      </w:r>
      <w:r>
        <w:rPr>
          <w:color w:val="231F20"/>
          <w:spacing w:val="-9"/>
        </w:rPr>
        <w:t> </w:t>
      </w:r>
      <w:r>
        <w:rPr>
          <w:color w:val="231F20"/>
        </w:rPr>
        <w:t>задать им</w:t>
      </w:r>
      <w:r>
        <w:rPr>
          <w:color w:val="231F20"/>
          <w:spacing w:val="-3"/>
        </w:rPr>
        <w:t> </w:t>
      </w:r>
      <w:r>
        <w:rPr>
          <w:color w:val="231F20"/>
        </w:rPr>
        <w:t>вопрос:</w:t>
      </w:r>
      <w:r>
        <w:rPr>
          <w:color w:val="231F20"/>
          <w:spacing w:val="-2"/>
        </w:rPr>
        <w:t> </w:t>
      </w:r>
      <w:r>
        <w:rPr>
          <w:color w:val="231F20"/>
        </w:rPr>
        <w:t>«А</w:t>
      </w:r>
      <w:r>
        <w:rPr>
          <w:color w:val="231F20"/>
          <w:spacing w:val="-3"/>
        </w:rPr>
        <w:t> </w:t>
      </w:r>
      <w:r>
        <w:rPr>
          <w:color w:val="231F20"/>
        </w:rPr>
        <w:t>сколько</w:t>
      </w:r>
      <w:r>
        <w:rPr>
          <w:color w:val="231F20"/>
          <w:spacing w:val="-2"/>
        </w:rPr>
        <w:t> </w:t>
      </w:r>
      <w:r>
        <w:rPr>
          <w:color w:val="231F20"/>
        </w:rPr>
        <w:t>еще</w:t>
      </w:r>
      <w:r>
        <w:rPr>
          <w:color w:val="231F20"/>
          <w:spacing w:val="-3"/>
        </w:rPr>
        <w:t> </w:t>
      </w:r>
      <w:r>
        <w:rPr>
          <w:color w:val="231F20"/>
        </w:rPr>
        <w:t>есть</w:t>
      </w:r>
      <w:r>
        <w:rPr>
          <w:color w:val="231F20"/>
          <w:spacing w:val="-2"/>
        </w:rPr>
        <w:t> </w:t>
      </w:r>
      <w:r>
        <w:rPr>
          <w:color w:val="231F20"/>
        </w:rPr>
        <w:t>вариантов</w:t>
      </w:r>
      <w:r>
        <w:rPr>
          <w:color w:val="231F20"/>
          <w:spacing w:val="-3"/>
        </w:rPr>
        <w:t> </w:t>
      </w:r>
      <w:r>
        <w:rPr>
          <w:color w:val="231F20"/>
        </w:rPr>
        <w:t>сборки</w:t>
      </w:r>
      <w:r>
        <w:rPr>
          <w:color w:val="231F20"/>
          <w:spacing w:val="-2"/>
        </w:rPr>
        <w:t> </w:t>
      </w:r>
      <w:r>
        <w:rPr>
          <w:color w:val="231F20"/>
        </w:rPr>
        <w:t>кругов,</w:t>
      </w:r>
      <w:r>
        <w:rPr>
          <w:color w:val="231F20"/>
          <w:spacing w:val="-3"/>
        </w:rPr>
        <w:t> </w:t>
      </w:r>
      <w:r>
        <w:rPr>
          <w:color w:val="231F20"/>
        </w:rPr>
        <w:t>за</w:t>
      </w:r>
      <w:r>
        <w:rPr>
          <w:color w:val="231F20"/>
          <w:spacing w:val="-2"/>
        </w:rPr>
        <w:t> </w:t>
      </w:r>
      <w:r>
        <w:rPr>
          <w:color w:val="231F20"/>
        </w:rPr>
        <w:t>исключением</w:t>
      </w:r>
      <w:r>
        <w:rPr>
          <w:color w:val="231F20"/>
          <w:spacing w:val="-3"/>
        </w:rPr>
        <w:t> </w:t>
      </w:r>
      <w:r>
        <w:rPr>
          <w:color w:val="231F20"/>
        </w:rPr>
        <w:t>тех,</w:t>
      </w:r>
      <w:r>
        <w:rPr>
          <w:color w:val="231F20"/>
          <w:spacing w:val="-2"/>
        </w:rPr>
        <w:t> кото-</w:t>
      </w:r>
    </w:p>
    <w:p>
      <w:pPr>
        <w:pStyle w:val="BodyText"/>
        <w:spacing w:line="223" w:lineRule="exact"/>
        <w:ind w:right="0" w:firstLine="0"/>
      </w:pPr>
      <w:r>
        <w:rPr>
          <w:color w:val="231F20"/>
        </w:rPr>
        <w:t>рые</w:t>
      </w:r>
      <w:r>
        <w:rPr>
          <w:color w:val="231F20"/>
          <w:spacing w:val="-4"/>
        </w:rPr>
        <w:t> </w:t>
      </w:r>
      <w:r>
        <w:rPr>
          <w:color w:val="231F20"/>
        </w:rPr>
        <w:t>вы</w:t>
      </w:r>
      <w:r>
        <w:rPr>
          <w:color w:val="231F20"/>
          <w:spacing w:val="-3"/>
        </w:rPr>
        <w:t> </w:t>
      </w:r>
      <w:r>
        <w:rPr>
          <w:color w:val="231F20"/>
        </w:rPr>
        <w:t>уже</w:t>
      </w:r>
      <w:r>
        <w:rPr>
          <w:color w:val="231F20"/>
          <w:spacing w:val="-3"/>
        </w:rPr>
        <w:t> </w:t>
      </w:r>
      <w:r>
        <w:rPr>
          <w:color w:val="231F20"/>
        </w:rPr>
        <w:t>использовали</w:t>
      </w:r>
      <w:r>
        <w:rPr>
          <w:color w:val="231F20"/>
          <w:spacing w:val="-4"/>
        </w:rPr>
        <w:t> </w:t>
      </w:r>
      <w:r>
        <w:rPr>
          <w:color w:val="231F20"/>
        </w:rPr>
        <w:t>в</w:t>
      </w:r>
      <w:r>
        <w:rPr>
          <w:color w:val="231F20"/>
          <w:spacing w:val="-3"/>
        </w:rPr>
        <w:t> </w:t>
      </w:r>
      <w:r>
        <w:rPr>
          <w:color w:val="231F20"/>
          <w:spacing w:val="-2"/>
        </w:rPr>
        <w:t>работе?».</w:t>
      </w:r>
    </w:p>
    <w:p>
      <w:pPr>
        <w:pStyle w:val="BodyText"/>
        <w:spacing w:line="232" w:lineRule="auto" w:before="2"/>
      </w:pPr>
      <w:r>
        <w:rPr>
          <w:color w:val="231F20"/>
        </w:rPr>
        <w:t>В</w:t>
      </w:r>
      <w:r>
        <w:rPr>
          <w:color w:val="231F20"/>
          <w:spacing w:val="-5"/>
        </w:rPr>
        <w:t> </w:t>
      </w:r>
      <w:r>
        <w:rPr>
          <w:color w:val="231F20"/>
        </w:rPr>
        <w:t>один</w:t>
      </w:r>
      <w:r>
        <w:rPr>
          <w:color w:val="231F20"/>
          <w:spacing w:val="-5"/>
        </w:rPr>
        <w:t> </w:t>
      </w:r>
      <w:r>
        <w:rPr>
          <w:color w:val="231F20"/>
        </w:rPr>
        <w:t>набор</w:t>
      </w:r>
      <w:r>
        <w:rPr>
          <w:color w:val="231F20"/>
          <w:spacing w:val="-5"/>
        </w:rPr>
        <w:t> </w:t>
      </w:r>
      <w:r>
        <w:rPr>
          <w:color w:val="231F20"/>
        </w:rPr>
        <w:t>из</w:t>
      </w:r>
      <w:r>
        <w:rPr>
          <w:color w:val="231F20"/>
          <w:spacing w:val="-5"/>
        </w:rPr>
        <w:t> </w:t>
      </w:r>
      <w:r>
        <w:rPr>
          <w:color w:val="231F20"/>
        </w:rPr>
        <w:t>комплекта</w:t>
      </w:r>
      <w:r>
        <w:rPr>
          <w:color w:val="231F20"/>
          <w:spacing w:val="-5"/>
        </w:rPr>
        <w:t> </w:t>
      </w:r>
      <w:r>
        <w:rPr>
          <w:color w:val="231F20"/>
        </w:rPr>
        <w:t>усложненных</w:t>
      </w:r>
      <w:r>
        <w:rPr>
          <w:color w:val="231F20"/>
          <w:spacing w:val="-5"/>
        </w:rPr>
        <w:t> </w:t>
      </w:r>
      <w:r>
        <w:rPr>
          <w:color w:val="231F20"/>
        </w:rPr>
        <w:t>кругов</w:t>
      </w:r>
      <w:r>
        <w:rPr>
          <w:color w:val="231F20"/>
          <w:spacing w:val="-5"/>
        </w:rPr>
        <w:t> </w:t>
      </w:r>
      <w:r>
        <w:rPr>
          <w:color w:val="231F20"/>
        </w:rPr>
        <w:t>(рис.</w:t>
      </w:r>
      <w:r>
        <w:rPr>
          <w:color w:val="231F20"/>
          <w:spacing w:val="-5"/>
        </w:rPr>
        <w:t> </w:t>
      </w:r>
      <w:r>
        <w:rPr>
          <w:color w:val="231F20"/>
        </w:rPr>
        <w:t>3)</w:t>
      </w:r>
      <w:r>
        <w:rPr>
          <w:color w:val="231F20"/>
          <w:spacing w:val="-5"/>
        </w:rPr>
        <w:t> </w:t>
      </w:r>
      <w:r>
        <w:rPr>
          <w:color w:val="231F20"/>
        </w:rPr>
        <w:t>входят</w:t>
      </w:r>
      <w:r>
        <w:rPr>
          <w:color w:val="231F20"/>
          <w:spacing w:val="-5"/>
        </w:rPr>
        <w:t> </w:t>
      </w:r>
      <w:r>
        <w:rPr>
          <w:color w:val="231F20"/>
        </w:rPr>
        <w:t>пятнадцать</w:t>
      </w:r>
      <w:r>
        <w:rPr>
          <w:color w:val="231F20"/>
          <w:spacing w:val="-5"/>
        </w:rPr>
        <w:t> </w:t>
      </w:r>
      <w:r>
        <w:rPr>
          <w:color w:val="231F20"/>
        </w:rPr>
        <w:t>фраг- ментов, из которых можно составить шесть кругов. Учитель заранее распределяет фрагменты</w:t>
      </w:r>
      <w:r>
        <w:rPr>
          <w:color w:val="231F20"/>
          <w:spacing w:val="-13"/>
        </w:rPr>
        <w:t> </w:t>
      </w:r>
      <w:r>
        <w:rPr>
          <w:color w:val="231F20"/>
        </w:rPr>
        <w:t>круга</w:t>
      </w:r>
      <w:r>
        <w:rPr>
          <w:color w:val="231F20"/>
          <w:spacing w:val="-12"/>
        </w:rPr>
        <w:t> </w:t>
      </w:r>
      <w:r>
        <w:rPr>
          <w:color w:val="231F20"/>
        </w:rPr>
        <w:t>из</w:t>
      </w:r>
      <w:r>
        <w:rPr>
          <w:color w:val="231F20"/>
          <w:spacing w:val="-13"/>
        </w:rPr>
        <w:t> </w:t>
      </w:r>
      <w:r>
        <w:rPr>
          <w:color w:val="231F20"/>
        </w:rPr>
        <w:t>данного</w:t>
      </w:r>
      <w:r>
        <w:rPr>
          <w:color w:val="231F20"/>
          <w:spacing w:val="-12"/>
        </w:rPr>
        <w:t> </w:t>
      </w:r>
      <w:r>
        <w:rPr>
          <w:color w:val="231F20"/>
        </w:rPr>
        <w:t>набора</w:t>
      </w:r>
      <w:r>
        <w:rPr>
          <w:color w:val="231F20"/>
          <w:spacing w:val="-13"/>
        </w:rPr>
        <w:t> </w:t>
      </w:r>
      <w:r>
        <w:rPr>
          <w:color w:val="231F20"/>
        </w:rPr>
        <w:t>по</w:t>
      </w:r>
      <w:r>
        <w:rPr>
          <w:color w:val="231F20"/>
          <w:spacing w:val="-12"/>
        </w:rPr>
        <w:t> </w:t>
      </w:r>
      <w:r>
        <w:rPr>
          <w:color w:val="231F20"/>
        </w:rPr>
        <w:t>конвертам</w:t>
      </w:r>
      <w:r>
        <w:rPr>
          <w:color w:val="231F20"/>
          <w:spacing w:val="-13"/>
        </w:rPr>
        <w:t> </w:t>
      </w:r>
      <w:r>
        <w:rPr>
          <w:color w:val="231F20"/>
        </w:rPr>
        <w:t>для</w:t>
      </w:r>
      <w:r>
        <w:rPr>
          <w:color w:val="231F20"/>
          <w:spacing w:val="-12"/>
        </w:rPr>
        <w:t> </w:t>
      </w:r>
      <w:r>
        <w:rPr>
          <w:color w:val="231F20"/>
        </w:rPr>
        <w:t>каждого</w:t>
      </w:r>
      <w:r>
        <w:rPr>
          <w:color w:val="231F20"/>
          <w:spacing w:val="-13"/>
        </w:rPr>
        <w:t> </w:t>
      </w:r>
      <w:r>
        <w:rPr>
          <w:color w:val="231F20"/>
        </w:rPr>
        <w:t>участника.</w:t>
      </w:r>
      <w:r>
        <w:rPr>
          <w:color w:val="231F20"/>
          <w:spacing w:val="-12"/>
        </w:rPr>
        <w:t> </w:t>
      </w:r>
      <w:r>
        <w:rPr>
          <w:color w:val="231F20"/>
        </w:rPr>
        <w:t>Для</w:t>
      </w:r>
      <w:r>
        <w:rPr>
          <w:color w:val="231F20"/>
          <w:spacing w:val="-13"/>
        </w:rPr>
        <w:t> </w:t>
      </w:r>
      <w:r>
        <w:rPr>
          <w:color w:val="231F20"/>
        </w:rPr>
        <w:t>каждой группы</w:t>
      </w:r>
      <w:r>
        <w:rPr>
          <w:color w:val="231F20"/>
          <w:spacing w:val="-10"/>
        </w:rPr>
        <w:t> </w:t>
      </w:r>
      <w:r>
        <w:rPr>
          <w:color w:val="231F20"/>
        </w:rPr>
        <w:t>готовится</w:t>
      </w:r>
      <w:r>
        <w:rPr>
          <w:color w:val="231F20"/>
          <w:spacing w:val="-10"/>
        </w:rPr>
        <w:t> </w:t>
      </w:r>
      <w:r>
        <w:rPr>
          <w:color w:val="231F20"/>
        </w:rPr>
        <w:t>набор</w:t>
      </w:r>
      <w:r>
        <w:rPr>
          <w:color w:val="231F20"/>
          <w:spacing w:val="-10"/>
        </w:rPr>
        <w:t> </w:t>
      </w:r>
      <w:r>
        <w:rPr>
          <w:color w:val="231F20"/>
        </w:rPr>
        <w:t>из</w:t>
      </w:r>
      <w:r>
        <w:rPr>
          <w:color w:val="231F20"/>
          <w:spacing w:val="-10"/>
        </w:rPr>
        <w:t> </w:t>
      </w:r>
      <w:r>
        <w:rPr>
          <w:color w:val="231F20"/>
        </w:rPr>
        <w:t>шести</w:t>
      </w:r>
      <w:r>
        <w:rPr>
          <w:color w:val="231F20"/>
          <w:spacing w:val="-10"/>
        </w:rPr>
        <w:t> </w:t>
      </w:r>
      <w:r>
        <w:rPr>
          <w:color w:val="231F20"/>
        </w:rPr>
        <w:t>кругов.</w:t>
      </w:r>
      <w:r>
        <w:rPr>
          <w:color w:val="231F20"/>
          <w:spacing w:val="-10"/>
        </w:rPr>
        <w:t> </w:t>
      </w:r>
      <w:r>
        <w:rPr>
          <w:color w:val="231F20"/>
        </w:rPr>
        <w:t>В</w:t>
      </w:r>
      <w:r>
        <w:rPr>
          <w:color w:val="231F20"/>
          <w:spacing w:val="-10"/>
        </w:rPr>
        <w:t> </w:t>
      </w:r>
      <w:r>
        <w:rPr>
          <w:color w:val="231F20"/>
        </w:rPr>
        <w:t>этом</w:t>
      </w:r>
      <w:r>
        <w:rPr>
          <w:color w:val="231F20"/>
          <w:spacing w:val="-10"/>
        </w:rPr>
        <w:t> </w:t>
      </w:r>
      <w:r>
        <w:rPr>
          <w:color w:val="231F20"/>
        </w:rPr>
        <w:t>упражнении</w:t>
      </w:r>
      <w:r>
        <w:rPr>
          <w:color w:val="231F20"/>
          <w:spacing w:val="-10"/>
        </w:rPr>
        <w:t> </w:t>
      </w:r>
      <w:r>
        <w:rPr>
          <w:color w:val="231F20"/>
        </w:rPr>
        <w:t>количество</w:t>
      </w:r>
      <w:r>
        <w:rPr>
          <w:color w:val="231F20"/>
          <w:spacing w:val="-10"/>
        </w:rPr>
        <w:t> </w:t>
      </w:r>
      <w:r>
        <w:rPr>
          <w:color w:val="231F20"/>
        </w:rPr>
        <w:t>участников может быть уже не три или пять, а шесть, но в этом случае учителю нужно немного по-другому</w:t>
      </w:r>
      <w:r>
        <w:rPr>
          <w:color w:val="231F20"/>
          <w:spacing w:val="-12"/>
        </w:rPr>
        <w:t> </w:t>
      </w:r>
      <w:r>
        <w:rPr>
          <w:color w:val="231F20"/>
        </w:rPr>
        <w:t>разложить</w:t>
      </w:r>
      <w:r>
        <w:rPr>
          <w:color w:val="231F20"/>
          <w:spacing w:val="-12"/>
        </w:rPr>
        <w:t> </w:t>
      </w:r>
      <w:r>
        <w:rPr>
          <w:color w:val="231F20"/>
        </w:rPr>
        <w:t>фрагменты</w:t>
      </w:r>
      <w:r>
        <w:rPr>
          <w:color w:val="231F20"/>
          <w:spacing w:val="-12"/>
        </w:rPr>
        <w:t> </w:t>
      </w:r>
      <w:r>
        <w:rPr>
          <w:color w:val="231F20"/>
        </w:rPr>
        <w:t>по</w:t>
      </w:r>
      <w:r>
        <w:rPr>
          <w:color w:val="231F20"/>
          <w:spacing w:val="-12"/>
        </w:rPr>
        <w:t> </w:t>
      </w:r>
      <w:r>
        <w:rPr>
          <w:color w:val="231F20"/>
        </w:rPr>
        <w:t>конвертам:</w:t>
      </w:r>
      <w:r>
        <w:rPr>
          <w:color w:val="231F20"/>
          <w:spacing w:val="-12"/>
        </w:rPr>
        <w:t> </w:t>
      </w:r>
      <w:r>
        <w:rPr>
          <w:color w:val="231F20"/>
        </w:rPr>
        <w:t>например,</w:t>
      </w:r>
      <w:r>
        <w:rPr>
          <w:color w:val="231F20"/>
          <w:spacing w:val="-12"/>
        </w:rPr>
        <w:t> </w:t>
      </w:r>
      <w:r>
        <w:rPr>
          <w:color w:val="231F20"/>
        </w:rPr>
        <w:t>часть</w:t>
      </w:r>
      <w:r>
        <w:rPr>
          <w:color w:val="231F20"/>
          <w:spacing w:val="-12"/>
        </w:rPr>
        <w:t> </w:t>
      </w:r>
      <w:r>
        <w:rPr>
          <w:color w:val="231F20"/>
        </w:rPr>
        <w:t>круга</w:t>
      </w:r>
      <w:r>
        <w:rPr>
          <w:color w:val="231F20"/>
          <w:spacing w:val="-12"/>
        </w:rPr>
        <w:t> </w:t>
      </w:r>
      <w:r>
        <w:rPr>
          <w:color w:val="231F20"/>
        </w:rPr>
        <w:t>6F</w:t>
      </w:r>
      <w:r>
        <w:rPr>
          <w:color w:val="231F20"/>
          <w:spacing w:val="-12"/>
        </w:rPr>
        <w:t> </w:t>
      </w:r>
      <w:r>
        <w:rPr>
          <w:color w:val="231F20"/>
        </w:rPr>
        <w:t>перейдет</w:t>
      </w:r>
      <w:r>
        <w:rPr>
          <w:color w:val="231F20"/>
          <w:spacing w:val="-12"/>
        </w:rPr>
        <w:t> </w:t>
      </w:r>
      <w:r>
        <w:rPr>
          <w:color w:val="231F20"/>
        </w:rPr>
        <w:t>в конверт</w:t>
      </w:r>
      <w:r>
        <w:rPr>
          <w:color w:val="231F20"/>
          <w:spacing w:val="-9"/>
        </w:rPr>
        <w:t> </w:t>
      </w:r>
      <w:r>
        <w:rPr>
          <w:color w:val="231F20"/>
        </w:rPr>
        <w:t>F,</w:t>
      </w:r>
      <w:r>
        <w:rPr>
          <w:color w:val="231F20"/>
          <w:spacing w:val="-9"/>
        </w:rPr>
        <w:t> </w:t>
      </w:r>
      <w:r>
        <w:rPr>
          <w:color w:val="231F20"/>
        </w:rPr>
        <w:t>6Е</w:t>
      </w:r>
      <w:r>
        <w:rPr>
          <w:color w:val="231F20"/>
          <w:spacing w:val="-9"/>
        </w:rPr>
        <w:t> </w:t>
      </w:r>
      <w:r>
        <w:rPr>
          <w:color w:val="231F20"/>
        </w:rPr>
        <w:t>–</w:t>
      </w:r>
      <w:r>
        <w:rPr>
          <w:color w:val="231F20"/>
          <w:spacing w:val="-9"/>
        </w:rPr>
        <w:t> </w:t>
      </w:r>
      <w:r>
        <w:rPr>
          <w:color w:val="231F20"/>
        </w:rPr>
        <w:t>в</w:t>
      </w:r>
      <w:r>
        <w:rPr>
          <w:color w:val="231F20"/>
          <w:spacing w:val="-9"/>
        </w:rPr>
        <w:t> </w:t>
      </w:r>
      <w:r>
        <w:rPr>
          <w:color w:val="231F20"/>
        </w:rPr>
        <w:t>конверт</w:t>
      </w:r>
      <w:r>
        <w:rPr>
          <w:color w:val="231F20"/>
          <w:spacing w:val="-9"/>
        </w:rPr>
        <w:t> </w:t>
      </w:r>
      <w:r>
        <w:rPr>
          <w:color w:val="231F20"/>
        </w:rPr>
        <w:t>Е,</w:t>
      </w:r>
      <w:r>
        <w:rPr>
          <w:color w:val="231F20"/>
          <w:spacing w:val="-9"/>
        </w:rPr>
        <w:t> </w:t>
      </w:r>
      <w:r>
        <w:rPr>
          <w:color w:val="231F20"/>
        </w:rPr>
        <w:t>6С</w:t>
      </w:r>
      <w:r>
        <w:rPr>
          <w:color w:val="231F20"/>
          <w:spacing w:val="-9"/>
        </w:rPr>
        <w:t> </w:t>
      </w:r>
      <w:r>
        <w:rPr>
          <w:color w:val="231F20"/>
        </w:rPr>
        <w:t>–</w:t>
      </w:r>
      <w:r>
        <w:rPr>
          <w:color w:val="231F20"/>
          <w:spacing w:val="-9"/>
        </w:rPr>
        <w:t> </w:t>
      </w:r>
      <w:r>
        <w:rPr>
          <w:color w:val="231F20"/>
        </w:rPr>
        <w:t>в</w:t>
      </w:r>
      <w:r>
        <w:rPr>
          <w:color w:val="231F20"/>
          <w:spacing w:val="-9"/>
        </w:rPr>
        <w:t> </w:t>
      </w:r>
      <w:r>
        <w:rPr>
          <w:color w:val="231F20"/>
        </w:rPr>
        <w:t>конверт</w:t>
      </w:r>
      <w:r>
        <w:rPr>
          <w:color w:val="231F20"/>
          <w:spacing w:val="-9"/>
        </w:rPr>
        <w:t> </w:t>
      </w:r>
      <w:r>
        <w:rPr>
          <w:color w:val="231F20"/>
        </w:rPr>
        <w:t>С,</w:t>
      </w:r>
      <w:r>
        <w:rPr>
          <w:color w:val="231F20"/>
          <w:spacing w:val="-9"/>
        </w:rPr>
        <w:t> </w:t>
      </w:r>
      <w:r>
        <w:rPr>
          <w:color w:val="231F20"/>
        </w:rPr>
        <w:t>6D</w:t>
      </w:r>
      <w:r>
        <w:rPr>
          <w:color w:val="231F20"/>
          <w:spacing w:val="-9"/>
        </w:rPr>
        <w:t> </w:t>
      </w:r>
      <w:r>
        <w:rPr>
          <w:color w:val="231F20"/>
        </w:rPr>
        <w:t>–</w:t>
      </w:r>
      <w:r>
        <w:rPr>
          <w:color w:val="231F20"/>
          <w:spacing w:val="-9"/>
        </w:rPr>
        <w:t> </w:t>
      </w:r>
      <w:r>
        <w:rPr>
          <w:color w:val="231F20"/>
        </w:rPr>
        <w:t>в</w:t>
      </w:r>
      <w:r>
        <w:rPr>
          <w:color w:val="231F20"/>
          <w:spacing w:val="-9"/>
        </w:rPr>
        <w:t> </w:t>
      </w:r>
      <w:r>
        <w:rPr>
          <w:color w:val="231F20"/>
        </w:rPr>
        <w:t>конверт</w:t>
      </w:r>
      <w:r>
        <w:rPr>
          <w:color w:val="231F20"/>
          <w:spacing w:val="-9"/>
        </w:rPr>
        <w:t> </w:t>
      </w:r>
      <w:r>
        <w:rPr>
          <w:color w:val="231F20"/>
        </w:rPr>
        <w:t>D.</w:t>
      </w:r>
      <w:r>
        <w:rPr>
          <w:color w:val="231F20"/>
          <w:spacing w:val="-9"/>
        </w:rPr>
        <w:t> </w:t>
      </w:r>
      <w:r>
        <w:rPr>
          <w:color w:val="231F20"/>
        </w:rPr>
        <w:t>Это</w:t>
      </w:r>
      <w:r>
        <w:rPr>
          <w:color w:val="231F20"/>
          <w:spacing w:val="-9"/>
        </w:rPr>
        <w:t> </w:t>
      </w:r>
      <w:r>
        <w:rPr>
          <w:color w:val="231F20"/>
        </w:rPr>
        <w:t>действие</w:t>
      </w:r>
      <w:r>
        <w:rPr>
          <w:color w:val="231F20"/>
          <w:spacing w:val="-9"/>
        </w:rPr>
        <w:t> </w:t>
      </w:r>
      <w:r>
        <w:rPr>
          <w:color w:val="231F20"/>
        </w:rPr>
        <w:t>следует повторить для всех групп, в составе которых будет по 6 человек.</w:t>
      </w:r>
    </w:p>
    <w:p>
      <w:pPr>
        <w:pStyle w:val="BodyText"/>
        <w:spacing w:line="232" w:lineRule="auto" w:before="8"/>
      </w:pPr>
      <w:r>
        <w:rPr>
          <w:color w:val="231F20"/>
        </w:rPr>
        <w:t>Важным условием является размер кругов, которые учитель готовит для работы</w:t>
      </w:r>
      <w:r>
        <w:rPr>
          <w:color w:val="231F20"/>
          <w:spacing w:val="40"/>
        </w:rPr>
        <w:t> </w:t>
      </w:r>
      <w:r>
        <w:rPr>
          <w:color w:val="231F20"/>
        </w:rPr>
        <w:t>с</w:t>
      </w:r>
      <w:r>
        <w:rPr>
          <w:color w:val="231F20"/>
          <w:spacing w:val="-2"/>
        </w:rPr>
        <w:t> </w:t>
      </w:r>
      <w:r>
        <w:rPr>
          <w:color w:val="231F20"/>
        </w:rPr>
        <w:t>группами.</w:t>
      </w:r>
      <w:r>
        <w:rPr>
          <w:color w:val="231F20"/>
          <w:spacing w:val="-2"/>
        </w:rPr>
        <w:t> </w:t>
      </w:r>
      <w:r>
        <w:rPr>
          <w:color w:val="231F20"/>
        </w:rPr>
        <w:t>Круги</w:t>
      </w:r>
      <w:r>
        <w:rPr>
          <w:color w:val="231F20"/>
          <w:spacing w:val="-2"/>
        </w:rPr>
        <w:t> </w:t>
      </w:r>
      <w:r>
        <w:rPr>
          <w:color w:val="231F20"/>
        </w:rPr>
        <w:t>могут</w:t>
      </w:r>
      <w:r>
        <w:rPr>
          <w:color w:val="231F20"/>
          <w:spacing w:val="-2"/>
        </w:rPr>
        <w:t> </w:t>
      </w:r>
      <w:r>
        <w:rPr>
          <w:color w:val="231F20"/>
        </w:rPr>
        <w:t>быть</w:t>
      </w:r>
      <w:r>
        <w:rPr>
          <w:color w:val="231F20"/>
          <w:spacing w:val="-2"/>
        </w:rPr>
        <w:t> </w:t>
      </w:r>
      <w:r>
        <w:rPr>
          <w:color w:val="231F20"/>
        </w:rPr>
        <w:t>любого</w:t>
      </w:r>
      <w:r>
        <w:rPr>
          <w:color w:val="231F20"/>
          <w:spacing w:val="-2"/>
        </w:rPr>
        <w:t> </w:t>
      </w:r>
      <w:r>
        <w:rPr>
          <w:color w:val="231F20"/>
        </w:rPr>
        <w:t>размера</w:t>
      </w:r>
      <w:r>
        <w:rPr>
          <w:color w:val="231F20"/>
          <w:spacing w:val="-2"/>
        </w:rPr>
        <w:t> </w:t>
      </w:r>
      <w:r>
        <w:rPr>
          <w:color w:val="231F20"/>
        </w:rPr>
        <w:t>(но</w:t>
      </w:r>
      <w:r>
        <w:rPr>
          <w:color w:val="231F20"/>
          <w:spacing w:val="-2"/>
        </w:rPr>
        <w:t> </w:t>
      </w:r>
      <w:r>
        <w:rPr>
          <w:color w:val="231F20"/>
        </w:rPr>
        <w:t>не</w:t>
      </w:r>
      <w:r>
        <w:rPr>
          <w:color w:val="231F20"/>
          <w:spacing w:val="-2"/>
        </w:rPr>
        <w:t> </w:t>
      </w:r>
      <w:r>
        <w:rPr>
          <w:color w:val="231F20"/>
        </w:rPr>
        <w:t>более</w:t>
      </w:r>
      <w:r>
        <w:rPr>
          <w:color w:val="231F20"/>
          <w:spacing w:val="-2"/>
        </w:rPr>
        <w:t> </w:t>
      </w:r>
      <w:r>
        <w:rPr>
          <w:color w:val="231F20"/>
        </w:rPr>
        <w:t>20</w:t>
      </w:r>
      <w:r>
        <w:rPr>
          <w:color w:val="231F20"/>
          <w:spacing w:val="-2"/>
        </w:rPr>
        <w:t> </w:t>
      </w:r>
      <w:r>
        <w:rPr>
          <w:color w:val="231F20"/>
        </w:rPr>
        <w:t>сантиметров</w:t>
      </w:r>
      <w:r>
        <w:rPr>
          <w:color w:val="231F20"/>
          <w:spacing w:val="-2"/>
        </w:rPr>
        <w:t> </w:t>
      </w:r>
      <w:r>
        <w:rPr>
          <w:color w:val="231F20"/>
        </w:rPr>
        <w:t>в</w:t>
      </w:r>
      <w:r>
        <w:rPr>
          <w:color w:val="231F20"/>
          <w:spacing w:val="-2"/>
        </w:rPr>
        <w:t> </w:t>
      </w:r>
      <w:r>
        <w:rPr>
          <w:color w:val="231F20"/>
        </w:rPr>
        <w:t>диаме- тре), главное, чтобы все круги </w:t>
      </w:r>
      <w:r>
        <w:rPr>
          <w:i/>
          <w:color w:val="231F20"/>
        </w:rPr>
        <w:t>в наборе были одинакового размера. </w:t>
      </w:r>
      <w:r>
        <w:rPr>
          <w:color w:val="231F20"/>
        </w:rPr>
        <w:t>Все фрагменты кругов, которые готовятся для одной группы, должны быть определенного цвета и отличаться по цвету от кругов, предназначенных для другой группы.</w:t>
      </w:r>
    </w:p>
    <w:p>
      <w:pPr>
        <w:pStyle w:val="BodyText"/>
        <w:spacing w:line="232" w:lineRule="auto" w:before="4"/>
      </w:pPr>
      <w:r>
        <w:rPr>
          <w:color w:val="231F20"/>
        </w:rPr>
        <w:t>Когда</w:t>
      </w:r>
      <w:r>
        <w:rPr>
          <w:color w:val="231F20"/>
          <w:spacing w:val="-8"/>
        </w:rPr>
        <w:t> </w:t>
      </w:r>
      <w:r>
        <w:rPr>
          <w:color w:val="231F20"/>
        </w:rPr>
        <w:t>все</w:t>
      </w:r>
      <w:r>
        <w:rPr>
          <w:color w:val="231F20"/>
          <w:spacing w:val="-8"/>
        </w:rPr>
        <w:t> </w:t>
      </w:r>
      <w:r>
        <w:rPr>
          <w:color w:val="231F20"/>
        </w:rPr>
        <w:t>группы</w:t>
      </w:r>
      <w:r>
        <w:rPr>
          <w:color w:val="231F20"/>
          <w:spacing w:val="-8"/>
        </w:rPr>
        <w:t> </w:t>
      </w:r>
      <w:r>
        <w:rPr>
          <w:color w:val="231F20"/>
        </w:rPr>
        <w:t>выполнят</w:t>
      </w:r>
      <w:r>
        <w:rPr>
          <w:color w:val="231F20"/>
          <w:spacing w:val="-8"/>
        </w:rPr>
        <w:t> </w:t>
      </w:r>
      <w:r>
        <w:rPr>
          <w:color w:val="231F20"/>
        </w:rPr>
        <w:t>задание,</w:t>
      </w:r>
      <w:r>
        <w:rPr>
          <w:color w:val="231F20"/>
          <w:spacing w:val="-8"/>
        </w:rPr>
        <w:t> </w:t>
      </w:r>
      <w:r>
        <w:rPr>
          <w:color w:val="231F20"/>
        </w:rPr>
        <w:t>учитель</w:t>
      </w:r>
      <w:r>
        <w:rPr>
          <w:color w:val="231F20"/>
          <w:spacing w:val="-8"/>
        </w:rPr>
        <w:t> </w:t>
      </w:r>
      <w:r>
        <w:rPr>
          <w:color w:val="231F20"/>
        </w:rPr>
        <w:t>предлагает</w:t>
      </w:r>
      <w:r>
        <w:rPr>
          <w:color w:val="231F20"/>
          <w:spacing w:val="-8"/>
        </w:rPr>
        <w:t> </w:t>
      </w:r>
      <w:r>
        <w:rPr>
          <w:color w:val="231F20"/>
        </w:rPr>
        <w:t>обсудить</w:t>
      </w:r>
      <w:r>
        <w:rPr>
          <w:color w:val="231F20"/>
          <w:spacing w:val="-8"/>
        </w:rPr>
        <w:t> </w:t>
      </w:r>
      <w:r>
        <w:rPr>
          <w:color w:val="231F20"/>
        </w:rPr>
        <w:t>следующие</w:t>
      </w:r>
      <w:r>
        <w:rPr>
          <w:color w:val="231F20"/>
          <w:spacing w:val="-8"/>
        </w:rPr>
        <w:t> </w:t>
      </w:r>
      <w:r>
        <w:rPr>
          <w:color w:val="231F20"/>
        </w:rPr>
        <w:t>во- просы и подвести итоги:</w:t>
      </w:r>
    </w:p>
    <w:p>
      <w:pPr>
        <w:pStyle w:val="ListParagraph"/>
        <w:numPr>
          <w:ilvl w:val="0"/>
          <w:numId w:val="310"/>
        </w:numPr>
        <w:tabs>
          <w:tab w:pos="424" w:val="left" w:leader="none"/>
        </w:tabs>
        <w:spacing w:line="223" w:lineRule="exact" w:before="0" w:after="0"/>
        <w:ind w:left="424" w:right="0" w:hanging="283"/>
        <w:jc w:val="left"/>
        <w:rPr>
          <w:sz w:val="20"/>
        </w:rPr>
      </w:pPr>
      <w:r>
        <w:rPr>
          <w:color w:val="231F20"/>
          <w:sz w:val="20"/>
        </w:rPr>
        <w:t>Как</w:t>
      </w:r>
      <w:r>
        <w:rPr>
          <w:color w:val="231F20"/>
          <w:spacing w:val="-2"/>
          <w:sz w:val="20"/>
        </w:rPr>
        <w:t> </w:t>
      </w:r>
      <w:r>
        <w:rPr>
          <w:color w:val="231F20"/>
          <w:sz w:val="20"/>
        </w:rPr>
        <w:t>вы</w:t>
      </w:r>
      <w:r>
        <w:rPr>
          <w:color w:val="231F20"/>
          <w:spacing w:val="-2"/>
          <w:sz w:val="20"/>
        </w:rPr>
        <w:t> </w:t>
      </w:r>
      <w:r>
        <w:rPr>
          <w:color w:val="231F20"/>
          <w:sz w:val="20"/>
        </w:rPr>
        <w:t>думаете,</w:t>
      </w:r>
      <w:r>
        <w:rPr>
          <w:color w:val="231F20"/>
          <w:spacing w:val="-1"/>
          <w:sz w:val="20"/>
        </w:rPr>
        <w:t> </w:t>
      </w:r>
      <w:r>
        <w:rPr>
          <w:color w:val="231F20"/>
          <w:sz w:val="20"/>
        </w:rPr>
        <w:t>о</w:t>
      </w:r>
      <w:r>
        <w:rPr>
          <w:color w:val="231F20"/>
          <w:spacing w:val="-2"/>
          <w:sz w:val="20"/>
        </w:rPr>
        <w:t> </w:t>
      </w:r>
      <w:r>
        <w:rPr>
          <w:color w:val="231F20"/>
          <w:sz w:val="20"/>
        </w:rPr>
        <w:t>чем</w:t>
      </w:r>
      <w:r>
        <w:rPr>
          <w:color w:val="231F20"/>
          <w:spacing w:val="-1"/>
          <w:sz w:val="20"/>
        </w:rPr>
        <w:t> </w:t>
      </w:r>
      <w:r>
        <w:rPr>
          <w:color w:val="231F20"/>
          <w:sz w:val="20"/>
        </w:rPr>
        <w:t>было</w:t>
      </w:r>
      <w:r>
        <w:rPr>
          <w:color w:val="231F20"/>
          <w:spacing w:val="-3"/>
          <w:sz w:val="20"/>
        </w:rPr>
        <w:t> </w:t>
      </w:r>
      <w:r>
        <w:rPr>
          <w:color w:val="231F20"/>
          <w:sz w:val="20"/>
        </w:rPr>
        <w:t>это</w:t>
      </w:r>
      <w:r>
        <w:rPr>
          <w:color w:val="231F20"/>
          <w:spacing w:val="-1"/>
          <w:sz w:val="20"/>
        </w:rPr>
        <w:t> </w:t>
      </w:r>
      <w:r>
        <w:rPr>
          <w:color w:val="231F20"/>
          <w:spacing w:val="-2"/>
          <w:sz w:val="20"/>
        </w:rPr>
        <w:t>упражнение?</w:t>
      </w:r>
    </w:p>
    <w:p>
      <w:pPr>
        <w:pStyle w:val="ListParagraph"/>
        <w:numPr>
          <w:ilvl w:val="0"/>
          <w:numId w:val="310"/>
        </w:numPr>
        <w:tabs>
          <w:tab w:pos="425" w:val="left" w:leader="none"/>
        </w:tabs>
        <w:spacing w:line="232" w:lineRule="auto" w:before="3" w:after="0"/>
        <w:ind w:left="425" w:right="139" w:hanging="284"/>
        <w:jc w:val="left"/>
        <w:rPr>
          <w:sz w:val="20"/>
        </w:rPr>
      </w:pPr>
      <w:r>
        <w:rPr>
          <w:color w:val="231F20"/>
          <w:sz w:val="20"/>
        </w:rPr>
        <w:t>Что</w:t>
      </w:r>
      <w:r>
        <w:rPr>
          <w:color w:val="231F20"/>
          <w:spacing w:val="-5"/>
          <w:sz w:val="20"/>
        </w:rPr>
        <w:t> </w:t>
      </w:r>
      <w:r>
        <w:rPr>
          <w:color w:val="231F20"/>
          <w:sz w:val="20"/>
        </w:rPr>
        <w:t>вы</w:t>
      </w:r>
      <w:r>
        <w:rPr>
          <w:color w:val="231F20"/>
          <w:spacing w:val="-5"/>
          <w:sz w:val="20"/>
        </w:rPr>
        <w:t> </w:t>
      </w:r>
      <w:r>
        <w:rPr>
          <w:color w:val="231F20"/>
          <w:sz w:val="20"/>
        </w:rPr>
        <w:t>чувствуете</w:t>
      </w:r>
      <w:r>
        <w:rPr>
          <w:color w:val="231F20"/>
          <w:spacing w:val="-5"/>
          <w:sz w:val="20"/>
        </w:rPr>
        <w:t> </w:t>
      </w:r>
      <w:r>
        <w:rPr>
          <w:color w:val="231F20"/>
          <w:sz w:val="20"/>
        </w:rPr>
        <w:t>после</w:t>
      </w:r>
      <w:r>
        <w:rPr>
          <w:color w:val="231F20"/>
          <w:spacing w:val="-5"/>
          <w:sz w:val="20"/>
        </w:rPr>
        <w:t> </w:t>
      </w:r>
      <w:r>
        <w:rPr>
          <w:color w:val="231F20"/>
          <w:sz w:val="20"/>
        </w:rPr>
        <w:t>его</w:t>
      </w:r>
      <w:r>
        <w:rPr>
          <w:color w:val="231F20"/>
          <w:spacing w:val="-5"/>
          <w:sz w:val="20"/>
        </w:rPr>
        <w:t> </w:t>
      </w:r>
      <w:r>
        <w:rPr>
          <w:color w:val="231F20"/>
          <w:sz w:val="20"/>
        </w:rPr>
        <w:t>выполнения?</w:t>
      </w:r>
      <w:r>
        <w:rPr>
          <w:color w:val="231F20"/>
          <w:spacing w:val="-5"/>
          <w:sz w:val="20"/>
        </w:rPr>
        <w:t> </w:t>
      </w:r>
      <w:r>
        <w:rPr>
          <w:color w:val="231F20"/>
          <w:sz w:val="20"/>
        </w:rPr>
        <w:t>Что</w:t>
      </w:r>
      <w:r>
        <w:rPr>
          <w:color w:val="231F20"/>
          <w:spacing w:val="-5"/>
          <w:sz w:val="20"/>
        </w:rPr>
        <w:t> </w:t>
      </w:r>
      <w:r>
        <w:rPr>
          <w:color w:val="231F20"/>
          <w:sz w:val="20"/>
        </w:rPr>
        <w:t>нового</w:t>
      </w:r>
      <w:r>
        <w:rPr>
          <w:color w:val="231F20"/>
          <w:spacing w:val="-5"/>
          <w:sz w:val="20"/>
        </w:rPr>
        <w:t> </w:t>
      </w:r>
      <w:r>
        <w:rPr>
          <w:color w:val="231F20"/>
          <w:sz w:val="20"/>
        </w:rPr>
        <w:t>вы</w:t>
      </w:r>
      <w:r>
        <w:rPr>
          <w:color w:val="231F20"/>
          <w:spacing w:val="-5"/>
          <w:sz w:val="20"/>
        </w:rPr>
        <w:t> </w:t>
      </w:r>
      <w:r>
        <w:rPr>
          <w:color w:val="231F20"/>
          <w:sz w:val="20"/>
        </w:rPr>
        <w:t>узнали</w:t>
      </w:r>
      <w:r>
        <w:rPr>
          <w:color w:val="231F20"/>
          <w:spacing w:val="-5"/>
          <w:sz w:val="20"/>
        </w:rPr>
        <w:t> </w:t>
      </w:r>
      <w:r>
        <w:rPr>
          <w:color w:val="231F20"/>
          <w:sz w:val="20"/>
        </w:rPr>
        <w:t>сегодня</w:t>
      </w:r>
      <w:r>
        <w:rPr>
          <w:color w:val="231F20"/>
          <w:spacing w:val="-5"/>
          <w:sz w:val="20"/>
        </w:rPr>
        <w:t> </w:t>
      </w:r>
      <w:r>
        <w:rPr>
          <w:color w:val="231F20"/>
          <w:sz w:val="20"/>
        </w:rPr>
        <w:t>о</w:t>
      </w:r>
      <w:r>
        <w:rPr>
          <w:color w:val="231F20"/>
          <w:spacing w:val="-5"/>
          <w:sz w:val="20"/>
        </w:rPr>
        <w:t> </w:t>
      </w:r>
      <w:r>
        <w:rPr>
          <w:color w:val="231F20"/>
          <w:sz w:val="20"/>
        </w:rPr>
        <w:t>работе в группе?</w:t>
      </w:r>
    </w:p>
    <w:p>
      <w:pPr>
        <w:pStyle w:val="ListParagraph"/>
        <w:numPr>
          <w:ilvl w:val="0"/>
          <w:numId w:val="310"/>
        </w:numPr>
        <w:tabs>
          <w:tab w:pos="424" w:val="left" w:leader="none"/>
        </w:tabs>
        <w:spacing w:line="223" w:lineRule="exact" w:before="0" w:after="0"/>
        <w:ind w:left="424" w:right="0" w:hanging="283"/>
        <w:jc w:val="left"/>
        <w:rPr>
          <w:sz w:val="20"/>
        </w:rPr>
      </w:pPr>
      <w:r>
        <w:rPr>
          <w:color w:val="231F20"/>
          <w:sz w:val="20"/>
        </w:rPr>
        <w:t>Что</w:t>
      </w:r>
      <w:r>
        <w:rPr>
          <w:color w:val="231F20"/>
          <w:spacing w:val="-3"/>
          <w:sz w:val="20"/>
        </w:rPr>
        <w:t> </w:t>
      </w:r>
      <w:r>
        <w:rPr>
          <w:color w:val="231F20"/>
          <w:sz w:val="20"/>
        </w:rPr>
        <w:t>вам</w:t>
      </w:r>
      <w:r>
        <w:rPr>
          <w:color w:val="231F20"/>
          <w:spacing w:val="-3"/>
          <w:sz w:val="20"/>
        </w:rPr>
        <w:t> </w:t>
      </w:r>
      <w:r>
        <w:rPr>
          <w:color w:val="231F20"/>
          <w:sz w:val="20"/>
        </w:rPr>
        <w:t>пришлось</w:t>
      </w:r>
      <w:r>
        <w:rPr>
          <w:color w:val="231F20"/>
          <w:spacing w:val="-4"/>
          <w:sz w:val="20"/>
        </w:rPr>
        <w:t> </w:t>
      </w:r>
      <w:r>
        <w:rPr>
          <w:color w:val="231F20"/>
          <w:sz w:val="20"/>
        </w:rPr>
        <w:t>сделать,</w:t>
      </w:r>
      <w:r>
        <w:rPr>
          <w:color w:val="231F20"/>
          <w:spacing w:val="-2"/>
          <w:sz w:val="20"/>
        </w:rPr>
        <w:t> </w:t>
      </w:r>
      <w:r>
        <w:rPr>
          <w:color w:val="231F20"/>
          <w:sz w:val="20"/>
        </w:rPr>
        <w:t>чтобы</w:t>
      </w:r>
      <w:r>
        <w:rPr>
          <w:color w:val="231F20"/>
          <w:spacing w:val="-3"/>
          <w:sz w:val="20"/>
        </w:rPr>
        <w:t> </w:t>
      </w:r>
      <w:r>
        <w:rPr>
          <w:color w:val="231F20"/>
          <w:sz w:val="20"/>
        </w:rPr>
        <w:t>успешно</w:t>
      </w:r>
      <w:r>
        <w:rPr>
          <w:color w:val="231F20"/>
          <w:spacing w:val="-3"/>
          <w:sz w:val="20"/>
        </w:rPr>
        <w:t> </w:t>
      </w:r>
      <w:r>
        <w:rPr>
          <w:color w:val="231F20"/>
          <w:sz w:val="20"/>
        </w:rPr>
        <w:t>выполнить</w:t>
      </w:r>
      <w:r>
        <w:rPr>
          <w:color w:val="231F20"/>
          <w:spacing w:val="-4"/>
          <w:sz w:val="20"/>
        </w:rPr>
        <w:t> </w:t>
      </w:r>
      <w:r>
        <w:rPr>
          <w:color w:val="231F20"/>
          <w:sz w:val="20"/>
        </w:rPr>
        <w:t>это</w:t>
      </w:r>
      <w:r>
        <w:rPr>
          <w:color w:val="231F20"/>
          <w:spacing w:val="-2"/>
          <w:sz w:val="20"/>
        </w:rPr>
        <w:t> упражнение?</w:t>
      </w:r>
    </w:p>
    <w:p>
      <w:pPr>
        <w:pStyle w:val="ListParagraph"/>
        <w:numPr>
          <w:ilvl w:val="0"/>
          <w:numId w:val="310"/>
        </w:numPr>
        <w:tabs>
          <w:tab w:pos="424" w:val="left" w:leader="none"/>
        </w:tabs>
        <w:spacing w:line="224" w:lineRule="exact" w:before="0" w:after="0"/>
        <w:ind w:left="424" w:right="0" w:hanging="283"/>
        <w:jc w:val="left"/>
        <w:rPr>
          <w:sz w:val="20"/>
        </w:rPr>
      </w:pPr>
      <w:r>
        <w:rPr>
          <w:color w:val="231F20"/>
          <w:sz w:val="20"/>
        </w:rPr>
        <w:t>Столкнулись</w:t>
      </w:r>
      <w:r>
        <w:rPr>
          <w:color w:val="231F20"/>
          <w:spacing w:val="-7"/>
          <w:sz w:val="20"/>
        </w:rPr>
        <w:t> </w:t>
      </w:r>
      <w:r>
        <w:rPr>
          <w:color w:val="231F20"/>
          <w:sz w:val="20"/>
        </w:rPr>
        <w:t>ли</w:t>
      </w:r>
      <w:r>
        <w:rPr>
          <w:color w:val="231F20"/>
          <w:spacing w:val="-5"/>
          <w:sz w:val="20"/>
        </w:rPr>
        <w:t> </w:t>
      </w:r>
      <w:r>
        <w:rPr>
          <w:color w:val="231F20"/>
          <w:sz w:val="20"/>
        </w:rPr>
        <w:t>вы</w:t>
      </w:r>
      <w:r>
        <w:rPr>
          <w:color w:val="231F20"/>
          <w:spacing w:val="-4"/>
          <w:sz w:val="20"/>
        </w:rPr>
        <w:t> </w:t>
      </w:r>
      <w:r>
        <w:rPr>
          <w:color w:val="231F20"/>
          <w:sz w:val="20"/>
        </w:rPr>
        <w:t>с</w:t>
      </w:r>
      <w:r>
        <w:rPr>
          <w:color w:val="231F20"/>
          <w:spacing w:val="-4"/>
          <w:sz w:val="20"/>
        </w:rPr>
        <w:t> </w:t>
      </w:r>
      <w:r>
        <w:rPr>
          <w:color w:val="231F20"/>
          <w:sz w:val="20"/>
        </w:rPr>
        <w:t>чем-то,</w:t>
      </w:r>
      <w:r>
        <w:rPr>
          <w:color w:val="231F20"/>
          <w:spacing w:val="-4"/>
          <w:sz w:val="20"/>
        </w:rPr>
        <w:t> </w:t>
      </w:r>
      <w:r>
        <w:rPr>
          <w:color w:val="231F20"/>
          <w:sz w:val="20"/>
        </w:rPr>
        <w:t>что</w:t>
      </w:r>
      <w:r>
        <w:rPr>
          <w:color w:val="231F20"/>
          <w:spacing w:val="-4"/>
          <w:sz w:val="20"/>
        </w:rPr>
        <w:t> </w:t>
      </w:r>
      <w:r>
        <w:rPr>
          <w:color w:val="231F20"/>
          <w:sz w:val="20"/>
        </w:rPr>
        <w:t>сильно</w:t>
      </w:r>
      <w:r>
        <w:rPr>
          <w:color w:val="231F20"/>
          <w:spacing w:val="-4"/>
          <w:sz w:val="20"/>
        </w:rPr>
        <w:t> </w:t>
      </w:r>
      <w:r>
        <w:rPr>
          <w:color w:val="231F20"/>
          <w:sz w:val="20"/>
        </w:rPr>
        <w:t>усложнило</w:t>
      </w:r>
      <w:r>
        <w:rPr>
          <w:color w:val="231F20"/>
          <w:spacing w:val="-4"/>
          <w:sz w:val="20"/>
        </w:rPr>
        <w:t> </w:t>
      </w:r>
      <w:r>
        <w:rPr>
          <w:color w:val="231F20"/>
          <w:sz w:val="20"/>
        </w:rPr>
        <w:t>выполнение</w:t>
      </w:r>
      <w:r>
        <w:rPr>
          <w:color w:val="231F20"/>
          <w:spacing w:val="-4"/>
          <w:sz w:val="20"/>
        </w:rPr>
        <w:t> </w:t>
      </w:r>
      <w:r>
        <w:rPr>
          <w:color w:val="231F20"/>
          <w:spacing w:val="-2"/>
          <w:sz w:val="20"/>
        </w:rPr>
        <w:t>упражнения?</w:t>
      </w:r>
    </w:p>
    <w:p>
      <w:pPr>
        <w:pStyle w:val="ListParagraph"/>
        <w:numPr>
          <w:ilvl w:val="0"/>
          <w:numId w:val="310"/>
        </w:numPr>
        <w:tabs>
          <w:tab w:pos="424" w:val="left" w:leader="none"/>
        </w:tabs>
        <w:spacing w:line="227" w:lineRule="exact" w:before="0" w:after="0"/>
        <w:ind w:left="424" w:right="0" w:hanging="283"/>
        <w:jc w:val="left"/>
        <w:rPr>
          <w:sz w:val="20"/>
        </w:rPr>
      </w:pPr>
      <w:r>
        <w:rPr>
          <w:color w:val="231F20"/>
          <w:sz w:val="20"/>
        </w:rPr>
        <w:t>Что</w:t>
      </w:r>
      <w:r>
        <w:rPr>
          <w:color w:val="231F20"/>
          <w:spacing w:val="-2"/>
          <w:sz w:val="20"/>
        </w:rPr>
        <w:t> </w:t>
      </w:r>
      <w:r>
        <w:rPr>
          <w:color w:val="231F20"/>
          <w:sz w:val="20"/>
        </w:rPr>
        <w:t>можно</w:t>
      </w:r>
      <w:r>
        <w:rPr>
          <w:color w:val="231F20"/>
          <w:spacing w:val="-2"/>
          <w:sz w:val="20"/>
        </w:rPr>
        <w:t> </w:t>
      </w:r>
      <w:r>
        <w:rPr>
          <w:color w:val="231F20"/>
          <w:sz w:val="20"/>
        </w:rPr>
        <w:t>сделать,</w:t>
      </w:r>
      <w:r>
        <w:rPr>
          <w:color w:val="231F20"/>
          <w:spacing w:val="-3"/>
          <w:sz w:val="20"/>
        </w:rPr>
        <w:t> </w:t>
      </w:r>
      <w:r>
        <w:rPr>
          <w:color w:val="231F20"/>
          <w:sz w:val="20"/>
        </w:rPr>
        <w:t>чтобы</w:t>
      </w:r>
      <w:r>
        <w:rPr>
          <w:color w:val="231F20"/>
          <w:spacing w:val="-2"/>
          <w:sz w:val="20"/>
        </w:rPr>
        <w:t> </w:t>
      </w:r>
      <w:r>
        <w:rPr>
          <w:color w:val="231F20"/>
          <w:sz w:val="20"/>
        </w:rPr>
        <w:t>ваша</w:t>
      </w:r>
      <w:r>
        <w:rPr>
          <w:color w:val="231F20"/>
          <w:spacing w:val="-2"/>
          <w:sz w:val="20"/>
        </w:rPr>
        <w:t> </w:t>
      </w:r>
      <w:r>
        <w:rPr>
          <w:color w:val="231F20"/>
          <w:sz w:val="20"/>
        </w:rPr>
        <w:t>группа</w:t>
      </w:r>
      <w:r>
        <w:rPr>
          <w:color w:val="231F20"/>
          <w:spacing w:val="-2"/>
          <w:sz w:val="20"/>
        </w:rPr>
        <w:t> </w:t>
      </w:r>
      <w:r>
        <w:rPr>
          <w:color w:val="231F20"/>
          <w:sz w:val="20"/>
        </w:rPr>
        <w:t>работала</w:t>
      </w:r>
      <w:r>
        <w:rPr>
          <w:color w:val="231F20"/>
          <w:spacing w:val="-2"/>
          <w:sz w:val="20"/>
        </w:rPr>
        <w:t> </w:t>
      </w:r>
      <w:r>
        <w:rPr>
          <w:color w:val="231F20"/>
          <w:sz w:val="20"/>
        </w:rPr>
        <w:t>вместе</w:t>
      </w:r>
      <w:r>
        <w:rPr>
          <w:color w:val="231F20"/>
          <w:spacing w:val="-2"/>
          <w:sz w:val="20"/>
        </w:rPr>
        <w:t> </w:t>
      </w:r>
      <w:r>
        <w:rPr>
          <w:color w:val="231F20"/>
          <w:sz w:val="20"/>
        </w:rPr>
        <w:t>еще</w:t>
      </w:r>
      <w:r>
        <w:rPr>
          <w:color w:val="231F20"/>
          <w:spacing w:val="-2"/>
          <w:sz w:val="20"/>
        </w:rPr>
        <w:t> </w:t>
      </w:r>
      <w:r>
        <w:rPr>
          <w:color w:val="231F20"/>
          <w:sz w:val="20"/>
        </w:rPr>
        <w:t>быстрее</w:t>
      </w:r>
      <w:r>
        <w:rPr>
          <w:color w:val="231F20"/>
          <w:spacing w:val="-2"/>
          <w:sz w:val="20"/>
        </w:rPr>
        <w:t> </w:t>
      </w:r>
      <w:r>
        <w:rPr>
          <w:color w:val="231F20"/>
          <w:sz w:val="20"/>
        </w:rPr>
        <w:t>и</w:t>
      </w:r>
      <w:r>
        <w:rPr>
          <w:color w:val="231F20"/>
          <w:spacing w:val="-2"/>
          <w:sz w:val="20"/>
        </w:rPr>
        <w:t> лучше?</w:t>
      </w:r>
    </w:p>
    <w:p>
      <w:pPr>
        <w:spacing w:line="227" w:lineRule="exact" w:before="107"/>
        <w:ind w:left="2278" w:right="0" w:firstLine="0"/>
        <w:jc w:val="left"/>
        <w:rPr>
          <w:b/>
          <w:sz w:val="20"/>
        </w:rPr>
      </w:pPr>
      <w:r>
        <w:rPr>
          <w:b/>
          <w:color w:val="231F20"/>
          <w:sz w:val="20"/>
        </w:rPr>
        <w:t>Упражнение</w:t>
      </w:r>
      <w:r>
        <w:rPr>
          <w:b/>
          <w:color w:val="231F20"/>
          <w:spacing w:val="-14"/>
          <w:sz w:val="20"/>
        </w:rPr>
        <w:t> </w:t>
      </w:r>
      <w:r>
        <w:rPr>
          <w:b/>
          <w:color w:val="231F20"/>
          <w:sz w:val="20"/>
        </w:rPr>
        <w:t>«Ракета</w:t>
      </w:r>
      <w:r>
        <w:rPr>
          <w:b/>
          <w:color w:val="231F20"/>
          <w:spacing w:val="-12"/>
          <w:sz w:val="20"/>
        </w:rPr>
        <w:t> </w:t>
      </w:r>
      <w:r>
        <w:rPr>
          <w:b/>
          <w:color w:val="231F20"/>
          <w:spacing w:val="-2"/>
          <w:sz w:val="20"/>
        </w:rPr>
        <w:t>Эпштейна»</w:t>
      </w:r>
    </w:p>
    <w:p>
      <w:pPr>
        <w:pStyle w:val="BodyText"/>
        <w:spacing w:line="232" w:lineRule="auto" w:before="3"/>
      </w:pPr>
      <w:r>
        <w:rPr>
          <w:color w:val="231F20"/>
        </w:rPr>
        <w:t>Это упражнение разработано Эпштейном в 1972 году для улучшения навыков ведения дискуссии в малых группах сотрудничества и адаптировано Э. Коэном для работы с учащимися школ.</w:t>
      </w:r>
    </w:p>
    <w:p>
      <w:pPr>
        <w:pStyle w:val="BodyText"/>
        <w:spacing w:line="235" w:lineRule="auto" w:before="1"/>
      </w:pPr>
      <w:r>
        <w:rPr>
          <w:color w:val="231F20"/>
        </w:rPr>
        <w:t>Учитель</w:t>
      </w:r>
      <w:r>
        <w:rPr>
          <w:color w:val="231F20"/>
          <w:spacing w:val="-13"/>
        </w:rPr>
        <w:t> </w:t>
      </w:r>
      <w:r>
        <w:rPr>
          <w:color w:val="231F20"/>
        </w:rPr>
        <w:t>объясняет</w:t>
      </w:r>
      <w:r>
        <w:rPr>
          <w:color w:val="231F20"/>
          <w:spacing w:val="-12"/>
        </w:rPr>
        <w:t> </w:t>
      </w:r>
      <w:r>
        <w:rPr>
          <w:color w:val="231F20"/>
        </w:rPr>
        <w:t>классу,</w:t>
      </w:r>
      <w:r>
        <w:rPr>
          <w:color w:val="231F20"/>
          <w:spacing w:val="-13"/>
        </w:rPr>
        <w:t> </w:t>
      </w:r>
      <w:r>
        <w:rPr>
          <w:color w:val="231F20"/>
        </w:rPr>
        <w:t>что</w:t>
      </w:r>
      <w:r>
        <w:rPr>
          <w:color w:val="231F20"/>
          <w:spacing w:val="-12"/>
        </w:rPr>
        <w:t> </w:t>
      </w:r>
      <w:r>
        <w:rPr>
          <w:color w:val="231F20"/>
        </w:rPr>
        <w:t>для</w:t>
      </w:r>
      <w:r>
        <w:rPr>
          <w:color w:val="231F20"/>
          <w:spacing w:val="-13"/>
        </w:rPr>
        <w:t> </w:t>
      </w:r>
      <w:r>
        <w:rPr>
          <w:color w:val="231F20"/>
        </w:rPr>
        <w:t>эффективной</w:t>
      </w:r>
      <w:r>
        <w:rPr>
          <w:color w:val="231F20"/>
          <w:spacing w:val="-12"/>
        </w:rPr>
        <w:t> </w:t>
      </w:r>
      <w:r>
        <w:rPr>
          <w:color w:val="231F20"/>
        </w:rPr>
        <w:t>работы</w:t>
      </w:r>
      <w:r>
        <w:rPr>
          <w:color w:val="231F20"/>
          <w:spacing w:val="-13"/>
        </w:rPr>
        <w:t> </w:t>
      </w:r>
      <w:r>
        <w:rPr>
          <w:color w:val="231F20"/>
        </w:rPr>
        <w:t>в</w:t>
      </w:r>
      <w:r>
        <w:rPr>
          <w:color w:val="231F20"/>
          <w:spacing w:val="-12"/>
        </w:rPr>
        <w:t> </w:t>
      </w:r>
      <w:r>
        <w:rPr>
          <w:color w:val="231F20"/>
        </w:rPr>
        <w:t>группах</w:t>
      </w:r>
      <w:r>
        <w:rPr>
          <w:color w:val="231F20"/>
          <w:spacing w:val="-13"/>
        </w:rPr>
        <w:t> </w:t>
      </w:r>
      <w:r>
        <w:rPr>
          <w:color w:val="231F20"/>
        </w:rPr>
        <w:t>каждому</w:t>
      </w:r>
      <w:r>
        <w:rPr>
          <w:color w:val="231F20"/>
          <w:spacing w:val="-12"/>
        </w:rPr>
        <w:t> </w:t>
      </w:r>
      <w:r>
        <w:rPr>
          <w:color w:val="231F20"/>
        </w:rPr>
        <w:t>участ- </w:t>
      </w:r>
      <w:r>
        <w:rPr>
          <w:color w:val="231F20"/>
          <w:spacing w:val="-4"/>
        </w:rPr>
        <w:t>нику очень важно уметь обсуждать разные вопросы с другими участниками. Далее учи- </w:t>
      </w:r>
      <w:r>
        <w:rPr>
          <w:color w:val="231F20"/>
          <w:spacing w:val="-2"/>
        </w:rPr>
        <w:t>тель</w:t>
      </w:r>
      <w:r>
        <w:rPr>
          <w:color w:val="231F20"/>
          <w:spacing w:val="-8"/>
        </w:rPr>
        <w:t> </w:t>
      </w:r>
      <w:r>
        <w:rPr>
          <w:color w:val="231F20"/>
          <w:spacing w:val="-2"/>
        </w:rPr>
        <w:t>делит</w:t>
      </w:r>
      <w:r>
        <w:rPr>
          <w:color w:val="231F20"/>
          <w:spacing w:val="-8"/>
        </w:rPr>
        <w:t> </w:t>
      </w:r>
      <w:r>
        <w:rPr>
          <w:color w:val="231F20"/>
          <w:spacing w:val="-2"/>
        </w:rPr>
        <w:t>класс</w:t>
      </w:r>
      <w:r>
        <w:rPr>
          <w:color w:val="231F20"/>
          <w:spacing w:val="-8"/>
        </w:rPr>
        <w:t> </w:t>
      </w:r>
      <w:r>
        <w:rPr>
          <w:color w:val="231F20"/>
          <w:spacing w:val="-2"/>
        </w:rPr>
        <w:t>на</w:t>
      </w:r>
      <w:r>
        <w:rPr>
          <w:color w:val="231F20"/>
          <w:spacing w:val="-8"/>
        </w:rPr>
        <w:t> </w:t>
      </w:r>
      <w:r>
        <w:rPr>
          <w:color w:val="231F20"/>
          <w:spacing w:val="-2"/>
        </w:rPr>
        <w:t>группы</w:t>
      </w:r>
      <w:r>
        <w:rPr>
          <w:color w:val="231F20"/>
          <w:spacing w:val="-8"/>
        </w:rPr>
        <w:t> </w:t>
      </w:r>
      <w:r>
        <w:rPr>
          <w:color w:val="231F20"/>
          <w:spacing w:val="-2"/>
        </w:rPr>
        <w:t>по</w:t>
      </w:r>
      <w:r>
        <w:rPr>
          <w:color w:val="231F20"/>
          <w:spacing w:val="-8"/>
        </w:rPr>
        <w:t> </w:t>
      </w:r>
      <w:r>
        <w:rPr>
          <w:color w:val="231F20"/>
          <w:spacing w:val="-2"/>
        </w:rPr>
        <w:t>пять</w:t>
      </w:r>
      <w:r>
        <w:rPr>
          <w:color w:val="231F20"/>
          <w:spacing w:val="-8"/>
        </w:rPr>
        <w:t> </w:t>
      </w:r>
      <w:r>
        <w:rPr>
          <w:color w:val="231F20"/>
          <w:spacing w:val="-2"/>
        </w:rPr>
        <w:t>человек</w:t>
      </w:r>
      <w:r>
        <w:rPr>
          <w:color w:val="231F20"/>
          <w:spacing w:val="-8"/>
        </w:rPr>
        <w:t> </w:t>
      </w:r>
      <w:r>
        <w:rPr>
          <w:color w:val="231F20"/>
          <w:spacing w:val="-2"/>
        </w:rPr>
        <w:t>и</w:t>
      </w:r>
      <w:r>
        <w:rPr>
          <w:color w:val="231F20"/>
          <w:spacing w:val="-8"/>
        </w:rPr>
        <w:t> </w:t>
      </w:r>
      <w:r>
        <w:rPr>
          <w:color w:val="231F20"/>
          <w:spacing w:val="-2"/>
        </w:rPr>
        <w:t>предлагает</w:t>
      </w:r>
      <w:r>
        <w:rPr>
          <w:color w:val="231F20"/>
          <w:spacing w:val="-8"/>
        </w:rPr>
        <w:t> </w:t>
      </w:r>
      <w:r>
        <w:rPr>
          <w:color w:val="231F20"/>
          <w:spacing w:val="-2"/>
        </w:rPr>
        <w:t>каждой</w:t>
      </w:r>
      <w:r>
        <w:rPr>
          <w:color w:val="231F20"/>
          <w:spacing w:val="-8"/>
        </w:rPr>
        <w:t> </w:t>
      </w:r>
      <w:r>
        <w:rPr>
          <w:color w:val="231F20"/>
          <w:spacing w:val="-2"/>
        </w:rPr>
        <w:t>прочитать</w:t>
      </w:r>
      <w:r>
        <w:rPr>
          <w:color w:val="231F20"/>
          <w:spacing w:val="-8"/>
        </w:rPr>
        <w:t> </w:t>
      </w:r>
      <w:r>
        <w:rPr>
          <w:color w:val="231F20"/>
          <w:spacing w:val="-2"/>
        </w:rPr>
        <w:t>и</w:t>
      </w:r>
      <w:r>
        <w:rPr>
          <w:color w:val="231F20"/>
          <w:spacing w:val="-8"/>
        </w:rPr>
        <w:t> </w:t>
      </w:r>
      <w:r>
        <w:rPr>
          <w:color w:val="231F20"/>
          <w:spacing w:val="-2"/>
        </w:rPr>
        <w:t>обсудить </w:t>
      </w:r>
      <w:r>
        <w:rPr>
          <w:color w:val="231F20"/>
        </w:rPr>
        <w:t>какой-то интересный текст. На обсуждение текста отводится не более 5 минут. В то </w:t>
      </w:r>
      <w:r>
        <w:rPr>
          <w:color w:val="231F20"/>
          <w:spacing w:val="-2"/>
        </w:rPr>
        <w:t>время</w:t>
      </w:r>
      <w:r>
        <w:rPr>
          <w:color w:val="231F20"/>
          <w:spacing w:val="-4"/>
        </w:rPr>
        <w:t> </w:t>
      </w:r>
      <w:r>
        <w:rPr>
          <w:color w:val="231F20"/>
          <w:spacing w:val="-2"/>
        </w:rPr>
        <w:t>как</w:t>
      </w:r>
      <w:r>
        <w:rPr>
          <w:color w:val="231F20"/>
          <w:spacing w:val="-4"/>
        </w:rPr>
        <w:t> </w:t>
      </w:r>
      <w:r>
        <w:rPr>
          <w:color w:val="231F20"/>
          <w:spacing w:val="-2"/>
        </w:rPr>
        <w:t>учащиеся</w:t>
      </w:r>
      <w:r>
        <w:rPr>
          <w:color w:val="231F20"/>
          <w:spacing w:val="-4"/>
        </w:rPr>
        <w:t> </w:t>
      </w:r>
      <w:r>
        <w:rPr>
          <w:color w:val="231F20"/>
          <w:spacing w:val="-2"/>
        </w:rPr>
        <w:t>обсуждают</w:t>
      </w:r>
      <w:r>
        <w:rPr>
          <w:color w:val="231F20"/>
          <w:spacing w:val="-4"/>
        </w:rPr>
        <w:t> </w:t>
      </w:r>
      <w:r>
        <w:rPr>
          <w:color w:val="231F20"/>
          <w:spacing w:val="-2"/>
        </w:rPr>
        <w:t>текст,</w:t>
      </w:r>
      <w:r>
        <w:rPr>
          <w:color w:val="231F20"/>
          <w:spacing w:val="-4"/>
        </w:rPr>
        <w:t> </w:t>
      </w:r>
      <w:r>
        <w:rPr>
          <w:color w:val="231F20"/>
          <w:spacing w:val="-2"/>
        </w:rPr>
        <w:t>учитель</w:t>
      </w:r>
      <w:r>
        <w:rPr>
          <w:color w:val="231F20"/>
          <w:spacing w:val="-4"/>
        </w:rPr>
        <w:t> </w:t>
      </w:r>
      <w:r>
        <w:rPr>
          <w:color w:val="231F20"/>
          <w:spacing w:val="-2"/>
        </w:rPr>
        <w:t>ходит</w:t>
      </w:r>
      <w:r>
        <w:rPr>
          <w:color w:val="231F20"/>
          <w:spacing w:val="-4"/>
        </w:rPr>
        <w:t> </w:t>
      </w:r>
      <w:r>
        <w:rPr>
          <w:color w:val="231F20"/>
          <w:spacing w:val="-2"/>
        </w:rPr>
        <w:t>вокруг,</w:t>
      </w:r>
      <w:r>
        <w:rPr>
          <w:color w:val="231F20"/>
          <w:spacing w:val="-4"/>
        </w:rPr>
        <w:t> </w:t>
      </w:r>
      <w:r>
        <w:rPr>
          <w:color w:val="231F20"/>
          <w:spacing w:val="-2"/>
        </w:rPr>
        <w:t>наблюдая</w:t>
      </w:r>
      <w:r>
        <w:rPr>
          <w:color w:val="231F20"/>
          <w:spacing w:val="-4"/>
        </w:rPr>
        <w:t> </w:t>
      </w:r>
      <w:r>
        <w:rPr>
          <w:color w:val="231F20"/>
          <w:spacing w:val="-2"/>
        </w:rPr>
        <w:t>за</w:t>
      </w:r>
      <w:r>
        <w:rPr>
          <w:color w:val="231F20"/>
          <w:spacing w:val="-4"/>
        </w:rPr>
        <w:t> </w:t>
      </w:r>
      <w:r>
        <w:rPr>
          <w:color w:val="231F20"/>
          <w:spacing w:val="-2"/>
        </w:rPr>
        <w:t>детьми,</w:t>
      </w:r>
      <w:r>
        <w:rPr>
          <w:color w:val="231F20"/>
          <w:spacing w:val="-4"/>
        </w:rPr>
        <w:t> </w:t>
      </w:r>
      <w:r>
        <w:rPr>
          <w:color w:val="231F20"/>
          <w:spacing w:val="-2"/>
        </w:rPr>
        <w:t>слу- шая</w:t>
      </w:r>
      <w:r>
        <w:rPr>
          <w:color w:val="231F20"/>
          <w:spacing w:val="-4"/>
        </w:rPr>
        <w:t> </w:t>
      </w:r>
      <w:r>
        <w:rPr>
          <w:color w:val="231F20"/>
          <w:spacing w:val="-2"/>
        </w:rPr>
        <w:t>их</w:t>
      </w:r>
      <w:r>
        <w:rPr>
          <w:color w:val="231F20"/>
          <w:spacing w:val="-4"/>
        </w:rPr>
        <w:t> </w:t>
      </w:r>
      <w:r>
        <w:rPr>
          <w:color w:val="231F20"/>
          <w:spacing w:val="-2"/>
        </w:rPr>
        <w:t>и</w:t>
      </w:r>
      <w:r>
        <w:rPr>
          <w:color w:val="231F20"/>
          <w:spacing w:val="-5"/>
        </w:rPr>
        <w:t> </w:t>
      </w:r>
      <w:r>
        <w:rPr>
          <w:color w:val="231F20"/>
          <w:spacing w:val="-2"/>
        </w:rPr>
        <w:t>делая</w:t>
      </w:r>
      <w:r>
        <w:rPr>
          <w:color w:val="231F20"/>
          <w:spacing w:val="-4"/>
        </w:rPr>
        <w:t> </w:t>
      </w:r>
      <w:r>
        <w:rPr>
          <w:color w:val="231F20"/>
          <w:spacing w:val="-2"/>
        </w:rPr>
        <w:t>записи</w:t>
      </w:r>
      <w:r>
        <w:rPr>
          <w:color w:val="231F20"/>
          <w:spacing w:val="-5"/>
        </w:rPr>
        <w:t> </w:t>
      </w:r>
      <w:r>
        <w:rPr>
          <w:color w:val="231F20"/>
          <w:spacing w:val="-2"/>
        </w:rPr>
        <w:t>положительных</w:t>
      </w:r>
      <w:r>
        <w:rPr>
          <w:color w:val="231F20"/>
          <w:spacing w:val="-4"/>
        </w:rPr>
        <w:t> </w:t>
      </w:r>
      <w:r>
        <w:rPr>
          <w:color w:val="231F20"/>
          <w:spacing w:val="-2"/>
        </w:rPr>
        <w:t>и</w:t>
      </w:r>
      <w:r>
        <w:rPr>
          <w:color w:val="231F20"/>
          <w:spacing w:val="-5"/>
        </w:rPr>
        <w:t> </w:t>
      </w:r>
      <w:r>
        <w:rPr>
          <w:color w:val="231F20"/>
          <w:spacing w:val="-2"/>
        </w:rPr>
        <w:t>отрицательных</w:t>
      </w:r>
      <w:r>
        <w:rPr>
          <w:color w:val="231F20"/>
          <w:spacing w:val="-4"/>
        </w:rPr>
        <w:t> </w:t>
      </w:r>
      <w:r>
        <w:rPr>
          <w:color w:val="231F20"/>
          <w:spacing w:val="-2"/>
        </w:rPr>
        <w:t>примеров</w:t>
      </w:r>
      <w:r>
        <w:rPr>
          <w:color w:val="231F20"/>
          <w:spacing w:val="-5"/>
        </w:rPr>
        <w:t> </w:t>
      </w:r>
      <w:r>
        <w:rPr>
          <w:color w:val="231F20"/>
          <w:spacing w:val="-2"/>
        </w:rPr>
        <w:t>ведения</w:t>
      </w:r>
      <w:r>
        <w:rPr>
          <w:color w:val="231F20"/>
          <w:spacing w:val="-4"/>
        </w:rPr>
        <w:t> </w:t>
      </w:r>
      <w:r>
        <w:rPr>
          <w:color w:val="231F20"/>
          <w:spacing w:val="-2"/>
        </w:rPr>
        <w:t>дискуссии.</w:t>
      </w:r>
    </w:p>
    <w:p>
      <w:pPr>
        <w:spacing w:line="228" w:lineRule="exact" w:before="48"/>
        <w:ind w:left="425" w:right="0" w:firstLine="0"/>
        <w:jc w:val="both"/>
        <w:rPr>
          <w:sz w:val="20"/>
        </w:rPr>
      </w:pPr>
      <w:r>
        <w:rPr>
          <w:i/>
          <w:color w:val="231F20"/>
          <w:sz w:val="20"/>
        </w:rPr>
        <w:t>Пример</w:t>
      </w:r>
      <w:r>
        <w:rPr>
          <w:i/>
          <w:color w:val="231F20"/>
          <w:spacing w:val="-3"/>
          <w:sz w:val="20"/>
        </w:rPr>
        <w:t> </w:t>
      </w:r>
      <w:r>
        <w:rPr>
          <w:i/>
          <w:color w:val="231F20"/>
          <w:sz w:val="20"/>
        </w:rPr>
        <w:t>текста</w:t>
      </w:r>
      <w:r>
        <w:rPr>
          <w:i/>
          <w:color w:val="231F20"/>
          <w:spacing w:val="-2"/>
          <w:sz w:val="20"/>
        </w:rPr>
        <w:t> </w:t>
      </w:r>
      <w:r>
        <w:rPr>
          <w:i/>
          <w:color w:val="231F20"/>
          <w:sz w:val="20"/>
        </w:rPr>
        <w:t>для</w:t>
      </w:r>
      <w:r>
        <w:rPr>
          <w:i/>
          <w:color w:val="231F20"/>
          <w:spacing w:val="-2"/>
          <w:sz w:val="20"/>
        </w:rPr>
        <w:t> обсуждения</w:t>
      </w:r>
      <w:r>
        <w:rPr>
          <w:color w:val="231F20"/>
          <w:spacing w:val="-2"/>
          <w:sz w:val="20"/>
        </w:rPr>
        <w:t>.</w:t>
      </w:r>
    </w:p>
    <w:p>
      <w:pPr>
        <w:spacing w:line="226" w:lineRule="exact" w:before="0"/>
        <w:ind w:left="425" w:right="0" w:firstLine="0"/>
        <w:jc w:val="both"/>
        <w:rPr>
          <w:b/>
          <w:i/>
          <w:sz w:val="20"/>
        </w:rPr>
      </w:pPr>
      <w:r>
        <w:rPr>
          <w:b/>
          <w:i/>
          <w:color w:val="231F20"/>
          <w:spacing w:val="-2"/>
          <w:sz w:val="20"/>
        </w:rPr>
        <w:t>Космический</w:t>
      </w:r>
      <w:r>
        <w:rPr>
          <w:b/>
          <w:i/>
          <w:color w:val="231F20"/>
          <w:spacing w:val="7"/>
          <w:sz w:val="20"/>
        </w:rPr>
        <w:t> </w:t>
      </w:r>
      <w:r>
        <w:rPr>
          <w:b/>
          <w:i/>
          <w:color w:val="231F20"/>
          <w:spacing w:val="-2"/>
          <w:sz w:val="20"/>
        </w:rPr>
        <w:t>корабль</w:t>
      </w:r>
    </w:p>
    <w:p>
      <w:pPr>
        <w:spacing w:line="235" w:lineRule="auto" w:before="2"/>
        <w:ind w:left="141" w:right="139" w:firstLine="283"/>
        <w:jc w:val="both"/>
        <w:rPr>
          <w:i/>
          <w:sz w:val="20"/>
        </w:rPr>
      </w:pPr>
      <w:r>
        <w:rPr>
          <w:color w:val="231F20"/>
          <w:sz w:val="20"/>
        </w:rPr>
        <w:t>–</w:t>
      </w:r>
      <w:r>
        <w:rPr>
          <w:color w:val="231F20"/>
          <w:spacing w:val="-2"/>
          <w:sz w:val="20"/>
        </w:rPr>
        <w:t> </w:t>
      </w:r>
      <w:r>
        <w:rPr>
          <w:i/>
          <w:color w:val="231F20"/>
          <w:sz w:val="20"/>
        </w:rPr>
        <w:t>Известно,</w:t>
      </w:r>
      <w:r>
        <w:rPr>
          <w:i/>
          <w:color w:val="231F20"/>
          <w:spacing w:val="-2"/>
          <w:sz w:val="20"/>
        </w:rPr>
        <w:t> </w:t>
      </w:r>
      <w:r>
        <w:rPr>
          <w:i/>
          <w:color w:val="231F20"/>
          <w:sz w:val="20"/>
        </w:rPr>
        <w:t>что</w:t>
      </w:r>
      <w:r>
        <w:rPr>
          <w:i/>
          <w:color w:val="231F20"/>
          <w:spacing w:val="-2"/>
          <w:sz w:val="20"/>
        </w:rPr>
        <w:t> </w:t>
      </w:r>
      <w:r>
        <w:rPr>
          <w:i/>
          <w:color w:val="231F20"/>
          <w:sz w:val="20"/>
        </w:rPr>
        <w:t>к</w:t>
      </w:r>
      <w:r>
        <w:rPr>
          <w:i/>
          <w:color w:val="231F20"/>
          <w:spacing w:val="-2"/>
          <w:sz w:val="20"/>
        </w:rPr>
        <w:t> </w:t>
      </w:r>
      <w:r>
        <w:rPr>
          <w:i/>
          <w:color w:val="231F20"/>
          <w:sz w:val="20"/>
        </w:rPr>
        <w:t>Земле</w:t>
      </w:r>
      <w:r>
        <w:rPr>
          <w:i/>
          <w:color w:val="231F20"/>
          <w:spacing w:val="-2"/>
          <w:sz w:val="20"/>
        </w:rPr>
        <w:t> </w:t>
      </w:r>
      <w:r>
        <w:rPr>
          <w:i/>
          <w:color w:val="231F20"/>
          <w:sz w:val="20"/>
        </w:rPr>
        <w:t>летит</w:t>
      </w:r>
      <w:r>
        <w:rPr>
          <w:i/>
          <w:color w:val="231F20"/>
          <w:spacing w:val="-2"/>
          <w:sz w:val="20"/>
        </w:rPr>
        <w:t> </w:t>
      </w:r>
      <w:r>
        <w:rPr>
          <w:i/>
          <w:color w:val="231F20"/>
          <w:sz w:val="20"/>
        </w:rPr>
        <w:t>метеорит,</w:t>
      </w:r>
      <w:r>
        <w:rPr>
          <w:i/>
          <w:color w:val="231F20"/>
          <w:spacing w:val="-2"/>
          <w:sz w:val="20"/>
        </w:rPr>
        <w:t> </w:t>
      </w:r>
      <w:r>
        <w:rPr>
          <w:i/>
          <w:color w:val="231F20"/>
          <w:sz w:val="20"/>
        </w:rPr>
        <w:t>столкновение</w:t>
      </w:r>
      <w:r>
        <w:rPr>
          <w:i/>
          <w:color w:val="231F20"/>
          <w:spacing w:val="-2"/>
          <w:sz w:val="20"/>
        </w:rPr>
        <w:t> </w:t>
      </w:r>
      <w:r>
        <w:rPr>
          <w:i/>
          <w:color w:val="231F20"/>
          <w:sz w:val="20"/>
        </w:rPr>
        <w:t>с</w:t>
      </w:r>
      <w:r>
        <w:rPr>
          <w:i/>
          <w:color w:val="231F20"/>
          <w:spacing w:val="-2"/>
          <w:sz w:val="20"/>
        </w:rPr>
        <w:t> </w:t>
      </w:r>
      <w:r>
        <w:rPr>
          <w:i/>
          <w:color w:val="231F20"/>
          <w:sz w:val="20"/>
        </w:rPr>
        <w:t>которым,</w:t>
      </w:r>
      <w:r>
        <w:rPr>
          <w:i/>
          <w:color w:val="231F20"/>
          <w:spacing w:val="-2"/>
          <w:sz w:val="20"/>
        </w:rPr>
        <w:t> </w:t>
      </w:r>
      <w:r>
        <w:rPr>
          <w:i/>
          <w:color w:val="231F20"/>
          <w:sz w:val="20"/>
        </w:rPr>
        <w:t>возможно, приведет к гибели всего живого на нашей планете. На космическом корабле, кото- рый отправится к далекой планете, где возродится человеческая цивилизация, мо- жет</w:t>
      </w:r>
      <w:r>
        <w:rPr>
          <w:i/>
          <w:color w:val="231F20"/>
          <w:spacing w:val="-3"/>
          <w:sz w:val="20"/>
        </w:rPr>
        <w:t> </w:t>
      </w:r>
      <w:r>
        <w:rPr>
          <w:i/>
          <w:color w:val="231F20"/>
          <w:sz w:val="20"/>
        </w:rPr>
        <w:t>разместиться</w:t>
      </w:r>
      <w:r>
        <w:rPr>
          <w:i/>
          <w:color w:val="231F20"/>
          <w:spacing w:val="-3"/>
          <w:sz w:val="20"/>
        </w:rPr>
        <w:t> </w:t>
      </w:r>
      <w:r>
        <w:rPr>
          <w:i/>
          <w:color w:val="231F20"/>
          <w:sz w:val="20"/>
        </w:rPr>
        <w:t>только</w:t>
      </w:r>
      <w:r>
        <w:rPr>
          <w:i/>
          <w:color w:val="231F20"/>
          <w:spacing w:val="-3"/>
          <w:sz w:val="20"/>
        </w:rPr>
        <w:t> </w:t>
      </w:r>
      <w:r>
        <w:rPr>
          <w:i/>
          <w:color w:val="231F20"/>
          <w:sz w:val="20"/>
        </w:rPr>
        <w:t>семь</w:t>
      </w:r>
      <w:r>
        <w:rPr>
          <w:i/>
          <w:color w:val="231F20"/>
          <w:spacing w:val="-3"/>
          <w:sz w:val="20"/>
        </w:rPr>
        <w:t> </w:t>
      </w:r>
      <w:r>
        <w:rPr>
          <w:i/>
          <w:color w:val="231F20"/>
          <w:sz w:val="20"/>
        </w:rPr>
        <w:t>человек.</w:t>
      </w:r>
      <w:r>
        <w:rPr>
          <w:i/>
          <w:color w:val="231F20"/>
          <w:spacing w:val="-3"/>
          <w:sz w:val="20"/>
        </w:rPr>
        <w:t> </w:t>
      </w:r>
      <w:r>
        <w:rPr>
          <w:i/>
          <w:color w:val="231F20"/>
          <w:sz w:val="20"/>
        </w:rPr>
        <w:t>Ваша</w:t>
      </w:r>
      <w:r>
        <w:rPr>
          <w:i/>
          <w:color w:val="231F20"/>
          <w:spacing w:val="-3"/>
          <w:sz w:val="20"/>
        </w:rPr>
        <w:t> </w:t>
      </w:r>
      <w:r>
        <w:rPr>
          <w:i/>
          <w:color w:val="231F20"/>
          <w:sz w:val="20"/>
        </w:rPr>
        <w:t>группа</w:t>
      </w:r>
      <w:r>
        <w:rPr>
          <w:i/>
          <w:color w:val="231F20"/>
          <w:spacing w:val="-3"/>
          <w:sz w:val="20"/>
        </w:rPr>
        <w:t> </w:t>
      </w:r>
      <w:r>
        <w:rPr>
          <w:i/>
          <w:color w:val="231F20"/>
          <w:sz w:val="20"/>
        </w:rPr>
        <w:t>должна</w:t>
      </w:r>
      <w:r>
        <w:rPr>
          <w:i/>
          <w:color w:val="231F20"/>
          <w:spacing w:val="-3"/>
          <w:sz w:val="20"/>
        </w:rPr>
        <w:t> </w:t>
      </w:r>
      <w:r>
        <w:rPr>
          <w:i/>
          <w:color w:val="231F20"/>
          <w:sz w:val="20"/>
        </w:rPr>
        <w:t>решить,</w:t>
      </w:r>
      <w:r>
        <w:rPr>
          <w:i/>
          <w:color w:val="231F20"/>
          <w:spacing w:val="-3"/>
          <w:sz w:val="20"/>
        </w:rPr>
        <w:t> </w:t>
      </w:r>
      <w:r>
        <w:rPr>
          <w:i/>
          <w:color w:val="231F20"/>
          <w:sz w:val="20"/>
        </w:rPr>
        <w:t>кто</w:t>
      </w:r>
      <w:r>
        <w:rPr>
          <w:i/>
          <w:color w:val="231F20"/>
          <w:spacing w:val="-3"/>
          <w:sz w:val="20"/>
        </w:rPr>
        <w:t> </w:t>
      </w:r>
      <w:r>
        <w:rPr>
          <w:i/>
          <w:color w:val="231F20"/>
          <w:sz w:val="20"/>
        </w:rPr>
        <w:t>именно эти</w:t>
      </w:r>
      <w:r>
        <w:rPr>
          <w:i/>
          <w:color w:val="231F20"/>
          <w:spacing w:val="14"/>
          <w:sz w:val="20"/>
        </w:rPr>
        <w:t> </w:t>
      </w:r>
      <w:r>
        <w:rPr>
          <w:i/>
          <w:color w:val="231F20"/>
          <w:sz w:val="20"/>
        </w:rPr>
        <w:t>семь</w:t>
      </w:r>
      <w:r>
        <w:rPr>
          <w:i/>
          <w:color w:val="231F20"/>
          <w:spacing w:val="16"/>
          <w:sz w:val="20"/>
        </w:rPr>
        <w:t> </w:t>
      </w:r>
      <w:r>
        <w:rPr>
          <w:i/>
          <w:color w:val="231F20"/>
          <w:sz w:val="20"/>
        </w:rPr>
        <w:t>человек</w:t>
      </w:r>
      <w:r>
        <w:rPr>
          <w:i/>
          <w:color w:val="231F20"/>
          <w:spacing w:val="16"/>
          <w:sz w:val="20"/>
        </w:rPr>
        <w:t> </w:t>
      </w:r>
      <w:r>
        <w:rPr>
          <w:i/>
          <w:color w:val="231F20"/>
          <w:sz w:val="20"/>
        </w:rPr>
        <w:t>из</w:t>
      </w:r>
      <w:r>
        <w:rPr>
          <w:i/>
          <w:color w:val="231F20"/>
          <w:spacing w:val="16"/>
          <w:sz w:val="20"/>
        </w:rPr>
        <w:t> </w:t>
      </w:r>
      <w:r>
        <w:rPr>
          <w:i/>
          <w:color w:val="231F20"/>
          <w:sz w:val="20"/>
        </w:rPr>
        <w:t>11,</w:t>
      </w:r>
      <w:r>
        <w:rPr>
          <w:i/>
          <w:color w:val="231F20"/>
          <w:spacing w:val="16"/>
          <w:sz w:val="20"/>
        </w:rPr>
        <w:t> </w:t>
      </w:r>
      <w:r>
        <w:rPr>
          <w:i/>
          <w:color w:val="231F20"/>
          <w:sz w:val="20"/>
        </w:rPr>
        <w:t>которых</w:t>
      </w:r>
      <w:r>
        <w:rPr>
          <w:i/>
          <w:color w:val="231F20"/>
          <w:spacing w:val="16"/>
          <w:sz w:val="20"/>
        </w:rPr>
        <w:t> </w:t>
      </w:r>
      <w:r>
        <w:rPr>
          <w:i/>
          <w:color w:val="231F20"/>
          <w:sz w:val="20"/>
        </w:rPr>
        <w:t>ученые</w:t>
      </w:r>
      <w:r>
        <w:rPr>
          <w:i/>
          <w:color w:val="231F20"/>
          <w:spacing w:val="16"/>
          <w:sz w:val="20"/>
        </w:rPr>
        <w:t> </w:t>
      </w:r>
      <w:r>
        <w:rPr>
          <w:i/>
          <w:color w:val="231F20"/>
          <w:sz w:val="20"/>
        </w:rPr>
        <w:t>включили</w:t>
      </w:r>
      <w:r>
        <w:rPr>
          <w:i/>
          <w:color w:val="231F20"/>
          <w:spacing w:val="16"/>
          <w:sz w:val="20"/>
        </w:rPr>
        <w:t> </w:t>
      </w:r>
      <w:r>
        <w:rPr>
          <w:i/>
          <w:color w:val="231F20"/>
          <w:sz w:val="20"/>
        </w:rPr>
        <w:t>в</w:t>
      </w:r>
      <w:r>
        <w:rPr>
          <w:i/>
          <w:color w:val="231F20"/>
          <w:spacing w:val="16"/>
          <w:sz w:val="20"/>
        </w:rPr>
        <w:t> </w:t>
      </w:r>
      <w:r>
        <w:rPr>
          <w:i/>
          <w:color w:val="231F20"/>
          <w:sz w:val="20"/>
        </w:rPr>
        <w:t>итоговый</w:t>
      </w:r>
      <w:r>
        <w:rPr>
          <w:i/>
          <w:color w:val="231F20"/>
          <w:spacing w:val="16"/>
          <w:sz w:val="20"/>
        </w:rPr>
        <w:t> </w:t>
      </w:r>
      <w:r>
        <w:rPr>
          <w:i/>
          <w:color w:val="231F20"/>
          <w:sz w:val="20"/>
        </w:rPr>
        <w:t>список</w:t>
      </w:r>
      <w:r>
        <w:rPr>
          <w:i/>
          <w:color w:val="231F20"/>
          <w:spacing w:val="16"/>
          <w:sz w:val="20"/>
        </w:rPr>
        <w:t> </w:t>
      </w:r>
      <w:r>
        <w:rPr>
          <w:i/>
          <w:color w:val="231F20"/>
          <w:spacing w:val="-2"/>
          <w:sz w:val="20"/>
        </w:rPr>
        <w:t>кандидатов.</w:t>
      </w:r>
    </w:p>
    <w:p>
      <w:pPr>
        <w:spacing w:after="0" w:line="235" w:lineRule="auto"/>
        <w:jc w:val="both"/>
        <w:rPr>
          <w:i/>
          <w:sz w:val="20"/>
        </w:rPr>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line="235" w:lineRule="auto" w:before="116"/>
        <w:ind w:left="141" w:right="0" w:firstLine="0"/>
        <w:jc w:val="left"/>
        <w:rPr>
          <w:i/>
          <w:sz w:val="20"/>
        </w:rPr>
      </w:pPr>
      <w:r>
        <w:rPr>
          <w:i/>
          <w:color w:val="231F20"/>
          <w:sz w:val="20"/>
        </w:rPr>
        <w:t>Обратите</w:t>
      </w:r>
      <w:r>
        <w:rPr>
          <w:i/>
          <w:color w:val="231F20"/>
          <w:spacing w:val="-12"/>
          <w:sz w:val="20"/>
        </w:rPr>
        <w:t> </w:t>
      </w:r>
      <w:r>
        <w:rPr>
          <w:i/>
          <w:color w:val="231F20"/>
          <w:sz w:val="20"/>
        </w:rPr>
        <w:t>внимание,</w:t>
      </w:r>
      <w:r>
        <w:rPr>
          <w:i/>
          <w:color w:val="231F20"/>
          <w:spacing w:val="-12"/>
          <w:sz w:val="20"/>
        </w:rPr>
        <w:t> </w:t>
      </w:r>
      <w:r>
        <w:rPr>
          <w:i/>
          <w:color w:val="231F20"/>
          <w:sz w:val="20"/>
        </w:rPr>
        <w:t>что</w:t>
      </w:r>
      <w:r>
        <w:rPr>
          <w:i/>
          <w:color w:val="231F20"/>
          <w:spacing w:val="-12"/>
          <w:sz w:val="20"/>
        </w:rPr>
        <w:t> </w:t>
      </w:r>
      <w:r>
        <w:rPr>
          <w:i/>
          <w:color w:val="231F20"/>
          <w:sz w:val="20"/>
        </w:rPr>
        <w:t>для</w:t>
      </w:r>
      <w:r>
        <w:rPr>
          <w:i/>
          <w:color w:val="231F20"/>
          <w:spacing w:val="-12"/>
          <w:sz w:val="20"/>
        </w:rPr>
        <w:t> </w:t>
      </w:r>
      <w:r>
        <w:rPr>
          <w:i/>
          <w:color w:val="231F20"/>
          <w:sz w:val="20"/>
        </w:rPr>
        <w:t>принятия</w:t>
      </w:r>
      <w:r>
        <w:rPr>
          <w:i/>
          <w:color w:val="231F20"/>
          <w:spacing w:val="-12"/>
          <w:sz w:val="20"/>
        </w:rPr>
        <w:t> </w:t>
      </w:r>
      <w:r>
        <w:rPr>
          <w:i/>
          <w:color w:val="231F20"/>
          <w:sz w:val="20"/>
        </w:rPr>
        <w:t>итогового</w:t>
      </w:r>
      <w:r>
        <w:rPr>
          <w:i/>
          <w:color w:val="231F20"/>
          <w:spacing w:val="-12"/>
          <w:sz w:val="20"/>
        </w:rPr>
        <w:t> </w:t>
      </w:r>
      <w:r>
        <w:rPr>
          <w:i/>
          <w:color w:val="231F20"/>
          <w:sz w:val="20"/>
        </w:rPr>
        <w:t>решения</w:t>
      </w:r>
      <w:r>
        <w:rPr>
          <w:i/>
          <w:color w:val="231F20"/>
          <w:spacing w:val="-12"/>
          <w:sz w:val="20"/>
        </w:rPr>
        <w:t> </w:t>
      </w:r>
      <w:r>
        <w:rPr>
          <w:i/>
          <w:color w:val="231F20"/>
          <w:sz w:val="20"/>
        </w:rPr>
        <w:t>каждый</w:t>
      </w:r>
      <w:r>
        <w:rPr>
          <w:i/>
          <w:color w:val="231F20"/>
          <w:spacing w:val="-12"/>
          <w:sz w:val="20"/>
        </w:rPr>
        <w:t> </w:t>
      </w:r>
      <w:r>
        <w:rPr>
          <w:i/>
          <w:color w:val="231F20"/>
          <w:sz w:val="20"/>
        </w:rPr>
        <w:t>участник</w:t>
      </w:r>
      <w:r>
        <w:rPr>
          <w:i/>
          <w:color w:val="231F20"/>
          <w:spacing w:val="-12"/>
          <w:sz w:val="20"/>
        </w:rPr>
        <w:t> </w:t>
      </w:r>
      <w:r>
        <w:rPr>
          <w:i/>
          <w:color w:val="231F20"/>
          <w:sz w:val="20"/>
        </w:rPr>
        <w:t>вашей группы должен согласиться с этим решением.</w:t>
      </w:r>
    </w:p>
    <w:p>
      <w:pPr>
        <w:pStyle w:val="BodyText"/>
        <w:spacing w:line="225" w:lineRule="exact"/>
        <w:ind w:left="425" w:right="0" w:firstLine="0"/>
        <w:jc w:val="left"/>
      </w:pPr>
      <w:r>
        <w:rPr>
          <w:color w:val="231F20"/>
        </w:rPr>
        <w:t>Список </w:t>
      </w:r>
      <w:r>
        <w:rPr>
          <w:color w:val="231F20"/>
          <w:spacing w:val="-2"/>
        </w:rPr>
        <w:t>кандидатов:</w:t>
      </w:r>
    </w:p>
    <w:p>
      <w:pPr>
        <w:pStyle w:val="ListParagraph"/>
        <w:numPr>
          <w:ilvl w:val="0"/>
          <w:numId w:val="311"/>
        </w:numPr>
        <w:tabs>
          <w:tab w:pos="424" w:val="left" w:leader="none"/>
        </w:tabs>
        <w:spacing w:line="226" w:lineRule="exact" w:before="0" w:after="0"/>
        <w:ind w:left="424" w:right="0" w:hanging="283"/>
        <w:jc w:val="left"/>
        <w:rPr>
          <w:sz w:val="20"/>
        </w:rPr>
      </w:pPr>
      <w:r>
        <w:rPr>
          <w:color w:val="231F20"/>
          <w:sz w:val="20"/>
        </w:rPr>
        <w:t>30-летний</w:t>
      </w:r>
      <w:r>
        <w:rPr>
          <w:color w:val="231F20"/>
          <w:spacing w:val="-7"/>
          <w:sz w:val="20"/>
        </w:rPr>
        <w:t> </w:t>
      </w:r>
      <w:r>
        <w:rPr>
          <w:color w:val="231F20"/>
          <w:sz w:val="20"/>
        </w:rPr>
        <w:t>музыкант</w:t>
      </w:r>
      <w:r>
        <w:rPr>
          <w:color w:val="231F20"/>
          <w:spacing w:val="-5"/>
          <w:sz w:val="20"/>
        </w:rPr>
        <w:t> </w:t>
      </w:r>
      <w:r>
        <w:rPr>
          <w:color w:val="231F20"/>
          <w:sz w:val="20"/>
        </w:rPr>
        <w:t>–</w:t>
      </w:r>
      <w:r>
        <w:rPr>
          <w:color w:val="231F20"/>
          <w:spacing w:val="-5"/>
          <w:sz w:val="20"/>
        </w:rPr>
        <w:t> </w:t>
      </w:r>
      <w:r>
        <w:rPr>
          <w:color w:val="231F20"/>
          <w:sz w:val="20"/>
        </w:rPr>
        <w:t>скрипач</w:t>
      </w:r>
      <w:r>
        <w:rPr>
          <w:color w:val="231F20"/>
          <w:spacing w:val="-6"/>
          <w:sz w:val="20"/>
        </w:rPr>
        <w:t> </w:t>
      </w:r>
      <w:r>
        <w:rPr>
          <w:color w:val="231F20"/>
          <w:sz w:val="20"/>
        </w:rPr>
        <w:t>из</w:t>
      </w:r>
      <w:r>
        <w:rPr>
          <w:color w:val="231F20"/>
          <w:spacing w:val="-5"/>
          <w:sz w:val="20"/>
        </w:rPr>
        <w:t> </w:t>
      </w:r>
      <w:r>
        <w:rPr>
          <w:color w:val="231F20"/>
          <w:sz w:val="20"/>
        </w:rPr>
        <w:t>симфонического</w:t>
      </w:r>
      <w:r>
        <w:rPr>
          <w:color w:val="231F20"/>
          <w:spacing w:val="-5"/>
          <w:sz w:val="20"/>
        </w:rPr>
        <w:t> </w:t>
      </w:r>
      <w:r>
        <w:rPr>
          <w:color w:val="231F20"/>
          <w:spacing w:val="-2"/>
          <w:sz w:val="20"/>
        </w:rPr>
        <w:t>оркестра.</w:t>
      </w:r>
    </w:p>
    <w:p>
      <w:pPr>
        <w:pStyle w:val="ListParagraph"/>
        <w:numPr>
          <w:ilvl w:val="0"/>
          <w:numId w:val="311"/>
        </w:numPr>
        <w:tabs>
          <w:tab w:pos="424" w:val="left" w:leader="none"/>
        </w:tabs>
        <w:spacing w:line="226" w:lineRule="exact" w:before="0" w:after="0"/>
        <w:ind w:left="424" w:right="0" w:hanging="283"/>
        <w:jc w:val="left"/>
        <w:rPr>
          <w:sz w:val="20"/>
        </w:rPr>
      </w:pPr>
      <w:r>
        <w:rPr>
          <w:color w:val="231F20"/>
          <w:sz w:val="20"/>
        </w:rPr>
        <w:t>67-летний</w:t>
      </w:r>
      <w:r>
        <w:rPr>
          <w:color w:val="231F20"/>
          <w:spacing w:val="-9"/>
          <w:sz w:val="20"/>
        </w:rPr>
        <w:t> </w:t>
      </w:r>
      <w:r>
        <w:rPr>
          <w:color w:val="231F20"/>
          <w:sz w:val="20"/>
        </w:rPr>
        <w:t>мужчина,</w:t>
      </w:r>
      <w:r>
        <w:rPr>
          <w:color w:val="231F20"/>
          <w:spacing w:val="-8"/>
          <w:sz w:val="20"/>
        </w:rPr>
        <w:t> </w:t>
      </w:r>
      <w:r>
        <w:rPr>
          <w:color w:val="231F20"/>
          <w:spacing w:val="-2"/>
          <w:sz w:val="20"/>
        </w:rPr>
        <w:t>министр.</w:t>
      </w:r>
    </w:p>
    <w:p>
      <w:pPr>
        <w:pStyle w:val="ListParagraph"/>
        <w:numPr>
          <w:ilvl w:val="0"/>
          <w:numId w:val="311"/>
        </w:numPr>
        <w:tabs>
          <w:tab w:pos="424" w:val="left" w:leader="none"/>
        </w:tabs>
        <w:spacing w:line="226" w:lineRule="exact" w:before="0" w:after="0"/>
        <w:ind w:left="424" w:right="0" w:hanging="283"/>
        <w:jc w:val="left"/>
        <w:rPr>
          <w:sz w:val="20"/>
        </w:rPr>
      </w:pPr>
      <w:r>
        <w:rPr>
          <w:color w:val="231F20"/>
          <w:sz w:val="20"/>
        </w:rPr>
        <w:t>23-летний</w:t>
      </w:r>
      <w:r>
        <w:rPr>
          <w:color w:val="231F20"/>
          <w:spacing w:val="-7"/>
          <w:sz w:val="20"/>
        </w:rPr>
        <w:t> </w:t>
      </w:r>
      <w:r>
        <w:rPr>
          <w:color w:val="231F20"/>
          <w:sz w:val="20"/>
        </w:rPr>
        <w:t>инженер</w:t>
      </w:r>
      <w:r>
        <w:rPr>
          <w:color w:val="231F20"/>
          <w:spacing w:val="-4"/>
          <w:sz w:val="20"/>
        </w:rPr>
        <w:t> </w:t>
      </w:r>
      <w:r>
        <w:rPr>
          <w:color w:val="231F20"/>
          <w:sz w:val="20"/>
        </w:rPr>
        <w:t>и</w:t>
      </w:r>
      <w:r>
        <w:rPr>
          <w:color w:val="231F20"/>
          <w:spacing w:val="-5"/>
          <w:sz w:val="20"/>
        </w:rPr>
        <w:t> </w:t>
      </w:r>
      <w:r>
        <w:rPr>
          <w:color w:val="231F20"/>
          <w:sz w:val="20"/>
        </w:rPr>
        <w:t>его</w:t>
      </w:r>
      <w:r>
        <w:rPr>
          <w:color w:val="231F20"/>
          <w:spacing w:val="-4"/>
          <w:sz w:val="20"/>
        </w:rPr>
        <w:t> </w:t>
      </w:r>
      <w:r>
        <w:rPr>
          <w:color w:val="231F20"/>
          <w:sz w:val="20"/>
        </w:rPr>
        <w:t>21-летняя</w:t>
      </w:r>
      <w:r>
        <w:rPr>
          <w:color w:val="231F20"/>
          <w:spacing w:val="-4"/>
          <w:sz w:val="20"/>
        </w:rPr>
        <w:t> </w:t>
      </w:r>
      <w:r>
        <w:rPr>
          <w:color w:val="231F20"/>
          <w:sz w:val="20"/>
        </w:rPr>
        <w:t>жена</w:t>
      </w:r>
      <w:r>
        <w:rPr>
          <w:color w:val="231F20"/>
          <w:spacing w:val="-4"/>
          <w:sz w:val="20"/>
        </w:rPr>
        <w:t> </w:t>
      </w:r>
      <w:r>
        <w:rPr>
          <w:color w:val="231F20"/>
          <w:sz w:val="20"/>
        </w:rPr>
        <w:t>(они</w:t>
      </w:r>
      <w:r>
        <w:rPr>
          <w:color w:val="231F20"/>
          <w:spacing w:val="-5"/>
          <w:sz w:val="20"/>
        </w:rPr>
        <w:t> </w:t>
      </w:r>
      <w:r>
        <w:rPr>
          <w:color w:val="231F20"/>
          <w:sz w:val="20"/>
        </w:rPr>
        <w:t>отказались</w:t>
      </w:r>
      <w:r>
        <w:rPr>
          <w:color w:val="231F20"/>
          <w:spacing w:val="-5"/>
          <w:sz w:val="20"/>
        </w:rPr>
        <w:t> </w:t>
      </w:r>
      <w:r>
        <w:rPr>
          <w:color w:val="231F20"/>
          <w:sz w:val="20"/>
        </w:rPr>
        <w:t>лететь</w:t>
      </w:r>
      <w:r>
        <w:rPr>
          <w:color w:val="231F20"/>
          <w:spacing w:val="-5"/>
          <w:sz w:val="20"/>
        </w:rPr>
        <w:t> </w:t>
      </w:r>
      <w:r>
        <w:rPr>
          <w:color w:val="231F20"/>
          <w:sz w:val="20"/>
        </w:rPr>
        <w:t>друг</w:t>
      </w:r>
      <w:r>
        <w:rPr>
          <w:color w:val="231F20"/>
          <w:spacing w:val="-5"/>
          <w:sz w:val="20"/>
        </w:rPr>
        <w:t> </w:t>
      </w:r>
      <w:r>
        <w:rPr>
          <w:color w:val="231F20"/>
          <w:sz w:val="20"/>
        </w:rPr>
        <w:t>без</w:t>
      </w:r>
      <w:r>
        <w:rPr>
          <w:color w:val="231F20"/>
          <w:spacing w:val="-3"/>
          <w:sz w:val="20"/>
        </w:rPr>
        <w:t> </w:t>
      </w:r>
      <w:r>
        <w:rPr>
          <w:color w:val="231F20"/>
          <w:spacing w:val="-2"/>
          <w:sz w:val="20"/>
        </w:rPr>
        <w:t>друга).</w:t>
      </w:r>
    </w:p>
    <w:p>
      <w:pPr>
        <w:pStyle w:val="ListParagraph"/>
        <w:numPr>
          <w:ilvl w:val="0"/>
          <w:numId w:val="311"/>
        </w:numPr>
        <w:tabs>
          <w:tab w:pos="424" w:val="left" w:leader="none"/>
        </w:tabs>
        <w:spacing w:line="226" w:lineRule="exact" w:before="0" w:after="0"/>
        <w:ind w:left="424" w:right="0" w:hanging="283"/>
        <w:jc w:val="left"/>
        <w:rPr>
          <w:sz w:val="20"/>
        </w:rPr>
      </w:pPr>
      <w:r>
        <w:rPr>
          <w:color w:val="231F20"/>
          <w:sz w:val="20"/>
        </w:rPr>
        <w:t>40-летний</w:t>
      </w:r>
      <w:r>
        <w:rPr>
          <w:color w:val="231F20"/>
          <w:spacing w:val="-11"/>
          <w:sz w:val="20"/>
        </w:rPr>
        <w:t> </w:t>
      </w:r>
      <w:r>
        <w:rPr>
          <w:color w:val="231F20"/>
          <w:sz w:val="20"/>
        </w:rPr>
        <w:t>полицейский</w:t>
      </w:r>
      <w:r>
        <w:rPr>
          <w:color w:val="231F20"/>
          <w:spacing w:val="-8"/>
          <w:sz w:val="20"/>
        </w:rPr>
        <w:t> </w:t>
      </w:r>
      <w:r>
        <w:rPr>
          <w:color w:val="231F20"/>
          <w:sz w:val="20"/>
        </w:rPr>
        <w:t>(отказывается</w:t>
      </w:r>
      <w:r>
        <w:rPr>
          <w:color w:val="231F20"/>
          <w:spacing w:val="-7"/>
          <w:sz w:val="20"/>
        </w:rPr>
        <w:t> </w:t>
      </w:r>
      <w:r>
        <w:rPr>
          <w:color w:val="231F20"/>
          <w:sz w:val="20"/>
        </w:rPr>
        <w:t>лететь</w:t>
      </w:r>
      <w:r>
        <w:rPr>
          <w:color w:val="231F20"/>
          <w:spacing w:val="-9"/>
          <w:sz w:val="20"/>
        </w:rPr>
        <w:t> </w:t>
      </w:r>
      <w:r>
        <w:rPr>
          <w:color w:val="231F20"/>
          <w:sz w:val="20"/>
        </w:rPr>
        <w:t>без</w:t>
      </w:r>
      <w:r>
        <w:rPr>
          <w:color w:val="231F20"/>
          <w:spacing w:val="-7"/>
          <w:sz w:val="20"/>
        </w:rPr>
        <w:t> </w:t>
      </w:r>
      <w:r>
        <w:rPr>
          <w:color w:val="231F20"/>
          <w:sz w:val="20"/>
        </w:rPr>
        <w:t>своего</w:t>
      </w:r>
      <w:r>
        <w:rPr>
          <w:color w:val="231F20"/>
          <w:spacing w:val="-7"/>
          <w:sz w:val="20"/>
        </w:rPr>
        <w:t> </w:t>
      </w:r>
      <w:r>
        <w:rPr>
          <w:color w:val="231F20"/>
          <w:spacing w:val="-2"/>
          <w:sz w:val="20"/>
        </w:rPr>
        <w:t>пистолета).</w:t>
      </w:r>
    </w:p>
    <w:p>
      <w:pPr>
        <w:pStyle w:val="ListParagraph"/>
        <w:numPr>
          <w:ilvl w:val="0"/>
          <w:numId w:val="311"/>
        </w:numPr>
        <w:tabs>
          <w:tab w:pos="424" w:val="left" w:leader="none"/>
        </w:tabs>
        <w:spacing w:line="226" w:lineRule="exact" w:before="0" w:after="0"/>
        <w:ind w:left="424" w:right="0" w:hanging="283"/>
        <w:jc w:val="left"/>
        <w:rPr>
          <w:sz w:val="20"/>
        </w:rPr>
      </w:pPr>
      <w:r>
        <w:rPr>
          <w:color w:val="231F20"/>
          <w:sz w:val="20"/>
        </w:rPr>
        <w:t>Мальчик,</w:t>
      </w:r>
      <w:r>
        <w:rPr>
          <w:color w:val="231F20"/>
          <w:spacing w:val="-6"/>
          <w:sz w:val="20"/>
        </w:rPr>
        <w:t> </w:t>
      </w:r>
      <w:r>
        <w:rPr>
          <w:color w:val="231F20"/>
          <w:sz w:val="20"/>
        </w:rPr>
        <w:t>ученик</w:t>
      </w:r>
      <w:r>
        <w:rPr>
          <w:color w:val="231F20"/>
          <w:spacing w:val="-6"/>
          <w:sz w:val="20"/>
        </w:rPr>
        <w:t> </w:t>
      </w:r>
      <w:r>
        <w:rPr>
          <w:color w:val="231F20"/>
          <w:sz w:val="20"/>
        </w:rPr>
        <w:t>школы,</w:t>
      </w:r>
      <w:r>
        <w:rPr>
          <w:color w:val="231F20"/>
          <w:spacing w:val="-6"/>
          <w:sz w:val="20"/>
        </w:rPr>
        <w:t> </w:t>
      </w:r>
      <w:r>
        <w:rPr>
          <w:color w:val="231F20"/>
          <w:sz w:val="20"/>
        </w:rPr>
        <w:t>примерно</w:t>
      </w:r>
      <w:r>
        <w:rPr>
          <w:color w:val="231F20"/>
          <w:spacing w:val="-6"/>
          <w:sz w:val="20"/>
        </w:rPr>
        <w:t> </w:t>
      </w:r>
      <w:r>
        <w:rPr>
          <w:color w:val="231F20"/>
          <w:sz w:val="20"/>
        </w:rPr>
        <w:t>такого</w:t>
      </w:r>
      <w:r>
        <w:rPr>
          <w:color w:val="231F20"/>
          <w:spacing w:val="-5"/>
          <w:sz w:val="20"/>
        </w:rPr>
        <w:t> </w:t>
      </w:r>
      <w:r>
        <w:rPr>
          <w:color w:val="231F20"/>
          <w:sz w:val="20"/>
        </w:rPr>
        <w:t>же</w:t>
      </w:r>
      <w:r>
        <w:rPr>
          <w:color w:val="231F20"/>
          <w:spacing w:val="-6"/>
          <w:sz w:val="20"/>
        </w:rPr>
        <w:t> </w:t>
      </w:r>
      <w:r>
        <w:rPr>
          <w:color w:val="231F20"/>
          <w:sz w:val="20"/>
        </w:rPr>
        <w:t>возраста,</w:t>
      </w:r>
      <w:r>
        <w:rPr>
          <w:color w:val="231F20"/>
          <w:spacing w:val="-6"/>
          <w:sz w:val="20"/>
        </w:rPr>
        <w:t> </w:t>
      </w:r>
      <w:r>
        <w:rPr>
          <w:color w:val="231F20"/>
          <w:sz w:val="20"/>
        </w:rPr>
        <w:t>как</w:t>
      </w:r>
      <w:r>
        <w:rPr>
          <w:color w:val="231F20"/>
          <w:spacing w:val="-6"/>
          <w:sz w:val="20"/>
        </w:rPr>
        <w:t> </w:t>
      </w:r>
      <w:r>
        <w:rPr>
          <w:color w:val="231F20"/>
          <w:sz w:val="20"/>
        </w:rPr>
        <w:t>и</w:t>
      </w:r>
      <w:r>
        <w:rPr>
          <w:color w:val="231F20"/>
          <w:spacing w:val="-6"/>
          <w:sz w:val="20"/>
        </w:rPr>
        <w:t> </w:t>
      </w:r>
      <w:r>
        <w:rPr>
          <w:color w:val="231F20"/>
          <w:spacing w:val="-5"/>
          <w:sz w:val="20"/>
        </w:rPr>
        <w:t>вы.</w:t>
      </w:r>
    </w:p>
    <w:p>
      <w:pPr>
        <w:pStyle w:val="ListParagraph"/>
        <w:numPr>
          <w:ilvl w:val="0"/>
          <w:numId w:val="311"/>
        </w:numPr>
        <w:tabs>
          <w:tab w:pos="425" w:val="left" w:leader="none"/>
        </w:tabs>
        <w:spacing w:line="235" w:lineRule="auto" w:before="2" w:after="0"/>
        <w:ind w:left="425" w:right="140" w:hanging="284"/>
        <w:jc w:val="left"/>
        <w:rPr>
          <w:sz w:val="20"/>
        </w:rPr>
      </w:pPr>
      <w:r>
        <w:rPr>
          <w:color w:val="231F20"/>
          <w:sz w:val="20"/>
        </w:rPr>
        <w:t>35-летний мужчина, не имеет законченного образования, недавно был арестован за вооруженный грабеж.</w:t>
      </w:r>
    </w:p>
    <w:p>
      <w:pPr>
        <w:pStyle w:val="ListParagraph"/>
        <w:numPr>
          <w:ilvl w:val="0"/>
          <w:numId w:val="311"/>
        </w:numPr>
        <w:tabs>
          <w:tab w:pos="424" w:val="left" w:leader="none"/>
        </w:tabs>
        <w:spacing w:line="225" w:lineRule="exact" w:before="0" w:after="0"/>
        <w:ind w:left="424" w:right="0" w:hanging="283"/>
        <w:jc w:val="left"/>
        <w:rPr>
          <w:sz w:val="20"/>
        </w:rPr>
      </w:pPr>
      <w:r>
        <w:rPr>
          <w:color w:val="231F20"/>
          <w:sz w:val="20"/>
        </w:rPr>
        <w:t>32-летняя</w:t>
      </w:r>
      <w:r>
        <w:rPr>
          <w:color w:val="231F20"/>
          <w:spacing w:val="-2"/>
          <w:sz w:val="20"/>
        </w:rPr>
        <w:t> </w:t>
      </w:r>
      <w:r>
        <w:rPr>
          <w:color w:val="231F20"/>
          <w:sz w:val="20"/>
        </w:rPr>
        <w:t>учительница</w:t>
      </w:r>
      <w:r>
        <w:rPr>
          <w:color w:val="231F20"/>
          <w:spacing w:val="1"/>
          <w:sz w:val="20"/>
        </w:rPr>
        <w:t> </w:t>
      </w:r>
      <w:r>
        <w:rPr>
          <w:color w:val="231F20"/>
          <w:sz w:val="20"/>
        </w:rPr>
        <w:t>старших</w:t>
      </w:r>
      <w:r>
        <w:rPr>
          <w:color w:val="231F20"/>
          <w:spacing w:val="1"/>
          <w:sz w:val="20"/>
        </w:rPr>
        <w:t> </w:t>
      </w:r>
      <w:r>
        <w:rPr>
          <w:color w:val="231F20"/>
          <w:spacing w:val="-2"/>
          <w:sz w:val="20"/>
        </w:rPr>
        <w:t>классов.</w:t>
      </w:r>
    </w:p>
    <w:p>
      <w:pPr>
        <w:pStyle w:val="ListParagraph"/>
        <w:numPr>
          <w:ilvl w:val="0"/>
          <w:numId w:val="311"/>
        </w:numPr>
        <w:tabs>
          <w:tab w:pos="424" w:val="left" w:leader="none"/>
        </w:tabs>
        <w:spacing w:line="226" w:lineRule="exact" w:before="0" w:after="0"/>
        <w:ind w:left="424" w:right="0" w:hanging="283"/>
        <w:jc w:val="left"/>
        <w:rPr>
          <w:sz w:val="20"/>
        </w:rPr>
      </w:pPr>
      <w:r>
        <w:rPr>
          <w:color w:val="231F20"/>
          <w:sz w:val="20"/>
        </w:rPr>
        <w:t>40-летняя</w:t>
      </w:r>
      <w:r>
        <w:rPr>
          <w:color w:val="231F20"/>
          <w:spacing w:val="-4"/>
          <w:sz w:val="20"/>
        </w:rPr>
        <w:t> </w:t>
      </w:r>
      <w:r>
        <w:rPr>
          <w:color w:val="231F20"/>
          <w:sz w:val="20"/>
        </w:rPr>
        <w:t>женщина,</w:t>
      </w:r>
      <w:r>
        <w:rPr>
          <w:color w:val="231F20"/>
          <w:spacing w:val="-1"/>
          <w:sz w:val="20"/>
        </w:rPr>
        <w:t> </w:t>
      </w:r>
      <w:r>
        <w:rPr>
          <w:color w:val="231F20"/>
          <w:spacing w:val="-2"/>
          <w:sz w:val="20"/>
        </w:rPr>
        <w:t>врач.</w:t>
      </w:r>
    </w:p>
    <w:p>
      <w:pPr>
        <w:pStyle w:val="ListParagraph"/>
        <w:numPr>
          <w:ilvl w:val="0"/>
          <w:numId w:val="311"/>
        </w:numPr>
        <w:tabs>
          <w:tab w:pos="424" w:val="left" w:leader="none"/>
        </w:tabs>
        <w:spacing w:line="226" w:lineRule="exact" w:before="0" w:after="0"/>
        <w:ind w:left="424" w:right="0" w:hanging="283"/>
        <w:jc w:val="left"/>
        <w:rPr>
          <w:sz w:val="20"/>
        </w:rPr>
      </w:pPr>
      <w:r>
        <w:rPr>
          <w:color w:val="231F20"/>
          <w:sz w:val="20"/>
        </w:rPr>
        <w:t>50-летняя</w:t>
      </w:r>
      <w:r>
        <w:rPr>
          <w:color w:val="231F20"/>
          <w:spacing w:val="-8"/>
          <w:sz w:val="20"/>
        </w:rPr>
        <w:t> </w:t>
      </w:r>
      <w:r>
        <w:rPr>
          <w:color w:val="231F20"/>
          <w:sz w:val="20"/>
        </w:rPr>
        <w:t>женщина,</w:t>
      </w:r>
      <w:r>
        <w:rPr>
          <w:color w:val="231F20"/>
          <w:spacing w:val="-8"/>
          <w:sz w:val="20"/>
        </w:rPr>
        <w:t> </w:t>
      </w:r>
      <w:r>
        <w:rPr>
          <w:color w:val="231F20"/>
          <w:sz w:val="20"/>
        </w:rPr>
        <w:t>художник</w:t>
      </w:r>
      <w:r>
        <w:rPr>
          <w:color w:val="231F20"/>
          <w:spacing w:val="-7"/>
          <w:sz w:val="20"/>
        </w:rPr>
        <w:t> </w:t>
      </w:r>
      <w:r>
        <w:rPr>
          <w:color w:val="231F20"/>
          <w:sz w:val="20"/>
        </w:rPr>
        <w:t>и</w:t>
      </w:r>
      <w:r>
        <w:rPr>
          <w:color w:val="231F20"/>
          <w:spacing w:val="-8"/>
          <w:sz w:val="20"/>
        </w:rPr>
        <w:t> </w:t>
      </w:r>
      <w:r>
        <w:rPr>
          <w:color w:val="231F20"/>
          <w:spacing w:val="-2"/>
          <w:sz w:val="20"/>
        </w:rPr>
        <w:t>скульптор.</w:t>
      </w:r>
    </w:p>
    <w:p>
      <w:pPr>
        <w:pStyle w:val="ListParagraph"/>
        <w:numPr>
          <w:ilvl w:val="0"/>
          <w:numId w:val="311"/>
        </w:numPr>
        <w:tabs>
          <w:tab w:pos="441" w:val="left" w:leader="none"/>
        </w:tabs>
        <w:spacing w:line="224" w:lineRule="exact" w:before="0" w:after="0"/>
        <w:ind w:left="441" w:right="0" w:hanging="300"/>
        <w:jc w:val="left"/>
        <w:rPr>
          <w:sz w:val="20"/>
        </w:rPr>
      </w:pPr>
      <w:r>
        <w:rPr>
          <w:color w:val="231F20"/>
          <w:sz w:val="20"/>
        </w:rPr>
        <w:t>25-летний</w:t>
      </w:r>
      <w:r>
        <w:rPr>
          <w:color w:val="231F20"/>
          <w:spacing w:val="-9"/>
          <w:sz w:val="20"/>
        </w:rPr>
        <w:t> </w:t>
      </w:r>
      <w:r>
        <w:rPr>
          <w:color w:val="231F20"/>
          <w:sz w:val="20"/>
        </w:rPr>
        <w:t>мужчина,</w:t>
      </w:r>
      <w:r>
        <w:rPr>
          <w:color w:val="231F20"/>
          <w:spacing w:val="-6"/>
          <w:sz w:val="20"/>
        </w:rPr>
        <w:t> </w:t>
      </w:r>
      <w:r>
        <w:rPr>
          <w:color w:val="231F20"/>
          <w:spacing w:val="-4"/>
          <w:sz w:val="20"/>
        </w:rPr>
        <w:t>поэт.</w:t>
      </w:r>
    </w:p>
    <w:p>
      <w:pPr>
        <w:pStyle w:val="ListParagraph"/>
        <w:numPr>
          <w:ilvl w:val="0"/>
          <w:numId w:val="311"/>
        </w:numPr>
        <w:tabs>
          <w:tab w:pos="433" w:val="left" w:leader="none"/>
        </w:tabs>
        <w:spacing w:line="222" w:lineRule="exact" w:before="0" w:after="0"/>
        <w:ind w:left="433" w:right="0" w:hanging="292"/>
        <w:jc w:val="left"/>
        <w:rPr>
          <w:sz w:val="20"/>
        </w:rPr>
      </w:pPr>
      <w:r>
        <w:rPr>
          <w:color w:val="231F20"/>
          <w:sz w:val="20"/>
        </w:rPr>
        <w:t>Младенец,</w:t>
      </w:r>
      <w:r>
        <w:rPr>
          <w:color w:val="231F20"/>
          <w:spacing w:val="-7"/>
          <w:sz w:val="20"/>
        </w:rPr>
        <w:t> </w:t>
      </w:r>
      <w:r>
        <w:rPr>
          <w:color w:val="231F20"/>
          <w:sz w:val="20"/>
        </w:rPr>
        <w:t>девочка,</w:t>
      </w:r>
      <w:r>
        <w:rPr>
          <w:color w:val="231F20"/>
          <w:spacing w:val="-5"/>
          <w:sz w:val="20"/>
        </w:rPr>
        <w:t> </w:t>
      </w:r>
      <w:r>
        <w:rPr>
          <w:color w:val="231F20"/>
          <w:sz w:val="20"/>
        </w:rPr>
        <w:t>1</w:t>
      </w:r>
      <w:r>
        <w:rPr>
          <w:color w:val="231F20"/>
          <w:spacing w:val="-4"/>
          <w:sz w:val="20"/>
        </w:rPr>
        <w:t> год.</w:t>
      </w:r>
    </w:p>
    <w:p>
      <w:pPr>
        <w:pStyle w:val="BodyText"/>
        <w:spacing w:line="232" w:lineRule="auto" w:before="1"/>
      </w:pPr>
      <w:r>
        <w:rPr>
          <w:color w:val="231F20"/>
        </w:rPr>
        <w:t>После</w:t>
      </w:r>
      <w:r>
        <w:rPr>
          <w:color w:val="231F20"/>
          <w:spacing w:val="-12"/>
        </w:rPr>
        <w:t> </w:t>
      </w:r>
      <w:r>
        <w:rPr>
          <w:color w:val="231F20"/>
        </w:rPr>
        <w:t>5-минутного</w:t>
      </w:r>
      <w:r>
        <w:rPr>
          <w:color w:val="231F20"/>
          <w:spacing w:val="-13"/>
        </w:rPr>
        <w:t> </w:t>
      </w:r>
      <w:r>
        <w:rPr>
          <w:color w:val="231F20"/>
        </w:rPr>
        <w:t>обсуждения</w:t>
      </w:r>
      <w:r>
        <w:rPr>
          <w:color w:val="231F20"/>
          <w:spacing w:val="-12"/>
        </w:rPr>
        <w:t> </w:t>
      </w:r>
      <w:r>
        <w:rPr>
          <w:color w:val="231F20"/>
        </w:rPr>
        <w:t>по</w:t>
      </w:r>
      <w:r>
        <w:rPr>
          <w:color w:val="231F20"/>
          <w:spacing w:val="-12"/>
        </w:rPr>
        <w:t> </w:t>
      </w:r>
      <w:r>
        <w:rPr>
          <w:color w:val="231F20"/>
        </w:rPr>
        <w:t>группам</w:t>
      </w:r>
      <w:r>
        <w:rPr>
          <w:color w:val="231F20"/>
          <w:spacing w:val="-13"/>
        </w:rPr>
        <w:t> </w:t>
      </w:r>
      <w:r>
        <w:rPr>
          <w:color w:val="231F20"/>
        </w:rPr>
        <w:t>учитель</w:t>
      </w:r>
      <w:r>
        <w:rPr>
          <w:color w:val="231F20"/>
          <w:spacing w:val="-12"/>
        </w:rPr>
        <w:t> </w:t>
      </w:r>
      <w:r>
        <w:rPr>
          <w:color w:val="231F20"/>
        </w:rPr>
        <w:t>переводит</w:t>
      </w:r>
      <w:r>
        <w:rPr>
          <w:color w:val="231F20"/>
          <w:spacing w:val="-12"/>
        </w:rPr>
        <w:t> </w:t>
      </w:r>
      <w:r>
        <w:rPr>
          <w:color w:val="231F20"/>
        </w:rPr>
        <w:t>внимание</w:t>
      </w:r>
      <w:r>
        <w:rPr>
          <w:color w:val="231F20"/>
          <w:spacing w:val="-13"/>
        </w:rPr>
        <w:t> </w:t>
      </w:r>
      <w:r>
        <w:rPr>
          <w:color w:val="231F20"/>
        </w:rPr>
        <w:t>учащих- ся</w:t>
      </w:r>
      <w:r>
        <w:rPr>
          <w:color w:val="231F20"/>
          <w:spacing w:val="-1"/>
        </w:rPr>
        <w:t> </w:t>
      </w:r>
      <w:r>
        <w:rPr>
          <w:color w:val="231F20"/>
        </w:rPr>
        <w:t>на</w:t>
      </w:r>
      <w:r>
        <w:rPr>
          <w:color w:val="231F20"/>
          <w:spacing w:val="-1"/>
        </w:rPr>
        <w:t> </w:t>
      </w:r>
      <w:r>
        <w:rPr>
          <w:color w:val="231F20"/>
        </w:rPr>
        <w:t>себя</w:t>
      </w:r>
      <w:r>
        <w:rPr>
          <w:color w:val="231F20"/>
          <w:spacing w:val="-1"/>
        </w:rPr>
        <w:t> </w:t>
      </w:r>
      <w:r>
        <w:rPr>
          <w:color w:val="231F20"/>
        </w:rPr>
        <w:t>и</w:t>
      </w:r>
      <w:r>
        <w:rPr>
          <w:color w:val="231F20"/>
          <w:spacing w:val="-1"/>
        </w:rPr>
        <w:t> </w:t>
      </w:r>
      <w:r>
        <w:rPr>
          <w:color w:val="231F20"/>
        </w:rPr>
        <w:t>предлагает</w:t>
      </w:r>
      <w:r>
        <w:rPr>
          <w:color w:val="231F20"/>
          <w:spacing w:val="-1"/>
        </w:rPr>
        <w:t> </w:t>
      </w:r>
      <w:r>
        <w:rPr>
          <w:color w:val="231F20"/>
        </w:rPr>
        <w:t>детям</w:t>
      </w:r>
      <w:r>
        <w:rPr>
          <w:color w:val="231F20"/>
          <w:spacing w:val="-1"/>
        </w:rPr>
        <w:t> </w:t>
      </w:r>
      <w:r>
        <w:rPr>
          <w:color w:val="231F20"/>
        </w:rPr>
        <w:t>перечислить,</w:t>
      </w:r>
      <w:r>
        <w:rPr>
          <w:color w:val="231F20"/>
          <w:spacing w:val="-1"/>
        </w:rPr>
        <w:t> </w:t>
      </w:r>
      <w:r>
        <w:rPr>
          <w:color w:val="231F20"/>
        </w:rPr>
        <w:t>что,</w:t>
      </w:r>
      <w:r>
        <w:rPr>
          <w:color w:val="231F20"/>
          <w:spacing w:val="-1"/>
        </w:rPr>
        <w:t> </w:t>
      </w:r>
      <w:r>
        <w:rPr>
          <w:color w:val="231F20"/>
        </w:rPr>
        <w:t>по</w:t>
      </w:r>
      <w:r>
        <w:rPr>
          <w:color w:val="231F20"/>
          <w:spacing w:val="-1"/>
        </w:rPr>
        <w:t> </w:t>
      </w:r>
      <w:r>
        <w:rPr>
          <w:color w:val="231F20"/>
        </w:rPr>
        <w:t>их</w:t>
      </w:r>
      <w:r>
        <w:rPr>
          <w:color w:val="231F20"/>
          <w:spacing w:val="-1"/>
        </w:rPr>
        <w:t> </w:t>
      </w:r>
      <w:r>
        <w:rPr>
          <w:color w:val="231F20"/>
        </w:rPr>
        <w:t>мнению,</w:t>
      </w:r>
      <w:r>
        <w:rPr>
          <w:color w:val="231F20"/>
          <w:spacing w:val="-1"/>
        </w:rPr>
        <w:t> </w:t>
      </w:r>
      <w:r>
        <w:rPr>
          <w:color w:val="231F20"/>
        </w:rPr>
        <w:t>помогает</w:t>
      </w:r>
      <w:r>
        <w:rPr>
          <w:color w:val="231F20"/>
          <w:spacing w:val="-1"/>
        </w:rPr>
        <w:t> </w:t>
      </w:r>
      <w:r>
        <w:rPr>
          <w:color w:val="231F20"/>
        </w:rPr>
        <w:t>сделать</w:t>
      </w:r>
      <w:r>
        <w:rPr>
          <w:color w:val="231F20"/>
          <w:spacing w:val="-1"/>
        </w:rPr>
        <w:t> </w:t>
      </w:r>
      <w:r>
        <w:rPr>
          <w:color w:val="231F20"/>
        </w:rPr>
        <w:t>об- суждение</w:t>
      </w:r>
      <w:r>
        <w:rPr>
          <w:color w:val="231F20"/>
          <w:spacing w:val="-9"/>
        </w:rPr>
        <w:t> </w:t>
      </w:r>
      <w:r>
        <w:rPr>
          <w:color w:val="231F20"/>
        </w:rPr>
        <w:t>более</w:t>
      </w:r>
      <w:r>
        <w:rPr>
          <w:color w:val="231F20"/>
          <w:spacing w:val="-9"/>
        </w:rPr>
        <w:t> </w:t>
      </w:r>
      <w:r>
        <w:rPr>
          <w:color w:val="231F20"/>
        </w:rPr>
        <w:t>успешным,</w:t>
      </w:r>
      <w:r>
        <w:rPr>
          <w:color w:val="231F20"/>
          <w:spacing w:val="-10"/>
        </w:rPr>
        <w:t> </w:t>
      </w:r>
      <w:r>
        <w:rPr>
          <w:color w:val="231F20"/>
        </w:rPr>
        <w:t>а</w:t>
      </w:r>
      <w:r>
        <w:rPr>
          <w:color w:val="231F20"/>
          <w:spacing w:val="-9"/>
        </w:rPr>
        <w:t> </w:t>
      </w:r>
      <w:r>
        <w:rPr>
          <w:color w:val="231F20"/>
        </w:rPr>
        <w:t>что,</w:t>
      </w:r>
      <w:r>
        <w:rPr>
          <w:color w:val="231F20"/>
          <w:spacing w:val="-9"/>
        </w:rPr>
        <w:t> </w:t>
      </w:r>
      <w:r>
        <w:rPr>
          <w:color w:val="231F20"/>
        </w:rPr>
        <w:t>напротив,</w:t>
      </w:r>
      <w:r>
        <w:rPr>
          <w:color w:val="231F20"/>
          <w:spacing w:val="-9"/>
        </w:rPr>
        <w:t> </w:t>
      </w:r>
      <w:r>
        <w:rPr>
          <w:color w:val="231F20"/>
        </w:rPr>
        <w:t>затрудняет</w:t>
      </w:r>
      <w:r>
        <w:rPr>
          <w:color w:val="231F20"/>
          <w:spacing w:val="-9"/>
        </w:rPr>
        <w:t> </w:t>
      </w:r>
      <w:r>
        <w:rPr>
          <w:color w:val="231F20"/>
        </w:rPr>
        <w:t>его.</w:t>
      </w:r>
      <w:r>
        <w:rPr>
          <w:color w:val="231F20"/>
          <w:spacing w:val="-9"/>
        </w:rPr>
        <w:t> </w:t>
      </w:r>
      <w:r>
        <w:rPr>
          <w:color w:val="231F20"/>
        </w:rPr>
        <w:t>Предлагается</w:t>
      </w:r>
      <w:r>
        <w:rPr>
          <w:color w:val="231F20"/>
          <w:spacing w:val="-9"/>
        </w:rPr>
        <w:t> </w:t>
      </w:r>
      <w:r>
        <w:rPr>
          <w:color w:val="231F20"/>
        </w:rPr>
        <w:t>выполнить специальное упражнение, состоящее из четырех частей, каждая из которых соответ- ствует одной из ступеней полета ракеты.</w:t>
      </w:r>
    </w:p>
    <w:p>
      <w:pPr>
        <w:pStyle w:val="BodyText"/>
        <w:spacing w:line="232" w:lineRule="auto"/>
      </w:pPr>
      <w:r>
        <w:rPr>
          <w:color w:val="231F20"/>
        </w:rPr>
        <w:t>Ступень</w:t>
      </w:r>
      <w:r>
        <w:rPr>
          <w:color w:val="231F20"/>
          <w:spacing w:val="-2"/>
        </w:rPr>
        <w:t> </w:t>
      </w:r>
      <w:r>
        <w:rPr>
          <w:color w:val="231F20"/>
        </w:rPr>
        <w:t>1.</w:t>
      </w:r>
      <w:r>
        <w:rPr>
          <w:color w:val="231F20"/>
          <w:spacing w:val="-2"/>
        </w:rPr>
        <w:t> </w:t>
      </w:r>
      <w:r>
        <w:rPr>
          <w:color w:val="231F20"/>
        </w:rPr>
        <w:t>Быть</w:t>
      </w:r>
      <w:r>
        <w:rPr>
          <w:color w:val="231F20"/>
          <w:spacing w:val="-2"/>
        </w:rPr>
        <w:t> </w:t>
      </w:r>
      <w:r>
        <w:rPr>
          <w:color w:val="231F20"/>
        </w:rPr>
        <w:t>лаконичным</w:t>
      </w:r>
      <w:r>
        <w:rPr>
          <w:i/>
          <w:color w:val="231F20"/>
        </w:rPr>
        <w:t>.</w:t>
      </w:r>
      <w:r>
        <w:rPr>
          <w:i/>
          <w:color w:val="231F20"/>
          <w:spacing w:val="-2"/>
        </w:rPr>
        <w:t> </w:t>
      </w:r>
      <w:r>
        <w:rPr>
          <w:color w:val="231F20"/>
        </w:rPr>
        <w:t>Учащиеся</w:t>
      </w:r>
      <w:r>
        <w:rPr>
          <w:color w:val="231F20"/>
          <w:spacing w:val="-2"/>
        </w:rPr>
        <w:t> </w:t>
      </w:r>
      <w:r>
        <w:rPr>
          <w:color w:val="231F20"/>
        </w:rPr>
        <w:t>должны</w:t>
      </w:r>
      <w:r>
        <w:rPr>
          <w:color w:val="231F20"/>
          <w:spacing w:val="-2"/>
        </w:rPr>
        <w:t> </w:t>
      </w:r>
      <w:r>
        <w:rPr>
          <w:color w:val="231F20"/>
        </w:rPr>
        <w:t>научиться</w:t>
      </w:r>
      <w:r>
        <w:rPr>
          <w:color w:val="231F20"/>
          <w:spacing w:val="-2"/>
        </w:rPr>
        <w:t> </w:t>
      </w:r>
      <w:r>
        <w:rPr>
          <w:color w:val="231F20"/>
        </w:rPr>
        <w:t>говорить</w:t>
      </w:r>
      <w:r>
        <w:rPr>
          <w:color w:val="231F20"/>
          <w:spacing w:val="-2"/>
        </w:rPr>
        <w:t> </w:t>
      </w:r>
      <w:r>
        <w:rPr>
          <w:color w:val="231F20"/>
        </w:rPr>
        <w:t>кратко</w:t>
      </w:r>
      <w:r>
        <w:rPr>
          <w:color w:val="231F20"/>
          <w:spacing w:val="-2"/>
        </w:rPr>
        <w:t> </w:t>
      </w:r>
      <w:r>
        <w:rPr>
          <w:color w:val="231F20"/>
        </w:rPr>
        <w:t>и</w:t>
      </w:r>
      <w:r>
        <w:rPr>
          <w:color w:val="231F20"/>
          <w:spacing w:val="-2"/>
        </w:rPr>
        <w:t> </w:t>
      </w:r>
      <w:r>
        <w:rPr>
          <w:color w:val="231F20"/>
        </w:rPr>
        <w:t>по </w:t>
      </w:r>
      <w:r>
        <w:rPr>
          <w:color w:val="231F20"/>
          <w:spacing w:val="-2"/>
        </w:rPr>
        <w:t>делу.</w:t>
      </w:r>
    </w:p>
    <w:p>
      <w:pPr>
        <w:pStyle w:val="ListParagraph"/>
        <w:numPr>
          <w:ilvl w:val="1"/>
          <w:numId w:val="311"/>
        </w:numPr>
        <w:tabs>
          <w:tab w:pos="577" w:val="left" w:leader="none"/>
        </w:tabs>
        <w:spacing w:line="232" w:lineRule="auto" w:before="0" w:after="0"/>
        <w:ind w:left="141" w:right="139" w:firstLine="283"/>
        <w:jc w:val="both"/>
        <w:rPr>
          <w:i/>
          <w:color w:val="231F20"/>
          <w:sz w:val="20"/>
        </w:rPr>
      </w:pPr>
      <w:r>
        <w:rPr>
          <w:i/>
          <w:color w:val="231F20"/>
          <w:sz w:val="20"/>
        </w:rPr>
        <w:t>Выберите</w:t>
      </w:r>
      <w:r>
        <w:rPr>
          <w:i/>
          <w:color w:val="231F20"/>
          <w:spacing w:val="-2"/>
          <w:sz w:val="20"/>
        </w:rPr>
        <w:t> </w:t>
      </w:r>
      <w:r>
        <w:rPr>
          <w:i/>
          <w:color w:val="231F20"/>
          <w:sz w:val="20"/>
        </w:rPr>
        <w:t>человека,</w:t>
      </w:r>
      <w:r>
        <w:rPr>
          <w:i/>
          <w:color w:val="231F20"/>
          <w:spacing w:val="-2"/>
          <w:sz w:val="20"/>
        </w:rPr>
        <w:t> </w:t>
      </w:r>
      <w:r>
        <w:rPr>
          <w:i/>
          <w:color w:val="231F20"/>
          <w:sz w:val="20"/>
        </w:rPr>
        <w:t>который</w:t>
      </w:r>
      <w:r>
        <w:rPr>
          <w:i/>
          <w:color w:val="231F20"/>
          <w:spacing w:val="-2"/>
          <w:sz w:val="20"/>
        </w:rPr>
        <w:t> </w:t>
      </w:r>
      <w:r>
        <w:rPr>
          <w:i/>
          <w:color w:val="231F20"/>
          <w:sz w:val="20"/>
        </w:rPr>
        <w:t>будет</w:t>
      </w:r>
      <w:r>
        <w:rPr>
          <w:i/>
          <w:color w:val="231F20"/>
          <w:spacing w:val="-2"/>
          <w:sz w:val="20"/>
        </w:rPr>
        <w:t> </w:t>
      </w:r>
      <w:r>
        <w:rPr>
          <w:i/>
          <w:color w:val="231F20"/>
          <w:sz w:val="20"/>
        </w:rPr>
        <w:t>следить</w:t>
      </w:r>
      <w:r>
        <w:rPr>
          <w:i/>
          <w:color w:val="231F20"/>
          <w:spacing w:val="-2"/>
          <w:sz w:val="20"/>
        </w:rPr>
        <w:t> </w:t>
      </w:r>
      <w:r>
        <w:rPr>
          <w:i/>
          <w:color w:val="231F20"/>
          <w:sz w:val="20"/>
        </w:rPr>
        <w:t>за</w:t>
      </w:r>
      <w:r>
        <w:rPr>
          <w:i/>
          <w:color w:val="231F20"/>
          <w:spacing w:val="-2"/>
          <w:sz w:val="20"/>
        </w:rPr>
        <w:t> </w:t>
      </w:r>
      <w:r>
        <w:rPr>
          <w:i/>
          <w:color w:val="231F20"/>
          <w:sz w:val="20"/>
        </w:rPr>
        <w:t>временем</w:t>
      </w:r>
      <w:r>
        <w:rPr>
          <w:i/>
          <w:color w:val="231F20"/>
          <w:spacing w:val="-2"/>
          <w:sz w:val="20"/>
        </w:rPr>
        <w:t> </w:t>
      </w:r>
      <w:r>
        <w:rPr>
          <w:i/>
          <w:color w:val="231F20"/>
          <w:sz w:val="20"/>
        </w:rPr>
        <w:t>в</w:t>
      </w:r>
      <w:r>
        <w:rPr>
          <w:i/>
          <w:color w:val="231F20"/>
          <w:spacing w:val="-2"/>
          <w:sz w:val="20"/>
        </w:rPr>
        <w:t> </w:t>
      </w:r>
      <w:r>
        <w:rPr>
          <w:i/>
          <w:color w:val="231F20"/>
          <w:sz w:val="20"/>
        </w:rPr>
        <w:t>вашей</w:t>
      </w:r>
      <w:r>
        <w:rPr>
          <w:i/>
          <w:color w:val="231F20"/>
          <w:spacing w:val="-2"/>
          <w:sz w:val="20"/>
        </w:rPr>
        <w:t> </w:t>
      </w:r>
      <w:r>
        <w:rPr>
          <w:i/>
          <w:color w:val="231F20"/>
          <w:sz w:val="20"/>
        </w:rPr>
        <w:t>группе.</w:t>
      </w:r>
      <w:r>
        <w:rPr>
          <w:i/>
          <w:color w:val="231F20"/>
          <w:spacing w:val="-2"/>
          <w:sz w:val="20"/>
        </w:rPr>
        <w:t> </w:t>
      </w:r>
      <w:r>
        <w:rPr>
          <w:i/>
          <w:color w:val="231F20"/>
          <w:sz w:val="20"/>
        </w:rPr>
        <w:t>В</w:t>
      </w:r>
      <w:r>
        <w:rPr>
          <w:i/>
          <w:color w:val="231F20"/>
          <w:spacing w:val="-2"/>
          <w:sz w:val="20"/>
        </w:rPr>
        <w:t> </w:t>
      </w:r>
      <w:r>
        <w:rPr>
          <w:i/>
          <w:color w:val="231F20"/>
          <w:sz w:val="20"/>
        </w:rPr>
        <w:t>его обязанности входит не допустить, чтобы участник говорил более 15 секунд. Об- суждайте предложенную вам тему (текст) ровно 5 минут.</w:t>
      </w:r>
    </w:p>
    <w:p>
      <w:pPr>
        <w:pStyle w:val="BodyText"/>
        <w:spacing w:line="232" w:lineRule="auto"/>
      </w:pPr>
      <w:r>
        <w:rPr>
          <w:color w:val="231F20"/>
        </w:rPr>
        <w:t>Ступень</w:t>
      </w:r>
      <w:r>
        <w:rPr>
          <w:color w:val="231F20"/>
          <w:spacing w:val="-13"/>
        </w:rPr>
        <w:t> </w:t>
      </w:r>
      <w:r>
        <w:rPr>
          <w:color w:val="231F20"/>
        </w:rPr>
        <w:t>2.</w:t>
      </w:r>
      <w:r>
        <w:rPr>
          <w:color w:val="231F20"/>
          <w:spacing w:val="-12"/>
        </w:rPr>
        <w:t> </w:t>
      </w:r>
      <w:r>
        <w:rPr>
          <w:color w:val="231F20"/>
        </w:rPr>
        <w:t>Слушать</w:t>
      </w:r>
      <w:r>
        <w:rPr>
          <w:color w:val="231F20"/>
          <w:spacing w:val="-13"/>
        </w:rPr>
        <w:t> </w:t>
      </w:r>
      <w:r>
        <w:rPr>
          <w:color w:val="231F20"/>
        </w:rPr>
        <w:t>и</w:t>
      </w:r>
      <w:r>
        <w:rPr>
          <w:color w:val="231F20"/>
          <w:spacing w:val="-12"/>
        </w:rPr>
        <w:t> </w:t>
      </w:r>
      <w:r>
        <w:rPr>
          <w:color w:val="231F20"/>
        </w:rPr>
        <w:t>слышать</w:t>
      </w:r>
      <w:r>
        <w:rPr>
          <w:color w:val="231F20"/>
          <w:spacing w:val="-13"/>
        </w:rPr>
        <w:t> </w:t>
      </w:r>
      <w:r>
        <w:rPr>
          <w:color w:val="231F20"/>
        </w:rPr>
        <w:t>других</w:t>
      </w:r>
      <w:r>
        <w:rPr>
          <w:i/>
          <w:color w:val="231F20"/>
        </w:rPr>
        <w:t>.</w:t>
      </w:r>
      <w:r>
        <w:rPr>
          <w:i/>
          <w:color w:val="231F20"/>
          <w:spacing w:val="-12"/>
        </w:rPr>
        <w:t> </w:t>
      </w:r>
      <w:r>
        <w:rPr>
          <w:color w:val="231F20"/>
        </w:rPr>
        <w:t>Учащиеся</w:t>
      </w:r>
      <w:r>
        <w:rPr>
          <w:color w:val="231F20"/>
          <w:spacing w:val="-13"/>
        </w:rPr>
        <w:t> </w:t>
      </w:r>
      <w:r>
        <w:rPr>
          <w:color w:val="231F20"/>
        </w:rPr>
        <w:t>должны</w:t>
      </w:r>
      <w:r>
        <w:rPr>
          <w:color w:val="231F20"/>
          <w:spacing w:val="-12"/>
        </w:rPr>
        <w:t> </w:t>
      </w:r>
      <w:r>
        <w:rPr>
          <w:color w:val="231F20"/>
        </w:rPr>
        <w:t>научиться</w:t>
      </w:r>
      <w:r>
        <w:rPr>
          <w:color w:val="231F20"/>
          <w:spacing w:val="-13"/>
        </w:rPr>
        <w:t> </w:t>
      </w:r>
      <w:r>
        <w:rPr>
          <w:color w:val="231F20"/>
        </w:rPr>
        <w:t>слышать,</w:t>
      </w:r>
      <w:r>
        <w:rPr>
          <w:color w:val="231F20"/>
          <w:spacing w:val="-12"/>
        </w:rPr>
        <w:t> </w:t>
      </w:r>
      <w:r>
        <w:rPr>
          <w:color w:val="231F20"/>
        </w:rPr>
        <w:t>что именно говорят другие участники группы.</w:t>
      </w:r>
    </w:p>
    <w:p>
      <w:pPr>
        <w:pStyle w:val="ListParagraph"/>
        <w:numPr>
          <w:ilvl w:val="1"/>
          <w:numId w:val="311"/>
        </w:numPr>
        <w:tabs>
          <w:tab w:pos="585" w:val="left" w:leader="none"/>
        </w:tabs>
        <w:spacing w:line="232" w:lineRule="auto" w:before="0" w:after="0"/>
        <w:ind w:left="141" w:right="139" w:firstLine="283"/>
        <w:jc w:val="both"/>
        <w:rPr>
          <w:color w:val="231F20"/>
          <w:sz w:val="20"/>
        </w:rPr>
      </w:pPr>
      <w:r>
        <w:rPr>
          <w:i/>
          <w:color w:val="231F20"/>
          <w:sz w:val="20"/>
        </w:rPr>
        <w:t>Выберите нового ответственного за время. Продолжите обсуждение еще на 5 минут, но условия участия будут немного другими. Каждый говорит не более 15 секунд, но после его выступления должна быть выдержана пауза в три секунды. Следующий участник может говорить только после этой паузы.</w:t>
      </w:r>
    </w:p>
    <w:p>
      <w:pPr>
        <w:pStyle w:val="BodyText"/>
        <w:spacing w:line="232" w:lineRule="auto"/>
      </w:pPr>
      <w:r>
        <w:rPr>
          <w:color w:val="231F20"/>
        </w:rPr>
        <w:t>Ступень</w:t>
      </w:r>
      <w:r>
        <w:rPr>
          <w:color w:val="231F20"/>
          <w:spacing w:val="-9"/>
        </w:rPr>
        <w:t> </w:t>
      </w:r>
      <w:r>
        <w:rPr>
          <w:color w:val="231F20"/>
        </w:rPr>
        <w:t>3.</w:t>
      </w:r>
      <w:r>
        <w:rPr>
          <w:color w:val="231F20"/>
          <w:spacing w:val="-9"/>
        </w:rPr>
        <w:t> </w:t>
      </w:r>
      <w:r>
        <w:rPr>
          <w:color w:val="231F20"/>
        </w:rPr>
        <w:t>Отражать</w:t>
      </w:r>
      <w:r>
        <w:rPr>
          <w:i/>
          <w:color w:val="231F20"/>
        </w:rPr>
        <w:t>.</w:t>
      </w:r>
      <w:r>
        <w:rPr>
          <w:i/>
          <w:color w:val="231F20"/>
          <w:spacing w:val="-9"/>
        </w:rPr>
        <w:t> </w:t>
      </w:r>
      <w:r>
        <w:rPr>
          <w:color w:val="231F20"/>
        </w:rPr>
        <w:t>Учащиеся</w:t>
      </w:r>
      <w:r>
        <w:rPr>
          <w:color w:val="231F20"/>
          <w:spacing w:val="-9"/>
        </w:rPr>
        <w:t> </w:t>
      </w:r>
      <w:r>
        <w:rPr>
          <w:color w:val="231F20"/>
        </w:rPr>
        <w:t>должны</w:t>
      </w:r>
      <w:r>
        <w:rPr>
          <w:color w:val="231F20"/>
          <w:spacing w:val="-9"/>
        </w:rPr>
        <w:t> </w:t>
      </w:r>
      <w:r>
        <w:rPr>
          <w:color w:val="231F20"/>
        </w:rPr>
        <w:t>научиться</w:t>
      </w:r>
      <w:r>
        <w:rPr>
          <w:color w:val="231F20"/>
          <w:spacing w:val="-9"/>
        </w:rPr>
        <w:t> </w:t>
      </w:r>
      <w:r>
        <w:rPr>
          <w:color w:val="231F20"/>
        </w:rPr>
        <w:t>громко</w:t>
      </w:r>
      <w:r>
        <w:rPr>
          <w:color w:val="231F20"/>
          <w:spacing w:val="-9"/>
        </w:rPr>
        <w:t> </w:t>
      </w:r>
      <w:r>
        <w:rPr>
          <w:color w:val="231F20"/>
        </w:rPr>
        <w:t>повторять</w:t>
      </w:r>
      <w:r>
        <w:rPr>
          <w:color w:val="231F20"/>
          <w:spacing w:val="-9"/>
        </w:rPr>
        <w:t> </w:t>
      </w:r>
      <w:r>
        <w:rPr>
          <w:color w:val="231F20"/>
        </w:rPr>
        <w:t>всей</w:t>
      </w:r>
      <w:r>
        <w:rPr>
          <w:color w:val="231F20"/>
          <w:spacing w:val="-9"/>
        </w:rPr>
        <w:t> </w:t>
      </w:r>
      <w:r>
        <w:rPr>
          <w:color w:val="231F20"/>
        </w:rPr>
        <w:t>группе то, что только что произнес выступающий.</w:t>
      </w:r>
    </w:p>
    <w:p>
      <w:pPr>
        <w:pStyle w:val="ListParagraph"/>
        <w:numPr>
          <w:ilvl w:val="1"/>
          <w:numId w:val="311"/>
        </w:numPr>
        <w:tabs>
          <w:tab w:pos="565" w:val="left" w:leader="none"/>
        </w:tabs>
        <w:spacing w:line="232" w:lineRule="auto" w:before="0" w:after="0"/>
        <w:ind w:left="141" w:right="139" w:firstLine="283"/>
        <w:jc w:val="both"/>
        <w:rPr>
          <w:color w:val="231F20"/>
          <w:sz w:val="20"/>
        </w:rPr>
      </w:pPr>
      <w:r>
        <w:rPr>
          <w:i/>
          <w:color w:val="231F20"/>
          <w:sz w:val="20"/>
        </w:rPr>
        <w:t>Выберите</w:t>
      </w:r>
      <w:r>
        <w:rPr>
          <w:i/>
          <w:color w:val="231F20"/>
          <w:spacing w:val="-13"/>
          <w:sz w:val="20"/>
        </w:rPr>
        <w:t> </w:t>
      </w:r>
      <w:r>
        <w:rPr>
          <w:i/>
          <w:color w:val="231F20"/>
          <w:sz w:val="20"/>
        </w:rPr>
        <w:t>нового</w:t>
      </w:r>
      <w:r>
        <w:rPr>
          <w:i/>
          <w:color w:val="231F20"/>
          <w:spacing w:val="-12"/>
          <w:sz w:val="20"/>
        </w:rPr>
        <w:t> </w:t>
      </w:r>
      <w:r>
        <w:rPr>
          <w:i/>
          <w:color w:val="231F20"/>
          <w:sz w:val="20"/>
        </w:rPr>
        <w:t>ответственного</w:t>
      </w:r>
      <w:r>
        <w:rPr>
          <w:i/>
          <w:color w:val="231F20"/>
          <w:spacing w:val="-13"/>
          <w:sz w:val="20"/>
        </w:rPr>
        <w:t> </w:t>
      </w:r>
      <w:r>
        <w:rPr>
          <w:i/>
          <w:color w:val="231F20"/>
          <w:sz w:val="20"/>
        </w:rPr>
        <w:t>за</w:t>
      </w:r>
      <w:r>
        <w:rPr>
          <w:i/>
          <w:color w:val="231F20"/>
          <w:spacing w:val="-12"/>
          <w:sz w:val="20"/>
        </w:rPr>
        <w:t> </w:t>
      </w:r>
      <w:r>
        <w:rPr>
          <w:i/>
          <w:color w:val="231F20"/>
          <w:sz w:val="20"/>
        </w:rPr>
        <w:t>время.</w:t>
      </w:r>
      <w:r>
        <w:rPr>
          <w:i/>
          <w:color w:val="231F20"/>
          <w:spacing w:val="-13"/>
          <w:sz w:val="20"/>
        </w:rPr>
        <w:t> </w:t>
      </w:r>
      <w:r>
        <w:rPr>
          <w:i/>
          <w:color w:val="231F20"/>
          <w:sz w:val="20"/>
        </w:rPr>
        <w:t>Продолжайте</w:t>
      </w:r>
      <w:r>
        <w:rPr>
          <w:i/>
          <w:color w:val="231F20"/>
          <w:spacing w:val="-12"/>
          <w:sz w:val="20"/>
        </w:rPr>
        <w:t> </w:t>
      </w:r>
      <w:r>
        <w:rPr>
          <w:i/>
          <w:color w:val="231F20"/>
          <w:sz w:val="20"/>
        </w:rPr>
        <w:t>обсуждать</w:t>
      </w:r>
      <w:r>
        <w:rPr>
          <w:i/>
          <w:color w:val="231F20"/>
          <w:spacing w:val="-13"/>
          <w:sz w:val="20"/>
        </w:rPr>
        <w:t> </w:t>
      </w:r>
      <w:r>
        <w:rPr>
          <w:i/>
          <w:color w:val="231F20"/>
          <w:sz w:val="20"/>
        </w:rPr>
        <w:t>тот</w:t>
      </w:r>
      <w:r>
        <w:rPr>
          <w:i/>
          <w:color w:val="231F20"/>
          <w:spacing w:val="-12"/>
          <w:sz w:val="20"/>
        </w:rPr>
        <w:t> </w:t>
      </w:r>
      <w:r>
        <w:rPr>
          <w:i/>
          <w:color w:val="231F20"/>
          <w:sz w:val="20"/>
        </w:rPr>
        <w:t>же самый вопрос, но задание усложняется. Теперь каждый выступающий говорит не более</w:t>
      </w:r>
      <w:r>
        <w:rPr>
          <w:i/>
          <w:color w:val="231F20"/>
          <w:spacing w:val="-4"/>
          <w:sz w:val="20"/>
        </w:rPr>
        <w:t> </w:t>
      </w:r>
      <w:r>
        <w:rPr>
          <w:i/>
          <w:color w:val="231F20"/>
          <w:sz w:val="20"/>
        </w:rPr>
        <w:t>15</w:t>
      </w:r>
      <w:r>
        <w:rPr>
          <w:i/>
          <w:color w:val="231F20"/>
          <w:spacing w:val="-4"/>
          <w:sz w:val="20"/>
        </w:rPr>
        <w:t> </w:t>
      </w:r>
      <w:r>
        <w:rPr>
          <w:i/>
          <w:color w:val="231F20"/>
          <w:sz w:val="20"/>
        </w:rPr>
        <w:t>секунд,</w:t>
      </w:r>
      <w:r>
        <w:rPr>
          <w:i/>
          <w:color w:val="231F20"/>
          <w:spacing w:val="-4"/>
          <w:sz w:val="20"/>
        </w:rPr>
        <w:t> </w:t>
      </w:r>
      <w:r>
        <w:rPr>
          <w:i/>
          <w:color w:val="231F20"/>
          <w:sz w:val="20"/>
        </w:rPr>
        <w:t>потом</w:t>
      </w:r>
      <w:r>
        <w:rPr>
          <w:i/>
          <w:color w:val="231F20"/>
          <w:spacing w:val="-4"/>
          <w:sz w:val="20"/>
        </w:rPr>
        <w:t> </w:t>
      </w:r>
      <w:r>
        <w:rPr>
          <w:i/>
          <w:color w:val="231F20"/>
          <w:sz w:val="20"/>
        </w:rPr>
        <w:t>все</w:t>
      </w:r>
      <w:r>
        <w:rPr>
          <w:i/>
          <w:color w:val="231F20"/>
          <w:spacing w:val="-4"/>
          <w:sz w:val="20"/>
        </w:rPr>
        <w:t> </w:t>
      </w:r>
      <w:r>
        <w:rPr>
          <w:i/>
          <w:color w:val="231F20"/>
          <w:sz w:val="20"/>
        </w:rPr>
        <w:t>выжидают</w:t>
      </w:r>
      <w:r>
        <w:rPr>
          <w:i/>
          <w:color w:val="231F20"/>
          <w:spacing w:val="-4"/>
          <w:sz w:val="20"/>
        </w:rPr>
        <w:t> </w:t>
      </w:r>
      <w:r>
        <w:rPr>
          <w:i/>
          <w:color w:val="231F20"/>
          <w:sz w:val="20"/>
        </w:rPr>
        <w:t>ровно</w:t>
      </w:r>
      <w:r>
        <w:rPr>
          <w:i/>
          <w:color w:val="231F20"/>
          <w:spacing w:val="-4"/>
          <w:sz w:val="20"/>
        </w:rPr>
        <w:t> </w:t>
      </w:r>
      <w:r>
        <w:rPr>
          <w:i/>
          <w:color w:val="231F20"/>
          <w:sz w:val="20"/>
        </w:rPr>
        <w:t>3</w:t>
      </w:r>
      <w:r>
        <w:rPr>
          <w:i/>
          <w:color w:val="231F20"/>
          <w:spacing w:val="-4"/>
          <w:sz w:val="20"/>
        </w:rPr>
        <w:t> </w:t>
      </w:r>
      <w:r>
        <w:rPr>
          <w:i/>
          <w:color w:val="231F20"/>
          <w:sz w:val="20"/>
        </w:rPr>
        <w:t>секунды,</w:t>
      </w:r>
      <w:r>
        <w:rPr>
          <w:i/>
          <w:color w:val="231F20"/>
          <w:spacing w:val="-4"/>
          <w:sz w:val="20"/>
        </w:rPr>
        <w:t> </w:t>
      </w:r>
      <w:r>
        <w:rPr>
          <w:i/>
          <w:color w:val="231F20"/>
          <w:sz w:val="20"/>
        </w:rPr>
        <w:t>а</w:t>
      </w:r>
      <w:r>
        <w:rPr>
          <w:i/>
          <w:color w:val="231F20"/>
          <w:spacing w:val="-4"/>
          <w:sz w:val="20"/>
        </w:rPr>
        <w:t> </w:t>
      </w:r>
      <w:r>
        <w:rPr>
          <w:i/>
          <w:color w:val="231F20"/>
          <w:sz w:val="20"/>
        </w:rPr>
        <w:t>следующий</w:t>
      </w:r>
      <w:r>
        <w:rPr>
          <w:i/>
          <w:color w:val="231F20"/>
          <w:spacing w:val="-4"/>
          <w:sz w:val="20"/>
        </w:rPr>
        <w:t> </w:t>
      </w:r>
      <w:r>
        <w:rPr>
          <w:i/>
          <w:color w:val="231F20"/>
          <w:sz w:val="20"/>
        </w:rPr>
        <w:t>выступающий должен повторить то, что сказал группе предыдущий выступающий. Участник группы, чьи слова пересказывает очередной выступающий, должен кивком головы показать, правильно ли его процитировали. Если мысль была пересказана неверно, выступающий</w:t>
      </w:r>
      <w:r>
        <w:rPr>
          <w:i/>
          <w:color w:val="231F20"/>
          <w:spacing w:val="-7"/>
          <w:sz w:val="20"/>
        </w:rPr>
        <w:t> </w:t>
      </w:r>
      <w:r>
        <w:rPr>
          <w:i/>
          <w:color w:val="231F20"/>
          <w:sz w:val="20"/>
        </w:rPr>
        <w:t>должен</w:t>
      </w:r>
      <w:r>
        <w:rPr>
          <w:i/>
          <w:color w:val="231F20"/>
          <w:spacing w:val="-7"/>
          <w:sz w:val="20"/>
        </w:rPr>
        <w:t> </w:t>
      </w:r>
      <w:r>
        <w:rPr>
          <w:i/>
          <w:color w:val="231F20"/>
          <w:sz w:val="20"/>
        </w:rPr>
        <w:t>ее</w:t>
      </w:r>
      <w:r>
        <w:rPr>
          <w:i/>
          <w:color w:val="231F20"/>
          <w:spacing w:val="-7"/>
          <w:sz w:val="20"/>
        </w:rPr>
        <w:t> </w:t>
      </w:r>
      <w:r>
        <w:rPr>
          <w:i/>
          <w:color w:val="231F20"/>
          <w:sz w:val="20"/>
        </w:rPr>
        <w:t>перефразировать</w:t>
      </w:r>
      <w:r>
        <w:rPr>
          <w:i/>
          <w:color w:val="231F20"/>
          <w:spacing w:val="-7"/>
          <w:sz w:val="20"/>
        </w:rPr>
        <w:t> </w:t>
      </w:r>
      <w:r>
        <w:rPr>
          <w:i/>
          <w:color w:val="231F20"/>
          <w:sz w:val="20"/>
        </w:rPr>
        <w:t>до</w:t>
      </w:r>
      <w:r>
        <w:rPr>
          <w:i/>
          <w:color w:val="231F20"/>
          <w:spacing w:val="-7"/>
          <w:sz w:val="20"/>
        </w:rPr>
        <w:t> </w:t>
      </w:r>
      <w:r>
        <w:rPr>
          <w:i/>
          <w:color w:val="231F20"/>
          <w:sz w:val="20"/>
        </w:rPr>
        <w:t>тех</w:t>
      </w:r>
      <w:r>
        <w:rPr>
          <w:i/>
          <w:color w:val="231F20"/>
          <w:spacing w:val="-7"/>
          <w:sz w:val="20"/>
        </w:rPr>
        <w:t> </w:t>
      </w:r>
      <w:r>
        <w:rPr>
          <w:i/>
          <w:color w:val="231F20"/>
          <w:sz w:val="20"/>
        </w:rPr>
        <w:t>пор,</w:t>
      </w:r>
      <w:r>
        <w:rPr>
          <w:i/>
          <w:color w:val="231F20"/>
          <w:spacing w:val="-7"/>
          <w:sz w:val="20"/>
        </w:rPr>
        <w:t> </w:t>
      </w:r>
      <w:r>
        <w:rPr>
          <w:i/>
          <w:color w:val="231F20"/>
          <w:sz w:val="20"/>
        </w:rPr>
        <w:t>пока</w:t>
      </w:r>
      <w:r>
        <w:rPr>
          <w:i/>
          <w:color w:val="231F20"/>
          <w:spacing w:val="-7"/>
          <w:sz w:val="20"/>
        </w:rPr>
        <w:t> </w:t>
      </w:r>
      <w:r>
        <w:rPr>
          <w:i/>
          <w:color w:val="231F20"/>
          <w:sz w:val="20"/>
        </w:rPr>
        <w:t>цитируемый</w:t>
      </w:r>
      <w:r>
        <w:rPr>
          <w:i/>
          <w:color w:val="231F20"/>
          <w:spacing w:val="-7"/>
          <w:sz w:val="20"/>
        </w:rPr>
        <w:t> </w:t>
      </w:r>
      <w:r>
        <w:rPr>
          <w:i/>
          <w:color w:val="231F20"/>
          <w:sz w:val="20"/>
        </w:rPr>
        <w:t>не</w:t>
      </w:r>
      <w:r>
        <w:rPr>
          <w:i/>
          <w:color w:val="231F20"/>
          <w:spacing w:val="-7"/>
          <w:sz w:val="20"/>
        </w:rPr>
        <w:t> </w:t>
      </w:r>
      <w:r>
        <w:rPr>
          <w:i/>
          <w:color w:val="231F20"/>
          <w:sz w:val="20"/>
        </w:rPr>
        <w:t>примет фразу, согласившись с ней кивком головы.</w:t>
      </w:r>
    </w:p>
    <w:p>
      <w:pPr>
        <w:pStyle w:val="BodyText"/>
        <w:spacing w:line="218" w:lineRule="exact"/>
        <w:ind w:left="425" w:right="0" w:firstLine="0"/>
      </w:pPr>
      <w:r>
        <w:rPr>
          <w:color w:val="231F20"/>
        </w:rPr>
        <w:t>Ступень</w:t>
      </w:r>
      <w:r>
        <w:rPr>
          <w:color w:val="231F20"/>
          <w:spacing w:val="-5"/>
        </w:rPr>
        <w:t> </w:t>
      </w:r>
      <w:r>
        <w:rPr>
          <w:color w:val="231F20"/>
        </w:rPr>
        <w:t>4.</w:t>
      </w:r>
      <w:r>
        <w:rPr>
          <w:color w:val="231F20"/>
          <w:spacing w:val="-3"/>
        </w:rPr>
        <w:t> </w:t>
      </w:r>
      <w:r>
        <w:rPr>
          <w:color w:val="231F20"/>
        </w:rPr>
        <w:t>Все</w:t>
      </w:r>
      <w:r>
        <w:rPr>
          <w:color w:val="231F20"/>
          <w:spacing w:val="-4"/>
        </w:rPr>
        <w:t> </w:t>
      </w:r>
      <w:r>
        <w:rPr>
          <w:color w:val="231F20"/>
        </w:rPr>
        <w:t>участвуют</w:t>
      </w:r>
      <w:r>
        <w:rPr>
          <w:i/>
          <w:color w:val="231F20"/>
        </w:rPr>
        <w:t>.</w:t>
      </w:r>
      <w:r>
        <w:rPr>
          <w:i/>
          <w:color w:val="231F20"/>
          <w:spacing w:val="-3"/>
        </w:rPr>
        <w:t> </w:t>
      </w:r>
      <w:r>
        <w:rPr>
          <w:color w:val="231F20"/>
        </w:rPr>
        <w:t>Все</w:t>
      </w:r>
      <w:r>
        <w:rPr>
          <w:color w:val="231F20"/>
          <w:spacing w:val="-4"/>
        </w:rPr>
        <w:t> </w:t>
      </w:r>
      <w:r>
        <w:rPr>
          <w:color w:val="231F20"/>
        </w:rPr>
        <w:t>должны</w:t>
      </w:r>
      <w:r>
        <w:rPr>
          <w:color w:val="231F20"/>
          <w:spacing w:val="-3"/>
        </w:rPr>
        <w:t> </w:t>
      </w:r>
      <w:r>
        <w:rPr>
          <w:color w:val="231F20"/>
        </w:rPr>
        <w:t>принять</w:t>
      </w:r>
      <w:r>
        <w:rPr>
          <w:color w:val="231F20"/>
          <w:spacing w:val="-5"/>
        </w:rPr>
        <w:t> </w:t>
      </w:r>
      <w:r>
        <w:rPr>
          <w:color w:val="231F20"/>
        </w:rPr>
        <w:t>участие</w:t>
      </w:r>
      <w:r>
        <w:rPr>
          <w:color w:val="231F20"/>
          <w:spacing w:val="-3"/>
        </w:rPr>
        <w:t> </w:t>
      </w:r>
      <w:r>
        <w:rPr>
          <w:color w:val="231F20"/>
        </w:rPr>
        <w:t>в</w:t>
      </w:r>
      <w:r>
        <w:rPr>
          <w:color w:val="231F20"/>
          <w:spacing w:val="-4"/>
        </w:rPr>
        <w:t> </w:t>
      </w:r>
      <w:r>
        <w:rPr>
          <w:color w:val="231F20"/>
          <w:spacing w:val="-2"/>
        </w:rPr>
        <w:t>обсуждении.</w:t>
      </w:r>
    </w:p>
    <w:p>
      <w:pPr>
        <w:pStyle w:val="ListParagraph"/>
        <w:numPr>
          <w:ilvl w:val="1"/>
          <w:numId w:val="311"/>
        </w:numPr>
        <w:tabs>
          <w:tab w:pos="567" w:val="left" w:leader="none"/>
        </w:tabs>
        <w:spacing w:line="235" w:lineRule="auto" w:before="0" w:after="0"/>
        <w:ind w:left="141" w:right="138" w:firstLine="283"/>
        <w:jc w:val="both"/>
        <w:rPr>
          <w:color w:val="231F20"/>
          <w:sz w:val="20"/>
        </w:rPr>
      </w:pPr>
      <w:r>
        <w:rPr>
          <w:i/>
          <w:color w:val="231F20"/>
          <w:sz w:val="20"/>
        </w:rPr>
        <w:t>Выберите</w:t>
      </w:r>
      <w:r>
        <w:rPr>
          <w:i/>
          <w:color w:val="231F20"/>
          <w:spacing w:val="-13"/>
          <w:sz w:val="20"/>
        </w:rPr>
        <w:t> </w:t>
      </w:r>
      <w:r>
        <w:rPr>
          <w:i/>
          <w:color w:val="231F20"/>
          <w:sz w:val="20"/>
        </w:rPr>
        <w:t>нового</w:t>
      </w:r>
      <w:r>
        <w:rPr>
          <w:i/>
          <w:color w:val="231F20"/>
          <w:spacing w:val="-12"/>
          <w:sz w:val="20"/>
        </w:rPr>
        <w:t> </w:t>
      </w:r>
      <w:r>
        <w:rPr>
          <w:i/>
          <w:color w:val="231F20"/>
          <w:sz w:val="20"/>
        </w:rPr>
        <w:t>ответственного</w:t>
      </w:r>
      <w:r>
        <w:rPr>
          <w:i/>
          <w:color w:val="231F20"/>
          <w:spacing w:val="-13"/>
          <w:sz w:val="20"/>
        </w:rPr>
        <w:t> </w:t>
      </w:r>
      <w:r>
        <w:rPr>
          <w:i/>
          <w:color w:val="231F20"/>
          <w:sz w:val="20"/>
        </w:rPr>
        <w:t>за</w:t>
      </w:r>
      <w:r>
        <w:rPr>
          <w:i/>
          <w:color w:val="231F20"/>
          <w:spacing w:val="-12"/>
          <w:sz w:val="20"/>
        </w:rPr>
        <w:t> </w:t>
      </w:r>
      <w:r>
        <w:rPr>
          <w:i/>
          <w:color w:val="231F20"/>
          <w:sz w:val="20"/>
        </w:rPr>
        <w:t>время.</w:t>
      </w:r>
      <w:r>
        <w:rPr>
          <w:i/>
          <w:color w:val="231F20"/>
          <w:spacing w:val="-13"/>
          <w:sz w:val="20"/>
        </w:rPr>
        <w:t> </w:t>
      </w:r>
      <w:r>
        <w:rPr>
          <w:i/>
          <w:color w:val="231F20"/>
          <w:sz w:val="20"/>
        </w:rPr>
        <w:t>Продолжите</w:t>
      </w:r>
      <w:r>
        <w:rPr>
          <w:i/>
          <w:color w:val="231F20"/>
          <w:spacing w:val="-12"/>
          <w:sz w:val="20"/>
        </w:rPr>
        <w:t> </w:t>
      </w:r>
      <w:r>
        <w:rPr>
          <w:i/>
          <w:color w:val="231F20"/>
          <w:sz w:val="20"/>
        </w:rPr>
        <w:t>обсуждение</w:t>
      </w:r>
      <w:r>
        <w:rPr>
          <w:i/>
          <w:color w:val="231F20"/>
          <w:spacing w:val="-13"/>
          <w:sz w:val="20"/>
        </w:rPr>
        <w:t> </w:t>
      </w:r>
      <w:r>
        <w:rPr>
          <w:i/>
          <w:color w:val="231F20"/>
          <w:sz w:val="20"/>
        </w:rPr>
        <w:t>того</w:t>
      </w:r>
      <w:r>
        <w:rPr>
          <w:i/>
          <w:color w:val="231F20"/>
          <w:spacing w:val="-12"/>
          <w:sz w:val="20"/>
        </w:rPr>
        <w:t> </w:t>
      </w:r>
      <w:r>
        <w:rPr>
          <w:i/>
          <w:color w:val="231F20"/>
          <w:sz w:val="20"/>
        </w:rPr>
        <w:t>же вопроса</w:t>
      </w:r>
      <w:r>
        <w:rPr>
          <w:i/>
          <w:color w:val="231F20"/>
          <w:spacing w:val="-3"/>
          <w:sz w:val="20"/>
        </w:rPr>
        <w:t> </w:t>
      </w:r>
      <w:r>
        <w:rPr>
          <w:i/>
          <w:color w:val="231F20"/>
          <w:sz w:val="20"/>
        </w:rPr>
        <w:t>еще</w:t>
      </w:r>
      <w:r>
        <w:rPr>
          <w:i/>
          <w:color w:val="231F20"/>
          <w:spacing w:val="-3"/>
          <w:sz w:val="20"/>
        </w:rPr>
        <w:t> </w:t>
      </w:r>
      <w:r>
        <w:rPr>
          <w:i/>
          <w:color w:val="231F20"/>
          <w:sz w:val="20"/>
        </w:rPr>
        <w:t>5</w:t>
      </w:r>
      <w:r>
        <w:rPr>
          <w:i/>
          <w:color w:val="231F20"/>
          <w:spacing w:val="-3"/>
          <w:sz w:val="20"/>
        </w:rPr>
        <w:t> </w:t>
      </w:r>
      <w:r>
        <w:rPr>
          <w:i/>
          <w:color w:val="231F20"/>
          <w:sz w:val="20"/>
        </w:rPr>
        <w:t>минут.</w:t>
      </w:r>
      <w:r>
        <w:rPr>
          <w:i/>
          <w:color w:val="231F20"/>
          <w:spacing w:val="-3"/>
          <w:sz w:val="20"/>
        </w:rPr>
        <w:t> </w:t>
      </w:r>
      <w:r>
        <w:rPr>
          <w:i/>
          <w:color w:val="231F20"/>
          <w:sz w:val="20"/>
        </w:rPr>
        <w:t>Все</w:t>
      </w:r>
      <w:r>
        <w:rPr>
          <w:i/>
          <w:color w:val="231F20"/>
          <w:spacing w:val="-3"/>
          <w:sz w:val="20"/>
        </w:rPr>
        <w:t> </w:t>
      </w:r>
      <w:r>
        <w:rPr>
          <w:i/>
          <w:color w:val="231F20"/>
          <w:sz w:val="20"/>
        </w:rPr>
        <w:t>предыдущие</w:t>
      </w:r>
      <w:r>
        <w:rPr>
          <w:i/>
          <w:color w:val="231F20"/>
          <w:spacing w:val="-3"/>
          <w:sz w:val="20"/>
        </w:rPr>
        <w:t> </w:t>
      </w:r>
      <w:r>
        <w:rPr>
          <w:i/>
          <w:color w:val="231F20"/>
          <w:sz w:val="20"/>
        </w:rPr>
        <w:t>правила</w:t>
      </w:r>
      <w:r>
        <w:rPr>
          <w:i/>
          <w:color w:val="231F20"/>
          <w:spacing w:val="-3"/>
          <w:sz w:val="20"/>
        </w:rPr>
        <w:t> </w:t>
      </w:r>
      <w:r>
        <w:rPr>
          <w:i/>
          <w:color w:val="231F20"/>
          <w:sz w:val="20"/>
        </w:rPr>
        <w:t>продолжают</w:t>
      </w:r>
      <w:r>
        <w:rPr>
          <w:i/>
          <w:color w:val="231F20"/>
          <w:spacing w:val="-3"/>
          <w:sz w:val="20"/>
        </w:rPr>
        <w:t> </w:t>
      </w:r>
      <w:r>
        <w:rPr>
          <w:i/>
          <w:color w:val="231F20"/>
          <w:sz w:val="20"/>
        </w:rPr>
        <w:t>действовать,</w:t>
      </w:r>
      <w:r>
        <w:rPr>
          <w:i/>
          <w:color w:val="231F20"/>
          <w:spacing w:val="-3"/>
          <w:sz w:val="20"/>
        </w:rPr>
        <w:t> </w:t>
      </w:r>
      <w:r>
        <w:rPr>
          <w:i/>
          <w:color w:val="231F20"/>
          <w:sz w:val="20"/>
        </w:rPr>
        <w:t>но</w:t>
      </w:r>
      <w:r>
        <w:rPr>
          <w:i/>
          <w:color w:val="231F20"/>
          <w:spacing w:val="-3"/>
          <w:sz w:val="20"/>
        </w:rPr>
        <w:t> </w:t>
      </w:r>
      <w:r>
        <w:rPr>
          <w:i/>
          <w:color w:val="231F20"/>
          <w:sz w:val="20"/>
        </w:rPr>
        <w:t>к</w:t>
      </w:r>
      <w:r>
        <w:rPr>
          <w:i/>
          <w:color w:val="231F20"/>
          <w:spacing w:val="-3"/>
          <w:sz w:val="20"/>
        </w:rPr>
        <w:t> </w:t>
      </w:r>
      <w:r>
        <w:rPr>
          <w:i/>
          <w:color w:val="231F20"/>
          <w:sz w:val="20"/>
        </w:rPr>
        <w:t>ним добавляется новое: никто не имеет права взять слово еще раз, пока по одному разу не выскажется каждый из участников группы.</w:t>
      </w:r>
    </w:p>
    <w:p>
      <w:pPr>
        <w:pStyle w:val="ListParagraph"/>
        <w:spacing w:after="0" w:line="235" w:lineRule="auto"/>
        <w:jc w:val="both"/>
        <w:rPr>
          <w:sz w:val="20"/>
        </w:rPr>
        <w:sectPr>
          <w:pgSz w:w="8400" w:h="11910"/>
          <w:pgMar w:header="0" w:footer="530" w:top="400" w:bottom="72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6"/>
          <w:sz w:val="18"/>
        </w:rPr>
        <w:t> </w:t>
      </w:r>
      <w:r>
        <w:rPr>
          <w:rFonts w:ascii="Georgia" w:hAnsi="Georgia"/>
          <w:color w:val="231F20"/>
          <w:sz w:val="18"/>
        </w:rPr>
        <w:t>Организация</w:t>
      </w:r>
      <w:r>
        <w:rPr>
          <w:rFonts w:ascii="Georgia" w:hAnsi="Georgia"/>
          <w:color w:val="231F20"/>
          <w:spacing w:val="7"/>
          <w:sz w:val="18"/>
        </w:rPr>
        <w:t> </w:t>
      </w:r>
      <w:r>
        <w:rPr>
          <w:rFonts w:ascii="Georgia" w:hAnsi="Georgia"/>
          <w:color w:val="231F20"/>
          <w:sz w:val="18"/>
        </w:rPr>
        <w:t>групповой</w:t>
      </w:r>
      <w:r>
        <w:rPr>
          <w:rFonts w:ascii="Georgia" w:hAnsi="Georgia"/>
          <w:color w:val="231F20"/>
          <w:spacing w:val="7"/>
          <w:sz w:val="18"/>
        </w:rPr>
        <w:t> </w:t>
      </w:r>
      <w:r>
        <w:rPr>
          <w:rFonts w:ascii="Georgia" w:hAnsi="Georgia"/>
          <w:color w:val="231F20"/>
          <w:sz w:val="18"/>
        </w:rPr>
        <w:t>учебной</w:t>
      </w:r>
      <w:r>
        <w:rPr>
          <w:rFonts w:ascii="Georgia" w:hAnsi="Georgia"/>
          <w:color w:val="231F20"/>
          <w:spacing w:val="6"/>
          <w:sz w:val="18"/>
        </w:rPr>
        <w:t> </w:t>
      </w:r>
      <w:r>
        <w:rPr>
          <w:rFonts w:ascii="Georgia" w:hAnsi="Georgia"/>
          <w:color w:val="231F20"/>
          <w:sz w:val="18"/>
        </w:rPr>
        <w:t>работы</w:t>
      </w:r>
      <w:r>
        <w:rPr>
          <w:rFonts w:ascii="Georgia" w:hAnsi="Georgia"/>
          <w:color w:val="231F20"/>
          <w:spacing w:val="7"/>
          <w:sz w:val="18"/>
        </w:rPr>
        <w:t> </w:t>
      </w:r>
      <w:r>
        <w:rPr>
          <w:rFonts w:ascii="Georgia" w:hAnsi="Georgia"/>
          <w:color w:val="231F20"/>
          <w:sz w:val="18"/>
        </w:rPr>
        <w:t>учащихся</w:t>
      </w:r>
      <w:r>
        <w:rPr>
          <w:rFonts w:ascii="Georgia" w:hAnsi="Georgia"/>
          <w:color w:val="231F20"/>
          <w:spacing w:val="7"/>
          <w:sz w:val="18"/>
        </w:rPr>
        <w:t> </w:t>
      </w:r>
      <w:r>
        <w:rPr>
          <w:rFonts w:ascii="Georgia" w:hAnsi="Georgia"/>
          <w:color w:val="231F20"/>
          <w:sz w:val="18"/>
        </w:rPr>
        <w:t>в</w:t>
      </w:r>
      <w:r>
        <w:rPr>
          <w:rFonts w:ascii="Georgia" w:hAnsi="Georgia"/>
          <w:color w:val="231F20"/>
          <w:spacing w:val="6"/>
          <w:sz w:val="18"/>
        </w:rPr>
        <w:t> </w:t>
      </w:r>
      <w:r>
        <w:rPr>
          <w:rFonts w:ascii="Georgia" w:hAnsi="Georgia"/>
          <w:color w:val="231F20"/>
          <w:sz w:val="18"/>
        </w:rPr>
        <w:t>поликультурном</w:t>
      </w:r>
      <w:r>
        <w:rPr>
          <w:rFonts w:ascii="Georgia" w:hAnsi="Georgia"/>
          <w:color w:val="231F20"/>
          <w:spacing w:val="7"/>
          <w:sz w:val="18"/>
        </w:rPr>
        <w:t> </w:t>
      </w:r>
      <w:r>
        <w:rPr>
          <w:rFonts w:ascii="Georgia" w:hAnsi="Georgia"/>
          <w:color w:val="231F20"/>
          <w:spacing w:val="-2"/>
          <w:sz w:val="18"/>
        </w:rPr>
        <w:t>классе...</w:t>
      </w:r>
    </w:p>
    <w:p>
      <w:pPr>
        <w:pStyle w:val="BodyText"/>
        <w:spacing w:line="235" w:lineRule="auto" w:before="116"/>
      </w:pPr>
      <w:r>
        <w:rPr>
          <w:color w:val="231F20"/>
        </w:rPr>
        <w:t>После</w:t>
      </w:r>
      <w:r>
        <w:rPr>
          <w:color w:val="231F20"/>
          <w:spacing w:val="-3"/>
        </w:rPr>
        <w:t> </w:t>
      </w:r>
      <w:r>
        <w:rPr>
          <w:color w:val="231F20"/>
        </w:rPr>
        <w:t>каждой</w:t>
      </w:r>
      <w:r>
        <w:rPr>
          <w:color w:val="231F20"/>
          <w:spacing w:val="-4"/>
        </w:rPr>
        <w:t> </w:t>
      </w:r>
      <w:r>
        <w:rPr>
          <w:color w:val="231F20"/>
        </w:rPr>
        <w:t>ступени</w:t>
      </w:r>
      <w:r>
        <w:rPr>
          <w:color w:val="231F20"/>
          <w:spacing w:val="-3"/>
        </w:rPr>
        <w:t> </w:t>
      </w:r>
      <w:r>
        <w:rPr>
          <w:color w:val="231F20"/>
        </w:rPr>
        <w:t>ответственный</w:t>
      </w:r>
      <w:r>
        <w:rPr>
          <w:color w:val="231F20"/>
          <w:spacing w:val="-3"/>
        </w:rPr>
        <w:t> </w:t>
      </w:r>
      <w:r>
        <w:rPr>
          <w:color w:val="231F20"/>
        </w:rPr>
        <w:t>за</w:t>
      </w:r>
      <w:r>
        <w:rPr>
          <w:color w:val="231F20"/>
          <w:spacing w:val="-3"/>
        </w:rPr>
        <w:t> </w:t>
      </w:r>
      <w:r>
        <w:rPr>
          <w:color w:val="231F20"/>
        </w:rPr>
        <w:t>время</w:t>
      </w:r>
      <w:r>
        <w:rPr>
          <w:color w:val="231F20"/>
          <w:spacing w:val="-3"/>
        </w:rPr>
        <w:t> </w:t>
      </w:r>
      <w:r>
        <w:rPr>
          <w:color w:val="231F20"/>
        </w:rPr>
        <w:t>(он</w:t>
      </w:r>
      <w:r>
        <w:rPr>
          <w:color w:val="231F20"/>
          <w:spacing w:val="-3"/>
        </w:rPr>
        <w:t> </w:t>
      </w:r>
      <w:r>
        <w:rPr>
          <w:color w:val="231F20"/>
        </w:rPr>
        <w:t>же,</w:t>
      </w:r>
      <w:r>
        <w:rPr>
          <w:color w:val="231F20"/>
          <w:spacing w:val="-3"/>
        </w:rPr>
        <w:t> </w:t>
      </w:r>
      <w:r>
        <w:rPr>
          <w:color w:val="231F20"/>
        </w:rPr>
        <w:t>по</w:t>
      </w:r>
      <w:r>
        <w:rPr>
          <w:color w:val="231F20"/>
          <w:spacing w:val="-3"/>
        </w:rPr>
        <w:t> </w:t>
      </w:r>
      <w:r>
        <w:rPr>
          <w:color w:val="231F20"/>
        </w:rPr>
        <w:t>сути,</w:t>
      </w:r>
      <w:r>
        <w:rPr>
          <w:color w:val="231F20"/>
          <w:spacing w:val="-3"/>
        </w:rPr>
        <w:t> </w:t>
      </w:r>
      <w:r>
        <w:rPr>
          <w:color w:val="231F20"/>
        </w:rPr>
        <w:t>ведущий)</w:t>
      </w:r>
      <w:r>
        <w:rPr>
          <w:color w:val="231F20"/>
          <w:spacing w:val="-3"/>
        </w:rPr>
        <w:t> </w:t>
      </w:r>
      <w:r>
        <w:rPr>
          <w:color w:val="231F20"/>
        </w:rPr>
        <w:t>должен подвести итоги и рассказать, что было самым сложным в этой части обсуждения, на что группа потратила больше всего времени, удалось ли выполнить задание за отве- денное учителем время и в чем еще данной группе надо попрактиковаться.</w:t>
      </w:r>
    </w:p>
    <w:p>
      <w:pPr>
        <w:pStyle w:val="BodyText"/>
        <w:spacing w:line="235" w:lineRule="auto" w:before="2"/>
      </w:pPr>
      <w:r>
        <w:rPr>
          <w:color w:val="231F20"/>
        </w:rPr>
        <w:t>В</w:t>
      </w:r>
      <w:r>
        <w:rPr>
          <w:color w:val="231F20"/>
          <w:spacing w:val="-7"/>
        </w:rPr>
        <w:t> </w:t>
      </w:r>
      <w:r>
        <w:rPr>
          <w:color w:val="231F20"/>
        </w:rPr>
        <w:t>завершающей</w:t>
      </w:r>
      <w:r>
        <w:rPr>
          <w:color w:val="231F20"/>
          <w:spacing w:val="-7"/>
        </w:rPr>
        <w:t> </w:t>
      </w:r>
      <w:r>
        <w:rPr>
          <w:color w:val="231F20"/>
        </w:rPr>
        <w:t>части</w:t>
      </w:r>
      <w:r>
        <w:rPr>
          <w:color w:val="231F20"/>
          <w:spacing w:val="-7"/>
        </w:rPr>
        <w:t> </w:t>
      </w:r>
      <w:r>
        <w:rPr>
          <w:color w:val="231F20"/>
        </w:rPr>
        <w:t>упражнения</w:t>
      </w:r>
      <w:r>
        <w:rPr>
          <w:color w:val="231F20"/>
          <w:spacing w:val="-7"/>
        </w:rPr>
        <w:t> </w:t>
      </w:r>
      <w:r>
        <w:rPr>
          <w:color w:val="231F20"/>
        </w:rPr>
        <w:t>выбирается</w:t>
      </w:r>
      <w:r>
        <w:rPr>
          <w:color w:val="231F20"/>
          <w:spacing w:val="-7"/>
        </w:rPr>
        <w:t> </w:t>
      </w:r>
      <w:r>
        <w:rPr>
          <w:color w:val="231F20"/>
        </w:rPr>
        <w:t>участник,</w:t>
      </w:r>
      <w:r>
        <w:rPr>
          <w:color w:val="231F20"/>
          <w:spacing w:val="-7"/>
        </w:rPr>
        <w:t> </w:t>
      </w:r>
      <w:r>
        <w:rPr>
          <w:color w:val="231F20"/>
        </w:rPr>
        <w:t>который</w:t>
      </w:r>
      <w:r>
        <w:rPr>
          <w:color w:val="231F20"/>
          <w:spacing w:val="-7"/>
        </w:rPr>
        <w:t> </w:t>
      </w:r>
      <w:r>
        <w:rPr>
          <w:color w:val="231F20"/>
        </w:rPr>
        <w:t>еще</w:t>
      </w:r>
      <w:r>
        <w:rPr>
          <w:color w:val="231F20"/>
          <w:spacing w:val="-7"/>
        </w:rPr>
        <w:t> </w:t>
      </w:r>
      <w:r>
        <w:rPr>
          <w:color w:val="231F20"/>
        </w:rPr>
        <w:t>не</w:t>
      </w:r>
      <w:r>
        <w:rPr>
          <w:color w:val="231F20"/>
          <w:spacing w:val="-7"/>
        </w:rPr>
        <w:t> </w:t>
      </w:r>
      <w:r>
        <w:rPr>
          <w:color w:val="231F20"/>
        </w:rPr>
        <w:t>отвечал за</w:t>
      </w:r>
      <w:r>
        <w:rPr>
          <w:color w:val="231F20"/>
          <w:spacing w:val="-5"/>
        </w:rPr>
        <w:t> </w:t>
      </w:r>
      <w:r>
        <w:rPr>
          <w:color w:val="231F20"/>
        </w:rPr>
        <w:t>время,</w:t>
      </w:r>
      <w:r>
        <w:rPr>
          <w:color w:val="231F20"/>
          <w:spacing w:val="-5"/>
        </w:rPr>
        <w:t> </w:t>
      </w:r>
      <w:r>
        <w:rPr>
          <w:color w:val="231F20"/>
        </w:rPr>
        <w:t>а</w:t>
      </w:r>
      <w:r>
        <w:rPr>
          <w:color w:val="231F20"/>
          <w:spacing w:val="-5"/>
        </w:rPr>
        <w:t> </w:t>
      </w:r>
      <w:r>
        <w:rPr>
          <w:color w:val="231F20"/>
        </w:rPr>
        <w:t>группе</w:t>
      </w:r>
      <w:r>
        <w:rPr>
          <w:color w:val="231F20"/>
          <w:spacing w:val="-5"/>
        </w:rPr>
        <w:t> </w:t>
      </w:r>
      <w:r>
        <w:rPr>
          <w:color w:val="231F20"/>
        </w:rPr>
        <w:t>предлагается</w:t>
      </w:r>
      <w:r>
        <w:rPr>
          <w:color w:val="231F20"/>
          <w:spacing w:val="-5"/>
        </w:rPr>
        <w:t> </w:t>
      </w:r>
      <w:r>
        <w:rPr>
          <w:color w:val="231F20"/>
        </w:rPr>
        <w:t>еще</w:t>
      </w:r>
      <w:r>
        <w:rPr>
          <w:color w:val="231F20"/>
          <w:spacing w:val="-5"/>
        </w:rPr>
        <w:t> </w:t>
      </w:r>
      <w:r>
        <w:rPr>
          <w:color w:val="231F20"/>
        </w:rPr>
        <w:t>раз</w:t>
      </w:r>
      <w:r>
        <w:rPr>
          <w:color w:val="231F20"/>
          <w:spacing w:val="-5"/>
        </w:rPr>
        <w:t> </w:t>
      </w:r>
      <w:r>
        <w:rPr>
          <w:color w:val="231F20"/>
        </w:rPr>
        <w:t>поработать</w:t>
      </w:r>
      <w:r>
        <w:rPr>
          <w:color w:val="231F20"/>
          <w:spacing w:val="-5"/>
        </w:rPr>
        <w:t> </w:t>
      </w:r>
      <w:r>
        <w:rPr>
          <w:color w:val="231F20"/>
        </w:rPr>
        <w:t>5</w:t>
      </w:r>
      <w:r>
        <w:rPr>
          <w:color w:val="231F20"/>
          <w:spacing w:val="-5"/>
        </w:rPr>
        <w:t> </w:t>
      </w:r>
      <w:r>
        <w:rPr>
          <w:color w:val="231F20"/>
        </w:rPr>
        <w:t>минут</w:t>
      </w:r>
      <w:r>
        <w:rPr>
          <w:color w:val="231F20"/>
          <w:spacing w:val="-5"/>
        </w:rPr>
        <w:t> </w:t>
      </w:r>
      <w:r>
        <w:rPr>
          <w:color w:val="231F20"/>
        </w:rPr>
        <w:t>вместе,</w:t>
      </w:r>
      <w:r>
        <w:rPr>
          <w:color w:val="231F20"/>
          <w:spacing w:val="-5"/>
        </w:rPr>
        <w:t> </w:t>
      </w:r>
      <w:r>
        <w:rPr>
          <w:color w:val="231F20"/>
        </w:rPr>
        <w:t>обсуждая</w:t>
      </w:r>
      <w:r>
        <w:rPr>
          <w:color w:val="231F20"/>
          <w:spacing w:val="-5"/>
        </w:rPr>
        <w:t> </w:t>
      </w:r>
      <w:r>
        <w:rPr>
          <w:color w:val="231F20"/>
        </w:rPr>
        <w:t>задачу из</w:t>
      </w:r>
      <w:r>
        <w:rPr>
          <w:color w:val="231F20"/>
          <w:spacing w:val="-1"/>
        </w:rPr>
        <w:t> </w:t>
      </w:r>
      <w:r>
        <w:rPr>
          <w:color w:val="231F20"/>
        </w:rPr>
        <w:t>текста</w:t>
      </w:r>
      <w:r>
        <w:rPr>
          <w:color w:val="231F20"/>
          <w:spacing w:val="-1"/>
        </w:rPr>
        <w:t> </w:t>
      </w:r>
      <w:r>
        <w:rPr>
          <w:color w:val="231F20"/>
        </w:rPr>
        <w:t>и</w:t>
      </w:r>
      <w:r>
        <w:rPr>
          <w:color w:val="231F20"/>
          <w:spacing w:val="-1"/>
        </w:rPr>
        <w:t> </w:t>
      </w:r>
      <w:r>
        <w:rPr>
          <w:color w:val="231F20"/>
        </w:rPr>
        <w:t>используя</w:t>
      </w:r>
      <w:r>
        <w:rPr>
          <w:color w:val="231F20"/>
          <w:spacing w:val="-1"/>
        </w:rPr>
        <w:t> </w:t>
      </w:r>
      <w:r>
        <w:rPr>
          <w:color w:val="231F20"/>
        </w:rPr>
        <w:t>все</w:t>
      </w:r>
      <w:r>
        <w:rPr>
          <w:color w:val="231F20"/>
          <w:spacing w:val="-1"/>
        </w:rPr>
        <w:t> </w:t>
      </w:r>
      <w:r>
        <w:rPr>
          <w:color w:val="231F20"/>
        </w:rPr>
        <w:t>правила</w:t>
      </w:r>
      <w:r>
        <w:rPr>
          <w:color w:val="231F20"/>
          <w:spacing w:val="-1"/>
        </w:rPr>
        <w:t> </w:t>
      </w:r>
      <w:r>
        <w:rPr>
          <w:color w:val="231F20"/>
        </w:rPr>
        <w:t>обсуждения,</w:t>
      </w:r>
      <w:r>
        <w:rPr>
          <w:color w:val="231F20"/>
          <w:spacing w:val="-1"/>
        </w:rPr>
        <w:t> </w:t>
      </w:r>
      <w:r>
        <w:rPr>
          <w:color w:val="231F20"/>
        </w:rPr>
        <w:t>которые</w:t>
      </w:r>
      <w:r>
        <w:rPr>
          <w:color w:val="231F20"/>
          <w:spacing w:val="-1"/>
        </w:rPr>
        <w:t> </w:t>
      </w:r>
      <w:r>
        <w:rPr>
          <w:color w:val="231F20"/>
        </w:rPr>
        <w:t>были</w:t>
      </w:r>
      <w:r>
        <w:rPr>
          <w:color w:val="231F20"/>
          <w:spacing w:val="-1"/>
        </w:rPr>
        <w:t> </w:t>
      </w:r>
      <w:r>
        <w:rPr>
          <w:color w:val="231F20"/>
        </w:rPr>
        <w:t>введены</w:t>
      </w:r>
      <w:r>
        <w:rPr>
          <w:color w:val="231F20"/>
          <w:spacing w:val="-1"/>
        </w:rPr>
        <w:t> </w:t>
      </w:r>
      <w:r>
        <w:rPr>
          <w:color w:val="231F20"/>
        </w:rPr>
        <w:t>ранее.</w:t>
      </w:r>
      <w:r>
        <w:rPr>
          <w:color w:val="231F20"/>
          <w:spacing w:val="-1"/>
        </w:rPr>
        <w:t> </w:t>
      </w:r>
      <w:r>
        <w:rPr>
          <w:color w:val="231F20"/>
        </w:rPr>
        <w:t>Задача ответственного за время посчитать, сколько раз и какие правила удалось использо- </w:t>
      </w:r>
      <w:r>
        <w:rPr>
          <w:color w:val="231F20"/>
          <w:spacing w:val="-2"/>
        </w:rPr>
        <w:t>вать</w:t>
      </w:r>
      <w:r>
        <w:rPr>
          <w:color w:val="231F20"/>
          <w:spacing w:val="-5"/>
        </w:rPr>
        <w:t> </w:t>
      </w:r>
      <w:r>
        <w:rPr>
          <w:color w:val="231F20"/>
          <w:spacing w:val="-2"/>
        </w:rPr>
        <w:t>группе</w:t>
      </w:r>
      <w:r>
        <w:rPr>
          <w:color w:val="231F20"/>
          <w:spacing w:val="-5"/>
        </w:rPr>
        <w:t> </w:t>
      </w:r>
      <w:r>
        <w:rPr>
          <w:color w:val="231F20"/>
          <w:spacing w:val="-2"/>
        </w:rPr>
        <w:t>за</w:t>
      </w:r>
      <w:r>
        <w:rPr>
          <w:color w:val="231F20"/>
          <w:spacing w:val="-5"/>
        </w:rPr>
        <w:t> </w:t>
      </w:r>
      <w:r>
        <w:rPr>
          <w:color w:val="231F20"/>
          <w:spacing w:val="-2"/>
        </w:rPr>
        <w:t>5</w:t>
      </w:r>
      <w:r>
        <w:rPr>
          <w:color w:val="231F20"/>
          <w:spacing w:val="-5"/>
        </w:rPr>
        <w:t> </w:t>
      </w:r>
      <w:r>
        <w:rPr>
          <w:color w:val="231F20"/>
          <w:spacing w:val="-2"/>
        </w:rPr>
        <w:t>минут.</w:t>
      </w:r>
      <w:r>
        <w:rPr>
          <w:color w:val="231F20"/>
          <w:spacing w:val="-5"/>
        </w:rPr>
        <w:t> </w:t>
      </w:r>
      <w:r>
        <w:rPr>
          <w:color w:val="231F20"/>
          <w:spacing w:val="-2"/>
        </w:rPr>
        <w:t>Учитель</w:t>
      </w:r>
      <w:r>
        <w:rPr>
          <w:color w:val="231F20"/>
          <w:spacing w:val="-5"/>
        </w:rPr>
        <w:t> </w:t>
      </w:r>
      <w:r>
        <w:rPr>
          <w:color w:val="231F20"/>
          <w:spacing w:val="-2"/>
        </w:rPr>
        <w:t>также</w:t>
      </w:r>
      <w:r>
        <w:rPr>
          <w:color w:val="231F20"/>
          <w:spacing w:val="-5"/>
        </w:rPr>
        <w:t> </w:t>
      </w:r>
      <w:r>
        <w:rPr>
          <w:color w:val="231F20"/>
          <w:spacing w:val="-2"/>
        </w:rPr>
        <w:t>следит</w:t>
      </w:r>
      <w:r>
        <w:rPr>
          <w:color w:val="231F20"/>
          <w:spacing w:val="-5"/>
        </w:rPr>
        <w:t> </w:t>
      </w:r>
      <w:r>
        <w:rPr>
          <w:color w:val="231F20"/>
          <w:spacing w:val="-2"/>
        </w:rPr>
        <w:t>за</w:t>
      </w:r>
      <w:r>
        <w:rPr>
          <w:color w:val="231F20"/>
          <w:spacing w:val="-5"/>
        </w:rPr>
        <w:t> </w:t>
      </w:r>
      <w:r>
        <w:rPr>
          <w:color w:val="231F20"/>
          <w:spacing w:val="-2"/>
        </w:rPr>
        <w:t>результатами</w:t>
      </w:r>
      <w:r>
        <w:rPr>
          <w:color w:val="231F20"/>
          <w:spacing w:val="-5"/>
        </w:rPr>
        <w:t> </w:t>
      </w:r>
      <w:r>
        <w:rPr>
          <w:color w:val="231F20"/>
          <w:spacing w:val="-2"/>
        </w:rPr>
        <w:t>работы</w:t>
      </w:r>
      <w:r>
        <w:rPr>
          <w:color w:val="231F20"/>
          <w:spacing w:val="-5"/>
        </w:rPr>
        <w:t> </w:t>
      </w:r>
      <w:r>
        <w:rPr>
          <w:color w:val="231F20"/>
          <w:spacing w:val="-2"/>
        </w:rPr>
        <w:t>каждой</w:t>
      </w:r>
      <w:r>
        <w:rPr>
          <w:color w:val="231F20"/>
          <w:spacing w:val="-5"/>
        </w:rPr>
        <w:t> </w:t>
      </w:r>
      <w:r>
        <w:rPr>
          <w:color w:val="231F20"/>
          <w:spacing w:val="-2"/>
        </w:rPr>
        <w:t>группы, </w:t>
      </w:r>
      <w:r>
        <w:rPr>
          <w:color w:val="231F20"/>
        </w:rPr>
        <w:t>может</w:t>
      </w:r>
      <w:r>
        <w:rPr>
          <w:color w:val="231F20"/>
          <w:spacing w:val="-6"/>
        </w:rPr>
        <w:t> </w:t>
      </w:r>
      <w:r>
        <w:rPr>
          <w:color w:val="231F20"/>
        </w:rPr>
        <w:t>ввести</w:t>
      </w:r>
      <w:r>
        <w:rPr>
          <w:color w:val="231F20"/>
          <w:spacing w:val="-6"/>
        </w:rPr>
        <w:t> </w:t>
      </w:r>
      <w:r>
        <w:rPr>
          <w:color w:val="231F20"/>
        </w:rPr>
        <w:t>соревновательный</w:t>
      </w:r>
      <w:r>
        <w:rPr>
          <w:color w:val="231F20"/>
          <w:spacing w:val="-6"/>
        </w:rPr>
        <w:t> </w:t>
      </w:r>
      <w:r>
        <w:rPr>
          <w:color w:val="231F20"/>
        </w:rPr>
        <w:t>момент</w:t>
      </w:r>
      <w:r>
        <w:rPr>
          <w:color w:val="231F20"/>
          <w:spacing w:val="-6"/>
        </w:rPr>
        <w:t> </w:t>
      </w:r>
      <w:r>
        <w:rPr>
          <w:color w:val="231F20"/>
        </w:rPr>
        <w:t>и</w:t>
      </w:r>
      <w:r>
        <w:rPr>
          <w:color w:val="231F20"/>
          <w:spacing w:val="-6"/>
        </w:rPr>
        <w:t> </w:t>
      </w:r>
      <w:r>
        <w:rPr>
          <w:color w:val="231F20"/>
        </w:rPr>
        <w:t>записать,</w:t>
      </w:r>
      <w:r>
        <w:rPr>
          <w:color w:val="231F20"/>
          <w:spacing w:val="-6"/>
        </w:rPr>
        <w:t> </w:t>
      </w:r>
      <w:r>
        <w:rPr>
          <w:color w:val="231F20"/>
        </w:rPr>
        <w:t>сколько</w:t>
      </w:r>
      <w:r>
        <w:rPr>
          <w:color w:val="231F20"/>
          <w:spacing w:val="-6"/>
        </w:rPr>
        <w:t> </w:t>
      </w:r>
      <w:r>
        <w:rPr>
          <w:color w:val="231F20"/>
        </w:rPr>
        <w:t>раз</w:t>
      </w:r>
      <w:r>
        <w:rPr>
          <w:color w:val="231F20"/>
          <w:spacing w:val="-6"/>
        </w:rPr>
        <w:t> </w:t>
      </w:r>
      <w:r>
        <w:rPr>
          <w:color w:val="231F20"/>
        </w:rPr>
        <w:t>и</w:t>
      </w:r>
      <w:r>
        <w:rPr>
          <w:color w:val="231F20"/>
          <w:spacing w:val="-6"/>
        </w:rPr>
        <w:t> </w:t>
      </w:r>
      <w:r>
        <w:rPr>
          <w:color w:val="231F20"/>
        </w:rPr>
        <w:t>какие</w:t>
      </w:r>
      <w:r>
        <w:rPr>
          <w:color w:val="231F20"/>
          <w:spacing w:val="-6"/>
        </w:rPr>
        <w:t> </w:t>
      </w:r>
      <w:r>
        <w:rPr>
          <w:color w:val="231F20"/>
        </w:rPr>
        <w:t>именно</w:t>
      </w:r>
      <w:r>
        <w:rPr>
          <w:color w:val="231F20"/>
          <w:spacing w:val="-6"/>
        </w:rPr>
        <w:t> </w:t>
      </w:r>
      <w:r>
        <w:rPr>
          <w:color w:val="231F20"/>
        </w:rPr>
        <w:t>пра- вила использовала в завершающем обсуждении та или иная группа.</w:t>
      </w:r>
    </w:p>
    <w:p>
      <w:pPr>
        <w:pStyle w:val="BodyText"/>
        <w:spacing w:line="232" w:lineRule="auto"/>
      </w:pPr>
      <w:r>
        <w:rPr>
          <w:color w:val="231F20"/>
        </w:rPr>
        <w:t>Подводя итоги участия в упражнении, учащиеся вместе с учителем могут соста- вить памятки участия в дискуссии.</w:t>
      </w:r>
    </w:p>
    <w:p>
      <w:pPr>
        <w:spacing w:line="227" w:lineRule="exact" w:before="51"/>
        <w:ind w:left="425" w:right="0" w:firstLine="0"/>
        <w:jc w:val="both"/>
        <w:rPr>
          <w:i/>
          <w:sz w:val="20"/>
        </w:rPr>
      </w:pPr>
      <w:r>
        <w:rPr>
          <w:i/>
          <w:color w:val="231F20"/>
          <w:sz w:val="20"/>
        </w:rPr>
        <w:t>Навыки</w:t>
      </w:r>
      <w:r>
        <w:rPr>
          <w:i/>
          <w:color w:val="231F20"/>
          <w:spacing w:val="-4"/>
          <w:sz w:val="20"/>
        </w:rPr>
        <w:t> </w:t>
      </w:r>
      <w:r>
        <w:rPr>
          <w:i/>
          <w:color w:val="231F20"/>
          <w:sz w:val="20"/>
        </w:rPr>
        <w:t>конструктивного</w:t>
      </w:r>
      <w:r>
        <w:rPr>
          <w:i/>
          <w:color w:val="231F20"/>
          <w:spacing w:val="-4"/>
          <w:sz w:val="20"/>
        </w:rPr>
        <w:t> </w:t>
      </w:r>
      <w:r>
        <w:rPr>
          <w:i/>
          <w:color w:val="231F20"/>
          <w:sz w:val="20"/>
        </w:rPr>
        <w:t>участия</w:t>
      </w:r>
      <w:r>
        <w:rPr>
          <w:i/>
          <w:color w:val="231F20"/>
          <w:spacing w:val="-3"/>
          <w:sz w:val="20"/>
        </w:rPr>
        <w:t> </w:t>
      </w:r>
      <w:r>
        <w:rPr>
          <w:i/>
          <w:color w:val="231F20"/>
          <w:sz w:val="20"/>
        </w:rPr>
        <w:t>в</w:t>
      </w:r>
      <w:r>
        <w:rPr>
          <w:i/>
          <w:color w:val="231F20"/>
          <w:spacing w:val="-4"/>
          <w:sz w:val="20"/>
        </w:rPr>
        <w:t> </w:t>
      </w:r>
      <w:r>
        <w:rPr>
          <w:i/>
          <w:color w:val="231F20"/>
          <w:spacing w:val="-2"/>
          <w:sz w:val="20"/>
        </w:rPr>
        <w:t>дискуссии:</w:t>
      </w:r>
    </w:p>
    <w:p>
      <w:pPr>
        <w:pStyle w:val="BodyText"/>
        <w:spacing w:line="224" w:lineRule="exact"/>
        <w:ind w:left="425" w:right="0" w:firstLine="0"/>
      </w:pPr>
      <w:r>
        <w:rPr>
          <w:color w:val="231F20"/>
        </w:rPr>
        <w:t>У</w:t>
      </w:r>
      <w:r>
        <w:rPr>
          <w:color w:val="231F20"/>
          <w:spacing w:val="-4"/>
        </w:rPr>
        <w:t> </w:t>
      </w:r>
      <w:r>
        <w:rPr>
          <w:color w:val="231F20"/>
        </w:rPr>
        <w:t>участника</w:t>
      </w:r>
      <w:r>
        <w:rPr>
          <w:color w:val="231F20"/>
          <w:spacing w:val="-4"/>
        </w:rPr>
        <w:t> </w:t>
      </w:r>
      <w:r>
        <w:rPr>
          <w:color w:val="231F20"/>
        </w:rPr>
        <w:t>появились</w:t>
      </w:r>
      <w:r>
        <w:rPr>
          <w:color w:val="231F20"/>
          <w:spacing w:val="-4"/>
        </w:rPr>
        <w:t> </w:t>
      </w:r>
      <w:r>
        <w:rPr>
          <w:color w:val="231F20"/>
        </w:rPr>
        <w:t>новые</w:t>
      </w:r>
      <w:r>
        <w:rPr>
          <w:color w:val="231F20"/>
          <w:spacing w:val="-3"/>
        </w:rPr>
        <w:t> </w:t>
      </w:r>
      <w:r>
        <w:rPr>
          <w:color w:val="231F20"/>
          <w:spacing w:val="-2"/>
        </w:rPr>
        <w:t>идеи.</w:t>
      </w:r>
    </w:p>
    <w:p>
      <w:pPr>
        <w:pStyle w:val="BodyText"/>
        <w:spacing w:line="232" w:lineRule="auto" w:before="3"/>
        <w:ind w:left="425" w:right="1821" w:firstLine="0"/>
        <w:jc w:val="left"/>
      </w:pPr>
      <w:r>
        <w:rPr>
          <w:color w:val="231F20"/>
        </w:rPr>
        <w:t>Участник</w:t>
      </w:r>
      <w:r>
        <w:rPr>
          <w:color w:val="231F20"/>
          <w:spacing w:val="-7"/>
        </w:rPr>
        <w:t> </w:t>
      </w:r>
      <w:r>
        <w:rPr>
          <w:color w:val="231F20"/>
        </w:rPr>
        <w:t>запрашивает</w:t>
      </w:r>
      <w:r>
        <w:rPr>
          <w:color w:val="231F20"/>
          <w:spacing w:val="-7"/>
        </w:rPr>
        <w:t> </w:t>
      </w:r>
      <w:r>
        <w:rPr>
          <w:color w:val="231F20"/>
        </w:rPr>
        <w:t>информацию</w:t>
      </w:r>
      <w:r>
        <w:rPr>
          <w:color w:val="231F20"/>
          <w:spacing w:val="-8"/>
        </w:rPr>
        <w:t> </w:t>
      </w:r>
      <w:r>
        <w:rPr>
          <w:color w:val="231F20"/>
        </w:rPr>
        <w:t>или</w:t>
      </w:r>
      <w:r>
        <w:rPr>
          <w:color w:val="231F20"/>
          <w:spacing w:val="-8"/>
        </w:rPr>
        <w:t> </w:t>
      </w:r>
      <w:r>
        <w:rPr>
          <w:color w:val="231F20"/>
        </w:rPr>
        <w:t>делится</w:t>
      </w:r>
      <w:r>
        <w:rPr>
          <w:color w:val="231F20"/>
          <w:spacing w:val="-7"/>
        </w:rPr>
        <w:t> </w:t>
      </w:r>
      <w:r>
        <w:rPr>
          <w:color w:val="231F20"/>
        </w:rPr>
        <w:t>ею. Участник объясняет идеи.</w:t>
      </w:r>
    </w:p>
    <w:p>
      <w:pPr>
        <w:pStyle w:val="BodyText"/>
        <w:spacing w:line="223" w:lineRule="exact"/>
        <w:ind w:left="425" w:right="0" w:firstLine="0"/>
        <w:jc w:val="left"/>
      </w:pPr>
      <w:r>
        <w:rPr>
          <w:color w:val="231F20"/>
        </w:rPr>
        <w:t>Участник</w:t>
      </w:r>
      <w:r>
        <w:rPr>
          <w:color w:val="231F20"/>
          <w:spacing w:val="-3"/>
        </w:rPr>
        <w:t> </w:t>
      </w:r>
      <w:r>
        <w:rPr>
          <w:color w:val="231F20"/>
        </w:rPr>
        <w:t>объединяет</w:t>
      </w:r>
      <w:r>
        <w:rPr>
          <w:color w:val="231F20"/>
          <w:spacing w:val="-3"/>
        </w:rPr>
        <w:t> </w:t>
      </w:r>
      <w:r>
        <w:rPr>
          <w:color w:val="231F20"/>
        </w:rPr>
        <w:t>идеи</w:t>
      </w:r>
      <w:r>
        <w:rPr>
          <w:color w:val="231F20"/>
          <w:spacing w:val="-3"/>
        </w:rPr>
        <w:t> </w:t>
      </w:r>
      <w:r>
        <w:rPr>
          <w:color w:val="231F20"/>
        </w:rPr>
        <w:t>в</w:t>
      </w:r>
      <w:r>
        <w:rPr>
          <w:color w:val="231F20"/>
          <w:spacing w:val="-4"/>
        </w:rPr>
        <w:t> </w:t>
      </w:r>
      <w:r>
        <w:rPr>
          <w:color w:val="231F20"/>
        </w:rPr>
        <w:t>единое</w:t>
      </w:r>
      <w:r>
        <w:rPr>
          <w:color w:val="231F20"/>
          <w:spacing w:val="-2"/>
        </w:rPr>
        <w:t> целое.</w:t>
      </w:r>
    </w:p>
    <w:p>
      <w:pPr>
        <w:pStyle w:val="BodyText"/>
        <w:spacing w:line="232" w:lineRule="auto" w:before="3"/>
        <w:ind w:left="425" w:right="1010" w:firstLine="0"/>
        <w:jc w:val="left"/>
      </w:pPr>
      <w:r>
        <w:rPr>
          <w:color w:val="231F20"/>
        </w:rPr>
        <w:t>Участник спрашивает других, готовы ли они к принятию решения. Участник</w:t>
      </w:r>
      <w:r>
        <w:rPr>
          <w:color w:val="231F20"/>
          <w:spacing w:val="-10"/>
        </w:rPr>
        <w:t> </w:t>
      </w:r>
      <w:r>
        <w:rPr>
          <w:color w:val="231F20"/>
        </w:rPr>
        <w:t>спрашивает</w:t>
      </w:r>
      <w:r>
        <w:rPr>
          <w:color w:val="231F20"/>
          <w:spacing w:val="-10"/>
        </w:rPr>
        <w:t> </w:t>
      </w:r>
      <w:r>
        <w:rPr>
          <w:color w:val="231F20"/>
        </w:rPr>
        <w:t>тех,</w:t>
      </w:r>
      <w:r>
        <w:rPr>
          <w:color w:val="231F20"/>
          <w:spacing w:val="-10"/>
        </w:rPr>
        <w:t> </w:t>
      </w:r>
      <w:r>
        <w:rPr>
          <w:color w:val="231F20"/>
        </w:rPr>
        <w:t>кто</w:t>
      </w:r>
      <w:r>
        <w:rPr>
          <w:color w:val="231F20"/>
          <w:spacing w:val="-10"/>
        </w:rPr>
        <w:t> </w:t>
      </w:r>
      <w:r>
        <w:rPr>
          <w:color w:val="231F20"/>
        </w:rPr>
        <w:t>предпочитает</w:t>
      </w:r>
      <w:r>
        <w:rPr>
          <w:color w:val="231F20"/>
          <w:spacing w:val="-10"/>
        </w:rPr>
        <w:t> </w:t>
      </w:r>
      <w:r>
        <w:rPr>
          <w:color w:val="231F20"/>
        </w:rPr>
        <w:t>молчать,</w:t>
      </w:r>
      <w:r>
        <w:rPr>
          <w:color w:val="231F20"/>
          <w:spacing w:val="-10"/>
        </w:rPr>
        <w:t> </w:t>
      </w:r>
      <w:r>
        <w:rPr>
          <w:color w:val="231F20"/>
        </w:rPr>
        <w:t>что</w:t>
      </w:r>
      <w:r>
        <w:rPr>
          <w:color w:val="231F20"/>
          <w:spacing w:val="-10"/>
        </w:rPr>
        <w:t> </w:t>
      </w:r>
      <w:r>
        <w:rPr>
          <w:color w:val="231F20"/>
        </w:rPr>
        <w:t>они</w:t>
      </w:r>
      <w:r>
        <w:rPr>
          <w:color w:val="231F20"/>
          <w:spacing w:val="-11"/>
        </w:rPr>
        <w:t> </w:t>
      </w:r>
      <w:r>
        <w:rPr>
          <w:color w:val="231F20"/>
        </w:rPr>
        <w:t>думают. Участник слушает с интересом тех, кто говорит.</w:t>
      </w:r>
    </w:p>
    <w:p>
      <w:pPr>
        <w:pStyle w:val="BodyText"/>
        <w:spacing w:line="232" w:lineRule="auto" w:before="2"/>
        <w:ind w:left="425" w:right="1507" w:firstLine="0"/>
        <w:jc w:val="left"/>
      </w:pPr>
      <w:r>
        <w:rPr>
          <w:color w:val="231F20"/>
        </w:rPr>
        <w:t>Участник</w:t>
      </w:r>
      <w:r>
        <w:rPr>
          <w:color w:val="231F20"/>
          <w:spacing w:val="-8"/>
        </w:rPr>
        <w:t> </w:t>
      </w:r>
      <w:r>
        <w:rPr>
          <w:color w:val="231F20"/>
        </w:rPr>
        <w:t>хвалит</w:t>
      </w:r>
      <w:r>
        <w:rPr>
          <w:color w:val="231F20"/>
          <w:spacing w:val="-8"/>
        </w:rPr>
        <w:t> </w:t>
      </w:r>
      <w:r>
        <w:rPr>
          <w:color w:val="231F20"/>
        </w:rPr>
        <w:t>других</w:t>
      </w:r>
      <w:r>
        <w:rPr>
          <w:color w:val="231F20"/>
          <w:spacing w:val="-8"/>
        </w:rPr>
        <w:t> </w:t>
      </w:r>
      <w:r>
        <w:rPr>
          <w:color w:val="231F20"/>
        </w:rPr>
        <w:t>за</w:t>
      </w:r>
      <w:r>
        <w:rPr>
          <w:color w:val="231F20"/>
          <w:spacing w:val="-8"/>
        </w:rPr>
        <w:t> </w:t>
      </w:r>
      <w:r>
        <w:rPr>
          <w:color w:val="231F20"/>
        </w:rPr>
        <w:t>хорошие</w:t>
      </w:r>
      <w:r>
        <w:rPr>
          <w:color w:val="231F20"/>
          <w:spacing w:val="-8"/>
        </w:rPr>
        <w:t> </w:t>
      </w:r>
      <w:r>
        <w:rPr>
          <w:color w:val="231F20"/>
        </w:rPr>
        <w:t>идеи</w:t>
      </w:r>
      <w:r>
        <w:rPr>
          <w:color w:val="231F20"/>
          <w:spacing w:val="-8"/>
        </w:rPr>
        <w:t> </w:t>
      </w:r>
      <w:r>
        <w:rPr>
          <w:color w:val="231F20"/>
        </w:rPr>
        <w:t>и</w:t>
      </w:r>
      <w:r>
        <w:rPr>
          <w:color w:val="231F20"/>
          <w:spacing w:val="-8"/>
        </w:rPr>
        <w:t> </w:t>
      </w:r>
      <w:r>
        <w:rPr>
          <w:color w:val="231F20"/>
        </w:rPr>
        <w:t>предположения. Участник готов идти на компромисс.</w:t>
      </w:r>
    </w:p>
    <w:p>
      <w:pPr>
        <w:spacing w:line="223" w:lineRule="exact" w:before="0"/>
        <w:ind w:left="425" w:right="0" w:firstLine="0"/>
        <w:jc w:val="left"/>
        <w:rPr>
          <w:i/>
          <w:sz w:val="20"/>
        </w:rPr>
      </w:pPr>
      <w:r>
        <w:rPr>
          <w:i/>
          <w:color w:val="231F20"/>
          <w:sz w:val="20"/>
        </w:rPr>
        <w:t>Что</w:t>
      </w:r>
      <w:r>
        <w:rPr>
          <w:i/>
          <w:color w:val="231F20"/>
          <w:spacing w:val="-5"/>
          <w:sz w:val="20"/>
        </w:rPr>
        <w:t> </w:t>
      </w:r>
      <w:r>
        <w:rPr>
          <w:i/>
          <w:color w:val="231F20"/>
          <w:sz w:val="20"/>
        </w:rPr>
        <w:t>делает</w:t>
      </w:r>
      <w:r>
        <w:rPr>
          <w:i/>
          <w:color w:val="231F20"/>
          <w:spacing w:val="-4"/>
          <w:sz w:val="20"/>
        </w:rPr>
        <w:t> </w:t>
      </w:r>
      <w:r>
        <w:rPr>
          <w:i/>
          <w:color w:val="231F20"/>
          <w:sz w:val="20"/>
        </w:rPr>
        <w:t>деструктивный</w:t>
      </w:r>
      <w:r>
        <w:rPr>
          <w:i/>
          <w:color w:val="231F20"/>
          <w:spacing w:val="-3"/>
          <w:sz w:val="20"/>
        </w:rPr>
        <w:t> </w:t>
      </w:r>
      <w:r>
        <w:rPr>
          <w:i/>
          <w:color w:val="231F20"/>
          <w:sz w:val="20"/>
        </w:rPr>
        <w:t>участник,</w:t>
      </w:r>
      <w:r>
        <w:rPr>
          <w:i/>
          <w:color w:val="231F20"/>
          <w:spacing w:val="-3"/>
          <w:sz w:val="20"/>
        </w:rPr>
        <w:t> </w:t>
      </w:r>
      <w:r>
        <w:rPr>
          <w:i/>
          <w:color w:val="231F20"/>
          <w:sz w:val="20"/>
        </w:rPr>
        <w:t>мешающий</w:t>
      </w:r>
      <w:r>
        <w:rPr>
          <w:i/>
          <w:color w:val="231F20"/>
          <w:spacing w:val="-3"/>
          <w:sz w:val="20"/>
        </w:rPr>
        <w:t> </w:t>
      </w:r>
      <w:r>
        <w:rPr>
          <w:i/>
          <w:color w:val="231F20"/>
          <w:sz w:val="20"/>
        </w:rPr>
        <w:t>проведению</w:t>
      </w:r>
      <w:r>
        <w:rPr>
          <w:i/>
          <w:color w:val="231F20"/>
          <w:spacing w:val="-3"/>
          <w:sz w:val="20"/>
        </w:rPr>
        <w:t> </w:t>
      </w:r>
      <w:r>
        <w:rPr>
          <w:i/>
          <w:color w:val="231F20"/>
          <w:spacing w:val="-2"/>
          <w:sz w:val="20"/>
        </w:rPr>
        <w:t>обсуждения:</w:t>
      </w:r>
    </w:p>
    <w:p>
      <w:pPr>
        <w:pStyle w:val="BodyText"/>
        <w:spacing w:line="224" w:lineRule="exact"/>
        <w:ind w:left="425" w:right="0" w:firstLine="0"/>
        <w:jc w:val="left"/>
      </w:pPr>
      <w:r>
        <w:rPr>
          <w:color w:val="231F20"/>
        </w:rPr>
        <w:t>Слишком</w:t>
      </w:r>
      <w:r>
        <w:rPr>
          <w:color w:val="231F20"/>
          <w:spacing w:val="-12"/>
        </w:rPr>
        <w:t> </w:t>
      </w:r>
      <w:r>
        <w:rPr>
          <w:color w:val="231F20"/>
        </w:rPr>
        <w:t>много</w:t>
      </w:r>
      <w:r>
        <w:rPr>
          <w:color w:val="231F20"/>
          <w:spacing w:val="-12"/>
        </w:rPr>
        <w:t> </w:t>
      </w:r>
      <w:r>
        <w:rPr>
          <w:color w:val="231F20"/>
          <w:spacing w:val="-2"/>
        </w:rPr>
        <w:t>говорит.</w:t>
      </w:r>
    </w:p>
    <w:p>
      <w:pPr>
        <w:pStyle w:val="BodyText"/>
        <w:spacing w:line="224" w:lineRule="exact"/>
        <w:ind w:left="425" w:right="0" w:firstLine="0"/>
        <w:jc w:val="left"/>
      </w:pPr>
      <w:r>
        <w:rPr>
          <w:color w:val="231F20"/>
        </w:rPr>
        <w:t>Невнимательно</w:t>
      </w:r>
      <w:r>
        <w:rPr>
          <w:color w:val="231F20"/>
          <w:spacing w:val="-9"/>
        </w:rPr>
        <w:t> </w:t>
      </w:r>
      <w:r>
        <w:rPr>
          <w:color w:val="231F20"/>
        </w:rPr>
        <w:t>слушает,</w:t>
      </w:r>
      <w:r>
        <w:rPr>
          <w:color w:val="231F20"/>
          <w:spacing w:val="-9"/>
        </w:rPr>
        <w:t> </w:t>
      </w:r>
      <w:r>
        <w:rPr>
          <w:color w:val="231F20"/>
        </w:rPr>
        <w:t>что</w:t>
      </w:r>
      <w:r>
        <w:rPr>
          <w:color w:val="231F20"/>
          <w:spacing w:val="-9"/>
        </w:rPr>
        <w:t> </w:t>
      </w:r>
      <w:r>
        <w:rPr>
          <w:color w:val="231F20"/>
        </w:rPr>
        <w:t>говорят</w:t>
      </w:r>
      <w:r>
        <w:rPr>
          <w:color w:val="231F20"/>
          <w:spacing w:val="-8"/>
        </w:rPr>
        <w:t> </w:t>
      </w:r>
      <w:r>
        <w:rPr>
          <w:color w:val="231F20"/>
          <w:spacing w:val="-2"/>
        </w:rPr>
        <w:t>другие.</w:t>
      </w:r>
    </w:p>
    <w:p>
      <w:pPr>
        <w:pStyle w:val="BodyText"/>
        <w:spacing w:line="232" w:lineRule="auto" w:before="3"/>
        <w:ind w:left="425" w:right="1821" w:firstLine="0"/>
        <w:jc w:val="left"/>
      </w:pPr>
      <w:r>
        <w:rPr>
          <w:color w:val="231F20"/>
        </w:rPr>
        <w:t>Настаивает на том, чтобы его идеи обязательно приняли. Ничего</w:t>
      </w:r>
      <w:r>
        <w:rPr>
          <w:color w:val="231F20"/>
          <w:spacing w:val="-7"/>
        </w:rPr>
        <w:t> </w:t>
      </w:r>
      <w:r>
        <w:rPr>
          <w:color w:val="231F20"/>
        </w:rPr>
        <w:t>не</w:t>
      </w:r>
      <w:r>
        <w:rPr>
          <w:color w:val="231F20"/>
          <w:spacing w:val="-7"/>
        </w:rPr>
        <w:t> </w:t>
      </w:r>
      <w:r>
        <w:rPr>
          <w:color w:val="231F20"/>
        </w:rPr>
        <w:t>может</w:t>
      </w:r>
      <w:r>
        <w:rPr>
          <w:color w:val="231F20"/>
          <w:spacing w:val="-7"/>
        </w:rPr>
        <w:t> </w:t>
      </w:r>
      <w:r>
        <w:rPr>
          <w:color w:val="231F20"/>
        </w:rPr>
        <w:t>сделать,</w:t>
      </w:r>
      <w:r>
        <w:rPr>
          <w:color w:val="231F20"/>
          <w:spacing w:val="-7"/>
        </w:rPr>
        <w:t> </w:t>
      </w:r>
      <w:r>
        <w:rPr>
          <w:color w:val="231F20"/>
        </w:rPr>
        <w:t>если</w:t>
      </w:r>
      <w:r>
        <w:rPr>
          <w:color w:val="231F20"/>
          <w:spacing w:val="-8"/>
        </w:rPr>
        <w:t> </w:t>
      </w:r>
      <w:r>
        <w:rPr>
          <w:color w:val="231F20"/>
        </w:rPr>
        <w:t>кто-то</w:t>
      </w:r>
      <w:r>
        <w:rPr>
          <w:color w:val="231F20"/>
          <w:spacing w:val="-7"/>
        </w:rPr>
        <w:t> </w:t>
      </w:r>
      <w:r>
        <w:rPr>
          <w:color w:val="231F20"/>
        </w:rPr>
        <w:t>явно</w:t>
      </w:r>
      <w:r>
        <w:rPr>
          <w:color w:val="231F20"/>
          <w:spacing w:val="-7"/>
        </w:rPr>
        <w:t> </w:t>
      </w:r>
      <w:r>
        <w:rPr>
          <w:color w:val="231F20"/>
        </w:rPr>
        <w:t>мешает</w:t>
      </w:r>
      <w:r>
        <w:rPr>
          <w:color w:val="231F20"/>
          <w:spacing w:val="-7"/>
        </w:rPr>
        <w:t> </w:t>
      </w:r>
      <w:r>
        <w:rPr>
          <w:color w:val="231F20"/>
        </w:rPr>
        <w:t>другим. Критикует людей, а не их идеи.</w:t>
      </w:r>
    </w:p>
    <w:p>
      <w:pPr>
        <w:pStyle w:val="BodyText"/>
        <w:spacing w:line="227" w:lineRule="exact"/>
        <w:ind w:left="425" w:right="0" w:firstLine="0"/>
        <w:jc w:val="left"/>
      </w:pPr>
      <w:r>
        <w:rPr>
          <w:color w:val="231F20"/>
        </w:rPr>
        <w:t>Спокойно</w:t>
      </w:r>
      <w:r>
        <w:rPr>
          <w:color w:val="231F20"/>
          <w:spacing w:val="-6"/>
        </w:rPr>
        <w:t> </w:t>
      </w:r>
      <w:r>
        <w:rPr>
          <w:color w:val="231F20"/>
        </w:rPr>
        <w:t>относится</w:t>
      </w:r>
      <w:r>
        <w:rPr>
          <w:color w:val="231F20"/>
          <w:spacing w:val="-6"/>
        </w:rPr>
        <w:t> </w:t>
      </w:r>
      <w:r>
        <w:rPr>
          <w:color w:val="231F20"/>
        </w:rPr>
        <w:t>к</w:t>
      </w:r>
      <w:r>
        <w:rPr>
          <w:color w:val="231F20"/>
          <w:spacing w:val="-6"/>
        </w:rPr>
        <w:t> </w:t>
      </w:r>
      <w:r>
        <w:rPr>
          <w:color w:val="231F20"/>
        </w:rPr>
        <w:t>тому,</w:t>
      </w:r>
      <w:r>
        <w:rPr>
          <w:color w:val="231F20"/>
          <w:spacing w:val="-6"/>
        </w:rPr>
        <w:t> </w:t>
      </w:r>
      <w:r>
        <w:rPr>
          <w:color w:val="231F20"/>
        </w:rPr>
        <w:t>что</w:t>
      </w:r>
      <w:r>
        <w:rPr>
          <w:color w:val="231F20"/>
          <w:spacing w:val="-6"/>
        </w:rPr>
        <w:t> </w:t>
      </w:r>
      <w:r>
        <w:rPr>
          <w:color w:val="231F20"/>
        </w:rPr>
        <w:t>всю</w:t>
      </w:r>
      <w:r>
        <w:rPr>
          <w:color w:val="231F20"/>
          <w:spacing w:val="-6"/>
        </w:rPr>
        <w:t> </w:t>
      </w:r>
      <w:r>
        <w:rPr>
          <w:color w:val="231F20"/>
        </w:rPr>
        <w:t>работу</w:t>
      </w:r>
      <w:r>
        <w:rPr>
          <w:color w:val="231F20"/>
          <w:spacing w:val="-6"/>
        </w:rPr>
        <w:t> </w:t>
      </w:r>
      <w:r>
        <w:rPr>
          <w:color w:val="231F20"/>
        </w:rPr>
        <w:t>за</w:t>
      </w:r>
      <w:r>
        <w:rPr>
          <w:color w:val="231F20"/>
          <w:spacing w:val="-6"/>
        </w:rPr>
        <w:t> </w:t>
      </w:r>
      <w:r>
        <w:rPr>
          <w:color w:val="231F20"/>
        </w:rPr>
        <w:t>него</w:t>
      </w:r>
      <w:r>
        <w:rPr>
          <w:color w:val="231F20"/>
          <w:spacing w:val="-6"/>
        </w:rPr>
        <w:t> </w:t>
      </w:r>
      <w:r>
        <w:rPr>
          <w:color w:val="231F20"/>
        </w:rPr>
        <w:t>делают</w:t>
      </w:r>
      <w:r>
        <w:rPr>
          <w:color w:val="231F20"/>
          <w:spacing w:val="-6"/>
        </w:rPr>
        <w:t> </w:t>
      </w:r>
      <w:r>
        <w:rPr>
          <w:color w:val="231F20"/>
        </w:rPr>
        <w:t>другие</w:t>
      </w:r>
      <w:r>
        <w:rPr>
          <w:color w:val="231F20"/>
          <w:spacing w:val="-5"/>
        </w:rPr>
        <w:t> </w:t>
      </w:r>
      <w:r>
        <w:rPr>
          <w:color w:val="231F20"/>
          <w:spacing w:val="-2"/>
        </w:rPr>
        <w:t>люди.</w:t>
      </w:r>
    </w:p>
    <w:p>
      <w:pPr>
        <w:spacing w:line="227" w:lineRule="exact" w:before="107"/>
        <w:ind w:left="2553" w:right="0" w:firstLine="0"/>
        <w:jc w:val="left"/>
        <w:rPr>
          <w:b/>
          <w:sz w:val="20"/>
        </w:rPr>
      </w:pPr>
      <w:r>
        <w:rPr>
          <w:b/>
          <w:color w:val="231F20"/>
          <w:sz w:val="20"/>
        </w:rPr>
        <w:t>Упражнение</w:t>
      </w:r>
      <w:r>
        <w:rPr>
          <w:b/>
          <w:color w:val="231F20"/>
          <w:spacing w:val="-10"/>
          <w:sz w:val="20"/>
        </w:rPr>
        <w:t> </w:t>
      </w:r>
      <w:r>
        <w:rPr>
          <w:b/>
          <w:color w:val="231F20"/>
          <w:sz w:val="20"/>
        </w:rPr>
        <w:t>«Я</w:t>
      </w:r>
      <w:r>
        <w:rPr>
          <w:b/>
          <w:color w:val="231F20"/>
          <w:spacing w:val="-9"/>
          <w:sz w:val="20"/>
        </w:rPr>
        <w:t> </w:t>
      </w:r>
      <w:r>
        <w:rPr>
          <w:b/>
          <w:color w:val="231F20"/>
          <w:spacing w:val="-2"/>
          <w:sz w:val="20"/>
        </w:rPr>
        <w:t>чувствую»</w:t>
      </w:r>
    </w:p>
    <w:p>
      <w:pPr>
        <w:pStyle w:val="BodyText"/>
        <w:spacing w:line="232" w:lineRule="auto" w:before="3"/>
      </w:pPr>
      <w:r>
        <w:rPr>
          <w:color w:val="231F20"/>
        </w:rPr>
        <w:t>Данное</w:t>
      </w:r>
      <w:r>
        <w:rPr>
          <w:color w:val="231F20"/>
          <w:spacing w:val="-9"/>
        </w:rPr>
        <w:t> </w:t>
      </w:r>
      <w:r>
        <w:rPr>
          <w:color w:val="231F20"/>
        </w:rPr>
        <w:t>упражнение</w:t>
      </w:r>
      <w:r>
        <w:rPr>
          <w:color w:val="231F20"/>
          <w:spacing w:val="-9"/>
        </w:rPr>
        <w:t> </w:t>
      </w:r>
      <w:r>
        <w:rPr>
          <w:color w:val="231F20"/>
        </w:rPr>
        <w:t>разработано</w:t>
      </w:r>
      <w:r>
        <w:rPr>
          <w:color w:val="231F20"/>
          <w:spacing w:val="-9"/>
        </w:rPr>
        <w:t> </w:t>
      </w:r>
      <w:r>
        <w:rPr>
          <w:color w:val="231F20"/>
        </w:rPr>
        <w:t>Дж.</w:t>
      </w:r>
      <w:r>
        <w:rPr>
          <w:color w:val="231F20"/>
          <w:spacing w:val="-9"/>
        </w:rPr>
        <w:t> </w:t>
      </w:r>
      <w:r>
        <w:rPr>
          <w:color w:val="231F20"/>
        </w:rPr>
        <w:t>Кепнером</w:t>
      </w:r>
      <w:r>
        <w:rPr>
          <w:color w:val="231F20"/>
          <w:spacing w:val="-9"/>
        </w:rPr>
        <w:t> </w:t>
      </w:r>
      <w:r>
        <w:rPr>
          <w:color w:val="231F20"/>
        </w:rPr>
        <w:t>для</w:t>
      </w:r>
      <w:r>
        <w:rPr>
          <w:color w:val="231F20"/>
          <w:spacing w:val="-9"/>
        </w:rPr>
        <w:t> </w:t>
      </w:r>
      <w:r>
        <w:rPr>
          <w:color w:val="231F20"/>
        </w:rPr>
        <w:t>подготовки</w:t>
      </w:r>
      <w:r>
        <w:rPr>
          <w:color w:val="231F20"/>
          <w:spacing w:val="-9"/>
        </w:rPr>
        <w:t> </w:t>
      </w:r>
      <w:r>
        <w:rPr>
          <w:color w:val="231F20"/>
        </w:rPr>
        <w:t>учащихся</w:t>
      </w:r>
      <w:r>
        <w:rPr>
          <w:color w:val="231F20"/>
          <w:spacing w:val="-9"/>
        </w:rPr>
        <w:t> </w:t>
      </w:r>
      <w:r>
        <w:rPr>
          <w:color w:val="231F20"/>
        </w:rPr>
        <w:t>к</w:t>
      </w:r>
      <w:r>
        <w:rPr>
          <w:color w:val="231F20"/>
          <w:spacing w:val="-9"/>
        </w:rPr>
        <w:t> </w:t>
      </w:r>
      <w:r>
        <w:rPr>
          <w:color w:val="231F20"/>
        </w:rPr>
        <w:t>выхо- ду из конфликтных ситуаций во время групповой работы.</w:t>
      </w:r>
    </w:p>
    <w:p>
      <w:pPr>
        <w:pStyle w:val="BodyText"/>
        <w:spacing w:line="232" w:lineRule="auto" w:before="2"/>
      </w:pPr>
      <w:r>
        <w:rPr>
          <w:color w:val="231F20"/>
        </w:rPr>
        <w:t>Одной из главных проблем, с которой школьники могут столкнуться во время групповой работы, являются разнообразные обвинения участниками друг друга.</w:t>
      </w:r>
      <w:r>
        <w:rPr>
          <w:color w:val="231F20"/>
          <w:spacing w:val="80"/>
        </w:rPr>
        <w:t> </w:t>
      </w:r>
      <w:r>
        <w:rPr>
          <w:color w:val="231F20"/>
        </w:rPr>
        <w:t>Для предотвращения подобных ситуаций было разработано специальное упражне- ние,</w:t>
      </w:r>
      <w:r>
        <w:rPr>
          <w:color w:val="231F20"/>
          <w:spacing w:val="-5"/>
        </w:rPr>
        <w:t> </w:t>
      </w:r>
      <w:r>
        <w:rPr>
          <w:color w:val="231F20"/>
        </w:rPr>
        <w:t>которое</w:t>
      </w:r>
      <w:r>
        <w:rPr>
          <w:color w:val="231F20"/>
          <w:spacing w:val="-5"/>
        </w:rPr>
        <w:t> </w:t>
      </w:r>
      <w:r>
        <w:rPr>
          <w:color w:val="231F20"/>
        </w:rPr>
        <w:t>помогает</w:t>
      </w:r>
      <w:r>
        <w:rPr>
          <w:color w:val="231F20"/>
          <w:spacing w:val="-5"/>
        </w:rPr>
        <w:t> </w:t>
      </w:r>
      <w:r>
        <w:rPr>
          <w:color w:val="231F20"/>
        </w:rPr>
        <w:t>перевести</w:t>
      </w:r>
      <w:r>
        <w:rPr>
          <w:color w:val="231F20"/>
          <w:spacing w:val="-5"/>
        </w:rPr>
        <w:t> </w:t>
      </w:r>
      <w:r>
        <w:rPr>
          <w:color w:val="231F20"/>
        </w:rPr>
        <w:t>обвинения</w:t>
      </w:r>
      <w:r>
        <w:rPr>
          <w:color w:val="231F20"/>
          <w:spacing w:val="-5"/>
        </w:rPr>
        <w:t> </w:t>
      </w:r>
      <w:r>
        <w:rPr>
          <w:color w:val="231F20"/>
        </w:rPr>
        <w:t>в</w:t>
      </w:r>
      <w:r>
        <w:rPr>
          <w:color w:val="231F20"/>
          <w:spacing w:val="-5"/>
        </w:rPr>
        <w:t> </w:t>
      </w:r>
      <w:r>
        <w:rPr>
          <w:color w:val="231F20"/>
        </w:rPr>
        <w:t>плоскость</w:t>
      </w:r>
      <w:r>
        <w:rPr>
          <w:color w:val="231F20"/>
          <w:spacing w:val="-5"/>
        </w:rPr>
        <w:t> </w:t>
      </w:r>
      <w:r>
        <w:rPr>
          <w:color w:val="231F20"/>
        </w:rPr>
        <w:t>утверждений,</w:t>
      </w:r>
      <w:r>
        <w:rPr>
          <w:color w:val="231F20"/>
          <w:spacing w:val="-5"/>
        </w:rPr>
        <w:t> </w:t>
      </w:r>
      <w:r>
        <w:rPr>
          <w:color w:val="231F20"/>
        </w:rPr>
        <w:t>начинающих- ся со слов «Я чувствую…», и в позитивные отклики. Утверждения, подобные «Я чувствую», позволяют детям в той или иной ситуации выразить свое недовольство</w:t>
      </w:r>
      <w:r>
        <w:rPr>
          <w:color w:val="231F20"/>
          <w:spacing w:val="80"/>
        </w:rPr>
        <w:t> </w:t>
      </w:r>
      <w:r>
        <w:rPr>
          <w:color w:val="231F20"/>
        </w:rPr>
        <w:t>в более мягких выражениях, которые способны предотвратить конфликт. Также эти утверждения дают возможность ребенку лучше осознать чувства, которые он испы- тывает в данный момент, и взять их под контроль.</w:t>
      </w:r>
    </w:p>
    <w:p>
      <w:pPr>
        <w:pStyle w:val="BodyText"/>
        <w:spacing w:line="235" w:lineRule="auto" w:before="8"/>
      </w:pPr>
      <w:r>
        <w:rPr>
          <w:color w:val="231F20"/>
        </w:rPr>
        <w:t>Обвинительные</w:t>
      </w:r>
      <w:r>
        <w:rPr>
          <w:color w:val="231F20"/>
          <w:spacing w:val="-5"/>
        </w:rPr>
        <w:t> </w:t>
      </w:r>
      <w:r>
        <w:rPr>
          <w:color w:val="231F20"/>
        </w:rPr>
        <w:t>и</w:t>
      </w:r>
      <w:r>
        <w:rPr>
          <w:color w:val="231F20"/>
          <w:spacing w:val="-5"/>
        </w:rPr>
        <w:t> </w:t>
      </w:r>
      <w:r>
        <w:rPr>
          <w:color w:val="231F20"/>
        </w:rPr>
        <w:t>оскорбительные</w:t>
      </w:r>
      <w:r>
        <w:rPr>
          <w:color w:val="231F20"/>
          <w:spacing w:val="-5"/>
        </w:rPr>
        <w:t> </w:t>
      </w:r>
      <w:r>
        <w:rPr>
          <w:color w:val="231F20"/>
        </w:rPr>
        <w:t>фразы</w:t>
      </w:r>
      <w:r>
        <w:rPr>
          <w:color w:val="231F20"/>
          <w:spacing w:val="-5"/>
        </w:rPr>
        <w:t> </w:t>
      </w:r>
      <w:r>
        <w:rPr>
          <w:color w:val="231F20"/>
        </w:rPr>
        <w:t>всегда</w:t>
      </w:r>
      <w:r>
        <w:rPr>
          <w:color w:val="231F20"/>
          <w:spacing w:val="-5"/>
        </w:rPr>
        <w:t> </w:t>
      </w:r>
      <w:r>
        <w:rPr>
          <w:color w:val="231F20"/>
        </w:rPr>
        <w:t>начинаются</w:t>
      </w:r>
      <w:r>
        <w:rPr>
          <w:color w:val="231F20"/>
          <w:spacing w:val="-5"/>
        </w:rPr>
        <w:t> </w:t>
      </w:r>
      <w:r>
        <w:rPr>
          <w:color w:val="231F20"/>
        </w:rPr>
        <w:t>с</w:t>
      </w:r>
      <w:r>
        <w:rPr>
          <w:color w:val="231F20"/>
          <w:spacing w:val="-5"/>
        </w:rPr>
        <w:t> </w:t>
      </w:r>
      <w:r>
        <w:rPr>
          <w:color w:val="231F20"/>
        </w:rPr>
        <w:t>местоимения</w:t>
      </w:r>
      <w:r>
        <w:rPr>
          <w:color w:val="231F20"/>
          <w:spacing w:val="-5"/>
        </w:rPr>
        <w:t> </w:t>
      </w:r>
      <w:r>
        <w:rPr>
          <w:color w:val="231F20"/>
        </w:rPr>
        <w:t>«ты» или «вы», а это уже само по себе воспринимается как грубость. Вполне нейтраль- ное «Я чувствую» переносит фокус внимания с поведения человека на его чувства.</w:t>
      </w:r>
    </w:p>
    <w:p>
      <w:pPr>
        <w:pStyle w:val="BodyText"/>
        <w:spacing w:after="0" w:line="235" w:lineRule="auto"/>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right="0" w:firstLine="0"/>
        <w:jc w:val="left"/>
      </w:pPr>
      <w:r>
        <w:rPr>
          <w:color w:val="231F20"/>
        </w:rPr>
        <w:t>Каждый комментарий участника групповой работы, начинающийся со слов «Я чув- ствую», включает в себя три составные части:</w:t>
      </w:r>
    </w:p>
    <w:p>
      <w:pPr>
        <w:pStyle w:val="ListParagraph"/>
        <w:numPr>
          <w:ilvl w:val="0"/>
          <w:numId w:val="312"/>
        </w:numPr>
        <w:tabs>
          <w:tab w:pos="424" w:val="left" w:leader="none"/>
        </w:tabs>
        <w:spacing w:line="225" w:lineRule="exact" w:before="0" w:after="0"/>
        <w:ind w:left="424" w:right="0" w:hanging="283"/>
        <w:jc w:val="left"/>
        <w:rPr>
          <w:sz w:val="20"/>
        </w:rPr>
      </w:pPr>
      <w:r>
        <w:rPr>
          <w:color w:val="231F20"/>
          <w:sz w:val="20"/>
        </w:rPr>
        <w:t>определение</w:t>
      </w:r>
      <w:r>
        <w:rPr>
          <w:color w:val="231F20"/>
          <w:spacing w:val="-5"/>
          <w:sz w:val="20"/>
        </w:rPr>
        <w:t> </w:t>
      </w:r>
      <w:r>
        <w:rPr>
          <w:color w:val="231F20"/>
          <w:sz w:val="20"/>
        </w:rPr>
        <w:t>того,</w:t>
      </w:r>
      <w:r>
        <w:rPr>
          <w:color w:val="231F20"/>
          <w:spacing w:val="-5"/>
          <w:sz w:val="20"/>
        </w:rPr>
        <w:t> </w:t>
      </w:r>
      <w:r>
        <w:rPr>
          <w:color w:val="231F20"/>
          <w:sz w:val="20"/>
        </w:rPr>
        <w:t>что</w:t>
      </w:r>
      <w:r>
        <w:rPr>
          <w:color w:val="231F20"/>
          <w:spacing w:val="-5"/>
          <w:sz w:val="20"/>
        </w:rPr>
        <w:t> </w:t>
      </w:r>
      <w:r>
        <w:rPr>
          <w:color w:val="231F20"/>
          <w:sz w:val="20"/>
        </w:rPr>
        <w:t>не</w:t>
      </w:r>
      <w:r>
        <w:rPr>
          <w:color w:val="231F20"/>
          <w:spacing w:val="-5"/>
          <w:sz w:val="20"/>
        </w:rPr>
        <w:t> </w:t>
      </w:r>
      <w:r>
        <w:rPr>
          <w:color w:val="231F20"/>
          <w:sz w:val="20"/>
        </w:rPr>
        <w:t>нравится</w:t>
      </w:r>
      <w:r>
        <w:rPr>
          <w:color w:val="231F20"/>
          <w:spacing w:val="-5"/>
          <w:sz w:val="20"/>
        </w:rPr>
        <w:t> </w:t>
      </w:r>
      <w:r>
        <w:rPr>
          <w:color w:val="231F20"/>
          <w:sz w:val="20"/>
        </w:rPr>
        <w:t>в</w:t>
      </w:r>
      <w:r>
        <w:rPr>
          <w:color w:val="231F20"/>
          <w:spacing w:val="-6"/>
          <w:sz w:val="20"/>
        </w:rPr>
        <w:t> </w:t>
      </w:r>
      <w:r>
        <w:rPr>
          <w:color w:val="231F20"/>
          <w:sz w:val="20"/>
        </w:rPr>
        <w:t>поведении</w:t>
      </w:r>
      <w:r>
        <w:rPr>
          <w:color w:val="231F20"/>
          <w:spacing w:val="-6"/>
          <w:sz w:val="20"/>
        </w:rPr>
        <w:t> </w:t>
      </w:r>
      <w:r>
        <w:rPr>
          <w:color w:val="231F20"/>
          <w:sz w:val="20"/>
        </w:rPr>
        <w:t>другого</w:t>
      </w:r>
      <w:r>
        <w:rPr>
          <w:color w:val="231F20"/>
          <w:spacing w:val="-4"/>
          <w:sz w:val="20"/>
        </w:rPr>
        <w:t> </w:t>
      </w:r>
      <w:r>
        <w:rPr>
          <w:color w:val="231F20"/>
          <w:spacing w:val="-2"/>
          <w:sz w:val="20"/>
        </w:rPr>
        <w:t>человека,</w:t>
      </w:r>
    </w:p>
    <w:p>
      <w:pPr>
        <w:pStyle w:val="ListParagraph"/>
        <w:numPr>
          <w:ilvl w:val="0"/>
          <w:numId w:val="312"/>
        </w:numPr>
        <w:tabs>
          <w:tab w:pos="424" w:val="left" w:leader="none"/>
        </w:tabs>
        <w:spacing w:line="226" w:lineRule="exact" w:before="0" w:after="0"/>
        <w:ind w:left="424" w:right="0" w:hanging="283"/>
        <w:jc w:val="left"/>
        <w:rPr>
          <w:sz w:val="20"/>
        </w:rPr>
      </w:pPr>
      <w:r>
        <w:rPr>
          <w:color w:val="231F20"/>
          <w:sz w:val="20"/>
        </w:rPr>
        <w:t>выражение</w:t>
      </w:r>
      <w:r>
        <w:rPr>
          <w:color w:val="231F20"/>
          <w:spacing w:val="-8"/>
          <w:sz w:val="20"/>
        </w:rPr>
        <w:t> </w:t>
      </w:r>
      <w:r>
        <w:rPr>
          <w:color w:val="231F20"/>
          <w:sz w:val="20"/>
        </w:rPr>
        <w:t>чувств,</w:t>
      </w:r>
      <w:r>
        <w:rPr>
          <w:color w:val="231F20"/>
          <w:spacing w:val="-6"/>
          <w:sz w:val="20"/>
        </w:rPr>
        <w:t> </w:t>
      </w:r>
      <w:r>
        <w:rPr>
          <w:color w:val="231F20"/>
          <w:sz w:val="20"/>
        </w:rPr>
        <w:t>которые</w:t>
      </w:r>
      <w:r>
        <w:rPr>
          <w:color w:val="231F20"/>
          <w:spacing w:val="-6"/>
          <w:sz w:val="20"/>
        </w:rPr>
        <w:t> </w:t>
      </w:r>
      <w:r>
        <w:rPr>
          <w:color w:val="231F20"/>
          <w:sz w:val="20"/>
        </w:rPr>
        <w:t>человек</w:t>
      </w:r>
      <w:r>
        <w:rPr>
          <w:color w:val="231F20"/>
          <w:spacing w:val="-6"/>
          <w:sz w:val="20"/>
        </w:rPr>
        <w:t> </w:t>
      </w:r>
      <w:r>
        <w:rPr>
          <w:color w:val="231F20"/>
          <w:sz w:val="20"/>
        </w:rPr>
        <w:t>испытывает</w:t>
      </w:r>
      <w:r>
        <w:rPr>
          <w:color w:val="231F20"/>
          <w:spacing w:val="-5"/>
          <w:sz w:val="20"/>
        </w:rPr>
        <w:t> </w:t>
      </w:r>
      <w:r>
        <w:rPr>
          <w:color w:val="231F20"/>
          <w:sz w:val="20"/>
        </w:rPr>
        <w:t>в</w:t>
      </w:r>
      <w:r>
        <w:rPr>
          <w:color w:val="231F20"/>
          <w:spacing w:val="-7"/>
          <w:sz w:val="20"/>
        </w:rPr>
        <w:t> </w:t>
      </w:r>
      <w:r>
        <w:rPr>
          <w:color w:val="231F20"/>
          <w:sz w:val="20"/>
        </w:rPr>
        <w:t>ответ</w:t>
      </w:r>
      <w:r>
        <w:rPr>
          <w:color w:val="231F20"/>
          <w:spacing w:val="-6"/>
          <w:sz w:val="20"/>
        </w:rPr>
        <w:t> </w:t>
      </w:r>
      <w:r>
        <w:rPr>
          <w:color w:val="231F20"/>
          <w:sz w:val="20"/>
        </w:rPr>
        <w:t>на</w:t>
      </w:r>
      <w:r>
        <w:rPr>
          <w:color w:val="231F20"/>
          <w:spacing w:val="-6"/>
          <w:sz w:val="20"/>
        </w:rPr>
        <w:t> </w:t>
      </w:r>
      <w:r>
        <w:rPr>
          <w:color w:val="231F20"/>
          <w:sz w:val="20"/>
        </w:rPr>
        <w:t>такое</w:t>
      </w:r>
      <w:r>
        <w:rPr>
          <w:color w:val="231F20"/>
          <w:spacing w:val="-5"/>
          <w:sz w:val="20"/>
        </w:rPr>
        <w:t> </w:t>
      </w:r>
      <w:r>
        <w:rPr>
          <w:color w:val="231F20"/>
          <w:spacing w:val="-2"/>
          <w:sz w:val="20"/>
        </w:rPr>
        <w:t>поведение,</w:t>
      </w:r>
    </w:p>
    <w:p>
      <w:pPr>
        <w:pStyle w:val="ListParagraph"/>
        <w:numPr>
          <w:ilvl w:val="0"/>
          <w:numId w:val="312"/>
        </w:numPr>
        <w:tabs>
          <w:tab w:pos="424" w:val="left" w:leader="none"/>
        </w:tabs>
        <w:spacing w:line="226" w:lineRule="exact" w:before="0" w:after="0"/>
        <w:ind w:left="424" w:right="0" w:hanging="283"/>
        <w:jc w:val="left"/>
        <w:rPr>
          <w:sz w:val="20"/>
        </w:rPr>
      </w:pPr>
      <w:r>
        <w:rPr>
          <w:color w:val="231F20"/>
          <w:sz w:val="20"/>
        </w:rPr>
        <w:t>объяснение</w:t>
      </w:r>
      <w:r>
        <w:rPr>
          <w:color w:val="231F20"/>
          <w:spacing w:val="-6"/>
          <w:sz w:val="20"/>
        </w:rPr>
        <w:t> </w:t>
      </w:r>
      <w:r>
        <w:rPr>
          <w:color w:val="231F20"/>
          <w:sz w:val="20"/>
        </w:rPr>
        <w:t>причин,</w:t>
      </w:r>
      <w:r>
        <w:rPr>
          <w:color w:val="231F20"/>
          <w:spacing w:val="-4"/>
          <w:sz w:val="20"/>
        </w:rPr>
        <w:t> </w:t>
      </w:r>
      <w:r>
        <w:rPr>
          <w:color w:val="231F20"/>
          <w:sz w:val="20"/>
        </w:rPr>
        <w:t>обусловивших</w:t>
      </w:r>
      <w:r>
        <w:rPr>
          <w:color w:val="231F20"/>
          <w:spacing w:val="-4"/>
          <w:sz w:val="20"/>
        </w:rPr>
        <w:t> </w:t>
      </w:r>
      <w:r>
        <w:rPr>
          <w:color w:val="231F20"/>
          <w:sz w:val="20"/>
        </w:rPr>
        <w:t>появление</w:t>
      </w:r>
      <w:r>
        <w:rPr>
          <w:color w:val="231F20"/>
          <w:spacing w:val="-4"/>
          <w:sz w:val="20"/>
        </w:rPr>
        <w:t> </w:t>
      </w:r>
      <w:r>
        <w:rPr>
          <w:color w:val="231F20"/>
          <w:sz w:val="20"/>
        </w:rPr>
        <w:t>таких</w:t>
      </w:r>
      <w:r>
        <w:rPr>
          <w:color w:val="231F20"/>
          <w:spacing w:val="-3"/>
          <w:sz w:val="20"/>
        </w:rPr>
        <w:t> </w:t>
      </w:r>
      <w:r>
        <w:rPr>
          <w:color w:val="231F20"/>
          <w:spacing w:val="-2"/>
          <w:sz w:val="20"/>
        </w:rPr>
        <w:t>чувств.</w:t>
      </w:r>
    </w:p>
    <w:p>
      <w:pPr>
        <w:pStyle w:val="BodyText"/>
        <w:spacing w:line="226" w:lineRule="exact"/>
        <w:ind w:left="425" w:right="0" w:firstLine="0"/>
        <w:jc w:val="left"/>
      </w:pPr>
      <w:r>
        <w:rPr>
          <w:color w:val="231F20"/>
        </w:rPr>
        <w:t>То</w:t>
      </w:r>
      <w:r>
        <w:rPr>
          <w:color w:val="231F20"/>
          <w:spacing w:val="-4"/>
        </w:rPr>
        <w:t> </w:t>
      </w:r>
      <w:r>
        <w:rPr>
          <w:color w:val="231F20"/>
        </w:rPr>
        <w:t>есть</w:t>
      </w:r>
      <w:r>
        <w:rPr>
          <w:color w:val="231F20"/>
          <w:spacing w:val="-4"/>
        </w:rPr>
        <w:t> </w:t>
      </w:r>
      <w:r>
        <w:rPr>
          <w:color w:val="231F20"/>
        </w:rPr>
        <w:t>фраза</w:t>
      </w:r>
      <w:r>
        <w:rPr>
          <w:color w:val="231F20"/>
          <w:spacing w:val="-3"/>
        </w:rPr>
        <w:t> </w:t>
      </w:r>
      <w:r>
        <w:rPr>
          <w:color w:val="231F20"/>
        </w:rPr>
        <w:t>«Я</w:t>
      </w:r>
      <w:r>
        <w:rPr>
          <w:color w:val="231F20"/>
          <w:spacing w:val="-3"/>
        </w:rPr>
        <w:t> </w:t>
      </w:r>
      <w:r>
        <w:rPr>
          <w:color w:val="231F20"/>
        </w:rPr>
        <w:t>чувствую»,</w:t>
      </w:r>
      <w:r>
        <w:rPr>
          <w:color w:val="231F20"/>
          <w:spacing w:val="-3"/>
        </w:rPr>
        <w:t> </w:t>
      </w:r>
      <w:r>
        <w:rPr>
          <w:color w:val="231F20"/>
        </w:rPr>
        <w:t>как</w:t>
      </w:r>
      <w:r>
        <w:rPr>
          <w:color w:val="231F20"/>
          <w:spacing w:val="-3"/>
        </w:rPr>
        <w:t> </w:t>
      </w:r>
      <w:r>
        <w:rPr>
          <w:color w:val="231F20"/>
        </w:rPr>
        <w:t>правило,</w:t>
      </w:r>
      <w:r>
        <w:rPr>
          <w:color w:val="231F20"/>
          <w:spacing w:val="-3"/>
        </w:rPr>
        <w:t> </w:t>
      </w:r>
      <w:r>
        <w:rPr>
          <w:color w:val="231F20"/>
        </w:rPr>
        <w:t>состоит</w:t>
      </w:r>
      <w:r>
        <w:rPr>
          <w:color w:val="231F20"/>
          <w:spacing w:val="-3"/>
        </w:rPr>
        <w:t> </w:t>
      </w:r>
      <w:r>
        <w:rPr>
          <w:color w:val="231F20"/>
        </w:rPr>
        <w:t>из</w:t>
      </w:r>
      <w:r>
        <w:rPr>
          <w:color w:val="231F20"/>
          <w:spacing w:val="-3"/>
        </w:rPr>
        <w:t> </w:t>
      </w:r>
      <w:r>
        <w:rPr>
          <w:color w:val="231F20"/>
        </w:rPr>
        <w:t>следующих</w:t>
      </w:r>
      <w:r>
        <w:rPr>
          <w:color w:val="231F20"/>
          <w:spacing w:val="-3"/>
        </w:rPr>
        <w:t> </w:t>
      </w:r>
      <w:r>
        <w:rPr>
          <w:color w:val="231F20"/>
          <w:spacing w:val="-2"/>
        </w:rPr>
        <w:t>частей:</w:t>
      </w:r>
    </w:p>
    <w:p>
      <w:pPr>
        <w:pStyle w:val="BodyText"/>
        <w:spacing w:line="226" w:lineRule="exact"/>
        <w:ind w:left="425" w:right="0" w:firstLine="0"/>
        <w:jc w:val="left"/>
      </w:pPr>
      <w:r>
        <w:rPr>
          <w:i/>
          <w:color w:val="231F20"/>
        </w:rPr>
        <w:t>Когда</w:t>
      </w:r>
      <w:r>
        <w:rPr>
          <w:i/>
          <w:color w:val="231F20"/>
          <w:spacing w:val="-2"/>
        </w:rPr>
        <w:t> </w:t>
      </w:r>
      <w:r>
        <w:rPr>
          <w:i/>
          <w:color w:val="231F20"/>
        </w:rPr>
        <w:t>ты…</w:t>
      </w:r>
      <w:r>
        <w:rPr>
          <w:i/>
          <w:color w:val="231F20"/>
          <w:spacing w:val="-2"/>
        </w:rPr>
        <w:t> </w:t>
      </w:r>
      <w:r>
        <w:rPr>
          <w:color w:val="231F20"/>
        </w:rPr>
        <w:t>(указание</w:t>
      </w:r>
      <w:r>
        <w:rPr>
          <w:color w:val="231F20"/>
          <w:spacing w:val="-3"/>
        </w:rPr>
        <w:t> </w:t>
      </w:r>
      <w:r>
        <w:rPr>
          <w:color w:val="231F20"/>
        </w:rPr>
        <w:t>на</w:t>
      </w:r>
      <w:r>
        <w:rPr>
          <w:color w:val="231F20"/>
          <w:spacing w:val="-2"/>
        </w:rPr>
        <w:t> </w:t>
      </w:r>
      <w:r>
        <w:rPr>
          <w:color w:val="231F20"/>
        </w:rPr>
        <w:t>то,</w:t>
      </w:r>
      <w:r>
        <w:rPr>
          <w:color w:val="231F20"/>
          <w:spacing w:val="-2"/>
        </w:rPr>
        <w:t> </w:t>
      </w:r>
      <w:r>
        <w:rPr>
          <w:color w:val="231F20"/>
        </w:rPr>
        <w:t>что</w:t>
      </w:r>
      <w:r>
        <w:rPr>
          <w:color w:val="231F20"/>
          <w:spacing w:val="-2"/>
        </w:rPr>
        <w:t> </w:t>
      </w:r>
      <w:r>
        <w:rPr>
          <w:color w:val="231F20"/>
        </w:rPr>
        <w:t>не</w:t>
      </w:r>
      <w:r>
        <w:rPr>
          <w:color w:val="231F20"/>
          <w:spacing w:val="-2"/>
        </w:rPr>
        <w:t> </w:t>
      </w:r>
      <w:r>
        <w:rPr>
          <w:color w:val="231F20"/>
        </w:rPr>
        <w:t>нравится</w:t>
      </w:r>
      <w:r>
        <w:rPr>
          <w:color w:val="231F20"/>
          <w:spacing w:val="-2"/>
        </w:rPr>
        <w:t> </w:t>
      </w:r>
      <w:r>
        <w:rPr>
          <w:color w:val="231F20"/>
        </w:rPr>
        <w:t>в</w:t>
      </w:r>
      <w:r>
        <w:rPr>
          <w:color w:val="231F20"/>
          <w:spacing w:val="-2"/>
        </w:rPr>
        <w:t> поведении).</w:t>
      </w:r>
    </w:p>
    <w:p>
      <w:pPr>
        <w:spacing w:line="228" w:lineRule="exact" w:before="0"/>
        <w:ind w:left="425" w:right="0" w:firstLine="0"/>
        <w:jc w:val="left"/>
        <w:rPr>
          <w:sz w:val="20"/>
        </w:rPr>
      </w:pPr>
      <w:r>
        <w:rPr>
          <w:i/>
          <w:color w:val="231F20"/>
          <w:sz w:val="20"/>
        </w:rPr>
        <w:t>Я</w:t>
      </w:r>
      <w:r>
        <w:rPr>
          <w:i/>
          <w:color w:val="231F20"/>
          <w:spacing w:val="-6"/>
          <w:sz w:val="20"/>
        </w:rPr>
        <w:t> </w:t>
      </w:r>
      <w:r>
        <w:rPr>
          <w:i/>
          <w:color w:val="231F20"/>
          <w:sz w:val="20"/>
        </w:rPr>
        <w:t>чувствую…</w:t>
      </w:r>
      <w:r>
        <w:rPr>
          <w:i/>
          <w:color w:val="231F20"/>
          <w:spacing w:val="-4"/>
          <w:sz w:val="20"/>
        </w:rPr>
        <w:t> </w:t>
      </w:r>
      <w:r>
        <w:rPr>
          <w:color w:val="231F20"/>
          <w:sz w:val="20"/>
        </w:rPr>
        <w:t>(выражение</w:t>
      </w:r>
      <w:r>
        <w:rPr>
          <w:color w:val="231F20"/>
          <w:spacing w:val="-4"/>
          <w:sz w:val="20"/>
        </w:rPr>
        <w:t> </w:t>
      </w:r>
      <w:r>
        <w:rPr>
          <w:color w:val="231F20"/>
          <w:spacing w:val="-2"/>
          <w:sz w:val="20"/>
        </w:rPr>
        <w:t>чувств).</w:t>
      </w:r>
    </w:p>
    <w:p>
      <w:pPr>
        <w:pStyle w:val="BodyText"/>
        <w:ind w:left="425" w:right="0" w:firstLine="0"/>
        <w:jc w:val="left"/>
      </w:pPr>
      <w:r>
        <w:rPr>
          <w:i/>
          <w:color w:val="231F20"/>
        </w:rPr>
        <w:t>Потому</w:t>
      </w:r>
      <w:r>
        <w:rPr>
          <w:i/>
          <w:color w:val="231F20"/>
          <w:spacing w:val="-7"/>
        </w:rPr>
        <w:t> </w:t>
      </w:r>
      <w:r>
        <w:rPr>
          <w:i/>
          <w:color w:val="231F20"/>
        </w:rPr>
        <w:t>что…</w:t>
      </w:r>
      <w:r>
        <w:rPr>
          <w:i/>
          <w:color w:val="231F20"/>
          <w:spacing w:val="-4"/>
        </w:rPr>
        <w:t> </w:t>
      </w:r>
      <w:r>
        <w:rPr>
          <w:color w:val="231F20"/>
        </w:rPr>
        <w:t>(приводятся</w:t>
      </w:r>
      <w:r>
        <w:rPr>
          <w:color w:val="231F20"/>
          <w:spacing w:val="-4"/>
        </w:rPr>
        <w:t> </w:t>
      </w:r>
      <w:r>
        <w:rPr>
          <w:color w:val="231F20"/>
        </w:rPr>
        <w:t>причины,</w:t>
      </w:r>
      <w:r>
        <w:rPr>
          <w:color w:val="231F20"/>
          <w:spacing w:val="-4"/>
        </w:rPr>
        <w:t> </w:t>
      </w:r>
      <w:r>
        <w:rPr>
          <w:color w:val="231F20"/>
        </w:rPr>
        <w:t>повлиявшие</w:t>
      </w:r>
      <w:r>
        <w:rPr>
          <w:color w:val="231F20"/>
          <w:spacing w:val="-5"/>
        </w:rPr>
        <w:t> </w:t>
      </w:r>
      <w:r>
        <w:rPr>
          <w:color w:val="231F20"/>
        </w:rPr>
        <w:t>на</w:t>
      </w:r>
      <w:r>
        <w:rPr>
          <w:color w:val="231F20"/>
          <w:spacing w:val="-4"/>
        </w:rPr>
        <w:t> </w:t>
      </w:r>
      <w:r>
        <w:rPr>
          <w:color w:val="231F20"/>
        </w:rPr>
        <w:t>появление</w:t>
      </w:r>
      <w:r>
        <w:rPr>
          <w:color w:val="231F20"/>
          <w:spacing w:val="-4"/>
        </w:rPr>
        <w:t> </w:t>
      </w:r>
      <w:r>
        <w:rPr>
          <w:color w:val="231F20"/>
        </w:rPr>
        <w:t>этих</w:t>
      </w:r>
      <w:r>
        <w:rPr>
          <w:color w:val="231F20"/>
          <w:spacing w:val="-4"/>
        </w:rPr>
        <w:t> </w:t>
      </w:r>
      <w:r>
        <w:rPr>
          <w:color w:val="231F20"/>
          <w:spacing w:val="-2"/>
        </w:rPr>
        <w:t>чувств).</w:t>
      </w:r>
    </w:p>
    <w:p>
      <w:pPr>
        <w:spacing w:before="113"/>
        <w:ind w:left="425" w:right="0" w:firstLine="0"/>
        <w:jc w:val="left"/>
        <w:rPr>
          <w:b/>
          <w:sz w:val="20"/>
        </w:rPr>
      </w:pPr>
      <w:r>
        <w:rPr>
          <w:b/>
          <w:color w:val="231F20"/>
          <w:sz w:val="20"/>
        </w:rPr>
        <w:t>Инструкция</w:t>
      </w:r>
      <w:r>
        <w:rPr>
          <w:b/>
          <w:color w:val="231F20"/>
          <w:spacing w:val="-3"/>
          <w:sz w:val="20"/>
        </w:rPr>
        <w:t> </w:t>
      </w:r>
      <w:r>
        <w:rPr>
          <w:b/>
          <w:color w:val="231F20"/>
          <w:sz w:val="20"/>
        </w:rPr>
        <w:t>для</w:t>
      </w:r>
      <w:r>
        <w:rPr>
          <w:b/>
          <w:color w:val="231F20"/>
          <w:spacing w:val="-3"/>
          <w:sz w:val="20"/>
        </w:rPr>
        <w:t> </w:t>
      </w:r>
      <w:r>
        <w:rPr>
          <w:b/>
          <w:color w:val="231F20"/>
          <w:sz w:val="20"/>
        </w:rPr>
        <w:t>группы</w:t>
      </w:r>
      <w:r>
        <w:rPr>
          <w:b/>
          <w:color w:val="231F20"/>
          <w:spacing w:val="-2"/>
          <w:sz w:val="20"/>
        </w:rPr>
        <w:t> учащихся</w:t>
      </w:r>
    </w:p>
    <w:p>
      <w:pPr>
        <w:pStyle w:val="BodyText"/>
      </w:pPr>
      <w:r>
        <w:rPr>
          <w:color w:val="231F20"/>
        </w:rPr>
        <w:t>Прочитайте</w:t>
      </w:r>
      <w:r>
        <w:rPr>
          <w:color w:val="231F20"/>
          <w:spacing w:val="-5"/>
        </w:rPr>
        <w:t> </w:t>
      </w:r>
      <w:r>
        <w:rPr>
          <w:color w:val="231F20"/>
        </w:rPr>
        <w:t>описание</w:t>
      </w:r>
      <w:r>
        <w:rPr>
          <w:color w:val="231F20"/>
          <w:spacing w:val="-5"/>
        </w:rPr>
        <w:t> </w:t>
      </w:r>
      <w:r>
        <w:rPr>
          <w:color w:val="231F20"/>
        </w:rPr>
        <w:t>типичных</w:t>
      </w:r>
      <w:r>
        <w:rPr>
          <w:color w:val="231F20"/>
          <w:spacing w:val="-6"/>
        </w:rPr>
        <w:t> </w:t>
      </w:r>
      <w:r>
        <w:rPr>
          <w:color w:val="231F20"/>
        </w:rPr>
        <w:t>ситуаций</w:t>
      </w:r>
      <w:r>
        <w:rPr>
          <w:color w:val="231F20"/>
          <w:spacing w:val="-5"/>
        </w:rPr>
        <w:t> </w:t>
      </w:r>
      <w:r>
        <w:rPr>
          <w:color w:val="231F20"/>
        </w:rPr>
        <w:t>проявления</w:t>
      </w:r>
      <w:r>
        <w:rPr>
          <w:color w:val="231F20"/>
          <w:spacing w:val="-5"/>
        </w:rPr>
        <w:t> </w:t>
      </w:r>
      <w:r>
        <w:rPr>
          <w:color w:val="231F20"/>
        </w:rPr>
        <w:t>грубости</w:t>
      </w:r>
      <w:r>
        <w:rPr>
          <w:color w:val="231F20"/>
          <w:spacing w:val="-6"/>
        </w:rPr>
        <w:t> </w:t>
      </w:r>
      <w:r>
        <w:rPr>
          <w:color w:val="231F20"/>
        </w:rPr>
        <w:t>в</w:t>
      </w:r>
      <w:r>
        <w:rPr>
          <w:color w:val="231F20"/>
          <w:spacing w:val="-6"/>
        </w:rPr>
        <w:t> </w:t>
      </w:r>
      <w:r>
        <w:rPr>
          <w:color w:val="231F20"/>
        </w:rPr>
        <w:t>ходе</w:t>
      </w:r>
      <w:r>
        <w:rPr>
          <w:color w:val="231F20"/>
          <w:spacing w:val="-6"/>
        </w:rPr>
        <w:t> </w:t>
      </w:r>
      <w:r>
        <w:rPr>
          <w:color w:val="231F20"/>
        </w:rPr>
        <w:t>групповой работы.</w:t>
      </w:r>
      <w:r>
        <w:rPr>
          <w:color w:val="231F20"/>
          <w:spacing w:val="-8"/>
        </w:rPr>
        <w:t> </w:t>
      </w:r>
      <w:r>
        <w:rPr>
          <w:color w:val="231F20"/>
        </w:rPr>
        <w:t>Обсудите</w:t>
      </w:r>
      <w:r>
        <w:rPr>
          <w:color w:val="231F20"/>
          <w:spacing w:val="-8"/>
        </w:rPr>
        <w:t> </w:t>
      </w:r>
      <w:r>
        <w:rPr>
          <w:color w:val="231F20"/>
        </w:rPr>
        <w:t>эти</w:t>
      </w:r>
      <w:r>
        <w:rPr>
          <w:color w:val="231F20"/>
          <w:spacing w:val="-8"/>
        </w:rPr>
        <w:t> </w:t>
      </w:r>
      <w:r>
        <w:rPr>
          <w:color w:val="231F20"/>
        </w:rPr>
        <w:t>ситуации</w:t>
      </w:r>
      <w:r>
        <w:rPr>
          <w:color w:val="231F20"/>
          <w:spacing w:val="-8"/>
        </w:rPr>
        <w:t> </w:t>
      </w:r>
      <w:r>
        <w:rPr>
          <w:color w:val="231F20"/>
        </w:rPr>
        <w:t>и</w:t>
      </w:r>
      <w:r>
        <w:rPr>
          <w:color w:val="231F20"/>
          <w:spacing w:val="-8"/>
        </w:rPr>
        <w:t> </w:t>
      </w:r>
      <w:r>
        <w:rPr>
          <w:color w:val="231F20"/>
        </w:rPr>
        <w:t>сформулируйте</w:t>
      </w:r>
      <w:r>
        <w:rPr>
          <w:color w:val="231F20"/>
          <w:spacing w:val="-8"/>
        </w:rPr>
        <w:t> </w:t>
      </w:r>
      <w:r>
        <w:rPr>
          <w:color w:val="231F20"/>
        </w:rPr>
        <w:t>два</w:t>
      </w:r>
      <w:r>
        <w:rPr>
          <w:color w:val="231F20"/>
          <w:spacing w:val="-8"/>
        </w:rPr>
        <w:t> </w:t>
      </w:r>
      <w:r>
        <w:rPr>
          <w:color w:val="231F20"/>
        </w:rPr>
        <w:t>варианта</w:t>
      </w:r>
      <w:r>
        <w:rPr>
          <w:color w:val="231F20"/>
          <w:spacing w:val="-8"/>
        </w:rPr>
        <w:t> </w:t>
      </w:r>
      <w:r>
        <w:rPr>
          <w:color w:val="231F20"/>
        </w:rPr>
        <w:t>комментария:</w:t>
      </w:r>
      <w:r>
        <w:rPr>
          <w:color w:val="231F20"/>
          <w:spacing w:val="-8"/>
        </w:rPr>
        <w:t> </w:t>
      </w:r>
      <w:r>
        <w:rPr>
          <w:color w:val="231F20"/>
        </w:rPr>
        <w:t>грубый и начинающийся со слов «Я чувствую».</w:t>
      </w:r>
    </w:p>
    <w:p>
      <w:pPr>
        <w:pStyle w:val="BodyText"/>
        <w:ind w:left="425" w:firstLine="0"/>
      </w:pPr>
      <w:r>
        <w:rPr>
          <w:i/>
          <w:color w:val="231F20"/>
          <w:spacing w:val="-2"/>
        </w:rPr>
        <w:t>Ситуация</w:t>
      </w:r>
      <w:r>
        <w:rPr>
          <w:i/>
          <w:color w:val="231F20"/>
          <w:spacing w:val="-11"/>
        </w:rPr>
        <w:t> </w:t>
      </w:r>
      <w:r>
        <w:rPr>
          <w:i/>
          <w:color w:val="231F20"/>
          <w:spacing w:val="-2"/>
        </w:rPr>
        <w:t>1.</w:t>
      </w:r>
      <w:r>
        <w:rPr>
          <w:i/>
          <w:color w:val="231F20"/>
          <w:spacing w:val="-10"/>
        </w:rPr>
        <w:t> </w:t>
      </w:r>
      <w:r>
        <w:rPr>
          <w:color w:val="231F20"/>
          <w:spacing w:val="-2"/>
        </w:rPr>
        <w:t>Участник</w:t>
      </w:r>
      <w:r>
        <w:rPr>
          <w:color w:val="231F20"/>
          <w:spacing w:val="-11"/>
        </w:rPr>
        <w:t> </w:t>
      </w:r>
      <w:r>
        <w:rPr>
          <w:color w:val="231F20"/>
          <w:spacing w:val="-2"/>
        </w:rPr>
        <w:t>группы</w:t>
      </w:r>
      <w:r>
        <w:rPr>
          <w:color w:val="231F20"/>
          <w:spacing w:val="-10"/>
        </w:rPr>
        <w:t> </w:t>
      </w:r>
      <w:r>
        <w:rPr>
          <w:color w:val="231F20"/>
          <w:spacing w:val="-2"/>
        </w:rPr>
        <w:t>постоянно</w:t>
      </w:r>
      <w:r>
        <w:rPr>
          <w:color w:val="231F20"/>
          <w:spacing w:val="-11"/>
        </w:rPr>
        <w:t> </w:t>
      </w:r>
      <w:r>
        <w:rPr>
          <w:color w:val="231F20"/>
          <w:spacing w:val="-2"/>
        </w:rPr>
        <w:t>тебя</w:t>
      </w:r>
      <w:r>
        <w:rPr>
          <w:color w:val="231F20"/>
          <w:spacing w:val="-10"/>
        </w:rPr>
        <w:t> </w:t>
      </w:r>
      <w:r>
        <w:rPr>
          <w:color w:val="231F20"/>
          <w:spacing w:val="-2"/>
        </w:rPr>
        <w:t>прерывает</w:t>
      </w:r>
      <w:r>
        <w:rPr>
          <w:color w:val="231F20"/>
          <w:spacing w:val="-11"/>
        </w:rPr>
        <w:t> </w:t>
      </w:r>
      <w:r>
        <w:rPr>
          <w:color w:val="231F20"/>
          <w:spacing w:val="-2"/>
        </w:rPr>
        <w:t>и</w:t>
      </w:r>
      <w:r>
        <w:rPr>
          <w:color w:val="231F20"/>
          <w:spacing w:val="-10"/>
        </w:rPr>
        <w:t> </w:t>
      </w:r>
      <w:r>
        <w:rPr>
          <w:color w:val="231F20"/>
          <w:spacing w:val="-2"/>
        </w:rPr>
        <w:t>не</w:t>
      </w:r>
      <w:r>
        <w:rPr>
          <w:color w:val="231F20"/>
          <w:spacing w:val="-11"/>
        </w:rPr>
        <w:t> </w:t>
      </w:r>
      <w:r>
        <w:rPr>
          <w:color w:val="231F20"/>
          <w:spacing w:val="-2"/>
        </w:rPr>
        <w:t>дает</w:t>
      </w:r>
      <w:r>
        <w:rPr>
          <w:color w:val="231F20"/>
          <w:spacing w:val="-10"/>
        </w:rPr>
        <w:t> </w:t>
      </w:r>
      <w:r>
        <w:rPr>
          <w:color w:val="231F20"/>
          <w:spacing w:val="-2"/>
        </w:rPr>
        <w:t>сказать</w:t>
      </w:r>
      <w:r>
        <w:rPr>
          <w:color w:val="231F20"/>
          <w:spacing w:val="-11"/>
        </w:rPr>
        <w:t> </w:t>
      </w:r>
      <w:r>
        <w:rPr>
          <w:color w:val="231F20"/>
          <w:spacing w:val="-2"/>
        </w:rPr>
        <w:t>ни</w:t>
      </w:r>
      <w:r>
        <w:rPr>
          <w:color w:val="231F20"/>
          <w:spacing w:val="-10"/>
        </w:rPr>
        <w:t> </w:t>
      </w:r>
      <w:r>
        <w:rPr>
          <w:color w:val="231F20"/>
          <w:spacing w:val="-2"/>
        </w:rPr>
        <w:t>слова. </w:t>
      </w:r>
      <w:r>
        <w:rPr>
          <w:color w:val="231F20"/>
        </w:rPr>
        <w:t>Реакция в стиле «Ты…»: «Ты грубиян! Ты никогда не даешь мне слова сказать».</w:t>
      </w:r>
    </w:p>
    <w:p>
      <w:pPr>
        <w:pStyle w:val="BodyText"/>
        <w:jc w:val="right"/>
      </w:pPr>
      <w:r>
        <w:rPr>
          <w:color w:val="231F20"/>
        </w:rPr>
        <w:t>Реакция</w:t>
      </w:r>
      <w:r>
        <w:rPr>
          <w:color w:val="231F20"/>
          <w:spacing w:val="-8"/>
        </w:rPr>
        <w:t> </w:t>
      </w:r>
      <w:r>
        <w:rPr>
          <w:color w:val="231F20"/>
        </w:rPr>
        <w:t>в</w:t>
      </w:r>
      <w:r>
        <w:rPr>
          <w:color w:val="231F20"/>
          <w:spacing w:val="-8"/>
        </w:rPr>
        <w:t> </w:t>
      </w:r>
      <w:r>
        <w:rPr>
          <w:color w:val="231F20"/>
        </w:rPr>
        <w:t>стиле</w:t>
      </w:r>
      <w:r>
        <w:rPr>
          <w:color w:val="231F20"/>
          <w:spacing w:val="-8"/>
        </w:rPr>
        <w:t> </w:t>
      </w:r>
      <w:r>
        <w:rPr>
          <w:color w:val="231F20"/>
        </w:rPr>
        <w:t>«Я</w:t>
      </w:r>
      <w:r>
        <w:rPr>
          <w:color w:val="231F20"/>
          <w:spacing w:val="-8"/>
        </w:rPr>
        <w:t> </w:t>
      </w:r>
      <w:r>
        <w:rPr>
          <w:color w:val="231F20"/>
        </w:rPr>
        <w:t>чувствую»:</w:t>
      </w:r>
      <w:r>
        <w:rPr>
          <w:color w:val="231F20"/>
          <w:spacing w:val="-8"/>
        </w:rPr>
        <w:t> </w:t>
      </w:r>
      <w:r>
        <w:rPr>
          <w:color w:val="231F20"/>
        </w:rPr>
        <w:t>«Когда</w:t>
      </w:r>
      <w:r>
        <w:rPr>
          <w:color w:val="231F20"/>
          <w:spacing w:val="-8"/>
        </w:rPr>
        <w:t> </w:t>
      </w:r>
      <w:r>
        <w:rPr>
          <w:color w:val="231F20"/>
        </w:rPr>
        <w:t>ты</w:t>
      </w:r>
      <w:r>
        <w:rPr>
          <w:color w:val="231F20"/>
          <w:spacing w:val="-8"/>
        </w:rPr>
        <w:t> </w:t>
      </w:r>
      <w:r>
        <w:rPr>
          <w:color w:val="231F20"/>
        </w:rPr>
        <w:t>перебиваешь</w:t>
      </w:r>
      <w:r>
        <w:rPr>
          <w:color w:val="231F20"/>
          <w:spacing w:val="-8"/>
        </w:rPr>
        <w:t> </w:t>
      </w:r>
      <w:r>
        <w:rPr>
          <w:color w:val="231F20"/>
        </w:rPr>
        <w:t>меня,</w:t>
      </w:r>
      <w:r>
        <w:rPr>
          <w:color w:val="231F20"/>
          <w:spacing w:val="-8"/>
        </w:rPr>
        <w:t> </w:t>
      </w:r>
      <w:r>
        <w:rPr>
          <w:color w:val="231F20"/>
        </w:rPr>
        <w:t>я</w:t>
      </w:r>
      <w:r>
        <w:rPr>
          <w:color w:val="231F20"/>
          <w:spacing w:val="-8"/>
        </w:rPr>
        <w:t> </w:t>
      </w:r>
      <w:r>
        <w:rPr>
          <w:color w:val="231F20"/>
        </w:rPr>
        <w:t>чувствую,</w:t>
      </w:r>
      <w:r>
        <w:rPr>
          <w:color w:val="231F20"/>
          <w:spacing w:val="-8"/>
        </w:rPr>
        <w:t> </w:t>
      </w:r>
      <w:r>
        <w:rPr>
          <w:color w:val="231F20"/>
        </w:rPr>
        <w:t>что</w:t>
      </w:r>
      <w:r>
        <w:rPr>
          <w:color w:val="231F20"/>
          <w:spacing w:val="-8"/>
        </w:rPr>
        <w:t> </w:t>
      </w:r>
      <w:r>
        <w:rPr>
          <w:color w:val="231F20"/>
        </w:rPr>
        <w:t>мне </w:t>
      </w:r>
      <w:r>
        <w:rPr>
          <w:color w:val="231F20"/>
          <w:spacing w:val="-2"/>
        </w:rPr>
        <w:t>это</w:t>
      </w:r>
      <w:r>
        <w:rPr>
          <w:color w:val="231F20"/>
          <w:spacing w:val="-11"/>
        </w:rPr>
        <w:t> </w:t>
      </w:r>
      <w:r>
        <w:rPr>
          <w:color w:val="231F20"/>
          <w:spacing w:val="-2"/>
        </w:rPr>
        <w:t>очень</w:t>
      </w:r>
      <w:r>
        <w:rPr>
          <w:color w:val="231F20"/>
          <w:spacing w:val="-10"/>
        </w:rPr>
        <w:t> </w:t>
      </w:r>
      <w:r>
        <w:rPr>
          <w:color w:val="231F20"/>
          <w:spacing w:val="-2"/>
        </w:rPr>
        <w:t>не</w:t>
      </w:r>
      <w:r>
        <w:rPr>
          <w:color w:val="231F20"/>
          <w:spacing w:val="-11"/>
        </w:rPr>
        <w:t> </w:t>
      </w:r>
      <w:r>
        <w:rPr>
          <w:color w:val="231F20"/>
          <w:spacing w:val="-2"/>
        </w:rPr>
        <w:t>нравится,</w:t>
      </w:r>
      <w:r>
        <w:rPr>
          <w:color w:val="231F20"/>
          <w:spacing w:val="-10"/>
        </w:rPr>
        <w:t> </w:t>
      </w:r>
      <w:r>
        <w:rPr>
          <w:color w:val="231F20"/>
          <w:spacing w:val="-2"/>
        </w:rPr>
        <w:t>потому</w:t>
      </w:r>
      <w:r>
        <w:rPr>
          <w:color w:val="231F20"/>
          <w:spacing w:val="-11"/>
        </w:rPr>
        <w:t> </w:t>
      </w:r>
      <w:r>
        <w:rPr>
          <w:color w:val="231F20"/>
          <w:spacing w:val="-2"/>
        </w:rPr>
        <w:t>что</w:t>
      </w:r>
      <w:r>
        <w:rPr>
          <w:color w:val="231F20"/>
          <w:spacing w:val="-10"/>
        </w:rPr>
        <w:t> </w:t>
      </w:r>
      <w:r>
        <w:rPr>
          <w:color w:val="231F20"/>
          <w:spacing w:val="-2"/>
        </w:rPr>
        <w:t>я</w:t>
      </w:r>
      <w:r>
        <w:rPr>
          <w:color w:val="231F20"/>
          <w:spacing w:val="-11"/>
        </w:rPr>
        <w:t> </w:t>
      </w:r>
      <w:r>
        <w:rPr>
          <w:color w:val="231F20"/>
          <w:spacing w:val="-2"/>
        </w:rPr>
        <w:t>знаю,</w:t>
      </w:r>
      <w:r>
        <w:rPr>
          <w:color w:val="231F20"/>
          <w:spacing w:val="-10"/>
        </w:rPr>
        <w:t> </w:t>
      </w:r>
      <w:r>
        <w:rPr>
          <w:color w:val="231F20"/>
          <w:spacing w:val="-2"/>
        </w:rPr>
        <w:t>что</w:t>
      </w:r>
      <w:r>
        <w:rPr>
          <w:color w:val="231F20"/>
          <w:spacing w:val="-11"/>
        </w:rPr>
        <w:t> </w:t>
      </w:r>
      <w:r>
        <w:rPr>
          <w:color w:val="231F20"/>
          <w:spacing w:val="-2"/>
        </w:rPr>
        <w:t>мои</w:t>
      </w:r>
      <w:r>
        <w:rPr>
          <w:color w:val="231F20"/>
          <w:spacing w:val="-10"/>
        </w:rPr>
        <w:t> </w:t>
      </w:r>
      <w:r>
        <w:rPr>
          <w:color w:val="231F20"/>
          <w:spacing w:val="-2"/>
        </w:rPr>
        <w:t>идеи</w:t>
      </w:r>
      <w:r>
        <w:rPr>
          <w:color w:val="231F20"/>
          <w:spacing w:val="-11"/>
        </w:rPr>
        <w:t> </w:t>
      </w:r>
      <w:r>
        <w:rPr>
          <w:color w:val="231F20"/>
          <w:spacing w:val="-2"/>
        </w:rPr>
        <w:t>могут</w:t>
      </w:r>
      <w:r>
        <w:rPr>
          <w:color w:val="231F20"/>
          <w:spacing w:val="-10"/>
        </w:rPr>
        <w:t> </w:t>
      </w:r>
      <w:r>
        <w:rPr>
          <w:color w:val="231F20"/>
          <w:spacing w:val="-2"/>
        </w:rPr>
        <w:t>помочь</w:t>
      </w:r>
      <w:r>
        <w:rPr>
          <w:color w:val="231F20"/>
          <w:spacing w:val="-11"/>
        </w:rPr>
        <w:t> </w:t>
      </w:r>
      <w:r>
        <w:rPr>
          <w:color w:val="231F20"/>
          <w:spacing w:val="-2"/>
        </w:rPr>
        <w:t>группе</w:t>
      </w:r>
      <w:r>
        <w:rPr>
          <w:color w:val="231F20"/>
          <w:spacing w:val="-10"/>
        </w:rPr>
        <w:t> </w:t>
      </w:r>
      <w:r>
        <w:rPr>
          <w:color w:val="231F20"/>
          <w:spacing w:val="-2"/>
        </w:rPr>
        <w:t>в</w:t>
      </w:r>
      <w:r>
        <w:rPr>
          <w:color w:val="231F20"/>
          <w:spacing w:val="-11"/>
        </w:rPr>
        <w:t> </w:t>
      </w:r>
      <w:r>
        <w:rPr>
          <w:color w:val="231F20"/>
          <w:spacing w:val="-2"/>
        </w:rPr>
        <w:t>работе». </w:t>
      </w:r>
      <w:r>
        <w:rPr>
          <w:i/>
          <w:color w:val="231F20"/>
        </w:rPr>
        <w:t>Ситуация 2. </w:t>
      </w:r>
      <w:r>
        <w:rPr>
          <w:color w:val="231F20"/>
        </w:rPr>
        <w:t>Два участника группы держат карточки с заданиями специально так,</w:t>
      </w:r>
    </w:p>
    <w:p>
      <w:pPr>
        <w:pStyle w:val="BodyText"/>
        <w:ind w:right="0" w:firstLine="0"/>
      </w:pPr>
      <w:r>
        <w:rPr>
          <w:color w:val="231F20"/>
        </w:rPr>
        <w:t>что</w:t>
      </w:r>
      <w:r>
        <w:rPr>
          <w:color w:val="231F20"/>
          <w:spacing w:val="-5"/>
        </w:rPr>
        <w:t> </w:t>
      </w:r>
      <w:r>
        <w:rPr>
          <w:color w:val="231F20"/>
        </w:rPr>
        <w:t>ты</w:t>
      </w:r>
      <w:r>
        <w:rPr>
          <w:color w:val="231F20"/>
          <w:spacing w:val="-4"/>
        </w:rPr>
        <w:t> </w:t>
      </w:r>
      <w:r>
        <w:rPr>
          <w:color w:val="231F20"/>
        </w:rPr>
        <w:t>не</w:t>
      </w:r>
      <w:r>
        <w:rPr>
          <w:color w:val="231F20"/>
          <w:spacing w:val="-4"/>
        </w:rPr>
        <w:t> </w:t>
      </w:r>
      <w:r>
        <w:rPr>
          <w:color w:val="231F20"/>
        </w:rPr>
        <w:t>можешь</w:t>
      </w:r>
      <w:r>
        <w:rPr>
          <w:color w:val="231F20"/>
          <w:spacing w:val="-5"/>
        </w:rPr>
        <w:t> </w:t>
      </w:r>
      <w:r>
        <w:rPr>
          <w:color w:val="231F20"/>
        </w:rPr>
        <w:t>разглядеть,</w:t>
      </w:r>
      <w:r>
        <w:rPr>
          <w:color w:val="231F20"/>
          <w:spacing w:val="-4"/>
        </w:rPr>
        <w:t> </w:t>
      </w:r>
      <w:r>
        <w:rPr>
          <w:color w:val="231F20"/>
        </w:rPr>
        <w:t>что</w:t>
      </w:r>
      <w:r>
        <w:rPr>
          <w:color w:val="231F20"/>
          <w:spacing w:val="-4"/>
        </w:rPr>
        <w:t> </w:t>
      </w:r>
      <w:r>
        <w:rPr>
          <w:color w:val="231F20"/>
        </w:rPr>
        <w:t>там</w:t>
      </w:r>
      <w:r>
        <w:rPr>
          <w:color w:val="231F20"/>
          <w:spacing w:val="-4"/>
        </w:rPr>
        <w:t> </w:t>
      </w:r>
      <w:r>
        <w:rPr>
          <w:color w:val="231F20"/>
          <w:spacing w:val="-2"/>
        </w:rPr>
        <w:t>написано.</w:t>
      </w:r>
    </w:p>
    <w:p>
      <w:pPr>
        <w:pStyle w:val="BodyText"/>
        <w:ind w:left="425" w:right="0" w:firstLine="0"/>
      </w:pPr>
      <w:r>
        <w:rPr>
          <w:color w:val="231F20"/>
        </w:rPr>
        <w:t>Реакция</w:t>
      </w:r>
      <w:r>
        <w:rPr>
          <w:color w:val="231F20"/>
          <w:spacing w:val="-4"/>
        </w:rPr>
        <w:t> </w:t>
      </w:r>
      <w:r>
        <w:rPr>
          <w:color w:val="231F20"/>
        </w:rPr>
        <w:t>в</w:t>
      </w:r>
      <w:r>
        <w:rPr>
          <w:color w:val="231F20"/>
          <w:spacing w:val="-3"/>
        </w:rPr>
        <w:t> </w:t>
      </w:r>
      <w:r>
        <w:rPr>
          <w:color w:val="231F20"/>
        </w:rPr>
        <w:t>стиле</w:t>
      </w:r>
      <w:r>
        <w:rPr>
          <w:color w:val="231F20"/>
          <w:spacing w:val="-3"/>
        </w:rPr>
        <w:t> </w:t>
      </w:r>
      <w:r>
        <w:rPr>
          <w:color w:val="231F20"/>
        </w:rPr>
        <w:t>«Ты…»:</w:t>
      </w:r>
      <w:r>
        <w:rPr>
          <w:color w:val="231F20"/>
          <w:spacing w:val="-3"/>
        </w:rPr>
        <w:t> </w:t>
      </w:r>
      <w:r>
        <w:rPr>
          <w:color w:val="231F20"/>
        </w:rPr>
        <w:t>«Вы</w:t>
      </w:r>
      <w:r>
        <w:rPr>
          <w:color w:val="231F20"/>
          <w:spacing w:val="-3"/>
        </w:rPr>
        <w:t> </w:t>
      </w:r>
      <w:r>
        <w:rPr>
          <w:color w:val="231F20"/>
        </w:rPr>
        <w:t>всегда</w:t>
      </w:r>
      <w:r>
        <w:rPr>
          <w:color w:val="231F20"/>
          <w:spacing w:val="-4"/>
        </w:rPr>
        <w:t> </w:t>
      </w:r>
      <w:r>
        <w:rPr>
          <w:color w:val="231F20"/>
        </w:rPr>
        <w:t>мешаете</w:t>
      </w:r>
      <w:r>
        <w:rPr>
          <w:color w:val="231F20"/>
          <w:spacing w:val="-3"/>
        </w:rPr>
        <w:t> </w:t>
      </w:r>
      <w:r>
        <w:rPr>
          <w:color w:val="231F20"/>
        </w:rPr>
        <w:t>мне</w:t>
      </w:r>
      <w:r>
        <w:rPr>
          <w:color w:val="231F20"/>
          <w:spacing w:val="-3"/>
        </w:rPr>
        <w:t> </w:t>
      </w:r>
      <w:r>
        <w:rPr>
          <w:color w:val="231F20"/>
        </w:rPr>
        <w:t>работать</w:t>
      </w:r>
      <w:r>
        <w:rPr>
          <w:color w:val="231F20"/>
          <w:spacing w:val="-3"/>
        </w:rPr>
        <w:t> </w:t>
      </w:r>
      <w:r>
        <w:rPr>
          <w:color w:val="231F20"/>
        </w:rPr>
        <w:t>с</w:t>
      </w:r>
      <w:r>
        <w:rPr>
          <w:color w:val="231F20"/>
          <w:spacing w:val="-3"/>
        </w:rPr>
        <w:t> </w:t>
      </w:r>
      <w:r>
        <w:rPr>
          <w:color w:val="231F20"/>
          <w:spacing w:val="-2"/>
        </w:rPr>
        <w:t>вами».</w:t>
      </w:r>
    </w:p>
    <w:p>
      <w:pPr>
        <w:pStyle w:val="BodyText"/>
        <w:spacing w:line="242" w:lineRule="auto"/>
      </w:pPr>
      <w:r>
        <w:rPr>
          <w:color w:val="231F20"/>
        </w:rPr>
        <w:t>Реакция</w:t>
      </w:r>
      <w:r>
        <w:rPr>
          <w:color w:val="231F20"/>
          <w:spacing w:val="-11"/>
        </w:rPr>
        <w:t> </w:t>
      </w:r>
      <w:r>
        <w:rPr>
          <w:color w:val="231F20"/>
        </w:rPr>
        <w:t>в</w:t>
      </w:r>
      <w:r>
        <w:rPr>
          <w:color w:val="231F20"/>
          <w:spacing w:val="-11"/>
        </w:rPr>
        <w:t> </w:t>
      </w:r>
      <w:r>
        <w:rPr>
          <w:color w:val="231F20"/>
        </w:rPr>
        <w:t>стиле</w:t>
      </w:r>
      <w:r>
        <w:rPr>
          <w:color w:val="231F20"/>
          <w:spacing w:val="-11"/>
        </w:rPr>
        <w:t> </w:t>
      </w:r>
      <w:r>
        <w:rPr>
          <w:color w:val="231F20"/>
        </w:rPr>
        <w:t>«Я</w:t>
      </w:r>
      <w:r>
        <w:rPr>
          <w:color w:val="231F20"/>
          <w:spacing w:val="-11"/>
        </w:rPr>
        <w:t> </w:t>
      </w:r>
      <w:r>
        <w:rPr>
          <w:color w:val="231F20"/>
        </w:rPr>
        <w:t>чувствую»:</w:t>
      </w:r>
      <w:r>
        <w:rPr>
          <w:color w:val="231F20"/>
          <w:spacing w:val="-11"/>
        </w:rPr>
        <w:t> </w:t>
      </w:r>
      <w:r>
        <w:rPr>
          <w:color w:val="231F20"/>
        </w:rPr>
        <w:t>«Я</w:t>
      </w:r>
      <w:r>
        <w:rPr>
          <w:color w:val="231F20"/>
          <w:spacing w:val="-11"/>
        </w:rPr>
        <w:t> </w:t>
      </w:r>
      <w:r>
        <w:rPr>
          <w:color w:val="231F20"/>
        </w:rPr>
        <w:t>чувствую</w:t>
      </w:r>
      <w:r>
        <w:rPr>
          <w:color w:val="231F20"/>
          <w:spacing w:val="-11"/>
        </w:rPr>
        <w:t> </w:t>
      </w:r>
      <w:r>
        <w:rPr>
          <w:color w:val="231F20"/>
        </w:rPr>
        <w:t>себя</w:t>
      </w:r>
      <w:r>
        <w:rPr>
          <w:color w:val="231F20"/>
          <w:spacing w:val="-11"/>
        </w:rPr>
        <w:t> </w:t>
      </w:r>
      <w:r>
        <w:rPr>
          <w:color w:val="231F20"/>
        </w:rPr>
        <w:t>в</w:t>
      </w:r>
      <w:r>
        <w:rPr>
          <w:color w:val="231F20"/>
          <w:spacing w:val="-11"/>
        </w:rPr>
        <w:t> </w:t>
      </w:r>
      <w:r>
        <w:rPr>
          <w:color w:val="231F20"/>
        </w:rPr>
        <w:t>изоляции</w:t>
      </w:r>
      <w:r>
        <w:rPr>
          <w:color w:val="231F20"/>
          <w:spacing w:val="-11"/>
        </w:rPr>
        <w:t> </w:t>
      </w:r>
      <w:r>
        <w:rPr>
          <w:color w:val="231F20"/>
        </w:rPr>
        <w:t>всякий</w:t>
      </w:r>
      <w:r>
        <w:rPr>
          <w:color w:val="231F20"/>
          <w:spacing w:val="-11"/>
        </w:rPr>
        <w:t> </w:t>
      </w:r>
      <w:r>
        <w:rPr>
          <w:color w:val="231F20"/>
        </w:rPr>
        <w:t>раз,</w:t>
      </w:r>
      <w:r>
        <w:rPr>
          <w:color w:val="231F20"/>
          <w:spacing w:val="-11"/>
        </w:rPr>
        <w:t> </w:t>
      </w:r>
      <w:r>
        <w:rPr>
          <w:color w:val="231F20"/>
        </w:rPr>
        <w:t>когда</w:t>
      </w:r>
      <w:r>
        <w:rPr>
          <w:color w:val="231F20"/>
          <w:spacing w:val="-11"/>
        </w:rPr>
        <w:t> </w:t>
      </w:r>
      <w:r>
        <w:rPr>
          <w:color w:val="231F20"/>
        </w:rPr>
        <w:t>вы, ребята,</w:t>
      </w:r>
      <w:r>
        <w:rPr>
          <w:color w:val="231F20"/>
          <w:spacing w:val="-3"/>
        </w:rPr>
        <w:t> </w:t>
      </w:r>
      <w:r>
        <w:rPr>
          <w:color w:val="231F20"/>
        </w:rPr>
        <w:t>прячете</w:t>
      </w:r>
      <w:r>
        <w:rPr>
          <w:color w:val="231F20"/>
          <w:spacing w:val="-3"/>
        </w:rPr>
        <w:t> </w:t>
      </w:r>
      <w:r>
        <w:rPr>
          <w:color w:val="231F20"/>
        </w:rPr>
        <w:t>от</w:t>
      </w:r>
      <w:r>
        <w:rPr>
          <w:color w:val="231F20"/>
          <w:spacing w:val="-3"/>
        </w:rPr>
        <w:t> </w:t>
      </w:r>
      <w:r>
        <w:rPr>
          <w:color w:val="231F20"/>
        </w:rPr>
        <w:t>меня</w:t>
      </w:r>
      <w:r>
        <w:rPr>
          <w:color w:val="231F20"/>
          <w:spacing w:val="-3"/>
        </w:rPr>
        <w:t> </w:t>
      </w:r>
      <w:r>
        <w:rPr>
          <w:color w:val="231F20"/>
        </w:rPr>
        <w:t>карточки,</w:t>
      </w:r>
      <w:r>
        <w:rPr>
          <w:color w:val="231F20"/>
          <w:spacing w:val="-3"/>
        </w:rPr>
        <w:t> </w:t>
      </w:r>
      <w:r>
        <w:rPr>
          <w:color w:val="231F20"/>
        </w:rPr>
        <w:t>поскольку</w:t>
      </w:r>
      <w:r>
        <w:rPr>
          <w:color w:val="231F20"/>
          <w:spacing w:val="-3"/>
        </w:rPr>
        <w:t> </w:t>
      </w:r>
      <w:r>
        <w:rPr>
          <w:color w:val="231F20"/>
        </w:rPr>
        <w:t>в</w:t>
      </w:r>
      <w:r>
        <w:rPr>
          <w:color w:val="231F20"/>
          <w:spacing w:val="-3"/>
        </w:rPr>
        <w:t> </w:t>
      </w:r>
      <w:r>
        <w:rPr>
          <w:color w:val="231F20"/>
        </w:rPr>
        <w:t>этом</w:t>
      </w:r>
      <w:r>
        <w:rPr>
          <w:color w:val="231F20"/>
          <w:spacing w:val="-3"/>
        </w:rPr>
        <w:t> </w:t>
      </w:r>
      <w:r>
        <w:rPr>
          <w:color w:val="231F20"/>
        </w:rPr>
        <w:t>случае</w:t>
      </w:r>
      <w:r>
        <w:rPr>
          <w:color w:val="231F20"/>
          <w:spacing w:val="-3"/>
        </w:rPr>
        <w:t> </w:t>
      </w:r>
      <w:r>
        <w:rPr>
          <w:color w:val="231F20"/>
        </w:rPr>
        <w:t>я</w:t>
      </w:r>
      <w:r>
        <w:rPr>
          <w:color w:val="231F20"/>
          <w:spacing w:val="-3"/>
        </w:rPr>
        <w:t> </w:t>
      </w:r>
      <w:r>
        <w:rPr>
          <w:color w:val="231F20"/>
        </w:rPr>
        <w:t>не</w:t>
      </w:r>
      <w:r>
        <w:rPr>
          <w:color w:val="231F20"/>
          <w:spacing w:val="-3"/>
        </w:rPr>
        <w:t> </w:t>
      </w:r>
      <w:r>
        <w:rPr>
          <w:color w:val="231F20"/>
        </w:rPr>
        <w:t>понимаю,</w:t>
      </w:r>
      <w:r>
        <w:rPr>
          <w:color w:val="231F20"/>
          <w:spacing w:val="-3"/>
        </w:rPr>
        <w:t> </w:t>
      </w:r>
      <w:r>
        <w:rPr>
          <w:color w:val="231F20"/>
        </w:rPr>
        <w:t>что</w:t>
      </w:r>
      <w:r>
        <w:rPr>
          <w:color w:val="231F20"/>
          <w:spacing w:val="-3"/>
        </w:rPr>
        <w:t> </w:t>
      </w:r>
      <w:r>
        <w:rPr>
          <w:color w:val="231F20"/>
        </w:rPr>
        <w:t>делает наша группа».</w:t>
      </w:r>
    </w:p>
    <w:p>
      <w:pPr>
        <w:pStyle w:val="BodyText"/>
        <w:spacing w:line="242" w:lineRule="auto"/>
      </w:pPr>
      <w:r>
        <w:rPr>
          <w:i/>
          <w:color w:val="231F20"/>
        </w:rPr>
        <w:t>Ситуация 3. </w:t>
      </w:r>
      <w:r>
        <w:rPr>
          <w:color w:val="231F20"/>
        </w:rPr>
        <w:t>Один из участников группы занимается тем, что бросает бумажки в участников другой группы и переговаривается с ними через весь класс.</w:t>
      </w:r>
    </w:p>
    <w:p>
      <w:pPr>
        <w:pStyle w:val="BodyText"/>
        <w:spacing w:line="229" w:lineRule="exact"/>
        <w:ind w:left="425" w:right="0" w:firstLine="0"/>
      </w:pPr>
      <w:r>
        <w:rPr>
          <w:color w:val="231F20"/>
        </w:rPr>
        <w:t>Реакция</w:t>
      </w:r>
      <w:r>
        <w:rPr>
          <w:color w:val="231F20"/>
          <w:spacing w:val="-9"/>
        </w:rPr>
        <w:t> </w:t>
      </w:r>
      <w:r>
        <w:rPr>
          <w:color w:val="231F20"/>
        </w:rPr>
        <w:t>в</w:t>
      </w:r>
      <w:r>
        <w:rPr>
          <w:color w:val="231F20"/>
          <w:spacing w:val="-7"/>
        </w:rPr>
        <w:t> </w:t>
      </w:r>
      <w:r>
        <w:rPr>
          <w:color w:val="231F20"/>
        </w:rPr>
        <w:t>стиле</w:t>
      </w:r>
      <w:r>
        <w:rPr>
          <w:color w:val="231F20"/>
          <w:spacing w:val="-7"/>
        </w:rPr>
        <w:t> </w:t>
      </w:r>
      <w:r>
        <w:rPr>
          <w:color w:val="231F20"/>
        </w:rPr>
        <w:t>«Ты…»:</w:t>
      </w:r>
      <w:r>
        <w:rPr>
          <w:color w:val="231F20"/>
          <w:spacing w:val="-6"/>
        </w:rPr>
        <w:t> </w:t>
      </w:r>
      <w:r>
        <w:rPr>
          <w:color w:val="231F20"/>
        </w:rPr>
        <w:t>«Ты</w:t>
      </w:r>
      <w:r>
        <w:rPr>
          <w:color w:val="231F20"/>
          <w:spacing w:val="-7"/>
        </w:rPr>
        <w:t> </w:t>
      </w:r>
      <w:r>
        <w:rPr>
          <w:color w:val="231F20"/>
        </w:rPr>
        <w:t>всегда</w:t>
      </w:r>
      <w:r>
        <w:rPr>
          <w:color w:val="231F20"/>
          <w:spacing w:val="-6"/>
        </w:rPr>
        <w:t> </w:t>
      </w:r>
      <w:r>
        <w:rPr>
          <w:color w:val="231F20"/>
        </w:rPr>
        <w:t>мешаешь,</w:t>
      </w:r>
      <w:r>
        <w:rPr>
          <w:color w:val="231F20"/>
          <w:spacing w:val="-7"/>
        </w:rPr>
        <w:t> </w:t>
      </w:r>
      <w:r>
        <w:rPr>
          <w:color w:val="231F20"/>
        </w:rPr>
        <w:t>когда</w:t>
      </w:r>
      <w:r>
        <w:rPr>
          <w:color w:val="231F20"/>
          <w:spacing w:val="-6"/>
        </w:rPr>
        <w:t> </w:t>
      </w:r>
      <w:r>
        <w:rPr>
          <w:color w:val="231F20"/>
        </w:rPr>
        <w:t>нужно</w:t>
      </w:r>
      <w:r>
        <w:rPr>
          <w:color w:val="231F20"/>
          <w:spacing w:val="-6"/>
        </w:rPr>
        <w:t> </w:t>
      </w:r>
      <w:r>
        <w:rPr>
          <w:color w:val="231F20"/>
          <w:spacing w:val="-2"/>
        </w:rPr>
        <w:t>помочь».</w:t>
      </w:r>
    </w:p>
    <w:p>
      <w:pPr>
        <w:pStyle w:val="BodyText"/>
        <w:spacing w:line="242" w:lineRule="auto" w:before="2"/>
      </w:pPr>
      <w:r>
        <w:rPr>
          <w:color w:val="231F20"/>
        </w:rPr>
        <w:t>Реакция</w:t>
      </w:r>
      <w:r>
        <w:rPr>
          <w:color w:val="231F20"/>
          <w:spacing w:val="-7"/>
        </w:rPr>
        <w:t> </w:t>
      </w:r>
      <w:r>
        <w:rPr>
          <w:color w:val="231F20"/>
        </w:rPr>
        <w:t>в</w:t>
      </w:r>
      <w:r>
        <w:rPr>
          <w:color w:val="231F20"/>
          <w:spacing w:val="-7"/>
        </w:rPr>
        <w:t> </w:t>
      </w:r>
      <w:r>
        <w:rPr>
          <w:color w:val="231F20"/>
        </w:rPr>
        <w:t>стиле</w:t>
      </w:r>
      <w:r>
        <w:rPr>
          <w:color w:val="231F20"/>
          <w:spacing w:val="-7"/>
        </w:rPr>
        <w:t> </w:t>
      </w:r>
      <w:r>
        <w:rPr>
          <w:color w:val="231F20"/>
        </w:rPr>
        <w:t>«Я</w:t>
      </w:r>
      <w:r>
        <w:rPr>
          <w:color w:val="231F20"/>
          <w:spacing w:val="-7"/>
        </w:rPr>
        <w:t> </w:t>
      </w:r>
      <w:r>
        <w:rPr>
          <w:color w:val="231F20"/>
        </w:rPr>
        <w:t>чувствую»:</w:t>
      </w:r>
      <w:r>
        <w:rPr>
          <w:color w:val="231F20"/>
          <w:spacing w:val="-7"/>
        </w:rPr>
        <w:t> </w:t>
      </w:r>
      <w:r>
        <w:rPr>
          <w:color w:val="231F20"/>
        </w:rPr>
        <w:t>«Когда</w:t>
      </w:r>
      <w:r>
        <w:rPr>
          <w:color w:val="231F20"/>
          <w:spacing w:val="-7"/>
        </w:rPr>
        <w:t> </w:t>
      </w:r>
      <w:r>
        <w:rPr>
          <w:color w:val="231F20"/>
        </w:rPr>
        <w:t>ты</w:t>
      </w:r>
      <w:r>
        <w:rPr>
          <w:color w:val="231F20"/>
          <w:spacing w:val="-7"/>
        </w:rPr>
        <w:t> </w:t>
      </w:r>
      <w:r>
        <w:rPr>
          <w:color w:val="231F20"/>
        </w:rPr>
        <w:t>начинаешь</w:t>
      </w:r>
      <w:r>
        <w:rPr>
          <w:color w:val="231F20"/>
          <w:spacing w:val="-7"/>
        </w:rPr>
        <w:t> </w:t>
      </w:r>
      <w:r>
        <w:rPr>
          <w:color w:val="231F20"/>
        </w:rPr>
        <w:t>отвлекаться</w:t>
      </w:r>
      <w:r>
        <w:rPr>
          <w:color w:val="231F20"/>
          <w:spacing w:val="-7"/>
        </w:rPr>
        <w:t> </w:t>
      </w:r>
      <w:r>
        <w:rPr>
          <w:color w:val="231F20"/>
        </w:rPr>
        <w:t>на</w:t>
      </w:r>
      <w:r>
        <w:rPr>
          <w:color w:val="231F20"/>
          <w:spacing w:val="-7"/>
        </w:rPr>
        <w:t> </w:t>
      </w:r>
      <w:r>
        <w:rPr>
          <w:color w:val="231F20"/>
        </w:rPr>
        <w:t>другие</w:t>
      </w:r>
      <w:r>
        <w:rPr>
          <w:color w:val="231F20"/>
          <w:spacing w:val="-7"/>
        </w:rPr>
        <w:t> </w:t>
      </w:r>
      <w:r>
        <w:rPr>
          <w:color w:val="231F20"/>
        </w:rPr>
        <w:t>груп- пы,</w:t>
      </w:r>
      <w:r>
        <w:rPr>
          <w:color w:val="231F20"/>
          <w:spacing w:val="-6"/>
        </w:rPr>
        <w:t> </w:t>
      </w:r>
      <w:r>
        <w:rPr>
          <w:color w:val="231F20"/>
        </w:rPr>
        <w:t>я</w:t>
      </w:r>
      <w:r>
        <w:rPr>
          <w:color w:val="231F20"/>
          <w:spacing w:val="-6"/>
        </w:rPr>
        <w:t> </w:t>
      </w:r>
      <w:r>
        <w:rPr>
          <w:color w:val="231F20"/>
        </w:rPr>
        <w:t>чувствую,</w:t>
      </w:r>
      <w:r>
        <w:rPr>
          <w:color w:val="231F20"/>
          <w:spacing w:val="-6"/>
        </w:rPr>
        <w:t> </w:t>
      </w:r>
      <w:r>
        <w:rPr>
          <w:color w:val="231F20"/>
        </w:rPr>
        <w:t>как</w:t>
      </w:r>
      <w:r>
        <w:rPr>
          <w:color w:val="231F20"/>
          <w:spacing w:val="-6"/>
        </w:rPr>
        <w:t> </w:t>
      </w:r>
      <w:r>
        <w:rPr>
          <w:color w:val="231F20"/>
        </w:rPr>
        <w:t>это</w:t>
      </w:r>
      <w:r>
        <w:rPr>
          <w:color w:val="231F20"/>
          <w:spacing w:val="-6"/>
        </w:rPr>
        <w:t> </w:t>
      </w:r>
      <w:r>
        <w:rPr>
          <w:color w:val="231F20"/>
        </w:rPr>
        <w:t>меня</w:t>
      </w:r>
      <w:r>
        <w:rPr>
          <w:color w:val="231F20"/>
          <w:spacing w:val="-6"/>
        </w:rPr>
        <w:t> </w:t>
      </w:r>
      <w:r>
        <w:rPr>
          <w:color w:val="231F20"/>
        </w:rPr>
        <w:t>расстраивает,</w:t>
      </w:r>
      <w:r>
        <w:rPr>
          <w:color w:val="231F20"/>
          <w:spacing w:val="-6"/>
        </w:rPr>
        <w:t> </w:t>
      </w:r>
      <w:r>
        <w:rPr>
          <w:color w:val="231F20"/>
        </w:rPr>
        <w:t>потому</w:t>
      </w:r>
      <w:r>
        <w:rPr>
          <w:color w:val="231F20"/>
          <w:spacing w:val="-6"/>
        </w:rPr>
        <w:t> </w:t>
      </w:r>
      <w:r>
        <w:rPr>
          <w:color w:val="231F20"/>
        </w:rPr>
        <w:t>что</w:t>
      </w:r>
      <w:r>
        <w:rPr>
          <w:color w:val="231F20"/>
          <w:spacing w:val="-6"/>
        </w:rPr>
        <w:t> </w:t>
      </w:r>
      <w:r>
        <w:rPr>
          <w:color w:val="231F20"/>
        </w:rPr>
        <w:t>для</w:t>
      </w:r>
      <w:r>
        <w:rPr>
          <w:color w:val="231F20"/>
          <w:spacing w:val="-6"/>
        </w:rPr>
        <w:t> </w:t>
      </w:r>
      <w:r>
        <w:rPr>
          <w:color w:val="231F20"/>
        </w:rPr>
        <w:t>выполнения</w:t>
      </w:r>
      <w:r>
        <w:rPr>
          <w:color w:val="231F20"/>
          <w:spacing w:val="-6"/>
        </w:rPr>
        <w:t> </w:t>
      </w:r>
      <w:r>
        <w:rPr>
          <w:color w:val="231F20"/>
        </w:rPr>
        <w:t>нашего</w:t>
      </w:r>
      <w:r>
        <w:rPr>
          <w:color w:val="231F20"/>
          <w:spacing w:val="-6"/>
        </w:rPr>
        <w:t> </w:t>
      </w:r>
      <w:r>
        <w:rPr>
          <w:color w:val="231F20"/>
        </w:rPr>
        <w:t>груп- пового задания нам нужно заинтересованное участие каждого члена группы».</w:t>
      </w:r>
    </w:p>
    <w:p>
      <w:pPr>
        <w:pStyle w:val="BodyText"/>
      </w:pPr>
      <w:r>
        <w:rPr>
          <w:color w:val="231F20"/>
        </w:rPr>
        <w:t>При работе в группе ее участникам важно уметь не только выражать свои чув- ства по отношению к действиям других участников, но и уметь переводить негатив- ный</w:t>
      </w:r>
      <w:r>
        <w:rPr>
          <w:color w:val="231F20"/>
          <w:spacing w:val="-10"/>
        </w:rPr>
        <w:t> </w:t>
      </w:r>
      <w:r>
        <w:rPr>
          <w:color w:val="231F20"/>
        </w:rPr>
        <w:t>комментарий</w:t>
      </w:r>
      <w:r>
        <w:rPr>
          <w:color w:val="231F20"/>
          <w:spacing w:val="-10"/>
        </w:rPr>
        <w:t> </w:t>
      </w:r>
      <w:r>
        <w:rPr>
          <w:color w:val="231F20"/>
        </w:rPr>
        <w:t>в</w:t>
      </w:r>
      <w:r>
        <w:rPr>
          <w:color w:val="231F20"/>
          <w:spacing w:val="-10"/>
        </w:rPr>
        <w:t> </w:t>
      </w:r>
      <w:r>
        <w:rPr>
          <w:color w:val="231F20"/>
        </w:rPr>
        <w:t>позитивную</w:t>
      </w:r>
      <w:r>
        <w:rPr>
          <w:color w:val="231F20"/>
          <w:spacing w:val="-10"/>
        </w:rPr>
        <w:t> </w:t>
      </w:r>
      <w:r>
        <w:rPr>
          <w:color w:val="231F20"/>
        </w:rPr>
        <w:t>и</w:t>
      </w:r>
      <w:r>
        <w:rPr>
          <w:color w:val="231F20"/>
          <w:spacing w:val="-10"/>
        </w:rPr>
        <w:t> </w:t>
      </w:r>
      <w:r>
        <w:rPr>
          <w:color w:val="231F20"/>
        </w:rPr>
        <w:t>конструктивно</w:t>
      </w:r>
      <w:r>
        <w:rPr>
          <w:color w:val="231F20"/>
          <w:spacing w:val="-10"/>
        </w:rPr>
        <w:t> </w:t>
      </w:r>
      <w:r>
        <w:rPr>
          <w:color w:val="231F20"/>
        </w:rPr>
        <w:t>действенную</w:t>
      </w:r>
      <w:r>
        <w:rPr>
          <w:color w:val="231F20"/>
          <w:spacing w:val="-10"/>
        </w:rPr>
        <w:t> </w:t>
      </w:r>
      <w:r>
        <w:rPr>
          <w:color w:val="231F20"/>
        </w:rPr>
        <w:t>просьбу.</w:t>
      </w:r>
      <w:r>
        <w:rPr>
          <w:color w:val="231F20"/>
          <w:spacing w:val="-10"/>
        </w:rPr>
        <w:t> </w:t>
      </w:r>
      <w:r>
        <w:rPr>
          <w:color w:val="231F20"/>
        </w:rPr>
        <w:t>Позитивные просьбы, как правило, начинаются со слов: «Я хотел бы, чтобы ты…», «Мне очень важно, чтобы ты…», «Мне нужно, чтобы ты…». Возможно, эти фразы покажутся современным детям очень формальными, а впоследствии они даже перефразируют их, но главное – они задумаются, как по-разному можно сформулировать, казалось бы, одно и то же.</w:t>
      </w:r>
    </w:p>
    <w:p>
      <w:pPr>
        <w:pStyle w:val="BodyText"/>
        <w:spacing w:before="60"/>
        <w:ind w:left="425" w:right="0" w:firstLine="0"/>
        <w:jc w:val="left"/>
      </w:pPr>
      <w:r>
        <w:rPr>
          <w:color w:val="231F20"/>
        </w:rPr>
        <w:t>Предложите</w:t>
      </w:r>
      <w:r>
        <w:rPr>
          <w:color w:val="231F20"/>
          <w:spacing w:val="-7"/>
        </w:rPr>
        <w:t> </w:t>
      </w:r>
      <w:r>
        <w:rPr>
          <w:color w:val="231F20"/>
        </w:rPr>
        <w:t>учащимся</w:t>
      </w:r>
      <w:r>
        <w:rPr>
          <w:color w:val="231F20"/>
          <w:spacing w:val="-4"/>
        </w:rPr>
        <w:t> </w:t>
      </w:r>
      <w:r>
        <w:rPr>
          <w:color w:val="231F20"/>
        </w:rPr>
        <w:t>сравнить</w:t>
      </w:r>
      <w:r>
        <w:rPr>
          <w:color w:val="231F20"/>
          <w:spacing w:val="-6"/>
        </w:rPr>
        <w:t> </w:t>
      </w:r>
      <w:r>
        <w:rPr>
          <w:color w:val="231F20"/>
        </w:rPr>
        <w:t>следующие</w:t>
      </w:r>
      <w:r>
        <w:rPr>
          <w:color w:val="231F20"/>
          <w:spacing w:val="-4"/>
        </w:rPr>
        <w:t> </w:t>
      </w:r>
      <w:r>
        <w:rPr>
          <w:color w:val="231F20"/>
        </w:rPr>
        <w:t>варианты</w:t>
      </w:r>
      <w:r>
        <w:rPr>
          <w:color w:val="231F20"/>
          <w:spacing w:val="-4"/>
        </w:rPr>
        <w:t> </w:t>
      </w:r>
      <w:r>
        <w:rPr>
          <w:color w:val="231F20"/>
          <w:spacing w:val="-2"/>
        </w:rPr>
        <w:t>просьб.</w:t>
      </w:r>
    </w:p>
    <w:p>
      <w:pPr>
        <w:spacing w:before="0"/>
        <w:ind w:left="425" w:right="0" w:firstLine="0"/>
        <w:jc w:val="left"/>
        <w:rPr>
          <w:sz w:val="20"/>
        </w:rPr>
      </w:pPr>
      <w:r>
        <w:rPr>
          <w:b/>
          <w:i/>
          <w:color w:val="231F20"/>
          <w:sz w:val="20"/>
        </w:rPr>
        <w:t>А.</w:t>
      </w:r>
      <w:r>
        <w:rPr>
          <w:b/>
          <w:i/>
          <w:color w:val="231F20"/>
          <w:spacing w:val="-2"/>
          <w:sz w:val="20"/>
        </w:rPr>
        <w:t> </w:t>
      </w:r>
      <w:r>
        <w:rPr>
          <w:i/>
          <w:color w:val="231F20"/>
          <w:sz w:val="20"/>
        </w:rPr>
        <w:t>Негативная:</w:t>
      </w:r>
      <w:r>
        <w:rPr>
          <w:i/>
          <w:color w:val="231F20"/>
          <w:spacing w:val="-2"/>
          <w:sz w:val="20"/>
        </w:rPr>
        <w:t> </w:t>
      </w:r>
      <w:r>
        <w:rPr>
          <w:color w:val="231F20"/>
          <w:sz w:val="20"/>
        </w:rPr>
        <w:t>«Прекрати</w:t>
      </w:r>
      <w:r>
        <w:rPr>
          <w:color w:val="231F20"/>
          <w:spacing w:val="-3"/>
          <w:sz w:val="20"/>
        </w:rPr>
        <w:t> </w:t>
      </w:r>
      <w:r>
        <w:rPr>
          <w:color w:val="231F20"/>
          <w:sz w:val="20"/>
        </w:rPr>
        <w:t>меня</w:t>
      </w:r>
      <w:r>
        <w:rPr>
          <w:color w:val="231F20"/>
          <w:spacing w:val="-1"/>
          <w:sz w:val="20"/>
        </w:rPr>
        <w:t> </w:t>
      </w:r>
      <w:r>
        <w:rPr>
          <w:color w:val="231F20"/>
          <w:spacing w:val="-2"/>
          <w:sz w:val="20"/>
        </w:rPr>
        <w:t>перебивать».</w:t>
      </w:r>
    </w:p>
    <w:p>
      <w:pPr>
        <w:spacing w:before="0"/>
        <w:ind w:left="425" w:right="0" w:firstLine="0"/>
        <w:jc w:val="left"/>
        <w:rPr>
          <w:sz w:val="20"/>
        </w:rPr>
      </w:pPr>
      <w:r>
        <w:rPr>
          <w:i/>
          <w:color w:val="231F20"/>
          <w:sz w:val="20"/>
        </w:rPr>
        <w:t>Нейтральная:</w:t>
      </w:r>
      <w:r>
        <w:rPr>
          <w:i/>
          <w:color w:val="231F20"/>
          <w:spacing w:val="-7"/>
          <w:sz w:val="20"/>
        </w:rPr>
        <w:t> </w:t>
      </w:r>
      <w:r>
        <w:rPr>
          <w:color w:val="231F20"/>
          <w:sz w:val="20"/>
        </w:rPr>
        <w:t>«Я</w:t>
      </w:r>
      <w:r>
        <w:rPr>
          <w:color w:val="231F20"/>
          <w:spacing w:val="-6"/>
          <w:sz w:val="20"/>
        </w:rPr>
        <w:t> </w:t>
      </w:r>
      <w:r>
        <w:rPr>
          <w:color w:val="231F20"/>
          <w:sz w:val="20"/>
        </w:rPr>
        <w:t>хочу,</w:t>
      </w:r>
      <w:r>
        <w:rPr>
          <w:color w:val="231F20"/>
          <w:spacing w:val="-6"/>
          <w:sz w:val="20"/>
        </w:rPr>
        <w:t> </w:t>
      </w:r>
      <w:r>
        <w:rPr>
          <w:color w:val="231F20"/>
          <w:sz w:val="20"/>
        </w:rPr>
        <w:t>чтобы</w:t>
      </w:r>
      <w:r>
        <w:rPr>
          <w:color w:val="231F20"/>
          <w:spacing w:val="-7"/>
          <w:sz w:val="20"/>
        </w:rPr>
        <w:t> </w:t>
      </w:r>
      <w:r>
        <w:rPr>
          <w:color w:val="231F20"/>
          <w:sz w:val="20"/>
        </w:rPr>
        <w:t>ты</w:t>
      </w:r>
      <w:r>
        <w:rPr>
          <w:color w:val="231F20"/>
          <w:spacing w:val="-6"/>
          <w:sz w:val="20"/>
        </w:rPr>
        <w:t> </w:t>
      </w:r>
      <w:r>
        <w:rPr>
          <w:color w:val="231F20"/>
          <w:sz w:val="20"/>
        </w:rPr>
        <w:t>меня</w:t>
      </w:r>
      <w:r>
        <w:rPr>
          <w:color w:val="231F20"/>
          <w:spacing w:val="-6"/>
          <w:sz w:val="20"/>
        </w:rPr>
        <w:t> </w:t>
      </w:r>
      <w:r>
        <w:rPr>
          <w:color w:val="231F20"/>
          <w:spacing w:val="-2"/>
          <w:sz w:val="20"/>
        </w:rPr>
        <w:t>услышал».</w:t>
      </w:r>
    </w:p>
    <w:p>
      <w:pPr>
        <w:spacing w:before="0"/>
        <w:ind w:left="141" w:right="0" w:firstLine="283"/>
        <w:jc w:val="left"/>
        <w:rPr>
          <w:sz w:val="20"/>
        </w:rPr>
      </w:pPr>
      <w:r>
        <w:rPr>
          <w:i/>
          <w:color w:val="231F20"/>
          <w:sz w:val="20"/>
        </w:rPr>
        <w:t>Позитивная и специфическая: </w:t>
      </w:r>
      <w:r>
        <w:rPr>
          <w:color w:val="231F20"/>
          <w:sz w:val="20"/>
        </w:rPr>
        <w:t>«Я хочу, чтобы ты подождал, пока я не закончу, а потом уже можешь сказать все, что хочешь».</w:t>
      </w:r>
    </w:p>
    <w:p>
      <w:pPr>
        <w:spacing w:line="224" w:lineRule="exact" w:before="0"/>
        <w:ind w:left="425" w:right="0" w:firstLine="0"/>
        <w:jc w:val="left"/>
        <w:rPr>
          <w:sz w:val="20"/>
        </w:rPr>
      </w:pPr>
      <w:r>
        <w:rPr>
          <w:b/>
          <w:i/>
          <w:color w:val="231F20"/>
          <w:sz w:val="20"/>
        </w:rPr>
        <w:t>Б.</w:t>
      </w:r>
      <w:r>
        <w:rPr>
          <w:b/>
          <w:i/>
          <w:color w:val="231F20"/>
          <w:spacing w:val="-3"/>
          <w:sz w:val="20"/>
        </w:rPr>
        <w:t> </w:t>
      </w:r>
      <w:r>
        <w:rPr>
          <w:i/>
          <w:color w:val="231F20"/>
          <w:sz w:val="20"/>
        </w:rPr>
        <w:t>Негативная:</w:t>
      </w:r>
      <w:r>
        <w:rPr>
          <w:i/>
          <w:color w:val="231F20"/>
          <w:spacing w:val="-3"/>
          <w:sz w:val="20"/>
        </w:rPr>
        <w:t> </w:t>
      </w:r>
      <w:r>
        <w:rPr>
          <w:color w:val="231F20"/>
          <w:sz w:val="20"/>
        </w:rPr>
        <w:t>«Прекрати</w:t>
      </w:r>
      <w:r>
        <w:rPr>
          <w:color w:val="231F20"/>
          <w:spacing w:val="-3"/>
          <w:sz w:val="20"/>
        </w:rPr>
        <w:t> </w:t>
      </w:r>
      <w:r>
        <w:rPr>
          <w:color w:val="231F20"/>
          <w:sz w:val="20"/>
        </w:rPr>
        <w:t>прятать</w:t>
      </w:r>
      <w:r>
        <w:rPr>
          <w:color w:val="231F20"/>
          <w:spacing w:val="-3"/>
          <w:sz w:val="20"/>
        </w:rPr>
        <w:t> </w:t>
      </w:r>
      <w:r>
        <w:rPr>
          <w:color w:val="231F20"/>
          <w:sz w:val="20"/>
        </w:rPr>
        <w:t>от</w:t>
      </w:r>
      <w:r>
        <w:rPr>
          <w:color w:val="231F20"/>
          <w:spacing w:val="-3"/>
          <w:sz w:val="20"/>
        </w:rPr>
        <w:t> </w:t>
      </w:r>
      <w:r>
        <w:rPr>
          <w:color w:val="231F20"/>
          <w:sz w:val="20"/>
        </w:rPr>
        <w:t>меня</w:t>
      </w:r>
      <w:r>
        <w:rPr>
          <w:color w:val="231F20"/>
          <w:spacing w:val="-2"/>
          <w:sz w:val="20"/>
        </w:rPr>
        <w:t> карточки».</w:t>
      </w:r>
    </w:p>
    <w:p>
      <w:pPr>
        <w:spacing w:line="228" w:lineRule="exact" w:before="0"/>
        <w:ind w:left="425" w:right="0" w:firstLine="0"/>
        <w:jc w:val="left"/>
        <w:rPr>
          <w:sz w:val="20"/>
        </w:rPr>
      </w:pPr>
      <w:r>
        <w:rPr>
          <w:i/>
          <w:color w:val="231F20"/>
          <w:sz w:val="20"/>
        </w:rPr>
        <w:t>Нейтральная:</w:t>
      </w:r>
      <w:r>
        <w:rPr>
          <w:i/>
          <w:color w:val="231F20"/>
          <w:spacing w:val="-6"/>
          <w:sz w:val="20"/>
        </w:rPr>
        <w:t> </w:t>
      </w:r>
      <w:r>
        <w:rPr>
          <w:color w:val="231F20"/>
          <w:sz w:val="20"/>
        </w:rPr>
        <w:t>«Я</w:t>
      </w:r>
      <w:r>
        <w:rPr>
          <w:color w:val="231F20"/>
          <w:spacing w:val="-6"/>
          <w:sz w:val="20"/>
        </w:rPr>
        <w:t> </w:t>
      </w:r>
      <w:r>
        <w:rPr>
          <w:color w:val="231F20"/>
          <w:sz w:val="20"/>
        </w:rPr>
        <w:t>хочу,</w:t>
      </w:r>
      <w:r>
        <w:rPr>
          <w:color w:val="231F20"/>
          <w:spacing w:val="-6"/>
          <w:sz w:val="20"/>
        </w:rPr>
        <w:t> </w:t>
      </w:r>
      <w:r>
        <w:rPr>
          <w:color w:val="231F20"/>
          <w:sz w:val="20"/>
        </w:rPr>
        <w:t>чтобы</w:t>
      </w:r>
      <w:r>
        <w:rPr>
          <w:color w:val="231F20"/>
          <w:spacing w:val="-6"/>
          <w:sz w:val="20"/>
        </w:rPr>
        <w:t> </w:t>
      </w:r>
      <w:r>
        <w:rPr>
          <w:color w:val="231F20"/>
          <w:sz w:val="20"/>
        </w:rPr>
        <w:t>ты</w:t>
      </w:r>
      <w:r>
        <w:rPr>
          <w:color w:val="231F20"/>
          <w:spacing w:val="-6"/>
          <w:sz w:val="20"/>
        </w:rPr>
        <w:t> </w:t>
      </w:r>
      <w:r>
        <w:rPr>
          <w:color w:val="231F20"/>
          <w:sz w:val="20"/>
        </w:rPr>
        <w:t>поделился</w:t>
      </w:r>
      <w:r>
        <w:rPr>
          <w:color w:val="231F20"/>
          <w:spacing w:val="-6"/>
          <w:sz w:val="20"/>
        </w:rPr>
        <w:t> </w:t>
      </w:r>
      <w:r>
        <w:rPr>
          <w:color w:val="231F20"/>
          <w:sz w:val="20"/>
        </w:rPr>
        <w:t>со</w:t>
      </w:r>
      <w:r>
        <w:rPr>
          <w:color w:val="231F20"/>
          <w:spacing w:val="-6"/>
          <w:sz w:val="20"/>
        </w:rPr>
        <w:t> </w:t>
      </w:r>
      <w:r>
        <w:rPr>
          <w:color w:val="231F20"/>
          <w:sz w:val="20"/>
        </w:rPr>
        <w:t>мной</w:t>
      </w:r>
      <w:r>
        <w:rPr>
          <w:color w:val="231F20"/>
          <w:spacing w:val="-6"/>
          <w:sz w:val="20"/>
        </w:rPr>
        <w:t> </w:t>
      </w:r>
      <w:r>
        <w:rPr>
          <w:color w:val="231F20"/>
          <w:spacing w:val="-2"/>
          <w:sz w:val="20"/>
        </w:rPr>
        <w:t>карточками».</w:t>
      </w:r>
    </w:p>
    <w:p>
      <w:pPr>
        <w:spacing w:after="0" w:line="228" w:lineRule="exact"/>
        <w:jc w:val="left"/>
        <w:rPr>
          <w:sz w:val="20"/>
        </w:rPr>
        <w:sectPr>
          <w:pgSz w:w="8400" w:h="11910"/>
          <w:pgMar w:header="0" w:footer="530" w:top="400" w:bottom="74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6"/>
          <w:sz w:val="18"/>
        </w:rPr>
        <w:t> </w:t>
      </w:r>
      <w:r>
        <w:rPr>
          <w:rFonts w:ascii="Georgia" w:hAnsi="Georgia"/>
          <w:color w:val="231F20"/>
          <w:sz w:val="18"/>
        </w:rPr>
        <w:t>Организация</w:t>
      </w:r>
      <w:r>
        <w:rPr>
          <w:rFonts w:ascii="Georgia" w:hAnsi="Georgia"/>
          <w:color w:val="231F20"/>
          <w:spacing w:val="7"/>
          <w:sz w:val="18"/>
        </w:rPr>
        <w:t> </w:t>
      </w:r>
      <w:r>
        <w:rPr>
          <w:rFonts w:ascii="Georgia" w:hAnsi="Georgia"/>
          <w:color w:val="231F20"/>
          <w:sz w:val="18"/>
        </w:rPr>
        <w:t>групповой</w:t>
      </w:r>
      <w:r>
        <w:rPr>
          <w:rFonts w:ascii="Georgia" w:hAnsi="Georgia"/>
          <w:color w:val="231F20"/>
          <w:spacing w:val="7"/>
          <w:sz w:val="18"/>
        </w:rPr>
        <w:t> </w:t>
      </w:r>
      <w:r>
        <w:rPr>
          <w:rFonts w:ascii="Georgia" w:hAnsi="Georgia"/>
          <w:color w:val="231F20"/>
          <w:sz w:val="18"/>
        </w:rPr>
        <w:t>учебной</w:t>
      </w:r>
      <w:r>
        <w:rPr>
          <w:rFonts w:ascii="Georgia" w:hAnsi="Georgia"/>
          <w:color w:val="231F20"/>
          <w:spacing w:val="6"/>
          <w:sz w:val="18"/>
        </w:rPr>
        <w:t> </w:t>
      </w:r>
      <w:r>
        <w:rPr>
          <w:rFonts w:ascii="Georgia" w:hAnsi="Georgia"/>
          <w:color w:val="231F20"/>
          <w:sz w:val="18"/>
        </w:rPr>
        <w:t>работы</w:t>
      </w:r>
      <w:r>
        <w:rPr>
          <w:rFonts w:ascii="Georgia" w:hAnsi="Georgia"/>
          <w:color w:val="231F20"/>
          <w:spacing w:val="7"/>
          <w:sz w:val="18"/>
        </w:rPr>
        <w:t> </w:t>
      </w:r>
      <w:r>
        <w:rPr>
          <w:rFonts w:ascii="Georgia" w:hAnsi="Georgia"/>
          <w:color w:val="231F20"/>
          <w:sz w:val="18"/>
        </w:rPr>
        <w:t>учащихся</w:t>
      </w:r>
      <w:r>
        <w:rPr>
          <w:rFonts w:ascii="Georgia" w:hAnsi="Georgia"/>
          <w:color w:val="231F20"/>
          <w:spacing w:val="7"/>
          <w:sz w:val="18"/>
        </w:rPr>
        <w:t> </w:t>
      </w:r>
      <w:r>
        <w:rPr>
          <w:rFonts w:ascii="Georgia" w:hAnsi="Georgia"/>
          <w:color w:val="231F20"/>
          <w:sz w:val="18"/>
        </w:rPr>
        <w:t>в</w:t>
      </w:r>
      <w:r>
        <w:rPr>
          <w:rFonts w:ascii="Georgia" w:hAnsi="Georgia"/>
          <w:color w:val="231F20"/>
          <w:spacing w:val="6"/>
          <w:sz w:val="18"/>
        </w:rPr>
        <w:t> </w:t>
      </w:r>
      <w:r>
        <w:rPr>
          <w:rFonts w:ascii="Georgia" w:hAnsi="Georgia"/>
          <w:color w:val="231F20"/>
          <w:sz w:val="18"/>
        </w:rPr>
        <w:t>поликультурном</w:t>
      </w:r>
      <w:r>
        <w:rPr>
          <w:rFonts w:ascii="Georgia" w:hAnsi="Georgia"/>
          <w:color w:val="231F20"/>
          <w:spacing w:val="7"/>
          <w:sz w:val="18"/>
        </w:rPr>
        <w:t> </w:t>
      </w:r>
      <w:r>
        <w:rPr>
          <w:rFonts w:ascii="Georgia" w:hAnsi="Georgia"/>
          <w:color w:val="231F20"/>
          <w:spacing w:val="-2"/>
          <w:sz w:val="18"/>
        </w:rPr>
        <w:t>классе...</w:t>
      </w:r>
    </w:p>
    <w:p>
      <w:pPr>
        <w:spacing w:line="235" w:lineRule="auto" w:before="116"/>
        <w:ind w:left="141" w:right="139" w:firstLine="283"/>
        <w:jc w:val="both"/>
        <w:rPr>
          <w:sz w:val="20"/>
        </w:rPr>
      </w:pPr>
      <w:r>
        <w:rPr>
          <w:i/>
          <w:color w:val="231F20"/>
          <w:sz w:val="20"/>
        </w:rPr>
        <w:t>Позитивная и специфическая: </w:t>
      </w:r>
      <w:r>
        <w:rPr>
          <w:color w:val="231F20"/>
          <w:sz w:val="20"/>
        </w:rPr>
        <w:t>«Мне нужно, чтобы ты положил все карточки на середину стола, и я тоже мог бы их увидеть».</w:t>
      </w:r>
    </w:p>
    <w:p>
      <w:pPr>
        <w:spacing w:line="225" w:lineRule="exact" w:before="0"/>
        <w:ind w:left="425" w:right="0" w:firstLine="0"/>
        <w:jc w:val="both"/>
        <w:rPr>
          <w:sz w:val="20"/>
        </w:rPr>
      </w:pPr>
      <w:r>
        <w:rPr>
          <w:b/>
          <w:i/>
          <w:color w:val="231F20"/>
          <w:sz w:val="20"/>
        </w:rPr>
        <w:t>В.</w:t>
      </w:r>
      <w:r>
        <w:rPr>
          <w:b/>
          <w:i/>
          <w:color w:val="231F20"/>
          <w:spacing w:val="-4"/>
          <w:sz w:val="20"/>
        </w:rPr>
        <w:t> </w:t>
      </w:r>
      <w:r>
        <w:rPr>
          <w:i/>
          <w:color w:val="231F20"/>
          <w:sz w:val="20"/>
        </w:rPr>
        <w:t>Негативная:</w:t>
      </w:r>
      <w:r>
        <w:rPr>
          <w:i/>
          <w:color w:val="231F20"/>
          <w:spacing w:val="-4"/>
          <w:sz w:val="20"/>
        </w:rPr>
        <w:t> </w:t>
      </w:r>
      <w:r>
        <w:rPr>
          <w:color w:val="231F20"/>
          <w:sz w:val="20"/>
        </w:rPr>
        <w:t>«Я</w:t>
      </w:r>
      <w:r>
        <w:rPr>
          <w:color w:val="231F20"/>
          <w:spacing w:val="-3"/>
          <w:sz w:val="20"/>
        </w:rPr>
        <w:t> </w:t>
      </w:r>
      <w:r>
        <w:rPr>
          <w:color w:val="231F20"/>
          <w:sz w:val="20"/>
        </w:rPr>
        <w:t>хочу,</w:t>
      </w:r>
      <w:r>
        <w:rPr>
          <w:color w:val="231F20"/>
          <w:spacing w:val="-4"/>
          <w:sz w:val="20"/>
        </w:rPr>
        <w:t> </w:t>
      </w:r>
      <w:r>
        <w:rPr>
          <w:color w:val="231F20"/>
          <w:sz w:val="20"/>
        </w:rPr>
        <w:t>чтобы</w:t>
      </w:r>
      <w:r>
        <w:rPr>
          <w:color w:val="231F20"/>
          <w:spacing w:val="-4"/>
          <w:sz w:val="20"/>
        </w:rPr>
        <w:t> </w:t>
      </w:r>
      <w:r>
        <w:rPr>
          <w:color w:val="231F20"/>
          <w:sz w:val="20"/>
        </w:rPr>
        <w:t>ты</w:t>
      </w:r>
      <w:r>
        <w:rPr>
          <w:color w:val="231F20"/>
          <w:spacing w:val="-3"/>
          <w:sz w:val="20"/>
        </w:rPr>
        <w:t> </w:t>
      </w:r>
      <w:r>
        <w:rPr>
          <w:color w:val="231F20"/>
          <w:sz w:val="20"/>
        </w:rPr>
        <w:t>немедленно</w:t>
      </w:r>
      <w:r>
        <w:rPr>
          <w:color w:val="231F20"/>
          <w:spacing w:val="-4"/>
          <w:sz w:val="20"/>
        </w:rPr>
        <w:t> </w:t>
      </w:r>
      <w:r>
        <w:rPr>
          <w:color w:val="231F20"/>
          <w:sz w:val="20"/>
        </w:rPr>
        <w:t>перестал</w:t>
      </w:r>
      <w:r>
        <w:rPr>
          <w:color w:val="231F20"/>
          <w:spacing w:val="-4"/>
          <w:sz w:val="20"/>
        </w:rPr>
        <w:t> </w:t>
      </w:r>
      <w:r>
        <w:rPr>
          <w:color w:val="231F20"/>
          <w:sz w:val="20"/>
        </w:rPr>
        <w:t>нам</w:t>
      </w:r>
      <w:r>
        <w:rPr>
          <w:color w:val="231F20"/>
          <w:spacing w:val="-3"/>
          <w:sz w:val="20"/>
        </w:rPr>
        <w:t> </w:t>
      </w:r>
      <w:r>
        <w:rPr>
          <w:color w:val="231F20"/>
          <w:spacing w:val="-2"/>
          <w:sz w:val="20"/>
        </w:rPr>
        <w:t>мешать».</w:t>
      </w:r>
    </w:p>
    <w:p>
      <w:pPr>
        <w:spacing w:line="226" w:lineRule="exact" w:before="0"/>
        <w:ind w:left="425" w:right="0" w:firstLine="0"/>
        <w:jc w:val="both"/>
        <w:rPr>
          <w:sz w:val="20"/>
        </w:rPr>
      </w:pPr>
      <w:r>
        <w:rPr>
          <w:i/>
          <w:color w:val="231F20"/>
          <w:sz w:val="20"/>
        </w:rPr>
        <w:t>Нейтральная:</w:t>
      </w:r>
      <w:r>
        <w:rPr>
          <w:i/>
          <w:color w:val="231F20"/>
          <w:spacing w:val="-6"/>
          <w:sz w:val="20"/>
        </w:rPr>
        <w:t> </w:t>
      </w:r>
      <w:r>
        <w:rPr>
          <w:color w:val="231F20"/>
          <w:sz w:val="20"/>
        </w:rPr>
        <w:t>«Я</w:t>
      </w:r>
      <w:r>
        <w:rPr>
          <w:color w:val="231F20"/>
          <w:spacing w:val="-6"/>
          <w:sz w:val="20"/>
        </w:rPr>
        <w:t> </w:t>
      </w:r>
      <w:r>
        <w:rPr>
          <w:color w:val="231F20"/>
          <w:sz w:val="20"/>
        </w:rPr>
        <w:t>хочу,</w:t>
      </w:r>
      <w:r>
        <w:rPr>
          <w:color w:val="231F20"/>
          <w:spacing w:val="-6"/>
          <w:sz w:val="20"/>
        </w:rPr>
        <w:t> </w:t>
      </w:r>
      <w:r>
        <w:rPr>
          <w:color w:val="231F20"/>
          <w:sz w:val="20"/>
        </w:rPr>
        <w:t>чтобы</w:t>
      </w:r>
      <w:r>
        <w:rPr>
          <w:color w:val="231F20"/>
          <w:spacing w:val="-5"/>
          <w:sz w:val="20"/>
        </w:rPr>
        <w:t> </w:t>
      </w:r>
      <w:r>
        <w:rPr>
          <w:color w:val="231F20"/>
          <w:sz w:val="20"/>
        </w:rPr>
        <w:t>ты</w:t>
      </w:r>
      <w:r>
        <w:rPr>
          <w:color w:val="231F20"/>
          <w:spacing w:val="-6"/>
          <w:sz w:val="20"/>
        </w:rPr>
        <w:t> </w:t>
      </w:r>
      <w:r>
        <w:rPr>
          <w:color w:val="231F20"/>
          <w:sz w:val="20"/>
        </w:rPr>
        <w:t>помог</w:t>
      </w:r>
      <w:r>
        <w:rPr>
          <w:color w:val="231F20"/>
          <w:spacing w:val="-7"/>
          <w:sz w:val="20"/>
        </w:rPr>
        <w:t> </w:t>
      </w:r>
      <w:r>
        <w:rPr>
          <w:color w:val="231F20"/>
          <w:sz w:val="20"/>
        </w:rPr>
        <w:t>нашей</w:t>
      </w:r>
      <w:r>
        <w:rPr>
          <w:color w:val="231F20"/>
          <w:spacing w:val="-6"/>
          <w:sz w:val="20"/>
        </w:rPr>
        <w:t> </w:t>
      </w:r>
      <w:r>
        <w:rPr>
          <w:color w:val="231F20"/>
          <w:sz w:val="20"/>
        </w:rPr>
        <w:t>группе</w:t>
      </w:r>
      <w:r>
        <w:rPr>
          <w:color w:val="231F20"/>
          <w:spacing w:val="-6"/>
          <w:sz w:val="20"/>
        </w:rPr>
        <w:t> </w:t>
      </w:r>
      <w:r>
        <w:rPr>
          <w:color w:val="231F20"/>
          <w:sz w:val="20"/>
        </w:rPr>
        <w:t>в</w:t>
      </w:r>
      <w:r>
        <w:rPr>
          <w:color w:val="231F20"/>
          <w:spacing w:val="-6"/>
          <w:sz w:val="20"/>
        </w:rPr>
        <w:t> </w:t>
      </w:r>
      <w:r>
        <w:rPr>
          <w:color w:val="231F20"/>
          <w:spacing w:val="-2"/>
          <w:sz w:val="20"/>
        </w:rPr>
        <w:t>работе».</w:t>
      </w:r>
    </w:p>
    <w:p>
      <w:pPr>
        <w:spacing w:line="235" w:lineRule="auto" w:before="2"/>
        <w:ind w:left="141" w:right="139" w:firstLine="283"/>
        <w:jc w:val="both"/>
        <w:rPr>
          <w:sz w:val="20"/>
        </w:rPr>
      </w:pPr>
      <w:r>
        <w:rPr>
          <w:i/>
          <w:color w:val="231F20"/>
          <w:sz w:val="20"/>
        </w:rPr>
        <w:t>Позитивная и специфическая: </w:t>
      </w:r>
      <w:r>
        <w:rPr>
          <w:color w:val="231F20"/>
          <w:sz w:val="20"/>
        </w:rPr>
        <w:t>«Я бы хотел, чтобы ты начал вносить данные, со- бранные нашей группой, в сводную таблицу».</w:t>
      </w:r>
    </w:p>
    <w:p>
      <w:pPr>
        <w:pStyle w:val="BodyText"/>
        <w:spacing w:line="235" w:lineRule="auto" w:before="58"/>
      </w:pPr>
      <w:r>
        <w:rPr>
          <w:color w:val="231F20"/>
        </w:rPr>
        <w:t>Совместное</w:t>
      </w:r>
      <w:r>
        <w:rPr>
          <w:color w:val="231F20"/>
          <w:spacing w:val="-13"/>
        </w:rPr>
        <w:t> </w:t>
      </w:r>
      <w:r>
        <w:rPr>
          <w:color w:val="231F20"/>
        </w:rPr>
        <w:t>использование</w:t>
      </w:r>
      <w:r>
        <w:rPr>
          <w:color w:val="231F20"/>
          <w:spacing w:val="-12"/>
        </w:rPr>
        <w:t> </w:t>
      </w:r>
      <w:r>
        <w:rPr>
          <w:color w:val="231F20"/>
        </w:rPr>
        <w:t>формулировок</w:t>
      </w:r>
      <w:r>
        <w:rPr>
          <w:color w:val="231F20"/>
          <w:spacing w:val="-13"/>
        </w:rPr>
        <w:t> </w:t>
      </w:r>
      <w:r>
        <w:rPr>
          <w:color w:val="231F20"/>
        </w:rPr>
        <w:t>«Я</w:t>
      </w:r>
      <w:r>
        <w:rPr>
          <w:color w:val="231F20"/>
          <w:spacing w:val="-12"/>
        </w:rPr>
        <w:t> </w:t>
      </w:r>
      <w:r>
        <w:rPr>
          <w:color w:val="231F20"/>
        </w:rPr>
        <w:t>чувствую»</w:t>
      </w:r>
      <w:r>
        <w:rPr>
          <w:color w:val="231F20"/>
          <w:spacing w:val="-13"/>
        </w:rPr>
        <w:t> </w:t>
      </w:r>
      <w:r>
        <w:rPr>
          <w:color w:val="231F20"/>
        </w:rPr>
        <w:t>и</w:t>
      </w:r>
      <w:r>
        <w:rPr>
          <w:color w:val="231F20"/>
          <w:spacing w:val="-12"/>
        </w:rPr>
        <w:t> </w:t>
      </w:r>
      <w:r>
        <w:rPr>
          <w:color w:val="231F20"/>
        </w:rPr>
        <w:t>позитивных</w:t>
      </w:r>
      <w:r>
        <w:rPr>
          <w:color w:val="231F20"/>
          <w:spacing w:val="-13"/>
        </w:rPr>
        <w:t> </w:t>
      </w:r>
      <w:r>
        <w:rPr>
          <w:color w:val="231F20"/>
        </w:rPr>
        <w:t>просьб</w:t>
      </w:r>
      <w:r>
        <w:rPr>
          <w:color w:val="231F20"/>
          <w:spacing w:val="-12"/>
        </w:rPr>
        <w:t> </w:t>
      </w:r>
      <w:r>
        <w:rPr>
          <w:color w:val="231F20"/>
        </w:rPr>
        <w:t>яв- ляется</w:t>
      </w:r>
      <w:r>
        <w:rPr>
          <w:color w:val="231F20"/>
          <w:spacing w:val="-3"/>
        </w:rPr>
        <w:t> </w:t>
      </w:r>
      <w:r>
        <w:rPr>
          <w:color w:val="231F20"/>
        </w:rPr>
        <w:t>действенным</w:t>
      </w:r>
      <w:r>
        <w:rPr>
          <w:color w:val="231F20"/>
          <w:spacing w:val="-3"/>
        </w:rPr>
        <w:t> </w:t>
      </w:r>
      <w:r>
        <w:rPr>
          <w:color w:val="231F20"/>
        </w:rPr>
        <w:t>инструментом</w:t>
      </w:r>
      <w:r>
        <w:rPr>
          <w:color w:val="231F20"/>
          <w:spacing w:val="-3"/>
        </w:rPr>
        <w:t> </w:t>
      </w:r>
      <w:r>
        <w:rPr>
          <w:color w:val="231F20"/>
        </w:rPr>
        <w:t>в</w:t>
      </w:r>
      <w:r>
        <w:rPr>
          <w:color w:val="231F20"/>
          <w:spacing w:val="-3"/>
        </w:rPr>
        <w:t> </w:t>
      </w:r>
      <w:r>
        <w:rPr>
          <w:color w:val="231F20"/>
        </w:rPr>
        <w:t>налаживании</w:t>
      </w:r>
      <w:r>
        <w:rPr>
          <w:color w:val="231F20"/>
          <w:spacing w:val="-3"/>
        </w:rPr>
        <w:t> </w:t>
      </w:r>
      <w:r>
        <w:rPr>
          <w:color w:val="231F20"/>
        </w:rPr>
        <w:t>коммуникации</w:t>
      </w:r>
      <w:r>
        <w:rPr>
          <w:color w:val="231F20"/>
          <w:spacing w:val="-3"/>
        </w:rPr>
        <w:t> </w:t>
      </w:r>
      <w:r>
        <w:rPr>
          <w:color w:val="231F20"/>
        </w:rPr>
        <w:t>между</w:t>
      </w:r>
      <w:r>
        <w:rPr>
          <w:color w:val="231F20"/>
          <w:spacing w:val="-3"/>
        </w:rPr>
        <w:t> </w:t>
      </w:r>
      <w:r>
        <w:rPr>
          <w:color w:val="231F20"/>
        </w:rPr>
        <w:t>участника- ми</w:t>
      </w:r>
      <w:r>
        <w:rPr>
          <w:color w:val="231F20"/>
          <w:spacing w:val="-12"/>
        </w:rPr>
        <w:t> </w:t>
      </w:r>
      <w:r>
        <w:rPr>
          <w:color w:val="231F20"/>
        </w:rPr>
        <w:t>малых</w:t>
      </w:r>
      <w:r>
        <w:rPr>
          <w:color w:val="231F20"/>
          <w:spacing w:val="-12"/>
        </w:rPr>
        <w:t> </w:t>
      </w:r>
      <w:r>
        <w:rPr>
          <w:color w:val="231F20"/>
        </w:rPr>
        <w:t>групп</w:t>
      </w:r>
      <w:r>
        <w:rPr>
          <w:color w:val="231F20"/>
          <w:spacing w:val="-12"/>
        </w:rPr>
        <w:t> </w:t>
      </w:r>
      <w:r>
        <w:rPr>
          <w:color w:val="231F20"/>
        </w:rPr>
        <w:t>сотрудничества.</w:t>
      </w:r>
      <w:r>
        <w:rPr>
          <w:color w:val="231F20"/>
          <w:spacing w:val="-12"/>
        </w:rPr>
        <w:t> </w:t>
      </w:r>
      <w:r>
        <w:rPr>
          <w:color w:val="231F20"/>
        </w:rPr>
        <w:t>В</w:t>
      </w:r>
      <w:r>
        <w:rPr>
          <w:color w:val="231F20"/>
          <w:spacing w:val="-12"/>
        </w:rPr>
        <w:t> </w:t>
      </w:r>
      <w:r>
        <w:rPr>
          <w:color w:val="231F20"/>
        </w:rPr>
        <w:t>завершение</w:t>
      </w:r>
      <w:r>
        <w:rPr>
          <w:color w:val="231F20"/>
          <w:spacing w:val="-12"/>
        </w:rPr>
        <w:t> </w:t>
      </w:r>
      <w:r>
        <w:rPr>
          <w:color w:val="231F20"/>
        </w:rPr>
        <w:t>этого</w:t>
      </w:r>
      <w:r>
        <w:rPr>
          <w:color w:val="231F20"/>
          <w:spacing w:val="-12"/>
        </w:rPr>
        <w:t> </w:t>
      </w:r>
      <w:r>
        <w:rPr>
          <w:color w:val="231F20"/>
        </w:rPr>
        <w:t>упражнения</w:t>
      </w:r>
      <w:r>
        <w:rPr>
          <w:color w:val="231F20"/>
          <w:spacing w:val="-12"/>
        </w:rPr>
        <w:t> </w:t>
      </w:r>
      <w:r>
        <w:rPr>
          <w:color w:val="231F20"/>
        </w:rPr>
        <w:t>можно</w:t>
      </w:r>
      <w:r>
        <w:rPr>
          <w:color w:val="231F20"/>
          <w:spacing w:val="-12"/>
        </w:rPr>
        <w:t> </w:t>
      </w:r>
      <w:r>
        <w:rPr>
          <w:color w:val="231F20"/>
        </w:rPr>
        <w:t>предложить учащимся использовать обе фразы: нейтральную и позитивную – при составлении коротких комментариев в ответ на конфликт внутри группы.</w:t>
      </w:r>
    </w:p>
    <w:p>
      <w:pPr>
        <w:pStyle w:val="BodyText"/>
        <w:spacing w:line="235" w:lineRule="auto" w:before="3"/>
        <w:ind w:right="140"/>
      </w:pPr>
      <w:r>
        <w:rPr>
          <w:color w:val="231F20"/>
        </w:rPr>
        <w:t>Учитель</w:t>
      </w:r>
      <w:r>
        <w:rPr>
          <w:color w:val="231F20"/>
          <w:spacing w:val="-4"/>
        </w:rPr>
        <w:t> </w:t>
      </w:r>
      <w:r>
        <w:rPr>
          <w:color w:val="231F20"/>
        </w:rPr>
        <w:t>предлагает</w:t>
      </w:r>
      <w:r>
        <w:rPr>
          <w:color w:val="231F20"/>
          <w:spacing w:val="-4"/>
        </w:rPr>
        <w:t> </w:t>
      </w:r>
      <w:r>
        <w:rPr>
          <w:color w:val="231F20"/>
        </w:rPr>
        <w:t>каждой</w:t>
      </w:r>
      <w:r>
        <w:rPr>
          <w:color w:val="231F20"/>
          <w:spacing w:val="-4"/>
        </w:rPr>
        <w:t> </w:t>
      </w:r>
      <w:r>
        <w:rPr>
          <w:color w:val="231F20"/>
        </w:rPr>
        <w:t>группе</w:t>
      </w:r>
      <w:r>
        <w:rPr>
          <w:color w:val="231F20"/>
          <w:spacing w:val="-4"/>
        </w:rPr>
        <w:t> </w:t>
      </w:r>
      <w:r>
        <w:rPr>
          <w:color w:val="231F20"/>
        </w:rPr>
        <w:t>учащихся</w:t>
      </w:r>
      <w:r>
        <w:rPr>
          <w:color w:val="231F20"/>
          <w:spacing w:val="-4"/>
        </w:rPr>
        <w:t> </w:t>
      </w:r>
      <w:r>
        <w:rPr>
          <w:color w:val="231F20"/>
        </w:rPr>
        <w:t>рассмотреть</w:t>
      </w:r>
      <w:r>
        <w:rPr>
          <w:color w:val="231F20"/>
          <w:spacing w:val="-4"/>
        </w:rPr>
        <w:t> </w:t>
      </w:r>
      <w:r>
        <w:rPr>
          <w:color w:val="231F20"/>
        </w:rPr>
        <w:t>одну</w:t>
      </w:r>
      <w:r>
        <w:rPr>
          <w:color w:val="231F20"/>
          <w:spacing w:val="-4"/>
        </w:rPr>
        <w:t> </w:t>
      </w:r>
      <w:r>
        <w:rPr>
          <w:color w:val="231F20"/>
        </w:rPr>
        <w:t>из</w:t>
      </w:r>
      <w:r>
        <w:rPr>
          <w:color w:val="231F20"/>
          <w:spacing w:val="-4"/>
        </w:rPr>
        <w:t> </w:t>
      </w:r>
      <w:r>
        <w:rPr>
          <w:color w:val="231F20"/>
        </w:rPr>
        <w:t>пяти</w:t>
      </w:r>
      <w:r>
        <w:rPr>
          <w:color w:val="231F20"/>
          <w:spacing w:val="-4"/>
        </w:rPr>
        <w:t> </w:t>
      </w:r>
      <w:r>
        <w:rPr>
          <w:color w:val="231F20"/>
        </w:rPr>
        <w:t>ситуаций и подготовить грамотный (с точки зрения групповой работы) ответ.</w:t>
      </w:r>
    </w:p>
    <w:p>
      <w:pPr>
        <w:pStyle w:val="ListParagraph"/>
        <w:numPr>
          <w:ilvl w:val="0"/>
          <w:numId w:val="313"/>
        </w:numPr>
        <w:tabs>
          <w:tab w:pos="425" w:val="left" w:leader="none"/>
        </w:tabs>
        <w:spacing w:line="235" w:lineRule="auto" w:before="1" w:after="0"/>
        <w:ind w:left="425" w:right="139" w:hanging="284"/>
        <w:jc w:val="both"/>
        <w:rPr>
          <w:sz w:val="20"/>
        </w:rPr>
      </w:pPr>
      <w:r>
        <w:rPr>
          <w:color w:val="231F20"/>
          <w:sz w:val="20"/>
        </w:rPr>
        <w:t>Один из членов группы делает все задание сам. Любое ваше предложение им иг- норируется,</w:t>
      </w:r>
      <w:r>
        <w:rPr>
          <w:color w:val="231F20"/>
          <w:spacing w:val="-10"/>
          <w:sz w:val="20"/>
        </w:rPr>
        <w:t> </w:t>
      </w:r>
      <w:r>
        <w:rPr>
          <w:color w:val="231F20"/>
          <w:sz w:val="20"/>
        </w:rPr>
        <w:t>а</w:t>
      </w:r>
      <w:r>
        <w:rPr>
          <w:color w:val="231F20"/>
          <w:spacing w:val="-10"/>
          <w:sz w:val="20"/>
        </w:rPr>
        <w:t> </w:t>
      </w:r>
      <w:r>
        <w:rPr>
          <w:color w:val="231F20"/>
          <w:sz w:val="20"/>
        </w:rPr>
        <w:t>любая</w:t>
      </w:r>
      <w:r>
        <w:rPr>
          <w:color w:val="231F20"/>
          <w:spacing w:val="-10"/>
          <w:sz w:val="20"/>
        </w:rPr>
        <w:t> </w:t>
      </w:r>
      <w:r>
        <w:rPr>
          <w:color w:val="231F20"/>
          <w:sz w:val="20"/>
        </w:rPr>
        <w:t>попытка</w:t>
      </w:r>
      <w:r>
        <w:rPr>
          <w:color w:val="231F20"/>
          <w:spacing w:val="-10"/>
          <w:sz w:val="20"/>
        </w:rPr>
        <w:t> </w:t>
      </w:r>
      <w:r>
        <w:rPr>
          <w:color w:val="231F20"/>
          <w:sz w:val="20"/>
        </w:rPr>
        <w:t>что-то</w:t>
      </w:r>
      <w:r>
        <w:rPr>
          <w:color w:val="231F20"/>
          <w:spacing w:val="-10"/>
          <w:sz w:val="20"/>
        </w:rPr>
        <w:t> </w:t>
      </w:r>
      <w:r>
        <w:rPr>
          <w:color w:val="231F20"/>
          <w:sz w:val="20"/>
        </w:rPr>
        <w:t>подсказать</w:t>
      </w:r>
      <w:r>
        <w:rPr>
          <w:color w:val="231F20"/>
          <w:spacing w:val="-10"/>
          <w:sz w:val="20"/>
        </w:rPr>
        <w:t> </w:t>
      </w:r>
      <w:r>
        <w:rPr>
          <w:color w:val="231F20"/>
          <w:sz w:val="20"/>
        </w:rPr>
        <w:t>или</w:t>
      </w:r>
      <w:r>
        <w:rPr>
          <w:color w:val="231F20"/>
          <w:spacing w:val="-10"/>
          <w:sz w:val="20"/>
        </w:rPr>
        <w:t> </w:t>
      </w:r>
      <w:r>
        <w:rPr>
          <w:color w:val="231F20"/>
          <w:sz w:val="20"/>
        </w:rPr>
        <w:t>помочь</w:t>
      </w:r>
      <w:r>
        <w:rPr>
          <w:color w:val="231F20"/>
          <w:spacing w:val="-10"/>
          <w:sz w:val="20"/>
        </w:rPr>
        <w:t> </w:t>
      </w:r>
      <w:r>
        <w:rPr>
          <w:color w:val="231F20"/>
          <w:sz w:val="20"/>
        </w:rPr>
        <w:t>что-то</w:t>
      </w:r>
      <w:r>
        <w:rPr>
          <w:color w:val="231F20"/>
          <w:spacing w:val="-10"/>
          <w:sz w:val="20"/>
        </w:rPr>
        <w:t> </w:t>
      </w:r>
      <w:r>
        <w:rPr>
          <w:color w:val="231F20"/>
          <w:sz w:val="20"/>
        </w:rPr>
        <w:t>сделать</w:t>
      </w:r>
      <w:r>
        <w:rPr>
          <w:color w:val="231F20"/>
          <w:spacing w:val="-10"/>
          <w:sz w:val="20"/>
        </w:rPr>
        <w:t> </w:t>
      </w:r>
      <w:r>
        <w:rPr>
          <w:color w:val="231F20"/>
          <w:sz w:val="20"/>
        </w:rPr>
        <w:t>полно- стью отвергается.</w:t>
      </w:r>
    </w:p>
    <w:p>
      <w:pPr>
        <w:pStyle w:val="ListParagraph"/>
        <w:numPr>
          <w:ilvl w:val="0"/>
          <w:numId w:val="313"/>
        </w:numPr>
        <w:tabs>
          <w:tab w:pos="425" w:val="left" w:leader="none"/>
        </w:tabs>
        <w:spacing w:line="235" w:lineRule="auto" w:before="2" w:after="0"/>
        <w:ind w:left="425" w:right="139" w:hanging="284"/>
        <w:jc w:val="both"/>
        <w:rPr>
          <w:sz w:val="20"/>
        </w:rPr>
      </w:pPr>
      <w:r>
        <w:rPr>
          <w:color w:val="231F20"/>
          <w:sz w:val="20"/>
        </w:rPr>
        <w:t>Один из членов группы бродит вокруг и болтает с друзьями, в то время как вся группа</w:t>
      </w:r>
      <w:r>
        <w:rPr>
          <w:color w:val="231F20"/>
          <w:spacing w:val="-1"/>
          <w:sz w:val="20"/>
        </w:rPr>
        <w:t> </w:t>
      </w:r>
      <w:r>
        <w:rPr>
          <w:color w:val="231F20"/>
          <w:sz w:val="20"/>
        </w:rPr>
        <w:t>трудится</w:t>
      </w:r>
      <w:r>
        <w:rPr>
          <w:color w:val="231F20"/>
          <w:spacing w:val="-1"/>
          <w:sz w:val="20"/>
        </w:rPr>
        <w:t> </w:t>
      </w:r>
      <w:r>
        <w:rPr>
          <w:color w:val="231F20"/>
          <w:sz w:val="20"/>
        </w:rPr>
        <w:t>над</w:t>
      </w:r>
      <w:r>
        <w:rPr>
          <w:color w:val="231F20"/>
          <w:spacing w:val="-1"/>
          <w:sz w:val="20"/>
        </w:rPr>
        <w:t> </w:t>
      </w:r>
      <w:r>
        <w:rPr>
          <w:color w:val="231F20"/>
          <w:sz w:val="20"/>
        </w:rPr>
        <w:t>созданием</w:t>
      </w:r>
      <w:r>
        <w:rPr>
          <w:color w:val="231F20"/>
          <w:spacing w:val="-1"/>
          <w:sz w:val="20"/>
        </w:rPr>
        <w:t> </w:t>
      </w:r>
      <w:r>
        <w:rPr>
          <w:color w:val="231F20"/>
          <w:sz w:val="20"/>
        </w:rPr>
        <w:t>итоговой</w:t>
      </w:r>
      <w:r>
        <w:rPr>
          <w:color w:val="231F20"/>
          <w:spacing w:val="-1"/>
          <w:sz w:val="20"/>
        </w:rPr>
        <w:t> </w:t>
      </w:r>
      <w:r>
        <w:rPr>
          <w:color w:val="231F20"/>
          <w:sz w:val="20"/>
        </w:rPr>
        <w:t>презентации.</w:t>
      </w:r>
      <w:r>
        <w:rPr>
          <w:color w:val="231F20"/>
          <w:spacing w:val="-1"/>
          <w:sz w:val="20"/>
        </w:rPr>
        <w:t> </w:t>
      </w:r>
      <w:r>
        <w:rPr>
          <w:color w:val="231F20"/>
          <w:sz w:val="20"/>
        </w:rPr>
        <w:t>В</w:t>
      </w:r>
      <w:r>
        <w:rPr>
          <w:color w:val="231F20"/>
          <w:spacing w:val="-1"/>
          <w:sz w:val="20"/>
        </w:rPr>
        <w:t> </w:t>
      </w:r>
      <w:r>
        <w:rPr>
          <w:color w:val="231F20"/>
          <w:sz w:val="20"/>
        </w:rPr>
        <w:t>тот</w:t>
      </w:r>
      <w:r>
        <w:rPr>
          <w:color w:val="231F20"/>
          <w:spacing w:val="-1"/>
          <w:sz w:val="20"/>
        </w:rPr>
        <w:t> </w:t>
      </w:r>
      <w:r>
        <w:rPr>
          <w:color w:val="231F20"/>
          <w:sz w:val="20"/>
        </w:rPr>
        <w:t>момент,</w:t>
      </w:r>
      <w:r>
        <w:rPr>
          <w:color w:val="231F20"/>
          <w:spacing w:val="-1"/>
          <w:sz w:val="20"/>
        </w:rPr>
        <w:t> </w:t>
      </w:r>
      <w:r>
        <w:rPr>
          <w:color w:val="231F20"/>
          <w:sz w:val="20"/>
        </w:rPr>
        <w:t>когда</w:t>
      </w:r>
      <w:r>
        <w:rPr>
          <w:color w:val="231F20"/>
          <w:spacing w:val="-1"/>
          <w:sz w:val="20"/>
        </w:rPr>
        <w:t> </w:t>
      </w:r>
      <w:r>
        <w:rPr>
          <w:color w:val="231F20"/>
          <w:sz w:val="20"/>
        </w:rPr>
        <w:t>рабо- та почти выполнена и остается ее сохранить на компьютере, этот участник резко двигает парту, компьютер падает, а презентация не сохраняется.</w:t>
      </w:r>
    </w:p>
    <w:p>
      <w:pPr>
        <w:pStyle w:val="ListParagraph"/>
        <w:numPr>
          <w:ilvl w:val="0"/>
          <w:numId w:val="313"/>
        </w:numPr>
        <w:tabs>
          <w:tab w:pos="425" w:val="left" w:leader="none"/>
        </w:tabs>
        <w:spacing w:line="235" w:lineRule="auto" w:before="2" w:after="0"/>
        <w:ind w:left="425" w:right="139" w:hanging="284"/>
        <w:jc w:val="both"/>
        <w:rPr>
          <w:sz w:val="20"/>
        </w:rPr>
      </w:pPr>
      <w:r>
        <w:rPr>
          <w:color w:val="231F20"/>
          <w:sz w:val="20"/>
        </w:rPr>
        <w:t>В</w:t>
      </w:r>
      <w:r>
        <w:rPr>
          <w:color w:val="231F20"/>
          <w:spacing w:val="-12"/>
          <w:sz w:val="20"/>
        </w:rPr>
        <w:t> </w:t>
      </w:r>
      <w:r>
        <w:rPr>
          <w:color w:val="231F20"/>
          <w:sz w:val="20"/>
        </w:rPr>
        <w:t>группе</w:t>
      </w:r>
      <w:r>
        <w:rPr>
          <w:color w:val="231F20"/>
          <w:spacing w:val="-12"/>
          <w:sz w:val="20"/>
        </w:rPr>
        <w:t> </w:t>
      </w:r>
      <w:r>
        <w:rPr>
          <w:color w:val="231F20"/>
          <w:sz w:val="20"/>
        </w:rPr>
        <w:t>вас</w:t>
      </w:r>
      <w:r>
        <w:rPr>
          <w:color w:val="231F20"/>
          <w:spacing w:val="-12"/>
          <w:sz w:val="20"/>
        </w:rPr>
        <w:t> </w:t>
      </w:r>
      <w:r>
        <w:rPr>
          <w:color w:val="231F20"/>
          <w:sz w:val="20"/>
        </w:rPr>
        <w:t>трое,</w:t>
      </w:r>
      <w:r>
        <w:rPr>
          <w:color w:val="231F20"/>
          <w:spacing w:val="-12"/>
          <w:sz w:val="20"/>
        </w:rPr>
        <w:t> </w:t>
      </w:r>
      <w:r>
        <w:rPr>
          <w:color w:val="231F20"/>
          <w:sz w:val="20"/>
        </w:rPr>
        <w:t>ты</w:t>
      </w:r>
      <w:r>
        <w:rPr>
          <w:color w:val="231F20"/>
          <w:spacing w:val="-12"/>
          <w:sz w:val="20"/>
        </w:rPr>
        <w:t> </w:t>
      </w:r>
      <w:r>
        <w:rPr>
          <w:color w:val="231F20"/>
          <w:sz w:val="20"/>
        </w:rPr>
        <w:t>и</w:t>
      </w:r>
      <w:r>
        <w:rPr>
          <w:color w:val="231F20"/>
          <w:spacing w:val="-12"/>
          <w:sz w:val="20"/>
        </w:rPr>
        <w:t> </w:t>
      </w:r>
      <w:r>
        <w:rPr>
          <w:color w:val="231F20"/>
          <w:sz w:val="20"/>
        </w:rPr>
        <w:t>еще</w:t>
      </w:r>
      <w:r>
        <w:rPr>
          <w:color w:val="231F20"/>
          <w:spacing w:val="-12"/>
          <w:sz w:val="20"/>
        </w:rPr>
        <w:t> </w:t>
      </w:r>
      <w:r>
        <w:rPr>
          <w:color w:val="231F20"/>
          <w:sz w:val="20"/>
        </w:rPr>
        <w:t>два</w:t>
      </w:r>
      <w:r>
        <w:rPr>
          <w:color w:val="231F20"/>
          <w:spacing w:val="-12"/>
          <w:sz w:val="20"/>
        </w:rPr>
        <w:t> </w:t>
      </w:r>
      <w:r>
        <w:rPr>
          <w:color w:val="231F20"/>
          <w:sz w:val="20"/>
        </w:rPr>
        <w:t>ученика,</w:t>
      </w:r>
      <w:r>
        <w:rPr>
          <w:color w:val="231F20"/>
          <w:spacing w:val="-12"/>
          <w:sz w:val="20"/>
        </w:rPr>
        <w:t> </w:t>
      </w:r>
      <w:r>
        <w:rPr>
          <w:color w:val="231F20"/>
          <w:sz w:val="20"/>
        </w:rPr>
        <w:t>с</w:t>
      </w:r>
      <w:r>
        <w:rPr>
          <w:color w:val="231F20"/>
          <w:spacing w:val="-12"/>
          <w:sz w:val="20"/>
        </w:rPr>
        <w:t> </w:t>
      </w:r>
      <w:r>
        <w:rPr>
          <w:color w:val="231F20"/>
          <w:sz w:val="20"/>
        </w:rPr>
        <w:t>которыми</w:t>
      </w:r>
      <w:r>
        <w:rPr>
          <w:color w:val="231F20"/>
          <w:spacing w:val="-12"/>
          <w:sz w:val="20"/>
        </w:rPr>
        <w:t> </w:t>
      </w:r>
      <w:r>
        <w:rPr>
          <w:color w:val="231F20"/>
          <w:sz w:val="20"/>
        </w:rPr>
        <w:t>ты</w:t>
      </w:r>
      <w:r>
        <w:rPr>
          <w:color w:val="231F20"/>
          <w:spacing w:val="-12"/>
          <w:sz w:val="20"/>
        </w:rPr>
        <w:t> </w:t>
      </w:r>
      <w:r>
        <w:rPr>
          <w:color w:val="231F20"/>
          <w:sz w:val="20"/>
        </w:rPr>
        <w:t>почти</w:t>
      </w:r>
      <w:r>
        <w:rPr>
          <w:color w:val="231F20"/>
          <w:spacing w:val="-12"/>
          <w:sz w:val="20"/>
        </w:rPr>
        <w:t> </w:t>
      </w:r>
      <w:r>
        <w:rPr>
          <w:color w:val="231F20"/>
          <w:sz w:val="20"/>
        </w:rPr>
        <w:t>не</w:t>
      </w:r>
      <w:r>
        <w:rPr>
          <w:color w:val="231F20"/>
          <w:spacing w:val="-12"/>
          <w:sz w:val="20"/>
        </w:rPr>
        <w:t> </w:t>
      </w:r>
      <w:r>
        <w:rPr>
          <w:color w:val="231F20"/>
          <w:sz w:val="20"/>
        </w:rPr>
        <w:t>знаком.</w:t>
      </w:r>
      <w:r>
        <w:rPr>
          <w:color w:val="231F20"/>
          <w:spacing w:val="-12"/>
          <w:sz w:val="20"/>
        </w:rPr>
        <w:t> </w:t>
      </w:r>
      <w:r>
        <w:rPr>
          <w:color w:val="231F20"/>
          <w:sz w:val="20"/>
        </w:rPr>
        <w:t>Эти</w:t>
      </w:r>
      <w:r>
        <w:rPr>
          <w:color w:val="231F20"/>
          <w:spacing w:val="-12"/>
          <w:sz w:val="20"/>
        </w:rPr>
        <w:t> </w:t>
      </w:r>
      <w:r>
        <w:rPr>
          <w:color w:val="231F20"/>
          <w:sz w:val="20"/>
        </w:rPr>
        <w:t>двое работают вдвоем и игнорируют любые твои попытки поработать над групповым заданием вместе.</w:t>
      </w:r>
    </w:p>
    <w:p>
      <w:pPr>
        <w:pStyle w:val="ListParagraph"/>
        <w:numPr>
          <w:ilvl w:val="0"/>
          <w:numId w:val="313"/>
        </w:numPr>
        <w:tabs>
          <w:tab w:pos="425" w:val="left" w:leader="none"/>
        </w:tabs>
        <w:spacing w:line="235" w:lineRule="auto" w:before="2" w:after="0"/>
        <w:ind w:left="425" w:right="140" w:hanging="284"/>
        <w:jc w:val="both"/>
        <w:rPr>
          <w:sz w:val="20"/>
        </w:rPr>
      </w:pPr>
      <w:r>
        <w:rPr>
          <w:color w:val="231F20"/>
          <w:sz w:val="20"/>
        </w:rPr>
        <w:t>Все</w:t>
      </w:r>
      <w:r>
        <w:rPr>
          <w:color w:val="231F20"/>
          <w:spacing w:val="-13"/>
          <w:sz w:val="20"/>
        </w:rPr>
        <w:t> </w:t>
      </w:r>
      <w:r>
        <w:rPr>
          <w:color w:val="231F20"/>
          <w:sz w:val="20"/>
        </w:rPr>
        <w:t>участники</w:t>
      </w:r>
      <w:r>
        <w:rPr>
          <w:color w:val="231F20"/>
          <w:spacing w:val="-12"/>
          <w:sz w:val="20"/>
        </w:rPr>
        <w:t> </w:t>
      </w:r>
      <w:r>
        <w:rPr>
          <w:color w:val="231F20"/>
          <w:sz w:val="20"/>
        </w:rPr>
        <w:t>твоей</w:t>
      </w:r>
      <w:r>
        <w:rPr>
          <w:color w:val="231F20"/>
          <w:spacing w:val="-13"/>
          <w:sz w:val="20"/>
        </w:rPr>
        <w:t> </w:t>
      </w:r>
      <w:r>
        <w:rPr>
          <w:color w:val="231F20"/>
          <w:sz w:val="20"/>
        </w:rPr>
        <w:t>группы</w:t>
      </w:r>
      <w:r>
        <w:rPr>
          <w:color w:val="231F20"/>
          <w:spacing w:val="-12"/>
          <w:sz w:val="20"/>
        </w:rPr>
        <w:t> </w:t>
      </w:r>
      <w:r>
        <w:rPr>
          <w:color w:val="231F20"/>
          <w:sz w:val="20"/>
        </w:rPr>
        <w:t>активно</w:t>
      </w:r>
      <w:r>
        <w:rPr>
          <w:color w:val="231F20"/>
          <w:spacing w:val="-13"/>
          <w:sz w:val="20"/>
        </w:rPr>
        <w:t> </w:t>
      </w:r>
      <w:r>
        <w:rPr>
          <w:color w:val="231F20"/>
          <w:sz w:val="20"/>
        </w:rPr>
        <w:t>вовлечены</w:t>
      </w:r>
      <w:r>
        <w:rPr>
          <w:color w:val="231F20"/>
          <w:spacing w:val="-12"/>
          <w:sz w:val="20"/>
        </w:rPr>
        <w:t> </w:t>
      </w:r>
      <w:r>
        <w:rPr>
          <w:color w:val="231F20"/>
          <w:sz w:val="20"/>
        </w:rPr>
        <w:t>в</w:t>
      </w:r>
      <w:r>
        <w:rPr>
          <w:color w:val="231F20"/>
          <w:spacing w:val="-13"/>
          <w:sz w:val="20"/>
        </w:rPr>
        <w:t> </w:t>
      </w:r>
      <w:r>
        <w:rPr>
          <w:color w:val="231F20"/>
          <w:sz w:val="20"/>
        </w:rPr>
        <w:t>дискуссию</w:t>
      </w:r>
      <w:r>
        <w:rPr>
          <w:color w:val="231F20"/>
          <w:spacing w:val="-12"/>
          <w:sz w:val="20"/>
        </w:rPr>
        <w:t> </w:t>
      </w:r>
      <w:r>
        <w:rPr>
          <w:color w:val="231F20"/>
          <w:sz w:val="20"/>
        </w:rPr>
        <w:t>по</w:t>
      </w:r>
      <w:r>
        <w:rPr>
          <w:color w:val="231F20"/>
          <w:spacing w:val="-13"/>
          <w:sz w:val="20"/>
        </w:rPr>
        <w:t> </w:t>
      </w:r>
      <w:r>
        <w:rPr>
          <w:color w:val="231F20"/>
          <w:sz w:val="20"/>
        </w:rPr>
        <w:t>вопросу,</w:t>
      </w:r>
      <w:r>
        <w:rPr>
          <w:color w:val="231F20"/>
          <w:spacing w:val="-12"/>
          <w:sz w:val="20"/>
        </w:rPr>
        <w:t> </w:t>
      </w:r>
      <w:r>
        <w:rPr>
          <w:color w:val="231F20"/>
          <w:sz w:val="20"/>
        </w:rPr>
        <w:t>который ты</w:t>
      </w:r>
      <w:r>
        <w:rPr>
          <w:color w:val="231F20"/>
          <w:spacing w:val="-11"/>
          <w:sz w:val="20"/>
        </w:rPr>
        <w:t> </w:t>
      </w:r>
      <w:r>
        <w:rPr>
          <w:color w:val="231F20"/>
          <w:sz w:val="20"/>
        </w:rPr>
        <w:t>хорошо</w:t>
      </w:r>
      <w:r>
        <w:rPr>
          <w:color w:val="231F20"/>
          <w:spacing w:val="-11"/>
          <w:sz w:val="20"/>
        </w:rPr>
        <w:t> </w:t>
      </w:r>
      <w:r>
        <w:rPr>
          <w:color w:val="231F20"/>
          <w:sz w:val="20"/>
        </w:rPr>
        <w:t>знаешь.</w:t>
      </w:r>
      <w:r>
        <w:rPr>
          <w:color w:val="231F20"/>
          <w:spacing w:val="-11"/>
          <w:sz w:val="20"/>
        </w:rPr>
        <w:t> </w:t>
      </w:r>
      <w:r>
        <w:rPr>
          <w:color w:val="231F20"/>
          <w:sz w:val="20"/>
        </w:rPr>
        <w:t>Однако</w:t>
      </w:r>
      <w:r>
        <w:rPr>
          <w:color w:val="231F20"/>
          <w:spacing w:val="-11"/>
          <w:sz w:val="20"/>
        </w:rPr>
        <w:t> </w:t>
      </w:r>
      <w:r>
        <w:rPr>
          <w:color w:val="231F20"/>
          <w:sz w:val="20"/>
        </w:rPr>
        <w:t>каждый</w:t>
      </w:r>
      <w:r>
        <w:rPr>
          <w:color w:val="231F20"/>
          <w:spacing w:val="-11"/>
          <w:sz w:val="20"/>
        </w:rPr>
        <w:t> </w:t>
      </w:r>
      <w:r>
        <w:rPr>
          <w:color w:val="231F20"/>
          <w:sz w:val="20"/>
        </w:rPr>
        <w:t>раз,</w:t>
      </w:r>
      <w:r>
        <w:rPr>
          <w:color w:val="231F20"/>
          <w:spacing w:val="-11"/>
          <w:sz w:val="20"/>
        </w:rPr>
        <w:t> </w:t>
      </w:r>
      <w:r>
        <w:rPr>
          <w:color w:val="231F20"/>
          <w:sz w:val="20"/>
        </w:rPr>
        <w:t>когда</w:t>
      </w:r>
      <w:r>
        <w:rPr>
          <w:color w:val="231F20"/>
          <w:spacing w:val="-11"/>
          <w:sz w:val="20"/>
        </w:rPr>
        <w:t> </w:t>
      </w:r>
      <w:r>
        <w:rPr>
          <w:color w:val="231F20"/>
          <w:sz w:val="20"/>
        </w:rPr>
        <w:t>у</w:t>
      </w:r>
      <w:r>
        <w:rPr>
          <w:color w:val="231F20"/>
          <w:spacing w:val="-11"/>
          <w:sz w:val="20"/>
        </w:rPr>
        <w:t> </w:t>
      </w:r>
      <w:r>
        <w:rPr>
          <w:color w:val="231F20"/>
          <w:sz w:val="20"/>
        </w:rPr>
        <w:t>тебя</w:t>
      </w:r>
      <w:r>
        <w:rPr>
          <w:color w:val="231F20"/>
          <w:spacing w:val="-11"/>
          <w:sz w:val="20"/>
        </w:rPr>
        <w:t> </w:t>
      </w:r>
      <w:r>
        <w:rPr>
          <w:color w:val="231F20"/>
          <w:sz w:val="20"/>
        </w:rPr>
        <w:t>появляется</w:t>
      </w:r>
      <w:r>
        <w:rPr>
          <w:color w:val="231F20"/>
          <w:spacing w:val="-11"/>
          <w:sz w:val="20"/>
        </w:rPr>
        <w:t> </w:t>
      </w:r>
      <w:r>
        <w:rPr>
          <w:color w:val="231F20"/>
          <w:sz w:val="20"/>
        </w:rPr>
        <w:t>возможность</w:t>
      </w:r>
      <w:r>
        <w:rPr>
          <w:color w:val="231F20"/>
          <w:spacing w:val="-11"/>
          <w:sz w:val="20"/>
        </w:rPr>
        <w:t> </w:t>
      </w:r>
      <w:r>
        <w:rPr>
          <w:color w:val="231F20"/>
          <w:sz w:val="20"/>
        </w:rPr>
        <w:t>что- то прокомментировать, они переключаются на кого-то другого, не давая тебе ни малейшего шанса сделать вклад в общее дело.</w:t>
      </w:r>
    </w:p>
    <w:p>
      <w:pPr>
        <w:pStyle w:val="ListParagraph"/>
        <w:numPr>
          <w:ilvl w:val="0"/>
          <w:numId w:val="313"/>
        </w:numPr>
        <w:tabs>
          <w:tab w:pos="425" w:val="left" w:leader="none"/>
        </w:tabs>
        <w:spacing w:line="235" w:lineRule="auto" w:before="3" w:after="0"/>
        <w:ind w:left="425" w:right="139" w:hanging="284"/>
        <w:jc w:val="both"/>
        <w:rPr>
          <w:sz w:val="20"/>
        </w:rPr>
      </w:pPr>
      <w:r>
        <w:rPr>
          <w:color w:val="231F20"/>
          <w:sz w:val="20"/>
        </w:rPr>
        <w:t>Один</w:t>
      </w:r>
      <w:r>
        <w:rPr>
          <w:color w:val="231F20"/>
          <w:spacing w:val="-1"/>
          <w:sz w:val="20"/>
        </w:rPr>
        <w:t> </w:t>
      </w:r>
      <w:r>
        <w:rPr>
          <w:color w:val="231F20"/>
          <w:sz w:val="20"/>
        </w:rPr>
        <w:t>из</w:t>
      </w:r>
      <w:r>
        <w:rPr>
          <w:color w:val="231F20"/>
          <w:spacing w:val="-1"/>
          <w:sz w:val="20"/>
        </w:rPr>
        <w:t> </w:t>
      </w:r>
      <w:r>
        <w:rPr>
          <w:color w:val="231F20"/>
          <w:sz w:val="20"/>
        </w:rPr>
        <w:t>участников</w:t>
      </w:r>
      <w:r>
        <w:rPr>
          <w:color w:val="231F20"/>
          <w:spacing w:val="-1"/>
          <w:sz w:val="20"/>
        </w:rPr>
        <w:t> </w:t>
      </w:r>
      <w:r>
        <w:rPr>
          <w:color w:val="231F20"/>
          <w:sz w:val="20"/>
        </w:rPr>
        <w:t>твоей</w:t>
      </w:r>
      <w:r>
        <w:rPr>
          <w:color w:val="231F20"/>
          <w:spacing w:val="-1"/>
          <w:sz w:val="20"/>
        </w:rPr>
        <w:t> </w:t>
      </w:r>
      <w:r>
        <w:rPr>
          <w:color w:val="231F20"/>
          <w:sz w:val="20"/>
        </w:rPr>
        <w:t>группы</w:t>
      </w:r>
      <w:r>
        <w:rPr>
          <w:color w:val="231F20"/>
          <w:spacing w:val="-1"/>
          <w:sz w:val="20"/>
        </w:rPr>
        <w:t> </w:t>
      </w:r>
      <w:r>
        <w:rPr>
          <w:color w:val="231F20"/>
          <w:sz w:val="20"/>
        </w:rPr>
        <w:t>по</w:t>
      </w:r>
      <w:r>
        <w:rPr>
          <w:color w:val="231F20"/>
          <w:spacing w:val="-1"/>
          <w:sz w:val="20"/>
        </w:rPr>
        <w:t> </w:t>
      </w:r>
      <w:r>
        <w:rPr>
          <w:color w:val="231F20"/>
          <w:sz w:val="20"/>
        </w:rPr>
        <w:t>всем</w:t>
      </w:r>
      <w:r>
        <w:rPr>
          <w:color w:val="231F20"/>
          <w:spacing w:val="-1"/>
          <w:sz w:val="20"/>
        </w:rPr>
        <w:t> </w:t>
      </w:r>
      <w:r>
        <w:rPr>
          <w:color w:val="231F20"/>
          <w:sz w:val="20"/>
        </w:rPr>
        <w:t>предметам</w:t>
      </w:r>
      <w:r>
        <w:rPr>
          <w:color w:val="231F20"/>
          <w:spacing w:val="-1"/>
          <w:sz w:val="20"/>
        </w:rPr>
        <w:t> </w:t>
      </w:r>
      <w:r>
        <w:rPr>
          <w:color w:val="231F20"/>
          <w:sz w:val="20"/>
        </w:rPr>
        <w:t>школьного</w:t>
      </w:r>
      <w:r>
        <w:rPr>
          <w:color w:val="231F20"/>
          <w:spacing w:val="-1"/>
          <w:sz w:val="20"/>
        </w:rPr>
        <w:t> </w:t>
      </w:r>
      <w:r>
        <w:rPr>
          <w:color w:val="231F20"/>
          <w:sz w:val="20"/>
        </w:rPr>
        <w:t>цикла</w:t>
      </w:r>
      <w:r>
        <w:rPr>
          <w:color w:val="231F20"/>
          <w:spacing w:val="-1"/>
          <w:sz w:val="20"/>
        </w:rPr>
        <w:t> </w:t>
      </w:r>
      <w:r>
        <w:rPr>
          <w:color w:val="231F20"/>
          <w:sz w:val="20"/>
        </w:rPr>
        <w:t>получает только</w:t>
      </w:r>
      <w:r>
        <w:rPr>
          <w:color w:val="231F20"/>
          <w:spacing w:val="-10"/>
          <w:sz w:val="20"/>
        </w:rPr>
        <w:t> </w:t>
      </w:r>
      <w:r>
        <w:rPr>
          <w:color w:val="231F20"/>
          <w:sz w:val="20"/>
        </w:rPr>
        <w:t>хорошие</w:t>
      </w:r>
      <w:r>
        <w:rPr>
          <w:color w:val="231F20"/>
          <w:spacing w:val="-10"/>
          <w:sz w:val="20"/>
        </w:rPr>
        <w:t> </w:t>
      </w:r>
      <w:r>
        <w:rPr>
          <w:color w:val="231F20"/>
          <w:sz w:val="20"/>
        </w:rPr>
        <w:t>отметки,</w:t>
      </w:r>
      <w:r>
        <w:rPr>
          <w:color w:val="231F20"/>
          <w:spacing w:val="-10"/>
          <w:sz w:val="20"/>
        </w:rPr>
        <w:t> </w:t>
      </w:r>
      <w:r>
        <w:rPr>
          <w:color w:val="231F20"/>
          <w:sz w:val="20"/>
        </w:rPr>
        <w:t>но,</w:t>
      </w:r>
      <w:r>
        <w:rPr>
          <w:color w:val="231F20"/>
          <w:spacing w:val="-10"/>
          <w:sz w:val="20"/>
        </w:rPr>
        <w:t> </w:t>
      </w:r>
      <w:r>
        <w:rPr>
          <w:color w:val="231F20"/>
          <w:sz w:val="20"/>
        </w:rPr>
        <w:t>когда</w:t>
      </w:r>
      <w:r>
        <w:rPr>
          <w:color w:val="231F20"/>
          <w:spacing w:val="-10"/>
          <w:sz w:val="20"/>
        </w:rPr>
        <w:t> </w:t>
      </w:r>
      <w:r>
        <w:rPr>
          <w:color w:val="231F20"/>
          <w:sz w:val="20"/>
        </w:rPr>
        <w:t>дело</w:t>
      </w:r>
      <w:r>
        <w:rPr>
          <w:color w:val="231F20"/>
          <w:spacing w:val="-10"/>
          <w:sz w:val="20"/>
        </w:rPr>
        <w:t> </w:t>
      </w:r>
      <w:r>
        <w:rPr>
          <w:color w:val="231F20"/>
          <w:sz w:val="20"/>
        </w:rPr>
        <w:t>доходит</w:t>
      </w:r>
      <w:r>
        <w:rPr>
          <w:color w:val="231F20"/>
          <w:spacing w:val="-10"/>
          <w:sz w:val="20"/>
        </w:rPr>
        <w:t> </w:t>
      </w:r>
      <w:r>
        <w:rPr>
          <w:color w:val="231F20"/>
          <w:sz w:val="20"/>
        </w:rPr>
        <w:t>до</w:t>
      </w:r>
      <w:r>
        <w:rPr>
          <w:color w:val="231F20"/>
          <w:spacing w:val="-10"/>
          <w:sz w:val="20"/>
        </w:rPr>
        <w:t> </w:t>
      </w:r>
      <w:r>
        <w:rPr>
          <w:color w:val="231F20"/>
          <w:sz w:val="20"/>
        </w:rPr>
        <w:t>работы</w:t>
      </w:r>
      <w:r>
        <w:rPr>
          <w:color w:val="231F20"/>
          <w:spacing w:val="-10"/>
          <w:sz w:val="20"/>
        </w:rPr>
        <w:t> </w:t>
      </w:r>
      <w:r>
        <w:rPr>
          <w:color w:val="231F20"/>
          <w:sz w:val="20"/>
        </w:rPr>
        <w:t>в</w:t>
      </w:r>
      <w:r>
        <w:rPr>
          <w:color w:val="231F20"/>
          <w:spacing w:val="-10"/>
          <w:sz w:val="20"/>
        </w:rPr>
        <w:t> </w:t>
      </w:r>
      <w:r>
        <w:rPr>
          <w:color w:val="231F20"/>
          <w:sz w:val="20"/>
        </w:rPr>
        <w:t>группе,</w:t>
      </w:r>
      <w:r>
        <w:rPr>
          <w:color w:val="231F20"/>
          <w:spacing w:val="-10"/>
          <w:sz w:val="20"/>
        </w:rPr>
        <w:t> </w:t>
      </w:r>
      <w:r>
        <w:rPr>
          <w:color w:val="231F20"/>
          <w:sz w:val="20"/>
        </w:rPr>
        <w:t>он</w:t>
      </w:r>
      <w:r>
        <w:rPr>
          <w:color w:val="231F20"/>
          <w:spacing w:val="-10"/>
          <w:sz w:val="20"/>
        </w:rPr>
        <w:t> </w:t>
      </w:r>
      <w:r>
        <w:rPr>
          <w:color w:val="231F20"/>
          <w:sz w:val="20"/>
        </w:rPr>
        <w:t>ничего</w:t>
      </w:r>
      <w:r>
        <w:rPr>
          <w:color w:val="231F20"/>
          <w:spacing w:val="-10"/>
          <w:sz w:val="20"/>
        </w:rPr>
        <w:t> </w:t>
      </w:r>
      <w:r>
        <w:rPr>
          <w:color w:val="231F20"/>
          <w:sz w:val="20"/>
        </w:rPr>
        <w:t>не делает.</w:t>
      </w:r>
      <w:r>
        <w:rPr>
          <w:color w:val="231F20"/>
          <w:spacing w:val="-13"/>
          <w:sz w:val="20"/>
        </w:rPr>
        <w:t> </w:t>
      </w:r>
      <w:r>
        <w:rPr>
          <w:color w:val="231F20"/>
          <w:sz w:val="20"/>
        </w:rPr>
        <w:t>Вы</w:t>
      </w:r>
      <w:r>
        <w:rPr>
          <w:color w:val="231F20"/>
          <w:spacing w:val="-12"/>
          <w:sz w:val="20"/>
        </w:rPr>
        <w:t> </w:t>
      </w:r>
      <w:r>
        <w:rPr>
          <w:color w:val="231F20"/>
          <w:sz w:val="20"/>
        </w:rPr>
        <w:t>подозреваете,</w:t>
      </w:r>
      <w:r>
        <w:rPr>
          <w:color w:val="231F20"/>
          <w:spacing w:val="-13"/>
          <w:sz w:val="20"/>
        </w:rPr>
        <w:t> </w:t>
      </w:r>
      <w:r>
        <w:rPr>
          <w:color w:val="231F20"/>
          <w:sz w:val="20"/>
        </w:rPr>
        <w:t>что</w:t>
      </w:r>
      <w:r>
        <w:rPr>
          <w:color w:val="231F20"/>
          <w:spacing w:val="-12"/>
          <w:sz w:val="20"/>
        </w:rPr>
        <w:t> </w:t>
      </w:r>
      <w:r>
        <w:rPr>
          <w:color w:val="231F20"/>
          <w:sz w:val="20"/>
        </w:rPr>
        <w:t>он</w:t>
      </w:r>
      <w:r>
        <w:rPr>
          <w:color w:val="231F20"/>
          <w:spacing w:val="-13"/>
          <w:sz w:val="20"/>
        </w:rPr>
        <w:t> </w:t>
      </w:r>
      <w:r>
        <w:rPr>
          <w:color w:val="231F20"/>
          <w:sz w:val="20"/>
        </w:rPr>
        <w:t>знает,</w:t>
      </w:r>
      <w:r>
        <w:rPr>
          <w:color w:val="231F20"/>
          <w:spacing w:val="-12"/>
          <w:sz w:val="20"/>
        </w:rPr>
        <w:t> </w:t>
      </w:r>
      <w:r>
        <w:rPr>
          <w:color w:val="231F20"/>
          <w:sz w:val="20"/>
        </w:rPr>
        <w:t>как</w:t>
      </w:r>
      <w:r>
        <w:rPr>
          <w:color w:val="231F20"/>
          <w:spacing w:val="-13"/>
          <w:sz w:val="20"/>
        </w:rPr>
        <w:t> </w:t>
      </w:r>
      <w:r>
        <w:rPr>
          <w:color w:val="231F20"/>
          <w:sz w:val="20"/>
        </w:rPr>
        <w:t>решить</w:t>
      </w:r>
      <w:r>
        <w:rPr>
          <w:color w:val="231F20"/>
          <w:spacing w:val="-12"/>
          <w:sz w:val="20"/>
        </w:rPr>
        <w:t> </w:t>
      </w:r>
      <w:r>
        <w:rPr>
          <w:color w:val="231F20"/>
          <w:sz w:val="20"/>
        </w:rPr>
        <w:t>проблему,</w:t>
      </w:r>
      <w:r>
        <w:rPr>
          <w:color w:val="231F20"/>
          <w:spacing w:val="-13"/>
          <w:sz w:val="20"/>
        </w:rPr>
        <w:t> </w:t>
      </w:r>
      <w:r>
        <w:rPr>
          <w:color w:val="231F20"/>
          <w:sz w:val="20"/>
        </w:rPr>
        <w:t>над</w:t>
      </w:r>
      <w:r>
        <w:rPr>
          <w:color w:val="231F20"/>
          <w:spacing w:val="-12"/>
          <w:sz w:val="20"/>
        </w:rPr>
        <w:t> </w:t>
      </w:r>
      <w:r>
        <w:rPr>
          <w:color w:val="231F20"/>
          <w:sz w:val="20"/>
        </w:rPr>
        <w:t>которой</w:t>
      </w:r>
      <w:r>
        <w:rPr>
          <w:color w:val="231F20"/>
          <w:spacing w:val="-13"/>
          <w:sz w:val="20"/>
        </w:rPr>
        <w:t> </w:t>
      </w:r>
      <w:r>
        <w:rPr>
          <w:color w:val="231F20"/>
          <w:sz w:val="20"/>
        </w:rPr>
        <w:t>работает группа, но сознательно не хочет этого делать.</w:t>
      </w:r>
    </w:p>
    <w:p>
      <w:pPr>
        <w:pStyle w:val="ListParagraph"/>
        <w:spacing w:after="0" w:line="235" w:lineRule="auto"/>
        <w:jc w:val="both"/>
        <w:rPr>
          <w:sz w:val="20"/>
        </w:rPr>
        <w:sectPr>
          <w:pgSz w:w="8400" w:h="11910"/>
          <w:pgMar w:header="0" w:footer="530" w:top="400" w:bottom="740" w:left="425" w:right="425"/>
        </w:sectPr>
      </w:pPr>
    </w:p>
    <w:p>
      <w:pPr>
        <w:spacing w:before="80"/>
        <w:ind w:left="141" w:right="139" w:firstLine="0"/>
        <w:jc w:val="right"/>
        <w:rPr>
          <w:rFonts w:ascii="Georgia" w:hAnsi="Georgia"/>
          <w:sz w:val="18"/>
        </w:rPr>
      </w:pPr>
      <w:bookmarkStart w:name="_bookmark96" w:id="98"/>
      <w:bookmarkEnd w:id="98"/>
      <w:r>
        <w:rPr/>
      </w:r>
      <w:r>
        <w:rPr>
          <w:rFonts w:ascii="Georgia" w:hAnsi="Georgia"/>
          <w:color w:val="231F20"/>
          <w:spacing w:val="-2"/>
          <w:sz w:val="18"/>
        </w:rPr>
        <w:t>Раздел</w:t>
      </w:r>
      <w:r>
        <w:rPr>
          <w:rFonts w:ascii="Georgia" w:hAnsi="Georgia"/>
          <w:color w:val="231F20"/>
          <w:spacing w:val="-5"/>
          <w:sz w:val="18"/>
        </w:rPr>
        <w:t> 4.</w:t>
      </w:r>
    </w:p>
    <w:p>
      <w:pPr>
        <w:numPr>
          <w:ilvl w:val="2"/>
          <w:numId w:val="286"/>
        </w:numPr>
        <w:tabs>
          <w:tab w:pos="1682" w:val="left" w:leader="none"/>
        </w:tabs>
        <w:spacing w:before="109"/>
        <w:ind w:left="1682" w:right="0" w:hanging="500"/>
        <w:jc w:val="left"/>
        <w:rPr>
          <w:b/>
          <w:sz w:val="20"/>
        </w:rPr>
      </w:pPr>
      <w:r>
        <w:rPr>
          <w:b/>
          <w:color w:val="231F20"/>
          <w:spacing w:val="-2"/>
          <w:sz w:val="20"/>
        </w:rPr>
        <w:t>Подготовка</w:t>
      </w:r>
      <w:r>
        <w:rPr>
          <w:b/>
          <w:color w:val="231F20"/>
          <w:spacing w:val="-3"/>
          <w:sz w:val="20"/>
        </w:rPr>
        <w:t> </w:t>
      </w:r>
      <w:r>
        <w:rPr>
          <w:b/>
          <w:color w:val="231F20"/>
          <w:spacing w:val="-2"/>
          <w:sz w:val="20"/>
        </w:rPr>
        <w:t>педагогов</w:t>
      </w:r>
      <w:r>
        <w:rPr>
          <w:b/>
          <w:color w:val="231F20"/>
          <w:spacing w:val="-1"/>
          <w:sz w:val="20"/>
        </w:rPr>
        <w:t> </w:t>
      </w:r>
      <w:r>
        <w:rPr>
          <w:b/>
          <w:color w:val="231F20"/>
          <w:spacing w:val="-2"/>
          <w:sz w:val="20"/>
        </w:rPr>
        <w:t>к обучению в</w:t>
      </w:r>
      <w:r>
        <w:rPr>
          <w:b/>
          <w:color w:val="231F20"/>
          <w:sz w:val="20"/>
        </w:rPr>
        <w:t> </w:t>
      </w:r>
      <w:r>
        <w:rPr>
          <w:b/>
          <w:color w:val="231F20"/>
          <w:spacing w:val="-2"/>
          <w:sz w:val="20"/>
        </w:rPr>
        <w:t>сотрудничестве</w:t>
      </w:r>
    </w:p>
    <w:p>
      <w:pPr>
        <w:pStyle w:val="BodyText"/>
        <w:spacing w:line="235" w:lineRule="auto" w:before="113"/>
        <w:jc w:val="right"/>
      </w:pPr>
      <w:r>
        <w:rPr>
          <w:color w:val="231F20"/>
        </w:rPr>
        <w:t>Технологии обучения в сотрудничестве можно отнести к сложным для освоения учителями</w:t>
      </w:r>
      <w:r>
        <w:rPr>
          <w:color w:val="231F20"/>
          <w:spacing w:val="-9"/>
        </w:rPr>
        <w:t> </w:t>
      </w:r>
      <w:r>
        <w:rPr>
          <w:color w:val="231F20"/>
        </w:rPr>
        <w:t>педагогическим</w:t>
      </w:r>
      <w:r>
        <w:rPr>
          <w:color w:val="231F20"/>
          <w:spacing w:val="-7"/>
        </w:rPr>
        <w:t> </w:t>
      </w:r>
      <w:r>
        <w:rPr>
          <w:color w:val="231F20"/>
        </w:rPr>
        <w:t>технологиям,</w:t>
      </w:r>
      <w:r>
        <w:rPr>
          <w:color w:val="231F20"/>
          <w:spacing w:val="-7"/>
        </w:rPr>
        <w:t> </w:t>
      </w:r>
      <w:r>
        <w:rPr>
          <w:color w:val="231F20"/>
        </w:rPr>
        <w:t>но</w:t>
      </w:r>
      <w:r>
        <w:rPr>
          <w:color w:val="231F20"/>
          <w:spacing w:val="-7"/>
        </w:rPr>
        <w:t> </w:t>
      </w:r>
      <w:r>
        <w:rPr>
          <w:color w:val="231F20"/>
        </w:rPr>
        <w:t>в</w:t>
      </w:r>
      <w:r>
        <w:rPr>
          <w:color w:val="231F20"/>
          <w:spacing w:val="-7"/>
        </w:rPr>
        <w:t> </w:t>
      </w:r>
      <w:r>
        <w:rPr>
          <w:color w:val="231F20"/>
        </w:rPr>
        <w:t>то</w:t>
      </w:r>
      <w:r>
        <w:rPr>
          <w:color w:val="231F20"/>
          <w:spacing w:val="-7"/>
        </w:rPr>
        <w:t> </w:t>
      </w:r>
      <w:r>
        <w:rPr>
          <w:color w:val="231F20"/>
        </w:rPr>
        <w:t>же</w:t>
      </w:r>
      <w:r>
        <w:rPr>
          <w:color w:val="231F20"/>
          <w:spacing w:val="-7"/>
        </w:rPr>
        <w:t> </w:t>
      </w:r>
      <w:r>
        <w:rPr>
          <w:color w:val="231F20"/>
        </w:rPr>
        <w:t>время</w:t>
      </w:r>
      <w:r>
        <w:rPr>
          <w:color w:val="231F20"/>
          <w:spacing w:val="-7"/>
        </w:rPr>
        <w:t> </w:t>
      </w:r>
      <w:r>
        <w:rPr>
          <w:color w:val="231F20"/>
        </w:rPr>
        <w:t>их</w:t>
      </w:r>
      <w:r>
        <w:rPr>
          <w:color w:val="231F20"/>
          <w:spacing w:val="-7"/>
        </w:rPr>
        <w:t> </w:t>
      </w:r>
      <w:r>
        <w:rPr>
          <w:color w:val="231F20"/>
        </w:rPr>
        <w:t>педагогическое</w:t>
      </w:r>
      <w:r>
        <w:rPr>
          <w:color w:val="231F20"/>
          <w:spacing w:val="-7"/>
        </w:rPr>
        <w:t> </w:t>
      </w:r>
      <w:r>
        <w:rPr>
          <w:color w:val="231F20"/>
        </w:rPr>
        <w:t>воздей- ствие</w:t>
      </w:r>
      <w:r>
        <w:rPr>
          <w:color w:val="231F20"/>
          <w:spacing w:val="-13"/>
        </w:rPr>
        <w:t> </w:t>
      </w:r>
      <w:r>
        <w:rPr>
          <w:color w:val="231F20"/>
        </w:rPr>
        <w:t>на</w:t>
      </w:r>
      <w:r>
        <w:rPr>
          <w:color w:val="231F20"/>
          <w:spacing w:val="-12"/>
        </w:rPr>
        <w:t> </w:t>
      </w:r>
      <w:r>
        <w:rPr>
          <w:color w:val="231F20"/>
        </w:rPr>
        <w:t>учащихся</w:t>
      </w:r>
      <w:r>
        <w:rPr>
          <w:color w:val="231F20"/>
          <w:spacing w:val="-13"/>
        </w:rPr>
        <w:t> </w:t>
      </w:r>
      <w:r>
        <w:rPr>
          <w:color w:val="231F20"/>
        </w:rPr>
        <w:t>оказывается</w:t>
      </w:r>
      <w:r>
        <w:rPr>
          <w:color w:val="231F20"/>
          <w:spacing w:val="-12"/>
        </w:rPr>
        <w:t> </w:t>
      </w:r>
      <w:r>
        <w:rPr>
          <w:color w:val="231F20"/>
        </w:rPr>
        <w:t>столь</w:t>
      </w:r>
      <w:r>
        <w:rPr>
          <w:color w:val="231F20"/>
          <w:spacing w:val="-13"/>
        </w:rPr>
        <w:t> </w:t>
      </w:r>
      <w:r>
        <w:rPr>
          <w:color w:val="231F20"/>
        </w:rPr>
        <w:t>эффективным,</w:t>
      </w:r>
      <w:r>
        <w:rPr>
          <w:color w:val="231F20"/>
          <w:spacing w:val="-12"/>
        </w:rPr>
        <w:t> </w:t>
      </w:r>
      <w:r>
        <w:rPr>
          <w:color w:val="231F20"/>
        </w:rPr>
        <w:t>что</w:t>
      </w:r>
      <w:r>
        <w:rPr>
          <w:color w:val="231F20"/>
          <w:spacing w:val="-13"/>
        </w:rPr>
        <w:t> </w:t>
      </w:r>
      <w:r>
        <w:rPr>
          <w:color w:val="231F20"/>
        </w:rPr>
        <w:t>они</w:t>
      </w:r>
      <w:r>
        <w:rPr>
          <w:color w:val="231F20"/>
          <w:spacing w:val="-12"/>
        </w:rPr>
        <w:t> </w:t>
      </w:r>
      <w:r>
        <w:rPr>
          <w:color w:val="231F20"/>
        </w:rPr>
        <w:t>постепенно</w:t>
      </w:r>
      <w:r>
        <w:rPr>
          <w:color w:val="231F20"/>
          <w:spacing w:val="-13"/>
        </w:rPr>
        <w:t> </w:t>
      </w:r>
      <w:r>
        <w:rPr>
          <w:color w:val="231F20"/>
        </w:rPr>
        <w:t>завоевывают популярность</w:t>
      </w:r>
      <w:r>
        <w:rPr>
          <w:color w:val="231F20"/>
          <w:spacing w:val="-6"/>
        </w:rPr>
        <w:t> </w:t>
      </w:r>
      <w:r>
        <w:rPr>
          <w:color w:val="231F20"/>
        </w:rPr>
        <w:t>во</w:t>
      </w:r>
      <w:r>
        <w:rPr>
          <w:color w:val="231F20"/>
          <w:spacing w:val="-6"/>
        </w:rPr>
        <w:t> </w:t>
      </w:r>
      <w:r>
        <w:rPr>
          <w:color w:val="231F20"/>
        </w:rPr>
        <w:t>всем</w:t>
      </w:r>
      <w:r>
        <w:rPr>
          <w:color w:val="231F20"/>
          <w:spacing w:val="-6"/>
        </w:rPr>
        <w:t> </w:t>
      </w:r>
      <w:r>
        <w:rPr>
          <w:color w:val="231F20"/>
        </w:rPr>
        <w:t>мире.</w:t>
      </w:r>
      <w:r>
        <w:rPr>
          <w:color w:val="231F20"/>
          <w:spacing w:val="-6"/>
        </w:rPr>
        <w:t> </w:t>
      </w:r>
      <w:r>
        <w:rPr>
          <w:color w:val="231F20"/>
        </w:rPr>
        <w:t>Более</w:t>
      </w:r>
      <w:r>
        <w:rPr>
          <w:color w:val="231F20"/>
          <w:spacing w:val="-6"/>
        </w:rPr>
        <w:t> </w:t>
      </w:r>
      <w:r>
        <w:rPr>
          <w:color w:val="231F20"/>
        </w:rPr>
        <w:t>того,</w:t>
      </w:r>
      <w:r>
        <w:rPr>
          <w:color w:val="231F20"/>
          <w:spacing w:val="-6"/>
        </w:rPr>
        <w:t> </w:t>
      </w:r>
      <w:r>
        <w:rPr>
          <w:color w:val="231F20"/>
        </w:rPr>
        <w:t>именно</w:t>
      </w:r>
      <w:r>
        <w:rPr>
          <w:color w:val="231F20"/>
          <w:spacing w:val="-6"/>
        </w:rPr>
        <w:t> </w:t>
      </w:r>
      <w:r>
        <w:rPr>
          <w:color w:val="231F20"/>
        </w:rPr>
        <w:t>эти</w:t>
      </w:r>
      <w:r>
        <w:rPr>
          <w:color w:val="231F20"/>
          <w:spacing w:val="-6"/>
        </w:rPr>
        <w:t> </w:t>
      </w:r>
      <w:r>
        <w:rPr>
          <w:color w:val="231F20"/>
        </w:rPr>
        <w:t>технологии</w:t>
      </w:r>
      <w:r>
        <w:rPr>
          <w:color w:val="231F20"/>
          <w:spacing w:val="-6"/>
        </w:rPr>
        <w:t> </w:t>
      </w:r>
      <w:r>
        <w:rPr>
          <w:color w:val="231F20"/>
        </w:rPr>
        <w:t>полностью</w:t>
      </w:r>
      <w:r>
        <w:rPr>
          <w:color w:val="231F20"/>
          <w:spacing w:val="-6"/>
        </w:rPr>
        <w:t> </w:t>
      </w:r>
      <w:r>
        <w:rPr>
          <w:color w:val="231F20"/>
        </w:rPr>
        <w:t>отвечают новым</w:t>
      </w:r>
      <w:r>
        <w:rPr>
          <w:color w:val="231F20"/>
          <w:spacing w:val="-13"/>
        </w:rPr>
        <w:t> </w:t>
      </w:r>
      <w:r>
        <w:rPr>
          <w:color w:val="231F20"/>
        </w:rPr>
        <w:t>задачам</w:t>
      </w:r>
      <w:r>
        <w:rPr>
          <w:color w:val="231F20"/>
          <w:spacing w:val="-12"/>
        </w:rPr>
        <w:t> </w:t>
      </w:r>
      <w:r>
        <w:rPr>
          <w:color w:val="231F20"/>
        </w:rPr>
        <w:t>и</w:t>
      </w:r>
      <w:r>
        <w:rPr>
          <w:color w:val="231F20"/>
          <w:spacing w:val="-13"/>
        </w:rPr>
        <w:t> </w:t>
      </w:r>
      <w:r>
        <w:rPr>
          <w:color w:val="231F20"/>
        </w:rPr>
        <w:t>формируют</w:t>
      </w:r>
      <w:r>
        <w:rPr>
          <w:color w:val="231F20"/>
          <w:spacing w:val="-12"/>
        </w:rPr>
        <w:t> </w:t>
      </w:r>
      <w:r>
        <w:rPr>
          <w:color w:val="231F20"/>
        </w:rPr>
        <w:t>у</w:t>
      </w:r>
      <w:r>
        <w:rPr>
          <w:color w:val="231F20"/>
          <w:spacing w:val="-13"/>
        </w:rPr>
        <w:t> </w:t>
      </w:r>
      <w:r>
        <w:rPr>
          <w:color w:val="231F20"/>
        </w:rPr>
        <w:t>учащихся</w:t>
      </w:r>
      <w:r>
        <w:rPr>
          <w:color w:val="231F20"/>
          <w:spacing w:val="-12"/>
        </w:rPr>
        <w:t> </w:t>
      </w:r>
      <w:r>
        <w:rPr>
          <w:color w:val="231F20"/>
        </w:rPr>
        <w:t>так</w:t>
      </w:r>
      <w:r>
        <w:rPr>
          <w:color w:val="231F20"/>
          <w:spacing w:val="-13"/>
        </w:rPr>
        <w:t> </w:t>
      </w:r>
      <w:r>
        <w:rPr>
          <w:color w:val="231F20"/>
        </w:rPr>
        <w:t>называемые</w:t>
      </w:r>
      <w:r>
        <w:rPr>
          <w:color w:val="231F20"/>
          <w:spacing w:val="-12"/>
        </w:rPr>
        <w:t> </w:t>
      </w:r>
      <w:r>
        <w:rPr>
          <w:color w:val="231F20"/>
        </w:rPr>
        <w:t>«навыки</w:t>
      </w:r>
      <w:r>
        <w:rPr>
          <w:color w:val="231F20"/>
          <w:spacing w:val="-13"/>
        </w:rPr>
        <w:t> </w:t>
      </w:r>
      <w:r>
        <w:rPr>
          <w:color w:val="231F20"/>
        </w:rPr>
        <w:t>21</w:t>
      </w:r>
      <w:r>
        <w:rPr>
          <w:color w:val="231F20"/>
          <w:spacing w:val="-12"/>
        </w:rPr>
        <w:t> </w:t>
      </w:r>
      <w:r>
        <w:rPr>
          <w:color w:val="231F20"/>
        </w:rPr>
        <w:t>века»,</w:t>
      </w:r>
      <w:r>
        <w:rPr>
          <w:color w:val="231F20"/>
          <w:spacing w:val="-13"/>
        </w:rPr>
        <w:t> </w:t>
      </w:r>
      <w:r>
        <w:rPr>
          <w:color w:val="231F20"/>
        </w:rPr>
        <w:t>среди</w:t>
      </w:r>
      <w:r>
        <w:rPr>
          <w:color w:val="231F20"/>
          <w:spacing w:val="-12"/>
        </w:rPr>
        <w:t> </w:t>
      </w:r>
      <w:r>
        <w:rPr>
          <w:color w:val="231F20"/>
        </w:rPr>
        <w:t>ко- </w:t>
      </w:r>
      <w:r>
        <w:rPr>
          <w:color w:val="231F20"/>
          <w:spacing w:val="-2"/>
        </w:rPr>
        <w:t>торых</w:t>
      </w:r>
      <w:r>
        <w:rPr>
          <w:color w:val="231F20"/>
          <w:spacing w:val="-6"/>
        </w:rPr>
        <w:t> </w:t>
      </w:r>
      <w:r>
        <w:rPr>
          <w:color w:val="231F20"/>
          <w:spacing w:val="-2"/>
        </w:rPr>
        <w:t>ключевыми</w:t>
      </w:r>
      <w:r>
        <w:rPr>
          <w:color w:val="231F20"/>
          <w:spacing w:val="-6"/>
        </w:rPr>
        <w:t> </w:t>
      </w:r>
      <w:r>
        <w:rPr>
          <w:color w:val="231F20"/>
          <w:spacing w:val="-2"/>
        </w:rPr>
        <w:t>являются</w:t>
      </w:r>
      <w:r>
        <w:rPr>
          <w:color w:val="231F20"/>
          <w:spacing w:val="-6"/>
        </w:rPr>
        <w:t> </w:t>
      </w:r>
      <w:r>
        <w:rPr>
          <w:color w:val="231F20"/>
          <w:spacing w:val="-2"/>
        </w:rPr>
        <w:t>навыки</w:t>
      </w:r>
      <w:r>
        <w:rPr>
          <w:color w:val="231F20"/>
          <w:spacing w:val="-6"/>
        </w:rPr>
        <w:t> </w:t>
      </w:r>
      <w:r>
        <w:rPr>
          <w:color w:val="231F20"/>
          <w:spacing w:val="-2"/>
        </w:rPr>
        <w:t>работы</w:t>
      </w:r>
      <w:r>
        <w:rPr>
          <w:color w:val="231F20"/>
          <w:spacing w:val="-6"/>
        </w:rPr>
        <w:t> </w:t>
      </w:r>
      <w:r>
        <w:rPr>
          <w:color w:val="231F20"/>
          <w:spacing w:val="-2"/>
        </w:rPr>
        <w:t>в</w:t>
      </w:r>
      <w:r>
        <w:rPr>
          <w:color w:val="231F20"/>
          <w:spacing w:val="-6"/>
        </w:rPr>
        <w:t> </w:t>
      </w:r>
      <w:r>
        <w:rPr>
          <w:color w:val="231F20"/>
          <w:spacing w:val="-2"/>
        </w:rPr>
        <w:t>группе</w:t>
      </w:r>
      <w:r>
        <w:rPr>
          <w:color w:val="231F20"/>
          <w:spacing w:val="-6"/>
        </w:rPr>
        <w:t> </w:t>
      </w:r>
      <w:r>
        <w:rPr>
          <w:color w:val="231F20"/>
          <w:spacing w:val="-2"/>
        </w:rPr>
        <w:t>и</w:t>
      </w:r>
      <w:r>
        <w:rPr>
          <w:color w:val="231F20"/>
          <w:spacing w:val="-6"/>
        </w:rPr>
        <w:t> </w:t>
      </w:r>
      <w:r>
        <w:rPr>
          <w:color w:val="231F20"/>
          <w:spacing w:val="-2"/>
        </w:rPr>
        <w:t>совместного</w:t>
      </w:r>
      <w:r>
        <w:rPr>
          <w:color w:val="231F20"/>
          <w:spacing w:val="-6"/>
        </w:rPr>
        <w:t> </w:t>
      </w:r>
      <w:r>
        <w:rPr>
          <w:color w:val="231F20"/>
          <w:spacing w:val="-2"/>
        </w:rPr>
        <w:t>решения</w:t>
      </w:r>
      <w:r>
        <w:rPr>
          <w:color w:val="231F20"/>
          <w:spacing w:val="-6"/>
        </w:rPr>
        <w:t> </w:t>
      </w:r>
      <w:r>
        <w:rPr>
          <w:color w:val="231F20"/>
          <w:spacing w:val="-2"/>
        </w:rPr>
        <w:t>проблем. </w:t>
      </w:r>
      <w:r>
        <w:rPr>
          <w:color w:val="231F20"/>
        </w:rPr>
        <w:t>Главным фактором, влияющим на готовность педагогов к использованию техно- логий</w:t>
      </w:r>
      <w:r>
        <w:rPr>
          <w:color w:val="231F20"/>
          <w:spacing w:val="25"/>
        </w:rPr>
        <w:t> </w:t>
      </w:r>
      <w:r>
        <w:rPr>
          <w:color w:val="231F20"/>
        </w:rPr>
        <w:t>обучения</w:t>
      </w:r>
      <w:r>
        <w:rPr>
          <w:color w:val="231F20"/>
          <w:spacing w:val="25"/>
        </w:rPr>
        <w:t> </w:t>
      </w:r>
      <w:r>
        <w:rPr>
          <w:color w:val="231F20"/>
        </w:rPr>
        <w:t>в</w:t>
      </w:r>
      <w:r>
        <w:rPr>
          <w:color w:val="231F20"/>
          <w:spacing w:val="25"/>
        </w:rPr>
        <w:t> </w:t>
      </w:r>
      <w:r>
        <w:rPr>
          <w:color w:val="231F20"/>
        </w:rPr>
        <w:t>сотрудничестве,</w:t>
      </w:r>
      <w:r>
        <w:rPr>
          <w:color w:val="231F20"/>
          <w:spacing w:val="25"/>
        </w:rPr>
        <w:t> </w:t>
      </w:r>
      <w:r>
        <w:rPr>
          <w:color w:val="231F20"/>
        </w:rPr>
        <w:t>является</w:t>
      </w:r>
      <w:r>
        <w:rPr>
          <w:color w:val="231F20"/>
          <w:spacing w:val="25"/>
        </w:rPr>
        <w:t> </w:t>
      </w:r>
      <w:r>
        <w:rPr>
          <w:color w:val="231F20"/>
        </w:rPr>
        <w:t>предварительная</w:t>
      </w:r>
      <w:r>
        <w:rPr>
          <w:color w:val="231F20"/>
          <w:spacing w:val="25"/>
        </w:rPr>
        <w:t> </w:t>
      </w:r>
      <w:r>
        <w:rPr>
          <w:color w:val="231F20"/>
        </w:rPr>
        <w:t>подготовка,</w:t>
      </w:r>
      <w:r>
        <w:rPr>
          <w:color w:val="231F20"/>
          <w:spacing w:val="25"/>
        </w:rPr>
        <w:t> </w:t>
      </w:r>
      <w:r>
        <w:rPr>
          <w:color w:val="231F20"/>
        </w:rPr>
        <w:t>которую можно</w:t>
      </w:r>
      <w:r>
        <w:rPr>
          <w:color w:val="231F20"/>
          <w:spacing w:val="40"/>
        </w:rPr>
        <w:t> </w:t>
      </w:r>
      <w:r>
        <w:rPr>
          <w:color w:val="231F20"/>
        </w:rPr>
        <w:t>провести</w:t>
      </w:r>
      <w:r>
        <w:rPr>
          <w:color w:val="231F20"/>
          <w:spacing w:val="40"/>
        </w:rPr>
        <w:t> </w:t>
      </w:r>
      <w:r>
        <w:rPr>
          <w:color w:val="231F20"/>
        </w:rPr>
        <w:t>в</w:t>
      </w:r>
      <w:r>
        <w:rPr>
          <w:color w:val="231F20"/>
          <w:spacing w:val="40"/>
        </w:rPr>
        <w:t> </w:t>
      </w:r>
      <w:r>
        <w:rPr>
          <w:color w:val="231F20"/>
        </w:rPr>
        <w:t>формате</w:t>
      </w:r>
      <w:r>
        <w:rPr>
          <w:color w:val="231F20"/>
          <w:spacing w:val="40"/>
        </w:rPr>
        <w:t> </w:t>
      </w:r>
      <w:r>
        <w:rPr>
          <w:color w:val="231F20"/>
        </w:rPr>
        <w:t>внутрикорпоративного</w:t>
      </w:r>
      <w:r>
        <w:rPr>
          <w:color w:val="231F20"/>
          <w:spacing w:val="40"/>
        </w:rPr>
        <w:t> </w:t>
      </w:r>
      <w:r>
        <w:rPr>
          <w:color w:val="231F20"/>
        </w:rPr>
        <w:t>(внутришкольного)</w:t>
      </w:r>
      <w:r>
        <w:rPr>
          <w:color w:val="231F20"/>
          <w:spacing w:val="40"/>
        </w:rPr>
        <w:t> </w:t>
      </w:r>
      <w:r>
        <w:rPr>
          <w:color w:val="231F20"/>
        </w:rPr>
        <w:t>тренинга. Пока</w:t>
      </w:r>
      <w:r>
        <w:rPr>
          <w:color w:val="231F20"/>
          <w:spacing w:val="-12"/>
        </w:rPr>
        <w:t> </w:t>
      </w:r>
      <w:r>
        <w:rPr>
          <w:color w:val="231F20"/>
        </w:rPr>
        <w:t>педагоги</w:t>
      </w:r>
      <w:r>
        <w:rPr>
          <w:color w:val="231F20"/>
          <w:spacing w:val="-11"/>
        </w:rPr>
        <w:t> </w:t>
      </w:r>
      <w:r>
        <w:rPr>
          <w:color w:val="231F20"/>
        </w:rPr>
        <w:t>сами</w:t>
      </w:r>
      <w:r>
        <w:rPr>
          <w:color w:val="231F20"/>
          <w:spacing w:val="-11"/>
        </w:rPr>
        <w:t> </w:t>
      </w:r>
      <w:r>
        <w:rPr>
          <w:color w:val="231F20"/>
        </w:rPr>
        <w:t>не</w:t>
      </w:r>
      <w:r>
        <w:rPr>
          <w:color w:val="231F20"/>
          <w:spacing w:val="-11"/>
        </w:rPr>
        <w:t> </w:t>
      </w:r>
      <w:r>
        <w:rPr>
          <w:color w:val="231F20"/>
        </w:rPr>
        <w:t>научатся</w:t>
      </w:r>
      <w:r>
        <w:rPr>
          <w:color w:val="231F20"/>
          <w:spacing w:val="-11"/>
        </w:rPr>
        <w:t> </w:t>
      </w:r>
      <w:r>
        <w:rPr>
          <w:color w:val="231F20"/>
        </w:rPr>
        <w:t>общаться,</w:t>
      </w:r>
      <w:r>
        <w:rPr>
          <w:color w:val="231F20"/>
          <w:spacing w:val="-11"/>
        </w:rPr>
        <w:t> </w:t>
      </w:r>
      <w:r>
        <w:rPr>
          <w:color w:val="231F20"/>
        </w:rPr>
        <w:t>вести</w:t>
      </w:r>
      <w:r>
        <w:rPr>
          <w:color w:val="231F20"/>
          <w:spacing w:val="-11"/>
        </w:rPr>
        <w:t> </w:t>
      </w:r>
      <w:r>
        <w:rPr>
          <w:color w:val="231F20"/>
        </w:rPr>
        <w:t>дискуссии,</w:t>
      </w:r>
      <w:r>
        <w:rPr>
          <w:color w:val="231F20"/>
          <w:spacing w:val="-11"/>
        </w:rPr>
        <w:t> </w:t>
      </w:r>
      <w:r>
        <w:rPr>
          <w:color w:val="231F20"/>
        </w:rPr>
        <w:t>сотрудничать</w:t>
      </w:r>
      <w:r>
        <w:rPr>
          <w:color w:val="231F20"/>
          <w:spacing w:val="-11"/>
        </w:rPr>
        <w:t> </w:t>
      </w:r>
      <w:r>
        <w:rPr>
          <w:color w:val="231F20"/>
        </w:rPr>
        <w:t>друг</w:t>
      </w:r>
      <w:r>
        <w:rPr>
          <w:color w:val="231F20"/>
          <w:spacing w:val="-11"/>
        </w:rPr>
        <w:t> </w:t>
      </w:r>
      <w:r>
        <w:rPr>
          <w:color w:val="231F20"/>
        </w:rPr>
        <w:t>с</w:t>
      </w:r>
      <w:r>
        <w:rPr>
          <w:color w:val="231F20"/>
          <w:spacing w:val="-11"/>
        </w:rPr>
        <w:t> </w:t>
      </w:r>
      <w:r>
        <w:rPr>
          <w:color w:val="231F20"/>
          <w:spacing w:val="-4"/>
        </w:rPr>
        <w:t>дру-</w:t>
      </w:r>
    </w:p>
    <w:p>
      <w:pPr>
        <w:pStyle w:val="BodyText"/>
        <w:spacing w:line="228" w:lineRule="exact" w:before="2"/>
        <w:ind w:right="0" w:firstLine="0"/>
      </w:pPr>
      <w:r>
        <w:rPr>
          <w:color w:val="231F20"/>
        </w:rPr>
        <w:t>гом</w:t>
      </w:r>
      <w:r>
        <w:rPr>
          <w:color w:val="231F20"/>
          <w:spacing w:val="-5"/>
        </w:rPr>
        <w:t> </w:t>
      </w:r>
      <w:r>
        <w:rPr>
          <w:color w:val="231F20"/>
        </w:rPr>
        <w:t>при</w:t>
      </w:r>
      <w:r>
        <w:rPr>
          <w:color w:val="231F20"/>
          <w:spacing w:val="-6"/>
        </w:rPr>
        <w:t> </w:t>
      </w:r>
      <w:r>
        <w:rPr>
          <w:color w:val="231F20"/>
        </w:rPr>
        <w:t>решении</w:t>
      </w:r>
      <w:r>
        <w:rPr>
          <w:color w:val="231F20"/>
          <w:spacing w:val="-6"/>
        </w:rPr>
        <w:t> </w:t>
      </w:r>
      <w:r>
        <w:rPr>
          <w:color w:val="231F20"/>
        </w:rPr>
        <w:t>той</w:t>
      </w:r>
      <w:r>
        <w:rPr>
          <w:color w:val="231F20"/>
          <w:spacing w:val="-6"/>
        </w:rPr>
        <w:t> </w:t>
      </w:r>
      <w:r>
        <w:rPr>
          <w:color w:val="231F20"/>
        </w:rPr>
        <w:t>или</w:t>
      </w:r>
      <w:r>
        <w:rPr>
          <w:color w:val="231F20"/>
          <w:spacing w:val="-6"/>
        </w:rPr>
        <w:t> </w:t>
      </w:r>
      <w:r>
        <w:rPr>
          <w:color w:val="231F20"/>
        </w:rPr>
        <w:t>иной</w:t>
      </w:r>
      <w:r>
        <w:rPr>
          <w:color w:val="231F20"/>
          <w:spacing w:val="-5"/>
        </w:rPr>
        <w:t> </w:t>
      </w:r>
      <w:r>
        <w:rPr>
          <w:color w:val="231F20"/>
        </w:rPr>
        <w:t>проблемы,</w:t>
      </w:r>
      <w:r>
        <w:rPr>
          <w:color w:val="231F20"/>
          <w:spacing w:val="-5"/>
        </w:rPr>
        <w:t> </w:t>
      </w:r>
      <w:r>
        <w:rPr>
          <w:color w:val="231F20"/>
        </w:rPr>
        <w:t>они</w:t>
      </w:r>
      <w:r>
        <w:rPr>
          <w:color w:val="231F20"/>
          <w:spacing w:val="-6"/>
        </w:rPr>
        <w:t> </w:t>
      </w:r>
      <w:r>
        <w:rPr>
          <w:color w:val="231F20"/>
        </w:rPr>
        <w:t>вряд</w:t>
      </w:r>
      <w:r>
        <w:rPr>
          <w:color w:val="231F20"/>
          <w:spacing w:val="-5"/>
        </w:rPr>
        <w:t> </w:t>
      </w:r>
      <w:r>
        <w:rPr>
          <w:color w:val="231F20"/>
        </w:rPr>
        <w:t>ли</w:t>
      </w:r>
      <w:r>
        <w:rPr>
          <w:color w:val="231F20"/>
          <w:spacing w:val="-6"/>
        </w:rPr>
        <w:t> </w:t>
      </w:r>
      <w:r>
        <w:rPr>
          <w:color w:val="231F20"/>
        </w:rPr>
        <w:t>научат</w:t>
      </w:r>
      <w:r>
        <w:rPr>
          <w:color w:val="231F20"/>
          <w:spacing w:val="-5"/>
        </w:rPr>
        <w:t> </w:t>
      </w:r>
      <w:r>
        <w:rPr>
          <w:color w:val="231F20"/>
        </w:rPr>
        <w:t>этому</w:t>
      </w:r>
      <w:r>
        <w:rPr>
          <w:color w:val="231F20"/>
          <w:spacing w:val="-4"/>
        </w:rPr>
        <w:t> </w:t>
      </w:r>
      <w:r>
        <w:rPr>
          <w:color w:val="231F20"/>
          <w:spacing w:val="-2"/>
        </w:rPr>
        <w:t>детей.</w:t>
      </w:r>
    </w:p>
    <w:p>
      <w:pPr>
        <w:pStyle w:val="BodyText"/>
        <w:spacing w:line="235" w:lineRule="auto" w:before="2"/>
      </w:pPr>
      <w:r>
        <w:rPr>
          <w:color w:val="231F20"/>
        </w:rPr>
        <w:t>Методическая разработка, представленная ниже, содержит описания различных тренингов</w:t>
      </w:r>
      <w:r>
        <w:rPr>
          <w:color w:val="231F20"/>
          <w:spacing w:val="-13"/>
        </w:rPr>
        <w:t> </w:t>
      </w:r>
      <w:r>
        <w:rPr>
          <w:color w:val="231F20"/>
        </w:rPr>
        <w:t>и</w:t>
      </w:r>
      <w:r>
        <w:rPr>
          <w:color w:val="231F20"/>
          <w:spacing w:val="-12"/>
        </w:rPr>
        <w:t> </w:t>
      </w:r>
      <w:r>
        <w:rPr>
          <w:color w:val="231F20"/>
        </w:rPr>
        <w:t>заданий</w:t>
      </w:r>
      <w:r>
        <w:rPr>
          <w:color w:val="231F20"/>
          <w:spacing w:val="-13"/>
        </w:rPr>
        <w:t> </w:t>
      </w:r>
      <w:r>
        <w:rPr>
          <w:color w:val="231F20"/>
        </w:rPr>
        <w:t>для</w:t>
      </w:r>
      <w:r>
        <w:rPr>
          <w:color w:val="231F20"/>
          <w:spacing w:val="-12"/>
        </w:rPr>
        <w:t> </w:t>
      </w:r>
      <w:r>
        <w:rPr>
          <w:color w:val="231F20"/>
        </w:rPr>
        <w:t>учащихся</w:t>
      </w:r>
      <w:r>
        <w:rPr>
          <w:color w:val="231F20"/>
          <w:spacing w:val="-13"/>
        </w:rPr>
        <w:t> </w:t>
      </w:r>
      <w:r>
        <w:rPr>
          <w:color w:val="231F20"/>
        </w:rPr>
        <w:t>по</w:t>
      </w:r>
      <w:r>
        <w:rPr>
          <w:color w:val="231F20"/>
          <w:spacing w:val="-12"/>
        </w:rPr>
        <w:t> </w:t>
      </w:r>
      <w:r>
        <w:rPr>
          <w:color w:val="231F20"/>
        </w:rPr>
        <w:t>выработке</w:t>
      </w:r>
      <w:r>
        <w:rPr>
          <w:color w:val="231F20"/>
          <w:spacing w:val="-13"/>
        </w:rPr>
        <w:t> </w:t>
      </w:r>
      <w:r>
        <w:rPr>
          <w:color w:val="231F20"/>
        </w:rPr>
        <w:t>навыков</w:t>
      </w:r>
      <w:r>
        <w:rPr>
          <w:color w:val="231F20"/>
          <w:spacing w:val="-12"/>
        </w:rPr>
        <w:t> </w:t>
      </w:r>
      <w:r>
        <w:rPr>
          <w:color w:val="231F20"/>
        </w:rPr>
        <w:t>обучения</w:t>
      </w:r>
      <w:r>
        <w:rPr>
          <w:color w:val="231F20"/>
          <w:spacing w:val="-13"/>
        </w:rPr>
        <w:t> </w:t>
      </w:r>
      <w:r>
        <w:rPr>
          <w:color w:val="231F20"/>
        </w:rPr>
        <w:t>в</w:t>
      </w:r>
      <w:r>
        <w:rPr>
          <w:color w:val="231F20"/>
          <w:spacing w:val="-12"/>
        </w:rPr>
        <w:t> </w:t>
      </w:r>
      <w:r>
        <w:rPr>
          <w:color w:val="231F20"/>
        </w:rPr>
        <w:t>сотрудничестве, которые</w:t>
      </w:r>
      <w:r>
        <w:rPr>
          <w:color w:val="231F20"/>
          <w:spacing w:val="-10"/>
        </w:rPr>
        <w:t> </w:t>
      </w:r>
      <w:r>
        <w:rPr>
          <w:color w:val="231F20"/>
        </w:rPr>
        <w:t>могут</w:t>
      </w:r>
      <w:r>
        <w:rPr>
          <w:color w:val="231F20"/>
          <w:spacing w:val="-9"/>
        </w:rPr>
        <w:t> </w:t>
      </w:r>
      <w:r>
        <w:rPr>
          <w:color w:val="231F20"/>
        </w:rPr>
        <w:t>быть</w:t>
      </w:r>
      <w:r>
        <w:rPr>
          <w:color w:val="231F20"/>
          <w:spacing w:val="-10"/>
        </w:rPr>
        <w:t> </w:t>
      </w:r>
      <w:r>
        <w:rPr>
          <w:color w:val="231F20"/>
        </w:rPr>
        <w:t>предложены</w:t>
      </w:r>
      <w:r>
        <w:rPr>
          <w:color w:val="231F20"/>
          <w:spacing w:val="-9"/>
        </w:rPr>
        <w:t> </w:t>
      </w:r>
      <w:r>
        <w:rPr>
          <w:color w:val="231F20"/>
        </w:rPr>
        <w:t>и</w:t>
      </w:r>
      <w:r>
        <w:rPr>
          <w:color w:val="231F20"/>
          <w:spacing w:val="-10"/>
        </w:rPr>
        <w:t> </w:t>
      </w:r>
      <w:r>
        <w:rPr>
          <w:color w:val="231F20"/>
        </w:rPr>
        <w:t>учителям.</w:t>
      </w:r>
      <w:r>
        <w:rPr>
          <w:color w:val="231F20"/>
          <w:spacing w:val="-10"/>
        </w:rPr>
        <w:t> </w:t>
      </w:r>
      <w:r>
        <w:rPr>
          <w:color w:val="231F20"/>
        </w:rPr>
        <w:t>Более</w:t>
      </w:r>
      <w:r>
        <w:rPr>
          <w:color w:val="231F20"/>
          <w:spacing w:val="-10"/>
        </w:rPr>
        <w:t> </w:t>
      </w:r>
      <w:r>
        <w:rPr>
          <w:color w:val="231F20"/>
        </w:rPr>
        <w:t>того,</w:t>
      </w:r>
      <w:r>
        <w:rPr>
          <w:color w:val="231F20"/>
          <w:spacing w:val="-9"/>
        </w:rPr>
        <w:t> </w:t>
      </w:r>
      <w:r>
        <w:rPr>
          <w:color w:val="231F20"/>
        </w:rPr>
        <w:t>выполнив</w:t>
      </w:r>
      <w:r>
        <w:rPr>
          <w:color w:val="231F20"/>
          <w:spacing w:val="-9"/>
        </w:rPr>
        <w:t> </w:t>
      </w:r>
      <w:r>
        <w:rPr>
          <w:color w:val="231F20"/>
        </w:rPr>
        <w:t>задания</w:t>
      </w:r>
      <w:r>
        <w:rPr>
          <w:color w:val="231F20"/>
          <w:spacing w:val="-10"/>
        </w:rPr>
        <w:t> </w:t>
      </w:r>
      <w:r>
        <w:rPr>
          <w:color w:val="231F20"/>
        </w:rPr>
        <w:t>и</w:t>
      </w:r>
      <w:r>
        <w:rPr>
          <w:color w:val="231F20"/>
          <w:spacing w:val="-10"/>
        </w:rPr>
        <w:t> </w:t>
      </w:r>
      <w:r>
        <w:rPr>
          <w:color w:val="231F20"/>
        </w:rPr>
        <w:t>пройдя тренинги, учителя будут знать, на какие подводные камни они могут натолкнуться при подготовке к урокам по технологии сотрудничества и обучения школьников.</w:t>
      </w:r>
    </w:p>
    <w:p>
      <w:pPr>
        <w:pStyle w:val="BodyText"/>
        <w:spacing w:line="235" w:lineRule="auto" w:before="3"/>
      </w:pPr>
      <w:r>
        <w:rPr>
          <w:color w:val="231F20"/>
        </w:rPr>
        <w:t>Переход</w:t>
      </w:r>
      <w:r>
        <w:rPr>
          <w:color w:val="231F20"/>
          <w:spacing w:val="-1"/>
        </w:rPr>
        <w:t> </w:t>
      </w:r>
      <w:r>
        <w:rPr>
          <w:color w:val="231F20"/>
        </w:rPr>
        <w:t>к</w:t>
      </w:r>
      <w:r>
        <w:rPr>
          <w:color w:val="231F20"/>
          <w:spacing w:val="-1"/>
        </w:rPr>
        <w:t> </w:t>
      </w:r>
      <w:r>
        <w:rPr>
          <w:color w:val="231F20"/>
        </w:rPr>
        <w:t>использованию</w:t>
      </w:r>
      <w:r>
        <w:rPr>
          <w:color w:val="231F20"/>
          <w:spacing w:val="-1"/>
        </w:rPr>
        <w:t> </w:t>
      </w:r>
      <w:r>
        <w:rPr>
          <w:color w:val="231F20"/>
        </w:rPr>
        <w:t>технологии</w:t>
      </w:r>
      <w:r>
        <w:rPr>
          <w:color w:val="231F20"/>
          <w:spacing w:val="-1"/>
        </w:rPr>
        <w:t> </w:t>
      </w:r>
      <w:r>
        <w:rPr>
          <w:color w:val="231F20"/>
        </w:rPr>
        <w:t>обучения</w:t>
      </w:r>
      <w:r>
        <w:rPr>
          <w:color w:val="231F20"/>
          <w:spacing w:val="-1"/>
        </w:rPr>
        <w:t> </w:t>
      </w:r>
      <w:r>
        <w:rPr>
          <w:color w:val="231F20"/>
        </w:rPr>
        <w:t>в</w:t>
      </w:r>
      <w:r>
        <w:rPr>
          <w:color w:val="231F20"/>
          <w:spacing w:val="-1"/>
        </w:rPr>
        <w:t> </w:t>
      </w:r>
      <w:r>
        <w:rPr>
          <w:color w:val="231F20"/>
        </w:rPr>
        <w:t>сотрудничестве</w:t>
      </w:r>
      <w:r>
        <w:rPr>
          <w:color w:val="231F20"/>
          <w:spacing w:val="-1"/>
        </w:rPr>
        <w:t> </w:t>
      </w:r>
      <w:r>
        <w:rPr>
          <w:color w:val="231F20"/>
        </w:rPr>
        <w:t>в</w:t>
      </w:r>
      <w:r>
        <w:rPr>
          <w:color w:val="231F20"/>
          <w:spacing w:val="-1"/>
        </w:rPr>
        <w:t> </w:t>
      </w:r>
      <w:r>
        <w:rPr>
          <w:color w:val="231F20"/>
        </w:rPr>
        <w:t>учебной</w:t>
      </w:r>
      <w:r>
        <w:rPr>
          <w:color w:val="231F20"/>
          <w:spacing w:val="-1"/>
        </w:rPr>
        <w:t> </w:t>
      </w:r>
      <w:r>
        <w:rPr>
          <w:color w:val="231F20"/>
        </w:rPr>
        <w:t>дея- тельности потребует от администрации школы и педагогического коллектива опре- деленных организационных и методических усилий. Этот переход может быть осу- ществлен в несколько этапов.</w:t>
      </w:r>
    </w:p>
    <w:p>
      <w:pPr>
        <w:spacing w:line="235" w:lineRule="auto" w:before="116"/>
        <w:ind w:left="141" w:right="139" w:firstLine="283"/>
        <w:jc w:val="right"/>
        <w:rPr>
          <w:sz w:val="20"/>
        </w:rPr>
      </w:pPr>
      <w:r>
        <w:rPr>
          <w:b/>
          <w:i/>
          <w:color w:val="231F20"/>
          <w:spacing w:val="-2"/>
          <w:sz w:val="20"/>
        </w:rPr>
        <w:t>Этап</w:t>
      </w:r>
      <w:r>
        <w:rPr>
          <w:b/>
          <w:i/>
          <w:color w:val="231F20"/>
          <w:spacing w:val="-10"/>
          <w:sz w:val="20"/>
        </w:rPr>
        <w:t> </w:t>
      </w:r>
      <w:r>
        <w:rPr>
          <w:b/>
          <w:i/>
          <w:color w:val="231F20"/>
          <w:spacing w:val="-2"/>
          <w:sz w:val="20"/>
        </w:rPr>
        <w:t>1.</w:t>
      </w:r>
      <w:r>
        <w:rPr>
          <w:b/>
          <w:i/>
          <w:color w:val="231F20"/>
          <w:spacing w:val="-9"/>
          <w:sz w:val="20"/>
        </w:rPr>
        <w:t> </w:t>
      </w:r>
      <w:r>
        <w:rPr>
          <w:i/>
          <w:color w:val="231F20"/>
          <w:spacing w:val="-2"/>
          <w:sz w:val="20"/>
        </w:rPr>
        <w:t>Привлечение</w:t>
      </w:r>
      <w:r>
        <w:rPr>
          <w:i/>
          <w:color w:val="231F20"/>
          <w:spacing w:val="-9"/>
          <w:sz w:val="20"/>
        </w:rPr>
        <w:t> </w:t>
      </w:r>
      <w:r>
        <w:rPr>
          <w:i/>
          <w:color w:val="231F20"/>
          <w:spacing w:val="-2"/>
          <w:sz w:val="20"/>
        </w:rPr>
        <w:t>внимания</w:t>
      </w:r>
      <w:r>
        <w:rPr>
          <w:i/>
          <w:color w:val="231F20"/>
          <w:spacing w:val="-9"/>
          <w:sz w:val="20"/>
        </w:rPr>
        <w:t> </w:t>
      </w:r>
      <w:r>
        <w:rPr>
          <w:i/>
          <w:color w:val="231F20"/>
          <w:spacing w:val="-2"/>
          <w:sz w:val="20"/>
        </w:rPr>
        <w:t>педагогов</w:t>
      </w:r>
      <w:r>
        <w:rPr>
          <w:i/>
          <w:color w:val="231F20"/>
          <w:spacing w:val="-10"/>
          <w:sz w:val="20"/>
        </w:rPr>
        <w:t> </w:t>
      </w:r>
      <w:r>
        <w:rPr>
          <w:i/>
          <w:color w:val="231F20"/>
          <w:spacing w:val="-2"/>
          <w:sz w:val="20"/>
        </w:rPr>
        <w:t>к</w:t>
      </w:r>
      <w:r>
        <w:rPr>
          <w:i/>
          <w:color w:val="231F20"/>
          <w:spacing w:val="-9"/>
          <w:sz w:val="20"/>
        </w:rPr>
        <w:t> </w:t>
      </w:r>
      <w:r>
        <w:rPr>
          <w:i/>
          <w:color w:val="231F20"/>
          <w:spacing w:val="-2"/>
          <w:sz w:val="20"/>
        </w:rPr>
        <w:t>технологии</w:t>
      </w:r>
      <w:r>
        <w:rPr>
          <w:i/>
          <w:color w:val="231F20"/>
          <w:spacing w:val="-9"/>
          <w:sz w:val="20"/>
        </w:rPr>
        <w:t> </w:t>
      </w:r>
      <w:r>
        <w:rPr>
          <w:i/>
          <w:color w:val="231F20"/>
          <w:spacing w:val="-2"/>
          <w:sz w:val="20"/>
        </w:rPr>
        <w:t>обучения</w:t>
      </w:r>
      <w:r>
        <w:rPr>
          <w:i/>
          <w:color w:val="231F20"/>
          <w:spacing w:val="-9"/>
          <w:sz w:val="20"/>
        </w:rPr>
        <w:t> </w:t>
      </w:r>
      <w:r>
        <w:rPr>
          <w:i/>
          <w:color w:val="231F20"/>
          <w:spacing w:val="-2"/>
          <w:sz w:val="20"/>
        </w:rPr>
        <w:t>в</w:t>
      </w:r>
      <w:r>
        <w:rPr>
          <w:i/>
          <w:color w:val="231F20"/>
          <w:spacing w:val="-9"/>
          <w:sz w:val="20"/>
        </w:rPr>
        <w:t> </w:t>
      </w:r>
      <w:r>
        <w:rPr>
          <w:i/>
          <w:color w:val="231F20"/>
          <w:spacing w:val="-2"/>
          <w:sz w:val="20"/>
        </w:rPr>
        <w:t>сотрудничестве </w:t>
      </w:r>
      <w:r>
        <w:rPr>
          <w:color w:val="231F20"/>
          <w:sz w:val="20"/>
        </w:rPr>
        <w:t>На этом этапе администрация школы формирует рабочую группу из числа наибо- </w:t>
      </w:r>
      <w:r>
        <w:rPr>
          <w:color w:val="231F20"/>
          <w:spacing w:val="-2"/>
          <w:sz w:val="20"/>
        </w:rPr>
        <w:t>лее опытных педагогов и методистов школы, интересующихся личностно-ориентиро- </w:t>
      </w:r>
      <w:r>
        <w:rPr>
          <w:color w:val="231F20"/>
          <w:sz w:val="20"/>
        </w:rPr>
        <w:t>ванными</w:t>
      </w:r>
      <w:r>
        <w:rPr>
          <w:color w:val="231F20"/>
          <w:spacing w:val="-5"/>
          <w:sz w:val="20"/>
        </w:rPr>
        <w:t> </w:t>
      </w:r>
      <w:r>
        <w:rPr>
          <w:color w:val="231F20"/>
          <w:sz w:val="20"/>
        </w:rPr>
        <w:t>методами</w:t>
      </w:r>
      <w:r>
        <w:rPr>
          <w:color w:val="231F20"/>
          <w:spacing w:val="-5"/>
          <w:sz w:val="20"/>
        </w:rPr>
        <w:t> </w:t>
      </w:r>
      <w:r>
        <w:rPr>
          <w:color w:val="231F20"/>
          <w:sz w:val="20"/>
        </w:rPr>
        <w:t>и</w:t>
      </w:r>
      <w:r>
        <w:rPr>
          <w:color w:val="231F20"/>
          <w:spacing w:val="-5"/>
          <w:sz w:val="20"/>
        </w:rPr>
        <w:t> </w:t>
      </w:r>
      <w:r>
        <w:rPr>
          <w:color w:val="231F20"/>
          <w:sz w:val="20"/>
        </w:rPr>
        <w:t>технологиями</w:t>
      </w:r>
      <w:r>
        <w:rPr>
          <w:color w:val="231F20"/>
          <w:spacing w:val="-5"/>
          <w:sz w:val="20"/>
        </w:rPr>
        <w:t> </w:t>
      </w:r>
      <w:r>
        <w:rPr>
          <w:color w:val="231F20"/>
          <w:sz w:val="20"/>
        </w:rPr>
        <w:t>обучения.</w:t>
      </w:r>
      <w:r>
        <w:rPr>
          <w:color w:val="231F20"/>
          <w:spacing w:val="-5"/>
          <w:sz w:val="20"/>
        </w:rPr>
        <w:t> </w:t>
      </w:r>
      <w:r>
        <w:rPr>
          <w:color w:val="231F20"/>
          <w:sz w:val="20"/>
        </w:rPr>
        <w:t>В</w:t>
      </w:r>
      <w:r>
        <w:rPr>
          <w:color w:val="231F20"/>
          <w:spacing w:val="-5"/>
          <w:sz w:val="20"/>
        </w:rPr>
        <w:t> </w:t>
      </w:r>
      <w:r>
        <w:rPr>
          <w:color w:val="231F20"/>
          <w:sz w:val="20"/>
        </w:rPr>
        <w:t>рабочую</w:t>
      </w:r>
      <w:r>
        <w:rPr>
          <w:color w:val="231F20"/>
          <w:spacing w:val="-5"/>
          <w:sz w:val="20"/>
        </w:rPr>
        <w:t> </w:t>
      </w:r>
      <w:r>
        <w:rPr>
          <w:color w:val="231F20"/>
          <w:sz w:val="20"/>
        </w:rPr>
        <w:t>группу</w:t>
      </w:r>
      <w:r>
        <w:rPr>
          <w:color w:val="231F20"/>
          <w:spacing w:val="-5"/>
          <w:sz w:val="20"/>
        </w:rPr>
        <w:t> </w:t>
      </w:r>
      <w:r>
        <w:rPr>
          <w:color w:val="231F20"/>
          <w:sz w:val="20"/>
        </w:rPr>
        <w:t>должен</w:t>
      </w:r>
      <w:r>
        <w:rPr>
          <w:color w:val="231F20"/>
          <w:spacing w:val="-5"/>
          <w:sz w:val="20"/>
        </w:rPr>
        <w:t> </w:t>
      </w:r>
      <w:r>
        <w:rPr>
          <w:color w:val="231F20"/>
          <w:sz w:val="20"/>
        </w:rPr>
        <w:t>быть</w:t>
      </w:r>
      <w:r>
        <w:rPr>
          <w:color w:val="231F20"/>
          <w:spacing w:val="-5"/>
          <w:sz w:val="20"/>
        </w:rPr>
        <w:t> </w:t>
      </w:r>
      <w:r>
        <w:rPr>
          <w:color w:val="231F20"/>
          <w:sz w:val="20"/>
        </w:rPr>
        <w:t>вклю- чен</w:t>
      </w:r>
      <w:r>
        <w:rPr>
          <w:color w:val="231F20"/>
          <w:spacing w:val="5"/>
          <w:sz w:val="20"/>
        </w:rPr>
        <w:t> </w:t>
      </w:r>
      <w:r>
        <w:rPr>
          <w:color w:val="231F20"/>
          <w:sz w:val="20"/>
        </w:rPr>
        <w:t>кто-то</w:t>
      </w:r>
      <w:r>
        <w:rPr>
          <w:color w:val="231F20"/>
          <w:spacing w:val="8"/>
          <w:sz w:val="20"/>
        </w:rPr>
        <w:t> </w:t>
      </w:r>
      <w:r>
        <w:rPr>
          <w:color w:val="231F20"/>
          <w:sz w:val="20"/>
        </w:rPr>
        <w:t>из</w:t>
      </w:r>
      <w:r>
        <w:rPr>
          <w:color w:val="231F20"/>
          <w:spacing w:val="9"/>
          <w:sz w:val="20"/>
        </w:rPr>
        <w:t> </w:t>
      </w:r>
      <w:r>
        <w:rPr>
          <w:color w:val="231F20"/>
          <w:sz w:val="20"/>
        </w:rPr>
        <w:t>администраторов,</w:t>
      </w:r>
      <w:r>
        <w:rPr>
          <w:color w:val="231F20"/>
          <w:spacing w:val="8"/>
          <w:sz w:val="20"/>
        </w:rPr>
        <w:t> </w:t>
      </w:r>
      <w:r>
        <w:rPr>
          <w:color w:val="231F20"/>
          <w:sz w:val="20"/>
        </w:rPr>
        <w:t>имеющих</w:t>
      </w:r>
      <w:r>
        <w:rPr>
          <w:color w:val="231F20"/>
          <w:spacing w:val="8"/>
          <w:sz w:val="20"/>
        </w:rPr>
        <w:t> </w:t>
      </w:r>
      <w:r>
        <w:rPr>
          <w:color w:val="231F20"/>
          <w:sz w:val="20"/>
        </w:rPr>
        <w:t>отношение</w:t>
      </w:r>
      <w:r>
        <w:rPr>
          <w:color w:val="231F20"/>
          <w:spacing w:val="9"/>
          <w:sz w:val="20"/>
        </w:rPr>
        <w:t> </w:t>
      </w:r>
      <w:r>
        <w:rPr>
          <w:color w:val="231F20"/>
          <w:sz w:val="20"/>
        </w:rPr>
        <w:t>к</w:t>
      </w:r>
      <w:r>
        <w:rPr>
          <w:color w:val="231F20"/>
          <w:spacing w:val="8"/>
          <w:sz w:val="20"/>
        </w:rPr>
        <w:t> </w:t>
      </w:r>
      <w:r>
        <w:rPr>
          <w:color w:val="231F20"/>
          <w:sz w:val="20"/>
        </w:rPr>
        <w:t>данному</w:t>
      </w:r>
      <w:r>
        <w:rPr>
          <w:color w:val="231F20"/>
          <w:spacing w:val="8"/>
          <w:sz w:val="20"/>
        </w:rPr>
        <w:t> </w:t>
      </w:r>
      <w:r>
        <w:rPr>
          <w:color w:val="231F20"/>
          <w:sz w:val="20"/>
        </w:rPr>
        <w:t>вопросу,</w:t>
      </w:r>
      <w:r>
        <w:rPr>
          <w:color w:val="231F20"/>
          <w:spacing w:val="8"/>
          <w:sz w:val="20"/>
        </w:rPr>
        <w:t> </w:t>
      </w:r>
      <w:r>
        <w:rPr>
          <w:color w:val="231F20"/>
          <w:spacing w:val="-2"/>
          <w:sz w:val="20"/>
        </w:rPr>
        <w:t>например</w:t>
      </w:r>
    </w:p>
    <w:p>
      <w:pPr>
        <w:pStyle w:val="BodyText"/>
        <w:spacing w:line="227" w:lineRule="exact"/>
        <w:ind w:right="0" w:firstLine="0"/>
      </w:pPr>
      <w:r>
        <w:rPr>
          <w:color w:val="231F20"/>
        </w:rPr>
        <w:t>заместитель</w:t>
      </w:r>
      <w:r>
        <w:rPr>
          <w:color w:val="231F20"/>
          <w:spacing w:val="-7"/>
        </w:rPr>
        <w:t> </w:t>
      </w:r>
      <w:r>
        <w:rPr>
          <w:color w:val="231F20"/>
        </w:rPr>
        <w:t>директора</w:t>
      </w:r>
      <w:r>
        <w:rPr>
          <w:color w:val="231F20"/>
          <w:spacing w:val="-5"/>
        </w:rPr>
        <w:t> </w:t>
      </w:r>
      <w:r>
        <w:rPr>
          <w:color w:val="231F20"/>
        </w:rPr>
        <w:t>по</w:t>
      </w:r>
      <w:r>
        <w:rPr>
          <w:color w:val="231F20"/>
          <w:spacing w:val="-5"/>
        </w:rPr>
        <w:t> </w:t>
      </w:r>
      <w:r>
        <w:rPr>
          <w:color w:val="231F20"/>
        </w:rPr>
        <w:t>содержанию</w:t>
      </w:r>
      <w:r>
        <w:rPr>
          <w:color w:val="231F20"/>
          <w:spacing w:val="-6"/>
        </w:rPr>
        <w:t> </w:t>
      </w:r>
      <w:r>
        <w:rPr>
          <w:color w:val="231F20"/>
          <w:spacing w:val="-2"/>
        </w:rPr>
        <w:t>образования.</w:t>
      </w:r>
    </w:p>
    <w:p>
      <w:pPr>
        <w:pStyle w:val="BodyText"/>
        <w:spacing w:line="235" w:lineRule="auto" w:before="2"/>
      </w:pPr>
      <w:r>
        <w:rPr>
          <w:color w:val="231F20"/>
        </w:rPr>
        <w:t>Рабочая группа организует и проводит тематический педсовет, посвященный во- просам</w:t>
      </w:r>
      <w:r>
        <w:rPr>
          <w:color w:val="231F20"/>
          <w:spacing w:val="-9"/>
        </w:rPr>
        <w:t> </w:t>
      </w:r>
      <w:r>
        <w:rPr>
          <w:color w:val="231F20"/>
        </w:rPr>
        <w:t>обучения</w:t>
      </w:r>
      <w:r>
        <w:rPr>
          <w:color w:val="231F20"/>
          <w:spacing w:val="-9"/>
        </w:rPr>
        <w:t> </w:t>
      </w:r>
      <w:r>
        <w:rPr>
          <w:color w:val="231F20"/>
        </w:rPr>
        <w:t>в</w:t>
      </w:r>
      <w:r>
        <w:rPr>
          <w:color w:val="231F20"/>
          <w:spacing w:val="-9"/>
        </w:rPr>
        <w:t> </w:t>
      </w:r>
      <w:r>
        <w:rPr>
          <w:color w:val="231F20"/>
        </w:rPr>
        <w:t>сотрудничестве.</w:t>
      </w:r>
      <w:r>
        <w:rPr>
          <w:color w:val="231F20"/>
          <w:spacing w:val="-9"/>
        </w:rPr>
        <w:t> </w:t>
      </w:r>
      <w:r>
        <w:rPr>
          <w:color w:val="231F20"/>
        </w:rPr>
        <w:t>В</w:t>
      </w:r>
      <w:r>
        <w:rPr>
          <w:color w:val="231F20"/>
          <w:spacing w:val="-9"/>
        </w:rPr>
        <w:t> </w:t>
      </w:r>
      <w:r>
        <w:rPr>
          <w:color w:val="231F20"/>
        </w:rPr>
        <w:t>процессе</w:t>
      </w:r>
      <w:r>
        <w:rPr>
          <w:color w:val="231F20"/>
          <w:spacing w:val="-9"/>
        </w:rPr>
        <w:t> </w:t>
      </w:r>
      <w:r>
        <w:rPr>
          <w:color w:val="231F20"/>
        </w:rPr>
        <w:t>знакомства</w:t>
      </w:r>
      <w:r>
        <w:rPr>
          <w:color w:val="231F20"/>
          <w:spacing w:val="-9"/>
        </w:rPr>
        <w:t> </w:t>
      </w:r>
      <w:r>
        <w:rPr>
          <w:color w:val="231F20"/>
        </w:rPr>
        <w:t>с</w:t>
      </w:r>
      <w:r>
        <w:rPr>
          <w:color w:val="231F20"/>
          <w:spacing w:val="-9"/>
        </w:rPr>
        <w:t> </w:t>
      </w:r>
      <w:r>
        <w:rPr>
          <w:color w:val="231F20"/>
        </w:rPr>
        <w:t>технологией</w:t>
      </w:r>
      <w:r>
        <w:rPr>
          <w:color w:val="231F20"/>
          <w:spacing w:val="-9"/>
        </w:rPr>
        <w:t> </w:t>
      </w:r>
      <w:r>
        <w:rPr>
          <w:color w:val="231F20"/>
        </w:rPr>
        <w:t>отмечается ее</w:t>
      </w:r>
      <w:r>
        <w:rPr>
          <w:color w:val="231F20"/>
          <w:spacing w:val="-4"/>
        </w:rPr>
        <w:t> </w:t>
      </w:r>
      <w:r>
        <w:rPr>
          <w:color w:val="231F20"/>
        </w:rPr>
        <w:t>эффективность</w:t>
      </w:r>
      <w:r>
        <w:rPr>
          <w:color w:val="231F20"/>
          <w:spacing w:val="-4"/>
        </w:rPr>
        <w:t> </w:t>
      </w:r>
      <w:r>
        <w:rPr>
          <w:color w:val="231F20"/>
        </w:rPr>
        <w:t>при</w:t>
      </w:r>
      <w:r>
        <w:rPr>
          <w:color w:val="231F20"/>
          <w:spacing w:val="-4"/>
        </w:rPr>
        <w:t> </w:t>
      </w:r>
      <w:r>
        <w:rPr>
          <w:color w:val="231F20"/>
        </w:rPr>
        <w:t>формировании</w:t>
      </w:r>
      <w:r>
        <w:rPr>
          <w:color w:val="231F20"/>
          <w:spacing w:val="-4"/>
        </w:rPr>
        <w:t> </w:t>
      </w:r>
      <w:r>
        <w:rPr>
          <w:color w:val="231F20"/>
        </w:rPr>
        <w:t>компетенций,</w:t>
      </w:r>
      <w:r>
        <w:rPr>
          <w:color w:val="231F20"/>
          <w:spacing w:val="-4"/>
        </w:rPr>
        <w:t> </w:t>
      </w:r>
      <w:r>
        <w:rPr>
          <w:color w:val="231F20"/>
        </w:rPr>
        <w:t>включенных</w:t>
      </w:r>
      <w:r>
        <w:rPr>
          <w:color w:val="231F20"/>
          <w:spacing w:val="-4"/>
        </w:rPr>
        <w:t> </w:t>
      </w:r>
      <w:r>
        <w:rPr>
          <w:color w:val="231F20"/>
        </w:rPr>
        <w:t>в</w:t>
      </w:r>
      <w:r>
        <w:rPr>
          <w:color w:val="231F20"/>
          <w:spacing w:val="-4"/>
        </w:rPr>
        <w:t> </w:t>
      </w:r>
      <w:r>
        <w:rPr>
          <w:color w:val="231F20"/>
        </w:rPr>
        <w:t>ФГОС</w:t>
      </w:r>
      <w:r>
        <w:rPr>
          <w:color w:val="231F20"/>
          <w:spacing w:val="-4"/>
        </w:rPr>
        <w:t> </w:t>
      </w:r>
      <w:r>
        <w:rPr>
          <w:color w:val="231F20"/>
        </w:rPr>
        <w:t>нового</w:t>
      </w:r>
      <w:r>
        <w:rPr>
          <w:color w:val="231F20"/>
          <w:spacing w:val="-4"/>
        </w:rPr>
        <w:t> </w:t>
      </w:r>
      <w:r>
        <w:rPr>
          <w:color w:val="231F20"/>
        </w:rPr>
        <w:t>по- коления,</w:t>
      </w:r>
      <w:r>
        <w:rPr>
          <w:color w:val="231F20"/>
          <w:spacing w:val="-10"/>
        </w:rPr>
        <w:t> </w:t>
      </w:r>
      <w:r>
        <w:rPr>
          <w:color w:val="231F20"/>
        </w:rPr>
        <w:t>и</w:t>
      </w:r>
      <w:r>
        <w:rPr>
          <w:color w:val="231F20"/>
          <w:spacing w:val="-10"/>
        </w:rPr>
        <w:t> </w:t>
      </w:r>
      <w:r>
        <w:rPr>
          <w:color w:val="231F20"/>
        </w:rPr>
        <w:t>связь</w:t>
      </w:r>
      <w:r>
        <w:rPr>
          <w:color w:val="231F20"/>
          <w:spacing w:val="-10"/>
        </w:rPr>
        <w:t> </w:t>
      </w:r>
      <w:r>
        <w:rPr>
          <w:color w:val="231F20"/>
        </w:rPr>
        <w:t>с</w:t>
      </w:r>
      <w:r>
        <w:rPr>
          <w:color w:val="231F20"/>
          <w:spacing w:val="-10"/>
        </w:rPr>
        <w:t> </w:t>
      </w:r>
      <w:r>
        <w:rPr>
          <w:color w:val="231F20"/>
        </w:rPr>
        <w:t>современными</w:t>
      </w:r>
      <w:r>
        <w:rPr>
          <w:color w:val="231F20"/>
          <w:spacing w:val="-10"/>
        </w:rPr>
        <w:t> </w:t>
      </w:r>
      <w:r>
        <w:rPr>
          <w:color w:val="231F20"/>
        </w:rPr>
        <w:t>требованиями</w:t>
      </w:r>
      <w:r>
        <w:rPr>
          <w:color w:val="231F20"/>
          <w:spacing w:val="-10"/>
        </w:rPr>
        <w:t> </w:t>
      </w:r>
      <w:r>
        <w:rPr>
          <w:color w:val="231F20"/>
        </w:rPr>
        <w:t>к</w:t>
      </w:r>
      <w:r>
        <w:rPr>
          <w:color w:val="231F20"/>
          <w:spacing w:val="-10"/>
        </w:rPr>
        <w:t> </w:t>
      </w:r>
      <w:r>
        <w:rPr>
          <w:color w:val="231F20"/>
        </w:rPr>
        <w:t>организации</w:t>
      </w:r>
      <w:r>
        <w:rPr>
          <w:color w:val="231F20"/>
          <w:spacing w:val="-10"/>
        </w:rPr>
        <w:t> </w:t>
      </w:r>
      <w:r>
        <w:rPr>
          <w:color w:val="231F20"/>
        </w:rPr>
        <w:t>учебной</w:t>
      </w:r>
      <w:r>
        <w:rPr>
          <w:color w:val="231F20"/>
          <w:spacing w:val="-10"/>
        </w:rPr>
        <w:t> </w:t>
      </w:r>
      <w:r>
        <w:rPr>
          <w:color w:val="231F20"/>
        </w:rPr>
        <w:t>деятельности учащихся.</w:t>
      </w:r>
      <w:r>
        <w:rPr>
          <w:color w:val="231F20"/>
          <w:spacing w:val="-12"/>
        </w:rPr>
        <w:t> </w:t>
      </w:r>
      <w:r>
        <w:rPr>
          <w:color w:val="231F20"/>
        </w:rPr>
        <w:t>После</w:t>
      </w:r>
      <w:r>
        <w:rPr>
          <w:color w:val="231F20"/>
          <w:spacing w:val="-12"/>
        </w:rPr>
        <w:t> </w:t>
      </w:r>
      <w:r>
        <w:rPr>
          <w:color w:val="231F20"/>
        </w:rPr>
        <w:t>педагогического</w:t>
      </w:r>
      <w:r>
        <w:rPr>
          <w:color w:val="231F20"/>
          <w:spacing w:val="-12"/>
        </w:rPr>
        <w:t> </w:t>
      </w:r>
      <w:r>
        <w:rPr>
          <w:color w:val="231F20"/>
        </w:rPr>
        <w:t>совета,</w:t>
      </w:r>
      <w:r>
        <w:rPr>
          <w:color w:val="231F20"/>
          <w:spacing w:val="-12"/>
        </w:rPr>
        <w:t> </w:t>
      </w:r>
      <w:r>
        <w:rPr>
          <w:color w:val="231F20"/>
        </w:rPr>
        <w:t>на</w:t>
      </w:r>
      <w:r>
        <w:rPr>
          <w:color w:val="231F20"/>
          <w:spacing w:val="-12"/>
        </w:rPr>
        <w:t> </w:t>
      </w:r>
      <w:r>
        <w:rPr>
          <w:color w:val="231F20"/>
        </w:rPr>
        <w:t>котором</w:t>
      </w:r>
      <w:r>
        <w:rPr>
          <w:color w:val="231F20"/>
          <w:spacing w:val="-12"/>
        </w:rPr>
        <w:t> </w:t>
      </w:r>
      <w:r>
        <w:rPr>
          <w:color w:val="231F20"/>
        </w:rPr>
        <w:t>рассматриваются</w:t>
      </w:r>
      <w:r>
        <w:rPr>
          <w:color w:val="231F20"/>
          <w:spacing w:val="-12"/>
        </w:rPr>
        <w:t> </w:t>
      </w:r>
      <w:r>
        <w:rPr>
          <w:color w:val="231F20"/>
        </w:rPr>
        <w:t>общие</w:t>
      </w:r>
      <w:r>
        <w:rPr>
          <w:color w:val="231F20"/>
          <w:spacing w:val="-12"/>
        </w:rPr>
        <w:t> </w:t>
      </w:r>
      <w:r>
        <w:rPr>
          <w:color w:val="231F20"/>
        </w:rPr>
        <w:t>вопро- сы</w:t>
      </w:r>
      <w:r>
        <w:rPr>
          <w:color w:val="231F20"/>
          <w:spacing w:val="-2"/>
        </w:rPr>
        <w:t> </w:t>
      </w:r>
      <w:r>
        <w:rPr>
          <w:color w:val="231F20"/>
        </w:rPr>
        <w:t>технологии</w:t>
      </w:r>
      <w:r>
        <w:rPr>
          <w:color w:val="231F20"/>
          <w:spacing w:val="-1"/>
        </w:rPr>
        <w:t> </w:t>
      </w:r>
      <w:r>
        <w:rPr>
          <w:color w:val="231F20"/>
        </w:rPr>
        <w:t>обучения</w:t>
      </w:r>
      <w:r>
        <w:rPr>
          <w:color w:val="231F20"/>
          <w:spacing w:val="-1"/>
        </w:rPr>
        <w:t> </w:t>
      </w:r>
      <w:r>
        <w:rPr>
          <w:color w:val="231F20"/>
        </w:rPr>
        <w:t>в</w:t>
      </w:r>
      <w:r>
        <w:rPr>
          <w:color w:val="231F20"/>
          <w:spacing w:val="-2"/>
        </w:rPr>
        <w:t> </w:t>
      </w:r>
      <w:r>
        <w:rPr>
          <w:color w:val="231F20"/>
        </w:rPr>
        <w:t>сотрудничестве,</w:t>
      </w:r>
      <w:r>
        <w:rPr>
          <w:color w:val="231F20"/>
          <w:spacing w:val="-2"/>
        </w:rPr>
        <w:t> </w:t>
      </w:r>
      <w:r>
        <w:rPr>
          <w:color w:val="231F20"/>
        </w:rPr>
        <w:t>обсуждение</w:t>
      </w:r>
      <w:r>
        <w:rPr>
          <w:color w:val="231F20"/>
          <w:spacing w:val="-2"/>
        </w:rPr>
        <w:t> </w:t>
      </w:r>
      <w:r>
        <w:rPr>
          <w:color w:val="231F20"/>
        </w:rPr>
        <w:t>продолжается</w:t>
      </w:r>
      <w:r>
        <w:rPr>
          <w:color w:val="231F20"/>
          <w:spacing w:val="-2"/>
        </w:rPr>
        <w:t> </w:t>
      </w:r>
      <w:r>
        <w:rPr>
          <w:color w:val="231F20"/>
        </w:rPr>
        <w:t>на</w:t>
      </w:r>
      <w:r>
        <w:rPr>
          <w:color w:val="231F20"/>
          <w:spacing w:val="-1"/>
        </w:rPr>
        <w:t> </w:t>
      </w:r>
      <w:r>
        <w:rPr>
          <w:color w:val="231F20"/>
        </w:rPr>
        <w:t>заседаниях методических объединений школы, где учителя-предметники вопрос подготовки и проведения серии уроков по технологии обучения в сотрудничестве рассматривают более конкретно. Определяется потенциальная возможность проведения как моно- предметных, так и межпредметных уроков (с объединением учебных часов по двум и более предметам), разработки учебных проблем, что невозможно без привлечения знаний и методологии нескольких предметных дисциплин.</w:t>
      </w:r>
    </w:p>
    <w:p>
      <w:pPr>
        <w:spacing w:line="228" w:lineRule="exact" w:before="117"/>
        <w:ind w:left="425" w:right="0" w:firstLine="0"/>
        <w:jc w:val="both"/>
        <w:rPr>
          <w:i/>
          <w:sz w:val="20"/>
        </w:rPr>
      </w:pPr>
      <w:r>
        <w:rPr>
          <w:b/>
          <w:i/>
          <w:color w:val="231F20"/>
          <w:sz w:val="20"/>
        </w:rPr>
        <w:t>Этап</w:t>
      </w:r>
      <w:r>
        <w:rPr>
          <w:b/>
          <w:i/>
          <w:color w:val="231F20"/>
          <w:spacing w:val="-10"/>
          <w:sz w:val="20"/>
        </w:rPr>
        <w:t> </w:t>
      </w:r>
      <w:r>
        <w:rPr>
          <w:b/>
          <w:i/>
          <w:color w:val="231F20"/>
          <w:sz w:val="20"/>
        </w:rPr>
        <w:t>2.</w:t>
      </w:r>
      <w:r>
        <w:rPr>
          <w:b/>
          <w:i/>
          <w:color w:val="231F20"/>
          <w:spacing w:val="-7"/>
          <w:sz w:val="20"/>
        </w:rPr>
        <w:t> </w:t>
      </w:r>
      <w:r>
        <w:rPr>
          <w:i/>
          <w:color w:val="231F20"/>
          <w:sz w:val="20"/>
        </w:rPr>
        <w:t>Формирование</w:t>
      </w:r>
      <w:r>
        <w:rPr>
          <w:i/>
          <w:color w:val="231F20"/>
          <w:spacing w:val="-8"/>
          <w:sz w:val="20"/>
        </w:rPr>
        <w:t> </w:t>
      </w:r>
      <w:r>
        <w:rPr>
          <w:i/>
          <w:color w:val="231F20"/>
          <w:sz w:val="20"/>
        </w:rPr>
        <w:t>группы</w:t>
      </w:r>
      <w:r>
        <w:rPr>
          <w:i/>
          <w:color w:val="231F20"/>
          <w:spacing w:val="-7"/>
          <w:sz w:val="20"/>
        </w:rPr>
        <w:t> </w:t>
      </w:r>
      <w:r>
        <w:rPr>
          <w:i/>
          <w:color w:val="231F20"/>
          <w:sz w:val="20"/>
        </w:rPr>
        <w:t>педагогов</w:t>
      </w:r>
      <w:r>
        <w:rPr>
          <w:i/>
          <w:color w:val="231F20"/>
          <w:spacing w:val="-8"/>
          <w:sz w:val="20"/>
        </w:rPr>
        <w:t> </w:t>
      </w:r>
      <w:r>
        <w:rPr>
          <w:i/>
          <w:color w:val="231F20"/>
          <w:sz w:val="20"/>
        </w:rPr>
        <w:t>для</w:t>
      </w:r>
      <w:r>
        <w:rPr>
          <w:i/>
          <w:color w:val="231F20"/>
          <w:spacing w:val="-7"/>
          <w:sz w:val="20"/>
        </w:rPr>
        <w:t> </w:t>
      </w:r>
      <w:r>
        <w:rPr>
          <w:i/>
          <w:color w:val="231F20"/>
          <w:sz w:val="20"/>
        </w:rPr>
        <w:t>прохождения</w:t>
      </w:r>
      <w:r>
        <w:rPr>
          <w:i/>
          <w:color w:val="231F20"/>
          <w:spacing w:val="-7"/>
          <w:sz w:val="20"/>
        </w:rPr>
        <w:t> </w:t>
      </w:r>
      <w:r>
        <w:rPr>
          <w:i/>
          <w:color w:val="231F20"/>
          <w:spacing w:val="-2"/>
          <w:sz w:val="20"/>
        </w:rPr>
        <w:t>тренинга</w:t>
      </w:r>
    </w:p>
    <w:p>
      <w:pPr>
        <w:pStyle w:val="BodyText"/>
        <w:spacing w:line="235" w:lineRule="auto" w:before="2"/>
      </w:pPr>
      <w:r>
        <w:rPr>
          <w:color w:val="231F20"/>
        </w:rPr>
        <w:t>После</w:t>
      </w:r>
      <w:r>
        <w:rPr>
          <w:color w:val="231F20"/>
          <w:spacing w:val="-13"/>
        </w:rPr>
        <w:t> </w:t>
      </w:r>
      <w:r>
        <w:rPr>
          <w:color w:val="231F20"/>
        </w:rPr>
        <w:t>обсуждения</w:t>
      </w:r>
      <w:r>
        <w:rPr>
          <w:color w:val="231F20"/>
          <w:spacing w:val="-12"/>
        </w:rPr>
        <w:t> </w:t>
      </w:r>
      <w:r>
        <w:rPr>
          <w:color w:val="231F20"/>
        </w:rPr>
        <w:t>вопроса</w:t>
      </w:r>
      <w:r>
        <w:rPr>
          <w:color w:val="231F20"/>
          <w:spacing w:val="-13"/>
        </w:rPr>
        <w:t> </w:t>
      </w:r>
      <w:r>
        <w:rPr>
          <w:color w:val="231F20"/>
        </w:rPr>
        <w:t>использования</w:t>
      </w:r>
      <w:r>
        <w:rPr>
          <w:color w:val="231F20"/>
          <w:spacing w:val="-12"/>
        </w:rPr>
        <w:t> </w:t>
      </w:r>
      <w:r>
        <w:rPr>
          <w:color w:val="231F20"/>
        </w:rPr>
        <w:t>технологии</w:t>
      </w:r>
      <w:r>
        <w:rPr>
          <w:color w:val="231F20"/>
          <w:spacing w:val="-13"/>
        </w:rPr>
        <w:t> </w:t>
      </w:r>
      <w:r>
        <w:rPr>
          <w:color w:val="231F20"/>
        </w:rPr>
        <w:t>обучения</w:t>
      </w:r>
      <w:r>
        <w:rPr>
          <w:color w:val="231F20"/>
          <w:spacing w:val="-12"/>
        </w:rPr>
        <w:t> </w:t>
      </w:r>
      <w:r>
        <w:rPr>
          <w:color w:val="231F20"/>
        </w:rPr>
        <w:t>в</w:t>
      </w:r>
      <w:r>
        <w:rPr>
          <w:color w:val="231F20"/>
          <w:spacing w:val="-13"/>
        </w:rPr>
        <w:t> </w:t>
      </w:r>
      <w:r>
        <w:rPr>
          <w:color w:val="231F20"/>
        </w:rPr>
        <w:t>сотрудничестве </w:t>
      </w:r>
      <w:r>
        <w:rPr>
          <w:color w:val="231F20"/>
          <w:spacing w:val="-4"/>
        </w:rPr>
        <w:t>на уроках, проведенного на заседаниях методических объединений, председатель мето- </w:t>
      </w:r>
      <w:r>
        <w:rPr>
          <w:color w:val="231F20"/>
        </w:rPr>
        <w:t>добъединения</w:t>
      </w:r>
      <w:r>
        <w:rPr>
          <w:color w:val="231F20"/>
          <w:spacing w:val="-13"/>
        </w:rPr>
        <w:t> </w:t>
      </w:r>
      <w:r>
        <w:rPr>
          <w:color w:val="231F20"/>
        </w:rPr>
        <w:t>передает</w:t>
      </w:r>
      <w:r>
        <w:rPr>
          <w:color w:val="231F20"/>
          <w:spacing w:val="-12"/>
        </w:rPr>
        <w:t> </w:t>
      </w:r>
      <w:r>
        <w:rPr>
          <w:color w:val="231F20"/>
        </w:rPr>
        <w:t>рабочей</w:t>
      </w:r>
      <w:r>
        <w:rPr>
          <w:color w:val="231F20"/>
          <w:spacing w:val="-13"/>
        </w:rPr>
        <w:t> </w:t>
      </w:r>
      <w:r>
        <w:rPr>
          <w:color w:val="231F20"/>
        </w:rPr>
        <w:t>группе</w:t>
      </w:r>
      <w:r>
        <w:rPr>
          <w:color w:val="231F20"/>
          <w:spacing w:val="-12"/>
        </w:rPr>
        <w:t> </w:t>
      </w:r>
      <w:r>
        <w:rPr>
          <w:color w:val="231F20"/>
        </w:rPr>
        <w:t>список</w:t>
      </w:r>
      <w:r>
        <w:rPr>
          <w:color w:val="231F20"/>
          <w:spacing w:val="-13"/>
        </w:rPr>
        <w:t> </w:t>
      </w:r>
      <w:r>
        <w:rPr>
          <w:color w:val="231F20"/>
        </w:rPr>
        <w:t>учителей,</w:t>
      </w:r>
      <w:r>
        <w:rPr>
          <w:color w:val="231F20"/>
          <w:spacing w:val="-12"/>
        </w:rPr>
        <w:t> </w:t>
      </w:r>
      <w:r>
        <w:rPr>
          <w:color w:val="231F20"/>
        </w:rPr>
        <w:t>которые</w:t>
      </w:r>
      <w:r>
        <w:rPr>
          <w:color w:val="231F20"/>
          <w:spacing w:val="-13"/>
        </w:rPr>
        <w:t> </w:t>
      </w:r>
      <w:r>
        <w:rPr>
          <w:color w:val="231F20"/>
        </w:rPr>
        <w:t>высказали</w:t>
      </w:r>
      <w:r>
        <w:rPr>
          <w:color w:val="231F20"/>
          <w:spacing w:val="-12"/>
        </w:rPr>
        <w:t> </w:t>
      </w:r>
      <w:r>
        <w:rPr>
          <w:color w:val="231F20"/>
        </w:rPr>
        <w:t>желание </w:t>
      </w:r>
      <w:r>
        <w:rPr>
          <w:color w:val="231F20"/>
          <w:spacing w:val="-2"/>
        </w:rPr>
        <w:t>пройти</w:t>
      </w:r>
      <w:r>
        <w:rPr>
          <w:color w:val="231F20"/>
          <w:spacing w:val="-7"/>
        </w:rPr>
        <w:t> </w:t>
      </w:r>
      <w:r>
        <w:rPr>
          <w:color w:val="231F20"/>
          <w:spacing w:val="-2"/>
        </w:rPr>
        <w:t>тренинг</w:t>
      </w:r>
      <w:r>
        <w:rPr>
          <w:color w:val="231F20"/>
          <w:spacing w:val="-7"/>
        </w:rPr>
        <w:t> </w:t>
      </w:r>
      <w:r>
        <w:rPr>
          <w:color w:val="231F20"/>
          <w:spacing w:val="-2"/>
        </w:rPr>
        <w:t>и</w:t>
      </w:r>
      <w:r>
        <w:rPr>
          <w:color w:val="231F20"/>
          <w:spacing w:val="-7"/>
        </w:rPr>
        <w:t> </w:t>
      </w:r>
      <w:r>
        <w:rPr>
          <w:color w:val="231F20"/>
          <w:spacing w:val="-2"/>
        </w:rPr>
        <w:t>провести</w:t>
      </w:r>
      <w:r>
        <w:rPr>
          <w:color w:val="231F20"/>
          <w:spacing w:val="-7"/>
        </w:rPr>
        <w:t> </w:t>
      </w:r>
      <w:r>
        <w:rPr>
          <w:color w:val="231F20"/>
          <w:spacing w:val="-2"/>
        </w:rPr>
        <w:t>серию</w:t>
      </w:r>
      <w:r>
        <w:rPr>
          <w:color w:val="231F20"/>
          <w:spacing w:val="-7"/>
        </w:rPr>
        <w:t> </w:t>
      </w:r>
      <w:r>
        <w:rPr>
          <w:color w:val="231F20"/>
          <w:spacing w:val="-2"/>
        </w:rPr>
        <w:t>уроков</w:t>
      </w:r>
      <w:r>
        <w:rPr>
          <w:color w:val="231F20"/>
          <w:spacing w:val="-7"/>
        </w:rPr>
        <w:t> </w:t>
      </w:r>
      <w:r>
        <w:rPr>
          <w:color w:val="231F20"/>
          <w:spacing w:val="-2"/>
        </w:rPr>
        <w:t>с</w:t>
      </w:r>
      <w:r>
        <w:rPr>
          <w:color w:val="231F20"/>
          <w:spacing w:val="-7"/>
        </w:rPr>
        <w:t> </w:t>
      </w:r>
      <w:r>
        <w:rPr>
          <w:color w:val="231F20"/>
          <w:spacing w:val="-2"/>
        </w:rPr>
        <w:t>использованием</w:t>
      </w:r>
      <w:r>
        <w:rPr>
          <w:color w:val="231F20"/>
          <w:spacing w:val="-7"/>
        </w:rPr>
        <w:t> </w:t>
      </w:r>
      <w:r>
        <w:rPr>
          <w:color w:val="231F20"/>
          <w:spacing w:val="-2"/>
        </w:rPr>
        <w:t>технологии</w:t>
      </w:r>
      <w:r>
        <w:rPr>
          <w:color w:val="231F20"/>
          <w:spacing w:val="-7"/>
        </w:rPr>
        <w:t> </w:t>
      </w:r>
      <w:r>
        <w:rPr>
          <w:color w:val="231F20"/>
          <w:spacing w:val="-2"/>
        </w:rPr>
        <w:t>обучения</w:t>
      </w:r>
      <w:r>
        <w:rPr>
          <w:color w:val="231F20"/>
          <w:spacing w:val="-7"/>
        </w:rPr>
        <w:t> </w:t>
      </w:r>
      <w:r>
        <w:rPr>
          <w:color w:val="231F20"/>
          <w:spacing w:val="-2"/>
        </w:rPr>
        <w:t>в</w:t>
      </w:r>
      <w:r>
        <w:rPr>
          <w:color w:val="231F20"/>
          <w:spacing w:val="-7"/>
        </w:rPr>
        <w:t> </w:t>
      </w:r>
      <w:r>
        <w:rPr>
          <w:color w:val="231F20"/>
          <w:spacing w:val="-2"/>
        </w:rPr>
        <w:t>со-</w:t>
      </w:r>
    </w:p>
    <w:p>
      <w:pPr>
        <w:pStyle w:val="BodyText"/>
        <w:spacing w:after="0" w:line="235" w:lineRule="auto"/>
        <w:sectPr>
          <w:pgSz w:w="8400" w:h="11910"/>
          <w:pgMar w:header="0" w:footer="530" w:top="400" w:bottom="72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6"/>
          <w:sz w:val="18"/>
        </w:rPr>
        <w:t> </w:t>
      </w:r>
      <w:r>
        <w:rPr>
          <w:rFonts w:ascii="Georgia" w:hAnsi="Georgia"/>
          <w:color w:val="231F20"/>
          <w:sz w:val="18"/>
        </w:rPr>
        <w:t>Организация</w:t>
      </w:r>
      <w:r>
        <w:rPr>
          <w:rFonts w:ascii="Georgia" w:hAnsi="Georgia"/>
          <w:color w:val="231F20"/>
          <w:spacing w:val="7"/>
          <w:sz w:val="18"/>
        </w:rPr>
        <w:t> </w:t>
      </w:r>
      <w:r>
        <w:rPr>
          <w:rFonts w:ascii="Georgia" w:hAnsi="Georgia"/>
          <w:color w:val="231F20"/>
          <w:sz w:val="18"/>
        </w:rPr>
        <w:t>групповой</w:t>
      </w:r>
      <w:r>
        <w:rPr>
          <w:rFonts w:ascii="Georgia" w:hAnsi="Georgia"/>
          <w:color w:val="231F20"/>
          <w:spacing w:val="7"/>
          <w:sz w:val="18"/>
        </w:rPr>
        <w:t> </w:t>
      </w:r>
      <w:r>
        <w:rPr>
          <w:rFonts w:ascii="Georgia" w:hAnsi="Georgia"/>
          <w:color w:val="231F20"/>
          <w:sz w:val="18"/>
        </w:rPr>
        <w:t>учебной</w:t>
      </w:r>
      <w:r>
        <w:rPr>
          <w:rFonts w:ascii="Georgia" w:hAnsi="Georgia"/>
          <w:color w:val="231F20"/>
          <w:spacing w:val="6"/>
          <w:sz w:val="18"/>
        </w:rPr>
        <w:t> </w:t>
      </w:r>
      <w:r>
        <w:rPr>
          <w:rFonts w:ascii="Georgia" w:hAnsi="Georgia"/>
          <w:color w:val="231F20"/>
          <w:sz w:val="18"/>
        </w:rPr>
        <w:t>работы</w:t>
      </w:r>
      <w:r>
        <w:rPr>
          <w:rFonts w:ascii="Georgia" w:hAnsi="Georgia"/>
          <w:color w:val="231F20"/>
          <w:spacing w:val="7"/>
          <w:sz w:val="18"/>
        </w:rPr>
        <w:t> </w:t>
      </w:r>
      <w:r>
        <w:rPr>
          <w:rFonts w:ascii="Georgia" w:hAnsi="Georgia"/>
          <w:color w:val="231F20"/>
          <w:sz w:val="18"/>
        </w:rPr>
        <w:t>учащихся</w:t>
      </w:r>
      <w:r>
        <w:rPr>
          <w:rFonts w:ascii="Georgia" w:hAnsi="Georgia"/>
          <w:color w:val="231F20"/>
          <w:spacing w:val="7"/>
          <w:sz w:val="18"/>
        </w:rPr>
        <w:t> </w:t>
      </w:r>
      <w:r>
        <w:rPr>
          <w:rFonts w:ascii="Georgia" w:hAnsi="Georgia"/>
          <w:color w:val="231F20"/>
          <w:sz w:val="18"/>
        </w:rPr>
        <w:t>в</w:t>
      </w:r>
      <w:r>
        <w:rPr>
          <w:rFonts w:ascii="Georgia" w:hAnsi="Georgia"/>
          <w:color w:val="231F20"/>
          <w:spacing w:val="6"/>
          <w:sz w:val="18"/>
        </w:rPr>
        <w:t> </w:t>
      </w:r>
      <w:r>
        <w:rPr>
          <w:rFonts w:ascii="Georgia" w:hAnsi="Georgia"/>
          <w:color w:val="231F20"/>
          <w:sz w:val="18"/>
        </w:rPr>
        <w:t>поликультурном</w:t>
      </w:r>
      <w:r>
        <w:rPr>
          <w:rFonts w:ascii="Georgia" w:hAnsi="Georgia"/>
          <w:color w:val="231F20"/>
          <w:spacing w:val="7"/>
          <w:sz w:val="18"/>
        </w:rPr>
        <w:t> </w:t>
      </w:r>
      <w:r>
        <w:rPr>
          <w:rFonts w:ascii="Georgia" w:hAnsi="Georgia"/>
          <w:color w:val="231F20"/>
          <w:spacing w:val="-2"/>
          <w:sz w:val="18"/>
        </w:rPr>
        <w:t>классе...</w:t>
      </w:r>
    </w:p>
    <w:p>
      <w:pPr>
        <w:pStyle w:val="BodyText"/>
        <w:spacing w:line="235" w:lineRule="auto" w:before="116"/>
        <w:ind w:right="140" w:firstLine="0"/>
      </w:pPr>
      <w:r>
        <w:rPr>
          <w:color w:val="231F20"/>
          <w:spacing w:val="-4"/>
        </w:rPr>
        <w:t>трудничестве.</w:t>
      </w:r>
      <w:r>
        <w:rPr>
          <w:color w:val="231F20"/>
          <w:spacing w:val="-9"/>
        </w:rPr>
        <w:t> </w:t>
      </w:r>
      <w:r>
        <w:rPr>
          <w:color w:val="231F20"/>
          <w:spacing w:val="-4"/>
        </w:rPr>
        <w:t>Желательно,</w:t>
      </w:r>
      <w:r>
        <w:rPr>
          <w:color w:val="231F20"/>
          <w:spacing w:val="-8"/>
        </w:rPr>
        <w:t> </w:t>
      </w:r>
      <w:r>
        <w:rPr>
          <w:color w:val="231F20"/>
          <w:spacing w:val="-4"/>
        </w:rPr>
        <w:t>чтобы</w:t>
      </w:r>
      <w:r>
        <w:rPr>
          <w:color w:val="231F20"/>
          <w:spacing w:val="-9"/>
        </w:rPr>
        <w:t> </w:t>
      </w:r>
      <w:r>
        <w:rPr>
          <w:color w:val="231F20"/>
          <w:spacing w:val="-4"/>
        </w:rPr>
        <w:t>общее</w:t>
      </w:r>
      <w:r>
        <w:rPr>
          <w:color w:val="231F20"/>
          <w:spacing w:val="-8"/>
        </w:rPr>
        <w:t> </w:t>
      </w:r>
      <w:r>
        <w:rPr>
          <w:color w:val="231F20"/>
          <w:spacing w:val="-4"/>
        </w:rPr>
        <w:t>количество</w:t>
      </w:r>
      <w:r>
        <w:rPr>
          <w:color w:val="231F20"/>
          <w:spacing w:val="-9"/>
        </w:rPr>
        <w:t> </w:t>
      </w:r>
      <w:r>
        <w:rPr>
          <w:color w:val="231F20"/>
          <w:spacing w:val="-4"/>
        </w:rPr>
        <w:t>участников</w:t>
      </w:r>
      <w:r>
        <w:rPr>
          <w:color w:val="231F20"/>
          <w:spacing w:val="-8"/>
        </w:rPr>
        <w:t> </w:t>
      </w:r>
      <w:r>
        <w:rPr>
          <w:color w:val="231F20"/>
          <w:spacing w:val="-4"/>
        </w:rPr>
        <w:t>тренинга</w:t>
      </w:r>
      <w:r>
        <w:rPr>
          <w:color w:val="231F20"/>
          <w:spacing w:val="-9"/>
        </w:rPr>
        <w:t> </w:t>
      </w:r>
      <w:r>
        <w:rPr>
          <w:color w:val="231F20"/>
          <w:spacing w:val="-4"/>
        </w:rPr>
        <w:t>не</w:t>
      </w:r>
      <w:r>
        <w:rPr>
          <w:color w:val="231F20"/>
          <w:spacing w:val="-8"/>
        </w:rPr>
        <w:t> </w:t>
      </w:r>
      <w:r>
        <w:rPr>
          <w:color w:val="231F20"/>
          <w:spacing w:val="-4"/>
        </w:rPr>
        <w:t>превышало </w:t>
      </w:r>
      <w:r>
        <w:rPr>
          <w:color w:val="231F20"/>
        </w:rPr>
        <w:t>среднюю</w:t>
      </w:r>
      <w:r>
        <w:rPr>
          <w:color w:val="231F20"/>
          <w:spacing w:val="-13"/>
        </w:rPr>
        <w:t> </w:t>
      </w:r>
      <w:r>
        <w:rPr>
          <w:color w:val="231F20"/>
        </w:rPr>
        <w:t>численность</w:t>
      </w:r>
      <w:r>
        <w:rPr>
          <w:color w:val="231F20"/>
          <w:spacing w:val="-12"/>
        </w:rPr>
        <w:t> </w:t>
      </w:r>
      <w:r>
        <w:rPr>
          <w:color w:val="231F20"/>
        </w:rPr>
        <w:t>учащихся</w:t>
      </w:r>
      <w:r>
        <w:rPr>
          <w:color w:val="231F20"/>
          <w:spacing w:val="-13"/>
        </w:rPr>
        <w:t> </w:t>
      </w:r>
      <w:r>
        <w:rPr>
          <w:color w:val="231F20"/>
        </w:rPr>
        <w:t>в</w:t>
      </w:r>
      <w:r>
        <w:rPr>
          <w:color w:val="231F20"/>
          <w:spacing w:val="-12"/>
        </w:rPr>
        <w:t> </w:t>
      </w:r>
      <w:r>
        <w:rPr>
          <w:color w:val="231F20"/>
        </w:rPr>
        <w:t>классе,</w:t>
      </w:r>
      <w:r>
        <w:rPr>
          <w:color w:val="231F20"/>
          <w:spacing w:val="-13"/>
        </w:rPr>
        <w:t> </w:t>
      </w:r>
      <w:r>
        <w:rPr>
          <w:color w:val="231F20"/>
        </w:rPr>
        <w:t>то</w:t>
      </w:r>
      <w:r>
        <w:rPr>
          <w:color w:val="231F20"/>
          <w:spacing w:val="-12"/>
        </w:rPr>
        <w:t> </w:t>
      </w:r>
      <w:r>
        <w:rPr>
          <w:color w:val="231F20"/>
        </w:rPr>
        <w:t>есть</w:t>
      </w:r>
      <w:r>
        <w:rPr>
          <w:color w:val="231F20"/>
          <w:spacing w:val="-13"/>
        </w:rPr>
        <w:t> </w:t>
      </w:r>
      <w:r>
        <w:rPr>
          <w:color w:val="231F20"/>
        </w:rPr>
        <w:t>не</w:t>
      </w:r>
      <w:r>
        <w:rPr>
          <w:color w:val="231F20"/>
          <w:spacing w:val="-12"/>
        </w:rPr>
        <w:t> </w:t>
      </w:r>
      <w:r>
        <w:rPr>
          <w:color w:val="231F20"/>
        </w:rPr>
        <w:t>более</w:t>
      </w:r>
      <w:r>
        <w:rPr>
          <w:color w:val="231F20"/>
          <w:spacing w:val="-13"/>
        </w:rPr>
        <w:t> </w:t>
      </w:r>
      <w:r>
        <w:rPr>
          <w:color w:val="231F20"/>
        </w:rPr>
        <w:t>25</w:t>
      </w:r>
      <w:r>
        <w:rPr>
          <w:color w:val="231F20"/>
          <w:spacing w:val="-12"/>
        </w:rPr>
        <w:t> </w:t>
      </w:r>
      <w:r>
        <w:rPr>
          <w:color w:val="231F20"/>
        </w:rPr>
        <w:t>человек.</w:t>
      </w:r>
      <w:r>
        <w:rPr>
          <w:color w:val="231F20"/>
          <w:spacing w:val="-13"/>
        </w:rPr>
        <w:t> </w:t>
      </w:r>
      <w:r>
        <w:rPr>
          <w:color w:val="231F20"/>
        </w:rPr>
        <w:t>Если</w:t>
      </w:r>
      <w:r>
        <w:rPr>
          <w:color w:val="231F20"/>
          <w:spacing w:val="-12"/>
        </w:rPr>
        <w:t> </w:t>
      </w:r>
      <w:r>
        <w:rPr>
          <w:color w:val="231F20"/>
        </w:rPr>
        <w:t>педагогов меньше,</w:t>
      </w:r>
      <w:r>
        <w:rPr>
          <w:color w:val="231F20"/>
          <w:spacing w:val="-10"/>
        </w:rPr>
        <w:t> </w:t>
      </w:r>
      <w:r>
        <w:rPr>
          <w:color w:val="231F20"/>
        </w:rPr>
        <w:t>желательно</w:t>
      </w:r>
      <w:r>
        <w:rPr>
          <w:color w:val="231F20"/>
          <w:spacing w:val="-10"/>
        </w:rPr>
        <w:t> </w:t>
      </w:r>
      <w:r>
        <w:rPr>
          <w:color w:val="231F20"/>
        </w:rPr>
        <w:t>формировать</w:t>
      </w:r>
      <w:r>
        <w:rPr>
          <w:color w:val="231F20"/>
          <w:spacing w:val="-10"/>
        </w:rPr>
        <w:t> </w:t>
      </w:r>
      <w:r>
        <w:rPr>
          <w:color w:val="231F20"/>
        </w:rPr>
        <w:t>учебную</w:t>
      </w:r>
      <w:r>
        <w:rPr>
          <w:color w:val="231F20"/>
          <w:spacing w:val="-10"/>
        </w:rPr>
        <w:t> </w:t>
      </w:r>
      <w:r>
        <w:rPr>
          <w:color w:val="231F20"/>
        </w:rPr>
        <w:t>группу</w:t>
      </w:r>
      <w:r>
        <w:rPr>
          <w:color w:val="231F20"/>
          <w:spacing w:val="-10"/>
        </w:rPr>
        <w:t> </w:t>
      </w:r>
      <w:r>
        <w:rPr>
          <w:color w:val="231F20"/>
        </w:rPr>
        <w:t>таким</w:t>
      </w:r>
      <w:r>
        <w:rPr>
          <w:color w:val="231F20"/>
          <w:spacing w:val="-10"/>
        </w:rPr>
        <w:t> </w:t>
      </w:r>
      <w:r>
        <w:rPr>
          <w:color w:val="231F20"/>
        </w:rPr>
        <w:t>образом,</w:t>
      </w:r>
      <w:r>
        <w:rPr>
          <w:color w:val="231F20"/>
          <w:spacing w:val="-10"/>
        </w:rPr>
        <w:t> </w:t>
      </w:r>
      <w:r>
        <w:rPr>
          <w:color w:val="231F20"/>
        </w:rPr>
        <w:t>чтобы</w:t>
      </w:r>
      <w:r>
        <w:rPr>
          <w:color w:val="231F20"/>
          <w:spacing w:val="-10"/>
        </w:rPr>
        <w:t> </w:t>
      </w:r>
      <w:r>
        <w:rPr>
          <w:color w:val="231F20"/>
        </w:rPr>
        <w:t>количество </w:t>
      </w:r>
      <w:r>
        <w:rPr>
          <w:color w:val="231F20"/>
          <w:spacing w:val="-2"/>
        </w:rPr>
        <w:t>участников</w:t>
      </w:r>
      <w:r>
        <w:rPr>
          <w:color w:val="231F20"/>
          <w:spacing w:val="-11"/>
        </w:rPr>
        <w:t> </w:t>
      </w:r>
      <w:r>
        <w:rPr>
          <w:color w:val="231F20"/>
          <w:spacing w:val="-2"/>
        </w:rPr>
        <w:t>было</w:t>
      </w:r>
      <w:r>
        <w:rPr>
          <w:color w:val="231F20"/>
          <w:spacing w:val="-10"/>
        </w:rPr>
        <w:t> </w:t>
      </w:r>
      <w:r>
        <w:rPr>
          <w:color w:val="231F20"/>
          <w:spacing w:val="-2"/>
        </w:rPr>
        <w:t>кратно</w:t>
      </w:r>
      <w:r>
        <w:rPr>
          <w:color w:val="231F20"/>
          <w:spacing w:val="-11"/>
        </w:rPr>
        <w:t> </w:t>
      </w:r>
      <w:r>
        <w:rPr>
          <w:color w:val="231F20"/>
          <w:spacing w:val="-2"/>
        </w:rPr>
        <w:t>пяти,</w:t>
      </w:r>
      <w:r>
        <w:rPr>
          <w:color w:val="231F20"/>
          <w:spacing w:val="-10"/>
        </w:rPr>
        <w:t> </w:t>
      </w:r>
      <w:r>
        <w:rPr>
          <w:color w:val="231F20"/>
          <w:spacing w:val="-2"/>
        </w:rPr>
        <w:t>так</w:t>
      </w:r>
      <w:r>
        <w:rPr>
          <w:color w:val="231F20"/>
          <w:spacing w:val="-11"/>
        </w:rPr>
        <w:t> </w:t>
      </w:r>
      <w:r>
        <w:rPr>
          <w:color w:val="231F20"/>
          <w:spacing w:val="-2"/>
        </w:rPr>
        <w:t>же</w:t>
      </w:r>
      <w:r>
        <w:rPr>
          <w:color w:val="231F20"/>
          <w:spacing w:val="-10"/>
        </w:rPr>
        <w:t> </w:t>
      </w:r>
      <w:r>
        <w:rPr>
          <w:color w:val="231F20"/>
          <w:spacing w:val="-2"/>
        </w:rPr>
        <w:t>как</w:t>
      </w:r>
      <w:r>
        <w:rPr>
          <w:color w:val="231F20"/>
          <w:spacing w:val="-11"/>
        </w:rPr>
        <w:t> </w:t>
      </w:r>
      <w:r>
        <w:rPr>
          <w:color w:val="231F20"/>
          <w:spacing w:val="-2"/>
        </w:rPr>
        <w:t>в</w:t>
      </w:r>
      <w:r>
        <w:rPr>
          <w:color w:val="231F20"/>
          <w:spacing w:val="-10"/>
        </w:rPr>
        <w:t> </w:t>
      </w:r>
      <w:r>
        <w:rPr>
          <w:color w:val="231F20"/>
          <w:spacing w:val="-2"/>
        </w:rPr>
        <w:t>группах</w:t>
      </w:r>
      <w:r>
        <w:rPr>
          <w:color w:val="231F20"/>
          <w:spacing w:val="-11"/>
        </w:rPr>
        <w:t> </w:t>
      </w:r>
      <w:r>
        <w:rPr>
          <w:color w:val="231F20"/>
          <w:spacing w:val="-2"/>
        </w:rPr>
        <w:t>учащихся,</w:t>
      </w:r>
      <w:r>
        <w:rPr>
          <w:color w:val="231F20"/>
          <w:spacing w:val="-10"/>
        </w:rPr>
        <w:t> </w:t>
      </w:r>
      <w:r>
        <w:rPr>
          <w:color w:val="231F20"/>
          <w:spacing w:val="-2"/>
        </w:rPr>
        <w:t>которые</w:t>
      </w:r>
      <w:r>
        <w:rPr>
          <w:color w:val="231F20"/>
          <w:spacing w:val="-11"/>
        </w:rPr>
        <w:t> </w:t>
      </w:r>
      <w:r>
        <w:rPr>
          <w:color w:val="231F20"/>
          <w:spacing w:val="-2"/>
        </w:rPr>
        <w:t>будут</w:t>
      </w:r>
      <w:r>
        <w:rPr>
          <w:color w:val="231F20"/>
          <w:spacing w:val="-10"/>
        </w:rPr>
        <w:t> </w:t>
      </w:r>
      <w:r>
        <w:rPr>
          <w:color w:val="231F20"/>
          <w:spacing w:val="-2"/>
        </w:rPr>
        <w:t>обучаться </w:t>
      </w:r>
      <w:r>
        <w:rPr>
          <w:color w:val="231F20"/>
          <w:spacing w:val="-4"/>
        </w:rPr>
        <w:t>по</w:t>
      </w:r>
      <w:r>
        <w:rPr>
          <w:color w:val="231F20"/>
          <w:spacing w:val="-8"/>
        </w:rPr>
        <w:t> </w:t>
      </w:r>
      <w:r>
        <w:rPr>
          <w:color w:val="231F20"/>
          <w:spacing w:val="-4"/>
        </w:rPr>
        <w:t>этой</w:t>
      </w:r>
      <w:r>
        <w:rPr>
          <w:color w:val="231F20"/>
          <w:spacing w:val="-8"/>
        </w:rPr>
        <w:t> </w:t>
      </w:r>
      <w:r>
        <w:rPr>
          <w:color w:val="231F20"/>
          <w:spacing w:val="-4"/>
        </w:rPr>
        <w:t>технологии.</w:t>
      </w:r>
      <w:r>
        <w:rPr>
          <w:color w:val="231F20"/>
          <w:spacing w:val="-8"/>
        </w:rPr>
        <w:t> </w:t>
      </w:r>
      <w:r>
        <w:rPr>
          <w:color w:val="231F20"/>
          <w:spacing w:val="-4"/>
        </w:rPr>
        <w:t>После</w:t>
      </w:r>
      <w:r>
        <w:rPr>
          <w:color w:val="231F20"/>
          <w:spacing w:val="-8"/>
        </w:rPr>
        <w:t> </w:t>
      </w:r>
      <w:r>
        <w:rPr>
          <w:color w:val="231F20"/>
          <w:spacing w:val="-4"/>
        </w:rPr>
        <w:t>формирования</w:t>
      </w:r>
      <w:r>
        <w:rPr>
          <w:color w:val="231F20"/>
          <w:spacing w:val="-8"/>
        </w:rPr>
        <w:t> </w:t>
      </w:r>
      <w:r>
        <w:rPr>
          <w:color w:val="231F20"/>
          <w:spacing w:val="-4"/>
        </w:rPr>
        <w:t>группы</w:t>
      </w:r>
      <w:r>
        <w:rPr>
          <w:color w:val="231F20"/>
          <w:spacing w:val="-8"/>
        </w:rPr>
        <w:t> </w:t>
      </w:r>
      <w:r>
        <w:rPr>
          <w:color w:val="231F20"/>
          <w:spacing w:val="-4"/>
        </w:rPr>
        <w:t>педагогов,</w:t>
      </w:r>
      <w:r>
        <w:rPr>
          <w:color w:val="231F20"/>
          <w:spacing w:val="-8"/>
        </w:rPr>
        <w:t> </w:t>
      </w:r>
      <w:r>
        <w:rPr>
          <w:color w:val="231F20"/>
          <w:spacing w:val="-4"/>
        </w:rPr>
        <w:t>желающих</w:t>
      </w:r>
      <w:r>
        <w:rPr>
          <w:color w:val="231F20"/>
          <w:spacing w:val="-8"/>
        </w:rPr>
        <w:t> </w:t>
      </w:r>
      <w:r>
        <w:rPr>
          <w:color w:val="231F20"/>
          <w:spacing w:val="-4"/>
        </w:rPr>
        <w:t>пройти</w:t>
      </w:r>
      <w:r>
        <w:rPr>
          <w:color w:val="231F20"/>
          <w:spacing w:val="-8"/>
        </w:rPr>
        <w:t> </w:t>
      </w:r>
      <w:r>
        <w:rPr>
          <w:color w:val="231F20"/>
          <w:spacing w:val="-4"/>
        </w:rPr>
        <w:t>тренинг </w:t>
      </w:r>
      <w:r>
        <w:rPr>
          <w:color w:val="231F20"/>
        </w:rPr>
        <w:t>по</w:t>
      </w:r>
      <w:r>
        <w:rPr>
          <w:color w:val="231F20"/>
          <w:spacing w:val="-11"/>
        </w:rPr>
        <w:t> </w:t>
      </w:r>
      <w:r>
        <w:rPr>
          <w:color w:val="231F20"/>
        </w:rPr>
        <w:t>обучению</w:t>
      </w:r>
      <w:r>
        <w:rPr>
          <w:color w:val="231F20"/>
          <w:spacing w:val="-11"/>
        </w:rPr>
        <w:t> </w:t>
      </w:r>
      <w:r>
        <w:rPr>
          <w:color w:val="231F20"/>
        </w:rPr>
        <w:t>в</w:t>
      </w:r>
      <w:r>
        <w:rPr>
          <w:color w:val="231F20"/>
          <w:spacing w:val="-11"/>
        </w:rPr>
        <w:t> </w:t>
      </w:r>
      <w:r>
        <w:rPr>
          <w:color w:val="231F20"/>
        </w:rPr>
        <w:t>сотрудничестве,</w:t>
      </w:r>
      <w:r>
        <w:rPr>
          <w:color w:val="231F20"/>
          <w:spacing w:val="-11"/>
        </w:rPr>
        <w:t> </w:t>
      </w:r>
      <w:r>
        <w:rPr>
          <w:color w:val="231F20"/>
        </w:rPr>
        <w:t>определяется</w:t>
      </w:r>
      <w:r>
        <w:rPr>
          <w:color w:val="231F20"/>
          <w:spacing w:val="-11"/>
        </w:rPr>
        <w:t> </w:t>
      </w:r>
      <w:r>
        <w:rPr>
          <w:color w:val="231F20"/>
        </w:rPr>
        <w:t>дата</w:t>
      </w:r>
      <w:r>
        <w:rPr>
          <w:color w:val="231F20"/>
          <w:spacing w:val="-11"/>
        </w:rPr>
        <w:t> </w:t>
      </w:r>
      <w:r>
        <w:rPr>
          <w:color w:val="231F20"/>
        </w:rPr>
        <w:t>и</w:t>
      </w:r>
      <w:r>
        <w:rPr>
          <w:color w:val="231F20"/>
          <w:spacing w:val="-11"/>
        </w:rPr>
        <w:t> </w:t>
      </w:r>
      <w:r>
        <w:rPr>
          <w:color w:val="231F20"/>
        </w:rPr>
        <w:t>содержание</w:t>
      </w:r>
      <w:r>
        <w:rPr>
          <w:color w:val="231F20"/>
          <w:spacing w:val="-11"/>
        </w:rPr>
        <w:t> </w:t>
      </w:r>
      <w:r>
        <w:rPr>
          <w:color w:val="231F20"/>
        </w:rPr>
        <w:t>обучения.</w:t>
      </w:r>
    </w:p>
    <w:p>
      <w:pPr>
        <w:spacing w:line="226" w:lineRule="exact" w:before="105"/>
        <w:ind w:left="425" w:right="0" w:firstLine="0"/>
        <w:jc w:val="both"/>
        <w:rPr>
          <w:i/>
          <w:sz w:val="20"/>
        </w:rPr>
      </w:pPr>
      <w:r>
        <w:rPr>
          <w:b/>
          <w:i/>
          <w:color w:val="231F20"/>
          <w:sz w:val="20"/>
        </w:rPr>
        <w:t>Этап</w:t>
      </w:r>
      <w:r>
        <w:rPr>
          <w:b/>
          <w:i/>
          <w:color w:val="231F20"/>
          <w:spacing w:val="-5"/>
          <w:sz w:val="20"/>
        </w:rPr>
        <w:t> </w:t>
      </w:r>
      <w:r>
        <w:rPr>
          <w:b/>
          <w:i/>
          <w:color w:val="231F20"/>
          <w:sz w:val="20"/>
        </w:rPr>
        <w:t>3.</w:t>
      </w:r>
      <w:r>
        <w:rPr>
          <w:b/>
          <w:i/>
          <w:color w:val="231F20"/>
          <w:spacing w:val="-2"/>
          <w:sz w:val="20"/>
        </w:rPr>
        <w:t> </w:t>
      </w:r>
      <w:r>
        <w:rPr>
          <w:i/>
          <w:color w:val="231F20"/>
          <w:sz w:val="20"/>
        </w:rPr>
        <w:t>Проведение</w:t>
      </w:r>
      <w:r>
        <w:rPr>
          <w:i/>
          <w:color w:val="231F20"/>
          <w:spacing w:val="-2"/>
          <w:sz w:val="20"/>
        </w:rPr>
        <w:t> тренинга</w:t>
      </w:r>
    </w:p>
    <w:p>
      <w:pPr>
        <w:spacing w:line="222" w:lineRule="exact" w:before="0"/>
        <w:ind w:left="2767" w:right="0" w:firstLine="0"/>
        <w:jc w:val="both"/>
        <w:rPr>
          <w:b/>
          <w:sz w:val="20"/>
        </w:rPr>
      </w:pPr>
      <w:r>
        <w:rPr>
          <w:b/>
          <w:color w:val="231F20"/>
          <w:sz w:val="20"/>
        </w:rPr>
        <w:t>Примерный</w:t>
      </w:r>
      <w:r>
        <w:rPr>
          <w:b/>
          <w:color w:val="231F20"/>
          <w:spacing w:val="-9"/>
          <w:sz w:val="20"/>
        </w:rPr>
        <w:t> </w:t>
      </w:r>
      <w:r>
        <w:rPr>
          <w:b/>
          <w:color w:val="231F20"/>
          <w:spacing w:val="-2"/>
          <w:sz w:val="20"/>
        </w:rPr>
        <w:t>сценарий</w:t>
      </w:r>
    </w:p>
    <w:p>
      <w:pPr>
        <w:pStyle w:val="BodyText"/>
        <w:spacing w:line="232" w:lineRule="auto" w:before="2"/>
      </w:pPr>
      <w:r>
        <w:rPr>
          <w:i/>
          <w:color w:val="231F20"/>
        </w:rPr>
        <w:t>Цель тренинга: </w:t>
      </w:r>
      <w:r>
        <w:rPr>
          <w:color w:val="231F20"/>
        </w:rPr>
        <w:t>подготовка участников к использованию технологии обучения в сотрудничестве, сплочение участников, создание благоприятного социально-психо- логического</w:t>
      </w:r>
      <w:r>
        <w:rPr>
          <w:color w:val="231F20"/>
          <w:spacing w:val="-11"/>
        </w:rPr>
        <w:t> </w:t>
      </w:r>
      <w:r>
        <w:rPr>
          <w:color w:val="231F20"/>
        </w:rPr>
        <w:t>климата,</w:t>
      </w:r>
      <w:r>
        <w:rPr>
          <w:color w:val="231F20"/>
          <w:spacing w:val="-11"/>
        </w:rPr>
        <w:t> </w:t>
      </w:r>
      <w:r>
        <w:rPr>
          <w:color w:val="231F20"/>
        </w:rPr>
        <w:t>базирующегося</w:t>
      </w:r>
      <w:r>
        <w:rPr>
          <w:color w:val="231F20"/>
          <w:spacing w:val="-11"/>
        </w:rPr>
        <w:t> </w:t>
      </w:r>
      <w:r>
        <w:rPr>
          <w:color w:val="231F20"/>
        </w:rPr>
        <w:t>на</w:t>
      </w:r>
      <w:r>
        <w:rPr>
          <w:color w:val="231F20"/>
          <w:spacing w:val="-11"/>
        </w:rPr>
        <w:t> </w:t>
      </w:r>
      <w:r>
        <w:rPr>
          <w:color w:val="231F20"/>
        </w:rPr>
        <w:t>взаимопонимании</w:t>
      </w:r>
      <w:r>
        <w:rPr>
          <w:color w:val="231F20"/>
          <w:spacing w:val="-11"/>
        </w:rPr>
        <w:t> </w:t>
      </w:r>
      <w:r>
        <w:rPr>
          <w:color w:val="231F20"/>
        </w:rPr>
        <w:t>и</w:t>
      </w:r>
      <w:r>
        <w:rPr>
          <w:color w:val="231F20"/>
          <w:spacing w:val="-11"/>
        </w:rPr>
        <w:t> </w:t>
      </w:r>
      <w:r>
        <w:rPr>
          <w:color w:val="231F20"/>
        </w:rPr>
        <w:t>поддержке</w:t>
      </w:r>
      <w:r>
        <w:rPr>
          <w:color w:val="231F20"/>
          <w:spacing w:val="-11"/>
        </w:rPr>
        <w:t> </w:t>
      </w:r>
      <w:r>
        <w:rPr>
          <w:color w:val="231F20"/>
        </w:rPr>
        <w:t>в</w:t>
      </w:r>
      <w:r>
        <w:rPr>
          <w:color w:val="231F20"/>
          <w:spacing w:val="-11"/>
        </w:rPr>
        <w:t> </w:t>
      </w:r>
      <w:r>
        <w:rPr>
          <w:color w:val="231F20"/>
        </w:rPr>
        <w:t>ходе</w:t>
      </w:r>
      <w:r>
        <w:rPr>
          <w:color w:val="231F20"/>
          <w:spacing w:val="-11"/>
        </w:rPr>
        <w:t> </w:t>
      </w:r>
      <w:r>
        <w:rPr>
          <w:color w:val="231F20"/>
        </w:rPr>
        <w:t>инно- вационной педагогической деятельности.</w:t>
      </w:r>
    </w:p>
    <w:p>
      <w:pPr>
        <w:spacing w:line="216" w:lineRule="exact" w:before="0"/>
        <w:ind w:left="425" w:right="0" w:firstLine="0"/>
        <w:jc w:val="both"/>
        <w:rPr>
          <w:sz w:val="20"/>
        </w:rPr>
      </w:pPr>
      <w:r>
        <w:rPr>
          <w:color w:val="231F20"/>
          <w:sz w:val="20"/>
        </w:rPr>
        <w:t>В</w:t>
      </w:r>
      <w:r>
        <w:rPr>
          <w:color w:val="231F20"/>
          <w:spacing w:val="-5"/>
          <w:sz w:val="20"/>
        </w:rPr>
        <w:t> </w:t>
      </w:r>
      <w:r>
        <w:rPr>
          <w:color w:val="231F20"/>
          <w:sz w:val="20"/>
        </w:rPr>
        <w:t>ходе</w:t>
      </w:r>
      <w:r>
        <w:rPr>
          <w:color w:val="231F20"/>
          <w:spacing w:val="-4"/>
          <w:sz w:val="20"/>
        </w:rPr>
        <w:t> </w:t>
      </w:r>
      <w:r>
        <w:rPr>
          <w:color w:val="231F20"/>
          <w:sz w:val="20"/>
        </w:rPr>
        <w:t>тренинга</w:t>
      </w:r>
      <w:r>
        <w:rPr>
          <w:color w:val="231F20"/>
          <w:spacing w:val="-4"/>
          <w:sz w:val="20"/>
        </w:rPr>
        <w:t> </w:t>
      </w:r>
      <w:r>
        <w:rPr>
          <w:color w:val="231F20"/>
          <w:sz w:val="20"/>
        </w:rPr>
        <w:t>решаются</w:t>
      </w:r>
      <w:r>
        <w:rPr>
          <w:color w:val="231F20"/>
          <w:spacing w:val="-5"/>
          <w:sz w:val="20"/>
        </w:rPr>
        <w:t> </w:t>
      </w:r>
      <w:r>
        <w:rPr>
          <w:i/>
          <w:color w:val="231F20"/>
          <w:sz w:val="20"/>
        </w:rPr>
        <w:t>следующие</w:t>
      </w:r>
      <w:r>
        <w:rPr>
          <w:i/>
          <w:color w:val="231F20"/>
          <w:spacing w:val="-5"/>
          <w:sz w:val="20"/>
        </w:rPr>
        <w:t> </w:t>
      </w:r>
      <w:r>
        <w:rPr>
          <w:i/>
          <w:color w:val="231F20"/>
          <w:spacing w:val="-2"/>
          <w:sz w:val="20"/>
        </w:rPr>
        <w:t>задачи</w:t>
      </w:r>
      <w:r>
        <w:rPr>
          <w:color w:val="231F20"/>
          <w:spacing w:val="-2"/>
          <w:sz w:val="20"/>
        </w:rPr>
        <w:t>:</w:t>
      </w:r>
    </w:p>
    <w:p>
      <w:pPr>
        <w:pStyle w:val="ListParagraph"/>
        <w:numPr>
          <w:ilvl w:val="0"/>
          <w:numId w:val="314"/>
        </w:numPr>
        <w:tabs>
          <w:tab w:pos="424" w:val="left" w:leader="none"/>
        </w:tabs>
        <w:spacing w:line="222" w:lineRule="exact" w:before="0" w:after="0"/>
        <w:ind w:left="424" w:right="0" w:hanging="283"/>
        <w:jc w:val="left"/>
        <w:rPr>
          <w:sz w:val="20"/>
        </w:rPr>
      </w:pPr>
      <w:r>
        <w:rPr>
          <w:color w:val="231F20"/>
          <w:sz w:val="20"/>
        </w:rPr>
        <w:t>освоение</w:t>
      </w:r>
      <w:r>
        <w:rPr>
          <w:color w:val="231F20"/>
          <w:spacing w:val="-7"/>
          <w:sz w:val="20"/>
        </w:rPr>
        <w:t> </w:t>
      </w:r>
      <w:r>
        <w:rPr>
          <w:color w:val="231F20"/>
          <w:sz w:val="20"/>
        </w:rPr>
        <w:t>приемов</w:t>
      </w:r>
      <w:r>
        <w:rPr>
          <w:color w:val="231F20"/>
          <w:spacing w:val="-6"/>
          <w:sz w:val="20"/>
        </w:rPr>
        <w:t> </w:t>
      </w:r>
      <w:r>
        <w:rPr>
          <w:color w:val="231F20"/>
          <w:sz w:val="20"/>
        </w:rPr>
        <w:t>решения</w:t>
      </w:r>
      <w:r>
        <w:rPr>
          <w:color w:val="231F20"/>
          <w:spacing w:val="-4"/>
          <w:sz w:val="20"/>
        </w:rPr>
        <w:t> </w:t>
      </w:r>
      <w:r>
        <w:rPr>
          <w:color w:val="231F20"/>
          <w:sz w:val="20"/>
        </w:rPr>
        <w:t>проблем</w:t>
      </w:r>
      <w:r>
        <w:rPr>
          <w:color w:val="231F20"/>
          <w:spacing w:val="-5"/>
          <w:sz w:val="20"/>
        </w:rPr>
        <w:t> </w:t>
      </w:r>
      <w:r>
        <w:rPr>
          <w:color w:val="231F20"/>
          <w:sz w:val="20"/>
        </w:rPr>
        <w:t>в</w:t>
      </w:r>
      <w:r>
        <w:rPr>
          <w:color w:val="231F20"/>
          <w:spacing w:val="-5"/>
          <w:sz w:val="20"/>
        </w:rPr>
        <w:t> </w:t>
      </w:r>
      <w:r>
        <w:rPr>
          <w:color w:val="231F20"/>
          <w:sz w:val="20"/>
        </w:rPr>
        <w:t>ходе</w:t>
      </w:r>
      <w:r>
        <w:rPr>
          <w:color w:val="231F20"/>
          <w:spacing w:val="-5"/>
          <w:sz w:val="20"/>
        </w:rPr>
        <w:t> </w:t>
      </w:r>
      <w:r>
        <w:rPr>
          <w:color w:val="231F20"/>
          <w:sz w:val="20"/>
        </w:rPr>
        <w:t>групповой</w:t>
      </w:r>
      <w:r>
        <w:rPr>
          <w:color w:val="231F20"/>
          <w:spacing w:val="-5"/>
          <w:sz w:val="20"/>
        </w:rPr>
        <w:t> </w:t>
      </w:r>
      <w:r>
        <w:rPr>
          <w:color w:val="231F20"/>
          <w:spacing w:val="-2"/>
          <w:sz w:val="20"/>
        </w:rPr>
        <w:t>деятельности,</w:t>
      </w:r>
    </w:p>
    <w:p>
      <w:pPr>
        <w:pStyle w:val="ListParagraph"/>
        <w:numPr>
          <w:ilvl w:val="0"/>
          <w:numId w:val="314"/>
        </w:numPr>
        <w:tabs>
          <w:tab w:pos="424" w:val="left" w:leader="none"/>
        </w:tabs>
        <w:spacing w:line="222" w:lineRule="exact" w:before="0" w:after="0"/>
        <w:ind w:left="424" w:right="0" w:hanging="283"/>
        <w:jc w:val="left"/>
        <w:rPr>
          <w:sz w:val="20"/>
        </w:rPr>
      </w:pPr>
      <w:r>
        <w:rPr>
          <w:color w:val="231F20"/>
          <w:sz w:val="20"/>
        </w:rPr>
        <w:t>развитие</w:t>
      </w:r>
      <w:r>
        <w:rPr>
          <w:color w:val="231F20"/>
          <w:spacing w:val="-5"/>
          <w:sz w:val="20"/>
        </w:rPr>
        <w:t> </w:t>
      </w:r>
      <w:r>
        <w:rPr>
          <w:color w:val="231F20"/>
          <w:sz w:val="20"/>
        </w:rPr>
        <w:t>навыков</w:t>
      </w:r>
      <w:r>
        <w:rPr>
          <w:color w:val="231F20"/>
          <w:spacing w:val="-6"/>
          <w:sz w:val="20"/>
        </w:rPr>
        <w:t> </w:t>
      </w:r>
      <w:r>
        <w:rPr>
          <w:color w:val="231F20"/>
          <w:sz w:val="20"/>
        </w:rPr>
        <w:t>ведения</w:t>
      </w:r>
      <w:r>
        <w:rPr>
          <w:color w:val="231F20"/>
          <w:spacing w:val="-5"/>
          <w:sz w:val="20"/>
        </w:rPr>
        <w:t> </w:t>
      </w:r>
      <w:r>
        <w:rPr>
          <w:color w:val="231F20"/>
          <w:sz w:val="20"/>
        </w:rPr>
        <w:t>дискуссий</w:t>
      </w:r>
      <w:r>
        <w:rPr>
          <w:color w:val="231F20"/>
          <w:spacing w:val="-6"/>
          <w:sz w:val="20"/>
        </w:rPr>
        <w:t> </w:t>
      </w:r>
      <w:r>
        <w:rPr>
          <w:color w:val="231F20"/>
          <w:sz w:val="20"/>
        </w:rPr>
        <w:t>и</w:t>
      </w:r>
      <w:r>
        <w:rPr>
          <w:color w:val="231F20"/>
          <w:spacing w:val="-5"/>
          <w:sz w:val="20"/>
        </w:rPr>
        <w:t> </w:t>
      </w:r>
      <w:r>
        <w:rPr>
          <w:color w:val="231F20"/>
          <w:spacing w:val="-2"/>
          <w:sz w:val="20"/>
        </w:rPr>
        <w:t>аргументации,</w:t>
      </w:r>
    </w:p>
    <w:p>
      <w:pPr>
        <w:pStyle w:val="ListParagraph"/>
        <w:numPr>
          <w:ilvl w:val="0"/>
          <w:numId w:val="314"/>
        </w:numPr>
        <w:tabs>
          <w:tab w:pos="424" w:val="left" w:leader="none"/>
        </w:tabs>
        <w:spacing w:line="222" w:lineRule="exact" w:before="0" w:after="0"/>
        <w:ind w:left="424" w:right="0" w:hanging="283"/>
        <w:jc w:val="left"/>
        <w:rPr>
          <w:sz w:val="20"/>
        </w:rPr>
      </w:pPr>
      <w:r>
        <w:rPr>
          <w:color w:val="231F20"/>
          <w:sz w:val="20"/>
        </w:rPr>
        <w:t>развитие</w:t>
      </w:r>
      <w:r>
        <w:rPr>
          <w:color w:val="231F20"/>
          <w:spacing w:val="-7"/>
          <w:sz w:val="20"/>
        </w:rPr>
        <w:t> </w:t>
      </w:r>
      <w:r>
        <w:rPr>
          <w:color w:val="231F20"/>
          <w:sz w:val="20"/>
        </w:rPr>
        <w:t>навыков</w:t>
      </w:r>
      <w:r>
        <w:rPr>
          <w:color w:val="231F20"/>
          <w:spacing w:val="-6"/>
          <w:sz w:val="20"/>
        </w:rPr>
        <w:t> </w:t>
      </w:r>
      <w:r>
        <w:rPr>
          <w:color w:val="231F20"/>
          <w:spacing w:val="-2"/>
          <w:sz w:val="20"/>
        </w:rPr>
        <w:t>рефлексии.</w:t>
      </w:r>
    </w:p>
    <w:p>
      <w:pPr>
        <w:pStyle w:val="BodyText"/>
        <w:spacing w:line="232" w:lineRule="auto" w:before="1"/>
      </w:pPr>
      <w:r>
        <w:rPr>
          <w:i/>
          <w:color w:val="231F20"/>
          <w:spacing w:val="-2"/>
        </w:rPr>
        <w:t>Участники: </w:t>
      </w:r>
      <w:r>
        <w:rPr>
          <w:color w:val="231F20"/>
          <w:spacing w:val="-2"/>
        </w:rPr>
        <w:t>учителя-предметники, рекомендованные на заседаниях методических </w:t>
      </w:r>
      <w:r>
        <w:rPr>
          <w:color w:val="231F20"/>
        </w:rPr>
        <w:t>объединений для участия в пилотном проведении уроков по технологии обучения в сотрудничестве в гетерогенных классах.</w:t>
      </w:r>
    </w:p>
    <w:p>
      <w:pPr>
        <w:spacing w:line="217" w:lineRule="exact" w:before="0"/>
        <w:ind w:left="425" w:right="0" w:firstLine="0"/>
        <w:jc w:val="both"/>
        <w:rPr>
          <w:sz w:val="20"/>
        </w:rPr>
      </w:pPr>
      <w:r>
        <w:rPr>
          <w:i/>
          <w:color w:val="231F20"/>
          <w:sz w:val="20"/>
        </w:rPr>
        <w:t>Время</w:t>
      </w:r>
      <w:r>
        <w:rPr>
          <w:i/>
          <w:color w:val="231F20"/>
          <w:spacing w:val="-3"/>
          <w:sz w:val="20"/>
        </w:rPr>
        <w:t> </w:t>
      </w:r>
      <w:r>
        <w:rPr>
          <w:i/>
          <w:color w:val="231F20"/>
          <w:sz w:val="20"/>
        </w:rPr>
        <w:t>проведения</w:t>
      </w:r>
      <w:r>
        <w:rPr>
          <w:i/>
          <w:color w:val="231F20"/>
          <w:spacing w:val="-2"/>
          <w:sz w:val="20"/>
        </w:rPr>
        <w:t> </w:t>
      </w:r>
      <w:r>
        <w:rPr>
          <w:i/>
          <w:color w:val="231F20"/>
          <w:sz w:val="20"/>
        </w:rPr>
        <w:t>тренинга:</w:t>
      </w:r>
      <w:r>
        <w:rPr>
          <w:i/>
          <w:color w:val="231F20"/>
          <w:spacing w:val="-2"/>
          <w:sz w:val="20"/>
        </w:rPr>
        <w:t> </w:t>
      </w:r>
      <w:r>
        <w:rPr>
          <w:color w:val="231F20"/>
          <w:sz w:val="20"/>
        </w:rPr>
        <w:t>3–4</w:t>
      </w:r>
      <w:r>
        <w:rPr>
          <w:color w:val="231F20"/>
          <w:spacing w:val="-2"/>
          <w:sz w:val="20"/>
        </w:rPr>
        <w:t> </w:t>
      </w:r>
      <w:r>
        <w:rPr>
          <w:color w:val="231F20"/>
          <w:spacing w:val="-4"/>
          <w:sz w:val="20"/>
        </w:rPr>
        <w:t>часа.</w:t>
      </w:r>
    </w:p>
    <w:p>
      <w:pPr>
        <w:spacing w:line="222" w:lineRule="exact" w:before="0"/>
        <w:ind w:left="425" w:right="0" w:firstLine="0"/>
        <w:jc w:val="both"/>
        <w:rPr>
          <w:b/>
          <w:sz w:val="20"/>
        </w:rPr>
      </w:pPr>
      <w:r>
        <w:rPr>
          <w:b/>
          <w:i/>
          <w:color w:val="231F20"/>
          <w:sz w:val="20"/>
        </w:rPr>
        <w:t>Структура</w:t>
      </w:r>
      <w:r>
        <w:rPr>
          <w:b/>
          <w:i/>
          <w:color w:val="231F20"/>
          <w:spacing w:val="-7"/>
          <w:sz w:val="20"/>
        </w:rPr>
        <w:t> </w:t>
      </w:r>
      <w:r>
        <w:rPr>
          <w:b/>
          <w:i/>
          <w:color w:val="231F20"/>
          <w:sz w:val="20"/>
        </w:rPr>
        <w:t>тренинга</w:t>
      </w:r>
      <w:r>
        <w:rPr>
          <w:b/>
          <w:i/>
          <w:color w:val="231F20"/>
          <w:spacing w:val="-5"/>
          <w:sz w:val="20"/>
        </w:rPr>
        <w:t> </w:t>
      </w:r>
      <w:r>
        <w:rPr>
          <w:b/>
          <w:color w:val="231F20"/>
          <w:sz w:val="20"/>
        </w:rPr>
        <w:t>включает</w:t>
      </w:r>
      <w:r>
        <w:rPr>
          <w:b/>
          <w:color w:val="231F20"/>
          <w:spacing w:val="-5"/>
          <w:sz w:val="20"/>
        </w:rPr>
        <w:t> </w:t>
      </w:r>
      <w:r>
        <w:rPr>
          <w:b/>
          <w:color w:val="231F20"/>
          <w:sz w:val="20"/>
        </w:rPr>
        <w:t>в</w:t>
      </w:r>
      <w:r>
        <w:rPr>
          <w:b/>
          <w:color w:val="231F20"/>
          <w:spacing w:val="-5"/>
          <w:sz w:val="20"/>
        </w:rPr>
        <w:t> </w:t>
      </w:r>
      <w:r>
        <w:rPr>
          <w:b/>
          <w:color w:val="231F20"/>
          <w:sz w:val="20"/>
        </w:rPr>
        <w:t>себя</w:t>
      </w:r>
      <w:r>
        <w:rPr>
          <w:b/>
          <w:color w:val="231F20"/>
          <w:spacing w:val="-5"/>
          <w:sz w:val="20"/>
        </w:rPr>
        <w:t> </w:t>
      </w:r>
      <w:r>
        <w:rPr>
          <w:b/>
          <w:color w:val="231F20"/>
          <w:sz w:val="20"/>
        </w:rPr>
        <w:t>три</w:t>
      </w:r>
      <w:r>
        <w:rPr>
          <w:b/>
          <w:color w:val="231F20"/>
          <w:spacing w:val="-5"/>
          <w:sz w:val="20"/>
        </w:rPr>
        <w:t> </w:t>
      </w:r>
      <w:r>
        <w:rPr>
          <w:b/>
          <w:color w:val="231F20"/>
          <w:spacing w:val="-2"/>
          <w:sz w:val="20"/>
        </w:rPr>
        <w:t>блока:</w:t>
      </w:r>
    </w:p>
    <w:p>
      <w:pPr>
        <w:pStyle w:val="BodyText"/>
        <w:spacing w:line="232" w:lineRule="auto" w:before="2"/>
        <w:ind w:right="0"/>
        <w:jc w:val="left"/>
      </w:pPr>
      <w:r>
        <w:rPr>
          <w:i/>
          <w:color w:val="231F20"/>
        </w:rPr>
        <w:t>Введение – </w:t>
      </w:r>
      <w:r>
        <w:rPr>
          <w:color w:val="231F20"/>
        </w:rPr>
        <w:t>знакомство с ведущим и другими участниками тренинга, представле- ние целей и задач тренинга, введение правил работы, входное анкетирование.</w:t>
      </w:r>
    </w:p>
    <w:p>
      <w:pPr>
        <w:pStyle w:val="BodyText"/>
        <w:spacing w:line="232" w:lineRule="auto"/>
        <w:ind w:right="140"/>
        <w:jc w:val="left"/>
      </w:pPr>
      <w:r>
        <w:rPr>
          <w:i/>
          <w:color w:val="231F20"/>
        </w:rPr>
        <w:t>Основная</w:t>
      </w:r>
      <w:r>
        <w:rPr>
          <w:i/>
          <w:color w:val="231F20"/>
          <w:spacing w:val="-8"/>
        </w:rPr>
        <w:t> </w:t>
      </w:r>
      <w:r>
        <w:rPr>
          <w:i/>
          <w:color w:val="231F20"/>
        </w:rPr>
        <w:t>часть</w:t>
      </w:r>
      <w:r>
        <w:rPr>
          <w:i/>
          <w:color w:val="231F20"/>
          <w:spacing w:val="-8"/>
        </w:rPr>
        <w:t> </w:t>
      </w:r>
      <w:r>
        <w:rPr>
          <w:i/>
          <w:color w:val="231F20"/>
        </w:rPr>
        <w:t>–</w:t>
      </w:r>
      <w:r>
        <w:rPr>
          <w:i/>
          <w:color w:val="231F20"/>
          <w:spacing w:val="-8"/>
        </w:rPr>
        <w:t> </w:t>
      </w:r>
      <w:r>
        <w:rPr>
          <w:color w:val="231F20"/>
        </w:rPr>
        <w:t>отработка</w:t>
      </w:r>
      <w:r>
        <w:rPr>
          <w:color w:val="231F20"/>
          <w:spacing w:val="-8"/>
        </w:rPr>
        <w:t> </w:t>
      </w:r>
      <w:r>
        <w:rPr>
          <w:color w:val="231F20"/>
        </w:rPr>
        <w:t>навыков</w:t>
      </w:r>
      <w:r>
        <w:rPr>
          <w:color w:val="231F20"/>
          <w:spacing w:val="-8"/>
        </w:rPr>
        <w:t> </w:t>
      </w:r>
      <w:r>
        <w:rPr>
          <w:color w:val="231F20"/>
        </w:rPr>
        <w:t>работы</w:t>
      </w:r>
      <w:r>
        <w:rPr>
          <w:color w:val="231F20"/>
          <w:spacing w:val="-8"/>
        </w:rPr>
        <w:t> </w:t>
      </w:r>
      <w:r>
        <w:rPr>
          <w:color w:val="231F20"/>
        </w:rPr>
        <w:t>в</w:t>
      </w:r>
      <w:r>
        <w:rPr>
          <w:color w:val="231F20"/>
          <w:spacing w:val="-8"/>
        </w:rPr>
        <w:t> </w:t>
      </w:r>
      <w:r>
        <w:rPr>
          <w:color w:val="231F20"/>
        </w:rPr>
        <w:t>группе,</w:t>
      </w:r>
      <w:r>
        <w:rPr>
          <w:color w:val="231F20"/>
          <w:spacing w:val="-8"/>
        </w:rPr>
        <w:t> </w:t>
      </w:r>
      <w:r>
        <w:rPr>
          <w:color w:val="231F20"/>
        </w:rPr>
        <w:t>навыков</w:t>
      </w:r>
      <w:r>
        <w:rPr>
          <w:color w:val="231F20"/>
          <w:spacing w:val="-8"/>
        </w:rPr>
        <w:t> </w:t>
      </w:r>
      <w:r>
        <w:rPr>
          <w:color w:val="231F20"/>
        </w:rPr>
        <w:t>решения</w:t>
      </w:r>
      <w:r>
        <w:rPr>
          <w:color w:val="231F20"/>
          <w:spacing w:val="-8"/>
        </w:rPr>
        <w:t> </w:t>
      </w:r>
      <w:r>
        <w:rPr>
          <w:color w:val="231F20"/>
        </w:rPr>
        <w:t>проблем и ведения дискуссии.</w:t>
      </w:r>
    </w:p>
    <w:p>
      <w:pPr>
        <w:pStyle w:val="BodyText"/>
        <w:spacing w:line="232" w:lineRule="auto"/>
        <w:ind w:right="0"/>
        <w:jc w:val="left"/>
      </w:pPr>
      <w:r>
        <w:rPr>
          <w:i/>
          <w:color w:val="231F20"/>
        </w:rPr>
        <w:t>Заключение</w:t>
      </w:r>
      <w:r>
        <w:rPr>
          <w:i/>
          <w:color w:val="231F20"/>
          <w:spacing w:val="-13"/>
        </w:rPr>
        <w:t> </w:t>
      </w:r>
      <w:r>
        <w:rPr>
          <w:color w:val="231F20"/>
        </w:rPr>
        <w:t>–</w:t>
      </w:r>
      <w:r>
        <w:rPr>
          <w:color w:val="231F20"/>
          <w:spacing w:val="-12"/>
        </w:rPr>
        <w:t> </w:t>
      </w:r>
      <w:r>
        <w:rPr>
          <w:color w:val="231F20"/>
        </w:rPr>
        <w:t>поведение</w:t>
      </w:r>
      <w:r>
        <w:rPr>
          <w:color w:val="231F20"/>
          <w:spacing w:val="-13"/>
        </w:rPr>
        <w:t> </w:t>
      </w:r>
      <w:r>
        <w:rPr>
          <w:color w:val="231F20"/>
        </w:rPr>
        <w:t>итогов</w:t>
      </w:r>
      <w:r>
        <w:rPr>
          <w:color w:val="231F20"/>
          <w:spacing w:val="-12"/>
        </w:rPr>
        <w:t> </w:t>
      </w:r>
      <w:r>
        <w:rPr>
          <w:color w:val="231F20"/>
        </w:rPr>
        <w:t>тренинга,</w:t>
      </w:r>
      <w:r>
        <w:rPr>
          <w:color w:val="231F20"/>
          <w:spacing w:val="-13"/>
        </w:rPr>
        <w:t> </w:t>
      </w:r>
      <w:r>
        <w:rPr>
          <w:color w:val="231F20"/>
        </w:rPr>
        <w:t>заполнение</w:t>
      </w:r>
      <w:r>
        <w:rPr>
          <w:color w:val="231F20"/>
          <w:spacing w:val="-12"/>
        </w:rPr>
        <w:t> </w:t>
      </w:r>
      <w:r>
        <w:rPr>
          <w:color w:val="231F20"/>
        </w:rPr>
        <w:t>анкет,</w:t>
      </w:r>
      <w:r>
        <w:rPr>
          <w:color w:val="231F20"/>
          <w:spacing w:val="-13"/>
        </w:rPr>
        <w:t> </w:t>
      </w:r>
      <w:r>
        <w:rPr>
          <w:color w:val="231F20"/>
        </w:rPr>
        <w:t>рефлексия</w:t>
      </w:r>
      <w:r>
        <w:rPr>
          <w:color w:val="231F20"/>
          <w:spacing w:val="-12"/>
        </w:rPr>
        <w:t> </w:t>
      </w:r>
      <w:r>
        <w:rPr>
          <w:color w:val="231F20"/>
        </w:rPr>
        <w:t>опыта</w:t>
      </w:r>
      <w:r>
        <w:rPr>
          <w:color w:val="231F20"/>
          <w:spacing w:val="-13"/>
        </w:rPr>
        <w:t> </w:t>
      </w:r>
      <w:r>
        <w:rPr>
          <w:color w:val="231F20"/>
        </w:rPr>
        <w:t>уча- стия в работе группы.</w:t>
      </w:r>
    </w:p>
    <w:p>
      <w:pPr>
        <w:spacing w:line="226" w:lineRule="exact" w:before="45"/>
        <w:ind w:left="303" w:right="303" w:firstLine="0"/>
        <w:jc w:val="center"/>
        <w:rPr>
          <w:b/>
          <w:i/>
          <w:sz w:val="20"/>
        </w:rPr>
      </w:pPr>
      <w:r>
        <w:rPr>
          <w:b/>
          <w:i/>
          <w:color w:val="231F20"/>
          <w:spacing w:val="-2"/>
          <w:sz w:val="20"/>
        </w:rPr>
        <w:t>Введение</w:t>
      </w:r>
    </w:p>
    <w:p>
      <w:pPr>
        <w:spacing w:line="222" w:lineRule="exact" w:before="0"/>
        <w:ind w:left="425" w:right="0" w:firstLine="0"/>
        <w:jc w:val="both"/>
        <w:rPr>
          <w:i/>
          <w:sz w:val="20"/>
        </w:rPr>
      </w:pPr>
      <w:r>
        <w:rPr>
          <w:i/>
          <w:color w:val="231F20"/>
          <w:sz w:val="20"/>
        </w:rPr>
        <w:t>Упражнение</w:t>
      </w:r>
      <w:r>
        <w:rPr>
          <w:i/>
          <w:color w:val="231F20"/>
          <w:spacing w:val="-2"/>
          <w:sz w:val="20"/>
        </w:rPr>
        <w:t> </w:t>
      </w:r>
      <w:r>
        <w:rPr>
          <w:i/>
          <w:color w:val="231F20"/>
          <w:sz w:val="20"/>
        </w:rPr>
        <w:t>1.</w:t>
      </w:r>
      <w:r>
        <w:rPr>
          <w:i/>
          <w:color w:val="231F20"/>
          <w:spacing w:val="-2"/>
          <w:sz w:val="20"/>
        </w:rPr>
        <w:t> </w:t>
      </w:r>
      <w:r>
        <w:rPr>
          <w:i/>
          <w:color w:val="231F20"/>
          <w:sz w:val="20"/>
        </w:rPr>
        <w:t>Представление</w:t>
      </w:r>
      <w:r>
        <w:rPr>
          <w:i/>
          <w:color w:val="231F20"/>
          <w:spacing w:val="-2"/>
          <w:sz w:val="20"/>
        </w:rPr>
        <w:t> тренера</w:t>
      </w:r>
    </w:p>
    <w:p>
      <w:pPr>
        <w:pStyle w:val="BodyText"/>
        <w:spacing w:line="232" w:lineRule="auto" w:before="1"/>
      </w:pPr>
      <w:r>
        <w:rPr>
          <w:color w:val="231F20"/>
        </w:rPr>
        <w:t>Тренинг начинается с представления тренера, в качестве которого может высту- пать либо кто-то из числа опытных учителей или администраторов школы, хорошо разбирающихся</w:t>
      </w:r>
      <w:r>
        <w:rPr>
          <w:color w:val="231F20"/>
          <w:spacing w:val="-9"/>
        </w:rPr>
        <w:t> </w:t>
      </w:r>
      <w:r>
        <w:rPr>
          <w:color w:val="231F20"/>
        </w:rPr>
        <w:t>в</w:t>
      </w:r>
      <w:r>
        <w:rPr>
          <w:color w:val="231F20"/>
          <w:spacing w:val="-8"/>
        </w:rPr>
        <w:t> </w:t>
      </w:r>
      <w:r>
        <w:rPr>
          <w:color w:val="231F20"/>
        </w:rPr>
        <w:t>технологиях</w:t>
      </w:r>
      <w:r>
        <w:rPr>
          <w:color w:val="231F20"/>
          <w:spacing w:val="-7"/>
        </w:rPr>
        <w:t> </w:t>
      </w:r>
      <w:r>
        <w:rPr>
          <w:color w:val="231F20"/>
        </w:rPr>
        <w:t>обучения</w:t>
      </w:r>
      <w:r>
        <w:rPr>
          <w:color w:val="231F20"/>
          <w:spacing w:val="-7"/>
        </w:rPr>
        <w:t> </w:t>
      </w:r>
      <w:r>
        <w:rPr>
          <w:color w:val="231F20"/>
        </w:rPr>
        <w:t>в</w:t>
      </w:r>
      <w:r>
        <w:rPr>
          <w:color w:val="231F20"/>
          <w:spacing w:val="-7"/>
        </w:rPr>
        <w:t> </w:t>
      </w:r>
      <w:r>
        <w:rPr>
          <w:color w:val="231F20"/>
        </w:rPr>
        <w:t>сотрудничестве,</w:t>
      </w:r>
      <w:r>
        <w:rPr>
          <w:color w:val="231F20"/>
          <w:spacing w:val="-7"/>
        </w:rPr>
        <w:t> </w:t>
      </w:r>
      <w:r>
        <w:rPr>
          <w:color w:val="231F20"/>
        </w:rPr>
        <w:t>либо</w:t>
      </w:r>
      <w:r>
        <w:rPr>
          <w:color w:val="231F20"/>
          <w:spacing w:val="-7"/>
        </w:rPr>
        <w:t> </w:t>
      </w:r>
      <w:r>
        <w:rPr>
          <w:color w:val="231F20"/>
        </w:rPr>
        <w:t>школьный</w:t>
      </w:r>
      <w:r>
        <w:rPr>
          <w:color w:val="231F20"/>
          <w:spacing w:val="-7"/>
        </w:rPr>
        <w:t> </w:t>
      </w:r>
      <w:r>
        <w:rPr>
          <w:color w:val="231F20"/>
          <w:spacing w:val="-2"/>
        </w:rPr>
        <w:t>психолог.</w:t>
      </w:r>
    </w:p>
    <w:p>
      <w:pPr>
        <w:pStyle w:val="BodyText"/>
        <w:spacing w:line="232" w:lineRule="auto"/>
        <w:ind w:left="425" w:right="2642" w:firstLine="0"/>
      </w:pPr>
      <w:r>
        <w:rPr>
          <w:color w:val="231F20"/>
        </w:rPr>
        <w:t>Цель:</w:t>
      </w:r>
      <w:r>
        <w:rPr>
          <w:color w:val="231F20"/>
          <w:spacing w:val="-6"/>
        </w:rPr>
        <w:t> </w:t>
      </w:r>
      <w:r>
        <w:rPr>
          <w:color w:val="231F20"/>
        </w:rPr>
        <w:t>снять</w:t>
      </w:r>
      <w:r>
        <w:rPr>
          <w:color w:val="231F20"/>
          <w:spacing w:val="-7"/>
        </w:rPr>
        <w:t> </w:t>
      </w:r>
      <w:r>
        <w:rPr>
          <w:color w:val="231F20"/>
        </w:rPr>
        <w:t>отчуждение</w:t>
      </w:r>
      <w:r>
        <w:rPr>
          <w:color w:val="231F20"/>
          <w:spacing w:val="-6"/>
        </w:rPr>
        <w:t> </w:t>
      </w:r>
      <w:r>
        <w:rPr>
          <w:color w:val="231F20"/>
        </w:rPr>
        <w:t>между</w:t>
      </w:r>
      <w:r>
        <w:rPr>
          <w:color w:val="231F20"/>
          <w:spacing w:val="-6"/>
        </w:rPr>
        <w:t> </w:t>
      </w:r>
      <w:r>
        <w:rPr>
          <w:color w:val="231F20"/>
        </w:rPr>
        <w:t>группой</w:t>
      </w:r>
      <w:r>
        <w:rPr>
          <w:color w:val="231F20"/>
          <w:spacing w:val="-7"/>
        </w:rPr>
        <w:t> </w:t>
      </w:r>
      <w:r>
        <w:rPr>
          <w:color w:val="231F20"/>
        </w:rPr>
        <w:t>и</w:t>
      </w:r>
      <w:r>
        <w:rPr>
          <w:color w:val="231F20"/>
          <w:spacing w:val="-7"/>
        </w:rPr>
        <w:t> </w:t>
      </w:r>
      <w:r>
        <w:rPr>
          <w:color w:val="231F20"/>
        </w:rPr>
        <w:t>тренером. Время: 2 минуты.</w:t>
      </w:r>
    </w:p>
    <w:p>
      <w:pPr>
        <w:pStyle w:val="BodyText"/>
        <w:spacing w:line="220" w:lineRule="exact"/>
        <w:ind w:left="425" w:right="0" w:firstLine="0"/>
      </w:pPr>
      <w:r>
        <w:rPr>
          <w:color w:val="231F20"/>
        </w:rPr>
        <w:t>Процедура</w:t>
      </w:r>
      <w:r>
        <w:rPr>
          <w:color w:val="231F20"/>
          <w:spacing w:val="-3"/>
        </w:rPr>
        <w:t> </w:t>
      </w:r>
      <w:r>
        <w:rPr>
          <w:color w:val="231F20"/>
          <w:spacing w:val="-2"/>
        </w:rPr>
        <w:t>выполнения</w:t>
      </w:r>
    </w:p>
    <w:p>
      <w:pPr>
        <w:pStyle w:val="BodyText"/>
        <w:spacing w:line="235" w:lineRule="auto"/>
        <w:ind w:right="0"/>
        <w:jc w:val="left"/>
      </w:pPr>
      <w:r>
        <w:rPr>
          <w:color w:val="231F20"/>
        </w:rPr>
        <w:t>Ведущий рассказывает о себе, а также сообщает группе о цели, задачах и регла- менте тренинга.</w:t>
      </w:r>
    </w:p>
    <w:p>
      <w:pPr>
        <w:spacing w:line="228" w:lineRule="exact" w:before="53"/>
        <w:ind w:left="425" w:right="0" w:firstLine="0"/>
        <w:jc w:val="left"/>
        <w:rPr>
          <w:i/>
          <w:sz w:val="20"/>
        </w:rPr>
      </w:pPr>
      <w:r>
        <w:rPr>
          <w:i/>
          <w:color w:val="231F20"/>
          <w:sz w:val="20"/>
        </w:rPr>
        <w:t>Упражнение</w:t>
      </w:r>
      <w:r>
        <w:rPr>
          <w:i/>
          <w:color w:val="231F20"/>
          <w:spacing w:val="-6"/>
          <w:sz w:val="20"/>
        </w:rPr>
        <w:t> </w:t>
      </w:r>
      <w:r>
        <w:rPr>
          <w:i/>
          <w:color w:val="231F20"/>
          <w:sz w:val="20"/>
        </w:rPr>
        <w:t>2.</w:t>
      </w:r>
      <w:r>
        <w:rPr>
          <w:i/>
          <w:color w:val="231F20"/>
          <w:spacing w:val="-6"/>
          <w:sz w:val="20"/>
        </w:rPr>
        <w:t> </w:t>
      </w:r>
      <w:r>
        <w:rPr>
          <w:i/>
          <w:color w:val="231F20"/>
          <w:sz w:val="20"/>
        </w:rPr>
        <w:t>Знакомство</w:t>
      </w:r>
      <w:r>
        <w:rPr>
          <w:i/>
          <w:color w:val="231F20"/>
          <w:spacing w:val="-5"/>
          <w:sz w:val="20"/>
        </w:rPr>
        <w:t> </w:t>
      </w:r>
      <w:r>
        <w:rPr>
          <w:i/>
          <w:color w:val="231F20"/>
          <w:sz w:val="20"/>
        </w:rPr>
        <w:t>–</w:t>
      </w:r>
      <w:r>
        <w:rPr>
          <w:i/>
          <w:color w:val="231F20"/>
          <w:spacing w:val="-6"/>
          <w:sz w:val="20"/>
        </w:rPr>
        <w:t> </w:t>
      </w:r>
      <w:r>
        <w:rPr>
          <w:i/>
          <w:color w:val="231F20"/>
          <w:sz w:val="20"/>
        </w:rPr>
        <w:t>представление</w:t>
      </w:r>
      <w:r>
        <w:rPr>
          <w:i/>
          <w:color w:val="231F20"/>
          <w:spacing w:val="-5"/>
          <w:sz w:val="20"/>
        </w:rPr>
        <w:t> </w:t>
      </w:r>
      <w:r>
        <w:rPr>
          <w:i/>
          <w:color w:val="231F20"/>
          <w:spacing w:val="-2"/>
          <w:sz w:val="20"/>
        </w:rPr>
        <w:t>участников</w:t>
      </w:r>
    </w:p>
    <w:p>
      <w:pPr>
        <w:pStyle w:val="BodyText"/>
        <w:spacing w:line="235" w:lineRule="auto" w:before="2"/>
        <w:ind w:right="0"/>
        <w:jc w:val="left"/>
      </w:pPr>
      <w:r>
        <w:rPr>
          <w:color w:val="231F20"/>
        </w:rPr>
        <w:t>Обсуждение ожиданий от тренинга, введение правил взаимодействия в группе, обсуждение формы обращения друг к другу.</w:t>
      </w:r>
    </w:p>
    <w:p>
      <w:pPr>
        <w:pStyle w:val="BodyText"/>
        <w:spacing w:line="235" w:lineRule="auto" w:before="1"/>
        <w:ind w:left="425" w:right="1507" w:firstLine="0"/>
        <w:jc w:val="left"/>
      </w:pPr>
      <w:r>
        <w:rPr>
          <w:color w:val="231F20"/>
        </w:rPr>
        <w:t>Цель:</w:t>
      </w:r>
      <w:r>
        <w:rPr>
          <w:color w:val="231F20"/>
          <w:spacing w:val="-6"/>
        </w:rPr>
        <w:t> </w:t>
      </w:r>
      <w:r>
        <w:rPr>
          <w:color w:val="231F20"/>
        </w:rPr>
        <w:t>определить</w:t>
      </w:r>
      <w:r>
        <w:rPr>
          <w:color w:val="231F20"/>
          <w:spacing w:val="-7"/>
        </w:rPr>
        <w:t> </w:t>
      </w:r>
      <w:r>
        <w:rPr>
          <w:color w:val="231F20"/>
        </w:rPr>
        <w:t>правила</w:t>
      </w:r>
      <w:r>
        <w:rPr>
          <w:color w:val="231F20"/>
          <w:spacing w:val="-6"/>
        </w:rPr>
        <w:t> </w:t>
      </w:r>
      <w:r>
        <w:rPr>
          <w:color w:val="231F20"/>
        </w:rPr>
        <w:t>для</w:t>
      </w:r>
      <w:r>
        <w:rPr>
          <w:color w:val="231F20"/>
          <w:spacing w:val="-6"/>
        </w:rPr>
        <w:t> </w:t>
      </w:r>
      <w:r>
        <w:rPr>
          <w:color w:val="231F20"/>
        </w:rPr>
        <w:t>эффективной</w:t>
      </w:r>
      <w:r>
        <w:rPr>
          <w:color w:val="231F20"/>
          <w:spacing w:val="-7"/>
        </w:rPr>
        <w:t> </w:t>
      </w:r>
      <w:r>
        <w:rPr>
          <w:color w:val="231F20"/>
        </w:rPr>
        <w:t>работы</w:t>
      </w:r>
      <w:r>
        <w:rPr>
          <w:color w:val="231F20"/>
          <w:spacing w:val="-6"/>
        </w:rPr>
        <w:t> </w:t>
      </w:r>
      <w:r>
        <w:rPr>
          <w:color w:val="231F20"/>
        </w:rPr>
        <w:t>в</w:t>
      </w:r>
      <w:r>
        <w:rPr>
          <w:color w:val="231F20"/>
          <w:spacing w:val="-7"/>
        </w:rPr>
        <w:t> </w:t>
      </w:r>
      <w:r>
        <w:rPr>
          <w:color w:val="231F20"/>
        </w:rPr>
        <w:t>группе. Время: 20 минут.</w:t>
      </w:r>
    </w:p>
    <w:p>
      <w:pPr>
        <w:pStyle w:val="BodyText"/>
        <w:spacing w:line="225" w:lineRule="exact"/>
        <w:ind w:left="425" w:right="0" w:firstLine="0"/>
        <w:jc w:val="left"/>
      </w:pPr>
      <w:r>
        <w:rPr>
          <w:color w:val="231F20"/>
        </w:rPr>
        <w:t>Процедура</w:t>
      </w:r>
      <w:r>
        <w:rPr>
          <w:color w:val="231F20"/>
          <w:spacing w:val="-3"/>
        </w:rPr>
        <w:t> </w:t>
      </w:r>
      <w:r>
        <w:rPr>
          <w:color w:val="231F20"/>
          <w:spacing w:val="-2"/>
        </w:rPr>
        <w:t>выполнения</w:t>
      </w:r>
    </w:p>
    <w:p>
      <w:pPr>
        <w:pStyle w:val="BodyText"/>
        <w:spacing w:line="235" w:lineRule="auto" w:before="2"/>
        <w:ind w:right="0"/>
        <w:jc w:val="left"/>
      </w:pPr>
      <w:r>
        <w:rPr>
          <w:color w:val="231F20"/>
        </w:rPr>
        <w:t>Участники</w:t>
      </w:r>
      <w:r>
        <w:rPr>
          <w:color w:val="231F20"/>
          <w:spacing w:val="-10"/>
        </w:rPr>
        <w:t> </w:t>
      </w:r>
      <w:r>
        <w:rPr>
          <w:color w:val="231F20"/>
        </w:rPr>
        <w:t>по</w:t>
      </w:r>
      <w:r>
        <w:rPr>
          <w:color w:val="231F20"/>
          <w:spacing w:val="-10"/>
        </w:rPr>
        <w:t> </w:t>
      </w:r>
      <w:r>
        <w:rPr>
          <w:color w:val="231F20"/>
        </w:rPr>
        <w:t>очереди</w:t>
      </w:r>
      <w:r>
        <w:rPr>
          <w:color w:val="231F20"/>
          <w:spacing w:val="-10"/>
        </w:rPr>
        <w:t> </w:t>
      </w:r>
      <w:r>
        <w:rPr>
          <w:color w:val="231F20"/>
        </w:rPr>
        <w:t>представляются</w:t>
      </w:r>
      <w:r>
        <w:rPr>
          <w:color w:val="231F20"/>
          <w:spacing w:val="-10"/>
        </w:rPr>
        <w:t> </w:t>
      </w:r>
      <w:r>
        <w:rPr>
          <w:color w:val="231F20"/>
        </w:rPr>
        <w:t>и</w:t>
      </w:r>
      <w:r>
        <w:rPr>
          <w:color w:val="231F20"/>
          <w:spacing w:val="-10"/>
        </w:rPr>
        <w:t> </w:t>
      </w:r>
      <w:r>
        <w:rPr>
          <w:color w:val="231F20"/>
        </w:rPr>
        <w:t>рассказывают</w:t>
      </w:r>
      <w:r>
        <w:rPr>
          <w:color w:val="231F20"/>
          <w:spacing w:val="-10"/>
        </w:rPr>
        <w:t> </w:t>
      </w:r>
      <w:r>
        <w:rPr>
          <w:color w:val="231F20"/>
        </w:rPr>
        <w:t>о</w:t>
      </w:r>
      <w:r>
        <w:rPr>
          <w:color w:val="231F20"/>
          <w:spacing w:val="-10"/>
        </w:rPr>
        <w:t> </w:t>
      </w:r>
      <w:r>
        <w:rPr>
          <w:color w:val="231F20"/>
        </w:rPr>
        <w:t>своих</w:t>
      </w:r>
      <w:r>
        <w:rPr>
          <w:color w:val="231F20"/>
          <w:spacing w:val="-10"/>
        </w:rPr>
        <w:t> </w:t>
      </w:r>
      <w:r>
        <w:rPr>
          <w:color w:val="231F20"/>
        </w:rPr>
        <w:t>ожиданиях</w:t>
      </w:r>
      <w:r>
        <w:rPr>
          <w:color w:val="231F20"/>
          <w:spacing w:val="-10"/>
        </w:rPr>
        <w:t> </w:t>
      </w:r>
      <w:r>
        <w:rPr>
          <w:color w:val="231F20"/>
        </w:rPr>
        <w:t>от</w:t>
      </w:r>
      <w:r>
        <w:rPr>
          <w:color w:val="231F20"/>
          <w:spacing w:val="-10"/>
        </w:rPr>
        <w:t> </w:t>
      </w:r>
      <w:r>
        <w:rPr>
          <w:color w:val="231F20"/>
        </w:rPr>
        <w:t>тре- нинга,</w:t>
      </w:r>
      <w:r>
        <w:rPr>
          <w:color w:val="231F20"/>
          <w:spacing w:val="-14"/>
        </w:rPr>
        <w:t> </w:t>
      </w:r>
      <w:r>
        <w:rPr>
          <w:color w:val="231F20"/>
        </w:rPr>
        <w:t>придерживаясь</w:t>
      </w:r>
      <w:r>
        <w:rPr>
          <w:color w:val="231F20"/>
          <w:spacing w:val="-11"/>
        </w:rPr>
        <w:t> </w:t>
      </w:r>
      <w:r>
        <w:rPr>
          <w:color w:val="231F20"/>
        </w:rPr>
        <w:t>следующей</w:t>
      </w:r>
      <w:r>
        <w:rPr>
          <w:color w:val="231F20"/>
          <w:spacing w:val="-12"/>
        </w:rPr>
        <w:t> </w:t>
      </w:r>
      <w:r>
        <w:rPr>
          <w:color w:val="231F20"/>
        </w:rPr>
        <w:t>структуры</w:t>
      </w:r>
      <w:r>
        <w:rPr>
          <w:color w:val="231F20"/>
          <w:spacing w:val="-11"/>
        </w:rPr>
        <w:t> </w:t>
      </w:r>
      <w:r>
        <w:rPr>
          <w:color w:val="231F20"/>
        </w:rPr>
        <w:t>выступления:</w:t>
      </w:r>
      <w:r>
        <w:rPr>
          <w:color w:val="231F20"/>
          <w:spacing w:val="-12"/>
        </w:rPr>
        <w:t> </w:t>
      </w:r>
      <w:r>
        <w:rPr>
          <w:color w:val="231F20"/>
        </w:rPr>
        <w:t>имя</w:t>
      </w:r>
      <w:r>
        <w:rPr>
          <w:color w:val="231F20"/>
          <w:spacing w:val="-11"/>
        </w:rPr>
        <w:t> </w:t>
      </w:r>
      <w:r>
        <w:rPr>
          <w:color w:val="231F20"/>
        </w:rPr>
        <w:t>участника,</w:t>
      </w:r>
      <w:r>
        <w:rPr>
          <w:color w:val="231F20"/>
          <w:spacing w:val="-12"/>
        </w:rPr>
        <w:t> </w:t>
      </w:r>
      <w:r>
        <w:rPr>
          <w:color w:val="231F20"/>
        </w:rPr>
        <w:t>по</w:t>
      </w:r>
      <w:r>
        <w:rPr>
          <w:color w:val="231F20"/>
          <w:spacing w:val="-11"/>
        </w:rPr>
        <w:t> </w:t>
      </w:r>
      <w:r>
        <w:rPr>
          <w:color w:val="231F20"/>
          <w:spacing w:val="-2"/>
        </w:rPr>
        <w:t>какому</w:t>
      </w:r>
    </w:p>
    <w:p>
      <w:pPr>
        <w:pStyle w:val="BodyText"/>
        <w:spacing w:after="0" w:line="235" w:lineRule="auto"/>
        <w:jc w:val="left"/>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firstLine="0"/>
      </w:pPr>
      <w:r>
        <w:rPr>
          <w:color w:val="231F20"/>
        </w:rPr>
        <w:t>предмету и в каком классе хочет провести урок(и) с использованием технологии со- трудничества, что больше всего волнует и тревожит до начала работы и что именно участник ожидает от тренинга.</w:t>
      </w:r>
    </w:p>
    <w:p>
      <w:pPr>
        <w:pStyle w:val="BodyText"/>
        <w:spacing w:line="235" w:lineRule="auto" w:before="2"/>
      </w:pPr>
      <w:r>
        <w:rPr>
          <w:color w:val="231F20"/>
        </w:rPr>
        <w:t>Тренер</w:t>
      </w:r>
      <w:r>
        <w:rPr>
          <w:color w:val="231F20"/>
          <w:spacing w:val="-2"/>
        </w:rPr>
        <w:t> </w:t>
      </w:r>
      <w:r>
        <w:rPr>
          <w:color w:val="231F20"/>
        </w:rPr>
        <w:t>предлагает</w:t>
      </w:r>
      <w:r>
        <w:rPr>
          <w:color w:val="231F20"/>
          <w:spacing w:val="-2"/>
        </w:rPr>
        <w:t> </w:t>
      </w:r>
      <w:r>
        <w:rPr>
          <w:color w:val="231F20"/>
        </w:rPr>
        <w:t>участникам</w:t>
      </w:r>
      <w:r>
        <w:rPr>
          <w:color w:val="231F20"/>
          <w:spacing w:val="-2"/>
        </w:rPr>
        <w:t> </w:t>
      </w:r>
      <w:r>
        <w:rPr>
          <w:color w:val="231F20"/>
        </w:rPr>
        <w:t>сформулировать</w:t>
      </w:r>
      <w:r>
        <w:rPr>
          <w:color w:val="231F20"/>
          <w:spacing w:val="-2"/>
        </w:rPr>
        <w:t> </w:t>
      </w:r>
      <w:r>
        <w:rPr>
          <w:color w:val="231F20"/>
        </w:rPr>
        <w:t>правила,</w:t>
      </w:r>
      <w:r>
        <w:rPr>
          <w:color w:val="231F20"/>
          <w:spacing w:val="-2"/>
        </w:rPr>
        <w:t> </w:t>
      </w:r>
      <w:r>
        <w:rPr>
          <w:color w:val="231F20"/>
        </w:rPr>
        <w:t>по</w:t>
      </w:r>
      <w:r>
        <w:rPr>
          <w:color w:val="231F20"/>
          <w:spacing w:val="-2"/>
        </w:rPr>
        <w:t> </w:t>
      </w:r>
      <w:r>
        <w:rPr>
          <w:color w:val="231F20"/>
        </w:rPr>
        <w:t>которым</w:t>
      </w:r>
      <w:r>
        <w:rPr>
          <w:color w:val="231F20"/>
          <w:spacing w:val="-2"/>
        </w:rPr>
        <w:t> </w:t>
      </w:r>
      <w:r>
        <w:rPr>
          <w:color w:val="231F20"/>
        </w:rPr>
        <w:t>будет</w:t>
      </w:r>
      <w:r>
        <w:rPr>
          <w:color w:val="231F20"/>
          <w:spacing w:val="-2"/>
        </w:rPr>
        <w:t> </w:t>
      </w:r>
      <w:r>
        <w:rPr>
          <w:color w:val="231F20"/>
        </w:rPr>
        <w:t>стро- иться дальнейшая работа на тренинге (если участники затрудняются сделать это сами,</w:t>
      </w:r>
      <w:r>
        <w:rPr>
          <w:color w:val="231F20"/>
          <w:spacing w:val="-3"/>
        </w:rPr>
        <w:t> </w:t>
      </w:r>
      <w:r>
        <w:rPr>
          <w:color w:val="231F20"/>
        </w:rPr>
        <w:t>тренер</w:t>
      </w:r>
      <w:r>
        <w:rPr>
          <w:color w:val="231F20"/>
          <w:spacing w:val="-3"/>
        </w:rPr>
        <w:t> </w:t>
      </w:r>
      <w:r>
        <w:rPr>
          <w:color w:val="231F20"/>
        </w:rPr>
        <w:t>помогает</w:t>
      </w:r>
      <w:r>
        <w:rPr>
          <w:color w:val="231F20"/>
          <w:spacing w:val="-3"/>
        </w:rPr>
        <w:t> </w:t>
      </w:r>
      <w:r>
        <w:rPr>
          <w:color w:val="231F20"/>
        </w:rPr>
        <w:t>им</w:t>
      </w:r>
      <w:r>
        <w:rPr>
          <w:color w:val="231F20"/>
          <w:spacing w:val="-3"/>
        </w:rPr>
        <w:t> </w:t>
      </w:r>
      <w:r>
        <w:rPr>
          <w:color w:val="231F20"/>
        </w:rPr>
        <w:t>сформулировать</w:t>
      </w:r>
      <w:r>
        <w:rPr>
          <w:color w:val="231F20"/>
          <w:spacing w:val="-3"/>
        </w:rPr>
        <w:t> </w:t>
      </w:r>
      <w:r>
        <w:rPr>
          <w:color w:val="231F20"/>
        </w:rPr>
        <w:t>то,</w:t>
      </w:r>
      <w:r>
        <w:rPr>
          <w:color w:val="231F20"/>
          <w:spacing w:val="-3"/>
        </w:rPr>
        <w:t> </w:t>
      </w:r>
      <w:r>
        <w:rPr>
          <w:color w:val="231F20"/>
        </w:rPr>
        <w:t>что</w:t>
      </w:r>
      <w:r>
        <w:rPr>
          <w:color w:val="231F20"/>
          <w:spacing w:val="-3"/>
        </w:rPr>
        <w:t> </w:t>
      </w:r>
      <w:r>
        <w:rPr>
          <w:color w:val="231F20"/>
        </w:rPr>
        <w:t>нужно).</w:t>
      </w:r>
      <w:r>
        <w:rPr>
          <w:color w:val="231F20"/>
          <w:spacing w:val="-3"/>
        </w:rPr>
        <w:t> </w:t>
      </w:r>
      <w:r>
        <w:rPr>
          <w:color w:val="231F20"/>
        </w:rPr>
        <w:t>Обсуждаются</w:t>
      </w:r>
      <w:r>
        <w:rPr>
          <w:color w:val="231F20"/>
          <w:spacing w:val="-3"/>
        </w:rPr>
        <w:t> </w:t>
      </w:r>
      <w:r>
        <w:rPr>
          <w:color w:val="231F20"/>
        </w:rPr>
        <w:t>и</w:t>
      </w:r>
      <w:r>
        <w:rPr>
          <w:color w:val="231F20"/>
          <w:spacing w:val="-3"/>
        </w:rPr>
        <w:t> </w:t>
      </w:r>
      <w:r>
        <w:rPr>
          <w:color w:val="231F20"/>
        </w:rPr>
        <w:t>принима- ются основные правила групповой работы. Например, правило активности, правило контроля времени, нацеленности на общий результат, правило организованной ком- муникации, правило чуткости и внимания к окружающим.</w:t>
      </w:r>
    </w:p>
    <w:p>
      <w:pPr>
        <w:spacing w:line="235" w:lineRule="auto" w:before="60"/>
        <w:ind w:left="425" w:right="139" w:firstLine="0"/>
        <w:jc w:val="both"/>
        <w:rPr>
          <w:i/>
          <w:sz w:val="20"/>
        </w:rPr>
      </w:pPr>
      <w:r>
        <w:rPr>
          <w:i/>
          <w:color w:val="231F20"/>
          <w:sz w:val="20"/>
        </w:rPr>
        <w:t>Упражнение</w:t>
      </w:r>
      <w:r>
        <w:rPr>
          <w:i/>
          <w:color w:val="231F20"/>
          <w:spacing w:val="-11"/>
          <w:sz w:val="20"/>
        </w:rPr>
        <w:t> </w:t>
      </w:r>
      <w:r>
        <w:rPr>
          <w:i/>
          <w:color w:val="231F20"/>
          <w:sz w:val="20"/>
        </w:rPr>
        <w:t>3.</w:t>
      </w:r>
      <w:r>
        <w:rPr>
          <w:i/>
          <w:color w:val="231F20"/>
          <w:spacing w:val="-11"/>
          <w:sz w:val="20"/>
        </w:rPr>
        <w:t> </w:t>
      </w:r>
      <w:r>
        <w:rPr>
          <w:i/>
          <w:color w:val="231F20"/>
          <w:sz w:val="20"/>
        </w:rPr>
        <w:t>Оценка</w:t>
      </w:r>
      <w:r>
        <w:rPr>
          <w:i/>
          <w:color w:val="231F20"/>
          <w:spacing w:val="-11"/>
          <w:sz w:val="20"/>
        </w:rPr>
        <w:t> </w:t>
      </w:r>
      <w:r>
        <w:rPr>
          <w:i/>
          <w:color w:val="231F20"/>
          <w:sz w:val="20"/>
        </w:rPr>
        <w:t>готовности</w:t>
      </w:r>
      <w:r>
        <w:rPr>
          <w:i/>
          <w:color w:val="231F20"/>
          <w:spacing w:val="-11"/>
          <w:sz w:val="20"/>
        </w:rPr>
        <w:t> </w:t>
      </w:r>
      <w:r>
        <w:rPr>
          <w:i/>
          <w:color w:val="231F20"/>
          <w:sz w:val="20"/>
        </w:rPr>
        <w:t>педагогов</w:t>
      </w:r>
      <w:r>
        <w:rPr>
          <w:i/>
          <w:color w:val="231F20"/>
          <w:spacing w:val="-11"/>
          <w:sz w:val="20"/>
        </w:rPr>
        <w:t> </w:t>
      </w:r>
      <w:r>
        <w:rPr>
          <w:i/>
          <w:color w:val="231F20"/>
          <w:sz w:val="20"/>
        </w:rPr>
        <w:t>к</w:t>
      </w:r>
      <w:r>
        <w:rPr>
          <w:i/>
          <w:color w:val="231F20"/>
          <w:spacing w:val="-11"/>
          <w:sz w:val="20"/>
        </w:rPr>
        <w:t> </w:t>
      </w:r>
      <w:r>
        <w:rPr>
          <w:i/>
          <w:color w:val="231F20"/>
          <w:sz w:val="20"/>
        </w:rPr>
        <w:t>переходу</w:t>
      </w:r>
      <w:r>
        <w:rPr>
          <w:i/>
          <w:color w:val="231F20"/>
          <w:spacing w:val="-11"/>
          <w:sz w:val="20"/>
        </w:rPr>
        <w:t> </w:t>
      </w:r>
      <w:r>
        <w:rPr>
          <w:i/>
          <w:color w:val="231F20"/>
          <w:sz w:val="20"/>
        </w:rPr>
        <w:t>на</w:t>
      </w:r>
      <w:r>
        <w:rPr>
          <w:i/>
          <w:color w:val="231F20"/>
          <w:spacing w:val="-11"/>
          <w:sz w:val="20"/>
        </w:rPr>
        <w:t> </w:t>
      </w:r>
      <w:r>
        <w:rPr>
          <w:i/>
          <w:color w:val="231F20"/>
          <w:sz w:val="20"/>
        </w:rPr>
        <w:t>технологию</w:t>
      </w:r>
      <w:r>
        <w:rPr>
          <w:i/>
          <w:color w:val="231F20"/>
          <w:spacing w:val="-11"/>
          <w:sz w:val="20"/>
        </w:rPr>
        <w:t> </w:t>
      </w:r>
      <w:r>
        <w:rPr>
          <w:i/>
          <w:color w:val="231F20"/>
          <w:sz w:val="20"/>
        </w:rPr>
        <w:t>обучения в сотрудничестве</w:t>
      </w:r>
    </w:p>
    <w:p>
      <w:pPr>
        <w:pStyle w:val="BodyText"/>
        <w:spacing w:line="235" w:lineRule="auto" w:before="1"/>
      </w:pPr>
      <w:r>
        <w:rPr>
          <w:color w:val="231F20"/>
        </w:rPr>
        <w:t>Заполнение</w:t>
      </w:r>
      <w:r>
        <w:rPr>
          <w:color w:val="231F20"/>
          <w:spacing w:val="-3"/>
        </w:rPr>
        <w:t> </w:t>
      </w:r>
      <w:r>
        <w:rPr>
          <w:color w:val="231F20"/>
        </w:rPr>
        <w:t>коротких</w:t>
      </w:r>
      <w:r>
        <w:rPr>
          <w:color w:val="231F20"/>
          <w:spacing w:val="-3"/>
        </w:rPr>
        <w:t> </w:t>
      </w:r>
      <w:r>
        <w:rPr>
          <w:color w:val="231F20"/>
        </w:rPr>
        <w:t>анкет-опросников,</w:t>
      </w:r>
      <w:r>
        <w:rPr>
          <w:color w:val="231F20"/>
          <w:spacing w:val="-3"/>
        </w:rPr>
        <w:t> </w:t>
      </w:r>
      <w:r>
        <w:rPr>
          <w:color w:val="231F20"/>
        </w:rPr>
        <w:t>позволяющих</w:t>
      </w:r>
      <w:r>
        <w:rPr>
          <w:color w:val="231F20"/>
          <w:spacing w:val="-3"/>
        </w:rPr>
        <w:t> </w:t>
      </w:r>
      <w:r>
        <w:rPr>
          <w:color w:val="231F20"/>
        </w:rPr>
        <w:t>оценить</w:t>
      </w:r>
      <w:r>
        <w:rPr>
          <w:color w:val="231F20"/>
          <w:spacing w:val="-3"/>
        </w:rPr>
        <w:t> </w:t>
      </w:r>
      <w:r>
        <w:rPr>
          <w:color w:val="231F20"/>
        </w:rPr>
        <w:t>уровень</w:t>
      </w:r>
      <w:r>
        <w:rPr>
          <w:color w:val="231F20"/>
          <w:spacing w:val="-3"/>
        </w:rPr>
        <w:t> </w:t>
      </w:r>
      <w:r>
        <w:rPr>
          <w:color w:val="231F20"/>
        </w:rPr>
        <w:t>готовно- сти</w:t>
      </w:r>
      <w:r>
        <w:rPr>
          <w:color w:val="231F20"/>
          <w:spacing w:val="-11"/>
        </w:rPr>
        <w:t> </w:t>
      </w:r>
      <w:r>
        <w:rPr>
          <w:color w:val="231F20"/>
        </w:rPr>
        <w:t>педагогов</w:t>
      </w:r>
      <w:r>
        <w:rPr>
          <w:color w:val="231F20"/>
          <w:spacing w:val="-11"/>
        </w:rPr>
        <w:t> </w:t>
      </w:r>
      <w:r>
        <w:rPr>
          <w:color w:val="231F20"/>
        </w:rPr>
        <w:t>к</w:t>
      </w:r>
      <w:r>
        <w:rPr>
          <w:color w:val="231F20"/>
          <w:spacing w:val="-11"/>
        </w:rPr>
        <w:t> </w:t>
      </w:r>
      <w:r>
        <w:rPr>
          <w:color w:val="231F20"/>
        </w:rPr>
        <w:t>работе</w:t>
      </w:r>
      <w:r>
        <w:rPr>
          <w:color w:val="231F20"/>
          <w:spacing w:val="-11"/>
        </w:rPr>
        <w:t> </w:t>
      </w:r>
      <w:r>
        <w:rPr>
          <w:color w:val="231F20"/>
        </w:rPr>
        <w:t>по</w:t>
      </w:r>
      <w:r>
        <w:rPr>
          <w:color w:val="231F20"/>
          <w:spacing w:val="-11"/>
        </w:rPr>
        <w:t> </w:t>
      </w:r>
      <w:r>
        <w:rPr>
          <w:color w:val="231F20"/>
        </w:rPr>
        <w:t>технологиям</w:t>
      </w:r>
      <w:r>
        <w:rPr>
          <w:color w:val="231F20"/>
          <w:spacing w:val="-11"/>
        </w:rPr>
        <w:t> </w:t>
      </w:r>
      <w:r>
        <w:rPr>
          <w:color w:val="231F20"/>
        </w:rPr>
        <w:t>обучения</w:t>
      </w:r>
      <w:r>
        <w:rPr>
          <w:color w:val="231F20"/>
          <w:spacing w:val="-11"/>
        </w:rPr>
        <w:t> </w:t>
      </w:r>
      <w:r>
        <w:rPr>
          <w:color w:val="231F20"/>
        </w:rPr>
        <w:t>в</w:t>
      </w:r>
      <w:r>
        <w:rPr>
          <w:color w:val="231F20"/>
          <w:spacing w:val="-11"/>
        </w:rPr>
        <w:t> </w:t>
      </w:r>
      <w:r>
        <w:rPr>
          <w:color w:val="231F20"/>
        </w:rPr>
        <w:t>сотрудничестве</w:t>
      </w:r>
      <w:r>
        <w:rPr>
          <w:color w:val="231F20"/>
          <w:spacing w:val="-11"/>
        </w:rPr>
        <w:t> </w:t>
      </w:r>
      <w:r>
        <w:rPr>
          <w:color w:val="231F20"/>
        </w:rPr>
        <w:t>(вопросы</w:t>
      </w:r>
      <w:r>
        <w:rPr>
          <w:color w:val="231F20"/>
          <w:spacing w:val="-11"/>
        </w:rPr>
        <w:t> </w:t>
      </w:r>
      <w:r>
        <w:rPr>
          <w:color w:val="231F20"/>
        </w:rPr>
        <w:t>на</w:t>
      </w:r>
      <w:r>
        <w:rPr>
          <w:color w:val="231F20"/>
          <w:spacing w:val="-11"/>
        </w:rPr>
        <w:t> </w:t>
      </w:r>
      <w:r>
        <w:rPr>
          <w:color w:val="231F20"/>
        </w:rPr>
        <w:t>пони- мание технологии, умение работать в группе, вести дискуссию и пр.).</w:t>
      </w:r>
    </w:p>
    <w:p>
      <w:pPr>
        <w:pStyle w:val="BodyText"/>
        <w:spacing w:line="235" w:lineRule="auto" w:before="2"/>
      </w:pPr>
      <w:r>
        <w:rPr>
          <w:color w:val="231F20"/>
        </w:rPr>
        <w:t>Цель:</w:t>
      </w:r>
      <w:r>
        <w:rPr>
          <w:color w:val="231F20"/>
          <w:spacing w:val="-3"/>
        </w:rPr>
        <w:t> </w:t>
      </w:r>
      <w:r>
        <w:rPr>
          <w:color w:val="231F20"/>
        </w:rPr>
        <w:t>оценить</w:t>
      </w:r>
      <w:r>
        <w:rPr>
          <w:color w:val="231F20"/>
          <w:spacing w:val="-3"/>
        </w:rPr>
        <w:t> </w:t>
      </w:r>
      <w:r>
        <w:rPr>
          <w:color w:val="231F20"/>
        </w:rPr>
        <w:t>имеющийся</w:t>
      </w:r>
      <w:r>
        <w:rPr>
          <w:color w:val="231F20"/>
          <w:spacing w:val="-3"/>
        </w:rPr>
        <w:t> </w:t>
      </w:r>
      <w:r>
        <w:rPr>
          <w:color w:val="231F20"/>
        </w:rPr>
        <w:t>у</w:t>
      </w:r>
      <w:r>
        <w:rPr>
          <w:color w:val="231F20"/>
          <w:spacing w:val="-3"/>
        </w:rPr>
        <w:t> </w:t>
      </w:r>
      <w:r>
        <w:rPr>
          <w:color w:val="231F20"/>
        </w:rPr>
        <w:t>участников</w:t>
      </w:r>
      <w:r>
        <w:rPr>
          <w:color w:val="231F20"/>
          <w:spacing w:val="-3"/>
        </w:rPr>
        <w:t> </w:t>
      </w:r>
      <w:r>
        <w:rPr>
          <w:color w:val="231F20"/>
        </w:rPr>
        <w:t>на</w:t>
      </w:r>
      <w:r>
        <w:rPr>
          <w:color w:val="231F20"/>
          <w:spacing w:val="-3"/>
        </w:rPr>
        <w:t> </w:t>
      </w:r>
      <w:r>
        <w:rPr>
          <w:color w:val="231F20"/>
        </w:rPr>
        <w:t>данный</w:t>
      </w:r>
      <w:r>
        <w:rPr>
          <w:color w:val="231F20"/>
          <w:spacing w:val="-3"/>
        </w:rPr>
        <w:t> </w:t>
      </w:r>
      <w:r>
        <w:rPr>
          <w:color w:val="231F20"/>
        </w:rPr>
        <w:t>момент</w:t>
      </w:r>
      <w:r>
        <w:rPr>
          <w:color w:val="231F20"/>
          <w:spacing w:val="-3"/>
        </w:rPr>
        <w:t> </w:t>
      </w:r>
      <w:r>
        <w:rPr>
          <w:color w:val="231F20"/>
        </w:rPr>
        <w:t>уровень</w:t>
      </w:r>
      <w:r>
        <w:rPr>
          <w:color w:val="231F20"/>
          <w:spacing w:val="-3"/>
        </w:rPr>
        <w:t> </w:t>
      </w:r>
      <w:r>
        <w:rPr>
          <w:color w:val="231F20"/>
        </w:rPr>
        <w:t>готовности</w:t>
      </w:r>
      <w:r>
        <w:rPr>
          <w:color w:val="231F20"/>
          <w:spacing w:val="-3"/>
        </w:rPr>
        <w:t> </w:t>
      </w:r>
      <w:r>
        <w:rPr>
          <w:color w:val="231F20"/>
        </w:rPr>
        <w:t>к внедрению технологии обучения в сотрудничестве.</w:t>
      </w:r>
    </w:p>
    <w:p>
      <w:pPr>
        <w:pStyle w:val="BodyText"/>
        <w:spacing w:line="235" w:lineRule="auto" w:before="1"/>
        <w:ind w:left="425" w:right="5099" w:firstLine="0"/>
      </w:pPr>
      <w:r>
        <w:rPr>
          <w:color w:val="231F20"/>
        </w:rPr>
        <w:t>Время: 5 минут Процедура</w:t>
      </w:r>
      <w:r>
        <w:rPr>
          <w:color w:val="231F20"/>
          <w:spacing w:val="-3"/>
        </w:rPr>
        <w:t> </w:t>
      </w:r>
      <w:r>
        <w:rPr>
          <w:color w:val="231F20"/>
          <w:spacing w:val="-2"/>
        </w:rPr>
        <w:t>выполнения</w:t>
      </w:r>
    </w:p>
    <w:p>
      <w:pPr>
        <w:pStyle w:val="BodyText"/>
        <w:spacing w:line="235" w:lineRule="auto" w:before="2"/>
      </w:pPr>
      <w:r>
        <w:rPr>
          <w:color w:val="231F20"/>
        </w:rPr>
        <w:t>Участникам</w:t>
      </w:r>
      <w:r>
        <w:rPr>
          <w:color w:val="231F20"/>
          <w:spacing w:val="-4"/>
        </w:rPr>
        <w:t> </w:t>
      </w:r>
      <w:r>
        <w:rPr>
          <w:color w:val="231F20"/>
        </w:rPr>
        <w:t>предлагается</w:t>
      </w:r>
      <w:r>
        <w:rPr>
          <w:color w:val="231F20"/>
          <w:spacing w:val="-4"/>
        </w:rPr>
        <w:t> </w:t>
      </w:r>
      <w:r>
        <w:rPr>
          <w:color w:val="231F20"/>
        </w:rPr>
        <w:t>заполнить</w:t>
      </w:r>
      <w:r>
        <w:rPr>
          <w:color w:val="231F20"/>
          <w:spacing w:val="-4"/>
        </w:rPr>
        <w:t> </w:t>
      </w:r>
      <w:r>
        <w:rPr>
          <w:color w:val="231F20"/>
        </w:rPr>
        <w:t>анкету-опросник</w:t>
      </w:r>
      <w:r>
        <w:rPr>
          <w:color w:val="231F20"/>
          <w:spacing w:val="-4"/>
        </w:rPr>
        <w:t> </w:t>
      </w:r>
      <w:r>
        <w:rPr>
          <w:color w:val="231F20"/>
        </w:rPr>
        <w:t>(</w:t>
      </w:r>
      <w:r>
        <w:rPr>
          <w:i/>
          <w:color w:val="231F20"/>
        </w:rPr>
        <w:t>см.</w:t>
      </w:r>
      <w:r>
        <w:rPr>
          <w:i/>
          <w:color w:val="231F20"/>
          <w:spacing w:val="-4"/>
        </w:rPr>
        <w:t> </w:t>
      </w:r>
      <w:r>
        <w:rPr>
          <w:i/>
          <w:color w:val="231F20"/>
        </w:rPr>
        <w:t>Приложение</w:t>
      </w:r>
      <w:r>
        <w:rPr>
          <w:i/>
          <w:color w:val="231F20"/>
          <w:spacing w:val="-4"/>
        </w:rPr>
        <w:t> </w:t>
      </w:r>
      <w:r>
        <w:rPr>
          <w:i/>
          <w:color w:val="231F20"/>
        </w:rPr>
        <w:t>1</w:t>
      </w:r>
      <w:r>
        <w:rPr>
          <w:color w:val="231F20"/>
        </w:rPr>
        <w:t>).</w:t>
      </w:r>
      <w:r>
        <w:rPr>
          <w:color w:val="231F20"/>
          <w:spacing w:val="-4"/>
        </w:rPr>
        <w:t> </w:t>
      </w:r>
      <w:r>
        <w:rPr>
          <w:color w:val="231F20"/>
        </w:rPr>
        <w:t>После заполнения ведущий собирает заполненные бланки.</w:t>
      </w:r>
    </w:p>
    <w:p>
      <w:pPr>
        <w:spacing w:line="228" w:lineRule="exact" w:before="54"/>
        <w:ind w:left="3051" w:right="0" w:firstLine="0"/>
        <w:jc w:val="both"/>
        <w:rPr>
          <w:b/>
          <w:i/>
          <w:sz w:val="20"/>
        </w:rPr>
      </w:pPr>
      <w:r>
        <w:rPr>
          <w:b/>
          <w:i/>
          <w:color w:val="231F20"/>
          <w:sz w:val="20"/>
        </w:rPr>
        <w:t>Основная</w:t>
      </w:r>
      <w:r>
        <w:rPr>
          <w:b/>
          <w:i/>
          <w:color w:val="231F20"/>
          <w:spacing w:val="-8"/>
          <w:sz w:val="20"/>
        </w:rPr>
        <w:t> </w:t>
      </w:r>
      <w:r>
        <w:rPr>
          <w:b/>
          <w:i/>
          <w:color w:val="231F20"/>
          <w:spacing w:val="-2"/>
          <w:sz w:val="20"/>
        </w:rPr>
        <w:t>часть</w:t>
      </w:r>
    </w:p>
    <w:p>
      <w:pPr>
        <w:spacing w:line="226" w:lineRule="exact" w:before="0"/>
        <w:ind w:left="425" w:right="0" w:firstLine="0"/>
        <w:jc w:val="both"/>
        <w:rPr>
          <w:i/>
          <w:sz w:val="20"/>
        </w:rPr>
      </w:pPr>
      <w:r>
        <w:rPr>
          <w:i/>
          <w:color w:val="231F20"/>
          <w:sz w:val="20"/>
        </w:rPr>
        <w:t>Упражнение</w:t>
      </w:r>
      <w:r>
        <w:rPr>
          <w:i/>
          <w:color w:val="231F20"/>
          <w:spacing w:val="-3"/>
          <w:sz w:val="20"/>
        </w:rPr>
        <w:t> </w:t>
      </w:r>
      <w:r>
        <w:rPr>
          <w:i/>
          <w:color w:val="231F20"/>
          <w:sz w:val="20"/>
        </w:rPr>
        <w:t>4.</w:t>
      </w:r>
      <w:r>
        <w:rPr>
          <w:i/>
          <w:color w:val="231F20"/>
          <w:spacing w:val="-3"/>
          <w:sz w:val="20"/>
        </w:rPr>
        <w:t> </w:t>
      </w:r>
      <w:r>
        <w:rPr>
          <w:i/>
          <w:color w:val="231F20"/>
          <w:spacing w:val="-2"/>
          <w:sz w:val="20"/>
        </w:rPr>
        <w:t>«Построимся»</w:t>
      </w:r>
    </w:p>
    <w:p>
      <w:pPr>
        <w:pStyle w:val="BodyText"/>
      </w:pPr>
      <w:r>
        <w:rPr>
          <w:color w:val="231F20"/>
        </w:rPr>
        <w:t>Цель: обучение умению распределять роли в команде, сравнивать себя с другим участником по схожим признакам.</w:t>
      </w:r>
    </w:p>
    <w:p>
      <w:pPr>
        <w:pStyle w:val="BodyText"/>
        <w:ind w:left="425" w:right="0" w:firstLine="0"/>
      </w:pPr>
      <w:r>
        <w:rPr>
          <w:color w:val="231F20"/>
        </w:rPr>
        <w:t>Время: 15 </w:t>
      </w:r>
      <w:r>
        <w:rPr>
          <w:color w:val="231F20"/>
          <w:spacing w:val="-2"/>
        </w:rPr>
        <w:t>минут.</w:t>
      </w:r>
    </w:p>
    <w:p>
      <w:pPr>
        <w:pStyle w:val="BodyText"/>
        <w:ind w:left="425" w:right="0" w:firstLine="0"/>
      </w:pPr>
      <w:r>
        <w:rPr>
          <w:color w:val="231F20"/>
        </w:rPr>
        <w:t>Процедура</w:t>
      </w:r>
      <w:r>
        <w:rPr>
          <w:color w:val="231F20"/>
          <w:spacing w:val="-3"/>
        </w:rPr>
        <w:t> </w:t>
      </w:r>
      <w:r>
        <w:rPr>
          <w:color w:val="231F20"/>
          <w:spacing w:val="-2"/>
        </w:rPr>
        <w:t>выполнения</w:t>
      </w:r>
    </w:p>
    <w:p>
      <w:pPr>
        <w:pStyle w:val="ListParagraph"/>
        <w:numPr>
          <w:ilvl w:val="1"/>
          <w:numId w:val="314"/>
        </w:numPr>
        <w:tabs>
          <w:tab w:pos="568" w:val="left" w:leader="none"/>
        </w:tabs>
        <w:spacing w:line="240" w:lineRule="auto" w:before="0" w:after="0"/>
        <w:ind w:left="141" w:right="139" w:firstLine="283"/>
        <w:jc w:val="both"/>
        <w:rPr>
          <w:i/>
          <w:color w:val="231F20"/>
          <w:sz w:val="20"/>
        </w:rPr>
      </w:pPr>
      <w:r>
        <w:rPr>
          <w:i/>
          <w:color w:val="231F20"/>
          <w:sz w:val="20"/>
        </w:rPr>
        <w:t>Теперь</w:t>
      </w:r>
      <w:r>
        <w:rPr>
          <w:i/>
          <w:color w:val="231F20"/>
          <w:spacing w:val="-13"/>
          <w:sz w:val="20"/>
        </w:rPr>
        <w:t> </w:t>
      </w:r>
      <w:r>
        <w:rPr>
          <w:i/>
          <w:color w:val="231F20"/>
          <w:sz w:val="20"/>
        </w:rPr>
        <w:t>мы</w:t>
      </w:r>
      <w:r>
        <w:rPr>
          <w:i/>
          <w:color w:val="231F20"/>
          <w:spacing w:val="-12"/>
          <w:sz w:val="20"/>
        </w:rPr>
        <w:t> </w:t>
      </w:r>
      <w:r>
        <w:rPr>
          <w:i/>
          <w:color w:val="231F20"/>
          <w:sz w:val="20"/>
        </w:rPr>
        <w:t>посмотрим,</w:t>
      </w:r>
      <w:r>
        <w:rPr>
          <w:i/>
          <w:color w:val="231F20"/>
          <w:spacing w:val="-13"/>
          <w:sz w:val="20"/>
        </w:rPr>
        <w:t> </w:t>
      </w:r>
      <w:r>
        <w:rPr>
          <w:i/>
          <w:color w:val="231F20"/>
          <w:sz w:val="20"/>
        </w:rPr>
        <w:t>насколько</w:t>
      </w:r>
      <w:r>
        <w:rPr>
          <w:i/>
          <w:color w:val="231F20"/>
          <w:spacing w:val="-12"/>
          <w:sz w:val="20"/>
        </w:rPr>
        <w:t> </w:t>
      </w:r>
      <w:r>
        <w:rPr>
          <w:i/>
          <w:color w:val="231F20"/>
          <w:sz w:val="20"/>
        </w:rPr>
        <w:t>ваши</w:t>
      </w:r>
      <w:r>
        <w:rPr>
          <w:i/>
          <w:color w:val="231F20"/>
          <w:spacing w:val="-13"/>
          <w:sz w:val="20"/>
        </w:rPr>
        <w:t> </w:t>
      </w:r>
      <w:r>
        <w:rPr>
          <w:i/>
          <w:color w:val="231F20"/>
          <w:sz w:val="20"/>
        </w:rPr>
        <w:t>общие</w:t>
      </w:r>
      <w:r>
        <w:rPr>
          <w:i/>
          <w:color w:val="231F20"/>
          <w:spacing w:val="-12"/>
          <w:sz w:val="20"/>
        </w:rPr>
        <w:t> </w:t>
      </w:r>
      <w:r>
        <w:rPr>
          <w:i/>
          <w:color w:val="231F20"/>
          <w:sz w:val="20"/>
        </w:rPr>
        <w:t>черты</w:t>
      </w:r>
      <w:r>
        <w:rPr>
          <w:i/>
          <w:color w:val="231F20"/>
          <w:spacing w:val="-13"/>
          <w:sz w:val="20"/>
        </w:rPr>
        <w:t> </w:t>
      </w:r>
      <w:r>
        <w:rPr>
          <w:i/>
          <w:color w:val="231F20"/>
          <w:sz w:val="20"/>
        </w:rPr>
        <w:t>проявляются</w:t>
      </w:r>
      <w:r>
        <w:rPr>
          <w:i/>
          <w:color w:val="231F20"/>
          <w:spacing w:val="-12"/>
          <w:sz w:val="20"/>
        </w:rPr>
        <w:t> </w:t>
      </w:r>
      <w:r>
        <w:rPr>
          <w:i/>
          <w:color w:val="231F20"/>
          <w:sz w:val="20"/>
        </w:rPr>
        <w:t>у</w:t>
      </w:r>
      <w:r>
        <w:rPr>
          <w:i/>
          <w:color w:val="231F20"/>
          <w:spacing w:val="-13"/>
          <w:sz w:val="20"/>
        </w:rPr>
        <w:t> </w:t>
      </w:r>
      <w:r>
        <w:rPr>
          <w:i/>
          <w:color w:val="231F20"/>
          <w:sz w:val="20"/>
        </w:rPr>
        <w:t>каждого</w:t>
      </w:r>
      <w:r>
        <w:rPr>
          <w:i/>
          <w:color w:val="231F20"/>
          <w:spacing w:val="-12"/>
          <w:sz w:val="20"/>
        </w:rPr>
        <w:t> </w:t>
      </w:r>
      <w:r>
        <w:rPr>
          <w:i/>
          <w:color w:val="231F20"/>
          <w:sz w:val="20"/>
        </w:rPr>
        <w:t>из вас в отдельности!</w:t>
      </w:r>
    </w:p>
    <w:p>
      <w:pPr>
        <w:pStyle w:val="BodyText"/>
      </w:pPr>
      <w:r>
        <w:rPr>
          <w:color w:val="231F20"/>
        </w:rPr>
        <w:t>Задача участников – построиться в одну линию по росту. При этом нельзя разго- варивать. Затем задание усложняется: нужно построиться по месяцу рождения, по длине</w:t>
      </w:r>
      <w:r>
        <w:rPr>
          <w:color w:val="231F20"/>
          <w:spacing w:val="-4"/>
        </w:rPr>
        <w:t> </w:t>
      </w:r>
      <w:r>
        <w:rPr>
          <w:color w:val="231F20"/>
        </w:rPr>
        <w:t>волос,</w:t>
      </w:r>
      <w:r>
        <w:rPr>
          <w:color w:val="231F20"/>
          <w:spacing w:val="-5"/>
        </w:rPr>
        <w:t> </w:t>
      </w:r>
      <w:r>
        <w:rPr>
          <w:color w:val="231F20"/>
        </w:rPr>
        <w:t>по</w:t>
      </w:r>
      <w:r>
        <w:rPr>
          <w:color w:val="231F20"/>
          <w:spacing w:val="-4"/>
        </w:rPr>
        <w:t> </w:t>
      </w:r>
      <w:r>
        <w:rPr>
          <w:color w:val="231F20"/>
        </w:rPr>
        <w:t>цветам</w:t>
      </w:r>
      <w:r>
        <w:rPr>
          <w:color w:val="231F20"/>
          <w:spacing w:val="-5"/>
        </w:rPr>
        <w:t> </w:t>
      </w:r>
      <w:r>
        <w:rPr>
          <w:color w:val="231F20"/>
        </w:rPr>
        <w:t>в</w:t>
      </w:r>
      <w:r>
        <w:rPr>
          <w:color w:val="231F20"/>
          <w:spacing w:val="-5"/>
        </w:rPr>
        <w:t> </w:t>
      </w:r>
      <w:r>
        <w:rPr>
          <w:color w:val="231F20"/>
        </w:rPr>
        <w:t>одежде</w:t>
      </w:r>
      <w:r>
        <w:rPr>
          <w:color w:val="231F20"/>
          <w:spacing w:val="-5"/>
        </w:rPr>
        <w:t> </w:t>
      </w:r>
      <w:r>
        <w:rPr>
          <w:color w:val="231F20"/>
        </w:rPr>
        <w:t>или</w:t>
      </w:r>
      <w:r>
        <w:rPr>
          <w:color w:val="231F20"/>
          <w:spacing w:val="-4"/>
        </w:rPr>
        <w:t> </w:t>
      </w:r>
      <w:r>
        <w:rPr>
          <w:color w:val="231F20"/>
        </w:rPr>
        <w:t>каким-либо</w:t>
      </w:r>
      <w:r>
        <w:rPr>
          <w:color w:val="231F20"/>
          <w:spacing w:val="-5"/>
        </w:rPr>
        <w:t> </w:t>
      </w:r>
      <w:r>
        <w:rPr>
          <w:color w:val="231F20"/>
        </w:rPr>
        <w:t>другим</w:t>
      </w:r>
      <w:r>
        <w:rPr>
          <w:color w:val="231F20"/>
          <w:spacing w:val="-4"/>
        </w:rPr>
        <w:t> </w:t>
      </w:r>
      <w:r>
        <w:rPr>
          <w:color w:val="231F20"/>
        </w:rPr>
        <w:t>признаками,</w:t>
      </w:r>
      <w:r>
        <w:rPr>
          <w:color w:val="231F20"/>
          <w:spacing w:val="-5"/>
        </w:rPr>
        <w:t> </w:t>
      </w:r>
      <w:r>
        <w:rPr>
          <w:color w:val="231F20"/>
        </w:rPr>
        <w:t>которые</w:t>
      </w:r>
      <w:r>
        <w:rPr>
          <w:color w:val="231F20"/>
          <w:spacing w:val="-5"/>
        </w:rPr>
        <w:t> </w:t>
      </w:r>
      <w:r>
        <w:rPr>
          <w:color w:val="231F20"/>
        </w:rPr>
        <w:t>выбе- рет тренер.</w:t>
      </w:r>
    </w:p>
    <w:p>
      <w:pPr>
        <w:pStyle w:val="BodyText"/>
        <w:ind w:left="425" w:right="0" w:firstLine="0"/>
        <w:jc w:val="left"/>
      </w:pPr>
      <w:r>
        <w:rPr>
          <w:color w:val="231F20"/>
          <w:spacing w:val="-2"/>
        </w:rPr>
        <w:t>Рефлексия</w:t>
      </w:r>
    </w:p>
    <w:p>
      <w:pPr>
        <w:pStyle w:val="ListParagraph"/>
        <w:numPr>
          <w:ilvl w:val="1"/>
          <w:numId w:val="314"/>
        </w:numPr>
        <w:tabs>
          <w:tab w:pos="587" w:val="left" w:leader="none"/>
        </w:tabs>
        <w:spacing w:line="240" w:lineRule="auto" w:before="0" w:after="0"/>
        <w:ind w:left="141" w:right="139" w:firstLine="283"/>
        <w:jc w:val="left"/>
        <w:rPr>
          <w:color w:val="231F20"/>
          <w:sz w:val="20"/>
        </w:rPr>
      </w:pPr>
      <w:r>
        <w:rPr>
          <w:i/>
          <w:color w:val="231F20"/>
          <w:sz w:val="20"/>
        </w:rPr>
        <w:t>Трудно ли было выполнять это упражнение? Почему? Какую роль вы избрали для себя? Какая стратегия выполнения была наиболее эффективна?</w:t>
      </w:r>
    </w:p>
    <w:p>
      <w:pPr>
        <w:spacing w:before="111"/>
        <w:ind w:left="425" w:right="0" w:firstLine="0"/>
        <w:jc w:val="left"/>
        <w:rPr>
          <w:i/>
          <w:sz w:val="20"/>
        </w:rPr>
      </w:pPr>
      <w:r>
        <w:rPr>
          <w:i/>
          <w:color w:val="231F20"/>
          <w:sz w:val="20"/>
        </w:rPr>
        <w:t>Упражнение</w:t>
      </w:r>
      <w:r>
        <w:rPr>
          <w:i/>
          <w:color w:val="231F20"/>
          <w:spacing w:val="-4"/>
          <w:sz w:val="20"/>
        </w:rPr>
        <w:t> </w:t>
      </w:r>
      <w:r>
        <w:rPr>
          <w:i/>
          <w:color w:val="231F20"/>
          <w:sz w:val="20"/>
        </w:rPr>
        <w:t>5.</w:t>
      </w:r>
      <w:r>
        <w:rPr>
          <w:i/>
          <w:color w:val="231F20"/>
          <w:spacing w:val="-4"/>
          <w:sz w:val="20"/>
        </w:rPr>
        <w:t> </w:t>
      </w:r>
      <w:r>
        <w:rPr>
          <w:i/>
          <w:color w:val="231F20"/>
          <w:sz w:val="20"/>
        </w:rPr>
        <w:t>«Сломанные</w:t>
      </w:r>
      <w:r>
        <w:rPr>
          <w:i/>
          <w:color w:val="231F20"/>
          <w:spacing w:val="-4"/>
          <w:sz w:val="20"/>
        </w:rPr>
        <w:t> </w:t>
      </w:r>
      <w:r>
        <w:rPr>
          <w:i/>
          <w:color w:val="231F20"/>
          <w:spacing w:val="-2"/>
          <w:sz w:val="20"/>
        </w:rPr>
        <w:t>круги»</w:t>
      </w:r>
    </w:p>
    <w:p>
      <w:pPr>
        <w:pStyle w:val="BodyText"/>
        <w:ind w:right="0"/>
        <w:jc w:val="left"/>
      </w:pPr>
      <w:r>
        <w:rPr>
          <w:color w:val="231F20"/>
        </w:rPr>
        <w:t>Цель:</w:t>
      </w:r>
      <w:r>
        <w:rPr>
          <w:color w:val="231F20"/>
          <w:spacing w:val="-8"/>
        </w:rPr>
        <w:t> </w:t>
      </w:r>
      <w:r>
        <w:rPr>
          <w:color w:val="231F20"/>
        </w:rPr>
        <w:t>сформировать</w:t>
      </w:r>
      <w:r>
        <w:rPr>
          <w:color w:val="231F20"/>
          <w:spacing w:val="-8"/>
        </w:rPr>
        <w:t> </w:t>
      </w:r>
      <w:r>
        <w:rPr>
          <w:color w:val="231F20"/>
        </w:rPr>
        <w:t>умения</w:t>
      </w:r>
      <w:r>
        <w:rPr>
          <w:color w:val="231F20"/>
          <w:spacing w:val="-8"/>
        </w:rPr>
        <w:t> </w:t>
      </w:r>
      <w:r>
        <w:rPr>
          <w:color w:val="231F20"/>
        </w:rPr>
        <w:t>участников</w:t>
      </w:r>
      <w:r>
        <w:rPr>
          <w:color w:val="231F20"/>
          <w:spacing w:val="-8"/>
        </w:rPr>
        <w:t> </w:t>
      </w:r>
      <w:r>
        <w:rPr>
          <w:color w:val="231F20"/>
        </w:rPr>
        <w:t>работать</w:t>
      </w:r>
      <w:r>
        <w:rPr>
          <w:color w:val="231F20"/>
          <w:spacing w:val="-8"/>
        </w:rPr>
        <w:t> </w:t>
      </w:r>
      <w:r>
        <w:rPr>
          <w:color w:val="231F20"/>
        </w:rPr>
        <w:t>в</w:t>
      </w:r>
      <w:r>
        <w:rPr>
          <w:color w:val="231F20"/>
          <w:spacing w:val="-8"/>
        </w:rPr>
        <w:t> </w:t>
      </w:r>
      <w:r>
        <w:rPr>
          <w:color w:val="231F20"/>
        </w:rPr>
        <w:t>группе</w:t>
      </w:r>
      <w:r>
        <w:rPr>
          <w:color w:val="231F20"/>
          <w:spacing w:val="-8"/>
        </w:rPr>
        <w:t> </w:t>
      </w:r>
      <w:r>
        <w:rPr>
          <w:color w:val="231F20"/>
        </w:rPr>
        <w:t>и</w:t>
      </w:r>
      <w:r>
        <w:rPr>
          <w:color w:val="231F20"/>
          <w:spacing w:val="-8"/>
        </w:rPr>
        <w:t> </w:t>
      </w:r>
      <w:r>
        <w:rPr>
          <w:color w:val="231F20"/>
        </w:rPr>
        <w:t>учитывать</w:t>
      </w:r>
      <w:r>
        <w:rPr>
          <w:color w:val="231F20"/>
          <w:spacing w:val="-8"/>
        </w:rPr>
        <w:t> </w:t>
      </w:r>
      <w:r>
        <w:rPr>
          <w:color w:val="231F20"/>
        </w:rPr>
        <w:t>потребно- сти каждого для достижения общего результата.</w:t>
      </w:r>
    </w:p>
    <w:p>
      <w:pPr>
        <w:pStyle w:val="BodyText"/>
        <w:spacing w:line="224" w:lineRule="exact"/>
        <w:ind w:left="425" w:right="0" w:firstLine="0"/>
        <w:jc w:val="left"/>
      </w:pPr>
      <w:r>
        <w:rPr>
          <w:color w:val="231F20"/>
        </w:rPr>
        <w:t>Время: 20 </w:t>
      </w:r>
      <w:r>
        <w:rPr>
          <w:color w:val="231F20"/>
          <w:spacing w:val="-2"/>
        </w:rPr>
        <w:t>минут.</w:t>
      </w:r>
    </w:p>
    <w:p>
      <w:pPr>
        <w:pStyle w:val="BodyText"/>
        <w:spacing w:line="235" w:lineRule="auto" w:before="2"/>
        <w:ind w:left="425" w:right="3231" w:firstLine="0"/>
        <w:jc w:val="left"/>
      </w:pPr>
      <w:r>
        <w:rPr>
          <w:color w:val="231F20"/>
        </w:rPr>
        <w:t>Материалы:</w:t>
      </w:r>
      <w:r>
        <w:rPr>
          <w:color w:val="231F20"/>
          <w:spacing w:val="-13"/>
        </w:rPr>
        <w:t> </w:t>
      </w:r>
      <w:r>
        <w:rPr>
          <w:color w:val="231F20"/>
        </w:rPr>
        <w:t>комплекты</w:t>
      </w:r>
      <w:r>
        <w:rPr>
          <w:color w:val="231F20"/>
          <w:spacing w:val="-12"/>
        </w:rPr>
        <w:t> </w:t>
      </w:r>
      <w:r>
        <w:rPr>
          <w:color w:val="231F20"/>
        </w:rPr>
        <w:t>усложненных</w:t>
      </w:r>
      <w:r>
        <w:rPr>
          <w:color w:val="231F20"/>
          <w:spacing w:val="-13"/>
        </w:rPr>
        <w:t> </w:t>
      </w:r>
      <w:r>
        <w:rPr>
          <w:color w:val="231F20"/>
        </w:rPr>
        <w:t>кругов. Процедура выполнения</w:t>
      </w:r>
    </w:p>
    <w:p>
      <w:pPr>
        <w:pStyle w:val="BodyText"/>
        <w:spacing w:line="235" w:lineRule="auto" w:before="1"/>
      </w:pPr>
      <w:r>
        <w:rPr>
          <w:color w:val="231F20"/>
        </w:rPr>
        <w:t>Тренер распределяет участников по группам, в каждой из которых должно быть не</w:t>
      </w:r>
      <w:r>
        <w:rPr>
          <w:color w:val="231F20"/>
          <w:spacing w:val="-11"/>
        </w:rPr>
        <w:t> </w:t>
      </w:r>
      <w:r>
        <w:rPr>
          <w:color w:val="231F20"/>
        </w:rPr>
        <w:t>менее</w:t>
      </w:r>
      <w:r>
        <w:rPr>
          <w:color w:val="231F20"/>
          <w:spacing w:val="-12"/>
        </w:rPr>
        <w:t> </w:t>
      </w:r>
      <w:r>
        <w:rPr>
          <w:color w:val="231F20"/>
        </w:rPr>
        <w:t>6</w:t>
      </w:r>
      <w:r>
        <w:rPr>
          <w:color w:val="231F20"/>
          <w:spacing w:val="-12"/>
        </w:rPr>
        <w:t> </w:t>
      </w:r>
      <w:r>
        <w:rPr>
          <w:color w:val="231F20"/>
        </w:rPr>
        <w:t>человек.</w:t>
      </w:r>
      <w:r>
        <w:rPr>
          <w:color w:val="231F20"/>
          <w:spacing w:val="-12"/>
        </w:rPr>
        <w:t> </w:t>
      </w:r>
      <w:r>
        <w:rPr>
          <w:color w:val="231F20"/>
        </w:rPr>
        <w:t>В</w:t>
      </w:r>
      <w:r>
        <w:rPr>
          <w:color w:val="231F20"/>
          <w:spacing w:val="-12"/>
        </w:rPr>
        <w:t> </w:t>
      </w:r>
      <w:r>
        <w:rPr>
          <w:color w:val="231F20"/>
        </w:rPr>
        <w:t>первый</w:t>
      </w:r>
      <w:r>
        <w:rPr>
          <w:color w:val="231F20"/>
          <w:spacing w:val="-12"/>
        </w:rPr>
        <w:t> </w:t>
      </w:r>
      <w:r>
        <w:rPr>
          <w:color w:val="231F20"/>
        </w:rPr>
        <w:t>раз</w:t>
      </w:r>
      <w:r>
        <w:rPr>
          <w:color w:val="231F20"/>
          <w:spacing w:val="-12"/>
        </w:rPr>
        <w:t> </w:t>
      </w:r>
      <w:r>
        <w:rPr>
          <w:color w:val="231F20"/>
        </w:rPr>
        <w:t>на</w:t>
      </w:r>
      <w:r>
        <w:rPr>
          <w:color w:val="231F20"/>
          <w:spacing w:val="-11"/>
        </w:rPr>
        <w:t> </w:t>
      </w:r>
      <w:r>
        <w:rPr>
          <w:color w:val="231F20"/>
        </w:rPr>
        <w:t>тренинге</w:t>
      </w:r>
      <w:r>
        <w:rPr>
          <w:color w:val="231F20"/>
          <w:spacing w:val="-12"/>
        </w:rPr>
        <w:t> </w:t>
      </w:r>
      <w:r>
        <w:rPr>
          <w:color w:val="231F20"/>
        </w:rPr>
        <w:t>распределение</w:t>
      </w:r>
      <w:r>
        <w:rPr>
          <w:color w:val="231F20"/>
          <w:spacing w:val="-12"/>
        </w:rPr>
        <w:t> </w:t>
      </w:r>
      <w:r>
        <w:rPr>
          <w:color w:val="231F20"/>
        </w:rPr>
        <w:t>по</w:t>
      </w:r>
      <w:r>
        <w:rPr>
          <w:color w:val="231F20"/>
          <w:spacing w:val="-11"/>
        </w:rPr>
        <w:t> </w:t>
      </w:r>
      <w:r>
        <w:rPr>
          <w:color w:val="231F20"/>
        </w:rPr>
        <w:t>группам</w:t>
      </w:r>
      <w:r>
        <w:rPr>
          <w:color w:val="231F20"/>
          <w:spacing w:val="-11"/>
        </w:rPr>
        <w:t> </w:t>
      </w:r>
      <w:r>
        <w:rPr>
          <w:color w:val="231F20"/>
        </w:rPr>
        <w:t>будет</w:t>
      </w:r>
      <w:r>
        <w:rPr>
          <w:color w:val="231F20"/>
          <w:spacing w:val="-12"/>
        </w:rPr>
        <w:t> </w:t>
      </w:r>
      <w:r>
        <w:rPr>
          <w:color w:val="231F20"/>
        </w:rPr>
        <w:t>произ- вольным</w:t>
      </w:r>
      <w:r>
        <w:rPr>
          <w:color w:val="231F20"/>
          <w:spacing w:val="-13"/>
        </w:rPr>
        <w:t> </w:t>
      </w:r>
      <w:r>
        <w:rPr>
          <w:color w:val="231F20"/>
        </w:rPr>
        <w:t>и</w:t>
      </w:r>
      <w:r>
        <w:rPr>
          <w:color w:val="231F20"/>
          <w:spacing w:val="-12"/>
        </w:rPr>
        <w:t> </w:t>
      </w:r>
      <w:r>
        <w:rPr>
          <w:color w:val="231F20"/>
        </w:rPr>
        <w:t>тренер</w:t>
      </w:r>
      <w:r>
        <w:rPr>
          <w:color w:val="231F20"/>
          <w:spacing w:val="-13"/>
        </w:rPr>
        <w:t> </w:t>
      </w:r>
      <w:r>
        <w:rPr>
          <w:color w:val="231F20"/>
        </w:rPr>
        <w:t>может</w:t>
      </w:r>
      <w:r>
        <w:rPr>
          <w:color w:val="231F20"/>
          <w:spacing w:val="-12"/>
        </w:rPr>
        <w:t> </w:t>
      </w:r>
      <w:r>
        <w:rPr>
          <w:color w:val="231F20"/>
        </w:rPr>
        <w:t>использовать</w:t>
      </w:r>
      <w:r>
        <w:rPr>
          <w:color w:val="231F20"/>
          <w:spacing w:val="-13"/>
        </w:rPr>
        <w:t> </w:t>
      </w:r>
      <w:r>
        <w:rPr>
          <w:color w:val="231F20"/>
        </w:rPr>
        <w:t>для</w:t>
      </w:r>
      <w:r>
        <w:rPr>
          <w:color w:val="231F20"/>
          <w:spacing w:val="-12"/>
        </w:rPr>
        <w:t> </w:t>
      </w:r>
      <w:r>
        <w:rPr>
          <w:color w:val="231F20"/>
        </w:rPr>
        <w:t>формирования</w:t>
      </w:r>
      <w:r>
        <w:rPr>
          <w:color w:val="231F20"/>
          <w:spacing w:val="-13"/>
        </w:rPr>
        <w:t> </w:t>
      </w:r>
      <w:r>
        <w:rPr>
          <w:color w:val="231F20"/>
        </w:rPr>
        <w:t>групп</w:t>
      </w:r>
      <w:r>
        <w:rPr>
          <w:color w:val="231F20"/>
          <w:spacing w:val="-12"/>
        </w:rPr>
        <w:t> </w:t>
      </w:r>
      <w:r>
        <w:rPr>
          <w:color w:val="231F20"/>
        </w:rPr>
        <w:t>любой</w:t>
      </w:r>
      <w:r>
        <w:rPr>
          <w:color w:val="231F20"/>
          <w:spacing w:val="-13"/>
        </w:rPr>
        <w:t> </w:t>
      </w:r>
      <w:r>
        <w:rPr>
          <w:color w:val="231F20"/>
        </w:rPr>
        <w:t>прием</w:t>
      </w:r>
      <w:r>
        <w:rPr>
          <w:color w:val="231F20"/>
          <w:spacing w:val="-12"/>
        </w:rPr>
        <w:t> </w:t>
      </w:r>
      <w:r>
        <w:rPr>
          <w:color w:val="231F20"/>
        </w:rPr>
        <w:t>(напри-</w:t>
      </w:r>
    </w:p>
    <w:p>
      <w:pPr>
        <w:pStyle w:val="BodyText"/>
        <w:spacing w:after="0" w:line="235" w:lineRule="auto"/>
        <w:sectPr>
          <w:pgSz w:w="8400" w:h="11910"/>
          <w:pgMar w:header="0" w:footer="530" w:top="400" w:bottom="74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6"/>
          <w:sz w:val="18"/>
        </w:rPr>
        <w:t> </w:t>
      </w:r>
      <w:r>
        <w:rPr>
          <w:rFonts w:ascii="Georgia" w:hAnsi="Georgia"/>
          <w:color w:val="231F20"/>
          <w:sz w:val="18"/>
        </w:rPr>
        <w:t>Организация</w:t>
      </w:r>
      <w:r>
        <w:rPr>
          <w:rFonts w:ascii="Georgia" w:hAnsi="Georgia"/>
          <w:color w:val="231F20"/>
          <w:spacing w:val="7"/>
          <w:sz w:val="18"/>
        </w:rPr>
        <w:t> </w:t>
      </w:r>
      <w:r>
        <w:rPr>
          <w:rFonts w:ascii="Georgia" w:hAnsi="Georgia"/>
          <w:color w:val="231F20"/>
          <w:sz w:val="18"/>
        </w:rPr>
        <w:t>групповой</w:t>
      </w:r>
      <w:r>
        <w:rPr>
          <w:rFonts w:ascii="Georgia" w:hAnsi="Georgia"/>
          <w:color w:val="231F20"/>
          <w:spacing w:val="7"/>
          <w:sz w:val="18"/>
        </w:rPr>
        <w:t> </w:t>
      </w:r>
      <w:r>
        <w:rPr>
          <w:rFonts w:ascii="Georgia" w:hAnsi="Georgia"/>
          <w:color w:val="231F20"/>
          <w:sz w:val="18"/>
        </w:rPr>
        <w:t>учебной</w:t>
      </w:r>
      <w:r>
        <w:rPr>
          <w:rFonts w:ascii="Georgia" w:hAnsi="Georgia"/>
          <w:color w:val="231F20"/>
          <w:spacing w:val="6"/>
          <w:sz w:val="18"/>
        </w:rPr>
        <w:t> </w:t>
      </w:r>
      <w:r>
        <w:rPr>
          <w:rFonts w:ascii="Georgia" w:hAnsi="Georgia"/>
          <w:color w:val="231F20"/>
          <w:sz w:val="18"/>
        </w:rPr>
        <w:t>работы</w:t>
      </w:r>
      <w:r>
        <w:rPr>
          <w:rFonts w:ascii="Georgia" w:hAnsi="Georgia"/>
          <w:color w:val="231F20"/>
          <w:spacing w:val="7"/>
          <w:sz w:val="18"/>
        </w:rPr>
        <w:t> </w:t>
      </w:r>
      <w:r>
        <w:rPr>
          <w:rFonts w:ascii="Georgia" w:hAnsi="Georgia"/>
          <w:color w:val="231F20"/>
          <w:sz w:val="18"/>
        </w:rPr>
        <w:t>учащихся</w:t>
      </w:r>
      <w:r>
        <w:rPr>
          <w:rFonts w:ascii="Georgia" w:hAnsi="Georgia"/>
          <w:color w:val="231F20"/>
          <w:spacing w:val="7"/>
          <w:sz w:val="18"/>
        </w:rPr>
        <w:t> </w:t>
      </w:r>
      <w:r>
        <w:rPr>
          <w:rFonts w:ascii="Georgia" w:hAnsi="Georgia"/>
          <w:color w:val="231F20"/>
          <w:sz w:val="18"/>
        </w:rPr>
        <w:t>в</w:t>
      </w:r>
      <w:r>
        <w:rPr>
          <w:rFonts w:ascii="Georgia" w:hAnsi="Georgia"/>
          <w:color w:val="231F20"/>
          <w:spacing w:val="6"/>
          <w:sz w:val="18"/>
        </w:rPr>
        <w:t> </w:t>
      </w:r>
      <w:r>
        <w:rPr>
          <w:rFonts w:ascii="Georgia" w:hAnsi="Georgia"/>
          <w:color w:val="231F20"/>
          <w:sz w:val="18"/>
        </w:rPr>
        <w:t>поликультурном</w:t>
      </w:r>
      <w:r>
        <w:rPr>
          <w:rFonts w:ascii="Georgia" w:hAnsi="Georgia"/>
          <w:color w:val="231F20"/>
          <w:spacing w:val="7"/>
          <w:sz w:val="18"/>
        </w:rPr>
        <w:t> </w:t>
      </w:r>
      <w:r>
        <w:rPr>
          <w:rFonts w:ascii="Georgia" w:hAnsi="Georgia"/>
          <w:color w:val="231F20"/>
          <w:spacing w:val="-2"/>
          <w:sz w:val="18"/>
        </w:rPr>
        <w:t>классе...</w:t>
      </w:r>
    </w:p>
    <w:p>
      <w:pPr>
        <w:pStyle w:val="BodyText"/>
        <w:spacing w:line="235" w:lineRule="auto" w:before="116"/>
        <w:ind w:firstLine="0"/>
      </w:pPr>
      <w:r>
        <w:rPr>
          <w:color w:val="231F20"/>
        </w:rPr>
        <w:t>мер,</w:t>
      </w:r>
      <w:r>
        <w:rPr>
          <w:color w:val="231F20"/>
          <w:spacing w:val="-3"/>
        </w:rPr>
        <w:t> </w:t>
      </w:r>
      <w:r>
        <w:rPr>
          <w:color w:val="231F20"/>
        </w:rPr>
        <w:t>попросит</w:t>
      </w:r>
      <w:r>
        <w:rPr>
          <w:color w:val="231F20"/>
          <w:spacing w:val="-2"/>
        </w:rPr>
        <w:t> </w:t>
      </w:r>
      <w:r>
        <w:rPr>
          <w:color w:val="231F20"/>
        </w:rPr>
        <w:t>встать</w:t>
      </w:r>
      <w:r>
        <w:rPr>
          <w:color w:val="231F20"/>
          <w:spacing w:val="-2"/>
        </w:rPr>
        <w:t> </w:t>
      </w:r>
      <w:r>
        <w:rPr>
          <w:color w:val="231F20"/>
        </w:rPr>
        <w:t>в</w:t>
      </w:r>
      <w:r>
        <w:rPr>
          <w:color w:val="231F20"/>
          <w:spacing w:val="-2"/>
        </w:rPr>
        <w:t> </w:t>
      </w:r>
      <w:r>
        <w:rPr>
          <w:color w:val="231F20"/>
        </w:rPr>
        <w:t>шеренгу</w:t>
      </w:r>
      <w:r>
        <w:rPr>
          <w:color w:val="231F20"/>
          <w:spacing w:val="-2"/>
        </w:rPr>
        <w:t> </w:t>
      </w:r>
      <w:r>
        <w:rPr>
          <w:color w:val="231F20"/>
        </w:rPr>
        <w:t>и</w:t>
      </w:r>
      <w:r>
        <w:rPr>
          <w:color w:val="231F20"/>
          <w:spacing w:val="-2"/>
        </w:rPr>
        <w:t> </w:t>
      </w:r>
      <w:r>
        <w:rPr>
          <w:color w:val="231F20"/>
        </w:rPr>
        <w:t>рассчитаться</w:t>
      </w:r>
      <w:r>
        <w:rPr>
          <w:color w:val="231F20"/>
          <w:spacing w:val="-2"/>
        </w:rPr>
        <w:t> </w:t>
      </w:r>
      <w:r>
        <w:rPr>
          <w:color w:val="231F20"/>
        </w:rPr>
        <w:t>на</w:t>
      </w:r>
      <w:r>
        <w:rPr>
          <w:color w:val="231F20"/>
          <w:spacing w:val="-2"/>
        </w:rPr>
        <w:t> </w:t>
      </w:r>
      <w:r>
        <w:rPr>
          <w:color w:val="231F20"/>
        </w:rPr>
        <w:t>1–6-й,</w:t>
      </w:r>
      <w:r>
        <w:rPr>
          <w:color w:val="231F20"/>
          <w:spacing w:val="-2"/>
        </w:rPr>
        <w:t> </w:t>
      </w:r>
      <w:r>
        <w:rPr>
          <w:color w:val="231F20"/>
        </w:rPr>
        <w:t>либо</w:t>
      </w:r>
      <w:r>
        <w:rPr>
          <w:color w:val="231F20"/>
          <w:spacing w:val="-2"/>
        </w:rPr>
        <w:t> </w:t>
      </w:r>
      <w:r>
        <w:rPr>
          <w:color w:val="231F20"/>
        </w:rPr>
        <w:t>использовать</w:t>
      </w:r>
      <w:r>
        <w:rPr>
          <w:color w:val="231F20"/>
          <w:spacing w:val="-2"/>
        </w:rPr>
        <w:t> </w:t>
      </w:r>
      <w:r>
        <w:rPr>
          <w:color w:val="231F20"/>
        </w:rPr>
        <w:t>цветные карточки шести цветов, которые выберут участники по своему желанию).</w:t>
      </w:r>
    </w:p>
    <w:p>
      <w:pPr>
        <w:pStyle w:val="BodyText"/>
        <w:spacing w:line="235" w:lineRule="auto" w:before="1"/>
      </w:pPr>
      <w:r>
        <w:rPr>
          <w:color w:val="231F20"/>
        </w:rPr>
        <w:t>После распределения участников по отдельным столам, за каждым из которых должна разместиться одна группа, тренер передает группам конверты, содержащие фрагменты усложненных кругов, которые должны составить участники. Особенно- сти данной методики и необходимые инструкции для выполнения описаны выше.</w:t>
      </w:r>
    </w:p>
    <w:p>
      <w:pPr>
        <w:pStyle w:val="BodyText"/>
        <w:spacing w:line="227" w:lineRule="exact"/>
        <w:ind w:left="425" w:right="0" w:firstLine="0"/>
        <w:jc w:val="left"/>
      </w:pPr>
      <w:r>
        <w:rPr>
          <w:color w:val="231F20"/>
          <w:spacing w:val="-2"/>
        </w:rPr>
        <w:t>Рефлексия</w:t>
      </w:r>
    </w:p>
    <w:p>
      <w:pPr>
        <w:spacing w:line="235" w:lineRule="auto" w:before="2"/>
        <w:ind w:left="141" w:right="139" w:firstLine="283"/>
        <w:jc w:val="both"/>
        <w:rPr>
          <w:i/>
          <w:sz w:val="20"/>
        </w:rPr>
      </w:pPr>
      <w:r>
        <w:rPr>
          <w:i/>
          <w:color w:val="231F20"/>
          <w:sz w:val="20"/>
        </w:rPr>
        <w:t>–</w:t>
      </w:r>
      <w:r>
        <w:rPr>
          <w:i/>
          <w:color w:val="231F20"/>
          <w:spacing w:val="-7"/>
          <w:sz w:val="20"/>
        </w:rPr>
        <w:t> </w:t>
      </w:r>
      <w:r>
        <w:rPr>
          <w:i/>
          <w:color w:val="231F20"/>
          <w:sz w:val="20"/>
        </w:rPr>
        <w:t>Что</w:t>
      </w:r>
      <w:r>
        <w:rPr>
          <w:i/>
          <w:color w:val="231F20"/>
          <w:spacing w:val="-7"/>
          <w:sz w:val="20"/>
        </w:rPr>
        <w:t> </w:t>
      </w:r>
      <w:r>
        <w:rPr>
          <w:i/>
          <w:color w:val="231F20"/>
          <w:sz w:val="20"/>
        </w:rPr>
        <w:t>нового</w:t>
      </w:r>
      <w:r>
        <w:rPr>
          <w:i/>
          <w:color w:val="231F20"/>
          <w:spacing w:val="-7"/>
          <w:sz w:val="20"/>
        </w:rPr>
        <w:t> </w:t>
      </w:r>
      <w:r>
        <w:rPr>
          <w:i/>
          <w:color w:val="231F20"/>
          <w:sz w:val="20"/>
        </w:rPr>
        <w:t>для</w:t>
      </w:r>
      <w:r>
        <w:rPr>
          <w:i/>
          <w:color w:val="231F20"/>
          <w:spacing w:val="-7"/>
          <w:sz w:val="20"/>
        </w:rPr>
        <w:t> </w:t>
      </w:r>
      <w:r>
        <w:rPr>
          <w:i/>
          <w:color w:val="231F20"/>
          <w:sz w:val="20"/>
        </w:rPr>
        <w:t>себя</w:t>
      </w:r>
      <w:r>
        <w:rPr>
          <w:i/>
          <w:color w:val="231F20"/>
          <w:spacing w:val="-7"/>
          <w:sz w:val="20"/>
        </w:rPr>
        <w:t> </w:t>
      </w:r>
      <w:r>
        <w:rPr>
          <w:i/>
          <w:color w:val="231F20"/>
          <w:sz w:val="20"/>
        </w:rPr>
        <w:t>вы</w:t>
      </w:r>
      <w:r>
        <w:rPr>
          <w:i/>
          <w:color w:val="231F20"/>
          <w:spacing w:val="-7"/>
          <w:sz w:val="20"/>
        </w:rPr>
        <w:t> </w:t>
      </w:r>
      <w:r>
        <w:rPr>
          <w:i/>
          <w:color w:val="231F20"/>
          <w:sz w:val="20"/>
        </w:rPr>
        <w:t>открыли,</w:t>
      </w:r>
      <w:r>
        <w:rPr>
          <w:i/>
          <w:color w:val="231F20"/>
          <w:spacing w:val="-7"/>
          <w:sz w:val="20"/>
        </w:rPr>
        <w:t> </w:t>
      </w:r>
      <w:r>
        <w:rPr>
          <w:i/>
          <w:color w:val="231F20"/>
          <w:sz w:val="20"/>
        </w:rPr>
        <w:t>выполняя</w:t>
      </w:r>
      <w:r>
        <w:rPr>
          <w:i/>
          <w:color w:val="231F20"/>
          <w:spacing w:val="-7"/>
          <w:sz w:val="20"/>
        </w:rPr>
        <w:t> </w:t>
      </w:r>
      <w:r>
        <w:rPr>
          <w:i/>
          <w:color w:val="231F20"/>
          <w:sz w:val="20"/>
        </w:rPr>
        <w:t>данное</w:t>
      </w:r>
      <w:r>
        <w:rPr>
          <w:i/>
          <w:color w:val="231F20"/>
          <w:spacing w:val="-7"/>
          <w:sz w:val="20"/>
        </w:rPr>
        <w:t> </w:t>
      </w:r>
      <w:r>
        <w:rPr>
          <w:i/>
          <w:color w:val="231F20"/>
          <w:sz w:val="20"/>
        </w:rPr>
        <w:t>упражнение?</w:t>
      </w:r>
      <w:r>
        <w:rPr>
          <w:i/>
          <w:color w:val="231F20"/>
          <w:spacing w:val="-7"/>
          <w:sz w:val="20"/>
        </w:rPr>
        <w:t> </w:t>
      </w:r>
      <w:r>
        <w:rPr>
          <w:i/>
          <w:color w:val="231F20"/>
          <w:sz w:val="20"/>
        </w:rPr>
        <w:t>Как</w:t>
      </w:r>
      <w:r>
        <w:rPr>
          <w:i/>
          <w:color w:val="231F20"/>
          <w:spacing w:val="-7"/>
          <w:sz w:val="20"/>
        </w:rPr>
        <w:t> </w:t>
      </w:r>
      <w:r>
        <w:rPr>
          <w:i/>
          <w:color w:val="231F20"/>
          <w:sz w:val="20"/>
        </w:rPr>
        <w:t>проходила работа? Сталкивались ли вы с чем-то, что сильно затрудняло понимание смысла работы</w:t>
      </w:r>
      <w:r>
        <w:rPr>
          <w:i/>
          <w:color w:val="231F20"/>
          <w:spacing w:val="-11"/>
          <w:sz w:val="20"/>
        </w:rPr>
        <w:t> </w:t>
      </w:r>
      <w:r>
        <w:rPr>
          <w:i/>
          <w:color w:val="231F20"/>
          <w:sz w:val="20"/>
        </w:rPr>
        <w:t>и</w:t>
      </w:r>
      <w:r>
        <w:rPr>
          <w:i/>
          <w:color w:val="231F20"/>
          <w:spacing w:val="-12"/>
          <w:sz w:val="20"/>
        </w:rPr>
        <w:t> </w:t>
      </w:r>
      <w:r>
        <w:rPr>
          <w:i/>
          <w:color w:val="231F20"/>
          <w:sz w:val="20"/>
        </w:rPr>
        <w:t>особенностей</w:t>
      </w:r>
      <w:r>
        <w:rPr>
          <w:i/>
          <w:color w:val="231F20"/>
          <w:spacing w:val="-12"/>
          <w:sz w:val="20"/>
        </w:rPr>
        <w:t> </w:t>
      </w:r>
      <w:r>
        <w:rPr>
          <w:i/>
          <w:color w:val="231F20"/>
          <w:sz w:val="20"/>
        </w:rPr>
        <w:t>выполнения</w:t>
      </w:r>
      <w:r>
        <w:rPr>
          <w:i/>
          <w:color w:val="231F20"/>
          <w:spacing w:val="-11"/>
          <w:sz w:val="20"/>
        </w:rPr>
        <w:t> </w:t>
      </w:r>
      <w:r>
        <w:rPr>
          <w:i/>
          <w:color w:val="231F20"/>
          <w:sz w:val="20"/>
        </w:rPr>
        <w:t>поставленной</w:t>
      </w:r>
      <w:r>
        <w:rPr>
          <w:i/>
          <w:color w:val="231F20"/>
          <w:spacing w:val="-11"/>
          <w:sz w:val="20"/>
        </w:rPr>
        <w:t> </w:t>
      </w:r>
      <w:r>
        <w:rPr>
          <w:i/>
          <w:color w:val="231F20"/>
          <w:sz w:val="20"/>
        </w:rPr>
        <w:t>задачи?</w:t>
      </w:r>
      <w:r>
        <w:rPr>
          <w:i/>
          <w:color w:val="231F20"/>
          <w:spacing w:val="-12"/>
          <w:sz w:val="20"/>
        </w:rPr>
        <w:t> </w:t>
      </w:r>
      <w:r>
        <w:rPr>
          <w:i/>
          <w:color w:val="231F20"/>
          <w:sz w:val="20"/>
        </w:rPr>
        <w:t>Что</w:t>
      </w:r>
      <w:r>
        <w:rPr>
          <w:i/>
          <w:color w:val="231F20"/>
          <w:spacing w:val="-11"/>
          <w:sz w:val="20"/>
        </w:rPr>
        <w:t> </w:t>
      </w:r>
      <w:r>
        <w:rPr>
          <w:i/>
          <w:color w:val="231F20"/>
          <w:sz w:val="20"/>
        </w:rPr>
        <w:t>можно</w:t>
      </w:r>
      <w:r>
        <w:rPr>
          <w:i/>
          <w:color w:val="231F20"/>
          <w:spacing w:val="-11"/>
          <w:sz w:val="20"/>
        </w:rPr>
        <w:t> </w:t>
      </w:r>
      <w:r>
        <w:rPr>
          <w:i/>
          <w:color w:val="231F20"/>
          <w:sz w:val="20"/>
        </w:rPr>
        <w:t>было</w:t>
      </w:r>
      <w:r>
        <w:rPr>
          <w:i/>
          <w:color w:val="231F20"/>
          <w:spacing w:val="-12"/>
          <w:sz w:val="20"/>
        </w:rPr>
        <w:t> </w:t>
      </w:r>
      <w:r>
        <w:rPr>
          <w:i/>
          <w:color w:val="231F20"/>
          <w:sz w:val="20"/>
        </w:rPr>
        <w:t>бы</w:t>
      </w:r>
      <w:r>
        <w:rPr>
          <w:i/>
          <w:color w:val="231F20"/>
          <w:spacing w:val="-12"/>
          <w:sz w:val="20"/>
        </w:rPr>
        <w:t> </w:t>
      </w:r>
      <w:r>
        <w:rPr>
          <w:i/>
          <w:color w:val="231F20"/>
          <w:sz w:val="20"/>
        </w:rPr>
        <w:t>сде- лать для повышения эффективности работы группы?</w:t>
      </w:r>
    </w:p>
    <w:p>
      <w:pPr>
        <w:spacing w:line="228" w:lineRule="exact" w:before="112"/>
        <w:ind w:left="425" w:right="0" w:firstLine="0"/>
        <w:jc w:val="both"/>
        <w:rPr>
          <w:i/>
          <w:sz w:val="20"/>
        </w:rPr>
      </w:pPr>
      <w:r>
        <w:rPr>
          <w:i/>
          <w:color w:val="231F20"/>
          <w:sz w:val="20"/>
        </w:rPr>
        <w:t>Упражнение</w:t>
      </w:r>
      <w:r>
        <w:rPr>
          <w:i/>
          <w:color w:val="231F20"/>
          <w:spacing w:val="-9"/>
          <w:sz w:val="20"/>
        </w:rPr>
        <w:t> </w:t>
      </w:r>
      <w:r>
        <w:rPr>
          <w:i/>
          <w:color w:val="231F20"/>
          <w:sz w:val="20"/>
        </w:rPr>
        <w:t>6.</w:t>
      </w:r>
      <w:r>
        <w:rPr>
          <w:i/>
          <w:color w:val="231F20"/>
          <w:spacing w:val="-7"/>
          <w:sz w:val="20"/>
        </w:rPr>
        <w:t> </w:t>
      </w:r>
      <w:r>
        <w:rPr>
          <w:i/>
          <w:color w:val="231F20"/>
          <w:sz w:val="20"/>
        </w:rPr>
        <w:t>«Ракета</w:t>
      </w:r>
      <w:r>
        <w:rPr>
          <w:i/>
          <w:color w:val="231F20"/>
          <w:spacing w:val="-6"/>
          <w:sz w:val="20"/>
        </w:rPr>
        <w:t> </w:t>
      </w:r>
      <w:r>
        <w:rPr>
          <w:i/>
          <w:color w:val="231F20"/>
          <w:spacing w:val="-2"/>
          <w:sz w:val="20"/>
        </w:rPr>
        <w:t>Эпштейна»</w:t>
      </w:r>
    </w:p>
    <w:p>
      <w:pPr>
        <w:pStyle w:val="BodyText"/>
        <w:spacing w:line="235" w:lineRule="auto" w:before="2"/>
      </w:pPr>
      <w:r>
        <w:rPr>
          <w:color w:val="231F20"/>
        </w:rPr>
        <w:t>Цель:</w:t>
      </w:r>
      <w:r>
        <w:rPr>
          <w:color w:val="231F20"/>
          <w:spacing w:val="-2"/>
        </w:rPr>
        <w:t> </w:t>
      </w:r>
      <w:r>
        <w:rPr>
          <w:color w:val="231F20"/>
        </w:rPr>
        <w:t>развить</w:t>
      </w:r>
      <w:r>
        <w:rPr>
          <w:color w:val="231F20"/>
          <w:spacing w:val="-2"/>
        </w:rPr>
        <w:t> </w:t>
      </w:r>
      <w:r>
        <w:rPr>
          <w:color w:val="231F20"/>
        </w:rPr>
        <w:t>у</w:t>
      </w:r>
      <w:r>
        <w:rPr>
          <w:color w:val="231F20"/>
          <w:spacing w:val="-2"/>
        </w:rPr>
        <w:t> </w:t>
      </w:r>
      <w:r>
        <w:rPr>
          <w:color w:val="231F20"/>
        </w:rPr>
        <w:t>участников</w:t>
      </w:r>
      <w:r>
        <w:rPr>
          <w:color w:val="231F20"/>
          <w:spacing w:val="-2"/>
        </w:rPr>
        <w:t> </w:t>
      </w:r>
      <w:r>
        <w:rPr>
          <w:color w:val="231F20"/>
        </w:rPr>
        <w:t>тренинга</w:t>
      </w:r>
      <w:r>
        <w:rPr>
          <w:color w:val="231F20"/>
          <w:spacing w:val="-2"/>
        </w:rPr>
        <w:t> </w:t>
      </w:r>
      <w:r>
        <w:rPr>
          <w:color w:val="231F20"/>
        </w:rPr>
        <w:t>навыки</w:t>
      </w:r>
      <w:r>
        <w:rPr>
          <w:color w:val="231F20"/>
          <w:spacing w:val="-2"/>
        </w:rPr>
        <w:t> </w:t>
      </w:r>
      <w:r>
        <w:rPr>
          <w:color w:val="231F20"/>
        </w:rPr>
        <w:t>ведения</w:t>
      </w:r>
      <w:r>
        <w:rPr>
          <w:color w:val="231F20"/>
          <w:spacing w:val="-2"/>
        </w:rPr>
        <w:t> </w:t>
      </w:r>
      <w:r>
        <w:rPr>
          <w:color w:val="231F20"/>
        </w:rPr>
        <w:t>групповых</w:t>
      </w:r>
      <w:r>
        <w:rPr>
          <w:color w:val="231F20"/>
          <w:spacing w:val="-2"/>
        </w:rPr>
        <w:t> </w:t>
      </w:r>
      <w:r>
        <w:rPr>
          <w:color w:val="231F20"/>
        </w:rPr>
        <w:t>дискуссий</w:t>
      </w:r>
      <w:r>
        <w:rPr>
          <w:color w:val="231F20"/>
          <w:spacing w:val="-2"/>
        </w:rPr>
        <w:t> </w:t>
      </w:r>
      <w:r>
        <w:rPr>
          <w:color w:val="231F20"/>
        </w:rPr>
        <w:t>в</w:t>
      </w:r>
      <w:r>
        <w:rPr>
          <w:color w:val="231F20"/>
          <w:spacing w:val="-2"/>
        </w:rPr>
        <w:t> </w:t>
      </w:r>
      <w:r>
        <w:rPr>
          <w:color w:val="231F20"/>
        </w:rPr>
        <w:t>ма- лых группах сотрудничества.</w:t>
      </w:r>
    </w:p>
    <w:p>
      <w:pPr>
        <w:pStyle w:val="BodyText"/>
        <w:spacing w:line="225" w:lineRule="exact"/>
        <w:ind w:left="425" w:right="0" w:firstLine="0"/>
      </w:pPr>
      <w:r>
        <w:rPr>
          <w:color w:val="231F20"/>
        </w:rPr>
        <w:t>Время (общее): 60 </w:t>
      </w:r>
      <w:r>
        <w:rPr>
          <w:color w:val="231F20"/>
          <w:spacing w:val="-2"/>
        </w:rPr>
        <w:t>минут.</w:t>
      </w:r>
    </w:p>
    <w:p>
      <w:pPr>
        <w:pStyle w:val="BodyText"/>
        <w:spacing w:line="235" w:lineRule="auto" w:before="1"/>
      </w:pPr>
      <w:r>
        <w:rPr>
          <w:color w:val="231F20"/>
        </w:rPr>
        <w:t>Материалы: распечатки текста «Космический корабль» на отдельном листе для каждого участника тренинга.</w:t>
      </w:r>
    </w:p>
    <w:p>
      <w:pPr>
        <w:pStyle w:val="BodyText"/>
        <w:spacing w:line="225" w:lineRule="exact"/>
        <w:ind w:left="425" w:right="0" w:firstLine="0"/>
      </w:pPr>
      <w:r>
        <w:rPr>
          <w:color w:val="231F20"/>
        </w:rPr>
        <w:t>Процедура</w:t>
      </w:r>
      <w:r>
        <w:rPr>
          <w:color w:val="231F20"/>
          <w:spacing w:val="-3"/>
        </w:rPr>
        <w:t> </w:t>
      </w:r>
      <w:r>
        <w:rPr>
          <w:color w:val="231F20"/>
          <w:spacing w:val="-2"/>
        </w:rPr>
        <w:t>выполнения</w:t>
      </w:r>
    </w:p>
    <w:p>
      <w:pPr>
        <w:pStyle w:val="BodyText"/>
        <w:spacing w:line="242" w:lineRule="auto"/>
      </w:pPr>
      <w:r>
        <w:rPr>
          <w:color w:val="231F20"/>
        </w:rPr>
        <w:t>Тренер</w:t>
      </w:r>
      <w:r>
        <w:rPr>
          <w:color w:val="231F20"/>
          <w:spacing w:val="-2"/>
        </w:rPr>
        <w:t> </w:t>
      </w:r>
      <w:r>
        <w:rPr>
          <w:color w:val="231F20"/>
        </w:rPr>
        <w:t>перераспределяет</w:t>
      </w:r>
      <w:r>
        <w:rPr>
          <w:color w:val="231F20"/>
          <w:spacing w:val="-3"/>
        </w:rPr>
        <w:t> </w:t>
      </w:r>
      <w:r>
        <w:rPr>
          <w:color w:val="231F20"/>
        </w:rPr>
        <w:t>участников,</w:t>
      </w:r>
      <w:r>
        <w:rPr>
          <w:color w:val="231F20"/>
          <w:spacing w:val="-2"/>
        </w:rPr>
        <w:t> </w:t>
      </w:r>
      <w:r>
        <w:rPr>
          <w:color w:val="231F20"/>
        </w:rPr>
        <w:t>формируя</w:t>
      </w:r>
      <w:r>
        <w:rPr>
          <w:color w:val="231F20"/>
          <w:spacing w:val="-2"/>
        </w:rPr>
        <w:t> </w:t>
      </w:r>
      <w:r>
        <w:rPr>
          <w:color w:val="231F20"/>
        </w:rPr>
        <w:t>из</w:t>
      </w:r>
      <w:r>
        <w:rPr>
          <w:color w:val="231F20"/>
          <w:spacing w:val="-2"/>
        </w:rPr>
        <w:t> </w:t>
      </w:r>
      <w:r>
        <w:rPr>
          <w:color w:val="231F20"/>
        </w:rPr>
        <w:t>них</w:t>
      </w:r>
      <w:r>
        <w:rPr>
          <w:color w:val="231F20"/>
          <w:spacing w:val="-2"/>
        </w:rPr>
        <w:t> </w:t>
      </w:r>
      <w:r>
        <w:rPr>
          <w:color w:val="231F20"/>
        </w:rPr>
        <w:t>группы</w:t>
      </w:r>
      <w:r>
        <w:rPr>
          <w:color w:val="231F20"/>
          <w:spacing w:val="-2"/>
        </w:rPr>
        <w:t> </w:t>
      </w:r>
      <w:r>
        <w:rPr>
          <w:color w:val="231F20"/>
        </w:rPr>
        <w:t>по</w:t>
      </w:r>
      <w:r>
        <w:rPr>
          <w:color w:val="231F20"/>
          <w:spacing w:val="-2"/>
        </w:rPr>
        <w:t> </w:t>
      </w:r>
      <w:r>
        <w:rPr>
          <w:color w:val="231F20"/>
        </w:rPr>
        <w:t>5</w:t>
      </w:r>
      <w:r>
        <w:rPr>
          <w:color w:val="231F20"/>
          <w:spacing w:val="-2"/>
        </w:rPr>
        <w:t> </w:t>
      </w:r>
      <w:r>
        <w:rPr>
          <w:color w:val="231F20"/>
        </w:rPr>
        <w:t>человек.</w:t>
      </w:r>
      <w:r>
        <w:rPr>
          <w:color w:val="231F20"/>
          <w:spacing w:val="-3"/>
        </w:rPr>
        <w:t> </w:t>
      </w:r>
      <w:r>
        <w:rPr>
          <w:color w:val="231F20"/>
        </w:rPr>
        <w:t>По- сле того как группы в новом составе займут свои места за столами, всем раздаются листы</w:t>
      </w:r>
      <w:r>
        <w:rPr>
          <w:color w:val="231F20"/>
          <w:spacing w:val="-5"/>
        </w:rPr>
        <w:t> </w:t>
      </w:r>
      <w:r>
        <w:rPr>
          <w:color w:val="231F20"/>
        </w:rPr>
        <w:t>с</w:t>
      </w:r>
      <w:r>
        <w:rPr>
          <w:color w:val="231F20"/>
          <w:spacing w:val="-5"/>
        </w:rPr>
        <w:t> </w:t>
      </w:r>
      <w:r>
        <w:rPr>
          <w:color w:val="231F20"/>
        </w:rPr>
        <w:t>текстом,</w:t>
      </w:r>
      <w:r>
        <w:rPr>
          <w:color w:val="231F20"/>
          <w:spacing w:val="-5"/>
        </w:rPr>
        <w:t> </w:t>
      </w:r>
      <w:r>
        <w:rPr>
          <w:color w:val="231F20"/>
        </w:rPr>
        <w:t>который</w:t>
      </w:r>
      <w:r>
        <w:rPr>
          <w:color w:val="231F20"/>
          <w:spacing w:val="-5"/>
        </w:rPr>
        <w:t> </w:t>
      </w:r>
      <w:r>
        <w:rPr>
          <w:color w:val="231F20"/>
        </w:rPr>
        <w:t>будет</w:t>
      </w:r>
      <w:r>
        <w:rPr>
          <w:color w:val="231F20"/>
          <w:spacing w:val="-5"/>
        </w:rPr>
        <w:t> </w:t>
      </w:r>
      <w:r>
        <w:rPr>
          <w:color w:val="231F20"/>
        </w:rPr>
        <w:t>использоваться</w:t>
      </w:r>
      <w:r>
        <w:rPr>
          <w:color w:val="231F20"/>
          <w:spacing w:val="-5"/>
        </w:rPr>
        <w:t> </w:t>
      </w:r>
      <w:r>
        <w:rPr>
          <w:color w:val="231F20"/>
        </w:rPr>
        <w:t>для</w:t>
      </w:r>
      <w:r>
        <w:rPr>
          <w:color w:val="231F20"/>
          <w:spacing w:val="-5"/>
        </w:rPr>
        <w:t> </w:t>
      </w:r>
      <w:r>
        <w:rPr>
          <w:color w:val="231F20"/>
        </w:rPr>
        <w:t>отработки</w:t>
      </w:r>
      <w:r>
        <w:rPr>
          <w:color w:val="231F20"/>
          <w:spacing w:val="-5"/>
        </w:rPr>
        <w:t> </w:t>
      </w:r>
      <w:r>
        <w:rPr>
          <w:color w:val="231F20"/>
        </w:rPr>
        <w:t>навыков</w:t>
      </w:r>
      <w:r>
        <w:rPr>
          <w:color w:val="231F20"/>
          <w:spacing w:val="-5"/>
        </w:rPr>
        <w:t> </w:t>
      </w:r>
      <w:r>
        <w:rPr>
          <w:color w:val="231F20"/>
        </w:rPr>
        <w:t>ведения</w:t>
      </w:r>
      <w:r>
        <w:rPr>
          <w:color w:val="231F20"/>
          <w:spacing w:val="-5"/>
        </w:rPr>
        <w:t> </w:t>
      </w:r>
      <w:r>
        <w:rPr>
          <w:color w:val="231F20"/>
        </w:rPr>
        <w:t>дис- куссии.</w:t>
      </w:r>
      <w:r>
        <w:rPr>
          <w:color w:val="231F20"/>
          <w:spacing w:val="-4"/>
        </w:rPr>
        <w:t> </w:t>
      </w:r>
      <w:r>
        <w:rPr>
          <w:color w:val="231F20"/>
        </w:rPr>
        <w:t>Тренер</w:t>
      </w:r>
      <w:r>
        <w:rPr>
          <w:color w:val="231F20"/>
          <w:spacing w:val="-4"/>
        </w:rPr>
        <w:t> </w:t>
      </w:r>
      <w:r>
        <w:rPr>
          <w:color w:val="231F20"/>
        </w:rPr>
        <w:t>дает</w:t>
      </w:r>
      <w:r>
        <w:rPr>
          <w:color w:val="231F20"/>
          <w:spacing w:val="-4"/>
        </w:rPr>
        <w:t> </w:t>
      </w:r>
      <w:r>
        <w:rPr>
          <w:color w:val="231F20"/>
        </w:rPr>
        <w:t>группе</w:t>
      </w:r>
      <w:r>
        <w:rPr>
          <w:color w:val="231F20"/>
          <w:spacing w:val="-4"/>
        </w:rPr>
        <w:t> </w:t>
      </w:r>
      <w:r>
        <w:rPr>
          <w:color w:val="231F20"/>
        </w:rPr>
        <w:t>участников</w:t>
      </w:r>
      <w:r>
        <w:rPr>
          <w:color w:val="231F20"/>
          <w:spacing w:val="-4"/>
        </w:rPr>
        <w:t> </w:t>
      </w:r>
      <w:r>
        <w:rPr>
          <w:color w:val="231F20"/>
        </w:rPr>
        <w:t>общее</w:t>
      </w:r>
      <w:r>
        <w:rPr>
          <w:color w:val="231F20"/>
          <w:spacing w:val="-4"/>
        </w:rPr>
        <w:t> </w:t>
      </w:r>
      <w:r>
        <w:rPr>
          <w:color w:val="231F20"/>
        </w:rPr>
        <w:t>задание</w:t>
      </w:r>
      <w:r>
        <w:rPr>
          <w:color w:val="231F20"/>
          <w:spacing w:val="-4"/>
        </w:rPr>
        <w:t> </w:t>
      </w:r>
      <w:r>
        <w:rPr>
          <w:color w:val="231F20"/>
        </w:rPr>
        <w:t>–</w:t>
      </w:r>
      <w:r>
        <w:rPr>
          <w:color w:val="231F20"/>
          <w:spacing w:val="-4"/>
        </w:rPr>
        <w:t> </w:t>
      </w:r>
      <w:r>
        <w:rPr>
          <w:color w:val="231F20"/>
        </w:rPr>
        <w:t>за</w:t>
      </w:r>
      <w:r>
        <w:rPr>
          <w:color w:val="231F20"/>
          <w:spacing w:val="-4"/>
        </w:rPr>
        <w:t> </w:t>
      </w:r>
      <w:r>
        <w:rPr>
          <w:color w:val="231F20"/>
        </w:rPr>
        <w:t>10</w:t>
      </w:r>
      <w:r>
        <w:rPr>
          <w:color w:val="231F20"/>
          <w:spacing w:val="-4"/>
        </w:rPr>
        <w:t> </w:t>
      </w:r>
      <w:r>
        <w:rPr>
          <w:color w:val="231F20"/>
        </w:rPr>
        <w:t>минут</w:t>
      </w:r>
      <w:r>
        <w:rPr>
          <w:color w:val="231F20"/>
          <w:spacing w:val="-4"/>
        </w:rPr>
        <w:t> </w:t>
      </w:r>
      <w:r>
        <w:rPr>
          <w:color w:val="231F20"/>
        </w:rPr>
        <w:t>прочитать</w:t>
      </w:r>
      <w:r>
        <w:rPr>
          <w:color w:val="231F20"/>
          <w:spacing w:val="-4"/>
        </w:rPr>
        <w:t> </w:t>
      </w:r>
      <w:r>
        <w:rPr>
          <w:color w:val="231F20"/>
        </w:rPr>
        <w:t>текст и обсудить его, найдя общее решение для всей группы. После завершения работы представитель</w:t>
      </w:r>
      <w:r>
        <w:rPr>
          <w:color w:val="231F20"/>
          <w:spacing w:val="-1"/>
        </w:rPr>
        <w:t> </w:t>
      </w:r>
      <w:r>
        <w:rPr>
          <w:color w:val="231F20"/>
        </w:rPr>
        <w:t>от</w:t>
      </w:r>
      <w:r>
        <w:rPr>
          <w:color w:val="231F20"/>
          <w:spacing w:val="-1"/>
        </w:rPr>
        <w:t> </w:t>
      </w:r>
      <w:r>
        <w:rPr>
          <w:color w:val="231F20"/>
        </w:rPr>
        <w:t>каждой</w:t>
      </w:r>
      <w:r>
        <w:rPr>
          <w:color w:val="231F20"/>
          <w:spacing w:val="-1"/>
        </w:rPr>
        <w:t> </w:t>
      </w:r>
      <w:r>
        <w:rPr>
          <w:color w:val="231F20"/>
        </w:rPr>
        <w:t>из</w:t>
      </w:r>
      <w:r>
        <w:rPr>
          <w:color w:val="231F20"/>
          <w:spacing w:val="-1"/>
        </w:rPr>
        <w:t> </w:t>
      </w:r>
      <w:r>
        <w:rPr>
          <w:color w:val="231F20"/>
        </w:rPr>
        <w:t>участвующих</w:t>
      </w:r>
      <w:r>
        <w:rPr>
          <w:color w:val="231F20"/>
          <w:spacing w:val="-1"/>
        </w:rPr>
        <w:t> </w:t>
      </w:r>
      <w:r>
        <w:rPr>
          <w:color w:val="231F20"/>
        </w:rPr>
        <w:t>в</w:t>
      </w:r>
      <w:r>
        <w:rPr>
          <w:color w:val="231F20"/>
          <w:spacing w:val="-1"/>
        </w:rPr>
        <w:t> </w:t>
      </w:r>
      <w:r>
        <w:rPr>
          <w:color w:val="231F20"/>
        </w:rPr>
        <w:t>работе</w:t>
      </w:r>
      <w:r>
        <w:rPr>
          <w:color w:val="231F20"/>
          <w:spacing w:val="-1"/>
        </w:rPr>
        <w:t> </w:t>
      </w:r>
      <w:r>
        <w:rPr>
          <w:color w:val="231F20"/>
        </w:rPr>
        <w:t>групп</w:t>
      </w:r>
      <w:r>
        <w:rPr>
          <w:color w:val="231F20"/>
          <w:spacing w:val="-1"/>
        </w:rPr>
        <w:t> </w:t>
      </w:r>
      <w:r>
        <w:rPr>
          <w:color w:val="231F20"/>
        </w:rPr>
        <w:t>подводит</w:t>
      </w:r>
      <w:r>
        <w:rPr>
          <w:color w:val="231F20"/>
          <w:spacing w:val="-1"/>
        </w:rPr>
        <w:t> </w:t>
      </w:r>
      <w:r>
        <w:rPr>
          <w:color w:val="231F20"/>
        </w:rPr>
        <w:t>итоги</w:t>
      </w:r>
      <w:r>
        <w:rPr>
          <w:color w:val="231F20"/>
          <w:spacing w:val="-1"/>
        </w:rPr>
        <w:t> </w:t>
      </w:r>
      <w:r>
        <w:rPr>
          <w:color w:val="231F20"/>
        </w:rPr>
        <w:t>дискуссии и говорит от имени группы о следующем: что помогло группе обсудить данную в тексте</w:t>
      </w:r>
      <w:r>
        <w:rPr>
          <w:color w:val="231F20"/>
          <w:spacing w:val="-13"/>
        </w:rPr>
        <w:t> </w:t>
      </w:r>
      <w:r>
        <w:rPr>
          <w:color w:val="231F20"/>
        </w:rPr>
        <w:t>задачу,</w:t>
      </w:r>
      <w:r>
        <w:rPr>
          <w:color w:val="231F20"/>
          <w:spacing w:val="-12"/>
        </w:rPr>
        <w:t> </w:t>
      </w:r>
      <w:r>
        <w:rPr>
          <w:color w:val="231F20"/>
        </w:rPr>
        <w:t>а</w:t>
      </w:r>
      <w:r>
        <w:rPr>
          <w:color w:val="231F20"/>
          <w:spacing w:val="-13"/>
        </w:rPr>
        <w:t> </w:t>
      </w:r>
      <w:r>
        <w:rPr>
          <w:color w:val="231F20"/>
        </w:rPr>
        <w:t>что,</w:t>
      </w:r>
      <w:r>
        <w:rPr>
          <w:color w:val="231F20"/>
          <w:spacing w:val="-12"/>
        </w:rPr>
        <w:t> </w:t>
      </w:r>
      <w:r>
        <w:rPr>
          <w:color w:val="231F20"/>
        </w:rPr>
        <w:t>напротив,</w:t>
      </w:r>
      <w:r>
        <w:rPr>
          <w:color w:val="231F20"/>
          <w:spacing w:val="-13"/>
        </w:rPr>
        <w:t> </w:t>
      </w:r>
      <w:r>
        <w:rPr>
          <w:color w:val="231F20"/>
        </w:rPr>
        <w:t>затрудняло</w:t>
      </w:r>
      <w:r>
        <w:rPr>
          <w:color w:val="231F20"/>
          <w:spacing w:val="-12"/>
        </w:rPr>
        <w:t> </w:t>
      </w:r>
      <w:r>
        <w:rPr>
          <w:color w:val="231F20"/>
        </w:rPr>
        <w:t>обсуждение</w:t>
      </w:r>
      <w:r>
        <w:rPr>
          <w:color w:val="231F20"/>
          <w:spacing w:val="-13"/>
        </w:rPr>
        <w:t> </w:t>
      </w:r>
      <w:r>
        <w:rPr>
          <w:color w:val="231F20"/>
        </w:rPr>
        <w:t>и</w:t>
      </w:r>
      <w:r>
        <w:rPr>
          <w:color w:val="231F20"/>
          <w:spacing w:val="-12"/>
        </w:rPr>
        <w:t> </w:t>
      </w:r>
      <w:r>
        <w:rPr>
          <w:color w:val="231F20"/>
        </w:rPr>
        <w:t>поиск</w:t>
      </w:r>
      <w:r>
        <w:rPr>
          <w:color w:val="231F20"/>
          <w:spacing w:val="-13"/>
        </w:rPr>
        <w:t> </w:t>
      </w:r>
      <w:r>
        <w:rPr>
          <w:color w:val="231F20"/>
        </w:rPr>
        <w:t>компромисса</w:t>
      </w:r>
      <w:r>
        <w:rPr>
          <w:color w:val="231F20"/>
          <w:spacing w:val="-12"/>
        </w:rPr>
        <w:t> </w:t>
      </w:r>
      <w:r>
        <w:rPr>
          <w:color w:val="231F20"/>
        </w:rPr>
        <w:t>при</w:t>
      </w:r>
      <w:r>
        <w:rPr>
          <w:color w:val="231F20"/>
          <w:spacing w:val="-13"/>
        </w:rPr>
        <w:t> </w:t>
      </w:r>
      <w:r>
        <w:rPr>
          <w:color w:val="231F20"/>
        </w:rPr>
        <w:t>при- нятии итогового группового решения.</w:t>
      </w:r>
    </w:p>
    <w:p>
      <w:pPr>
        <w:pStyle w:val="BodyText"/>
        <w:spacing w:line="242" w:lineRule="auto"/>
      </w:pPr>
      <w:r>
        <w:rPr>
          <w:color w:val="231F20"/>
        </w:rPr>
        <w:t>Далее тренер предлагает участникам выполнить четыре упражнения (пройти че- тыре</w:t>
      </w:r>
      <w:r>
        <w:rPr>
          <w:color w:val="231F20"/>
          <w:spacing w:val="-12"/>
        </w:rPr>
        <w:t> </w:t>
      </w:r>
      <w:r>
        <w:rPr>
          <w:color w:val="231F20"/>
        </w:rPr>
        <w:t>ступени)</w:t>
      </w:r>
      <w:r>
        <w:rPr>
          <w:color w:val="231F20"/>
          <w:spacing w:val="-12"/>
        </w:rPr>
        <w:t> </w:t>
      </w:r>
      <w:r>
        <w:rPr>
          <w:color w:val="231F20"/>
        </w:rPr>
        <w:t>из</w:t>
      </w:r>
      <w:r>
        <w:rPr>
          <w:color w:val="231F20"/>
          <w:spacing w:val="-12"/>
        </w:rPr>
        <w:t> </w:t>
      </w:r>
      <w:r>
        <w:rPr>
          <w:color w:val="231F20"/>
        </w:rPr>
        <w:t>«Ракеты</w:t>
      </w:r>
      <w:r>
        <w:rPr>
          <w:color w:val="231F20"/>
          <w:spacing w:val="-12"/>
        </w:rPr>
        <w:t> </w:t>
      </w:r>
      <w:r>
        <w:rPr>
          <w:color w:val="231F20"/>
        </w:rPr>
        <w:t>Эпштейна»,</w:t>
      </w:r>
      <w:r>
        <w:rPr>
          <w:color w:val="231F20"/>
          <w:spacing w:val="-12"/>
        </w:rPr>
        <w:t> </w:t>
      </w:r>
      <w:r>
        <w:rPr>
          <w:color w:val="231F20"/>
        </w:rPr>
        <w:t>которые</w:t>
      </w:r>
      <w:r>
        <w:rPr>
          <w:color w:val="231F20"/>
          <w:spacing w:val="-12"/>
        </w:rPr>
        <w:t> </w:t>
      </w:r>
      <w:r>
        <w:rPr>
          <w:color w:val="231F20"/>
        </w:rPr>
        <w:t>педагоги</w:t>
      </w:r>
      <w:r>
        <w:rPr>
          <w:color w:val="231F20"/>
          <w:spacing w:val="-12"/>
        </w:rPr>
        <w:t> </w:t>
      </w:r>
      <w:r>
        <w:rPr>
          <w:color w:val="231F20"/>
        </w:rPr>
        <w:t>будут</w:t>
      </w:r>
      <w:r>
        <w:rPr>
          <w:color w:val="231F20"/>
          <w:spacing w:val="-12"/>
        </w:rPr>
        <w:t> </w:t>
      </w:r>
      <w:r>
        <w:rPr>
          <w:color w:val="231F20"/>
        </w:rPr>
        <w:t>в</w:t>
      </w:r>
      <w:r>
        <w:rPr>
          <w:color w:val="231F20"/>
          <w:spacing w:val="-12"/>
        </w:rPr>
        <w:t> </w:t>
      </w:r>
      <w:r>
        <w:rPr>
          <w:color w:val="231F20"/>
        </w:rPr>
        <w:t>дальнейшем</w:t>
      </w:r>
      <w:r>
        <w:rPr>
          <w:color w:val="231F20"/>
          <w:spacing w:val="-12"/>
        </w:rPr>
        <w:t> </w:t>
      </w:r>
      <w:r>
        <w:rPr>
          <w:color w:val="231F20"/>
        </w:rPr>
        <w:t>исполь- зовать при подготовке учащихся к работе в группах. Данное упражнение подробно описано в разделе 4.3.2. («Подготовка учащихся к обучению в сотрудничестве»).</w:t>
      </w:r>
    </w:p>
    <w:p>
      <w:pPr>
        <w:pStyle w:val="BodyText"/>
        <w:spacing w:line="229" w:lineRule="exact"/>
        <w:ind w:left="425" w:right="0" w:firstLine="0"/>
        <w:jc w:val="left"/>
      </w:pPr>
      <w:r>
        <w:rPr>
          <w:color w:val="231F20"/>
          <w:spacing w:val="-2"/>
        </w:rPr>
        <w:t>Рефлексия</w:t>
      </w:r>
    </w:p>
    <w:p>
      <w:pPr>
        <w:pStyle w:val="BodyText"/>
        <w:spacing w:line="235" w:lineRule="auto" w:before="2"/>
      </w:pPr>
      <w:r>
        <w:rPr>
          <w:color w:val="231F20"/>
        </w:rPr>
        <w:t>Тренер</w:t>
      </w:r>
      <w:r>
        <w:rPr>
          <w:color w:val="231F20"/>
          <w:spacing w:val="-13"/>
        </w:rPr>
        <w:t> </w:t>
      </w:r>
      <w:r>
        <w:rPr>
          <w:color w:val="231F20"/>
        </w:rPr>
        <w:t>заранее</w:t>
      </w:r>
      <w:r>
        <w:rPr>
          <w:color w:val="231F20"/>
          <w:spacing w:val="-12"/>
        </w:rPr>
        <w:t> </w:t>
      </w:r>
      <w:r>
        <w:rPr>
          <w:color w:val="231F20"/>
        </w:rPr>
        <w:t>вывешивает</w:t>
      </w:r>
      <w:r>
        <w:rPr>
          <w:color w:val="231F20"/>
          <w:spacing w:val="-13"/>
        </w:rPr>
        <w:t> </w:t>
      </w:r>
      <w:r>
        <w:rPr>
          <w:color w:val="231F20"/>
        </w:rPr>
        <w:t>на</w:t>
      </w:r>
      <w:r>
        <w:rPr>
          <w:color w:val="231F20"/>
          <w:spacing w:val="-12"/>
        </w:rPr>
        <w:t> </w:t>
      </w:r>
      <w:r>
        <w:rPr>
          <w:color w:val="231F20"/>
        </w:rPr>
        <w:t>стенде</w:t>
      </w:r>
      <w:r>
        <w:rPr>
          <w:color w:val="231F20"/>
          <w:spacing w:val="-13"/>
        </w:rPr>
        <w:t> </w:t>
      </w:r>
      <w:r>
        <w:rPr>
          <w:color w:val="231F20"/>
        </w:rPr>
        <w:t>(показывает</w:t>
      </w:r>
      <w:r>
        <w:rPr>
          <w:color w:val="231F20"/>
          <w:spacing w:val="-12"/>
        </w:rPr>
        <w:t> </w:t>
      </w:r>
      <w:r>
        <w:rPr>
          <w:color w:val="231F20"/>
        </w:rPr>
        <w:t>на</w:t>
      </w:r>
      <w:r>
        <w:rPr>
          <w:color w:val="231F20"/>
          <w:spacing w:val="-13"/>
        </w:rPr>
        <w:t> </w:t>
      </w:r>
      <w:r>
        <w:rPr>
          <w:color w:val="231F20"/>
        </w:rPr>
        <w:t>большом</w:t>
      </w:r>
      <w:r>
        <w:rPr>
          <w:color w:val="231F20"/>
          <w:spacing w:val="-12"/>
        </w:rPr>
        <w:t> </w:t>
      </w:r>
      <w:r>
        <w:rPr>
          <w:color w:val="231F20"/>
        </w:rPr>
        <w:t>экране)</w:t>
      </w:r>
      <w:r>
        <w:rPr>
          <w:color w:val="231F20"/>
          <w:spacing w:val="-13"/>
        </w:rPr>
        <w:t> </w:t>
      </w:r>
      <w:r>
        <w:rPr>
          <w:color w:val="231F20"/>
        </w:rPr>
        <w:t>два</w:t>
      </w:r>
      <w:r>
        <w:rPr>
          <w:color w:val="231F20"/>
          <w:spacing w:val="-12"/>
        </w:rPr>
        <w:t> </w:t>
      </w:r>
      <w:r>
        <w:rPr>
          <w:color w:val="231F20"/>
        </w:rPr>
        <w:t>списка, один – с признаками конструктивного участия в дискуссии и второй – с признаками деструктивного</w:t>
      </w:r>
      <w:r>
        <w:rPr>
          <w:color w:val="231F20"/>
          <w:spacing w:val="-3"/>
        </w:rPr>
        <w:t> </w:t>
      </w:r>
      <w:r>
        <w:rPr>
          <w:color w:val="231F20"/>
        </w:rPr>
        <w:t>участия</w:t>
      </w:r>
      <w:r>
        <w:rPr>
          <w:color w:val="231F20"/>
          <w:spacing w:val="-3"/>
        </w:rPr>
        <w:t> </w:t>
      </w:r>
      <w:r>
        <w:rPr>
          <w:color w:val="231F20"/>
        </w:rPr>
        <w:t>в</w:t>
      </w:r>
      <w:r>
        <w:rPr>
          <w:color w:val="231F20"/>
          <w:spacing w:val="-3"/>
        </w:rPr>
        <w:t> </w:t>
      </w:r>
      <w:r>
        <w:rPr>
          <w:color w:val="231F20"/>
        </w:rPr>
        <w:t>дискуссии,</w:t>
      </w:r>
      <w:r>
        <w:rPr>
          <w:color w:val="231F20"/>
          <w:spacing w:val="-3"/>
        </w:rPr>
        <w:t> </w:t>
      </w:r>
      <w:r>
        <w:rPr>
          <w:color w:val="231F20"/>
        </w:rPr>
        <w:t>и</w:t>
      </w:r>
      <w:r>
        <w:rPr>
          <w:color w:val="231F20"/>
          <w:spacing w:val="-3"/>
        </w:rPr>
        <w:t> </w:t>
      </w:r>
      <w:r>
        <w:rPr>
          <w:color w:val="231F20"/>
        </w:rPr>
        <w:t>предлагает</w:t>
      </w:r>
      <w:r>
        <w:rPr>
          <w:color w:val="231F20"/>
          <w:spacing w:val="-3"/>
        </w:rPr>
        <w:t> </w:t>
      </w:r>
      <w:r>
        <w:rPr>
          <w:color w:val="231F20"/>
        </w:rPr>
        <w:t>участникам</w:t>
      </w:r>
      <w:r>
        <w:rPr>
          <w:color w:val="231F20"/>
          <w:spacing w:val="-3"/>
        </w:rPr>
        <w:t> </w:t>
      </w:r>
      <w:r>
        <w:rPr>
          <w:color w:val="231F20"/>
        </w:rPr>
        <w:t>оценить</w:t>
      </w:r>
      <w:r>
        <w:rPr>
          <w:color w:val="231F20"/>
          <w:spacing w:val="-3"/>
        </w:rPr>
        <w:t> </w:t>
      </w:r>
      <w:r>
        <w:rPr>
          <w:color w:val="231F20"/>
        </w:rPr>
        <w:t>по</w:t>
      </w:r>
      <w:r>
        <w:rPr>
          <w:color w:val="231F20"/>
          <w:spacing w:val="-3"/>
        </w:rPr>
        <w:t> </w:t>
      </w:r>
      <w:r>
        <w:rPr>
          <w:color w:val="231F20"/>
        </w:rPr>
        <w:t>этим</w:t>
      </w:r>
      <w:r>
        <w:rPr>
          <w:color w:val="231F20"/>
          <w:spacing w:val="-3"/>
        </w:rPr>
        <w:t> </w:t>
      </w:r>
      <w:r>
        <w:rPr>
          <w:color w:val="231F20"/>
        </w:rPr>
        <w:t>при- знакам свое личное участие.</w:t>
      </w:r>
    </w:p>
    <w:p>
      <w:pPr>
        <w:spacing w:line="235" w:lineRule="auto" w:before="2"/>
        <w:ind w:left="141" w:right="139" w:firstLine="283"/>
        <w:jc w:val="right"/>
        <w:rPr>
          <w:sz w:val="20"/>
        </w:rPr>
      </w:pPr>
      <w:r>
        <w:rPr>
          <w:i/>
          <w:color w:val="231F20"/>
          <w:sz w:val="20"/>
        </w:rPr>
        <w:t>– Кто из участников оказался в ситуации, когда по каким-то причинам не смог </w:t>
      </w:r>
      <w:r>
        <w:rPr>
          <w:i/>
          <w:color w:val="231F20"/>
          <w:spacing w:val="-2"/>
          <w:sz w:val="20"/>
        </w:rPr>
        <w:t>участвовать</w:t>
      </w:r>
      <w:r>
        <w:rPr>
          <w:i/>
          <w:color w:val="231F20"/>
          <w:spacing w:val="-10"/>
          <w:sz w:val="20"/>
        </w:rPr>
        <w:t> </w:t>
      </w:r>
      <w:r>
        <w:rPr>
          <w:i/>
          <w:color w:val="231F20"/>
          <w:spacing w:val="-2"/>
          <w:sz w:val="20"/>
        </w:rPr>
        <w:t>в</w:t>
      </w:r>
      <w:r>
        <w:rPr>
          <w:i/>
          <w:color w:val="231F20"/>
          <w:spacing w:val="-10"/>
          <w:sz w:val="20"/>
        </w:rPr>
        <w:t> </w:t>
      </w:r>
      <w:r>
        <w:rPr>
          <w:i/>
          <w:color w:val="231F20"/>
          <w:spacing w:val="-2"/>
          <w:sz w:val="20"/>
        </w:rPr>
        <w:t>дискуссии</w:t>
      </w:r>
      <w:r>
        <w:rPr>
          <w:i/>
          <w:color w:val="231F20"/>
          <w:spacing w:val="-10"/>
          <w:sz w:val="20"/>
        </w:rPr>
        <w:t> </w:t>
      </w:r>
      <w:r>
        <w:rPr>
          <w:i/>
          <w:color w:val="231F20"/>
          <w:spacing w:val="-2"/>
          <w:sz w:val="20"/>
        </w:rPr>
        <w:t>конструктивно?</w:t>
      </w:r>
      <w:r>
        <w:rPr>
          <w:i/>
          <w:color w:val="231F20"/>
          <w:spacing w:val="-10"/>
          <w:sz w:val="20"/>
        </w:rPr>
        <w:t> </w:t>
      </w:r>
      <w:r>
        <w:rPr>
          <w:i/>
          <w:color w:val="231F20"/>
          <w:spacing w:val="-2"/>
          <w:sz w:val="20"/>
        </w:rPr>
        <w:t>Что</w:t>
      </w:r>
      <w:r>
        <w:rPr>
          <w:i/>
          <w:color w:val="231F20"/>
          <w:spacing w:val="-10"/>
          <w:sz w:val="20"/>
        </w:rPr>
        <w:t> </w:t>
      </w:r>
      <w:r>
        <w:rPr>
          <w:i/>
          <w:color w:val="231F20"/>
          <w:spacing w:val="-2"/>
          <w:sz w:val="20"/>
        </w:rPr>
        <w:t>этому</w:t>
      </w:r>
      <w:r>
        <w:rPr>
          <w:i/>
          <w:color w:val="231F20"/>
          <w:spacing w:val="-10"/>
          <w:sz w:val="20"/>
        </w:rPr>
        <w:t> </w:t>
      </w:r>
      <w:r>
        <w:rPr>
          <w:i/>
          <w:color w:val="231F20"/>
          <w:spacing w:val="-2"/>
          <w:sz w:val="20"/>
        </w:rPr>
        <w:t>способствовало?</w:t>
      </w:r>
      <w:r>
        <w:rPr>
          <w:i/>
          <w:color w:val="231F20"/>
          <w:spacing w:val="-10"/>
          <w:sz w:val="20"/>
        </w:rPr>
        <w:t> </w:t>
      </w:r>
      <w:r>
        <w:rPr>
          <w:i/>
          <w:color w:val="231F20"/>
          <w:spacing w:val="-2"/>
          <w:sz w:val="20"/>
        </w:rPr>
        <w:t>Что</w:t>
      </w:r>
      <w:r>
        <w:rPr>
          <w:i/>
          <w:color w:val="231F20"/>
          <w:spacing w:val="-10"/>
          <w:sz w:val="20"/>
        </w:rPr>
        <w:t> </w:t>
      </w:r>
      <w:r>
        <w:rPr>
          <w:i/>
          <w:color w:val="231F20"/>
          <w:spacing w:val="-2"/>
          <w:sz w:val="20"/>
        </w:rPr>
        <w:t>мешало? </w:t>
      </w:r>
      <w:r>
        <w:rPr>
          <w:color w:val="231F20"/>
          <w:sz w:val="20"/>
        </w:rPr>
        <w:t>Рефлексия должна быть завершена общим обсуждением возможных подводных камней</w:t>
      </w:r>
      <w:r>
        <w:rPr>
          <w:color w:val="231F20"/>
          <w:spacing w:val="-4"/>
          <w:sz w:val="20"/>
        </w:rPr>
        <w:t> </w:t>
      </w:r>
      <w:r>
        <w:rPr>
          <w:color w:val="231F20"/>
          <w:sz w:val="20"/>
        </w:rPr>
        <w:t>в</w:t>
      </w:r>
      <w:r>
        <w:rPr>
          <w:color w:val="231F20"/>
          <w:spacing w:val="-4"/>
          <w:sz w:val="20"/>
        </w:rPr>
        <w:t> </w:t>
      </w:r>
      <w:r>
        <w:rPr>
          <w:color w:val="231F20"/>
          <w:sz w:val="20"/>
        </w:rPr>
        <w:t>групповых</w:t>
      </w:r>
      <w:r>
        <w:rPr>
          <w:color w:val="231F20"/>
          <w:spacing w:val="-4"/>
          <w:sz w:val="20"/>
        </w:rPr>
        <w:t> </w:t>
      </w:r>
      <w:r>
        <w:rPr>
          <w:color w:val="231F20"/>
          <w:sz w:val="20"/>
        </w:rPr>
        <w:t>дискуссиях.</w:t>
      </w:r>
      <w:r>
        <w:rPr>
          <w:color w:val="231F20"/>
          <w:spacing w:val="-4"/>
          <w:sz w:val="20"/>
        </w:rPr>
        <w:t> </w:t>
      </w:r>
      <w:r>
        <w:rPr>
          <w:color w:val="231F20"/>
          <w:sz w:val="20"/>
        </w:rPr>
        <w:t>Методом</w:t>
      </w:r>
      <w:r>
        <w:rPr>
          <w:color w:val="231F20"/>
          <w:spacing w:val="-4"/>
          <w:sz w:val="20"/>
        </w:rPr>
        <w:t> </w:t>
      </w:r>
      <w:r>
        <w:rPr>
          <w:color w:val="231F20"/>
          <w:sz w:val="20"/>
        </w:rPr>
        <w:t>мозгового</w:t>
      </w:r>
      <w:r>
        <w:rPr>
          <w:color w:val="231F20"/>
          <w:spacing w:val="-4"/>
          <w:sz w:val="20"/>
        </w:rPr>
        <w:t> </w:t>
      </w:r>
      <w:r>
        <w:rPr>
          <w:color w:val="231F20"/>
          <w:sz w:val="20"/>
        </w:rPr>
        <w:t>штурма</w:t>
      </w:r>
      <w:r>
        <w:rPr>
          <w:color w:val="231F20"/>
          <w:spacing w:val="-4"/>
          <w:sz w:val="20"/>
        </w:rPr>
        <w:t> </w:t>
      </w:r>
      <w:r>
        <w:rPr>
          <w:color w:val="231F20"/>
          <w:sz w:val="20"/>
        </w:rPr>
        <w:t>тренер</w:t>
      </w:r>
      <w:r>
        <w:rPr>
          <w:color w:val="231F20"/>
          <w:spacing w:val="-4"/>
          <w:sz w:val="20"/>
        </w:rPr>
        <w:t> </w:t>
      </w:r>
      <w:r>
        <w:rPr>
          <w:color w:val="231F20"/>
          <w:sz w:val="20"/>
        </w:rPr>
        <w:t>составляет</w:t>
      </w:r>
      <w:r>
        <w:rPr>
          <w:color w:val="231F20"/>
          <w:spacing w:val="-3"/>
          <w:sz w:val="20"/>
        </w:rPr>
        <w:t> </w:t>
      </w:r>
      <w:r>
        <w:rPr>
          <w:color w:val="231F20"/>
          <w:spacing w:val="-4"/>
          <w:sz w:val="20"/>
        </w:rPr>
        <w:t>спи-</w:t>
      </w:r>
    </w:p>
    <w:p>
      <w:pPr>
        <w:pStyle w:val="BodyText"/>
        <w:spacing w:line="229" w:lineRule="exact"/>
        <w:ind w:right="0" w:firstLine="0"/>
        <w:jc w:val="left"/>
      </w:pPr>
      <w:r>
        <w:rPr>
          <w:color w:val="231F20"/>
        </w:rPr>
        <w:t>сок</w:t>
      </w:r>
      <w:r>
        <w:rPr>
          <w:color w:val="231F20"/>
          <w:spacing w:val="-7"/>
        </w:rPr>
        <w:t> </w:t>
      </w:r>
      <w:r>
        <w:rPr>
          <w:color w:val="231F20"/>
        </w:rPr>
        <w:t>подводных</w:t>
      </w:r>
      <w:r>
        <w:rPr>
          <w:color w:val="231F20"/>
          <w:spacing w:val="-5"/>
        </w:rPr>
        <w:t> </w:t>
      </w:r>
      <w:r>
        <w:rPr>
          <w:color w:val="231F20"/>
        </w:rPr>
        <w:t>камней</w:t>
      </w:r>
      <w:r>
        <w:rPr>
          <w:color w:val="231F20"/>
          <w:spacing w:val="-5"/>
        </w:rPr>
        <w:t> </w:t>
      </w:r>
      <w:r>
        <w:rPr>
          <w:color w:val="231F20"/>
        </w:rPr>
        <w:t>и</w:t>
      </w:r>
      <w:r>
        <w:rPr>
          <w:color w:val="231F20"/>
          <w:spacing w:val="-6"/>
        </w:rPr>
        <w:t> </w:t>
      </w:r>
      <w:r>
        <w:rPr>
          <w:color w:val="231F20"/>
        </w:rPr>
        <w:t>размещает</w:t>
      </w:r>
      <w:r>
        <w:rPr>
          <w:color w:val="231F20"/>
          <w:spacing w:val="-5"/>
        </w:rPr>
        <w:t> </w:t>
      </w:r>
      <w:r>
        <w:rPr>
          <w:color w:val="231F20"/>
        </w:rPr>
        <w:t>его</w:t>
      </w:r>
      <w:r>
        <w:rPr>
          <w:color w:val="231F20"/>
          <w:spacing w:val="-4"/>
        </w:rPr>
        <w:t> </w:t>
      </w:r>
      <w:r>
        <w:rPr>
          <w:color w:val="231F20"/>
        </w:rPr>
        <w:t>в</w:t>
      </w:r>
      <w:r>
        <w:rPr>
          <w:color w:val="231F20"/>
          <w:spacing w:val="-6"/>
        </w:rPr>
        <w:t> </w:t>
      </w:r>
      <w:r>
        <w:rPr>
          <w:color w:val="231F20"/>
        </w:rPr>
        <w:t>поле</w:t>
      </w:r>
      <w:r>
        <w:rPr>
          <w:color w:val="231F20"/>
          <w:spacing w:val="-5"/>
        </w:rPr>
        <w:t> </w:t>
      </w:r>
      <w:r>
        <w:rPr>
          <w:color w:val="231F20"/>
        </w:rPr>
        <w:t>зрения</w:t>
      </w:r>
      <w:r>
        <w:rPr>
          <w:color w:val="231F20"/>
          <w:spacing w:val="-4"/>
        </w:rPr>
        <w:t> </w:t>
      </w:r>
      <w:r>
        <w:rPr>
          <w:color w:val="231F20"/>
        </w:rPr>
        <w:t>всех</w:t>
      </w:r>
      <w:r>
        <w:rPr>
          <w:color w:val="231F20"/>
          <w:spacing w:val="-5"/>
        </w:rPr>
        <w:t> </w:t>
      </w:r>
      <w:r>
        <w:rPr>
          <w:color w:val="231F20"/>
        </w:rPr>
        <w:t>участников</w:t>
      </w:r>
      <w:r>
        <w:rPr>
          <w:color w:val="231F20"/>
          <w:spacing w:val="-5"/>
        </w:rPr>
        <w:t> </w:t>
      </w:r>
      <w:r>
        <w:rPr>
          <w:color w:val="231F20"/>
          <w:spacing w:val="-2"/>
        </w:rPr>
        <w:t>тренинга.</w:t>
      </w:r>
    </w:p>
    <w:p>
      <w:pPr>
        <w:spacing w:line="228" w:lineRule="exact" w:before="109"/>
        <w:ind w:left="425" w:right="0" w:firstLine="0"/>
        <w:jc w:val="left"/>
        <w:rPr>
          <w:i/>
          <w:sz w:val="20"/>
        </w:rPr>
      </w:pPr>
      <w:r>
        <w:rPr>
          <w:i/>
          <w:color w:val="231F20"/>
          <w:sz w:val="20"/>
        </w:rPr>
        <w:t>Упражнение</w:t>
      </w:r>
      <w:r>
        <w:rPr>
          <w:i/>
          <w:color w:val="231F20"/>
          <w:spacing w:val="-3"/>
          <w:sz w:val="20"/>
        </w:rPr>
        <w:t> </w:t>
      </w:r>
      <w:r>
        <w:rPr>
          <w:i/>
          <w:color w:val="231F20"/>
          <w:sz w:val="20"/>
        </w:rPr>
        <w:t>7.</w:t>
      </w:r>
      <w:r>
        <w:rPr>
          <w:i/>
          <w:color w:val="231F20"/>
          <w:spacing w:val="-2"/>
          <w:sz w:val="20"/>
        </w:rPr>
        <w:t> </w:t>
      </w:r>
      <w:r>
        <w:rPr>
          <w:i/>
          <w:color w:val="231F20"/>
          <w:sz w:val="20"/>
        </w:rPr>
        <w:t>«Я</w:t>
      </w:r>
      <w:r>
        <w:rPr>
          <w:i/>
          <w:color w:val="231F20"/>
          <w:spacing w:val="-3"/>
          <w:sz w:val="20"/>
        </w:rPr>
        <w:t> </w:t>
      </w:r>
      <w:r>
        <w:rPr>
          <w:i/>
          <w:color w:val="231F20"/>
          <w:spacing w:val="-2"/>
          <w:sz w:val="20"/>
        </w:rPr>
        <w:t>чувствую»</w:t>
      </w:r>
    </w:p>
    <w:p>
      <w:pPr>
        <w:pStyle w:val="BodyText"/>
        <w:spacing w:line="235" w:lineRule="auto" w:before="2"/>
        <w:ind w:right="0"/>
        <w:jc w:val="left"/>
      </w:pPr>
      <w:r>
        <w:rPr>
          <w:color w:val="231F20"/>
        </w:rPr>
        <w:t>Цель:</w:t>
      </w:r>
      <w:r>
        <w:rPr>
          <w:color w:val="231F20"/>
          <w:spacing w:val="-13"/>
        </w:rPr>
        <w:t> </w:t>
      </w:r>
      <w:r>
        <w:rPr>
          <w:color w:val="231F20"/>
        </w:rPr>
        <w:t>научить</w:t>
      </w:r>
      <w:r>
        <w:rPr>
          <w:color w:val="231F20"/>
          <w:spacing w:val="-12"/>
        </w:rPr>
        <w:t> </w:t>
      </w:r>
      <w:r>
        <w:rPr>
          <w:color w:val="231F20"/>
        </w:rPr>
        <w:t>участников</w:t>
      </w:r>
      <w:r>
        <w:rPr>
          <w:color w:val="231F20"/>
          <w:spacing w:val="-13"/>
        </w:rPr>
        <w:t> </w:t>
      </w:r>
      <w:r>
        <w:rPr>
          <w:color w:val="231F20"/>
        </w:rPr>
        <w:t>групповых</w:t>
      </w:r>
      <w:r>
        <w:rPr>
          <w:color w:val="231F20"/>
          <w:spacing w:val="-12"/>
        </w:rPr>
        <w:t> </w:t>
      </w:r>
      <w:r>
        <w:rPr>
          <w:color w:val="231F20"/>
        </w:rPr>
        <w:t>дискуссий</w:t>
      </w:r>
      <w:r>
        <w:rPr>
          <w:color w:val="231F20"/>
          <w:spacing w:val="-13"/>
        </w:rPr>
        <w:t> </w:t>
      </w:r>
      <w:r>
        <w:rPr>
          <w:color w:val="231F20"/>
        </w:rPr>
        <w:t>приемам</w:t>
      </w:r>
      <w:r>
        <w:rPr>
          <w:color w:val="231F20"/>
          <w:spacing w:val="-12"/>
        </w:rPr>
        <w:t> </w:t>
      </w:r>
      <w:r>
        <w:rPr>
          <w:color w:val="231F20"/>
        </w:rPr>
        <w:t>выхода</w:t>
      </w:r>
      <w:r>
        <w:rPr>
          <w:color w:val="231F20"/>
          <w:spacing w:val="-13"/>
        </w:rPr>
        <w:t> </w:t>
      </w:r>
      <w:r>
        <w:rPr>
          <w:color w:val="231F20"/>
        </w:rPr>
        <w:t>из</w:t>
      </w:r>
      <w:r>
        <w:rPr>
          <w:color w:val="231F20"/>
          <w:spacing w:val="-12"/>
        </w:rPr>
        <w:t> </w:t>
      </w:r>
      <w:r>
        <w:rPr>
          <w:color w:val="231F20"/>
        </w:rPr>
        <w:t>конфликтных ситуаций во время групповой работы.</w:t>
      </w:r>
    </w:p>
    <w:p>
      <w:pPr>
        <w:pStyle w:val="BodyText"/>
        <w:spacing w:after="0" w:line="235" w:lineRule="auto"/>
        <w:jc w:val="left"/>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left="425" w:right="4927" w:firstLine="0"/>
        <w:jc w:val="left"/>
      </w:pPr>
      <w:r>
        <w:rPr>
          <w:color w:val="231F20"/>
        </w:rPr>
        <w:t>Время: 20 мин. Процедура</w:t>
      </w:r>
      <w:r>
        <w:rPr>
          <w:color w:val="231F20"/>
          <w:spacing w:val="-13"/>
        </w:rPr>
        <w:t> </w:t>
      </w:r>
      <w:r>
        <w:rPr>
          <w:color w:val="231F20"/>
        </w:rPr>
        <w:t>выполнения</w:t>
      </w:r>
    </w:p>
    <w:p>
      <w:pPr>
        <w:pStyle w:val="BodyText"/>
        <w:spacing w:line="235" w:lineRule="auto" w:before="1"/>
        <w:ind w:right="0"/>
        <w:jc w:val="left"/>
      </w:pPr>
      <w:r>
        <w:rPr>
          <w:color w:val="231F20"/>
        </w:rPr>
        <w:t>Упражнение подробно описано в разделе 4.3.2 («Подготовка учащихся к обуче- нию в сотрудничестве»).</w:t>
      </w:r>
    </w:p>
    <w:p>
      <w:pPr>
        <w:pStyle w:val="BodyText"/>
        <w:spacing w:line="225" w:lineRule="exact"/>
        <w:ind w:left="425" w:right="0" w:firstLine="0"/>
        <w:jc w:val="left"/>
      </w:pPr>
      <w:r>
        <w:rPr>
          <w:color w:val="231F20"/>
          <w:spacing w:val="-2"/>
        </w:rPr>
        <w:t>Рефлексия</w:t>
      </w:r>
    </w:p>
    <w:p>
      <w:pPr>
        <w:pStyle w:val="BodyText"/>
        <w:spacing w:line="235" w:lineRule="auto" w:before="2"/>
      </w:pPr>
      <w:r>
        <w:rPr>
          <w:color w:val="231F20"/>
        </w:rPr>
        <w:t>Тренер предлагает обсудить, насколько данное упражнение может снизить опас- ность</w:t>
      </w:r>
      <w:r>
        <w:rPr>
          <w:color w:val="231F20"/>
          <w:spacing w:val="-3"/>
        </w:rPr>
        <w:t> </w:t>
      </w:r>
      <w:r>
        <w:rPr>
          <w:color w:val="231F20"/>
        </w:rPr>
        <w:t>возникновения</w:t>
      </w:r>
      <w:r>
        <w:rPr>
          <w:color w:val="231F20"/>
          <w:spacing w:val="-3"/>
        </w:rPr>
        <w:t> </w:t>
      </w:r>
      <w:r>
        <w:rPr>
          <w:color w:val="231F20"/>
        </w:rPr>
        <w:t>конфликтных</w:t>
      </w:r>
      <w:r>
        <w:rPr>
          <w:color w:val="231F20"/>
          <w:spacing w:val="-3"/>
        </w:rPr>
        <w:t> </w:t>
      </w:r>
      <w:r>
        <w:rPr>
          <w:color w:val="231F20"/>
        </w:rPr>
        <w:t>ситуаций</w:t>
      </w:r>
      <w:r>
        <w:rPr>
          <w:color w:val="231F20"/>
          <w:spacing w:val="-3"/>
        </w:rPr>
        <w:t> </w:t>
      </w:r>
      <w:r>
        <w:rPr>
          <w:color w:val="231F20"/>
        </w:rPr>
        <w:t>при</w:t>
      </w:r>
      <w:r>
        <w:rPr>
          <w:color w:val="231F20"/>
          <w:spacing w:val="-3"/>
        </w:rPr>
        <w:t> </w:t>
      </w:r>
      <w:r>
        <w:rPr>
          <w:color w:val="231F20"/>
        </w:rPr>
        <w:t>проведении</w:t>
      </w:r>
      <w:r>
        <w:rPr>
          <w:color w:val="231F20"/>
          <w:spacing w:val="-3"/>
        </w:rPr>
        <w:t> </w:t>
      </w:r>
      <w:r>
        <w:rPr>
          <w:color w:val="231F20"/>
        </w:rPr>
        <w:t>обсуждений</w:t>
      </w:r>
      <w:r>
        <w:rPr>
          <w:color w:val="231F20"/>
          <w:spacing w:val="-3"/>
        </w:rPr>
        <w:t> </w:t>
      </w:r>
      <w:r>
        <w:rPr>
          <w:color w:val="231F20"/>
        </w:rPr>
        <w:t>в</w:t>
      </w:r>
      <w:r>
        <w:rPr>
          <w:color w:val="231F20"/>
          <w:spacing w:val="-3"/>
        </w:rPr>
        <w:t> </w:t>
      </w:r>
      <w:r>
        <w:rPr>
          <w:color w:val="231F20"/>
        </w:rPr>
        <w:t>группах учащихся. Каждая из групп должна представить свой ответ на поставленный трене- ром вопрос.</w:t>
      </w:r>
    </w:p>
    <w:p>
      <w:pPr>
        <w:spacing w:line="228" w:lineRule="exact" w:before="55"/>
        <w:ind w:left="303" w:right="303" w:firstLine="0"/>
        <w:jc w:val="center"/>
        <w:rPr>
          <w:b/>
          <w:i/>
          <w:sz w:val="20"/>
        </w:rPr>
      </w:pPr>
      <w:r>
        <w:rPr>
          <w:b/>
          <w:i/>
          <w:color w:val="231F20"/>
          <w:spacing w:val="-2"/>
          <w:sz w:val="20"/>
        </w:rPr>
        <w:t>Заключение</w:t>
      </w:r>
    </w:p>
    <w:p>
      <w:pPr>
        <w:pStyle w:val="BodyText"/>
        <w:spacing w:line="235" w:lineRule="auto" w:before="2"/>
      </w:pPr>
      <w:r>
        <w:rPr>
          <w:color w:val="231F20"/>
        </w:rPr>
        <w:t>В заключительной части тренинга участники выполняют два небольших упраж- нения, а также подводят итоги и заполняют короткую итоговую анкету-опросник. В случае</w:t>
      </w:r>
      <w:r>
        <w:rPr>
          <w:color w:val="231F20"/>
          <w:spacing w:val="-12"/>
        </w:rPr>
        <w:t> </w:t>
      </w:r>
      <w:r>
        <w:rPr>
          <w:color w:val="231F20"/>
        </w:rPr>
        <w:t>нехватки</w:t>
      </w:r>
      <w:r>
        <w:rPr>
          <w:color w:val="231F20"/>
          <w:spacing w:val="-12"/>
        </w:rPr>
        <w:t> </w:t>
      </w:r>
      <w:r>
        <w:rPr>
          <w:color w:val="231F20"/>
        </w:rPr>
        <w:t>времени</w:t>
      </w:r>
      <w:r>
        <w:rPr>
          <w:color w:val="231F20"/>
          <w:spacing w:val="-12"/>
        </w:rPr>
        <w:t> </w:t>
      </w:r>
      <w:r>
        <w:rPr>
          <w:color w:val="231F20"/>
        </w:rPr>
        <w:t>или</w:t>
      </w:r>
      <w:r>
        <w:rPr>
          <w:color w:val="231F20"/>
          <w:spacing w:val="-12"/>
        </w:rPr>
        <w:t> </w:t>
      </w:r>
      <w:r>
        <w:rPr>
          <w:color w:val="231F20"/>
        </w:rPr>
        <w:t>усталости</w:t>
      </w:r>
      <w:r>
        <w:rPr>
          <w:color w:val="231F20"/>
          <w:spacing w:val="-12"/>
        </w:rPr>
        <w:t> </w:t>
      </w:r>
      <w:r>
        <w:rPr>
          <w:color w:val="231F20"/>
        </w:rPr>
        <w:t>участников</w:t>
      </w:r>
      <w:r>
        <w:rPr>
          <w:color w:val="231F20"/>
          <w:spacing w:val="-12"/>
        </w:rPr>
        <w:t> </w:t>
      </w:r>
      <w:r>
        <w:rPr>
          <w:color w:val="231F20"/>
        </w:rPr>
        <w:t>анкету</w:t>
      </w:r>
      <w:r>
        <w:rPr>
          <w:color w:val="231F20"/>
          <w:spacing w:val="-12"/>
        </w:rPr>
        <w:t> </w:t>
      </w:r>
      <w:r>
        <w:rPr>
          <w:color w:val="231F20"/>
        </w:rPr>
        <w:t>можно</w:t>
      </w:r>
      <w:r>
        <w:rPr>
          <w:color w:val="231F20"/>
          <w:spacing w:val="-12"/>
        </w:rPr>
        <w:t> </w:t>
      </w:r>
      <w:r>
        <w:rPr>
          <w:color w:val="231F20"/>
        </w:rPr>
        <w:t>заполнить</w:t>
      </w:r>
      <w:r>
        <w:rPr>
          <w:color w:val="231F20"/>
          <w:spacing w:val="-12"/>
        </w:rPr>
        <w:t> </w:t>
      </w:r>
      <w:r>
        <w:rPr>
          <w:color w:val="231F20"/>
        </w:rPr>
        <w:t>позже,</w:t>
      </w:r>
      <w:r>
        <w:rPr>
          <w:color w:val="231F20"/>
          <w:spacing w:val="-12"/>
        </w:rPr>
        <w:t> </w:t>
      </w:r>
      <w:r>
        <w:rPr>
          <w:color w:val="231F20"/>
        </w:rPr>
        <w:t>в удобное для участников время. Заполненные анкеты передаются тренеру.</w:t>
      </w:r>
    </w:p>
    <w:p>
      <w:pPr>
        <w:spacing w:line="228" w:lineRule="exact" w:before="112"/>
        <w:ind w:left="425" w:right="0" w:firstLine="0"/>
        <w:jc w:val="both"/>
        <w:rPr>
          <w:i/>
          <w:sz w:val="20"/>
        </w:rPr>
      </w:pPr>
      <w:r>
        <w:rPr>
          <w:i/>
          <w:color w:val="231F20"/>
          <w:sz w:val="20"/>
        </w:rPr>
        <w:t>Упражнение</w:t>
      </w:r>
      <w:r>
        <w:rPr>
          <w:i/>
          <w:color w:val="231F20"/>
          <w:spacing w:val="-3"/>
          <w:sz w:val="20"/>
        </w:rPr>
        <w:t> </w:t>
      </w:r>
      <w:r>
        <w:rPr>
          <w:i/>
          <w:color w:val="231F20"/>
          <w:sz w:val="20"/>
        </w:rPr>
        <w:t>8.</w:t>
      </w:r>
      <w:r>
        <w:rPr>
          <w:i/>
          <w:color w:val="231F20"/>
          <w:spacing w:val="-3"/>
          <w:sz w:val="20"/>
        </w:rPr>
        <w:t> </w:t>
      </w:r>
      <w:r>
        <w:rPr>
          <w:i/>
          <w:color w:val="231F20"/>
          <w:spacing w:val="-2"/>
          <w:sz w:val="20"/>
        </w:rPr>
        <w:t>«Дом»</w:t>
      </w:r>
    </w:p>
    <w:p>
      <w:pPr>
        <w:pStyle w:val="BodyText"/>
        <w:spacing w:line="235" w:lineRule="auto" w:before="2"/>
        <w:ind w:left="425" w:right="2392" w:firstLine="0"/>
      </w:pPr>
      <w:r>
        <w:rPr>
          <w:color w:val="231F20"/>
        </w:rPr>
        <w:t>Цель:</w:t>
      </w:r>
      <w:r>
        <w:rPr>
          <w:color w:val="231F20"/>
          <w:spacing w:val="-4"/>
        </w:rPr>
        <w:t> </w:t>
      </w:r>
      <w:r>
        <w:rPr>
          <w:color w:val="231F20"/>
        </w:rPr>
        <w:t>осознание</w:t>
      </w:r>
      <w:r>
        <w:rPr>
          <w:color w:val="231F20"/>
          <w:spacing w:val="-4"/>
        </w:rPr>
        <w:t> </w:t>
      </w:r>
      <w:r>
        <w:rPr>
          <w:color w:val="231F20"/>
        </w:rPr>
        <w:t>своей</w:t>
      </w:r>
      <w:r>
        <w:rPr>
          <w:color w:val="231F20"/>
          <w:spacing w:val="-5"/>
        </w:rPr>
        <w:t> </w:t>
      </w:r>
      <w:r>
        <w:rPr>
          <w:color w:val="231F20"/>
        </w:rPr>
        <w:t>роли</w:t>
      </w:r>
      <w:r>
        <w:rPr>
          <w:color w:val="231F20"/>
          <w:spacing w:val="-5"/>
        </w:rPr>
        <w:t> </w:t>
      </w:r>
      <w:r>
        <w:rPr>
          <w:color w:val="231F20"/>
        </w:rPr>
        <w:t>в</w:t>
      </w:r>
      <w:r>
        <w:rPr>
          <w:color w:val="231F20"/>
          <w:spacing w:val="-5"/>
        </w:rPr>
        <w:t> </w:t>
      </w:r>
      <w:r>
        <w:rPr>
          <w:color w:val="231F20"/>
        </w:rPr>
        <w:t>группе,</w:t>
      </w:r>
      <w:r>
        <w:rPr>
          <w:color w:val="231F20"/>
          <w:spacing w:val="-4"/>
        </w:rPr>
        <w:t> </w:t>
      </w:r>
      <w:r>
        <w:rPr>
          <w:color w:val="231F20"/>
        </w:rPr>
        <w:t>стиля</w:t>
      </w:r>
      <w:r>
        <w:rPr>
          <w:color w:val="231F20"/>
          <w:spacing w:val="-4"/>
        </w:rPr>
        <w:t> </w:t>
      </w:r>
      <w:r>
        <w:rPr>
          <w:color w:val="231F20"/>
        </w:rPr>
        <w:t>поведения. Время: 20 минут.</w:t>
      </w:r>
    </w:p>
    <w:p>
      <w:pPr>
        <w:pStyle w:val="BodyText"/>
        <w:spacing w:line="225" w:lineRule="exact"/>
        <w:ind w:left="425" w:right="0" w:firstLine="0"/>
      </w:pPr>
      <w:r>
        <w:rPr>
          <w:color w:val="231F20"/>
        </w:rPr>
        <w:t>Процедура</w:t>
      </w:r>
      <w:r>
        <w:rPr>
          <w:color w:val="231F20"/>
          <w:spacing w:val="-3"/>
        </w:rPr>
        <w:t> </w:t>
      </w:r>
      <w:r>
        <w:rPr>
          <w:color w:val="231F20"/>
          <w:spacing w:val="-2"/>
        </w:rPr>
        <w:t>выполнения</w:t>
      </w:r>
    </w:p>
    <w:p>
      <w:pPr>
        <w:pStyle w:val="BodyText"/>
        <w:spacing w:line="235" w:lineRule="auto" w:before="2"/>
      </w:pPr>
      <w:r>
        <w:rPr>
          <w:color w:val="231F20"/>
        </w:rPr>
        <w:t>Тренер предлагает каждой команде построить свой дом, ориентируясь на следу- ющие установки:</w:t>
      </w:r>
    </w:p>
    <w:p>
      <w:pPr>
        <w:spacing w:line="235" w:lineRule="auto" w:before="1"/>
        <w:ind w:left="141" w:right="139" w:firstLine="283"/>
        <w:jc w:val="both"/>
        <w:rPr>
          <w:i/>
          <w:sz w:val="20"/>
        </w:rPr>
      </w:pPr>
      <w:r>
        <w:rPr>
          <w:i/>
          <w:color w:val="231F20"/>
          <w:sz w:val="20"/>
        </w:rPr>
        <w:t>–</w:t>
      </w:r>
      <w:r>
        <w:rPr>
          <w:i/>
          <w:color w:val="231F20"/>
          <w:spacing w:val="-10"/>
          <w:sz w:val="20"/>
        </w:rPr>
        <w:t> </w:t>
      </w:r>
      <w:r>
        <w:rPr>
          <w:i/>
          <w:color w:val="231F20"/>
          <w:sz w:val="20"/>
        </w:rPr>
        <w:t>Каждая</w:t>
      </w:r>
      <w:r>
        <w:rPr>
          <w:i/>
          <w:color w:val="231F20"/>
          <w:spacing w:val="-10"/>
          <w:sz w:val="20"/>
        </w:rPr>
        <w:t> </w:t>
      </w:r>
      <w:r>
        <w:rPr>
          <w:i/>
          <w:color w:val="231F20"/>
          <w:sz w:val="20"/>
        </w:rPr>
        <w:t>команда</w:t>
      </w:r>
      <w:r>
        <w:rPr>
          <w:i/>
          <w:color w:val="231F20"/>
          <w:spacing w:val="-10"/>
          <w:sz w:val="20"/>
        </w:rPr>
        <w:t> </w:t>
      </w:r>
      <w:r>
        <w:rPr>
          <w:i/>
          <w:color w:val="231F20"/>
          <w:sz w:val="20"/>
        </w:rPr>
        <w:t>должна</w:t>
      </w:r>
      <w:r>
        <w:rPr>
          <w:i/>
          <w:color w:val="231F20"/>
          <w:spacing w:val="-10"/>
          <w:sz w:val="20"/>
        </w:rPr>
        <w:t> </w:t>
      </w:r>
      <w:r>
        <w:rPr>
          <w:i/>
          <w:color w:val="231F20"/>
          <w:sz w:val="20"/>
        </w:rPr>
        <w:t>стать</w:t>
      </w:r>
      <w:r>
        <w:rPr>
          <w:i/>
          <w:color w:val="231F20"/>
          <w:spacing w:val="-10"/>
          <w:sz w:val="20"/>
        </w:rPr>
        <w:t> </w:t>
      </w:r>
      <w:r>
        <w:rPr>
          <w:i/>
          <w:color w:val="231F20"/>
          <w:sz w:val="20"/>
        </w:rPr>
        <w:t>полноценным</w:t>
      </w:r>
      <w:r>
        <w:rPr>
          <w:i/>
          <w:color w:val="231F20"/>
          <w:spacing w:val="-10"/>
          <w:sz w:val="20"/>
        </w:rPr>
        <w:t> </w:t>
      </w:r>
      <w:r>
        <w:rPr>
          <w:i/>
          <w:color w:val="231F20"/>
          <w:sz w:val="20"/>
        </w:rPr>
        <w:t>домом.</w:t>
      </w:r>
      <w:r>
        <w:rPr>
          <w:i/>
          <w:color w:val="231F20"/>
          <w:spacing w:val="-10"/>
          <w:sz w:val="20"/>
        </w:rPr>
        <w:t> </w:t>
      </w:r>
      <w:r>
        <w:rPr>
          <w:i/>
          <w:color w:val="231F20"/>
          <w:sz w:val="20"/>
        </w:rPr>
        <w:t>Каждый</w:t>
      </w:r>
      <w:r>
        <w:rPr>
          <w:i/>
          <w:color w:val="231F20"/>
          <w:spacing w:val="-10"/>
          <w:sz w:val="20"/>
        </w:rPr>
        <w:t> </w:t>
      </w:r>
      <w:r>
        <w:rPr>
          <w:i/>
          <w:color w:val="231F20"/>
          <w:sz w:val="20"/>
        </w:rPr>
        <w:t>человек</w:t>
      </w:r>
      <w:r>
        <w:rPr>
          <w:i/>
          <w:color w:val="231F20"/>
          <w:spacing w:val="-10"/>
          <w:sz w:val="20"/>
        </w:rPr>
        <w:t> </w:t>
      </w:r>
      <w:r>
        <w:rPr>
          <w:i/>
          <w:color w:val="231F20"/>
          <w:sz w:val="20"/>
        </w:rPr>
        <w:t>должен выбрать, кем он будет в этом доме – дверью, стеной, а может быть обоями или предметом</w:t>
      </w:r>
      <w:r>
        <w:rPr>
          <w:i/>
          <w:color w:val="231F20"/>
          <w:spacing w:val="-8"/>
          <w:sz w:val="20"/>
        </w:rPr>
        <w:t> </w:t>
      </w:r>
      <w:r>
        <w:rPr>
          <w:i/>
          <w:color w:val="231F20"/>
          <w:sz w:val="20"/>
        </w:rPr>
        <w:t>мебели,</w:t>
      </w:r>
      <w:r>
        <w:rPr>
          <w:i/>
          <w:color w:val="231F20"/>
          <w:spacing w:val="-8"/>
          <w:sz w:val="20"/>
        </w:rPr>
        <w:t> </w:t>
      </w:r>
      <w:r>
        <w:rPr>
          <w:i/>
          <w:color w:val="231F20"/>
          <w:sz w:val="20"/>
        </w:rPr>
        <w:t>цветком</w:t>
      </w:r>
      <w:r>
        <w:rPr>
          <w:i/>
          <w:color w:val="231F20"/>
          <w:spacing w:val="-8"/>
          <w:sz w:val="20"/>
        </w:rPr>
        <w:t> </w:t>
      </w:r>
      <w:r>
        <w:rPr>
          <w:i/>
          <w:color w:val="231F20"/>
          <w:sz w:val="20"/>
        </w:rPr>
        <w:t>или</w:t>
      </w:r>
      <w:r>
        <w:rPr>
          <w:i/>
          <w:color w:val="231F20"/>
          <w:spacing w:val="-8"/>
          <w:sz w:val="20"/>
        </w:rPr>
        <w:t> </w:t>
      </w:r>
      <w:r>
        <w:rPr>
          <w:i/>
          <w:color w:val="231F20"/>
          <w:sz w:val="20"/>
        </w:rPr>
        <w:t>телевизором.</w:t>
      </w:r>
      <w:r>
        <w:rPr>
          <w:i/>
          <w:color w:val="231F20"/>
          <w:spacing w:val="-8"/>
          <w:sz w:val="20"/>
        </w:rPr>
        <w:t> </w:t>
      </w:r>
      <w:r>
        <w:rPr>
          <w:i/>
          <w:color w:val="231F20"/>
          <w:sz w:val="20"/>
        </w:rPr>
        <w:t>Выбор</w:t>
      </w:r>
      <w:r>
        <w:rPr>
          <w:i/>
          <w:color w:val="231F20"/>
          <w:spacing w:val="-8"/>
          <w:sz w:val="20"/>
        </w:rPr>
        <w:t> </w:t>
      </w:r>
      <w:r>
        <w:rPr>
          <w:i/>
          <w:color w:val="231F20"/>
          <w:sz w:val="20"/>
        </w:rPr>
        <w:t>за</w:t>
      </w:r>
      <w:r>
        <w:rPr>
          <w:i/>
          <w:color w:val="231F20"/>
          <w:spacing w:val="-8"/>
          <w:sz w:val="20"/>
        </w:rPr>
        <w:t> </w:t>
      </w:r>
      <w:r>
        <w:rPr>
          <w:i/>
          <w:color w:val="231F20"/>
          <w:sz w:val="20"/>
        </w:rPr>
        <w:t>вами.</w:t>
      </w:r>
      <w:r>
        <w:rPr>
          <w:i/>
          <w:color w:val="231F20"/>
          <w:spacing w:val="-8"/>
          <w:sz w:val="20"/>
        </w:rPr>
        <w:t> </w:t>
      </w:r>
      <w:r>
        <w:rPr>
          <w:i/>
          <w:color w:val="231F20"/>
          <w:sz w:val="20"/>
        </w:rPr>
        <w:t>Но</w:t>
      </w:r>
      <w:r>
        <w:rPr>
          <w:i/>
          <w:color w:val="231F20"/>
          <w:spacing w:val="-8"/>
          <w:sz w:val="20"/>
        </w:rPr>
        <w:t> </w:t>
      </w:r>
      <w:r>
        <w:rPr>
          <w:i/>
          <w:color w:val="231F20"/>
          <w:sz w:val="20"/>
        </w:rPr>
        <w:t>не</w:t>
      </w:r>
      <w:r>
        <w:rPr>
          <w:i/>
          <w:color w:val="231F20"/>
          <w:spacing w:val="-8"/>
          <w:sz w:val="20"/>
        </w:rPr>
        <w:t> </w:t>
      </w:r>
      <w:r>
        <w:rPr>
          <w:i/>
          <w:color w:val="231F20"/>
          <w:sz w:val="20"/>
        </w:rPr>
        <w:t>забывайте,</w:t>
      </w:r>
      <w:r>
        <w:rPr>
          <w:i/>
          <w:color w:val="231F20"/>
          <w:spacing w:val="-8"/>
          <w:sz w:val="20"/>
        </w:rPr>
        <w:t> </w:t>
      </w:r>
      <w:r>
        <w:rPr>
          <w:i/>
          <w:color w:val="231F20"/>
          <w:sz w:val="20"/>
        </w:rPr>
        <w:t>что вы должны быть полноценным и функциональным домом. В течение 10 минут по- стройте свой дом.</w:t>
      </w:r>
    </w:p>
    <w:p>
      <w:pPr>
        <w:spacing w:line="227" w:lineRule="exact" w:before="0"/>
        <w:ind w:left="425" w:right="0" w:firstLine="0"/>
        <w:jc w:val="left"/>
        <w:rPr>
          <w:i/>
          <w:sz w:val="20"/>
        </w:rPr>
      </w:pPr>
      <w:r>
        <w:rPr>
          <w:i/>
          <w:color w:val="231F20"/>
          <w:sz w:val="20"/>
        </w:rPr>
        <w:t>При</w:t>
      </w:r>
      <w:r>
        <w:rPr>
          <w:i/>
          <w:color w:val="231F20"/>
          <w:spacing w:val="-3"/>
          <w:sz w:val="20"/>
        </w:rPr>
        <w:t> </w:t>
      </w:r>
      <w:r>
        <w:rPr>
          <w:i/>
          <w:color w:val="231F20"/>
          <w:sz w:val="20"/>
        </w:rPr>
        <w:t>выполнении</w:t>
      </w:r>
      <w:r>
        <w:rPr>
          <w:i/>
          <w:color w:val="231F20"/>
          <w:spacing w:val="-3"/>
          <w:sz w:val="20"/>
        </w:rPr>
        <w:t> </w:t>
      </w:r>
      <w:r>
        <w:rPr>
          <w:i/>
          <w:color w:val="231F20"/>
          <w:sz w:val="20"/>
        </w:rPr>
        <w:t>задания</w:t>
      </w:r>
      <w:r>
        <w:rPr>
          <w:i/>
          <w:color w:val="231F20"/>
          <w:spacing w:val="-3"/>
          <w:sz w:val="20"/>
        </w:rPr>
        <w:t> </w:t>
      </w:r>
      <w:r>
        <w:rPr>
          <w:i/>
          <w:color w:val="231F20"/>
          <w:sz w:val="20"/>
        </w:rPr>
        <w:t>можно</w:t>
      </w:r>
      <w:r>
        <w:rPr>
          <w:i/>
          <w:color w:val="231F20"/>
          <w:spacing w:val="-3"/>
          <w:sz w:val="20"/>
        </w:rPr>
        <w:t> </w:t>
      </w:r>
      <w:r>
        <w:rPr>
          <w:i/>
          <w:color w:val="231F20"/>
          <w:sz w:val="20"/>
        </w:rPr>
        <w:t>общаться</w:t>
      </w:r>
      <w:r>
        <w:rPr>
          <w:i/>
          <w:color w:val="231F20"/>
          <w:spacing w:val="-3"/>
          <w:sz w:val="20"/>
        </w:rPr>
        <w:t> </w:t>
      </w:r>
      <w:r>
        <w:rPr>
          <w:i/>
          <w:color w:val="231F20"/>
          <w:sz w:val="20"/>
        </w:rPr>
        <w:t>между</w:t>
      </w:r>
      <w:r>
        <w:rPr>
          <w:i/>
          <w:color w:val="231F20"/>
          <w:spacing w:val="-2"/>
          <w:sz w:val="20"/>
        </w:rPr>
        <w:t> собой.</w:t>
      </w:r>
    </w:p>
    <w:p>
      <w:pPr>
        <w:pStyle w:val="BodyText"/>
        <w:spacing w:line="226" w:lineRule="exact"/>
        <w:ind w:left="425" w:right="0" w:firstLine="0"/>
        <w:jc w:val="left"/>
      </w:pPr>
      <w:r>
        <w:rPr>
          <w:color w:val="231F20"/>
          <w:spacing w:val="-2"/>
        </w:rPr>
        <w:t>Рефлексия</w:t>
      </w:r>
    </w:p>
    <w:p>
      <w:pPr>
        <w:pStyle w:val="BodyText"/>
        <w:spacing w:line="235" w:lineRule="auto" w:before="2"/>
      </w:pPr>
      <w:r>
        <w:rPr>
          <w:color w:val="231F20"/>
        </w:rPr>
        <w:t>Через</w:t>
      </w:r>
      <w:r>
        <w:rPr>
          <w:color w:val="231F20"/>
          <w:spacing w:val="-1"/>
        </w:rPr>
        <w:t> </w:t>
      </w:r>
      <w:r>
        <w:rPr>
          <w:color w:val="231F20"/>
        </w:rPr>
        <w:t>10</w:t>
      </w:r>
      <w:r>
        <w:rPr>
          <w:color w:val="231F20"/>
          <w:spacing w:val="-1"/>
        </w:rPr>
        <w:t> </w:t>
      </w:r>
      <w:r>
        <w:rPr>
          <w:color w:val="231F20"/>
        </w:rPr>
        <w:t>минут</w:t>
      </w:r>
      <w:r>
        <w:rPr>
          <w:color w:val="231F20"/>
          <w:spacing w:val="-1"/>
        </w:rPr>
        <w:t> </w:t>
      </w:r>
      <w:r>
        <w:rPr>
          <w:color w:val="231F20"/>
        </w:rPr>
        <w:t>каждая</w:t>
      </w:r>
      <w:r>
        <w:rPr>
          <w:color w:val="231F20"/>
          <w:spacing w:val="-1"/>
        </w:rPr>
        <w:t> </w:t>
      </w:r>
      <w:r>
        <w:rPr>
          <w:color w:val="231F20"/>
        </w:rPr>
        <w:t>группа</w:t>
      </w:r>
      <w:r>
        <w:rPr>
          <w:color w:val="231F20"/>
          <w:spacing w:val="-1"/>
        </w:rPr>
        <w:t> </w:t>
      </w:r>
      <w:r>
        <w:rPr>
          <w:color w:val="231F20"/>
        </w:rPr>
        <w:t>представляет</w:t>
      </w:r>
      <w:r>
        <w:rPr>
          <w:color w:val="231F20"/>
          <w:spacing w:val="-1"/>
        </w:rPr>
        <w:t> </w:t>
      </w:r>
      <w:r>
        <w:rPr>
          <w:color w:val="231F20"/>
        </w:rPr>
        <w:t>свой</w:t>
      </w:r>
      <w:r>
        <w:rPr>
          <w:color w:val="231F20"/>
          <w:spacing w:val="-1"/>
        </w:rPr>
        <w:t> </w:t>
      </w:r>
      <w:r>
        <w:rPr>
          <w:color w:val="231F20"/>
        </w:rPr>
        <w:t>«дом»</w:t>
      </w:r>
      <w:r>
        <w:rPr>
          <w:color w:val="231F20"/>
          <w:spacing w:val="-1"/>
        </w:rPr>
        <w:t> </w:t>
      </w:r>
      <w:r>
        <w:rPr>
          <w:color w:val="231F20"/>
        </w:rPr>
        <w:t>другим</w:t>
      </w:r>
      <w:r>
        <w:rPr>
          <w:color w:val="231F20"/>
          <w:spacing w:val="-1"/>
        </w:rPr>
        <w:t> </w:t>
      </w:r>
      <w:r>
        <w:rPr>
          <w:color w:val="231F20"/>
        </w:rPr>
        <w:t>участникам,</w:t>
      </w:r>
      <w:r>
        <w:rPr>
          <w:color w:val="231F20"/>
          <w:spacing w:val="-1"/>
        </w:rPr>
        <w:t> </w:t>
      </w:r>
      <w:r>
        <w:rPr>
          <w:color w:val="231F20"/>
        </w:rPr>
        <w:t>рас- сказывая, кто и какую функцию в доме выполняет.</w:t>
      </w:r>
    </w:p>
    <w:p>
      <w:pPr>
        <w:pStyle w:val="BodyText"/>
        <w:spacing w:line="235" w:lineRule="auto" w:before="1"/>
      </w:pPr>
      <w:r>
        <w:rPr>
          <w:color w:val="231F20"/>
        </w:rPr>
        <w:t>Также важно остановиться на общих вопросах «строительства дома», а именно: как</w:t>
      </w:r>
      <w:r>
        <w:rPr>
          <w:color w:val="231F20"/>
          <w:spacing w:val="-3"/>
        </w:rPr>
        <w:t> </w:t>
      </w:r>
      <w:r>
        <w:rPr>
          <w:color w:val="231F20"/>
        </w:rPr>
        <w:t>проходило</w:t>
      </w:r>
      <w:r>
        <w:rPr>
          <w:color w:val="231F20"/>
          <w:spacing w:val="-3"/>
        </w:rPr>
        <w:t> </w:t>
      </w:r>
      <w:r>
        <w:rPr>
          <w:color w:val="231F20"/>
        </w:rPr>
        <w:t>обсуждение</w:t>
      </w:r>
      <w:r>
        <w:rPr>
          <w:color w:val="231F20"/>
          <w:spacing w:val="-3"/>
        </w:rPr>
        <w:t> </w:t>
      </w:r>
      <w:r>
        <w:rPr>
          <w:color w:val="231F20"/>
        </w:rPr>
        <w:t>в</w:t>
      </w:r>
      <w:r>
        <w:rPr>
          <w:color w:val="231F20"/>
          <w:spacing w:val="-3"/>
        </w:rPr>
        <w:t> </w:t>
      </w:r>
      <w:r>
        <w:rPr>
          <w:color w:val="231F20"/>
        </w:rPr>
        <w:t>командах,</w:t>
      </w:r>
      <w:r>
        <w:rPr>
          <w:color w:val="231F20"/>
          <w:spacing w:val="-3"/>
        </w:rPr>
        <w:t> </w:t>
      </w:r>
      <w:r>
        <w:rPr>
          <w:color w:val="231F20"/>
        </w:rPr>
        <w:t>насколько</w:t>
      </w:r>
      <w:r>
        <w:rPr>
          <w:color w:val="231F20"/>
          <w:spacing w:val="-3"/>
        </w:rPr>
        <w:t> </w:t>
      </w:r>
      <w:r>
        <w:rPr>
          <w:color w:val="231F20"/>
        </w:rPr>
        <w:t>быстро</w:t>
      </w:r>
      <w:r>
        <w:rPr>
          <w:color w:val="231F20"/>
          <w:spacing w:val="-3"/>
        </w:rPr>
        <w:t> </w:t>
      </w:r>
      <w:r>
        <w:rPr>
          <w:color w:val="231F20"/>
        </w:rPr>
        <w:t>участники</w:t>
      </w:r>
      <w:r>
        <w:rPr>
          <w:color w:val="231F20"/>
          <w:spacing w:val="-3"/>
        </w:rPr>
        <w:t> </w:t>
      </w:r>
      <w:r>
        <w:rPr>
          <w:color w:val="231F20"/>
        </w:rPr>
        <w:t>смогли</w:t>
      </w:r>
      <w:r>
        <w:rPr>
          <w:color w:val="231F20"/>
          <w:spacing w:val="-3"/>
        </w:rPr>
        <w:t> </w:t>
      </w:r>
      <w:r>
        <w:rPr>
          <w:color w:val="231F20"/>
        </w:rPr>
        <w:t>опреде- лить свою роль в доме, почему выбрали ту или иную роль и др.</w:t>
      </w:r>
    </w:p>
    <w:p>
      <w:pPr>
        <w:spacing w:line="228" w:lineRule="exact" w:before="111"/>
        <w:ind w:left="425" w:right="0" w:firstLine="0"/>
        <w:jc w:val="both"/>
        <w:rPr>
          <w:i/>
          <w:sz w:val="20"/>
        </w:rPr>
      </w:pPr>
      <w:r>
        <w:rPr>
          <w:i/>
          <w:color w:val="231F20"/>
          <w:sz w:val="20"/>
        </w:rPr>
        <w:t>Упражнение</w:t>
      </w:r>
      <w:r>
        <w:rPr>
          <w:i/>
          <w:color w:val="231F20"/>
          <w:spacing w:val="-3"/>
          <w:sz w:val="20"/>
        </w:rPr>
        <w:t> </w:t>
      </w:r>
      <w:r>
        <w:rPr>
          <w:i/>
          <w:color w:val="231F20"/>
          <w:sz w:val="20"/>
        </w:rPr>
        <w:t>9.</w:t>
      </w:r>
      <w:r>
        <w:rPr>
          <w:i/>
          <w:color w:val="231F20"/>
          <w:spacing w:val="-3"/>
          <w:sz w:val="20"/>
        </w:rPr>
        <w:t> </w:t>
      </w:r>
      <w:r>
        <w:rPr>
          <w:i/>
          <w:color w:val="231F20"/>
          <w:spacing w:val="-2"/>
          <w:sz w:val="20"/>
        </w:rPr>
        <w:t>«Комплимент».</w:t>
      </w:r>
    </w:p>
    <w:p>
      <w:pPr>
        <w:pStyle w:val="BodyText"/>
        <w:spacing w:line="235" w:lineRule="auto" w:before="2"/>
        <w:ind w:left="425" w:right="1507" w:firstLine="0"/>
        <w:jc w:val="left"/>
      </w:pPr>
      <w:r>
        <w:rPr>
          <w:color w:val="231F20"/>
        </w:rPr>
        <w:t>Цель:</w:t>
      </w:r>
      <w:r>
        <w:rPr>
          <w:color w:val="231F20"/>
          <w:spacing w:val="-6"/>
        </w:rPr>
        <w:t> </w:t>
      </w:r>
      <w:r>
        <w:rPr>
          <w:color w:val="231F20"/>
        </w:rPr>
        <w:t>улучшить</w:t>
      </w:r>
      <w:r>
        <w:rPr>
          <w:color w:val="231F20"/>
          <w:spacing w:val="-6"/>
        </w:rPr>
        <w:t> </w:t>
      </w:r>
      <w:r>
        <w:rPr>
          <w:color w:val="231F20"/>
        </w:rPr>
        <w:t>атмосферу</w:t>
      </w:r>
      <w:r>
        <w:rPr>
          <w:color w:val="231F20"/>
          <w:spacing w:val="-6"/>
        </w:rPr>
        <w:t> </w:t>
      </w:r>
      <w:r>
        <w:rPr>
          <w:color w:val="231F20"/>
        </w:rPr>
        <w:t>и</w:t>
      </w:r>
      <w:r>
        <w:rPr>
          <w:color w:val="231F20"/>
          <w:spacing w:val="-6"/>
        </w:rPr>
        <w:t> </w:t>
      </w:r>
      <w:r>
        <w:rPr>
          <w:color w:val="231F20"/>
        </w:rPr>
        <w:t>сократить</w:t>
      </w:r>
      <w:r>
        <w:rPr>
          <w:color w:val="231F20"/>
          <w:spacing w:val="-6"/>
        </w:rPr>
        <w:t> </w:t>
      </w:r>
      <w:r>
        <w:rPr>
          <w:color w:val="231F20"/>
        </w:rPr>
        <w:t>дистанцию</w:t>
      </w:r>
      <w:r>
        <w:rPr>
          <w:color w:val="231F20"/>
          <w:spacing w:val="-6"/>
        </w:rPr>
        <w:t> </w:t>
      </w:r>
      <w:r>
        <w:rPr>
          <w:color w:val="231F20"/>
        </w:rPr>
        <w:t>в</w:t>
      </w:r>
      <w:r>
        <w:rPr>
          <w:color w:val="231F20"/>
          <w:spacing w:val="-6"/>
        </w:rPr>
        <w:t> </w:t>
      </w:r>
      <w:r>
        <w:rPr>
          <w:color w:val="231F20"/>
        </w:rPr>
        <w:t>общении. Время: 5 минут.</w:t>
      </w:r>
    </w:p>
    <w:p>
      <w:pPr>
        <w:pStyle w:val="BodyText"/>
        <w:spacing w:line="235" w:lineRule="auto" w:before="1"/>
        <w:ind w:left="425" w:right="4819" w:firstLine="0"/>
        <w:jc w:val="left"/>
      </w:pPr>
      <w:r>
        <w:rPr>
          <w:color w:val="231F20"/>
        </w:rPr>
        <w:t>Материалы: мяч. Процедура</w:t>
      </w:r>
      <w:r>
        <w:rPr>
          <w:color w:val="231F20"/>
          <w:spacing w:val="-13"/>
        </w:rPr>
        <w:t> </w:t>
      </w:r>
      <w:r>
        <w:rPr>
          <w:color w:val="231F20"/>
        </w:rPr>
        <w:t>выполнения</w:t>
      </w:r>
    </w:p>
    <w:p>
      <w:pPr>
        <w:pStyle w:val="BodyText"/>
        <w:spacing w:line="235" w:lineRule="auto" w:before="1"/>
        <w:ind w:right="140"/>
      </w:pPr>
      <w:r>
        <w:rPr>
          <w:color w:val="231F20"/>
        </w:rPr>
        <w:t>Участники тренинга рассаживаются в произвольном порядке (работа в группах завершена). Тренер бросает мяч участнику, предварительно назвав его по имени, и говорит комплимент, который касается работы участника на тренинге. Поймавший </w:t>
      </w:r>
      <w:r>
        <w:rPr>
          <w:color w:val="231F20"/>
          <w:spacing w:val="-2"/>
        </w:rPr>
        <w:t>мячик</w:t>
      </w:r>
      <w:r>
        <w:rPr>
          <w:color w:val="231F20"/>
          <w:spacing w:val="-5"/>
        </w:rPr>
        <w:t> </w:t>
      </w:r>
      <w:r>
        <w:rPr>
          <w:color w:val="231F20"/>
          <w:spacing w:val="-2"/>
        </w:rPr>
        <w:t>благодарит за</w:t>
      </w:r>
      <w:r>
        <w:rPr>
          <w:color w:val="231F20"/>
          <w:spacing w:val="-3"/>
        </w:rPr>
        <w:t> </w:t>
      </w:r>
      <w:r>
        <w:rPr>
          <w:color w:val="231F20"/>
          <w:spacing w:val="-2"/>
        </w:rPr>
        <w:t>комплимент, глядя</w:t>
      </w:r>
      <w:r>
        <w:rPr>
          <w:color w:val="231F20"/>
          <w:spacing w:val="-3"/>
        </w:rPr>
        <w:t> </w:t>
      </w:r>
      <w:r>
        <w:rPr>
          <w:color w:val="231F20"/>
          <w:spacing w:val="-2"/>
        </w:rPr>
        <w:t>в глаза</w:t>
      </w:r>
      <w:r>
        <w:rPr>
          <w:color w:val="231F20"/>
          <w:spacing w:val="-3"/>
        </w:rPr>
        <w:t> </w:t>
      </w:r>
      <w:r>
        <w:rPr>
          <w:color w:val="231F20"/>
          <w:spacing w:val="-2"/>
        </w:rPr>
        <w:t>ведущему. Затем</w:t>
      </w:r>
      <w:r>
        <w:rPr>
          <w:color w:val="231F20"/>
          <w:spacing w:val="-3"/>
        </w:rPr>
        <w:t> </w:t>
      </w:r>
      <w:r>
        <w:rPr>
          <w:color w:val="231F20"/>
          <w:spacing w:val="-2"/>
        </w:rPr>
        <w:t>бросает мяч другому.</w:t>
      </w:r>
    </w:p>
    <w:p>
      <w:pPr>
        <w:pStyle w:val="BodyText"/>
        <w:spacing w:line="227" w:lineRule="exact"/>
        <w:ind w:left="425" w:right="0" w:firstLine="0"/>
        <w:jc w:val="left"/>
      </w:pPr>
      <w:r>
        <w:rPr>
          <w:color w:val="231F20"/>
          <w:spacing w:val="-2"/>
        </w:rPr>
        <w:t>Рефлексия</w:t>
      </w:r>
    </w:p>
    <w:p>
      <w:pPr>
        <w:pStyle w:val="BodyText"/>
        <w:spacing w:line="235" w:lineRule="auto" w:before="2"/>
        <w:ind w:right="0"/>
        <w:jc w:val="left"/>
      </w:pPr>
      <w:r>
        <w:rPr>
          <w:color w:val="231F20"/>
        </w:rPr>
        <w:t>Тренер</w:t>
      </w:r>
      <w:r>
        <w:rPr>
          <w:color w:val="231F20"/>
          <w:spacing w:val="-10"/>
        </w:rPr>
        <w:t> </w:t>
      </w:r>
      <w:r>
        <w:rPr>
          <w:color w:val="231F20"/>
        </w:rPr>
        <w:t>еще</w:t>
      </w:r>
      <w:r>
        <w:rPr>
          <w:color w:val="231F20"/>
          <w:spacing w:val="-10"/>
        </w:rPr>
        <w:t> </w:t>
      </w:r>
      <w:r>
        <w:rPr>
          <w:color w:val="231F20"/>
        </w:rPr>
        <w:t>раз</w:t>
      </w:r>
      <w:r>
        <w:rPr>
          <w:color w:val="231F20"/>
          <w:spacing w:val="-10"/>
        </w:rPr>
        <w:t> </w:t>
      </w:r>
      <w:r>
        <w:rPr>
          <w:color w:val="231F20"/>
        </w:rPr>
        <w:t>благодарит</w:t>
      </w:r>
      <w:r>
        <w:rPr>
          <w:color w:val="231F20"/>
          <w:spacing w:val="-10"/>
        </w:rPr>
        <w:t> </w:t>
      </w:r>
      <w:r>
        <w:rPr>
          <w:color w:val="231F20"/>
        </w:rPr>
        <w:t>всех</w:t>
      </w:r>
      <w:r>
        <w:rPr>
          <w:color w:val="231F20"/>
          <w:spacing w:val="-10"/>
        </w:rPr>
        <w:t> </w:t>
      </w:r>
      <w:r>
        <w:rPr>
          <w:color w:val="231F20"/>
        </w:rPr>
        <w:t>участников</w:t>
      </w:r>
      <w:r>
        <w:rPr>
          <w:color w:val="231F20"/>
          <w:spacing w:val="-10"/>
        </w:rPr>
        <w:t> </w:t>
      </w:r>
      <w:r>
        <w:rPr>
          <w:color w:val="231F20"/>
        </w:rPr>
        <w:t>тренинга</w:t>
      </w:r>
      <w:r>
        <w:rPr>
          <w:color w:val="231F20"/>
          <w:spacing w:val="-10"/>
        </w:rPr>
        <w:t> </w:t>
      </w:r>
      <w:r>
        <w:rPr>
          <w:color w:val="231F20"/>
        </w:rPr>
        <w:t>и</w:t>
      </w:r>
      <w:r>
        <w:rPr>
          <w:color w:val="231F20"/>
          <w:spacing w:val="-10"/>
        </w:rPr>
        <w:t> </w:t>
      </w:r>
      <w:r>
        <w:rPr>
          <w:color w:val="231F20"/>
        </w:rPr>
        <w:t>предлагает</w:t>
      </w:r>
      <w:r>
        <w:rPr>
          <w:color w:val="231F20"/>
          <w:spacing w:val="-10"/>
        </w:rPr>
        <w:t> </w:t>
      </w:r>
      <w:r>
        <w:rPr>
          <w:color w:val="231F20"/>
        </w:rPr>
        <w:t>заполнить</w:t>
      </w:r>
      <w:r>
        <w:rPr>
          <w:color w:val="231F20"/>
          <w:spacing w:val="-10"/>
        </w:rPr>
        <w:t> </w:t>
      </w:r>
      <w:r>
        <w:rPr>
          <w:color w:val="231F20"/>
        </w:rPr>
        <w:t>ито- говые анкеты-опросники (можно использовать типовую анкету, см. </w:t>
      </w:r>
      <w:r>
        <w:rPr>
          <w:i/>
          <w:color w:val="231F20"/>
        </w:rPr>
        <w:t>Приложение 1</w:t>
      </w:r>
      <w:r>
        <w:rPr>
          <w:color w:val="231F20"/>
        </w:rPr>
        <w:t>).</w:t>
      </w:r>
    </w:p>
    <w:p>
      <w:pPr>
        <w:pStyle w:val="BodyText"/>
        <w:spacing w:after="0" w:line="235" w:lineRule="auto"/>
        <w:jc w:val="left"/>
        <w:sectPr>
          <w:pgSz w:w="8400" w:h="11910"/>
          <w:pgMar w:header="0" w:footer="530" w:top="400" w:bottom="74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6"/>
          <w:sz w:val="18"/>
        </w:rPr>
        <w:t> </w:t>
      </w:r>
      <w:r>
        <w:rPr>
          <w:rFonts w:ascii="Georgia" w:hAnsi="Georgia"/>
          <w:color w:val="231F20"/>
          <w:sz w:val="18"/>
        </w:rPr>
        <w:t>Организация</w:t>
      </w:r>
      <w:r>
        <w:rPr>
          <w:rFonts w:ascii="Georgia" w:hAnsi="Georgia"/>
          <w:color w:val="231F20"/>
          <w:spacing w:val="7"/>
          <w:sz w:val="18"/>
        </w:rPr>
        <w:t> </w:t>
      </w:r>
      <w:r>
        <w:rPr>
          <w:rFonts w:ascii="Georgia" w:hAnsi="Georgia"/>
          <w:color w:val="231F20"/>
          <w:sz w:val="18"/>
        </w:rPr>
        <w:t>групповой</w:t>
      </w:r>
      <w:r>
        <w:rPr>
          <w:rFonts w:ascii="Georgia" w:hAnsi="Georgia"/>
          <w:color w:val="231F20"/>
          <w:spacing w:val="7"/>
          <w:sz w:val="18"/>
        </w:rPr>
        <w:t> </w:t>
      </w:r>
      <w:r>
        <w:rPr>
          <w:rFonts w:ascii="Georgia" w:hAnsi="Georgia"/>
          <w:color w:val="231F20"/>
          <w:sz w:val="18"/>
        </w:rPr>
        <w:t>учебной</w:t>
      </w:r>
      <w:r>
        <w:rPr>
          <w:rFonts w:ascii="Georgia" w:hAnsi="Georgia"/>
          <w:color w:val="231F20"/>
          <w:spacing w:val="6"/>
          <w:sz w:val="18"/>
        </w:rPr>
        <w:t> </w:t>
      </w:r>
      <w:r>
        <w:rPr>
          <w:rFonts w:ascii="Georgia" w:hAnsi="Georgia"/>
          <w:color w:val="231F20"/>
          <w:sz w:val="18"/>
        </w:rPr>
        <w:t>работы</w:t>
      </w:r>
      <w:r>
        <w:rPr>
          <w:rFonts w:ascii="Georgia" w:hAnsi="Georgia"/>
          <w:color w:val="231F20"/>
          <w:spacing w:val="7"/>
          <w:sz w:val="18"/>
        </w:rPr>
        <w:t> </w:t>
      </w:r>
      <w:r>
        <w:rPr>
          <w:rFonts w:ascii="Georgia" w:hAnsi="Georgia"/>
          <w:color w:val="231F20"/>
          <w:sz w:val="18"/>
        </w:rPr>
        <w:t>учащихся</w:t>
      </w:r>
      <w:r>
        <w:rPr>
          <w:rFonts w:ascii="Georgia" w:hAnsi="Georgia"/>
          <w:color w:val="231F20"/>
          <w:spacing w:val="7"/>
          <w:sz w:val="18"/>
        </w:rPr>
        <w:t> </w:t>
      </w:r>
      <w:r>
        <w:rPr>
          <w:rFonts w:ascii="Georgia" w:hAnsi="Georgia"/>
          <w:color w:val="231F20"/>
          <w:sz w:val="18"/>
        </w:rPr>
        <w:t>в</w:t>
      </w:r>
      <w:r>
        <w:rPr>
          <w:rFonts w:ascii="Georgia" w:hAnsi="Georgia"/>
          <w:color w:val="231F20"/>
          <w:spacing w:val="6"/>
          <w:sz w:val="18"/>
        </w:rPr>
        <w:t> </w:t>
      </w:r>
      <w:r>
        <w:rPr>
          <w:rFonts w:ascii="Georgia" w:hAnsi="Georgia"/>
          <w:color w:val="231F20"/>
          <w:sz w:val="18"/>
        </w:rPr>
        <w:t>поликультурном</w:t>
      </w:r>
      <w:r>
        <w:rPr>
          <w:rFonts w:ascii="Georgia" w:hAnsi="Georgia"/>
          <w:color w:val="231F20"/>
          <w:spacing w:val="7"/>
          <w:sz w:val="18"/>
        </w:rPr>
        <w:t> </w:t>
      </w:r>
      <w:r>
        <w:rPr>
          <w:rFonts w:ascii="Georgia" w:hAnsi="Georgia"/>
          <w:color w:val="231F20"/>
          <w:spacing w:val="-2"/>
          <w:sz w:val="18"/>
        </w:rPr>
        <w:t>классе...</w:t>
      </w:r>
    </w:p>
    <w:p>
      <w:pPr>
        <w:spacing w:line="228" w:lineRule="exact" w:before="112"/>
        <w:ind w:left="425" w:right="0" w:firstLine="0"/>
        <w:jc w:val="both"/>
        <w:rPr>
          <w:i/>
          <w:sz w:val="20"/>
        </w:rPr>
      </w:pPr>
      <w:r>
        <w:rPr>
          <w:b/>
          <w:i/>
          <w:color w:val="231F20"/>
          <w:sz w:val="20"/>
        </w:rPr>
        <w:t>Этап</w:t>
      </w:r>
      <w:r>
        <w:rPr>
          <w:b/>
          <w:i/>
          <w:color w:val="231F20"/>
          <w:spacing w:val="-5"/>
          <w:sz w:val="20"/>
        </w:rPr>
        <w:t> </w:t>
      </w:r>
      <w:r>
        <w:rPr>
          <w:b/>
          <w:i/>
          <w:color w:val="231F20"/>
          <w:sz w:val="20"/>
        </w:rPr>
        <w:t>4.</w:t>
      </w:r>
      <w:r>
        <w:rPr>
          <w:b/>
          <w:i/>
          <w:color w:val="231F20"/>
          <w:spacing w:val="-4"/>
          <w:sz w:val="20"/>
        </w:rPr>
        <w:t> </w:t>
      </w:r>
      <w:r>
        <w:rPr>
          <w:i/>
          <w:color w:val="231F20"/>
          <w:sz w:val="20"/>
        </w:rPr>
        <w:t>Подготовка</w:t>
      </w:r>
      <w:r>
        <w:rPr>
          <w:i/>
          <w:color w:val="231F20"/>
          <w:spacing w:val="-3"/>
          <w:sz w:val="20"/>
        </w:rPr>
        <w:t> </w:t>
      </w:r>
      <w:r>
        <w:rPr>
          <w:i/>
          <w:color w:val="231F20"/>
          <w:spacing w:val="-2"/>
          <w:sz w:val="20"/>
        </w:rPr>
        <w:t>уроков</w:t>
      </w:r>
    </w:p>
    <w:p>
      <w:pPr>
        <w:pStyle w:val="BodyText"/>
        <w:spacing w:line="235" w:lineRule="auto" w:before="2"/>
      </w:pPr>
      <w:r>
        <w:rPr>
          <w:color w:val="231F20"/>
        </w:rPr>
        <w:t>На данном этапе все педагоги, прошедшие обучение на тренинге, приступают к планированию и подготовке уроков в своих классах. Они выбирают тему урока, при </w:t>
      </w:r>
      <w:r>
        <w:rPr>
          <w:color w:val="231F20"/>
          <w:spacing w:val="-2"/>
        </w:rPr>
        <w:t>необходимости</w:t>
      </w:r>
      <w:r>
        <w:rPr>
          <w:color w:val="231F20"/>
          <w:spacing w:val="-6"/>
        </w:rPr>
        <w:t> </w:t>
      </w:r>
      <w:r>
        <w:rPr>
          <w:color w:val="231F20"/>
          <w:spacing w:val="-2"/>
        </w:rPr>
        <w:t>–</w:t>
      </w:r>
      <w:r>
        <w:rPr>
          <w:color w:val="231F20"/>
          <w:spacing w:val="-6"/>
        </w:rPr>
        <w:t> </w:t>
      </w:r>
      <w:r>
        <w:rPr>
          <w:color w:val="231F20"/>
          <w:spacing w:val="-2"/>
        </w:rPr>
        <w:t>согласовывают</w:t>
      </w:r>
      <w:r>
        <w:rPr>
          <w:color w:val="231F20"/>
          <w:spacing w:val="-6"/>
        </w:rPr>
        <w:t> </w:t>
      </w:r>
      <w:r>
        <w:rPr>
          <w:color w:val="231F20"/>
          <w:spacing w:val="-2"/>
        </w:rPr>
        <w:t>эту</w:t>
      </w:r>
      <w:r>
        <w:rPr>
          <w:color w:val="231F20"/>
          <w:spacing w:val="-6"/>
        </w:rPr>
        <w:t> </w:t>
      </w:r>
      <w:r>
        <w:rPr>
          <w:color w:val="231F20"/>
          <w:spacing w:val="-2"/>
        </w:rPr>
        <w:t>тему,</w:t>
      </w:r>
      <w:r>
        <w:rPr>
          <w:color w:val="231F20"/>
          <w:spacing w:val="-6"/>
        </w:rPr>
        <w:t> </w:t>
      </w:r>
      <w:r>
        <w:rPr>
          <w:color w:val="231F20"/>
          <w:spacing w:val="-2"/>
        </w:rPr>
        <w:t>дату</w:t>
      </w:r>
      <w:r>
        <w:rPr>
          <w:color w:val="231F20"/>
          <w:spacing w:val="-6"/>
        </w:rPr>
        <w:t> </w:t>
      </w:r>
      <w:r>
        <w:rPr>
          <w:color w:val="231F20"/>
          <w:spacing w:val="-2"/>
        </w:rPr>
        <w:t>и</w:t>
      </w:r>
      <w:r>
        <w:rPr>
          <w:color w:val="231F20"/>
          <w:spacing w:val="-6"/>
        </w:rPr>
        <w:t> </w:t>
      </w:r>
      <w:r>
        <w:rPr>
          <w:color w:val="231F20"/>
          <w:spacing w:val="-2"/>
        </w:rPr>
        <w:t>время</w:t>
      </w:r>
      <w:r>
        <w:rPr>
          <w:color w:val="231F20"/>
          <w:spacing w:val="-6"/>
        </w:rPr>
        <w:t> </w:t>
      </w:r>
      <w:r>
        <w:rPr>
          <w:color w:val="231F20"/>
          <w:spacing w:val="-2"/>
        </w:rPr>
        <w:t>проведения</w:t>
      </w:r>
      <w:r>
        <w:rPr>
          <w:color w:val="231F20"/>
          <w:spacing w:val="-6"/>
        </w:rPr>
        <w:t> </w:t>
      </w:r>
      <w:r>
        <w:rPr>
          <w:color w:val="231F20"/>
          <w:spacing w:val="-2"/>
        </w:rPr>
        <w:t>урока</w:t>
      </w:r>
      <w:r>
        <w:rPr>
          <w:color w:val="231F20"/>
          <w:spacing w:val="-6"/>
        </w:rPr>
        <w:t> </w:t>
      </w:r>
      <w:r>
        <w:rPr>
          <w:color w:val="231F20"/>
          <w:spacing w:val="-2"/>
        </w:rPr>
        <w:t>с</w:t>
      </w:r>
      <w:r>
        <w:rPr>
          <w:color w:val="231F20"/>
          <w:spacing w:val="-6"/>
        </w:rPr>
        <w:t> </w:t>
      </w:r>
      <w:r>
        <w:rPr>
          <w:color w:val="231F20"/>
          <w:spacing w:val="-2"/>
        </w:rPr>
        <w:t>коллегами </w:t>
      </w:r>
      <w:r>
        <w:rPr>
          <w:color w:val="231F20"/>
        </w:rPr>
        <w:t>(в</w:t>
      </w:r>
      <w:r>
        <w:rPr>
          <w:color w:val="231F20"/>
          <w:spacing w:val="-11"/>
        </w:rPr>
        <w:t> </w:t>
      </w:r>
      <w:r>
        <w:rPr>
          <w:color w:val="231F20"/>
        </w:rPr>
        <w:t>случае</w:t>
      </w:r>
      <w:r>
        <w:rPr>
          <w:color w:val="231F20"/>
          <w:spacing w:val="-11"/>
        </w:rPr>
        <w:t> </w:t>
      </w:r>
      <w:r>
        <w:rPr>
          <w:color w:val="231F20"/>
        </w:rPr>
        <w:t>если</w:t>
      </w:r>
      <w:r>
        <w:rPr>
          <w:color w:val="231F20"/>
          <w:spacing w:val="-11"/>
        </w:rPr>
        <w:t> </w:t>
      </w:r>
      <w:r>
        <w:rPr>
          <w:color w:val="231F20"/>
        </w:rPr>
        <w:t>урок</w:t>
      </w:r>
      <w:r>
        <w:rPr>
          <w:color w:val="231F20"/>
          <w:spacing w:val="-11"/>
        </w:rPr>
        <w:t> </w:t>
      </w:r>
      <w:r>
        <w:rPr>
          <w:color w:val="231F20"/>
        </w:rPr>
        <w:t>проводится</w:t>
      </w:r>
      <w:r>
        <w:rPr>
          <w:color w:val="231F20"/>
          <w:spacing w:val="-11"/>
        </w:rPr>
        <w:t> </w:t>
      </w:r>
      <w:r>
        <w:rPr>
          <w:color w:val="231F20"/>
        </w:rPr>
        <w:t>как</w:t>
      </w:r>
      <w:r>
        <w:rPr>
          <w:color w:val="231F20"/>
          <w:spacing w:val="-11"/>
        </w:rPr>
        <w:t> </w:t>
      </w:r>
      <w:r>
        <w:rPr>
          <w:color w:val="231F20"/>
        </w:rPr>
        <w:t>межпредметный).</w:t>
      </w:r>
      <w:r>
        <w:rPr>
          <w:color w:val="231F20"/>
          <w:spacing w:val="-11"/>
        </w:rPr>
        <w:t> </w:t>
      </w:r>
      <w:r>
        <w:rPr>
          <w:color w:val="231F20"/>
        </w:rPr>
        <w:t>Далее</w:t>
      </w:r>
      <w:r>
        <w:rPr>
          <w:color w:val="231F20"/>
          <w:spacing w:val="-11"/>
        </w:rPr>
        <w:t> </w:t>
      </w:r>
      <w:r>
        <w:rPr>
          <w:color w:val="231F20"/>
        </w:rPr>
        <w:t>разрабатывают</w:t>
      </w:r>
      <w:r>
        <w:rPr>
          <w:color w:val="231F20"/>
          <w:spacing w:val="-11"/>
        </w:rPr>
        <w:t> </w:t>
      </w:r>
      <w:r>
        <w:rPr>
          <w:color w:val="231F20"/>
        </w:rPr>
        <w:t>сценарий урока и готовят инструкции для учащихся, а также комплекты раздаточных матери- алов</w:t>
      </w:r>
      <w:r>
        <w:rPr>
          <w:color w:val="231F20"/>
          <w:spacing w:val="-3"/>
        </w:rPr>
        <w:t> </w:t>
      </w:r>
      <w:r>
        <w:rPr>
          <w:color w:val="231F20"/>
        </w:rPr>
        <w:t>для</w:t>
      </w:r>
      <w:r>
        <w:rPr>
          <w:color w:val="231F20"/>
          <w:spacing w:val="-3"/>
        </w:rPr>
        <w:t> </w:t>
      </w:r>
      <w:r>
        <w:rPr>
          <w:color w:val="231F20"/>
        </w:rPr>
        <w:t>работы</w:t>
      </w:r>
      <w:r>
        <w:rPr>
          <w:color w:val="231F20"/>
          <w:spacing w:val="-4"/>
        </w:rPr>
        <w:t> </w:t>
      </w:r>
      <w:r>
        <w:rPr>
          <w:color w:val="231F20"/>
        </w:rPr>
        <w:t>групп</w:t>
      </w:r>
      <w:r>
        <w:rPr>
          <w:color w:val="231F20"/>
          <w:spacing w:val="-3"/>
        </w:rPr>
        <w:t> </w:t>
      </w:r>
      <w:r>
        <w:rPr>
          <w:color w:val="231F20"/>
        </w:rPr>
        <w:t>сотрудничества.</w:t>
      </w:r>
      <w:r>
        <w:rPr>
          <w:color w:val="231F20"/>
          <w:spacing w:val="-3"/>
        </w:rPr>
        <w:t> </w:t>
      </w:r>
      <w:r>
        <w:rPr>
          <w:color w:val="231F20"/>
        </w:rPr>
        <w:t>Каждому</w:t>
      </w:r>
      <w:r>
        <w:rPr>
          <w:color w:val="231F20"/>
          <w:spacing w:val="-4"/>
        </w:rPr>
        <w:t> </w:t>
      </w:r>
      <w:r>
        <w:rPr>
          <w:color w:val="231F20"/>
        </w:rPr>
        <w:t>учителю</w:t>
      </w:r>
      <w:r>
        <w:rPr>
          <w:color w:val="231F20"/>
          <w:spacing w:val="-3"/>
        </w:rPr>
        <w:t> </w:t>
      </w:r>
      <w:r>
        <w:rPr>
          <w:color w:val="231F20"/>
        </w:rPr>
        <w:t>предстоит</w:t>
      </w:r>
      <w:r>
        <w:rPr>
          <w:color w:val="231F20"/>
          <w:spacing w:val="-3"/>
        </w:rPr>
        <w:t> </w:t>
      </w:r>
      <w:r>
        <w:rPr>
          <w:color w:val="231F20"/>
        </w:rPr>
        <w:t>определиться</w:t>
      </w:r>
      <w:r>
        <w:rPr>
          <w:color w:val="231F20"/>
          <w:spacing w:val="-4"/>
        </w:rPr>
        <w:t> </w:t>
      </w:r>
      <w:r>
        <w:rPr>
          <w:color w:val="231F20"/>
        </w:rPr>
        <w:t>с подходом к формированию групп сотрудничества.</w:t>
      </w:r>
    </w:p>
    <w:p>
      <w:pPr>
        <w:pStyle w:val="BodyText"/>
        <w:spacing w:line="235" w:lineRule="auto" w:before="4"/>
      </w:pPr>
      <w:r>
        <w:rPr>
          <w:color w:val="231F20"/>
          <w:spacing w:val="-4"/>
        </w:rPr>
        <w:t>Спланировав</w:t>
      </w:r>
      <w:r>
        <w:rPr>
          <w:color w:val="231F20"/>
          <w:spacing w:val="-7"/>
        </w:rPr>
        <w:t> </w:t>
      </w:r>
      <w:r>
        <w:rPr>
          <w:color w:val="231F20"/>
          <w:spacing w:val="-4"/>
        </w:rPr>
        <w:t>урок</w:t>
      </w:r>
      <w:r>
        <w:rPr>
          <w:color w:val="231F20"/>
          <w:spacing w:val="-7"/>
        </w:rPr>
        <w:t> </w:t>
      </w:r>
      <w:r>
        <w:rPr>
          <w:color w:val="231F20"/>
          <w:spacing w:val="-4"/>
        </w:rPr>
        <w:t>и</w:t>
      </w:r>
      <w:r>
        <w:rPr>
          <w:color w:val="231F20"/>
          <w:spacing w:val="-7"/>
        </w:rPr>
        <w:t> </w:t>
      </w:r>
      <w:r>
        <w:rPr>
          <w:color w:val="231F20"/>
          <w:spacing w:val="-4"/>
        </w:rPr>
        <w:t>подготовив</w:t>
      </w:r>
      <w:r>
        <w:rPr>
          <w:color w:val="231F20"/>
          <w:spacing w:val="-7"/>
        </w:rPr>
        <w:t> </w:t>
      </w:r>
      <w:r>
        <w:rPr>
          <w:color w:val="231F20"/>
          <w:spacing w:val="-4"/>
        </w:rPr>
        <w:t>необходимые</w:t>
      </w:r>
      <w:r>
        <w:rPr>
          <w:color w:val="231F20"/>
          <w:spacing w:val="-7"/>
        </w:rPr>
        <w:t> </w:t>
      </w:r>
      <w:r>
        <w:rPr>
          <w:color w:val="231F20"/>
          <w:spacing w:val="-4"/>
        </w:rPr>
        <w:t>материалы,</w:t>
      </w:r>
      <w:r>
        <w:rPr>
          <w:color w:val="231F20"/>
          <w:spacing w:val="-7"/>
        </w:rPr>
        <w:t> </w:t>
      </w:r>
      <w:r>
        <w:rPr>
          <w:color w:val="231F20"/>
          <w:spacing w:val="-4"/>
        </w:rPr>
        <w:t>учитель</w:t>
      </w:r>
      <w:r>
        <w:rPr>
          <w:color w:val="231F20"/>
          <w:spacing w:val="-7"/>
        </w:rPr>
        <w:t> </w:t>
      </w:r>
      <w:r>
        <w:rPr>
          <w:color w:val="231F20"/>
          <w:spacing w:val="-4"/>
        </w:rPr>
        <w:t>проводит</w:t>
      </w:r>
      <w:r>
        <w:rPr>
          <w:color w:val="231F20"/>
          <w:spacing w:val="-7"/>
        </w:rPr>
        <w:t> </w:t>
      </w:r>
      <w:r>
        <w:rPr>
          <w:color w:val="231F20"/>
          <w:spacing w:val="-4"/>
        </w:rPr>
        <w:t>тренинг </w:t>
      </w:r>
      <w:r>
        <w:rPr>
          <w:color w:val="231F20"/>
          <w:spacing w:val="-2"/>
        </w:rPr>
        <w:t>для</w:t>
      </w:r>
      <w:r>
        <w:rPr>
          <w:color w:val="231F20"/>
          <w:spacing w:val="-11"/>
        </w:rPr>
        <w:t> </w:t>
      </w:r>
      <w:r>
        <w:rPr>
          <w:color w:val="231F20"/>
          <w:spacing w:val="-2"/>
        </w:rPr>
        <w:t>того</w:t>
      </w:r>
      <w:r>
        <w:rPr>
          <w:color w:val="231F20"/>
          <w:spacing w:val="-10"/>
        </w:rPr>
        <w:t> </w:t>
      </w:r>
      <w:r>
        <w:rPr>
          <w:color w:val="231F20"/>
          <w:spacing w:val="-2"/>
        </w:rPr>
        <w:t>класса,</w:t>
      </w:r>
      <w:r>
        <w:rPr>
          <w:color w:val="231F20"/>
          <w:spacing w:val="-11"/>
        </w:rPr>
        <w:t> </w:t>
      </w:r>
      <w:r>
        <w:rPr>
          <w:color w:val="231F20"/>
          <w:spacing w:val="-2"/>
        </w:rPr>
        <w:t>которому</w:t>
      </w:r>
      <w:r>
        <w:rPr>
          <w:color w:val="231F20"/>
          <w:spacing w:val="-10"/>
        </w:rPr>
        <w:t> </w:t>
      </w:r>
      <w:r>
        <w:rPr>
          <w:color w:val="231F20"/>
          <w:spacing w:val="-2"/>
        </w:rPr>
        <w:t>будет</w:t>
      </w:r>
      <w:r>
        <w:rPr>
          <w:color w:val="231F20"/>
          <w:spacing w:val="-11"/>
        </w:rPr>
        <w:t> </w:t>
      </w:r>
      <w:r>
        <w:rPr>
          <w:color w:val="231F20"/>
          <w:spacing w:val="-2"/>
        </w:rPr>
        <w:t>предложено</w:t>
      </w:r>
      <w:r>
        <w:rPr>
          <w:color w:val="231F20"/>
          <w:spacing w:val="-10"/>
        </w:rPr>
        <w:t> </w:t>
      </w:r>
      <w:r>
        <w:rPr>
          <w:color w:val="231F20"/>
          <w:spacing w:val="-2"/>
        </w:rPr>
        <w:t>участвовать</w:t>
      </w:r>
      <w:r>
        <w:rPr>
          <w:color w:val="231F20"/>
          <w:spacing w:val="-11"/>
        </w:rPr>
        <w:t> </w:t>
      </w:r>
      <w:r>
        <w:rPr>
          <w:color w:val="231F20"/>
          <w:spacing w:val="-2"/>
        </w:rPr>
        <w:t>в</w:t>
      </w:r>
      <w:r>
        <w:rPr>
          <w:color w:val="231F20"/>
          <w:spacing w:val="-10"/>
        </w:rPr>
        <w:t> </w:t>
      </w:r>
      <w:r>
        <w:rPr>
          <w:color w:val="231F20"/>
          <w:spacing w:val="-2"/>
        </w:rPr>
        <w:t>уроке</w:t>
      </w:r>
      <w:r>
        <w:rPr>
          <w:color w:val="231F20"/>
          <w:spacing w:val="-11"/>
        </w:rPr>
        <w:t> </w:t>
      </w:r>
      <w:r>
        <w:rPr>
          <w:color w:val="231F20"/>
          <w:spacing w:val="-2"/>
        </w:rPr>
        <w:t>с</w:t>
      </w:r>
      <w:r>
        <w:rPr>
          <w:color w:val="231F20"/>
          <w:spacing w:val="-10"/>
        </w:rPr>
        <w:t> </w:t>
      </w:r>
      <w:r>
        <w:rPr>
          <w:color w:val="231F20"/>
          <w:spacing w:val="-2"/>
        </w:rPr>
        <w:t>группами</w:t>
      </w:r>
      <w:r>
        <w:rPr>
          <w:color w:val="231F20"/>
          <w:spacing w:val="-11"/>
        </w:rPr>
        <w:t> </w:t>
      </w:r>
      <w:r>
        <w:rPr>
          <w:color w:val="231F20"/>
          <w:spacing w:val="-2"/>
        </w:rPr>
        <w:t>сотрудни- </w:t>
      </w:r>
      <w:r>
        <w:rPr>
          <w:color w:val="231F20"/>
        </w:rPr>
        <w:t>чества.</w:t>
      </w:r>
      <w:r>
        <w:rPr>
          <w:color w:val="231F20"/>
          <w:spacing w:val="-7"/>
        </w:rPr>
        <w:t> </w:t>
      </w:r>
      <w:r>
        <w:rPr>
          <w:color w:val="231F20"/>
        </w:rPr>
        <w:t>Подобный</w:t>
      </w:r>
      <w:r>
        <w:rPr>
          <w:color w:val="231F20"/>
          <w:spacing w:val="-7"/>
        </w:rPr>
        <w:t> </w:t>
      </w:r>
      <w:r>
        <w:rPr>
          <w:color w:val="231F20"/>
        </w:rPr>
        <w:t>тренинг</w:t>
      </w:r>
      <w:r>
        <w:rPr>
          <w:color w:val="231F20"/>
          <w:spacing w:val="-7"/>
        </w:rPr>
        <w:t> </w:t>
      </w:r>
      <w:r>
        <w:rPr>
          <w:color w:val="231F20"/>
        </w:rPr>
        <w:t>может</w:t>
      </w:r>
      <w:r>
        <w:rPr>
          <w:color w:val="231F20"/>
          <w:spacing w:val="-7"/>
        </w:rPr>
        <w:t> </w:t>
      </w:r>
      <w:r>
        <w:rPr>
          <w:color w:val="231F20"/>
        </w:rPr>
        <w:t>включать</w:t>
      </w:r>
      <w:r>
        <w:rPr>
          <w:color w:val="231F20"/>
          <w:spacing w:val="-7"/>
        </w:rPr>
        <w:t> </w:t>
      </w:r>
      <w:r>
        <w:rPr>
          <w:color w:val="231F20"/>
        </w:rPr>
        <w:t>серию</w:t>
      </w:r>
      <w:r>
        <w:rPr>
          <w:color w:val="231F20"/>
          <w:spacing w:val="-7"/>
        </w:rPr>
        <w:t> </w:t>
      </w:r>
      <w:r>
        <w:rPr>
          <w:color w:val="231F20"/>
        </w:rPr>
        <w:t>учебных</w:t>
      </w:r>
      <w:r>
        <w:rPr>
          <w:color w:val="231F20"/>
          <w:spacing w:val="-7"/>
        </w:rPr>
        <w:t> </w:t>
      </w:r>
      <w:r>
        <w:rPr>
          <w:color w:val="231F20"/>
        </w:rPr>
        <w:t>заданий</w:t>
      </w:r>
      <w:r>
        <w:rPr>
          <w:color w:val="231F20"/>
          <w:spacing w:val="-7"/>
        </w:rPr>
        <w:t> </w:t>
      </w:r>
      <w:r>
        <w:rPr>
          <w:color w:val="231F20"/>
        </w:rPr>
        <w:t>для</w:t>
      </w:r>
      <w:r>
        <w:rPr>
          <w:color w:val="231F20"/>
          <w:spacing w:val="-7"/>
        </w:rPr>
        <w:t> </w:t>
      </w:r>
      <w:r>
        <w:rPr>
          <w:color w:val="231F20"/>
        </w:rPr>
        <w:t>учащихся</w:t>
      </w:r>
      <w:r>
        <w:rPr>
          <w:color w:val="231F20"/>
          <w:spacing w:val="-7"/>
        </w:rPr>
        <w:t> </w:t>
      </w:r>
      <w:r>
        <w:rPr>
          <w:color w:val="231F20"/>
        </w:rPr>
        <w:t>на отработку навыков дискуссии в группе, аргументации и решения проблем. Учитель может</w:t>
      </w:r>
      <w:r>
        <w:rPr>
          <w:color w:val="231F20"/>
          <w:spacing w:val="-6"/>
        </w:rPr>
        <w:t> </w:t>
      </w:r>
      <w:r>
        <w:rPr>
          <w:color w:val="231F20"/>
        </w:rPr>
        <w:t>проводить</w:t>
      </w:r>
      <w:r>
        <w:rPr>
          <w:color w:val="231F20"/>
          <w:spacing w:val="-7"/>
        </w:rPr>
        <w:t> </w:t>
      </w:r>
      <w:r>
        <w:rPr>
          <w:color w:val="231F20"/>
        </w:rPr>
        <w:t>подобный</w:t>
      </w:r>
      <w:r>
        <w:rPr>
          <w:color w:val="231F20"/>
          <w:spacing w:val="-7"/>
        </w:rPr>
        <w:t> </w:t>
      </w:r>
      <w:r>
        <w:rPr>
          <w:color w:val="231F20"/>
        </w:rPr>
        <w:t>тренинг</w:t>
      </w:r>
      <w:r>
        <w:rPr>
          <w:color w:val="231F20"/>
          <w:spacing w:val="-7"/>
        </w:rPr>
        <w:t> </w:t>
      </w:r>
      <w:r>
        <w:rPr>
          <w:color w:val="231F20"/>
        </w:rPr>
        <w:t>сам,</w:t>
      </w:r>
      <w:r>
        <w:rPr>
          <w:color w:val="231F20"/>
          <w:spacing w:val="-6"/>
        </w:rPr>
        <w:t> </w:t>
      </w:r>
      <w:r>
        <w:rPr>
          <w:color w:val="231F20"/>
        </w:rPr>
        <w:t>либо</w:t>
      </w:r>
      <w:r>
        <w:rPr>
          <w:color w:val="231F20"/>
          <w:spacing w:val="-6"/>
        </w:rPr>
        <w:t> </w:t>
      </w:r>
      <w:r>
        <w:rPr>
          <w:color w:val="231F20"/>
        </w:rPr>
        <w:t>совместно</w:t>
      </w:r>
      <w:r>
        <w:rPr>
          <w:color w:val="231F20"/>
          <w:spacing w:val="-6"/>
        </w:rPr>
        <w:t> </w:t>
      </w:r>
      <w:r>
        <w:rPr>
          <w:color w:val="231F20"/>
        </w:rPr>
        <w:t>с</w:t>
      </w:r>
      <w:r>
        <w:rPr>
          <w:color w:val="231F20"/>
          <w:spacing w:val="-6"/>
        </w:rPr>
        <w:t> </w:t>
      </w:r>
      <w:r>
        <w:rPr>
          <w:color w:val="231F20"/>
        </w:rPr>
        <w:t>школьным</w:t>
      </w:r>
      <w:r>
        <w:rPr>
          <w:color w:val="231F20"/>
          <w:spacing w:val="-6"/>
        </w:rPr>
        <w:t> </w:t>
      </w:r>
      <w:r>
        <w:rPr>
          <w:color w:val="231F20"/>
        </w:rPr>
        <w:t>психологом.</w:t>
      </w:r>
    </w:p>
    <w:p>
      <w:pPr>
        <w:spacing w:line="228" w:lineRule="exact" w:before="113"/>
        <w:ind w:left="425" w:right="0" w:firstLine="0"/>
        <w:jc w:val="both"/>
        <w:rPr>
          <w:i/>
          <w:sz w:val="20"/>
        </w:rPr>
      </w:pPr>
      <w:r>
        <w:rPr>
          <w:b/>
          <w:i/>
          <w:color w:val="231F20"/>
          <w:sz w:val="20"/>
        </w:rPr>
        <w:t>Этап</w:t>
      </w:r>
      <w:r>
        <w:rPr>
          <w:b/>
          <w:i/>
          <w:color w:val="231F20"/>
          <w:spacing w:val="-9"/>
          <w:sz w:val="20"/>
        </w:rPr>
        <w:t> </w:t>
      </w:r>
      <w:r>
        <w:rPr>
          <w:b/>
          <w:i/>
          <w:color w:val="231F20"/>
          <w:sz w:val="20"/>
        </w:rPr>
        <w:t>5.</w:t>
      </w:r>
      <w:r>
        <w:rPr>
          <w:b/>
          <w:i/>
          <w:color w:val="231F20"/>
          <w:spacing w:val="-5"/>
          <w:sz w:val="20"/>
        </w:rPr>
        <w:t> </w:t>
      </w:r>
      <w:r>
        <w:rPr>
          <w:i/>
          <w:color w:val="231F20"/>
          <w:sz w:val="20"/>
        </w:rPr>
        <w:t>Проведение</w:t>
      </w:r>
      <w:r>
        <w:rPr>
          <w:i/>
          <w:color w:val="231F20"/>
          <w:spacing w:val="-5"/>
          <w:sz w:val="20"/>
        </w:rPr>
        <w:t> </w:t>
      </w:r>
      <w:r>
        <w:rPr>
          <w:i/>
          <w:color w:val="231F20"/>
          <w:sz w:val="20"/>
        </w:rPr>
        <w:t>уроков,</w:t>
      </w:r>
      <w:r>
        <w:rPr>
          <w:i/>
          <w:color w:val="231F20"/>
          <w:spacing w:val="-5"/>
          <w:sz w:val="20"/>
        </w:rPr>
        <w:t> </w:t>
      </w:r>
      <w:r>
        <w:rPr>
          <w:i/>
          <w:color w:val="231F20"/>
          <w:sz w:val="20"/>
        </w:rPr>
        <w:t>рефлексия</w:t>
      </w:r>
      <w:r>
        <w:rPr>
          <w:i/>
          <w:color w:val="231F20"/>
          <w:spacing w:val="-5"/>
          <w:sz w:val="20"/>
        </w:rPr>
        <w:t> </w:t>
      </w:r>
      <w:r>
        <w:rPr>
          <w:i/>
          <w:color w:val="231F20"/>
          <w:sz w:val="20"/>
        </w:rPr>
        <w:t>и</w:t>
      </w:r>
      <w:r>
        <w:rPr>
          <w:i/>
          <w:color w:val="231F20"/>
          <w:spacing w:val="-5"/>
          <w:sz w:val="20"/>
        </w:rPr>
        <w:t> </w:t>
      </w:r>
      <w:r>
        <w:rPr>
          <w:i/>
          <w:color w:val="231F20"/>
          <w:spacing w:val="-2"/>
          <w:sz w:val="20"/>
        </w:rPr>
        <w:t>обсуждение</w:t>
      </w:r>
    </w:p>
    <w:p>
      <w:pPr>
        <w:pStyle w:val="BodyText"/>
        <w:spacing w:line="235" w:lineRule="auto" w:before="2"/>
      </w:pPr>
      <w:r>
        <w:rPr>
          <w:color w:val="231F20"/>
        </w:rPr>
        <w:t>На</w:t>
      </w:r>
      <w:r>
        <w:rPr>
          <w:color w:val="231F20"/>
          <w:spacing w:val="-4"/>
        </w:rPr>
        <w:t> </w:t>
      </w:r>
      <w:r>
        <w:rPr>
          <w:color w:val="231F20"/>
        </w:rPr>
        <w:t>данном</w:t>
      </w:r>
      <w:r>
        <w:rPr>
          <w:color w:val="231F20"/>
          <w:spacing w:val="-4"/>
        </w:rPr>
        <w:t> </w:t>
      </w:r>
      <w:r>
        <w:rPr>
          <w:color w:val="231F20"/>
        </w:rPr>
        <w:t>этапе</w:t>
      </w:r>
      <w:r>
        <w:rPr>
          <w:color w:val="231F20"/>
          <w:spacing w:val="-4"/>
        </w:rPr>
        <w:t> </w:t>
      </w:r>
      <w:r>
        <w:rPr>
          <w:color w:val="231F20"/>
        </w:rPr>
        <w:t>учитель</w:t>
      </w:r>
      <w:r>
        <w:rPr>
          <w:color w:val="231F20"/>
          <w:spacing w:val="-4"/>
        </w:rPr>
        <w:t> </w:t>
      </w:r>
      <w:r>
        <w:rPr>
          <w:color w:val="231F20"/>
        </w:rPr>
        <w:t>(учителя)</w:t>
      </w:r>
      <w:r>
        <w:rPr>
          <w:color w:val="231F20"/>
          <w:spacing w:val="-4"/>
        </w:rPr>
        <w:t> </w:t>
      </w:r>
      <w:r>
        <w:rPr>
          <w:color w:val="231F20"/>
        </w:rPr>
        <w:t>проводит</w:t>
      </w:r>
      <w:r>
        <w:rPr>
          <w:color w:val="231F20"/>
          <w:spacing w:val="-4"/>
        </w:rPr>
        <w:t> </w:t>
      </w:r>
      <w:r>
        <w:rPr>
          <w:color w:val="231F20"/>
        </w:rPr>
        <w:t>уроки</w:t>
      </w:r>
      <w:r>
        <w:rPr>
          <w:color w:val="231F20"/>
          <w:spacing w:val="-4"/>
        </w:rPr>
        <w:t> </w:t>
      </w:r>
      <w:r>
        <w:rPr>
          <w:color w:val="231F20"/>
        </w:rPr>
        <w:t>по</w:t>
      </w:r>
      <w:r>
        <w:rPr>
          <w:color w:val="231F20"/>
          <w:spacing w:val="-4"/>
        </w:rPr>
        <w:t> </w:t>
      </w:r>
      <w:r>
        <w:rPr>
          <w:color w:val="231F20"/>
        </w:rPr>
        <w:t>технологии</w:t>
      </w:r>
      <w:r>
        <w:rPr>
          <w:color w:val="231F20"/>
          <w:spacing w:val="-4"/>
        </w:rPr>
        <w:t> </w:t>
      </w:r>
      <w:r>
        <w:rPr>
          <w:color w:val="231F20"/>
        </w:rPr>
        <w:t>обучения</w:t>
      </w:r>
      <w:r>
        <w:rPr>
          <w:color w:val="231F20"/>
          <w:spacing w:val="-4"/>
        </w:rPr>
        <w:t> </w:t>
      </w:r>
      <w:r>
        <w:rPr>
          <w:color w:val="231F20"/>
        </w:rPr>
        <w:t>в</w:t>
      </w:r>
      <w:r>
        <w:rPr>
          <w:color w:val="231F20"/>
          <w:spacing w:val="-4"/>
        </w:rPr>
        <w:t> </w:t>
      </w:r>
      <w:r>
        <w:rPr>
          <w:color w:val="231F20"/>
        </w:rPr>
        <w:t>со- трудничестве. После каждого урока проводится анкетирование (см. пример анкеты</w:t>
      </w:r>
      <w:r>
        <w:rPr>
          <w:color w:val="231F20"/>
          <w:spacing w:val="80"/>
        </w:rPr>
        <w:t> </w:t>
      </w:r>
      <w:r>
        <w:rPr>
          <w:color w:val="231F20"/>
        </w:rPr>
        <w:t>в </w:t>
      </w:r>
      <w:r>
        <w:rPr>
          <w:i/>
          <w:color w:val="231F20"/>
        </w:rPr>
        <w:t>Приложении 1</w:t>
      </w:r>
      <w:r>
        <w:rPr>
          <w:color w:val="231F20"/>
        </w:rPr>
        <w:t>) для определения уровня удовлетворенности учащихся работой в группах.</w:t>
      </w:r>
      <w:r>
        <w:rPr>
          <w:color w:val="231F20"/>
          <w:spacing w:val="-3"/>
        </w:rPr>
        <w:t> </w:t>
      </w:r>
      <w:r>
        <w:rPr>
          <w:color w:val="231F20"/>
        </w:rPr>
        <w:t>Данные</w:t>
      </w:r>
      <w:r>
        <w:rPr>
          <w:color w:val="231F20"/>
          <w:spacing w:val="-3"/>
        </w:rPr>
        <w:t> </w:t>
      </w:r>
      <w:r>
        <w:rPr>
          <w:color w:val="231F20"/>
        </w:rPr>
        <w:t>анкетирования</w:t>
      </w:r>
      <w:r>
        <w:rPr>
          <w:color w:val="231F20"/>
          <w:spacing w:val="-3"/>
        </w:rPr>
        <w:t> </w:t>
      </w:r>
      <w:r>
        <w:rPr>
          <w:color w:val="231F20"/>
        </w:rPr>
        <w:t>учитель</w:t>
      </w:r>
      <w:r>
        <w:rPr>
          <w:color w:val="231F20"/>
          <w:spacing w:val="-3"/>
        </w:rPr>
        <w:t> </w:t>
      </w:r>
      <w:r>
        <w:rPr>
          <w:color w:val="231F20"/>
        </w:rPr>
        <w:t>обобщает</w:t>
      </w:r>
      <w:r>
        <w:rPr>
          <w:color w:val="231F20"/>
          <w:spacing w:val="-3"/>
        </w:rPr>
        <w:t> </w:t>
      </w:r>
      <w:r>
        <w:rPr>
          <w:color w:val="231F20"/>
        </w:rPr>
        <w:t>и</w:t>
      </w:r>
      <w:r>
        <w:rPr>
          <w:color w:val="231F20"/>
          <w:spacing w:val="-3"/>
        </w:rPr>
        <w:t> </w:t>
      </w:r>
      <w:r>
        <w:rPr>
          <w:color w:val="231F20"/>
        </w:rPr>
        <w:t>представляет</w:t>
      </w:r>
      <w:r>
        <w:rPr>
          <w:color w:val="231F20"/>
          <w:spacing w:val="-3"/>
        </w:rPr>
        <w:t> </w:t>
      </w:r>
      <w:r>
        <w:rPr>
          <w:color w:val="231F20"/>
        </w:rPr>
        <w:t>на</w:t>
      </w:r>
      <w:r>
        <w:rPr>
          <w:color w:val="231F20"/>
          <w:spacing w:val="-3"/>
        </w:rPr>
        <w:t> </w:t>
      </w:r>
      <w:r>
        <w:rPr>
          <w:color w:val="231F20"/>
        </w:rPr>
        <w:t>обсуждение</w:t>
      </w:r>
      <w:r>
        <w:rPr>
          <w:color w:val="231F20"/>
          <w:spacing w:val="-3"/>
        </w:rPr>
        <w:t> </w:t>
      </w:r>
      <w:r>
        <w:rPr>
          <w:color w:val="231F20"/>
        </w:rPr>
        <w:t>на очередном заседании методического объединения.</w:t>
      </w:r>
    </w:p>
    <w:p>
      <w:pPr>
        <w:pStyle w:val="BodyText"/>
        <w:spacing w:line="235" w:lineRule="auto" w:before="3"/>
      </w:pPr>
      <w:r>
        <w:rPr>
          <w:color w:val="231F20"/>
          <w:spacing w:val="-2"/>
        </w:rPr>
        <w:t>Следует</w:t>
      </w:r>
      <w:r>
        <w:rPr>
          <w:color w:val="231F20"/>
          <w:spacing w:val="-11"/>
        </w:rPr>
        <w:t> </w:t>
      </w:r>
      <w:r>
        <w:rPr>
          <w:color w:val="231F20"/>
          <w:spacing w:val="-2"/>
        </w:rPr>
        <w:t>отметить,</w:t>
      </w:r>
      <w:r>
        <w:rPr>
          <w:color w:val="231F20"/>
          <w:spacing w:val="-10"/>
        </w:rPr>
        <w:t> </w:t>
      </w:r>
      <w:r>
        <w:rPr>
          <w:color w:val="231F20"/>
          <w:spacing w:val="-2"/>
        </w:rPr>
        <w:t>что</w:t>
      </w:r>
      <w:r>
        <w:rPr>
          <w:color w:val="231F20"/>
          <w:spacing w:val="-11"/>
        </w:rPr>
        <w:t> </w:t>
      </w:r>
      <w:r>
        <w:rPr>
          <w:color w:val="231F20"/>
          <w:spacing w:val="-2"/>
        </w:rPr>
        <w:t>та</w:t>
      </w:r>
      <w:r>
        <w:rPr>
          <w:color w:val="231F20"/>
          <w:spacing w:val="-10"/>
        </w:rPr>
        <w:t> </w:t>
      </w:r>
      <w:r>
        <w:rPr>
          <w:color w:val="231F20"/>
          <w:spacing w:val="-2"/>
        </w:rPr>
        <w:t>значительная</w:t>
      </w:r>
      <w:r>
        <w:rPr>
          <w:color w:val="231F20"/>
          <w:spacing w:val="-11"/>
        </w:rPr>
        <w:t> </w:t>
      </w:r>
      <w:r>
        <w:rPr>
          <w:color w:val="231F20"/>
          <w:spacing w:val="-2"/>
        </w:rPr>
        <w:t>организационная</w:t>
      </w:r>
      <w:r>
        <w:rPr>
          <w:color w:val="231F20"/>
          <w:spacing w:val="-10"/>
        </w:rPr>
        <w:t> </w:t>
      </w:r>
      <w:r>
        <w:rPr>
          <w:color w:val="231F20"/>
          <w:spacing w:val="-2"/>
        </w:rPr>
        <w:t>и</w:t>
      </w:r>
      <w:r>
        <w:rPr>
          <w:color w:val="231F20"/>
          <w:spacing w:val="-11"/>
        </w:rPr>
        <w:t> </w:t>
      </w:r>
      <w:r>
        <w:rPr>
          <w:color w:val="231F20"/>
          <w:spacing w:val="-2"/>
        </w:rPr>
        <w:t>методическая</w:t>
      </w:r>
      <w:r>
        <w:rPr>
          <w:color w:val="231F20"/>
          <w:spacing w:val="-10"/>
        </w:rPr>
        <w:t> </w:t>
      </w:r>
      <w:r>
        <w:rPr>
          <w:color w:val="231F20"/>
          <w:spacing w:val="-2"/>
        </w:rPr>
        <w:t>работа,</w:t>
      </w:r>
      <w:r>
        <w:rPr>
          <w:color w:val="231F20"/>
          <w:spacing w:val="-11"/>
        </w:rPr>
        <w:t> </w:t>
      </w:r>
      <w:r>
        <w:rPr>
          <w:color w:val="231F20"/>
          <w:spacing w:val="-2"/>
        </w:rPr>
        <w:t>ко- </w:t>
      </w:r>
      <w:r>
        <w:rPr>
          <w:color w:val="231F20"/>
        </w:rPr>
        <w:t>торую</w:t>
      </w:r>
      <w:r>
        <w:rPr>
          <w:color w:val="231F20"/>
          <w:spacing w:val="-13"/>
        </w:rPr>
        <w:t> </w:t>
      </w:r>
      <w:r>
        <w:rPr>
          <w:color w:val="231F20"/>
        </w:rPr>
        <w:t>проводят</w:t>
      </w:r>
      <w:r>
        <w:rPr>
          <w:color w:val="231F20"/>
          <w:spacing w:val="-12"/>
        </w:rPr>
        <w:t> </w:t>
      </w:r>
      <w:r>
        <w:rPr>
          <w:color w:val="231F20"/>
        </w:rPr>
        <w:t>педагоги</w:t>
      </w:r>
      <w:r>
        <w:rPr>
          <w:color w:val="231F20"/>
          <w:spacing w:val="-13"/>
        </w:rPr>
        <w:t> </w:t>
      </w:r>
      <w:r>
        <w:rPr>
          <w:color w:val="231F20"/>
        </w:rPr>
        <w:t>школы</w:t>
      </w:r>
      <w:r>
        <w:rPr>
          <w:color w:val="231F20"/>
          <w:spacing w:val="-12"/>
        </w:rPr>
        <w:t> </w:t>
      </w:r>
      <w:r>
        <w:rPr>
          <w:color w:val="231F20"/>
        </w:rPr>
        <w:t>при</w:t>
      </w:r>
      <w:r>
        <w:rPr>
          <w:color w:val="231F20"/>
          <w:spacing w:val="-13"/>
        </w:rPr>
        <w:t> </w:t>
      </w:r>
      <w:r>
        <w:rPr>
          <w:color w:val="231F20"/>
        </w:rPr>
        <w:t>внедрении</w:t>
      </w:r>
      <w:r>
        <w:rPr>
          <w:color w:val="231F20"/>
          <w:spacing w:val="-12"/>
        </w:rPr>
        <w:t> </w:t>
      </w:r>
      <w:r>
        <w:rPr>
          <w:color w:val="231F20"/>
        </w:rPr>
        <w:t>личностно-ориентированного</w:t>
      </w:r>
      <w:r>
        <w:rPr>
          <w:color w:val="231F20"/>
          <w:spacing w:val="-13"/>
        </w:rPr>
        <w:t> </w:t>
      </w:r>
      <w:r>
        <w:rPr>
          <w:color w:val="231F20"/>
        </w:rPr>
        <w:t>обуче- </w:t>
      </w:r>
      <w:r>
        <w:rPr>
          <w:color w:val="231F20"/>
          <w:spacing w:val="-2"/>
        </w:rPr>
        <w:t>ния,</w:t>
      </w:r>
      <w:r>
        <w:rPr>
          <w:color w:val="231F20"/>
          <w:spacing w:val="-6"/>
        </w:rPr>
        <w:t> </w:t>
      </w:r>
      <w:r>
        <w:rPr>
          <w:color w:val="231F20"/>
          <w:spacing w:val="-2"/>
        </w:rPr>
        <w:t>технологий</w:t>
      </w:r>
      <w:r>
        <w:rPr>
          <w:color w:val="231F20"/>
          <w:spacing w:val="-6"/>
        </w:rPr>
        <w:t> </w:t>
      </w:r>
      <w:r>
        <w:rPr>
          <w:color w:val="231F20"/>
          <w:spacing w:val="-2"/>
        </w:rPr>
        <w:t>сотрудничества</w:t>
      </w:r>
      <w:r>
        <w:rPr>
          <w:color w:val="231F20"/>
          <w:spacing w:val="-6"/>
        </w:rPr>
        <w:t> </w:t>
      </w:r>
      <w:r>
        <w:rPr>
          <w:color w:val="231F20"/>
          <w:spacing w:val="-2"/>
        </w:rPr>
        <w:t>и</w:t>
      </w:r>
      <w:r>
        <w:rPr>
          <w:color w:val="231F20"/>
          <w:spacing w:val="-6"/>
        </w:rPr>
        <w:t> </w:t>
      </w:r>
      <w:r>
        <w:rPr>
          <w:color w:val="231F20"/>
          <w:spacing w:val="-2"/>
        </w:rPr>
        <w:t>групповой</w:t>
      </w:r>
      <w:r>
        <w:rPr>
          <w:color w:val="231F20"/>
          <w:spacing w:val="-6"/>
        </w:rPr>
        <w:t> </w:t>
      </w:r>
      <w:r>
        <w:rPr>
          <w:color w:val="231F20"/>
          <w:spacing w:val="-2"/>
        </w:rPr>
        <w:t>работы,</w:t>
      </w:r>
      <w:r>
        <w:rPr>
          <w:color w:val="231F20"/>
          <w:spacing w:val="-6"/>
        </w:rPr>
        <w:t> </w:t>
      </w:r>
      <w:r>
        <w:rPr>
          <w:color w:val="231F20"/>
          <w:spacing w:val="-2"/>
        </w:rPr>
        <w:t>является</w:t>
      </w:r>
      <w:r>
        <w:rPr>
          <w:color w:val="231F20"/>
          <w:spacing w:val="-6"/>
        </w:rPr>
        <w:t> </w:t>
      </w:r>
      <w:r>
        <w:rPr>
          <w:color w:val="231F20"/>
          <w:spacing w:val="-2"/>
        </w:rPr>
        <w:t>необходимой</w:t>
      </w:r>
      <w:r>
        <w:rPr>
          <w:color w:val="231F20"/>
          <w:spacing w:val="-6"/>
        </w:rPr>
        <w:t> </w:t>
      </w:r>
      <w:r>
        <w:rPr>
          <w:color w:val="231F20"/>
          <w:spacing w:val="-2"/>
        </w:rPr>
        <w:t>для</w:t>
      </w:r>
      <w:r>
        <w:rPr>
          <w:color w:val="231F20"/>
          <w:spacing w:val="-6"/>
        </w:rPr>
        <w:t> </w:t>
      </w:r>
      <w:r>
        <w:rPr>
          <w:color w:val="231F20"/>
          <w:spacing w:val="-2"/>
        </w:rPr>
        <w:t>этапа запуска</w:t>
      </w:r>
      <w:r>
        <w:rPr>
          <w:color w:val="231F20"/>
          <w:spacing w:val="-13"/>
        </w:rPr>
        <w:t> </w:t>
      </w:r>
      <w:r>
        <w:rPr>
          <w:color w:val="231F20"/>
          <w:spacing w:val="-2"/>
        </w:rPr>
        <w:t>подобного</w:t>
      </w:r>
      <w:r>
        <w:rPr>
          <w:color w:val="231F20"/>
          <w:spacing w:val="-10"/>
        </w:rPr>
        <w:t> </w:t>
      </w:r>
      <w:r>
        <w:rPr>
          <w:color w:val="231F20"/>
          <w:spacing w:val="-2"/>
        </w:rPr>
        <w:t>проекта.</w:t>
      </w:r>
      <w:r>
        <w:rPr>
          <w:color w:val="231F20"/>
          <w:spacing w:val="-11"/>
        </w:rPr>
        <w:t> </w:t>
      </w:r>
      <w:r>
        <w:rPr>
          <w:color w:val="231F20"/>
          <w:spacing w:val="-2"/>
        </w:rPr>
        <w:t>После</w:t>
      </w:r>
      <w:r>
        <w:rPr>
          <w:color w:val="231F20"/>
          <w:spacing w:val="-10"/>
        </w:rPr>
        <w:t> </w:t>
      </w:r>
      <w:r>
        <w:rPr>
          <w:color w:val="231F20"/>
          <w:spacing w:val="-2"/>
        </w:rPr>
        <w:t>того</w:t>
      </w:r>
      <w:r>
        <w:rPr>
          <w:color w:val="231F20"/>
          <w:spacing w:val="-11"/>
        </w:rPr>
        <w:t> </w:t>
      </w:r>
      <w:r>
        <w:rPr>
          <w:color w:val="231F20"/>
          <w:spacing w:val="-2"/>
        </w:rPr>
        <w:t>как</w:t>
      </w:r>
      <w:r>
        <w:rPr>
          <w:color w:val="231F20"/>
          <w:spacing w:val="-10"/>
        </w:rPr>
        <w:t> </w:t>
      </w:r>
      <w:r>
        <w:rPr>
          <w:color w:val="231F20"/>
          <w:spacing w:val="-2"/>
        </w:rPr>
        <w:t>все</w:t>
      </w:r>
      <w:r>
        <w:rPr>
          <w:color w:val="231F20"/>
          <w:spacing w:val="-11"/>
        </w:rPr>
        <w:t> </w:t>
      </w:r>
      <w:r>
        <w:rPr>
          <w:color w:val="231F20"/>
          <w:spacing w:val="-2"/>
        </w:rPr>
        <w:t>этапы</w:t>
      </w:r>
      <w:r>
        <w:rPr>
          <w:color w:val="231F20"/>
          <w:spacing w:val="-10"/>
        </w:rPr>
        <w:t> </w:t>
      </w:r>
      <w:r>
        <w:rPr>
          <w:color w:val="231F20"/>
          <w:spacing w:val="-2"/>
        </w:rPr>
        <w:t>будут</w:t>
      </w:r>
      <w:r>
        <w:rPr>
          <w:color w:val="231F20"/>
          <w:spacing w:val="-11"/>
        </w:rPr>
        <w:t> </w:t>
      </w:r>
      <w:r>
        <w:rPr>
          <w:color w:val="231F20"/>
          <w:spacing w:val="-2"/>
        </w:rPr>
        <w:t>пройдены,</w:t>
      </w:r>
      <w:r>
        <w:rPr>
          <w:color w:val="231F20"/>
          <w:spacing w:val="-10"/>
        </w:rPr>
        <w:t> </w:t>
      </w:r>
      <w:r>
        <w:rPr>
          <w:color w:val="231F20"/>
          <w:spacing w:val="-2"/>
        </w:rPr>
        <w:t>а</w:t>
      </w:r>
      <w:r>
        <w:rPr>
          <w:color w:val="231F20"/>
          <w:spacing w:val="-11"/>
        </w:rPr>
        <w:t> </w:t>
      </w:r>
      <w:r>
        <w:rPr>
          <w:color w:val="231F20"/>
          <w:spacing w:val="-2"/>
        </w:rPr>
        <w:t>результаты</w:t>
      </w:r>
      <w:r>
        <w:rPr>
          <w:color w:val="231F20"/>
          <w:spacing w:val="-10"/>
        </w:rPr>
        <w:t> </w:t>
      </w:r>
      <w:r>
        <w:rPr>
          <w:color w:val="231F20"/>
          <w:spacing w:val="-2"/>
        </w:rPr>
        <w:t>об- </w:t>
      </w:r>
      <w:r>
        <w:rPr>
          <w:color w:val="231F20"/>
          <w:spacing w:val="-4"/>
        </w:rPr>
        <w:t>суждены</w:t>
      </w:r>
      <w:r>
        <w:rPr>
          <w:color w:val="231F20"/>
          <w:spacing w:val="-5"/>
        </w:rPr>
        <w:t> </w:t>
      </w:r>
      <w:r>
        <w:rPr>
          <w:color w:val="231F20"/>
          <w:spacing w:val="-4"/>
        </w:rPr>
        <w:t>на</w:t>
      </w:r>
      <w:r>
        <w:rPr>
          <w:color w:val="231F20"/>
          <w:spacing w:val="-5"/>
        </w:rPr>
        <w:t> </w:t>
      </w:r>
      <w:r>
        <w:rPr>
          <w:color w:val="231F20"/>
          <w:spacing w:val="-4"/>
        </w:rPr>
        <w:t>различных</w:t>
      </w:r>
      <w:r>
        <w:rPr>
          <w:color w:val="231F20"/>
          <w:spacing w:val="-5"/>
        </w:rPr>
        <w:t> </w:t>
      </w:r>
      <w:r>
        <w:rPr>
          <w:color w:val="231F20"/>
          <w:spacing w:val="-4"/>
        </w:rPr>
        <w:t>уровнях</w:t>
      </w:r>
      <w:r>
        <w:rPr>
          <w:color w:val="231F20"/>
          <w:spacing w:val="-5"/>
        </w:rPr>
        <w:t> </w:t>
      </w:r>
      <w:r>
        <w:rPr>
          <w:color w:val="231F20"/>
          <w:spacing w:val="-4"/>
        </w:rPr>
        <w:t>всеми</w:t>
      </w:r>
      <w:r>
        <w:rPr>
          <w:color w:val="231F20"/>
          <w:spacing w:val="-5"/>
        </w:rPr>
        <w:t> </w:t>
      </w:r>
      <w:r>
        <w:rPr>
          <w:color w:val="231F20"/>
          <w:spacing w:val="-4"/>
        </w:rPr>
        <w:t>участниками</w:t>
      </w:r>
      <w:r>
        <w:rPr>
          <w:color w:val="231F20"/>
          <w:spacing w:val="-5"/>
        </w:rPr>
        <w:t> </w:t>
      </w:r>
      <w:r>
        <w:rPr>
          <w:color w:val="231F20"/>
          <w:spacing w:val="-4"/>
        </w:rPr>
        <w:t>образовательного</w:t>
      </w:r>
      <w:r>
        <w:rPr>
          <w:color w:val="231F20"/>
          <w:spacing w:val="-5"/>
        </w:rPr>
        <w:t> </w:t>
      </w:r>
      <w:r>
        <w:rPr>
          <w:color w:val="231F20"/>
          <w:spacing w:val="-4"/>
        </w:rPr>
        <w:t>процесса,</w:t>
      </w:r>
      <w:r>
        <w:rPr>
          <w:color w:val="231F20"/>
          <w:spacing w:val="-5"/>
        </w:rPr>
        <w:t> </w:t>
      </w:r>
      <w:r>
        <w:rPr>
          <w:color w:val="231F20"/>
          <w:spacing w:val="-4"/>
        </w:rPr>
        <w:t>данную педагогическую</w:t>
      </w:r>
      <w:r>
        <w:rPr>
          <w:color w:val="231F20"/>
          <w:spacing w:val="-6"/>
        </w:rPr>
        <w:t> </w:t>
      </w:r>
      <w:r>
        <w:rPr>
          <w:color w:val="231F20"/>
          <w:spacing w:val="-4"/>
        </w:rPr>
        <w:t>технологию</w:t>
      </w:r>
      <w:r>
        <w:rPr>
          <w:color w:val="231F20"/>
          <w:spacing w:val="-6"/>
        </w:rPr>
        <w:t> </w:t>
      </w:r>
      <w:r>
        <w:rPr>
          <w:color w:val="231F20"/>
          <w:spacing w:val="-4"/>
        </w:rPr>
        <w:t>можно</w:t>
      </w:r>
      <w:r>
        <w:rPr>
          <w:color w:val="231F20"/>
          <w:spacing w:val="-6"/>
        </w:rPr>
        <w:t> </w:t>
      </w:r>
      <w:r>
        <w:rPr>
          <w:color w:val="231F20"/>
          <w:spacing w:val="-4"/>
        </w:rPr>
        <w:t>будет</w:t>
      </w:r>
      <w:r>
        <w:rPr>
          <w:color w:val="231F20"/>
          <w:spacing w:val="-6"/>
        </w:rPr>
        <w:t> </w:t>
      </w:r>
      <w:r>
        <w:rPr>
          <w:color w:val="231F20"/>
          <w:spacing w:val="-4"/>
        </w:rPr>
        <w:t>распространить</w:t>
      </w:r>
      <w:r>
        <w:rPr>
          <w:color w:val="231F20"/>
          <w:spacing w:val="-6"/>
        </w:rPr>
        <w:t> </w:t>
      </w:r>
      <w:r>
        <w:rPr>
          <w:color w:val="231F20"/>
          <w:spacing w:val="-4"/>
        </w:rPr>
        <w:t>среди</w:t>
      </w:r>
      <w:r>
        <w:rPr>
          <w:color w:val="231F20"/>
          <w:spacing w:val="-6"/>
        </w:rPr>
        <w:t> </w:t>
      </w:r>
      <w:r>
        <w:rPr>
          <w:color w:val="231F20"/>
          <w:spacing w:val="-4"/>
        </w:rPr>
        <w:t>тех</w:t>
      </w:r>
      <w:r>
        <w:rPr>
          <w:color w:val="231F20"/>
          <w:spacing w:val="-6"/>
        </w:rPr>
        <w:t> </w:t>
      </w:r>
      <w:r>
        <w:rPr>
          <w:color w:val="231F20"/>
          <w:spacing w:val="-4"/>
        </w:rPr>
        <w:t>педагогов,</w:t>
      </w:r>
      <w:r>
        <w:rPr>
          <w:color w:val="231F20"/>
          <w:spacing w:val="-6"/>
        </w:rPr>
        <w:t> </w:t>
      </w:r>
      <w:r>
        <w:rPr>
          <w:color w:val="231F20"/>
          <w:spacing w:val="-4"/>
        </w:rPr>
        <w:t>которые </w:t>
      </w:r>
      <w:r>
        <w:rPr>
          <w:color w:val="231F20"/>
        </w:rPr>
        <w:t>не</w:t>
      </w:r>
      <w:r>
        <w:rPr>
          <w:color w:val="231F20"/>
          <w:spacing w:val="-13"/>
        </w:rPr>
        <w:t> </w:t>
      </w:r>
      <w:r>
        <w:rPr>
          <w:color w:val="231F20"/>
        </w:rPr>
        <w:t>получили</w:t>
      </w:r>
      <w:r>
        <w:rPr>
          <w:color w:val="231F20"/>
          <w:spacing w:val="-12"/>
        </w:rPr>
        <w:t> </w:t>
      </w:r>
      <w:r>
        <w:rPr>
          <w:color w:val="231F20"/>
        </w:rPr>
        <w:t>опыта</w:t>
      </w:r>
      <w:r>
        <w:rPr>
          <w:color w:val="231F20"/>
          <w:spacing w:val="-13"/>
        </w:rPr>
        <w:t> </w:t>
      </w:r>
      <w:r>
        <w:rPr>
          <w:color w:val="231F20"/>
        </w:rPr>
        <w:t>проведения</w:t>
      </w:r>
      <w:r>
        <w:rPr>
          <w:color w:val="231F20"/>
          <w:spacing w:val="-12"/>
        </w:rPr>
        <w:t> </w:t>
      </w:r>
      <w:r>
        <w:rPr>
          <w:color w:val="231F20"/>
        </w:rPr>
        <w:t>уроков</w:t>
      </w:r>
      <w:r>
        <w:rPr>
          <w:color w:val="231F20"/>
          <w:spacing w:val="-13"/>
        </w:rPr>
        <w:t> </w:t>
      </w:r>
      <w:r>
        <w:rPr>
          <w:color w:val="231F20"/>
        </w:rPr>
        <w:t>по</w:t>
      </w:r>
      <w:r>
        <w:rPr>
          <w:color w:val="231F20"/>
          <w:spacing w:val="-12"/>
        </w:rPr>
        <w:t> </w:t>
      </w:r>
      <w:r>
        <w:rPr>
          <w:color w:val="231F20"/>
        </w:rPr>
        <w:t>технологии</w:t>
      </w:r>
      <w:r>
        <w:rPr>
          <w:color w:val="231F20"/>
          <w:spacing w:val="-13"/>
        </w:rPr>
        <w:t> </w:t>
      </w:r>
      <w:r>
        <w:rPr>
          <w:color w:val="231F20"/>
        </w:rPr>
        <w:t>обучения</w:t>
      </w:r>
      <w:r>
        <w:rPr>
          <w:color w:val="231F20"/>
          <w:spacing w:val="-12"/>
        </w:rPr>
        <w:t> </w:t>
      </w:r>
      <w:r>
        <w:rPr>
          <w:color w:val="231F20"/>
        </w:rPr>
        <w:t>в</w:t>
      </w:r>
      <w:r>
        <w:rPr>
          <w:color w:val="231F20"/>
          <w:spacing w:val="-13"/>
        </w:rPr>
        <w:t> </w:t>
      </w:r>
      <w:r>
        <w:rPr>
          <w:color w:val="231F20"/>
        </w:rPr>
        <w:t>сотрудничестве.</w:t>
      </w:r>
    </w:p>
    <w:p>
      <w:pPr>
        <w:pStyle w:val="BodyText"/>
        <w:spacing w:line="235" w:lineRule="auto" w:before="4"/>
      </w:pPr>
      <w:r>
        <w:rPr>
          <w:color w:val="231F20"/>
        </w:rPr>
        <w:t>Несмотря</w:t>
      </w:r>
      <w:r>
        <w:rPr>
          <w:color w:val="231F20"/>
          <w:spacing w:val="-5"/>
        </w:rPr>
        <w:t> </w:t>
      </w:r>
      <w:r>
        <w:rPr>
          <w:color w:val="231F20"/>
        </w:rPr>
        <w:t>на</w:t>
      </w:r>
      <w:r>
        <w:rPr>
          <w:color w:val="231F20"/>
          <w:spacing w:val="-5"/>
        </w:rPr>
        <w:t> </w:t>
      </w:r>
      <w:r>
        <w:rPr>
          <w:color w:val="231F20"/>
        </w:rPr>
        <w:t>довольно</w:t>
      </w:r>
      <w:r>
        <w:rPr>
          <w:color w:val="231F20"/>
          <w:spacing w:val="-5"/>
        </w:rPr>
        <w:t> </w:t>
      </w:r>
      <w:r>
        <w:rPr>
          <w:color w:val="231F20"/>
        </w:rPr>
        <w:t>длительный</w:t>
      </w:r>
      <w:r>
        <w:rPr>
          <w:color w:val="231F20"/>
          <w:spacing w:val="-5"/>
        </w:rPr>
        <w:t> </w:t>
      </w:r>
      <w:r>
        <w:rPr>
          <w:color w:val="231F20"/>
        </w:rPr>
        <w:t>период</w:t>
      </w:r>
      <w:r>
        <w:rPr>
          <w:color w:val="231F20"/>
          <w:spacing w:val="-5"/>
        </w:rPr>
        <w:t> </w:t>
      </w:r>
      <w:r>
        <w:rPr>
          <w:color w:val="231F20"/>
        </w:rPr>
        <w:t>использования</w:t>
      </w:r>
      <w:r>
        <w:rPr>
          <w:color w:val="231F20"/>
          <w:spacing w:val="-5"/>
        </w:rPr>
        <w:t> </w:t>
      </w:r>
      <w:r>
        <w:rPr>
          <w:color w:val="231F20"/>
        </w:rPr>
        <w:t>данной</w:t>
      </w:r>
      <w:r>
        <w:rPr>
          <w:color w:val="231F20"/>
          <w:spacing w:val="-5"/>
        </w:rPr>
        <w:t> </w:t>
      </w:r>
      <w:r>
        <w:rPr>
          <w:color w:val="231F20"/>
        </w:rPr>
        <w:t>технологии</w:t>
      </w:r>
      <w:r>
        <w:rPr>
          <w:color w:val="231F20"/>
          <w:spacing w:val="-5"/>
        </w:rPr>
        <w:t> </w:t>
      </w:r>
      <w:r>
        <w:rPr>
          <w:color w:val="231F20"/>
        </w:rPr>
        <w:t>как в</w:t>
      </w:r>
      <w:r>
        <w:rPr>
          <w:color w:val="231F20"/>
          <w:spacing w:val="-2"/>
        </w:rPr>
        <w:t> </w:t>
      </w:r>
      <w:r>
        <w:rPr>
          <w:color w:val="231F20"/>
        </w:rPr>
        <w:t>нашей</w:t>
      </w:r>
      <w:r>
        <w:rPr>
          <w:color w:val="231F20"/>
          <w:spacing w:val="-2"/>
        </w:rPr>
        <w:t> </w:t>
      </w:r>
      <w:r>
        <w:rPr>
          <w:color w:val="231F20"/>
        </w:rPr>
        <w:t>стране,</w:t>
      </w:r>
      <w:r>
        <w:rPr>
          <w:color w:val="231F20"/>
          <w:spacing w:val="-2"/>
        </w:rPr>
        <w:t> </w:t>
      </w:r>
      <w:r>
        <w:rPr>
          <w:color w:val="231F20"/>
        </w:rPr>
        <w:t>так</w:t>
      </w:r>
      <w:r>
        <w:rPr>
          <w:color w:val="231F20"/>
          <w:spacing w:val="-2"/>
        </w:rPr>
        <w:t> </w:t>
      </w:r>
      <w:r>
        <w:rPr>
          <w:color w:val="231F20"/>
        </w:rPr>
        <w:t>и</w:t>
      </w:r>
      <w:r>
        <w:rPr>
          <w:color w:val="231F20"/>
          <w:spacing w:val="-2"/>
        </w:rPr>
        <w:t> </w:t>
      </w:r>
      <w:r>
        <w:rPr>
          <w:color w:val="231F20"/>
        </w:rPr>
        <w:t>за</w:t>
      </w:r>
      <w:r>
        <w:rPr>
          <w:color w:val="231F20"/>
          <w:spacing w:val="-2"/>
        </w:rPr>
        <w:t> </w:t>
      </w:r>
      <w:r>
        <w:rPr>
          <w:color w:val="231F20"/>
        </w:rPr>
        <w:t>рубежом,</w:t>
      </w:r>
      <w:r>
        <w:rPr>
          <w:color w:val="231F20"/>
          <w:spacing w:val="-2"/>
        </w:rPr>
        <w:t> </w:t>
      </w:r>
      <w:r>
        <w:rPr>
          <w:color w:val="231F20"/>
        </w:rPr>
        <w:t>ее</w:t>
      </w:r>
      <w:r>
        <w:rPr>
          <w:color w:val="231F20"/>
          <w:spacing w:val="-2"/>
        </w:rPr>
        <w:t> </w:t>
      </w:r>
      <w:r>
        <w:rPr>
          <w:color w:val="231F20"/>
        </w:rPr>
        <w:t>включение</w:t>
      </w:r>
      <w:r>
        <w:rPr>
          <w:color w:val="231F20"/>
          <w:spacing w:val="-2"/>
        </w:rPr>
        <w:t> </w:t>
      </w:r>
      <w:r>
        <w:rPr>
          <w:color w:val="231F20"/>
        </w:rPr>
        <w:t>в</w:t>
      </w:r>
      <w:r>
        <w:rPr>
          <w:color w:val="231F20"/>
          <w:spacing w:val="-2"/>
        </w:rPr>
        <w:t> </w:t>
      </w:r>
      <w:r>
        <w:rPr>
          <w:color w:val="231F20"/>
        </w:rPr>
        <w:t>жизнь</w:t>
      </w:r>
      <w:r>
        <w:rPr>
          <w:color w:val="231F20"/>
          <w:spacing w:val="-2"/>
        </w:rPr>
        <w:t> </w:t>
      </w:r>
      <w:r>
        <w:rPr>
          <w:color w:val="231F20"/>
        </w:rPr>
        <w:t>современной</w:t>
      </w:r>
      <w:r>
        <w:rPr>
          <w:color w:val="231F20"/>
          <w:spacing w:val="-2"/>
        </w:rPr>
        <w:t> </w:t>
      </w:r>
      <w:r>
        <w:rPr>
          <w:color w:val="231F20"/>
        </w:rPr>
        <w:t>школы</w:t>
      </w:r>
      <w:r>
        <w:rPr>
          <w:color w:val="231F20"/>
          <w:spacing w:val="-2"/>
        </w:rPr>
        <w:t> </w:t>
      </w:r>
      <w:r>
        <w:rPr>
          <w:color w:val="231F20"/>
        </w:rPr>
        <w:t>проис- ходит крайне медленно, поскольку (как было сказано выше) она требует довольно </w:t>
      </w:r>
      <w:r>
        <w:rPr>
          <w:color w:val="231F20"/>
          <w:spacing w:val="-2"/>
        </w:rPr>
        <w:t>тщательной предварительной проработки и подготовки как учителей, так и учащихся. </w:t>
      </w:r>
      <w:r>
        <w:rPr>
          <w:color w:val="231F20"/>
        </w:rPr>
        <w:t>В то же время эта технология продолжает оставаться исключительно востребован- ной</w:t>
      </w:r>
      <w:r>
        <w:rPr>
          <w:color w:val="231F20"/>
          <w:spacing w:val="-8"/>
        </w:rPr>
        <w:t> </w:t>
      </w:r>
      <w:r>
        <w:rPr>
          <w:color w:val="231F20"/>
        </w:rPr>
        <w:t>и</w:t>
      </w:r>
      <w:r>
        <w:rPr>
          <w:color w:val="231F20"/>
          <w:spacing w:val="-8"/>
        </w:rPr>
        <w:t> </w:t>
      </w:r>
      <w:r>
        <w:rPr>
          <w:color w:val="231F20"/>
        </w:rPr>
        <w:t>отвечающей</w:t>
      </w:r>
      <w:r>
        <w:rPr>
          <w:color w:val="231F20"/>
          <w:spacing w:val="-8"/>
        </w:rPr>
        <w:t> </w:t>
      </w:r>
      <w:r>
        <w:rPr>
          <w:color w:val="231F20"/>
        </w:rPr>
        <w:t>задачам</w:t>
      </w:r>
      <w:r>
        <w:rPr>
          <w:color w:val="231F20"/>
          <w:spacing w:val="-8"/>
        </w:rPr>
        <w:t> </w:t>
      </w:r>
      <w:r>
        <w:rPr>
          <w:color w:val="231F20"/>
        </w:rPr>
        <w:t>развития</w:t>
      </w:r>
      <w:r>
        <w:rPr>
          <w:color w:val="231F20"/>
          <w:spacing w:val="-8"/>
        </w:rPr>
        <w:t> </w:t>
      </w:r>
      <w:r>
        <w:rPr>
          <w:color w:val="231F20"/>
        </w:rPr>
        <w:t>современных</w:t>
      </w:r>
      <w:r>
        <w:rPr>
          <w:color w:val="231F20"/>
          <w:spacing w:val="-8"/>
        </w:rPr>
        <w:t> </w:t>
      </w:r>
      <w:r>
        <w:rPr>
          <w:color w:val="231F20"/>
        </w:rPr>
        <w:t>образовательных</w:t>
      </w:r>
      <w:r>
        <w:rPr>
          <w:color w:val="231F20"/>
          <w:spacing w:val="-8"/>
        </w:rPr>
        <w:t> </w:t>
      </w:r>
      <w:r>
        <w:rPr>
          <w:color w:val="231F20"/>
        </w:rPr>
        <w:t>систем.</w:t>
      </w:r>
      <w:r>
        <w:rPr>
          <w:color w:val="231F20"/>
          <w:spacing w:val="-8"/>
        </w:rPr>
        <w:t> </w:t>
      </w:r>
      <w:r>
        <w:rPr>
          <w:color w:val="231F20"/>
        </w:rPr>
        <w:t>Поэтому педагоги</w:t>
      </w:r>
      <w:r>
        <w:rPr>
          <w:color w:val="231F20"/>
          <w:spacing w:val="-4"/>
        </w:rPr>
        <w:t> </w:t>
      </w:r>
      <w:r>
        <w:rPr>
          <w:color w:val="231F20"/>
        </w:rPr>
        <w:t>и</w:t>
      </w:r>
      <w:r>
        <w:rPr>
          <w:color w:val="231F20"/>
          <w:spacing w:val="-4"/>
        </w:rPr>
        <w:t> </w:t>
      </w:r>
      <w:r>
        <w:rPr>
          <w:color w:val="231F20"/>
        </w:rPr>
        <w:t>школы,</w:t>
      </w:r>
      <w:r>
        <w:rPr>
          <w:color w:val="231F20"/>
          <w:spacing w:val="-4"/>
        </w:rPr>
        <w:t> </w:t>
      </w:r>
      <w:r>
        <w:rPr>
          <w:color w:val="231F20"/>
        </w:rPr>
        <w:t>которые</w:t>
      </w:r>
      <w:r>
        <w:rPr>
          <w:color w:val="231F20"/>
          <w:spacing w:val="-4"/>
        </w:rPr>
        <w:t> </w:t>
      </w:r>
      <w:r>
        <w:rPr>
          <w:color w:val="231F20"/>
        </w:rPr>
        <w:t>включаются</w:t>
      </w:r>
      <w:r>
        <w:rPr>
          <w:color w:val="231F20"/>
          <w:spacing w:val="-4"/>
        </w:rPr>
        <w:t> </w:t>
      </w:r>
      <w:r>
        <w:rPr>
          <w:color w:val="231F20"/>
        </w:rPr>
        <w:t>в</w:t>
      </w:r>
      <w:r>
        <w:rPr>
          <w:color w:val="231F20"/>
          <w:spacing w:val="-4"/>
        </w:rPr>
        <w:t> </w:t>
      </w:r>
      <w:r>
        <w:rPr>
          <w:color w:val="231F20"/>
        </w:rPr>
        <w:t>работу</w:t>
      </w:r>
      <w:r>
        <w:rPr>
          <w:color w:val="231F20"/>
          <w:spacing w:val="-4"/>
        </w:rPr>
        <w:t> </w:t>
      </w:r>
      <w:r>
        <w:rPr>
          <w:color w:val="231F20"/>
        </w:rPr>
        <w:t>с</w:t>
      </w:r>
      <w:r>
        <w:rPr>
          <w:color w:val="231F20"/>
          <w:spacing w:val="-4"/>
        </w:rPr>
        <w:t> </w:t>
      </w:r>
      <w:r>
        <w:rPr>
          <w:color w:val="231F20"/>
        </w:rPr>
        <w:t>применением</w:t>
      </w:r>
      <w:r>
        <w:rPr>
          <w:color w:val="231F20"/>
          <w:spacing w:val="-4"/>
        </w:rPr>
        <w:t> </w:t>
      </w:r>
      <w:r>
        <w:rPr>
          <w:color w:val="231F20"/>
        </w:rPr>
        <w:t>данной</w:t>
      </w:r>
      <w:r>
        <w:rPr>
          <w:color w:val="231F20"/>
          <w:spacing w:val="-4"/>
        </w:rPr>
        <w:t> </w:t>
      </w:r>
      <w:r>
        <w:rPr>
          <w:color w:val="231F20"/>
        </w:rPr>
        <w:t>технологии обучения, могут говорить об участии в инновационной деятельности.</w:t>
      </w:r>
    </w:p>
    <w:p>
      <w:pPr>
        <w:pStyle w:val="BodyText"/>
        <w:spacing w:line="235" w:lineRule="auto" w:before="5"/>
        <w:ind w:right="138"/>
      </w:pPr>
      <w:r>
        <w:rPr>
          <w:color w:val="231F20"/>
          <w:spacing w:val="-4"/>
        </w:rPr>
        <w:t>Педагогический</w:t>
      </w:r>
      <w:r>
        <w:rPr>
          <w:color w:val="231F20"/>
          <w:spacing w:val="-9"/>
        </w:rPr>
        <w:t> </w:t>
      </w:r>
      <w:r>
        <w:rPr>
          <w:color w:val="231F20"/>
          <w:spacing w:val="-4"/>
        </w:rPr>
        <w:t>компонент</w:t>
      </w:r>
      <w:r>
        <w:rPr>
          <w:color w:val="231F20"/>
          <w:spacing w:val="-8"/>
        </w:rPr>
        <w:t> </w:t>
      </w:r>
      <w:r>
        <w:rPr>
          <w:color w:val="231F20"/>
          <w:spacing w:val="-4"/>
        </w:rPr>
        <w:t>этой</w:t>
      </w:r>
      <w:r>
        <w:rPr>
          <w:color w:val="231F20"/>
          <w:spacing w:val="-9"/>
        </w:rPr>
        <w:t> </w:t>
      </w:r>
      <w:r>
        <w:rPr>
          <w:color w:val="231F20"/>
          <w:spacing w:val="-4"/>
        </w:rPr>
        <w:t>инновационной</w:t>
      </w:r>
      <w:r>
        <w:rPr>
          <w:color w:val="231F20"/>
          <w:spacing w:val="-8"/>
        </w:rPr>
        <w:t> </w:t>
      </w:r>
      <w:r>
        <w:rPr>
          <w:color w:val="231F20"/>
          <w:spacing w:val="-4"/>
        </w:rPr>
        <w:t>деятельности</w:t>
      </w:r>
      <w:r>
        <w:rPr>
          <w:color w:val="231F20"/>
          <w:spacing w:val="-9"/>
        </w:rPr>
        <w:t> </w:t>
      </w:r>
      <w:r>
        <w:rPr>
          <w:color w:val="231F20"/>
          <w:spacing w:val="-4"/>
        </w:rPr>
        <w:t>может</w:t>
      </w:r>
      <w:r>
        <w:rPr>
          <w:color w:val="231F20"/>
          <w:spacing w:val="-8"/>
        </w:rPr>
        <w:t> </w:t>
      </w:r>
      <w:r>
        <w:rPr>
          <w:color w:val="231F20"/>
          <w:spacing w:val="-4"/>
        </w:rPr>
        <w:t>быть</w:t>
      </w:r>
      <w:r>
        <w:rPr>
          <w:color w:val="231F20"/>
          <w:spacing w:val="-9"/>
        </w:rPr>
        <w:t> </w:t>
      </w:r>
      <w:r>
        <w:rPr>
          <w:color w:val="231F20"/>
          <w:spacing w:val="-4"/>
        </w:rPr>
        <w:t>дополнен технологическим (инструментальным) компонентом, поскольку технологии обучения в </w:t>
      </w:r>
      <w:r>
        <w:rPr>
          <w:color w:val="231F20"/>
        </w:rPr>
        <w:t>сотрудничестве могут использоваться как в очном, так и в дистанционном или циф- </w:t>
      </w:r>
      <w:r>
        <w:rPr>
          <w:color w:val="231F20"/>
          <w:spacing w:val="-2"/>
        </w:rPr>
        <w:t>ровом</w:t>
      </w:r>
      <w:r>
        <w:rPr>
          <w:color w:val="231F20"/>
          <w:spacing w:val="-7"/>
        </w:rPr>
        <w:t> </w:t>
      </w:r>
      <w:r>
        <w:rPr>
          <w:color w:val="231F20"/>
          <w:spacing w:val="-2"/>
        </w:rPr>
        <w:t>(электронном)</w:t>
      </w:r>
      <w:r>
        <w:rPr>
          <w:color w:val="231F20"/>
          <w:spacing w:val="-7"/>
        </w:rPr>
        <w:t> </w:t>
      </w:r>
      <w:r>
        <w:rPr>
          <w:color w:val="231F20"/>
          <w:spacing w:val="-2"/>
        </w:rPr>
        <w:t>обучении.</w:t>
      </w:r>
      <w:r>
        <w:rPr>
          <w:color w:val="231F20"/>
          <w:spacing w:val="-7"/>
        </w:rPr>
        <w:t> </w:t>
      </w:r>
      <w:r>
        <w:rPr>
          <w:color w:val="231F20"/>
          <w:spacing w:val="-2"/>
        </w:rPr>
        <w:t>То</w:t>
      </w:r>
      <w:r>
        <w:rPr>
          <w:color w:val="231F20"/>
          <w:spacing w:val="-7"/>
        </w:rPr>
        <w:t> </w:t>
      </w:r>
      <w:r>
        <w:rPr>
          <w:color w:val="231F20"/>
          <w:spacing w:val="-2"/>
        </w:rPr>
        <w:t>есть</w:t>
      </w:r>
      <w:r>
        <w:rPr>
          <w:color w:val="231F20"/>
          <w:spacing w:val="-7"/>
        </w:rPr>
        <w:t> </w:t>
      </w:r>
      <w:r>
        <w:rPr>
          <w:color w:val="231F20"/>
          <w:spacing w:val="-2"/>
        </w:rPr>
        <w:t>каждый</w:t>
      </w:r>
      <w:r>
        <w:rPr>
          <w:color w:val="231F20"/>
          <w:spacing w:val="-7"/>
        </w:rPr>
        <w:t> </w:t>
      </w:r>
      <w:r>
        <w:rPr>
          <w:color w:val="231F20"/>
          <w:spacing w:val="-2"/>
        </w:rPr>
        <w:t>педагог,</w:t>
      </w:r>
      <w:r>
        <w:rPr>
          <w:color w:val="231F20"/>
          <w:spacing w:val="-7"/>
        </w:rPr>
        <w:t> </w:t>
      </w:r>
      <w:r>
        <w:rPr>
          <w:color w:val="231F20"/>
          <w:spacing w:val="-2"/>
        </w:rPr>
        <w:t>который</w:t>
      </w:r>
      <w:r>
        <w:rPr>
          <w:color w:val="231F20"/>
          <w:spacing w:val="-7"/>
        </w:rPr>
        <w:t> </w:t>
      </w:r>
      <w:r>
        <w:rPr>
          <w:color w:val="231F20"/>
          <w:spacing w:val="-2"/>
        </w:rPr>
        <w:t>использует</w:t>
      </w:r>
      <w:r>
        <w:rPr>
          <w:color w:val="231F20"/>
          <w:spacing w:val="-7"/>
        </w:rPr>
        <w:t> </w:t>
      </w:r>
      <w:r>
        <w:rPr>
          <w:color w:val="231F20"/>
          <w:spacing w:val="-2"/>
        </w:rPr>
        <w:t>техноло- гии</w:t>
      </w:r>
      <w:r>
        <w:rPr>
          <w:color w:val="231F20"/>
          <w:spacing w:val="-8"/>
        </w:rPr>
        <w:t> </w:t>
      </w:r>
      <w:r>
        <w:rPr>
          <w:color w:val="231F20"/>
          <w:spacing w:val="-2"/>
        </w:rPr>
        <w:t>обучения</w:t>
      </w:r>
      <w:r>
        <w:rPr>
          <w:color w:val="231F20"/>
          <w:spacing w:val="-9"/>
        </w:rPr>
        <w:t> </w:t>
      </w:r>
      <w:r>
        <w:rPr>
          <w:color w:val="231F20"/>
          <w:spacing w:val="-2"/>
        </w:rPr>
        <w:t>в</w:t>
      </w:r>
      <w:r>
        <w:rPr>
          <w:color w:val="231F20"/>
          <w:spacing w:val="-8"/>
        </w:rPr>
        <w:t> </w:t>
      </w:r>
      <w:r>
        <w:rPr>
          <w:color w:val="231F20"/>
          <w:spacing w:val="-2"/>
        </w:rPr>
        <w:t>сотрудничестве</w:t>
      </w:r>
      <w:r>
        <w:rPr>
          <w:color w:val="231F20"/>
          <w:spacing w:val="-9"/>
        </w:rPr>
        <w:t> </w:t>
      </w:r>
      <w:r>
        <w:rPr>
          <w:color w:val="231F20"/>
          <w:spacing w:val="-2"/>
        </w:rPr>
        <w:t>на</w:t>
      </w:r>
      <w:r>
        <w:rPr>
          <w:color w:val="231F20"/>
          <w:spacing w:val="-8"/>
        </w:rPr>
        <w:t> </w:t>
      </w:r>
      <w:r>
        <w:rPr>
          <w:color w:val="231F20"/>
          <w:spacing w:val="-2"/>
        </w:rPr>
        <w:t>своих</w:t>
      </w:r>
      <w:r>
        <w:rPr>
          <w:color w:val="231F20"/>
          <w:spacing w:val="-9"/>
        </w:rPr>
        <w:t> </w:t>
      </w:r>
      <w:r>
        <w:rPr>
          <w:color w:val="231F20"/>
          <w:spacing w:val="-2"/>
        </w:rPr>
        <w:t>уроках,</w:t>
      </w:r>
      <w:r>
        <w:rPr>
          <w:color w:val="231F20"/>
          <w:spacing w:val="-8"/>
        </w:rPr>
        <w:t> </w:t>
      </w:r>
      <w:r>
        <w:rPr>
          <w:color w:val="231F20"/>
          <w:spacing w:val="-2"/>
        </w:rPr>
        <w:t>по</w:t>
      </w:r>
      <w:r>
        <w:rPr>
          <w:color w:val="231F20"/>
          <w:spacing w:val="-9"/>
        </w:rPr>
        <w:t> </w:t>
      </w:r>
      <w:r>
        <w:rPr>
          <w:color w:val="231F20"/>
          <w:spacing w:val="-2"/>
        </w:rPr>
        <w:t>сути</w:t>
      </w:r>
      <w:r>
        <w:rPr>
          <w:color w:val="231F20"/>
          <w:spacing w:val="-8"/>
        </w:rPr>
        <w:t> </w:t>
      </w:r>
      <w:r>
        <w:rPr>
          <w:color w:val="231F20"/>
          <w:spacing w:val="-2"/>
        </w:rPr>
        <w:t>является</w:t>
      </w:r>
      <w:r>
        <w:rPr>
          <w:color w:val="231F20"/>
          <w:spacing w:val="-9"/>
        </w:rPr>
        <w:t> </w:t>
      </w:r>
      <w:r>
        <w:rPr>
          <w:color w:val="231F20"/>
          <w:spacing w:val="-2"/>
        </w:rPr>
        <w:t>инноватором.</w:t>
      </w:r>
      <w:r>
        <w:rPr>
          <w:color w:val="231F20"/>
          <w:spacing w:val="-8"/>
        </w:rPr>
        <w:t> </w:t>
      </w:r>
      <w:r>
        <w:rPr>
          <w:color w:val="231F20"/>
          <w:spacing w:val="-2"/>
        </w:rPr>
        <w:t>Задача </w:t>
      </w:r>
      <w:r>
        <w:rPr>
          <w:color w:val="231F20"/>
          <w:spacing w:val="-4"/>
        </w:rPr>
        <w:t>школьной администрации – поддержать такого учителя, повысить его мотивацию зани- </w:t>
      </w:r>
      <w:r>
        <w:rPr>
          <w:color w:val="231F20"/>
        </w:rPr>
        <w:t>маться</w:t>
      </w:r>
      <w:r>
        <w:rPr>
          <w:color w:val="231F20"/>
          <w:spacing w:val="-10"/>
        </w:rPr>
        <w:t> </w:t>
      </w:r>
      <w:r>
        <w:rPr>
          <w:color w:val="231F20"/>
        </w:rPr>
        <w:t>подобной</w:t>
      </w:r>
      <w:r>
        <w:rPr>
          <w:color w:val="231F20"/>
          <w:spacing w:val="-10"/>
        </w:rPr>
        <w:t> </w:t>
      </w:r>
      <w:r>
        <w:rPr>
          <w:color w:val="231F20"/>
        </w:rPr>
        <w:t>инновационной</w:t>
      </w:r>
      <w:r>
        <w:rPr>
          <w:color w:val="231F20"/>
          <w:spacing w:val="-10"/>
        </w:rPr>
        <w:t> </w:t>
      </w:r>
      <w:r>
        <w:rPr>
          <w:color w:val="231F20"/>
        </w:rPr>
        <w:t>деятельностью</w:t>
      </w:r>
      <w:r>
        <w:rPr>
          <w:color w:val="231F20"/>
          <w:spacing w:val="-10"/>
        </w:rPr>
        <w:t> </w:t>
      </w:r>
      <w:r>
        <w:rPr>
          <w:color w:val="231F20"/>
        </w:rPr>
        <w:t>и</w:t>
      </w:r>
      <w:r>
        <w:rPr>
          <w:color w:val="231F20"/>
          <w:spacing w:val="-10"/>
        </w:rPr>
        <w:t> </w:t>
      </w:r>
      <w:r>
        <w:rPr>
          <w:color w:val="231F20"/>
        </w:rPr>
        <w:t>поощрить</w:t>
      </w:r>
      <w:r>
        <w:rPr>
          <w:color w:val="231F20"/>
          <w:spacing w:val="-10"/>
        </w:rPr>
        <w:t> </w:t>
      </w:r>
      <w:r>
        <w:rPr>
          <w:color w:val="231F20"/>
        </w:rPr>
        <w:t>его.</w:t>
      </w:r>
      <w:r>
        <w:rPr>
          <w:color w:val="231F20"/>
          <w:spacing w:val="-10"/>
        </w:rPr>
        <w:t> </w:t>
      </w:r>
      <w:r>
        <w:rPr>
          <w:color w:val="231F20"/>
        </w:rPr>
        <w:t>Поощрением</w:t>
      </w:r>
      <w:r>
        <w:rPr>
          <w:color w:val="231F20"/>
          <w:spacing w:val="-10"/>
        </w:rPr>
        <w:t> </w:t>
      </w:r>
      <w:r>
        <w:rPr>
          <w:color w:val="231F20"/>
        </w:rPr>
        <w:t>в</w:t>
      </w:r>
      <w:r>
        <w:rPr>
          <w:color w:val="231F20"/>
          <w:spacing w:val="-10"/>
        </w:rPr>
        <w:t> </w:t>
      </w:r>
      <w:r>
        <w:rPr>
          <w:color w:val="231F20"/>
        </w:rPr>
        <w:t>дан- ном</w:t>
      </w:r>
      <w:r>
        <w:rPr>
          <w:color w:val="231F20"/>
          <w:spacing w:val="-11"/>
        </w:rPr>
        <w:t> </w:t>
      </w:r>
      <w:r>
        <w:rPr>
          <w:color w:val="231F20"/>
        </w:rPr>
        <w:t>случае</w:t>
      </w:r>
      <w:r>
        <w:rPr>
          <w:color w:val="231F20"/>
          <w:spacing w:val="-11"/>
        </w:rPr>
        <w:t> </w:t>
      </w:r>
      <w:r>
        <w:rPr>
          <w:color w:val="231F20"/>
        </w:rPr>
        <w:t>может</w:t>
      </w:r>
      <w:r>
        <w:rPr>
          <w:color w:val="231F20"/>
          <w:spacing w:val="-11"/>
        </w:rPr>
        <w:t> </w:t>
      </w:r>
      <w:r>
        <w:rPr>
          <w:color w:val="231F20"/>
        </w:rPr>
        <w:t>быть</w:t>
      </w:r>
      <w:r>
        <w:rPr>
          <w:color w:val="231F20"/>
          <w:spacing w:val="-11"/>
        </w:rPr>
        <w:t> </w:t>
      </w:r>
      <w:r>
        <w:rPr>
          <w:color w:val="231F20"/>
        </w:rPr>
        <w:t>как</w:t>
      </w:r>
      <w:r>
        <w:rPr>
          <w:color w:val="231F20"/>
          <w:spacing w:val="-11"/>
        </w:rPr>
        <w:t> </w:t>
      </w:r>
      <w:r>
        <w:rPr>
          <w:color w:val="231F20"/>
        </w:rPr>
        <w:t>материальное</w:t>
      </w:r>
      <w:r>
        <w:rPr>
          <w:color w:val="231F20"/>
          <w:spacing w:val="-11"/>
        </w:rPr>
        <w:t> </w:t>
      </w:r>
      <w:r>
        <w:rPr>
          <w:color w:val="231F20"/>
        </w:rPr>
        <w:t>вознаграждение</w:t>
      </w:r>
      <w:r>
        <w:rPr>
          <w:color w:val="231F20"/>
          <w:spacing w:val="-11"/>
        </w:rPr>
        <w:t> </w:t>
      </w:r>
      <w:r>
        <w:rPr>
          <w:color w:val="231F20"/>
        </w:rPr>
        <w:t>(стимулирующие</w:t>
      </w:r>
      <w:r>
        <w:rPr>
          <w:color w:val="231F20"/>
          <w:spacing w:val="-11"/>
        </w:rPr>
        <w:t> </w:t>
      </w:r>
      <w:r>
        <w:rPr>
          <w:color w:val="231F20"/>
        </w:rPr>
        <w:t>выплаты </w:t>
      </w:r>
      <w:r>
        <w:rPr>
          <w:color w:val="231F20"/>
          <w:spacing w:val="-2"/>
        </w:rPr>
        <w:t>за</w:t>
      </w:r>
      <w:r>
        <w:rPr>
          <w:color w:val="231F20"/>
          <w:spacing w:val="-4"/>
        </w:rPr>
        <w:t> </w:t>
      </w:r>
      <w:r>
        <w:rPr>
          <w:color w:val="231F20"/>
          <w:spacing w:val="-2"/>
        </w:rPr>
        <w:t>ведение</w:t>
      </w:r>
      <w:r>
        <w:rPr>
          <w:color w:val="231F20"/>
          <w:spacing w:val="-4"/>
        </w:rPr>
        <w:t> </w:t>
      </w:r>
      <w:r>
        <w:rPr>
          <w:color w:val="231F20"/>
          <w:spacing w:val="-2"/>
        </w:rPr>
        <w:t>инновационной</w:t>
      </w:r>
      <w:r>
        <w:rPr>
          <w:color w:val="231F20"/>
          <w:spacing w:val="-4"/>
        </w:rPr>
        <w:t> </w:t>
      </w:r>
      <w:r>
        <w:rPr>
          <w:color w:val="231F20"/>
          <w:spacing w:val="-2"/>
        </w:rPr>
        <w:t>деятельности,</w:t>
      </w:r>
      <w:r>
        <w:rPr>
          <w:color w:val="231F20"/>
          <w:spacing w:val="-4"/>
        </w:rPr>
        <w:t> </w:t>
      </w:r>
      <w:r>
        <w:rPr>
          <w:color w:val="231F20"/>
          <w:spacing w:val="-2"/>
        </w:rPr>
        <w:t>премии,</w:t>
      </w:r>
      <w:r>
        <w:rPr>
          <w:color w:val="231F20"/>
          <w:spacing w:val="-4"/>
        </w:rPr>
        <w:t> </w:t>
      </w:r>
      <w:r>
        <w:rPr>
          <w:color w:val="231F20"/>
          <w:spacing w:val="-2"/>
        </w:rPr>
        <w:t>персональные</w:t>
      </w:r>
      <w:r>
        <w:rPr>
          <w:color w:val="231F20"/>
          <w:spacing w:val="-4"/>
        </w:rPr>
        <w:t> </w:t>
      </w:r>
      <w:r>
        <w:rPr>
          <w:color w:val="231F20"/>
          <w:spacing w:val="-2"/>
        </w:rPr>
        <w:t>надбавки</w:t>
      </w:r>
      <w:r>
        <w:rPr>
          <w:color w:val="231F20"/>
          <w:spacing w:val="-4"/>
        </w:rPr>
        <w:t> </w:t>
      </w:r>
      <w:r>
        <w:rPr>
          <w:color w:val="231F20"/>
          <w:spacing w:val="-2"/>
        </w:rPr>
        <w:t>и</w:t>
      </w:r>
      <w:r>
        <w:rPr>
          <w:color w:val="231F20"/>
          <w:spacing w:val="-4"/>
        </w:rPr>
        <w:t> </w:t>
      </w:r>
      <w:r>
        <w:rPr>
          <w:color w:val="231F20"/>
          <w:spacing w:val="-2"/>
        </w:rPr>
        <w:t>пр.),</w:t>
      </w:r>
      <w:r>
        <w:rPr>
          <w:color w:val="231F20"/>
          <w:spacing w:val="-4"/>
        </w:rPr>
        <w:t> </w:t>
      </w:r>
      <w:r>
        <w:rPr>
          <w:color w:val="231F20"/>
          <w:spacing w:val="-2"/>
        </w:rPr>
        <w:t>так</w:t>
      </w:r>
      <w:r>
        <w:rPr>
          <w:color w:val="231F20"/>
          <w:spacing w:val="-4"/>
        </w:rPr>
        <w:t> </w:t>
      </w:r>
      <w:r>
        <w:rPr>
          <w:color w:val="231F20"/>
          <w:spacing w:val="-2"/>
        </w:rPr>
        <w:t>и </w:t>
      </w:r>
      <w:r>
        <w:rPr>
          <w:color w:val="231F20"/>
          <w:spacing w:val="-4"/>
        </w:rPr>
        <w:t>участие</w:t>
      </w:r>
      <w:r>
        <w:rPr>
          <w:color w:val="231F20"/>
          <w:spacing w:val="-8"/>
        </w:rPr>
        <w:t> </w:t>
      </w:r>
      <w:r>
        <w:rPr>
          <w:color w:val="231F20"/>
          <w:spacing w:val="-4"/>
        </w:rPr>
        <w:t>учителя</w:t>
      </w:r>
      <w:r>
        <w:rPr>
          <w:color w:val="231F20"/>
          <w:spacing w:val="-8"/>
        </w:rPr>
        <w:t> </w:t>
      </w:r>
      <w:r>
        <w:rPr>
          <w:color w:val="231F20"/>
          <w:spacing w:val="-4"/>
        </w:rPr>
        <w:t>в</w:t>
      </w:r>
      <w:r>
        <w:rPr>
          <w:color w:val="231F20"/>
          <w:spacing w:val="-8"/>
        </w:rPr>
        <w:t> </w:t>
      </w:r>
      <w:r>
        <w:rPr>
          <w:color w:val="231F20"/>
          <w:spacing w:val="-4"/>
        </w:rPr>
        <w:t>педагогических</w:t>
      </w:r>
      <w:r>
        <w:rPr>
          <w:color w:val="231F20"/>
          <w:spacing w:val="-8"/>
        </w:rPr>
        <w:t> </w:t>
      </w:r>
      <w:r>
        <w:rPr>
          <w:color w:val="231F20"/>
          <w:spacing w:val="-4"/>
        </w:rPr>
        <w:t>конференциях</w:t>
      </w:r>
      <w:r>
        <w:rPr>
          <w:color w:val="231F20"/>
          <w:spacing w:val="-8"/>
        </w:rPr>
        <w:t> </w:t>
      </w:r>
      <w:r>
        <w:rPr>
          <w:color w:val="231F20"/>
          <w:spacing w:val="-4"/>
        </w:rPr>
        <w:t>и</w:t>
      </w:r>
      <w:r>
        <w:rPr>
          <w:color w:val="231F20"/>
          <w:spacing w:val="-8"/>
        </w:rPr>
        <w:t> </w:t>
      </w:r>
      <w:r>
        <w:rPr>
          <w:color w:val="231F20"/>
          <w:spacing w:val="-4"/>
        </w:rPr>
        <w:t>конкурсах,</w:t>
      </w:r>
      <w:r>
        <w:rPr>
          <w:color w:val="231F20"/>
          <w:spacing w:val="-8"/>
        </w:rPr>
        <w:t> </w:t>
      </w:r>
      <w:r>
        <w:rPr>
          <w:color w:val="231F20"/>
          <w:spacing w:val="-4"/>
        </w:rPr>
        <w:t>написание</w:t>
      </w:r>
      <w:r>
        <w:rPr>
          <w:color w:val="231F20"/>
          <w:spacing w:val="-8"/>
        </w:rPr>
        <w:t> </w:t>
      </w:r>
      <w:r>
        <w:rPr>
          <w:color w:val="231F20"/>
          <w:spacing w:val="-4"/>
        </w:rPr>
        <w:t>статей</w:t>
      </w:r>
      <w:r>
        <w:rPr>
          <w:color w:val="231F20"/>
          <w:spacing w:val="-8"/>
        </w:rPr>
        <w:t> </w:t>
      </w:r>
      <w:r>
        <w:rPr>
          <w:color w:val="231F20"/>
          <w:spacing w:val="-4"/>
        </w:rPr>
        <w:t>и</w:t>
      </w:r>
      <w:r>
        <w:rPr>
          <w:color w:val="231F20"/>
          <w:spacing w:val="-8"/>
        </w:rPr>
        <w:t> </w:t>
      </w:r>
      <w:r>
        <w:rPr>
          <w:color w:val="231F20"/>
          <w:spacing w:val="-4"/>
        </w:rPr>
        <w:t>созда- ние</w:t>
      </w:r>
      <w:r>
        <w:rPr>
          <w:color w:val="231F20"/>
          <w:spacing w:val="-7"/>
        </w:rPr>
        <w:t> </w:t>
      </w:r>
      <w:r>
        <w:rPr>
          <w:color w:val="231F20"/>
          <w:spacing w:val="-4"/>
        </w:rPr>
        <w:t>методических</w:t>
      </w:r>
      <w:r>
        <w:rPr>
          <w:color w:val="231F20"/>
          <w:spacing w:val="-7"/>
        </w:rPr>
        <w:t> </w:t>
      </w:r>
      <w:r>
        <w:rPr>
          <w:color w:val="231F20"/>
          <w:spacing w:val="-4"/>
        </w:rPr>
        <w:t>разработок,</w:t>
      </w:r>
      <w:r>
        <w:rPr>
          <w:color w:val="231F20"/>
          <w:spacing w:val="-7"/>
        </w:rPr>
        <w:t> </w:t>
      </w:r>
      <w:r>
        <w:rPr>
          <w:color w:val="231F20"/>
          <w:spacing w:val="-4"/>
        </w:rPr>
        <w:t>обобщающих</w:t>
      </w:r>
      <w:r>
        <w:rPr>
          <w:color w:val="231F20"/>
          <w:spacing w:val="-7"/>
        </w:rPr>
        <w:t> </w:t>
      </w:r>
      <w:r>
        <w:rPr>
          <w:color w:val="231F20"/>
          <w:spacing w:val="-4"/>
        </w:rPr>
        <w:t>и</w:t>
      </w:r>
      <w:r>
        <w:rPr>
          <w:color w:val="231F20"/>
          <w:spacing w:val="-6"/>
        </w:rPr>
        <w:t> </w:t>
      </w:r>
      <w:r>
        <w:rPr>
          <w:color w:val="231F20"/>
          <w:spacing w:val="-4"/>
        </w:rPr>
        <w:t>тиражирующих</w:t>
      </w:r>
      <w:r>
        <w:rPr>
          <w:color w:val="231F20"/>
          <w:spacing w:val="-7"/>
        </w:rPr>
        <w:t> </w:t>
      </w:r>
      <w:r>
        <w:rPr>
          <w:color w:val="231F20"/>
          <w:spacing w:val="-4"/>
        </w:rPr>
        <w:t>его</w:t>
      </w:r>
      <w:r>
        <w:rPr>
          <w:color w:val="231F20"/>
          <w:spacing w:val="-7"/>
        </w:rPr>
        <w:t> </w:t>
      </w:r>
      <w:r>
        <w:rPr>
          <w:color w:val="231F20"/>
          <w:spacing w:val="-4"/>
        </w:rPr>
        <w:t>педагогический</w:t>
      </w:r>
      <w:r>
        <w:rPr>
          <w:color w:val="231F20"/>
          <w:spacing w:val="-7"/>
        </w:rPr>
        <w:t> </w:t>
      </w:r>
      <w:r>
        <w:rPr>
          <w:color w:val="231F20"/>
          <w:spacing w:val="-4"/>
        </w:rPr>
        <w:t>опыт.</w:t>
      </w:r>
    </w:p>
    <w:p>
      <w:pPr>
        <w:pStyle w:val="BodyText"/>
        <w:spacing w:after="0" w:line="235" w:lineRule="auto"/>
        <w:sectPr>
          <w:pgSz w:w="8400" w:h="11910"/>
          <w:pgMar w:header="0" w:footer="530" w:top="400" w:bottom="720" w:left="425" w:right="425"/>
        </w:sectPr>
      </w:pPr>
    </w:p>
    <w:p>
      <w:pPr>
        <w:spacing w:before="80"/>
        <w:ind w:left="141" w:right="139" w:firstLine="0"/>
        <w:jc w:val="right"/>
        <w:rPr>
          <w:rFonts w:ascii="Georgia" w:hAnsi="Georgia"/>
          <w:sz w:val="18"/>
        </w:rPr>
      </w:pPr>
      <w:bookmarkStart w:name="_bookmark97" w:id="99"/>
      <w:bookmarkEnd w:id="99"/>
      <w:r>
        <w:rPr/>
      </w:r>
      <w:r>
        <w:rPr>
          <w:rFonts w:ascii="Georgia" w:hAnsi="Georgia"/>
          <w:color w:val="231F20"/>
          <w:spacing w:val="-2"/>
          <w:sz w:val="18"/>
        </w:rPr>
        <w:t>Раздел</w:t>
      </w:r>
      <w:r>
        <w:rPr>
          <w:rFonts w:ascii="Georgia" w:hAnsi="Georgia"/>
          <w:color w:val="231F20"/>
          <w:spacing w:val="-5"/>
          <w:sz w:val="18"/>
        </w:rPr>
        <w:t> 4.</w:t>
      </w:r>
    </w:p>
    <w:p>
      <w:pPr>
        <w:numPr>
          <w:ilvl w:val="2"/>
          <w:numId w:val="286"/>
        </w:numPr>
        <w:tabs>
          <w:tab w:pos="500" w:val="left" w:leader="none"/>
        </w:tabs>
        <w:spacing w:before="109"/>
        <w:ind w:left="500" w:right="0" w:hanging="500"/>
        <w:jc w:val="center"/>
        <w:rPr>
          <w:b/>
          <w:sz w:val="20"/>
        </w:rPr>
      </w:pPr>
      <w:r>
        <w:rPr>
          <w:b/>
          <w:color w:val="231F20"/>
          <w:sz w:val="20"/>
        </w:rPr>
        <w:t>Сценарии</w:t>
      </w:r>
      <w:r>
        <w:rPr>
          <w:b/>
          <w:color w:val="231F20"/>
          <w:spacing w:val="-12"/>
          <w:sz w:val="20"/>
        </w:rPr>
        <w:t> </w:t>
      </w:r>
      <w:r>
        <w:rPr>
          <w:b/>
          <w:color w:val="231F20"/>
          <w:sz w:val="20"/>
        </w:rPr>
        <w:t>групповой</w:t>
      </w:r>
      <w:r>
        <w:rPr>
          <w:b/>
          <w:color w:val="231F20"/>
          <w:spacing w:val="-12"/>
          <w:sz w:val="20"/>
        </w:rPr>
        <w:t> </w:t>
      </w:r>
      <w:r>
        <w:rPr>
          <w:b/>
          <w:color w:val="231F20"/>
          <w:sz w:val="20"/>
        </w:rPr>
        <w:t>работы</w:t>
      </w:r>
      <w:r>
        <w:rPr>
          <w:b/>
          <w:color w:val="231F20"/>
          <w:spacing w:val="-10"/>
          <w:sz w:val="20"/>
        </w:rPr>
        <w:t> </w:t>
      </w:r>
      <w:r>
        <w:rPr>
          <w:b/>
          <w:color w:val="231F20"/>
          <w:sz w:val="20"/>
        </w:rPr>
        <w:t>в</w:t>
      </w:r>
      <w:r>
        <w:rPr>
          <w:b/>
          <w:color w:val="231F20"/>
          <w:spacing w:val="-11"/>
          <w:sz w:val="20"/>
        </w:rPr>
        <w:t> </w:t>
      </w:r>
      <w:r>
        <w:rPr>
          <w:b/>
          <w:color w:val="231F20"/>
          <w:sz w:val="20"/>
        </w:rPr>
        <w:t>поликультурном</w:t>
      </w:r>
      <w:r>
        <w:rPr>
          <w:b/>
          <w:color w:val="231F20"/>
          <w:spacing w:val="-11"/>
          <w:sz w:val="20"/>
        </w:rPr>
        <w:t> </w:t>
      </w:r>
      <w:r>
        <w:rPr>
          <w:b/>
          <w:color w:val="231F20"/>
          <w:spacing w:val="-2"/>
          <w:sz w:val="20"/>
        </w:rPr>
        <w:t>классе</w:t>
      </w:r>
    </w:p>
    <w:p>
      <w:pPr>
        <w:spacing w:before="109"/>
        <w:ind w:left="303" w:right="303" w:firstLine="0"/>
        <w:jc w:val="center"/>
        <w:rPr>
          <w:b/>
          <w:i/>
          <w:sz w:val="20"/>
        </w:rPr>
      </w:pPr>
      <w:r>
        <w:rPr>
          <w:b/>
          <w:i/>
          <w:color w:val="231F20"/>
          <w:spacing w:val="-2"/>
          <w:sz w:val="20"/>
        </w:rPr>
        <w:t>Методика</w:t>
      </w:r>
      <w:r>
        <w:rPr>
          <w:b/>
          <w:i/>
          <w:color w:val="231F20"/>
          <w:spacing w:val="-3"/>
          <w:sz w:val="20"/>
        </w:rPr>
        <w:t> </w:t>
      </w:r>
      <w:r>
        <w:rPr>
          <w:b/>
          <w:i/>
          <w:color w:val="231F20"/>
          <w:spacing w:val="-2"/>
          <w:sz w:val="20"/>
        </w:rPr>
        <w:t>«Мозаика»</w:t>
      </w:r>
    </w:p>
    <w:p>
      <w:pPr>
        <w:pStyle w:val="ListParagraph"/>
        <w:numPr>
          <w:ilvl w:val="0"/>
          <w:numId w:val="315"/>
        </w:numPr>
        <w:tabs>
          <w:tab w:pos="423" w:val="left" w:leader="none"/>
        </w:tabs>
        <w:spacing w:line="225" w:lineRule="exact" w:before="0" w:after="0"/>
        <w:ind w:left="423" w:right="0" w:hanging="282"/>
        <w:jc w:val="both"/>
        <w:rPr>
          <w:i/>
          <w:color w:val="231F20"/>
          <w:sz w:val="20"/>
        </w:rPr>
      </w:pPr>
      <w:r>
        <w:rPr>
          <w:i/>
          <w:color w:val="231F20"/>
          <w:sz w:val="20"/>
        </w:rPr>
        <w:t>Основные </w:t>
      </w:r>
      <w:r>
        <w:rPr>
          <w:i/>
          <w:color w:val="231F20"/>
          <w:spacing w:val="-4"/>
          <w:sz w:val="20"/>
        </w:rPr>
        <w:t>шаги</w:t>
      </w:r>
    </w:p>
    <w:p>
      <w:pPr>
        <w:pStyle w:val="BodyText"/>
        <w:spacing w:line="235" w:lineRule="auto" w:before="1"/>
      </w:pPr>
      <w:r>
        <w:rPr>
          <w:color w:val="231F20"/>
        </w:rPr>
        <w:t>Педагог заранее делит учебный текст на более или менее логически целостные фрагменты – по числу детей в группах. А на урок разделяет класс на группы по 5–6 человек,</w:t>
      </w:r>
      <w:r>
        <w:rPr>
          <w:color w:val="231F20"/>
          <w:spacing w:val="-3"/>
        </w:rPr>
        <w:t> </w:t>
      </w:r>
      <w:r>
        <w:rPr>
          <w:color w:val="231F20"/>
        </w:rPr>
        <w:t>разнообразные</w:t>
      </w:r>
      <w:r>
        <w:rPr>
          <w:color w:val="231F20"/>
          <w:spacing w:val="-3"/>
        </w:rPr>
        <w:t> </w:t>
      </w:r>
      <w:r>
        <w:rPr>
          <w:color w:val="231F20"/>
        </w:rPr>
        <w:t>по</w:t>
      </w:r>
      <w:r>
        <w:rPr>
          <w:color w:val="231F20"/>
          <w:spacing w:val="-3"/>
        </w:rPr>
        <w:t> </w:t>
      </w:r>
      <w:r>
        <w:rPr>
          <w:color w:val="231F20"/>
        </w:rPr>
        <w:t>полу,</w:t>
      </w:r>
      <w:r>
        <w:rPr>
          <w:color w:val="231F20"/>
          <w:spacing w:val="-3"/>
        </w:rPr>
        <w:t> </w:t>
      </w:r>
      <w:r>
        <w:rPr>
          <w:color w:val="231F20"/>
        </w:rPr>
        <w:t>этнической</w:t>
      </w:r>
      <w:r>
        <w:rPr>
          <w:color w:val="231F20"/>
          <w:spacing w:val="-3"/>
        </w:rPr>
        <w:t> </w:t>
      </w:r>
      <w:r>
        <w:rPr>
          <w:color w:val="231F20"/>
        </w:rPr>
        <w:t>принадлежности,</w:t>
      </w:r>
      <w:r>
        <w:rPr>
          <w:color w:val="231F20"/>
          <w:spacing w:val="-3"/>
        </w:rPr>
        <w:t> </w:t>
      </w:r>
      <w:r>
        <w:rPr>
          <w:color w:val="231F20"/>
        </w:rPr>
        <w:t>успеваемости.</w:t>
      </w:r>
      <w:r>
        <w:rPr>
          <w:color w:val="231F20"/>
          <w:spacing w:val="-3"/>
        </w:rPr>
        <w:t> </w:t>
      </w:r>
      <w:r>
        <w:rPr>
          <w:color w:val="231F20"/>
        </w:rPr>
        <w:t>Участ- ники (или учитель) выбирают лидера в каждой группе. Это «мозаичные» группы.</w:t>
      </w:r>
    </w:p>
    <w:p>
      <w:pPr>
        <w:pStyle w:val="BodyText"/>
        <w:spacing w:line="235" w:lineRule="auto" w:before="3"/>
      </w:pPr>
      <w:r>
        <w:rPr>
          <w:color w:val="231F20"/>
        </w:rPr>
        <w:t>Пятеро членов группы становятся экспертами № 1, № 2, № 3, № 4, № 5. Каждый получает свой фрагмент материала урока на карточке и самостоятельно знакомится</w:t>
      </w:r>
      <w:r>
        <w:rPr>
          <w:color w:val="231F20"/>
          <w:spacing w:val="40"/>
        </w:rPr>
        <w:t> </w:t>
      </w:r>
      <w:r>
        <w:rPr>
          <w:color w:val="231F20"/>
        </w:rPr>
        <w:t>с ним.</w:t>
      </w:r>
    </w:p>
    <w:p>
      <w:pPr>
        <w:pStyle w:val="BodyText"/>
        <w:spacing w:line="235" w:lineRule="auto" w:before="2"/>
      </w:pPr>
      <w:r>
        <w:rPr>
          <w:color w:val="231F20"/>
        </w:rPr>
        <w:t>После этого эксперты собираются в группы в соответствии со своими номерами, чтобы обсудить понимание своего фрагмента, выделить ключевые понятия, подго- товить презентацию. Нужны ли в этот момент экспертным группам руководители, решает учитель.</w:t>
      </w:r>
    </w:p>
    <w:p>
      <w:pPr>
        <w:pStyle w:val="BodyText"/>
        <w:spacing w:line="235" w:lineRule="auto" w:before="2"/>
      </w:pPr>
      <w:r>
        <w:rPr>
          <w:color w:val="231F20"/>
        </w:rPr>
        <w:t>Уверившись в своей осведомленности, эксперты возвращаются, и первоначаль- ные мозаичные группы восстанавливаются. Каждый представляет свой фрагмент остальным, растолковывает непонятное, отвечает на вопросы.</w:t>
      </w:r>
    </w:p>
    <w:p>
      <w:pPr>
        <w:pStyle w:val="ListParagraph"/>
        <w:numPr>
          <w:ilvl w:val="0"/>
          <w:numId w:val="315"/>
        </w:numPr>
        <w:tabs>
          <w:tab w:pos="423" w:val="left" w:leader="none"/>
        </w:tabs>
        <w:spacing w:line="240" w:lineRule="auto" w:before="55" w:after="0"/>
        <w:ind w:left="423" w:right="0" w:hanging="282"/>
        <w:jc w:val="both"/>
        <w:rPr>
          <w:i/>
          <w:color w:val="231F20"/>
          <w:sz w:val="20"/>
        </w:rPr>
      </w:pPr>
      <w:r>
        <w:rPr>
          <w:i/>
          <w:color w:val="231F20"/>
          <w:spacing w:val="-2"/>
          <w:sz w:val="20"/>
        </w:rPr>
        <w:t>Ученики</w:t>
      </w:r>
    </w:p>
    <w:p>
      <w:pPr>
        <w:pStyle w:val="BodyText"/>
      </w:pPr>
      <w:r>
        <w:rPr>
          <w:color w:val="231F20"/>
        </w:rPr>
        <w:t>Для</w:t>
      </w:r>
      <w:r>
        <w:rPr>
          <w:color w:val="231F20"/>
          <w:spacing w:val="-2"/>
        </w:rPr>
        <w:t> </w:t>
      </w:r>
      <w:r>
        <w:rPr>
          <w:color w:val="231F20"/>
        </w:rPr>
        <w:t>участия</w:t>
      </w:r>
      <w:r>
        <w:rPr>
          <w:color w:val="231F20"/>
          <w:spacing w:val="-2"/>
        </w:rPr>
        <w:t> </w:t>
      </w:r>
      <w:r>
        <w:rPr>
          <w:color w:val="231F20"/>
        </w:rPr>
        <w:t>в</w:t>
      </w:r>
      <w:r>
        <w:rPr>
          <w:color w:val="231F20"/>
          <w:spacing w:val="-2"/>
        </w:rPr>
        <w:t> </w:t>
      </w:r>
      <w:r>
        <w:rPr>
          <w:color w:val="231F20"/>
        </w:rPr>
        <w:t>обучении</w:t>
      </w:r>
      <w:r>
        <w:rPr>
          <w:color w:val="231F20"/>
          <w:spacing w:val="-2"/>
        </w:rPr>
        <w:t> </w:t>
      </w:r>
      <w:r>
        <w:rPr>
          <w:color w:val="231F20"/>
        </w:rPr>
        <w:t>по</w:t>
      </w:r>
      <w:r>
        <w:rPr>
          <w:color w:val="231F20"/>
          <w:spacing w:val="-2"/>
        </w:rPr>
        <w:t> </w:t>
      </w:r>
      <w:r>
        <w:rPr>
          <w:color w:val="231F20"/>
        </w:rPr>
        <w:t>методике</w:t>
      </w:r>
      <w:r>
        <w:rPr>
          <w:color w:val="231F20"/>
          <w:spacing w:val="-2"/>
        </w:rPr>
        <w:t> </w:t>
      </w:r>
      <w:r>
        <w:rPr>
          <w:color w:val="231F20"/>
        </w:rPr>
        <w:t>«Мозаика»</w:t>
      </w:r>
      <w:r>
        <w:rPr>
          <w:color w:val="231F20"/>
          <w:spacing w:val="-2"/>
        </w:rPr>
        <w:t> </w:t>
      </w:r>
      <w:r>
        <w:rPr>
          <w:color w:val="231F20"/>
        </w:rPr>
        <w:t>ученики</w:t>
      </w:r>
      <w:r>
        <w:rPr>
          <w:color w:val="231F20"/>
          <w:spacing w:val="-2"/>
        </w:rPr>
        <w:t> </w:t>
      </w:r>
      <w:r>
        <w:rPr>
          <w:color w:val="231F20"/>
        </w:rPr>
        <w:t>должны</w:t>
      </w:r>
      <w:r>
        <w:rPr>
          <w:color w:val="231F20"/>
          <w:spacing w:val="-2"/>
        </w:rPr>
        <w:t> </w:t>
      </w:r>
      <w:r>
        <w:rPr>
          <w:color w:val="231F20"/>
        </w:rPr>
        <w:t>достаточно</w:t>
      </w:r>
      <w:r>
        <w:rPr>
          <w:color w:val="231F20"/>
          <w:spacing w:val="-2"/>
        </w:rPr>
        <w:t> </w:t>
      </w:r>
      <w:r>
        <w:rPr>
          <w:color w:val="231F20"/>
        </w:rPr>
        <w:t>хо- рошо</w:t>
      </w:r>
      <w:r>
        <w:rPr>
          <w:color w:val="231F20"/>
          <w:spacing w:val="-12"/>
        </w:rPr>
        <w:t> </w:t>
      </w:r>
      <w:r>
        <w:rPr>
          <w:color w:val="231F20"/>
        </w:rPr>
        <w:t>уметь</w:t>
      </w:r>
      <w:r>
        <w:rPr>
          <w:color w:val="231F20"/>
          <w:spacing w:val="-12"/>
        </w:rPr>
        <w:t> </w:t>
      </w:r>
      <w:r>
        <w:rPr>
          <w:color w:val="231F20"/>
        </w:rPr>
        <w:t>читать,</w:t>
      </w:r>
      <w:r>
        <w:rPr>
          <w:color w:val="231F20"/>
          <w:spacing w:val="-12"/>
        </w:rPr>
        <w:t> </w:t>
      </w:r>
      <w:r>
        <w:rPr>
          <w:color w:val="231F20"/>
        </w:rPr>
        <w:t>поэтому</w:t>
      </w:r>
      <w:r>
        <w:rPr>
          <w:color w:val="231F20"/>
          <w:spacing w:val="-12"/>
        </w:rPr>
        <w:t> </w:t>
      </w:r>
      <w:r>
        <w:rPr>
          <w:color w:val="231F20"/>
        </w:rPr>
        <w:t>данная</w:t>
      </w:r>
      <w:r>
        <w:rPr>
          <w:color w:val="231F20"/>
          <w:spacing w:val="-12"/>
        </w:rPr>
        <w:t> </w:t>
      </w:r>
      <w:r>
        <w:rPr>
          <w:color w:val="231F20"/>
        </w:rPr>
        <w:t>методика</w:t>
      </w:r>
      <w:r>
        <w:rPr>
          <w:color w:val="231F20"/>
          <w:spacing w:val="-12"/>
        </w:rPr>
        <w:t> </w:t>
      </w:r>
      <w:r>
        <w:rPr>
          <w:color w:val="231F20"/>
        </w:rPr>
        <w:t>не</w:t>
      </w:r>
      <w:r>
        <w:rPr>
          <w:color w:val="231F20"/>
          <w:spacing w:val="-12"/>
        </w:rPr>
        <w:t> </w:t>
      </w:r>
      <w:r>
        <w:rPr>
          <w:color w:val="231F20"/>
        </w:rPr>
        <w:t>рекомендуется</w:t>
      </w:r>
      <w:r>
        <w:rPr>
          <w:color w:val="231F20"/>
          <w:spacing w:val="-12"/>
        </w:rPr>
        <w:t> </w:t>
      </w:r>
      <w:r>
        <w:rPr>
          <w:color w:val="231F20"/>
        </w:rPr>
        <w:t>для</w:t>
      </w:r>
      <w:r>
        <w:rPr>
          <w:color w:val="231F20"/>
          <w:spacing w:val="-12"/>
        </w:rPr>
        <w:t> </w:t>
      </w:r>
      <w:r>
        <w:rPr>
          <w:color w:val="231F20"/>
        </w:rPr>
        <w:t>слишком</w:t>
      </w:r>
      <w:r>
        <w:rPr>
          <w:color w:val="231F20"/>
          <w:spacing w:val="-12"/>
        </w:rPr>
        <w:t> </w:t>
      </w:r>
      <w:r>
        <w:rPr>
          <w:color w:val="231F20"/>
        </w:rPr>
        <w:t>малень- </w:t>
      </w:r>
      <w:r>
        <w:rPr>
          <w:color w:val="231F20"/>
          <w:spacing w:val="-2"/>
        </w:rPr>
        <w:t>ких</w:t>
      </w:r>
      <w:r>
        <w:rPr>
          <w:color w:val="231F20"/>
          <w:spacing w:val="-3"/>
        </w:rPr>
        <w:t> </w:t>
      </w:r>
      <w:r>
        <w:rPr>
          <w:color w:val="231F20"/>
          <w:spacing w:val="-2"/>
        </w:rPr>
        <w:t>детей</w:t>
      </w:r>
      <w:r>
        <w:rPr>
          <w:color w:val="231F20"/>
          <w:spacing w:val="-3"/>
        </w:rPr>
        <w:t> </w:t>
      </w:r>
      <w:r>
        <w:rPr>
          <w:color w:val="231F20"/>
          <w:spacing w:val="-2"/>
        </w:rPr>
        <w:t>и</w:t>
      </w:r>
      <w:r>
        <w:rPr>
          <w:color w:val="231F20"/>
          <w:spacing w:val="-3"/>
        </w:rPr>
        <w:t> </w:t>
      </w:r>
      <w:r>
        <w:rPr>
          <w:color w:val="231F20"/>
          <w:spacing w:val="-2"/>
        </w:rPr>
        <w:t>потребует</w:t>
      </w:r>
      <w:r>
        <w:rPr>
          <w:color w:val="231F20"/>
          <w:spacing w:val="-3"/>
        </w:rPr>
        <w:t> </w:t>
      </w:r>
      <w:r>
        <w:rPr>
          <w:color w:val="231F20"/>
          <w:spacing w:val="-2"/>
        </w:rPr>
        <w:t>определенной</w:t>
      </w:r>
      <w:r>
        <w:rPr>
          <w:color w:val="231F20"/>
          <w:spacing w:val="-3"/>
        </w:rPr>
        <w:t> </w:t>
      </w:r>
      <w:r>
        <w:rPr>
          <w:color w:val="231F20"/>
          <w:spacing w:val="-2"/>
        </w:rPr>
        <w:t>работы</w:t>
      </w:r>
      <w:r>
        <w:rPr>
          <w:color w:val="231F20"/>
          <w:spacing w:val="-3"/>
        </w:rPr>
        <w:t> </w:t>
      </w:r>
      <w:r>
        <w:rPr>
          <w:color w:val="231F20"/>
          <w:spacing w:val="-2"/>
        </w:rPr>
        <w:t>с</w:t>
      </w:r>
      <w:r>
        <w:rPr>
          <w:color w:val="231F20"/>
          <w:spacing w:val="-3"/>
        </w:rPr>
        <w:t> </w:t>
      </w:r>
      <w:r>
        <w:rPr>
          <w:color w:val="231F20"/>
          <w:spacing w:val="-2"/>
        </w:rPr>
        <w:t>теми</w:t>
      </w:r>
      <w:r>
        <w:rPr>
          <w:color w:val="231F20"/>
          <w:spacing w:val="-3"/>
        </w:rPr>
        <w:t> </w:t>
      </w:r>
      <w:r>
        <w:rPr>
          <w:color w:val="231F20"/>
          <w:spacing w:val="-2"/>
        </w:rPr>
        <w:t>учениками,</w:t>
      </w:r>
      <w:r>
        <w:rPr>
          <w:color w:val="231F20"/>
          <w:spacing w:val="-3"/>
        </w:rPr>
        <w:t> </w:t>
      </w:r>
      <w:r>
        <w:rPr>
          <w:color w:val="231F20"/>
          <w:spacing w:val="-2"/>
        </w:rPr>
        <w:t>которые</w:t>
      </w:r>
      <w:r>
        <w:rPr>
          <w:color w:val="231F20"/>
          <w:spacing w:val="-3"/>
        </w:rPr>
        <w:t> </w:t>
      </w:r>
      <w:r>
        <w:rPr>
          <w:color w:val="231F20"/>
          <w:spacing w:val="-2"/>
        </w:rPr>
        <w:t>недостаточно </w:t>
      </w:r>
      <w:r>
        <w:rPr>
          <w:color w:val="231F20"/>
        </w:rPr>
        <w:t>бегло читают.</w:t>
      </w:r>
    </w:p>
    <w:p>
      <w:pPr>
        <w:pStyle w:val="BodyText"/>
      </w:pPr>
      <w:r>
        <w:rPr>
          <w:color w:val="231F20"/>
        </w:rPr>
        <w:t>Таким</w:t>
      </w:r>
      <w:r>
        <w:rPr>
          <w:color w:val="231F20"/>
          <w:spacing w:val="-3"/>
        </w:rPr>
        <w:t> </w:t>
      </w:r>
      <w:r>
        <w:rPr>
          <w:color w:val="231F20"/>
        </w:rPr>
        <w:t>образом,</w:t>
      </w:r>
      <w:r>
        <w:rPr>
          <w:color w:val="231F20"/>
          <w:spacing w:val="-3"/>
        </w:rPr>
        <w:t> </w:t>
      </w:r>
      <w:r>
        <w:rPr>
          <w:color w:val="231F20"/>
        </w:rPr>
        <w:t>для</w:t>
      </w:r>
      <w:r>
        <w:rPr>
          <w:color w:val="231F20"/>
          <w:spacing w:val="-3"/>
        </w:rPr>
        <w:t> </w:t>
      </w:r>
      <w:r>
        <w:rPr>
          <w:color w:val="231F20"/>
        </w:rPr>
        <w:t>участия</w:t>
      </w:r>
      <w:r>
        <w:rPr>
          <w:color w:val="231F20"/>
          <w:spacing w:val="-3"/>
        </w:rPr>
        <w:t> </w:t>
      </w:r>
      <w:r>
        <w:rPr>
          <w:color w:val="231F20"/>
        </w:rPr>
        <w:t>в</w:t>
      </w:r>
      <w:r>
        <w:rPr>
          <w:color w:val="231F20"/>
          <w:spacing w:val="-3"/>
        </w:rPr>
        <w:t> </w:t>
      </w:r>
      <w:r>
        <w:rPr>
          <w:color w:val="231F20"/>
        </w:rPr>
        <w:t>методике</w:t>
      </w:r>
      <w:r>
        <w:rPr>
          <w:color w:val="231F20"/>
          <w:spacing w:val="-3"/>
        </w:rPr>
        <w:t> </w:t>
      </w:r>
      <w:r>
        <w:rPr>
          <w:color w:val="231F20"/>
        </w:rPr>
        <w:t>«Мозаика»</w:t>
      </w:r>
      <w:r>
        <w:rPr>
          <w:color w:val="231F20"/>
          <w:spacing w:val="-3"/>
        </w:rPr>
        <w:t> </w:t>
      </w:r>
      <w:r>
        <w:rPr>
          <w:color w:val="231F20"/>
        </w:rPr>
        <w:t>необходимо</w:t>
      </w:r>
      <w:r>
        <w:rPr>
          <w:color w:val="231F20"/>
          <w:spacing w:val="-3"/>
        </w:rPr>
        <w:t> </w:t>
      </w:r>
      <w:r>
        <w:rPr>
          <w:color w:val="231F20"/>
        </w:rPr>
        <w:t>умение</w:t>
      </w:r>
      <w:r>
        <w:rPr>
          <w:color w:val="231F20"/>
          <w:spacing w:val="-3"/>
        </w:rPr>
        <w:t> </w:t>
      </w:r>
      <w:r>
        <w:rPr>
          <w:color w:val="231F20"/>
        </w:rPr>
        <w:t>бегло</w:t>
      </w:r>
      <w:r>
        <w:rPr>
          <w:color w:val="231F20"/>
          <w:spacing w:val="-3"/>
        </w:rPr>
        <w:t> </w:t>
      </w:r>
      <w:r>
        <w:rPr>
          <w:color w:val="231F20"/>
        </w:rPr>
        <w:t>чи- тать</w:t>
      </w:r>
      <w:r>
        <w:rPr>
          <w:color w:val="231F20"/>
          <w:spacing w:val="-4"/>
        </w:rPr>
        <w:t> </w:t>
      </w:r>
      <w:r>
        <w:rPr>
          <w:color w:val="231F20"/>
        </w:rPr>
        <w:t>и</w:t>
      </w:r>
      <w:r>
        <w:rPr>
          <w:color w:val="231F20"/>
          <w:spacing w:val="-4"/>
        </w:rPr>
        <w:t> </w:t>
      </w:r>
      <w:r>
        <w:rPr>
          <w:color w:val="231F20"/>
        </w:rPr>
        <w:t>анализировать</w:t>
      </w:r>
      <w:r>
        <w:rPr>
          <w:color w:val="231F20"/>
          <w:spacing w:val="-4"/>
        </w:rPr>
        <w:t> </w:t>
      </w:r>
      <w:r>
        <w:rPr>
          <w:color w:val="231F20"/>
        </w:rPr>
        <w:t>информацию,</w:t>
      </w:r>
      <w:r>
        <w:rPr>
          <w:color w:val="231F20"/>
          <w:spacing w:val="-4"/>
        </w:rPr>
        <w:t> </w:t>
      </w:r>
      <w:r>
        <w:rPr>
          <w:color w:val="231F20"/>
        </w:rPr>
        <w:t>поэтому</w:t>
      </w:r>
      <w:r>
        <w:rPr>
          <w:color w:val="231F20"/>
          <w:spacing w:val="-4"/>
        </w:rPr>
        <w:t> </w:t>
      </w:r>
      <w:r>
        <w:rPr>
          <w:color w:val="231F20"/>
        </w:rPr>
        <w:t>рекомендуется</w:t>
      </w:r>
      <w:r>
        <w:rPr>
          <w:color w:val="231F20"/>
          <w:spacing w:val="-4"/>
        </w:rPr>
        <w:t> </w:t>
      </w:r>
      <w:r>
        <w:rPr>
          <w:color w:val="231F20"/>
        </w:rPr>
        <w:t>проводить</w:t>
      </w:r>
      <w:r>
        <w:rPr>
          <w:color w:val="231F20"/>
          <w:spacing w:val="-4"/>
        </w:rPr>
        <w:t> </w:t>
      </w:r>
      <w:r>
        <w:rPr>
          <w:color w:val="231F20"/>
        </w:rPr>
        <w:t>такие</w:t>
      </w:r>
      <w:r>
        <w:rPr>
          <w:color w:val="231F20"/>
          <w:spacing w:val="-4"/>
        </w:rPr>
        <w:t> </w:t>
      </w:r>
      <w:r>
        <w:rPr>
          <w:color w:val="231F20"/>
        </w:rPr>
        <w:t>занятия с</w:t>
      </w:r>
      <w:r>
        <w:rPr>
          <w:color w:val="231F20"/>
          <w:spacing w:val="-8"/>
        </w:rPr>
        <w:t> </w:t>
      </w:r>
      <w:r>
        <w:rPr>
          <w:color w:val="231F20"/>
        </w:rPr>
        <w:t>учащимися</w:t>
      </w:r>
      <w:r>
        <w:rPr>
          <w:color w:val="231F20"/>
          <w:spacing w:val="-8"/>
        </w:rPr>
        <w:t> </w:t>
      </w:r>
      <w:r>
        <w:rPr>
          <w:color w:val="231F20"/>
        </w:rPr>
        <w:t>начиная</w:t>
      </w:r>
      <w:r>
        <w:rPr>
          <w:color w:val="231F20"/>
          <w:spacing w:val="-8"/>
        </w:rPr>
        <w:t> </w:t>
      </w:r>
      <w:r>
        <w:rPr>
          <w:color w:val="231F20"/>
        </w:rPr>
        <w:t>примерно</w:t>
      </w:r>
      <w:r>
        <w:rPr>
          <w:color w:val="231F20"/>
          <w:spacing w:val="-8"/>
        </w:rPr>
        <w:t> </w:t>
      </w:r>
      <w:r>
        <w:rPr>
          <w:color w:val="231F20"/>
        </w:rPr>
        <w:t>с</w:t>
      </w:r>
      <w:r>
        <w:rPr>
          <w:color w:val="231F20"/>
          <w:spacing w:val="-8"/>
        </w:rPr>
        <w:t> </w:t>
      </w:r>
      <w:r>
        <w:rPr>
          <w:color w:val="231F20"/>
        </w:rPr>
        <w:t>10</w:t>
      </w:r>
      <w:r>
        <w:rPr>
          <w:color w:val="231F20"/>
          <w:spacing w:val="-8"/>
        </w:rPr>
        <w:t> </w:t>
      </w:r>
      <w:r>
        <w:rPr>
          <w:color w:val="231F20"/>
        </w:rPr>
        <w:t>лет.</w:t>
      </w:r>
      <w:r>
        <w:rPr>
          <w:color w:val="231F20"/>
          <w:spacing w:val="-8"/>
        </w:rPr>
        <w:t> </w:t>
      </w:r>
      <w:r>
        <w:rPr>
          <w:color w:val="231F20"/>
        </w:rPr>
        <w:t>Для</w:t>
      </w:r>
      <w:r>
        <w:rPr>
          <w:color w:val="231F20"/>
          <w:spacing w:val="-8"/>
        </w:rPr>
        <w:t> </w:t>
      </w:r>
      <w:r>
        <w:rPr>
          <w:color w:val="231F20"/>
        </w:rPr>
        <w:t>более</w:t>
      </w:r>
      <w:r>
        <w:rPr>
          <w:color w:val="231F20"/>
          <w:spacing w:val="-8"/>
        </w:rPr>
        <w:t> </w:t>
      </w:r>
      <w:r>
        <w:rPr>
          <w:color w:val="231F20"/>
        </w:rPr>
        <w:t>маленьких</w:t>
      </w:r>
      <w:r>
        <w:rPr>
          <w:color w:val="231F20"/>
          <w:spacing w:val="-8"/>
        </w:rPr>
        <w:t> </w:t>
      </w:r>
      <w:r>
        <w:rPr>
          <w:color w:val="231F20"/>
        </w:rPr>
        <w:t>детей</w:t>
      </w:r>
      <w:r>
        <w:rPr>
          <w:color w:val="231F20"/>
          <w:spacing w:val="-8"/>
        </w:rPr>
        <w:t> </w:t>
      </w:r>
      <w:r>
        <w:rPr>
          <w:color w:val="231F20"/>
        </w:rPr>
        <w:t>метод</w:t>
      </w:r>
      <w:r>
        <w:rPr>
          <w:color w:val="231F20"/>
          <w:spacing w:val="-8"/>
        </w:rPr>
        <w:t> </w:t>
      </w:r>
      <w:r>
        <w:rPr>
          <w:color w:val="231F20"/>
        </w:rPr>
        <w:t>тоже</w:t>
      </w:r>
      <w:r>
        <w:rPr>
          <w:color w:val="231F20"/>
          <w:spacing w:val="-8"/>
        </w:rPr>
        <w:t> </w:t>
      </w:r>
      <w:r>
        <w:rPr>
          <w:color w:val="231F20"/>
        </w:rPr>
        <w:t>при- годен, однако материал для занятий должен быть адаптирован и представлен в виде рисунков, схем или аудиозаписей, то есть в доступной для них форме.</w:t>
      </w:r>
    </w:p>
    <w:p>
      <w:pPr>
        <w:pStyle w:val="BodyText"/>
      </w:pPr>
      <w:r>
        <w:rPr>
          <w:color w:val="231F20"/>
        </w:rPr>
        <w:t>Верхнего возрастного передела, ограничивающего применение данного метода, нет. Его успешно можно использовать в работе со студентами и даже со взрослыми. Особенно</w:t>
      </w:r>
      <w:r>
        <w:rPr>
          <w:color w:val="231F20"/>
          <w:spacing w:val="-6"/>
        </w:rPr>
        <w:t> </w:t>
      </w:r>
      <w:r>
        <w:rPr>
          <w:color w:val="231F20"/>
        </w:rPr>
        <w:t>эффективна</w:t>
      </w:r>
      <w:r>
        <w:rPr>
          <w:color w:val="231F20"/>
          <w:spacing w:val="-6"/>
        </w:rPr>
        <w:t> </w:t>
      </w:r>
      <w:r>
        <w:rPr>
          <w:color w:val="231F20"/>
        </w:rPr>
        <w:t>такая</w:t>
      </w:r>
      <w:r>
        <w:rPr>
          <w:color w:val="231F20"/>
          <w:spacing w:val="-6"/>
        </w:rPr>
        <w:t> </w:t>
      </w:r>
      <w:r>
        <w:rPr>
          <w:color w:val="231F20"/>
        </w:rPr>
        <w:t>работа</w:t>
      </w:r>
      <w:r>
        <w:rPr>
          <w:color w:val="231F20"/>
          <w:spacing w:val="-6"/>
        </w:rPr>
        <w:t> </w:t>
      </w:r>
      <w:r>
        <w:rPr>
          <w:color w:val="231F20"/>
        </w:rPr>
        <w:t>в</w:t>
      </w:r>
      <w:r>
        <w:rPr>
          <w:color w:val="231F20"/>
          <w:spacing w:val="-6"/>
        </w:rPr>
        <w:t> </w:t>
      </w:r>
      <w:r>
        <w:rPr>
          <w:color w:val="231F20"/>
        </w:rPr>
        <w:t>тех</w:t>
      </w:r>
      <w:r>
        <w:rPr>
          <w:color w:val="231F20"/>
          <w:spacing w:val="-6"/>
        </w:rPr>
        <w:t> </w:t>
      </w:r>
      <w:r>
        <w:rPr>
          <w:color w:val="231F20"/>
        </w:rPr>
        <w:t>случаях,</w:t>
      </w:r>
      <w:r>
        <w:rPr>
          <w:color w:val="231F20"/>
          <w:spacing w:val="-6"/>
        </w:rPr>
        <w:t> </w:t>
      </w:r>
      <w:r>
        <w:rPr>
          <w:color w:val="231F20"/>
        </w:rPr>
        <w:t>когда</w:t>
      </w:r>
      <w:r>
        <w:rPr>
          <w:color w:val="231F20"/>
          <w:spacing w:val="-6"/>
        </w:rPr>
        <w:t> </w:t>
      </w:r>
      <w:r>
        <w:rPr>
          <w:color w:val="231F20"/>
        </w:rPr>
        <w:t>поставленная</w:t>
      </w:r>
      <w:r>
        <w:rPr>
          <w:color w:val="231F20"/>
          <w:spacing w:val="-6"/>
        </w:rPr>
        <w:t> </w:t>
      </w:r>
      <w:r>
        <w:rPr>
          <w:color w:val="231F20"/>
        </w:rPr>
        <w:t>проблема</w:t>
      </w:r>
      <w:r>
        <w:rPr>
          <w:color w:val="231F20"/>
          <w:spacing w:val="-6"/>
        </w:rPr>
        <w:t> </w:t>
      </w:r>
      <w:r>
        <w:rPr>
          <w:color w:val="231F20"/>
        </w:rPr>
        <w:t>име- ет множество аспектов, оценивается разными людьми по-разному, затрагивает раз- личные интересы и не имеет однозначного решения.</w:t>
      </w:r>
    </w:p>
    <w:p>
      <w:pPr>
        <w:pStyle w:val="ListParagraph"/>
        <w:numPr>
          <w:ilvl w:val="0"/>
          <w:numId w:val="315"/>
        </w:numPr>
        <w:tabs>
          <w:tab w:pos="423" w:val="left" w:leader="none"/>
        </w:tabs>
        <w:spacing w:line="240" w:lineRule="auto" w:before="57" w:after="0"/>
        <w:ind w:left="423" w:right="0" w:hanging="282"/>
        <w:jc w:val="both"/>
        <w:rPr>
          <w:color w:val="231F20"/>
          <w:sz w:val="20"/>
        </w:rPr>
      </w:pPr>
      <w:r>
        <w:rPr>
          <w:i/>
          <w:color w:val="231F20"/>
          <w:spacing w:val="-2"/>
          <w:sz w:val="20"/>
        </w:rPr>
        <w:t>Материал</w:t>
      </w:r>
    </w:p>
    <w:p>
      <w:pPr>
        <w:pStyle w:val="BodyText"/>
      </w:pPr>
      <w:r>
        <w:rPr>
          <w:color w:val="231F20"/>
        </w:rPr>
        <w:t>С помощью методики «Мозаика» можно изучать различный учебный материал. Наиболее подходящим является тот, который основывается на чтении и понимании, то</w:t>
      </w:r>
      <w:r>
        <w:rPr>
          <w:color w:val="231F20"/>
          <w:spacing w:val="-4"/>
        </w:rPr>
        <w:t> </w:t>
      </w:r>
      <w:r>
        <w:rPr>
          <w:color w:val="231F20"/>
        </w:rPr>
        <w:t>есть</w:t>
      </w:r>
      <w:r>
        <w:rPr>
          <w:color w:val="231F20"/>
          <w:spacing w:val="-4"/>
        </w:rPr>
        <w:t> </w:t>
      </w:r>
      <w:r>
        <w:rPr>
          <w:color w:val="231F20"/>
        </w:rPr>
        <w:t>все</w:t>
      </w:r>
      <w:r>
        <w:rPr>
          <w:color w:val="231F20"/>
          <w:spacing w:val="-4"/>
        </w:rPr>
        <w:t> </w:t>
      </w:r>
      <w:r>
        <w:rPr>
          <w:color w:val="231F20"/>
        </w:rPr>
        <w:t>общественные</w:t>
      </w:r>
      <w:r>
        <w:rPr>
          <w:color w:val="231F20"/>
          <w:spacing w:val="-3"/>
        </w:rPr>
        <w:t> </w:t>
      </w:r>
      <w:r>
        <w:rPr>
          <w:color w:val="231F20"/>
        </w:rPr>
        <w:t>науки:</w:t>
      </w:r>
      <w:r>
        <w:rPr>
          <w:color w:val="231F20"/>
          <w:spacing w:val="-4"/>
        </w:rPr>
        <w:t> </w:t>
      </w:r>
      <w:r>
        <w:rPr>
          <w:color w:val="231F20"/>
        </w:rPr>
        <w:t>история,</w:t>
      </w:r>
      <w:r>
        <w:rPr>
          <w:color w:val="231F20"/>
          <w:spacing w:val="-3"/>
        </w:rPr>
        <w:t> </w:t>
      </w:r>
      <w:r>
        <w:rPr>
          <w:color w:val="231F20"/>
        </w:rPr>
        <w:t>обществознание,</w:t>
      </w:r>
      <w:r>
        <w:rPr>
          <w:color w:val="231F20"/>
          <w:spacing w:val="-3"/>
        </w:rPr>
        <w:t> </w:t>
      </w:r>
      <w:r>
        <w:rPr>
          <w:color w:val="231F20"/>
        </w:rPr>
        <w:t>география</w:t>
      </w:r>
      <w:r>
        <w:rPr>
          <w:color w:val="231F20"/>
          <w:spacing w:val="-4"/>
        </w:rPr>
        <w:t> </w:t>
      </w:r>
      <w:r>
        <w:rPr>
          <w:color w:val="231F20"/>
        </w:rPr>
        <w:t>и</w:t>
      </w:r>
      <w:r>
        <w:rPr>
          <w:color w:val="231F20"/>
          <w:spacing w:val="-4"/>
        </w:rPr>
        <w:t> </w:t>
      </w:r>
      <w:r>
        <w:rPr>
          <w:color w:val="231F20"/>
        </w:rPr>
        <w:t>другие</w:t>
      </w:r>
      <w:r>
        <w:rPr>
          <w:color w:val="231F20"/>
          <w:spacing w:val="-3"/>
        </w:rPr>
        <w:t> </w:t>
      </w:r>
      <w:r>
        <w:rPr>
          <w:color w:val="231F20"/>
        </w:rPr>
        <w:t>–</w:t>
      </w:r>
      <w:r>
        <w:rPr>
          <w:color w:val="231F20"/>
          <w:spacing w:val="-4"/>
        </w:rPr>
        <w:t> </w:t>
      </w:r>
      <w:r>
        <w:rPr>
          <w:color w:val="231F20"/>
        </w:rPr>
        <w:t>хо- рошо сочетаются с данным методом. Он также успешно применялся в обучении ма- тематике,</w:t>
      </w:r>
      <w:r>
        <w:rPr>
          <w:color w:val="231F20"/>
          <w:spacing w:val="-4"/>
        </w:rPr>
        <w:t> </w:t>
      </w:r>
      <w:r>
        <w:rPr>
          <w:color w:val="231F20"/>
        </w:rPr>
        <w:t>литературе,</w:t>
      </w:r>
      <w:r>
        <w:rPr>
          <w:color w:val="231F20"/>
          <w:spacing w:val="-4"/>
        </w:rPr>
        <w:t> </w:t>
      </w:r>
      <w:r>
        <w:rPr>
          <w:color w:val="231F20"/>
        </w:rPr>
        <w:t>биологии,</w:t>
      </w:r>
      <w:r>
        <w:rPr>
          <w:color w:val="231F20"/>
          <w:spacing w:val="-4"/>
        </w:rPr>
        <w:t> </w:t>
      </w:r>
      <w:r>
        <w:rPr>
          <w:color w:val="231F20"/>
        </w:rPr>
        <w:t>хотя</w:t>
      </w:r>
      <w:r>
        <w:rPr>
          <w:color w:val="231F20"/>
          <w:spacing w:val="-4"/>
        </w:rPr>
        <w:t> </w:t>
      </w:r>
      <w:r>
        <w:rPr>
          <w:color w:val="231F20"/>
        </w:rPr>
        <w:t>для</w:t>
      </w:r>
      <w:r>
        <w:rPr>
          <w:color w:val="231F20"/>
          <w:spacing w:val="-4"/>
        </w:rPr>
        <w:t> </w:t>
      </w:r>
      <w:r>
        <w:rPr>
          <w:color w:val="231F20"/>
        </w:rPr>
        <w:t>этих</w:t>
      </w:r>
      <w:r>
        <w:rPr>
          <w:color w:val="231F20"/>
          <w:spacing w:val="-4"/>
        </w:rPr>
        <w:t> </w:t>
      </w:r>
      <w:r>
        <w:rPr>
          <w:color w:val="231F20"/>
        </w:rPr>
        <w:t>предметов</w:t>
      </w:r>
      <w:r>
        <w:rPr>
          <w:color w:val="231F20"/>
          <w:spacing w:val="-4"/>
        </w:rPr>
        <w:t> </w:t>
      </w:r>
      <w:r>
        <w:rPr>
          <w:color w:val="231F20"/>
        </w:rPr>
        <w:t>подготовить</w:t>
      </w:r>
      <w:r>
        <w:rPr>
          <w:color w:val="231F20"/>
          <w:spacing w:val="-4"/>
        </w:rPr>
        <w:t> </w:t>
      </w:r>
      <w:r>
        <w:rPr>
          <w:color w:val="231F20"/>
        </w:rPr>
        <w:t>необходимый материал</w:t>
      </w:r>
      <w:r>
        <w:rPr>
          <w:color w:val="231F20"/>
          <w:spacing w:val="-10"/>
        </w:rPr>
        <w:t> </w:t>
      </w:r>
      <w:r>
        <w:rPr>
          <w:color w:val="231F20"/>
        </w:rPr>
        <w:t>оказалось</w:t>
      </w:r>
      <w:r>
        <w:rPr>
          <w:color w:val="231F20"/>
          <w:spacing w:val="-10"/>
        </w:rPr>
        <w:t> </w:t>
      </w:r>
      <w:r>
        <w:rPr>
          <w:color w:val="231F20"/>
        </w:rPr>
        <w:t>сложнее.</w:t>
      </w:r>
      <w:r>
        <w:rPr>
          <w:color w:val="231F20"/>
          <w:spacing w:val="-5"/>
        </w:rPr>
        <w:t> </w:t>
      </w:r>
      <w:r>
        <w:rPr>
          <w:color w:val="231F20"/>
        </w:rPr>
        <w:t>В</w:t>
      </w:r>
      <w:r>
        <w:rPr>
          <w:color w:val="231F20"/>
          <w:spacing w:val="-10"/>
        </w:rPr>
        <w:t> </w:t>
      </w:r>
      <w:r>
        <w:rPr>
          <w:color w:val="231F20"/>
        </w:rPr>
        <w:t>принципе,</w:t>
      </w:r>
      <w:r>
        <w:rPr>
          <w:color w:val="231F20"/>
          <w:spacing w:val="-10"/>
        </w:rPr>
        <w:t> </w:t>
      </w:r>
      <w:r>
        <w:rPr>
          <w:color w:val="231F20"/>
        </w:rPr>
        <w:t>любой</w:t>
      </w:r>
      <w:r>
        <w:rPr>
          <w:color w:val="231F20"/>
          <w:spacing w:val="-10"/>
        </w:rPr>
        <w:t> </w:t>
      </w:r>
      <w:r>
        <w:rPr>
          <w:color w:val="231F20"/>
        </w:rPr>
        <w:t>материал</w:t>
      </w:r>
      <w:r>
        <w:rPr>
          <w:color w:val="231F20"/>
          <w:spacing w:val="-10"/>
        </w:rPr>
        <w:t> </w:t>
      </w:r>
      <w:r>
        <w:rPr>
          <w:color w:val="231F20"/>
        </w:rPr>
        <w:t>можно</w:t>
      </w:r>
      <w:r>
        <w:rPr>
          <w:color w:val="231F20"/>
          <w:spacing w:val="-10"/>
        </w:rPr>
        <w:t> </w:t>
      </w:r>
      <w:r>
        <w:rPr>
          <w:color w:val="231F20"/>
        </w:rPr>
        <w:t>представить</w:t>
      </w:r>
      <w:r>
        <w:rPr>
          <w:color w:val="231F20"/>
          <w:spacing w:val="-10"/>
        </w:rPr>
        <w:t> </w:t>
      </w:r>
      <w:r>
        <w:rPr>
          <w:color w:val="231F20"/>
        </w:rPr>
        <w:t>таким </w:t>
      </w:r>
      <w:r>
        <w:rPr>
          <w:color w:val="231F20"/>
          <w:spacing w:val="-2"/>
        </w:rPr>
        <w:t>образом,</w:t>
      </w:r>
      <w:r>
        <w:rPr>
          <w:color w:val="231F20"/>
          <w:spacing w:val="-4"/>
        </w:rPr>
        <w:t> </w:t>
      </w:r>
      <w:r>
        <w:rPr>
          <w:color w:val="231F20"/>
          <w:spacing w:val="-2"/>
        </w:rPr>
        <w:t>чтобы</w:t>
      </w:r>
      <w:r>
        <w:rPr>
          <w:color w:val="231F20"/>
          <w:spacing w:val="-4"/>
        </w:rPr>
        <w:t> </w:t>
      </w:r>
      <w:r>
        <w:rPr>
          <w:color w:val="231F20"/>
          <w:spacing w:val="-2"/>
        </w:rPr>
        <w:t>он</w:t>
      </w:r>
      <w:r>
        <w:rPr>
          <w:color w:val="231F20"/>
          <w:spacing w:val="-4"/>
        </w:rPr>
        <w:t> </w:t>
      </w:r>
      <w:r>
        <w:rPr>
          <w:color w:val="231F20"/>
          <w:spacing w:val="-2"/>
        </w:rPr>
        <w:t>удовлетворял</w:t>
      </w:r>
      <w:r>
        <w:rPr>
          <w:color w:val="231F20"/>
          <w:spacing w:val="-4"/>
        </w:rPr>
        <w:t> </w:t>
      </w:r>
      <w:r>
        <w:rPr>
          <w:color w:val="231F20"/>
          <w:spacing w:val="-2"/>
        </w:rPr>
        <w:t>требованиям</w:t>
      </w:r>
      <w:r>
        <w:rPr>
          <w:color w:val="231F20"/>
          <w:spacing w:val="-4"/>
        </w:rPr>
        <w:t> </w:t>
      </w:r>
      <w:r>
        <w:rPr>
          <w:color w:val="231F20"/>
          <w:spacing w:val="-2"/>
        </w:rPr>
        <w:t>методики,</w:t>
      </w:r>
      <w:r>
        <w:rPr>
          <w:color w:val="231F20"/>
          <w:spacing w:val="-4"/>
        </w:rPr>
        <w:t> </w:t>
      </w:r>
      <w:r>
        <w:rPr>
          <w:color w:val="231F20"/>
          <w:spacing w:val="-2"/>
        </w:rPr>
        <w:t>но</w:t>
      </w:r>
      <w:r>
        <w:rPr>
          <w:color w:val="231F20"/>
          <w:spacing w:val="-4"/>
        </w:rPr>
        <w:t> </w:t>
      </w:r>
      <w:r>
        <w:rPr>
          <w:color w:val="231F20"/>
          <w:spacing w:val="-2"/>
        </w:rPr>
        <w:t>на</w:t>
      </w:r>
      <w:r>
        <w:rPr>
          <w:color w:val="231F20"/>
          <w:spacing w:val="-4"/>
        </w:rPr>
        <w:t> </w:t>
      </w:r>
      <w:r>
        <w:rPr>
          <w:color w:val="231F20"/>
          <w:spacing w:val="-2"/>
        </w:rPr>
        <w:t>это</w:t>
      </w:r>
      <w:r>
        <w:rPr>
          <w:color w:val="231F20"/>
          <w:spacing w:val="-4"/>
        </w:rPr>
        <w:t> </w:t>
      </w:r>
      <w:r>
        <w:rPr>
          <w:color w:val="231F20"/>
          <w:spacing w:val="-2"/>
        </w:rPr>
        <w:t>со</w:t>
      </w:r>
      <w:r>
        <w:rPr>
          <w:color w:val="231F20"/>
          <w:spacing w:val="-4"/>
        </w:rPr>
        <w:t> </w:t>
      </w:r>
      <w:r>
        <w:rPr>
          <w:color w:val="231F20"/>
          <w:spacing w:val="-2"/>
        </w:rPr>
        <w:t>стороны</w:t>
      </w:r>
      <w:r>
        <w:rPr>
          <w:color w:val="231F20"/>
          <w:spacing w:val="-4"/>
        </w:rPr>
        <w:t> </w:t>
      </w:r>
      <w:r>
        <w:rPr>
          <w:color w:val="231F20"/>
          <w:spacing w:val="-2"/>
        </w:rPr>
        <w:t>учителя </w:t>
      </w:r>
      <w:r>
        <w:rPr>
          <w:color w:val="231F20"/>
        </w:rPr>
        <w:t>понадобятся определенные усилия и время.</w:t>
      </w:r>
    </w:p>
    <w:p>
      <w:pPr>
        <w:pStyle w:val="BodyText"/>
        <w:spacing w:line="235" w:lineRule="auto"/>
      </w:pPr>
      <w:r>
        <w:rPr>
          <w:color w:val="231F20"/>
        </w:rPr>
        <w:t>Важно отметить, что авторы методики и педагоги, успешно использующие ее, рекомендуют готовить материал для уроков заранее. Это сделает процесс обучения более продуманным и плодотворным.</w:t>
      </w:r>
    </w:p>
    <w:p>
      <w:pPr>
        <w:pStyle w:val="BodyText"/>
        <w:spacing w:after="0" w:line="235" w:lineRule="auto"/>
        <w:sectPr>
          <w:pgSz w:w="8400" w:h="11910"/>
          <w:pgMar w:header="0" w:footer="530" w:top="400" w:bottom="740" w:left="425" w:right="425"/>
        </w:sectPr>
      </w:pPr>
    </w:p>
    <w:p>
      <w:pPr>
        <w:spacing w:before="80"/>
        <w:ind w:left="141" w:right="0" w:firstLine="0"/>
        <w:jc w:val="both"/>
        <w:rPr>
          <w:rFonts w:ascii="Georgia" w:hAnsi="Georgia"/>
          <w:sz w:val="18"/>
        </w:rPr>
      </w:pPr>
      <w:r>
        <w:rPr>
          <w:rFonts w:ascii="Georgia" w:hAnsi="Georgia"/>
          <w:color w:val="231F20"/>
          <w:sz w:val="18"/>
        </w:rPr>
        <w:t>4.3.</w:t>
      </w:r>
      <w:r>
        <w:rPr>
          <w:rFonts w:ascii="Georgia" w:hAnsi="Georgia"/>
          <w:color w:val="231F20"/>
          <w:spacing w:val="6"/>
          <w:sz w:val="18"/>
        </w:rPr>
        <w:t> </w:t>
      </w:r>
      <w:r>
        <w:rPr>
          <w:rFonts w:ascii="Georgia" w:hAnsi="Georgia"/>
          <w:color w:val="231F20"/>
          <w:sz w:val="18"/>
        </w:rPr>
        <w:t>Организация</w:t>
      </w:r>
      <w:r>
        <w:rPr>
          <w:rFonts w:ascii="Georgia" w:hAnsi="Georgia"/>
          <w:color w:val="231F20"/>
          <w:spacing w:val="7"/>
          <w:sz w:val="18"/>
        </w:rPr>
        <w:t> </w:t>
      </w:r>
      <w:r>
        <w:rPr>
          <w:rFonts w:ascii="Georgia" w:hAnsi="Georgia"/>
          <w:color w:val="231F20"/>
          <w:sz w:val="18"/>
        </w:rPr>
        <w:t>групповой</w:t>
      </w:r>
      <w:r>
        <w:rPr>
          <w:rFonts w:ascii="Georgia" w:hAnsi="Georgia"/>
          <w:color w:val="231F20"/>
          <w:spacing w:val="7"/>
          <w:sz w:val="18"/>
        </w:rPr>
        <w:t> </w:t>
      </w:r>
      <w:r>
        <w:rPr>
          <w:rFonts w:ascii="Georgia" w:hAnsi="Georgia"/>
          <w:color w:val="231F20"/>
          <w:sz w:val="18"/>
        </w:rPr>
        <w:t>учебной</w:t>
      </w:r>
      <w:r>
        <w:rPr>
          <w:rFonts w:ascii="Georgia" w:hAnsi="Georgia"/>
          <w:color w:val="231F20"/>
          <w:spacing w:val="6"/>
          <w:sz w:val="18"/>
        </w:rPr>
        <w:t> </w:t>
      </w:r>
      <w:r>
        <w:rPr>
          <w:rFonts w:ascii="Georgia" w:hAnsi="Georgia"/>
          <w:color w:val="231F20"/>
          <w:sz w:val="18"/>
        </w:rPr>
        <w:t>работы</w:t>
      </w:r>
      <w:r>
        <w:rPr>
          <w:rFonts w:ascii="Georgia" w:hAnsi="Georgia"/>
          <w:color w:val="231F20"/>
          <w:spacing w:val="7"/>
          <w:sz w:val="18"/>
        </w:rPr>
        <w:t> </w:t>
      </w:r>
      <w:r>
        <w:rPr>
          <w:rFonts w:ascii="Georgia" w:hAnsi="Georgia"/>
          <w:color w:val="231F20"/>
          <w:sz w:val="18"/>
        </w:rPr>
        <w:t>учащихся</w:t>
      </w:r>
      <w:r>
        <w:rPr>
          <w:rFonts w:ascii="Georgia" w:hAnsi="Georgia"/>
          <w:color w:val="231F20"/>
          <w:spacing w:val="7"/>
          <w:sz w:val="18"/>
        </w:rPr>
        <w:t> </w:t>
      </w:r>
      <w:r>
        <w:rPr>
          <w:rFonts w:ascii="Georgia" w:hAnsi="Georgia"/>
          <w:color w:val="231F20"/>
          <w:sz w:val="18"/>
        </w:rPr>
        <w:t>в</w:t>
      </w:r>
      <w:r>
        <w:rPr>
          <w:rFonts w:ascii="Georgia" w:hAnsi="Georgia"/>
          <w:color w:val="231F20"/>
          <w:spacing w:val="6"/>
          <w:sz w:val="18"/>
        </w:rPr>
        <w:t> </w:t>
      </w:r>
      <w:r>
        <w:rPr>
          <w:rFonts w:ascii="Georgia" w:hAnsi="Georgia"/>
          <w:color w:val="231F20"/>
          <w:sz w:val="18"/>
        </w:rPr>
        <w:t>поликультурном</w:t>
      </w:r>
      <w:r>
        <w:rPr>
          <w:rFonts w:ascii="Georgia" w:hAnsi="Georgia"/>
          <w:color w:val="231F20"/>
          <w:spacing w:val="7"/>
          <w:sz w:val="18"/>
        </w:rPr>
        <w:t> </w:t>
      </w:r>
      <w:r>
        <w:rPr>
          <w:rFonts w:ascii="Georgia" w:hAnsi="Georgia"/>
          <w:color w:val="231F20"/>
          <w:spacing w:val="-2"/>
          <w:sz w:val="18"/>
        </w:rPr>
        <w:t>классе...</w:t>
      </w:r>
    </w:p>
    <w:p>
      <w:pPr>
        <w:pStyle w:val="BodyText"/>
        <w:spacing w:line="235" w:lineRule="auto" w:before="116"/>
      </w:pPr>
      <w:r>
        <w:rPr>
          <w:color w:val="231F20"/>
        </w:rPr>
        <w:t>Также</w:t>
      </w:r>
      <w:r>
        <w:rPr>
          <w:color w:val="231F20"/>
          <w:spacing w:val="-1"/>
        </w:rPr>
        <w:t> </w:t>
      </w:r>
      <w:r>
        <w:rPr>
          <w:color w:val="231F20"/>
        </w:rPr>
        <w:t>желательно,</w:t>
      </w:r>
      <w:r>
        <w:rPr>
          <w:color w:val="231F20"/>
          <w:spacing w:val="-1"/>
        </w:rPr>
        <w:t> </w:t>
      </w:r>
      <w:r>
        <w:rPr>
          <w:color w:val="231F20"/>
        </w:rPr>
        <w:t>чтобы</w:t>
      </w:r>
      <w:r>
        <w:rPr>
          <w:color w:val="231F20"/>
          <w:spacing w:val="-1"/>
        </w:rPr>
        <w:t> </w:t>
      </w:r>
      <w:r>
        <w:rPr>
          <w:color w:val="231F20"/>
        </w:rPr>
        <w:t>изучаемый</w:t>
      </w:r>
      <w:r>
        <w:rPr>
          <w:color w:val="231F20"/>
          <w:spacing w:val="-1"/>
        </w:rPr>
        <w:t> </w:t>
      </w:r>
      <w:r>
        <w:rPr>
          <w:color w:val="231F20"/>
        </w:rPr>
        <w:t>материал</w:t>
      </w:r>
      <w:r>
        <w:rPr>
          <w:color w:val="231F20"/>
          <w:spacing w:val="-1"/>
        </w:rPr>
        <w:t> </w:t>
      </w:r>
      <w:r>
        <w:rPr>
          <w:color w:val="231F20"/>
        </w:rPr>
        <w:t>не</w:t>
      </w:r>
      <w:r>
        <w:rPr>
          <w:color w:val="231F20"/>
          <w:spacing w:val="-1"/>
        </w:rPr>
        <w:t> </w:t>
      </w:r>
      <w:r>
        <w:rPr>
          <w:color w:val="231F20"/>
        </w:rPr>
        <w:t>был</w:t>
      </w:r>
      <w:r>
        <w:rPr>
          <w:color w:val="231F20"/>
          <w:spacing w:val="-1"/>
        </w:rPr>
        <w:t> </w:t>
      </w:r>
      <w:r>
        <w:rPr>
          <w:color w:val="231F20"/>
        </w:rPr>
        <w:t>принципиально</w:t>
      </w:r>
      <w:r>
        <w:rPr>
          <w:color w:val="231F20"/>
          <w:spacing w:val="-1"/>
        </w:rPr>
        <w:t> </w:t>
      </w:r>
      <w:r>
        <w:rPr>
          <w:color w:val="231F20"/>
        </w:rPr>
        <w:t>новым</w:t>
      </w:r>
      <w:r>
        <w:rPr>
          <w:color w:val="231F20"/>
          <w:spacing w:val="-1"/>
        </w:rPr>
        <w:t> </w:t>
      </w:r>
      <w:r>
        <w:rPr>
          <w:color w:val="231F20"/>
        </w:rPr>
        <w:t>(то есть</w:t>
      </w:r>
      <w:r>
        <w:rPr>
          <w:color w:val="231F20"/>
          <w:spacing w:val="-10"/>
        </w:rPr>
        <w:t> </w:t>
      </w:r>
      <w:r>
        <w:rPr>
          <w:color w:val="231F20"/>
        </w:rPr>
        <w:t>не</w:t>
      </w:r>
      <w:r>
        <w:rPr>
          <w:color w:val="231F20"/>
          <w:spacing w:val="-10"/>
        </w:rPr>
        <w:t> </w:t>
      </w:r>
      <w:r>
        <w:rPr>
          <w:color w:val="231F20"/>
        </w:rPr>
        <w:t>требовал</w:t>
      </w:r>
      <w:r>
        <w:rPr>
          <w:color w:val="231F20"/>
          <w:spacing w:val="-10"/>
        </w:rPr>
        <w:t> </w:t>
      </w:r>
      <w:r>
        <w:rPr>
          <w:color w:val="231F20"/>
        </w:rPr>
        <w:t>использования</w:t>
      </w:r>
      <w:r>
        <w:rPr>
          <w:color w:val="231F20"/>
          <w:spacing w:val="-10"/>
        </w:rPr>
        <w:t> </w:t>
      </w:r>
      <w:r>
        <w:rPr>
          <w:color w:val="231F20"/>
        </w:rPr>
        <w:t>тех</w:t>
      </w:r>
      <w:r>
        <w:rPr>
          <w:color w:val="231F20"/>
          <w:spacing w:val="-10"/>
        </w:rPr>
        <w:t> </w:t>
      </w:r>
      <w:r>
        <w:rPr>
          <w:color w:val="231F20"/>
        </w:rPr>
        <w:t>навыков,</w:t>
      </w:r>
      <w:r>
        <w:rPr>
          <w:color w:val="231F20"/>
          <w:spacing w:val="-10"/>
        </w:rPr>
        <w:t> </w:t>
      </w:r>
      <w:r>
        <w:rPr>
          <w:color w:val="231F20"/>
        </w:rPr>
        <w:t>которые</w:t>
      </w:r>
      <w:r>
        <w:rPr>
          <w:color w:val="231F20"/>
          <w:spacing w:val="-10"/>
        </w:rPr>
        <w:t> </w:t>
      </w:r>
      <w:r>
        <w:rPr>
          <w:color w:val="231F20"/>
        </w:rPr>
        <w:t>еще</w:t>
      </w:r>
      <w:r>
        <w:rPr>
          <w:color w:val="231F20"/>
          <w:spacing w:val="-10"/>
        </w:rPr>
        <w:t> </w:t>
      </w:r>
      <w:r>
        <w:rPr>
          <w:color w:val="231F20"/>
        </w:rPr>
        <w:t>не</w:t>
      </w:r>
      <w:r>
        <w:rPr>
          <w:color w:val="231F20"/>
          <w:spacing w:val="-10"/>
        </w:rPr>
        <w:t> </w:t>
      </w:r>
      <w:r>
        <w:rPr>
          <w:color w:val="231F20"/>
        </w:rPr>
        <w:t>сформированы</w:t>
      </w:r>
      <w:r>
        <w:rPr>
          <w:color w:val="231F20"/>
          <w:spacing w:val="-10"/>
        </w:rPr>
        <w:t> </w:t>
      </w:r>
      <w:r>
        <w:rPr>
          <w:color w:val="231F20"/>
        </w:rPr>
        <w:t>или</w:t>
      </w:r>
      <w:r>
        <w:rPr>
          <w:color w:val="231F20"/>
          <w:spacing w:val="-10"/>
        </w:rPr>
        <w:t> </w:t>
      </w:r>
      <w:r>
        <w:rPr>
          <w:color w:val="231F20"/>
        </w:rPr>
        <w:t>сла- бо</w:t>
      </w:r>
      <w:r>
        <w:rPr>
          <w:color w:val="231F20"/>
          <w:spacing w:val="-13"/>
        </w:rPr>
        <w:t> </w:t>
      </w:r>
      <w:r>
        <w:rPr>
          <w:color w:val="231F20"/>
        </w:rPr>
        <w:t>развиты</w:t>
      </w:r>
      <w:r>
        <w:rPr>
          <w:color w:val="231F20"/>
          <w:spacing w:val="-12"/>
        </w:rPr>
        <w:t> </w:t>
      </w:r>
      <w:r>
        <w:rPr>
          <w:color w:val="231F20"/>
        </w:rPr>
        <w:t>у</w:t>
      </w:r>
      <w:r>
        <w:rPr>
          <w:color w:val="231F20"/>
          <w:spacing w:val="-13"/>
        </w:rPr>
        <w:t> </w:t>
      </w:r>
      <w:r>
        <w:rPr>
          <w:color w:val="231F20"/>
        </w:rPr>
        <w:t>учеников).</w:t>
      </w:r>
      <w:r>
        <w:rPr>
          <w:color w:val="231F20"/>
          <w:spacing w:val="-12"/>
        </w:rPr>
        <w:t> </w:t>
      </w:r>
      <w:r>
        <w:rPr>
          <w:color w:val="231F20"/>
        </w:rPr>
        <w:t>Например,</w:t>
      </w:r>
      <w:r>
        <w:rPr>
          <w:color w:val="231F20"/>
          <w:spacing w:val="-13"/>
        </w:rPr>
        <w:t> </w:t>
      </w:r>
      <w:r>
        <w:rPr>
          <w:color w:val="231F20"/>
        </w:rPr>
        <w:t>изучение</w:t>
      </w:r>
      <w:r>
        <w:rPr>
          <w:color w:val="231F20"/>
          <w:spacing w:val="-12"/>
        </w:rPr>
        <w:t> </w:t>
      </w:r>
      <w:r>
        <w:rPr>
          <w:color w:val="231F20"/>
        </w:rPr>
        <w:t>сложения</w:t>
      </w:r>
      <w:r>
        <w:rPr>
          <w:color w:val="231F20"/>
          <w:spacing w:val="-13"/>
        </w:rPr>
        <w:t> </w:t>
      </w:r>
      <w:r>
        <w:rPr>
          <w:color w:val="231F20"/>
        </w:rPr>
        <w:t>и</w:t>
      </w:r>
      <w:r>
        <w:rPr>
          <w:color w:val="231F20"/>
          <w:spacing w:val="-12"/>
        </w:rPr>
        <w:t> </w:t>
      </w:r>
      <w:r>
        <w:rPr>
          <w:color w:val="231F20"/>
        </w:rPr>
        <w:t>вычитания</w:t>
      </w:r>
      <w:r>
        <w:rPr>
          <w:color w:val="231F20"/>
          <w:spacing w:val="-13"/>
        </w:rPr>
        <w:t> </w:t>
      </w:r>
      <w:r>
        <w:rPr>
          <w:color w:val="231F20"/>
        </w:rPr>
        <w:t>при</w:t>
      </w:r>
      <w:r>
        <w:rPr>
          <w:color w:val="231F20"/>
          <w:spacing w:val="-12"/>
        </w:rPr>
        <w:t> </w:t>
      </w:r>
      <w:r>
        <w:rPr>
          <w:color w:val="231F20"/>
        </w:rPr>
        <w:t>помощи</w:t>
      </w:r>
      <w:r>
        <w:rPr>
          <w:color w:val="231F20"/>
          <w:spacing w:val="-13"/>
        </w:rPr>
        <w:t> </w:t>
      </w:r>
      <w:r>
        <w:rPr>
          <w:color w:val="231F20"/>
        </w:rPr>
        <w:t>дан- ной</w:t>
      </w:r>
      <w:r>
        <w:rPr>
          <w:color w:val="231F20"/>
          <w:spacing w:val="-4"/>
        </w:rPr>
        <w:t> </w:t>
      </w:r>
      <w:r>
        <w:rPr>
          <w:color w:val="231F20"/>
        </w:rPr>
        <w:t>методики</w:t>
      </w:r>
      <w:r>
        <w:rPr>
          <w:color w:val="231F20"/>
          <w:spacing w:val="-4"/>
        </w:rPr>
        <w:t> </w:t>
      </w:r>
      <w:r>
        <w:rPr>
          <w:color w:val="231F20"/>
        </w:rPr>
        <w:t>–</w:t>
      </w:r>
      <w:r>
        <w:rPr>
          <w:color w:val="231F20"/>
          <w:spacing w:val="-4"/>
        </w:rPr>
        <w:t> </w:t>
      </w:r>
      <w:r>
        <w:rPr>
          <w:color w:val="231F20"/>
        </w:rPr>
        <w:t>не</w:t>
      </w:r>
      <w:r>
        <w:rPr>
          <w:color w:val="231F20"/>
          <w:spacing w:val="-4"/>
        </w:rPr>
        <w:t> </w:t>
      </w:r>
      <w:r>
        <w:rPr>
          <w:color w:val="231F20"/>
        </w:rPr>
        <w:t>лучшая</w:t>
      </w:r>
      <w:r>
        <w:rPr>
          <w:color w:val="231F20"/>
          <w:spacing w:val="-4"/>
        </w:rPr>
        <w:t> </w:t>
      </w:r>
      <w:r>
        <w:rPr>
          <w:color w:val="231F20"/>
        </w:rPr>
        <w:t>идея,</w:t>
      </w:r>
      <w:r>
        <w:rPr>
          <w:color w:val="231F20"/>
          <w:spacing w:val="-4"/>
        </w:rPr>
        <w:t> </w:t>
      </w:r>
      <w:r>
        <w:rPr>
          <w:color w:val="231F20"/>
        </w:rPr>
        <w:t>однако</w:t>
      </w:r>
      <w:r>
        <w:rPr>
          <w:color w:val="231F20"/>
          <w:spacing w:val="-4"/>
        </w:rPr>
        <w:t> </w:t>
      </w:r>
      <w:r>
        <w:rPr>
          <w:color w:val="231F20"/>
        </w:rPr>
        <w:t>методика</w:t>
      </w:r>
      <w:r>
        <w:rPr>
          <w:color w:val="231F20"/>
          <w:spacing w:val="-4"/>
        </w:rPr>
        <w:t> </w:t>
      </w:r>
      <w:r>
        <w:rPr>
          <w:color w:val="231F20"/>
        </w:rPr>
        <w:t>прекрасно</w:t>
      </w:r>
      <w:r>
        <w:rPr>
          <w:color w:val="231F20"/>
          <w:spacing w:val="-4"/>
        </w:rPr>
        <w:t> </w:t>
      </w:r>
      <w:r>
        <w:rPr>
          <w:color w:val="231F20"/>
        </w:rPr>
        <w:t>подойдет</w:t>
      </w:r>
      <w:r>
        <w:rPr>
          <w:color w:val="231F20"/>
          <w:spacing w:val="-4"/>
        </w:rPr>
        <w:t> </w:t>
      </w:r>
      <w:r>
        <w:rPr>
          <w:color w:val="231F20"/>
        </w:rPr>
        <w:t>для</w:t>
      </w:r>
      <w:r>
        <w:rPr>
          <w:color w:val="231F20"/>
          <w:spacing w:val="-4"/>
        </w:rPr>
        <w:t> </w:t>
      </w:r>
      <w:r>
        <w:rPr>
          <w:color w:val="231F20"/>
        </w:rPr>
        <w:t>того,</w:t>
      </w:r>
      <w:r>
        <w:rPr>
          <w:color w:val="231F20"/>
          <w:spacing w:val="-4"/>
        </w:rPr>
        <w:t> </w:t>
      </w:r>
      <w:r>
        <w:rPr>
          <w:color w:val="231F20"/>
        </w:rPr>
        <w:t>чтоб </w:t>
      </w:r>
      <w:r>
        <w:rPr>
          <w:color w:val="231F20"/>
          <w:spacing w:val="-2"/>
        </w:rPr>
        <w:t>отработать эти навыки. Можно сказать, что метод мозаичного класса применяется как </w:t>
      </w:r>
      <w:r>
        <w:rPr>
          <w:color w:val="231F20"/>
        </w:rPr>
        <w:t>дополнение для отработки и закрепления уже выученного при помощи более тради- ционных методов материала.</w:t>
      </w:r>
    </w:p>
    <w:p>
      <w:pPr>
        <w:pStyle w:val="ListParagraph"/>
        <w:numPr>
          <w:ilvl w:val="0"/>
          <w:numId w:val="316"/>
        </w:numPr>
        <w:tabs>
          <w:tab w:pos="423" w:val="left" w:leader="none"/>
        </w:tabs>
        <w:spacing w:line="228" w:lineRule="exact" w:before="57" w:after="0"/>
        <w:ind w:left="423" w:right="0" w:hanging="282"/>
        <w:jc w:val="both"/>
        <w:rPr>
          <w:i/>
          <w:sz w:val="20"/>
        </w:rPr>
      </w:pPr>
      <w:r>
        <w:rPr>
          <w:i/>
          <w:color w:val="231F20"/>
          <w:sz w:val="20"/>
        </w:rPr>
        <w:t>Мозаичные</w:t>
      </w:r>
      <w:r>
        <w:rPr>
          <w:i/>
          <w:color w:val="231F20"/>
          <w:spacing w:val="-6"/>
          <w:sz w:val="20"/>
        </w:rPr>
        <w:t> </w:t>
      </w:r>
      <w:r>
        <w:rPr>
          <w:i/>
          <w:color w:val="231F20"/>
          <w:spacing w:val="-2"/>
          <w:sz w:val="20"/>
        </w:rPr>
        <w:t>карточки</w:t>
      </w:r>
    </w:p>
    <w:p>
      <w:pPr>
        <w:pStyle w:val="BodyText"/>
        <w:spacing w:line="235" w:lineRule="auto" w:before="2"/>
      </w:pPr>
      <w:r>
        <w:rPr>
          <w:color w:val="231F20"/>
        </w:rPr>
        <w:t>После выбора подходящего материала, надо подготовить информационные кар- точки</w:t>
      </w:r>
      <w:r>
        <w:rPr>
          <w:color w:val="231F20"/>
          <w:spacing w:val="-5"/>
        </w:rPr>
        <w:t> </w:t>
      </w:r>
      <w:r>
        <w:rPr>
          <w:color w:val="231F20"/>
        </w:rPr>
        <w:t>для</w:t>
      </w:r>
      <w:r>
        <w:rPr>
          <w:color w:val="231F20"/>
          <w:spacing w:val="-5"/>
        </w:rPr>
        <w:t> </w:t>
      </w:r>
      <w:r>
        <w:rPr>
          <w:color w:val="231F20"/>
        </w:rPr>
        <w:t>всех</w:t>
      </w:r>
      <w:r>
        <w:rPr>
          <w:color w:val="231F20"/>
          <w:spacing w:val="-5"/>
        </w:rPr>
        <w:t> </w:t>
      </w:r>
      <w:r>
        <w:rPr>
          <w:color w:val="231F20"/>
        </w:rPr>
        <w:t>учащихся.</w:t>
      </w:r>
      <w:r>
        <w:rPr>
          <w:color w:val="231F20"/>
          <w:spacing w:val="-5"/>
        </w:rPr>
        <w:t> </w:t>
      </w:r>
      <w:r>
        <w:rPr>
          <w:color w:val="231F20"/>
        </w:rPr>
        <w:t>Карточки</w:t>
      </w:r>
      <w:r>
        <w:rPr>
          <w:color w:val="231F20"/>
          <w:spacing w:val="-5"/>
        </w:rPr>
        <w:t> </w:t>
      </w:r>
      <w:r>
        <w:rPr>
          <w:color w:val="231F20"/>
        </w:rPr>
        <w:t>можно</w:t>
      </w:r>
      <w:r>
        <w:rPr>
          <w:color w:val="231F20"/>
          <w:spacing w:val="-5"/>
        </w:rPr>
        <w:t> </w:t>
      </w:r>
      <w:r>
        <w:rPr>
          <w:color w:val="231F20"/>
        </w:rPr>
        <w:t>изготовить</w:t>
      </w:r>
      <w:r>
        <w:rPr>
          <w:color w:val="231F20"/>
          <w:spacing w:val="-5"/>
        </w:rPr>
        <w:t> </w:t>
      </w:r>
      <w:r>
        <w:rPr>
          <w:color w:val="231F20"/>
        </w:rPr>
        <w:t>из</w:t>
      </w:r>
      <w:r>
        <w:rPr>
          <w:color w:val="231F20"/>
          <w:spacing w:val="-5"/>
        </w:rPr>
        <w:t> </w:t>
      </w:r>
      <w:r>
        <w:rPr>
          <w:color w:val="231F20"/>
        </w:rPr>
        <w:t>любой</w:t>
      </w:r>
      <w:r>
        <w:rPr>
          <w:color w:val="231F20"/>
          <w:spacing w:val="-5"/>
        </w:rPr>
        <w:t> </w:t>
      </w:r>
      <w:r>
        <w:rPr>
          <w:color w:val="231F20"/>
        </w:rPr>
        <w:t>плотной</w:t>
      </w:r>
      <w:r>
        <w:rPr>
          <w:color w:val="231F20"/>
          <w:spacing w:val="-5"/>
        </w:rPr>
        <w:t> </w:t>
      </w:r>
      <w:r>
        <w:rPr>
          <w:color w:val="231F20"/>
        </w:rPr>
        <w:t>бумаги</w:t>
      </w:r>
      <w:r>
        <w:rPr>
          <w:color w:val="231F20"/>
          <w:spacing w:val="-5"/>
        </w:rPr>
        <w:t> </w:t>
      </w:r>
      <w:r>
        <w:rPr>
          <w:color w:val="231F20"/>
        </w:rPr>
        <w:t>или картона (размер 10 на 15). Чтобы добиться максимального взаимодействия между участниками,</w:t>
      </w:r>
      <w:r>
        <w:rPr>
          <w:color w:val="231F20"/>
          <w:spacing w:val="-7"/>
        </w:rPr>
        <w:t> </w:t>
      </w:r>
      <w:r>
        <w:rPr>
          <w:color w:val="231F20"/>
        </w:rPr>
        <w:t>нужно,</w:t>
      </w:r>
      <w:r>
        <w:rPr>
          <w:color w:val="231F20"/>
          <w:spacing w:val="-7"/>
        </w:rPr>
        <w:t> </w:t>
      </w:r>
      <w:r>
        <w:rPr>
          <w:color w:val="231F20"/>
        </w:rPr>
        <w:t>чтобы</w:t>
      </w:r>
      <w:r>
        <w:rPr>
          <w:color w:val="231F20"/>
          <w:spacing w:val="-7"/>
        </w:rPr>
        <w:t> </w:t>
      </w:r>
      <w:r>
        <w:rPr>
          <w:color w:val="231F20"/>
        </w:rPr>
        <w:t>в</w:t>
      </w:r>
      <w:r>
        <w:rPr>
          <w:color w:val="231F20"/>
          <w:spacing w:val="-7"/>
        </w:rPr>
        <w:t> </w:t>
      </w:r>
      <w:r>
        <w:rPr>
          <w:color w:val="231F20"/>
        </w:rPr>
        <w:t>одной</w:t>
      </w:r>
      <w:r>
        <w:rPr>
          <w:color w:val="231F20"/>
          <w:spacing w:val="-7"/>
        </w:rPr>
        <w:t> </w:t>
      </w:r>
      <w:r>
        <w:rPr>
          <w:color w:val="231F20"/>
        </w:rPr>
        <w:t>группе</w:t>
      </w:r>
      <w:r>
        <w:rPr>
          <w:color w:val="231F20"/>
          <w:spacing w:val="-7"/>
        </w:rPr>
        <w:t> </w:t>
      </w:r>
      <w:r>
        <w:rPr>
          <w:color w:val="231F20"/>
        </w:rPr>
        <w:t>задания</w:t>
      </w:r>
      <w:r>
        <w:rPr>
          <w:color w:val="231F20"/>
          <w:spacing w:val="-7"/>
        </w:rPr>
        <w:t> </w:t>
      </w:r>
      <w:r>
        <w:rPr>
          <w:color w:val="231F20"/>
        </w:rPr>
        <w:t>не</w:t>
      </w:r>
      <w:r>
        <w:rPr>
          <w:color w:val="231F20"/>
          <w:spacing w:val="-7"/>
        </w:rPr>
        <w:t> </w:t>
      </w:r>
      <w:r>
        <w:rPr>
          <w:color w:val="231F20"/>
        </w:rPr>
        <w:t>повторялись,</w:t>
      </w:r>
      <w:r>
        <w:rPr>
          <w:color w:val="231F20"/>
          <w:spacing w:val="-7"/>
        </w:rPr>
        <w:t> </w:t>
      </w:r>
      <w:r>
        <w:rPr>
          <w:color w:val="231F20"/>
        </w:rPr>
        <w:t>и</w:t>
      </w:r>
      <w:r>
        <w:rPr>
          <w:color w:val="231F20"/>
          <w:spacing w:val="-7"/>
        </w:rPr>
        <w:t> </w:t>
      </w:r>
      <w:r>
        <w:rPr>
          <w:color w:val="231F20"/>
        </w:rPr>
        <w:t>каждый</w:t>
      </w:r>
      <w:r>
        <w:rPr>
          <w:color w:val="231F20"/>
          <w:spacing w:val="-8"/>
        </w:rPr>
        <w:t> </w:t>
      </w:r>
      <w:r>
        <w:rPr>
          <w:color w:val="231F20"/>
        </w:rPr>
        <w:t>участ- ник</w:t>
      </w:r>
      <w:r>
        <w:rPr>
          <w:color w:val="231F20"/>
          <w:spacing w:val="-1"/>
        </w:rPr>
        <w:t> </w:t>
      </w:r>
      <w:r>
        <w:rPr>
          <w:color w:val="231F20"/>
        </w:rPr>
        <w:t>мог</w:t>
      </w:r>
      <w:r>
        <w:rPr>
          <w:color w:val="231F20"/>
          <w:spacing w:val="-1"/>
        </w:rPr>
        <w:t> </w:t>
      </w:r>
      <w:r>
        <w:rPr>
          <w:color w:val="231F20"/>
        </w:rPr>
        <w:t>получить</w:t>
      </w:r>
      <w:r>
        <w:rPr>
          <w:color w:val="231F20"/>
          <w:spacing w:val="-1"/>
        </w:rPr>
        <w:t> </w:t>
      </w:r>
      <w:r>
        <w:rPr>
          <w:color w:val="231F20"/>
        </w:rPr>
        <w:t>другие</w:t>
      </w:r>
      <w:r>
        <w:rPr>
          <w:color w:val="231F20"/>
          <w:spacing w:val="-1"/>
        </w:rPr>
        <w:t> </w:t>
      </w:r>
      <w:r>
        <w:rPr>
          <w:color w:val="231F20"/>
        </w:rPr>
        <w:t>части</w:t>
      </w:r>
      <w:r>
        <w:rPr>
          <w:color w:val="231F20"/>
          <w:spacing w:val="-1"/>
        </w:rPr>
        <w:t> </w:t>
      </w:r>
      <w:r>
        <w:rPr>
          <w:color w:val="231F20"/>
        </w:rPr>
        <w:t>материала</w:t>
      </w:r>
      <w:r>
        <w:rPr>
          <w:color w:val="231F20"/>
          <w:spacing w:val="-1"/>
        </w:rPr>
        <w:t> </w:t>
      </w:r>
      <w:r>
        <w:rPr>
          <w:color w:val="231F20"/>
        </w:rPr>
        <w:t>только</w:t>
      </w:r>
      <w:r>
        <w:rPr>
          <w:color w:val="231F20"/>
          <w:spacing w:val="-1"/>
        </w:rPr>
        <w:t> </w:t>
      </w:r>
      <w:r>
        <w:rPr>
          <w:color w:val="231F20"/>
        </w:rPr>
        <w:t>у</w:t>
      </w:r>
      <w:r>
        <w:rPr>
          <w:color w:val="231F20"/>
          <w:spacing w:val="-1"/>
        </w:rPr>
        <w:t> </w:t>
      </w:r>
      <w:r>
        <w:rPr>
          <w:color w:val="231F20"/>
        </w:rPr>
        <w:t>своих</w:t>
      </w:r>
      <w:r>
        <w:rPr>
          <w:color w:val="231F20"/>
          <w:spacing w:val="-1"/>
        </w:rPr>
        <w:t> </w:t>
      </w:r>
      <w:r>
        <w:rPr>
          <w:color w:val="231F20"/>
        </w:rPr>
        <w:t>товарищей.</w:t>
      </w:r>
      <w:r>
        <w:rPr>
          <w:color w:val="231F20"/>
          <w:spacing w:val="-1"/>
        </w:rPr>
        <w:t> </w:t>
      </w:r>
      <w:r>
        <w:rPr>
          <w:color w:val="231F20"/>
        </w:rPr>
        <w:t>Учитель</w:t>
      </w:r>
      <w:r>
        <w:rPr>
          <w:color w:val="231F20"/>
          <w:spacing w:val="-1"/>
        </w:rPr>
        <w:t> </w:t>
      </w:r>
      <w:r>
        <w:rPr>
          <w:color w:val="231F20"/>
        </w:rPr>
        <w:t>нуме- рует</w:t>
      </w:r>
      <w:r>
        <w:rPr>
          <w:color w:val="231F20"/>
          <w:spacing w:val="-10"/>
        </w:rPr>
        <w:t> </w:t>
      </w:r>
      <w:r>
        <w:rPr>
          <w:color w:val="231F20"/>
        </w:rPr>
        <w:t>карточки</w:t>
      </w:r>
      <w:r>
        <w:rPr>
          <w:color w:val="231F20"/>
          <w:spacing w:val="-10"/>
        </w:rPr>
        <w:t> </w:t>
      </w:r>
      <w:r>
        <w:rPr>
          <w:color w:val="231F20"/>
        </w:rPr>
        <w:t>для</w:t>
      </w:r>
      <w:r>
        <w:rPr>
          <w:color w:val="231F20"/>
          <w:spacing w:val="-10"/>
        </w:rPr>
        <w:t> </w:t>
      </w:r>
      <w:r>
        <w:rPr>
          <w:color w:val="231F20"/>
        </w:rPr>
        <w:t>одной</w:t>
      </w:r>
      <w:r>
        <w:rPr>
          <w:color w:val="231F20"/>
          <w:spacing w:val="-10"/>
        </w:rPr>
        <w:t> </w:t>
      </w:r>
      <w:r>
        <w:rPr>
          <w:color w:val="231F20"/>
        </w:rPr>
        <w:t>группы</w:t>
      </w:r>
      <w:r>
        <w:rPr>
          <w:color w:val="231F20"/>
          <w:spacing w:val="-10"/>
        </w:rPr>
        <w:t> </w:t>
      </w:r>
      <w:r>
        <w:rPr>
          <w:color w:val="231F20"/>
        </w:rPr>
        <w:t>от</w:t>
      </w:r>
      <w:r>
        <w:rPr>
          <w:color w:val="231F20"/>
          <w:spacing w:val="-10"/>
        </w:rPr>
        <w:t> </w:t>
      </w:r>
      <w:r>
        <w:rPr>
          <w:color w:val="231F20"/>
        </w:rPr>
        <w:t>1</w:t>
      </w:r>
      <w:r>
        <w:rPr>
          <w:color w:val="231F20"/>
          <w:spacing w:val="-10"/>
        </w:rPr>
        <w:t> </w:t>
      </w:r>
      <w:r>
        <w:rPr>
          <w:color w:val="231F20"/>
        </w:rPr>
        <w:t>до</w:t>
      </w:r>
      <w:r>
        <w:rPr>
          <w:color w:val="231F20"/>
          <w:spacing w:val="-10"/>
        </w:rPr>
        <w:t> </w:t>
      </w:r>
      <w:r>
        <w:rPr>
          <w:color w:val="231F20"/>
        </w:rPr>
        <w:t>6</w:t>
      </w:r>
      <w:r>
        <w:rPr>
          <w:color w:val="231F20"/>
          <w:spacing w:val="-10"/>
        </w:rPr>
        <w:t> </w:t>
      </w:r>
      <w:r>
        <w:rPr>
          <w:color w:val="231F20"/>
        </w:rPr>
        <w:t>(или</w:t>
      </w:r>
      <w:r>
        <w:rPr>
          <w:color w:val="231F20"/>
          <w:spacing w:val="-10"/>
        </w:rPr>
        <w:t> </w:t>
      </w:r>
      <w:r>
        <w:rPr>
          <w:color w:val="231F20"/>
        </w:rPr>
        <w:t>в</w:t>
      </w:r>
      <w:r>
        <w:rPr>
          <w:color w:val="231F20"/>
          <w:spacing w:val="-10"/>
        </w:rPr>
        <w:t> </w:t>
      </w:r>
      <w:r>
        <w:rPr>
          <w:color w:val="231F20"/>
        </w:rPr>
        <w:t>зависимости</w:t>
      </w:r>
      <w:r>
        <w:rPr>
          <w:color w:val="231F20"/>
          <w:spacing w:val="-10"/>
        </w:rPr>
        <w:t> </w:t>
      </w:r>
      <w:r>
        <w:rPr>
          <w:color w:val="231F20"/>
        </w:rPr>
        <w:t>от</w:t>
      </w:r>
      <w:r>
        <w:rPr>
          <w:color w:val="231F20"/>
          <w:spacing w:val="-10"/>
        </w:rPr>
        <w:t> </w:t>
      </w:r>
      <w:r>
        <w:rPr>
          <w:color w:val="231F20"/>
        </w:rPr>
        <w:t>количества</w:t>
      </w:r>
      <w:r>
        <w:rPr>
          <w:color w:val="231F20"/>
          <w:spacing w:val="-10"/>
        </w:rPr>
        <w:t> </w:t>
      </w:r>
      <w:r>
        <w:rPr>
          <w:color w:val="231F20"/>
        </w:rPr>
        <w:t>учеников в группе). Такая же подготовка материала возможна и в онлайн-формате.</w:t>
      </w:r>
    </w:p>
    <w:p>
      <w:pPr>
        <w:pStyle w:val="BodyText"/>
        <w:spacing w:line="235" w:lineRule="auto" w:before="4"/>
      </w:pPr>
      <w:r>
        <w:rPr>
          <w:color w:val="231F20"/>
        </w:rPr>
        <w:t>Количество</w:t>
      </w:r>
      <w:r>
        <w:rPr>
          <w:color w:val="231F20"/>
          <w:spacing w:val="-10"/>
        </w:rPr>
        <w:t> </w:t>
      </w:r>
      <w:r>
        <w:rPr>
          <w:color w:val="231F20"/>
        </w:rPr>
        <w:t>материала</w:t>
      </w:r>
      <w:r>
        <w:rPr>
          <w:color w:val="231F20"/>
          <w:spacing w:val="-10"/>
        </w:rPr>
        <w:t> </w:t>
      </w:r>
      <w:r>
        <w:rPr>
          <w:color w:val="231F20"/>
        </w:rPr>
        <w:t>и</w:t>
      </w:r>
      <w:r>
        <w:rPr>
          <w:color w:val="231F20"/>
          <w:spacing w:val="-10"/>
        </w:rPr>
        <w:t> </w:t>
      </w:r>
      <w:r>
        <w:rPr>
          <w:color w:val="231F20"/>
        </w:rPr>
        <w:t>то,</w:t>
      </w:r>
      <w:r>
        <w:rPr>
          <w:color w:val="231F20"/>
          <w:spacing w:val="-10"/>
        </w:rPr>
        <w:t> </w:t>
      </w:r>
      <w:r>
        <w:rPr>
          <w:color w:val="231F20"/>
        </w:rPr>
        <w:t>как</w:t>
      </w:r>
      <w:r>
        <w:rPr>
          <w:color w:val="231F20"/>
          <w:spacing w:val="-10"/>
        </w:rPr>
        <w:t> </w:t>
      </w:r>
      <w:r>
        <w:rPr>
          <w:color w:val="231F20"/>
        </w:rPr>
        <w:t>он</w:t>
      </w:r>
      <w:r>
        <w:rPr>
          <w:color w:val="231F20"/>
          <w:spacing w:val="-10"/>
        </w:rPr>
        <w:t> </w:t>
      </w:r>
      <w:r>
        <w:rPr>
          <w:color w:val="231F20"/>
        </w:rPr>
        <w:t>поделен</w:t>
      </w:r>
      <w:r>
        <w:rPr>
          <w:color w:val="231F20"/>
          <w:spacing w:val="-10"/>
        </w:rPr>
        <w:t> </w:t>
      </w:r>
      <w:r>
        <w:rPr>
          <w:color w:val="231F20"/>
        </w:rPr>
        <w:t>между</w:t>
      </w:r>
      <w:r>
        <w:rPr>
          <w:color w:val="231F20"/>
          <w:spacing w:val="-10"/>
        </w:rPr>
        <w:t> </w:t>
      </w:r>
      <w:r>
        <w:rPr>
          <w:color w:val="231F20"/>
        </w:rPr>
        <w:t>участниками,</w:t>
      </w:r>
      <w:r>
        <w:rPr>
          <w:color w:val="231F20"/>
          <w:spacing w:val="-10"/>
        </w:rPr>
        <w:t> </w:t>
      </w:r>
      <w:r>
        <w:rPr>
          <w:color w:val="231F20"/>
        </w:rPr>
        <w:t>являются</w:t>
      </w:r>
      <w:r>
        <w:rPr>
          <w:color w:val="231F20"/>
          <w:spacing w:val="-10"/>
        </w:rPr>
        <w:t> </w:t>
      </w:r>
      <w:r>
        <w:rPr>
          <w:color w:val="231F20"/>
        </w:rPr>
        <w:t>важной частью</w:t>
      </w:r>
      <w:r>
        <w:rPr>
          <w:color w:val="231F20"/>
          <w:spacing w:val="-13"/>
        </w:rPr>
        <w:t> </w:t>
      </w:r>
      <w:r>
        <w:rPr>
          <w:color w:val="231F20"/>
        </w:rPr>
        <w:t>подготовки</w:t>
      </w:r>
      <w:r>
        <w:rPr>
          <w:color w:val="231F20"/>
          <w:spacing w:val="-12"/>
        </w:rPr>
        <w:t> </w:t>
      </w:r>
      <w:r>
        <w:rPr>
          <w:color w:val="231F20"/>
        </w:rPr>
        <w:t>к</w:t>
      </w:r>
      <w:r>
        <w:rPr>
          <w:color w:val="231F20"/>
          <w:spacing w:val="-13"/>
        </w:rPr>
        <w:t> </w:t>
      </w:r>
      <w:r>
        <w:rPr>
          <w:color w:val="231F20"/>
        </w:rPr>
        <w:t>проведению</w:t>
      </w:r>
      <w:r>
        <w:rPr>
          <w:color w:val="231F20"/>
          <w:spacing w:val="-12"/>
        </w:rPr>
        <w:t> </w:t>
      </w:r>
      <w:r>
        <w:rPr>
          <w:color w:val="231F20"/>
        </w:rPr>
        <w:t>методики.</w:t>
      </w:r>
      <w:r>
        <w:rPr>
          <w:color w:val="231F20"/>
          <w:spacing w:val="-13"/>
        </w:rPr>
        <w:t> </w:t>
      </w:r>
      <w:r>
        <w:rPr>
          <w:color w:val="231F20"/>
        </w:rPr>
        <w:t>Когда</w:t>
      </w:r>
      <w:r>
        <w:rPr>
          <w:color w:val="231F20"/>
          <w:spacing w:val="-12"/>
        </w:rPr>
        <w:t> </w:t>
      </w:r>
      <w:r>
        <w:rPr>
          <w:color w:val="231F20"/>
        </w:rPr>
        <w:t>учащиеся</w:t>
      </w:r>
      <w:r>
        <w:rPr>
          <w:color w:val="231F20"/>
          <w:spacing w:val="-13"/>
        </w:rPr>
        <w:t> </w:t>
      </w:r>
      <w:r>
        <w:rPr>
          <w:color w:val="231F20"/>
        </w:rPr>
        <w:t>привыкнут</w:t>
      </w:r>
      <w:r>
        <w:rPr>
          <w:color w:val="231F20"/>
          <w:spacing w:val="-12"/>
        </w:rPr>
        <w:t> </w:t>
      </w:r>
      <w:r>
        <w:rPr>
          <w:color w:val="231F20"/>
        </w:rPr>
        <w:t>к</w:t>
      </w:r>
      <w:r>
        <w:rPr>
          <w:color w:val="231F20"/>
          <w:spacing w:val="-13"/>
        </w:rPr>
        <w:t> </w:t>
      </w:r>
      <w:r>
        <w:rPr>
          <w:color w:val="231F20"/>
        </w:rPr>
        <w:t>новой</w:t>
      </w:r>
      <w:r>
        <w:rPr>
          <w:color w:val="231F20"/>
          <w:spacing w:val="-12"/>
        </w:rPr>
        <w:t> </w:t>
      </w:r>
      <w:r>
        <w:rPr>
          <w:color w:val="231F20"/>
        </w:rPr>
        <w:t>фор- ме</w:t>
      </w:r>
      <w:r>
        <w:rPr>
          <w:color w:val="231F20"/>
          <w:spacing w:val="-7"/>
        </w:rPr>
        <w:t> </w:t>
      </w:r>
      <w:r>
        <w:rPr>
          <w:color w:val="231F20"/>
        </w:rPr>
        <w:t>работы</w:t>
      </w:r>
      <w:r>
        <w:rPr>
          <w:color w:val="231F20"/>
          <w:spacing w:val="-7"/>
        </w:rPr>
        <w:t> </w:t>
      </w:r>
      <w:r>
        <w:rPr>
          <w:color w:val="231F20"/>
        </w:rPr>
        <w:t>и</w:t>
      </w:r>
      <w:r>
        <w:rPr>
          <w:color w:val="231F20"/>
          <w:spacing w:val="-7"/>
        </w:rPr>
        <w:t> </w:t>
      </w:r>
      <w:r>
        <w:rPr>
          <w:color w:val="231F20"/>
        </w:rPr>
        <w:t>поймут</w:t>
      </w:r>
      <w:r>
        <w:rPr>
          <w:color w:val="231F20"/>
          <w:spacing w:val="-7"/>
        </w:rPr>
        <w:t> </w:t>
      </w:r>
      <w:r>
        <w:rPr>
          <w:color w:val="231F20"/>
        </w:rPr>
        <w:t>основные</w:t>
      </w:r>
      <w:r>
        <w:rPr>
          <w:color w:val="231F20"/>
          <w:spacing w:val="-7"/>
        </w:rPr>
        <w:t> </w:t>
      </w:r>
      <w:r>
        <w:rPr>
          <w:color w:val="231F20"/>
        </w:rPr>
        <w:t>ее</w:t>
      </w:r>
      <w:r>
        <w:rPr>
          <w:color w:val="231F20"/>
          <w:spacing w:val="-7"/>
        </w:rPr>
        <w:t> </w:t>
      </w:r>
      <w:r>
        <w:rPr>
          <w:color w:val="231F20"/>
        </w:rPr>
        <w:t>принципы,</w:t>
      </w:r>
      <w:r>
        <w:rPr>
          <w:color w:val="231F20"/>
          <w:spacing w:val="-7"/>
        </w:rPr>
        <w:t> </w:t>
      </w:r>
      <w:r>
        <w:rPr>
          <w:color w:val="231F20"/>
        </w:rPr>
        <w:t>учитель</w:t>
      </w:r>
      <w:r>
        <w:rPr>
          <w:color w:val="231F20"/>
          <w:spacing w:val="-7"/>
        </w:rPr>
        <w:t> </w:t>
      </w:r>
      <w:r>
        <w:rPr>
          <w:color w:val="231F20"/>
        </w:rPr>
        <w:t>может</w:t>
      </w:r>
      <w:r>
        <w:rPr>
          <w:color w:val="231F20"/>
          <w:spacing w:val="-7"/>
        </w:rPr>
        <w:t> </w:t>
      </w:r>
      <w:r>
        <w:rPr>
          <w:color w:val="231F20"/>
        </w:rPr>
        <w:t>дать</w:t>
      </w:r>
      <w:r>
        <w:rPr>
          <w:color w:val="231F20"/>
          <w:spacing w:val="-7"/>
        </w:rPr>
        <w:t> </w:t>
      </w:r>
      <w:r>
        <w:rPr>
          <w:color w:val="231F20"/>
        </w:rPr>
        <w:t>им</w:t>
      </w:r>
      <w:r>
        <w:rPr>
          <w:color w:val="231F20"/>
          <w:spacing w:val="-7"/>
        </w:rPr>
        <w:t> </w:t>
      </w:r>
      <w:r>
        <w:rPr>
          <w:color w:val="231F20"/>
        </w:rPr>
        <w:t>задание</w:t>
      </w:r>
      <w:r>
        <w:rPr>
          <w:color w:val="231F20"/>
          <w:spacing w:val="-7"/>
        </w:rPr>
        <w:t> </w:t>
      </w:r>
      <w:r>
        <w:rPr>
          <w:color w:val="231F20"/>
        </w:rPr>
        <w:t>самосто- ятельно подготовить карточки для следующих уроков.</w:t>
      </w:r>
    </w:p>
    <w:p>
      <w:pPr>
        <w:pStyle w:val="ListParagraph"/>
        <w:numPr>
          <w:ilvl w:val="0"/>
          <w:numId w:val="316"/>
        </w:numPr>
        <w:tabs>
          <w:tab w:pos="423" w:val="left" w:leader="none"/>
        </w:tabs>
        <w:spacing w:line="228" w:lineRule="exact" w:before="56" w:after="0"/>
        <w:ind w:left="423" w:right="0" w:hanging="282"/>
        <w:jc w:val="both"/>
        <w:rPr>
          <w:i/>
          <w:sz w:val="20"/>
        </w:rPr>
      </w:pPr>
      <w:r>
        <w:rPr>
          <w:i/>
          <w:color w:val="231F20"/>
          <w:sz w:val="20"/>
        </w:rPr>
        <w:t>Экспертные</w:t>
      </w:r>
      <w:r>
        <w:rPr>
          <w:i/>
          <w:color w:val="231F20"/>
          <w:spacing w:val="-11"/>
          <w:sz w:val="20"/>
        </w:rPr>
        <w:t> </w:t>
      </w:r>
      <w:r>
        <w:rPr>
          <w:i/>
          <w:color w:val="231F20"/>
          <w:spacing w:val="-2"/>
          <w:sz w:val="20"/>
        </w:rPr>
        <w:t>группы</w:t>
      </w:r>
    </w:p>
    <w:p>
      <w:pPr>
        <w:pStyle w:val="BodyText"/>
        <w:spacing w:line="235" w:lineRule="auto" w:before="1"/>
      </w:pPr>
      <w:r>
        <w:rPr>
          <w:color w:val="231F20"/>
        </w:rPr>
        <w:t>Приблизительно третья часть от общего времени урока отводится на обучение в экспертных группах, а две трети – на обсуждение и работу в мозаичных группах.</w:t>
      </w:r>
    </w:p>
    <w:p>
      <w:pPr>
        <w:pStyle w:val="BodyText"/>
        <w:spacing w:line="235" w:lineRule="auto" w:before="2"/>
      </w:pPr>
      <w:r>
        <w:rPr>
          <w:color w:val="231F20"/>
        </w:rPr>
        <w:t>В начале ученики собираются в своих мозаичных группах, чтобы получить свою часть учебного материала и инструкции от руководителя группы. Затем они собира- ются в экспертные группы (состоящие из учеников с одинаковым материалом или заданием), чтобы понять, обсудить и составить план презентации. В экспертных группах участники в первый раз читают материал. Они должны помочь друг другу лучше понять содержание карточек. Эксперты обсуждают значение терминов, при- водят примеры, задают вопросы. Те, кто быстрее схватывает, помогают остальным.</w:t>
      </w:r>
    </w:p>
    <w:p>
      <w:pPr>
        <w:pStyle w:val="BodyText"/>
        <w:spacing w:line="235" w:lineRule="auto" w:before="4"/>
      </w:pPr>
      <w:r>
        <w:rPr>
          <w:color w:val="231F20"/>
        </w:rPr>
        <w:t>Когда</w:t>
      </w:r>
      <w:r>
        <w:rPr>
          <w:color w:val="231F20"/>
          <w:spacing w:val="-13"/>
        </w:rPr>
        <w:t> </w:t>
      </w:r>
      <w:r>
        <w:rPr>
          <w:color w:val="231F20"/>
        </w:rPr>
        <w:t>все</w:t>
      </w:r>
      <w:r>
        <w:rPr>
          <w:color w:val="231F20"/>
          <w:spacing w:val="-12"/>
        </w:rPr>
        <w:t> </w:t>
      </w:r>
      <w:r>
        <w:rPr>
          <w:color w:val="231F20"/>
        </w:rPr>
        <w:t>поняли</w:t>
      </w:r>
      <w:r>
        <w:rPr>
          <w:color w:val="231F20"/>
          <w:spacing w:val="-13"/>
        </w:rPr>
        <w:t> </w:t>
      </w:r>
      <w:r>
        <w:rPr>
          <w:color w:val="231F20"/>
        </w:rPr>
        <w:t>содержание</w:t>
      </w:r>
      <w:r>
        <w:rPr>
          <w:color w:val="231F20"/>
          <w:spacing w:val="-12"/>
        </w:rPr>
        <w:t> </w:t>
      </w:r>
      <w:r>
        <w:rPr>
          <w:color w:val="231F20"/>
        </w:rPr>
        <w:t>информационных</w:t>
      </w:r>
      <w:r>
        <w:rPr>
          <w:color w:val="231F20"/>
          <w:spacing w:val="-13"/>
        </w:rPr>
        <w:t> </w:t>
      </w:r>
      <w:r>
        <w:rPr>
          <w:color w:val="231F20"/>
        </w:rPr>
        <w:t>карточек,</w:t>
      </w:r>
      <w:r>
        <w:rPr>
          <w:color w:val="231F20"/>
          <w:spacing w:val="-12"/>
        </w:rPr>
        <w:t> </w:t>
      </w:r>
      <w:r>
        <w:rPr>
          <w:color w:val="231F20"/>
        </w:rPr>
        <w:t>группа</w:t>
      </w:r>
      <w:r>
        <w:rPr>
          <w:color w:val="231F20"/>
          <w:spacing w:val="-13"/>
        </w:rPr>
        <w:t> </w:t>
      </w:r>
      <w:r>
        <w:rPr>
          <w:color w:val="231F20"/>
        </w:rPr>
        <w:t>решает,</w:t>
      </w:r>
      <w:r>
        <w:rPr>
          <w:color w:val="231F20"/>
          <w:spacing w:val="-12"/>
        </w:rPr>
        <w:t> </w:t>
      </w:r>
      <w:r>
        <w:rPr>
          <w:color w:val="231F20"/>
        </w:rPr>
        <w:t>как</w:t>
      </w:r>
      <w:r>
        <w:rPr>
          <w:color w:val="231F20"/>
          <w:spacing w:val="-13"/>
        </w:rPr>
        <w:t> </w:t>
      </w:r>
      <w:r>
        <w:rPr>
          <w:color w:val="231F20"/>
        </w:rPr>
        <w:t>наи- лучшим</w:t>
      </w:r>
      <w:r>
        <w:rPr>
          <w:color w:val="231F20"/>
          <w:spacing w:val="-1"/>
        </w:rPr>
        <w:t> </w:t>
      </w:r>
      <w:r>
        <w:rPr>
          <w:color w:val="231F20"/>
        </w:rPr>
        <w:t>образом</w:t>
      </w:r>
      <w:r>
        <w:rPr>
          <w:color w:val="231F20"/>
          <w:spacing w:val="-1"/>
        </w:rPr>
        <w:t> </w:t>
      </w:r>
      <w:r>
        <w:rPr>
          <w:color w:val="231F20"/>
        </w:rPr>
        <w:t>представить</w:t>
      </w:r>
      <w:r>
        <w:rPr>
          <w:color w:val="231F20"/>
          <w:spacing w:val="-1"/>
        </w:rPr>
        <w:t> </w:t>
      </w:r>
      <w:r>
        <w:rPr>
          <w:color w:val="231F20"/>
        </w:rPr>
        <w:t>данный</w:t>
      </w:r>
      <w:r>
        <w:rPr>
          <w:color w:val="231F20"/>
          <w:spacing w:val="-1"/>
        </w:rPr>
        <w:t> </w:t>
      </w:r>
      <w:r>
        <w:rPr>
          <w:color w:val="231F20"/>
        </w:rPr>
        <w:t>вопрос</w:t>
      </w:r>
      <w:r>
        <w:rPr>
          <w:color w:val="231F20"/>
          <w:spacing w:val="-1"/>
        </w:rPr>
        <w:t> </w:t>
      </w:r>
      <w:r>
        <w:rPr>
          <w:color w:val="231F20"/>
        </w:rPr>
        <w:t>и</w:t>
      </w:r>
      <w:r>
        <w:rPr>
          <w:color w:val="231F20"/>
          <w:spacing w:val="-1"/>
        </w:rPr>
        <w:t> </w:t>
      </w:r>
      <w:r>
        <w:rPr>
          <w:color w:val="231F20"/>
        </w:rPr>
        <w:t>обучить</w:t>
      </w:r>
      <w:r>
        <w:rPr>
          <w:color w:val="231F20"/>
          <w:spacing w:val="-1"/>
        </w:rPr>
        <w:t> </w:t>
      </w:r>
      <w:r>
        <w:rPr>
          <w:color w:val="231F20"/>
        </w:rPr>
        <w:t>остальных</w:t>
      </w:r>
      <w:r>
        <w:rPr>
          <w:color w:val="231F20"/>
          <w:spacing w:val="-1"/>
        </w:rPr>
        <w:t> </w:t>
      </w:r>
      <w:r>
        <w:rPr>
          <w:color w:val="231F20"/>
        </w:rPr>
        <w:t>учеников</w:t>
      </w:r>
      <w:r>
        <w:rPr>
          <w:color w:val="231F20"/>
          <w:spacing w:val="-1"/>
        </w:rPr>
        <w:t> </w:t>
      </w:r>
      <w:r>
        <w:rPr>
          <w:color w:val="231F20"/>
        </w:rPr>
        <w:t>в</w:t>
      </w:r>
      <w:r>
        <w:rPr>
          <w:color w:val="231F20"/>
          <w:spacing w:val="-1"/>
        </w:rPr>
        <w:t> </w:t>
      </w:r>
      <w:r>
        <w:rPr>
          <w:color w:val="231F20"/>
        </w:rPr>
        <w:t>своих мозаичных</w:t>
      </w:r>
      <w:r>
        <w:rPr>
          <w:color w:val="231F20"/>
          <w:spacing w:val="-2"/>
        </w:rPr>
        <w:t> </w:t>
      </w:r>
      <w:r>
        <w:rPr>
          <w:color w:val="231F20"/>
        </w:rPr>
        <w:t>группах.</w:t>
      </w:r>
      <w:r>
        <w:rPr>
          <w:color w:val="231F20"/>
          <w:spacing w:val="-2"/>
        </w:rPr>
        <w:t> </w:t>
      </w:r>
      <w:r>
        <w:rPr>
          <w:color w:val="231F20"/>
        </w:rPr>
        <w:t>Для</w:t>
      </w:r>
      <w:r>
        <w:rPr>
          <w:color w:val="231F20"/>
          <w:spacing w:val="-2"/>
        </w:rPr>
        <w:t> </w:t>
      </w:r>
      <w:r>
        <w:rPr>
          <w:color w:val="231F20"/>
        </w:rPr>
        <w:t>этого</w:t>
      </w:r>
      <w:r>
        <w:rPr>
          <w:color w:val="231F20"/>
          <w:spacing w:val="-2"/>
        </w:rPr>
        <w:t> </w:t>
      </w:r>
      <w:r>
        <w:rPr>
          <w:color w:val="231F20"/>
        </w:rPr>
        <w:t>они</w:t>
      </w:r>
      <w:r>
        <w:rPr>
          <w:color w:val="231F20"/>
          <w:spacing w:val="-2"/>
        </w:rPr>
        <w:t> </w:t>
      </w:r>
      <w:r>
        <w:rPr>
          <w:color w:val="231F20"/>
        </w:rPr>
        <w:t>общими</w:t>
      </w:r>
      <w:r>
        <w:rPr>
          <w:color w:val="231F20"/>
          <w:spacing w:val="-2"/>
        </w:rPr>
        <w:t> </w:t>
      </w:r>
      <w:r>
        <w:rPr>
          <w:color w:val="231F20"/>
        </w:rPr>
        <w:t>усилиями</w:t>
      </w:r>
      <w:r>
        <w:rPr>
          <w:color w:val="231F20"/>
          <w:spacing w:val="-2"/>
        </w:rPr>
        <w:t> </w:t>
      </w:r>
      <w:r>
        <w:rPr>
          <w:color w:val="231F20"/>
        </w:rPr>
        <w:t>составляют</w:t>
      </w:r>
      <w:r>
        <w:rPr>
          <w:color w:val="231F20"/>
          <w:spacing w:val="-2"/>
        </w:rPr>
        <w:t> </w:t>
      </w:r>
      <w:r>
        <w:rPr>
          <w:color w:val="231F20"/>
        </w:rPr>
        <w:t>план</w:t>
      </w:r>
      <w:r>
        <w:rPr>
          <w:color w:val="231F20"/>
          <w:spacing w:val="-2"/>
        </w:rPr>
        <w:t> </w:t>
      </w:r>
      <w:r>
        <w:rPr>
          <w:color w:val="231F20"/>
        </w:rPr>
        <w:t>презентации. </w:t>
      </w:r>
      <w:r>
        <w:rPr>
          <w:color w:val="231F20"/>
          <w:spacing w:val="-2"/>
        </w:rPr>
        <w:t>Туда входят ключевые понятия, которые необходимо объяснить, логика рассуждения, </w:t>
      </w:r>
      <w:r>
        <w:rPr>
          <w:color w:val="231F20"/>
        </w:rPr>
        <w:t>примеры, возможно иллюстрации. Все члены экспертных групп видят, как планиру- ют свои презентации «сильные» ученики, прислушиваются к предложениям, чтобы сделать презентацию лучше и доступнее, дают друг другу обратную связь.</w:t>
      </w:r>
    </w:p>
    <w:p>
      <w:pPr>
        <w:pStyle w:val="BodyText"/>
        <w:spacing w:line="235" w:lineRule="auto" w:before="4"/>
      </w:pPr>
      <w:r>
        <w:rPr>
          <w:color w:val="231F20"/>
        </w:rPr>
        <w:t>Ученикам</w:t>
      </w:r>
      <w:r>
        <w:rPr>
          <w:color w:val="231F20"/>
          <w:spacing w:val="-1"/>
        </w:rPr>
        <w:t> </w:t>
      </w:r>
      <w:r>
        <w:rPr>
          <w:color w:val="231F20"/>
        </w:rPr>
        <w:t>надо</w:t>
      </w:r>
      <w:r>
        <w:rPr>
          <w:color w:val="231F20"/>
          <w:spacing w:val="-1"/>
        </w:rPr>
        <w:t> </w:t>
      </w:r>
      <w:r>
        <w:rPr>
          <w:color w:val="231F20"/>
        </w:rPr>
        <w:t>дать</w:t>
      </w:r>
      <w:r>
        <w:rPr>
          <w:color w:val="231F20"/>
          <w:spacing w:val="-1"/>
        </w:rPr>
        <w:t> </w:t>
      </w:r>
      <w:r>
        <w:rPr>
          <w:color w:val="231F20"/>
        </w:rPr>
        <w:t>возможность</w:t>
      </w:r>
      <w:r>
        <w:rPr>
          <w:color w:val="231F20"/>
          <w:spacing w:val="-1"/>
        </w:rPr>
        <w:t> </w:t>
      </w:r>
      <w:r>
        <w:rPr>
          <w:color w:val="231F20"/>
        </w:rPr>
        <w:t>делать</w:t>
      </w:r>
      <w:r>
        <w:rPr>
          <w:color w:val="231F20"/>
          <w:spacing w:val="-1"/>
        </w:rPr>
        <w:t> </w:t>
      </w:r>
      <w:r>
        <w:rPr>
          <w:color w:val="231F20"/>
        </w:rPr>
        <w:t>записи,</w:t>
      </w:r>
      <w:r>
        <w:rPr>
          <w:color w:val="231F20"/>
          <w:spacing w:val="-1"/>
        </w:rPr>
        <w:t> </w:t>
      </w:r>
      <w:r>
        <w:rPr>
          <w:color w:val="231F20"/>
        </w:rPr>
        <w:t>пометки</w:t>
      </w:r>
      <w:r>
        <w:rPr>
          <w:color w:val="231F20"/>
          <w:spacing w:val="-1"/>
        </w:rPr>
        <w:t> </w:t>
      </w:r>
      <w:r>
        <w:rPr>
          <w:color w:val="231F20"/>
        </w:rPr>
        <w:t>во</w:t>
      </w:r>
      <w:r>
        <w:rPr>
          <w:color w:val="231F20"/>
          <w:spacing w:val="-1"/>
        </w:rPr>
        <w:t> </w:t>
      </w:r>
      <w:r>
        <w:rPr>
          <w:color w:val="231F20"/>
        </w:rPr>
        <w:t>время</w:t>
      </w:r>
      <w:r>
        <w:rPr>
          <w:color w:val="231F20"/>
          <w:spacing w:val="-1"/>
        </w:rPr>
        <w:t> </w:t>
      </w:r>
      <w:r>
        <w:rPr>
          <w:color w:val="231F20"/>
        </w:rPr>
        <w:t>пребывания</w:t>
      </w:r>
      <w:r>
        <w:rPr>
          <w:color w:val="231F20"/>
          <w:spacing w:val="-1"/>
        </w:rPr>
        <w:t> </w:t>
      </w:r>
      <w:r>
        <w:rPr>
          <w:color w:val="231F20"/>
        </w:rPr>
        <w:t>в экспертных</w:t>
      </w:r>
      <w:r>
        <w:rPr>
          <w:color w:val="231F20"/>
          <w:spacing w:val="-1"/>
        </w:rPr>
        <w:t> </w:t>
      </w:r>
      <w:r>
        <w:rPr>
          <w:color w:val="231F20"/>
        </w:rPr>
        <w:t>группах.</w:t>
      </w:r>
      <w:r>
        <w:rPr>
          <w:color w:val="231F20"/>
          <w:spacing w:val="-1"/>
        </w:rPr>
        <w:t> </w:t>
      </w:r>
      <w:r>
        <w:rPr>
          <w:color w:val="231F20"/>
        </w:rPr>
        <w:t>Это</w:t>
      </w:r>
      <w:r>
        <w:rPr>
          <w:color w:val="231F20"/>
          <w:spacing w:val="-1"/>
        </w:rPr>
        <w:t> </w:t>
      </w:r>
      <w:r>
        <w:rPr>
          <w:color w:val="231F20"/>
        </w:rPr>
        <w:t>полезный</w:t>
      </w:r>
      <w:r>
        <w:rPr>
          <w:color w:val="231F20"/>
          <w:spacing w:val="-1"/>
        </w:rPr>
        <w:t> </w:t>
      </w:r>
      <w:r>
        <w:rPr>
          <w:color w:val="231F20"/>
        </w:rPr>
        <w:t>навык,</w:t>
      </w:r>
      <w:r>
        <w:rPr>
          <w:color w:val="231F20"/>
          <w:spacing w:val="-1"/>
        </w:rPr>
        <w:t> </w:t>
      </w:r>
      <w:r>
        <w:rPr>
          <w:color w:val="231F20"/>
        </w:rPr>
        <w:t>который</w:t>
      </w:r>
      <w:r>
        <w:rPr>
          <w:color w:val="231F20"/>
          <w:spacing w:val="-1"/>
        </w:rPr>
        <w:t> </w:t>
      </w:r>
      <w:r>
        <w:rPr>
          <w:color w:val="231F20"/>
        </w:rPr>
        <w:t>позволит</w:t>
      </w:r>
      <w:r>
        <w:rPr>
          <w:color w:val="231F20"/>
          <w:spacing w:val="-1"/>
        </w:rPr>
        <w:t> </w:t>
      </w:r>
      <w:r>
        <w:rPr>
          <w:color w:val="231F20"/>
        </w:rPr>
        <w:t>им</w:t>
      </w:r>
      <w:r>
        <w:rPr>
          <w:color w:val="231F20"/>
          <w:spacing w:val="-1"/>
        </w:rPr>
        <w:t> </w:t>
      </w:r>
      <w:r>
        <w:rPr>
          <w:color w:val="231F20"/>
        </w:rPr>
        <w:t>лучше</w:t>
      </w:r>
      <w:r>
        <w:rPr>
          <w:color w:val="231F20"/>
          <w:spacing w:val="-1"/>
        </w:rPr>
        <w:t> </w:t>
      </w:r>
      <w:r>
        <w:rPr>
          <w:color w:val="231F20"/>
        </w:rPr>
        <w:t>сделать</w:t>
      </w:r>
      <w:r>
        <w:rPr>
          <w:color w:val="231F20"/>
          <w:spacing w:val="-1"/>
        </w:rPr>
        <w:t> </w:t>
      </w:r>
      <w:r>
        <w:rPr>
          <w:color w:val="231F20"/>
        </w:rPr>
        <w:t>пре- зентацию своей части материала.</w:t>
      </w:r>
    </w:p>
    <w:p>
      <w:pPr>
        <w:pStyle w:val="BodyText"/>
        <w:spacing w:line="235" w:lineRule="auto" w:before="2"/>
        <w:jc w:val="right"/>
      </w:pPr>
      <w:r>
        <w:rPr>
          <w:color w:val="231F20"/>
        </w:rPr>
        <w:t>В процессе совместного погружения в исследуемую проблему или задачу, выра- ботки общего решения кроются преимущества экспертных групп. Они эффективны, поскольку мешают безразличному отношению, которое иногда может появляться в любом</w:t>
      </w:r>
      <w:r>
        <w:rPr>
          <w:color w:val="231F20"/>
          <w:spacing w:val="-5"/>
        </w:rPr>
        <w:t> </w:t>
      </w:r>
      <w:r>
        <w:rPr>
          <w:color w:val="231F20"/>
        </w:rPr>
        <w:t>классе.</w:t>
      </w:r>
      <w:r>
        <w:rPr>
          <w:color w:val="231F20"/>
          <w:spacing w:val="-5"/>
        </w:rPr>
        <w:t> </w:t>
      </w:r>
      <w:r>
        <w:rPr>
          <w:color w:val="231F20"/>
        </w:rPr>
        <w:t>Как</w:t>
      </w:r>
      <w:r>
        <w:rPr>
          <w:color w:val="231F20"/>
          <w:spacing w:val="-5"/>
        </w:rPr>
        <w:t> </w:t>
      </w:r>
      <w:r>
        <w:rPr>
          <w:color w:val="231F20"/>
        </w:rPr>
        <w:t>это</w:t>
      </w:r>
      <w:r>
        <w:rPr>
          <w:color w:val="231F20"/>
          <w:spacing w:val="-5"/>
        </w:rPr>
        <w:t> </w:t>
      </w:r>
      <w:r>
        <w:rPr>
          <w:color w:val="231F20"/>
        </w:rPr>
        <w:t>достигается?</w:t>
      </w:r>
      <w:r>
        <w:rPr>
          <w:color w:val="231F20"/>
          <w:spacing w:val="-5"/>
        </w:rPr>
        <w:t> </w:t>
      </w:r>
      <w:r>
        <w:rPr>
          <w:color w:val="231F20"/>
        </w:rPr>
        <w:t>В</w:t>
      </w:r>
      <w:r>
        <w:rPr>
          <w:color w:val="231F20"/>
          <w:spacing w:val="-5"/>
        </w:rPr>
        <w:t> </w:t>
      </w:r>
      <w:r>
        <w:rPr>
          <w:color w:val="231F20"/>
        </w:rPr>
        <w:t>чем</w:t>
      </w:r>
      <w:r>
        <w:rPr>
          <w:color w:val="231F20"/>
          <w:spacing w:val="-5"/>
        </w:rPr>
        <w:t> </w:t>
      </w:r>
      <w:r>
        <w:rPr>
          <w:color w:val="231F20"/>
        </w:rPr>
        <w:t>различия</w:t>
      </w:r>
      <w:r>
        <w:rPr>
          <w:color w:val="231F20"/>
          <w:spacing w:val="-5"/>
        </w:rPr>
        <w:t> </w:t>
      </w:r>
      <w:r>
        <w:rPr>
          <w:color w:val="231F20"/>
        </w:rPr>
        <w:t>мозаичных</w:t>
      </w:r>
      <w:r>
        <w:rPr>
          <w:color w:val="231F20"/>
          <w:spacing w:val="-5"/>
        </w:rPr>
        <w:t> </w:t>
      </w:r>
      <w:r>
        <w:rPr>
          <w:color w:val="231F20"/>
        </w:rPr>
        <w:t>и</w:t>
      </w:r>
      <w:r>
        <w:rPr>
          <w:color w:val="231F20"/>
          <w:spacing w:val="-5"/>
        </w:rPr>
        <w:t> </w:t>
      </w:r>
      <w:r>
        <w:rPr>
          <w:color w:val="231F20"/>
        </w:rPr>
        <w:t>экспертных</w:t>
      </w:r>
      <w:r>
        <w:rPr>
          <w:color w:val="231F20"/>
          <w:spacing w:val="-5"/>
        </w:rPr>
        <w:t> </w:t>
      </w:r>
      <w:r>
        <w:rPr>
          <w:color w:val="231F20"/>
        </w:rPr>
        <w:t>групп? Мозаичные</w:t>
      </w:r>
      <w:r>
        <w:rPr>
          <w:color w:val="231F20"/>
          <w:spacing w:val="36"/>
        </w:rPr>
        <w:t> </w:t>
      </w:r>
      <w:r>
        <w:rPr>
          <w:color w:val="231F20"/>
        </w:rPr>
        <w:t>группы</w:t>
      </w:r>
      <w:r>
        <w:rPr>
          <w:color w:val="231F20"/>
          <w:spacing w:val="36"/>
        </w:rPr>
        <w:t> </w:t>
      </w:r>
      <w:r>
        <w:rPr>
          <w:color w:val="231F20"/>
        </w:rPr>
        <w:t>не</w:t>
      </w:r>
      <w:r>
        <w:rPr>
          <w:color w:val="231F20"/>
          <w:spacing w:val="36"/>
        </w:rPr>
        <w:t> </w:t>
      </w:r>
      <w:r>
        <w:rPr>
          <w:color w:val="231F20"/>
        </w:rPr>
        <w:t>меняются</w:t>
      </w:r>
      <w:r>
        <w:rPr>
          <w:color w:val="231F20"/>
          <w:spacing w:val="36"/>
        </w:rPr>
        <w:t> </w:t>
      </w:r>
      <w:r>
        <w:rPr>
          <w:color w:val="231F20"/>
        </w:rPr>
        <w:t>в</w:t>
      </w:r>
      <w:r>
        <w:rPr>
          <w:color w:val="231F20"/>
          <w:spacing w:val="36"/>
        </w:rPr>
        <w:t> </w:t>
      </w:r>
      <w:r>
        <w:rPr>
          <w:color w:val="231F20"/>
        </w:rPr>
        <w:t>течение</w:t>
      </w:r>
      <w:r>
        <w:rPr>
          <w:color w:val="231F20"/>
          <w:spacing w:val="36"/>
        </w:rPr>
        <w:t> </w:t>
      </w:r>
      <w:r>
        <w:rPr>
          <w:color w:val="231F20"/>
        </w:rPr>
        <w:t>6–10</w:t>
      </w:r>
      <w:r>
        <w:rPr>
          <w:color w:val="231F20"/>
          <w:spacing w:val="36"/>
        </w:rPr>
        <w:t> </w:t>
      </w:r>
      <w:r>
        <w:rPr>
          <w:color w:val="231F20"/>
        </w:rPr>
        <w:t>недель,</w:t>
      </w:r>
      <w:r>
        <w:rPr>
          <w:color w:val="231F20"/>
          <w:spacing w:val="36"/>
        </w:rPr>
        <w:t> </w:t>
      </w:r>
      <w:r>
        <w:rPr>
          <w:color w:val="231F20"/>
        </w:rPr>
        <w:t>пока</w:t>
      </w:r>
      <w:r>
        <w:rPr>
          <w:color w:val="231F20"/>
          <w:spacing w:val="36"/>
        </w:rPr>
        <w:t> </w:t>
      </w:r>
      <w:r>
        <w:rPr>
          <w:color w:val="231F20"/>
        </w:rPr>
        <w:t>ученикам</w:t>
      </w:r>
      <w:r>
        <w:rPr>
          <w:color w:val="231F20"/>
          <w:spacing w:val="36"/>
        </w:rPr>
        <w:t> </w:t>
      </w:r>
      <w:r>
        <w:rPr>
          <w:color w:val="231F20"/>
        </w:rPr>
        <w:t>не</w:t>
      </w:r>
      <w:r>
        <w:rPr>
          <w:color w:val="231F20"/>
          <w:spacing w:val="36"/>
        </w:rPr>
        <w:t> </w:t>
      </w:r>
      <w:r>
        <w:rPr>
          <w:color w:val="231F20"/>
        </w:rPr>
        <w:t>ста-</w:t>
      </w:r>
    </w:p>
    <w:p>
      <w:pPr>
        <w:pStyle w:val="BodyText"/>
        <w:spacing w:line="229" w:lineRule="exact"/>
        <w:ind w:right="140" w:firstLine="0"/>
        <w:jc w:val="right"/>
      </w:pPr>
      <w:r>
        <w:rPr>
          <w:color w:val="231F20"/>
        </w:rPr>
        <w:t>ло</w:t>
      </w:r>
      <w:r>
        <w:rPr>
          <w:color w:val="231F20"/>
          <w:spacing w:val="-5"/>
        </w:rPr>
        <w:t> </w:t>
      </w:r>
      <w:r>
        <w:rPr>
          <w:color w:val="231F20"/>
        </w:rPr>
        <w:t>скучно</w:t>
      </w:r>
      <w:r>
        <w:rPr>
          <w:color w:val="231F20"/>
          <w:spacing w:val="-3"/>
        </w:rPr>
        <w:t> </w:t>
      </w:r>
      <w:r>
        <w:rPr>
          <w:color w:val="231F20"/>
        </w:rPr>
        <w:t>работать</w:t>
      </w:r>
      <w:r>
        <w:rPr>
          <w:color w:val="231F20"/>
          <w:spacing w:val="-3"/>
        </w:rPr>
        <w:t> </w:t>
      </w:r>
      <w:r>
        <w:rPr>
          <w:color w:val="231F20"/>
        </w:rPr>
        <w:t>друг</w:t>
      </w:r>
      <w:r>
        <w:rPr>
          <w:color w:val="231F20"/>
          <w:spacing w:val="-3"/>
        </w:rPr>
        <w:t> </w:t>
      </w:r>
      <w:r>
        <w:rPr>
          <w:color w:val="231F20"/>
        </w:rPr>
        <w:t>с</w:t>
      </w:r>
      <w:r>
        <w:rPr>
          <w:color w:val="231F20"/>
          <w:spacing w:val="-3"/>
        </w:rPr>
        <w:t> </w:t>
      </w:r>
      <w:r>
        <w:rPr>
          <w:color w:val="231F20"/>
        </w:rPr>
        <w:t>другом</w:t>
      </w:r>
      <w:r>
        <w:rPr>
          <w:color w:val="231F20"/>
          <w:spacing w:val="-2"/>
        </w:rPr>
        <w:t> </w:t>
      </w:r>
      <w:r>
        <w:rPr>
          <w:color w:val="231F20"/>
        </w:rPr>
        <w:t>или</w:t>
      </w:r>
      <w:r>
        <w:rPr>
          <w:color w:val="231F20"/>
          <w:spacing w:val="-3"/>
        </w:rPr>
        <w:t> </w:t>
      </w:r>
      <w:r>
        <w:rPr>
          <w:color w:val="231F20"/>
        </w:rPr>
        <w:t>пока</w:t>
      </w:r>
      <w:r>
        <w:rPr>
          <w:color w:val="231F20"/>
          <w:spacing w:val="-3"/>
        </w:rPr>
        <w:t> </w:t>
      </w:r>
      <w:r>
        <w:rPr>
          <w:color w:val="231F20"/>
        </w:rPr>
        <w:t>учитель,</w:t>
      </w:r>
      <w:r>
        <w:rPr>
          <w:color w:val="231F20"/>
          <w:spacing w:val="-3"/>
        </w:rPr>
        <w:t> </w:t>
      </w:r>
      <w:r>
        <w:rPr>
          <w:color w:val="231F20"/>
        </w:rPr>
        <w:t>руководствуясь</w:t>
      </w:r>
      <w:r>
        <w:rPr>
          <w:color w:val="231F20"/>
          <w:spacing w:val="-3"/>
        </w:rPr>
        <w:t> </w:t>
      </w:r>
      <w:r>
        <w:rPr>
          <w:color w:val="231F20"/>
        </w:rPr>
        <w:t>актуальными</w:t>
      </w:r>
      <w:r>
        <w:rPr>
          <w:color w:val="231F20"/>
          <w:spacing w:val="-2"/>
        </w:rPr>
        <w:t> </w:t>
      </w:r>
      <w:r>
        <w:rPr>
          <w:color w:val="231F20"/>
          <w:spacing w:val="-5"/>
        </w:rPr>
        <w:t>на</w:t>
      </w:r>
    </w:p>
    <w:p>
      <w:pPr>
        <w:pStyle w:val="BodyText"/>
        <w:spacing w:after="0" w:line="229" w:lineRule="exact"/>
        <w:jc w:val="right"/>
        <w:sectPr>
          <w:pgSz w:w="8400" w:h="11910"/>
          <w:pgMar w:header="0" w:footer="530"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line="235" w:lineRule="auto" w:before="116"/>
        <w:ind w:firstLine="0"/>
      </w:pPr>
      <w:r>
        <w:rPr>
          <w:color w:val="231F20"/>
        </w:rPr>
        <w:t>данный момент целями, не примет решение изменить их состав. То есть мозаичные группы относительно стабильны, отношения в них развиваются постепенно в про- цессе совместной деятельности. В конце работы в мозаичных группах появляется внутренняя сплоченность, участники идентифицируют себя как членов одной груп- пы, появляется дух соревнования с другими группами. При этом ученики, привык- шие работать вместе в мозаичной группе, могут не захотеть поменять состав групп, когда этого потребует учитель, поскольку уже сработались друг с другом.</w:t>
      </w:r>
    </w:p>
    <w:p>
      <w:pPr>
        <w:pStyle w:val="BodyText"/>
        <w:spacing w:line="235" w:lineRule="auto" w:before="4"/>
      </w:pPr>
      <w:r>
        <w:rPr>
          <w:color w:val="231F20"/>
        </w:rPr>
        <w:t>Экспертные</w:t>
      </w:r>
      <w:r>
        <w:rPr>
          <w:color w:val="231F20"/>
          <w:spacing w:val="-5"/>
        </w:rPr>
        <w:t> </w:t>
      </w:r>
      <w:r>
        <w:rPr>
          <w:color w:val="231F20"/>
        </w:rPr>
        <w:t>группы</w:t>
      </w:r>
      <w:r>
        <w:rPr>
          <w:color w:val="231F20"/>
          <w:spacing w:val="-5"/>
        </w:rPr>
        <w:t> </w:t>
      </w:r>
      <w:r>
        <w:rPr>
          <w:color w:val="231F20"/>
        </w:rPr>
        <w:t>заставляют</w:t>
      </w:r>
      <w:r>
        <w:rPr>
          <w:color w:val="231F20"/>
          <w:spacing w:val="-5"/>
        </w:rPr>
        <w:t> </w:t>
      </w:r>
      <w:r>
        <w:rPr>
          <w:color w:val="231F20"/>
        </w:rPr>
        <w:t>учеников</w:t>
      </w:r>
      <w:r>
        <w:rPr>
          <w:color w:val="231F20"/>
          <w:spacing w:val="-5"/>
        </w:rPr>
        <w:t> </w:t>
      </w:r>
      <w:r>
        <w:rPr>
          <w:color w:val="231F20"/>
        </w:rPr>
        <w:t>строить</w:t>
      </w:r>
      <w:r>
        <w:rPr>
          <w:color w:val="231F20"/>
          <w:spacing w:val="-5"/>
        </w:rPr>
        <w:t> </w:t>
      </w:r>
      <w:r>
        <w:rPr>
          <w:color w:val="231F20"/>
        </w:rPr>
        <w:t>новые</w:t>
      </w:r>
      <w:r>
        <w:rPr>
          <w:color w:val="231F20"/>
          <w:spacing w:val="-5"/>
        </w:rPr>
        <w:t> </w:t>
      </w:r>
      <w:r>
        <w:rPr>
          <w:color w:val="231F20"/>
        </w:rPr>
        <w:t>взаимоотношения</w:t>
      </w:r>
      <w:r>
        <w:rPr>
          <w:color w:val="231F20"/>
          <w:spacing w:val="-5"/>
        </w:rPr>
        <w:t> </w:t>
      </w:r>
      <w:r>
        <w:rPr>
          <w:color w:val="231F20"/>
        </w:rPr>
        <w:t>с</w:t>
      </w:r>
      <w:r>
        <w:rPr>
          <w:color w:val="231F20"/>
          <w:spacing w:val="-5"/>
        </w:rPr>
        <w:t> </w:t>
      </w:r>
      <w:r>
        <w:rPr>
          <w:color w:val="231F20"/>
        </w:rPr>
        <w:t>чле- нами</w:t>
      </w:r>
      <w:r>
        <w:rPr>
          <w:color w:val="231F20"/>
          <w:spacing w:val="-13"/>
        </w:rPr>
        <w:t> </w:t>
      </w:r>
      <w:r>
        <w:rPr>
          <w:color w:val="231F20"/>
        </w:rPr>
        <w:t>других</w:t>
      </w:r>
      <w:r>
        <w:rPr>
          <w:color w:val="231F20"/>
          <w:spacing w:val="-12"/>
        </w:rPr>
        <w:t> </w:t>
      </w:r>
      <w:r>
        <w:rPr>
          <w:color w:val="231F20"/>
        </w:rPr>
        <w:t>групп,</w:t>
      </w:r>
      <w:r>
        <w:rPr>
          <w:color w:val="231F20"/>
          <w:spacing w:val="-13"/>
        </w:rPr>
        <w:t> </w:t>
      </w:r>
      <w:r>
        <w:rPr>
          <w:color w:val="231F20"/>
        </w:rPr>
        <w:t>вне</w:t>
      </w:r>
      <w:r>
        <w:rPr>
          <w:color w:val="231F20"/>
          <w:spacing w:val="-12"/>
        </w:rPr>
        <w:t> </w:t>
      </w:r>
      <w:r>
        <w:rPr>
          <w:color w:val="231F20"/>
        </w:rPr>
        <w:t>привычной</w:t>
      </w:r>
      <w:r>
        <w:rPr>
          <w:color w:val="231F20"/>
          <w:spacing w:val="-13"/>
        </w:rPr>
        <w:t> </w:t>
      </w:r>
      <w:r>
        <w:rPr>
          <w:color w:val="231F20"/>
        </w:rPr>
        <w:t>мозаичной</w:t>
      </w:r>
      <w:r>
        <w:rPr>
          <w:color w:val="231F20"/>
          <w:spacing w:val="-12"/>
        </w:rPr>
        <w:t> </w:t>
      </w:r>
      <w:r>
        <w:rPr>
          <w:color w:val="231F20"/>
        </w:rPr>
        <w:t>группы.</w:t>
      </w:r>
      <w:r>
        <w:rPr>
          <w:color w:val="231F20"/>
          <w:spacing w:val="-13"/>
        </w:rPr>
        <w:t> </w:t>
      </w:r>
      <w:r>
        <w:rPr>
          <w:color w:val="231F20"/>
        </w:rPr>
        <w:t>Их</w:t>
      </w:r>
      <w:r>
        <w:rPr>
          <w:color w:val="231F20"/>
          <w:spacing w:val="-12"/>
        </w:rPr>
        <w:t> </w:t>
      </w:r>
      <w:r>
        <w:rPr>
          <w:color w:val="231F20"/>
        </w:rPr>
        <w:t>функция</w:t>
      </w:r>
      <w:r>
        <w:rPr>
          <w:color w:val="231F20"/>
          <w:spacing w:val="-13"/>
        </w:rPr>
        <w:t> </w:t>
      </w:r>
      <w:r>
        <w:rPr>
          <w:color w:val="231F20"/>
        </w:rPr>
        <w:t>–</w:t>
      </w:r>
      <w:r>
        <w:rPr>
          <w:color w:val="231F20"/>
          <w:spacing w:val="-12"/>
        </w:rPr>
        <w:t> </w:t>
      </w:r>
      <w:r>
        <w:rPr>
          <w:color w:val="231F20"/>
        </w:rPr>
        <w:t>не</w:t>
      </w:r>
      <w:r>
        <w:rPr>
          <w:color w:val="231F20"/>
          <w:spacing w:val="-13"/>
        </w:rPr>
        <w:t> </w:t>
      </w:r>
      <w:r>
        <w:rPr>
          <w:color w:val="231F20"/>
        </w:rPr>
        <w:t>дать</w:t>
      </w:r>
      <w:r>
        <w:rPr>
          <w:color w:val="231F20"/>
          <w:spacing w:val="-12"/>
        </w:rPr>
        <w:t> </w:t>
      </w:r>
      <w:r>
        <w:rPr>
          <w:color w:val="231F20"/>
        </w:rPr>
        <w:t>устанав- ливаться духу конкуренции между разными мозаичными группами. Помимо этого, они</w:t>
      </w:r>
      <w:r>
        <w:rPr>
          <w:color w:val="231F20"/>
          <w:spacing w:val="-5"/>
        </w:rPr>
        <w:t> </w:t>
      </w:r>
      <w:r>
        <w:rPr>
          <w:color w:val="231F20"/>
        </w:rPr>
        <w:t>нарушают</w:t>
      </w:r>
      <w:r>
        <w:rPr>
          <w:color w:val="231F20"/>
          <w:spacing w:val="-5"/>
        </w:rPr>
        <w:t> </w:t>
      </w:r>
      <w:r>
        <w:rPr>
          <w:color w:val="231F20"/>
        </w:rPr>
        <w:t>границы</w:t>
      </w:r>
      <w:r>
        <w:rPr>
          <w:color w:val="231F20"/>
          <w:spacing w:val="-5"/>
        </w:rPr>
        <w:t> </w:t>
      </w:r>
      <w:r>
        <w:rPr>
          <w:color w:val="231F20"/>
        </w:rPr>
        <w:t>уже</w:t>
      </w:r>
      <w:r>
        <w:rPr>
          <w:color w:val="231F20"/>
          <w:spacing w:val="-5"/>
        </w:rPr>
        <w:t> </w:t>
      </w:r>
      <w:r>
        <w:rPr>
          <w:color w:val="231F20"/>
        </w:rPr>
        <w:t>устоявшихся</w:t>
      </w:r>
      <w:r>
        <w:rPr>
          <w:color w:val="231F20"/>
          <w:spacing w:val="-5"/>
        </w:rPr>
        <w:t> </w:t>
      </w:r>
      <w:r>
        <w:rPr>
          <w:color w:val="231F20"/>
        </w:rPr>
        <w:t>групп</w:t>
      </w:r>
      <w:r>
        <w:rPr>
          <w:color w:val="231F20"/>
          <w:spacing w:val="-5"/>
        </w:rPr>
        <w:t> </w:t>
      </w:r>
      <w:r>
        <w:rPr>
          <w:color w:val="231F20"/>
        </w:rPr>
        <w:t>и</w:t>
      </w:r>
      <w:r>
        <w:rPr>
          <w:color w:val="231F20"/>
          <w:spacing w:val="-5"/>
        </w:rPr>
        <w:t> </w:t>
      </w:r>
      <w:r>
        <w:rPr>
          <w:color w:val="231F20"/>
        </w:rPr>
        <w:t>вынуждают</w:t>
      </w:r>
      <w:r>
        <w:rPr>
          <w:color w:val="231F20"/>
          <w:spacing w:val="-5"/>
        </w:rPr>
        <w:t> </w:t>
      </w:r>
      <w:r>
        <w:rPr>
          <w:color w:val="231F20"/>
        </w:rPr>
        <w:t>учащихся</w:t>
      </w:r>
      <w:r>
        <w:rPr>
          <w:color w:val="231F20"/>
          <w:spacing w:val="-5"/>
        </w:rPr>
        <w:t> </w:t>
      </w:r>
      <w:r>
        <w:rPr>
          <w:color w:val="231F20"/>
        </w:rPr>
        <w:t>общаться</w:t>
      </w:r>
      <w:r>
        <w:rPr>
          <w:color w:val="231F20"/>
          <w:spacing w:val="-5"/>
        </w:rPr>
        <w:t> </w:t>
      </w:r>
      <w:r>
        <w:rPr>
          <w:color w:val="231F20"/>
        </w:rPr>
        <w:t>со все новыми членами группы, находить общий язык с теми, с кем они раньше мало или</w:t>
      </w:r>
      <w:r>
        <w:rPr>
          <w:color w:val="231F20"/>
          <w:spacing w:val="-2"/>
        </w:rPr>
        <w:t> </w:t>
      </w:r>
      <w:r>
        <w:rPr>
          <w:color w:val="231F20"/>
        </w:rPr>
        <w:t>совсем</w:t>
      </w:r>
      <w:r>
        <w:rPr>
          <w:color w:val="231F20"/>
          <w:spacing w:val="-2"/>
        </w:rPr>
        <w:t> </w:t>
      </w:r>
      <w:r>
        <w:rPr>
          <w:color w:val="231F20"/>
        </w:rPr>
        <w:t>не</w:t>
      </w:r>
      <w:r>
        <w:rPr>
          <w:color w:val="231F20"/>
          <w:spacing w:val="-2"/>
        </w:rPr>
        <w:t> </w:t>
      </w:r>
      <w:r>
        <w:rPr>
          <w:color w:val="231F20"/>
        </w:rPr>
        <w:t>взаимодействовали.</w:t>
      </w:r>
      <w:r>
        <w:rPr>
          <w:color w:val="231F20"/>
          <w:spacing w:val="-2"/>
        </w:rPr>
        <w:t> </w:t>
      </w:r>
      <w:r>
        <w:rPr>
          <w:color w:val="231F20"/>
        </w:rPr>
        <w:t>То</w:t>
      </w:r>
      <w:r>
        <w:rPr>
          <w:color w:val="231F20"/>
          <w:spacing w:val="-2"/>
        </w:rPr>
        <w:t> </w:t>
      </w:r>
      <w:r>
        <w:rPr>
          <w:color w:val="231F20"/>
        </w:rPr>
        <w:t>есть</w:t>
      </w:r>
      <w:r>
        <w:rPr>
          <w:color w:val="231F20"/>
          <w:spacing w:val="-2"/>
        </w:rPr>
        <w:t> </w:t>
      </w:r>
      <w:r>
        <w:rPr>
          <w:color w:val="231F20"/>
        </w:rPr>
        <w:t>делают</w:t>
      </w:r>
      <w:r>
        <w:rPr>
          <w:color w:val="231F20"/>
          <w:spacing w:val="-2"/>
        </w:rPr>
        <w:t> </w:t>
      </w:r>
      <w:r>
        <w:rPr>
          <w:color w:val="231F20"/>
        </w:rPr>
        <w:t>процесс</w:t>
      </w:r>
      <w:r>
        <w:rPr>
          <w:color w:val="231F20"/>
          <w:spacing w:val="-2"/>
        </w:rPr>
        <w:t> </w:t>
      </w:r>
      <w:r>
        <w:rPr>
          <w:color w:val="231F20"/>
        </w:rPr>
        <w:t>установления</w:t>
      </w:r>
      <w:r>
        <w:rPr>
          <w:color w:val="231F20"/>
          <w:spacing w:val="-2"/>
        </w:rPr>
        <w:t> </w:t>
      </w:r>
      <w:r>
        <w:rPr>
          <w:color w:val="231F20"/>
        </w:rPr>
        <w:t>отношений и поиска способов договориться постоянным. С одной стороны, в этом состоит пре- имущество экспертных групп. Но, с другой стороны, это же может стать и ограни- чением, прежде всего потому, что группы экспертов не существуют долгое время и меняются вместе с изучаемым материалом.</w:t>
      </w:r>
    </w:p>
    <w:p>
      <w:pPr>
        <w:pStyle w:val="BodyText"/>
        <w:spacing w:line="235" w:lineRule="auto" w:before="6"/>
      </w:pPr>
      <w:r>
        <w:rPr>
          <w:color w:val="231F20"/>
        </w:rPr>
        <w:t>В</w:t>
      </w:r>
      <w:r>
        <w:rPr>
          <w:color w:val="231F20"/>
          <w:spacing w:val="-12"/>
        </w:rPr>
        <w:t> </w:t>
      </w:r>
      <w:r>
        <w:rPr>
          <w:color w:val="231F20"/>
        </w:rPr>
        <w:t>дальнейшем,</w:t>
      </w:r>
      <w:r>
        <w:rPr>
          <w:color w:val="231F20"/>
          <w:spacing w:val="-12"/>
        </w:rPr>
        <w:t> </w:t>
      </w:r>
      <w:r>
        <w:rPr>
          <w:color w:val="231F20"/>
        </w:rPr>
        <w:t>когда</w:t>
      </w:r>
      <w:r>
        <w:rPr>
          <w:color w:val="231F20"/>
          <w:spacing w:val="-12"/>
        </w:rPr>
        <w:t> </w:t>
      </w:r>
      <w:r>
        <w:rPr>
          <w:color w:val="231F20"/>
        </w:rPr>
        <w:t>ученики</w:t>
      </w:r>
      <w:r>
        <w:rPr>
          <w:color w:val="231F20"/>
          <w:spacing w:val="-12"/>
        </w:rPr>
        <w:t> </w:t>
      </w:r>
      <w:r>
        <w:rPr>
          <w:color w:val="231F20"/>
        </w:rPr>
        <w:t>привыкают</w:t>
      </w:r>
      <w:r>
        <w:rPr>
          <w:color w:val="231F20"/>
          <w:spacing w:val="-12"/>
        </w:rPr>
        <w:t> </w:t>
      </w:r>
      <w:r>
        <w:rPr>
          <w:color w:val="231F20"/>
        </w:rPr>
        <w:t>к</w:t>
      </w:r>
      <w:r>
        <w:rPr>
          <w:color w:val="231F20"/>
          <w:spacing w:val="-12"/>
        </w:rPr>
        <w:t> </w:t>
      </w:r>
      <w:r>
        <w:rPr>
          <w:color w:val="231F20"/>
        </w:rPr>
        <w:t>методике</w:t>
      </w:r>
      <w:r>
        <w:rPr>
          <w:color w:val="231F20"/>
          <w:spacing w:val="-12"/>
        </w:rPr>
        <w:t> </w:t>
      </w:r>
      <w:r>
        <w:rPr>
          <w:color w:val="231F20"/>
        </w:rPr>
        <w:t>обучения</w:t>
      </w:r>
      <w:r>
        <w:rPr>
          <w:color w:val="231F20"/>
          <w:spacing w:val="-12"/>
        </w:rPr>
        <w:t> </w:t>
      </w:r>
      <w:r>
        <w:rPr>
          <w:color w:val="231F20"/>
        </w:rPr>
        <w:t>в</w:t>
      </w:r>
      <w:r>
        <w:rPr>
          <w:color w:val="231F20"/>
          <w:spacing w:val="-12"/>
        </w:rPr>
        <w:t> </w:t>
      </w:r>
      <w:r>
        <w:rPr>
          <w:color w:val="231F20"/>
        </w:rPr>
        <w:t>мозаичных</w:t>
      </w:r>
      <w:r>
        <w:rPr>
          <w:color w:val="231F20"/>
          <w:spacing w:val="-12"/>
        </w:rPr>
        <w:t> </w:t>
      </w:r>
      <w:r>
        <w:rPr>
          <w:color w:val="231F20"/>
        </w:rPr>
        <w:t>груп- пах,</w:t>
      </w:r>
      <w:r>
        <w:rPr>
          <w:color w:val="231F20"/>
          <w:spacing w:val="-2"/>
        </w:rPr>
        <w:t> </w:t>
      </w:r>
      <w:r>
        <w:rPr>
          <w:color w:val="231F20"/>
        </w:rPr>
        <w:t>им</w:t>
      </w:r>
      <w:r>
        <w:rPr>
          <w:color w:val="231F20"/>
          <w:spacing w:val="-2"/>
        </w:rPr>
        <w:t> </w:t>
      </w:r>
      <w:r>
        <w:rPr>
          <w:color w:val="231F20"/>
        </w:rPr>
        <w:t>становится</w:t>
      </w:r>
      <w:r>
        <w:rPr>
          <w:color w:val="231F20"/>
          <w:spacing w:val="-2"/>
        </w:rPr>
        <w:t> </w:t>
      </w:r>
      <w:r>
        <w:rPr>
          <w:color w:val="231F20"/>
        </w:rPr>
        <w:t>легче</w:t>
      </w:r>
      <w:r>
        <w:rPr>
          <w:color w:val="231F20"/>
          <w:spacing w:val="-2"/>
        </w:rPr>
        <w:t> </w:t>
      </w:r>
      <w:r>
        <w:rPr>
          <w:color w:val="231F20"/>
        </w:rPr>
        <w:t>взаимодействовать</w:t>
      </w:r>
      <w:r>
        <w:rPr>
          <w:color w:val="231F20"/>
          <w:spacing w:val="-2"/>
        </w:rPr>
        <w:t> </w:t>
      </w:r>
      <w:r>
        <w:rPr>
          <w:color w:val="231F20"/>
        </w:rPr>
        <w:t>и</w:t>
      </w:r>
      <w:r>
        <w:rPr>
          <w:color w:val="231F20"/>
          <w:spacing w:val="-2"/>
        </w:rPr>
        <w:t> </w:t>
      </w:r>
      <w:r>
        <w:rPr>
          <w:color w:val="231F20"/>
        </w:rPr>
        <w:t>в</w:t>
      </w:r>
      <w:r>
        <w:rPr>
          <w:color w:val="231F20"/>
          <w:spacing w:val="-2"/>
        </w:rPr>
        <w:t> </w:t>
      </w:r>
      <w:r>
        <w:rPr>
          <w:color w:val="231F20"/>
        </w:rPr>
        <w:t>экспертных</w:t>
      </w:r>
      <w:r>
        <w:rPr>
          <w:color w:val="231F20"/>
          <w:spacing w:val="-2"/>
        </w:rPr>
        <w:t> </w:t>
      </w:r>
      <w:r>
        <w:rPr>
          <w:color w:val="231F20"/>
        </w:rPr>
        <w:t>группах.</w:t>
      </w:r>
      <w:r>
        <w:rPr>
          <w:color w:val="231F20"/>
          <w:spacing w:val="-2"/>
        </w:rPr>
        <w:t> </w:t>
      </w:r>
      <w:r>
        <w:rPr>
          <w:color w:val="231F20"/>
        </w:rPr>
        <w:t>Навыки</w:t>
      </w:r>
      <w:r>
        <w:rPr>
          <w:color w:val="231F20"/>
          <w:spacing w:val="-2"/>
        </w:rPr>
        <w:t> </w:t>
      </w:r>
      <w:r>
        <w:rPr>
          <w:color w:val="231F20"/>
        </w:rPr>
        <w:t>актив- ного слушания, отслеживания групповых процессов, принятия ответственности за эффективность работы группы начинают применяться учениками и во время встреч экспертов.</w:t>
      </w:r>
      <w:r>
        <w:rPr>
          <w:color w:val="231F20"/>
          <w:spacing w:val="-7"/>
        </w:rPr>
        <w:t> </w:t>
      </w:r>
      <w:r>
        <w:rPr>
          <w:color w:val="231F20"/>
        </w:rPr>
        <w:t>Но,</w:t>
      </w:r>
      <w:r>
        <w:rPr>
          <w:color w:val="231F20"/>
          <w:spacing w:val="-7"/>
        </w:rPr>
        <w:t> </w:t>
      </w:r>
      <w:r>
        <w:rPr>
          <w:color w:val="231F20"/>
        </w:rPr>
        <w:t>как</w:t>
      </w:r>
      <w:r>
        <w:rPr>
          <w:color w:val="231F20"/>
          <w:spacing w:val="-7"/>
        </w:rPr>
        <w:t> </w:t>
      </w:r>
      <w:r>
        <w:rPr>
          <w:color w:val="231F20"/>
        </w:rPr>
        <w:t>в</w:t>
      </w:r>
      <w:r>
        <w:rPr>
          <w:color w:val="231F20"/>
          <w:spacing w:val="-7"/>
        </w:rPr>
        <w:t> </w:t>
      </w:r>
      <w:r>
        <w:rPr>
          <w:color w:val="231F20"/>
        </w:rPr>
        <w:t>мозаичных</w:t>
      </w:r>
      <w:r>
        <w:rPr>
          <w:color w:val="231F20"/>
          <w:spacing w:val="-7"/>
        </w:rPr>
        <w:t> </w:t>
      </w:r>
      <w:r>
        <w:rPr>
          <w:color w:val="231F20"/>
        </w:rPr>
        <w:t>группах,</w:t>
      </w:r>
      <w:r>
        <w:rPr>
          <w:color w:val="231F20"/>
          <w:spacing w:val="-7"/>
        </w:rPr>
        <w:t> </w:t>
      </w:r>
      <w:r>
        <w:rPr>
          <w:color w:val="231F20"/>
        </w:rPr>
        <w:t>так</w:t>
      </w:r>
      <w:r>
        <w:rPr>
          <w:color w:val="231F20"/>
          <w:spacing w:val="-7"/>
        </w:rPr>
        <w:t> </w:t>
      </w:r>
      <w:r>
        <w:rPr>
          <w:color w:val="231F20"/>
        </w:rPr>
        <w:t>и</w:t>
      </w:r>
      <w:r>
        <w:rPr>
          <w:color w:val="231F20"/>
          <w:spacing w:val="-7"/>
        </w:rPr>
        <w:t> </w:t>
      </w:r>
      <w:r>
        <w:rPr>
          <w:color w:val="231F20"/>
        </w:rPr>
        <w:t>в</w:t>
      </w:r>
      <w:r>
        <w:rPr>
          <w:color w:val="231F20"/>
          <w:spacing w:val="-7"/>
        </w:rPr>
        <w:t> </w:t>
      </w:r>
      <w:r>
        <w:rPr>
          <w:color w:val="231F20"/>
        </w:rPr>
        <w:t>экспертных,</w:t>
      </w:r>
      <w:r>
        <w:rPr>
          <w:color w:val="231F20"/>
          <w:spacing w:val="-7"/>
        </w:rPr>
        <w:t> </w:t>
      </w:r>
      <w:r>
        <w:rPr>
          <w:color w:val="231F20"/>
        </w:rPr>
        <w:t>важную</w:t>
      </w:r>
      <w:r>
        <w:rPr>
          <w:color w:val="231F20"/>
          <w:spacing w:val="-7"/>
        </w:rPr>
        <w:t> </w:t>
      </w:r>
      <w:r>
        <w:rPr>
          <w:color w:val="231F20"/>
        </w:rPr>
        <w:t>роль</w:t>
      </w:r>
      <w:r>
        <w:rPr>
          <w:color w:val="231F20"/>
          <w:spacing w:val="-7"/>
        </w:rPr>
        <w:t> </w:t>
      </w:r>
      <w:r>
        <w:rPr>
          <w:color w:val="231F20"/>
        </w:rPr>
        <w:t>играет</w:t>
      </w:r>
      <w:r>
        <w:rPr>
          <w:color w:val="231F20"/>
          <w:spacing w:val="-7"/>
        </w:rPr>
        <w:t> </w:t>
      </w:r>
      <w:r>
        <w:rPr>
          <w:color w:val="231F20"/>
        </w:rPr>
        <w:t>ру- </w:t>
      </w:r>
      <w:r>
        <w:rPr>
          <w:color w:val="231F20"/>
          <w:spacing w:val="-2"/>
        </w:rPr>
        <w:t>ководитель</w:t>
      </w:r>
      <w:r>
        <w:rPr>
          <w:color w:val="231F20"/>
          <w:spacing w:val="1"/>
        </w:rPr>
        <w:t> </w:t>
      </w:r>
      <w:r>
        <w:rPr>
          <w:color w:val="231F20"/>
          <w:spacing w:val="-2"/>
        </w:rPr>
        <w:t>группы.</w:t>
      </w:r>
      <w:r>
        <w:rPr>
          <w:color w:val="231F20"/>
          <w:spacing w:val="3"/>
        </w:rPr>
        <w:t> </w:t>
      </w:r>
      <w:r>
        <w:rPr>
          <w:color w:val="231F20"/>
          <w:spacing w:val="-2"/>
        </w:rPr>
        <w:t>Рассмотрим</w:t>
      </w:r>
      <w:r>
        <w:rPr>
          <w:color w:val="231F20"/>
          <w:spacing w:val="3"/>
        </w:rPr>
        <w:t> </w:t>
      </w:r>
      <w:r>
        <w:rPr>
          <w:color w:val="231F20"/>
          <w:spacing w:val="-2"/>
        </w:rPr>
        <w:t>основные</w:t>
      </w:r>
      <w:r>
        <w:rPr>
          <w:color w:val="231F20"/>
          <w:spacing w:val="3"/>
        </w:rPr>
        <w:t> </w:t>
      </w:r>
      <w:r>
        <w:rPr>
          <w:color w:val="231F20"/>
          <w:spacing w:val="-2"/>
        </w:rPr>
        <w:t>особенности</w:t>
      </w:r>
      <w:r>
        <w:rPr>
          <w:color w:val="231F20"/>
          <w:spacing w:val="3"/>
        </w:rPr>
        <w:t> </w:t>
      </w:r>
      <w:r>
        <w:rPr>
          <w:color w:val="231F20"/>
          <w:spacing w:val="-2"/>
        </w:rPr>
        <w:t>руководства</w:t>
      </w:r>
      <w:r>
        <w:rPr>
          <w:color w:val="231F20"/>
          <w:spacing w:val="3"/>
        </w:rPr>
        <w:t> </w:t>
      </w:r>
      <w:r>
        <w:rPr>
          <w:color w:val="231F20"/>
          <w:spacing w:val="-2"/>
        </w:rPr>
        <w:t>данной</w:t>
      </w:r>
      <w:r>
        <w:rPr>
          <w:color w:val="231F20"/>
          <w:spacing w:val="4"/>
        </w:rPr>
        <w:t> </w:t>
      </w:r>
      <w:r>
        <w:rPr>
          <w:color w:val="231F20"/>
          <w:spacing w:val="-2"/>
        </w:rPr>
        <w:t>группой.</w:t>
      </w:r>
    </w:p>
    <w:p>
      <w:pPr>
        <w:pStyle w:val="ListParagraph"/>
        <w:numPr>
          <w:ilvl w:val="0"/>
          <w:numId w:val="316"/>
        </w:numPr>
        <w:tabs>
          <w:tab w:pos="423" w:val="left" w:leader="none"/>
        </w:tabs>
        <w:spacing w:line="228" w:lineRule="exact" w:before="57" w:after="0"/>
        <w:ind w:left="423" w:right="0" w:hanging="282"/>
        <w:jc w:val="both"/>
        <w:rPr>
          <w:i/>
          <w:sz w:val="20"/>
        </w:rPr>
      </w:pPr>
      <w:r>
        <w:rPr>
          <w:i/>
          <w:color w:val="231F20"/>
          <w:spacing w:val="-2"/>
          <w:sz w:val="20"/>
        </w:rPr>
        <w:t>Руководство</w:t>
      </w:r>
      <w:r>
        <w:rPr>
          <w:i/>
          <w:color w:val="231F20"/>
          <w:spacing w:val="5"/>
          <w:sz w:val="20"/>
        </w:rPr>
        <w:t> </w:t>
      </w:r>
      <w:r>
        <w:rPr>
          <w:i/>
          <w:color w:val="231F20"/>
          <w:spacing w:val="-2"/>
          <w:sz w:val="20"/>
        </w:rPr>
        <w:t>экспертной</w:t>
      </w:r>
      <w:r>
        <w:rPr>
          <w:i/>
          <w:color w:val="231F20"/>
          <w:spacing w:val="5"/>
          <w:sz w:val="20"/>
        </w:rPr>
        <w:t> </w:t>
      </w:r>
      <w:r>
        <w:rPr>
          <w:i/>
          <w:color w:val="231F20"/>
          <w:spacing w:val="-2"/>
          <w:sz w:val="20"/>
        </w:rPr>
        <w:t>группой</w:t>
      </w:r>
    </w:p>
    <w:p>
      <w:pPr>
        <w:pStyle w:val="BodyText"/>
        <w:spacing w:line="235" w:lineRule="auto" w:before="2"/>
        <w:jc w:val="right"/>
      </w:pPr>
      <w:r>
        <w:rPr>
          <w:color w:val="231F20"/>
        </w:rPr>
        <w:t>Постоянного руководителя в экспертных группах быть не может, их состав все время</w:t>
      </w:r>
      <w:r>
        <w:rPr>
          <w:color w:val="231F20"/>
          <w:spacing w:val="-11"/>
        </w:rPr>
        <w:t> </w:t>
      </w:r>
      <w:r>
        <w:rPr>
          <w:color w:val="231F20"/>
        </w:rPr>
        <w:t>меняется.</w:t>
      </w:r>
      <w:r>
        <w:rPr>
          <w:color w:val="231F20"/>
          <w:spacing w:val="-11"/>
        </w:rPr>
        <w:t> </w:t>
      </w:r>
      <w:r>
        <w:rPr>
          <w:color w:val="231F20"/>
        </w:rPr>
        <w:t>Однако</w:t>
      </w:r>
      <w:r>
        <w:rPr>
          <w:color w:val="231F20"/>
          <w:spacing w:val="-11"/>
        </w:rPr>
        <w:t> </w:t>
      </w:r>
      <w:r>
        <w:rPr>
          <w:color w:val="231F20"/>
        </w:rPr>
        <w:t>такая</w:t>
      </w:r>
      <w:r>
        <w:rPr>
          <w:color w:val="231F20"/>
          <w:spacing w:val="-11"/>
        </w:rPr>
        <w:t> </w:t>
      </w:r>
      <w:r>
        <w:rPr>
          <w:color w:val="231F20"/>
        </w:rPr>
        <w:t>роль</w:t>
      </w:r>
      <w:r>
        <w:rPr>
          <w:color w:val="231F20"/>
          <w:spacing w:val="-11"/>
        </w:rPr>
        <w:t> </w:t>
      </w:r>
      <w:r>
        <w:rPr>
          <w:color w:val="231F20"/>
        </w:rPr>
        <w:t>необходима,</w:t>
      </w:r>
      <w:r>
        <w:rPr>
          <w:color w:val="231F20"/>
          <w:spacing w:val="-11"/>
        </w:rPr>
        <w:t> </w:t>
      </w:r>
      <w:r>
        <w:rPr>
          <w:color w:val="231F20"/>
        </w:rPr>
        <w:t>чтобы</w:t>
      </w:r>
      <w:r>
        <w:rPr>
          <w:color w:val="231F20"/>
          <w:spacing w:val="-11"/>
        </w:rPr>
        <w:t> </w:t>
      </w:r>
      <w:r>
        <w:rPr>
          <w:color w:val="231F20"/>
        </w:rPr>
        <w:t>лучше</w:t>
      </w:r>
      <w:r>
        <w:rPr>
          <w:color w:val="231F20"/>
          <w:spacing w:val="-11"/>
        </w:rPr>
        <w:t> </w:t>
      </w:r>
      <w:r>
        <w:rPr>
          <w:color w:val="231F20"/>
        </w:rPr>
        <w:t>организовывать</w:t>
      </w:r>
      <w:r>
        <w:rPr>
          <w:color w:val="231F20"/>
          <w:spacing w:val="-11"/>
        </w:rPr>
        <w:t> </w:t>
      </w:r>
      <w:r>
        <w:rPr>
          <w:color w:val="231F20"/>
        </w:rPr>
        <w:t>работу группы.</w:t>
      </w:r>
      <w:r>
        <w:rPr>
          <w:color w:val="231F20"/>
          <w:spacing w:val="-13"/>
        </w:rPr>
        <w:t> </w:t>
      </w:r>
      <w:r>
        <w:rPr>
          <w:color w:val="231F20"/>
        </w:rPr>
        <w:t>Существует</w:t>
      </w:r>
      <w:r>
        <w:rPr>
          <w:color w:val="231F20"/>
          <w:spacing w:val="-12"/>
        </w:rPr>
        <w:t> </w:t>
      </w:r>
      <w:r>
        <w:rPr>
          <w:color w:val="231F20"/>
        </w:rPr>
        <w:t>несколько</w:t>
      </w:r>
      <w:r>
        <w:rPr>
          <w:color w:val="231F20"/>
          <w:spacing w:val="-13"/>
        </w:rPr>
        <w:t> </w:t>
      </w:r>
      <w:r>
        <w:rPr>
          <w:color w:val="231F20"/>
        </w:rPr>
        <w:t>вариантов,</w:t>
      </w:r>
      <w:r>
        <w:rPr>
          <w:color w:val="231F20"/>
          <w:spacing w:val="-12"/>
        </w:rPr>
        <w:t> </w:t>
      </w:r>
      <w:r>
        <w:rPr>
          <w:color w:val="231F20"/>
        </w:rPr>
        <w:t>как</w:t>
      </w:r>
      <w:r>
        <w:rPr>
          <w:color w:val="231F20"/>
          <w:spacing w:val="-13"/>
        </w:rPr>
        <w:t> </w:t>
      </w:r>
      <w:r>
        <w:rPr>
          <w:color w:val="231F20"/>
        </w:rPr>
        <w:t>может</w:t>
      </w:r>
      <w:r>
        <w:rPr>
          <w:color w:val="231F20"/>
          <w:spacing w:val="-12"/>
        </w:rPr>
        <w:t> </w:t>
      </w:r>
      <w:r>
        <w:rPr>
          <w:color w:val="231F20"/>
        </w:rPr>
        <w:t>быть</w:t>
      </w:r>
      <w:r>
        <w:rPr>
          <w:color w:val="231F20"/>
          <w:spacing w:val="-13"/>
        </w:rPr>
        <w:t> </w:t>
      </w:r>
      <w:r>
        <w:rPr>
          <w:color w:val="231F20"/>
        </w:rPr>
        <w:t>осуществлен</w:t>
      </w:r>
      <w:r>
        <w:rPr>
          <w:color w:val="231F20"/>
          <w:spacing w:val="-12"/>
        </w:rPr>
        <w:t> </w:t>
      </w:r>
      <w:r>
        <w:rPr>
          <w:color w:val="231F20"/>
        </w:rPr>
        <w:t>такой</w:t>
      </w:r>
      <w:r>
        <w:rPr>
          <w:color w:val="231F20"/>
          <w:spacing w:val="-13"/>
        </w:rPr>
        <w:t> </w:t>
      </w:r>
      <w:r>
        <w:rPr>
          <w:color w:val="231F20"/>
        </w:rPr>
        <w:t>выбор. Члены</w:t>
      </w:r>
      <w:r>
        <w:rPr>
          <w:color w:val="231F20"/>
          <w:spacing w:val="40"/>
        </w:rPr>
        <w:t> </w:t>
      </w:r>
      <w:r>
        <w:rPr>
          <w:color w:val="231F20"/>
        </w:rPr>
        <w:t>группы</w:t>
      </w:r>
      <w:r>
        <w:rPr>
          <w:color w:val="231F20"/>
          <w:spacing w:val="40"/>
        </w:rPr>
        <w:t> </w:t>
      </w:r>
      <w:r>
        <w:rPr>
          <w:color w:val="231F20"/>
        </w:rPr>
        <w:t>самостоятельно</w:t>
      </w:r>
      <w:r>
        <w:rPr>
          <w:color w:val="231F20"/>
          <w:spacing w:val="40"/>
        </w:rPr>
        <w:t> </w:t>
      </w:r>
      <w:r>
        <w:rPr>
          <w:color w:val="231F20"/>
        </w:rPr>
        <w:t>выбирают</w:t>
      </w:r>
      <w:r>
        <w:rPr>
          <w:color w:val="231F20"/>
          <w:spacing w:val="40"/>
        </w:rPr>
        <w:t> </w:t>
      </w:r>
      <w:r>
        <w:rPr>
          <w:color w:val="231F20"/>
        </w:rPr>
        <w:t>руководителя.</w:t>
      </w:r>
      <w:r>
        <w:rPr>
          <w:color w:val="231F20"/>
          <w:spacing w:val="40"/>
        </w:rPr>
        <w:t> </w:t>
      </w:r>
      <w:r>
        <w:rPr>
          <w:color w:val="231F20"/>
        </w:rPr>
        <w:t>Это</w:t>
      </w:r>
      <w:r>
        <w:rPr>
          <w:color w:val="231F20"/>
          <w:spacing w:val="40"/>
        </w:rPr>
        <w:t> </w:t>
      </w:r>
      <w:r>
        <w:rPr>
          <w:color w:val="231F20"/>
        </w:rPr>
        <w:t>хороший</w:t>
      </w:r>
      <w:r>
        <w:rPr>
          <w:color w:val="231F20"/>
          <w:spacing w:val="40"/>
        </w:rPr>
        <w:t> </w:t>
      </w:r>
      <w:r>
        <w:rPr>
          <w:color w:val="231F20"/>
        </w:rPr>
        <w:t>вариант, поскольку</w:t>
      </w:r>
      <w:r>
        <w:rPr>
          <w:color w:val="231F20"/>
          <w:spacing w:val="-4"/>
        </w:rPr>
        <w:t> </w:t>
      </w:r>
      <w:r>
        <w:rPr>
          <w:color w:val="231F20"/>
        </w:rPr>
        <w:t>в</w:t>
      </w:r>
      <w:r>
        <w:rPr>
          <w:color w:val="231F20"/>
          <w:spacing w:val="-4"/>
        </w:rPr>
        <w:t> </w:t>
      </w:r>
      <w:r>
        <w:rPr>
          <w:color w:val="231F20"/>
        </w:rPr>
        <w:t>данном</w:t>
      </w:r>
      <w:r>
        <w:rPr>
          <w:color w:val="231F20"/>
          <w:spacing w:val="-4"/>
        </w:rPr>
        <w:t> </w:t>
      </w:r>
      <w:r>
        <w:rPr>
          <w:color w:val="231F20"/>
        </w:rPr>
        <w:t>случае</w:t>
      </w:r>
      <w:r>
        <w:rPr>
          <w:color w:val="231F20"/>
          <w:spacing w:val="-4"/>
        </w:rPr>
        <w:t> </w:t>
      </w:r>
      <w:r>
        <w:rPr>
          <w:color w:val="231F20"/>
        </w:rPr>
        <w:t>члены</w:t>
      </w:r>
      <w:r>
        <w:rPr>
          <w:color w:val="231F20"/>
          <w:spacing w:val="-4"/>
        </w:rPr>
        <w:t> </w:t>
      </w:r>
      <w:r>
        <w:rPr>
          <w:color w:val="231F20"/>
        </w:rPr>
        <w:t>группы</w:t>
      </w:r>
      <w:r>
        <w:rPr>
          <w:color w:val="231F20"/>
          <w:spacing w:val="-4"/>
        </w:rPr>
        <w:t> </w:t>
      </w:r>
      <w:r>
        <w:rPr>
          <w:color w:val="231F20"/>
        </w:rPr>
        <w:t>принимают</w:t>
      </w:r>
      <w:r>
        <w:rPr>
          <w:color w:val="231F20"/>
          <w:spacing w:val="-4"/>
        </w:rPr>
        <w:t> </w:t>
      </w:r>
      <w:r>
        <w:rPr>
          <w:color w:val="231F20"/>
        </w:rPr>
        <w:t>на</w:t>
      </w:r>
      <w:r>
        <w:rPr>
          <w:color w:val="231F20"/>
          <w:spacing w:val="-4"/>
        </w:rPr>
        <w:t> </w:t>
      </w:r>
      <w:r>
        <w:rPr>
          <w:color w:val="231F20"/>
        </w:rPr>
        <w:t>себя</w:t>
      </w:r>
      <w:r>
        <w:rPr>
          <w:color w:val="231F20"/>
          <w:spacing w:val="-4"/>
        </w:rPr>
        <w:t> </w:t>
      </w:r>
      <w:r>
        <w:rPr>
          <w:color w:val="231F20"/>
        </w:rPr>
        <w:t>ответственность</w:t>
      </w:r>
      <w:r>
        <w:rPr>
          <w:color w:val="231F20"/>
          <w:spacing w:val="-4"/>
        </w:rPr>
        <w:t> </w:t>
      </w:r>
      <w:r>
        <w:rPr>
          <w:color w:val="231F20"/>
        </w:rPr>
        <w:t>за</w:t>
      </w:r>
      <w:r>
        <w:rPr>
          <w:color w:val="231F20"/>
          <w:spacing w:val="-4"/>
        </w:rPr>
        <w:t> </w:t>
      </w:r>
      <w:r>
        <w:rPr>
          <w:color w:val="231F20"/>
        </w:rPr>
        <w:t>по- следствия выбора. Однако тогда чаще выбирают тех, кто проявляет лидерские каче- ства в обыденной жизни и уже является неформальным лидером. То есть если по- стоянно</w:t>
      </w:r>
      <w:r>
        <w:rPr>
          <w:color w:val="231F20"/>
          <w:spacing w:val="-13"/>
        </w:rPr>
        <w:t> </w:t>
      </w:r>
      <w:r>
        <w:rPr>
          <w:color w:val="231F20"/>
        </w:rPr>
        <w:t>давать</w:t>
      </w:r>
      <w:r>
        <w:rPr>
          <w:color w:val="231F20"/>
          <w:spacing w:val="-12"/>
        </w:rPr>
        <w:t> </w:t>
      </w:r>
      <w:r>
        <w:rPr>
          <w:color w:val="231F20"/>
        </w:rPr>
        <w:t>группе</w:t>
      </w:r>
      <w:r>
        <w:rPr>
          <w:color w:val="231F20"/>
          <w:spacing w:val="-12"/>
        </w:rPr>
        <w:t> </w:t>
      </w:r>
      <w:r>
        <w:rPr>
          <w:color w:val="231F20"/>
        </w:rPr>
        <w:t>возможность</w:t>
      </w:r>
      <w:r>
        <w:rPr>
          <w:color w:val="231F20"/>
          <w:spacing w:val="-12"/>
        </w:rPr>
        <w:t> </w:t>
      </w:r>
      <w:r>
        <w:rPr>
          <w:color w:val="231F20"/>
        </w:rPr>
        <w:t>выбирать</w:t>
      </w:r>
      <w:r>
        <w:rPr>
          <w:color w:val="231F20"/>
          <w:spacing w:val="-12"/>
        </w:rPr>
        <w:t> </w:t>
      </w:r>
      <w:r>
        <w:rPr>
          <w:color w:val="231F20"/>
        </w:rPr>
        <w:t>руководителя,</w:t>
      </w:r>
      <w:r>
        <w:rPr>
          <w:color w:val="231F20"/>
          <w:spacing w:val="-12"/>
        </w:rPr>
        <w:t> </w:t>
      </w:r>
      <w:r>
        <w:rPr>
          <w:color w:val="231F20"/>
        </w:rPr>
        <w:t>высока</w:t>
      </w:r>
      <w:r>
        <w:rPr>
          <w:color w:val="231F20"/>
          <w:spacing w:val="-12"/>
        </w:rPr>
        <w:t> </w:t>
      </w:r>
      <w:r>
        <w:rPr>
          <w:color w:val="231F20"/>
        </w:rPr>
        <w:t>вероятность,</w:t>
      </w:r>
      <w:r>
        <w:rPr>
          <w:color w:val="231F20"/>
          <w:spacing w:val="-12"/>
        </w:rPr>
        <w:t> </w:t>
      </w:r>
      <w:r>
        <w:rPr>
          <w:color w:val="231F20"/>
          <w:spacing w:val="-5"/>
        </w:rPr>
        <w:t>что</w:t>
      </w:r>
    </w:p>
    <w:p>
      <w:pPr>
        <w:pStyle w:val="BodyText"/>
        <w:spacing w:line="228" w:lineRule="exact" w:before="1"/>
        <w:ind w:right="0" w:firstLine="0"/>
      </w:pPr>
      <w:r>
        <w:rPr>
          <w:color w:val="231F20"/>
        </w:rPr>
        <w:t>руководить</w:t>
      </w:r>
      <w:r>
        <w:rPr>
          <w:color w:val="231F20"/>
          <w:spacing w:val="-8"/>
        </w:rPr>
        <w:t> </w:t>
      </w:r>
      <w:r>
        <w:rPr>
          <w:color w:val="231F20"/>
        </w:rPr>
        <w:t>будут</w:t>
      </w:r>
      <w:r>
        <w:rPr>
          <w:color w:val="231F20"/>
          <w:spacing w:val="-7"/>
        </w:rPr>
        <w:t> </w:t>
      </w:r>
      <w:r>
        <w:rPr>
          <w:color w:val="231F20"/>
        </w:rPr>
        <w:t>одни</w:t>
      </w:r>
      <w:r>
        <w:rPr>
          <w:color w:val="231F20"/>
          <w:spacing w:val="-7"/>
        </w:rPr>
        <w:t> </w:t>
      </w:r>
      <w:r>
        <w:rPr>
          <w:color w:val="231F20"/>
        </w:rPr>
        <w:t>и</w:t>
      </w:r>
      <w:r>
        <w:rPr>
          <w:color w:val="231F20"/>
          <w:spacing w:val="-8"/>
        </w:rPr>
        <w:t> </w:t>
      </w:r>
      <w:r>
        <w:rPr>
          <w:color w:val="231F20"/>
        </w:rPr>
        <w:t>те</w:t>
      </w:r>
      <w:r>
        <w:rPr>
          <w:color w:val="231F20"/>
          <w:spacing w:val="-6"/>
        </w:rPr>
        <w:t> </w:t>
      </w:r>
      <w:r>
        <w:rPr>
          <w:color w:val="231F20"/>
        </w:rPr>
        <w:t>же</w:t>
      </w:r>
      <w:r>
        <w:rPr>
          <w:color w:val="231F20"/>
          <w:spacing w:val="-7"/>
        </w:rPr>
        <w:t> </w:t>
      </w:r>
      <w:r>
        <w:rPr>
          <w:color w:val="231F20"/>
        </w:rPr>
        <w:t>ребята,</w:t>
      </w:r>
      <w:r>
        <w:rPr>
          <w:color w:val="231F20"/>
          <w:spacing w:val="-6"/>
        </w:rPr>
        <w:t> </w:t>
      </w:r>
      <w:r>
        <w:rPr>
          <w:color w:val="231F20"/>
        </w:rPr>
        <w:t>а</w:t>
      </w:r>
      <w:r>
        <w:rPr>
          <w:color w:val="231F20"/>
          <w:spacing w:val="-7"/>
        </w:rPr>
        <w:t> </w:t>
      </w:r>
      <w:r>
        <w:rPr>
          <w:color w:val="231F20"/>
        </w:rPr>
        <w:t>остальные</w:t>
      </w:r>
      <w:r>
        <w:rPr>
          <w:color w:val="231F20"/>
          <w:spacing w:val="-7"/>
        </w:rPr>
        <w:t> </w:t>
      </w:r>
      <w:r>
        <w:rPr>
          <w:color w:val="231F20"/>
        </w:rPr>
        <w:t>не</w:t>
      </w:r>
      <w:r>
        <w:rPr>
          <w:color w:val="231F20"/>
          <w:spacing w:val="-6"/>
        </w:rPr>
        <w:t> </w:t>
      </w:r>
      <w:r>
        <w:rPr>
          <w:color w:val="231F20"/>
        </w:rPr>
        <w:t>получат</w:t>
      </w:r>
      <w:r>
        <w:rPr>
          <w:color w:val="231F20"/>
          <w:spacing w:val="-7"/>
        </w:rPr>
        <w:t> </w:t>
      </w:r>
      <w:r>
        <w:rPr>
          <w:color w:val="231F20"/>
        </w:rPr>
        <w:t>такого</w:t>
      </w:r>
      <w:r>
        <w:rPr>
          <w:color w:val="231F20"/>
          <w:spacing w:val="-6"/>
        </w:rPr>
        <w:t> </w:t>
      </w:r>
      <w:r>
        <w:rPr>
          <w:color w:val="231F20"/>
          <w:spacing w:val="-2"/>
        </w:rPr>
        <w:t>опыта.</w:t>
      </w:r>
    </w:p>
    <w:p>
      <w:pPr>
        <w:pStyle w:val="BodyText"/>
        <w:spacing w:line="235" w:lineRule="auto" w:before="2"/>
      </w:pPr>
      <w:r>
        <w:rPr>
          <w:color w:val="231F20"/>
          <w:spacing w:val="-2"/>
        </w:rPr>
        <w:t>Если</w:t>
      </w:r>
      <w:r>
        <w:rPr>
          <w:color w:val="231F20"/>
          <w:spacing w:val="-5"/>
        </w:rPr>
        <w:t> </w:t>
      </w:r>
      <w:r>
        <w:rPr>
          <w:color w:val="231F20"/>
          <w:spacing w:val="-2"/>
        </w:rPr>
        <w:t>же</w:t>
      </w:r>
      <w:r>
        <w:rPr>
          <w:color w:val="231F20"/>
          <w:spacing w:val="-5"/>
        </w:rPr>
        <w:t> </w:t>
      </w:r>
      <w:r>
        <w:rPr>
          <w:color w:val="231F20"/>
          <w:spacing w:val="-2"/>
        </w:rPr>
        <w:t>однозначно</w:t>
      </w:r>
      <w:r>
        <w:rPr>
          <w:color w:val="231F20"/>
          <w:spacing w:val="-5"/>
        </w:rPr>
        <w:t> </w:t>
      </w:r>
      <w:r>
        <w:rPr>
          <w:color w:val="231F20"/>
          <w:spacing w:val="-2"/>
        </w:rPr>
        <w:t>признанного</w:t>
      </w:r>
      <w:r>
        <w:rPr>
          <w:color w:val="231F20"/>
          <w:spacing w:val="-5"/>
        </w:rPr>
        <w:t> </w:t>
      </w:r>
      <w:r>
        <w:rPr>
          <w:color w:val="231F20"/>
          <w:spacing w:val="-2"/>
        </w:rPr>
        <w:t>лидера</w:t>
      </w:r>
      <w:r>
        <w:rPr>
          <w:color w:val="231F20"/>
          <w:spacing w:val="-5"/>
        </w:rPr>
        <w:t> </w:t>
      </w:r>
      <w:r>
        <w:rPr>
          <w:color w:val="231F20"/>
          <w:spacing w:val="-2"/>
        </w:rPr>
        <w:t>в</w:t>
      </w:r>
      <w:r>
        <w:rPr>
          <w:color w:val="231F20"/>
          <w:spacing w:val="-5"/>
        </w:rPr>
        <w:t> </w:t>
      </w:r>
      <w:r>
        <w:rPr>
          <w:color w:val="231F20"/>
          <w:spacing w:val="-2"/>
        </w:rPr>
        <w:t>группе</w:t>
      </w:r>
      <w:r>
        <w:rPr>
          <w:color w:val="231F20"/>
          <w:spacing w:val="-5"/>
        </w:rPr>
        <w:t> </w:t>
      </w:r>
      <w:r>
        <w:rPr>
          <w:color w:val="231F20"/>
          <w:spacing w:val="-2"/>
        </w:rPr>
        <w:t>не</w:t>
      </w:r>
      <w:r>
        <w:rPr>
          <w:color w:val="231F20"/>
          <w:spacing w:val="-5"/>
        </w:rPr>
        <w:t> </w:t>
      </w:r>
      <w:r>
        <w:rPr>
          <w:color w:val="231F20"/>
          <w:spacing w:val="-2"/>
        </w:rPr>
        <w:t>находится,</w:t>
      </w:r>
      <w:r>
        <w:rPr>
          <w:color w:val="231F20"/>
          <w:spacing w:val="-5"/>
        </w:rPr>
        <w:t> </w:t>
      </w:r>
      <w:r>
        <w:rPr>
          <w:color w:val="231F20"/>
          <w:spacing w:val="-2"/>
        </w:rPr>
        <w:t>ей</w:t>
      </w:r>
      <w:r>
        <w:rPr>
          <w:color w:val="231F20"/>
          <w:spacing w:val="-5"/>
        </w:rPr>
        <w:t> </w:t>
      </w:r>
      <w:r>
        <w:rPr>
          <w:color w:val="231F20"/>
          <w:spacing w:val="-2"/>
        </w:rPr>
        <w:t>сложно</w:t>
      </w:r>
      <w:r>
        <w:rPr>
          <w:color w:val="231F20"/>
          <w:spacing w:val="-5"/>
        </w:rPr>
        <w:t> </w:t>
      </w:r>
      <w:r>
        <w:rPr>
          <w:color w:val="231F20"/>
          <w:spacing w:val="-2"/>
        </w:rPr>
        <w:t>вообще </w:t>
      </w:r>
      <w:r>
        <w:rPr>
          <w:color w:val="231F20"/>
        </w:rPr>
        <w:t>кого-либо выбрать и процесс затягивается. В этом случае предлагается другой спо- соб</w:t>
      </w:r>
      <w:r>
        <w:rPr>
          <w:color w:val="231F20"/>
          <w:spacing w:val="-4"/>
        </w:rPr>
        <w:t> </w:t>
      </w:r>
      <w:r>
        <w:rPr>
          <w:color w:val="231F20"/>
        </w:rPr>
        <w:t>выбора</w:t>
      </w:r>
      <w:r>
        <w:rPr>
          <w:color w:val="231F20"/>
          <w:spacing w:val="-4"/>
        </w:rPr>
        <w:t> </w:t>
      </w:r>
      <w:r>
        <w:rPr>
          <w:color w:val="231F20"/>
        </w:rPr>
        <w:t>руководителя:</w:t>
      </w:r>
      <w:r>
        <w:rPr>
          <w:color w:val="231F20"/>
          <w:spacing w:val="-4"/>
        </w:rPr>
        <w:t> </w:t>
      </w:r>
      <w:r>
        <w:rPr>
          <w:color w:val="231F20"/>
        </w:rPr>
        <w:t>когда</w:t>
      </w:r>
      <w:r>
        <w:rPr>
          <w:color w:val="231F20"/>
          <w:spacing w:val="-4"/>
        </w:rPr>
        <w:t> </w:t>
      </w:r>
      <w:r>
        <w:rPr>
          <w:color w:val="231F20"/>
        </w:rPr>
        <w:t>его</w:t>
      </w:r>
      <w:r>
        <w:rPr>
          <w:color w:val="231F20"/>
          <w:spacing w:val="-5"/>
        </w:rPr>
        <w:t> </w:t>
      </w:r>
      <w:r>
        <w:rPr>
          <w:color w:val="231F20"/>
        </w:rPr>
        <w:t>назначает</w:t>
      </w:r>
      <w:r>
        <w:rPr>
          <w:color w:val="231F20"/>
          <w:spacing w:val="-4"/>
        </w:rPr>
        <w:t> </w:t>
      </w:r>
      <w:r>
        <w:rPr>
          <w:color w:val="231F20"/>
        </w:rPr>
        <w:t>учитель</w:t>
      </w:r>
      <w:r>
        <w:rPr>
          <w:color w:val="231F20"/>
          <w:spacing w:val="-4"/>
        </w:rPr>
        <w:t> </w:t>
      </w:r>
      <w:r>
        <w:rPr>
          <w:color w:val="231F20"/>
        </w:rPr>
        <w:t>перед</w:t>
      </w:r>
      <w:r>
        <w:rPr>
          <w:color w:val="231F20"/>
          <w:spacing w:val="-4"/>
        </w:rPr>
        <w:t> </w:t>
      </w:r>
      <w:r>
        <w:rPr>
          <w:color w:val="231F20"/>
        </w:rPr>
        <w:t>классом.</w:t>
      </w:r>
      <w:r>
        <w:rPr>
          <w:color w:val="231F20"/>
          <w:spacing w:val="-4"/>
        </w:rPr>
        <w:t> </w:t>
      </w:r>
      <w:r>
        <w:rPr>
          <w:color w:val="231F20"/>
        </w:rPr>
        <w:t>Это</w:t>
      </w:r>
      <w:r>
        <w:rPr>
          <w:color w:val="231F20"/>
          <w:spacing w:val="-5"/>
        </w:rPr>
        <w:t> </w:t>
      </w:r>
      <w:r>
        <w:rPr>
          <w:color w:val="231F20"/>
        </w:rPr>
        <w:t>избавляет группу от необходимости делать выбор и экономит время. Но и здесь есть ограни- чения: во-первых, участники группы могут быть не согласны с выбором учителя и откажутся выполнять требования руководителя. С другой стороны, сам избранный может</w:t>
      </w:r>
      <w:r>
        <w:rPr>
          <w:color w:val="231F20"/>
          <w:spacing w:val="-13"/>
        </w:rPr>
        <w:t> </w:t>
      </w:r>
      <w:r>
        <w:rPr>
          <w:color w:val="231F20"/>
        </w:rPr>
        <w:t>оказаться</w:t>
      </w:r>
      <w:r>
        <w:rPr>
          <w:color w:val="231F20"/>
          <w:spacing w:val="-12"/>
        </w:rPr>
        <w:t> </w:t>
      </w:r>
      <w:r>
        <w:rPr>
          <w:color w:val="231F20"/>
        </w:rPr>
        <w:t>не</w:t>
      </w:r>
      <w:r>
        <w:rPr>
          <w:color w:val="231F20"/>
          <w:spacing w:val="-13"/>
        </w:rPr>
        <w:t> </w:t>
      </w:r>
      <w:r>
        <w:rPr>
          <w:color w:val="231F20"/>
        </w:rPr>
        <w:t>готов</w:t>
      </w:r>
      <w:r>
        <w:rPr>
          <w:color w:val="231F20"/>
          <w:spacing w:val="-12"/>
        </w:rPr>
        <w:t> </w:t>
      </w:r>
      <w:r>
        <w:rPr>
          <w:color w:val="231F20"/>
        </w:rPr>
        <w:t>к</w:t>
      </w:r>
      <w:r>
        <w:rPr>
          <w:color w:val="231F20"/>
          <w:spacing w:val="-13"/>
        </w:rPr>
        <w:t> </w:t>
      </w:r>
      <w:r>
        <w:rPr>
          <w:color w:val="231F20"/>
        </w:rPr>
        <w:t>выполнению</w:t>
      </w:r>
      <w:r>
        <w:rPr>
          <w:color w:val="231F20"/>
          <w:spacing w:val="-12"/>
        </w:rPr>
        <w:t> </w:t>
      </w:r>
      <w:r>
        <w:rPr>
          <w:color w:val="231F20"/>
        </w:rPr>
        <w:t>лидерских</w:t>
      </w:r>
      <w:r>
        <w:rPr>
          <w:color w:val="231F20"/>
          <w:spacing w:val="-13"/>
        </w:rPr>
        <w:t> </w:t>
      </w:r>
      <w:r>
        <w:rPr>
          <w:color w:val="231F20"/>
        </w:rPr>
        <w:t>функций,</w:t>
      </w:r>
      <w:r>
        <w:rPr>
          <w:color w:val="231F20"/>
          <w:spacing w:val="-12"/>
        </w:rPr>
        <w:t> </w:t>
      </w:r>
      <w:r>
        <w:rPr>
          <w:color w:val="231F20"/>
        </w:rPr>
        <w:t>в</w:t>
      </w:r>
      <w:r>
        <w:rPr>
          <w:color w:val="231F20"/>
          <w:spacing w:val="-13"/>
        </w:rPr>
        <w:t> </w:t>
      </w:r>
      <w:r>
        <w:rPr>
          <w:color w:val="231F20"/>
        </w:rPr>
        <w:t>результате</w:t>
      </w:r>
      <w:r>
        <w:rPr>
          <w:color w:val="231F20"/>
          <w:spacing w:val="-12"/>
        </w:rPr>
        <w:t> </w:t>
      </w:r>
      <w:r>
        <w:rPr>
          <w:color w:val="231F20"/>
        </w:rPr>
        <w:t>чего</w:t>
      </w:r>
      <w:r>
        <w:rPr>
          <w:color w:val="231F20"/>
          <w:spacing w:val="-13"/>
        </w:rPr>
        <w:t> </w:t>
      </w:r>
      <w:r>
        <w:rPr>
          <w:color w:val="231F20"/>
        </w:rPr>
        <w:t>работа экспертной группы окажется под угрозой.</w:t>
      </w:r>
    </w:p>
    <w:p>
      <w:pPr>
        <w:pStyle w:val="BodyText"/>
        <w:spacing w:line="235" w:lineRule="auto" w:before="5"/>
      </w:pPr>
      <w:r>
        <w:rPr>
          <w:color w:val="231F20"/>
        </w:rPr>
        <w:t>В каждом случае выбор руководителя экспертной группы надо соотносить с ее </w:t>
      </w:r>
      <w:r>
        <w:rPr>
          <w:color w:val="231F20"/>
          <w:spacing w:val="-2"/>
        </w:rPr>
        <w:t>особенностями</w:t>
      </w:r>
      <w:r>
        <w:rPr>
          <w:color w:val="231F20"/>
          <w:spacing w:val="-3"/>
        </w:rPr>
        <w:t> </w:t>
      </w:r>
      <w:r>
        <w:rPr>
          <w:color w:val="231F20"/>
          <w:spacing w:val="-2"/>
        </w:rPr>
        <w:t>и</w:t>
      </w:r>
      <w:r>
        <w:rPr>
          <w:color w:val="231F20"/>
          <w:spacing w:val="-3"/>
        </w:rPr>
        <w:t> </w:t>
      </w:r>
      <w:r>
        <w:rPr>
          <w:color w:val="231F20"/>
          <w:spacing w:val="-2"/>
        </w:rPr>
        <w:t>задачами.</w:t>
      </w:r>
      <w:r>
        <w:rPr>
          <w:color w:val="231F20"/>
          <w:spacing w:val="-3"/>
        </w:rPr>
        <w:t> </w:t>
      </w:r>
      <w:r>
        <w:rPr>
          <w:color w:val="231F20"/>
          <w:spacing w:val="-2"/>
        </w:rPr>
        <w:t>На</w:t>
      </w:r>
      <w:r>
        <w:rPr>
          <w:color w:val="231F20"/>
          <w:spacing w:val="-3"/>
        </w:rPr>
        <w:t> </w:t>
      </w:r>
      <w:r>
        <w:rPr>
          <w:color w:val="231F20"/>
          <w:spacing w:val="-2"/>
        </w:rPr>
        <w:t>начальном</w:t>
      </w:r>
      <w:r>
        <w:rPr>
          <w:color w:val="231F20"/>
          <w:spacing w:val="-3"/>
        </w:rPr>
        <w:t> </w:t>
      </w:r>
      <w:r>
        <w:rPr>
          <w:color w:val="231F20"/>
          <w:spacing w:val="-2"/>
        </w:rPr>
        <w:t>этапе</w:t>
      </w:r>
      <w:r>
        <w:rPr>
          <w:color w:val="231F20"/>
          <w:spacing w:val="-3"/>
        </w:rPr>
        <w:t> </w:t>
      </w:r>
      <w:r>
        <w:rPr>
          <w:color w:val="231F20"/>
          <w:spacing w:val="-2"/>
        </w:rPr>
        <w:t>более</w:t>
      </w:r>
      <w:r>
        <w:rPr>
          <w:color w:val="231F20"/>
          <w:spacing w:val="-3"/>
        </w:rPr>
        <w:t> </w:t>
      </w:r>
      <w:r>
        <w:rPr>
          <w:color w:val="231F20"/>
          <w:spacing w:val="-2"/>
        </w:rPr>
        <w:t>эффективным</w:t>
      </w:r>
      <w:r>
        <w:rPr>
          <w:color w:val="231F20"/>
          <w:spacing w:val="-3"/>
        </w:rPr>
        <w:t> </w:t>
      </w:r>
      <w:r>
        <w:rPr>
          <w:color w:val="231F20"/>
          <w:spacing w:val="-2"/>
        </w:rPr>
        <w:t>будет</w:t>
      </w:r>
      <w:r>
        <w:rPr>
          <w:color w:val="231F20"/>
          <w:spacing w:val="-3"/>
        </w:rPr>
        <w:t> </w:t>
      </w:r>
      <w:r>
        <w:rPr>
          <w:color w:val="231F20"/>
          <w:spacing w:val="-2"/>
        </w:rPr>
        <w:t>назначение </w:t>
      </w:r>
      <w:r>
        <w:rPr>
          <w:color w:val="231F20"/>
        </w:rPr>
        <w:t>лидера группы учителем, впоследствии выбор может быть доверен самим членам </w:t>
      </w:r>
      <w:r>
        <w:rPr>
          <w:color w:val="231F20"/>
          <w:spacing w:val="-2"/>
        </w:rPr>
        <w:t>группы.</w:t>
      </w:r>
    </w:p>
    <w:p>
      <w:pPr>
        <w:pStyle w:val="BodyText"/>
        <w:spacing w:after="0" w:line="235" w:lineRule="auto"/>
        <w:sectPr>
          <w:pgSz w:w="8400" w:h="11910"/>
          <w:pgMar w:header="0" w:footer="530" w:top="400" w:bottom="740" w:left="425" w:right="425"/>
        </w:sectPr>
      </w:pPr>
    </w:p>
    <w:p>
      <w:pPr>
        <w:spacing w:before="80"/>
        <w:ind w:left="141" w:right="0" w:firstLine="0"/>
        <w:jc w:val="both"/>
        <w:rPr>
          <w:rFonts w:ascii="Georgia" w:hAnsi="Georgia"/>
          <w:sz w:val="18"/>
        </w:rPr>
      </w:pPr>
      <w:r>
        <w:rPr>
          <w:rFonts w:ascii="Georgia" w:hAnsi="Georgia"/>
          <w:color w:val="231F20"/>
          <w:sz w:val="18"/>
        </w:rPr>
        <w:t>4.3.</w:t>
      </w:r>
      <w:r>
        <w:rPr>
          <w:rFonts w:ascii="Georgia" w:hAnsi="Georgia"/>
          <w:color w:val="231F20"/>
          <w:spacing w:val="6"/>
          <w:sz w:val="18"/>
        </w:rPr>
        <w:t> </w:t>
      </w:r>
      <w:r>
        <w:rPr>
          <w:rFonts w:ascii="Georgia" w:hAnsi="Georgia"/>
          <w:color w:val="231F20"/>
          <w:sz w:val="18"/>
        </w:rPr>
        <w:t>Организация</w:t>
      </w:r>
      <w:r>
        <w:rPr>
          <w:rFonts w:ascii="Georgia" w:hAnsi="Georgia"/>
          <w:color w:val="231F20"/>
          <w:spacing w:val="7"/>
          <w:sz w:val="18"/>
        </w:rPr>
        <w:t> </w:t>
      </w:r>
      <w:r>
        <w:rPr>
          <w:rFonts w:ascii="Georgia" w:hAnsi="Georgia"/>
          <w:color w:val="231F20"/>
          <w:sz w:val="18"/>
        </w:rPr>
        <w:t>групповой</w:t>
      </w:r>
      <w:r>
        <w:rPr>
          <w:rFonts w:ascii="Georgia" w:hAnsi="Georgia"/>
          <w:color w:val="231F20"/>
          <w:spacing w:val="7"/>
          <w:sz w:val="18"/>
        </w:rPr>
        <w:t> </w:t>
      </w:r>
      <w:r>
        <w:rPr>
          <w:rFonts w:ascii="Georgia" w:hAnsi="Georgia"/>
          <w:color w:val="231F20"/>
          <w:sz w:val="18"/>
        </w:rPr>
        <w:t>учебной</w:t>
      </w:r>
      <w:r>
        <w:rPr>
          <w:rFonts w:ascii="Georgia" w:hAnsi="Georgia"/>
          <w:color w:val="231F20"/>
          <w:spacing w:val="6"/>
          <w:sz w:val="18"/>
        </w:rPr>
        <w:t> </w:t>
      </w:r>
      <w:r>
        <w:rPr>
          <w:rFonts w:ascii="Georgia" w:hAnsi="Georgia"/>
          <w:color w:val="231F20"/>
          <w:sz w:val="18"/>
        </w:rPr>
        <w:t>работы</w:t>
      </w:r>
      <w:r>
        <w:rPr>
          <w:rFonts w:ascii="Georgia" w:hAnsi="Georgia"/>
          <w:color w:val="231F20"/>
          <w:spacing w:val="7"/>
          <w:sz w:val="18"/>
        </w:rPr>
        <w:t> </w:t>
      </w:r>
      <w:r>
        <w:rPr>
          <w:rFonts w:ascii="Georgia" w:hAnsi="Georgia"/>
          <w:color w:val="231F20"/>
          <w:sz w:val="18"/>
        </w:rPr>
        <w:t>учащихся</w:t>
      </w:r>
      <w:r>
        <w:rPr>
          <w:rFonts w:ascii="Georgia" w:hAnsi="Georgia"/>
          <w:color w:val="231F20"/>
          <w:spacing w:val="7"/>
          <w:sz w:val="18"/>
        </w:rPr>
        <w:t> </w:t>
      </w:r>
      <w:r>
        <w:rPr>
          <w:rFonts w:ascii="Georgia" w:hAnsi="Georgia"/>
          <w:color w:val="231F20"/>
          <w:sz w:val="18"/>
        </w:rPr>
        <w:t>в</w:t>
      </w:r>
      <w:r>
        <w:rPr>
          <w:rFonts w:ascii="Georgia" w:hAnsi="Georgia"/>
          <w:color w:val="231F20"/>
          <w:spacing w:val="6"/>
          <w:sz w:val="18"/>
        </w:rPr>
        <w:t> </w:t>
      </w:r>
      <w:r>
        <w:rPr>
          <w:rFonts w:ascii="Georgia" w:hAnsi="Georgia"/>
          <w:color w:val="231F20"/>
          <w:sz w:val="18"/>
        </w:rPr>
        <w:t>поликультурном</w:t>
      </w:r>
      <w:r>
        <w:rPr>
          <w:rFonts w:ascii="Georgia" w:hAnsi="Georgia"/>
          <w:color w:val="231F20"/>
          <w:spacing w:val="7"/>
          <w:sz w:val="18"/>
        </w:rPr>
        <w:t> </w:t>
      </w:r>
      <w:r>
        <w:rPr>
          <w:rFonts w:ascii="Georgia" w:hAnsi="Georgia"/>
          <w:color w:val="231F20"/>
          <w:spacing w:val="-2"/>
          <w:sz w:val="18"/>
        </w:rPr>
        <w:t>классе...</w:t>
      </w:r>
    </w:p>
    <w:p>
      <w:pPr>
        <w:pStyle w:val="BodyText"/>
        <w:spacing w:line="235" w:lineRule="auto" w:before="116"/>
      </w:pPr>
      <w:r>
        <w:rPr>
          <w:color w:val="231F20"/>
        </w:rPr>
        <w:t>Важной задачей учителя является тренинг групповых лидеров. В процессе тре- нинга ученики приобретают необходимые навыки руководства группой, обсуждают проблемные</w:t>
      </w:r>
      <w:r>
        <w:rPr>
          <w:color w:val="231F20"/>
          <w:spacing w:val="-5"/>
        </w:rPr>
        <w:t> </w:t>
      </w:r>
      <w:r>
        <w:rPr>
          <w:color w:val="231F20"/>
        </w:rPr>
        <w:t>ситуации.</w:t>
      </w:r>
      <w:r>
        <w:rPr>
          <w:color w:val="231F20"/>
          <w:spacing w:val="-5"/>
        </w:rPr>
        <w:t> </w:t>
      </w:r>
      <w:r>
        <w:rPr>
          <w:color w:val="231F20"/>
        </w:rPr>
        <w:t>В</w:t>
      </w:r>
      <w:r>
        <w:rPr>
          <w:color w:val="231F20"/>
          <w:spacing w:val="-5"/>
        </w:rPr>
        <w:t> </w:t>
      </w:r>
      <w:r>
        <w:rPr>
          <w:color w:val="231F20"/>
        </w:rPr>
        <w:t>результате</w:t>
      </w:r>
      <w:r>
        <w:rPr>
          <w:color w:val="231F20"/>
          <w:spacing w:val="-5"/>
        </w:rPr>
        <w:t> </w:t>
      </w:r>
      <w:r>
        <w:rPr>
          <w:color w:val="231F20"/>
        </w:rPr>
        <w:t>ученики</w:t>
      </w:r>
      <w:r>
        <w:rPr>
          <w:color w:val="231F20"/>
          <w:spacing w:val="-5"/>
        </w:rPr>
        <w:t> </w:t>
      </w:r>
      <w:r>
        <w:rPr>
          <w:color w:val="231F20"/>
        </w:rPr>
        <w:t>выполняют</w:t>
      </w:r>
      <w:r>
        <w:rPr>
          <w:color w:val="231F20"/>
          <w:spacing w:val="-5"/>
        </w:rPr>
        <w:t> </w:t>
      </w:r>
      <w:r>
        <w:rPr>
          <w:color w:val="231F20"/>
        </w:rPr>
        <w:t>роль</w:t>
      </w:r>
      <w:r>
        <w:rPr>
          <w:color w:val="231F20"/>
          <w:spacing w:val="-5"/>
        </w:rPr>
        <w:t> </w:t>
      </w:r>
      <w:r>
        <w:rPr>
          <w:color w:val="231F20"/>
        </w:rPr>
        <w:t>лидера</w:t>
      </w:r>
      <w:r>
        <w:rPr>
          <w:color w:val="231F20"/>
          <w:spacing w:val="-5"/>
        </w:rPr>
        <w:t> </w:t>
      </w:r>
      <w:r>
        <w:rPr>
          <w:color w:val="231F20"/>
        </w:rPr>
        <w:t>группы</w:t>
      </w:r>
      <w:r>
        <w:rPr>
          <w:color w:val="231F20"/>
          <w:spacing w:val="-5"/>
        </w:rPr>
        <w:t> </w:t>
      </w:r>
      <w:r>
        <w:rPr>
          <w:color w:val="231F20"/>
        </w:rPr>
        <w:t>с</w:t>
      </w:r>
      <w:r>
        <w:rPr>
          <w:color w:val="231F20"/>
          <w:spacing w:val="-5"/>
        </w:rPr>
        <w:t> </w:t>
      </w:r>
      <w:r>
        <w:rPr>
          <w:color w:val="231F20"/>
        </w:rPr>
        <w:t>боль- шей готовностью и уверенностью.</w:t>
      </w:r>
    </w:p>
    <w:p>
      <w:pPr>
        <w:pStyle w:val="ListParagraph"/>
        <w:numPr>
          <w:ilvl w:val="0"/>
          <w:numId w:val="317"/>
        </w:numPr>
        <w:tabs>
          <w:tab w:pos="423" w:val="left" w:leader="none"/>
        </w:tabs>
        <w:spacing w:line="228" w:lineRule="exact" w:before="55" w:after="0"/>
        <w:ind w:left="423" w:right="0" w:hanging="282"/>
        <w:jc w:val="both"/>
        <w:rPr>
          <w:i/>
          <w:sz w:val="20"/>
        </w:rPr>
      </w:pPr>
      <w:r>
        <w:rPr>
          <w:i/>
          <w:color w:val="231F20"/>
          <w:sz w:val="20"/>
        </w:rPr>
        <w:t>Мозаичные</w:t>
      </w:r>
      <w:r>
        <w:rPr>
          <w:i/>
          <w:color w:val="231F20"/>
          <w:spacing w:val="-6"/>
          <w:sz w:val="20"/>
        </w:rPr>
        <w:t> </w:t>
      </w:r>
      <w:r>
        <w:rPr>
          <w:i/>
          <w:color w:val="231F20"/>
          <w:spacing w:val="-2"/>
          <w:sz w:val="20"/>
        </w:rPr>
        <w:t>группы</w:t>
      </w:r>
    </w:p>
    <w:p>
      <w:pPr>
        <w:pStyle w:val="BodyText"/>
        <w:spacing w:line="235" w:lineRule="auto" w:before="2"/>
      </w:pPr>
      <w:r>
        <w:rPr>
          <w:color w:val="231F20"/>
        </w:rPr>
        <w:t>После</w:t>
      </w:r>
      <w:r>
        <w:rPr>
          <w:color w:val="231F20"/>
          <w:spacing w:val="-1"/>
        </w:rPr>
        <w:t> </w:t>
      </w:r>
      <w:r>
        <w:rPr>
          <w:color w:val="231F20"/>
        </w:rPr>
        <w:t>окончания</w:t>
      </w:r>
      <w:r>
        <w:rPr>
          <w:color w:val="231F20"/>
          <w:spacing w:val="-1"/>
        </w:rPr>
        <w:t> </w:t>
      </w:r>
      <w:r>
        <w:rPr>
          <w:color w:val="231F20"/>
        </w:rPr>
        <w:t>работы</w:t>
      </w:r>
      <w:r>
        <w:rPr>
          <w:color w:val="231F20"/>
          <w:spacing w:val="-1"/>
        </w:rPr>
        <w:t> </w:t>
      </w:r>
      <w:r>
        <w:rPr>
          <w:color w:val="231F20"/>
        </w:rPr>
        <w:t>в</w:t>
      </w:r>
      <w:r>
        <w:rPr>
          <w:color w:val="231F20"/>
          <w:spacing w:val="-1"/>
        </w:rPr>
        <w:t> </w:t>
      </w:r>
      <w:r>
        <w:rPr>
          <w:color w:val="231F20"/>
        </w:rPr>
        <w:t>экспертных</w:t>
      </w:r>
      <w:r>
        <w:rPr>
          <w:color w:val="231F20"/>
          <w:spacing w:val="-1"/>
        </w:rPr>
        <w:t> </w:t>
      </w:r>
      <w:r>
        <w:rPr>
          <w:color w:val="231F20"/>
        </w:rPr>
        <w:t>группах</w:t>
      </w:r>
      <w:r>
        <w:rPr>
          <w:color w:val="231F20"/>
          <w:spacing w:val="-1"/>
        </w:rPr>
        <w:t> </w:t>
      </w:r>
      <w:r>
        <w:rPr>
          <w:color w:val="231F20"/>
        </w:rPr>
        <w:t>ученики</w:t>
      </w:r>
      <w:r>
        <w:rPr>
          <w:color w:val="231F20"/>
          <w:spacing w:val="-1"/>
        </w:rPr>
        <w:t> </w:t>
      </w:r>
      <w:r>
        <w:rPr>
          <w:color w:val="231F20"/>
        </w:rPr>
        <w:t>возвращаются</w:t>
      </w:r>
      <w:r>
        <w:rPr>
          <w:color w:val="231F20"/>
          <w:spacing w:val="-1"/>
        </w:rPr>
        <w:t> </w:t>
      </w:r>
      <w:r>
        <w:rPr>
          <w:color w:val="231F20"/>
        </w:rPr>
        <w:t>в</w:t>
      </w:r>
      <w:r>
        <w:rPr>
          <w:color w:val="231F20"/>
          <w:spacing w:val="-1"/>
        </w:rPr>
        <w:t> </w:t>
      </w:r>
      <w:r>
        <w:rPr>
          <w:color w:val="231F20"/>
        </w:rPr>
        <w:t>мозаич- ные</w:t>
      </w:r>
      <w:r>
        <w:rPr>
          <w:color w:val="231F20"/>
          <w:spacing w:val="-8"/>
        </w:rPr>
        <w:t> </w:t>
      </w:r>
      <w:r>
        <w:rPr>
          <w:color w:val="231F20"/>
        </w:rPr>
        <w:t>группы.</w:t>
      </w:r>
      <w:r>
        <w:rPr>
          <w:color w:val="231F20"/>
          <w:spacing w:val="-8"/>
        </w:rPr>
        <w:t> </w:t>
      </w:r>
      <w:r>
        <w:rPr>
          <w:color w:val="231F20"/>
        </w:rPr>
        <w:t>Когда</w:t>
      </w:r>
      <w:r>
        <w:rPr>
          <w:color w:val="231F20"/>
          <w:spacing w:val="-8"/>
        </w:rPr>
        <w:t> </w:t>
      </w:r>
      <w:r>
        <w:rPr>
          <w:color w:val="231F20"/>
        </w:rPr>
        <w:t>собираются</w:t>
      </w:r>
      <w:r>
        <w:rPr>
          <w:color w:val="231F20"/>
          <w:spacing w:val="-8"/>
        </w:rPr>
        <w:t> </w:t>
      </w:r>
      <w:r>
        <w:rPr>
          <w:color w:val="231F20"/>
        </w:rPr>
        <w:t>мозаичные</w:t>
      </w:r>
      <w:r>
        <w:rPr>
          <w:color w:val="231F20"/>
          <w:spacing w:val="-8"/>
        </w:rPr>
        <w:t> </w:t>
      </w:r>
      <w:r>
        <w:rPr>
          <w:color w:val="231F20"/>
        </w:rPr>
        <w:t>группы,</w:t>
      </w:r>
      <w:r>
        <w:rPr>
          <w:color w:val="231F20"/>
          <w:spacing w:val="-8"/>
        </w:rPr>
        <w:t> </w:t>
      </w:r>
      <w:r>
        <w:rPr>
          <w:color w:val="231F20"/>
        </w:rPr>
        <w:t>ученик</w:t>
      </w:r>
      <w:r>
        <w:rPr>
          <w:color w:val="231F20"/>
          <w:spacing w:val="-8"/>
        </w:rPr>
        <w:t> </w:t>
      </w:r>
      <w:r>
        <w:rPr>
          <w:color w:val="231F20"/>
        </w:rPr>
        <w:t>с</w:t>
      </w:r>
      <w:r>
        <w:rPr>
          <w:color w:val="231F20"/>
          <w:spacing w:val="-8"/>
        </w:rPr>
        <w:t> </w:t>
      </w:r>
      <w:r>
        <w:rPr>
          <w:color w:val="231F20"/>
        </w:rPr>
        <w:t>карточкой</w:t>
      </w:r>
      <w:r>
        <w:rPr>
          <w:color w:val="231F20"/>
          <w:spacing w:val="-8"/>
        </w:rPr>
        <w:t> </w:t>
      </w:r>
      <w:r>
        <w:rPr>
          <w:color w:val="231F20"/>
        </w:rPr>
        <w:t>№</w:t>
      </w:r>
      <w:r>
        <w:rPr>
          <w:color w:val="231F20"/>
          <w:spacing w:val="-8"/>
        </w:rPr>
        <w:t> </w:t>
      </w:r>
      <w:r>
        <w:rPr>
          <w:color w:val="231F20"/>
        </w:rPr>
        <w:t>1</w:t>
      </w:r>
      <w:r>
        <w:rPr>
          <w:color w:val="231F20"/>
          <w:spacing w:val="-8"/>
        </w:rPr>
        <w:t> </w:t>
      </w:r>
      <w:r>
        <w:rPr>
          <w:color w:val="231F20"/>
        </w:rPr>
        <w:t>начинает презентовать свою часть. Во время презентации ученики должны использовать свои навыки</w:t>
      </w:r>
      <w:r>
        <w:rPr>
          <w:color w:val="231F20"/>
          <w:spacing w:val="-10"/>
        </w:rPr>
        <w:t> </w:t>
      </w:r>
      <w:r>
        <w:rPr>
          <w:color w:val="231F20"/>
        </w:rPr>
        <w:t>активного</w:t>
      </w:r>
      <w:r>
        <w:rPr>
          <w:color w:val="231F20"/>
          <w:spacing w:val="-10"/>
        </w:rPr>
        <w:t> </w:t>
      </w:r>
      <w:r>
        <w:rPr>
          <w:color w:val="231F20"/>
        </w:rPr>
        <w:t>слушания,</w:t>
      </w:r>
      <w:r>
        <w:rPr>
          <w:color w:val="231F20"/>
          <w:spacing w:val="-10"/>
        </w:rPr>
        <w:t> </w:t>
      </w:r>
      <w:r>
        <w:rPr>
          <w:color w:val="231F20"/>
        </w:rPr>
        <w:t>они</w:t>
      </w:r>
      <w:r>
        <w:rPr>
          <w:color w:val="231F20"/>
          <w:spacing w:val="-10"/>
        </w:rPr>
        <w:t> </w:t>
      </w:r>
      <w:r>
        <w:rPr>
          <w:color w:val="231F20"/>
        </w:rPr>
        <w:t>могут</w:t>
      </w:r>
      <w:r>
        <w:rPr>
          <w:color w:val="231F20"/>
          <w:spacing w:val="-10"/>
        </w:rPr>
        <w:t> </w:t>
      </w:r>
      <w:r>
        <w:rPr>
          <w:color w:val="231F20"/>
        </w:rPr>
        <w:t>уточнять</w:t>
      </w:r>
      <w:r>
        <w:rPr>
          <w:color w:val="231F20"/>
          <w:spacing w:val="-10"/>
        </w:rPr>
        <w:t> </w:t>
      </w:r>
      <w:r>
        <w:rPr>
          <w:color w:val="231F20"/>
        </w:rPr>
        <w:t>что-то,</w:t>
      </w:r>
      <w:r>
        <w:rPr>
          <w:color w:val="231F20"/>
          <w:spacing w:val="-10"/>
        </w:rPr>
        <w:t> </w:t>
      </w:r>
      <w:r>
        <w:rPr>
          <w:color w:val="231F20"/>
        </w:rPr>
        <w:t>задавать</w:t>
      </w:r>
      <w:r>
        <w:rPr>
          <w:color w:val="231F20"/>
          <w:spacing w:val="-10"/>
        </w:rPr>
        <w:t> </w:t>
      </w:r>
      <w:r>
        <w:rPr>
          <w:color w:val="231F20"/>
        </w:rPr>
        <w:t>вопросы.</w:t>
      </w:r>
      <w:r>
        <w:rPr>
          <w:color w:val="231F20"/>
          <w:spacing w:val="-10"/>
        </w:rPr>
        <w:t> </w:t>
      </w:r>
      <w:r>
        <w:rPr>
          <w:color w:val="231F20"/>
        </w:rPr>
        <w:t>Затем</w:t>
      </w:r>
      <w:r>
        <w:rPr>
          <w:color w:val="231F20"/>
          <w:spacing w:val="-10"/>
        </w:rPr>
        <w:t> </w:t>
      </w:r>
      <w:r>
        <w:rPr>
          <w:color w:val="231F20"/>
        </w:rPr>
        <w:t>вы- ступает</w:t>
      </w:r>
      <w:r>
        <w:rPr>
          <w:color w:val="231F20"/>
          <w:spacing w:val="-1"/>
        </w:rPr>
        <w:t> </w:t>
      </w:r>
      <w:r>
        <w:rPr>
          <w:color w:val="231F20"/>
        </w:rPr>
        <w:t>ученик</w:t>
      </w:r>
      <w:r>
        <w:rPr>
          <w:color w:val="231F20"/>
          <w:spacing w:val="-1"/>
        </w:rPr>
        <w:t> </w:t>
      </w:r>
      <w:r>
        <w:rPr>
          <w:color w:val="231F20"/>
        </w:rPr>
        <w:t>с</w:t>
      </w:r>
      <w:r>
        <w:rPr>
          <w:color w:val="231F20"/>
          <w:spacing w:val="-1"/>
        </w:rPr>
        <w:t> </w:t>
      </w:r>
      <w:r>
        <w:rPr>
          <w:color w:val="231F20"/>
        </w:rPr>
        <w:t>карточкой</w:t>
      </w:r>
      <w:r>
        <w:rPr>
          <w:color w:val="231F20"/>
          <w:spacing w:val="-1"/>
        </w:rPr>
        <w:t> </w:t>
      </w:r>
      <w:r>
        <w:rPr>
          <w:color w:val="231F20"/>
        </w:rPr>
        <w:t>№</w:t>
      </w:r>
      <w:r>
        <w:rPr>
          <w:color w:val="231F20"/>
          <w:spacing w:val="-1"/>
        </w:rPr>
        <w:t> </w:t>
      </w:r>
      <w:r>
        <w:rPr>
          <w:color w:val="231F20"/>
        </w:rPr>
        <w:t>2</w:t>
      </w:r>
      <w:r>
        <w:rPr>
          <w:color w:val="231F20"/>
          <w:spacing w:val="-1"/>
        </w:rPr>
        <w:t> </w:t>
      </w:r>
      <w:r>
        <w:rPr>
          <w:color w:val="231F20"/>
        </w:rPr>
        <w:t>и</w:t>
      </w:r>
      <w:r>
        <w:rPr>
          <w:color w:val="231F20"/>
          <w:spacing w:val="-2"/>
        </w:rPr>
        <w:t> </w:t>
      </w:r>
      <w:r>
        <w:rPr>
          <w:color w:val="231F20"/>
        </w:rPr>
        <w:t>так</w:t>
      </w:r>
      <w:r>
        <w:rPr>
          <w:color w:val="231F20"/>
          <w:spacing w:val="-1"/>
        </w:rPr>
        <w:t> </w:t>
      </w:r>
      <w:r>
        <w:rPr>
          <w:color w:val="231F20"/>
        </w:rPr>
        <w:t>далее,</w:t>
      </w:r>
      <w:r>
        <w:rPr>
          <w:color w:val="231F20"/>
          <w:spacing w:val="-1"/>
        </w:rPr>
        <w:t> </w:t>
      </w:r>
      <w:r>
        <w:rPr>
          <w:color w:val="231F20"/>
        </w:rPr>
        <w:t>пока</w:t>
      </w:r>
      <w:r>
        <w:rPr>
          <w:color w:val="231F20"/>
          <w:spacing w:val="-1"/>
        </w:rPr>
        <w:t> </w:t>
      </w:r>
      <w:r>
        <w:rPr>
          <w:color w:val="231F20"/>
        </w:rPr>
        <w:t>не</w:t>
      </w:r>
      <w:r>
        <w:rPr>
          <w:color w:val="231F20"/>
          <w:spacing w:val="-1"/>
        </w:rPr>
        <w:t> </w:t>
      </w:r>
      <w:r>
        <w:rPr>
          <w:color w:val="231F20"/>
        </w:rPr>
        <w:t>выступят</w:t>
      </w:r>
      <w:r>
        <w:rPr>
          <w:color w:val="231F20"/>
          <w:spacing w:val="-1"/>
        </w:rPr>
        <w:t> </w:t>
      </w:r>
      <w:r>
        <w:rPr>
          <w:color w:val="231F20"/>
        </w:rPr>
        <w:t>все</w:t>
      </w:r>
      <w:r>
        <w:rPr>
          <w:color w:val="231F20"/>
          <w:spacing w:val="-1"/>
        </w:rPr>
        <w:t> </w:t>
      </w:r>
      <w:r>
        <w:rPr>
          <w:color w:val="231F20"/>
        </w:rPr>
        <w:t>участники.</w:t>
      </w:r>
      <w:r>
        <w:rPr>
          <w:color w:val="231F20"/>
          <w:spacing w:val="-2"/>
        </w:rPr>
        <w:t> </w:t>
      </w:r>
      <w:r>
        <w:rPr>
          <w:color w:val="231F20"/>
        </w:rPr>
        <w:t>В</w:t>
      </w:r>
      <w:r>
        <w:rPr>
          <w:color w:val="231F20"/>
          <w:spacing w:val="-1"/>
        </w:rPr>
        <w:t> </w:t>
      </w:r>
      <w:r>
        <w:rPr>
          <w:color w:val="231F20"/>
        </w:rPr>
        <w:t>кон- це каждый из членов группы должен иметь целостное представление об изучаемой </w:t>
      </w:r>
      <w:r>
        <w:rPr>
          <w:color w:val="231F20"/>
          <w:spacing w:val="-2"/>
        </w:rPr>
        <w:t>проблеме.</w:t>
      </w:r>
    </w:p>
    <w:p>
      <w:pPr>
        <w:pStyle w:val="BodyText"/>
        <w:spacing w:line="235" w:lineRule="auto" w:before="4"/>
      </w:pPr>
      <w:r>
        <w:rPr>
          <w:color w:val="231F20"/>
        </w:rPr>
        <w:t>В</w:t>
      </w:r>
      <w:r>
        <w:rPr>
          <w:color w:val="231F20"/>
          <w:spacing w:val="-3"/>
        </w:rPr>
        <w:t> </w:t>
      </w:r>
      <w:r>
        <w:rPr>
          <w:color w:val="231F20"/>
        </w:rPr>
        <w:t>конце</w:t>
      </w:r>
      <w:r>
        <w:rPr>
          <w:color w:val="231F20"/>
          <w:spacing w:val="-3"/>
        </w:rPr>
        <w:t> </w:t>
      </w:r>
      <w:r>
        <w:rPr>
          <w:color w:val="231F20"/>
        </w:rPr>
        <w:t>занятия</w:t>
      </w:r>
      <w:r>
        <w:rPr>
          <w:color w:val="231F20"/>
          <w:spacing w:val="-3"/>
        </w:rPr>
        <w:t> </w:t>
      </w:r>
      <w:r>
        <w:rPr>
          <w:color w:val="231F20"/>
        </w:rPr>
        <w:t>у</w:t>
      </w:r>
      <w:r>
        <w:rPr>
          <w:color w:val="231F20"/>
          <w:spacing w:val="-3"/>
        </w:rPr>
        <w:t> </w:t>
      </w:r>
      <w:r>
        <w:rPr>
          <w:color w:val="231F20"/>
        </w:rPr>
        <w:t>группы</w:t>
      </w:r>
      <w:r>
        <w:rPr>
          <w:color w:val="231F20"/>
          <w:spacing w:val="-3"/>
        </w:rPr>
        <w:t> </w:t>
      </w:r>
      <w:r>
        <w:rPr>
          <w:color w:val="231F20"/>
        </w:rPr>
        <w:t>должно</w:t>
      </w:r>
      <w:r>
        <w:rPr>
          <w:color w:val="231F20"/>
          <w:spacing w:val="-3"/>
        </w:rPr>
        <w:t> </w:t>
      </w:r>
      <w:r>
        <w:rPr>
          <w:color w:val="231F20"/>
        </w:rPr>
        <w:t>остаться</w:t>
      </w:r>
      <w:r>
        <w:rPr>
          <w:color w:val="231F20"/>
          <w:spacing w:val="-3"/>
        </w:rPr>
        <w:t> </w:t>
      </w:r>
      <w:r>
        <w:rPr>
          <w:color w:val="231F20"/>
        </w:rPr>
        <w:t>некоторое</w:t>
      </w:r>
      <w:r>
        <w:rPr>
          <w:color w:val="231F20"/>
          <w:spacing w:val="-3"/>
        </w:rPr>
        <w:t> </w:t>
      </w:r>
      <w:r>
        <w:rPr>
          <w:color w:val="231F20"/>
        </w:rPr>
        <w:t>время</w:t>
      </w:r>
      <w:r>
        <w:rPr>
          <w:color w:val="231F20"/>
          <w:spacing w:val="-3"/>
        </w:rPr>
        <w:t> </w:t>
      </w:r>
      <w:r>
        <w:rPr>
          <w:color w:val="231F20"/>
        </w:rPr>
        <w:t>(5–10</w:t>
      </w:r>
      <w:r>
        <w:rPr>
          <w:color w:val="231F20"/>
          <w:spacing w:val="-3"/>
        </w:rPr>
        <w:t> </w:t>
      </w:r>
      <w:r>
        <w:rPr>
          <w:color w:val="231F20"/>
        </w:rPr>
        <w:t>минут)</w:t>
      </w:r>
      <w:r>
        <w:rPr>
          <w:color w:val="231F20"/>
          <w:spacing w:val="-3"/>
        </w:rPr>
        <w:t> </w:t>
      </w:r>
      <w:r>
        <w:rPr>
          <w:color w:val="231F20"/>
        </w:rPr>
        <w:t>для</w:t>
      </w:r>
      <w:r>
        <w:rPr>
          <w:color w:val="231F20"/>
          <w:spacing w:val="-3"/>
        </w:rPr>
        <w:t> </w:t>
      </w:r>
      <w:r>
        <w:rPr>
          <w:color w:val="231F20"/>
        </w:rPr>
        <w:t>об- суждения</w:t>
      </w:r>
      <w:r>
        <w:rPr>
          <w:color w:val="231F20"/>
          <w:spacing w:val="-6"/>
        </w:rPr>
        <w:t> </w:t>
      </w:r>
      <w:r>
        <w:rPr>
          <w:color w:val="231F20"/>
        </w:rPr>
        <w:t>процесса,</w:t>
      </w:r>
      <w:r>
        <w:rPr>
          <w:color w:val="231F20"/>
          <w:spacing w:val="-6"/>
        </w:rPr>
        <w:t> </w:t>
      </w:r>
      <w:r>
        <w:rPr>
          <w:color w:val="231F20"/>
        </w:rPr>
        <w:t>происходившего</w:t>
      </w:r>
      <w:r>
        <w:rPr>
          <w:color w:val="231F20"/>
          <w:spacing w:val="-6"/>
        </w:rPr>
        <w:t> </w:t>
      </w:r>
      <w:r>
        <w:rPr>
          <w:color w:val="231F20"/>
        </w:rPr>
        <w:t>с</w:t>
      </w:r>
      <w:r>
        <w:rPr>
          <w:color w:val="231F20"/>
          <w:spacing w:val="-6"/>
        </w:rPr>
        <w:t> </w:t>
      </w:r>
      <w:r>
        <w:rPr>
          <w:color w:val="231F20"/>
        </w:rPr>
        <w:t>ними,</w:t>
      </w:r>
      <w:r>
        <w:rPr>
          <w:color w:val="231F20"/>
          <w:spacing w:val="-6"/>
        </w:rPr>
        <w:t> </w:t>
      </w:r>
      <w:r>
        <w:rPr>
          <w:color w:val="231F20"/>
        </w:rPr>
        <w:t>и</w:t>
      </w:r>
      <w:r>
        <w:rPr>
          <w:color w:val="231F20"/>
          <w:spacing w:val="-6"/>
        </w:rPr>
        <w:t> </w:t>
      </w:r>
      <w:r>
        <w:rPr>
          <w:color w:val="231F20"/>
        </w:rPr>
        <w:t>любых</w:t>
      </w:r>
      <w:r>
        <w:rPr>
          <w:color w:val="231F20"/>
          <w:spacing w:val="-6"/>
        </w:rPr>
        <w:t> </w:t>
      </w:r>
      <w:r>
        <w:rPr>
          <w:color w:val="231F20"/>
        </w:rPr>
        <w:t>возникших</w:t>
      </w:r>
      <w:r>
        <w:rPr>
          <w:color w:val="231F20"/>
          <w:spacing w:val="-6"/>
        </w:rPr>
        <w:t> </w:t>
      </w:r>
      <w:r>
        <w:rPr>
          <w:color w:val="231F20"/>
        </w:rPr>
        <w:t>проблем.</w:t>
      </w:r>
      <w:r>
        <w:rPr>
          <w:color w:val="231F20"/>
          <w:spacing w:val="-6"/>
        </w:rPr>
        <w:t> </w:t>
      </w:r>
      <w:r>
        <w:rPr>
          <w:color w:val="231F20"/>
        </w:rPr>
        <w:t>По</w:t>
      </w:r>
      <w:r>
        <w:rPr>
          <w:color w:val="231F20"/>
          <w:spacing w:val="-6"/>
        </w:rPr>
        <w:t> </w:t>
      </w:r>
      <w:r>
        <w:rPr>
          <w:color w:val="231F20"/>
        </w:rPr>
        <w:t>окон- чании всех презентаций группа должна сложить все части урока воедино и каждый должен</w:t>
      </w:r>
      <w:r>
        <w:rPr>
          <w:color w:val="231F20"/>
          <w:spacing w:val="-6"/>
        </w:rPr>
        <w:t> </w:t>
      </w:r>
      <w:r>
        <w:rPr>
          <w:color w:val="231F20"/>
        </w:rPr>
        <w:t>сформулировать</w:t>
      </w:r>
      <w:r>
        <w:rPr>
          <w:color w:val="231F20"/>
          <w:spacing w:val="-6"/>
        </w:rPr>
        <w:t> </w:t>
      </w:r>
      <w:r>
        <w:rPr>
          <w:color w:val="231F20"/>
        </w:rPr>
        <w:t>как</w:t>
      </w:r>
      <w:r>
        <w:rPr>
          <w:color w:val="231F20"/>
          <w:spacing w:val="-6"/>
        </w:rPr>
        <w:t> </w:t>
      </w:r>
      <w:r>
        <w:rPr>
          <w:color w:val="231F20"/>
        </w:rPr>
        <w:t>минимум</w:t>
      </w:r>
      <w:r>
        <w:rPr>
          <w:color w:val="231F20"/>
          <w:spacing w:val="-6"/>
        </w:rPr>
        <w:t> </w:t>
      </w:r>
      <w:r>
        <w:rPr>
          <w:color w:val="231F20"/>
        </w:rPr>
        <w:t>по</w:t>
      </w:r>
      <w:r>
        <w:rPr>
          <w:color w:val="231F20"/>
          <w:spacing w:val="-6"/>
        </w:rPr>
        <w:t> </w:t>
      </w:r>
      <w:r>
        <w:rPr>
          <w:color w:val="231F20"/>
        </w:rPr>
        <w:t>три</w:t>
      </w:r>
      <w:r>
        <w:rPr>
          <w:color w:val="231F20"/>
          <w:spacing w:val="-6"/>
        </w:rPr>
        <w:t> </w:t>
      </w:r>
      <w:r>
        <w:rPr>
          <w:color w:val="231F20"/>
        </w:rPr>
        <w:t>важных</w:t>
      </w:r>
      <w:r>
        <w:rPr>
          <w:color w:val="231F20"/>
          <w:spacing w:val="-6"/>
        </w:rPr>
        <w:t> </w:t>
      </w:r>
      <w:r>
        <w:rPr>
          <w:color w:val="231F20"/>
        </w:rPr>
        <w:t>момента</w:t>
      </w:r>
      <w:r>
        <w:rPr>
          <w:color w:val="231F20"/>
          <w:spacing w:val="-6"/>
        </w:rPr>
        <w:t> </w:t>
      </w:r>
      <w:r>
        <w:rPr>
          <w:color w:val="231F20"/>
        </w:rPr>
        <w:t>обсуждаемой</w:t>
      </w:r>
      <w:r>
        <w:rPr>
          <w:color w:val="231F20"/>
          <w:spacing w:val="-7"/>
        </w:rPr>
        <w:t> </w:t>
      </w:r>
      <w:r>
        <w:rPr>
          <w:color w:val="231F20"/>
        </w:rPr>
        <w:t>пробле- мы.</w:t>
      </w:r>
      <w:r>
        <w:rPr>
          <w:color w:val="231F20"/>
          <w:spacing w:val="-13"/>
        </w:rPr>
        <w:t> </w:t>
      </w:r>
      <w:r>
        <w:rPr>
          <w:color w:val="231F20"/>
        </w:rPr>
        <w:t>Участники</w:t>
      </w:r>
      <w:r>
        <w:rPr>
          <w:color w:val="231F20"/>
          <w:spacing w:val="-12"/>
        </w:rPr>
        <w:t> </w:t>
      </w:r>
      <w:r>
        <w:rPr>
          <w:color w:val="231F20"/>
        </w:rPr>
        <w:t>могут</w:t>
      </w:r>
      <w:r>
        <w:rPr>
          <w:color w:val="231F20"/>
          <w:spacing w:val="-13"/>
        </w:rPr>
        <w:t> </w:t>
      </w:r>
      <w:r>
        <w:rPr>
          <w:color w:val="231F20"/>
        </w:rPr>
        <w:t>задавать</w:t>
      </w:r>
      <w:r>
        <w:rPr>
          <w:color w:val="231F20"/>
          <w:spacing w:val="-12"/>
        </w:rPr>
        <w:t> </w:t>
      </w:r>
      <w:r>
        <w:rPr>
          <w:color w:val="231F20"/>
        </w:rPr>
        <w:t>друг</w:t>
      </w:r>
      <w:r>
        <w:rPr>
          <w:color w:val="231F20"/>
          <w:spacing w:val="-13"/>
        </w:rPr>
        <w:t> </w:t>
      </w:r>
      <w:r>
        <w:rPr>
          <w:color w:val="231F20"/>
        </w:rPr>
        <w:t>другу</w:t>
      </w:r>
      <w:r>
        <w:rPr>
          <w:color w:val="231F20"/>
          <w:spacing w:val="-12"/>
        </w:rPr>
        <w:t> </w:t>
      </w:r>
      <w:r>
        <w:rPr>
          <w:color w:val="231F20"/>
        </w:rPr>
        <w:t>вопросы</w:t>
      </w:r>
      <w:r>
        <w:rPr>
          <w:color w:val="231F20"/>
          <w:spacing w:val="-13"/>
        </w:rPr>
        <w:t> </w:t>
      </w:r>
      <w:r>
        <w:rPr>
          <w:color w:val="231F20"/>
        </w:rPr>
        <w:t>и</w:t>
      </w:r>
      <w:r>
        <w:rPr>
          <w:color w:val="231F20"/>
          <w:spacing w:val="-12"/>
        </w:rPr>
        <w:t> </w:t>
      </w:r>
      <w:r>
        <w:rPr>
          <w:color w:val="231F20"/>
        </w:rPr>
        <w:t>отвечать</w:t>
      </w:r>
      <w:r>
        <w:rPr>
          <w:color w:val="231F20"/>
          <w:spacing w:val="-13"/>
        </w:rPr>
        <w:t> </w:t>
      </w:r>
      <w:r>
        <w:rPr>
          <w:color w:val="231F20"/>
        </w:rPr>
        <w:t>на</w:t>
      </w:r>
      <w:r>
        <w:rPr>
          <w:color w:val="231F20"/>
          <w:spacing w:val="-12"/>
        </w:rPr>
        <w:t> </w:t>
      </w:r>
      <w:r>
        <w:rPr>
          <w:color w:val="231F20"/>
        </w:rPr>
        <w:t>те</w:t>
      </w:r>
      <w:r>
        <w:rPr>
          <w:color w:val="231F20"/>
          <w:spacing w:val="-13"/>
        </w:rPr>
        <w:t> </w:t>
      </w:r>
      <w:r>
        <w:rPr>
          <w:color w:val="231F20"/>
        </w:rPr>
        <w:t>из</w:t>
      </w:r>
      <w:r>
        <w:rPr>
          <w:color w:val="231F20"/>
          <w:spacing w:val="-12"/>
        </w:rPr>
        <w:t> </w:t>
      </w:r>
      <w:r>
        <w:rPr>
          <w:color w:val="231F20"/>
        </w:rPr>
        <w:t>них,</w:t>
      </w:r>
      <w:r>
        <w:rPr>
          <w:color w:val="231F20"/>
          <w:spacing w:val="-13"/>
        </w:rPr>
        <w:t> </w:t>
      </w:r>
      <w:r>
        <w:rPr>
          <w:color w:val="231F20"/>
        </w:rPr>
        <w:t>которые</w:t>
      </w:r>
      <w:r>
        <w:rPr>
          <w:color w:val="231F20"/>
          <w:spacing w:val="-12"/>
        </w:rPr>
        <w:t> </w:t>
      </w:r>
      <w:r>
        <w:rPr>
          <w:color w:val="231F20"/>
        </w:rPr>
        <w:t>не относятся</w:t>
      </w:r>
      <w:r>
        <w:rPr>
          <w:color w:val="231F20"/>
          <w:spacing w:val="-10"/>
        </w:rPr>
        <w:t> </w:t>
      </w:r>
      <w:r>
        <w:rPr>
          <w:color w:val="231F20"/>
        </w:rPr>
        <w:t>к</w:t>
      </w:r>
      <w:r>
        <w:rPr>
          <w:color w:val="231F20"/>
          <w:spacing w:val="-10"/>
        </w:rPr>
        <w:t> </w:t>
      </w:r>
      <w:r>
        <w:rPr>
          <w:color w:val="231F20"/>
        </w:rPr>
        <w:t>их</w:t>
      </w:r>
      <w:r>
        <w:rPr>
          <w:color w:val="231F20"/>
          <w:spacing w:val="-10"/>
        </w:rPr>
        <w:t> </w:t>
      </w:r>
      <w:r>
        <w:rPr>
          <w:color w:val="231F20"/>
        </w:rPr>
        <w:t>части.</w:t>
      </w:r>
      <w:r>
        <w:rPr>
          <w:color w:val="231F20"/>
          <w:spacing w:val="-10"/>
        </w:rPr>
        <w:t> </w:t>
      </w:r>
      <w:r>
        <w:rPr>
          <w:color w:val="231F20"/>
        </w:rPr>
        <w:t>Такое</w:t>
      </w:r>
      <w:r>
        <w:rPr>
          <w:color w:val="231F20"/>
          <w:spacing w:val="-10"/>
        </w:rPr>
        <w:t> </w:t>
      </w:r>
      <w:r>
        <w:rPr>
          <w:color w:val="231F20"/>
        </w:rPr>
        <w:t>обсуждение</w:t>
      </w:r>
      <w:r>
        <w:rPr>
          <w:color w:val="231F20"/>
          <w:spacing w:val="-10"/>
        </w:rPr>
        <w:t> </w:t>
      </w:r>
      <w:r>
        <w:rPr>
          <w:color w:val="231F20"/>
        </w:rPr>
        <w:t>позволит</w:t>
      </w:r>
      <w:r>
        <w:rPr>
          <w:color w:val="231F20"/>
          <w:spacing w:val="-10"/>
        </w:rPr>
        <w:t> </w:t>
      </w:r>
      <w:r>
        <w:rPr>
          <w:color w:val="231F20"/>
        </w:rPr>
        <w:t>выяснить,</w:t>
      </w:r>
      <w:r>
        <w:rPr>
          <w:color w:val="231F20"/>
          <w:spacing w:val="-10"/>
        </w:rPr>
        <w:t> </w:t>
      </w:r>
      <w:r>
        <w:rPr>
          <w:color w:val="231F20"/>
        </w:rPr>
        <w:t>все</w:t>
      </w:r>
      <w:r>
        <w:rPr>
          <w:color w:val="231F20"/>
          <w:spacing w:val="-10"/>
        </w:rPr>
        <w:t> </w:t>
      </w:r>
      <w:r>
        <w:rPr>
          <w:color w:val="231F20"/>
        </w:rPr>
        <w:t>ли</w:t>
      </w:r>
      <w:r>
        <w:rPr>
          <w:color w:val="231F20"/>
          <w:spacing w:val="-10"/>
        </w:rPr>
        <w:t> </w:t>
      </w:r>
      <w:r>
        <w:rPr>
          <w:color w:val="231F20"/>
        </w:rPr>
        <w:t>усвоили</w:t>
      </w:r>
      <w:r>
        <w:rPr>
          <w:color w:val="231F20"/>
          <w:spacing w:val="-10"/>
        </w:rPr>
        <w:t> </w:t>
      </w:r>
      <w:r>
        <w:rPr>
          <w:color w:val="231F20"/>
        </w:rPr>
        <w:t>материал и правильно его поняли.</w:t>
      </w:r>
    </w:p>
    <w:p>
      <w:pPr>
        <w:pStyle w:val="BodyText"/>
        <w:spacing w:line="235" w:lineRule="auto" w:before="5"/>
      </w:pPr>
      <w:r>
        <w:rPr>
          <w:color w:val="231F20"/>
        </w:rPr>
        <w:t>В конце урока участники заполняют рабочий лист группы, в котором дают об- ратную связь друг для друга и для учителя, выражают свое отношение к тому, что происходило. Это позволяет им поделиться своими чувствами, обсудить возникшие трудности</w:t>
      </w:r>
      <w:r>
        <w:rPr>
          <w:color w:val="231F20"/>
          <w:spacing w:val="-13"/>
        </w:rPr>
        <w:t> </w:t>
      </w:r>
      <w:r>
        <w:rPr>
          <w:color w:val="231F20"/>
        </w:rPr>
        <w:t>и</w:t>
      </w:r>
      <w:r>
        <w:rPr>
          <w:color w:val="231F20"/>
          <w:spacing w:val="-12"/>
        </w:rPr>
        <w:t> </w:t>
      </w:r>
      <w:r>
        <w:rPr>
          <w:color w:val="231F20"/>
        </w:rPr>
        <w:t>предложить</w:t>
      </w:r>
      <w:r>
        <w:rPr>
          <w:color w:val="231F20"/>
          <w:spacing w:val="-13"/>
        </w:rPr>
        <w:t> </w:t>
      </w:r>
      <w:r>
        <w:rPr>
          <w:color w:val="231F20"/>
        </w:rPr>
        <w:t>способы</w:t>
      </w:r>
      <w:r>
        <w:rPr>
          <w:color w:val="231F20"/>
          <w:spacing w:val="-12"/>
        </w:rPr>
        <w:t> </w:t>
      </w:r>
      <w:r>
        <w:rPr>
          <w:color w:val="231F20"/>
        </w:rPr>
        <w:t>их</w:t>
      </w:r>
      <w:r>
        <w:rPr>
          <w:color w:val="231F20"/>
          <w:spacing w:val="-13"/>
        </w:rPr>
        <w:t> </w:t>
      </w:r>
      <w:r>
        <w:rPr>
          <w:color w:val="231F20"/>
        </w:rPr>
        <w:t>разрешения.</w:t>
      </w:r>
      <w:r>
        <w:rPr>
          <w:color w:val="231F20"/>
          <w:spacing w:val="-12"/>
        </w:rPr>
        <w:t> </w:t>
      </w:r>
      <w:r>
        <w:rPr>
          <w:color w:val="231F20"/>
        </w:rPr>
        <w:t>Помимо</w:t>
      </w:r>
      <w:r>
        <w:rPr>
          <w:color w:val="231F20"/>
          <w:spacing w:val="-13"/>
        </w:rPr>
        <w:t> </w:t>
      </w:r>
      <w:r>
        <w:rPr>
          <w:color w:val="231F20"/>
        </w:rPr>
        <w:t>этого,</w:t>
      </w:r>
      <w:r>
        <w:rPr>
          <w:color w:val="231F20"/>
          <w:spacing w:val="-12"/>
        </w:rPr>
        <w:t> </w:t>
      </w:r>
      <w:r>
        <w:rPr>
          <w:color w:val="231F20"/>
        </w:rPr>
        <w:t>такая</w:t>
      </w:r>
      <w:r>
        <w:rPr>
          <w:color w:val="231F20"/>
          <w:spacing w:val="-13"/>
        </w:rPr>
        <w:t> </w:t>
      </w:r>
      <w:r>
        <w:rPr>
          <w:color w:val="231F20"/>
        </w:rPr>
        <w:t>обратная</w:t>
      </w:r>
      <w:r>
        <w:rPr>
          <w:color w:val="231F20"/>
          <w:spacing w:val="-12"/>
        </w:rPr>
        <w:t> </w:t>
      </w:r>
      <w:r>
        <w:rPr>
          <w:color w:val="231F20"/>
        </w:rPr>
        <w:t>связь дает</w:t>
      </w:r>
      <w:r>
        <w:rPr>
          <w:color w:val="231F20"/>
          <w:spacing w:val="-6"/>
        </w:rPr>
        <w:t> </w:t>
      </w:r>
      <w:r>
        <w:rPr>
          <w:color w:val="231F20"/>
        </w:rPr>
        <w:t>информацию</w:t>
      </w:r>
      <w:r>
        <w:rPr>
          <w:color w:val="231F20"/>
          <w:spacing w:val="-6"/>
        </w:rPr>
        <w:t> </w:t>
      </w:r>
      <w:r>
        <w:rPr>
          <w:color w:val="231F20"/>
        </w:rPr>
        <w:t>лидеру</w:t>
      </w:r>
      <w:r>
        <w:rPr>
          <w:color w:val="231F20"/>
          <w:spacing w:val="-6"/>
        </w:rPr>
        <w:t> </w:t>
      </w:r>
      <w:r>
        <w:rPr>
          <w:color w:val="231F20"/>
        </w:rPr>
        <w:t>группы</w:t>
      </w:r>
      <w:r>
        <w:rPr>
          <w:color w:val="231F20"/>
          <w:spacing w:val="-6"/>
        </w:rPr>
        <w:t> </w:t>
      </w:r>
      <w:r>
        <w:rPr>
          <w:color w:val="231F20"/>
        </w:rPr>
        <w:t>и</w:t>
      </w:r>
      <w:r>
        <w:rPr>
          <w:color w:val="231F20"/>
          <w:spacing w:val="-6"/>
        </w:rPr>
        <w:t> </w:t>
      </w:r>
      <w:r>
        <w:rPr>
          <w:color w:val="231F20"/>
        </w:rPr>
        <w:t>учителю,</w:t>
      </w:r>
      <w:r>
        <w:rPr>
          <w:color w:val="231F20"/>
          <w:spacing w:val="-6"/>
        </w:rPr>
        <w:t> </w:t>
      </w:r>
      <w:r>
        <w:rPr>
          <w:color w:val="231F20"/>
        </w:rPr>
        <w:t>насколько</w:t>
      </w:r>
      <w:r>
        <w:rPr>
          <w:color w:val="231F20"/>
          <w:spacing w:val="-6"/>
        </w:rPr>
        <w:t> </w:t>
      </w:r>
      <w:r>
        <w:rPr>
          <w:color w:val="231F20"/>
        </w:rPr>
        <w:t>эффективна</w:t>
      </w:r>
      <w:r>
        <w:rPr>
          <w:color w:val="231F20"/>
          <w:spacing w:val="-6"/>
        </w:rPr>
        <w:t> </w:t>
      </w:r>
      <w:r>
        <w:rPr>
          <w:color w:val="231F20"/>
        </w:rPr>
        <w:t>проделанная</w:t>
      </w:r>
      <w:r>
        <w:rPr>
          <w:color w:val="231F20"/>
          <w:spacing w:val="-6"/>
        </w:rPr>
        <w:t> </w:t>
      </w:r>
      <w:r>
        <w:rPr>
          <w:color w:val="231F20"/>
        </w:rPr>
        <w:t>ра- бота и как отразилась деятельность группы на ее участниках.</w:t>
      </w:r>
    </w:p>
    <w:p>
      <w:pPr>
        <w:pStyle w:val="ListParagraph"/>
        <w:numPr>
          <w:ilvl w:val="0"/>
          <w:numId w:val="317"/>
        </w:numPr>
        <w:tabs>
          <w:tab w:pos="423" w:val="left" w:leader="none"/>
        </w:tabs>
        <w:spacing w:line="228" w:lineRule="exact" w:before="56" w:after="0"/>
        <w:ind w:left="423" w:right="0" w:hanging="282"/>
        <w:jc w:val="both"/>
        <w:rPr>
          <w:i/>
          <w:sz w:val="20"/>
        </w:rPr>
      </w:pPr>
      <w:r>
        <w:rPr>
          <w:i/>
          <w:color w:val="231F20"/>
          <w:sz w:val="20"/>
        </w:rPr>
        <w:t>Учитель</w:t>
      </w:r>
      <w:r>
        <w:rPr>
          <w:i/>
          <w:color w:val="231F20"/>
          <w:spacing w:val="-7"/>
          <w:sz w:val="20"/>
        </w:rPr>
        <w:t> </w:t>
      </w:r>
      <w:r>
        <w:rPr>
          <w:i/>
          <w:color w:val="231F20"/>
          <w:sz w:val="20"/>
        </w:rPr>
        <w:t>как</w:t>
      </w:r>
      <w:r>
        <w:rPr>
          <w:i/>
          <w:color w:val="231F20"/>
          <w:spacing w:val="-5"/>
          <w:sz w:val="20"/>
        </w:rPr>
        <w:t> </w:t>
      </w:r>
      <w:r>
        <w:rPr>
          <w:i/>
          <w:color w:val="231F20"/>
          <w:spacing w:val="-2"/>
          <w:sz w:val="20"/>
        </w:rPr>
        <w:t>организатор</w:t>
      </w:r>
    </w:p>
    <w:p>
      <w:pPr>
        <w:pStyle w:val="BodyText"/>
        <w:spacing w:line="235" w:lineRule="auto" w:before="2"/>
      </w:pPr>
      <w:r>
        <w:rPr>
          <w:color w:val="231F20"/>
        </w:rPr>
        <w:t>В</w:t>
      </w:r>
      <w:r>
        <w:rPr>
          <w:color w:val="231F20"/>
          <w:spacing w:val="-5"/>
        </w:rPr>
        <w:t> </w:t>
      </w:r>
      <w:r>
        <w:rPr>
          <w:color w:val="231F20"/>
        </w:rPr>
        <w:t>классе,</w:t>
      </w:r>
      <w:r>
        <w:rPr>
          <w:color w:val="231F20"/>
          <w:spacing w:val="-5"/>
        </w:rPr>
        <w:t> </w:t>
      </w:r>
      <w:r>
        <w:rPr>
          <w:color w:val="231F20"/>
        </w:rPr>
        <w:t>работающем</w:t>
      </w:r>
      <w:r>
        <w:rPr>
          <w:color w:val="231F20"/>
          <w:spacing w:val="-5"/>
        </w:rPr>
        <w:t> </w:t>
      </w:r>
      <w:r>
        <w:rPr>
          <w:color w:val="231F20"/>
        </w:rPr>
        <w:t>по</w:t>
      </w:r>
      <w:r>
        <w:rPr>
          <w:color w:val="231F20"/>
          <w:spacing w:val="-5"/>
        </w:rPr>
        <w:t> </w:t>
      </w:r>
      <w:r>
        <w:rPr>
          <w:color w:val="231F20"/>
        </w:rPr>
        <w:t>методу</w:t>
      </w:r>
      <w:r>
        <w:rPr>
          <w:color w:val="231F20"/>
          <w:spacing w:val="-5"/>
        </w:rPr>
        <w:t> </w:t>
      </w:r>
      <w:r>
        <w:rPr>
          <w:color w:val="231F20"/>
        </w:rPr>
        <w:t>«Мозаика»,</w:t>
      </w:r>
      <w:r>
        <w:rPr>
          <w:color w:val="231F20"/>
          <w:spacing w:val="-5"/>
        </w:rPr>
        <w:t> </w:t>
      </w:r>
      <w:r>
        <w:rPr>
          <w:color w:val="231F20"/>
        </w:rPr>
        <w:t>учитель</w:t>
      </w:r>
      <w:r>
        <w:rPr>
          <w:color w:val="231F20"/>
          <w:spacing w:val="-5"/>
        </w:rPr>
        <w:t> </w:t>
      </w:r>
      <w:r>
        <w:rPr>
          <w:color w:val="231F20"/>
        </w:rPr>
        <w:t>уже</w:t>
      </w:r>
      <w:r>
        <w:rPr>
          <w:color w:val="231F20"/>
          <w:spacing w:val="-5"/>
        </w:rPr>
        <w:t> </w:t>
      </w:r>
      <w:r>
        <w:rPr>
          <w:color w:val="231F20"/>
        </w:rPr>
        <w:t>не</w:t>
      </w:r>
      <w:r>
        <w:rPr>
          <w:color w:val="231F20"/>
          <w:spacing w:val="-5"/>
        </w:rPr>
        <w:t> </w:t>
      </w:r>
      <w:r>
        <w:rPr>
          <w:color w:val="231F20"/>
        </w:rPr>
        <w:t>является</w:t>
      </w:r>
      <w:r>
        <w:rPr>
          <w:color w:val="231F20"/>
          <w:spacing w:val="-5"/>
        </w:rPr>
        <w:t> </w:t>
      </w:r>
      <w:r>
        <w:rPr>
          <w:color w:val="231F20"/>
        </w:rPr>
        <w:t>единствен- ным</w:t>
      </w:r>
      <w:r>
        <w:rPr>
          <w:color w:val="231F20"/>
          <w:spacing w:val="-4"/>
        </w:rPr>
        <w:t> </w:t>
      </w:r>
      <w:r>
        <w:rPr>
          <w:color w:val="231F20"/>
        </w:rPr>
        <w:t>источником</w:t>
      </w:r>
      <w:r>
        <w:rPr>
          <w:color w:val="231F20"/>
          <w:spacing w:val="-4"/>
        </w:rPr>
        <w:t> </w:t>
      </w:r>
      <w:r>
        <w:rPr>
          <w:color w:val="231F20"/>
        </w:rPr>
        <w:t>знаний,</w:t>
      </w:r>
      <w:r>
        <w:rPr>
          <w:color w:val="231F20"/>
          <w:spacing w:val="-4"/>
        </w:rPr>
        <w:t> </w:t>
      </w:r>
      <w:r>
        <w:rPr>
          <w:color w:val="231F20"/>
        </w:rPr>
        <w:t>более</w:t>
      </w:r>
      <w:r>
        <w:rPr>
          <w:color w:val="231F20"/>
          <w:spacing w:val="-4"/>
        </w:rPr>
        <w:t> </w:t>
      </w:r>
      <w:r>
        <w:rPr>
          <w:color w:val="231F20"/>
        </w:rPr>
        <w:t>того,</w:t>
      </w:r>
      <w:r>
        <w:rPr>
          <w:color w:val="231F20"/>
          <w:spacing w:val="-4"/>
        </w:rPr>
        <w:t> </w:t>
      </w:r>
      <w:r>
        <w:rPr>
          <w:color w:val="231F20"/>
        </w:rPr>
        <w:t>он</w:t>
      </w:r>
      <w:r>
        <w:rPr>
          <w:color w:val="231F20"/>
          <w:spacing w:val="-4"/>
        </w:rPr>
        <w:t> </w:t>
      </w:r>
      <w:r>
        <w:rPr>
          <w:color w:val="231F20"/>
        </w:rPr>
        <w:t>передает</w:t>
      </w:r>
      <w:r>
        <w:rPr>
          <w:color w:val="231F20"/>
          <w:spacing w:val="-4"/>
        </w:rPr>
        <w:t> </w:t>
      </w:r>
      <w:r>
        <w:rPr>
          <w:color w:val="231F20"/>
        </w:rPr>
        <w:t>часть</w:t>
      </w:r>
      <w:r>
        <w:rPr>
          <w:color w:val="231F20"/>
          <w:spacing w:val="-4"/>
        </w:rPr>
        <w:t> </w:t>
      </w:r>
      <w:r>
        <w:rPr>
          <w:color w:val="231F20"/>
        </w:rPr>
        <w:t>ответственности</w:t>
      </w:r>
      <w:r>
        <w:rPr>
          <w:color w:val="231F20"/>
          <w:spacing w:val="-4"/>
        </w:rPr>
        <w:t> </w:t>
      </w:r>
      <w:r>
        <w:rPr>
          <w:color w:val="231F20"/>
        </w:rPr>
        <w:t>за</w:t>
      </w:r>
      <w:r>
        <w:rPr>
          <w:color w:val="231F20"/>
          <w:spacing w:val="-4"/>
        </w:rPr>
        <w:t> </w:t>
      </w:r>
      <w:r>
        <w:rPr>
          <w:color w:val="231F20"/>
        </w:rPr>
        <w:t>процесс</w:t>
      </w:r>
      <w:r>
        <w:rPr>
          <w:color w:val="231F20"/>
          <w:spacing w:val="-4"/>
        </w:rPr>
        <w:t> </w:t>
      </w:r>
      <w:r>
        <w:rPr>
          <w:color w:val="231F20"/>
        </w:rPr>
        <w:t>и результат обучения самим ученикам. При этом его задачами остаются организация групповой работы и помощь в спорных ситуациях. Он слушает, наблюдает, активно перемещается</w:t>
      </w:r>
      <w:r>
        <w:rPr>
          <w:color w:val="231F20"/>
          <w:spacing w:val="-9"/>
        </w:rPr>
        <w:t> </w:t>
      </w:r>
      <w:r>
        <w:rPr>
          <w:color w:val="231F20"/>
        </w:rPr>
        <w:t>от</w:t>
      </w:r>
      <w:r>
        <w:rPr>
          <w:color w:val="231F20"/>
          <w:spacing w:val="-9"/>
        </w:rPr>
        <w:t> </w:t>
      </w:r>
      <w:r>
        <w:rPr>
          <w:color w:val="231F20"/>
        </w:rPr>
        <w:t>одной</w:t>
      </w:r>
      <w:r>
        <w:rPr>
          <w:color w:val="231F20"/>
          <w:spacing w:val="-9"/>
        </w:rPr>
        <w:t> </w:t>
      </w:r>
      <w:r>
        <w:rPr>
          <w:color w:val="231F20"/>
        </w:rPr>
        <w:t>группы</w:t>
      </w:r>
      <w:r>
        <w:rPr>
          <w:color w:val="231F20"/>
          <w:spacing w:val="-9"/>
        </w:rPr>
        <w:t> </w:t>
      </w:r>
      <w:r>
        <w:rPr>
          <w:color w:val="231F20"/>
        </w:rPr>
        <w:t>к</w:t>
      </w:r>
      <w:r>
        <w:rPr>
          <w:color w:val="231F20"/>
          <w:spacing w:val="-9"/>
        </w:rPr>
        <w:t> </w:t>
      </w:r>
      <w:r>
        <w:rPr>
          <w:color w:val="231F20"/>
        </w:rPr>
        <w:t>другой,</w:t>
      </w:r>
      <w:r>
        <w:rPr>
          <w:color w:val="231F20"/>
          <w:spacing w:val="-9"/>
        </w:rPr>
        <w:t> </w:t>
      </w:r>
      <w:r>
        <w:rPr>
          <w:color w:val="231F20"/>
        </w:rPr>
        <w:t>будучи</w:t>
      </w:r>
      <w:r>
        <w:rPr>
          <w:color w:val="231F20"/>
          <w:spacing w:val="-9"/>
        </w:rPr>
        <w:t> </w:t>
      </w:r>
      <w:r>
        <w:rPr>
          <w:color w:val="231F20"/>
        </w:rPr>
        <w:t>готовым</w:t>
      </w:r>
      <w:r>
        <w:rPr>
          <w:color w:val="231F20"/>
          <w:spacing w:val="-9"/>
        </w:rPr>
        <w:t> </w:t>
      </w:r>
      <w:r>
        <w:rPr>
          <w:color w:val="231F20"/>
        </w:rPr>
        <w:t>вмешаться,</w:t>
      </w:r>
      <w:r>
        <w:rPr>
          <w:color w:val="231F20"/>
          <w:spacing w:val="-9"/>
        </w:rPr>
        <w:t> </w:t>
      </w:r>
      <w:r>
        <w:rPr>
          <w:color w:val="231F20"/>
        </w:rPr>
        <w:t>если</w:t>
      </w:r>
      <w:r>
        <w:rPr>
          <w:color w:val="231F20"/>
          <w:spacing w:val="-9"/>
        </w:rPr>
        <w:t> </w:t>
      </w:r>
      <w:r>
        <w:rPr>
          <w:color w:val="231F20"/>
        </w:rPr>
        <w:t>это</w:t>
      </w:r>
      <w:r>
        <w:rPr>
          <w:color w:val="231F20"/>
          <w:spacing w:val="-9"/>
        </w:rPr>
        <w:t> </w:t>
      </w:r>
      <w:r>
        <w:rPr>
          <w:color w:val="231F20"/>
        </w:rPr>
        <w:t>потре- буется. Когда это необходимо, он стремится повлиять на групповой процесс, опира- ясь</w:t>
      </w:r>
      <w:r>
        <w:rPr>
          <w:color w:val="231F20"/>
          <w:spacing w:val="-13"/>
        </w:rPr>
        <w:t> </w:t>
      </w:r>
      <w:r>
        <w:rPr>
          <w:color w:val="231F20"/>
        </w:rPr>
        <w:t>на</w:t>
      </w:r>
      <w:r>
        <w:rPr>
          <w:color w:val="231F20"/>
          <w:spacing w:val="-12"/>
        </w:rPr>
        <w:t> </w:t>
      </w:r>
      <w:r>
        <w:rPr>
          <w:color w:val="231F20"/>
        </w:rPr>
        <w:t>руководителя</w:t>
      </w:r>
      <w:r>
        <w:rPr>
          <w:color w:val="231F20"/>
          <w:spacing w:val="-13"/>
        </w:rPr>
        <w:t> </w:t>
      </w:r>
      <w:r>
        <w:rPr>
          <w:color w:val="231F20"/>
        </w:rPr>
        <w:t>группы.</w:t>
      </w:r>
      <w:r>
        <w:rPr>
          <w:color w:val="231F20"/>
          <w:spacing w:val="-12"/>
        </w:rPr>
        <w:t> </w:t>
      </w:r>
      <w:r>
        <w:rPr>
          <w:color w:val="231F20"/>
        </w:rPr>
        <w:t>Таким</w:t>
      </w:r>
      <w:r>
        <w:rPr>
          <w:color w:val="231F20"/>
          <w:spacing w:val="-13"/>
        </w:rPr>
        <w:t> </w:t>
      </w:r>
      <w:r>
        <w:rPr>
          <w:color w:val="231F20"/>
        </w:rPr>
        <w:t>образом</w:t>
      </w:r>
      <w:r>
        <w:rPr>
          <w:color w:val="231F20"/>
          <w:spacing w:val="-12"/>
        </w:rPr>
        <w:t> </w:t>
      </w:r>
      <w:r>
        <w:rPr>
          <w:color w:val="231F20"/>
        </w:rPr>
        <w:t>он</w:t>
      </w:r>
      <w:r>
        <w:rPr>
          <w:color w:val="231F20"/>
          <w:spacing w:val="-13"/>
        </w:rPr>
        <w:t> </w:t>
      </w:r>
      <w:r>
        <w:rPr>
          <w:color w:val="231F20"/>
        </w:rPr>
        <w:t>дает</w:t>
      </w:r>
      <w:r>
        <w:rPr>
          <w:color w:val="231F20"/>
          <w:spacing w:val="-12"/>
        </w:rPr>
        <w:t> </w:t>
      </w:r>
      <w:r>
        <w:rPr>
          <w:color w:val="231F20"/>
        </w:rPr>
        <w:t>группе</w:t>
      </w:r>
      <w:r>
        <w:rPr>
          <w:color w:val="231F20"/>
          <w:spacing w:val="-13"/>
        </w:rPr>
        <w:t> </w:t>
      </w:r>
      <w:r>
        <w:rPr>
          <w:color w:val="231F20"/>
        </w:rPr>
        <w:t>возможность</w:t>
      </w:r>
      <w:r>
        <w:rPr>
          <w:color w:val="231F20"/>
          <w:spacing w:val="-12"/>
        </w:rPr>
        <w:t> </w:t>
      </w:r>
      <w:r>
        <w:rPr>
          <w:color w:val="231F20"/>
        </w:rPr>
        <w:t>действовать самостоятельно и не вмешивается, пока этого не потребуется.</w:t>
      </w:r>
    </w:p>
    <w:p>
      <w:pPr>
        <w:pStyle w:val="BodyText"/>
        <w:spacing w:line="235" w:lineRule="auto" w:before="5"/>
      </w:pPr>
      <w:r>
        <w:rPr>
          <w:color w:val="231F20"/>
        </w:rPr>
        <w:t>Даже в случае, когда один из участников обращается напрямую к учителю с жа- лобой, что другие его не слушают, он не обязан единолично искать выход из сло- жившейся ситуации. Учитель обращается к группе с вопросом, как они могли бы разрешить</w:t>
      </w:r>
      <w:r>
        <w:rPr>
          <w:color w:val="231F20"/>
          <w:spacing w:val="-8"/>
        </w:rPr>
        <w:t> </w:t>
      </w:r>
      <w:r>
        <w:rPr>
          <w:color w:val="231F20"/>
        </w:rPr>
        <w:t>данную</w:t>
      </w:r>
      <w:r>
        <w:rPr>
          <w:color w:val="231F20"/>
          <w:spacing w:val="-8"/>
        </w:rPr>
        <w:t> </w:t>
      </w:r>
      <w:r>
        <w:rPr>
          <w:color w:val="231F20"/>
        </w:rPr>
        <w:t>ситуацию.</w:t>
      </w:r>
      <w:r>
        <w:rPr>
          <w:color w:val="231F20"/>
          <w:spacing w:val="-8"/>
        </w:rPr>
        <w:t> </w:t>
      </w:r>
      <w:r>
        <w:rPr>
          <w:color w:val="231F20"/>
        </w:rPr>
        <w:t>Он</w:t>
      </w:r>
      <w:r>
        <w:rPr>
          <w:color w:val="231F20"/>
          <w:spacing w:val="-8"/>
        </w:rPr>
        <w:t> </w:t>
      </w:r>
      <w:r>
        <w:rPr>
          <w:color w:val="231F20"/>
        </w:rPr>
        <w:t>может</w:t>
      </w:r>
      <w:r>
        <w:rPr>
          <w:color w:val="231F20"/>
          <w:spacing w:val="-8"/>
        </w:rPr>
        <w:t> </w:t>
      </w:r>
      <w:r>
        <w:rPr>
          <w:color w:val="231F20"/>
        </w:rPr>
        <w:t>спросить,</w:t>
      </w:r>
      <w:r>
        <w:rPr>
          <w:color w:val="231F20"/>
          <w:spacing w:val="-8"/>
        </w:rPr>
        <w:t> </w:t>
      </w:r>
      <w:r>
        <w:rPr>
          <w:color w:val="231F20"/>
        </w:rPr>
        <w:t>чем</w:t>
      </w:r>
      <w:r>
        <w:rPr>
          <w:color w:val="231F20"/>
          <w:spacing w:val="-8"/>
        </w:rPr>
        <w:t> </w:t>
      </w:r>
      <w:r>
        <w:rPr>
          <w:color w:val="231F20"/>
        </w:rPr>
        <w:t>вызвано</w:t>
      </w:r>
      <w:r>
        <w:rPr>
          <w:color w:val="231F20"/>
          <w:spacing w:val="-8"/>
        </w:rPr>
        <w:t> </w:t>
      </w:r>
      <w:r>
        <w:rPr>
          <w:color w:val="231F20"/>
        </w:rPr>
        <w:t>то,</w:t>
      </w:r>
      <w:r>
        <w:rPr>
          <w:color w:val="231F20"/>
          <w:spacing w:val="-8"/>
        </w:rPr>
        <w:t> </w:t>
      </w:r>
      <w:r>
        <w:rPr>
          <w:color w:val="231F20"/>
        </w:rPr>
        <w:t>что</w:t>
      </w:r>
      <w:r>
        <w:rPr>
          <w:color w:val="231F20"/>
          <w:spacing w:val="-8"/>
        </w:rPr>
        <w:t> </w:t>
      </w:r>
      <w:r>
        <w:rPr>
          <w:color w:val="231F20"/>
        </w:rPr>
        <w:t>один</w:t>
      </w:r>
      <w:r>
        <w:rPr>
          <w:color w:val="231F20"/>
          <w:spacing w:val="-8"/>
        </w:rPr>
        <w:t> </w:t>
      </w:r>
      <w:r>
        <w:rPr>
          <w:color w:val="231F20"/>
        </w:rPr>
        <w:t>из</w:t>
      </w:r>
      <w:r>
        <w:rPr>
          <w:color w:val="231F20"/>
          <w:spacing w:val="-8"/>
        </w:rPr>
        <w:t> </w:t>
      </w:r>
      <w:r>
        <w:rPr>
          <w:color w:val="231F20"/>
        </w:rPr>
        <w:t>участ- ников</w:t>
      </w:r>
      <w:r>
        <w:rPr>
          <w:color w:val="231F20"/>
          <w:spacing w:val="-12"/>
        </w:rPr>
        <w:t> </w:t>
      </w:r>
      <w:r>
        <w:rPr>
          <w:color w:val="231F20"/>
        </w:rPr>
        <w:t>невнимателен</w:t>
      </w:r>
      <w:r>
        <w:rPr>
          <w:color w:val="231F20"/>
          <w:spacing w:val="-12"/>
        </w:rPr>
        <w:t> </w:t>
      </w:r>
      <w:r>
        <w:rPr>
          <w:color w:val="231F20"/>
        </w:rPr>
        <w:t>–</w:t>
      </w:r>
      <w:r>
        <w:rPr>
          <w:color w:val="231F20"/>
          <w:spacing w:val="-12"/>
        </w:rPr>
        <w:t> </w:t>
      </w:r>
      <w:r>
        <w:rPr>
          <w:color w:val="231F20"/>
        </w:rPr>
        <w:t>возможно,</w:t>
      </w:r>
      <w:r>
        <w:rPr>
          <w:color w:val="231F20"/>
          <w:spacing w:val="-12"/>
        </w:rPr>
        <w:t> </w:t>
      </w:r>
      <w:r>
        <w:rPr>
          <w:color w:val="231F20"/>
        </w:rPr>
        <w:t>материал</w:t>
      </w:r>
      <w:r>
        <w:rPr>
          <w:color w:val="231F20"/>
          <w:spacing w:val="-12"/>
        </w:rPr>
        <w:t> </w:t>
      </w:r>
      <w:r>
        <w:rPr>
          <w:color w:val="231F20"/>
        </w:rPr>
        <w:t>преподносится</w:t>
      </w:r>
      <w:r>
        <w:rPr>
          <w:color w:val="231F20"/>
          <w:spacing w:val="-12"/>
        </w:rPr>
        <w:t> </w:t>
      </w:r>
      <w:r>
        <w:rPr>
          <w:color w:val="231F20"/>
        </w:rPr>
        <w:t>слишком</w:t>
      </w:r>
      <w:r>
        <w:rPr>
          <w:color w:val="231F20"/>
          <w:spacing w:val="-12"/>
        </w:rPr>
        <w:t> </w:t>
      </w:r>
      <w:r>
        <w:rPr>
          <w:color w:val="231F20"/>
        </w:rPr>
        <w:t>быстро</w:t>
      </w:r>
      <w:r>
        <w:rPr>
          <w:color w:val="231F20"/>
          <w:spacing w:val="-12"/>
        </w:rPr>
        <w:t> </w:t>
      </w:r>
      <w:r>
        <w:rPr>
          <w:color w:val="231F20"/>
        </w:rPr>
        <w:t>или</w:t>
      </w:r>
      <w:r>
        <w:rPr>
          <w:color w:val="231F20"/>
          <w:spacing w:val="-12"/>
        </w:rPr>
        <w:t> </w:t>
      </w:r>
      <w:r>
        <w:rPr>
          <w:color w:val="231F20"/>
        </w:rPr>
        <w:t>в</w:t>
      </w:r>
      <w:r>
        <w:rPr>
          <w:color w:val="231F20"/>
          <w:spacing w:val="-12"/>
        </w:rPr>
        <w:t> </w:t>
      </w:r>
      <w:r>
        <w:rPr>
          <w:color w:val="231F20"/>
        </w:rPr>
        <w:t>мо- нотонной</w:t>
      </w:r>
      <w:r>
        <w:rPr>
          <w:color w:val="231F20"/>
          <w:spacing w:val="-11"/>
        </w:rPr>
        <w:t> </w:t>
      </w:r>
      <w:r>
        <w:rPr>
          <w:color w:val="231F20"/>
        </w:rPr>
        <w:t>манере.</w:t>
      </w:r>
      <w:r>
        <w:rPr>
          <w:color w:val="231F20"/>
          <w:spacing w:val="-11"/>
        </w:rPr>
        <w:t> </w:t>
      </w:r>
      <w:r>
        <w:rPr>
          <w:color w:val="231F20"/>
        </w:rPr>
        <w:t>У</w:t>
      </w:r>
      <w:r>
        <w:rPr>
          <w:color w:val="231F20"/>
          <w:spacing w:val="-11"/>
        </w:rPr>
        <w:t> </w:t>
      </w:r>
      <w:r>
        <w:rPr>
          <w:color w:val="231F20"/>
        </w:rPr>
        <w:t>учителя</w:t>
      </w:r>
      <w:r>
        <w:rPr>
          <w:color w:val="231F20"/>
          <w:spacing w:val="-11"/>
        </w:rPr>
        <w:t> </w:t>
      </w:r>
      <w:r>
        <w:rPr>
          <w:color w:val="231F20"/>
        </w:rPr>
        <w:t>вполне</w:t>
      </w:r>
      <w:r>
        <w:rPr>
          <w:color w:val="231F20"/>
          <w:spacing w:val="-11"/>
        </w:rPr>
        <w:t> </w:t>
      </w:r>
      <w:r>
        <w:rPr>
          <w:color w:val="231F20"/>
        </w:rPr>
        <w:t>четкая</w:t>
      </w:r>
      <w:r>
        <w:rPr>
          <w:color w:val="231F20"/>
          <w:spacing w:val="-11"/>
        </w:rPr>
        <w:t> </w:t>
      </w:r>
      <w:r>
        <w:rPr>
          <w:color w:val="231F20"/>
        </w:rPr>
        <w:t>функция</w:t>
      </w:r>
      <w:r>
        <w:rPr>
          <w:color w:val="231F20"/>
          <w:spacing w:val="-11"/>
        </w:rPr>
        <w:t> </w:t>
      </w:r>
      <w:r>
        <w:rPr>
          <w:color w:val="231F20"/>
        </w:rPr>
        <w:t>–</w:t>
      </w:r>
      <w:r>
        <w:rPr>
          <w:color w:val="231F20"/>
          <w:spacing w:val="-11"/>
        </w:rPr>
        <w:t> </w:t>
      </w:r>
      <w:r>
        <w:rPr>
          <w:color w:val="231F20"/>
        </w:rPr>
        <w:t>помочь</w:t>
      </w:r>
      <w:r>
        <w:rPr>
          <w:color w:val="231F20"/>
          <w:spacing w:val="-11"/>
        </w:rPr>
        <w:t> </w:t>
      </w:r>
      <w:r>
        <w:rPr>
          <w:color w:val="231F20"/>
        </w:rPr>
        <w:t>ученикам</w:t>
      </w:r>
      <w:r>
        <w:rPr>
          <w:color w:val="231F20"/>
          <w:spacing w:val="-11"/>
        </w:rPr>
        <w:t> </w:t>
      </w:r>
      <w:r>
        <w:rPr>
          <w:color w:val="231F20"/>
        </w:rPr>
        <w:t>более</w:t>
      </w:r>
      <w:r>
        <w:rPr>
          <w:color w:val="231F20"/>
          <w:spacing w:val="-11"/>
        </w:rPr>
        <w:t> </w:t>
      </w:r>
      <w:r>
        <w:rPr>
          <w:color w:val="231F20"/>
        </w:rPr>
        <w:t>эффек- тивно</w:t>
      </w:r>
      <w:r>
        <w:rPr>
          <w:color w:val="231F20"/>
          <w:spacing w:val="-13"/>
        </w:rPr>
        <w:t> </w:t>
      </w:r>
      <w:r>
        <w:rPr>
          <w:color w:val="231F20"/>
        </w:rPr>
        <w:t>изучить</w:t>
      </w:r>
      <w:r>
        <w:rPr>
          <w:color w:val="231F20"/>
          <w:spacing w:val="-12"/>
        </w:rPr>
        <w:t> </w:t>
      </w:r>
      <w:r>
        <w:rPr>
          <w:color w:val="231F20"/>
        </w:rPr>
        <w:t>материал</w:t>
      </w:r>
      <w:r>
        <w:rPr>
          <w:color w:val="231F20"/>
          <w:spacing w:val="-13"/>
        </w:rPr>
        <w:t> </w:t>
      </w:r>
      <w:r>
        <w:rPr>
          <w:color w:val="231F20"/>
        </w:rPr>
        <w:t>и</w:t>
      </w:r>
      <w:r>
        <w:rPr>
          <w:color w:val="231F20"/>
          <w:spacing w:val="-12"/>
        </w:rPr>
        <w:t> </w:t>
      </w:r>
      <w:r>
        <w:rPr>
          <w:color w:val="231F20"/>
        </w:rPr>
        <w:t>запустить</w:t>
      </w:r>
      <w:r>
        <w:rPr>
          <w:color w:val="231F20"/>
          <w:spacing w:val="-13"/>
        </w:rPr>
        <w:t> </w:t>
      </w:r>
      <w:r>
        <w:rPr>
          <w:color w:val="231F20"/>
        </w:rPr>
        <w:t>продуктивный,</w:t>
      </w:r>
      <w:r>
        <w:rPr>
          <w:color w:val="231F20"/>
          <w:spacing w:val="-12"/>
        </w:rPr>
        <w:t> </w:t>
      </w:r>
      <w:r>
        <w:rPr>
          <w:color w:val="231F20"/>
        </w:rPr>
        <w:t>комфортный</w:t>
      </w:r>
      <w:r>
        <w:rPr>
          <w:color w:val="231F20"/>
          <w:spacing w:val="-13"/>
        </w:rPr>
        <w:t> </w:t>
      </w:r>
      <w:r>
        <w:rPr>
          <w:color w:val="231F20"/>
        </w:rPr>
        <w:t>процесс</w:t>
      </w:r>
      <w:r>
        <w:rPr>
          <w:color w:val="231F20"/>
          <w:spacing w:val="-12"/>
        </w:rPr>
        <w:t> </w:t>
      </w:r>
      <w:r>
        <w:rPr>
          <w:color w:val="231F20"/>
        </w:rPr>
        <w:t>группового взаимодействия.</w:t>
      </w:r>
      <w:r>
        <w:rPr>
          <w:color w:val="231F20"/>
          <w:spacing w:val="-1"/>
        </w:rPr>
        <w:t> </w:t>
      </w:r>
      <w:r>
        <w:rPr>
          <w:color w:val="231F20"/>
        </w:rPr>
        <w:t>Участвуя</w:t>
      </w:r>
      <w:r>
        <w:rPr>
          <w:color w:val="231F20"/>
          <w:spacing w:val="-1"/>
        </w:rPr>
        <w:t> </w:t>
      </w:r>
      <w:r>
        <w:rPr>
          <w:color w:val="231F20"/>
        </w:rPr>
        <w:t>в</w:t>
      </w:r>
      <w:r>
        <w:rPr>
          <w:color w:val="231F20"/>
          <w:spacing w:val="-1"/>
        </w:rPr>
        <w:t> </w:t>
      </w:r>
      <w:r>
        <w:rPr>
          <w:color w:val="231F20"/>
        </w:rPr>
        <w:t>работе</w:t>
      </w:r>
      <w:r>
        <w:rPr>
          <w:color w:val="231F20"/>
          <w:spacing w:val="-1"/>
        </w:rPr>
        <w:t> </w:t>
      </w:r>
      <w:r>
        <w:rPr>
          <w:color w:val="231F20"/>
        </w:rPr>
        <w:t>групп,</w:t>
      </w:r>
      <w:r>
        <w:rPr>
          <w:color w:val="231F20"/>
          <w:spacing w:val="-1"/>
        </w:rPr>
        <w:t> </w:t>
      </w:r>
      <w:r>
        <w:rPr>
          <w:color w:val="231F20"/>
        </w:rPr>
        <w:t>педагог</w:t>
      </w:r>
      <w:r>
        <w:rPr>
          <w:color w:val="231F20"/>
          <w:spacing w:val="-1"/>
        </w:rPr>
        <w:t> </w:t>
      </w:r>
      <w:r>
        <w:rPr>
          <w:color w:val="231F20"/>
        </w:rPr>
        <w:t>показывает</w:t>
      </w:r>
      <w:r>
        <w:rPr>
          <w:color w:val="231F20"/>
          <w:spacing w:val="-1"/>
        </w:rPr>
        <w:t> </w:t>
      </w:r>
      <w:r>
        <w:rPr>
          <w:color w:val="231F20"/>
        </w:rPr>
        <w:t>всем</w:t>
      </w:r>
      <w:r>
        <w:rPr>
          <w:color w:val="231F20"/>
          <w:spacing w:val="-1"/>
        </w:rPr>
        <w:t> </w:t>
      </w:r>
      <w:r>
        <w:rPr>
          <w:color w:val="231F20"/>
        </w:rPr>
        <w:t>ее</w:t>
      </w:r>
      <w:r>
        <w:rPr>
          <w:color w:val="231F20"/>
          <w:spacing w:val="-1"/>
        </w:rPr>
        <w:t> </w:t>
      </w:r>
      <w:r>
        <w:rPr>
          <w:color w:val="231F20"/>
        </w:rPr>
        <w:t>членам,</w:t>
      </w:r>
      <w:r>
        <w:rPr>
          <w:color w:val="231F20"/>
          <w:spacing w:val="-1"/>
        </w:rPr>
        <w:t> </w:t>
      </w:r>
      <w:r>
        <w:rPr>
          <w:color w:val="231F20"/>
        </w:rPr>
        <w:t>какое поведение ожидается от них в рамках данного процесса.</w:t>
      </w:r>
    </w:p>
    <w:p>
      <w:pPr>
        <w:pStyle w:val="BodyText"/>
        <w:spacing w:line="235" w:lineRule="auto" w:before="6"/>
      </w:pPr>
      <w:r>
        <w:rPr>
          <w:color w:val="231F20"/>
        </w:rPr>
        <w:t>Но при этом существуют такие моменты и стадии группового процесса, когда большинству</w:t>
      </w:r>
      <w:r>
        <w:rPr>
          <w:color w:val="231F20"/>
          <w:spacing w:val="-2"/>
        </w:rPr>
        <w:t> </w:t>
      </w:r>
      <w:r>
        <w:rPr>
          <w:color w:val="231F20"/>
        </w:rPr>
        <w:t>групп требуется</w:t>
      </w:r>
      <w:r>
        <w:rPr>
          <w:color w:val="231F20"/>
          <w:spacing w:val="1"/>
        </w:rPr>
        <w:t> </w:t>
      </w:r>
      <w:r>
        <w:rPr>
          <w:color w:val="231F20"/>
        </w:rPr>
        <w:t>содействие. Рассмотрим наиболее</w:t>
      </w:r>
      <w:r>
        <w:rPr>
          <w:color w:val="231F20"/>
          <w:spacing w:val="1"/>
        </w:rPr>
        <w:t> </w:t>
      </w:r>
      <w:r>
        <w:rPr>
          <w:color w:val="231F20"/>
        </w:rPr>
        <w:t>важные из этих</w:t>
      </w:r>
      <w:r>
        <w:rPr>
          <w:color w:val="231F20"/>
          <w:spacing w:val="1"/>
        </w:rPr>
        <w:t> </w:t>
      </w:r>
      <w:r>
        <w:rPr>
          <w:color w:val="231F20"/>
          <w:spacing w:val="-5"/>
        </w:rPr>
        <w:t>мо-</w:t>
      </w:r>
    </w:p>
    <w:p>
      <w:pPr>
        <w:pStyle w:val="BodyText"/>
        <w:spacing w:after="0" w:line="235" w:lineRule="auto"/>
        <w:sectPr>
          <w:pgSz w:w="8400" w:h="11910"/>
          <w:pgMar w:header="0" w:footer="530"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BodyText"/>
        <w:spacing w:before="112"/>
        <w:ind w:right="0" w:firstLine="0"/>
        <w:jc w:val="left"/>
      </w:pPr>
      <w:r>
        <w:rPr>
          <w:color w:val="231F20"/>
        </w:rPr>
        <w:t>ментов,</w:t>
      </w:r>
      <w:r>
        <w:rPr>
          <w:color w:val="231F20"/>
          <w:spacing w:val="-5"/>
        </w:rPr>
        <w:t> </w:t>
      </w:r>
      <w:r>
        <w:rPr>
          <w:color w:val="231F20"/>
        </w:rPr>
        <w:t>требующих</w:t>
      </w:r>
      <w:r>
        <w:rPr>
          <w:color w:val="231F20"/>
          <w:spacing w:val="-4"/>
        </w:rPr>
        <w:t> </w:t>
      </w:r>
      <w:r>
        <w:rPr>
          <w:color w:val="231F20"/>
          <w:spacing w:val="-2"/>
        </w:rPr>
        <w:t>вмешательства.</w:t>
      </w:r>
    </w:p>
    <w:p>
      <w:pPr>
        <w:pStyle w:val="BodyText"/>
        <w:spacing w:line="235" w:lineRule="auto"/>
      </w:pPr>
      <w:r>
        <w:rPr>
          <w:color w:val="231F20"/>
        </w:rPr>
        <w:t>Например,</w:t>
      </w:r>
      <w:r>
        <w:rPr>
          <w:color w:val="231F20"/>
          <w:spacing w:val="-3"/>
        </w:rPr>
        <w:t> </w:t>
      </w:r>
      <w:r>
        <w:rPr>
          <w:color w:val="231F20"/>
        </w:rPr>
        <w:t>у</w:t>
      </w:r>
      <w:r>
        <w:rPr>
          <w:color w:val="231F20"/>
          <w:spacing w:val="-4"/>
        </w:rPr>
        <w:t> </w:t>
      </w:r>
      <w:r>
        <w:rPr>
          <w:color w:val="231F20"/>
        </w:rPr>
        <w:t>экспертных</w:t>
      </w:r>
      <w:r>
        <w:rPr>
          <w:color w:val="231F20"/>
          <w:spacing w:val="-3"/>
        </w:rPr>
        <w:t> </w:t>
      </w:r>
      <w:r>
        <w:rPr>
          <w:color w:val="231F20"/>
        </w:rPr>
        <w:t>групп</w:t>
      </w:r>
      <w:r>
        <w:rPr>
          <w:color w:val="231F20"/>
          <w:spacing w:val="-3"/>
        </w:rPr>
        <w:t> </w:t>
      </w:r>
      <w:r>
        <w:rPr>
          <w:color w:val="231F20"/>
        </w:rPr>
        <w:t>поначалу</w:t>
      </w:r>
      <w:r>
        <w:rPr>
          <w:color w:val="231F20"/>
          <w:spacing w:val="-3"/>
        </w:rPr>
        <w:t> </w:t>
      </w:r>
      <w:r>
        <w:rPr>
          <w:color w:val="231F20"/>
        </w:rPr>
        <w:t>могут</w:t>
      </w:r>
      <w:r>
        <w:rPr>
          <w:color w:val="231F20"/>
          <w:spacing w:val="-4"/>
        </w:rPr>
        <w:t> </w:t>
      </w:r>
      <w:r>
        <w:rPr>
          <w:color w:val="231F20"/>
        </w:rPr>
        <w:t>возникнуть</w:t>
      </w:r>
      <w:r>
        <w:rPr>
          <w:color w:val="231F20"/>
          <w:spacing w:val="-3"/>
        </w:rPr>
        <w:t> </w:t>
      </w:r>
      <w:r>
        <w:rPr>
          <w:color w:val="231F20"/>
        </w:rPr>
        <w:t>сложности</w:t>
      </w:r>
      <w:r>
        <w:rPr>
          <w:color w:val="231F20"/>
          <w:spacing w:val="-4"/>
        </w:rPr>
        <w:t> </w:t>
      </w:r>
      <w:r>
        <w:rPr>
          <w:color w:val="231F20"/>
        </w:rPr>
        <w:t>с</w:t>
      </w:r>
      <w:r>
        <w:rPr>
          <w:color w:val="231F20"/>
          <w:spacing w:val="-3"/>
        </w:rPr>
        <w:t> </w:t>
      </w:r>
      <w:r>
        <w:rPr>
          <w:color w:val="231F20"/>
        </w:rPr>
        <w:t>тем,</w:t>
      </w:r>
      <w:r>
        <w:rPr>
          <w:color w:val="231F20"/>
          <w:spacing w:val="-4"/>
        </w:rPr>
        <w:t> </w:t>
      </w:r>
      <w:r>
        <w:rPr>
          <w:color w:val="231F20"/>
        </w:rPr>
        <w:t>что- бы</w:t>
      </w:r>
      <w:r>
        <w:rPr>
          <w:color w:val="231F20"/>
          <w:spacing w:val="-13"/>
        </w:rPr>
        <w:t> </w:t>
      </w:r>
      <w:r>
        <w:rPr>
          <w:color w:val="231F20"/>
        </w:rPr>
        <w:t>придумать</w:t>
      </w:r>
      <w:r>
        <w:rPr>
          <w:color w:val="231F20"/>
          <w:spacing w:val="-12"/>
        </w:rPr>
        <w:t> </w:t>
      </w:r>
      <w:r>
        <w:rPr>
          <w:color w:val="231F20"/>
        </w:rPr>
        <w:t>способ</w:t>
      </w:r>
      <w:r>
        <w:rPr>
          <w:color w:val="231F20"/>
          <w:spacing w:val="-13"/>
        </w:rPr>
        <w:t> </w:t>
      </w:r>
      <w:r>
        <w:rPr>
          <w:color w:val="231F20"/>
        </w:rPr>
        <w:t>интересно</w:t>
      </w:r>
      <w:r>
        <w:rPr>
          <w:color w:val="231F20"/>
          <w:spacing w:val="-12"/>
        </w:rPr>
        <w:t> </w:t>
      </w:r>
      <w:r>
        <w:rPr>
          <w:color w:val="231F20"/>
        </w:rPr>
        <w:t>и</w:t>
      </w:r>
      <w:r>
        <w:rPr>
          <w:color w:val="231F20"/>
          <w:spacing w:val="-13"/>
        </w:rPr>
        <w:t> </w:t>
      </w:r>
      <w:r>
        <w:rPr>
          <w:color w:val="231F20"/>
        </w:rPr>
        <w:t>доступно</w:t>
      </w:r>
      <w:r>
        <w:rPr>
          <w:color w:val="231F20"/>
          <w:spacing w:val="-12"/>
        </w:rPr>
        <w:t> </w:t>
      </w:r>
      <w:r>
        <w:rPr>
          <w:color w:val="231F20"/>
        </w:rPr>
        <w:t>изложить</w:t>
      </w:r>
      <w:r>
        <w:rPr>
          <w:color w:val="231F20"/>
          <w:spacing w:val="-13"/>
        </w:rPr>
        <w:t> </w:t>
      </w:r>
      <w:r>
        <w:rPr>
          <w:color w:val="231F20"/>
        </w:rPr>
        <w:t>материал</w:t>
      </w:r>
      <w:r>
        <w:rPr>
          <w:color w:val="231F20"/>
          <w:spacing w:val="-12"/>
        </w:rPr>
        <w:t> </w:t>
      </w:r>
      <w:r>
        <w:rPr>
          <w:color w:val="231F20"/>
        </w:rPr>
        <w:t>в</w:t>
      </w:r>
      <w:r>
        <w:rPr>
          <w:color w:val="231F20"/>
          <w:spacing w:val="-13"/>
        </w:rPr>
        <w:t> </w:t>
      </w:r>
      <w:r>
        <w:rPr>
          <w:color w:val="231F20"/>
        </w:rPr>
        <w:t>мозаичных</w:t>
      </w:r>
      <w:r>
        <w:rPr>
          <w:color w:val="231F20"/>
          <w:spacing w:val="-12"/>
        </w:rPr>
        <w:t> </w:t>
      </w:r>
      <w:r>
        <w:rPr>
          <w:color w:val="231F20"/>
        </w:rPr>
        <w:t>группах. Учитель может обратить внимание членов экспертной группы на ключевые точки в учебном</w:t>
      </w:r>
      <w:r>
        <w:rPr>
          <w:color w:val="231F20"/>
          <w:spacing w:val="-7"/>
        </w:rPr>
        <w:t> </w:t>
      </w:r>
      <w:r>
        <w:rPr>
          <w:color w:val="231F20"/>
        </w:rPr>
        <w:t>материале,</w:t>
      </w:r>
      <w:r>
        <w:rPr>
          <w:color w:val="231F20"/>
          <w:spacing w:val="-7"/>
        </w:rPr>
        <w:t> </w:t>
      </w:r>
      <w:r>
        <w:rPr>
          <w:color w:val="231F20"/>
        </w:rPr>
        <w:t>помочь</w:t>
      </w:r>
      <w:r>
        <w:rPr>
          <w:color w:val="231F20"/>
          <w:spacing w:val="-7"/>
        </w:rPr>
        <w:t> </w:t>
      </w:r>
      <w:r>
        <w:rPr>
          <w:color w:val="231F20"/>
        </w:rPr>
        <w:t>структурировать</w:t>
      </w:r>
      <w:r>
        <w:rPr>
          <w:color w:val="231F20"/>
          <w:spacing w:val="-7"/>
        </w:rPr>
        <w:t> </w:t>
      </w:r>
      <w:r>
        <w:rPr>
          <w:color w:val="231F20"/>
        </w:rPr>
        <w:t>материал</w:t>
      </w:r>
      <w:r>
        <w:rPr>
          <w:color w:val="231F20"/>
          <w:spacing w:val="-7"/>
        </w:rPr>
        <w:t> </w:t>
      </w:r>
      <w:r>
        <w:rPr>
          <w:color w:val="231F20"/>
        </w:rPr>
        <w:t>и</w:t>
      </w:r>
      <w:r>
        <w:rPr>
          <w:color w:val="231F20"/>
          <w:spacing w:val="-7"/>
        </w:rPr>
        <w:t> </w:t>
      </w:r>
      <w:r>
        <w:rPr>
          <w:color w:val="231F20"/>
        </w:rPr>
        <w:t>интересно</w:t>
      </w:r>
      <w:r>
        <w:rPr>
          <w:color w:val="231F20"/>
          <w:spacing w:val="-7"/>
        </w:rPr>
        <w:t> </w:t>
      </w:r>
      <w:r>
        <w:rPr>
          <w:color w:val="231F20"/>
        </w:rPr>
        <w:t>его</w:t>
      </w:r>
      <w:r>
        <w:rPr>
          <w:color w:val="231F20"/>
          <w:spacing w:val="-7"/>
        </w:rPr>
        <w:t> </w:t>
      </w:r>
      <w:r>
        <w:rPr>
          <w:color w:val="231F20"/>
        </w:rPr>
        <w:t>преподнести. Например,</w:t>
      </w:r>
      <w:r>
        <w:rPr>
          <w:color w:val="231F20"/>
          <w:spacing w:val="-10"/>
        </w:rPr>
        <w:t> </w:t>
      </w:r>
      <w:r>
        <w:rPr>
          <w:color w:val="231F20"/>
        </w:rPr>
        <w:t>можно</w:t>
      </w:r>
      <w:r>
        <w:rPr>
          <w:color w:val="231F20"/>
          <w:spacing w:val="-10"/>
        </w:rPr>
        <w:t> </w:t>
      </w:r>
      <w:r>
        <w:rPr>
          <w:color w:val="231F20"/>
        </w:rPr>
        <w:t>предложить</w:t>
      </w:r>
      <w:r>
        <w:rPr>
          <w:color w:val="231F20"/>
          <w:spacing w:val="-10"/>
        </w:rPr>
        <w:t> </w:t>
      </w:r>
      <w:r>
        <w:rPr>
          <w:color w:val="231F20"/>
        </w:rPr>
        <w:t>ученикам</w:t>
      </w:r>
      <w:r>
        <w:rPr>
          <w:color w:val="231F20"/>
          <w:spacing w:val="-10"/>
        </w:rPr>
        <w:t> </w:t>
      </w:r>
      <w:r>
        <w:rPr>
          <w:color w:val="231F20"/>
        </w:rPr>
        <w:t>не</w:t>
      </w:r>
      <w:r>
        <w:rPr>
          <w:color w:val="231F20"/>
          <w:spacing w:val="-10"/>
        </w:rPr>
        <w:t> </w:t>
      </w:r>
      <w:r>
        <w:rPr>
          <w:color w:val="231F20"/>
        </w:rPr>
        <w:t>просто</w:t>
      </w:r>
      <w:r>
        <w:rPr>
          <w:color w:val="231F20"/>
          <w:spacing w:val="-10"/>
        </w:rPr>
        <w:t> </w:t>
      </w:r>
      <w:r>
        <w:rPr>
          <w:color w:val="231F20"/>
        </w:rPr>
        <w:t>прочитать</w:t>
      </w:r>
      <w:r>
        <w:rPr>
          <w:color w:val="231F20"/>
          <w:spacing w:val="-10"/>
        </w:rPr>
        <w:t> </w:t>
      </w:r>
      <w:r>
        <w:rPr>
          <w:color w:val="231F20"/>
        </w:rPr>
        <w:t>подготовленное</w:t>
      </w:r>
      <w:r>
        <w:rPr>
          <w:color w:val="231F20"/>
          <w:spacing w:val="-10"/>
        </w:rPr>
        <w:t> </w:t>
      </w:r>
      <w:r>
        <w:rPr>
          <w:color w:val="231F20"/>
        </w:rPr>
        <w:t>высту- пление с листа, а попробовать рассказать это своими словами, привести жизненные примеры, соотнести с тем, что им уже известно.</w:t>
      </w:r>
    </w:p>
    <w:p>
      <w:pPr>
        <w:pStyle w:val="BodyText"/>
        <w:spacing w:line="235" w:lineRule="auto" w:before="4"/>
      </w:pPr>
      <w:r>
        <w:rPr>
          <w:color w:val="231F20"/>
        </w:rPr>
        <w:t>Даже</w:t>
      </w:r>
      <w:r>
        <w:rPr>
          <w:color w:val="231F20"/>
          <w:spacing w:val="-9"/>
        </w:rPr>
        <w:t> </w:t>
      </w:r>
      <w:r>
        <w:rPr>
          <w:color w:val="231F20"/>
        </w:rPr>
        <w:t>если</w:t>
      </w:r>
      <w:r>
        <w:rPr>
          <w:color w:val="231F20"/>
          <w:spacing w:val="-9"/>
        </w:rPr>
        <w:t> </w:t>
      </w:r>
      <w:r>
        <w:rPr>
          <w:color w:val="231F20"/>
        </w:rPr>
        <w:t>после</w:t>
      </w:r>
      <w:r>
        <w:rPr>
          <w:color w:val="231F20"/>
          <w:spacing w:val="-9"/>
        </w:rPr>
        <w:t> </w:t>
      </w:r>
      <w:r>
        <w:rPr>
          <w:color w:val="231F20"/>
        </w:rPr>
        <w:t>такой</w:t>
      </w:r>
      <w:r>
        <w:rPr>
          <w:color w:val="231F20"/>
          <w:spacing w:val="-9"/>
        </w:rPr>
        <w:t> </w:t>
      </w:r>
      <w:r>
        <w:rPr>
          <w:color w:val="231F20"/>
        </w:rPr>
        <w:t>подготовки</w:t>
      </w:r>
      <w:r>
        <w:rPr>
          <w:color w:val="231F20"/>
          <w:spacing w:val="-9"/>
        </w:rPr>
        <w:t> </w:t>
      </w:r>
      <w:r>
        <w:rPr>
          <w:color w:val="231F20"/>
        </w:rPr>
        <w:t>ученикам</w:t>
      </w:r>
      <w:r>
        <w:rPr>
          <w:color w:val="231F20"/>
          <w:spacing w:val="-9"/>
        </w:rPr>
        <w:t> </w:t>
      </w:r>
      <w:r>
        <w:rPr>
          <w:color w:val="231F20"/>
        </w:rPr>
        <w:t>в</w:t>
      </w:r>
      <w:r>
        <w:rPr>
          <w:color w:val="231F20"/>
          <w:spacing w:val="-9"/>
        </w:rPr>
        <w:t> </w:t>
      </w:r>
      <w:r>
        <w:rPr>
          <w:color w:val="231F20"/>
        </w:rPr>
        <w:t>мозаичных</w:t>
      </w:r>
      <w:r>
        <w:rPr>
          <w:color w:val="231F20"/>
          <w:spacing w:val="-9"/>
        </w:rPr>
        <w:t> </w:t>
      </w:r>
      <w:r>
        <w:rPr>
          <w:color w:val="231F20"/>
        </w:rPr>
        <w:t>группах</w:t>
      </w:r>
      <w:r>
        <w:rPr>
          <w:color w:val="231F20"/>
          <w:spacing w:val="-9"/>
        </w:rPr>
        <w:t> </w:t>
      </w:r>
      <w:r>
        <w:rPr>
          <w:color w:val="231F20"/>
        </w:rPr>
        <w:t>трудно</w:t>
      </w:r>
      <w:r>
        <w:rPr>
          <w:color w:val="231F20"/>
          <w:spacing w:val="-9"/>
        </w:rPr>
        <w:t> </w:t>
      </w:r>
      <w:r>
        <w:rPr>
          <w:color w:val="231F20"/>
        </w:rPr>
        <w:t>расска- зать</w:t>
      </w:r>
      <w:r>
        <w:rPr>
          <w:color w:val="231F20"/>
          <w:spacing w:val="-6"/>
        </w:rPr>
        <w:t> </w:t>
      </w:r>
      <w:r>
        <w:rPr>
          <w:color w:val="231F20"/>
        </w:rPr>
        <w:t>материал</w:t>
      </w:r>
      <w:r>
        <w:rPr>
          <w:color w:val="231F20"/>
          <w:spacing w:val="-6"/>
        </w:rPr>
        <w:t> </w:t>
      </w:r>
      <w:r>
        <w:rPr>
          <w:color w:val="231F20"/>
        </w:rPr>
        <w:t>своими</w:t>
      </w:r>
      <w:r>
        <w:rPr>
          <w:color w:val="231F20"/>
          <w:spacing w:val="-6"/>
        </w:rPr>
        <w:t> </w:t>
      </w:r>
      <w:r>
        <w:rPr>
          <w:color w:val="231F20"/>
        </w:rPr>
        <w:t>словами,</w:t>
      </w:r>
      <w:r>
        <w:rPr>
          <w:color w:val="231F20"/>
          <w:spacing w:val="-6"/>
        </w:rPr>
        <w:t> </w:t>
      </w:r>
      <w:r>
        <w:rPr>
          <w:color w:val="231F20"/>
        </w:rPr>
        <w:t>следует</w:t>
      </w:r>
      <w:r>
        <w:rPr>
          <w:color w:val="231F20"/>
          <w:spacing w:val="-6"/>
        </w:rPr>
        <w:t> </w:t>
      </w:r>
      <w:r>
        <w:rPr>
          <w:color w:val="231F20"/>
        </w:rPr>
        <w:t>предложить</w:t>
      </w:r>
      <w:r>
        <w:rPr>
          <w:color w:val="231F20"/>
          <w:spacing w:val="-6"/>
        </w:rPr>
        <w:t> </w:t>
      </w:r>
      <w:r>
        <w:rPr>
          <w:color w:val="231F20"/>
        </w:rPr>
        <w:t>им</w:t>
      </w:r>
      <w:r>
        <w:rPr>
          <w:color w:val="231F20"/>
          <w:spacing w:val="-6"/>
        </w:rPr>
        <w:t> </w:t>
      </w:r>
      <w:r>
        <w:rPr>
          <w:color w:val="231F20"/>
        </w:rPr>
        <w:t>воспользоваться</w:t>
      </w:r>
      <w:r>
        <w:rPr>
          <w:color w:val="231F20"/>
          <w:spacing w:val="-6"/>
        </w:rPr>
        <w:t> </w:t>
      </w:r>
      <w:r>
        <w:rPr>
          <w:color w:val="231F20"/>
        </w:rPr>
        <w:t>тем,</w:t>
      </w:r>
      <w:r>
        <w:rPr>
          <w:color w:val="231F20"/>
          <w:spacing w:val="-6"/>
        </w:rPr>
        <w:t> </w:t>
      </w:r>
      <w:r>
        <w:rPr>
          <w:color w:val="231F20"/>
        </w:rPr>
        <w:t>что</w:t>
      </w:r>
      <w:r>
        <w:rPr>
          <w:color w:val="231F20"/>
          <w:spacing w:val="-6"/>
        </w:rPr>
        <w:t> </w:t>
      </w:r>
      <w:r>
        <w:rPr>
          <w:color w:val="231F20"/>
        </w:rPr>
        <w:t>они уже слышали и обсуждали в экспертных группах.</w:t>
      </w:r>
    </w:p>
    <w:p>
      <w:pPr>
        <w:pStyle w:val="BodyText"/>
        <w:spacing w:line="235" w:lineRule="auto" w:before="2"/>
      </w:pPr>
      <w:r>
        <w:rPr>
          <w:color w:val="231F20"/>
        </w:rPr>
        <w:t>И</w:t>
      </w:r>
      <w:r>
        <w:rPr>
          <w:color w:val="231F20"/>
          <w:spacing w:val="-3"/>
        </w:rPr>
        <w:t> </w:t>
      </w:r>
      <w:r>
        <w:rPr>
          <w:color w:val="231F20"/>
        </w:rPr>
        <w:t>все</w:t>
      </w:r>
      <w:r>
        <w:rPr>
          <w:color w:val="231F20"/>
          <w:spacing w:val="-3"/>
        </w:rPr>
        <w:t> </w:t>
      </w:r>
      <w:r>
        <w:rPr>
          <w:color w:val="231F20"/>
        </w:rPr>
        <w:t>же</w:t>
      </w:r>
      <w:r>
        <w:rPr>
          <w:color w:val="231F20"/>
          <w:spacing w:val="-3"/>
        </w:rPr>
        <w:t> </w:t>
      </w:r>
      <w:r>
        <w:rPr>
          <w:color w:val="231F20"/>
        </w:rPr>
        <w:t>ситуации,</w:t>
      </w:r>
      <w:r>
        <w:rPr>
          <w:color w:val="231F20"/>
          <w:spacing w:val="-3"/>
        </w:rPr>
        <w:t> </w:t>
      </w:r>
      <w:r>
        <w:rPr>
          <w:color w:val="231F20"/>
        </w:rPr>
        <w:t>когда</w:t>
      </w:r>
      <w:r>
        <w:rPr>
          <w:color w:val="231F20"/>
          <w:spacing w:val="-3"/>
        </w:rPr>
        <w:t> </w:t>
      </w:r>
      <w:r>
        <w:rPr>
          <w:color w:val="231F20"/>
        </w:rPr>
        <w:t>и</w:t>
      </w:r>
      <w:r>
        <w:rPr>
          <w:color w:val="231F20"/>
          <w:spacing w:val="-3"/>
        </w:rPr>
        <w:t> </w:t>
      </w:r>
      <w:r>
        <w:rPr>
          <w:color w:val="231F20"/>
        </w:rPr>
        <w:t>в</w:t>
      </w:r>
      <w:r>
        <w:rPr>
          <w:color w:val="231F20"/>
          <w:spacing w:val="-3"/>
        </w:rPr>
        <w:t> </w:t>
      </w:r>
      <w:r>
        <w:rPr>
          <w:color w:val="231F20"/>
        </w:rPr>
        <w:t>мозаичной,</w:t>
      </w:r>
      <w:r>
        <w:rPr>
          <w:color w:val="231F20"/>
          <w:spacing w:val="-3"/>
        </w:rPr>
        <w:t> </w:t>
      </w:r>
      <w:r>
        <w:rPr>
          <w:color w:val="231F20"/>
        </w:rPr>
        <w:t>и</w:t>
      </w:r>
      <w:r>
        <w:rPr>
          <w:color w:val="231F20"/>
          <w:spacing w:val="-3"/>
        </w:rPr>
        <w:t> </w:t>
      </w:r>
      <w:r>
        <w:rPr>
          <w:color w:val="231F20"/>
        </w:rPr>
        <w:t>в</w:t>
      </w:r>
      <w:r>
        <w:rPr>
          <w:color w:val="231F20"/>
          <w:spacing w:val="-3"/>
        </w:rPr>
        <w:t> </w:t>
      </w:r>
      <w:r>
        <w:rPr>
          <w:color w:val="231F20"/>
        </w:rPr>
        <w:t>экспертной</w:t>
      </w:r>
      <w:r>
        <w:rPr>
          <w:color w:val="231F20"/>
          <w:spacing w:val="-3"/>
        </w:rPr>
        <w:t> </w:t>
      </w:r>
      <w:r>
        <w:rPr>
          <w:color w:val="231F20"/>
        </w:rPr>
        <w:t>группе</w:t>
      </w:r>
      <w:r>
        <w:rPr>
          <w:color w:val="231F20"/>
          <w:spacing w:val="-3"/>
        </w:rPr>
        <w:t> </w:t>
      </w:r>
      <w:r>
        <w:rPr>
          <w:color w:val="231F20"/>
        </w:rPr>
        <w:t>участники</w:t>
      </w:r>
      <w:r>
        <w:rPr>
          <w:color w:val="231F20"/>
          <w:spacing w:val="-3"/>
        </w:rPr>
        <w:t> </w:t>
      </w:r>
      <w:r>
        <w:rPr>
          <w:color w:val="231F20"/>
        </w:rPr>
        <w:t>не</w:t>
      </w:r>
      <w:r>
        <w:rPr>
          <w:color w:val="231F20"/>
          <w:spacing w:val="-3"/>
        </w:rPr>
        <w:t> </w:t>
      </w:r>
      <w:r>
        <w:rPr>
          <w:color w:val="231F20"/>
        </w:rPr>
        <w:t>вза- имодействуют между собой, а каждый разучивает свой кусок отдельно, периодиче- ски возникают. Тогда учитель напоминает участникам, что целью является научить других тому, что понял сам. Тут пригодятся вопросы: «Помогаете ли вы друг другу понять</w:t>
      </w:r>
      <w:r>
        <w:rPr>
          <w:color w:val="231F20"/>
          <w:spacing w:val="-11"/>
        </w:rPr>
        <w:t> </w:t>
      </w:r>
      <w:r>
        <w:rPr>
          <w:color w:val="231F20"/>
        </w:rPr>
        <w:t>материал?»,</w:t>
      </w:r>
      <w:r>
        <w:rPr>
          <w:color w:val="231F20"/>
          <w:spacing w:val="-11"/>
        </w:rPr>
        <w:t> </w:t>
      </w:r>
      <w:r>
        <w:rPr>
          <w:color w:val="231F20"/>
        </w:rPr>
        <w:t>«Все</w:t>
      </w:r>
      <w:r>
        <w:rPr>
          <w:color w:val="231F20"/>
          <w:spacing w:val="-11"/>
        </w:rPr>
        <w:t> </w:t>
      </w:r>
      <w:r>
        <w:rPr>
          <w:color w:val="231F20"/>
        </w:rPr>
        <w:t>ли</w:t>
      </w:r>
      <w:r>
        <w:rPr>
          <w:color w:val="231F20"/>
          <w:spacing w:val="-11"/>
        </w:rPr>
        <w:t> </w:t>
      </w:r>
      <w:r>
        <w:rPr>
          <w:color w:val="231F20"/>
        </w:rPr>
        <w:t>члены</w:t>
      </w:r>
      <w:r>
        <w:rPr>
          <w:color w:val="231F20"/>
          <w:spacing w:val="-11"/>
        </w:rPr>
        <w:t> </w:t>
      </w:r>
      <w:r>
        <w:rPr>
          <w:color w:val="231F20"/>
        </w:rPr>
        <w:t>группы</w:t>
      </w:r>
      <w:r>
        <w:rPr>
          <w:color w:val="231F20"/>
          <w:spacing w:val="-11"/>
        </w:rPr>
        <w:t> </w:t>
      </w:r>
      <w:r>
        <w:rPr>
          <w:color w:val="231F20"/>
        </w:rPr>
        <w:t>понимают</w:t>
      </w:r>
      <w:r>
        <w:rPr>
          <w:color w:val="231F20"/>
          <w:spacing w:val="-11"/>
        </w:rPr>
        <w:t> </w:t>
      </w:r>
      <w:r>
        <w:rPr>
          <w:color w:val="231F20"/>
        </w:rPr>
        <w:t>ту</w:t>
      </w:r>
      <w:r>
        <w:rPr>
          <w:color w:val="231F20"/>
          <w:spacing w:val="-11"/>
        </w:rPr>
        <w:t> </w:t>
      </w:r>
      <w:r>
        <w:rPr>
          <w:color w:val="231F20"/>
        </w:rPr>
        <w:t>часть</w:t>
      </w:r>
      <w:r>
        <w:rPr>
          <w:color w:val="231F20"/>
          <w:spacing w:val="-11"/>
        </w:rPr>
        <w:t> </w:t>
      </w:r>
      <w:r>
        <w:rPr>
          <w:color w:val="231F20"/>
        </w:rPr>
        <w:t>материала,</w:t>
      </w:r>
      <w:r>
        <w:rPr>
          <w:color w:val="231F20"/>
          <w:spacing w:val="-11"/>
        </w:rPr>
        <w:t> </w:t>
      </w:r>
      <w:r>
        <w:rPr>
          <w:color w:val="231F20"/>
        </w:rPr>
        <w:t>которую</w:t>
      </w:r>
      <w:r>
        <w:rPr>
          <w:color w:val="231F20"/>
          <w:spacing w:val="-11"/>
        </w:rPr>
        <w:t> </w:t>
      </w:r>
      <w:r>
        <w:rPr>
          <w:color w:val="231F20"/>
        </w:rPr>
        <w:t>вы </w:t>
      </w:r>
      <w:r>
        <w:rPr>
          <w:color w:val="231F20"/>
          <w:spacing w:val="-2"/>
        </w:rPr>
        <w:t>излагаете?».</w:t>
      </w:r>
    </w:p>
    <w:p>
      <w:pPr>
        <w:pStyle w:val="BodyText"/>
        <w:spacing w:line="235" w:lineRule="auto" w:before="4"/>
      </w:pPr>
      <w:r>
        <w:rPr>
          <w:color w:val="231F20"/>
        </w:rPr>
        <w:t>Безусловно, все ученики с разной скоростью справляются с заданием и необхо- димо</w:t>
      </w:r>
      <w:r>
        <w:rPr>
          <w:color w:val="231F20"/>
          <w:spacing w:val="-8"/>
        </w:rPr>
        <w:t> </w:t>
      </w:r>
      <w:r>
        <w:rPr>
          <w:color w:val="231F20"/>
        </w:rPr>
        <w:t>напомнить</w:t>
      </w:r>
      <w:r>
        <w:rPr>
          <w:color w:val="231F20"/>
          <w:spacing w:val="-8"/>
        </w:rPr>
        <w:t> </w:t>
      </w:r>
      <w:r>
        <w:rPr>
          <w:color w:val="231F20"/>
        </w:rPr>
        <w:t>тем,</w:t>
      </w:r>
      <w:r>
        <w:rPr>
          <w:color w:val="231F20"/>
          <w:spacing w:val="-8"/>
        </w:rPr>
        <w:t> </w:t>
      </w:r>
      <w:r>
        <w:rPr>
          <w:color w:val="231F20"/>
        </w:rPr>
        <w:t>кто</w:t>
      </w:r>
      <w:r>
        <w:rPr>
          <w:color w:val="231F20"/>
          <w:spacing w:val="-8"/>
        </w:rPr>
        <w:t> </w:t>
      </w:r>
      <w:r>
        <w:rPr>
          <w:color w:val="231F20"/>
        </w:rPr>
        <w:t>уже</w:t>
      </w:r>
      <w:r>
        <w:rPr>
          <w:color w:val="231F20"/>
          <w:spacing w:val="-8"/>
        </w:rPr>
        <w:t> </w:t>
      </w:r>
      <w:r>
        <w:rPr>
          <w:color w:val="231F20"/>
        </w:rPr>
        <w:t>окончил</w:t>
      </w:r>
      <w:r>
        <w:rPr>
          <w:color w:val="231F20"/>
          <w:spacing w:val="-8"/>
        </w:rPr>
        <w:t> </w:t>
      </w:r>
      <w:r>
        <w:rPr>
          <w:color w:val="231F20"/>
        </w:rPr>
        <w:t>работу,</w:t>
      </w:r>
      <w:r>
        <w:rPr>
          <w:color w:val="231F20"/>
          <w:spacing w:val="-8"/>
        </w:rPr>
        <w:t> </w:t>
      </w:r>
      <w:r>
        <w:rPr>
          <w:color w:val="231F20"/>
        </w:rPr>
        <w:t>что</w:t>
      </w:r>
      <w:r>
        <w:rPr>
          <w:color w:val="231F20"/>
          <w:spacing w:val="-8"/>
        </w:rPr>
        <w:t> </w:t>
      </w:r>
      <w:r>
        <w:rPr>
          <w:color w:val="231F20"/>
        </w:rPr>
        <w:t>не</w:t>
      </w:r>
      <w:r>
        <w:rPr>
          <w:color w:val="231F20"/>
          <w:spacing w:val="-8"/>
        </w:rPr>
        <w:t> </w:t>
      </w:r>
      <w:r>
        <w:rPr>
          <w:color w:val="231F20"/>
        </w:rPr>
        <w:t>менее</w:t>
      </w:r>
      <w:r>
        <w:rPr>
          <w:color w:val="231F20"/>
          <w:spacing w:val="-8"/>
        </w:rPr>
        <w:t> </w:t>
      </w:r>
      <w:r>
        <w:rPr>
          <w:color w:val="231F20"/>
        </w:rPr>
        <w:t>важно</w:t>
      </w:r>
      <w:r>
        <w:rPr>
          <w:color w:val="231F20"/>
          <w:spacing w:val="-8"/>
        </w:rPr>
        <w:t> </w:t>
      </w:r>
      <w:r>
        <w:rPr>
          <w:color w:val="231F20"/>
        </w:rPr>
        <w:t>помочь</w:t>
      </w:r>
      <w:r>
        <w:rPr>
          <w:color w:val="231F20"/>
          <w:spacing w:val="-8"/>
        </w:rPr>
        <w:t> </w:t>
      </w:r>
      <w:r>
        <w:rPr>
          <w:color w:val="231F20"/>
        </w:rPr>
        <w:t>остальным разобраться в проблеме. Обучение хорошо успевающими учениками более слабых также стирает границы в общении между ними.</w:t>
      </w:r>
    </w:p>
    <w:p>
      <w:pPr>
        <w:pStyle w:val="BodyText"/>
        <w:spacing w:line="235" w:lineRule="auto" w:before="2"/>
      </w:pPr>
      <w:r>
        <w:rPr>
          <w:color w:val="231F20"/>
        </w:rPr>
        <w:t>Одна</w:t>
      </w:r>
      <w:r>
        <w:rPr>
          <w:color w:val="231F20"/>
          <w:spacing w:val="-7"/>
        </w:rPr>
        <w:t> </w:t>
      </w:r>
      <w:r>
        <w:rPr>
          <w:color w:val="231F20"/>
        </w:rPr>
        <w:t>из</w:t>
      </w:r>
      <w:r>
        <w:rPr>
          <w:color w:val="231F20"/>
          <w:spacing w:val="-7"/>
        </w:rPr>
        <w:t> </w:t>
      </w:r>
      <w:r>
        <w:rPr>
          <w:color w:val="231F20"/>
        </w:rPr>
        <w:t>наиболее</w:t>
      </w:r>
      <w:r>
        <w:rPr>
          <w:color w:val="231F20"/>
          <w:spacing w:val="-7"/>
        </w:rPr>
        <w:t> </w:t>
      </w:r>
      <w:r>
        <w:rPr>
          <w:color w:val="231F20"/>
        </w:rPr>
        <w:t>важных</w:t>
      </w:r>
      <w:r>
        <w:rPr>
          <w:color w:val="231F20"/>
          <w:spacing w:val="-7"/>
        </w:rPr>
        <w:t> </w:t>
      </w:r>
      <w:r>
        <w:rPr>
          <w:color w:val="231F20"/>
        </w:rPr>
        <w:t>обязанностей</w:t>
      </w:r>
      <w:r>
        <w:rPr>
          <w:color w:val="231F20"/>
          <w:spacing w:val="-7"/>
        </w:rPr>
        <w:t> </w:t>
      </w:r>
      <w:r>
        <w:rPr>
          <w:color w:val="231F20"/>
        </w:rPr>
        <w:t>учителя</w:t>
      </w:r>
      <w:r>
        <w:rPr>
          <w:color w:val="231F20"/>
          <w:spacing w:val="-7"/>
        </w:rPr>
        <w:t> </w:t>
      </w:r>
      <w:r>
        <w:rPr>
          <w:color w:val="231F20"/>
        </w:rPr>
        <w:t>–</w:t>
      </w:r>
      <w:r>
        <w:rPr>
          <w:color w:val="231F20"/>
          <w:spacing w:val="-7"/>
        </w:rPr>
        <w:t> </w:t>
      </w:r>
      <w:r>
        <w:rPr>
          <w:color w:val="231F20"/>
        </w:rPr>
        <w:t>донести</w:t>
      </w:r>
      <w:r>
        <w:rPr>
          <w:color w:val="231F20"/>
          <w:spacing w:val="-7"/>
        </w:rPr>
        <w:t> </w:t>
      </w:r>
      <w:r>
        <w:rPr>
          <w:color w:val="231F20"/>
        </w:rPr>
        <w:t>до</w:t>
      </w:r>
      <w:r>
        <w:rPr>
          <w:color w:val="231F20"/>
          <w:spacing w:val="-7"/>
        </w:rPr>
        <w:t> </w:t>
      </w:r>
      <w:r>
        <w:rPr>
          <w:color w:val="231F20"/>
        </w:rPr>
        <w:t>учеников,</w:t>
      </w:r>
      <w:r>
        <w:rPr>
          <w:color w:val="231F20"/>
          <w:spacing w:val="-7"/>
        </w:rPr>
        <w:t> </w:t>
      </w:r>
      <w:r>
        <w:rPr>
          <w:color w:val="231F20"/>
        </w:rPr>
        <w:t>что</w:t>
      </w:r>
      <w:r>
        <w:rPr>
          <w:color w:val="231F20"/>
          <w:spacing w:val="-7"/>
        </w:rPr>
        <w:t> </w:t>
      </w:r>
      <w:r>
        <w:rPr>
          <w:color w:val="231F20"/>
        </w:rPr>
        <w:t>борь- ба, насмешки и оскорбления не приведут группу к желаемому результату.</w:t>
      </w:r>
    </w:p>
    <w:p>
      <w:pPr>
        <w:pStyle w:val="BodyText"/>
      </w:pPr>
      <w:r>
        <w:rPr>
          <w:color w:val="231F20"/>
        </w:rPr>
        <w:t>Следует</w:t>
      </w:r>
      <w:r>
        <w:rPr>
          <w:color w:val="231F20"/>
          <w:spacing w:val="-1"/>
        </w:rPr>
        <w:t> </w:t>
      </w:r>
      <w:r>
        <w:rPr>
          <w:color w:val="231F20"/>
        </w:rPr>
        <w:t>помнить,</w:t>
      </w:r>
      <w:r>
        <w:rPr>
          <w:color w:val="231F20"/>
          <w:spacing w:val="-1"/>
        </w:rPr>
        <w:t> </w:t>
      </w:r>
      <w:r>
        <w:rPr>
          <w:color w:val="231F20"/>
        </w:rPr>
        <w:t>что</w:t>
      </w:r>
      <w:r>
        <w:rPr>
          <w:color w:val="231F20"/>
          <w:spacing w:val="-1"/>
        </w:rPr>
        <w:t> </w:t>
      </w:r>
      <w:r>
        <w:rPr>
          <w:color w:val="231F20"/>
        </w:rPr>
        <w:t>помимо</w:t>
      </w:r>
      <w:r>
        <w:rPr>
          <w:color w:val="231F20"/>
          <w:spacing w:val="-1"/>
        </w:rPr>
        <w:t> </w:t>
      </w:r>
      <w:r>
        <w:rPr>
          <w:color w:val="231F20"/>
        </w:rPr>
        <w:t>выполнения</w:t>
      </w:r>
      <w:r>
        <w:rPr>
          <w:color w:val="231F20"/>
          <w:spacing w:val="-1"/>
        </w:rPr>
        <w:t> </w:t>
      </w:r>
      <w:r>
        <w:rPr>
          <w:color w:val="231F20"/>
        </w:rPr>
        <w:t>роли</w:t>
      </w:r>
      <w:r>
        <w:rPr>
          <w:color w:val="231F20"/>
          <w:spacing w:val="-1"/>
        </w:rPr>
        <w:t> </w:t>
      </w:r>
      <w:r>
        <w:rPr>
          <w:color w:val="231F20"/>
        </w:rPr>
        <w:t>фасилитатора,</w:t>
      </w:r>
      <w:r>
        <w:rPr>
          <w:color w:val="231F20"/>
          <w:spacing w:val="-1"/>
        </w:rPr>
        <w:t> </w:t>
      </w:r>
      <w:r>
        <w:rPr>
          <w:color w:val="231F20"/>
        </w:rPr>
        <w:t>учитель</w:t>
      </w:r>
      <w:r>
        <w:rPr>
          <w:color w:val="231F20"/>
          <w:spacing w:val="-1"/>
        </w:rPr>
        <w:t> </w:t>
      </w:r>
      <w:r>
        <w:rPr>
          <w:color w:val="231F20"/>
        </w:rPr>
        <w:t>по-преж- нему остается источником знаний. Но в мозаичном классе, в отличие от традицион- ного,</w:t>
      </w:r>
      <w:r>
        <w:rPr>
          <w:color w:val="231F20"/>
          <w:spacing w:val="-7"/>
        </w:rPr>
        <w:t> </w:t>
      </w:r>
      <w:r>
        <w:rPr>
          <w:color w:val="231F20"/>
        </w:rPr>
        <w:t>если</w:t>
      </w:r>
      <w:r>
        <w:rPr>
          <w:color w:val="231F20"/>
          <w:spacing w:val="-8"/>
        </w:rPr>
        <w:t> </w:t>
      </w:r>
      <w:r>
        <w:rPr>
          <w:color w:val="231F20"/>
        </w:rPr>
        <w:t>ему</w:t>
      </w:r>
      <w:r>
        <w:rPr>
          <w:color w:val="231F20"/>
          <w:spacing w:val="-8"/>
        </w:rPr>
        <w:t> </w:t>
      </w:r>
      <w:r>
        <w:rPr>
          <w:color w:val="231F20"/>
        </w:rPr>
        <w:t>задают</w:t>
      </w:r>
      <w:r>
        <w:rPr>
          <w:color w:val="231F20"/>
          <w:spacing w:val="-7"/>
        </w:rPr>
        <w:t> </w:t>
      </w:r>
      <w:r>
        <w:rPr>
          <w:color w:val="231F20"/>
        </w:rPr>
        <w:t>вопрос,</w:t>
      </w:r>
      <w:r>
        <w:rPr>
          <w:color w:val="231F20"/>
          <w:spacing w:val="-8"/>
        </w:rPr>
        <w:t> </w:t>
      </w:r>
      <w:r>
        <w:rPr>
          <w:color w:val="231F20"/>
        </w:rPr>
        <w:t>он</w:t>
      </w:r>
      <w:r>
        <w:rPr>
          <w:color w:val="231F20"/>
          <w:spacing w:val="-8"/>
        </w:rPr>
        <w:t> </w:t>
      </w:r>
      <w:r>
        <w:rPr>
          <w:color w:val="231F20"/>
        </w:rPr>
        <w:t>может</w:t>
      </w:r>
      <w:r>
        <w:rPr>
          <w:color w:val="231F20"/>
          <w:spacing w:val="-8"/>
        </w:rPr>
        <w:t> </w:t>
      </w:r>
      <w:r>
        <w:rPr>
          <w:color w:val="231F20"/>
        </w:rPr>
        <w:t>переадресовать</w:t>
      </w:r>
      <w:r>
        <w:rPr>
          <w:color w:val="231F20"/>
          <w:spacing w:val="-8"/>
        </w:rPr>
        <w:t> </w:t>
      </w:r>
      <w:r>
        <w:rPr>
          <w:color w:val="231F20"/>
        </w:rPr>
        <w:t>его</w:t>
      </w:r>
      <w:r>
        <w:rPr>
          <w:color w:val="231F20"/>
          <w:spacing w:val="-8"/>
        </w:rPr>
        <w:t> </w:t>
      </w:r>
      <w:r>
        <w:rPr>
          <w:color w:val="231F20"/>
        </w:rPr>
        <w:t>группе</w:t>
      </w:r>
      <w:r>
        <w:rPr>
          <w:color w:val="231F20"/>
          <w:spacing w:val="-7"/>
        </w:rPr>
        <w:t> </w:t>
      </w:r>
      <w:r>
        <w:rPr>
          <w:color w:val="231F20"/>
        </w:rPr>
        <w:t>с</w:t>
      </w:r>
      <w:r>
        <w:rPr>
          <w:color w:val="231F20"/>
          <w:spacing w:val="-7"/>
        </w:rPr>
        <w:t> </w:t>
      </w:r>
      <w:r>
        <w:rPr>
          <w:color w:val="231F20"/>
        </w:rPr>
        <w:t>целью</w:t>
      </w:r>
      <w:r>
        <w:rPr>
          <w:color w:val="231F20"/>
          <w:spacing w:val="-7"/>
        </w:rPr>
        <w:t> </w:t>
      </w:r>
      <w:r>
        <w:rPr>
          <w:color w:val="231F20"/>
        </w:rPr>
        <w:t>выяснить их мнение. Например, можно использовать метод «трое до меня». Это означает, что на</w:t>
      </w:r>
      <w:r>
        <w:rPr>
          <w:color w:val="231F20"/>
          <w:spacing w:val="-3"/>
        </w:rPr>
        <w:t> </w:t>
      </w:r>
      <w:r>
        <w:rPr>
          <w:color w:val="231F20"/>
        </w:rPr>
        <w:t>заданный</w:t>
      </w:r>
      <w:r>
        <w:rPr>
          <w:color w:val="231F20"/>
          <w:spacing w:val="-4"/>
        </w:rPr>
        <w:t> </w:t>
      </w:r>
      <w:r>
        <w:rPr>
          <w:color w:val="231F20"/>
        </w:rPr>
        <w:t>вопрос</w:t>
      </w:r>
      <w:r>
        <w:rPr>
          <w:color w:val="231F20"/>
          <w:spacing w:val="-4"/>
        </w:rPr>
        <w:t> </w:t>
      </w:r>
      <w:r>
        <w:rPr>
          <w:color w:val="231F20"/>
        </w:rPr>
        <w:t>учитель</w:t>
      </w:r>
      <w:r>
        <w:rPr>
          <w:color w:val="231F20"/>
          <w:spacing w:val="-4"/>
        </w:rPr>
        <w:t> </w:t>
      </w:r>
      <w:r>
        <w:rPr>
          <w:color w:val="231F20"/>
        </w:rPr>
        <w:t>ответит</w:t>
      </w:r>
      <w:r>
        <w:rPr>
          <w:color w:val="231F20"/>
          <w:spacing w:val="-4"/>
        </w:rPr>
        <w:t> </w:t>
      </w:r>
      <w:r>
        <w:rPr>
          <w:color w:val="231F20"/>
        </w:rPr>
        <w:t>только</w:t>
      </w:r>
      <w:r>
        <w:rPr>
          <w:color w:val="231F20"/>
          <w:spacing w:val="-4"/>
        </w:rPr>
        <w:t> </w:t>
      </w:r>
      <w:r>
        <w:rPr>
          <w:color w:val="231F20"/>
        </w:rPr>
        <w:t>после</w:t>
      </w:r>
      <w:r>
        <w:rPr>
          <w:color w:val="231F20"/>
          <w:spacing w:val="-4"/>
        </w:rPr>
        <w:t> </w:t>
      </w:r>
      <w:r>
        <w:rPr>
          <w:color w:val="231F20"/>
        </w:rPr>
        <w:t>того,</w:t>
      </w:r>
      <w:r>
        <w:rPr>
          <w:color w:val="231F20"/>
          <w:spacing w:val="-4"/>
        </w:rPr>
        <w:t> </w:t>
      </w:r>
      <w:r>
        <w:rPr>
          <w:color w:val="231F20"/>
        </w:rPr>
        <w:t>как</w:t>
      </w:r>
      <w:r>
        <w:rPr>
          <w:color w:val="231F20"/>
          <w:spacing w:val="-4"/>
        </w:rPr>
        <w:t> </w:t>
      </w:r>
      <w:r>
        <w:rPr>
          <w:color w:val="231F20"/>
        </w:rPr>
        <w:t>три</w:t>
      </w:r>
      <w:r>
        <w:rPr>
          <w:color w:val="231F20"/>
          <w:spacing w:val="-4"/>
        </w:rPr>
        <w:t> </w:t>
      </w:r>
      <w:r>
        <w:rPr>
          <w:color w:val="231F20"/>
        </w:rPr>
        <w:t>ученика</w:t>
      </w:r>
      <w:r>
        <w:rPr>
          <w:color w:val="231F20"/>
          <w:spacing w:val="-3"/>
        </w:rPr>
        <w:t> </w:t>
      </w:r>
      <w:r>
        <w:rPr>
          <w:color w:val="231F20"/>
        </w:rPr>
        <w:t>попытаются сами на него ответить. То есть учитель, безусловно, сохраняет свою роль источника знаний,</w:t>
      </w:r>
      <w:r>
        <w:rPr>
          <w:color w:val="231F20"/>
          <w:spacing w:val="-6"/>
        </w:rPr>
        <w:t> </w:t>
      </w:r>
      <w:r>
        <w:rPr>
          <w:color w:val="231F20"/>
        </w:rPr>
        <w:t>но</w:t>
      </w:r>
      <w:r>
        <w:rPr>
          <w:color w:val="231F20"/>
          <w:spacing w:val="-6"/>
        </w:rPr>
        <w:t> </w:t>
      </w:r>
      <w:r>
        <w:rPr>
          <w:color w:val="231F20"/>
        </w:rPr>
        <w:t>показывает,</w:t>
      </w:r>
      <w:r>
        <w:rPr>
          <w:color w:val="231F20"/>
          <w:spacing w:val="-6"/>
        </w:rPr>
        <w:t> </w:t>
      </w:r>
      <w:r>
        <w:rPr>
          <w:color w:val="231F20"/>
        </w:rPr>
        <w:t>что</w:t>
      </w:r>
      <w:r>
        <w:rPr>
          <w:color w:val="231F20"/>
          <w:spacing w:val="-6"/>
        </w:rPr>
        <w:t> </w:t>
      </w:r>
      <w:r>
        <w:rPr>
          <w:color w:val="231F20"/>
        </w:rPr>
        <w:t>он</w:t>
      </w:r>
      <w:r>
        <w:rPr>
          <w:color w:val="231F20"/>
          <w:spacing w:val="-6"/>
        </w:rPr>
        <w:t> </w:t>
      </w:r>
      <w:r>
        <w:rPr>
          <w:color w:val="231F20"/>
        </w:rPr>
        <w:t>не</w:t>
      </w:r>
      <w:r>
        <w:rPr>
          <w:color w:val="231F20"/>
          <w:spacing w:val="-6"/>
        </w:rPr>
        <w:t> </w:t>
      </w:r>
      <w:r>
        <w:rPr>
          <w:color w:val="231F20"/>
        </w:rPr>
        <w:t>единственный,</w:t>
      </w:r>
      <w:r>
        <w:rPr>
          <w:color w:val="231F20"/>
          <w:spacing w:val="-6"/>
        </w:rPr>
        <w:t> </w:t>
      </w:r>
      <w:r>
        <w:rPr>
          <w:color w:val="231F20"/>
        </w:rPr>
        <w:t>кто</w:t>
      </w:r>
      <w:r>
        <w:rPr>
          <w:color w:val="231F20"/>
          <w:spacing w:val="-6"/>
        </w:rPr>
        <w:t> </w:t>
      </w:r>
      <w:r>
        <w:rPr>
          <w:color w:val="231F20"/>
        </w:rPr>
        <w:t>ими</w:t>
      </w:r>
      <w:r>
        <w:rPr>
          <w:color w:val="231F20"/>
          <w:spacing w:val="-6"/>
        </w:rPr>
        <w:t> </w:t>
      </w:r>
      <w:r>
        <w:rPr>
          <w:color w:val="231F20"/>
        </w:rPr>
        <w:t>обладает.</w:t>
      </w:r>
      <w:r>
        <w:rPr>
          <w:color w:val="231F20"/>
          <w:spacing w:val="-6"/>
        </w:rPr>
        <w:t> </w:t>
      </w:r>
      <w:r>
        <w:rPr>
          <w:color w:val="231F20"/>
        </w:rPr>
        <w:t>Он</w:t>
      </w:r>
      <w:r>
        <w:rPr>
          <w:color w:val="231F20"/>
          <w:spacing w:val="-6"/>
        </w:rPr>
        <w:t> </w:t>
      </w:r>
      <w:r>
        <w:rPr>
          <w:color w:val="231F20"/>
        </w:rPr>
        <w:t>дает</w:t>
      </w:r>
      <w:r>
        <w:rPr>
          <w:color w:val="231F20"/>
          <w:spacing w:val="-6"/>
        </w:rPr>
        <w:t> </w:t>
      </w:r>
      <w:r>
        <w:rPr>
          <w:color w:val="231F20"/>
        </w:rPr>
        <w:t>ученикам понять,</w:t>
      </w:r>
      <w:r>
        <w:rPr>
          <w:color w:val="231F20"/>
          <w:spacing w:val="-1"/>
        </w:rPr>
        <w:t> </w:t>
      </w:r>
      <w:r>
        <w:rPr>
          <w:color w:val="231F20"/>
        </w:rPr>
        <w:t>что</w:t>
      </w:r>
      <w:r>
        <w:rPr>
          <w:color w:val="231F20"/>
          <w:spacing w:val="-1"/>
        </w:rPr>
        <w:t> </w:t>
      </w:r>
      <w:r>
        <w:rPr>
          <w:color w:val="231F20"/>
        </w:rPr>
        <w:t>с</w:t>
      </w:r>
      <w:r>
        <w:rPr>
          <w:color w:val="231F20"/>
          <w:spacing w:val="-1"/>
        </w:rPr>
        <w:t> </w:t>
      </w:r>
      <w:r>
        <w:rPr>
          <w:color w:val="231F20"/>
        </w:rPr>
        <w:t>помощью</w:t>
      </w:r>
      <w:r>
        <w:rPr>
          <w:color w:val="231F20"/>
          <w:spacing w:val="-1"/>
        </w:rPr>
        <w:t> </w:t>
      </w:r>
      <w:r>
        <w:rPr>
          <w:color w:val="231F20"/>
        </w:rPr>
        <w:t>друг</w:t>
      </w:r>
      <w:r>
        <w:rPr>
          <w:color w:val="231F20"/>
          <w:spacing w:val="-1"/>
        </w:rPr>
        <w:t> </w:t>
      </w:r>
      <w:r>
        <w:rPr>
          <w:color w:val="231F20"/>
        </w:rPr>
        <w:t>друга</w:t>
      </w:r>
      <w:r>
        <w:rPr>
          <w:color w:val="231F20"/>
          <w:spacing w:val="-1"/>
        </w:rPr>
        <w:t> </w:t>
      </w:r>
      <w:r>
        <w:rPr>
          <w:color w:val="231F20"/>
        </w:rPr>
        <w:t>они</w:t>
      </w:r>
      <w:r>
        <w:rPr>
          <w:color w:val="231F20"/>
          <w:spacing w:val="-1"/>
        </w:rPr>
        <w:t> </w:t>
      </w:r>
      <w:r>
        <w:rPr>
          <w:color w:val="231F20"/>
        </w:rPr>
        <w:t>могут</w:t>
      </w:r>
      <w:r>
        <w:rPr>
          <w:color w:val="231F20"/>
          <w:spacing w:val="-1"/>
        </w:rPr>
        <w:t> </w:t>
      </w:r>
      <w:r>
        <w:rPr>
          <w:color w:val="231F20"/>
        </w:rPr>
        <w:t>сами</w:t>
      </w:r>
      <w:r>
        <w:rPr>
          <w:color w:val="231F20"/>
          <w:spacing w:val="-1"/>
        </w:rPr>
        <w:t> </w:t>
      </w:r>
      <w:r>
        <w:rPr>
          <w:color w:val="231F20"/>
        </w:rPr>
        <w:t>справиться</w:t>
      </w:r>
      <w:r>
        <w:rPr>
          <w:color w:val="231F20"/>
          <w:spacing w:val="-1"/>
        </w:rPr>
        <w:t> </w:t>
      </w:r>
      <w:r>
        <w:rPr>
          <w:color w:val="231F20"/>
        </w:rPr>
        <w:t>практически</w:t>
      </w:r>
      <w:r>
        <w:rPr>
          <w:color w:val="231F20"/>
          <w:spacing w:val="-1"/>
        </w:rPr>
        <w:t> </w:t>
      </w:r>
      <w:r>
        <w:rPr>
          <w:color w:val="231F20"/>
        </w:rPr>
        <w:t>с</w:t>
      </w:r>
      <w:r>
        <w:rPr>
          <w:color w:val="231F20"/>
          <w:spacing w:val="-1"/>
        </w:rPr>
        <w:t> </w:t>
      </w:r>
      <w:r>
        <w:rPr>
          <w:color w:val="231F20"/>
        </w:rPr>
        <w:t>любым вопросом или проблемой.</w:t>
      </w:r>
    </w:p>
    <w:p>
      <w:pPr>
        <w:pStyle w:val="BodyText"/>
        <w:spacing w:line="211" w:lineRule="exact"/>
        <w:ind w:left="425" w:right="0" w:firstLine="0"/>
      </w:pPr>
      <w:r>
        <w:rPr>
          <w:color w:val="231F20"/>
        </w:rPr>
        <w:t>Таким</w:t>
      </w:r>
      <w:r>
        <w:rPr>
          <w:color w:val="231F20"/>
          <w:spacing w:val="7"/>
        </w:rPr>
        <w:t> </w:t>
      </w:r>
      <w:r>
        <w:rPr>
          <w:color w:val="231F20"/>
        </w:rPr>
        <w:t>образом,</w:t>
      </w:r>
      <w:r>
        <w:rPr>
          <w:color w:val="231F20"/>
          <w:spacing w:val="8"/>
        </w:rPr>
        <w:t> </w:t>
      </w:r>
      <w:r>
        <w:rPr>
          <w:color w:val="231F20"/>
        </w:rPr>
        <w:t>роль</w:t>
      </w:r>
      <w:r>
        <w:rPr>
          <w:color w:val="231F20"/>
          <w:spacing w:val="8"/>
        </w:rPr>
        <w:t> </w:t>
      </w:r>
      <w:r>
        <w:rPr>
          <w:color w:val="231F20"/>
        </w:rPr>
        <w:t>учителя</w:t>
      </w:r>
      <w:r>
        <w:rPr>
          <w:color w:val="231F20"/>
          <w:spacing w:val="8"/>
        </w:rPr>
        <w:t> </w:t>
      </w:r>
      <w:r>
        <w:rPr>
          <w:color w:val="231F20"/>
        </w:rPr>
        <w:t>в</w:t>
      </w:r>
      <w:r>
        <w:rPr>
          <w:color w:val="231F20"/>
          <w:spacing w:val="8"/>
        </w:rPr>
        <w:t> </w:t>
      </w:r>
      <w:r>
        <w:rPr>
          <w:color w:val="231F20"/>
        </w:rPr>
        <w:t>классе</w:t>
      </w:r>
      <w:r>
        <w:rPr>
          <w:color w:val="231F20"/>
          <w:spacing w:val="8"/>
        </w:rPr>
        <w:t> </w:t>
      </w:r>
      <w:r>
        <w:rPr>
          <w:color w:val="231F20"/>
        </w:rPr>
        <w:t>–</w:t>
      </w:r>
      <w:r>
        <w:rPr>
          <w:color w:val="231F20"/>
          <w:spacing w:val="8"/>
        </w:rPr>
        <w:t> </w:t>
      </w:r>
      <w:r>
        <w:rPr>
          <w:color w:val="231F20"/>
        </w:rPr>
        <w:t>создание</w:t>
      </w:r>
      <w:r>
        <w:rPr>
          <w:color w:val="231F20"/>
          <w:spacing w:val="8"/>
        </w:rPr>
        <w:t> </w:t>
      </w:r>
      <w:r>
        <w:rPr>
          <w:color w:val="231F20"/>
        </w:rPr>
        <w:t>атмосферы</w:t>
      </w:r>
      <w:r>
        <w:rPr>
          <w:color w:val="231F20"/>
          <w:spacing w:val="8"/>
        </w:rPr>
        <w:t> </w:t>
      </w:r>
      <w:r>
        <w:rPr>
          <w:color w:val="231F20"/>
        </w:rPr>
        <w:t>и</w:t>
      </w:r>
      <w:r>
        <w:rPr>
          <w:color w:val="231F20"/>
          <w:spacing w:val="8"/>
        </w:rPr>
        <w:t> </w:t>
      </w:r>
      <w:r>
        <w:rPr>
          <w:color w:val="231F20"/>
        </w:rPr>
        <w:t>условий</w:t>
      </w:r>
      <w:r>
        <w:rPr>
          <w:color w:val="231F20"/>
          <w:spacing w:val="8"/>
        </w:rPr>
        <w:t> </w:t>
      </w:r>
      <w:r>
        <w:rPr>
          <w:color w:val="231F20"/>
        </w:rPr>
        <w:t>для</w:t>
      </w:r>
      <w:r>
        <w:rPr>
          <w:color w:val="231F20"/>
          <w:spacing w:val="8"/>
        </w:rPr>
        <w:t> </w:t>
      </w:r>
      <w:r>
        <w:rPr>
          <w:color w:val="231F20"/>
          <w:spacing w:val="-4"/>
        </w:rPr>
        <w:t>обу-</w:t>
      </w:r>
    </w:p>
    <w:p>
      <w:pPr>
        <w:pStyle w:val="BodyText"/>
        <w:spacing w:line="237" w:lineRule="auto" w:before="1"/>
        <w:ind w:firstLine="0"/>
      </w:pPr>
      <w:r>
        <w:rPr>
          <w:color w:val="231F20"/>
        </w:rPr>
        <w:t>чения.</w:t>
      </w:r>
      <w:r>
        <w:rPr>
          <w:color w:val="231F20"/>
          <w:spacing w:val="-5"/>
        </w:rPr>
        <w:t> </w:t>
      </w:r>
      <w:r>
        <w:rPr>
          <w:color w:val="231F20"/>
        </w:rPr>
        <w:t>Ответственность</w:t>
      </w:r>
      <w:r>
        <w:rPr>
          <w:color w:val="231F20"/>
          <w:spacing w:val="-5"/>
        </w:rPr>
        <w:t> </w:t>
      </w:r>
      <w:r>
        <w:rPr>
          <w:color w:val="231F20"/>
        </w:rPr>
        <w:t>за</w:t>
      </w:r>
      <w:r>
        <w:rPr>
          <w:color w:val="231F20"/>
          <w:spacing w:val="-5"/>
        </w:rPr>
        <w:t> </w:t>
      </w:r>
      <w:r>
        <w:rPr>
          <w:color w:val="231F20"/>
        </w:rPr>
        <w:t>результат</w:t>
      </w:r>
      <w:r>
        <w:rPr>
          <w:color w:val="231F20"/>
          <w:spacing w:val="-5"/>
        </w:rPr>
        <w:t> </w:t>
      </w:r>
      <w:r>
        <w:rPr>
          <w:color w:val="231F20"/>
        </w:rPr>
        <w:t>обучения</w:t>
      </w:r>
      <w:r>
        <w:rPr>
          <w:color w:val="231F20"/>
          <w:spacing w:val="-5"/>
        </w:rPr>
        <w:t> </w:t>
      </w:r>
      <w:r>
        <w:rPr>
          <w:color w:val="231F20"/>
        </w:rPr>
        <w:t>частично</w:t>
      </w:r>
      <w:r>
        <w:rPr>
          <w:color w:val="231F20"/>
          <w:spacing w:val="-5"/>
        </w:rPr>
        <w:t> </w:t>
      </w:r>
      <w:r>
        <w:rPr>
          <w:color w:val="231F20"/>
        </w:rPr>
        <w:t>ложится</w:t>
      </w:r>
      <w:r>
        <w:rPr>
          <w:color w:val="231F20"/>
          <w:spacing w:val="-5"/>
        </w:rPr>
        <w:t> </w:t>
      </w:r>
      <w:r>
        <w:rPr>
          <w:color w:val="231F20"/>
        </w:rPr>
        <w:t>на</w:t>
      </w:r>
      <w:r>
        <w:rPr>
          <w:color w:val="231F20"/>
          <w:spacing w:val="-5"/>
        </w:rPr>
        <w:t> </w:t>
      </w:r>
      <w:r>
        <w:rPr>
          <w:color w:val="231F20"/>
        </w:rPr>
        <w:t>самих</w:t>
      </w:r>
      <w:r>
        <w:rPr>
          <w:color w:val="231F20"/>
          <w:spacing w:val="-5"/>
        </w:rPr>
        <w:t> </w:t>
      </w:r>
      <w:r>
        <w:rPr>
          <w:color w:val="231F20"/>
        </w:rPr>
        <w:t>учеников, они должны понимать, что у них есть все возможности эффективно решать постав- </w:t>
      </w:r>
      <w:r>
        <w:rPr>
          <w:color w:val="231F20"/>
          <w:spacing w:val="-2"/>
        </w:rPr>
        <w:t>ленную</w:t>
      </w:r>
      <w:r>
        <w:rPr>
          <w:color w:val="231F20"/>
          <w:spacing w:val="-4"/>
        </w:rPr>
        <w:t> </w:t>
      </w:r>
      <w:r>
        <w:rPr>
          <w:color w:val="231F20"/>
          <w:spacing w:val="-2"/>
        </w:rPr>
        <w:t>задачу,</w:t>
      </w:r>
      <w:r>
        <w:rPr>
          <w:color w:val="231F20"/>
          <w:spacing w:val="-4"/>
        </w:rPr>
        <w:t> </w:t>
      </w:r>
      <w:r>
        <w:rPr>
          <w:color w:val="231F20"/>
          <w:spacing w:val="-2"/>
        </w:rPr>
        <w:t>влияя</w:t>
      </w:r>
      <w:r>
        <w:rPr>
          <w:color w:val="231F20"/>
          <w:spacing w:val="-4"/>
        </w:rPr>
        <w:t> </w:t>
      </w:r>
      <w:r>
        <w:rPr>
          <w:color w:val="231F20"/>
          <w:spacing w:val="-2"/>
        </w:rPr>
        <w:t>на</w:t>
      </w:r>
      <w:r>
        <w:rPr>
          <w:color w:val="231F20"/>
          <w:spacing w:val="-4"/>
        </w:rPr>
        <w:t> </w:t>
      </w:r>
      <w:r>
        <w:rPr>
          <w:color w:val="231F20"/>
          <w:spacing w:val="-2"/>
        </w:rPr>
        <w:t>групповой</w:t>
      </w:r>
      <w:r>
        <w:rPr>
          <w:color w:val="231F20"/>
          <w:spacing w:val="-4"/>
        </w:rPr>
        <w:t> </w:t>
      </w:r>
      <w:r>
        <w:rPr>
          <w:color w:val="231F20"/>
          <w:spacing w:val="-2"/>
        </w:rPr>
        <w:t>процесс.</w:t>
      </w:r>
      <w:r>
        <w:rPr>
          <w:color w:val="231F20"/>
          <w:spacing w:val="-4"/>
        </w:rPr>
        <w:t> </w:t>
      </w:r>
      <w:r>
        <w:rPr>
          <w:color w:val="231F20"/>
          <w:spacing w:val="-2"/>
        </w:rPr>
        <w:t>Задача</w:t>
      </w:r>
      <w:r>
        <w:rPr>
          <w:color w:val="231F20"/>
          <w:spacing w:val="-4"/>
        </w:rPr>
        <w:t> </w:t>
      </w:r>
      <w:r>
        <w:rPr>
          <w:color w:val="231F20"/>
          <w:spacing w:val="-2"/>
        </w:rPr>
        <w:t>учителя</w:t>
      </w:r>
      <w:r>
        <w:rPr>
          <w:color w:val="231F20"/>
          <w:spacing w:val="-4"/>
        </w:rPr>
        <w:t> </w:t>
      </w:r>
      <w:r>
        <w:rPr>
          <w:color w:val="231F20"/>
          <w:spacing w:val="-2"/>
        </w:rPr>
        <w:t>–</w:t>
      </w:r>
      <w:r>
        <w:rPr>
          <w:color w:val="231F20"/>
          <w:spacing w:val="-4"/>
        </w:rPr>
        <w:t> </w:t>
      </w:r>
      <w:r>
        <w:rPr>
          <w:color w:val="231F20"/>
          <w:spacing w:val="-2"/>
        </w:rPr>
        <w:t>направить</w:t>
      </w:r>
      <w:r>
        <w:rPr>
          <w:color w:val="231F20"/>
          <w:spacing w:val="-4"/>
        </w:rPr>
        <w:t> </w:t>
      </w:r>
      <w:r>
        <w:rPr>
          <w:color w:val="231F20"/>
          <w:spacing w:val="-2"/>
        </w:rPr>
        <w:t>работу</w:t>
      </w:r>
      <w:r>
        <w:rPr>
          <w:color w:val="231F20"/>
          <w:spacing w:val="-4"/>
        </w:rPr>
        <w:t> </w:t>
      </w:r>
      <w:r>
        <w:rPr>
          <w:color w:val="231F20"/>
          <w:spacing w:val="-2"/>
        </w:rPr>
        <w:t>групп </w:t>
      </w:r>
      <w:r>
        <w:rPr>
          <w:color w:val="231F20"/>
        </w:rPr>
        <w:t>в</w:t>
      </w:r>
      <w:r>
        <w:rPr>
          <w:color w:val="231F20"/>
          <w:spacing w:val="-7"/>
        </w:rPr>
        <w:t> </w:t>
      </w:r>
      <w:r>
        <w:rPr>
          <w:color w:val="231F20"/>
        </w:rPr>
        <w:t>нужное</w:t>
      </w:r>
      <w:r>
        <w:rPr>
          <w:color w:val="231F20"/>
          <w:spacing w:val="-7"/>
        </w:rPr>
        <w:t> </w:t>
      </w:r>
      <w:r>
        <w:rPr>
          <w:color w:val="231F20"/>
        </w:rPr>
        <w:t>русло,</w:t>
      </w:r>
      <w:r>
        <w:rPr>
          <w:color w:val="231F20"/>
          <w:spacing w:val="-7"/>
        </w:rPr>
        <w:t> </w:t>
      </w:r>
      <w:r>
        <w:rPr>
          <w:color w:val="231F20"/>
        </w:rPr>
        <w:t>и</w:t>
      </w:r>
      <w:r>
        <w:rPr>
          <w:color w:val="231F20"/>
          <w:spacing w:val="-7"/>
        </w:rPr>
        <w:t> </w:t>
      </w:r>
      <w:r>
        <w:rPr>
          <w:color w:val="231F20"/>
        </w:rPr>
        <w:t>для</w:t>
      </w:r>
      <w:r>
        <w:rPr>
          <w:color w:val="231F20"/>
          <w:spacing w:val="-7"/>
        </w:rPr>
        <w:t> </w:t>
      </w:r>
      <w:r>
        <w:rPr>
          <w:color w:val="231F20"/>
        </w:rPr>
        <w:t>решения</w:t>
      </w:r>
      <w:r>
        <w:rPr>
          <w:color w:val="231F20"/>
          <w:spacing w:val="-7"/>
        </w:rPr>
        <w:t> </w:t>
      </w:r>
      <w:r>
        <w:rPr>
          <w:color w:val="231F20"/>
        </w:rPr>
        <w:t>этой</w:t>
      </w:r>
      <w:r>
        <w:rPr>
          <w:color w:val="231F20"/>
          <w:spacing w:val="-7"/>
        </w:rPr>
        <w:t> </w:t>
      </w:r>
      <w:r>
        <w:rPr>
          <w:color w:val="231F20"/>
        </w:rPr>
        <w:t>задачи</w:t>
      </w:r>
      <w:r>
        <w:rPr>
          <w:color w:val="231F20"/>
          <w:spacing w:val="-7"/>
        </w:rPr>
        <w:t> </w:t>
      </w:r>
      <w:r>
        <w:rPr>
          <w:color w:val="231F20"/>
        </w:rPr>
        <w:t>ему</w:t>
      </w:r>
      <w:r>
        <w:rPr>
          <w:color w:val="231F20"/>
          <w:spacing w:val="-7"/>
        </w:rPr>
        <w:t> </w:t>
      </w:r>
      <w:r>
        <w:rPr>
          <w:color w:val="231F20"/>
        </w:rPr>
        <w:t>нужна</w:t>
      </w:r>
      <w:r>
        <w:rPr>
          <w:color w:val="231F20"/>
          <w:spacing w:val="-7"/>
        </w:rPr>
        <w:t> </w:t>
      </w:r>
      <w:r>
        <w:rPr>
          <w:color w:val="231F20"/>
        </w:rPr>
        <w:t>помощь</w:t>
      </w:r>
      <w:r>
        <w:rPr>
          <w:color w:val="231F20"/>
          <w:spacing w:val="-7"/>
        </w:rPr>
        <w:t> </w:t>
      </w:r>
      <w:r>
        <w:rPr>
          <w:color w:val="231F20"/>
        </w:rPr>
        <w:t>руководителей</w:t>
      </w:r>
      <w:r>
        <w:rPr>
          <w:color w:val="231F20"/>
          <w:spacing w:val="-7"/>
        </w:rPr>
        <w:t> </w:t>
      </w:r>
      <w:r>
        <w:rPr>
          <w:color w:val="231F20"/>
        </w:rPr>
        <w:t>групп.</w:t>
      </w:r>
    </w:p>
    <w:p>
      <w:pPr>
        <w:pStyle w:val="ListParagraph"/>
        <w:numPr>
          <w:ilvl w:val="0"/>
          <w:numId w:val="317"/>
        </w:numPr>
        <w:tabs>
          <w:tab w:pos="423" w:val="left" w:leader="none"/>
        </w:tabs>
        <w:spacing w:line="228" w:lineRule="exact" w:before="52" w:after="0"/>
        <w:ind w:left="423" w:right="0" w:hanging="282"/>
        <w:jc w:val="both"/>
        <w:rPr>
          <w:i/>
          <w:sz w:val="20"/>
        </w:rPr>
      </w:pPr>
      <w:r>
        <w:rPr>
          <w:i/>
          <w:color w:val="231F20"/>
          <w:sz w:val="20"/>
        </w:rPr>
        <w:t>Лидеры</w:t>
      </w:r>
      <w:r>
        <w:rPr>
          <w:i/>
          <w:color w:val="231F20"/>
          <w:spacing w:val="-1"/>
          <w:sz w:val="20"/>
        </w:rPr>
        <w:t> </w:t>
      </w:r>
      <w:r>
        <w:rPr>
          <w:i/>
          <w:color w:val="231F20"/>
          <w:spacing w:val="-2"/>
          <w:sz w:val="20"/>
        </w:rPr>
        <w:t>групп</w:t>
      </w:r>
    </w:p>
    <w:p>
      <w:pPr>
        <w:pStyle w:val="BodyText"/>
        <w:spacing w:line="235" w:lineRule="auto" w:before="1"/>
      </w:pPr>
      <w:r>
        <w:rPr>
          <w:color w:val="231F20"/>
        </w:rPr>
        <w:t>Важным</w:t>
      </w:r>
      <w:r>
        <w:rPr>
          <w:color w:val="231F20"/>
          <w:spacing w:val="-1"/>
        </w:rPr>
        <w:t> </w:t>
      </w:r>
      <w:r>
        <w:rPr>
          <w:color w:val="231F20"/>
        </w:rPr>
        <w:t>аспектом</w:t>
      </w:r>
      <w:r>
        <w:rPr>
          <w:color w:val="231F20"/>
          <w:spacing w:val="-1"/>
        </w:rPr>
        <w:t> </w:t>
      </w:r>
      <w:r>
        <w:rPr>
          <w:color w:val="231F20"/>
        </w:rPr>
        <w:t>работы</w:t>
      </w:r>
      <w:r>
        <w:rPr>
          <w:color w:val="231F20"/>
          <w:spacing w:val="-1"/>
        </w:rPr>
        <w:t> </w:t>
      </w:r>
      <w:r>
        <w:rPr>
          <w:color w:val="231F20"/>
        </w:rPr>
        <w:t>учителя</w:t>
      </w:r>
      <w:r>
        <w:rPr>
          <w:color w:val="231F20"/>
          <w:spacing w:val="-1"/>
        </w:rPr>
        <w:t> </w:t>
      </w:r>
      <w:r>
        <w:rPr>
          <w:color w:val="231F20"/>
        </w:rPr>
        <w:t>в</w:t>
      </w:r>
      <w:r>
        <w:rPr>
          <w:color w:val="231F20"/>
          <w:spacing w:val="-1"/>
        </w:rPr>
        <w:t> </w:t>
      </w:r>
      <w:r>
        <w:rPr>
          <w:color w:val="231F20"/>
        </w:rPr>
        <w:t>мозаичной</w:t>
      </w:r>
      <w:r>
        <w:rPr>
          <w:color w:val="231F20"/>
          <w:spacing w:val="-1"/>
        </w:rPr>
        <w:t> </w:t>
      </w:r>
      <w:r>
        <w:rPr>
          <w:color w:val="231F20"/>
        </w:rPr>
        <w:t>группе</w:t>
      </w:r>
      <w:r>
        <w:rPr>
          <w:color w:val="231F20"/>
          <w:spacing w:val="-1"/>
        </w:rPr>
        <w:t> </w:t>
      </w:r>
      <w:r>
        <w:rPr>
          <w:color w:val="231F20"/>
        </w:rPr>
        <w:t>является</w:t>
      </w:r>
      <w:r>
        <w:rPr>
          <w:color w:val="231F20"/>
          <w:spacing w:val="-1"/>
        </w:rPr>
        <w:t> </w:t>
      </w:r>
      <w:r>
        <w:rPr>
          <w:color w:val="231F20"/>
        </w:rPr>
        <w:t>тренинг</w:t>
      </w:r>
      <w:r>
        <w:rPr>
          <w:color w:val="231F20"/>
          <w:spacing w:val="-1"/>
        </w:rPr>
        <w:t> </w:t>
      </w:r>
      <w:r>
        <w:rPr>
          <w:color w:val="231F20"/>
        </w:rPr>
        <w:t>лидеров групп. Даже имея помощника, учитель не может находиться везде и всюду в одно и то же время. Поэтому очень важна роль руководителей групп, которые ассистируют учителю, транслируют навыки работы в группе и организуют эффективное взаимо- действие между всеми участниками.</w:t>
      </w:r>
    </w:p>
    <w:p>
      <w:pPr>
        <w:pStyle w:val="BodyText"/>
        <w:spacing w:line="235" w:lineRule="auto" w:before="3"/>
      </w:pPr>
      <w:r>
        <w:rPr>
          <w:color w:val="231F20"/>
        </w:rPr>
        <w:t>Для того чтобы обязанности и особенности исполнения роли лидера в мозаич- ной</w:t>
      </w:r>
      <w:r>
        <w:rPr>
          <w:color w:val="231F20"/>
          <w:spacing w:val="9"/>
        </w:rPr>
        <w:t> </w:t>
      </w:r>
      <w:r>
        <w:rPr>
          <w:color w:val="231F20"/>
        </w:rPr>
        <w:t>группе</w:t>
      </w:r>
      <w:r>
        <w:rPr>
          <w:color w:val="231F20"/>
          <w:spacing w:val="12"/>
        </w:rPr>
        <w:t> </w:t>
      </w:r>
      <w:r>
        <w:rPr>
          <w:color w:val="231F20"/>
        </w:rPr>
        <w:t>стали</w:t>
      </w:r>
      <w:r>
        <w:rPr>
          <w:color w:val="231F20"/>
          <w:spacing w:val="12"/>
        </w:rPr>
        <w:t> </w:t>
      </w:r>
      <w:r>
        <w:rPr>
          <w:color w:val="231F20"/>
        </w:rPr>
        <w:t>ясны</w:t>
      </w:r>
      <w:r>
        <w:rPr>
          <w:color w:val="231F20"/>
          <w:spacing w:val="12"/>
        </w:rPr>
        <w:t> </w:t>
      </w:r>
      <w:r>
        <w:rPr>
          <w:color w:val="231F20"/>
        </w:rPr>
        <w:t>всем</w:t>
      </w:r>
      <w:r>
        <w:rPr>
          <w:color w:val="231F20"/>
          <w:spacing w:val="12"/>
        </w:rPr>
        <w:t> </w:t>
      </w:r>
      <w:r>
        <w:rPr>
          <w:color w:val="231F20"/>
        </w:rPr>
        <w:t>участникам</w:t>
      </w:r>
      <w:r>
        <w:rPr>
          <w:color w:val="231F20"/>
          <w:spacing w:val="12"/>
        </w:rPr>
        <w:t> </w:t>
      </w:r>
      <w:r>
        <w:rPr>
          <w:color w:val="231F20"/>
        </w:rPr>
        <w:t>процесса,</w:t>
      </w:r>
      <w:r>
        <w:rPr>
          <w:color w:val="231F20"/>
          <w:spacing w:val="12"/>
        </w:rPr>
        <w:t> </w:t>
      </w:r>
      <w:r>
        <w:rPr>
          <w:color w:val="231F20"/>
        </w:rPr>
        <w:t>можно</w:t>
      </w:r>
      <w:r>
        <w:rPr>
          <w:color w:val="231F20"/>
          <w:spacing w:val="12"/>
        </w:rPr>
        <w:t> </w:t>
      </w:r>
      <w:r>
        <w:rPr>
          <w:color w:val="231F20"/>
        </w:rPr>
        <w:t>предложить</w:t>
      </w:r>
      <w:r>
        <w:rPr>
          <w:color w:val="231F20"/>
          <w:spacing w:val="12"/>
        </w:rPr>
        <w:t> </w:t>
      </w:r>
      <w:r>
        <w:rPr>
          <w:color w:val="231F20"/>
        </w:rPr>
        <w:t>ученикам</w:t>
      </w:r>
      <w:r>
        <w:rPr>
          <w:color w:val="231F20"/>
          <w:spacing w:val="12"/>
        </w:rPr>
        <w:t> </w:t>
      </w:r>
      <w:r>
        <w:rPr>
          <w:color w:val="231F20"/>
          <w:spacing w:val="-5"/>
        </w:rPr>
        <w:t>по</w:t>
      </w:r>
    </w:p>
    <w:p>
      <w:pPr>
        <w:pStyle w:val="BodyText"/>
        <w:spacing w:after="0" w:line="235" w:lineRule="auto"/>
        <w:sectPr>
          <w:pgSz w:w="8400" w:h="11910"/>
          <w:pgMar w:header="0" w:footer="530" w:top="400" w:bottom="74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6"/>
          <w:sz w:val="18"/>
        </w:rPr>
        <w:t> </w:t>
      </w:r>
      <w:r>
        <w:rPr>
          <w:rFonts w:ascii="Georgia" w:hAnsi="Georgia"/>
          <w:color w:val="231F20"/>
          <w:sz w:val="18"/>
        </w:rPr>
        <w:t>Организация</w:t>
      </w:r>
      <w:r>
        <w:rPr>
          <w:rFonts w:ascii="Georgia" w:hAnsi="Georgia"/>
          <w:color w:val="231F20"/>
          <w:spacing w:val="7"/>
          <w:sz w:val="18"/>
        </w:rPr>
        <w:t> </w:t>
      </w:r>
      <w:r>
        <w:rPr>
          <w:rFonts w:ascii="Georgia" w:hAnsi="Georgia"/>
          <w:color w:val="231F20"/>
          <w:sz w:val="18"/>
        </w:rPr>
        <w:t>групповой</w:t>
      </w:r>
      <w:r>
        <w:rPr>
          <w:rFonts w:ascii="Georgia" w:hAnsi="Georgia"/>
          <w:color w:val="231F20"/>
          <w:spacing w:val="7"/>
          <w:sz w:val="18"/>
        </w:rPr>
        <w:t> </w:t>
      </w:r>
      <w:r>
        <w:rPr>
          <w:rFonts w:ascii="Georgia" w:hAnsi="Georgia"/>
          <w:color w:val="231F20"/>
          <w:sz w:val="18"/>
        </w:rPr>
        <w:t>учебной</w:t>
      </w:r>
      <w:r>
        <w:rPr>
          <w:rFonts w:ascii="Georgia" w:hAnsi="Georgia"/>
          <w:color w:val="231F20"/>
          <w:spacing w:val="6"/>
          <w:sz w:val="18"/>
        </w:rPr>
        <w:t> </w:t>
      </w:r>
      <w:r>
        <w:rPr>
          <w:rFonts w:ascii="Georgia" w:hAnsi="Georgia"/>
          <w:color w:val="231F20"/>
          <w:sz w:val="18"/>
        </w:rPr>
        <w:t>работы</w:t>
      </w:r>
      <w:r>
        <w:rPr>
          <w:rFonts w:ascii="Georgia" w:hAnsi="Georgia"/>
          <w:color w:val="231F20"/>
          <w:spacing w:val="7"/>
          <w:sz w:val="18"/>
        </w:rPr>
        <w:t> </w:t>
      </w:r>
      <w:r>
        <w:rPr>
          <w:rFonts w:ascii="Georgia" w:hAnsi="Georgia"/>
          <w:color w:val="231F20"/>
          <w:sz w:val="18"/>
        </w:rPr>
        <w:t>учащихся</w:t>
      </w:r>
      <w:r>
        <w:rPr>
          <w:rFonts w:ascii="Georgia" w:hAnsi="Georgia"/>
          <w:color w:val="231F20"/>
          <w:spacing w:val="7"/>
          <w:sz w:val="18"/>
        </w:rPr>
        <w:t> </w:t>
      </w:r>
      <w:r>
        <w:rPr>
          <w:rFonts w:ascii="Georgia" w:hAnsi="Georgia"/>
          <w:color w:val="231F20"/>
          <w:sz w:val="18"/>
        </w:rPr>
        <w:t>в</w:t>
      </w:r>
      <w:r>
        <w:rPr>
          <w:rFonts w:ascii="Georgia" w:hAnsi="Georgia"/>
          <w:color w:val="231F20"/>
          <w:spacing w:val="6"/>
          <w:sz w:val="18"/>
        </w:rPr>
        <w:t> </w:t>
      </w:r>
      <w:r>
        <w:rPr>
          <w:rFonts w:ascii="Georgia" w:hAnsi="Georgia"/>
          <w:color w:val="231F20"/>
          <w:sz w:val="18"/>
        </w:rPr>
        <w:t>поликультурном</w:t>
      </w:r>
      <w:r>
        <w:rPr>
          <w:rFonts w:ascii="Georgia" w:hAnsi="Georgia"/>
          <w:color w:val="231F20"/>
          <w:spacing w:val="7"/>
          <w:sz w:val="18"/>
        </w:rPr>
        <w:t> </w:t>
      </w:r>
      <w:r>
        <w:rPr>
          <w:rFonts w:ascii="Georgia" w:hAnsi="Georgia"/>
          <w:color w:val="231F20"/>
          <w:spacing w:val="-2"/>
          <w:sz w:val="18"/>
        </w:rPr>
        <w:t>классе...</w:t>
      </w:r>
    </w:p>
    <w:p>
      <w:pPr>
        <w:pStyle w:val="BodyText"/>
        <w:spacing w:line="235" w:lineRule="auto" w:before="116"/>
        <w:ind w:firstLine="0"/>
      </w:pPr>
      <w:r>
        <w:rPr>
          <w:color w:val="231F20"/>
        </w:rPr>
        <w:t>прошествии нескольких дней работы составить список основных функций лидера группы.</w:t>
      </w:r>
      <w:r>
        <w:rPr>
          <w:color w:val="231F20"/>
          <w:spacing w:val="-8"/>
        </w:rPr>
        <w:t> </w:t>
      </w:r>
      <w:r>
        <w:rPr>
          <w:color w:val="231F20"/>
        </w:rPr>
        <w:t>Например:</w:t>
      </w:r>
      <w:r>
        <w:rPr>
          <w:color w:val="231F20"/>
          <w:spacing w:val="-8"/>
        </w:rPr>
        <w:t> </w:t>
      </w:r>
      <w:r>
        <w:rPr>
          <w:color w:val="231F20"/>
        </w:rPr>
        <w:t>помогать</w:t>
      </w:r>
      <w:r>
        <w:rPr>
          <w:color w:val="231F20"/>
          <w:spacing w:val="-8"/>
        </w:rPr>
        <w:t> </w:t>
      </w:r>
      <w:r>
        <w:rPr>
          <w:color w:val="231F20"/>
        </w:rPr>
        <w:t>организовать</w:t>
      </w:r>
      <w:r>
        <w:rPr>
          <w:color w:val="231F20"/>
          <w:spacing w:val="-8"/>
        </w:rPr>
        <w:t> </w:t>
      </w:r>
      <w:r>
        <w:rPr>
          <w:color w:val="231F20"/>
        </w:rPr>
        <w:t>работу</w:t>
      </w:r>
      <w:r>
        <w:rPr>
          <w:color w:val="231F20"/>
          <w:spacing w:val="-8"/>
        </w:rPr>
        <w:t> </w:t>
      </w:r>
      <w:r>
        <w:rPr>
          <w:color w:val="231F20"/>
        </w:rPr>
        <w:t>в</w:t>
      </w:r>
      <w:r>
        <w:rPr>
          <w:color w:val="231F20"/>
          <w:spacing w:val="-8"/>
        </w:rPr>
        <w:t> </w:t>
      </w:r>
      <w:r>
        <w:rPr>
          <w:color w:val="231F20"/>
        </w:rPr>
        <w:t>группе;</w:t>
      </w:r>
      <w:r>
        <w:rPr>
          <w:color w:val="231F20"/>
          <w:spacing w:val="-8"/>
        </w:rPr>
        <w:t> </w:t>
      </w:r>
      <w:r>
        <w:rPr>
          <w:color w:val="231F20"/>
        </w:rPr>
        <w:t>акцентировать</w:t>
      </w:r>
      <w:r>
        <w:rPr>
          <w:color w:val="231F20"/>
          <w:spacing w:val="-8"/>
        </w:rPr>
        <w:t> </w:t>
      </w:r>
      <w:r>
        <w:rPr>
          <w:color w:val="231F20"/>
        </w:rPr>
        <w:t>внимание группы на поставленной задаче; воодушевлять своим примером и положительным отношением к заданию; помогать разрешать конфликтные ситуации и др. Таким об- разом, благодаря этим спискам руководители групп будут четко знать, чего от них ждут, и стараться оправдывать ожидания. При этом все члены группы должны по- нимать, что лидер не снимает с них ответственность за групповой процесс, поэтому такой же список можно составить и для участников группы.</w:t>
      </w:r>
    </w:p>
    <w:p>
      <w:pPr>
        <w:pStyle w:val="BodyText"/>
        <w:spacing w:line="235" w:lineRule="auto" w:before="5"/>
      </w:pPr>
      <w:r>
        <w:rPr>
          <w:color w:val="231F20"/>
        </w:rPr>
        <w:t>Выбор</w:t>
      </w:r>
      <w:r>
        <w:rPr>
          <w:color w:val="231F20"/>
          <w:spacing w:val="-7"/>
        </w:rPr>
        <w:t> </w:t>
      </w:r>
      <w:r>
        <w:rPr>
          <w:color w:val="231F20"/>
        </w:rPr>
        <w:t>группового</w:t>
      </w:r>
      <w:r>
        <w:rPr>
          <w:color w:val="231F20"/>
          <w:spacing w:val="-6"/>
        </w:rPr>
        <w:t> </w:t>
      </w:r>
      <w:r>
        <w:rPr>
          <w:color w:val="231F20"/>
        </w:rPr>
        <w:t>лидера</w:t>
      </w:r>
      <w:r>
        <w:rPr>
          <w:color w:val="231F20"/>
          <w:spacing w:val="-6"/>
        </w:rPr>
        <w:t> </w:t>
      </w:r>
      <w:r>
        <w:rPr>
          <w:color w:val="231F20"/>
        </w:rPr>
        <w:t>–</w:t>
      </w:r>
      <w:r>
        <w:rPr>
          <w:color w:val="231F20"/>
          <w:spacing w:val="-6"/>
        </w:rPr>
        <w:t> </w:t>
      </w:r>
      <w:r>
        <w:rPr>
          <w:color w:val="231F20"/>
        </w:rPr>
        <w:t>важный</w:t>
      </w:r>
      <w:r>
        <w:rPr>
          <w:color w:val="231F20"/>
          <w:spacing w:val="-7"/>
        </w:rPr>
        <w:t> </w:t>
      </w:r>
      <w:r>
        <w:rPr>
          <w:color w:val="231F20"/>
        </w:rPr>
        <w:t>момент.</w:t>
      </w:r>
      <w:r>
        <w:rPr>
          <w:color w:val="231F20"/>
          <w:spacing w:val="-6"/>
        </w:rPr>
        <w:t> </w:t>
      </w:r>
      <w:r>
        <w:rPr>
          <w:color w:val="231F20"/>
        </w:rPr>
        <w:t>В</w:t>
      </w:r>
      <w:r>
        <w:rPr>
          <w:color w:val="231F20"/>
          <w:spacing w:val="-6"/>
        </w:rPr>
        <w:t> </w:t>
      </w:r>
      <w:r>
        <w:rPr>
          <w:color w:val="231F20"/>
        </w:rPr>
        <w:t>начале</w:t>
      </w:r>
      <w:r>
        <w:rPr>
          <w:color w:val="231F20"/>
          <w:spacing w:val="-6"/>
        </w:rPr>
        <w:t> </w:t>
      </w:r>
      <w:r>
        <w:rPr>
          <w:color w:val="231F20"/>
        </w:rPr>
        <w:t>работы</w:t>
      </w:r>
      <w:r>
        <w:rPr>
          <w:color w:val="231F20"/>
          <w:spacing w:val="-6"/>
        </w:rPr>
        <w:t> </w:t>
      </w:r>
      <w:r>
        <w:rPr>
          <w:color w:val="231F20"/>
        </w:rPr>
        <w:t>с</w:t>
      </w:r>
      <w:r>
        <w:rPr>
          <w:color w:val="231F20"/>
          <w:spacing w:val="-6"/>
        </w:rPr>
        <w:t> </w:t>
      </w:r>
      <w:r>
        <w:rPr>
          <w:color w:val="231F20"/>
        </w:rPr>
        <w:t>методикой</w:t>
      </w:r>
      <w:r>
        <w:rPr>
          <w:color w:val="231F20"/>
          <w:spacing w:val="-6"/>
        </w:rPr>
        <w:t> </w:t>
      </w:r>
      <w:r>
        <w:rPr>
          <w:color w:val="231F20"/>
        </w:rPr>
        <w:t>учите- </w:t>
      </w:r>
      <w:r>
        <w:rPr>
          <w:color w:val="231F20"/>
          <w:spacing w:val="-2"/>
        </w:rPr>
        <w:t>лю рекомендуется назначить руководителей групп, выбирая ответственных учеников, </w:t>
      </w:r>
      <w:r>
        <w:rPr>
          <w:color w:val="231F20"/>
        </w:rPr>
        <w:t>на</w:t>
      </w:r>
      <w:r>
        <w:rPr>
          <w:color w:val="231F20"/>
          <w:spacing w:val="-6"/>
        </w:rPr>
        <w:t> </w:t>
      </w:r>
      <w:r>
        <w:rPr>
          <w:color w:val="231F20"/>
        </w:rPr>
        <w:t>которых</w:t>
      </w:r>
      <w:r>
        <w:rPr>
          <w:color w:val="231F20"/>
          <w:spacing w:val="-6"/>
        </w:rPr>
        <w:t> </w:t>
      </w:r>
      <w:r>
        <w:rPr>
          <w:color w:val="231F20"/>
        </w:rPr>
        <w:t>можно</w:t>
      </w:r>
      <w:r>
        <w:rPr>
          <w:color w:val="231F20"/>
          <w:spacing w:val="-6"/>
        </w:rPr>
        <w:t> </w:t>
      </w:r>
      <w:r>
        <w:rPr>
          <w:color w:val="231F20"/>
        </w:rPr>
        <w:t>положиться.</w:t>
      </w:r>
      <w:r>
        <w:rPr>
          <w:color w:val="231F20"/>
          <w:spacing w:val="-6"/>
        </w:rPr>
        <w:t> </w:t>
      </w:r>
      <w:r>
        <w:rPr>
          <w:color w:val="231F20"/>
        </w:rPr>
        <w:t>Затем</w:t>
      </w:r>
      <w:r>
        <w:rPr>
          <w:color w:val="231F20"/>
          <w:spacing w:val="-6"/>
        </w:rPr>
        <w:t> </w:t>
      </w:r>
      <w:r>
        <w:rPr>
          <w:color w:val="231F20"/>
        </w:rPr>
        <w:t>роль</w:t>
      </w:r>
      <w:r>
        <w:rPr>
          <w:color w:val="231F20"/>
          <w:spacing w:val="-6"/>
        </w:rPr>
        <w:t> </w:t>
      </w:r>
      <w:r>
        <w:rPr>
          <w:color w:val="231F20"/>
        </w:rPr>
        <w:t>лидера</w:t>
      </w:r>
      <w:r>
        <w:rPr>
          <w:color w:val="231F20"/>
          <w:spacing w:val="-6"/>
        </w:rPr>
        <w:t> </w:t>
      </w:r>
      <w:r>
        <w:rPr>
          <w:color w:val="231F20"/>
        </w:rPr>
        <w:t>переходит</w:t>
      </w:r>
      <w:r>
        <w:rPr>
          <w:color w:val="231F20"/>
          <w:spacing w:val="-6"/>
        </w:rPr>
        <w:t> </w:t>
      </w:r>
      <w:r>
        <w:rPr>
          <w:color w:val="231F20"/>
        </w:rPr>
        <w:t>к</w:t>
      </w:r>
      <w:r>
        <w:rPr>
          <w:color w:val="231F20"/>
          <w:spacing w:val="-6"/>
        </w:rPr>
        <w:t> </w:t>
      </w:r>
      <w:r>
        <w:rPr>
          <w:color w:val="231F20"/>
        </w:rPr>
        <w:t>другому</w:t>
      </w:r>
      <w:r>
        <w:rPr>
          <w:color w:val="231F20"/>
          <w:spacing w:val="-6"/>
        </w:rPr>
        <w:t> </w:t>
      </w:r>
      <w:r>
        <w:rPr>
          <w:color w:val="231F20"/>
        </w:rPr>
        <w:t>участнику,</w:t>
      </w:r>
      <w:r>
        <w:rPr>
          <w:color w:val="231F20"/>
          <w:spacing w:val="-6"/>
        </w:rPr>
        <w:t> </w:t>
      </w:r>
      <w:r>
        <w:rPr>
          <w:color w:val="231F20"/>
        </w:rPr>
        <w:t>и сама группа уже может выбрать, кому доверить эту обязанность. К концу учебного года у каждого участника должен быть опыт руководства мозаичной группой.</w:t>
      </w:r>
    </w:p>
    <w:p>
      <w:pPr>
        <w:pStyle w:val="BodyText"/>
        <w:spacing w:line="235" w:lineRule="auto" w:before="3"/>
      </w:pPr>
      <w:r>
        <w:rPr>
          <w:color w:val="231F20"/>
        </w:rPr>
        <w:t>В овладении навыками руководства группой ученикам поможет тренинг группо- вых лидеров.</w:t>
      </w:r>
    </w:p>
    <w:p>
      <w:pPr>
        <w:spacing w:line="228" w:lineRule="exact" w:before="111"/>
        <w:ind w:left="2562" w:right="0" w:firstLine="0"/>
        <w:jc w:val="both"/>
        <w:rPr>
          <w:b/>
          <w:i/>
          <w:sz w:val="20"/>
        </w:rPr>
      </w:pPr>
      <w:r>
        <w:rPr>
          <w:b/>
          <w:i/>
          <w:color w:val="231F20"/>
          <w:sz w:val="20"/>
        </w:rPr>
        <w:t>Тренинг</w:t>
      </w:r>
      <w:r>
        <w:rPr>
          <w:b/>
          <w:i/>
          <w:color w:val="231F20"/>
          <w:spacing w:val="-8"/>
          <w:sz w:val="20"/>
        </w:rPr>
        <w:t> </w:t>
      </w:r>
      <w:r>
        <w:rPr>
          <w:b/>
          <w:i/>
          <w:color w:val="231F20"/>
          <w:sz w:val="20"/>
        </w:rPr>
        <w:t>групповых</w:t>
      </w:r>
      <w:r>
        <w:rPr>
          <w:b/>
          <w:i/>
          <w:color w:val="231F20"/>
          <w:spacing w:val="-6"/>
          <w:sz w:val="20"/>
        </w:rPr>
        <w:t> </w:t>
      </w:r>
      <w:r>
        <w:rPr>
          <w:b/>
          <w:i/>
          <w:color w:val="231F20"/>
          <w:spacing w:val="-2"/>
          <w:sz w:val="20"/>
        </w:rPr>
        <w:t>лидеров</w:t>
      </w:r>
    </w:p>
    <w:p>
      <w:pPr>
        <w:pStyle w:val="BodyText"/>
        <w:spacing w:line="235" w:lineRule="auto" w:before="1"/>
      </w:pPr>
      <w:r>
        <w:rPr>
          <w:color w:val="231F20"/>
        </w:rPr>
        <w:t>Учитель</w:t>
      </w:r>
      <w:r>
        <w:rPr>
          <w:color w:val="231F20"/>
          <w:spacing w:val="-9"/>
        </w:rPr>
        <w:t> </w:t>
      </w:r>
      <w:r>
        <w:rPr>
          <w:color w:val="231F20"/>
        </w:rPr>
        <w:t>проводит</w:t>
      </w:r>
      <w:r>
        <w:rPr>
          <w:color w:val="231F20"/>
          <w:spacing w:val="-9"/>
        </w:rPr>
        <w:t> </w:t>
      </w:r>
      <w:r>
        <w:rPr>
          <w:color w:val="231F20"/>
        </w:rPr>
        <w:t>специальные</w:t>
      </w:r>
      <w:r>
        <w:rPr>
          <w:color w:val="231F20"/>
          <w:spacing w:val="-9"/>
        </w:rPr>
        <w:t> </w:t>
      </w:r>
      <w:r>
        <w:rPr>
          <w:color w:val="231F20"/>
        </w:rPr>
        <w:t>занятия</w:t>
      </w:r>
      <w:r>
        <w:rPr>
          <w:color w:val="231F20"/>
          <w:spacing w:val="-9"/>
        </w:rPr>
        <w:t> </w:t>
      </w:r>
      <w:r>
        <w:rPr>
          <w:color w:val="231F20"/>
        </w:rPr>
        <w:t>для</w:t>
      </w:r>
      <w:r>
        <w:rPr>
          <w:color w:val="231F20"/>
          <w:spacing w:val="-9"/>
        </w:rPr>
        <w:t> </w:t>
      </w:r>
      <w:r>
        <w:rPr>
          <w:color w:val="231F20"/>
        </w:rPr>
        <w:t>обучения</w:t>
      </w:r>
      <w:r>
        <w:rPr>
          <w:color w:val="231F20"/>
          <w:spacing w:val="-9"/>
        </w:rPr>
        <w:t> </w:t>
      </w:r>
      <w:r>
        <w:rPr>
          <w:color w:val="231F20"/>
        </w:rPr>
        <w:t>групповых</w:t>
      </w:r>
      <w:r>
        <w:rPr>
          <w:color w:val="231F20"/>
          <w:spacing w:val="-9"/>
        </w:rPr>
        <w:t> </w:t>
      </w:r>
      <w:r>
        <w:rPr>
          <w:color w:val="231F20"/>
        </w:rPr>
        <w:t>лидеров.</w:t>
      </w:r>
      <w:r>
        <w:rPr>
          <w:color w:val="231F20"/>
          <w:spacing w:val="-9"/>
        </w:rPr>
        <w:t> </w:t>
      </w:r>
      <w:r>
        <w:rPr>
          <w:color w:val="231F20"/>
        </w:rPr>
        <w:t>Снача- ла</w:t>
      </w:r>
      <w:r>
        <w:rPr>
          <w:color w:val="231F20"/>
          <w:spacing w:val="-10"/>
        </w:rPr>
        <w:t> </w:t>
      </w:r>
      <w:r>
        <w:rPr>
          <w:color w:val="231F20"/>
        </w:rPr>
        <w:t>это</w:t>
      </w:r>
      <w:r>
        <w:rPr>
          <w:color w:val="231F20"/>
          <w:spacing w:val="-10"/>
        </w:rPr>
        <w:t> </w:t>
      </w:r>
      <w:r>
        <w:rPr>
          <w:color w:val="231F20"/>
        </w:rPr>
        <w:t>может</w:t>
      </w:r>
      <w:r>
        <w:rPr>
          <w:color w:val="231F20"/>
          <w:spacing w:val="-10"/>
        </w:rPr>
        <w:t> </w:t>
      </w:r>
      <w:r>
        <w:rPr>
          <w:color w:val="231F20"/>
        </w:rPr>
        <w:t>быть</w:t>
      </w:r>
      <w:r>
        <w:rPr>
          <w:color w:val="231F20"/>
          <w:spacing w:val="-10"/>
        </w:rPr>
        <w:t> </w:t>
      </w:r>
      <w:r>
        <w:rPr>
          <w:color w:val="231F20"/>
        </w:rPr>
        <w:t>короткая</w:t>
      </w:r>
      <w:r>
        <w:rPr>
          <w:color w:val="231F20"/>
          <w:spacing w:val="-10"/>
        </w:rPr>
        <w:t> </w:t>
      </w:r>
      <w:r>
        <w:rPr>
          <w:color w:val="231F20"/>
        </w:rPr>
        <w:t>встреча,</w:t>
      </w:r>
      <w:r>
        <w:rPr>
          <w:color w:val="231F20"/>
          <w:spacing w:val="-10"/>
        </w:rPr>
        <w:t> </w:t>
      </w:r>
      <w:r>
        <w:rPr>
          <w:color w:val="231F20"/>
        </w:rPr>
        <w:t>чтобы</w:t>
      </w:r>
      <w:r>
        <w:rPr>
          <w:color w:val="231F20"/>
          <w:spacing w:val="-10"/>
        </w:rPr>
        <w:t> </w:t>
      </w:r>
      <w:r>
        <w:rPr>
          <w:color w:val="231F20"/>
        </w:rPr>
        <w:t>обсудить</w:t>
      </w:r>
      <w:r>
        <w:rPr>
          <w:color w:val="231F20"/>
          <w:spacing w:val="-10"/>
        </w:rPr>
        <w:t> </w:t>
      </w:r>
      <w:r>
        <w:rPr>
          <w:color w:val="231F20"/>
        </w:rPr>
        <w:t>цели,</w:t>
      </w:r>
      <w:r>
        <w:rPr>
          <w:color w:val="231F20"/>
          <w:spacing w:val="-10"/>
        </w:rPr>
        <w:t> </w:t>
      </w:r>
      <w:r>
        <w:rPr>
          <w:color w:val="231F20"/>
        </w:rPr>
        <w:t>задачи</w:t>
      </w:r>
      <w:r>
        <w:rPr>
          <w:color w:val="231F20"/>
          <w:spacing w:val="-10"/>
        </w:rPr>
        <w:t> </w:t>
      </w:r>
      <w:r>
        <w:rPr>
          <w:color w:val="231F20"/>
        </w:rPr>
        <w:t>работы</w:t>
      </w:r>
      <w:r>
        <w:rPr>
          <w:color w:val="231F20"/>
          <w:spacing w:val="-10"/>
        </w:rPr>
        <w:t> </w:t>
      </w:r>
      <w:r>
        <w:rPr>
          <w:color w:val="231F20"/>
        </w:rPr>
        <w:t>и</w:t>
      </w:r>
      <w:r>
        <w:rPr>
          <w:color w:val="231F20"/>
          <w:spacing w:val="-10"/>
        </w:rPr>
        <w:t> </w:t>
      </w:r>
      <w:r>
        <w:rPr>
          <w:color w:val="231F20"/>
        </w:rPr>
        <w:t>основные функции</w:t>
      </w:r>
      <w:r>
        <w:rPr>
          <w:color w:val="231F20"/>
          <w:spacing w:val="-5"/>
        </w:rPr>
        <w:t> </w:t>
      </w:r>
      <w:r>
        <w:rPr>
          <w:color w:val="231F20"/>
        </w:rPr>
        <w:t>лидера.</w:t>
      </w:r>
      <w:r>
        <w:rPr>
          <w:color w:val="231F20"/>
          <w:spacing w:val="-5"/>
        </w:rPr>
        <w:t> </w:t>
      </w:r>
      <w:r>
        <w:rPr>
          <w:color w:val="231F20"/>
        </w:rPr>
        <w:t>Потом,</w:t>
      </w:r>
      <w:r>
        <w:rPr>
          <w:color w:val="231F20"/>
          <w:spacing w:val="-5"/>
        </w:rPr>
        <w:t> </w:t>
      </w:r>
      <w:r>
        <w:rPr>
          <w:color w:val="231F20"/>
        </w:rPr>
        <w:t>когда</w:t>
      </w:r>
      <w:r>
        <w:rPr>
          <w:color w:val="231F20"/>
          <w:spacing w:val="-5"/>
        </w:rPr>
        <w:t> </w:t>
      </w:r>
      <w:r>
        <w:rPr>
          <w:color w:val="231F20"/>
        </w:rPr>
        <w:t>группы</w:t>
      </w:r>
      <w:r>
        <w:rPr>
          <w:color w:val="231F20"/>
          <w:spacing w:val="-5"/>
        </w:rPr>
        <w:t> </w:t>
      </w:r>
      <w:r>
        <w:rPr>
          <w:color w:val="231F20"/>
        </w:rPr>
        <w:t>начнут</w:t>
      </w:r>
      <w:r>
        <w:rPr>
          <w:color w:val="231F20"/>
          <w:spacing w:val="-5"/>
        </w:rPr>
        <w:t> </w:t>
      </w:r>
      <w:r>
        <w:rPr>
          <w:color w:val="231F20"/>
        </w:rPr>
        <w:t>работать,</w:t>
      </w:r>
      <w:r>
        <w:rPr>
          <w:color w:val="231F20"/>
          <w:spacing w:val="-5"/>
        </w:rPr>
        <w:t> </w:t>
      </w:r>
      <w:r>
        <w:rPr>
          <w:color w:val="231F20"/>
        </w:rPr>
        <w:t>встречи</w:t>
      </w:r>
      <w:r>
        <w:rPr>
          <w:color w:val="231F20"/>
          <w:spacing w:val="-5"/>
        </w:rPr>
        <w:t> </w:t>
      </w:r>
      <w:r>
        <w:rPr>
          <w:color w:val="231F20"/>
        </w:rPr>
        <w:t>необходимо</w:t>
      </w:r>
      <w:r>
        <w:rPr>
          <w:color w:val="231F20"/>
          <w:spacing w:val="-5"/>
        </w:rPr>
        <w:t> </w:t>
      </w:r>
      <w:r>
        <w:rPr>
          <w:color w:val="231F20"/>
        </w:rPr>
        <w:t>устраи- вать</w:t>
      </w:r>
      <w:r>
        <w:rPr>
          <w:color w:val="231F20"/>
          <w:spacing w:val="-7"/>
        </w:rPr>
        <w:t> </w:t>
      </w:r>
      <w:r>
        <w:rPr>
          <w:color w:val="231F20"/>
        </w:rPr>
        <w:t>один</w:t>
      </w:r>
      <w:r>
        <w:rPr>
          <w:color w:val="231F20"/>
          <w:spacing w:val="-7"/>
        </w:rPr>
        <w:t> </w:t>
      </w:r>
      <w:r>
        <w:rPr>
          <w:color w:val="231F20"/>
        </w:rPr>
        <w:t>или</w:t>
      </w:r>
      <w:r>
        <w:rPr>
          <w:color w:val="231F20"/>
          <w:spacing w:val="-7"/>
        </w:rPr>
        <w:t> </w:t>
      </w:r>
      <w:r>
        <w:rPr>
          <w:color w:val="231F20"/>
        </w:rPr>
        <w:t>два</w:t>
      </w:r>
      <w:r>
        <w:rPr>
          <w:color w:val="231F20"/>
          <w:spacing w:val="-7"/>
        </w:rPr>
        <w:t> </w:t>
      </w:r>
      <w:r>
        <w:rPr>
          <w:color w:val="231F20"/>
        </w:rPr>
        <w:t>раза</w:t>
      </w:r>
      <w:r>
        <w:rPr>
          <w:color w:val="231F20"/>
          <w:spacing w:val="-7"/>
        </w:rPr>
        <w:t> </w:t>
      </w:r>
      <w:r>
        <w:rPr>
          <w:color w:val="231F20"/>
        </w:rPr>
        <w:t>в</w:t>
      </w:r>
      <w:r>
        <w:rPr>
          <w:color w:val="231F20"/>
          <w:spacing w:val="-7"/>
        </w:rPr>
        <w:t> </w:t>
      </w:r>
      <w:r>
        <w:rPr>
          <w:color w:val="231F20"/>
        </w:rPr>
        <w:t>неделю,</w:t>
      </w:r>
      <w:r>
        <w:rPr>
          <w:color w:val="231F20"/>
          <w:spacing w:val="-7"/>
        </w:rPr>
        <w:t> </w:t>
      </w:r>
      <w:r>
        <w:rPr>
          <w:color w:val="231F20"/>
        </w:rPr>
        <w:t>чтобы</w:t>
      </w:r>
      <w:r>
        <w:rPr>
          <w:color w:val="231F20"/>
          <w:spacing w:val="-7"/>
        </w:rPr>
        <w:t> </w:t>
      </w:r>
      <w:r>
        <w:rPr>
          <w:color w:val="231F20"/>
        </w:rPr>
        <w:t>руководители</w:t>
      </w:r>
      <w:r>
        <w:rPr>
          <w:color w:val="231F20"/>
          <w:spacing w:val="-7"/>
        </w:rPr>
        <w:t> </w:t>
      </w:r>
      <w:r>
        <w:rPr>
          <w:color w:val="231F20"/>
        </w:rPr>
        <w:t>групп</w:t>
      </w:r>
      <w:r>
        <w:rPr>
          <w:color w:val="231F20"/>
          <w:spacing w:val="-7"/>
        </w:rPr>
        <w:t> </w:t>
      </w:r>
      <w:r>
        <w:rPr>
          <w:color w:val="231F20"/>
        </w:rPr>
        <w:t>могли</w:t>
      </w:r>
      <w:r>
        <w:rPr>
          <w:color w:val="231F20"/>
          <w:spacing w:val="-7"/>
        </w:rPr>
        <w:t> </w:t>
      </w:r>
      <w:r>
        <w:rPr>
          <w:color w:val="231F20"/>
        </w:rPr>
        <w:t>поделиться</w:t>
      </w:r>
      <w:r>
        <w:rPr>
          <w:color w:val="231F20"/>
          <w:spacing w:val="-7"/>
        </w:rPr>
        <w:t> </w:t>
      </w:r>
      <w:r>
        <w:rPr>
          <w:color w:val="231F20"/>
        </w:rPr>
        <w:t>своим опытом, посоветоваться и получить поддержку.</w:t>
      </w:r>
    </w:p>
    <w:p>
      <w:pPr>
        <w:pStyle w:val="BodyText"/>
        <w:spacing w:line="235" w:lineRule="auto" w:before="4"/>
      </w:pPr>
      <w:r>
        <w:rPr>
          <w:color w:val="231F20"/>
        </w:rPr>
        <w:t>Как</w:t>
      </w:r>
      <w:r>
        <w:rPr>
          <w:color w:val="231F20"/>
          <w:spacing w:val="-12"/>
        </w:rPr>
        <w:t> </w:t>
      </w:r>
      <w:r>
        <w:rPr>
          <w:color w:val="231F20"/>
        </w:rPr>
        <w:t>правило,</w:t>
      </w:r>
      <w:r>
        <w:rPr>
          <w:color w:val="231F20"/>
          <w:spacing w:val="-12"/>
        </w:rPr>
        <w:t> </w:t>
      </w:r>
      <w:r>
        <w:rPr>
          <w:color w:val="231F20"/>
        </w:rPr>
        <w:t>тренинг</w:t>
      </w:r>
      <w:r>
        <w:rPr>
          <w:color w:val="231F20"/>
          <w:spacing w:val="-12"/>
        </w:rPr>
        <w:t> </w:t>
      </w:r>
      <w:r>
        <w:rPr>
          <w:color w:val="231F20"/>
        </w:rPr>
        <w:t>лидеров</w:t>
      </w:r>
      <w:r>
        <w:rPr>
          <w:color w:val="231F20"/>
          <w:spacing w:val="-12"/>
        </w:rPr>
        <w:t> </w:t>
      </w:r>
      <w:r>
        <w:rPr>
          <w:color w:val="231F20"/>
        </w:rPr>
        <w:t>состоит</w:t>
      </w:r>
      <w:r>
        <w:rPr>
          <w:color w:val="231F20"/>
          <w:spacing w:val="-12"/>
        </w:rPr>
        <w:t> </w:t>
      </w:r>
      <w:r>
        <w:rPr>
          <w:color w:val="231F20"/>
        </w:rPr>
        <w:t>из</w:t>
      </w:r>
      <w:r>
        <w:rPr>
          <w:color w:val="231F20"/>
          <w:spacing w:val="-12"/>
        </w:rPr>
        <w:t> </w:t>
      </w:r>
      <w:r>
        <w:rPr>
          <w:color w:val="231F20"/>
        </w:rPr>
        <w:t>двух</w:t>
      </w:r>
      <w:r>
        <w:rPr>
          <w:color w:val="231F20"/>
          <w:spacing w:val="-12"/>
        </w:rPr>
        <w:t> </w:t>
      </w:r>
      <w:r>
        <w:rPr>
          <w:color w:val="231F20"/>
        </w:rPr>
        <w:t>направлений:</w:t>
      </w:r>
      <w:r>
        <w:rPr>
          <w:color w:val="231F20"/>
          <w:spacing w:val="-12"/>
        </w:rPr>
        <w:t> </w:t>
      </w:r>
      <w:r>
        <w:rPr>
          <w:color w:val="231F20"/>
        </w:rPr>
        <w:t>1)</w:t>
      </w:r>
      <w:r>
        <w:rPr>
          <w:color w:val="231F20"/>
          <w:spacing w:val="-12"/>
        </w:rPr>
        <w:t> </w:t>
      </w:r>
      <w:r>
        <w:rPr>
          <w:color w:val="231F20"/>
        </w:rPr>
        <w:t>групповые</w:t>
      </w:r>
      <w:r>
        <w:rPr>
          <w:color w:val="231F20"/>
          <w:spacing w:val="-12"/>
        </w:rPr>
        <w:t> </w:t>
      </w:r>
      <w:r>
        <w:rPr>
          <w:color w:val="231F20"/>
        </w:rPr>
        <w:t>дискус- сии; 2) разыгрывание проблемных ситуаций.</w:t>
      </w:r>
    </w:p>
    <w:p>
      <w:pPr>
        <w:pStyle w:val="BodyText"/>
        <w:spacing w:line="235" w:lineRule="auto" w:before="1"/>
      </w:pPr>
      <w:r>
        <w:rPr>
          <w:i/>
          <w:color w:val="231F20"/>
        </w:rPr>
        <w:t>Первое направление </w:t>
      </w:r>
      <w:r>
        <w:rPr>
          <w:color w:val="231F20"/>
        </w:rPr>
        <w:t>касается обсуждения, как должен вести себя лидер и какие качества ему необходимо проявлять. Учитель посвящает обсуждению этого вопро- са примерно 10 минут, а затем просит участников проанализировать его поведение как</w:t>
      </w:r>
      <w:r>
        <w:rPr>
          <w:color w:val="231F20"/>
          <w:spacing w:val="-5"/>
        </w:rPr>
        <w:t> </w:t>
      </w:r>
      <w:r>
        <w:rPr>
          <w:color w:val="231F20"/>
        </w:rPr>
        <w:t>руководителя</w:t>
      </w:r>
      <w:r>
        <w:rPr>
          <w:color w:val="231F20"/>
          <w:spacing w:val="-5"/>
        </w:rPr>
        <w:t> </w:t>
      </w:r>
      <w:r>
        <w:rPr>
          <w:color w:val="231F20"/>
        </w:rPr>
        <w:t>в</w:t>
      </w:r>
      <w:r>
        <w:rPr>
          <w:color w:val="231F20"/>
          <w:spacing w:val="-5"/>
        </w:rPr>
        <w:t> </w:t>
      </w:r>
      <w:r>
        <w:rPr>
          <w:color w:val="231F20"/>
        </w:rPr>
        <w:t>ходе</w:t>
      </w:r>
      <w:r>
        <w:rPr>
          <w:color w:val="231F20"/>
          <w:spacing w:val="-5"/>
        </w:rPr>
        <w:t> </w:t>
      </w:r>
      <w:r>
        <w:rPr>
          <w:color w:val="231F20"/>
        </w:rPr>
        <w:t>этого</w:t>
      </w:r>
      <w:r>
        <w:rPr>
          <w:color w:val="231F20"/>
          <w:spacing w:val="-5"/>
        </w:rPr>
        <w:t> </w:t>
      </w:r>
      <w:r>
        <w:rPr>
          <w:color w:val="231F20"/>
        </w:rPr>
        <w:t>процесса.</w:t>
      </w:r>
      <w:r>
        <w:rPr>
          <w:color w:val="231F20"/>
          <w:spacing w:val="-5"/>
        </w:rPr>
        <w:t> </w:t>
      </w:r>
      <w:r>
        <w:rPr>
          <w:color w:val="231F20"/>
        </w:rPr>
        <w:t>Он</w:t>
      </w:r>
      <w:r>
        <w:rPr>
          <w:color w:val="231F20"/>
          <w:spacing w:val="-5"/>
        </w:rPr>
        <w:t> </w:t>
      </w:r>
      <w:r>
        <w:rPr>
          <w:color w:val="231F20"/>
        </w:rPr>
        <w:t>должен</w:t>
      </w:r>
      <w:r>
        <w:rPr>
          <w:color w:val="231F20"/>
          <w:spacing w:val="-5"/>
        </w:rPr>
        <w:t> </w:t>
      </w:r>
      <w:r>
        <w:rPr>
          <w:color w:val="231F20"/>
        </w:rPr>
        <w:t>показать,</w:t>
      </w:r>
      <w:r>
        <w:rPr>
          <w:color w:val="231F20"/>
          <w:spacing w:val="-5"/>
        </w:rPr>
        <w:t> </w:t>
      </w:r>
      <w:r>
        <w:rPr>
          <w:color w:val="231F20"/>
        </w:rPr>
        <w:t>что</w:t>
      </w:r>
      <w:r>
        <w:rPr>
          <w:color w:val="231F20"/>
          <w:spacing w:val="-5"/>
        </w:rPr>
        <w:t> </w:t>
      </w:r>
      <w:r>
        <w:rPr>
          <w:color w:val="231F20"/>
        </w:rPr>
        <w:t>и</w:t>
      </w:r>
      <w:r>
        <w:rPr>
          <w:color w:val="231F20"/>
          <w:spacing w:val="-5"/>
        </w:rPr>
        <w:t> </w:t>
      </w:r>
      <w:r>
        <w:rPr>
          <w:color w:val="231F20"/>
        </w:rPr>
        <w:t>его</w:t>
      </w:r>
      <w:r>
        <w:rPr>
          <w:color w:val="231F20"/>
          <w:spacing w:val="-5"/>
        </w:rPr>
        <w:t> </w:t>
      </w:r>
      <w:r>
        <w:rPr>
          <w:color w:val="231F20"/>
        </w:rPr>
        <w:t>поведение</w:t>
      </w:r>
      <w:r>
        <w:rPr>
          <w:color w:val="231F20"/>
          <w:spacing w:val="-5"/>
        </w:rPr>
        <w:t> </w:t>
      </w:r>
      <w:r>
        <w:rPr>
          <w:color w:val="231F20"/>
        </w:rPr>
        <w:t>не всегда</w:t>
      </w:r>
      <w:r>
        <w:rPr>
          <w:color w:val="231F20"/>
          <w:spacing w:val="-13"/>
        </w:rPr>
        <w:t> </w:t>
      </w:r>
      <w:r>
        <w:rPr>
          <w:color w:val="231F20"/>
        </w:rPr>
        <w:t>оказывается</w:t>
      </w:r>
      <w:r>
        <w:rPr>
          <w:color w:val="231F20"/>
          <w:spacing w:val="-12"/>
        </w:rPr>
        <w:t> </w:t>
      </w:r>
      <w:r>
        <w:rPr>
          <w:color w:val="231F20"/>
        </w:rPr>
        <w:t>правильным,</w:t>
      </w:r>
      <w:r>
        <w:rPr>
          <w:color w:val="231F20"/>
          <w:spacing w:val="-13"/>
        </w:rPr>
        <w:t> </w:t>
      </w:r>
      <w:r>
        <w:rPr>
          <w:color w:val="231F20"/>
        </w:rPr>
        <w:t>что</w:t>
      </w:r>
      <w:r>
        <w:rPr>
          <w:color w:val="231F20"/>
          <w:spacing w:val="-12"/>
        </w:rPr>
        <w:t> </w:t>
      </w:r>
      <w:r>
        <w:rPr>
          <w:color w:val="231F20"/>
        </w:rPr>
        <w:t>возможно</w:t>
      </w:r>
      <w:r>
        <w:rPr>
          <w:color w:val="231F20"/>
          <w:spacing w:val="-13"/>
        </w:rPr>
        <w:t> </w:t>
      </w:r>
      <w:r>
        <w:rPr>
          <w:color w:val="231F20"/>
        </w:rPr>
        <w:t>множество</w:t>
      </w:r>
      <w:r>
        <w:rPr>
          <w:color w:val="231F20"/>
          <w:spacing w:val="-12"/>
        </w:rPr>
        <w:t> </w:t>
      </w:r>
      <w:r>
        <w:rPr>
          <w:color w:val="231F20"/>
        </w:rPr>
        <w:t>вариантов.</w:t>
      </w:r>
      <w:r>
        <w:rPr>
          <w:color w:val="231F20"/>
          <w:spacing w:val="-13"/>
        </w:rPr>
        <w:t> </w:t>
      </w:r>
      <w:r>
        <w:rPr>
          <w:color w:val="231F20"/>
        </w:rPr>
        <w:t>Чтобы</w:t>
      </w:r>
      <w:r>
        <w:rPr>
          <w:color w:val="231F20"/>
          <w:spacing w:val="-12"/>
        </w:rPr>
        <w:t> </w:t>
      </w:r>
      <w:r>
        <w:rPr>
          <w:color w:val="231F20"/>
        </w:rPr>
        <w:t>оживить дискуссию, учитель может напомнить ситуацию, возникшую в классе недавно и хо- рошо знакомую участникам, и попытаться совместно с группой проанализировать свои действия. Критика, которую высказывают ученики во время таких дискуссий, очень важна, поскольку, прислушавшись к ней, лидер может повысить эффектив- ность своей работы. Учитель на своем примере показывает, что в процессе тренин- га его действия можно критиковать, оценивать неоднозначно, чтобы в дальнейшем участники,</w:t>
      </w:r>
      <w:r>
        <w:rPr>
          <w:color w:val="231F20"/>
          <w:spacing w:val="-7"/>
        </w:rPr>
        <w:t> </w:t>
      </w:r>
      <w:r>
        <w:rPr>
          <w:color w:val="231F20"/>
        </w:rPr>
        <w:t>с</w:t>
      </w:r>
      <w:r>
        <w:rPr>
          <w:color w:val="231F20"/>
          <w:spacing w:val="-7"/>
        </w:rPr>
        <w:t> </w:t>
      </w:r>
      <w:r>
        <w:rPr>
          <w:color w:val="231F20"/>
        </w:rPr>
        <w:t>одной</w:t>
      </w:r>
      <w:r>
        <w:rPr>
          <w:color w:val="231F20"/>
          <w:spacing w:val="-7"/>
        </w:rPr>
        <w:t> </w:t>
      </w:r>
      <w:r>
        <w:rPr>
          <w:color w:val="231F20"/>
        </w:rPr>
        <w:t>стороны,</w:t>
      </w:r>
      <w:r>
        <w:rPr>
          <w:color w:val="231F20"/>
          <w:spacing w:val="-7"/>
        </w:rPr>
        <w:t> </w:t>
      </w:r>
      <w:r>
        <w:rPr>
          <w:color w:val="231F20"/>
        </w:rPr>
        <w:t>не</w:t>
      </w:r>
      <w:r>
        <w:rPr>
          <w:color w:val="231F20"/>
          <w:spacing w:val="-7"/>
        </w:rPr>
        <w:t> </w:t>
      </w:r>
      <w:r>
        <w:rPr>
          <w:color w:val="231F20"/>
        </w:rPr>
        <w:t>стеснялись</w:t>
      </w:r>
      <w:r>
        <w:rPr>
          <w:color w:val="231F20"/>
          <w:spacing w:val="-7"/>
        </w:rPr>
        <w:t> </w:t>
      </w:r>
      <w:r>
        <w:rPr>
          <w:color w:val="231F20"/>
        </w:rPr>
        <w:t>высказываться,</w:t>
      </w:r>
      <w:r>
        <w:rPr>
          <w:color w:val="231F20"/>
          <w:spacing w:val="-7"/>
        </w:rPr>
        <w:t> </w:t>
      </w:r>
      <w:r>
        <w:rPr>
          <w:color w:val="231F20"/>
        </w:rPr>
        <w:t>а</w:t>
      </w:r>
      <w:r>
        <w:rPr>
          <w:color w:val="231F20"/>
          <w:spacing w:val="-7"/>
        </w:rPr>
        <w:t> </w:t>
      </w:r>
      <w:r>
        <w:rPr>
          <w:color w:val="231F20"/>
        </w:rPr>
        <w:t>с</w:t>
      </w:r>
      <w:r>
        <w:rPr>
          <w:color w:val="231F20"/>
          <w:spacing w:val="-7"/>
        </w:rPr>
        <w:t> </w:t>
      </w:r>
      <w:r>
        <w:rPr>
          <w:color w:val="231F20"/>
        </w:rPr>
        <w:t>другой</w:t>
      </w:r>
      <w:r>
        <w:rPr>
          <w:color w:val="231F20"/>
          <w:spacing w:val="-7"/>
        </w:rPr>
        <w:t> </w:t>
      </w:r>
      <w:r>
        <w:rPr>
          <w:color w:val="231F20"/>
        </w:rPr>
        <w:t>–</w:t>
      </w:r>
      <w:r>
        <w:rPr>
          <w:color w:val="231F20"/>
          <w:spacing w:val="-7"/>
        </w:rPr>
        <w:t> </w:t>
      </w:r>
      <w:r>
        <w:rPr>
          <w:color w:val="231F20"/>
        </w:rPr>
        <w:t>конструктив- но воспринимали замечания в свой адрес. Участники тренинга должны понять, что главная</w:t>
      </w:r>
      <w:r>
        <w:rPr>
          <w:color w:val="231F20"/>
          <w:spacing w:val="-11"/>
        </w:rPr>
        <w:t> </w:t>
      </w:r>
      <w:r>
        <w:rPr>
          <w:color w:val="231F20"/>
        </w:rPr>
        <w:t>цель</w:t>
      </w:r>
      <w:r>
        <w:rPr>
          <w:color w:val="231F20"/>
          <w:spacing w:val="-11"/>
        </w:rPr>
        <w:t> </w:t>
      </w:r>
      <w:r>
        <w:rPr>
          <w:color w:val="231F20"/>
        </w:rPr>
        <w:t>лидера</w:t>
      </w:r>
      <w:r>
        <w:rPr>
          <w:color w:val="231F20"/>
          <w:spacing w:val="-11"/>
        </w:rPr>
        <w:t> </w:t>
      </w:r>
      <w:r>
        <w:rPr>
          <w:color w:val="231F20"/>
        </w:rPr>
        <w:t>–</w:t>
      </w:r>
      <w:r>
        <w:rPr>
          <w:color w:val="231F20"/>
          <w:spacing w:val="-11"/>
        </w:rPr>
        <w:t> </w:t>
      </w:r>
      <w:r>
        <w:rPr>
          <w:color w:val="231F20"/>
        </w:rPr>
        <w:t>обеспечить</w:t>
      </w:r>
      <w:r>
        <w:rPr>
          <w:color w:val="231F20"/>
          <w:spacing w:val="-10"/>
        </w:rPr>
        <w:t> </w:t>
      </w:r>
      <w:r>
        <w:rPr>
          <w:color w:val="231F20"/>
        </w:rPr>
        <w:t>такой</w:t>
      </w:r>
      <w:r>
        <w:rPr>
          <w:color w:val="231F20"/>
          <w:spacing w:val="-11"/>
        </w:rPr>
        <w:t> </w:t>
      </w:r>
      <w:r>
        <w:rPr>
          <w:color w:val="231F20"/>
        </w:rPr>
        <w:t>групповой</w:t>
      </w:r>
      <w:r>
        <w:rPr>
          <w:color w:val="231F20"/>
          <w:spacing w:val="-11"/>
        </w:rPr>
        <w:t> </w:t>
      </w:r>
      <w:r>
        <w:rPr>
          <w:color w:val="231F20"/>
        </w:rPr>
        <w:t>процесс,</w:t>
      </w:r>
      <w:r>
        <w:rPr>
          <w:color w:val="231F20"/>
          <w:spacing w:val="-11"/>
        </w:rPr>
        <w:t> </w:t>
      </w:r>
      <w:r>
        <w:rPr>
          <w:color w:val="231F20"/>
        </w:rPr>
        <w:t>в</w:t>
      </w:r>
      <w:r>
        <w:rPr>
          <w:color w:val="231F20"/>
          <w:spacing w:val="-11"/>
        </w:rPr>
        <w:t> </w:t>
      </w:r>
      <w:r>
        <w:rPr>
          <w:color w:val="231F20"/>
        </w:rPr>
        <w:t>котором</w:t>
      </w:r>
      <w:r>
        <w:rPr>
          <w:color w:val="231F20"/>
          <w:spacing w:val="-11"/>
        </w:rPr>
        <w:t> </w:t>
      </w:r>
      <w:r>
        <w:rPr>
          <w:color w:val="231F20"/>
        </w:rPr>
        <w:t>будут</w:t>
      </w:r>
      <w:r>
        <w:rPr>
          <w:color w:val="231F20"/>
          <w:spacing w:val="-11"/>
        </w:rPr>
        <w:t> </w:t>
      </w:r>
      <w:r>
        <w:rPr>
          <w:color w:val="231F20"/>
        </w:rPr>
        <w:t>созданы благоприятные условия для обучения каждого члена группы.</w:t>
      </w:r>
    </w:p>
    <w:p>
      <w:pPr>
        <w:pStyle w:val="BodyText"/>
        <w:spacing w:line="235" w:lineRule="auto" w:before="9"/>
      </w:pPr>
      <w:r>
        <w:rPr>
          <w:i/>
          <w:color w:val="231F20"/>
        </w:rPr>
        <w:t>Второе направление тренинга </w:t>
      </w:r>
      <w:r>
        <w:rPr>
          <w:color w:val="231F20"/>
        </w:rPr>
        <w:t>– разыгрывание проблемных ситуаций. Сначала участники составляют список сложных ситуаций, с которыми им приходится чаще всего сталкиваться. Например:</w:t>
      </w:r>
    </w:p>
    <w:p>
      <w:pPr>
        <w:pStyle w:val="ListParagraph"/>
        <w:numPr>
          <w:ilvl w:val="0"/>
          <w:numId w:val="318"/>
        </w:numPr>
        <w:tabs>
          <w:tab w:pos="424" w:val="left" w:leader="none"/>
        </w:tabs>
        <w:spacing w:line="226" w:lineRule="exact" w:before="0" w:after="0"/>
        <w:ind w:left="424" w:right="0" w:hanging="283"/>
        <w:jc w:val="left"/>
        <w:rPr>
          <w:sz w:val="20"/>
        </w:rPr>
      </w:pPr>
      <w:r>
        <w:rPr>
          <w:color w:val="231F20"/>
          <w:sz w:val="20"/>
        </w:rPr>
        <w:t>некоторые</w:t>
      </w:r>
      <w:r>
        <w:rPr>
          <w:color w:val="231F20"/>
          <w:spacing w:val="-7"/>
          <w:sz w:val="20"/>
        </w:rPr>
        <w:t> </w:t>
      </w:r>
      <w:r>
        <w:rPr>
          <w:color w:val="231F20"/>
          <w:sz w:val="20"/>
        </w:rPr>
        <w:t>участники</w:t>
      </w:r>
      <w:r>
        <w:rPr>
          <w:color w:val="231F20"/>
          <w:spacing w:val="-7"/>
          <w:sz w:val="20"/>
        </w:rPr>
        <w:t> </w:t>
      </w:r>
      <w:r>
        <w:rPr>
          <w:color w:val="231F20"/>
          <w:sz w:val="20"/>
        </w:rPr>
        <w:t>все</w:t>
      </w:r>
      <w:r>
        <w:rPr>
          <w:color w:val="231F20"/>
          <w:spacing w:val="-6"/>
          <w:sz w:val="20"/>
        </w:rPr>
        <w:t> </w:t>
      </w:r>
      <w:r>
        <w:rPr>
          <w:color w:val="231F20"/>
          <w:sz w:val="20"/>
        </w:rPr>
        <w:t>время</w:t>
      </w:r>
      <w:r>
        <w:rPr>
          <w:color w:val="231F20"/>
          <w:spacing w:val="-6"/>
          <w:sz w:val="20"/>
        </w:rPr>
        <w:t> </w:t>
      </w:r>
      <w:r>
        <w:rPr>
          <w:color w:val="231F20"/>
          <w:spacing w:val="-2"/>
          <w:sz w:val="20"/>
        </w:rPr>
        <w:t>молчат;</w:t>
      </w:r>
    </w:p>
    <w:p>
      <w:pPr>
        <w:pStyle w:val="ListParagraph"/>
        <w:numPr>
          <w:ilvl w:val="0"/>
          <w:numId w:val="318"/>
        </w:numPr>
        <w:tabs>
          <w:tab w:pos="424" w:val="left" w:leader="none"/>
        </w:tabs>
        <w:spacing w:line="226" w:lineRule="exact" w:before="0" w:after="0"/>
        <w:ind w:left="424" w:right="0" w:hanging="283"/>
        <w:jc w:val="left"/>
        <w:rPr>
          <w:sz w:val="20"/>
        </w:rPr>
      </w:pPr>
      <w:r>
        <w:rPr>
          <w:color w:val="231F20"/>
          <w:sz w:val="20"/>
        </w:rPr>
        <w:t>один</w:t>
      </w:r>
      <w:r>
        <w:rPr>
          <w:color w:val="231F20"/>
          <w:spacing w:val="-7"/>
          <w:sz w:val="20"/>
        </w:rPr>
        <w:t> </w:t>
      </w:r>
      <w:r>
        <w:rPr>
          <w:color w:val="231F20"/>
          <w:sz w:val="20"/>
        </w:rPr>
        <w:t>из</w:t>
      </w:r>
      <w:r>
        <w:rPr>
          <w:color w:val="231F20"/>
          <w:spacing w:val="-5"/>
          <w:sz w:val="20"/>
        </w:rPr>
        <w:t> </w:t>
      </w:r>
      <w:r>
        <w:rPr>
          <w:color w:val="231F20"/>
          <w:sz w:val="20"/>
        </w:rPr>
        <w:t>участников</w:t>
      </w:r>
      <w:r>
        <w:rPr>
          <w:color w:val="231F20"/>
          <w:spacing w:val="-6"/>
          <w:sz w:val="20"/>
        </w:rPr>
        <w:t> </w:t>
      </w:r>
      <w:r>
        <w:rPr>
          <w:color w:val="231F20"/>
          <w:sz w:val="20"/>
        </w:rPr>
        <w:t>постоянно</w:t>
      </w:r>
      <w:r>
        <w:rPr>
          <w:color w:val="231F20"/>
          <w:spacing w:val="-6"/>
          <w:sz w:val="20"/>
        </w:rPr>
        <w:t> </w:t>
      </w:r>
      <w:r>
        <w:rPr>
          <w:color w:val="231F20"/>
          <w:sz w:val="20"/>
        </w:rPr>
        <w:t>доминирует</w:t>
      </w:r>
      <w:r>
        <w:rPr>
          <w:color w:val="231F20"/>
          <w:spacing w:val="-5"/>
          <w:sz w:val="20"/>
        </w:rPr>
        <w:t> </w:t>
      </w:r>
      <w:r>
        <w:rPr>
          <w:color w:val="231F20"/>
          <w:sz w:val="20"/>
        </w:rPr>
        <w:t>над</w:t>
      </w:r>
      <w:r>
        <w:rPr>
          <w:color w:val="231F20"/>
          <w:spacing w:val="-5"/>
          <w:sz w:val="20"/>
        </w:rPr>
        <w:t> </w:t>
      </w:r>
      <w:r>
        <w:rPr>
          <w:color w:val="231F20"/>
          <w:spacing w:val="-2"/>
          <w:sz w:val="20"/>
        </w:rPr>
        <w:t>другими;</w:t>
      </w:r>
    </w:p>
    <w:p>
      <w:pPr>
        <w:pStyle w:val="ListParagraph"/>
        <w:numPr>
          <w:ilvl w:val="0"/>
          <w:numId w:val="318"/>
        </w:numPr>
        <w:tabs>
          <w:tab w:pos="424" w:val="left" w:leader="none"/>
        </w:tabs>
        <w:spacing w:line="226" w:lineRule="exact" w:before="0" w:after="0"/>
        <w:ind w:left="424" w:right="0" w:hanging="283"/>
        <w:jc w:val="left"/>
        <w:rPr>
          <w:sz w:val="20"/>
        </w:rPr>
      </w:pPr>
      <w:r>
        <w:rPr>
          <w:color w:val="231F20"/>
          <w:sz w:val="20"/>
        </w:rPr>
        <w:t>участники</w:t>
      </w:r>
      <w:r>
        <w:rPr>
          <w:color w:val="231F20"/>
          <w:spacing w:val="-9"/>
          <w:sz w:val="20"/>
        </w:rPr>
        <w:t> </w:t>
      </w:r>
      <w:r>
        <w:rPr>
          <w:color w:val="231F20"/>
          <w:sz w:val="20"/>
        </w:rPr>
        <w:t>обзывают</w:t>
      </w:r>
      <w:r>
        <w:rPr>
          <w:color w:val="231F20"/>
          <w:spacing w:val="-8"/>
          <w:sz w:val="20"/>
        </w:rPr>
        <w:t> </w:t>
      </w:r>
      <w:r>
        <w:rPr>
          <w:color w:val="231F20"/>
          <w:sz w:val="20"/>
        </w:rPr>
        <w:t>друг</w:t>
      </w:r>
      <w:r>
        <w:rPr>
          <w:color w:val="231F20"/>
          <w:spacing w:val="-8"/>
          <w:sz w:val="20"/>
        </w:rPr>
        <w:t> </w:t>
      </w:r>
      <w:r>
        <w:rPr>
          <w:color w:val="231F20"/>
          <w:spacing w:val="-2"/>
          <w:sz w:val="20"/>
        </w:rPr>
        <w:t>друга</w:t>
      </w:r>
    </w:p>
    <w:p>
      <w:pPr>
        <w:pStyle w:val="ListParagraph"/>
        <w:numPr>
          <w:ilvl w:val="0"/>
          <w:numId w:val="318"/>
        </w:numPr>
        <w:tabs>
          <w:tab w:pos="424" w:val="left" w:leader="none"/>
        </w:tabs>
        <w:spacing w:line="228" w:lineRule="exact" w:before="0" w:after="0"/>
        <w:ind w:left="424" w:right="0" w:hanging="283"/>
        <w:jc w:val="left"/>
        <w:rPr>
          <w:sz w:val="20"/>
        </w:rPr>
      </w:pPr>
      <w:r>
        <w:rPr>
          <w:color w:val="231F20"/>
          <w:sz w:val="20"/>
        </w:rPr>
        <w:t>некоторые</w:t>
      </w:r>
      <w:r>
        <w:rPr>
          <w:color w:val="231F20"/>
          <w:spacing w:val="-11"/>
          <w:sz w:val="20"/>
        </w:rPr>
        <w:t> </w:t>
      </w:r>
      <w:r>
        <w:rPr>
          <w:color w:val="231F20"/>
          <w:sz w:val="20"/>
        </w:rPr>
        <w:t>не</w:t>
      </w:r>
      <w:r>
        <w:rPr>
          <w:color w:val="231F20"/>
          <w:spacing w:val="-10"/>
          <w:sz w:val="20"/>
        </w:rPr>
        <w:t> </w:t>
      </w:r>
      <w:r>
        <w:rPr>
          <w:color w:val="231F20"/>
          <w:sz w:val="20"/>
        </w:rPr>
        <w:t>хотят</w:t>
      </w:r>
      <w:r>
        <w:rPr>
          <w:color w:val="231F20"/>
          <w:spacing w:val="-10"/>
          <w:sz w:val="20"/>
        </w:rPr>
        <w:t> </w:t>
      </w:r>
      <w:r>
        <w:rPr>
          <w:color w:val="231F20"/>
          <w:spacing w:val="-2"/>
          <w:sz w:val="20"/>
        </w:rPr>
        <w:t>работать;</w:t>
      </w:r>
    </w:p>
    <w:p>
      <w:pPr>
        <w:pStyle w:val="ListParagraph"/>
        <w:spacing w:after="0" w:line="228" w:lineRule="exact"/>
        <w:jc w:val="left"/>
        <w:rPr>
          <w:sz w:val="20"/>
        </w:rPr>
        <w:sectPr>
          <w:pgSz w:w="8400" w:h="11910"/>
          <w:pgMar w:header="0" w:footer="530" w:top="400" w:bottom="72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ListParagraph"/>
        <w:numPr>
          <w:ilvl w:val="0"/>
          <w:numId w:val="318"/>
        </w:numPr>
        <w:tabs>
          <w:tab w:pos="424" w:val="left" w:leader="none"/>
        </w:tabs>
        <w:spacing w:line="228" w:lineRule="exact" w:before="112" w:after="0"/>
        <w:ind w:left="424" w:right="0" w:hanging="283"/>
        <w:jc w:val="left"/>
        <w:rPr>
          <w:sz w:val="20"/>
        </w:rPr>
      </w:pPr>
      <w:r>
        <w:rPr>
          <w:color w:val="231F20"/>
          <w:sz w:val="20"/>
        </w:rPr>
        <w:t>один</w:t>
      </w:r>
      <w:r>
        <w:rPr>
          <w:color w:val="231F20"/>
          <w:spacing w:val="-10"/>
          <w:sz w:val="20"/>
        </w:rPr>
        <w:t> </w:t>
      </w:r>
      <w:r>
        <w:rPr>
          <w:color w:val="231F20"/>
          <w:sz w:val="20"/>
        </w:rPr>
        <w:t>из</w:t>
      </w:r>
      <w:r>
        <w:rPr>
          <w:color w:val="231F20"/>
          <w:spacing w:val="-8"/>
          <w:sz w:val="20"/>
        </w:rPr>
        <w:t> </w:t>
      </w:r>
      <w:r>
        <w:rPr>
          <w:color w:val="231F20"/>
          <w:sz w:val="20"/>
        </w:rPr>
        <w:t>участников</w:t>
      </w:r>
      <w:r>
        <w:rPr>
          <w:color w:val="231F20"/>
          <w:spacing w:val="-7"/>
          <w:sz w:val="20"/>
        </w:rPr>
        <w:t> </w:t>
      </w:r>
      <w:r>
        <w:rPr>
          <w:color w:val="231F20"/>
          <w:sz w:val="20"/>
        </w:rPr>
        <w:t>предпочитает</w:t>
      </w:r>
      <w:r>
        <w:rPr>
          <w:color w:val="231F20"/>
          <w:spacing w:val="-8"/>
          <w:sz w:val="20"/>
        </w:rPr>
        <w:t> </w:t>
      </w:r>
      <w:r>
        <w:rPr>
          <w:color w:val="231F20"/>
          <w:sz w:val="20"/>
        </w:rPr>
        <w:t>работать</w:t>
      </w:r>
      <w:r>
        <w:rPr>
          <w:color w:val="231F20"/>
          <w:spacing w:val="-7"/>
          <w:sz w:val="20"/>
        </w:rPr>
        <w:t> </w:t>
      </w:r>
      <w:r>
        <w:rPr>
          <w:color w:val="231F20"/>
          <w:spacing w:val="-2"/>
          <w:sz w:val="20"/>
        </w:rPr>
        <w:t>индивидуально;</w:t>
      </w:r>
    </w:p>
    <w:p>
      <w:pPr>
        <w:pStyle w:val="ListParagraph"/>
        <w:numPr>
          <w:ilvl w:val="0"/>
          <w:numId w:val="318"/>
        </w:numPr>
        <w:tabs>
          <w:tab w:pos="424" w:val="left" w:leader="none"/>
        </w:tabs>
        <w:spacing w:line="228" w:lineRule="exact" w:before="0" w:after="0"/>
        <w:ind w:left="424" w:right="0" w:hanging="283"/>
        <w:jc w:val="left"/>
        <w:rPr>
          <w:sz w:val="20"/>
        </w:rPr>
      </w:pPr>
      <w:r>
        <w:rPr>
          <w:color w:val="231F20"/>
          <w:sz w:val="20"/>
        </w:rPr>
        <w:t>все</w:t>
      </w:r>
      <w:r>
        <w:rPr>
          <w:color w:val="231F20"/>
          <w:spacing w:val="-4"/>
          <w:sz w:val="20"/>
        </w:rPr>
        <w:t> </w:t>
      </w:r>
      <w:r>
        <w:rPr>
          <w:color w:val="231F20"/>
          <w:sz w:val="20"/>
        </w:rPr>
        <w:t>говорят</w:t>
      </w:r>
      <w:r>
        <w:rPr>
          <w:color w:val="231F20"/>
          <w:spacing w:val="-3"/>
          <w:sz w:val="20"/>
        </w:rPr>
        <w:t> </w:t>
      </w:r>
      <w:r>
        <w:rPr>
          <w:color w:val="231F20"/>
          <w:sz w:val="20"/>
        </w:rPr>
        <w:t>одновременно,</w:t>
      </w:r>
      <w:r>
        <w:rPr>
          <w:color w:val="231F20"/>
          <w:spacing w:val="-4"/>
          <w:sz w:val="20"/>
        </w:rPr>
        <w:t> </w:t>
      </w:r>
      <w:r>
        <w:rPr>
          <w:color w:val="231F20"/>
          <w:sz w:val="20"/>
        </w:rPr>
        <w:t>никто</w:t>
      </w:r>
      <w:r>
        <w:rPr>
          <w:color w:val="231F20"/>
          <w:spacing w:val="-3"/>
          <w:sz w:val="20"/>
        </w:rPr>
        <w:t> </w:t>
      </w:r>
      <w:r>
        <w:rPr>
          <w:color w:val="231F20"/>
          <w:sz w:val="20"/>
        </w:rPr>
        <w:t>не</w:t>
      </w:r>
      <w:r>
        <w:rPr>
          <w:color w:val="231F20"/>
          <w:spacing w:val="-4"/>
          <w:sz w:val="20"/>
        </w:rPr>
        <w:t> </w:t>
      </w:r>
      <w:r>
        <w:rPr>
          <w:color w:val="231F20"/>
          <w:sz w:val="20"/>
        </w:rPr>
        <w:t>слушает</w:t>
      </w:r>
      <w:r>
        <w:rPr>
          <w:color w:val="231F20"/>
          <w:spacing w:val="-3"/>
          <w:sz w:val="20"/>
        </w:rPr>
        <w:t> </w:t>
      </w:r>
      <w:r>
        <w:rPr>
          <w:color w:val="231F20"/>
          <w:spacing w:val="-2"/>
          <w:sz w:val="20"/>
        </w:rPr>
        <w:t>другого.</w:t>
      </w:r>
    </w:p>
    <w:p>
      <w:pPr>
        <w:pStyle w:val="BodyText"/>
        <w:spacing w:line="235" w:lineRule="auto"/>
      </w:pPr>
      <w:r>
        <w:rPr>
          <w:color w:val="231F20"/>
        </w:rPr>
        <w:t>Затем из этого списка выбираются три наиболее актуальных или наиболее слож- ных ситуации, которые разыгрываются участниками тренинга.</w:t>
      </w:r>
    </w:p>
    <w:p>
      <w:pPr>
        <w:pStyle w:val="BodyText"/>
        <w:spacing w:line="235" w:lineRule="auto" w:before="1"/>
      </w:pPr>
      <w:r>
        <w:rPr>
          <w:color w:val="231F20"/>
        </w:rPr>
        <w:t>После этого участник, игравший роль лидера, получает обратную связь относи- тельно своего поведения: что он сделал хорошо, что можно было бы изменить, что ему не удалось. Идет обсуждение способов наиболее эффективно справляться с раз- личными ситуациями. Участники обсуждают достоинства и недостатки каждой мо- дели поведения.</w:t>
      </w:r>
    </w:p>
    <w:p>
      <w:pPr>
        <w:pStyle w:val="BodyText"/>
        <w:spacing w:line="235" w:lineRule="auto" w:before="3"/>
      </w:pPr>
      <w:r>
        <w:rPr>
          <w:color w:val="231F20"/>
        </w:rPr>
        <w:t>Затем</w:t>
      </w:r>
      <w:r>
        <w:rPr>
          <w:color w:val="231F20"/>
          <w:spacing w:val="-9"/>
        </w:rPr>
        <w:t> </w:t>
      </w:r>
      <w:r>
        <w:rPr>
          <w:color w:val="231F20"/>
        </w:rPr>
        <w:t>ситуация</w:t>
      </w:r>
      <w:r>
        <w:rPr>
          <w:color w:val="231F20"/>
          <w:spacing w:val="-9"/>
        </w:rPr>
        <w:t> </w:t>
      </w:r>
      <w:r>
        <w:rPr>
          <w:color w:val="231F20"/>
        </w:rPr>
        <w:t>проигрывается</w:t>
      </w:r>
      <w:r>
        <w:rPr>
          <w:color w:val="231F20"/>
          <w:spacing w:val="-9"/>
        </w:rPr>
        <w:t> </w:t>
      </w:r>
      <w:r>
        <w:rPr>
          <w:color w:val="231F20"/>
        </w:rPr>
        <w:t>еще</w:t>
      </w:r>
      <w:r>
        <w:rPr>
          <w:color w:val="231F20"/>
          <w:spacing w:val="-9"/>
        </w:rPr>
        <w:t> </w:t>
      </w:r>
      <w:r>
        <w:rPr>
          <w:color w:val="231F20"/>
        </w:rPr>
        <w:t>раз,</w:t>
      </w:r>
      <w:r>
        <w:rPr>
          <w:color w:val="231F20"/>
          <w:spacing w:val="-9"/>
        </w:rPr>
        <w:t> </w:t>
      </w:r>
      <w:r>
        <w:rPr>
          <w:color w:val="231F20"/>
        </w:rPr>
        <w:t>с</w:t>
      </w:r>
      <w:r>
        <w:rPr>
          <w:color w:val="231F20"/>
          <w:spacing w:val="-9"/>
        </w:rPr>
        <w:t> </w:t>
      </w:r>
      <w:r>
        <w:rPr>
          <w:color w:val="231F20"/>
        </w:rPr>
        <w:t>учетом</w:t>
      </w:r>
      <w:r>
        <w:rPr>
          <w:color w:val="231F20"/>
          <w:spacing w:val="-9"/>
        </w:rPr>
        <w:t> </w:t>
      </w:r>
      <w:r>
        <w:rPr>
          <w:color w:val="231F20"/>
        </w:rPr>
        <w:t>всех</w:t>
      </w:r>
      <w:r>
        <w:rPr>
          <w:color w:val="231F20"/>
          <w:spacing w:val="-9"/>
        </w:rPr>
        <w:t> </w:t>
      </w:r>
      <w:r>
        <w:rPr>
          <w:color w:val="231F20"/>
        </w:rPr>
        <w:t>замечаний.</w:t>
      </w:r>
      <w:r>
        <w:rPr>
          <w:color w:val="231F20"/>
          <w:spacing w:val="-9"/>
        </w:rPr>
        <w:t> </w:t>
      </w:r>
      <w:r>
        <w:rPr>
          <w:color w:val="231F20"/>
        </w:rPr>
        <w:t>Группа</w:t>
      </w:r>
      <w:r>
        <w:rPr>
          <w:color w:val="231F20"/>
          <w:spacing w:val="-9"/>
        </w:rPr>
        <w:t> </w:t>
      </w:r>
      <w:r>
        <w:rPr>
          <w:color w:val="231F20"/>
        </w:rPr>
        <w:t>обобща- ет</w:t>
      </w:r>
      <w:r>
        <w:rPr>
          <w:color w:val="231F20"/>
          <w:spacing w:val="-7"/>
        </w:rPr>
        <w:t> </w:t>
      </w:r>
      <w:r>
        <w:rPr>
          <w:color w:val="231F20"/>
        </w:rPr>
        <w:t>результаты</w:t>
      </w:r>
      <w:r>
        <w:rPr>
          <w:color w:val="231F20"/>
          <w:spacing w:val="-7"/>
        </w:rPr>
        <w:t> </w:t>
      </w:r>
      <w:r>
        <w:rPr>
          <w:color w:val="231F20"/>
        </w:rPr>
        <w:t>обсуждения</w:t>
      </w:r>
      <w:r>
        <w:rPr>
          <w:color w:val="231F20"/>
          <w:spacing w:val="-7"/>
        </w:rPr>
        <w:t> </w:t>
      </w:r>
      <w:r>
        <w:rPr>
          <w:color w:val="231F20"/>
        </w:rPr>
        <w:t>и</w:t>
      </w:r>
      <w:r>
        <w:rPr>
          <w:color w:val="231F20"/>
          <w:spacing w:val="-7"/>
        </w:rPr>
        <w:t> </w:t>
      </w:r>
      <w:r>
        <w:rPr>
          <w:color w:val="231F20"/>
        </w:rPr>
        <w:t>выделяет</w:t>
      </w:r>
      <w:r>
        <w:rPr>
          <w:color w:val="231F20"/>
          <w:spacing w:val="-7"/>
        </w:rPr>
        <w:t> </w:t>
      </w:r>
      <w:r>
        <w:rPr>
          <w:color w:val="231F20"/>
        </w:rPr>
        <w:t>те</w:t>
      </w:r>
      <w:r>
        <w:rPr>
          <w:color w:val="231F20"/>
          <w:spacing w:val="-7"/>
        </w:rPr>
        <w:t> </w:t>
      </w:r>
      <w:r>
        <w:rPr>
          <w:color w:val="231F20"/>
        </w:rPr>
        <w:t>модели</w:t>
      </w:r>
      <w:r>
        <w:rPr>
          <w:color w:val="231F20"/>
          <w:spacing w:val="-7"/>
        </w:rPr>
        <w:t> </w:t>
      </w:r>
      <w:r>
        <w:rPr>
          <w:color w:val="231F20"/>
        </w:rPr>
        <w:t>поведения,</w:t>
      </w:r>
      <w:r>
        <w:rPr>
          <w:color w:val="231F20"/>
          <w:spacing w:val="-7"/>
        </w:rPr>
        <w:t> </w:t>
      </w:r>
      <w:r>
        <w:rPr>
          <w:color w:val="231F20"/>
        </w:rPr>
        <w:t>которые</w:t>
      </w:r>
      <w:r>
        <w:rPr>
          <w:color w:val="231F20"/>
          <w:spacing w:val="-7"/>
        </w:rPr>
        <w:t> </w:t>
      </w:r>
      <w:r>
        <w:rPr>
          <w:color w:val="231F20"/>
        </w:rPr>
        <w:t>кажутся</w:t>
      </w:r>
      <w:r>
        <w:rPr>
          <w:color w:val="231F20"/>
          <w:spacing w:val="-7"/>
        </w:rPr>
        <w:t> </w:t>
      </w:r>
      <w:r>
        <w:rPr>
          <w:color w:val="231F20"/>
        </w:rPr>
        <w:t>ей</w:t>
      </w:r>
      <w:r>
        <w:rPr>
          <w:color w:val="231F20"/>
          <w:spacing w:val="-7"/>
        </w:rPr>
        <w:t> </w:t>
      </w:r>
      <w:r>
        <w:rPr>
          <w:color w:val="231F20"/>
        </w:rPr>
        <w:t>наи- более</w:t>
      </w:r>
      <w:r>
        <w:rPr>
          <w:color w:val="231F20"/>
          <w:spacing w:val="-4"/>
        </w:rPr>
        <w:t> </w:t>
      </w:r>
      <w:r>
        <w:rPr>
          <w:color w:val="231F20"/>
        </w:rPr>
        <w:t>эффективными.</w:t>
      </w:r>
      <w:r>
        <w:rPr>
          <w:color w:val="231F20"/>
          <w:spacing w:val="-4"/>
        </w:rPr>
        <w:t> </w:t>
      </w:r>
      <w:r>
        <w:rPr>
          <w:color w:val="231F20"/>
        </w:rPr>
        <w:t>Важно,</w:t>
      </w:r>
      <w:r>
        <w:rPr>
          <w:color w:val="231F20"/>
          <w:spacing w:val="-4"/>
        </w:rPr>
        <w:t> </w:t>
      </w:r>
      <w:r>
        <w:rPr>
          <w:color w:val="231F20"/>
        </w:rPr>
        <w:t>чтобы</w:t>
      </w:r>
      <w:r>
        <w:rPr>
          <w:color w:val="231F20"/>
          <w:spacing w:val="-4"/>
        </w:rPr>
        <w:t> </w:t>
      </w:r>
      <w:r>
        <w:rPr>
          <w:color w:val="231F20"/>
        </w:rPr>
        <w:t>все</w:t>
      </w:r>
      <w:r>
        <w:rPr>
          <w:color w:val="231F20"/>
          <w:spacing w:val="-4"/>
        </w:rPr>
        <w:t> </w:t>
      </w:r>
      <w:r>
        <w:rPr>
          <w:color w:val="231F20"/>
        </w:rPr>
        <w:t>лидеры</w:t>
      </w:r>
      <w:r>
        <w:rPr>
          <w:color w:val="231F20"/>
          <w:spacing w:val="-4"/>
        </w:rPr>
        <w:t> </w:t>
      </w:r>
      <w:r>
        <w:rPr>
          <w:color w:val="231F20"/>
        </w:rPr>
        <w:t>групп</w:t>
      </w:r>
      <w:r>
        <w:rPr>
          <w:color w:val="231F20"/>
          <w:spacing w:val="-4"/>
        </w:rPr>
        <w:t> </w:t>
      </w:r>
      <w:r>
        <w:rPr>
          <w:color w:val="231F20"/>
        </w:rPr>
        <w:t>понимали,</w:t>
      </w:r>
      <w:r>
        <w:rPr>
          <w:color w:val="231F20"/>
          <w:spacing w:val="-4"/>
        </w:rPr>
        <w:t> </w:t>
      </w:r>
      <w:r>
        <w:rPr>
          <w:color w:val="231F20"/>
        </w:rPr>
        <w:t>что</w:t>
      </w:r>
      <w:r>
        <w:rPr>
          <w:color w:val="231F20"/>
          <w:spacing w:val="-4"/>
        </w:rPr>
        <w:t> </w:t>
      </w:r>
      <w:r>
        <w:rPr>
          <w:color w:val="231F20"/>
        </w:rPr>
        <w:t>нет</w:t>
      </w:r>
      <w:r>
        <w:rPr>
          <w:color w:val="231F20"/>
          <w:spacing w:val="-4"/>
        </w:rPr>
        <w:t> </w:t>
      </w:r>
      <w:r>
        <w:rPr>
          <w:color w:val="231F20"/>
        </w:rPr>
        <w:t>единствен- но правильного варианта поведения, который бы работал во всех без исключения ситуациях.</w:t>
      </w:r>
      <w:r>
        <w:rPr>
          <w:color w:val="231F20"/>
          <w:spacing w:val="-2"/>
        </w:rPr>
        <w:t> </w:t>
      </w:r>
      <w:r>
        <w:rPr>
          <w:color w:val="231F20"/>
        </w:rPr>
        <w:t>Но</w:t>
      </w:r>
      <w:r>
        <w:rPr>
          <w:color w:val="231F20"/>
          <w:spacing w:val="-2"/>
        </w:rPr>
        <w:t> </w:t>
      </w:r>
      <w:r>
        <w:rPr>
          <w:color w:val="231F20"/>
        </w:rPr>
        <w:t>при</w:t>
      </w:r>
      <w:r>
        <w:rPr>
          <w:color w:val="231F20"/>
          <w:spacing w:val="-2"/>
        </w:rPr>
        <w:t> </w:t>
      </w:r>
      <w:r>
        <w:rPr>
          <w:color w:val="231F20"/>
        </w:rPr>
        <w:t>этом</w:t>
      </w:r>
      <w:r>
        <w:rPr>
          <w:color w:val="231F20"/>
          <w:spacing w:val="-2"/>
        </w:rPr>
        <w:t> </w:t>
      </w:r>
      <w:r>
        <w:rPr>
          <w:color w:val="231F20"/>
        </w:rPr>
        <w:t>есть</w:t>
      </w:r>
      <w:r>
        <w:rPr>
          <w:color w:val="231F20"/>
          <w:spacing w:val="-2"/>
        </w:rPr>
        <w:t> </w:t>
      </w:r>
      <w:r>
        <w:rPr>
          <w:color w:val="231F20"/>
        </w:rPr>
        <w:t>способы,</w:t>
      </w:r>
      <w:r>
        <w:rPr>
          <w:color w:val="231F20"/>
          <w:spacing w:val="-2"/>
        </w:rPr>
        <w:t> </w:t>
      </w:r>
      <w:r>
        <w:rPr>
          <w:color w:val="231F20"/>
        </w:rPr>
        <w:t>подходящие</w:t>
      </w:r>
      <w:r>
        <w:rPr>
          <w:color w:val="231F20"/>
          <w:spacing w:val="-2"/>
        </w:rPr>
        <w:t> </w:t>
      </w:r>
      <w:r>
        <w:rPr>
          <w:color w:val="231F20"/>
        </w:rPr>
        <w:t>к</w:t>
      </w:r>
      <w:r>
        <w:rPr>
          <w:color w:val="231F20"/>
          <w:spacing w:val="-2"/>
        </w:rPr>
        <w:t> </w:t>
      </w:r>
      <w:r>
        <w:rPr>
          <w:color w:val="231F20"/>
        </w:rPr>
        <w:t>разрешению</w:t>
      </w:r>
      <w:r>
        <w:rPr>
          <w:color w:val="231F20"/>
          <w:spacing w:val="-2"/>
        </w:rPr>
        <w:t> </w:t>
      </w:r>
      <w:r>
        <w:rPr>
          <w:color w:val="231F20"/>
        </w:rPr>
        <w:t>одной</w:t>
      </w:r>
      <w:r>
        <w:rPr>
          <w:color w:val="231F20"/>
          <w:spacing w:val="-2"/>
        </w:rPr>
        <w:t> </w:t>
      </w:r>
      <w:r>
        <w:rPr>
          <w:color w:val="231F20"/>
        </w:rPr>
        <w:t>ситуации,</w:t>
      </w:r>
      <w:r>
        <w:rPr>
          <w:color w:val="231F20"/>
          <w:spacing w:val="-2"/>
        </w:rPr>
        <w:t> </w:t>
      </w:r>
      <w:r>
        <w:rPr>
          <w:color w:val="231F20"/>
        </w:rPr>
        <w:t>и способы, более пригодные для другой.</w:t>
      </w:r>
    </w:p>
    <w:p>
      <w:pPr>
        <w:pStyle w:val="BodyText"/>
        <w:spacing w:line="235" w:lineRule="auto" w:before="4"/>
      </w:pPr>
      <w:r>
        <w:rPr>
          <w:color w:val="231F20"/>
        </w:rPr>
        <w:t>Таким образом, работа группы по разрешению проблемных ситуаций строится следующим образом:</w:t>
      </w:r>
    </w:p>
    <w:p>
      <w:pPr>
        <w:pStyle w:val="ListParagraph"/>
        <w:numPr>
          <w:ilvl w:val="0"/>
          <w:numId w:val="319"/>
        </w:numPr>
        <w:tabs>
          <w:tab w:pos="425" w:val="left" w:leader="none"/>
        </w:tabs>
        <w:spacing w:line="225" w:lineRule="exact" w:before="0" w:after="0"/>
        <w:ind w:left="425" w:right="0" w:hanging="284"/>
        <w:jc w:val="left"/>
        <w:rPr>
          <w:sz w:val="20"/>
        </w:rPr>
      </w:pPr>
      <w:r>
        <w:rPr>
          <w:color w:val="231F20"/>
          <w:sz w:val="20"/>
        </w:rPr>
        <w:t>Составление</w:t>
      </w:r>
      <w:r>
        <w:rPr>
          <w:color w:val="231F20"/>
          <w:spacing w:val="-3"/>
          <w:sz w:val="20"/>
        </w:rPr>
        <w:t> </w:t>
      </w:r>
      <w:r>
        <w:rPr>
          <w:color w:val="231F20"/>
          <w:sz w:val="20"/>
        </w:rPr>
        <w:t>списка</w:t>
      </w:r>
      <w:r>
        <w:rPr>
          <w:color w:val="231F20"/>
          <w:spacing w:val="-3"/>
          <w:sz w:val="20"/>
        </w:rPr>
        <w:t> </w:t>
      </w:r>
      <w:r>
        <w:rPr>
          <w:color w:val="231F20"/>
          <w:sz w:val="20"/>
        </w:rPr>
        <w:t>сложных</w:t>
      </w:r>
      <w:r>
        <w:rPr>
          <w:color w:val="231F20"/>
          <w:spacing w:val="-2"/>
          <w:sz w:val="20"/>
        </w:rPr>
        <w:t> ситуаций.</w:t>
      </w:r>
    </w:p>
    <w:p>
      <w:pPr>
        <w:pStyle w:val="ListParagraph"/>
        <w:numPr>
          <w:ilvl w:val="0"/>
          <w:numId w:val="319"/>
        </w:numPr>
        <w:tabs>
          <w:tab w:pos="425" w:val="left" w:leader="none"/>
        </w:tabs>
        <w:spacing w:line="226" w:lineRule="exact" w:before="0" w:after="0"/>
        <w:ind w:left="425" w:right="0" w:hanging="284"/>
        <w:jc w:val="left"/>
        <w:rPr>
          <w:sz w:val="20"/>
        </w:rPr>
      </w:pPr>
      <w:r>
        <w:rPr>
          <w:color w:val="231F20"/>
          <w:sz w:val="20"/>
        </w:rPr>
        <w:t>Разыгрывание</w:t>
      </w:r>
      <w:r>
        <w:rPr>
          <w:color w:val="231F20"/>
          <w:spacing w:val="-10"/>
          <w:sz w:val="20"/>
        </w:rPr>
        <w:t> </w:t>
      </w:r>
      <w:r>
        <w:rPr>
          <w:color w:val="231F20"/>
          <w:spacing w:val="-2"/>
          <w:sz w:val="20"/>
        </w:rPr>
        <w:t>ситуаций.</w:t>
      </w:r>
    </w:p>
    <w:p>
      <w:pPr>
        <w:pStyle w:val="ListParagraph"/>
        <w:numPr>
          <w:ilvl w:val="0"/>
          <w:numId w:val="319"/>
        </w:numPr>
        <w:tabs>
          <w:tab w:pos="425" w:val="left" w:leader="none"/>
        </w:tabs>
        <w:spacing w:line="226" w:lineRule="exact" w:before="0" w:after="0"/>
        <w:ind w:left="425" w:right="0" w:hanging="284"/>
        <w:jc w:val="left"/>
        <w:rPr>
          <w:sz w:val="20"/>
        </w:rPr>
      </w:pPr>
      <w:r>
        <w:rPr>
          <w:color w:val="231F20"/>
          <w:sz w:val="20"/>
        </w:rPr>
        <w:t>Обсуждение,</w:t>
      </w:r>
      <w:r>
        <w:rPr>
          <w:color w:val="231F20"/>
          <w:spacing w:val="-6"/>
          <w:sz w:val="20"/>
        </w:rPr>
        <w:t> </w:t>
      </w:r>
      <w:r>
        <w:rPr>
          <w:color w:val="231F20"/>
          <w:spacing w:val="-2"/>
          <w:sz w:val="20"/>
        </w:rPr>
        <w:t>критика.</w:t>
      </w:r>
    </w:p>
    <w:p>
      <w:pPr>
        <w:pStyle w:val="ListParagraph"/>
        <w:numPr>
          <w:ilvl w:val="0"/>
          <w:numId w:val="319"/>
        </w:numPr>
        <w:tabs>
          <w:tab w:pos="425" w:val="left" w:leader="none"/>
        </w:tabs>
        <w:spacing w:line="226" w:lineRule="exact" w:before="0" w:after="0"/>
        <w:ind w:left="425" w:right="0" w:hanging="284"/>
        <w:jc w:val="left"/>
        <w:rPr>
          <w:sz w:val="20"/>
        </w:rPr>
      </w:pPr>
      <w:r>
        <w:rPr>
          <w:color w:val="231F20"/>
          <w:sz w:val="20"/>
        </w:rPr>
        <w:t>Повторное</w:t>
      </w:r>
      <w:r>
        <w:rPr>
          <w:color w:val="231F20"/>
          <w:spacing w:val="-9"/>
          <w:sz w:val="20"/>
        </w:rPr>
        <w:t> </w:t>
      </w:r>
      <w:r>
        <w:rPr>
          <w:color w:val="231F20"/>
          <w:sz w:val="20"/>
        </w:rPr>
        <w:t>разыгрывание</w:t>
      </w:r>
      <w:r>
        <w:rPr>
          <w:color w:val="231F20"/>
          <w:spacing w:val="-9"/>
          <w:sz w:val="20"/>
        </w:rPr>
        <w:t> </w:t>
      </w:r>
      <w:r>
        <w:rPr>
          <w:color w:val="231F20"/>
          <w:spacing w:val="-2"/>
          <w:sz w:val="20"/>
        </w:rPr>
        <w:t>ситуаций.</w:t>
      </w:r>
    </w:p>
    <w:p>
      <w:pPr>
        <w:pStyle w:val="ListParagraph"/>
        <w:numPr>
          <w:ilvl w:val="0"/>
          <w:numId w:val="319"/>
        </w:numPr>
        <w:tabs>
          <w:tab w:pos="425" w:val="left" w:leader="none"/>
        </w:tabs>
        <w:spacing w:line="226" w:lineRule="exact" w:before="0" w:after="0"/>
        <w:ind w:left="425" w:right="0" w:hanging="284"/>
        <w:jc w:val="left"/>
        <w:rPr>
          <w:sz w:val="20"/>
        </w:rPr>
      </w:pPr>
      <w:r>
        <w:rPr>
          <w:color w:val="231F20"/>
          <w:sz w:val="20"/>
        </w:rPr>
        <w:t>Разработка</w:t>
      </w:r>
      <w:r>
        <w:rPr>
          <w:color w:val="231F20"/>
          <w:spacing w:val="-6"/>
          <w:sz w:val="20"/>
        </w:rPr>
        <w:t> </w:t>
      </w:r>
      <w:r>
        <w:rPr>
          <w:color w:val="231F20"/>
          <w:sz w:val="20"/>
        </w:rPr>
        <w:t>принципов</w:t>
      </w:r>
      <w:r>
        <w:rPr>
          <w:color w:val="231F20"/>
          <w:spacing w:val="-7"/>
          <w:sz w:val="20"/>
        </w:rPr>
        <w:t> </w:t>
      </w:r>
      <w:r>
        <w:rPr>
          <w:color w:val="231F20"/>
          <w:sz w:val="20"/>
        </w:rPr>
        <w:t>поведения</w:t>
      </w:r>
      <w:r>
        <w:rPr>
          <w:color w:val="231F20"/>
          <w:spacing w:val="-6"/>
          <w:sz w:val="20"/>
        </w:rPr>
        <w:t> </w:t>
      </w:r>
      <w:r>
        <w:rPr>
          <w:color w:val="231F20"/>
          <w:sz w:val="20"/>
        </w:rPr>
        <w:t>в</w:t>
      </w:r>
      <w:r>
        <w:rPr>
          <w:color w:val="231F20"/>
          <w:spacing w:val="-7"/>
          <w:sz w:val="20"/>
        </w:rPr>
        <w:t> </w:t>
      </w:r>
      <w:r>
        <w:rPr>
          <w:color w:val="231F20"/>
          <w:sz w:val="20"/>
        </w:rPr>
        <w:t>сложной</w:t>
      </w:r>
      <w:r>
        <w:rPr>
          <w:color w:val="231F20"/>
          <w:spacing w:val="-6"/>
          <w:sz w:val="20"/>
        </w:rPr>
        <w:t> </w:t>
      </w:r>
      <w:r>
        <w:rPr>
          <w:color w:val="231F20"/>
          <w:spacing w:val="-2"/>
          <w:sz w:val="20"/>
        </w:rPr>
        <w:t>ситуации.</w:t>
      </w:r>
    </w:p>
    <w:p>
      <w:pPr>
        <w:pStyle w:val="BodyText"/>
        <w:spacing w:line="235" w:lineRule="auto" w:before="2"/>
      </w:pPr>
      <w:r>
        <w:rPr>
          <w:color w:val="231F20"/>
        </w:rPr>
        <w:t>Также</w:t>
      </w:r>
      <w:r>
        <w:rPr>
          <w:color w:val="231F20"/>
          <w:spacing w:val="-8"/>
        </w:rPr>
        <w:t> </w:t>
      </w:r>
      <w:r>
        <w:rPr>
          <w:color w:val="231F20"/>
        </w:rPr>
        <w:t>важный</w:t>
      </w:r>
      <w:r>
        <w:rPr>
          <w:color w:val="231F20"/>
          <w:spacing w:val="-8"/>
        </w:rPr>
        <w:t> </w:t>
      </w:r>
      <w:r>
        <w:rPr>
          <w:color w:val="231F20"/>
        </w:rPr>
        <w:t>вопрос,</w:t>
      </w:r>
      <w:r>
        <w:rPr>
          <w:color w:val="231F20"/>
          <w:spacing w:val="-8"/>
        </w:rPr>
        <w:t> </w:t>
      </w:r>
      <w:r>
        <w:rPr>
          <w:color w:val="231F20"/>
        </w:rPr>
        <w:t>чем</w:t>
      </w:r>
      <w:r>
        <w:rPr>
          <w:color w:val="231F20"/>
          <w:spacing w:val="-8"/>
        </w:rPr>
        <w:t> </w:t>
      </w:r>
      <w:r>
        <w:rPr>
          <w:color w:val="231F20"/>
        </w:rPr>
        <w:t>занять</w:t>
      </w:r>
      <w:r>
        <w:rPr>
          <w:color w:val="231F20"/>
          <w:spacing w:val="-8"/>
        </w:rPr>
        <w:t> </w:t>
      </w:r>
      <w:r>
        <w:rPr>
          <w:color w:val="231F20"/>
        </w:rPr>
        <w:t>класс,</w:t>
      </w:r>
      <w:r>
        <w:rPr>
          <w:color w:val="231F20"/>
          <w:spacing w:val="-8"/>
        </w:rPr>
        <w:t> </w:t>
      </w:r>
      <w:r>
        <w:rPr>
          <w:color w:val="231F20"/>
        </w:rPr>
        <w:t>пока</w:t>
      </w:r>
      <w:r>
        <w:rPr>
          <w:color w:val="231F20"/>
          <w:spacing w:val="-8"/>
        </w:rPr>
        <w:t> </w:t>
      </w:r>
      <w:r>
        <w:rPr>
          <w:color w:val="231F20"/>
        </w:rPr>
        <w:t>учитель</w:t>
      </w:r>
      <w:r>
        <w:rPr>
          <w:color w:val="231F20"/>
          <w:spacing w:val="-8"/>
        </w:rPr>
        <w:t> </w:t>
      </w:r>
      <w:r>
        <w:rPr>
          <w:color w:val="231F20"/>
        </w:rPr>
        <w:t>проводит</w:t>
      </w:r>
      <w:r>
        <w:rPr>
          <w:color w:val="231F20"/>
          <w:spacing w:val="-8"/>
        </w:rPr>
        <w:t> </w:t>
      </w:r>
      <w:r>
        <w:rPr>
          <w:color w:val="231F20"/>
        </w:rPr>
        <w:t>занятие</w:t>
      </w:r>
      <w:r>
        <w:rPr>
          <w:color w:val="231F20"/>
          <w:spacing w:val="-8"/>
        </w:rPr>
        <w:t> </w:t>
      </w:r>
      <w:r>
        <w:rPr>
          <w:color w:val="231F20"/>
        </w:rPr>
        <w:t>с</w:t>
      </w:r>
      <w:r>
        <w:rPr>
          <w:color w:val="231F20"/>
          <w:spacing w:val="-8"/>
        </w:rPr>
        <w:t> </w:t>
      </w:r>
      <w:r>
        <w:rPr>
          <w:color w:val="231F20"/>
        </w:rPr>
        <w:t>руково- дителями</w:t>
      </w:r>
      <w:r>
        <w:rPr>
          <w:color w:val="231F20"/>
          <w:spacing w:val="-8"/>
        </w:rPr>
        <w:t> </w:t>
      </w:r>
      <w:r>
        <w:rPr>
          <w:color w:val="231F20"/>
        </w:rPr>
        <w:t>групп.</w:t>
      </w:r>
      <w:r>
        <w:rPr>
          <w:color w:val="231F20"/>
          <w:spacing w:val="-7"/>
        </w:rPr>
        <w:t> </w:t>
      </w:r>
      <w:r>
        <w:rPr>
          <w:color w:val="231F20"/>
        </w:rPr>
        <w:t>Существует</w:t>
      </w:r>
      <w:r>
        <w:rPr>
          <w:color w:val="231F20"/>
          <w:spacing w:val="-7"/>
        </w:rPr>
        <w:t> </w:t>
      </w:r>
      <w:r>
        <w:rPr>
          <w:color w:val="231F20"/>
        </w:rPr>
        <w:t>несколько</w:t>
      </w:r>
      <w:r>
        <w:rPr>
          <w:color w:val="231F20"/>
          <w:spacing w:val="-7"/>
        </w:rPr>
        <w:t> </w:t>
      </w:r>
      <w:r>
        <w:rPr>
          <w:color w:val="231F20"/>
        </w:rPr>
        <w:t>вариантов.</w:t>
      </w:r>
      <w:r>
        <w:rPr>
          <w:color w:val="231F20"/>
          <w:spacing w:val="-7"/>
        </w:rPr>
        <w:t> </w:t>
      </w:r>
      <w:r>
        <w:rPr>
          <w:color w:val="231F20"/>
        </w:rPr>
        <w:t>Если</w:t>
      </w:r>
      <w:r>
        <w:rPr>
          <w:color w:val="231F20"/>
          <w:spacing w:val="-8"/>
        </w:rPr>
        <w:t> </w:t>
      </w:r>
      <w:r>
        <w:rPr>
          <w:color w:val="231F20"/>
        </w:rPr>
        <w:t>в</w:t>
      </w:r>
      <w:r>
        <w:rPr>
          <w:color w:val="231F20"/>
          <w:spacing w:val="-8"/>
        </w:rPr>
        <w:t> </w:t>
      </w:r>
      <w:r>
        <w:rPr>
          <w:color w:val="231F20"/>
        </w:rPr>
        <w:t>школе</w:t>
      </w:r>
      <w:r>
        <w:rPr>
          <w:color w:val="231F20"/>
          <w:spacing w:val="-7"/>
        </w:rPr>
        <w:t> </w:t>
      </w:r>
      <w:r>
        <w:rPr>
          <w:color w:val="231F20"/>
        </w:rPr>
        <w:t>есть</w:t>
      </w:r>
      <w:r>
        <w:rPr>
          <w:color w:val="231F20"/>
          <w:spacing w:val="-8"/>
        </w:rPr>
        <w:t> </w:t>
      </w:r>
      <w:r>
        <w:rPr>
          <w:color w:val="231F20"/>
        </w:rPr>
        <w:t>другие</w:t>
      </w:r>
      <w:r>
        <w:rPr>
          <w:color w:val="231F20"/>
          <w:spacing w:val="-7"/>
        </w:rPr>
        <w:t> </w:t>
      </w:r>
      <w:r>
        <w:rPr>
          <w:color w:val="231F20"/>
        </w:rPr>
        <w:t>классы, занимающиеся по методике «Мозаика», можно объединить их так, чтобы один учи- тель остался проводить тренинг лидеров, а другой – проводил занятие по методике. Если</w:t>
      </w:r>
      <w:r>
        <w:rPr>
          <w:color w:val="231F20"/>
          <w:spacing w:val="-6"/>
        </w:rPr>
        <w:t> </w:t>
      </w:r>
      <w:r>
        <w:rPr>
          <w:color w:val="231F20"/>
        </w:rPr>
        <w:t>такой</w:t>
      </w:r>
      <w:r>
        <w:rPr>
          <w:color w:val="231F20"/>
          <w:spacing w:val="-6"/>
        </w:rPr>
        <w:t> </w:t>
      </w:r>
      <w:r>
        <w:rPr>
          <w:color w:val="231F20"/>
        </w:rPr>
        <w:t>возможности</w:t>
      </w:r>
      <w:r>
        <w:rPr>
          <w:color w:val="231F20"/>
          <w:spacing w:val="-6"/>
        </w:rPr>
        <w:t> </w:t>
      </w:r>
      <w:r>
        <w:rPr>
          <w:color w:val="231F20"/>
        </w:rPr>
        <w:t>нет,</w:t>
      </w:r>
      <w:r>
        <w:rPr>
          <w:color w:val="231F20"/>
          <w:spacing w:val="-6"/>
        </w:rPr>
        <w:t> </w:t>
      </w:r>
      <w:r>
        <w:rPr>
          <w:color w:val="231F20"/>
        </w:rPr>
        <w:t>дать</w:t>
      </w:r>
      <w:r>
        <w:rPr>
          <w:color w:val="231F20"/>
          <w:spacing w:val="-6"/>
        </w:rPr>
        <w:t> </w:t>
      </w:r>
      <w:r>
        <w:rPr>
          <w:color w:val="231F20"/>
        </w:rPr>
        <w:t>классу</w:t>
      </w:r>
      <w:r>
        <w:rPr>
          <w:color w:val="231F20"/>
          <w:spacing w:val="-6"/>
        </w:rPr>
        <w:t> </w:t>
      </w:r>
      <w:r>
        <w:rPr>
          <w:color w:val="231F20"/>
        </w:rPr>
        <w:t>задание</w:t>
      </w:r>
      <w:r>
        <w:rPr>
          <w:color w:val="231F20"/>
          <w:spacing w:val="-6"/>
        </w:rPr>
        <w:t> </w:t>
      </w:r>
      <w:r>
        <w:rPr>
          <w:color w:val="231F20"/>
        </w:rPr>
        <w:t>подготовить</w:t>
      </w:r>
      <w:r>
        <w:rPr>
          <w:color w:val="231F20"/>
          <w:spacing w:val="-6"/>
        </w:rPr>
        <w:t> </w:t>
      </w:r>
      <w:r>
        <w:rPr>
          <w:color w:val="231F20"/>
        </w:rPr>
        <w:t>материал</w:t>
      </w:r>
      <w:r>
        <w:rPr>
          <w:color w:val="231F20"/>
          <w:spacing w:val="-6"/>
        </w:rPr>
        <w:t> </w:t>
      </w:r>
      <w:r>
        <w:rPr>
          <w:color w:val="231F20"/>
        </w:rPr>
        <w:t>для</w:t>
      </w:r>
      <w:r>
        <w:rPr>
          <w:color w:val="231F20"/>
          <w:spacing w:val="-6"/>
        </w:rPr>
        <w:t> </w:t>
      </w:r>
      <w:r>
        <w:rPr>
          <w:color w:val="231F20"/>
        </w:rPr>
        <w:t>следую- щего</w:t>
      </w:r>
      <w:r>
        <w:rPr>
          <w:color w:val="231F20"/>
          <w:spacing w:val="-7"/>
        </w:rPr>
        <w:t> </w:t>
      </w:r>
      <w:r>
        <w:rPr>
          <w:color w:val="231F20"/>
        </w:rPr>
        <w:t>занятия.</w:t>
      </w:r>
      <w:r>
        <w:rPr>
          <w:color w:val="231F20"/>
          <w:spacing w:val="-7"/>
        </w:rPr>
        <w:t> </w:t>
      </w:r>
      <w:r>
        <w:rPr>
          <w:color w:val="231F20"/>
        </w:rPr>
        <w:t>При</w:t>
      </w:r>
      <w:r>
        <w:rPr>
          <w:color w:val="231F20"/>
          <w:spacing w:val="-7"/>
        </w:rPr>
        <w:t> </w:t>
      </w:r>
      <w:r>
        <w:rPr>
          <w:color w:val="231F20"/>
        </w:rPr>
        <w:t>этом</w:t>
      </w:r>
      <w:r>
        <w:rPr>
          <w:color w:val="231F20"/>
          <w:spacing w:val="-7"/>
        </w:rPr>
        <w:t> </w:t>
      </w:r>
      <w:r>
        <w:rPr>
          <w:color w:val="231F20"/>
        </w:rPr>
        <w:t>участники</w:t>
      </w:r>
      <w:r>
        <w:rPr>
          <w:color w:val="231F20"/>
          <w:spacing w:val="-7"/>
        </w:rPr>
        <w:t> </w:t>
      </w:r>
      <w:r>
        <w:rPr>
          <w:color w:val="231F20"/>
        </w:rPr>
        <w:t>должны</w:t>
      </w:r>
      <w:r>
        <w:rPr>
          <w:color w:val="231F20"/>
          <w:spacing w:val="-7"/>
        </w:rPr>
        <w:t> </w:t>
      </w:r>
      <w:r>
        <w:rPr>
          <w:color w:val="231F20"/>
        </w:rPr>
        <w:t>будут</w:t>
      </w:r>
      <w:r>
        <w:rPr>
          <w:color w:val="231F20"/>
          <w:spacing w:val="-7"/>
        </w:rPr>
        <w:t> </w:t>
      </w:r>
      <w:r>
        <w:rPr>
          <w:color w:val="231F20"/>
        </w:rPr>
        <w:t>проявить</w:t>
      </w:r>
      <w:r>
        <w:rPr>
          <w:color w:val="231F20"/>
          <w:spacing w:val="-7"/>
        </w:rPr>
        <w:t> </w:t>
      </w:r>
      <w:r>
        <w:rPr>
          <w:color w:val="231F20"/>
        </w:rPr>
        <w:t>не</w:t>
      </w:r>
      <w:r>
        <w:rPr>
          <w:color w:val="231F20"/>
          <w:spacing w:val="-7"/>
        </w:rPr>
        <w:t> </w:t>
      </w:r>
      <w:r>
        <w:rPr>
          <w:color w:val="231F20"/>
        </w:rPr>
        <w:t>только</w:t>
      </w:r>
      <w:r>
        <w:rPr>
          <w:color w:val="231F20"/>
          <w:spacing w:val="-7"/>
        </w:rPr>
        <w:t> </w:t>
      </w:r>
      <w:r>
        <w:rPr>
          <w:color w:val="231F20"/>
        </w:rPr>
        <w:t>свои</w:t>
      </w:r>
      <w:r>
        <w:rPr>
          <w:color w:val="231F20"/>
          <w:spacing w:val="-7"/>
        </w:rPr>
        <w:t> </w:t>
      </w:r>
      <w:r>
        <w:rPr>
          <w:color w:val="231F20"/>
        </w:rPr>
        <w:t>знания,</w:t>
      </w:r>
      <w:r>
        <w:rPr>
          <w:color w:val="231F20"/>
          <w:spacing w:val="-7"/>
        </w:rPr>
        <w:t> </w:t>
      </w:r>
      <w:r>
        <w:rPr>
          <w:color w:val="231F20"/>
        </w:rPr>
        <w:t>но и творческие способности.</w:t>
      </w:r>
    </w:p>
    <w:p>
      <w:pPr>
        <w:pStyle w:val="BodyText"/>
        <w:spacing w:line="235" w:lineRule="auto" w:before="4"/>
        <w:ind w:firstLine="338"/>
      </w:pPr>
      <w:r>
        <w:rPr>
          <w:color w:val="231F20"/>
        </w:rPr>
        <w:t>Далее</w:t>
      </w:r>
      <w:r>
        <w:rPr>
          <w:color w:val="231F20"/>
          <w:spacing w:val="-1"/>
        </w:rPr>
        <w:t> </w:t>
      </w:r>
      <w:r>
        <w:rPr>
          <w:color w:val="231F20"/>
        </w:rPr>
        <w:t>рассмотрим,</w:t>
      </w:r>
      <w:r>
        <w:rPr>
          <w:color w:val="231F20"/>
          <w:spacing w:val="-1"/>
        </w:rPr>
        <w:t> </w:t>
      </w:r>
      <w:r>
        <w:rPr>
          <w:color w:val="231F20"/>
        </w:rPr>
        <w:t>как</w:t>
      </w:r>
      <w:r>
        <w:rPr>
          <w:color w:val="231F20"/>
          <w:spacing w:val="-1"/>
        </w:rPr>
        <w:t> </w:t>
      </w:r>
      <w:r>
        <w:rPr>
          <w:color w:val="231F20"/>
        </w:rPr>
        <w:t>именно</w:t>
      </w:r>
      <w:r>
        <w:rPr>
          <w:color w:val="231F20"/>
          <w:spacing w:val="-1"/>
        </w:rPr>
        <w:t> </w:t>
      </w:r>
      <w:r>
        <w:rPr>
          <w:color w:val="231F20"/>
        </w:rPr>
        <w:t>методы</w:t>
      </w:r>
      <w:r>
        <w:rPr>
          <w:color w:val="231F20"/>
          <w:spacing w:val="-1"/>
        </w:rPr>
        <w:t> </w:t>
      </w:r>
      <w:r>
        <w:rPr>
          <w:color w:val="231F20"/>
        </w:rPr>
        <w:t>обучения</w:t>
      </w:r>
      <w:r>
        <w:rPr>
          <w:color w:val="231F20"/>
          <w:spacing w:val="-1"/>
        </w:rPr>
        <w:t> </w:t>
      </w:r>
      <w:r>
        <w:rPr>
          <w:color w:val="231F20"/>
        </w:rPr>
        <w:t>в</w:t>
      </w:r>
      <w:r>
        <w:rPr>
          <w:color w:val="231F20"/>
          <w:spacing w:val="-1"/>
        </w:rPr>
        <w:t> </w:t>
      </w:r>
      <w:r>
        <w:rPr>
          <w:color w:val="231F20"/>
        </w:rPr>
        <w:t>сотрудничестве</w:t>
      </w:r>
      <w:r>
        <w:rPr>
          <w:color w:val="231F20"/>
          <w:spacing w:val="-1"/>
        </w:rPr>
        <w:t> </w:t>
      </w:r>
      <w:r>
        <w:rPr>
          <w:color w:val="231F20"/>
        </w:rPr>
        <w:t>могут</w:t>
      </w:r>
      <w:r>
        <w:rPr>
          <w:color w:val="231F20"/>
          <w:spacing w:val="-1"/>
        </w:rPr>
        <w:t> </w:t>
      </w:r>
      <w:r>
        <w:rPr>
          <w:color w:val="231F20"/>
        </w:rPr>
        <w:t>приме- няться на конкретных примерах уроков.</w:t>
      </w:r>
    </w:p>
    <w:p>
      <w:pPr>
        <w:spacing w:line="235" w:lineRule="auto" w:before="115"/>
        <w:ind w:left="2514" w:right="1341" w:hanging="1171"/>
        <w:jc w:val="both"/>
        <w:rPr>
          <w:b/>
          <w:sz w:val="20"/>
        </w:rPr>
      </w:pPr>
      <w:r>
        <w:rPr>
          <w:b/>
          <w:color w:val="231F20"/>
          <w:sz w:val="20"/>
        </w:rPr>
        <w:t>Обучение</w:t>
      </w:r>
      <w:r>
        <w:rPr>
          <w:b/>
          <w:color w:val="231F20"/>
          <w:spacing w:val="-12"/>
          <w:sz w:val="20"/>
        </w:rPr>
        <w:t> </w:t>
      </w:r>
      <w:r>
        <w:rPr>
          <w:b/>
          <w:color w:val="231F20"/>
          <w:sz w:val="20"/>
        </w:rPr>
        <w:t>в</w:t>
      </w:r>
      <w:r>
        <w:rPr>
          <w:b/>
          <w:color w:val="231F20"/>
          <w:spacing w:val="-12"/>
          <w:sz w:val="20"/>
        </w:rPr>
        <w:t> </w:t>
      </w:r>
      <w:r>
        <w:rPr>
          <w:b/>
          <w:color w:val="231F20"/>
          <w:sz w:val="20"/>
        </w:rPr>
        <w:t>сотрудничестве</w:t>
      </w:r>
      <w:r>
        <w:rPr>
          <w:b/>
          <w:color w:val="231F20"/>
          <w:spacing w:val="-12"/>
          <w:sz w:val="20"/>
        </w:rPr>
        <w:t> </w:t>
      </w:r>
      <w:r>
        <w:rPr>
          <w:b/>
          <w:color w:val="231F20"/>
          <w:sz w:val="20"/>
        </w:rPr>
        <w:t>на</w:t>
      </w:r>
      <w:r>
        <w:rPr>
          <w:b/>
          <w:color w:val="231F20"/>
          <w:spacing w:val="-12"/>
          <w:sz w:val="20"/>
        </w:rPr>
        <w:t> </w:t>
      </w:r>
      <w:r>
        <w:rPr>
          <w:b/>
          <w:color w:val="231F20"/>
          <w:sz w:val="20"/>
        </w:rPr>
        <w:t>уроках</w:t>
      </w:r>
      <w:r>
        <w:rPr>
          <w:b/>
          <w:color w:val="231F20"/>
          <w:spacing w:val="-12"/>
          <w:sz w:val="20"/>
        </w:rPr>
        <w:t> </w:t>
      </w:r>
      <w:r>
        <w:rPr>
          <w:b/>
          <w:color w:val="231F20"/>
          <w:sz w:val="20"/>
        </w:rPr>
        <w:t>русского</w:t>
      </w:r>
      <w:r>
        <w:rPr>
          <w:b/>
          <w:color w:val="231F20"/>
          <w:spacing w:val="-12"/>
          <w:sz w:val="20"/>
        </w:rPr>
        <w:t> </w:t>
      </w:r>
      <w:r>
        <w:rPr>
          <w:b/>
          <w:color w:val="231F20"/>
          <w:sz w:val="20"/>
        </w:rPr>
        <w:t>языка (план урока Н.В. Родкиной)</w:t>
      </w:r>
    </w:p>
    <w:p>
      <w:pPr>
        <w:spacing w:line="225" w:lineRule="exact" w:before="0"/>
        <w:ind w:left="425" w:right="0" w:firstLine="0"/>
        <w:jc w:val="both"/>
        <w:rPr>
          <w:i/>
          <w:sz w:val="20"/>
        </w:rPr>
      </w:pPr>
      <w:r>
        <w:rPr>
          <w:i/>
          <w:color w:val="231F20"/>
          <w:sz w:val="20"/>
        </w:rPr>
        <w:t>5-й</w:t>
      </w:r>
      <w:r>
        <w:rPr>
          <w:i/>
          <w:color w:val="231F20"/>
          <w:spacing w:val="-3"/>
          <w:sz w:val="20"/>
        </w:rPr>
        <w:t> </w:t>
      </w:r>
      <w:r>
        <w:rPr>
          <w:i/>
          <w:color w:val="231F20"/>
          <w:sz w:val="20"/>
        </w:rPr>
        <w:t>класс,</w:t>
      </w:r>
      <w:r>
        <w:rPr>
          <w:i/>
          <w:color w:val="231F20"/>
          <w:spacing w:val="-2"/>
          <w:sz w:val="20"/>
        </w:rPr>
        <w:t> </w:t>
      </w:r>
      <w:r>
        <w:rPr>
          <w:i/>
          <w:color w:val="231F20"/>
          <w:sz w:val="20"/>
        </w:rPr>
        <w:t>изучение</w:t>
      </w:r>
      <w:r>
        <w:rPr>
          <w:i/>
          <w:color w:val="231F20"/>
          <w:spacing w:val="-2"/>
          <w:sz w:val="20"/>
        </w:rPr>
        <w:t> </w:t>
      </w:r>
      <w:r>
        <w:rPr>
          <w:i/>
          <w:color w:val="231F20"/>
          <w:sz w:val="20"/>
        </w:rPr>
        <w:t>темы</w:t>
      </w:r>
      <w:r>
        <w:rPr>
          <w:i/>
          <w:color w:val="231F20"/>
          <w:spacing w:val="-3"/>
          <w:sz w:val="20"/>
        </w:rPr>
        <w:t> </w:t>
      </w:r>
      <w:r>
        <w:rPr>
          <w:i/>
          <w:color w:val="231F20"/>
          <w:sz w:val="20"/>
        </w:rPr>
        <w:t>«Чередующиеся</w:t>
      </w:r>
      <w:r>
        <w:rPr>
          <w:i/>
          <w:color w:val="231F20"/>
          <w:spacing w:val="-2"/>
          <w:sz w:val="20"/>
        </w:rPr>
        <w:t> </w:t>
      </w:r>
      <w:r>
        <w:rPr>
          <w:i/>
          <w:color w:val="231F20"/>
          <w:sz w:val="20"/>
        </w:rPr>
        <w:t>гласные</w:t>
      </w:r>
      <w:r>
        <w:rPr>
          <w:i/>
          <w:color w:val="231F20"/>
          <w:spacing w:val="-2"/>
          <w:sz w:val="20"/>
        </w:rPr>
        <w:t> </w:t>
      </w:r>
      <w:r>
        <w:rPr>
          <w:i/>
          <w:color w:val="231F20"/>
          <w:sz w:val="20"/>
        </w:rPr>
        <w:t>в</w:t>
      </w:r>
      <w:r>
        <w:rPr>
          <w:i/>
          <w:color w:val="231F20"/>
          <w:spacing w:val="-3"/>
          <w:sz w:val="20"/>
        </w:rPr>
        <w:t> </w:t>
      </w:r>
      <w:r>
        <w:rPr>
          <w:i/>
          <w:color w:val="231F20"/>
          <w:spacing w:val="-2"/>
          <w:sz w:val="20"/>
        </w:rPr>
        <w:t>корне».</w:t>
      </w:r>
    </w:p>
    <w:p>
      <w:pPr>
        <w:pStyle w:val="BodyText"/>
        <w:spacing w:line="235" w:lineRule="auto" w:before="1"/>
        <w:ind w:right="2879"/>
      </w:pPr>
      <w:r>
        <w:rPr/>
        <w:drawing>
          <wp:anchor distT="0" distB="0" distL="0" distR="0" allowOverlap="1" layoutInCell="1" locked="0" behindDoc="0" simplePos="0" relativeHeight="15784448">
            <wp:simplePos x="0" y="0"/>
            <wp:positionH relativeFrom="page">
              <wp:posOffset>3345593</wp:posOffset>
            </wp:positionH>
            <wp:positionV relativeFrom="paragraph">
              <wp:posOffset>90948</wp:posOffset>
            </wp:positionV>
            <wp:extent cx="1593774" cy="1447787"/>
            <wp:effectExtent l="0" t="0" r="0" b="0"/>
            <wp:wrapNone/>
            <wp:docPr id="174" name="Image 174"/>
            <wp:cNvGraphicFramePr>
              <a:graphicFrameLocks/>
            </wp:cNvGraphicFramePr>
            <a:graphic>
              <a:graphicData uri="http://schemas.openxmlformats.org/drawingml/2006/picture">
                <pic:pic>
                  <pic:nvPicPr>
                    <pic:cNvPr id="174" name="Image 174"/>
                    <pic:cNvPicPr/>
                  </pic:nvPicPr>
                  <pic:blipFill>
                    <a:blip r:embed="rId242" cstate="print"/>
                    <a:stretch>
                      <a:fillRect/>
                    </a:stretch>
                  </pic:blipFill>
                  <pic:spPr>
                    <a:xfrm>
                      <a:off x="0" y="0"/>
                      <a:ext cx="1593774" cy="1447787"/>
                    </a:xfrm>
                    <a:prstGeom prst="rect">
                      <a:avLst/>
                    </a:prstGeom>
                  </pic:spPr>
                </pic:pic>
              </a:graphicData>
            </a:graphic>
          </wp:anchor>
        </w:drawing>
      </w:r>
      <w:r>
        <w:rPr>
          <w:color w:val="231F20"/>
        </w:rPr>
        <w:t>После объяснения темы с целью формирования навыка правописания чередующихся гласных в кор- не группам предлагается алгоритм (см. </w:t>
      </w:r>
      <w:r>
        <w:rPr>
          <w:i/>
          <w:color w:val="231F20"/>
        </w:rPr>
        <w:t>Приложение 2</w:t>
      </w:r>
      <w:r>
        <w:rPr>
          <w:color w:val="231F20"/>
        </w:rPr>
        <w:t>) и карточки типа:</w:t>
      </w:r>
    </w:p>
    <w:p>
      <w:pPr>
        <w:spacing w:line="235" w:lineRule="auto" w:before="3"/>
        <w:ind w:left="141" w:right="2880" w:firstLine="283"/>
        <w:jc w:val="both"/>
        <w:rPr>
          <w:i/>
          <w:sz w:val="20"/>
        </w:rPr>
      </w:pPr>
      <w:r>
        <w:rPr>
          <w:i/>
          <w:color w:val="231F20"/>
          <w:sz w:val="20"/>
        </w:rPr>
        <w:t>Пол_жить, р_стение, сл_гать, р_сток, </w:t>
      </w:r>
      <w:r>
        <w:rPr>
          <w:i/>
          <w:color w:val="231F20"/>
          <w:sz w:val="20"/>
        </w:rPr>
        <w:t>сл_же- ние, подр_стать, разл_жение, прил_гательное, вы- р_с, сл_гаемое, предл_жение, выр_щивать, Р_стов, отр_сль, изл_жение, предл_гать</w:t>
      </w:r>
    </w:p>
    <w:p>
      <w:pPr>
        <w:pStyle w:val="BodyText"/>
        <w:spacing w:line="235" w:lineRule="auto" w:before="2"/>
        <w:ind w:right="2880"/>
      </w:pPr>
      <w:r>
        <w:rPr>
          <w:color w:val="231F20"/>
        </w:rPr>
        <w:t>Задания внутри группы распределяются следую- щим образом.</w:t>
      </w:r>
    </w:p>
    <w:p>
      <w:pPr>
        <w:pStyle w:val="BodyText"/>
        <w:spacing w:line="227" w:lineRule="exact"/>
        <w:ind w:left="425" w:right="0" w:firstLine="0"/>
      </w:pPr>
      <w:r>
        <w:rPr>
          <w:color w:val="231F20"/>
        </w:rPr>
        <w:t>Один</w:t>
      </w:r>
      <w:r>
        <w:rPr>
          <w:color w:val="231F20"/>
          <w:spacing w:val="1"/>
        </w:rPr>
        <w:t> </w:t>
      </w:r>
      <w:r>
        <w:rPr>
          <w:color w:val="231F20"/>
        </w:rPr>
        <w:t>ученик</w:t>
      </w:r>
      <w:r>
        <w:rPr>
          <w:color w:val="231F20"/>
          <w:spacing w:val="1"/>
        </w:rPr>
        <w:t> </w:t>
      </w:r>
      <w:r>
        <w:rPr>
          <w:color w:val="231F20"/>
        </w:rPr>
        <w:t>выделяет</w:t>
      </w:r>
      <w:r>
        <w:rPr>
          <w:color w:val="231F20"/>
          <w:spacing w:val="1"/>
        </w:rPr>
        <w:t> </w:t>
      </w:r>
      <w:r>
        <w:rPr>
          <w:color w:val="231F20"/>
        </w:rPr>
        <w:t>корень</w:t>
      </w:r>
      <w:r>
        <w:rPr>
          <w:color w:val="231F20"/>
          <w:spacing w:val="2"/>
        </w:rPr>
        <w:t> </w:t>
      </w:r>
      <w:r>
        <w:rPr>
          <w:color w:val="231F20"/>
        </w:rPr>
        <w:t>(все</w:t>
      </w:r>
      <w:r>
        <w:rPr>
          <w:color w:val="231F20"/>
          <w:spacing w:val="1"/>
        </w:rPr>
        <w:t> </w:t>
      </w:r>
      <w:r>
        <w:rPr>
          <w:color w:val="231F20"/>
        </w:rPr>
        <w:t>действия</w:t>
      </w:r>
      <w:r>
        <w:rPr>
          <w:color w:val="231F20"/>
          <w:spacing w:val="2"/>
        </w:rPr>
        <w:t> </w:t>
      </w:r>
      <w:r>
        <w:rPr>
          <w:color w:val="231F20"/>
          <w:spacing w:val="-4"/>
        </w:rPr>
        <w:t>ком-</w:t>
      </w:r>
    </w:p>
    <w:p>
      <w:pPr>
        <w:pStyle w:val="BodyText"/>
        <w:spacing w:after="0" w:line="227" w:lineRule="exact"/>
        <w:sectPr>
          <w:pgSz w:w="8400" w:h="11910"/>
          <w:pgMar w:header="0" w:footer="530" w:top="400" w:bottom="72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6"/>
          <w:sz w:val="18"/>
        </w:rPr>
        <w:t> </w:t>
      </w:r>
      <w:r>
        <w:rPr>
          <w:rFonts w:ascii="Georgia" w:hAnsi="Georgia"/>
          <w:color w:val="231F20"/>
          <w:sz w:val="18"/>
        </w:rPr>
        <w:t>Организация</w:t>
      </w:r>
      <w:r>
        <w:rPr>
          <w:rFonts w:ascii="Georgia" w:hAnsi="Georgia"/>
          <w:color w:val="231F20"/>
          <w:spacing w:val="7"/>
          <w:sz w:val="18"/>
        </w:rPr>
        <w:t> </w:t>
      </w:r>
      <w:r>
        <w:rPr>
          <w:rFonts w:ascii="Georgia" w:hAnsi="Georgia"/>
          <w:color w:val="231F20"/>
          <w:sz w:val="18"/>
        </w:rPr>
        <w:t>групповой</w:t>
      </w:r>
      <w:r>
        <w:rPr>
          <w:rFonts w:ascii="Georgia" w:hAnsi="Georgia"/>
          <w:color w:val="231F20"/>
          <w:spacing w:val="7"/>
          <w:sz w:val="18"/>
        </w:rPr>
        <w:t> </w:t>
      </w:r>
      <w:r>
        <w:rPr>
          <w:rFonts w:ascii="Georgia" w:hAnsi="Georgia"/>
          <w:color w:val="231F20"/>
          <w:sz w:val="18"/>
        </w:rPr>
        <w:t>учебной</w:t>
      </w:r>
      <w:r>
        <w:rPr>
          <w:rFonts w:ascii="Georgia" w:hAnsi="Georgia"/>
          <w:color w:val="231F20"/>
          <w:spacing w:val="6"/>
          <w:sz w:val="18"/>
        </w:rPr>
        <w:t> </w:t>
      </w:r>
      <w:r>
        <w:rPr>
          <w:rFonts w:ascii="Georgia" w:hAnsi="Georgia"/>
          <w:color w:val="231F20"/>
          <w:sz w:val="18"/>
        </w:rPr>
        <w:t>работы</w:t>
      </w:r>
      <w:r>
        <w:rPr>
          <w:rFonts w:ascii="Georgia" w:hAnsi="Georgia"/>
          <w:color w:val="231F20"/>
          <w:spacing w:val="7"/>
          <w:sz w:val="18"/>
        </w:rPr>
        <w:t> </w:t>
      </w:r>
      <w:r>
        <w:rPr>
          <w:rFonts w:ascii="Georgia" w:hAnsi="Georgia"/>
          <w:color w:val="231F20"/>
          <w:sz w:val="18"/>
        </w:rPr>
        <w:t>учащихся</w:t>
      </w:r>
      <w:r>
        <w:rPr>
          <w:rFonts w:ascii="Georgia" w:hAnsi="Georgia"/>
          <w:color w:val="231F20"/>
          <w:spacing w:val="7"/>
          <w:sz w:val="18"/>
        </w:rPr>
        <w:t> </w:t>
      </w:r>
      <w:r>
        <w:rPr>
          <w:rFonts w:ascii="Georgia" w:hAnsi="Georgia"/>
          <w:color w:val="231F20"/>
          <w:sz w:val="18"/>
        </w:rPr>
        <w:t>в</w:t>
      </w:r>
      <w:r>
        <w:rPr>
          <w:rFonts w:ascii="Georgia" w:hAnsi="Georgia"/>
          <w:color w:val="231F20"/>
          <w:spacing w:val="6"/>
          <w:sz w:val="18"/>
        </w:rPr>
        <w:t> </w:t>
      </w:r>
      <w:r>
        <w:rPr>
          <w:rFonts w:ascii="Georgia" w:hAnsi="Georgia"/>
          <w:color w:val="231F20"/>
          <w:sz w:val="18"/>
        </w:rPr>
        <w:t>поликультурном</w:t>
      </w:r>
      <w:r>
        <w:rPr>
          <w:rFonts w:ascii="Georgia" w:hAnsi="Georgia"/>
          <w:color w:val="231F20"/>
          <w:spacing w:val="7"/>
          <w:sz w:val="18"/>
        </w:rPr>
        <w:t> </w:t>
      </w:r>
      <w:r>
        <w:rPr>
          <w:rFonts w:ascii="Georgia" w:hAnsi="Georgia"/>
          <w:color w:val="231F20"/>
          <w:spacing w:val="-2"/>
          <w:sz w:val="18"/>
        </w:rPr>
        <w:t>классе...</w:t>
      </w:r>
    </w:p>
    <w:p>
      <w:pPr>
        <w:pStyle w:val="BodyText"/>
        <w:spacing w:line="235" w:lineRule="auto" w:before="116"/>
        <w:ind w:firstLine="0"/>
      </w:pPr>
      <w:r>
        <w:rPr>
          <w:color w:val="231F20"/>
        </w:rPr>
        <w:t>ментируются),</w:t>
      </w:r>
      <w:r>
        <w:rPr>
          <w:color w:val="231F20"/>
          <w:spacing w:val="-7"/>
        </w:rPr>
        <w:t> </w:t>
      </w:r>
      <w:r>
        <w:rPr>
          <w:color w:val="231F20"/>
        </w:rPr>
        <w:t>другой</w:t>
      </w:r>
      <w:r>
        <w:rPr>
          <w:color w:val="231F20"/>
          <w:spacing w:val="-7"/>
        </w:rPr>
        <w:t> </w:t>
      </w:r>
      <w:r>
        <w:rPr>
          <w:color w:val="231F20"/>
        </w:rPr>
        <w:t>–</w:t>
      </w:r>
      <w:r>
        <w:rPr>
          <w:color w:val="231F20"/>
          <w:spacing w:val="-7"/>
        </w:rPr>
        <w:t> </w:t>
      </w:r>
      <w:r>
        <w:rPr>
          <w:color w:val="231F20"/>
        </w:rPr>
        <w:t>определяет</w:t>
      </w:r>
      <w:r>
        <w:rPr>
          <w:color w:val="231F20"/>
          <w:spacing w:val="-7"/>
        </w:rPr>
        <w:t> </w:t>
      </w:r>
      <w:r>
        <w:rPr>
          <w:color w:val="231F20"/>
        </w:rPr>
        <w:t>тип</w:t>
      </w:r>
      <w:r>
        <w:rPr>
          <w:color w:val="231F20"/>
          <w:spacing w:val="-7"/>
        </w:rPr>
        <w:t> </w:t>
      </w:r>
      <w:r>
        <w:rPr>
          <w:color w:val="231F20"/>
        </w:rPr>
        <w:t>безударной</w:t>
      </w:r>
      <w:r>
        <w:rPr>
          <w:color w:val="231F20"/>
          <w:spacing w:val="-7"/>
        </w:rPr>
        <w:t> </w:t>
      </w:r>
      <w:r>
        <w:rPr>
          <w:color w:val="231F20"/>
        </w:rPr>
        <w:t>гласной</w:t>
      </w:r>
      <w:r>
        <w:rPr>
          <w:color w:val="231F20"/>
          <w:spacing w:val="-7"/>
        </w:rPr>
        <w:t> </w:t>
      </w:r>
      <w:r>
        <w:rPr>
          <w:color w:val="231F20"/>
        </w:rPr>
        <w:t>(подбирает</w:t>
      </w:r>
      <w:r>
        <w:rPr>
          <w:color w:val="231F20"/>
          <w:spacing w:val="-7"/>
        </w:rPr>
        <w:t> </w:t>
      </w:r>
      <w:r>
        <w:rPr>
          <w:color w:val="231F20"/>
        </w:rPr>
        <w:t>проверочное слово при необходимости), третий – условия чередования, четвертый в зависимости от условия делает выбор, то есть вставляет нужную гласную, пятый (капитан) про- веряет. Работа идет до тех пор, пока все члены группы не овладеют каждым этапом работы. После этого, убедившись в сформированности навыка, предлагаются инди- видуальные тесты (</w:t>
      </w:r>
      <w:r>
        <w:rPr>
          <w:i/>
          <w:color w:val="231F20"/>
        </w:rPr>
        <w:t>Приложение 2</w:t>
      </w:r>
      <w:r>
        <w:rPr>
          <w:color w:val="231F20"/>
        </w:rPr>
        <w:t>).</w:t>
      </w:r>
    </w:p>
    <w:p>
      <w:pPr>
        <w:spacing w:line="228" w:lineRule="exact" w:before="56"/>
        <w:ind w:left="425" w:right="0" w:firstLine="0"/>
        <w:jc w:val="both"/>
        <w:rPr>
          <w:i/>
          <w:sz w:val="20"/>
        </w:rPr>
      </w:pPr>
      <w:r>
        <w:rPr>
          <w:i/>
          <w:color w:val="231F20"/>
          <w:sz w:val="20"/>
        </w:rPr>
        <w:t>6-й</w:t>
      </w:r>
      <w:r>
        <w:rPr>
          <w:i/>
          <w:color w:val="231F20"/>
          <w:spacing w:val="-2"/>
          <w:sz w:val="20"/>
        </w:rPr>
        <w:t> </w:t>
      </w:r>
      <w:r>
        <w:rPr>
          <w:i/>
          <w:color w:val="231F20"/>
          <w:sz w:val="20"/>
        </w:rPr>
        <w:t>класс,</w:t>
      </w:r>
      <w:r>
        <w:rPr>
          <w:i/>
          <w:color w:val="231F20"/>
          <w:spacing w:val="-2"/>
          <w:sz w:val="20"/>
        </w:rPr>
        <w:t> </w:t>
      </w:r>
      <w:r>
        <w:rPr>
          <w:i/>
          <w:color w:val="231F20"/>
          <w:sz w:val="20"/>
        </w:rPr>
        <w:t>задание</w:t>
      </w:r>
      <w:r>
        <w:rPr>
          <w:i/>
          <w:color w:val="231F20"/>
          <w:spacing w:val="-1"/>
          <w:sz w:val="20"/>
        </w:rPr>
        <w:t> </w:t>
      </w:r>
      <w:r>
        <w:rPr>
          <w:i/>
          <w:color w:val="231F20"/>
          <w:sz w:val="20"/>
        </w:rPr>
        <w:t>«Словообразование</w:t>
      </w:r>
      <w:r>
        <w:rPr>
          <w:i/>
          <w:color w:val="231F20"/>
          <w:spacing w:val="-2"/>
          <w:sz w:val="20"/>
        </w:rPr>
        <w:t> </w:t>
      </w:r>
      <w:r>
        <w:rPr>
          <w:i/>
          <w:color w:val="231F20"/>
          <w:sz w:val="20"/>
        </w:rPr>
        <w:t>и</w:t>
      </w:r>
      <w:r>
        <w:rPr>
          <w:i/>
          <w:color w:val="231F20"/>
          <w:spacing w:val="-1"/>
          <w:sz w:val="20"/>
        </w:rPr>
        <w:t> </w:t>
      </w:r>
      <w:r>
        <w:rPr>
          <w:i/>
          <w:color w:val="231F20"/>
          <w:spacing w:val="-2"/>
          <w:sz w:val="20"/>
        </w:rPr>
        <w:t>орфография».</w:t>
      </w:r>
    </w:p>
    <w:p>
      <w:pPr>
        <w:pStyle w:val="BodyText"/>
        <w:spacing w:line="226" w:lineRule="exact"/>
        <w:ind w:left="425" w:right="0" w:firstLine="0"/>
      </w:pPr>
      <w:r>
        <w:rPr>
          <w:color w:val="231F20"/>
        </w:rPr>
        <w:t>При</w:t>
      </w:r>
      <w:r>
        <w:rPr>
          <w:color w:val="231F20"/>
          <w:spacing w:val="-11"/>
        </w:rPr>
        <w:t> </w:t>
      </w:r>
      <w:r>
        <w:rPr>
          <w:color w:val="231F20"/>
        </w:rPr>
        <w:t>повторении</w:t>
      </w:r>
      <w:r>
        <w:rPr>
          <w:color w:val="231F20"/>
          <w:spacing w:val="-9"/>
        </w:rPr>
        <w:t> </w:t>
      </w:r>
      <w:r>
        <w:rPr>
          <w:color w:val="231F20"/>
        </w:rPr>
        <w:t>изученного</w:t>
      </w:r>
      <w:r>
        <w:rPr>
          <w:color w:val="231F20"/>
          <w:spacing w:val="-8"/>
        </w:rPr>
        <w:t> </w:t>
      </w:r>
      <w:r>
        <w:rPr>
          <w:color w:val="231F20"/>
        </w:rPr>
        <w:t>в</w:t>
      </w:r>
      <w:r>
        <w:rPr>
          <w:color w:val="231F20"/>
          <w:spacing w:val="-9"/>
        </w:rPr>
        <w:t> </w:t>
      </w:r>
      <w:r>
        <w:rPr>
          <w:color w:val="231F20"/>
        </w:rPr>
        <w:t>разделе</w:t>
      </w:r>
      <w:r>
        <w:rPr>
          <w:color w:val="231F20"/>
          <w:spacing w:val="-8"/>
        </w:rPr>
        <w:t> </w:t>
      </w:r>
      <w:r>
        <w:rPr>
          <w:color w:val="231F20"/>
        </w:rPr>
        <w:t>предлагаются</w:t>
      </w:r>
      <w:r>
        <w:rPr>
          <w:color w:val="231F20"/>
          <w:spacing w:val="-9"/>
        </w:rPr>
        <w:t> </w:t>
      </w:r>
      <w:r>
        <w:rPr>
          <w:color w:val="231F20"/>
        </w:rPr>
        <w:t>карточки</w:t>
      </w:r>
      <w:r>
        <w:rPr>
          <w:color w:val="231F20"/>
          <w:spacing w:val="-8"/>
        </w:rPr>
        <w:t> </w:t>
      </w:r>
      <w:r>
        <w:rPr>
          <w:color w:val="231F20"/>
        </w:rPr>
        <w:t>с</w:t>
      </w:r>
      <w:r>
        <w:rPr>
          <w:color w:val="231F20"/>
          <w:spacing w:val="-9"/>
        </w:rPr>
        <w:t> </w:t>
      </w:r>
      <w:r>
        <w:rPr>
          <w:color w:val="231F20"/>
        </w:rPr>
        <w:t>заданиями</w:t>
      </w:r>
      <w:r>
        <w:rPr>
          <w:color w:val="231F20"/>
          <w:spacing w:val="-8"/>
        </w:rPr>
        <w:t> </w:t>
      </w:r>
      <w:r>
        <w:rPr>
          <w:color w:val="231F20"/>
          <w:spacing w:val="-2"/>
        </w:rPr>
        <w:t>типа:</w:t>
      </w:r>
    </w:p>
    <w:p>
      <w:pPr>
        <w:spacing w:line="244" w:lineRule="auto" w:before="0"/>
        <w:ind w:left="141" w:right="139" w:firstLine="283"/>
        <w:jc w:val="both"/>
        <w:rPr>
          <w:i/>
          <w:sz w:val="20"/>
        </w:rPr>
      </w:pPr>
      <w:r>
        <w:rPr>
          <w:i/>
          <w:color w:val="231F20"/>
          <w:sz w:val="20"/>
        </w:rPr>
        <w:t>Заг_рать,</w:t>
      </w:r>
      <w:r>
        <w:rPr>
          <w:i/>
          <w:color w:val="231F20"/>
          <w:spacing w:val="-10"/>
          <w:sz w:val="20"/>
        </w:rPr>
        <w:t> </w:t>
      </w:r>
      <w:r>
        <w:rPr>
          <w:i/>
          <w:color w:val="231F20"/>
          <w:sz w:val="20"/>
        </w:rPr>
        <w:t>ск_сить,</w:t>
      </w:r>
      <w:r>
        <w:rPr>
          <w:i/>
          <w:color w:val="231F20"/>
          <w:spacing w:val="-10"/>
          <w:sz w:val="20"/>
        </w:rPr>
        <w:t> </w:t>
      </w:r>
      <w:r>
        <w:rPr>
          <w:i/>
          <w:color w:val="231F20"/>
          <w:sz w:val="20"/>
        </w:rPr>
        <w:t>р_скошный,</w:t>
      </w:r>
      <w:r>
        <w:rPr>
          <w:i/>
          <w:color w:val="231F20"/>
          <w:spacing w:val="-10"/>
          <w:sz w:val="20"/>
        </w:rPr>
        <w:t> </w:t>
      </w:r>
      <w:r>
        <w:rPr>
          <w:i/>
          <w:color w:val="231F20"/>
          <w:sz w:val="20"/>
        </w:rPr>
        <w:t>к_саться,</w:t>
      </w:r>
      <w:r>
        <w:rPr>
          <w:i/>
          <w:color w:val="231F20"/>
          <w:spacing w:val="-10"/>
          <w:sz w:val="20"/>
        </w:rPr>
        <w:t> </w:t>
      </w:r>
      <w:r>
        <w:rPr>
          <w:i/>
          <w:color w:val="231F20"/>
          <w:sz w:val="20"/>
        </w:rPr>
        <w:t>подр_стать,</w:t>
      </w:r>
      <w:r>
        <w:rPr>
          <w:i/>
          <w:color w:val="231F20"/>
          <w:spacing w:val="-10"/>
          <w:sz w:val="20"/>
        </w:rPr>
        <w:t> </w:t>
      </w:r>
      <w:r>
        <w:rPr>
          <w:i/>
          <w:color w:val="231F20"/>
          <w:sz w:val="20"/>
        </w:rPr>
        <w:t>р_сток,</w:t>
      </w:r>
      <w:r>
        <w:rPr>
          <w:i/>
          <w:color w:val="231F20"/>
          <w:spacing w:val="-10"/>
          <w:sz w:val="20"/>
        </w:rPr>
        <w:t> </w:t>
      </w:r>
      <w:r>
        <w:rPr>
          <w:i/>
          <w:color w:val="231F20"/>
          <w:sz w:val="20"/>
        </w:rPr>
        <w:t>сл_жение,</w:t>
      </w:r>
      <w:r>
        <w:rPr>
          <w:i/>
          <w:color w:val="231F20"/>
          <w:spacing w:val="-10"/>
          <w:sz w:val="20"/>
        </w:rPr>
        <w:t> </w:t>
      </w:r>
      <w:r>
        <w:rPr>
          <w:i/>
          <w:color w:val="231F20"/>
          <w:sz w:val="20"/>
        </w:rPr>
        <w:t>прик_ саться, соб_рать, к_снуться, расст_лать, прик_сновение, к_сательная, </w:t>
      </w:r>
      <w:r>
        <w:rPr>
          <w:i/>
          <w:color w:val="231F20"/>
          <w:sz w:val="20"/>
        </w:rPr>
        <w:t>прим_рка, соприк_саться, к_сичка, выт_рать, к_сание, к_сая (линия), неук_снительный, к_са- ние, к_сить, прик_снуться, сл_гать, к_сательно, пом_рить</w:t>
      </w:r>
    </w:p>
    <w:p>
      <w:pPr>
        <w:pStyle w:val="BodyText"/>
        <w:spacing w:line="244" w:lineRule="auto"/>
      </w:pPr>
      <w:r>
        <w:rPr>
          <w:color w:val="231F20"/>
        </w:rPr>
        <w:t>Отработка</w:t>
      </w:r>
      <w:r>
        <w:rPr>
          <w:color w:val="231F20"/>
          <w:spacing w:val="-3"/>
        </w:rPr>
        <w:t> </w:t>
      </w:r>
      <w:r>
        <w:rPr>
          <w:color w:val="231F20"/>
        </w:rPr>
        <w:t>алгоритма</w:t>
      </w:r>
      <w:r>
        <w:rPr>
          <w:color w:val="231F20"/>
          <w:spacing w:val="-3"/>
        </w:rPr>
        <w:t> </w:t>
      </w:r>
      <w:r>
        <w:rPr>
          <w:color w:val="231F20"/>
        </w:rPr>
        <w:t>проходит</w:t>
      </w:r>
      <w:r>
        <w:rPr>
          <w:color w:val="231F20"/>
          <w:spacing w:val="-3"/>
        </w:rPr>
        <w:t> </w:t>
      </w:r>
      <w:r>
        <w:rPr>
          <w:color w:val="231F20"/>
        </w:rPr>
        <w:t>аналогичным</w:t>
      </w:r>
      <w:r>
        <w:rPr>
          <w:color w:val="231F20"/>
          <w:spacing w:val="-3"/>
        </w:rPr>
        <w:t> </w:t>
      </w:r>
      <w:r>
        <w:rPr>
          <w:color w:val="231F20"/>
        </w:rPr>
        <w:t>образом,</w:t>
      </w:r>
      <w:r>
        <w:rPr>
          <w:color w:val="231F20"/>
          <w:spacing w:val="-3"/>
        </w:rPr>
        <w:t> </w:t>
      </w:r>
      <w:r>
        <w:rPr>
          <w:color w:val="231F20"/>
        </w:rPr>
        <w:t>повышается</w:t>
      </w:r>
      <w:r>
        <w:rPr>
          <w:color w:val="231F20"/>
          <w:spacing w:val="-3"/>
        </w:rPr>
        <w:t> </w:t>
      </w:r>
      <w:r>
        <w:rPr>
          <w:color w:val="231F20"/>
        </w:rPr>
        <w:t>лишь</w:t>
      </w:r>
      <w:r>
        <w:rPr>
          <w:color w:val="231F20"/>
          <w:spacing w:val="-3"/>
        </w:rPr>
        <w:t> </w:t>
      </w:r>
      <w:r>
        <w:rPr>
          <w:color w:val="231F20"/>
        </w:rPr>
        <w:t>степень сложности</w:t>
      </w:r>
      <w:r>
        <w:rPr>
          <w:color w:val="231F20"/>
          <w:spacing w:val="-4"/>
        </w:rPr>
        <w:t> </w:t>
      </w:r>
      <w:r>
        <w:rPr>
          <w:color w:val="231F20"/>
        </w:rPr>
        <w:t>задания.</w:t>
      </w:r>
      <w:r>
        <w:rPr>
          <w:color w:val="231F20"/>
          <w:spacing w:val="-4"/>
        </w:rPr>
        <w:t> </w:t>
      </w:r>
      <w:r>
        <w:rPr>
          <w:color w:val="231F20"/>
        </w:rPr>
        <w:t>Теперь</w:t>
      </w:r>
      <w:r>
        <w:rPr>
          <w:color w:val="231F20"/>
          <w:spacing w:val="-4"/>
        </w:rPr>
        <w:t> </w:t>
      </w:r>
      <w:r>
        <w:rPr>
          <w:color w:val="231F20"/>
        </w:rPr>
        <w:t>учащимся</w:t>
      </w:r>
      <w:r>
        <w:rPr>
          <w:color w:val="231F20"/>
          <w:spacing w:val="-4"/>
        </w:rPr>
        <w:t> </w:t>
      </w:r>
      <w:r>
        <w:rPr>
          <w:color w:val="231F20"/>
        </w:rPr>
        <w:t>нужно</w:t>
      </w:r>
      <w:r>
        <w:rPr>
          <w:color w:val="231F20"/>
          <w:spacing w:val="-3"/>
        </w:rPr>
        <w:t> </w:t>
      </w:r>
      <w:r>
        <w:rPr>
          <w:color w:val="231F20"/>
        </w:rPr>
        <w:t>усвоить</w:t>
      </w:r>
      <w:r>
        <w:rPr>
          <w:color w:val="231F20"/>
          <w:spacing w:val="-3"/>
        </w:rPr>
        <w:t> </w:t>
      </w:r>
      <w:r>
        <w:rPr>
          <w:color w:val="231F20"/>
        </w:rPr>
        <w:t>гораздо</w:t>
      </w:r>
      <w:r>
        <w:rPr>
          <w:color w:val="231F20"/>
          <w:spacing w:val="-3"/>
        </w:rPr>
        <w:t> </w:t>
      </w:r>
      <w:r>
        <w:rPr>
          <w:color w:val="231F20"/>
        </w:rPr>
        <w:t>больше</w:t>
      </w:r>
      <w:r>
        <w:rPr>
          <w:color w:val="231F20"/>
          <w:spacing w:val="-3"/>
        </w:rPr>
        <w:t> </w:t>
      </w:r>
      <w:r>
        <w:rPr>
          <w:color w:val="231F20"/>
        </w:rPr>
        <w:t>ориентировоч- ных основ действий. Усложняются и тестовые задания (</w:t>
      </w:r>
      <w:r>
        <w:rPr>
          <w:i/>
          <w:color w:val="231F20"/>
        </w:rPr>
        <w:t>Приложение 2</w:t>
      </w:r>
      <w:r>
        <w:rPr>
          <w:color w:val="231F20"/>
        </w:rPr>
        <w:t>).</w:t>
      </w:r>
    </w:p>
    <w:p>
      <w:pPr>
        <w:spacing w:before="51"/>
        <w:ind w:left="425" w:right="0" w:firstLine="0"/>
        <w:jc w:val="both"/>
        <w:rPr>
          <w:i/>
          <w:sz w:val="20"/>
        </w:rPr>
      </w:pPr>
      <w:r>
        <w:rPr>
          <w:i/>
          <w:color w:val="231F20"/>
          <w:sz w:val="20"/>
        </w:rPr>
        <w:t>9-й</w:t>
      </w:r>
      <w:r>
        <w:rPr>
          <w:i/>
          <w:color w:val="231F20"/>
          <w:spacing w:val="-4"/>
          <w:sz w:val="20"/>
        </w:rPr>
        <w:t> </w:t>
      </w:r>
      <w:r>
        <w:rPr>
          <w:i/>
          <w:color w:val="231F20"/>
          <w:sz w:val="20"/>
        </w:rPr>
        <w:t>класс,</w:t>
      </w:r>
      <w:r>
        <w:rPr>
          <w:i/>
          <w:color w:val="231F20"/>
          <w:spacing w:val="-2"/>
          <w:sz w:val="20"/>
        </w:rPr>
        <w:t> </w:t>
      </w:r>
      <w:r>
        <w:rPr>
          <w:i/>
          <w:color w:val="231F20"/>
          <w:sz w:val="20"/>
        </w:rPr>
        <w:t>повторение</w:t>
      </w:r>
      <w:r>
        <w:rPr>
          <w:i/>
          <w:color w:val="231F20"/>
          <w:spacing w:val="-2"/>
          <w:sz w:val="20"/>
        </w:rPr>
        <w:t> </w:t>
      </w:r>
      <w:r>
        <w:rPr>
          <w:i/>
          <w:color w:val="231F20"/>
          <w:sz w:val="20"/>
        </w:rPr>
        <w:t>темы</w:t>
      </w:r>
      <w:r>
        <w:rPr>
          <w:i/>
          <w:color w:val="231F20"/>
          <w:spacing w:val="-2"/>
          <w:sz w:val="20"/>
        </w:rPr>
        <w:t> </w:t>
      </w:r>
      <w:r>
        <w:rPr>
          <w:i/>
          <w:color w:val="231F20"/>
          <w:sz w:val="20"/>
        </w:rPr>
        <w:t>«Чередующиеся</w:t>
      </w:r>
      <w:r>
        <w:rPr>
          <w:i/>
          <w:color w:val="231F20"/>
          <w:spacing w:val="-2"/>
          <w:sz w:val="20"/>
        </w:rPr>
        <w:t> </w:t>
      </w:r>
      <w:r>
        <w:rPr>
          <w:i/>
          <w:color w:val="231F20"/>
          <w:sz w:val="20"/>
        </w:rPr>
        <w:t>гласные</w:t>
      </w:r>
      <w:r>
        <w:rPr>
          <w:i/>
          <w:color w:val="231F20"/>
          <w:spacing w:val="-2"/>
          <w:sz w:val="20"/>
        </w:rPr>
        <w:t> </w:t>
      </w:r>
      <w:r>
        <w:rPr>
          <w:i/>
          <w:color w:val="231F20"/>
          <w:sz w:val="20"/>
        </w:rPr>
        <w:t>в</w:t>
      </w:r>
      <w:r>
        <w:rPr>
          <w:i/>
          <w:color w:val="231F20"/>
          <w:spacing w:val="-2"/>
          <w:sz w:val="20"/>
        </w:rPr>
        <w:t> корне»</w:t>
      </w:r>
    </w:p>
    <w:p>
      <w:pPr>
        <w:pStyle w:val="BodyText"/>
        <w:spacing w:line="244" w:lineRule="auto" w:before="4"/>
      </w:pPr>
      <w:r>
        <w:rPr>
          <w:color w:val="231F20"/>
        </w:rPr>
        <w:t>Работа</w:t>
      </w:r>
      <w:r>
        <w:rPr>
          <w:color w:val="231F20"/>
          <w:spacing w:val="-8"/>
        </w:rPr>
        <w:t> </w:t>
      </w:r>
      <w:r>
        <w:rPr>
          <w:color w:val="231F20"/>
        </w:rPr>
        <w:t>строится</w:t>
      </w:r>
      <w:r>
        <w:rPr>
          <w:color w:val="231F20"/>
          <w:spacing w:val="-8"/>
        </w:rPr>
        <w:t> </w:t>
      </w:r>
      <w:r>
        <w:rPr>
          <w:color w:val="231F20"/>
        </w:rPr>
        <w:t>по</w:t>
      </w:r>
      <w:r>
        <w:rPr>
          <w:color w:val="231F20"/>
          <w:spacing w:val="-8"/>
        </w:rPr>
        <w:t> </w:t>
      </w:r>
      <w:r>
        <w:rPr>
          <w:color w:val="231F20"/>
        </w:rPr>
        <w:t>методу</w:t>
      </w:r>
      <w:r>
        <w:rPr>
          <w:color w:val="231F20"/>
          <w:spacing w:val="-9"/>
        </w:rPr>
        <w:t> </w:t>
      </w:r>
      <w:r>
        <w:rPr>
          <w:color w:val="231F20"/>
        </w:rPr>
        <w:t>«Учимся</w:t>
      </w:r>
      <w:r>
        <w:rPr>
          <w:color w:val="231F20"/>
          <w:spacing w:val="-9"/>
        </w:rPr>
        <w:t> </w:t>
      </w:r>
      <w:r>
        <w:rPr>
          <w:color w:val="231F20"/>
        </w:rPr>
        <w:t>вместе».</w:t>
      </w:r>
      <w:r>
        <w:rPr>
          <w:color w:val="231F20"/>
          <w:spacing w:val="-9"/>
        </w:rPr>
        <w:t> </w:t>
      </w:r>
      <w:r>
        <w:rPr>
          <w:color w:val="231F20"/>
        </w:rPr>
        <w:t>Каждая</w:t>
      </w:r>
      <w:r>
        <w:rPr>
          <w:color w:val="231F20"/>
          <w:spacing w:val="-9"/>
        </w:rPr>
        <w:t> </w:t>
      </w:r>
      <w:r>
        <w:rPr>
          <w:color w:val="231F20"/>
        </w:rPr>
        <w:t>группа</w:t>
      </w:r>
      <w:r>
        <w:rPr>
          <w:color w:val="231F20"/>
          <w:spacing w:val="-8"/>
        </w:rPr>
        <w:t> </w:t>
      </w:r>
      <w:r>
        <w:rPr>
          <w:color w:val="231F20"/>
        </w:rPr>
        <w:t>работает</w:t>
      </w:r>
      <w:r>
        <w:rPr>
          <w:color w:val="231F20"/>
          <w:spacing w:val="-9"/>
        </w:rPr>
        <w:t> </w:t>
      </w:r>
      <w:r>
        <w:rPr>
          <w:color w:val="231F20"/>
        </w:rPr>
        <w:t>над</w:t>
      </w:r>
      <w:r>
        <w:rPr>
          <w:color w:val="231F20"/>
          <w:spacing w:val="-8"/>
        </w:rPr>
        <w:t> </w:t>
      </w:r>
      <w:r>
        <w:rPr>
          <w:color w:val="231F20"/>
        </w:rPr>
        <w:t>отдель- ным</w:t>
      </w:r>
      <w:r>
        <w:rPr>
          <w:color w:val="231F20"/>
          <w:spacing w:val="-5"/>
        </w:rPr>
        <w:t> </w:t>
      </w:r>
      <w:r>
        <w:rPr>
          <w:color w:val="231F20"/>
        </w:rPr>
        <w:t>блоком</w:t>
      </w:r>
      <w:r>
        <w:rPr>
          <w:color w:val="231F20"/>
          <w:spacing w:val="-5"/>
        </w:rPr>
        <w:t> </w:t>
      </w:r>
      <w:r>
        <w:rPr>
          <w:color w:val="231F20"/>
        </w:rPr>
        <w:t>правила:</w:t>
      </w:r>
      <w:r>
        <w:rPr>
          <w:color w:val="231F20"/>
          <w:spacing w:val="-5"/>
        </w:rPr>
        <w:t> </w:t>
      </w:r>
      <w:r>
        <w:rPr>
          <w:color w:val="231F20"/>
        </w:rPr>
        <w:t>«Выбор</w:t>
      </w:r>
      <w:r>
        <w:rPr>
          <w:color w:val="231F20"/>
          <w:spacing w:val="-5"/>
        </w:rPr>
        <w:t> </w:t>
      </w:r>
      <w:r>
        <w:rPr>
          <w:color w:val="231F20"/>
        </w:rPr>
        <w:t>зависит</w:t>
      </w:r>
      <w:r>
        <w:rPr>
          <w:color w:val="231F20"/>
          <w:spacing w:val="-5"/>
        </w:rPr>
        <w:t> </w:t>
      </w:r>
      <w:r>
        <w:rPr>
          <w:color w:val="231F20"/>
        </w:rPr>
        <w:t>от</w:t>
      </w:r>
      <w:r>
        <w:rPr>
          <w:color w:val="231F20"/>
          <w:spacing w:val="-5"/>
        </w:rPr>
        <w:t> </w:t>
      </w:r>
      <w:r>
        <w:rPr>
          <w:color w:val="231F20"/>
        </w:rPr>
        <w:t>ударения»,</w:t>
      </w:r>
      <w:r>
        <w:rPr>
          <w:color w:val="231F20"/>
          <w:spacing w:val="-5"/>
        </w:rPr>
        <w:t> </w:t>
      </w:r>
      <w:r>
        <w:rPr>
          <w:color w:val="231F20"/>
        </w:rPr>
        <w:t>«Выбор</w:t>
      </w:r>
      <w:r>
        <w:rPr>
          <w:color w:val="231F20"/>
          <w:spacing w:val="-5"/>
        </w:rPr>
        <w:t> </w:t>
      </w:r>
      <w:r>
        <w:rPr>
          <w:color w:val="231F20"/>
        </w:rPr>
        <w:t>зависит</w:t>
      </w:r>
      <w:r>
        <w:rPr>
          <w:color w:val="231F20"/>
          <w:spacing w:val="-5"/>
        </w:rPr>
        <w:t> </w:t>
      </w:r>
      <w:r>
        <w:rPr>
          <w:color w:val="231F20"/>
        </w:rPr>
        <w:t>от</w:t>
      </w:r>
      <w:r>
        <w:rPr>
          <w:color w:val="231F20"/>
          <w:spacing w:val="-5"/>
        </w:rPr>
        <w:t> </w:t>
      </w:r>
      <w:r>
        <w:rPr>
          <w:color w:val="231F20"/>
        </w:rPr>
        <w:t>суффикса»</w:t>
      </w:r>
      <w:r>
        <w:rPr>
          <w:color w:val="231F20"/>
          <w:spacing w:val="-5"/>
        </w:rPr>
        <w:t> </w:t>
      </w:r>
      <w:r>
        <w:rPr>
          <w:color w:val="231F20"/>
        </w:rPr>
        <w:t>и др.</w:t>
      </w:r>
      <w:r>
        <w:rPr>
          <w:color w:val="231F20"/>
          <w:spacing w:val="-5"/>
        </w:rPr>
        <w:t> </w:t>
      </w:r>
      <w:r>
        <w:rPr>
          <w:color w:val="231F20"/>
        </w:rPr>
        <w:t>После</w:t>
      </w:r>
      <w:r>
        <w:rPr>
          <w:color w:val="231F20"/>
          <w:spacing w:val="-5"/>
        </w:rPr>
        <w:t> </w:t>
      </w:r>
      <w:r>
        <w:rPr>
          <w:color w:val="231F20"/>
        </w:rPr>
        <w:t>этого</w:t>
      </w:r>
      <w:r>
        <w:rPr>
          <w:color w:val="231F20"/>
          <w:spacing w:val="-5"/>
        </w:rPr>
        <w:t> </w:t>
      </w:r>
      <w:r>
        <w:rPr>
          <w:color w:val="231F20"/>
        </w:rPr>
        <w:t>составляется</w:t>
      </w:r>
      <w:r>
        <w:rPr>
          <w:color w:val="231F20"/>
          <w:spacing w:val="-5"/>
        </w:rPr>
        <w:t> </w:t>
      </w:r>
      <w:r>
        <w:rPr>
          <w:color w:val="231F20"/>
        </w:rPr>
        <w:t>сводная</w:t>
      </w:r>
      <w:r>
        <w:rPr>
          <w:color w:val="231F20"/>
          <w:spacing w:val="-5"/>
        </w:rPr>
        <w:t> </w:t>
      </w:r>
      <w:r>
        <w:rPr>
          <w:color w:val="231F20"/>
        </w:rPr>
        <w:t>таблица</w:t>
      </w:r>
      <w:r>
        <w:rPr>
          <w:color w:val="231F20"/>
          <w:spacing w:val="-4"/>
        </w:rPr>
        <w:t> </w:t>
      </w:r>
      <w:r>
        <w:rPr>
          <w:color w:val="231F20"/>
        </w:rPr>
        <w:t>«Условия</w:t>
      </w:r>
      <w:r>
        <w:rPr>
          <w:color w:val="231F20"/>
          <w:spacing w:val="-5"/>
        </w:rPr>
        <w:t> </w:t>
      </w:r>
      <w:r>
        <w:rPr>
          <w:color w:val="231F20"/>
        </w:rPr>
        <w:t>выбора</w:t>
      </w:r>
      <w:r>
        <w:rPr>
          <w:color w:val="231F20"/>
          <w:spacing w:val="-5"/>
        </w:rPr>
        <w:t> </w:t>
      </w:r>
      <w:r>
        <w:rPr>
          <w:color w:val="231F20"/>
        </w:rPr>
        <w:t>чередующихся</w:t>
      </w:r>
      <w:r>
        <w:rPr>
          <w:color w:val="231F20"/>
          <w:spacing w:val="-5"/>
        </w:rPr>
        <w:t> </w:t>
      </w:r>
      <w:r>
        <w:rPr>
          <w:color w:val="231F20"/>
        </w:rPr>
        <w:t>глас- ных в корне».</w:t>
      </w:r>
    </w:p>
    <w:p>
      <w:pPr>
        <w:pStyle w:val="BodyText"/>
        <w:spacing w:line="244" w:lineRule="auto"/>
      </w:pPr>
      <w:r>
        <w:rPr>
          <w:color w:val="231F20"/>
        </w:rPr>
        <w:t>Такой вид работы целесообразно использовать при изучении наиболее сложных орфографических правил: «Правописание </w:t>
      </w:r>
      <w:r>
        <w:rPr>
          <w:i/>
          <w:color w:val="231F20"/>
        </w:rPr>
        <w:t>не </w:t>
      </w:r>
      <w:r>
        <w:rPr>
          <w:color w:val="231F20"/>
        </w:rPr>
        <w:t>с различными частями речи», «Право- писание </w:t>
      </w:r>
      <w:r>
        <w:rPr>
          <w:i/>
          <w:color w:val="231F20"/>
        </w:rPr>
        <w:t>н </w:t>
      </w:r>
      <w:r>
        <w:rPr>
          <w:color w:val="231F20"/>
        </w:rPr>
        <w:t>и </w:t>
      </w:r>
      <w:r>
        <w:rPr>
          <w:i/>
          <w:color w:val="231F20"/>
        </w:rPr>
        <w:t>нн </w:t>
      </w:r>
      <w:r>
        <w:rPr>
          <w:color w:val="231F20"/>
        </w:rPr>
        <w:t>в различных частях речи», «Правописание безударных личных окон- чаний глагола» и т.п.</w:t>
      </w:r>
    </w:p>
    <w:p>
      <w:pPr>
        <w:spacing w:line="244" w:lineRule="auto" w:before="109"/>
        <w:ind w:left="2525" w:right="1121" w:hanging="1402"/>
        <w:jc w:val="both"/>
        <w:rPr>
          <w:b/>
          <w:sz w:val="20"/>
        </w:rPr>
      </w:pPr>
      <w:r>
        <w:rPr>
          <w:b/>
          <w:color w:val="231F20"/>
          <w:sz w:val="20"/>
        </w:rPr>
        <w:t>Методы</w:t>
      </w:r>
      <w:r>
        <w:rPr>
          <w:b/>
          <w:color w:val="231F20"/>
          <w:spacing w:val="-13"/>
          <w:sz w:val="20"/>
        </w:rPr>
        <w:t> </w:t>
      </w:r>
      <w:r>
        <w:rPr>
          <w:b/>
          <w:color w:val="231F20"/>
          <w:sz w:val="20"/>
        </w:rPr>
        <w:t>обучения</w:t>
      </w:r>
      <w:r>
        <w:rPr>
          <w:b/>
          <w:color w:val="231F20"/>
          <w:spacing w:val="-12"/>
          <w:sz w:val="20"/>
        </w:rPr>
        <w:t> </w:t>
      </w:r>
      <w:r>
        <w:rPr>
          <w:b/>
          <w:color w:val="231F20"/>
          <w:sz w:val="20"/>
        </w:rPr>
        <w:t>в</w:t>
      </w:r>
      <w:r>
        <w:rPr>
          <w:b/>
          <w:color w:val="231F20"/>
          <w:spacing w:val="-13"/>
          <w:sz w:val="20"/>
        </w:rPr>
        <w:t> </w:t>
      </w:r>
      <w:r>
        <w:rPr>
          <w:b/>
          <w:color w:val="231F20"/>
          <w:sz w:val="20"/>
        </w:rPr>
        <w:t>сотрудничестве</w:t>
      </w:r>
      <w:r>
        <w:rPr>
          <w:b/>
          <w:color w:val="231F20"/>
          <w:spacing w:val="-12"/>
          <w:sz w:val="20"/>
        </w:rPr>
        <w:t> </w:t>
      </w:r>
      <w:r>
        <w:rPr>
          <w:b/>
          <w:color w:val="231F20"/>
          <w:sz w:val="20"/>
        </w:rPr>
        <w:t>на</w:t>
      </w:r>
      <w:r>
        <w:rPr>
          <w:b/>
          <w:color w:val="231F20"/>
          <w:spacing w:val="-13"/>
          <w:sz w:val="20"/>
        </w:rPr>
        <w:t> </w:t>
      </w:r>
      <w:r>
        <w:rPr>
          <w:b/>
          <w:color w:val="231F20"/>
          <w:sz w:val="20"/>
        </w:rPr>
        <w:t>уроках</w:t>
      </w:r>
      <w:r>
        <w:rPr>
          <w:b/>
          <w:color w:val="231F20"/>
          <w:spacing w:val="-12"/>
          <w:sz w:val="20"/>
        </w:rPr>
        <w:t> </w:t>
      </w:r>
      <w:r>
        <w:rPr>
          <w:b/>
          <w:color w:val="231F20"/>
          <w:sz w:val="20"/>
        </w:rPr>
        <w:t>математики (план урока И. Мартынюк)</w:t>
      </w:r>
    </w:p>
    <w:p>
      <w:pPr>
        <w:spacing w:before="112"/>
        <w:ind w:left="425" w:right="0" w:firstLine="0"/>
        <w:jc w:val="both"/>
        <w:rPr>
          <w:i/>
          <w:sz w:val="20"/>
        </w:rPr>
      </w:pPr>
      <w:r>
        <w:rPr>
          <w:i/>
          <w:color w:val="231F20"/>
          <w:sz w:val="20"/>
        </w:rPr>
        <w:t>Урок</w:t>
      </w:r>
      <w:r>
        <w:rPr>
          <w:i/>
          <w:color w:val="231F20"/>
          <w:spacing w:val="-3"/>
          <w:sz w:val="20"/>
        </w:rPr>
        <w:t> </w:t>
      </w:r>
      <w:r>
        <w:rPr>
          <w:i/>
          <w:color w:val="231F20"/>
          <w:sz w:val="20"/>
        </w:rPr>
        <w:t>в</w:t>
      </w:r>
      <w:r>
        <w:rPr>
          <w:i/>
          <w:color w:val="231F20"/>
          <w:spacing w:val="-4"/>
          <w:sz w:val="20"/>
        </w:rPr>
        <w:t> </w:t>
      </w:r>
      <w:r>
        <w:rPr>
          <w:i/>
          <w:color w:val="231F20"/>
          <w:sz w:val="20"/>
        </w:rPr>
        <w:t>7-м</w:t>
      </w:r>
      <w:r>
        <w:rPr>
          <w:i/>
          <w:color w:val="231F20"/>
          <w:spacing w:val="-3"/>
          <w:sz w:val="20"/>
        </w:rPr>
        <w:t> </w:t>
      </w:r>
      <w:r>
        <w:rPr>
          <w:i/>
          <w:color w:val="231F20"/>
          <w:sz w:val="20"/>
        </w:rPr>
        <w:t>классе</w:t>
      </w:r>
      <w:r>
        <w:rPr>
          <w:i/>
          <w:color w:val="231F20"/>
          <w:spacing w:val="-3"/>
          <w:sz w:val="20"/>
        </w:rPr>
        <w:t> </w:t>
      </w:r>
      <w:r>
        <w:rPr>
          <w:i/>
          <w:color w:val="231F20"/>
          <w:sz w:val="20"/>
        </w:rPr>
        <w:t>по</w:t>
      </w:r>
      <w:r>
        <w:rPr>
          <w:i/>
          <w:color w:val="231F20"/>
          <w:spacing w:val="-3"/>
          <w:sz w:val="20"/>
        </w:rPr>
        <w:t> </w:t>
      </w:r>
      <w:r>
        <w:rPr>
          <w:i/>
          <w:color w:val="231F20"/>
          <w:sz w:val="20"/>
        </w:rPr>
        <w:t>теме</w:t>
      </w:r>
      <w:r>
        <w:rPr>
          <w:i/>
          <w:color w:val="231F20"/>
          <w:spacing w:val="-2"/>
          <w:sz w:val="20"/>
        </w:rPr>
        <w:t> </w:t>
      </w:r>
      <w:r>
        <w:rPr>
          <w:i/>
          <w:color w:val="231F20"/>
          <w:sz w:val="20"/>
        </w:rPr>
        <w:t>«Квадрат</w:t>
      </w:r>
      <w:r>
        <w:rPr>
          <w:i/>
          <w:color w:val="231F20"/>
          <w:spacing w:val="-4"/>
          <w:sz w:val="20"/>
        </w:rPr>
        <w:t> </w:t>
      </w:r>
      <w:r>
        <w:rPr>
          <w:i/>
          <w:color w:val="231F20"/>
          <w:sz w:val="20"/>
        </w:rPr>
        <w:t>разности</w:t>
      </w:r>
      <w:r>
        <w:rPr>
          <w:i/>
          <w:color w:val="231F20"/>
          <w:spacing w:val="-3"/>
          <w:sz w:val="20"/>
        </w:rPr>
        <w:t> </w:t>
      </w:r>
      <w:r>
        <w:rPr>
          <w:i/>
          <w:color w:val="231F20"/>
          <w:sz w:val="20"/>
        </w:rPr>
        <w:t>двух</w:t>
      </w:r>
      <w:r>
        <w:rPr>
          <w:i/>
          <w:color w:val="231F20"/>
          <w:spacing w:val="-2"/>
          <w:sz w:val="20"/>
        </w:rPr>
        <w:t> выражений»</w:t>
      </w:r>
    </w:p>
    <w:p>
      <w:pPr>
        <w:spacing w:before="61"/>
        <w:ind w:left="141" w:right="0" w:firstLine="0"/>
        <w:jc w:val="both"/>
        <w:rPr>
          <w:b/>
          <w:sz w:val="20"/>
        </w:rPr>
      </w:pPr>
      <w:r>
        <w:rPr>
          <w:b/>
          <w:color w:val="231F20"/>
          <w:spacing w:val="-2"/>
          <w:sz w:val="20"/>
        </w:rPr>
        <w:t>Ход</w:t>
      </w:r>
      <w:r>
        <w:rPr>
          <w:b/>
          <w:color w:val="231F20"/>
          <w:spacing w:val="-7"/>
          <w:sz w:val="20"/>
        </w:rPr>
        <w:t> </w:t>
      </w:r>
      <w:r>
        <w:rPr>
          <w:b/>
          <w:color w:val="231F20"/>
          <w:spacing w:val="-2"/>
          <w:sz w:val="20"/>
        </w:rPr>
        <w:t>урока</w:t>
      </w:r>
    </w:p>
    <w:p>
      <w:pPr>
        <w:spacing w:before="4"/>
        <w:ind w:left="425" w:right="0" w:firstLine="0"/>
        <w:jc w:val="both"/>
        <w:rPr>
          <w:b/>
          <w:i/>
          <w:sz w:val="20"/>
        </w:rPr>
      </w:pPr>
      <w:r>
        <w:rPr>
          <w:b/>
          <w:i/>
          <w:color w:val="231F20"/>
          <w:spacing w:val="-2"/>
          <w:sz w:val="20"/>
        </w:rPr>
        <w:t>Организационный</w:t>
      </w:r>
      <w:r>
        <w:rPr>
          <w:b/>
          <w:i/>
          <w:color w:val="231F20"/>
          <w:spacing w:val="15"/>
          <w:sz w:val="20"/>
        </w:rPr>
        <w:t> </w:t>
      </w:r>
      <w:r>
        <w:rPr>
          <w:b/>
          <w:i/>
          <w:color w:val="231F20"/>
          <w:spacing w:val="-2"/>
          <w:sz w:val="20"/>
        </w:rPr>
        <w:t>момент</w:t>
      </w:r>
    </w:p>
    <w:p>
      <w:pPr>
        <w:pStyle w:val="BodyText"/>
        <w:spacing w:line="244" w:lineRule="auto" w:before="4"/>
      </w:pPr>
      <w:r>
        <w:rPr>
          <w:i/>
          <w:color w:val="231F20"/>
        </w:rPr>
        <w:t>Вступительное слово учителя</w:t>
      </w:r>
      <w:r>
        <w:rPr>
          <w:color w:val="231F20"/>
        </w:rPr>
        <w:t>. Сегодня вы работаете и индивидуально, и в груп- пе.</w:t>
      </w:r>
      <w:r>
        <w:rPr>
          <w:color w:val="231F20"/>
          <w:spacing w:val="-12"/>
        </w:rPr>
        <w:t> </w:t>
      </w:r>
      <w:r>
        <w:rPr>
          <w:color w:val="231F20"/>
        </w:rPr>
        <w:t>Главное</w:t>
      </w:r>
      <w:r>
        <w:rPr>
          <w:color w:val="231F20"/>
          <w:spacing w:val="-5"/>
        </w:rPr>
        <w:t> </w:t>
      </w:r>
      <w:r>
        <w:rPr>
          <w:color w:val="231F20"/>
        </w:rPr>
        <w:t>–</w:t>
      </w:r>
      <w:r>
        <w:rPr>
          <w:color w:val="231F20"/>
          <w:spacing w:val="-10"/>
        </w:rPr>
        <w:t> </w:t>
      </w:r>
      <w:r>
        <w:rPr>
          <w:color w:val="231F20"/>
        </w:rPr>
        <w:t>научиться</w:t>
      </w:r>
      <w:r>
        <w:rPr>
          <w:color w:val="231F20"/>
          <w:spacing w:val="-10"/>
        </w:rPr>
        <w:t> </w:t>
      </w:r>
      <w:r>
        <w:rPr>
          <w:color w:val="231F20"/>
        </w:rPr>
        <w:t>самому</w:t>
      </w:r>
      <w:r>
        <w:rPr>
          <w:color w:val="231F20"/>
          <w:spacing w:val="-10"/>
        </w:rPr>
        <w:t> </w:t>
      </w:r>
      <w:r>
        <w:rPr>
          <w:color w:val="231F20"/>
        </w:rPr>
        <w:t>и</w:t>
      </w:r>
      <w:r>
        <w:rPr>
          <w:color w:val="231F20"/>
          <w:spacing w:val="-9"/>
        </w:rPr>
        <w:t> </w:t>
      </w:r>
      <w:r>
        <w:rPr>
          <w:color w:val="231F20"/>
        </w:rPr>
        <w:t>научить</w:t>
      </w:r>
      <w:r>
        <w:rPr>
          <w:color w:val="231F20"/>
          <w:spacing w:val="-10"/>
        </w:rPr>
        <w:t> </w:t>
      </w:r>
      <w:r>
        <w:rPr>
          <w:color w:val="231F20"/>
        </w:rPr>
        <w:t>других.</w:t>
      </w:r>
      <w:r>
        <w:rPr>
          <w:color w:val="231F20"/>
          <w:spacing w:val="-10"/>
        </w:rPr>
        <w:t> </w:t>
      </w:r>
      <w:r>
        <w:rPr>
          <w:color w:val="231F20"/>
        </w:rPr>
        <w:t>Мое</w:t>
      </w:r>
      <w:r>
        <w:rPr>
          <w:color w:val="231F20"/>
          <w:spacing w:val="-9"/>
        </w:rPr>
        <w:t> </w:t>
      </w:r>
      <w:r>
        <w:rPr>
          <w:color w:val="231F20"/>
        </w:rPr>
        <w:t>пожелание</w:t>
      </w:r>
      <w:r>
        <w:rPr>
          <w:color w:val="231F20"/>
          <w:spacing w:val="-10"/>
        </w:rPr>
        <w:t> </w:t>
      </w:r>
      <w:r>
        <w:rPr>
          <w:color w:val="231F20"/>
        </w:rPr>
        <w:t>записано</w:t>
      </w:r>
      <w:r>
        <w:rPr>
          <w:color w:val="231F20"/>
          <w:spacing w:val="-10"/>
        </w:rPr>
        <w:t> </w:t>
      </w:r>
      <w:r>
        <w:rPr>
          <w:color w:val="231F20"/>
        </w:rPr>
        <w:t>на</w:t>
      </w:r>
      <w:r>
        <w:rPr>
          <w:color w:val="231F20"/>
          <w:spacing w:val="-9"/>
        </w:rPr>
        <w:t> </w:t>
      </w:r>
      <w:r>
        <w:rPr>
          <w:color w:val="231F20"/>
          <w:spacing w:val="-2"/>
        </w:rPr>
        <w:t>доске:</w:t>
      </w:r>
    </w:p>
    <w:p>
      <w:pPr>
        <w:spacing w:line="244" w:lineRule="auto" w:before="0"/>
        <w:ind w:left="425" w:right="4819" w:firstLine="0"/>
        <w:jc w:val="left"/>
        <w:rPr>
          <w:i/>
          <w:sz w:val="20"/>
        </w:rPr>
      </w:pPr>
      <w:r>
        <w:rPr>
          <w:i/>
          <w:color w:val="231F20"/>
          <w:sz w:val="20"/>
        </w:rPr>
        <w:t>Если</w:t>
      </w:r>
      <w:r>
        <w:rPr>
          <w:i/>
          <w:color w:val="231F20"/>
          <w:spacing w:val="-13"/>
          <w:sz w:val="20"/>
        </w:rPr>
        <w:t> </w:t>
      </w:r>
      <w:r>
        <w:rPr>
          <w:i/>
          <w:color w:val="231F20"/>
          <w:sz w:val="20"/>
        </w:rPr>
        <w:t>что-то</w:t>
      </w:r>
      <w:r>
        <w:rPr>
          <w:i/>
          <w:color w:val="231F20"/>
          <w:spacing w:val="-12"/>
          <w:sz w:val="20"/>
        </w:rPr>
        <w:t> </w:t>
      </w:r>
      <w:r>
        <w:rPr>
          <w:i/>
          <w:color w:val="231F20"/>
          <w:sz w:val="20"/>
        </w:rPr>
        <w:t>непонятно, Это очень неприятно.</w:t>
      </w:r>
    </w:p>
    <w:p>
      <w:pPr>
        <w:spacing w:line="244" w:lineRule="auto" w:before="0"/>
        <w:ind w:left="425" w:right="4015" w:firstLine="0"/>
        <w:jc w:val="left"/>
        <w:rPr>
          <w:i/>
          <w:sz w:val="20"/>
        </w:rPr>
      </w:pPr>
      <w:r>
        <w:rPr>
          <w:i/>
          <w:color w:val="231F20"/>
          <w:sz w:val="20"/>
        </w:rPr>
        <w:t>Пусть</w:t>
      </w:r>
      <w:r>
        <w:rPr>
          <w:i/>
          <w:color w:val="231F20"/>
          <w:spacing w:val="-12"/>
          <w:sz w:val="20"/>
        </w:rPr>
        <w:t> </w:t>
      </w:r>
      <w:r>
        <w:rPr>
          <w:i/>
          <w:color w:val="231F20"/>
          <w:sz w:val="20"/>
        </w:rPr>
        <w:t>тоска</w:t>
      </w:r>
      <w:r>
        <w:rPr>
          <w:i/>
          <w:color w:val="231F20"/>
          <w:spacing w:val="-12"/>
          <w:sz w:val="20"/>
        </w:rPr>
        <w:t> </w:t>
      </w:r>
      <w:r>
        <w:rPr>
          <w:i/>
          <w:color w:val="231F20"/>
          <w:sz w:val="20"/>
        </w:rPr>
        <w:t>тебя</w:t>
      </w:r>
      <w:r>
        <w:rPr>
          <w:i/>
          <w:color w:val="231F20"/>
          <w:spacing w:val="-12"/>
          <w:sz w:val="20"/>
        </w:rPr>
        <w:t> </w:t>
      </w:r>
      <w:r>
        <w:rPr>
          <w:i/>
          <w:color w:val="231F20"/>
          <w:sz w:val="20"/>
        </w:rPr>
        <w:t>не</w:t>
      </w:r>
      <w:r>
        <w:rPr>
          <w:i/>
          <w:color w:val="231F20"/>
          <w:spacing w:val="-12"/>
          <w:sz w:val="20"/>
        </w:rPr>
        <w:t> </w:t>
      </w:r>
      <w:r>
        <w:rPr>
          <w:i/>
          <w:color w:val="231F20"/>
          <w:sz w:val="20"/>
        </w:rPr>
        <w:t>гложет, Рядом друг, и он поможет.</w:t>
      </w:r>
    </w:p>
    <w:p>
      <w:pPr>
        <w:spacing w:before="53"/>
        <w:ind w:left="425" w:right="0" w:firstLine="0"/>
        <w:jc w:val="left"/>
        <w:rPr>
          <w:b/>
          <w:i/>
          <w:sz w:val="20"/>
        </w:rPr>
      </w:pPr>
      <w:r>
        <w:rPr>
          <w:b/>
          <w:i/>
          <w:color w:val="231F20"/>
          <w:spacing w:val="-2"/>
          <w:sz w:val="20"/>
        </w:rPr>
        <w:t>Повторение</w:t>
      </w:r>
    </w:p>
    <w:p>
      <w:pPr>
        <w:pStyle w:val="ListParagraph"/>
        <w:numPr>
          <w:ilvl w:val="0"/>
          <w:numId w:val="320"/>
        </w:numPr>
        <w:tabs>
          <w:tab w:pos="424" w:val="left" w:leader="none"/>
        </w:tabs>
        <w:spacing w:line="240" w:lineRule="auto" w:before="4" w:after="0"/>
        <w:ind w:left="424" w:right="0" w:hanging="283"/>
        <w:jc w:val="left"/>
        <w:rPr>
          <w:sz w:val="20"/>
        </w:rPr>
      </w:pPr>
      <w:r>
        <w:rPr>
          <w:color w:val="231F20"/>
          <w:sz w:val="20"/>
        </w:rPr>
        <w:t>Исключите</w:t>
      </w:r>
      <w:r>
        <w:rPr>
          <w:color w:val="231F20"/>
          <w:spacing w:val="-12"/>
          <w:sz w:val="20"/>
        </w:rPr>
        <w:t> </w:t>
      </w:r>
      <w:r>
        <w:rPr>
          <w:color w:val="231F20"/>
          <w:spacing w:val="-2"/>
          <w:sz w:val="20"/>
        </w:rPr>
        <w:t>лишнее:</w:t>
      </w:r>
    </w:p>
    <w:p>
      <w:pPr>
        <w:pStyle w:val="BodyText"/>
        <w:spacing w:before="4"/>
        <w:ind w:left="425" w:right="0" w:firstLine="0"/>
        <w:jc w:val="left"/>
      </w:pPr>
      <w:r>
        <w:rPr>
          <w:color w:val="231F20"/>
        </w:rPr>
        <w:t>(B</w:t>
      </w:r>
      <w:r>
        <w:rPr>
          <w:color w:val="231F20"/>
          <w:spacing w:val="-2"/>
        </w:rPr>
        <w:t> </w:t>
      </w:r>
      <w:r>
        <w:rPr>
          <w:color w:val="231F20"/>
        </w:rPr>
        <w:t>+</w:t>
      </w:r>
      <w:r>
        <w:rPr>
          <w:color w:val="231F20"/>
          <w:spacing w:val="-1"/>
        </w:rPr>
        <w:t> </w:t>
      </w:r>
      <w:r>
        <w:rPr>
          <w:color w:val="231F20"/>
        </w:rPr>
        <w:t>4)</w:t>
      </w:r>
      <w:r>
        <w:rPr>
          <w:color w:val="231F20"/>
          <w:vertAlign w:val="superscript"/>
        </w:rPr>
        <w:t>2</w:t>
      </w:r>
      <w:r>
        <w:rPr>
          <w:color w:val="231F20"/>
          <w:vertAlign w:val="baseline"/>
        </w:rPr>
        <w:t>;</w:t>
      </w:r>
      <w:r>
        <w:rPr>
          <w:color w:val="231F20"/>
          <w:spacing w:val="-1"/>
          <w:vertAlign w:val="baseline"/>
        </w:rPr>
        <w:t> </w:t>
      </w:r>
      <w:r>
        <w:rPr>
          <w:color w:val="231F20"/>
          <w:vertAlign w:val="baseline"/>
        </w:rPr>
        <w:t>(x</w:t>
      </w:r>
      <w:r>
        <w:rPr>
          <w:color w:val="231F20"/>
          <w:spacing w:val="-1"/>
          <w:vertAlign w:val="baseline"/>
        </w:rPr>
        <w:t> </w:t>
      </w:r>
      <w:r>
        <w:rPr>
          <w:color w:val="231F20"/>
          <w:vertAlign w:val="baseline"/>
        </w:rPr>
        <w:t>–</w:t>
      </w:r>
      <w:r>
        <w:rPr>
          <w:color w:val="231F20"/>
          <w:spacing w:val="-1"/>
          <w:vertAlign w:val="baseline"/>
        </w:rPr>
        <w:t> </w:t>
      </w:r>
      <w:r>
        <w:rPr>
          <w:color w:val="231F20"/>
          <w:vertAlign w:val="baseline"/>
        </w:rPr>
        <w:t>9)</w:t>
      </w:r>
      <w:r>
        <w:rPr>
          <w:color w:val="231F20"/>
          <w:vertAlign w:val="superscript"/>
        </w:rPr>
        <w:t>2</w:t>
      </w:r>
      <w:r>
        <w:rPr>
          <w:color w:val="231F20"/>
          <w:vertAlign w:val="baseline"/>
        </w:rPr>
        <w:t>;</w:t>
      </w:r>
      <w:r>
        <w:rPr>
          <w:color w:val="231F20"/>
          <w:spacing w:val="-1"/>
          <w:vertAlign w:val="baseline"/>
        </w:rPr>
        <w:t> </w:t>
      </w:r>
      <w:r>
        <w:rPr>
          <w:color w:val="231F20"/>
          <w:vertAlign w:val="baseline"/>
        </w:rPr>
        <w:t>(y</w:t>
      </w:r>
      <w:r>
        <w:rPr>
          <w:color w:val="231F20"/>
          <w:spacing w:val="-2"/>
          <w:vertAlign w:val="baseline"/>
        </w:rPr>
        <w:t> </w:t>
      </w:r>
      <w:r>
        <w:rPr>
          <w:color w:val="231F20"/>
          <w:vertAlign w:val="baseline"/>
        </w:rPr>
        <w:t>+</w:t>
      </w:r>
      <w:r>
        <w:rPr>
          <w:color w:val="231F20"/>
          <w:spacing w:val="-1"/>
          <w:vertAlign w:val="baseline"/>
        </w:rPr>
        <w:t> </w:t>
      </w:r>
      <w:r>
        <w:rPr>
          <w:color w:val="231F20"/>
          <w:vertAlign w:val="baseline"/>
        </w:rPr>
        <w:t>3)</w:t>
      </w:r>
      <w:r>
        <w:rPr>
          <w:color w:val="231F20"/>
          <w:vertAlign w:val="superscript"/>
        </w:rPr>
        <w:t>2</w:t>
      </w:r>
      <w:r>
        <w:rPr>
          <w:color w:val="231F20"/>
          <w:vertAlign w:val="baseline"/>
        </w:rPr>
        <w:t>;</w:t>
      </w:r>
      <w:r>
        <w:rPr>
          <w:color w:val="231F20"/>
          <w:spacing w:val="-1"/>
          <w:vertAlign w:val="baseline"/>
        </w:rPr>
        <w:t> </w:t>
      </w:r>
      <w:r>
        <w:rPr>
          <w:color w:val="231F20"/>
          <w:vertAlign w:val="baseline"/>
        </w:rPr>
        <w:t>(7</w:t>
      </w:r>
      <w:r>
        <w:rPr>
          <w:i/>
          <w:color w:val="231F20"/>
          <w:vertAlign w:val="baseline"/>
        </w:rPr>
        <w:t>a</w:t>
      </w:r>
      <w:r>
        <w:rPr>
          <w:i/>
          <w:color w:val="231F20"/>
          <w:spacing w:val="-1"/>
          <w:vertAlign w:val="baseline"/>
        </w:rPr>
        <w:t> </w:t>
      </w:r>
      <w:r>
        <w:rPr>
          <w:color w:val="231F20"/>
          <w:vertAlign w:val="baseline"/>
        </w:rPr>
        <w:t>+</w:t>
      </w:r>
      <w:r>
        <w:rPr>
          <w:color w:val="231F20"/>
          <w:spacing w:val="-1"/>
          <w:vertAlign w:val="baseline"/>
        </w:rPr>
        <w:t> </w:t>
      </w:r>
      <w:r>
        <w:rPr>
          <w:color w:val="231F20"/>
          <w:spacing w:val="-4"/>
          <w:vertAlign w:val="baseline"/>
        </w:rPr>
        <w:t>5)</w:t>
      </w:r>
      <w:r>
        <w:rPr>
          <w:color w:val="231F20"/>
          <w:spacing w:val="-4"/>
          <w:vertAlign w:val="superscript"/>
        </w:rPr>
        <w:t>2</w:t>
      </w:r>
      <w:r>
        <w:rPr>
          <w:color w:val="231F20"/>
          <w:spacing w:val="-4"/>
          <w:vertAlign w:val="baseline"/>
        </w:rPr>
        <w:t>.</w:t>
      </w:r>
    </w:p>
    <w:p>
      <w:pPr>
        <w:pStyle w:val="ListParagraph"/>
        <w:numPr>
          <w:ilvl w:val="0"/>
          <w:numId w:val="320"/>
        </w:numPr>
        <w:tabs>
          <w:tab w:pos="425" w:val="left" w:leader="none"/>
        </w:tabs>
        <w:spacing w:line="244" w:lineRule="auto" w:before="4" w:after="0"/>
        <w:ind w:left="425" w:right="138" w:hanging="284"/>
        <w:jc w:val="both"/>
        <w:rPr>
          <w:sz w:val="20"/>
        </w:rPr>
      </w:pPr>
      <w:r>
        <w:rPr>
          <w:color w:val="231F20"/>
          <w:sz w:val="20"/>
        </w:rPr>
        <w:t>Прочитайте каждое выражение из первого задания. Какое задание вы еще не умеете выполнять? Прочитайте его еще раз. Сегодня на уроке вы научитесь возводить в квадрат разность двух выражений.</w:t>
      </w:r>
    </w:p>
    <w:p>
      <w:pPr>
        <w:pStyle w:val="ListParagraph"/>
        <w:numPr>
          <w:ilvl w:val="0"/>
          <w:numId w:val="320"/>
        </w:numPr>
        <w:tabs>
          <w:tab w:pos="423" w:val="left" w:leader="none"/>
        </w:tabs>
        <w:spacing w:line="240" w:lineRule="auto" w:before="4" w:after="0"/>
        <w:ind w:left="423" w:right="0" w:hanging="282"/>
        <w:jc w:val="both"/>
        <w:rPr>
          <w:sz w:val="20"/>
        </w:rPr>
      </w:pPr>
      <w:r>
        <w:rPr>
          <w:color w:val="231F20"/>
          <w:spacing w:val="-4"/>
          <w:sz w:val="20"/>
        </w:rPr>
        <w:t>Прочитайте</w:t>
      </w:r>
      <w:r>
        <w:rPr>
          <w:color w:val="231F20"/>
          <w:spacing w:val="-12"/>
          <w:sz w:val="20"/>
        </w:rPr>
        <w:t> </w:t>
      </w:r>
      <w:r>
        <w:rPr>
          <w:color w:val="231F20"/>
          <w:spacing w:val="-4"/>
          <w:sz w:val="20"/>
        </w:rPr>
        <w:t>выражение</w:t>
      </w:r>
      <w:r>
        <w:rPr>
          <w:color w:val="231F20"/>
          <w:spacing w:val="-11"/>
          <w:sz w:val="20"/>
        </w:rPr>
        <w:t> </w:t>
      </w:r>
      <w:r>
        <w:rPr>
          <w:color w:val="231F20"/>
          <w:spacing w:val="-4"/>
          <w:sz w:val="20"/>
        </w:rPr>
        <w:t>при</w:t>
      </w:r>
      <w:r>
        <w:rPr>
          <w:color w:val="231F20"/>
          <w:spacing w:val="-12"/>
          <w:sz w:val="20"/>
        </w:rPr>
        <w:t> </w:t>
      </w:r>
      <w:r>
        <w:rPr>
          <w:color w:val="231F20"/>
          <w:spacing w:val="-4"/>
          <w:sz w:val="20"/>
        </w:rPr>
        <w:t>заданных</w:t>
      </w:r>
      <w:r>
        <w:rPr>
          <w:color w:val="231F20"/>
          <w:spacing w:val="-11"/>
          <w:sz w:val="20"/>
        </w:rPr>
        <w:t> </w:t>
      </w:r>
      <w:r>
        <w:rPr>
          <w:color w:val="231F20"/>
          <w:spacing w:val="-4"/>
          <w:sz w:val="20"/>
        </w:rPr>
        <w:t>a</w:t>
      </w:r>
      <w:r>
        <w:rPr>
          <w:color w:val="231F20"/>
          <w:spacing w:val="-12"/>
          <w:sz w:val="20"/>
        </w:rPr>
        <w:t> </w:t>
      </w:r>
      <w:r>
        <w:rPr>
          <w:color w:val="231F20"/>
          <w:spacing w:val="-4"/>
          <w:sz w:val="20"/>
        </w:rPr>
        <w:t>и</w:t>
      </w:r>
      <w:r>
        <w:rPr>
          <w:color w:val="231F20"/>
          <w:spacing w:val="-11"/>
          <w:sz w:val="20"/>
        </w:rPr>
        <w:t> </w:t>
      </w:r>
      <w:r>
        <w:rPr>
          <w:color w:val="231F20"/>
          <w:spacing w:val="-4"/>
          <w:sz w:val="20"/>
        </w:rPr>
        <w:t>b.</w:t>
      </w:r>
      <w:r>
        <w:rPr>
          <w:color w:val="231F20"/>
          <w:spacing w:val="-12"/>
          <w:sz w:val="20"/>
        </w:rPr>
        <w:t> </w:t>
      </w:r>
      <w:r>
        <w:rPr>
          <w:color w:val="231F20"/>
          <w:spacing w:val="-4"/>
          <w:sz w:val="20"/>
        </w:rPr>
        <w:t>(Учитель</w:t>
      </w:r>
      <w:r>
        <w:rPr>
          <w:color w:val="231F20"/>
          <w:spacing w:val="-11"/>
          <w:sz w:val="20"/>
        </w:rPr>
        <w:t> </w:t>
      </w:r>
      <w:r>
        <w:rPr>
          <w:color w:val="231F20"/>
          <w:spacing w:val="-4"/>
          <w:sz w:val="20"/>
        </w:rPr>
        <w:t>показывает</w:t>
      </w:r>
      <w:r>
        <w:rPr>
          <w:color w:val="231F20"/>
          <w:spacing w:val="-12"/>
          <w:sz w:val="20"/>
        </w:rPr>
        <w:t> </w:t>
      </w:r>
      <w:r>
        <w:rPr>
          <w:color w:val="231F20"/>
          <w:spacing w:val="-4"/>
          <w:sz w:val="20"/>
        </w:rPr>
        <w:t>лепесток</w:t>
      </w:r>
      <w:r>
        <w:rPr>
          <w:color w:val="231F20"/>
          <w:spacing w:val="-11"/>
          <w:sz w:val="20"/>
        </w:rPr>
        <w:t> </w:t>
      </w:r>
      <w:r>
        <w:rPr>
          <w:color w:val="231F20"/>
          <w:spacing w:val="-4"/>
          <w:sz w:val="20"/>
        </w:rPr>
        <w:t>ромашки).</w:t>
      </w:r>
    </w:p>
    <w:p>
      <w:pPr>
        <w:pStyle w:val="ListParagraph"/>
        <w:spacing w:after="0" w:line="240" w:lineRule="auto"/>
        <w:jc w:val="both"/>
        <w:rPr>
          <w:sz w:val="20"/>
        </w:rPr>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before="109"/>
        <w:ind w:left="425" w:right="0" w:firstLine="0"/>
        <w:jc w:val="left"/>
        <w:rPr>
          <w:b/>
          <w:i/>
          <w:sz w:val="20"/>
        </w:rPr>
      </w:pPr>
      <w:r>
        <w:rPr>
          <w:b/>
          <w:i/>
          <w:color w:val="231F20"/>
          <w:sz w:val="20"/>
        </w:rPr>
        <w:t>Работа</w:t>
      </w:r>
      <w:r>
        <w:rPr>
          <w:b/>
          <w:i/>
          <w:color w:val="231F20"/>
          <w:spacing w:val="-6"/>
          <w:sz w:val="20"/>
        </w:rPr>
        <w:t> </w:t>
      </w:r>
      <w:r>
        <w:rPr>
          <w:b/>
          <w:i/>
          <w:color w:val="231F20"/>
          <w:sz w:val="20"/>
        </w:rPr>
        <w:t>в</w:t>
      </w:r>
      <w:r>
        <w:rPr>
          <w:b/>
          <w:i/>
          <w:color w:val="231F20"/>
          <w:spacing w:val="-5"/>
          <w:sz w:val="20"/>
        </w:rPr>
        <w:t> </w:t>
      </w:r>
      <w:r>
        <w:rPr>
          <w:b/>
          <w:i/>
          <w:color w:val="231F20"/>
          <w:spacing w:val="-2"/>
          <w:sz w:val="20"/>
        </w:rPr>
        <w:t>группах</w:t>
      </w:r>
    </w:p>
    <w:p>
      <w:pPr>
        <w:pStyle w:val="BodyText"/>
        <w:spacing w:line="235" w:lineRule="auto"/>
        <w:ind w:right="0"/>
        <w:jc w:val="left"/>
      </w:pPr>
      <w:r>
        <w:rPr>
          <w:color w:val="231F20"/>
        </w:rPr>
        <w:t>Происходит</w:t>
      </w:r>
      <w:r>
        <w:rPr>
          <w:color w:val="231F20"/>
          <w:spacing w:val="17"/>
        </w:rPr>
        <w:t> </w:t>
      </w:r>
      <w:r>
        <w:rPr>
          <w:color w:val="231F20"/>
        </w:rPr>
        <w:t>раздача</w:t>
      </w:r>
      <w:r>
        <w:rPr>
          <w:color w:val="231F20"/>
          <w:spacing w:val="17"/>
        </w:rPr>
        <w:t> </w:t>
      </w:r>
      <w:r>
        <w:rPr>
          <w:color w:val="231F20"/>
        </w:rPr>
        <w:t>дидактического</w:t>
      </w:r>
      <w:r>
        <w:rPr>
          <w:color w:val="231F20"/>
          <w:spacing w:val="17"/>
        </w:rPr>
        <w:t> </w:t>
      </w:r>
      <w:r>
        <w:rPr>
          <w:color w:val="231F20"/>
        </w:rPr>
        <w:t>материала</w:t>
      </w:r>
      <w:r>
        <w:rPr>
          <w:color w:val="231F20"/>
          <w:spacing w:val="17"/>
        </w:rPr>
        <w:t> </w:t>
      </w:r>
      <w:r>
        <w:rPr>
          <w:color w:val="231F20"/>
        </w:rPr>
        <w:t>и</w:t>
      </w:r>
      <w:r>
        <w:rPr>
          <w:color w:val="231F20"/>
          <w:spacing w:val="17"/>
        </w:rPr>
        <w:t> </w:t>
      </w:r>
      <w:r>
        <w:rPr>
          <w:color w:val="231F20"/>
        </w:rPr>
        <w:t>маршрутных</w:t>
      </w:r>
      <w:r>
        <w:rPr>
          <w:color w:val="231F20"/>
          <w:spacing w:val="17"/>
        </w:rPr>
        <w:t> </w:t>
      </w:r>
      <w:r>
        <w:rPr>
          <w:color w:val="231F20"/>
        </w:rPr>
        <w:t>листов.</w:t>
      </w:r>
      <w:r>
        <w:rPr>
          <w:color w:val="231F20"/>
          <w:spacing w:val="17"/>
        </w:rPr>
        <w:t> </w:t>
      </w:r>
      <w:r>
        <w:rPr>
          <w:color w:val="231F20"/>
        </w:rPr>
        <w:t>Порядок работы в группах записан на доске.</w:t>
      </w:r>
    </w:p>
    <w:p>
      <w:pPr>
        <w:pStyle w:val="ListParagraph"/>
        <w:numPr>
          <w:ilvl w:val="0"/>
          <w:numId w:val="321"/>
        </w:numPr>
        <w:tabs>
          <w:tab w:pos="424" w:val="left" w:leader="none"/>
        </w:tabs>
        <w:spacing w:line="225" w:lineRule="exact" w:before="0" w:after="0"/>
        <w:ind w:left="424" w:right="0" w:hanging="283"/>
        <w:jc w:val="left"/>
        <w:rPr>
          <w:i/>
          <w:sz w:val="20"/>
        </w:rPr>
      </w:pPr>
      <w:r>
        <w:rPr>
          <w:i/>
          <w:color w:val="231F20"/>
          <w:sz w:val="20"/>
        </w:rPr>
        <w:t>Опрос по </w:t>
      </w:r>
      <w:r>
        <w:rPr>
          <w:i/>
          <w:color w:val="231F20"/>
          <w:spacing w:val="-2"/>
          <w:sz w:val="20"/>
        </w:rPr>
        <w:t>теории</w:t>
      </w:r>
    </w:p>
    <w:p>
      <w:pPr>
        <w:pStyle w:val="BodyText"/>
        <w:spacing w:line="226" w:lineRule="exact"/>
        <w:ind w:left="425" w:right="0" w:firstLine="0"/>
        <w:jc w:val="left"/>
      </w:pPr>
      <w:r>
        <w:rPr>
          <w:color w:val="231F20"/>
        </w:rPr>
        <w:t>Допишите</w:t>
      </w:r>
      <w:r>
        <w:rPr>
          <w:color w:val="231F20"/>
          <w:spacing w:val="-4"/>
        </w:rPr>
        <w:t> </w:t>
      </w:r>
      <w:r>
        <w:rPr>
          <w:color w:val="231F20"/>
        </w:rPr>
        <w:t>на</w:t>
      </w:r>
      <w:r>
        <w:rPr>
          <w:color w:val="231F20"/>
          <w:spacing w:val="-3"/>
        </w:rPr>
        <w:t> </w:t>
      </w:r>
      <w:r>
        <w:rPr>
          <w:color w:val="231F20"/>
        </w:rPr>
        <w:t>листе</w:t>
      </w:r>
      <w:r>
        <w:rPr>
          <w:color w:val="231F20"/>
          <w:spacing w:val="-3"/>
        </w:rPr>
        <w:t> </w:t>
      </w:r>
      <w:r>
        <w:rPr>
          <w:color w:val="231F20"/>
        </w:rPr>
        <w:t>правую</w:t>
      </w:r>
      <w:r>
        <w:rPr>
          <w:color w:val="231F20"/>
          <w:spacing w:val="-4"/>
        </w:rPr>
        <w:t> </w:t>
      </w:r>
      <w:r>
        <w:rPr>
          <w:color w:val="231F20"/>
        </w:rPr>
        <w:t>часть</w:t>
      </w:r>
      <w:r>
        <w:rPr>
          <w:color w:val="231F20"/>
          <w:spacing w:val="-3"/>
        </w:rPr>
        <w:t> </w:t>
      </w:r>
      <w:r>
        <w:rPr>
          <w:color w:val="231F20"/>
          <w:spacing w:val="-2"/>
        </w:rPr>
        <w:t>формулы.</w:t>
      </w:r>
    </w:p>
    <w:p>
      <w:pPr>
        <w:pStyle w:val="ListParagraph"/>
        <w:numPr>
          <w:ilvl w:val="1"/>
          <w:numId w:val="321"/>
        </w:numPr>
        <w:tabs>
          <w:tab w:pos="591" w:val="left" w:leader="none"/>
        </w:tabs>
        <w:spacing w:line="226" w:lineRule="exact" w:before="0" w:after="0"/>
        <w:ind w:left="591" w:right="0" w:hanging="166"/>
        <w:jc w:val="left"/>
        <w:rPr>
          <w:sz w:val="20"/>
        </w:rPr>
      </w:pPr>
      <w:r>
        <w:rPr>
          <w:color w:val="231F20"/>
          <w:sz w:val="20"/>
        </w:rPr>
        <w:t>я</w:t>
      </w:r>
      <w:r>
        <w:rPr>
          <w:color w:val="231F20"/>
          <w:spacing w:val="-2"/>
          <w:sz w:val="20"/>
        </w:rPr>
        <w:t> </w:t>
      </w:r>
      <w:r>
        <w:rPr>
          <w:color w:val="231F20"/>
          <w:sz w:val="20"/>
        </w:rPr>
        <w:t>группа:</w:t>
      </w:r>
      <w:r>
        <w:rPr>
          <w:color w:val="231F20"/>
          <w:spacing w:val="-1"/>
          <w:sz w:val="20"/>
        </w:rPr>
        <w:t> </w:t>
      </w:r>
      <w:r>
        <w:rPr>
          <w:color w:val="231F20"/>
          <w:sz w:val="20"/>
        </w:rPr>
        <w:t>(</w:t>
      </w:r>
      <w:r>
        <w:rPr>
          <w:i/>
          <w:color w:val="231F20"/>
          <w:sz w:val="20"/>
        </w:rPr>
        <w:t>a</w:t>
      </w:r>
      <w:r>
        <w:rPr>
          <w:i/>
          <w:color w:val="231F20"/>
          <w:spacing w:val="-1"/>
          <w:sz w:val="20"/>
        </w:rPr>
        <w:t> </w:t>
      </w:r>
      <w:r>
        <w:rPr>
          <w:color w:val="231F20"/>
          <w:sz w:val="20"/>
        </w:rPr>
        <w:t>+</w:t>
      </w:r>
      <w:r>
        <w:rPr>
          <w:color w:val="231F20"/>
          <w:spacing w:val="-1"/>
          <w:sz w:val="20"/>
        </w:rPr>
        <w:t> </w:t>
      </w:r>
      <w:r>
        <w:rPr>
          <w:color w:val="231F20"/>
          <w:sz w:val="20"/>
        </w:rPr>
        <w:t>b)</w:t>
      </w:r>
      <w:r>
        <w:rPr>
          <w:color w:val="231F20"/>
          <w:sz w:val="20"/>
          <w:vertAlign w:val="superscript"/>
        </w:rPr>
        <w:t>2</w:t>
      </w:r>
      <w:r>
        <w:rPr>
          <w:color w:val="231F20"/>
          <w:spacing w:val="-2"/>
          <w:sz w:val="20"/>
          <w:vertAlign w:val="baseline"/>
        </w:rPr>
        <w:t> </w:t>
      </w:r>
      <w:r>
        <w:rPr>
          <w:color w:val="231F20"/>
          <w:sz w:val="20"/>
          <w:vertAlign w:val="baseline"/>
        </w:rPr>
        <w:t>=</w:t>
      </w:r>
      <w:r>
        <w:rPr>
          <w:color w:val="231F20"/>
          <w:spacing w:val="-1"/>
          <w:sz w:val="20"/>
          <w:vertAlign w:val="baseline"/>
        </w:rPr>
        <w:t> </w:t>
      </w:r>
      <w:r>
        <w:rPr>
          <w:color w:val="231F20"/>
          <w:spacing w:val="-5"/>
          <w:sz w:val="20"/>
          <w:vertAlign w:val="baseline"/>
        </w:rPr>
        <w:t>...</w:t>
      </w:r>
    </w:p>
    <w:p>
      <w:pPr>
        <w:pStyle w:val="ListParagraph"/>
        <w:numPr>
          <w:ilvl w:val="1"/>
          <w:numId w:val="321"/>
        </w:numPr>
        <w:tabs>
          <w:tab w:pos="591" w:val="left" w:leader="none"/>
        </w:tabs>
        <w:spacing w:line="226" w:lineRule="exact" w:before="0" w:after="0"/>
        <w:ind w:left="591" w:right="0" w:hanging="166"/>
        <w:jc w:val="left"/>
        <w:rPr>
          <w:sz w:val="20"/>
        </w:rPr>
      </w:pPr>
      <w:r>
        <w:rPr>
          <w:color w:val="231F20"/>
          <w:sz w:val="20"/>
        </w:rPr>
        <w:t>я</w:t>
      </w:r>
      <w:r>
        <w:rPr>
          <w:color w:val="231F20"/>
          <w:spacing w:val="-2"/>
          <w:sz w:val="20"/>
        </w:rPr>
        <w:t> </w:t>
      </w:r>
      <w:r>
        <w:rPr>
          <w:color w:val="231F20"/>
          <w:sz w:val="20"/>
        </w:rPr>
        <w:t>группа:</w:t>
      </w:r>
      <w:r>
        <w:rPr>
          <w:color w:val="231F20"/>
          <w:spacing w:val="-1"/>
          <w:sz w:val="20"/>
        </w:rPr>
        <w:t> </w:t>
      </w:r>
      <w:r>
        <w:rPr>
          <w:color w:val="231F20"/>
          <w:sz w:val="20"/>
        </w:rPr>
        <w:t>(x</w:t>
      </w:r>
      <w:r>
        <w:rPr>
          <w:color w:val="231F20"/>
          <w:spacing w:val="-1"/>
          <w:sz w:val="20"/>
        </w:rPr>
        <w:t> </w:t>
      </w:r>
      <w:r>
        <w:rPr>
          <w:color w:val="231F20"/>
          <w:sz w:val="20"/>
        </w:rPr>
        <w:t>+</w:t>
      </w:r>
      <w:r>
        <w:rPr>
          <w:color w:val="231F20"/>
          <w:spacing w:val="-1"/>
          <w:sz w:val="20"/>
        </w:rPr>
        <w:t> </w:t>
      </w:r>
      <w:r>
        <w:rPr>
          <w:color w:val="231F20"/>
          <w:sz w:val="20"/>
        </w:rPr>
        <w:t>y)</w:t>
      </w:r>
      <w:r>
        <w:rPr>
          <w:color w:val="231F20"/>
          <w:sz w:val="20"/>
          <w:vertAlign w:val="superscript"/>
        </w:rPr>
        <w:t>2</w:t>
      </w:r>
      <w:r>
        <w:rPr>
          <w:color w:val="231F20"/>
          <w:spacing w:val="-2"/>
          <w:sz w:val="20"/>
          <w:vertAlign w:val="baseline"/>
        </w:rPr>
        <w:t> </w:t>
      </w:r>
      <w:r>
        <w:rPr>
          <w:color w:val="231F20"/>
          <w:sz w:val="20"/>
          <w:vertAlign w:val="baseline"/>
        </w:rPr>
        <w:t>=</w:t>
      </w:r>
      <w:r>
        <w:rPr>
          <w:color w:val="231F20"/>
          <w:spacing w:val="-1"/>
          <w:sz w:val="20"/>
          <w:vertAlign w:val="baseline"/>
        </w:rPr>
        <w:t> </w:t>
      </w:r>
      <w:r>
        <w:rPr>
          <w:color w:val="231F20"/>
          <w:spacing w:val="-5"/>
          <w:sz w:val="20"/>
          <w:vertAlign w:val="baseline"/>
        </w:rPr>
        <w:t>...</w:t>
      </w:r>
    </w:p>
    <w:p>
      <w:pPr>
        <w:pStyle w:val="ListParagraph"/>
        <w:numPr>
          <w:ilvl w:val="1"/>
          <w:numId w:val="321"/>
        </w:numPr>
        <w:tabs>
          <w:tab w:pos="591" w:val="left" w:leader="none"/>
        </w:tabs>
        <w:spacing w:line="226" w:lineRule="exact" w:before="0" w:after="0"/>
        <w:ind w:left="591" w:right="0" w:hanging="166"/>
        <w:jc w:val="left"/>
        <w:rPr>
          <w:sz w:val="20"/>
        </w:rPr>
      </w:pPr>
      <w:r>
        <w:rPr>
          <w:color w:val="231F20"/>
          <w:sz w:val="20"/>
        </w:rPr>
        <w:t>я</w:t>
      </w:r>
      <w:r>
        <w:rPr>
          <w:color w:val="231F20"/>
          <w:spacing w:val="-2"/>
          <w:sz w:val="20"/>
        </w:rPr>
        <w:t> </w:t>
      </w:r>
      <w:r>
        <w:rPr>
          <w:color w:val="231F20"/>
          <w:sz w:val="20"/>
        </w:rPr>
        <w:t>группа:</w:t>
      </w:r>
      <w:r>
        <w:rPr>
          <w:color w:val="231F20"/>
          <w:spacing w:val="-1"/>
          <w:sz w:val="20"/>
        </w:rPr>
        <w:t> </w:t>
      </w:r>
      <w:r>
        <w:rPr>
          <w:color w:val="231F20"/>
          <w:sz w:val="20"/>
        </w:rPr>
        <w:t>(c</w:t>
      </w:r>
      <w:r>
        <w:rPr>
          <w:color w:val="231F20"/>
          <w:spacing w:val="-1"/>
          <w:sz w:val="20"/>
        </w:rPr>
        <w:t> </w:t>
      </w:r>
      <w:r>
        <w:rPr>
          <w:color w:val="231F20"/>
          <w:sz w:val="20"/>
        </w:rPr>
        <w:t>+</w:t>
      </w:r>
      <w:r>
        <w:rPr>
          <w:color w:val="231F20"/>
          <w:spacing w:val="-1"/>
          <w:sz w:val="20"/>
        </w:rPr>
        <w:t> </w:t>
      </w:r>
      <w:r>
        <w:rPr>
          <w:color w:val="231F20"/>
          <w:sz w:val="20"/>
        </w:rPr>
        <w:t>d)</w:t>
      </w:r>
      <w:r>
        <w:rPr>
          <w:color w:val="231F20"/>
          <w:sz w:val="20"/>
          <w:vertAlign w:val="superscript"/>
        </w:rPr>
        <w:t>2</w:t>
      </w:r>
      <w:r>
        <w:rPr>
          <w:color w:val="231F20"/>
          <w:spacing w:val="-2"/>
          <w:sz w:val="20"/>
          <w:vertAlign w:val="baseline"/>
        </w:rPr>
        <w:t> </w:t>
      </w:r>
      <w:r>
        <w:rPr>
          <w:color w:val="231F20"/>
          <w:sz w:val="20"/>
          <w:vertAlign w:val="baseline"/>
        </w:rPr>
        <w:t>=</w:t>
      </w:r>
      <w:r>
        <w:rPr>
          <w:color w:val="231F20"/>
          <w:spacing w:val="-1"/>
          <w:sz w:val="20"/>
          <w:vertAlign w:val="baseline"/>
        </w:rPr>
        <w:t> </w:t>
      </w:r>
      <w:r>
        <w:rPr>
          <w:color w:val="231F20"/>
          <w:spacing w:val="-5"/>
          <w:sz w:val="20"/>
          <w:vertAlign w:val="baseline"/>
        </w:rPr>
        <w:t>...</w:t>
      </w:r>
    </w:p>
    <w:p>
      <w:pPr>
        <w:pStyle w:val="ListParagraph"/>
        <w:numPr>
          <w:ilvl w:val="1"/>
          <w:numId w:val="321"/>
        </w:numPr>
        <w:tabs>
          <w:tab w:pos="591" w:val="left" w:leader="none"/>
        </w:tabs>
        <w:spacing w:line="226" w:lineRule="exact" w:before="0" w:after="0"/>
        <w:ind w:left="591" w:right="0" w:hanging="166"/>
        <w:jc w:val="left"/>
        <w:rPr>
          <w:sz w:val="20"/>
        </w:rPr>
      </w:pPr>
      <w:r>
        <w:rPr>
          <w:color w:val="231F20"/>
          <w:sz w:val="20"/>
        </w:rPr>
        <w:t>я</w:t>
      </w:r>
      <w:r>
        <w:rPr>
          <w:color w:val="231F20"/>
          <w:spacing w:val="-2"/>
          <w:sz w:val="20"/>
        </w:rPr>
        <w:t> </w:t>
      </w:r>
      <w:r>
        <w:rPr>
          <w:color w:val="231F20"/>
          <w:sz w:val="20"/>
        </w:rPr>
        <w:t>группа:</w:t>
      </w:r>
      <w:r>
        <w:rPr>
          <w:color w:val="231F20"/>
          <w:spacing w:val="-1"/>
          <w:sz w:val="20"/>
        </w:rPr>
        <w:t> </w:t>
      </w:r>
      <w:r>
        <w:rPr>
          <w:color w:val="231F20"/>
          <w:sz w:val="20"/>
        </w:rPr>
        <w:t>(</w:t>
      </w:r>
      <w:r>
        <w:rPr>
          <w:i/>
          <w:color w:val="231F20"/>
          <w:sz w:val="20"/>
        </w:rPr>
        <w:t>a</w:t>
      </w:r>
      <w:r>
        <w:rPr>
          <w:i/>
          <w:color w:val="231F20"/>
          <w:spacing w:val="-1"/>
          <w:sz w:val="20"/>
        </w:rPr>
        <w:t> </w:t>
      </w:r>
      <w:r>
        <w:rPr>
          <w:color w:val="231F20"/>
          <w:sz w:val="20"/>
        </w:rPr>
        <w:t>+</w:t>
      </w:r>
      <w:r>
        <w:rPr>
          <w:color w:val="231F20"/>
          <w:spacing w:val="-1"/>
          <w:sz w:val="20"/>
        </w:rPr>
        <w:t> </w:t>
      </w:r>
      <w:r>
        <w:rPr>
          <w:color w:val="231F20"/>
          <w:sz w:val="20"/>
        </w:rPr>
        <w:t>x)</w:t>
      </w:r>
      <w:r>
        <w:rPr>
          <w:color w:val="231F20"/>
          <w:sz w:val="20"/>
          <w:vertAlign w:val="superscript"/>
        </w:rPr>
        <w:t>2</w:t>
      </w:r>
      <w:r>
        <w:rPr>
          <w:color w:val="231F20"/>
          <w:spacing w:val="-2"/>
          <w:sz w:val="20"/>
          <w:vertAlign w:val="baseline"/>
        </w:rPr>
        <w:t> </w:t>
      </w:r>
      <w:r>
        <w:rPr>
          <w:color w:val="231F20"/>
          <w:sz w:val="20"/>
          <w:vertAlign w:val="baseline"/>
        </w:rPr>
        <w:t>=</w:t>
      </w:r>
      <w:r>
        <w:rPr>
          <w:color w:val="231F20"/>
          <w:spacing w:val="-1"/>
          <w:sz w:val="20"/>
          <w:vertAlign w:val="baseline"/>
        </w:rPr>
        <w:t> </w:t>
      </w:r>
      <w:r>
        <w:rPr>
          <w:color w:val="231F20"/>
          <w:spacing w:val="-5"/>
          <w:sz w:val="20"/>
          <w:vertAlign w:val="baseline"/>
        </w:rPr>
        <w:t>...</w:t>
      </w:r>
    </w:p>
    <w:p>
      <w:pPr>
        <w:pStyle w:val="BodyText"/>
        <w:spacing w:line="235" w:lineRule="auto" w:before="1"/>
        <w:ind w:right="0"/>
        <w:jc w:val="left"/>
      </w:pPr>
      <w:r>
        <w:rPr>
          <w:color w:val="231F20"/>
        </w:rPr>
        <w:t>От группы один человек показывает результат, читает правило и по формуле по- казывает все элементы правила. Отметки группе выставляются в маршрутный лист.</w:t>
      </w:r>
    </w:p>
    <w:p>
      <w:pPr>
        <w:pStyle w:val="ListParagraph"/>
        <w:numPr>
          <w:ilvl w:val="0"/>
          <w:numId w:val="321"/>
        </w:numPr>
        <w:tabs>
          <w:tab w:pos="424" w:val="left" w:leader="none"/>
        </w:tabs>
        <w:spacing w:line="228" w:lineRule="exact" w:before="54" w:after="0"/>
        <w:ind w:left="424" w:right="0" w:hanging="283"/>
        <w:jc w:val="left"/>
        <w:rPr>
          <w:i/>
          <w:sz w:val="20"/>
        </w:rPr>
      </w:pPr>
      <w:r>
        <w:rPr>
          <w:i/>
          <w:color w:val="231F20"/>
          <w:spacing w:val="-2"/>
          <w:sz w:val="20"/>
        </w:rPr>
        <w:t>Групповая</w:t>
      </w:r>
      <w:r>
        <w:rPr>
          <w:i/>
          <w:color w:val="231F20"/>
          <w:spacing w:val="9"/>
          <w:sz w:val="20"/>
        </w:rPr>
        <w:t> </w:t>
      </w:r>
      <w:r>
        <w:rPr>
          <w:i/>
          <w:color w:val="231F20"/>
          <w:spacing w:val="-2"/>
          <w:sz w:val="20"/>
        </w:rPr>
        <w:t>самостоятельная</w:t>
      </w:r>
      <w:r>
        <w:rPr>
          <w:i/>
          <w:color w:val="231F20"/>
          <w:spacing w:val="10"/>
          <w:sz w:val="20"/>
        </w:rPr>
        <w:t> </w:t>
      </w:r>
      <w:r>
        <w:rPr>
          <w:i/>
          <w:color w:val="231F20"/>
          <w:spacing w:val="-2"/>
          <w:sz w:val="20"/>
        </w:rPr>
        <w:t>работа.</w:t>
      </w:r>
    </w:p>
    <w:p>
      <w:pPr>
        <w:pStyle w:val="BodyText"/>
        <w:spacing w:line="226" w:lineRule="exact"/>
        <w:ind w:left="425" w:right="0" w:firstLine="0"/>
        <w:jc w:val="left"/>
      </w:pPr>
      <w:r>
        <w:rPr>
          <w:color w:val="231F20"/>
        </w:rPr>
        <w:t>Заполните</w:t>
      </w:r>
      <w:r>
        <w:rPr>
          <w:color w:val="231F20"/>
          <w:spacing w:val="-6"/>
        </w:rPr>
        <w:t> </w:t>
      </w:r>
      <w:r>
        <w:rPr>
          <w:color w:val="231F20"/>
          <w:spacing w:val="-2"/>
        </w:rPr>
        <w:t>пропуски:</w:t>
      </w:r>
    </w:p>
    <w:p>
      <w:pPr>
        <w:pStyle w:val="BodyText"/>
        <w:spacing w:line="226" w:lineRule="exact"/>
        <w:ind w:left="425" w:right="0" w:firstLine="0"/>
        <w:jc w:val="left"/>
      </w:pPr>
      <w:r>
        <w:rPr>
          <w:color w:val="231F20"/>
        </w:rPr>
        <w:t>(x</w:t>
      </w:r>
      <w:r>
        <w:rPr>
          <w:color w:val="231F20"/>
          <w:spacing w:val="-1"/>
        </w:rPr>
        <w:t> </w:t>
      </w:r>
      <w:r>
        <w:rPr>
          <w:color w:val="231F20"/>
        </w:rPr>
        <w:t>+ 5)</w:t>
      </w:r>
      <w:r>
        <w:rPr>
          <w:color w:val="231F20"/>
          <w:vertAlign w:val="superscript"/>
        </w:rPr>
        <w:t>2</w:t>
      </w:r>
      <w:r>
        <w:rPr>
          <w:color w:val="231F20"/>
          <w:spacing w:val="-1"/>
          <w:vertAlign w:val="baseline"/>
        </w:rPr>
        <w:t> </w:t>
      </w:r>
      <w:r>
        <w:rPr>
          <w:color w:val="231F20"/>
          <w:vertAlign w:val="baseline"/>
        </w:rPr>
        <w:t>= ...</w:t>
      </w:r>
      <w:r>
        <w:rPr>
          <w:color w:val="231F20"/>
          <w:spacing w:val="-1"/>
          <w:vertAlign w:val="baseline"/>
        </w:rPr>
        <w:t> </w:t>
      </w:r>
      <w:r>
        <w:rPr>
          <w:color w:val="231F20"/>
          <w:vertAlign w:val="baseline"/>
        </w:rPr>
        <w:t>+ 10x +</w:t>
      </w:r>
      <w:r>
        <w:rPr>
          <w:color w:val="231F20"/>
          <w:spacing w:val="-1"/>
          <w:vertAlign w:val="baseline"/>
        </w:rPr>
        <w:t> </w:t>
      </w:r>
      <w:r>
        <w:rPr>
          <w:color w:val="231F20"/>
          <w:spacing w:val="-5"/>
          <w:vertAlign w:val="baseline"/>
        </w:rPr>
        <w:t>25;</w:t>
      </w:r>
    </w:p>
    <w:p>
      <w:pPr>
        <w:pStyle w:val="BodyText"/>
        <w:spacing w:line="226" w:lineRule="exact"/>
        <w:ind w:left="425" w:right="0" w:firstLine="0"/>
        <w:jc w:val="left"/>
      </w:pPr>
      <w:r>
        <w:rPr>
          <w:color w:val="231F20"/>
        </w:rPr>
        <w:t>(y</w:t>
      </w:r>
      <w:r>
        <w:rPr>
          <w:color w:val="231F20"/>
          <w:spacing w:val="-1"/>
        </w:rPr>
        <w:t> </w:t>
      </w:r>
      <w:r>
        <w:rPr>
          <w:color w:val="231F20"/>
        </w:rPr>
        <w:t>+ 4)</w:t>
      </w:r>
      <w:r>
        <w:rPr>
          <w:color w:val="231F20"/>
          <w:vertAlign w:val="superscript"/>
        </w:rPr>
        <w:t>2</w:t>
      </w:r>
      <w:r>
        <w:rPr>
          <w:color w:val="231F20"/>
          <w:spacing w:val="-1"/>
          <w:vertAlign w:val="baseline"/>
        </w:rPr>
        <w:t> </w:t>
      </w:r>
      <w:r>
        <w:rPr>
          <w:color w:val="231F20"/>
          <w:vertAlign w:val="baseline"/>
        </w:rPr>
        <w:t>= ...</w:t>
      </w:r>
      <w:r>
        <w:rPr>
          <w:color w:val="231F20"/>
          <w:spacing w:val="-1"/>
          <w:vertAlign w:val="baseline"/>
        </w:rPr>
        <w:t> </w:t>
      </w:r>
      <w:r>
        <w:rPr>
          <w:color w:val="231F20"/>
          <w:vertAlign w:val="baseline"/>
        </w:rPr>
        <w:t>+ 8y +</w:t>
      </w:r>
      <w:r>
        <w:rPr>
          <w:color w:val="231F20"/>
          <w:spacing w:val="-1"/>
          <w:vertAlign w:val="baseline"/>
        </w:rPr>
        <w:t> </w:t>
      </w:r>
      <w:r>
        <w:rPr>
          <w:color w:val="231F20"/>
          <w:spacing w:val="-5"/>
          <w:vertAlign w:val="baseline"/>
        </w:rPr>
        <w:t>...</w:t>
      </w:r>
    </w:p>
    <w:p>
      <w:pPr>
        <w:pStyle w:val="BodyText"/>
        <w:spacing w:line="226" w:lineRule="exact"/>
        <w:ind w:left="425" w:right="0" w:firstLine="0"/>
        <w:jc w:val="left"/>
      </w:pPr>
      <w:r>
        <w:rPr>
          <w:color w:val="231F20"/>
        </w:rPr>
        <w:t>(k</w:t>
      </w:r>
      <w:r>
        <w:rPr>
          <w:color w:val="231F20"/>
          <w:spacing w:val="-1"/>
        </w:rPr>
        <w:t> </w:t>
      </w:r>
      <w:r>
        <w:rPr>
          <w:color w:val="231F20"/>
        </w:rPr>
        <w:t>+</w:t>
      </w:r>
      <w:r>
        <w:rPr>
          <w:color w:val="231F20"/>
          <w:spacing w:val="-1"/>
        </w:rPr>
        <w:t> </w:t>
      </w:r>
      <w:r>
        <w:rPr>
          <w:color w:val="231F20"/>
        </w:rPr>
        <w:t>...)</w:t>
      </w:r>
      <w:r>
        <w:rPr>
          <w:color w:val="231F20"/>
          <w:vertAlign w:val="superscript"/>
        </w:rPr>
        <w:t>2</w:t>
      </w:r>
      <w:r>
        <w:rPr>
          <w:color w:val="231F20"/>
          <w:spacing w:val="-1"/>
          <w:vertAlign w:val="baseline"/>
        </w:rPr>
        <w:t> </w:t>
      </w:r>
      <w:r>
        <w:rPr>
          <w:color w:val="231F20"/>
          <w:vertAlign w:val="baseline"/>
        </w:rPr>
        <w:t>=</w:t>
      </w:r>
      <w:r>
        <w:rPr>
          <w:color w:val="231F20"/>
          <w:spacing w:val="-1"/>
          <w:vertAlign w:val="baseline"/>
        </w:rPr>
        <w:t> </w:t>
      </w:r>
      <w:r>
        <w:rPr>
          <w:color w:val="231F20"/>
          <w:vertAlign w:val="baseline"/>
        </w:rPr>
        <w:t>k</w:t>
      </w:r>
      <w:r>
        <w:rPr>
          <w:color w:val="231F20"/>
          <w:vertAlign w:val="superscript"/>
        </w:rPr>
        <w:t>2</w:t>
      </w:r>
      <w:r>
        <w:rPr>
          <w:color w:val="231F20"/>
          <w:spacing w:val="-1"/>
          <w:vertAlign w:val="baseline"/>
        </w:rPr>
        <w:t> </w:t>
      </w:r>
      <w:r>
        <w:rPr>
          <w:color w:val="231F20"/>
          <w:vertAlign w:val="baseline"/>
        </w:rPr>
        <w:t>+ ...</w:t>
      </w:r>
      <w:r>
        <w:rPr>
          <w:color w:val="231F20"/>
          <w:spacing w:val="-1"/>
          <w:vertAlign w:val="baseline"/>
        </w:rPr>
        <w:t> </w:t>
      </w:r>
      <w:r>
        <w:rPr>
          <w:color w:val="231F20"/>
          <w:vertAlign w:val="baseline"/>
        </w:rPr>
        <w:t>+</w:t>
      </w:r>
      <w:r>
        <w:rPr>
          <w:color w:val="231F20"/>
          <w:spacing w:val="-1"/>
          <w:vertAlign w:val="baseline"/>
        </w:rPr>
        <w:t> </w:t>
      </w:r>
      <w:r>
        <w:rPr>
          <w:color w:val="231F20"/>
          <w:spacing w:val="-5"/>
          <w:vertAlign w:val="baseline"/>
        </w:rPr>
        <w:t>36;</w:t>
      </w:r>
    </w:p>
    <w:p>
      <w:pPr>
        <w:pStyle w:val="BodyText"/>
        <w:spacing w:line="226" w:lineRule="exact"/>
        <w:ind w:left="425" w:right="0" w:firstLine="0"/>
        <w:jc w:val="left"/>
      </w:pPr>
      <w:r>
        <w:rPr>
          <w:color w:val="231F20"/>
        </w:rPr>
        <w:t>(...</w:t>
      </w:r>
      <w:r>
        <w:rPr>
          <w:color w:val="231F20"/>
          <w:spacing w:val="-1"/>
        </w:rPr>
        <w:t> </w:t>
      </w:r>
      <w:r>
        <w:rPr>
          <w:color w:val="231F20"/>
        </w:rPr>
        <w:t>+</w:t>
      </w:r>
      <w:r>
        <w:rPr>
          <w:color w:val="231F20"/>
          <w:spacing w:val="-1"/>
        </w:rPr>
        <w:t> </w:t>
      </w:r>
      <w:r>
        <w:rPr>
          <w:color w:val="231F20"/>
        </w:rPr>
        <w:t>5)</w:t>
      </w:r>
      <w:r>
        <w:rPr>
          <w:color w:val="231F20"/>
          <w:vertAlign w:val="superscript"/>
        </w:rPr>
        <w:t>2</w:t>
      </w:r>
      <w:r>
        <w:rPr>
          <w:color w:val="231F20"/>
          <w:spacing w:val="-1"/>
          <w:vertAlign w:val="baseline"/>
        </w:rPr>
        <w:t> </w:t>
      </w:r>
      <w:r>
        <w:rPr>
          <w:color w:val="231F20"/>
          <w:vertAlign w:val="baseline"/>
        </w:rPr>
        <w:t>=</w:t>
      </w:r>
      <w:r>
        <w:rPr>
          <w:color w:val="231F20"/>
          <w:spacing w:val="-1"/>
          <w:vertAlign w:val="baseline"/>
        </w:rPr>
        <w:t> </w:t>
      </w:r>
      <w:r>
        <w:rPr>
          <w:color w:val="231F20"/>
          <w:vertAlign w:val="baseline"/>
        </w:rPr>
        <w:t>4x</w:t>
      </w:r>
      <w:r>
        <w:rPr>
          <w:color w:val="231F20"/>
          <w:vertAlign w:val="superscript"/>
        </w:rPr>
        <w:t>2</w:t>
      </w:r>
      <w:r>
        <w:rPr>
          <w:color w:val="231F20"/>
          <w:spacing w:val="-1"/>
          <w:vertAlign w:val="baseline"/>
        </w:rPr>
        <w:t> </w:t>
      </w:r>
      <w:r>
        <w:rPr>
          <w:color w:val="231F20"/>
          <w:vertAlign w:val="baseline"/>
        </w:rPr>
        <w:t>+ ...</w:t>
      </w:r>
      <w:r>
        <w:rPr>
          <w:color w:val="231F20"/>
          <w:spacing w:val="-1"/>
          <w:vertAlign w:val="baseline"/>
        </w:rPr>
        <w:t> </w:t>
      </w:r>
      <w:r>
        <w:rPr>
          <w:color w:val="231F20"/>
          <w:vertAlign w:val="baseline"/>
        </w:rPr>
        <w:t>+</w:t>
      </w:r>
      <w:r>
        <w:rPr>
          <w:color w:val="231F20"/>
          <w:spacing w:val="-1"/>
          <w:vertAlign w:val="baseline"/>
        </w:rPr>
        <w:t> </w:t>
      </w:r>
      <w:r>
        <w:rPr>
          <w:color w:val="231F20"/>
          <w:spacing w:val="-5"/>
          <w:vertAlign w:val="baseline"/>
        </w:rPr>
        <w:t>...</w:t>
      </w:r>
    </w:p>
    <w:p>
      <w:pPr>
        <w:pStyle w:val="BodyText"/>
        <w:ind w:right="0"/>
        <w:jc w:val="left"/>
      </w:pPr>
      <w:r>
        <w:rPr>
          <w:color w:val="231F20"/>
        </w:rPr>
        <w:t>Для проверки группы меняются листами по цепочке. На доске – ключ (ответы) и критерии отметки. Отметка заносится в маршрутный лист всей группе.</w:t>
      </w:r>
    </w:p>
    <w:p>
      <w:pPr>
        <w:pStyle w:val="ListParagraph"/>
        <w:numPr>
          <w:ilvl w:val="0"/>
          <w:numId w:val="321"/>
        </w:numPr>
        <w:tabs>
          <w:tab w:pos="425" w:val="left" w:leader="none"/>
        </w:tabs>
        <w:spacing w:line="240" w:lineRule="auto" w:before="55" w:after="0"/>
        <w:ind w:left="425" w:right="140" w:hanging="284"/>
        <w:jc w:val="left"/>
        <w:rPr>
          <w:sz w:val="20"/>
        </w:rPr>
      </w:pPr>
      <w:r>
        <w:rPr>
          <w:i/>
          <w:color w:val="231F20"/>
          <w:sz w:val="20"/>
        </w:rPr>
        <w:t>Индивидуальная самостоятельная работа</w:t>
      </w:r>
      <w:r>
        <w:rPr>
          <w:i/>
          <w:color w:val="231F20"/>
          <w:spacing w:val="-7"/>
          <w:sz w:val="20"/>
        </w:rPr>
        <w:t> </w:t>
      </w:r>
      <w:r>
        <w:rPr>
          <w:color w:val="231F20"/>
          <w:sz w:val="20"/>
        </w:rPr>
        <w:t>выполняется на листочках, в каждой группе четыре варианта.</w:t>
      </w:r>
    </w:p>
    <w:p>
      <w:pPr>
        <w:spacing w:before="0"/>
        <w:ind w:left="425" w:right="0" w:firstLine="0"/>
        <w:jc w:val="left"/>
        <w:rPr>
          <w:sz w:val="20"/>
        </w:rPr>
      </w:pPr>
      <w:r>
        <w:rPr>
          <w:i/>
          <w:color w:val="231F20"/>
          <w:sz w:val="20"/>
        </w:rPr>
        <w:t>Вариант</w:t>
      </w:r>
      <w:r>
        <w:rPr>
          <w:i/>
          <w:color w:val="231F20"/>
          <w:spacing w:val="-3"/>
          <w:sz w:val="20"/>
        </w:rPr>
        <w:t> </w:t>
      </w:r>
      <w:r>
        <w:rPr>
          <w:i/>
          <w:color w:val="231F20"/>
          <w:sz w:val="20"/>
        </w:rPr>
        <w:t>1</w:t>
      </w:r>
      <w:r>
        <w:rPr>
          <w:color w:val="231F20"/>
          <w:sz w:val="20"/>
        </w:rPr>
        <w:t>:</w:t>
      </w:r>
      <w:r>
        <w:rPr>
          <w:color w:val="231F20"/>
          <w:spacing w:val="-1"/>
          <w:sz w:val="20"/>
        </w:rPr>
        <w:t> </w:t>
      </w:r>
      <w:r>
        <w:rPr>
          <w:color w:val="231F20"/>
          <w:sz w:val="20"/>
        </w:rPr>
        <w:t>(</w:t>
      </w:r>
      <w:r>
        <w:rPr>
          <w:i/>
          <w:color w:val="231F20"/>
          <w:sz w:val="20"/>
        </w:rPr>
        <w:t>a</w:t>
      </w:r>
      <w:r>
        <w:rPr>
          <w:i/>
          <w:color w:val="231F20"/>
          <w:spacing w:val="-2"/>
          <w:sz w:val="20"/>
        </w:rPr>
        <w:t> </w:t>
      </w:r>
      <w:r>
        <w:rPr>
          <w:color w:val="231F20"/>
          <w:sz w:val="20"/>
        </w:rPr>
        <w:t>+</w:t>
      </w:r>
      <w:r>
        <w:rPr>
          <w:color w:val="231F20"/>
          <w:spacing w:val="-1"/>
          <w:sz w:val="20"/>
        </w:rPr>
        <w:t> </w:t>
      </w:r>
      <w:r>
        <w:rPr>
          <w:color w:val="231F20"/>
          <w:sz w:val="20"/>
        </w:rPr>
        <w:t>8)</w:t>
      </w:r>
      <w:r>
        <w:rPr>
          <w:color w:val="231F20"/>
          <w:sz w:val="20"/>
          <w:vertAlign w:val="superscript"/>
        </w:rPr>
        <w:t>2</w:t>
      </w:r>
      <w:r>
        <w:rPr>
          <w:color w:val="231F20"/>
          <w:sz w:val="20"/>
          <w:vertAlign w:val="baseline"/>
        </w:rPr>
        <w:t>;</w:t>
      </w:r>
      <w:r>
        <w:rPr>
          <w:color w:val="231F20"/>
          <w:spacing w:val="-2"/>
          <w:sz w:val="20"/>
          <w:vertAlign w:val="baseline"/>
        </w:rPr>
        <w:t> </w:t>
      </w:r>
      <w:r>
        <w:rPr>
          <w:color w:val="231F20"/>
          <w:sz w:val="20"/>
          <w:vertAlign w:val="baseline"/>
        </w:rPr>
        <w:t>(4</w:t>
      </w:r>
      <w:r>
        <w:rPr>
          <w:color w:val="231F20"/>
          <w:spacing w:val="-1"/>
          <w:sz w:val="20"/>
          <w:vertAlign w:val="baseline"/>
        </w:rPr>
        <w:t> </w:t>
      </w:r>
      <w:r>
        <w:rPr>
          <w:color w:val="231F20"/>
          <w:sz w:val="20"/>
          <w:vertAlign w:val="baseline"/>
        </w:rPr>
        <w:t>+</w:t>
      </w:r>
      <w:r>
        <w:rPr>
          <w:color w:val="231F20"/>
          <w:spacing w:val="-2"/>
          <w:sz w:val="20"/>
          <w:vertAlign w:val="baseline"/>
        </w:rPr>
        <w:t> </w:t>
      </w:r>
      <w:r>
        <w:rPr>
          <w:color w:val="231F20"/>
          <w:sz w:val="20"/>
          <w:vertAlign w:val="baseline"/>
        </w:rPr>
        <w:t>5b)</w:t>
      </w:r>
      <w:r>
        <w:rPr>
          <w:color w:val="231F20"/>
          <w:sz w:val="20"/>
          <w:vertAlign w:val="superscript"/>
        </w:rPr>
        <w:t>2</w:t>
      </w:r>
      <w:r>
        <w:rPr>
          <w:color w:val="231F20"/>
          <w:sz w:val="20"/>
          <w:vertAlign w:val="baseline"/>
        </w:rPr>
        <w:t>;</w:t>
      </w:r>
      <w:r>
        <w:rPr>
          <w:color w:val="231F20"/>
          <w:spacing w:val="-1"/>
          <w:sz w:val="20"/>
          <w:vertAlign w:val="baseline"/>
        </w:rPr>
        <w:t> </w:t>
      </w:r>
      <w:r>
        <w:rPr>
          <w:color w:val="231F20"/>
          <w:sz w:val="20"/>
          <w:vertAlign w:val="baseline"/>
        </w:rPr>
        <w:t>(c</w:t>
      </w:r>
      <w:r>
        <w:rPr>
          <w:color w:val="231F20"/>
          <w:spacing w:val="-2"/>
          <w:sz w:val="20"/>
          <w:vertAlign w:val="baseline"/>
        </w:rPr>
        <w:t> </w:t>
      </w:r>
      <w:r>
        <w:rPr>
          <w:color w:val="231F20"/>
          <w:sz w:val="20"/>
          <w:vertAlign w:val="baseline"/>
        </w:rPr>
        <w:t>+</w:t>
      </w:r>
      <w:r>
        <w:rPr>
          <w:color w:val="231F20"/>
          <w:spacing w:val="-1"/>
          <w:sz w:val="20"/>
          <w:vertAlign w:val="baseline"/>
        </w:rPr>
        <w:t> </w:t>
      </w:r>
      <w:r>
        <w:rPr>
          <w:color w:val="231F20"/>
          <w:spacing w:val="-2"/>
          <w:sz w:val="20"/>
          <w:vertAlign w:val="baseline"/>
        </w:rPr>
        <w:t>0,3)</w:t>
      </w:r>
      <w:r>
        <w:rPr>
          <w:color w:val="231F20"/>
          <w:spacing w:val="-2"/>
          <w:sz w:val="20"/>
          <w:vertAlign w:val="superscript"/>
        </w:rPr>
        <w:t>2</w:t>
      </w:r>
      <w:r>
        <w:rPr>
          <w:color w:val="231F20"/>
          <w:spacing w:val="-2"/>
          <w:sz w:val="20"/>
          <w:vertAlign w:val="baseline"/>
        </w:rPr>
        <w:t>.</w:t>
      </w:r>
    </w:p>
    <w:p>
      <w:pPr>
        <w:spacing w:before="0"/>
        <w:ind w:left="425" w:right="0" w:firstLine="0"/>
        <w:jc w:val="left"/>
        <w:rPr>
          <w:sz w:val="20"/>
        </w:rPr>
      </w:pPr>
      <w:r>
        <w:rPr>
          <w:i/>
          <w:color w:val="231F20"/>
          <w:sz w:val="20"/>
        </w:rPr>
        <w:t>Вариант</w:t>
      </w:r>
      <w:r>
        <w:rPr>
          <w:i/>
          <w:color w:val="231F20"/>
          <w:spacing w:val="-3"/>
          <w:sz w:val="20"/>
        </w:rPr>
        <w:t> </w:t>
      </w:r>
      <w:r>
        <w:rPr>
          <w:i/>
          <w:color w:val="231F20"/>
          <w:sz w:val="20"/>
        </w:rPr>
        <w:t>2</w:t>
      </w:r>
      <w:r>
        <w:rPr>
          <w:color w:val="231F20"/>
          <w:sz w:val="20"/>
        </w:rPr>
        <w:t>:</w:t>
      </w:r>
      <w:r>
        <w:rPr>
          <w:color w:val="231F20"/>
          <w:spacing w:val="-1"/>
          <w:sz w:val="20"/>
        </w:rPr>
        <w:t> </w:t>
      </w:r>
      <w:r>
        <w:rPr>
          <w:color w:val="231F20"/>
          <w:sz w:val="20"/>
        </w:rPr>
        <w:t>(9</w:t>
      </w:r>
      <w:r>
        <w:rPr>
          <w:color w:val="231F20"/>
          <w:spacing w:val="-2"/>
          <w:sz w:val="20"/>
        </w:rPr>
        <w:t> </w:t>
      </w:r>
      <w:r>
        <w:rPr>
          <w:color w:val="231F20"/>
          <w:sz w:val="20"/>
        </w:rPr>
        <w:t>+</w:t>
      </w:r>
      <w:r>
        <w:rPr>
          <w:color w:val="231F20"/>
          <w:spacing w:val="-1"/>
          <w:sz w:val="20"/>
        </w:rPr>
        <w:t> </w:t>
      </w:r>
      <w:r>
        <w:rPr>
          <w:color w:val="231F20"/>
          <w:sz w:val="20"/>
        </w:rPr>
        <w:t>b)</w:t>
      </w:r>
      <w:r>
        <w:rPr>
          <w:color w:val="231F20"/>
          <w:sz w:val="20"/>
          <w:vertAlign w:val="superscript"/>
        </w:rPr>
        <w:t>2</w:t>
      </w:r>
      <w:r>
        <w:rPr>
          <w:color w:val="231F20"/>
          <w:sz w:val="20"/>
          <w:vertAlign w:val="baseline"/>
        </w:rPr>
        <w:t>;</w:t>
      </w:r>
      <w:r>
        <w:rPr>
          <w:color w:val="231F20"/>
          <w:spacing w:val="-2"/>
          <w:sz w:val="20"/>
          <w:vertAlign w:val="baseline"/>
        </w:rPr>
        <w:t> </w:t>
      </w:r>
      <w:r>
        <w:rPr>
          <w:color w:val="231F20"/>
          <w:sz w:val="20"/>
          <w:vertAlign w:val="baseline"/>
        </w:rPr>
        <w:t>(3</w:t>
      </w:r>
      <w:r>
        <w:rPr>
          <w:i/>
          <w:color w:val="231F20"/>
          <w:sz w:val="20"/>
          <w:vertAlign w:val="baseline"/>
        </w:rPr>
        <w:t>a</w:t>
      </w:r>
      <w:r>
        <w:rPr>
          <w:i/>
          <w:color w:val="231F20"/>
          <w:spacing w:val="-1"/>
          <w:sz w:val="20"/>
          <w:vertAlign w:val="baseline"/>
        </w:rPr>
        <w:t> </w:t>
      </w:r>
      <w:r>
        <w:rPr>
          <w:color w:val="231F20"/>
          <w:sz w:val="20"/>
          <w:vertAlign w:val="baseline"/>
        </w:rPr>
        <w:t>+</w:t>
      </w:r>
      <w:r>
        <w:rPr>
          <w:color w:val="231F20"/>
          <w:spacing w:val="-2"/>
          <w:sz w:val="20"/>
          <w:vertAlign w:val="baseline"/>
        </w:rPr>
        <w:t> </w:t>
      </w:r>
      <w:r>
        <w:rPr>
          <w:color w:val="231F20"/>
          <w:sz w:val="20"/>
          <w:vertAlign w:val="baseline"/>
        </w:rPr>
        <w:t>7)</w:t>
      </w:r>
      <w:r>
        <w:rPr>
          <w:color w:val="231F20"/>
          <w:sz w:val="20"/>
          <w:vertAlign w:val="superscript"/>
        </w:rPr>
        <w:t>2</w:t>
      </w:r>
      <w:r>
        <w:rPr>
          <w:color w:val="231F20"/>
          <w:sz w:val="20"/>
          <w:vertAlign w:val="baseline"/>
        </w:rPr>
        <w:t>;</w:t>
      </w:r>
      <w:r>
        <w:rPr>
          <w:color w:val="231F20"/>
          <w:spacing w:val="-1"/>
          <w:sz w:val="20"/>
          <w:vertAlign w:val="baseline"/>
        </w:rPr>
        <w:t> </w:t>
      </w:r>
      <w:r>
        <w:rPr>
          <w:color w:val="231F20"/>
          <w:sz w:val="20"/>
          <w:vertAlign w:val="baseline"/>
        </w:rPr>
        <w:t>(y</w:t>
      </w:r>
      <w:r>
        <w:rPr>
          <w:color w:val="231F20"/>
          <w:spacing w:val="-2"/>
          <w:sz w:val="20"/>
          <w:vertAlign w:val="baseline"/>
        </w:rPr>
        <w:t> </w:t>
      </w:r>
      <w:r>
        <w:rPr>
          <w:color w:val="231F20"/>
          <w:sz w:val="20"/>
          <w:vertAlign w:val="baseline"/>
        </w:rPr>
        <w:t>+</w:t>
      </w:r>
      <w:r>
        <w:rPr>
          <w:color w:val="231F20"/>
          <w:spacing w:val="-1"/>
          <w:sz w:val="20"/>
          <w:vertAlign w:val="baseline"/>
        </w:rPr>
        <w:t> </w:t>
      </w:r>
      <w:r>
        <w:rPr>
          <w:color w:val="231F20"/>
          <w:spacing w:val="-2"/>
          <w:sz w:val="20"/>
          <w:vertAlign w:val="baseline"/>
        </w:rPr>
        <w:t>0,4)</w:t>
      </w:r>
      <w:r>
        <w:rPr>
          <w:color w:val="231F20"/>
          <w:spacing w:val="-2"/>
          <w:sz w:val="20"/>
          <w:vertAlign w:val="superscript"/>
        </w:rPr>
        <w:t>2</w:t>
      </w:r>
      <w:r>
        <w:rPr>
          <w:color w:val="231F20"/>
          <w:spacing w:val="-2"/>
          <w:sz w:val="20"/>
          <w:vertAlign w:val="baseline"/>
        </w:rPr>
        <w:t>.</w:t>
      </w:r>
    </w:p>
    <w:p>
      <w:pPr>
        <w:spacing w:before="0"/>
        <w:ind w:left="425" w:right="0" w:firstLine="0"/>
        <w:jc w:val="left"/>
        <w:rPr>
          <w:sz w:val="20"/>
        </w:rPr>
      </w:pPr>
      <w:r>
        <w:rPr>
          <w:i/>
          <w:color w:val="231F20"/>
          <w:sz w:val="20"/>
        </w:rPr>
        <w:t>Вариант</w:t>
      </w:r>
      <w:r>
        <w:rPr>
          <w:i/>
          <w:color w:val="231F20"/>
          <w:spacing w:val="-3"/>
          <w:sz w:val="20"/>
        </w:rPr>
        <w:t> </w:t>
      </w:r>
      <w:r>
        <w:rPr>
          <w:i/>
          <w:color w:val="231F20"/>
          <w:sz w:val="20"/>
        </w:rPr>
        <w:t>3</w:t>
      </w:r>
      <w:r>
        <w:rPr>
          <w:color w:val="231F20"/>
          <w:sz w:val="20"/>
        </w:rPr>
        <w:t>:</w:t>
      </w:r>
      <w:r>
        <w:rPr>
          <w:color w:val="231F20"/>
          <w:spacing w:val="-1"/>
          <w:sz w:val="20"/>
        </w:rPr>
        <w:t> </w:t>
      </w:r>
      <w:r>
        <w:rPr>
          <w:color w:val="231F20"/>
          <w:sz w:val="20"/>
        </w:rPr>
        <w:t>(7</w:t>
      </w:r>
      <w:r>
        <w:rPr>
          <w:color w:val="231F20"/>
          <w:spacing w:val="-2"/>
          <w:sz w:val="20"/>
        </w:rPr>
        <w:t> </w:t>
      </w:r>
      <w:r>
        <w:rPr>
          <w:color w:val="231F20"/>
          <w:sz w:val="20"/>
        </w:rPr>
        <w:t>+</w:t>
      </w:r>
      <w:r>
        <w:rPr>
          <w:color w:val="231F20"/>
          <w:spacing w:val="-1"/>
          <w:sz w:val="20"/>
        </w:rPr>
        <w:t> </w:t>
      </w:r>
      <w:r>
        <w:rPr>
          <w:color w:val="231F20"/>
          <w:sz w:val="20"/>
        </w:rPr>
        <w:t>x)</w:t>
      </w:r>
      <w:r>
        <w:rPr>
          <w:color w:val="231F20"/>
          <w:sz w:val="20"/>
          <w:vertAlign w:val="superscript"/>
        </w:rPr>
        <w:t>2</w:t>
      </w:r>
      <w:r>
        <w:rPr>
          <w:color w:val="231F20"/>
          <w:sz w:val="20"/>
          <w:vertAlign w:val="baseline"/>
        </w:rPr>
        <w:t>;</w:t>
      </w:r>
      <w:r>
        <w:rPr>
          <w:color w:val="231F20"/>
          <w:spacing w:val="-2"/>
          <w:sz w:val="20"/>
          <w:vertAlign w:val="baseline"/>
        </w:rPr>
        <w:t> </w:t>
      </w:r>
      <w:r>
        <w:rPr>
          <w:color w:val="231F20"/>
          <w:sz w:val="20"/>
          <w:vertAlign w:val="baseline"/>
        </w:rPr>
        <w:t>(4y</w:t>
      </w:r>
      <w:r>
        <w:rPr>
          <w:color w:val="231F20"/>
          <w:spacing w:val="-1"/>
          <w:sz w:val="20"/>
          <w:vertAlign w:val="baseline"/>
        </w:rPr>
        <w:t> </w:t>
      </w:r>
      <w:r>
        <w:rPr>
          <w:color w:val="231F20"/>
          <w:sz w:val="20"/>
          <w:vertAlign w:val="baseline"/>
        </w:rPr>
        <w:t>+</w:t>
      </w:r>
      <w:r>
        <w:rPr>
          <w:color w:val="231F20"/>
          <w:spacing w:val="-2"/>
          <w:sz w:val="20"/>
          <w:vertAlign w:val="baseline"/>
        </w:rPr>
        <w:t> </w:t>
      </w:r>
      <w:r>
        <w:rPr>
          <w:color w:val="231F20"/>
          <w:sz w:val="20"/>
          <w:vertAlign w:val="baseline"/>
        </w:rPr>
        <w:t>6)</w:t>
      </w:r>
      <w:r>
        <w:rPr>
          <w:color w:val="231F20"/>
          <w:sz w:val="20"/>
          <w:vertAlign w:val="superscript"/>
        </w:rPr>
        <w:t>2</w:t>
      </w:r>
      <w:r>
        <w:rPr>
          <w:color w:val="231F20"/>
          <w:sz w:val="20"/>
          <w:vertAlign w:val="baseline"/>
        </w:rPr>
        <w:t>;</w:t>
      </w:r>
      <w:r>
        <w:rPr>
          <w:color w:val="231F20"/>
          <w:spacing w:val="-1"/>
          <w:sz w:val="20"/>
          <w:vertAlign w:val="baseline"/>
        </w:rPr>
        <w:t> </w:t>
      </w:r>
      <w:r>
        <w:rPr>
          <w:color w:val="231F20"/>
          <w:sz w:val="20"/>
          <w:vertAlign w:val="baseline"/>
        </w:rPr>
        <w:t>(0,6</w:t>
      </w:r>
      <w:r>
        <w:rPr>
          <w:color w:val="231F20"/>
          <w:spacing w:val="-2"/>
          <w:sz w:val="20"/>
          <w:vertAlign w:val="baseline"/>
        </w:rPr>
        <w:t> </w:t>
      </w:r>
      <w:r>
        <w:rPr>
          <w:color w:val="231F20"/>
          <w:sz w:val="20"/>
          <w:vertAlign w:val="baseline"/>
        </w:rPr>
        <w:t>+</w:t>
      </w:r>
      <w:r>
        <w:rPr>
          <w:color w:val="231F20"/>
          <w:spacing w:val="-2"/>
          <w:sz w:val="20"/>
          <w:vertAlign w:val="baseline"/>
        </w:rPr>
        <w:t> </w:t>
      </w:r>
      <w:r>
        <w:rPr>
          <w:i/>
          <w:color w:val="231F20"/>
          <w:spacing w:val="-4"/>
          <w:sz w:val="20"/>
          <w:vertAlign w:val="baseline"/>
        </w:rPr>
        <w:t>a</w:t>
      </w:r>
      <w:r>
        <w:rPr>
          <w:color w:val="231F20"/>
          <w:spacing w:val="-4"/>
          <w:sz w:val="20"/>
          <w:vertAlign w:val="baseline"/>
        </w:rPr>
        <w:t>)</w:t>
      </w:r>
      <w:r>
        <w:rPr>
          <w:color w:val="231F20"/>
          <w:spacing w:val="-4"/>
          <w:sz w:val="20"/>
          <w:vertAlign w:val="superscript"/>
        </w:rPr>
        <w:t>2</w:t>
      </w:r>
      <w:r>
        <w:rPr>
          <w:color w:val="231F20"/>
          <w:spacing w:val="-4"/>
          <w:sz w:val="20"/>
          <w:vertAlign w:val="baseline"/>
        </w:rPr>
        <w:t>.</w:t>
      </w:r>
    </w:p>
    <w:p>
      <w:pPr>
        <w:spacing w:before="0"/>
        <w:ind w:left="425" w:right="0" w:firstLine="0"/>
        <w:jc w:val="left"/>
        <w:rPr>
          <w:sz w:val="20"/>
        </w:rPr>
      </w:pPr>
      <w:r>
        <w:rPr>
          <w:i/>
          <w:color w:val="231F20"/>
          <w:sz w:val="20"/>
        </w:rPr>
        <w:t>Вариант</w:t>
      </w:r>
      <w:r>
        <w:rPr>
          <w:i/>
          <w:color w:val="231F20"/>
          <w:spacing w:val="-3"/>
          <w:sz w:val="20"/>
        </w:rPr>
        <w:t> </w:t>
      </w:r>
      <w:r>
        <w:rPr>
          <w:i/>
          <w:color w:val="231F20"/>
          <w:sz w:val="20"/>
        </w:rPr>
        <w:t>4</w:t>
      </w:r>
      <w:r>
        <w:rPr>
          <w:color w:val="231F20"/>
          <w:sz w:val="20"/>
        </w:rPr>
        <w:t>:</w:t>
      </w:r>
      <w:r>
        <w:rPr>
          <w:color w:val="231F20"/>
          <w:spacing w:val="-1"/>
          <w:sz w:val="20"/>
        </w:rPr>
        <w:t> </w:t>
      </w:r>
      <w:r>
        <w:rPr>
          <w:color w:val="231F20"/>
          <w:sz w:val="20"/>
        </w:rPr>
        <w:t>(10</w:t>
      </w:r>
      <w:r>
        <w:rPr>
          <w:color w:val="231F20"/>
          <w:spacing w:val="-2"/>
          <w:sz w:val="20"/>
        </w:rPr>
        <w:t> </w:t>
      </w:r>
      <w:r>
        <w:rPr>
          <w:color w:val="231F20"/>
          <w:sz w:val="20"/>
        </w:rPr>
        <w:t>+</w:t>
      </w:r>
      <w:r>
        <w:rPr>
          <w:color w:val="231F20"/>
          <w:spacing w:val="-2"/>
          <w:sz w:val="20"/>
        </w:rPr>
        <w:t> </w:t>
      </w:r>
      <w:r>
        <w:rPr>
          <w:i/>
          <w:color w:val="231F20"/>
          <w:sz w:val="20"/>
        </w:rPr>
        <w:t>a</w:t>
      </w:r>
      <w:r>
        <w:rPr>
          <w:color w:val="231F20"/>
          <w:sz w:val="20"/>
        </w:rPr>
        <w:t>)</w:t>
      </w:r>
      <w:r>
        <w:rPr>
          <w:color w:val="231F20"/>
          <w:sz w:val="20"/>
          <w:vertAlign w:val="superscript"/>
        </w:rPr>
        <w:t>2</w:t>
      </w:r>
      <w:r>
        <w:rPr>
          <w:color w:val="231F20"/>
          <w:sz w:val="20"/>
          <w:vertAlign w:val="baseline"/>
        </w:rPr>
        <w:t>;</w:t>
      </w:r>
      <w:r>
        <w:rPr>
          <w:color w:val="231F20"/>
          <w:spacing w:val="-1"/>
          <w:sz w:val="20"/>
          <w:vertAlign w:val="baseline"/>
        </w:rPr>
        <w:t> </w:t>
      </w:r>
      <w:r>
        <w:rPr>
          <w:color w:val="231F20"/>
          <w:sz w:val="20"/>
          <w:vertAlign w:val="baseline"/>
        </w:rPr>
        <w:t>(2b</w:t>
      </w:r>
      <w:r>
        <w:rPr>
          <w:color w:val="231F20"/>
          <w:spacing w:val="-2"/>
          <w:sz w:val="20"/>
          <w:vertAlign w:val="baseline"/>
        </w:rPr>
        <w:t> </w:t>
      </w:r>
      <w:r>
        <w:rPr>
          <w:color w:val="231F20"/>
          <w:sz w:val="20"/>
          <w:vertAlign w:val="baseline"/>
        </w:rPr>
        <w:t>+</w:t>
      </w:r>
      <w:r>
        <w:rPr>
          <w:color w:val="231F20"/>
          <w:spacing w:val="-1"/>
          <w:sz w:val="20"/>
          <w:vertAlign w:val="baseline"/>
        </w:rPr>
        <w:t> </w:t>
      </w:r>
      <w:r>
        <w:rPr>
          <w:color w:val="231F20"/>
          <w:sz w:val="20"/>
          <w:vertAlign w:val="baseline"/>
        </w:rPr>
        <w:t>8)</w:t>
      </w:r>
      <w:r>
        <w:rPr>
          <w:color w:val="231F20"/>
          <w:sz w:val="20"/>
          <w:vertAlign w:val="superscript"/>
        </w:rPr>
        <w:t>2</w:t>
      </w:r>
      <w:r>
        <w:rPr>
          <w:color w:val="231F20"/>
          <w:sz w:val="20"/>
          <w:vertAlign w:val="baseline"/>
        </w:rPr>
        <w:t>;</w:t>
      </w:r>
      <w:r>
        <w:rPr>
          <w:color w:val="231F20"/>
          <w:spacing w:val="-1"/>
          <w:sz w:val="20"/>
          <w:vertAlign w:val="baseline"/>
        </w:rPr>
        <w:t> </w:t>
      </w:r>
      <w:r>
        <w:rPr>
          <w:color w:val="231F20"/>
          <w:sz w:val="20"/>
          <w:vertAlign w:val="baseline"/>
        </w:rPr>
        <w:t>(0,5</w:t>
      </w:r>
      <w:r>
        <w:rPr>
          <w:color w:val="231F20"/>
          <w:spacing w:val="-2"/>
          <w:sz w:val="20"/>
          <w:vertAlign w:val="baseline"/>
        </w:rPr>
        <w:t> </w:t>
      </w:r>
      <w:r>
        <w:rPr>
          <w:color w:val="231F20"/>
          <w:sz w:val="20"/>
          <w:vertAlign w:val="baseline"/>
        </w:rPr>
        <w:t>+</w:t>
      </w:r>
      <w:r>
        <w:rPr>
          <w:color w:val="231F20"/>
          <w:spacing w:val="-1"/>
          <w:sz w:val="20"/>
          <w:vertAlign w:val="baseline"/>
        </w:rPr>
        <w:t> </w:t>
      </w:r>
      <w:r>
        <w:rPr>
          <w:color w:val="231F20"/>
          <w:spacing w:val="-4"/>
          <w:sz w:val="20"/>
          <w:vertAlign w:val="baseline"/>
        </w:rPr>
        <w:t>x)</w:t>
      </w:r>
      <w:r>
        <w:rPr>
          <w:color w:val="231F20"/>
          <w:spacing w:val="-4"/>
          <w:sz w:val="20"/>
          <w:vertAlign w:val="superscript"/>
        </w:rPr>
        <w:t>2</w:t>
      </w:r>
      <w:r>
        <w:rPr>
          <w:color w:val="231F20"/>
          <w:spacing w:val="-4"/>
          <w:sz w:val="20"/>
          <w:vertAlign w:val="baseline"/>
        </w:rPr>
        <w:t>.</w:t>
      </w:r>
    </w:p>
    <w:p>
      <w:pPr>
        <w:pStyle w:val="BodyText"/>
      </w:pPr>
      <w:r>
        <w:rPr>
          <w:color w:val="231F20"/>
        </w:rPr>
        <w:t>Листы сдаются учителю, отметки выставляются в маршрутный лист индивиду- </w:t>
      </w:r>
      <w:r>
        <w:rPr>
          <w:color w:val="231F20"/>
          <w:spacing w:val="-2"/>
        </w:rPr>
        <w:t>ально.</w:t>
      </w:r>
    </w:p>
    <w:p>
      <w:pPr>
        <w:spacing w:before="57"/>
        <w:ind w:left="425" w:right="0" w:firstLine="0"/>
        <w:jc w:val="both"/>
        <w:rPr>
          <w:b/>
          <w:i/>
          <w:sz w:val="20"/>
        </w:rPr>
      </w:pPr>
      <w:r>
        <w:rPr>
          <w:b/>
          <w:i/>
          <w:color w:val="231F20"/>
          <w:sz w:val="20"/>
        </w:rPr>
        <w:t>Изучение</w:t>
      </w:r>
      <w:r>
        <w:rPr>
          <w:b/>
          <w:i/>
          <w:color w:val="231F20"/>
          <w:spacing w:val="-3"/>
          <w:sz w:val="20"/>
        </w:rPr>
        <w:t> </w:t>
      </w:r>
      <w:r>
        <w:rPr>
          <w:b/>
          <w:i/>
          <w:color w:val="231F20"/>
          <w:sz w:val="20"/>
        </w:rPr>
        <w:t>нового</w:t>
      </w:r>
      <w:r>
        <w:rPr>
          <w:b/>
          <w:i/>
          <w:color w:val="231F20"/>
          <w:spacing w:val="-3"/>
          <w:sz w:val="20"/>
        </w:rPr>
        <w:t> </w:t>
      </w:r>
      <w:r>
        <w:rPr>
          <w:b/>
          <w:i/>
          <w:color w:val="231F20"/>
          <w:spacing w:val="-2"/>
          <w:sz w:val="20"/>
        </w:rPr>
        <w:t>материала</w:t>
      </w:r>
    </w:p>
    <w:p>
      <w:pPr>
        <w:pStyle w:val="BodyText"/>
        <w:spacing w:line="237" w:lineRule="auto" w:before="2"/>
      </w:pPr>
      <w:r>
        <w:rPr>
          <w:color w:val="231F20"/>
        </w:rPr>
        <w:t>Работа</w:t>
      </w:r>
      <w:r>
        <w:rPr>
          <w:color w:val="231F20"/>
          <w:spacing w:val="-13"/>
        </w:rPr>
        <w:t> </w:t>
      </w:r>
      <w:r>
        <w:rPr>
          <w:color w:val="231F20"/>
        </w:rPr>
        <w:t>с</w:t>
      </w:r>
      <w:r>
        <w:rPr>
          <w:color w:val="231F20"/>
          <w:spacing w:val="-12"/>
        </w:rPr>
        <w:t> </w:t>
      </w:r>
      <w:r>
        <w:rPr>
          <w:color w:val="231F20"/>
        </w:rPr>
        <w:t>учебником</w:t>
      </w:r>
      <w:r>
        <w:rPr>
          <w:color w:val="231F20"/>
          <w:spacing w:val="-13"/>
        </w:rPr>
        <w:t> </w:t>
      </w:r>
      <w:r>
        <w:rPr>
          <w:color w:val="231F20"/>
        </w:rPr>
        <w:t>(с.</w:t>
      </w:r>
      <w:r>
        <w:rPr>
          <w:color w:val="231F20"/>
          <w:spacing w:val="-12"/>
        </w:rPr>
        <w:t> </w:t>
      </w:r>
      <w:r>
        <w:rPr>
          <w:color w:val="231F20"/>
        </w:rPr>
        <w:t>153).</w:t>
      </w:r>
      <w:r>
        <w:rPr>
          <w:color w:val="231F20"/>
          <w:spacing w:val="-13"/>
        </w:rPr>
        <w:t> </w:t>
      </w:r>
      <w:r>
        <w:rPr>
          <w:color w:val="231F20"/>
        </w:rPr>
        <w:t>Нужно</w:t>
      </w:r>
      <w:r>
        <w:rPr>
          <w:color w:val="231F20"/>
          <w:spacing w:val="-12"/>
        </w:rPr>
        <w:t> </w:t>
      </w:r>
      <w:r>
        <w:rPr>
          <w:color w:val="231F20"/>
        </w:rPr>
        <w:t>сравнить</w:t>
      </w:r>
      <w:r>
        <w:rPr>
          <w:color w:val="231F20"/>
          <w:spacing w:val="-13"/>
        </w:rPr>
        <w:t> </w:t>
      </w:r>
      <w:r>
        <w:rPr>
          <w:color w:val="231F20"/>
        </w:rPr>
        <w:t>новое</w:t>
      </w:r>
      <w:r>
        <w:rPr>
          <w:color w:val="231F20"/>
          <w:spacing w:val="-12"/>
        </w:rPr>
        <w:t> </w:t>
      </w:r>
      <w:r>
        <w:rPr>
          <w:color w:val="231F20"/>
        </w:rPr>
        <w:t>правило:</w:t>
      </w:r>
      <w:r>
        <w:rPr>
          <w:color w:val="231F20"/>
          <w:spacing w:val="-13"/>
        </w:rPr>
        <w:t> </w:t>
      </w:r>
      <w:r>
        <w:rPr>
          <w:color w:val="231F20"/>
        </w:rPr>
        <w:t>вычисление</w:t>
      </w:r>
      <w:r>
        <w:rPr>
          <w:color w:val="231F20"/>
          <w:spacing w:val="-12"/>
        </w:rPr>
        <w:t> </w:t>
      </w:r>
      <w:r>
        <w:rPr>
          <w:color w:val="231F20"/>
        </w:rPr>
        <w:t>квадрата разности</w:t>
      </w:r>
      <w:r>
        <w:rPr>
          <w:color w:val="231F20"/>
          <w:spacing w:val="-4"/>
        </w:rPr>
        <w:t> </w:t>
      </w:r>
      <w:r>
        <w:rPr>
          <w:color w:val="231F20"/>
        </w:rPr>
        <w:t>–</w:t>
      </w:r>
      <w:r>
        <w:rPr>
          <w:color w:val="231F20"/>
          <w:spacing w:val="-3"/>
        </w:rPr>
        <w:t> </w:t>
      </w:r>
      <w:r>
        <w:rPr>
          <w:color w:val="231F20"/>
        </w:rPr>
        <w:t>со</w:t>
      </w:r>
      <w:r>
        <w:rPr>
          <w:color w:val="231F20"/>
          <w:spacing w:val="-4"/>
        </w:rPr>
        <w:t> </w:t>
      </w:r>
      <w:r>
        <w:rPr>
          <w:color w:val="231F20"/>
        </w:rPr>
        <w:t>старым:</w:t>
      </w:r>
      <w:r>
        <w:rPr>
          <w:color w:val="231F20"/>
          <w:spacing w:val="-4"/>
        </w:rPr>
        <w:t> </w:t>
      </w:r>
      <w:r>
        <w:rPr>
          <w:color w:val="231F20"/>
        </w:rPr>
        <w:t>вычисление</w:t>
      </w:r>
      <w:r>
        <w:rPr>
          <w:color w:val="231F20"/>
          <w:spacing w:val="-3"/>
        </w:rPr>
        <w:t> </w:t>
      </w:r>
      <w:r>
        <w:rPr>
          <w:color w:val="231F20"/>
        </w:rPr>
        <w:t>квадрата</w:t>
      </w:r>
      <w:r>
        <w:rPr>
          <w:color w:val="231F20"/>
          <w:spacing w:val="-3"/>
        </w:rPr>
        <w:t> </w:t>
      </w:r>
      <w:r>
        <w:rPr>
          <w:color w:val="231F20"/>
        </w:rPr>
        <w:t>суммы</w:t>
      </w:r>
      <w:r>
        <w:rPr>
          <w:color w:val="231F20"/>
          <w:spacing w:val="-4"/>
        </w:rPr>
        <w:t> </w:t>
      </w:r>
      <w:r>
        <w:rPr>
          <w:color w:val="231F20"/>
        </w:rPr>
        <w:t>и</w:t>
      </w:r>
      <w:r>
        <w:rPr>
          <w:color w:val="231F20"/>
          <w:spacing w:val="-3"/>
        </w:rPr>
        <w:t> </w:t>
      </w:r>
      <w:r>
        <w:rPr>
          <w:color w:val="231F20"/>
        </w:rPr>
        <w:t>найти</w:t>
      </w:r>
      <w:r>
        <w:rPr>
          <w:color w:val="231F20"/>
          <w:spacing w:val="-3"/>
        </w:rPr>
        <w:t> </w:t>
      </w:r>
      <w:r>
        <w:rPr>
          <w:color w:val="231F20"/>
        </w:rPr>
        <w:t>отличие</w:t>
      </w:r>
      <w:r>
        <w:rPr>
          <w:color w:val="231F20"/>
          <w:spacing w:val="-3"/>
        </w:rPr>
        <w:t> </w:t>
      </w:r>
      <w:r>
        <w:rPr>
          <w:color w:val="231F20"/>
        </w:rPr>
        <w:t>(два</w:t>
      </w:r>
      <w:r>
        <w:rPr>
          <w:color w:val="231F20"/>
          <w:spacing w:val="-3"/>
        </w:rPr>
        <w:t> </w:t>
      </w:r>
      <w:r>
        <w:rPr>
          <w:color w:val="231F20"/>
        </w:rPr>
        <w:t>других</w:t>
      </w:r>
      <w:r>
        <w:rPr>
          <w:color w:val="231F20"/>
          <w:spacing w:val="-3"/>
        </w:rPr>
        <w:t> </w:t>
      </w:r>
      <w:r>
        <w:rPr>
          <w:color w:val="231F20"/>
        </w:rPr>
        <w:t>сло- ва).</w:t>
      </w:r>
      <w:r>
        <w:rPr>
          <w:color w:val="231F20"/>
          <w:spacing w:val="-3"/>
        </w:rPr>
        <w:t> </w:t>
      </w:r>
      <w:r>
        <w:rPr>
          <w:color w:val="231F20"/>
        </w:rPr>
        <w:t>Обсудить,</w:t>
      </w:r>
      <w:r>
        <w:rPr>
          <w:color w:val="231F20"/>
          <w:spacing w:val="-3"/>
        </w:rPr>
        <w:t> </w:t>
      </w:r>
      <w:r>
        <w:rPr>
          <w:color w:val="231F20"/>
        </w:rPr>
        <w:t>какие</w:t>
      </w:r>
      <w:r>
        <w:rPr>
          <w:color w:val="231F20"/>
          <w:spacing w:val="-3"/>
        </w:rPr>
        <w:t> </w:t>
      </w:r>
      <w:r>
        <w:rPr>
          <w:color w:val="231F20"/>
        </w:rPr>
        <w:t>именно</w:t>
      </w:r>
      <w:r>
        <w:rPr>
          <w:color w:val="231F20"/>
          <w:spacing w:val="-3"/>
        </w:rPr>
        <w:t> </w:t>
      </w:r>
      <w:r>
        <w:rPr>
          <w:color w:val="231F20"/>
        </w:rPr>
        <w:t>слова.</w:t>
      </w:r>
      <w:r>
        <w:rPr>
          <w:color w:val="231F20"/>
          <w:spacing w:val="-3"/>
        </w:rPr>
        <w:t> </w:t>
      </w:r>
      <w:r>
        <w:rPr>
          <w:color w:val="231F20"/>
        </w:rPr>
        <w:t>Разница</w:t>
      </w:r>
      <w:r>
        <w:rPr>
          <w:color w:val="231F20"/>
          <w:spacing w:val="-3"/>
        </w:rPr>
        <w:t> </w:t>
      </w:r>
      <w:r>
        <w:rPr>
          <w:color w:val="231F20"/>
        </w:rPr>
        <w:t>в</w:t>
      </w:r>
      <w:r>
        <w:rPr>
          <w:color w:val="231F20"/>
          <w:spacing w:val="-3"/>
        </w:rPr>
        <w:t> </w:t>
      </w:r>
      <w:r>
        <w:rPr>
          <w:color w:val="231F20"/>
        </w:rPr>
        <w:t>правиле</w:t>
      </w:r>
      <w:r>
        <w:rPr>
          <w:color w:val="231F20"/>
          <w:spacing w:val="-3"/>
        </w:rPr>
        <w:t> </w:t>
      </w:r>
      <w:r>
        <w:rPr>
          <w:color w:val="231F20"/>
        </w:rPr>
        <w:t>повлечет</w:t>
      </w:r>
      <w:r>
        <w:rPr>
          <w:color w:val="231F20"/>
          <w:spacing w:val="-3"/>
        </w:rPr>
        <w:t> </w:t>
      </w:r>
      <w:r>
        <w:rPr>
          <w:color w:val="231F20"/>
        </w:rPr>
        <w:t>за</w:t>
      </w:r>
      <w:r>
        <w:rPr>
          <w:color w:val="231F20"/>
          <w:spacing w:val="-3"/>
        </w:rPr>
        <w:t> </w:t>
      </w:r>
      <w:r>
        <w:rPr>
          <w:color w:val="231F20"/>
        </w:rPr>
        <w:t>собой</w:t>
      </w:r>
      <w:r>
        <w:rPr>
          <w:color w:val="231F20"/>
          <w:spacing w:val="-3"/>
        </w:rPr>
        <w:t> </w:t>
      </w:r>
      <w:r>
        <w:rPr>
          <w:color w:val="231F20"/>
        </w:rPr>
        <w:t>два</w:t>
      </w:r>
      <w:r>
        <w:rPr>
          <w:color w:val="231F20"/>
          <w:spacing w:val="-3"/>
        </w:rPr>
        <w:t> </w:t>
      </w:r>
      <w:r>
        <w:rPr>
          <w:color w:val="231F20"/>
        </w:rPr>
        <w:t>измене- ния в формуле. Где именно? (Обсудить устно.)</w:t>
      </w:r>
    </w:p>
    <w:p>
      <w:pPr>
        <w:pStyle w:val="BodyText"/>
        <w:spacing w:line="235" w:lineRule="auto" w:before="3"/>
        <w:ind w:left="425" w:right="4717" w:firstLine="0"/>
      </w:pPr>
      <w:r>
        <w:rPr>
          <w:color w:val="231F20"/>
        </w:rPr>
        <w:t>На</w:t>
      </w:r>
      <w:r>
        <w:rPr>
          <w:color w:val="231F20"/>
          <w:spacing w:val="-7"/>
        </w:rPr>
        <w:t> </w:t>
      </w:r>
      <w:r>
        <w:rPr>
          <w:color w:val="231F20"/>
        </w:rPr>
        <w:t>листах</w:t>
      </w:r>
      <w:r>
        <w:rPr>
          <w:color w:val="231F20"/>
          <w:spacing w:val="-7"/>
        </w:rPr>
        <w:t> </w:t>
      </w:r>
      <w:r>
        <w:rPr>
          <w:color w:val="231F20"/>
        </w:rPr>
        <w:t>в</w:t>
      </w:r>
      <w:r>
        <w:rPr>
          <w:color w:val="231F20"/>
          <w:spacing w:val="-8"/>
        </w:rPr>
        <w:t> </w:t>
      </w:r>
      <w:r>
        <w:rPr>
          <w:color w:val="231F20"/>
        </w:rPr>
        <w:t>группе</w:t>
      </w:r>
      <w:r>
        <w:rPr>
          <w:color w:val="231F20"/>
          <w:spacing w:val="-7"/>
        </w:rPr>
        <w:t> </w:t>
      </w:r>
      <w:r>
        <w:rPr>
          <w:color w:val="231F20"/>
        </w:rPr>
        <w:t>задание. Выполните действие:</w:t>
      </w:r>
    </w:p>
    <w:p>
      <w:pPr>
        <w:pStyle w:val="BodyText"/>
        <w:spacing w:before="9"/>
        <w:ind w:left="0" w:right="0" w:firstLine="0"/>
        <w:jc w:val="left"/>
        <w:rPr>
          <w:sz w:val="5"/>
        </w:rPr>
      </w:pPr>
    </w:p>
    <w:tbl>
      <w:tblPr>
        <w:tblW w:w="0" w:type="auto"/>
        <w:jc w:val="left"/>
        <w:tblInd w:w="2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37"/>
        <w:gridCol w:w="1687"/>
      </w:tblGrid>
      <w:tr>
        <w:trPr>
          <w:trHeight w:val="399" w:hRule="atLeast"/>
        </w:trPr>
        <w:tc>
          <w:tcPr>
            <w:tcW w:w="1637" w:type="dxa"/>
          </w:tcPr>
          <w:p>
            <w:pPr>
              <w:pStyle w:val="TableParagraph"/>
              <w:spacing w:line="196" w:lineRule="exact"/>
              <w:ind w:left="50"/>
              <w:rPr>
                <w:sz w:val="18"/>
              </w:rPr>
            </w:pPr>
            <w:r>
              <w:rPr>
                <w:color w:val="231F20"/>
                <w:sz w:val="18"/>
              </w:rPr>
              <w:t>(x</w:t>
            </w:r>
            <w:r>
              <w:rPr>
                <w:color w:val="231F20"/>
                <w:spacing w:val="-2"/>
                <w:sz w:val="18"/>
              </w:rPr>
              <w:t> </w:t>
            </w:r>
            <w:r>
              <w:rPr>
                <w:color w:val="231F20"/>
                <w:sz w:val="18"/>
              </w:rPr>
              <w:t>–</w:t>
            </w:r>
            <w:r>
              <w:rPr>
                <w:color w:val="231F20"/>
                <w:spacing w:val="-1"/>
                <w:sz w:val="18"/>
              </w:rPr>
              <w:t> </w:t>
            </w:r>
            <w:r>
              <w:rPr>
                <w:color w:val="231F20"/>
                <w:sz w:val="18"/>
              </w:rPr>
              <w:t>2y)</w:t>
            </w:r>
            <w:r>
              <w:rPr>
                <w:color w:val="231F20"/>
                <w:sz w:val="18"/>
                <w:vertAlign w:val="superscript"/>
              </w:rPr>
              <w:t>2</w:t>
            </w:r>
            <w:r>
              <w:rPr>
                <w:color w:val="231F20"/>
                <w:spacing w:val="-2"/>
                <w:sz w:val="18"/>
                <w:vertAlign w:val="baseline"/>
              </w:rPr>
              <w:t> </w:t>
            </w:r>
            <w:r>
              <w:rPr>
                <w:color w:val="231F20"/>
                <w:sz w:val="18"/>
                <w:vertAlign w:val="baseline"/>
              </w:rPr>
              <w:t>=</w:t>
            </w:r>
            <w:r>
              <w:rPr>
                <w:color w:val="231F20"/>
                <w:spacing w:val="-1"/>
                <w:sz w:val="18"/>
                <w:vertAlign w:val="baseline"/>
              </w:rPr>
              <w:t> </w:t>
            </w:r>
            <w:r>
              <w:rPr>
                <w:color w:val="231F20"/>
                <w:spacing w:val="-5"/>
                <w:sz w:val="18"/>
                <w:vertAlign w:val="baseline"/>
              </w:rPr>
              <w:t>...</w:t>
            </w:r>
          </w:p>
          <w:p>
            <w:pPr>
              <w:pStyle w:val="TableParagraph"/>
              <w:spacing w:line="184" w:lineRule="exact"/>
              <w:ind w:left="95"/>
              <w:rPr>
                <w:sz w:val="18"/>
              </w:rPr>
            </w:pPr>
            <w:r>
              <w:rPr>
                <w:color w:val="231F20"/>
                <w:sz w:val="18"/>
              </w:rPr>
              <w:t>(4</w:t>
            </w:r>
            <w:r>
              <w:rPr>
                <w:color w:val="231F20"/>
                <w:spacing w:val="-2"/>
                <w:sz w:val="18"/>
              </w:rPr>
              <w:t> </w:t>
            </w:r>
            <w:r>
              <w:rPr>
                <w:color w:val="231F20"/>
                <w:sz w:val="18"/>
              </w:rPr>
              <w:t>–</w:t>
            </w:r>
            <w:r>
              <w:rPr>
                <w:color w:val="231F20"/>
                <w:spacing w:val="-1"/>
                <w:sz w:val="18"/>
              </w:rPr>
              <w:t> </w:t>
            </w:r>
            <w:r>
              <w:rPr>
                <w:color w:val="231F20"/>
                <w:sz w:val="18"/>
              </w:rPr>
              <w:t>y)</w:t>
            </w:r>
            <w:r>
              <w:rPr>
                <w:color w:val="231F20"/>
                <w:sz w:val="18"/>
                <w:vertAlign w:val="superscript"/>
              </w:rPr>
              <w:t>2</w:t>
            </w:r>
            <w:r>
              <w:rPr>
                <w:color w:val="231F20"/>
                <w:spacing w:val="-2"/>
                <w:sz w:val="18"/>
                <w:vertAlign w:val="baseline"/>
              </w:rPr>
              <w:t> </w:t>
            </w:r>
            <w:r>
              <w:rPr>
                <w:color w:val="231F20"/>
                <w:sz w:val="18"/>
                <w:vertAlign w:val="baseline"/>
              </w:rPr>
              <w:t>=</w:t>
            </w:r>
            <w:r>
              <w:rPr>
                <w:color w:val="231F20"/>
                <w:spacing w:val="-1"/>
                <w:sz w:val="18"/>
                <w:vertAlign w:val="baseline"/>
              </w:rPr>
              <w:t> </w:t>
            </w:r>
            <w:r>
              <w:rPr>
                <w:color w:val="231F20"/>
                <w:spacing w:val="-5"/>
                <w:sz w:val="18"/>
                <w:vertAlign w:val="baseline"/>
              </w:rPr>
              <w:t>...</w:t>
            </w:r>
          </w:p>
        </w:tc>
        <w:tc>
          <w:tcPr>
            <w:tcW w:w="1687" w:type="dxa"/>
          </w:tcPr>
          <w:p>
            <w:pPr>
              <w:pStyle w:val="TableParagraph"/>
              <w:spacing w:line="196" w:lineRule="exact"/>
              <w:ind w:left="705"/>
              <w:rPr>
                <w:sz w:val="18"/>
              </w:rPr>
            </w:pPr>
            <w:r>
              <w:rPr>
                <w:color w:val="231F20"/>
                <w:sz w:val="18"/>
              </w:rPr>
              <w:t>(</w:t>
            </w:r>
            <w:r>
              <w:rPr>
                <w:i/>
                <w:color w:val="231F20"/>
                <w:sz w:val="18"/>
              </w:rPr>
              <w:t>a</w:t>
            </w:r>
            <w:r>
              <w:rPr>
                <w:i/>
                <w:color w:val="231F20"/>
                <w:spacing w:val="-1"/>
                <w:sz w:val="18"/>
              </w:rPr>
              <w:t> </w:t>
            </w:r>
            <w:r>
              <w:rPr>
                <w:color w:val="231F20"/>
                <w:sz w:val="18"/>
              </w:rPr>
              <w:t>– 9)</w:t>
            </w:r>
            <w:r>
              <w:rPr>
                <w:color w:val="231F20"/>
                <w:sz w:val="18"/>
                <w:vertAlign w:val="superscript"/>
              </w:rPr>
              <w:t>2</w:t>
            </w:r>
            <w:r>
              <w:rPr>
                <w:color w:val="231F20"/>
                <w:sz w:val="18"/>
                <w:vertAlign w:val="baseline"/>
              </w:rPr>
              <w:t> = </w:t>
            </w:r>
            <w:r>
              <w:rPr>
                <w:color w:val="231F20"/>
                <w:spacing w:val="-5"/>
                <w:sz w:val="18"/>
                <w:vertAlign w:val="baseline"/>
              </w:rPr>
              <w:t>...</w:t>
            </w:r>
          </w:p>
          <w:p>
            <w:pPr>
              <w:pStyle w:val="TableParagraph"/>
              <w:spacing w:line="183" w:lineRule="exact"/>
              <w:ind w:left="637"/>
              <w:rPr>
                <w:sz w:val="18"/>
              </w:rPr>
            </w:pPr>
            <w:r>
              <w:rPr>
                <w:color w:val="231F20"/>
                <w:sz w:val="18"/>
              </w:rPr>
              <w:t>(3m</w:t>
            </w:r>
            <w:r>
              <w:rPr>
                <w:color w:val="231F20"/>
                <w:spacing w:val="-2"/>
                <w:sz w:val="18"/>
              </w:rPr>
              <w:t> </w:t>
            </w:r>
            <w:r>
              <w:rPr>
                <w:color w:val="231F20"/>
                <w:sz w:val="18"/>
              </w:rPr>
              <w:t>–</w:t>
            </w:r>
            <w:r>
              <w:rPr>
                <w:color w:val="231F20"/>
                <w:spacing w:val="-2"/>
                <w:sz w:val="18"/>
              </w:rPr>
              <w:t> </w:t>
            </w:r>
            <w:r>
              <w:rPr>
                <w:color w:val="231F20"/>
                <w:sz w:val="18"/>
              </w:rPr>
              <w:t>x)</w:t>
            </w:r>
            <w:r>
              <w:rPr>
                <w:color w:val="231F20"/>
                <w:sz w:val="18"/>
                <w:vertAlign w:val="superscript"/>
              </w:rPr>
              <w:t>2</w:t>
            </w:r>
            <w:r>
              <w:rPr>
                <w:color w:val="231F20"/>
                <w:spacing w:val="-1"/>
                <w:sz w:val="18"/>
                <w:vertAlign w:val="baseline"/>
              </w:rPr>
              <w:t> </w:t>
            </w:r>
            <w:r>
              <w:rPr>
                <w:color w:val="231F20"/>
                <w:sz w:val="18"/>
                <w:vertAlign w:val="baseline"/>
              </w:rPr>
              <w:t>=</w:t>
            </w:r>
            <w:r>
              <w:rPr>
                <w:color w:val="231F20"/>
                <w:spacing w:val="-2"/>
                <w:sz w:val="18"/>
                <w:vertAlign w:val="baseline"/>
              </w:rPr>
              <w:t> </w:t>
            </w:r>
            <w:r>
              <w:rPr>
                <w:color w:val="231F20"/>
                <w:spacing w:val="-5"/>
                <w:sz w:val="18"/>
                <w:vertAlign w:val="baseline"/>
              </w:rPr>
              <w:t>...</w:t>
            </w:r>
          </w:p>
        </w:tc>
      </w:tr>
    </w:tbl>
    <w:p>
      <w:pPr>
        <w:pStyle w:val="BodyText"/>
        <w:spacing w:line="235" w:lineRule="auto"/>
        <w:ind w:right="0"/>
        <w:jc w:val="left"/>
      </w:pPr>
      <w:r>
        <w:rPr>
          <w:color w:val="231F20"/>
        </w:rPr>
        <w:t>Группы</w:t>
      </w:r>
      <w:r>
        <w:rPr>
          <w:color w:val="231F20"/>
          <w:spacing w:val="-9"/>
        </w:rPr>
        <w:t> </w:t>
      </w:r>
      <w:r>
        <w:rPr>
          <w:color w:val="231F20"/>
        </w:rPr>
        <w:t>по</w:t>
      </w:r>
      <w:r>
        <w:rPr>
          <w:color w:val="231F20"/>
          <w:spacing w:val="-9"/>
        </w:rPr>
        <w:t> </w:t>
      </w:r>
      <w:r>
        <w:rPr>
          <w:color w:val="231F20"/>
        </w:rPr>
        <w:t>очереди</w:t>
      </w:r>
      <w:r>
        <w:rPr>
          <w:color w:val="231F20"/>
          <w:spacing w:val="-10"/>
        </w:rPr>
        <w:t> </w:t>
      </w:r>
      <w:r>
        <w:rPr>
          <w:color w:val="231F20"/>
        </w:rPr>
        <w:t>показывают</w:t>
      </w:r>
      <w:r>
        <w:rPr>
          <w:color w:val="231F20"/>
          <w:spacing w:val="-9"/>
        </w:rPr>
        <w:t> </w:t>
      </w:r>
      <w:r>
        <w:rPr>
          <w:color w:val="231F20"/>
        </w:rPr>
        <w:t>классу</w:t>
      </w:r>
      <w:r>
        <w:rPr>
          <w:color w:val="231F20"/>
          <w:spacing w:val="-9"/>
        </w:rPr>
        <w:t> </w:t>
      </w:r>
      <w:r>
        <w:rPr>
          <w:color w:val="231F20"/>
        </w:rPr>
        <w:t>свои</w:t>
      </w:r>
      <w:r>
        <w:rPr>
          <w:color w:val="231F20"/>
          <w:spacing w:val="-10"/>
        </w:rPr>
        <w:t> </w:t>
      </w:r>
      <w:r>
        <w:rPr>
          <w:color w:val="231F20"/>
        </w:rPr>
        <w:t>листы,</w:t>
      </w:r>
      <w:r>
        <w:rPr>
          <w:color w:val="231F20"/>
          <w:spacing w:val="-9"/>
        </w:rPr>
        <w:t> </w:t>
      </w:r>
      <w:r>
        <w:rPr>
          <w:color w:val="231F20"/>
        </w:rPr>
        <w:t>проговаривают</w:t>
      </w:r>
      <w:r>
        <w:rPr>
          <w:color w:val="231F20"/>
          <w:spacing w:val="-9"/>
        </w:rPr>
        <w:t> </w:t>
      </w:r>
      <w:r>
        <w:rPr>
          <w:color w:val="231F20"/>
        </w:rPr>
        <w:t>правило</w:t>
      </w:r>
      <w:r>
        <w:rPr>
          <w:color w:val="231F20"/>
          <w:spacing w:val="-9"/>
        </w:rPr>
        <w:t> </w:t>
      </w:r>
      <w:r>
        <w:rPr>
          <w:color w:val="231F20"/>
        </w:rPr>
        <w:t>и показывают его элементы по формуле.</w:t>
      </w:r>
    </w:p>
    <w:p>
      <w:pPr>
        <w:spacing w:before="43"/>
        <w:ind w:left="425" w:right="0" w:firstLine="0"/>
        <w:jc w:val="left"/>
        <w:rPr>
          <w:b/>
          <w:i/>
          <w:sz w:val="20"/>
        </w:rPr>
      </w:pPr>
      <w:r>
        <w:rPr>
          <w:b/>
          <w:i/>
          <w:color w:val="231F20"/>
          <w:sz w:val="20"/>
        </w:rPr>
        <w:t>Закрепление в </w:t>
      </w:r>
      <w:r>
        <w:rPr>
          <w:b/>
          <w:i/>
          <w:color w:val="231F20"/>
          <w:spacing w:val="-2"/>
          <w:sz w:val="20"/>
        </w:rPr>
        <w:t>группах</w:t>
      </w:r>
    </w:p>
    <w:p>
      <w:pPr>
        <w:spacing w:line="228" w:lineRule="exact" w:before="53"/>
        <w:ind w:left="425" w:right="0" w:firstLine="0"/>
        <w:jc w:val="left"/>
        <w:rPr>
          <w:i/>
          <w:sz w:val="20"/>
        </w:rPr>
      </w:pPr>
      <w:r>
        <w:rPr>
          <w:i/>
          <w:color w:val="231F20"/>
          <w:sz w:val="20"/>
        </w:rPr>
        <w:t>Метод</w:t>
      </w:r>
      <w:r>
        <w:rPr>
          <w:i/>
          <w:color w:val="231F20"/>
          <w:spacing w:val="-9"/>
          <w:sz w:val="20"/>
        </w:rPr>
        <w:t> </w:t>
      </w:r>
      <w:r>
        <w:rPr>
          <w:i/>
          <w:color w:val="231F20"/>
          <w:spacing w:val="-2"/>
          <w:sz w:val="20"/>
        </w:rPr>
        <w:t>«Вертушка»</w:t>
      </w:r>
    </w:p>
    <w:p>
      <w:pPr>
        <w:pStyle w:val="BodyText"/>
        <w:spacing w:line="226" w:lineRule="exact"/>
        <w:ind w:left="425" w:right="0" w:firstLine="0"/>
        <w:jc w:val="left"/>
      </w:pPr>
      <w:r>
        <w:rPr>
          <w:color w:val="231F20"/>
        </w:rPr>
        <w:t>1-й</w:t>
      </w:r>
      <w:r>
        <w:rPr>
          <w:color w:val="231F20"/>
          <w:spacing w:val="-3"/>
        </w:rPr>
        <w:t> </w:t>
      </w:r>
      <w:r>
        <w:rPr>
          <w:color w:val="231F20"/>
        </w:rPr>
        <w:t>круг:</w:t>
      </w:r>
      <w:r>
        <w:rPr>
          <w:color w:val="231F20"/>
          <w:spacing w:val="-1"/>
        </w:rPr>
        <w:t> </w:t>
      </w:r>
      <w:r>
        <w:rPr>
          <w:color w:val="231F20"/>
        </w:rPr>
        <w:t>№</w:t>
      </w:r>
      <w:r>
        <w:rPr>
          <w:color w:val="231F20"/>
          <w:spacing w:val="-2"/>
        </w:rPr>
        <w:t> </w:t>
      </w:r>
      <w:r>
        <w:rPr>
          <w:color w:val="231F20"/>
        </w:rPr>
        <w:t>859</w:t>
      </w:r>
      <w:r>
        <w:rPr>
          <w:color w:val="231F20"/>
          <w:spacing w:val="-1"/>
        </w:rPr>
        <w:t> </w:t>
      </w:r>
      <w:r>
        <w:rPr>
          <w:color w:val="231F20"/>
          <w:spacing w:val="-2"/>
        </w:rPr>
        <w:t>(г–з).</w:t>
      </w:r>
    </w:p>
    <w:p>
      <w:pPr>
        <w:pStyle w:val="BodyText"/>
        <w:spacing w:line="226" w:lineRule="exact"/>
        <w:ind w:left="425" w:right="0" w:firstLine="0"/>
        <w:jc w:val="left"/>
      </w:pPr>
      <w:r>
        <w:rPr>
          <w:color w:val="231F20"/>
        </w:rPr>
        <w:t>2-й</w:t>
      </w:r>
      <w:r>
        <w:rPr>
          <w:color w:val="231F20"/>
          <w:spacing w:val="-4"/>
        </w:rPr>
        <w:t> </w:t>
      </w:r>
      <w:r>
        <w:rPr>
          <w:color w:val="231F20"/>
        </w:rPr>
        <w:t>круг:</w:t>
      </w:r>
      <w:r>
        <w:rPr>
          <w:color w:val="231F20"/>
          <w:spacing w:val="-1"/>
        </w:rPr>
        <w:t> </w:t>
      </w:r>
      <w:r>
        <w:rPr>
          <w:color w:val="231F20"/>
        </w:rPr>
        <w:t>№</w:t>
      </w:r>
      <w:r>
        <w:rPr>
          <w:color w:val="231F20"/>
          <w:spacing w:val="-1"/>
        </w:rPr>
        <w:t> </w:t>
      </w:r>
      <w:r>
        <w:rPr>
          <w:color w:val="231F20"/>
        </w:rPr>
        <w:t>859</w:t>
      </w:r>
      <w:r>
        <w:rPr>
          <w:color w:val="231F20"/>
          <w:spacing w:val="-1"/>
        </w:rPr>
        <w:t> </w:t>
      </w:r>
      <w:r>
        <w:rPr>
          <w:color w:val="231F20"/>
        </w:rPr>
        <w:t>(и,</w:t>
      </w:r>
      <w:r>
        <w:rPr>
          <w:color w:val="231F20"/>
          <w:spacing w:val="-1"/>
        </w:rPr>
        <w:t> </w:t>
      </w:r>
      <w:r>
        <w:rPr>
          <w:color w:val="231F20"/>
        </w:rPr>
        <w:t>к), 862</w:t>
      </w:r>
      <w:r>
        <w:rPr>
          <w:color w:val="231F20"/>
          <w:spacing w:val="-1"/>
        </w:rPr>
        <w:t> </w:t>
      </w:r>
      <w:r>
        <w:rPr>
          <w:color w:val="231F20"/>
        </w:rPr>
        <w:t>(б, </w:t>
      </w:r>
      <w:r>
        <w:rPr>
          <w:color w:val="231F20"/>
          <w:spacing w:val="-5"/>
        </w:rPr>
        <w:t>г).</w:t>
      </w:r>
    </w:p>
    <w:p>
      <w:pPr>
        <w:pStyle w:val="BodyText"/>
        <w:spacing w:line="235" w:lineRule="auto" w:before="2"/>
        <w:ind w:right="0"/>
        <w:jc w:val="left"/>
      </w:pPr>
      <w:r>
        <w:rPr>
          <w:color w:val="231F20"/>
          <w:spacing w:val="-2"/>
        </w:rPr>
        <w:t>Каждый</w:t>
      </w:r>
      <w:r>
        <w:rPr>
          <w:color w:val="231F20"/>
          <w:spacing w:val="-6"/>
        </w:rPr>
        <w:t> </w:t>
      </w:r>
      <w:r>
        <w:rPr>
          <w:color w:val="231F20"/>
          <w:spacing w:val="-2"/>
        </w:rPr>
        <w:t>ученик</w:t>
      </w:r>
      <w:r>
        <w:rPr>
          <w:color w:val="231F20"/>
          <w:spacing w:val="-6"/>
        </w:rPr>
        <w:t> </w:t>
      </w:r>
      <w:r>
        <w:rPr>
          <w:color w:val="231F20"/>
          <w:spacing w:val="-2"/>
        </w:rPr>
        <w:t>в</w:t>
      </w:r>
      <w:r>
        <w:rPr>
          <w:color w:val="231F20"/>
          <w:spacing w:val="-6"/>
        </w:rPr>
        <w:t> </w:t>
      </w:r>
      <w:r>
        <w:rPr>
          <w:color w:val="231F20"/>
          <w:spacing w:val="-2"/>
        </w:rPr>
        <w:t>группе</w:t>
      </w:r>
      <w:r>
        <w:rPr>
          <w:color w:val="231F20"/>
          <w:spacing w:val="-6"/>
        </w:rPr>
        <w:t> </w:t>
      </w:r>
      <w:r>
        <w:rPr>
          <w:color w:val="231F20"/>
          <w:spacing w:val="-2"/>
        </w:rPr>
        <w:t>выполняет</w:t>
      </w:r>
      <w:r>
        <w:rPr>
          <w:color w:val="231F20"/>
          <w:spacing w:val="-6"/>
        </w:rPr>
        <w:t> </w:t>
      </w:r>
      <w:r>
        <w:rPr>
          <w:color w:val="231F20"/>
          <w:spacing w:val="-2"/>
        </w:rPr>
        <w:t>один</w:t>
      </w:r>
      <w:r>
        <w:rPr>
          <w:color w:val="231F20"/>
          <w:spacing w:val="-6"/>
        </w:rPr>
        <w:t> </w:t>
      </w:r>
      <w:r>
        <w:rPr>
          <w:color w:val="231F20"/>
          <w:spacing w:val="-2"/>
        </w:rPr>
        <w:t>пример</w:t>
      </w:r>
      <w:r>
        <w:rPr>
          <w:color w:val="231F20"/>
          <w:spacing w:val="-6"/>
        </w:rPr>
        <w:t> </w:t>
      </w:r>
      <w:r>
        <w:rPr>
          <w:color w:val="231F20"/>
          <w:spacing w:val="-2"/>
        </w:rPr>
        <w:t>и</w:t>
      </w:r>
      <w:r>
        <w:rPr>
          <w:color w:val="231F20"/>
          <w:spacing w:val="-6"/>
        </w:rPr>
        <w:t> </w:t>
      </w:r>
      <w:r>
        <w:rPr>
          <w:color w:val="231F20"/>
          <w:spacing w:val="-2"/>
        </w:rPr>
        <w:t>объясняет</w:t>
      </w:r>
      <w:r>
        <w:rPr>
          <w:color w:val="231F20"/>
          <w:spacing w:val="-6"/>
        </w:rPr>
        <w:t> </w:t>
      </w:r>
      <w:r>
        <w:rPr>
          <w:color w:val="231F20"/>
          <w:spacing w:val="-2"/>
        </w:rPr>
        <w:t>его</w:t>
      </w:r>
      <w:r>
        <w:rPr>
          <w:color w:val="231F20"/>
          <w:spacing w:val="-6"/>
        </w:rPr>
        <w:t> </w:t>
      </w:r>
      <w:r>
        <w:rPr>
          <w:color w:val="231F20"/>
          <w:spacing w:val="-2"/>
        </w:rPr>
        <w:t>решение,</w:t>
      </w:r>
      <w:r>
        <w:rPr>
          <w:color w:val="231F20"/>
          <w:spacing w:val="-6"/>
        </w:rPr>
        <w:t> </w:t>
      </w:r>
      <w:r>
        <w:rPr>
          <w:color w:val="231F20"/>
          <w:spacing w:val="-2"/>
        </w:rPr>
        <w:t>осталь- </w:t>
      </w:r>
      <w:r>
        <w:rPr>
          <w:color w:val="231F20"/>
        </w:rPr>
        <w:t>ные записывают. Контролирует консультант.</w:t>
      </w:r>
    </w:p>
    <w:p>
      <w:pPr>
        <w:pStyle w:val="BodyText"/>
        <w:spacing w:after="0" w:line="235" w:lineRule="auto"/>
        <w:jc w:val="left"/>
        <w:sectPr>
          <w:pgSz w:w="8400" w:h="11910"/>
          <w:pgMar w:header="0" w:footer="530" w:top="400" w:bottom="740" w:left="425" w:right="425"/>
        </w:sectPr>
      </w:pPr>
    </w:p>
    <w:p>
      <w:pPr>
        <w:spacing w:before="80"/>
        <w:ind w:left="141" w:right="0" w:firstLine="0"/>
        <w:jc w:val="left"/>
        <w:rPr>
          <w:rFonts w:ascii="Georgia" w:hAnsi="Georgia"/>
          <w:sz w:val="18"/>
        </w:rPr>
      </w:pPr>
      <w:r>
        <w:rPr>
          <w:rFonts w:ascii="Georgia" w:hAnsi="Georgia"/>
          <w:color w:val="231F20"/>
          <w:sz w:val="18"/>
        </w:rPr>
        <w:t>4.3.</w:t>
      </w:r>
      <w:r>
        <w:rPr>
          <w:rFonts w:ascii="Georgia" w:hAnsi="Georgia"/>
          <w:color w:val="231F20"/>
          <w:spacing w:val="6"/>
          <w:sz w:val="18"/>
        </w:rPr>
        <w:t> </w:t>
      </w:r>
      <w:r>
        <w:rPr>
          <w:rFonts w:ascii="Georgia" w:hAnsi="Georgia"/>
          <w:color w:val="231F20"/>
          <w:sz w:val="18"/>
        </w:rPr>
        <w:t>Организация</w:t>
      </w:r>
      <w:r>
        <w:rPr>
          <w:rFonts w:ascii="Georgia" w:hAnsi="Georgia"/>
          <w:color w:val="231F20"/>
          <w:spacing w:val="7"/>
          <w:sz w:val="18"/>
        </w:rPr>
        <w:t> </w:t>
      </w:r>
      <w:r>
        <w:rPr>
          <w:rFonts w:ascii="Georgia" w:hAnsi="Georgia"/>
          <w:color w:val="231F20"/>
          <w:sz w:val="18"/>
        </w:rPr>
        <w:t>групповой</w:t>
      </w:r>
      <w:r>
        <w:rPr>
          <w:rFonts w:ascii="Georgia" w:hAnsi="Georgia"/>
          <w:color w:val="231F20"/>
          <w:spacing w:val="7"/>
          <w:sz w:val="18"/>
        </w:rPr>
        <w:t> </w:t>
      </w:r>
      <w:r>
        <w:rPr>
          <w:rFonts w:ascii="Georgia" w:hAnsi="Georgia"/>
          <w:color w:val="231F20"/>
          <w:sz w:val="18"/>
        </w:rPr>
        <w:t>учебной</w:t>
      </w:r>
      <w:r>
        <w:rPr>
          <w:rFonts w:ascii="Georgia" w:hAnsi="Georgia"/>
          <w:color w:val="231F20"/>
          <w:spacing w:val="6"/>
          <w:sz w:val="18"/>
        </w:rPr>
        <w:t> </w:t>
      </w:r>
      <w:r>
        <w:rPr>
          <w:rFonts w:ascii="Georgia" w:hAnsi="Georgia"/>
          <w:color w:val="231F20"/>
          <w:sz w:val="18"/>
        </w:rPr>
        <w:t>работы</w:t>
      </w:r>
      <w:r>
        <w:rPr>
          <w:rFonts w:ascii="Georgia" w:hAnsi="Georgia"/>
          <w:color w:val="231F20"/>
          <w:spacing w:val="7"/>
          <w:sz w:val="18"/>
        </w:rPr>
        <w:t> </w:t>
      </w:r>
      <w:r>
        <w:rPr>
          <w:rFonts w:ascii="Georgia" w:hAnsi="Georgia"/>
          <w:color w:val="231F20"/>
          <w:sz w:val="18"/>
        </w:rPr>
        <w:t>учащихся</w:t>
      </w:r>
      <w:r>
        <w:rPr>
          <w:rFonts w:ascii="Georgia" w:hAnsi="Georgia"/>
          <w:color w:val="231F20"/>
          <w:spacing w:val="7"/>
          <w:sz w:val="18"/>
        </w:rPr>
        <w:t> </w:t>
      </w:r>
      <w:r>
        <w:rPr>
          <w:rFonts w:ascii="Georgia" w:hAnsi="Georgia"/>
          <w:color w:val="231F20"/>
          <w:sz w:val="18"/>
        </w:rPr>
        <w:t>в</w:t>
      </w:r>
      <w:r>
        <w:rPr>
          <w:rFonts w:ascii="Georgia" w:hAnsi="Georgia"/>
          <w:color w:val="231F20"/>
          <w:spacing w:val="6"/>
          <w:sz w:val="18"/>
        </w:rPr>
        <w:t> </w:t>
      </w:r>
      <w:r>
        <w:rPr>
          <w:rFonts w:ascii="Georgia" w:hAnsi="Georgia"/>
          <w:color w:val="231F20"/>
          <w:sz w:val="18"/>
        </w:rPr>
        <w:t>поликультурном</w:t>
      </w:r>
      <w:r>
        <w:rPr>
          <w:rFonts w:ascii="Georgia" w:hAnsi="Georgia"/>
          <w:color w:val="231F20"/>
          <w:spacing w:val="7"/>
          <w:sz w:val="18"/>
        </w:rPr>
        <w:t> </w:t>
      </w:r>
      <w:r>
        <w:rPr>
          <w:rFonts w:ascii="Georgia" w:hAnsi="Georgia"/>
          <w:color w:val="231F20"/>
          <w:spacing w:val="-2"/>
          <w:sz w:val="18"/>
        </w:rPr>
        <w:t>классе...</w:t>
      </w:r>
    </w:p>
    <w:p>
      <w:pPr>
        <w:spacing w:line="228" w:lineRule="exact" w:before="112"/>
        <w:ind w:left="425" w:right="0" w:firstLine="0"/>
        <w:jc w:val="both"/>
        <w:rPr>
          <w:i/>
          <w:sz w:val="20"/>
        </w:rPr>
      </w:pPr>
      <w:r>
        <w:rPr>
          <w:i/>
          <w:color w:val="231F20"/>
          <w:sz w:val="20"/>
        </w:rPr>
        <w:t>Игра </w:t>
      </w:r>
      <w:r>
        <w:rPr>
          <w:i/>
          <w:color w:val="231F20"/>
          <w:spacing w:val="-2"/>
          <w:sz w:val="20"/>
        </w:rPr>
        <w:t>«Мюнхгаузены»</w:t>
      </w:r>
    </w:p>
    <w:p>
      <w:pPr>
        <w:pStyle w:val="BodyText"/>
        <w:spacing w:line="235" w:lineRule="auto" w:before="2"/>
      </w:pPr>
      <w:r>
        <w:rPr>
          <w:color w:val="231F20"/>
        </w:rPr>
        <w:t>Каждая</w:t>
      </w:r>
      <w:r>
        <w:rPr>
          <w:color w:val="231F20"/>
          <w:spacing w:val="-13"/>
        </w:rPr>
        <w:t> </w:t>
      </w:r>
      <w:r>
        <w:rPr>
          <w:color w:val="231F20"/>
        </w:rPr>
        <w:t>группа</w:t>
      </w:r>
      <w:r>
        <w:rPr>
          <w:color w:val="231F20"/>
          <w:spacing w:val="-12"/>
        </w:rPr>
        <w:t> </w:t>
      </w:r>
      <w:r>
        <w:rPr>
          <w:color w:val="231F20"/>
        </w:rPr>
        <w:t>составляет</w:t>
      </w:r>
      <w:r>
        <w:rPr>
          <w:color w:val="231F20"/>
          <w:spacing w:val="-13"/>
        </w:rPr>
        <w:t> </w:t>
      </w:r>
      <w:r>
        <w:rPr>
          <w:color w:val="231F20"/>
        </w:rPr>
        <w:t>соседям</w:t>
      </w:r>
      <w:r>
        <w:rPr>
          <w:color w:val="231F20"/>
          <w:spacing w:val="-12"/>
        </w:rPr>
        <w:t> </w:t>
      </w:r>
      <w:r>
        <w:rPr>
          <w:color w:val="231F20"/>
        </w:rPr>
        <w:t>по</w:t>
      </w:r>
      <w:r>
        <w:rPr>
          <w:color w:val="231F20"/>
          <w:spacing w:val="-13"/>
        </w:rPr>
        <w:t> </w:t>
      </w:r>
      <w:r>
        <w:rPr>
          <w:color w:val="231F20"/>
        </w:rPr>
        <w:t>одному</w:t>
      </w:r>
      <w:r>
        <w:rPr>
          <w:color w:val="231F20"/>
          <w:spacing w:val="-12"/>
        </w:rPr>
        <w:t> </w:t>
      </w:r>
      <w:r>
        <w:rPr>
          <w:color w:val="231F20"/>
        </w:rPr>
        <w:t>примеру,</w:t>
      </w:r>
      <w:r>
        <w:rPr>
          <w:color w:val="231F20"/>
          <w:spacing w:val="-13"/>
        </w:rPr>
        <w:t> </w:t>
      </w:r>
      <w:r>
        <w:rPr>
          <w:color w:val="231F20"/>
        </w:rPr>
        <w:t>по</w:t>
      </w:r>
      <w:r>
        <w:rPr>
          <w:color w:val="231F20"/>
          <w:spacing w:val="-12"/>
        </w:rPr>
        <w:t> </w:t>
      </w:r>
      <w:r>
        <w:rPr>
          <w:color w:val="231F20"/>
        </w:rPr>
        <w:t>аналогии</w:t>
      </w:r>
      <w:r>
        <w:rPr>
          <w:color w:val="231F20"/>
          <w:spacing w:val="-13"/>
        </w:rPr>
        <w:t> </w:t>
      </w:r>
      <w:r>
        <w:rPr>
          <w:color w:val="231F20"/>
        </w:rPr>
        <w:t>с</w:t>
      </w:r>
      <w:r>
        <w:rPr>
          <w:color w:val="231F20"/>
          <w:spacing w:val="-12"/>
        </w:rPr>
        <w:t> </w:t>
      </w:r>
      <w:r>
        <w:rPr>
          <w:color w:val="231F20"/>
        </w:rPr>
        <w:t>рассмотрен- ным на уроке, с двумя ошибками в ответе, учителю сдается дешифратор. Соседняя группа исправляет ошибки красным цветом и сдает учителю. Отметка общая.</w:t>
      </w:r>
    </w:p>
    <w:p>
      <w:pPr>
        <w:spacing w:line="226" w:lineRule="exact" w:before="0"/>
        <w:ind w:left="425" w:right="0" w:firstLine="0"/>
        <w:jc w:val="left"/>
        <w:rPr>
          <w:i/>
          <w:sz w:val="20"/>
        </w:rPr>
      </w:pPr>
      <w:r>
        <w:rPr>
          <w:i/>
          <w:color w:val="231F20"/>
          <w:spacing w:val="-2"/>
          <w:sz w:val="20"/>
        </w:rPr>
        <w:t>Контроль</w:t>
      </w:r>
    </w:p>
    <w:p>
      <w:pPr>
        <w:pStyle w:val="BodyText"/>
        <w:spacing w:line="228" w:lineRule="exact"/>
        <w:ind w:left="425" w:right="0" w:firstLine="0"/>
        <w:jc w:val="left"/>
      </w:pPr>
      <w:r>
        <w:rPr>
          <w:color w:val="231F20"/>
        </w:rPr>
        <w:t>Индивидуальная</w:t>
      </w:r>
      <w:r>
        <w:rPr>
          <w:color w:val="231F20"/>
          <w:spacing w:val="-5"/>
        </w:rPr>
        <w:t> </w:t>
      </w:r>
      <w:r>
        <w:rPr>
          <w:color w:val="231F20"/>
        </w:rPr>
        <w:t>самостоятельная</w:t>
      </w:r>
      <w:r>
        <w:rPr>
          <w:color w:val="231F20"/>
          <w:spacing w:val="-2"/>
        </w:rPr>
        <w:t> </w:t>
      </w:r>
      <w:r>
        <w:rPr>
          <w:color w:val="231F20"/>
        </w:rPr>
        <w:t>работа.</w:t>
      </w:r>
      <w:r>
        <w:rPr>
          <w:color w:val="231F20"/>
          <w:spacing w:val="-3"/>
        </w:rPr>
        <w:t> </w:t>
      </w:r>
      <w:r>
        <w:rPr>
          <w:color w:val="231F20"/>
        </w:rPr>
        <w:t>Отметки</w:t>
      </w:r>
      <w:r>
        <w:rPr>
          <w:color w:val="231F20"/>
          <w:spacing w:val="-3"/>
        </w:rPr>
        <w:t> </w:t>
      </w:r>
      <w:r>
        <w:rPr>
          <w:color w:val="231F20"/>
        </w:rPr>
        <w:t>выставляет</w:t>
      </w:r>
      <w:r>
        <w:rPr>
          <w:color w:val="231F20"/>
          <w:spacing w:val="-2"/>
        </w:rPr>
        <w:t> учитель.</w:t>
      </w:r>
    </w:p>
    <w:p>
      <w:pPr>
        <w:spacing w:line="228" w:lineRule="exact" w:before="109"/>
        <w:ind w:left="425" w:right="0" w:firstLine="0"/>
        <w:jc w:val="left"/>
        <w:rPr>
          <w:b/>
          <w:i/>
          <w:sz w:val="20"/>
        </w:rPr>
      </w:pPr>
      <w:r>
        <w:rPr>
          <w:b/>
          <w:i/>
          <w:color w:val="231F20"/>
          <w:sz w:val="20"/>
        </w:rPr>
        <w:t>Подведение</w:t>
      </w:r>
      <w:r>
        <w:rPr>
          <w:b/>
          <w:i/>
          <w:color w:val="231F20"/>
          <w:spacing w:val="-11"/>
          <w:sz w:val="20"/>
        </w:rPr>
        <w:t> </w:t>
      </w:r>
      <w:r>
        <w:rPr>
          <w:b/>
          <w:i/>
          <w:color w:val="231F20"/>
          <w:spacing w:val="-2"/>
          <w:sz w:val="20"/>
        </w:rPr>
        <w:t>итогов</w:t>
      </w:r>
    </w:p>
    <w:p>
      <w:pPr>
        <w:pStyle w:val="BodyText"/>
        <w:spacing w:line="226" w:lineRule="exact"/>
        <w:ind w:left="425" w:right="0" w:firstLine="0"/>
        <w:jc w:val="left"/>
      </w:pPr>
      <w:r>
        <w:rPr>
          <w:color w:val="231F20"/>
        </w:rPr>
        <w:t>Чему </w:t>
      </w:r>
      <w:r>
        <w:rPr>
          <w:color w:val="231F20"/>
          <w:spacing w:val="-2"/>
        </w:rPr>
        <w:t>научились?</w:t>
      </w:r>
    </w:p>
    <w:p>
      <w:pPr>
        <w:pStyle w:val="BodyText"/>
        <w:spacing w:line="235" w:lineRule="auto" w:before="2"/>
        <w:ind w:right="0"/>
        <w:jc w:val="left"/>
      </w:pPr>
      <w:r>
        <w:rPr>
          <w:color w:val="231F20"/>
        </w:rPr>
        <w:t>Оценки</w:t>
      </w:r>
      <w:r>
        <w:rPr>
          <w:color w:val="231F20"/>
          <w:spacing w:val="-6"/>
        </w:rPr>
        <w:t> </w:t>
      </w:r>
      <w:r>
        <w:rPr>
          <w:color w:val="231F20"/>
        </w:rPr>
        <w:t>за</w:t>
      </w:r>
      <w:r>
        <w:rPr>
          <w:color w:val="231F20"/>
          <w:spacing w:val="-5"/>
        </w:rPr>
        <w:t> </w:t>
      </w:r>
      <w:r>
        <w:rPr>
          <w:color w:val="231F20"/>
        </w:rPr>
        <w:t>урок</w:t>
      </w:r>
      <w:r>
        <w:rPr>
          <w:color w:val="231F20"/>
          <w:spacing w:val="-5"/>
        </w:rPr>
        <w:t> </w:t>
      </w:r>
      <w:r>
        <w:rPr>
          <w:color w:val="231F20"/>
        </w:rPr>
        <w:t>по</w:t>
      </w:r>
      <w:r>
        <w:rPr>
          <w:color w:val="231F20"/>
          <w:spacing w:val="-5"/>
        </w:rPr>
        <w:t> </w:t>
      </w:r>
      <w:r>
        <w:rPr>
          <w:color w:val="231F20"/>
        </w:rPr>
        <w:t>маршрутным</w:t>
      </w:r>
      <w:r>
        <w:rPr>
          <w:color w:val="231F20"/>
          <w:spacing w:val="-5"/>
        </w:rPr>
        <w:t> </w:t>
      </w:r>
      <w:r>
        <w:rPr>
          <w:color w:val="231F20"/>
        </w:rPr>
        <w:t>листам.</w:t>
      </w:r>
      <w:r>
        <w:rPr>
          <w:color w:val="231F20"/>
          <w:spacing w:val="-5"/>
        </w:rPr>
        <w:t> </w:t>
      </w:r>
      <w:r>
        <w:rPr>
          <w:color w:val="231F20"/>
        </w:rPr>
        <w:t>Награждение</w:t>
      </w:r>
      <w:r>
        <w:rPr>
          <w:color w:val="231F20"/>
          <w:spacing w:val="-5"/>
        </w:rPr>
        <w:t> </w:t>
      </w:r>
      <w:r>
        <w:rPr>
          <w:color w:val="231F20"/>
        </w:rPr>
        <w:t>групп</w:t>
      </w:r>
      <w:r>
        <w:rPr>
          <w:color w:val="231F20"/>
          <w:spacing w:val="-6"/>
        </w:rPr>
        <w:t> </w:t>
      </w:r>
      <w:r>
        <w:rPr>
          <w:color w:val="231F20"/>
        </w:rPr>
        <w:t>переходящими</w:t>
      </w:r>
      <w:r>
        <w:rPr>
          <w:color w:val="231F20"/>
          <w:spacing w:val="-6"/>
        </w:rPr>
        <w:t> </w:t>
      </w:r>
      <w:r>
        <w:rPr>
          <w:color w:val="231F20"/>
        </w:rPr>
        <w:t>вым- пелами по номинациям:</w:t>
      </w:r>
    </w:p>
    <w:p>
      <w:pPr>
        <w:pStyle w:val="ListParagraph"/>
        <w:numPr>
          <w:ilvl w:val="0"/>
          <w:numId w:val="322"/>
        </w:numPr>
        <w:tabs>
          <w:tab w:pos="424" w:val="left" w:leader="none"/>
        </w:tabs>
        <w:spacing w:line="225" w:lineRule="exact" w:before="0" w:after="0"/>
        <w:ind w:left="424" w:right="0" w:hanging="283"/>
        <w:jc w:val="left"/>
        <w:rPr>
          <w:sz w:val="20"/>
        </w:rPr>
      </w:pPr>
      <w:r>
        <w:rPr>
          <w:color w:val="231F20"/>
          <w:sz w:val="20"/>
        </w:rPr>
        <w:t>самая</w:t>
      </w:r>
      <w:r>
        <w:rPr>
          <w:color w:val="231F20"/>
          <w:spacing w:val="1"/>
          <w:sz w:val="20"/>
        </w:rPr>
        <w:t> </w:t>
      </w:r>
      <w:r>
        <w:rPr>
          <w:color w:val="231F20"/>
          <w:sz w:val="20"/>
        </w:rPr>
        <w:t>быстрая</w:t>
      </w:r>
      <w:r>
        <w:rPr>
          <w:color w:val="231F20"/>
          <w:spacing w:val="1"/>
          <w:sz w:val="20"/>
        </w:rPr>
        <w:t> </w:t>
      </w:r>
      <w:r>
        <w:rPr>
          <w:color w:val="231F20"/>
          <w:spacing w:val="-2"/>
          <w:sz w:val="20"/>
        </w:rPr>
        <w:t>группа;</w:t>
      </w:r>
    </w:p>
    <w:p>
      <w:pPr>
        <w:pStyle w:val="ListParagraph"/>
        <w:numPr>
          <w:ilvl w:val="0"/>
          <w:numId w:val="322"/>
        </w:numPr>
        <w:tabs>
          <w:tab w:pos="424" w:val="left" w:leader="none"/>
        </w:tabs>
        <w:spacing w:line="226" w:lineRule="exact" w:before="0" w:after="0"/>
        <w:ind w:left="424" w:right="0" w:hanging="283"/>
        <w:jc w:val="left"/>
        <w:rPr>
          <w:sz w:val="20"/>
        </w:rPr>
      </w:pPr>
      <w:r>
        <w:rPr>
          <w:color w:val="231F20"/>
          <w:sz w:val="20"/>
        </w:rPr>
        <w:t>самая</w:t>
      </w:r>
      <w:r>
        <w:rPr>
          <w:color w:val="231F20"/>
          <w:spacing w:val="-2"/>
          <w:sz w:val="20"/>
        </w:rPr>
        <w:t> </w:t>
      </w:r>
      <w:r>
        <w:rPr>
          <w:color w:val="231F20"/>
          <w:sz w:val="20"/>
        </w:rPr>
        <w:t>активная</w:t>
      </w:r>
      <w:r>
        <w:rPr>
          <w:color w:val="231F20"/>
          <w:spacing w:val="-1"/>
          <w:sz w:val="20"/>
        </w:rPr>
        <w:t> </w:t>
      </w:r>
      <w:r>
        <w:rPr>
          <w:color w:val="231F20"/>
          <w:spacing w:val="-2"/>
          <w:sz w:val="20"/>
        </w:rPr>
        <w:t>группа;</w:t>
      </w:r>
    </w:p>
    <w:p>
      <w:pPr>
        <w:pStyle w:val="ListParagraph"/>
        <w:numPr>
          <w:ilvl w:val="0"/>
          <w:numId w:val="322"/>
        </w:numPr>
        <w:tabs>
          <w:tab w:pos="424" w:val="left" w:leader="none"/>
        </w:tabs>
        <w:spacing w:line="226" w:lineRule="exact" w:before="0" w:after="0"/>
        <w:ind w:left="424" w:right="0" w:hanging="283"/>
        <w:jc w:val="left"/>
        <w:rPr>
          <w:sz w:val="20"/>
        </w:rPr>
      </w:pPr>
      <w:r>
        <w:rPr>
          <w:color w:val="231F20"/>
          <w:sz w:val="20"/>
        </w:rPr>
        <w:t>самая</w:t>
      </w:r>
      <w:r>
        <w:rPr>
          <w:color w:val="231F20"/>
          <w:spacing w:val="-1"/>
          <w:sz w:val="20"/>
        </w:rPr>
        <w:t> </w:t>
      </w:r>
      <w:r>
        <w:rPr>
          <w:color w:val="231F20"/>
          <w:sz w:val="20"/>
        </w:rPr>
        <w:t>эмоциональная </w:t>
      </w:r>
      <w:r>
        <w:rPr>
          <w:color w:val="231F20"/>
          <w:spacing w:val="-2"/>
          <w:sz w:val="20"/>
        </w:rPr>
        <w:t>группа;</w:t>
      </w:r>
    </w:p>
    <w:p>
      <w:pPr>
        <w:pStyle w:val="ListParagraph"/>
        <w:numPr>
          <w:ilvl w:val="0"/>
          <w:numId w:val="322"/>
        </w:numPr>
        <w:tabs>
          <w:tab w:pos="424" w:val="left" w:leader="none"/>
        </w:tabs>
        <w:spacing w:line="228" w:lineRule="exact" w:before="0" w:after="0"/>
        <w:ind w:left="424" w:right="0" w:hanging="283"/>
        <w:jc w:val="left"/>
        <w:rPr>
          <w:sz w:val="20"/>
        </w:rPr>
      </w:pPr>
      <w:r>
        <w:rPr>
          <w:color w:val="231F20"/>
          <w:sz w:val="20"/>
        </w:rPr>
        <w:t>группа,</w:t>
      </w:r>
      <w:r>
        <w:rPr>
          <w:color w:val="231F20"/>
          <w:spacing w:val="-7"/>
          <w:sz w:val="20"/>
        </w:rPr>
        <w:t> </w:t>
      </w:r>
      <w:r>
        <w:rPr>
          <w:color w:val="231F20"/>
          <w:sz w:val="20"/>
        </w:rPr>
        <w:t>соблюдающая</w:t>
      </w:r>
      <w:r>
        <w:rPr>
          <w:color w:val="231F20"/>
          <w:spacing w:val="-5"/>
          <w:sz w:val="20"/>
        </w:rPr>
        <w:t> </w:t>
      </w:r>
      <w:r>
        <w:rPr>
          <w:color w:val="231F20"/>
          <w:sz w:val="20"/>
        </w:rPr>
        <w:t>правила</w:t>
      </w:r>
      <w:r>
        <w:rPr>
          <w:color w:val="231F20"/>
          <w:spacing w:val="-4"/>
          <w:sz w:val="20"/>
        </w:rPr>
        <w:t> </w:t>
      </w:r>
      <w:r>
        <w:rPr>
          <w:color w:val="231F20"/>
          <w:sz w:val="20"/>
        </w:rPr>
        <w:t>работы</w:t>
      </w:r>
      <w:r>
        <w:rPr>
          <w:color w:val="231F20"/>
          <w:spacing w:val="-5"/>
          <w:sz w:val="20"/>
        </w:rPr>
        <w:t> </w:t>
      </w:r>
      <w:r>
        <w:rPr>
          <w:color w:val="231F20"/>
          <w:sz w:val="20"/>
        </w:rPr>
        <w:t>в</w:t>
      </w:r>
      <w:r>
        <w:rPr>
          <w:color w:val="231F20"/>
          <w:spacing w:val="-5"/>
          <w:sz w:val="20"/>
        </w:rPr>
        <w:t> </w:t>
      </w:r>
      <w:r>
        <w:rPr>
          <w:color w:val="231F20"/>
          <w:spacing w:val="-2"/>
          <w:sz w:val="20"/>
        </w:rPr>
        <w:t>группе.</w:t>
      </w:r>
    </w:p>
    <w:p>
      <w:pPr>
        <w:pStyle w:val="ListParagraph"/>
        <w:spacing w:after="0" w:line="228" w:lineRule="exact"/>
        <w:jc w:val="left"/>
        <w:rPr>
          <w:sz w:val="20"/>
        </w:rPr>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spacing w:before="109"/>
        <w:ind w:left="6104" w:right="14" w:firstLine="0"/>
        <w:jc w:val="center"/>
        <w:rPr>
          <w:b/>
          <w:i/>
          <w:sz w:val="20"/>
        </w:rPr>
      </w:pPr>
      <w:r>
        <w:rPr>
          <w:b/>
          <w:i/>
          <w:color w:val="231F20"/>
          <w:spacing w:val="-2"/>
          <w:sz w:val="20"/>
        </w:rPr>
        <w:t>Приложения</w:t>
      </w:r>
    </w:p>
    <w:p>
      <w:pPr>
        <w:spacing w:before="109"/>
        <w:ind w:left="303" w:right="303" w:firstLine="0"/>
        <w:jc w:val="center"/>
        <w:rPr>
          <w:b/>
          <w:i/>
          <w:sz w:val="20"/>
        </w:rPr>
      </w:pPr>
      <w:r>
        <w:rPr>
          <w:b/>
          <w:i/>
          <w:color w:val="231F20"/>
          <w:sz w:val="20"/>
        </w:rPr>
        <w:t>Приложение</w:t>
      </w:r>
      <w:r>
        <w:rPr>
          <w:b/>
          <w:i/>
          <w:color w:val="231F20"/>
          <w:spacing w:val="-8"/>
          <w:sz w:val="20"/>
        </w:rPr>
        <w:t> </w:t>
      </w:r>
      <w:r>
        <w:rPr>
          <w:b/>
          <w:i/>
          <w:color w:val="231F20"/>
          <w:spacing w:val="-10"/>
          <w:sz w:val="20"/>
        </w:rPr>
        <w:t>1</w:t>
      </w:r>
    </w:p>
    <w:p>
      <w:pPr>
        <w:spacing w:line="235" w:lineRule="auto" w:before="57"/>
        <w:ind w:left="2142" w:right="875" w:hanging="1267"/>
        <w:jc w:val="both"/>
        <w:rPr>
          <w:b/>
          <w:sz w:val="20"/>
        </w:rPr>
      </w:pPr>
      <w:r>
        <w:rPr>
          <w:b/>
          <w:color w:val="231F20"/>
          <w:sz w:val="20"/>
        </w:rPr>
        <w:t>Вопросник</w:t>
      </w:r>
      <w:r>
        <w:rPr>
          <w:b/>
          <w:color w:val="231F20"/>
          <w:spacing w:val="-8"/>
          <w:sz w:val="20"/>
        </w:rPr>
        <w:t> </w:t>
      </w:r>
      <w:r>
        <w:rPr>
          <w:b/>
          <w:color w:val="231F20"/>
          <w:sz w:val="20"/>
        </w:rPr>
        <w:t>для</w:t>
      </w:r>
      <w:r>
        <w:rPr>
          <w:b/>
          <w:color w:val="231F20"/>
          <w:spacing w:val="-7"/>
          <w:sz w:val="20"/>
        </w:rPr>
        <w:t> </w:t>
      </w:r>
      <w:r>
        <w:rPr>
          <w:b/>
          <w:color w:val="231F20"/>
          <w:sz w:val="20"/>
        </w:rPr>
        <w:t>оценки</w:t>
      </w:r>
      <w:r>
        <w:rPr>
          <w:b/>
          <w:color w:val="231F20"/>
          <w:spacing w:val="-8"/>
          <w:sz w:val="20"/>
        </w:rPr>
        <w:t> </w:t>
      </w:r>
      <w:r>
        <w:rPr>
          <w:b/>
          <w:color w:val="231F20"/>
          <w:sz w:val="20"/>
        </w:rPr>
        <w:t>эффективности</w:t>
      </w:r>
      <w:r>
        <w:rPr>
          <w:b/>
          <w:color w:val="231F20"/>
          <w:spacing w:val="-8"/>
          <w:sz w:val="20"/>
        </w:rPr>
        <w:t> </w:t>
      </w:r>
      <w:r>
        <w:rPr>
          <w:b/>
          <w:color w:val="231F20"/>
          <w:sz w:val="20"/>
        </w:rPr>
        <w:t>групповой</w:t>
      </w:r>
      <w:r>
        <w:rPr>
          <w:b/>
          <w:color w:val="231F20"/>
          <w:spacing w:val="-8"/>
          <w:sz w:val="20"/>
        </w:rPr>
        <w:t> </w:t>
      </w:r>
      <w:r>
        <w:rPr>
          <w:b/>
          <w:color w:val="231F20"/>
          <w:sz w:val="20"/>
        </w:rPr>
        <w:t>деятельности учащихся в поликультурном классе</w:t>
      </w:r>
    </w:p>
    <w:p>
      <w:pPr>
        <w:pStyle w:val="BodyText"/>
        <w:spacing w:line="235" w:lineRule="auto" w:before="58"/>
      </w:pPr>
      <w:r>
        <w:rPr>
          <w:color w:val="231F20"/>
        </w:rPr>
        <w:t>После завершения цикла уроков, организованных с использованием техноло-</w:t>
      </w:r>
      <w:r>
        <w:rPr>
          <w:color w:val="231F20"/>
          <w:spacing w:val="80"/>
        </w:rPr>
        <w:t> </w:t>
      </w:r>
      <w:r>
        <w:rPr>
          <w:color w:val="231F20"/>
        </w:rPr>
        <w:t>гии обучения в сотрудничестве в поликультурных классах, учитель может провести опрос участников групп сотрудничества.</w:t>
      </w:r>
    </w:p>
    <w:p>
      <w:pPr>
        <w:tabs>
          <w:tab w:pos="1974" w:val="left" w:leader="none"/>
        </w:tabs>
        <w:spacing w:line="228" w:lineRule="exact" w:before="111"/>
        <w:ind w:left="425" w:right="0" w:firstLine="0"/>
        <w:jc w:val="both"/>
        <w:rPr>
          <w:sz w:val="20"/>
        </w:rPr>
      </w:pPr>
      <w:r>
        <w:rPr>
          <w:i/>
          <w:color w:val="231F20"/>
          <w:sz w:val="20"/>
        </w:rPr>
        <w:t>Ваше имя: </w:t>
      </w:r>
      <w:r>
        <w:rPr>
          <w:color w:val="231F20"/>
          <w:sz w:val="20"/>
          <w:u w:val="single" w:color="221E1F"/>
        </w:rPr>
        <w:tab/>
      </w:r>
    </w:p>
    <w:p>
      <w:pPr>
        <w:tabs>
          <w:tab w:pos="3459" w:val="left" w:leader="none"/>
        </w:tabs>
        <w:spacing w:line="226" w:lineRule="exact" w:before="0"/>
        <w:ind w:left="425" w:right="0" w:firstLine="0"/>
        <w:jc w:val="both"/>
        <w:rPr>
          <w:sz w:val="20"/>
        </w:rPr>
      </w:pPr>
      <w:r>
        <w:rPr>
          <w:i/>
          <w:color w:val="231F20"/>
          <w:sz w:val="20"/>
        </w:rPr>
        <w:t>В</w:t>
      </w:r>
      <w:r>
        <w:rPr>
          <w:i/>
          <w:color w:val="231F20"/>
          <w:spacing w:val="-3"/>
          <w:sz w:val="20"/>
        </w:rPr>
        <w:t> </w:t>
      </w:r>
      <w:r>
        <w:rPr>
          <w:i/>
          <w:color w:val="231F20"/>
          <w:sz w:val="20"/>
        </w:rPr>
        <w:t>каком</w:t>
      </w:r>
      <w:r>
        <w:rPr>
          <w:i/>
          <w:color w:val="231F20"/>
          <w:spacing w:val="-4"/>
          <w:sz w:val="20"/>
        </w:rPr>
        <w:t> </w:t>
      </w:r>
      <w:r>
        <w:rPr>
          <w:i/>
          <w:color w:val="231F20"/>
          <w:sz w:val="20"/>
        </w:rPr>
        <w:t>классе</w:t>
      </w:r>
      <w:r>
        <w:rPr>
          <w:i/>
          <w:color w:val="231F20"/>
          <w:spacing w:val="-3"/>
          <w:sz w:val="20"/>
        </w:rPr>
        <w:t> </w:t>
      </w:r>
      <w:r>
        <w:rPr>
          <w:i/>
          <w:color w:val="231F20"/>
          <w:sz w:val="20"/>
        </w:rPr>
        <w:t>вы</w:t>
      </w:r>
      <w:r>
        <w:rPr>
          <w:i/>
          <w:color w:val="231F20"/>
          <w:spacing w:val="-4"/>
          <w:sz w:val="20"/>
        </w:rPr>
        <w:t> </w:t>
      </w:r>
      <w:r>
        <w:rPr>
          <w:i/>
          <w:color w:val="231F20"/>
          <w:sz w:val="20"/>
        </w:rPr>
        <w:t>учитесь?</w:t>
      </w:r>
      <w:r>
        <w:rPr>
          <w:i/>
          <w:color w:val="231F20"/>
          <w:spacing w:val="-3"/>
          <w:sz w:val="20"/>
        </w:rPr>
        <w:t> </w:t>
      </w:r>
      <w:r>
        <w:rPr>
          <w:color w:val="231F20"/>
          <w:sz w:val="20"/>
          <w:u w:val="single" w:color="221E1F"/>
        </w:rPr>
        <w:tab/>
      </w:r>
    </w:p>
    <w:p>
      <w:pPr>
        <w:spacing w:line="235" w:lineRule="auto" w:before="2"/>
        <w:ind w:left="141" w:right="139" w:firstLine="283"/>
        <w:jc w:val="both"/>
        <w:rPr>
          <w:i/>
          <w:sz w:val="20"/>
        </w:rPr>
      </w:pPr>
      <w:r>
        <w:rPr>
          <w:i/>
          <w:color w:val="231F20"/>
          <w:sz w:val="20"/>
        </w:rPr>
        <w:t>Пожалуйста, выберите наиболее подходящий ответ и отметьте его в списке. </w:t>
      </w:r>
      <w:r>
        <w:rPr>
          <w:i/>
          <w:color w:val="231F20"/>
          <w:spacing w:val="-4"/>
          <w:sz w:val="20"/>
        </w:rPr>
        <w:t>Помните,</w:t>
      </w:r>
      <w:r>
        <w:rPr>
          <w:i/>
          <w:color w:val="231F20"/>
          <w:spacing w:val="-5"/>
          <w:sz w:val="20"/>
        </w:rPr>
        <w:t> </w:t>
      </w:r>
      <w:r>
        <w:rPr>
          <w:i/>
          <w:color w:val="231F20"/>
          <w:spacing w:val="-4"/>
          <w:sz w:val="20"/>
        </w:rPr>
        <w:t>что</w:t>
      </w:r>
      <w:r>
        <w:rPr>
          <w:i/>
          <w:color w:val="231F20"/>
          <w:spacing w:val="-5"/>
          <w:sz w:val="20"/>
        </w:rPr>
        <w:t> </w:t>
      </w:r>
      <w:r>
        <w:rPr>
          <w:i/>
          <w:color w:val="231F20"/>
          <w:spacing w:val="-4"/>
          <w:sz w:val="20"/>
        </w:rPr>
        <w:t>это</w:t>
      </w:r>
      <w:r>
        <w:rPr>
          <w:i/>
          <w:color w:val="231F20"/>
          <w:spacing w:val="-5"/>
          <w:sz w:val="20"/>
        </w:rPr>
        <w:t> </w:t>
      </w:r>
      <w:r>
        <w:rPr>
          <w:i/>
          <w:color w:val="231F20"/>
          <w:spacing w:val="-4"/>
          <w:sz w:val="20"/>
        </w:rPr>
        <w:t>не</w:t>
      </w:r>
      <w:r>
        <w:rPr>
          <w:i/>
          <w:color w:val="231F20"/>
          <w:spacing w:val="-5"/>
          <w:sz w:val="20"/>
        </w:rPr>
        <w:t> </w:t>
      </w:r>
      <w:r>
        <w:rPr>
          <w:i/>
          <w:color w:val="231F20"/>
          <w:spacing w:val="-4"/>
          <w:sz w:val="20"/>
        </w:rPr>
        <w:t>тест, поэтому</w:t>
      </w:r>
      <w:r>
        <w:rPr>
          <w:i/>
          <w:color w:val="231F20"/>
          <w:spacing w:val="-5"/>
          <w:sz w:val="20"/>
        </w:rPr>
        <w:t> </w:t>
      </w:r>
      <w:r>
        <w:rPr>
          <w:i/>
          <w:color w:val="231F20"/>
          <w:spacing w:val="-4"/>
          <w:sz w:val="20"/>
        </w:rPr>
        <w:t>здесь</w:t>
      </w:r>
      <w:r>
        <w:rPr>
          <w:i/>
          <w:color w:val="231F20"/>
          <w:spacing w:val="-5"/>
          <w:sz w:val="20"/>
        </w:rPr>
        <w:t> </w:t>
      </w:r>
      <w:r>
        <w:rPr>
          <w:i/>
          <w:color w:val="231F20"/>
          <w:spacing w:val="-4"/>
          <w:sz w:val="20"/>
        </w:rPr>
        <w:t>нет</w:t>
      </w:r>
      <w:r>
        <w:rPr>
          <w:i/>
          <w:color w:val="231F20"/>
          <w:spacing w:val="-5"/>
          <w:sz w:val="20"/>
        </w:rPr>
        <w:t> </w:t>
      </w:r>
      <w:r>
        <w:rPr>
          <w:i/>
          <w:color w:val="231F20"/>
          <w:spacing w:val="-4"/>
          <w:sz w:val="20"/>
        </w:rPr>
        <w:t>правильных или</w:t>
      </w:r>
      <w:r>
        <w:rPr>
          <w:i/>
          <w:color w:val="231F20"/>
          <w:spacing w:val="-5"/>
          <w:sz w:val="20"/>
        </w:rPr>
        <w:t> </w:t>
      </w:r>
      <w:r>
        <w:rPr>
          <w:i/>
          <w:color w:val="231F20"/>
          <w:spacing w:val="-4"/>
          <w:sz w:val="20"/>
        </w:rPr>
        <w:t>неправильных</w:t>
      </w:r>
      <w:r>
        <w:rPr>
          <w:i/>
          <w:color w:val="231F20"/>
          <w:spacing w:val="-5"/>
          <w:sz w:val="20"/>
        </w:rPr>
        <w:t> </w:t>
      </w:r>
      <w:r>
        <w:rPr>
          <w:i/>
          <w:color w:val="231F20"/>
          <w:spacing w:val="-4"/>
          <w:sz w:val="20"/>
        </w:rPr>
        <w:t>ответов.</w:t>
      </w:r>
    </w:p>
    <w:p>
      <w:pPr>
        <w:spacing w:line="228" w:lineRule="exact" w:before="54"/>
        <w:ind w:left="425" w:right="0" w:firstLine="0"/>
        <w:jc w:val="both"/>
        <w:rPr>
          <w:b/>
          <w:i/>
          <w:sz w:val="20"/>
        </w:rPr>
      </w:pPr>
      <w:r>
        <w:rPr>
          <w:b/>
          <w:i/>
          <w:color w:val="231F20"/>
          <w:spacing w:val="-2"/>
          <w:sz w:val="20"/>
        </w:rPr>
        <w:t>Раздел</w:t>
      </w:r>
      <w:r>
        <w:rPr>
          <w:b/>
          <w:i/>
          <w:color w:val="231F20"/>
          <w:spacing w:val="-6"/>
          <w:sz w:val="20"/>
        </w:rPr>
        <w:t> </w:t>
      </w:r>
      <w:r>
        <w:rPr>
          <w:b/>
          <w:i/>
          <w:color w:val="231F20"/>
          <w:spacing w:val="-10"/>
          <w:sz w:val="20"/>
        </w:rPr>
        <w:t>1</w:t>
      </w:r>
    </w:p>
    <w:p>
      <w:pPr>
        <w:pStyle w:val="ListParagraph"/>
        <w:numPr>
          <w:ilvl w:val="0"/>
          <w:numId w:val="323"/>
        </w:numPr>
        <w:tabs>
          <w:tab w:pos="424" w:val="left" w:leader="none"/>
        </w:tabs>
        <w:spacing w:line="226" w:lineRule="exact" w:before="0" w:after="0"/>
        <w:ind w:left="424" w:right="0" w:hanging="283"/>
        <w:jc w:val="both"/>
        <w:rPr>
          <w:sz w:val="20"/>
        </w:rPr>
      </w:pPr>
      <w:r>
        <w:rPr>
          <w:color w:val="231F20"/>
          <w:sz w:val="20"/>
        </w:rPr>
        <w:t>Понравилась</w:t>
      </w:r>
      <w:r>
        <w:rPr>
          <w:color w:val="231F20"/>
          <w:spacing w:val="-6"/>
          <w:sz w:val="20"/>
        </w:rPr>
        <w:t> </w:t>
      </w:r>
      <w:r>
        <w:rPr>
          <w:color w:val="231F20"/>
          <w:sz w:val="20"/>
        </w:rPr>
        <w:t>ли</w:t>
      </w:r>
      <w:r>
        <w:rPr>
          <w:color w:val="231F20"/>
          <w:spacing w:val="-5"/>
          <w:sz w:val="20"/>
        </w:rPr>
        <w:t> </w:t>
      </w:r>
      <w:r>
        <w:rPr>
          <w:color w:val="231F20"/>
          <w:sz w:val="20"/>
        </w:rPr>
        <w:t>тебе</w:t>
      </w:r>
      <w:r>
        <w:rPr>
          <w:color w:val="231F20"/>
          <w:spacing w:val="-5"/>
          <w:sz w:val="20"/>
        </w:rPr>
        <w:t> </w:t>
      </w:r>
      <w:r>
        <w:rPr>
          <w:color w:val="231F20"/>
          <w:sz w:val="20"/>
        </w:rPr>
        <w:t>работать</w:t>
      </w:r>
      <w:r>
        <w:rPr>
          <w:color w:val="231F20"/>
          <w:spacing w:val="-5"/>
          <w:sz w:val="20"/>
        </w:rPr>
        <w:t> </w:t>
      </w:r>
      <w:r>
        <w:rPr>
          <w:color w:val="231F20"/>
          <w:sz w:val="20"/>
        </w:rPr>
        <w:t>в</w:t>
      </w:r>
      <w:r>
        <w:rPr>
          <w:color w:val="231F20"/>
          <w:spacing w:val="-5"/>
          <w:sz w:val="20"/>
        </w:rPr>
        <w:t> </w:t>
      </w:r>
      <w:r>
        <w:rPr>
          <w:color w:val="231F20"/>
          <w:spacing w:val="-2"/>
          <w:sz w:val="20"/>
        </w:rPr>
        <w:t>группе?</w:t>
      </w:r>
    </w:p>
    <w:p>
      <w:pPr>
        <w:pStyle w:val="ListParagraph"/>
        <w:numPr>
          <w:ilvl w:val="1"/>
          <w:numId w:val="323"/>
        </w:numPr>
        <w:tabs>
          <w:tab w:pos="707" w:val="left" w:leader="none"/>
        </w:tabs>
        <w:spacing w:line="226" w:lineRule="exact" w:before="0" w:after="0"/>
        <w:ind w:left="707" w:right="0" w:hanging="282"/>
        <w:jc w:val="left"/>
        <w:rPr>
          <w:sz w:val="20"/>
        </w:rPr>
      </w:pPr>
      <w:r>
        <w:rPr>
          <w:color w:val="231F20"/>
          <w:sz w:val="20"/>
        </w:rPr>
        <w:t>Мне</w:t>
      </w:r>
      <w:r>
        <w:rPr>
          <w:color w:val="231F20"/>
          <w:spacing w:val="-4"/>
          <w:sz w:val="20"/>
        </w:rPr>
        <w:t> </w:t>
      </w:r>
      <w:r>
        <w:rPr>
          <w:color w:val="231F20"/>
          <w:sz w:val="20"/>
        </w:rPr>
        <w:t>было</w:t>
      </w:r>
      <w:r>
        <w:rPr>
          <w:color w:val="231F20"/>
          <w:spacing w:val="-3"/>
          <w:sz w:val="20"/>
        </w:rPr>
        <w:t> </w:t>
      </w:r>
      <w:r>
        <w:rPr>
          <w:color w:val="231F20"/>
          <w:sz w:val="20"/>
        </w:rPr>
        <w:t>очень</w:t>
      </w:r>
      <w:r>
        <w:rPr>
          <w:color w:val="231F20"/>
          <w:spacing w:val="-3"/>
          <w:sz w:val="20"/>
        </w:rPr>
        <w:t> </w:t>
      </w:r>
      <w:r>
        <w:rPr>
          <w:color w:val="231F20"/>
          <w:spacing w:val="-2"/>
          <w:sz w:val="20"/>
        </w:rPr>
        <w:t>интересно</w:t>
      </w:r>
    </w:p>
    <w:p>
      <w:pPr>
        <w:pStyle w:val="ListParagraph"/>
        <w:numPr>
          <w:ilvl w:val="1"/>
          <w:numId w:val="323"/>
        </w:numPr>
        <w:tabs>
          <w:tab w:pos="708" w:val="left" w:leader="none"/>
        </w:tabs>
        <w:spacing w:line="226" w:lineRule="exact" w:before="0" w:after="0"/>
        <w:ind w:left="708" w:right="0" w:hanging="283"/>
        <w:jc w:val="left"/>
        <w:rPr>
          <w:sz w:val="20"/>
        </w:rPr>
      </w:pPr>
      <w:r>
        <w:rPr>
          <w:color w:val="231F20"/>
          <w:sz w:val="20"/>
        </w:rPr>
        <w:t>Было</w:t>
      </w:r>
      <w:r>
        <w:rPr>
          <w:color w:val="231F20"/>
          <w:spacing w:val="-4"/>
          <w:sz w:val="20"/>
        </w:rPr>
        <w:t> </w:t>
      </w:r>
      <w:r>
        <w:rPr>
          <w:color w:val="231F20"/>
          <w:sz w:val="20"/>
        </w:rPr>
        <w:t>более-менее</w:t>
      </w:r>
      <w:r>
        <w:rPr>
          <w:color w:val="231F20"/>
          <w:spacing w:val="-1"/>
          <w:sz w:val="20"/>
        </w:rPr>
        <w:t> </w:t>
      </w:r>
      <w:r>
        <w:rPr>
          <w:color w:val="231F20"/>
          <w:spacing w:val="-2"/>
          <w:sz w:val="20"/>
        </w:rPr>
        <w:t>интересно</w:t>
      </w:r>
    </w:p>
    <w:p>
      <w:pPr>
        <w:pStyle w:val="ListParagraph"/>
        <w:numPr>
          <w:ilvl w:val="1"/>
          <w:numId w:val="323"/>
        </w:numPr>
        <w:tabs>
          <w:tab w:pos="707" w:val="left" w:leader="none"/>
        </w:tabs>
        <w:spacing w:line="226" w:lineRule="exact" w:before="0" w:after="0"/>
        <w:ind w:left="707" w:right="0" w:hanging="282"/>
        <w:jc w:val="left"/>
        <w:rPr>
          <w:sz w:val="20"/>
        </w:rPr>
      </w:pPr>
      <w:r>
        <w:rPr>
          <w:color w:val="231F20"/>
          <w:sz w:val="20"/>
        </w:rPr>
        <w:t>Кое-что</w:t>
      </w:r>
      <w:r>
        <w:rPr>
          <w:color w:val="231F20"/>
          <w:spacing w:val="-6"/>
          <w:sz w:val="20"/>
        </w:rPr>
        <w:t> </w:t>
      </w:r>
      <w:r>
        <w:rPr>
          <w:color w:val="231F20"/>
          <w:sz w:val="20"/>
        </w:rPr>
        <w:t>было</w:t>
      </w:r>
      <w:r>
        <w:rPr>
          <w:color w:val="231F20"/>
          <w:spacing w:val="-5"/>
          <w:sz w:val="20"/>
        </w:rPr>
        <w:t> </w:t>
      </w:r>
      <w:r>
        <w:rPr>
          <w:color w:val="231F20"/>
          <w:spacing w:val="-2"/>
          <w:sz w:val="20"/>
        </w:rPr>
        <w:t>интересно</w:t>
      </w:r>
    </w:p>
    <w:p>
      <w:pPr>
        <w:pStyle w:val="ListParagraph"/>
        <w:numPr>
          <w:ilvl w:val="1"/>
          <w:numId w:val="323"/>
        </w:numPr>
        <w:tabs>
          <w:tab w:pos="708" w:val="left" w:leader="none"/>
        </w:tabs>
        <w:spacing w:line="226" w:lineRule="exact" w:before="0" w:after="0"/>
        <w:ind w:left="708" w:right="0" w:hanging="283"/>
        <w:jc w:val="left"/>
        <w:rPr>
          <w:sz w:val="20"/>
        </w:rPr>
      </w:pPr>
      <w:r>
        <w:rPr>
          <w:color w:val="231F20"/>
          <w:sz w:val="20"/>
        </w:rPr>
        <w:t>Было</w:t>
      </w:r>
      <w:r>
        <w:rPr>
          <w:color w:val="231F20"/>
          <w:spacing w:val="-4"/>
          <w:sz w:val="20"/>
        </w:rPr>
        <w:t> </w:t>
      </w:r>
      <w:r>
        <w:rPr>
          <w:color w:val="231F20"/>
          <w:sz w:val="20"/>
        </w:rPr>
        <w:t>не</w:t>
      </w:r>
      <w:r>
        <w:rPr>
          <w:color w:val="231F20"/>
          <w:spacing w:val="-3"/>
          <w:sz w:val="20"/>
        </w:rPr>
        <w:t> </w:t>
      </w:r>
      <w:r>
        <w:rPr>
          <w:color w:val="231F20"/>
          <w:sz w:val="20"/>
        </w:rPr>
        <w:t>очень</w:t>
      </w:r>
      <w:r>
        <w:rPr>
          <w:color w:val="231F20"/>
          <w:spacing w:val="-3"/>
          <w:sz w:val="20"/>
        </w:rPr>
        <w:t> </w:t>
      </w:r>
      <w:r>
        <w:rPr>
          <w:color w:val="231F20"/>
          <w:spacing w:val="-2"/>
          <w:sz w:val="20"/>
        </w:rPr>
        <w:t>интересно</w:t>
      </w:r>
    </w:p>
    <w:p>
      <w:pPr>
        <w:pStyle w:val="ListParagraph"/>
        <w:numPr>
          <w:ilvl w:val="1"/>
          <w:numId w:val="323"/>
        </w:numPr>
        <w:tabs>
          <w:tab w:pos="707" w:val="left" w:leader="none"/>
        </w:tabs>
        <w:spacing w:line="226" w:lineRule="exact" w:before="0" w:after="0"/>
        <w:ind w:left="707" w:right="0" w:hanging="282"/>
        <w:jc w:val="left"/>
        <w:rPr>
          <w:sz w:val="20"/>
        </w:rPr>
      </w:pPr>
      <w:r>
        <w:rPr>
          <w:color w:val="231F20"/>
          <w:sz w:val="20"/>
        </w:rPr>
        <w:t>Мне вообще</w:t>
      </w:r>
      <w:r>
        <w:rPr>
          <w:color w:val="231F20"/>
          <w:spacing w:val="1"/>
          <w:sz w:val="20"/>
        </w:rPr>
        <w:t> </w:t>
      </w:r>
      <w:r>
        <w:rPr>
          <w:color w:val="231F20"/>
          <w:sz w:val="20"/>
        </w:rPr>
        <w:t>не</w:t>
      </w:r>
      <w:r>
        <w:rPr>
          <w:color w:val="231F20"/>
          <w:spacing w:val="1"/>
          <w:sz w:val="20"/>
        </w:rPr>
        <w:t> </w:t>
      </w:r>
      <w:r>
        <w:rPr>
          <w:color w:val="231F20"/>
          <w:sz w:val="20"/>
        </w:rPr>
        <w:t>понравилось так</w:t>
      </w:r>
      <w:r>
        <w:rPr>
          <w:color w:val="231F20"/>
          <w:spacing w:val="1"/>
          <w:sz w:val="20"/>
        </w:rPr>
        <w:t> </w:t>
      </w:r>
      <w:r>
        <w:rPr>
          <w:color w:val="231F20"/>
          <w:spacing w:val="-2"/>
          <w:sz w:val="20"/>
        </w:rPr>
        <w:t>работать</w:t>
      </w:r>
    </w:p>
    <w:p>
      <w:pPr>
        <w:pStyle w:val="ListParagraph"/>
        <w:numPr>
          <w:ilvl w:val="0"/>
          <w:numId w:val="323"/>
        </w:numPr>
        <w:tabs>
          <w:tab w:pos="424" w:val="left" w:leader="none"/>
        </w:tabs>
        <w:spacing w:line="224" w:lineRule="exact" w:before="0" w:after="0"/>
        <w:ind w:left="424" w:right="0" w:hanging="283"/>
        <w:jc w:val="left"/>
        <w:rPr>
          <w:sz w:val="20"/>
        </w:rPr>
      </w:pPr>
      <w:r>
        <w:rPr>
          <w:color w:val="231F20"/>
          <w:sz w:val="20"/>
        </w:rPr>
        <w:t>Насколько</w:t>
      </w:r>
      <w:r>
        <w:rPr>
          <w:color w:val="231F20"/>
          <w:spacing w:val="-9"/>
          <w:sz w:val="20"/>
        </w:rPr>
        <w:t> </w:t>
      </w:r>
      <w:r>
        <w:rPr>
          <w:color w:val="231F20"/>
          <w:sz w:val="20"/>
        </w:rPr>
        <w:t>сложно</w:t>
      </w:r>
      <w:r>
        <w:rPr>
          <w:color w:val="231F20"/>
          <w:spacing w:val="-7"/>
          <w:sz w:val="20"/>
        </w:rPr>
        <w:t> </w:t>
      </w:r>
      <w:r>
        <w:rPr>
          <w:color w:val="231F20"/>
          <w:sz w:val="20"/>
        </w:rPr>
        <w:t>тебе</w:t>
      </w:r>
      <w:r>
        <w:rPr>
          <w:color w:val="231F20"/>
          <w:spacing w:val="-7"/>
          <w:sz w:val="20"/>
        </w:rPr>
        <w:t> </w:t>
      </w:r>
      <w:r>
        <w:rPr>
          <w:color w:val="231F20"/>
          <w:sz w:val="20"/>
        </w:rPr>
        <w:t>было</w:t>
      </w:r>
      <w:r>
        <w:rPr>
          <w:color w:val="231F20"/>
          <w:spacing w:val="-7"/>
          <w:sz w:val="20"/>
        </w:rPr>
        <w:t> </w:t>
      </w:r>
      <w:r>
        <w:rPr>
          <w:color w:val="231F20"/>
          <w:sz w:val="20"/>
        </w:rPr>
        <w:t>работать</w:t>
      </w:r>
      <w:r>
        <w:rPr>
          <w:color w:val="231F20"/>
          <w:spacing w:val="-8"/>
          <w:sz w:val="20"/>
        </w:rPr>
        <w:t> </w:t>
      </w:r>
      <w:r>
        <w:rPr>
          <w:color w:val="231F20"/>
          <w:sz w:val="20"/>
        </w:rPr>
        <w:t>в</w:t>
      </w:r>
      <w:r>
        <w:rPr>
          <w:color w:val="231F20"/>
          <w:spacing w:val="-7"/>
          <w:sz w:val="20"/>
        </w:rPr>
        <w:t> </w:t>
      </w:r>
      <w:r>
        <w:rPr>
          <w:color w:val="231F20"/>
          <w:spacing w:val="-2"/>
          <w:sz w:val="20"/>
        </w:rPr>
        <w:t>группе?</w:t>
      </w:r>
    </w:p>
    <w:p>
      <w:pPr>
        <w:pStyle w:val="ListParagraph"/>
        <w:numPr>
          <w:ilvl w:val="1"/>
          <w:numId w:val="323"/>
        </w:numPr>
        <w:tabs>
          <w:tab w:pos="707" w:val="left" w:leader="none"/>
        </w:tabs>
        <w:spacing w:line="222" w:lineRule="exact" w:before="0" w:after="0"/>
        <w:ind w:left="707" w:right="0" w:hanging="282"/>
        <w:jc w:val="left"/>
        <w:rPr>
          <w:sz w:val="20"/>
        </w:rPr>
      </w:pPr>
      <w:r>
        <w:rPr>
          <w:color w:val="231F20"/>
          <w:sz w:val="20"/>
        </w:rPr>
        <w:t>Очень</w:t>
      </w:r>
      <w:r>
        <w:rPr>
          <w:color w:val="231F20"/>
          <w:spacing w:val="-7"/>
          <w:sz w:val="20"/>
        </w:rPr>
        <w:t> </w:t>
      </w:r>
      <w:r>
        <w:rPr>
          <w:color w:val="231F20"/>
          <w:spacing w:val="-2"/>
          <w:sz w:val="20"/>
        </w:rPr>
        <w:t>сложно</w:t>
      </w:r>
    </w:p>
    <w:p>
      <w:pPr>
        <w:pStyle w:val="ListParagraph"/>
        <w:numPr>
          <w:ilvl w:val="1"/>
          <w:numId w:val="323"/>
        </w:numPr>
        <w:tabs>
          <w:tab w:pos="708" w:val="left" w:leader="none"/>
        </w:tabs>
        <w:spacing w:line="222" w:lineRule="exact" w:before="0" w:after="0"/>
        <w:ind w:left="708" w:right="0" w:hanging="283"/>
        <w:jc w:val="left"/>
        <w:rPr>
          <w:sz w:val="20"/>
        </w:rPr>
      </w:pPr>
      <w:r>
        <w:rPr>
          <w:color w:val="231F20"/>
          <w:sz w:val="20"/>
        </w:rPr>
        <w:t>Более-менее</w:t>
      </w:r>
      <w:r>
        <w:rPr>
          <w:color w:val="231F20"/>
          <w:spacing w:val="-3"/>
          <w:sz w:val="20"/>
        </w:rPr>
        <w:t> </w:t>
      </w:r>
      <w:r>
        <w:rPr>
          <w:color w:val="231F20"/>
          <w:spacing w:val="-2"/>
          <w:sz w:val="20"/>
        </w:rPr>
        <w:t>сложно</w:t>
      </w:r>
    </w:p>
    <w:p>
      <w:pPr>
        <w:pStyle w:val="ListParagraph"/>
        <w:numPr>
          <w:ilvl w:val="1"/>
          <w:numId w:val="323"/>
        </w:numPr>
        <w:tabs>
          <w:tab w:pos="707" w:val="left" w:leader="none"/>
        </w:tabs>
        <w:spacing w:line="222" w:lineRule="exact" w:before="0" w:after="0"/>
        <w:ind w:left="707" w:right="0" w:hanging="282"/>
        <w:jc w:val="left"/>
        <w:rPr>
          <w:sz w:val="20"/>
        </w:rPr>
      </w:pPr>
      <w:r>
        <w:rPr>
          <w:color w:val="231F20"/>
          <w:sz w:val="20"/>
        </w:rPr>
        <w:t>Некоторые</w:t>
      </w:r>
      <w:r>
        <w:rPr>
          <w:color w:val="231F20"/>
          <w:spacing w:val="-9"/>
          <w:sz w:val="20"/>
        </w:rPr>
        <w:t> </w:t>
      </w:r>
      <w:r>
        <w:rPr>
          <w:color w:val="231F20"/>
          <w:sz w:val="20"/>
        </w:rPr>
        <w:t>вещи</w:t>
      </w:r>
      <w:r>
        <w:rPr>
          <w:color w:val="231F20"/>
          <w:spacing w:val="-9"/>
          <w:sz w:val="20"/>
        </w:rPr>
        <w:t> </w:t>
      </w:r>
      <w:r>
        <w:rPr>
          <w:color w:val="231F20"/>
          <w:sz w:val="20"/>
        </w:rPr>
        <w:t>были</w:t>
      </w:r>
      <w:r>
        <w:rPr>
          <w:color w:val="231F20"/>
          <w:spacing w:val="-8"/>
          <w:sz w:val="20"/>
        </w:rPr>
        <w:t> </w:t>
      </w:r>
      <w:r>
        <w:rPr>
          <w:color w:val="231F20"/>
          <w:spacing w:val="-2"/>
          <w:sz w:val="20"/>
        </w:rPr>
        <w:t>сложные</w:t>
      </w:r>
    </w:p>
    <w:p>
      <w:pPr>
        <w:pStyle w:val="ListParagraph"/>
        <w:numPr>
          <w:ilvl w:val="1"/>
          <w:numId w:val="323"/>
        </w:numPr>
        <w:tabs>
          <w:tab w:pos="708" w:val="left" w:leader="none"/>
        </w:tabs>
        <w:spacing w:line="222" w:lineRule="exact" w:before="0" w:after="0"/>
        <w:ind w:left="708" w:right="0" w:hanging="283"/>
        <w:jc w:val="left"/>
        <w:rPr>
          <w:sz w:val="20"/>
        </w:rPr>
      </w:pPr>
      <w:r>
        <w:rPr>
          <w:color w:val="231F20"/>
          <w:sz w:val="20"/>
        </w:rPr>
        <w:t>Совсем</w:t>
      </w:r>
      <w:r>
        <w:rPr>
          <w:color w:val="231F20"/>
          <w:spacing w:val="-1"/>
          <w:sz w:val="20"/>
        </w:rPr>
        <w:t> </w:t>
      </w:r>
      <w:r>
        <w:rPr>
          <w:color w:val="231F20"/>
          <w:sz w:val="20"/>
        </w:rPr>
        <w:t>не</w:t>
      </w:r>
      <w:r>
        <w:rPr>
          <w:color w:val="231F20"/>
          <w:spacing w:val="-1"/>
          <w:sz w:val="20"/>
        </w:rPr>
        <w:t> </w:t>
      </w:r>
      <w:r>
        <w:rPr>
          <w:color w:val="231F20"/>
          <w:spacing w:val="-2"/>
          <w:sz w:val="20"/>
        </w:rPr>
        <w:t>сложно</w:t>
      </w:r>
    </w:p>
    <w:p>
      <w:pPr>
        <w:pStyle w:val="ListParagraph"/>
        <w:numPr>
          <w:ilvl w:val="1"/>
          <w:numId w:val="323"/>
        </w:numPr>
        <w:tabs>
          <w:tab w:pos="707" w:val="left" w:leader="none"/>
        </w:tabs>
        <w:spacing w:line="222" w:lineRule="exact" w:before="0" w:after="0"/>
        <w:ind w:left="707" w:right="0" w:hanging="282"/>
        <w:jc w:val="left"/>
        <w:rPr>
          <w:sz w:val="20"/>
        </w:rPr>
      </w:pPr>
      <w:r>
        <w:rPr>
          <w:color w:val="231F20"/>
          <w:sz w:val="20"/>
        </w:rPr>
        <w:t>Очень</w:t>
      </w:r>
      <w:r>
        <w:rPr>
          <w:color w:val="231F20"/>
          <w:spacing w:val="-5"/>
          <w:sz w:val="20"/>
        </w:rPr>
        <w:t> </w:t>
      </w:r>
      <w:r>
        <w:rPr>
          <w:color w:val="231F20"/>
          <w:spacing w:val="-2"/>
          <w:sz w:val="20"/>
        </w:rPr>
        <w:t>легко</w:t>
      </w:r>
    </w:p>
    <w:p>
      <w:pPr>
        <w:pStyle w:val="ListParagraph"/>
        <w:numPr>
          <w:ilvl w:val="0"/>
          <w:numId w:val="323"/>
        </w:numPr>
        <w:tabs>
          <w:tab w:pos="424" w:val="left" w:leader="none"/>
        </w:tabs>
        <w:spacing w:line="222" w:lineRule="exact" w:before="0" w:after="0"/>
        <w:ind w:left="424" w:right="0" w:hanging="283"/>
        <w:jc w:val="left"/>
        <w:rPr>
          <w:sz w:val="20"/>
        </w:rPr>
      </w:pPr>
      <w:r>
        <w:rPr>
          <w:color w:val="231F20"/>
          <w:sz w:val="20"/>
        </w:rPr>
        <w:t>Ты</w:t>
      </w:r>
      <w:r>
        <w:rPr>
          <w:color w:val="231F20"/>
          <w:spacing w:val="-4"/>
          <w:sz w:val="20"/>
        </w:rPr>
        <w:t> </w:t>
      </w:r>
      <w:r>
        <w:rPr>
          <w:color w:val="231F20"/>
          <w:sz w:val="20"/>
        </w:rPr>
        <w:t>понимал,</w:t>
      </w:r>
      <w:r>
        <w:rPr>
          <w:color w:val="231F20"/>
          <w:spacing w:val="-3"/>
          <w:sz w:val="20"/>
        </w:rPr>
        <w:t> </w:t>
      </w:r>
      <w:r>
        <w:rPr>
          <w:color w:val="231F20"/>
          <w:sz w:val="20"/>
        </w:rPr>
        <w:t>чем</w:t>
      </w:r>
      <w:r>
        <w:rPr>
          <w:color w:val="231F20"/>
          <w:spacing w:val="-3"/>
          <w:sz w:val="20"/>
        </w:rPr>
        <w:t> </w:t>
      </w:r>
      <w:r>
        <w:rPr>
          <w:color w:val="231F20"/>
          <w:sz w:val="20"/>
        </w:rPr>
        <w:t>именно</w:t>
      </w:r>
      <w:r>
        <w:rPr>
          <w:color w:val="231F20"/>
          <w:spacing w:val="-3"/>
          <w:sz w:val="20"/>
        </w:rPr>
        <w:t> </w:t>
      </w:r>
      <w:r>
        <w:rPr>
          <w:color w:val="231F20"/>
          <w:sz w:val="20"/>
        </w:rPr>
        <w:t>занималась</w:t>
      </w:r>
      <w:r>
        <w:rPr>
          <w:color w:val="231F20"/>
          <w:spacing w:val="-3"/>
          <w:sz w:val="20"/>
        </w:rPr>
        <w:t> </w:t>
      </w:r>
      <w:r>
        <w:rPr>
          <w:color w:val="231F20"/>
          <w:sz w:val="20"/>
        </w:rPr>
        <w:t>ваша</w:t>
      </w:r>
      <w:r>
        <w:rPr>
          <w:color w:val="231F20"/>
          <w:spacing w:val="-3"/>
          <w:sz w:val="20"/>
        </w:rPr>
        <w:t> </w:t>
      </w:r>
      <w:r>
        <w:rPr>
          <w:color w:val="231F20"/>
          <w:spacing w:val="-2"/>
          <w:sz w:val="20"/>
        </w:rPr>
        <w:t>группа?</w:t>
      </w:r>
    </w:p>
    <w:p>
      <w:pPr>
        <w:pStyle w:val="ListParagraph"/>
        <w:numPr>
          <w:ilvl w:val="1"/>
          <w:numId w:val="323"/>
        </w:numPr>
        <w:tabs>
          <w:tab w:pos="707" w:val="left" w:leader="none"/>
        </w:tabs>
        <w:spacing w:line="222" w:lineRule="exact" w:before="0" w:after="0"/>
        <w:ind w:left="707" w:right="0" w:hanging="282"/>
        <w:jc w:val="left"/>
        <w:rPr>
          <w:sz w:val="20"/>
        </w:rPr>
      </w:pPr>
      <w:r>
        <w:rPr>
          <w:color w:val="231F20"/>
          <w:sz w:val="20"/>
        </w:rPr>
        <w:t>Я</w:t>
      </w:r>
      <w:r>
        <w:rPr>
          <w:color w:val="231F20"/>
          <w:spacing w:val="-4"/>
          <w:sz w:val="20"/>
        </w:rPr>
        <w:t> </w:t>
      </w:r>
      <w:r>
        <w:rPr>
          <w:color w:val="231F20"/>
          <w:sz w:val="20"/>
        </w:rPr>
        <w:t>понимал</w:t>
      </w:r>
      <w:r>
        <w:rPr>
          <w:color w:val="231F20"/>
          <w:spacing w:val="-4"/>
          <w:sz w:val="20"/>
        </w:rPr>
        <w:t> </w:t>
      </w:r>
      <w:r>
        <w:rPr>
          <w:color w:val="231F20"/>
          <w:sz w:val="20"/>
        </w:rPr>
        <w:t>только</w:t>
      </w:r>
      <w:r>
        <w:rPr>
          <w:color w:val="231F20"/>
          <w:spacing w:val="-4"/>
          <w:sz w:val="20"/>
        </w:rPr>
        <w:t> </w:t>
      </w:r>
      <w:r>
        <w:rPr>
          <w:color w:val="231F20"/>
          <w:sz w:val="20"/>
        </w:rPr>
        <w:t>то,</w:t>
      </w:r>
      <w:r>
        <w:rPr>
          <w:color w:val="231F20"/>
          <w:spacing w:val="-4"/>
          <w:sz w:val="20"/>
        </w:rPr>
        <w:t> </w:t>
      </w:r>
      <w:r>
        <w:rPr>
          <w:color w:val="231F20"/>
          <w:sz w:val="20"/>
        </w:rPr>
        <w:t>что</w:t>
      </w:r>
      <w:r>
        <w:rPr>
          <w:color w:val="231F20"/>
          <w:spacing w:val="-4"/>
          <w:sz w:val="20"/>
        </w:rPr>
        <w:t> </w:t>
      </w:r>
      <w:r>
        <w:rPr>
          <w:color w:val="231F20"/>
          <w:sz w:val="20"/>
        </w:rPr>
        <w:t>делал</w:t>
      </w:r>
      <w:r>
        <w:rPr>
          <w:color w:val="231F20"/>
          <w:spacing w:val="-3"/>
          <w:sz w:val="20"/>
        </w:rPr>
        <w:t> </w:t>
      </w:r>
      <w:r>
        <w:rPr>
          <w:color w:val="231F20"/>
          <w:spacing w:val="-10"/>
          <w:sz w:val="20"/>
        </w:rPr>
        <w:t>я</w:t>
      </w:r>
    </w:p>
    <w:p>
      <w:pPr>
        <w:pStyle w:val="ListParagraph"/>
        <w:numPr>
          <w:ilvl w:val="1"/>
          <w:numId w:val="323"/>
        </w:numPr>
        <w:tabs>
          <w:tab w:pos="708" w:val="left" w:leader="none"/>
        </w:tabs>
        <w:spacing w:line="222" w:lineRule="exact" w:before="0" w:after="0"/>
        <w:ind w:left="708" w:right="0" w:hanging="283"/>
        <w:jc w:val="left"/>
        <w:rPr>
          <w:sz w:val="20"/>
        </w:rPr>
      </w:pPr>
      <w:r>
        <w:rPr>
          <w:color w:val="231F20"/>
          <w:sz w:val="20"/>
        </w:rPr>
        <w:t>Вначале</w:t>
      </w:r>
      <w:r>
        <w:rPr>
          <w:color w:val="231F20"/>
          <w:spacing w:val="-4"/>
          <w:sz w:val="20"/>
        </w:rPr>
        <w:t> </w:t>
      </w:r>
      <w:r>
        <w:rPr>
          <w:color w:val="231F20"/>
          <w:sz w:val="20"/>
        </w:rPr>
        <w:t>я</w:t>
      </w:r>
      <w:r>
        <w:rPr>
          <w:color w:val="231F20"/>
          <w:spacing w:val="-4"/>
          <w:sz w:val="20"/>
        </w:rPr>
        <w:t> </w:t>
      </w:r>
      <w:r>
        <w:rPr>
          <w:color w:val="231F20"/>
          <w:sz w:val="20"/>
        </w:rPr>
        <w:t>вообще</w:t>
      </w:r>
      <w:r>
        <w:rPr>
          <w:color w:val="231F20"/>
          <w:spacing w:val="-4"/>
          <w:sz w:val="20"/>
        </w:rPr>
        <w:t> </w:t>
      </w:r>
      <w:r>
        <w:rPr>
          <w:color w:val="231F20"/>
          <w:sz w:val="20"/>
        </w:rPr>
        <w:t>ничего</w:t>
      </w:r>
      <w:r>
        <w:rPr>
          <w:color w:val="231F20"/>
          <w:spacing w:val="-4"/>
          <w:sz w:val="20"/>
        </w:rPr>
        <w:t> </w:t>
      </w:r>
      <w:r>
        <w:rPr>
          <w:color w:val="231F20"/>
          <w:sz w:val="20"/>
        </w:rPr>
        <w:t>не</w:t>
      </w:r>
      <w:r>
        <w:rPr>
          <w:color w:val="231F20"/>
          <w:spacing w:val="-3"/>
          <w:sz w:val="20"/>
        </w:rPr>
        <w:t> </w:t>
      </w:r>
      <w:r>
        <w:rPr>
          <w:color w:val="231F20"/>
          <w:spacing w:val="-2"/>
          <w:sz w:val="20"/>
        </w:rPr>
        <w:t>понимал</w:t>
      </w:r>
    </w:p>
    <w:p>
      <w:pPr>
        <w:pStyle w:val="ListParagraph"/>
        <w:numPr>
          <w:ilvl w:val="1"/>
          <w:numId w:val="323"/>
        </w:numPr>
        <w:tabs>
          <w:tab w:pos="707" w:val="left" w:leader="none"/>
        </w:tabs>
        <w:spacing w:line="222" w:lineRule="exact" w:before="0" w:after="0"/>
        <w:ind w:left="707" w:right="0" w:hanging="282"/>
        <w:jc w:val="left"/>
        <w:rPr>
          <w:sz w:val="20"/>
        </w:rPr>
      </w:pPr>
      <w:r>
        <w:rPr>
          <w:color w:val="231F20"/>
          <w:sz w:val="20"/>
        </w:rPr>
        <w:t>Мне и</w:t>
      </w:r>
      <w:r>
        <w:rPr>
          <w:color w:val="231F20"/>
          <w:spacing w:val="-1"/>
          <w:sz w:val="20"/>
        </w:rPr>
        <w:t> </w:t>
      </w:r>
      <w:r>
        <w:rPr>
          <w:color w:val="231F20"/>
          <w:sz w:val="20"/>
        </w:rPr>
        <w:t>до сих пор непонятно, чем мы </w:t>
      </w:r>
      <w:r>
        <w:rPr>
          <w:color w:val="231F20"/>
          <w:spacing w:val="-2"/>
          <w:sz w:val="20"/>
        </w:rPr>
        <w:t>занимались</w:t>
      </w:r>
    </w:p>
    <w:p>
      <w:pPr>
        <w:pStyle w:val="ListParagraph"/>
        <w:numPr>
          <w:ilvl w:val="0"/>
          <w:numId w:val="323"/>
        </w:numPr>
        <w:tabs>
          <w:tab w:pos="424" w:val="left" w:leader="none"/>
        </w:tabs>
        <w:spacing w:line="222" w:lineRule="exact" w:before="0" w:after="0"/>
        <w:ind w:left="424" w:right="0" w:hanging="283"/>
        <w:jc w:val="left"/>
        <w:rPr>
          <w:sz w:val="20"/>
        </w:rPr>
      </w:pPr>
      <w:r>
        <w:rPr>
          <w:color w:val="231F20"/>
          <w:sz w:val="20"/>
        </w:rPr>
        <w:t>Сколько</w:t>
      </w:r>
      <w:r>
        <w:rPr>
          <w:color w:val="231F20"/>
          <w:spacing w:val="-9"/>
          <w:sz w:val="20"/>
        </w:rPr>
        <w:t> </w:t>
      </w:r>
      <w:r>
        <w:rPr>
          <w:color w:val="231F20"/>
          <w:sz w:val="20"/>
        </w:rPr>
        <w:t>раз</w:t>
      </w:r>
      <w:r>
        <w:rPr>
          <w:color w:val="231F20"/>
          <w:spacing w:val="-6"/>
          <w:sz w:val="20"/>
        </w:rPr>
        <w:t> </w:t>
      </w:r>
      <w:r>
        <w:rPr>
          <w:color w:val="231F20"/>
          <w:sz w:val="20"/>
        </w:rPr>
        <w:t>ты</w:t>
      </w:r>
      <w:r>
        <w:rPr>
          <w:color w:val="231F20"/>
          <w:spacing w:val="-7"/>
          <w:sz w:val="20"/>
        </w:rPr>
        <w:t> </w:t>
      </w:r>
      <w:r>
        <w:rPr>
          <w:color w:val="231F20"/>
          <w:sz w:val="20"/>
        </w:rPr>
        <w:t>смог</w:t>
      </w:r>
      <w:r>
        <w:rPr>
          <w:color w:val="231F20"/>
          <w:spacing w:val="-7"/>
          <w:sz w:val="20"/>
        </w:rPr>
        <w:t> </w:t>
      </w:r>
      <w:r>
        <w:rPr>
          <w:color w:val="231F20"/>
          <w:sz w:val="20"/>
        </w:rPr>
        <w:t>что-то</w:t>
      </w:r>
      <w:r>
        <w:rPr>
          <w:color w:val="231F20"/>
          <w:spacing w:val="-6"/>
          <w:sz w:val="20"/>
        </w:rPr>
        <w:t> </w:t>
      </w:r>
      <w:r>
        <w:rPr>
          <w:color w:val="231F20"/>
          <w:sz w:val="20"/>
        </w:rPr>
        <w:t>сказать</w:t>
      </w:r>
      <w:r>
        <w:rPr>
          <w:color w:val="231F20"/>
          <w:spacing w:val="-7"/>
          <w:sz w:val="20"/>
        </w:rPr>
        <w:t> </w:t>
      </w:r>
      <w:r>
        <w:rPr>
          <w:color w:val="231F20"/>
          <w:sz w:val="20"/>
        </w:rPr>
        <w:t>во</w:t>
      </w:r>
      <w:r>
        <w:rPr>
          <w:color w:val="231F20"/>
          <w:spacing w:val="-7"/>
          <w:sz w:val="20"/>
        </w:rPr>
        <w:t> </w:t>
      </w:r>
      <w:r>
        <w:rPr>
          <w:color w:val="231F20"/>
          <w:sz w:val="20"/>
        </w:rPr>
        <w:t>время</w:t>
      </w:r>
      <w:r>
        <w:rPr>
          <w:color w:val="231F20"/>
          <w:spacing w:val="-6"/>
          <w:sz w:val="20"/>
        </w:rPr>
        <w:t> </w:t>
      </w:r>
      <w:r>
        <w:rPr>
          <w:color w:val="231F20"/>
          <w:sz w:val="20"/>
        </w:rPr>
        <w:t>групповой</w:t>
      </w:r>
      <w:r>
        <w:rPr>
          <w:color w:val="231F20"/>
          <w:spacing w:val="-7"/>
          <w:sz w:val="20"/>
        </w:rPr>
        <w:t> </w:t>
      </w:r>
      <w:r>
        <w:rPr>
          <w:color w:val="231F20"/>
          <w:spacing w:val="-2"/>
          <w:sz w:val="20"/>
        </w:rPr>
        <w:t>работы?</w:t>
      </w:r>
    </w:p>
    <w:p>
      <w:pPr>
        <w:pStyle w:val="ListParagraph"/>
        <w:numPr>
          <w:ilvl w:val="1"/>
          <w:numId w:val="323"/>
        </w:numPr>
        <w:tabs>
          <w:tab w:pos="707" w:val="left" w:leader="none"/>
        </w:tabs>
        <w:spacing w:line="222" w:lineRule="exact" w:before="0" w:after="0"/>
        <w:ind w:left="707" w:right="0" w:hanging="282"/>
        <w:jc w:val="left"/>
        <w:rPr>
          <w:sz w:val="20"/>
        </w:rPr>
      </w:pPr>
      <w:r>
        <w:rPr>
          <w:color w:val="231F20"/>
          <w:sz w:val="20"/>
        </w:rPr>
        <w:t>Ни</w:t>
      </w:r>
      <w:r>
        <w:rPr>
          <w:color w:val="231F20"/>
          <w:spacing w:val="-2"/>
          <w:sz w:val="20"/>
        </w:rPr>
        <w:t> </w:t>
      </w:r>
      <w:r>
        <w:rPr>
          <w:color w:val="231F20"/>
          <w:spacing w:val="-4"/>
          <w:sz w:val="20"/>
        </w:rPr>
        <w:t>разу</w:t>
      </w:r>
    </w:p>
    <w:p>
      <w:pPr>
        <w:pStyle w:val="ListParagraph"/>
        <w:numPr>
          <w:ilvl w:val="1"/>
          <w:numId w:val="323"/>
        </w:numPr>
        <w:tabs>
          <w:tab w:pos="708" w:val="left" w:leader="none"/>
        </w:tabs>
        <w:spacing w:line="222" w:lineRule="exact" w:before="0" w:after="0"/>
        <w:ind w:left="708" w:right="0" w:hanging="283"/>
        <w:jc w:val="left"/>
        <w:rPr>
          <w:sz w:val="20"/>
        </w:rPr>
      </w:pPr>
      <w:r>
        <w:rPr>
          <w:color w:val="231F20"/>
          <w:sz w:val="20"/>
        </w:rPr>
        <w:t>Один</w:t>
      </w:r>
      <w:r>
        <w:rPr>
          <w:color w:val="231F20"/>
          <w:spacing w:val="-5"/>
          <w:sz w:val="20"/>
        </w:rPr>
        <w:t> </w:t>
      </w:r>
      <w:r>
        <w:rPr>
          <w:color w:val="231F20"/>
          <w:sz w:val="20"/>
        </w:rPr>
        <w:t>или</w:t>
      </w:r>
      <w:r>
        <w:rPr>
          <w:color w:val="231F20"/>
          <w:spacing w:val="-5"/>
          <w:sz w:val="20"/>
        </w:rPr>
        <w:t> </w:t>
      </w:r>
      <w:r>
        <w:rPr>
          <w:color w:val="231F20"/>
          <w:sz w:val="20"/>
        </w:rPr>
        <w:t>два</w:t>
      </w:r>
      <w:r>
        <w:rPr>
          <w:color w:val="231F20"/>
          <w:spacing w:val="-3"/>
          <w:sz w:val="20"/>
        </w:rPr>
        <w:t> </w:t>
      </w:r>
      <w:r>
        <w:rPr>
          <w:color w:val="231F20"/>
          <w:spacing w:val="-4"/>
          <w:sz w:val="20"/>
        </w:rPr>
        <w:t>раза</w:t>
      </w:r>
    </w:p>
    <w:p>
      <w:pPr>
        <w:pStyle w:val="ListParagraph"/>
        <w:numPr>
          <w:ilvl w:val="1"/>
          <w:numId w:val="323"/>
        </w:numPr>
        <w:tabs>
          <w:tab w:pos="707" w:val="left" w:leader="none"/>
        </w:tabs>
        <w:spacing w:line="222" w:lineRule="exact" w:before="0" w:after="0"/>
        <w:ind w:left="707" w:right="0" w:hanging="282"/>
        <w:jc w:val="left"/>
        <w:rPr>
          <w:sz w:val="20"/>
        </w:rPr>
      </w:pPr>
      <w:r>
        <w:rPr>
          <w:color w:val="231F20"/>
          <w:sz w:val="20"/>
        </w:rPr>
        <w:t>Три-четыре</w:t>
      </w:r>
      <w:r>
        <w:rPr>
          <w:color w:val="231F20"/>
          <w:spacing w:val="-8"/>
          <w:sz w:val="20"/>
        </w:rPr>
        <w:t> </w:t>
      </w:r>
      <w:r>
        <w:rPr>
          <w:color w:val="231F20"/>
          <w:spacing w:val="-4"/>
          <w:sz w:val="20"/>
        </w:rPr>
        <w:t>раза</w:t>
      </w:r>
    </w:p>
    <w:p>
      <w:pPr>
        <w:pStyle w:val="ListParagraph"/>
        <w:numPr>
          <w:ilvl w:val="1"/>
          <w:numId w:val="323"/>
        </w:numPr>
        <w:tabs>
          <w:tab w:pos="708" w:val="left" w:leader="none"/>
        </w:tabs>
        <w:spacing w:line="222" w:lineRule="exact" w:before="0" w:after="0"/>
        <w:ind w:left="708" w:right="0" w:hanging="283"/>
        <w:jc w:val="left"/>
        <w:rPr>
          <w:sz w:val="20"/>
        </w:rPr>
      </w:pPr>
      <w:r>
        <w:rPr>
          <w:color w:val="231F20"/>
          <w:sz w:val="20"/>
        </w:rPr>
        <w:t>Пять</w:t>
      </w:r>
      <w:r>
        <w:rPr>
          <w:color w:val="231F20"/>
          <w:spacing w:val="-3"/>
          <w:sz w:val="20"/>
        </w:rPr>
        <w:t> </w:t>
      </w:r>
      <w:r>
        <w:rPr>
          <w:color w:val="231F20"/>
          <w:sz w:val="20"/>
        </w:rPr>
        <w:t>и</w:t>
      </w:r>
      <w:r>
        <w:rPr>
          <w:color w:val="231F20"/>
          <w:spacing w:val="-3"/>
          <w:sz w:val="20"/>
        </w:rPr>
        <w:t> </w:t>
      </w:r>
      <w:r>
        <w:rPr>
          <w:color w:val="231F20"/>
          <w:sz w:val="20"/>
        </w:rPr>
        <w:t>более</w:t>
      </w:r>
      <w:r>
        <w:rPr>
          <w:color w:val="231F20"/>
          <w:spacing w:val="-2"/>
          <w:sz w:val="20"/>
        </w:rPr>
        <w:t> </w:t>
      </w:r>
      <w:r>
        <w:rPr>
          <w:color w:val="231F20"/>
          <w:spacing w:val="-5"/>
          <w:sz w:val="20"/>
        </w:rPr>
        <w:t>раз</w:t>
      </w:r>
    </w:p>
    <w:p>
      <w:pPr>
        <w:pStyle w:val="ListParagraph"/>
        <w:numPr>
          <w:ilvl w:val="0"/>
          <w:numId w:val="323"/>
        </w:numPr>
        <w:tabs>
          <w:tab w:pos="425" w:val="left" w:leader="none"/>
        </w:tabs>
        <w:spacing w:line="232" w:lineRule="auto" w:before="2" w:after="0"/>
        <w:ind w:left="425" w:right="139" w:hanging="284"/>
        <w:jc w:val="left"/>
        <w:rPr>
          <w:sz w:val="20"/>
        </w:rPr>
      </w:pPr>
      <w:r>
        <w:rPr>
          <w:color w:val="231F20"/>
          <w:sz w:val="20"/>
        </w:rPr>
        <w:t>Если ты говорил меньше, чем тебе хотелось бы, по каким причинам это не полу- </w:t>
      </w:r>
      <w:r>
        <w:rPr>
          <w:color w:val="231F20"/>
          <w:spacing w:val="-2"/>
          <w:sz w:val="20"/>
        </w:rPr>
        <w:t>чилось?</w:t>
      </w:r>
    </w:p>
    <w:p>
      <w:pPr>
        <w:pStyle w:val="ListParagraph"/>
        <w:numPr>
          <w:ilvl w:val="1"/>
          <w:numId w:val="323"/>
        </w:numPr>
        <w:tabs>
          <w:tab w:pos="707" w:val="left" w:leader="none"/>
        </w:tabs>
        <w:spacing w:line="218" w:lineRule="exact" w:before="0" w:after="0"/>
        <w:ind w:left="707" w:right="0" w:hanging="282"/>
        <w:jc w:val="left"/>
        <w:rPr>
          <w:sz w:val="20"/>
        </w:rPr>
      </w:pPr>
      <w:r>
        <w:rPr>
          <w:color w:val="231F20"/>
          <w:sz w:val="20"/>
        </w:rPr>
        <w:t>Я</w:t>
      </w:r>
      <w:r>
        <w:rPr>
          <w:color w:val="231F20"/>
          <w:spacing w:val="-5"/>
          <w:sz w:val="20"/>
        </w:rPr>
        <w:t> </w:t>
      </w:r>
      <w:r>
        <w:rPr>
          <w:color w:val="231F20"/>
          <w:sz w:val="20"/>
        </w:rPr>
        <w:t>боялся</w:t>
      </w:r>
      <w:r>
        <w:rPr>
          <w:color w:val="231F20"/>
          <w:spacing w:val="-4"/>
          <w:sz w:val="20"/>
        </w:rPr>
        <w:t> </w:t>
      </w:r>
      <w:r>
        <w:rPr>
          <w:color w:val="231F20"/>
          <w:sz w:val="20"/>
        </w:rPr>
        <w:t>высказать</w:t>
      </w:r>
      <w:r>
        <w:rPr>
          <w:color w:val="231F20"/>
          <w:spacing w:val="-4"/>
          <w:sz w:val="20"/>
        </w:rPr>
        <w:t> </w:t>
      </w:r>
      <w:r>
        <w:rPr>
          <w:color w:val="231F20"/>
          <w:sz w:val="20"/>
        </w:rPr>
        <w:t>свое</w:t>
      </w:r>
      <w:r>
        <w:rPr>
          <w:color w:val="231F20"/>
          <w:spacing w:val="-4"/>
          <w:sz w:val="20"/>
        </w:rPr>
        <w:t> </w:t>
      </w:r>
      <w:r>
        <w:rPr>
          <w:color w:val="231F20"/>
          <w:spacing w:val="-2"/>
          <w:sz w:val="20"/>
        </w:rPr>
        <w:t>мнение</w:t>
      </w:r>
    </w:p>
    <w:p>
      <w:pPr>
        <w:pStyle w:val="ListParagraph"/>
        <w:numPr>
          <w:ilvl w:val="1"/>
          <w:numId w:val="323"/>
        </w:numPr>
        <w:tabs>
          <w:tab w:pos="708" w:val="left" w:leader="none"/>
        </w:tabs>
        <w:spacing w:line="224" w:lineRule="exact" w:before="0" w:after="0"/>
        <w:ind w:left="708" w:right="0" w:hanging="283"/>
        <w:jc w:val="left"/>
        <w:rPr>
          <w:sz w:val="20"/>
        </w:rPr>
      </w:pPr>
      <w:r>
        <w:rPr>
          <w:color w:val="231F20"/>
          <w:sz w:val="20"/>
        </w:rPr>
        <w:t>Кое-кто</w:t>
      </w:r>
      <w:r>
        <w:rPr>
          <w:color w:val="231F20"/>
          <w:spacing w:val="-6"/>
          <w:sz w:val="20"/>
        </w:rPr>
        <w:t> </w:t>
      </w:r>
      <w:r>
        <w:rPr>
          <w:color w:val="231F20"/>
          <w:sz w:val="20"/>
        </w:rPr>
        <w:t>меня</w:t>
      </w:r>
      <w:r>
        <w:rPr>
          <w:color w:val="231F20"/>
          <w:spacing w:val="-6"/>
          <w:sz w:val="20"/>
        </w:rPr>
        <w:t> </w:t>
      </w:r>
      <w:r>
        <w:rPr>
          <w:color w:val="231F20"/>
          <w:sz w:val="20"/>
        </w:rPr>
        <w:t>постоянно</w:t>
      </w:r>
      <w:r>
        <w:rPr>
          <w:color w:val="231F20"/>
          <w:spacing w:val="-5"/>
          <w:sz w:val="20"/>
        </w:rPr>
        <w:t> </w:t>
      </w:r>
      <w:r>
        <w:rPr>
          <w:color w:val="231F20"/>
          <w:spacing w:val="-2"/>
          <w:sz w:val="20"/>
        </w:rPr>
        <w:t>перебивал</w:t>
      </w:r>
    </w:p>
    <w:p>
      <w:pPr>
        <w:pStyle w:val="ListParagraph"/>
        <w:numPr>
          <w:ilvl w:val="1"/>
          <w:numId w:val="323"/>
        </w:numPr>
        <w:tabs>
          <w:tab w:pos="707" w:val="left" w:leader="none"/>
        </w:tabs>
        <w:spacing w:line="226" w:lineRule="exact" w:before="0" w:after="0"/>
        <w:ind w:left="707" w:right="0" w:hanging="282"/>
        <w:jc w:val="left"/>
        <w:rPr>
          <w:sz w:val="20"/>
        </w:rPr>
      </w:pPr>
      <w:r>
        <w:rPr>
          <w:color w:val="231F20"/>
          <w:sz w:val="20"/>
        </w:rPr>
        <w:t>У</w:t>
      </w:r>
      <w:r>
        <w:rPr>
          <w:color w:val="231F20"/>
          <w:spacing w:val="-4"/>
          <w:sz w:val="20"/>
        </w:rPr>
        <w:t> </w:t>
      </w:r>
      <w:r>
        <w:rPr>
          <w:color w:val="231F20"/>
          <w:sz w:val="20"/>
        </w:rPr>
        <w:t>меня</w:t>
      </w:r>
      <w:r>
        <w:rPr>
          <w:color w:val="231F20"/>
          <w:spacing w:val="-1"/>
          <w:sz w:val="20"/>
        </w:rPr>
        <w:t> </w:t>
      </w:r>
      <w:r>
        <w:rPr>
          <w:color w:val="231F20"/>
          <w:sz w:val="20"/>
        </w:rPr>
        <w:t>даже</w:t>
      </w:r>
      <w:r>
        <w:rPr>
          <w:color w:val="231F20"/>
          <w:spacing w:val="-1"/>
          <w:sz w:val="20"/>
        </w:rPr>
        <w:t> </w:t>
      </w:r>
      <w:r>
        <w:rPr>
          <w:color w:val="231F20"/>
          <w:sz w:val="20"/>
        </w:rPr>
        <w:t>шанса</w:t>
      </w:r>
      <w:r>
        <w:rPr>
          <w:color w:val="231F20"/>
          <w:spacing w:val="-1"/>
          <w:sz w:val="20"/>
        </w:rPr>
        <w:t> </w:t>
      </w:r>
      <w:r>
        <w:rPr>
          <w:color w:val="231F20"/>
          <w:sz w:val="20"/>
        </w:rPr>
        <w:t>не</w:t>
      </w:r>
      <w:r>
        <w:rPr>
          <w:color w:val="231F20"/>
          <w:spacing w:val="-2"/>
          <w:sz w:val="20"/>
        </w:rPr>
        <w:t> </w:t>
      </w:r>
      <w:r>
        <w:rPr>
          <w:color w:val="231F20"/>
          <w:sz w:val="20"/>
        </w:rPr>
        <w:t>было</w:t>
      </w:r>
      <w:r>
        <w:rPr>
          <w:color w:val="231F20"/>
          <w:spacing w:val="-1"/>
          <w:sz w:val="20"/>
        </w:rPr>
        <w:t> </w:t>
      </w:r>
      <w:r>
        <w:rPr>
          <w:color w:val="231F20"/>
          <w:sz w:val="20"/>
        </w:rPr>
        <w:t>поделиться</w:t>
      </w:r>
      <w:r>
        <w:rPr>
          <w:color w:val="231F20"/>
          <w:spacing w:val="-1"/>
          <w:sz w:val="20"/>
        </w:rPr>
        <w:t> </w:t>
      </w:r>
      <w:r>
        <w:rPr>
          <w:color w:val="231F20"/>
          <w:sz w:val="20"/>
        </w:rPr>
        <w:t>своим</w:t>
      </w:r>
      <w:r>
        <w:rPr>
          <w:color w:val="231F20"/>
          <w:spacing w:val="-1"/>
          <w:sz w:val="20"/>
        </w:rPr>
        <w:t> </w:t>
      </w:r>
      <w:r>
        <w:rPr>
          <w:color w:val="231F20"/>
          <w:spacing w:val="-2"/>
          <w:sz w:val="20"/>
        </w:rPr>
        <w:t>мнением</w:t>
      </w:r>
    </w:p>
    <w:p>
      <w:pPr>
        <w:pStyle w:val="ListParagraph"/>
        <w:numPr>
          <w:ilvl w:val="1"/>
          <w:numId w:val="323"/>
        </w:numPr>
        <w:tabs>
          <w:tab w:pos="708" w:val="left" w:leader="none"/>
        </w:tabs>
        <w:spacing w:line="226" w:lineRule="exact" w:before="0" w:after="0"/>
        <w:ind w:left="708" w:right="0" w:hanging="283"/>
        <w:jc w:val="left"/>
        <w:rPr>
          <w:sz w:val="20"/>
        </w:rPr>
      </w:pPr>
      <w:r>
        <w:rPr>
          <w:color w:val="231F20"/>
          <w:sz w:val="20"/>
        </w:rPr>
        <w:t>Я</w:t>
      </w:r>
      <w:r>
        <w:rPr>
          <w:color w:val="231F20"/>
          <w:spacing w:val="-10"/>
          <w:sz w:val="20"/>
        </w:rPr>
        <w:t> </w:t>
      </w:r>
      <w:r>
        <w:rPr>
          <w:color w:val="231F20"/>
          <w:sz w:val="20"/>
        </w:rPr>
        <w:t>говорил</w:t>
      </w:r>
      <w:r>
        <w:rPr>
          <w:color w:val="231F20"/>
          <w:spacing w:val="-10"/>
          <w:sz w:val="20"/>
        </w:rPr>
        <w:t> </w:t>
      </w:r>
      <w:r>
        <w:rPr>
          <w:color w:val="231F20"/>
          <w:sz w:val="20"/>
        </w:rPr>
        <w:t>ровно</w:t>
      </w:r>
      <w:r>
        <w:rPr>
          <w:color w:val="231F20"/>
          <w:spacing w:val="-10"/>
          <w:sz w:val="20"/>
        </w:rPr>
        <w:t> </w:t>
      </w:r>
      <w:r>
        <w:rPr>
          <w:color w:val="231F20"/>
          <w:sz w:val="20"/>
        </w:rPr>
        <w:t>столько,</w:t>
      </w:r>
      <w:r>
        <w:rPr>
          <w:color w:val="231F20"/>
          <w:spacing w:val="-10"/>
          <w:sz w:val="20"/>
        </w:rPr>
        <w:t> </w:t>
      </w:r>
      <w:r>
        <w:rPr>
          <w:color w:val="231F20"/>
          <w:sz w:val="20"/>
        </w:rPr>
        <w:t>сколько</w:t>
      </w:r>
      <w:r>
        <w:rPr>
          <w:color w:val="231F20"/>
          <w:spacing w:val="-10"/>
          <w:sz w:val="20"/>
        </w:rPr>
        <w:t> </w:t>
      </w:r>
      <w:r>
        <w:rPr>
          <w:color w:val="231F20"/>
          <w:spacing w:val="-2"/>
          <w:sz w:val="20"/>
        </w:rPr>
        <w:t>хотел</w:t>
      </w:r>
    </w:p>
    <w:p>
      <w:pPr>
        <w:pStyle w:val="ListParagraph"/>
        <w:numPr>
          <w:ilvl w:val="1"/>
          <w:numId w:val="323"/>
        </w:numPr>
        <w:tabs>
          <w:tab w:pos="707" w:val="left" w:leader="none"/>
        </w:tabs>
        <w:spacing w:line="226" w:lineRule="exact" w:before="0" w:after="0"/>
        <w:ind w:left="707" w:right="0" w:hanging="282"/>
        <w:jc w:val="left"/>
        <w:rPr>
          <w:sz w:val="20"/>
        </w:rPr>
      </w:pPr>
      <w:r>
        <w:rPr>
          <w:color w:val="231F20"/>
          <w:sz w:val="20"/>
        </w:rPr>
        <w:t>Никто</w:t>
      </w:r>
      <w:r>
        <w:rPr>
          <w:color w:val="231F20"/>
          <w:spacing w:val="-2"/>
          <w:sz w:val="20"/>
        </w:rPr>
        <w:t> </w:t>
      </w:r>
      <w:r>
        <w:rPr>
          <w:color w:val="231F20"/>
          <w:sz w:val="20"/>
        </w:rPr>
        <w:t>не</w:t>
      </w:r>
      <w:r>
        <w:rPr>
          <w:color w:val="231F20"/>
          <w:spacing w:val="-2"/>
          <w:sz w:val="20"/>
        </w:rPr>
        <w:t> </w:t>
      </w:r>
      <w:r>
        <w:rPr>
          <w:color w:val="231F20"/>
          <w:sz w:val="20"/>
        </w:rPr>
        <w:t>обращал</w:t>
      </w:r>
      <w:r>
        <w:rPr>
          <w:color w:val="231F20"/>
          <w:spacing w:val="-1"/>
          <w:sz w:val="20"/>
        </w:rPr>
        <w:t> </w:t>
      </w:r>
      <w:r>
        <w:rPr>
          <w:color w:val="231F20"/>
          <w:sz w:val="20"/>
        </w:rPr>
        <w:t>внимание</w:t>
      </w:r>
      <w:r>
        <w:rPr>
          <w:color w:val="231F20"/>
          <w:spacing w:val="-2"/>
          <w:sz w:val="20"/>
        </w:rPr>
        <w:t> </w:t>
      </w:r>
      <w:r>
        <w:rPr>
          <w:color w:val="231F20"/>
          <w:sz w:val="20"/>
        </w:rPr>
        <w:t>на</w:t>
      </w:r>
      <w:r>
        <w:rPr>
          <w:color w:val="231F20"/>
          <w:spacing w:val="-2"/>
          <w:sz w:val="20"/>
        </w:rPr>
        <w:t> </w:t>
      </w:r>
      <w:r>
        <w:rPr>
          <w:color w:val="231F20"/>
          <w:sz w:val="20"/>
        </w:rPr>
        <w:t>то,</w:t>
      </w:r>
      <w:r>
        <w:rPr>
          <w:color w:val="231F20"/>
          <w:spacing w:val="-1"/>
          <w:sz w:val="20"/>
        </w:rPr>
        <w:t> </w:t>
      </w:r>
      <w:r>
        <w:rPr>
          <w:color w:val="231F20"/>
          <w:sz w:val="20"/>
        </w:rPr>
        <w:t>что</w:t>
      </w:r>
      <w:r>
        <w:rPr>
          <w:color w:val="231F20"/>
          <w:spacing w:val="-2"/>
          <w:sz w:val="20"/>
        </w:rPr>
        <w:t> </w:t>
      </w:r>
      <w:r>
        <w:rPr>
          <w:color w:val="231F20"/>
          <w:sz w:val="20"/>
        </w:rPr>
        <w:t>я</w:t>
      </w:r>
      <w:r>
        <w:rPr>
          <w:color w:val="231F20"/>
          <w:spacing w:val="-1"/>
          <w:sz w:val="20"/>
        </w:rPr>
        <w:t> </w:t>
      </w:r>
      <w:r>
        <w:rPr>
          <w:color w:val="231F20"/>
          <w:spacing w:val="-2"/>
          <w:sz w:val="20"/>
        </w:rPr>
        <w:t>говорил</w:t>
      </w:r>
    </w:p>
    <w:p>
      <w:pPr>
        <w:pStyle w:val="ListParagraph"/>
        <w:numPr>
          <w:ilvl w:val="1"/>
          <w:numId w:val="323"/>
        </w:numPr>
        <w:tabs>
          <w:tab w:pos="707" w:val="left" w:leader="none"/>
        </w:tabs>
        <w:spacing w:line="226" w:lineRule="exact" w:before="0" w:after="0"/>
        <w:ind w:left="707" w:right="0" w:hanging="282"/>
        <w:jc w:val="left"/>
        <w:rPr>
          <w:sz w:val="20"/>
        </w:rPr>
      </w:pPr>
      <w:r>
        <w:rPr>
          <w:color w:val="231F20"/>
          <w:sz w:val="20"/>
        </w:rPr>
        <w:t>Мне</w:t>
      </w:r>
      <w:r>
        <w:rPr>
          <w:color w:val="231F20"/>
          <w:spacing w:val="-1"/>
          <w:sz w:val="20"/>
        </w:rPr>
        <w:t> </w:t>
      </w:r>
      <w:r>
        <w:rPr>
          <w:color w:val="231F20"/>
          <w:sz w:val="20"/>
        </w:rPr>
        <w:t>была</w:t>
      </w:r>
      <w:r>
        <w:rPr>
          <w:color w:val="231F20"/>
          <w:spacing w:val="-1"/>
          <w:sz w:val="20"/>
        </w:rPr>
        <w:t> </w:t>
      </w:r>
      <w:r>
        <w:rPr>
          <w:color w:val="231F20"/>
          <w:sz w:val="20"/>
        </w:rPr>
        <w:t>не</w:t>
      </w:r>
      <w:r>
        <w:rPr>
          <w:color w:val="231F20"/>
          <w:spacing w:val="-1"/>
          <w:sz w:val="20"/>
        </w:rPr>
        <w:t> </w:t>
      </w:r>
      <w:r>
        <w:rPr>
          <w:color w:val="231F20"/>
          <w:sz w:val="20"/>
        </w:rPr>
        <w:t>интересна</w:t>
      </w:r>
      <w:r>
        <w:rPr>
          <w:color w:val="231F20"/>
          <w:spacing w:val="-1"/>
          <w:sz w:val="20"/>
        </w:rPr>
        <w:t> </w:t>
      </w:r>
      <w:r>
        <w:rPr>
          <w:color w:val="231F20"/>
          <w:sz w:val="20"/>
        </w:rPr>
        <w:t>обсуждаемая </w:t>
      </w:r>
      <w:r>
        <w:rPr>
          <w:color w:val="231F20"/>
          <w:spacing w:val="-2"/>
          <w:sz w:val="20"/>
        </w:rPr>
        <w:t>проблема</w:t>
      </w:r>
    </w:p>
    <w:p>
      <w:pPr>
        <w:pStyle w:val="ListParagraph"/>
        <w:numPr>
          <w:ilvl w:val="1"/>
          <w:numId w:val="323"/>
        </w:numPr>
        <w:tabs>
          <w:tab w:pos="708" w:val="left" w:leader="none"/>
        </w:tabs>
        <w:spacing w:line="226" w:lineRule="exact" w:before="0" w:after="0"/>
        <w:ind w:left="708" w:right="0" w:hanging="283"/>
        <w:jc w:val="left"/>
        <w:rPr>
          <w:sz w:val="20"/>
        </w:rPr>
      </w:pPr>
      <w:r>
        <w:rPr>
          <w:color w:val="231F20"/>
          <w:sz w:val="20"/>
        </w:rPr>
        <w:t>Я</w:t>
      </w:r>
      <w:r>
        <w:rPr>
          <w:color w:val="231F20"/>
          <w:spacing w:val="-5"/>
          <w:sz w:val="20"/>
        </w:rPr>
        <w:t> </w:t>
      </w:r>
      <w:r>
        <w:rPr>
          <w:color w:val="231F20"/>
          <w:sz w:val="20"/>
        </w:rPr>
        <w:t>сегодня</w:t>
      </w:r>
      <w:r>
        <w:rPr>
          <w:color w:val="231F20"/>
          <w:spacing w:val="-5"/>
          <w:sz w:val="20"/>
        </w:rPr>
        <w:t> </w:t>
      </w:r>
      <w:r>
        <w:rPr>
          <w:color w:val="231F20"/>
          <w:sz w:val="20"/>
        </w:rPr>
        <w:t>неважно</w:t>
      </w:r>
      <w:r>
        <w:rPr>
          <w:color w:val="231F20"/>
          <w:spacing w:val="-5"/>
          <w:sz w:val="20"/>
        </w:rPr>
        <w:t> </w:t>
      </w:r>
      <w:r>
        <w:rPr>
          <w:color w:val="231F20"/>
          <w:sz w:val="20"/>
        </w:rPr>
        <w:t>себя</w:t>
      </w:r>
      <w:r>
        <w:rPr>
          <w:color w:val="231F20"/>
          <w:spacing w:val="-4"/>
          <w:sz w:val="20"/>
        </w:rPr>
        <w:t> </w:t>
      </w:r>
      <w:r>
        <w:rPr>
          <w:color w:val="231F20"/>
          <w:spacing w:val="-2"/>
          <w:sz w:val="20"/>
        </w:rPr>
        <w:t>чувствовал</w:t>
      </w:r>
    </w:p>
    <w:p>
      <w:pPr>
        <w:pStyle w:val="ListParagraph"/>
        <w:numPr>
          <w:ilvl w:val="0"/>
          <w:numId w:val="323"/>
        </w:numPr>
        <w:tabs>
          <w:tab w:pos="424" w:val="left" w:leader="none"/>
        </w:tabs>
        <w:spacing w:line="226" w:lineRule="exact" w:before="0" w:after="0"/>
        <w:ind w:left="424" w:right="0" w:hanging="283"/>
        <w:jc w:val="left"/>
        <w:rPr>
          <w:sz w:val="20"/>
        </w:rPr>
      </w:pPr>
      <w:r>
        <w:rPr>
          <w:color w:val="231F20"/>
          <w:sz w:val="20"/>
        </w:rPr>
        <w:t>Ты</w:t>
      </w:r>
      <w:r>
        <w:rPr>
          <w:color w:val="231F20"/>
          <w:spacing w:val="-4"/>
          <w:sz w:val="20"/>
        </w:rPr>
        <w:t> </w:t>
      </w:r>
      <w:r>
        <w:rPr>
          <w:color w:val="231F20"/>
          <w:sz w:val="20"/>
        </w:rPr>
        <w:t>со</w:t>
      </w:r>
      <w:r>
        <w:rPr>
          <w:color w:val="231F20"/>
          <w:spacing w:val="-4"/>
          <w:sz w:val="20"/>
        </w:rPr>
        <w:t> </w:t>
      </w:r>
      <w:r>
        <w:rPr>
          <w:color w:val="231F20"/>
          <w:sz w:val="20"/>
        </w:rPr>
        <w:t>всеми</w:t>
      </w:r>
      <w:r>
        <w:rPr>
          <w:color w:val="231F20"/>
          <w:spacing w:val="-5"/>
          <w:sz w:val="20"/>
        </w:rPr>
        <w:t> </w:t>
      </w:r>
      <w:r>
        <w:rPr>
          <w:color w:val="231F20"/>
          <w:sz w:val="20"/>
        </w:rPr>
        <w:t>в</w:t>
      </w:r>
      <w:r>
        <w:rPr>
          <w:color w:val="231F20"/>
          <w:spacing w:val="-5"/>
          <w:sz w:val="20"/>
        </w:rPr>
        <w:t> </w:t>
      </w:r>
      <w:r>
        <w:rPr>
          <w:color w:val="231F20"/>
          <w:sz w:val="20"/>
        </w:rPr>
        <w:t>группе</w:t>
      </w:r>
      <w:r>
        <w:rPr>
          <w:color w:val="231F20"/>
          <w:spacing w:val="-4"/>
          <w:sz w:val="20"/>
        </w:rPr>
        <w:t> </w:t>
      </w:r>
      <w:r>
        <w:rPr>
          <w:color w:val="231F20"/>
          <w:sz w:val="20"/>
        </w:rPr>
        <w:t>хорошо</w:t>
      </w:r>
      <w:r>
        <w:rPr>
          <w:color w:val="231F20"/>
          <w:spacing w:val="-3"/>
          <w:sz w:val="20"/>
        </w:rPr>
        <w:t> </w:t>
      </w:r>
      <w:r>
        <w:rPr>
          <w:color w:val="231F20"/>
          <w:spacing w:val="-2"/>
          <w:sz w:val="20"/>
        </w:rPr>
        <w:t>ладишь?</w:t>
      </w:r>
    </w:p>
    <w:p>
      <w:pPr>
        <w:pStyle w:val="ListParagraph"/>
        <w:numPr>
          <w:ilvl w:val="1"/>
          <w:numId w:val="323"/>
        </w:numPr>
        <w:tabs>
          <w:tab w:pos="707" w:val="left" w:leader="none"/>
        </w:tabs>
        <w:spacing w:line="228" w:lineRule="exact" w:before="0" w:after="0"/>
        <w:ind w:left="707" w:right="0" w:hanging="282"/>
        <w:jc w:val="left"/>
        <w:rPr>
          <w:sz w:val="20"/>
        </w:rPr>
      </w:pPr>
      <w:r>
        <w:rPr>
          <w:color w:val="231F20"/>
          <w:sz w:val="20"/>
        </w:rPr>
        <w:t>С</w:t>
      </w:r>
      <w:r>
        <w:rPr>
          <w:color w:val="231F20"/>
          <w:spacing w:val="-5"/>
          <w:sz w:val="20"/>
        </w:rPr>
        <w:t> </w:t>
      </w:r>
      <w:r>
        <w:rPr>
          <w:color w:val="231F20"/>
          <w:sz w:val="20"/>
        </w:rPr>
        <w:t>несколькими</w:t>
      </w:r>
      <w:r>
        <w:rPr>
          <w:color w:val="231F20"/>
          <w:spacing w:val="-6"/>
          <w:sz w:val="20"/>
        </w:rPr>
        <w:t> </w:t>
      </w:r>
      <w:r>
        <w:rPr>
          <w:color w:val="231F20"/>
          <w:sz w:val="20"/>
        </w:rPr>
        <w:t>из</w:t>
      </w:r>
      <w:r>
        <w:rPr>
          <w:color w:val="231F20"/>
          <w:spacing w:val="-4"/>
          <w:sz w:val="20"/>
        </w:rPr>
        <w:t> </w:t>
      </w:r>
      <w:r>
        <w:rPr>
          <w:color w:val="231F20"/>
          <w:spacing w:val="-5"/>
          <w:sz w:val="20"/>
        </w:rPr>
        <w:t>них</w:t>
      </w:r>
    </w:p>
    <w:p>
      <w:pPr>
        <w:pStyle w:val="ListParagraph"/>
        <w:spacing w:after="0" w:line="228" w:lineRule="exact"/>
        <w:jc w:val="left"/>
        <w:rPr>
          <w:sz w:val="20"/>
        </w:rPr>
        <w:sectPr>
          <w:pgSz w:w="8400" w:h="11910"/>
          <w:pgMar w:header="0" w:footer="530" w:top="400" w:bottom="740" w:left="425" w:right="425"/>
        </w:sectPr>
      </w:pPr>
    </w:p>
    <w:p>
      <w:pPr>
        <w:spacing w:before="80"/>
        <w:ind w:left="141" w:right="0" w:firstLine="0"/>
        <w:jc w:val="left"/>
        <w:rPr>
          <w:rFonts w:ascii="Georgia" w:hAnsi="Georgia"/>
          <w:sz w:val="18"/>
        </w:rPr>
      </w:pPr>
      <w:r>
        <w:rPr>
          <w:rFonts w:ascii="Georgia" w:hAnsi="Georgia"/>
          <w:color w:val="231F20"/>
          <w:spacing w:val="-2"/>
          <w:sz w:val="18"/>
        </w:rPr>
        <w:t>Приложения</w:t>
      </w:r>
    </w:p>
    <w:p>
      <w:pPr>
        <w:pStyle w:val="ListParagraph"/>
        <w:numPr>
          <w:ilvl w:val="1"/>
          <w:numId w:val="323"/>
        </w:numPr>
        <w:tabs>
          <w:tab w:pos="708" w:val="left" w:leader="none"/>
        </w:tabs>
        <w:spacing w:line="228" w:lineRule="exact" w:before="112" w:after="0"/>
        <w:ind w:left="708" w:right="0" w:hanging="283"/>
        <w:jc w:val="left"/>
        <w:rPr>
          <w:sz w:val="20"/>
        </w:rPr>
      </w:pPr>
      <w:r>
        <w:rPr>
          <w:color w:val="231F20"/>
          <w:sz w:val="20"/>
        </w:rPr>
        <w:t>Примерно</w:t>
      </w:r>
      <w:r>
        <w:rPr>
          <w:color w:val="231F20"/>
          <w:spacing w:val="-4"/>
          <w:sz w:val="20"/>
        </w:rPr>
        <w:t> </w:t>
      </w:r>
      <w:r>
        <w:rPr>
          <w:color w:val="231F20"/>
          <w:sz w:val="20"/>
        </w:rPr>
        <w:t>с</w:t>
      </w:r>
      <w:r>
        <w:rPr>
          <w:color w:val="231F20"/>
          <w:spacing w:val="-3"/>
          <w:sz w:val="20"/>
        </w:rPr>
        <w:t> </w:t>
      </w:r>
      <w:r>
        <w:rPr>
          <w:color w:val="231F20"/>
          <w:sz w:val="20"/>
        </w:rPr>
        <w:t>половиной</w:t>
      </w:r>
      <w:r>
        <w:rPr>
          <w:color w:val="231F20"/>
          <w:spacing w:val="-3"/>
          <w:sz w:val="20"/>
        </w:rPr>
        <w:t> </w:t>
      </w:r>
      <w:r>
        <w:rPr>
          <w:color w:val="231F20"/>
          <w:spacing w:val="-2"/>
          <w:sz w:val="20"/>
        </w:rPr>
        <w:t>группы</w:t>
      </w:r>
    </w:p>
    <w:p>
      <w:pPr>
        <w:pStyle w:val="ListParagraph"/>
        <w:numPr>
          <w:ilvl w:val="1"/>
          <w:numId w:val="323"/>
        </w:numPr>
        <w:tabs>
          <w:tab w:pos="707" w:val="left" w:leader="none"/>
        </w:tabs>
        <w:spacing w:line="228" w:lineRule="exact" w:before="0" w:after="0"/>
        <w:ind w:left="707" w:right="0" w:hanging="282"/>
        <w:jc w:val="left"/>
        <w:rPr>
          <w:sz w:val="20"/>
        </w:rPr>
      </w:pPr>
      <w:r>
        <w:rPr>
          <w:color w:val="231F20"/>
          <w:sz w:val="20"/>
        </w:rPr>
        <w:t>С</w:t>
      </w:r>
      <w:r>
        <w:rPr>
          <w:color w:val="231F20"/>
          <w:spacing w:val="-6"/>
          <w:sz w:val="20"/>
        </w:rPr>
        <w:t> </w:t>
      </w:r>
      <w:r>
        <w:rPr>
          <w:color w:val="231F20"/>
          <w:sz w:val="20"/>
        </w:rPr>
        <w:t>большинством</w:t>
      </w:r>
      <w:r>
        <w:rPr>
          <w:color w:val="231F20"/>
          <w:spacing w:val="-5"/>
          <w:sz w:val="20"/>
        </w:rPr>
        <w:t> </w:t>
      </w:r>
      <w:r>
        <w:rPr>
          <w:color w:val="231F20"/>
          <w:sz w:val="20"/>
        </w:rPr>
        <w:t>из</w:t>
      </w:r>
      <w:r>
        <w:rPr>
          <w:color w:val="231F20"/>
          <w:spacing w:val="-5"/>
          <w:sz w:val="20"/>
        </w:rPr>
        <w:t> </w:t>
      </w:r>
      <w:r>
        <w:rPr>
          <w:color w:val="231F20"/>
          <w:spacing w:val="-2"/>
          <w:sz w:val="20"/>
        </w:rPr>
        <w:t>группы</w:t>
      </w:r>
    </w:p>
    <w:p>
      <w:pPr>
        <w:pStyle w:val="ListParagraph"/>
        <w:numPr>
          <w:ilvl w:val="1"/>
          <w:numId w:val="323"/>
        </w:numPr>
        <w:tabs>
          <w:tab w:pos="708" w:val="left" w:leader="none"/>
        </w:tabs>
        <w:spacing w:line="240" w:lineRule="auto" w:before="0" w:after="0"/>
        <w:ind w:left="708" w:right="0" w:hanging="283"/>
        <w:jc w:val="left"/>
        <w:rPr>
          <w:sz w:val="20"/>
        </w:rPr>
      </w:pPr>
      <w:r>
        <w:rPr>
          <w:color w:val="231F20"/>
          <w:sz w:val="20"/>
        </w:rPr>
        <w:t>Со</w:t>
      </w:r>
      <w:r>
        <w:rPr>
          <w:color w:val="231F20"/>
          <w:spacing w:val="-3"/>
          <w:sz w:val="20"/>
        </w:rPr>
        <w:t> </w:t>
      </w:r>
      <w:r>
        <w:rPr>
          <w:color w:val="231F20"/>
          <w:sz w:val="20"/>
        </w:rPr>
        <w:t>всеми</w:t>
      </w:r>
      <w:r>
        <w:rPr>
          <w:color w:val="231F20"/>
          <w:spacing w:val="-4"/>
          <w:sz w:val="20"/>
        </w:rPr>
        <w:t> </w:t>
      </w:r>
      <w:r>
        <w:rPr>
          <w:color w:val="231F20"/>
          <w:sz w:val="20"/>
        </w:rPr>
        <w:t>членами</w:t>
      </w:r>
      <w:r>
        <w:rPr>
          <w:color w:val="231F20"/>
          <w:spacing w:val="-3"/>
          <w:sz w:val="20"/>
        </w:rPr>
        <w:t> </w:t>
      </w:r>
      <w:r>
        <w:rPr>
          <w:color w:val="231F20"/>
          <w:spacing w:val="-2"/>
          <w:sz w:val="20"/>
        </w:rPr>
        <w:t>группы</w:t>
      </w:r>
    </w:p>
    <w:p>
      <w:pPr>
        <w:pStyle w:val="ListParagraph"/>
        <w:numPr>
          <w:ilvl w:val="1"/>
          <w:numId w:val="323"/>
        </w:numPr>
        <w:tabs>
          <w:tab w:pos="707" w:val="left" w:leader="none"/>
        </w:tabs>
        <w:spacing w:line="240" w:lineRule="auto" w:before="0" w:after="0"/>
        <w:ind w:left="707" w:right="0" w:hanging="282"/>
        <w:jc w:val="left"/>
        <w:rPr>
          <w:sz w:val="20"/>
        </w:rPr>
      </w:pPr>
      <w:r>
        <w:rPr>
          <w:color w:val="231F20"/>
          <w:sz w:val="20"/>
        </w:rPr>
        <w:t>Ни</w:t>
      </w:r>
      <w:r>
        <w:rPr>
          <w:color w:val="231F20"/>
          <w:spacing w:val="-3"/>
          <w:sz w:val="20"/>
        </w:rPr>
        <w:t> </w:t>
      </w:r>
      <w:r>
        <w:rPr>
          <w:color w:val="231F20"/>
          <w:sz w:val="20"/>
        </w:rPr>
        <w:t>с</w:t>
      </w:r>
      <w:r>
        <w:rPr>
          <w:color w:val="231F20"/>
          <w:spacing w:val="-1"/>
          <w:sz w:val="20"/>
        </w:rPr>
        <w:t> </w:t>
      </w:r>
      <w:r>
        <w:rPr>
          <w:color w:val="231F20"/>
          <w:sz w:val="20"/>
        </w:rPr>
        <w:t>кем</w:t>
      </w:r>
      <w:r>
        <w:rPr>
          <w:color w:val="231F20"/>
          <w:spacing w:val="-2"/>
          <w:sz w:val="20"/>
        </w:rPr>
        <w:t> </w:t>
      </w:r>
      <w:r>
        <w:rPr>
          <w:color w:val="231F20"/>
          <w:sz w:val="20"/>
        </w:rPr>
        <w:t>из</w:t>
      </w:r>
      <w:r>
        <w:rPr>
          <w:color w:val="231F20"/>
          <w:spacing w:val="-1"/>
          <w:sz w:val="20"/>
        </w:rPr>
        <w:t> </w:t>
      </w:r>
      <w:r>
        <w:rPr>
          <w:color w:val="231F20"/>
          <w:spacing w:val="-5"/>
          <w:sz w:val="20"/>
        </w:rPr>
        <w:t>них</w:t>
      </w:r>
    </w:p>
    <w:p>
      <w:pPr>
        <w:pStyle w:val="ListParagraph"/>
        <w:numPr>
          <w:ilvl w:val="0"/>
          <w:numId w:val="323"/>
        </w:numPr>
        <w:tabs>
          <w:tab w:pos="424" w:val="left" w:leader="none"/>
        </w:tabs>
        <w:spacing w:line="240" w:lineRule="auto" w:before="0" w:after="0"/>
        <w:ind w:left="424" w:right="0" w:hanging="283"/>
        <w:jc w:val="left"/>
        <w:rPr>
          <w:sz w:val="20"/>
        </w:rPr>
      </w:pPr>
      <w:r>
        <w:rPr>
          <w:color w:val="231F20"/>
          <w:sz w:val="20"/>
        </w:rPr>
        <w:t>Сколько</w:t>
      </w:r>
      <w:r>
        <w:rPr>
          <w:color w:val="231F20"/>
          <w:spacing w:val="-8"/>
          <w:sz w:val="20"/>
        </w:rPr>
        <w:t> </w:t>
      </w:r>
      <w:r>
        <w:rPr>
          <w:color w:val="231F20"/>
          <w:sz w:val="20"/>
        </w:rPr>
        <w:t>учеников</w:t>
      </w:r>
      <w:r>
        <w:rPr>
          <w:color w:val="231F20"/>
          <w:spacing w:val="-8"/>
          <w:sz w:val="20"/>
        </w:rPr>
        <w:t> </w:t>
      </w:r>
      <w:r>
        <w:rPr>
          <w:color w:val="231F20"/>
          <w:sz w:val="20"/>
        </w:rPr>
        <w:t>слушали</w:t>
      </w:r>
      <w:r>
        <w:rPr>
          <w:color w:val="231F20"/>
          <w:spacing w:val="-9"/>
          <w:sz w:val="20"/>
        </w:rPr>
        <w:t> </w:t>
      </w:r>
      <w:r>
        <w:rPr>
          <w:color w:val="231F20"/>
          <w:sz w:val="20"/>
        </w:rPr>
        <w:t>и</w:t>
      </w:r>
      <w:r>
        <w:rPr>
          <w:color w:val="231F20"/>
          <w:spacing w:val="-8"/>
          <w:sz w:val="20"/>
        </w:rPr>
        <w:t> </w:t>
      </w:r>
      <w:r>
        <w:rPr>
          <w:color w:val="231F20"/>
          <w:sz w:val="20"/>
        </w:rPr>
        <w:t>интересовались</w:t>
      </w:r>
      <w:r>
        <w:rPr>
          <w:color w:val="231F20"/>
          <w:spacing w:val="-8"/>
          <w:sz w:val="20"/>
        </w:rPr>
        <w:t> </w:t>
      </w:r>
      <w:r>
        <w:rPr>
          <w:color w:val="231F20"/>
          <w:sz w:val="20"/>
        </w:rPr>
        <w:t>идеями</w:t>
      </w:r>
      <w:r>
        <w:rPr>
          <w:color w:val="231F20"/>
          <w:spacing w:val="-8"/>
          <w:sz w:val="20"/>
        </w:rPr>
        <w:t> </w:t>
      </w:r>
      <w:r>
        <w:rPr>
          <w:color w:val="231F20"/>
          <w:spacing w:val="-2"/>
          <w:sz w:val="20"/>
        </w:rPr>
        <w:t>других?</w:t>
      </w:r>
    </w:p>
    <w:p>
      <w:pPr>
        <w:pStyle w:val="ListParagraph"/>
        <w:numPr>
          <w:ilvl w:val="1"/>
          <w:numId w:val="323"/>
        </w:numPr>
        <w:tabs>
          <w:tab w:pos="707" w:val="left" w:leader="none"/>
        </w:tabs>
        <w:spacing w:line="240" w:lineRule="auto" w:before="0" w:after="0"/>
        <w:ind w:left="707" w:right="0" w:hanging="282"/>
        <w:jc w:val="left"/>
        <w:rPr>
          <w:sz w:val="20"/>
        </w:rPr>
      </w:pPr>
      <w:r>
        <w:rPr>
          <w:color w:val="231F20"/>
          <w:spacing w:val="-2"/>
          <w:sz w:val="20"/>
        </w:rPr>
        <w:t>Только несколько человек из группы</w:t>
      </w:r>
    </w:p>
    <w:p>
      <w:pPr>
        <w:pStyle w:val="ListParagraph"/>
        <w:numPr>
          <w:ilvl w:val="1"/>
          <w:numId w:val="323"/>
        </w:numPr>
        <w:tabs>
          <w:tab w:pos="708" w:val="left" w:leader="none"/>
        </w:tabs>
        <w:spacing w:line="240" w:lineRule="auto" w:before="0" w:after="0"/>
        <w:ind w:left="708" w:right="0" w:hanging="283"/>
        <w:jc w:val="left"/>
        <w:rPr>
          <w:sz w:val="20"/>
        </w:rPr>
      </w:pPr>
      <w:r>
        <w:rPr>
          <w:color w:val="231F20"/>
          <w:sz w:val="20"/>
        </w:rPr>
        <w:t>Половина</w:t>
      </w:r>
      <w:r>
        <w:rPr>
          <w:color w:val="231F20"/>
          <w:spacing w:val="-3"/>
          <w:sz w:val="20"/>
        </w:rPr>
        <w:t> </w:t>
      </w:r>
      <w:r>
        <w:rPr>
          <w:color w:val="231F20"/>
          <w:spacing w:val="-2"/>
          <w:sz w:val="20"/>
        </w:rPr>
        <w:t>группы</w:t>
      </w:r>
    </w:p>
    <w:p>
      <w:pPr>
        <w:pStyle w:val="ListParagraph"/>
        <w:numPr>
          <w:ilvl w:val="1"/>
          <w:numId w:val="323"/>
        </w:numPr>
        <w:tabs>
          <w:tab w:pos="707" w:val="left" w:leader="none"/>
        </w:tabs>
        <w:spacing w:line="240" w:lineRule="auto" w:before="0" w:after="0"/>
        <w:ind w:left="707" w:right="0" w:hanging="282"/>
        <w:jc w:val="left"/>
        <w:rPr>
          <w:sz w:val="20"/>
        </w:rPr>
      </w:pPr>
      <w:r>
        <w:rPr>
          <w:color w:val="231F20"/>
          <w:sz w:val="20"/>
        </w:rPr>
        <w:t>Большинство</w:t>
      </w:r>
      <w:r>
        <w:rPr>
          <w:color w:val="231F20"/>
          <w:spacing w:val="-13"/>
          <w:sz w:val="20"/>
        </w:rPr>
        <w:t> </w:t>
      </w:r>
      <w:r>
        <w:rPr>
          <w:color w:val="231F20"/>
          <w:sz w:val="20"/>
        </w:rPr>
        <w:t>участников</w:t>
      </w:r>
      <w:r>
        <w:rPr>
          <w:color w:val="231F20"/>
          <w:spacing w:val="-12"/>
          <w:sz w:val="20"/>
        </w:rPr>
        <w:t> </w:t>
      </w:r>
      <w:r>
        <w:rPr>
          <w:color w:val="231F20"/>
          <w:spacing w:val="-2"/>
          <w:sz w:val="20"/>
        </w:rPr>
        <w:t>группы</w:t>
      </w:r>
    </w:p>
    <w:p>
      <w:pPr>
        <w:pStyle w:val="ListParagraph"/>
        <w:numPr>
          <w:ilvl w:val="1"/>
          <w:numId w:val="323"/>
        </w:numPr>
        <w:tabs>
          <w:tab w:pos="708" w:val="left" w:leader="none"/>
        </w:tabs>
        <w:spacing w:line="240" w:lineRule="auto" w:before="0" w:after="0"/>
        <w:ind w:left="708" w:right="0" w:hanging="283"/>
        <w:jc w:val="left"/>
        <w:rPr>
          <w:sz w:val="20"/>
        </w:rPr>
      </w:pPr>
      <w:r>
        <w:rPr>
          <w:color w:val="231F20"/>
          <w:sz w:val="20"/>
        </w:rPr>
        <w:t>Все,</w:t>
      </w:r>
      <w:r>
        <w:rPr>
          <w:color w:val="231F20"/>
          <w:spacing w:val="-4"/>
          <w:sz w:val="20"/>
        </w:rPr>
        <w:t> </w:t>
      </w:r>
      <w:r>
        <w:rPr>
          <w:color w:val="231F20"/>
          <w:sz w:val="20"/>
        </w:rPr>
        <w:t>за</w:t>
      </w:r>
      <w:r>
        <w:rPr>
          <w:color w:val="231F20"/>
          <w:spacing w:val="-3"/>
          <w:sz w:val="20"/>
        </w:rPr>
        <w:t> </w:t>
      </w:r>
      <w:r>
        <w:rPr>
          <w:color w:val="231F20"/>
          <w:sz w:val="20"/>
        </w:rPr>
        <w:t>исключением</w:t>
      </w:r>
      <w:r>
        <w:rPr>
          <w:color w:val="231F20"/>
          <w:spacing w:val="-3"/>
          <w:sz w:val="20"/>
        </w:rPr>
        <w:t> </w:t>
      </w:r>
      <w:r>
        <w:rPr>
          <w:color w:val="231F20"/>
          <w:spacing w:val="-2"/>
          <w:sz w:val="20"/>
        </w:rPr>
        <w:t>одного</w:t>
      </w:r>
    </w:p>
    <w:p>
      <w:pPr>
        <w:pStyle w:val="ListParagraph"/>
        <w:numPr>
          <w:ilvl w:val="1"/>
          <w:numId w:val="323"/>
        </w:numPr>
        <w:tabs>
          <w:tab w:pos="707" w:val="left" w:leader="none"/>
        </w:tabs>
        <w:spacing w:line="240" w:lineRule="auto" w:before="0" w:after="0"/>
        <w:ind w:left="707" w:right="0" w:hanging="282"/>
        <w:jc w:val="left"/>
        <w:rPr>
          <w:sz w:val="20"/>
        </w:rPr>
      </w:pPr>
      <w:r>
        <w:rPr>
          <w:color w:val="231F20"/>
          <w:sz w:val="20"/>
        </w:rPr>
        <w:t>Все без</w:t>
      </w:r>
      <w:r>
        <w:rPr>
          <w:color w:val="231F20"/>
          <w:spacing w:val="1"/>
          <w:sz w:val="20"/>
        </w:rPr>
        <w:t> </w:t>
      </w:r>
      <w:r>
        <w:rPr>
          <w:color w:val="231F20"/>
          <w:spacing w:val="-2"/>
          <w:sz w:val="20"/>
        </w:rPr>
        <w:t>исключения</w:t>
      </w:r>
    </w:p>
    <w:p>
      <w:pPr>
        <w:spacing w:before="57"/>
        <w:ind w:left="425" w:right="0" w:firstLine="0"/>
        <w:jc w:val="left"/>
        <w:rPr>
          <w:b/>
          <w:i/>
          <w:sz w:val="20"/>
        </w:rPr>
      </w:pPr>
      <w:r>
        <w:rPr>
          <w:b/>
          <w:i/>
          <w:color w:val="231F20"/>
          <w:spacing w:val="-2"/>
          <w:sz w:val="20"/>
        </w:rPr>
        <w:t>Раздел</w:t>
      </w:r>
      <w:r>
        <w:rPr>
          <w:b/>
          <w:i/>
          <w:color w:val="231F20"/>
          <w:spacing w:val="-6"/>
          <w:sz w:val="20"/>
        </w:rPr>
        <w:t> </w:t>
      </w:r>
      <w:r>
        <w:rPr>
          <w:b/>
          <w:i/>
          <w:color w:val="231F20"/>
          <w:spacing w:val="-10"/>
          <w:sz w:val="20"/>
        </w:rPr>
        <w:t>2</w:t>
      </w:r>
    </w:p>
    <w:p>
      <w:pPr>
        <w:pStyle w:val="ListParagraph"/>
        <w:numPr>
          <w:ilvl w:val="0"/>
          <w:numId w:val="324"/>
        </w:numPr>
        <w:tabs>
          <w:tab w:pos="424" w:val="left" w:leader="none"/>
        </w:tabs>
        <w:spacing w:line="240" w:lineRule="auto" w:before="0" w:after="0"/>
        <w:ind w:left="424" w:right="0" w:hanging="283"/>
        <w:jc w:val="left"/>
        <w:rPr>
          <w:sz w:val="20"/>
        </w:rPr>
      </w:pPr>
      <w:r>
        <w:rPr>
          <w:color w:val="231F20"/>
          <w:sz w:val="20"/>
        </w:rPr>
        <w:t>Кто</w:t>
      </w:r>
      <w:r>
        <w:rPr>
          <w:color w:val="231F20"/>
          <w:spacing w:val="-6"/>
          <w:sz w:val="20"/>
        </w:rPr>
        <w:t> </w:t>
      </w:r>
      <w:r>
        <w:rPr>
          <w:color w:val="231F20"/>
          <w:sz w:val="20"/>
        </w:rPr>
        <w:t>больше</w:t>
      </w:r>
      <w:r>
        <w:rPr>
          <w:color w:val="231F20"/>
          <w:spacing w:val="-5"/>
          <w:sz w:val="20"/>
        </w:rPr>
        <w:t> </w:t>
      </w:r>
      <w:r>
        <w:rPr>
          <w:color w:val="231F20"/>
          <w:sz w:val="20"/>
        </w:rPr>
        <w:t>всех</w:t>
      </w:r>
      <w:r>
        <w:rPr>
          <w:color w:val="231F20"/>
          <w:spacing w:val="-6"/>
          <w:sz w:val="20"/>
        </w:rPr>
        <w:t> </w:t>
      </w:r>
      <w:r>
        <w:rPr>
          <w:color w:val="231F20"/>
          <w:sz w:val="20"/>
        </w:rPr>
        <w:t>говорил</w:t>
      </w:r>
      <w:r>
        <w:rPr>
          <w:color w:val="231F20"/>
          <w:spacing w:val="-5"/>
          <w:sz w:val="20"/>
        </w:rPr>
        <w:t> </w:t>
      </w:r>
      <w:r>
        <w:rPr>
          <w:color w:val="231F20"/>
          <w:sz w:val="20"/>
        </w:rPr>
        <w:t>сегодня</w:t>
      </w:r>
      <w:r>
        <w:rPr>
          <w:color w:val="231F20"/>
          <w:spacing w:val="-6"/>
          <w:sz w:val="20"/>
        </w:rPr>
        <w:t> </w:t>
      </w:r>
      <w:r>
        <w:rPr>
          <w:color w:val="231F20"/>
          <w:sz w:val="20"/>
        </w:rPr>
        <w:t>в</w:t>
      </w:r>
      <w:r>
        <w:rPr>
          <w:color w:val="231F20"/>
          <w:spacing w:val="-6"/>
          <w:sz w:val="20"/>
        </w:rPr>
        <w:t> </w:t>
      </w:r>
      <w:r>
        <w:rPr>
          <w:color w:val="231F20"/>
          <w:sz w:val="20"/>
        </w:rPr>
        <w:t>твоей</w:t>
      </w:r>
      <w:r>
        <w:rPr>
          <w:color w:val="231F20"/>
          <w:spacing w:val="-6"/>
          <w:sz w:val="20"/>
        </w:rPr>
        <w:t> </w:t>
      </w:r>
      <w:r>
        <w:rPr>
          <w:color w:val="231F20"/>
          <w:spacing w:val="-2"/>
          <w:sz w:val="20"/>
        </w:rPr>
        <w:t>группе?</w:t>
      </w:r>
    </w:p>
    <w:p>
      <w:pPr>
        <w:pStyle w:val="ListParagraph"/>
        <w:numPr>
          <w:ilvl w:val="0"/>
          <w:numId w:val="324"/>
        </w:numPr>
        <w:tabs>
          <w:tab w:pos="424" w:val="left" w:leader="none"/>
        </w:tabs>
        <w:spacing w:line="240" w:lineRule="auto" w:before="0" w:after="0"/>
        <w:ind w:left="424" w:right="0" w:hanging="283"/>
        <w:jc w:val="left"/>
        <w:rPr>
          <w:sz w:val="20"/>
        </w:rPr>
      </w:pPr>
      <w:r>
        <w:rPr>
          <w:color w:val="231F20"/>
          <w:sz w:val="20"/>
        </w:rPr>
        <w:t>Кто</w:t>
      </w:r>
      <w:r>
        <w:rPr>
          <w:color w:val="231F20"/>
          <w:spacing w:val="-8"/>
          <w:sz w:val="20"/>
        </w:rPr>
        <w:t> </w:t>
      </w:r>
      <w:r>
        <w:rPr>
          <w:color w:val="231F20"/>
          <w:sz w:val="20"/>
        </w:rPr>
        <w:t>говорил</w:t>
      </w:r>
      <w:r>
        <w:rPr>
          <w:color w:val="231F20"/>
          <w:spacing w:val="-7"/>
          <w:sz w:val="20"/>
        </w:rPr>
        <w:t> </w:t>
      </w:r>
      <w:r>
        <w:rPr>
          <w:color w:val="231F20"/>
          <w:sz w:val="20"/>
        </w:rPr>
        <w:t>сегодня</w:t>
      </w:r>
      <w:r>
        <w:rPr>
          <w:color w:val="231F20"/>
          <w:spacing w:val="-8"/>
          <w:sz w:val="20"/>
        </w:rPr>
        <w:t> </w:t>
      </w:r>
      <w:r>
        <w:rPr>
          <w:color w:val="231F20"/>
          <w:sz w:val="20"/>
        </w:rPr>
        <w:t>меньше</w:t>
      </w:r>
      <w:r>
        <w:rPr>
          <w:color w:val="231F20"/>
          <w:spacing w:val="-7"/>
          <w:sz w:val="20"/>
        </w:rPr>
        <w:t> </w:t>
      </w:r>
      <w:r>
        <w:rPr>
          <w:color w:val="231F20"/>
          <w:spacing w:val="-4"/>
          <w:sz w:val="20"/>
        </w:rPr>
        <w:t>всех?</w:t>
      </w:r>
    </w:p>
    <w:p>
      <w:pPr>
        <w:pStyle w:val="ListParagraph"/>
        <w:numPr>
          <w:ilvl w:val="0"/>
          <w:numId w:val="324"/>
        </w:numPr>
        <w:tabs>
          <w:tab w:pos="424" w:val="left" w:leader="none"/>
        </w:tabs>
        <w:spacing w:line="240" w:lineRule="auto" w:before="0" w:after="0"/>
        <w:ind w:left="424" w:right="0" w:hanging="283"/>
        <w:jc w:val="left"/>
        <w:rPr>
          <w:sz w:val="20"/>
        </w:rPr>
      </w:pPr>
      <w:r>
        <w:rPr>
          <w:color w:val="231F20"/>
          <w:sz w:val="20"/>
        </w:rPr>
        <w:t>У</w:t>
      </w:r>
      <w:r>
        <w:rPr>
          <w:color w:val="231F20"/>
          <w:spacing w:val="-7"/>
          <w:sz w:val="20"/>
        </w:rPr>
        <w:t> </w:t>
      </w:r>
      <w:r>
        <w:rPr>
          <w:color w:val="231F20"/>
          <w:sz w:val="20"/>
        </w:rPr>
        <w:t>кого</w:t>
      </w:r>
      <w:r>
        <w:rPr>
          <w:color w:val="231F20"/>
          <w:spacing w:val="-7"/>
          <w:sz w:val="20"/>
        </w:rPr>
        <w:t> </w:t>
      </w:r>
      <w:r>
        <w:rPr>
          <w:color w:val="231F20"/>
          <w:sz w:val="20"/>
        </w:rPr>
        <w:t>сегодня</w:t>
      </w:r>
      <w:r>
        <w:rPr>
          <w:color w:val="231F20"/>
          <w:spacing w:val="-7"/>
          <w:sz w:val="20"/>
        </w:rPr>
        <w:t> </w:t>
      </w:r>
      <w:r>
        <w:rPr>
          <w:color w:val="231F20"/>
          <w:sz w:val="20"/>
        </w:rPr>
        <w:t>были</w:t>
      </w:r>
      <w:r>
        <w:rPr>
          <w:color w:val="231F20"/>
          <w:spacing w:val="-8"/>
          <w:sz w:val="20"/>
        </w:rPr>
        <w:t> </w:t>
      </w:r>
      <w:r>
        <w:rPr>
          <w:color w:val="231F20"/>
          <w:sz w:val="20"/>
        </w:rPr>
        <w:t>самые</w:t>
      </w:r>
      <w:r>
        <w:rPr>
          <w:color w:val="231F20"/>
          <w:spacing w:val="-8"/>
          <w:sz w:val="20"/>
        </w:rPr>
        <w:t> </w:t>
      </w:r>
      <w:r>
        <w:rPr>
          <w:color w:val="231F20"/>
          <w:sz w:val="20"/>
        </w:rPr>
        <w:t>замечательные</w:t>
      </w:r>
      <w:r>
        <w:rPr>
          <w:color w:val="231F20"/>
          <w:spacing w:val="-6"/>
          <w:sz w:val="20"/>
        </w:rPr>
        <w:t> </w:t>
      </w:r>
      <w:r>
        <w:rPr>
          <w:color w:val="231F20"/>
          <w:spacing w:val="-2"/>
          <w:sz w:val="20"/>
        </w:rPr>
        <w:t>идеи?</w:t>
      </w:r>
    </w:p>
    <w:p>
      <w:pPr>
        <w:pStyle w:val="ListParagraph"/>
        <w:numPr>
          <w:ilvl w:val="0"/>
          <w:numId w:val="324"/>
        </w:numPr>
        <w:tabs>
          <w:tab w:pos="424" w:val="left" w:leader="none"/>
        </w:tabs>
        <w:spacing w:line="240" w:lineRule="auto" w:before="0" w:after="0"/>
        <w:ind w:left="424" w:right="0" w:hanging="283"/>
        <w:jc w:val="left"/>
        <w:rPr>
          <w:sz w:val="20"/>
        </w:rPr>
      </w:pPr>
      <w:r>
        <w:rPr>
          <w:color w:val="231F20"/>
          <w:sz w:val="20"/>
        </w:rPr>
        <w:t>Кто</w:t>
      </w:r>
      <w:r>
        <w:rPr>
          <w:color w:val="231F20"/>
          <w:spacing w:val="-7"/>
          <w:sz w:val="20"/>
        </w:rPr>
        <w:t> </w:t>
      </w:r>
      <w:r>
        <w:rPr>
          <w:color w:val="231F20"/>
          <w:sz w:val="20"/>
        </w:rPr>
        <w:t>из</w:t>
      </w:r>
      <w:r>
        <w:rPr>
          <w:color w:val="231F20"/>
          <w:spacing w:val="-6"/>
          <w:sz w:val="20"/>
        </w:rPr>
        <w:t> </w:t>
      </w:r>
      <w:r>
        <w:rPr>
          <w:color w:val="231F20"/>
          <w:sz w:val="20"/>
        </w:rPr>
        <w:t>вашей</w:t>
      </w:r>
      <w:r>
        <w:rPr>
          <w:color w:val="231F20"/>
          <w:spacing w:val="-8"/>
          <w:sz w:val="20"/>
        </w:rPr>
        <w:t> </w:t>
      </w:r>
      <w:r>
        <w:rPr>
          <w:color w:val="231F20"/>
          <w:sz w:val="20"/>
        </w:rPr>
        <w:t>группы</w:t>
      </w:r>
      <w:r>
        <w:rPr>
          <w:color w:val="231F20"/>
          <w:spacing w:val="-6"/>
          <w:sz w:val="20"/>
        </w:rPr>
        <w:t> </w:t>
      </w:r>
      <w:r>
        <w:rPr>
          <w:color w:val="231F20"/>
          <w:sz w:val="20"/>
        </w:rPr>
        <w:t>больше</w:t>
      </w:r>
      <w:r>
        <w:rPr>
          <w:color w:val="231F20"/>
          <w:spacing w:val="-6"/>
          <w:sz w:val="20"/>
        </w:rPr>
        <w:t> </w:t>
      </w:r>
      <w:r>
        <w:rPr>
          <w:color w:val="231F20"/>
          <w:sz w:val="20"/>
        </w:rPr>
        <w:t>всех</w:t>
      </w:r>
      <w:r>
        <w:rPr>
          <w:color w:val="231F20"/>
          <w:spacing w:val="-7"/>
          <w:sz w:val="20"/>
        </w:rPr>
        <w:t> </w:t>
      </w:r>
      <w:r>
        <w:rPr>
          <w:color w:val="231F20"/>
          <w:sz w:val="20"/>
        </w:rPr>
        <w:t>управлял</w:t>
      </w:r>
      <w:r>
        <w:rPr>
          <w:color w:val="231F20"/>
          <w:spacing w:val="-6"/>
          <w:sz w:val="20"/>
        </w:rPr>
        <w:t> </w:t>
      </w:r>
      <w:r>
        <w:rPr>
          <w:color w:val="231F20"/>
          <w:sz w:val="20"/>
        </w:rPr>
        <w:t>ходом</w:t>
      </w:r>
      <w:r>
        <w:rPr>
          <w:color w:val="231F20"/>
          <w:spacing w:val="-6"/>
          <w:sz w:val="20"/>
        </w:rPr>
        <w:t> </w:t>
      </w:r>
      <w:r>
        <w:rPr>
          <w:color w:val="231F20"/>
          <w:spacing w:val="-2"/>
          <w:sz w:val="20"/>
        </w:rPr>
        <w:t>обсуждения?</w:t>
      </w:r>
    </w:p>
    <w:p>
      <w:pPr>
        <w:pStyle w:val="ListParagraph"/>
        <w:numPr>
          <w:ilvl w:val="0"/>
          <w:numId w:val="324"/>
        </w:numPr>
        <w:tabs>
          <w:tab w:pos="425" w:val="left" w:leader="none"/>
          <w:tab w:pos="950" w:val="left" w:leader="none"/>
          <w:tab w:pos="1621" w:val="left" w:leader="none"/>
        </w:tabs>
        <w:spacing w:line="240" w:lineRule="auto" w:before="0" w:after="0"/>
        <w:ind w:left="425" w:right="3331" w:hanging="284"/>
        <w:jc w:val="left"/>
        <w:rPr>
          <w:sz w:val="20"/>
        </w:rPr>
      </w:pPr>
      <w:r>
        <w:rPr>
          <w:color w:val="231F20"/>
          <w:sz w:val="20"/>
        </w:rPr>
        <w:t>Хотел</w:t>
      </w:r>
      <w:r>
        <w:rPr>
          <w:color w:val="231F20"/>
          <w:spacing w:val="-7"/>
          <w:sz w:val="20"/>
        </w:rPr>
        <w:t> </w:t>
      </w:r>
      <w:r>
        <w:rPr>
          <w:color w:val="231F20"/>
          <w:sz w:val="20"/>
        </w:rPr>
        <w:t>бы</w:t>
      </w:r>
      <w:r>
        <w:rPr>
          <w:color w:val="231F20"/>
          <w:spacing w:val="-7"/>
          <w:sz w:val="20"/>
        </w:rPr>
        <w:t> </w:t>
      </w:r>
      <w:r>
        <w:rPr>
          <w:color w:val="231F20"/>
          <w:sz w:val="20"/>
        </w:rPr>
        <w:t>ты</w:t>
      </w:r>
      <w:r>
        <w:rPr>
          <w:color w:val="231F20"/>
          <w:spacing w:val="-8"/>
          <w:sz w:val="20"/>
        </w:rPr>
        <w:t> </w:t>
      </w:r>
      <w:r>
        <w:rPr>
          <w:color w:val="231F20"/>
          <w:sz w:val="20"/>
        </w:rPr>
        <w:t>снова</w:t>
      </w:r>
      <w:r>
        <w:rPr>
          <w:color w:val="231F20"/>
          <w:spacing w:val="-7"/>
          <w:sz w:val="20"/>
        </w:rPr>
        <w:t> </w:t>
      </w:r>
      <w:r>
        <w:rPr>
          <w:color w:val="231F20"/>
          <w:sz w:val="20"/>
        </w:rPr>
        <w:t>попасть</w:t>
      </w:r>
      <w:r>
        <w:rPr>
          <w:color w:val="231F20"/>
          <w:spacing w:val="-8"/>
          <w:sz w:val="20"/>
        </w:rPr>
        <w:t> </w:t>
      </w:r>
      <w:r>
        <w:rPr>
          <w:color w:val="231F20"/>
          <w:sz w:val="20"/>
        </w:rPr>
        <w:t>в</w:t>
      </w:r>
      <w:r>
        <w:rPr>
          <w:color w:val="231F20"/>
          <w:spacing w:val="-8"/>
          <w:sz w:val="20"/>
        </w:rPr>
        <w:t> </w:t>
      </w:r>
      <w:r>
        <w:rPr>
          <w:color w:val="231F20"/>
          <w:sz w:val="20"/>
        </w:rPr>
        <w:t>эту</w:t>
      </w:r>
      <w:r>
        <w:rPr>
          <w:color w:val="231F20"/>
          <w:spacing w:val="-7"/>
          <w:sz w:val="20"/>
        </w:rPr>
        <w:t> </w:t>
      </w:r>
      <w:r>
        <w:rPr>
          <w:color w:val="231F20"/>
          <w:sz w:val="20"/>
        </w:rPr>
        <w:t>же</w:t>
      </w:r>
      <w:r>
        <w:rPr>
          <w:color w:val="231F20"/>
          <w:spacing w:val="-7"/>
          <w:sz w:val="20"/>
        </w:rPr>
        <w:t> </w:t>
      </w:r>
      <w:r>
        <w:rPr>
          <w:color w:val="231F20"/>
          <w:sz w:val="20"/>
        </w:rPr>
        <w:t>группу? </w:t>
      </w:r>
      <w:r>
        <w:rPr>
          <w:color w:val="231F20"/>
          <w:spacing w:val="-6"/>
          <w:sz w:val="20"/>
        </w:rPr>
        <w:t>Да</w:t>
      </w:r>
      <w:r>
        <w:rPr>
          <w:color w:val="231F20"/>
          <w:sz w:val="20"/>
          <w:u w:val="single" w:color="221E1F"/>
        </w:rPr>
        <w:tab/>
      </w:r>
      <w:r>
        <w:rPr>
          <w:color w:val="231F20"/>
          <w:sz w:val="20"/>
        </w:rPr>
        <w:t> Нет</w:t>
      </w:r>
      <w:r>
        <w:rPr>
          <w:color w:val="231F20"/>
          <w:sz w:val="20"/>
          <w:u w:val="single" w:color="221E1F"/>
        </w:rPr>
        <w:tab/>
      </w:r>
    </w:p>
    <w:p>
      <w:pPr>
        <w:pStyle w:val="BodyText"/>
        <w:tabs>
          <w:tab w:pos="4304" w:val="left" w:leader="none"/>
        </w:tabs>
        <w:ind w:left="425" w:right="0" w:firstLine="0"/>
        <w:jc w:val="left"/>
      </w:pPr>
      <w:r>
        <w:rPr>
          <w:color w:val="231F20"/>
        </w:rPr>
        <w:t>Если</w:t>
      </w:r>
      <w:r>
        <w:rPr>
          <w:color w:val="231F20"/>
          <w:spacing w:val="-1"/>
        </w:rPr>
        <w:t> </w:t>
      </w:r>
      <w:r>
        <w:rPr>
          <w:color w:val="231F20"/>
        </w:rPr>
        <w:t>«Нет», то почему? </w:t>
      </w:r>
      <w:r>
        <w:rPr>
          <w:color w:val="231F20"/>
          <w:u w:val="single" w:color="221E1F"/>
        </w:rPr>
        <w:tab/>
      </w:r>
    </w:p>
    <w:p>
      <w:pPr>
        <w:pStyle w:val="ListParagraph"/>
        <w:numPr>
          <w:ilvl w:val="0"/>
          <w:numId w:val="324"/>
        </w:numPr>
        <w:tabs>
          <w:tab w:pos="424" w:val="left" w:leader="none"/>
        </w:tabs>
        <w:spacing w:line="240" w:lineRule="auto" w:before="0" w:after="0"/>
        <w:ind w:left="424" w:right="0" w:hanging="283"/>
        <w:jc w:val="left"/>
        <w:rPr>
          <w:sz w:val="20"/>
        </w:rPr>
      </w:pPr>
      <w:r>
        <w:rPr>
          <w:color w:val="231F20"/>
          <w:sz w:val="20"/>
        </w:rPr>
        <w:t>Как</w:t>
      </w:r>
      <w:r>
        <w:rPr>
          <w:color w:val="231F20"/>
          <w:spacing w:val="-8"/>
          <w:sz w:val="20"/>
        </w:rPr>
        <w:t> </w:t>
      </w:r>
      <w:r>
        <w:rPr>
          <w:color w:val="231F20"/>
          <w:sz w:val="20"/>
        </w:rPr>
        <w:t>ты</w:t>
      </w:r>
      <w:r>
        <w:rPr>
          <w:color w:val="231F20"/>
          <w:spacing w:val="-6"/>
          <w:sz w:val="20"/>
        </w:rPr>
        <w:t> </w:t>
      </w:r>
      <w:r>
        <w:rPr>
          <w:color w:val="231F20"/>
          <w:sz w:val="20"/>
        </w:rPr>
        <w:t>думаешь,</w:t>
      </w:r>
      <w:r>
        <w:rPr>
          <w:color w:val="231F20"/>
          <w:spacing w:val="-6"/>
          <w:sz w:val="20"/>
        </w:rPr>
        <w:t> </w:t>
      </w:r>
      <w:r>
        <w:rPr>
          <w:color w:val="231F20"/>
          <w:sz w:val="20"/>
        </w:rPr>
        <w:t>насколько</w:t>
      </w:r>
      <w:r>
        <w:rPr>
          <w:color w:val="231F20"/>
          <w:spacing w:val="-6"/>
          <w:sz w:val="20"/>
        </w:rPr>
        <w:t> </w:t>
      </w:r>
      <w:r>
        <w:rPr>
          <w:color w:val="231F20"/>
          <w:sz w:val="20"/>
        </w:rPr>
        <w:t>хорошо</w:t>
      </w:r>
      <w:r>
        <w:rPr>
          <w:color w:val="231F20"/>
          <w:spacing w:val="-6"/>
          <w:sz w:val="20"/>
        </w:rPr>
        <w:t> </w:t>
      </w:r>
      <w:r>
        <w:rPr>
          <w:color w:val="231F20"/>
          <w:sz w:val="20"/>
        </w:rPr>
        <w:t>сегодня</w:t>
      </w:r>
      <w:r>
        <w:rPr>
          <w:color w:val="231F20"/>
          <w:spacing w:val="-6"/>
          <w:sz w:val="20"/>
        </w:rPr>
        <w:t> </w:t>
      </w:r>
      <w:r>
        <w:rPr>
          <w:color w:val="231F20"/>
          <w:sz w:val="20"/>
        </w:rPr>
        <w:t>справился</w:t>
      </w:r>
      <w:r>
        <w:rPr>
          <w:color w:val="231F20"/>
          <w:spacing w:val="-6"/>
          <w:sz w:val="20"/>
        </w:rPr>
        <w:t> </w:t>
      </w:r>
      <w:r>
        <w:rPr>
          <w:color w:val="231F20"/>
          <w:sz w:val="20"/>
        </w:rPr>
        <w:t>со</w:t>
      </w:r>
      <w:r>
        <w:rPr>
          <w:color w:val="231F20"/>
          <w:spacing w:val="-6"/>
          <w:sz w:val="20"/>
        </w:rPr>
        <w:t> </w:t>
      </w:r>
      <w:r>
        <w:rPr>
          <w:color w:val="231F20"/>
          <w:sz w:val="20"/>
        </w:rPr>
        <w:t>своей</w:t>
      </w:r>
      <w:r>
        <w:rPr>
          <w:color w:val="231F20"/>
          <w:spacing w:val="-7"/>
          <w:sz w:val="20"/>
        </w:rPr>
        <w:t> </w:t>
      </w:r>
      <w:r>
        <w:rPr>
          <w:color w:val="231F20"/>
          <w:sz w:val="20"/>
        </w:rPr>
        <w:t>ролью</w:t>
      </w:r>
      <w:r>
        <w:rPr>
          <w:color w:val="231F20"/>
          <w:spacing w:val="-6"/>
          <w:sz w:val="20"/>
        </w:rPr>
        <w:t> </w:t>
      </w:r>
      <w:r>
        <w:rPr>
          <w:color w:val="231F20"/>
          <w:spacing w:val="-2"/>
          <w:sz w:val="20"/>
        </w:rPr>
        <w:t>ведущий?</w:t>
      </w:r>
    </w:p>
    <w:p>
      <w:pPr>
        <w:pStyle w:val="BodyText"/>
        <w:spacing w:before="113"/>
      </w:pPr>
      <w:r>
        <w:rPr>
          <w:color w:val="231F20"/>
        </w:rPr>
        <w:t>При</w:t>
      </w:r>
      <w:r>
        <w:rPr>
          <w:color w:val="231F20"/>
          <w:spacing w:val="-8"/>
        </w:rPr>
        <w:t> </w:t>
      </w:r>
      <w:r>
        <w:rPr>
          <w:color w:val="231F20"/>
        </w:rPr>
        <w:t>работе</w:t>
      </w:r>
      <w:r>
        <w:rPr>
          <w:color w:val="231F20"/>
          <w:spacing w:val="-8"/>
        </w:rPr>
        <w:t> </w:t>
      </w:r>
      <w:r>
        <w:rPr>
          <w:color w:val="231F20"/>
        </w:rPr>
        <w:t>в</w:t>
      </w:r>
      <w:r>
        <w:rPr>
          <w:color w:val="231F20"/>
          <w:spacing w:val="-8"/>
        </w:rPr>
        <w:t> </w:t>
      </w:r>
      <w:r>
        <w:rPr>
          <w:color w:val="231F20"/>
        </w:rPr>
        <w:t>поликультурных</w:t>
      </w:r>
      <w:r>
        <w:rPr>
          <w:color w:val="231F20"/>
          <w:spacing w:val="-8"/>
        </w:rPr>
        <w:t> </w:t>
      </w:r>
      <w:r>
        <w:rPr>
          <w:color w:val="231F20"/>
        </w:rPr>
        <w:t>классах</w:t>
      </w:r>
      <w:r>
        <w:rPr>
          <w:color w:val="231F20"/>
          <w:spacing w:val="-8"/>
        </w:rPr>
        <w:t> </w:t>
      </w:r>
      <w:r>
        <w:rPr>
          <w:color w:val="231F20"/>
        </w:rPr>
        <w:t>учитель</w:t>
      </w:r>
      <w:r>
        <w:rPr>
          <w:color w:val="231F20"/>
          <w:spacing w:val="-8"/>
        </w:rPr>
        <w:t> </w:t>
      </w:r>
      <w:r>
        <w:rPr>
          <w:color w:val="231F20"/>
        </w:rPr>
        <w:t>может</w:t>
      </w:r>
      <w:r>
        <w:rPr>
          <w:color w:val="231F20"/>
          <w:spacing w:val="-8"/>
        </w:rPr>
        <w:t> </w:t>
      </w:r>
      <w:r>
        <w:rPr>
          <w:color w:val="231F20"/>
        </w:rPr>
        <w:t>отобрать</w:t>
      </w:r>
      <w:r>
        <w:rPr>
          <w:color w:val="231F20"/>
          <w:spacing w:val="-8"/>
        </w:rPr>
        <w:t> </w:t>
      </w:r>
      <w:r>
        <w:rPr>
          <w:color w:val="231F20"/>
        </w:rPr>
        <w:t>анкеты,</w:t>
      </w:r>
      <w:r>
        <w:rPr>
          <w:color w:val="231F20"/>
          <w:spacing w:val="-8"/>
        </w:rPr>
        <w:t> </w:t>
      </w:r>
      <w:r>
        <w:rPr>
          <w:color w:val="231F20"/>
        </w:rPr>
        <w:t>заполнен- ные особыми учащимися класса, и проанализировать их, ориентируясь на следую- щие вопросы:</w:t>
      </w:r>
    </w:p>
    <w:p>
      <w:pPr>
        <w:pStyle w:val="ListParagraph"/>
        <w:numPr>
          <w:ilvl w:val="0"/>
          <w:numId w:val="325"/>
        </w:numPr>
        <w:tabs>
          <w:tab w:pos="425" w:val="left" w:leader="none"/>
        </w:tabs>
        <w:spacing w:line="240" w:lineRule="auto" w:before="1" w:after="0"/>
        <w:ind w:left="425" w:right="139" w:hanging="284"/>
        <w:jc w:val="both"/>
        <w:rPr>
          <w:sz w:val="20"/>
        </w:rPr>
      </w:pPr>
      <w:r>
        <w:rPr>
          <w:color w:val="231F20"/>
          <w:sz w:val="20"/>
        </w:rPr>
        <w:t>Скольким</w:t>
      </w:r>
      <w:r>
        <w:rPr>
          <w:color w:val="231F20"/>
          <w:spacing w:val="-5"/>
          <w:sz w:val="20"/>
        </w:rPr>
        <w:t> </w:t>
      </w:r>
      <w:r>
        <w:rPr>
          <w:color w:val="231F20"/>
          <w:sz w:val="20"/>
        </w:rPr>
        <w:t>из</w:t>
      </w:r>
      <w:r>
        <w:rPr>
          <w:color w:val="231F20"/>
          <w:spacing w:val="-5"/>
          <w:sz w:val="20"/>
        </w:rPr>
        <w:t> </w:t>
      </w:r>
      <w:r>
        <w:rPr>
          <w:color w:val="231F20"/>
          <w:sz w:val="20"/>
        </w:rPr>
        <w:t>них</w:t>
      </w:r>
      <w:r>
        <w:rPr>
          <w:color w:val="231F20"/>
          <w:spacing w:val="-5"/>
          <w:sz w:val="20"/>
        </w:rPr>
        <w:t> </w:t>
      </w:r>
      <w:r>
        <w:rPr>
          <w:color w:val="231F20"/>
          <w:sz w:val="20"/>
        </w:rPr>
        <w:t>поставленная</w:t>
      </w:r>
      <w:r>
        <w:rPr>
          <w:color w:val="231F20"/>
          <w:spacing w:val="-5"/>
          <w:sz w:val="20"/>
        </w:rPr>
        <w:t> </w:t>
      </w:r>
      <w:r>
        <w:rPr>
          <w:color w:val="231F20"/>
          <w:sz w:val="20"/>
        </w:rPr>
        <w:t>учителем</w:t>
      </w:r>
      <w:r>
        <w:rPr>
          <w:color w:val="231F20"/>
          <w:spacing w:val="-6"/>
          <w:sz w:val="20"/>
        </w:rPr>
        <w:t> </w:t>
      </w:r>
      <w:r>
        <w:rPr>
          <w:color w:val="231F20"/>
          <w:sz w:val="20"/>
        </w:rPr>
        <w:t>задача</w:t>
      </w:r>
      <w:r>
        <w:rPr>
          <w:color w:val="231F20"/>
          <w:spacing w:val="-5"/>
          <w:sz w:val="20"/>
        </w:rPr>
        <w:t> </w:t>
      </w:r>
      <w:r>
        <w:rPr>
          <w:color w:val="231F20"/>
          <w:sz w:val="20"/>
        </w:rPr>
        <w:t>показалась</w:t>
      </w:r>
      <w:r>
        <w:rPr>
          <w:color w:val="231F20"/>
          <w:spacing w:val="-5"/>
          <w:sz w:val="20"/>
        </w:rPr>
        <w:t> </w:t>
      </w:r>
      <w:r>
        <w:rPr>
          <w:color w:val="231F20"/>
          <w:sz w:val="20"/>
        </w:rPr>
        <w:t>интересной,</w:t>
      </w:r>
      <w:r>
        <w:rPr>
          <w:color w:val="231F20"/>
          <w:spacing w:val="-5"/>
          <w:sz w:val="20"/>
        </w:rPr>
        <w:t> </w:t>
      </w:r>
      <w:r>
        <w:rPr>
          <w:color w:val="231F20"/>
          <w:sz w:val="20"/>
        </w:rPr>
        <w:t>слишком сложной или непонятной?</w:t>
      </w:r>
    </w:p>
    <w:p>
      <w:pPr>
        <w:pStyle w:val="ListParagraph"/>
        <w:numPr>
          <w:ilvl w:val="0"/>
          <w:numId w:val="325"/>
        </w:numPr>
        <w:tabs>
          <w:tab w:pos="425" w:val="left" w:leader="none"/>
        </w:tabs>
        <w:spacing w:line="240" w:lineRule="auto" w:before="0" w:after="0"/>
        <w:ind w:left="425" w:right="139" w:hanging="284"/>
        <w:jc w:val="both"/>
        <w:rPr>
          <w:sz w:val="20"/>
        </w:rPr>
      </w:pPr>
      <w:r>
        <w:rPr>
          <w:color w:val="231F20"/>
          <w:sz w:val="20"/>
        </w:rPr>
        <w:t>Какой процент особых учащихся (по отношению к остальным учащимся класса) написали,</w:t>
      </w:r>
      <w:r>
        <w:rPr>
          <w:color w:val="231F20"/>
          <w:spacing w:val="-2"/>
          <w:sz w:val="20"/>
        </w:rPr>
        <w:t> </w:t>
      </w:r>
      <w:r>
        <w:rPr>
          <w:color w:val="231F20"/>
          <w:sz w:val="20"/>
        </w:rPr>
        <w:t>что</w:t>
      </w:r>
      <w:r>
        <w:rPr>
          <w:color w:val="231F20"/>
          <w:spacing w:val="-2"/>
          <w:sz w:val="20"/>
        </w:rPr>
        <w:t> </w:t>
      </w:r>
      <w:r>
        <w:rPr>
          <w:color w:val="231F20"/>
          <w:sz w:val="20"/>
        </w:rPr>
        <w:t>они</w:t>
      </w:r>
      <w:r>
        <w:rPr>
          <w:color w:val="231F20"/>
          <w:spacing w:val="-2"/>
          <w:sz w:val="20"/>
        </w:rPr>
        <w:t> </w:t>
      </w:r>
      <w:r>
        <w:rPr>
          <w:color w:val="231F20"/>
          <w:sz w:val="20"/>
        </w:rPr>
        <w:t>не</w:t>
      </w:r>
      <w:r>
        <w:rPr>
          <w:color w:val="231F20"/>
          <w:spacing w:val="-2"/>
          <w:sz w:val="20"/>
        </w:rPr>
        <w:t> </w:t>
      </w:r>
      <w:r>
        <w:rPr>
          <w:color w:val="231F20"/>
          <w:sz w:val="20"/>
        </w:rPr>
        <w:t>участвовали</w:t>
      </w:r>
      <w:r>
        <w:rPr>
          <w:color w:val="231F20"/>
          <w:spacing w:val="-2"/>
          <w:sz w:val="20"/>
        </w:rPr>
        <w:t> </w:t>
      </w:r>
      <w:r>
        <w:rPr>
          <w:color w:val="231F20"/>
          <w:sz w:val="20"/>
        </w:rPr>
        <w:t>в</w:t>
      </w:r>
      <w:r>
        <w:rPr>
          <w:color w:val="231F20"/>
          <w:spacing w:val="-2"/>
          <w:sz w:val="20"/>
        </w:rPr>
        <w:t> </w:t>
      </w:r>
      <w:r>
        <w:rPr>
          <w:color w:val="231F20"/>
          <w:sz w:val="20"/>
        </w:rPr>
        <w:t>групповых</w:t>
      </w:r>
      <w:r>
        <w:rPr>
          <w:color w:val="231F20"/>
          <w:spacing w:val="-1"/>
          <w:sz w:val="20"/>
        </w:rPr>
        <w:t> </w:t>
      </w:r>
      <w:r>
        <w:rPr>
          <w:color w:val="231F20"/>
          <w:sz w:val="20"/>
        </w:rPr>
        <w:t>обсуждениях?</w:t>
      </w:r>
      <w:r>
        <w:rPr>
          <w:color w:val="231F20"/>
          <w:spacing w:val="-2"/>
          <w:sz w:val="20"/>
        </w:rPr>
        <w:t> </w:t>
      </w:r>
      <w:r>
        <w:rPr>
          <w:color w:val="231F20"/>
          <w:sz w:val="20"/>
        </w:rPr>
        <w:t>Какие</w:t>
      </w:r>
      <w:r>
        <w:rPr>
          <w:color w:val="231F20"/>
          <w:spacing w:val="-2"/>
          <w:sz w:val="20"/>
        </w:rPr>
        <w:t> </w:t>
      </w:r>
      <w:r>
        <w:rPr>
          <w:color w:val="231F20"/>
          <w:sz w:val="20"/>
        </w:rPr>
        <w:t>именно</w:t>
      </w:r>
      <w:r>
        <w:rPr>
          <w:color w:val="231F20"/>
          <w:spacing w:val="-2"/>
          <w:sz w:val="20"/>
        </w:rPr>
        <w:t> </w:t>
      </w:r>
      <w:r>
        <w:rPr>
          <w:color w:val="231F20"/>
          <w:sz w:val="20"/>
        </w:rPr>
        <w:t>при- чины на это повлияли?</w:t>
      </w:r>
    </w:p>
    <w:p>
      <w:pPr>
        <w:pStyle w:val="ListParagraph"/>
        <w:numPr>
          <w:ilvl w:val="0"/>
          <w:numId w:val="325"/>
        </w:numPr>
        <w:tabs>
          <w:tab w:pos="425" w:val="left" w:leader="none"/>
        </w:tabs>
        <w:spacing w:line="240" w:lineRule="auto" w:before="0" w:after="0"/>
        <w:ind w:left="425" w:right="139" w:hanging="284"/>
        <w:jc w:val="both"/>
        <w:rPr>
          <w:sz w:val="20"/>
        </w:rPr>
      </w:pPr>
      <w:r>
        <w:rPr>
          <w:color w:val="231F20"/>
          <w:sz w:val="20"/>
        </w:rPr>
        <w:t>Для</w:t>
      </w:r>
      <w:r>
        <w:rPr>
          <w:color w:val="231F20"/>
          <w:spacing w:val="-8"/>
          <w:sz w:val="20"/>
        </w:rPr>
        <w:t> </w:t>
      </w:r>
      <w:r>
        <w:rPr>
          <w:color w:val="231F20"/>
          <w:sz w:val="20"/>
        </w:rPr>
        <w:t>каких</w:t>
      </w:r>
      <w:r>
        <w:rPr>
          <w:color w:val="231F20"/>
          <w:spacing w:val="-8"/>
          <w:sz w:val="20"/>
        </w:rPr>
        <w:t> </w:t>
      </w:r>
      <w:r>
        <w:rPr>
          <w:color w:val="231F20"/>
          <w:sz w:val="20"/>
        </w:rPr>
        <w:t>особых</w:t>
      </w:r>
      <w:r>
        <w:rPr>
          <w:color w:val="231F20"/>
          <w:spacing w:val="-8"/>
          <w:sz w:val="20"/>
        </w:rPr>
        <w:t> </w:t>
      </w:r>
      <w:r>
        <w:rPr>
          <w:color w:val="231F20"/>
          <w:sz w:val="20"/>
        </w:rPr>
        <w:t>учащихся</w:t>
      </w:r>
      <w:r>
        <w:rPr>
          <w:color w:val="231F20"/>
          <w:spacing w:val="-8"/>
          <w:sz w:val="20"/>
        </w:rPr>
        <w:t> </w:t>
      </w:r>
      <w:r>
        <w:rPr>
          <w:color w:val="231F20"/>
          <w:sz w:val="20"/>
        </w:rPr>
        <w:t>групповая</w:t>
      </w:r>
      <w:r>
        <w:rPr>
          <w:color w:val="231F20"/>
          <w:spacing w:val="-8"/>
          <w:sz w:val="20"/>
        </w:rPr>
        <w:t> </w:t>
      </w:r>
      <w:r>
        <w:rPr>
          <w:color w:val="231F20"/>
          <w:sz w:val="20"/>
        </w:rPr>
        <w:t>работа</w:t>
      </w:r>
      <w:r>
        <w:rPr>
          <w:color w:val="231F20"/>
          <w:spacing w:val="-8"/>
          <w:sz w:val="20"/>
        </w:rPr>
        <w:t> </w:t>
      </w:r>
      <w:r>
        <w:rPr>
          <w:color w:val="231F20"/>
          <w:sz w:val="20"/>
        </w:rPr>
        <w:t>совсем</w:t>
      </w:r>
      <w:r>
        <w:rPr>
          <w:color w:val="231F20"/>
          <w:spacing w:val="-8"/>
          <w:sz w:val="20"/>
        </w:rPr>
        <w:t> </w:t>
      </w:r>
      <w:r>
        <w:rPr>
          <w:color w:val="231F20"/>
          <w:sz w:val="20"/>
        </w:rPr>
        <w:t>не</w:t>
      </w:r>
      <w:r>
        <w:rPr>
          <w:color w:val="231F20"/>
          <w:spacing w:val="-8"/>
          <w:sz w:val="20"/>
        </w:rPr>
        <w:t> </w:t>
      </w:r>
      <w:r>
        <w:rPr>
          <w:color w:val="231F20"/>
          <w:sz w:val="20"/>
        </w:rPr>
        <w:t>подошла?</w:t>
      </w:r>
      <w:r>
        <w:rPr>
          <w:color w:val="231F20"/>
          <w:spacing w:val="-8"/>
          <w:sz w:val="20"/>
        </w:rPr>
        <w:t> </w:t>
      </w:r>
      <w:r>
        <w:rPr>
          <w:color w:val="231F20"/>
          <w:sz w:val="20"/>
        </w:rPr>
        <w:t>С</w:t>
      </w:r>
      <w:r>
        <w:rPr>
          <w:color w:val="231F20"/>
          <w:spacing w:val="-8"/>
          <w:sz w:val="20"/>
        </w:rPr>
        <w:t> </w:t>
      </w:r>
      <w:r>
        <w:rPr>
          <w:color w:val="231F20"/>
          <w:sz w:val="20"/>
        </w:rPr>
        <w:t>чем</w:t>
      </w:r>
      <w:r>
        <w:rPr>
          <w:color w:val="231F20"/>
          <w:spacing w:val="-8"/>
          <w:sz w:val="20"/>
        </w:rPr>
        <w:t> </w:t>
      </w:r>
      <w:r>
        <w:rPr>
          <w:color w:val="231F20"/>
          <w:sz w:val="20"/>
        </w:rPr>
        <w:t>это</w:t>
      </w:r>
      <w:r>
        <w:rPr>
          <w:color w:val="231F20"/>
          <w:spacing w:val="-8"/>
          <w:sz w:val="20"/>
        </w:rPr>
        <w:t> </w:t>
      </w:r>
      <w:r>
        <w:rPr>
          <w:color w:val="231F20"/>
          <w:sz w:val="20"/>
        </w:rPr>
        <w:t>мог- ло быть связано? Как можно изменить ситуацию?</w:t>
      </w:r>
    </w:p>
    <w:p>
      <w:pPr>
        <w:pStyle w:val="ListParagraph"/>
        <w:numPr>
          <w:ilvl w:val="0"/>
          <w:numId w:val="325"/>
        </w:numPr>
        <w:tabs>
          <w:tab w:pos="425" w:val="left" w:leader="none"/>
        </w:tabs>
        <w:spacing w:line="240" w:lineRule="auto" w:before="0" w:after="0"/>
        <w:ind w:left="425" w:right="139" w:hanging="284"/>
        <w:jc w:val="both"/>
        <w:rPr>
          <w:sz w:val="20"/>
        </w:rPr>
      </w:pPr>
      <w:r>
        <w:rPr>
          <w:color w:val="231F20"/>
          <w:sz w:val="20"/>
        </w:rPr>
        <w:t>В каких группах было больше межличностных конфликтов и проблем? Или во всех</w:t>
      </w:r>
      <w:r>
        <w:rPr>
          <w:color w:val="231F20"/>
          <w:spacing w:val="-12"/>
          <w:sz w:val="20"/>
        </w:rPr>
        <w:t> </w:t>
      </w:r>
      <w:r>
        <w:rPr>
          <w:color w:val="231F20"/>
          <w:sz w:val="20"/>
        </w:rPr>
        <w:t>группах</w:t>
      </w:r>
      <w:r>
        <w:rPr>
          <w:color w:val="231F20"/>
          <w:spacing w:val="-12"/>
          <w:sz w:val="20"/>
        </w:rPr>
        <w:t> </w:t>
      </w:r>
      <w:r>
        <w:rPr>
          <w:color w:val="231F20"/>
          <w:sz w:val="20"/>
        </w:rPr>
        <w:t>происходило</w:t>
      </w:r>
      <w:r>
        <w:rPr>
          <w:color w:val="231F20"/>
          <w:spacing w:val="-12"/>
          <w:sz w:val="20"/>
        </w:rPr>
        <w:t> </w:t>
      </w:r>
      <w:r>
        <w:rPr>
          <w:color w:val="231F20"/>
          <w:sz w:val="20"/>
        </w:rPr>
        <w:t>примерно</w:t>
      </w:r>
      <w:r>
        <w:rPr>
          <w:color w:val="231F20"/>
          <w:spacing w:val="-12"/>
          <w:sz w:val="20"/>
        </w:rPr>
        <w:t> </w:t>
      </w:r>
      <w:r>
        <w:rPr>
          <w:color w:val="231F20"/>
          <w:sz w:val="20"/>
        </w:rPr>
        <w:t>одно</w:t>
      </w:r>
      <w:r>
        <w:rPr>
          <w:color w:val="231F20"/>
          <w:spacing w:val="-12"/>
          <w:sz w:val="20"/>
        </w:rPr>
        <w:t> </w:t>
      </w:r>
      <w:r>
        <w:rPr>
          <w:color w:val="231F20"/>
          <w:sz w:val="20"/>
        </w:rPr>
        <w:t>и</w:t>
      </w:r>
      <w:r>
        <w:rPr>
          <w:color w:val="231F20"/>
          <w:spacing w:val="-12"/>
          <w:sz w:val="20"/>
        </w:rPr>
        <w:t> </w:t>
      </w:r>
      <w:r>
        <w:rPr>
          <w:color w:val="231F20"/>
          <w:sz w:val="20"/>
        </w:rPr>
        <w:t>то</w:t>
      </w:r>
      <w:r>
        <w:rPr>
          <w:color w:val="231F20"/>
          <w:spacing w:val="-12"/>
          <w:sz w:val="20"/>
        </w:rPr>
        <w:t> </w:t>
      </w:r>
      <w:r>
        <w:rPr>
          <w:color w:val="231F20"/>
          <w:sz w:val="20"/>
        </w:rPr>
        <w:t>же?</w:t>
      </w:r>
      <w:r>
        <w:rPr>
          <w:color w:val="231F20"/>
          <w:spacing w:val="-12"/>
          <w:sz w:val="20"/>
        </w:rPr>
        <w:t> </w:t>
      </w:r>
      <w:r>
        <w:rPr>
          <w:color w:val="231F20"/>
          <w:sz w:val="20"/>
        </w:rPr>
        <w:t>Если</w:t>
      </w:r>
      <w:r>
        <w:rPr>
          <w:color w:val="231F20"/>
          <w:spacing w:val="-12"/>
          <w:sz w:val="20"/>
        </w:rPr>
        <w:t> </w:t>
      </w:r>
      <w:r>
        <w:rPr>
          <w:color w:val="231F20"/>
          <w:sz w:val="20"/>
        </w:rPr>
        <w:t>в</w:t>
      </w:r>
      <w:r>
        <w:rPr>
          <w:color w:val="231F20"/>
          <w:spacing w:val="-12"/>
          <w:sz w:val="20"/>
        </w:rPr>
        <w:t> </w:t>
      </w:r>
      <w:r>
        <w:rPr>
          <w:color w:val="231F20"/>
          <w:sz w:val="20"/>
        </w:rPr>
        <w:t>группе</w:t>
      </w:r>
      <w:r>
        <w:rPr>
          <w:color w:val="231F20"/>
          <w:spacing w:val="-12"/>
          <w:sz w:val="20"/>
        </w:rPr>
        <w:t> </w:t>
      </w:r>
      <w:r>
        <w:rPr>
          <w:color w:val="231F20"/>
          <w:sz w:val="20"/>
        </w:rPr>
        <w:t>из</w:t>
      </w:r>
      <w:r>
        <w:rPr>
          <w:color w:val="231F20"/>
          <w:spacing w:val="-12"/>
          <w:sz w:val="20"/>
        </w:rPr>
        <w:t> </w:t>
      </w:r>
      <w:r>
        <w:rPr>
          <w:color w:val="231F20"/>
          <w:sz w:val="20"/>
        </w:rPr>
        <w:t>пяти</w:t>
      </w:r>
      <w:r>
        <w:rPr>
          <w:color w:val="231F20"/>
          <w:spacing w:val="-12"/>
          <w:sz w:val="20"/>
        </w:rPr>
        <w:t> </w:t>
      </w:r>
      <w:r>
        <w:rPr>
          <w:color w:val="231F20"/>
          <w:sz w:val="20"/>
        </w:rPr>
        <w:t>участни- ков двое или трое жаловались на проблемы внутри группового общения, значит, именно</w:t>
      </w:r>
      <w:r>
        <w:rPr>
          <w:color w:val="231F20"/>
          <w:spacing w:val="-3"/>
          <w:sz w:val="20"/>
        </w:rPr>
        <w:t> </w:t>
      </w:r>
      <w:r>
        <w:rPr>
          <w:color w:val="231F20"/>
          <w:sz w:val="20"/>
        </w:rPr>
        <w:t>в</w:t>
      </w:r>
      <w:r>
        <w:rPr>
          <w:color w:val="231F20"/>
          <w:spacing w:val="-3"/>
          <w:sz w:val="20"/>
        </w:rPr>
        <w:t> </w:t>
      </w:r>
      <w:r>
        <w:rPr>
          <w:color w:val="231F20"/>
          <w:sz w:val="20"/>
        </w:rPr>
        <w:t>этих</w:t>
      </w:r>
      <w:r>
        <w:rPr>
          <w:color w:val="231F20"/>
          <w:spacing w:val="-3"/>
          <w:sz w:val="20"/>
        </w:rPr>
        <w:t> </w:t>
      </w:r>
      <w:r>
        <w:rPr>
          <w:color w:val="231F20"/>
          <w:sz w:val="20"/>
        </w:rPr>
        <w:t>группах</w:t>
      </w:r>
      <w:r>
        <w:rPr>
          <w:color w:val="231F20"/>
          <w:spacing w:val="-3"/>
          <w:sz w:val="20"/>
        </w:rPr>
        <w:t> </w:t>
      </w:r>
      <w:r>
        <w:rPr>
          <w:color w:val="231F20"/>
          <w:sz w:val="20"/>
        </w:rPr>
        <w:t>не</w:t>
      </w:r>
      <w:r>
        <w:rPr>
          <w:color w:val="231F20"/>
          <w:spacing w:val="-3"/>
          <w:sz w:val="20"/>
        </w:rPr>
        <w:t> </w:t>
      </w:r>
      <w:r>
        <w:rPr>
          <w:color w:val="231F20"/>
          <w:sz w:val="20"/>
        </w:rPr>
        <w:t>был</w:t>
      </w:r>
      <w:r>
        <w:rPr>
          <w:color w:val="231F20"/>
          <w:spacing w:val="-3"/>
          <w:sz w:val="20"/>
        </w:rPr>
        <w:t> </w:t>
      </w:r>
      <w:r>
        <w:rPr>
          <w:color w:val="231F20"/>
          <w:sz w:val="20"/>
        </w:rPr>
        <w:t>снят</w:t>
      </w:r>
      <w:r>
        <w:rPr>
          <w:color w:val="231F20"/>
          <w:spacing w:val="-3"/>
          <w:sz w:val="20"/>
        </w:rPr>
        <w:t> </w:t>
      </w:r>
      <w:r>
        <w:rPr>
          <w:color w:val="231F20"/>
          <w:sz w:val="20"/>
        </w:rPr>
        <w:t>завуалированный</w:t>
      </w:r>
      <w:r>
        <w:rPr>
          <w:color w:val="231F20"/>
          <w:spacing w:val="-3"/>
          <w:sz w:val="20"/>
        </w:rPr>
        <w:t> </w:t>
      </w:r>
      <w:r>
        <w:rPr>
          <w:color w:val="231F20"/>
          <w:sz w:val="20"/>
        </w:rPr>
        <w:t>или</w:t>
      </w:r>
      <w:r>
        <w:rPr>
          <w:color w:val="231F20"/>
          <w:spacing w:val="-3"/>
          <w:sz w:val="20"/>
        </w:rPr>
        <w:t> </w:t>
      </w:r>
      <w:r>
        <w:rPr>
          <w:color w:val="231F20"/>
          <w:sz w:val="20"/>
        </w:rPr>
        <w:t>открытый</w:t>
      </w:r>
      <w:r>
        <w:rPr>
          <w:color w:val="231F20"/>
          <w:spacing w:val="-3"/>
          <w:sz w:val="20"/>
        </w:rPr>
        <w:t> </w:t>
      </w:r>
      <w:r>
        <w:rPr>
          <w:color w:val="231F20"/>
          <w:sz w:val="20"/>
        </w:rPr>
        <w:t>межличност- ный конфликт, который был усилен на фоне групповой работы.</w:t>
      </w:r>
    </w:p>
    <w:p>
      <w:pPr>
        <w:pStyle w:val="ListParagraph"/>
        <w:numPr>
          <w:ilvl w:val="0"/>
          <w:numId w:val="325"/>
        </w:numPr>
        <w:tabs>
          <w:tab w:pos="425" w:val="left" w:leader="none"/>
        </w:tabs>
        <w:spacing w:line="237" w:lineRule="auto" w:before="2" w:after="0"/>
        <w:ind w:left="425" w:right="139" w:hanging="284"/>
        <w:jc w:val="both"/>
        <w:rPr>
          <w:sz w:val="20"/>
        </w:rPr>
      </w:pPr>
      <w:r>
        <w:rPr>
          <w:color w:val="231F20"/>
          <w:sz w:val="20"/>
        </w:rPr>
        <w:t>Были ли группы, в которых не менее двух респондентов отметили особых участ- ников</w:t>
      </w:r>
      <w:r>
        <w:rPr>
          <w:color w:val="231F20"/>
          <w:spacing w:val="-4"/>
          <w:sz w:val="20"/>
        </w:rPr>
        <w:t> </w:t>
      </w:r>
      <w:r>
        <w:rPr>
          <w:color w:val="231F20"/>
          <w:sz w:val="20"/>
        </w:rPr>
        <w:t>в</w:t>
      </w:r>
      <w:r>
        <w:rPr>
          <w:color w:val="231F20"/>
          <w:spacing w:val="-4"/>
          <w:sz w:val="20"/>
        </w:rPr>
        <w:t> </w:t>
      </w:r>
      <w:r>
        <w:rPr>
          <w:color w:val="231F20"/>
          <w:sz w:val="20"/>
        </w:rPr>
        <w:t>качестве</w:t>
      </w:r>
      <w:r>
        <w:rPr>
          <w:color w:val="231F20"/>
          <w:spacing w:val="-4"/>
          <w:sz w:val="20"/>
        </w:rPr>
        <w:t> </w:t>
      </w:r>
      <w:r>
        <w:rPr>
          <w:color w:val="231F20"/>
          <w:sz w:val="20"/>
        </w:rPr>
        <w:t>тех,</w:t>
      </w:r>
      <w:r>
        <w:rPr>
          <w:color w:val="231F20"/>
          <w:spacing w:val="-4"/>
          <w:sz w:val="20"/>
        </w:rPr>
        <w:t> </w:t>
      </w:r>
      <w:r>
        <w:rPr>
          <w:color w:val="231F20"/>
          <w:sz w:val="20"/>
        </w:rPr>
        <w:t>кто</w:t>
      </w:r>
      <w:r>
        <w:rPr>
          <w:color w:val="231F20"/>
          <w:spacing w:val="-4"/>
          <w:sz w:val="20"/>
        </w:rPr>
        <w:t> </w:t>
      </w:r>
      <w:r>
        <w:rPr>
          <w:color w:val="231F20"/>
          <w:sz w:val="20"/>
        </w:rPr>
        <w:t>подавал</w:t>
      </w:r>
      <w:r>
        <w:rPr>
          <w:color w:val="231F20"/>
          <w:spacing w:val="-4"/>
          <w:sz w:val="20"/>
        </w:rPr>
        <w:t> </w:t>
      </w:r>
      <w:r>
        <w:rPr>
          <w:color w:val="231F20"/>
          <w:sz w:val="20"/>
        </w:rPr>
        <w:t>лучшие</w:t>
      </w:r>
      <w:r>
        <w:rPr>
          <w:color w:val="231F20"/>
          <w:spacing w:val="-4"/>
          <w:sz w:val="20"/>
        </w:rPr>
        <w:t> </w:t>
      </w:r>
      <w:r>
        <w:rPr>
          <w:color w:val="231F20"/>
          <w:sz w:val="20"/>
        </w:rPr>
        <w:t>идеи,</w:t>
      </w:r>
      <w:r>
        <w:rPr>
          <w:color w:val="231F20"/>
          <w:spacing w:val="-4"/>
          <w:sz w:val="20"/>
        </w:rPr>
        <w:t> </w:t>
      </w:r>
      <w:r>
        <w:rPr>
          <w:color w:val="231F20"/>
          <w:sz w:val="20"/>
        </w:rPr>
        <w:t>позитивно</w:t>
      </w:r>
      <w:r>
        <w:rPr>
          <w:color w:val="231F20"/>
          <w:spacing w:val="-4"/>
          <w:sz w:val="20"/>
        </w:rPr>
        <w:t> </w:t>
      </w:r>
      <w:r>
        <w:rPr>
          <w:color w:val="231F20"/>
          <w:sz w:val="20"/>
        </w:rPr>
        <w:t>повлиявшие</w:t>
      </w:r>
      <w:r>
        <w:rPr>
          <w:color w:val="231F20"/>
          <w:spacing w:val="-4"/>
          <w:sz w:val="20"/>
        </w:rPr>
        <w:t> </w:t>
      </w:r>
      <w:r>
        <w:rPr>
          <w:color w:val="231F20"/>
          <w:sz w:val="20"/>
        </w:rPr>
        <w:t>на</w:t>
      </w:r>
      <w:r>
        <w:rPr>
          <w:color w:val="231F20"/>
          <w:spacing w:val="-4"/>
          <w:sz w:val="20"/>
        </w:rPr>
        <w:t> </w:t>
      </w:r>
      <w:r>
        <w:rPr>
          <w:color w:val="231F20"/>
          <w:sz w:val="20"/>
        </w:rPr>
        <w:t>работу группы?</w:t>
      </w:r>
      <w:r>
        <w:rPr>
          <w:color w:val="231F20"/>
          <w:spacing w:val="-7"/>
          <w:sz w:val="20"/>
        </w:rPr>
        <w:t> </w:t>
      </w:r>
      <w:r>
        <w:rPr>
          <w:color w:val="231F20"/>
          <w:sz w:val="20"/>
        </w:rPr>
        <w:t>В</w:t>
      </w:r>
      <w:r>
        <w:rPr>
          <w:color w:val="231F20"/>
          <w:spacing w:val="-7"/>
          <w:sz w:val="20"/>
        </w:rPr>
        <w:t> </w:t>
      </w:r>
      <w:r>
        <w:rPr>
          <w:color w:val="231F20"/>
          <w:sz w:val="20"/>
        </w:rPr>
        <w:t>каких</w:t>
      </w:r>
      <w:r>
        <w:rPr>
          <w:color w:val="231F20"/>
          <w:spacing w:val="-7"/>
          <w:sz w:val="20"/>
        </w:rPr>
        <w:t> </w:t>
      </w:r>
      <w:r>
        <w:rPr>
          <w:color w:val="231F20"/>
          <w:sz w:val="20"/>
        </w:rPr>
        <w:t>группах</w:t>
      </w:r>
      <w:r>
        <w:rPr>
          <w:color w:val="231F20"/>
          <w:spacing w:val="-7"/>
          <w:sz w:val="20"/>
        </w:rPr>
        <w:t> </w:t>
      </w:r>
      <w:r>
        <w:rPr>
          <w:color w:val="231F20"/>
          <w:sz w:val="20"/>
        </w:rPr>
        <w:t>особые</w:t>
      </w:r>
      <w:r>
        <w:rPr>
          <w:color w:val="231F20"/>
          <w:spacing w:val="-7"/>
          <w:sz w:val="20"/>
        </w:rPr>
        <w:t> </w:t>
      </w:r>
      <w:r>
        <w:rPr>
          <w:color w:val="231F20"/>
          <w:sz w:val="20"/>
        </w:rPr>
        <w:t>учащиеся</w:t>
      </w:r>
      <w:r>
        <w:rPr>
          <w:color w:val="231F20"/>
          <w:spacing w:val="-7"/>
          <w:sz w:val="20"/>
        </w:rPr>
        <w:t> </w:t>
      </w:r>
      <w:r>
        <w:rPr>
          <w:color w:val="231F20"/>
          <w:sz w:val="20"/>
        </w:rPr>
        <w:t>выполняли</w:t>
      </w:r>
      <w:r>
        <w:rPr>
          <w:color w:val="231F20"/>
          <w:spacing w:val="-7"/>
          <w:sz w:val="20"/>
        </w:rPr>
        <w:t> </w:t>
      </w:r>
      <w:r>
        <w:rPr>
          <w:color w:val="231F20"/>
          <w:sz w:val="20"/>
        </w:rPr>
        <w:t>роль</w:t>
      </w:r>
      <w:r>
        <w:rPr>
          <w:color w:val="231F20"/>
          <w:spacing w:val="-7"/>
          <w:sz w:val="20"/>
        </w:rPr>
        <w:t> </w:t>
      </w:r>
      <w:r>
        <w:rPr>
          <w:color w:val="231F20"/>
          <w:sz w:val="20"/>
        </w:rPr>
        <w:t>ведущего,</w:t>
      </w:r>
      <w:r>
        <w:rPr>
          <w:color w:val="231F20"/>
          <w:spacing w:val="-7"/>
          <w:sz w:val="20"/>
        </w:rPr>
        <w:t> </w:t>
      </w:r>
      <w:r>
        <w:rPr>
          <w:color w:val="231F20"/>
          <w:sz w:val="20"/>
        </w:rPr>
        <w:t>следили</w:t>
      </w:r>
      <w:r>
        <w:rPr>
          <w:color w:val="231F20"/>
          <w:spacing w:val="-7"/>
          <w:sz w:val="20"/>
        </w:rPr>
        <w:t> </w:t>
      </w:r>
      <w:r>
        <w:rPr>
          <w:color w:val="231F20"/>
          <w:sz w:val="20"/>
        </w:rPr>
        <w:t>за </w:t>
      </w:r>
      <w:r>
        <w:rPr>
          <w:color w:val="231F20"/>
          <w:spacing w:val="-4"/>
          <w:sz w:val="20"/>
        </w:rPr>
        <w:t>временем и руководили ходом дискуссии? Если такие группы были отмечены по ре- </w:t>
      </w:r>
      <w:r>
        <w:rPr>
          <w:color w:val="231F20"/>
          <w:spacing w:val="-2"/>
          <w:sz w:val="20"/>
        </w:rPr>
        <w:t>зультатам</w:t>
      </w:r>
      <w:r>
        <w:rPr>
          <w:color w:val="231F20"/>
          <w:spacing w:val="-11"/>
          <w:sz w:val="20"/>
        </w:rPr>
        <w:t> </w:t>
      </w:r>
      <w:r>
        <w:rPr>
          <w:color w:val="231F20"/>
          <w:spacing w:val="-2"/>
          <w:sz w:val="20"/>
        </w:rPr>
        <w:t>работы</w:t>
      </w:r>
      <w:r>
        <w:rPr>
          <w:color w:val="231F20"/>
          <w:spacing w:val="-10"/>
          <w:sz w:val="20"/>
        </w:rPr>
        <w:t> </w:t>
      </w:r>
      <w:r>
        <w:rPr>
          <w:color w:val="231F20"/>
          <w:spacing w:val="-2"/>
          <w:sz w:val="20"/>
        </w:rPr>
        <w:t>с</w:t>
      </w:r>
      <w:r>
        <w:rPr>
          <w:color w:val="231F20"/>
          <w:spacing w:val="-11"/>
          <w:sz w:val="20"/>
        </w:rPr>
        <w:t> </w:t>
      </w:r>
      <w:r>
        <w:rPr>
          <w:color w:val="231F20"/>
          <w:spacing w:val="-2"/>
          <w:sz w:val="20"/>
        </w:rPr>
        <w:t>анкетами,</w:t>
      </w:r>
      <w:r>
        <w:rPr>
          <w:color w:val="231F20"/>
          <w:spacing w:val="-10"/>
          <w:sz w:val="20"/>
        </w:rPr>
        <w:t> </w:t>
      </w:r>
      <w:r>
        <w:rPr>
          <w:color w:val="231F20"/>
          <w:spacing w:val="-2"/>
          <w:sz w:val="20"/>
        </w:rPr>
        <w:t>это</w:t>
      </w:r>
      <w:r>
        <w:rPr>
          <w:color w:val="231F20"/>
          <w:spacing w:val="-11"/>
          <w:sz w:val="20"/>
        </w:rPr>
        <w:t> </w:t>
      </w:r>
      <w:r>
        <w:rPr>
          <w:color w:val="231F20"/>
          <w:spacing w:val="-2"/>
          <w:sz w:val="20"/>
        </w:rPr>
        <w:t>означает,</w:t>
      </w:r>
      <w:r>
        <w:rPr>
          <w:color w:val="231F20"/>
          <w:spacing w:val="-10"/>
          <w:sz w:val="20"/>
        </w:rPr>
        <w:t> </w:t>
      </w:r>
      <w:r>
        <w:rPr>
          <w:color w:val="231F20"/>
          <w:spacing w:val="-2"/>
          <w:sz w:val="20"/>
        </w:rPr>
        <w:t>что</w:t>
      </w:r>
      <w:r>
        <w:rPr>
          <w:color w:val="231F20"/>
          <w:spacing w:val="-11"/>
          <w:sz w:val="20"/>
        </w:rPr>
        <w:t> </w:t>
      </w:r>
      <w:r>
        <w:rPr>
          <w:color w:val="231F20"/>
          <w:spacing w:val="-2"/>
          <w:sz w:val="20"/>
        </w:rPr>
        <w:t>учитель</w:t>
      </w:r>
      <w:r>
        <w:rPr>
          <w:color w:val="231F20"/>
          <w:spacing w:val="-10"/>
          <w:sz w:val="20"/>
        </w:rPr>
        <w:t> </w:t>
      </w:r>
      <w:r>
        <w:rPr>
          <w:color w:val="231F20"/>
          <w:spacing w:val="-2"/>
          <w:sz w:val="20"/>
        </w:rPr>
        <w:t>справился</w:t>
      </w:r>
      <w:r>
        <w:rPr>
          <w:color w:val="231F20"/>
          <w:spacing w:val="-11"/>
          <w:sz w:val="20"/>
        </w:rPr>
        <w:t> </w:t>
      </w:r>
      <w:r>
        <w:rPr>
          <w:color w:val="231F20"/>
          <w:spacing w:val="-2"/>
          <w:sz w:val="20"/>
        </w:rPr>
        <w:t>с</w:t>
      </w:r>
      <w:r>
        <w:rPr>
          <w:color w:val="231F20"/>
          <w:spacing w:val="-10"/>
          <w:sz w:val="20"/>
        </w:rPr>
        <w:t> </w:t>
      </w:r>
      <w:r>
        <w:rPr>
          <w:color w:val="231F20"/>
          <w:spacing w:val="-2"/>
          <w:sz w:val="20"/>
        </w:rPr>
        <w:t>задачей</w:t>
      </w:r>
      <w:r>
        <w:rPr>
          <w:color w:val="231F20"/>
          <w:spacing w:val="-11"/>
          <w:sz w:val="20"/>
        </w:rPr>
        <w:t> </w:t>
      </w:r>
      <w:r>
        <w:rPr>
          <w:color w:val="231F20"/>
          <w:spacing w:val="-2"/>
          <w:sz w:val="20"/>
        </w:rPr>
        <w:t>по</w:t>
      </w:r>
      <w:r>
        <w:rPr>
          <w:color w:val="231F20"/>
          <w:spacing w:val="-10"/>
          <w:sz w:val="20"/>
        </w:rPr>
        <w:t> </w:t>
      </w:r>
      <w:r>
        <w:rPr>
          <w:color w:val="231F20"/>
          <w:spacing w:val="-2"/>
          <w:sz w:val="20"/>
        </w:rPr>
        <w:t>под- готовке</w:t>
      </w:r>
      <w:r>
        <w:rPr>
          <w:color w:val="231F20"/>
          <w:spacing w:val="-6"/>
          <w:sz w:val="20"/>
        </w:rPr>
        <w:t> </w:t>
      </w:r>
      <w:r>
        <w:rPr>
          <w:color w:val="231F20"/>
          <w:spacing w:val="-2"/>
          <w:sz w:val="20"/>
        </w:rPr>
        <w:t>поликультурного</w:t>
      </w:r>
      <w:r>
        <w:rPr>
          <w:color w:val="231F20"/>
          <w:spacing w:val="-6"/>
          <w:sz w:val="20"/>
        </w:rPr>
        <w:t> </w:t>
      </w:r>
      <w:r>
        <w:rPr>
          <w:color w:val="231F20"/>
          <w:spacing w:val="-2"/>
          <w:sz w:val="20"/>
        </w:rPr>
        <w:t>класса</w:t>
      </w:r>
      <w:r>
        <w:rPr>
          <w:color w:val="231F20"/>
          <w:spacing w:val="-6"/>
          <w:sz w:val="20"/>
        </w:rPr>
        <w:t> </w:t>
      </w:r>
      <w:r>
        <w:rPr>
          <w:color w:val="231F20"/>
          <w:spacing w:val="-2"/>
          <w:sz w:val="20"/>
        </w:rPr>
        <w:t>к</w:t>
      </w:r>
      <w:r>
        <w:rPr>
          <w:color w:val="231F20"/>
          <w:spacing w:val="-6"/>
          <w:sz w:val="20"/>
        </w:rPr>
        <w:t> </w:t>
      </w:r>
      <w:r>
        <w:rPr>
          <w:color w:val="231F20"/>
          <w:spacing w:val="-2"/>
          <w:sz w:val="20"/>
        </w:rPr>
        <w:t>групповой</w:t>
      </w:r>
      <w:r>
        <w:rPr>
          <w:color w:val="231F20"/>
          <w:spacing w:val="-7"/>
          <w:sz w:val="20"/>
        </w:rPr>
        <w:t> </w:t>
      </w:r>
      <w:r>
        <w:rPr>
          <w:color w:val="231F20"/>
          <w:spacing w:val="-2"/>
          <w:sz w:val="20"/>
        </w:rPr>
        <w:t>работе</w:t>
      </w:r>
      <w:r>
        <w:rPr>
          <w:color w:val="231F20"/>
          <w:spacing w:val="-6"/>
          <w:sz w:val="20"/>
        </w:rPr>
        <w:t> </w:t>
      </w:r>
      <w:r>
        <w:rPr>
          <w:color w:val="231F20"/>
          <w:spacing w:val="-2"/>
          <w:sz w:val="20"/>
        </w:rPr>
        <w:t>в</w:t>
      </w:r>
      <w:r>
        <w:rPr>
          <w:color w:val="231F20"/>
          <w:spacing w:val="-7"/>
          <w:sz w:val="20"/>
        </w:rPr>
        <w:t> </w:t>
      </w:r>
      <w:r>
        <w:rPr>
          <w:color w:val="231F20"/>
          <w:spacing w:val="-2"/>
          <w:sz w:val="20"/>
        </w:rPr>
        <w:t>составе</w:t>
      </w:r>
      <w:r>
        <w:rPr>
          <w:color w:val="231F20"/>
          <w:spacing w:val="-6"/>
          <w:sz w:val="20"/>
        </w:rPr>
        <w:t> </w:t>
      </w:r>
      <w:r>
        <w:rPr>
          <w:color w:val="231F20"/>
          <w:spacing w:val="-2"/>
          <w:sz w:val="20"/>
        </w:rPr>
        <w:t>гетерогенных</w:t>
      </w:r>
      <w:r>
        <w:rPr>
          <w:color w:val="231F20"/>
          <w:spacing w:val="-6"/>
          <w:sz w:val="20"/>
        </w:rPr>
        <w:t> </w:t>
      </w:r>
      <w:r>
        <w:rPr>
          <w:color w:val="231F20"/>
          <w:spacing w:val="-2"/>
          <w:sz w:val="20"/>
        </w:rPr>
        <w:t>групп.</w:t>
      </w:r>
    </w:p>
    <w:p>
      <w:pPr>
        <w:pStyle w:val="ListParagraph"/>
        <w:numPr>
          <w:ilvl w:val="0"/>
          <w:numId w:val="325"/>
        </w:numPr>
        <w:tabs>
          <w:tab w:pos="425" w:val="left" w:leader="none"/>
        </w:tabs>
        <w:spacing w:line="235" w:lineRule="auto" w:before="0" w:after="0"/>
        <w:ind w:left="425" w:right="139" w:hanging="284"/>
        <w:jc w:val="both"/>
        <w:rPr>
          <w:sz w:val="20"/>
        </w:rPr>
      </w:pPr>
      <w:r>
        <w:rPr>
          <w:color w:val="231F20"/>
          <w:sz w:val="20"/>
        </w:rPr>
        <w:t>Есть ли группы, в которых наиболее «молчаливыми» и «не принимающими уча- стия</w:t>
      </w:r>
      <w:r>
        <w:rPr>
          <w:color w:val="231F20"/>
          <w:spacing w:val="-11"/>
          <w:sz w:val="20"/>
        </w:rPr>
        <w:t> </w:t>
      </w:r>
      <w:r>
        <w:rPr>
          <w:color w:val="231F20"/>
          <w:sz w:val="20"/>
        </w:rPr>
        <w:t>в</w:t>
      </w:r>
      <w:r>
        <w:rPr>
          <w:color w:val="231F20"/>
          <w:spacing w:val="-11"/>
          <w:sz w:val="20"/>
        </w:rPr>
        <w:t> </w:t>
      </w:r>
      <w:r>
        <w:rPr>
          <w:color w:val="231F20"/>
          <w:sz w:val="20"/>
        </w:rPr>
        <w:t>работе</w:t>
      </w:r>
      <w:r>
        <w:rPr>
          <w:color w:val="231F20"/>
          <w:spacing w:val="-11"/>
          <w:sz w:val="20"/>
        </w:rPr>
        <w:t> </w:t>
      </w:r>
      <w:r>
        <w:rPr>
          <w:color w:val="231F20"/>
          <w:sz w:val="20"/>
        </w:rPr>
        <w:t>группы»</w:t>
      </w:r>
      <w:r>
        <w:rPr>
          <w:color w:val="231F20"/>
          <w:spacing w:val="-11"/>
          <w:sz w:val="20"/>
        </w:rPr>
        <w:t> </w:t>
      </w:r>
      <w:r>
        <w:rPr>
          <w:color w:val="231F20"/>
          <w:sz w:val="20"/>
        </w:rPr>
        <w:t>были</w:t>
      </w:r>
      <w:r>
        <w:rPr>
          <w:color w:val="231F20"/>
          <w:spacing w:val="-11"/>
          <w:sz w:val="20"/>
        </w:rPr>
        <w:t> </w:t>
      </w:r>
      <w:r>
        <w:rPr>
          <w:color w:val="231F20"/>
          <w:sz w:val="20"/>
        </w:rPr>
        <w:t>названы</w:t>
      </w:r>
      <w:r>
        <w:rPr>
          <w:color w:val="231F20"/>
          <w:spacing w:val="-11"/>
          <w:sz w:val="20"/>
        </w:rPr>
        <w:t> </w:t>
      </w:r>
      <w:r>
        <w:rPr>
          <w:color w:val="231F20"/>
          <w:sz w:val="20"/>
        </w:rPr>
        <w:t>особые</w:t>
      </w:r>
      <w:r>
        <w:rPr>
          <w:color w:val="231F20"/>
          <w:spacing w:val="-11"/>
          <w:sz w:val="20"/>
        </w:rPr>
        <w:t> </w:t>
      </w:r>
      <w:r>
        <w:rPr>
          <w:color w:val="231F20"/>
          <w:sz w:val="20"/>
        </w:rPr>
        <w:t>учащиеся?</w:t>
      </w:r>
      <w:r>
        <w:rPr>
          <w:color w:val="231F20"/>
          <w:spacing w:val="-11"/>
          <w:sz w:val="20"/>
        </w:rPr>
        <w:t> </w:t>
      </w:r>
      <w:r>
        <w:rPr>
          <w:color w:val="231F20"/>
          <w:sz w:val="20"/>
        </w:rPr>
        <w:t>Если</w:t>
      </w:r>
      <w:r>
        <w:rPr>
          <w:color w:val="231F20"/>
          <w:spacing w:val="-11"/>
          <w:sz w:val="20"/>
        </w:rPr>
        <w:t> </w:t>
      </w:r>
      <w:r>
        <w:rPr>
          <w:color w:val="231F20"/>
          <w:sz w:val="20"/>
        </w:rPr>
        <w:t>есть,</w:t>
      </w:r>
      <w:r>
        <w:rPr>
          <w:color w:val="231F20"/>
          <w:spacing w:val="-11"/>
          <w:sz w:val="20"/>
        </w:rPr>
        <w:t> </w:t>
      </w:r>
      <w:r>
        <w:rPr>
          <w:color w:val="231F20"/>
          <w:sz w:val="20"/>
        </w:rPr>
        <w:t>с</w:t>
      </w:r>
      <w:r>
        <w:rPr>
          <w:color w:val="231F20"/>
          <w:spacing w:val="-11"/>
          <w:sz w:val="20"/>
        </w:rPr>
        <w:t> </w:t>
      </w:r>
      <w:r>
        <w:rPr>
          <w:color w:val="231F20"/>
          <w:sz w:val="20"/>
        </w:rPr>
        <w:t>этими</w:t>
      </w:r>
      <w:r>
        <w:rPr>
          <w:color w:val="231F20"/>
          <w:spacing w:val="-11"/>
          <w:sz w:val="20"/>
        </w:rPr>
        <w:t> </w:t>
      </w:r>
      <w:r>
        <w:rPr>
          <w:color w:val="231F20"/>
          <w:sz w:val="20"/>
        </w:rPr>
        <w:t>учащи- мися нужно работать дополнительно, поскольку задача по достижению равного участия (статуса) для каждого участника группы не решена.</w:t>
      </w:r>
    </w:p>
    <w:p>
      <w:pPr>
        <w:pStyle w:val="ListParagraph"/>
        <w:spacing w:after="0" w:line="235" w:lineRule="auto"/>
        <w:jc w:val="both"/>
        <w:rPr>
          <w:sz w:val="20"/>
        </w:rPr>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ListParagraph"/>
        <w:numPr>
          <w:ilvl w:val="0"/>
          <w:numId w:val="325"/>
        </w:numPr>
        <w:tabs>
          <w:tab w:pos="425" w:val="left" w:leader="none"/>
        </w:tabs>
        <w:spacing w:line="235" w:lineRule="auto" w:before="116" w:after="0"/>
        <w:ind w:left="425" w:right="138" w:hanging="284"/>
        <w:jc w:val="both"/>
        <w:rPr>
          <w:sz w:val="20"/>
        </w:rPr>
      </w:pPr>
      <w:r>
        <w:rPr>
          <w:color w:val="231F20"/>
          <w:sz w:val="20"/>
        </w:rPr>
        <w:t>Насколько</w:t>
      </w:r>
      <w:r>
        <w:rPr>
          <w:color w:val="231F20"/>
          <w:spacing w:val="-8"/>
          <w:sz w:val="20"/>
        </w:rPr>
        <w:t> </w:t>
      </w:r>
      <w:r>
        <w:rPr>
          <w:color w:val="231F20"/>
          <w:sz w:val="20"/>
        </w:rPr>
        <w:t>корректным,</w:t>
      </w:r>
      <w:r>
        <w:rPr>
          <w:color w:val="231F20"/>
          <w:spacing w:val="-8"/>
          <w:sz w:val="20"/>
        </w:rPr>
        <w:t> </w:t>
      </w:r>
      <w:r>
        <w:rPr>
          <w:color w:val="231F20"/>
          <w:sz w:val="20"/>
        </w:rPr>
        <w:t>уважительным</w:t>
      </w:r>
      <w:r>
        <w:rPr>
          <w:color w:val="231F20"/>
          <w:spacing w:val="-8"/>
          <w:sz w:val="20"/>
        </w:rPr>
        <w:t> </w:t>
      </w:r>
      <w:r>
        <w:rPr>
          <w:color w:val="231F20"/>
          <w:sz w:val="20"/>
        </w:rPr>
        <w:t>и</w:t>
      </w:r>
      <w:r>
        <w:rPr>
          <w:color w:val="231F20"/>
          <w:spacing w:val="-8"/>
          <w:sz w:val="20"/>
        </w:rPr>
        <w:t> </w:t>
      </w:r>
      <w:r>
        <w:rPr>
          <w:color w:val="231F20"/>
          <w:sz w:val="20"/>
        </w:rPr>
        <w:t>толерантным</w:t>
      </w:r>
      <w:r>
        <w:rPr>
          <w:color w:val="231F20"/>
          <w:spacing w:val="-8"/>
          <w:sz w:val="20"/>
        </w:rPr>
        <w:t> </w:t>
      </w:r>
      <w:r>
        <w:rPr>
          <w:color w:val="231F20"/>
          <w:sz w:val="20"/>
        </w:rPr>
        <w:t>было</w:t>
      </w:r>
      <w:r>
        <w:rPr>
          <w:color w:val="231F20"/>
          <w:spacing w:val="-8"/>
          <w:sz w:val="20"/>
        </w:rPr>
        <w:t> </w:t>
      </w:r>
      <w:r>
        <w:rPr>
          <w:color w:val="231F20"/>
          <w:sz w:val="20"/>
        </w:rPr>
        <w:t>общение</w:t>
      </w:r>
      <w:r>
        <w:rPr>
          <w:color w:val="231F20"/>
          <w:spacing w:val="-8"/>
          <w:sz w:val="20"/>
        </w:rPr>
        <w:t> </w:t>
      </w:r>
      <w:r>
        <w:rPr>
          <w:color w:val="231F20"/>
          <w:sz w:val="20"/>
        </w:rPr>
        <w:t>участников каждой из поликультурных групп?</w:t>
      </w:r>
    </w:p>
    <w:p>
      <w:pPr>
        <w:pStyle w:val="ListParagraph"/>
        <w:numPr>
          <w:ilvl w:val="0"/>
          <w:numId w:val="325"/>
        </w:numPr>
        <w:tabs>
          <w:tab w:pos="425" w:val="left" w:leader="none"/>
        </w:tabs>
        <w:spacing w:line="235" w:lineRule="auto" w:before="1" w:after="0"/>
        <w:ind w:left="425" w:right="139" w:hanging="284"/>
        <w:jc w:val="both"/>
        <w:rPr>
          <w:sz w:val="20"/>
        </w:rPr>
      </w:pPr>
      <w:r>
        <w:rPr>
          <w:color w:val="231F20"/>
          <w:sz w:val="20"/>
        </w:rPr>
        <w:t>Сколько учащихся (в процентном отношении) указали, что они больше не хотят работать в группах сотрудничества? Это обычные учащиеся или особые? Что, с вашей точки зрения, могло повлиять на такое заявление?</w:t>
      </w:r>
    </w:p>
    <w:p>
      <w:pPr>
        <w:pStyle w:val="ListParagraph"/>
        <w:spacing w:after="0" w:line="235" w:lineRule="auto"/>
        <w:jc w:val="both"/>
        <w:rPr>
          <w:sz w:val="20"/>
        </w:rPr>
        <w:sectPr>
          <w:pgSz w:w="8400" w:h="11910"/>
          <w:pgMar w:header="0" w:footer="530" w:top="400" w:bottom="740" w:left="425" w:right="425"/>
        </w:sectPr>
      </w:pPr>
    </w:p>
    <w:p>
      <w:pPr>
        <w:spacing w:before="80"/>
        <w:ind w:left="141" w:right="0" w:firstLine="0"/>
        <w:jc w:val="left"/>
        <w:rPr>
          <w:rFonts w:ascii="Georgia" w:hAnsi="Georgia"/>
          <w:sz w:val="18"/>
        </w:rPr>
      </w:pPr>
      <w:r>
        <w:rPr>
          <w:rFonts w:ascii="Georgia" w:hAnsi="Georgia"/>
          <w:color w:val="231F20"/>
          <w:spacing w:val="-2"/>
          <w:sz w:val="18"/>
        </w:rPr>
        <w:t>Приложения</w:t>
      </w:r>
    </w:p>
    <w:p>
      <w:pPr>
        <w:pStyle w:val="BodyText"/>
        <w:ind w:left="0" w:right="0" w:firstLine="0"/>
        <w:jc w:val="left"/>
        <w:rPr>
          <w:rFonts w:ascii="Georgia"/>
          <w:sz w:val="18"/>
        </w:rPr>
      </w:pPr>
    </w:p>
    <w:p>
      <w:pPr>
        <w:pStyle w:val="BodyText"/>
        <w:ind w:left="0" w:right="0" w:firstLine="0"/>
        <w:jc w:val="left"/>
        <w:rPr>
          <w:rFonts w:ascii="Georgia"/>
          <w:sz w:val="18"/>
        </w:rPr>
      </w:pPr>
    </w:p>
    <w:p>
      <w:pPr>
        <w:pStyle w:val="BodyText"/>
        <w:spacing w:before="117"/>
        <w:ind w:left="0" w:right="0" w:firstLine="0"/>
        <w:jc w:val="left"/>
        <w:rPr>
          <w:rFonts w:ascii="Georgia"/>
          <w:sz w:val="18"/>
        </w:rPr>
      </w:pPr>
    </w:p>
    <w:p>
      <w:pPr>
        <w:pStyle w:val="ListParagraph"/>
        <w:numPr>
          <w:ilvl w:val="0"/>
          <w:numId w:val="326"/>
        </w:numPr>
        <w:tabs>
          <w:tab w:pos="424" w:val="left" w:leader="none"/>
        </w:tabs>
        <w:spacing w:line="240" w:lineRule="auto" w:before="0" w:after="0"/>
        <w:ind w:left="424" w:right="0" w:hanging="283"/>
        <w:jc w:val="left"/>
        <w:rPr>
          <w:sz w:val="20"/>
        </w:rPr>
      </w:pPr>
      <w:r>
        <w:rPr>
          <w:color w:val="231F20"/>
          <w:sz w:val="20"/>
        </w:rPr>
        <w:t>Выделить</w:t>
      </w:r>
      <w:r>
        <w:rPr>
          <w:color w:val="231F20"/>
          <w:spacing w:val="-8"/>
          <w:sz w:val="20"/>
        </w:rPr>
        <w:t> </w:t>
      </w:r>
      <w:r>
        <w:rPr>
          <w:color w:val="231F20"/>
          <w:spacing w:val="-2"/>
          <w:sz w:val="20"/>
        </w:rPr>
        <w:t>корень</w:t>
      </w:r>
    </w:p>
    <w:p>
      <w:pPr>
        <w:spacing w:line="240" w:lineRule="auto" w:before="163"/>
        <w:rPr>
          <w:sz w:val="20"/>
        </w:rPr>
      </w:pPr>
      <w:r>
        <w:rPr/>
        <w:br w:type="column"/>
      </w:r>
      <w:r>
        <w:rPr>
          <w:sz w:val="20"/>
        </w:rPr>
      </w:r>
    </w:p>
    <w:p>
      <w:pPr>
        <w:spacing w:before="0"/>
        <w:ind w:left="0" w:right="2181" w:firstLine="0"/>
        <w:jc w:val="center"/>
        <w:rPr>
          <w:b/>
          <w:i/>
          <w:sz w:val="20"/>
        </w:rPr>
      </w:pPr>
      <w:r>
        <w:rPr>
          <w:b/>
          <w:i/>
          <w:color w:val="231F20"/>
          <w:sz w:val="20"/>
        </w:rPr>
        <w:t>Приложение</w:t>
      </w:r>
      <w:r>
        <w:rPr>
          <w:b/>
          <w:i/>
          <w:color w:val="231F20"/>
          <w:spacing w:val="-8"/>
          <w:sz w:val="20"/>
        </w:rPr>
        <w:t> </w:t>
      </w:r>
      <w:r>
        <w:rPr>
          <w:b/>
          <w:i/>
          <w:color w:val="231F20"/>
          <w:spacing w:val="-10"/>
          <w:sz w:val="20"/>
        </w:rPr>
        <w:t>2</w:t>
      </w:r>
    </w:p>
    <w:p>
      <w:pPr>
        <w:spacing w:before="53"/>
        <w:ind w:left="0" w:right="2181" w:firstLine="0"/>
        <w:jc w:val="center"/>
        <w:rPr>
          <w:b/>
          <w:sz w:val="20"/>
        </w:rPr>
      </w:pPr>
      <w:r>
        <w:rPr>
          <w:b/>
          <w:color w:val="231F20"/>
          <w:sz w:val="20"/>
        </w:rPr>
        <w:t>Алгоритм</w:t>
      </w:r>
      <w:r>
        <w:rPr>
          <w:b/>
          <w:color w:val="231F20"/>
          <w:spacing w:val="-7"/>
          <w:sz w:val="20"/>
        </w:rPr>
        <w:t> </w:t>
      </w:r>
      <w:r>
        <w:rPr>
          <w:b/>
          <w:color w:val="231F20"/>
          <w:sz w:val="20"/>
        </w:rPr>
        <w:t>работы</w:t>
      </w:r>
      <w:r>
        <w:rPr>
          <w:b/>
          <w:color w:val="231F20"/>
          <w:spacing w:val="-6"/>
          <w:sz w:val="20"/>
        </w:rPr>
        <w:t> </w:t>
      </w:r>
      <w:r>
        <w:rPr>
          <w:b/>
          <w:color w:val="231F20"/>
          <w:sz w:val="20"/>
        </w:rPr>
        <w:t>с</w:t>
      </w:r>
      <w:r>
        <w:rPr>
          <w:b/>
          <w:color w:val="231F20"/>
          <w:spacing w:val="-5"/>
          <w:sz w:val="20"/>
        </w:rPr>
        <w:t> </w:t>
      </w:r>
      <w:r>
        <w:rPr>
          <w:b/>
          <w:color w:val="231F20"/>
          <w:spacing w:val="-2"/>
          <w:sz w:val="20"/>
        </w:rPr>
        <w:t>карточками</w:t>
      </w:r>
    </w:p>
    <w:p>
      <w:pPr>
        <w:spacing w:after="0"/>
        <w:jc w:val="center"/>
        <w:rPr>
          <w:b/>
          <w:sz w:val="20"/>
        </w:rPr>
        <w:sectPr>
          <w:pgSz w:w="8400" w:h="11910"/>
          <w:pgMar w:header="0" w:footer="530" w:top="400" w:bottom="740" w:left="425" w:right="425"/>
          <w:cols w:num="2" w:equalWidth="0">
            <w:col w:w="1934" w:space="250"/>
            <w:col w:w="5366"/>
          </w:cols>
        </w:sectPr>
      </w:pPr>
    </w:p>
    <w:p>
      <w:pPr>
        <w:pStyle w:val="ListParagraph"/>
        <w:numPr>
          <w:ilvl w:val="0"/>
          <w:numId w:val="326"/>
        </w:numPr>
        <w:tabs>
          <w:tab w:pos="424" w:val="left" w:leader="none"/>
        </w:tabs>
        <w:spacing w:line="219" w:lineRule="exact" w:before="0" w:after="0"/>
        <w:ind w:left="424" w:right="0" w:hanging="283"/>
        <w:jc w:val="left"/>
        <w:rPr>
          <w:sz w:val="20"/>
        </w:rPr>
      </w:pPr>
      <w:r>
        <w:rPr>
          <w:color w:val="231F20"/>
          <w:spacing w:val="-2"/>
          <w:sz w:val="20"/>
        </w:rPr>
        <w:t>Определить</w:t>
      </w:r>
      <w:r>
        <w:rPr>
          <w:color w:val="231F20"/>
          <w:spacing w:val="-11"/>
          <w:sz w:val="20"/>
        </w:rPr>
        <w:t> </w:t>
      </w:r>
      <w:r>
        <w:rPr>
          <w:color w:val="231F20"/>
          <w:spacing w:val="-2"/>
          <w:sz w:val="20"/>
        </w:rPr>
        <w:t>тип</w:t>
      </w:r>
      <w:r>
        <w:rPr>
          <w:color w:val="231F20"/>
          <w:spacing w:val="-10"/>
          <w:sz w:val="20"/>
        </w:rPr>
        <w:t> </w:t>
      </w:r>
      <w:r>
        <w:rPr>
          <w:color w:val="231F20"/>
          <w:spacing w:val="-2"/>
          <w:sz w:val="20"/>
        </w:rPr>
        <w:t>гласной</w:t>
      </w:r>
      <w:r>
        <w:rPr>
          <w:color w:val="231F20"/>
          <w:spacing w:val="-10"/>
          <w:sz w:val="20"/>
        </w:rPr>
        <w:t> </w:t>
      </w:r>
      <w:r>
        <w:rPr>
          <w:color w:val="231F20"/>
          <w:spacing w:val="-2"/>
          <w:sz w:val="20"/>
        </w:rPr>
        <w:t>(безударная,</w:t>
      </w:r>
      <w:r>
        <w:rPr>
          <w:color w:val="231F20"/>
          <w:spacing w:val="-9"/>
          <w:sz w:val="20"/>
        </w:rPr>
        <w:t> </w:t>
      </w:r>
      <w:r>
        <w:rPr>
          <w:color w:val="231F20"/>
          <w:spacing w:val="-2"/>
          <w:sz w:val="20"/>
        </w:rPr>
        <w:t>чередующаяся,</w:t>
      </w:r>
      <w:r>
        <w:rPr>
          <w:color w:val="231F20"/>
          <w:spacing w:val="-10"/>
          <w:sz w:val="20"/>
        </w:rPr>
        <w:t> </w:t>
      </w:r>
      <w:r>
        <w:rPr>
          <w:color w:val="231F20"/>
          <w:spacing w:val="-2"/>
          <w:sz w:val="20"/>
        </w:rPr>
        <w:t>проверяемая,</w:t>
      </w:r>
      <w:r>
        <w:rPr>
          <w:color w:val="231F20"/>
          <w:spacing w:val="-9"/>
          <w:sz w:val="20"/>
        </w:rPr>
        <w:t> </w:t>
      </w:r>
      <w:r>
        <w:rPr>
          <w:color w:val="231F20"/>
          <w:spacing w:val="-2"/>
          <w:sz w:val="20"/>
        </w:rPr>
        <w:t>непроверяемая)</w:t>
      </w:r>
    </w:p>
    <w:p>
      <w:pPr>
        <w:pStyle w:val="ListParagraph"/>
        <w:numPr>
          <w:ilvl w:val="0"/>
          <w:numId w:val="326"/>
        </w:numPr>
        <w:tabs>
          <w:tab w:pos="425" w:val="left" w:leader="none"/>
        </w:tabs>
        <w:spacing w:line="232" w:lineRule="auto" w:before="1" w:after="0"/>
        <w:ind w:left="425" w:right="139" w:hanging="284"/>
        <w:jc w:val="left"/>
        <w:rPr>
          <w:sz w:val="20"/>
        </w:rPr>
      </w:pPr>
      <w:r>
        <w:rPr>
          <w:color w:val="231F20"/>
          <w:sz w:val="20"/>
        </w:rPr>
        <w:t>Подобрать проверочное условие выбора гласной (при затруднении обратиться к </w:t>
      </w:r>
      <w:r>
        <w:rPr>
          <w:color w:val="231F20"/>
          <w:spacing w:val="-2"/>
          <w:sz w:val="20"/>
        </w:rPr>
        <w:t>словарю)</w:t>
      </w:r>
    </w:p>
    <w:p>
      <w:pPr>
        <w:pStyle w:val="ListParagraph"/>
        <w:numPr>
          <w:ilvl w:val="0"/>
          <w:numId w:val="326"/>
        </w:numPr>
        <w:tabs>
          <w:tab w:pos="424" w:val="left" w:leader="none"/>
        </w:tabs>
        <w:spacing w:line="222" w:lineRule="exact" w:before="0" w:after="0"/>
        <w:ind w:left="424" w:right="0" w:hanging="283"/>
        <w:jc w:val="left"/>
        <w:rPr>
          <w:sz w:val="20"/>
        </w:rPr>
      </w:pPr>
      <w:r>
        <w:rPr>
          <w:color w:val="231F20"/>
          <w:sz w:val="20"/>
        </w:rPr>
        <w:t>Вставить</w:t>
      </w:r>
      <w:r>
        <w:rPr>
          <w:color w:val="231F20"/>
          <w:spacing w:val="-7"/>
          <w:sz w:val="20"/>
        </w:rPr>
        <w:t> </w:t>
      </w:r>
      <w:r>
        <w:rPr>
          <w:color w:val="231F20"/>
          <w:sz w:val="20"/>
        </w:rPr>
        <w:t>гласную</w:t>
      </w:r>
      <w:r>
        <w:rPr>
          <w:color w:val="231F20"/>
          <w:spacing w:val="-7"/>
          <w:sz w:val="20"/>
        </w:rPr>
        <w:t> </w:t>
      </w:r>
      <w:r>
        <w:rPr>
          <w:color w:val="231F20"/>
          <w:sz w:val="20"/>
        </w:rPr>
        <w:t>в</w:t>
      </w:r>
      <w:r>
        <w:rPr>
          <w:color w:val="231F20"/>
          <w:spacing w:val="-7"/>
          <w:sz w:val="20"/>
        </w:rPr>
        <w:t> </w:t>
      </w:r>
      <w:r>
        <w:rPr>
          <w:color w:val="231F20"/>
          <w:spacing w:val="-2"/>
          <w:sz w:val="20"/>
        </w:rPr>
        <w:t>слово.</w:t>
      </w:r>
    </w:p>
    <w:p>
      <w:pPr>
        <w:spacing w:line="226" w:lineRule="exact" w:before="106"/>
        <w:ind w:left="303" w:right="303" w:firstLine="0"/>
        <w:jc w:val="center"/>
        <w:rPr>
          <w:b/>
          <w:sz w:val="20"/>
        </w:rPr>
      </w:pPr>
      <w:r>
        <w:rPr>
          <w:b/>
          <w:color w:val="231F20"/>
          <w:sz w:val="20"/>
        </w:rPr>
        <w:t>Тест</w:t>
      </w:r>
      <w:r>
        <w:rPr>
          <w:b/>
          <w:color w:val="231F20"/>
          <w:spacing w:val="-13"/>
          <w:sz w:val="20"/>
        </w:rPr>
        <w:t> </w:t>
      </w:r>
      <w:r>
        <w:rPr>
          <w:b/>
          <w:color w:val="231F20"/>
          <w:sz w:val="20"/>
        </w:rPr>
        <w:t>на</w:t>
      </w:r>
      <w:r>
        <w:rPr>
          <w:b/>
          <w:color w:val="231F20"/>
          <w:spacing w:val="-9"/>
          <w:sz w:val="20"/>
        </w:rPr>
        <w:t> </w:t>
      </w:r>
      <w:r>
        <w:rPr>
          <w:b/>
          <w:color w:val="231F20"/>
          <w:sz w:val="20"/>
        </w:rPr>
        <w:t>проверку</w:t>
      </w:r>
      <w:r>
        <w:rPr>
          <w:b/>
          <w:color w:val="231F20"/>
          <w:spacing w:val="-10"/>
          <w:sz w:val="20"/>
        </w:rPr>
        <w:t> </w:t>
      </w:r>
      <w:r>
        <w:rPr>
          <w:b/>
          <w:color w:val="231F20"/>
          <w:sz w:val="20"/>
        </w:rPr>
        <w:t>сформированности</w:t>
      </w:r>
      <w:r>
        <w:rPr>
          <w:b/>
          <w:color w:val="231F20"/>
          <w:spacing w:val="-10"/>
          <w:sz w:val="20"/>
        </w:rPr>
        <w:t> </w:t>
      </w:r>
      <w:r>
        <w:rPr>
          <w:b/>
          <w:color w:val="231F20"/>
          <w:sz w:val="20"/>
        </w:rPr>
        <w:t>орфографического</w:t>
      </w:r>
      <w:r>
        <w:rPr>
          <w:b/>
          <w:color w:val="231F20"/>
          <w:spacing w:val="-9"/>
          <w:sz w:val="20"/>
        </w:rPr>
        <w:t> </w:t>
      </w:r>
      <w:r>
        <w:rPr>
          <w:b/>
          <w:color w:val="231F20"/>
          <w:spacing w:val="-2"/>
          <w:sz w:val="20"/>
        </w:rPr>
        <w:t>навыка</w:t>
      </w:r>
    </w:p>
    <w:p>
      <w:pPr>
        <w:pStyle w:val="BodyText"/>
        <w:spacing w:line="232" w:lineRule="auto" w:before="1"/>
        <w:ind w:left="1421" w:right="1420" w:firstLine="0"/>
        <w:jc w:val="center"/>
      </w:pPr>
      <w:r>
        <w:rPr>
          <w:color w:val="231F20"/>
        </w:rPr>
        <w:t>по теме «Чередующиеся гласные в корне» (чередование</w:t>
      </w:r>
      <w:r>
        <w:rPr>
          <w:color w:val="231F20"/>
          <w:spacing w:val="-13"/>
        </w:rPr>
        <w:t> </w:t>
      </w:r>
      <w:r>
        <w:rPr>
          <w:color w:val="231F20"/>
        </w:rPr>
        <w:t>зависит</w:t>
      </w:r>
      <w:r>
        <w:rPr>
          <w:color w:val="231F20"/>
          <w:spacing w:val="-12"/>
        </w:rPr>
        <w:t> </w:t>
      </w:r>
      <w:r>
        <w:rPr>
          <w:color w:val="231F20"/>
        </w:rPr>
        <w:t>от</w:t>
      </w:r>
      <w:r>
        <w:rPr>
          <w:color w:val="231F20"/>
          <w:spacing w:val="-13"/>
        </w:rPr>
        <w:t> </w:t>
      </w:r>
      <w:r>
        <w:rPr>
          <w:color w:val="231F20"/>
        </w:rPr>
        <w:t>последующего</w:t>
      </w:r>
      <w:r>
        <w:rPr>
          <w:color w:val="231F20"/>
          <w:spacing w:val="-12"/>
        </w:rPr>
        <w:t> </w:t>
      </w:r>
      <w:r>
        <w:rPr>
          <w:color w:val="231F20"/>
        </w:rPr>
        <w:t>согласного)</w:t>
      </w:r>
    </w:p>
    <w:p>
      <w:pPr>
        <w:pStyle w:val="ListParagraph"/>
        <w:numPr>
          <w:ilvl w:val="0"/>
          <w:numId w:val="327"/>
        </w:numPr>
        <w:tabs>
          <w:tab w:pos="425" w:val="left" w:leader="none"/>
        </w:tabs>
        <w:spacing w:line="232" w:lineRule="auto" w:before="55" w:after="0"/>
        <w:ind w:left="425" w:right="152" w:hanging="284"/>
        <w:jc w:val="left"/>
        <w:rPr>
          <w:sz w:val="20"/>
        </w:rPr>
      </w:pPr>
      <w:r>
        <w:rPr>
          <w:color w:val="231F20"/>
          <w:sz w:val="20"/>
        </w:rPr>
        <w:t>В</w:t>
      </w:r>
      <w:r>
        <w:rPr>
          <w:color w:val="231F20"/>
          <w:spacing w:val="-12"/>
          <w:sz w:val="20"/>
        </w:rPr>
        <w:t> </w:t>
      </w:r>
      <w:r>
        <w:rPr>
          <w:color w:val="231F20"/>
          <w:sz w:val="20"/>
        </w:rPr>
        <w:t>каком</w:t>
      </w:r>
      <w:r>
        <w:rPr>
          <w:color w:val="231F20"/>
          <w:spacing w:val="-12"/>
          <w:sz w:val="20"/>
        </w:rPr>
        <w:t> </w:t>
      </w:r>
      <w:r>
        <w:rPr>
          <w:color w:val="231F20"/>
          <w:sz w:val="20"/>
        </w:rPr>
        <w:t>слове</w:t>
      </w:r>
      <w:r>
        <w:rPr>
          <w:color w:val="231F20"/>
          <w:spacing w:val="-12"/>
          <w:sz w:val="20"/>
        </w:rPr>
        <w:t> </w:t>
      </w:r>
      <w:r>
        <w:rPr>
          <w:color w:val="231F20"/>
          <w:sz w:val="20"/>
        </w:rPr>
        <w:t>пропущенную</w:t>
      </w:r>
      <w:r>
        <w:rPr>
          <w:color w:val="231F20"/>
          <w:spacing w:val="-13"/>
          <w:sz w:val="20"/>
        </w:rPr>
        <w:t> </w:t>
      </w:r>
      <w:r>
        <w:rPr>
          <w:color w:val="231F20"/>
          <w:sz w:val="20"/>
        </w:rPr>
        <w:t>гласную</w:t>
      </w:r>
      <w:r>
        <w:rPr>
          <w:color w:val="231F20"/>
          <w:spacing w:val="-12"/>
          <w:sz w:val="20"/>
        </w:rPr>
        <w:t> </w:t>
      </w:r>
      <w:r>
        <w:rPr>
          <w:color w:val="231F20"/>
          <w:sz w:val="20"/>
        </w:rPr>
        <w:t>можно</w:t>
      </w:r>
      <w:r>
        <w:rPr>
          <w:color w:val="231F20"/>
          <w:spacing w:val="-12"/>
          <w:sz w:val="20"/>
        </w:rPr>
        <w:t> </w:t>
      </w:r>
      <w:r>
        <w:rPr>
          <w:color w:val="231F20"/>
          <w:sz w:val="20"/>
        </w:rPr>
        <w:t>проверить</w:t>
      </w:r>
      <w:r>
        <w:rPr>
          <w:color w:val="231F20"/>
          <w:spacing w:val="-13"/>
          <w:sz w:val="20"/>
        </w:rPr>
        <w:t> </w:t>
      </w:r>
      <w:r>
        <w:rPr>
          <w:color w:val="231F20"/>
          <w:sz w:val="20"/>
        </w:rPr>
        <w:t>подбором</w:t>
      </w:r>
      <w:r>
        <w:rPr>
          <w:color w:val="231F20"/>
          <w:spacing w:val="-11"/>
          <w:sz w:val="20"/>
        </w:rPr>
        <w:t> </w:t>
      </w:r>
      <w:r>
        <w:rPr>
          <w:color w:val="231F20"/>
          <w:sz w:val="20"/>
        </w:rPr>
        <w:t>однокоренного проверочного слова?</w:t>
      </w:r>
    </w:p>
    <w:p>
      <w:pPr>
        <w:pStyle w:val="BodyText"/>
        <w:spacing w:line="232" w:lineRule="auto"/>
        <w:ind w:left="425" w:right="5947" w:firstLine="0"/>
        <w:jc w:val="left"/>
      </w:pPr>
      <w:r>
        <w:rPr>
          <w:color w:val="231F20"/>
        </w:rPr>
        <w:t>А) р_стение Б)</w:t>
      </w:r>
      <w:r>
        <w:rPr>
          <w:color w:val="231F20"/>
          <w:spacing w:val="40"/>
        </w:rPr>
        <w:t> </w:t>
      </w:r>
      <w:r>
        <w:rPr>
          <w:color w:val="231F20"/>
        </w:rPr>
        <w:t>выр_сли В)</w:t>
      </w:r>
      <w:r>
        <w:rPr>
          <w:color w:val="231F20"/>
          <w:spacing w:val="3"/>
        </w:rPr>
        <w:t> </w:t>
      </w:r>
      <w:r>
        <w:rPr>
          <w:color w:val="231F20"/>
        </w:rPr>
        <w:t>р_зоватый Г)</w:t>
      </w:r>
      <w:r>
        <w:rPr>
          <w:color w:val="231F20"/>
          <w:spacing w:val="40"/>
        </w:rPr>
        <w:t> </w:t>
      </w:r>
      <w:r>
        <w:rPr>
          <w:color w:val="231F20"/>
        </w:rPr>
        <w:t>Р_стов</w:t>
      </w:r>
    </w:p>
    <w:p>
      <w:pPr>
        <w:pStyle w:val="ListParagraph"/>
        <w:numPr>
          <w:ilvl w:val="0"/>
          <w:numId w:val="327"/>
        </w:numPr>
        <w:tabs>
          <w:tab w:pos="425" w:val="left" w:leader="none"/>
        </w:tabs>
        <w:spacing w:line="232" w:lineRule="auto" w:before="0" w:after="0"/>
        <w:ind w:left="425" w:right="283" w:hanging="284"/>
        <w:jc w:val="left"/>
        <w:rPr>
          <w:sz w:val="20"/>
        </w:rPr>
      </w:pPr>
      <w:r>
        <w:rPr>
          <w:color w:val="231F20"/>
          <w:sz w:val="20"/>
        </w:rPr>
        <w:t>В</w:t>
      </w:r>
      <w:r>
        <w:rPr>
          <w:color w:val="231F20"/>
          <w:spacing w:val="-8"/>
          <w:sz w:val="20"/>
        </w:rPr>
        <w:t> </w:t>
      </w:r>
      <w:r>
        <w:rPr>
          <w:color w:val="231F20"/>
          <w:sz w:val="20"/>
        </w:rPr>
        <w:t>каком</w:t>
      </w:r>
      <w:r>
        <w:rPr>
          <w:color w:val="231F20"/>
          <w:spacing w:val="-8"/>
          <w:sz w:val="20"/>
        </w:rPr>
        <w:t> </w:t>
      </w:r>
      <w:r>
        <w:rPr>
          <w:color w:val="231F20"/>
          <w:sz w:val="20"/>
        </w:rPr>
        <w:t>слове</w:t>
      </w:r>
      <w:r>
        <w:rPr>
          <w:color w:val="231F20"/>
          <w:spacing w:val="-8"/>
          <w:sz w:val="20"/>
        </w:rPr>
        <w:t> </w:t>
      </w:r>
      <w:r>
        <w:rPr>
          <w:color w:val="231F20"/>
          <w:sz w:val="20"/>
        </w:rPr>
        <w:t>пропущенную</w:t>
      </w:r>
      <w:r>
        <w:rPr>
          <w:color w:val="231F20"/>
          <w:spacing w:val="-9"/>
          <w:sz w:val="20"/>
        </w:rPr>
        <w:t> </w:t>
      </w:r>
      <w:r>
        <w:rPr>
          <w:color w:val="231F20"/>
          <w:sz w:val="20"/>
        </w:rPr>
        <w:t>гласную</w:t>
      </w:r>
      <w:r>
        <w:rPr>
          <w:color w:val="231F20"/>
          <w:spacing w:val="-9"/>
          <w:sz w:val="20"/>
        </w:rPr>
        <w:t> </w:t>
      </w:r>
      <w:r>
        <w:rPr>
          <w:color w:val="231F20"/>
          <w:sz w:val="20"/>
        </w:rPr>
        <w:t>в</w:t>
      </w:r>
      <w:r>
        <w:rPr>
          <w:color w:val="231F20"/>
          <w:spacing w:val="-9"/>
          <w:sz w:val="20"/>
        </w:rPr>
        <w:t> </w:t>
      </w:r>
      <w:r>
        <w:rPr>
          <w:color w:val="231F20"/>
          <w:sz w:val="20"/>
        </w:rPr>
        <w:t>корне</w:t>
      </w:r>
      <w:r>
        <w:rPr>
          <w:color w:val="231F20"/>
          <w:spacing w:val="-8"/>
          <w:sz w:val="20"/>
        </w:rPr>
        <w:t> </w:t>
      </w:r>
      <w:r>
        <w:rPr>
          <w:color w:val="231F20"/>
          <w:sz w:val="20"/>
        </w:rPr>
        <w:t>нельзя</w:t>
      </w:r>
      <w:r>
        <w:rPr>
          <w:color w:val="231F20"/>
          <w:spacing w:val="-8"/>
          <w:sz w:val="20"/>
        </w:rPr>
        <w:t> </w:t>
      </w:r>
      <w:r>
        <w:rPr>
          <w:color w:val="231F20"/>
          <w:sz w:val="20"/>
        </w:rPr>
        <w:t>проверить</w:t>
      </w:r>
      <w:r>
        <w:rPr>
          <w:color w:val="231F20"/>
          <w:spacing w:val="-9"/>
          <w:sz w:val="20"/>
        </w:rPr>
        <w:t> </w:t>
      </w:r>
      <w:r>
        <w:rPr>
          <w:color w:val="231F20"/>
          <w:sz w:val="20"/>
        </w:rPr>
        <w:t>подбором</w:t>
      </w:r>
      <w:r>
        <w:rPr>
          <w:color w:val="231F20"/>
          <w:spacing w:val="-8"/>
          <w:sz w:val="20"/>
        </w:rPr>
        <w:t> </w:t>
      </w:r>
      <w:r>
        <w:rPr>
          <w:color w:val="231F20"/>
          <w:sz w:val="20"/>
        </w:rPr>
        <w:t>одно- коренного проверочного слова?</w:t>
      </w:r>
    </w:p>
    <w:p>
      <w:pPr>
        <w:pStyle w:val="BodyText"/>
        <w:spacing w:line="232" w:lineRule="auto"/>
        <w:ind w:left="425" w:right="6023" w:firstLine="0"/>
        <w:jc w:val="left"/>
      </w:pPr>
      <w:r>
        <w:rPr>
          <w:color w:val="231F20"/>
        </w:rPr>
        <w:t>А)</w:t>
      </w:r>
      <w:r>
        <w:rPr>
          <w:color w:val="231F20"/>
          <w:spacing w:val="-4"/>
        </w:rPr>
        <w:t> </w:t>
      </w:r>
      <w:r>
        <w:rPr>
          <w:color w:val="231F20"/>
        </w:rPr>
        <w:t>выр_сли Б)</w:t>
      </w:r>
      <w:r>
        <w:rPr>
          <w:color w:val="231F20"/>
          <w:spacing w:val="40"/>
        </w:rPr>
        <w:t> </w:t>
      </w:r>
      <w:r>
        <w:rPr>
          <w:color w:val="231F20"/>
        </w:rPr>
        <w:t>р_са</w:t>
      </w:r>
    </w:p>
    <w:p>
      <w:pPr>
        <w:pStyle w:val="BodyText"/>
        <w:spacing w:line="232" w:lineRule="auto"/>
        <w:ind w:left="425" w:right="5794" w:firstLine="0"/>
        <w:jc w:val="left"/>
      </w:pPr>
      <w:r>
        <w:rPr>
          <w:color w:val="231F20"/>
        </w:rPr>
        <w:t>В)</w:t>
      </w:r>
      <w:r>
        <w:rPr>
          <w:color w:val="231F20"/>
          <w:spacing w:val="3"/>
        </w:rPr>
        <w:t> </w:t>
      </w:r>
      <w:r>
        <w:rPr>
          <w:color w:val="231F20"/>
        </w:rPr>
        <w:t>р_скошный Г)</w:t>
      </w:r>
      <w:r>
        <w:rPr>
          <w:color w:val="231F20"/>
          <w:spacing w:val="40"/>
        </w:rPr>
        <w:t> </w:t>
      </w:r>
      <w:r>
        <w:rPr>
          <w:color w:val="231F20"/>
        </w:rPr>
        <w:t>л_гичный</w:t>
      </w:r>
    </w:p>
    <w:p>
      <w:pPr>
        <w:pStyle w:val="ListParagraph"/>
        <w:numPr>
          <w:ilvl w:val="0"/>
          <w:numId w:val="327"/>
        </w:numPr>
        <w:tabs>
          <w:tab w:pos="425" w:val="left" w:leader="none"/>
        </w:tabs>
        <w:spacing w:line="232" w:lineRule="auto" w:before="0" w:after="0"/>
        <w:ind w:left="425" w:right="3988" w:hanging="284"/>
        <w:jc w:val="left"/>
        <w:rPr>
          <w:sz w:val="20"/>
        </w:rPr>
      </w:pPr>
      <w:r>
        <w:rPr>
          <w:color w:val="231F20"/>
          <w:sz w:val="20"/>
        </w:rPr>
        <w:t>В</w:t>
      </w:r>
      <w:r>
        <w:rPr>
          <w:color w:val="231F20"/>
          <w:spacing w:val="-12"/>
          <w:sz w:val="20"/>
        </w:rPr>
        <w:t> </w:t>
      </w:r>
      <w:r>
        <w:rPr>
          <w:color w:val="231F20"/>
          <w:sz w:val="20"/>
        </w:rPr>
        <w:t>каком</w:t>
      </w:r>
      <w:r>
        <w:rPr>
          <w:color w:val="231F20"/>
          <w:spacing w:val="-12"/>
          <w:sz w:val="20"/>
        </w:rPr>
        <w:t> </w:t>
      </w:r>
      <w:r>
        <w:rPr>
          <w:color w:val="231F20"/>
          <w:sz w:val="20"/>
        </w:rPr>
        <w:t>слове</w:t>
      </w:r>
      <w:r>
        <w:rPr>
          <w:color w:val="231F20"/>
          <w:spacing w:val="-12"/>
          <w:sz w:val="20"/>
        </w:rPr>
        <w:t> </w:t>
      </w:r>
      <w:r>
        <w:rPr>
          <w:color w:val="231F20"/>
          <w:sz w:val="20"/>
        </w:rPr>
        <w:t>пропущена</w:t>
      </w:r>
      <w:r>
        <w:rPr>
          <w:color w:val="231F20"/>
          <w:spacing w:val="-12"/>
          <w:sz w:val="20"/>
        </w:rPr>
        <w:t> </w:t>
      </w:r>
      <w:r>
        <w:rPr>
          <w:color w:val="231F20"/>
          <w:sz w:val="20"/>
        </w:rPr>
        <w:t>гласная</w:t>
      </w:r>
      <w:r>
        <w:rPr>
          <w:color w:val="231F20"/>
          <w:spacing w:val="-12"/>
          <w:sz w:val="20"/>
        </w:rPr>
        <w:t> </w:t>
      </w:r>
      <w:r>
        <w:rPr>
          <w:i/>
          <w:color w:val="231F20"/>
          <w:sz w:val="20"/>
        </w:rPr>
        <w:t>а</w:t>
      </w:r>
      <w:r>
        <w:rPr>
          <w:color w:val="231F20"/>
          <w:sz w:val="20"/>
        </w:rPr>
        <w:t>? А) сл_жение</w:t>
      </w:r>
    </w:p>
    <w:p>
      <w:pPr>
        <w:pStyle w:val="BodyText"/>
        <w:spacing w:line="232" w:lineRule="auto"/>
        <w:ind w:left="425" w:right="5581" w:firstLine="0"/>
        <w:jc w:val="left"/>
      </w:pPr>
      <w:r>
        <w:rPr>
          <w:color w:val="231F20"/>
        </w:rPr>
        <w:t>Б)</w:t>
      </w:r>
      <w:r>
        <w:rPr>
          <w:color w:val="231F20"/>
          <w:spacing w:val="19"/>
        </w:rPr>
        <w:t> </w:t>
      </w:r>
      <w:r>
        <w:rPr>
          <w:color w:val="231F20"/>
        </w:rPr>
        <w:t>предл_жение В)</w:t>
      </w:r>
      <w:r>
        <w:rPr>
          <w:color w:val="231F20"/>
          <w:spacing w:val="40"/>
        </w:rPr>
        <w:t> </w:t>
      </w:r>
      <w:r>
        <w:rPr>
          <w:color w:val="231F20"/>
        </w:rPr>
        <w:t>сл_гаемое</w:t>
      </w:r>
    </w:p>
    <w:p>
      <w:pPr>
        <w:pStyle w:val="BodyText"/>
        <w:spacing w:line="218" w:lineRule="exact"/>
        <w:ind w:left="425" w:right="0" w:firstLine="0"/>
        <w:jc w:val="left"/>
      </w:pPr>
      <w:r>
        <w:rPr>
          <w:color w:val="231F20"/>
        </w:rPr>
        <w:t>Г)</w:t>
      </w:r>
      <w:r>
        <w:rPr>
          <w:color w:val="231F20"/>
          <w:spacing w:val="49"/>
        </w:rPr>
        <w:t> </w:t>
      </w:r>
      <w:r>
        <w:rPr>
          <w:color w:val="231F20"/>
          <w:spacing w:val="-2"/>
        </w:rPr>
        <w:t>сл_жил</w:t>
      </w:r>
    </w:p>
    <w:p>
      <w:pPr>
        <w:pStyle w:val="ListParagraph"/>
        <w:numPr>
          <w:ilvl w:val="0"/>
          <w:numId w:val="327"/>
        </w:numPr>
        <w:tabs>
          <w:tab w:pos="425" w:val="left" w:leader="none"/>
        </w:tabs>
        <w:spacing w:line="232" w:lineRule="auto" w:before="0" w:after="0"/>
        <w:ind w:left="425" w:right="3988" w:hanging="284"/>
        <w:jc w:val="left"/>
        <w:rPr>
          <w:sz w:val="20"/>
        </w:rPr>
      </w:pPr>
      <w:r>
        <w:rPr>
          <w:color w:val="231F20"/>
          <w:sz w:val="20"/>
        </w:rPr>
        <w:t>В</w:t>
      </w:r>
      <w:r>
        <w:rPr>
          <w:color w:val="231F20"/>
          <w:spacing w:val="-12"/>
          <w:sz w:val="20"/>
        </w:rPr>
        <w:t> </w:t>
      </w:r>
      <w:r>
        <w:rPr>
          <w:color w:val="231F20"/>
          <w:sz w:val="20"/>
        </w:rPr>
        <w:t>каком</w:t>
      </w:r>
      <w:r>
        <w:rPr>
          <w:color w:val="231F20"/>
          <w:spacing w:val="-12"/>
          <w:sz w:val="20"/>
        </w:rPr>
        <w:t> </w:t>
      </w:r>
      <w:r>
        <w:rPr>
          <w:color w:val="231F20"/>
          <w:sz w:val="20"/>
        </w:rPr>
        <w:t>слове</w:t>
      </w:r>
      <w:r>
        <w:rPr>
          <w:color w:val="231F20"/>
          <w:spacing w:val="-12"/>
          <w:sz w:val="20"/>
        </w:rPr>
        <w:t> </w:t>
      </w:r>
      <w:r>
        <w:rPr>
          <w:color w:val="231F20"/>
          <w:sz w:val="20"/>
        </w:rPr>
        <w:t>пропущена</w:t>
      </w:r>
      <w:r>
        <w:rPr>
          <w:color w:val="231F20"/>
          <w:spacing w:val="-12"/>
          <w:sz w:val="20"/>
        </w:rPr>
        <w:t> </w:t>
      </w:r>
      <w:r>
        <w:rPr>
          <w:color w:val="231F20"/>
          <w:sz w:val="20"/>
        </w:rPr>
        <w:t>гласная</w:t>
      </w:r>
      <w:r>
        <w:rPr>
          <w:color w:val="231F20"/>
          <w:spacing w:val="-12"/>
          <w:sz w:val="20"/>
        </w:rPr>
        <w:t> </w:t>
      </w:r>
      <w:r>
        <w:rPr>
          <w:i/>
          <w:color w:val="231F20"/>
          <w:sz w:val="20"/>
        </w:rPr>
        <w:t>о</w:t>
      </w:r>
      <w:r>
        <w:rPr>
          <w:color w:val="231F20"/>
          <w:sz w:val="20"/>
        </w:rPr>
        <w:t>? А) р_стение</w:t>
      </w:r>
    </w:p>
    <w:p>
      <w:pPr>
        <w:pStyle w:val="BodyText"/>
        <w:spacing w:line="218" w:lineRule="exact"/>
        <w:ind w:left="425" w:right="0" w:firstLine="0"/>
        <w:jc w:val="left"/>
      </w:pPr>
      <w:r>
        <w:rPr>
          <w:color w:val="231F20"/>
        </w:rPr>
        <w:t>Б)</w:t>
      </w:r>
      <w:r>
        <w:rPr>
          <w:color w:val="231F20"/>
          <w:spacing w:val="51"/>
        </w:rPr>
        <w:t> </w:t>
      </w:r>
      <w:r>
        <w:rPr>
          <w:color w:val="231F20"/>
          <w:spacing w:val="-2"/>
        </w:rPr>
        <w:t>подр_сли</w:t>
      </w:r>
    </w:p>
    <w:p>
      <w:pPr>
        <w:pStyle w:val="BodyText"/>
        <w:spacing w:line="232" w:lineRule="auto"/>
        <w:ind w:left="425" w:right="5581" w:firstLine="0"/>
        <w:jc w:val="left"/>
      </w:pPr>
      <w:r>
        <w:rPr>
          <w:color w:val="231F20"/>
        </w:rPr>
        <w:t>В)</w:t>
      </w:r>
      <w:r>
        <w:rPr>
          <w:color w:val="231F20"/>
          <w:spacing w:val="4"/>
        </w:rPr>
        <w:t> </w:t>
      </w:r>
      <w:r>
        <w:rPr>
          <w:color w:val="231F20"/>
        </w:rPr>
        <w:t>выр_щенный Г)</w:t>
      </w:r>
      <w:r>
        <w:rPr>
          <w:color w:val="231F20"/>
          <w:spacing w:val="40"/>
        </w:rPr>
        <w:t> </w:t>
      </w:r>
      <w:r>
        <w:rPr>
          <w:color w:val="231F20"/>
        </w:rPr>
        <w:t>отр_сль</w:t>
      </w:r>
    </w:p>
    <w:p>
      <w:pPr>
        <w:pStyle w:val="ListParagraph"/>
        <w:numPr>
          <w:ilvl w:val="0"/>
          <w:numId w:val="327"/>
        </w:numPr>
        <w:tabs>
          <w:tab w:pos="425" w:val="left" w:leader="none"/>
        </w:tabs>
        <w:spacing w:line="232" w:lineRule="auto" w:before="0" w:after="0"/>
        <w:ind w:left="425" w:right="4713" w:hanging="284"/>
        <w:jc w:val="left"/>
        <w:rPr>
          <w:sz w:val="20"/>
        </w:rPr>
      </w:pPr>
      <w:r>
        <w:rPr>
          <w:color w:val="231F20"/>
          <w:sz w:val="20"/>
        </w:rPr>
        <w:t>Найдите</w:t>
      </w:r>
      <w:r>
        <w:rPr>
          <w:color w:val="231F20"/>
          <w:spacing w:val="-13"/>
          <w:sz w:val="20"/>
        </w:rPr>
        <w:t> </w:t>
      </w:r>
      <w:r>
        <w:rPr>
          <w:color w:val="231F20"/>
          <w:sz w:val="20"/>
        </w:rPr>
        <w:t>слово-исключение. А) предл_гает</w:t>
      </w:r>
    </w:p>
    <w:p>
      <w:pPr>
        <w:pStyle w:val="BodyText"/>
        <w:spacing w:line="218" w:lineRule="exact"/>
        <w:ind w:left="425" w:right="0" w:firstLine="0"/>
        <w:jc w:val="left"/>
      </w:pPr>
      <w:r>
        <w:rPr>
          <w:color w:val="231F20"/>
        </w:rPr>
        <w:t>Б)</w:t>
      </w:r>
      <w:r>
        <w:rPr>
          <w:color w:val="231F20"/>
          <w:spacing w:val="51"/>
        </w:rPr>
        <w:t> </w:t>
      </w:r>
      <w:r>
        <w:rPr>
          <w:color w:val="231F20"/>
          <w:spacing w:val="-2"/>
        </w:rPr>
        <w:t>р_сток</w:t>
      </w:r>
    </w:p>
    <w:p>
      <w:pPr>
        <w:pStyle w:val="BodyText"/>
        <w:spacing w:line="232" w:lineRule="auto"/>
        <w:ind w:left="425" w:right="5794" w:firstLine="0"/>
        <w:jc w:val="left"/>
      </w:pPr>
      <w:r>
        <w:rPr>
          <w:color w:val="231F20"/>
        </w:rPr>
        <w:t>В)</w:t>
      </w:r>
      <w:r>
        <w:rPr>
          <w:color w:val="231F20"/>
          <w:spacing w:val="3"/>
        </w:rPr>
        <w:t> </w:t>
      </w:r>
      <w:r>
        <w:rPr>
          <w:color w:val="231F20"/>
        </w:rPr>
        <w:t>изл_жение Г)</w:t>
      </w:r>
      <w:r>
        <w:rPr>
          <w:color w:val="231F20"/>
          <w:spacing w:val="40"/>
        </w:rPr>
        <w:t> </w:t>
      </w:r>
      <w:r>
        <w:rPr>
          <w:color w:val="231F20"/>
        </w:rPr>
        <w:t>р_стут</w:t>
      </w:r>
    </w:p>
    <w:p>
      <w:pPr>
        <w:spacing w:line="226" w:lineRule="exact" w:before="93"/>
        <w:ind w:left="723" w:right="0" w:firstLine="0"/>
        <w:jc w:val="left"/>
        <w:rPr>
          <w:b/>
          <w:sz w:val="20"/>
        </w:rPr>
      </w:pPr>
      <w:r>
        <w:rPr>
          <w:b/>
          <w:color w:val="231F20"/>
          <w:sz w:val="20"/>
        </w:rPr>
        <w:t>Тест</w:t>
      </w:r>
      <w:r>
        <w:rPr>
          <w:b/>
          <w:color w:val="231F20"/>
          <w:spacing w:val="-6"/>
          <w:sz w:val="20"/>
        </w:rPr>
        <w:t> </w:t>
      </w:r>
      <w:r>
        <w:rPr>
          <w:b/>
          <w:color w:val="231F20"/>
          <w:sz w:val="20"/>
        </w:rPr>
        <w:t>на</w:t>
      </w:r>
      <w:r>
        <w:rPr>
          <w:b/>
          <w:color w:val="231F20"/>
          <w:spacing w:val="-5"/>
          <w:sz w:val="20"/>
        </w:rPr>
        <w:t> </w:t>
      </w:r>
      <w:r>
        <w:rPr>
          <w:b/>
          <w:color w:val="231F20"/>
          <w:sz w:val="20"/>
        </w:rPr>
        <w:t>проверку</w:t>
      </w:r>
      <w:r>
        <w:rPr>
          <w:b/>
          <w:color w:val="231F20"/>
          <w:spacing w:val="-5"/>
          <w:sz w:val="20"/>
        </w:rPr>
        <w:t> </w:t>
      </w:r>
      <w:r>
        <w:rPr>
          <w:b/>
          <w:color w:val="231F20"/>
          <w:sz w:val="20"/>
        </w:rPr>
        <w:t>усвоения</w:t>
      </w:r>
      <w:r>
        <w:rPr>
          <w:b/>
          <w:color w:val="231F20"/>
          <w:spacing w:val="-5"/>
          <w:sz w:val="20"/>
        </w:rPr>
        <w:t> </w:t>
      </w:r>
      <w:r>
        <w:rPr>
          <w:b/>
          <w:color w:val="231F20"/>
          <w:sz w:val="20"/>
        </w:rPr>
        <w:t>темы</w:t>
      </w:r>
      <w:r>
        <w:rPr>
          <w:b/>
          <w:color w:val="231F20"/>
          <w:spacing w:val="-5"/>
          <w:sz w:val="20"/>
        </w:rPr>
        <w:t> </w:t>
      </w:r>
      <w:r>
        <w:rPr>
          <w:b/>
          <w:color w:val="231F20"/>
          <w:sz w:val="20"/>
        </w:rPr>
        <w:t>«Чередующиеся</w:t>
      </w:r>
      <w:r>
        <w:rPr>
          <w:b/>
          <w:color w:val="231F20"/>
          <w:spacing w:val="-5"/>
          <w:sz w:val="20"/>
        </w:rPr>
        <w:t> </w:t>
      </w:r>
      <w:r>
        <w:rPr>
          <w:b/>
          <w:color w:val="231F20"/>
          <w:sz w:val="20"/>
        </w:rPr>
        <w:t>гласные</w:t>
      </w:r>
      <w:r>
        <w:rPr>
          <w:b/>
          <w:color w:val="231F20"/>
          <w:spacing w:val="-5"/>
          <w:sz w:val="20"/>
        </w:rPr>
        <w:t> </w:t>
      </w:r>
      <w:r>
        <w:rPr>
          <w:b/>
          <w:color w:val="231F20"/>
          <w:sz w:val="20"/>
        </w:rPr>
        <w:t>в</w:t>
      </w:r>
      <w:r>
        <w:rPr>
          <w:b/>
          <w:color w:val="231F20"/>
          <w:spacing w:val="-4"/>
          <w:sz w:val="20"/>
        </w:rPr>
        <w:t> </w:t>
      </w:r>
      <w:r>
        <w:rPr>
          <w:b/>
          <w:color w:val="231F20"/>
          <w:spacing w:val="-2"/>
          <w:sz w:val="20"/>
        </w:rPr>
        <w:t>корне»</w:t>
      </w:r>
    </w:p>
    <w:p>
      <w:pPr>
        <w:pStyle w:val="ListParagraph"/>
        <w:numPr>
          <w:ilvl w:val="0"/>
          <w:numId w:val="328"/>
        </w:numPr>
        <w:tabs>
          <w:tab w:pos="425" w:val="left" w:leader="none"/>
        </w:tabs>
        <w:spacing w:line="232" w:lineRule="auto" w:before="2" w:after="0"/>
        <w:ind w:left="425" w:right="139" w:hanging="284"/>
        <w:jc w:val="left"/>
        <w:rPr>
          <w:sz w:val="20"/>
        </w:rPr>
      </w:pPr>
      <w:r>
        <w:rPr>
          <w:color w:val="231F20"/>
          <w:sz w:val="20"/>
        </w:rPr>
        <w:t>В</w:t>
      </w:r>
      <w:r>
        <w:rPr>
          <w:color w:val="231F20"/>
          <w:spacing w:val="-13"/>
          <w:sz w:val="20"/>
        </w:rPr>
        <w:t> </w:t>
      </w:r>
      <w:r>
        <w:rPr>
          <w:color w:val="231F20"/>
          <w:sz w:val="20"/>
        </w:rPr>
        <w:t>каком</w:t>
      </w:r>
      <w:r>
        <w:rPr>
          <w:color w:val="231F20"/>
          <w:spacing w:val="-12"/>
          <w:sz w:val="20"/>
        </w:rPr>
        <w:t> </w:t>
      </w:r>
      <w:r>
        <w:rPr>
          <w:color w:val="231F20"/>
          <w:sz w:val="20"/>
        </w:rPr>
        <w:t>слове</w:t>
      </w:r>
      <w:r>
        <w:rPr>
          <w:color w:val="231F20"/>
          <w:spacing w:val="-13"/>
          <w:sz w:val="20"/>
        </w:rPr>
        <w:t> </w:t>
      </w:r>
      <w:r>
        <w:rPr>
          <w:color w:val="231F20"/>
          <w:sz w:val="20"/>
        </w:rPr>
        <w:t>пропущенную</w:t>
      </w:r>
      <w:r>
        <w:rPr>
          <w:color w:val="231F20"/>
          <w:spacing w:val="-12"/>
          <w:sz w:val="20"/>
        </w:rPr>
        <w:t> </w:t>
      </w:r>
      <w:r>
        <w:rPr>
          <w:color w:val="231F20"/>
          <w:sz w:val="20"/>
        </w:rPr>
        <w:t>гласную</w:t>
      </w:r>
      <w:r>
        <w:rPr>
          <w:color w:val="231F20"/>
          <w:spacing w:val="-13"/>
          <w:sz w:val="20"/>
        </w:rPr>
        <w:t> </w:t>
      </w:r>
      <w:r>
        <w:rPr>
          <w:color w:val="231F20"/>
          <w:sz w:val="20"/>
        </w:rPr>
        <w:t>в</w:t>
      </w:r>
      <w:r>
        <w:rPr>
          <w:color w:val="231F20"/>
          <w:spacing w:val="-12"/>
          <w:sz w:val="20"/>
        </w:rPr>
        <w:t> </w:t>
      </w:r>
      <w:r>
        <w:rPr>
          <w:color w:val="231F20"/>
          <w:sz w:val="20"/>
        </w:rPr>
        <w:t>корне</w:t>
      </w:r>
      <w:r>
        <w:rPr>
          <w:color w:val="231F20"/>
          <w:spacing w:val="-13"/>
          <w:sz w:val="20"/>
        </w:rPr>
        <w:t> </w:t>
      </w:r>
      <w:r>
        <w:rPr>
          <w:color w:val="231F20"/>
          <w:sz w:val="20"/>
        </w:rPr>
        <w:t>можно</w:t>
      </w:r>
      <w:r>
        <w:rPr>
          <w:color w:val="231F20"/>
          <w:spacing w:val="-12"/>
          <w:sz w:val="20"/>
        </w:rPr>
        <w:t> </w:t>
      </w:r>
      <w:r>
        <w:rPr>
          <w:color w:val="231F20"/>
          <w:sz w:val="20"/>
        </w:rPr>
        <w:t>проверить</w:t>
      </w:r>
      <w:r>
        <w:rPr>
          <w:color w:val="231F20"/>
          <w:spacing w:val="-13"/>
          <w:sz w:val="20"/>
        </w:rPr>
        <w:t> </w:t>
      </w:r>
      <w:r>
        <w:rPr>
          <w:color w:val="231F20"/>
          <w:sz w:val="20"/>
        </w:rPr>
        <w:t>подбором</w:t>
      </w:r>
      <w:r>
        <w:rPr>
          <w:color w:val="231F20"/>
          <w:spacing w:val="-12"/>
          <w:sz w:val="20"/>
        </w:rPr>
        <w:t> </w:t>
      </w:r>
      <w:r>
        <w:rPr>
          <w:color w:val="231F20"/>
          <w:sz w:val="20"/>
        </w:rPr>
        <w:t>одноко- ренного проверочного слова?</w:t>
      </w:r>
    </w:p>
    <w:p>
      <w:pPr>
        <w:pStyle w:val="BodyText"/>
        <w:spacing w:line="235" w:lineRule="auto"/>
        <w:ind w:left="425" w:right="5947" w:firstLine="0"/>
        <w:jc w:val="left"/>
      </w:pPr>
      <w:r>
        <w:rPr>
          <w:color w:val="231F20"/>
        </w:rPr>
        <w:t>А) р_стение Б)</w:t>
      </w:r>
      <w:r>
        <w:rPr>
          <w:color w:val="231F20"/>
          <w:spacing w:val="40"/>
        </w:rPr>
        <w:t> </w:t>
      </w:r>
      <w:r>
        <w:rPr>
          <w:color w:val="231F20"/>
        </w:rPr>
        <w:t>выр_сли В)</w:t>
      </w:r>
      <w:r>
        <w:rPr>
          <w:color w:val="231F20"/>
          <w:spacing w:val="3"/>
        </w:rPr>
        <w:t> </w:t>
      </w:r>
      <w:r>
        <w:rPr>
          <w:color w:val="231F20"/>
        </w:rPr>
        <w:t>р_зоватый Г)</w:t>
      </w:r>
      <w:r>
        <w:rPr>
          <w:color w:val="231F20"/>
          <w:spacing w:val="40"/>
        </w:rPr>
        <w:t> </w:t>
      </w:r>
      <w:r>
        <w:rPr>
          <w:color w:val="231F20"/>
        </w:rPr>
        <w:t>Р_стов</w:t>
      </w:r>
    </w:p>
    <w:p>
      <w:pPr>
        <w:pStyle w:val="BodyText"/>
        <w:spacing w:after="0" w:line="235" w:lineRule="auto"/>
        <w:jc w:val="left"/>
        <w:sectPr>
          <w:type w:val="continuous"/>
          <w:pgSz w:w="8400" w:h="11910"/>
          <w:pgMar w:header="0" w:footer="530" w:top="126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ListParagraph"/>
        <w:numPr>
          <w:ilvl w:val="0"/>
          <w:numId w:val="328"/>
        </w:numPr>
        <w:tabs>
          <w:tab w:pos="425" w:val="left" w:leader="none"/>
        </w:tabs>
        <w:spacing w:line="232" w:lineRule="auto" w:before="118" w:after="0"/>
        <w:ind w:left="425" w:right="139" w:hanging="284"/>
        <w:jc w:val="left"/>
        <w:rPr>
          <w:sz w:val="20"/>
        </w:rPr>
      </w:pPr>
      <w:r>
        <w:rPr>
          <w:color w:val="231F20"/>
          <w:sz w:val="20"/>
        </w:rPr>
        <w:t>В</w:t>
      </w:r>
      <w:r>
        <w:rPr>
          <w:color w:val="231F20"/>
          <w:spacing w:val="-10"/>
          <w:sz w:val="20"/>
        </w:rPr>
        <w:t> </w:t>
      </w:r>
      <w:r>
        <w:rPr>
          <w:color w:val="231F20"/>
          <w:sz w:val="20"/>
        </w:rPr>
        <w:t>каком</w:t>
      </w:r>
      <w:r>
        <w:rPr>
          <w:color w:val="231F20"/>
          <w:spacing w:val="-10"/>
          <w:sz w:val="20"/>
        </w:rPr>
        <w:t> </w:t>
      </w:r>
      <w:r>
        <w:rPr>
          <w:color w:val="231F20"/>
          <w:sz w:val="20"/>
        </w:rPr>
        <w:t>слове</w:t>
      </w:r>
      <w:r>
        <w:rPr>
          <w:color w:val="231F20"/>
          <w:spacing w:val="-10"/>
          <w:sz w:val="20"/>
        </w:rPr>
        <w:t> </w:t>
      </w:r>
      <w:r>
        <w:rPr>
          <w:color w:val="231F20"/>
          <w:sz w:val="20"/>
        </w:rPr>
        <w:t>гласную</w:t>
      </w:r>
      <w:r>
        <w:rPr>
          <w:color w:val="231F20"/>
          <w:spacing w:val="-10"/>
          <w:sz w:val="20"/>
        </w:rPr>
        <w:t> </w:t>
      </w:r>
      <w:r>
        <w:rPr>
          <w:color w:val="231F20"/>
          <w:sz w:val="20"/>
        </w:rPr>
        <w:t>в</w:t>
      </w:r>
      <w:r>
        <w:rPr>
          <w:color w:val="231F20"/>
          <w:spacing w:val="-10"/>
          <w:sz w:val="20"/>
        </w:rPr>
        <w:t> </w:t>
      </w:r>
      <w:r>
        <w:rPr>
          <w:color w:val="231F20"/>
          <w:sz w:val="20"/>
        </w:rPr>
        <w:t>корне</w:t>
      </w:r>
      <w:r>
        <w:rPr>
          <w:color w:val="231F20"/>
          <w:spacing w:val="-10"/>
          <w:sz w:val="20"/>
        </w:rPr>
        <w:t> </w:t>
      </w:r>
      <w:r>
        <w:rPr>
          <w:color w:val="231F20"/>
          <w:sz w:val="20"/>
        </w:rPr>
        <w:t>нельзя</w:t>
      </w:r>
      <w:r>
        <w:rPr>
          <w:color w:val="231F20"/>
          <w:spacing w:val="-10"/>
          <w:sz w:val="20"/>
        </w:rPr>
        <w:t> </w:t>
      </w:r>
      <w:r>
        <w:rPr>
          <w:color w:val="231F20"/>
          <w:sz w:val="20"/>
        </w:rPr>
        <w:t>проверить</w:t>
      </w:r>
      <w:r>
        <w:rPr>
          <w:color w:val="231F20"/>
          <w:spacing w:val="-10"/>
          <w:sz w:val="20"/>
        </w:rPr>
        <w:t> </w:t>
      </w:r>
      <w:r>
        <w:rPr>
          <w:color w:val="231F20"/>
          <w:sz w:val="20"/>
        </w:rPr>
        <w:t>подбором</w:t>
      </w:r>
      <w:r>
        <w:rPr>
          <w:color w:val="231F20"/>
          <w:spacing w:val="-10"/>
          <w:sz w:val="20"/>
        </w:rPr>
        <w:t> </w:t>
      </w:r>
      <w:r>
        <w:rPr>
          <w:color w:val="231F20"/>
          <w:sz w:val="20"/>
        </w:rPr>
        <w:t>однокоренного</w:t>
      </w:r>
      <w:r>
        <w:rPr>
          <w:color w:val="231F20"/>
          <w:spacing w:val="-10"/>
          <w:sz w:val="20"/>
        </w:rPr>
        <w:t> </w:t>
      </w:r>
      <w:r>
        <w:rPr>
          <w:color w:val="231F20"/>
          <w:sz w:val="20"/>
        </w:rPr>
        <w:t>прове- рочного слова?</w:t>
      </w:r>
    </w:p>
    <w:p>
      <w:pPr>
        <w:pStyle w:val="BodyText"/>
        <w:spacing w:line="232" w:lineRule="auto"/>
        <w:ind w:left="425" w:right="6023" w:firstLine="0"/>
        <w:jc w:val="left"/>
      </w:pPr>
      <w:r>
        <w:rPr>
          <w:color w:val="231F20"/>
        </w:rPr>
        <w:t>А) г_рюет</w:t>
      </w:r>
      <w:r>
        <w:rPr>
          <w:color w:val="231F20"/>
          <w:spacing w:val="80"/>
        </w:rPr>
        <w:t> </w:t>
      </w:r>
      <w:r>
        <w:rPr>
          <w:color w:val="231F20"/>
        </w:rPr>
        <w:t>Б)</w:t>
      </w:r>
      <w:r>
        <w:rPr>
          <w:color w:val="231F20"/>
          <w:spacing w:val="40"/>
        </w:rPr>
        <w:t> </w:t>
      </w:r>
      <w:r>
        <w:rPr>
          <w:color w:val="231F20"/>
        </w:rPr>
        <w:t>г_рдится В)</w:t>
      </w:r>
      <w:r>
        <w:rPr>
          <w:color w:val="231F20"/>
          <w:spacing w:val="40"/>
        </w:rPr>
        <w:t> </w:t>
      </w:r>
      <w:r>
        <w:rPr>
          <w:color w:val="231F20"/>
        </w:rPr>
        <w:t>сг_рает Г)</w:t>
      </w:r>
      <w:r>
        <w:rPr>
          <w:color w:val="231F20"/>
          <w:spacing w:val="22"/>
        </w:rPr>
        <w:t> </w:t>
      </w:r>
      <w:r>
        <w:rPr>
          <w:color w:val="231F20"/>
        </w:rPr>
        <w:t>г_ристый</w:t>
      </w:r>
    </w:p>
    <w:p>
      <w:pPr>
        <w:pStyle w:val="BodyText"/>
        <w:spacing w:line="216" w:lineRule="exact"/>
        <w:ind w:right="0" w:firstLine="0"/>
        <w:jc w:val="left"/>
      </w:pPr>
      <w:r>
        <w:rPr>
          <w:color w:val="231F20"/>
        </w:rPr>
        <w:t>З.</w:t>
      </w:r>
      <w:r>
        <w:rPr>
          <w:color w:val="231F20"/>
          <w:spacing w:val="70"/>
        </w:rPr>
        <w:t> </w:t>
      </w:r>
      <w:r>
        <w:rPr>
          <w:color w:val="231F20"/>
        </w:rPr>
        <w:t>В</w:t>
      </w:r>
      <w:r>
        <w:rPr>
          <w:color w:val="231F20"/>
          <w:spacing w:val="-4"/>
        </w:rPr>
        <w:t> </w:t>
      </w:r>
      <w:r>
        <w:rPr>
          <w:color w:val="231F20"/>
        </w:rPr>
        <w:t>каком</w:t>
      </w:r>
      <w:r>
        <w:rPr>
          <w:color w:val="231F20"/>
          <w:spacing w:val="-5"/>
        </w:rPr>
        <w:t> </w:t>
      </w:r>
      <w:r>
        <w:rPr>
          <w:color w:val="231F20"/>
        </w:rPr>
        <w:t>слове</w:t>
      </w:r>
      <w:r>
        <w:rPr>
          <w:color w:val="231F20"/>
          <w:spacing w:val="-4"/>
        </w:rPr>
        <w:t> </w:t>
      </w:r>
      <w:r>
        <w:rPr>
          <w:color w:val="231F20"/>
        </w:rPr>
        <w:t>пропущена</w:t>
      </w:r>
      <w:r>
        <w:rPr>
          <w:color w:val="231F20"/>
          <w:spacing w:val="-5"/>
        </w:rPr>
        <w:t> </w:t>
      </w:r>
      <w:r>
        <w:rPr>
          <w:color w:val="231F20"/>
        </w:rPr>
        <w:t>гласная</w:t>
      </w:r>
      <w:r>
        <w:rPr>
          <w:color w:val="231F20"/>
          <w:spacing w:val="-5"/>
        </w:rPr>
        <w:t> </w:t>
      </w:r>
      <w:r>
        <w:rPr>
          <w:i/>
          <w:color w:val="231F20"/>
          <w:spacing w:val="-5"/>
        </w:rPr>
        <w:t>а</w:t>
      </w:r>
      <w:r>
        <w:rPr>
          <w:color w:val="231F20"/>
          <w:spacing w:val="-5"/>
        </w:rPr>
        <w:t>?</w:t>
      </w:r>
    </w:p>
    <w:p>
      <w:pPr>
        <w:pStyle w:val="BodyText"/>
        <w:spacing w:line="232" w:lineRule="auto"/>
        <w:ind w:left="425" w:right="5916" w:firstLine="0"/>
        <w:jc w:val="left"/>
      </w:pPr>
      <w:r>
        <w:rPr>
          <w:color w:val="231F20"/>
        </w:rPr>
        <w:t>А) сл_гаемое Б)</w:t>
      </w:r>
      <w:r>
        <w:rPr>
          <w:color w:val="231F20"/>
          <w:spacing w:val="40"/>
        </w:rPr>
        <w:t> </w:t>
      </w:r>
      <w:r>
        <w:rPr>
          <w:color w:val="231F20"/>
        </w:rPr>
        <w:t>сл_жили В)</w:t>
      </w:r>
      <w:r>
        <w:rPr>
          <w:color w:val="231F20"/>
          <w:spacing w:val="40"/>
        </w:rPr>
        <w:t> </w:t>
      </w:r>
      <w:r>
        <w:rPr>
          <w:color w:val="231F20"/>
        </w:rPr>
        <w:t>отл_жить Г)</w:t>
      </w:r>
      <w:r>
        <w:rPr>
          <w:color w:val="231F20"/>
          <w:spacing w:val="49"/>
        </w:rPr>
        <w:t> </w:t>
      </w:r>
      <w:r>
        <w:rPr>
          <w:color w:val="231F20"/>
          <w:spacing w:val="-2"/>
        </w:rPr>
        <w:t>изл_жение</w:t>
      </w:r>
    </w:p>
    <w:p>
      <w:pPr>
        <w:pStyle w:val="ListParagraph"/>
        <w:numPr>
          <w:ilvl w:val="0"/>
          <w:numId w:val="329"/>
        </w:numPr>
        <w:tabs>
          <w:tab w:pos="425" w:val="left" w:leader="none"/>
        </w:tabs>
        <w:spacing w:line="232" w:lineRule="auto" w:before="0" w:after="0"/>
        <w:ind w:left="425" w:right="3988" w:hanging="284"/>
        <w:jc w:val="left"/>
        <w:rPr>
          <w:sz w:val="20"/>
        </w:rPr>
      </w:pPr>
      <w:r>
        <w:rPr>
          <w:color w:val="231F20"/>
          <w:sz w:val="20"/>
        </w:rPr>
        <w:t>В</w:t>
      </w:r>
      <w:r>
        <w:rPr>
          <w:color w:val="231F20"/>
          <w:spacing w:val="-12"/>
          <w:sz w:val="20"/>
        </w:rPr>
        <w:t> </w:t>
      </w:r>
      <w:r>
        <w:rPr>
          <w:color w:val="231F20"/>
          <w:sz w:val="20"/>
        </w:rPr>
        <w:t>каком</w:t>
      </w:r>
      <w:r>
        <w:rPr>
          <w:color w:val="231F20"/>
          <w:spacing w:val="-12"/>
          <w:sz w:val="20"/>
        </w:rPr>
        <w:t> </w:t>
      </w:r>
      <w:r>
        <w:rPr>
          <w:color w:val="231F20"/>
          <w:sz w:val="20"/>
        </w:rPr>
        <w:t>слове</w:t>
      </w:r>
      <w:r>
        <w:rPr>
          <w:color w:val="231F20"/>
          <w:spacing w:val="-12"/>
          <w:sz w:val="20"/>
        </w:rPr>
        <w:t> </w:t>
      </w:r>
      <w:r>
        <w:rPr>
          <w:color w:val="231F20"/>
          <w:sz w:val="20"/>
        </w:rPr>
        <w:t>пропущена</w:t>
      </w:r>
      <w:r>
        <w:rPr>
          <w:color w:val="231F20"/>
          <w:spacing w:val="-12"/>
          <w:sz w:val="20"/>
        </w:rPr>
        <w:t> </w:t>
      </w:r>
      <w:r>
        <w:rPr>
          <w:color w:val="231F20"/>
          <w:sz w:val="20"/>
        </w:rPr>
        <w:t>гласная</w:t>
      </w:r>
      <w:r>
        <w:rPr>
          <w:color w:val="231F20"/>
          <w:spacing w:val="-12"/>
          <w:sz w:val="20"/>
        </w:rPr>
        <w:t> </w:t>
      </w:r>
      <w:r>
        <w:rPr>
          <w:i/>
          <w:color w:val="231F20"/>
          <w:sz w:val="20"/>
        </w:rPr>
        <w:t>о</w:t>
      </w:r>
      <w:r>
        <w:rPr>
          <w:color w:val="231F20"/>
          <w:sz w:val="20"/>
        </w:rPr>
        <w:t>? А) к_сательная</w:t>
      </w:r>
    </w:p>
    <w:p>
      <w:pPr>
        <w:pStyle w:val="BodyText"/>
        <w:spacing w:line="232" w:lineRule="auto"/>
        <w:ind w:left="425" w:right="5977" w:firstLine="0"/>
        <w:jc w:val="left"/>
      </w:pPr>
      <w:r>
        <w:rPr>
          <w:color w:val="231F20"/>
        </w:rPr>
        <w:t>Б)</w:t>
      </w:r>
      <w:r>
        <w:rPr>
          <w:color w:val="231F20"/>
          <w:spacing w:val="40"/>
        </w:rPr>
        <w:t> </w:t>
      </w:r>
      <w:r>
        <w:rPr>
          <w:color w:val="231F20"/>
        </w:rPr>
        <w:t>к_сание В)</w:t>
      </w:r>
      <w:r>
        <w:rPr>
          <w:color w:val="231F20"/>
          <w:spacing w:val="5"/>
        </w:rPr>
        <w:t> </w:t>
      </w:r>
      <w:r>
        <w:rPr>
          <w:color w:val="231F20"/>
        </w:rPr>
        <w:t>к_снуться Г)</w:t>
      </w:r>
      <w:r>
        <w:rPr>
          <w:color w:val="231F20"/>
          <w:spacing w:val="40"/>
        </w:rPr>
        <w:t> </w:t>
      </w:r>
      <w:r>
        <w:rPr>
          <w:color w:val="231F20"/>
        </w:rPr>
        <w:t>к_саюсь</w:t>
      </w:r>
    </w:p>
    <w:p>
      <w:pPr>
        <w:pStyle w:val="ListParagraph"/>
        <w:numPr>
          <w:ilvl w:val="0"/>
          <w:numId w:val="329"/>
        </w:numPr>
        <w:tabs>
          <w:tab w:pos="425" w:val="left" w:leader="none"/>
        </w:tabs>
        <w:spacing w:line="232" w:lineRule="auto" w:before="0" w:after="0"/>
        <w:ind w:left="425" w:right="1901" w:hanging="284"/>
        <w:jc w:val="left"/>
        <w:rPr>
          <w:sz w:val="20"/>
        </w:rPr>
      </w:pPr>
      <w:r>
        <w:rPr>
          <w:color w:val="231F20"/>
          <w:sz w:val="20"/>
        </w:rPr>
        <w:t>В</w:t>
      </w:r>
      <w:r>
        <w:rPr>
          <w:color w:val="231F20"/>
          <w:spacing w:val="-8"/>
          <w:sz w:val="20"/>
        </w:rPr>
        <w:t> </w:t>
      </w:r>
      <w:r>
        <w:rPr>
          <w:color w:val="231F20"/>
          <w:sz w:val="20"/>
        </w:rPr>
        <w:t>каком</w:t>
      </w:r>
      <w:r>
        <w:rPr>
          <w:color w:val="231F20"/>
          <w:spacing w:val="-8"/>
          <w:sz w:val="20"/>
        </w:rPr>
        <w:t> </w:t>
      </w:r>
      <w:r>
        <w:rPr>
          <w:color w:val="231F20"/>
          <w:sz w:val="20"/>
        </w:rPr>
        <w:t>слове</w:t>
      </w:r>
      <w:r>
        <w:rPr>
          <w:color w:val="231F20"/>
          <w:spacing w:val="-8"/>
          <w:sz w:val="20"/>
        </w:rPr>
        <w:t> </w:t>
      </w:r>
      <w:r>
        <w:rPr>
          <w:color w:val="231F20"/>
          <w:sz w:val="20"/>
        </w:rPr>
        <w:t>выбор</w:t>
      </w:r>
      <w:r>
        <w:rPr>
          <w:color w:val="231F20"/>
          <w:spacing w:val="-8"/>
          <w:sz w:val="20"/>
        </w:rPr>
        <w:t> </w:t>
      </w:r>
      <w:r>
        <w:rPr>
          <w:color w:val="231F20"/>
          <w:sz w:val="20"/>
        </w:rPr>
        <w:t>гласной</w:t>
      </w:r>
      <w:r>
        <w:rPr>
          <w:color w:val="231F20"/>
          <w:spacing w:val="-9"/>
          <w:sz w:val="20"/>
        </w:rPr>
        <w:t> </w:t>
      </w:r>
      <w:r>
        <w:rPr>
          <w:color w:val="231F20"/>
          <w:sz w:val="20"/>
        </w:rPr>
        <w:t>в</w:t>
      </w:r>
      <w:r>
        <w:rPr>
          <w:color w:val="231F20"/>
          <w:spacing w:val="-9"/>
          <w:sz w:val="20"/>
        </w:rPr>
        <w:t> </w:t>
      </w:r>
      <w:r>
        <w:rPr>
          <w:color w:val="231F20"/>
          <w:sz w:val="20"/>
        </w:rPr>
        <w:t>корне</w:t>
      </w:r>
      <w:r>
        <w:rPr>
          <w:color w:val="231F20"/>
          <w:spacing w:val="-8"/>
          <w:sz w:val="20"/>
        </w:rPr>
        <w:t> </w:t>
      </w:r>
      <w:r>
        <w:rPr>
          <w:color w:val="231F20"/>
          <w:sz w:val="20"/>
        </w:rPr>
        <w:t>зависит</w:t>
      </w:r>
      <w:r>
        <w:rPr>
          <w:color w:val="231F20"/>
          <w:spacing w:val="-8"/>
          <w:sz w:val="20"/>
        </w:rPr>
        <w:t> </w:t>
      </w:r>
      <w:r>
        <w:rPr>
          <w:color w:val="231F20"/>
          <w:sz w:val="20"/>
        </w:rPr>
        <w:t>от</w:t>
      </w:r>
      <w:r>
        <w:rPr>
          <w:color w:val="231F20"/>
          <w:spacing w:val="-8"/>
          <w:sz w:val="20"/>
        </w:rPr>
        <w:t> </w:t>
      </w:r>
      <w:r>
        <w:rPr>
          <w:color w:val="231F20"/>
          <w:sz w:val="20"/>
        </w:rPr>
        <w:t>суффикса</w:t>
      </w:r>
      <w:r>
        <w:rPr>
          <w:color w:val="231F20"/>
          <w:spacing w:val="-8"/>
          <w:sz w:val="20"/>
        </w:rPr>
        <w:t> </w:t>
      </w:r>
      <w:r>
        <w:rPr>
          <w:i/>
          <w:color w:val="231F20"/>
          <w:sz w:val="20"/>
        </w:rPr>
        <w:t>а</w:t>
      </w:r>
      <w:r>
        <w:rPr>
          <w:color w:val="231F20"/>
          <w:sz w:val="20"/>
        </w:rPr>
        <w:t>? А) прир_сли</w:t>
      </w:r>
    </w:p>
    <w:p>
      <w:pPr>
        <w:pStyle w:val="BodyText"/>
        <w:spacing w:line="232" w:lineRule="auto"/>
        <w:ind w:left="425" w:right="5581" w:firstLine="0"/>
        <w:jc w:val="left"/>
      </w:pPr>
      <w:r>
        <w:rPr>
          <w:color w:val="231F20"/>
        </w:rPr>
        <w:t>Б)</w:t>
      </w:r>
      <w:r>
        <w:rPr>
          <w:color w:val="231F20"/>
          <w:spacing w:val="21"/>
        </w:rPr>
        <w:t> </w:t>
      </w:r>
      <w:r>
        <w:rPr>
          <w:color w:val="231F20"/>
        </w:rPr>
        <w:t>соприк_саться В)</w:t>
      </w:r>
      <w:r>
        <w:rPr>
          <w:color w:val="231F20"/>
          <w:spacing w:val="40"/>
        </w:rPr>
        <w:t> </w:t>
      </w:r>
      <w:r>
        <w:rPr>
          <w:color w:val="231F20"/>
        </w:rPr>
        <w:t>выг_реть</w:t>
      </w:r>
    </w:p>
    <w:p>
      <w:pPr>
        <w:pStyle w:val="BodyText"/>
        <w:spacing w:line="218" w:lineRule="exact"/>
        <w:ind w:left="425" w:right="0" w:firstLine="0"/>
        <w:jc w:val="left"/>
      </w:pPr>
      <w:r>
        <w:rPr>
          <w:color w:val="231F20"/>
        </w:rPr>
        <w:t>Г)</w:t>
      </w:r>
      <w:r>
        <w:rPr>
          <w:color w:val="231F20"/>
          <w:spacing w:val="51"/>
        </w:rPr>
        <w:t> </w:t>
      </w:r>
      <w:r>
        <w:rPr>
          <w:color w:val="231F20"/>
          <w:spacing w:val="-2"/>
        </w:rPr>
        <w:t>пок_затель</w:t>
      </w:r>
    </w:p>
    <w:p>
      <w:pPr>
        <w:pStyle w:val="ListParagraph"/>
        <w:numPr>
          <w:ilvl w:val="0"/>
          <w:numId w:val="329"/>
        </w:numPr>
        <w:tabs>
          <w:tab w:pos="425" w:val="left" w:leader="none"/>
        </w:tabs>
        <w:spacing w:line="232" w:lineRule="auto" w:before="0" w:after="0"/>
        <w:ind w:left="425" w:right="779" w:hanging="284"/>
        <w:jc w:val="left"/>
        <w:rPr>
          <w:sz w:val="20"/>
        </w:rPr>
      </w:pPr>
      <w:r>
        <w:rPr>
          <w:color w:val="231F20"/>
          <w:sz w:val="20"/>
        </w:rPr>
        <w:t>В</w:t>
      </w:r>
      <w:r>
        <w:rPr>
          <w:color w:val="231F20"/>
          <w:spacing w:val="-8"/>
          <w:sz w:val="20"/>
        </w:rPr>
        <w:t> </w:t>
      </w:r>
      <w:r>
        <w:rPr>
          <w:color w:val="231F20"/>
          <w:sz w:val="20"/>
        </w:rPr>
        <w:t>каком</w:t>
      </w:r>
      <w:r>
        <w:rPr>
          <w:color w:val="231F20"/>
          <w:spacing w:val="-8"/>
          <w:sz w:val="20"/>
        </w:rPr>
        <w:t> </w:t>
      </w:r>
      <w:r>
        <w:rPr>
          <w:color w:val="231F20"/>
          <w:sz w:val="20"/>
        </w:rPr>
        <w:t>слове</w:t>
      </w:r>
      <w:r>
        <w:rPr>
          <w:color w:val="231F20"/>
          <w:spacing w:val="-8"/>
          <w:sz w:val="20"/>
        </w:rPr>
        <w:t> </w:t>
      </w:r>
      <w:r>
        <w:rPr>
          <w:color w:val="231F20"/>
          <w:sz w:val="20"/>
        </w:rPr>
        <w:t>выбор</w:t>
      </w:r>
      <w:r>
        <w:rPr>
          <w:color w:val="231F20"/>
          <w:spacing w:val="-8"/>
          <w:sz w:val="20"/>
        </w:rPr>
        <w:t> </w:t>
      </w:r>
      <w:r>
        <w:rPr>
          <w:color w:val="231F20"/>
          <w:sz w:val="20"/>
        </w:rPr>
        <w:t>гласной</w:t>
      </w:r>
      <w:r>
        <w:rPr>
          <w:color w:val="231F20"/>
          <w:spacing w:val="-9"/>
          <w:sz w:val="20"/>
        </w:rPr>
        <w:t> </w:t>
      </w:r>
      <w:r>
        <w:rPr>
          <w:color w:val="231F20"/>
          <w:sz w:val="20"/>
        </w:rPr>
        <w:t>в</w:t>
      </w:r>
      <w:r>
        <w:rPr>
          <w:color w:val="231F20"/>
          <w:spacing w:val="-9"/>
          <w:sz w:val="20"/>
        </w:rPr>
        <w:t> </w:t>
      </w:r>
      <w:r>
        <w:rPr>
          <w:color w:val="231F20"/>
          <w:sz w:val="20"/>
        </w:rPr>
        <w:t>корне</w:t>
      </w:r>
      <w:r>
        <w:rPr>
          <w:color w:val="231F20"/>
          <w:spacing w:val="-8"/>
          <w:sz w:val="20"/>
        </w:rPr>
        <w:t> </w:t>
      </w:r>
      <w:r>
        <w:rPr>
          <w:color w:val="231F20"/>
          <w:sz w:val="20"/>
        </w:rPr>
        <w:t>зависит</w:t>
      </w:r>
      <w:r>
        <w:rPr>
          <w:color w:val="231F20"/>
          <w:spacing w:val="-8"/>
          <w:sz w:val="20"/>
        </w:rPr>
        <w:t> </w:t>
      </w:r>
      <w:r>
        <w:rPr>
          <w:color w:val="231F20"/>
          <w:sz w:val="20"/>
        </w:rPr>
        <w:t>от</w:t>
      </w:r>
      <w:r>
        <w:rPr>
          <w:color w:val="231F20"/>
          <w:spacing w:val="-8"/>
          <w:sz w:val="20"/>
        </w:rPr>
        <w:t> </w:t>
      </w:r>
      <w:r>
        <w:rPr>
          <w:color w:val="231F20"/>
          <w:sz w:val="20"/>
        </w:rPr>
        <w:t>последующей</w:t>
      </w:r>
      <w:r>
        <w:rPr>
          <w:color w:val="231F20"/>
          <w:spacing w:val="-9"/>
          <w:sz w:val="20"/>
        </w:rPr>
        <w:t> </w:t>
      </w:r>
      <w:r>
        <w:rPr>
          <w:color w:val="231F20"/>
          <w:sz w:val="20"/>
        </w:rPr>
        <w:t>согласной? А) к_снулся</w:t>
      </w:r>
    </w:p>
    <w:p>
      <w:pPr>
        <w:pStyle w:val="BodyText"/>
        <w:spacing w:line="232" w:lineRule="auto"/>
        <w:ind w:left="425" w:right="6023" w:firstLine="0"/>
        <w:jc w:val="left"/>
      </w:pPr>
      <w:r>
        <w:rPr>
          <w:color w:val="231F20"/>
        </w:rPr>
        <w:t>Б)</w:t>
      </w:r>
      <w:r>
        <w:rPr>
          <w:color w:val="231F20"/>
          <w:spacing w:val="24"/>
        </w:rPr>
        <w:t> </w:t>
      </w:r>
      <w:r>
        <w:rPr>
          <w:color w:val="231F20"/>
        </w:rPr>
        <w:t>з_рница В)</w:t>
      </w:r>
      <w:r>
        <w:rPr>
          <w:color w:val="231F20"/>
          <w:spacing w:val="40"/>
        </w:rPr>
        <w:t> </w:t>
      </w:r>
      <w:r>
        <w:rPr>
          <w:color w:val="231F20"/>
        </w:rPr>
        <w:t>р_стут</w:t>
      </w:r>
    </w:p>
    <w:p>
      <w:pPr>
        <w:pStyle w:val="BodyText"/>
        <w:spacing w:line="218" w:lineRule="exact"/>
        <w:ind w:left="425" w:right="0" w:firstLine="0"/>
        <w:jc w:val="left"/>
      </w:pPr>
      <w:r>
        <w:rPr>
          <w:color w:val="231F20"/>
        </w:rPr>
        <w:t>Г)</w:t>
      </w:r>
      <w:r>
        <w:rPr>
          <w:color w:val="231F20"/>
          <w:spacing w:val="51"/>
        </w:rPr>
        <w:t> </w:t>
      </w:r>
      <w:r>
        <w:rPr>
          <w:color w:val="231F20"/>
          <w:spacing w:val="-2"/>
        </w:rPr>
        <w:t>разг_реться</w:t>
      </w:r>
    </w:p>
    <w:p>
      <w:pPr>
        <w:pStyle w:val="ListParagraph"/>
        <w:numPr>
          <w:ilvl w:val="0"/>
          <w:numId w:val="329"/>
        </w:numPr>
        <w:tabs>
          <w:tab w:pos="425" w:val="left" w:leader="none"/>
        </w:tabs>
        <w:spacing w:line="232" w:lineRule="auto" w:before="0" w:after="0"/>
        <w:ind w:left="425" w:right="2096" w:hanging="284"/>
        <w:jc w:val="left"/>
        <w:rPr>
          <w:sz w:val="20"/>
        </w:rPr>
      </w:pPr>
      <w:r>
        <w:rPr>
          <w:color w:val="231F20"/>
          <w:sz w:val="20"/>
        </w:rPr>
        <w:t>В</w:t>
      </w:r>
      <w:r>
        <w:rPr>
          <w:color w:val="231F20"/>
          <w:spacing w:val="-9"/>
          <w:sz w:val="20"/>
        </w:rPr>
        <w:t> </w:t>
      </w:r>
      <w:r>
        <w:rPr>
          <w:color w:val="231F20"/>
          <w:sz w:val="20"/>
        </w:rPr>
        <w:t>каком</w:t>
      </w:r>
      <w:r>
        <w:rPr>
          <w:color w:val="231F20"/>
          <w:spacing w:val="-9"/>
          <w:sz w:val="20"/>
        </w:rPr>
        <w:t> </w:t>
      </w:r>
      <w:r>
        <w:rPr>
          <w:color w:val="231F20"/>
          <w:sz w:val="20"/>
        </w:rPr>
        <w:t>слове</w:t>
      </w:r>
      <w:r>
        <w:rPr>
          <w:color w:val="231F20"/>
          <w:spacing w:val="-9"/>
          <w:sz w:val="20"/>
        </w:rPr>
        <w:t> </w:t>
      </w:r>
      <w:r>
        <w:rPr>
          <w:color w:val="231F20"/>
          <w:sz w:val="20"/>
        </w:rPr>
        <w:t>выбор</w:t>
      </w:r>
      <w:r>
        <w:rPr>
          <w:color w:val="231F20"/>
          <w:spacing w:val="-9"/>
          <w:sz w:val="20"/>
        </w:rPr>
        <w:t> </w:t>
      </w:r>
      <w:r>
        <w:rPr>
          <w:color w:val="231F20"/>
          <w:sz w:val="20"/>
        </w:rPr>
        <w:t>гласной</w:t>
      </w:r>
      <w:r>
        <w:rPr>
          <w:color w:val="231F20"/>
          <w:spacing w:val="-10"/>
          <w:sz w:val="20"/>
        </w:rPr>
        <w:t> </w:t>
      </w:r>
      <w:r>
        <w:rPr>
          <w:color w:val="231F20"/>
          <w:sz w:val="20"/>
        </w:rPr>
        <w:t>в</w:t>
      </w:r>
      <w:r>
        <w:rPr>
          <w:color w:val="231F20"/>
          <w:spacing w:val="-10"/>
          <w:sz w:val="20"/>
        </w:rPr>
        <w:t> </w:t>
      </w:r>
      <w:r>
        <w:rPr>
          <w:color w:val="231F20"/>
          <w:sz w:val="20"/>
        </w:rPr>
        <w:t>корне</w:t>
      </w:r>
      <w:r>
        <w:rPr>
          <w:color w:val="231F20"/>
          <w:spacing w:val="-9"/>
          <w:sz w:val="20"/>
        </w:rPr>
        <w:t> </w:t>
      </w:r>
      <w:r>
        <w:rPr>
          <w:color w:val="231F20"/>
          <w:sz w:val="20"/>
        </w:rPr>
        <w:t>зависит</w:t>
      </w:r>
      <w:r>
        <w:rPr>
          <w:color w:val="231F20"/>
          <w:spacing w:val="-9"/>
          <w:sz w:val="20"/>
        </w:rPr>
        <w:t> </w:t>
      </w:r>
      <w:r>
        <w:rPr>
          <w:color w:val="231F20"/>
          <w:sz w:val="20"/>
        </w:rPr>
        <w:t>от</w:t>
      </w:r>
      <w:r>
        <w:rPr>
          <w:color w:val="231F20"/>
          <w:spacing w:val="-9"/>
          <w:sz w:val="20"/>
        </w:rPr>
        <w:t> </w:t>
      </w:r>
      <w:r>
        <w:rPr>
          <w:color w:val="231F20"/>
          <w:sz w:val="20"/>
        </w:rPr>
        <w:t>ударения? А) з_ря</w:t>
      </w:r>
    </w:p>
    <w:p>
      <w:pPr>
        <w:pStyle w:val="BodyText"/>
        <w:spacing w:line="232" w:lineRule="auto"/>
        <w:ind w:left="425" w:right="6411" w:firstLine="0"/>
      </w:pPr>
      <w:r>
        <w:rPr>
          <w:color w:val="231F20"/>
        </w:rPr>
        <w:t>Б) </w:t>
      </w:r>
      <w:r>
        <w:rPr>
          <w:color w:val="231F20"/>
        </w:rPr>
        <w:t>м_ря В) к_са Г)</w:t>
      </w:r>
      <w:r>
        <w:rPr>
          <w:color w:val="231F20"/>
          <w:spacing w:val="40"/>
        </w:rPr>
        <w:t> </w:t>
      </w:r>
      <w:r>
        <w:rPr>
          <w:color w:val="231F20"/>
        </w:rPr>
        <w:t>р_са</w:t>
      </w:r>
    </w:p>
    <w:p>
      <w:pPr>
        <w:pStyle w:val="ListParagraph"/>
        <w:numPr>
          <w:ilvl w:val="0"/>
          <w:numId w:val="329"/>
        </w:numPr>
        <w:tabs>
          <w:tab w:pos="425" w:val="left" w:leader="none"/>
        </w:tabs>
        <w:spacing w:line="232" w:lineRule="auto" w:before="0" w:after="0"/>
        <w:ind w:left="425" w:right="3310" w:hanging="284"/>
        <w:jc w:val="both"/>
        <w:rPr>
          <w:sz w:val="20"/>
        </w:rPr>
      </w:pPr>
      <w:r>
        <w:rPr>
          <w:color w:val="231F20"/>
          <w:sz w:val="20"/>
        </w:rPr>
        <w:t>В</w:t>
      </w:r>
      <w:r>
        <w:rPr>
          <w:color w:val="231F20"/>
          <w:spacing w:val="-10"/>
          <w:sz w:val="20"/>
        </w:rPr>
        <w:t> </w:t>
      </w:r>
      <w:r>
        <w:rPr>
          <w:color w:val="231F20"/>
          <w:sz w:val="20"/>
        </w:rPr>
        <w:t>каком</w:t>
      </w:r>
      <w:r>
        <w:rPr>
          <w:color w:val="231F20"/>
          <w:spacing w:val="-10"/>
          <w:sz w:val="20"/>
        </w:rPr>
        <w:t> </w:t>
      </w:r>
      <w:r>
        <w:rPr>
          <w:color w:val="231F20"/>
          <w:sz w:val="20"/>
        </w:rPr>
        <w:t>слове</w:t>
      </w:r>
      <w:r>
        <w:rPr>
          <w:color w:val="231F20"/>
          <w:spacing w:val="-10"/>
          <w:sz w:val="20"/>
        </w:rPr>
        <w:t> </w:t>
      </w:r>
      <w:r>
        <w:rPr>
          <w:color w:val="231F20"/>
          <w:sz w:val="20"/>
        </w:rPr>
        <w:t>пропущена</w:t>
      </w:r>
      <w:r>
        <w:rPr>
          <w:color w:val="231F20"/>
          <w:spacing w:val="-10"/>
          <w:sz w:val="20"/>
        </w:rPr>
        <w:t> </w:t>
      </w:r>
      <w:r>
        <w:rPr>
          <w:color w:val="231F20"/>
          <w:sz w:val="20"/>
        </w:rPr>
        <w:t>гласная</w:t>
      </w:r>
      <w:r>
        <w:rPr>
          <w:color w:val="231F20"/>
          <w:spacing w:val="-11"/>
          <w:sz w:val="20"/>
        </w:rPr>
        <w:t> </w:t>
      </w:r>
      <w:r>
        <w:rPr>
          <w:i/>
          <w:color w:val="231F20"/>
          <w:sz w:val="20"/>
        </w:rPr>
        <w:t>и</w:t>
      </w:r>
      <w:r>
        <w:rPr>
          <w:i/>
          <w:color w:val="231F20"/>
          <w:spacing w:val="-10"/>
          <w:sz w:val="20"/>
        </w:rPr>
        <w:t> </w:t>
      </w:r>
      <w:r>
        <w:rPr>
          <w:color w:val="231F20"/>
          <w:sz w:val="20"/>
        </w:rPr>
        <w:t>в</w:t>
      </w:r>
      <w:r>
        <w:rPr>
          <w:color w:val="231F20"/>
          <w:spacing w:val="-11"/>
          <w:sz w:val="20"/>
        </w:rPr>
        <w:t> </w:t>
      </w:r>
      <w:r>
        <w:rPr>
          <w:color w:val="231F20"/>
          <w:sz w:val="20"/>
        </w:rPr>
        <w:t>корне? А) соб_ру</w:t>
      </w:r>
    </w:p>
    <w:p>
      <w:pPr>
        <w:pStyle w:val="BodyText"/>
        <w:spacing w:line="232" w:lineRule="auto"/>
        <w:ind w:left="425" w:right="6197" w:firstLine="0"/>
        <w:jc w:val="left"/>
      </w:pPr>
      <w:r>
        <w:rPr>
          <w:color w:val="231F20"/>
        </w:rPr>
        <w:t>Б)</w:t>
      </w:r>
      <w:r>
        <w:rPr>
          <w:color w:val="231F20"/>
          <w:spacing w:val="24"/>
        </w:rPr>
        <w:t> </w:t>
      </w:r>
      <w:r>
        <w:rPr>
          <w:color w:val="231F20"/>
        </w:rPr>
        <w:t>зам_р В)</w:t>
      </w:r>
      <w:r>
        <w:rPr>
          <w:color w:val="231F20"/>
          <w:spacing w:val="33"/>
        </w:rPr>
        <w:t> </w:t>
      </w:r>
      <w:r>
        <w:rPr>
          <w:color w:val="231F20"/>
          <w:spacing w:val="-4"/>
        </w:rPr>
        <w:t>зап_р</w:t>
      </w:r>
    </w:p>
    <w:p>
      <w:pPr>
        <w:pStyle w:val="BodyText"/>
        <w:spacing w:line="218" w:lineRule="exact"/>
        <w:ind w:left="425" w:right="0" w:firstLine="0"/>
        <w:jc w:val="left"/>
      </w:pPr>
      <w:r>
        <w:rPr>
          <w:color w:val="231F20"/>
        </w:rPr>
        <w:t>Г)</w:t>
      </w:r>
      <w:r>
        <w:rPr>
          <w:color w:val="231F20"/>
          <w:spacing w:val="51"/>
        </w:rPr>
        <w:t> </w:t>
      </w:r>
      <w:r>
        <w:rPr>
          <w:color w:val="231F20"/>
          <w:spacing w:val="-2"/>
        </w:rPr>
        <w:t>бл_стать</w:t>
      </w:r>
    </w:p>
    <w:p>
      <w:pPr>
        <w:pStyle w:val="ListParagraph"/>
        <w:numPr>
          <w:ilvl w:val="0"/>
          <w:numId w:val="329"/>
        </w:numPr>
        <w:tabs>
          <w:tab w:pos="425" w:val="left" w:leader="none"/>
        </w:tabs>
        <w:spacing w:line="232" w:lineRule="auto" w:before="0" w:after="0"/>
        <w:ind w:left="425" w:right="3321" w:hanging="284"/>
        <w:jc w:val="left"/>
        <w:rPr>
          <w:sz w:val="20"/>
        </w:rPr>
      </w:pPr>
      <w:r>
        <w:rPr>
          <w:color w:val="231F20"/>
          <w:sz w:val="20"/>
        </w:rPr>
        <w:t>В</w:t>
      </w:r>
      <w:r>
        <w:rPr>
          <w:color w:val="231F20"/>
          <w:spacing w:val="-10"/>
          <w:sz w:val="20"/>
        </w:rPr>
        <w:t> </w:t>
      </w:r>
      <w:r>
        <w:rPr>
          <w:color w:val="231F20"/>
          <w:sz w:val="20"/>
        </w:rPr>
        <w:t>каком</w:t>
      </w:r>
      <w:r>
        <w:rPr>
          <w:color w:val="231F20"/>
          <w:spacing w:val="-10"/>
          <w:sz w:val="20"/>
        </w:rPr>
        <w:t> </w:t>
      </w:r>
      <w:r>
        <w:rPr>
          <w:color w:val="231F20"/>
          <w:sz w:val="20"/>
        </w:rPr>
        <w:t>слове</w:t>
      </w:r>
      <w:r>
        <w:rPr>
          <w:color w:val="231F20"/>
          <w:spacing w:val="-10"/>
          <w:sz w:val="20"/>
        </w:rPr>
        <w:t> </w:t>
      </w:r>
      <w:r>
        <w:rPr>
          <w:color w:val="231F20"/>
          <w:sz w:val="20"/>
        </w:rPr>
        <w:t>пропущена</w:t>
      </w:r>
      <w:r>
        <w:rPr>
          <w:color w:val="231F20"/>
          <w:spacing w:val="-10"/>
          <w:sz w:val="20"/>
        </w:rPr>
        <w:t> </w:t>
      </w:r>
      <w:r>
        <w:rPr>
          <w:color w:val="231F20"/>
          <w:sz w:val="20"/>
        </w:rPr>
        <w:t>гласная</w:t>
      </w:r>
      <w:r>
        <w:rPr>
          <w:color w:val="231F20"/>
          <w:spacing w:val="-10"/>
          <w:sz w:val="20"/>
        </w:rPr>
        <w:t> </w:t>
      </w:r>
      <w:r>
        <w:rPr>
          <w:i/>
          <w:color w:val="231F20"/>
          <w:sz w:val="20"/>
        </w:rPr>
        <w:t>е</w:t>
      </w:r>
      <w:r>
        <w:rPr>
          <w:i/>
          <w:color w:val="231F20"/>
          <w:spacing w:val="-10"/>
          <w:sz w:val="20"/>
        </w:rPr>
        <w:t> </w:t>
      </w:r>
      <w:r>
        <w:rPr>
          <w:color w:val="231F20"/>
          <w:sz w:val="20"/>
        </w:rPr>
        <w:t>в</w:t>
      </w:r>
      <w:r>
        <w:rPr>
          <w:color w:val="231F20"/>
          <w:spacing w:val="-10"/>
          <w:sz w:val="20"/>
        </w:rPr>
        <w:t> </w:t>
      </w:r>
      <w:r>
        <w:rPr>
          <w:color w:val="231F20"/>
          <w:sz w:val="20"/>
        </w:rPr>
        <w:t>корне? А) ст_раю</w:t>
      </w:r>
    </w:p>
    <w:p>
      <w:pPr>
        <w:pStyle w:val="BodyText"/>
        <w:spacing w:line="232" w:lineRule="auto"/>
        <w:ind w:left="425" w:right="6197" w:firstLine="0"/>
        <w:jc w:val="left"/>
      </w:pPr>
      <w:r>
        <w:rPr>
          <w:color w:val="231F20"/>
        </w:rPr>
        <w:t>Б)</w:t>
      </w:r>
      <w:r>
        <w:rPr>
          <w:color w:val="231F20"/>
          <w:spacing w:val="23"/>
        </w:rPr>
        <w:t> </w:t>
      </w:r>
      <w:r>
        <w:rPr>
          <w:color w:val="231F20"/>
        </w:rPr>
        <w:t>сд_раю В)</w:t>
      </w:r>
      <w:r>
        <w:rPr>
          <w:color w:val="231F20"/>
          <w:spacing w:val="40"/>
        </w:rPr>
        <w:t> </w:t>
      </w:r>
      <w:r>
        <w:rPr>
          <w:color w:val="231F20"/>
        </w:rPr>
        <w:t>зап_р Г)</w:t>
      </w:r>
      <w:r>
        <w:rPr>
          <w:color w:val="231F20"/>
          <w:spacing w:val="36"/>
        </w:rPr>
        <w:t> </w:t>
      </w:r>
      <w:r>
        <w:rPr>
          <w:color w:val="231F20"/>
        </w:rPr>
        <w:t>сч_таю</w:t>
      </w:r>
    </w:p>
    <w:p>
      <w:pPr>
        <w:pStyle w:val="ListParagraph"/>
        <w:numPr>
          <w:ilvl w:val="0"/>
          <w:numId w:val="329"/>
        </w:numPr>
        <w:tabs>
          <w:tab w:pos="425" w:val="left" w:leader="none"/>
          <w:tab w:pos="441" w:val="left" w:leader="none"/>
        </w:tabs>
        <w:spacing w:line="232" w:lineRule="auto" w:before="0" w:after="0"/>
        <w:ind w:left="425" w:right="2151" w:hanging="284"/>
        <w:jc w:val="left"/>
        <w:rPr>
          <w:sz w:val="20"/>
        </w:rPr>
      </w:pPr>
      <w:r>
        <w:rPr>
          <w:color w:val="231F20"/>
          <w:sz w:val="20"/>
        </w:rPr>
        <w:t>В</w:t>
      </w:r>
      <w:r>
        <w:rPr>
          <w:color w:val="231F20"/>
          <w:sz w:val="20"/>
        </w:rPr>
        <w:t> каком</w:t>
      </w:r>
      <w:r>
        <w:rPr>
          <w:color w:val="231F20"/>
          <w:spacing w:val="-10"/>
          <w:sz w:val="20"/>
        </w:rPr>
        <w:t> </w:t>
      </w:r>
      <w:r>
        <w:rPr>
          <w:color w:val="231F20"/>
          <w:sz w:val="20"/>
        </w:rPr>
        <w:t>слове</w:t>
      </w:r>
      <w:r>
        <w:rPr>
          <w:color w:val="231F20"/>
          <w:spacing w:val="-10"/>
          <w:sz w:val="20"/>
        </w:rPr>
        <w:t> </w:t>
      </w:r>
      <w:r>
        <w:rPr>
          <w:color w:val="231F20"/>
          <w:sz w:val="20"/>
        </w:rPr>
        <w:t>пропущена</w:t>
      </w:r>
      <w:r>
        <w:rPr>
          <w:color w:val="231F20"/>
          <w:spacing w:val="-10"/>
          <w:sz w:val="20"/>
        </w:rPr>
        <w:t> </w:t>
      </w:r>
      <w:r>
        <w:rPr>
          <w:color w:val="231F20"/>
          <w:sz w:val="20"/>
        </w:rPr>
        <w:t>чередующаяся</w:t>
      </w:r>
      <w:r>
        <w:rPr>
          <w:color w:val="231F20"/>
          <w:spacing w:val="-10"/>
          <w:sz w:val="20"/>
        </w:rPr>
        <w:t> </w:t>
      </w:r>
      <w:r>
        <w:rPr>
          <w:color w:val="231F20"/>
          <w:sz w:val="20"/>
        </w:rPr>
        <w:t>гласная</w:t>
      </w:r>
      <w:r>
        <w:rPr>
          <w:color w:val="231F20"/>
          <w:spacing w:val="-10"/>
          <w:sz w:val="20"/>
        </w:rPr>
        <w:t> </w:t>
      </w:r>
      <w:r>
        <w:rPr>
          <w:color w:val="231F20"/>
          <w:sz w:val="20"/>
        </w:rPr>
        <w:t>в</w:t>
      </w:r>
      <w:r>
        <w:rPr>
          <w:color w:val="231F20"/>
          <w:spacing w:val="-10"/>
          <w:sz w:val="20"/>
        </w:rPr>
        <w:t> </w:t>
      </w:r>
      <w:r>
        <w:rPr>
          <w:color w:val="231F20"/>
          <w:sz w:val="20"/>
        </w:rPr>
        <w:t>корне? А) г_родок</w:t>
      </w:r>
    </w:p>
    <w:p>
      <w:pPr>
        <w:pStyle w:val="BodyText"/>
        <w:spacing w:line="232" w:lineRule="auto"/>
        <w:ind w:left="425" w:right="6197" w:firstLine="0"/>
        <w:jc w:val="left"/>
      </w:pPr>
      <w:r>
        <w:rPr>
          <w:color w:val="231F20"/>
        </w:rPr>
        <w:t>Б)</w:t>
      </w:r>
      <w:r>
        <w:rPr>
          <w:color w:val="231F20"/>
          <w:spacing w:val="40"/>
        </w:rPr>
        <w:t> </w:t>
      </w:r>
      <w:r>
        <w:rPr>
          <w:color w:val="231F20"/>
        </w:rPr>
        <w:t>г_рчит В)</w:t>
      </w:r>
      <w:r>
        <w:rPr>
          <w:color w:val="231F20"/>
          <w:spacing w:val="40"/>
        </w:rPr>
        <w:t> </w:t>
      </w:r>
      <w:r>
        <w:rPr>
          <w:color w:val="231F20"/>
        </w:rPr>
        <w:t>г_рит Г)</w:t>
      </w:r>
      <w:r>
        <w:rPr>
          <w:color w:val="231F20"/>
          <w:spacing w:val="22"/>
        </w:rPr>
        <w:t> </w:t>
      </w:r>
      <w:r>
        <w:rPr>
          <w:color w:val="231F20"/>
        </w:rPr>
        <w:t>г_рюет</w:t>
      </w:r>
    </w:p>
    <w:p>
      <w:pPr>
        <w:pStyle w:val="BodyText"/>
        <w:spacing w:after="0" w:line="232" w:lineRule="auto"/>
        <w:jc w:val="left"/>
        <w:sectPr>
          <w:pgSz w:w="8400" w:h="11910"/>
          <w:pgMar w:header="0" w:footer="530" w:top="400" w:bottom="740" w:left="425" w:right="425"/>
        </w:sectPr>
      </w:pPr>
    </w:p>
    <w:p>
      <w:pPr>
        <w:spacing w:before="80"/>
        <w:ind w:left="141" w:right="0" w:firstLine="0"/>
        <w:jc w:val="left"/>
        <w:rPr>
          <w:rFonts w:ascii="Georgia" w:hAnsi="Georgia"/>
          <w:sz w:val="18"/>
        </w:rPr>
      </w:pPr>
      <w:r>
        <w:rPr>
          <w:rFonts w:ascii="Georgia" w:hAnsi="Georgia"/>
          <w:color w:val="231F20"/>
          <w:spacing w:val="-2"/>
          <w:sz w:val="18"/>
        </w:rPr>
        <w:t>Приложения</w:t>
      </w:r>
    </w:p>
    <w:p>
      <w:pPr>
        <w:spacing w:line="206" w:lineRule="exact" w:before="114"/>
        <w:ind w:left="425" w:right="0" w:firstLine="0"/>
        <w:jc w:val="left"/>
        <w:rPr>
          <w:b/>
          <w:sz w:val="18"/>
        </w:rPr>
      </w:pPr>
      <w:r>
        <w:rPr>
          <w:b/>
          <w:color w:val="231F20"/>
          <w:spacing w:val="-2"/>
          <w:sz w:val="18"/>
        </w:rPr>
        <w:t>Литература</w:t>
      </w:r>
    </w:p>
    <w:p>
      <w:pPr>
        <w:pStyle w:val="ListParagraph"/>
        <w:numPr>
          <w:ilvl w:val="1"/>
          <w:numId w:val="329"/>
        </w:numPr>
        <w:tabs>
          <w:tab w:pos="708" w:val="left" w:leader="none"/>
        </w:tabs>
        <w:spacing w:line="240" w:lineRule="auto" w:before="0" w:after="0"/>
        <w:ind w:left="708" w:right="422" w:hanging="284"/>
        <w:jc w:val="both"/>
        <w:rPr>
          <w:sz w:val="18"/>
        </w:rPr>
      </w:pPr>
      <w:r>
        <w:rPr>
          <w:color w:val="231F20"/>
          <w:sz w:val="18"/>
        </w:rPr>
        <w:t>Борисенко С.В. Методика eduScrum и развитие учебной мотивации в начальной школе</w:t>
      </w:r>
      <w:r>
        <w:rPr>
          <w:color w:val="231F20"/>
          <w:spacing w:val="-4"/>
          <w:sz w:val="18"/>
        </w:rPr>
        <w:t> </w:t>
      </w:r>
      <w:r>
        <w:rPr>
          <w:color w:val="231F20"/>
          <w:sz w:val="18"/>
        </w:rPr>
        <w:t>/</w:t>
      </w:r>
      <w:r>
        <w:rPr>
          <w:color w:val="231F20"/>
          <w:spacing w:val="-4"/>
          <w:sz w:val="18"/>
        </w:rPr>
        <w:t> </w:t>
      </w:r>
      <w:r>
        <w:rPr>
          <w:color w:val="231F20"/>
          <w:sz w:val="18"/>
        </w:rPr>
        <w:t>С.В.</w:t>
      </w:r>
      <w:r>
        <w:rPr>
          <w:color w:val="231F20"/>
          <w:spacing w:val="-5"/>
          <w:sz w:val="18"/>
        </w:rPr>
        <w:t> </w:t>
      </w:r>
      <w:r>
        <w:rPr>
          <w:color w:val="231F20"/>
          <w:sz w:val="18"/>
        </w:rPr>
        <w:t>Борисенко,</w:t>
      </w:r>
      <w:r>
        <w:rPr>
          <w:color w:val="231F20"/>
          <w:spacing w:val="-4"/>
          <w:sz w:val="18"/>
        </w:rPr>
        <w:t> </w:t>
      </w:r>
      <w:r>
        <w:rPr>
          <w:color w:val="231F20"/>
          <w:sz w:val="18"/>
        </w:rPr>
        <w:t>Т.В.</w:t>
      </w:r>
      <w:r>
        <w:rPr>
          <w:color w:val="231F20"/>
          <w:spacing w:val="-4"/>
          <w:sz w:val="18"/>
        </w:rPr>
        <w:t> </w:t>
      </w:r>
      <w:r>
        <w:rPr>
          <w:color w:val="231F20"/>
          <w:sz w:val="18"/>
        </w:rPr>
        <w:t>Семеновских.</w:t>
      </w:r>
      <w:r>
        <w:rPr>
          <w:color w:val="231F20"/>
          <w:spacing w:val="-5"/>
          <w:sz w:val="18"/>
        </w:rPr>
        <w:t> </w:t>
      </w:r>
      <w:r>
        <w:rPr>
          <w:color w:val="231F20"/>
          <w:sz w:val="18"/>
        </w:rPr>
        <w:t>–</w:t>
      </w:r>
      <w:r>
        <w:rPr>
          <w:color w:val="231F20"/>
          <w:spacing w:val="-4"/>
          <w:sz w:val="18"/>
        </w:rPr>
        <w:t> </w:t>
      </w:r>
      <w:r>
        <w:rPr>
          <w:color w:val="231F20"/>
          <w:sz w:val="18"/>
        </w:rPr>
        <w:t>Текст</w:t>
      </w:r>
      <w:r>
        <w:rPr>
          <w:color w:val="231F20"/>
          <w:spacing w:val="-4"/>
          <w:sz w:val="18"/>
        </w:rPr>
        <w:t> </w:t>
      </w:r>
      <w:r>
        <w:rPr>
          <w:color w:val="231F20"/>
          <w:sz w:val="18"/>
        </w:rPr>
        <w:t>:</w:t>
      </w:r>
      <w:r>
        <w:rPr>
          <w:color w:val="231F20"/>
          <w:spacing w:val="-5"/>
          <w:sz w:val="18"/>
        </w:rPr>
        <w:t> </w:t>
      </w:r>
      <w:r>
        <w:rPr>
          <w:color w:val="231F20"/>
          <w:sz w:val="18"/>
        </w:rPr>
        <w:t>непосредственный</w:t>
      </w:r>
      <w:r>
        <w:rPr>
          <w:color w:val="231F20"/>
          <w:spacing w:val="-4"/>
          <w:sz w:val="18"/>
        </w:rPr>
        <w:t> </w:t>
      </w:r>
      <w:r>
        <w:rPr>
          <w:color w:val="231F20"/>
          <w:sz w:val="18"/>
        </w:rPr>
        <w:t>//</w:t>
      </w:r>
      <w:r>
        <w:rPr>
          <w:color w:val="231F20"/>
          <w:spacing w:val="-4"/>
          <w:sz w:val="18"/>
        </w:rPr>
        <w:t> </w:t>
      </w:r>
      <w:r>
        <w:rPr>
          <w:color w:val="231F20"/>
          <w:sz w:val="18"/>
        </w:rPr>
        <w:t>Молодой ученый.</w:t>
      </w:r>
      <w:r>
        <w:rPr>
          <w:color w:val="231F20"/>
          <w:spacing w:val="-12"/>
          <w:sz w:val="18"/>
        </w:rPr>
        <w:t> </w:t>
      </w:r>
      <w:r>
        <w:rPr>
          <w:color w:val="231F20"/>
          <w:sz w:val="18"/>
        </w:rPr>
        <w:t>–</w:t>
      </w:r>
      <w:r>
        <w:rPr>
          <w:color w:val="231F20"/>
          <w:spacing w:val="-11"/>
          <w:sz w:val="18"/>
        </w:rPr>
        <w:t> </w:t>
      </w:r>
      <w:r>
        <w:rPr>
          <w:color w:val="231F20"/>
          <w:sz w:val="18"/>
        </w:rPr>
        <w:t>2020.</w:t>
      </w:r>
      <w:r>
        <w:rPr>
          <w:color w:val="231F20"/>
          <w:spacing w:val="-11"/>
          <w:sz w:val="18"/>
        </w:rPr>
        <w:t> </w:t>
      </w:r>
      <w:r>
        <w:rPr>
          <w:color w:val="231F20"/>
          <w:sz w:val="18"/>
        </w:rPr>
        <w:t>–</w:t>
      </w:r>
      <w:r>
        <w:rPr>
          <w:color w:val="231F20"/>
          <w:spacing w:val="-11"/>
          <w:sz w:val="18"/>
        </w:rPr>
        <w:t> </w:t>
      </w:r>
      <w:r>
        <w:rPr>
          <w:color w:val="231F20"/>
          <w:sz w:val="18"/>
        </w:rPr>
        <w:t>№</w:t>
      </w:r>
      <w:r>
        <w:rPr>
          <w:color w:val="231F20"/>
          <w:spacing w:val="-12"/>
          <w:sz w:val="18"/>
        </w:rPr>
        <w:t> </w:t>
      </w:r>
      <w:r>
        <w:rPr>
          <w:color w:val="231F20"/>
          <w:sz w:val="18"/>
        </w:rPr>
        <w:t>20</w:t>
      </w:r>
      <w:r>
        <w:rPr>
          <w:color w:val="231F20"/>
          <w:spacing w:val="-11"/>
          <w:sz w:val="18"/>
        </w:rPr>
        <w:t> </w:t>
      </w:r>
      <w:r>
        <w:rPr>
          <w:color w:val="231F20"/>
          <w:sz w:val="18"/>
        </w:rPr>
        <w:t>(310).</w:t>
      </w:r>
      <w:r>
        <w:rPr>
          <w:color w:val="231F20"/>
          <w:spacing w:val="-11"/>
          <w:sz w:val="18"/>
        </w:rPr>
        <w:t> </w:t>
      </w:r>
      <w:r>
        <w:rPr>
          <w:color w:val="231F20"/>
          <w:sz w:val="18"/>
        </w:rPr>
        <w:t>–</w:t>
      </w:r>
      <w:r>
        <w:rPr>
          <w:color w:val="231F20"/>
          <w:spacing w:val="-11"/>
          <w:sz w:val="18"/>
        </w:rPr>
        <w:t> </w:t>
      </w:r>
      <w:r>
        <w:rPr>
          <w:color w:val="231F20"/>
          <w:sz w:val="18"/>
        </w:rPr>
        <w:t>С.</w:t>
      </w:r>
      <w:r>
        <w:rPr>
          <w:color w:val="231F20"/>
          <w:spacing w:val="-12"/>
          <w:sz w:val="18"/>
        </w:rPr>
        <w:t> </w:t>
      </w:r>
      <w:r>
        <w:rPr>
          <w:color w:val="231F20"/>
          <w:sz w:val="18"/>
        </w:rPr>
        <w:t>559–561.</w:t>
      </w:r>
      <w:r>
        <w:rPr>
          <w:color w:val="231F20"/>
          <w:spacing w:val="-11"/>
          <w:sz w:val="18"/>
        </w:rPr>
        <w:t> </w:t>
      </w:r>
      <w:r>
        <w:rPr>
          <w:color w:val="231F20"/>
          <w:sz w:val="18"/>
        </w:rPr>
        <w:t>URL:</w:t>
      </w:r>
      <w:r>
        <w:rPr>
          <w:color w:val="231F20"/>
          <w:spacing w:val="-11"/>
          <w:sz w:val="18"/>
        </w:rPr>
        <w:t> </w:t>
      </w:r>
      <w:hyperlink r:id="rId243">
        <w:r>
          <w:rPr>
            <w:color w:val="2255A6"/>
            <w:sz w:val="18"/>
            <w:u w:val="single" w:color="2255A6"/>
          </w:rPr>
          <w:t>https://moluch.ru/archive/310/70085/</w:t>
        </w:r>
      </w:hyperlink>
    </w:p>
    <w:p>
      <w:pPr>
        <w:spacing w:line="204" w:lineRule="exact" w:before="0"/>
        <w:ind w:left="708" w:right="0" w:firstLine="0"/>
        <w:jc w:val="both"/>
        <w:rPr>
          <w:sz w:val="18"/>
        </w:rPr>
      </w:pPr>
      <w:r>
        <w:rPr>
          <w:color w:val="231F20"/>
          <w:sz w:val="18"/>
        </w:rPr>
        <w:t>(дата</w:t>
      </w:r>
      <w:r>
        <w:rPr>
          <w:color w:val="231F20"/>
          <w:spacing w:val="-2"/>
          <w:sz w:val="18"/>
        </w:rPr>
        <w:t> </w:t>
      </w:r>
      <w:r>
        <w:rPr>
          <w:color w:val="231F20"/>
          <w:sz w:val="18"/>
        </w:rPr>
        <w:t>обращения:</w:t>
      </w:r>
      <w:r>
        <w:rPr>
          <w:color w:val="231F20"/>
          <w:spacing w:val="-1"/>
          <w:sz w:val="18"/>
        </w:rPr>
        <w:t> </w:t>
      </w:r>
      <w:r>
        <w:rPr>
          <w:color w:val="231F20"/>
          <w:spacing w:val="-2"/>
          <w:sz w:val="18"/>
        </w:rPr>
        <w:t>21.11.2022).</w:t>
      </w:r>
    </w:p>
    <w:p>
      <w:pPr>
        <w:pStyle w:val="ListParagraph"/>
        <w:numPr>
          <w:ilvl w:val="1"/>
          <w:numId w:val="329"/>
        </w:numPr>
        <w:tabs>
          <w:tab w:pos="708" w:val="left" w:leader="none"/>
        </w:tabs>
        <w:spacing w:line="240" w:lineRule="auto" w:before="0" w:after="0"/>
        <w:ind w:left="708" w:right="423" w:hanging="284"/>
        <w:jc w:val="both"/>
        <w:rPr>
          <w:sz w:val="18"/>
        </w:rPr>
      </w:pPr>
      <w:r>
        <w:rPr>
          <w:color w:val="231F20"/>
          <w:sz w:val="18"/>
        </w:rPr>
        <w:t>Лукашенко</w:t>
      </w:r>
      <w:r>
        <w:rPr>
          <w:color w:val="231F20"/>
          <w:spacing w:val="-6"/>
          <w:sz w:val="18"/>
        </w:rPr>
        <w:t> </w:t>
      </w:r>
      <w:r>
        <w:rPr>
          <w:color w:val="231F20"/>
          <w:sz w:val="18"/>
        </w:rPr>
        <w:t>М.А., Телегина</w:t>
      </w:r>
      <w:r>
        <w:rPr>
          <w:color w:val="231F20"/>
          <w:spacing w:val="-6"/>
          <w:sz w:val="18"/>
        </w:rPr>
        <w:t> </w:t>
      </w:r>
      <w:r>
        <w:rPr>
          <w:color w:val="231F20"/>
          <w:sz w:val="18"/>
        </w:rPr>
        <w:t>Т.В. Управление созданием образовательных про- дуктов с помощью метода Scrum // Экономические науки, 2019. – Т.8. – № 2 (27). С. 223–227.</w:t>
      </w:r>
    </w:p>
    <w:p>
      <w:pPr>
        <w:pStyle w:val="ListParagraph"/>
        <w:numPr>
          <w:ilvl w:val="1"/>
          <w:numId w:val="329"/>
        </w:numPr>
        <w:tabs>
          <w:tab w:pos="708" w:val="left" w:leader="none"/>
        </w:tabs>
        <w:spacing w:line="240" w:lineRule="auto" w:before="0" w:after="0"/>
        <w:ind w:left="708" w:right="423" w:hanging="284"/>
        <w:jc w:val="both"/>
        <w:rPr>
          <w:sz w:val="18"/>
        </w:rPr>
      </w:pPr>
      <w:r>
        <w:rPr>
          <w:color w:val="231F20"/>
          <w:sz w:val="18"/>
        </w:rPr>
        <w:t>Родкина Н.В. Обучение в сотрудничестве на уроках русского языка и во внеуроч- ное</w:t>
      </w:r>
      <w:r>
        <w:rPr>
          <w:color w:val="231F20"/>
          <w:spacing w:val="-1"/>
          <w:sz w:val="18"/>
        </w:rPr>
        <w:t> </w:t>
      </w:r>
      <w:r>
        <w:rPr>
          <w:color w:val="231F20"/>
          <w:sz w:val="18"/>
        </w:rPr>
        <w:t>время</w:t>
      </w:r>
      <w:r>
        <w:rPr>
          <w:color w:val="231F20"/>
          <w:spacing w:val="-1"/>
          <w:sz w:val="18"/>
        </w:rPr>
        <w:t> </w:t>
      </w:r>
      <w:r>
        <w:rPr>
          <w:color w:val="231F20"/>
          <w:sz w:val="18"/>
        </w:rPr>
        <w:t>//</w:t>
      </w:r>
      <w:r>
        <w:rPr>
          <w:color w:val="231F20"/>
          <w:spacing w:val="-1"/>
          <w:sz w:val="18"/>
        </w:rPr>
        <w:t> </w:t>
      </w:r>
      <w:r>
        <w:rPr>
          <w:color w:val="231F20"/>
          <w:sz w:val="18"/>
        </w:rPr>
        <w:t>Современная</w:t>
      </w:r>
      <w:r>
        <w:rPr>
          <w:color w:val="231F20"/>
          <w:spacing w:val="-1"/>
          <w:sz w:val="18"/>
        </w:rPr>
        <w:t> </w:t>
      </w:r>
      <w:r>
        <w:rPr>
          <w:color w:val="231F20"/>
          <w:sz w:val="18"/>
        </w:rPr>
        <w:t>педагогика.</w:t>
      </w:r>
      <w:r>
        <w:rPr>
          <w:color w:val="231F20"/>
          <w:spacing w:val="-1"/>
          <w:sz w:val="18"/>
        </w:rPr>
        <w:t> </w:t>
      </w:r>
      <w:r>
        <w:rPr>
          <w:color w:val="231F20"/>
          <w:sz w:val="18"/>
        </w:rPr>
        <w:t>–</w:t>
      </w:r>
      <w:r>
        <w:rPr>
          <w:color w:val="231F20"/>
          <w:spacing w:val="-1"/>
          <w:sz w:val="18"/>
        </w:rPr>
        <w:t> </w:t>
      </w:r>
      <w:r>
        <w:rPr>
          <w:color w:val="231F20"/>
          <w:sz w:val="18"/>
        </w:rPr>
        <w:t>Январь</w:t>
      </w:r>
      <w:r>
        <w:rPr>
          <w:color w:val="231F20"/>
          <w:spacing w:val="-1"/>
          <w:sz w:val="18"/>
        </w:rPr>
        <w:t> </w:t>
      </w:r>
      <w:r>
        <w:rPr>
          <w:color w:val="231F20"/>
          <w:sz w:val="18"/>
        </w:rPr>
        <w:t>2013.</w:t>
      </w:r>
      <w:r>
        <w:rPr>
          <w:color w:val="231F20"/>
          <w:spacing w:val="-1"/>
          <w:sz w:val="18"/>
        </w:rPr>
        <w:t> </w:t>
      </w:r>
      <w:r>
        <w:rPr>
          <w:color w:val="231F20"/>
          <w:sz w:val="18"/>
        </w:rPr>
        <w:t>–</w:t>
      </w:r>
      <w:r>
        <w:rPr>
          <w:color w:val="231F20"/>
          <w:spacing w:val="-1"/>
          <w:sz w:val="18"/>
        </w:rPr>
        <w:t> </w:t>
      </w:r>
      <w:r>
        <w:rPr>
          <w:color w:val="231F20"/>
          <w:sz w:val="18"/>
        </w:rPr>
        <w:t>№</w:t>
      </w:r>
      <w:r>
        <w:rPr>
          <w:color w:val="231F20"/>
          <w:spacing w:val="-1"/>
          <w:sz w:val="18"/>
        </w:rPr>
        <w:t> </w:t>
      </w:r>
      <w:r>
        <w:rPr>
          <w:color w:val="231F20"/>
          <w:sz w:val="18"/>
        </w:rPr>
        <w:t>1</w:t>
      </w:r>
      <w:r>
        <w:rPr>
          <w:color w:val="231F20"/>
          <w:spacing w:val="-1"/>
          <w:sz w:val="18"/>
        </w:rPr>
        <w:t> </w:t>
      </w:r>
      <w:r>
        <w:rPr>
          <w:color w:val="231F20"/>
          <w:sz w:val="18"/>
        </w:rPr>
        <w:t>[Электронный</w:t>
      </w:r>
      <w:r>
        <w:rPr>
          <w:color w:val="231F20"/>
          <w:spacing w:val="-1"/>
          <w:sz w:val="18"/>
        </w:rPr>
        <w:t> </w:t>
      </w:r>
      <w:r>
        <w:rPr>
          <w:color w:val="231F20"/>
          <w:sz w:val="18"/>
        </w:rPr>
        <w:t>ресурс]. URL: </w:t>
      </w:r>
      <w:hyperlink r:id="rId244">
        <w:r>
          <w:rPr>
            <w:color w:val="2255A6"/>
            <w:sz w:val="18"/>
            <w:u w:val="single" w:color="2255A6"/>
          </w:rPr>
          <w:t>http://pedagogika.snauka.ru/2013/01/824</w:t>
        </w:r>
      </w:hyperlink>
      <w:r>
        <w:rPr>
          <w:color w:val="231F20"/>
          <w:sz w:val="18"/>
        </w:rPr>
        <w:t>.</w:t>
      </w:r>
    </w:p>
    <w:p>
      <w:pPr>
        <w:pStyle w:val="ListParagraph"/>
        <w:numPr>
          <w:ilvl w:val="1"/>
          <w:numId w:val="329"/>
        </w:numPr>
        <w:tabs>
          <w:tab w:pos="708" w:val="left" w:leader="none"/>
        </w:tabs>
        <w:spacing w:line="204" w:lineRule="exact" w:before="0" w:after="0"/>
        <w:ind w:left="708" w:right="0" w:hanging="283"/>
        <w:jc w:val="both"/>
        <w:rPr>
          <w:sz w:val="18"/>
        </w:rPr>
      </w:pPr>
      <w:r>
        <w:rPr>
          <w:color w:val="231F20"/>
          <w:sz w:val="18"/>
        </w:rPr>
        <w:t>Aronson</w:t>
      </w:r>
      <w:r>
        <w:rPr>
          <w:color w:val="231F20"/>
          <w:spacing w:val="-1"/>
          <w:sz w:val="18"/>
        </w:rPr>
        <w:t> </w:t>
      </w:r>
      <w:r>
        <w:rPr>
          <w:color w:val="231F20"/>
          <w:sz w:val="18"/>
        </w:rPr>
        <w:t>E.</w:t>
      </w:r>
      <w:r>
        <w:rPr>
          <w:color w:val="231F20"/>
          <w:spacing w:val="-1"/>
          <w:sz w:val="18"/>
        </w:rPr>
        <w:t> </w:t>
      </w:r>
      <w:r>
        <w:rPr>
          <w:color w:val="231F20"/>
          <w:sz w:val="18"/>
        </w:rPr>
        <w:t>i col</w:t>
      </w:r>
      <w:r>
        <w:rPr>
          <w:color w:val="231F20"/>
          <w:spacing w:val="-1"/>
          <w:sz w:val="18"/>
        </w:rPr>
        <w:t> </w:t>
      </w:r>
      <w:r>
        <w:rPr>
          <w:color w:val="231F20"/>
          <w:sz w:val="18"/>
        </w:rPr>
        <w:t>(1978).</w:t>
      </w:r>
      <w:r>
        <w:rPr>
          <w:color w:val="231F20"/>
          <w:spacing w:val="-4"/>
          <w:sz w:val="18"/>
        </w:rPr>
        <w:t> </w:t>
      </w:r>
      <w:r>
        <w:rPr>
          <w:color w:val="231F20"/>
          <w:sz w:val="18"/>
        </w:rPr>
        <w:t>The</w:t>
      </w:r>
      <w:r>
        <w:rPr>
          <w:color w:val="231F20"/>
          <w:spacing w:val="-1"/>
          <w:sz w:val="18"/>
        </w:rPr>
        <w:t> </w:t>
      </w:r>
      <w:r>
        <w:rPr>
          <w:color w:val="231F20"/>
          <w:sz w:val="18"/>
        </w:rPr>
        <w:t>jigsaw</w:t>
      </w:r>
      <w:r>
        <w:rPr>
          <w:color w:val="231F20"/>
          <w:spacing w:val="-2"/>
          <w:sz w:val="18"/>
        </w:rPr>
        <w:t> </w:t>
      </w:r>
      <w:r>
        <w:rPr>
          <w:color w:val="231F20"/>
          <w:sz w:val="18"/>
        </w:rPr>
        <w:t>classroom. Beverly</w:t>
      </w:r>
      <w:r>
        <w:rPr>
          <w:color w:val="231F20"/>
          <w:spacing w:val="-1"/>
          <w:sz w:val="18"/>
        </w:rPr>
        <w:t> </w:t>
      </w:r>
      <w:r>
        <w:rPr>
          <w:color w:val="231F20"/>
          <w:sz w:val="18"/>
        </w:rPr>
        <w:t>Hills: CA</w:t>
      </w:r>
      <w:r>
        <w:rPr>
          <w:color w:val="231F20"/>
          <w:spacing w:val="-11"/>
          <w:sz w:val="18"/>
        </w:rPr>
        <w:t> </w:t>
      </w:r>
      <w:r>
        <w:rPr>
          <w:color w:val="231F20"/>
          <w:spacing w:val="-2"/>
          <w:sz w:val="18"/>
        </w:rPr>
        <w:t>Sage.</w:t>
      </w:r>
    </w:p>
    <w:p>
      <w:pPr>
        <w:pStyle w:val="ListParagraph"/>
        <w:numPr>
          <w:ilvl w:val="1"/>
          <w:numId w:val="329"/>
        </w:numPr>
        <w:tabs>
          <w:tab w:pos="708" w:val="left" w:leader="none"/>
        </w:tabs>
        <w:spacing w:line="240" w:lineRule="auto" w:before="0" w:after="0"/>
        <w:ind w:left="708" w:right="423" w:hanging="284"/>
        <w:jc w:val="both"/>
        <w:rPr>
          <w:sz w:val="18"/>
        </w:rPr>
      </w:pPr>
      <w:r>
        <w:rPr>
          <w:color w:val="231F20"/>
          <w:sz w:val="18"/>
        </w:rPr>
        <w:t>Ashman</w:t>
      </w:r>
      <w:r>
        <w:rPr>
          <w:color w:val="231F20"/>
          <w:spacing w:val="-4"/>
          <w:sz w:val="18"/>
        </w:rPr>
        <w:t> </w:t>
      </w:r>
      <w:r>
        <w:rPr>
          <w:color w:val="231F20"/>
          <w:sz w:val="18"/>
        </w:rPr>
        <w:t>A.F., Gillies</w:t>
      </w:r>
      <w:r>
        <w:rPr>
          <w:color w:val="231F20"/>
          <w:spacing w:val="-5"/>
          <w:sz w:val="18"/>
        </w:rPr>
        <w:t> </w:t>
      </w:r>
      <w:r>
        <w:rPr>
          <w:color w:val="231F20"/>
          <w:sz w:val="18"/>
        </w:rPr>
        <w:t>R.M. (1997). Children’s cooperative behavior and interactions in trained and untrained work groups in regular classrooms.</w:t>
      </w:r>
      <w:r>
        <w:rPr>
          <w:color w:val="231F20"/>
          <w:spacing w:val="-3"/>
          <w:sz w:val="18"/>
        </w:rPr>
        <w:t> </w:t>
      </w:r>
      <w:r>
        <w:rPr>
          <w:color w:val="231F20"/>
          <w:sz w:val="18"/>
        </w:rPr>
        <w:t>Journal of School Psychology, 35(3), 261–279. DOI: </w:t>
      </w:r>
      <w:hyperlink r:id="rId245">
        <w:r>
          <w:rPr>
            <w:color w:val="231F20"/>
            <w:sz w:val="18"/>
          </w:rPr>
          <w:t>10.1016/S0022-4405(97)00007-1</w:t>
        </w:r>
      </w:hyperlink>
      <w:r>
        <w:rPr>
          <w:color w:val="231F20"/>
          <w:sz w:val="18"/>
        </w:rPr>
        <w:t>.</w:t>
      </w:r>
    </w:p>
    <w:p>
      <w:pPr>
        <w:pStyle w:val="ListParagraph"/>
        <w:numPr>
          <w:ilvl w:val="1"/>
          <w:numId w:val="329"/>
        </w:numPr>
        <w:tabs>
          <w:tab w:pos="708" w:val="left" w:leader="none"/>
        </w:tabs>
        <w:spacing w:line="240" w:lineRule="auto" w:before="0" w:after="0"/>
        <w:ind w:left="708" w:right="423" w:hanging="284"/>
        <w:jc w:val="both"/>
        <w:rPr>
          <w:sz w:val="18"/>
        </w:rPr>
      </w:pPr>
      <w:r>
        <w:rPr>
          <w:color w:val="231F20"/>
          <w:sz w:val="18"/>
        </w:rPr>
        <w:t>Austin</w:t>
      </w:r>
      <w:r>
        <w:rPr>
          <w:color w:val="231F20"/>
          <w:spacing w:val="-3"/>
          <w:sz w:val="18"/>
        </w:rPr>
        <w:t> </w:t>
      </w:r>
      <w:r>
        <w:rPr>
          <w:color w:val="231F20"/>
          <w:sz w:val="18"/>
        </w:rPr>
        <w:t>R., Hunter</w:t>
      </w:r>
      <w:r>
        <w:rPr>
          <w:color w:val="231F20"/>
          <w:spacing w:val="-3"/>
          <w:sz w:val="18"/>
        </w:rPr>
        <w:t> </w:t>
      </w:r>
      <w:r>
        <w:rPr>
          <w:color w:val="231F20"/>
          <w:sz w:val="18"/>
        </w:rPr>
        <w:t>W.J. (2013). Online Learning and Community Cohesion: </w:t>
      </w:r>
      <w:r>
        <w:rPr>
          <w:color w:val="231F20"/>
          <w:sz w:val="18"/>
        </w:rPr>
        <w:t>Linking Schools. London: Routledge.</w:t>
      </w:r>
    </w:p>
    <w:p>
      <w:pPr>
        <w:pStyle w:val="ListParagraph"/>
        <w:numPr>
          <w:ilvl w:val="1"/>
          <w:numId w:val="329"/>
        </w:numPr>
        <w:tabs>
          <w:tab w:pos="706" w:val="left" w:leader="none"/>
          <w:tab w:pos="708" w:val="left" w:leader="none"/>
        </w:tabs>
        <w:spacing w:line="240" w:lineRule="auto" w:before="0" w:after="0"/>
        <w:ind w:left="708" w:right="423" w:hanging="284"/>
        <w:jc w:val="both"/>
        <w:rPr>
          <w:sz w:val="18"/>
        </w:rPr>
      </w:pPr>
      <w:r>
        <w:rPr>
          <w:color w:val="231F20"/>
          <w:spacing w:val="-2"/>
          <w:sz w:val="18"/>
        </w:rPr>
        <w:t>Austin</w:t>
      </w:r>
      <w:r>
        <w:rPr>
          <w:color w:val="231F20"/>
          <w:spacing w:val="-10"/>
          <w:sz w:val="18"/>
        </w:rPr>
        <w:t> </w:t>
      </w:r>
      <w:r>
        <w:rPr>
          <w:color w:val="231F20"/>
          <w:spacing w:val="-2"/>
          <w:sz w:val="18"/>
        </w:rPr>
        <w:t>R.</w:t>
      </w:r>
      <w:r>
        <w:rPr>
          <w:color w:val="231F20"/>
          <w:spacing w:val="-9"/>
          <w:sz w:val="18"/>
        </w:rPr>
        <w:t> </w:t>
      </w:r>
      <w:r>
        <w:rPr>
          <w:color w:val="231F20"/>
          <w:spacing w:val="-2"/>
          <w:sz w:val="18"/>
        </w:rPr>
        <w:t>&amp;</w:t>
      </w:r>
      <w:r>
        <w:rPr>
          <w:color w:val="231F20"/>
          <w:spacing w:val="-9"/>
          <w:sz w:val="18"/>
        </w:rPr>
        <w:t> </w:t>
      </w:r>
      <w:r>
        <w:rPr>
          <w:color w:val="231F20"/>
          <w:spacing w:val="-2"/>
          <w:sz w:val="18"/>
        </w:rPr>
        <w:t>Anderson</w:t>
      </w:r>
      <w:r>
        <w:rPr>
          <w:color w:val="231F20"/>
          <w:spacing w:val="-8"/>
          <w:sz w:val="18"/>
        </w:rPr>
        <w:t> </w:t>
      </w:r>
      <w:r>
        <w:rPr>
          <w:color w:val="231F20"/>
          <w:spacing w:val="-2"/>
          <w:sz w:val="18"/>
        </w:rPr>
        <w:t>J.</w:t>
      </w:r>
      <w:r>
        <w:rPr>
          <w:color w:val="231F20"/>
          <w:spacing w:val="-9"/>
          <w:sz w:val="18"/>
        </w:rPr>
        <w:t> </w:t>
      </w:r>
      <w:r>
        <w:rPr>
          <w:color w:val="231F20"/>
          <w:spacing w:val="-2"/>
          <w:sz w:val="18"/>
        </w:rPr>
        <w:t>(2008).</w:t>
      </w:r>
      <w:r>
        <w:rPr>
          <w:color w:val="231F20"/>
          <w:spacing w:val="-9"/>
          <w:sz w:val="18"/>
        </w:rPr>
        <w:t> </w:t>
      </w:r>
      <w:r>
        <w:rPr>
          <w:color w:val="231F20"/>
          <w:spacing w:val="-2"/>
          <w:sz w:val="18"/>
        </w:rPr>
        <w:t>Building</w:t>
      </w:r>
      <w:r>
        <w:rPr>
          <w:color w:val="231F20"/>
          <w:spacing w:val="-9"/>
          <w:sz w:val="18"/>
        </w:rPr>
        <w:t> </w:t>
      </w:r>
      <w:r>
        <w:rPr>
          <w:color w:val="231F20"/>
          <w:spacing w:val="-2"/>
          <w:sz w:val="18"/>
        </w:rPr>
        <w:t>Bridges</w:t>
      </w:r>
      <w:r>
        <w:rPr>
          <w:color w:val="231F20"/>
          <w:spacing w:val="-10"/>
          <w:sz w:val="18"/>
        </w:rPr>
        <w:t> </w:t>
      </w:r>
      <w:r>
        <w:rPr>
          <w:color w:val="231F20"/>
          <w:spacing w:val="-2"/>
          <w:sz w:val="18"/>
        </w:rPr>
        <w:t>Online:</w:t>
      </w:r>
      <w:r>
        <w:rPr>
          <w:color w:val="231F20"/>
          <w:spacing w:val="-9"/>
          <w:sz w:val="18"/>
        </w:rPr>
        <w:t> </w:t>
      </w:r>
      <w:r>
        <w:rPr>
          <w:color w:val="231F20"/>
          <w:spacing w:val="-2"/>
          <w:sz w:val="18"/>
        </w:rPr>
        <w:t>Issues</w:t>
      </w:r>
      <w:r>
        <w:rPr>
          <w:color w:val="231F20"/>
          <w:spacing w:val="-9"/>
          <w:sz w:val="18"/>
        </w:rPr>
        <w:t> </w:t>
      </w:r>
      <w:r>
        <w:rPr>
          <w:color w:val="231F20"/>
          <w:spacing w:val="-2"/>
          <w:sz w:val="18"/>
        </w:rPr>
        <w:t>of</w:t>
      </w:r>
      <w:r>
        <w:rPr>
          <w:color w:val="231F20"/>
          <w:spacing w:val="-9"/>
          <w:sz w:val="18"/>
        </w:rPr>
        <w:t> </w:t>
      </w:r>
      <w:r>
        <w:rPr>
          <w:color w:val="231F20"/>
          <w:spacing w:val="-2"/>
          <w:sz w:val="18"/>
        </w:rPr>
        <w:t>Pedagogy</w:t>
      </w:r>
      <w:r>
        <w:rPr>
          <w:color w:val="231F20"/>
          <w:spacing w:val="-10"/>
          <w:sz w:val="18"/>
        </w:rPr>
        <w:t> </w:t>
      </w:r>
      <w:r>
        <w:rPr>
          <w:color w:val="231F20"/>
          <w:spacing w:val="-2"/>
          <w:sz w:val="18"/>
        </w:rPr>
        <w:t>and</w:t>
      </w:r>
      <w:r>
        <w:rPr>
          <w:color w:val="231F20"/>
          <w:spacing w:val="-9"/>
          <w:sz w:val="18"/>
        </w:rPr>
        <w:t> </w:t>
      </w:r>
      <w:r>
        <w:rPr>
          <w:color w:val="231F20"/>
          <w:spacing w:val="-2"/>
          <w:sz w:val="18"/>
        </w:rPr>
        <w:t>Learning </w:t>
      </w:r>
      <w:r>
        <w:rPr>
          <w:color w:val="231F20"/>
          <w:sz w:val="18"/>
        </w:rPr>
        <w:t>Outcomes in Intercultural Education Through Citizenship. IJICTE. 4. – Pp. 86–94.</w:t>
      </w:r>
    </w:p>
    <w:p>
      <w:pPr>
        <w:pStyle w:val="ListParagraph"/>
        <w:numPr>
          <w:ilvl w:val="1"/>
          <w:numId w:val="329"/>
        </w:numPr>
        <w:tabs>
          <w:tab w:pos="708" w:val="left" w:leader="none"/>
        </w:tabs>
        <w:spacing w:line="205" w:lineRule="exact" w:before="0" w:after="0"/>
        <w:ind w:left="708" w:right="0" w:hanging="283"/>
        <w:jc w:val="both"/>
        <w:rPr>
          <w:sz w:val="18"/>
        </w:rPr>
      </w:pPr>
      <w:r>
        <w:rPr>
          <w:color w:val="231F20"/>
          <w:sz w:val="18"/>
        </w:rPr>
        <w:t>Calfee</w:t>
      </w:r>
      <w:r>
        <w:rPr>
          <w:color w:val="231F20"/>
          <w:spacing w:val="-3"/>
          <w:sz w:val="18"/>
        </w:rPr>
        <w:t> </w:t>
      </w:r>
      <w:r>
        <w:rPr>
          <w:color w:val="231F20"/>
          <w:sz w:val="18"/>
        </w:rPr>
        <w:t>R.C.</w:t>
      </w:r>
      <w:r>
        <w:rPr>
          <w:color w:val="231F20"/>
          <w:spacing w:val="-1"/>
          <w:sz w:val="18"/>
        </w:rPr>
        <w:t> </w:t>
      </w:r>
      <w:r>
        <w:rPr>
          <w:color w:val="231F20"/>
          <w:sz w:val="18"/>
        </w:rPr>
        <w:t>(2006).</w:t>
      </w:r>
      <w:r>
        <w:rPr>
          <w:color w:val="231F20"/>
          <w:spacing w:val="-1"/>
          <w:sz w:val="18"/>
        </w:rPr>
        <w:t> </w:t>
      </w:r>
      <w:r>
        <w:rPr>
          <w:color w:val="231F20"/>
          <w:sz w:val="18"/>
        </w:rPr>
        <w:t>Educational Psychology</w:t>
      </w:r>
      <w:r>
        <w:rPr>
          <w:color w:val="231F20"/>
          <w:spacing w:val="-1"/>
          <w:sz w:val="18"/>
        </w:rPr>
        <w:t> </w:t>
      </w:r>
      <w:r>
        <w:rPr>
          <w:color w:val="231F20"/>
          <w:sz w:val="18"/>
        </w:rPr>
        <w:t>in</w:t>
      </w:r>
      <w:r>
        <w:rPr>
          <w:color w:val="231F20"/>
          <w:spacing w:val="-1"/>
          <w:sz w:val="18"/>
        </w:rPr>
        <w:t> </w:t>
      </w:r>
      <w:r>
        <w:rPr>
          <w:color w:val="231F20"/>
          <w:sz w:val="18"/>
        </w:rPr>
        <w:t>the</w:t>
      </w:r>
      <w:r>
        <w:rPr>
          <w:color w:val="231F20"/>
          <w:spacing w:val="-1"/>
          <w:sz w:val="18"/>
        </w:rPr>
        <w:t> </w:t>
      </w:r>
      <w:r>
        <w:rPr>
          <w:color w:val="231F20"/>
          <w:sz w:val="18"/>
        </w:rPr>
        <w:t>21st</w:t>
      </w:r>
      <w:r>
        <w:rPr>
          <w:color w:val="231F20"/>
          <w:spacing w:val="-1"/>
          <w:sz w:val="18"/>
        </w:rPr>
        <w:t> </w:t>
      </w:r>
      <w:r>
        <w:rPr>
          <w:color w:val="231F20"/>
          <w:spacing w:val="-2"/>
          <w:sz w:val="18"/>
        </w:rPr>
        <w:t>Century.</w:t>
      </w:r>
    </w:p>
    <w:p>
      <w:pPr>
        <w:pStyle w:val="ListParagraph"/>
        <w:numPr>
          <w:ilvl w:val="1"/>
          <w:numId w:val="329"/>
        </w:numPr>
        <w:tabs>
          <w:tab w:pos="708" w:val="left" w:leader="none"/>
        </w:tabs>
        <w:spacing w:line="240" w:lineRule="auto" w:before="0" w:after="0"/>
        <w:ind w:left="708" w:right="422" w:hanging="284"/>
        <w:jc w:val="both"/>
        <w:rPr>
          <w:sz w:val="18"/>
        </w:rPr>
      </w:pPr>
      <w:r>
        <w:rPr>
          <w:color w:val="231F20"/>
          <w:sz w:val="18"/>
        </w:rPr>
        <w:t>Chan</w:t>
      </w:r>
      <w:r>
        <w:rPr>
          <w:color w:val="231F20"/>
          <w:spacing w:val="-2"/>
          <w:sz w:val="18"/>
        </w:rPr>
        <w:t> </w:t>
      </w:r>
      <w:r>
        <w:rPr>
          <w:color w:val="231F20"/>
          <w:sz w:val="18"/>
        </w:rPr>
        <w:t>A.,</w:t>
      </w:r>
      <w:r>
        <w:rPr>
          <w:color w:val="231F20"/>
          <w:spacing w:val="64"/>
          <w:sz w:val="18"/>
        </w:rPr>
        <w:t> </w:t>
      </w:r>
      <w:r>
        <w:rPr>
          <w:color w:val="231F20"/>
          <w:sz w:val="18"/>
        </w:rPr>
        <w:t>Hsu</w:t>
      </w:r>
      <w:r>
        <w:rPr>
          <w:color w:val="231F20"/>
          <w:spacing w:val="-2"/>
          <w:sz w:val="18"/>
        </w:rPr>
        <w:t> </w:t>
      </w:r>
      <w:r>
        <w:rPr>
          <w:color w:val="231F20"/>
          <w:sz w:val="18"/>
        </w:rPr>
        <w:t>С-С.,</w:t>
      </w:r>
      <w:r>
        <w:rPr>
          <w:color w:val="231F20"/>
          <w:spacing w:val="64"/>
          <w:sz w:val="18"/>
        </w:rPr>
        <w:t> </w:t>
      </w:r>
      <w:r>
        <w:rPr>
          <w:color w:val="231F20"/>
          <w:sz w:val="18"/>
        </w:rPr>
        <w:t>Chuang</w:t>
      </w:r>
      <w:r>
        <w:rPr>
          <w:color w:val="231F20"/>
          <w:spacing w:val="-2"/>
          <w:sz w:val="18"/>
        </w:rPr>
        <w:t> </w:t>
      </w:r>
      <w:r>
        <w:rPr>
          <w:color w:val="231F20"/>
          <w:sz w:val="18"/>
        </w:rPr>
        <w:t>S-H.,</w:t>
      </w:r>
      <w:r>
        <w:rPr>
          <w:color w:val="231F20"/>
          <w:spacing w:val="64"/>
          <w:sz w:val="18"/>
        </w:rPr>
        <w:t> </w:t>
      </w:r>
      <w:r>
        <w:rPr>
          <w:color w:val="231F20"/>
          <w:sz w:val="18"/>
        </w:rPr>
        <w:t>Hsieh</w:t>
      </w:r>
      <w:r>
        <w:rPr>
          <w:color w:val="231F20"/>
          <w:spacing w:val="-2"/>
          <w:sz w:val="18"/>
        </w:rPr>
        <w:t> </w:t>
      </w:r>
      <w:r>
        <w:rPr>
          <w:color w:val="231F20"/>
          <w:sz w:val="18"/>
        </w:rPr>
        <w:t>C-H.,</w:t>
      </w:r>
      <w:r>
        <w:rPr>
          <w:color w:val="231F20"/>
          <w:spacing w:val="64"/>
          <w:sz w:val="18"/>
        </w:rPr>
        <w:t> </w:t>
      </w:r>
      <w:r>
        <w:rPr>
          <w:color w:val="231F20"/>
          <w:sz w:val="18"/>
        </w:rPr>
        <w:t>Lao</w:t>
      </w:r>
      <w:r>
        <w:rPr>
          <w:color w:val="231F20"/>
          <w:spacing w:val="-2"/>
          <w:sz w:val="18"/>
        </w:rPr>
        <w:t> </w:t>
      </w:r>
      <w:r>
        <w:rPr>
          <w:color w:val="231F20"/>
          <w:sz w:val="18"/>
        </w:rPr>
        <w:t>C-C.</w:t>
      </w:r>
      <w:r>
        <w:rPr>
          <w:color w:val="231F20"/>
          <w:spacing w:val="63"/>
          <w:sz w:val="18"/>
        </w:rPr>
        <w:t> </w:t>
      </w:r>
      <w:r>
        <w:rPr>
          <w:color w:val="231F20"/>
          <w:sz w:val="18"/>
        </w:rPr>
        <w:t>(2008).</w:t>
      </w:r>
      <w:r>
        <w:rPr>
          <w:color w:val="231F20"/>
          <w:spacing w:val="64"/>
          <w:sz w:val="18"/>
        </w:rPr>
        <w:t> </w:t>
      </w:r>
      <w:r>
        <w:rPr>
          <w:color w:val="231F20"/>
          <w:sz w:val="18"/>
        </w:rPr>
        <w:t>Student</w:t>
      </w:r>
      <w:r>
        <w:rPr>
          <w:color w:val="231F20"/>
          <w:spacing w:val="64"/>
          <w:sz w:val="18"/>
        </w:rPr>
        <w:t> </w:t>
      </w:r>
      <w:r>
        <w:rPr>
          <w:color w:val="231F20"/>
          <w:sz w:val="18"/>
        </w:rPr>
        <w:t>Conflicts in a Jigsaw-type Technology Classroom for Collaborative Knowledge </w:t>
      </w:r>
      <w:r>
        <w:rPr>
          <w:color w:val="231F20"/>
          <w:sz w:val="18"/>
        </w:rPr>
        <w:t>Construction. Proceedings – ICCE 2008: 16th International Conference on Computers in Education.</w:t>
      </w:r>
    </w:p>
    <w:p>
      <w:pPr>
        <w:pStyle w:val="ListParagraph"/>
        <w:numPr>
          <w:ilvl w:val="1"/>
          <w:numId w:val="329"/>
        </w:numPr>
        <w:tabs>
          <w:tab w:pos="707" w:val="left" w:leader="none"/>
        </w:tabs>
        <w:spacing w:line="204" w:lineRule="exact" w:before="0" w:after="0"/>
        <w:ind w:left="707" w:right="0" w:hanging="282"/>
        <w:jc w:val="both"/>
        <w:rPr>
          <w:sz w:val="18"/>
        </w:rPr>
      </w:pPr>
      <w:r>
        <w:rPr>
          <w:color w:val="231F20"/>
          <w:spacing w:val="-4"/>
          <w:sz w:val="18"/>
        </w:rPr>
        <w:t>Cohen</w:t>
      </w:r>
      <w:r>
        <w:rPr>
          <w:color w:val="231F20"/>
          <w:spacing w:val="1"/>
          <w:sz w:val="18"/>
        </w:rPr>
        <w:t> </w:t>
      </w:r>
      <w:r>
        <w:rPr>
          <w:color w:val="231F20"/>
          <w:spacing w:val="-4"/>
          <w:sz w:val="18"/>
        </w:rPr>
        <w:t>E.</w:t>
      </w:r>
      <w:r>
        <w:rPr>
          <w:color w:val="231F20"/>
          <w:spacing w:val="-5"/>
          <w:sz w:val="18"/>
        </w:rPr>
        <w:t> </w:t>
      </w:r>
      <w:r>
        <w:rPr>
          <w:color w:val="231F20"/>
          <w:spacing w:val="-4"/>
          <w:sz w:val="18"/>
        </w:rPr>
        <w:t>(1994)</w:t>
      </w:r>
      <w:r>
        <w:rPr>
          <w:color w:val="231F20"/>
          <w:spacing w:val="-5"/>
          <w:sz w:val="18"/>
        </w:rPr>
        <w:t> </w:t>
      </w:r>
      <w:r>
        <w:rPr>
          <w:color w:val="231F20"/>
          <w:spacing w:val="-4"/>
          <w:sz w:val="18"/>
        </w:rPr>
        <w:t>Designing</w:t>
      </w:r>
      <w:r>
        <w:rPr>
          <w:color w:val="231F20"/>
          <w:spacing w:val="-5"/>
          <w:sz w:val="18"/>
        </w:rPr>
        <w:t> </w:t>
      </w:r>
      <w:r>
        <w:rPr>
          <w:color w:val="231F20"/>
          <w:spacing w:val="-4"/>
          <w:sz w:val="18"/>
        </w:rPr>
        <w:t>groupwork: strategies</w:t>
      </w:r>
      <w:r>
        <w:rPr>
          <w:color w:val="231F20"/>
          <w:spacing w:val="-5"/>
          <w:sz w:val="18"/>
        </w:rPr>
        <w:t> </w:t>
      </w:r>
      <w:r>
        <w:rPr>
          <w:color w:val="231F20"/>
          <w:spacing w:val="-4"/>
          <w:sz w:val="18"/>
        </w:rPr>
        <w:t>for</w:t>
      </w:r>
      <w:r>
        <w:rPr>
          <w:color w:val="231F20"/>
          <w:spacing w:val="-5"/>
          <w:sz w:val="18"/>
        </w:rPr>
        <w:t> </w:t>
      </w:r>
      <w:r>
        <w:rPr>
          <w:color w:val="231F20"/>
          <w:spacing w:val="-4"/>
          <w:sz w:val="18"/>
        </w:rPr>
        <w:t>the</w:t>
      </w:r>
      <w:r>
        <w:rPr>
          <w:color w:val="231F20"/>
          <w:spacing w:val="-5"/>
          <w:sz w:val="18"/>
        </w:rPr>
        <w:t> </w:t>
      </w:r>
      <w:r>
        <w:rPr>
          <w:color w:val="231F20"/>
          <w:spacing w:val="-4"/>
          <w:sz w:val="18"/>
        </w:rPr>
        <w:t>heterogeneous</w:t>
      </w:r>
      <w:r>
        <w:rPr>
          <w:color w:val="231F20"/>
          <w:spacing w:val="-5"/>
          <w:sz w:val="18"/>
        </w:rPr>
        <w:t> </w:t>
      </w:r>
      <w:r>
        <w:rPr>
          <w:color w:val="231F20"/>
          <w:spacing w:val="-4"/>
          <w:sz w:val="18"/>
        </w:rPr>
        <w:t>classroom</w:t>
      </w:r>
      <w:r>
        <w:rPr>
          <w:color w:val="231F20"/>
          <w:spacing w:val="-5"/>
          <w:sz w:val="18"/>
        </w:rPr>
        <w:t> </w:t>
      </w:r>
      <w:r>
        <w:rPr>
          <w:color w:val="231F20"/>
          <w:spacing w:val="-4"/>
          <w:sz w:val="18"/>
        </w:rPr>
        <w:t>–</w:t>
      </w:r>
      <w:r>
        <w:rPr>
          <w:color w:val="231F20"/>
          <w:spacing w:val="-5"/>
          <w:sz w:val="18"/>
        </w:rPr>
        <w:t> </w:t>
      </w:r>
      <w:r>
        <w:rPr>
          <w:color w:val="231F20"/>
          <w:spacing w:val="-4"/>
          <w:sz w:val="18"/>
        </w:rPr>
        <w:t>2nd</w:t>
      </w:r>
      <w:r>
        <w:rPr>
          <w:color w:val="231F20"/>
          <w:spacing w:val="-5"/>
          <w:sz w:val="18"/>
        </w:rPr>
        <w:t> </w:t>
      </w:r>
      <w:r>
        <w:rPr>
          <w:color w:val="231F20"/>
          <w:spacing w:val="-4"/>
          <w:sz w:val="18"/>
        </w:rPr>
        <w:t>ed/.</w:t>
      </w:r>
    </w:p>
    <w:p>
      <w:pPr>
        <w:pStyle w:val="ListParagraph"/>
        <w:numPr>
          <w:ilvl w:val="1"/>
          <w:numId w:val="329"/>
        </w:numPr>
        <w:tabs>
          <w:tab w:pos="708" w:val="left" w:leader="none"/>
        </w:tabs>
        <w:spacing w:line="240" w:lineRule="auto" w:before="0" w:after="0"/>
        <w:ind w:left="708" w:right="422" w:hanging="284"/>
        <w:jc w:val="left"/>
        <w:rPr>
          <w:sz w:val="18"/>
        </w:rPr>
      </w:pPr>
      <w:r>
        <w:rPr>
          <w:color w:val="231F20"/>
          <w:sz w:val="18"/>
        </w:rPr>
        <w:t>Devedzic</w:t>
      </w:r>
      <w:r>
        <w:rPr>
          <w:color w:val="231F20"/>
          <w:spacing w:val="-12"/>
          <w:sz w:val="18"/>
        </w:rPr>
        <w:t> </w:t>
      </w:r>
      <w:r>
        <w:rPr>
          <w:color w:val="231F20"/>
          <w:sz w:val="18"/>
        </w:rPr>
        <w:t>V.</w:t>
      </w:r>
      <w:r>
        <w:rPr>
          <w:color w:val="231F20"/>
          <w:spacing w:val="-11"/>
          <w:sz w:val="18"/>
        </w:rPr>
        <w:t> </w:t>
      </w:r>
      <w:r>
        <w:rPr>
          <w:color w:val="231F20"/>
          <w:sz w:val="18"/>
        </w:rPr>
        <w:t>&amp;</w:t>
      </w:r>
      <w:r>
        <w:rPr>
          <w:color w:val="231F20"/>
          <w:spacing w:val="-11"/>
          <w:sz w:val="18"/>
        </w:rPr>
        <w:t> </w:t>
      </w:r>
      <w:r>
        <w:rPr>
          <w:color w:val="231F20"/>
          <w:sz w:val="18"/>
        </w:rPr>
        <w:t>Milenkovic</w:t>
      </w:r>
      <w:r>
        <w:rPr>
          <w:color w:val="231F20"/>
          <w:spacing w:val="-11"/>
          <w:sz w:val="18"/>
        </w:rPr>
        <w:t> </w:t>
      </w:r>
      <w:r>
        <w:rPr>
          <w:color w:val="231F20"/>
          <w:sz w:val="18"/>
        </w:rPr>
        <w:t>S.</w:t>
      </w:r>
      <w:r>
        <w:rPr>
          <w:color w:val="231F20"/>
          <w:spacing w:val="-12"/>
          <w:sz w:val="18"/>
        </w:rPr>
        <w:t> </w:t>
      </w:r>
      <w:r>
        <w:rPr>
          <w:color w:val="231F20"/>
          <w:sz w:val="18"/>
        </w:rPr>
        <w:t>(2011).</w:t>
      </w:r>
      <w:r>
        <w:rPr>
          <w:color w:val="231F20"/>
          <w:spacing w:val="-11"/>
          <w:sz w:val="18"/>
        </w:rPr>
        <w:t> </w:t>
      </w:r>
      <w:r>
        <w:rPr>
          <w:color w:val="231F20"/>
          <w:sz w:val="18"/>
        </w:rPr>
        <w:t>Teaching</w:t>
      </w:r>
      <w:r>
        <w:rPr>
          <w:color w:val="231F20"/>
          <w:spacing w:val="-11"/>
          <w:sz w:val="18"/>
        </w:rPr>
        <w:t> </w:t>
      </w:r>
      <w:r>
        <w:rPr>
          <w:color w:val="231F20"/>
          <w:sz w:val="18"/>
        </w:rPr>
        <w:t>agile</w:t>
      </w:r>
      <w:r>
        <w:rPr>
          <w:color w:val="231F20"/>
          <w:spacing w:val="-11"/>
          <w:sz w:val="18"/>
        </w:rPr>
        <w:t> </w:t>
      </w:r>
      <w:r>
        <w:rPr>
          <w:color w:val="231F20"/>
          <w:sz w:val="18"/>
        </w:rPr>
        <w:t>software</w:t>
      </w:r>
      <w:r>
        <w:rPr>
          <w:color w:val="231F20"/>
          <w:spacing w:val="-12"/>
          <w:sz w:val="18"/>
        </w:rPr>
        <w:t> </w:t>
      </w:r>
      <w:r>
        <w:rPr>
          <w:color w:val="231F20"/>
          <w:sz w:val="18"/>
        </w:rPr>
        <w:t>development:</w:t>
      </w:r>
      <w:r>
        <w:rPr>
          <w:color w:val="231F20"/>
          <w:spacing w:val="-15"/>
          <w:sz w:val="18"/>
        </w:rPr>
        <w:t> </w:t>
      </w:r>
      <w:r>
        <w:rPr>
          <w:color w:val="231F20"/>
          <w:sz w:val="18"/>
        </w:rPr>
        <w:t>A</w:t>
      </w:r>
      <w:r>
        <w:rPr>
          <w:color w:val="231F20"/>
          <w:spacing w:val="-15"/>
          <w:sz w:val="18"/>
        </w:rPr>
        <w:t> </w:t>
      </w:r>
      <w:r>
        <w:rPr>
          <w:color w:val="231F20"/>
          <w:sz w:val="18"/>
        </w:rPr>
        <w:t>case</w:t>
      </w:r>
      <w:r>
        <w:rPr>
          <w:color w:val="231F20"/>
          <w:spacing w:val="-11"/>
          <w:sz w:val="18"/>
        </w:rPr>
        <w:t> </w:t>
      </w:r>
      <w:r>
        <w:rPr>
          <w:color w:val="231F20"/>
          <w:sz w:val="18"/>
        </w:rPr>
        <w:t>study. IEEE Transactions on Education, 54(2), pp. 273–278, DOI: 10.1109/TE.2010.2052104.</w:t>
      </w:r>
    </w:p>
    <w:p>
      <w:pPr>
        <w:pStyle w:val="ListParagraph"/>
        <w:numPr>
          <w:ilvl w:val="1"/>
          <w:numId w:val="329"/>
        </w:numPr>
        <w:tabs>
          <w:tab w:pos="708" w:val="left" w:leader="none"/>
        </w:tabs>
        <w:spacing w:line="237" w:lineRule="auto" w:before="0" w:after="0"/>
        <w:ind w:left="708" w:right="423" w:hanging="284"/>
        <w:jc w:val="left"/>
        <w:rPr>
          <w:sz w:val="18"/>
        </w:rPr>
      </w:pPr>
      <w:r>
        <w:rPr>
          <w:color w:val="231F20"/>
          <w:sz w:val="18"/>
        </w:rPr>
        <w:t>Devries</w:t>
      </w:r>
      <w:r>
        <w:rPr>
          <w:color w:val="231F20"/>
          <w:spacing w:val="-3"/>
          <w:sz w:val="18"/>
        </w:rPr>
        <w:t> </w:t>
      </w:r>
      <w:r>
        <w:rPr>
          <w:color w:val="231F20"/>
          <w:sz w:val="18"/>
        </w:rPr>
        <w:t>D.,</w:t>
      </w:r>
      <w:r>
        <w:rPr>
          <w:color w:val="231F20"/>
          <w:spacing w:val="39"/>
          <w:sz w:val="18"/>
        </w:rPr>
        <w:t> </w:t>
      </w:r>
      <w:r>
        <w:rPr>
          <w:color w:val="231F20"/>
          <w:sz w:val="18"/>
        </w:rPr>
        <w:t>Edwards</w:t>
      </w:r>
      <w:r>
        <w:rPr>
          <w:color w:val="231F20"/>
          <w:spacing w:val="-3"/>
          <w:sz w:val="18"/>
        </w:rPr>
        <w:t> </w:t>
      </w:r>
      <w:r>
        <w:rPr>
          <w:color w:val="231F20"/>
          <w:sz w:val="18"/>
        </w:rPr>
        <w:t>K.</w:t>
      </w:r>
      <w:r>
        <w:rPr>
          <w:color w:val="231F20"/>
          <w:spacing w:val="39"/>
          <w:sz w:val="18"/>
        </w:rPr>
        <w:t> </w:t>
      </w:r>
      <w:r>
        <w:rPr>
          <w:color w:val="231F20"/>
          <w:sz w:val="18"/>
        </w:rPr>
        <w:t>(1973).</w:t>
      </w:r>
      <w:r>
        <w:rPr>
          <w:color w:val="231F20"/>
          <w:spacing w:val="39"/>
          <w:sz w:val="18"/>
        </w:rPr>
        <w:t> </w:t>
      </w:r>
      <w:r>
        <w:rPr>
          <w:color w:val="231F20"/>
          <w:sz w:val="18"/>
        </w:rPr>
        <w:t>Learning</w:t>
      </w:r>
      <w:r>
        <w:rPr>
          <w:color w:val="231F20"/>
          <w:spacing w:val="39"/>
          <w:sz w:val="18"/>
        </w:rPr>
        <w:t> </w:t>
      </w:r>
      <w:r>
        <w:rPr>
          <w:color w:val="231F20"/>
          <w:sz w:val="18"/>
        </w:rPr>
        <w:t>games</w:t>
      </w:r>
      <w:r>
        <w:rPr>
          <w:color w:val="231F20"/>
          <w:spacing w:val="39"/>
          <w:sz w:val="18"/>
        </w:rPr>
        <w:t> </w:t>
      </w:r>
      <w:r>
        <w:rPr>
          <w:color w:val="231F20"/>
          <w:sz w:val="18"/>
        </w:rPr>
        <w:t>and</w:t>
      </w:r>
      <w:r>
        <w:rPr>
          <w:color w:val="231F20"/>
          <w:spacing w:val="39"/>
          <w:sz w:val="18"/>
        </w:rPr>
        <w:t> </w:t>
      </w:r>
      <w:r>
        <w:rPr>
          <w:color w:val="231F20"/>
          <w:sz w:val="18"/>
        </w:rPr>
        <w:t>student</w:t>
      </w:r>
      <w:r>
        <w:rPr>
          <w:color w:val="231F20"/>
          <w:spacing w:val="39"/>
          <w:sz w:val="18"/>
        </w:rPr>
        <w:t> </w:t>
      </w:r>
      <w:r>
        <w:rPr>
          <w:color w:val="231F20"/>
          <w:sz w:val="18"/>
        </w:rPr>
        <w:t>teams:</w:t>
      </w:r>
      <w:r>
        <w:rPr>
          <w:color w:val="231F20"/>
          <w:spacing w:val="36"/>
          <w:sz w:val="18"/>
        </w:rPr>
        <w:t> </w:t>
      </w:r>
      <w:r>
        <w:rPr>
          <w:color w:val="231F20"/>
          <w:sz w:val="18"/>
        </w:rPr>
        <w:t>Their</w:t>
      </w:r>
      <w:r>
        <w:rPr>
          <w:color w:val="231F20"/>
          <w:spacing w:val="39"/>
          <w:sz w:val="18"/>
        </w:rPr>
        <w:t> </w:t>
      </w:r>
      <w:r>
        <w:rPr>
          <w:color w:val="231F20"/>
          <w:sz w:val="18"/>
        </w:rPr>
        <w:t>effect</w:t>
      </w:r>
      <w:r>
        <w:rPr>
          <w:color w:val="231F20"/>
          <w:spacing w:val="39"/>
          <w:sz w:val="18"/>
        </w:rPr>
        <w:t> </w:t>
      </w:r>
      <w:r>
        <w:rPr>
          <w:color w:val="231F20"/>
          <w:sz w:val="18"/>
        </w:rPr>
        <w:t>on classroom process. American Educational Research Journal, 10, pp. 307–318.</w:t>
      </w:r>
    </w:p>
    <w:p>
      <w:pPr>
        <w:pStyle w:val="ListParagraph"/>
        <w:numPr>
          <w:ilvl w:val="1"/>
          <w:numId w:val="329"/>
        </w:numPr>
        <w:tabs>
          <w:tab w:pos="708" w:val="left" w:leader="none"/>
        </w:tabs>
        <w:spacing w:line="237" w:lineRule="auto" w:before="0" w:after="0"/>
        <w:ind w:left="708" w:right="423" w:hanging="284"/>
        <w:jc w:val="left"/>
        <w:rPr>
          <w:sz w:val="18"/>
        </w:rPr>
      </w:pPr>
      <w:r>
        <w:rPr>
          <w:color w:val="231F20"/>
          <w:sz w:val="18"/>
        </w:rPr>
        <w:t>Harasim</w:t>
      </w:r>
      <w:r>
        <w:rPr>
          <w:color w:val="231F20"/>
          <w:spacing w:val="-2"/>
          <w:sz w:val="18"/>
        </w:rPr>
        <w:t> </w:t>
      </w:r>
      <w:r>
        <w:rPr>
          <w:color w:val="231F20"/>
          <w:sz w:val="18"/>
        </w:rPr>
        <w:t>L. (2012). Learning theory and online technology: How new technologies are transforming learning opportunities. New York, NY: Routledge Press.</w:t>
      </w:r>
    </w:p>
    <w:p>
      <w:pPr>
        <w:pStyle w:val="ListParagraph"/>
        <w:numPr>
          <w:ilvl w:val="1"/>
          <w:numId w:val="329"/>
        </w:numPr>
        <w:tabs>
          <w:tab w:pos="708" w:val="left" w:leader="none"/>
        </w:tabs>
        <w:spacing w:line="237" w:lineRule="auto" w:before="0" w:after="0"/>
        <w:ind w:left="708" w:right="422" w:hanging="284"/>
        <w:jc w:val="left"/>
        <w:rPr>
          <w:sz w:val="18"/>
        </w:rPr>
      </w:pPr>
      <w:r>
        <w:rPr>
          <w:color w:val="231F20"/>
          <w:sz w:val="18"/>
        </w:rPr>
        <w:t>Johnson</w:t>
      </w:r>
      <w:r>
        <w:rPr>
          <w:color w:val="231F20"/>
          <w:spacing w:val="-3"/>
          <w:sz w:val="18"/>
        </w:rPr>
        <w:t> </w:t>
      </w:r>
      <w:r>
        <w:rPr>
          <w:color w:val="231F20"/>
          <w:sz w:val="18"/>
        </w:rPr>
        <w:t>Roger</w:t>
      </w:r>
      <w:r>
        <w:rPr>
          <w:color w:val="231F20"/>
          <w:spacing w:val="-3"/>
          <w:sz w:val="18"/>
        </w:rPr>
        <w:t> </w:t>
      </w:r>
      <w:r>
        <w:rPr>
          <w:color w:val="231F20"/>
          <w:sz w:val="18"/>
        </w:rPr>
        <w:t>T.;</w:t>
      </w:r>
      <w:r>
        <w:rPr>
          <w:color w:val="231F20"/>
          <w:spacing w:val="80"/>
          <w:w w:val="150"/>
          <w:sz w:val="18"/>
        </w:rPr>
        <w:t> </w:t>
      </w:r>
      <w:r>
        <w:rPr>
          <w:color w:val="231F20"/>
          <w:sz w:val="18"/>
        </w:rPr>
        <w:t>Johnson</w:t>
      </w:r>
      <w:r>
        <w:rPr>
          <w:color w:val="231F20"/>
          <w:spacing w:val="-3"/>
          <w:sz w:val="18"/>
        </w:rPr>
        <w:t> </w:t>
      </w:r>
      <w:r>
        <w:rPr>
          <w:color w:val="231F20"/>
          <w:sz w:val="18"/>
        </w:rPr>
        <w:t>David</w:t>
      </w:r>
      <w:r>
        <w:rPr>
          <w:color w:val="231F20"/>
          <w:spacing w:val="-3"/>
          <w:sz w:val="18"/>
        </w:rPr>
        <w:t> </w:t>
      </w:r>
      <w:r>
        <w:rPr>
          <w:color w:val="231F20"/>
          <w:sz w:val="18"/>
        </w:rPr>
        <w:t>W.;</w:t>
      </w:r>
      <w:r>
        <w:rPr>
          <w:color w:val="231F20"/>
          <w:spacing w:val="80"/>
          <w:w w:val="150"/>
          <w:sz w:val="18"/>
        </w:rPr>
        <w:t> </w:t>
      </w:r>
      <w:r>
        <w:rPr>
          <w:color w:val="231F20"/>
          <w:sz w:val="18"/>
        </w:rPr>
        <w:t>Holubec</w:t>
      </w:r>
      <w:r>
        <w:rPr>
          <w:color w:val="231F20"/>
          <w:spacing w:val="-3"/>
          <w:sz w:val="18"/>
        </w:rPr>
        <w:t> </w:t>
      </w:r>
      <w:r>
        <w:rPr>
          <w:color w:val="231F20"/>
          <w:sz w:val="18"/>
        </w:rPr>
        <w:t>Edythe</w:t>
      </w:r>
      <w:r>
        <w:rPr>
          <w:color w:val="231F20"/>
          <w:spacing w:val="-3"/>
          <w:sz w:val="18"/>
        </w:rPr>
        <w:t> </w:t>
      </w:r>
      <w:r>
        <w:rPr>
          <w:color w:val="231F20"/>
          <w:sz w:val="18"/>
        </w:rPr>
        <w:t>J.</w:t>
      </w:r>
      <w:r>
        <w:rPr>
          <w:color w:val="231F20"/>
          <w:spacing w:val="80"/>
          <w:w w:val="150"/>
          <w:sz w:val="18"/>
        </w:rPr>
        <w:t> </w:t>
      </w:r>
      <w:r>
        <w:rPr>
          <w:color w:val="231F20"/>
          <w:sz w:val="18"/>
        </w:rPr>
        <w:t>(1999):</w:t>
      </w:r>
      <w:r>
        <w:rPr>
          <w:color w:val="231F20"/>
          <w:spacing w:val="80"/>
          <w:w w:val="150"/>
          <w:sz w:val="18"/>
        </w:rPr>
        <w:t> </w:t>
      </w:r>
      <w:r>
        <w:rPr>
          <w:color w:val="231F20"/>
          <w:sz w:val="18"/>
        </w:rPr>
        <w:t>El</w:t>
      </w:r>
      <w:r>
        <w:rPr>
          <w:color w:val="231F20"/>
          <w:spacing w:val="80"/>
          <w:w w:val="150"/>
          <w:sz w:val="18"/>
        </w:rPr>
        <w:t> </w:t>
      </w:r>
      <w:r>
        <w:rPr>
          <w:color w:val="231F20"/>
          <w:sz w:val="18"/>
        </w:rPr>
        <w:t>aprendizaje cooperativo en el aula. Barcelona: Paidós Educador.</w:t>
      </w:r>
    </w:p>
    <w:p>
      <w:pPr>
        <w:pStyle w:val="ListParagraph"/>
        <w:numPr>
          <w:ilvl w:val="1"/>
          <w:numId w:val="329"/>
        </w:numPr>
        <w:tabs>
          <w:tab w:pos="708" w:val="left" w:leader="none"/>
        </w:tabs>
        <w:spacing w:line="237" w:lineRule="auto" w:before="0" w:after="0"/>
        <w:ind w:left="708" w:right="423" w:hanging="284"/>
        <w:jc w:val="left"/>
        <w:rPr>
          <w:sz w:val="18"/>
        </w:rPr>
      </w:pPr>
      <w:r>
        <w:rPr>
          <w:color w:val="231F20"/>
          <w:sz w:val="18"/>
        </w:rPr>
        <w:t>Kagan</w:t>
      </w:r>
      <w:r>
        <w:rPr>
          <w:color w:val="231F20"/>
          <w:spacing w:val="-9"/>
          <w:sz w:val="18"/>
        </w:rPr>
        <w:t> </w:t>
      </w:r>
      <w:r>
        <w:rPr>
          <w:color w:val="231F20"/>
          <w:sz w:val="18"/>
        </w:rPr>
        <w:t>S.</w:t>
      </w:r>
      <w:r>
        <w:rPr>
          <w:color w:val="231F20"/>
          <w:spacing w:val="-7"/>
          <w:sz w:val="18"/>
        </w:rPr>
        <w:t> </w:t>
      </w:r>
      <w:r>
        <w:rPr>
          <w:color w:val="231F20"/>
          <w:sz w:val="18"/>
        </w:rPr>
        <w:t>(1985a).</w:t>
      </w:r>
      <w:r>
        <w:rPr>
          <w:color w:val="231F20"/>
          <w:spacing w:val="-8"/>
          <w:sz w:val="18"/>
        </w:rPr>
        <w:t> </w:t>
      </w:r>
      <w:r>
        <w:rPr>
          <w:color w:val="231F20"/>
          <w:sz w:val="18"/>
        </w:rPr>
        <w:t>Dimensions</w:t>
      </w:r>
      <w:r>
        <w:rPr>
          <w:color w:val="231F20"/>
          <w:spacing w:val="-8"/>
          <w:sz w:val="18"/>
        </w:rPr>
        <w:t> </w:t>
      </w:r>
      <w:r>
        <w:rPr>
          <w:color w:val="231F20"/>
          <w:sz w:val="18"/>
        </w:rPr>
        <w:t>of</w:t>
      </w:r>
      <w:r>
        <w:rPr>
          <w:color w:val="231F20"/>
          <w:spacing w:val="-8"/>
          <w:sz w:val="18"/>
        </w:rPr>
        <w:t> </w:t>
      </w:r>
      <w:r>
        <w:rPr>
          <w:color w:val="231F20"/>
          <w:sz w:val="18"/>
        </w:rPr>
        <w:t>cooperative</w:t>
      </w:r>
      <w:r>
        <w:rPr>
          <w:color w:val="231F20"/>
          <w:spacing w:val="-8"/>
          <w:sz w:val="18"/>
        </w:rPr>
        <w:t> </w:t>
      </w:r>
      <w:r>
        <w:rPr>
          <w:color w:val="231F20"/>
          <w:sz w:val="18"/>
        </w:rPr>
        <w:t>classroom</w:t>
      </w:r>
      <w:r>
        <w:rPr>
          <w:color w:val="231F20"/>
          <w:spacing w:val="-8"/>
          <w:sz w:val="18"/>
        </w:rPr>
        <w:t> </w:t>
      </w:r>
      <w:r>
        <w:rPr>
          <w:color w:val="231F20"/>
          <w:sz w:val="18"/>
        </w:rPr>
        <w:t>structures,</w:t>
      </w:r>
      <w:r>
        <w:rPr>
          <w:color w:val="231F20"/>
          <w:spacing w:val="-13"/>
          <w:sz w:val="18"/>
        </w:rPr>
        <w:t> </w:t>
      </w:r>
      <w:r>
        <w:rPr>
          <w:color w:val="231F20"/>
          <w:sz w:val="18"/>
        </w:rPr>
        <w:t>A:</w:t>
      </w:r>
      <w:r>
        <w:rPr>
          <w:color w:val="231F20"/>
          <w:spacing w:val="-8"/>
          <w:sz w:val="18"/>
        </w:rPr>
        <w:t> </w:t>
      </w:r>
      <w:r>
        <w:rPr>
          <w:color w:val="231F20"/>
          <w:sz w:val="18"/>
        </w:rPr>
        <w:t>R.</w:t>
      </w:r>
      <w:r>
        <w:rPr>
          <w:color w:val="231F20"/>
          <w:spacing w:val="-8"/>
          <w:sz w:val="18"/>
        </w:rPr>
        <w:t> </w:t>
      </w:r>
      <w:r>
        <w:rPr>
          <w:color w:val="231F20"/>
          <w:sz w:val="18"/>
        </w:rPr>
        <w:t>SLAVIN</w:t>
      </w:r>
      <w:r>
        <w:rPr>
          <w:color w:val="231F20"/>
          <w:spacing w:val="-8"/>
          <w:sz w:val="18"/>
        </w:rPr>
        <w:t> </w:t>
      </w:r>
      <w:r>
        <w:rPr>
          <w:color w:val="231F20"/>
          <w:sz w:val="18"/>
        </w:rPr>
        <w:t>i</w:t>
      </w:r>
      <w:r>
        <w:rPr>
          <w:color w:val="231F20"/>
          <w:spacing w:val="-8"/>
          <w:sz w:val="18"/>
        </w:rPr>
        <w:t> </w:t>
      </w:r>
      <w:r>
        <w:rPr>
          <w:color w:val="231F20"/>
          <w:sz w:val="18"/>
        </w:rPr>
        <w:t>cols. (eds), op. cit., pp. 67–96.</w:t>
      </w:r>
    </w:p>
    <w:p>
      <w:pPr>
        <w:pStyle w:val="ListParagraph"/>
        <w:numPr>
          <w:ilvl w:val="1"/>
          <w:numId w:val="329"/>
        </w:numPr>
        <w:tabs>
          <w:tab w:pos="707" w:val="left" w:leader="none"/>
        </w:tabs>
        <w:spacing w:line="202" w:lineRule="exact" w:before="0" w:after="0"/>
        <w:ind w:left="707" w:right="0" w:hanging="282"/>
        <w:jc w:val="left"/>
        <w:rPr>
          <w:sz w:val="18"/>
        </w:rPr>
      </w:pPr>
      <w:r>
        <w:rPr>
          <w:color w:val="231F20"/>
          <w:spacing w:val="-2"/>
          <w:sz w:val="18"/>
        </w:rPr>
        <w:t>Kagan</w:t>
      </w:r>
      <w:r>
        <w:rPr>
          <w:color w:val="231F20"/>
          <w:spacing w:val="-1"/>
          <w:sz w:val="18"/>
        </w:rPr>
        <w:t> </w:t>
      </w:r>
      <w:r>
        <w:rPr>
          <w:color w:val="231F20"/>
          <w:spacing w:val="-2"/>
          <w:sz w:val="18"/>
        </w:rPr>
        <w:t>S.</w:t>
      </w:r>
      <w:r>
        <w:rPr>
          <w:color w:val="231F20"/>
          <w:spacing w:val="-11"/>
          <w:sz w:val="18"/>
        </w:rPr>
        <w:t> </w:t>
      </w:r>
      <w:r>
        <w:rPr>
          <w:color w:val="231F20"/>
          <w:spacing w:val="-2"/>
          <w:sz w:val="18"/>
        </w:rPr>
        <w:t>(1985b).</w:t>
      </w:r>
      <w:r>
        <w:rPr>
          <w:color w:val="231F20"/>
          <w:spacing w:val="-11"/>
          <w:sz w:val="18"/>
        </w:rPr>
        <w:t> </w:t>
      </w:r>
      <w:r>
        <w:rPr>
          <w:color w:val="231F20"/>
          <w:spacing w:val="-2"/>
          <w:sz w:val="18"/>
        </w:rPr>
        <w:t>Leaning</w:t>
      </w:r>
      <w:r>
        <w:rPr>
          <w:color w:val="231F20"/>
          <w:spacing w:val="-10"/>
          <w:sz w:val="18"/>
        </w:rPr>
        <w:t> </w:t>
      </w:r>
      <w:r>
        <w:rPr>
          <w:color w:val="231F20"/>
          <w:spacing w:val="-2"/>
          <w:sz w:val="18"/>
        </w:rPr>
        <w:t>to</w:t>
      </w:r>
      <w:r>
        <w:rPr>
          <w:color w:val="231F20"/>
          <w:spacing w:val="-11"/>
          <w:sz w:val="18"/>
        </w:rPr>
        <w:t> </w:t>
      </w:r>
      <w:r>
        <w:rPr>
          <w:color w:val="231F20"/>
          <w:spacing w:val="-2"/>
          <w:sz w:val="18"/>
        </w:rPr>
        <w:t>cooperative,</w:t>
      </w:r>
      <w:r>
        <w:rPr>
          <w:color w:val="231F20"/>
          <w:spacing w:val="-21"/>
          <w:sz w:val="18"/>
        </w:rPr>
        <w:t> </w:t>
      </w:r>
      <w:r>
        <w:rPr>
          <w:color w:val="231F20"/>
          <w:spacing w:val="-2"/>
          <w:sz w:val="18"/>
        </w:rPr>
        <w:t>A:</w:t>
      </w:r>
      <w:r>
        <w:rPr>
          <w:color w:val="231F20"/>
          <w:spacing w:val="-11"/>
          <w:sz w:val="18"/>
        </w:rPr>
        <w:t> </w:t>
      </w:r>
      <w:r>
        <w:rPr>
          <w:color w:val="231F20"/>
          <w:spacing w:val="-2"/>
          <w:sz w:val="18"/>
        </w:rPr>
        <w:t>R.</w:t>
      </w:r>
      <w:r>
        <w:rPr>
          <w:color w:val="231F20"/>
          <w:spacing w:val="-10"/>
          <w:sz w:val="18"/>
        </w:rPr>
        <w:t> </w:t>
      </w:r>
      <w:r>
        <w:rPr>
          <w:color w:val="231F20"/>
          <w:spacing w:val="-2"/>
          <w:sz w:val="18"/>
        </w:rPr>
        <w:t>SLAVIN</w:t>
      </w:r>
      <w:r>
        <w:rPr>
          <w:color w:val="231F20"/>
          <w:spacing w:val="-11"/>
          <w:sz w:val="18"/>
        </w:rPr>
        <w:t> </w:t>
      </w:r>
      <w:r>
        <w:rPr>
          <w:color w:val="231F20"/>
          <w:spacing w:val="-2"/>
          <w:sz w:val="18"/>
        </w:rPr>
        <w:t>i</w:t>
      </w:r>
      <w:r>
        <w:rPr>
          <w:color w:val="231F20"/>
          <w:spacing w:val="-11"/>
          <w:sz w:val="18"/>
        </w:rPr>
        <w:t> </w:t>
      </w:r>
      <w:r>
        <w:rPr>
          <w:color w:val="231F20"/>
          <w:spacing w:val="-2"/>
          <w:sz w:val="18"/>
        </w:rPr>
        <w:t>cols.</w:t>
      </w:r>
      <w:r>
        <w:rPr>
          <w:color w:val="231F20"/>
          <w:spacing w:val="-11"/>
          <w:sz w:val="18"/>
        </w:rPr>
        <w:t> </w:t>
      </w:r>
      <w:r>
        <w:rPr>
          <w:color w:val="231F20"/>
          <w:spacing w:val="-2"/>
          <w:sz w:val="18"/>
        </w:rPr>
        <w:t>(eds),</w:t>
      </w:r>
      <w:r>
        <w:rPr>
          <w:color w:val="231F20"/>
          <w:spacing w:val="-10"/>
          <w:sz w:val="18"/>
        </w:rPr>
        <w:t> </w:t>
      </w:r>
      <w:r>
        <w:rPr>
          <w:color w:val="231F20"/>
          <w:spacing w:val="-2"/>
          <w:sz w:val="18"/>
        </w:rPr>
        <w:t>op.</w:t>
      </w:r>
      <w:r>
        <w:rPr>
          <w:color w:val="231F20"/>
          <w:spacing w:val="-11"/>
          <w:sz w:val="18"/>
        </w:rPr>
        <w:t> </w:t>
      </w:r>
      <w:r>
        <w:rPr>
          <w:color w:val="231F20"/>
          <w:spacing w:val="-2"/>
          <w:sz w:val="18"/>
        </w:rPr>
        <w:t>cit.,</w:t>
      </w:r>
      <w:r>
        <w:rPr>
          <w:color w:val="231F20"/>
          <w:spacing w:val="-11"/>
          <w:sz w:val="18"/>
        </w:rPr>
        <w:t> </w:t>
      </w:r>
      <w:r>
        <w:rPr>
          <w:color w:val="231F20"/>
          <w:spacing w:val="-2"/>
          <w:sz w:val="18"/>
        </w:rPr>
        <w:t>pp.</w:t>
      </w:r>
      <w:r>
        <w:rPr>
          <w:color w:val="231F20"/>
          <w:spacing w:val="-11"/>
          <w:sz w:val="18"/>
        </w:rPr>
        <w:t> </w:t>
      </w:r>
      <w:r>
        <w:rPr>
          <w:color w:val="231F20"/>
          <w:spacing w:val="-2"/>
          <w:sz w:val="18"/>
        </w:rPr>
        <w:t>365–370.</w:t>
      </w:r>
    </w:p>
    <w:p>
      <w:pPr>
        <w:pStyle w:val="ListParagraph"/>
        <w:numPr>
          <w:ilvl w:val="1"/>
          <w:numId w:val="329"/>
        </w:numPr>
        <w:tabs>
          <w:tab w:pos="708" w:val="left" w:leader="none"/>
        </w:tabs>
        <w:spacing w:line="237" w:lineRule="auto" w:before="0" w:after="0"/>
        <w:ind w:left="708" w:right="423" w:hanging="284"/>
        <w:jc w:val="both"/>
        <w:rPr>
          <w:sz w:val="18"/>
        </w:rPr>
      </w:pPr>
      <w:r>
        <w:rPr>
          <w:color w:val="231F20"/>
          <w:sz w:val="18"/>
        </w:rPr>
        <w:t>Kritz</w:t>
      </w:r>
      <w:r>
        <w:rPr>
          <w:color w:val="231F20"/>
          <w:spacing w:val="-11"/>
          <w:sz w:val="18"/>
        </w:rPr>
        <w:t> </w:t>
      </w:r>
      <w:r>
        <w:rPr>
          <w:color w:val="231F20"/>
          <w:sz w:val="18"/>
        </w:rPr>
        <w:t>M.,</w:t>
      </w:r>
      <w:r>
        <w:rPr>
          <w:color w:val="231F20"/>
          <w:spacing w:val="-11"/>
          <w:sz w:val="18"/>
        </w:rPr>
        <w:t> </w:t>
      </w:r>
      <w:r>
        <w:rPr>
          <w:color w:val="231F20"/>
          <w:sz w:val="18"/>
        </w:rPr>
        <w:t>Bachar</w:t>
      </w:r>
      <w:r>
        <w:rPr>
          <w:color w:val="231F20"/>
          <w:spacing w:val="-2"/>
          <w:sz w:val="18"/>
        </w:rPr>
        <w:t> </w:t>
      </w:r>
      <w:r>
        <w:rPr>
          <w:color w:val="231F20"/>
          <w:sz w:val="18"/>
        </w:rPr>
        <w:t>E.,</w:t>
      </w:r>
      <w:r>
        <w:rPr>
          <w:color w:val="231F20"/>
          <w:spacing w:val="-11"/>
          <w:sz w:val="18"/>
        </w:rPr>
        <w:t> </w:t>
      </w:r>
      <w:r>
        <w:rPr>
          <w:color w:val="231F20"/>
          <w:sz w:val="18"/>
        </w:rPr>
        <w:t>&amp;</w:t>
      </w:r>
      <w:r>
        <w:rPr>
          <w:color w:val="231F20"/>
          <w:spacing w:val="-11"/>
          <w:sz w:val="18"/>
        </w:rPr>
        <w:t> </w:t>
      </w:r>
      <w:r>
        <w:rPr>
          <w:color w:val="231F20"/>
          <w:sz w:val="18"/>
        </w:rPr>
        <w:t>Shonfeld</w:t>
      </w:r>
      <w:r>
        <w:rPr>
          <w:color w:val="231F20"/>
          <w:spacing w:val="-2"/>
          <w:sz w:val="18"/>
        </w:rPr>
        <w:t> </w:t>
      </w:r>
      <w:r>
        <w:rPr>
          <w:color w:val="231F20"/>
          <w:sz w:val="18"/>
        </w:rPr>
        <w:t>M.</w:t>
      </w:r>
      <w:r>
        <w:rPr>
          <w:color w:val="231F20"/>
          <w:spacing w:val="-11"/>
          <w:sz w:val="18"/>
        </w:rPr>
        <w:t> </w:t>
      </w:r>
      <w:r>
        <w:rPr>
          <w:color w:val="231F20"/>
          <w:sz w:val="18"/>
        </w:rPr>
        <w:t>(2018).</w:t>
      </w:r>
      <w:r>
        <w:rPr>
          <w:color w:val="231F20"/>
          <w:spacing w:val="-12"/>
          <w:sz w:val="18"/>
        </w:rPr>
        <w:t> </w:t>
      </w:r>
      <w:r>
        <w:rPr>
          <w:color w:val="231F20"/>
          <w:sz w:val="18"/>
        </w:rPr>
        <w:t>An</w:t>
      </w:r>
      <w:r>
        <w:rPr>
          <w:color w:val="231F20"/>
          <w:spacing w:val="-10"/>
          <w:sz w:val="18"/>
        </w:rPr>
        <w:t> </w:t>
      </w:r>
      <w:r>
        <w:rPr>
          <w:color w:val="231F20"/>
          <w:sz w:val="18"/>
        </w:rPr>
        <w:t>Online</w:t>
      </w:r>
      <w:r>
        <w:rPr>
          <w:color w:val="231F20"/>
          <w:spacing w:val="-11"/>
          <w:sz w:val="18"/>
        </w:rPr>
        <w:t> </w:t>
      </w:r>
      <w:r>
        <w:rPr>
          <w:color w:val="231F20"/>
          <w:sz w:val="18"/>
        </w:rPr>
        <w:t>Collaborative</w:t>
      </w:r>
      <w:r>
        <w:rPr>
          <w:color w:val="231F20"/>
          <w:spacing w:val="-11"/>
          <w:sz w:val="18"/>
        </w:rPr>
        <w:t> </w:t>
      </w:r>
      <w:r>
        <w:rPr>
          <w:color w:val="231F20"/>
          <w:sz w:val="18"/>
        </w:rPr>
        <w:t>Learning</w:t>
      </w:r>
      <w:r>
        <w:rPr>
          <w:color w:val="231F20"/>
          <w:spacing w:val="-11"/>
          <w:sz w:val="18"/>
        </w:rPr>
        <w:t> </w:t>
      </w:r>
      <w:r>
        <w:rPr>
          <w:color w:val="231F20"/>
          <w:sz w:val="18"/>
        </w:rPr>
        <w:t>Model</w:t>
      </w:r>
      <w:r>
        <w:rPr>
          <w:color w:val="231F20"/>
          <w:spacing w:val="-11"/>
          <w:sz w:val="18"/>
        </w:rPr>
        <w:t> </w:t>
      </w:r>
      <w:r>
        <w:rPr>
          <w:color w:val="231F20"/>
          <w:sz w:val="18"/>
        </w:rPr>
        <w:t>in</w:t>
      </w:r>
      <w:r>
        <w:rPr>
          <w:color w:val="231F20"/>
          <w:spacing w:val="-11"/>
          <w:sz w:val="18"/>
        </w:rPr>
        <w:t> </w:t>
      </w:r>
      <w:r>
        <w:rPr>
          <w:color w:val="231F20"/>
          <w:sz w:val="18"/>
        </w:rPr>
        <w:t>a Multicultural</w:t>
      </w:r>
      <w:r>
        <w:rPr>
          <w:color w:val="231F20"/>
          <w:spacing w:val="-1"/>
          <w:sz w:val="18"/>
        </w:rPr>
        <w:t> </w:t>
      </w:r>
      <w:r>
        <w:rPr>
          <w:color w:val="231F20"/>
          <w:sz w:val="18"/>
        </w:rPr>
        <w:t>Environment.</w:t>
      </w:r>
      <w:r>
        <w:rPr>
          <w:color w:val="231F20"/>
          <w:spacing w:val="-1"/>
          <w:sz w:val="18"/>
        </w:rPr>
        <w:t> </w:t>
      </w:r>
      <w:r>
        <w:rPr>
          <w:color w:val="231F20"/>
          <w:sz w:val="18"/>
        </w:rPr>
        <w:t>In</w:t>
      </w:r>
      <w:r>
        <w:rPr>
          <w:color w:val="231F20"/>
          <w:spacing w:val="-1"/>
          <w:sz w:val="18"/>
        </w:rPr>
        <w:t> </w:t>
      </w:r>
      <w:r>
        <w:rPr>
          <w:color w:val="231F20"/>
          <w:sz w:val="18"/>
        </w:rPr>
        <w:t>M.</w:t>
      </w:r>
      <w:r>
        <w:rPr>
          <w:color w:val="231F20"/>
          <w:spacing w:val="-1"/>
          <w:sz w:val="18"/>
        </w:rPr>
        <w:t> </w:t>
      </w:r>
      <w:r>
        <w:rPr>
          <w:color w:val="231F20"/>
          <w:sz w:val="18"/>
        </w:rPr>
        <w:t>Shonfeld,</w:t>
      </w:r>
      <w:r>
        <w:rPr>
          <w:color w:val="231F20"/>
          <w:spacing w:val="-1"/>
          <w:sz w:val="18"/>
        </w:rPr>
        <w:t> </w:t>
      </w:r>
      <w:r>
        <w:rPr>
          <w:color w:val="231F20"/>
          <w:sz w:val="18"/>
        </w:rPr>
        <w:t>&amp;</w:t>
      </w:r>
      <w:r>
        <w:rPr>
          <w:color w:val="231F20"/>
          <w:spacing w:val="-1"/>
          <w:sz w:val="18"/>
        </w:rPr>
        <w:t> </w:t>
      </w:r>
      <w:r>
        <w:rPr>
          <w:color w:val="231F20"/>
          <w:sz w:val="18"/>
        </w:rPr>
        <w:t>D.</w:t>
      </w:r>
      <w:r>
        <w:rPr>
          <w:color w:val="231F20"/>
          <w:spacing w:val="-1"/>
          <w:sz w:val="18"/>
        </w:rPr>
        <w:t> </w:t>
      </w:r>
      <w:r>
        <w:rPr>
          <w:color w:val="231F20"/>
          <w:sz w:val="18"/>
        </w:rPr>
        <w:t>Gibson</w:t>
      </w:r>
      <w:r>
        <w:rPr>
          <w:color w:val="231F20"/>
          <w:spacing w:val="-1"/>
          <w:sz w:val="18"/>
        </w:rPr>
        <w:t> </w:t>
      </w:r>
      <w:r>
        <w:rPr>
          <w:color w:val="231F20"/>
          <w:sz w:val="18"/>
        </w:rPr>
        <w:t>(Eds.),</w:t>
      </w:r>
      <w:r>
        <w:rPr>
          <w:color w:val="231F20"/>
          <w:spacing w:val="-1"/>
          <w:sz w:val="18"/>
        </w:rPr>
        <w:t> </w:t>
      </w:r>
      <w:r>
        <w:rPr>
          <w:color w:val="231F20"/>
          <w:sz w:val="18"/>
        </w:rPr>
        <w:t>Collaborative</w:t>
      </w:r>
      <w:r>
        <w:rPr>
          <w:color w:val="231F20"/>
          <w:spacing w:val="-1"/>
          <w:sz w:val="18"/>
        </w:rPr>
        <w:t> </w:t>
      </w:r>
      <w:r>
        <w:rPr>
          <w:color w:val="231F20"/>
          <w:sz w:val="18"/>
        </w:rPr>
        <w:t>Learning in a Global World (pp. 111). Charlotte, NC: Information</w:t>
      </w:r>
      <w:r>
        <w:rPr>
          <w:color w:val="231F20"/>
          <w:spacing w:val="-1"/>
          <w:sz w:val="18"/>
        </w:rPr>
        <w:t> </w:t>
      </w:r>
      <w:r>
        <w:rPr>
          <w:color w:val="231F20"/>
          <w:sz w:val="18"/>
        </w:rPr>
        <w:t>Age Publishing.</w:t>
      </w:r>
    </w:p>
    <w:p>
      <w:pPr>
        <w:pStyle w:val="ListParagraph"/>
        <w:numPr>
          <w:ilvl w:val="1"/>
          <w:numId w:val="329"/>
        </w:numPr>
        <w:tabs>
          <w:tab w:pos="708" w:val="left" w:leader="none"/>
        </w:tabs>
        <w:spacing w:line="237" w:lineRule="auto" w:before="0" w:after="0"/>
        <w:ind w:left="708" w:right="423" w:hanging="284"/>
        <w:jc w:val="both"/>
        <w:rPr>
          <w:sz w:val="18"/>
        </w:rPr>
      </w:pPr>
      <w:r>
        <w:rPr>
          <w:color w:val="231F20"/>
          <w:sz w:val="18"/>
        </w:rPr>
        <w:t>Monereo</w:t>
      </w:r>
      <w:r>
        <w:rPr>
          <w:color w:val="231F20"/>
          <w:spacing w:val="-1"/>
          <w:sz w:val="18"/>
        </w:rPr>
        <w:t> </w:t>
      </w:r>
      <w:r>
        <w:rPr>
          <w:color w:val="231F20"/>
          <w:sz w:val="18"/>
        </w:rPr>
        <w:t>C., Duran</w:t>
      </w:r>
      <w:r>
        <w:rPr>
          <w:color w:val="231F20"/>
          <w:spacing w:val="-1"/>
          <w:sz w:val="18"/>
        </w:rPr>
        <w:t> </w:t>
      </w:r>
      <w:r>
        <w:rPr>
          <w:color w:val="231F20"/>
          <w:sz w:val="18"/>
        </w:rPr>
        <w:t>D. (2001). Entramats. Mètodes d’aprenentatge cooperatiu i col·laboratiu. Barcelona: Edebé.</w:t>
      </w:r>
    </w:p>
    <w:p>
      <w:pPr>
        <w:pStyle w:val="ListParagraph"/>
        <w:numPr>
          <w:ilvl w:val="1"/>
          <w:numId w:val="329"/>
        </w:numPr>
        <w:tabs>
          <w:tab w:pos="708" w:val="left" w:leader="none"/>
        </w:tabs>
        <w:spacing w:line="237" w:lineRule="auto" w:before="0" w:after="0"/>
        <w:ind w:left="708" w:right="422" w:hanging="284"/>
        <w:jc w:val="both"/>
        <w:rPr>
          <w:sz w:val="18"/>
        </w:rPr>
      </w:pPr>
      <w:r>
        <w:rPr>
          <w:color w:val="231F20"/>
          <w:sz w:val="18"/>
        </w:rPr>
        <w:t>Ovejero</w:t>
      </w:r>
      <w:r>
        <w:rPr>
          <w:color w:val="231F20"/>
          <w:spacing w:val="-2"/>
          <w:sz w:val="18"/>
        </w:rPr>
        <w:t> </w:t>
      </w:r>
      <w:r>
        <w:rPr>
          <w:color w:val="231F20"/>
          <w:sz w:val="18"/>
        </w:rPr>
        <w:t>A. (1990): El aprendizaje cooperativo. Una alternativa eficaz a la </w:t>
      </w:r>
      <w:r>
        <w:rPr>
          <w:color w:val="231F20"/>
          <w:sz w:val="18"/>
        </w:rPr>
        <w:t>enseñanza tradicional. Barcelona: PPU.</w:t>
      </w:r>
    </w:p>
    <w:p>
      <w:pPr>
        <w:pStyle w:val="ListParagraph"/>
        <w:numPr>
          <w:ilvl w:val="1"/>
          <w:numId w:val="329"/>
        </w:numPr>
        <w:tabs>
          <w:tab w:pos="708" w:val="left" w:leader="none"/>
        </w:tabs>
        <w:spacing w:line="237" w:lineRule="auto" w:before="0" w:after="0"/>
        <w:ind w:left="708" w:right="422" w:hanging="284"/>
        <w:jc w:val="both"/>
        <w:rPr>
          <w:sz w:val="18"/>
        </w:rPr>
      </w:pPr>
      <w:r>
        <w:rPr>
          <w:color w:val="231F20"/>
          <w:sz w:val="18"/>
        </w:rPr>
        <w:t>Palincasar</w:t>
      </w:r>
      <w:r>
        <w:rPr>
          <w:color w:val="231F20"/>
          <w:spacing w:val="-2"/>
          <w:sz w:val="18"/>
        </w:rPr>
        <w:t> </w:t>
      </w:r>
      <w:r>
        <w:rPr>
          <w:color w:val="231F20"/>
          <w:sz w:val="18"/>
        </w:rPr>
        <w:t>A., Herrenhohl</w:t>
      </w:r>
      <w:r>
        <w:rPr>
          <w:color w:val="231F20"/>
          <w:spacing w:val="-2"/>
          <w:sz w:val="18"/>
        </w:rPr>
        <w:t> </w:t>
      </w:r>
      <w:r>
        <w:rPr>
          <w:color w:val="231F20"/>
          <w:sz w:val="18"/>
        </w:rPr>
        <w:t>R. (1999). Designing Collaborative Contexts: Lessons from three research programs. A: O’DONELL, A; KING, A. Cognitive Prespectives on Peer Learning. Mahwah, NJ: Lawrance Earlbaum Associates, Inc.</w:t>
      </w:r>
    </w:p>
    <w:p>
      <w:pPr>
        <w:pStyle w:val="ListParagraph"/>
        <w:numPr>
          <w:ilvl w:val="1"/>
          <w:numId w:val="329"/>
        </w:numPr>
        <w:tabs>
          <w:tab w:pos="708" w:val="left" w:leader="none"/>
        </w:tabs>
        <w:spacing w:line="237" w:lineRule="auto" w:before="0" w:after="0"/>
        <w:ind w:left="708" w:right="423" w:hanging="284"/>
        <w:jc w:val="both"/>
        <w:rPr>
          <w:sz w:val="18"/>
        </w:rPr>
      </w:pPr>
      <w:r>
        <w:rPr>
          <w:color w:val="231F20"/>
          <w:sz w:val="18"/>
        </w:rPr>
        <w:t>Palincsar</w:t>
      </w:r>
      <w:r>
        <w:rPr>
          <w:color w:val="231F20"/>
          <w:spacing w:val="-3"/>
          <w:sz w:val="18"/>
        </w:rPr>
        <w:t> </w:t>
      </w:r>
      <w:r>
        <w:rPr>
          <w:color w:val="231F20"/>
          <w:sz w:val="18"/>
        </w:rPr>
        <w:t>A., Brown</w:t>
      </w:r>
      <w:r>
        <w:rPr>
          <w:color w:val="231F20"/>
          <w:spacing w:val="-3"/>
          <w:sz w:val="18"/>
        </w:rPr>
        <w:t> </w:t>
      </w:r>
      <w:r>
        <w:rPr>
          <w:color w:val="231F20"/>
          <w:sz w:val="18"/>
        </w:rPr>
        <w:t>A. (1984). Reciprocal Teaching of comprehension-fodtering </w:t>
      </w:r>
      <w:r>
        <w:rPr>
          <w:color w:val="231F20"/>
          <w:sz w:val="18"/>
        </w:rPr>
        <w:t>and metacognitive strategies. Cognition and Instruction, 1; pp. 117–175.</w:t>
      </w:r>
    </w:p>
    <w:p>
      <w:pPr>
        <w:pStyle w:val="ListParagraph"/>
        <w:numPr>
          <w:ilvl w:val="1"/>
          <w:numId w:val="329"/>
        </w:numPr>
        <w:tabs>
          <w:tab w:pos="708" w:val="left" w:leader="none"/>
        </w:tabs>
        <w:spacing w:line="240" w:lineRule="auto" w:before="0" w:after="0"/>
        <w:ind w:left="708" w:right="422" w:hanging="284"/>
        <w:jc w:val="both"/>
        <w:rPr>
          <w:sz w:val="18"/>
        </w:rPr>
      </w:pPr>
      <w:r>
        <w:rPr>
          <w:color w:val="231F20"/>
          <w:sz w:val="18"/>
        </w:rPr>
        <w:t>Paluck</w:t>
      </w:r>
      <w:r>
        <w:rPr>
          <w:color w:val="231F20"/>
          <w:spacing w:val="-3"/>
          <w:sz w:val="18"/>
        </w:rPr>
        <w:t> </w:t>
      </w:r>
      <w:r>
        <w:rPr>
          <w:color w:val="231F20"/>
          <w:sz w:val="18"/>
        </w:rPr>
        <w:t>E.L., Green</w:t>
      </w:r>
      <w:r>
        <w:rPr>
          <w:color w:val="231F20"/>
          <w:spacing w:val="-3"/>
          <w:sz w:val="18"/>
        </w:rPr>
        <w:t> </w:t>
      </w:r>
      <w:r>
        <w:rPr>
          <w:color w:val="231F20"/>
          <w:sz w:val="18"/>
        </w:rPr>
        <w:t>D.P. Prejudice reduction: what works? A review and assessment of research and practice. Annu Rev Psychol. 2009; 60: 339–67. DOI:</w:t>
      </w:r>
      <w:r>
        <w:rPr>
          <w:color w:val="231F20"/>
          <w:spacing w:val="-3"/>
          <w:sz w:val="18"/>
        </w:rPr>
        <w:t> </w:t>
      </w:r>
      <w:r>
        <w:rPr>
          <w:color w:val="231F20"/>
          <w:sz w:val="18"/>
        </w:rPr>
        <w:t>10.1146/annurev. psych. 60.110707.163607. PMID: 18851685.</w:t>
      </w:r>
    </w:p>
    <w:p>
      <w:pPr>
        <w:pStyle w:val="ListParagraph"/>
        <w:spacing w:after="0" w:line="240" w:lineRule="auto"/>
        <w:jc w:val="both"/>
        <w:rPr>
          <w:sz w:val="18"/>
        </w:rPr>
        <w:sectPr>
          <w:pgSz w:w="8400" w:h="11910"/>
          <w:pgMar w:header="0" w:footer="530" w:top="400" w:bottom="740" w:left="425" w:right="425"/>
        </w:sectPr>
      </w:pPr>
    </w:p>
    <w:p>
      <w:pPr>
        <w:spacing w:before="80"/>
        <w:ind w:left="141" w:right="139" w:firstLine="0"/>
        <w:jc w:val="right"/>
        <w:rPr>
          <w:rFonts w:ascii="Georgia" w:hAnsi="Georgia"/>
          <w:sz w:val="18"/>
        </w:rPr>
      </w:pPr>
      <w:r>
        <w:rPr>
          <w:rFonts w:ascii="Georgia" w:hAnsi="Georgia"/>
          <w:color w:val="231F20"/>
          <w:spacing w:val="-2"/>
          <w:sz w:val="18"/>
        </w:rPr>
        <w:t>Раздел</w:t>
      </w:r>
      <w:r>
        <w:rPr>
          <w:rFonts w:ascii="Georgia" w:hAnsi="Georgia"/>
          <w:color w:val="231F20"/>
          <w:spacing w:val="-5"/>
          <w:sz w:val="18"/>
        </w:rPr>
        <w:t> 4.</w:t>
      </w:r>
    </w:p>
    <w:p>
      <w:pPr>
        <w:pStyle w:val="ListParagraph"/>
        <w:numPr>
          <w:ilvl w:val="1"/>
          <w:numId w:val="329"/>
        </w:numPr>
        <w:tabs>
          <w:tab w:pos="708" w:val="left" w:leader="none"/>
        </w:tabs>
        <w:spacing w:line="240" w:lineRule="auto" w:before="117" w:after="0"/>
        <w:ind w:left="708" w:right="423" w:hanging="284"/>
        <w:jc w:val="both"/>
        <w:rPr>
          <w:sz w:val="18"/>
        </w:rPr>
      </w:pPr>
      <w:r>
        <w:rPr>
          <w:color w:val="231F20"/>
          <w:sz w:val="18"/>
        </w:rPr>
        <w:t>Pettigrew</w:t>
      </w:r>
      <w:r>
        <w:rPr>
          <w:color w:val="231F20"/>
          <w:spacing w:val="-5"/>
          <w:sz w:val="18"/>
        </w:rPr>
        <w:t> </w:t>
      </w:r>
      <w:r>
        <w:rPr>
          <w:color w:val="231F20"/>
          <w:sz w:val="18"/>
        </w:rPr>
        <w:t>T. (1998). Intergroup Contact Theory. Annual review of psychology. 49. Pp. 65–85. DOI: 10.1146/annurev. psych. 49.1.65.</w:t>
      </w:r>
    </w:p>
    <w:p>
      <w:pPr>
        <w:pStyle w:val="ListParagraph"/>
        <w:numPr>
          <w:ilvl w:val="1"/>
          <w:numId w:val="329"/>
        </w:numPr>
        <w:tabs>
          <w:tab w:pos="708" w:val="left" w:leader="none"/>
        </w:tabs>
        <w:spacing w:line="240" w:lineRule="auto" w:before="0" w:after="0"/>
        <w:ind w:left="708" w:right="423" w:hanging="284"/>
        <w:jc w:val="both"/>
        <w:rPr>
          <w:sz w:val="18"/>
        </w:rPr>
      </w:pPr>
      <w:r>
        <w:rPr>
          <w:color w:val="231F20"/>
          <w:sz w:val="18"/>
        </w:rPr>
        <w:t>Qin</w:t>
      </w:r>
      <w:r>
        <w:rPr>
          <w:color w:val="231F20"/>
          <w:spacing w:val="-3"/>
          <w:sz w:val="18"/>
        </w:rPr>
        <w:t> </w:t>
      </w:r>
      <w:r>
        <w:rPr>
          <w:color w:val="231F20"/>
          <w:sz w:val="18"/>
        </w:rPr>
        <w:t>Z., Johnson</w:t>
      </w:r>
      <w:r>
        <w:rPr>
          <w:color w:val="231F20"/>
          <w:spacing w:val="-3"/>
          <w:sz w:val="18"/>
        </w:rPr>
        <w:t> </w:t>
      </w:r>
      <w:r>
        <w:rPr>
          <w:color w:val="231F20"/>
          <w:sz w:val="18"/>
        </w:rPr>
        <w:t>D. and Johnson</w:t>
      </w:r>
      <w:r>
        <w:rPr>
          <w:color w:val="231F20"/>
          <w:spacing w:val="-3"/>
          <w:sz w:val="18"/>
        </w:rPr>
        <w:t> </w:t>
      </w:r>
      <w:r>
        <w:rPr>
          <w:color w:val="231F20"/>
          <w:sz w:val="18"/>
        </w:rPr>
        <w:t>R. (1995) Cooperative versus Competitive Efforts and Problem Solving. Review of Educational Research, 65, pp. 129–143.</w:t>
      </w:r>
    </w:p>
    <w:p>
      <w:pPr>
        <w:pStyle w:val="ListParagraph"/>
        <w:numPr>
          <w:ilvl w:val="1"/>
          <w:numId w:val="329"/>
        </w:numPr>
        <w:tabs>
          <w:tab w:pos="708" w:val="left" w:leader="none"/>
        </w:tabs>
        <w:spacing w:line="240" w:lineRule="auto" w:before="0" w:after="0"/>
        <w:ind w:left="708" w:right="423" w:hanging="284"/>
        <w:jc w:val="both"/>
        <w:rPr>
          <w:sz w:val="18"/>
        </w:rPr>
      </w:pPr>
      <w:r>
        <w:rPr>
          <w:color w:val="231F20"/>
          <w:spacing w:val="-2"/>
          <w:sz w:val="18"/>
        </w:rPr>
        <w:t>Resta</w:t>
      </w:r>
      <w:r>
        <w:rPr>
          <w:color w:val="231F20"/>
          <w:spacing w:val="-7"/>
          <w:sz w:val="18"/>
        </w:rPr>
        <w:t> </w:t>
      </w:r>
      <w:r>
        <w:rPr>
          <w:color w:val="231F20"/>
          <w:spacing w:val="-2"/>
          <w:sz w:val="18"/>
        </w:rPr>
        <w:t>P.,</w:t>
      </w:r>
      <w:r>
        <w:rPr>
          <w:color w:val="231F20"/>
          <w:spacing w:val="-6"/>
          <w:sz w:val="18"/>
        </w:rPr>
        <w:t> </w:t>
      </w:r>
      <w:r>
        <w:rPr>
          <w:color w:val="231F20"/>
          <w:spacing w:val="-2"/>
          <w:sz w:val="18"/>
        </w:rPr>
        <w:t>&amp;</w:t>
      </w:r>
      <w:r>
        <w:rPr>
          <w:color w:val="231F20"/>
          <w:spacing w:val="-6"/>
          <w:sz w:val="18"/>
        </w:rPr>
        <w:t> </w:t>
      </w:r>
      <w:r>
        <w:rPr>
          <w:color w:val="231F20"/>
          <w:spacing w:val="-2"/>
          <w:sz w:val="18"/>
        </w:rPr>
        <w:t>Shonfeld</w:t>
      </w:r>
      <w:r>
        <w:rPr>
          <w:color w:val="231F20"/>
          <w:spacing w:val="10"/>
          <w:sz w:val="18"/>
        </w:rPr>
        <w:t> </w:t>
      </w:r>
      <w:r>
        <w:rPr>
          <w:color w:val="231F20"/>
          <w:spacing w:val="-2"/>
          <w:sz w:val="18"/>
        </w:rPr>
        <w:t>M.</w:t>
      </w:r>
      <w:r>
        <w:rPr>
          <w:color w:val="231F20"/>
          <w:spacing w:val="-6"/>
          <w:sz w:val="18"/>
        </w:rPr>
        <w:t> </w:t>
      </w:r>
      <w:r>
        <w:rPr>
          <w:color w:val="231F20"/>
          <w:spacing w:val="-2"/>
          <w:sz w:val="18"/>
        </w:rPr>
        <w:t>(2013).</w:t>
      </w:r>
      <w:r>
        <w:rPr>
          <w:color w:val="231F20"/>
          <w:spacing w:val="-10"/>
          <w:sz w:val="18"/>
        </w:rPr>
        <w:t> </w:t>
      </w:r>
      <w:r>
        <w:rPr>
          <w:color w:val="231F20"/>
          <w:spacing w:val="-2"/>
          <w:sz w:val="18"/>
        </w:rPr>
        <w:t>A</w:t>
      </w:r>
      <w:r>
        <w:rPr>
          <w:color w:val="231F20"/>
          <w:spacing w:val="-9"/>
          <w:sz w:val="18"/>
        </w:rPr>
        <w:t> </w:t>
      </w:r>
      <w:r>
        <w:rPr>
          <w:color w:val="231F20"/>
          <w:spacing w:val="-2"/>
          <w:sz w:val="18"/>
        </w:rPr>
        <w:t>study</w:t>
      </w:r>
      <w:r>
        <w:rPr>
          <w:color w:val="231F20"/>
          <w:spacing w:val="-6"/>
          <w:sz w:val="18"/>
        </w:rPr>
        <w:t> </w:t>
      </w:r>
      <w:r>
        <w:rPr>
          <w:color w:val="231F20"/>
          <w:spacing w:val="-2"/>
          <w:sz w:val="18"/>
        </w:rPr>
        <w:t>of</w:t>
      </w:r>
      <w:r>
        <w:rPr>
          <w:color w:val="231F20"/>
          <w:spacing w:val="-6"/>
          <w:sz w:val="18"/>
        </w:rPr>
        <w:t> </w:t>
      </w:r>
      <w:r>
        <w:rPr>
          <w:color w:val="231F20"/>
          <w:spacing w:val="-2"/>
          <w:sz w:val="18"/>
        </w:rPr>
        <w:t>trans-national</w:t>
      </w:r>
      <w:r>
        <w:rPr>
          <w:color w:val="231F20"/>
          <w:spacing w:val="-6"/>
          <w:sz w:val="18"/>
        </w:rPr>
        <w:t> </w:t>
      </w:r>
      <w:r>
        <w:rPr>
          <w:color w:val="231F20"/>
          <w:spacing w:val="-2"/>
          <w:sz w:val="18"/>
        </w:rPr>
        <w:t>learning</w:t>
      </w:r>
      <w:r>
        <w:rPr>
          <w:color w:val="231F20"/>
          <w:spacing w:val="-6"/>
          <w:sz w:val="18"/>
        </w:rPr>
        <w:t> </w:t>
      </w:r>
      <w:r>
        <w:rPr>
          <w:color w:val="231F20"/>
          <w:spacing w:val="-2"/>
          <w:sz w:val="18"/>
        </w:rPr>
        <w:t>teams</w:t>
      </w:r>
      <w:r>
        <w:rPr>
          <w:color w:val="231F20"/>
          <w:spacing w:val="-6"/>
          <w:sz w:val="18"/>
        </w:rPr>
        <w:t> </w:t>
      </w:r>
      <w:r>
        <w:rPr>
          <w:color w:val="231F20"/>
          <w:spacing w:val="-2"/>
          <w:sz w:val="18"/>
        </w:rPr>
        <w:t>in</w:t>
      </w:r>
      <w:r>
        <w:rPr>
          <w:color w:val="231F20"/>
          <w:spacing w:val="-6"/>
          <w:sz w:val="18"/>
        </w:rPr>
        <w:t> </w:t>
      </w:r>
      <w:r>
        <w:rPr>
          <w:color w:val="231F20"/>
          <w:spacing w:val="-2"/>
          <w:sz w:val="18"/>
        </w:rPr>
        <w:t>a</w:t>
      </w:r>
      <w:r>
        <w:rPr>
          <w:color w:val="231F20"/>
          <w:spacing w:val="-6"/>
          <w:sz w:val="18"/>
        </w:rPr>
        <w:t> </w:t>
      </w:r>
      <w:r>
        <w:rPr>
          <w:color w:val="231F20"/>
          <w:spacing w:val="-2"/>
          <w:sz w:val="18"/>
        </w:rPr>
        <w:t>virtual</w:t>
      </w:r>
      <w:r>
        <w:rPr>
          <w:color w:val="231F20"/>
          <w:spacing w:val="-6"/>
          <w:sz w:val="18"/>
        </w:rPr>
        <w:t> </w:t>
      </w:r>
      <w:r>
        <w:rPr>
          <w:color w:val="231F20"/>
          <w:spacing w:val="-2"/>
          <w:sz w:val="18"/>
        </w:rPr>
        <w:t>world. </w:t>
      </w:r>
      <w:r>
        <w:rPr>
          <w:color w:val="231F20"/>
          <w:sz w:val="18"/>
        </w:rPr>
        <w:t>In</w:t>
      </w:r>
      <w:r>
        <w:rPr>
          <w:color w:val="231F20"/>
          <w:spacing w:val="-1"/>
          <w:sz w:val="18"/>
        </w:rPr>
        <w:t> </w:t>
      </w:r>
      <w:r>
        <w:rPr>
          <w:color w:val="231F20"/>
          <w:sz w:val="18"/>
        </w:rPr>
        <w:t>R.</w:t>
      </w:r>
      <w:r>
        <w:rPr>
          <w:color w:val="231F20"/>
          <w:spacing w:val="-1"/>
          <w:sz w:val="18"/>
        </w:rPr>
        <w:t> </w:t>
      </w:r>
      <w:r>
        <w:rPr>
          <w:color w:val="231F20"/>
          <w:sz w:val="18"/>
        </w:rPr>
        <w:t>McBride</w:t>
      </w:r>
      <w:r>
        <w:rPr>
          <w:color w:val="231F20"/>
          <w:spacing w:val="-1"/>
          <w:sz w:val="18"/>
        </w:rPr>
        <w:t> </w:t>
      </w:r>
      <w:r>
        <w:rPr>
          <w:color w:val="231F20"/>
          <w:sz w:val="18"/>
        </w:rPr>
        <w:t>&amp;</w:t>
      </w:r>
      <w:r>
        <w:rPr>
          <w:color w:val="231F20"/>
          <w:spacing w:val="-1"/>
          <w:sz w:val="18"/>
        </w:rPr>
        <w:t> </w:t>
      </w:r>
      <w:r>
        <w:rPr>
          <w:color w:val="231F20"/>
          <w:sz w:val="18"/>
        </w:rPr>
        <w:t>M.</w:t>
      </w:r>
      <w:r>
        <w:rPr>
          <w:color w:val="231F20"/>
          <w:spacing w:val="-1"/>
          <w:sz w:val="18"/>
        </w:rPr>
        <w:t> </w:t>
      </w:r>
      <w:r>
        <w:rPr>
          <w:color w:val="231F20"/>
          <w:sz w:val="18"/>
        </w:rPr>
        <w:t>Searson</w:t>
      </w:r>
      <w:r>
        <w:rPr>
          <w:color w:val="231F20"/>
          <w:spacing w:val="-1"/>
          <w:sz w:val="18"/>
        </w:rPr>
        <w:t> </w:t>
      </w:r>
      <w:r>
        <w:rPr>
          <w:color w:val="231F20"/>
          <w:sz w:val="18"/>
        </w:rPr>
        <w:t>(Eds.),</w:t>
      </w:r>
      <w:r>
        <w:rPr>
          <w:color w:val="231F20"/>
          <w:spacing w:val="-1"/>
          <w:sz w:val="18"/>
        </w:rPr>
        <w:t> </w:t>
      </w:r>
      <w:r>
        <w:rPr>
          <w:color w:val="231F20"/>
          <w:sz w:val="18"/>
        </w:rPr>
        <w:t>Proceedings</w:t>
      </w:r>
      <w:r>
        <w:rPr>
          <w:color w:val="231F20"/>
          <w:spacing w:val="-1"/>
          <w:sz w:val="18"/>
        </w:rPr>
        <w:t> </w:t>
      </w:r>
      <w:r>
        <w:rPr>
          <w:color w:val="231F20"/>
          <w:sz w:val="18"/>
        </w:rPr>
        <w:t>of</w:t>
      </w:r>
      <w:r>
        <w:rPr>
          <w:color w:val="231F20"/>
          <w:spacing w:val="-1"/>
          <w:sz w:val="18"/>
        </w:rPr>
        <w:t> </w:t>
      </w:r>
      <w:r>
        <w:rPr>
          <w:color w:val="231F20"/>
          <w:sz w:val="18"/>
        </w:rPr>
        <w:t>Society</w:t>
      </w:r>
      <w:r>
        <w:rPr>
          <w:color w:val="231F20"/>
          <w:spacing w:val="-1"/>
          <w:sz w:val="18"/>
        </w:rPr>
        <w:t> </w:t>
      </w:r>
      <w:r>
        <w:rPr>
          <w:color w:val="231F20"/>
          <w:sz w:val="18"/>
        </w:rPr>
        <w:t>for</w:t>
      </w:r>
      <w:r>
        <w:rPr>
          <w:color w:val="231F20"/>
          <w:spacing w:val="-1"/>
          <w:sz w:val="18"/>
        </w:rPr>
        <w:t> </w:t>
      </w:r>
      <w:r>
        <w:rPr>
          <w:color w:val="231F20"/>
          <w:sz w:val="18"/>
        </w:rPr>
        <w:t>Information</w:t>
      </w:r>
      <w:r>
        <w:rPr>
          <w:color w:val="231F20"/>
          <w:spacing w:val="-4"/>
          <w:sz w:val="18"/>
        </w:rPr>
        <w:t> </w:t>
      </w:r>
      <w:r>
        <w:rPr>
          <w:color w:val="231F20"/>
          <w:sz w:val="18"/>
        </w:rPr>
        <w:t>Technology &amp;</w:t>
      </w:r>
      <w:r>
        <w:rPr>
          <w:color w:val="231F20"/>
          <w:spacing w:val="-2"/>
          <w:sz w:val="18"/>
        </w:rPr>
        <w:t> </w:t>
      </w:r>
      <w:r>
        <w:rPr>
          <w:color w:val="231F20"/>
          <w:sz w:val="18"/>
        </w:rPr>
        <w:t>Teacher Education International Conference 2013 (pp. 2932–2940). Chesapeake,</w:t>
      </w:r>
      <w:r>
        <w:rPr>
          <w:color w:val="231F20"/>
          <w:spacing w:val="-2"/>
          <w:sz w:val="18"/>
        </w:rPr>
        <w:t> </w:t>
      </w:r>
      <w:r>
        <w:rPr>
          <w:color w:val="231F20"/>
          <w:sz w:val="18"/>
        </w:rPr>
        <w:t>VA: Association for the Advancement of Computing in Education (AACE).</w:t>
      </w:r>
    </w:p>
    <w:p>
      <w:pPr>
        <w:pStyle w:val="ListParagraph"/>
        <w:numPr>
          <w:ilvl w:val="1"/>
          <w:numId w:val="329"/>
        </w:numPr>
        <w:tabs>
          <w:tab w:pos="708" w:val="left" w:leader="none"/>
        </w:tabs>
        <w:spacing w:line="240" w:lineRule="auto" w:before="0" w:after="0"/>
        <w:ind w:left="708" w:right="422" w:hanging="284"/>
        <w:jc w:val="both"/>
        <w:rPr>
          <w:sz w:val="18"/>
        </w:rPr>
      </w:pPr>
      <w:r>
        <w:rPr>
          <w:color w:val="231F20"/>
          <w:sz w:val="18"/>
        </w:rPr>
        <w:t>Reston</w:t>
      </w:r>
      <w:r>
        <w:rPr>
          <w:color w:val="231F20"/>
          <w:spacing w:val="-7"/>
          <w:sz w:val="18"/>
        </w:rPr>
        <w:t> </w:t>
      </w:r>
      <w:r>
        <w:rPr>
          <w:color w:val="231F20"/>
          <w:sz w:val="18"/>
        </w:rPr>
        <w:t>Filho</w:t>
      </w:r>
      <w:r>
        <w:rPr>
          <w:color w:val="231F20"/>
          <w:spacing w:val="-3"/>
          <w:sz w:val="18"/>
        </w:rPr>
        <w:t> </w:t>
      </w:r>
      <w:r>
        <w:rPr>
          <w:color w:val="231F20"/>
          <w:sz w:val="18"/>
        </w:rPr>
        <w:t>J.C.,</w:t>
      </w:r>
      <w:r>
        <w:rPr>
          <w:color w:val="231F20"/>
          <w:spacing w:val="-5"/>
          <w:sz w:val="18"/>
        </w:rPr>
        <w:t> </w:t>
      </w:r>
      <w:r>
        <w:rPr>
          <w:color w:val="231F20"/>
          <w:sz w:val="18"/>
        </w:rPr>
        <w:t>Lima</w:t>
      </w:r>
      <w:r>
        <w:rPr>
          <w:color w:val="231F20"/>
          <w:spacing w:val="-3"/>
          <w:sz w:val="18"/>
        </w:rPr>
        <w:t> </w:t>
      </w:r>
      <w:r>
        <w:rPr>
          <w:color w:val="231F20"/>
          <w:sz w:val="18"/>
        </w:rPr>
        <w:t>R.</w:t>
      </w:r>
      <w:r>
        <w:rPr>
          <w:color w:val="231F20"/>
          <w:spacing w:val="-5"/>
          <w:sz w:val="18"/>
        </w:rPr>
        <w:t> </w:t>
      </w:r>
      <w:r>
        <w:rPr>
          <w:color w:val="231F20"/>
          <w:sz w:val="18"/>
        </w:rPr>
        <w:t>(2018).</w:t>
      </w:r>
      <w:r>
        <w:rPr>
          <w:color w:val="231F20"/>
          <w:spacing w:val="-12"/>
          <w:sz w:val="18"/>
        </w:rPr>
        <w:t> </w:t>
      </w:r>
      <w:r>
        <w:rPr>
          <w:color w:val="231F20"/>
          <w:sz w:val="18"/>
        </w:rPr>
        <w:t>Application</w:t>
      </w:r>
      <w:r>
        <w:rPr>
          <w:color w:val="231F20"/>
          <w:spacing w:val="-5"/>
          <w:sz w:val="18"/>
        </w:rPr>
        <w:t> </w:t>
      </w:r>
      <w:r>
        <w:rPr>
          <w:color w:val="231F20"/>
          <w:sz w:val="18"/>
        </w:rPr>
        <w:t>of</w:t>
      </w:r>
      <w:r>
        <w:rPr>
          <w:color w:val="231F20"/>
          <w:spacing w:val="-5"/>
          <w:sz w:val="18"/>
        </w:rPr>
        <w:t> </w:t>
      </w:r>
      <w:r>
        <w:rPr>
          <w:color w:val="231F20"/>
          <w:sz w:val="18"/>
        </w:rPr>
        <w:t>the</w:t>
      </w:r>
      <w:r>
        <w:rPr>
          <w:color w:val="231F20"/>
          <w:spacing w:val="-5"/>
          <w:sz w:val="18"/>
        </w:rPr>
        <w:t> </w:t>
      </w:r>
      <w:r>
        <w:rPr>
          <w:color w:val="231F20"/>
          <w:sz w:val="18"/>
        </w:rPr>
        <w:t>eduScrum</w:t>
      </w:r>
      <w:r>
        <w:rPr>
          <w:color w:val="231F20"/>
          <w:spacing w:val="-5"/>
          <w:sz w:val="18"/>
        </w:rPr>
        <w:t> </w:t>
      </w:r>
      <w:r>
        <w:rPr>
          <w:color w:val="231F20"/>
          <w:sz w:val="18"/>
        </w:rPr>
        <w:t>methodology</w:t>
      </w:r>
      <w:r>
        <w:rPr>
          <w:color w:val="231F20"/>
          <w:spacing w:val="-5"/>
          <w:sz w:val="18"/>
        </w:rPr>
        <w:t> </w:t>
      </w:r>
      <w:r>
        <w:rPr>
          <w:color w:val="231F20"/>
          <w:sz w:val="18"/>
        </w:rPr>
        <w:t>to</w:t>
      </w:r>
      <w:r>
        <w:rPr>
          <w:color w:val="231F20"/>
          <w:spacing w:val="-5"/>
          <w:sz w:val="18"/>
        </w:rPr>
        <w:t> </w:t>
      </w:r>
      <w:r>
        <w:rPr>
          <w:color w:val="231F20"/>
          <w:sz w:val="18"/>
        </w:rPr>
        <w:t>a</w:t>
      </w:r>
      <w:r>
        <w:rPr>
          <w:color w:val="231F20"/>
          <w:spacing w:val="-5"/>
          <w:sz w:val="18"/>
        </w:rPr>
        <w:t> </w:t>
      </w:r>
      <w:r>
        <w:rPr>
          <w:color w:val="231F20"/>
          <w:sz w:val="18"/>
        </w:rPr>
        <w:t>higher education institution in the Amazon. Conference: PAEE/ALE’2018, 10th International Symposium on Project Approaches in Engineering Education (PAEE) and 15th Active Learning in Engineering Education Workshop (ALE).</w:t>
      </w:r>
    </w:p>
    <w:p>
      <w:pPr>
        <w:pStyle w:val="ListParagraph"/>
        <w:numPr>
          <w:ilvl w:val="1"/>
          <w:numId w:val="329"/>
        </w:numPr>
        <w:tabs>
          <w:tab w:pos="708" w:val="left" w:leader="none"/>
        </w:tabs>
        <w:spacing w:line="240" w:lineRule="auto" w:before="0" w:after="0"/>
        <w:ind w:left="708" w:right="423" w:hanging="284"/>
        <w:jc w:val="both"/>
        <w:rPr>
          <w:sz w:val="18"/>
        </w:rPr>
      </w:pPr>
      <w:r>
        <w:rPr>
          <w:color w:val="231F20"/>
          <w:sz w:val="18"/>
        </w:rPr>
        <w:t>Rohrbeck</w:t>
      </w:r>
      <w:r>
        <w:rPr>
          <w:color w:val="231F20"/>
          <w:spacing w:val="-12"/>
          <w:sz w:val="18"/>
        </w:rPr>
        <w:t> </w:t>
      </w:r>
      <w:r>
        <w:rPr>
          <w:color w:val="231F20"/>
          <w:sz w:val="18"/>
        </w:rPr>
        <w:t>C.A.,</w:t>
      </w:r>
      <w:r>
        <w:rPr>
          <w:color w:val="231F20"/>
          <w:spacing w:val="-11"/>
          <w:sz w:val="18"/>
        </w:rPr>
        <w:t> </w:t>
      </w:r>
      <w:r>
        <w:rPr>
          <w:color w:val="231F20"/>
          <w:sz w:val="18"/>
        </w:rPr>
        <w:t>Ginsburg-Block</w:t>
      </w:r>
      <w:r>
        <w:rPr>
          <w:color w:val="231F20"/>
          <w:spacing w:val="-11"/>
          <w:sz w:val="18"/>
        </w:rPr>
        <w:t> </w:t>
      </w:r>
      <w:r>
        <w:rPr>
          <w:color w:val="231F20"/>
          <w:sz w:val="18"/>
        </w:rPr>
        <w:t>M.D.,</w:t>
      </w:r>
      <w:r>
        <w:rPr>
          <w:color w:val="231F20"/>
          <w:spacing w:val="-11"/>
          <w:sz w:val="18"/>
        </w:rPr>
        <w:t> </w:t>
      </w:r>
      <w:r>
        <w:rPr>
          <w:color w:val="231F20"/>
          <w:sz w:val="18"/>
        </w:rPr>
        <w:t>Fantuzzo</w:t>
      </w:r>
      <w:r>
        <w:rPr>
          <w:color w:val="231F20"/>
          <w:spacing w:val="-9"/>
          <w:sz w:val="18"/>
        </w:rPr>
        <w:t> </w:t>
      </w:r>
      <w:r>
        <w:rPr>
          <w:color w:val="231F20"/>
          <w:sz w:val="18"/>
        </w:rPr>
        <w:t>J.W.</w:t>
      </w:r>
      <w:r>
        <w:rPr>
          <w:color w:val="231F20"/>
          <w:spacing w:val="-11"/>
          <w:sz w:val="18"/>
        </w:rPr>
        <w:t> </w:t>
      </w:r>
      <w:r>
        <w:rPr>
          <w:color w:val="231F20"/>
          <w:sz w:val="18"/>
        </w:rPr>
        <w:t>&amp;</w:t>
      </w:r>
      <w:r>
        <w:rPr>
          <w:color w:val="231F20"/>
          <w:spacing w:val="-11"/>
          <w:sz w:val="18"/>
        </w:rPr>
        <w:t> </w:t>
      </w:r>
      <w:r>
        <w:rPr>
          <w:color w:val="231F20"/>
          <w:sz w:val="18"/>
        </w:rPr>
        <w:t>Miller</w:t>
      </w:r>
      <w:r>
        <w:rPr>
          <w:color w:val="231F20"/>
          <w:spacing w:val="-7"/>
          <w:sz w:val="18"/>
        </w:rPr>
        <w:t> </w:t>
      </w:r>
      <w:r>
        <w:rPr>
          <w:color w:val="231F20"/>
          <w:sz w:val="18"/>
        </w:rPr>
        <w:t>T.R.</w:t>
      </w:r>
      <w:r>
        <w:rPr>
          <w:color w:val="231F20"/>
          <w:spacing w:val="-12"/>
          <w:sz w:val="18"/>
        </w:rPr>
        <w:t> </w:t>
      </w:r>
      <w:r>
        <w:rPr>
          <w:color w:val="231F20"/>
          <w:sz w:val="18"/>
        </w:rPr>
        <w:t>(2003).</w:t>
      </w:r>
      <w:r>
        <w:rPr>
          <w:color w:val="231F20"/>
          <w:spacing w:val="-11"/>
          <w:sz w:val="18"/>
        </w:rPr>
        <w:t> </w:t>
      </w:r>
      <w:r>
        <w:rPr>
          <w:color w:val="231F20"/>
          <w:sz w:val="18"/>
        </w:rPr>
        <w:t>Peer-assisted learning interventions with elementary school students:</w:t>
      </w:r>
      <w:r>
        <w:rPr>
          <w:color w:val="231F20"/>
          <w:spacing w:val="-3"/>
          <w:sz w:val="18"/>
        </w:rPr>
        <w:t> </w:t>
      </w:r>
      <w:r>
        <w:rPr>
          <w:color w:val="231F20"/>
          <w:sz w:val="18"/>
        </w:rPr>
        <w:t>A</w:t>
      </w:r>
      <w:r>
        <w:rPr>
          <w:color w:val="231F20"/>
          <w:spacing w:val="-3"/>
          <w:sz w:val="18"/>
        </w:rPr>
        <w:t> </w:t>
      </w:r>
      <w:r>
        <w:rPr>
          <w:color w:val="231F20"/>
          <w:sz w:val="18"/>
        </w:rPr>
        <w:t>meta-analytic review. Journal of Educational Psychology, 94, 240–257.</w:t>
      </w:r>
    </w:p>
    <w:p>
      <w:pPr>
        <w:pStyle w:val="ListParagraph"/>
        <w:numPr>
          <w:ilvl w:val="1"/>
          <w:numId w:val="329"/>
        </w:numPr>
        <w:tabs>
          <w:tab w:pos="708" w:val="left" w:leader="none"/>
        </w:tabs>
        <w:spacing w:line="240" w:lineRule="auto" w:before="0" w:after="0"/>
        <w:ind w:left="708" w:right="423" w:hanging="284"/>
        <w:jc w:val="both"/>
        <w:rPr>
          <w:sz w:val="18"/>
        </w:rPr>
      </w:pPr>
      <w:r>
        <w:rPr>
          <w:color w:val="231F20"/>
          <w:sz w:val="18"/>
        </w:rPr>
        <w:t>Sharan</w:t>
      </w:r>
      <w:r>
        <w:rPr>
          <w:color w:val="231F20"/>
          <w:spacing w:val="-3"/>
          <w:sz w:val="18"/>
        </w:rPr>
        <w:t> </w:t>
      </w:r>
      <w:r>
        <w:rPr>
          <w:color w:val="231F20"/>
          <w:sz w:val="18"/>
        </w:rPr>
        <w:t>S., Sharan</w:t>
      </w:r>
      <w:r>
        <w:rPr>
          <w:color w:val="231F20"/>
          <w:spacing w:val="-3"/>
          <w:sz w:val="18"/>
        </w:rPr>
        <w:t> </w:t>
      </w:r>
      <w:r>
        <w:rPr>
          <w:color w:val="231F20"/>
          <w:sz w:val="18"/>
        </w:rPr>
        <w:t>I. (1976). Small group teaching. Englewood Cliffs, NJ, </w:t>
      </w:r>
      <w:r>
        <w:rPr>
          <w:color w:val="231F20"/>
          <w:sz w:val="18"/>
        </w:rPr>
        <w:t>Educational Technology Publications.</w:t>
      </w:r>
    </w:p>
    <w:p>
      <w:pPr>
        <w:pStyle w:val="ListParagraph"/>
        <w:numPr>
          <w:ilvl w:val="1"/>
          <w:numId w:val="329"/>
        </w:numPr>
        <w:tabs>
          <w:tab w:pos="708" w:val="left" w:leader="none"/>
        </w:tabs>
        <w:spacing w:line="240" w:lineRule="auto" w:before="0" w:after="0"/>
        <w:ind w:left="708" w:right="423" w:hanging="284"/>
        <w:jc w:val="both"/>
        <w:rPr>
          <w:sz w:val="18"/>
        </w:rPr>
      </w:pPr>
      <w:r>
        <w:rPr>
          <w:color w:val="231F20"/>
          <w:sz w:val="18"/>
        </w:rPr>
        <w:t>Shonfeld</w:t>
      </w:r>
      <w:r>
        <w:rPr>
          <w:color w:val="231F20"/>
          <w:spacing w:val="-2"/>
          <w:sz w:val="18"/>
        </w:rPr>
        <w:t> </w:t>
      </w:r>
      <w:r>
        <w:rPr>
          <w:color w:val="231F20"/>
          <w:sz w:val="18"/>
        </w:rPr>
        <w:t>M., Hoter</w:t>
      </w:r>
      <w:r>
        <w:rPr>
          <w:color w:val="231F20"/>
          <w:spacing w:val="-2"/>
          <w:sz w:val="18"/>
        </w:rPr>
        <w:t> </w:t>
      </w:r>
      <w:r>
        <w:rPr>
          <w:color w:val="231F20"/>
          <w:sz w:val="18"/>
        </w:rPr>
        <w:t>E. &amp; Ganayem</w:t>
      </w:r>
      <w:r>
        <w:rPr>
          <w:color w:val="231F20"/>
          <w:spacing w:val="-2"/>
          <w:sz w:val="18"/>
        </w:rPr>
        <w:t> </w:t>
      </w:r>
      <w:r>
        <w:rPr>
          <w:color w:val="231F20"/>
          <w:sz w:val="18"/>
        </w:rPr>
        <w:t>A. (2013). Connecting cultures in conflict through ICT in Israel. In R.S.P. Austin &amp; W.J. Hunter (Eds.), Online learning and community cohesion: Linking schools (pp. 42–58). New York, NY:Routledge.</w:t>
      </w:r>
    </w:p>
    <w:p>
      <w:pPr>
        <w:pStyle w:val="ListParagraph"/>
        <w:numPr>
          <w:ilvl w:val="1"/>
          <w:numId w:val="329"/>
        </w:numPr>
        <w:tabs>
          <w:tab w:pos="708" w:val="left" w:leader="none"/>
        </w:tabs>
        <w:spacing w:line="240" w:lineRule="auto" w:before="0" w:after="0"/>
        <w:ind w:left="708" w:right="423" w:hanging="284"/>
        <w:jc w:val="both"/>
        <w:rPr>
          <w:sz w:val="18"/>
        </w:rPr>
      </w:pPr>
      <w:r>
        <w:rPr>
          <w:color w:val="231F20"/>
          <w:sz w:val="18"/>
        </w:rPr>
        <w:t>Slavin</w:t>
      </w:r>
      <w:r>
        <w:rPr>
          <w:color w:val="231F20"/>
          <w:spacing w:val="-3"/>
          <w:sz w:val="18"/>
        </w:rPr>
        <w:t> </w:t>
      </w:r>
      <w:r>
        <w:rPr>
          <w:color w:val="231F20"/>
          <w:sz w:val="18"/>
        </w:rPr>
        <w:t>R &amp; cols. (1984). Combining cooperative learning and individualized </w:t>
      </w:r>
      <w:r>
        <w:rPr>
          <w:color w:val="231F20"/>
          <w:sz w:val="18"/>
        </w:rPr>
        <w:t>instruction: Effects on student mathematics achievement, attitudes, and behaviours. Elementary School J., 84, pp. 409–422.</w:t>
      </w:r>
    </w:p>
    <w:p>
      <w:pPr>
        <w:pStyle w:val="ListParagraph"/>
        <w:spacing w:after="0" w:line="240" w:lineRule="auto"/>
        <w:jc w:val="both"/>
        <w:rPr>
          <w:sz w:val="18"/>
        </w:rPr>
        <w:sectPr>
          <w:footerReference w:type="default" r:id="rId246"/>
          <w:pgSz w:w="8400" w:h="11910"/>
          <w:pgMar w:header="0" w:footer="0" w:top="400" w:bottom="280" w:left="425" w:right="425"/>
        </w:sectPr>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ind w:left="0" w:right="0" w:firstLine="0"/>
        <w:jc w:val="left"/>
      </w:pPr>
    </w:p>
    <w:p>
      <w:pPr>
        <w:pStyle w:val="BodyText"/>
        <w:spacing w:before="178"/>
        <w:ind w:left="0" w:right="0" w:firstLine="0"/>
        <w:jc w:val="left"/>
      </w:pPr>
    </w:p>
    <w:p>
      <w:pPr>
        <w:spacing w:line="235" w:lineRule="auto" w:before="0"/>
        <w:ind w:left="425" w:right="139" w:firstLine="0"/>
        <w:jc w:val="both"/>
        <w:rPr>
          <w:b/>
          <w:sz w:val="20"/>
        </w:rPr>
      </w:pPr>
      <w:r>
        <w:rPr>
          <w:b/>
          <w:color w:val="231F20"/>
          <w:sz w:val="20"/>
        </w:rPr>
        <w:t>Пакет инструментария программы психолого-педагогического сопровожде- ния</w:t>
      </w:r>
      <w:r>
        <w:rPr>
          <w:b/>
          <w:color w:val="231F20"/>
          <w:spacing w:val="-1"/>
          <w:sz w:val="20"/>
        </w:rPr>
        <w:t> </w:t>
      </w:r>
      <w:r>
        <w:rPr>
          <w:b/>
          <w:color w:val="231F20"/>
          <w:sz w:val="20"/>
        </w:rPr>
        <w:t>процессов</w:t>
      </w:r>
      <w:r>
        <w:rPr>
          <w:b/>
          <w:color w:val="231F20"/>
          <w:spacing w:val="-1"/>
          <w:sz w:val="20"/>
        </w:rPr>
        <w:t> </w:t>
      </w:r>
      <w:r>
        <w:rPr>
          <w:b/>
          <w:color w:val="231F20"/>
          <w:sz w:val="20"/>
        </w:rPr>
        <w:t>обучения,</w:t>
      </w:r>
      <w:r>
        <w:rPr>
          <w:b/>
          <w:color w:val="231F20"/>
          <w:spacing w:val="-1"/>
          <w:sz w:val="20"/>
        </w:rPr>
        <w:t> </w:t>
      </w:r>
      <w:r>
        <w:rPr>
          <w:b/>
          <w:color w:val="231F20"/>
          <w:sz w:val="20"/>
        </w:rPr>
        <w:t>социальной,</w:t>
      </w:r>
      <w:r>
        <w:rPr>
          <w:b/>
          <w:color w:val="231F20"/>
          <w:spacing w:val="-1"/>
          <w:sz w:val="20"/>
        </w:rPr>
        <w:t> </w:t>
      </w:r>
      <w:r>
        <w:rPr>
          <w:b/>
          <w:color w:val="231F20"/>
          <w:sz w:val="20"/>
        </w:rPr>
        <w:t>языковой</w:t>
      </w:r>
      <w:r>
        <w:rPr>
          <w:b/>
          <w:color w:val="231F20"/>
          <w:spacing w:val="-1"/>
          <w:sz w:val="20"/>
        </w:rPr>
        <w:t> </w:t>
      </w:r>
      <w:r>
        <w:rPr>
          <w:b/>
          <w:color w:val="231F20"/>
          <w:sz w:val="20"/>
        </w:rPr>
        <w:t>и</w:t>
      </w:r>
      <w:r>
        <w:rPr>
          <w:b/>
          <w:color w:val="231F20"/>
          <w:spacing w:val="-1"/>
          <w:sz w:val="20"/>
        </w:rPr>
        <w:t> </w:t>
      </w:r>
      <w:r>
        <w:rPr>
          <w:b/>
          <w:color w:val="231F20"/>
          <w:sz w:val="20"/>
        </w:rPr>
        <w:t>культурной</w:t>
      </w:r>
      <w:r>
        <w:rPr>
          <w:b/>
          <w:color w:val="231F20"/>
          <w:spacing w:val="-1"/>
          <w:sz w:val="20"/>
        </w:rPr>
        <w:t> </w:t>
      </w:r>
      <w:r>
        <w:rPr>
          <w:b/>
          <w:color w:val="231F20"/>
          <w:sz w:val="20"/>
        </w:rPr>
        <w:t>адаптации</w:t>
      </w:r>
      <w:r>
        <w:rPr>
          <w:b/>
          <w:color w:val="231F20"/>
          <w:spacing w:val="-1"/>
          <w:sz w:val="20"/>
        </w:rPr>
        <w:t> </w:t>
      </w:r>
      <w:r>
        <w:rPr>
          <w:b/>
          <w:color w:val="231F20"/>
          <w:sz w:val="20"/>
        </w:rPr>
        <w:t>де- тей иностранных граждан</w:t>
      </w:r>
    </w:p>
    <w:p>
      <w:pPr>
        <w:spacing w:before="124"/>
        <w:ind w:left="303" w:right="303" w:firstLine="0"/>
        <w:jc w:val="center"/>
        <w:rPr>
          <w:sz w:val="18"/>
        </w:rPr>
      </w:pPr>
      <w:r>
        <w:rPr>
          <w:color w:val="231F20"/>
          <w:spacing w:val="-2"/>
          <w:sz w:val="18"/>
        </w:rPr>
        <w:t>Под</w:t>
      </w:r>
      <w:r>
        <w:rPr>
          <w:color w:val="231F20"/>
          <w:spacing w:val="-8"/>
          <w:sz w:val="18"/>
        </w:rPr>
        <w:t> </w:t>
      </w:r>
      <w:r>
        <w:rPr>
          <w:color w:val="231F20"/>
          <w:spacing w:val="-2"/>
          <w:sz w:val="18"/>
        </w:rPr>
        <w:t>редакцией:</w:t>
      </w:r>
    </w:p>
    <w:p>
      <w:pPr>
        <w:spacing w:before="70"/>
        <w:ind w:left="303" w:right="303" w:firstLine="0"/>
        <w:jc w:val="center"/>
        <w:rPr>
          <w:i/>
          <w:sz w:val="18"/>
        </w:rPr>
      </w:pPr>
      <w:r>
        <w:rPr>
          <w:i/>
          <w:color w:val="231F20"/>
          <w:sz w:val="18"/>
        </w:rPr>
        <w:t>О.Е.</w:t>
      </w:r>
      <w:r>
        <w:rPr>
          <w:i/>
          <w:color w:val="231F20"/>
          <w:spacing w:val="-8"/>
          <w:sz w:val="18"/>
        </w:rPr>
        <w:t> </w:t>
      </w:r>
      <w:r>
        <w:rPr>
          <w:i/>
          <w:color w:val="231F20"/>
          <w:sz w:val="18"/>
        </w:rPr>
        <w:t>Хухлаева,</w:t>
      </w:r>
      <w:r>
        <w:rPr>
          <w:i/>
          <w:color w:val="231F20"/>
          <w:spacing w:val="-7"/>
          <w:sz w:val="18"/>
        </w:rPr>
        <w:t> </w:t>
      </w:r>
      <w:r>
        <w:rPr>
          <w:i/>
          <w:color w:val="231F20"/>
          <w:sz w:val="18"/>
        </w:rPr>
        <w:t>М.Ю.</w:t>
      </w:r>
      <w:r>
        <w:rPr>
          <w:i/>
          <w:color w:val="231F20"/>
          <w:spacing w:val="-7"/>
          <w:sz w:val="18"/>
        </w:rPr>
        <w:t> </w:t>
      </w:r>
      <w:r>
        <w:rPr>
          <w:i/>
          <w:color w:val="231F20"/>
          <w:sz w:val="18"/>
        </w:rPr>
        <w:t>Чибисовой</w:t>
      </w:r>
      <w:r>
        <w:rPr>
          <w:i/>
          <w:color w:val="231F20"/>
          <w:spacing w:val="-7"/>
          <w:sz w:val="18"/>
        </w:rPr>
        <w:t> </w:t>
      </w:r>
      <w:r>
        <w:rPr>
          <w:i/>
          <w:color w:val="231F20"/>
          <w:sz w:val="18"/>
        </w:rPr>
        <w:t>и</w:t>
      </w:r>
      <w:r>
        <w:rPr>
          <w:i/>
          <w:color w:val="231F20"/>
          <w:spacing w:val="-6"/>
          <w:sz w:val="18"/>
        </w:rPr>
        <w:t> </w:t>
      </w:r>
      <w:r>
        <w:rPr>
          <w:i/>
          <w:color w:val="231F20"/>
          <w:sz w:val="18"/>
        </w:rPr>
        <w:t>Н.В.</w:t>
      </w:r>
      <w:r>
        <w:rPr>
          <w:i/>
          <w:color w:val="231F20"/>
          <w:spacing w:val="-7"/>
          <w:sz w:val="18"/>
        </w:rPr>
        <w:t> </w:t>
      </w:r>
      <w:r>
        <w:rPr>
          <w:i/>
          <w:color w:val="231F20"/>
          <w:spacing w:val="-2"/>
          <w:sz w:val="18"/>
        </w:rPr>
        <w:t>Ткаченко</w:t>
      </w:r>
    </w:p>
    <w:p>
      <w:pPr>
        <w:pStyle w:val="BodyText"/>
        <w:ind w:left="0" w:right="0" w:firstLine="0"/>
        <w:jc w:val="left"/>
        <w:rPr>
          <w:i/>
          <w:sz w:val="18"/>
        </w:rPr>
      </w:pPr>
    </w:p>
    <w:p>
      <w:pPr>
        <w:pStyle w:val="BodyText"/>
        <w:spacing w:before="50"/>
        <w:ind w:left="0" w:right="0" w:firstLine="0"/>
        <w:jc w:val="left"/>
        <w:rPr>
          <w:i/>
          <w:sz w:val="18"/>
        </w:rPr>
      </w:pPr>
    </w:p>
    <w:p>
      <w:pPr>
        <w:spacing w:before="0"/>
        <w:ind w:left="303" w:right="303" w:firstLine="0"/>
        <w:jc w:val="center"/>
        <w:rPr>
          <w:sz w:val="16"/>
        </w:rPr>
      </w:pPr>
      <w:r>
        <w:rPr>
          <w:color w:val="231F20"/>
          <w:sz w:val="16"/>
        </w:rPr>
        <w:t>Подписано</w:t>
      </w:r>
      <w:r>
        <w:rPr>
          <w:color w:val="231F20"/>
          <w:spacing w:val="-5"/>
          <w:sz w:val="16"/>
        </w:rPr>
        <w:t> </w:t>
      </w:r>
      <w:r>
        <w:rPr>
          <w:color w:val="231F20"/>
          <w:sz w:val="16"/>
        </w:rPr>
        <w:t>в</w:t>
      </w:r>
      <w:r>
        <w:rPr>
          <w:color w:val="231F20"/>
          <w:spacing w:val="-5"/>
          <w:sz w:val="16"/>
        </w:rPr>
        <w:t> </w:t>
      </w:r>
      <w:r>
        <w:rPr>
          <w:color w:val="231F20"/>
          <w:sz w:val="16"/>
        </w:rPr>
        <w:t>печать</w:t>
      </w:r>
      <w:r>
        <w:rPr>
          <w:color w:val="231F20"/>
          <w:spacing w:val="-4"/>
          <w:sz w:val="16"/>
        </w:rPr>
        <w:t> </w:t>
      </w:r>
      <w:r>
        <w:rPr>
          <w:color w:val="231F20"/>
          <w:spacing w:val="-2"/>
          <w:sz w:val="16"/>
        </w:rPr>
        <w:t>20.12.22.</w:t>
      </w:r>
    </w:p>
    <w:p>
      <w:pPr>
        <w:spacing w:before="16"/>
        <w:ind w:left="303" w:right="303" w:firstLine="0"/>
        <w:jc w:val="center"/>
        <w:rPr>
          <w:sz w:val="16"/>
        </w:rPr>
      </w:pPr>
      <w:r>
        <w:rPr>
          <w:color w:val="231F20"/>
          <w:sz w:val="16"/>
        </w:rPr>
        <w:t>Формат</w:t>
      </w:r>
      <w:r>
        <w:rPr>
          <w:color w:val="231F20"/>
          <w:spacing w:val="-10"/>
          <w:sz w:val="16"/>
        </w:rPr>
        <w:t> </w:t>
      </w:r>
      <w:r>
        <w:rPr>
          <w:color w:val="231F20"/>
          <w:spacing w:val="-2"/>
          <w:sz w:val="16"/>
        </w:rPr>
        <w:t>60х90/16.</w:t>
      </w:r>
    </w:p>
    <w:p>
      <w:pPr>
        <w:spacing w:line="261" w:lineRule="auto" w:before="16"/>
        <w:ind w:left="2457" w:right="2455" w:firstLine="0"/>
        <w:jc w:val="center"/>
        <w:rPr>
          <w:sz w:val="16"/>
        </w:rPr>
      </w:pPr>
      <w:r>
        <w:rPr>
          <w:color w:val="231F20"/>
          <w:sz w:val="16"/>
        </w:rPr>
        <w:t>Усл.</w:t>
      </w:r>
      <w:r>
        <w:rPr>
          <w:color w:val="231F20"/>
          <w:spacing w:val="-10"/>
          <w:sz w:val="16"/>
        </w:rPr>
        <w:t> </w:t>
      </w:r>
      <w:r>
        <w:rPr>
          <w:color w:val="231F20"/>
          <w:sz w:val="16"/>
        </w:rPr>
        <w:t>печ.</w:t>
      </w:r>
      <w:r>
        <w:rPr>
          <w:color w:val="231F20"/>
          <w:spacing w:val="-10"/>
          <w:sz w:val="16"/>
        </w:rPr>
        <w:t> </w:t>
      </w:r>
      <w:r>
        <w:rPr>
          <w:color w:val="231F20"/>
          <w:sz w:val="16"/>
        </w:rPr>
        <w:t>л.</w:t>
      </w:r>
      <w:r>
        <w:rPr>
          <w:color w:val="231F20"/>
          <w:spacing w:val="-10"/>
          <w:sz w:val="16"/>
        </w:rPr>
        <w:t> </w:t>
      </w:r>
      <w:r>
        <w:rPr>
          <w:color w:val="231F20"/>
          <w:sz w:val="16"/>
        </w:rPr>
        <w:t>12,9.</w:t>
      </w:r>
      <w:r>
        <w:rPr>
          <w:color w:val="231F20"/>
          <w:spacing w:val="-10"/>
          <w:sz w:val="16"/>
        </w:rPr>
        <w:t> </w:t>
      </w:r>
      <w:r>
        <w:rPr>
          <w:color w:val="231F20"/>
          <w:sz w:val="16"/>
        </w:rPr>
        <w:t>Уч.-изд.</w:t>
      </w:r>
      <w:r>
        <w:rPr>
          <w:color w:val="231F20"/>
          <w:spacing w:val="-10"/>
          <w:sz w:val="16"/>
        </w:rPr>
        <w:t> </w:t>
      </w:r>
      <w:r>
        <w:rPr>
          <w:color w:val="231F20"/>
          <w:sz w:val="16"/>
        </w:rPr>
        <w:t>л.</w:t>
      </w:r>
      <w:r>
        <w:rPr>
          <w:color w:val="231F20"/>
          <w:spacing w:val="-10"/>
          <w:sz w:val="16"/>
        </w:rPr>
        <w:t> </w:t>
      </w:r>
      <w:r>
        <w:rPr>
          <w:color w:val="231F20"/>
          <w:sz w:val="16"/>
        </w:rPr>
        <w:t>12,6.</w:t>
      </w:r>
      <w:r>
        <w:rPr>
          <w:color w:val="231F20"/>
          <w:spacing w:val="40"/>
          <w:sz w:val="16"/>
        </w:rPr>
        <w:t> </w:t>
      </w:r>
      <w:r>
        <w:rPr>
          <w:color w:val="231F20"/>
          <w:sz w:val="16"/>
        </w:rPr>
        <w:t>Гарнитура</w:t>
      </w:r>
      <w:r>
        <w:rPr>
          <w:color w:val="231F20"/>
          <w:spacing w:val="-7"/>
          <w:sz w:val="16"/>
        </w:rPr>
        <w:t> </w:t>
      </w:r>
      <w:r>
        <w:rPr>
          <w:color w:val="231F20"/>
          <w:sz w:val="16"/>
        </w:rPr>
        <w:t>«Times</w:t>
      </w:r>
      <w:r>
        <w:rPr>
          <w:color w:val="231F20"/>
          <w:spacing w:val="-7"/>
          <w:sz w:val="16"/>
        </w:rPr>
        <w:t> </w:t>
      </w:r>
      <w:r>
        <w:rPr>
          <w:color w:val="231F20"/>
          <w:sz w:val="16"/>
        </w:rPr>
        <w:t>New</w:t>
      </w:r>
      <w:r>
        <w:rPr>
          <w:color w:val="231F20"/>
          <w:spacing w:val="-6"/>
          <w:sz w:val="16"/>
        </w:rPr>
        <w:t> </w:t>
      </w:r>
      <w:r>
        <w:rPr>
          <w:color w:val="231F20"/>
          <w:spacing w:val="-2"/>
          <w:sz w:val="16"/>
        </w:rPr>
        <w:t>Roman».</w:t>
      </w:r>
    </w:p>
    <w:sectPr>
      <w:footerReference w:type="default" r:id="rId247"/>
      <w:pgSz w:w="8400" w:h="11910"/>
      <w:pgMar w:header="0" w:footer="0" w:top="1340" w:bottom="280" w:left="425"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Microsoft Sans Serif">
    <w:altName w:val="Microsoft Sans Serif"/>
    <w:charset w:val="1"/>
    <w:family w:val="swiss"/>
    <w:pitch w:val="variable"/>
  </w:font>
  <w:font w:name="Georgia">
    <w:altName w:val="Georgia"/>
    <w:charset w:val="1"/>
    <w:family w:val="roman"/>
    <w:pitch w:val="variable"/>
  </w:font>
  <w:font w:name="Calibri">
    <w:altName w:val="Calibri"/>
    <w:charset w:val="1"/>
    <w:family w:val="roman"/>
    <w:pitch w:val="variable"/>
  </w:font>
  <w:font w:name="Cambria Math">
    <w:altName w:val="Cambria Math"/>
    <w:charset w:val="1"/>
    <w:family w:val="roman"/>
    <w:pitch w:val="variable"/>
  </w:font>
  <w:font w:name="Courier New">
    <w:altName w:val="Courier New"/>
    <w:charset w:val="1"/>
    <w:family w:val="modern"/>
    <w:pitch w:val="default"/>
  </w:font>
  <w:font w:name="Trebuchet MS">
    <w:altName w:val="Trebuchet MS"/>
    <w:charset w:val="1"/>
    <w:family w:val="swiss"/>
    <w:pitch w:val="variable"/>
  </w:font>
  <w:font w:name="Symbol">
    <w:altName w:val="Symbol"/>
    <w:charset w:val="2"/>
    <w:family w:val="decorative"/>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pPr>
    <w:r>
      <w:rPr/>
      <mc:AlternateContent>
        <mc:Choice Requires="wps">
          <w:drawing>
            <wp:anchor distT="0" distB="0" distL="0" distR="0" allowOverlap="1" layoutInCell="1" locked="0" behindDoc="1" simplePos="0" relativeHeight="474507776">
              <wp:simplePos x="0" y="0"/>
              <wp:positionH relativeFrom="page">
                <wp:posOffset>706627</wp:posOffset>
              </wp:positionH>
              <wp:positionV relativeFrom="page">
                <wp:posOffset>10204646</wp:posOffset>
              </wp:positionV>
              <wp:extent cx="1531620"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31620" cy="139065"/>
                      </a:xfrm>
                      <a:prstGeom prst="rect">
                        <a:avLst/>
                      </a:prstGeom>
                    </wps:spPr>
                    <wps:txbx>
                      <w:txbxContent>
                        <w:p>
                          <w:pPr>
                            <w:spacing w:before="14"/>
                            <w:ind w:left="20" w:right="0" w:firstLine="0"/>
                            <w:jc w:val="left"/>
                            <w:rPr>
                              <w:sz w:val="16"/>
                            </w:rPr>
                          </w:pPr>
                          <w:r>
                            <w:rPr>
                              <w:sz w:val="16"/>
                            </w:rPr>
                            <w:t>О</w:t>
                          </w:r>
                          <w:r>
                            <w:rPr>
                              <w:spacing w:val="-6"/>
                              <w:sz w:val="16"/>
                            </w:rPr>
                            <w:t> </w:t>
                          </w:r>
                          <w:r>
                            <w:rPr>
                              <w:sz w:val="16"/>
                            </w:rPr>
                            <w:t>направлении</w:t>
                          </w:r>
                          <w:r>
                            <w:rPr>
                              <w:spacing w:val="-6"/>
                              <w:sz w:val="16"/>
                            </w:rPr>
                            <w:t> </w:t>
                          </w:r>
                          <w:r>
                            <w:rPr>
                              <w:sz w:val="16"/>
                            </w:rPr>
                            <w:t>рекомендаций</w:t>
                          </w:r>
                          <w:r>
                            <w:rPr>
                              <w:spacing w:val="-6"/>
                              <w:sz w:val="16"/>
                            </w:rPr>
                            <w:t> </w:t>
                          </w:r>
                          <w:r>
                            <w:rPr>
                              <w:sz w:val="16"/>
                            </w:rPr>
                            <w:t>–</w:t>
                          </w:r>
                          <w:r>
                            <w:rPr>
                              <w:spacing w:val="-5"/>
                              <w:sz w:val="16"/>
                            </w:rPr>
                            <w:t> 07</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639999pt;margin-top:803.515442pt;width:120.6pt;height:10.95pt;mso-position-horizontal-relative:page;mso-position-vertical-relative:page;z-index:-28808704" type="#_x0000_t202" id="docshape1" filled="false" stroked="false">
              <v:textbox inset="0,0,0,0">
                <w:txbxContent>
                  <w:p>
                    <w:pPr>
                      <w:spacing w:before="14"/>
                      <w:ind w:left="20" w:right="0" w:firstLine="0"/>
                      <w:jc w:val="left"/>
                      <w:rPr>
                        <w:sz w:val="16"/>
                      </w:rPr>
                    </w:pPr>
                    <w:r>
                      <w:rPr>
                        <w:sz w:val="16"/>
                      </w:rPr>
                      <w:t>О</w:t>
                    </w:r>
                    <w:r>
                      <w:rPr>
                        <w:spacing w:val="-6"/>
                        <w:sz w:val="16"/>
                      </w:rPr>
                      <w:t> </w:t>
                    </w:r>
                    <w:r>
                      <w:rPr>
                        <w:sz w:val="16"/>
                      </w:rPr>
                      <w:t>направлении</w:t>
                    </w:r>
                    <w:r>
                      <w:rPr>
                        <w:spacing w:val="-6"/>
                        <w:sz w:val="16"/>
                      </w:rPr>
                      <w:t> </w:t>
                    </w:r>
                    <w:r>
                      <w:rPr>
                        <w:sz w:val="16"/>
                      </w:rPr>
                      <w:t>рекомендаций</w:t>
                    </w:r>
                    <w:r>
                      <w:rPr>
                        <w:spacing w:val="-6"/>
                        <w:sz w:val="16"/>
                      </w:rPr>
                      <w:t> </w:t>
                    </w:r>
                    <w:r>
                      <w:rPr>
                        <w:sz w:val="16"/>
                      </w:rPr>
                      <w:t>–</w:t>
                    </w:r>
                    <w:r>
                      <w:rPr>
                        <w:spacing w:val="-5"/>
                        <w:sz w:val="16"/>
                      </w:rPr>
                      <w:t> 07</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19"/>
      </w:rPr>
    </w:pPr>
    <w:r>
      <w:rPr>
        <w:sz w:val="19"/>
      </w:rPr>
      <mc:AlternateContent>
        <mc:Choice Requires="wps">
          <w:drawing>
            <wp:anchor distT="0" distB="0" distL="0" distR="0" allowOverlap="1" layoutInCell="1" locked="0" behindDoc="1" simplePos="0" relativeHeight="474510336">
              <wp:simplePos x="0" y="0"/>
              <wp:positionH relativeFrom="page">
                <wp:posOffset>6799326</wp:posOffset>
              </wp:positionH>
              <wp:positionV relativeFrom="page">
                <wp:posOffset>9902470</wp:posOffset>
              </wp:positionV>
              <wp:extent cx="274320" cy="18097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74320" cy="180975"/>
                      </a:xfrm>
                      <a:prstGeom prst="rect">
                        <a:avLst/>
                      </a:prstGeom>
                    </wps:spPr>
                    <wps:txbx>
                      <w:txbxContent>
                        <w:p>
                          <w:pPr>
                            <w:spacing w:before="11"/>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35.380005pt;margin-top:779.722107pt;width:21.6pt;height:14.25pt;mso-position-horizontal-relative:page;mso-position-vertical-relative:page;z-index:-28806144" type="#_x0000_t202" id="docshape17" filled="false" stroked="false">
              <v:textbox inset="0,0,0,0">
                <w:txbxContent>
                  <w:p>
                    <w:pPr>
                      <w:spacing w:before="11"/>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202</w:t>
                    </w:r>
                    <w:r>
                      <w:rPr>
                        <w:spacing w:val="-5"/>
                        <w:sz w:val="22"/>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18"/>
      </w:rPr>
    </w:pPr>
    <w:r>
      <w:rPr>
        <w:sz w:val="18"/>
      </w:rPr>
      <mc:AlternateContent>
        <mc:Choice Requires="wps">
          <w:drawing>
            <wp:anchor distT="0" distB="0" distL="0" distR="0" allowOverlap="1" layoutInCell="1" locked="0" behindDoc="1" simplePos="0" relativeHeight="474510848">
              <wp:simplePos x="0" y="0"/>
              <wp:positionH relativeFrom="page">
                <wp:posOffset>2600500</wp:posOffset>
              </wp:positionH>
              <wp:positionV relativeFrom="page">
                <wp:posOffset>7068362</wp:posOffset>
              </wp:positionV>
              <wp:extent cx="127000" cy="147955"/>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127000" cy="147955"/>
                      </a:xfrm>
                      <a:prstGeom prst="rect">
                        <a:avLst/>
                      </a:prstGeom>
                    </wps:spPr>
                    <wps:txbx>
                      <w:txbxContent>
                        <w:p>
                          <w:pPr>
                            <w:spacing w:before="21"/>
                            <w:ind w:left="20" w:right="0" w:firstLine="0"/>
                            <w:jc w:val="left"/>
                            <w:rPr>
                              <w:rFonts w:ascii="Georgia"/>
                              <w:sz w:val="16"/>
                            </w:rPr>
                          </w:pPr>
                          <w:r>
                            <w:rPr>
                              <w:rFonts w:ascii="Georgia"/>
                              <w:color w:val="231F20"/>
                              <w:spacing w:val="-5"/>
                              <w:sz w:val="16"/>
                            </w:rPr>
                            <w:fldChar w:fldCharType="begin"/>
                          </w:r>
                          <w:r>
                            <w:rPr>
                              <w:rFonts w:ascii="Georgia"/>
                              <w:color w:val="231F20"/>
                              <w:spacing w:val="-5"/>
                              <w:sz w:val="16"/>
                            </w:rPr>
                            <w:instrText> PAGE </w:instrText>
                          </w:r>
                          <w:r>
                            <w:rPr>
                              <w:rFonts w:ascii="Georgia"/>
                              <w:color w:val="231F20"/>
                              <w:spacing w:val="-5"/>
                              <w:sz w:val="16"/>
                            </w:rPr>
                            <w:fldChar w:fldCharType="separate"/>
                          </w:r>
                          <w:r>
                            <w:rPr>
                              <w:rFonts w:ascii="Georgia"/>
                              <w:color w:val="231F20"/>
                              <w:spacing w:val="-5"/>
                              <w:sz w:val="16"/>
                            </w:rPr>
                            <w:t>10</w:t>
                          </w:r>
                          <w:r>
                            <w:rPr>
                              <w:rFonts w:ascii="Georgia"/>
                              <w:color w:val="231F20"/>
                              <w:spacing w:val="-5"/>
                              <w:sz w:val="16"/>
                            </w:rPr>
                            <w:fldChar w:fldCharType="end"/>
                          </w:r>
                        </w:p>
                      </w:txbxContent>
                    </wps:txbx>
                    <wps:bodyPr wrap="square" lIns="0" tIns="0" rIns="0" bIns="0" rtlCol="0">
                      <a:noAutofit/>
                    </wps:bodyPr>
                  </wps:wsp>
                </a:graphicData>
              </a:graphic>
            </wp:anchor>
          </w:drawing>
        </mc:Choice>
        <mc:Fallback>
          <w:pict>
            <v:shape style="position:absolute;margin-left:204.763794pt;margin-top:556.563965pt;width:10pt;height:11.65pt;mso-position-horizontal-relative:page;mso-position-vertical-relative:page;z-index:-28805632" type="#_x0000_t202" id="docshape60" filled="false" stroked="false">
              <v:textbox inset="0,0,0,0">
                <w:txbxContent>
                  <w:p>
                    <w:pPr>
                      <w:spacing w:before="21"/>
                      <w:ind w:left="20" w:right="0" w:firstLine="0"/>
                      <w:jc w:val="left"/>
                      <w:rPr>
                        <w:rFonts w:ascii="Georgia"/>
                        <w:sz w:val="16"/>
                      </w:rPr>
                    </w:pPr>
                    <w:r>
                      <w:rPr>
                        <w:rFonts w:ascii="Georgia"/>
                        <w:color w:val="231F20"/>
                        <w:spacing w:val="-5"/>
                        <w:sz w:val="16"/>
                      </w:rPr>
                      <w:fldChar w:fldCharType="begin"/>
                    </w:r>
                    <w:r>
                      <w:rPr>
                        <w:rFonts w:ascii="Georgia"/>
                        <w:color w:val="231F20"/>
                        <w:spacing w:val="-5"/>
                        <w:sz w:val="16"/>
                      </w:rPr>
                      <w:instrText> PAGE </w:instrText>
                    </w:r>
                    <w:r>
                      <w:rPr>
                        <w:rFonts w:ascii="Georgia"/>
                        <w:color w:val="231F20"/>
                        <w:spacing w:val="-5"/>
                        <w:sz w:val="16"/>
                      </w:rPr>
                      <w:fldChar w:fldCharType="separate"/>
                    </w:r>
                    <w:r>
                      <w:rPr>
                        <w:rFonts w:ascii="Georgia"/>
                        <w:color w:val="231F20"/>
                        <w:spacing w:val="-5"/>
                        <w:sz w:val="16"/>
                      </w:rPr>
                      <w:t>10</w:t>
                    </w:r>
                    <w:r>
                      <w:rPr>
                        <w:rFonts w:ascii="Georgia"/>
                        <w:color w:val="231F20"/>
                        <w:spacing w:val="-5"/>
                        <w:sz w:val="16"/>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17"/>
      </w:rPr>
    </w:pPr>
    <w:r>
      <w:rPr>
        <w:sz w:val="17"/>
      </w:rPr>
      <mc:AlternateContent>
        <mc:Choice Requires="wps">
          <w:drawing>
            <wp:anchor distT="0" distB="0" distL="0" distR="0" allowOverlap="1" layoutInCell="1" locked="0" behindDoc="1" simplePos="0" relativeHeight="474511360">
              <wp:simplePos x="0" y="0"/>
              <wp:positionH relativeFrom="page">
                <wp:posOffset>2575100</wp:posOffset>
              </wp:positionH>
              <wp:positionV relativeFrom="page">
                <wp:posOffset>7068362</wp:posOffset>
              </wp:positionV>
              <wp:extent cx="190500" cy="147955"/>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190500" cy="147955"/>
                      </a:xfrm>
                      <a:prstGeom prst="rect">
                        <a:avLst/>
                      </a:prstGeom>
                    </wps:spPr>
                    <wps:txbx>
                      <w:txbxContent>
                        <w:p>
                          <w:pPr>
                            <w:spacing w:before="21"/>
                            <w:ind w:left="60" w:right="0" w:firstLine="0"/>
                            <w:jc w:val="left"/>
                            <w:rPr>
                              <w:rFonts w:ascii="Georgia"/>
                              <w:sz w:val="16"/>
                            </w:rPr>
                          </w:pPr>
                          <w:r>
                            <w:rPr>
                              <w:rFonts w:ascii="Georgia"/>
                              <w:color w:val="231F20"/>
                              <w:spacing w:val="-5"/>
                              <w:sz w:val="16"/>
                            </w:rPr>
                            <w:fldChar w:fldCharType="begin"/>
                          </w:r>
                          <w:r>
                            <w:rPr>
                              <w:rFonts w:ascii="Georgia"/>
                              <w:color w:val="231F20"/>
                              <w:spacing w:val="-5"/>
                              <w:sz w:val="16"/>
                            </w:rPr>
                            <w:instrText> PAGE </w:instrText>
                          </w:r>
                          <w:r>
                            <w:rPr>
                              <w:rFonts w:ascii="Georgia"/>
                              <w:color w:val="231F20"/>
                              <w:spacing w:val="-5"/>
                              <w:sz w:val="16"/>
                            </w:rPr>
                            <w:fldChar w:fldCharType="separate"/>
                          </w:r>
                          <w:r>
                            <w:rPr>
                              <w:rFonts w:ascii="Georgia"/>
                              <w:color w:val="231F20"/>
                              <w:spacing w:val="-5"/>
                              <w:sz w:val="16"/>
                            </w:rPr>
                            <w:t>21</w:t>
                          </w:r>
                          <w:r>
                            <w:rPr>
                              <w:rFonts w:ascii="Georgia"/>
                              <w:color w:val="231F20"/>
                              <w:spacing w:val="-5"/>
                              <w:sz w:val="16"/>
                            </w:rPr>
                            <w:fldChar w:fldCharType="end"/>
                          </w:r>
                        </w:p>
                      </w:txbxContent>
                    </wps:txbx>
                    <wps:bodyPr wrap="square" lIns="0" tIns="0" rIns="0" bIns="0" rtlCol="0">
                      <a:noAutofit/>
                    </wps:bodyPr>
                  </wps:wsp>
                </a:graphicData>
              </a:graphic>
            </wp:anchor>
          </w:drawing>
        </mc:Choice>
        <mc:Fallback>
          <w:pict>
            <v:shape style="position:absolute;margin-left:202.763794pt;margin-top:556.563965pt;width:15pt;height:11.65pt;mso-position-horizontal-relative:page;mso-position-vertical-relative:page;z-index:-28805120" type="#_x0000_t202" id="docshape63" filled="false" stroked="false">
              <v:textbox inset="0,0,0,0">
                <w:txbxContent>
                  <w:p>
                    <w:pPr>
                      <w:spacing w:before="21"/>
                      <w:ind w:left="60" w:right="0" w:firstLine="0"/>
                      <w:jc w:val="left"/>
                      <w:rPr>
                        <w:rFonts w:ascii="Georgia"/>
                        <w:sz w:val="16"/>
                      </w:rPr>
                    </w:pPr>
                    <w:r>
                      <w:rPr>
                        <w:rFonts w:ascii="Georgia"/>
                        <w:color w:val="231F20"/>
                        <w:spacing w:val="-5"/>
                        <w:sz w:val="16"/>
                      </w:rPr>
                      <w:fldChar w:fldCharType="begin"/>
                    </w:r>
                    <w:r>
                      <w:rPr>
                        <w:rFonts w:ascii="Georgia"/>
                        <w:color w:val="231F20"/>
                        <w:spacing w:val="-5"/>
                        <w:sz w:val="16"/>
                      </w:rPr>
                      <w:instrText> PAGE </w:instrText>
                    </w:r>
                    <w:r>
                      <w:rPr>
                        <w:rFonts w:ascii="Georgia"/>
                        <w:color w:val="231F20"/>
                        <w:spacing w:val="-5"/>
                        <w:sz w:val="16"/>
                      </w:rPr>
                      <w:fldChar w:fldCharType="separate"/>
                    </w:r>
                    <w:r>
                      <w:rPr>
                        <w:rFonts w:ascii="Georgia"/>
                        <w:color w:val="231F20"/>
                        <w:spacing w:val="-5"/>
                        <w:sz w:val="16"/>
                      </w:rPr>
                      <w:t>21</w:t>
                    </w:r>
                    <w:r>
                      <w:rPr>
                        <w:rFonts w:ascii="Georgia"/>
                        <w:color w:val="231F20"/>
                        <w:spacing w:val="-5"/>
                        <w:sz w:val="16"/>
                      </w:rPr>
                      <w:fldChar w:fldCharType="end"/>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19"/>
      </w:rPr>
    </w:pPr>
    <w:r>
      <w:rPr>
        <w:sz w:val="19"/>
      </w:rPr>
      <mc:AlternateContent>
        <mc:Choice Requires="wps">
          <w:drawing>
            <wp:anchor distT="0" distB="0" distL="0" distR="0" allowOverlap="1" layoutInCell="1" locked="0" behindDoc="1" simplePos="0" relativeHeight="474511872">
              <wp:simplePos x="0" y="0"/>
              <wp:positionH relativeFrom="page">
                <wp:posOffset>2575100</wp:posOffset>
              </wp:positionH>
              <wp:positionV relativeFrom="page">
                <wp:posOffset>7068362</wp:posOffset>
              </wp:positionV>
              <wp:extent cx="190500" cy="147955"/>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190500" cy="147955"/>
                      </a:xfrm>
                      <a:prstGeom prst="rect">
                        <a:avLst/>
                      </a:prstGeom>
                    </wps:spPr>
                    <wps:txbx>
                      <w:txbxContent>
                        <w:p>
                          <w:pPr>
                            <w:spacing w:before="21"/>
                            <w:ind w:left="60" w:right="0" w:firstLine="0"/>
                            <w:jc w:val="left"/>
                            <w:rPr>
                              <w:rFonts w:ascii="Georgia"/>
                              <w:sz w:val="16"/>
                            </w:rPr>
                          </w:pPr>
                          <w:r>
                            <w:rPr>
                              <w:rFonts w:ascii="Georgia"/>
                              <w:color w:val="231F20"/>
                              <w:spacing w:val="-5"/>
                              <w:sz w:val="16"/>
                            </w:rPr>
                            <w:fldChar w:fldCharType="begin"/>
                          </w:r>
                          <w:r>
                            <w:rPr>
                              <w:rFonts w:ascii="Georgia"/>
                              <w:color w:val="231F20"/>
                              <w:spacing w:val="-5"/>
                              <w:sz w:val="16"/>
                            </w:rPr>
                            <w:instrText> PAGE </w:instrText>
                          </w:r>
                          <w:r>
                            <w:rPr>
                              <w:rFonts w:ascii="Georgia"/>
                              <w:color w:val="231F20"/>
                              <w:spacing w:val="-5"/>
                              <w:sz w:val="16"/>
                            </w:rPr>
                            <w:fldChar w:fldCharType="separate"/>
                          </w:r>
                          <w:r>
                            <w:rPr>
                              <w:rFonts w:ascii="Georgia"/>
                              <w:color w:val="231F20"/>
                              <w:spacing w:val="-5"/>
                              <w:sz w:val="16"/>
                            </w:rPr>
                            <w:t>67</w:t>
                          </w:r>
                          <w:r>
                            <w:rPr>
                              <w:rFonts w:ascii="Georgia"/>
                              <w:color w:val="231F20"/>
                              <w:spacing w:val="-5"/>
                              <w:sz w:val="16"/>
                            </w:rPr>
                            <w:fldChar w:fldCharType="end"/>
                          </w:r>
                        </w:p>
                      </w:txbxContent>
                    </wps:txbx>
                    <wps:bodyPr wrap="square" lIns="0" tIns="0" rIns="0" bIns="0" rtlCol="0">
                      <a:noAutofit/>
                    </wps:bodyPr>
                  </wps:wsp>
                </a:graphicData>
              </a:graphic>
            </wp:anchor>
          </w:drawing>
        </mc:Choice>
        <mc:Fallback>
          <w:pict>
            <v:shape style="position:absolute;margin-left:202.763794pt;margin-top:556.563965pt;width:15pt;height:11.65pt;mso-position-horizontal-relative:page;mso-position-vertical-relative:page;z-index:-28804608" type="#_x0000_t202" id="docshape65" filled="false" stroked="false">
              <v:textbox inset="0,0,0,0">
                <w:txbxContent>
                  <w:p>
                    <w:pPr>
                      <w:spacing w:before="21"/>
                      <w:ind w:left="60" w:right="0" w:firstLine="0"/>
                      <w:jc w:val="left"/>
                      <w:rPr>
                        <w:rFonts w:ascii="Georgia"/>
                        <w:sz w:val="16"/>
                      </w:rPr>
                    </w:pPr>
                    <w:r>
                      <w:rPr>
                        <w:rFonts w:ascii="Georgia"/>
                        <w:color w:val="231F20"/>
                        <w:spacing w:val="-5"/>
                        <w:sz w:val="16"/>
                      </w:rPr>
                      <w:fldChar w:fldCharType="begin"/>
                    </w:r>
                    <w:r>
                      <w:rPr>
                        <w:rFonts w:ascii="Georgia"/>
                        <w:color w:val="231F20"/>
                        <w:spacing w:val="-5"/>
                        <w:sz w:val="16"/>
                      </w:rPr>
                      <w:instrText> PAGE </w:instrText>
                    </w:r>
                    <w:r>
                      <w:rPr>
                        <w:rFonts w:ascii="Georgia"/>
                        <w:color w:val="231F20"/>
                        <w:spacing w:val="-5"/>
                        <w:sz w:val="16"/>
                      </w:rPr>
                      <w:fldChar w:fldCharType="separate"/>
                    </w:r>
                    <w:r>
                      <w:rPr>
                        <w:rFonts w:ascii="Georgia"/>
                        <w:color w:val="231F20"/>
                        <w:spacing w:val="-5"/>
                        <w:sz w:val="16"/>
                      </w:rPr>
                      <w:t>67</w:t>
                    </w:r>
                    <w:r>
                      <w:rPr>
                        <w:rFonts w:ascii="Georgia"/>
                        <w:color w:val="231F20"/>
                        <w:spacing w:val="-5"/>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19"/>
      </w:rPr>
    </w:pPr>
    <w:r>
      <w:rPr>
        <w:sz w:val="19"/>
      </w:rPr>
      <mc:AlternateContent>
        <mc:Choice Requires="wps">
          <w:drawing>
            <wp:anchor distT="0" distB="0" distL="0" distR="0" allowOverlap="1" layoutInCell="1" locked="0" behindDoc="1" simplePos="0" relativeHeight="474512384">
              <wp:simplePos x="0" y="0"/>
              <wp:positionH relativeFrom="page">
                <wp:posOffset>2575100</wp:posOffset>
              </wp:positionH>
              <wp:positionV relativeFrom="page">
                <wp:posOffset>7068362</wp:posOffset>
              </wp:positionV>
              <wp:extent cx="190500" cy="14795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190500" cy="147955"/>
                      </a:xfrm>
                      <a:prstGeom prst="rect">
                        <a:avLst/>
                      </a:prstGeom>
                    </wps:spPr>
                    <wps:txbx>
                      <w:txbxContent>
                        <w:p>
                          <w:pPr>
                            <w:spacing w:before="21"/>
                            <w:ind w:left="60" w:right="0" w:firstLine="0"/>
                            <w:jc w:val="left"/>
                            <w:rPr>
                              <w:rFonts w:ascii="Georgia"/>
                              <w:sz w:val="16"/>
                            </w:rPr>
                          </w:pPr>
                          <w:r>
                            <w:rPr>
                              <w:rFonts w:ascii="Georgia"/>
                              <w:color w:val="231F20"/>
                              <w:spacing w:val="-5"/>
                              <w:w w:val="95"/>
                              <w:sz w:val="16"/>
                            </w:rPr>
                            <w:fldChar w:fldCharType="begin"/>
                          </w:r>
                          <w:r>
                            <w:rPr>
                              <w:rFonts w:ascii="Georgia"/>
                              <w:color w:val="231F20"/>
                              <w:spacing w:val="-5"/>
                              <w:w w:val="95"/>
                              <w:sz w:val="16"/>
                            </w:rPr>
                            <w:instrText> PAGE </w:instrText>
                          </w:r>
                          <w:r>
                            <w:rPr>
                              <w:rFonts w:ascii="Georgia"/>
                              <w:color w:val="231F20"/>
                              <w:spacing w:val="-5"/>
                              <w:w w:val="95"/>
                              <w:sz w:val="16"/>
                            </w:rPr>
                            <w:fldChar w:fldCharType="separate"/>
                          </w:r>
                          <w:r>
                            <w:rPr>
                              <w:rFonts w:ascii="Georgia"/>
                              <w:color w:val="231F20"/>
                              <w:spacing w:val="-5"/>
                              <w:w w:val="95"/>
                              <w:sz w:val="16"/>
                            </w:rPr>
                            <w:t>83</w:t>
                          </w:r>
                          <w:r>
                            <w:rPr>
                              <w:rFonts w:ascii="Georgia"/>
                              <w:color w:val="231F20"/>
                              <w:spacing w:val="-5"/>
                              <w:w w:val="95"/>
                              <w:sz w:val="16"/>
                            </w:rPr>
                            <w:fldChar w:fldCharType="end"/>
                          </w:r>
                        </w:p>
                      </w:txbxContent>
                    </wps:txbx>
                    <wps:bodyPr wrap="square" lIns="0" tIns="0" rIns="0" bIns="0" rtlCol="0">
                      <a:noAutofit/>
                    </wps:bodyPr>
                  </wps:wsp>
                </a:graphicData>
              </a:graphic>
            </wp:anchor>
          </w:drawing>
        </mc:Choice>
        <mc:Fallback>
          <w:pict>
            <v:shape style="position:absolute;margin-left:202.763794pt;margin-top:556.563965pt;width:15pt;height:11.65pt;mso-position-horizontal-relative:page;mso-position-vertical-relative:page;z-index:-28804096" type="#_x0000_t202" id="docshape66" filled="false" stroked="false">
              <v:textbox inset="0,0,0,0">
                <w:txbxContent>
                  <w:p>
                    <w:pPr>
                      <w:spacing w:before="21"/>
                      <w:ind w:left="60" w:right="0" w:firstLine="0"/>
                      <w:jc w:val="left"/>
                      <w:rPr>
                        <w:rFonts w:ascii="Georgia"/>
                        <w:sz w:val="16"/>
                      </w:rPr>
                    </w:pPr>
                    <w:r>
                      <w:rPr>
                        <w:rFonts w:ascii="Georgia"/>
                        <w:color w:val="231F20"/>
                        <w:spacing w:val="-5"/>
                        <w:w w:val="95"/>
                        <w:sz w:val="16"/>
                      </w:rPr>
                      <w:fldChar w:fldCharType="begin"/>
                    </w:r>
                    <w:r>
                      <w:rPr>
                        <w:rFonts w:ascii="Georgia"/>
                        <w:color w:val="231F20"/>
                        <w:spacing w:val="-5"/>
                        <w:w w:val="95"/>
                        <w:sz w:val="16"/>
                      </w:rPr>
                      <w:instrText> PAGE </w:instrText>
                    </w:r>
                    <w:r>
                      <w:rPr>
                        <w:rFonts w:ascii="Georgia"/>
                        <w:color w:val="231F20"/>
                        <w:spacing w:val="-5"/>
                        <w:w w:val="95"/>
                        <w:sz w:val="16"/>
                      </w:rPr>
                      <w:fldChar w:fldCharType="separate"/>
                    </w:r>
                    <w:r>
                      <w:rPr>
                        <w:rFonts w:ascii="Georgia"/>
                        <w:color w:val="231F20"/>
                        <w:spacing w:val="-5"/>
                        <w:w w:val="95"/>
                        <w:sz w:val="16"/>
                      </w:rPr>
                      <w:t>83</w:t>
                    </w:r>
                    <w:r>
                      <w:rPr>
                        <w:rFonts w:ascii="Georgia"/>
                        <w:color w:val="231F20"/>
                        <w:spacing w:val="-5"/>
                        <w:w w:val="95"/>
                        <w:sz w:val="16"/>
                      </w:rPr>
                      <w:fldChar w:fldCharType="end"/>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18"/>
      </w:rPr>
    </w:pPr>
    <w:r>
      <w:rPr>
        <w:sz w:val="18"/>
      </w:rPr>
      <mc:AlternateContent>
        <mc:Choice Requires="wps">
          <w:drawing>
            <wp:anchor distT="0" distB="0" distL="0" distR="0" allowOverlap="1" layoutInCell="1" locked="0" behindDoc="1" simplePos="0" relativeHeight="474512896">
              <wp:simplePos x="0" y="0"/>
              <wp:positionH relativeFrom="page">
                <wp:posOffset>2575100</wp:posOffset>
              </wp:positionH>
              <wp:positionV relativeFrom="page">
                <wp:posOffset>7068362</wp:posOffset>
              </wp:positionV>
              <wp:extent cx="177800" cy="14795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177800" cy="147955"/>
                      </a:xfrm>
                      <a:prstGeom prst="rect">
                        <a:avLst/>
                      </a:prstGeom>
                    </wps:spPr>
                    <wps:txbx>
                      <w:txbxContent>
                        <w:p>
                          <w:pPr>
                            <w:spacing w:before="21"/>
                            <w:ind w:left="20" w:right="0" w:firstLine="0"/>
                            <w:jc w:val="left"/>
                            <w:rPr>
                              <w:rFonts w:ascii="Georgia"/>
                              <w:sz w:val="16"/>
                            </w:rPr>
                          </w:pPr>
                          <w:r>
                            <w:rPr>
                              <w:rFonts w:ascii="Georgia"/>
                              <w:color w:val="231F20"/>
                              <w:spacing w:val="-5"/>
                              <w:sz w:val="16"/>
                            </w:rPr>
                            <w:fldChar w:fldCharType="begin"/>
                          </w:r>
                          <w:r>
                            <w:rPr>
                              <w:rFonts w:ascii="Georgia"/>
                              <w:color w:val="231F20"/>
                              <w:spacing w:val="-5"/>
                              <w:sz w:val="16"/>
                            </w:rPr>
                            <w:instrText> PAGE </w:instrText>
                          </w:r>
                          <w:r>
                            <w:rPr>
                              <w:rFonts w:ascii="Georgia"/>
                              <w:color w:val="231F20"/>
                              <w:spacing w:val="-5"/>
                              <w:sz w:val="16"/>
                            </w:rPr>
                            <w:fldChar w:fldCharType="separate"/>
                          </w:r>
                          <w:r>
                            <w:rPr>
                              <w:rFonts w:ascii="Georgia"/>
                              <w:color w:val="231F20"/>
                              <w:spacing w:val="-5"/>
                              <w:sz w:val="16"/>
                            </w:rPr>
                            <w:t>133</w:t>
                          </w:r>
                          <w:r>
                            <w:rPr>
                              <w:rFonts w:ascii="Georgia"/>
                              <w:color w:val="231F20"/>
                              <w:spacing w:val="-5"/>
                              <w:sz w:val="16"/>
                            </w:rPr>
                            <w:fldChar w:fldCharType="end"/>
                          </w:r>
                        </w:p>
                      </w:txbxContent>
                    </wps:txbx>
                    <wps:bodyPr wrap="square" lIns="0" tIns="0" rIns="0" bIns="0" rtlCol="0">
                      <a:noAutofit/>
                    </wps:bodyPr>
                  </wps:wsp>
                </a:graphicData>
              </a:graphic>
            </wp:anchor>
          </w:drawing>
        </mc:Choice>
        <mc:Fallback>
          <w:pict>
            <v:shape style="position:absolute;margin-left:202.763794pt;margin-top:556.563965pt;width:14pt;height:11.65pt;mso-position-horizontal-relative:page;mso-position-vertical-relative:page;z-index:-28803584" type="#_x0000_t202" id="docshape67" filled="false" stroked="false">
              <v:textbox inset="0,0,0,0">
                <w:txbxContent>
                  <w:p>
                    <w:pPr>
                      <w:spacing w:before="21"/>
                      <w:ind w:left="20" w:right="0" w:firstLine="0"/>
                      <w:jc w:val="left"/>
                      <w:rPr>
                        <w:rFonts w:ascii="Georgia"/>
                        <w:sz w:val="16"/>
                      </w:rPr>
                    </w:pPr>
                    <w:r>
                      <w:rPr>
                        <w:rFonts w:ascii="Georgia"/>
                        <w:color w:val="231F20"/>
                        <w:spacing w:val="-5"/>
                        <w:sz w:val="16"/>
                      </w:rPr>
                      <w:fldChar w:fldCharType="begin"/>
                    </w:r>
                    <w:r>
                      <w:rPr>
                        <w:rFonts w:ascii="Georgia"/>
                        <w:color w:val="231F20"/>
                        <w:spacing w:val="-5"/>
                        <w:sz w:val="16"/>
                      </w:rPr>
                      <w:instrText> PAGE </w:instrText>
                    </w:r>
                    <w:r>
                      <w:rPr>
                        <w:rFonts w:ascii="Georgia"/>
                        <w:color w:val="231F20"/>
                        <w:spacing w:val="-5"/>
                        <w:sz w:val="16"/>
                      </w:rPr>
                      <w:fldChar w:fldCharType="separate"/>
                    </w:r>
                    <w:r>
                      <w:rPr>
                        <w:rFonts w:ascii="Georgia"/>
                        <w:color w:val="231F20"/>
                        <w:spacing w:val="-5"/>
                        <w:sz w:val="16"/>
                      </w:rPr>
                      <w:t>133</w:t>
                    </w:r>
                    <w:r>
                      <w:rPr>
                        <w:rFonts w:ascii="Georgia"/>
                        <w:color w:val="231F20"/>
                        <w:spacing w:val="-5"/>
                        <w:sz w:val="16"/>
                      </w:rPr>
                      <w:fldChar w:fldCharType="end"/>
                    </w: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19"/>
      </w:rPr>
    </w:pPr>
    <w:r>
      <w:rPr>
        <w:sz w:val="19"/>
      </w:rPr>
      <mc:AlternateContent>
        <mc:Choice Requires="wps">
          <w:drawing>
            <wp:anchor distT="0" distB="0" distL="0" distR="0" allowOverlap="1" layoutInCell="1" locked="0" behindDoc="1" simplePos="0" relativeHeight="474513408">
              <wp:simplePos x="0" y="0"/>
              <wp:positionH relativeFrom="page">
                <wp:posOffset>2600500</wp:posOffset>
              </wp:positionH>
              <wp:positionV relativeFrom="page">
                <wp:posOffset>7068362</wp:posOffset>
              </wp:positionV>
              <wp:extent cx="139700" cy="147955"/>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139700" cy="147955"/>
                      </a:xfrm>
                      <a:prstGeom prst="rect">
                        <a:avLst/>
                      </a:prstGeom>
                    </wps:spPr>
                    <wps:txbx>
                      <w:txbxContent>
                        <w:p>
                          <w:pPr>
                            <w:spacing w:before="21"/>
                            <w:ind w:left="60" w:right="0" w:firstLine="0"/>
                            <w:jc w:val="left"/>
                            <w:rPr>
                              <w:rFonts w:ascii="Georgia"/>
                              <w:sz w:val="16"/>
                            </w:rPr>
                          </w:pPr>
                          <w:r>
                            <w:rPr>
                              <w:rFonts w:ascii="Georgia"/>
                              <w:color w:val="231F20"/>
                              <w:spacing w:val="-10"/>
                              <w:sz w:val="16"/>
                            </w:rPr>
                            <w:fldChar w:fldCharType="begin"/>
                          </w:r>
                          <w:r>
                            <w:rPr>
                              <w:rFonts w:ascii="Georgia"/>
                              <w:color w:val="231F20"/>
                              <w:spacing w:val="-10"/>
                              <w:sz w:val="16"/>
                            </w:rPr>
                            <w:instrText> PAGE </w:instrText>
                          </w:r>
                          <w:r>
                            <w:rPr>
                              <w:rFonts w:ascii="Georgia"/>
                              <w:color w:val="231F20"/>
                              <w:spacing w:val="-10"/>
                              <w:sz w:val="16"/>
                            </w:rPr>
                            <w:fldChar w:fldCharType="separate"/>
                          </w:r>
                          <w:r>
                            <w:rPr>
                              <w:rFonts w:ascii="Georgia"/>
                              <w:color w:val="231F20"/>
                              <w:spacing w:val="-10"/>
                              <w:sz w:val="16"/>
                            </w:rPr>
                            <w:t>4</w:t>
                          </w:r>
                          <w:r>
                            <w:rPr>
                              <w:rFonts w:ascii="Georgia"/>
                              <w:color w:val="231F20"/>
                              <w:spacing w:val="-10"/>
                              <w:sz w:val="16"/>
                            </w:rPr>
                            <w:fldChar w:fldCharType="end"/>
                          </w:r>
                        </w:p>
                      </w:txbxContent>
                    </wps:txbx>
                    <wps:bodyPr wrap="square" lIns="0" tIns="0" rIns="0" bIns="0" rtlCol="0">
                      <a:noAutofit/>
                    </wps:bodyPr>
                  </wps:wsp>
                </a:graphicData>
              </a:graphic>
            </wp:anchor>
          </w:drawing>
        </mc:Choice>
        <mc:Fallback>
          <w:pict>
            <v:shape style="position:absolute;margin-left:204.763794pt;margin-top:556.563965pt;width:11pt;height:11.65pt;mso-position-horizontal-relative:page;mso-position-vertical-relative:page;z-index:-28803072" type="#_x0000_t202" id="docshape93" filled="false" stroked="false">
              <v:textbox inset="0,0,0,0">
                <w:txbxContent>
                  <w:p>
                    <w:pPr>
                      <w:spacing w:before="21"/>
                      <w:ind w:left="60" w:right="0" w:firstLine="0"/>
                      <w:jc w:val="left"/>
                      <w:rPr>
                        <w:rFonts w:ascii="Georgia"/>
                        <w:sz w:val="16"/>
                      </w:rPr>
                    </w:pPr>
                    <w:r>
                      <w:rPr>
                        <w:rFonts w:ascii="Georgia"/>
                        <w:color w:val="231F20"/>
                        <w:spacing w:val="-10"/>
                        <w:sz w:val="16"/>
                      </w:rPr>
                      <w:fldChar w:fldCharType="begin"/>
                    </w:r>
                    <w:r>
                      <w:rPr>
                        <w:rFonts w:ascii="Georgia"/>
                        <w:color w:val="231F20"/>
                        <w:spacing w:val="-10"/>
                        <w:sz w:val="16"/>
                      </w:rPr>
                      <w:instrText> PAGE </w:instrText>
                    </w:r>
                    <w:r>
                      <w:rPr>
                        <w:rFonts w:ascii="Georgia"/>
                        <w:color w:val="231F20"/>
                        <w:spacing w:val="-10"/>
                        <w:sz w:val="16"/>
                      </w:rPr>
                      <w:fldChar w:fldCharType="separate"/>
                    </w:r>
                    <w:r>
                      <w:rPr>
                        <w:rFonts w:ascii="Georgia"/>
                        <w:color w:val="231F20"/>
                        <w:spacing w:val="-10"/>
                        <w:sz w:val="16"/>
                      </w:rPr>
                      <w:t>4</w:t>
                    </w:r>
                    <w:r>
                      <w:rPr>
                        <w:rFonts w:ascii="Georgia"/>
                        <w:color w:val="231F20"/>
                        <w:spacing w:val="-10"/>
                        <w:sz w:val="16"/>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17"/>
      </w:rPr>
    </w:pPr>
    <w:r>
      <w:rPr>
        <w:sz w:val="17"/>
      </w:rPr>
      <mc:AlternateContent>
        <mc:Choice Requires="wps">
          <w:drawing>
            <wp:anchor distT="0" distB="0" distL="0" distR="0" allowOverlap="1" layoutInCell="1" locked="0" behindDoc="1" simplePos="0" relativeHeight="474513920">
              <wp:simplePos x="0" y="0"/>
              <wp:positionH relativeFrom="page">
                <wp:posOffset>2600500</wp:posOffset>
              </wp:positionH>
              <wp:positionV relativeFrom="page">
                <wp:posOffset>7068362</wp:posOffset>
              </wp:positionV>
              <wp:extent cx="127000" cy="147955"/>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127000" cy="147955"/>
                      </a:xfrm>
                      <a:prstGeom prst="rect">
                        <a:avLst/>
                      </a:prstGeom>
                    </wps:spPr>
                    <wps:txbx>
                      <w:txbxContent>
                        <w:p>
                          <w:pPr>
                            <w:spacing w:before="21"/>
                            <w:ind w:left="20" w:right="0" w:firstLine="0"/>
                            <w:jc w:val="left"/>
                            <w:rPr>
                              <w:rFonts w:ascii="Georgia"/>
                              <w:sz w:val="16"/>
                            </w:rPr>
                          </w:pPr>
                          <w:r>
                            <w:rPr>
                              <w:rFonts w:ascii="Georgia"/>
                              <w:color w:val="231F20"/>
                              <w:spacing w:val="-5"/>
                              <w:sz w:val="16"/>
                            </w:rPr>
                            <w:fldChar w:fldCharType="begin"/>
                          </w:r>
                          <w:r>
                            <w:rPr>
                              <w:rFonts w:ascii="Georgia"/>
                              <w:color w:val="231F20"/>
                              <w:spacing w:val="-5"/>
                              <w:sz w:val="16"/>
                            </w:rPr>
                            <w:instrText> PAGE </w:instrText>
                          </w:r>
                          <w:r>
                            <w:rPr>
                              <w:rFonts w:ascii="Georgia"/>
                              <w:color w:val="231F20"/>
                              <w:spacing w:val="-5"/>
                              <w:sz w:val="16"/>
                            </w:rPr>
                            <w:fldChar w:fldCharType="separate"/>
                          </w:r>
                          <w:r>
                            <w:rPr>
                              <w:rFonts w:ascii="Georgia"/>
                              <w:color w:val="231F20"/>
                              <w:spacing w:val="-5"/>
                              <w:sz w:val="16"/>
                            </w:rPr>
                            <w:t>54</w:t>
                          </w:r>
                          <w:r>
                            <w:rPr>
                              <w:rFonts w:ascii="Georgia"/>
                              <w:color w:val="231F20"/>
                              <w:spacing w:val="-5"/>
                              <w:sz w:val="16"/>
                            </w:rPr>
                            <w:fldChar w:fldCharType="end"/>
                          </w:r>
                        </w:p>
                      </w:txbxContent>
                    </wps:txbx>
                    <wps:bodyPr wrap="square" lIns="0" tIns="0" rIns="0" bIns="0" rtlCol="0">
                      <a:noAutofit/>
                    </wps:bodyPr>
                  </wps:wsp>
                </a:graphicData>
              </a:graphic>
            </wp:anchor>
          </w:drawing>
        </mc:Choice>
        <mc:Fallback>
          <w:pict>
            <v:shape style="position:absolute;margin-left:204.763794pt;margin-top:556.563965pt;width:10pt;height:11.65pt;mso-position-horizontal-relative:page;mso-position-vertical-relative:page;z-index:-28802560" type="#_x0000_t202" id="docshape94" filled="false" stroked="false">
              <v:textbox inset="0,0,0,0">
                <w:txbxContent>
                  <w:p>
                    <w:pPr>
                      <w:spacing w:before="21"/>
                      <w:ind w:left="20" w:right="0" w:firstLine="0"/>
                      <w:jc w:val="left"/>
                      <w:rPr>
                        <w:rFonts w:ascii="Georgia"/>
                        <w:sz w:val="16"/>
                      </w:rPr>
                    </w:pPr>
                    <w:r>
                      <w:rPr>
                        <w:rFonts w:ascii="Georgia"/>
                        <w:color w:val="231F20"/>
                        <w:spacing w:val="-5"/>
                        <w:sz w:val="16"/>
                      </w:rPr>
                      <w:fldChar w:fldCharType="begin"/>
                    </w:r>
                    <w:r>
                      <w:rPr>
                        <w:rFonts w:ascii="Georgia"/>
                        <w:color w:val="231F20"/>
                        <w:spacing w:val="-5"/>
                        <w:sz w:val="16"/>
                      </w:rPr>
                      <w:instrText> PAGE </w:instrText>
                    </w:r>
                    <w:r>
                      <w:rPr>
                        <w:rFonts w:ascii="Georgia"/>
                        <w:color w:val="231F20"/>
                        <w:spacing w:val="-5"/>
                        <w:sz w:val="16"/>
                      </w:rPr>
                      <w:fldChar w:fldCharType="separate"/>
                    </w:r>
                    <w:r>
                      <w:rPr>
                        <w:rFonts w:ascii="Georgia"/>
                        <w:color w:val="231F20"/>
                        <w:spacing w:val="-5"/>
                        <w:sz w:val="16"/>
                      </w:rPr>
                      <w:t>54</w:t>
                    </w:r>
                    <w:r>
                      <w:rPr>
                        <w:rFonts w:ascii="Georgia"/>
                        <w:color w:val="231F20"/>
                        <w:spacing w:val="-5"/>
                        <w:sz w:val="16"/>
                      </w:rPr>
                      <w:fldChar w:fldCharType="end"/>
                    </w:r>
                  </w:p>
                </w:txbxContent>
              </v:textbox>
              <w10:wrap type="none"/>
            </v:shape>
          </w:pict>
        </mc:Fallback>
      </mc:AlternateContent>
    </w: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18"/>
      </w:rPr>
    </w:pPr>
    <w:r>
      <w:rPr>
        <w:sz w:val="18"/>
      </w:rPr>
      <mc:AlternateContent>
        <mc:Choice Requires="wps">
          <w:drawing>
            <wp:anchor distT="0" distB="0" distL="0" distR="0" allowOverlap="1" layoutInCell="1" locked="0" behindDoc="1" simplePos="0" relativeHeight="474514432">
              <wp:simplePos x="0" y="0"/>
              <wp:positionH relativeFrom="page">
                <wp:posOffset>2575100</wp:posOffset>
              </wp:positionH>
              <wp:positionV relativeFrom="page">
                <wp:posOffset>7068362</wp:posOffset>
              </wp:positionV>
              <wp:extent cx="190500" cy="147955"/>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190500" cy="147955"/>
                      </a:xfrm>
                      <a:prstGeom prst="rect">
                        <a:avLst/>
                      </a:prstGeom>
                    </wps:spPr>
                    <wps:txbx>
                      <w:txbxContent>
                        <w:p>
                          <w:pPr>
                            <w:spacing w:before="21"/>
                            <w:ind w:left="60" w:right="0" w:firstLine="0"/>
                            <w:jc w:val="left"/>
                            <w:rPr>
                              <w:rFonts w:ascii="Georgia"/>
                              <w:sz w:val="16"/>
                            </w:rPr>
                          </w:pPr>
                          <w:r>
                            <w:rPr>
                              <w:rFonts w:ascii="Georgia"/>
                              <w:color w:val="231F20"/>
                              <w:spacing w:val="-5"/>
                              <w:w w:val="105"/>
                              <w:sz w:val="16"/>
                            </w:rPr>
                            <w:fldChar w:fldCharType="begin"/>
                          </w:r>
                          <w:r>
                            <w:rPr>
                              <w:rFonts w:ascii="Georgia"/>
                              <w:color w:val="231F20"/>
                              <w:spacing w:val="-5"/>
                              <w:w w:val="105"/>
                              <w:sz w:val="16"/>
                            </w:rPr>
                            <w:instrText> PAGE </w:instrText>
                          </w:r>
                          <w:r>
                            <w:rPr>
                              <w:rFonts w:ascii="Georgia"/>
                              <w:color w:val="231F20"/>
                              <w:spacing w:val="-5"/>
                              <w:w w:val="105"/>
                              <w:sz w:val="16"/>
                            </w:rPr>
                            <w:fldChar w:fldCharType="separate"/>
                          </w:r>
                          <w:r>
                            <w:rPr>
                              <w:rFonts w:ascii="Georgia"/>
                              <w:color w:val="231F20"/>
                              <w:spacing w:val="-5"/>
                              <w:w w:val="105"/>
                              <w:sz w:val="16"/>
                            </w:rPr>
                            <w:t>71</w:t>
                          </w:r>
                          <w:r>
                            <w:rPr>
                              <w:rFonts w:ascii="Georgia"/>
                              <w:color w:val="231F20"/>
                              <w:spacing w:val="-5"/>
                              <w:w w:val="105"/>
                              <w:sz w:val="16"/>
                            </w:rPr>
                            <w:fldChar w:fldCharType="end"/>
                          </w:r>
                        </w:p>
                      </w:txbxContent>
                    </wps:txbx>
                    <wps:bodyPr wrap="square" lIns="0" tIns="0" rIns="0" bIns="0" rtlCol="0">
                      <a:noAutofit/>
                    </wps:bodyPr>
                  </wps:wsp>
                </a:graphicData>
              </a:graphic>
            </wp:anchor>
          </w:drawing>
        </mc:Choice>
        <mc:Fallback>
          <w:pict>
            <v:shape style="position:absolute;margin-left:202.763794pt;margin-top:556.563965pt;width:15pt;height:11.65pt;mso-position-horizontal-relative:page;mso-position-vertical-relative:page;z-index:-28802048" type="#_x0000_t202" id="docshape96" filled="false" stroked="false">
              <v:textbox inset="0,0,0,0">
                <w:txbxContent>
                  <w:p>
                    <w:pPr>
                      <w:spacing w:before="21"/>
                      <w:ind w:left="60" w:right="0" w:firstLine="0"/>
                      <w:jc w:val="left"/>
                      <w:rPr>
                        <w:rFonts w:ascii="Georgia"/>
                        <w:sz w:val="16"/>
                      </w:rPr>
                    </w:pPr>
                    <w:r>
                      <w:rPr>
                        <w:rFonts w:ascii="Georgia"/>
                        <w:color w:val="231F20"/>
                        <w:spacing w:val="-5"/>
                        <w:w w:val="105"/>
                        <w:sz w:val="16"/>
                      </w:rPr>
                      <w:fldChar w:fldCharType="begin"/>
                    </w:r>
                    <w:r>
                      <w:rPr>
                        <w:rFonts w:ascii="Georgia"/>
                        <w:color w:val="231F20"/>
                        <w:spacing w:val="-5"/>
                        <w:w w:val="105"/>
                        <w:sz w:val="16"/>
                      </w:rPr>
                      <w:instrText> PAGE </w:instrText>
                    </w:r>
                    <w:r>
                      <w:rPr>
                        <w:rFonts w:ascii="Georgia"/>
                        <w:color w:val="231F20"/>
                        <w:spacing w:val="-5"/>
                        <w:w w:val="105"/>
                        <w:sz w:val="16"/>
                      </w:rPr>
                      <w:fldChar w:fldCharType="separate"/>
                    </w:r>
                    <w:r>
                      <w:rPr>
                        <w:rFonts w:ascii="Georgia"/>
                        <w:color w:val="231F20"/>
                        <w:spacing w:val="-5"/>
                        <w:w w:val="105"/>
                        <w:sz w:val="16"/>
                      </w:rPr>
                      <w:t>71</w:t>
                    </w:r>
                    <w:r>
                      <w:rPr>
                        <w:rFonts w:ascii="Georgia"/>
                        <w:color w:val="231F20"/>
                        <w:spacing w:val="-5"/>
                        <w:w w:val="105"/>
                        <w:sz w:val="16"/>
                      </w:rPr>
                      <w:fldChar w:fldCharType="end"/>
                    </w:r>
                  </w:p>
                </w:txbxContent>
              </v:textbox>
              <w10:wrap type="none"/>
            </v:shape>
          </w:pict>
        </mc:Fallback>
      </mc:AlternateContent>
    </w: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19"/>
      </w:rPr>
    </w:pPr>
    <w:r>
      <w:rPr>
        <w:sz w:val="19"/>
      </w:rPr>
      <mc:AlternateContent>
        <mc:Choice Requires="wps">
          <w:drawing>
            <wp:anchor distT="0" distB="0" distL="0" distR="0" allowOverlap="1" layoutInCell="1" locked="0" behindDoc="1" simplePos="0" relativeHeight="474514944">
              <wp:simplePos x="0" y="0"/>
              <wp:positionH relativeFrom="page">
                <wp:posOffset>2575100</wp:posOffset>
              </wp:positionH>
              <wp:positionV relativeFrom="page">
                <wp:posOffset>6989401</wp:posOffset>
              </wp:positionV>
              <wp:extent cx="190500" cy="147955"/>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190500" cy="147955"/>
                      </a:xfrm>
                      <a:prstGeom prst="rect">
                        <a:avLst/>
                      </a:prstGeom>
                    </wps:spPr>
                    <wps:txbx>
                      <w:txbxContent>
                        <w:p>
                          <w:pPr>
                            <w:spacing w:before="21"/>
                            <w:ind w:left="60" w:right="0" w:firstLine="0"/>
                            <w:jc w:val="left"/>
                            <w:rPr>
                              <w:rFonts w:ascii="Georgia"/>
                              <w:sz w:val="16"/>
                            </w:rPr>
                          </w:pPr>
                          <w:r>
                            <w:rPr>
                              <w:rFonts w:ascii="Georgia"/>
                              <w:color w:val="231F20"/>
                              <w:spacing w:val="-5"/>
                              <w:sz w:val="16"/>
                            </w:rPr>
                            <w:fldChar w:fldCharType="begin"/>
                          </w:r>
                          <w:r>
                            <w:rPr>
                              <w:rFonts w:ascii="Georgia"/>
                              <w:color w:val="231F20"/>
                              <w:spacing w:val="-5"/>
                              <w:sz w:val="16"/>
                            </w:rPr>
                            <w:instrText> PAGE </w:instrText>
                          </w:r>
                          <w:r>
                            <w:rPr>
                              <w:rFonts w:ascii="Georgia"/>
                              <w:color w:val="231F20"/>
                              <w:spacing w:val="-5"/>
                              <w:sz w:val="16"/>
                            </w:rPr>
                            <w:fldChar w:fldCharType="separate"/>
                          </w:r>
                          <w:r>
                            <w:rPr>
                              <w:rFonts w:ascii="Georgia"/>
                              <w:color w:val="231F20"/>
                              <w:spacing w:val="-5"/>
                              <w:sz w:val="16"/>
                            </w:rPr>
                            <w:t>97</w:t>
                          </w:r>
                          <w:r>
                            <w:rPr>
                              <w:rFonts w:ascii="Georgia"/>
                              <w:color w:val="231F20"/>
                              <w:spacing w:val="-5"/>
                              <w:sz w:val="16"/>
                            </w:rPr>
                            <w:fldChar w:fldCharType="end"/>
                          </w:r>
                        </w:p>
                      </w:txbxContent>
                    </wps:txbx>
                    <wps:bodyPr wrap="square" lIns="0" tIns="0" rIns="0" bIns="0" rtlCol="0">
                      <a:noAutofit/>
                    </wps:bodyPr>
                  </wps:wsp>
                </a:graphicData>
              </a:graphic>
            </wp:anchor>
          </w:drawing>
        </mc:Choice>
        <mc:Fallback>
          <w:pict>
            <v:shape style="position:absolute;margin-left:202.763794pt;margin-top:550.346558pt;width:15pt;height:11.65pt;mso-position-horizontal-relative:page;mso-position-vertical-relative:page;z-index:-28801536" type="#_x0000_t202" id="docshape97" filled="false" stroked="false">
              <v:textbox inset="0,0,0,0">
                <w:txbxContent>
                  <w:p>
                    <w:pPr>
                      <w:spacing w:before="21"/>
                      <w:ind w:left="60" w:right="0" w:firstLine="0"/>
                      <w:jc w:val="left"/>
                      <w:rPr>
                        <w:rFonts w:ascii="Georgia"/>
                        <w:sz w:val="16"/>
                      </w:rPr>
                    </w:pPr>
                    <w:r>
                      <w:rPr>
                        <w:rFonts w:ascii="Georgia"/>
                        <w:color w:val="231F20"/>
                        <w:spacing w:val="-5"/>
                        <w:sz w:val="16"/>
                      </w:rPr>
                      <w:fldChar w:fldCharType="begin"/>
                    </w:r>
                    <w:r>
                      <w:rPr>
                        <w:rFonts w:ascii="Georgia"/>
                        <w:color w:val="231F20"/>
                        <w:spacing w:val="-5"/>
                        <w:sz w:val="16"/>
                      </w:rPr>
                      <w:instrText> PAGE </w:instrText>
                    </w:r>
                    <w:r>
                      <w:rPr>
                        <w:rFonts w:ascii="Georgia"/>
                        <w:color w:val="231F20"/>
                        <w:spacing w:val="-5"/>
                        <w:sz w:val="16"/>
                      </w:rPr>
                      <w:fldChar w:fldCharType="separate"/>
                    </w:r>
                    <w:r>
                      <w:rPr>
                        <w:rFonts w:ascii="Georgia"/>
                        <w:color w:val="231F20"/>
                        <w:spacing w:val="-5"/>
                        <w:sz w:val="16"/>
                      </w:rPr>
                      <w:t>97</w:t>
                    </w:r>
                    <w:r>
                      <w:rPr>
                        <w:rFonts w:ascii="Georgia"/>
                        <w:color w:val="231F20"/>
                        <w:spacing w:val="-5"/>
                        <w:sz w:val="16"/>
                      </w:rPr>
                      <w:fldChar w:fldCharType="end"/>
                    </w:r>
                  </w:p>
                </w:txbxContent>
              </v:textbox>
              <w10:wrap type="none"/>
            </v:shape>
          </w:pict>
        </mc:Fallback>
      </mc:AlternateContent>
    </w:r>
  </w:p>
</w:ftr>
</file>

<file path=word/footer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pPr>
    <w:r>
      <w:rPr/>
      <mc:AlternateContent>
        <mc:Choice Requires="wps">
          <w:drawing>
            <wp:anchor distT="0" distB="0" distL="0" distR="0" allowOverlap="1" layoutInCell="1" locked="0" behindDoc="1" simplePos="0" relativeHeight="474515456">
              <wp:simplePos x="0" y="0"/>
              <wp:positionH relativeFrom="page">
                <wp:posOffset>2549700</wp:posOffset>
              </wp:positionH>
              <wp:positionV relativeFrom="page">
                <wp:posOffset>6989401</wp:posOffset>
              </wp:positionV>
              <wp:extent cx="241300" cy="147955"/>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a:off x="0" y="0"/>
                        <a:ext cx="241300" cy="147955"/>
                      </a:xfrm>
                      <a:prstGeom prst="rect">
                        <a:avLst/>
                      </a:prstGeom>
                    </wps:spPr>
                    <wps:txbx>
                      <w:txbxContent>
                        <w:p>
                          <w:pPr>
                            <w:spacing w:before="21"/>
                            <w:ind w:left="60" w:right="0" w:firstLine="0"/>
                            <w:jc w:val="left"/>
                            <w:rPr>
                              <w:rFonts w:ascii="Georgia"/>
                              <w:sz w:val="16"/>
                            </w:rPr>
                          </w:pPr>
                          <w:r>
                            <w:rPr>
                              <w:rFonts w:ascii="Georgia"/>
                              <w:color w:val="231F20"/>
                              <w:spacing w:val="-5"/>
                              <w:sz w:val="16"/>
                            </w:rPr>
                            <w:fldChar w:fldCharType="begin"/>
                          </w:r>
                          <w:r>
                            <w:rPr>
                              <w:rFonts w:ascii="Georgia"/>
                              <w:color w:val="231F20"/>
                              <w:spacing w:val="-5"/>
                              <w:sz w:val="16"/>
                            </w:rPr>
                            <w:instrText> PAGE </w:instrText>
                          </w:r>
                          <w:r>
                            <w:rPr>
                              <w:rFonts w:ascii="Georgia"/>
                              <w:color w:val="231F20"/>
                              <w:spacing w:val="-5"/>
                              <w:sz w:val="16"/>
                            </w:rPr>
                            <w:fldChar w:fldCharType="separate"/>
                          </w:r>
                          <w:r>
                            <w:rPr>
                              <w:rFonts w:ascii="Georgia"/>
                              <w:color w:val="231F20"/>
                              <w:spacing w:val="-5"/>
                              <w:sz w:val="16"/>
                            </w:rPr>
                            <w:t>100</w:t>
                          </w:r>
                          <w:r>
                            <w:rPr>
                              <w:rFonts w:ascii="Georgia"/>
                              <w:color w:val="231F20"/>
                              <w:spacing w:val="-5"/>
                              <w:sz w:val="16"/>
                            </w:rPr>
                            <w:fldChar w:fldCharType="end"/>
                          </w:r>
                        </w:p>
                      </w:txbxContent>
                    </wps:txbx>
                    <wps:bodyPr wrap="square" lIns="0" tIns="0" rIns="0" bIns="0" rtlCol="0">
                      <a:noAutofit/>
                    </wps:bodyPr>
                  </wps:wsp>
                </a:graphicData>
              </a:graphic>
            </wp:anchor>
          </w:drawing>
        </mc:Choice>
        <mc:Fallback>
          <w:pict>
            <v:shape style="position:absolute;margin-left:200.763794pt;margin-top:550.346558pt;width:19pt;height:11.65pt;mso-position-horizontal-relative:page;mso-position-vertical-relative:page;z-index:-28801024" type="#_x0000_t202" id="docshape98" filled="false" stroked="false">
              <v:textbox inset="0,0,0,0">
                <w:txbxContent>
                  <w:p>
                    <w:pPr>
                      <w:spacing w:before="21"/>
                      <w:ind w:left="60" w:right="0" w:firstLine="0"/>
                      <w:jc w:val="left"/>
                      <w:rPr>
                        <w:rFonts w:ascii="Georgia"/>
                        <w:sz w:val="16"/>
                      </w:rPr>
                    </w:pPr>
                    <w:r>
                      <w:rPr>
                        <w:rFonts w:ascii="Georgia"/>
                        <w:color w:val="231F20"/>
                        <w:spacing w:val="-5"/>
                        <w:sz w:val="16"/>
                      </w:rPr>
                      <w:fldChar w:fldCharType="begin"/>
                    </w:r>
                    <w:r>
                      <w:rPr>
                        <w:rFonts w:ascii="Georgia"/>
                        <w:color w:val="231F20"/>
                        <w:spacing w:val="-5"/>
                        <w:sz w:val="16"/>
                      </w:rPr>
                      <w:instrText> PAGE </w:instrText>
                    </w:r>
                    <w:r>
                      <w:rPr>
                        <w:rFonts w:ascii="Georgia"/>
                        <w:color w:val="231F20"/>
                        <w:spacing w:val="-5"/>
                        <w:sz w:val="16"/>
                      </w:rPr>
                      <w:fldChar w:fldCharType="separate"/>
                    </w:r>
                    <w:r>
                      <w:rPr>
                        <w:rFonts w:ascii="Georgia"/>
                        <w:color w:val="231F20"/>
                        <w:spacing w:val="-5"/>
                        <w:sz w:val="16"/>
                      </w:rPr>
                      <w:t>100</w:t>
                    </w:r>
                    <w:r>
                      <w:rPr>
                        <w:rFonts w:ascii="Georgia"/>
                        <w:color w:val="231F20"/>
                        <w:spacing w:val="-5"/>
                        <w:sz w:val="16"/>
                      </w:rPr>
                      <w:fldChar w:fldCharType="end"/>
                    </w:r>
                  </w:p>
                </w:txbxContent>
              </v:textbox>
              <w10:wrap type="none"/>
            </v:shape>
          </w:pict>
        </mc:Fallback>
      </mc:AlternateContent>
    </w:r>
  </w:p>
</w:ftr>
</file>

<file path=word/footer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3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18"/>
      </w:rPr>
    </w:pPr>
    <w:r>
      <w:rPr>
        <w:sz w:val="18"/>
      </w:rPr>
      <mc:AlternateContent>
        <mc:Choice Requires="wps">
          <w:drawing>
            <wp:anchor distT="0" distB="0" distL="0" distR="0" allowOverlap="1" layoutInCell="1" locked="0" behindDoc="1" simplePos="0" relativeHeight="474515968">
              <wp:simplePos x="0" y="0"/>
              <wp:positionH relativeFrom="page">
                <wp:posOffset>2549700</wp:posOffset>
              </wp:positionH>
              <wp:positionV relativeFrom="page">
                <wp:posOffset>7068362</wp:posOffset>
              </wp:positionV>
              <wp:extent cx="241300" cy="147955"/>
              <wp:effectExtent l="0" t="0" r="0" b="0"/>
              <wp:wrapNone/>
              <wp:docPr id="157" name="Textbox 157"/>
              <wp:cNvGraphicFramePr>
                <a:graphicFrameLocks/>
              </wp:cNvGraphicFramePr>
              <a:graphic>
                <a:graphicData uri="http://schemas.microsoft.com/office/word/2010/wordprocessingShape">
                  <wps:wsp>
                    <wps:cNvPr id="157" name="Textbox 157"/>
                    <wps:cNvSpPr txBox="1"/>
                    <wps:spPr>
                      <a:xfrm>
                        <a:off x="0" y="0"/>
                        <a:ext cx="241300" cy="147955"/>
                      </a:xfrm>
                      <a:prstGeom prst="rect">
                        <a:avLst/>
                      </a:prstGeom>
                    </wps:spPr>
                    <wps:txbx>
                      <w:txbxContent>
                        <w:p>
                          <w:pPr>
                            <w:spacing w:before="21"/>
                            <w:ind w:left="60" w:right="0" w:firstLine="0"/>
                            <w:jc w:val="left"/>
                            <w:rPr>
                              <w:rFonts w:ascii="Georgia"/>
                              <w:sz w:val="16"/>
                            </w:rPr>
                          </w:pPr>
                          <w:r>
                            <w:rPr>
                              <w:rFonts w:ascii="Georgia"/>
                              <w:color w:val="231F20"/>
                              <w:spacing w:val="-5"/>
                              <w:sz w:val="16"/>
                            </w:rPr>
                            <w:fldChar w:fldCharType="begin"/>
                          </w:r>
                          <w:r>
                            <w:rPr>
                              <w:rFonts w:ascii="Georgia"/>
                              <w:color w:val="231F20"/>
                              <w:spacing w:val="-5"/>
                              <w:sz w:val="16"/>
                            </w:rPr>
                            <w:instrText> PAGE </w:instrText>
                          </w:r>
                          <w:r>
                            <w:rPr>
                              <w:rFonts w:ascii="Georgia"/>
                              <w:color w:val="231F20"/>
                              <w:spacing w:val="-5"/>
                              <w:sz w:val="16"/>
                            </w:rPr>
                            <w:fldChar w:fldCharType="separate"/>
                          </w:r>
                          <w:r>
                            <w:rPr>
                              <w:rFonts w:ascii="Georgia"/>
                              <w:color w:val="231F20"/>
                              <w:spacing w:val="-5"/>
                              <w:sz w:val="16"/>
                            </w:rPr>
                            <w:t>149</w:t>
                          </w:r>
                          <w:r>
                            <w:rPr>
                              <w:rFonts w:ascii="Georgia"/>
                              <w:color w:val="231F20"/>
                              <w:spacing w:val="-5"/>
                              <w:sz w:val="16"/>
                            </w:rPr>
                            <w:fldChar w:fldCharType="end"/>
                          </w:r>
                        </w:p>
                      </w:txbxContent>
                    </wps:txbx>
                    <wps:bodyPr wrap="square" lIns="0" tIns="0" rIns="0" bIns="0" rtlCol="0">
                      <a:noAutofit/>
                    </wps:bodyPr>
                  </wps:wsp>
                </a:graphicData>
              </a:graphic>
            </wp:anchor>
          </w:drawing>
        </mc:Choice>
        <mc:Fallback>
          <w:pict>
            <v:shape style="position:absolute;margin-left:200.763794pt;margin-top:556.563965pt;width:19pt;height:11.65pt;mso-position-horizontal-relative:page;mso-position-vertical-relative:page;z-index:-28800512" type="#_x0000_t202" id="docshape99" filled="false" stroked="false">
              <v:textbox inset="0,0,0,0">
                <w:txbxContent>
                  <w:p>
                    <w:pPr>
                      <w:spacing w:before="21"/>
                      <w:ind w:left="60" w:right="0" w:firstLine="0"/>
                      <w:jc w:val="left"/>
                      <w:rPr>
                        <w:rFonts w:ascii="Georgia"/>
                        <w:sz w:val="16"/>
                      </w:rPr>
                    </w:pPr>
                    <w:r>
                      <w:rPr>
                        <w:rFonts w:ascii="Georgia"/>
                        <w:color w:val="231F20"/>
                        <w:spacing w:val="-5"/>
                        <w:sz w:val="16"/>
                      </w:rPr>
                      <w:fldChar w:fldCharType="begin"/>
                    </w:r>
                    <w:r>
                      <w:rPr>
                        <w:rFonts w:ascii="Georgia"/>
                        <w:color w:val="231F20"/>
                        <w:spacing w:val="-5"/>
                        <w:sz w:val="16"/>
                      </w:rPr>
                      <w:instrText> PAGE </w:instrText>
                    </w:r>
                    <w:r>
                      <w:rPr>
                        <w:rFonts w:ascii="Georgia"/>
                        <w:color w:val="231F20"/>
                        <w:spacing w:val="-5"/>
                        <w:sz w:val="16"/>
                      </w:rPr>
                      <w:fldChar w:fldCharType="separate"/>
                    </w:r>
                    <w:r>
                      <w:rPr>
                        <w:rFonts w:ascii="Georgia"/>
                        <w:color w:val="231F20"/>
                        <w:spacing w:val="-5"/>
                        <w:sz w:val="16"/>
                      </w:rPr>
                      <w:t>149</w:t>
                    </w:r>
                    <w:r>
                      <w:rPr>
                        <w:rFonts w:ascii="Georgia"/>
                        <w:color w:val="231F20"/>
                        <w:spacing w:val="-5"/>
                        <w:sz w:val="16"/>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4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4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17"/>
      </w:rPr>
    </w:pPr>
    <w:r>
      <w:rPr>
        <w:sz w:val="17"/>
      </w:rPr>
      <mc:AlternateContent>
        <mc:Choice Requires="wps">
          <w:drawing>
            <wp:anchor distT="0" distB="0" distL="0" distR="0" allowOverlap="1" layoutInCell="1" locked="0" behindDoc="1" simplePos="0" relativeHeight="474508288">
              <wp:simplePos x="0" y="0"/>
              <wp:positionH relativeFrom="page">
                <wp:posOffset>6867906</wp:posOffset>
              </wp:positionH>
              <wp:positionV relativeFrom="page">
                <wp:posOffset>9900946</wp:posOffset>
              </wp:positionV>
              <wp:extent cx="203835" cy="18097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03835" cy="180975"/>
                      </a:xfrm>
                      <a:prstGeom prst="rect">
                        <a:avLst/>
                      </a:prstGeom>
                    </wps:spPr>
                    <wps:txbx>
                      <w:txbxContent>
                        <w:p>
                          <w:pPr>
                            <w:spacing w:before="11"/>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40.780029pt;margin-top:779.602112pt;width:16.05pt;height:14.25pt;mso-position-horizontal-relative:page;mso-position-vertical-relative:page;z-index:-28808192" type="#_x0000_t202" id="docshape8" filled="false" stroked="false">
              <v:textbox inset="0,0,0,0">
                <w:txbxContent>
                  <w:p>
                    <w:pPr>
                      <w:spacing w:before="11"/>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w:t>
                    </w:r>
                    <w:r>
                      <w:rPr>
                        <w:spacing w:val="-5"/>
                        <w:sz w:val="22"/>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pPr>
    <w:r>
      <w:rPr/>
      <mc:AlternateContent>
        <mc:Choice Requires="wps">
          <w:drawing>
            <wp:anchor distT="0" distB="0" distL="0" distR="0" allowOverlap="1" layoutInCell="1" locked="0" behindDoc="1" simplePos="0" relativeHeight="474508800">
              <wp:simplePos x="0" y="0"/>
              <wp:positionH relativeFrom="page">
                <wp:posOffset>9794747</wp:posOffset>
              </wp:positionH>
              <wp:positionV relativeFrom="page">
                <wp:posOffset>6770346</wp:posOffset>
              </wp:positionV>
              <wp:extent cx="229235" cy="18097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59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71.23999pt;margin-top:533.098145pt;width:18.05pt;height:14.25pt;mso-position-horizontal-relative:page;mso-position-vertical-relative:page;z-index:-28807680" type="#_x0000_t202" id="docshape1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59</w:t>
                    </w:r>
                    <w:r>
                      <w:rPr>
                        <w:spacing w:val="-5"/>
                        <w:sz w:val="22"/>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17"/>
      </w:rPr>
    </w:pPr>
    <w:r>
      <w:rPr>
        <w:sz w:val="17"/>
      </w:rPr>
      <mc:AlternateContent>
        <mc:Choice Requires="wps">
          <w:drawing>
            <wp:anchor distT="0" distB="0" distL="0" distR="0" allowOverlap="1" layoutInCell="1" locked="0" behindDoc="1" simplePos="0" relativeHeight="474509312">
              <wp:simplePos x="0" y="0"/>
              <wp:positionH relativeFrom="page">
                <wp:posOffset>6844030</wp:posOffset>
              </wp:positionH>
              <wp:positionV relativeFrom="page">
                <wp:posOffset>9902470</wp:posOffset>
              </wp:positionV>
              <wp:extent cx="229235" cy="18097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69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38.900024pt;margin-top:779.722107pt;width:18.05pt;height:14.25pt;mso-position-horizontal-relative:page;mso-position-vertical-relative:page;z-index:-28807168" type="#_x0000_t202" id="docshape1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69</w:t>
                    </w:r>
                    <w:r>
                      <w:rPr>
                        <w:spacing w:val="-5"/>
                        <w:sz w:val="22"/>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pPr>
    <w:r>
      <w:rPr/>
      <mc:AlternateContent>
        <mc:Choice Requires="wps">
          <w:drawing>
            <wp:anchor distT="0" distB="0" distL="0" distR="0" allowOverlap="1" layoutInCell="1" locked="0" behindDoc="1" simplePos="0" relativeHeight="474509824">
              <wp:simplePos x="0" y="0"/>
              <wp:positionH relativeFrom="page">
                <wp:posOffset>9794747</wp:posOffset>
              </wp:positionH>
              <wp:positionV relativeFrom="page">
                <wp:posOffset>6770346</wp:posOffset>
              </wp:positionV>
              <wp:extent cx="229235" cy="18097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75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71.23999pt;margin-top:533.098145pt;width:18.05pt;height:14.25pt;mso-position-horizontal-relative:page;mso-position-vertical-relative:page;z-index:-28806656" type="#_x0000_t202" id="docshape1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75</w:t>
                    </w:r>
                    <w:r>
                      <w:rPr>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7">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1">
      <w:start w:val="4"/>
      <w:numFmt w:val="decimal"/>
      <w:lvlText w:val="%2."/>
      <w:lvlJc w:val="left"/>
      <w:pPr>
        <w:ind w:left="888" w:hanging="180"/>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2">
      <w:start w:val="1"/>
      <w:numFmt w:val="decimal"/>
      <w:lvlText w:val="%2.%3."/>
      <w:lvlJc w:val="left"/>
      <w:pPr>
        <w:ind w:left="456" w:hanging="315"/>
        <w:jc w:val="left"/>
      </w:pPr>
      <w:rPr>
        <w:rFonts w:hint="default" w:ascii="Georgia" w:hAnsi="Georgia" w:eastAsia="Georgia" w:cs="Georgia"/>
        <w:b w:val="0"/>
        <w:bCs w:val="0"/>
        <w:i w:val="0"/>
        <w:iCs w:val="0"/>
        <w:color w:val="231F20"/>
        <w:spacing w:val="0"/>
        <w:w w:val="97"/>
        <w:sz w:val="18"/>
        <w:szCs w:val="18"/>
        <w:lang w:val="ru-RU" w:eastAsia="en-US" w:bidi="ar-SA"/>
      </w:rPr>
    </w:lvl>
    <w:lvl w:ilvl="3">
      <w:start w:val="0"/>
      <w:numFmt w:val="bullet"/>
      <w:lvlText w:val="•"/>
      <w:lvlJc w:val="left"/>
      <w:pPr>
        <w:ind w:left="1712" w:hanging="315"/>
      </w:pPr>
      <w:rPr>
        <w:rFonts w:hint="default"/>
        <w:lang w:val="ru-RU" w:eastAsia="en-US" w:bidi="ar-SA"/>
      </w:rPr>
    </w:lvl>
    <w:lvl w:ilvl="4">
      <w:start w:val="0"/>
      <w:numFmt w:val="bullet"/>
      <w:lvlText w:val="•"/>
      <w:lvlJc w:val="left"/>
      <w:pPr>
        <w:ind w:left="2545" w:hanging="315"/>
      </w:pPr>
      <w:rPr>
        <w:rFonts w:hint="default"/>
        <w:lang w:val="ru-RU" w:eastAsia="en-US" w:bidi="ar-SA"/>
      </w:rPr>
    </w:lvl>
    <w:lvl w:ilvl="5">
      <w:start w:val="0"/>
      <w:numFmt w:val="bullet"/>
      <w:lvlText w:val="•"/>
      <w:lvlJc w:val="left"/>
      <w:pPr>
        <w:ind w:left="3377" w:hanging="315"/>
      </w:pPr>
      <w:rPr>
        <w:rFonts w:hint="default"/>
        <w:lang w:val="ru-RU" w:eastAsia="en-US" w:bidi="ar-SA"/>
      </w:rPr>
    </w:lvl>
    <w:lvl w:ilvl="6">
      <w:start w:val="0"/>
      <w:numFmt w:val="bullet"/>
      <w:lvlText w:val="•"/>
      <w:lvlJc w:val="left"/>
      <w:pPr>
        <w:ind w:left="4210" w:hanging="315"/>
      </w:pPr>
      <w:rPr>
        <w:rFonts w:hint="default"/>
        <w:lang w:val="ru-RU" w:eastAsia="en-US" w:bidi="ar-SA"/>
      </w:rPr>
    </w:lvl>
    <w:lvl w:ilvl="7">
      <w:start w:val="0"/>
      <w:numFmt w:val="bullet"/>
      <w:lvlText w:val="•"/>
      <w:lvlJc w:val="left"/>
      <w:pPr>
        <w:ind w:left="5042" w:hanging="315"/>
      </w:pPr>
      <w:rPr>
        <w:rFonts w:hint="default"/>
        <w:lang w:val="ru-RU" w:eastAsia="en-US" w:bidi="ar-SA"/>
      </w:rPr>
    </w:lvl>
    <w:lvl w:ilvl="8">
      <w:start w:val="0"/>
      <w:numFmt w:val="bullet"/>
      <w:lvlText w:val="•"/>
      <w:lvlJc w:val="left"/>
      <w:pPr>
        <w:ind w:left="5875" w:hanging="315"/>
      </w:pPr>
      <w:rPr>
        <w:rFonts w:hint="default"/>
        <w:lang w:val="ru-RU" w:eastAsia="en-US" w:bidi="ar-SA"/>
      </w:rPr>
    </w:lvl>
  </w:abstractNum>
  <w:abstractNum w:abstractNumId="254">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52">
    <w:multiLevelType w:val="hybridMultilevel"/>
    <w:lvl w:ilvl="0">
      <w:start w:val="1"/>
      <w:numFmt w:val="decimal"/>
      <w:lvlText w:val="%1."/>
      <w:lvlJc w:val="left"/>
      <w:pPr>
        <w:ind w:left="141" w:hanging="437"/>
        <w:jc w:val="left"/>
      </w:pPr>
      <w:rPr>
        <w:rFonts w:hint="default"/>
        <w:spacing w:val="-1"/>
        <w:w w:val="100"/>
        <w:lang w:val="ru-RU" w:eastAsia="en-US" w:bidi="ar-SA"/>
      </w:rPr>
    </w:lvl>
    <w:lvl w:ilvl="1">
      <w:start w:val="0"/>
      <w:numFmt w:val="bullet"/>
      <w:lvlText w:val="•"/>
      <w:lvlJc w:val="left"/>
      <w:pPr>
        <w:ind w:left="880" w:hanging="437"/>
      </w:pPr>
      <w:rPr>
        <w:rFonts w:hint="default"/>
        <w:lang w:val="ru-RU" w:eastAsia="en-US" w:bidi="ar-SA"/>
      </w:rPr>
    </w:lvl>
    <w:lvl w:ilvl="2">
      <w:start w:val="0"/>
      <w:numFmt w:val="bullet"/>
      <w:lvlText w:val="•"/>
      <w:lvlJc w:val="left"/>
      <w:pPr>
        <w:ind w:left="1620" w:hanging="437"/>
      </w:pPr>
      <w:rPr>
        <w:rFonts w:hint="default"/>
        <w:lang w:val="ru-RU" w:eastAsia="en-US" w:bidi="ar-SA"/>
      </w:rPr>
    </w:lvl>
    <w:lvl w:ilvl="3">
      <w:start w:val="0"/>
      <w:numFmt w:val="bullet"/>
      <w:lvlText w:val="•"/>
      <w:lvlJc w:val="left"/>
      <w:pPr>
        <w:ind w:left="2360" w:hanging="437"/>
      </w:pPr>
      <w:rPr>
        <w:rFonts w:hint="default"/>
        <w:lang w:val="ru-RU" w:eastAsia="en-US" w:bidi="ar-SA"/>
      </w:rPr>
    </w:lvl>
    <w:lvl w:ilvl="4">
      <w:start w:val="0"/>
      <w:numFmt w:val="bullet"/>
      <w:lvlText w:val="•"/>
      <w:lvlJc w:val="left"/>
      <w:pPr>
        <w:ind w:left="3100" w:hanging="437"/>
      </w:pPr>
      <w:rPr>
        <w:rFonts w:hint="default"/>
        <w:lang w:val="ru-RU" w:eastAsia="en-US" w:bidi="ar-SA"/>
      </w:rPr>
    </w:lvl>
    <w:lvl w:ilvl="5">
      <w:start w:val="0"/>
      <w:numFmt w:val="bullet"/>
      <w:lvlText w:val="•"/>
      <w:lvlJc w:val="left"/>
      <w:pPr>
        <w:ind w:left="3840" w:hanging="437"/>
      </w:pPr>
      <w:rPr>
        <w:rFonts w:hint="default"/>
        <w:lang w:val="ru-RU" w:eastAsia="en-US" w:bidi="ar-SA"/>
      </w:rPr>
    </w:lvl>
    <w:lvl w:ilvl="6">
      <w:start w:val="0"/>
      <w:numFmt w:val="bullet"/>
      <w:lvlText w:val="•"/>
      <w:lvlJc w:val="left"/>
      <w:pPr>
        <w:ind w:left="4580" w:hanging="437"/>
      </w:pPr>
      <w:rPr>
        <w:rFonts w:hint="default"/>
        <w:lang w:val="ru-RU" w:eastAsia="en-US" w:bidi="ar-SA"/>
      </w:rPr>
    </w:lvl>
    <w:lvl w:ilvl="7">
      <w:start w:val="0"/>
      <w:numFmt w:val="bullet"/>
      <w:lvlText w:val="•"/>
      <w:lvlJc w:val="left"/>
      <w:pPr>
        <w:ind w:left="5320" w:hanging="437"/>
      </w:pPr>
      <w:rPr>
        <w:rFonts w:hint="default"/>
        <w:lang w:val="ru-RU" w:eastAsia="en-US" w:bidi="ar-SA"/>
      </w:rPr>
    </w:lvl>
    <w:lvl w:ilvl="8">
      <w:start w:val="0"/>
      <w:numFmt w:val="bullet"/>
      <w:lvlText w:val="•"/>
      <w:lvlJc w:val="left"/>
      <w:pPr>
        <w:ind w:left="6060" w:hanging="437"/>
      </w:pPr>
      <w:rPr>
        <w:rFonts w:hint="default"/>
        <w:lang w:val="ru-RU" w:eastAsia="en-US" w:bidi="ar-SA"/>
      </w:rPr>
    </w:lvl>
  </w:abstractNum>
  <w:abstractNum w:abstractNumId="174">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72">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69">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63">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36">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29">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iCs/>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27">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iCs/>
        <w:spacing w:val="0"/>
        <w:w w:val="100"/>
        <w:sz w:val="20"/>
        <w:szCs w:val="20"/>
        <w:lang w:val="ru-RU" w:eastAsia="en-US" w:bidi="ar-SA"/>
      </w:rPr>
    </w:lvl>
    <w:lvl w:ilvl="1">
      <w:start w:val="0"/>
      <w:numFmt w:val="bullet"/>
      <w:lvlText w:val="–"/>
      <w:lvlJc w:val="left"/>
      <w:pPr>
        <w:ind w:left="425" w:hanging="172"/>
      </w:pPr>
      <w:rPr>
        <w:rFonts w:hint="default" w:ascii="Times New Roman" w:hAnsi="Times New Roman" w:eastAsia="Times New Roman" w:cs="Times New Roman"/>
        <w:spacing w:val="0"/>
        <w:w w:val="100"/>
        <w:lang w:val="ru-RU" w:eastAsia="en-US" w:bidi="ar-SA"/>
      </w:rPr>
    </w:lvl>
    <w:lvl w:ilvl="2">
      <w:start w:val="0"/>
      <w:numFmt w:val="bullet"/>
      <w:lvlText w:val="•"/>
      <w:lvlJc w:val="left"/>
      <w:pPr>
        <w:ind w:left="1460" w:hanging="172"/>
      </w:pPr>
      <w:rPr>
        <w:rFonts w:hint="default"/>
        <w:lang w:val="ru-RU" w:eastAsia="en-US" w:bidi="ar-SA"/>
      </w:rPr>
    </w:lvl>
    <w:lvl w:ilvl="3">
      <w:start w:val="0"/>
      <w:numFmt w:val="bullet"/>
      <w:lvlText w:val="•"/>
      <w:lvlJc w:val="left"/>
      <w:pPr>
        <w:ind w:left="2220" w:hanging="172"/>
      </w:pPr>
      <w:rPr>
        <w:rFonts w:hint="default"/>
        <w:lang w:val="ru-RU" w:eastAsia="en-US" w:bidi="ar-SA"/>
      </w:rPr>
    </w:lvl>
    <w:lvl w:ilvl="4">
      <w:start w:val="0"/>
      <w:numFmt w:val="bullet"/>
      <w:lvlText w:val="•"/>
      <w:lvlJc w:val="left"/>
      <w:pPr>
        <w:ind w:left="2980" w:hanging="172"/>
      </w:pPr>
      <w:rPr>
        <w:rFonts w:hint="default"/>
        <w:lang w:val="ru-RU" w:eastAsia="en-US" w:bidi="ar-SA"/>
      </w:rPr>
    </w:lvl>
    <w:lvl w:ilvl="5">
      <w:start w:val="0"/>
      <w:numFmt w:val="bullet"/>
      <w:lvlText w:val="•"/>
      <w:lvlJc w:val="left"/>
      <w:pPr>
        <w:ind w:left="3740" w:hanging="172"/>
      </w:pPr>
      <w:rPr>
        <w:rFonts w:hint="default"/>
        <w:lang w:val="ru-RU" w:eastAsia="en-US" w:bidi="ar-SA"/>
      </w:rPr>
    </w:lvl>
    <w:lvl w:ilvl="6">
      <w:start w:val="0"/>
      <w:numFmt w:val="bullet"/>
      <w:lvlText w:val="•"/>
      <w:lvlJc w:val="left"/>
      <w:pPr>
        <w:ind w:left="4500" w:hanging="172"/>
      </w:pPr>
      <w:rPr>
        <w:rFonts w:hint="default"/>
        <w:lang w:val="ru-RU" w:eastAsia="en-US" w:bidi="ar-SA"/>
      </w:rPr>
    </w:lvl>
    <w:lvl w:ilvl="7">
      <w:start w:val="0"/>
      <w:numFmt w:val="bullet"/>
      <w:lvlText w:val="•"/>
      <w:lvlJc w:val="left"/>
      <w:pPr>
        <w:ind w:left="5260" w:hanging="172"/>
      </w:pPr>
      <w:rPr>
        <w:rFonts w:hint="default"/>
        <w:lang w:val="ru-RU" w:eastAsia="en-US" w:bidi="ar-SA"/>
      </w:rPr>
    </w:lvl>
    <w:lvl w:ilvl="8">
      <w:start w:val="0"/>
      <w:numFmt w:val="bullet"/>
      <w:lvlText w:val="•"/>
      <w:lvlJc w:val="left"/>
      <w:pPr>
        <w:ind w:left="6020" w:hanging="172"/>
      </w:pPr>
      <w:rPr>
        <w:rFonts w:hint="default"/>
        <w:lang w:val="ru-RU" w:eastAsia="en-US" w:bidi="ar-SA"/>
      </w:rPr>
    </w:lvl>
  </w:abstractNum>
  <w:abstractNum w:abstractNumId="316">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15">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47">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59">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158">
    <w:multiLevelType w:val="hybridMultilevel"/>
    <w:lvl w:ilvl="0">
      <w:start w:val="0"/>
      <w:numFmt w:val="bullet"/>
      <w:lvlText w:val=""/>
      <w:lvlJc w:val="left"/>
      <w:pPr>
        <w:ind w:left="425" w:hanging="284"/>
      </w:pPr>
      <w:rPr>
        <w:rFonts w:hint="default" w:ascii="Symbol" w:hAnsi="Symbol" w:eastAsia="Symbol" w:cs="Symbol"/>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55">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50">
    <w:multiLevelType w:val="hybridMultilevel"/>
    <w:lvl w:ilvl="0">
      <w:start w:val="0"/>
      <w:numFmt w:val="bullet"/>
      <w:lvlText w:val="▪"/>
      <w:lvlJc w:val="left"/>
      <w:pPr>
        <w:ind w:left="708"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123">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118">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12">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83">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328">
    <w:multiLevelType w:val="hybridMultilevel"/>
    <w:lvl w:ilvl="0">
      <w:start w:val="4"/>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1"/>
      <w:numFmt w:val="decimal"/>
      <w:lvlText w:val="%2."/>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2">
      <w:start w:val="0"/>
      <w:numFmt w:val="bullet"/>
      <w:lvlText w:val="•"/>
      <w:lvlJc w:val="left"/>
      <w:pPr>
        <w:ind w:left="1460" w:hanging="284"/>
      </w:pPr>
      <w:rPr>
        <w:rFonts w:hint="default"/>
        <w:lang w:val="ru-RU" w:eastAsia="en-US" w:bidi="ar-SA"/>
      </w:rPr>
    </w:lvl>
    <w:lvl w:ilvl="3">
      <w:start w:val="0"/>
      <w:numFmt w:val="bullet"/>
      <w:lvlText w:val="•"/>
      <w:lvlJc w:val="left"/>
      <w:pPr>
        <w:ind w:left="2220" w:hanging="284"/>
      </w:pPr>
      <w:rPr>
        <w:rFonts w:hint="default"/>
        <w:lang w:val="ru-RU" w:eastAsia="en-US" w:bidi="ar-SA"/>
      </w:rPr>
    </w:lvl>
    <w:lvl w:ilvl="4">
      <w:start w:val="0"/>
      <w:numFmt w:val="bullet"/>
      <w:lvlText w:val="•"/>
      <w:lvlJc w:val="left"/>
      <w:pPr>
        <w:ind w:left="2980" w:hanging="284"/>
      </w:pPr>
      <w:rPr>
        <w:rFonts w:hint="default"/>
        <w:lang w:val="ru-RU" w:eastAsia="en-US" w:bidi="ar-SA"/>
      </w:rPr>
    </w:lvl>
    <w:lvl w:ilvl="5">
      <w:start w:val="0"/>
      <w:numFmt w:val="bullet"/>
      <w:lvlText w:val="•"/>
      <w:lvlJc w:val="left"/>
      <w:pPr>
        <w:ind w:left="3740" w:hanging="284"/>
      </w:pPr>
      <w:rPr>
        <w:rFonts w:hint="default"/>
        <w:lang w:val="ru-RU" w:eastAsia="en-US" w:bidi="ar-SA"/>
      </w:rPr>
    </w:lvl>
    <w:lvl w:ilvl="6">
      <w:start w:val="0"/>
      <w:numFmt w:val="bullet"/>
      <w:lvlText w:val="•"/>
      <w:lvlJc w:val="left"/>
      <w:pPr>
        <w:ind w:left="4500" w:hanging="284"/>
      </w:pPr>
      <w:rPr>
        <w:rFonts w:hint="default"/>
        <w:lang w:val="ru-RU" w:eastAsia="en-US" w:bidi="ar-SA"/>
      </w:rPr>
    </w:lvl>
    <w:lvl w:ilvl="7">
      <w:start w:val="0"/>
      <w:numFmt w:val="bullet"/>
      <w:lvlText w:val="•"/>
      <w:lvlJc w:val="left"/>
      <w:pPr>
        <w:ind w:left="5260" w:hanging="284"/>
      </w:pPr>
      <w:rPr>
        <w:rFonts w:hint="default"/>
        <w:lang w:val="ru-RU" w:eastAsia="en-US" w:bidi="ar-SA"/>
      </w:rPr>
    </w:lvl>
    <w:lvl w:ilvl="8">
      <w:start w:val="0"/>
      <w:numFmt w:val="bullet"/>
      <w:lvlText w:val="•"/>
      <w:lvlJc w:val="left"/>
      <w:pPr>
        <w:ind w:left="6020" w:hanging="284"/>
      </w:pPr>
      <w:rPr>
        <w:rFonts w:hint="default"/>
        <w:lang w:val="ru-RU" w:eastAsia="en-US" w:bidi="ar-SA"/>
      </w:rPr>
    </w:lvl>
  </w:abstractNum>
  <w:abstractNum w:abstractNumId="327">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26">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25">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571" w:hanging="284"/>
      </w:pPr>
      <w:rPr>
        <w:rFonts w:hint="default"/>
        <w:lang w:val="ru-RU" w:eastAsia="en-US" w:bidi="ar-SA"/>
      </w:rPr>
    </w:lvl>
    <w:lvl w:ilvl="2">
      <w:start w:val="0"/>
      <w:numFmt w:val="bullet"/>
      <w:lvlText w:val="•"/>
      <w:lvlJc w:val="left"/>
      <w:pPr>
        <w:ind w:left="722" w:hanging="284"/>
      </w:pPr>
      <w:rPr>
        <w:rFonts w:hint="default"/>
        <w:lang w:val="ru-RU" w:eastAsia="en-US" w:bidi="ar-SA"/>
      </w:rPr>
    </w:lvl>
    <w:lvl w:ilvl="3">
      <w:start w:val="0"/>
      <w:numFmt w:val="bullet"/>
      <w:lvlText w:val="•"/>
      <w:lvlJc w:val="left"/>
      <w:pPr>
        <w:ind w:left="873" w:hanging="284"/>
      </w:pPr>
      <w:rPr>
        <w:rFonts w:hint="default"/>
        <w:lang w:val="ru-RU" w:eastAsia="en-US" w:bidi="ar-SA"/>
      </w:rPr>
    </w:lvl>
    <w:lvl w:ilvl="4">
      <w:start w:val="0"/>
      <w:numFmt w:val="bullet"/>
      <w:lvlText w:val="•"/>
      <w:lvlJc w:val="left"/>
      <w:pPr>
        <w:ind w:left="1025" w:hanging="284"/>
      </w:pPr>
      <w:rPr>
        <w:rFonts w:hint="default"/>
        <w:lang w:val="ru-RU" w:eastAsia="en-US" w:bidi="ar-SA"/>
      </w:rPr>
    </w:lvl>
    <w:lvl w:ilvl="5">
      <w:start w:val="0"/>
      <w:numFmt w:val="bullet"/>
      <w:lvlText w:val="•"/>
      <w:lvlJc w:val="left"/>
      <w:pPr>
        <w:ind w:left="1176" w:hanging="284"/>
      </w:pPr>
      <w:rPr>
        <w:rFonts w:hint="default"/>
        <w:lang w:val="ru-RU" w:eastAsia="en-US" w:bidi="ar-SA"/>
      </w:rPr>
    </w:lvl>
    <w:lvl w:ilvl="6">
      <w:start w:val="0"/>
      <w:numFmt w:val="bullet"/>
      <w:lvlText w:val="•"/>
      <w:lvlJc w:val="left"/>
      <w:pPr>
        <w:ind w:left="1327" w:hanging="284"/>
      </w:pPr>
      <w:rPr>
        <w:rFonts w:hint="default"/>
        <w:lang w:val="ru-RU" w:eastAsia="en-US" w:bidi="ar-SA"/>
      </w:rPr>
    </w:lvl>
    <w:lvl w:ilvl="7">
      <w:start w:val="0"/>
      <w:numFmt w:val="bullet"/>
      <w:lvlText w:val="•"/>
      <w:lvlJc w:val="left"/>
      <w:pPr>
        <w:ind w:left="1479" w:hanging="284"/>
      </w:pPr>
      <w:rPr>
        <w:rFonts w:hint="default"/>
        <w:lang w:val="ru-RU" w:eastAsia="en-US" w:bidi="ar-SA"/>
      </w:rPr>
    </w:lvl>
    <w:lvl w:ilvl="8">
      <w:start w:val="0"/>
      <w:numFmt w:val="bullet"/>
      <w:lvlText w:val="•"/>
      <w:lvlJc w:val="left"/>
      <w:pPr>
        <w:ind w:left="1630" w:hanging="284"/>
      </w:pPr>
      <w:rPr>
        <w:rFonts w:hint="default"/>
        <w:lang w:val="ru-RU" w:eastAsia="en-US" w:bidi="ar-SA"/>
      </w:rPr>
    </w:lvl>
  </w:abstractNum>
  <w:abstractNum w:abstractNumId="324">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23">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22">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1"/>
      <w:numFmt w:val="lowerLetter"/>
      <w:lvlText w:val="%2."/>
      <w:lvlJc w:val="left"/>
      <w:pPr>
        <w:ind w:left="708"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2">
      <w:start w:val="0"/>
      <w:numFmt w:val="bullet"/>
      <w:lvlText w:val="•"/>
      <w:lvlJc w:val="left"/>
      <w:pPr>
        <w:ind w:left="1460" w:hanging="284"/>
      </w:pPr>
      <w:rPr>
        <w:rFonts w:hint="default"/>
        <w:lang w:val="ru-RU" w:eastAsia="en-US" w:bidi="ar-SA"/>
      </w:rPr>
    </w:lvl>
    <w:lvl w:ilvl="3">
      <w:start w:val="0"/>
      <w:numFmt w:val="bullet"/>
      <w:lvlText w:val="•"/>
      <w:lvlJc w:val="left"/>
      <w:pPr>
        <w:ind w:left="2220" w:hanging="284"/>
      </w:pPr>
      <w:rPr>
        <w:rFonts w:hint="default"/>
        <w:lang w:val="ru-RU" w:eastAsia="en-US" w:bidi="ar-SA"/>
      </w:rPr>
    </w:lvl>
    <w:lvl w:ilvl="4">
      <w:start w:val="0"/>
      <w:numFmt w:val="bullet"/>
      <w:lvlText w:val="•"/>
      <w:lvlJc w:val="left"/>
      <w:pPr>
        <w:ind w:left="2980" w:hanging="284"/>
      </w:pPr>
      <w:rPr>
        <w:rFonts w:hint="default"/>
        <w:lang w:val="ru-RU" w:eastAsia="en-US" w:bidi="ar-SA"/>
      </w:rPr>
    </w:lvl>
    <w:lvl w:ilvl="5">
      <w:start w:val="0"/>
      <w:numFmt w:val="bullet"/>
      <w:lvlText w:val="•"/>
      <w:lvlJc w:val="left"/>
      <w:pPr>
        <w:ind w:left="3740" w:hanging="284"/>
      </w:pPr>
      <w:rPr>
        <w:rFonts w:hint="default"/>
        <w:lang w:val="ru-RU" w:eastAsia="en-US" w:bidi="ar-SA"/>
      </w:rPr>
    </w:lvl>
    <w:lvl w:ilvl="6">
      <w:start w:val="0"/>
      <w:numFmt w:val="bullet"/>
      <w:lvlText w:val="•"/>
      <w:lvlJc w:val="left"/>
      <w:pPr>
        <w:ind w:left="4500" w:hanging="284"/>
      </w:pPr>
      <w:rPr>
        <w:rFonts w:hint="default"/>
        <w:lang w:val="ru-RU" w:eastAsia="en-US" w:bidi="ar-SA"/>
      </w:rPr>
    </w:lvl>
    <w:lvl w:ilvl="7">
      <w:start w:val="0"/>
      <w:numFmt w:val="bullet"/>
      <w:lvlText w:val="•"/>
      <w:lvlJc w:val="left"/>
      <w:pPr>
        <w:ind w:left="5260" w:hanging="284"/>
      </w:pPr>
      <w:rPr>
        <w:rFonts w:hint="default"/>
        <w:lang w:val="ru-RU" w:eastAsia="en-US" w:bidi="ar-SA"/>
      </w:rPr>
    </w:lvl>
    <w:lvl w:ilvl="8">
      <w:start w:val="0"/>
      <w:numFmt w:val="bullet"/>
      <w:lvlText w:val="•"/>
      <w:lvlJc w:val="left"/>
      <w:pPr>
        <w:ind w:left="6020" w:hanging="284"/>
      </w:pPr>
      <w:rPr>
        <w:rFonts w:hint="default"/>
        <w:lang w:val="ru-RU" w:eastAsia="en-US" w:bidi="ar-SA"/>
      </w:rPr>
    </w:lvl>
  </w:abstractNum>
  <w:abstractNum w:abstractNumId="321">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20">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iCs/>
        <w:color w:val="231F20"/>
        <w:spacing w:val="0"/>
        <w:w w:val="100"/>
        <w:sz w:val="20"/>
        <w:szCs w:val="20"/>
        <w:lang w:val="ru-RU" w:eastAsia="en-US" w:bidi="ar-SA"/>
      </w:rPr>
    </w:lvl>
    <w:lvl w:ilvl="1">
      <w:start w:val="1"/>
      <w:numFmt w:val="decimal"/>
      <w:lvlText w:val="%2-"/>
      <w:lvlJc w:val="left"/>
      <w:pPr>
        <w:ind w:left="593" w:hanging="168"/>
        <w:jc w:val="left"/>
      </w:pPr>
      <w:rPr>
        <w:rFonts w:hint="default" w:ascii="Times New Roman" w:hAnsi="Times New Roman" w:eastAsia="Times New Roman" w:cs="Times New Roman"/>
        <w:b w:val="0"/>
        <w:bCs w:val="0"/>
        <w:i w:val="0"/>
        <w:iCs w:val="0"/>
        <w:color w:val="231F20"/>
        <w:spacing w:val="0"/>
        <w:w w:val="97"/>
        <w:sz w:val="18"/>
        <w:szCs w:val="18"/>
        <w:lang w:val="ru-RU" w:eastAsia="en-US" w:bidi="ar-SA"/>
      </w:rPr>
    </w:lvl>
    <w:lvl w:ilvl="2">
      <w:start w:val="0"/>
      <w:numFmt w:val="bullet"/>
      <w:lvlText w:val="•"/>
      <w:lvlJc w:val="left"/>
      <w:pPr>
        <w:ind w:left="1371" w:hanging="168"/>
      </w:pPr>
      <w:rPr>
        <w:rFonts w:hint="default"/>
        <w:lang w:val="ru-RU" w:eastAsia="en-US" w:bidi="ar-SA"/>
      </w:rPr>
    </w:lvl>
    <w:lvl w:ilvl="3">
      <w:start w:val="0"/>
      <w:numFmt w:val="bullet"/>
      <w:lvlText w:val="•"/>
      <w:lvlJc w:val="left"/>
      <w:pPr>
        <w:ind w:left="2142" w:hanging="168"/>
      </w:pPr>
      <w:rPr>
        <w:rFonts w:hint="default"/>
        <w:lang w:val="ru-RU" w:eastAsia="en-US" w:bidi="ar-SA"/>
      </w:rPr>
    </w:lvl>
    <w:lvl w:ilvl="4">
      <w:start w:val="0"/>
      <w:numFmt w:val="bullet"/>
      <w:lvlText w:val="•"/>
      <w:lvlJc w:val="left"/>
      <w:pPr>
        <w:ind w:left="2913" w:hanging="168"/>
      </w:pPr>
      <w:rPr>
        <w:rFonts w:hint="default"/>
        <w:lang w:val="ru-RU" w:eastAsia="en-US" w:bidi="ar-SA"/>
      </w:rPr>
    </w:lvl>
    <w:lvl w:ilvl="5">
      <w:start w:val="0"/>
      <w:numFmt w:val="bullet"/>
      <w:lvlText w:val="•"/>
      <w:lvlJc w:val="left"/>
      <w:pPr>
        <w:ind w:left="3684" w:hanging="168"/>
      </w:pPr>
      <w:rPr>
        <w:rFonts w:hint="default"/>
        <w:lang w:val="ru-RU" w:eastAsia="en-US" w:bidi="ar-SA"/>
      </w:rPr>
    </w:lvl>
    <w:lvl w:ilvl="6">
      <w:start w:val="0"/>
      <w:numFmt w:val="bullet"/>
      <w:lvlText w:val="•"/>
      <w:lvlJc w:val="left"/>
      <w:pPr>
        <w:ind w:left="4455" w:hanging="168"/>
      </w:pPr>
      <w:rPr>
        <w:rFonts w:hint="default"/>
        <w:lang w:val="ru-RU" w:eastAsia="en-US" w:bidi="ar-SA"/>
      </w:rPr>
    </w:lvl>
    <w:lvl w:ilvl="7">
      <w:start w:val="0"/>
      <w:numFmt w:val="bullet"/>
      <w:lvlText w:val="•"/>
      <w:lvlJc w:val="left"/>
      <w:pPr>
        <w:ind w:left="5227" w:hanging="168"/>
      </w:pPr>
      <w:rPr>
        <w:rFonts w:hint="default"/>
        <w:lang w:val="ru-RU" w:eastAsia="en-US" w:bidi="ar-SA"/>
      </w:rPr>
    </w:lvl>
    <w:lvl w:ilvl="8">
      <w:start w:val="0"/>
      <w:numFmt w:val="bullet"/>
      <w:lvlText w:val="•"/>
      <w:lvlJc w:val="left"/>
      <w:pPr>
        <w:ind w:left="5998" w:hanging="168"/>
      </w:pPr>
      <w:rPr>
        <w:rFonts w:hint="default"/>
        <w:lang w:val="ru-RU" w:eastAsia="en-US" w:bidi="ar-SA"/>
      </w:rPr>
    </w:lvl>
  </w:abstractNum>
  <w:abstractNum w:abstractNumId="319">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18">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17">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14">
    <w:multiLevelType w:val="hybridMultilevel"/>
    <w:lvl w:ilvl="0">
      <w:start w:val="0"/>
      <w:numFmt w:val="bullet"/>
      <w:lvlText w:val="▪"/>
      <w:lvlJc w:val="left"/>
      <w:pPr>
        <w:ind w:left="425" w:hanging="284"/>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13">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41" w:hanging="145"/>
      </w:pPr>
      <w:rPr>
        <w:rFonts w:hint="default" w:ascii="Times New Roman" w:hAnsi="Times New Roman" w:eastAsia="Times New Roman" w:cs="Times New Roman"/>
        <w:spacing w:val="0"/>
        <w:w w:val="100"/>
        <w:lang w:val="ru-RU" w:eastAsia="en-US" w:bidi="ar-SA"/>
      </w:rPr>
    </w:lvl>
    <w:lvl w:ilvl="2">
      <w:start w:val="0"/>
      <w:numFmt w:val="bullet"/>
      <w:lvlText w:val="•"/>
      <w:lvlJc w:val="left"/>
      <w:pPr>
        <w:ind w:left="1211" w:hanging="145"/>
      </w:pPr>
      <w:rPr>
        <w:rFonts w:hint="default"/>
        <w:lang w:val="ru-RU" w:eastAsia="en-US" w:bidi="ar-SA"/>
      </w:rPr>
    </w:lvl>
    <w:lvl w:ilvl="3">
      <w:start w:val="0"/>
      <w:numFmt w:val="bullet"/>
      <w:lvlText w:val="•"/>
      <w:lvlJc w:val="left"/>
      <w:pPr>
        <w:ind w:left="2002" w:hanging="145"/>
      </w:pPr>
      <w:rPr>
        <w:rFonts w:hint="default"/>
        <w:lang w:val="ru-RU" w:eastAsia="en-US" w:bidi="ar-SA"/>
      </w:rPr>
    </w:lvl>
    <w:lvl w:ilvl="4">
      <w:start w:val="0"/>
      <w:numFmt w:val="bullet"/>
      <w:lvlText w:val="•"/>
      <w:lvlJc w:val="left"/>
      <w:pPr>
        <w:ind w:left="2793" w:hanging="145"/>
      </w:pPr>
      <w:rPr>
        <w:rFonts w:hint="default"/>
        <w:lang w:val="ru-RU" w:eastAsia="en-US" w:bidi="ar-SA"/>
      </w:rPr>
    </w:lvl>
    <w:lvl w:ilvl="5">
      <w:start w:val="0"/>
      <w:numFmt w:val="bullet"/>
      <w:lvlText w:val="•"/>
      <w:lvlJc w:val="left"/>
      <w:pPr>
        <w:ind w:left="3584" w:hanging="145"/>
      </w:pPr>
      <w:rPr>
        <w:rFonts w:hint="default"/>
        <w:lang w:val="ru-RU" w:eastAsia="en-US" w:bidi="ar-SA"/>
      </w:rPr>
    </w:lvl>
    <w:lvl w:ilvl="6">
      <w:start w:val="0"/>
      <w:numFmt w:val="bullet"/>
      <w:lvlText w:val="•"/>
      <w:lvlJc w:val="left"/>
      <w:pPr>
        <w:ind w:left="4375" w:hanging="145"/>
      </w:pPr>
      <w:rPr>
        <w:rFonts w:hint="default"/>
        <w:lang w:val="ru-RU" w:eastAsia="en-US" w:bidi="ar-SA"/>
      </w:rPr>
    </w:lvl>
    <w:lvl w:ilvl="7">
      <w:start w:val="0"/>
      <w:numFmt w:val="bullet"/>
      <w:lvlText w:val="•"/>
      <w:lvlJc w:val="left"/>
      <w:pPr>
        <w:ind w:left="5167" w:hanging="145"/>
      </w:pPr>
      <w:rPr>
        <w:rFonts w:hint="default"/>
        <w:lang w:val="ru-RU" w:eastAsia="en-US" w:bidi="ar-SA"/>
      </w:rPr>
    </w:lvl>
    <w:lvl w:ilvl="8">
      <w:start w:val="0"/>
      <w:numFmt w:val="bullet"/>
      <w:lvlText w:val="•"/>
      <w:lvlJc w:val="left"/>
      <w:pPr>
        <w:ind w:left="5958" w:hanging="145"/>
      </w:pPr>
      <w:rPr>
        <w:rFonts w:hint="default"/>
        <w:lang w:val="ru-RU" w:eastAsia="en-US" w:bidi="ar-SA"/>
      </w:rPr>
    </w:lvl>
  </w:abstractNum>
  <w:abstractNum w:abstractNumId="312">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11">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10">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41" w:hanging="154"/>
      </w:pPr>
      <w:rPr>
        <w:rFonts w:hint="default" w:ascii="Times New Roman" w:hAnsi="Times New Roman" w:eastAsia="Times New Roman" w:cs="Times New Roman"/>
        <w:spacing w:val="0"/>
        <w:w w:val="100"/>
        <w:lang w:val="ru-RU" w:eastAsia="en-US" w:bidi="ar-SA"/>
      </w:rPr>
    </w:lvl>
    <w:lvl w:ilvl="2">
      <w:start w:val="0"/>
      <w:numFmt w:val="bullet"/>
      <w:lvlText w:val="•"/>
      <w:lvlJc w:val="left"/>
      <w:pPr>
        <w:ind w:left="1211" w:hanging="154"/>
      </w:pPr>
      <w:rPr>
        <w:rFonts w:hint="default"/>
        <w:lang w:val="ru-RU" w:eastAsia="en-US" w:bidi="ar-SA"/>
      </w:rPr>
    </w:lvl>
    <w:lvl w:ilvl="3">
      <w:start w:val="0"/>
      <w:numFmt w:val="bullet"/>
      <w:lvlText w:val="•"/>
      <w:lvlJc w:val="left"/>
      <w:pPr>
        <w:ind w:left="2002" w:hanging="154"/>
      </w:pPr>
      <w:rPr>
        <w:rFonts w:hint="default"/>
        <w:lang w:val="ru-RU" w:eastAsia="en-US" w:bidi="ar-SA"/>
      </w:rPr>
    </w:lvl>
    <w:lvl w:ilvl="4">
      <w:start w:val="0"/>
      <w:numFmt w:val="bullet"/>
      <w:lvlText w:val="•"/>
      <w:lvlJc w:val="left"/>
      <w:pPr>
        <w:ind w:left="2793" w:hanging="154"/>
      </w:pPr>
      <w:rPr>
        <w:rFonts w:hint="default"/>
        <w:lang w:val="ru-RU" w:eastAsia="en-US" w:bidi="ar-SA"/>
      </w:rPr>
    </w:lvl>
    <w:lvl w:ilvl="5">
      <w:start w:val="0"/>
      <w:numFmt w:val="bullet"/>
      <w:lvlText w:val="•"/>
      <w:lvlJc w:val="left"/>
      <w:pPr>
        <w:ind w:left="3584" w:hanging="154"/>
      </w:pPr>
      <w:rPr>
        <w:rFonts w:hint="default"/>
        <w:lang w:val="ru-RU" w:eastAsia="en-US" w:bidi="ar-SA"/>
      </w:rPr>
    </w:lvl>
    <w:lvl w:ilvl="6">
      <w:start w:val="0"/>
      <w:numFmt w:val="bullet"/>
      <w:lvlText w:val="•"/>
      <w:lvlJc w:val="left"/>
      <w:pPr>
        <w:ind w:left="4375" w:hanging="154"/>
      </w:pPr>
      <w:rPr>
        <w:rFonts w:hint="default"/>
        <w:lang w:val="ru-RU" w:eastAsia="en-US" w:bidi="ar-SA"/>
      </w:rPr>
    </w:lvl>
    <w:lvl w:ilvl="7">
      <w:start w:val="0"/>
      <w:numFmt w:val="bullet"/>
      <w:lvlText w:val="•"/>
      <w:lvlJc w:val="left"/>
      <w:pPr>
        <w:ind w:left="5167" w:hanging="154"/>
      </w:pPr>
      <w:rPr>
        <w:rFonts w:hint="default"/>
        <w:lang w:val="ru-RU" w:eastAsia="en-US" w:bidi="ar-SA"/>
      </w:rPr>
    </w:lvl>
    <w:lvl w:ilvl="8">
      <w:start w:val="0"/>
      <w:numFmt w:val="bullet"/>
      <w:lvlText w:val="•"/>
      <w:lvlJc w:val="left"/>
      <w:pPr>
        <w:ind w:left="5958" w:hanging="154"/>
      </w:pPr>
      <w:rPr>
        <w:rFonts w:hint="default"/>
        <w:lang w:val="ru-RU" w:eastAsia="en-US" w:bidi="ar-SA"/>
      </w:rPr>
    </w:lvl>
  </w:abstractNum>
  <w:abstractNum w:abstractNumId="309">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08">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iCs/>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07">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06">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05">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04">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iCs/>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03">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87">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iCs/>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02">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01">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00">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99">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98">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97">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96">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295">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iCs/>
        <w:color w:val="231F20"/>
        <w:spacing w:val="0"/>
        <w:w w:val="100"/>
        <w:sz w:val="20"/>
        <w:szCs w:val="20"/>
        <w:lang w:val="ru-RU" w:eastAsia="en-US" w:bidi="ar-SA"/>
      </w:rPr>
    </w:lvl>
    <w:lvl w:ilvl="1">
      <w:start w:val="1"/>
      <w:numFmt w:val="decimal"/>
      <w:lvlText w:val="%2)"/>
      <w:lvlJc w:val="left"/>
      <w:pPr>
        <w:ind w:left="708"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2">
      <w:start w:val="1"/>
      <w:numFmt w:val="decimal"/>
      <w:lvlText w:val="%3)"/>
      <w:lvlJc w:val="left"/>
      <w:pPr>
        <w:ind w:left="708"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3">
      <w:start w:val="0"/>
      <w:numFmt w:val="bullet"/>
      <w:lvlText w:val="•"/>
      <w:lvlJc w:val="left"/>
      <w:pPr>
        <w:ind w:left="2220" w:hanging="284"/>
      </w:pPr>
      <w:rPr>
        <w:rFonts w:hint="default"/>
        <w:lang w:val="ru-RU" w:eastAsia="en-US" w:bidi="ar-SA"/>
      </w:rPr>
    </w:lvl>
    <w:lvl w:ilvl="4">
      <w:start w:val="0"/>
      <w:numFmt w:val="bullet"/>
      <w:lvlText w:val="•"/>
      <w:lvlJc w:val="left"/>
      <w:pPr>
        <w:ind w:left="2980" w:hanging="284"/>
      </w:pPr>
      <w:rPr>
        <w:rFonts w:hint="default"/>
        <w:lang w:val="ru-RU" w:eastAsia="en-US" w:bidi="ar-SA"/>
      </w:rPr>
    </w:lvl>
    <w:lvl w:ilvl="5">
      <w:start w:val="0"/>
      <w:numFmt w:val="bullet"/>
      <w:lvlText w:val="•"/>
      <w:lvlJc w:val="left"/>
      <w:pPr>
        <w:ind w:left="3740" w:hanging="284"/>
      </w:pPr>
      <w:rPr>
        <w:rFonts w:hint="default"/>
        <w:lang w:val="ru-RU" w:eastAsia="en-US" w:bidi="ar-SA"/>
      </w:rPr>
    </w:lvl>
    <w:lvl w:ilvl="6">
      <w:start w:val="0"/>
      <w:numFmt w:val="bullet"/>
      <w:lvlText w:val="•"/>
      <w:lvlJc w:val="left"/>
      <w:pPr>
        <w:ind w:left="4500" w:hanging="284"/>
      </w:pPr>
      <w:rPr>
        <w:rFonts w:hint="default"/>
        <w:lang w:val="ru-RU" w:eastAsia="en-US" w:bidi="ar-SA"/>
      </w:rPr>
    </w:lvl>
    <w:lvl w:ilvl="7">
      <w:start w:val="0"/>
      <w:numFmt w:val="bullet"/>
      <w:lvlText w:val="•"/>
      <w:lvlJc w:val="left"/>
      <w:pPr>
        <w:ind w:left="5260" w:hanging="284"/>
      </w:pPr>
      <w:rPr>
        <w:rFonts w:hint="default"/>
        <w:lang w:val="ru-RU" w:eastAsia="en-US" w:bidi="ar-SA"/>
      </w:rPr>
    </w:lvl>
    <w:lvl w:ilvl="8">
      <w:start w:val="0"/>
      <w:numFmt w:val="bullet"/>
      <w:lvlText w:val="•"/>
      <w:lvlJc w:val="left"/>
      <w:pPr>
        <w:ind w:left="6020" w:hanging="284"/>
      </w:pPr>
      <w:rPr>
        <w:rFonts w:hint="default"/>
        <w:lang w:val="ru-RU" w:eastAsia="en-US" w:bidi="ar-SA"/>
      </w:rPr>
    </w:lvl>
  </w:abstractNum>
  <w:abstractNum w:abstractNumId="294">
    <w:multiLevelType w:val="hybridMultilevel"/>
    <w:lvl w:ilvl="0">
      <w:start w:val="0"/>
      <w:numFmt w:val="bullet"/>
      <w:lvlText w:val=""/>
      <w:lvlJc w:val="left"/>
      <w:pPr>
        <w:ind w:left="425" w:hanging="284"/>
      </w:pPr>
      <w:rPr>
        <w:rFonts w:hint="default" w:ascii="Symbol" w:hAnsi="Symbol" w:eastAsia="Symbol" w:cs="Symbol"/>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93">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292">
    <w:multiLevelType w:val="hybridMultilevel"/>
    <w:lvl w:ilvl="0">
      <w:start w:val="1"/>
      <w:numFmt w:val="decimal"/>
      <w:lvlText w:val="%1."/>
      <w:lvlJc w:val="left"/>
      <w:pPr>
        <w:ind w:left="708" w:hanging="284"/>
        <w:jc w:val="left"/>
      </w:pPr>
      <w:rPr>
        <w:rFonts w:hint="default"/>
        <w:spacing w:val="0"/>
        <w:w w:val="100"/>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291">
    <w:multiLevelType w:val="hybridMultilevel"/>
    <w:lvl w:ilvl="0">
      <w:start w:val="4"/>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97"/>
        <w:sz w:val="18"/>
        <w:szCs w:val="18"/>
        <w:lang w:val="ru-RU" w:eastAsia="en-US" w:bidi="ar-SA"/>
      </w:rPr>
    </w:lvl>
    <w:lvl w:ilvl="2">
      <w:start w:val="0"/>
      <w:numFmt w:val="bullet"/>
      <w:lvlText w:val="–"/>
      <w:lvlJc w:val="left"/>
      <w:pPr>
        <w:ind w:left="141" w:hanging="168"/>
      </w:pPr>
      <w:rPr>
        <w:rFonts w:hint="default" w:ascii="Times New Roman" w:hAnsi="Times New Roman" w:eastAsia="Times New Roman" w:cs="Times New Roman"/>
        <w:b w:val="0"/>
        <w:bCs w:val="0"/>
        <w:i/>
        <w:iCs/>
        <w:spacing w:val="0"/>
        <w:w w:val="100"/>
        <w:sz w:val="20"/>
        <w:szCs w:val="20"/>
        <w:lang w:val="ru-RU" w:eastAsia="en-US" w:bidi="ar-SA"/>
      </w:rPr>
    </w:lvl>
    <w:lvl w:ilvl="3">
      <w:start w:val="0"/>
      <w:numFmt w:val="bullet"/>
      <w:lvlText w:val="•"/>
      <w:lvlJc w:val="left"/>
      <w:pPr>
        <w:ind w:left="2033" w:hanging="168"/>
      </w:pPr>
      <w:rPr>
        <w:rFonts w:hint="default"/>
        <w:lang w:val="ru-RU" w:eastAsia="en-US" w:bidi="ar-SA"/>
      </w:rPr>
    </w:lvl>
    <w:lvl w:ilvl="4">
      <w:start w:val="0"/>
      <w:numFmt w:val="bullet"/>
      <w:lvlText w:val="•"/>
      <w:lvlJc w:val="left"/>
      <w:pPr>
        <w:ind w:left="2820" w:hanging="168"/>
      </w:pPr>
      <w:rPr>
        <w:rFonts w:hint="default"/>
        <w:lang w:val="ru-RU" w:eastAsia="en-US" w:bidi="ar-SA"/>
      </w:rPr>
    </w:lvl>
    <w:lvl w:ilvl="5">
      <w:start w:val="0"/>
      <w:numFmt w:val="bullet"/>
      <w:lvlText w:val="•"/>
      <w:lvlJc w:val="left"/>
      <w:pPr>
        <w:ind w:left="3606" w:hanging="168"/>
      </w:pPr>
      <w:rPr>
        <w:rFonts w:hint="default"/>
        <w:lang w:val="ru-RU" w:eastAsia="en-US" w:bidi="ar-SA"/>
      </w:rPr>
    </w:lvl>
    <w:lvl w:ilvl="6">
      <w:start w:val="0"/>
      <w:numFmt w:val="bullet"/>
      <w:lvlText w:val="•"/>
      <w:lvlJc w:val="left"/>
      <w:pPr>
        <w:ind w:left="4393" w:hanging="168"/>
      </w:pPr>
      <w:rPr>
        <w:rFonts w:hint="default"/>
        <w:lang w:val="ru-RU" w:eastAsia="en-US" w:bidi="ar-SA"/>
      </w:rPr>
    </w:lvl>
    <w:lvl w:ilvl="7">
      <w:start w:val="0"/>
      <w:numFmt w:val="bullet"/>
      <w:lvlText w:val="•"/>
      <w:lvlJc w:val="left"/>
      <w:pPr>
        <w:ind w:left="5180" w:hanging="168"/>
      </w:pPr>
      <w:rPr>
        <w:rFonts w:hint="default"/>
        <w:lang w:val="ru-RU" w:eastAsia="en-US" w:bidi="ar-SA"/>
      </w:rPr>
    </w:lvl>
    <w:lvl w:ilvl="8">
      <w:start w:val="0"/>
      <w:numFmt w:val="bullet"/>
      <w:lvlText w:val="•"/>
      <w:lvlJc w:val="left"/>
      <w:pPr>
        <w:ind w:left="5967" w:hanging="168"/>
      </w:pPr>
      <w:rPr>
        <w:rFonts w:hint="default"/>
        <w:lang w:val="ru-RU" w:eastAsia="en-US" w:bidi="ar-SA"/>
      </w:rPr>
    </w:lvl>
  </w:abstractNum>
  <w:abstractNum w:abstractNumId="290">
    <w:multiLevelType w:val="hybridMultilevel"/>
    <w:lvl w:ilvl="0">
      <w:start w:val="0"/>
      <w:numFmt w:val="bullet"/>
      <w:lvlText w:val="–"/>
      <w:lvlJc w:val="left"/>
      <w:pPr>
        <w:ind w:left="141" w:hanging="150"/>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880" w:hanging="150"/>
      </w:pPr>
      <w:rPr>
        <w:rFonts w:hint="default"/>
        <w:lang w:val="ru-RU" w:eastAsia="en-US" w:bidi="ar-SA"/>
      </w:rPr>
    </w:lvl>
    <w:lvl w:ilvl="2">
      <w:start w:val="0"/>
      <w:numFmt w:val="bullet"/>
      <w:lvlText w:val="•"/>
      <w:lvlJc w:val="left"/>
      <w:pPr>
        <w:ind w:left="1620" w:hanging="150"/>
      </w:pPr>
      <w:rPr>
        <w:rFonts w:hint="default"/>
        <w:lang w:val="ru-RU" w:eastAsia="en-US" w:bidi="ar-SA"/>
      </w:rPr>
    </w:lvl>
    <w:lvl w:ilvl="3">
      <w:start w:val="0"/>
      <w:numFmt w:val="bullet"/>
      <w:lvlText w:val="•"/>
      <w:lvlJc w:val="left"/>
      <w:pPr>
        <w:ind w:left="2360" w:hanging="150"/>
      </w:pPr>
      <w:rPr>
        <w:rFonts w:hint="default"/>
        <w:lang w:val="ru-RU" w:eastAsia="en-US" w:bidi="ar-SA"/>
      </w:rPr>
    </w:lvl>
    <w:lvl w:ilvl="4">
      <w:start w:val="0"/>
      <w:numFmt w:val="bullet"/>
      <w:lvlText w:val="•"/>
      <w:lvlJc w:val="left"/>
      <w:pPr>
        <w:ind w:left="3100" w:hanging="150"/>
      </w:pPr>
      <w:rPr>
        <w:rFonts w:hint="default"/>
        <w:lang w:val="ru-RU" w:eastAsia="en-US" w:bidi="ar-SA"/>
      </w:rPr>
    </w:lvl>
    <w:lvl w:ilvl="5">
      <w:start w:val="0"/>
      <w:numFmt w:val="bullet"/>
      <w:lvlText w:val="•"/>
      <w:lvlJc w:val="left"/>
      <w:pPr>
        <w:ind w:left="3840" w:hanging="150"/>
      </w:pPr>
      <w:rPr>
        <w:rFonts w:hint="default"/>
        <w:lang w:val="ru-RU" w:eastAsia="en-US" w:bidi="ar-SA"/>
      </w:rPr>
    </w:lvl>
    <w:lvl w:ilvl="6">
      <w:start w:val="0"/>
      <w:numFmt w:val="bullet"/>
      <w:lvlText w:val="•"/>
      <w:lvlJc w:val="left"/>
      <w:pPr>
        <w:ind w:left="4580" w:hanging="150"/>
      </w:pPr>
      <w:rPr>
        <w:rFonts w:hint="default"/>
        <w:lang w:val="ru-RU" w:eastAsia="en-US" w:bidi="ar-SA"/>
      </w:rPr>
    </w:lvl>
    <w:lvl w:ilvl="7">
      <w:start w:val="0"/>
      <w:numFmt w:val="bullet"/>
      <w:lvlText w:val="•"/>
      <w:lvlJc w:val="left"/>
      <w:pPr>
        <w:ind w:left="5320" w:hanging="150"/>
      </w:pPr>
      <w:rPr>
        <w:rFonts w:hint="default"/>
        <w:lang w:val="ru-RU" w:eastAsia="en-US" w:bidi="ar-SA"/>
      </w:rPr>
    </w:lvl>
    <w:lvl w:ilvl="8">
      <w:start w:val="0"/>
      <w:numFmt w:val="bullet"/>
      <w:lvlText w:val="•"/>
      <w:lvlJc w:val="left"/>
      <w:pPr>
        <w:ind w:left="6060" w:hanging="150"/>
      </w:pPr>
      <w:rPr>
        <w:rFonts w:hint="default"/>
        <w:lang w:val="ru-RU" w:eastAsia="en-US" w:bidi="ar-SA"/>
      </w:rPr>
    </w:lvl>
  </w:abstractNum>
  <w:abstractNum w:abstractNumId="289">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88">
    <w:multiLevelType w:val="hybridMultilevel"/>
    <w:lvl w:ilvl="0">
      <w:start w:val="4"/>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97"/>
        <w:sz w:val="18"/>
        <w:szCs w:val="18"/>
        <w:lang w:val="ru-RU" w:eastAsia="en-US" w:bidi="ar-SA"/>
      </w:rPr>
    </w:lvl>
    <w:lvl w:ilvl="2">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3">
      <w:start w:val="0"/>
      <w:numFmt w:val="bullet"/>
      <w:lvlText w:val="•"/>
      <w:lvlJc w:val="left"/>
      <w:pPr>
        <w:ind w:left="2033" w:hanging="284"/>
      </w:pPr>
      <w:rPr>
        <w:rFonts w:hint="default"/>
        <w:lang w:val="ru-RU" w:eastAsia="en-US" w:bidi="ar-SA"/>
      </w:rPr>
    </w:lvl>
    <w:lvl w:ilvl="4">
      <w:start w:val="0"/>
      <w:numFmt w:val="bullet"/>
      <w:lvlText w:val="•"/>
      <w:lvlJc w:val="left"/>
      <w:pPr>
        <w:ind w:left="2820" w:hanging="284"/>
      </w:pPr>
      <w:rPr>
        <w:rFonts w:hint="default"/>
        <w:lang w:val="ru-RU" w:eastAsia="en-US" w:bidi="ar-SA"/>
      </w:rPr>
    </w:lvl>
    <w:lvl w:ilvl="5">
      <w:start w:val="0"/>
      <w:numFmt w:val="bullet"/>
      <w:lvlText w:val="•"/>
      <w:lvlJc w:val="left"/>
      <w:pPr>
        <w:ind w:left="3606" w:hanging="284"/>
      </w:pPr>
      <w:rPr>
        <w:rFonts w:hint="default"/>
        <w:lang w:val="ru-RU" w:eastAsia="en-US" w:bidi="ar-SA"/>
      </w:rPr>
    </w:lvl>
    <w:lvl w:ilvl="6">
      <w:start w:val="0"/>
      <w:numFmt w:val="bullet"/>
      <w:lvlText w:val="•"/>
      <w:lvlJc w:val="left"/>
      <w:pPr>
        <w:ind w:left="4393" w:hanging="284"/>
      </w:pPr>
      <w:rPr>
        <w:rFonts w:hint="default"/>
        <w:lang w:val="ru-RU" w:eastAsia="en-US" w:bidi="ar-SA"/>
      </w:rPr>
    </w:lvl>
    <w:lvl w:ilvl="7">
      <w:start w:val="0"/>
      <w:numFmt w:val="bullet"/>
      <w:lvlText w:val="•"/>
      <w:lvlJc w:val="left"/>
      <w:pPr>
        <w:ind w:left="5180" w:hanging="284"/>
      </w:pPr>
      <w:rPr>
        <w:rFonts w:hint="default"/>
        <w:lang w:val="ru-RU" w:eastAsia="en-US" w:bidi="ar-SA"/>
      </w:rPr>
    </w:lvl>
    <w:lvl w:ilvl="8">
      <w:start w:val="0"/>
      <w:numFmt w:val="bullet"/>
      <w:lvlText w:val="•"/>
      <w:lvlJc w:val="left"/>
      <w:pPr>
        <w:ind w:left="5967" w:hanging="284"/>
      </w:pPr>
      <w:rPr>
        <w:rFonts w:hint="default"/>
        <w:lang w:val="ru-RU" w:eastAsia="en-US" w:bidi="ar-SA"/>
      </w:rPr>
    </w:lvl>
  </w:abstractNum>
  <w:abstractNum w:abstractNumId="286">
    <w:multiLevelType w:val="hybridMultilevel"/>
    <w:lvl w:ilvl="0">
      <w:start w:val="0"/>
      <w:numFmt w:val="bullet"/>
      <w:lvlText w:val="–"/>
      <w:lvlJc w:val="left"/>
      <w:pPr>
        <w:ind w:left="141" w:hanging="164"/>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880" w:hanging="164"/>
      </w:pPr>
      <w:rPr>
        <w:rFonts w:hint="default"/>
        <w:lang w:val="ru-RU" w:eastAsia="en-US" w:bidi="ar-SA"/>
      </w:rPr>
    </w:lvl>
    <w:lvl w:ilvl="2">
      <w:start w:val="0"/>
      <w:numFmt w:val="bullet"/>
      <w:lvlText w:val="•"/>
      <w:lvlJc w:val="left"/>
      <w:pPr>
        <w:ind w:left="1620" w:hanging="164"/>
      </w:pPr>
      <w:rPr>
        <w:rFonts w:hint="default"/>
        <w:lang w:val="ru-RU" w:eastAsia="en-US" w:bidi="ar-SA"/>
      </w:rPr>
    </w:lvl>
    <w:lvl w:ilvl="3">
      <w:start w:val="0"/>
      <w:numFmt w:val="bullet"/>
      <w:lvlText w:val="•"/>
      <w:lvlJc w:val="left"/>
      <w:pPr>
        <w:ind w:left="2360" w:hanging="164"/>
      </w:pPr>
      <w:rPr>
        <w:rFonts w:hint="default"/>
        <w:lang w:val="ru-RU" w:eastAsia="en-US" w:bidi="ar-SA"/>
      </w:rPr>
    </w:lvl>
    <w:lvl w:ilvl="4">
      <w:start w:val="0"/>
      <w:numFmt w:val="bullet"/>
      <w:lvlText w:val="•"/>
      <w:lvlJc w:val="left"/>
      <w:pPr>
        <w:ind w:left="3100" w:hanging="164"/>
      </w:pPr>
      <w:rPr>
        <w:rFonts w:hint="default"/>
        <w:lang w:val="ru-RU" w:eastAsia="en-US" w:bidi="ar-SA"/>
      </w:rPr>
    </w:lvl>
    <w:lvl w:ilvl="5">
      <w:start w:val="0"/>
      <w:numFmt w:val="bullet"/>
      <w:lvlText w:val="•"/>
      <w:lvlJc w:val="left"/>
      <w:pPr>
        <w:ind w:left="3840" w:hanging="164"/>
      </w:pPr>
      <w:rPr>
        <w:rFonts w:hint="default"/>
        <w:lang w:val="ru-RU" w:eastAsia="en-US" w:bidi="ar-SA"/>
      </w:rPr>
    </w:lvl>
    <w:lvl w:ilvl="6">
      <w:start w:val="0"/>
      <w:numFmt w:val="bullet"/>
      <w:lvlText w:val="•"/>
      <w:lvlJc w:val="left"/>
      <w:pPr>
        <w:ind w:left="4580" w:hanging="164"/>
      </w:pPr>
      <w:rPr>
        <w:rFonts w:hint="default"/>
        <w:lang w:val="ru-RU" w:eastAsia="en-US" w:bidi="ar-SA"/>
      </w:rPr>
    </w:lvl>
    <w:lvl w:ilvl="7">
      <w:start w:val="0"/>
      <w:numFmt w:val="bullet"/>
      <w:lvlText w:val="•"/>
      <w:lvlJc w:val="left"/>
      <w:pPr>
        <w:ind w:left="5320" w:hanging="164"/>
      </w:pPr>
      <w:rPr>
        <w:rFonts w:hint="default"/>
        <w:lang w:val="ru-RU" w:eastAsia="en-US" w:bidi="ar-SA"/>
      </w:rPr>
    </w:lvl>
    <w:lvl w:ilvl="8">
      <w:start w:val="0"/>
      <w:numFmt w:val="bullet"/>
      <w:lvlText w:val="•"/>
      <w:lvlJc w:val="left"/>
      <w:pPr>
        <w:ind w:left="6060" w:hanging="164"/>
      </w:pPr>
      <w:rPr>
        <w:rFonts w:hint="default"/>
        <w:lang w:val="ru-RU" w:eastAsia="en-US" w:bidi="ar-SA"/>
      </w:rPr>
    </w:lvl>
  </w:abstractNum>
  <w:abstractNum w:abstractNumId="285">
    <w:multiLevelType w:val="hybridMultilevel"/>
    <w:lvl w:ilvl="0">
      <w:start w:val="4"/>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right"/>
      </w:pPr>
      <w:rPr>
        <w:rFonts w:hint="default"/>
        <w:spacing w:val="0"/>
        <w:w w:val="97"/>
        <w:lang w:val="ru-RU" w:eastAsia="en-US" w:bidi="ar-SA"/>
      </w:rPr>
    </w:lvl>
    <w:lvl w:ilvl="2">
      <w:start w:val="1"/>
      <w:numFmt w:val="decimal"/>
      <w:lvlText w:val="%1.%2.%3."/>
      <w:lvlJc w:val="left"/>
      <w:pPr>
        <w:ind w:left="1505" w:hanging="500"/>
        <w:jc w:val="right"/>
      </w:pPr>
      <w:rPr>
        <w:rFonts w:hint="default" w:ascii="Times New Roman" w:hAnsi="Times New Roman" w:eastAsia="Times New Roman" w:cs="Times New Roman"/>
        <w:b/>
        <w:bCs/>
        <w:i w:val="0"/>
        <w:iCs w:val="0"/>
        <w:color w:val="231F20"/>
        <w:spacing w:val="0"/>
        <w:w w:val="100"/>
        <w:sz w:val="20"/>
        <w:szCs w:val="20"/>
        <w:lang w:val="ru-RU" w:eastAsia="en-US" w:bidi="ar-SA"/>
      </w:rPr>
    </w:lvl>
    <w:lvl w:ilvl="3">
      <w:start w:val="0"/>
      <w:numFmt w:val="bullet"/>
      <w:lvlText w:val="•"/>
      <w:lvlJc w:val="left"/>
      <w:pPr>
        <w:ind w:left="2842" w:hanging="500"/>
      </w:pPr>
      <w:rPr>
        <w:rFonts w:hint="default"/>
        <w:lang w:val="ru-RU" w:eastAsia="en-US" w:bidi="ar-SA"/>
      </w:rPr>
    </w:lvl>
    <w:lvl w:ilvl="4">
      <w:start w:val="0"/>
      <w:numFmt w:val="bullet"/>
      <w:lvlText w:val="•"/>
      <w:lvlJc w:val="left"/>
      <w:pPr>
        <w:ind w:left="3513" w:hanging="500"/>
      </w:pPr>
      <w:rPr>
        <w:rFonts w:hint="default"/>
        <w:lang w:val="ru-RU" w:eastAsia="en-US" w:bidi="ar-SA"/>
      </w:rPr>
    </w:lvl>
    <w:lvl w:ilvl="5">
      <w:start w:val="0"/>
      <w:numFmt w:val="bullet"/>
      <w:lvlText w:val="•"/>
      <w:lvlJc w:val="left"/>
      <w:pPr>
        <w:ind w:left="4184" w:hanging="500"/>
      </w:pPr>
      <w:rPr>
        <w:rFonts w:hint="default"/>
        <w:lang w:val="ru-RU" w:eastAsia="en-US" w:bidi="ar-SA"/>
      </w:rPr>
    </w:lvl>
    <w:lvl w:ilvl="6">
      <w:start w:val="0"/>
      <w:numFmt w:val="bullet"/>
      <w:lvlText w:val="•"/>
      <w:lvlJc w:val="left"/>
      <w:pPr>
        <w:ind w:left="4855" w:hanging="500"/>
      </w:pPr>
      <w:rPr>
        <w:rFonts w:hint="default"/>
        <w:lang w:val="ru-RU" w:eastAsia="en-US" w:bidi="ar-SA"/>
      </w:rPr>
    </w:lvl>
    <w:lvl w:ilvl="7">
      <w:start w:val="0"/>
      <w:numFmt w:val="bullet"/>
      <w:lvlText w:val="•"/>
      <w:lvlJc w:val="left"/>
      <w:pPr>
        <w:ind w:left="5527" w:hanging="500"/>
      </w:pPr>
      <w:rPr>
        <w:rFonts w:hint="default"/>
        <w:lang w:val="ru-RU" w:eastAsia="en-US" w:bidi="ar-SA"/>
      </w:rPr>
    </w:lvl>
    <w:lvl w:ilvl="8">
      <w:start w:val="0"/>
      <w:numFmt w:val="bullet"/>
      <w:lvlText w:val="•"/>
      <w:lvlJc w:val="left"/>
      <w:pPr>
        <w:ind w:left="6198" w:hanging="500"/>
      </w:pPr>
      <w:rPr>
        <w:rFonts w:hint="default"/>
        <w:lang w:val="ru-RU" w:eastAsia="en-US" w:bidi="ar-SA"/>
      </w:rPr>
    </w:lvl>
  </w:abstractNum>
  <w:abstractNum w:abstractNumId="284">
    <w:multiLevelType w:val="hybridMultilevel"/>
    <w:lvl w:ilvl="0">
      <w:start w:val="0"/>
      <w:numFmt w:val="bullet"/>
      <w:lvlText w:val="–"/>
      <w:lvlJc w:val="left"/>
      <w:pPr>
        <w:ind w:left="141" w:hanging="151"/>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880" w:hanging="151"/>
      </w:pPr>
      <w:rPr>
        <w:rFonts w:hint="default"/>
        <w:lang w:val="ru-RU" w:eastAsia="en-US" w:bidi="ar-SA"/>
      </w:rPr>
    </w:lvl>
    <w:lvl w:ilvl="2">
      <w:start w:val="0"/>
      <w:numFmt w:val="bullet"/>
      <w:lvlText w:val="•"/>
      <w:lvlJc w:val="left"/>
      <w:pPr>
        <w:ind w:left="1620" w:hanging="151"/>
      </w:pPr>
      <w:rPr>
        <w:rFonts w:hint="default"/>
        <w:lang w:val="ru-RU" w:eastAsia="en-US" w:bidi="ar-SA"/>
      </w:rPr>
    </w:lvl>
    <w:lvl w:ilvl="3">
      <w:start w:val="0"/>
      <w:numFmt w:val="bullet"/>
      <w:lvlText w:val="•"/>
      <w:lvlJc w:val="left"/>
      <w:pPr>
        <w:ind w:left="2360" w:hanging="151"/>
      </w:pPr>
      <w:rPr>
        <w:rFonts w:hint="default"/>
        <w:lang w:val="ru-RU" w:eastAsia="en-US" w:bidi="ar-SA"/>
      </w:rPr>
    </w:lvl>
    <w:lvl w:ilvl="4">
      <w:start w:val="0"/>
      <w:numFmt w:val="bullet"/>
      <w:lvlText w:val="•"/>
      <w:lvlJc w:val="left"/>
      <w:pPr>
        <w:ind w:left="3100" w:hanging="151"/>
      </w:pPr>
      <w:rPr>
        <w:rFonts w:hint="default"/>
        <w:lang w:val="ru-RU" w:eastAsia="en-US" w:bidi="ar-SA"/>
      </w:rPr>
    </w:lvl>
    <w:lvl w:ilvl="5">
      <w:start w:val="0"/>
      <w:numFmt w:val="bullet"/>
      <w:lvlText w:val="•"/>
      <w:lvlJc w:val="left"/>
      <w:pPr>
        <w:ind w:left="3840" w:hanging="151"/>
      </w:pPr>
      <w:rPr>
        <w:rFonts w:hint="default"/>
        <w:lang w:val="ru-RU" w:eastAsia="en-US" w:bidi="ar-SA"/>
      </w:rPr>
    </w:lvl>
    <w:lvl w:ilvl="6">
      <w:start w:val="0"/>
      <w:numFmt w:val="bullet"/>
      <w:lvlText w:val="•"/>
      <w:lvlJc w:val="left"/>
      <w:pPr>
        <w:ind w:left="4580" w:hanging="151"/>
      </w:pPr>
      <w:rPr>
        <w:rFonts w:hint="default"/>
        <w:lang w:val="ru-RU" w:eastAsia="en-US" w:bidi="ar-SA"/>
      </w:rPr>
    </w:lvl>
    <w:lvl w:ilvl="7">
      <w:start w:val="0"/>
      <w:numFmt w:val="bullet"/>
      <w:lvlText w:val="•"/>
      <w:lvlJc w:val="left"/>
      <w:pPr>
        <w:ind w:left="5320" w:hanging="151"/>
      </w:pPr>
      <w:rPr>
        <w:rFonts w:hint="default"/>
        <w:lang w:val="ru-RU" w:eastAsia="en-US" w:bidi="ar-SA"/>
      </w:rPr>
    </w:lvl>
    <w:lvl w:ilvl="8">
      <w:start w:val="0"/>
      <w:numFmt w:val="bullet"/>
      <w:lvlText w:val="•"/>
      <w:lvlJc w:val="left"/>
      <w:pPr>
        <w:ind w:left="6060" w:hanging="151"/>
      </w:pPr>
      <w:rPr>
        <w:rFonts w:hint="default"/>
        <w:lang w:val="ru-RU" w:eastAsia="en-US" w:bidi="ar-SA"/>
      </w:rPr>
    </w:lvl>
  </w:abstractNum>
  <w:abstractNum w:abstractNumId="283">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82">
    <w:multiLevelType w:val="hybridMultilevel"/>
    <w:lvl w:ilvl="0">
      <w:start w:val="4"/>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97"/>
        <w:sz w:val="18"/>
        <w:szCs w:val="18"/>
        <w:lang w:val="ru-RU" w:eastAsia="en-US" w:bidi="ar-SA"/>
      </w:rPr>
    </w:lvl>
    <w:lvl w:ilvl="2">
      <w:start w:val="0"/>
      <w:numFmt w:val="bullet"/>
      <w:lvlText w:val="–"/>
      <w:lvlJc w:val="left"/>
      <w:pPr>
        <w:ind w:left="425" w:hanging="284"/>
      </w:pPr>
      <w:rPr>
        <w:rFonts w:hint="default" w:ascii="Times New Roman" w:hAnsi="Times New Roman" w:eastAsia="Times New Roman" w:cs="Times New Roman"/>
        <w:spacing w:val="0"/>
        <w:w w:val="100"/>
        <w:lang w:val="ru-RU" w:eastAsia="en-US" w:bidi="ar-SA"/>
      </w:rPr>
    </w:lvl>
    <w:lvl w:ilvl="3">
      <w:start w:val="0"/>
      <w:numFmt w:val="bullet"/>
      <w:lvlText w:val="–"/>
      <w:lvlJc w:val="left"/>
      <w:pPr>
        <w:ind w:left="141" w:hanging="191"/>
      </w:pPr>
      <w:rPr>
        <w:rFonts w:hint="default" w:ascii="Times New Roman" w:hAnsi="Times New Roman" w:eastAsia="Times New Roman" w:cs="Times New Roman"/>
        <w:b w:val="0"/>
        <w:bCs w:val="0"/>
        <w:i/>
        <w:iCs/>
        <w:color w:val="231F20"/>
        <w:spacing w:val="0"/>
        <w:w w:val="100"/>
        <w:sz w:val="20"/>
        <w:szCs w:val="20"/>
        <w:lang w:val="ru-RU" w:eastAsia="en-US" w:bidi="ar-SA"/>
      </w:rPr>
    </w:lvl>
    <w:lvl w:ilvl="4">
      <w:start w:val="0"/>
      <w:numFmt w:val="bullet"/>
      <w:lvlText w:val="•"/>
      <w:lvlJc w:val="left"/>
      <w:pPr>
        <w:ind w:left="2230" w:hanging="191"/>
      </w:pPr>
      <w:rPr>
        <w:rFonts w:hint="default"/>
        <w:lang w:val="ru-RU" w:eastAsia="en-US" w:bidi="ar-SA"/>
      </w:rPr>
    </w:lvl>
    <w:lvl w:ilvl="5">
      <w:start w:val="0"/>
      <w:numFmt w:val="bullet"/>
      <w:lvlText w:val="•"/>
      <w:lvlJc w:val="left"/>
      <w:pPr>
        <w:ind w:left="3115" w:hanging="191"/>
      </w:pPr>
      <w:rPr>
        <w:rFonts w:hint="default"/>
        <w:lang w:val="ru-RU" w:eastAsia="en-US" w:bidi="ar-SA"/>
      </w:rPr>
    </w:lvl>
    <w:lvl w:ilvl="6">
      <w:start w:val="0"/>
      <w:numFmt w:val="bullet"/>
      <w:lvlText w:val="•"/>
      <w:lvlJc w:val="left"/>
      <w:pPr>
        <w:ind w:left="4000" w:hanging="191"/>
      </w:pPr>
      <w:rPr>
        <w:rFonts w:hint="default"/>
        <w:lang w:val="ru-RU" w:eastAsia="en-US" w:bidi="ar-SA"/>
      </w:rPr>
    </w:lvl>
    <w:lvl w:ilvl="7">
      <w:start w:val="0"/>
      <w:numFmt w:val="bullet"/>
      <w:lvlText w:val="•"/>
      <w:lvlJc w:val="left"/>
      <w:pPr>
        <w:ind w:left="4885" w:hanging="191"/>
      </w:pPr>
      <w:rPr>
        <w:rFonts w:hint="default"/>
        <w:lang w:val="ru-RU" w:eastAsia="en-US" w:bidi="ar-SA"/>
      </w:rPr>
    </w:lvl>
    <w:lvl w:ilvl="8">
      <w:start w:val="0"/>
      <w:numFmt w:val="bullet"/>
      <w:lvlText w:val="•"/>
      <w:lvlJc w:val="left"/>
      <w:pPr>
        <w:ind w:left="5770" w:hanging="191"/>
      </w:pPr>
      <w:rPr>
        <w:rFonts w:hint="default"/>
        <w:lang w:val="ru-RU" w:eastAsia="en-US" w:bidi="ar-SA"/>
      </w:rPr>
    </w:lvl>
  </w:abstractNum>
  <w:abstractNum w:abstractNumId="281">
    <w:multiLevelType w:val="hybridMultilevel"/>
    <w:lvl w:ilvl="0">
      <w:start w:val="0"/>
      <w:numFmt w:val="bullet"/>
      <w:lvlText w:val="–"/>
      <w:lvlJc w:val="left"/>
      <w:pPr>
        <w:ind w:left="425" w:hanging="162"/>
      </w:pPr>
      <w:rPr>
        <w:rFonts w:hint="default" w:ascii="Times New Roman" w:hAnsi="Times New Roman" w:eastAsia="Times New Roman" w:cs="Times New Roman"/>
        <w:b w:val="0"/>
        <w:bCs w:val="0"/>
        <w:i/>
        <w:iCs/>
        <w:spacing w:val="0"/>
        <w:w w:val="100"/>
        <w:sz w:val="20"/>
        <w:szCs w:val="20"/>
        <w:lang w:val="ru-RU" w:eastAsia="en-US" w:bidi="ar-SA"/>
      </w:rPr>
    </w:lvl>
    <w:lvl w:ilvl="1">
      <w:start w:val="0"/>
      <w:numFmt w:val="bullet"/>
      <w:lvlText w:val="•"/>
      <w:lvlJc w:val="left"/>
      <w:pPr>
        <w:ind w:left="1132" w:hanging="162"/>
      </w:pPr>
      <w:rPr>
        <w:rFonts w:hint="default"/>
        <w:lang w:val="ru-RU" w:eastAsia="en-US" w:bidi="ar-SA"/>
      </w:rPr>
    </w:lvl>
    <w:lvl w:ilvl="2">
      <w:start w:val="0"/>
      <w:numFmt w:val="bullet"/>
      <w:lvlText w:val="•"/>
      <w:lvlJc w:val="left"/>
      <w:pPr>
        <w:ind w:left="1844" w:hanging="162"/>
      </w:pPr>
      <w:rPr>
        <w:rFonts w:hint="default"/>
        <w:lang w:val="ru-RU" w:eastAsia="en-US" w:bidi="ar-SA"/>
      </w:rPr>
    </w:lvl>
    <w:lvl w:ilvl="3">
      <w:start w:val="0"/>
      <w:numFmt w:val="bullet"/>
      <w:lvlText w:val="•"/>
      <w:lvlJc w:val="left"/>
      <w:pPr>
        <w:ind w:left="2556" w:hanging="162"/>
      </w:pPr>
      <w:rPr>
        <w:rFonts w:hint="default"/>
        <w:lang w:val="ru-RU" w:eastAsia="en-US" w:bidi="ar-SA"/>
      </w:rPr>
    </w:lvl>
    <w:lvl w:ilvl="4">
      <w:start w:val="0"/>
      <w:numFmt w:val="bullet"/>
      <w:lvlText w:val="•"/>
      <w:lvlJc w:val="left"/>
      <w:pPr>
        <w:ind w:left="3268" w:hanging="162"/>
      </w:pPr>
      <w:rPr>
        <w:rFonts w:hint="default"/>
        <w:lang w:val="ru-RU" w:eastAsia="en-US" w:bidi="ar-SA"/>
      </w:rPr>
    </w:lvl>
    <w:lvl w:ilvl="5">
      <w:start w:val="0"/>
      <w:numFmt w:val="bullet"/>
      <w:lvlText w:val="•"/>
      <w:lvlJc w:val="left"/>
      <w:pPr>
        <w:ind w:left="3980" w:hanging="162"/>
      </w:pPr>
      <w:rPr>
        <w:rFonts w:hint="default"/>
        <w:lang w:val="ru-RU" w:eastAsia="en-US" w:bidi="ar-SA"/>
      </w:rPr>
    </w:lvl>
    <w:lvl w:ilvl="6">
      <w:start w:val="0"/>
      <w:numFmt w:val="bullet"/>
      <w:lvlText w:val="•"/>
      <w:lvlJc w:val="left"/>
      <w:pPr>
        <w:ind w:left="4692" w:hanging="162"/>
      </w:pPr>
      <w:rPr>
        <w:rFonts w:hint="default"/>
        <w:lang w:val="ru-RU" w:eastAsia="en-US" w:bidi="ar-SA"/>
      </w:rPr>
    </w:lvl>
    <w:lvl w:ilvl="7">
      <w:start w:val="0"/>
      <w:numFmt w:val="bullet"/>
      <w:lvlText w:val="•"/>
      <w:lvlJc w:val="left"/>
      <w:pPr>
        <w:ind w:left="5404" w:hanging="162"/>
      </w:pPr>
      <w:rPr>
        <w:rFonts w:hint="default"/>
        <w:lang w:val="ru-RU" w:eastAsia="en-US" w:bidi="ar-SA"/>
      </w:rPr>
    </w:lvl>
    <w:lvl w:ilvl="8">
      <w:start w:val="0"/>
      <w:numFmt w:val="bullet"/>
      <w:lvlText w:val="•"/>
      <w:lvlJc w:val="left"/>
      <w:pPr>
        <w:ind w:left="6116" w:hanging="162"/>
      </w:pPr>
      <w:rPr>
        <w:rFonts w:hint="default"/>
        <w:lang w:val="ru-RU" w:eastAsia="en-US" w:bidi="ar-SA"/>
      </w:rPr>
    </w:lvl>
  </w:abstractNum>
  <w:abstractNum w:abstractNumId="280">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iCs/>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79">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78">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77">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76">
    <w:multiLevelType w:val="hybridMultilevel"/>
    <w:lvl w:ilvl="0">
      <w:start w:val="0"/>
      <w:numFmt w:val="bullet"/>
      <w:lvlText w:val="–"/>
      <w:lvlJc w:val="left"/>
      <w:pPr>
        <w:ind w:left="141" w:hanging="153"/>
      </w:pPr>
      <w:rPr>
        <w:rFonts w:hint="default" w:ascii="Times New Roman" w:hAnsi="Times New Roman" w:eastAsia="Times New Roman" w:cs="Times New Roman"/>
        <w:b w:val="0"/>
        <w:bCs w:val="0"/>
        <w:i/>
        <w:iCs/>
        <w:color w:val="231F20"/>
        <w:spacing w:val="0"/>
        <w:w w:val="100"/>
        <w:sz w:val="20"/>
        <w:szCs w:val="20"/>
        <w:lang w:val="ru-RU" w:eastAsia="en-US" w:bidi="ar-SA"/>
      </w:rPr>
    </w:lvl>
    <w:lvl w:ilvl="1">
      <w:start w:val="0"/>
      <w:numFmt w:val="bullet"/>
      <w:lvlText w:val="•"/>
      <w:lvlJc w:val="left"/>
      <w:pPr>
        <w:ind w:left="880" w:hanging="153"/>
      </w:pPr>
      <w:rPr>
        <w:rFonts w:hint="default"/>
        <w:lang w:val="ru-RU" w:eastAsia="en-US" w:bidi="ar-SA"/>
      </w:rPr>
    </w:lvl>
    <w:lvl w:ilvl="2">
      <w:start w:val="0"/>
      <w:numFmt w:val="bullet"/>
      <w:lvlText w:val="•"/>
      <w:lvlJc w:val="left"/>
      <w:pPr>
        <w:ind w:left="1620" w:hanging="153"/>
      </w:pPr>
      <w:rPr>
        <w:rFonts w:hint="default"/>
        <w:lang w:val="ru-RU" w:eastAsia="en-US" w:bidi="ar-SA"/>
      </w:rPr>
    </w:lvl>
    <w:lvl w:ilvl="3">
      <w:start w:val="0"/>
      <w:numFmt w:val="bullet"/>
      <w:lvlText w:val="•"/>
      <w:lvlJc w:val="left"/>
      <w:pPr>
        <w:ind w:left="2360" w:hanging="153"/>
      </w:pPr>
      <w:rPr>
        <w:rFonts w:hint="default"/>
        <w:lang w:val="ru-RU" w:eastAsia="en-US" w:bidi="ar-SA"/>
      </w:rPr>
    </w:lvl>
    <w:lvl w:ilvl="4">
      <w:start w:val="0"/>
      <w:numFmt w:val="bullet"/>
      <w:lvlText w:val="•"/>
      <w:lvlJc w:val="left"/>
      <w:pPr>
        <w:ind w:left="3100" w:hanging="153"/>
      </w:pPr>
      <w:rPr>
        <w:rFonts w:hint="default"/>
        <w:lang w:val="ru-RU" w:eastAsia="en-US" w:bidi="ar-SA"/>
      </w:rPr>
    </w:lvl>
    <w:lvl w:ilvl="5">
      <w:start w:val="0"/>
      <w:numFmt w:val="bullet"/>
      <w:lvlText w:val="•"/>
      <w:lvlJc w:val="left"/>
      <w:pPr>
        <w:ind w:left="3840" w:hanging="153"/>
      </w:pPr>
      <w:rPr>
        <w:rFonts w:hint="default"/>
        <w:lang w:val="ru-RU" w:eastAsia="en-US" w:bidi="ar-SA"/>
      </w:rPr>
    </w:lvl>
    <w:lvl w:ilvl="6">
      <w:start w:val="0"/>
      <w:numFmt w:val="bullet"/>
      <w:lvlText w:val="•"/>
      <w:lvlJc w:val="left"/>
      <w:pPr>
        <w:ind w:left="4580" w:hanging="153"/>
      </w:pPr>
      <w:rPr>
        <w:rFonts w:hint="default"/>
        <w:lang w:val="ru-RU" w:eastAsia="en-US" w:bidi="ar-SA"/>
      </w:rPr>
    </w:lvl>
    <w:lvl w:ilvl="7">
      <w:start w:val="0"/>
      <w:numFmt w:val="bullet"/>
      <w:lvlText w:val="•"/>
      <w:lvlJc w:val="left"/>
      <w:pPr>
        <w:ind w:left="5320" w:hanging="153"/>
      </w:pPr>
      <w:rPr>
        <w:rFonts w:hint="default"/>
        <w:lang w:val="ru-RU" w:eastAsia="en-US" w:bidi="ar-SA"/>
      </w:rPr>
    </w:lvl>
    <w:lvl w:ilvl="8">
      <w:start w:val="0"/>
      <w:numFmt w:val="bullet"/>
      <w:lvlText w:val="•"/>
      <w:lvlJc w:val="left"/>
      <w:pPr>
        <w:ind w:left="6060" w:hanging="153"/>
      </w:pPr>
      <w:rPr>
        <w:rFonts w:hint="default"/>
        <w:lang w:val="ru-RU" w:eastAsia="en-US" w:bidi="ar-SA"/>
      </w:rPr>
    </w:lvl>
  </w:abstractNum>
  <w:abstractNum w:abstractNumId="275">
    <w:multiLevelType w:val="hybridMultilevel"/>
    <w:lvl w:ilvl="0">
      <w:start w:val="4"/>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97"/>
        <w:sz w:val="18"/>
        <w:szCs w:val="18"/>
        <w:lang w:val="ru-RU" w:eastAsia="en-US" w:bidi="ar-SA"/>
      </w:rPr>
    </w:lvl>
    <w:lvl w:ilvl="2">
      <w:start w:val="0"/>
      <w:numFmt w:val="bullet"/>
      <w:lvlText w:val="–"/>
      <w:lvlJc w:val="left"/>
      <w:pPr>
        <w:ind w:left="425" w:hanging="284"/>
      </w:pPr>
      <w:rPr>
        <w:rFonts w:hint="default" w:ascii="Times New Roman" w:hAnsi="Times New Roman" w:eastAsia="Times New Roman" w:cs="Times New Roman"/>
        <w:b w:val="0"/>
        <w:bCs w:val="0"/>
        <w:i/>
        <w:iCs/>
        <w:color w:val="231F20"/>
        <w:spacing w:val="0"/>
        <w:w w:val="100"/>
        <w:sz w:val="20"/>
        <w:szCs w:val="20"/>
        <w:lang w:val="ru-RU" w:eastAsia="en-US" w:bidi="ar-SA"/>
      </w:rPr>
    </w:lvl>
    <w:lvl w:ilvl="3">
      <w:start w:val="0"/>
      <w:numFmt w:val="bullet"/>
      <w:lvlText w:val="•"/>
      <w:lvlJc w:val="left"/>
      <w:pPr>
        <w:ind w:left="2033" w:hanging="284"/>
      </w:pPr>
      <w:rPr>
        <w:rFonts w:hint="default"/>
        <w:lang w:val="ru-RU" w:eastAsia="en-US" w:bidi="ar-SA"/>
      </w:rPr>
    </w:lvl>
    <w:lvl w:ilvl="4">
      <w:start w:val="0"/>
      <w:numFmt w:val="bullet"/>
      <w:lvlText w:val="•"/>
      <w:lvlJc w:val="left"/>
      <w:pPr>
        <w:ind w:left="2820" w:hanging="284"/>
      </w:pPr>
      <w:rPr>
        <w:rFonts w:hint="default"/>
        <w:lang w:val="ru-RU" w:eastAsia="en-US" w:bidi="ar-SA"/>
      </w:rPr>
    </w:lvl>
    <w:lvl w:ilvl="5">
      <w:start w:val="0"/>
      <w:numFmt w:val="bullet"/>
      <w:lvlText w:val="•"/>
      <w:lvlJc w:val="left"/>
      <w:pPr>
        <w:ind w:left="3606" w:hanging="284"/>
      </w:pPr>
      <w:rPr>
        <w:rFonts w:hint="default"/>
        <w:lang w:val="ru-RU" w:eastAsia="en-US" w:bidi="ar-SA"/>
      </w:rPr>
    </w:lvl>
    <w:lvl w:ilvl="6">
      <w:start w:val="0"/>
      <w:numFmt w:val="bullet"/>
      <w:lvlText w:val="•"/>
      <w:lvlJc w:val="left"/>
      <w:pPr>
        <w:ind w:left="4393" w:hanging="284"/>
      </w:pPr>
      <w:rPr>
        <w:rFonts w:hint="default"/>
        <w:lang w:val="ru-RU" w:eastAsia="en-US" w:bidi="ar-SA"/>
      </w:rPr>
    </w:lvl>
    <w:lvl w:ilvl="7">
      <w:start w:val="0"/>
      <w:numFmt w:val="bullet"/>
      <w:lvlText w:val="•"/>
      <w:lvlJc w:val="left"/>
      <w:pPr>
        <w:ind w:left="5180" w:hanging="284"/>
      </w:pPr>
      <w:rPr>
        <w:rFonts w:hint="default"/>
        <w:lang w:val="ru-RU" w:eastAsia="en-US" w:bidi="ar-SA"/>
      </w:rPr>
    </w:lvl>
    <w:lvl w:ilvl="8">
      <w:start w:val="0"/>
      <w:numFmt w:val="bullet"/>
      <w:lvlText w:val="•"/>
      <w:lvlJc w:val="left"/>
      <w:pPr>
        <w:ind w:left="5967" w:hanging="284"/>
      </w:pPr>
      <w:rPr>
        <w:rFonts w:hint="default"/>
        <w:lang w:val="ru-RU" w:eastAsia="en-US" w:bidi="ar-SA"/>
      </w:rPr>
    </w:lvl>
  </w:abstractNum>
  <w:abstractNum w:abstractNumId="274">
    <w:multiLevelType w:val="hybridMultilevel"/>
    <w:lvl w:ilvl="0">
      <w:start w:val="0"/>
      <w:numFmt w:val="bullet"/>
      <w:lvlText w:val="–"/>
      <w:lvlJc w:val="left"/>
      <w:pPr>
        <w:ind w:left="141" w:hanging="150"/>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880" w:hanging="150"/>
      </w:pPr>
      <w:rPr>
        <w:rFonts w:hint="default"/>
        <w:lang w:val="ru-RU" w:eastAsia="en-US" w:bidi="ar-SA"/>
      </w:rPr>
    </w:lvl>
    <w:lvl w:ilvl="2">
      <w:start w:val="0"/>
      <w:numFmt w:val="bullet"/>
      <w:lvlText w:val="•"/>
      <w:lvlJc w:val="left"/>
      <w:pPr>
        <w:ind w:left="1620" w:hanging="150"/>
      </w:pPr>
      <w:rPr>
        <w:rFonts w:hint="default"/>
        <w:lang w:val="ru-RU" w:eastAsia="en-US" w:bidi="ar-SA"/>
      </w:rPr>
    </w:lvl>
    <w:lvl w:ilvl="3">
      <w:start w:val="0"/>
      <w:numFmt w:val="bullet"/>
      <w:lvlText w:val="•"/>
      <w:lvlJc w:val="left"/>
      <w:pPr>
        <w:ind w:left="2360" w:hanging="150"/>
      </w:pPr>
      <w:rPr>
        <w:rFonts w:hint="default"/>
        <w:lang w:val="ru-RU" w:eastAsia="en-US" w:bidi="ar-SA"/>
      </w:rPr>
    </w:lvl>
    <w:lvl w:ilvl="4">
      <w:start w:val="0"/>
      <w:numFmt w:val="bullet"/>
      <w:lvlText w:val="•"/>
      <w:lvlJc w:val="left"/>
      <w:pPr>
        <w:ind w:left="3100" w:hanging="150"/>
      </w:pPr>
      <w:rPr>
        <w:rFonts w:hint="default"/>
        <w:lang w:val="ru-RU" w:eastAsia="en-US" w:bidi="ar-SA"/>
      </w:rPr>
    </w:lvl>
    <w:lvl w:ilvl="5">
      <w:start w:val="0"/>
      <w:numFmt w:val="bullet"/>
      <w:lvlText w:val="•"/>
      <w:lvlJc w:val="left"/>
      <w:pPr>
        <w:ind w:left="3840" w:hanging="150"/>
      </w:pPr>
      <w:rPr>
        <w:rFonts w:hint="default"/>
        <w:lang w:val="ru-RU" w:eastAsia="en-US" w:bidi="ar-SA"/>
      </w:rPr>
    </w:lvl>
    <w:lvl w:ilvl="6">
      <w:start w:val="0"/>
      <w:numFmt w:val="bullet"/>
      <w:lvlText w:val="•"/>
      <w:lvlJc w:val="left"/>
      <w:pPr>
        <w:ind w:left="4580" w:hanging="150"/>
      </w:pPr>
      <w:rPr>
        <w:rFonts w:hint="default"/>
        <w:lang w:val="ru-RU" w:eastAsia="en-US" w:bidi="ar-SA"/>
      </w:rPr>
    </w:lvl>
    <w:lvl w:ilvl="7">
      <w:start w:val="0"/>
      <w:numFmt w:val="bullet"/>
      <w:lvlText w:val="•"/>
      <w:lvlJc w:val="left"/>
      <w:pPr>
        <w:ind w:left="5320" w:hanging="150"/>
      </w:pPr>
      <w:rPr>
        <w:rFonts w:hint="default"/>
        <w:lang w:val="ru-RU" w:eastAsia="en-US" w:bidi="ar-SA"/>
      </w:rPr>
    </w:lvl>
    <w:lvl w:ilvl="8">
      <w:start w:val="0"/>
      <w:numFmt w:val="bullet"/>
      <w:lvlText w:val="•"/>
      <w:lvlJc w:val="left"/>
      <w:pPr>
        <w:ind w:left="6060" w:hanging="150"/>
      </w:pPr>
      <w:rPr>
        <w:rFonts w:hint="default"/>
        <w:lang w:val="ru-RU" w:eastAsia="en-US" w:bidi="ar-SA"/>
      </w:rPr>
    </w:lvl>
  </w:abstractNum>
  <w:abstractNum w:abstractNumId="273">
    <w:multiLevelType w:val="hybridMultilevel"/>
    <w:lvl w:ilvl="0">
      <w:start w:val="4"/>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97"/>
        <w:sz w:val="18"/>
        <w:szCs w:val="18"/>
        <w:lang w:val="ru-RU" w:eastAsia="en-US" w:bidi="ar-SA"/>
      </w:rPr>
    </w:lvl>
    <w:lvl w:ilvl="2">
      <w:start w:val="0"/>
      <w:numFmt w:val="bullet"/>
      <w:lvlText w:val=""/>
      <w:lvlJc w:val="left"/>
      <w:pPr>
        <w:ind w:left="425" w:hanging="284"/>
      </w:pPr>
      <w:rPr>
        <w:rFonts w:hint="default" w:ascii="Symbol" w:hAnsi="Symbol" w:eastAsia="Symbol" w:cs="Symbol"/>
        <w:b w:val="0"/>
        <w:bCs w:val="0"/>
        <w:i w:val="0"/>
        <w:iCs w:val="0"/>
        <w:spacing w:val="0"/>
        <w:w w:val="100"/>
        <w:sz w:val="20"/>
        <w:szCs w:val="20"/>
        <w:lang w:val="ru-RU" w:eastAsia="en-US" w:bidi="ar-SA"/>
      </w:rPr>
    </w:lvl>
    <w:lvl w:ilvl="3">
      <w:start w:val="0"/>
      <w:numFmt w:val="bullet"/>
      <w:lvlText w:val="•"/>
      <w:lvlJc w:val="left"/>
      <w:pPr>
        <w:ind w:left="2033" w:hanging="284"/>
      </w:pPr>
      <w:rPr>
        <w:rFonts w:hint="default"/>
        <w:lang w:val="ru-RU" w:eastAsia="en-US" w:bidi="ar-SA"/>
      </w:rPr>
    </w:lvl>
    <w:lvl w:ilvl="4">
      <w:start w:val="0"/>
      <w:numFmt w:val="bullet"/>
      <w:lvlText w:val="•"/>
      <w:lvlJc w:val="left"/>
      <w:pPr>
        <w:ind w:left="2820" w:hanging="284"/>
      </w:pPr>
      <w:rPr>
        <w:rFonts w:hint="default"/>
        <w:lang w:val="ru-RU" w:eastAsia="en-US" w:bidi="ar-SA"/>
      </w:rPr>
    </w:lvl>
    <w:lvl w:ilvl="5">
      <w:start w:val="0"/>
      <w:numFmt w:val="bullet"/>
      <w:lvlText w:val="•"/>
      <w:lvlJc w:val="left"/>
      <w:pPr>
        <w:ind w:left="3606" w:hanging="284"/>
      </w:pPr>
      <w:rPr>
        <w:rFonts w:hint="default"/>
        <w:lang w:val="ru-RU" w:eastAsia="en-US" w:bidi="ar-SA"/>
      </w:rPr>
    </w:lvl>
    <w:lvl w:ilvl="6">
      <w:start w:val="0"/>
      <w:numFmt w:val="bullet"/>
      <w:lvlText w:val="•"/>
      <w:lvlJc w:val="left"/>
      <w:pPr>
        <w:ind w:left="4393" w:hanging="284"/>
      </w:pPr>
      <w:rPr>
        <w:rFonts w:hint="default"/>
        <w:lang w:val="ru-RU" w:eastAsia="en-US" w:bidi="ar-SA"/>
      </w:rPr>
    </w:lvl>
    <w:lvl w:ilvl="7">
      <w:start w:val="0"/>
      <w:numFmt w:val="bullet"/>
      <w:lvlText w:val="•"/>
      <w:lvlJc w:val="left"/>
      <w:pPr>
        <w:ind w:left="5180" w:hanging="284"/>
      </w:pPr>
      <w:rPr>
        <w:rFonts w:hint="default"/>
        <w:lang w:val="ru-RU" w:eastAsia="en-US" w:bidi="ar-SA"/>
      </w:rPr>
    </w:lvl>
    <w:lvl w:ilvl="8">
      <w:start w:val="0"/>
      <w:numFmt w:val="bullet"/>
      <w:lvlText w:val="•"/>
      <w:lvlJc w:val="left"/>
      <w:pPr>
        <w:ind w:left="5967" w:hanging="284"/>
      </w:pPr>
      <w:rPr>
        <w:rFonts w:hint="default"/>
        <w:lang w:val="ru-RU" w:eastAsia="en-US" w:bidi="ar-SA"/>
      </w:rPr>
    </w:lvl>
  </w:abstractNum>
  <w:abstractNum w:abstractNumId="272">
    <w:multiLevelType w:val="hybridMultilevel"/>
    <w:lvl w:ilvl="0">
      <w:start w:val="4"/>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97"/>
        <w:sz w:val="18"/>
        <w:szCs w:val="18"/>
        <w:lang w:val="ru-RU" w:eastAsia="en-US" w:bidi="ar-SA"/>
      </w:rPr>
    </w:lvl>
    <w:lvl w:ilvl="2">
      <w:start w:val="0"/>
      <w:numFmt w:val="bullet"/>
      <w:lvlText w:val="–"/>
      <w:lvlJc w:val="left"/>
      <w:pPr>
        <w:ind w:left="425" w:hanging="284"/>
      </w:pPr>
      <w:rPr>
        <w:rFonts w:hint="default" w:ascii="Times New Roman" w:hAnsi="Times New Roman" w:eastAsia="Times New Roman" w:cs="Times New Roman"/>
        <w:spacing w:val="0"/>
        <w:w w:val="100"/>
        <w:lang w:val="ru-RU" w:eastAsia="en-US" w:bidi="ar-SA"/>
      </w:rPr>
    </w:lvl>
    <w:lvl w:ilvl="3">
      <w:start w:val="0"/>
      <w:numFmt w:val="bullet"/>
      <w:lvlText w:val="•"/>
      <w:lvlJc w:val="left"/>
      <w:pPr>
        <w:ind w:left="2033" w:hanging="284"/>
      </w:pPr>
      <w:rPr>
        <w:rFonts w:hint="default"/>
        <w:lang w:val="ru-RU" w:eastAsia="en-US" w:bidi="ar-SA"/>
      </w:rPr>
    </w:lvl>
    <w:lvl w:ilvl="4">
      <w:start w:val="0"/>
      <w:numFmt w:val="bullet"/>
      <w:lvlText w:val="•"/>
      <w:lvlJc w:val="left"/>
      <w:pPr>
        <w:ind w:left="2820" w:hanging="284"/>
      </w:pPr>
      <w:rPr>
        <w:rFonts w:hint="default"/>
        <w:lang w:val="ru-RU" w:eastAsia="en-US" w:bidi="ar-SA"/>
      </w:rPr>
    </w:lvl>
    <w:lvl w:ilvl="5">
      <w:start w:val="0"/>
      <w:numFmt w:val="bullet"/>
      <w:lvlText w:val="•"/>
      <w:lvlJc w:val="left"/>
      <w:pPr>
        <w:ind w:left="3606" w:hanging="284"/>
      </w:pPr>
      <w:rPr>
        <w:rFonts w:hint="default"/>
        <w:lang w:val="ru-RU" w:eastAsia="en-US" w:bidi="ar-SA"/>
      </w:rPr>
    </w:lvl>
    <w:lvl w:ilvl="6">
      <w:start w:val="0"/>
      <w:numFmt w:val="bullet"/>
      <w:lvlText w:val="•"/>
      <w:lvlJc w:val="left"/>
      <w:pPr>
        <w:ind w:left="4393" w:hanging="284"/>
      </w:pPr>
      <w:rPr>
        <w:rFonts w:hint="default"/>
        <w:lang w:val="ru-RU" w:eastAsia="en-US" w:bidi="ar-SA"/>
      </w:rPr>
    </w:lvl>
    <w:lvl w:ilvl="7">
      <w:start w:val="0"/>
      <w:numFmt w:val="bullet"/>
      <w:lvlText w:val="•"/>
      <w:lvlJc w:val="left"/>
      <w:pPr>
        <w:ind w:left="5180" w:hanging="284"/>
      </w:pPr>
      <w:rPr>
        <w:rFonts w:hint="default"/>
        <w:lang w:val="ru-RU" w:eastAsia="en-US" w:bidi="ar-SA"/>
      </w:rPr>
    </w:lvl>
    <w:lvl w:ilvl="8">
      <w:start w:val="0"/>
      <w:numFmt w:val="bullet"/>
      <w:lvlText w:val="•"/>
      <w:lvlJc w:val="left"/>
      <w:pPr>
        <w:ind w:left="5967" w:hanging="284"/>
      </w:pPr>
      <w:rPr>
        <w:rFonts w:hint="default"/>
        <w:lang w:val="ru-RU" w:eastAsia="en-US" w:bidi="ar-SA"/>
      </w:rPr>
    </w:lvl>
  </w:abstractNum>
  <w:abstractNum w:abstractNumId="271">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iCs/>
        <w:color w:val="231F20"/>
        <w:spacing w:val="0"/>
        <w:w w:val="100"/>
        <w:sz w:val="20"/>
        <w:szCs w:val="20"/>
        <w:lang w:val="ru-RU" w:eastAsia="en-US" w:bidi="ar-SA"/>
      </w:rPr>
    </w:lvl>
    <w:lvl w:ilvl="1">
      <w:start w:val="0"/>
      <w:numFmt w:val="bullet"/>
      <w:lvlText w:val="–"/>
      <w:lvlJc w:val="left"/>
      <w:pPr>
        <w:ind w:left="575" w:hanging="150"/>
      </w:pPr>
      <w:rPr>
        <w:rFonts w:hint="default" w:ascii="Times New Roman" w:hAnsi="Times New Roman" w:eastAsia="Times New Roman" w:cs="Times New Roman"/>
        <w:b/>
        <w:bCs/>
        <w:i/>
        <w:iCs/>
        <w:spacing w:val="0"/>
        <w:w w:val="100"/>
        <w:sz w:val="20"/>
        <w:szCs w:val="20"/>
        <w:lang w:val="ru-RU" w:eastAsia="en-US" w:bidi="ar-SA"/>
      </w:rPr>
    </w:lvl>
    <w:lvl w:ilvl="2">
      <w:start w:val="0"/>
      <w:numFmt w:val="bullet"/>
      <w:lvlText w:val="•"/>
      <w:lvlJc w:val="left"/>
      <w:pPr>
        <w:ind w:left="1353" w:hanging="150"/>
      </w:pPr>
      <w:rPr>
        <w:rFonts w:hint="default"/>
        <w:lang w:val="ru-RU" w:eastAsia="en-US" w:bidi="ar-SA"/>
      </w:rPr>
    </w:lvl>
    <w:lvl w:ilvl="3">
      <w:start w:val="0"/>
      <w:numFmt w:val="bullet"/>
      <w:lvlText w:val="•"/>
      <w:lvlJc w:val="left"/>
      <w:pPr>
        <w:ind w:left="2126" w:hanging="150"/>
      </w:pPr>
      <w:rPr>
        <w:rFonts w:hint="default"/>
        <w:lang w:val="ru-RU" w:eastAsia="en-US" w:bidi="ar-SA"/>
      </w:rPr>
    </w:lvl>
    <w:lvl w:ilvl="4">
      <w:start w:val="0"/>
      <w:numFmt w:val="bullet"/>
      <w:lvlText w:val="•"/>
      <w:lvlJc w:val="left"/>
      <w:pPr>
        <w:ind w:left="2900" w:hanging="150"/>
      </w:pPr>
      <w:rPr>
        <w:rFonts w:hint="default"/>
        <w:lang w:val="ru-RU" w:eastAsia="en-US" w:bidi="ar-SA"/>
      </w:rPr>
    </w:lvl>
    <w:lvl w:ilvl="5">
      <w:start w:val="0"/>
      <w:numFmt w:val="bullet"/>
      <w:lvlText w:val="•"/>
      <w:lvlJc w:val="left"/>
      <w:pPr>
        <w:ind w:left="3673" w:hanging="150"/>
      </w:pPr>
      <w:rPr>
        <w:rFonts w:hint="default"/>
        <w:lang w:val="ru-RU" w:eastAsia="en-US" w:bidi="ar-SA"/>
      </w:rPr>
    </w:lvl>
    <w:lvl w:ilvl="6">
      <w:start w:val="0"/>
      <w:numFmt w:val="bullet"/>
      <w:lvlText w:val="•"/>
      <w:lvlJc w:val="left"/>
      <w:pPr>
        <w:ind w:left="4446" w:hanging="150"/>
      </w:pPr>
      <w:rPr>
        <w:rFonts w:hint="default"/>
        <w:lang w:val="ru-RU" w:eastAsia="en-US" w:bidi="ar-SA"/>
      </w:rPr>
    </w:lvl>
    <w:lvl w:ilvl="7">
      <w:start w:val="0"/>
      <w:numFmt w:val="bullet"/>
      <w:lvlText w:val="•"/>
      <w:lvlJc w:val="left"/>
      <w:pPr>
        <w:ind w:left="5220" w:hanging="150"/>
      </w:pPr>
      <w:rPr>
        <w:rFonts w:hint="default"/>
        <w:lang w:val="ru-RU" w:eastAsia="en-US" w:bidi="ar-SA"/>
      </w:rPr>
    </w:lvl>
    <w:lvl w:ilvl="8">
      <w:start w:val="0"/>
      <w:numFmt w:val="bullet"/>
      <w:lvlText w:val="•"/>
      <w:lvlJc w:val="left"/>
      <w:pPr>
        <w:ind w:left="5993" w:hanging="150"/>
      </w:pPr>
      <w:rPr>
        <w:rFonts w:hint="default"/>
        <w:lang w:val="ru-RU" w:eastAsia="en-US" w:bidi="ar-SA"/>
      </w:rPr>
    </w:lvl>
  </w:abstractNum>
  <w:abstractNum w:abstractNumId="270">
    <w:multiLevelType w:val="hybridMultilevel"/>
    <w:lvl w:ilvl="0">
      <w:start w:val="0"/>
      <w:numFmt w:val="bullet"/>
      <w:lvlText w:val="–"/>
      <w:lvlJc w:val="left"/>
      <w:pPr>
        <w:ind w:left="141" w:hanging="150"/>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880" w:hanging="150"/>
      </w:pPr>
      <w:rPr>
        <w:rFonts w:hint="default"/>
        <w:lang w:val="ru-RU" w:eastAsia="en-US" w:bidi="ar-SA"/>
      </w:rPr>
    </w:lvl>
    <w:lvl w:ilvl="2">
      <w:start w:val="0"/>
      <w:numFmt w:val="bullet"/>
      <w:lvlText w:val="•"/>
      <w:lvlJc w:val="left"/>
      <w:pPr>
        <w:ind w:left="1620" w:hanging="150"/>
      </w:pPr>
      <w:rPr>
        <w:rFonts w:hint="default"/>
        <w:lang w:val="ru-RU" w:eastAsia="en-US" w:bidi="ar-SA"/>
      </w:rPr>
    </w:lvl>
    <w:lvl w:ilvl="3">
      <w:start w:val="0"/>
      <w:numFmt w:val="bullet"/>
      <w:lvlText w:val="•"/>
      <w:lvlJc w:val="left"/>
      <w:pPr>
        <w:ind w:left="2360" w:hanging="150"/>
      </w:pPr>
      <w:rPr>
        <w:rFonts w:hint="default"/>
        <w:lang w:val="ru-RU" w:eastAsia="en-US" w:bidi="ar-SA"/>
      </w:rPr>
    </w:lvl>
    <w:lvl w:ilvl="4">
      <w:start w:val="0"/>
      <w:numFmt w:val="bullet"/>
      <w:lvlText w:val="•"/>
      <w:lvlJc w:val="left"/>
      <w:pPr>
        <w:ind w:left="3100" w:hanging="150"/>
      </w:pPr>
      <w:rPr>
        <w:rFonts w:hint="default"/>
        <w:lang w:val="ru-RU" w:eastAsia="en-US" w:bidi="ar-SA"/>
      </w:rPr>
    </w:lvl>
    <w:lvl w:ilvl="5">
      <w:start w:val="0"/>
      <w:numFmt w:val="bullet"/>
      <w:lvlText w:val="•"/>
      <w:lvlJc w:val="left"/>
      <w:pPr>
        <w:ind w:left="3840" w:hanging="150"/>
      </w:pPr>
      <w:rPr>
        <w:rFonts w:hint="default"/>
        <w:lang w:val="ru-RU" w:eastAsia="en-US" w:bidi="ar-SA"/>
      </w:rPr>
    </w:lvl>
    <w:lvl w:ilvl="6">
      <w:start w:val="0"/>
      <w:numFmt w:val="bullet"/>
      <w:lvlText w:val="•"/>
      <w:lvlJc w:val="left"/>
      <w:pPr>
        <w:ind w:left="4580" w:hanging="150"/>
      </w:pPr>
      <w:rPr>
        <w:rFonts w:hint="default"/>
        <w:lang w:val="ru-RU" w:eastAsia="en-US" w:bidi="ar-SA"/>
      </w:rPr>
    </w:lvl>
    <w:lvl w:ilvl="7">
      <w:start w:val="0"/>
      <w:numFmt w:val="bullet"/>
      <w:lvlText w:val="•"/>
      <w:lvlJc w:val="left"/>
      <w:pPr>
        <w:ind w:left="5320" w:hanging="150"/>
      </w:pPr>
      <w:rPr>
        <w:rFonts w:hint="default"/>
        <w:lang w:val="ru-RU" w:eastAsia="en-US" w:bidi="ar-SA"/>
      </w:rPr>
    </w:lvl>
    <w:lvl w:ilvl="8">
      <w:start w:val="0"/>
      <w:numFmt w:val="bullet"/>
      <w:lvlText w:val="•"/>
      <w:lvlJc w:val="left"/>
      <w:pPr>
        <w:ind w:left="6060" w:hanging="150"/>
      </w:pPr>
      <w:rPr>
        <w:rFonts w:hint="default"/>
        <w:lang w:val="ru-RU" w:eastAsia="en-US" w:bidi="ar-SA"/>
      </w:rPr>
    </w:lvl>
  </w:abstractNum>
  <w:abstractNum w:abstractNumId="269">
    <w:multiLevelType w:val="hybridMultilevel"/>
    <w:lvl w:ilvl="0">
      <w:start w:val="4"/>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97"/>
        <w:sz w:val="18"/>
        <w:szCs w:val="18"/>
        <w:lang w:val="ru-RU" w:eastAsia="en-US" w:bidi="ar-SA"/>
      </w:rPr>
    </w:lvl>
    <w:lvl w:ilvl="2">
      <w:start w:val="0"/>
      <w:numFmt w:val="bullet"/>
      <w:lvlText w:val="–"/>
      <w:lvlJc w:val="left"/>
      <w:pPr>
        <w:ind w:left="141" w:hanging="150"/>
      </w:pPr>
      <w:rPr>
        <w:rFonts w:hint="default" w:ascii="Times New Roman" w:hAnsi="Times New Roman" w:eastAsia="Times New Roman" w:cs="Times New Roman"/>
        <w:spacing w:val="0"/>
        <w:w w:val="100"/>
        <w:lang w:val="ru-RU" w:eastAsia="en-US" w:bidi="ar-SA"/>
      </w:rPr>
    </w:lvl>
    <w:lvl w:ilvl="3">
      <w:start w:val="0"/>
      <w:numFmt w:val="bullet"/>
      <w:lvlText w:val="•"/>
      <w:lvlJc w:val="left"/>
      <w:pPr>
        <w:ind w:left="2033" w:hanging="150"/>
      </w:pPr>
      <w:rPr>
        <w:rFonts w:hint="default"/>
        <w:lang w:val="ru-RU" w:eastAsia="en-US" w:bidi="ar-SA"/>
      </w:rPr>
    </w:lvl>
    <w:lvl w:ilvl="4">
      <w:start w:val="0"/>
      <w:numFmt w:val="bullet"/>
      <w:lvlText w:val="•"/>
      <w:lvlJc w:val="left"/>
      <w:pPr>
        <w:ind w:left="2820" w:hanging="150"/>
      </w:pPr>
      <w:rPr>
        <w:rFonts w:hint="default"/>
        <w:lang w:val="ru-RU" w:eastAsia="en-US" w:bidi="ar-SA"/>
      </w:rPr>
    </w:lvl>
    <w:lvl w:ilvl="5">
      <w:start w:val="0"/>
      <w:numFmt w:val="bullet"/>
      <w:lvlText w:val="•"/>
      <w:lvlJc w:val="left"/>
      <w:pPr>
        <w:ind w:left="3606" w:hanging="150"/>
      </w:pPr>
      <w:rPr>
        <w:rFonts w:hint="default"/>
        <w:lang w:val="ru-RU" w:eastAsia="en-US" w:bidi="ar-SA"/>
      </w:rPr>
    </w:lvl>
    <w:lvl w:ilvl="6">
      <w:start w:val="0"/>
      <w:numFmt w:val="bullet"/>
      <w:lvlText w:val="•"/>
      <w:lvlJc w:val="left"/>
      <w:pPr>
        <w:ind w:left="4393" w:hanging="150"/>
      </w:pPr>
      <w:rPr>
        <w:rFonts w:hint="default"/>
        <w:lang w:val="ru-RU" w:eastAsia="en-US" w:bidi="ar-SA"/>
      </w:rPr>
    </w:lvl>
    <w:lvl w:ilvl="7">
      <w:start w:val="0"/>
      <w:numFmt w:val="bullet"/>
      <w:lvlText w:val="•"/>
      <w:lvlJc w:val="left"/>
      <w:pPr>
        <w:ind w:left="5180" w:hanging="150"/>
      </w:pPr>
      <w:rPr>
        <w:rFonts w:hint="default"/>
        <w:lang w:val="ru-RU" w:eastAsia="en-US" w:bidi="ar-SA"/>
      </w:rPr>
    </w:lvl>
    <w:lvl w:ilvl="8">
      <w:start w:val="0"/>
      <w:numFmt w:val="bullet"/>
      <w:lvlText w:val="•"/>
      <w:lvlJc w:val="left"/>
      <w:pPr>
        <w:ind w:left="5967" w:hanging="150"/>
      </w:pPr>
      <w:rPr>
        <w:rFonts w:hint="default"/>
        <w:lang w:val="ru-RU" w:eastAsia="en-US" w:bidi="ar-SA"/>
      </w:rPr>
    </w:lvl>
  </w:abstractNum>
  <w:abstractNum w:abstractNumId="268">
    <w:multiLevelType w:val="hybridMultilevel"/>
    <w:lvl w:ilvl="0">
      <w:start w:val="0"/>
      <w:numFmt w:val="bullet"/>
      <w:lvlText w:val="–"/>
      <w:lvlJc w:val="left"/>
      <w:pPr>
        <w:ind w:left="141" w:hanging="155"/>
      </w:pPr>
      <w:rPr>
        <w:rFonts w:hint="default" w:ascii="Times New Roman" w:hAnsi="Times New Roman" w:eastAsia="Times New Roman" w:cs="Times New Roman"/>
        <w:spacing w:val="0"/>
        <w:w w:val="99"/>
        <w:lang w:val="ru-RU" w:eastAsia="en-US" w:bidi="ar-SA"/>
      </w:rPr>
    </w:lvl>
    <w:lvl w:ilvl="1">
      <w:start w:val="0"/>
      <w:numFmt w:val="bullet"/>
      <w:lvlText w:val="•"/>
      <w:lvlJc w:val="left"/>
      <w:pPr>
        <w:ind w:left="880" w:hanging="155"/>
      </w:pPr>
      <w:rPr>
        <w:rFonts w:hint="default"/>
        <w:lang w:val="ru-RU" w:eastAsia="en-US" w:bidi="ar-SA"/>
      </w:rPr>
    </w:lvl>
    <w:lvl w:ilvl="2">
      <w:start w:val="0"/>
      <w:numFmt w:val="bullet"/>
      <w:lvlText w:val="•"/>
      <w:lvlJc w:val="left"/>
      <w:pPr>
        <w:ind w:left="1620" w:hanging="155"/>
      </w:pPr>
      <w:rPr>
        <w:rFonts w:hint="default"/>
        <w:lang w:val="ru-RU" w:eastAsia="en-US" w:bidi="ar-SA"/>
      </w:rPr>
    </w:lvl>
    <w:lvl w:ilvl="3">
      <w:start w:val="0"/>
      <w:numFmt w:val="bullet"/>
      <w:lvlText w:val="•"/>
      <w:lvlJc w:val="left"/>
      <w:pPr>
        <w:ind w:left="2360" w:hanging="155"/>
      </w:pPr>
      <w:rPr>
        <w:rFonts w:hint="default"/>
        <w:lang w:val="ru-RU" w:eastAsia="en-US" w:bidi="ar-SA"/>
      </w:rPr>
    </w:lvl>
    <w:lvl w:ilvl="4">
      <w:start w:val="0"/>
      <w:numFmt w:val="bullet"/>
      <w:lvlText w:val="•"/>
      <w:lvlJc w:val="left"/>
      <w:pPr>
        <w:ind w:left="3100" w:hanging="155"/>
      </w:pPr>
      <w:rPr>
        <w:rFonts w:hint="default"/>
        <w:lang w:val="ru-RU" w:eastAsia="en-US" w:bidi="ar-SA"/>
      </w:rPr>
    </w:lvl>
    <w:lvl w:ilvl="5">
      <w:start w:val="0"/>
      <w:numFmt w:val="bullet"/>
      <w:lvlText w:val="•"/>
      <w:lvlJc w:val="left"/>
      <w:pPr>
        <w:ind w:left="3840" w:hanging="155"/>
      </w:pPr>
      <w:rPr>
        <w:rFonts w:hint="default"/>
        <w:lang w:val="ru-RU" w:eastAsia="en-US" w:bidi="ar-SA"/>
      </w:rPr>
    </w:lvl>
    <w:lvl w:ilvl="6">
      <w:start w:val="0"/>
      <w:numFmt w:val="bullet"/>
      <w:lvlText w:val="•"/>
      <w:lvlJc w:val="left"/>
      <w:pPr>
        <w:ind w:left="4580" w:hanging="155"/>
      </w:pPr>
      <w:rPr>
        <w:rFonts w:hint="default"/>
        <w:lang w:val="ru-RU" w:eastAsia="en-US" w:bidi="ar-SA"/>
      </w:rPr>
    </w:lvl>
    <w:lvl w:ilvl="7">
      <w:start w:val="0"/>
      <w:numFmt w:val="bullet"/>
      <w:lvlText w:val="•"/>
      <w:lvlJc w:val="left"/>
      <w:pPr>
        <w:ind w:left="5320" w:hanging="155"/>
      </w:pPr>
      <w:rPr>
        <w:rFonts w:hint="default"/>
        <w:lang w:val="ru-RU" w:eastAsia="en-US" w:bidi="ar-SA"/>
      </w:rPr>
    </w:lvl>
    <w:lvl w:ilvl="8">
      <w:start w:val="0"/>
      <w:numFmt w:val="bullet"/>
      <w:lvlText w:val="•"/>
      <w:lvlJc w:val="left"/>
      <w:pPr>
        <w:ind w:left="6060" w:hanging="155"/>
      </w:pPr>
      <w:rPr>
        <w:rFonts w:hint="default"/>
        <w:lang w:val="ru-RU" w:eastAsia="en-US" w:bidi="ar-SA"/>
      </w:rPr>
    </w:lvl>
  </w:abstractNum>
  <w:abstractNum w:abstractNumId="267">
    <w:multiLevelType w:val="hybridMultilevel"/>
    <w:lvl w:ilvl="0">
      <w:start w:val="4"/>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97"/>
        <w:sz w:val="18"/>
        <w:szCs w:val="18"/>
        <w:lang w:val="ru-RU" w:eastAsia="en-US" w:bidi="ar-SA"/>
      </w:rPr>
    </w:lvl>
    <w:lvl w:ilvl="2">
      <w:start w:val="0"/>
      <w:numFmt w:val="bullet"/>
      <w:lvlText w:val="–"/>
      <w:lvlJc w:val="left"/>
      <w:pPr>
        <w:ind w:left="141" w:hanging="142"/>
      </w:pPr>
      <w:rPr>
        <w:rFonts w:hint="default" w:ascii="Times New Roman" w:hAnsi="Times New Roman" w:eastAsia="Times New Roman" w:cs="Times New Roman"/>
        <w:b w:val="0"/>
        <w:bCs w:val="0"/>
        <w:i/>
        <w:iCs/>
        <w:spacing w:val="0"/>
        <w:w w:val="100"/>
        <w:sz w:val="20"/>
        <w:szCs w:val="20"/>
        <w:lang w:val="ru-RU" w:eastAsia="en-US" w:bidi="ar-SA"/>
      </w:rPr>
    </w:lvl>
    <w:lvl w:ilvl="3">
      <w:start w:val="0"/>
      <w:numFmt w:val="bullet"/>
      <w:lvlText w:val="•"/>
      <w:lvlJc w:val="left"/>
      <w:pPr>
        <w:ind w:left="2033" w:hanging="142"/>
      </w:pPr>
      <w:rPr>
        <w:rFonts w:hint="default"/>
        <w:lang w:val="ru-RU" w:eastAsia="en-US" w:bidi="ar-SA"/>
      </w:rPr>
    </w:lvl>
    <w:lvl w:ilvl="4">
      <w:start w:val="0"/>
      <w:numFmt w:val="bullet"/>
      <w:lvlText w:val="•"/>
      <w:lvlJc w:val="left"/>
      <w:pPr>
        <w:ind w:left="2820" w:hanging="142"/>
      </w:pPr>
      <w:rPr>
        <w:rFonts w:hint="default"/>
        <w:lang w:val="ru-RU" w:eastAsia="en-US" w:bidi="ar-SA"/>
      </w:rPr>
    </w:lvl>
    <w:lvl w:ilvl="5">
      <w:start w:val="0"/>
      <w:numFmt w:val="bullet"/>
      <w:lvlText w:val="•"/>
      <w:lvlJc w:val="left"/>
      <w:pPr>
        <w:ind w:left="3606" w:hanging="142"/>
      </w:pPr>
      <w:rPr>
        <w:rFonts w:hint="default"/>
        <w:lang w:val="ru-RU" w:eastAsia="en-US" w:bidi="ar-SA"/>
      </w:rPr>
    </w:lvl>
    <w:lvl w:ilvl="6">
      <w:start w:val="0"/>
      <w:numFmt w:val="bullet"/>
      <w:lvlText w:val="•"/>
      <w:lvlJc w:val="left"/>
      <w:pPr>
        <w:ind w:left="4393" w:hanging="142"/>
      </w:pPr>
      <w:rPr>
        <w:rFonts w:hint="default"/>
        <w:lang w:val="ru-RU" w:eastAsia="en-US" w:bidi="ar-SA"/>
      </w:rPr>
    </w:lvl>
    <w:lvl w:ilvl="7">
      <w:start w:val="0"/>
      <w:numFmt w:val="bullet"/>
      <w:lvlText w:val="•"/>
      <w:lvlJc w:val="left"/>
      <w:pPr>
        <w:ind w:left="5180" w:hanging="142"/>
      </w:pPr>
      <w:rPr>
        <w:rFonts w:hint="default"/>
        <w:lang w:val="ru-RU" w:eastAsia="en-US" w:bidi="ar-SA"/>
      </w:rPr>
    </w:lvl>
    <w:lvl w:ilvl="8">
      <w:start w:val="0"/>
      <w:numFmt w:val="bullet"/>
      <w:lvlText w:val="•"/>
      <w:lvlJc w:val="left"/>
      <w:pPr>
        <w:ind w:left="5967" w:hanging="142"/>
      </w:pPr>
      <w:rPr>
        <w:rFonts w:hint="default"/>
        <w:lang w:val="ru-RU" w:eastAsia="en-US" w:bidi="ar-SA"/>
      </w:rPr>
    </w:lvl>
  </w:abstractNum>
  <w:abstractNum w:abstractNumId="266">
    <w:multiLevelType w:val="hybridMultilevel"/>
    <w:lvl w:ilvl="0">
      <w:start w:val="4"/>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97"/>
        <w:sz w:val="18"/>
        <w:szCs w:val="18"/>
        <w:lang w:val="ru-RU" w:eastAsia="en-US" w:bidi="ar-SA"/>
      </w:rPr>
    </w:lvl>
    <w:lvl w:ilvl="2">
      <w:start w:val="1"/>
      <w:numFmt w:val="decimal"/>
      <w:lvlText w:val="%3"/>
      <w:lvlJc w:val="left"/>
      <w:pPr>
        <w:ind w:left="141" w:hanging="185"/>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3">
      <w:start w:val="0"/>
      <w:numFmt w:val="bullet"/>
      <w:lvlText w:val="•"/>
      <w:lvlJc w:val="left"/>
      <w:pPr>
        <w:ind w:left="2033" w:hanging="185"/>
      </w:pPr>
      <w:rPr>
        <w:rFonts w:hint="default"/>
        <w:lang w:val="ru-RU" w:eastAsia="en-US" w:bidi="ar-SA"/>
      </w:rPr>
    </w:lvl>
    <w:lvl w:ilvl="4">
      <w:start w:val="0"/>
      <w:numFmt w:val="bullet"/>
      <w:lvlText w:val="•"/>
      <w:lvlJc w:val="left"/>
      <w:pPr>
        <w:ind w:left="2820" w:hanging="185"/>
      </w:pPr>
      <w:rPr>
        <w:rFonts w:hint="default"/>
        <w:lang w:val="ru-RU" w:eastAsia="en-US" w:bidi="ar-SA"/>
      </w:rPr>
    </w:lvl>
    <w:lvl w:ilvl="5">
      <w:start w:val="0"/>
      <w:numFmt w:val="bullet"/>
      <w:lvlText w:val="•"/>
      <w:lvlJc w:val="left"/>
      <w:pPr>
        <w:ind w:left="3606" w:hanging="185"/>
      </w:pPr>
      <w:rPr>
        <w:rFonts w:hint="default"/>
        <w:lang w:val="ru-RU" w:eastAsia="en-US" w:bidi="ar-SA"/>
      </w:rPr>
    </w:lvl>
    <w:lvl w:ilvl="6">
      <w:start w:val="0"/>
      <w:numFmt w:val="bullet"/>
      <w:lvlText w:val="•"/>
      <w:lvlJc w:val="left"/>
      <w:pPr>
        <w:ind w:left="4393" w:hanging="185"/>
      </w:pPr>
      <w:rPr>
        <w:rFonts w:hint="default"/>
        <w:lang w:val="ru-RU" w:eastAsia="en-US" w:bidi="ar-SA"/>
      </w:rPr>
    </w:lvl>
    <w:lvl w:ilvl="7">
      <w:start w:val="0"/>
      <w:numFmt w:val="bullet"/>
      <w:lvlText w:val="•"/>
      <w:lvlJc w:val="left"/>
      <w:pPr>
        <w:ind w:left="5180" w:hanging="185"/>
      </w:pPr>
      <w:rPr>
        <w:rFonts w:hint="default"/>
        <w:lang w:val="ru-RU" w:eastAsia="en-US" w:bidi="ar-SA"/>
      </w:rPr>
    </w:lvl>
    <w:lvl w:ilvl="8">
      <w:start w:val="0"/>
      <w:numFmt w:val="bullet"/>
      <w:lvlText w:val="•"/>
      <w:lvlJc w:val="left"/>
      <w:pPr>
        <w:ind w:left="5967" w:hanging="185"/>
      </w:pPr>
      <w:rPr>
        <w:rFonts w:hint="default"/>
        <w:lang w:val="ru-RU" w:eastAsia="en-US" w:bidi="ar-SA"/>
      </w:rPr>
    </w:lvl>
  </w:abstractNum>
  <w:abstractNum w:abstractNumId="265">
    <w:multiLevelType w:val="hybridMultilevel"/>
    <w:lvl w:ilvl="0">
      <w:start w:val="0"/>
      <w:numFmt w:val="bullet"/>
      <w:lvlText w:val=""/>
      <w:lvlJc w:val="left"/>
      <w:pPr>
        <w:ind w:left="425" w:hanging="284"/>
      </w:pPr>
      <w:rPr>
        <w:rFonts w:hint="default" w:ascii="Symbol" w:hAnsi="Symbol" w:eastAsia="Symbol" w:cs="Symbol"/>
        <w:b w:val="0"/>
        <w:bCs w:val="0"/>
        <w:i w:val="0"/>
        <w:iCs w:val="0"/>
        <w:color w:val="231F20"/>
        <w:spacing w:val="0"/>
        <w:w w:val="100"/>
        <w:sz w:val="20"/>
        <w:szCs w:val="20"/>
        <w:lang w:val="ru-RU" w:eastAsia="en-US" w:bidi="ar-SA"/>
      </w:rPr>
    </w:lvl>
    <w:lvl w:ilvl="1">
      <w:start w:val="0"/>
      <w:numFmt w:val="bullet"/>
      <w:lvlText w:val="•"/>
      <w:lvlJc w:val="left"/>
      <w:pPr>
        <w:ind w:left="141" w:hanging="437"/>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2">
      <w:start w:val="0"/>
      <w:numFmt w:val="bullet"/>
      <w:lvlText w:val="•"/>
      <w:lvlJc w:val="left"/>
      <w:pPr>
        <w:ind w:left="1211" w:hanging="437"/>
      </w:pPr>
      <w:rPr>
        <w:rFonts w:hint="default"/>
        <w:lang w:val="ru-RU" w:eastAsia="en-US" w:bidi="ar-SA"/>
      </w:rPr>
    </w:lvl>
    <w:lvl w:ilvl="3">
      <w:start w:val="0"/>
      <w:numFmt w:val="bullet"/>
      <w:lvlText w:val="•"/>
      <w:lvlJc w:val="left"/>
      <w:pPr>
        <w:ind w:left="2002" w:hanging="437"/>
      </w:pPr>
      <w:rPr>
        <w:rFonts w:hint="default"/>
        <w:lang w:val="ru-RU" w:eastAsia="en-US" w:bidi="ar-SA"/>
      </w:rPr>
    </w:lvl>
    <w:lvl w:ilvl="4">
      <w:start w:val="0"/>
      <w:numFmt w:val="bullet"/>
      <w:lvlText w:val="•"/>
      <w:lvlJc w:val="left"/>
      <w:pPr>
        <w:ind w:left="2793" w:hanging="437"/>
      </w:pPr>
      <w:rPr>
        <w:rFonts w:hint="default"/>
        <w:lang w:val="ru-RU" w:eastAsia="en-US" w:bidi="ar-SA"/>
      </w:rPr>
    </w:lvl>
    <w:lvl w:ilvl="5">
      <w:start w:val="0"/>
      <w:numFmt w:val="bullet"/>
      <w:lvlText w:val="•"/>
      <w:lvlJc w:val="left"/>
      <w:pPr>
        <w:ind w:left="3584" w:hanging="437"/>
      </w:pPr>
      <w:rPr>
        <w:rFonts w:hint="default"/>
        <w:lang w:val="ru-RU" w:eastAsia="en-US" w:bidi="ar-SA"/>
      </w:rPr>
    </w:lvl>
    <w:lvl w:ilvl="6">
      <w:start w:val="0"/>
      <w:numFmt w:val="bullet"/>
      <w:lvlText w:val="•"/>
      <w:lvlJc w:val="left"/>
      <w:pPr>
        <w:ind w:left="4375" w:hanging="437"/>
      </w:pPr>
      <w:rPr>
        <w:rFonts w:hint="default"/>
        <w:lang w:val="ru-RU" w:eastAsia="en-US" w:bidi="ar-SA"/>
      </w:rPr>
    </w:lvl>
    <w:lvl w:ilvl="7">
      <w:start w:val="0"/>
      <w:numFmt w:val="bullet"/>
      <w:lvlText w:val="•"/>
      <w:lvlJc w:val="left"/>
      <w:pPr>
        <w:ind w:left="5167" w:hanging="437"/>
      </w:pPr>
      <w:rPr>
        <w:rFonts w:hint="default"/>
        <w:lang w:val="ru-RU" w:eastAsia="en-US" w:bidi="ar-SA"/>
      </w:rPr>
    </w:lvl>
    <w:lvl w:ilvl="8">
      <w:start w:val="0"/>
      <w:numFmt w:val="bullet"/>
      <w:lvlText w:val="•"/>
      <w:lvlJc w:val="left"/>
      <w:pPr>
        <w:ind w:left="5958" w:hanging="437"/>
      </w:pPr>
      <w:rPr>
        <w:rFonts w:hint="default"/>
        <w:lang w:val="ru-RU" w:eastAsia="en-US" w:bidi="ar-SA"/>
      </w:rPr>
    </w:lvl>
  </w:abstractNum>
  <w:abstractNum w:abstractNumId="264">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1"/>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63">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1">
      <w:start w:val="1"/>
      <w:numFmt w:val="decimal"/>
      <w:lvlText w:val="%1.%2."/>
      <w:lvlJc w:val="left"/>
      <w:pPr>
        <w:ind w:left="857" w:hanging="350"/>
        <w:jc w:val="right"/>
      </w:pPr>
      <w:rPr>
        <w:rFonts w:hint="default"/>
        <w:spacing w:val="0"/>
        <w:w w:val="98"/>
        <w:lang w:val="ru-RU" w:eastAsia="en-US" w:bidi="ar-SA"/>
      </w:rPr>
    </w:lvl>
    <w:lvl w:ilvl="2">
      <w:start w:val="1"/>
      <w:numFmt w:val="decimal"/>
      <w:lvlText w:val="%1.%2.%3."/>
      <w:lvlJc w:val="left"/>
      <w:pPr>
        <w:ind w:left="2523" w:hanging="500"/>
        <w:jc w:val="right"/>
      </w:pPr>
      <w:rPr>
        <w:rFonts w:hint="default" w:ascii="Times New Roman" w:hAnsi="Times New Roman" w:eastAsia="Times New Roman" w:cs="Times New Roman"/>
        <w:b/>
        <w:bCs/>
        <w:i w:val="0"/>
        <w:iCs w:val="0"/>
        <w:color w:val="231F20"/>
        <w:spacing w:val="0"/>
        <w:w w:val="100"/>
        <w:sz w:val="20"/>
        <w:szCs w:val="20"/>
        <w:lang w:val="ru-RU" w:eastAsia="en-US" w:bidi="ar-SA"/>
      </w:rPr>
    </w:lvl>
    <w:lvl w:ilvl="3">
      <w:start w:val="0"/>
      <w:numFmt w:val="bullet"/>
      <w:lvlText w:val="•"/>
      <w:lvlJc w:val="left"/>
      <w:pPr>
        <w:ind w:left="3147" w:hanging="500"/>
      </w:pPr>
      <w:rPr>
        <w:rFonts w:hint="default"/>
        <w:lang w:val="ru-RU" w:eastAsia="en-US" w:bidi="ar-SA"/>
      </w:rPr>
    </w:lvl>
    <w:lvl w:ilvl="4">
      <w:start w:val="0"/>
      <w:numFmt w:val="bullet"/>
      <w:lvlText w:val="•"/>
      <w:lvlJc w:val="left"/>
      <w:pPr>
        <w:ind w:left="3775" w:hanging="500"/>
      </w:pPr>
      <w:rPr>
        <w:rFonts w:hint="default"/>
        <w:lang w:val="ru-RU" w:eastAsia="en-US" w:bidi="ar-SA"/>
      </w:rPr>
    </w:lvl>
    <w:lvl w:ilvl="5">
      <w:start w:val="0"/>
      <w:numFmt w:val="bullet"/>
      <w:lvlText w:val="•"/>
      <w:lvlJc w:val="left"/>
      <w:pPr>
        <w:ind w:left="4402" w:hanging="500"/>
      </w:pPr>
      <w:rPr>
        <w:rFonts w:hint="default"/>
        <w:lang w:val="ru-RU" w:eastAsia="en-US" w:bidi="ar-SA"/>
      </w:rPr>
    </w:lvl>
    <w:lvl w:ilvl="6">
      <w:start w:val="0"/>
      <w:numFmt w:val="bullet"/>
      <w:lvlText w:val="•"/>
      <w:lvlJc w:val="left"/>
      <w:pPr>
        <w:ind w:left="5030" w:hanging="500"/>
      </w:pPr>
      <w:rPr>
        <w:rFonts w:hint="default"/>
        <w:lang w:val="ru-RU" w:eastAsia="en-US" w:bidi="ar-SA"/>
      </w:rPr>
    </w:lvl>
    <w:lvl w:ilvl="7">
      <w:start w:val="0"/>
      <w:numFmt w:val="bullet"/>
      <w:lvlText w:val="•"/>
      <w:lvlJc w:val="left"/>
      <w:pPr>
        <w:ind w:left="5657" w:hanging="500"/>
      </w:pPr>
      <w:rPr>
        <w:rFonts w:hint="default"/>
        <w:lang w:val="ru-RU" w:eastAsia="en-US" w:bidi="ar-SA"/>
      </w:rPr>
    </w:lvl>
    <w:lvl w:ilvl="8">
      <w:start w:val="0"/>
      <w:numFmt w:val="bullet"/>
      <w:lvlText w:val="•"/>
      <w:lvlJc w:val="left"/>
      <w:pPr>
        <w:ind w:left="6285" w:hanging="500"/>
      </w:pPr>
      <w:rPr>
        <w:rFonts w:hint="default"/>
        <w:lang w:val="ru-RU" w:eastAsia="en-US" w:bidi="ar-SA"/>
      </w:rPr>
    </w:lvl>
  </w:abstractNum>
  <w:abstractNum w:abstractNumId="262">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61">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50">
    <w:multiLevelType w:val="hybridMultilevel"/>
    <w:lvl w:ilvl="0">
      <w:start w:val="1"/>
      <w:numFmt w:val="decimal"/>
      <w:lvlText w:val="%1-"/>
      <w:lvlJc w:val="left"/>
      <w:pPr>
        <w:ind w:left="141" w:hanging="168"/>
        <w:jc w:val="left"/>
      </w:pPr>
      <w:rPr>
        <w:rFonts w:hint="default" w:ascii="Times New Roman" w:hAnsi="Times New Roman" w:eastAsia="Times New Roman" w:cs="Times New Roman"/>
        <w:b w:val="0"/>
        <w:bCs w:val="0"/>
        <w:i w:val="0"/>
        <w:iCs w:val="0"/>
        <w:color w:val="1C2131"/>
        <w:spacing w:val="0"/>
        <w:w w:val="97"/>
        <w:sz w:val="18"/>
        <w:szCs w:val="18"/>
        <w:lang w:val="ru-RU" w:eastAsia="en-US" w:bidi="ar-SA"/>
      </w:rPr>
    </w:lvl>
    <w:lvl w:ilvl="1">
      <w:start w:val="1"/>
      <w:numFmt w:val="decimal"/>
      <w:lvlText w:val="%1.%2."/>
      <w:lvlJc w:val="left"/>
      <w:pPr>
        <w:ind w:left="2085" w:hanging="350"/>
        <w:jc w:val="right"/>
      </w:pPr>
      <w:rPr>
        <w:rFonts w:hint="default" w:ascii="Times New Roman" w:hAnsi="Times New Roman" w:eastAsia="Times New Roman" w:cs="Times New Roman"/>
        <w:b/>
        <w:bCs/>
        <w:i w:val="0"/>
        <w:iCs w:val="0"/>
        <w:color w:val="231F20"/>
        <w:spacing w:val="0"/>
        <w:w w:val="100"/>
        <w:sz w:val="20"/>
        <w:szCs w:val="20"/>
        <w:lang w:val="ru-RU" w:eastAsia="en-US" w:bidi="ar-SA"/>
      </w:rPr>
    </w:lvl>
    <w:lvl w:ilvl="2">
      <w:start w:val="0"/>
      <w:numFmt w:val="bullet"/>
      <w:lvlText w:val="•"/>
      <w:lvlJc w:val="left"/>
      <w:pPr>
        <w:ind w:left="2493" w:hanging="350"/>
      </w:pPr>
      <w:rPr>
        <w:rFonts w:hint="default"/>
        <w:lang w:val="ru-RU" w:eastAsia="en-US" w:bidi="ar-SA"/>
      </w:rPr>
    </w:lvl>
    <w:lvl w:ilvl="3">
      <w:start w:val="0"/>
      <w:numFmt w:val="bullet"/>
      <w:lvlText w:val="•"/>
      <w:lvlJc w:val="left"/>
      <w:pPr>
        <w:ind w:left="2907" w:hanging="350"/>
      </w:pPr>
      <w:rPr>
        <w:rFonts w:hint="default"/>
        <w:lang w:val="ru-RU" w:eastAsia="en-US" w:bidi="ar-SA"/>
      </w:rPr>
    </w:lvl>
    <w:lvl w:ilvl="4">
      <w:start w:val="0"/>
      <w:numFmt w:val="bullet"/>
      <w:lvlText w:val="•"/>
      <w:lvlJc w:val="left"/>
      <w:pPr>
        <w:ind w:left="3321" w:hanging="350"/>
      </w:pPr>
      <w:rPr>
        <w:rFonts w:hint="default"/>
        <w:lang w:val="ru-RU" w:eastAsia="en-US" w:bidi="ar-SA"/>
      </w:rPr>
    </w:lvl>
    <w:lvl w:ilvl="5">
      <w:start w:val="0"/>
      <w:numFmt w:val="bullet"/>
      <w:lvlText w:val="•"/>
      <w:lvlJc w:val="left"/>
      <w:pPr>
        <w:ind w:left="3735" w:hanging="350"/>
      </w:pPr>
      <w:rPr>
        <w:rFonts w:hint="default"/>
        <w:lang w:val="ru-RU" w:eastAsia="en-US" w:bidi="ar-SA"/>
      </w:rPr>
    </w:lvl>
    <w:lvl w:ilvl="6">
      <w:start w:val="0"/>
      <w:numFmt w:val="bullet"/>
      <w:lvlText w:val="•"/>
      <w:lvlJc w:val="left"/>
      <w:pPr>
        <w:ind w:left="4149" w:hanging="350"/>
      </w:pPr>
      <w:rPr>
        <w:rFonts w:hint="default"/>
        <w:lang w:val="ru-RU" w:eastAsia="en-US" w:bidi="ar-SA"/>
      </w:rPr>
    </w:lvl>
    <w:lvl w:ilvl="7">
      <w:start w:val="0"/>
      <w:numFmt w:val="bullet"/>
      <w:lvlText w:val="•"/>
      <w:lvlJc w:val="left"/>
      <w:pPr>
        <w:ind w:left="4562" w:hanging="350"/>
      </w:pPr>
      <w:rPr>
        <w:rFonts w:hint="default"/>
        <w:lang w:val="ru-RU" w:eastAsia="en-US" w:bidi="ar-SA"/>
      </w:rPr>
    </w:lvl>
    <w:lvl w:ilvl="8">
      <w:start w:val="0"/>
      <w:numFmt w:val="bullet"/>
      <w:lvlText w:val="•"/>
      <w:lvlJc w:val="left"/>
      <w:pPr>
        <w:ind w:left="4976" w:hanging="350"/>
      </w:pPr>
      <w:rPr>
        <w:rFonts w:hint="default"/>
        <w:lang w:val="ru-RU" w:eastAsia="en-US" w:bidi="ar-SA"/>
      </w:rPr>
    </w:lvl>
  </w:abstractNum>
  <w:abstractNum w:abstractNumId="260">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59">
    <w:multiLevelType w:val="hybridMultilevel"/>
    <w:lvl w:ilvl="0">
      <w:start w:val="3"/>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98"/>
        <w:sz w:val="18"/>
        <w:szCs w:val="18"/>
        <w:lang w:val="ru-RU" w:eastAsia="en-US" w:bidi="ar-SA"/>
      </w:rPr>
    </w:lvl>
    <w:lvl w:ilvl="2">
      <w:start w:val="0"/>
      <w:numFmt w:val="bullet"/>
      <w:lvlText w:val="•"/>
      <w:lvlJc w:val="left"/>
      <w:pPr>
        <w:ind w:left="1876" w:hanging="315"/>
      </w:pPr>
      <w:rPr>
        <w:rFonts w:hint="default"/>
        <w:lang w:val="ru-RU" w:eastAsia="en-US" w:bidi="ar-SA"/>
      </w:rPr>
    </w:lvl>
    <w:lvl w:ilvl="3">
      <w:start w:val="0"/>
      <w:numFmt w:val="bullet"/>
      <w:lvlText w:val="•"/>
      <w:lvlJc w:val="left"/>
      <w:pPr>
        <w:ind w:left="2584" w:hanging="315"/>
      </w:pPr>
      <w:rPr>
        <w:rFonts w:hint="default"/>
        <w:lang w:val="ru-RU" w:eastAsia="en-US" w:bidi="ar-SA"/>
      </w:rPr>
    </w:lvl>
    <w:lvl w:ilvl="4">
      <w:start w:val="0"/>
      <w:numFmt w:val="bullet"/>
      <w:lvlText w:val="•"/>
      <w:lvlJc w:val="left"/>
      <w:pPr>
        <w:ind w:left="3292" w:hanging="315"/>
      </w:pPr>
      <w:rPr>
        <w:rFonts w:hint="default"/>
        <w:lang w:val="ru-RU" w:eastAsia="en-US" w:bidi="ar-SA"/>
      </w:rPr>
    </w:lvl>
    <w:lvl w:ilvl="5">
      <w:start w:val="0"/>
      <w:numFmt w:val="bullet"/>
      <w:lvlText w:val="•"/>
      <w:lvlJc w:val="left"/>
      <w:pPr>
        <w:ind w:left="4000" w:hanging="315"/>
      </w:pPr>
      <w:rPr>
        <w:rFonts w:hint="default"/>
        <w:lang w:val="ru-RU" w:eastAsia="en-US" w:bidi="ar-SA"/>
      </w:rPr>
    </w:lvl>
    <w:lvl w:ilvl="6">
      <w:start w:val="0"/>
      <w:numFmt w:val="bullet"/>
      <w:lvlText w:val="•"/>
      <w:lvlJc w:val="left"/>
      <w:pPr>
        <w:ind w:left="4708" w:hanging="315"/>
      </w:pPr>
      <w:rPr>
        <w:rFonts w:hint="default"/>
        <w:lang w:val="ru-RU" w:eastAsia="en-US" w:bidi="ar-SA"/>
      </w:rPr>
    </w:lvl>
    <w:lvl w:ilvl="7">
      <w:start w:val="0"/>
      <w:numFmt w:val="bullet"/>
      <w:lvlText w:val="•"/>
      <w:lvlJc w:val="left"/>
      <w:pPr>
        <w:ind w:left="5416" w:hanging="315"/>
      </w:pPr>
      <w:rPr>
        <w:rFonts w:hint="default"/>
        <w:lang w:val="ru-RU" w:eastAsia="en-US" w:bidi="ar-SA"/>
      </w:rPr>
    </w:lvl>
    <w:lvl w:ilvl="8">
      <w:start w:val="0"/>
      <w:numFmt w:val="bullet"/>
      <w:lvlText w:val="•"/>
      <w:lvlJc w:val="left"/>
      <w:pPr>
        <w:ind w:left="6124" w:hanging="315"/>
      </w:pPr>
      <w:rPr>
        <w:rFonts w:hint="default"/>
        <w:lang w:val="ru-RU" w:eastAsia="en-US" w:bidi="ar-SA"/>
      </w:rPr>
    </w:lvl>
  </w:abstractNum>
  <w:abstractNum w:abstractNumId="258">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56">
    <w:multiLevelType w:val="hybridMultilevel"/>
    <w:lvl w:ilvl="0">
      <w:start w:val="0"/>
      <w:numFmt w:val="bullet"/>
      <w:lvlText w:val="•"/>
      <w:lvlJc w:val="left"/>
      <w:pPr>
        <w:ind w:left="425" w:hanging="284"/>
      </w:pPr>
      <w:rPr>
        <w:rFonts w:hint="default" w:ascii="Arial MT" w:hAnsi="Arial MT" w:eastAsia="Arial MT" w:cs="Arial MT"/>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55">
    <w:multiLevelType w:val="hybridMultilevel"/>
    <w:lvl w:ilvl="0">
      <w:start w:val="0"/>
      <w:numFmt w:val="bullet"/>
      <w:lvlText w:val=""/>
      <w:lvlJc w:val="left"/>
      <w:pPr>
        <w:ind w:left="425" w:hanging="284"/>
      </w:pPr>
      <w:rPr>
        <w:rFonts w:hint="default" w:ascii="Symbol" w:hAnsi="Symbol" w:eastAsia="Symbol" w:cs="Symbol"/>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53">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51">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249">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iCs/>
        <w:color w:val="231F20"/>
        <w:spacing w:val="0"/>
        <w:w w:val="100"/>
        <w:sz w:val="20"/>
        <w:szCs w:val="20"/>
        <w:lang w:val="ru-RU" w:eastAsia="en-US" w:bidi="ar-SA"/>
      </w:rPr>
    </w:lvl>
    <w:lvl w:ilvl="1">
      <w:start w:val="0"/>
      <w:numFmt w:val="bullet"/>
      <w:lvlText w:val="–"/>
      <w:lvlJc w:val="left"/>
      <w:pPr>
        <w:ind w:left="708"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2">
      <w:start w:val="0"/>
      <w:numFmt w:val="bullet"/>
      <w:lvlText w:val="•"/>
      <w:lvlJc w:val="left"/>
      <w:pPr>
        <w:ind w:left="1460" w:hanging="284"/>
      </w:pPr>
      <w:rPr>
        <w:rFonts w:hint="default"/>
        <w:lang w:val="ru-RU" w:eastAsia="en-US" w:bidi="ar-SA"/>
      </w:rPr>
    </w:lvl>
    <w:lvl w:ilvl="3">
      <w:start w:val="0"/>
      <w:numFmt w:val="bullet"/>
      <w:lvlText w:val="•"/>
      <w:lvlJc w:val="left"/>
      <w:pPr>
        <w:ind w:left="2220" w:hanging="284"/>
      </w:pPr>
      <w:rPr>
        <w:rFonts w:hint="default"/>
        <w:lang w:val="ru-RU" w:eastAsia="en-US" w:bidi="ar-SA"/>
      </w:rPr>
    </w:lvl>
    <w:lvl w:ilvl="4">
      <w:start w:val="0"/>
      <w:numFmt w:val="bullet"/>
      <w:lvlText w:val="•"/>
      <w:lvlJc w:val="left"/>
      <w:pPr>
        <w:ind w:left="2980" w:hanging="284"/>
      </w:pPr>
      <w:rPr>
        <w:rFonts w:hint="default"/>
        <w:lang w:val="ru-RU" w:eastAsia="en-US" w:bidi="ar-SA"/>
      </w:rPr>
    </w:lvl>
    <w:lvl w:ilvl="5">
      <w:start w:val="0"/>
      <w:numFmt w:val="bullet"/>
      <w:lvlText w:val="•"/>
      <w:lvlJc w:val="left"/>
      <w:pPr>
        <w:ind w:left="3740" w:hanging="284"/>
      </w:pPr>
      <w:rPr>
        <w:rFonts w:hint="default"/>
        <w:lang w:val="ru-RU" w:eastAsia="en-US" w:bidi="ar-SA"/>
      </w:rPr>
    </w:lvl>
    <w:lvl w:ilvl="6">
      <w:start w:val="0"/>
      <w:numFmt w:val="bullet"/>
      <w:lvlText w:val="•"/>
      <w:lvlJc w:val="left"/>
      <w:pPr>
        <w:ind w:left="4500" w:hanging="284"/>
      </w:pPr>
      <w:rPr>
        <w:rFonts w:hint="default"/>
        <w:lang w:val="ru-RU" w:eastAsia="en-US" w:bidi="ar-SA"/>
      </w:rPr>
    </w:lvl>
    <w:lvl w:ilvl="7">
      <w:start w:val="0"/>
      <w:numFmt w:val="bullet"/>
      <w:lvlText w:val="•"/>
      <w:lvlJc w:val="left"/>
      <w:pPr>
        <w:ind w:left="5260" w:hanging="284"/>
      </w:pPr>
      <w:rPr>
        <w:rFonts w:hint="default"/>
        <w:lang w:val="ru-RU" w:eastAsia="en-US" w:bidi="ar-SA"/>
      </w:rPr>
    </w:lvl>
    <w:lvl w:ilvl="8">
      <w:start w:val="0"/>
      <w:numFmt w:val="bullet"/>
      <w:lvlText w:val="•"/>
      <w:lvlJc w:val="left"/>
      <w:pPr>
        <w:ind w:left="6020" w:hanging="284"/>
      </w:pPr>
      <w:rPr>
        <w:rFonts w:hint="default"/>
        <w:lang w:val="ru-RU" w:eastAsia="en-US" w:bidi="ar-SA"/>
      </w:rPr>
    </w:lvl>
  </w:abstractNum>
  <w:abstractNum w:abstractNumId="248">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46">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708"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2">
      <w:start w:val="0"/>
      <w:numFmt w:val="bullet"/>
      <w:lvlText w:val="•"/>
      <w:lvlJc w:val="left"/>
      <w:pPr>
        <w:ind w:left="1460" w:hanging="284"/>
      </w:pPr>
      <w:rPr>
        <w:rFonts w:hint="default"/>
        <w:lang w:val="ru-RU" w:eastAsia="en-US" w:bidi="ar-SA"/>
      </w:rPr>
    </w:lvl>
    <w:lvl w:ilvl="3">
      <w:start w:val="0"/>
      <w:numFmt w:val="bullet"/>
      <w:lvlText w:val="•"/>
      <w:lvlJc w:val="left"/>
      <w:pPr>
        <w:ind w:left="2220" w:hanging="284"/>
      </w:pPr>
      <w:rPr>
        <w:rFonts w:hint="default"/>
        <w:lang w:val="ru-RU" w:eastAsia="en-US" w:bidi="ar-SA"/>
      </w:rPr>
    </w:lvl>
    <w:lvl w:ilvl="4">
      <w:start w:val="0"/>
      <w:numFmt w:val="bullet"/>
      <w:lvlText w:val="•"/>
      <w:lvlJc w:val="left"/>
      <w:pPr>
        <w:ind w:left="2980" w:hanging="284"/>
      </w:pPr>
      <w:rPr>
        <w:rFonts w:hint="default"/>
        <w:lang w:val="ru-RU" w:eastAsia="en-US" w:bidi="ar-SA"/>
      </w:rPr>
    </w:lvl>
    <w:lvl w:ilvl="5">
      <w:start w:val="0"/>
      <w:numFmt w:val="bullet"/>
      <w:lvlText w:val="•"/>
      <w:lvlJc w:val="left"/>
      <w:pPr>
        <w:ind w:left="3740" w:hanging="284"/>
      </w:pPr>
      <w:rPr>
        <w:rFonts w:hint="default"/>
        <w:lang w:val="ru-RU" w:eastAsia="en-US" w:bidi="ar-SA"/>
      </w:rPr>
    </w:lvl>
    <w:lvl w:ilvl="6">
      <w:start w:val="0"/>
      <w:numFmt w:val="bullet"/>
      <w:lvlText w:val="•"/>
      <w:lvlJc w:val="left"/>
      <w:pPr>
        <w:ind w:left="4500" w:hanging="284"/>
      </w:pPr>
      <w:rPr>
        <w:rFonts w:hint="default"/>
        <w:lang w:val="ru-RU" w:eastAsia="en-US" w:bidi="ar-SA"/>
      </w:rPr>
    </w:lvl>
    <w:lvl w:ilvl="7">
      <w:start w:val="0"/>
      <w:numFmt w:val="bullet"/>
      <w:lvlText w:val="•"/>
      <w:lvlJc w:val="left"/>
      <w:pPr>
        <w:ind w:left="5260" w:hanging="284"/>
      </w:pPr>
      <w:rPr>
        <w:rFonts w:hint="default"/>
        <w:lang w:val="ru-RU" w:eastAsia="en-US" w:bidi="ar-SA"/>
      </w:rPr>
    </w:lvl>
    <w:lvl w:ilvl="8">
      <w:start w:val="0"/>
      <w:numFmt w:val="bullet"/>
      <w:lvlText w:val="•"/>
      <w:lvlJc w:val="left"/>
      <w:pPr>
        <w:ind w:left="6020" w:hanging="284"/>
      </w:pPr>
      <w:rPr>
        <w:rFonts w:hint="default"/>
        <w:lang w:val="ru-RU" w:eastAsia="en-US" w:bidi="ar-SA"/>
      </w:rPr>
    </w:lvl>
  </w:abstractNum>
  <w:abstractNum w:abstractNumId="245">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44">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43">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42">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41">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40">
    <w:multiLevelType w:val="hybridMultilevel"/>
    <w:lvl w:ilvl="0">
      <w:start w:val="0"/>
      <w:numFmt w:val="bullet"/>
      <w:lvlText w:val="▪"/>
      <w:lvlJc w:val="left"/>
      <w:pPr>
        <w:ind w:left="546" w:hanging="121"/>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240" w:hanging="121"/>
      </w:pPr>
      <w:rPr>
        <w:rFonts w:hint="default"/>
        <w:lang w:val="ru-RU" w:eastAsia="en-US" w:bidi="ar-SA"/>
      </w:rPr>
    </w:lvl>
    <w:lvl w:ilvl="2">
      <w:start w:val="0"/>
      <w:numFmt w:val="bullet"/>
      <w:lvlText w:val="•"/>
      <w:lvlJc w:val="left"/>
      <w:pPr>
        <w:ind w:left="1940" w:hanging="121"/>
      </w:pPr>
      <w:rPr>
        <w:rFonts w:hint="default"/>
        <w:lang w:val="ru-RU" w:eastAsia="en-US" w:bidi="ar-SA"/>
      </w:rPr>
    </w:lvl>
    <w:lvl w:ilvl="3">
      <w:start w:val="0"/>
      <w:numFmt w:val="bullet"/>
      <w:lvlText w:val="•"/>
      <w:lvlJc w:val="left"/>
      <w:pPr>
        <w:ind w:left="2640" w:hanging="121"/>
      </w:pPr>
      <w:rPr>
        <w:rFonts w:hint="default"/>
        <w:lang w:val="ru-RU" w:eastAsia="en-US" w:bidi="ar-SA"/>
      </w:rPr>
    </w:lvl>
    <w:lvl w:ilvl="4">
      <w:start w:val="0"/>
      <w:numFmt w:val="bullet"/>
      <w:lvlText w:val="•"/>
      <w:lvlJc w:val="left"/>
      <w:pPr>
        <w:ind w:left="3340" w:hanging="121"/>
      </w:pPr>
      <w:rPr>
        <w:rFonts w:hint="default"/>
        <w:lang w:val="ru-RU" w:eastAsia="en-US" w:bidi="ar-SA"/>
      </w:rPr>
    </w:lvl>
    <w:lvl w:ilvl="5">
      <w:start w:val="0"/>
      <w:numFmt w:val="bullet"/>
      <w:lvlText w:val="•"/>
      <w:lvlJc w:val="left"/>
      <w:pPr>
        <w:ind w:left="4040" w:hanging="121"/>
      </w:pPr>
      <w:rPr>
        <w:rFonts w:hint="default"/>
        <w:lang w:val="ru-RU" w:eastAsia="en-US" w:bidi="ar-SA"/>
      </w:rPr>
    </w:lvl>
    <w:lvl w:ilvl="6">
      <w:start w:val="0"/>
      <w:numFmt w:val="bullet"/>
      <w:lvlText w:val="•"/>
      <w:lvlJc w:val="left"/>
      <w:pPr>
        <w:ind w:left="4740" w:hanging="121"/>
      </w:pPr>
      <w:rPr>
        <w:rFonts w:hint="default"/>
        <w:lang w:val="ru-RU" w:eastAsia="en-US" w:bidi="ar-SA"/>
      </w:rPr>
    </w:lvl>
    <w:lvl w:ilvl="7">
      <w:start w:val="0"/>
      <w:numFmt w:val="bullet"/>
      <w:lvlText w:val="•"/>
      <w:lvlJc w:val="left"/>
      <w:pPr>
        <w:ind w:left="5440" w:hanging="121"/>
      </w:pPr>
      <w:rPr>
        <w:rFonts w:hint="default"/>
        <w:lang w:val="ru-RU" w:eastAsia="en-US" w:bidi="ar-SA"/>
      </w:rPr>
    </w:lvl>
    <w:lvl w:ilvl="8">
      <w:start w:val="0"/>
      <w:numFmt w:val="bullet"/>
      <w:lvlText w:val="•"/>
      <w:lvlJc w:val="left"/>
      <w:pPr>
        <w:ind w:left="6140" w:hanging="121"/>
      </w:pPr>
      <w:rPr>
        <w:rFonts w:hint="default"/>
        <w:lang w:val="ru-RU" w:eastAsia="en-US" w:bidi="ar-SA"/>
      </w:rPr>
    </w:lvl>
  </w:abstractNum>
  <w:abstractNum w:abstractNumId="239">
    <w:multiLevelType w:val="hybridMultilevel"/>
    <w:lvl w:ilvl="0">
      <w:start w:val="2"/>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right"/>
      </w:pPr>
      <w:rPr>
        <w:rFonts w:hint="default"/>
        <w:spacing w:val="0"/>
        <w:w w:val="98"/>
        <w:lang w:val="ru-RU" w:eastAsia="en-US" w:bidi="ar-SA"/>
      </w:rPr>
    </w:lvl>
    <w:lvl w:ilvl="2">
      <w:start w:val="0"/>
      <w:numFmt w:val="bullet"/>
      <w:lvlText w:val="•"/>
      <w:lvlJc w:val="left"/>
      <w:pPr>
        <w:ind w:left="1876" w:hanging="315"/>
      </w:pPr>
      <w:rPr>
        <w:rFonts w:hint="default"/>
        <w:lang w:val="ru-RU" w:eastAsia="en-US" w:bidi="ar-SA"/>
      </w:rPr>
    </w:lvl>
    <w:lvl w:ilvl="3">
      <w:start w:val="0"/>
      <w:numFmt w:val="bullet"/>
      <w:lvlText w:val="•"/>
      <w:lvlJc w:val="left"/>
      <w:pPr>
        <w:ind w:left="2584" w:hanging="315"/>
      </w:pPr>
      <w:rPr>
        <w:rFonts w:hint="default"/>
        <w:lang w:val="ru-RU" w:eastAsia="en-US" w:bidi="ar-SA"/>
      </w:rPr>
    </w:lvl>
    <w:lvl w:ilvl="4">
      <w:start w:val="0"/>
      <w:numFmt w:val="bullet"/>
      <w:lvlText w:val="•"/>
      <w:lvlJc w:val="left"/>
      <w:pPr>
        <w:ind w:left="3292" w:hanging="315"/>
      </w:pPr>
      <w:rPr>
        <w:rFonts w:hint="default"/>
        <w:lang w:val="ru-RU" w:eastAsia="en-US" w:bidi="ar-SA"/>
      </w:rPr>
    </w:lvl>
    <w:lvl w:ilvl="5">
      <w:start w:val="0"/>
      <w:numFmt w:val="bullet"/>
      <w:lvlText w:val="•"/>
      <w:lvlJc w:val="left"/>
      <w:pPr>
        <w:ind w:left="4000" w:hanging="315"/>
      </w:pPr>
      <w:rPr>
        <w:rFonts w:hint="default"/>
        <w:lang w:val="ru-RU" w:eastAsia="en-US" w:bidi="ar-SA"/>
      </w:rPr>
    </w:lvl>
    <w:lvl w:ilvl="6">
      <w:start w:val="0"/>
      <w:numFmt w:val="bullet"/>
      <w:lvlText w:val="•"/>
      <w:lvlJc w:val="left"/>
      <w:pPr>
        <w:ind w:left="4708" w:hanging="315"/>
      </w:pPr>
      <w:rPr>
        <w:rFonts w:hint="default"/>
        <w:lang w:val="ru-RU" w:eastAsia="en-US" w:bidi="ar-SA"/>
      </w:rPr>
    </w:lvl>
    <w:lvl w:ilvl="7">
      <w:start w:val="0"/>
      <w:numFmt w:val="bullet"/>
      <w:lvlText w:val="•"/>
      <w:lvlJc w:val="left"/>
      <w:pPr>
        <w:ind w:left="5416" w:hanging="315"/>
      </w:pPr>
      <w:rPr>
        <w:rFonts w:hint="default"/>
        <w:lang w:val="ru-RU" w:eastAsia="en-US" w:bidi="ar-SA"/>
      </w:rPr>
    </w:lvl>
    <w:lvl w:ilvl="8">
      <w:start w:val="0"/>
      <w:numFmt w:val="bullet"/>
      <w:lvlText w:val="•"/>
      <w:lvlJc w:val="left"/>
      <w:pPr>
        <w:ind w:left="6124" w:hanging="315"/>
      </w:pPr>
      <w:rPr>
        <w:rFonts w:hint="default"/>
        <w:lang w:val="ru-RU" w:eastAsia="en-US" w:bidi="ar-SA"/>
      </w:rPr>
    </w:lvl>
  </w:abstractNum>
  <w:abstractNum w:abstractNumId="238">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1"/>
      <w:numFmt w:val="decimal"/>
      <w:lvlText w:val="%2."/>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2">
      <w:start w:val="0"/>
      <w:numFmt w:val="bullet"/>
      <w:lvlText w:val="•"/>
      <w:lvlJc w:val="left"/>
      <w:pPr>
        <w:ind w:left="1460" w:hanging="284"/>
      </w:pPr>
      <w:rPr>
        <w:rFonts w:hint="default"/>
        <w:lang w:val="ru-RU" w:eastAsia="en-US" w:bidi="ar-SA"/>
      </w:rPr>
    </w:lvl>
    <w:lvl w:ilvl="3">
      <w:start w:val="0"/>
      <w:numFmt w:val="bullet"/>
      <w:lvlText w:val="•"/>
      <w:lvlJc w:val="left"/>
      <w:pPr>
        <w:ind w:left="2220" w:hanging="284"/>
      </w:pPr>
      <w:rPr>
        <w:rFonts w:hint="default"/>
        <w:lang w:val="ru-RU" w:eastAsia="en-US" w:bidi="ar-SA"/>
      </w:rPr>
    </w:lvl>
    <w:lvl w:ilvl="4">
      <w:start w:val="0"/>
      <w:numFmt w:val="bullet"/>
      <w:lvlText w:val="•"/>
      <w:lvlJc w:val="left"/>
      <w:pPr>
        <w:ind w:left="2980" w:hanging="284"/>
      </w:pPr>
      <w:rPr>
        <w:rFonts w:hint="default"/>
        <w:lang w:val="ru-RU" w:eastAsia="en-US" w:bidi="ar-SA"/>
      </w:rPr>
    </w:lvl>
    <w:lvl w:ilvl="5">
      <w:start w:val="0"/>
      <w:numFmt w:val="bullet"/>
      <w:lvlText w:val="•"/>
      <w:lvlJc w:val="left"/>
      <w:pPr>
        <w:ind w:left="3740" w:hanging="284"/>
      </w:pPr>
      <w:rPr>
        <w:rFonts w:hint="default"/>
        <w:lang w:val="ru-RU" w:eastAsia="en-US" w:bidi="ar-SA"/>
      </w:rPr>
    </w:lvl>
    <w:lvl w:ilvl="6">
      <w:start w:val="0"/>
      <w:numFmt w:val="bullet"/>
      <w:lvlText w:val="•"/>
      <w:lvlJc w:val="left"/>
      <w:pPr>
        <w:ind w:left="4500" w:hanging="284"/>
      </w:pPr>
      <w:rPr>
        <w:rFonts w:hint="default"/>
        <w:lang w:val="ru-RU" w:eastAsia="en-US" w:bidi="ar-SA"/>
      </w:rPr>
    </w:lvl>
    <w:lvl w:ilvl="7">
      <w:start w:val="0"/>
      <w:numFmt w:val="bullet"/>
      <w:lvlText w:val="•"/>
      <w:lvlJc w:val="left"/>
      <w:pPr>
        <w:ind w:left="5260" w:hanging="284"/>
      </w:pPr>
      <w:rPr>
        <w:rFonts w:hint="default"/>
        <w:lang w:val="ru-RU" w:eastAsia="en-US" w:bidi="ar-SA"/>
      </w:rPr>
    </w:lvl>
    <w:lvl w:ilvl="8">
      <w:start w:val="0"/>
      <w:numFmt w:val="bullet"/>
      <w:lvlText w:val="•"/>
      <w:lvlJc w:val="left"/>
      <w:pPr>
        <w:ind w:left="6020" w:hanging="284"/>
      </w:pPr>
      <w:rPr>
        <w:rFonts w:hint="default"/>
        <w:lang w:val="ru-RU" w:eastAsia="en-US" w:bidi="ar-SA"/>
      </w:rPr>
    </w:lvl>
  </w:abstractNum>
  <w:abstractNum w:abstractNumId="237">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36">
    <w:multiLevelType w:val="hybridMultilevel"/>
    <w:lvl w:ilvl="0">
      <w:start w:val="2"/>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98"/>
        <w:sz w:val="18"/>
        <w:szCs w:val="18"/>
        <w:lang w:val="ru-RU" w:eastAsia="en-US" w:bidi="ar-SA"/>
      </w:rPr>
    </w:lvl>
    <w:lvl w:ilvl="2">
      <w:start w:val="1"/>
      <w:numFmt w:val="decimal"/>
      <w:lvlText w:val="%3."/>
      <w:lvlJc w:val="left"/>
      <w:pPr>
        <w:ind w:left="141" w:hanging="191"/>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3">
      <w:start w:val="0"/>
      <w:numFmt w:val="bullet"/>
      <w:lvlText w:val="▪"/>
      <w:lvlJc w:val="left"/>
      <w:pPr>
        <w:ind w:left="141" w:hanging="121"/>
      </w:pPr>
      <w:rPr>
        <w:rFonts w:hint="default" w:ascii="Times New Roman" w:hAnsi="Times New Roman" w:eastAsia="Times New Roman" w:cs="Times New Roman"/>
        <w:b w:val="0"/>
        <w:bCs w:val="0"/>
        <w:i w:val="0"/>
        <w:iCs w:val="0"/>
        <w:spacing w:val="0"/>
        <w:w w:val="100"/>
        <w:sz w:val="20"/>
        <w:szCs w:val="20"/>
        <w:lang w:val="ru-RU" w:eastAsia="en-US" w:bidi="ar-SA"/>
      </w:rPr>
    </w:lvl>
    <w:lvl w:ilvl="4">
      <w:start w:val="0"/>
      <w:numFmt w:val="bullet"/>
      <w:lvlText w:val="•"/>
      <w:lvlJc w:val="left"/>
      <w:pPr>
        <w:ind w:left="2820" w:hanging="121"/>
      </w:pPr>
      <w:rPr>
        <w:rFonts w:hint="default"/>
        <w:lang w:val="ru-RU" w:eastAsia="en-US" w:bidi="ar-SA"/>
      </w:rPr>
    </w:lvl>
    <w:lvl w:ilvl="5">
      <w:start w:val="0"/>
      <w:numFmt w:val="bullet"/>
      <w:lvlText w:val="•"/>
      <w:lvlJc w:val="left"/>
      <w:pPr>
        <w:ind w:left="3606" w:hanging="121"/>
      </w:pPr>
      <w:rPr>
        <w:rFonts w:hint="default"/>
        <w:lang w:val="ru-RU" w:eastAsia="en-US" w:bidi="ar-SA"/>
      </w:rPr>
    </w:lvl>
    <w:lvl w:ilvl="6">
      <w:start w:val="0"/>
      <w:numFmt w:val="bullet"/>
      <w:lvlText w:val="•"/>
      <w:lvlJc w:val="left"/>
      <w:pPr>
        <w:ind w:left="4393" w:hanging="121"/>
      </w:pPr>
      <w:rPr>
        <w:rFonts w:hint="default"/>
        <w:lang w:val="ru-RU" w:eastAsia="en-US" w:bidi="ar-SA"/>
      </w:rPr>
    </w:lvl>
    <w:lvl w:ilvl="7">
      <w:start w:val="0"/>
      <w:numFmt w:val="bullet"/>
      <w:lvlText w:val="•"/>
      <w:lvlJc w:val="left"/>
      <w:pPr>
        <w:ind w:left="5180" w:hanging="121"/>
      </w:pPr>
      <w:rPr>
        <w:rFonts w:hint="default"/>
        <w:lang w:val="ru-RU" w:eastAsia="en-US" w:bidi="ar-SA"/>
      </w:rPr>
    </w:lvl>
    <w:lvl w:ilvl="8">
      <w:start w:val="0"/>
      <w:numFmt w:val="bullet"/>
      <w:lvlText w:val="•"/>
      <w:lvlJc w:val="left"/>
      <w:pPr>
        <w:ind w:left="5967" w:hanging="121"/>
      </w:pPr>
      <w:rPr>
        <w:rFonts w:hint="default"/>
        <w:lang w:val="ru-RU" w:eastAsia="en-US" w:bidi="ar-SA"/>
      </w:rPr>
    </w:lvl>
  </w:abstractNum>
  <w:abstractNum w:abstractNumId="235">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34">
    <w:multiLevelType w:val="hybridMultilevel"/>
    <w:lvl w:ilvl="0">
      <w:start w:val="2"/>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98"/>
        <w:sz w:val="18"/>
        <w:szCs w:val="18"/>
        <w:lang w:val="ru-RU" w:eastAsia="en-US" w:bidi="ar-SA"/>
      </w:rPr>
    </w:lvl>
    <w:lvl w:ilvl="2">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3">
      <w:start w:val="0"/>
      <w:numFmt w:val="bullet"/>
      <w:lvlText w:val="•"/>
      <w:lvlJc w:val="left"/>
      <w:pPr>
        <w:ind w:left="2033" w:hanging="284"/>
      </w:pPr>
      <w:rPr>
        <w:rFonts w:hint="default"/>
        <w:lang w:val="ru-RU" w:eastAsia="en-US" w:bidi="ar-SA"/>
      </w:rPr>
    </w:lvl>
    <w:lvl w:ilvl="4">
      <w:start w:val="0"/>
      <w:numFmt w:val="bullet"/>
      <w:lvlText w:val="•"/>
      <w:lvlJc w:val="left"/>
      <w:pPr>
        <w:ind w:left="2820" w:hanging="284"/>
      </w:pPr>
      <w:rPr>
        <w:rFonts w:hint="default"/>
        <w:lang w:val="ru-RU" w:eastAsia="en-US" w:bidi="ar-SA"/>
      </w:rPr>
    </w:lvl>
    <w:lvl w:ilvl="5">
      <w:start w:val="0"/>
      <w:numFmt w:val="bullet"/>
      <w:lvlText w:val="•"/>
      <w:lvlJc w:val="left"/>
      <w:pPr>
        <w:ind w:left="3606" w:hanging="284"/>
      </w:pPr>
      <w:rPr>
        <w:rFonts w:hint="default"/>
        <w:lang w:val="ru-RU" w:eastAsia="en-US" w:bidi="ar-SA"/>
      </w:rPr>
    </w:lvl>
    <w:lvl w:ilvl="6">
      <w:start w:val="0"/>
      <w:numFmt w:val="bullet"/>
      <w:lvlText w:val="•"/>
      <w:lvlJc w:val="left"/>
      <w:pPr>
        <w:ind w:left="4393" w:hanging="284"/>
      </w:pPr>
      <w:rPr>
        <w:rFonts w:hint="default"/>
        <w:lang w:val="ru-RU" w:eastAsia="en-US" w:bidi="ar-SA"/>
      </w:rPr>
    </w:lvl>
    <w:lvl w:ilvl="7">
      <w:start w:val="0"/>
      <w:numFmt w:val="bullet"/>
      <w:lvlText w:val="•"/>
      <w:lvlJc w:val="left"/>
      <w:pPr>
        <w:ind w:left="5180" w:hanging="284"/>
      </w:pPr>
      <w:rPr>
        <w:rFonts w:hint="default"/>
        <w:lang w:val="ru-RU" w:eastAsia="en-US" w:bidi="ar-SA"/>
      </w:rPr>
    </w:lvl>
    <w:lvl w:ilvl="8">
      <w:start w:val="0"/>
      <w:numFmt w:val="bullet"/>
      <w:lvlText w:val="•"/>
      <w:lvlJc w:val="left"/>
      <w:pPr>
        <w:ind w:left="5967" w:hanging="284"/>
      </w:pPr>
      <w:rPr>
        <w:rFonts w:hint="default"/>
        <w:lang w:val="ru-RU" w:eastAsia="en-US" w:bidi="ar-SA"/>
      </w:rPr>
    </w:lvl>
  </w:abstractNum>
  <w:abstractNum w:abstractNumId="233">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32">
    <w:multiLevelType w:val="hybridMultilevel"/>
    <w:lvl w:ilvl="0">
      <w:start w:val="2"/>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98"/>
        <w:sz w:val="18"/>
        <w:szCs w:val="18"/>
        <w:lang w:val="ru-RU" w:eastAsia="en-US" w:bidi="ar-SA"/>
      </w:rPr>
    </w:lvl>
    <w:lvl w:ilvl="2">
      <w:start w:val="0"/>
      <w:numFmt w:val="bullet"/>
      <w:lvlText w:val="•"/>
      <w:lvlJc w:val="left"/>
      <w:pPr>
        <w:ind w:left="1876" w:hanging="315"/>
      </w:pPr>
      <w:rPr>
        <w:rFonts w:hint="default"/>
        <w:lang w:val="ru-RU" w:eastAsia="en-US" w:bidi="ar-SA"/>
      </w:rPr>
    </w:lvl>
    <w:lvl w:ilvl="3">
      <w:start w:val="0"/>
      <w:numFmt w:val="bullet"/>
      <w:lvlText w:val="•"/>
      <w:lvlJc w:val="left"/>
      <w:pPr>
        <w:ind w:left="2584" w:hanging="315"/>
      </w:pPr>
      <w:rPr>
        <w:rFonts w:hint="default"/>
        <w:lang w:val="ru-RU" w:eastAsia="en-US" w:bidi="ar-SA"/>
      </w:rPr>
    </w:lvl>
    <w:lvl w:ilvl="4">
      <w:start w:val="0"/>
      <w:numFmt w:val="bullet"/>
      <w:lvlText w:val="•"/>
      <w:lvlJc w:val="left"/>
      <w:pPr>
        <w:ind w:left="3292" w:hanging="315"/>
      </w:pPr>
      <w:rPr>
        <w:rFonts w:hint="default"/>
        <w:lang w:val="ru-RU" w:eastAsia="en-US" w:bidi="ar-SA"/>
      </w:rPr>
    </w:lvl>
    <w:lvl w:ilvl="5">
      <w:start w:val="0"/>
      <w:numFmt w:val="bullet"/>
      <w:lvlText w:val="•"/>
      <w:lvlJc w:val="left"/>
      <w:pPr>
        <w:ind w:left="4000" w:hanging="315"/>
      </w:pPr>
      <w:rPr>
        <w:rFonts w:hint="default"/>
        <w:lang w:val="ru-RU" w:eastAsia="en-US" w:bidi="ar-SA"/>
      </w:rPr>
    </w:lvl>
    <w:lvl w:ilvl="6">
      <w:start w:val="0"/>
      <w:numFmt w:val="bullet"/>
      <w:lvlText w:val="•"/>
      <w:lvlJc w:val="left"/>
      <w:pPr>
        <w:ind w:left="4708" w:hanging="315"/>
      </w:pPr>
      <w:rPr>
        <w:rFonts w:hint="default"/>
        <w:lang w:val="ru-RU" w:eastAsia="en-US" w:bidi="ar-SA"/>
      </w:rPr>
    </w:lvl>
    <w:lvl w:ilvl="7">
      <w:start w:val="0"/>
      <w:numFmt w:val="bullet"/>
      <w:lvlText w:val="•"/>
      <w:lvlJc w:val="left"/>
      <w:pPr>
        <w:ind w:left="5416" w:hanging="315"/>
      </w:pPr>
      <w:rPr>
        <w:rFonts w:hint="default"/>
        <w:lang w:val="ru-RU" w:eastAsia="en-US" w:bidi="ar-SA"/>
      </w:rPr>
    </w:lvl>
    <w:lvl w:ilvl="8">
      <w:start w:val="0"/>
      <w:numFmt w:val="bullet"/>
      <w:lvlText w:val="•"/>
      <w:lvlJc w:val="left"/>
      <w:pPr>
        <w:ind w:left="6124" w:hanging="315"/>
      </w:pPr>
      <w:rPr>
        <w:rFonts w:hint="default"/>
        <w:lang w:val="ru-RU" w:eastAsia="en-US" w:bidi="ar-SA"/>
      </w:rPr>
    </w:lvl>
  </w:abstractNum>
  <w:abstractNum w:abstractNumId="231">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30">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28">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229">
    <w:multiLevelType w:val="hybridMultilevel"/>
    <w:lvl w:ilvl="0">
      <w:start w:val="0"/>
      <w:numFmt w:val="bullet"/>
      <w:lvlText w:val="–"/>
      <w:lvlJc w:val="left"/>
      <w:pPr>
        <w:ind w:left="141" w:hanging="186"/>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880" w:hanging="186"/>
      </w:pPr>
      <w:rPr>
        <w:rFonts w:hint="default"/>
        <w:lang w:val="ru-RU" w:eastAsia="en-US" w:bidi="ar-SA"/>
      </w:rPr>
    </w:lvl>
    <w:lvl w:ilvl="2">
      <w:start w:val="0"/>
      <w:numFmt w:val="bullet"/>
      <w:lvlText w:val="•"/>
      <w:lvlJc w:val="left"/>
      <w:pPr>
        <w:ind w:left="1620" w:hanging="186"/>
      </w:pPr>
      <w:rPr>
        <w:rFonts w:hint="default"/>
        <w:lang w:val="ru-RU" w:eastAsia="en-US" w:bidi="ar-SA"/>
      </w:rPr>
    </w:lvl>
    <w:lvl w:ilvl="3">
      <w:start w:val="0"/>
      <w:numFmt w:val="bullet"/>
      <w:lvlText w:val="•"/>
      <w:lvlJc w:val="left"/>
      <w:pPr>
        <w:ind w:left="2360" w:hanging="186"/>
      </w:pPr>
      <w:rPr>
        <w:rFonts w:hint="default"/>
        <w:lang w:val="ru-RU" w:eastAsia="en-US" w:bidi="ar-SA"/>
      </w:rPr>
    </w:lvl>
    <w:lvl w:ilvl="4">
      <w:start w:val="0"/>
      <w:numFmt w:val="bullet"/>
      <w:lvlText w:val="•"/>
      <w:lvlJc w:val="left"/>
      <w:pPr>
        <w:ind w:left="3100" w:hanging="186"/>
      </w:pPr>
      <w:rPr>
        <w:rFonts w:hint="default"/>
        <w:lang w:val="ru-RU" w:eastAsia="en-US" w:bidi="ar-SA"/>
      </w:rPr>
    </w:lvl>
    <w:lvl w:ilvl="5">
      <w:start w:val="0"/>
      <w:numFmt w:val="bullet"/>
      <w:lvlText w:val="•"/>
      <w:lvlJc w:val="left"/>
      <w:pPr>
        <w:ind w:left="3840" w:hanging="186"/>
      </w:pPr>
      <w:rPr>
        <w:rFonts w:hint="default"/>
        <w:lang w:val="ru-RU" w:eastAsia="en-US" w:bidi="ar-SA"/>
      </w:rPr>
    </w:lvl>
    <w:lvl w:ilvl="6">
      <w:start w:val="0"/>
      <w:numFmt w:val="bullet"/>
      <w:lvlText w:val="•"/>
      <w:lvlJc w:val="left"/>
      <w:pPr>
        <w:ind w:left="4580" w:hanging="186"/>
      </w:pPr>
      <w:rPr>
        <w:rFonts w:hint="default"/>
        <w:lang w:val="ru-RU" w:eastAsia="en-US" w:bidi="ar-SA"/>
      </w:rPr>
    </w:lvl>
    <w:lvl w:ilvl="7">
      <w:start w:val="0"/>
      <w:numFmt w:val="bullet"/>
      <w:lvlText w:val="•"/>
      <w:lvlJc w:val="left"/>
      <w:pPr>
        <w:ind w:left="5320" w:hanging="186"/>
      </w:pPr>
      <w:rPr>
        <w:rFonts w:hint="default"/>
        <w:lang w:val="ru-RU" w:eastAsia="en-US" w:bidi="ar-SA"/>
      </w:rPr>
    </w:lvl>
    <w:lvl w:ilvl="8">
      <w:start w:val="0"/>
      <w:numFmt w:val="bullet"/>
      <w:lvlText w:val="•"/>
      <w:lvlJc w:val="left"/>
      <w:pPr>
        <w:ind w:left="6060" w:hanging="186"/>
      </w:pPr>
      <w:rPr>
        <w:rFonts w:hint="default"/>
        <w:lang w:val="ru-RU" w:eastAsia="en-US" w:bidi="ar-SA"/>
      </w:rPr>
    </w:lvl>
  </w:abstractNum>
  <w:abstractNum w:abstractNumId="227">
    <w:multiLevelType w:val="hybridMultilevel"/>
    <w:lvl w:ilvl="0">
      <w:start w:val="1"/>
      <w:numFmt w:val="decimal"/>
      <w:lvlText w:val="%1."/>
      <w:lvlJc w:val="left"/>
      <w:pPr>
        <w:ind w:left="425" w:hanging="284"/>
        <w:jc w:val="right"/>
      </w:pPr>
      <w:rPr>
        <w:rFonts w:hint="default"/>
        <w:spacing w:val="0"/>
        <w:w w:val="100"/>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98"/>
        <w:sz w:val="18"/>
        <w:szCs w:val="18"/>
        <w:lang w:val="ru-RU" w:eastAsia="en-US" w:bidi="ar-SA"/>
      </w:rPr>
    </w:lvl>
    <w:lvl w:ilvl="2">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3">
      <w:start w:val="0"/>
      <w:numFmt w:val="bullet"/>
      <w:lvlText w:val="•"/>
      <w:lvlJc w:val="left"/>
      <w:pPr>
        <w:ind w:left="2033" w:hanging="284"/>
      </w:pPr>
      <w:rPr>
        <w:rFonts w:hint="default"/>
        <w:lang w:val="ru-RU" w:eastAsia="en-US" w:bidi="ar-SA"/>
      </w:rPr>
    </w:lvl>
    <w:lvl w:ilvl="4">
      <w:start w:val="0"/>
      <w:numFmt w:val="bullet"/>
      <w:lvlText w:val="•"/>
      <w:lvlJc w:val="left"/>
      <w:pPr>
        <w:ind w:left="2820" w:hanging="284"/>
      </w:pPr>
      <w:rPr>
        <w:rFonts w:hint="default"/>
        <w:lang w:val="ru-RU" w:eastAsia="en-US" w:bidi="ar-SA"/>
      </w:rPr>
    </w:lvl>
    <w:lvl w:ilvl="5">
      <w:start w:val="0"/>
      <w:numFmt w:val="bullet"/>
      <w:lvlText w:val="•"/>
      <w:lvlJc w:val="left"/>
      <w:pPr>
        <w:ind w:left="3606" w:hanging="284"/>
      </w:pPr>
      <w:rPr>
        <w:rFonts w:hint="default"/>
        <w:lang w:val="ru-RU" w:eastAsia="en-US" w:bidi="ar-SA"/>
      </w:rPr>
    </w:lvl>
    <w:lvl w:ilvl="6">
      <w:start w:val="0"/>
      <w:numFmt w:val="bullet"/>
      <w:lvlText w:val="•"/>
      <w:lvlJc w:val="left"/>
      <w:pPr>
        <w:ind w:left="4393" w:hanging="284"/>
      </w:pPr>
      <w:rPr>
        <w:rFonts w:hint="default"/>
        <w:lang w:val="ru-RU" w:eastAsia="en-US" w:bidi="ar-SA"/>
      </w:rPr>
    </w:lvl>
    <w:lvl w:ilvl="7">
      <w:start w:val="0"/>
      <w:numFmt w:val="bullet"/>
      <w:lvlText w:val="•"/>
      <w:lvlJc w:val="left"/>
      <w:pPr>
        <w:ind w:left="5180" w:hanging="284"/>
      </w:pPr>
      <w:rPr>
        <w:rFonts w:hint="default"/>
        <w:lang w:val="ru-RU" w:eastAsia="en-US" w:bidi="ar-SA"/>
      </w:rPr>
    </w:lvl>
    <w:lvl w:ilvl="8">
      <w:start w:val="0"/>
      <w:numFmt w:val="bullet"/>
      <w:lvlText w:val="•"/>
      <w:lvlJc w:val="left"/>
      <w:pPr>
        <w:ind w:left="5967" w:hanging="284"/>
      </w:pPr>
      <w:rPr>
        <w:rFonts w:hint="default"/>
        <w:lang w:val="ru-RU" w:eastAsia="en-US" w:bidi="ar-SA"/>
      </w:rPr>
    </w:lvl>
  </w:abstractNum>
  <w:abstractNum w:abstractNumId="226">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25">
    <w:multiLevelType w:val="hybridMultilevel"/>
    <w:lvl w:ilvl="0">
      <w:start w:val="2"/>
      <w:numFmt w:val="decimal"/>
      <w:lvlText w:val="%1"/>
      <w:lvlJc w:val="left"/>
      <w:pPr>
        <w:ind w:left="1835" w:hanging="350"/>
        <w:jc w:val="left"/>
      </w:pPr>
      <w:rPr>
        <w:rFonts w:hint="default"/>
        <w:lang w:val="ru-RU" w:eastAsia="en-US" w:bidi="ar-SA"/>
      </w:rPr>
    </w:lvl>
    <w:lvl w:ilvl="1">
      <w:start w:val="1"/>
      <w:numFmt w:val="decimal"/>
      <w:lvlText w:val="%1.%2."/>
      <w:lvlJc w:val="left"/>
      <w:pPr>
        <w:ind w:left="1835" w:hanging="350"/>
        <w:jc w:val="right"/>
      </w:pPr>
      <w:rPr>
        <w:rFonts w:hint="default"/>
        <w:spacing w:val="0"/>
        <w:w w:val="98"/>
        <w:lang w:val="ru-RU" w:eastAsia="en-US" w:bidi="ar-SA"/>
      </w:rPr>
    </w:lvl>
    <w:lvl w:ilvl="2">
      <w:start w:val="0"/>
      <w:numFmt w:val="bullet"/>
      <w:lvlText w:val="•"/>
      <w:lvlJc w:val="left"/>
      <w:pPr>
        <w:ind w:left="2980" w:hanging="350"/>
      </w:pPr>
      <w:rPr>
        <w:rFonts w:hint="default"/>
        <w:lang w:val="ru-RU" w:eastAsia="en-US" w:bidi="ar-SA"/>
      </w:rPr>
    </w:lvl>
    <w:lvl w:ilvl="3">
      <w:start w:val="0"/>
      <w:numFmt w:val="bullet"/>
      <w:lvlText w:val="•"/>
      <w:lvlJc w:val="left"/>
      <w:pPr>
        <w:ind w:left="3550" w:hanging="350"/>
      </w:pPr>
      <w:rPr>
        <w:rFonts w:hint="default"/>
        <w:lang w:val="ru-RU" w:eastAsia="en-US" w:bidi="ar-SA"/>
      </w:rPr>
    </w:lvl>
    <w:lvl w:ilvl="4">
      <w:start w:val="0"/>
      <w:numFmt w:val="bullet"/>
      <w:lvlText w:val="•"/>
      <w:lvlJc w:val="left"/>
      <w:pPr>
        <w:ind w:left="4120" w:hanging="350"/>
      </w:pPr>
      <w:rPr>
        <w:rFonts w:hint="default"/>
        <w:lang w:val="ru-RU" w:eastAsia="en-US" w:bidi="ar-SA"/>
      </w:rPr>
    </w:lvl>
    <w:lvl w:ilvl="5">
      <w:start w:val="0"/>
      <w:numFmt w:val="bullet"/>
      <w:lvlText w:val="•"/>
      <w:lvlJc w:val="left"/>
      <w:pPr>
        <w:ind w:left="4690" w:hanging="350"/>
      </w:pPr>
      <w:rPr>
        <w:rFonts w:hint="default"/>
        <w:lang w:val="ru-RU" w:eastAsia="en-US" w:bidi="ar-SA"/>
      </w:rPr>
    </w:lvl>
    <w:lvl w:ilvl="6">
      <w:start w:val="0"/>
      <w:numFmt w:val="bullet"/>
      <w:lvlText w:val="•"/>
      <w:lvlJc w:val="left"/>
      <w:pPr>
        <w:ind w:left="5260" w:hanging="350"/>
      </w:pPr>
      <w:rPr>
        <w:rFonts w:hint="default"/>
        <w:lang w:val="ru-RU" w:eastAsia="en-US" w:bidi="ar-SA"/>
      </w:rPr>
    </w:lvl>
    <w:lvl w:ilvl="7">
      <w:start w:val="0"/>
      <w:numFmt w:val="bullet"/>
      <w:lvlText w:val="•"/>
      <w:lvlJc w:val="left"/>
      <w:pPr>
        <w:ind w:left="5830" w:hanging="350"/>
      </w:pPr>
      <w:rPr>
        <w:rFonts w:hint="default"/>
        <w:lang w:val="ru-RU" w:eastAsia="en-US" w:bidi="ar-SA"/>
      </w:rPr>
    </w:lvl>
    <w:lvl w:ilvl="8">
      <w:start w:val="0"/>
      <w:numFmt w:val="bullet"/>
      <w:lvlText w:val="•"/>
      <w:lvlJc w:val="left"/>
      <w:pPr>
        <w:ind w:left="6400" w:hanging="350"/>
      </w:pPr>
      <w:rPr>
        <w:rFonts w:hint="default"/>
        <w:lang w:val="ru-RU" w:eastAsia="en-US" w:bidi="ar-SA"/>
      </w:rPr>
    </w:lvl>
  </w:abstractNum>
  <w:abstractNum w:abstractNumId="224">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23">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22">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bCs/>
        <w:i w:val="0"/>
        <w:iCs w:val="0"/>
        <w:color w:val="231F20"/>
        <w:spacing w:val="0"/>
        <w:w w:val="100"/>
        <w:sz w:val="20"/>
        <w:szCs w:val="20"/>
        <w:lang w:val="ru-RU" w:eastAsia="en-US" w:bidi="ar-SA"/>
      </w:rPr>
    </w:lvl>
    <w:lvl w:ilvl="1">
      <w:start w:val="0"/>
      <w:numFmt w:val="bullet"/>
      <w:lvlText w:val="–"/>
      <w:lvlJc w:val="left"/>
      <w:pPr>
        <w:ind w:left="141" w:hanging="164"/>
      </w:pPr>
      <w:rPr>
        <w:rFonts w:hint="default" w:ascii="Times New Roman" w:hAnsi="Times New Roman" w:eastAsia="Times New Roman" w:cs="Times New Roman"/>
        <w:b w:val="0"/>
        <w:bCs w:val="0"/>
        <w:i w:val="0"/>
        <w:iCs w:val="0"/>
        <w:spacing w:val="0"/>
        <w:w w:val="100"/>
        <w:sz w:val="20"/>
        <w:szCs w:val="20"/>
        <w:lang w:val="ru-RU" w:eastAsia="en-US" w:bidi="ar-SA"/>
      </w:rPr>
    </w:lvl>
    <w:lvl w:ilvl="2">
      <w:start w:val="0"/>
      <w:numFmt w:val="bullet"/>
      <w:lvlText w:val="•"/>
      <w:lvlJc w:val="left"/>
      <w:pPr>
        <w:ind w:left="1211" w:hanging="164"/>
      </w:pPr>
      <w:rPr>
        <w:rFonts w:hint="default"/>
        <w:lang w:val="ru-RU" w:eastAsia="en-US" w:bidi="ar-SA"/>
      </w:rPr>
    </w:lvl>
    <w:lvl w:ilvl="3">
      <w:start w:val="0"/>
      <w:numFmt w:val="bullet"/>
      <w:lvlText w:val="•"/>
      <w:lvlJc w:val="left"/>
      <w:pPr>
        <w:ind w:left="2002" w:hanging="164"/>
      </w:pPr>
      <w:rPr>
        <w:rFonts w:hint="default"/>
        <w:lang w:val="ru-RU" w:eastAsia="en-US" w:bidi="ar-SA"/>
      </w:rPr>
    </w:lvl>
    <w:lvl w:ilvl="4">
      <w:start w:val="0"/>
      <w:numFmt w:val="bullet"/>
      <w:lvlText w:val="•"/>
      <w:lvlJc w:val="left"/>
      <w:pPr>
        <w:ind w:left="2793" w:hanging="164"/>
      </w:pPr>
      <w:rPr>
        <w:rFonts w:hint="default"/>
        <w:lang w:val="ru-RU" w:eastAsia="en-US" w:bidi="ar-SA"/>
      </w:rPr>
    </w:lvl>
    <w:lvl w:ilvl="5">
      <w:start w:val="0"/>
      <w:numFmt w:val="bullet"/>
      <w:lvlText w:val="•"/>
      <w:lvlJc w:val="left"/>
      <w:pPr>
        <w:ind w:left="3584" w:hanging="164"/>
      </w:pPr>
      <w:rPr>
        <w:rFonts w:hint="default"/>
        <w:lang w:val="ru-RU" w:eastAsia="en-US" w:bidi="ar-SA"/>
      </w:rPr>
    </w:lvl>
    <w:lvl w:ilvl="6">
      <w:start w:val="0"/>
      <w:numFmt w:val="bullet"/>
      <w:lvlText w:val="•"/>
      <w:lvlJc w:val="left"/>
      <w:pPr>
        <w:ind w:left="4375" w:hanging="164"/>
      </w:pPr>
      <w:rPr>
        <w:rFonts w:hint="default"/>
        <w:lang w:val="ru-RU" w:eastAsia="en-US" w:bidi="ar-SA"/>
      </w:rPr>
    </w:lvl>
    <w:lvl w:ilvl="7">
      <w:start w:val="0"/>
      <w:numFmt w:val="bullet"/>
      <w:lvlText w:val="•"/>
      <w:lvlJc w:val="left"/>
      <w:pPr>
        <w:ind w:left="5167" w:hanging="164"/>
      </w:pPr>
      <w:rPr>
        <w:rFonts w:hint="default"/>
        <w:lang w:val="ru-RU" w:eastAsia="en-US" w:bidi="ar-SA"/>
      </w:rPr>
    </w:lvl>
    <w:lvl w:ilvl="8">
      <w:start w:val="0"/>
      <w:numFmt w:val="bullet"/>
      <w:lvlText w:val="•"/>
      <w:lvlJc w:val="left"/>
      <w:pPr>
        <w:ind w:left="5958" w:hanging="164"/>
      </w:pPr>
      <w:rPr>
        <w:rFonts w:hint="default"/>
        <w:lang w:val="ru-RU" w:eastAsia="en-US" w:bidi="ar-SA"/>
      </w:rPr>
    </w:lvl>
  </w:abstractNum>
  <w:abstractNum w:abstractNumId="221">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bCs/>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20">
    <w:multiLevelType w:val="hybridMultilevel"/>
    <w:lvl w:ilvl="0">
      <w:start w:val="1"/>
      <w:numFmt w:val="decimal"/>
      <w:lvlText w:val="%1"/>
      <w:lvlJc w:val="left"/>
      <w:pPr>
        <w:ind w:left="456" w:hanging="315"/>
        <w:jc w:val="left"/>
      </w:pPr>
      <w:rPr>
        <w:rFonts w:hint="default"/>
        <w:lang w:val="ru-RU" w:eastAsia="en-US" w:bidi="ar-SA"/>
      </w:rPr>
    </w:lvl>
    <w:lvl w:ilvl="1">
      <w:start w:val="2"/>
      <w:numFmt w:val="decimal"/>
      <w:lvlText w:val="%1.%2."/>
      <w:lvlJc w:val="left"/>
      <w:pPr>
        <w:ind w:left="456" w:hanging="315"/>
        <w:jc w:val="right"/>
      </w:pPr>
      <w:rPr>
        <w:rFonts w:hint="default"/>
        <w:spacing w:val="0"/>
        <w:w w:val="98"/>
        <w:lang w:val="ru-RU" w:eastAsia="en-US" w:bidi="ar-SA"/>
      </w:rPr>
    </w:lvl>
    <w:lvl w:ilvl="2">
      <w:start w:val="0"/>
      <w:numFmt w:val="bullet"/>
      <w:lvlText w:val="•"/>
      <w:lvlJc w:val="left"/>
      <w:pPr>
        <w:ind w:left="1876" w:hanging="315"/>
      </w:pPr>
      <w:rPr>
        <w:rFonts w:hint="default"/>
        <w:lang w:val="ru-RU" w:eastAsia="en-US" w:bidi="ar-SA"/>
      </w:rPr>
    </w:lvl>
    <w:lvl w:ilvl="3">
      <w:start w:val="0"/>
      <w:numFmt w:val="bullet"/>
      <w:lvlText w:val="•"/>
      <w:lvlJc w:val="left"/>
      <w:pPr>
        <w:ind w:left="2584" w:hanging="315"/>
      </w:pPr>
      <w:rPr>
        <w:rFonts w:hint="default"/>
        <w:lang w:val="ru-RU" w:eastAsia="en-US" w:bidi="ar-SA"/>
      </w:rPr>
    </w:lvl>
    <w:lvl w:ilvl="4">
      <w:start w:val="0"/>
      <w:numFmt w:val="bullet"/>
      <w:lvlText w:val="•"/>
      <w:lvlJc w:val="left"/>
      <w:pPr>
        <w:ind w:left="3292" w:hanging="315"/>
      </w:pPr>
      <w:rPr>
        <w:rFonts w:hint="default"/>
        <w:lang w:val="ru-RU" w:eastAsia="en-US" w:bidi="ar-SA"/>
      </w:rPr>
    </w:lvl>
    <w:lvl w:ilvl="5">
      <w:start w:val="0"/>
      <w:numFmt w:val="bullet"/>
      <w:lvlText w:val="•"/>
      <w:lvlJc w:val="left"/>
      <w:pPr>
        <w:ind w:left="4000" w:hanging="315"/>
      </w:pPr>
      <w:rPr>
        <w:rFonts w:hint="default"/>
        <w:lang w:val="ru-RU" w:eastAsia="en-US" w:bidi="ar-SA"/>
      </w:rPr>
    </w:lvl>
    <w:lvl w:ilvl="6">
      <w:start w:val="0"/>
      <w:numFmt w:val="bullet"/>
      <w:lvlText w:val="•"/>
      <w:lvlJc w:val="left"/>
      <w:pPr>
        <w:ind w:left="4708" w:hanging="315"/>
      </w:pPr>
      <w:rPr>
        <w:rFonts w:hint="default"/>
        <w:lang w:val="ru-RU" w:eastAsia="en-US" w:bidi="ar-SA"/>
      </w:rPr>
    </w:lvl>
    <w:lvl w:ilvl="7">
      <w:start w:val="0"/>
      <w:numFmt w:val="bullet"/>
      <w:lvlText w:val="•"/>
      <w:lvlJc w:val="left"/>
      <w:pPr>
        <w:ind w:left="5416" w:hanging="315"/>
      </w:pPr>
      <w:rPr>
        <w:rFonts w:hint="default"/>
        <w:lang w:val="ru-RU" w:eastAsia="en-US" w:bidi="ar-SA"/>
      </w:rPr>
    </w:lvl>
    <w:lvl w:ilvl="8">
      <w:start w:val="0"/>
      <w:numFmt w:val="bullet"/>
      <w:lvlText w:val="•"/>
      <w:lvlJc w:val="left"/>
      <w:pPr>
        <w:ind w:left="6124" w:hanging="315"/>
      </w:pPr>
      <w:rPr>
        <w:rFonts w:hint="default"/>
        <w:lang w:val="ru-RU" w:eastAsia="en-US" w:bidi="ar-SA"/>
      </w:rPr>
    </w:lvl>
  </w:abstractNum>
  <w:abstractNum w:abstractNumId="219">
    <w:multiLevelType w:val="hybridMultilevel"/>
    <w:lvl w:ilvl="0">
      <w:start w:val="1"/>
      <w:numFmt w:val="decimal"/>
      <w:lvlText w:val="%1"/>
      <w:lvlJc w:val="left"/>
      <w:pPr>
        <w:ind w:left="456" w:hanging="315"/>
        <w:jc w:val="left"/>
      </w:pPr>
      <w:rPr>
        <w:rFonts w:hint="default"/>
        <w:lang w:val="ru-RU" w:eastAsia="en-US" w:bidi="ar-SA"/>
      </w:rPr>
    </w:lvl>
    <w:lvl w:ilvl="1">
      <w:start w:val="2"/>
      <w:numFmt w:val="decimal"/>
      <w:lvlText w:val="%1.%2."/>
      <w:lvlJc w:val="left"/>
      <w:pPr>
        <w:ind w:left="456" w:hanging="315"/>
        <w:jc w:val="right"/>
      </w:pPr>
      <w:rPr>
        <w:rFonts w:hint="default"/>
        <w:spacing w:val="0"/>
        <w:w w:val="98"/>
        <w:lang w:val="ru-RU" w:eastAsia="en-US" w:bidi="ar-SA"/>
      </w:rPr>
    </w:lvl>
    <w:lvl w:ilvl="2">
      <w:start w:val="0"/>
      <w:numFmt w:val="bullet"/>
      <w:lvlText w:val="–"/>
      <w:lvlJc w:val="left"/>
      <w:pPr>
        <w:ind w:left="141" w:hanging="156"/>
      </w:pPr>
      <w:rPr>
        <w:rFonts w:hint="default" w:ascii="Times New Roman" w:hAnsi="Times New Roman" w:eastAsia="Times New Roman" w:cs="Times New Roman"/>
        <w:spacing w:val="0"/>
        <w:w w:val="100"/>
        <w:lang w:val="ru-RU" w:eastAsia="en-US" w:bidi="ar-SA"/>
      </w:rPr>
    </w:lvl>
    <w:lvl w:ilvl="3">
      <w:start w:val="0"/>
      <w:numFmt w:val="bullet"/>
      <w:lvlText w:val="•"/>
      <w:lvlJc w:val="left"/>
      <w:pPr>
        <w:ind w:left="2033" w:hanging="156"/>
      </w:pPr>
      <w:rPr>
        <w:rFonts w:hint="default"/>
        <w:lang w:val="ru-RU" w:eastAsia="en-US" w:bidi="ar-SA"/>
      </w:rPr>
    </w:lvl>
    <w:lvl w:ilvl="4">
      <w:start w:val="0"/>
      <w:numFmt w:val="bullet"/>
      <w:lvlText w:val="•"/>
      <w:lvlJc w:val="left"/>
      <w:pPr>
        <w:ind w:left="2820" w:hanging="156"/>
      </w:pPr>
      <w:rPr>
        <w:rFonts w:hint="default"/>
        <w:lang w:val="ru-RU" w:eastAsia="en-US" w:bidi="ar-SA"/>
      </w:rPr>
    </w:lvl>
    <w:lvl w:ilvl="5">
      <w:start w:val="0"/>
      <w:numFmt w:val="bullet"/>
      <w:lvlText w:val="•"/>
      <w:lvlJc w:val="left"/>
      <w:pPr>
        <w:ind w:left="3606" w:hanging="156"/>
      </w:pPr>
      <w:rPr>
        <w:rFonts w:hint="default"/>
        <w:lang w:val="ru-RU" w:eastAsia="en-US" w:bidi="ar-SA"/>
      </w:rPr>
    </w:lvl>
    <w:lvl w:ilvl="6">
      <w:start w:val="0"/>
      <w:numFmt w:val="bullet"/>
      <w:lvlText w:val="•"/>
      <w:lvlJc w:val="left"/>
      <w:pPr>
        <w:ind w:left="4393" w:hanging="156"/>
      </w:pPr>
      <w:rPr>
        <w:rFonts w:hint="default"/>
        <w:lang w:val="ru-RU" w:eastAsia="en-US" w:bidi="ar-SA"/>
      </w:rPr>
    </w:lvl>
    <w:lvl w:ilvl="7">
      <w:start w:val="0"/>
      <w:numFmt w:val="bullet"/>
      <w:lvlText w:val="•"/>
      <w:lvlJc w:val="left"/>
      <w:pPr>
        <w:ind w:left="5180" w:hanging="156"/>
      </w:pPr>
      <w:rPr>
        <w:rFonts w:hint="default"/>
        <w:lang w:val="ru-RU" w:eastAsia="en-US" w:bidi="ar-SA"/>
      </w:rPr>
    </w:lvl>
    <w:lvl w:ilvl="8">
      <w:start w:val="0"/>
      <w:numFmt w:val="bullet"/>
      <w:lvlText w:val="•"/>
      <w:lvlJc w:val="left"/>
      <w:pPr>
        <w:ind w:left="5967" w:hanging="156"/>
      </w:pPr>
      <w:rPr>
        <w:rFonts w:hint="default"/>
        <w:lang w:val="ru-RU" w:eastAsia="en-US" w:bidi="ar-SA"/>
      </w:rPr>
    </w:lvl>
  </w:abstractNum>
  <w:abstractNum w:abstractNumId="218">
    <w:multiLevelType w:val="hybridMultilevel"/>
    <w:lvl w:ilvl="0">
      <w:start w:val="0"/>
      <w:numFmt w:val="bullet"/>
      <w:lvlText w:val="–"/>
      <w:lvlJc w:val="left"/>
      <w:pPr>
        <w:ind w:left="141" w:hanging="150"/>
      </w:pPr>
      <w:rPr>
        <w:rFonts w:hint="default" w:ascii="Times New Roman" w:hAnsi="Times New Roman" w:eastAsia="Times New Roman" w:cs="Times New Roman"/>
        <w:b w:val="0"/>
        <w:bCs w:val="0"/>
        <w:i/>
        <w:iCs/>
        <w:color w:val="231F20"/>
        <w:spacing w:val="0"/>
        <w:w w:val="100"/>
        <w:sz w:val="20"/>
        <w:szCs w:val="20"/>
        <w:lang w:val="ru-RU" w:eastAsia="en-US" w:bidi="ar-SA"/>
      </w:rPr>
    </w:lvl>
    <w:lvl w:ilvl="1">
      <w:start w:val="0"/>
      <w:numFmt w:val="bullet"/>
      <w:lvlText w:val="•"/>
      <w:lvlJc w:val="left"/>
      <w:pPr>
        <w:ind w:left="880" w:hanging="150"/>
      </w:pPr>
      <w:rPr>
        <w:rFonts w:hint="default"/>
        <w:lang w:val="ru-RU" w:eastAsia="en-US" w:bidi="ar-SA"/>
      </w:rPr>
    </w:lvl>
    <w:lvl w:ilvl="2">
      <w:start w:val="0"/>
      <w:numFmt w:val="bullet"/>
      <w:lvlText w:val="•"/>
      <w:lvlJc w:val="left"/>
      <w:pPr>
        <w:ind w:left="1620" w:hanging="150"/>
      </w:pPr>
      <w:rPr>
        <w:rFonts w:hint="default"/>
        <w:lang w:val="ru-RU" w:eastAsia="en-US" w:bidi="ar-SA"/>
      </w:rPr>
    </w:lvl>
    <w:lvl w:ilvl="3">
      <w:start w:val="0"/>
      <w:numFmt w:val="bullet"/>
      <w:lvlText w:val="•"/>
      <w:lvlJc w:val="left"/>
      <w:pPr>
        <w:ind w:left="2360" w:hanging="150"/>
      </w:pPr>
      <w:rPr>
        <w:rFonts w:hint="default"/>
        <w:lang w:val="ru-RU" w:eastAsia="en-US" w:bidi="ar-SA"/>
      </w:rPr>
    </w:lvl>
    <w:lvl w:ilvl="4">
      <w:start w:val="0"/>
      <w:numFmt w:val="bullet"/>
      <w:lvlText w:val="•"/>
      <w:lvlJc w:val="left"/>
      <w:pPr>
        <w:ind w:left="3100" w:hanging="150"/>
      </w:pPr>
      <w:rPr>
        <w:rFonts w:hint="default"/>
        <w:lang w:val="ru-RU" w:eastAsia="en-US" w:bidi="ar-SA"/>
      </w:rPr>
    </w:lvl>
    <w:lvl w:ilvl="5">
      <w:start w:val="0"/>
      <w:numFmt w:val="bullet"/>
      <w:lvlText w:val="•"/>
      <w:lvlJc w:val="left"/>
      <w:pPr>
        <w:ind w:left="3840" w:hanging="150"/>
      </w:pPr>
      <w:rPr>
        <w:rFonts w:hint="default"/>
        <w:lang w:val="ru-RU" w:eastAsia="en-US" w:bidi="ar-SA"/>
      </w:rPr>
    </w:lvl>
    <w:lvl w:ilvl="6">
      <w:start w:val="0"/>
      <w:numFmt w:val="bullet"/>
      <w:lvlText w:val="•"/>
      <w:lvlJc w:val="left"/>
      <w:pPr>
        <w:ind w:left="4580" w:hanging="150"/>
      </w:pPr>
      <w:rPr>
        <w:rFonts w:hint="default"/>
        <w:lang w:val="ru-RU" w:eastAsia="en-US" w:bidi="ar-SA"/>
      </w:rPr>
    </w:lvl>
    <w:lvl w:ilvl="7">
      <w:start w:val="0"/>
      <w:numFmt w:val="bullet"/>
      <w:lvlText w:val="•"/>
      <w:lvlJc w:val="left"/>
      <w:pPr>
        <w:ind w:left="5320" w:hanging="150"/>
      </w:pPr>
      <w:rPr>
        <w:rFonts w:hint="default"/>
        <w:lang w:val="ru-RU" w:eastAsia="en-US" w:bidi="ar-SA"/>
      </w:rPr>
    </w:lvl>
    <w:lvl w:ilvl="8">
      <w:start w:val="0"/>
      <w:numFmt w:val="bullet"/>
      <w:lvlText w:val="•"/>
      <w:lvlJc w:val="left"/>
      <w:pPr>
        <w:ind w:left="6060" w:hanging="150"/>
      </w:pPr>
      <w:rPr>
        <w:rFonts w:hint="default"/>
        <w:lang w:val="ru-RU" w:eastAsia="en-US" w:bidi="ar-SA"/>
      </w:rPr>
    </w:lvl>
  </w:abstractNum>
  <w:abstractNum w:abstractNumId="217">
    <w:multiLevelType w:val="hybridMultilevel"/>
    <w:lvl w:ilvl="0">
      <w:start w:val="0"/>
      <w:numFmt w:val="bullet"/>
      <w:lvlText w:val="–"/>
      <w:lvlJc w:val="left"/>
      <w:pPr>
        <w:ind w:left="141" w:hanging="150"/>
      </w:pPr>
      <w:rPr>
        <w:rFonts w:hint="default" w:ascii="Times New Roman" w:hAnsi="Times New Roman" w:eastAsia="Times New Roman" w:cs="Times New Roman"/>
        <w:b w:val="0"/>
        <w:bCs w:val="0"/>
        <w:i/>
        <w:iCs/>
        <w:color w:val="231F20"/>
        <w:spacing w:val="0"/>
        <w:w w:val="100"/>
        <w:sz w:val="20"/>
        <w:szCs w:val="20"/>
        <w:lang w:val="ru-RU" w:eastAsia="en-US" w:bidi="ar-SA"/>
      </w:rPr>
    </w:lvl>
    <w:lvl w:ilvl="1">
      <w:start w:val="0"/>
      <w:numFmt w:val="bullet"/>
      <w:lvlText w:val="•"/>
      <w:lvlJc w:val="left"/>
      <w:pPr>
        <w:ind w:left="880" w:hanging="150"/>
      </w:pPr>
      <w:rPr>
        <w:rFonts w:hint="default"/>
        <w:lang w:val="ru-RU" w:eastAsia="en-US" w:bidi="ar-SA"/>
      </w:rPr>
    </w:lvl>
    <w:lvl w:ilvl="2">
      <w:start w:val="0"/>
      <w:numFmt w:val="bullet"/>
      <w:lvlText w:val="•"/>
      <w:lvlJc w:val="left"/>
      <w:pPr>
        <w:ind w:left="1620" w:hanging="150"/>
      </w:pPr>
      <w:rPr>
        <w:rFonts w:hint="default"/>
        <w:lang w:val="ru-RU" w:eastAsia="en-US" w:bidi="ar-SA"/>
      </w:rPr>
    </w:lvl>
    <w:lvl w:ilvl="3">
      <w:start w:val="0"/>
      <w:numFmt w:val="bullet"/>
      <w:lvlText w:val="•"/>
      <w:lvlJc w:val="left"/>
      <w:pPr>
        <w:ind w:left="2360" w:hanging="150"/>
      </w:pPr>
      <w:rPr>
        <w:rFonts w:hint="default"/>
        <w:lang w:val="ru-RU" w:eastAsia="en-US" w:bidi="ar-SA"/>
      </w:rPr>
    </w:lvl>
    <w:lvl w:ilvl="4">
      <w:start w:val="0"/>
      <w:numFmt w:val="bullet"/>
      <w:lvlText w:val="•"/>
      <w:lvlJc w:val="left"/>
      <w:pPr>
        <w:ind w:left="3100" w:hanging="150"/>
      </w:pPr>
      <w:rPr>
        <w:rFonts w:hint="default"/>
        <w:lang w:val="ru-RU" w:eastAsia="en-US" w:bidi="ar-SA"/>
      </w:rPr>
    </w:lvl>
    <w:lvl w:ilvl="5">
      <w:start w:val="0"/>
      <w:numFmt w:val="bullet"/>
      <w:lvlText w:val="•"/>
      <w:lvlJc w:val="left"/>
      <w:pPr>
        <w:ind w:left="3840" w:hanging="150"/>
      </w:pPr>
      <w:rPr>
        <w:rFonts w:hint="default"/>
        <w:lang w:val="ru-RU" w:eastAsia="en-US" w:bidi="ar-SA"/>
      </w:rPr>
    </w:lvl>
    <w:lvl w:ilvl="6">
      <w:start w:val="0"/>
      <w:numFmt w:val="bullet"/>
      <w:lvlText w:val="•"/>
      <w:lvlJc w:val="left"/>
      <w:pPr>
        <w:ind w:left="4580" w:hanging="150"/>
      </w:pPr>
      <w:rPr>
        <w:rFonts w:hint="default"/>
        <w:lang w:val="ru-RU" w:eastAsia="en-US" w:bidi="ar-SA"/>
      </w:rPr>
    </w:lvl>
    <w:lvl w:ilvl="7">
      <w:start w:val="0"/>
      <w:numFmt w:val="bullet"/>
      <w:lvlText w:val="•"/>
      <w:lvlJc w:val="left"/>
      <w:pPr>
        <w:ind w:left="5320" w:hanging="150"/>
      </w:pPr>
      <w:rPr>
        <w:rFonts w:hint="default"/>
        <w:lang w:val="ru-RU" w:eastAsia="en-US" w:bidi="ar-SA"/>
      </w:rPr>
    </w:lvl>
    <w:lvl w:ilvl="8">
      <w:start w:val="0"/>
      <w:numFmt w:val="bullet"/>
      <w:lvlText w:val="•"/>
      <w:lvlJc w:val="left"/>
      <w:pPr>
        <w:ind w:left="6060" w:hanging="150"/>
      </w:pPr>
      <w:rPr>
        <w:rFonts w:hint="default"/>
        <w:lang w:val="ru-RU" w:eastAsia="en-US" w:bidi="ar-SA"/>
      </w:rPr>
    </w:lvl>
  </w:abstractNum>
  <w:abstractNum w:abstractNumId="216">
    <w:multiLevelType w:val="hybridMultilevel"/>
    <w:lvl w:ilvl="0">
      <w:start w:val="0"/>
      <w:numFmt w:val="bullet"/>
      <w:lvlText w:val="–"/>
      <w:lvlJc w:val="left"/>
      <w:pPr>
        <w:ind w:left="425" w:hanging="150"/>
      </w:pPr>
      <w:rPr>
        <w:rFonts w:hint="default" w:ascii="Times New Roman" w:hAnsi="Times New Roman" w:eastAsia="Times New Roman" w:cs="Times New Roman"/>
        <w:b w:val="0"/>
        <w:bCs w:val="0"/>
        <w:i/>
        <w:iCs/>
        <w:color w:val="231F20"/>
        <w:spacing w:val="0"/>
        <w:w w:val="100"/>
        <w:sz w:val="20"/>
        <w:szCs w:val="20"/>
        <w:lang w:val="ru-RU" w:eastAsia="en-US" w:bidi="ar-SA"/>
      </w:rPr>
    </w:lvl>
    <w:lvl w:ilvl="1">
      <w:start w:val="0"/>
      <w:numFmt w:val="bullet"/>
      <w:lvlText w:val="•"/>
      <w:lvlJc w:val="left"/>
      <w:pPr>
        <w:ind w:left="1132" w:hanging="150"/>
      </w:pPr>
      <w:rPr>
        <w:rFonts w:hint="default"/>
        <w:lang w:val="ru-RU" w:eastAsia="en-US" w:bidi="ar-SA"/>
      </w:rPr>
    </w:lvl>
    <w:lvl w:ilvl="2">
      <w:start w:val="0"/>
      <w:numFmt w:val="bullet"/>
      <w:lvlText w:val="•"/>
      <w:lvlJc w:val="left"/>
      <w:pPr>
        <w:ind w:left="1844" w:hanging="150"/>
      </w:pPr>
      <w:rPr>
        <w:rFonts w:hint="default"/>
        <w:lang w:val="ru-RU" w:eastAsia="en-US" w:bidi="ar-SA"/>
      </w:rPr>
    </w:lvl>
    <w:lvl w:ilvl="3">
      <w:start w:val="0"/>
      <w:numFmt w:val="bullet"/>
      <w:lvlText w:val="•"/>
      <w:lvlJc w:val="left"/>
      <w:pPr>
        <w:ind w:left="2556" w:hanging="150"/>
      </w:pPr>
      <w:rPr>
        <w:rFonts w:hint="default"/>
        <w:lang w:val="ru-RU" w:eastAsia="en-US" w:bidi="ar-SA"/>
      </w:rPr>
    </w:lvl>
    <w:lvl w:ilvl="4">
      <w:start w:val="0"/>
      <w:numFmt w:val="bullet"/>
      <w:lvlText w:val="•"/>
      <w:lvlJc w:val="left"/>
      <w:pPr>
        <w:ind w:left="3268" w:hanging="150"/>
      </w:pPr>
      <w:rPr>
        <w:rFonts w:hint="default"/>
        <w:lang w:val="ru-RU" w:eastAsia="en-US" w:bidi="ar-SA"/>
      </w:rPr>
    </w:lvl>
    <w:lvl w:ilvl="5">
      <w:start w:val="0"/>
      <w:numFmt w:val="bullet"/>
      <w:lvlText w:val="•"/>
      <w:lvlJc w:val="left"/>
      <w:pPr>
        <w:ind w:left="3980" w:hanging="150"/>
      </w:pPr>
      <w:rPr>
        <w:rFonts w:hint="default"/>
        <w:lang w:val="ru-RU" w:eastAsia="en-US" w:bidi="ar-SA"/>
      </w:rPr>
    </w:lvl>
    <w:lvl w:ilvl="6">
      <w:start w:val="0"/>
      <w:numFmt w:val="bullet"/>
      <w:lvlText w:val="•"/>
      <w:lvlJc w:val="left"/>
      <w:pPr>
        <w:ind w:left="4692" w:hanging="150"/>
      </w:pPr>
      <w:rPr>
        <w:rFonts w:hint="default"/>
        <w:lang w:val="ru-RU" w:eastAsia="en-US" w:bidi="ar-SA"/>
      </w:rPr>
    </w:lvl>
    <w:lvl w:ilvl="7">
      <w:start w:val="0"/>
      <w:numFmt w:val="bullet"/>
      <w:lvlText w:val="•"/>
      <w:lvlJc w:val="left"/>
      <w:pPr>
        <w:ind w:left="5404" w:hanging="150"/>
      </w:pPr>
      <w:rPr>
        <w:rFonts w:hint="default"/>
        <w:lang w:val="ru-RU" w:eastAsia="en-US" w:bidi="ar-SA"/>
      </w:rPr>
    </w:lvl>
    <w:lvl w:ilvl="8">
      <w:start w:val="0"/>
      <w:numFmt w:val="bullet"/>
      <w:lvlText w:val="•"/>
      <w:lvlJc w:val="left"/>
      <w:pPr>
        <w:ind w:left="6116" w:hanging="150"/>
      </w:pPr>
      <w:rPr>
        <w:rFonts w:hint="default"/>
        <w:lang w:val="ru-RU" w:eastAsia="en-US" w:bidi="ar-SA"/>
      </w:rPr>
    </w:lvl>
  </w:abstractNum>
  <w:abstractNum w:abstractNumId="215">
    <w:multiLevelType w:val="hybridMultilevel"/>
    <w:lvl w:ilvl="0">
      <w:start w:val="0"/>
      <w:numFmt w:val="bullet"/>
      <w:lvlText w:val="–"/>
      <w:lvlJc w:val="left"/>
      <w:pPr>
        <w:ind w:left="141" w:hanging="150"/>
      </w:pPr>
      <w:rPr>
        <w:rFonts w:hint="default" w:ascii="Times New Roman" w:hAnsi="Times New Roman" w:eastAsia="Times New Roman" w:cs="Times New Roman"/>
        <w:b w:val="0"/>
        <w:bCs w:val="0"/>
        <w:i/>
        <w:iCs/>
        <w:color w:val="231F20"/>
        <w:spacing w:val="0"/>
        <w:w w:val="100"/>
        <w:sz w:val="20"/>
        <w:szCs w:val="20"/>
        <w:lang w:val="ru-RU" w:eastAsia="en-US" w:bidi="ar-SA"/>
      </w:rPr>
    </w:lvl>
    <w:lvl w:ilvl="1">
      <w:start w:val="0"/>
      <w:numFmt w:val="bullet"/>
      <w:lvlText w:val="•"/>
      <w:lvlJc w:val="left"/>
      <w:pPr>
        <w:ind w:left="880" w:hanging="150"/>
      </w:pPr>
      <w:rPr>
        <w:rFonts w:hint="default"/>
        <w:lang w:val="ru-RU" w:eastAsia="en-US" w:bidi="ar-SA"/>
      </w:rPr>
    </w:lvl>
    <w:lvl w:ilvl="2">
      <w:start w:val="0"/>
      <w:numFmt w:val="bullet"/>
      <w:lvlText w:val="•"/>
      <w:lvlJc w:val="left"/>
      <w:pPr>
        <w:ind w:left="1620" w:hanging="150"/>
      </w:pPr>
      <w:rPr>
        <w:rFonts w:hint="default"/>
        <w:lang w:val="ru-RU" w:eastAsia="en-US" w:bidi="ar-SA"/>
      </w:rPr>
    </w:lvl>
    <w:lvl w:ilvl="3">
      <w:start w:val="0"/>
      <w:numFmt w:val="bullet"/>
      <w:lvlText w:val="•"/>
      <w:lvlJc w:val="left"/>
      <w:pPr>
        <w:ind w:left="2360" w:hanging="150"/>
      </w:pPr>
      <w:rPr>
        <w:rFonts w:hint="default"/>
        <w:lang w:val="ru-RU" w:eastAsia="en-US" w:bidi="ar-SA"/>
      </w:rPr>
    </w:lvl>
    <w:lvl w:ilvl="4">
      <w:start w:val="0"/>
      <w:numFmt w:val="bullet"/>
      <w:lvlText w:val="•"/>
      <w:lvlJc w:val="left"/>
      <w:pPr>
        <w:ind w:left="3100" w:hanging="150"/>
      </w:pPr>
      <w:rPr>
        <w:rFonts w:hint="default"/>
        <w:lang w:val="ru-RU" w:eastAsia="en-US" w:bidi="ar-SA"/>
      </w:rPr>
    </w:lvl>
    <w:lvl w:ilvl="5">
      <w:start w:val="0"/>
      <w:numFmt w:val="bullet"/>
      <w:lvlText w:val="•"/>
      <w:lvlJc w:val="left"/>
      <w:pPr>
        <w:ind w:left="3840" w:hanging="150"/>
      </w:pPr>
      <w:rPr>
        <w:rFonts w:hint="default"/>
        <w:lang w:val="ru-RU" w:eastAsia="en-US" w:bidi="ar-SA"/>
      </w:rPr>
    </w:lvl>
    <w:lvl w:ilvl="6">
      <w:start w:val="0"/>
      <w:numFmt w:val="bullet"/>
      <w:lvlText w:val="•"/>
      <w:lvlJc w:val="left"/>
      <w:pPr>
        <w:ind w:left="4580" w:hanging="150"/>
      </w:pPr>
      <w:rPr>
        <w:rFonts w:hint="default"/>
        <w:lang w:val="ru-RU" w:eastAsia="en-US" w:bidi="ar-SA"/>
      </w:rPr>
    </w:lvl>
    <w:lvl w:ilvl="7">
      <w:start w:val="0"/>
      <w:numFmt w:val="bullet"/>
      <w:lvlText w:val="•"/>
      <w:lvlJc w:val="left"/>
      <w:pPr>
        <w:ind w:left="5320" w:hanging="150"/>
      </w:pPr>
      <w:rPr>
        <w:rFonts w:hint="default"/>
        <w:lang w:val="ru-RU" w:eastAsia="en-US" w:bidi="ar-SA"/>
      </w:rPr>
    </w:lvl>
    <w:lvl w:ilvl="8">
      <w:start w:val="0"/>
      <w:numFmt w:val="bullet"/>
      <w:lvlText w:val="•"/>
      <w:lvlJc w:val="left"/>
      <w:pPr>
        <w:ind w:left="6060" w:hanging="150"/>
      </w:pPr>
      <w:rPr>
        <w:rFonts w:hint="default"/>
        <w:lang w:val="ru-RU" w:eastAsia="en-US" w:bidi="ar-SA"/>
      </w:rPr>
    </w:lvl>
  </w:abstractNum>
  <w:abstractNum w:abstractNumId="214">
    <w:multiLevelType w:val="hybridMultilevel"/>
    <w:lvl w:ilvl="0">
      <w:start w:val="0"/>
      <w:numFmt w:val="bullet"/>
      <w:lvlText w:val="–"/>
      <w:lvlJc w:val="left"/>
      <w:pPr>
        <w:ind w:left="141" w:hanging="150"/>
      </w:pPr>
      <w:rPr>
        <w:rFonts w:hint="default" w:ascii="Times New Roman" w:hAnsi="Times New Roman" w:eastAsia="Times New Roman" w:cs="Times New Roman"/>
        <w:b w:val="0"/>
        <w:bCs w:val="0"/>
        <w:i/>
        <w:iCs/>
        <w:color w:val="231F20"/>
        <w:spacing w:val="0"/>
        <w:w w:val="100"/>
        <w:sz w:val="20"/>
        <w:szCs w:val="20"/>
        <w:lang w:val="ru-RU" w:eastAsia="en-US" w:bidi="ar-SA"/>
      </w:rPr>
    </w:lvl>
    <w:lvl w:ilvl="1">
      <w:start w:val="0"/>
      <w:numFmt w:val="bullet"/>
      <w:lvlText w:val="•"/>
      <w:lvlJc w:val="left"/>
      <w:pPr>
        <w:ind w:left="880" w:hanging="150"/>
      </w:pPr>
      <w:rPr>
        <w:rFonts w:hint="default"/>
        <w:lang w:val="ru-RU" w:eastAsia="en-US" w:bidi="ar-SA"/>
      </w:rPr>
    </w:lvl>
    <w:lvl w:ilvl="2">
      <w:start w:val="0"/>
      <w:numFmt w:val="bullet"/>
      <w:lvlText w:val="•"/>
      <w:lvlJc w:val="left"/>
      <w:pPr>
        <w:ind w:left="1620" w:hanging="150"/>
      </w:pPr>
      <w:rPr>
        <w:rFonts w:hint="default"/>
        <w:lang w:val="ru-RU" w:eastAsia="en-US" w:bidi="ar-SA"/>
      </w:rPr>
    </w:lvl>
    <w:lvl w:ilvl="3">
      <w:start w:val="0"/>
      <w:numFmt w:val="bullet"/>
      <w:lvlText w:val="•"/>
      <w:lvlJc w:val="left"/>
      <w:pPr>
        <w:ind w:left="2360" w:hanging="150"/>
      </w:pPr>
      <w:rPr>
        <w:rFonts w:hint="default"/>
        <w:lang w:val="ru-RU" w:eastAsia="en-US" w:bidi="ar-SA"/>
      </w:rPr>
    </w:lvl>
    <w:lvl w:ilvl="4">
      <w:start w:val="0"/>
      <w:numFmt w:val="bullet"/>
      <w:lvlText w:val="•"/>
      <w:lvlJc w:val="left"/>
      <w:pPr>
        <w:ind w:left="3100" w:hanging="150"/>
      </w:pPr>
      <w:rPr>
        <w:rFonts w:hint="default"/>
        <w:lang w:val="ru-RU" w:eastAsia="en-US" w:bidi="ar-SA"/>
      </w:rPr>
    </w:lvl>
    <w:lvl w:ilvl="5">
      <w:start w:val="0"/>
      <w:numFmt w:val="bullet"/>
      <w:lvlText w:val="•"/>
      <w:lvlJc w:val="left"/>
      <w:pPr>
        <w:ind w:left="3840" w:hanging="150"/>
      </w:pPr>
      <w:rPr>
        <w:rFonts w:hint="default"/>
        <w:lang w:val="ru-RU" w:eastAsia="en-US" w:bidi="ar-SA"/>
      </w:rPr>
    </w:lvl>
    <w:lvl w:ilvl="6">
      <w:start w:val="0"/>
      <w:numFmt w:val="bullet"/>
      <w:lvlText w:val="•"/>
      <w:lvlJc w:val="left"/>
      <w:pPr>
        <w:ind w:left="4580" w:hanging="150"/>
      </w:pPr>
      <w:rPr>
        <w:rFonts w:hint="default"/>
        <w:lang w:val="ru-RU" w:eastAsia="en-US" w:bidi="ar-SA"/>
      </w:rPr>
    </w:lvl>
    <w:lvl w:ilvl="7">
      <w:start w:val="0"/>
      <w:numFmt w:val="bullet"/>
      <w:lvlText w:val="•"/>
      <w:lvlJc w:val="left"/>
      <w:pPr>
        <w:ind w:left="5320" w:hanging="150"/>
      </w:pPr>
      <w:rPr>
        <w:rFonts w:hint="default"/>
        <w:lang w:val="ru-RU" w:eastAsia="en-US" w:bidi="ar-SA"/>
      </w:rPr>
    </w:lvl>
    <w:lvl w:ilvl="8">
      <w:start w:val="0"/>
      <w:numFmt w:val="bullet"/>
      <w:lvlText w:val="•"/>
      <w:lvlJc w:val="left"/>
      <w:pPr>
        <w:ind w:left="6060" w:hanging="150"/>
      </w:pPr>
      <w:rPr>
        <w:rFonts w:hint="default"/>
        <w:lang w:val="ru-RU" w:eastAsia="en-US" w:bidi="ar-SA"/>
      </w:rPr>
    </w:lvl>
  </w:abstractNum>
  <w:abstractNum w:abstractNumId="213">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bCs/>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12">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11">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10">
    <w:multiLevelType w:val="hybridMultilevel"/>
    <w:lvl w:ilvl="0">
      <w:start w:val="1"/>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106"/>
        <w:sz w:val="18"/>
        <w:szCs w:val="18"/>
        <w:lang w:val="ru-RU" w:eastAsia="en-US" w:bidi="ar-SA"/>
      </w:rPr>
    </w:lvl>
    <w:lvl w:ilvl="2">
      <w:start w:val="0"/>
      <w:numFmt w:val="bullet"/>
      <w:lvlText w:val="•"/>
      <w:lvlJc w:val="left"/>
      <w:pPr>
        <w:ind w:left="1876" w:hanging="315"/>
      </w:pPr>
      <w:rPr>
        <w:rFonts w:hint="default"/>
        <w:lang w:val="ru-RU" w:eastAsia="en-US" w:bidi="ar-SA"/>
      </w:rPr>
    </w:lvl>
    <w:lvl w:ilvl="3">
      <w:start w:val="0"/>
      <w:numFmt w:val="bullet"/>
      <w:lvlText w:val="•"/>
      <w:lvlJc w:val="left"/>
      <w:pPr>
        <w:ind w:left="2584" w:hanging="315"/>
      </w:pPr>
      <w:rPr>
        <w:rFonts w:hint="default"/>
        <w:lang w:val="ru-RU" w:eastAsia="en-US" w:bidi="ar-SA"/>
      </w:rPr>
    </w:lvl>
    <w:lvl w:ilvl="4">
      <w:start w:val="0"/>
      <w:numFmt w:val="bullet"/>
      <w:lvlText w:val="•"/>
      <w:lvlJc w:val="left"/>
      <w:pPr>
        <w:ind w:left="3292" w:hanging="315"/>
      </w:pPr>
      <w:rPr>
        <w:rFonts w:hint="default"/>
        <w:lang w:val="ru-RU" w:eastAsia="en-US" w:bidi="ar-SA"/>
      </w:rPr>
    </w:lvl>
    <w:lvl w:ilvl="5">
      <w:start w:val="0"/>
      <w:numFmt w:val="bullet"/>
      <w:lvlText w:val="•"/>
      <w:lvlJc w:val="left"/>
      <w:pPr>
        <w:ind w:left="4000" w:hanging="315"/>
      </w:pPr>
      <w:rPr>
        <w:rFonts w:hint="default"/>
        <w:lang w:val="ru-RU" w:eastAsia="en-US" w:bidi="ar-SA"/>
      </w:rPr>
    </w:lvl>
    <w:lvl w:ilvl="6">
      <w:start w:val="0"/>
      <w:numFmt w:val="bullet"/>
      <w:lvlText w:val="•"/>
      <w:lvlJc w:val="left"/>
      <w:pPr>
        <w:ind w:left="4708" w:hanging="315"/>
      </w:pPr>
      <w:rPr>
        <w:rFonts w:hint="default"/>
        <w:lang w:val="ru-RU" w:eastAsia="en-US" w:bidi="ar-SA"/>
      </w:rPr>
    </w:lvl>
    <w:lvl w:ilvl="7">
      <w:start w:val="0"/>
      <w:numFmt w:val="bullet"/>
      <w:lvlText w:val="•"/>
      <w:lvlJc w:val="left"/>
      <w:pPr>
        <w:ind w:left="5416" w:hanging="315"/>
      </w:pPr>
      <w:rPr>
        <w:rFonts w:hint="default"/>
        <w:lang w:val="ru-RU" w:eastAsia="en-US" w:bidi="ar-SA"/>
      </w:rPr>
    </w:lvl>
    <w:lvl w:ilvl="8">
      <w:start w:val="0"/>
      <w:numFmt w:val="bullet"/>
      <w:lvlText w:val="•"/>
      <w:lvlJc w:val="left"/>
      <w:pPr>
        <w:ind w:left="6124" w:hanging="315"/>
      </w:pPr>
      <w:rPr>
        <w:rFonts w:hint="default"/>
        <w:lang w:val="ru-RU" w:eastAsia="en-US" w:bidi="ar-SA"/>
      </w:rPr>
    </w:lvl>
  </w:abstractNum>
  <w:abstractNum w:abstractNumId="209">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08">
    <w:multiLevelType w:val="hybridMultilevel"/>
    <w:lvl w:ilvl="0">
      <w:start w:val="1"/>
      <w:numFmt w:val="decimal"/>
      <w:lvlText w:val="%1)"/>
      <w:lvlJc w:val="left"/>
      <w:pPr>
        <w:ind w:left="425" w:hanging="237"/>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37"/>
      </w:pPr>
      <w:rPr>
        <w:rFonts w:hint="default"/>
        <w:lang w:val="ru-RU" w:eastAsia="en-US" w:bidi="ar-SA"/>
      </w:rPr>
    </w:lvl>
    <w:lvl w:ilvl="2">
      <w:start w:val="0"/>
      <w:numFmt w:val="bullet"/>
      <w:lvlText w:val="•"/>
      <w:lvlJc w:val="left"/>
      <w:pPr>
        <w:ind w:left="1844" w:hanging="237"/>
      </w:pPr>
      <w:rPr>
        <w:rFonts w:hint="default"/>
        <w:lang w:val="ru-RU" w:eastAsia="en-US" w:bidi="ar-SA"/>
      </w:rPr>
    </w:lvl>
    <w:lvl w:ilvl="3">
      <w:start w:val="0"/>
      <w:numFmt w:val="bullet"/>
      <w:lvlText w:val="•"/>
      <w:lvlJc w:val="left"/>
      <w:pPr>
        <w:ind w:left="2556" w:hanging="237"/>
      </w:pPr>
      <w:rPr>
        <w:rFonts w:hint="default"/>
        <w:lang w:val="ru-RU" w:eastAsia="en-US" w:bidi="ar-SA"/>
      </w:rPr>
    </w:lvl>
    <w:lvl w:ilvl="4">
      <w:start w:val="0"/>
      <w:numFmt w:val="bullet"/>
      <w:lvlText w:val="•"/>
      <w:lvlJc w:val="left"/>
      <w:pPr>
        <w:ind w:left="3268" w:hanging="237"/>
      </w:pPr>
      <w:rPr>
        <w:rFonts w:hint="default"/>
        <w:lang w:val="ru-RU" w:eastAsia="en-US" w:bidi="ar-SA"/>
      </w:rPr>
    </w:lvl>
    <w:lvl w:ilvl="5">
      <w:start w:val="0"/>
      <w:numFmt w:val="bullet"/>
      <w:lvlText w:val="•"/>
      <w:lvlJc w:val="left"/>
      <w:pPr>
        <w:ind w:left="3980" w:hanging="237"/>
      </w:pPr>
      <w:rPr>
        <w:rFonts w:hint="default"/>
        <w:lang w:val="ru-RU" w:eastAsia="en-US" w:bidi="ar-SA"/>
      </w:rPr>
    </w:lvl>
    <w:lvl w:ilvl="6">
      <w:start w:val="0"/>
      <w:numFmt w:val="bullet"/>
      <w:lvlText w:val="•"/>
      <w:lvlJc w:val="left"/>
      <w:pPr>
        <w:ind w:left="4692" w:hanging="237"/>
      </w:pPr>
      <w:rPr>
        <w:rFonts w:hint="default"/>
        <w:lang w:val="ru-RU" w:eastAsia="en-US" w:bidi="ar-SA"/>
      </w:rPr>
    </w:lvl>
    <w:lvl w:ilvl="7">
      <w:start w:val="0"/>
      <w:numFmt w:val="bullet"/>
      <w:lvlText w:val="•"/>
      <w:lvlJc w:val="left"/>
      <w:pPr>
        <w:ind w:left="5404" w:hanging="237"/>
      </w:pPr>
      <w:rPr>
        <w:rFonts w:hint="default"/>
        <w:lang w:val="ru-RU" w:eastAsia="en-US" w:bidi="ar-SA"/>
      </w:rPr>
    </w:lvl>
    <w:lvl w:ilvl="8">
      <w:start w:val="0"/>
      <w:numFmt w:val="bullet"/>
      <w:lvlText w:val="•"/>
      <w:lvlJc w:val="left"/>
      <w:pPr>
        <w:ind w:left="6116" w:hanging="237"/>
      </w:pPr>
      <w:rPr>
        <w:rFonts w:hint="default"/>
        <w:lang w:val="ru-RU" w:eastAsia="en-US" w:bidi="ar-SA"/>
      </w:rPr>
    </w:lvl>
  </w:abstractNum>
  <w:abstractNum w:abstractNumId="207">
    <w:multiLevelType w:val="hybridMultilevel"/>
    <w:lvl w:ilvl="0">
      <w:start w:val="0"/>
      <w:numFmt w:val="bullet"/>
      <w:lvlText w:val="–"/>
      <w:lvlJc w:val="left"/>
      <w:pPr>
        <w:ind w:left="141" w:hanging="148"/>
      </w:pPr>
      <w:rPr>
        <w:rFonts w:hint="default" w:ascii="Times New Roman" w:hAnsi="Times New Roman" w:eastAsia="Times New Roman" w:cs="Times New Roman"/>
        <w:b w:val="0"/>
        <w:bCs w:val="0"/>
        <w:i/>
        <w:iCs/>
        <w:spacing w:val="0"/>
        <w:w w:val="100"/>
        <w:sz w:val="20"/>
        <w:szCs w:val="20"/>
        <w:lang w:val="ru-RU" w:eastAsia="en-US" w:bidi="ar-SA"/>
      </w:rPr>
    </w:lvl>
    <w:lvl w:ilvl="1">
      <w:start w:val="0"/>
      <w:numFmt w:val="bullet"/>
      <w:lvlText w:val="•"/>
      <w:lvlJc w:val="left"/>
      <w:pPr>
        <w:ind w:left="880" w:hanging="148"/>
      </w:pPr>
      <w:rPr>
        <w:rFonts w:hint="default"/>
        <w:lang w:val="ru-RU" w:eastAsia="en-US" w:bidi="ar-SA"/>
      </w:rPr>
    </w:lvl>
    <w:lvl w:ilvl="2">
      <w:start w:val="0"/>
      <w:numFmt w:val="bullet"/>
      <w:lvlText w:val="•"/>
      <w:lvlJc w:val="left"/>
      <w:pPr>
        <w:ind w:left="1620" w:hanging="148"/>
      </w:pPr>
      <w:rPr>
        <w:rFonts w:hint="default"/>
        <w:lang w:val="ru-RU" w:eastAsia="en-US" w:bidi="ar-SA"/>
      </w:rPr>
    </w:lvl>
    <w:lvl w:ilvl="3">
      <w:start w:val="0"/>
      <w:numFmt w:val="bullet"/>
      <w:lvlText w:val="•"/>
      <w:lvlJc w:val="left"/>
      <w:pPr>
        <w:ind w:left="2360" w:hanging="148"/>
      </w:pPr>
      <w:rPr>
        <w:rFonts w:hint="default"/>
        <w:lang w:val="ru-RU" w:eastAsia="en-US" w:bidi="ar-SA"/>
      </w:rPr>
    </w:lvl>
    <w:lvl w:ilvl="4">
      <w:start w:val="0"/>
      <w:numFmt w:val="bullet"/>
      <w:lvlText w:val="•"/>
      <w:lvlJc w:val="left"/>
      <w:pPr>
        <w:ind w:left="3100" w:hanging="148"/>
      </w:pPr>
      <w:rPr>
        <w:rFonts w:hint="default"/>
        <w:lang w:val="ru-RU" w:eastAsia="en-US" w:bidi="ar-SA"/>
      </w:rPr>
    </w:lvl>
    <w:lvl w:ilvl="5">
      <w:start w:val="0"/>
      <w:numFmt w:val="bullet"/>
      <w:lvlText w:val="•"/>
      <w:lvlJc w:val="left"/>
      <w:pPr>
        <w:ind w:left="3840" w:hanging="148"/>
      </w:pPr>
      <w:rPr>
        <w:rFonts w:hint="default"/>
        <w:lang w:val="ru-RU" w:eastAsia="en-US" w:bidi="ar-SA"/>
      </w:rPr>
    </w:lvl>
    <w:lvl w:ilvl="6">
      <w:start w:val="0"/>
      <w:numFmt w:val="bullet"/>
      <w:lvlText w:val="•"/>
      <w:lvlJc w:val="left"/>
      <w:pPr>
        <w:ind w:left="4580" w:hanging="148"/>
      </w:pPr>
      <w:rPr>
        <w:rFonts w:hint="default"/>
        <w:lang w:val="ru-RU" w:eastAsia="en-US" w:bidi="ar-SA"/>
      </w:rPr>
    </w:lvl>
    <w:lvl w:ilvl="7">
      <w:start w:val="0"/>
      <w:numFmt w:val="bullet"/>
      <w:lvlText w:val="•"/>
      <w:lvlJc w:val="left"/>
      <w:pPr>
        <w:ind w:left="5320" w:hanging="148"/>
      </w:pPr>
      <w:rPr>
        <w:rFonts w:hint="default"/>
        <w:lang w:val="ru-RU" w:eastAsia="en-US" w:bidi="ar-SA"/>
      </w:rPr>
    </w:lvl>
    <w:lvl w:ilvl="8">
      <w:start w:val="0"/>
      <w:numFmt w:val="bullet"/>
      <w:lvlText w:val="•"/>
      <w:lvlJc w:val="left"/>
      <w:pPr>
        <w:ind w:left="6060" w:hanging="148"/>
      </w:pPr>
      <w:rPr>
        <w:rFonts w:hint="default"/>
        <w:lang w:val="ru-RU" w:eastAsia="en-US" w:bidi="ar-SA"/>
      </w:rPr>
    </w:lvl>
  </w:abstractNum>
  <w:abstractNum w:abstractNumId="206">
    <w:multiLevelType w:val="hybridMultilevel"/>
    <w:lvl w:ilvl="0">
      <w:start w:val="1"/>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106"/>
        <w:sz w:val="18"/>
        <w:szCs w:val="18"/>
        <w:lang w:val="ru-RU" w:eastAsia="en-US" w:bidi="ar-SA"/>
      </w:rPr>
    </w:lvl>
    <w:lvl w:ilvl="2">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3">
      <w:start w:val="0"/>
      <w:numFmt w:val="bullet"/>
      <w:lvlText w:val="•"/>
      <w:lvlJc w:val="left"/>
      <w:pPr>
        <w:ind w:left="2033" w:hanging="284"/>
      </w:pPr>
      <w:rPr>
        <w:rFonts w:hint="default"/>
        <w:lang w:val="ru-RU" w:eastAsia="en-US" w:bidi="ar-SA"/>
      </w:rPr>
    </w:lvl>
    <w:lvl w:ilvl="4">
      <w:start w:val="0"/>
      <w:numFmt w:val="bullet"/>
      <w:lvlText w:val="•"/>
      <w:lvlJc w:val="left"/>
      <w:pPr>
        <w:ind w:left="2820" w:hanging="284"/>
      </w:pPr>
      <w:rPr>
        <w:rFonts w:hint="default"/>
        <w:lang w:val="ru-RU" w:eastAsia="en-US" w:bidi="ar-SA"/>
      </w:rPr>
    </w:lvl>
    <w:lvl w:ilvl="5">
      <w:start w:val="0"/>
      <w:numFmt w:val="bullet"/>
      <w:lvlText w:val="•"/>
      <w:lvlJc w:val="left"/>
      <w:pPr>
        <w:ind w:left="3606" w:hanging="284"/>
      </w:pPr>
      <w:rPr>
        <w:rFonts w:hint="default"/>
        <w:lang w:val="ru-RU" w:eastAsia="en-US" w:bidi="ar-SA"/>
      </w:rPr>
    </w:lvl>
    <w:lvl w:ilvl="6">
      <w:start w:val="0"/>
      <w:numFmt w:val="bullet"/>
      <w:lvlText w:val="•"/>
      <w:lvlJc w:val="left"/>
      <w:pPr>
        <w:ind w:left="4393" w:hanging="284"/>
      </w:pPr>
      <w:rPr>
        <w:rFonts w:hint="default"/>
        <w:lang w:val="ru-RU" w:eastAsia="en-US" w:bidi="ar-SA"/>
      </w:rPr>
    </w:lvl>
    <w:lvl w:ilvl="7">
      <w:start w:val="0"/>
      <w:numFmt w:val="bullet"/>
      <w:lvlText w:val="•"/>
      <w:lvlJc w:val="left"/>
      <w:pPr>
        <w:ind w:left="5180" w:hanging="284"/>
      </w:pPr>
      <w:rPr>
        <w:rFonts w:hint="default"/>
        <w:lang w:val="ru-RU" w:eastAsia="en-US" w:bidi="ar-SA"/>
      </w:rPr>
    </w:lvl>
    <w:lvl w:ilvl="8">
      <w:start w:val="0"/>
      <w:numFmt w:val="bullet"/>
      <w:lvlText w:val="•"/>
      <w:lvlJc w:val="left"/>
      <w:pPr>
        <w:ind w:left="5967" w:hanging="284"/>
      </w:pPr>
      <w:rPr>
        <w:rFonts w:hint="default"/>
        <w:lang w:val="ru-RU" w:eastAsia="en-US" w:bidi="ar-SA"/>
      </w:rPr>
    </w:lvl>
  </w:abstractNum>
  <w:abstractNum w:abstractNumId="205">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04">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41" w:hanging="168"/>
      </w:pPr>
      <w:rPr>
        <w:rFonts w:hint="default" w:ascii="Times New Roman" w:hAnsi="Times New Roman" w:eastAsia="Times New Roman" w:cs="Times New Roman"/>
        <w:b w:val="0"/>
        <w:bCs w:val="0"/>
        <w:i/>
        <w:iCs/>
        <w:spacing w:val="0"/>
        <w:w w:val="100"/>
        <w:sz w:val="20"/>
        <w:szCs w:val="20"/>
        <w:lang w:val="ru-RU" w:eastAsia="en-US" w:bidi="ar-SA"/>
      </w:rPr>
    </w:lvl>
    <w:lvl w:ilvl="2">
      <w:start w:val="0"/>
      <w:numFmt w:val="bullet"/>
      <w:lvlText w:val="•"/>
      <w:lvlJc w:val="left"/>
      <w:pPr>
        <w:ind w:left="1211" w:hanging="168"/>
      </w:pPr>
      <w:rPr>
        <w:rFonts w:hint="default"/>
        <w:lang w:val="ru-RU" w:eastAsia="en-US" w:bidi="ar-SA"/>
      </w:rPr>
    </w:lvl>
    <w:lvl w:ilvl="3">
      <w:start w:val="0"/>
      <w:numFmt w:val="bullet"/>
      <w:lvlText w:val="•"/>
      <w:lvlJc w:val="left"/>
      <w:pPr>
        <w:ind w:left="2002" w:hanging="168"/>
      </w:pPr>
      <w:rPr>
        <w:rFonts w:hint="default"/>
        <w:lang w:val="ru-RU" w:eastAsia="en-US" w:bidi="ar-SA"/>
      </w:rPr>
    </w:lvl>
    <w:lvl w:ilvl="4">
      <w:start w:val="0"/>
      <w:numFmt w:val="bullet"/>
      <w:lvlText w:val="•"/>
      <w:lvlJc w:val="left"/>
      <w:pPr>
        <w:ind w:left="2793" w:hanging="168"/>
      </w:pPr>
      <w:rPr>
        <w:rFonts w:hint="default"/>
        <w:lang w:val="ru-RU" w:eastAsia="en-US" w:bidi="ar-SA"/>
      </w:rPr>
    </w:lvl>
    <w:lvl w:ilvl="5">
      <w:start w:val="0"/>
      <w:numFmt w:val="bullet"/>
      <w:lvlText w:val="•"/>
      <w:lvlJc w:val="left"/>
      <w:pPr>
        <w:ind w:left="3584" w:hanging="168"/>
      </w:pPr>
      <w:rPr>
        <w:rFonts w:hint="default"/>
        <w:lang w:val="ru-RU" w:eastAsia="en-US" w:bidi="ar-SA"/>
      </w:rPr>
    </w:lvl>
    <w:lvl w:ilvl="6">
      <w:start w:val="0"/>
      <w:numFmt w:val="bullet"/>
      <w:lvlText w:val="•"/>
      <w:lvlJc w:val="left"/>
      <w:pPr>
        <w:ind w:left="4375" w:hanging="168"/>
      </w:pPr>
      <w:rPr>
        <w:rFonts w:hint="default"/>
        <w:lang w:val="ru-RU" w:eastAsia="en-US" w:bidi="ar-SA"/>
      </w:rPr>
    </w:lvl>
    <w:lvl w:ilvl="7">
      <w:start w:val="0"/>
      <w:numFmt w:val="bullet"/>
      <w:lvlText w:val="•"/>
      <w:lvlJc w:val="left"/>
      <w:pPr>
        <w:ind w:left="5167" w:hanging="168"/>
      </w:pPr>
      <w:rPr>
        <w:rFonts w:hint="default"/>
        <w:lang w:val="ru-RU" w:eastAsia="en-US" w:bidi="ar-SA"/>
      </w:rPr>
    </w:lvl>
    <w:lvl w:ilvl="8">
      <w:start w:val="0"/>
      <w:numFmt w:val="bullet"/>
      <w:lvlText w:val="•"/>
      <w:lvlJc w:val="left"/>
      <w:pPr>
        <w:ind w:left="5958" w:hanging="168"/>
      </w:pPr>
      <w:rPr>
        <w:rFonts w:hint="default"/>
        <w:lang w:val="ru-RU" w:eastAsia="en-US" w:bidi="ar-SA"/>
      </w:rPr>
    </w:lvl>
  </w:abstractNum>
  <w:abstractNum w:abstractNumId="203">
    <w:multiLevelType w:val="hybridMultilevel"/>
    <w:lvl w:ilvl="0">
      <w:start w:val="1"/>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right"/>
      </w:pPr>
      <w:rPr>
        <w:rFonts w:hint="default"/>
        <w:spacing w:val="0"/>
        <w:w w:val="107"/>
        <w:lang w:val="ru-RU" w:eastAsia="en-US" w:bidi="ar-SA"/>
      </w:rPr>
    </w:lvl>
    <w:lvl w:ilvl="2">
      <w:start w:val="0"/>
      <w:numFmt w:val="bullet"/>
      <w:lvlText w:val="•"/>
      <w:lvlJc w:val="left"/>
      <w:pPr>
        <w:ind w:left="1876" w:hanging="315"/>
      </w:pPr>
      <w:rPr>
        <w:rFonts w:hint="default"/>
        <w:lang w:val="ru-RU" w:eastAsia="en-US" w:bidi="ar-SA"/>
      </w:rPr>
    </w:lvl>
    <w:lvl w:ilvl="3">
      <w:start w:val="0"/>
      <w:numFmt w:val="bullet"/>
      <w:lvlText w:val="•"/>
      <w:lvlJc w:val="left"/>
      <w:pPr>
        <w:ind w:left="2584" w:hanging="315"/>
      </w:pPr>
      <w:rPr>
        <w:rFonts w:hint="default"/>
        <w:lang w:val="ru-RU" w:eastAsia="en-US" w:bidi="ar-SA"/>
      </w:rPr>
    </w:lvl>
    <w:lvl w:ilvl="4">
      <w:start w:val="0"/>
      <w:numFmt w:val="bullet"/>
      <w:lvlText w:val="•"/>
      <w:lvlJc w:val="left"/>
      <w:pPr>
        <w:ind w:left="3292" w:hanging="315"/>
      </w:pPr>
      <w:rPr>
        <w:rFonts w:hint="default"/>
        <w:lang w:val="ru-RU" w:eastAsia="en-US" w:bidi="ar-SA"/>
      </w:rPr>
    </w:lvl>
    <w:lvl w:ilvl="5">
      <w:start w:val="0"/>
      <w:numFmt w:val="bullet"/>
      <w:lvlText w:val="•"/>
      <w:lvlJc w:val="left"/>
      <w:pPr>
        <w:ind w:left="4000" w:hanging="315"/>
      </w:pPr>
      <w:rPr>
        <w:rFonts w:hint="default"/>
        <w:lang w:val="ru-RU" w:eastAsia="en-US" w:bidi="ar-SA"/>
      </w:rPr>
    </w:lvl>
    <w:lvl w:ilvl="6">
      <w:start w:val="0"/>
      <w:numFmt w:val="bullet"/>
      <w:lvlText w:val="•"/>
      <w:lvlJc w:val="left"/>
      <w:pPr>
        <w:ind w:left="4708" w:hanging="315"/>
      </w:pPr>
      <w:rPr>
        <w:rFonts w:hint="default"/>
        <w:lang w:val="ru-RU" w:eastAsia="en-US" w:bidi="ar-SA"/>
      </w:rPr>
    </w:lvl>
    <w:lvl w:ilvl="7">
      <w:start w:val="0"/>
      <w:numFmt w:val="bullet"/>
      <w:lvlText w:val="•"/>
      <w:lvlJc w:val="left"/>
      <w:pPr>
        <w:ind w:left="5416" w:hanging="315"/>
      </w:pPr>
      <w:rPr>
        <w:rFonts w:hint="default"/>
        <w:lang w:val="ru-RU" w:eastAsia="en-US" w:bidi="ar-SA"/>
      </w:rPr>
    </w:lvl>
    <w:lvl w:ilvl="8">
      <w:start w:val="0"/>
      <w:numFmt w:val="bullet"/>
      <w:lvlText w:val="•"/>
      <w:lvlJc w:val="left"/>
      <w:pPr>
        <w:ind w:left="6124" w:hanging="315"/>
      </w:pPr>
      <w:rPr>
        <w:rFonts w:hint="default"/>
        <w:lang w:val="ru-RU" w:eastAsia="en-US" w:bidi="ar-SA"/>
      </w:rPr>
    </w:lvl>
  </w:abstractNum>
  <w:abstractNum w:abstractNumId="202">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01">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200">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107"/>
        <w:sz w:val="18"/>
        <w:szCs w:val="18"/>
        <w:lang w:val="ru-RU" w:eastAsia="en-US" w:bidi="ar-SA"/>
      </w:rPr>
    </w:lvl>
    <w:lvl w:ilvl="2">
      <w:start w:val="0"/>
      <w:numFmt w:val="bullet"/>
      <w:lvlText w:val="•"/>
      <w:lvlJc w:val="left"/>
      <w:pPr>
        <w:ind w:left="1246" w:hanging="315"/>
      </w:pPr>
      <w:rPr>
        <w:rFonts w:hint="default"/>
        <w:lang w:val="ru-RU" w:eastAsia="en-US" w:bidi="ar-SA"/>
      </w:rPr>
    </w:lvl>
    <w:lvl w:ilvl="3">
      <w:start w:val="0"/>
      <w:numFmt w:val="bullet"/>
      <w:lvlText w:val="•"/>
      <w:lvlJc w:val="left"/>
      <w:pPr>
        <w:ind w:left="2033" w:hanging="315"/>
      </w:pPr>
      <w:rPr>
        <w:rFonts w:hint="default"/>
        <w:lang w:val="ru-RU" w:eastAsia="en-US" w:bidi="ar-SA"/>
      </w:rPr>
    </w:lvl>
    <w:lvl w:ilvl="4">
      <w:start w:val="0"/>
      <w:numFmt w:val="bullet"/>
      <w:lvlText w:val="•"/>
      <w:lvlJc w:val="left"/>
      <w:pPr>
        <w:ind w:left="2820" w:hanging="315"/>
      </w:pPr>
      <w:rPr>
        <w:rFonts w:hint="default"/>
        <w:lang w:val="ru-RU" w:eastAsia="en-US" w:bidi="ar-SA"/>
      </w:rPr>
    </w:lvl>
    <w:lvl w:ilvl="5">
      <w:start w:val="0"/>
      <w:numFmt w:val="bullet"/>
      <w:lvlText w:val="•"/>
      <w:lvlJc w:val="left"/>
      <w:pPr>
        <w:ind w:left="3606" w:hanging="315"/>
      </w:pPr>
      <w:rPr>
        <w:rFonts w:hint="default"/>
        <w:lang w:val="ru-RU" w:eastAsia="en-US" w:bidi="ar-SA"/>
      </w:rPr>
    </w:lvl>
    <w:lvl w:ilvl="6">
      <w:start w:val="0"/>
      <w:numFmt w:val="bullet"/>
      <w:lvlText w:val="•"/>
      <w:lvlJc w:val="left"/>
      <w:pPr>
        <w:ind w:left="4393" w:hanging="315"/>
      </w:pPr>
      <w:rPr>
        <w:rFonts w:hint="default"/>
        <w:lang w:val="ru-RU" w:eastAsia="en-US" w:bidi="ar-SA"/>
      </w:rPr>
    </w:lvl>
    <w:lvl w:ilvl="7">
      <w:start w:val="0"/>
      <w:numFmt w:val="bullet"/>
      <w:lvlText w:val="•"/>
      <w:lvlJc w:val="left"/>
      <w:pPr>
        <w:ind w:left="5180" w:hanging="315"/>
      </w:pPr>
      <w:rPr>
        <w:rFonts w:hint="default"/>
        <w:lang w:val="ru-RU" w:eastAsia="en-US" w:bidi="ar-SA"/>
      </w:rPr>
    </w:lvl>
    <w:lvl w:ilvl="8">
      <w:start w:val="0"/>
      <w:numFmt w:val="bullet"/>
      <w:lvlText w:val="•"/>
      <w:lvlJc w:val="left"/>
      <w:pPr>
        <w:ind w:left="5967" w:hanging="315"/>
      </w:pPr>
      <w:rPr>
        <w:rFonts w:hint="default"/>
        <w:lang w:val="ru-RU" w:eastAsia="en-US" w:bidi="ar-SA"/>
      </w:rPr>
    </w:lvl>
  </w:abstractNum>
  <w:abstractNum w:abstractNumId="199">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98">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97">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96">
    <w:multiLevelType w:val="hybridMultilevel"/>
    <w:lvl w:ilvl="0">
      <w:start w:val="1"/>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106"/>
        <w:sz w:val="18"/>
        <w:szCs w:val="18"/>
        <w:lang w:val="ru-RU" w:eastAsia="en-US" w:bidi="ar-SA"/>
      </w:rPr>
    </w:lvl>
    <w:lvl w:ilvl="2">
      <w:start w:val="0"/>
      <w:numFmt w:val="bullet"/>
      <w:lvlText w:val="•"/>
      <w:lvlJc w:val="left"/>
      <w:pPr>
        <w:ind w:left="1876" w:hanging="315"/>
      </w:pPr>
      <w:rPr>
        <w:rFonts w:hint="default"/>
        <w:lang w:val="ru-RU" w:eastAsia="en-US" w:bidi="ar-SA"/>
      </w:rPr>
    </w:lvl>
    <w:lvl w:ilvl="3">
      <w:start w:val="0"/>
      <w:numFmt w:val="bullet"/>
      <w:lvlText w:val="•"/>
      <w:lvlJc w:val="left"/>
      <w:pPr>
        <w:ind w:left="2584" w:hanging="315"/>
      </w:pPr>
      <w:rPr>
        <w:rFonts w:hint="default"/>
        <w:lang w:val="ru-RU" w:eastAsia="en-US" w:bidi="ar-SA"/>
      </w:rPr>
    </w:lvl>
    <w:lvl w:ilvl="4">
      <w:start w:val="0"/>
      <w:numFmt w:val="bullet"/>
      <w:lvlText w:val="•"/>
      <w:lvlJc w:val="left"/>
      <w:pPr>
        <w:ind w:left="3292" w:hanging="315"/>
      </w:pPr>
      <w:rPr>
        <w:rFonts w:hint="default"/>
        <w:lang w:val="ru-RU" w:eastAsia="en-US" w:bidi="ar-SA"/>
      </w:rPr>
    </w:lvl>
    <w:lvl w:ilvl="5">
      <w:start w:val="0"/>
      <w:numFmt w:val="bullet"/>
      <w:lvlText w:val="•"/>
      <w:lvlJc w:val="left"/>
      <w:pPr>
        <w:ind w:left="4000" w:hanging="315"/>
      </w:pPr>
      <w:rPr>
        <w:rFonts w:hint="default"/>
        <w:lang w:val="ru-RU" w:eastAsia="en-US" w:bidi="ar-SA"/>
      </w:rPr>
    </w:lvl>
    <w:lvl w:ilvl="6">
      <w:start w:val="0"/>
      <w:numFmt w:val="bullet"/>
      <w:lvlText w:val="•"/>
      <w:lvlJc w:val="left"/>
      <w:pPr>
        <w:ind w:left="4708" w:hanging="315"/>
      </w:pPr>
      <w:rPr>
        <w:rFonts w:hint="default"/>
        <w:lang w:val="ru-RU" w:eastAsia="en-US" w:bidi="ar-SA"/>
      </w:rPr>
    </w:lvl>
    <w:lvl w:ilvl="7">
      <w:start w:val="0"/>
      <w:numFmt w:val="bullet"/>
      <w:lvlText w:val="•"/>
      <w:lvlJc w:val="left"/>
      <w:pPr>
        <w:ind w:left="5416" w:hanging="315"/>
      </w:pPr>
      <w:rPr>
        <w:rFonts w:hint="default"/>
        <w:lang w:val="ru-RU" w:eastAsia="en-US" w:bidi="ar-SA"/>
      </w:rPr>
    </w:lvl>
    <w:lvl w:ilvl="8">
      <w:start w:val="0"/>
      <w:numFmt w:val="bullet"/>
      <w:lvlText w:val="•"/>
      <w:lvlJc w:val="left"/>
      <w:pPr>
        <w:ind w:left="6124" w:hanging="315"/>
      </w:pPr>
      <w:rPr>
        <w:rFonts w:hint="default"/>
        <w:lang w:val="ru-RU" w:eastAsia="en-US" w:bidi="ar-SA"/>
      </w:rPr>
    </w:lvl>
  </w:abstractNum>
  <w:abstractNum w:abstractNumId="195">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41" w:hanging="154"/>
      </w:pPr>
      <w:rPr>
        <w:rFonts w:hint="default" w:ascii="Times New Roman" w:hAnsi="Times New Roman" w:eastAsia="Times New Roman" w:cs="Times New Roman"/>
        <w:spacing w:val="0"/>
        <w:w w:val="100"/>
        <w:lang w:val="ru-RU" w:eastAsia="en-US" w:bidi="ar-SA"/>
      </w:rPr>
    </w:lvl>
    <w:lvl w:ilvl="2">
      <w:start w:val="0"/>
      <w:numFmt w:val="bullet"/>
      <w:lvlText w:val="•"/>
      <w:lvlJc w:val="left"/>
      <w:pPr>
        <w:ind w:left="1211" w:hanging="154"/>
      </w:pPr>
      <w:rPr>
        <w:rFonts w:hint="default"/>
        <w:lang w:val="ru-RU" w:eastAsia="en-US" w:bidi="ar-SA"/>
      </w:rPr>
    </w:lvl>
    <w:lvl w:ilvl="3">
      <w:start w:val="0"/>
      <w:numFmt w:val="bullet"/>
      <w:lvlText w:val="•"/>
      <w:lvlJc w:val="left"/>
      <w:pPr>
        <w:ind w:left="2002" w:hanging="154"/>
      </w:pPr>
      <w:rPr>
        <w:rFonts w:hint="default"/>
        <w:lang w:val="ru-RU" w:eastAsia="en-US" w:bidi="ar-SA"/>
      </w:rPr>
    </w:lvl>
    <w:lvl w:ilvl="4">
      <w:start w:val="0"/>
      <w:numFmt w:val="bullet"/>
      <w:lvlText w:val="•"/>
      <w:lvlJc w:val="left"/>
      <w:pPr>
        <w:ind w:left="2793" w:hanging="154"/>
      </w:pPr>
      <w:rPr>
        <w:rFonts w:hint="default"/>
        <w:lang w:val="ru-RU" w:eastAsia="en-US" w:bidi="ar-SA"/>
      </w:rPr>
    </w:lvl>
    <w:lvl w:ilvl="5">
      <w:start w:val="0"/>
      <w:numFmt w:val="bullet"/>
      <w:lvlText w:val="•"/>
      <w:lvlJc w:val="left"/>
      <w:pPr>
        <w:ind w:left="3584" w:hanging="154"/>
      </w:pPr>
      <w:rPr>
        <w:rFonts w:hint="default"/>
        <w:lang w:val="ru-RU" w:eastAsia="en-US" w:bidi="ar-SA"/>
      </w:rPr>
    </w:lvl>
    <w:lvl w:ilvl="6">
      <w:start w:val="0"/>
      <w:numFmt w:val="bullet"/>
      <w:lvlText w:val="•"/>
      <w:lvlJc w:val="left"/>
      <w:pPr>
        <w:ind w:left="4375" w:hanging="154"/>
      </w:pPr>
      <w:rPr>
        <w:rFonts w:hint="default"/>
        <w:lang w:val="ru-RU" w:eastAsia="en-US" w:bidi="ar-SA"/>
      </w:rPr>
    </w:lvl>
    <w:lvl w:ilvl="7">
      <w:start w:val="0"/>
      <w:numFmt w:val="bullet"/>
      <w:lvlText w:val="•"/>
      <w:lvlJc w:val="left"/>
      <w:pPr>
        <w:ind w:left="5167" w:hanging="154"/>
      </w:pPr>
      <w:rPr>
        <w:rFonts w:hint="default"/>
        <w:lang w:val="ru-RU" w:eastAsia="en-US" w:bidi="ar-SA"/>
      </w:rPr>
    </w:lvl>
    <w:lvl w:ilvl="8">
      <w:start w:val="0"/>
      <w:numFmt w:val="bullet"/>
      <w:lvlText w:val="•"/>
      <w:lvlJc w:val="left"/>
      <w:pPr>
        <w:ind w:left="5958" w:hanging="154"/>
      </w:pPr>
      <w:rPr>
        <w:rFonts w:hint="default"/>
        <w:lang w:val="ru-RU" w:eastAsia="en-US" w:bidi="ar-SA"/>
      </w:rPr>
    </w:lvl>
  </w:abstractNum>
  <w:abstractNum w:abstractNumId="194">
    <w:multiLevelType w:val="hybridMultilevel"/>
    <w:lvl w:ilvl="0">
      <w:start w:val="1"/>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106"/>
        <w:sz w:val="18"/>
        <w:szCs w:val="18"/>
        <w:lang w:val="ru-RU" w:eastAsia="en-US" w:bidi="ar-SA"/>
      </w:rPr>
    </w:lvl>
    <w:lvl w:ilvl="2">
      <w:start w:val="0"/>
      <w:numFmt w:val="bullet"/>
      <w:lvlText w:val="•"/>
      <w:lvlJc w:val="left"/>
      <w:pPr>
        <w:ind w:left="1876" w:hanging="315"/>
      </w:pPr>
      <w:rPr>
        <w:rFonts w:hint="default"/>
        <w:lang w:val="ru-RU" w:eastAsia="en-US" w:bidi="ar-SA"/>
      </w:rPr>
    </w:lvl>
    <w:lvl w:ilvl="3">
      <w:start w:val="0"/>
      <w:numFmt w:val="bullet"/>
      <w:lvlText w:val="•"/>
      <w:lvlJc w:val="left"/>
      <w:pPr>
        <w:ind w:left="2584" w:hanging="315"/>
      </w:pPr>
      <w:rPr>
        <w:rFonts w:hint="default"/>
        <w:lang w:val="ru-RU" w:eastAsia="en-US" w:bidi="ar-SA"/>
      </w:rPr>
    </w:lvl>
    <w:lvl w:ilvl="4">
      <w:start w:val="0"/>
      <w:numFmt w:val="bullet"/>
      <w:lvlText w:val="•"/>
      <w:lvlJc w:val="left"/>
      <w:pPr>
        <w:ind w:left="3292" w:hanging="315"/>
      </w:pPr>
      <w:rPr>
        <w:rFonts w:hint="default"/>
        <w:lang w:val="ru-RU" w:eastAsia="en-US" w:bidi="ar-SA"/>
      </w:rPr>
    </w:lvl>
    <w:lvl w:ilvl="5">
      <w:start w:val="0"/>
      <w:numFmt w:val="bullet"/>
      <w:lvlText w:val="•"/>
      <w:lvlJc w:val="left"/>
      <w:pPr>
        <w:ind w:left="4000" w:hanging="315"/>
      </w:pPr>
      <w:rPr>
        <w:rFonts w:hint="default"/>
        <w:lang w:val="ru-RU" w:eastAsia="en-US" w:bidi="ar-SA"/>
      </w:rPr>
    </w:lvl>
    <w:lvl w:ilvl="6">
      <w:start w:val="0"/>
      <w:numFmt w:val="bullet"/>
      <w:lvlText w:val="•"/>
      <w:lvlJc w:val="left"/>
      <w:pPr>
        <w:ind w:left="4708" w:hanging="315"/>
      </w:pPr>
      <w:rPr>
        <w:rFonts w:hint="default"/>
        <w:lang w:val="ru-RU" w:eastAsia="en-US" w:bidi="ar-SA"/>
      </w:rPr>
    </w:lvl>
    <w:lvl w:ilvl="7">
      <w:start w:val="0"/>
      <w:numFmt w:val="bullet"/>
      <w:lvlText w:val="•"/>
      <w:lvlJc w:val="left"/>
      <w:pPr>
        <w:ind w:left="5416" w:hanging="315"/>
      </w:pPr>
      <w:rPr>
        <w:rFonts w:hint="default"/>
        <w:lang w:val="ru-RU" w:eastAsia="en-US" w:bidi="ar-SA"/>
      </w:rPr>
    </w:lvl>
    <w:lvl w:ilvl="8">
      <w:start w:val="0"/>
      <w:numFmt w:val="bullet"/>
      <w:lvlText w:val="•"/>
      <w:lvlJc w:val="left"/>
      <w:pPr>
        <w:ind w:left="6124" w:hanging="315"/>
      </w:pPr>
      <w:rPr>
        <w:rFonts w:hint="default"/>
        <w:lang w:val="ru-RU" w:eastAsia="en-US" w:bidi="ar-SA"/>
      </w:rPr>
    </w:lvl>
  </w:abstractNum>
  <w:abstractNum w:abstractNumId="193">
    <w:multiLevelType w:val="hybridMultilevel"/>
    <w:lvl w:ilvl="0">
      <w:start w:val="1"/>
      <w:numFmt w:val="decimal"/>
      <w:lvlText w:val="%1)"/>
      <w:lvlJc w:val="left"/>
      <w:pPr>
        <w:ind w:left="141"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880" w:hanging="284"/>
      </w:pPr>
      <w:rPr>
        <w:rFonts w:hint="default"/>
        <w:lang w:val="ru-RU" w:eastAsia="en-US" w:bidi="ar-SA"/>
      </w:rPr>
    </w:lvl>
    <w:lvl w:ilvl="2">
      <w:start w:val="0"/>
      <w:numFmt w:val="bullet"/>
      <w:lvlText w:val="•"/>
      <w:lvlJc w:val="left"/>
      <w:pPr>
        <w:ind w:left="1620" w:hanging="284"/>
      </w:pPr>
      <w:rPr>
        <w:rFonts w:hint="default"/>
        <w:lang w:val="ru-RU" w:eastAsia="en-US" w:bidi="ar-SA"/>
      </w:rPr>
    </w:lvl>
    <w:lvl w:ilvl="3">
      <w:start w:val="0"/>
      <w:numFmt w:val="bullet"/>
      <w:lvlText w:val="•"/>
      <w:lvlJc w:val="left"/>
      <w:pPr>
        <w:ind w:left="2360" w:hanging="284"/>
      </w:pPr>
      <w:rPr>
        <w:rFonts w:hint="default"/>
        <w:lang w:val="ru-RU" w:eastAsia="en-US" w:bidi="ar-SA"/>
      </w:rPr>
    </w:lvl>
    <w:lvl w:ilvl="4">
      <w:start w:val="0"/>
      <w:numFmt w:val="bullet"/>
      <w:lvlText w:val="•"/>
      <w:lvlJc w:val="left"/>
      <w:pPr>
        <w:ind w:left="3100" w:hanging="284"/>
      </w:pPr>
      <w:rPr>
        <w:rFonts w:hint="default"/>
        <w:lang w:val="ru-RU" w:eastAsia="en-US" w:bidi="ar-SA"/>
      </w:rPr>
    </w:lvl>
    <w:lvl w:ilvl="5">
      <w:start w:val="0"/>
      <w:numFmt w:val="bullet"/>
      <w:lvlText w:val="•"/>
      <w:lvlJc w:val="left"/>
      <w:pPr>
        <w:ind w:left="3840" w:hanging="284"/>
      </w:pPr>
      <w:rPr>
        <w:rFonts w:hint="default"/>
        <w:lang w:val="ru-RU" w:eastAsia="en-US" w:bidi="ar-SA"/>
      </w:rPr>
    </w:lvl>
    <w:lvl w:ilvl="6">
      <w:start w:val="0"/>
      <w:numFmt w:val="bullet"/>
      <w:lvlText w:val="•"/>
      <w:lvlJc w:val="left"/>
      <w:pPr>
        <w:ind w:left="4580" w:hanging="284"/>
      </w:pPr>
      <w:rPr>
        <w:rFonts w:hint="default"/>
        <w:lang w:val="ru-RU" w:eastAsia="en-US" w:bidi="ar-SA"/>
      </w:rPr>
    </w:lvl>
    <w:lvl w:ilvl="7">
      <w:start w:val="0"/>
      <w:numFmt w:val="bullet"/>
      <w:lvlText w:val="•"/>
      <w:lvlJc w:val="left"/>
      <w:pPr>
        <w:ind w:left="5320" w:hanging="284"/>
      </w:pPr>
      <w:rPr>
        <w:rFonts w:hint="default"/>
        <w:lang w:val="ru-RU" w:eastAsia="en-US" w:bidi="ar-SA"/>
      </w:rPr>
    </w:lvl>
    <w:lvl w:ilvl="8">
      <w:start w:val="0"/>
      <w:numFmt w:val="bullet"/>
      <w:lvlText w:val="•"/>
      <w:lvlJc w:val="left"/>
      <w:pPr>
        <w:ind w:left="6060" w:hanging="284"/>
      </w:pPr>
      <w:rPr>
        <w:rFonts w:hint="default"/>
        <w:lang w:val="ru-RU" w:eastAsia="en-US" w:bidi="ar-SA"/>
      </w:rPr>
    </w:lvl>
  </w:abstractNum>
  <w:abstractNum w:abstractNumId="192">
    <w:multiLevelType w:val="hybridMultilevel"/>
    <w:lvl w:ilvl="0">
      <w:start w:val="1"/>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106"/>
        <w:sz w:val="18"/>
        <w:szCs w:val="18"/>
        <w:lang w:val="ru-RU" w:eastAsia="en-US" w:bidi="ar-SA"/>
      </w:rPr>
    </w:lvl>
    <w:lvl w:ilvl="2">
      <w:start w:val="0"/>
      <w:numFmt w:val="bullet"/>
      <w:lvlText w:val="•"/>
      <w:lvlJc w:val="left"/>
      <w:pPr>
        <w:ind w:left="1876" w:hanging="315"/>
      </w:pPr>
      <w:rPr>
        <w:rFonts w:hint="default"/>
        <w:lang w:val="ru-RU" w:eastAsia="en-US" w:bidi="ar-SA"/>
      </w:rPr>
    </w:lvl>
    <w:lvl w:ilvl="3">
      <w:start w:val="0"/>
      <w:numFmt w:val="bullet"/>
      <w:lvlText w:val="•"/>
      <w:lvlJc w:val="left"/>
      <w:pPr>
        <w:ind w:left="2584" w:hanging="315"/>
      </w:pPr>
      <w:rPr>
        <w:rFonts w:hint="default"/>
        <w:lang w:val="ru-RU" w:eastAsia="en-US" w:bidi="ar-SA"/>
      </w:rPr>
    </w:lvl>
    <w:lvl w:ilvl="4">
      <w:start w:val="0"/>
      <w:numFmt w:val="bullet"/>
      <w:lvlText w:val="•"/>
      <w:lvlJc w:val="left"/>
      <w:pPr>
        <w:ind w:left="3292" w:hanging="315"/>
      </w:pPr>
      <w:rPr>
        <w:rFonts w:hint="default"/>
        <w:lang w:val="ru-RU" w:eastAsia="en-US" w:bidi="ar-SA"/>
      </w:rPr>
    </w:lvl>
    <w:lvl w:ilvl="5">
      <w:start w:val="0"/>
      <w:numFmt w:val="bullet"/>
      <w:lvlText w:val="•"/>
      <w:lvlJc w:val="left"/>
      <w:pPr>
        <w:ind w:left="4000" w:hanging="315"/>
      </w:pPr>
      <w:rPr>
        <w:rFonts w:hint="default"/>
        <w:lang w:val="ru-RU" w:eastAsia="en-US" w:bidi="ar-SA"/>
      </w:rPr>
    </w:lvl>
    <w:lvl w:ilvl="6">
      <w:start w:val="0"/>
      <w:numFmt w:val="bullet"/>
      <w:lvlText w:val="•"/>
      <w:lvlJc w:val="left"/>
      <w:pPr>
        <w:ind w:left="4708" w:hanging="315"/>
      </w:pPr>
      <w:rPr>
        <w:rFonts w:hint="default"/>
        <w:lang w:val="ru-RU" w:eastAsia="en-US" w:bidi="ar-SA"/>
      </w:rPr>
    </w:lvl>
    <w:lvl w:ilvl="7">
      <w:start w:val="0"/>
      <w:numFmt w:val="bullet"/>
      <w:lvlText w:val="•"/>
      <w:lvlJc w:val="left"/>
      <w:pPr>
        <w:ind w:left="5416" w:hanging="315"/>
      </w:pPr>
      <w:rPr>
        <w:rFonts w:hint="default"/>
        <w:lang w:val="ru-RU" w:eastAsia="en-US" w:bidi="ar-SA"/>
      </w:rPr>
    </w:lvl>
    <w:lvl w:ilvl="8">
      <w:start w:val="0"/>
      <w:numFmt w:val="bullet"/>
      <w:lvlText w:val="•"/>
      <w:lvlJc w:val="left"/>
      <w:pPr>
        <w:ind w:left="6124" w:hanging="315"/>
      </w:pPr>
      <w:rPr>
        <w:rFonts w:hint="default"/>
        <w:lang w:val="ru-RU" w:eastAsia="en-US" w:bidi="ar-SA"/>
      </w:rPr>
    </w:lvl>
  </w:abstractNum>
  <w:abstractNum w:abstractNumId="191">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90">
    <w:multiLevelType w:val="hybridMultilevel"/>
    <w:lvl w:ilvl="0">
      <w:start w:val="1"/>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106"/>
        <w:sz w:val="18"/>
        <w:szCs w:val="18"/>
        <w:lang w:val="ru-RU" w:eastAsia="en-US" w:bidi="ar-SA"/>
      </w:rPr>
    </w:lvl>
    <w:lvl w:ilvl="2">
      <w:start w:val="0"/>
      <w:numFmt w:val="bullet"/>
      <w:lvlText w:val="•"/>
      <w:lvlJc w:val="left"/>
      <w:pPr>
        <w:ind w:left="1876" w:hanging="315"/>
      </w:pPr>
      <w:rPr>
        <w:rFonts w:hint="default"/>
        <w:lang w:val="ru-RU" w:eastAsia="en-US" w:bidi="ar-SA"/>
      </w:rPr>
    </w:lvl>
    <w:lvl w:ilvl="3">
      <w:start w:val="0"/>
      <w:numFmt w:val="bullet"/>
      <w:lvlText w:val="•"/>
      <w:lvlJc w:val="left"/>
      <w:pPr>
        <w:ind w:left="2584" w:hanging="315"/>
      </w:pPr>
      <w:rPr>
        <w:rFonts w:hint="default"/>
        <w:lang w:val="ru-RU" w:eastAsia="en-US" w:bidi="ar-SA"/>
      </w:rPr>
    </w:lvl>
    <w:lvl w:ilvl="4">
      <w:start w:val="0"/>
      <w:numFmt w:val="bullet"/>
      <w:lvlText w:val="•"/>
      <w:lvlJc w:val="left"/>
      <w:pPr>
        <w:ind w:left="3292" w:hanging="315"/>
      </w:pPr>
      <w:rPr>
        <w:rFonts w:hint="default"/>
        <w:lang w:val="ru-RU" w:eastAsia="en-US" w:bidi="ar-SA"/>
      </w:rPr>
    </w:lvl>
    <w:lvl w:ilvl="5">
      <w:start w:val="0"/>
      <w:numFmt w:val="bullet"/>
      <w:lvlText w:val="•"/>
      <w:lvlJc w:val="left"/>
      <w:pPr>
        <w:ind w:left="4000" w:hanging="315"/>
      </w:pPr>
      <w:rPr>
        <w:rFonts w:hint="default"/>
        <w:lang w:val="ru-RU" w:eastAsia="en-US" w:bidi="ar-SA"/>
      </w:rPr>
    </w:lvl>
    <w:lvl w:ilvl="6">
      <w:start w:val="0"/>
      <w:numFmt w:val="bullet"/>
      <w:lvlText w:val="•"/>
      <w:lvlJc w:val="left"/>
      <w:pPr>
        <w:ind w:left="4708" w:hanging="315"/>
      </w:pPr>
      <w:rPr>
        <w:rFonts w:hint="default"/>
        <w:lang w:val="ru-RU" w:eastAsia="en-US" w:bidi="ar-SA"/>
      </w:rPr>
    </w:lvl>
    <w:lvl w:ilvl="7">
      <w:start w:val="0"/>
      <w:numFmt w:val="bullet"/>
      <w:lvlText w:val="•"/>
      <w:lvlJc w:val="left"/>
      <w:pPr>
        <w:ind w:left="5416" w:hanging="315"/>
      </w:pPr>
      <w:rPr>
        <w:rFonts w:hint="default"/>
        <w:lang w:val="ru-RU" w:eastAsia="en-US" w:bidi="ar-SA"/>
      </w:rPr>
    </w:lvl>
    <w:lvl w:ilvl="8">
      <w:start w:val="0"/>
      <w:numFmt w:val="bullet"/>
      <w:lvlText w:val="•"/>
      <w:lvlJc w:val="left"/>
      <w:pPr>
        <w:ind w:left="6124" w:hanging="315"/>
      </w:pPr>
      <w:rPr>
        <w:rFonts w:hint="default"/>
        <w:lang w:val="ru-RU" w:eastAsia="en-US" w:bidi="ar-SA"/>
      </w:rPr>
    </w:lvl>
  </w:abstractNum>
  <w:abstractNum w:abstractNumId="189">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41" w:hanging="154"/>
      </w:pPr>
      <w:rPr>
        <w:rFonts w:hint="default" w:ascii="Times New Roman" w:hAnsi="Times New Roman" w:eastAsia="Times New Roman" w:cs="Times New Roman"/>
        <w:b w:val="0"/>
        <w:bCs w:val="0"/>
        <w:i/>
        <w:iCs/>
        <w:spacing w:val="0"/>
        <w:w w:val="100"/>
        <w:sz w:val="20"/>
        <w:szCs w:val="20"/>
        <w:lang w:val="ru-RU" w:eastAsia="en-US" w:bidi="ar-SA"/>
      </w:rPr>
    </w:lvl>
    <w:lvl w:ilvl="2">
      <w:start w:val="0"/>
      <w:numFmt w:val="bullet"/>
      <w:lvlText w:val="•"/>
      <w:lvlJc w:val="left"/>
      <w:pPr>
        <w:ind w:left="1211" w:hanging="154"/>
      </w:pPr>
      <w:rPr>
        <w:rFonts w:hint="default"/>
        <w:lang w:val="ru-RU" w:eastAsia="en-US" w:bidi="ar-SA"/>
      </w:rPr>
    </w:lvl>
    <w:lvl w:ilvl="3">
      <w:start w:val="0"/>
      <w:numFmt w:val="bullet"/>
      <w:lvlText w:val="•"/>
      <w:lvlJc w:val="left"/>
      <w:pPr>
        <w:ind w:left="2002" w:hanging="154"/>
      </w:pPr>
      <w:rPr>
        <w:rFonts w:hint="default"/>
        <w:lang w:val="ru-RU" w:eastAsia="en-US" w:bidi="ar-SA"/>
      </w:rPr>
    </w:lvl>
    <w:lvl w:ilvl="4">
      <w:start w:val="0"/>
      <w:numFmt w:val="bullet"/>
      <w:lvlText w:val="•"/>
      <w:lvlJc w:val="left"/>
      <w:pPr>
        <w:ind w:left="2793" w:hanging="154"/>
      </w:pPr>
      <w:rPr>
        <w:rFonts w:hint="default"/>
        <w:lang w:val="ru-RU" w:eastAsia="en-US" w:bidi="ar-SA"/>
      </w:rPr>
    </w:lvl>
    <w:lvl w:ilvl="5">
      <w:start w:val="0"/>
      <w:numFmt w:val="bullet"/>
      <w:lvlText w:val="•"/>
      <w:lvlJc w:val="left"/>
      <w:pPr>
        <w:ind w:left="3584" w:hanging="154"/>
      </w:pPr>
      <w:rPr>
        <w:rFonts w:hint="default"/>
        <w:lang w:val="ru-RU" w:eastAsia="en-US" w:bidi="ar-SA"/>
      </w:rPr>
    </w:lvl>
    <w:lvl w:ilvl="6">
      <w:start w:val="0"/>
      <w:numFmt w:val="bullet"/>
      <w:lvlText w:val="•"/>
      <w:lvlJc w:val="left"/>
      <w:pPr>
        <w:ind w:left="4375" w:hanging="154"/>
      </w:pPr>
      <w:rPr>
        <w:rFonts w:hint="default"/>
        <w:lang w:val="ru-RU" w:eastAsia="en-US" w:bidi="ar-SA"/>
      </w:rPr>
    </w:lvl>
    <w:lvl w:ilvl="7">
      <w:start w:val="0"/>
      <w:numFmt w:val="bullet"/>
      <w:lvlText w:val="•"/>
      <w:lvlJc w:val="left"/>
      <w:pPr>
        <w:ind w:left="5167" w:hanging="154"/>
      </w:pPr>
      <w:rPr>
        <w:rFonts w:hint="default"/>
        <w:lang w:val="ru-RU" w:eastAsia="en-US" w:bidi="ar-SA"/>
      </w:rPr>
    </w:lvl>
    <w:lvl w:ilvl="8">
      <w:start w:val="0"/>
      <w:numFmt w:val="bullet"/>
      <w:lvlText w:val="•"/>
      <w:lvlJc w:val="left"/>
      <w:pPr>
        <w:ind w:left="5958" w:hanging="154"/>
      </w:pPr>
      <w:rPr>
        <w:rFonts w:hint="default"/>
        <w:lang w:val="ru-RU" w:eastAsia="en-US" w:bidi="ar-SA"/>
      </w:rPr>
    </w:lvl>
  </w:abstractNum>
  <w:abstractNum w:abstractNumId="188">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87">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41" w:hanging="164"/>
      </w:pPr>
      <w:rPr>
        <w:rFonts w:hint="default" w:ascii="Times New Roman" w:hAnsi="Times New Roman" w:eastAsia="Times New Roman" w:cs="Times New Roman"/>
        <w:b w:val="0"/>
        <w:bCs w:val="0"/>
        <w:i/>
        <w:iCs/>
        <w:spacing w:val="0"/>
        <w:w w:val="100"/>
        <w:sz w:val="20"/>
        <w:szCs w:val="20"/>
        <w:lang w:val="ru-RU" w:eastAsia="en-US" w:bidi="ar-SA"/>
      </w:rPr>
    </w:lvl>
    <w:lvl w:ilvl="2">
      <w:start w:val="0"/>
      <w:numFmt w:val="bullet"/>
      <w:lvlText w:val="•"/>
      <w:lvlJc w:val="left"/>
      <w:pPr>
        <w:ind w:left="700" w:hanging="164"/>
      </w:pPr>
      <w:rPr>
        <w:rFonts w:hint="default"/>
        <w:lang w:val="ru-RU" w:eastAsia="en-US" w:bidi="ar-SA"/>
      </w:rPr>
    </w:lvl>
    <w:lvl w:ilvl="3">
      <w:start w:val="0"/>
      <w:numFmt w:val="bullet"/>
      <w:lvlText w:val="•"/>
      <w:lvlJc w:val="left"/>
      <w:pPr>
        <w:ind w:left="1555" w:hanging="164"/>
      </w:pPr>
      <w:rPr>
        <w:rFonts w:hint="default"/>
        <w:lang w:val="ru-RU" w:eastAsia="en-US" w:bidi="ar-SA"/>
      </w:rPr>
    </w:lvl>
    <w:lvl w:ilvl="4">
      <w:start w:val="0"/>
      <w:numFmt w:val="bullet"/>
      <w:lvlText w:val="•"/>
      <w:lvlJc w:val="left"/>
      <w:pPr>
        <w:ind w:left="2410" w:hanging="164"/>
      </w:pPr>
      <w:rPr>
        <w:rFonts w:hint="default"/>
        <w:lang w:val="ru-RU" w:eastAsia="en-US" w:bidi="ar-SA"/>
      </w:rPr>
    </w:lvl>
    <w:lvl w:ilvl="5">
      <w:start w:val="0"/>
      <w:numFmt w:val="bullet"/>
      <w:lvlText w:val="•"/>
      <w:lvlJc w:val="left"/>
      <w:pPr>
        <w:ind w:left="3265" w:hanging="164"/>
      </w:pPr>
      <w:rPr>
        <w:rFonts w:hint="default"/>
        <w:lang w:val="ru-RU" w:eastAsia="en-US" w:bidi="ar-SA"/>
      </w:rPr>
    </w:lvl>
    <w:lvl w:ilvl="6">
      <w:start w:val="0"/>
      <w:numFmt w:val="bullet"/>
      <w:lvlText w:val="•"/>
      <w:lvlJc w:val="left"/>
      <w:pPr>
        <w:ind w:left="4120" w:hanging="164"/>
      </w:pPr>
      <w:rPr>
        <w:rFonts w:hint="default"/>
        <w:lang w:val="ru-RU" w:eastAsia="en-US" w:bidi="ar-SA"/>
      </w:rPr>
    </w:lvl>
    <w:lvl w:ilvl="7">
      <w:start w:val="0"/>
      <w:numFmt w:val="bullet"/>
      <w:lvlText w:val="•"/>
      <w:lvlJc w:val="left"/>
      <w:pPr>
        <w:ind w:left="4975" w:hanging="164"/>
      </w:pPr>
      <w:rPr>
        <w:rFonts w:hint="default"/>
        <w:lang w:val="ru-RU" w:eastAsia="en-US" w:bidi="ar-SA"/>
      </w:rPr>
    </w:lvl>
    <w:lvl w:ilvl="8">
      <w:start w:val="0"/>
      <w:numFmt w:val="bullet"/>
      <w:lvlText w:val="•"/>
      <w:lvlJc w:val="left"/>
      <w:pPr>
        <w:ind w:left="5830" w:hanging="164"/>
      </w:pPr>
      <w:rPr>
        <w:rFonts w:hint="default"/>
        <w:lang w:val="ru-RU" w:eastAsia="en-US" w:bidi="ar-SA"/>
      </w:rPr>
    </w:lvl>
  </w:abstractNum>
  <w:abstractNum w:abstractNumId="186">
    <w:multiLevelType w:val="hybridMultilevel"/>
    <w:lvl w:ilvl="0">
      <w:start w:val="1"/>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106"/>
        <w:sz w:val="18"/>
        <w:szCs w:val="18"/>
        <w:lang w:val="ru-RU" w:eastAsia="en-US" w:bidi="ar-SA"/>
      </w:rPr>
    </w:lvl>
    <w:lvl w:ilvl="2">
      <w:start w:val="0"/>
      <w:numFmt w:val="bullet"/>
      <w:lvlText w:val="–"/>
      <w:lvlJc w:val="left"/>
      <w:pPr>
        <w:ind w:left="575" w:hanging="150"/>
      </w:pPr>
      <w:rPr>
        <w:rFonts w:hint="default" w:ascii="Times New Roman" w:hAnsi="Times New Roman" w:eastAsia="Times New Roman" w:cs="Times New Roman"/>
        <w:b w:val="0"/>
        <w:bCs w:val="0"/>
        <w:i/>
        <w:iCs/>
        <w:color w:val="231F20"/>
        <w:spacing w:val="0"/>
        <w:w w:val="100"/>
        <w:sz w:val="20"/>
        <w:szCs w:val="20"/>
        <w:lang w:val="ru-RU" w:eastAsia="en-US" w:bidi="ar-SA"/>
      </w:rPr>
    </w:lvl>
    <w:lvl w:ilvl="3">
      <w:start w:val="0"/>
      <w:numFmt w:val="bullet"/>
      <w:lvlText w:val="•"/>
      <w:lvlJc w:val="left"/>
      <w:pPr>
        <w:ind w:left="2126" w:hanging="150"/>
      </w:pPr>
      <w:rPr>
        <w:rFonts w:hint="default"/>
        <w:lang w:val="ru-RU" w:eastAsia="en-US" w:bidi="ar-SA"/>
      </w:rPr>
    </w:lvl>
    <w:lvl w:ilvl="4">
      <w:start w:val="0"/>
      <w:numFmt w:val="bullet"/>
      <w:lvlText w:val="•"/>
      <w:lvlJc w:val="left"/>
      <w:pPr>
        <w:ind w:left="2900" w:hanging="150"/>
      </w:pPr>
      <w:rPr>
        <w:rFonts w:hint="default"/>
        <w:lang w:val="ru-RU" w:eastAsia="en-US" w:bidi="ar-SA"/>
      </w:rPr>
    </w:lvl>
    <w:lvl w:ilvl="5">
      <w:start w:val="0"/>
      <w:numFmt w:val="bullet"/>
      <w:lvlText w:val="•"/>
      <w:lvlJc w:val="left"/>
      <w:pPr>
        <w:ind w:left="3673" w:hanging="150"/>
      </w:pPr>
      <w:rPr>
        <w:rFonts w:hint="default"/>
        <w:lang w:val="ru-RU" w:eastAsia="en-US" w:bidi="ar-SA"/>
      </w:rPr>
    </w:lvl>
    <w:lvl w:ilvl="6">
      <w:start w:val="0"/>
      <w:numFmt w:val="bullet"/>
      <w:lvlText w:val="•"/>
      <w:lvlJc w:val="left"/>
      <w:pPr>
        <w:ind w:left="4446" w:hanging="150"/>
      </w:pPr>
      <w:rPr>
        <w:rFonts w:hint="default"/>
        <w:lang w:val="ru-RU" w:eastAsia="en-US" w:bidi="ar-SA"/>
      </w:rPr>
    </w:lvl>
    <w:lvl w:ilvl="7">
      <w:start w:val="0"/>
      <w:numFmt w:val="bullet"/>
      <w:lvlText w:val="•"/>
      <w:lvlJc w:val="left"/>
      <w:pPr>
        <w:ind w:left="5220" w:hanging="150"/>
      </w:pPr>
      <w:rPr>
        <w:rFonts w:hint="default"/>
        <w:lang w:val="ru-RU" w:eastAsia="en-US" w:bidi="ar-SA"/>
      </w:rPr>
    </w:lvl>
    <w:lvl w:ilvl="8">
      <w:start w:val="0"/>
      <w:numFmt w:val="bullet"/>
      <w:lvlText w:val="•"/>
      <w:lvlJc w:val="left"/>
      <w:pPr>
        <w:ind w:left="5993" w:hanging="150"/>
      </w:pPr>
      <w:rPr>
        <w:rFonts w:hint="default"/>
        <w:lang w:val="ru-RU" w:eastAsia="en-US" w:bidi="ar-SA"/>
      </w:rPr>
    </w:lvl>
  </w:abstractNum>
  <w:abstractNum w:abstractNumId="185">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84">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83">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82">
    <w:multiLevelType w:val="hybridMultilevel"/>
    <w:lvl w:ilvl="0">
      <w:start w:val="1"/>
      <w:numFmt w:val="decimal"/>
      <w:lvlText w:val="%1"/>
      <w:lvlJc w:val="left"/>
      <w:pPr>
        <w:ind w:left="1932" w:hanging="350"/>
        <w:jc w:val="left"/>
      </w:pPr>
      <w:rPr>
        <w:rFonts w:hint="default"/>
        <w:lang w:val="ru-RU" w:eastAsia="en-US" w:bidi="ar-SA"/>
      </w:rPr>
    </w:lvl>
    <w:lvl w:ilvl="1">
      <w:start w:val="1"/>
      <w:numFmt w:val="decimal"/>
      <w:lvlText w:val="%1.%2."/>
      <w:lvlJc w:val="left"/>
      <w:pPr>
        <w:ind w:left="1932" w:hanging="350"/>
        <w:jc w:val="right"/>
      </w:pPr>
      <w:rPr>
        <w:rFonts w:hint="default"/>
        <w:spacing w:val="0"/>
        <w:w w:val="100"/>
        <w:lang w:val="ru-RU" w:eastAsia="en-US" w:bidi="ar-SA"/>
      </w:rPr>
    </w:lvl>
    <w:lvl w:ilvl="2">
      <w:start w:val="0"/>
      <w:numFmt w:val="bullet"/>
      <w:lvlText w:val="•"/>
      <w:lvlJc w:val="left"/>
      <w:pPr>
        <w:ind w:left="3060" w:hanging="350"/>
      </w:pPr>
      <w:rPr>
        <w:rFonts w:hint="default"/>
        <w:lang w:val="ru-RU" w:eastAsia="en-US" w:bidi="ar-SA"/>
      </w:rPr>
    </w:lvl>
    <w:lvl w:ilvl="3">
      <w:start w:val="0"/>
      <w:numFmt w:val="bullet"/>
      <w:lvlText w:val="•"/>
      <w:lvlJc w:val="left"/>
      <w:pPr>
        <w:ind w:left="3620" w:hanging="350"/>
      </w:pPr>
      <w:rPr>
        <w:rFonts w:hint="default"/>
        <w:lang w:val="ru-RU" w:eastAsia="en-US" w:bidi="ar-SA"/>
      </w:rPr>
    </w:lvl>
    <w:lvl w:ilvl="4">
      <w:start w:val="0"/>
      <w:numFmt w:val="bullet"/>
      <w:lvlText w:val="•"/>
      <w:lvlJc w:val="left"/>
      <w:pPr>
        <w:ind w:left="4180" w:hanging="350"/>
      </w:pPr>
      <w:rPr>
        <w:rFonts w:hint="default"/>
        <w:lang w:val="ru-RU" w:eastAsia="en-US" w:bidi="ar-SA"/>
      </w:rPr>
    </w:lvl>
    <w:lvl w:ilvl="5">
      <w:start w:val="0"/>
      <w:numFmt w:val="bullet"/>
      <w:lvlText w:val="•"/>
      <w:lvlJc w:val="left"/>
      <w:pPr>
        <w:ind w:left="4740" w:hanging="350"/>
      </w:pPr>
      <w:rPr>
        <w:rFonts w:hint="default"/>
        <w:lang w:val="ru-RU" w:eastAsia="en-US" w:bidi="ar-SA"/>
      </w:rPr>
    </w:lvl>
    <w:lvl w:ilvl="6">
      <w:start w:val="0"/>
      <w:numFmt w:val="bullet"/>
      <w:lvlText w:val="•"/>
      <w:lvlJc w:val="left"/>
      <w:pPr>
        <w:ind w:left="5300" w:hanging="350"/>
      </w:pPr>
      <w:rPr>
        <w:rFonts w:hint="default"/>
        <w:lang w:val="ru-RU" w:eastAsia="en-US" w:bidi="ar-SA"/>
      </w:rPr>
    </w:lvl>
    <w:lvl w:ilvl="7">
      <w:start w:val="0"/>
      <w:numFmt w:val="bullet"/>
      <w:lvlText w:val="•"/>
      <w:lvlJc w:val="left"/>
      <w:pPr>
        <w:ind w:left="5860" w:hanging="350"/>
      </w:pPr>
      <w:rPr>
        <w:rFonts w:hint="default"/>
        <w:lang w:val="ru-RU" w:eastAsia="en-US" w:bidi="ar-SA"/>
      </w:rPr>
    </w:lvl>
    <w:lvl w:ilvl="8">
      <w:start w:val="0"/>
      <w:numFmt w:val="bullet"/>
      <w:lvlText w:val="•"/>
      <w:lvlJc w:val="left"/>
      <w:pPr>
        <w:ind w:left="6420" w:hanging="350"/>
      </w:pPr>
      <w:rPr>
        <w:rFonts w:hint="default"/>
        <w:lang w:val="ru-RU" w:eastAsia="en-US" w:bidi="ar-SA"/>
      </w:rPr>
    </w:lvl>
  </w:abstractNum>
  <w:abstractNum w:abstractNumId="181">
    <w:multiLevelType w:val="hybridMultilevel"/>
    <w:lvl w:ilvl="0">
      <w:start w:val="4"/>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Times New Roman" w:hAnsi="Times New Roman" w:eastAsia="Times New Roman" w:cs="Times New Roman"/>
        <w:b w:val="0"/>
        <w:bCs w:val="0"/>
        <w:i w:val="0"/>
        <w:iCs w:val="0"/>
        <w:color w:val="2255A6"/>
        <w:spacing w:val="0"/>
        <w:w w:val="92"/>
        <w:sz w:val="18"/>
        <w:szCs w:val="18"/>
        <w:u w:val="single" w:color="2255A6"/>
        <w:lang w:val="ru-RU" w:eastAsia="en-US" w:bidi="ar-SA"/>
      </w:rPr>
    </w:lvl>
    <w:lvl w:ilvl="2">
      <w:start w:val="1"/>
      <w:numFmt w:val="decimal"/>
      <w:lvlText w:val="%1.%2.%3."/>
      <w:lvlJc w:val="left"/>
      <w:pPr>
        <w:ind w:left="875" w:hanging="450"/>
        <w:jc w:val="left"/>
      </w:pPr>
      <w:rPr>
        <w:rFonts w:hint="default" w:ascii="Times New Roman" w:hAnsi="Times New Roman" w:eastAsia="Times New Roman" w:cs="Times New Roman"/>
        <w:b w:val="0"/>
        <w:bCs w:val="0"/>
        <w:i w:val="0"/>
        <w:iCs w:val="0"/>
        <w:color w:val="2255A6"/>
        <w:spacing w:val="0"/>
        <w:w w:val="95"/>
        <w:sz w:val="18"/>
        <w:szCs w:val="18"/>
        <w:u w:val="single" w:color="2255A6"/>
        <w:lang w:val="ru-RU" w:eastAsia="en-US" w:bidi="ar-SA"/>
      </w:rPr>
    </w:lvl>
    <w:lvl w:ilvl="3">
      <w:start w:val="0"/>
      <w:numFmt w:val="bullet"/>
      <w:lvlText w:val="•"/>
      <w:lvlJc w:val="left"/>
      <w:pPr>
        <w:ind w:left="2360" w:hanging="450"/>
      </w:pPr>
      <w:rPr>
        <w:rFonts w:hint="default"/>
        <w:lang w:val="ru-RU" w:eastAsia="en-US" w:bidi="ar-SA"/>
      </w:rPr>
    </w:lvl>
    <w:lvl w:ilvl="4">
      <w:start w:val="0"/>
      <w:numFmt w:val="bullet"/>
      <w:lvlText w:val="•"/>
      <w:lvlJc w:val="left"/>
      <w:pPr>
        <w:ind w:left="3100" w:hanging="450"/>
      </w:pPr>
      <w:rPr>
        <w:rFonts w:hint="default"/>
        <w:lang w:val="ru-RU" w:eastAsia="en-US" w:bidi="ar-SA"/>
      </w:rPr>
    </w:lvl>
    <w:lvl w:ilvl="5">
      <w:start w:val="0"/>
      <w:numFmt w:val="bullet"/>
      <w:lvlText w:val="•"/>
      <w:lvlJc w:val="left"/>
      <w:pPr>
        <w:ind w:left="3840" w:hanging="450"/>
      </w:pPr>
      <w:rPr>
        <w:rFonts w:hint="default"/>
        <w:lang w:val="ru-RU" w:eastAsia="en-US" w:bidi="ar-SA"/>
      </w:rPr>
    </w:lvl>
    <w:lvl w:ilvl="6">
      <w:start w:val="0"/>
      <w:numFmt w:val="bullet"/>
      <w:lvlText w:val="•"/>
      <w:lvlJc w:val="left"/>
      <w:pPr>
        <w:ind w:left="4580" w:hanging="450"/>
      </w:pPr>
      <w:rPr>
        <w:rFonts w:hint="default"/>
        <w:lang w:val="ru-RU" w:eastAsia="en-US" w:bidi="ar-SA"/>
      </w:rPr>
    </w:lvl>
    <w:lvl w:ilvl="7">
      <w:start w:val="0"/>
      <w:numFmt w:val="bullet"/>
      <w:lvlText w:val="•"/>
      <w:lvlJc w:val="left"/>
      <w:pPr>
        <w:ind w:left="5320" w:hanging="450"/>
      </w:pPr>
      <w:rPr>
        <w:rFonts w:hint="default"/>
        <w:lang w:val="ru-RU" w:eastAsia="en-US" w:bidi="ar-SA"/>
      </w:rPr>
    </w:lvl>
    <w:lvl w:ilvl="8">
      <w:start w:val="0"/>
      <w:numFmt w:val="bullet"/>
      <w:lvlText w:val="•"/>
      <w:lvlJc w:val="left"/>
      <w:pPr>
        <w:ind w:left="6060" w:hanging="450"/>
      </w:pPr>
      <w:rPr>
        <w:rFonts w:hint="default"/>
        <w:lang w:val="ru-RU" w:eastAsia="en-US" w:bidi="ar-SA"/>
      </w:rPr>
    </w:lvl>
  </w:abstractNum>
  <w:abstractNum w:abstractNumId="180">
    <w:multiLevelType w:val="hybridMultilevel"/>
    <w:lvl w:ilvl="0">
      <w:start w:val="3"/>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Times New Roman" w:hAnsi="Times New Roman" w:eastAsia="Times New Roman" w:cs="Times New Roman"/>
        <w:b w:val="0"/>
        <w:bCs w:val="0"/>
        <w:i w:val="0"/>
        <w:iCs w:val="0"/>
        <w:color w:val="2255A6"/>
        <w:spacing w:val="0"/>
        <w:w w:val="92"/>
        <w:sz w:val="18"/>
        <w:szCs w:val="18"/>
        <w:u w:val="single" w:color="2255A6"/>
        <w:lang w:val="ru-RU" w:eastAsia="en-US" w:bidi="ar-SA"/>
      </w:rPr>
    </w:lvl>
    <w:lvl w:ilvl="2">
      <w:start w:val="0"/>
      <w:numFmt w:val="bullet"/>
      <w:lvlText w:val="•"/>
      <w:lvlJc w:val="left"/>
      <w:pPr>
        <w:ind w:left="1876" w:hanging="315"/>
      </w:pPr>
      <w:rPr>
        <w:rFonts w:hint="default"/>
        <w:lang w:val="ru-RU" w:eastAsia="en-US" w:bidi="ar-SA"/>
      </w:rPr>
    </w:lvl>
    <w:lvl w:ilvl="3">
      <w:start w:val="0"/>
      <w:numFmt w:val="bullet"/>
      <w:lvlText w:val="•"/>
      <w:lvlJc w:val="left"/>
      <w:pPr>
        <w:ind w:left="2584" w:hanging="315"/>
      </w:pPr>
      <w:rPr>
        <w:rFonts w:hint="default"/>
        <w:lang w:val="ru-RU" w:eastAsia="en-US" w:bidi="ar-SA"/>
      </w:rPr>
    </w:lvl>
    <w:lvl w:ilvl="4">
      <w:start w:val="0"/>
      <w:numFmt w:val="bullet"/>
      <w:lvlText w:val="•"/>
      <w:lvlJc w:val="left"/>
      <w:pPr>
        <w:ind w:left="3292" w:hanging="315"/>
      </w:pPr>
      <w:rPr>
        <w:rFonts w:hint="default"/>
        <w:lang w:val="ru-RU" w:eastAsia="en-US" w:bidi="ar-SA"/>
      </w:rPr>
    </w:lvl>
    <w:lvl w:ilvl="5">
      <w:start w:val="0"/>
      <w:numFmt w:val="bullet"/>
      <w:lvlText w:val="•"/>
      <w:lvlJc w:val="left"/>
      <w:pPr>
        <w:ind w:left="4000" w:hanging="315"/>
      </w:pPr>
      <w:rPr>
        <w:rFonts w:hint="default"/>
        <w:lang w:val="ru-RU" w:eastAsia="en-US" w:bidi="ar-SA"/>
      </w:rPr>
    </w:lvl>
    <w:lvl w:ilvl="6">
      <w:start w:val="0"/>
      <w:numFmt w:val="bullet"/>
      <w:lvlText w:val="•"/>
      <w:lvlJc w:val="left"/>
      <w:pPr>
        <w:ind w:left="4708" w:hanging="315"/>
      </w:pPr>
      <w:rPr>
        <w:rFonts w:hint="default"/>
        <w:lang w:val="ru-RU" w:eastAsia="en-US" w:bidi="ar-SA"/>
      </w:rPr>
    </w:lvl>
    <w:lvl w:ilvl="7">
      <w:start w:val="0"/>
      <w:numFmt w:val="bullet"/>
      <w:lvlText w:val="•"/>
      <w:lvlJc w:val="left"/>
      <w:pPr>
        <w:ind w:left="5416" w:hanging="315"/>
      </w:pPr>
      <w:rPr>
        <w:rFonts w:hint="default"/>
        <w:lang w:val="ru-RU" w:eastAsia="en-US" w:bidi="ar-SA"/>
      </w:rPr>
    </w:lvl>
    <w:lvl w:ilvl="8">
      <w:start w:val="0"/>
      <w:numFmt w:val="bullet"/>
      <w:lvlText w:val="•"/>
      <w:lvlJc w:val="left"/>
      <w:pPr>
        <w:ind w:left="6124" w:hanging="315"/>
      </w:pPr>
      <w:rPr>
        <w:rFonts w:hint="default"/>
        <w:lang w:val="ru-RU" w:eastAsia="en-US" w:bidi="ar-SA"/>
      </w:rPr>
    </w:lvl>
  </w:abstractNum>
  <w:abstractNum w:abstractNumId="179">
    <w:multiLevelType w:val="hybridMultilevel"/>
    <w:lvl w:ilvl="0">
      <w:start w:val="2"/>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Times New Roman" w:hAnsi="Times New Roman" w:eastAsia="Times New Roman" w:cs="Times New Roman"/>
        <w:b w:val="0"/>
        <w:bCs w:val="0"/>
        <w:i w:val="0"/>
        <w:iCs w:val="0"/>
        <w:color w:val="2255A6"/>
        <w:spacing w:val="0"/>
        <w:w w:val="92"/>
        <w:sz w:val="18"/>
        <w:szCs w:val="18"/>
        <w:u w:val="single" w:color="2255A6"/>
        <w:lang w:val="ru-RU" w:eastAsia="en-US" w:bidi="ar-SA"/>
      </w:rPr>
    </w:lvl>
    <w:lvl w:ilvl="2">
      <w:start w:val="0"/>
      <w:numFmt w:val="bullet"/>
      <w:lvlText w:val="•"/>
      <w:lvlJc w:val="left"/>
      <w:pPr>
        <w:ind w:left="1876" w:hanging="315"/>
      </w:pPr>
      <w:rPr>
        <w:rFonts w:hint="default"/>
        <w:lang w:val="ru-RU" w:eastAsia="en-US" w:bidi="ar-SA"/>
      </w:rPr>
    </w:lvl>
    <w:lvl w:ilvl="3">
      <w:start w:val="0"/>
      <w:numFmt w:val="bullet"/>
      <w:lvlText w:val="•"/>
      <w:lvlJc w:val="left"/>
      <w:pPr>
        <w:ind w:left="2584" w:hanging="315"/>
      </w:pPr>
      <w:rPr>
        <w:rFonts w:hint="default"/>
        <w:lang w:val="ru-RU" w:eastAsia="en-US" w:bidi="ar-SA"/>
      </w:rPr>
    </w:lvl>
    <w:lvl w:ilvl="4">
      <w:start w:val="0"/>
      <w:numFmt w:val="bullet"/>
      <w:lvlText w:val="•"/>
      <w:lvlJc w:val="left"/>
      <w:pPr>
        <w:ind w:left="3292" w:hanging="315"/>
      </w:pPr>
      <w:rPr>
        <w:rFonts w:hint="default"/>
        <w:lang w:val="ru-RU" w:eastAsia="en-US" w:bidi="ar-SA"/>
      </w:rPr>
    </w:lvl>
    <w:lvl w:ilvl="5">
      <w:start w:val="0"/>
      <w:numFmt w:val="bullet"/>
      <w:lvlText w:val="•"/>
      <w:lvlJc w:val="left"/>
      <w:pPr>
        <w:ind w:left="4000" w:hanging="315"/>
      </w:pPr>
      <w:rPr>
        <w:rFonts w:hint="default"/>
        <w:lang w:val="ru-RU" w:eastAsia="en-US" w:bidi="ar-SA"/>
      </w:rPr>
    </w:lvl>
    <w:lvl w:ilvl="6">
      <w:start w:val="0"/>
      <w:numFmt w:val="bullet"/>
      <w:lvlText w:val="•"/>
      <w:lvlJc w:val="left"/>
      <w:pPr>
        <w:ind w:left="4708" w:hanging="315"/>
      </w:pPr>
      <w:rPr>
        <w:rFonts w:hint="default"/>
        <w:lang w:val="ru-RU" w:eastAsia="en-US" w:bidi="ar-SA"/>
      </w:rPr>
    </w:lvl>
    <w:lvl w:ilvl="7">
      <w:start w:val="0"/>
      <w:numFmt w:val="bullet"/>
      <w:lvlText w:val="•"/>
      <w:lvlJc w:val="left"/>
      <w:pPr>
        <w:ind w:left="5416" w:hanging="315"/>
      </w:pPr>
      <w:rPr>
        <w:rFonts w:hint="default"/>
        <w:lang w:val="ru-RU" w:eastAsia="en-US" w:bidi="ar-SA"/>
      </w:rPr>
    </w:lvl>
    <w:lvl w:ilvl="8">
      <w:start w:val="0"/>
      <w:numFmt w:val="bullet"/>
      <w:lvlText w:val="•"/>
      <w:lvlJc w:val="left"/>
      <w:pPr>
        <w:ind w:left="6124" w:hanging="315"/>
      </w:pPr>
      <w:rPr>
        <w:rFonts w:hint="default"/>
        <w:lang w:val="ru-RU" w:eastAsia="en-US" w:bidi="ar-SA"/>
      </w:rPr>
    </w:lvl>
  </w:abstractNum>
  <w:abstractNum w:abstractNumId="178">
    <w:multiLevelType w:val="hybridMultilevel"/>
    <w:lvl w:ilvl="0">
      <w:start w:val="1"/>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Times New Roman" w:hAnsi="Times New Roman" w:eastAsia="Times New Roman" w:cs="Times New Roman"/>
        <w:b w:val="0"/>
        <w:bCs w:val="0"/>
        <w:i w:val="0"/>
        <w:iCs w:val="0"/>
        <w:color w:val="2255A6"/>
        <w:spacing w:val="0"/>
        <w:w w:val="92"/>
        <w:sz w:val="18"/>
        <w:szCs w:val="18"/>
        <w:u w:val="single" w:color="2255A6"/>
        <w:lang w:val="ru-RU" w:eastAsia="en-US" w:bidi="ar-SA"/>
      </w:rPr>
    </w:lvl>
    <w:lvl w:ilvl="2">
      <w:start w:val="0"/>
      <w:numFmt w:val="bullet"/>
      <w:lvlText w:val="•"/>
      <w:lvlJc w:val="left"/>
      <w:pPr>
        <w:ind w:left="1876" w:hanging="315"/>
      </w:pPr>
      <w:rPr>
        <w:rFonts w:hint="default"/>
        <w:lang w:val="ru-RU" w:eastAsia="en-US" w:bidi="ar-SA"/>
      </w:rPr>
    </w:lvl>
    <w:lvl w:ilvl="3">
      <w:start w:val="0"/>
      <w:numFmt w:val="bullet"/>
      <w:lvlText w:val="•"/>
      <w:lvlJc w:val="left"/>
      <w:pPr>
        <w:ind w:left="2584" w:hanging="315"/>
      </w:pPr>
      <w:rPr>
        <w:rFonts w:hint="default"/>
        <w:lang w:val="ru-RU" w:eastAsia="en-US" w:bidi="ar-SA"/>
      </w:rPr>
    </w:lvl>
    <w:lvl w:ilvl="4">
      <w:start w:val="0"/>
      <w:numFmt w:val="bullet"/>
      <w:lvlText w:val="•"/>
      <w:lvlJc w:val="left"/>
      <w:pPr>
        <w:ind w:left="3292" w:hanging="315"/>
      </w:pPr>
      <w:rPr>
        <w:rFonts w:hint="default"/>
        <w:lang w:val="ru-RU" w:eastAsia="en-US" w:bidi="ar-SA"/>
      </w:rPr>
    </w:lvl>
    <w:lvl w:ilvl="5">
      <w:start w:val="0"/>
      <w:numFmt w:val="bullet"/>
      <w:lvlText w:val="•"/>
      <w:lvlJc w:val="left"/>
      <w:pPr>
        <w:ind w:left="4000" w:hanging="315"/>
      </w:pPr>
      <w:rPr>
        <w:rFonts w:hint="default"/>
        <w:lang w:val="ru-RU" w:eastAsia="en-US" w:bidi="ar-SA"/>
      </w:rPr>
    </w:lvl>
    <w:lvl w:ilvl="6">
      <w:start w:val="0"/>
      <w:numFmt w:val="bullet"/>
      <w:lvlText w:val="•"/>
      <w:lvlJc w:val="left"/>
      <w:pPr>
        <w:ind w:left="4708" w:hanging="315"/>
      </w:pPr>
      <w:rPr>
        <w:rFonts w:hint="default"/>
        <w:lang w:val="ru-RU" w:eastAsia="en-US" w:bidi="ar-SA"/>
      </w:rPr>
    </w:lvl>
    <w:lvl w:ilvl="7">
      <w:start w:val="0"/>
      <w:numFmt w:val="bullet"/>
      <w:lvlText w:val="•"/>
      <w:lvlJc w:val="left"/>
      <w:pPr>
        <w:ind w:left="5416" w:hanging="315"/>
      </w:pPr>
      <w:rPr>
        <w:rFonts w:hint="default"/>
        <w:lang w:val="ru-RU" w:eastAsia="en-US" w:bidi="ar-SA"/>
      </w:rPr>
    </w:lvl>
    <w:lvl w:ilvl="8">
      <w:start w:val="0"/>
      <w:numFmt w:val="bullet"/>
      <w:lvlText w:val="•"/>
      <w:lvlJc w:val="left"/>
      <w:pPr>
        <w:ind w:left="6124" w:hanging="315"/>
      </w:pPr>
      <w:rPr>
        <w:rFonts w:hint="default"/>
        <w:lang w:val="ru-RU" w:eastAsia="en-US" w:bidi="ar-SA"/>
      </w:rPr>
    </w:lvl>
  </w:abstractNum>
  <w:abstractNum w:abstractNumId="177">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1"/>
      <w:numFmt w:val="decimal"/>
      <w:lvlText w:val="%2."/>
      <w:lvlJc w:val="left"/>
      <w:pPr>
        <w:ind w:left="708" w:hanging="284"/>
        <w:jc w:val="left"/>
      </w:pPr>
      <w:rPr>
        <w:rFonts w:hint="default"/>
        <w:spacing w:val="0"/>
        <w:w w:val="100"/>
        <w:lang w:val="ru-RU" w:eastAsia="en-US" w:bidi="ar-SA"/>
      </w:rPr>
    </w:lvl>
    <w:lvl w:ilvl="2">
      <w:start w:val="0"/>
      <w:numFmt w:val="bullet"/>
      <w:lvlText w:val="•"/>
      <w:lvlJc w:val="left"/>
      <w:pPr>
        <w:ind w:left="1460" w:hanging="284"/>
      </w:pPr>
      <w:rPr>
        <w:rFonts w:hint="default"/>
        <w:lang w:val="ru-RU" w:eastAsia="en-US" w:bidi="ar-SA"/>
      </w:rPr>
    </w:lvl>
    <w:lvl w:ilvl="3">
      <w:start w:val="0"/>
      <w:numFmt w:val="bullet"/>
      <w:lvlText w:val="•"/>
      <w:lvlJc w:val="left"/>
      <w:pPr>
        <w:ind w:left="2220" w:hanging="284"/>
      </w:pPr>
      <w:rPr>
        <w:rFonts w:hint="default"/>
        <w:lang w:val="ru-RU" w:eastAsia="en-US" w:bidi="ar-SA"/>
      </w:rPr>
    </w:lvl>
    <w:lvl w:ilvl="4">
      <w:start w:val="0"/>
      <w:numFmt w:val="bullet"/>
      <w:lvlText w:val="•"/>
      <w:lvlJc w:val="left"/>
      <w:pPr>
        <w:ind w:left="2980" w:hanging="284"/>
      </w:pPr>
      <w:rPr>
        <w:rFonts w:hint="default"/>
        <w:lang w:val="ru-RU" w:eastAsia="en-US" w:bidi="ar-SA"/>
      </w:rPr>
    </w:lvl>
    <w:lvl w:ilvl="5">
      <w:start w:val="0"/>
      <w:numFmt w:val="bullet"/>
      <w:lvlText w:val="•"/>
      <w:lvlJc w:val="left"/>
      <w:pPr>
        <w:ind w:left="3740" w:hanging="284"/>
      </w:pPr>
      <w:rPr>
        <w:rFonts w:hint="default"/>
        <w:lang w:val="ru-RU" w:eastAsia="en-US" w:bidi="ar-SA"/>
      </w:rPr>
    </w:lvl>
    <w:lvl w:ilvl="6">
      <w:start w:val="0"/>
      <w:numFmt w:val="bullet"/>
      <w:lvlText w:val="•"/>
      <w:lvlJc w:val="left"/>
      <w:pPr>
        <w:ind w:left="4500" w:hanging="284"/>
      </w:pPr>
      <w:rPr>
        <w:rFonts w:hint="default"/>
        <w:lang w:val="ru-RU" w:eastAsia="en-US" w:bidi="ar-SA"/>
      </w:rPr>
    </w:lvl>
    <w:lvl w:ilvl="7">
      <w:start w:val="0"/>
      <w:numFmt w:val="bullet"/>
      <w:lvlText w:val="•"/>
      <w:lvlJc w:val="left"/>
      <w:pPr>
        <w:ind w:left="5260" w:hanging="284"/>
      </w:pPr>
      <w:rPr>
        <w:rFonts w:hint="default"/>
        <w:lang w:val="ru-RU" w:eastAsia="en-US" w:bidi="ar-SA"/>
      </w:rPr>
    </w:lvl>
    <w:lvl w:ilvl="8">
      <w:start w:val="0"/>
      <w:numFmt w:val="bullet"/>
      <w:lvlText w:val="•"/>
      <w:lvlJc w:val="left"/>
      <w:pPr>
        <w:ind w:left="6020" w:hanging="284"/>
      </w:pPr>
      <w:rPr>
        <w:rFonts w:hint="default"/>
        <w:lang w:val="ru-RU" w:eastAsia="en-US" w:bidi="ar-SA"/>
      </w:rPr>
    </w:lvl>
  </w:abstractNum>
  <w:abstractNum w:abstractNumId="176">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75">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73">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71">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70">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68">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67">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66">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65">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64">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62">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61">
    <w:multiLevelType w:val="hybridMultilevel"/>
    <w:lvl w:ilvl="0">
      <w:start w:val="4"/>
      <w:numFmt w:val="decimal"/>
      <w:lvlText w:val="%1"/>
      <w:lvlJc w:val="left"/>
      <w:pPr>
        <w:ind w:left="2064" w:hanging="500"/>
        <w:jc w:val="left"/>
      </w:pPr>
      <w:rPr>
        <w:rFonts w:hint="default"/>
        <w:lang w:val="ru-RU" w:eastAsia="en-US" w:bidi="ar-SA"/>
      </w:rPr>
    </w:lvl>
    <w:lvl w:ilvl="1">
      <w:start w:val="4"/>
      <w:numFmt w:val="decimal"/>
      <w:lvlText w:val="%1.%2"/>
      <w:lvlJc w:val="left"/>
      <w:pPr>
        <w:ind w:left="2064" w:hanging="500"/>
        <w:jc w:val="left"/>
      </w:pPr>
      <w:rPr>
        <w:rFonts w:hint="default"/>
        <w:lang w:val="ru-RU" w:eastAsia="en-US" w:bidi="ar-SA"/>
      </w:rPr>
    </w:lvl>
    <w:lvl w:ilvl="2">
      <w:start w:val="1"/>
      <w:numFmt w:val="decimal"/>
      <w:lvlText w:val="%1.%2.%3."/>
      <w:lvlJc w:val="left"/>
      <w:pPr>
        <w:ind w:left="2064" w:hanging="500"/>
        <w:jc w:val="right"/>
      </w:pPr>
      <w:rPr>
        <w:rFonts w:hint="default" w:ascii="Times New Roman" w:hAnsi="Times New Roman" w:eastAsia="Times New Roman" w:cs="Times New Roman"/>
        <w:b/>
        <w:bCs/>
        <w:i w:val="0"/>
        <w:iCs w:val="0"/>
        <w:color w:val="231F20"/>
        <w:spacing w:val="0"/>
        <w:w w:val="100"/>
        <w:sz w:val="20"/>
        <w:szCs w:val="20"/>
        <w:lang w:val="ru-RU" w:eastAsia="en-US" w:bidi="ar-SA"/>
      </w:rPr>
    </w:lvl>
    <w:lvl w:ilvl="3">
      <w:start w:val="0"/>
      <w:numFmt w:val="bullet"/>
      <w:lvlText w:val="•"/>
      <w:lvlJc w:val="left"/>
      <w:pPr>
        <w:ind w:left="3704" w:hanging="500"/>
      </w:pPr>
      <w:rPr>
        <w:rFonts w:hint="default"/>
        <w:lang w:val="ru-RU" w:eastAsia="en-US" w:bidi="ar-SA"/>
      </w:rPr>
    </w:lvl>
    <w:lvl w:ilvl="4">
      <w:start w:val="0"/>
      <w:numFmt w:val="bullet"/>
      <w:lvlText w:val="•"/>
      <w:lvlJc w:val="left"/>
      <w:pPr>
        <w:ind w:left="4252" w:hanging="500"/>
      </w:pPr>
      <w:rPr>
        <w:rFonts w:hint="default"/>
        <w:lang w:val="ru-RU" w:eastAsia="en-US" w:bidi="ar-SA"/>
      </w:rPr>
    </w:lvl>
    <w:lvl w:ilvl="5">
      <w:start w:val="0"/>
      <w:numFmt w:val="bullet"/>
      <w:lvlText w:val="•"/>
      <w:lvlJc w:val="left"/>
      <w:pPr>
        <w:ind w:left="4800" w:hanging="500"/>
      </w:pPr>
      <w:rPr>
        <w:rFonts w:hint="default"/>
        <w:lang w:val="ru-RU" w:eastAsia="en-US" w:bidi="ar-SA"/>
      </w:rPr>
    </w:lvl>
    <w:lvl w:ilvl="6">
      <w:start w:val="0"/>
      <w:numFmt w:val="bullet"/>
      <w:lvlText w:val="•"/>
      <w:lvlJc w:val="left"/>
      <w:pPr>
        <w:ind w:left="5348" w:hanging="500"/>
      </w:pPr>
      <w:rPr>
        <w:rFonts w:hint="default"/>
        <w:lang w:val="ru-RU" w:eastAsia="en-US" w:bidi="ar-SA"/>
      </w:rPr>
    </w:lvl>
    <w:lvl w:ilvl="7">
      <w:start w:val="0"/>
      <w:numFmt w:val="bullet"/>
      <w:lvlText w:val="•"/>
      <w:lvlJc w:val="left"/>
      <w:pPr>
        <w:ind w:left="5896" w:hanging="500"/>
      </w:pPr>
      <w:rPr>
        <w:rFonts w:hint="default"/>
        <w:lang w:val="ru-RU" w:eastAsia="en-US" w:bidi="ar-SA"/>
      </w:rPr>
    </w:lvl>
    <w:lvl w:ilvl="8">
      <w:start w:val="0"/>
      <w:numFmt w:val="bullet"/>
      <w:lvlText w:val="•"/>
      <w:lvlJc w:val="left"/>
      <w:pPr>
        <w:ind w:left="6444" w:hanging="500"/>
      </w:pPr>
      <w:rPr>
        <w:rFonts w:hint="default"/>
        <w:lang w:val="ru-RU" w:eastAsia="en-US" w:bidi="ar-SA"/>
      </w:rPr>
    </w:lvl>
  </w:abstractNum>
  <w:abstractNum w:abstractNumId="160">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157">
    <w:multiLevelType w:val="hybridMultilevel"/>
    <w:lvl w:ilvl="0">
      <w:start w:val="0"/>
      <w:numFmt w:val="bullet"/>
      <w:lvlText w:val=""/>
      <w:lvlJc w:val="left"/>
      <w:pPr>
        <w:ind w:left="425" w:hanging="284"/>
      </w:pPr>
      <w:rPr>
        <w:rFonts w:hint="default" w:ascii="Symbol" w:hAnsi="Symbol" w:eastAsia="Symbol" w:cs="Symbol"/>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56">
    <w:multiLevelType w:val="hybridMultilevel"/>
    <w:lvl w:ilvl="0">
      <w:start w:val="0"/>
      <w:numFmt w:val="bullet"/>
      <w:lvlText w:val="•"/>
      <w:lvlJc w:val="left"/>
      <w:pPr>
        <w:ind w:left="425" w:hanging="284"/>
      </w:pPr>
      <w:rPr>
        <w:rFonts w:hint="default" w:ascii="Trebuchet MS" w:hAnsi="Trebuchet MS" w:eastAsia="Trebuchet MS" w:cs="Trebuchet MS"/>
        <w:b w:val="0"/>
        <w:bCs w:val="0"/>
        <w:i w:val="0"/>
        <w:iCs w:val="0"/>
        <w:spacing w:val="0"/>
        <w:w w:val="53"/>
        <w:position w:val="-1"/>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54">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53">
    <w:multiLevelType w:val="hybridMultilevel"/>
    <w:lvl w:ilvl="0">
      <w:start w:val="4"/>
      <w:numFmt w:val="decimal"/>
      <w:lvlText w:val="%1"/>
      <w:lvlJc w:val="left"/>
      <w:pPr>
        <w:ind w:left="456" w:hanging="315"/>
        <w:jc w:val="left"/>
      </w:pPr>
      <w:rPr>
        <w:rFonts w:hint="default"/>
        <w:lang w:val="ru-RU" w:eastAsia="en-US" w:bidi="ar-SA"/>
      </w:rPr>
    </w:lvl>
    <w:lvl w:ilvl="1">
      <w:start w:val="3"/>
      <w:numFmt w:val="decimal"/>
      <w:lvlText w:val="%1.%2."/>
      <w:lvlJc w:val="left"/>
      <w:pPr>
        <w:ind w:left="456" w:hanging="315"/>
        <w:jc w:val="left"/>
      </w:pPr>
      <w:rPr>
        <w:rFonts w:hint="default" w:ascii="Georgia" w:hAnsi="Georgia" w:eastAsia="Georgia" w:cs="Georgia"/>
        <w:b w:val="0"/>
        <w:bCs w:val="0"/>
        <w:i w:val="0"/>
        <w:iCs w:val="0"/>
        <w:color w:val="231F20"/>
        <w:spacing w:val="0"/>
        <w:w w:val="90"/>
        <w:sz w:val="18"/>
        <w:szCs w:val="18"/>
        <w:lang w:val="ru-RU" w:eastAsia="en-US" w:bidi="ar-SA"/>
      </w:rPr>
    </w:lvl>
    <w:lvl w:ilvl="2">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3">
      <w:start w:val="0"/>
      <w:numFmt w:val="bullet"/>
      <w:lvlText w:val="•"/>
      <w:lvlJc w:val="left"/>
      <w:pPr>
        <w:ind w:left="2033" w:hanging="284"/>
      </w:pPr>
      <w:rPr>
        <w:rFonts w:hint="default"/>
        <w:lang w:val="ru-RU" w:eastAsia="en-US" w:bidi="ar-SA"/>
      </w:rPr>
    </w:lvl>
    <w:lvl w:ilvl="4">
      <w:start w:val="0"/>
      <w:numFmt w:val="bullet"/>
      <w:lvlText w:val="•"/>
      <w:lvlJc w:val="left"/>
      <w:pPr>
        <w:ind w:left="2820" w:hanging="284"/>
      </w:pPr>
      <w:rPr>
        <w:rFonts w:hint="default"/>
        <w:lang w:val="ru-RU" w:eastAsia="en-US" w:bidi="ar-SA"/>
      </w:rPr>
    </w:lvl>
    <w:lvl w:ilvl="5">
      <w:start w:val="0"/>
      <w:numFmt w:val="bullet"/>
      <w:lvlText w:val="•"/>
      <w:lvlJc w:val="left"/>
      <w:pPr>
        <w:ind w:left="3606" w:hanging="284"/>
      </w:pPr>
      <w:rPr>
        <w:rFonts w:hint="default"/>
        <w:lang w:val="ru-RU" w:eastAsia="en-US" w:bidi="ar-SA"/>
      </w:rPr>
    </w:lvl>
    <w:lvl w:ilvl="6">
      <w:start w:val="0"/>
      <w:numFmt w:val="bullet"/>
      <w:lvlText w:val="•"/>
      <w:lvlJc w:val="left"/>
      <w:pPr>
        <w:ind w:left="4393" w:hanging="284"/>
      </w:pPr>
      <w:rPr>
        <w:rFonts w:hint="default"/>
        <w:lang w:val="ru-RU" w:eastAsia="en-US" w:bidi="ar-SA"/>
      </w:rPr>
    </w:lvl>
    <w:lvl w:ilvl="7">
      <w:start w:val="0"/>
      <w:numFmt w:val="bullet"/>
      <w:lvlText w:val="•"/>
      <w:lvlJc w:val="left"/>
      <w:pPr>
        <w:ind w:left="5180" w:hanging="284"/>
      </w:pPr>
      <w:rPr>
        <w:rFonts w:hint="default"/>
        <w:lang w:val="ru-RU" w:eastAsia="en-US" w:bidi="ar-SA"/>
      </w:rPr>
    </w:lvl>
    <w:lvl w:ilvl="8">
      <w:start w:val="0"/>
      <w:numFmt w:val="bullet"/>
      <w:lvlText w:val="•"/>
      <w:lvlJc w:val="left"/>
      <w:pPr>
        <w:ind w:left="5967" w:hanging="284"/>
      </w:pPr>
      <w:rPr>
        <w:rFonts w:hint="default"/>
        <w:lang w:val="ru-RU" w:eastAsia="en-US" w:bidi="ar-SA"/>
      </w:rPr>
    </w:lvl>
  </w:abstractNum>
  <w:abstractNum w:abstractNumId="152">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151">
    <w:multiLevelType w:val="hybridMultilevel"/>
    <w:lvl w:ilvl="0">
      <w:start w:val="0"/>
      <w:numFmt w:val="bullet"/>
      <w:lvlText w:val="•"/>
      <w:lvlJc w:val="left"/>
      <w:pPr>
        <w:ind w:left="141" w:hanging="437"/>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880" w:hanging="437"/>
      </w:pPr>
      <w:rPr>
        <w:rFonts w:hint="default"/>
        <w:lang w:val="ru-RU" w:eastAsia="en-US" w:bidi="ar-SA"/>
      </w:rPr>
    </w:lvl>
    <w:lvl w:ilvl="2">
      <w:start w:val="0"/>
      <w:numFmt w:val="bullet"/>
      <w:lvlText w:val="•"/>
      <w:lvlJc w:val="left"/>
      <w:pPr>
        <w:ind w:left="1620" w:hanging="437"/>
      </w:pPr>
      <w:rPr>
        <w:rFonts w:hint="default"/>
        <w:lang w:val="ru-RU" w:eastAsia="en-US" w:bidi="ar-SA"/>
      </w:rPr>
    </w:lvl>
    <w:lvl w:ilvl="3">
      <w:start w:val="0"/>
      <w:numFmt w:val="bullet"/>
      <w:lvlText w:val="•"/>
      <w:lvlJc w:val="left"/>
      <w:pPr>
        <w:ind w:left="2360" w:hanging="437"/>
      </w:pPr>
      <w:rPr>
        <w:rFonts w:hint="default"/>
        <w:lang w:val="ru-RU" w:eastAsia="en-US" w:bidi="ar-SA"/>
      </w:rPr>
    </w:lvl>
    <w:lvl w:ilvl="4">
      <w:start w:val="0"/>
      <w:numFmt w:val="bullet"/>
      <w:lvlText w:val="•"/>
      <w:lvlJc w:val="left"/>
      <w:pPr>
        <w:ind w:left="3100" w:hanging="437"/>
      </w:pPr>
      <w:rPr>
        <w:rFonts w:hint="default"/>
        <w:lang w:val="ru-RU" w:eastAsia="en-US" w:bidi="ar-SA"/>
      </w:rPr>
    </w:lvl>
    <w:lvl w:ilvl="5">
      <w:start w:val="0"/>
      <w:numFmt w:val="bullet"/>
      <w:lvlText w:val="•"/>
      <w:lvlJc w:val="left"/>
      <w:pPr>
        <w:ind w:left="3840" w:hanging="437"/>
      </w:pPr>
      <w:rPr>
        <w:rFonts w:hint="default"/>
        <w:lang w:val="ru-RU" w:eastAsia="en-US" w:bidi="ar-SA"/>
      </w:rPr>
    </w:lvl>
    <w:lvl w:ilvl="6">
      <w:start w:val="0"/>
      <w:numFmt w:val="bullet"/>
      <w:lvlText w:val="•"/>
      <w:lvlJc w:val="left"/>
      <w:pPr>
        <w:ind w:left="4580" w:hanging="437"/>
      </w:pPr>
      <w:rPr>
        <w:rFonts w:hint="default"/>
        <w:lang w:val="ru-RU" w:eastAsia="en-US" w:bidi="ar-SA"/>
      </w:rPr>
    </w:lvl>
    <w:lvl w:ilvl="7">
      <w:start w:val="0"/>
      <w:numFmt w:val="bullet"/>
      <w:lvlText w:val="•"/>
      <w:lvlJc w:val="left"/>
      <w:pPr>
        <w:ind w:left="5320" w:hanging="437"/>
      </w:pPr>
      <w:rPr>
        <w:rFonts w:hint="default"/>
        <w:lang w:val="ru-RU" w:eastAsia="en-US" w:bidi="ar-SA"/>
      </w:rPr>
    </w:lvl>
    <w:lvl w:ilvl="8">
      <w:start w:val="0"/>
      <w:numFmt w:val="bullet"/>
      <w:lvlText w:val="•"/>
      <w:lvlJc w:val="left"/>
      <w:pPr>
        <w:ind w:left="6060" w:hanging="437"/>
      </w:pPr>
      <w:rPr>
        <w:rFonts w:hint="default"/>
        <w:lang w:val="ru-RU" w:eastAsia="en-US" w:bidi="ar-SA"/>
      </w:rPr>
    </w:lvl>
  </w:abstractNum>
  <w:abstractNum w:abstractNumId="149">
    <w:multiLevelType w:val="hybridMultilevel"/>
    <w:lvl w:ilvl="0">
      <w:start w:val="0"/>
      <w:numFmt w:val="bullet"/>
      <w:lvlText w:val="▪"/>
      <w:lvlJc w:val="left"/>
      <w:pPr>
        <w:ind w:left="708"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148">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47">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1"/>
      <w:numFmt w:val="decimal"/>
      <w:lvlText w:val="%2."/>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2">
      <w:start w:val="0"/>
      <w:numFmt w:val="bullet"/>
      <w:lvlText w:val="•"/>
      <w:lvlJc w:val="left"/>
      <w:pPr>
        <w:ind w:left="1460" w:hanging="284"/>
      </w:pPr>
      <w:rPr>
        <w:rFonts w:hint="default"/>
        <w:lang w:val="ru-RU" w:eastAsia="en-US" w:bidi="ar-SA"/>
      </w:rPr>
    </w:lvl>
    <w:lvl w:ilvl="3">
      <w:start w:val="0"/>
      <w:numFmt w:val="bullet"/>
      <w:lvlText w:val="•"/>
      <w:lvlJc w:val="left"/>
      <w:pPr>
        <w:ind w:left="2220" w:hanging="284"/>
      </w:pPr>
      <w:rPr>
        <w:rFonts w:hint="default"/>
        <w:lang w:val="ru-RU" w:eastAsia="en-US" w:bidi="ar-SA"/>
      </w:rPr>
    </w:lvl>
    <w:lvl w:ilvl="4">
      <w:start w:val="0"/>
      <w:numFmt w:val="bullet"/>
      <w:lvlText w:val="•"/>
      <w:lvlJc w:val="left"/>
      <w:pPr>
        <w:ind w:left="2980" w:hanging="284"/>
      </w:pPr>
      <w:rPr>
        <w:rFonts w:hint="default"/>
        <w:lang w:val="ru-RU" w:eastAsia="en-US" w:bidi="ar-SA"/>
      </w:rPr>
    </w:lvl>
    <w:lvl w:ilvl="5">
      <w:start w:val="0"/>
      <w:numFmt w:val="bullet"/>
      <w:lvlText w:val="•"/>
      <w:lvlJc w:val="left"/>
      <w:pPr>
        <w:ind w:left="3740" w:hanging="284"/>
      </w:pPr>
      <w:rPr>
        <w:rFonts w:hint="default"/>
        <w:lang w:val="ru-RU" w:eastAsia="en-US" w:bidi="ar-SA"/>
      </w:rPr>
    </w:lvl>
    <w:lvl w:ilvl="6">
      <w:start w:val="0"/>
      <w:numFmt w:val="bullet"/>
      <w:lvlText w:val="•"/>
      <w:lvlJc w:val="left"/>
      <w:pPr>
        <w:ind w:left="4500" w:hanging="284"/>
      </w:pPr>
      <w:rPr>
        <w:rFonts w:hint="default"/>
        <w:lang w:val="ru-RU" w:eastAsia="en-US" w:bidi="ar-SA"/>
      </w:rPr>
    </w:lvl>
    <w:lvl w:ilvl="7">
      <w:start w:val="0"/>
      <w:numFmt w:val="bullet"/>
      <w:lvlText w:val="•"/>
      <w:lvlJc w:val="left"/>
      <w:pPr>
        <w:ind w:left="5260" w:hanging="284"/>
      </w:pPr>
      <w:rPr>
        <w:rFonts w:hint="default"/>
        <w:lang w:val="ru-RU" w:eastAsia="en-US" w:bidi="ar-SA"/>
      </w:rPr>
    </w:lvl>
    <w:lvl w:ilvl="8">
      <w:start w:val="0"/>
      <w:numFmt w:val="bullet"/>
      <w:lvlText w:val="•"/>
      <w:lvlJc w:val="left"/>
      <w:pPr>
        <w:ind w:left="6020" w:hanging="284"/>
      </w:pPr>
      <w:rPr>
        <w:rFonts w:hint="default"/>
        <w:lang w:val="ru-RU" w:eastAsia="en-US" w:bidi="ar-SA"/>
      </w:rPr>
    </w:lvl>
  </w:abstractNum>
  <w:abstractNum w:abstractNumId="146">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45">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44">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43">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42">
    <w:multiLevelType w:val="hybridMultilevel"/>
    <w:lvl w:ilvl="0">
      <w:start w:val="4"/>
      <w:numFmt w:val="decimal"/>
      <w:lvlText w:val="%1"/>
      <w:lvlJc w:val="left"/>
      <w:pPr>
        <w:ind w:left="456" w:hanging="315"/>
        <w:jc w:val="left"/>
      </w:pPr>
      <w:rPr>
        <w:rFonts w:hint="default"/>
        <w:lang w:val="ru-RU" w:eastAsia="en-US" w:bidi="ar-SA"/>
      </w:rPr>
    </w:lvl>
    <w:lvl w:ilvl="1">
      <w:start w:val="3"/>
      <w:numFmt w:val="decimal"/>
      <w:lvlText w:val="%1.%2."/>
      <w:lvlJc w:val="left"/>
      <w:pPr>
        <w:ind w:left="456" w:hanging="315"/>
        <w:jc w:val="right"/>
      </w:pPr>
      <w:rPr>
        <w:rFonts w:hint="default"/>
        <w:spacing w:val="0"/>
        <w:w w:val="90"/>
        <w:lang w:val="ru-RU" w:eastAsia="en-US" w:bidi="ar-SA"/>
      </w:rPr>
    </w:lvl>
    <w:lvl w:ilvl="2">
      <w:start w:val="5"/>
      <w:numFmt w:val="decimal"/>
      <w:lvlText w:val="%1.%2.%3."/>
      <w:lvlJc w:val="left"/>
      <w:pPr>
        <w:ind w:left="1021" w:hanging="500"/>
        <w:jc w:val="right"/>
      </w:pPr>
      <w:rPr>
        <w:rFonts w:hint="default" w:ascii="Times New Roman" w:hAnsi="Times New Roman" w:eastAsia="Times New Roman" w:cs="Times New Roman"/>
        <w:b/>
        <w:bCs/>
        <w:i w:val="0"/>
        <w:iCs w:val="0"/>
        <w:color w:val="231F20"/>
        <w:spacing w:val="0"/>
        <w:w w:val="100"/>
        <w:sz w:val="20"/>
        <w:szCs w:val="20"/>
        <w:lang w:val="ru-RU" w:eastAsia="en-US" w:bidi="ar-SA"/>
      </w:rPr>
    </w:lvl>
    <w:lvl w:ilvl="3">
      <w:start w:val="0"/>
      <w:numFmt w:val="bullet"/>
      <w:lvlText w:val="•"/>
      <w:lvlJc w:val="left"/>
      <w:pPr>
        <w:ind w:left="2469" w:hanging="500"/>
      </w:pPr>
      <w:rPr>
        <w:rFonts w:hint="default"/>
        <w:lang w:val="ru-RU" w:eastAsia="en-US" w:bidi="ar-SA"/>
      </w:rPr>
    </w:lvl>
    <w:lvl w:ilvl="4">
      <w:start w:val="0"/>
      <w:numFmt w:val="bullet"/>
      <w:lvlText w:val="•"/>
      <w:lvlJc w:val="left"/>
      <w:pPr>
        <w:ind w:left="3193" w:hanging="500"/>
      </w:pPr>
      <w:rPr>
        <w:rFonts w:hint="default"/>
        <w:lang w:val="ru-RU" w:eastAsia="en-US" w:bidi="ar-SA"/>
      </w:rPr>
    </w:lvl>
    <w:lvl w:ilvl="5">
      <w:start w:val="0"/>
      <w:numFmt w:val="bullet"/>
      <w:lvlText w:val="•"/>
      <w:lvlJc w:val="left"/>
      <w:pPr>
        <w:ind w:left="3918" w:hanging="500"/>
      </w:pPr>
      <w:rPr>
        <w:rFonts w:hint="default"/>
        <w:lang w:val="ru-RU" w:eastAsia="en-US" w:bidi="ar-SA"/>
      </w:rPr>
    </w:lvl>
    <w:lvl w:ilvl="6">
      <w:start w:val="0"/>
      <w:numFmt w:val="bullet"/>
      <w:lvlText w:val="•"/>
      <w:lvlJc w:val="left"/>
      <w:pPr>
        <w:ind w:left="4642" w:hanging="500"/>
      </w:pPr>
      <w:rPr>
        <w:rFonts w:hint="default"/>
        <w:lang w:val="ru-RU" w:eastAsia="en-US" w:bidi="ar-SA"/>
      </w:rPr>
    </w:lvl>
    <w:lvl w:ilvl="7">
      <w:start w:val="0"/>
      <w:numFmt w:val="bullet"/>
      <w:lvlText w:val="•"/>
      <w:lvlJc w:val="left"/>
      <w:pPr>
        <w:ind w:left="5367" w:hanging="500"/>
      </w:pPr>
      <w:rPr>
        <w:rFonts w:hint="default"/>
        <w:lang w:val="ru-RU" w:eastAsia="en-US" w:bidi="ar-SA"/>
      </w:rPr>
    </w:lvl>
    <w:lvl w:ilvl="8">
      <w:start w:val="0"/>
      <w:numFmt w:val="bullet"/>
      <w:lvlText w:val="•"/>
      <w:lvlJc w:val="left"/>
      <w:pPr>
        <w:ind w:left="6091" w:hanging="500"/>
      </w:pPr>
      <w:rPr>
        <w:rFonts w:hint="default"/>
        <w:lang w:val="ru-RU" w:eastAsia="en-US" w:bidi="ar-SA"/>
      </w:rPr>
    </w:lvl>
  </w:abstractNum>
  <w:abstractNum w:abstractNumId="141">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40">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139">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38">
    <w:multiLevelType w:val="hybridMultilevel"/>
    <w:lvl w:ilvl="0">
      <w:start w:val="0"/>
      <w:numFmt w:val="bullet"/>
      <w:lvlText w:val="–"/>
      <w:lvlJc w:val="left"/>
      <w:pPr>
        <w:ind w:left="425" w:hanging="284"/>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37">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35">
    <w:multiLevelType w:val="hybridMultilevel"/>
    <w:lvl w:ilvl="0">
      <w:start w:val="0"/>
      <w:numFmt w:val="bullet"/>
      <w:lvlText w:val="–"/>
      <w:lvlJc w:val="left"/>
      <w:pPr>
        <w:ind w:left="425" w:hanging="284"/>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34">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33">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32">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31">
    <w:multiLevelType w:val="hybridMultilevel"/>
    <w:lvl w:ilvl="0">
      <w:start w:val="0"/>
      <w:numFmt w:val="bullet"/>
      <w:lvlText w:val="o"/>
      <w:lvlJc w:val="left"/>
      <w:pPr>
        <w:ind w:left="425" w:hanging="284"/>
      </w:pPr>
      <w:rPr>
        <w:rFonts w:hint="default" w:ascii="Courier New" w:hAnsi="Courier New" w:eastAsia="Courier New" w:cs="Courier New"/>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30">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128">
    <w:multiLevelType w:val="hybridMultilevel"/>
    <w:lvl w:ilvl="0">
      <w:start w:val="0"/>
      <w:numFmt w:val="bullet"/>
      <w:lvlText w:val="–"/>
      <w:lvlJc w:val="left"/>
      <w:pPr>
        <w:ind w:left="425" w:hanging="284"/>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26">
    <w:multiLevelType w:val="hybridMultilevel"/>
    <w:lvl w:ilvl="0">
      <w:start w:val="0"/>
      <w:numFmt w:val="bullet"/>
      <w:lvlText w:val="▪"/>
      <w:lvlJc w:val="left"/>
      <w:pPr>
        <w:ind w:left="425" w:hanging="284"/>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708"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2">
      <w:start w:val="0"/>
      <w:numFmt w:val="bullet"/>
      <w:lvlText w:val="•"/>
      <w:lvlJc w:val="left"/>
      <w:pPr>
        <w:ind w:left="1460" w:hanging="284"/>
      </w:pPr>
      <w:rPr>
        <w:rFonts w:hint="default"/>
        <w:lang w:val="ru-RU" w:eastAsia="en-US" w:bidi="ar-SA"/>
      </w:rPr>
    </w:lvl>
    <w:lvl w:ilvl="3">
      <w:start w:val="0"/>
      <w:numFmt w:val="bullet"/>
      <w:lvlText w:val="•"/>
      <w:lvlJc w:val="left"/>
      <w:pPr>
        <w:ind w:left="2220" w:hanging="284"/>
      </w:pPr>
      <w:rPr>
        <w:rFonts w:hint="default"/>
        <w:lang w:val="ru-RU" w:eastAsia="en-US" w:bidi="ar-SA"/>
      </w:rPr>
    </w:lvl>
    <w:lvl w:ilvl="4">
      <w:start w:val="0"/>
      <w:numFmt w:val="bullet"/>
      <w:lvlText w:val="•"/>
      <w:lvlJc w:val="left"/>
      <w:pPr>
        <w:ind w:left="2980" w:hanging="284"/>
      </w:pPr>
      <w:rPr>
        <w:rFonts w:hint="default"/>
        <w:lang w:val="ru-RU" w:eastAsia="en-US" w:bidi="ar-SA"/>
      </w:rPr>
    </w:lvl>
    <w:lvl w:ilvl="5">
      <w:start w:val="0"/>
      <w:numFmt w:val="bullet"/>
      <w:lvlText w:val="•"/>
      <w:lvlJc w:val="left"/>
      <w:pPr>
        <w:ind w:left="3740" w:hanging="284"/>
      </w:pPr>
      <w:rPr>
        <w:rFonts w:hint="default"/>
        <w:lang w:val="ru-RU" w:eastAsia="en-US" w:bidi="ar-SA"/>
      </w:rPr>
    </w:lvl>
    <w:lvl w:ilvl="6">
      <w:start w:val="0"/>
      <w:numFmt w:val="bullet"/>
      <w:lvlText w:val="•"/>
      <w:lvlJc w:val="left"/>
      <w:pPr>
        <w:ind w:left="4500" w:hanging="284"/>
      </w:pPr>
      <w:rPr>
        <w:rFonts w:hint="default"/>
        <w:lang w:val="ru-RU" w:eastAsia="en-US" w:bidi="ar-SA"/>
      </w:rPr>
    </w:lvl>
    <w:lvl w:ilvl="7">
      <w:start w:val="0"/>
      <w:numFmt w:val="bullet"/>
      <w:lvlText w:val="•"/>
      <w:lvlJc w:val="left"/>
      <w:pPr>
        <w:ind w:left="5260" w:hanging="284"/>
      </w:pPr>
      <w:rPr>
        <w:rFonts w:hint="default"/>
        <w:lang w:val="ru-RU" w:eastAsia="en-US" w:bidi="ar-SA"/>
      </w:rPr>
    </w:lvl>
    <w:lvl w:ilvl="8">
      <w:start w:val="0"/>
      <w:numFmt w:val="bullet"/>
      <w:lvlText w:val="•"/>
      <w:lvlJc w:val="left"/>
      <w:pPr>
        <w:ind w:left="6020" w:hanging="284"/>
      </w:pPr>
      <w:rPr>
        <w:rFonts w:hint="default"/>
        <w:lang w:val="ru-RU" w:eastAsia="en-US" w:bidi="ar-SA"/>
      </w:rPr>
    </w:lvl>
  </w:abstractNum>
  <w:abstractNum w:abstractNumId="125">
    <w:multiLevelType w:val="hybridMultilevel"/>
    <w:lvl w:ilvl="0">
      <w:start w:val="0"/>
      <w:numFmt w:val="bullet"/>
      <w:lvlText w:val="▪"/>
      <w:lvlJc w:val="left"/>
      <w:pPr>
        <w:ind w:left="546" w:hanging="121"/>
      </w:pPr>
      <w:rPr>
        <w:rFonts w:hint="default" w:ascii="Times New Roman" w:hAnsi="Times New Roman" w:eastAsia="Times New Roman" w:cs="Times New Roman"/>
        <w:b w:val="0"/>
        <w:bCs w:val="0"/>
        <w:i/>
        <w:iCs/>
        <w:spacing w:val="0"/>
        <w:w w:val="100"/>
        <w:sz w:val="20"/>
        <w:szCs w:val="20"/>
        <w:lang w:val="ru-RU" w:eastAsia="en-US" w:bidi="ar-SA"/>
      </w:rPr>
    </w:lvl>
    <w:lvl w:ilvl="1">
      <w:start w:val="0"/>
      <w:numFmt w:val="bullet"/>
      <w:lvlText w:val="•"/>
      <w:lvlJc w:val="left"/>
      <w:pPr>
        <w:ind w:left="1240" w:hanging="121"/>
      </w:pPr>
      <w:rPr>
        <w:rFonts w:hint="default"/>
        <w:lang w:val="ru-RU" w:eastAsia="en-US" w:bidi="ar-SA"/>
      </w:rPr>
    </w:lvl>
    <w:lvl w:ilvl="2">
      <w:start w:val="0"/>
      <w:numFmt w:val="bullet"/>
      <w:lvlText w:val="•"/>
      <w:lvlJc w:val="left"/>
      <w:pPr>
        <w:ind w:left="1940" w:hanging="121"/>
      </w:pPr>
      <w:rPr>
        <w:rFonts w:hint="default"/>
        <w:lang w:val="ru-RU" w:eastAsia="en-US" w:bidi="ar-SA"/>
      </w:rPr>
    </w:lvl>
    <w:lvl w:ilvl="3">
      <w:start w:val="0"/>
      <w:numFmt w:val="bullet"/>
      <w:lvlText w:val="•"/>
      <w:lvlJc w:val="left"/>
      <w:pPr>
        <w:ind w:left="2640" w:hanging="121"/>
      </w:pPr>
      <w:rPr>
        <w:rFonts w:hint="default"/>
        <w:lang w:val="ru-RU" w:eastAsia="en-US" w:bidi="ar-SA"/>
      </w:rPr>
    </w:lvl>
    <w:lvl w:ilvl="4">
      <w:start w:val="0"/>
      <w:numFmt w:val="bullet"/>
      <w:lvlText w:val="•"/>
      <w:lvlJc w:val="left"/>
      <w:pPr>
        <w:ind w:left="3340" w:hanging="121"/>
      </w:pPr>
      <w:rPr>
        <w:rFonts w:hint="default"/>
        <w:lang w:val="ru-RU" w:eastAsia="en-US" w:bidi="ar-SA"/>
      </w:rPr>
    </w:lvl>
    <w:lvl w:ilvl="5">
      <w:start w:val="0"/>
      <w:numFmt w:val="bullet"/>
      <w:lvlText w:val="•"/>
      <w:lvlJc w:val="left"/>
      <w:pPr>
        <w:ind w:left="4040" w:hanging="121"/>
      </w:pPr>
      <w:rPr>
        <w:rFonts w:hint="default"/>
        <w:lang w:val="ru-RU" w:eastAsia="en-US" w:bidi="ar-SA"/>
      </w:rPr>
    </w:lvl>
    <w:lvl w:ilvl="6">
      <w:start w:val="0"/>
      <w:numFmt w:val="bullet"/>
      <w:lvlText w:val="•"/>
      <w:lvlJc w:val="left"/>
      <w:pPr>
        <w:ind w:left="4740" w:hanging="121"/>
      </w:pPr>
      <w:rPr>
        <w:rFonts w:hint="default"/>
        <w:lang w:val="ru-RU" w:eastAsia="en-US" w:bidi="ar-SA"/>
      </w:rPr>
    </w:lvl>
    <w:lvl w:ilvl="7">
      <w:start w:val="0"/>
      <w:numFmt w:val="bullet"/>
      <w:lvlText w:val="•"/>
      <w:lvlJc w:val="left"/>
      <w:pPr>
        <w:ind w:left="5440" w:hanging="121"/>
      </w:pPr>
      <w:rPr>
        <w:rFonts w:hint="default"/>
        <w:lang w:val="ru-RU" w:eastAsia="en-US" w:bidi="ar-SA"/>
      </w:rPr>
    </w:lvl>
    <w:lvl w:ilvl="8">
      <w:start w:val="0"/>
      <w:numFmt w:val="bullet"/>
      <w:lvlText w:val="•"/>
      <w:lvlJc w:val="left"/>
      <w:pPr>
        <w:ind w:left="6140" w:hanging="121"/>
      </w:pPr>
      <w:rPr>
        <w:rFonts w:hint="default"/>
        <w:lang w:val="ru-RU" w:eastAsia="en-US" w:bidi="ar-SA"/>
      </w:rPr>
    </w:lvl>
  </w:abstractNum>
  <w:abstractNum w:abstractNumId="124">
    <w:multiLevelType w:val="hybridMultilevel"/>
    <w:lvl w:ilvl="0">
      <w:start w:val="0"/>
      <w:numFmt w:val="bullet"/>
      <w:lvlText w:val="▪"/>
      <w:lvlJc w:val="left"/>
      <w:pPr>
        <w:ind w:left="425" w:hanging="284"/>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546" w:hanging="121"/>
      </w:pPr>
      <w:rPr>
        <w:rFonts w:hint="default" w:ascii="Times New Roman" w:hAnsi="Times New Roman" w:eastAsia="Times New Roman" w:cs="Times New Roman"/>
        <w:b w:val="0"/>
        <w:bCs w:val="0"/>
        <w:i/>
        <w:iCs/>
        <w:spacing w:val="0"/>
        <w:w w:val="100"/>
        <w:sz w:val="20"/>
        <w:szCs w:val="20"/>
        <w:lang w:val="ru-RU" w:eastAsia="en-US" w:bidi="ar-SA"/>
      </w:rPr>
    </w:lvl>
    <w:lvl w:ilvl="2">
      <w:start w:val="0"/>
      <w:numFmt w:val="bullet"/>
      <w:lvlText w:val="•"/>
      <w:lvlJc w:val="left"/>
      <w:pPr>
        <w:ind w:left="1317" w:hanging="121"/>
      </w:pPr>
      <w:rPr>
        <w:rFonts w:hint="default"/>
        <w:lang w:val="ru-RU" w:eastAsia="en-US" w:bidi="ar-SA"/>
      </w:rPr>
    </w:lvl>
    <w:lvl w:ilvl="3">
      <w:start w:val="0"/>
      <w:numFmt w:val="bullet"/>
      <w:lvlText w:val="•"/>
      <w:lvlJc w:val="left"/>
      <w:pPr>
        <w:ind w:left="2095" w:hanging="121"/>
      </w:pPr>
      <w:rPr>
        <w:rFonts w:hint="default"/>
        <w:lang w:val="ru-RU" w:eastAsia="en-US" w:bidi="ar-SA"/>
      </w:rPr>
    </w:lvl>
    <w:lvl w:ilvl="4">
      <w:start w:val="0"/>
      <w:numFmt w:val="bullet"/>
      <w:lvlText w:val="•"/>
      <w:lvlJc w:val="left"/>
      <w:pPr>
        <w:ind w:left="2873" w:hanging="121"/>
      </w:pPr>
      <w:rPr>
        <w:rFonts w:hint="default"/>
        <w:lang w:val="ru-RU" w:eastAsia="en-US" w:bidi="ar-SA"/>
      </w:rPr>
    </w:lvl>
    <w:lvl w:ilvl="5">
      <w:start w:val="0"/>
      <w:numFmt w:val="bullet"/>
      <w:lvlText w:val="•"/>
      <w:lvlJc w:val="left"/>
      <w:pPr>
        <w:ind w:left="3651" w:hanging="121"/>
      </w:pPr>
      <w:rPr>
        <w:rFonts w:hint="default"/>
        <w:lang w:val="ru-RU" w:eastAsia="en-US" w:bidi="ar-SA"/>
      </w:rPr>
    </w:lvl>
    <w:lvl w:ilvl="6">
      <w:start w:val="0"/>
      <w:numFmt w:val="bullet"/>
      <w:lvlText w:val="•"/>
      <w:lvlJc w:val="left"/>
      <w:pPr>
        <w:ind w:left="4429" w:hanging="121"/>
      </w:pPr>
      <w:rPr>
        <w:rFonts w:hint="default"/>
        <w:lang w:val="ru-RU" w:eastAsia="en-US" w:bidi="ar-SA"/>
      </w:rPr>
    </w:lvl>
    <w:lvl w:ilvl="7">
      <w:start w:val="0"/>
      <w:numFmt w:val="bullet"/>
      <w:lvlText w:val="•"/>
      <w:lvlJc w:val="left"/>
      <w:pPr>
        <w:ind w:left="5207" w:hanging="121"/>
      </w:pPr>
      <w:rPr>
        <w:rFonts w:hint="default"/>
        <w:lang w:val="ru-RU" w:eastAsia="en-US" w:bidi="ar-SA"/>
      </w:rPr>
    </w:lvl>
    <w:lvl w:ilvl="8">
      <w:start w:val="0"/>
      <w:numFmt w:val="bullet"/>
      <w:lvlText w:val="•"/>
      <w:lvlJc w:val="left"/>
      <w:pPr>
        <w:ind w:left="5984" w:hanging="121"/>
      </w:pPr>
      <w:rPr>
        <w:rFonts w:hint="default"/>
        <w:lang w:val="ru-RU" w:eastAsia="en-US" w:bidi="ar-SA"/>
      </w:rPr>
    </w:lvl>
  </w:abstractNum>
  <w:abstractNum w:abstractNumId="122">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21">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20">
    <w:multiLevelType w:val="hybridMultilevel"/>
    <w:lvl w:ilvl="0">
      <w:start w:val="0"/>
      <w:numFmt w:val="bullet"/>
      <w:lvlText w:val="–"/>
      <w:lvlJc w:val="left"/>
      <w:pPr>
        <w:ind w:left="141" w:hanging="163"/>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880" w:hanging="163"/>
      </w:pPr>
      <w:rPr>
        <w:rFonts w:hint="default"/>
        <w:lang w:val="ru-RU" w:eastAsia="en-US" w:bidi="ar-SA"/>
      </w:rPr>
    </w:lvl>
    <w:lvl w:ilvl="2">
      <w:start w:val="0"/>
      <w:numFmt w:val="bullet"/>
      <w:lvlText w:val="•"/>
      <w:lvlJc w:val="left"/>
      <w:pPr>
        <w:ind w:left="1620" w:hanging="163"/>
      </w:pPr>
      <w:rPr>
        <w:rFonts w:hint="default"/>
        <w:lang w:val="ru-RU" w:eastAsia="en-US" w:bidi="ar-SA"/>
      </w:rPr>
    </w:lvl>
    <w:lvl w:ilvl="3">
      <w:start w:val="0"/>
      <w:numFmt w:val="bullet"/>
      <w:lvlText w:val="•"/>
      <w:lvlJc w:val="left"/>
      <w:pPr>
        <w:ind w:left="2360" w:hanging="163"/>
      </w:pPr>
      <w:rPr>
        <w:rFonts w:hint="default"/>
        <w:lang w:val="ru-RU" w:eastAsia="en-US" w:bidi="ar-SA"/>
      </w:rPr>
    </w:lvl>
    <w:lvl w:ilvl="4">
      <w:start w:val="0"/>
      <w:numFmt w:val="bullet"/>
      <w:lvlText w:val="•"/>
      <w:lvlJc w:val="left"/>
      <w:pPr>
        <w:ind w:left="3100" w:hanging="163"/>
      </w:pPr>
      <w:rPr>
        <w:rFonts w:hint="default"/>
        <w:lang w:val="ru-RU" w:eastAsia="en-US" w:bidi="ar-SA"/>
      </w:rPr>
    </w:lvl>
    <w:lvl w:ilvl="5">
      <w:start w:val="0"/>
      <w:numFmt w:val="bullet"/>
      <w:lvlText w:val="•"/>
      <w:lvlJc w:val="left"/>
      <w:pPr>
        <w:ind w:left="3840" w:hanging="163"/>
      </w:pPr>
      <w:rPr>
        <w:rFonts w:hint="default"/>
        <w:lang w:val="ru-RU" w:eastAsia="en-US" w:bidi="ar-SA"/>
      </w:rPr>
    </w:lvl>
    <w:lvl w:ilvl="6">
      <w:start w:val="0"/>
      <w:numFmt w:val="bullet"/>
      <w:lvlText w:val="•"/>
      <w:lvlJc w:val="left"/>
      <w:pPr>
        <w:ind w:left="4580" w:hanging="163"/>
      </w:pPr>
      <w:rPr>
        <w:rFonts w:hint="default"/>
        <w:lang w:val="ru-RU" w:eastAsia="en-US" w:bidi="ar-SA"/>
      </w:rPr>
    </w:lvl>
    <w:lvl w:ilvl="7">
      <w:start w:val="0"/>
      <w:numFmt w:val="bullet"/>
      <w:lvlText w:val="•"/>
      <w:lvlJc w:val="left"/>
      <w:pPr>
        <w:ind w:left="5320" w:hanging="163"/>
      </w:pPr>
      <w:rPr>
        <w:rFonts w:hint="default"/>
        <w:lang w:val="ru-RU" w:eastAsia="en-US" w:bidi="ar-SA"/>
      </w:rPr>
    </w:lvl>
    <w:lvl w:ilvl="8">
      <w:start w:val="0"/>
      <w:numFmt w:val="bullet"/>
      <w:lvlText w:val="•"/>
      <w:lvlJc w:val="left"/>
      <w:pPr>
        <w:ind w:left="6060" w:hanging="163"/>
      </w:pPr>
      <w:rPr>
        <w:rFonts w:hint="default"/>
        <w:lang w:val="ru-RU" w:eastAsia="en-US" w:bidi="ar-SA"/>
      </w:rPr>
    </w:lvl>
  </w:abstractNum>
  <w:abstractNum w:abstractNumId="119">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17">
    <w:multiLevelType w:val="hybridMultilevel"/>
    <w:lvl w:ilvl="0">
      <w:start w:val="0"/>
      <w:numFmt w:val="bullet"/>
      <w:lvlText w:val="–"/>
      <w:lvlJc w:val="left"/>
      <w:pPr>
        <w:ind w:left="575" w:hanging="150"/>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276" w:hanging="150"/>
      </w:pPr>
      <w:rPr>
        <w:rFonts w:hint="default"/>
        <w:lang w:val="ru-RU" w:eastAsia="en-US" w:bidi="ar-SA"/>
      </w:rPr>
    </w:lvl>
    <w:lvl w:ilvl="2">
      <w:start w:val="0"/>
      <w:numFmt w:val="bullet"/>
      <w:lvlText w:val="•"/>
      <w:lvlJc w:val="left"/>
      <w:pPr>
        <w:ind w:left="1972" w:hanging="150"/>
      </w:pPr>
      <w:rPr>
        <w:rFonts w:hint="default"/>
        <w:lang w:val="ru-RU" w:eastAsia="en-US" w:bidi="ar-SA"/>
      </w:rPr>
    </w:lvl>
    <w:lvl w:ilvl="3">
      <w:start w:val="0"/>
      <w:numFmt w:val="bullet"/>
      <w:lvlText w:val="•"/>
      <w:lvlJc w:val="left"/>
      <w:pPr>
        <w:ind w:left="2668" w:hanging="150"/>
      </w:pPr>
      <w:rPr>
        <w:rFonts w:hint="default"/>
        <w:lang w:val="ru-RU" w:eastAsia="en-US" w:bidi="ar-SA"/>
      </w:rPr>
    </w:lvl>
    <w:lvl w:ilvl="4">
      <w:start w:val="0"/>
      <w:numFmt w:val="bullet"/>
      <w:lvlText w:val="•"/>
      <w:lvlJc w:val="left"/>
      <w:pPr>
        <w:ind w:left="3364" w:hanging="150"/>
      </w:pPr>
      <w:rPr>
        <w:rFonts w:hint="default"/>
        <w:lang w:val="ru-RU" w:eastAsia="en-US" w:bidi="ar-SA"/>
      </w:rPr>
    </w:lvl>
    <w:lvl w:ilvl="5">
      <w:start w:val="0"/>
      <w:numFmt w:val="bullet"/>
      <w:lvlText w:val="•"/>
      <w:lvlJc w:val="left"/>
      <w:pPr>
        <w:ind w:left="4060" w:hanging="150"/>
      </w:pPr>
      <w:rPr>
        <w:rFonts w:hint="default"/>
        <w:lang w:val="ru-RU" w:eastAsia="en-US" w:bidi="ar-SA"/>
      </w:rPr>
    </w:lvl>
    <w:lvl w:ilvl="6">
      <w:start w:val="0"/>
      <w:numFmt w:val="bullet"/>
      <w:lvlText w:val="•"/>
      <w:lvlJc w:val="left"/>
      <w:pPr>
        <w:ind w:left="4756" w:hanging="150"/>
      </w:pPr>
      <w:rPr>
        <w:rFonts w:hint="default"/>
        <w:lang w:val="ru-RU" w:eastAsia="en-US" w:bidi="ar-SA"/>
      </w:rPr>
    </w:lvl>
    <w:lvl w:ilvl="7">
      <w:start w:val="0"/>
      <w:numFmt w:val="bullet"/>
      <w:lvlText w:val="•"/>
      <w:lvlJc w:val="left"/>
      <w:pPr>
        <w:ind w:left="5452" w:hanging="150"/>
      </w:pPr>
      <w:rPr>
        <w:rFonts w:hint="default"/>
        <w:lang w:val="ru-RU" w:eastAsia="en-US" w:bidi="ar-SA"/>
      </w:rPr>
    </w:lvl>
    <w:lvl w:ilvl="8">
      <w:start w:val="0"/>
      <w:numFmt w:val="bullet"/>
      <w:lvlText w:val="•"/>
      <w:lvlJc w:val="left"/>
      <w:pPr>
        <w:ind w:left="6148" w:hanging="150"/>
      </w:pPr>
      <w:rPr>
        <w:rFonts w:hint="default"/>
        <w:lang w:val="ru-RU" w:eastAsia="en-US" w:bidi="ar-SA"/>
      </w:rPr>
    </w:lvl>
  </w:abstractNum>
  <w:abstractNum w:abstractNumId="116">
    <w:multiLevelType w:val="hybridMultilevel"/>
    <w:lvl w:ilvl="0">
      <w:start w:val="0"/>
      <w:numFmt w:val="bullet"/>
      <w:lvlText w:val="–"/>
      <w:lvlJc w:val="left"/>
      <w:pPr>
        <w:ind w:left="575" w:hanging="150"/>
      </w:pPr>
      <w:rPr>
        <w:rFonts w:hint="default" w:ascii="Times New Roman" w:hAnsi="Times New Roman" w:eastAsia="Times New Roman" w:cs="Times New Roman"/>
        <w:b w:val="0"/>
        <w:bCs w:val="0"/>
        <w:i/>
        <w:iCs/>
        <w:color w:val="231F20"/>
        <w:spacing w:val="0"/>
        <w:w w:val="100"/>
        <w:sz w:val="20"/>
        <w:szCs w:val="20"/>
        <w:lang w:val="ru-RU" w:eastAsia="en-US" w:bidi="ar-SA"/>
      </w:rPr>
    </w:lvl>
    <w:lvl w:ilvl="1">
      <w:start w:val="0"/>
      <w:numFmt w:val="bullet"/>
      <w:lvlText w:val="•"/>
      <w:lvlJc w:val="left"/>
      <w:pPr>
        <w:ind w:left="1276" w:hanging="150"/>
      </w:pPr>
      <w:rPr>
        <w:rFonts w:hint="default"/>
        <w:lang w:val="ru-RU" w:eastAsia="en-US" w:bidi="ar-SA"/>
      </w:rPr>
    </w:lvl>
    <w:lvl w:ilvl="2">
      <w:start w:val="0"/>
      <w:numFmt w:val="bullet"/>
      <w:lvlText w:val="•"/>
      <w:lvlJc w:val="left"/>
      <w:pPr>
        <w:ind w:left="1972" w:hanging="150"/>
      </w:pPr>
      <w:rPr>
        <w:rFonts w:hint="default"/>
        <w:lang w:val="ru-RU" w:eastAsia="en-US" w:bidi="ar-SA"/>
      </w:rPr>
    </w:lvl>
    <w:lvl w:ilvl="3">
      <w:start w:val="0"/>
      <w:numFmt w:val="bullet"/>
      <w:lvlText w:val="•"/>
      <w:lvlJc w:val="left"/>
      <w:pPr>
        <w:ind w:left="2668" w:hanging="150"/>
      </w:pPr>
      <w:rPr>
        <w:rFonts w:hint="default"/>
        <w:lang w:val="ru-RU" w:eastAsia="en-US" w:bidi="ar-SA"/>
      </w:rPr>
    </w:lvl>
    <w:lvl w:ilvl="4">
      <w:start w:val="0"/>
      <w:numFmt w:val="bullet"/>
      <w:lvlText w:val="•"/>
      <w:lvlJc w:val="left"/>
      <w:pPr>
        <w:ind w:left="3364" w:hanging="150"/>
      </w:pPr>
      <w:rPr>
        <w:rFonts w:hint="default"/>
        <w:lang w:val="ru-RU" w:eastAsia="en-US" w:bidi="ar-SA"/>
      </w:rPr>
    </w:lvl>
    <w:lvl w:ilvl="5">
      <w:start w:val="0"/>
      <w:numFmt w:val="bullet"/>
      <w:lvlText w:val="•"/>
      <w:lvlJc w:val="left"/>
      <w:pPr>
        <w:ind w:left="4060" w:hanging="150"/>
      </w:pPr>
      <w:rPr>
        <w:rFonts w:hint="default"/>
        <w:lang w:val="ru-RU" w:eastAsia="en-US" w:bidi="ar-SA"/>
      </w:rPr>
    </w:lvl>
    <w:lvl w:ilvl="6">
      <w:start w:val="0"/>
      <w:numFmt w:val="bullet"/>
      <w:lvlText w:val="•"/>
      <w:lvlJc w:val="left"/>
      <w:pPr>
        <w:ind w:left="4756" w:hanging="150"/>
      </w:pPr>
      <w:rPr>
        <w:rFonts w:hint="default"/>
        <w:lang w:val="ru-RU" w:eastAsia="en-US" w:bidi="ar-SA"/>
      </w:rPr>
    </w:lvl>
    <w:lvl w:ilvl="7">
      <w:start w:val="0"/>
      <w:numFmt w:val="bullet"/>
      <w:lvlText w:val="•"/>
      <w:lvlJc w:val="left"/>
      <w:pPr>
        <w:ind w:left="5452" w:hanging="150"/>
      </w:pPr>
      <w:rPr>
        <w:rFonts w:hint="default"/>
        <w:lang w:val="ru-RU" w:eastAsia="en-US" w:bidi="ar-SA"/>
      </w:rPr>
    </w:lvl>
    <w:lvl w:ilvl="8">
      <w:start w:val="0"/>
      <w:numFmt w:val="bullet"/>
      <w:lvlText w:val="•"/>
      <w:lvlJc w:val="left"/>
      <w:pPr>
        <w:ind w:left="6148" w:hanging="150"/>
      </w:pPr>
      <w:rPr>
        <w:rFonts w:hint="default"/>
        <w:lang w:val="ru-RU" w:eastAsia="en-US" w:bidi="ar-SA"/>
      </w:rPr>
    </w:lvl>
  </w:abstractNum>
  <w:abstractNum w:abstractNumId="115">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1"/>
      <w:numFmt w:val="decimal"/>
      <w:lvlText w:val="%2."/>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2">
      <w:start w:val="0"/>
      <w:numFmt w:val="bullet"/>
      <w:lvlText w:val="•"/>
      <w:lvlJc w:val="left"/>
      <w:pPr>
        <w:ind w:left="1460" w:hanging="284"/>
      </w:pPr>
      <w:rPr>
        <w:rFonts w:hint="default"/>
        <w:lang w:val="ru-RU" w:eastAsia="en-US" w:bidi="ar-SA"/>
      </w:rPr>
    </w:lvl>
    <w:lvl w:ilvl="3">
      <w:start w:val="0"/>
      <w:numFmt w:val="bullet"/>
      <w:lvlText w:val="•"/>
      <w:lvlJc w:val="left"/>
      <w:pPr>
        <w:ind w:left="2220" w:hanging="284"/>
      </w:pPr>
      <w:rPr>
        <w:rFonts w:hint="default"/>
        <w:lang w:val="ru-RU" w:eastAsia="en-US" w:bidi="ar-SA"/>
      </w:rPr>
    </w:lvl>
    <w:lvl w:ilvl="4">
      <w:start w:val="0"/>
      <w:numFmt w:val="bullet"/>
      <w:lvlText w:val="•"/>
      <w:lvlJc w:val="left"/>
      <w:pPr>
        <w:ind w:left="2980" w:hanging="284"/>
      </w:pPr>
      <w:rPr>
        <w:rFonts w:hint="default"/>
        <w:lang w:val="ru-RU" w:eastAsia="en-US" w:bidi="ar-SA"/>
      </w:rPr>
    </w:lvl>
    <w:lvl w:ilvl="5">
      <w:start w:val="0"/>
      <w:numFmt w:val="bullet"/>
      <w:lvlText w:val="•"/>
      <w:lvlJc w:val="left"/>
      <w:pPr>
        <w:ind w:left="3740" w:hanging="284"/>
      </w:pPr>
      <w:rPr>
        <w:rFonts w:hint="default"/>
        <w:lang w:val="ru-RU" w:eastAsia="en-US" w:bidi="ar-SA"/>
      </w:rPr>
    </w:lvl>
    <w:lvl w:ilvl="6">
      <w:start w:val="0"/>
      <w:numFmt w:val="bullet"/>
      <w:lvlText w:val="•"/>
      <w:lvlJc w:val="left"/>
      <w:pPr>
        <w:ind w:left="4500" w:hanging="284"/>
      </w:pPr>
      <w:rPr>
        <w:rFonts w:hint="default"/>
        <w:lang w:val="ru-RU" w:eastAsia="en-US" w:bidi="ar-SA"/>
      </w:rPr>
    </w:lvl>
    <w:lvl w:ilvl="7">
      <w:start w:val="0"/>
      <w:numFmt w:val="bullet"/>
      <w:lvlText w:val="•"/>
      <w:lvlJc w:val="left"/>
      <w:pPr>
        <w:ind w:left="5260" w:hanging="284"/>
      </w:pPr>
      <w:rPr>
        <w:rFonts w:hint="default"/>
        <w:lang w:val="ru-RU" w:eastAsia="en-US" w:bidi="ar-SA"/>
      </w:rPr>
    </w:lvl>
    <w:lvl w:ilvl="8">
      <w:start w:val="0"/>
      <w:numFmt w:val="bullet"/>
      <w:lvlText w:val="•"/>
      <w:lvlJc w:val="left"/>
      <w:pPr>
        <w:ind w:left="6020" w:hanging="284"/>
      </w:pPr>
      <w:rPr>
        <w:rFonts w:hint="default"/>
        <w:lang w:val="ru-RU" w:eastAsia="en-US" w:bidi="ar-SA"/>
      </w:rPr>
    </w:lvl>
  </w:abstractNum>
  <w:abstractNum w:abstractNumId="114">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113">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708" w:hanging="284"/>
      </w:pPr>
      <w:rPr>
        <w:rFonts w:hint="default" w:ascii="Times New Roman" w:hAnsi="Times New Roman" w:eastAsia="Times New Roman" w:cs="Times New Roman"/>
        <w:b w:val="0"/>
        <w:bCs w:val="0"/>
        <w:i/>
        <w:iCs/>
        <w:color w:val="231F20"/>
        <w:spacing w:val="0"/>
        <w:w w:val="100"/>
        <w:sz w:val="20"/>
        <w:szCs w:val="20"/>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111">
    <w:multiLevelType w:val="hybridMultilevel"/>
    <w:lvl w:ilvl="0">
      <w:start w:val="4"/>
      <w:numFmt w:val="decimal"/>
      <w:lvlText w:val="%1"/>
      <w:lvlJc w:val="left"/>
      <w:pPr>
        <w:ind w:left="456" w:hanging="315"/>
        <w:jc w:val="left"/>
      </w:pPr>
      <w:rPr>
        <w:rFonts w:hint="default"/>
        <w:lang w:val="ru-RU" w:eastAsia="en-US" w:bidi="ar-SA"/>
      </w:rPr>
    </w:lvl>
    <w:lvl w:ilvl="1">
      <w:start w:val="2"/>
      <w:numFmt w:val="decimal"/>
      <w:lvlText w:val="%1.%2."/>
      <w:lvlJc w:val="left"/>
      <w:pPr>
        <w:ind w:left="456" w:hanging="315"/>
        <w:jc w:val="left"/>
      </w:pPr>
      <w:rPr>
        <w:rFonts w:hint="default" w:ascii="Georgia" w:hAnsi="Georgia" w:eastAsia="Georgia" w:cs="Georgia"/>
        <w:b w:val="0"/>
        <w:bCs w:val="0"/>
        <w:i w:val="0"/>
        <w:iCs w:val="0"/>
        <w:color w:val="231F20"/>
        <w:spacing w:val="0"/>
        <w:w w:val="90"/>
        <w:sz w:val="18"/>
        <w:szCs w:val="18"/>
        <w:lang w:val="ru-RU" w:eastAsia="en-US" w:bidi="ar-SA"/>
      </w:rPr>
    </w:lvl>
    <w:lvl w:ilvl="2">
      <w:start w:val="1"/>
      <w:numFmt w:val="decimal"/>
      <w:lvlText w:val="%3."/>
      <w:lvlJc w:val="left"/>
      <w:pPr>
        <w:ind w:left="708" w:hanging="284"/>
        <w:jc w:val="left"/>
      </w:pPr>
      <w:rPr>
        <w:rFonts w:hint="default"/>
        <w:spacing w:val="0"/>
        <w:w w:val="100"/>
        <w:lang w:val="ru-RU" w:eastAsia="en-US" w:bidi="ar-SA"/>
      </w:rPr>
    </w:lvl>
    <w:lvl w:ilvl="3">
      <w:start w:val="0"/>
      <w:numFmt w:val="bullet"/>
      <w:lvlText w:val="•"/>
      <w:lvlJc w:val="left"/>
      <w:pPr>
        <w:ind w:left="2220" w:hanging="284"/>
      </w:pPr>
      <w:rPr>
        <w:rFonts w:hint="default"/>
        <w:lang w:val="ru-RU" w:eastAsia="en-US" w:bidi="ar-SA"/>
      </w:rPr>
    </w:lvl>
    <w:lvl w:ilvl="4">
      <w:start w:val="0"/>
      <w:numFmt w:val="bullet"/>
      <w:lvlText w:val="•"/>
      <w:lvlJc w:val="left"/>
      <w:pPr>
        <w:ind w:left="2980" w:hanging="284"/>
      </w:pPr>
      <w:rPr>
        <w:rFonts w:hint="default"/>
        <w:lang w:val="ru-RU" w:eastAsia="en-US" w:bidi="ar-SA"/>
      </w:rPr>
    </w:lvl>
    <w:lvl w:ilvl="5">
      <w:start w:val="0"/>
      <w:numFmt w:val="bullet"/>
      <w:lvlText w:val="•"/>
      <w:lvlJc w:val="left"/>
      <w:pPr>
        <w:ind w:left="3740" w:hanging="284"/>
      </w:pPr>
      <w:rPr>
        <w:rFonts w:hint="default"/>
        <w:lang w:val="ru-RU" w:eastAsia="en-US" w:bidi="ar-SA"/>
      </w:rPr>
    </w:lvl>
    <w:lvl w:ilvl="6">
      <w:start w:val="0"/>
      <w:numFmt w:val="bullet"/>
      <w:lvlText w:val="•"/>
      <w:lvlJc w:val="left"/>
      <w:pPr>
        <w:ind w:left="4500" w:hanging="284"/>
      </w:pPr>
      <w:rPr>
        <w:rFonts w:hint="default"/>
        <w:lang w:val="ru-RU" w:eastAsia="en-US" w:bidi="ar-SA"/>
      </w:rPr>
    </w:lvl>
    <w:lvl w:ilvl="7">
      <w:start w:val="0"/>
      <w:numFmt w:val="bullet"/>
      <w:lvlText w:val="•"/>
      <w:lvlJc w:val="left"/>
      <w:pPr>
        <w:ind w:left="5260" w:hanging="284"/>
      </w:pPr>
      <w:rPr>
        <w:rFonts w:hint="default"/>
        <w:lang w:val="ru-RU" w:eastAsia="en-US" w:bidi="ar-SA"/>
      </w:rPr>
    </w:lvl>
    <w:lvl w:ilvl="8">
      <w:start w:val="0"/>
      <w:numFmt w:val="bullet"/>
      <w:lvlText w:val="•"/>
      <w:lvlJc w:val="left"/>
      <w:pPr>
        <w:ind w:left="6020" w:hanging="284"/>
      </w:pPr>
      <w:rPr>
        <w:rFonts w:hint="default"/>
        <w:lang w:val="ru-RU" w:eastAsia="en-US" w:bidi="ar-SA"/>
      </w:rPr>
    </w:lvl>
  </w:abstractNum>
  <w:abstractNum w:abstractNumId="110">
    <w:multiLevelType w:val="hybridMultilevel"/>
    <w:lvl w:ilvl="0">
      <w:start w:val="0"/>
      <w:numFmt w:val="bullet"/>
      <w:lvlText w:val="–"/>
      <w:lvlJc w:val="left"/>
      <w:pPr>
        <w:ind w:left="141" w:hanging="148"/>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880" w:hanging="148"/>
      </w:pPr>
      <w:rPr>
        <w:rFonts w:hint="default"/>
        <w:lang w:val="ru-RU" w:eastAsia="en-US" w:bidi="ar-SA"/>
      </w:rPr>
    </w:lvl>
    <w:lvl w:ilvl="2">
      <w:start w:val="0"/>
      <w:numFmt w:val="bullet"/>
      <w:lvlText w:val="•"/>
      <w:lvlJc w:val="left"/>
      <w:pPr>
        <w:ind w:left="1620" w:hanging="148"/>
      </w:pPr>
      <w:rPr>
        <w:rFonts w:hint="default"/>
        <w:lang w:val="ru-RU" w:eastAsia="en-US" w:bidi="ar-SA"/>
      </w:rPr>
    </w:lvl>
    <w:lvl w:ilvl="3">
      <w:start w:val="0"/>
      <w:numFmt w:val="bullet"/>
      <w:lvlText w:val="•"/>
      <w:lvlJc w:val="left"/>
      <w:pPr>
        <w:ind w:left="2360" w:hanging="148"/>
      </w:pPr>
      <w:rPr>
        <w:rFonts w:hint="default"/>
        <w:lang w:val="ru-RU" w:eastAsia="en-US" w:bidi="ar-SA"/>
      </w:rPr>
    </w:lvl>
    <w:lvl w:ilvl="4">
      <w:start w:val="0"/>
      <w:numFmt w:val="bullet"/>
      <w:lvlText w:val="•"/>
      <w:lvlJc w:val="left"/>
      <w:pPr>
        <w:ind w:left="3100" w:hanging="148"/>
      </w:pPr>
      <w:rPr>
        <w:rFonts w:hint="default"/>
        <w:lang w:val="ru-RU" w:eastAsia="en-US" w:bidi="ar-SA"/>
      </w:rPr>
    </w:lvl>
    <w:lvl w:ilvl="5">
      <w:start w:val="0"/>
      <w:numFmt w:val="bullet"/>
      <w:lvlText w:val="•"/>
      <w:lvlJc w:val="left"/>
      <w:pPr>
        <w:ind w:left="3840" w:hanging="148"/>
      </w:pPr>
      <w:rPr>
        <w:rFonts w:hint="default"/>
        <w:lang w:val="ru-RU" w:eastAsia="en-US" w:bidi="ar-SA"/>
      </w:rPr>
    </w:lvl>
    <w:lvl w:ilvl="6">
      <w:start w:val="0"/>
      <w:numFmt w:val="bullet"/>
      <w:lvlText w:val="•"/>
      <w:lvlJc w:val="left"/>
      <w:pPr>
        <w:ind w:left="4580" w:hanging="148"/>
      </w:pPr>
      <w:rPr>
        <w:rFonts w:hint="default"/>
        <w:lang w:val="ru-RU" w:eastAsia="en-US" w:bidi="ar-SA"/>
      </w:rPr>
    </w:lvl>
    <w:lvl w:ilvl="7">
      <w:start w:val="0"/>
      <w:numFmt w:val="bullet"/>
      <w:lvlText w:val="•"/>
      <w:lvlJc w:val="left"/>
      <w:pPr>
        <w:ind w:left="5320" w:hanging="148"/>
      </w:pPr>
      <w:rPr>
        <w:rFonts w:hint="default"/>
        <w:lang w:val="ru-RU" w:eastAsia="en-US" w:bidi="ar-SA"/>
      </w:rPr>
    </w:lvl>
    <w:lvl w:ilvl="8">
      <w:start w:val="0"/>
      <w:numFmt w:val="bullet"/>
      <w:lvlText w:val="•"/>
      <w:lvlJc w:val="left"/>
      <w:pPr>
        <w:ind w:left="6060" w:hanging="148"/>
      </w:pPr>
      <w:rPr>
        <w:rFonts w:hint="default"/>
        <w:lang w:val="ru-RU" w:eastAsia="en-US" w:bidi="ar-SA"/>
      </w:rPr>
    </w:lvl>
  </w:abstractNum>
  <w:abstractNum w:abstractNumId="109">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08">
    <w:multiLevelType w:val="hybridMultilevel"/>
    <w:lvl w:ilvl="0">
      <w:start w:val="4"/>
      <w:numFmt w:val="decimal"/>
      <w:lvlText w:val="%1"/>
      <w:lvlJc w:val="left"/>
      <w:pPr>
        <w:ind w:left="456" w:hanging="315"/>
        <w:jc w:val="left"/>
      </w:pPr>
      <w:rPr>
        <w:rFonts w:hint="default"/>
        <w:lang w:val="ru-RU" w:eastAsia="en-US" w:bidi="ar-SA"/>
      </w:rPr>
    </w:lvl>
    <w:lvl w:ilvl="1">
      <w:start w:val="2"/>
      <w:numFmt w:val="decimal"/>
      <w:lvlText w:val="%1.%2."/>
      <w:lvlJc w:val="left"/>
      <w:pPr>
        <w:ind w:left="456" w:hanging="315"/>
        <w:jc w:val="left"/>
      </w:pPr>
      <w:rPr>
        <w:rFonts w:hint="default" w:ascii="Georgia" w:hAnsi="Georgia" w:eastAsia="Georgia" w:cs="Georgia"/>
        <w:b w:val="0"/>
        <w:bCs w:val="0"/>
        <w:i w:val="0"/>
        <w:iCs w:val="0"/>
        <w:color w:val="231F20"/>
        <w:spacing w:val="0"/>
        <w:w w:val="90"/>
        <w:sz w:val="18"/>
        <w:szCs w:val="18"/>
        <w:lang w:val="ru-RU" w:eastAsia="en-US" w:bidi="ar-SA"/>
      </w:rPr>
    </w:lvl>
    <w:lvl w:ilvl="2">
      <w:start w:val="0"/>
      <w:numFmt w:val="bullet"/>
      <w:lvlText w:val="•"/>
      <w:lvlJc w:val="left"/>
      <w:pPr>
        <w:ind w:left="1876" w:hanging="315"/>
      </w:pPr>
      <w:rPr>
        <w:rFonts w:hint="default"/>
        <w:lang w:val="ru-RU" w:eastAsia="en-US" w:bidi="ar-SA"/>
      </w:rPr>
    </w:lvl>
    <w:lvl w:ilvl="3">
      <w:start w:val="0"/>
      <w:numFmt w:val="bullet"/>
      <w:lvlText w:val="•"/>
      <w:lvlJc w:val="left"/>
      <w:pPr>
        <w:ind w:left="2584" w:hanging="315"/>
      </w:pPr>
      <w:rPr>
        <w:rFonts w:hint="default"/>
        <w:lang w:val="ru-RU" w:eastAsia="en-US" w:bidi="ar-SA"/>
      </w:rPr>
    </w:lvl>
    <w:lvl w:ilvl="4">
      <w:start w:val="0"/>
      <w:numFmt w:val="bullet"/>
      <w:lvlText w:val="•"/>
      <w:lvlJc w:val="left"/>
      <w:pPr>
        <w:ind w:left="3292" w:hanging="315"/>
      </w:pPr>
      <w:rPr>
        <w:rFonts w:hint="default"/>
        <w:lang w:val="ru-RU" w:eastAsia="en-US" w:bidi="ar-SA"/>
      </w:rPr>
    </w:lvl>
    <w:lvl w:ilvl="5">
      <w:start w:val="0"/>
      <w:numFmt w:val="bullet"/>
      <w:lvlText w:val="•"/>
      <w:lvlJc w:val="left"/>
      <w:pPr>
        <w:ind w:left="4000" w:hanging="315"/>
      </w:pPr>
      <w:rPr>
        <w:rFonts w:hint="default"/>
        <w:lang w:val="ru-RU" w:eastAsia="en-US" w:bidi="ar-SA"/>
      </w:rPr>
    </w:lvl>
    <w:lvl w:ilvl="6">
      <w:start w:val="0"/>
      <w:numFmt w:val="bullet"/>
      <w:lvlText w:val="•"/>
      <w:lvlJc w:val="left"/>
      <w:pPr>
        <w:ind w:left="4708" w:hanging="315"/>
      </w:pPr>
      <w:rPr>
        <w:rFonts w:hint="default"/>
        <w:lang w:val="ru-RU" w:eastAsia="en-US" w:bidi="ar-SA"/>
      </w:rPr>
    </w:lvl>
    <w:lvl w:ilvl="7">
      <w:start w:val="0"/>
      <w:numFmt w:val="bullet"/>
      <w:lvlText w:val="•"/>
      <w:lvlJc w:val="left"/>
      <w:pPr>
        <w:ind w:left="5416" w:hanging="315"/>
      </w:pPr>
      <w:rPr>
        <w:rFonts w:hint="default"/>
        <w:lang w:val="ru-RU" w:eastAsia="en-US" w:bidi="ar-SA"/>
      </w:rPr>
    </w:lvl>
    <w:lvl w:ilvl="8">
      <w:start w:val="0"/>
      <w:numFmt w:val="bullet"/>
      <w:lvlText w:val="•"/>
      <w:lvlJc w:val="left"/>
      <w:pPr>
        <w:ind w:left="6124" w:hanging="315"/>
      </w:pPr>
      <w:rPr>
        <w:rFonts w:hint="default"/>
        <w:lang w:val="ru-RU" w:eastAsia="en-US" w:bidi="ar-SA"/>
      </w:rPr>
    </w:lvl>
  </w:abstractNum>
  <w:abstractNum w:abstractNumId="107">
    <w:multiLevelType w:val="hybridMultilevel"/>
    <w:lvl w:ilvl="0">
      <w:start w:val="4"/>
      <w:numFmt w:val="decimal"/>
      <w:lvlText w:val="%1"/>
      <w:lvlJc w:val="left"/>
      <w:pPr>
        <w:ind w:left="575" w:hanging="150"/>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276" w:hanging="150"/>
      </w:pPr>
      <w:rPr>
        <w:rFonts w:hint="default"/>
        <w:lang w:val="ru-RU" w:eastAsia="en-US" w:bidi="ar-SA"/>
      </w:rPr>
    </w:lvl>
    <w:lvl w:ilvl="2">
      <w:start w:val="0"/>
      <w:numFmt w:val="bullet"/>
      <w:lvlText w:val="•"/>
      <w:lvlJc w:val="left"/>
      <w:pPr>
        <w:ind w:left="1972" w:hanging="150"/>
      </w:pPr>
      <w:rPr>
        <w:rFonts w:hint="default"/>
        <w:lang w:val="ru-RU" w:eastAsia="en-US" w:bidi="ar-SA"/>
      </w:rPr>
    </w:lvl>
    <w:lvl w:ilvl="3">
      <w:start w:val="0"/>
      <w:numFmt w:val="bullet"/>
      <w:lvlText w:val="•"/>
      <w:lvlJc w:val="left"/>
      <w:pPr>
        <w:ind w:left="2668" w:hanging="150"/>
      </w:pPr>
      <w:rPr>
        <w:rFonts w:hint="default"/>
        <w:lang w:val="ru-RU" w:eastAsia="en-US" w:bidi="ar-SA"/>
      </w:rPr>
    </w:lvl>
    <w:lvl w:ilvl="4">
      <w:start w:val="0"/>
      <w:numFmt w:val="bullet"/>
      <w:lvlText w:val="•"/>
      <w:lvlJc w:val="left"/>
      <w:pPr>
        <w:ind w:left="3364" w:hanging="150"/>
      </w:pPr>
      <w:rPr>
        <w:rFonts w:hint="default"/>
        <w:lang w:val="ru-RU" w:eastAsia="en-US" w:bidi="ar-SA"/>
      </w:rPr>
    </w:lvl>
    <w:lvl w:ilvl="5">
      <w:start w:val="0"/>
      <w:numFmt w:val="bullet"/>
      <w:lvlText w:val="•"/>
      <w:lvlJc w:val="left"/>
      <w:pPr>
        <w:ind w:left="4060" w:hanging="150"/>
      </w:pPr>
      <w:rPr>
        <w:rFonts w:hint="default"/>
        <w:lang w:val="ru-RU" w:eastAsia="en-US" w:bidi="ar-SA"/>
      </w:rPr>
    </w:lvl>
    <w:lvl w:ilvl="6">
      <w:start w:val="0"/>
      <w:numFmt w:val="bullet"/>
      <w:lvlText w:val="•"/>
      <w:lvlJc w:val="left"/>
      <w:pPr>
        <w:ind w:left="4756" w:hanging="150"/>
      </w:pPr>
      <w:rPr>
        <w:rFonts w:hint="default"/>
        <w:lang w:val="ru-RU" w:eastAsia="en-US" w:bidi="ar-SA"/>
      </w:rPr>
    </w:lvl>
    <w:lvl w:ilvl="7">
      <w:start w:val="0"/>
      <w:numFmt w:val="bullet"/>
      <w:lvlText w:val="•"/>
      <w:lvlJc w:val="left"/>
      <w:pPr>
        <w:ind w:left="5452" w:hanging="150"/>
      </w:pPr>
      <w:rPr>
        <w:rFonts w:hint="default"/>
        <w:lang w:val="ru-RU" w:eastAsia="en-US" w:bidi="ar-SA"/>
      </w:rPr>
    </w:lvl>
    <w:lvl w:ilvl="8">
      <w:start w:val="0"/>
      <w:numFmt w:val="bullet"/>
      <w:lvlText w:val="•"/>
      <w:lvlJc w:val="left"/>
      <w:pPr>
        <w:ind w:left="6148" w:hanging="150"/>
      </w:pPr>
      <w:rPr>
        <w:rFonts w:hint="default"/>
        <w:lang w:val="ru-RU" w:eastAsia="en-US" w:bidi="ar-SA"/>
      </w:rPr>
    </w:lvl>
  </w:abstractNum>
  <w:abstractNum w:abstractNumId="106">
    <w:multiLevelType w:val="hybridMultilevel"/>
    <w:lvl w:ilvl="0">
      <w:start w:val="4"/>
      <w:numFmt w:val="decimal"/>
      <w:lvlText w:val="%1"/>
      <w:lvlJc w:val="left"/>
      <w:pPr>
        <w:ind w:left="456" w:hanging="315"/>
        <w:jc w:val="left"/>
      </w:pPr>
      <w:rPr>
        <w:rFonts w:hint="default"/>
        <w:lang w:val="ru-RU" w:eastAsia="en-US" w:bidi="ar-SA"/>
      </w:rPr>
    </w:lvl>
    <w:lvl w:ilvl="1">
      <w:start w:val="2"/>
      <w:numFmt w:val="decimal"/>
      <w:lvlText w:val="%1.%2."/>
      <w:lvlJc w:val="left"/>
      <w:pPr>
        <w:ind w:left="456" w:hanging="315"/>
        <w:jc w:val="left"/>
      </w:pPr>
      <w:rPr>
        <w:rFonts w:hint="default" w:ascii="Georgia" w:hAnsi="Georgia" w:eastAsia="Georgia" w:cs="Georgia"/>
        <w:b w:val="0"/>
        <w:bCs w:val="0"/>
        <w:i w:val="0"/>
        <w:iCs w:val="0"/>
        <w:color w:val="231F20"/>
        <w:spacing w:val="0"/>
        <w:w w:val="90"/>
        <w:sz w:val="18"/>
        <w:szCs w:val="18"/>
        <w:lang w:val="ru-RU" w:eastAsia="en-US" w:bidi="ar-SA"/>
      </w:rPr>
    </w:lvl>
    <w:lvl w:ilvl="2">
      <w:start w:val="0"/>
      <w:numFmt w:val="bullet"/>
      <w:lvlText w:val="–"/>
      <w:lvlJc w:val="left"/>
      <w:pPr>
        <w:ind w:left="708"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3">
      <w:start w:val="0"/>
      <w:numFmt w:val="bullet"/>
      <w:lvlText w:val="•"/>
      <w:lvlJc w:val="left"/>
      <w:pPr>
        <w:ind w:left="2220" w:hanging="284"/>
      </w:pPr>
      <w:rPr>
        <w:rFonts w:hint="default"/>
        <w:lang w:val="ru-RU" w:eastAsia="en-US" w:bidi="ar-SA"/>
      </w:rPr>
    </w:lvl>
    <w:lvl w:ilvl="4">
      <w:start w:val="0"/>
      <w:numFmt w:val="bullet"/>
      <w:lvlText w:val="•"/>
      <w:lvlJc w:val="left"/>
      <w:pPr>
        <w:ind w:left="2980" w:hanging="284"/>
      </w:pPr>
      <w:rPr>
        <w:rFonts w:hint="default"/>
        <w:lang w:val="ru-RU" w:eastAsia="en-US" w:bidi="ar-SA"/>
      </w:rPr>
    </w:lvl>
    <w:lvl w:ilvl="5">
      <w:start w:val="0"/>
      <w:numFmt w:val="bullet"/>
      <w:lvlText w:val="•"/>
      <w:lvlJc w:val="left"/>
      <w:pPr>
        <w:ind w:left="3740" w:hanging="284"/>
      </w:pPr>
      <w:rPr>
        <w:rFonts w:hint="default"/>
        <w:lang w:val="ru-RU" w:eastAsia="en-US" w:bidi="ar-SA"/>
      </w:rPr>
    </w:lvl>
    <w:lvl w:ilvl="6">
      <w:start w:val="0"/>
      <w:numFmt w:val="bullet"/>
      <w:lvlText w:val="•"/>
      <w:lvlJc w:val="left"/>
      <w:pPr>
        <w:ind w:left="4500" w:hanging="284"/>
      </w:pPr>
      <w:rPr>
        <w:rFonts w:hint="default"/>
        <w:lang w:val="ru-RU" w:eastAsia="en-US" w:bidi="ar-SA"/>
      </w:rPr>
    </w:lvl>
    <w:lvl w:ilvl="7">
      <w:start w:val="0"/>
      <w:numFmt w:val="bullet"/>
      <w:lvlText w:val="•"/>
      <w:lvlJc w:val="left"/>
      <w:pPr>
        <w:ind w:left="5260" w:hanging="284"/>
      </w:pPr>
      <w:rPr>
        <w:rFonts w:hint="default"/>
        <w:lang w:val="ru-RU" w:eastAsia="en-US" w:bidi="ar-SA"/>
      </w:rPr>
    </w:lvl>
    <w:lvl w:ilvl="8">
      <w:start w:val="0"/>
      <w:numFmt w:val="bullet"/>
      <w:lvlText w:val="•"/>
      <w:lvlJc w:val="left"/>
      <w:pPr>
        <w:ind w:left="6020" w:hanging="284"/>
      </w:pPr>
      <w:rPr>
        <w:rFonts w:hint="default"/>
        <w:lang w:val="ru-RU" w:eastAsia="en-US" w:bidi="ar-SA"/>
      </w:rPr>
    </w:lvl>
  </w:abstractNum>
  <w:abstractNum w:abstractNumId="105">
    <w:multiLevelType w:val="hybridMultilevel"/>
    <w:lvl w:ilvl="0">
      <w:start w:val="0"/>
      <w:numFmt w:val="bullet"/>
      <w:lvlText w:val="–"/>
      <w:lvlJc w:val="left"/>
      <w:pPr>
        <w:ind w:left="708"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104">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03">
    <w:multiLevelType w:val="hybridMultilevel"/>
    <w:lvl w:ilvl="0">
      <w:start w:val="0"/>
      <w:numFmt w:val="bullet"/>
      <w:lvlText w:val="–"/>
      <w:lvlJc w:val="left"/>
      <w:pPr>
        <w:ind w:left="708"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102">
    <w:multiLevelType w:val="hybridMultilevel"/>
    <w:lvl w:ilvl="0">
      <w:start w:val="0"/>
      <w:numFmt w:val="bullet"/>
      <w:lvlText w:val="–"/>
      <w:lvlJc w:val="left"/>
      <w:pPr>
        <w:ind w:left="425" w:hanging="284"/>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01">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100">
    <w:multiLevelType w:val="hybridMultilevel"/>
    <w:lvl w:ilvl="0">
      <w:start w:val="4"/>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right"/>
      </w:pPr>
      <w:rPr>
        <w:rFonts w:hint="default"/>
        <w:spacing w:val="0"/>
        <w:w w:val="97"/>
        <w:lang w:val="ru-RU" w:eastAsia="en-US" w:bidi="ar-SA"/>
      </w:rPr>
    </w:lvl>
    <w:lvl w:ilvl="2">
      <w:start w:val="1"/>
      <w:numFmt w:val="decimal"/>
      <w:lvlText w:val="%1.%2.%3."/>
      <w:lvlJc w:val="left"/>
      <w:pPr>
        <w:ind w:left="1596" w:hanging="500"/>
        <w:jc w:val="right"/>
      </w:pPr>
      <w:rPr>
        <w:rFonts w:hint="default" w:ascii="Times New Roman" w:hAnsi="Times New Roman" w:eastAsia="Times New Roman" w:cs="Times New Roman"/>
        <w:b/>
        <w:bCs/>
        <w:i w:val="0"/>
        <w:iCs w:val="0"/>
        <w:color w:val="231F20"/>
        <w:spacing w:val="0"/>
        <w:w w:val="100"/>
        <w:sz w:val="20"/>
        <w:szCs w:val="20"/>
        <w:lang w:val="ru-RU" w:eastAsia="en-US" w:bidi="ar-SA"/>
      </w:rPr>
    </w:lvl>
    <w:lvl w:ilvl="3">
      <w:start w:val="0"/>
      <w:numFmt w:val="bullet"/>
      <w:lvlText w:val="•"/>
      <w:lvlJc w:val="left"/>
      <w:pPr>
        <w:ind w:left="2430" w:hanging="500"/>
      </w:pPr>
      <w:rPr>
        <w:rFonts w:hint="default"/>
        <w:lang w:val="ru-RU" w:eastAsia="en-US" w:bidi="ar-SA"/>
      </w:rPr>
    </w:lvl>
    <w:lvl w:ilvl="4">
      <w:start w:val="0"/>
      <w:numFmt w:val="bullet"/>
      <w:lvlText w:val="•"/>
      <w:lvlJc w:val="left"/>
      <w:pPr>
        <w:ind w:left="3160" w:hanging="500"/>
      </w:pPr>
      <w:rPr>
        <w:rFonts w:hint="default"/>
        <w:lang w:val="ru-RU" w:eastAsia="en-US" w:bidi="ar-SA"/>
      </w:rPr>
    </w:lvl>
    <w:lvl w:ilvl="5">
      <w:start w:val="0"/>
      <w:numFmt w:val="bullet"/>
      <w:lvlText w:val="•"/>
      <w:lvlJc w:val="left"/>
      <w:pPr>
        <w:ind w:left="3890" w:hanging="500"/>
      </w:pPr>
      <w:rPr>
        <w:rFonts w:hint="default"/>
        <w:lang w:val="ru-RU" w:eastAsia="en-US" w:bidi="ar-SA"/>
      </w:rPr>
    </w:lvl>
    <w:lvl w:ilvl="6">
      <w:start w:val="0"/>
      <w:numFmt w:val="bullet"/>
      <w:lvlText w:val="•"/>
      <w:lvlJc w:val="left"/>
      <w:pPr>
        <w:ind w:left="4620" w:hanging="500"/>
      </w:pPr>
      <w:rPr>
        <w:rFonts w:hint="default"/>
        <w:lang w:val="ru-RU" w:eastAsia="en-US" w:bidi="ar-SA"/>
      </w:rPr>
    </w:lvl>
    <w:lvl w:ilvl="7">
      <w:start w:val="0"/>
      <w:numFmt w:val="bullet"/>
      <w:lvlText w:val="•"/>
      <w:lvlJc w:val="left"/>
      <w:pPr>
        <w:ind w:left="5350" w:hanging="500"/>
      </w:pPr>
      <w:rPr>
        <w:rFonts w:hint="default"/>
        <w:lang w:val="ru-RU" w:eastAsia="en-US" w:bidi="ar-SA"/>
      </w:rPr>
    </w:lvl>
    <w:lvl w:ilvl="8">
      <w:start w:val="0"/>
      <w:numFmt w:val="bullet"/>
      <w:lvlText w:val="•"/>
      <w:lvlJc w:val="left"/>
      <w:pPr>
        <w:ind w:left="6080" w:hanging="500"/>
      </w:pPr>
      <w:rPr>
        <w:rFonts w:hint="default"/>
        <w:lang w:val="ru-RU" w:eastAsia="en-US" w:bidi="ar-SA"/>
      </w:rPr>
    </w:lvl>
  </w:abstractNum>
  <w:abstractNum w:abstractNumId="99">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98">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1">
      <w:start w:val="0"/>
      <w:numFmt w:val="bullet"/>
      <w:lvlText w:val="●"/>
      <w:lvlJc w:val="left"/>
      <w:pPr>
        <w:ind w:left="708"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97">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96">
    <w:multiLevelType w:val="hybridMultilevel"/>
    <w:lvl w:ilvl="0">
      <w:start w:val="0"/>
      <w:numFmt w:val="bullet"/>
      <w:lvlText w:val="–"/>
      <w:lvlJc w:val="left"/>
      <w:pPr>
        <w:ind w:left="425" w:hanging="284"/>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95">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1"/>
      <w:numFmt w:val="decimal"/>
      <w:lvlText w:val="%1.%2."/>
      <w:lvlJc w:val="left"/>
      <w:pPr>
        <w:ind w:left="3198" w:hanging="350"/>
        <w:jc w:val="right"/>
      </w:pPr>
      <w:rPr>
        <w:rFonts w:hint="default"/>
        <w:spacing w:val="0"/>
        <w:w w:val="98"/>
        <w:lang w:val="ru-RU" w:eastAsia="en-US" w:bidi="ar-SA"/>
      </w:rPr>
    </w:lvl>
    <w:lvl w:ilvl="2">
      <w:start w:val="1"/>
      <w:numFmt w:val="decimal"/>
      <w:lvlText w:val="%3."/>
      <w:lvlJc w:val="left"/>
      <w:pPr>
        <w:ind w:left="708" w:hanging="284"/>
        <w:jc w:val="left"/>
      </w:pPr>
      <w:rPr>
        <w:rFonts w:hint="default"/>
        <w:spacing w:val="0"/>
        <w:w w:val="100"/>
        <w:lang w:val="ru-RU" w:eastAsia="en-US" w:bidi="ar-SA"/>
      </w:rPr>
    </w:lvl>
    <w:lvl w:ilvl="3">
      <w:start w:val="0"/>
      <w:numFmt w:val="bullet"/>
      <w:lvlText w:val="•"/>
      <w:lvlJc w:val="left"/>
      <w:pPr>
        <w:ind w:left="3200" w:hanging="284"/>
      </w:pPr>
      <w:rPr>
        <w:rFonts w:hint="default"/>
        <w:lang w:val="ru-RU" w:eastAsia="en-US" w:bidi="ar-SA"/>
      </w:rPr>
    </w:lvl>
    <w:lvl w:ilvl="4">
      <w:start w:val="0"/>
      <w:numFmt w:val="bullet"/>
      <w:lvlText w:val="•"/>
      <w:lvlJc w:val="left"/>
      <w:pPr>
        <w:ind w:left="3820" w:hanging="284"/>
      </w:pPr>
      <w:rPr>
        <w:rFonts w:hint="default"/>
        <w:lang w:val="ru-RU" w:eastAsia="en-US" w:bidi="ar-SA"/>
      </w:rPr>
    </w:lvl>
    <w:lvl w:ilvl="5">
      <w:start w:val="0"/>
      <w:numFmt w:val="bullet"/>
      <w:lvlText w:val="•"/>
      <w:lvlJc w:val="left"/>
      <w:pPr>
        <w:ind w:left="4440" w:hanging="284"/>
      </w:pPr>
      <w:rPr>
        <w:rFonts w:hint="default"/>
        <w:lang w:val="ru-RU" w:eastAsia="en-US" w:bidi="ar-SA"/>
      </w:rPr>
    </w:lvl>
    <w:lvl w:ilvl="6">
      <w:start w:val="0"/>
      <w:numFmt w:val="bullet"/>
      <w:lvlText w:val="•"/>
      <w:lvlJc w:val="left"/>
      <w:pPr>
        <w:ind w:left="5060" w:hanging="284"/>
      </w:pPr>
      <w:rPr>
        <w:rFonts w:hint="default"/>
        <w:lang w:val="ru-RU" w:eastAsia="en-US" w:bidi="ar-SA"/>
      </w:rPr>
    </w:lvl>
    <w:lvl w:ilvl="7">
      <w:start w:val="0"/>
      <w:numFmt w:val="bullet"/>
      <w:lvlText w:val="•"/>
      <w:lvlJc w:val="left"/>
      <w:pPr>
        <w:ind w:left="5680" w:hanging="284"/>
      </w:pPr>
      <w:rPr>
        <w:rFonts w:hint="default"/>
        <w:lang w:val="ru-RU" w:eastAsia="en-US" w:bidi="ar-SA"/>
      </w:rPr>
    </w:lvl>
    <w:lvl w:ilvl="8">
      <w:start w:val="0"/>
      <w:numFmt w:val="bullet"/>
      <w:lvlText w:val="•"/>
      <w:lvlJc w:val="left"/>
      <w:pPr>
        <w:ind w:left="6300" w:hanging="284"/>
      </w:pPr>
      <w:rPr>
        <w:rFonts w:hint="default"/>
        <w:lang w:val="ru-RU" w:eastAsia="en-US" w:bidi="ar-SA"/>
      </w:rPr>
    </w:lvl>
  </w:abstractNum>
  <w:abstractNum w:abstractNumId="94">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93">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92">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91">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90">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89">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88">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87">
    <w:multiLevelType w:val="hybridMultilevel"/>
    <w:lvl w:ilvl="0">
      <w:start w:val="3"/>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98"/>
        <w:sz w:val="18"/>
        <w:szCs w:val="18"/>
        <w:lang w:val="ru-RU" w:eastAsia="en-US" w:bidi="ar-SA"/>
      </w:rPr>
    </w:lvl>
    <w:lvl w:ilvl="2">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3">
      <w:start w:val="0"/>
      <w:numFmt w:val="bullet"/>
      <w:lvlText w:val="•"/>
      <w:lvlJc w:val="left"/>
      <w:pPr>
        <w:ind w:left="2033" w:hanging="284"/>
      </w:pPr>
      <w:rPr>
        <w:rFonts w:hint="default"/>
        <w:lang w:val="ru-RU" w:eastAsia="en-US" w:bidi="ar-SA"/>
      </w:rPr>
    </w:lvl>
    <w:lvl w:ilvl="4">
      <w:start w:val="0"/>
      <w:numFmt w:val="bullet"/>
      <w:lvlText w:val="•"/>
      <w:lvlJc w:val="left"/>
      <w:pPr>
        <w:ind w:left="2820" w:hanging="284"/>
      </w:pPr>
      <w:rPr>
        <w:rFonts w:hint="default"/>
        <w:lang w:val="ru-RU" w:eastAsia="en-US" w:bidi="ar-SA"/>
      </w:rPr>
    </w:lvl>
    <w:lvl w:ilvl="5">
      <w:start w:val="0"/>
      <w:numFmt w:val="bullet"/>
      <w:lvlText w:val="•"/>
      <w:lvlJc w:val="left"/>
      <w:pPr>
        <w:ind w:left="3606" w:hanging="284"/>
      </w:pPr>
      <w:rPr>
        <w:rFonts w:hint="default"/>
        <w:lang w:val="ru-RU" w:eastAsia="en-US" w:bidi="ar-SA"/>
      </w:rPr>
    </w:lvl>
    <w:lvl w:ilvl="6">
      <w:start w:val="0"/>
      <w:numFmt w:val="bullet"/>
      <w:lvlText w:val="•"/>
      <w:lvlJc w:val="left"/>
      <w:pPr>
        <w:ind w:left="4393" w:hanging="284"/>
      </w:pPr>
      <w:rPr>
        <w:rFonts w:hint="default"/>
        <w:lang w:val="ru-RU" w:eastAsia="en-US" w:bidi="ar-SA"/>
      </w:rPr>
    </w:lvl>
    <w:lvl w:ilvl="7">
      <w:start w:val="0"/>
      <w:numFmt w:val="bullet"/>
      <w:lvlText w:val="•"/>
      <w:lvlJc w:val="left"/>
      <w:pPr>
        <w:ind w:left="5180" w:hanging="284"/>
      </w:pPr>
      <w:rPr>
        <w:rFonts w:hint="default"/>
        <w:lang w:val="ru-RU" w:eastAsia="en-US" w:bidi="ar-SA"/>
      </w:rPr>
    </w:lvl>
    <w:lvl w:ilvl="8">
      <w:start w:val="0"/>
      <w:numFmt w:val="bullet"/>
      <w:lvlText w:val="•"/>
      <w:lvlJc w:val="left"/>
      <w:pPr>
        <w:ind w:left="5967" w:hanging="284"/>
      </w:pPr>
      <w:rPr>
        <w:rFonts w:hint="default"/>
        <w:lang w:val="ru-RU" w:eastAsia="en-US" w:bidi="ar-SA"/>
      </w:rPr>
    </w:lvl>
  </w:abstractNum>
  <w:abstractNum w:abstractNumId="86">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85">
    <w:multiLevelType w:val="hybridMultilevel"/>
    <w:lvl w:ilvl="0">
      <w:start w:val="3"/>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98"/>
        <w:sz w:val="18"/>
        <w:szCs w:val="18"/>
        <w:lang w:val="ru-RU" w:eastAsia="en-US" w:bidi="ar-SA"/>
      </w:rPr>
    </w:lvl>
    <w:lvl w:ilvl="2">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3">
      <w:start w:val="0"/>
      <w:numFmt w:val="bullet"/>
      <w:lvlText w:val="•"/>
      <w:lvlJc w:val="left"/>
      <w:pPr>
        <w:ind w:left="2033" w:hanging="284"/>
      </w:pPr>
      <w:rPr>
        <w:rFonts w:hint="default"/>
        <w:lang w:val="ru-RU" w:eastAsia="en-US" w:bidi="ar-SA"/>
      </w:rPr>
    </w:lvl>
    <w:lvl w:ilvl="4">
      <w:start w:val="0"/>
      <w:numFmt w:val="bullet"/>
      <w:lvlText w:val="•"/>
      <w:lvlJc w:val="left"/>
      <w:pPr>
        <w:ind w:left="2820" w:hanging="284"/>
      </w:pPr>
      <w:rPr>
        <w:rFonts w:hint="default"/>
        <w:lang w:val="ru-RU" w:eastAsia="en-US" w:bidi="ar-SA"/>
      </w:rPr>
    </w:lvl>
    <w:lvl w:ilvl="5">
      <w:start w:val="0"/>
      <w:numFmt w:val="bullet"/>
      <w:lvlText w:val="•"/>
      <w:lvlJc w:val="left"/>
      <w:pPr>
        <w:ind w:left="3606" w:hanging="284"/>
      </w:pPr>
      <w:rPr>
        <w:rFonts w:hint="default"/>
        <w:lang w:val="ru-RU" w:eastAsia="en-US" w:bidi="ar-SA"/>
      </w:rPr>
    </w:lvl>
    <w:lvl w:ilvl="6">
      <w:start w:val="0"/>
      <w:numFmt w:val="bullet"/>
      <w:lvlText w:val="•"/>
      <w:lvlJc w:val="left"/>
      <w:pPr>
        <w:ind w:left="4393" w:hanging="284"/>
      </w:pPr>
      <w:rPr>
        <w:rFonts w:hint="default"/>
        <w:lang w:val="ru-RU" w:eastAsia="en-US" w:bidi="ar-SA"/>
      </w:rPr>
    </w:lvl>
    <w:lvl w:ilvl="7">
      <w:start w:val="0"/>
      <w:numFmt w:val="bullet"/>
      <w:lvlText w:val="•"/>
      <w:lvlJc w:val="left"/>
      <w:pPr>
        <w:ind w:left="5180" w:hanging="284"/>
      </w:pPr>
      <w:rPr>
        <w:rFonts w:hint="default"/>
        <w:lang w:val="ru-RU" w:eastAsia="en-US" w:bidi="ar-SA"/>
      </w:rPr>
    </w:lvl>
    <w:lvl w:ilvl="8">
      <w:start w:val="0"/>
      <w:numFmt w:val="bullet"/>
      <w:lvlText w:val="•"/>
      <w:lvlJc w:val="left"/>
      <w:pPr>
        <w:ind w:left="5967" w:hanging="284"/>
      </w:pPr>
      <w:rPr>
        <w:rFonts w:hint="default"/>
        <w:lang w:val="ru-RU" w:eastAsia="en-US" w:bidi="ar-SA"/>
      </w:rPr>
    </w:lvl>
  </w:abstractNum>
  <w:abstractNum w:abstractNumId="84">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iCs/>
        <w:color w:val="231F20"/>
        <w:spacing w:val="0"/>
        <w:w w:val="100"/>
        <w:sz w:val="20"/>
        <w:szCs w:val="20"/>
        <w:lang w:val="ru-RU" w:eastAsia="en-US" w:bidi="ar-SA"/>
      </w:rPr>
    </w:lvl>
    <w:lvl w:ilvl="1">
      <w:start w:val="0"/>
      <w:numFmt w:val="bullet"/>
      <w:lvlText w:val="▪"/>
      <w:lvlJc w:val="left"/>
      <w:pPr>
        <w:ind w:left="141" w:hanging="131"/>
      </w:pPr>
      <w:rPr>
        <w:rFonts w:hint="default" w:ascii="Times New Roman" w:hAnsi="Times New Roman" w:eastAsia="Times New Roman" w:cs="Times New Roman"/>
        <w:b w:val="0"/>
        <w:bCs w:val="0"/>
        <w:i/>
        <w:iCs/>
        <w:color w:val="231F20"/>
        <w:spacing w:val="0"/>
        <w:w w:val="100"/>
        <w:sz w:val="20"/>
        <w:szCs w:val="20"/>
        <w:lang w:val="ru-RU" w:eastAsia="en-US" w:bidi="ar-SA"/>
      </w:rPr>
    </w:lvl>
    <w:lvl w:ilvl="2">
      <w:start w:val="0"/>
      <w:numFmt w:val="bullet"/>
      <w:lvlText w:val="•"/>
      <w:lvlJc w:val="left"/>
      <w:pPr>
        <w:ind w:left="1211" w:hanging="131"/>
      </w:pPr>
      <w:rPr>
        <w:rFonts w:hint="default"/>
        <w:lang w:val="ru-RU" w:eastAsia="en-US" w:bidi="ar-SA"/>
      </w:rPr>
    </w:lvl>
    <w:lvl w:ilvl="3">
      <w:start w:val="0"/>
      <w:numFmt w:val="bullet"/>
      <w:lvlText w:val="•"/>
      <w:lvlJc w:val="left"/>
      <w:pPr>
        <w:ind w:left="2002" w:hanging="131"/>
      </w:pPr>
      <w:rPr>
        <w:rFonts w:hint="default"/>
        <w:lang w:val="ru-RU" w:eastAsia="en-US" w:bidi="ar-SA"/>
      </w:rPr>
    </w:lvl>
    <w:lvl w:ilvl="4">
      <w:start w:val="0"/>
      <w:numFmt w:val="bullet"/>
      <w:lvlText w:val="•"/>
      <w:lvlJc w:val="left"/>
      <w:pPr>
        <w:ind w:left="2793" w:hanging="131"/>
      </w:pPr>
      <w:rPr>
        <w:rFonts w:hint="default"/>
        <w:lang w:val="ru-RU" w:eastAsia="en-US" w:bidi="ar-SA"/>
      </w:rPr>
    </w:lvl>
    <w:lvl w:ilvl="5">
      <w:start w:val="0"/>
      <w:numFmt w:val="bullet"/>
      <w:lvlText w:val="•"/>
      <w:lvlJc w:val="left"/>
      <w:pPr>
        <w:ind w:left="3584" w:hanging="131"/>
      </w:pPr>
      <w:rPr>
        <w:rFonts w:hint="default"/>
        <w:lang w:val="ru-RU" w:eastAsia="en-US" w:bidi="ar-SA"/>
      </w:rPr>
    </w:lvl>
    <w:lvl w:ilvl="6">
      <w:start w:val="0"/>
      <w:numFmt w:val="bullet"/>
      <w:lvlText w:val="•"/>
      <w:lvlJc w:val="left"/>
      <w:pPr>
        <w:ind w:left="4375" w:hanging="131"/>
      </w:pPr>
      <w:rPr>
        <w:rFonts w:hint="default"/>
        <w:lang w:val="ru-RU" w:eastAsia="en-US" w:bidi="ar-SA"/>
      </w:rPr>
    </w:lvl>
    <w:lvl w:ilvl="7">
      <w:start w:val="0"/>
      <w:numFmt w:val="bullet"/>
      <w:lvlText w:val="•"/>
      <w:lvlJc w:val="left"/>
      <w:pPr>
        <w:ind w:left="5167" w:hanging="131"/>
      </w:pPr>
      <w:rPr>
        <w:rFonts w:hint="default"/>
        <w:lang w:val="ru-RU" w:eastAsia="en-US" w:bidi="ar-SA"/>
      </w:rPr>
    </w:lvl>
    <w:lvl w:ilvl="8">
      <w:start w:val="0"/>
      <w:numFmt w:val="bullet"/>
      <w:lvlText w:val="•"/>
      <w:lvlJc w:val="left"/>
      <w:pPr>
        <w:ind w:left="5958" w:hanging="131"/>
      </w:pPr>
      <w:rPr>
        <w:rFonts w:hint="default"/>
        <w:lang w:val="ru-RU" w:eastAsia="en-US" w:bidi="ar-SA"/>
      </w:rPr>
    </w:lvl>
  </w:abstractNum>
  <w:abstractNum w:abstractNumId="80">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82">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81">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79">
    <w:multiLevelType w:val="hybridMultilevel"/>
    <w:lvl w:ilvl="0">
      <w:start w:val="1"/>
      <w:numFmt w:val="decimal"/>
      <w:lvlText w:val="%1."/>
      <w:lvlJc w:val="left"/>
      <w:pPr>
        <w:ind w:left="425" w:hanging="284"/>
        <w:jc w:val="left"/>
      </w:pPr>
      <w:rPr>
        <w:rFonts w:hint="default" w:ascii="Calibri" w:hAnsi="Calibri" w:eastAsia="Calibri" w:cs="Calibri"/>
        <w:b w:val="0"/>
        <w:bCs w:val="0"/>
        <w:i w:val="0"/>
        <w:iCs w:val="0"/>
        <w:color w:val="231F20"/>
        <w:spacing w:val="-1"/>
        <w:w w:val="100"/>
        <w:sz w:val="20"/>
        <w:szCs w:val="20"/>
        <w:lang w:val="ru-RU" w:eastAsia="en-US" w:bidi="ar-SA"/>
      </w:rPr>
    </w:lvl>
    <w:lvl w:ilvl="1">
      <w:start w:val="1"/>
      <w:numFmt w:val="decimal"/>
      <w:lvlText w:val="%1.%2."/>
      <w:lvlJc w:val="left"/>
      <w:pPr>
        <w:ind w:left="1793" w:hanging="350"/>
        <w:jc w:val="right"/>
      </w:pPr>
      <w:rPr>
        <w:rFonts w:hint="default" w:ascii="Times New Roman" w:hAnsi="Times New Roman" w:eastAsia="Times New Roman" w:cs="Times New Roman"/>
        <w:b/>
        <w:bCs/>
        <w:i w:val="0"/>
        <w:iCs w:val="0"/>
        <w:color w:val="231F20"/>
        <w:spacing w:val="0"/>
        <w:w w:val="100"/>
        <w:sz w:val="20"/>
        <w:szCs w:val="20"/>
        <w:lang w:val="ru-RU" w:eastAsia="en-US" w:bidi="ar-SA"/>
      </w:rPr>
    </w:lvl>
    <w:lvl w:ilvl="2">
      <w:start w:val="1"/>
      <w:numFmt w:val="decimal"/>
      <w:lvlText w:val="%1.%2.%3."/>
      <w:lvlJc w:val="left"/>
      <w:pPr>
        <w:ind w:left="2273" w:hanging="500"/>
        <w:jc w:val="right"/>
      </w:pPr>
      <w:rPr>
        <w:rFonts w:hint="default" w:ascii="Times New Roman" w:hAnsi="Times New Roman" w:eastAsia="Times New Roman" w:cs="Times New Roman"/>
        <w:b/>
        <w:bCs/>
        <w:i w:val="0"/>
        <w:iCs w:val="0"/>
        <w:color w:val="231F20"/>
        <w:spacing w:val="0"/>
        <w:w w:val="100"/>
        <w:sz w:val="20"/>
        <w:szCs w:val="20"/>
        <w:lang w:val="ru-RU" w:eastAsia="en-US" w:bidi="ar-SA"/>
      </w:rPr>
    </w:lvl>
    <w:lvl w:ilvl="3">
      <w:start w:val="0"/>
      <w:numFmt w:val="bullet"/>
      <w:lvlText w:val="•"/>
      <w:lvlJc w:val="left"/>
      <w:pPr>
        <w:ind w:left="1980" w:hanging="500"/>
      </w:pPr>
      <w:rPr>
        <w:rFonts w:hint="default"/>
        <w:lang w:val="ru-RU" w:eastAsia="en-US" w:bidi="ar-SA"/>
      </w:rPr>
    </w:lvl>
    <w:lvl w:ilvl="4">
      <w:start w:val="0"/>
      <w:numFmt w:val="bullet"/>
      <w:lvlText w:val="•"/>
      <w:lvlJc w:val="left"/>
      <w:pPr>
        <w:ind w:left="2280" w:hanging="500"/>
      </w:pPr>
      <w:rPr>
        <w:rFonts w:hint="default"/>
        <w:lang w:val="ru-RU" w:eastAsia="en-US" w:bidi="ar-SA"/>
      </w:rPr>
    </w:lvl>
    <w:lvl w:ilvl="5">
      <w:start w:val="0"/>
      <w:numFmt w:val="bullet"/>
      <w:lvlText w:val="•"/>
      <w:lvlJc w:val="left"/>
      <w:pPr>
        <w:ind w:left="3156" w:hanging="500"/>
      </w:pPr>
      <w:rPr>
        <w:rFonts w:hint="default"/>
        <w:lang w:val="ru-RU" w:eastAsia="en-US" w:bidi="ar-SA"/>
      </w:rPr>
    </w:lvl>
    <w:lvl w:ilvl="6">
      <w:start w:val="0"/>
      <w:numFmt w:val="bullet"/>
      <w:lvlText w:val="•"/>
      <w:lvlJc w:val="left"/>
      <w:pPr>
        <w:ind w:left="4033" w:hanging="500"/>
      </w:pPr>
      <w:rPr>
        <w:rFonts w:hint="default"/>
        <w:lang w:val="ru-RU" w:eastAsia="en-US" w:bidi="ar-SA"/>
      </w:rPr>
    </w:lvl>
    <w:lvl w:ilvl="7">
      <w:start w:val="0"/>
      <w:numFmt w:val="bullet"/>
      <w:lvlText w:val="•"/>
      <w:lvlJc w:val="left"/>
      <w:pPr>
        <w:ind w:left="4910" w:hanging="500"/>
      </w:pPr>
      <w:rPr>
        <w:rFonts w:hint="default"/>
        <w:lang w:val="ru-RU" w:eastAsia="en-US" w:bidi="ar-SA"/>
      </w:rPr>
    </w:lvl>
    <w:lvl w:ilvl="8">
      <w:start w:val="0"/>
      <w:numFmt w:val="bullet"/>
      <w:lvlText w:val="•"/>
      <w:lvlJc w:val="left"/>
      <w:pPr>
        <w:ind w:left="5787" w:hanging="500"/>
      </w:pPr>
      <w:rPr>
        <w:rFonts w:hint="default"/>
        <w:lang w:val="ru-RU" w:eastAsia="en-US" w:bidi="ar-SA"/>
      </w:rPr>
    </w:lvl>
  </w:abstractNum>
  <w:abstractNum w:abstractNumId="78">
    <w:multiLevelType w:val="hybridMultilevel"/>
    <w:lvl w:ilvl="0">
      <w:start w:val="1"/>
      <w:numFmt w:val="decimal"/>
      <w:lvlText w:val="%1."/>
      <w:lvlJc w:val="left"/>
      <w:pPr>
        <w:ind w:left="425" w:hanging="284"/>
        <w:jc w:val="left"/>
      </w:pPr>
      <w:rPr>
        <w:rFonts w:hint="default" w:ascii="Calibri" w:hAnsi="Calibri" w:eastAsia="Calibri" w:cs="Calibri"/>
        <w:b w:val="0"/>
        <w:bCs w:val="0"/>
        <w:i w:val="0"/>
        <w:iCs w:val="0"/>
        <w:color w:val="231F20"/>
        <w:spacing w:val="-1"/>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77">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76">
    <w:multiLevelType w:val="hybridMultilevel"/>
    <w:lvl w:ilvl="0">
      <w:start w:val="0"/>
      <w:numFmt w:val="bullet"/>
      <w:lvlText w:val="–"/>
      <w:lvlJc w:val="left"/>
      <w:pPr>
        <w:ind w:left="141" w:hanging="158"/>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880" w:hanging="158"/>
      </w:pPr>
      <w:rPr>
        <w:rFonts w:hint="default"/>
        <w:lang w:val="ru-RU" w:eastAsia="en-US" w:bidi="ar-SA"/>
      </w:rPr>
    </w:lvl>
    <w:lvl w:ilvl="2">
      <w:start w:val="0"/>
      <w:numFmt w:val="bullet"/>
      <w:lvlText w:val="•"/>
      <w:lvlJc w:val="left"/>
      <w:pPr>
        <w:ind w:left="1620" w:hanging="158"/>
      </w:pPr>
      <w:rPr>
        <w:rFonts w:hint="default"/>
        <w:lang w:val="ru-RU" w:eastAsia="en-US" w:bidi="ar-SA"/>
      </w:rPr>
    </w:lvl>
    <w:lvl w:ilvl="3">
      <w:start w:val="0"/>
      <w:numFmt w:val="bullet"/>
      <w:lvlText w:val="•"/>
      <w:lvlJc w:val="left"/>
      <w:pPr>
        <w:ind w:left="2360" w:hanging="158"/>
      </w:pPr>
      <w:rPr>
        <w:rFonts w:hint="default"/>
        <w:lang w:val="ru-RU" w:eastAsia="en-US" w:bidi="ar-SA"/>
      </w:rPr>
    </w:lvl>
    <w:lvl w:ilvl="4">
      <w:start w:val="0"/>
      <w:numFmt w:val="bullet"/>
      <w:lvlText w:val="•"/>
      <w:lvlJc w:val="left"/>
      <w:pPr>
        <w:ind w:left="3100" w:hanging="158"/>
      </w:pPr>
      <w:rPr>
        <w:rFonts w:hint="default"/>
        <w:lang w:val="ru-RU" w:eastAsia="en-US" w:bidi="ar-SA"/>
      </w:rPr>
    </w:lvl>
    <w:lvl w:ilvl="5">
      <w:start w:val="0"/>
      <w:numFmt w:val="bullet"/>
      <w:lvlText w:val="•"/>
      <w:lvlJc w:val="left"/>
      <w:pPr>
        <w:ind w:left="3840" w:hanging="158"/>
      </w:pPr>
      <w:rPr>
        <w:rFonts w:hint="default"/>
        <w:lang w:val="ru-RU" w:eastAsia="en-US" w:bidi="ar-SA"/>
      </w:rPr>
    </w:lvl>
    <w:lvl w:ilvl="6">
      <w:start w:val="0"/>
      <w:numFmt w:val="bullet"/>
      <w:lvlText w:val="•"/>
      <w:lvlJc w:val="left"/>
      <w:pPr>
        <w:ind w:left="4580" w:hanging="158"/>
      </w:pPr>
      <w:rPr>
        <w:rFonts w:hint="default"/>
        <w:lang w:val="ru-RU" w:eastAsia="en-US" w:bidi="ar-SA"/>
      </w:rPr>
    </w:lvl>
    <w:lvl w:ilvl="7">
      <w:start w:val="0"/>
      <w:numFmt w:val="bullet"/>
      <w:lvlText w:val="•"/>
      <w:lvlJc w:val="left"/>
      <w:pPr>
        <w:ind w:left="5320" w:hanging="158"/>
      </w:pPr>
      <w:rPr>
        <w:rFonts w:hint="default"/>
        <w:lang w:val="ru-RU" w:eastAsia="en-US" w:bidi="ar-SA"/>
      </w:rPr>
    </w:lvl>
    <w:lvl w:ilvl="8">
      <w:start w:val="0"/>
      <w:numFmt w:val="bullet"/>
      <w:lvlText w:val="•"/>
      <w:lvlJc w:val="left"/>
      <w:pPr>
        <w:ind w:left="6060" w:hanging="158"/>
      </w:pPr>
      <w:rPr>
        <w:rFonts w:hint="default"/>
        <w:lang w:val="ru-RU" w:eastAsia="en-US" w:bidi="ar-SA"/>
      </w:rPr>
    </w:lvl>
  </w:abstractNum>
  <w:abstractNum w:abstractNumId="75">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74">
    <w:multiLevelType w:val="hybridMultilevel"/>
    <w:lvl w:ilvl="0">
      <w:start w:val="2"/>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right"/>
      </w:pPr>
      <w:rPr>
        <w:rFonts w:hint="default"/>
        <w:spacing w:val="0"/>
        <w:w w:val="98"/>
        <w:lang w:val="ru-RU" w:eastAsia="en-US" w:bidi="ar-SA"/>
      </w:rPr>
    </w:lvl>
    <w:lvl w:ilvl="2">
      <w:start w:val="1"/>
      <w:numFmt w:val="decimal"/>
      <w:lvlText w:val="%1.%2.%3"/>
      <w:lvlJc w:val="left"/>
      <w:pPr>
        <w:ind w:left="2622" w:hanging="450"/>
        <w:jc w:val="left"/>
      </w:pPr>
      <w:rPr>
        <w:rFonts w:hint="default" w:ascii="Times New Roman" w:hAnsi="Times New Roman" w:eastAsia="Times New Roman" w:cs="Times New Roman"/>
        <w:b/>
        <w:bCs/>
        <w:i w:val="0"/>
        <w:iCs w:val="0"/>
        <w:color w:val="231F20"/>
        <w:spacing w:val="0"/>
        <w:w w:val="100"/>
        <w:sz w:val="20"/>
        <w:szCs w:val="20"/>
        <w:lang w:val="ru-RU" w:eastAsia="en-US" w:bidi="ar-SA"/>
      </w:rPr>
    </w:lvl>
    <w:lvl w:ilvl="3">
      <w:start w:val="0"/>
      <w:numFmt w:val="bullet"/>
      <w:lvlText w:val="•"/>
      <w:lvlJc w:val="left"/>
      <w:pPr>
        <w:ind w:left="3713" w:hanging="450"/>
      </w:pPr>
      <w:rPr>
        <w:rFonts w:hint="default"/>
        <w:lang w:val="ru-RU" w:eastAsia="en-US" w:bidi="ar-SA"/>
      </w:rPr>
    </w:lvl>
    <w:lvl w:ilvl="4">
      <w:start w:val="0"/>
      <w:numFmt w:val="bullet"/>
      <w:lvlText w:val="•"/>
      <w:lvlJc w:val="left"/>
      <w:pPr>
        <w:ind w:left="4260" w:hanging="450"/>
      </w:pPr>
      <w:rPr>
        <w:rFonts w:hint="default"/>
        <w:lang w:val="ru-RU" w:eastAsia="en-US" w:bidi="ar-SA"/>
      </w:rPr>
    </w:lvl>
    <w:lvl w:ilvl="5">
      <w:start w:val="0"/>
      <w:numFmt w:val="bullet"/>
      <w:lvlText w:val="•"/>
      <w:lvlJc w:val="left"/>
      <w:pPr>
        <w:ind w:left="4806" w:hanging="450"/>
      </w:pPr>
      <w:rPr>
        <w:rFonts w:hint="default"/>
        <w:lang w:val="ru-RU" w:eastAsia="en-US" w:bidi="ar-SA"/>
      </w:rPr>
    </w:lvl>
    <w:lvl w:ilvl="6">
      <w:start w:val="0"/>
      <w:numFmt w:val="bullet"/>
      <w:lvlText w:val="•"/>
      <w:lvlJc w:val="left"/>
      <w:pPr>
        <w:ind w:left="5353" w:hanging="450"/>
      </w:pPr>
      <w:rPr>
        <w:rFonts w:hint="default"/>
        <w:lang w:val="ru-RU" w:eastAsia="en-US" w:bidi="ar-SA"/>
      </w:rPr>
    </w:lvl>
    <w:lvl w:ilvl="7">
      <w:start w:val="0"/>
      <w:numFmt w:val="bullet"/>
      <w:lvlText w:val="•"/>
      <w:lvlJc w:val="left"/>
      <w:pPr>
        <w:ind w:left="5900" w:hanging="450"/>
      </w:pPr>
      <w:rPr>
        <w:rFonts w:hint="default"/>
        <w:lang w:val="ru-RU" w:eastAsia="en-US" w:bidi="ar-SA"/>
      </w:rPr>
    </w:lvl>
    <w:lvl w:ilvl="8">
      <w:start w:val="0"/>
      <w:numFmt w:val="bullet"/>
      <w:lvlText w:val="•"/>
      <w:lvlJc w:val="left"/>
      <w:pPr>
        <w:ind w:left="6447" w:hanging="450"/>
      </w:pPr>
      <w:rPr>
        <w:rFonts w:hint="default"/>
        <w:lang w:val="ru-RU" w:eastAsia="en-US" w:bidi="ar-SA"/>
      </w:rPr>
    </w:lvl>
  </w:abstractNum>
  <w:abstractNum w:abstractNumId="73">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72">
    <w:multiLevelType w:val="hybridMultilevel"/>
    <w:lvl w:ilvl="0">
      <w:start w:val="2"/>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98"/>
        <w:sz w:val="18"/>
        <w:szCs w:val="18"/>
        <w:lang w:val="ru-RU" w:eastAsia="en-US" w:bidi="ar-SA"/>
      </w:rPr>
    </w:lvl>
    <w:lvl w:ilvl="2">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3">
      <w:start w:val="0"/>
      <w:numFmt w:val="bullet"/>
      <w:lvlText w:val="•"/>
      <w:lvlJc w:val="left"/>
      <w:pPr>
        <w:ind w:left="2033" w:hanging="284"/>
      </w:pPr>
      <w:rPr>
        <w:rFonts w:hint="default"/>
        <w:lang w:val="ru-RU" w:eastAsia="en-US" w:bidi="ar-SA"/>
      </w:rPr>
    </w:lvl>
    <w:lvl w:ilvl="4">
      <w:start w:val="0"/>
      <w:numFmt w:val="bullet"/>
      <w:lvlText w:val="•"/>
      <w:lvlJc w:val="left"/>
      <w:pPr>
        <w:ind w:left="2820" w:hanging="284"/>
      </w:pPr>
      <w:rPr>
        <w:rFonts w:hint="default"/>
        <w:lang w:val="ru-RU" w:eastAsia="en-US" w:bidi="ar-SA"/>
      </w:rPr>
    </w:lvl>
    <w:lvl w:ilvl="5">
      <w:start w:val="0"/>
      <w:numFmt w:val="bullet"/>
      <w:lvlText w:val="•"/>
      <w:lvlJc w:val="left"/>
      <w:pPr>
        <w:ind w:left="3606" w:hanging="284"/>
      </w:pPr>
      <w:rPr>
        <w:rFonts w:hint="default"/>
        <w:lang w:val="ru-RU" w:eastAsia="en-US" w:bidi="ar-SA"/>
      </w:rPr>
    </w:lvl>
    <w:lvl w:ilvl="6">
      <w:start w:val="0"/>
      <w:numFmt w:val="bullet"/>
      <w:lvlText w:val="•"/>
      <w:lvlJc w:val="left"/>
      <w:pPr>
        <w:ind w:left="4393" w:hanging="284"/>
      </w:pPr>
      <w:rPr>
        <w:rFonts w:hint="default"/>
        <w:lang w:val="ru-RU" w:eastAsia="en-US" w:bidi="ar-SA"/>
      </w:rPr>
    </w:lvl>
    <w:lvl w:ilvl="7">
      <w:start w:val="0"/>
      <w:numFmt w:val="bullet"/>
      <w:lvlText w:val="•"/>
      <w:lvlJc w:val="left"/>
      <w:pPr>
        <w:ind w:left="5180" w:hanging="284"/>
      </w:pPr>
      <w:rPr>
        <w:rFonts w:hint="default"/>
        <w:lang w:val="ru-RU" w:eastAsia="en-US" w:bidi="ar-SA"/>
      </w:rPr>
    </w:lvl>
    <w:lvl w:ilvl="8">
      <w:start w:val="0"/>
      <w:numFmt w:val="bullet"/>
      <w:lvlText w:val="•"/>
      <w:lvlJc w:val="left"/>
      <w:pPr>
        <w:ind w:left="5967" w:hanging="284"/>
      </w:pPr>
      <w:rPr>
        <w:rFonts w:hint="default"/>
        <w:lang w:val="ru-RU" w:eastAsia="en-US" w:bidi="ar-SA"/>
      </w:rPr>
    </w:lvl>
  </w:abstractNum>
  <w:abstractNum w:abstractNumId="71">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70">
    <w:multiLevelType w:val="hybridMultilevel"/>
    <w:lvl w:ilvl="0">
      <w:start w:val="0"/>
      <w:numFmt w:val="bullet"/>
      <w:lvlText w:val="–"/>
      <w:lvlJc w:val="left"/>
      <w:pPr>
        <w:ind w:left="425" w:hanging="284"/>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69">
    <w:multiLevelType w:val="hybridMultilevel"/>
    <w:lvl w:ilvl="0">
      <w:start w:val="1"/>
      <w:numFmt w:val="decimal"/>
      <w:lvlText w:val="%1."/>
      <w:lvlJc w:val="left"/>
      <w:pPr>
        <w:ind w:left="141" w:hanging="209"/>
        <w:jc w:val="left"/>
      </w:pPr>
      <w:rPr>
        <w:rFonts w:hint="default" w:ascii="Times New Roman" w:hAnsi="Times New Roman" w:eastAsia="Times New Roman" w:cs="Times New Roman"/>
        <w:b/>
        <w:bCs/>
        <w:i w:val="0"/>
        <w:iCs w:val="0"/>
        <w:spacing w:val="0"/>
        <w:w w:val="100"/>
        <w:sz w:val="20"/>
        <w:szCs w:val="20"/>
        <w:lang w:val="ru-RU" w:eastAsia="en-US" w:bidi="ar-SA"/>
      </w:rPr>
    </w:lvl>
    <w:lvl w:ilvl="1">
      <w:start w:val="0"/>
      <w:numFmt w:val="bullet"/>
      <w:lvlText w:val="•"/>
      <w:lvlJc w:val="left"/>
      <w:pPr>
        <w:ind w:left="880" w:hanging="209"/>
      </w:pPr>
      <w:rPr>
        <w:rFonts w:hint="default"/>
        <w:lang w:val="ru-RU" w:eastAsia="en-US" w:bidi="ar-SA"/>
      </w:rPr>
    </w:lvl>
    <w:lvl w:ilvl="2">
      <w:start w:val="0"/>
      <w:numFmt w:val="bullet"/>
      <w:lvlText w:val="•"/>
      <w:lvlJc w:val="left"/>
      <w:pPr>
        <w:ind w:left="1620" w:hanging="209"/>
      </w:pPr>
      <w:rPr>
        <w:rFonts w:hint="default"/>
        <w:lang w:val="ru-RU" w:eastAsia="en-US" w:bidi="ar-SA"/>
      </w:rPr>
    </w:lvl>
    <w:lvl w:ilvl="3">
      <w:start w:val="0"/>
      <w:numFmt w:val="bullet"/>
      <w:lvlText w:val="•"/>
      <w:lvlJc w:val="left"/>
      <w:pPr>
        <w:ind w:left="2360" w:hanging="209"/>
      </w:pPr>
      <w:rPr>
        <w:rFonts w:hint="default"/>
        <w:lang w:val="ru-RU" w:eastAsia="en-US" w:bidi="ar-SA"/>
      </w:rPr>
    </w:lvl>
    <w:lvl w:ilvl="4">
      <w:start w:val="0"/>
      <w:numFmt w:val="bullet"/>
      <w:lvlText w:val="•"/>
      <w:lvlJc w:val="left"/>
      <w:pPr>
        <w:ind w:left="3100" w:hanging="209"/>
      </w:pPr>
      <w:rPr>
        <w:rFonts w:hint="default"/>
        <w:lang w:val="ru-RU" w:eastAsia="en-US" w:bidi="ar-SA"/>
      </w:rPr>
    </w:lvl>
    <w:lvl w:ilvl="5">
      <w:start w:val="0"/>
      <w:numFmt w:val="bullet"/>
      <w:lvlText w:val="•"/>
      <w:lvlJc w:val="left"/>
      <w:pPr>
        <w:ind w:left="3840" w:hanging="209"/>
      </w:pPr>
      <w:rPr>
        <w:rFonts w:hint="default"/>
        <w:lang w:val="ru-RU" w:eastAsia="en-US" w:bidi="ar-SA"/>
      </w:rPr>
    </w:lvl>
    <w:lvl w:ilvl="6">
      <w:start w:val="0"/>
      <w:numFmt w:val="bullet"/>
      <w:lvlText w:val="•"/>
      <w:lvlJc w:val="left"/>
      <w:pPr>
        <w:ind w:left="4580" w:hanging="209"/>
      </w:pPr>
      <w:rPr>
        <w:rFonts w:hint="default"/>
        <w:lang w:val="ru-RU" w:eastAsia="en-US" w:bidi="ar-SA"/>
      </w:rPr>
    </w:lvl>
    <w:lvl w:ilvl="7">
      <w:start w:val="0"/>
      <w:numFmt w:val="bullet"/>
      <w:lvlText w:val="•"/>
      <w:lvlJc w:val="left"/>
      <w:pPr>
        <w:ind w:left="5320" w:hanging="209"/>
      </w:pPr>
      <w:rPr>
        <w:rFonts w:hint="default"/>
        <w:lang w:val="ru-RU" w:eastAsia="en-US" w:bidi="ar-SA"/>
      </w:rPr>
    </w:lvl>
    <w:lvl w:ilvl="8">
      <w:start w:val="0"/>
      <w:numFmt w:val="bullet"/>
      <w:lvlText w:val="•"/>
      <w:lvlJc w:val="left"/>
      <w:pPr>
        <w:ind w:left="6060" w:hanging="209"/>
      </w:pPr>
      <w:rPr>
        <w:rFonts w:hint="default"/>
        <w:lang w:val="ru-RU" w:eastAsia="en-US" w:bidi="ar-SA"/>
      </w:rPr>
    </w:lvl>
  </w:abstractNum>
  <w:abstractNum w:abstractNumId="68">
    <w:multiLevelType w:val="hybridMultilevel"/>
    <w:lvl w:ilvl="0">
      <w:start w:val="2"/>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98"/>
        <w:sz w:val="18"/>
        <w:szCs w:val="18"/>
        <w:lang w:val="ru-RU" w:eastAsia="en-US" w:bidi="ar-SA"/>
      </w:rPr>
    </w:lvl>
    <w:lvl w:ilvl="2">
      <w:start w:val="0"/>
      <w:numFmt w:val="bullet"/>
      <w:lvlText w:val=""/>
      <w:lvlJc w:val="left"/>
      <w:pPr>
        <w:ind w:left="425" w:hanging="284"/>
      </w:pPr>
      <w:rPr>
        <w:rFonts w:hint="default" w:ascii="Symbol" w:hAnsi="Symbol" w:eastAsia="Symbol" w:cs="Symbol"/>
        <w:spacing w:val="0"/>
        <w:w w:val="100"/>
        <w:lang w:val="ru-RU" w:eastAsia="en-US" w:bidi="ar-SA"/>
      </w:rPr>
    </w:lvl>
    <w:lvl w:ilvl="3">
      <w:start w:val="0"/>
      <w:numFmt w:val="bullet"/>
      <w:lvlText w:val="•"/>
      <w:lvlJc w:val="left"/>
      <w:pPr>
        <w:ind w:left="2033" w:hanging="284"/>
      </w:pPr>
      <w:rPr>
        <w:rFonts w:hint="default"/>
        <w:lang w:val="ru-RU" w:eastAsia="en-US" w:bidi="ar-SA"/>
      </w:rPr>
    </w:lvl>
    <w:lvl w:ilvl="4">
      <w:start w:val="0"/>
      <w:numFmt w:val="bullet"/>
      <w:lvlText w:val="•"/>
      <w:lvlJc w:val="left"/>
      <w:pPr>
        <w:ind w:left="2820" w:hanging="284"/>
      </w:pPr>
      <w:rPr>
        <w:rFonts w:hint="default"/>
        <w:lang w:val="ru-RU" w:eastAsia="en-US" w:bidi="ar-SA"/>
      </w:rPr>
    </w:lvl>
    <w:lvl w:ilvl="5">
      <w:start w:val="0"/>
      <w:numFmt w:val="bullet"/>
      <w:lvlText w:val="•"/>
      <w:lvlJc w:val="left"/>
      <w:pPr>
        <w:ind w:left="3606" w:hanging="284"/>
      </w:pPr>
      <w:rPr>
        <w:rFonts w:hint="default"/>
        <w:lang w:val="ru-RU" w:eastAsia="en-US" w:bidi="ar-SA"/>
      </w:rPr>
    </w:lvl>
    <w:lvl w:ilvl="6">
      <w:start w:val="0"/>
      <w:numFmt w:val="bullet"/>
      <w:lvlText w:val="•"/>
      <w:lvlJc w:val="left"/>
      <w:pPr>
        <w:ind w:left="4393" w:hanging="284"/>
      </w:pPr>
      <w:rPr>
        <w:rFonts w:hint="default"/>
        <w:lang w:val="ru-RU" w:eastAsia="en-US" w:bidi="ar-SA"/>
      </w:rPr>
    </w:lvl>
    <w:lvl w:ilvl="7">
      <w:start w:val="0"/>
      <w:numFmt w:val="bullet"/>
      <w:lvlText w:val="•"/>
      <w:lvlJc w:val="left"/>
      <w:pPr>
        <w:ind w:left="5180" w:hanging="284"/>
      </w:pPr>
      <w:rPr>
        <w:rFonts w:hint="default"/>
        <w:lang w:val="ru-RU" w:eastAsia="en-US" w:bidi="ar-SA"/>
      </w:rPr>
    </w:lvl>
    <w:lvl w:ilvl="8">
      <w:start w:val="0"/>
      <w:numFmt w:val="bullet"/>
      <w:lvlText w:val="•"/>
      <w:lvlJc w:val="left"/>
      <w:pPr>
        <w:ind w:left="5967" w:hanging="284"/>
      </w:pPr>
      <w:rPr>
        <w:rFonts w:hint="default"/>
        <w:lang w:val="ru-RU" w:eastAsia="en-US" w:bidi="ar-SA"/>
      </w:rPr>
    </w:lvl>
  </w:abstractNum>
  <w:abstractNum w:abstractNumId="67">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66">
    <w:multiLevelType w:val="hybridMultilevel"/>
    <w:lvl w:ilvl="0">
      <w:start w:val="2"/>
      <w:numFmt w:val="decimal"/>
      <w:lvlText w:val="%1"/>
      <w:lvlJc w:val="left"/>
      <w:pPr>
        <w:ind w:left="457" w:hanging="350"/>
        <w:jc w:val="left"/>
      </w:pPr>
      <w:rPr>
        <w:rFonts w:hint="default"/>
        <w:lang w:val="ru-RU" w:eastAsia="en-US" w:bidi="ar-SA"/>
      </w:rPr>
    </w:lvl>
    <w:lvl w:ilvl="1">
      <w:start w:val="1"/>
      <w:numFmt w:val="decimal"/>
      <w:lvlText w:val="%1.%2."/>
      <w:lvlJc w:val="left"/>
      <w:pPr>
        <w:ind w:left="457" w:hanging="350"/>
        <w:jc w:val="right"/>
      </w:pPr>
      <w:rPr>
        <w:rFonts w:hint="default"/>
        <w:spacing w:val="0"/>
        <w:w w:val="98"/>
        <w:lang w:val="ru-RU" w:eastAsia="en-US" w:bidi="ar-SA"/>
      </w:rPr>
    </w:lvl>
    <w:lvl w:ilvl="2">
      <w:start w:val="0"/>
      <w:numFmt w:val="bullet"/>
      <w:lvlText w:val="•"/>
      <w:lvlJc w:val="left"/>
      <w:pPr>
        <w:ind w:left="1876" w:hanging="350"/>
      </w:pPr>
      <w:rPr>
        <w:rFonts w:hint="default"/>
        <w:lang w:val="ru-RU" w:eastAsia="en-US" w:bidi="ar-SA"/>
      </w:rPr>
    </w:lvl>
    <w:lvl w:ilvl="3">
      <w:start w:val="0"/>
      <w:numFmt w:val="bullet"/>
      <w:lvlText w:val="•"/>
      <w:lvlJc w:val="left"/>
      <w:pPr>
        <w:ind w:left="2584" w:hanging="350"/>
      </w:pPr>
      <w:rPr>
        <w:rFonts w:hint="default"/>
        <w:lang w:val="ru-RU" w:eastAsia="en-US" w:bidi="ar-SA"/>
      </w:rPr>
    </w:lvl>
    <w:lvl w:ilvl="4">
      <w:start w:val="0"/>
      <w:numFmt w:val="bullet"/>
      <w:lvlText w:val="•"/>
      <w:lvlJc w:val="left"/>
      <w:pPr>
        <w:ind w:left="3292" w:hanging="350"/>
      </w:pPr>
      <w:rPr>
        <w:rFonts w:hint="default"/>
        <w:lang w:val="ru-RU" w:eastAsia="en-US" w:bidi="ar-SA"/>
      </w:rPr>
    </w:lvl>
    <w:lvl w:ilvl="5">
      <w:start w:val="0"/>
      <w:numFmt w:val="bullet"/>
      <w:lvlText w:val="•"/>
      <w:lvlJc w:val="left"/>
      <w:pPr>
        <w:ind w:left="4000" w:hanging="350"/>
      </w:pPr>
      <w:rPr>
        <w:rFonts w:hint="default"/>
        <w:lang w:val="ru-RU" w:eastAsia="en-US" w:bidi="ar-SA"/>
      </w:rPr>
    </w:lvl>
    <w:lvl w:ilvl="6">
      <w:start w:val="0"/>
      <w:numFmt w:val="bullet"/>
      <w:lvlText w:val="•"/>
      <w:lvlJc w:val="left"/>
      <w:pPr>
        <w:ind w:left="4708" w:hanging="350"/>
      </w:pPr>
      <w:rPr>
        <w:rFonts w:hint="default"/>
        <w:lang w:val="ru-RU" w:eastAsia="en-US" w:bidi="ar-SA"/>
      </w:rPr>
    </w:lvl>
    <w:lvl w:ilvl="7">
      <w:start w:val="0"/>
      <w:numFmt w:val="bullet"/>
      <w:lvlText w:val="•"/>
      <w:lvlJc w:val="left"/>
      <w:pPr>
        <w:ind w:left="5416" w:hanging="350"/>
      </w:pPr>
      <w:rPr>
        <w:rFonts w:hint="default"/>
        <w:lang w:val="ru-RU" w:eastAsia="en-US" w:bidi="ar-SA"/>
      </w:rPr>
    </w:lvl>
    <w:lvl w:ilvl="8">
      <w:start w:val="0"/>
      <w:numFmt w:val="bullet"/>
      <w:lvlText w:val="•"/>
      <w:lvlJc w:val="left"/>
      <w:pPr>
        <w:ind w:left="6124" w:hanging="350"/>
      </w:pPr>
      <w:rPr>
        <w:rFonts w:hint="default"/>
        <w:lang w:val="ru-RU" w:eastAsia="en-US" w:bidi="ar-SA"/>
      </w:rPr>
    </w:lvl>
  </w:abstractNum>
  <w:abstractNum w:abstractNumId="65">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64">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63">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62">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1"/>
      <w:numFmt w:val="upperRoman"/>
      <w:lvlText w:val="%2."/>
      <w:lvlJc w:val="left"/>
      <w:pPr>
        <w:ind w:left="603" w:hanging="178"/>
        <w:jc w:val="left"/>
      </w:pPr>
      <w:rPr>
        <w:rFonts w:hint="default" w:ascii="Times New Roman" w:hAnsi="Times New Roman" w:eastAsia="Times New Roman" w:cs="Times New Roman"/>
        <w:b/>
        <w:bCs/>
        <w:i w:val="0"/>
        <w:iCs w:val="0"/>
        <w:color w:val="231F20"/>
        <w:spacing w:val="0"/>
        <w:w w:val="100"/>
        <w:sz w:val="20"/>
        <w:szCs w:val="20"/>
        <w:lang w:val="ru-RU" w:eastAsia="en-US" w:bidi="ar-SA"/>
      </w:rPr>
    </w:lvl>
    <w:lvl w:ilvl="2">
      <w:start w:val="0"/>
      <w:numFmt w:val="bullet"/>
      <w:lvlText w:val="•"/>
      <w:lvlJc w:val="left"/>
      <w:pPr>
        <w:ind w:left="1371" w:hanging="178"/>
      </w:pPr>
      <w:rPr>
        <w:rFonts w:hint="default"/>
        <w:lang w:val="ru-RU" w:eastAsia="en-US" w:bidi="ar-SA"/>
      </w:rPr>
    </w:lvl>
    <w:lvl w:ilvl="3">
      <w:start w:val="0"/>
      <w:numFmt w:val="bullet"/>
      <w:lvlText w:val="•"/>
      <w:lvlJc w:val="left"/>
      <w:pPr>
        <w:ind w:left="2142" w:hanging="178"/>
      </w:pPr>
      <w:rPr>
        <w:rFonts w:hint="default"/>
        <w:lang w:val="ru-RU" w:eastAsia="en-US" w:bidi="ar-SA"/>
      </w:rPr>
    </w:lvl>
    <w:lvl w:ilvl="4">
      <w:start w:val="0"/>
      <w:numFmt w:val="bullet"/>
      <w:lvlText w:val="•"/>
      <w:lvlJc w:val="left"/>
      <w:pPr>
        <w:ind w:left="2913" w:hanging="178"/>
      </w:pPr>
      <w:rPr>
        <w:rFonts w:hint="default"/>
        <w:lang w:val="ru-RU" w:eastAsia="en-US" w:bidi="ar-SA"/>
      </w:rPr>
    </w:lvl>
    <w:lvl w:ilvl="5">
      <w:start w:val="0"/>
      <w:numFmt w:val="bullet"/>
      <w:lvlText w:val="•"/>
      <w:lvlJc w:val="left"/>
      <w:pPr>
        <w:ind w:left="3684" w:hanging="178"/>
      </w:pPr>
      <w:rPr>
        <w:rFonts w:hint="default"/>
        <w:lang w:val="ru-RU" w:eastAsia="en-US" w:bidi="ar-SA"/>
      </w:rPr>
    </w:lvl>
    <w:lvl w:ilvl="6">
      <w:start w:val="0"/>
      <w:numFmt w:val="bullet"/>
      <w:lvlText w:val="•"/>
      <w:lvlJc w:val="left"/>
      <w:pPr>
        <w:ind w:left="4455" w:hanging="178"/>
      </w:pPr>
      <w:rPr>
        <w:rFonts w:hint="default"/>
        <w:lang w:val="ru-RU" w:eastAsia="en-US" w:bidi="ar-SA"/>
      </w:rPr>
    </w:lvl>
    <w:lvl w:ilvl="7">
      <w:start w:val="0"/>
      <w:numFmt w:val="bullet"/>
      <w:lvlText w:val="•"/>
      <w:lvlJc w:val="left"/>
      <w:pPr>
        <w:ind w:left="5227" w:hanging="178"/>
      </w:pPr>
      <w:rPr>
        <w:rFonts w:hint="default"/>
        <w:lang w:val="ru-RU" w:eastAsia="en-US" w:bidi="ar-SA"/>
      </w:rPr>
    </w:lvl>
    <w:lvl w:ilvl="8">
      <w:start w:val="0"/>
      <w:numFmt w:val="bullet"/>
      <w:lvlText w:val="•"/>
      <w:lvlJc w:val="left"/>
      <w:pPr>
        <w:ind w:left="5998" w:hanging="178"/>
      </w:pPr>
      <w:rPr>
        <w:rFonts w:hint="default"/>
        <w:lang w:val="ru-RU" w:eastAsia="en-US" w:bidi="ar-SA"/>
      </w:rPr>
    </w:lvl>
  </w:abstractNum>
  <w:abstractNum w:abstractNumId="61">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151F26"/>
        <w:spacing w:val="0"/>
        <w:w w:val="100"/>
        <w:sz w:val="20"/>
        <w:szCs w:val="20"/>
        <w:lang w:val="ru-RU" w:eastAsia="en-US" w:bidi="ar-SA"/>
      </w:rPr>
    </w:lvl>
    <w:lvl w:ilvl="1">
      <w:start w:val="1"/>
      <w:numFmt w:val="upperRoman"/>
      <w:lvlText w:val="%2."/>
      <w:lvlJc w:val="left"/>
      <w:pPr>
        <w:ind w:left="603" w:hanging="178"/>
        <w:jc w:val="left"/>
      </w:pPr>
      <w:rPr>
        <w:rFonts w:hint="default" w:ascii="Times New Roman" w:hAnsi="Times New Roman" w:eastAsia="Times New Roman" w:cs="Times New Roman"/>
        <w:b/>
        <w:bCs/>
        <w:i w:val="0"/>
        <w:iCs w:val="0"/>
        <w:color w:val="231F20"/>
        <w:spacing w:val="0"/>
        <w:w w:val="100"/>
        <w:sz w:val="20"/>
        <w:szCs w:val="20"/>
        <w:lang w:val="ru-RU" w:eastAsia="en-US" w:bidi="ar-SA"/>
      </w:rPr>
    </w:lvl>
    <w:lvl w:ilvl="2">
      <w:start w:val="0"/>
      <w:numFmt w:val="bullet"/>
      <w:lvlText w:val="•"/>
      <w:lvlJc w:val="left"/>
      <w:pPr>
        <w:ind w:left="1371" w:hanging="178"/>
      </w:pPr>
      <w:rPr>
        <w:rFonts w:hint="default"/>
        <w:lang w:val="ru-RU" w:eastAsia="en-US" w:bidi="ar-SA"/>
      </w:rPr>
    </w:lvl>
    <w:lvl w:ilvl="3">
      <w:start w:val="0"/>
      <w:numFmt w:val="bullet"/>
      <w:lvlText w:val="•"/>
      <w:lvlJc w:val="left"/>
      <w:pPr>
        <w:ind w:left="2142" w:hanging="178"/>
      </w:pPr>
      <w:rPr>
        <w:rFonts w:hint="default"/>
        <w:lang w:val="ru-RU" w:eastAsia="en-US" w:bidi="ar-SA"/>
      </w:rPr>
    </w:lvl>
    <w:lvl w:ilvl="4">
      <w:start w:val="0"/>
      <w:numFmt w:val="bullet"/>
      <w:lvlText w:val="•"/>
      <w:lvlJc w:val="left"/>
      <w:pPr>
        <w:ind w:left="2913" w:hanging="178"/>
      </w:pPr>
      <w:rPr>
        <w:rFonts w:hint="default"/>
        <w:lang w:val="ru-RU" w:eastAsia="en-US" w:bidi="ar-SA"/>
      </w:rPr>
    </w:lvl>
    <w:lvl w:ilvl="5">
      <w:start w:val="0"/>
      <w:numFmt w:val="bullet"/>
      <w:lvlText w:val="•"/>
      <w:lvlJc w:val="left"/>
      <w:pPr>
        <w:ind w:left="3684" w:hanging="178"/>
      </w:pPr>
      <w:rPr>
        <w:rFonts w:hint="default"/>
        <w:lang w:val="ru-RU" w:eastAsia="en-US" w:bidi="ar-SA"/>
      </w:rPr>
    </w:lvl>
    <w:lvl w:ilvl="6">
      <w:start w:val="0"/>
      <w:numFmt w:val="bullet"/>
      <w:lvlText w:val="•"/>
      <w:lvlJc w:val="left"/>
      <w:pPr>
        <w:ind w:left="4455" w:hanging="178"/>
      </w:pPr>
      <w:rPr>
        <w:rFonts w:hint="default"/>
        <w:lang w:val="ru-RU" w:eastAsia="en-US" w:bidi="ar-SA"/>
      </w:rPr>
    </w:lvl>
    <w:lvl w:ilvl="7">
      <w:start w:val="0"/>
      <w:numFmt w:val="bullet"/>
      <w:lvlText w:val="•"/>
      <w:lvlJc w:val="left"/>
      <w:pPr>
        <w:ind w:left="5227" w:hanging="178"/>
      </w:pPr>
      <w:rPr>
        <w:rFonts w:hint="default"/>
        <w:lang w:val="ru-RU" w:eastAsia="en-US" w:bidi="ar-SA"/>
      </w:rPr>
    </w:lvl>
    <w:lvl w:ilvl="8">
      <w:start w:val="0"/>
      <w:numFmt w:val="bullet"/>
      <w:lvlText w:val="•"/>
      <w:lvlJc w:val="left"/>
      <w:pPr>
        <w:ind w:left="5998" w:hanging="178"/>
      </w:pPr>
      <w:rPr>
        <w:rFonts w:hint="default"/>
        <w:lang w:val="ru-RU" w:eastAsia="en-US" w:bidi="ar-SA"/>
      </w:rPr>
    </w:lvl>
  </w:abstractNum>
  <w:abstractNum w:abstractNumId="60">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59">
    <w:multiLevelType w:val="hybridMultilevel"/>
    <w:lvl w:ilvl="0">
      <w:start w:val="1"/>
      <w:numFmt w:val="decimal"/>
      <w:lvlText w:val="%1"/>
      <w:lvlJc w:val="left"/>
      <w:pPr>
        <w:ind w:left="456" w:hanging="315"/>
        <w:jc w:val="left"/>
      </w:pPr>
      <w:rPr>
        <w:rFonts w:hint="default"/>
        <w:lang w:val="ru-RU" w:eastAsia="en-US" w:bidi="ar-SA"/>
      </w:rPr>
    </w:lvl>
    <w:lvl w:ilvl="1">
      <w:start w:val="3"/>
      <w:numFmt w:val="decimal"/>
      <w:lvlText w:val="%1.%2."/>
      <w:lvlJc w:val="left"/>
      <w:pPr>
        <w:ind w:left="456" w:hanging="315"/>
        <w:jc w:val="left"/>
      </w:pPr>
      <w:rPr>
        <w:rFonts w:hint="default" w:ascii="Georgia" w:hAnsi="Georgia" w:eastAsia="Georgia" w:cs="Georgia"/>
        <w:b w:val="0"/>
        <w:bCs w:val="0"/>
        <w:i w:val="0"/>
        <w:iCs w:val="0"/>
        <w:color w:val="231F20"/>
        <w:spacing w:val="0"/>
        <w:w w:val="98"/>
        <w:sz w:val="18"/>
        <w:szCs w:val="18"/>
        <w:lang w:val="ru-RU" w:eastAsia="en-US" w:bidi="ar-SA"/>
      </w:rPr>
    </w:lvl>
    <w:lvl w:ilvl="2">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3">
      <w:start w:val="0"/>
      <w:numFmt w:val="bullet"/>
      <w:lvlText w:val="•"/>
      <w:lvlJc w:val="left"/>
      <w:pPr>
        <w:ind w:left="2033" w:hanging="284"/>
      </w:pPr>
      <w:rPr>
        <w:rFonts w:hint="default"/>
        <w:lang w:val="ru-RU" w:eastAsia="en-US" w:bidi="ar-SA"/>
      </w:rPr>
    </w:lvl>
    <w:lvl w:ilvl="4">
      <w:start w:val="0"/>
      <w:numFmt w:val="bullet"/>
      <w:lvlText w:val="•"/>
      <w:lvlJc w:val="left"/>
      <w:pPr>
        <w:ind w:left="2820" w:hanging="284"/>
      </w:pPr>
      <w:rPr>
        <w:rFonts w:hint="default"/>
        <w:lang w:val="ru-RU" w:eastAsia="en-US" w:bidi="ar-SA"/>
      </w:rPr>
    </w:lvl>
    <w:lvl w:ilvl="5">
      <w:start w:val="0"/>
      <w:numFmt w:val="bullet"/>
      <w:lvlText w:val="•"/>
      <w:lvlJc w:val="left"/>
      <w:pPr>
        <w:ind w:left="3606" w:hanging="284"/>
      </w:pPr>
      <w:rPr>
        <w:rFonts w:hint="default"/>
        <w:lang w:val="ru-RU" w:eastAsia="en-US" w:bidi="ar-SA"/>
      </w:rPr>
    </w:lvl>
    <w:lvl w:ilvl="6">
      <w:start w:val="0"/>
      <w:numFmt w:val="bullet"/>
      <w:lvlText w:val="•"/>
      <w:lvlJc w:val="left"/>
      <w:pPr>
        <w:ind w:left="4393" w:hanging="284"/>
      </w:pPr>
      <w:rPr>
        <w:rFonts w:hint="default"/>
        <w:lang w:val="ru-RU" w:eastAsia="en-US" w:bidi="ar-SA"/>
      </w:rPr>
    </w:lvl>
    <w:lvl w:ilvl="7">
      <w:start w:val="0"/>
      <w:numFmt w:val="bullet"/>
      <w:lvlText w:val="•"/>
      <w:lvlJc w:val="left"/>
      <w:pPr>
        <w:ind w:left="5180" w:hanging="284"/>
      </w:pPr>
      <w:rPr>
        <w:rFonts w:hint="default"/>
        <w:lang w:val="ru-RU" w:eastAsia="en-US" w:bidi="ar-SA"/>
      </w:rPr>
    </w:lvl>
    <w:lvl w:ilvl="8">
      <w:start w:val="0"/>
      <w:numFmt w:val="bullet"/>
      <w:lvlText w:val="•"/>
      <w:lvlJc w:val="left"/>
      <w:pPr>
        <w:ind w:left="5967" w:hanging="284"/>
      </w:pPr>
      <w:rPr>
        <w:rFonts w:hint="default"/>
        <w:lang w:val="ru-RU" w:eastAsia="en-US" w:bidi="ar-SA"/>
      </w:rPr>
    </w:lvl>
  </w:abstractNum>
  <w:abstractNum w:abstractNumId="58">
    <w:multiLevelType w:val="hybridMultilevel"/>
    <w:lvl w:ilvl="0">
      <w:start w:val="0"/>
      <w:numFmt w:val="bullet"/>
      <w:lvlText w:val="–"/>
      <w:lvlJc w:val="left"/>
      <w:pPr>
        <w:ind w:left="425" w:hanging="284"/>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57">
    <w:multiLevelType w:val="hybridMultilevel"/>
    <w:lvl w:ilvl="0">
      <w:start w:val="1"/>
      <w:numFmt w:val="decimal"/>
      <w:lvlText w:val="%1"/>
      <w:lvlJc w:val="left"/>
      <w:pPr>
        <w:ind w:left="456" w:hanging="315"/>
        <w:jc w:val="left"/>
      </w:pPr>
      <w:rPr>
        <w:rFonts w:hint="default"/>
        <w:lang w:val="ru-RU" w:eastAsia="en-US" w:bidi="ar-SA"/>
      </w:rPr>
    </w:lvl>
    <w:lvl w:ilvl="1">
      <w:start w:val="3"/>
      <w:numFmt w:val="decimal"/>
      <w:lvlText w:val="%1.%2."/>
      <w:lvlJc w:val="left"/>
      <w:pPr>
        <w:ind w:left="456" w:hanging="315"/>
        <w:jc w:val="right"/>
      </w:pPr>
      <w:rPr>
        <w:rFonts w:hint="default"/>
        <w:spacing w:val="0"/>
        <w:w w:val="98"/>
        <w:lang w:val="ru-RU" w:eastAsia="en-US" w:bidi="ar-SA"/>
      </w:rPr>
    </w:lvl>
    <w:lvl w:ilvl="2">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3">
      <w:start w:val="0"/>
      <w:numFmt w:val="bullet"/>
      <w:lvlText w:val="•"/>
      <w:lvlJc w:val="left"/>
      <w:pPr>
        <w:ind w:left="2033" w:hanging="284"/>
      </w:pPr>
      <w:rPr>
        <w:rFonts w:hint="default"/>
        <w:lang w:val="ru-RU" w:eastAsia="en-US" w:bidi="ar-SA"/>
      </w:rPr>
    </w:lvl>
    <w:lvl w:ilvl="4">
      <w:start w:val="0"/>
      <w:numFmt w:val="bullet"/>
      <w:lvlText w:val="•"/>
      <w:lvlJc w:val="left"/>
      <w:pPr>
        <w:ind w:left="2820" w:hanging="284"/>
      </w:pPr>
      <w:rPr>
        <w:rFonts w:hint="default"/>
        <w:lang w:val="ru-RU" w:eastAsia="en-US" w:bidi="ar-SA"/>
      </w:rPr>
    </w:lvl>
    <w:lvl w:ilvl="5">
      <w:start w:val="0"/>
      <w:numFmt w:val="bullet"/>
      <w:lvlText w:val="•"/>
      <w:lvlJc w:val="left"/>
      <w:pPr>
        <w:ind w:left="3606" w:hanging="284"/>
      </w:pPr>
      <w:rPr>
        <w:rFonts w:hint="default"/>
        <w:lang w:val="ru-RU" w:eastAsia="en-US" w:bidi="ar-SA"/>
      </w:rPr>
    </w:lvl>
    <w:lvl w:ilvl="6">
      <w:start w:val="0"/>
      <w:numFmt w:val="bullet"/>
      <w:lvlText w:val="•"/>
      <w:lvlJc w:val="left"/>
      <w:pPr>
        <w:ind w:left="4393" w:hanging="284"/>
      </w:pPr>
      <w:rPr>
        <w:rFonts w:hint="default"/>
        <w:lang w:val="ru-RU" w:eastAsia="en-US" w:bidi="ar-SA"/>
      </w:rPr>
    </w:lvl>
    <w:lvl w:ilvl="7">
      <w:start w:val="0"/>
      <w:numFmt w:val="bullet"/>
      <w:lvlText w:val="•"/>
      <w:lvlJc w:val="left"/>
      <w:pPr>
        <w:ind w:left="5180" w:hanging="284"/>
      </w:pPr>
      <w:rPr>
        <w:rFonts w:hint="default"/>
        <w:lang w:val="ru-RU" w:eastAsia="en-US" w:bidi="ar-SA"/>
      </w:rPr>
    </w:lvl>
    <w:lvl w:ilvl="8">
      <w:start w:val="0"/>
      <w:numFmt w:val="bullet"/>
      <w:lvlText w:val="•"/>
      <w:lvlJc w:val="left"/>
      <w:pPr>
        <w:ind w:left="5967" w:hanging="284"/>
      </w:pPr>
      <w:rPr>
        <w:rFonts w:hint="default"/>
        <w:lang w:val="ru-RU" w:eastAsia="en-US" w:bidi="ar-SA"/>
      </w:rPr>
    </w:lvl>
  </w:abstractNum>
  <w:abstractNum w:abstractNumId="56">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55">
    <w:multiLevelType w:val="hybridMultilevel"/>
    <w:lvl w:ilvl="0">
      <w:start w:val="1"/>
      <w:numFmt w:val="decimal"/>
      <w:lvlText w:val="%1."/>
      <w:lvlJc w:val="left"/>
      <w:pPr>
        <w:ind w:left="425" w:hanging="284"/>
        <w:jc w:val="left"/>
      </w:pPr>
      <w:rPr>
        <w:rFonts w:hint="default"/>
        <w:spacing w:val="0"/>
        <w:w w:val="100"/>
        <w:lang w:val="ru-RU" w:eastAsia="en-US" w:bidi="ar-SA"/>
      </w:rPr>
    </w:lvl>
    <w:lvl w:ilvl="1">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54">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53">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52">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51">
    <w:multiLevelType w:val="hybridMultilevel"/>
    <w:lvl w:ilvl="0">
      <w:start w:val="1"/>
      <w:numFmt w:val="decimal"/>
      <w:lvlText w:val="%1"/>
      <w:lvlJc w:val="left"/>
      <w:pPr>
        <w:ind w:left="456" w:hanging="315"/>
        <w:jc w:val="left"/>
      </w:pPr>
      <w:rPr>
        <w:rFonts w:hint="default"/>
        <w:lang w:val="ru-RU" w:eastAsia="en-US" w:bidi="ar-SA"/>
      </w:rPr>
    </w:lvl>
    <w:lvl w:ilvl="1">
      <w:start w:val="2"/>
      <w:numFmt w:val="decimal"/>
      <w:lvlText w:val="%1.%2."/>
      <w:lvlJc w:val="left"/>
      <w:pPr>
        <w:ind w:left="456" w:hanging="315"/>
        <w:jc w:val="right"/>
      </w:pPr>
      <w:rPr>
        <w:rFonts w:hint="default"/>
        <w:spacing w:val="0"/>
        <w:w w:val="98"/>
        <w:lang w:val="ru-RU" w:eastAsia="en-US" w:bidi="ar-SA"/>
      </w:rPr>
    </w:lvl>
    <w:lvl w:ilvl="2">
      <w:start w:val="1"/>
      <w:numFmt w:val="decimal"/>
      <w:lvlText w:val="%1.%2.%3."/>
      <w:lvlJc w:val="left"/>
      <w:pPr>
        <w:ind w:left="1065" w:hanging="500"/>
        <w:jc w:val="right"/>
      </w:pPr>
      <w:rPr>
        <w:rFonts w:hint="default" w:ascii="Times New Roman" w:hAnsi="Times New Roman" w:eastAsia="Times New Roman" w:cs="Times New Roman"/>
        <w:b/>
        <w:bCs/>
        <w:i w:val="0"/>
        <w:iCs w:val="0"/>
        <w:color w:val="231F20"/>
        <w:spacing w:val="0"/>
        <w:w w:val="100"/>
        <w:sz w:val="20"/>
        <w:szCs w:val="20"/>
        <w:lang w:val="ru-RU" w:eastAsia="en-US" w:bidi="ar-SA"/>
      </w:rPr>
    </w:lvl>
    <w:lvl w:ilvl="3">
      <w:start w:val="0"/>
      <w:numFmt w:val="bullet"/>
      <w:lvlText w:val="•"/>
      <w:lvlJc w:val="left"/>
      <w:pPr>
        <w:ind w:left="1320" w:hanging="500"/>
      </w:pPr>
      <w:rPr>
        <w:rFonts w:hint="default"/>
        <w:lang w:val="ru-RU" w:eastAsia="en-US" w:bidi="ar-SA"/>
      </w:rPr>
    </w:lvl>
    <w:lvl w:ilvl="4">
      <w:start w:val="0"/>
      <w:numFmt w:val="bullet"/>
      <w:lvlText w:val="•"/>
      <w:lvlJc w:val="left"/>
      <w:pPr>
        <w:ind w:left="2208" w:hanging="500"/>
      </w:pPr>
      <w:rPr>
        <w:rFonts w:hint="default"/>
        <w:lang w:val="ru-RU" w:eastAsia="en-US" w:bidi="ar-SA"/>
      </w:rPr>
    </w:lvl>
    <w:lvl w:ilvl="5">
      <w:start w:val="0"/>
      <w:numFmt w:val="bullet"/>
      <w:lvlText w:val="•"/>
      <w:lvlJc w:val="left"/>
      <w:pPr>
        <w:ind w:left="3097" w:hanging="500"/>
      </w:pPr>
      <w:rPr>
        <w:rFonts w:hint="default"/>
        <w:lang w:val="ru-RU" w:eastAsia="en-US" w:bidi="ar-SA"/>
      </w:rPr>
    </w:lvl>
    <w:lvl w:ilvl="6">
      <w:start w:val="0"/>
      <w:numFmt w:val="bullet"/>
      <w:lvlText w:val="•"/>
      <w:lvlJc w:val="left"/>
      <w:pPr>
        <w:ind w:left="3985" w:hanging="500"/>
      </w:pPr>
      <w:rPr>
        <w:rFonts w:hint="default"/>
        <w:lang w:val="ru-RU" w:eastAsia="en-US" w:bidi="ar-SA"/>
      </w:rPr>
    </w:lvl>
    <w:lvl w:ilvl="7">
      <w:start w:val="0"/>
      <w:numFmt w:val="bullet"/>
      <w:lvlText w:val="•"/>
      <w:lvlJc w:val="left"/>
      <w:pPr>
        <w:ind w:left="4874" w:hanging="500"/>
      </w:pPr>
      <w:rPr>
        <w:rFonts w:hint="default"/>
        <w:lang w:val="ru-RU" w:eastAsia="en-US" w:bidi="ar-SA"/>
      </w:rPr>
    </w:lvl>
    <w:lvl w:ilvl="8">
      <w:start w:val="0"/>
      <w:numFmt w:val="bullet"/>
      <w:lvlText w:val="•"/>
      <w:lvlJc w:val="left"/>
      <w:pPr>
        <w:ind w:left="5763" w:hanging="500"/>
      </w:pPr>
      <w:rPr>
        <w:rFonts w:hint="default"/>
        <w:lang w:val="ru-RU" w:eastAsia="en-US" w:bidi="ar-SA"/>
      </w:rPr>
    </w:lvl>
  </w:abstractNum>
  <w:abstractNum w:abstractNumId="50">
    <w:multiLevelType w:val="hybridMultilevel"/>
    <w:lvl w:ilvl="0">
      <w:start w:val="1"/>
      <w:numFmt w:val="decimal"/>
      <w:lvlText w:val="%1."/>
      <w:lvlJc w:val="left"/>
      <w:pPr>
        <w:ind w:left="425" w:hanging="227"/>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27"/>
      </w:pPr>
      <w:rPr>
        <w:rFonts w:hint="default"/>
        <w:lang w:val="ru-RU" w:eastAsia="en-US" w:bidi="ar-SA"/>
      </w:rPr>
    </w:lvl>
    <w:lvl w:ilvl="2">
      <w:start w:val="0"/>
      <w:numFmt w:val="bullet"/>
      <w:lvlText w:val="•"/>
      <w:lvlJc w:val="left"/>
      <w:pPr>
        <w:ind w:left="1844" w:hanging="227"/>
      </w:pPr>
      <w:rPr>
        <w:rFonts w:hint="default"/>
        <w:lang w:val="ru-RU" w:eastAsia="en-US" w:bidi="ar-SA"/>
      </w:rPr>
    </w:lvl>
    <w:lvl w:ilvl="3">
      <w:start w:val="0"/>
      <w:numFmt w:val="bullet"/>
      <w:lvlText w:val="•"/>
      <w:lvlJc w:val="left"/>
      <w:pPr>
        <w:ind w:left="2556" w:hanging="227"/>
      </w:pPr>
      <w:rPr>
        <w:rFonts w:hint="default"/>
        <w:lang w:val="ru-RU" w:eastAsia="en-US" w:bidi="ar-SA"/>
      </w:rPr>
    </w:lvl>
    <w:lvl w:ilvl="4">
      <w:start w:val="0"/>
      <w:numFmt w:val="bullet"/>
      <w:lvlText w:val="•"/>
      <w:lvlJc w:val="left"/>
      <w:pPr>
        <w:ind w:left="3268" w:hanging="227"/>
      </w:pPr>
      <w:rPr>
        <w:rFonts w:hint="default"/>
        <w:lang w:val="ru-RU" w:eastAsia="en-US" w:bidi="ar-SA"/>
      </w:rPr>
    </w:lvl>
    <w:lvl w:ilvl="5">
      <w:start w:val="0"/>
      <w:numFmt w:val="bullet"/>
      <w:lvlText w:val="•"/>
      <w:lvlJc w:val="left"/>
      <w:pPr>
        <w:ind w:left="3980" w:hanging="227"/>
      </w:pPr>
      <w:rPr>
        <w:rFonts w:hint="default"/>
        <w:lang w:val="ru-RU" w:eastAsia="en-US" w:bidi="ar-SA"/>
      </w:rPr>
    </w:lvl>
    <w:lvl w:ilvl="6">
      <w:start w:val="0"/>
      <w:numFmt w:val="bullet"/>
      <w:lvlText w:val="•"/>
      <w:lvlJc w:val="left"/>
      <w:pPr>
        <w:ind w:left="4692" w:hanging="227"/>
      </w:pPr>
      <w:rPr>
        <w:rFonts w:hint="default"/>
        <w:lang w:val="ru-RU" w:eastAsia="en-US" w:bidi="ar-SA"/>
      </w:rPr>
    </w:lvl>
    <w:lvl w:ilvl="7">
      <w:start w:val="0"/>
      <w:numFmt w:val="bullet"/>
      <w:lvlText w:val="•"/>
      <w:lvlJc w:val="left"/>
      <w:pPr>
        <w:ind w:left="5404" w:hanging="227"/>
      </w:pPr>
      <w:rPr>
        <w:rFonts w:hint="default"/>
        <w:lang w:val="ru-RU" w:eastAsia="en-US" w:bidi="ar-SA"/>
      </w:rPr>
    </w:lvl>
    <w:lvl w:ilvl="8">
      <w:start w:val="0"/>
      <w:numFmt w:val="bullet"/>
      <w:lvlText w:val="•"/>
      <w:lvlJc w:val="left"/>
      <w:pPr>
        <w:ind w:left="6116" w:hanging="227"/>
      </w:pPr>
      <w:rPr>
        <w:rFonts w:hint="default"/>
        <w:lang w:val="ru-RU" w:eastAsia="en-US" w:bidi="ar-SA"/>
      </w:rPr>
    </w:lvl>
  </w:abstractNum>
  <w:abstractNum w:abstractNumId="49">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48">
    <w:multiLevelType w:val="hybridMultilevel"/>
    <w:lvl w:ilvl="0">
      <w:start w:val="0"/>
      <w:numFmt w:val="bullet"/>
      <w:lvlText w:val=""/>
      <w:lvlJc w:val="left"/>
      <w:pPr>
        <w:ind w:left="425" w:hanging="284"/>
      </w:pPr>
      <w:rPr>
        <w:rFonts w:hint="default" w:ascii="Wingdings" w:hAnsi="Wingdings" w:eastAsia="Wingdings" w:cs="Wingdings"/>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47">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46">
    <w:multiLevelType w:val="hybridMultilevel"/>
    <w:lvl w:ilvl="0">
      <w:start w:val="1"/>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right"/>
      </w:pPr>
      <w:rPr>
        <w:rFonts w:hint="default"/>
        <w:spacing w:val="0"/>
        <w:w w:val="106"/>
        <w:lang w:val="ru-RU" w:eastAsia="en-US" w:bidi="ar-SA"/>
      </w:rPr>
    </w:lvl>
    <w:lvl w:ilvl="2">
      <w:start w:val="1"/>
      <w:numFmt w:val="decimal"/>
      <w:lvlText w:val="%3."/>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3">
      <w:start w:val="0"/>
      <w:numFmt w:val="bullet"/>
      <w:lvlText w:val="•"/>
      <w:lvlJc w:val="left"/>
      <w:pPr>
        <w:ind w:left="2220" w:hanging="284"/>
      </w:pPr>
      <w:rPr>
        <w:rFonts w:hint="default"/>
        <w:lang w:val="ru-RU" w:eastAsia="en-US" w:bidi="ar-SA"/>
      </w:rPr>
    </w:lvl>
    <w:lvl w:ilvl="4">
      <w:start w:val="0"/>
      <w:numFmt w:val="bullet"/>
      <w:lvlText w:val="•"/>
      <w:lvlJc w:val="left"/>
      <w:pPr>
        <w:ind w:left="2980" w:hanging="284"/>
      </w:pPr>
      <w:rPr>
        <w:rFonts w:hint="default"/>
        <w:lang w:val="ru-RU" w:eastAsia="en-US" w:bidi="ar-SA"/>
      </w:rPr>
    </w:lvl>
    <w:lvl w:ilvl="5">
      <w:start w:val="0"/>
      <w:numFmt w:val="bullet"/>
      <w:lvlText w:val="•"/>
      <w:lvlJc w:val="left"/>
      <w:pPr>
        <w:ind w:left="3740" w:hanging="284"/>
      </w:pPr>
      <w:rPr>
        <w:rFonts w:hint="default"/>
        <w:lang w:val="ru-RU" w:eastAsia="en-US" w:bidi="ar-SA"/>
      </w:rPr>
    </w:lvl>
    <w:lvl w:ilvl="6">
      <w:start w:val="0"/>
      <w:numFmt w:val="bullet"/>
      <w:lvlText w:val="•"/>
      <w:lvlJc w:val="left"/>
      <w:pPr>
        <w:ind w:left="4500" w:hanging="284"/>
      </w:pPr>
      <w:rPr>
        <w:rFonts w:hint="default"/>
        <w:lang w:val="ru-RU" w:eastAsia="en-US" w:bidi="ar-SA"/>
      </w:rPr>
    </w:lvl>
    <w:lvl w:ilvl="7">
      <w:start w:val="0"/>
      <w:numFmt w:val="bullet"/>
      <w:lvlText w:val="•"/>
      <w:lvlJc w:val="left"/>
      <w:pPr>
        <w:ind w:left="5260" w:hanging="284"/>
      </w:pPr>
      <w:rPr>
        <w:rFonts w:hint="default"/>
        <w:lang w:val="ru-RU" w:eastAsia="en-US" w:bidi="ar-SA"/>
      </w:rPr>
    </w:lvl>
    <w:lvl w:ilvl="8">
      <w:start w:val="0"/>
      <w:numFmt w:val="bullet"/>
      <w:lvlText w:val="•"/>
      <w:lvlJc w:val="left"/>
      <w:pPr>
        <w:ind w:left="6020" w:hanging="284"/>
      </w:pPr>
      <w:rPr>
        <w:rFonts w:hint="default"/>
        <w:lang w:val="ru-RU" w:eastAsia="en-US" w:bidi="ar-SA"/>
      </w:rPr>
    </w:lvl>
  </w:abstractNum>
  <w:abstractNum w:abstractNumId="45">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44">
    <w:multiLevelType w:val="hybridMultilevel"/>
    <w:lvl w:ilvl="0">
      <w:start w:val="1"/>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Georgia" w:hAnsi="Georgia" w:eastAsia="Georgia" w:cs="Georgia"/>
        <w:b w:val="0"/>
        <w:bCs w:val="0"/>
        <w:i w:val="0"/>
        <w:iCs w:val="0"/>
        <w:color w:val="231F20"/>
        <w:spacing w:val="0"/>
        <w:w w:val="106"/>
        <w:sz w:val="18"/>
        <w:szCs w:val="18"/>
        <w:lang w:val="ru-RU" w:eastAsia="en-US" w:bidi="ar-SA"/>
      </w:rPr>
    </w:lvl>
    <w:lvl w:ilvl="2">
      <w:start w:val="0"/>
      <w:numFmt w:val="bullet"/>
      <w:lvlText w:val="•"/>
      <w:lvlJc w:val="left"/>
      <w:pPr>
        <w:ind w:left="425" w:hanging="284"/>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3">
      <w:start w:val="0"/>
      <w:numFmt w:val="bullet"/>
      <w:lvlText w:val="•"/>
      <w:lvlJc w:val="left"/>
      <w:pPr>
        <w:ind w:left="2033" w:hanging="284"/>
      </w:pPr>
      <w:rPr>
        <w:rFonts w:hint="default"/>
        <w:lang w:val="ru-RU" w:eastAsia="en-US" w:bidi="ar-SA"/>
      </w:rPr>
    </w:lvl>
    <w:lvl w:ilvl="4">
      <w:start w:val="0"/>
      <w:numFmt w:val="bullet"/>
      <w:lvlText w:val="•"/>
      <w:lvlJc w:val="left"/>
      <w:pPr>
        <w:ind w:left="2820" w:hanging="284"/>
      </w:pPr>
      <w:rPr>
        <w:rFonts w:hint="default"/>
        <w:lang w:val="ru-RU" w:eastAsia="en-US" w:bidi="ar-SA"/>
      </w:rPr>
    </w:lvl>
    <w:lvl w:ilvl="5">
      <w:start w:val="0"/>
      <w:numFmt w:val="bullet"/>
      <w:lvlText w:val="•"/>
      <w:lvlJc w:val="left"/>
      <w:pPr>
        <w:ind w:left="3606" w:hanging="284"/>
      </w:pPr>
      <w:rPr>
        <w:rFonts w:hint="default"/>
        <w:lang w:val="ru-RU" w:eastAsia="en-US" w:bidi="ar-SA"/>
      </w:rPr>
    </w:lvl>
    <w:lvl w:ilvl="6">
      <w:start w:val="0"/>
      <w:numFmt w:val="bullet"/>
      <w:lvlText w:val="•"/>
      <w:lvlJc w:val="left"/>
      <w:pPr>
        <w:ind w:left="4393" w:hanging="284"/>
      </w:pPr>
      <w:rPr>
        <w:rFonts w:hint="default"/>
        <w:lang w:val="ru-RU" w:eastAsia="en-US" w:bidi="ar-SA"/>
      </w:rPr>
    </w:lvl>
    <w:lvl w:ilvl="7">
      <w:start w:val="0"/>
      <w:numFmt w:val="bullet"/>
      <w:lvlText w:val="•"/>
      <w:lvlJc w:val="left"/>
      <w:pPr>
        <w:ind w:left="5180" w:hanging="284"/>
      </w:pPr>
      <w:rPr>
        <w:rFonts w:hint="default"/>
        <w:lang w:val="ru-RU" w:eastAsia="en-US" w:bidi="ar-SA"/>
      </w:rPr>
    </w:lvl>
    <w:lvl w:ilvl="8">
      <w:start w:val="0"/>
      <w:numFmt w:val="bullet"/>
      <w:lvlText w:val="•"/>
      <w:lvlJc w:val="left"/>
      <w:pPr>
        <w:ind w:left="5967" w:hanging="284"/>
      </w:pPr>
      <w:rPr>
        <w:rFonts w:hint="default"/>
        <w:lang w:val="ru-RU" w:eastAsia="en-US" w:bidi="ar-SA"/>
      </w:rPr>
    </w:lvl>
  </w:abstractNum>
  <w:abstractNum w:abstractNumId="43">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42">
    <w:multiLevelType w:val="hybridMultilevel"/>
    <w:lvl w:ilvl="0">
      <w:start w:val="1"/>
      <w:numFmt w:val="decimal"/>
      <w:lvlText w:val="%1"/>
      <w:lvlJc w:val="left"/>
      <w:pPr>
        <w:ind w:left="2011" w:hanging="350"/>
        <w:jc w:val="left"/>
      </w:pPr>
      <w:rPr>
        <w:rFonts w:hint="default"/>
        <w:lang w:val="ru-RU" w:eastAsia="en-US" w:bidi="ar-SA"/>
      </w:rPr>
    </w:lvl>
    <w:lvl w:ilvl="1">
      <w:start w:val="1"/>
      <w:numFmt w:val="decimal"/>
      <w:lvlText w:val="%1.%2."/>
      <w:lvlJc w:val="left"/>
      <w:pPr>
        <w:ind w:left="2011" w:hanging="350"/>
        <w:jc w:val="right"/>
      </w:pPr>
      <w:rPr>
        <w:rFonts w:hint="default"/>
        <w:spacing w:val="0"/>
        <w:w w:val="100"/>
        <w:lang w:val="ru-RU" w:eastAsia="en-US" w:bidi="ar-SA"/>
      </w:rPr>
    </w:lvl>
    <w:lvl w:ilvl="2">
      <w:start w:val="1"/>
      <w:numFmt w:val="decimal"/>
      <w:lvlText w:val="%1.%2.%3."/>
      <w:lvlJc w:val="left"/>
      <w:pPr>
        <w:ind w:left="1101" w:hanging="500"/>
        <w:jc w:val="right"/>
      </w:pPr>
      <w:rPr>
        <w:rFonts w:hint="default" w:ascii="Times New Roman" w:hAnsi="Times New Roman" w:eastAsia="Times New Roman" w:cs="Times New Roman"/>
        <w:b/>
        <w:bCs/>
        <w:i w:val="0"/>
        <w:iCs w:val="0"/>
        <w:color w:val="231F20"/>
        <w:spacing w:val="0"/>
        <w:w w:val="100"/>
        <w:sz w:val="20"/>
        <w:szCs w:val="20"/>
        <w:lang w:val="ru-RU" w:eastAsia="en-US" w:bidi="ar-SA"/>
      </w:rPr>
    </w:lvl>
    <w:lvl w:ilvl="3">
      <w:start w:val="0"/>
      <w:numFmt w:val="bullet"/>
      <w:lvlText w:val="•"/>
      <w:lvlJc w:val="left"/>
      <w:pPr>
        <w:ind w:left="3246" w:hanging="500"/>
      </w:pPr>
      <w:rPr>
        <w:rFonts w:hint="default"/>
        <w:lang w:val="ru-RU" w:eastAsia="en-US" w:bidi="ar-SA"/>
      </w:rPr>
    </w:lvl>
    <w:lvl w:ilvl="4">
      <w:start w:val="0"/>
      <w:numFmt w:val="bullet"/>
      <w:lvlText w:val="•"/>
      <w:lvlJc w:val="left"/>
      <w:pPr>
        <w:ind w:left="3860" w:hanging="500"/>
      </w:pPr>
      <w:rPr>
        <w:rFonts w:hint="default"/>
        <w:lang w:val="ru-RU" w:eastAsia="en-US" w:bidi="ar-SA"/>
      </w:rPr>
    </w:lvl>
    <w:lvl w:ilvl="5">
      <w:start w:val="0"/>
      <w:numFmt w:val="bullet"/>
      <w:lvlText w:val="•"/>
      <w:lvlJc w:val="left"/>
      <w:pPr>
        <w:ind w:left="4473" w:hanging="500"/>
      </w:pPr>
      <w:rPr>
        <w:rFonts w:hint="default"/>
        <w:lang w:val="ru-RU" w:eastAsia="en-US" w:bidi="ar-SA"/>
      </w:rPr>
    </w:lvl>
    <w:lvl w:ilvl="6">
      <w:start w:val="0"/>
      <w:numFmt w:val="bullet"/>
      <w:lvlText w:val="•"/>
      <w:lvlJc w:val="left"/>
      <w:pPr>
        <w:ind w:left="5086" w:hanging="500"/>
      </w:pPr>
      <w:rPr>
        <w:rFonts w:hint="default"/>
        <w:lang w:val="ru-RU" w:eastAsia="en-US" w:bidi="ar-SA"/>
      </w:rPr>
    </w:lvl>
    <w:lvl w:ilvl="7">
      <w:start w:val="0"/>
      <w:numFmt w:val="bullet"/>
      <w:lvlText w:val="•"/>
      <w:lvlJc w:val="left"/>
      <w:pPr>
        <w:ind w:left="5700" w:hanging="500"/>
      </w:pPr>
      <w:rPr>
        <w:rFonts w:hint="default"/>
        <w:lang w:val="ru-RU" w:eastAsia="en-US" w:bidi="ar-SA"/>
      </w:rPr>
    </w:lvl>
    <w:lvl w:ilvl="8">
      <w:start w:val="0"/>
      <w:numFmt w:val="bullet"/>
      <w:lvlText w:val="•"/>
      <w:lvlJc w:val="left"/>
      <w:pPr>
        <w:ind w:left="6313" w:hanging="500"/>
      </w:pPr>
      <w:rPr>
        <w:rFonts w:hint="default"/>
        <w:lang w:val="ru-RU" w:eastAsia="en-US" w:bidi="ar-SA"/>
      </w:rPr>
    </w:lvl>
  </w:abstractNum>
  <w:abstractNum w:abstractNumId="41">
    <w:multiLevelType w:val="hybridMultilevel"/>
    <w:lvl w:ilvl="0">
      <w:start w:val="1"/>
      <w:numFmt w:val="decimal"/>
      <w:lvlText w:val="%1."/>
      <w:lvlJc w:val="left"/>
      <w:pPr>
        <w:ind w:left="708" w:hanging="284"/>
        <w:jc w:val="left"/>
      </w:pPr>
      <w:rPr>
        <w:rFonts w:hint="default" w:ascii="Times New Roman" w:hAnsi="Times New Roman" w:eastAsia="Times New Roman" w:cs="Times New Roman"/>
        <w:b w:val="0"/>
        <w:bCs w:val="0"/>
        <w:i w:val="0"/>
        <w:iCs w:val="0"/>
        <w:color w:val="231F20"/>
        <w:spacing w:val="0"/>
        <w:w w:val="100"/>
        <w:sz w:val="18"/>
        <w:szCs w:val="18"/>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40">
    <w:multiLevelType w:val="hybridMultilevel"/>
    <w:lvl w:ilvl="0">
      <w:start w:val="0"/>
      <w:numFmt w:val="bullet"/>
      <w:lvlText w:val="▪"/>
      <w:lvlJc w:val="left"/>
      <w:pPr>
        <w:ind w:left="425" w:hanging="284"/>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9">
    <w:multiLevelType w:val="hybridMultilevel"/>
    <w:lvl w:ilvl="0">
      <w:start w:val="1"/>
      <w:numFmt w:val="decimal"/>
      <w:lvlText w:val="%1."/>
      <w:lvlJc w:val="left"/>
      <w:pPr>
        <w:ind w:left="425" w:hanging="284"/>
        <w:jc w:val="left"/>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1"/>
      <w:numFmt w:val="decimal"/>
      <w:lvlText w:val="%2-"/>
      <w:lvlJc w:val="left"/>
      <w:pPr>
        <w:ind w:left="141" w:hanging="168"/>
        <w:jc w:val="left"/>
      </w:pPr>
      <w:rPr>
        <w:rFonts w:hint="default" w:ascii="Times New Roman" w:hAnsi="Times New Roman" w:eastAsia="Times New Roman" w:cs="Times New Roman"/>
        <w:b/>
        <w:bCs/>
        <w:i w:val="0"/>
        <w:iCs w:val="0"/>
        <w:color w:val="231F20"/>
        <w:spacing w:val="-1"/>
        <w:w w:val="97"/>
        <w:sz w:val="18"/>
        <w:szCs w:val="18"/>
        <w:lang w:val="ru-RU" w:eastAsia="en-US" w:bidi="ar-SA"/>
      </w:rPr>
    </w:lvl>
    <w:lvl w:ilvl="2">
      <w:start w:val="0"/>
      <w:numFmt w:val="bullet"/>
      <w:lvlText w:val="•"/>
      <w:lvlJc w:val="left"/>
      <w:pPr>
        <w:ind w:left="1211" w:hanging="168"/>
      </w:pPr>
      <w:rPr>
        <w:rFonts w:hint="default"/>
        <w:lang w:val="ru-RU" w:eastAsia="en-US" w:bidi="ar-SA"/>
      </w:rPr>
    </w:lvl>
    <w:lvl w:ilvl="3">
      <w:start w:val="0"/>
      <w:numFmt w:val="bullet"/>
      <w:lvlText w:val="•"/>
      <w:lvlJc w:val="left"/>
      <w:pPr>
        <w:ind w:left="2002" w:hanging="168"/>
      </w:pPr>
      <w:rPr>
        <w:rFonts w:hint="default"/>
        <w:lang w:val="ru-RU" w:eastAsia="en-US" w:bidi="ar-SA"/>
      </w:rPr>
    </w:lvl>
    <w:lvl w:ilvl="4">
      <w:start w:val="0"/>
      <w:numFmt w:val="bullet"/>
      <w:lvlText w:val="•"/>
      <w:lvlJc w:val="left"/>
      <w:pPr>
        <w:ind w:left="2793" w:hanging="168"/>
      </w:pPr>
      <w:rPr>
        <w:rFonts w:hint="default"/>
        <w:lang w:val="ru-RU" w:eastAsia="en-US" w:bidi="ar-SA"/>
      </w:rPr>
    </w:lvl>
    <w:lvl w:ilvl="5">
      <w:start w:val="0"/>
      <w:numFmt w:val="bullet"/>
      <w:lvlText w:val="•"/>
      <w:lvlJc w:val="left"/>
      <w:pPr>
        <w:ind w:left="3584" w:hanging="168"/>
      </w:pPr>
      <w:rPr>
        <w:rFonts w:hint="default"/>
        <w:lang w:val="ru-RU" w:eastAsia="en-US" w:bidi="ar-SA"/>
      </w:rPr>
    </w:lvl>
    <w:lvl w:ilvl="6">
      <w:start w:val="0"/>
      <w:numFmt w:val="bullet"/>
      <w:lvlText w:val="•"/>
      <w:lvlJc w:val="left"/>
      <w:pPr>
        <w:ind w:left="4375" w:hanging="168"/>
      </w:pPr>
      <w:rPr>
        <w:rFonts w:hint="default"/>
        <w:lang w:val="ru-RU" w:eastAsia="en-US" w:bidi="ar-SA"/>
      </w:rPr>
    </w:lvl>
    <w:lvl w:ilvl="7">
      <w:start w:val="0"/>
      <w:numFmt w:val="bullet"/>
      <w:lvlText w:val="•"/>
      <w:lvlJc w:val="left"/>
      <w:pPr>
        <w:ind w:left="5167" w:hanging="168"/>
      </w:pPr>
      <w:rPr>
        <w:rFonts w:hint="default"/>
        <w:lang w:val="ru-RU" w:eastAsia="en-US" w:bidi="ar-SA"/>
      </w:rPr>
    </w:lvl>
    <w:lvl w:ilvl="8">
      <w:start w:val="0"/>
      <w:numFmt w:val="bullet"/>
      <w:lvlText w:val="•"/>
      <w:lvlJc w:val="left"/>
      <w:pPr>
        <w:ind w:left="5958" w:hanging="168"/>
      </w:pPr>
      <w:rPr>
        <w:rFonts w:hint="default"/>
        <w:lang w:val="ru-RU" w:eastAsia="en-US" w:bidi="ar-SA"/>
      </w:rPr>
    </w:lvl>
  </w:abstractNum>
  <w:abstractNum w:abstractNumId="38">
    <w:multiLevelType w:val="hybridMultilevel"/>
    <w:lvl w:ilvl="0">
      <w:start w:val="0"/>
      <w:numFmt w:val="bullet"/>
      <w:lvlText w:val="▪"/>
      <w:lvlJc w:val="left"/>
      <w:pPr>
        <w:ind w:left="425"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132" w:hanging="284"/>
      </w:pPr>
      <w:rPr>
        <w:rFonts w:hint="default"/>
        <w:lang w:val="ru-RU" w:eastAsia="en-US" w:bidi="ar-SA"/>
      </w:rPr>
    </w:lvl>
    <w:lvl w:ilvl="2">
      <w:start w:val="0"/>
      <w:numFmt w:val="bullet"/>
      <w:lvlText w:val="•"/>
      <w:lvlJc w:val="left"/>
      <w:pPr>
        <w:ind w:left="1844" w:hanging="284"/>
      </w:pPr>
      <w:rPr>
        <w:rFonts w:hint="default"/>
        <w:lang w:val="ru-RU" w:eastAsia="en-US" w:bidi="ar-SA"/>
      </w:rPr>
    </w:lvl>
    <w:lvl w:ilvl="3">
      <w:start w:val="0"/>
      <w:numFmt w:val="bullet"/>
      <w:lvlText w:val="•"/>
      <w:lvlJc w:val="left"/>
      <w:pPr>
        <w:ind w:left="2556" w:hanging="284"/>
      </w:pPr>
      <w:rPr>
        <w:rFonts w:hint="default"/>
        <w:lang w:val="ru-RU" w:eastAsia="en-US" w:bidi="ar-SA"/>
      </w:rPr>
    </w:lvl>
    <w:lvl w:ilvl="4">
      <w:start w:val="0"/>
      <w:numFmt w:val="bullet"/>
      <w:lvlText w:val="•"/>
      <w:lvlJc w:val="left"/>
      <w:pPr>
        <w:ind w:left="3268" w:hanging="284"/>
      </w:pPr>
      <w:rPr>
        <w:rFonts w:hint="default"/>
        <w:lang w:val="ru-RU" w:eastAsia="en-US" w:bidi="ar-SA"/>
      </w:rPr>
    </w:lvl>
    <w:lvl w:ilvl="5">
      <w:start w:val="0"/>
      <w:numFmt w:val="bullet"/>
      <w:lvlText w:val="•"/>
      <w:lvlJc w:val="left"/>
      <w:pPr>
        <w:ind w:left="3980" w:hanging="284"/>
      </w:pPr>
      <w:rPr>
        <w:rFonts w:hint="default"/>
        <w:lang w:val="ru-RU" w:eastAsia="en-US" w:bidi="ar-SA"/>
      </w:rPr>
    </w:lvl>
    <w:lvl w:ilvl="6">
      <w:start w:val="0"/>
      <w:numFmt w:val="bullet"/>
      <w:lvlText w:val="•"/>
      <w:lvlJc w:val="left"/>
      <w:pPr>
        <w:ind w:left="4692" w:hanging="284"/>
      </w:pPr>
      <w:rPr>
        <w:rFonts w:hint="default"/>
        <w:lang w:val="ru-RU" w:eastAsia="en-US" w:bidi="ar-SA"/>
      </w:rPr>
    </w:lvl>
    <w:lvl w:ilvl="7">
      <w:start w:val="0"/>
      <w:numFmt w:val="bullet"/>
      <w:lvlText w:val="•"/>
      <w:lvlJc w:val="left"/>
      <w:pPr>
        <w:ind w:left="5404" w:hanging="284"/>
      </w:pPr>
      <w:rPr>
        <w:rFonts w:hint="default"/>
        <w:lang w:val="ru-RU" w:eastAsia="en-US" w:bidi="ar-SA"/>
      </w:rPr>
    </w:lvl>
    <w:lvl w:ilvl="8">
      <w:start w:val="0"/>
      <w:numFmt w:val="bullet"/>
      <w:lvlText w:val="•"/>
      <w:lvlJc w:val="left"/>
      <w:pPr>
        <w:ind w:left="6116" w:hanging="284"/>
      </w:pPr>
      <w:rPr>
        <w:rFonts w:hint="default"/>
        <w:lang w:val="ru-RU" w:eastAsia="en-US" w:bidi="ar-SA"/>
      </w:rPr>
    </w:lvl>
  </w:abstractNum>
  <w:abstractNum w:abstractNumId="37">
    <w:multiLevelType w:val="hybridMultilevel"/>
    <w:lvl w:ilvl="0">
      <w:start w:val="0"/>
      <w:numFmt w:val="bullet"/>
      <w:lvlText w:val="▪"/>
      <w:lvlJc w:val="left"/>
      <w:pPr>
        <w:ind w:left="708" w:hanging="284"/>
      </w:pPr>
      <w:rPr>
        <w:rFonts w:hint="default" w:ascii="Times New Roman" w:hAnsi="Times New Roman" w:eastAsia="Times New Roman" w:cs="Times New Roman"/>
        <w:b w:val="0"/>
        <w:bCs w:val="0"/>
        <w:i w:val="0"/>
        <w:iCs w:val="0"/>
        <w:spacing w:val="0"/>
        <w:w w:val="100"/>
        <w:sz w:val="20"/>
        <w:szCs w:val="20"/>
        <w:lang w:val="ru-RU" w:eastAsia="en-US" w:bidi="ar-SA"/>
      </w:rPr>
    </w:lvl>
    <w:lvl w:ilvl="1">
      <w:start w:val="0"/>
      <w:numFmt w:val="bullet"/>
      <w:lvlText w:val="•"/>
      <w:lvlJc w:val="left"/>
      <w:pPr>
        <w:ind w:left="1384" w:hanging="284"/>
      </w:pPr>
      <w:rPr>
        <w:rFonts w:hint="default"/>
        <w:lang w:val="ru-RU" w:eastAsia="en-US" w:bidi="ar-SA"/>
      </w:rPr>
    </w:lvl>
    <w:lvl w:ilvl="2">
      <w:start w:val="0"/>
      <w:numFmt w:val="bullet"/>
      <w:lvlText w:val="•"/>
      <w:lvlJc w:val="left"/>
      <w:pPr>
        <w:ind w:left="2068" w:hanging="284"/>
      </w:pPr>
      <w:rPr>
        <w:rFonts w:hint="default"/>
        <w:lang w:val="ru-RU" w:eastAsia="en-US" w:bidi="ar-SA"/>
      </w:rPr>
    </w:lvl>
    <w:lvl w:ilvl="3">
      <w:start w:val="0"/>
      <w:numFmt w:val="bullet"/>
      <w:lvlText w:val="•"/>
      <w:lvlJc w:val="left"/>
      <w:pPr>
        <w:ind w:left="2752" w:hanging="284"/>
      </w:pPr>
      <w:rPr>
        <w:rFonts w:hint="default"/>
        <w:lang w:val="ru-RU" w:eastAsia="en-US" w:bidi="ar-SA"/>
      </w:rPr>
    </w:lvl>
    <w:lvl w:ilvl="4">
      <w:start w:val="0"/>
      <w:numFmt w:val="bullet"/>
      <w:lvlText w:val="•"/>
      <w:lvlJc w:val="left"/>
      <w:pPr>
        <w:ind w:left="3436" w:hanging="284"/>
      </w:pPr>
      <w:rPr>
        <w:rFonts w:hint="default"/>
        <w:lang w:val="ru-RU" w:eastAsia="en-US" w:bidi="ar-SA"/>
      </w:rPr>
    </w:lvl>
    <w:lvl w:ilvl="5">
      <w:start w:val="0"/>
      <w:numFmt w:val="bullet"/>
      <w:lvlText w:val="•"/>
      <w:lvlJc w:val="left"/>
      <w:pPr>
        <w:ind w:left="4120" w:hanging="284"/>
      </w:pPr>
      <w:rPr>
        <w:rFonts w:hint="default"/>
        <w:lang w:val="ru-RU" w:eastAsia="en-US" w:bidi="ar-SA"/>
      </w:rPr>
    </w:lvl>
    <w:lvl w:ilvl="6">
      <w:start w:val="0"/>
      <w:numFmt w:val="bullet"/>
      <w:lvlText w:val="•"/>
      <w:lvlJc w:val="left"/>
      <w:pPr>
        <w:ind w:left="4804" w:hanging="284"/>
      </w:pPr>
      <w:rPr>
        <w:rFonts w:hint="default"/>
        <w:lang w:val="ru-RU" w:eastAsia="en-US" w:bidi="ar-SA"/>
      </w:rPr>
    </w:lvl>
    <w:lvl w:ilvl="7">
      <w:start w:val="0"/>
      <w:numFmt w:val="bullet"/>
      <w:lvlText w:val="•"/>
      <w:lvlJc w:val="left"/>
      <w:pPr>
        <w:ind w:left="5488" w:hanging="284"/>
      </w:pPr>
      <w:rPr>
        <w:rFonts w:hint="default"/>
        <w:lang w:val="ru-RU" w:eastAsia="en-US" w:bidi="ar-SA"/>
      </w:rPr>
    </w:lvl>
    <w:lvl w:ilvl="8">
      <w:start w:val="0"/>
      <w:numFmt w:val="bullet"/>
      <w:lvlText w:val="•"/>
      <w:lvlJc w:val="left"/>
      <w:pPr>
        <w:ind w:left="6172" w:hanging="284"/>
      </w:pPr>
      <w:rPr>
        <w:rFonts w:hint="default"/>
        <w:lang w:val="ru-RU" w:eastAsia="en-US" w:bidi="ar-SA"/>
      </w:rPr>
    </w:lvl>
  </w:abstractNum>
  <w:abstractNum w:abstractNumId="36">
    <w:multiLevelType w:val="hybridMultilevel"/>
    <w:lvl w:ilvl="0">
      <w:start w:val="4"/>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Times New Roman" w:hAnsi="Times New Roman" w:eastAsia="Times New Roman" w:cs="Times New Roman"/>
        <w:b w:val="0"/>
        <w:bCs w:val="0"/>
        <w:i w:val="0"/>
        <w:iCs w:val="0"/>
        <w:color w:val="2255A6"/>
        <w:spacing w:val="0"/>
        <w:w w:val="92"/>
        <w:sz w:val="18"/>
        <w:szCs w:val="18"/>
        <w:u w:val="single" w:color="2255A6"/>
        <w:lang w:val="ru-RU" w:eastAsia="en-US" w:bidi="ar-SA"/>
      </w:rPr>
    </w:lvl>
    <w:lvl w:ilvl="2">
      <w:start w:val="1"/>
      <w:numFmt w:val="decimal"/>
      <w:lvlText w:val="%1.%2.%3."/>
      <w:lvlJc w:val="left"/>
      <w:pPr>
        <w:ind w:left="875" w:hanging="450"/>
        <w:jc w:val="left"/>
      </w:pPr>
      <w:rPr>
        <w:rFonts w:hint="default" w:ascii="Times New Roman" w:hAnsi="Times New Roman" w:eastAsia="Times New Roman" w:cs="Times New Roman"/>
        <w:b w:val="0"/>
        <w:bCs w:val="0"/>
        <w:i w:val="0"/>
        <w:iCs w:val="0"/>
        <w:color w:val="2255A6"/>
        <w:spacing w:val="0"/>
        <w:w w:val="93"/>
        <w:sz w:val="18"/>
        <w:szCs w:val="18"/>
        <w:u w:val="single" w:color="2255A6"/>
        <w:lang w:val="ru-RU" w:eastAsia="en-US" w:bidi="ar-SA"/>
      </w:rPr>
    </w:lvl>
    <w:lvl w:ilvl="3">
      <w:start w:val="0"/>
      <w:numFmt w:val="bullet"/>
      <w:lvlText w:val="•"/>
      <w:lvlJc w:val="left"/>
      <w:pPr>
        <w:ind w:left="2360" w:hanging="450"/>
      </w:pPr>
      <w:rPr>
        <w:rFonts w:hint="default"/>
        <w:lang w:val="ru-RU" w:eastAsia="en-US" w:bidi="ar-SA"/>
      </w:rPr>
    </w:lvl>
    <w:lvl w:ilvl="4">
      <w:start w:val="0"/>
      <w:numFmt w:val="bullet"/>
      <w:lvlText w:val="•"/>
      <w:lvlJc w:val="left"/>
      <w:pPr>
        <w:ind w:left="3100" w:hanging="450"/>
      </w:pPr>
      <w:rPr>
        <w:rFonts w:hint="default"/>
        <w:lang w:val="ru-RU" w:eastAsia="en-US" w:bidi="ar-SA"/>
      </w:rPr>
    </w:lvl>
    <w:lvl w:ilvl="5">
      <w:start w:val="0"/>
      <w:numFmt w:val="bullet"/>
      <w:lvlText w:val="•"/>
      <w:lvlJc w:val="left"/>
      <w:pPr>
        <w:ind w:left="3840" w:hanging="450"/>
      </w:pPr>
      <w:rPr>
        <w:rFonts w:hint="default"/>
        <w:lang w:val="ru-RU" w:eastAsia="en-US" w:bidi="ar-SA"/>
      </w:rPr>
    </w:lvl>
    <w:lvl w:ilvl="6">
      <w:start w:val="0"/>
      <w:numFmt w:val="bullet"/>
      <w:lvlText w:val="•"/>
      <w:lvlJc w:val="left"/>
      <w:pPr>
        <w:ind w:left="4580" w:hanging="450"/>
      </w:pPr>
      <w:rPr>
        <w:rFonts w:hint="default"/>
        <w:lang w:val="ru-RU" w:eastAsia="en-US" w:bidi="ar-SA"/>
      </w:rPr>
    </w:lvl>
    <w:lvl w:ilvl="7">
      <w:start w:val="0"/>
      <w:numFmt w:val="bullet"/>
      <w:lvlText w:val="•"/>
      <w:lvlJc w:val="left"/>
      <w:pPr>
        <w:ind w:left="5320" w:hanging="450"/>
      </w:pPr>
      <w:rPr>
        <w:rFonts w:hint="default"/>
        <w:lang w:val="ru-RU" w:eastAsia="en-US" w:bidi="ar-SA"/>
      </w:rPr>
    </w:lvl>
    <w:lvl w:ilvl="8">
      <w:start w:val="0"/>
      <w:numFmt w:val="bullet"/>
      <w:lvlText w:val="•"/>
      <w:lvlJc w:val="left"/>
      <w:pPr>
        <w:ind w:left="6060" w:hanging="450"/>
      </w:pPr>
      <w:rPr>
        <w:rFonts w:hint="default"/>
        <w:lang w:val="ru-RU" w:eastAsia="en-US" w:bidi="ar-SA"/>
      </w:rPr>
    </w:lvl>
  </w:abstractNum>
  <w:abstractNum w:abstractNumId="35">
    <w:multiLevelType w:val="hybridMultilevel"/>
    <w:lvl w:ilvl="0">
      <w:start w:val="3"/>
      <w:numFmt w:val="decimal"/>
      <w:lvlText w:val="%1"/>
      <w:lvlJc w:val="left"/>
      <w:pPr>
        <w:ind w:left="455" w:hanging="314"/>
        <w:jc w:val="left"/>
      </w:pPr>
      <w:rPr>
        <w:rFonts w:hint="default"/>
        <w:lang w:val="ru-RU" w:eastAsia="en-US" w:bidi="ar-SA"/>
      </w:rPr>
    </w:lvl>
    <w:lvl w:ilvl="1">
      <w:start w:val="1"/>
      <w:numFmt w:val="decimal"/>
      <w:lvlText w:val="%1.%2."/>
      <w:lvlJc w:val="left"/>
      <w:pPr>
        <w:ind w:left="455" w:hanging="314"/>
        <w:jc w:val="left"/>
      </w:pPr>
      <w:rPr>
        <w:rFonts w:hint="default" w:ascii="Times New Roman" w:hAnsi="Times New Roman" w:eastAsia="Times New Roman" w:cs="Times New Roman"/>
        <w:b w:val="0"/>
        <w:bCs w:val="0"/>
        <w:i w:val="0"/>
        <w:iCs w:val="0"/>
        <w:color w:val="2255A6"/>
        <w:spacing w:val="-1"/>
        <w:w w:val="92"/>
        <w:sz w:val="18"/>
        <w:szCs w:val="18"/>
        <w:u w:val="single" w:color="2255A6"/>
        <w:lang w:val="ru-RU" w:eastAsia="en-US" w:bidi="ar-SA"/>
      </w:rPr>
    </w:lvl>
    <w:lvl w:ilvl="2">
      <w:start w:val="1"/>
      <w:numFmt w:val="decimal"/>
      <w:lvlText w:val="%1.%2.%3."/>
      <w:lvlJc w:val="left"/>
      <w:pPr>
        <w:ind w:left="875" w:hanging="450"/>
        <w:jc w:val="left"/>
      </w:pPr>
      <w:rPr>
        <w:rFonts w:hint="default" w:ascii="Times New Roman" w:hAnsi="Times New Roman" w:eastAsia="Times New Roman" w:cs="Times New Roman"/>
        <w:b w:val="0"/>
        <w:bCs w:val="0"/>
        <w:i w:val="0"/>
        <w:iCs w:val="0"/>
        <w:color w:val="2255A6"/>
        <w:spacing w:val="0"/>
        <w:w w:val="95"/>
        <w:sz w:val="18"/>
        <w:szCs w:val="18"/>
        <w:u w:val="single" w:color="2255A6"/>
        <w:lang w:val="ru-RU" w:eastAsia="en-US" w:bidi="ar-SA"/>
      </w:rPr>
    </w:lvl>
    <w:lvl w:ilvl="3">
      <w:start w:val="0"/>
      <w:numFmt w:val="bullet"/>
      <w:lvlText w:val="•"/>
      <w:lvlJc w:val="left"/>
      <w:pPr>
        <w:ind w:left="2360" w:hanging="450"/>
      </w:pPr>
      <w:rPr>
        <w:rFonts w:hint="default"/>
        <w:lang w:val="ru-RU" w:eastAsia="en-US" w:bidi="ar-SA"/>
      </w:rPr>
    </w:lvl>
    <w:lvl w:ilvl="4">
      <w:start w:val="0"/>
      <w:numFmt w:val="bullet"/>
      <w:lvlText w:val="•"/>
      <w:lvlJc w:val="left"/>
      <w:pPr>
        <w:ind w:left="3100" w:hanging="450"/>
      </w:pPr>
      <w:rPr>
        <w:rFonts w:hint="default"/>
        <w:lang w:val="ru-RU" w:eastAsia="en-US" w:bidi="ar-SA"/>
      </w:rPr>
    </w:lvl>
    <w:lvl w:ilvl="5">
      <w:start w:val="0"/>
      <w:numFmt w:val="bullet"/>
      <w:lvlText w:val="•"/>
      <w:lvlJc w:val="left"/>
      <w:pPr>
        <w:ind w:left="3840" w:hanging="450"/>
      </w:pPr>
      <w:rPr>
        <w:rFonts w:hint="default"/>
        <w:lang w:val="ru-RU" w:eastAsia="en-US" w:bidi="ar-SA"/>
      </w:rPr>
    </w:lvl>
    <w:lvl w:ilvl="6">
      <w:start w:val="0"/>
      <w:numFmt w:val="bullet"/>
      <w:lvlText w:val="•"/>
      <w:lvlJc w:val="left"/>
      <w:pPr>
        <w:ind w:left="4580" w:hanging="450"/>
      </w:pPr>
      <w:rPr>
        <w:rFonts w:hint="default"/>
        <w:lang w:val="ru-RU" w:eastAsia="en-US" w:bidi="ar-SA"/>
      </w:rPr>
    </w:lvl>
    <w:lvl w:ilvl="7">
      <w:start w:val="0"/>
      <w:numFmt w:val="bullet"/>
      <w:lvlText w:val="•"/>
      <w:lvlJc w:val="left"/>
      <w:pPr>
        <w:ind w:left="5320" w:hanging="450"/>
      </w:pPr>
      <w:rPr>
        <w:rFonts w:hint="default"/>
        <w:lang w:val="ru-RU" w:eastAsia="en-US" w:bidi="ar-SA"/>
      </w:rPr>
    </w:lvl>
    <w:lvl w:ilvl="8">
      <w:start w:val="0"/>
      <w:numFmt w:val="bullet"/>
      <w:lvlText w:val="•"/>
      <w:lvlJc w:val="left"/>
      <w:pPr>
        <w:ind w:left="6060" w:hanging="450"/>
      </w:pPr>
      <w:rPr>
        <w:rFonts w:hint="default"/>
        <w:lang w:val="ru-RU" w:eastAsia="en-US" w:bidi="ar-SA"/>
      </w:rPr>
    </w:lvl>
  </w:abstractNum>
  <w:abstractNum w:abstractNumId="34">
    <w:multiLevelType w:val="hybridMultilevel"/>
    <w:lvl w:ilvl="0">
      <w:start w:val="2"/>
      <w:numFmt w:val="decimal"/>
      <w:lvlText w:val="%1"/>
      <w:lvlJc w:val="left"/>
      <w:pPr>
        <w:ind w:left="141" w:hanging="315"/>
        <w:jc w:val="left"/>
      </w:pPr>
      <w:rPr>
        <w:rFonts w:hint="default"/>
        <w:lang w:val="ru-RU" w:eastAsia="en-US" w:bidi="ar-SA"/>
      </w:rPr>
    </w:lvl>
    <w:lvl w:ilvl="1">
      <w:start w:val="1"/>
      <w:numFmt w:val="decimal"/>
      <w:lvlText w:val="%1.%2."/>
      <w:lvlJc w:val="left"/>
      <w:pPr>
        <w:ind w:left="141" w:hanging="315"/>
        <w:jc w:val="left"/>
      </w:pPr>
      <w:rPr>
        <w:rFonts w:hint="default" w:ascii="Times New Roman" w:hAnsi="Times New Roman" w:eastAsia="Times New Roman" w:cs="Times New Roman"/>
        <w:b w:val="0"/>
        <w:bCs w:val="0"/>
        <w:i w:val="0"/>
        <w:iCs w:val="0"/>
        <w:color w:val="2255A6"/>
        <w:spacing w:val="0"/>
        <w:w w:val="92"/>
        <w:sz w:val="18"/>
        <w:szCs w:val="18"/>
        <w:u w:val="single" w:color="2255A6"/>
        <w:lang w:val="ru-RU" w:eastAsia="en-US" w:bidi="ar-SA"/>
      </w:rPr>
    </w:lvl>
    <w:lvl w:ilvl="2">
      <w:start w:val="1"/>
      <w:numFmt w:val="decimal"/>
      <w:lvlText w:val="%1.%2.%3"/>
      <w:lvlJc w:val="left"/>
      <w:pPr>
        <w:ind w:left="830" w:hanging="405"/>
        <w:jc w:val="left"/>
      </w:pPr>
      <w:rPr>
        <w:rFonts w:hint="default" w:ascii="Times New Roman" w:hAnsi="Times New Roman" w:eastAsia="Times New Roman" w:cs="Times New Roman"/>
        <w:b w:val="0"/>
        <w:bCs w:val="0"/>
        <w:i w:val="0"/>
        <w:iCs w:val="0"/>
        <w:color w:val="2255A6"/>
        <w:spacing w:val="0"/>
        <w:w w:val="94"/>
        <w:sz w:val="18"/>
        <w:szCs w:val="18"/>
        <w:u w:val="single" w:color="2255A6"/>
        <w:lang w:val="ru-RU" w:eastAsia="en-US" w:bidi="ar-SA"/>
      </w:rPr>
    </w:lvl>
    <w:lvl w:ilvl="3">
      <w:start w:val="0"/>
      <w:numFmt w:val="bullet"/>
      <w:lvlText w:val="•"/>
      <w:lvlJc w:val="left"/>
      <w:pPr>
        <w:ind w:left="2329" w:hanging="405"/>
      </w:pPr>
      <w:rPr>
        <w:rFonts w:hint="default"/>
        <w:lang w:val="ru-RU" w:eastAsia="en-US" w:bidi="ar-SA"/>
      </w:rPr>
    </w:lvl>
    <w:lvl w:ilvl="4">
      <w:start w:val="0"/>
      <w:numFmt w:val="bullet"/>
      <w:lvlText w:val="•"/>
      <w:lvlJc w:val="left"/>
      <w:pPr>
        <w:ind w:left="3073" w:hanging="405"/>
      </w:pPr>
      <w:rPr>
        <w:rFonts w:hint="default"/>
        <w:lang w:val="ru-RU" w:eastAsia="en-US" w:bidi="ar-SA"/>
      </w:rPr>
    </w:lvl>
    <w:lvl w:ilvl="5">
      <w:start w:val="0"/>
      <w:numFmt w:val="bullet"/>
      <w:lvlText w:val="•"/>
      <w:lvlJc w:val="left"/>
      <w:pPr>
        <w:ind w:left="3818" w:hanging="405"/>
      </w:pPr>
      <w:rPr>
        <w:rFonts w:hint="default"/>
        <w:lang w:val="ru-RU" w:eastAsia="en-US" w:bidi="ar-SA"/>
      </w:rPr>
    </w:lvl>
    <w:lvl w:ilvl="6">
      <w:start w:val="0"/>
      <w:numFmt w:val="bullet"/>
      <w:lvlText w:val="•"/>
      <w:lvlJc w:val="left"/>
      <w:pPr>
        <w:ind w:left="4562" w:hanging="405"/>
      </w:pPr>
      <w:rPr>
        <w:rFonts w:hint="default"/>
        <w:lang w:val="ru-RU" w:eastAsia="en-US" w:bidi="ar-SA"/>
      </w:rPr>
    </w:lvl>
    <w:lvl w:ilvl="7">
      <w:start w:val="0"/>
      <w:numFmt w:val="bullet"/>
      <w:lvlText w:val="•"/>
      <w:lvlJc w:val="left"/>
      <w:pPr>
        <w:ind w:left="5307" w:hanging="405"/>
      </w:pPr>
      <w:rPr>
        <w:rFonts w:hint="default"/>
        <w:lang w:val="ru-RU" w:eastAsia="en-US" w:bidi="ar-SA"/>
      </w:rPr>
    </w:lvl>
    <w:lvl w:ilvl="8">
      <w:start w:val="0"/>
      <w:numFmt w:val="bullet"/>
      <w:lvlText w:val="•"/>
      <w:lvlJc w:val="left"/>
      <w:pPr>
        <w:ind w:left="6051" w:hanging="405"/>
      </w:pPr>
      <w:rPr>
        <w:rFonts w:hint="default"/>
        <w:lang w:val="ru-RU" w:eastAsia="en-US" w:bidi="ar-SA"/>
      </w:rPr>
    </w:lvl>
  </w:abstractNum>
  <w:abstractNum w:abstractNumId="33">
    <w:multiLevelType w:val="hybridMultilevel"/>
    <w:lvl w:ilvl="0">
      <w:start w:val="1"/>
      <w:numFmt w:val="decimal"/>
      <w:lvlText w:val="%1"/>
      <w:lvlJc w:val="left"/>
      <w:pPr>
        <w:ind w:left="456" w:hanging="315"/>
        <w:jc w:val="left"/>
      </w:pPr>
      <w:rPr>
        <w:rFonts w:hint="default"/>
        <w:lang w:val="ru-RU" w:eastAsia="en-US" w:bidi="ar-SA"/>
      </w:rPr>
    </w:lvl>
    <w:lvl w:ilvl="1">
      <w:start w:val="1"/>
      <w:numFmt w:val="decimal"/>
      <w:lvlText w:val="%1.%2."/>
      <w:lvlJc w:val="left"/>
      <w:pPr>
        <w:ind w:left="456" w:hanging="315"/>
        <w:jc w:val="left"/>
      </w:pPr>
      <w:rPr>
        <w:rFonts w:hint="default" w:ascii="Times New Roman" w:hAnsi="Times New Roman" w:eastAsia="Times New Roman" w:cs="Times New Roman"/>
        <w:b w:val="0"/>
        <w:bCs w:val="0"/>
        <w:i w:val="0"/>
        <w:iCs w:val="0"/>
        <w:color w:val="2255A6"/>
        <w:spacing w:val="0"/>
        <w:w w:val="92"/>
        <w:sz w:val="18"/>
        <w:szCs w:val="18"/>
        <w:u w:val="single" w:color="2255A6"/>
        <w:lang w:val="ru-RU" w:eastAsia="en-US" w:bidi="ar-SA"/>
      </w:rPr>
    </w:lvl>
    <w:lvl w:ilvl="2">
      <w:start w:val="1"/>
      <w:numFmt w:val="decimal"/>
      <w:lvlText w:val="%1.%2.%3."/>
      <w:lvlJc w:val="left"/>
      <w:pPr>
        <w:ind w:left="875" w:hanging="450"/>
        <w:jc w:val="left"/>
      </w:pPr>
      <w:rPr>
        <w:rFonts w:hint="default" w:ascii="Times New Roman" w:hAnsi="Times New Roman" w:eastAsia="Times New Roman" w:cs="Times New Roman"/>
        <w:b w:val="0"/>
        <w:bCs w:val="0"/>
        <w:i w:val="0"/>
        <w:iCs w:val="0"/>
        <w:color w:val="2255A6"/>
        <w:spacing w:val="0"/>
        <w:w w:val="95"/>
        <w:sz w:val="18"/>
        <w:szCs w:val="18"/>
        <w:u w:val="single" w:color="2255A6"/>
        <w:lang w:val="ru-RU" w:eastAsia="en-US" w:bidi="ar-SA"/>
      </w:rPr>
    </w:lvl>
    <w:lvl w:ilvl="3">
      <w:start w:val="0"/>
      <w:numFmt w:val="bullet"/>
      <w:lvlText w:val="•"/>
      <w:lvlJc w:val="left"/>
      <w:pPr>
        <w:ind w:left="2360" w:hanging="450"/>
      </w:pPr>
      <w:rPr>
        <w:rFonts w:hint="default"/>
        <w:lang w:val="ru-RU" w:eastAsia="en-US" w:bidi="ar-SA"/>
      </w:rPr>
    </w:lvl>
    <w:lvl w:ilvl="4">
      <w:start w:val="0"/>
      <w:numFmt w:val="bullet"/>
      <w:lvlText w:val="•"/>
      <w:lvlJc w:val="left"/>
      <w:pPr>
        <w:ind w:left="3100" w:hanging="450"/>
      </w:pPr>
      <w:rPr>
        <w:rFonts w:hint="default"/>
        <w:lang w:val="ru-RU" w:eastAsia="en-US" w:bidi="ar-SA"/>
      </w:rPr>
    </w:lvl>
    <w:lvl w:ilvl="5">
      <w:start w:val="0"/>
      <w:numFmt w:val="bullet"/>
      <w:lvlText w:val="•"/>
      <w:lvlJc w:val="left"/>
      <w:pPr>
        <w:ind w:left="3840" w:hanging="450"/>
      </w:pPr>
      <w:rPr>
        <w:rFonts w:hint="default"/>
        <w:lang w:val="ru-RU" w:eastAsia="en-US" w:bidi="ar-SA"/>
      </w:rPr>
    </w:lvl>
    <w:lvl w:ilvl="6">
      <w:start w:val="0"/>
      <w:numFmt w:val="bullet"/>
      <w:lvlText w:val="•"/>
      <w:lvlJc w:val="left"/>
      <w:pPr>
        <w:ind w:left="4580" w:hanging="450"/>
      </w:pPr>
      <w:rPr>
        <w:rFonts w:hint="default"/>
        <w:lang w:val="ru-RU" w:eastAsia="en-US" w:bidi="ar-SA"/>
      </w:rPr>
    </w:lvl>
    <w:lvl w:ilvl="7">
      <w:start w:val="0"/>
      <w:numFmt w:val="bullet"/>
      <w:lvlText w:val="•"/>
      <w:lvlJc w:val="left"/>
      <w:pPr>
        <w:ind w:left="5320" w:hanging="450"/>
      </w:pPr>
      <w:rPr>
        <w:rFonts w:hint="default"/>
        <w:lang w:val="ru-RU" w:eastAsia="en-US" w:bidi="ar-SA"/>
      </w:rPr>
    </w:lvl>
    <w:lvl w:ilvl="8">
      <w:start w:val="0"/>
      <w:numFmt w:val="bullet"/>
      <w:lvlText w:val="•"/>
      <w:lvlJc w:val="left"/>
      <w:pPr>
        <w:ind w:left="6060" w:hanging="450"/>
      </w:pPr>
      <w:rPr>
        <w:rFonts w:hint="default"/>
        <w:lang w:val="ru-RU" w:eastAsia="en-US" w:bidi="ar-SA"/>
      </w:rPr>
    </w:lvl>
  </w:abstractNum>
  <w:abstractNum w:abstractNumId="32">
    <w:multiLevelType w:val="hybridMultilevel"/>
    <w:lvl w:ilvl="0">
      <w:start w:val="1"/>
      <w:numFmt w:val="decimal"/>
      <w:lvlText w:val="%1."/>
      <w:lvlJc w:val="left"/>
      <w:pPr>
        <w:ind w:left="928" w:hanging="360"/>
        <w:jc w:val="left"/>
      </w:pPr>
      <w:rPr>
        <w:rFonts w:hint="default"/>
        <w:spacing w:val="0"/>
        <w:w w:val="96"/>
        <w:lang w:val="ru-RU" w:eastAsia="en-US" w:bidi="ar-SA"/>
      </w:rPr>
    </w:lvl>
    <w:lvl w:ilvl="1">
      <w:start w:val="0"/>
      <w:numFmt w:val="bullet"/>
      <w:lvlText w:val="•"/>
      <w:lvlJc w:val="left"/>
      <w:pPr>
        <w:ind w:left="1848" w:hanging="360"/>
      </w:pPr>
      <w:rPr>
        <w:rFonts w:hint="default"/>
        <w:lang w:val="ru-RU" w:eastAsia="en-US" w:bidi="ar-SA"/>
      </w:rPr>
    </w:lvl>
    <w:lvl w:ilvl="2">
      <w:start w:val="0"/>
      <w:numFmt w:val="bullet"/>
      <w:lvlText w:val="•"/>
      <w:lvlJc w:val="left"/>
      <w:pPr>
        <w:ind w:left="2777" w:hanging="360"/>
      </w:pPr>
      <w:rPr>
        <w:rFonts w:hint="default"/>
        <w:lang w:val="ru-RU" w:eastAsia="en-US" w:bidi="ar-SA"/>
      </w:rPr>
    </w:lvl>
    <w:lvl w:ilvl="3">
      <w:start w:val="0"/>
      <w:numFmt w:val="bullet"/>
      <w:lvlText w:val="•"/>
      <w:lvlJc w:val="left"/>
      <w:pPr>
        <w:ind w:left="3705" w:hanging="360"/>
      </w:pPr>
      <w:rPr>
        <w:rFonts w:hint="default"/>
        <w:lang w:val="ru-RU" w:eastAsia="en-US" w:bidi="ar-SA"/>
      </w:rPr>
    </w:lvl>
    <w:lvl w:ilvl="4">
      <w:start w:val="0"/>
      <w:numFmt w:val="bullet"/>
      <w:lvlText w:val="•"/>
      <w:lvlJc w:val="left"/>
      <w:pPr>
        <w:ind w:left="4634" w:hanging="360"/>
      </w:pPr>
      <w:rPr>
        <w:rFonts w:hint="default"/>
        <w:lang w:val="ru-RU" w:eastAsia="en-US" w:bidi="ar-SA"/>
      </w:rPr>
    </w:lvl>
    <w:lvl w:ilvl="5">
      <w:start w:val="0"/>
      <w:numFmt w:val="bullet"/>
      <w:lvlText w:val="•"/>
      <w:lvlJc w:val="left"/>
      <w:pPr>
        <w:ind w:left="5563" w:hanging="360"/>
      </w:pPr>
      <w:rPr>
        <w:rFonts w:hint="default"/>
        <w:lang w:val="ru-RU" w:eastAsia="en-US" w:bidi="ar-SA"/>
      </w:rPr>
    </w:lvl>
    <w:lvl w:ilvl="6">
      <w:start w:val="0"/>
      <w:numFmt w:val="bullet"/>
      <w:lvlText w:val="•"/>
      <w:lvlJc w:val="left"/>
      <w:pPr>
        <w:ind w:left="6491" w:hanging="360"/>
      </w:pPr>
      <w:rPr>
        <w:rFonts w:hint="default"/>
        <w:lang w:val="ru-RU" w:eastAsia="en-US" w:bidi="ar-SA"/>
      </w:rPr>
    </w:lvl>
    <w:lvl w:ilvl="7">
      <w:start w:val="0"/>
      <w:numFmt w:val="bullet"/>
      <w:lvlText w:val="•"/>
      <w:lvlJc w:val="left"/>
      <w:pPr>
        <w:ind w:left="7420" w:hanging="360"/>
      </w:pPr>
      <w:rPr>
        <w:rFonts w:hint="default"/>
        <w:lang w:val="ru-RU" w:eastAsia="en-US" w:bidi="ar-SA"/>
      </w:rPr>
    </w:lvl>
    <w:lvl w:ilvl="8">
      <w:start w:val="0"/>
      <w:numFmt w:val="bullet"/>
      <w:lvlText w:val="•"/>
      <w:lvlJc w:val="left"/>
      <w:pPr>
        <w:ind w:left="8349" w:hanging="360"/>
      </w:pPr>
      <w:rPr>
        <w:rFonts w:hint="default"/>
        <w:lang w:val="ru-RU" w:eastAsia="en-US" w:bidi="ar-SA"/>
      </w:rPr>
    </w:lvl>
  </w:abstractNum>
  <w:abstractNum w:abstractNumId="31">
    <w:multiLevelType w:val="hybridMultilevel"/>
    <w:lvl w:ilvl="0">
      <w:start w:val="0"/>
      <w:numFmt w:val="bullet"/>
      <w:lvlText w:val="●"/>
      <w:lvlJc w:val="left"/>
      <w:pPr>
        <w:ind w:left="1005" w:hanging="360"/>
      </w:pPr>
      <w:rPr>
        <w:rFonts w:hint="default" w:ascii="Calibri" w:hAnsi="Calibri" w:eastAsia="Calibri" w:cs="Calibri"/>
        <w:b w:val="0"/>
        <w:bCs w:val="0"/>
        <w:i w:val="0"/>
        <w:iCs w:val="0"/>
        <w:spacing w:val="0"/>
        <w:w w:val="100"/>
        <w:sz w:val="24"/>
        <w:szCs w:val="24"/>
        <w:lang w:val="ru-RU" w:eastAsia="en-US" w:bidi="ar-SA"/>
      </w:rPr>
    </w:lvl>
    <w:lvl w:ilvl="1">
      <w:start w:val="0"/>
      <w:numFmt w:val="bullet"/>
      <w:lvlText w:val="•"/>
      <w:lvlJc w:val="left"/>
      <w:pPr>
        <w:ind w:left="1920" w:hanging="360"/>
      </w:pPr>
      <w:rPr>
        <w:rFonts w:hint="default"/>
        <w:lang w:val="ru-RU" w:eastAsia="en-US" w:bidi="ar-SA"/>
      </w:rPr>
    </w:lvl>
    <w:lvl w:ilvl="2">
      <w:start w:val="0"/>
      <w:numFmt w:val="bullet"/>
      <w:lvlText w:val="•"/>
      <w:lvlJc w:val="left"/>
      <w:pPr>
        <w:ind w:left="2841" w:hanging="360"/>
      </w:pPr>
      <w:rPr>
        <w:rFonts w:hint="default"/>
        <w:lang w:val="ru-RU" w:eastAsia="en-US" w:bidi="ar-SA"/>
      </w:rPr>
    </w:lvl>
    <w:lvl w:ilvl="3">
      <w:start w:val="0"/>
      <w:numFmt w:val="bullet"/>
      <w:lvlText w:val="•"/>
      <w:lvlJc w:val="left"/>
      <w:pPr>
        <w:ind w:left="3761" w:hanging="360"/>
      </w:pPr>
      <w:rPr>
        <w:rFonts w:hint="default"/>
        <w:lang w:val="ru-RU" w:eastAsia="en-US" w:bidi="ar-SA"/>
      </w:rPr>
    </w:lvl>
    <w:lvl w:ilvl="4">
      <w:start w:val="0"/>
      <w:numFmt w:val="bullet"/>
      <w:lvlText w:val="•"/>
      <w:lvlJc w:val="left"/>
      <w:pPr>
        <w:ind w:left="4682" w:hanging="360"/>
      </w:pPr>
      <w:rPr>
        <w:rFonts w:hint="default"/>
        <w:lang w:val="ru-RU" w:eastAsia="en-US" w:bidi="ar-SA"/>
      </w:rPr>
    </w:lvl>
    <w:lvl w:ilvl="5">
      <w:start w:val="0"/>
      <w:numFmt w:val="bullet"/>
      <w:lvlText w:val="•"/>
      <w:lvlJc w:val="left"/>
      <w:pPr>
        <w:ind w:left="5603" w:hanging="360"/>
      </w:pPr>
      <w:rPr>
        <w:rFonts w:hint="default"/>
        <w:lang w:val="ru-RU" w:eastAsia="en-US" w:bidi="ar-SA"/>
      </w:rPr>
    </w:lvl>
    <w:lvl w:ilvl="6">
      <w:start w:val="0"/>
      <w:numFmt w:val="bullet"/>
      <w:lvlText w:val="•"/>
      <w:lvlJc w:val="left"/>
      <w:pPr>
        <w:ind w:left="6523" w:hanging="360"/>
      </w:pPr>
      <w:rPr>
        <w:rFonts w:hint="default"/>
        <w:lang w:val="ru-RU" w:eastAsia="en-US" w:bidi="ar-SA"/>
      </w:rPr>
    </w:lvl>
    <w:lvl w:ilvl="7">
      <w:start w:val="0"/>
      <w:numFmt w:val="bullet"/>
      <w:lvlText w:val="•"/>
      <w:lvlJc w:val="left"/>
      <w:pPr>
        <w:ind w:left="7444" w:hanging="360"/>
      </w:pPr>
      <w:rPr>
        <w:rFonts w:hint="default"/>
        <w:lang w:val="ru-RU" w:eastAsia="en-US" w:bidi="ar-SA"/>
      </w:rPr>
    </w:lvl>
    <w:lvl w:ilvl="8">
      <w:start w:val="0"/>
      <w:numFmt w:val="bullet"/>
      <w:lvlText w:val="•"/>
      <w:lvlJc w:val="left"/>
      <w:pPr>
        <w:ind w:left="8365" w:hanging="360"/>
      </w:pPr>
      <w:rPr>
        <w:rFonts w:hint="default"/>
        <w:lang w:val="ru-RU" w:eastAsia="en-US" w:bidi="ar-SA"/>
      </w:rPr>
    </w:lvl>
  </w:abstractNum>
  <w:abstractNum w:abstractNumId="30">
    <w:multiLevelType w:val="hybridMultilevel"/>
    <w:lvl w:ilvl="0">
      <w:start w:val="1"/>
      <w:numFmt w:val="decimal"/>
      <w:lvlText w:val="%1."/>
      <w:lvlJc w:val="left"/>
      <w:pPr>
        <w:ind w:left="1127" w:hanging="843"/>
        <w:jc w:val="left"/>
      </w:pPr>
      <w:rPr>
        <w:rFonts w:hint="default" w:ascii="Times New Roman" w:hAnsi="Times New Roman" w:eastAsia="Times New Roman" w:cs="Times New Roman"/>
        <w:b w:val="0"/>
        <w:bCs w:val="0"/>
        <w:i/>
        <w:iCs/>
        <w:spacing w:val="0"/>
        <w:w w:val="100"/>
        <w:sz w:val="28"/>
        <w:szCs w:val="28"/>
        <w:lang w:val="ru-RU" w:eastAsia="en-US" w:bidi="ar-SA"/>
      </w:rPr>
    </w:lvl>
    <w:lvl w:ilvl="1">
      <w:start w:val="0"/>
      <w:numFmt w:val="bullet"/>
      <w:lvlText w:val="•"/>
      <w:lvlJc w:val="left"/>
      <w:pPr>
        <w:ind w:left="2028" w:hanging="843"/>
      </w:pPr>
      <w:rPr>
        <w:rFonts w:hint="default"/>
        <w:lang w:val="ru-RU" w:eastAsia="en-US" w:bidi="ar-SA"/>
      </w:rPr>
    </w:lvl>
    <w:lvl w:ilvl="2">
      <w:start w:val="0"/>
      <w:numFmt w:val="bullet"/>
      <w:lvlText w:val="•"/>
      <w:lvlJc w:val="left"/>
      <w:pPr>
        <w:ind w:left="2937" w:hanging="843"/>
      </w:pPr>
      <w:rPr>
        <w:rFonts w:hint="default"/>
        <w:lang w:val="ru-RU" w:eastAsia="en-US" w:bidi="ar-SA"/>
      </w:rPr>
    </w:lvl>
    <w:lvl w:ilvl="3">
      <w:start w:val="0"/>
      <w:numFmt w:val="bullet"/>
      <w:lvlText w:val="•"/>
      <w:lvlJc w:val="left"/>
      <w:pPr>
        <w:ind w:left="3845" w:hanging="843"/>
      </w:pPr>
      <w:rPr>
        <w:rFonts w:hint="default"/>
        <w:lang w:val="ru-RU" w:eastAsia="en-US" w:bidi="ar-SA"/>
      </w:rPr>
    </w:lvl>
    <w:lvl w:ilvl="4">
      <w:start w:val="0"/>
      <w:numFmt w:val="bullet"/>
      <w:lvlText w:val="•"/>
      <w:lvlJc w:val="left"/>
      <w:pPr>
        <w:ind w:left="4754" w:hanging="843"/>
      </w:pPr>
      <w:rPr>
        <w:rFonts w:hint="default"/>
        <w:lang w:val="ru-RU" w:eastAsia="en-US" w:bidi="ar-SA"/>
      </w:rPr>
    </w:lvl>
    <w:lvl w:ilvl="5">
      <w:start w:val="0"/>
      <w:numFmt w:val="bullet"/>
      <w:lvlText w:val="•"/>
      <w:lvlJc w:val="left"/>
      <w:pPr>
        <w:ind w:left="5663" w:hanging="843"/>
      </w:pPr>
      <w:rPr>
        <w:rFonts w:hint="default"/>
        <w:lang w:val="ru-RU" w:eastAsia="en-US" w:bidi="ar-SA"/>
      </w:rPr>
    </w:lvl>
    <w:lvl w:ilvl="6">
      <w:start w:val="0"/>
      <w:numFmt w:val="bullet"/>
      <w:lvlText w:val="•"/>
      <w:lvlJc w:val="left"/>
      <w:pPr>
        <w:ind w:left="6571" w:hanging="843"/>
      </w:pPr>
      <w:rPr>
        <w:rFonts w:hint="default"/>
        <w:lang w:val="ru-RU" w:eastAsia="en-US" w:bidi="ar-SA"/>
      </w:rPr>
    </w:lvl>
    <w:lvl w:ilvl="7">
      <w:start w:val="0"/>
      <w:numFmt w:val="bullet"/>
      <w:lvlText w:val="•"/>
      <w:lvlJc w:val="left"/>
      <w:pPr>
        <w:ind w:left="7480" w:hanging="843"/>
      </w:pPr>
      <w:rPr>
        <w:rFonts w:hint="default"/>
        <w:lang w:val="ru-RU" w:eastAsia="en-US" w:bidi="ar-SA"/>
      </w:rPr>
    </w:lvl>
    <w:lvl w:ilvl="8">
      <w:start w:val="0"/>
      <w:numFmt w:val="bullet"/>
      <w:lvlText w:val="•"/>
      <w:lvlJc w:val="left"/>
      <w:pPr>
        <w:ind w:left="8389" w:hanging="843"/>
      </w:pPr>
      <w:rPr>
        <w:rFonts w:hint="default"/>
        <w:lang w:val="ru-RU" w:eastAsia="en-US" w:bidi="ar-SA"/>
      </w:rPr>
    </w:lvl>
  </w:abstractNum>
  <w:abstractNum w:abstractNumId="29">
    <w:multiLevelType w:val="hybridMultilevel"/>
    <w:lvl w:ilvl="0">
      <w:start w:val="0"/>
      <w:numFmt w:val="bullet"/>
      <w:lvlText w:val="●"/>
      <w:lvlJc w:val="left"/>
      <w:pPr>
        <w:ind w:left="424" w:hanging="91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398" w:hanging="910"/>
      </w:pPr>
      <w:rPr>
        <w:rFonts w:hint="default"/>
        <w:lang w:val="ru-RU" w:eastAsia="en-US" w:bidi="ar-SA"/>
      </w:rPr>
    </w:lvl>
    <w:lvl w:ilvl="2">
      <w:start w:val="0"/>
      <w:numFmt w:val="bullet"/>
      <w:lvlText w:val="•"/>
      <w:lvlJc w:val="left"/>
      <w:pPr>
        <w:ind w:left="2377" w:hanging="910"/>
      </w:pPr>
      <w:rPr>
        <w:rFonts w:hint="default"/>
        <w:lang w:val="ru-RU" w:eastAsia="en-US" w:bidi="ar-SA"/>
      </w:rPr>
    </w:lvl>
    <w:lvl w:ilvl="3">
      <w:start w:val="0"/>
      <w:numFmt w:val="bullet"/>
      <w:lvlText w:val="•"/>
      <w:lvlJc w:val="left"/>
      <w:pPr>
        <w:ind w:left="3355" w:hanging="910"/>
      </w:pPr>
      <w:rPr>
        <w:rFonts w:hint="default"/>
        <w:lang w:val="ru-RU" w:eastAsia="en-US" w:bidi="ar-SA"/>
      </w:rPr>
    </w:lvl>
    <w:lvl w:ilvl="4">
      <w:start w:val="0"/>
      <w:numFmt w:val="bullet"/>
      <w:lvlText w:val="•"/>
      <w:lvlJc w:val="left"/>
      <w:pPr>
        <w:ind w:left="4334" w:hanging="910"/>
      </w:pPr>
      <w:rPr>
        <w:rFonts w:hint="default"/>
        <w:lang w:val="ru-RU" w:eastAsia="en-US" w:bidi="ar-SA"/>
      </w:rPr>
    </w:lvl>
    <w:lvl w:ilvl="5">
      <w:start w:val="0"/>
      <w:numFmt w:val="bullet"/>
      <w:lvlText w:val="•"/>
      <w:lvlJc w:val="left"/>
      <w:pPr>
        <w:ind w:left="5313" w:hanging="910"/>
      </w:pPr>
      <w:rPr>
        <w:rFonts w:hint="default"/>
        <w:lang w:val="ru-RU" w:eastAsia="en-US" w:bidi="ar-SA"/>
      </w:rPr>
    </w:lvl>
    <w:lvl w:ilvl="6">
      <w:start w:val="0"/>
      <w:numFmt w:val="bullet"/>
      <w:lvlText w:val="•"/>
      <w:lvlJc w:val="left"/>
      <w:pPr>
        <w:ind w:left="6291" w:hanging="910"/>
      </w:pPr>
      <w:rPr>
        <w:rFonts w:hint="default"/>
        <w:lang w:val="ru-RU" w:eastAsia="en-US" w:bidi="ar-SA"/>
      </w:rPr>
    </w:lvl>
    <w:lvl w:ilvl="7">
      <w:start w:val="0"/>
      <w:numFmt w:val="bullet"/>
      <w:lvlText w:val="•"/>
      <w:lvlJc w:val="left"/>
      <w:pPr>
        <w:ind w:left="7270" w:hanging="910"/>
      </w:pPr>
      <w:rPr>
        <w:rFonts w:hint="default"/>
        <w:lang w:val="ru-RU" w:eastAsia="en-US" w:bidi="ar-SA"/>
      </w:rPr>
    </w:lvl>
    <w:lvl w:ilvl="8">
      <w:start w:val="0"/>
      <w:numFmt w:val="bullet"/>
      <w:lvlText w:val="•"/>
      <w:lvlJc w:val="left"/>
      <w:pPr>
        <w:ind w:left="8249" w:hanging="910"/>
      </w:pPr>
      <w:rPr>
        <w:rFonts w:hint="default"/>
        <w:lang w:val="ru-RU" w:eastAsia="en-US" w:bidi="ar-SA"/>
      </w:rPr>
    </w:lvl>
  </w:abstractNum>
  <w:abstractNum w:abstractNumId="28">
    <w:multiLevelType w:val="hybridMultilevel"/>
    <w:lvl w:ilvl="0">
      <w:start w:val="0"/>
      <w:numFmt w:val="bullet"/>
      <w:lvlText w:val="—"/>
      <w:lvlJc w:val="left"/>
      <w:pPr>
        <w:ind w:left="285" w:hanging="356"/>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85" w:hanging="696"/>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265" w:hanging="696"/>
      </w:pPr>
      <w:rPr>
        <w:rFonts w:hint="default"/>
        <w:lang w:val="ru-RU" w:eastAsia="en-US" w:bidi="ar-SA"/>
      </w:rPr>
    </w:lvl>
    <w:lvl w:ilvl="3">
      <w:start w:val="0"/>
      <w:numFmt w:val="bullet"/>
      <w:lvlText w:val="•"/>
      <w:lvlJc w:val="left"/>
      <w:pPr>
        <w:ind w:left="3257" w:hanging="696"/>
      </w:pPr>
      <w:rPr>
        <w:rFonts w:hint="default"/>
        <w:lang w:val="ru-RU" w:eastAsia="en-US" w:bidi="ar-SA"/>
      </w:rPr>
    </w:lvl>
    <w:lvl w:ilvl="4">
      <w:start w:val="0"/>
      <w:numFmt w:val="bullet"/>
      <w:lvlText w:val="•"/>
      <w:lvlJc w:val="left"/>
      <w:pPr>
        <w:ind w:left="4250" w:hanging="696"/>
      </w:pPr>
      <w:rPr>
        <w:rFonts w:hint="default"/>
        <w:lang w:val="ru-RU" w:eastAsia="en-US" w:bidi="ar-SA"/>
      </w:rPr>
    </w:lvl>
    <w:lvl w:ilvl="5">
      <w:start w:val="0"/>
      <w:numFmt w:val="bullet"/>
      <w:lvlText w:val="•"/>
      <w:lvlJc w:val="left"/>
      <w:pPr>
        <w:ind w:left="5243" w:hanging="696"/>
      </w:pPr>
      <w:rPr>
        <w:rFonts w:hint="default"/>
        <w:lang w:val="ru-RU" w:eastAsia="en-US" w:bidi="ar-SA"/>
      </w:rPr>
    </w:lvl>
    <w:lvl w:ilvl="6">
      <w:start w:val="0"/>
      <w:numFmt w:val="bullet"/>
      <w:lvlText w:val="•"/>
      <w:lvlJc w:val="left"/>
      <w:pPr>
        <w:ind w:left="6235" w:hanging="696"/>
      </w:pPr>
      <w:rPr>
        <w:rFonts w:hint="default"/>
        <w:lang w:val="ru-RU" w:eastAsia="en-US" w:bidi="ar-SA"/>
      </w:rPr>
    </w:lvl>
    <w:lvl w:ilvl="7">
      <w:start w:val="0"/>
      <w:numFmt w:val="bullet"/>
      <w:lvlText w:val="•"/>
      <w:lvlJc w:val="left"/>
      <w:pPr>
        <w:ind w:left="7228" w:hanging="696"/>
      </w:pPr>
      <w:rPr>
        <w:rFonts w:hint="default"/>
        <w:lang w:val="ru-RU" w:eastAsia="en-US" w:bidi="ar-SA"/>
      </w:rPr>
    </w:lvl>
    <w:lvl w:ilvl="8">
      <w:start w:val="0"/>
      <w:numFmt w:val="bullet"/>
      <w:lvlText w:val="•"/>
      <w:lvlJc w:val="left"/>
      <w:pPr>
        <w:ind w:left="8221" w:hanging="696"/>
      </w:pPr>
      <w:rPr>
        <w:rFonts w:hint="default"/>
        <w:lang w:val="ru-RU" w:eastAsia="en-US" w:bidi="ar-SA"/>
      </w:rPr>
    </w:lvl>
  </w:abstractNum>
  <w:abstractNum w:abstractNumId="27">
    <w:multiLevelType w:val="hybridMultilevel"/>
    <w:lvl w:ilvl="0">
      <w:start w:val="1"/>
      <w:numFmt w:val="decimal"/>
      <w:lvlText w:val="%1."/>
      <w:lvlJc w:val="left"/>
      <w:pPr>
        <w:ind w:left="285" w:hanging="45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426" w:hanging="708"/>
      </w:pPr>
      <w:rPr>
        <w:rFonts w:hint="default" w:ascii="Calibri" w:hAnsi="Calibri" w:eastAsia="Calibri" w:cs="Calibri"/>
        <w:b w:val="0"/>
        <w:bCs w:val="0"/>
        <w:i w:val="0"/>
        <w:iCs w:val="0"/>
        <w:spacing w:val="0"/>
        <w:w w:val="100"/>
        <w:sz w:val="28"/>
        <w:szCs w:val="28"/>
        <w:lang w:val="ru-RU" w:eastAsia="en-US" w:bidi="ar-SA"/>
      </w:rPr>
    </w:lvl>
    <w:lvl w:ilvl="2">
      <w:start w:val="0"/>
      <w:numFmt w:val="bullet"/>
      <w:lvlText w:val="•"/>
      <w:lvlJc w:val="left"/>
      <w:pPr>
        <w:ind w:left="1507" w:hanging="708"/>
      </w:pPr>
      <w:rPr>
        <w:rFonts w:hint="default"/>
        <w:lang w:val="ru-RU" w:eastAsia="en-US" w:bidi="ar-SA"/>
      </w:rPr>
    </w:lvl>
    <w:lvl w:ilvl="3">
      <w:start w:val="0"/>
      <w:numFmt w:val="bullet"/>
      <w:lvlText w:val="•"/>
      <w:lvlJc w:val="left"/>
      <w:pPr>
        <w:ind w:left="2594" w:hanging="708"/>
      </w:pPr>
      <w:rPr>
        <w:rFonts w:hint="default"/>
        <w:lang w:val="ru-RU" w:eastAsia="en-US" w:bidi="ar-SA"/>
      </w:rPr>
    </w:lvl>
    <w:lvl w:ilvl="4">
      <w:start w:val="0"/>
      <w:numFmt w:val="bullet"/>
      <w:lvlText w:val="•"/>
      <w:lvlJc w:val="left"/>
      <w:pPr>
        <w:ind w:left="3682" w:hanging="708"/>
      </w:pPr>
      <w:rPr>
        <w:rFonts w:hint="default"/>
        <w:lang w:val="ru-RU" w:eastAsia="en-US" w:bidi="ar-SA"/>
      </w:rPr>
    </w:lvl>
    <w:lvl w:ilvl="5">
      <w:start w:val="0"/>
      <w:numFmt w:val="bullet"/>
      <w:lvlText w:val="•"/>
      <w:lvlJc w:val="left"/>
      <w:pPr>
        <w:ind w:left="4769" w:hanging="708"/>
      </w:pPr>
      <w:rPr>
        <w:rFonts w:hint="default"/>
        <w:lang w:val="ru-RU" w:eastAsia="en-US" w:bidi="ar-SA"/>
      </w:rPr>
    </w:lvl>
    <w:lvl w:ilvl="6">
      <w:start w:val="0"/>
      <w:numFmt w:val="bullet"/>
      <w:lvlText w:val="•"/>
      <w:lvlJc w:val="left"/>
      <w:pPr>
        <w:ind w:left="5856" w:hanging="708"/>
      </w:pPr>
      <w:rPr>
        <w:rFonts w:hint="default"/>
        <w:lang w:val="ru-RU" w:eastAsia="en-US" w:bidi="ar-SA"/>
      </w:rPr>
    </w:lvl>
    <w:lvl w:ilvl="7">
      <w:start w:val="0"/>
      <w:numFmt w:val="bullet"/>
      <w:lvlText w:val="•"/>
      <w:lvlJc w:val="left"/>
      <w:pPr>
        <w:ind w:left="6944" w:hanging="708"/>
      </w:pPr>
      <w:rPr>
        <w:rFonts w:hint="default"/>
        <w:lang w:val="ru-RU" w:eastAsia="en-US" w:bidi="ar-SA"/>
      </w:rPr>
    </w:lvl>
    <w:lvl w:ilvl="8">
      <w:start w:val="0"/>
      <w:numFmt w:val="bullet"/>
      <w:lvlText w:val="•"/>
      <w:lvlJc w:val="left"/>
      <w:pPr>
        <w:ind w:left="8031" w:hanging="708"/>
      </w:pPr>
      <w:rPr>
        <w:rFonts w:hint="default"/>
        <w:lang w:val="ru-RU" w:eastAsia="en-US" w:bidi="ar-SA"/>
      </w:rPr>
    </w:lvl>
  </w:abstractNum>
  <w:abstractNum w:abstractNumId="26">
    <w:multiLevelType w:val="hybridMultilevel"/>
    <w:lvl w:ilvl="0">
      <w:start w:val="0"/>
      <w:numFmt w:val="bullet"/>
      <w:lvlText w:val="●"/>
      <w:lvlJc w:val="left"/>
      <w:pPr>
        <w:ind w:left="426" w:hanging="708"/>
      </w:pPr>
      <w:rPr>
        <w:rFonts w:hint="default" w:ascii="Calibri" w:hAnsi="Calibri" w:eastAsia="Calibri" w:cs="Calibri"/>
        <w:b w:val="0"/>
        <w:bCs w:val="0"/>
        <w:i w:val="0"/>
        <w:iCs w:val="0"/>
        <w:spacing w:val="0"/>
        <w:w w:val="100"/>
        <w:sz w:val="28"/>
        <w:szCs w:val="28"/>
        <w:lang w:val="ru-RU" w:eastAsia="en-US" w:bidi="ar-SA"/>
      </w:rPr>
    </w:lvl>
    <w:lvl w:ilvl="1">
      <w:start w:val="0"/>
      <w:numFmt w:val="bullet"/>
      <w:lvlText w:val="•"/>
      <w:lvlJc w:val="left"/>
      <w:pPr>
        <w:ind w:left="1398" w:hanging="708"/>
      </w:pPr>
      <w:rPr>
        <w:rFonts w:hint="default"/>
        <w:lang w:val="ru-RU" w:eastAsia="en-US" w:bidi="ar-SA"/>
      </w:rPr>
    </w:lvl>
    <w:lvl w:ilvl="2">
      <w:start w:val="0"/>
      <w:numFmt w:val="bullet"/>
      <w:lvlText w:val="•"/>
      <w:lvlJc w:val="left"/>
      <w:pPr>
        <w:ind w:left="2377" w:hanging="708"/>
      </w:pPr>
      <w:rPr>
        <w:rFonts w:hint="default"/>
        <w:lang w:val="ru-RU" w:eastAsia="en-US" w:bidi="ar-SA"/>
      </w:rPr>
    </w:lvl>
    <w:lvl w:ilvl="3">
      <w:start w:val="0"/>
      <w:numFmt w:val="bullet"/>
      <w:lvlText w:val="•"/>
      <w:lvlJc w:val="left"/>
      <w:pPr>
        <w:ind w:left="3355" w:hanging="708"/>
      </w:pPr>
      <w:rPr>
        <w:rFonts w:hint="default"/>
        <w:lang w:val="ru-RU" w:eastAsia="en-US" w:bidi="ar-SA"/>
      </w:rPr>
    </w:lvl>
    <w:lvl w:ilvl="4">
      <w:start w:val="0"/>
      <w:numFmt w:val="bullet"/>
      <w:lvlText w:val="•"/>
      <w:lvlJc w:val="left"/>
      <w:pPr>
        <w:ind w:left="4334" w:hanging="708"/>
      </w:pPr>
      <w:rPr>
        <w:rFonts w:hint="default"/>
        <w:lang w:val="ru-RU" w:eastAsia="en-US" w:bidi="ar-SA"/>
      </w:rPr>
    </w:lvl>
    <w:lvl w:ilvl="5">
      <w:start w:val="0"/>
      <w:numFmt w:val="bullet"/>
      <w:lvlText w:val="•"/>
      <w:lvlJc w:val="left"/>
      <w:pPr>
        <w:ind w:left="5313" w:hanging="708"/>
      </w:pPr>
      <w:rPr>
        <w:rFonts w:hint="default"/>
        <w:lang w:val="ru-RU" w:eastAsia="en-US" w:bidi="ar-SA"/>
      </w:rPr>
    </w:lvl>
    <w:lvl w:ilvl="6">
      <w:start w:val="0"/>
      <w:numFmt w:val="bullet"/>
      <w:lvlText w:val="•"/>
      <w:lvlJc w:val="left"/>
      <w:pPr>
        <w:ind w:left="6291" w:hanging="708"/>
      </w:pPr>
      <w:rPr>
        <w:rFonts w:hint="default"/>
        <w:lang w:val="ru-RU" w:eastAsia="en-US" w:bidi="ar-SA"/>
      </w:rPr>
    </w:lvl>
    <w:lvl w:ilvl="7">
      <w:start w:val="0"/>
      <w:numFmt w:val="bullet"/>
      <w:lvlText w:val="•"/>
      <w:lvlJc w:val="left"/>
      <w:pPr>
        <w:ind w:left="7270" w:hanging="708"/>
      </w:pPr>
      <w:rPr>
        <w:rFonts w:hint="default"/>
        <w:lang w:val="ru-RU" w:eastAsia="en-US" w:bidi="ar-SA"/>
      </w:rPr>
    </w:lvl>
    <w:lvl w:ilvl="8">
      <w:start w:val="0"/>
      <w:numFmt w:val="bullet"/>
      <w:lvlText w:val="•"/>
      <w:lvlJc w:val="left"/>
      <w:pPr>
        <w:ind w:left="8249" w:hanging="708"/>
      </w:pPr>
      <w:rPr>
        <w:rFonts w:hint="default"/>
        <w:lang w:val="ru-RU" w:eastAsia="en-US" w:bidi="ar-SA"/>
      </w:rPr>
    </w:lvl>
  </w:abstractNum>
  <w:abstractNum w:abstractNumId="25">
    <w:multiLevelType w:val="hybridMultilevel"/>
    <w:lvl w:ilvl="0">
      <w:start w:val="0"/>
      <w:numFmt w:val="bullet"/>
      <w:lvlText w:val="•"/>
      <w:lvlJc w:val="left"/>
      <w:pPr>
        <w:ind w:left="1698" w:hanging="706"/>
      </w:pPr>
      <w:rPr>
        <w:rFonts w:hint="default" w:ascii="Calibri" w:hAnsi="Calibri" w:eastAsia="Calibri" w:cs="Calibri"/>
        <w:b w:val="0"/>
        <w:bCs w:val="0"/>
        <w:i w:val="0"/>
        <w:iCs w:val="0"/>
        <w:spacing w:val="0"/>
        <w:w w:val="100"/>
        <w:sz w:val="28"/>
        <w:szCs w:val="28"/>
        <w:lang w:val="ru-RU" w:eastAsia="en-US" w:bidi="ar-SA"/>
      </w:rPr>
    </w:lvl>
    <w:lvl w:ilvl="1">
      <w:start w:val="0"/>
      <w:numFmt w:val="bullet"/>
      <w:lvlText w:val="●"/>
      <w:lvlJc w:val="left"/>
      <w:pPr>
        <w:ind w:left="1713" w:hanging="360"/>
      </w:pPr>
      <w:rPr>
        <w:rFonts w:hint="default" w:ascii="Calibri" w:hAnsi="Calibri" w:eastAsia="Calibri" w:cs="Calibri"/>
        <w:b w:val="0"/>
        <w:bCs w:val="0"/>
        <w:i w:val="0"/>
        <w:iCs w:val="0"/>
        <w:spacing w:val="0"/>
        <w:w w:val="100"/>
        <w:sz w:val="28"/>
        <w:szCs w:val="28"/>
        <w:lang w:val="ru-RU" w:eastAsia="en-US" w:bidi="ar-SA"/>
      </w:rPr>
    </w:lvl>
    <w:lvl w:ilvl="2">
      <w:start w:val="0"/>
      <w:numFmt w:val="bullet"/>
      <w:lvlText w:val="•"/>
      <w:lvlJc w:val="left"/>
      <w:pPr>
        <w:ind w:left="2662" w:hanging="360"/>
      </w:pPr>
      <w:rPr>
        <w:rFonts w:hint="default"/>
        <w:lang w:val="ru-RU" w:eastAsia="en-US" w:bidi="ar-SA"/>
      </w:rPr>
    </w:lvl>
    <w:lvl w:ilvl="3">
      <w:start w:val="0"/>
      <w:numFmt w:val="bullet"/>
      <w:lvlText w:val="•"/>
      <w:lvlJc w:val="left"/>
      <w:pPr>
        <w:ind w:left="3605" w:hanging="360"/>
      </w:pPr>
      <w:rPr>
        <w:rFonts w:hint="default"/>
        <w:lang w:val="ru-RU" w:eastAsia="en-US" w:bidi="ar-SA"/>
      </w:rPr>
    </w:lvl>
    <w:lvl w:ilvl="4">
      <w:start w:val="0"/>
      <w:numFmt w:val="bullet"/>
      <w:lvlText w:val="•"/>
      <w:lvlJc w:val="left"/>
      <w:pPr>
        <w:ind w:left="4548" w:hanging="360"/>
      </w:pPr>
      <w:rPr>
        <w:rFonts w:hint="default"/>
        <w:lang w:val="ru-RU" w:eastAsia="en-US" w:bidi="ar-SA"/>
      </w:rPr>
    </w:lvl>
    <w:lvl w:ilvl="5">
      <w:start w:val="0"/>
      <w:numFmt w:val="bullet"/>
      <w:lvlText w:val="•"/>
      <w:lvlJc w:val="left"/>
      <w:pPr>
        <w:ind w:left="5491" w:hanging="360"/>
      </w:pPr>
      <w:rPr>
        <w:rFonts w:hint="default"/>
        <w:lang w:val="ru-RU" w:eastAsia="en-US" w:bidi="ar-SA"/>
      </w:rPr>
    </w:lvl>
    <w:lvl w:ilvl="6">
      <w:start w:val="0"/>
      <w:numFmt w:val="bullet"/>
      <w:lvlText w:val="•"/>
      <w:lvlJc w:val="left"/>
      <w:pPr>
        <w:ind w:left="6434" w:hanging="360"/>
      </w:pPr>
      <w:rPr>
        <w:rFonts w:hint="default"/>
        <w:lang w:val="ru-RU" w:eastAsia="en-US" w:bidi="ar-SA"/>
      </w:rPr>
    </w:lvl>
    <w:lvl w:ilvl="7">
      <w:start w:val="0"/>
      <w:numFmt w:val="bullet"/>
      <w:lvlText w:val="•"/>
      <w:lvlJc w:val="left"/>
      <w:pPr>
        <w:ind w:left="7377" w:hanging="360"/>
      </w:pPr>
      <w:rPr>
        <w:rFonts w:hint="default"/>
        <w:lang w:val="ru-RU" w:eastAsia="en-US" w:bidi="ar-SA"/>
      </w:rPr>
    </w:lvl>
    <w:lvl w:ilvl="8">
      <w:start w:val="0"/>
      <w:numFmt w:val="bullet"/>
      <w:lvlText w:val="•"/>
      <w:lvlJc w:val="left"/>
      <w:pPr>
        <w:ind w:left="8320" w:hanging="360"/>
      </w:pPr>
      <w:rPr>
        <w:rFonts w:hint="default"/>
        <w:lang w:val="ru-RU" w:eastAsia="en-US" w:bidi="ar-SA"/>
      </w:rPr>
    </w:lvl>
  </w:abstractNum>
  <w:abstractNum w:abstractNumId="24">
    <w:multiLevelType w:val="hybridMultilevel"/>
    <w:lvl w:ilvl="0">
      <w:start w:val="0"/>
      <w:numFmt w:val="bullet"/>
      <w:lvlText w:val="●"/>
      <w:lvlJc w:val="left"/>
      <w:pPr>
        <w:ind w:left="285" w:hanging="708"/>
      </w:pPr>
      <w:rPr>
        <w:rFonts w:hint="default" w:ascii="Calibri" w:hAnsi="Calibri" w:eastAsia="Calibri" w:cs="Calibri"/>
        <w:b w:val="0"/>
        <w:bCs w:val="0"/>
        <w:i w:val="0"/>
        <w:iCs w:val="0"/>
        <w:spacing w:val="0"/>
        <w:w w:val="100"/>
        <w:sz w:val="28"/>
        <w:szCs w:val="28"/>
        <w:lang w:val="ru-RU" w:eastAsia="en-US" w:bidi="ar-SA"/>
      </w:rPr>
    </w:lvl>
    <w:lvl w:ilvl="1">
      <w:start w:val="0"/>
      <w:numFmt w:val="bullet"/>
      <w:lvlText w:val="•"/>
      <w:lvlJc w:val="left"/>
      <w:pPr>
        <w:ind w:left="1272" w:hanging="708"/>
      </w:pPr>
      <w:rPr>
        <w:rFonts w:hint="default"/>
        <w:lang w:val="ru-RU" w:eastAsia="en-US" w:bidi="ar-SA"/>
      </w:rPr>
    </w:lvl>
    <w:lvl w:ilvl="2">
      <w:start w:val="0"/>
      <w:numFmt w:val="bullet"/>
      <w:lvlText w:val="•"/>
      <w:lvlJc w:val="left"/>
      <w:pPr>
        <w:ind w:left="2265" w:hanging="708"/>
      </w:pPr>
      <w:rPr>
        <w:rFonts w:hint="default"/>
        <w:lang w:val="ru-RU" w:eastAsia="en-US" w:bidi="ar-SA"/>
      </w:rPr>
    </w:lvl>
    <w:lvl w:ilvl="3">
      <w:start w:val="0"/>
      <w:numFmt w:val="bullet"/>
      <w:lvlText w:val="•"/>
      <w:lvlJc w:val="left"/>
      <w:pPr>
        <w:ind w:left="3257" w:hanging="708"/>
      </w:pPr>
      <w:rPr>
        <w:rFonts w:hint="default"/>
        <w:lang w:val="ru-RU" w:eastAsia="en-US" w:bidi="ar-SA"/>
      </w:rPr>
    </w:lvl>
    <w:lvl w:ilvl="4">
      <w:start w:val="0"/>
      <w:numFmt w:val="bullet"/>
      <w:lvlText w:val="•"/>
      <w:lvlJc w:val="left"/>
      <w:pPr>
        <w:ind w:left="4250" w:hanging="708"/>
      </w:pPr>
      <w:rPr>
        <w:rFonts w:hint="default"/>
        <w:lang w:val="ru-RU" w:eastAsia="en-US" w:bidi="ar-SA"/>
      </w:rPr>
    </w:lvl>
    <w:lvl w:ilvl="5">
      <w:start w:val="0"/>
      <w:numFmt w:val="bullet"/>
      <w:lvlText w:val="•"/>
      <w:lvlJc w:val="left"/>
      <w:pPr>
        <w:ind w:left="5243" w:hanging="708"/>
      </w:pPr>
      <w:rPr>
        <w:rFonts w:hint="default"/>
        <w:lang w:val="ru-RU" w:eastAsia="en-US" w:bidi="ar-SA"/>
      </w:rPr>
    </w:lvl>
    <w:lvl w:ilvl="6">
      <w:start w:val="0"/>
      <w:numFmt w:val="bullet"/>
      <w:lvlText w:val="•"/>
      <w:lvlJc w:val="left"/>
      <w:pPr>
        <w:ind w:left="6235" w:hanging="708"/>
      </w:pPr>
      <w:rPr>
        <w:rFonts w:hint="default"/>
        <w:lang w:val="ru-RU" w:eastAsia="en-US" w:bidi="ar-SA"/>
      </w:rPr>
    </w:lvl>
    <w:lvl w:ilvl="7">
      <w:start w:val="0"/>
      <w:numFmt w:val="bullet"/>
      <w:lvlText w:val="•"/>
      <w:lvlJc w:val="left"/>
      <w:pPr>
        <w:ind w:left="7228" w:hanging="708"/>
      </w:pPr>
      <w:rPr>
        <w:rFonts w:hint="default"/>
        <w:lang w:val="ru-RU" w:eastAsia="en-US" w:bidi="ar-SA"/>
      </w:rPr>
    </w:lvl>
    <w:lvl w:ilvl="8">
      <w:start w:val="0"/>
      <w:numFmt w:val="bullet"/>
      <w:lvlText w:val="•"/>
      <w:lvlJc w:val="left"/>
      <w:pPr>
        <w:ind w:left="8221" w:hanging="708"/>
      </w:pPr>
      <w:rPr>
        <w:rFonts w:hint="default"/>
        <w:lang w:val="ru-RU" w:eastAsia="en-US" w:bidi="ar-SA"/>
      </w:rPr>
    </w:lvl>
  </w:abstractNum>
  <w:abstractNum w:abstractNumId="23">
    <w:multiLevelType w:val="hybridMultilevel"/>
    <w:lvl w:ilvl="0">
      <w:start w:val="0"/>
      <w:numFmt w:val="bullet"/>
      <w:lvlText w:val="●"/>
      <w:lvlJc w:val="left"/>
      <w:pPr>
        <w:ind w:left="1681" w:hanging="696"/>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532" w:hanging="696"/>
      </w:pPr>
      <w:rPr>
        <w:rFonts w:hint="default"/>
        <w:lang w:val="ru-RU" w:eastAsia="en-US" w:bidi="ar-SA"/>
      </w:rPr>
    </w:lvl>
    <w:lvl w:ilvl="2">
      <w:start w:val="0"/>
      <w:numFmt w:val="bullet"/>
      <w:lvlText w:val="•"/>
      <w:lvlJc w:val="left"/>
      <w:pPr>
        <w:ind w:left="3385" w:hanging="696"/>
      </w:pPr>
      <w:rPr>
        <w:rFonts w:hint="default"/>
        <w:lang w:val="ru-RU" w:eastAsia="en-US" w:bidi="ar-SA"/>
      </w:rPr>
    </w:lvl>
    <w:lvl w:ilvl="3">
      <w:start w:val="0"/>
      <w:numFmt w:val="bullet"/>
      <w:lvlText w:val="•"/>
      <w:lvlJc w:val="left"/>
      <w:pPr>
        <w:ind w:left="4237" w:hanging="696"/>
      </w:pPr>
      <w:rPr>
        <w:rFonts w:hint="default"/>
        <w:lang w:val="ru-RU" w:eastAsia="en-US" w:bidi="ar-SA"/>
      </w:rPr>
    </w:lvl>
    <w:lvl w:ilvl="4">
      <w:start w:val="0"/>
      <w:numFmt w:val="bullet"/>
      <w:lvlText w:val="•"/>
      <w:lvlJc w:val="left"/>
      <w:pPr>
        <w:ind w:left="5090" w:hanging="696"/>
      </w:pPr>
      <w:rPr>
        <w:rFonts w:hint="default"/>
        <w:lang w:val="ru-RU" w:eastAsia="en-US" w:bidi="ar-SA"/>
      </w:rPr>
    </w:lvl>
    <w:lvl w:ilvl="5">
      <w:start w:val="0"/>
      <w:numFmt w:val="bullet"/>
      <w:lvlText w:val="•"/>
      <w:lvlJc w:val="left"/>
      <w:pPr>
        <w:ind w:left="5943" w:hanging="696"/>
      </w:pPr>
      <w:rPr>
        <w:rFonts w:hint="default"/>
        <w:lang w:val="ru-RU" w:eastAsia="en-US" w:bidi="ar-SA"/>
      </w:rPr>
    </w:lvl>
    <w:lvl w:ilvl="6">
      <w:start w:val="0"/>
      <w:numFmt w:val="bullet"/>
      <w:lvlText w:val="•"/>
      <w:lvlJc w:val="left"/>
      <w:pPr>
        <w:ind w:left="6795" w:hanging="696"/>
      </w:pPr>
      <w:rPr>
        <w:rFonts w:hint="default"/>
        <w:lang w:val="ru-RU" w:eastAsia="en-US" w:bidi="ar-SA"/>
      </w:rPr>
    </w:lvl>
    <w:lvl w:ilvl="7">
      <w:start w:val="0"/>
      <w:numFmt w:val="bullet"/>
      <w:lvlText w:val="•"/>
      <w:lvlJc w:val="left"/>
      <w:pPr>
        <w:ind w:left="7648" w:hanging="696"/>
      </w:pPr>
      <w:rPr>
        <w:rFonts w:hint="default"/>
        <w:lang w:val="ru-RU" w:eastAsia="en-US" w:bidi="ar-SA"/>
      </w:rPr>
    </w:lvl>
    <w:lvl w:ilvl="8">
      <w:start w:val="0"/>
      <w:numFmt w:val="bullet"/>
      <w:lvlText w:val="•"/>
      <w:lvlJc w:val="left"/>
      <w:pPr>
        <w:ind w:left="8501" w:hanging="696"/>
      </w:pPr>
      <w:rPr>
        <w:rFonts w:hint="default"/>
        <w:lang w:val="ru-RU" w:eastAsia="en-US" w:bidi="ar-SA"/>
      </w:rPr>
    </w:lvl>
  </w:abstractNum>
  <w:abstractNum w:abstractNumId="22">
    <w:multiLevelType w:val="hybridMultilevel"/>
    <w:lvl w:ilvl="0">
      <w:start w:val="0"/>
      <w:numFmt w:val="bullet"/>
      <w:lvlText w:val="●"/>
      <w:lvlJc w:val="left"/>
      <w:pPr>
        <w:ind w:left="565" w:hanging="435"/>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524" w:hanging="435"/>
      </w:pPr>
      <w:rPr>
        <w:rFonts w:hint="default"/>
        <w:lang w:val="ru-RU" w:eastAsia="en-US" w:bidi="ar-SA"/>
      </w:rPr>
    </w:lvl>
    <w:lvl w:ilvl="2">
      <w:start w:val="0"/>
      <w:numFmt w:val="bullet"/>
      <w:lvlText w:val="•"/>
      <w:lvlJc w:val="left"/>
      <w:pPr>
        <w:ind w:left="2489" w:hanging="435"/>
      </w:pPr>
      <w:rPr>
        <w:rFonts w:hint="default"/>
        <w:lang w:val="ru-RU" w:eastAsia="en-US" w:bidi="ar-SA"/>
      </w:rPr>
    </w:lvl>
    <w:lvl w:ilvl="3">
      <w:start w:val="0"/>
      <w:numFmt w:val="bullet"/>
      <w:lvlText w:val="•"/>
      <w:lvlJc w:val="left"/>
      <w:pPr>
        <w:ind w:left="3453" w:hanging="435"/>
      </w:pPr>
      <w:rPr>
        <w:rFonts w:hint="default"/>
        <w:lang w:val="ru-RU" w:eastAsia="en-US" w:bidi="ar-SA"/>
      </w:rPr>
    </w:lvl>
    <w:lvl w:ilvl="4">
      <w:start w:val="0"/>
      <w:numFmt w:val="bullet"/>
      <w:lvlText w:val="•"/>
      <w:lvlJc w:val="left"/>
      <w:pPr>
        <w:ind w:left="4418" w:hanging="435"/>
      </w:pPr>
      <w:rPr>
        <w:rFonts w:hint="default"/>
        <w:lang w:val="ru-RU" w:eastAsia="en-US" w:bidi="ar-SA"/>
      </w:rPr>
    </w:lvl>
    <w:lvl w:ilvl="5">
      <w:start w:val="0"/>
      <w:numFmt w:val="bullet"/>
      <w:lvlText w:val="•"/>
      <w:lvlJc w:val="left"/>
      <w:pPr>
        <w:ind w:left="5383" w:hanging="435"/>
      </w:pPr>
      <w:rPr>
        <w:rFonts w:hint="default"/>
        <w:lang w:val="ru-RU" w:eastAsia="en-US" w:bidi="ar-SA"/>
      </w:rPr>
    </w:lvl>
    <w:lvl w:ilvl="6">
      <w:start w:val="0"/>
      <w:numFmt w:val="bullet"/>
      <w:lvlText w:val="•"/>
      <w:lvlJc w:val="left"/>
      <w:pPr>
        <w:ind w:left="6347" w:hanging="435"/>
      </w:pPr>
      <w:rPr>
        <w:rFonts w:hint="default"/>
        <w:lang w:val="ru-RU" w:eastAsia="en-US" w:bidi="ar-SA"/>
      </w:rPr>
    </w:lvl>
    <w:lvl w:ilvl="7">
      <w:start w:val="0"/>
      <w:numFmt w:val="bullet"/>
      <w:lvlText w:val="•"/>
      <w:lvlJc w:val="left"/>
      <w:pPr>
        <w:ind w:left="7312" w:hanging="435"/>
      </w:pPr>
      <w:rPr>
        <w:rFonts w:hint="default"/>
        <w:lang w:val="ru-RU" w:eastAsia="en-US" w:bidi="ar-SA"/>
      </w:rPr>
    </w:lvl>
    <w:lvl w:ilvl="8">
      <w:start w:val="0"/>
      <w:numFmt w:val="bullet"/>
      <w:lvlText w:val="•"/>
      <w:lvlJc w:val="left"/>
      <w:pPr>
        <w:ind w:left="8277" w:hanging="435"/>
      </w:pPr>
      <w:rPr>
        <w:rFonts w:hint="default"/>
        <w:lang w:val="ru-RU" w:eastAsia="en-US" w:bidi="ar-SA"/>
      </w:rPr>
    </w:lvl>
  </w:abstractNum>
  <w:abstractNum w:abstractNumId="21">
    <w:multiLevelType w:val="hybridMultilevel"/>
    <w:lvl w:ilvl="0">
      <w:start w:val="0"/>
      <w:numFmt w:val="decimal"/>
      <w:lvlText w:val="%1"/>
      <w:lvlJc w:val="left"/>
      <w:pPr>
        <w:ind w:left="465" w:hanging="180"/>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1434" w:hanging="180"/>
      </w:pPr>
      <w:rPr>
        <w:rFonts w:hint="default"/>
        <w:lang w:val="ru-RU" w:eastAsia="en-US" w:bidi="ar-SA"/>
      </w:rPr>
    </w:lvl>
    <w:lvl w:ilvl="2">
      <w:start w:val="0"/>
      <w:numFmt w:val="bullet"/>
      <w:lvlText w:val="•"/>
      <w:lvlJc w:val="left"/>
      <w:pPr>
        <w:ind w:left="2409" w:hanging="180"/>
      </w:pPr>
      <w:rPr>
        <w:rFonts w:hint="default"/>
        <w:lang w:val="ru-RU" w:eastAsia="en-US" w:bidi="ar-SA"/>
      </w:rPr>
    </w:lvl>
    <w:lvl w:ilvl="3">
      <w:start w:val="0"/>
      <w:numFmt w:val="bullet"/>
      <w:lvlText w:val="•"/>
      <w:lvlJc w:val="left"/>
      <w:pPr>
        <w:ind w:left="3383" w:hanging="180"/>
      </w:pPr>
      <w:rPr>
        <w:rFonts w:hint="default"/>
        <w:lang w:val="ru-RU" w:eastAsia="en-US" w:bidi="ar-SA"/>
      </w:rPr>
    </w:lvl>
    <w:lvl w:ilvl="4">
      <w:start w:val="0"/>
      <w:numFmt w:val="bullet"/>
      <w:lvlText w:val="•"/>
      <w:lvlJc w:val="left"/>
      <w:pPr>
        <w:ind w:left="4358" w:hanging="180"/>
      </w:pPr>
      <w:rPr>
        <w:rFonts w:hint="default"/>
        <w:lang w:val="ru-RU" w:eastAsia="en-US" w:bidi="ar-SA"/>
      </w:rPr>
    </w:lvl>
    <w:lvl w:ilvl="5">
      <w:start w:val="0"/>
      <w:numFmt w:val="bullet"/>
      <w:lvlText w:val="•"/>
      <w:lvlJc w:val="left"/>
      <w:pPr>
        <w:ind w:left="5333" w:hanging="180"/>
      </w:pPr>
      <w:rPr>
        <w:rFonts w:hint="default"/>
        <w:lang w:val="ru-RU" w:eastAsia="en-US" w:bidi="ar-SA"/>
      </w:rPr>
    </w:lvl>
    <w:lvl w:ilvl="6">
      <w:start w:val="0"/>
      <w:numFmt w:val="bullet"/>
      <w:lvlText w:val="•"/>
      <w:lvlJc w:val="left"/>
      <w:pPr>
        <w:ind w:left="6307" w:hanging="180"/>
      </w:pPr>
      <w:rPr>
        <w:rFonts w:hint="default"/>
        <w:lang w:val="ru-RU" w:eastAsia="en-US" w:bidi="ar-SA"/>
      </w:rPr>
    </w:lvl>
    <w:lvl w:ilvl="7">
      <w:start w:val="0"/>
      <w:numFmt w:val="bullet"/>
      <w:lvlText w:val="•"/>
      <w:lvlJc w:val="left"/>
      <w:pPr>
        <w:ind w:left="7282" w:hanging="180"/>
      </w:pPr>
      <w:rPr>
        <w:rFonts w:hint="default"/>
        <w:lang w:val="ru-RU" w:eastAsia="en-US" w:bidi="ar-SA"/>
      </w:rPr>
    </w:lvl>
    <w:lvl w:ilvl="8">
      <w:start w:val="0"/>
      <w:numFmt w:val="bullet"/>
      <w:lvlText w:val="•"/>
      <w:lvlJc w:val="left"/>
      <w:pPr>
        <w:ind w:left="8257" w:hanging="180"/>
      </w:pPr>
      <w:rPr>
        <w:rFonts w:hint="default"/>
        <w:lang w:val="ru-RU" w:eastAsia="en-US" w:bidi="ar-SA"/>
      </w:rPr>
    </w:lvl>
  </w:abstractNum>
  <w:abstractNum w:abstractNumId="20">
    <w:multiLevelType w:val="hybridMultilevel"/>
    <w:lvl w:ilvl="0">
      <w:start w:val="0"/>
      <w:numFmt w:val="decimal"/>
      <w:lvlText w:val="%1"/>
      <w:lvlJc w:val="left"/>
      <w:pPr>
        <w:ind w:left="465" w:hanging="180"/>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1434" w:hanging="180"/>
      </w:pPr>
      <w:rPr>
        <w:rFonts w:hint="default"/>
        <w:lang w:val="ru-RU" w:eastAsia="en-US" w:bidi="ar-SA"/>
      </w:rPr>
    </w:lvl>
    <w:lvl w:ilvl="2">
      <w:start w:val="0"/>
      <w:numFmt w:val="bullet"/>
      <w:lvlText w:val="•"/>
      <w:lvlJc w:val="left"/>
      <w:pPr>
        <w:ind w:left="2409" w:hanging="180"/>
      </w:pPr>
      <w:rPr>
        <w:rFonts w:hint="default"/>
        <w:lang w:val="ru-RU" w:eastAsia="en-US" w:bidi="ar-SA"/>
      </w:rPr>
    </w:lvl>
    <w:lvl w:ilvl="3">
      <w:start w:val="0"/>
      <w:numFmt w:val="bullet"/>
      <w:lvlText w:val="•"/>
      <w:lvlJc w:val="left"/>
      <w:pPr>
        <w:ind w:left="3383" w:hanging="180"/>
      </w:pPr>
      <w:rPr>
        <w:rFonts w:hint="default"/>
        <w:lang w:val="ru-RU" w:eastAsia="en-US" w:bidi="ar-SA"/>
      </w:rPr>
    </w:lvl>
    <w:lvl w:ilvl="4">
      <w:start w:val="0"/>
      <w:numFmt w:val="bullet"/>
      <w:lvlText w:val="•"/>
      <w:lvlJc w:val="left"/>
      <w:pPr>
        <w:ind w:left="4358" w:hanging="180"/>
      </w:pPr>
      <w:rPr>
        <w:rFonts w:hint="default"/>
        <w:lang w:val="ru-RU" w:eastAsia="en-US" w:bidi="ar-SA"/>
      </w:rPr>
    </w:lvl>
    <w:lvl w:ilvl="5">
      <w:start w:val="0"/>
      <w:numFmt w:val="bullet"/>
      <w:lvlText w:val="•"/>
      <w:lvlJc w:val="left"/>
      <w:pPr>
        <w:ind w:left="5333" w:hanging="180"/>
      </w:pPr>
      <w:rPr>
        <w:rFonts w:hint="default"/>
        <w:lang w:val="ru-RU" w:eastAsia="en-US" w:bidi="ar-SA"/>
      </w:rPr>
    </w:lvl>
    <w:lvl w:ilvl="6">
      <w:start w:val="0"/>
      <w:numFmt w:val="bullet"/>
      <w:lvlText w:val="•"/>
      <w:lvlJc w:val="left"/>
      <w:pPr>
        <w:ind w:left="6307" w:hanging="180"/>
      </w:pPr>
      <w:rPr>
        <w:rFonts w:hint="default"/>
        <w:lang w:val="ru-RU" w:eastAsia="en-US" w:bidi="ar-SA"/>
      </w:rPr>
    </w:lvl>
    <w:lvl w:ilvl="7">
      <w:start w:val="0"/>
      <w:numFmt w:val="bullet"/>
      <w:lvlText w:val="•"/>
      <w:lvlJc w:val="left"/>
      <w:pPr>
        <w:ind w:left="7282" w:hanging="180"/>
      </w:pPr>
      <w:rPr>
        <w:rFonts w:hint="default"/>
        <w:lang w:val="ru-RU" w:eastAsia="en-US" w:bidi="ar-SA"/>
      </w:rPr>
    </w:lvl>
    <w:lvl w:ilvl="8">
      <w:start w:val="0"/>
      <w:numFmt w:val="bullet"/>
      <w:lvlText w:val="•"/>
      <w:lvlJc w:val="left"/>
      <w:pPr>
        <w:ind w:left="8257" w:hanging="180"/>
      </w:pPr>
      <w:rPr>
        <w:rFonts w:hint="default"/>
        <w:lang w:val="ru-RU" w:eastAsia="en-US" w:bidi="ar-SA"/>
      </w:rPr>
    </w:lvl>
  </w:abstractNum>
  <w:abstractNum w:abstractNumId="19">
    <w:multiLevelType w:val="hybridMultilevel"/>
    <w:lvl w:ilvl="0">
      <w:start w:val="7"/>
      <w:numFmt w:val="upperRoman"/>
      <w:lvlText w:val="%1."/>
      <w:lvlJc w:val="left"/>
      <w:pPr>
        <w:ind w:left="736" w:hanging="451"/>
        <w:jc w:val="left"/>
      </w:pPr>
      <w:rPr>
        <w:rFonts w:hint="default" w:ascii="Times New Roman" w:hAnsi="Times New Roman" w:eastAsia="Times New Roman" w:cs="Times New Roman"/>
        <w:b w:val="0"/>
        <w:bCs w:val="0"/>
        <w:i w:val="0"/>
        <w:iCs w:val="0"/>
        <w:spacing w:val="-4"/>
        <w:w w:val="100"/>
        <w:sz w:val="24"/>
        <w:szCs w:val="24"/>
        <w:lang w:val="ru-RU" w:eastAsia="en-US" w:bidi="ar-SA"/>
      </w:rPr>
    </w:lvl>
    <w:lvl w:ilvl="1">
      <w:start w:val="0"/>
      <w:numFmt w:val="bullet"/>
      <w:lvlText w:val="•"/>
      <w:lvlJc w:val="left"/>
      <w:pPr>
        <w:ind w:left="1686" w:hanging="451"/>
      </w:pPr>
      <w:rPr>
        <w:rFonts w:hint="default"/>
        <w:lang w:val="ru-RU" w:eastAsia="en-US" w:bidi="ar-SA"/>
      </w:rPr>
    </w:lvl>
    <w:lvl w:ilvl="2">
      <w:start w:val="0"/>
      <w:numFmt w:val="bullet"/>
      <w:lvlText w:val="•"/>
      <w:lvlJc w:val="left"/>
      <w:pPr>
        <w:ind w:left="2633" w:hanging="451"/>
      </w:pPr>
      <w:rPr>
        <w:rFonts w:hint="default"/>
        <w:lang w:val="ru-RU" w:eastAsia="en-US" w:bidi="ar-SA"/>
      </w:rPr>
    </w:lvl>
    <w:lvl w:ilvl="3">
      <w:start w:val="0"/>
      <w:numFmt w:val="bullet"/>
      <w:lvlText w:val="•"/>
      <w:lvlJc w:val="left"/>
      <w:pPr>
        <w:ind w:left="3579" w:hanging="451"/>
      </w:pPr>
      <w:rPr>
        <w:rFonts w:hint="default"/>
        <w:lang w:val="ru-RU" w:eastAsia="en-US" w:bidi="ar-SA"/>
      </w:rPr>
    </w:lvl>
    <w:lvl w:ilvl="4">
      <w:start w:val="0"/>
      <w:numFmt w:val="bullet"/>
      <w:lvlText w:val="•"/>
      <w:lvlJc w:val="left"/>
      <w:pPr>
        <w:ind w:left="4526" w:hanging="451"/>
      </w:pPr>
      <w:rPr>
        <w:rFonts w:hint="default"/>
        <w:lang w:val="ru-RU" w:eastAsia="en-US" w:bidi="ar-SA"/>
      </w:rPr>
    </w:lvl>
    <w:lvl w:ilvl="5">
      <w:start w:val="0"/>
      <w:numFmt w:val="bullet"/>
      <w:lvlText w:val="•"/>
      <w:lvlJc w:val="left"/>
      <w:pPr>
        <w:ind w:left="5473" w:hanging="451"/>
      </w:pPr>
      <w:rPr>
        <w:rFonts w:hint="default"/>
        <w:lang w:val="ru-RU" w:eastAsia="en-US" w:bidi="ar-SA"/>
      </w:rPr>
    </w:lvl>
    <w:lvl w:ilvl="6">
      <w:start w:val="0"/>
      <w:numFmt w:val="bullet"/>
      <w:lvlText w:val="•"/>
      <w:lvlJc w:val="left"/>
      <w:pPr>
        <w:ind w:left="6419" w:hanging="451"/>
      </w:pPr>
      <w:rPr>
        <w:rFonts w:hint="default"/>
        <w:lang w:val="ru-RU" w:eastAsia="en-US" w:bidi="ar-SA"/>
      </w:rPr>
    </w:lvl>
    <w:lvl w:ilvl="7">
      <w:start w:val="0"/>
      <w:numFmt w:val="bullet"/>
      <w:lvlText w:val="•"/>
      <w:lvlJc w:val="left"/>
      <w:pPr>
        <w:ind w:left="7366" w:hanging="451"/>
      </w:pPr>
      <w:rPr>
        <w:rFonts w:hint="default"/>
        <w:lang w:val="ru-RU" w:eastAsia="en-US" w:bidi="ar-SA"/>
      </w:rPr>
    </w:lvl>
    <w:lvl w:ilvl="8">
      <w:start w:val="0"/>
      <w:numFmt w:val="bullet"/>
      <w:lvlText w:val="•"/>
      <w:lvlJc w:val="left"/>
      <w:pPr>
        <w:ind w:left="8313" w:hanging="451"/>
      </w:pPr>
      <w:rPr>
        <w:rFonts w:hint="default"/>
        <w:lang w:val="ru-RU" w:eastAsia="en-US" w:bidi="ar-SA"/>
      </w:rPr>
    </w:lvl>
  </w:abstractNum>
  <w:abstractNum w:abstractNumId="18">
    <w:multiLevelType w:val="hybridMultilevel"/>
    <w:lvl w:ilvl="0">
      <w:start w:val="1"/>
      <w:numFmt w:val="decimal"/>
      <w:lvlText w:val="%1)"/>
      <w:lvlJc w:val="left"/>
      <w:pPr>
        <w:ind w:left="1722" w:hanging="377"/>
        <w:jc w:val="right"/>
      </w:pPr>
      <w:rPr>
        <w:rFonts w:hint="default" w:ascii="Times New Roman" w:hAnsi="Times New Roman" w:eastAsia="Times New Roman" w:cs="Times New Roman"/>
        <w:b w:val="0"/>
        <w:bCs w:val="0"/>
        <w:i/>
        <w:iCs/>
        <w:spacing w:val="0"/>
        <w:w w:val="100"/>
        <w:sz w:val="28"/>
        <w:szCs w:val="28"/>
        <w:lang w:val="ru-RU" w:eastAsia="en-US" w:bidi="ar-SA"/>
      </w:rPr>
    </w:lvl>
    <w:lvl w:ilvl="1">
      <w:start w:val="0"/>
      <w:numFmt w:val="bullet"/>
      <w:lvlText w:val="•"/>
      <w:lvlJc w:val="left"/>
      <w:pPr>
        <w:ind w:left="2568" w:hanging="377"/>
      </w:pPr>
      <w:rPr>
        <w:rFonts w:hint="default"/>
        <w:lang w:val="ru-RU" w:eastAsia="en-US" w:bidi="ar-SA"/>
      </w:rPr>
    </w:lvl>
    <w:lvl w:ilvl="2">
      <w:start w:val="0"/>
      <w:numFmt w:val="bullet"/>
      <w:lvlText w:val="•"/>
      <w:lvlJc w:val="left"/>
      <w:pPr>
        <w:ind w:left="3417" w:hanging="377"/>
      </w:pPr>
      <w:rPr>
        <w:rFonts w:hint="default"/>
        <w:lang w:val="ru-RU" w:eastAsia="en-US" w:bidi="ar-SA"/>
      </w:rPr>
    </w:lvl>
    <w:lvl w:ilvl="3">
      <w:start w:val="0"/>
      <w:numFmt w:val="bullet"/>
      <w:lvlText w:val="•"/>
      <w:lvlJc w:val="left"/>
      <w:pPr>
        <w:ind w:left="4265" w:hanging="377"/>
      </w:pPr>
      <w:rPr>
        <w:rFonts w:hint="default"/>
        <w:lang w:val="ru-RU" w:eastAsia="en-US" w:bidi="ar-SA"/>
      </w:rPr>
    </w:lvl>
    <w:lvl w:ilvl="4">
      <w:start w:val="0"/>
      <w:numFmt w:val="bullet"/>
      <w:lvlText w:val="•"/>
      <w:lvlJc w:val="left"/>
      <w:pPr>
        <w:ind w:left="5114" w:hanging="377"/>
      </w:pPr>
      <w:rPr>
        <w:rFonts w:hint="default"/>
        <w:lang w:val="ru-RU" w:eastAsia="en-US" w:bidi="ar-SA"/>
      </w:rPr>
    </w:lvl>
    <w:lvl w:ilvl="5">
      <w:start w:val="0"/>
      <w:numFmt w:val="bullet"/>
      <w:lvlText w:val="•"/>
      <w:lvlJc w:val="left"/>
      <w:pPr>
        <w:ind w:left="5963" w:hanging="377"/>
      </w:pPr>
      <w:rPr>
        <w:rFonts w:hint="default"/>
        <w:lang w:val="ru-RU" w:eastAsia="en-US" w:bidi="ar-SA"/>
      </w:rPr>
    </w:lvl>
    <w:lvl w:ilvl="6">
      <w:start w:val="0"/>
      <w:numFmt w:val="bullet"/>
      <w:lvlText w:val="•"/>
      <w:lvlJc w:val="left"/>
      <w:pPr>
        <w:ind w:left="6811" w:hanging="377"/>
      </w:pPr>
      <w:rPr>
        <w:rFonts w:hint="default"/>
        <w:lang w:val="ru-RU" w:eastAsia="en-US" w:bidi="ar-SA"/>
      </w:rPr>
    </w:lvl>
    <w:lvl w:ilvl="7">
      <w:start w:val="0"/>
      <w:numFmt w:val="bullet"/>
      <w:lvlText w:val="•"/>
      <w:lvlJc w:val="left"/>
      <w:pPr>
        <w:ind w:left="7660" w:hanging="377"/>
      </w:pPr>
      <w:rPr>
        <w:rFonts w:hint="default"/>
        <w:lang w:val="ru-RU" w:eastAsia="en-US" w:bidi="ar-SA"/>
      </w:rPr>
    </w:lvl>
    <w:lvl w:ilvl="8">
      <w:start w:val="0"/>
      <w:numFmt w:val="bullet"/>
      <w:lvlText w:val="•"/>
      <w:lvlJc w:val="left"/>
      <w:pPr>
        <w:ind w:left="8509" w:hanging="377"/>
      </w:pPr>
      <w:rPr>
        <w:rFonts w:hint="default"/>
        <w:lang w:val="ru-RU" w:eastAsia="en-US" w:bidi="ar-SA"/>
      </w:rPr>
    </w:lvl>
  </w:abstractNum>
  <w:abstractNum w:abstractNumId="17">
    <w:multiLevelType w:val="hybridMultilevel"/>
    <w:lvl w:ilvl="0">
      <w:start w:val="0"/>
      <w:numFmt w:val="bullet"/>
      <w:lvlText w:val="●"/>
      <w:lvlJc w:val="left"/>
      <w:pPr>
        <w:ind w:left="645" w:hanging="360"/>
      </w:pPr>
      <w:rPr>
        <w:rFonts w:hint="default" w:ascii="Microsoft Sans Serif" w:hAnsi="Microsoft Sans Serif" w:eastAsia="Microsoft Sans Serif" w:cs="Microsoft Sans Serif"/>
        <w:b w:val="0"/>
        <w:bCs w:val="0"/>
        <w:i w:val="0"/>
        <w:iCs w:val="0"/>
        <w:spacing w:val="0"/>
        <w:w w:val="100"/>
        <w:sz w:val="24"/>
        <w:szCs w:val="24"/>
        <w:lang w:val="ru-RU" w:eastAsia="en-US" w:bidi="ar-SA"/>
      </w:rPr>
    </w:lvl>
    <w:lvl w:ilvl="1">
      <w:start w:val="0"/>
      <w:numFmt w:val="bullet"/>
      <w:lvlText w:val="•"/>
      <w:lvlJc w:val="left"/>
      <w:pPr>
        <w:ind w:left="1596" w:hanging="360"/>
      </w:pPr>
      <w:rPr>
        <w:rFonts w:hint="default"/>
        <w:lang w:val="ru-RU" w:eastAsia="en-US" w:bidi="ar-SA"/>
      </w:rPr>
    </w:lvl>
    <w:lvl w:ilvl="2">
      <w:start w:val="0"/>
      <w:numFmt w:val="bullet"/>
      <w:lvlText w:val="•"/>
      <w:lvlJc w:val="left"/>
      <w:pPr>
        <w:ind w:left="2553" w:hanging="360"/>
      </w:pPr>
      <w:rPr>
        <w:rFonts w:hint="default"/>
        <w:lang w:val="ru-RU" w:eastAsia="en-US" w:bidi="ar-SA"/>
      </w:rPr>
    </w:lvl>
    <w:lvl w:ilvl="3">
      <w:start w:val="0"/>
      <w:numFmt w:val="bullet"/>
      <w:lvlText w:val="•"/>
      <w:lvlJc w:val="left"/>
      <w:pPr>
        <w:ind w:left="3509" w:hanging="360"/>
      </w:pPr>
      <w:rPr>
        <w:rFonts w:hint="default"/>
        <w:lang w:val="ru-RU" w:eastAsia="en-US" w:bidi="ar-SA"/>
      </w:rPr>
    </w:lvl>
    <w:lvl w:ilvl="4">
      <w:start w:val="0"/>
      <w:numFmt w:val="bullet"/>
      <w:lvlText w:val="•"/>
      <w:lvlJc w:val="left"/>
      <w:pPr>
        <w:ind w:left="4466" w:hanging="360"/>
      </w:pPr>
      <w:rPr>
        <w:rFonts w:hint="default"/>
        <w:lang w:val="ru-RU" w:eastAsia="en-US" w:bidi="ar-SA"/>
      </w:rPr>
    </w:lvl>
    <w:lvl w:ilvl="5">
      <w:start w:val="0"/>
      <w:numFmt w:val="bullet"/>
      <w:lvlText w:val="•"/>
      <w:lvlJc w:val="left"/>
      <w:pPr>
        <w:ind w:left="5423" w:hanging="360"/>
      </w:pPr>
      <w:rPr>
        <w:rFonts w:hint="default"/>
        <w:lang w:val="ru-RU" w:eastAsia="en-US" w:bidi="ar-SA"/>
      </w:rPr>
    </w:lvl>
    <w:lvl w:ilvl="6">
      <w:start w:val="0"/>
      <w:numFmt w:val="bullet"/>
      <w:lvlText w:val="•"/>
      <w:lvlJc w:val="left"/>
      <w:pPr>
        <w:ind w:left="6379" w:hanging="360"/>
      </w:pPr>
      <w:rPr>
        <w:rFonts w:hint="default"/>
        <w:lang w:val="ru-RU" w:eastAsia="en-US" w:bidi="ar-SA"/>
      </w:rPr>
    </w:lvl>
    <w:lvl w:ilvl="7">
      <w:start w:val="0"/>
      <w:numFmt w:val="bullet"/>
      <w:lvlText w:val="•"/>
      <w:lvlJc w:val="left"/>
      <w:pPr>
        <w:ind w:left="7336" w:hanging="360"/>
      </w:pPr>
      <w:rPr>
        <w:rFonts w:hint="default"/>
        <w:lang w:val="ru-RU" w:eastAsia="en-US" w:bidi="ar-SA"/>
      </w:rPr>
    </w:lvl>
    <w:lvl w:ilvl="8">
      <w:start w:val="0"/>
      <w:numFmt w:val="bullet"/>
      <w:lvlText w:val="•"/>
      <w:lvlJc w:val="left"/>
      <w:pPr>
        <w:ind w:left="8293" w:hanging="360"/>
      </w:pPr>
      <w:rPr>
        <w:rFonts w:hint="default"/>
        <w:lang w:val="ru-RU" w:eastAsia="en-US" w:bidi="ar-SA"/>
      </w:rPr>
    </w:lvl>
  </w:abstractNum>
  <w:abstractNum w:abstractNumId="16">
    <w:multiLevelType w:val="hybridMultilevel"/>
    <w:lvl w:ilvl="0">
      <w:start w:val="1"/>
      <w:numFmt w:val="decimal"/>
      <w:lvlText w:val="[%1]"/>
      <w:lvlJc w:val="left"/>
      <w:pPr>
        <w:ind w:left="285" w:hanging="304"/>
        <w:jc w:val="left"/>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1272" w:hanging="304"/>
      </w:pPr>
      <w:rPr>
        <w:rFonts w:hint="default"/>
        <w:lang w:val="ru-RU" w:eastAsia="en-US" w:bidi="ar-SA"/>
      </w:rPr>
    </w:lvl>
    <w:lvl w:ilvl="2">
      <w:start w:val="0"/>
      <w:numFmt w:val="bullet"/>
      <w:lvlText w:val="•"/>
      <w:lvlJc w:val="left"/>
      <w:pPr>
        <w:ind w:left="2265" w:hanging="304"/>
      </w:pPr>
      <w:rPr>
        <w:rFonts w:hint="default"/>
        <w:lang w:val="ru-RU" w:eastAsia="en-US" w:bidi="ar-SA"/>
      </w:rPr>
    </w:lvl>
    <w:lvl w:ilvl="3">
      <w:start w:val="0"/>
      <w:numFmt w:val="bullet"/>
      <w:lvlText w:val="•"/>
      <w:lvlJc w:val="left"/>
      <w:pPr>
        <w:ind w:left="3257" w:hanging="304"/>
      </w:pPr>
      <w:rPr>
        <w:rFonts w:hint="default"/>
        <w:lang w:val="ru-RU" w:eastAsia="en-US" w:bidi="ar-SA"/>
      </w:rPr>
    </w:lvl>
    <w:lvl w:ilvl="4">
      <w:start w:val="0"/>
      <w:numFmt w:val="bullet"/>
      <w:lvlText w:val="•"/>
      <w:lvlJc w:val="left"/>
      <w:pPr>
        <w:ind w:left="4250" w:hanging="304"/>
      </w:pPr>
      <w:rPr>
        <w:rFonts w:hint="default"/>
        <w:lang w:val="ru-RU" w:eastAsia="en-US" w:bidi="ar-SA"/>
      </w:rPr>
    </w:lvl>
    <w:lvl w:ilvl="5">
      <w:start w:val="0"/>
      <w:numFmt w:val="bullet"/>
      <w:lvlText w:val="•"/>
      <w:lvlJc w:val="left"/>
      <w:pPr>
        <w:ind w:left="5243" w:hanging="304"/>
      </w:pPr>
      <w:rPr>
        <w:rFonts w:hint="default"/>
        <w:lang w:val="ru-RU" w:eastAsia="en-US" w:bidi="ar-SA"/>
      </w:rPr>
    </w:lvl>
    <w:lvl w:ilvl="6">
      <w:start w:val="0"/>
      <w:numFmt w:val="bullet"/>
      <w:lvlText w:val="•"/>
      <w:lvlJc w:val="left"/>
      <w:pPr>
        <w:ind w:left="6235" w:hanging="304"/>
      </w:pPr>
      <w:rPr>
        <w:rFonts w:hint="default"/>
        <w:lang w:val="ru-RU" w:eastAsia="en-US" w:bidi="ar-SA"/>
      </w:rPr>
    </w:lvl>
    <w:lvl w:ilvl="7">
      <w:start w:val="0"/>
      <w:numFmt w:val="bullet"/>
      <w:lvlText w:val="•"/>
      <w:lvlJc w:val="left"/>
      <w:pPr>
        <w:ind w:left="7228" w:hanging="304"/>
      </w:pPr>
      <w:rPr>
        <w:rFonts w:hint="default"/>
        <w:lang w:val="ru-RU" w:eastAsia="en-US" w:bidi="ar-SA"/>
      </w:rPr>
    </w:lvl>
    <w:lvl w:ilvl="8">
      <w:start w:val="0"/>
      <w:numFmt w:val="bullet"/>
      <w:lvlText w:val="•"/>
      <w:lvlJc w:val="left"/>
      <w:pPr>
        <w:ind w:left="8221" w:hanging="304"/>
      </w:pPr>
      <w:rPr>
        <w:rFonts w:hint="default"/>
        <w:lang w:val="ru-RU" w:eastAsia="en-US" w:bidi="ar-SA"/>
      </w:rPr>
    </w:lvl>
  </w:abstractNum>
  <w:abstractNum w:abstractNumId="15">
    <w:multiLevelType w:val="hybridMultilevel"/>
    <w:lvl w:ilvl="0">
      <w:start w:val="0"/>
      <w:numFmt w:val="bullet"/>
      <w:lvlText w:val="·"/>
      <w:lvlJc w:val="left"/>
      <w:pPr>
        <w:ind w:left="565" w:hanging="178"/>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524" w:hanging="178"/>
      </w:pPr>
      <w:rPr>
        <w:rFonts w:hint="default"/>
        <w:lang w:val="ru-RU" w:eastAsia="en-US" w:bidi="ar-SA"/>
      </w:rPr>
    </w:lvl>
    <w:lvl w:ilvl="2">
      <w:start w:val="0"/>
      <w:numFmt w:val="bullet"/>
      <w:lvlText w:val="•"/>
      <w:lvlJc w:val="left"/>
      <w:pPr>
        <w:ind w:left="2489" w:hanging="178"/>
      </w:pPr>
      <w:rPr>
        <w:rFonts w:hint="default"/>
        <w:lang w:val="ru-RU" w:eastAsia="en-US" w:bidi="ar-SA"/>
      </w:rPr>
    </w:lvl>
    <w:lvl w:ilvl="3">
      <w:start w:val="0"/>
      <w:numFmt w:val="bullet"/>
      <w:lvlText w:val="•"/>
      <w:lvlJc w:val="left"/>
      <w:pPr>
        <w:ind w:left="3453" w:hanging="178"/>
      </w:pPr>
      <w:rPr>
        <w:rFonts w:hint="default"/>
        <w:lang w:val="ru-RU" w:eastAsia="en-US" w:bidi="ar-SA"/>
      </w:rPr>
    </w:lvl>
    <w:lvl w:ilvl="4">
      <w:start w:val="0"/>
      <w:numFmt w:val="bullet"/>
      <w:lvlText w:val="•"/>
      <w:lvlJc w:val="left"/>
      <w:pPr>
        <w:ind w:left="4418" w:hanging="178"/>
      </w:pPr>
      <w:rPr>
        <w:rFonts w:hint="default"/>
        <w:lang w:val="ru-RU" w:eastAsia="en-US" w:bidi="ar-SA"/>
      </w:rPr>
    </w:lvl>
    <w:lvl w:ilvl="5">
      <w:start w:val="0"/>
      <w:numFmt w:val="bullet"/>
      <w:lvlText w:val="•"/>
      <w:lvlJc w:val="left"/>
      <w:pPr>
        <w:ind w:left="5383" w:hanging="178"/>
      </w:pPr>
      <w:rPr>
        <w:rFonts w:hint="default"/>
        <w:lang w:val="ru-RU" w:eastAsia="en-US" w:bidi="ar-SA"/>
      </w:rPr>
    </w:lvl>
    <w:lvl w:ilvl="6">
      <w:start w:val="0"/>
      <w:numFmt w:val="bullet"/>
      <w:lvlText w:val="•"/>
      <w:lvlJc w:val="left"/>
      <w:pPr>
        <w:ind w:left="6347" w:hanging="178"/>
      </w:pPr>
      <w:rPr>
        <w:rFonts w:hint="default"/>
        <w:lang w:val="ru-RU" w:eastAsia="en-US" w:bidi="ar-SA"/>
      </w:rPr>
    </w:lvl>
    <w:lvl w:ilvl="7">
      <w:start w:val="0"/>
      <w:numFmt w:val="bullet"/>
      <w:lvlText w:val="•"/>
      <w:lvlJc w:val="left"/>
      <w:pPr>
        <w:ind w:left="7312" w:hanging="178"/>
      </w:pPr>
      <w:rPr>
        <w:rFonts w:hint="default"/>
        <w:lang w:val="ru-RU" w:eastAsia="en-US" w:bidi="ar-SA"/>
      </w:rPr>
    </w:lvl>
    <w:lvl w:ilvl="8">
      <w:start w:val="0"/>
      <w:numFmt w:val="bullet"/>
      <w:lvlText w:val="•"/>
      <w:lvlJc w:val="left"/>
      <w:pPr>
        <w:ind w:left="8277" w:hanging="178"/>
      </w:pPr>
      <w:rPr>
        <w:rFonts w:hint="default"/>
        <w:lang w:val="ru-RU" w:eastAsia="en-US" w:bidi="ar-SA"/>
      </w:rPr>
    </w:lvl>
  </w:abstractNum>
  <w:abstractNum w:abstractNumId="14">
    <w:multiLevelType w:val="hybridMultilevel"/>
    <w:lvl w:ilvl="0">
      <w:start w:val="1"/>
      <w:numFmt w:val="decimal"/>
      <w:lvlText w:val="%1."/>
      <w:lvlJc w:val="left"/>
      <w:pPr>
        <w:ind w:left="565" w:hanging="281"/>
        <w:jc w:val="righ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565" w:hanging="466"/>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560" w:hanging="466"/>
      </w:pPr>
      <w:rPr>
        <w:rFonts w:hint="default"/>
        <w:lang w:val="ru-RU" w:eastAsia="en-US" w:bidi="ar-SA"/>
      </w:rPr>
    </w:lvl>
    <w:lvl w:ilvl="3">
      <w:start w:val="0"/>
      <w:numFmt w:val="bullet"/>
      <w:lvlText w:val="•"/>
      <w:lvlJc w:val="left"/>
      <w:pPr>
        <w:ind w:left="1360" w:hanging="466"/>
      </w:pPr>
      <w:rPr>
        <w:rFonts w:hint="default"/>
        <w:lang w:val="ru-RU" w:eastAsia="en-US" w:bidi="ar-SA"/>
      </w:rPr>
    </w:lvl>
    <w:lvl w:ilvl="4">
      <w:start w:val="0"/>
      <w:numFmt w:val="bullet"/>
      <w:lvlText w:val="•"/>
      <w:lvlJc w:val="left"/>
      <w:pPr>
        <w:ind w:left="2623" w:hanging="466"/>
      </w:pPr>
      <w:rPr>
        <w:rFonts w:hint="default"/>
        <w:lang w:val="ru-RU" w:eastAsia="en-US" w:bidi="ar-SA"/>
      </w:rPr>
    </w:lvl>
    <w:lvl w:ilvl="5">
      <w:start w:val="0"/>
      <w:numFmt w:val="bullet"/>
      <w:lvlText w:val="•"/>
      <w:lvlJc w:val="left"/>
      <w:pPr>
        <w:ind w:left="3887" w:hanging="466"/>
      </w:pPr>
      <w:rPr>
        <w:rFonts w:hint="default"/>
        <w:lang w:val="ru-RU" w:eastAsia="en-US" w:bidi="ar-SA"/>
      </w:rPr>
    </w:lvl>
    <w:lvl w:ilvl="6">
      <w:start w:val="0"/>
      <w:numFmt w:val="bullet"/>
      <w:lvlText w:val="•"/>
      <w:lvlJc w:val="left"/>
      <w:pPr>
        <w:ind w:left="5151" w:hanging="466"/>
      </w:pPr>
      <w:rPr>
        <w:rFonts w:hint="default"/>
        <w:lang w:val="ru-RU" w:eastAsia="en-US" w:bidi="ar-SA"/>
      </w:rPr>
    </w:lvl>
    <w:lvl w:ilvl="7">
      <w:start w:val="0"/>
      <w:numFmt w:val="bullet"/>
      <w:lvlText w:val="•"/>
      <w:lvlJc w:val="left"/>
      <w:pPr>
        <w:ind w:left="6415" w:hanging="466"/>
      </w:pPr>
      <w:rPr>
        <w:rFonts w:hint="default"/>
        <w:lang w:val="ru-RU" w:eastAsia="en-US" w:bidi="ar-SA"/>
      </w:rPr>
    </w:lvl>
    <w:lvl w:ilvl="8">
      <w:start w:val="0"/>
      <w:numFmt w:val="bullet"/>
      <w:lvlText w:val="•"/>
      <w:lvlJc w:val="left"/>
      <w:pPr>
        <w:ind w:left="7678" w:hanging="466"/>
      </w:pPr>
      <w:rPr>
        <w:rFonts w:hint="default"/>
        <w:lang w:val="ru-RU" w:eastAsia="en-US" w:bidi="ar-SA"/>
      </w:rPr>
    </w:lvl>
  </w:abstractNum>
  <w:abstractNum w:abstractNumId="13">
    <w:multiLevelType w:val="hybridMultilevel"/>
    <w:lvl w:ilvl="0">
      <w:start w:val="2"/>
      <w:numFmt w:val="decimal"/>
      <w:lvlText w:val="%1."/>
      <w:lvlJc w:val="left"/>
      <w:pPr>
        <w:ind w:left="285" w:hanging="430"/>
        <w:jc w:val="left"/>
      </w:pPr>
      <w:rPr>
        <w:rFonts w:hint="default" w:ascii="Times New Roman" w:hAnsi="Times New Roman" w:eastAsia="Times New Roman" w:cs="Times New Roman"/>
        <w:b/>
        <w:bCs/>
        <w:i w:val="0"/>
        <w:iCs w:val="0"/>
        <w:spacing w:val="0"/>
        <w:w w:val="90"/>
        <w:sz w:val="28"/>
        <w:szCs w:val="28"/>
        <w:lang w:val="ru-RU" w:eastAsia="en-US" w:bidi="ar-SA"/>
      </w:rPr>
    </w:lvl>
    <w:lvl w:ilvl="1">
      <w:start w:val="0"/>
      <w:numFmt w:val="bullet"/>
      <w:lvlText w:val="•"/>
      <w:lvlJc w:val="left"/>
      <w:pPr>
        <w:ind w:left="1272" w:hanging="430"/>
      </w:pPr>
      <w:rPr>
        <w:rFonts w:hint="default"/>
        <w:lang w:val="ru-RU" w:eastAsia="en-US" w:bidi="ar-SA"/>
      </w:rPr>
    </w:lvl>
    <w:lvl w:ilvl="2">
      <w:start w:val="0"/>
      <w:numFmt w:val="bullet"/>
      <w:lvlText w:val="•"/>
      <w:lvlJc w:val="left"/>
      <w:pPr>
        <w:ind w:left="2265" w:hanging="430"/>
      </w:pPr>
      <w:rPr>
        <w:rFonts w:hint="default"/>
        <w:lang w:val="ru-RU" w:eastAsia="en-US" w:bidi="ar-SA"/>
      </w:rPr>
    </w:lvl>
    <w:lvl w:ilvl="3">
      <w:start w:val="0"/>
      <w:numFmt w:val="bullet"/>
      <w:lvlText w:val="•"/>
      <w:lvlJc w:val="left"/>
      <w:pPr>
        <w:ind w:left="3257" w:hanging="430"/>
      </w:pPr>
      <w:rPr>
        <w:rFonts w:hint="default"/>
        <w:lang w:val="ru-RU" w:eastAsia="en-US" w:bidi="ar-SA"/>
      </w:rPr>
    </w:lvl>
    <w:lvl w:ilvl="4">
      <w:start w:val="0"/>
      <w:numFmt w:val="bullet"/>
      <w:lvlText w:val="•"/>
      <w:lvlJc w:val="left"/>
      <w:pPr>
        <w:ind w:left="4250" w:hanging="430"/>
      </w:pPr>
      <w:rPr>
        <w:rFonts w:hint="default"/>
        <w:lang w:val="ru-RU" w:eastAsia="en-US" w:bidi="ar-SA"/>
      </w:rPr>
    </w:lvl>
    <w:lvl w:ilvl="5">
      <w:start w:val="0"/>
      <w:numFmt w:val="bullet"/>
      <w:lvlText w:val="•"/>
      <w:lvlJc w:val="left"/>
      <w:pPr>
        <w:ind w:left="5243" w:hanging="430"/>
      </w:pPr>
      <w:rPr>
        <w:rFonts w:hint="default"/>
        <w:lang w:val="ru-RU" w:eastAsia="en-US" w:bidi="ar-SA"/>
      </w:rPr>
    </w:lvl>
    <w:lvl w:ilvl="6">
      <w:start w:val="0"/>
      <w:numFmt w:val="bullet"/>
      <w:lvlText w:val="•"/>
      <w:lvlJc w:val="left"/>
      <w:pPr>
        <w:ind w:left="6235" w:hanging="430"/>
      </w:pPr>
      <w:rPr>
        <w:rFonts w:hint="default"/>
        <w:lang w:val="ru-RU" w:eastAsia="en-US" w:bidi="ar-SA"/>
      </w:rPr>
    </w:lvl>
    <w:lvl w:ilvl="7">
      <w:start w:val="0"/>
      <w:numFmt w:val="bullet"/>
      <w:lvlText w:val="•"/>
      <w:lvlJc w:val="left"/>
      <w:pPr>
        <w:ind w:left="7228" w:hanging="430"/>
      </w:pPr>
      <w:rPr>
        <w:rFonts w:hint="default"/>
        <w:lang w:val="ru-RU" w:eastAsia="en-US" w:bidi="ar-SA"/>
      </w:rPr>
    </w:lvl>
    <w:lvl w:ilvl="8">
      <w:start w:val="0"/>
      <w:numFmt w:val="bullet"/>
      <w:lvlText w:val="•"/>
      <w:lvlJc w:val="left"/>
      <w:pPr>
        <w:ind w:left="8221" w:hanging="430"/>
      </w:pPr>
      <w:rPr>
        <w:rFonts w:hint="default"/>
        <w:lang w:val="ru-RU" w:eastAsia="en-US" w:bidi="ar-SA"/>
      </w:rPr>
    </w:lvl>
  </w:abstractNum>
  <w:abstractNum w:abstractNumId="12">
    <w:multiLevelType w:val="hybridMultilevel"/>
    <w:lvl w:ilvl="0">
      <w:start w:val="1"/>
      <w:numFmt w:val="decimal"/>
      <w:lvlText w:val="%1."/>
      <w:lvlJc w:val="left"/>
      <w:pPr>
        <w:ind w:left="285" w:hanging="374"/>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272" w:hanging="374"/>
      </w:pPr>
      <w:rPr>
        <w:rFonts w:hint="default"/>
        <w:lang w:val="ru-RU" w:eastAsia="en-US" w:bidi="ar-SA"/>
      </w:rPr>
    </w:lvl>
    <w:lvl w:ilvl="2">
      <w:start w:val="0"/>
      <w:numFmt w:val="bullet"/>
      <w:lvlText w:val="•"/>
      <w:lvlJc w:val="left"/>
      <w:pPr>
        <w:ind w:left="2265" w:hanging="374"/>
      </w:pPr>
      <w:rPr>
        <w:rFonts w:hint="default"/>
        <w:lang w:val="ru-RU" w:eastAsia="en-US" w:bidi="ar-SA"/>
      </w:rPr>
    </w:lvl>
    <w:lvl w:ilvl="3">
      <w:start w:val="0"/>
      <w:numFmt w:val="bullet"/>
      <w:lvlText w:val="•"/>
      <w:lvlJc w:val="left"/>
      <w:pPr>
        <w:ind w:left="3257" w:hanging="374"/>
      </w:pPr>
      <w:rPr>
        <w:rFonts w:hint="default"/>
        <w:lang w:val="ru-RU" w:eastAsia="en-US" w:bidi="ar-SA"/>
      </w:rPr>
    </w:lvl>
    <w:lvl w:ilvl="4">
      <w:start w:val="0"/>
      <w:numFmt w:val="bullet"/>
      <w:lvlText w:val="•"/>
      <w:lvlJc w:val="left"/>
      <w:pPr>
        <w:ind w:left="4250" w:hanging="374"/>
      </w:pPr>
      <w:rPr>
        <w:rFonts w:hint="default"/>
        <w:lang w:val="ru-RU" w:eastAsia="en-US" w:bidi="ar-SA"/>
      </w:rPr>
    </w:lvl>
    <w:lvl w:ilvl="5">
      <w:start w:val="0"/>
      <w:numFmt w:val="bullet"/>
      <w:lvlText w:val="•"/>
      <w:lvlJc w:val="left"/>
      <w:pPr>
        <w:ind w:left="5243" w:hanging="374"/>
      </w:pPr>
      <w:rPr>
        <w:rFonts w:hint="default"/>
        <w:lang w:val="ru-RU" w:eastAsia="en-US" w:bidi="ar-SA"/>
      </w:rPr>
    </w:lvl>
    <w:lvl w:ilvl="6">
      <w:start w:val="0"/>
      <w:numFmt w:val="bullet"/>
      <w:lvlText w:val="•"/>
      <w:lvlJc w:val="left"/>
      <w:pPr>
        <w:ind w:left="6235" w:hanging="374"/>
      </w:pPr>
      <w:rPr>
        <w:rFonts w:hint="default"/>
        <w:lang w:val="ru-RU" w:eastAsia="en-US" w:bidi="ar-SA"/>
      </w:rPr>
    </w:lvl>
    <w:lvl w:ilvl="7">
      <w:start w:val="0"/>
      <w:numFmt w:val="bullet"/>
      <w:lvlText w:val="•"/>
      <w:lvlJc w:val="left"/>
      <w:pPr>
        <w:ind w:left="7228" w:hanging="374"/>
      </w:pPr>
      <w:rPr>
        <w:rFonts w:hint="default"/>
        <w:lang w:val="ru-RU" w:eastAsia="en-US" w:bidi="ar-SA"/>
      </w:rPr>
    </w:lvl>
    <w:lvl w:ilvl="8">
      <w:start w:val="0"/>
      <w:numFmt w:val="bullet"/>
      <w:lvlText w:val="•"/>
      <w:lvlJc w:val="left"/>
      <w:pPr>
        <w:ind w:left="8221" w:hanging="374"/>
      </w:pPr>
      <w:rPr>
        <w:rFonts w:hint="default"/>
        <w:lang w:val="ru-RU" w:eastAsia="en-US" w:bidi="ar-SA"/>
      </w:rPr>
    </w:lvl>
  </w:abstractNum>
  <w:abstractNum w:abstractNumId="11">
    <w:multiLevelType w:val="hybridMultilevel"/>
    <w:lvl w:ilvl="0">
      <w:start w:val="0"/>
      <w:numFmt w:val="bullet"/>
      <w:lvlText w:val="-"/>
      <w:lvlJc w:val="left"/>
      <w:pPr>
        <w:ind w:left="995"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703" w:hanging="360"/>
      </w:pPr>
      <w:rPr>
        <w:rFonts w:hint="default" w:ascii="Calibri" w:hAnsi="Calibri" w:eastAsia="Calibri" w:cs="Calibri"/>
        <w:b w:val="0"/>
        <w:bCs w:val="0"/>
        <w:i w:val="0"/>
        <w:iCs w:val="0"/>
        <w:spacing w:val="0"/>
        <w:w w:val="100"/>
        <w:sz w:val="28"/>
        <w:szCs w:val="28"/>
        <w:lang w:val="ru-RU" w:eastAsia="en-US" w:bidi="ar-SA"/>
      </w:rPr>
    </w:lvl>
    <w:lvl w:ilvl="2">
      <w:start w:val="0"/>
      <w:numFmt w:val="bullet"/>
      <w:lvlText w:val="•"/>
      <w:lvlJc w:val="left"/>
      <w:pPr>
        <w:ind w:left="2566" w:hanging="360"/>
      </w:pPr>
      <w:rPr>
        <w:rFonts w:hint="default"/>
        <w:lang w:val="ru-RU" w:eastAsia="en-US" w:bidi="ar-SA"/>
      </w:rPr>
    </w:lvl>
    <w:lvl w:ilvl="3">
      <w:start w:val="0"/>
      <w:numFmt w:val="bullet"/>
      <w:lvlText w:val="•"/>
      <w:lvlJc w:val="left"/>
      <w:pPr>
        <w:ind w:left="3432" w:hanging="360"/>
      </w:pPr>
      <w:rPr>
        <w:rFonts w:hint="default"/>
        <w:lang w:val="ru-RU" w:eastAsia="en-US" w:bidi="ar-SA"/>
      </w:rPr>
    </w:lvl>
    <w:lvl w:ilvl="4">
      <w:start w:val="0"/>
      <w:numFmt w:val="bullet"/>
      <w:lvlText w:val="•"/>
      <w:lvlJc w:val="left"/>
      <w:pPr>
        <w:ind w:left="4299" w:hanging="360"/>
      </w:pPr>
      <w:rPr>
        <w:rFonts w:hint="default"/>
        <w:lang w:val="ru-RU" w:eastAsia="en-US" w:bidi="ar-SA"/>
      </w:rPr>
    </w:lvl>
    <w:lvl w:ilvl="5">
      <w:start w:val="0"/>
      <w:numFmt w:val="bullet"/>
      <w:lvlText w:val="•"/>
      <w:lvlJc w:val="left"/>
      <w:pPr>
        <w:ind w:left="5165" w:hanging="360"/>
      </w:pPr>
      <w:rPr>
        <w:rFonts w:hint="default"/>
        <w:lang w:val="ru-RU" w:eastAsia="en-US" w:bidi="ar-SA"/>
      </w:rPr>
    </w:lvl>
    <w:lvl w:ilvl="6">
      <w:start w:val="0"/>
      <w:numFmt w:val="bullet"/>
      <w:lvlText w:val="•"/>
      <w:lvlJc w:val="left"/>
      <w:pPr>
        <w:ind w:left="6032" w:hanging="360"/>
      </w:pPr>
      <w:rPr>
        <w:rFonts w:hint="default"/>
        <w:lang w:val="ru-RU" w:eastAsia="en-US" w:bidi="ar-SA"/>
      </w:rPr>
    </w:lvl>
    <w:lvl w:ilvl="7">
      <w:start w:val="0"/>
      <w:numFmt w:val="bullet"/>
      <w:lvlText w:val="•"/>
      <w:lvlJc w:val="left"/>
      <w:pPr>
        <w:ind w:left="6898" w:hanging="360"/>
      </w:pPr>
      <w:rPr>
        <w:rFonts w:hint="default"/>
        <w:lang w:val="ru-RU" w:eastAsia="en-US" w:bidi="ar-SA"/>
      </w:rPr>
    </w:lvl>
    <w:lvl w:ilvl="8">
      <w:start w:val="0"/>
      <w:numFmt w:val="bullet"/>
      <w:lvlText w:val="•"/>
      <w:lvlJc w:val="left"/>
      <w:pPr>
        <w:ind w:left="7765" w:hanging="360"/>
      </w:pPr>
      <w:rPr>
        <w:rFonts w:hint="default"/>
        <w:lang w:val="ru-RU" w:eastAsia="en-US" w:bidi="ar-SA"/>
      </w:rPr>
    </w:lvl>
  </w:abstractNum>
  <w:abstractNum w:abstractNumId="10">
    <w:multiLevelType w:val="hybridMultilevel"/>
    <w:lvl w:ilvl="0">
      <w:start w:val="0"/>
      <w:numFmt w:val="bullet"/>
      <w:lvlText w:val="●"/>
      <w:lvlJc w:val="left"/>
      <w:pPr>
        <w:ind w:left="1703" w:hanging="360"/>
      </w:pPr>
      <w:rPr>
        <w:rFonts w:hint="default" w:ascii="Calibri" w:hAnsi="Calibri" w:eastAsia="Calibri" w:cs="Calibri"/>
        <w:b w:val="0"/>
        <w:bCs w:val="0"/>
        <w:i w:val="0"/>
        <w:iCs w:val="0"/>
        <w:spacing w:val="0"/>
        <w:w w:val="100"/>
        <w:sz w:val="28"/>
        <w:szCs w:val="28"/>
        <w:lang w:val="ru-RU" w:eastAsia="en-US" w:bidi="ar-SA"/>
      </w:rPr>
    </w:lvl>
    <w:lvl w:ilvl="1">
      <w:start w:val="0"/>
      <w:numFmt w:val="bullet"/>
      <w:lvlText w:val="•"/>
      <w:lvlJc w:val="left"/>
      <w:pPr>
        <w:ind w:left="2479" w:hanging="360"/>
      </w:pPr>
      <w:rPr>
        <w:rFonts w:hint="default"/>
        <w:lang w:val="ru-RU" w:eastAsia="en-US" w:bidi="ar-SA"/>
      </w:rPr>
    </w:lvl>
    <w:lvl w:ilvl="2">
      <w:start w:val="0"/>
      <w:numFmt w:val="bullet"/>
      <w:lvlText w:val="•"/>
      <w:lvlJc w:val="left"/>
      <w:pPr>
        <w:ind w:left="3259" w:hanging="360"/>
      </w:pPr>
      <w:rPr>
        <w:rFonts w:hint="default"/>
        <w:lang w:val="ru-RU" w:eastAsia="en-US" w:bidi="ar-SA"/>
      </w:rPr>
    </w:lvl>
    <w:lvl w:ilvl="3">
      <w:start w:val="0"/>
      <w:numFmt w:val="bullet"/>
      <w:lvlText w:val="•"/>
      <w:lvlJc w:val="left"/>
      <w:pPr>
        <w:ind w:left="4039" w:hanging="360"/>
      </w:pPr>
      <w:rPr>
        <w:rFonts w:hint="default"/>
        <w:lang w:val="ru-RU" w:eastAsia="en-US" w:bidi="ar-SA"/>
      </w:rPr>
    </w:lvl>
    <w:lvl w:ilvl="4">
      <w:start w:val="0"/>
      <w:numFmt w:val="bullet"/>
      <w:lvlText w:val="•"/>
      <w:lvlJc w:val="left"/>
      <w:pPr>
        <w:ind w:left="4819" w:hanging="360"/>
      </w:pPr>
      <w:rPr>
        <w:rFonts w:hint="default"/>
        <w:lang w:val="ru-RU" w:eastAsia="en-US" w:bidi="ar-SA"/>
      </w:rPr>
    </w:lvl>
    <w:lvl w:ilvl="5">
      <w:start w:val="0"/>
      <w:numFmt w:val="bullet"/>
      <w:lvlText w:val="•"/>
      <w:lvlJc w:val="left"/>
      <w:pPr>
        <w:ind w:left="5599" w:hanging="360"/>
      </w:pPr>
      <w:rPr>
        <w:rFonts w:hint="default"/>
        <w:lang w:val="ru-RU" w:eastAsia="en-US" w:bidi="ar-SA"/>
      </w:rPr>
    </w:lvl>
    <w:lvl w:ilvl="6">
      <w:start w:val="0"/>
      <w:numFmt w:val="bullet"/>
      <w:lvlText w:val="•"/>
      <w:lvlJc w:val="left"/>
      <w:pPr>
        <w:ind w:left="6379" w:hanging="360"/>
      </w:pPr>
      <w:rPr>
        <w:rFonts w:hint="default"/>
        <w:lang w:val="ru-RU" w:eastAsia="en-US" w:bidi="ar-SA"/>
      </w:rPr>
    </w:lvl>
    <w:lvl w:ilvl="7">
      <w:start w:val="0"/>
      <w:numFmt w:val="bullet"/>
      <w:lvlText w:val="•"/>
      <w:lvlJc w:val="left"/>
      <w:pPr>
        <w:ind w:left="7158" w:hanging="360"/>
      </w:pPr>
      <w:rPr>
        <w:rFonts w:hint="default"/>
        <w:lang w:val="ru-RU" w:eastAsia="en-US" w:bidi="ar-SA"/>
      </w:rPr>
    </w:lvl>
    <w:lvl w:ilvl="8">
      <w:start w:val="0"/>
      <w:numFmt w:val="bullet"/>
      <w:lvlText w:val="•"/>
      <w:lvlJc w:val="left"/>
      <w:pPr>
        <w:ind w:left="7938" w:hanging="360"/>
      </w:pPr>
      <w:rPr>
        <w:rFonts w:hint="default"/>
        <w:lang w:val="ru-RU" w:eastAsia="en-US" w:bidi="ar-SA"/>
      </w:rPr>
    </w:lvl>
  </w:abstractNum>
  <w:abstractNum w:abstractNumId="9">
    <w:multiLevelType w:val="hybridMultilevel"/>
    <w:lvl w:ilvl="0">
      <w:start w:val="1"/>
      <w:numFmt w:val="decimal"/>
      <w:lvlText w:val="%1."/>
      <w:lvlJc w:val="left"/>
      <w:pPr>
        <w:ind w:left="710" w:hanging="7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597" w:hanging="708"/>
      </w:pPr>
      <w:rPr>
        <w:rFonts w:hint="default"/>
        <w:lang w:val="ru-RU" w:eastAsia="en-US" w:bidi="ar-SA"/>
      </w:rPr>
    </w:lvl>
    <w:lvl w:ilvl="2">
      <w:start w:val="0"/>
      <w:numFmt w:val="bullet"/>
      <w:lvlText w:val="•"/>
      <w:lvlJc w:val="left"/>
      <w:pPr>
        <w:ind w:left="2475" w:hanging="708"/>
      </w:pPr>
      <w:rPr>
        <w:rFonts w:hint="default"/>
        <w:lang w:val="ru-RU" w:eastAsia="en-US" w:bidi="ar-SA"/>
      </w:rPr>
    </w:lvl>
    <w:lvl w:ilvl="3">
      <w:start w:val="0"/>
      <w:numFmt w:val="bullet"/>
      <w:lvlText w:val="•"/>
      <w:lvlJc w:val="left"/>
      <w:pPr>
        <w:ind w:left="3353" w:hanging="708"/>
      </w:pPr>
      <w:rPr>
        <w:rFonts w:hint="default"/>
        <w:lang w:val="ru-RU" w:eastAsia="en-US" w:bidi="ar-SA"/>
      </w:rPr>
    </w:lvl>
    <w:lvl w:ilvl="4">
      <w:start w:val="0"/>
      <w:numFmt w:val="bullet"/>
      <w:lvlText w:val="•"/>
      <w:lvlJc w:val="left"/>
      <w:pPr>
        <w:ind w:left="4231" w:hanging="708"/>
      </w:pPr>
      <w:rPr>
        <w:rFonts w:hint="default"/>
        <w:lang w:val="ru-RU" w:eastAsia="en-US" w:bidi="ar-SA"/>
      </w:rPr>
    </w:lvl>
    <w:lvl w:ilvl="5">
      <w:start w:val="0"/>
      <w:numFmt w:val="bullet"/>
      <w:lvlText w:val="•"/>
      <w:lvlJc w:val="left"/>
      <w:pPr>
        <w:ind w:left="5109" w:hanging="708"/>
      </w:pPr>
      <w:rPr>
        <w:rFonts w:hint="default"/>
        <w:lang w:val="ru-RU" w:eastAsia="en-US" w:bidi="ar-SA"/>
      </w:rPr>
    </w:lvl>
    <w:lvl w:ilvl="6">
      <w:start w:val="0"/>
      <w:numFmt w:val="bullet"/>
      <w:lvlText w:val="•"/>
      <w:lvlJc w:val="left"/>
      <w:pPr>
        <w:ind w:left="5987" w:hanging="708"/>
      </w:pPr>
      <w:rPr>
        <w:rFonts w:hint="default"/>
        <w:lang w:val="ru-RU" w:eastAsia="en-US" w:bidi="ar-SA"/>
      </w:rPr>
    </w:lvl>
    <w:lvl w:ilvl="7">
      <w:start w:val="0"/>
      <w:numFmt w:val="bullet"/>
      <w:lvlText w:val="•"/>
      <w:lvlJc w:val="left"/>
      <w:pPr>
        <w:ind w:left="6864" w:hanging="708"/>
      </w:pPr>
      <w:rPr>
        <w:rFonts w:hint="default"/>
        <w:lang w:val="ru-RU" w:eastAsia="en-US" w:bidi="ar-SA"/>
      </w:rPr>
    </w:lvl>
    <w:lvl w:ilvl="8">
      <w:start w:val="0"/>
      <w:numFmt w:val="bullet"/>
      <w:lvlText w:val="•"/>
      <w:lvlJc w:val="left"/>
      <w:pPr>
        <w:ind w:left="7742" w:hanging="708"/>
      </w:pPr>
      <w:rPr>
        <w:rFonts w:hint="default"/>
        <w:lang w:val="ru-RU" w:eastAsia="en-US" w:bidi="ar-SA"/>
      </w:rPr>
    </w:lvl>
  </w:abstractNum>
  <w:abstractNum w:abstractNumId="8">
    <w:multiLevelType w:val="hybridMultilevel"/>
    <w:lvl w:ilvl="0">
      <w:start w:val="1"/>
      <w:numFmt w:val="decimal"/>
      <w:lvlText w:val="%1."/>
      <w:lvlJc w:val="left"/>
      <w:pPr>
        <w:ind w:left="1418" w:hanging="708"/>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1"/>
      <w:numFmt w:val="decimal"/>
      <w:lvlText w:val="%2."/>
      <w:lvlJc w:val="left"/>
      <w:pPr>
        <w:ind w:left="710" w:hanging="7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317" w:hanging="708"/>
      </w:pPr>
      <w:rPr>
        <w:rFonts w:hint="default"/>
        <w:lang w:val="ru-RU" w:eastAsia="en-US" w:bidi="ar-SA"/>
      </w:rPr>
    </w:lvl>
    <w:lvl w:ilvl="3">
      <w:start w:val="0"/>
      <w:numFmt w:val="bullet"/>
      <w:lvlText w:val="•"/>
      <w:lvlJc w:val="left"/>
      <w:pPr>
        <w:ind w:left="3215" w:hanging="708"/>
      </w:pPr>
      <w:rPr>
        <w:rFonts w:hint="default"/>
        <w:lang w:val="ru-RU" w:eastAsia="en-US" w:bidi="ar-SA"/>
      </w:rPr>
    </w:lvl>
    <w:lvl w:ilvl="4">
      <w:start w:val="0"/>
      <w:numFmt w:val="bullet"/>
      <w:lvlText w:val="•"/>
      <w:lvlJc w:val="left"/>
      <w:pPr>
        <w:ind w:left="4112" w:hanging="708"/>
      </w:pPr>
      <w:rPr>
        <w:rFonts w:hint="default"/>
        <w:lang w:val="ru-RU" w:eastAsia="en-US" w:bidi="ar-SA"/>
      </w:rPr>
    </w:lvl>
    <w:lvl w:ilvl="5">
      <w:start w:val="0"/>
      <w:numFmt w:val="bullet"/>
      <w:lvlText w:val="•"/>
      <w:lvlJc w:val="left"/>
      <w:pPr>
        <w:ind w:left="5010" w:hanging="708"/>
      </w:pPr>
      <w:rPr>
        <w:rFonts w:hint="default"/>
        <w:lang w:val="ru-RU" w:eastAsia="en-US" w:bidi="ar-SA"/>
      </w:rPr>
    </w:lvl>
    <w:lvl w:ilvl="6">
      <w:start w:val="0"/>
      <w:numFmt w:val="bullet"/>
      <w:lvlText w:val="•"/>
      <w:lvlJc w:val="left"/>
      <w:pPr>
        <w:ind w:left="5908" w:hanging="708"/>
      </w:pPr>
      <w:rPr>
        <w:rFonts w:hint="default"/>
        <w:lang w:val="ru-RU" w:eastAsia="en-US" w:bidi="ar-SA"/>
      </w:rPr>
    </w:lvl>
    <w:lvl w:ilvl="7">
      <w:start w:val="0"/>
      <w:numFmt w:val="bullet"/>
      <w:lvlText w:val="•"/>
      <w:lvlJc w:val="left"/>
      <w:pPr>
        <w:ind w:left="6805" w:hanging="708"/>
      </w:pPr>
      <w:rPr>
        <w:rFonts w:hint="default"/>
        <w:lang w:val="ru-RU" w:eastAsia="en-US" w:bidi="ar-SA"/>
      </w:rPr>
    </w:lvl>
    <w:lvl w:ilvl="8">
      <w:start w:val="0"/>
      <w:numFmt w:val="bullet"/>
      <w:lvlText w:val="•"/>
      <w:lvlJc w:val="left"/>
      <w:pPr>
        <w:ind w:left="7703" w:hanging="708"/>
      </w:pPr>
      <w:rPr>
        <w:rFonts w:hint="default"/>
        <w:lang w:val="ru-RU" w:eastAsia="en-US" w:bidi="ar-SA"/>
      </w:rPr>
    </w:lvl>
  </w:abstractNum>
  <w:abstractNum w:abstractNumId="7">
    <w:multiLevelType w:val="hybridMultilevel"/>
    <w:lvl w:ilvl="0">
      <w:start w:val="0"/>
      <w:numFmt w:val="bullet"/>
      <w:lvlText w:val="-"/>
      <w:lvlJc w:val="left"/>
      <w:pPr>
        <w:ind w:left="56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1"/>
      <w:numFmt w:val="decimal"/>
      <w:lvlText w:val="%2."/>
      <w:lvlJc w:val="left"/>
      <w:pPr>
        <w:ind w:left="1418" w:hanging="7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317" w:hanging="708"/>
      </w:pPr>
      <w:rPr>
        <w:rFonts w:hint="default"/>
        <w:lang w:val="ru-RU" w:eastAsia="en-US" w:bidi="ar-SA"/>
      </w:rPr>
    </w:lvl>
    <w:lvl w:ilvl="3">
      <w:start w:val="0"/>
      <w:numFmt w:val="bullet"/>
      <w:lvlText w:val="•"/>
      <w:lvlJc w:val="left"/>
      <w:pPr>
        <w:ind w:left="3215" w:hanging="708"/>
      </w:pPr>
      <w:rPr>
        <w:rFonts w:hint="default"/>
        <w:lang w:val="ru-RU" w:eastAsia="en-US" w:bidi="ar-SA"/>
      </w:rPr>
    </w:lvl>
    <w:lvl w:ilvl="4">
      <w:start w:val="0"/>
      <w:numFmt w:val="bullet"/>
      <w:lvlText w:val="•"/>
      <w:lvlJc w:val="left"/>
      <w:pPr>
        <w:ind w:left="4112" w:hanging="708"/>
      </w:pPr>
      <w:rPr>
        <w:rFonts w:hint="default"/>
        <w:lang w:val="ru-RU" w:eastAsia="en-US" w:bidi="ar-SA"/>
      </w:rPr>
    </w:lvl>
    <w:lvl w:ilvl="5">
      <w:start w:val="0"/>
      <w:numFmt w:val="bullet"/>
      <w:lvlText w:val="•"/>
      <w:lvlJc w:val="left"/>
      <w:pPr>
        <w:ind w:left="5010" w:hanging="708"/>
      </w:pPr>
      <w:rPr>
        <w:rFonts w:hint="default"/>
        <w:lang w:val="ru-RU" w:eastAsia="en-US" w:bidi="ar-SA"/>
      </w:rPr>
    </w:lvl>
    <w:lvl w:ilvl="6">
      <w:start w:val="0"/>
      <w:numFmt w:val="bullet"/>
      <w:lvlText w:val="•"/>
      <w:lvlJc w:val="left"/>
      <w:pPr>
        <w:ind w:left="5908" w:hanging="708"/>
      </w:pPr>
      <w:rPr>
        <w:rFonts w:hint="default"/>
        <w:lang w:val="ru-RU" w:eastAsia="en-US" w:bidi="ar-SA"/>
      </w:rPr>
    </w:lvl>
    <w:lvl w:ilvl="7">
      <w:start w:val="0"/>
      <w:numFmt w:val="bullet"/>
      <w:lvlText w:val="•"/>
      <w:lvlJc w:val="left"/>
      <w:pPr>
        <w:ind w:left="6805" w:hanging="708"/>
      </w:pPr>
      <w:rPr>
        <w:rFonts w:hint="default"/>
        <w:lang w:val="ru-RU" w:eastAsia="en-US" w:bidi="ar-SA"/>
      </w:rPr>
    </w:lvl>
    <w:lvl w:ilvl="8">
      <w:start w:val="0"/>
      <w:numFmt w:val="bullet"/>
      <w:lvlText w:val="•"/>
      <w:lvlJc w:val="left"/>
      <w:pPr>
        <w:ind w:left="7703" w:hanging="708"/>
      </w:pPr>
      <w:rPr>
        <w:rFonts w:hint="default"/>
        <w:lang w:val="ru-RU" w:eastAsia="en-US" w:bidi="ar-SA"/>
      </w:rPr>
    </w:lvl>
  </w:abstractNum>
  <w:abstractNum w:abstractNumId="6">
    <w:multiLevelType w:val="hybridMultilevel"/>
    <w:lvl w:ilvl="0">
      <w:start w:val="0"/>
      <w:numFmt w:val="bullet"/>
      <w:lvlText w:val="-"/>
      <w:lvlJc w:val="left"/>
      <w:pPr>
        <w:ind w:left="226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3403" w:hanging="360"/>
      </w:pPr>
      <w:rPr>
        <w:rFonts w:hint="default" w:ascii="Calibri" w:hAnsi="Calibri" w:eastAsia="Calibri" w:cs="Calibri"/>
        <w:b w:val="0"/>
        <w:bCs w:val="0"/>
        <w:i w:val="0"/>
        <w:iCs w:val="0"/>
        <w:spacing w:val="0"/>
        <w:w w:val="100"/>
        <w:sz w:val="28"/>
        <w:szCs w:val="28"/>
        <w:lang w:val="ru-RU" w:eastAsia="en-US" w:bidi="ar-SA"/>
      </w:rPr>
    </w:lvl>
    <w:lvl w:ilvl="2">
      <w:start w:val="0"/>
      <w:numFmt w:val="bullet"/>
      <w:lvlText w:val="•"/>
      <w:lvlJc w:val="left"/>
      <w:pPr>
        <w:ind w:left="4345" w:hanging="360"/>
      </w:pPr>
      <w:rPr>
        <w:rFonts w:hint="default"/>
        <w:lang w:val="ru-RU" w:eastAsia="en-US" w:bidi="ar-SA"/>
      </w:rPr>
    </w:lvl>
    <w:lvl w:ilvl="3">
      <w:start w:val="0"/>
      <w:numFmt w:val="bullet"/>
      <w:lvlText w:val="•"/>
      <w:lvlJc w:val="left"/>
      <w:pPr>
        <w:ind w:left="5290" w:hanging="360"/>
      </w:pPr>
      <w:rPr>
        <w:rFonts w:hint="default"/>
        <w:lang w:val="ru-RU" w:eastAsia="en-US" w:bidi="ar-SA"/>
      </w:rPr>
    </w:lvl>
    <w:lvl w:ilvl="4">
      <w:start w:val="0"/>
      <w:numFmt w:val="bullet"/>
      <w:lvlText w:val="•"/>
      <w:lvlJc w:val="left"/>
      <w:pPr>
        <w:ind w:left="6235" w:hanging="360"/>
      </w:pPr>
      <w:rPr>
        <w:rFonts w:hint="default"/>
        <w:lang w:val="ru-RU" w:eastAsia="en-US" w:bidi="ar-SA"/>
      </w:rPr>
    </w:lvl>
    <w:lvl w:ilvl="5">
      <w:start w:val="0"/>
      <w:numFmt w:val="bullet"/>
      <w:lvlText w:val="•"/>
      <w:lvlJc w:val="left"/>
      <w:pPr>
        <w:ind w:left="7180" w:hanging="360"/>
      </w:pPr>
      <w:rPr>
        <w:rFonts w:hint="default"/>
        <w:lang w:val="ru-RU" w:eastAsia="en-US" w:bidi="ar-SA"/>
      </w:rPr>
    </w:lvl>
    <w:lvl w:ilvl="6">
      <w:start w:val="0"/>
      <w:numFmt w:val="bullet"/>
      <w:lvlText w:val="•"/>
      <w:lvlJc w:val="left"/>
      <w:pPr>
        <w:ind w:left="8125" w:hanging="360"/>
      </w:pPr>
      <w:rPr>
        <w:rFonts w:hint="default"/>
        <w:lang w:val="ru-RU" w:eastAsia="en-US" w:bidi="ar-SA"/>
      </w:rPr>
    </w:lvl>
    <w:lvl w:ilvl="7">
      <w:start w:val="0"/>
      <w:numFmt w:val="bullet"/>
      <w:lvlText w:val="•"/>
      <w:lvlJc w:val="left"/>
      <w:pPr>
        <w:ind w:left="9070" w:hanging="360"/>
      </w:pPr>
      <w:rPr>
        <w:rFonts w:hint="default"/>
        <w:lang w:val="ru-RU" w:eastAsia="en-US" w:bidi="ar-SA"/>
      </w:rPr>
    </w:lvl>
    <w:lvl w:ilvl="8">
      <w:start w:val="0"/>
      <w:numFmt w:val="bullet"/>
      <w:lvlText w:val="•"/>
      <w:lvlJc w:val="left"/>
      <w:pPr>
        <w:ind w:left="10016" w:hanging="360"/>
      </w:pPr>
      <w:rPr>
        <w:rFonts w:hint="default"/>
        <w:lang w:val="ru-RU" w:eastAsia="en-US" w:bidi="ar-SA"/>
      </w:rPr>
    </w:lvl>
  </w:abstractNum>
  <w:abstractNum w:abstractNumId="5">
    <w:multiLevelType w:val="hybridMultilevel"/>
    <w:lvl w:ilvl="0">
      <w:start w:val="0"/>
      <w:numFmt w:val="bullet"/>
      <w:lvlText w:val="●"/>
      <w:lvlJc w:val="left"/>
      <w:pPr>
        <w:ind w:left="3403" w:hanging="360"/>
      </w:pPr>
      <w:rPr>
        <w:rFonts w:hint="default" w:ascii="Calibri" w:hAnsi="Calibri" w:eastAsia="Calibri" w:cs="Calibri"/>
        <w:b w:val="0"/>
        <w:bCs w:val="0"/>
        <w:i w:val="0"/>
        <w:iCs w:val="0"/>
        <w:spacing w:val="0"/>
        <w:w w:val="100"/>
        <w:sz w:val="28"/>
        <w:szCs w:val="28"/>
        <w:lang w:val="ru-RU" w:eastAsia="en-US" w:bidi="ar-SA"/>
      </w:rPr>
    </w:lvl>
    <w:lvl w:ilvl="1">
      <w:start w:val="0"/>
      <w:numFmt w:val="bullet"/>
      <w:lvlText w:val="•"/>
      <w:lvlJc w:val="left"/>
      <w:pPr>
        <w:ind w:left="4250" w:hanging="360"/>
      </w:pPr>
      <w:rPr>
        <w:rFonts w:hint="default"/>
        <w:lang w:val="ru-RU" w:eastAsia="en-US" w:bidi="ar-SA"/>
      </w:rPr>
    </w:lvl>
    <w:lvl w:ilvl="2">
      <w:start w:val="0"/>
      <w:numFmt w:val="bullet"/>
      <w:lvlText w:val="•"/>
      <w:lvlJc w:val="left"/>
      <w:pPr>
        <w:ind w:left="5101" w:hanging="360"/>
      </w:pPr>
      <w:rPr>
        <w:rFonts w:hint="default"/>
        <w:lang w:val="ru-RU" w:eastAsia="en-US" w:bidi="ar-SA"/>
      </w:rPr>
    </w:lvl>
    <w:lvl w:ilvl="3">
      <w:start w:val="0"/>
      <w:numFmt w:val="bullet"/>
      <w:lvlText w:val="•"/>
      <w:lvlJc w:val="left"/>
      <w:pPr>
        <w:ind w:left="5951" w:hanging="360"/>
      </w:pPr>
      <w:rPr>
        <w:rFonts w:hint="default"/>
        <w:lang w:val="ru-RU" w:eastAsia="en-US" w:bidi="ar-SA"/>
      </w:rPr>
    </w:lvl>
    <w:lvl w:ilvl="4">
      <w:start w:val="0"/>
      <w:numFmt w:val="bullet"/>
      <w:lvlText w:val="•"/>
      <w:lvlJc w:val="left"/>
      <w:pPr>
        <w:ind w:left="6802" w:hanging="360"/>
      </w:pPr>
      <w:rPr>
        <w:rFonts w:hint="default"/>
        <w:lang w:val="ru-RU" w:eastAsia="en-US" w:bidi="ar-SA"/>
      </w:rPr>
    </w:lvl>
    <w:lvl w:ilvl="5">
      <w:start w:val="0"/>
      <w:numFmt w:val="bullet"/>
      <w:lvlText w:val="•"/>
      <w:lvlJc w:val="left"/>
      <w:pPr>
        <w:ind w:left="7653" w:hanging="360"/>
      </w:pPr>
      <w:rPr>
        <w:rFonts w:hint="default"/>
        <w:lang w:val="ru-RU" w:eastAsia="en-US" w:bidi="ar-SA"/>
      </w:rPr>
    </w:lvl>
    <w:lvl w:ilvl="6">
      <w:start w:val="0"/>
      <w:numFmt w:val="bullet"/>
      <w:lvlText w:val="•"/>
      <w:lvlJc w:val="left"/>
      <w:pPr>
        <w:ind w:left="8503" w:hanging="360"/>
      </w:pPr>
      <w:rPr>
        <w:rFonts w:hint="default"/>
        <w:lang w:val="ru-RU" w:eastAsia="en-US" w:bidi="ar-SA"/>
      </w:rPr>
    </w:lvl>
    <w:lvl w:ilvl="7">
      <w:start w:val="0"/>
      <w:numFmt w:val="bullet"/>
      <w:lvlText w:val="•"/>
      <w:lvlJc w:val="left"/>
      <w:pPr>
        <w:ind w:left="9354" w:hanging="360"/>
      </w:pPr>
      <w:rPr>
        <w:rFonts w:hint="default"/>
        <w:lang w:val="ru-RU" w:eastAsia="en-US" w:bidi="ar-SA"/>
      </w:rPr>
    </w:lvl>
    <w:lvl w:ilvl="8">
      <w:start w:val="0"/>
      <w:numFmt w:val="bullet"/>
      <w:lvlText w:val="•"/>
      <w:lvlJc w:val="left"/>
      <w:pPr>
        <w:ind w:left="10205" w:hanging="360"/>
      </w:pPr>
      <w:rPr>
        <w:rFonts w:hint="default"/>
        <w:lang w:val="ru-RU" w:eastAsia="en-US" w:bidi="ar-SA"/>
      </w:rPr>
    </w:lvl>
  </w:abstractNum>
  <w:abstractNum w:abstractNumId="4">
    <w:multiLevelType w:val="hybridMultilevel"/>
    <w:lvl w:ilvl="0">
      <w:start w:val="1"/>
      <w:numFmt w:val="decimal"/>
      <w:lvlText w:val="%1."/>
      <w:lvlJc w:val="left"/>
      <w:pPr>
        <w:ind w:left="2422" w:hanging="360"/>
        <w:jc w:val="left"/>
      </w:pPr>
      <w:rPr>
        <w:rFonts w:hint="default" w:ascii="Times New Roman" w:hAnsi="Times New Roman" w:eastAsia="Times New Roman" w:cs="Times New Roman"/>
        <w:b w:val="0"/>
        <w:bCs w:val="0"/>
        <w:i w:val="0"/>
        <w:iCs w:val="0"/>
        <w:spacing w:val="0"/>
        <w:w w:val="96"/>
        <w:sz w:val="28"/>
        <w:szCs w:val="28"/>
        <w:lang w:val="ru-RU" w:eastAsia="en-US" w:bidi="ar-SA"/>
      </w:rPr>
    </w:lvl>
    <w:lvl w:ilvl="1">
      <w:start w:val="0"/>
      <w:numFmt w:val="bullet"/>
      <w:lvlText w:val="•"/>
      <w:lvlJc w:val="left"/>
      <w:pPr>
        <w:ind w:left="3368" w:hanging="360"/>
      </w:pPr>
      <w:rPr>
        <w:rFonts w:hint="default"/>
        <w:lang w:val="ru-RU" w:eastAsia="en-US" w:bidi="ar-SA"/>
      </w:rPr>
    </w:lvl>
    <w:lvl w:ilvl="2">
      <w:start w:val="0"/>
      <w:numFmt w:val="bullet"/>
      <w:lvlText w:val="•"/>
      <w:lvlJc w:val="left"/>
      <w:pPr>
        <w:ind w:left="4317" w:hanging="360"/>
      </w:pPr>
      <w:rPr>
        <w:rFonts w:hint="default"/>
        <w:lang w:val="ru-RU" w:eastAsia="en-US" w:bidi="ar-SA"/>
      </w:rPr>
    </w:lvl>
    <w:lvl w:ilvl="3">
      <w:start w:val="0"/>
      <w:numFmt w:val="bullet"/>
      <w:lvlText w:val="•"/>
      <w:lvlJc w:val="left"/>
      <w:pPr>
        <w:ind w:left="5265" w:hanging="360"/>
      </w:pPr>
      <w:rPr>
        <w:rFonts w:hint="default"/>
        <w:lang w:val="ru-RU" w:eastAsia="en-US" w:bidi="ar-SA"/>
      </w:rPr>
    </w:lvl>
    <w:lvl w:ilvl="4">
      <w:start w:val="0"/>
      <w:numFmt w:val="bullet"/>
      <w:lvlText w:val="•"/>
      <w:lvlJc w:val="left"/>
      <w:pPr>
        <w:ind w:left="6214" w:hanging="360"/>
      </w:pPr>
      <w:rPr>
        <w:rFonts w:hint="default"/>
        <w:lang w:val="ru-RU" w:eastAsia="en-US" w:bidi="ar-SA"/>
      </w:rPr>
    </w:lvl>
    <w:lvl w:ilvl="5">
      <w:start w:val="0"/>
      <w:numFmt w:val="bullet"/>
      <w:lvlText w:val="•"/>
      <w:lvlJc w:val="left"/>
      <w:pPr>
        <w:ind w:left="7163" w:hanging="360"/>
      </w:pPr>
      <w:rPr>
        <w:rFonts w:hint="default"/>
        <w:lang w:val="ru-RU" w:eastAsia="en-US" w:bidi="ar-SA"/>
      </w:rPr>
    </w:lvl>
    <w:lvl w:ilvl="6">
      <w:start w:val="0"/>
      <w:numFmt w:val="bullet"/>
      <w:lvlText w:val="•"/>
      <w:lvlJc w:val="left"/>
      <w:pPr>
        <w:ind w:left="8111" w:hanging="360"/>
      </w:pPr>
      <w:rPr>
        <w:rFonts w:hint="default"/>
        <w:lang w:val="ru-RU" w:eastAsia="en-US" w:bidi="ar-SA"/>
      </w:rPr>
    </w:lvl>
    <w:lvl w:ilvl="7">
      <w:start w:val="0"/>
      <w:numFmt w:val="bullet"/>
      <w:lvlText w:val="•"/>
      <w:lvlJc w:val="left"/>
      <w:pPr>
        <w:ind w:left="9060" w:hanging="360"/>
      </w:pPr>
      <w:rPr>
        <w:rFonts w:hint="default"/>
        <w:lang w:val="ru-RU" w:eastAsia="en-US" w:bidi="ar-SA"/>
      </w:rPr>
    </w:lvl>
    <w:lvl w:ilvl="8">
      <w:start w:val="0"/>
      <w:numFmt w:val="bullet"/>
      <w:lvlText w:val="•"/>
      <w:lvlJc w:val="left"/>
      <w:pPr>
        <w:ind w:left="10009" w:hanging="360"/>
      </w:pPr>
      <w:rPr>
        <w:rFonts w:hint="default"/>
        <w:lang w:val="ru-RU" w:eastAsia="en-US" w:bidi="ar-SA"/>
      </w:rPr>
    </w:lvl>
  </w:abstractNum>
  <w:abstractNum w:abstractNumId="3">
    <w:multiLevelType w:val="hybridMultilevel"/>
    <w:lvl w:ilvl="0">
      <w:start w:val="0"/>
      <w:numFmt w:val="bullet"/>
      <w:lvlText w:val=""/>
      <w:lvlJc w:val="left"/>
      <w:pPr>
        <w:ind w:left="2988"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3872" w:hanging="360"/>
      </w:pPr>
      <w:rPr>
        <w:rFonts w:hint="default"/>
        <w:lang w:val="ru-RU" w:eastAsia="en-US" w:bidi="ar-SA"/>
      </w:rPr>
    </w:lvl>
    <w:lvl w:ilvl="2">
      <w:start w:val="0"/>
      <w:numFmt w:val="bullet"/>
      <w:lvlText w:val="•"/>
      <w:lvlJc w:val="left"/>
      <w:pPr>
        <w:ind w:left="4765" w:hanging="360"/>
      </w:pPr>
      <w:rPr>
        <w:rFonts w:hint="default"/>
        <w:lang w:val="ru-RU" w:eastAsia="en-US" w:bidi="ar-SA"/>
      </w:rPr>
    </w:lvl>
    <w:lvl w:ilvl="3">
      <w:start w:val="0"/>
      <w:numFmt w:val="bullet"/>
      <w:lvlText w:val="•"/>
      <w:lvlJc w:val="left"/>
      <w:pPr>
        <w:ind w:left="5657" w:hanging="360"/>
      </w:pPr>
      <w:rPr>
        <w:rFonts w:hint="default"/>
        <w:lang w:val="ru-RU" w:eastAsia="en-US" w:bidi="ar-SA"/>
      </w:rPr>
    </w:lvl>
    <w:lvl w:ilvl="4">
      <w:start w:val="0"/>
      <w:numFmt w:val="bullet"/>
      <w:lvlText w:val="•"/>
      <w:lvlJc w:val="left"/>
      <w:pPr>
        <w:ind w:left="6550" w:hanging="360"/>
      </w:pPr>
      <w:rPr>
        <w:rFonts w:hint="default"/>
        <w:lang w:val="ru-RU" w:eastAsia="en-US" w:bidi="ar-SA"/>
      </w:rPr>
    </w:lvl>
    <w:lvl w:ilvl="5">
      <w:start w:val="0"/>
      <w:numFmt w:val="bullet"/>
      <w:lvlText w:val="•"/>
      <w:lvlJc w:val="left"/>
      <w:pPr>
        <w:ind w:left="7443" w:hanging="360"/>
      </w:pPr>
      <w:rPr>
        <w:rFonts w:hint="default"/>
        <w:lang w:val="ru-RU" w:eastAsia="en-US" w:bidi="ar-SA"/>
      </w:rPr>
    </w:lvl>
    <w:lvl w:ilvl="6">
      <w:start w:val="0"/>
      <w:numFmt w:val="bullet"/>
      <w:lvlText w:val="•"/>
      <w:lvlJc w:val="left"/>
      <w:pPr>
        <w:ind w:left="8335" w:hanging="360"/>
      </w:pPr>
      <w:rPr>
        <w:rFonts w:hint="default"/>
        <w:lang w:val="ru-RU" w:eastAsia="en-US" w:bidi="ar-SA"/>
      </w:rPr>
    </w:lvl>
    <w:lvl w:ilvl="7">
      <w:start w:val="0"/>
      <w:numFmt w:val="bullet"/>
      <w:lvlText w:val="•"/>
      <w:lvlJc w:val="left"/>
      <w:pPr>
        <w:ind w:left="9228" w:hanging="360"/>
      </w:pPr>
      <w:rPr>
        <w:rFonts w:hint="default"/>
        <w:lang w:val="ru-RU" w:eastAsia="en-US" w:bidi="ar-SA"/>
      </w:rPr>
    </w:lvl>
    <w:lvl w:ilvl="8">
      <w:start w:val="0"/>
      <w:numFmt w:val="bullet"/>
      <w:lvlText w:val="•"/>
      <w:lvlJc w:val="left"/>
      <w:pPr>
        <w:ind w:left="10121" w:hanging="360"/>
      </w:pPr>
      <w:rPr>
        <w:rFonts w:hint="default"/>
        <w:lang w:val="ru-RU" w:eastAsia="en-US" w:bidi="ar-SA"/>
      </w:rPr>
    </w:lvl>
  </w:abstractNum>
  <w:abstractNum w:abstractNumId="2">
    <w:multiLevelType w:val="hybridMultilevel"/>
    <w:lvl w:ilvl="0">
      <w:start w:val="1"/>
      <w:numFmt w:val="decimal"/>
      <w:lvlText w:val="%1)"/>
      <w:lvlJc w:val="left"/>
      <w:pPr>
        <w:ind w:left="2573"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3512" w:hanging="305"/>
      </w:pPr>
      <w:rPr>
        <w:rFonts w:hint="default"/>
        <w:lang w:val="ru-RU" w:eastAsia="en-US" w:bidi="ar-SA"/>
      </w:rPr>
    </w:lvl>
    <w:lvl w:ilvl="2">
      <w:start w:val="0"/>
      <w:numFmt w:val="bullet"/>
      <w:lvlText w:val="•"/>
      <w:lvlJc w:val="left"/>
      <w:pPr>
        <w:ind w:left="4445" w:hanging="305"/>
      </w:pPr>
      <w:rPr>
        <w:rFonts w:hint="default"/>
        <w:lang w:val="ru-RU" w:eastAsia="en-US" w:bidi="ar-SA"/>
      </w:rPr>
    </w:lvl>
    <w:lvl w:ilvl="3">
      <w:start w:val="0"/>
      <w:numFmt w:val="bullet"/>
      <w:lvlText w:val="•"/>
      <w:lvlJc w:val="left"/>
      <w:pPr>
        <w:ind w:left="5377" w:hanging="305"/>
      </w:pPr>
      <w:rPr>
        <w:rFonts w:hint="default"/>
        <w:lang w:val="ru-RU" w:eastAsia="en-US" w:bidi="ar-SA"/>
      </w:rPr>
    </w:lvl>
    <w:lvl w:ilvl="4">
      <w:start w:val="0"/>
      <w:numFmt w:val="bullet"/>
      <w:lvlText w:val="•"/>
      <w:lvlJc w:val="left"/>
      <w:pPr>
        <w:ind w:left="6310" w:hanging="305"/>
      </w:pPr>
      <w:rPr>
        <w:rFonts w:hint="default"/>
        <w:lang w:val="ru-RU" w:eastAsia="en-US" w:bidi="ar-SA"/>
      </w:rPr>
    </w:lvl>
    <w:lvl w:ilvl="5">
      <w:start w:val="0"/>
      <w:numFmt w:val="bullet"/>
      <w:lvlText w:val="•"/>
      <w:lvlJc w:val="left"/>
      <w:pPr>
        <w:ind w:left="7243" w:hanging="305"/>
      </w:pPr>
      <w:rPr>
        <w:rFonts w:hint="default"/>
        <w:lang w:val="ru-RU" w:eastAsia="en-US" w:bidi="ar-SA"/>
      </w:rPr>
    </w:lvl>
    <w:lvl w:ilvl="6">
      <w:start w:val="0"/>
      <w:numFmt w:val="bullet"/>
      <w:lvlText w:val="•"/>
      <w:lvlJc w:val="left"/>
      <w:pPr>
        <w:ind w:left="8175" w:hanging="305"/>
      </w:pPr>
      <w:rPr>
        <w:rFonts w:hint="default"/>
        <w:lang w:val="ru-RU" w:eastAsia="en-US" w:bidi="ar-SA"/>
      </w:rPr>
    </w:lvl>
    <w:lvl w:ilvl="7">
      <w:start w:val="0"/>
      <w:numFmt w:val="bullet"/>
      <w:lvlText w:val="•"/>
      <w:lvlJc w:val="left"/>
      <w:pPr>
        <w:ind w:left="9108" w:hanging="305"/>
      </w:pPr>
      <w:rPr>
        <w:rFonts w:hint="default"/>
        <w:lang w:val="ru-RU" w:eastAsia="en-US" w:bidi="ar-SA"/>
      </w:rPr>
    </w:lvl>
    <w:lvl w:ilvl="8">
      <w:start w:val="0"/>
      <w:numFmt w:val="bullet"/>
      <w:lvlText w:val="•"/>
      <w:lvlJc w:val="left"/>
      <w:pPr>
        <w:ind w:left="10041" w:hanging="305"/>
      </w:pPr>
      <w:rPr>
        <w:rFonts w:hint="default"/>
        <w:lang w:val="ru-RU" w:eastAsia="en-US" w:bidi="ar-SA"/>
      </w:rPr>
    </w:lvl>
  </w:abstractNum>
  <w:abstractNum w:abstractNumId="1">
    <w:multiLevelType w:val="hybridMultilevel"/>
    <w:lvl w:ilvl="0">
      <w:start w:val="1"/>
      <w:numFmt w:val="decimal"/>
      <w:lvlText w:val="%1)"/>
      <w:lvlJc w:val="left"/>
      <w:pPr>
        <w:ind w:left="1702" w:hanging="38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1"/>
      <w:numFmt w:val="decimal"/>
      <w:lvlText w:val="%2."/>
      <w:lvlJc w:val="left"/>
      <w:pPr>
        <w:ind w:left="3826" w:hanging="488"/>
        <w:jc w:val="left"/>
      </w:pPr>
      <w:rPr>
        <w:rFonts w:hint="default" w:ascii="Times New Roman" w:hAnsi="Times New Roman" w:eastAsia="Times New Roman" w:cs="Times New Roman"/>
        <w:b w:val="0"/>
        <w:bCs w:val="0"/>
        <w:i/>
        <w:iCs/>
        <w:spacing w:val="0"/>
        <w:w w:val="100"/>
        <w:sz w:val="28"/>
        <w:szCs w:val="28"/>
        <w:lang w:val="ru-RU" w:eastAsia="en-US" w:bidi="ar-SA"/>
      </w:rPr>
    </w:lvl>
    <w:lvl w:ilvl="2">
      <w:start w:val="0"/>
      <w:numFmt w:val="bullet"/>
      <w:lvlText w:val="•"/>
      <w:lvlJc w:val="left"/>
      <w:pPr>
        <w:ind w:left="4718" w:hanging="488"/>
      </w:pPr>
      <w:rPr>
        <w:rFonts w:hint="default"/>
        <w:lang w:val="ru-RU" w:eastAsia="en-US" w:bidi="ar-SA"/>
      </w:rPr>
    </w:lvl>
    <w:lvl w:ilvl="3">
      <w:start w:val="0"/>
      <w:numFmt w:val="bullet"/>
      <w:lvlText w:val="•"/>
      <w:lvlJc w:val="left"/>
      <w:pPr>
        <w:ind w:left="5616" w:hanging="488"/>
      </w:pPr>
      <w:rPr>
        <w:rFonts w:hint="default"/>
        <w:lang w:val="ru-RU" w:eastAsia="en-US" w:bidi="ar-SA"/>
      </w:rPr>
    </w:lvl>
    <w:lvl w:ilvl="4">
      <w:start w:val="0"/>
      <w:numFmt w:val="bullet"/>
      <w:lvlText w:val="•"/>
      <w:lvlJc w:val="left"/>
      <w:pPr>
        <w:ind w:left="6515" w:hanging="488"/>
      </w:pPr>
      <w:rPr>
        <w:rFonts w:hint="default"/>
        <w:lang w:val="ru-RU" w:eastAsia="en-US" w:bidi="ar-SA"/>
      </w:rPr>
    </w:lvl>
    <w:lvl w:ilvl="5">
      <w:start w:val="0"/>
      <w:numFmt w:val="bullet"/>
      <w:lvlText w:val="•"/>
      <w:lvlJc w:val="left"/>
      <w:pPr>
        <w:ind w:left="7413" w:hanging="488"/>
      </w:pPr>
      <w:rPr>
        <w:rFonts w:hint="default"/>
        <w:lang w:val="ru-RU" w:eastAsia="en-US" w:bidi="ar-SA"/>
      </w:rPr>
    </w:lvl>
    <w:lvl w:ilvl="6">
      <w:start w:val="0"/>
      <w:numFmt w:val="bullet"/>
      <w:lvlText w:val="•"/>
      <w:lvlJc w:val="left"/>
      <w:pPr>
        <w:ind w:left="8312" w:hanging="488"/>
      </w:pPr>
      <w:rPr>
        <w:rFonts w:hint="default"/>
        <w:lang w:val="ru-RU" w:eastAsia="en-US" w:bidi="ar-SA"/>
      </w:rPr>
    </w:lvl>
    <w:lvl w:ilvl="7">
      <w:start w:val="0"/>
      <w:numFmt w:val="bullet"/>
      <w:lvlText w:val="•"/>
      <w:lvlJc w:val="left"/>
      <w:pPr>
        <w:ind w:left="9210" w:hanging="488"/>
      </w:pPr>
      <w:rPr>
        <w:rFonts w:hint="default"/>
        <w:lang w:val="ru-RU" w:eastAsia="en-US" w:bidi="ar-SA"/>
      </w:rPr>
    </w:lvl>
    <w:lvl w:ilvl="8">
      <w:start w:val="0"/>
      <w:numFmt w:val="bullet"/>
      <w:lvlText w:val="•"/>
      <w:lvlJc w:val="left"/>
      <w:pPr>
        <w:ind w:left="10109" w:hanging="488"/>
      </w:pPr>
      <w:rPr>
        <w:rFonts w:hint="default"/>
        <w:lang w:val="ru-RU" w:eastAsia="en-US" w:bidi="ar-SA"/>
      </w:rPr>
    </w:lvl>
  </w:abstractNum>
  <w:abstractNum w:abstractNumId="0">
    <w:multiLevelType w:val="hybridMultilevel"/>
    <w:lvl w:ilvl="0">
      <w:start w:val="1"/>
      <w:numFmt w:val="decimal"/>
      <w:lvlText w:val="%1."/>
      <w:lvlJc w:val="left"/>
      <w:pPr>
        <w:ind w:left="1982" w:hanging="281"/>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2972" w:hanging="281"/>
      </w:pPr>
      <w:rPr>
        <w:rFonts w:hint="default"/>
        <w:lang w:val="ru-RU" w:eastAsia="en-US" w:bidi="ar-SA"/>
      </w:rPr>
    </w:lvl>
    <w:lvl w:ilvl="2">
      <w:start w:val="0"/>
      <w:numFmt w:val="bullet"/>
      <w:lvlText w:val="•"/>
      <w:lvlJc w:val="left"/>
      <w:pPr>
        <w:ind w:left="3965" w:hanging="281"/>
      </w:pPr>
      <w:rPr>
        <w:rFonts w:hint="default"/>
        <w:lang w:val="ru-RU" w:eastAsia="en-US" w:bidi="ar-SA"/>
      </w:rPr>
    </w:lvl>
    <w:lvl w:ilvl="3">
      <w:start w:val="0"/>
      <w:numFmt w:val="bullet"/>
      <w:lvlText w:val="•"/>
      <w:lvlJc w:val="left"/>
      <w:pPr>
        <w:ind w:left="4957" w:hanging="281"/>
      </w:pPr>
      <w:rPr>
        <w:rFonts w:hint="default"/>
        <w:lang w:val="ru-RU" w:eastAsia="en-US" w:bidi="ar-SA"/>
      </w:rPr>
    </w:lvl>
    <w:lvl w:ilvl="4">
      <w:start w:val="0"/>
      <w:numFmt w:val="bullet"/>
      <w:lvlText w:val="•"/>
      <w:lvlJc w:val="left"/>
      <w:pPr>
        <w:ind w:left="5950" w:hanging="281"/>
      </w:pPr>
      <w:rPr>
        <w:rFonts w:hint="default"/>
        <w:lang w:val="ru-RU" w:eastAsia="en-US" w:bidi="ar-SA"/>
      </w:rPr>
    </w:lvl>
    <w:lvl w:ilvl="5">
      <w:start w:val="0"/>
      <w:numFmt w:val="bullet"/>
      <w:lvlText w:val="•"/>
      <w:lvlJc w:val="left"/>
      <w:pPr>
        <w:ind w:left="6943" w:hanging="281"/>
      </w:pPr>
      <w:rPr>
        <w:rFonts w:hint="default"/>
        <w:lang w:val="ru-RU" w:eastAsia="en-US" w:bidi="ar-SA"/>
      </w:rPr>
    </w:lvl>
    <w:lvl w:ilvl="6">
      <w:start w:val="0"/>
      <w:numFmt w:val="bullet"/>
      <w:lvlText w:val="•"/>
      <w:lvlJc w:val="left"/>
      <w:pPr>
        <w:ind w:left="7935" w:hanging="281"/>
      </w:pPr>
      <w:rPr>
        <w:rFonts w:hint="default"/>
        <w:lang w:val="ru-RU" w:eastAsia="en-US" w:bidi="ar-SA"/>
      </w:rPr>
    </w:lvl>
    <w:lvl w:ilvl="7">
      <w:start w:val="0"/>
      <w:numFmt w:val="bullet"/>
      <w:lvlText w:val="•"/>
      <w:lvlJc w:val="left"/>
      <w:pPr>
        <w:ind w:left="8928" w:hanging="281"/>
      </w:pPr>
      <w:rPr>
        <w:rFonts w:hint="default"/>
        <w:lang w:val="ru-RU" w:eastAsia="en-US" w:bidi="ar-SA"/>
      </w:rPr>
    </w:lvl>
    <w:lvl w:ilvl="8">
      <w:start w:val="0"/>
      <w:numFmt w:val="bullet"/>
      <w:lvlText w:val="•"/>
      <w:lvlJc w:val="left"/>
      <w:pPr>
        <w:ind w:left="9921" w:hanging="281"/>
      </w:pPr>
      <w:rPr>
        <w:rFonts w:hint="default"/>
        <w:lang w:val="ru-RU" w:eastAsia="en-US" w:bidi="ar-SA"/>
      </w:rPr>
    </w:lvl>
  </w:abstractNum>
  <w:num w:numId="258">
    <w:abstractNumId w:val="257"/>
  </w:num>
  <w:num w:numId="255">
    <w:abstractNumId w:val="254"/>
  </w:num>
  <w:num w:numId="253">
    <w:abstractNumId w:val="252"/>
  </w:num>
  <w:num w:numId="175">
    <w:abstractNumId w:val="174"/>
  </w:num>
  <w:num w:numId="173">
    <w:abstractNumId w:val="172"/>
  </w:num>
  <w:num w:numId="170">
    <w:abstractNumId w:val="169"/>
  </w:num>
  <w:num w:numId="164">
    <w:abstractNumId w:val="163"/>
  </w:num>
  <w:num w:numId="137">
    <w:abstractNumId w:val="136"/>
  </w:num>
  <w:num w:numId="130">
    <w:abstractNumId w:val="129"/>
  </w:num>
  <w:num w:numId="128">
    <w:abstractNumId w:val="127"/>
  </w:num>
  <w:num w:numId="317">
    <w:abstractNumId w:val="316"/>
  </w:num>
  <w:num w:numId="316">
    <w:abstractNumId w:val="315"/>
  </w:num>
  <w:num w:numId="248">
    <w:abstractNumId w:val="247"/>
  </w:num>
  <w:num w:numId="160">
    <w:abstractNumId w:val="159"/>
  </w:num>
  <w:num w:numId="159">
    <w:abstractNumId w:val="158"/>
  </w:num>
  <w:num w:numId="156">
    <w:abstractNumId w:val="155"/>
  </w:num>
  <w:num w:numId="151">
    <w:abstractNumId w:val="150"/>
  </w:num>
  <w:num w:numId="124">
    <w:abstractNumId w:val="123"/>
  </w:num>
  <w:num w:numId="119">
    <w:abstractNumId w:val="118"/>
  </w:num>
  <w:num w:numId="113">
    <w:abstractNumId w:val="112"/>
  </w:num>
  <w:num w:numId="84">
    <w:abstractNumId w:val="83"/>
  </w:num>
  <w:num w:numId="329">
    <w:abstractNumId w:val="328"/>
  </w:num>
  <w:num w:numId="328">
    <w:abstractNumId w:val="327"/>
  </w:num>
  <w:num w:numId="327">
    <w:abstractNumId w:val="326"/>
  </w:num>
  <w:num w:numId="326">
    <w:abstractNumId w:val="325"/>
  </w:num>
  <w:num w:numId="325">
    <w:abstractNumId w:val="324"/>
  </w:num>
  <w:num w:numId="324">
    <w:abstractNumId w:val="323"/>
  </w:num>
  <w:num w:numId="323">
    <w:abstractNumId w:val="322"/>
  </w:num>
  <w:num w:numId="322">
    <w:abstractNumId w:val="321"/>
  </w:num>
  <w:num w:numId="321">
    <w:abstractNumId w:val="320"/>
  </w:num>
  <w:num w:numId="320">
    <w:abstractNumId w:val="319"/>
  </w:num>
  <w:num w:numId="319">
    <w:abstractNumId w:val="318"/>
  </w:num>
  <w:num w:numId="318">
    <w:abstractNumId w:val="317"/>
  </w:num>
  <w:num w:numId="315">
    <w:abstractNumId w:val="314"/>
  </w:num>
  <w:num w:numId="314">
    <w:abstractNumId w:val="313"/>
  </w:num>
  <w:num w:numId="313">
    <w:abstractNumId w:val="312"/>
  </w:num>
  <w:num w:numId="312">
    <w:abstractNumId w:val="311"/>
  </w:num>
  <w:num w:numId="311">
    <w:abstractNumId w:val="310"/>
  </w:num>
  <w:num w:numId="310">
    <w:abstractNumId w:val="309"/>
  </w:num>
  <w:num w:numId="309">
    <w:abstractNumId w:val="308"/>
  </w:num>
  <w:num w:numId="308">
    <w:abstractNumId w:val="307"/>
  </w:num>
  <w:num w:numId="307">
    <w:abstractNumId w:val="306"/>
  </w:num>
  <w:num w:numId="306">
    <w:abstractNumId w:val="305"/>
  </w:num>
  <w:num w:numId="305">
    <w:abstractNumId w:val="304"/>
  </w:num>
  <w:num w:numId="304">
    <w:abstractNumId w:val="303"/>
  </w:num>
  <w:num w:numId="288">
    <w:abstractNumId w:val="287"/>
  </w:num>
  <w:num w:numId="303">
    <w:abstractNumId w:val="302"/>
  </w:num>
  <w:num w:numId="302">
    <w:abstractNumId w:val="301"/>
  </w:num>
  <w:num w:numId="301">
    <w:abstractNumId w:val="300"/>
  </w:num>
  <w:num w:numId="300">
    <w:abstractNumId w:val="299"/>
  </w:num>
  <w:num w:numId="299">
    <w:abstractNumId w:val="298"/>
  </w:num>
  <w:num w:numId="298">
    <w:abstractNumId w:val="297"/>
  </w:num>
  <w:num w:numId="297">
    <w:abstractNumId w:val="296"/>
  </w:num>
  <w:num w:numId="296">
    <w:abstractNumId w:val="295"/>
  </w:num>
  <w:num w:numId="295">
    <w:abstractNumId w:val="294"/>
  </w:num>
  <w:num w:numId="294">
    <w:abstractNumId w:val="293"/>
  </w:num>
  <w:num w:numId="293">
    <w:abstractNumId w:val="292"/>
  </w:num>
  <w:num w:numId="292">
    <w:abstractNumId w:val="291"/>
  </w:num>
  <w:num w:numId="291">
    <w:abstractNumId w:val="290"/>
  </w:num>
  <w:num w:numId="290">
    <w:abstractNumId w:val="289"/>
  </w:num>
  <w:num w:numId="289">
    <w:abstractNumId w:val="288"/>
  </w:num>
  <w:num w:numId="287">
    <w:abstractNumId w:val="286"/>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51">
    <w:abstractNumId w:val="250"/>
  </w:num>
  <w:num w:numId="261">
    <w:abstractNumId w:val="260"/>
  </w:num>
  <w:num w:numId="260">
    <w:abstractNumId w:val="259"/>
  </w:num>
  <w:num w:numId="259">
    <w:abstractNumId w:val="258"/>
  </w:num>
  <w:num w:numId="257">
    <w:abstractNumId w:val="256"/>
  </w:num>
  <w:num w:numId="256">
    <w:abstractNumId w:val="255"/>
  </w:num>
  <w:num w:numId="254">
    <w:abstractNumId w:val="253"/>
  </w:num>
  <w:num w:numId="252">
    <w:abstractNumId w:val="251"/>
  </w:num>
  <w:num w:numId="250">
    <w:abstractNumId w:val="249"/>
  </w:num>
  <w:num w:numId="249">
    <w:abstractNumId w:val="248"/>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29">
    <w:abstractNumId w:val="228"/>
  </w:num>
  <w:num w:numId="230">
    <w:abstractNumId w:val="229"/>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4">
    <w:abstractNumId w:val="173"/>
  </w:num>
  <w:num w:numId="172">
    <w:abstractNumId w:val="171"/>
  </w:num>
  <w:num w:numId="171">
    <w:abstractNumId w:val="170"/>
  </w:num>
  <w:num w:numId="169">
    <w:abstractNumId w:val="168"/>
  </w:num>
  <w:num w:numId="168">
    <w:abstractNumId w:val="167"/>
  </w:num>
  <w:num w:numId="167">
    <w:abstractNumId w:val="166"/>
  </w:num>
  <w:num w:numId="166">
    <w:abstractNumId w:val="165"/>
  </w:num>
  <w:num w:numId="165">
    <w:abstractNumId w:val="164"/>
  </w:num>
  <w:num w:numId="163">
    <w:abstractNumId w:val="162"/>
  </w:num>
  <w:num w:numId="162">
    <w:abstractNumId w:val="161"/>
  </w:num>
  <w:num w:numId="161">
    <w:abstractNumId w:val="160"/>
  </w:num>
  <w:num w:numId="158">
    <w:abstractNumId w:val="157"/>
  </w:num>
  <w:num w:numId="157">
    <w:abstractNumId w:val="156"/>
  </w:num>
  <w:num w:numId="155">
    <w:abstractNumId w:val="154"/>
  </w:num>
  <w:num w:numId="154">
    <w:abstractNumId w:val="153"/>
  </w:num>
  <w:num w:numId="153">
    <w:abstractNumId w:val="152"/>
  </w:num>
  <w:num w:numId="152">
    <w:abstractNumId w:val="151"/>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6">
    <w:abstractNumId w:val="135"/>
  </w:num>
  <w:num w:numId="135">
    <w:abstractNumId w:val="134"/>
  </w:num>
  <w:num w:numId="134">
    <w:abstractNumId w:val="133"/>
  </w:num>
  <w:num w:numId="133">
    <w:abstractNumId w:val="132"/>
  </w:num>
  <w:num w:numId="132">
    <w:abstractNumId w:val="131"/>
  </w:num>
  <w:num w:numId="131">
    <w:abstractNumId w:val="130"/>
  </w:num>
  <w:num w:numId="129">
    <w:abstractNumId w:val="128"/>
  </w:num>
  <w:num w:numId="127">
    <w:abstractNumId w:val="126"/>
  </w:num>
  <w:num w:numId="126">
    <w:abstractNumId w:val="125"/>
  </w:num>
  <w:num w:numId="125">
    <w:abstractNumId w:val="124"/>
  </w:num>
  <w:num w:numId="123">
    <w:abstractNumId w:val="122"/>
  </w:num>
  <w:num w:numId="122">
    <w:abstractNumId w:val="121"/>
  </w:num>
  <w:num w:numId="121">
    <w:abstractNumId w:val="120"/>
  </w:num>
  <w:num w:numId="120">
    <w:abstractNumId w:val="119"/>
  </w:num>
  <w:num w:numId="118">
    <w:abstractNumId w:val="117"/>
  </w:num>
  <w:num w:numId="117">
    <w:abstractNumId w:val="116"/>
  </w:num>
  <w:num w:numId="116">
    <w:abstractNumId w:val="115"/>
  </w:num>
  <w:num w:numId="115">
    <w:abstractNumId w:val="114"/>
  </w:num>
  <w:num w:numId="114">
    <w:abstractNumId w:val="113"/>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1">
    <w:abstractNumId w:val="80"/>
  </w:num>
  <w:num w:numId="83">
    <w:abstractNumId w:val="82"/>
  </w:num>
  <w:num w:numId="82">
    <w:abstractNumId w:val="81"/>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TOC1" w:type="paragraph">
    <w:name w:val="TOC 1"/>
    <w:basedOn w:val="Normal"/>
    <w:uiPriority w:val="1"/>
    <w:qFormat/>
    <w:pPr>
      <w:spacing w:before="101"/>
      <w:ind w:left="1702"/>
    </w:pPr>
    <w:rPr>
      <w:rFonts w:ascii="Times New Roman" w:hAnsi="Times New Roman" w:eastAsia="Times New Roman" w:cs="Times New Roman"/>
      <w:b/>
      <w:bCs/>
      <w:sz w:val="28"/>
      <w:szCs w:val="28"/>
      <w:lang w:val="ru-RU" w:eastAsia="en-US" w:bidi="ar-SA"/>
    </w:rPr>
  </w:style>
  <w:style w:styleId="TOC2" w:type="paragraph">
    <w:name w:val="TOC 2"/>
    <w:basedOn w:val="Normal"/>
    <w:uiPriority w:val="1"/>
    <w:qFormat/>
    <w:pPr>
      <w:spacing w:before="101"/>
      <w:ind w:left="1702"/>
    </w:pPr>
    <w:rPr>
      <w:rFonts w:ascii="Times New Roman" w:hAnsi="Times New Roman" w:eastAsia="Times New Roman" w:cs="Times New Roman"/>
      <w:b/>
      <w:bCs/>
      <w:sz w:val="28"/>
      <w:szCs w:val="28"/>
      <w:lang w:val="ru-RU" w:eastAsia="en-US" w:bidi="ar-SA"/>
    </w:rPr>
  </w:style>
  <w:style w:styleId="BodyText" w:type="paragraph">
    <w:name w:val="Body Text"/>
    <w:basedOn w:val="Normal"/>
    <w:uiPriority w:val="1"/>
    <w:qFormat/>
    <w:pPr>
      <w:ind w:left="141" w:right="139" w:firstLine="283"/>
      <w:jc w:val="both"/>
    </w:pPr>
    <w:rPr>
      <w:rFonts w:ascii="Times New Roman" w:hAnsi="Times New Roman" w:eastAsia="Times New Roman" w:cs="Times New Roman"/>
      <w:sz w:val="20"/>
      <w:szCs w:val="20"/>
      <w:lang w:val="ru-RU" w:eastAsia="en-US" w:bidi="ar-SA"/>
    </w:rPr>
  </w:style>
  <w:style w:styleId="Heading1" w:type="paragraph">
    <w:name w:val="Heading 1"/>
    <w:basedOn w:val="Normal"/>
    <w:uiPriority w:val="1"/>
    <w:qFormat/>
    <w:pPr>
      <w:ind w:left="854"/>
      <w:jc w:val="center"/>
      <w:outlineLvl w:val="1"/>
    </w:pPr>
    <w:rPr>
      <w:rFonts w:ascii="Times New Roman" w:hAnsi="Times New Roman" w:eastAsia="Times New Roman" w:cs="Times New Roman"/>
      <w:b/>
      <w:bCs/>
      <w:sz w:val="32"/>
      <w:szCs w:val="32"/>
      <w:lang w:val="ru-RU" w:eastAsia="en-US" w:bidi="ar-SA"/>
    </w:rPr>
  </w:style>
  <w:style w:styleId="Heading2" w:type="paragraph">
    <w:name w:val="Heading 2"/>
    <w:basedOn w:val="Normal"/>
    <w:uiPriority w:val="1"/>
    <w:qFormat/>
    <w:pPr>
      <w:spacing w:before="72"/>
      <w:ind w:left="303"/>
      <w:outlineLvl w:val="2"/>
    </w:pPr>
    <w:rPr>
      <w:rFonts w:ascii="Times New Roman" w:hAnsi="Times New Roman" w:eastAsia="Times New Roman" w:cs="Times New Roman"/>
      <w:b/>
      <w:bCs/>
      <w:sz w:val="28"/>
      <w:szCs w:val="28"/>
      <w:lang w:val="ru-RU" w:eastAsia="en-US" w:bidi="ar-SA"/>
    </w:rPr>
  </w:style>
  <w:style w:styleId="Heading3" w:type="paragraph">
    <w:name w:val="Heading 3"/>
    <w:basedOn w:val="Normal"/>
    <w:uiPriority w:val="1"/>
    <w:qFormat/>
    <w:pPr>
      <w:spacing w:before="74"/>
      <w:ind w:left="285"/>
      <w:jc w:val="both"/>
      <w:outlineLvl w:val="3"/>
    </w:pPr>
    <w:rPr>
      <w:rFonts w:ascii="Times New Roman" w:hAnsi="Times New Roman" w:eastAsia="Times New Roman" w:cs="Times New Roman"/>
      <w:b/>
      <w:bCs/>
      <w:i/>
      <w:iCs/>
      <w:sz w:val="28"/>
      <w:szCs w:val="28"/>
      <w:lang w:val="ru-RU" w:eastAsia="en-US" w:bidi="ar-SA"/>
    </w:rPr>
  </w:style>
  <w:style w:styleId="Heading4" w:type="paragraph">
    <w:name w:val="Heading 4"/>
    <w:basedOn w:val="Normal"/>
    <w:uiPriority w:val="1"/>
    <w:qFormat/>
    <w:pPr>
      <w:ind w:left="285"/>
      <w:jc w:val="both"/>
      <w:outlineLvl w:val="4"/>
    </w:pPr>
    <w:rPr>
      <w:rFonts w:ascii="Times New Roman" w:hAnsi="Times New Roman" w:eastAsia="Times New Roman" w:cs="Times New Roman"/>
      <w:sz w:val="28"/>
      <w:szCs w:val="28"/>
      <w:lang w:val="ru-RU" w:eastAsia="en-US" w:bidi="ar-SA"/>
    </w:rPr>
  </w:style>
  <w:style w:styleId="Heading5" w:type="paragraph">
    <w:name w:val="Heading 5"/>
    <w:basedOn w:val="Normal"/>
    <w:uiPriority w:val="1"/>
    <w:qFormat/>
    <w:pPr>
      <w:ind w:left="285"/>
      <w:outlineLvl w:val="5"/>
    </w:pPr>
    <w:rPr>
      <w:rFonts w:ascii="Times New Roman" w:hAnsi="Times New Roman" w:eastAsia="Times New Roman" w:cs="Times New Roman"/>
      <w:i/>
      <w:iCs/>
      <w:sz w:val="28"/>
      <w:szCs w:val="28"/>
      <w:lang w:val="ru-RU" w:eastAsia="en-US" w:bidi="ar-SA"/>
    </w:rPr>
  </w:style>
  <w:style w:styleId="Heading6" w:type="paragraph">
    <w:name w:val="Heading 6"/>
    <w:basedOn w:val="Normal"/>
    <w:uiPriority w:val="1"/>
    <w:qFormat/>
    <w:pPr>
      <w:ind w:left="1702" w:right="842" w:firstLine="566"/>
      <w:jc w:val="both"/>
      <w:outlineLvl w:val="6"/>
    </w:pPr>
    <w:rPr>
      <w:rFonts w:ascii="Times New Roman" w:hAnsi="Times New Roman" w:eastAsia="Times New Roman" w:cs="Times New Roman"/>
      <w:sz w:val="27"/>
      <w:szCs w:val="27"/>
      <w:lang w:val="ru-RU" w:eastAsia="en-US" w:bidi="ar-SA"/>
    </w:rPr>
  </w:style>
  <w:style w:styleId="Heading7" w:type="paragraph">
    <w:name w:val="Heading 7"/>
    <w:basedOn w:val="Normal"/>
    <w:uiPriority w:val="1"/>
    <w:qFormat/>
    <w:pPr>
      <w:ind w:left="303" w:right="303"/>
      <w:jc w:val="center"/>
      <w:outlineLvl w:val="7"/>
    </w:pPr>
    <w:rPr>
      <w:rFonts w:ascii="Times New Roman" w:hAnsi="Times New Roman" w:eastAsia="Times New Roman" w:cs="Times New Roman"/>
      <w:b/>
      <w:bCs/>
      <w:sz w:val="26"/>
      <w:szCs w:val="26"/>
      <w:lang w:val="ru-RU" w:eastAsia="en-US" w:bidi="ar-SA"/>
    </w:rPr>
  </w:style>
  <w:style w:styleId="Heading8" w:type="paragraph">
    <w:name w:val="Heading 8"/>
    <w:basedOn w:val="Normal"/>
    <w:uiPriority w:val="1"/>
    <w:qFormat/>
    <w:pPr>
      <w:spacing w:before="1"/>
      <w:ind w:left="3652" w:hanging="3243"/>
      <w:outlineLvl w:val="8"/>
    </w:pPr>
    <w:rPr>
      <w:rFonts w:ascii="Times New Roman" w:hAnsi="Times New Roman" w:eastAsia="Times New Roman" w:cs="Times New Roman"/>
      <w:b/>
      <w:bCs/>
      <w:i/>
      <w:iCs/>
      <w:sz w:val="26"/>
      <w:szCs w:val="26"/>
      <w:lang w:val="ru-RU" w:eastAsia="en-US" w:bidi="ar-SA"/>
    </w:rPr>
  </w:style>
  <w:style w:styleId="Heading9" w:type="paragraph">
    <w:name w:val="Heading 9"/>
    <w:basedOn w:val="Normal"/>
    <w:uiPriority w:val="1"/>
    <w:qFormat/>
    <w:pPr>
      <w:ind w:left="465" w:hanging="180"/>
      <w:outlineLvl w:val="9"/>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ind w:left="425" w:hanging="284"/>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d07@edu.gov.ru" TargetMode="External"/><Relationship Id="rId8" Type="http://schemas.openxmlformats.org/officeDocument/2006/relationships/image" Target="media/image2.png"/><Relationship Id="rId9" Type="http://schemas.openxmlformats.org/officeDocument/2006/relationships/hyperlink" Target="https://psyjournals.ru/nonserialpublications/apsencfcpwssca2022" TargetMode="External"/><Relationship Id="rId10" Type="http://schemas.openxmlformats.org/officeDocument/2006/relationships/hyperlink" Target="https://psyjournals.ru/nonserialpublications/slcac2022" TargetMode="External"/><Relationship Id="rId11" Type="http://schemas.openxmlformats.org/officeDocument/2006/relationships/hyperlink" Target="https://psyjournals.ru/nonserialpublications/tp_slcac2022" TargetMode="External"/><Relationship Id="rId12" Type="http://schemas.openxmlformats.org/officeDocument/2006/relationships/image" Target="media/image3.png"/><Relationship Id="rId13" Type="http://schemas.openxmlformats.org/officeDocument/2006/relationships/footer" Target="footer2.xml"/><Relationship Id="rId14" Type="http://schemas.openxmlformats.org/officeDocument/2006/relationships/image" Target="media/image4.png"/><Relationship Id="rId15" Type="http://schemas.openxmlformats.org/officeDocument/2006/relationships/image" Target="media/image5.jpeg"/><Relationship Id="rId16" Type="http://schemas.openxmlformats.org/officeDocument/2006/relationships/footer" Target="footer3.xml"/><Relationship Id="rId17" Type="http://schemas.openxmlformats.org/officeDocument/2006/relationships/image" Target="media/image6.png"/><Relationship Id="rId18" Type="http://schemas.openxmlformats.org/officeDocument/2006/relationships/footer" Target="footer4.xml"/><Relationship Id="rId19" Type="http://schemas.openxmlformats.org/officeDocument/2006/relationships/footer" Target="footer5.xml"/><Relationship Id="rId20" Type="http://schemas.openxmlformats.org/officeDocument/2006/relationships/hyperlink" Target="https://www.education-ni.gov.uk/articles/additional-educational-support-0" TargetMode="External"/><Relationship Id="rId21" Type="http://schemas.openxmlformats.org/officeDocument/2006/relationships/hyperlink" Target="https://gov.wales/additional-learning-needs-special-educational-needs" TargetMode="External"/><Relationship Id="rId22" Type="http://schemas.openxmlformats.org/officeDocument/2006/relationships/hyperlink" Target="https://publications.hse.ru/articles/?mg=63651069" TargetMode="External"/><Relationship Id="rId23" Type="http://schemas.openxmlformats.org/officeDocument/2006/relationships/hyperlink" Target="https://www.fnisc.ru/index.php?page_id=538&amp;id=44" TargetMode="External"/><Relationship Id="rId24" Type="http://schemas.openxmlformats.org/officeDocument/2006/relationships/hyperlink" Target="https://slon.hse.ru/issledovanija-detej-migrantov-v-shkolax" TargetMode="External"/><Relationship Id="rId25" Type="http://schemas.openxmlformats.org/officeDocument/2006/relationships/hyperlink" Target="https://psyjournals.ru/psyedu_ru/2011/n1/39944.shtml" TargetMode="External"/><Relationship Id="rId26" Type="http://schemas.openxmlformats.org/officeDocument/2006/relationships/hyperlink" Target="http://ras.jes.su/psy/s020595920012592-7-1" TargetMode="External"/><Relationship Id="rId27" Type="http://schemas.openxmlformats.org/officeDocument/2006/relationships/hyperlink" Target="https://ebs.mgppu.ru:5081/book/socialnaya-inklyuziya-474628" TargetMode="External"/><Relationship Id="rId28" Type="http://schemas.openxmlformats.org/officeDocument/2006/relationships/hyperlink" Target="https://doi.org/10.3389/fpsyg.2015.00900" TargetMode="External"/><Relationship Id="rId29" Type="http://schemas.openxmlformats.org/officeDocument/2006/relationships/hyperlink" Target="http://www.opensocietyfoundations.org/sites/default/files/review_2008013" TargetMode="External"/><Relationship Id="rId30" Type="http://schemas.openxmlformats.org/officeDocument/2006/relationships/hyperlink" Target="https://psycnet.apa.org/doi/10.1007/s10902-012-9367-x" TargetMode="External"/><Relationship Id="rId31" Type="http://schemas.openxmlformats.org/officeDocument/2006/relationships/hyperlink" Target="http://eur-lex.europa.eu/LexUriServ/LexUriServ.do?uri=CELEX%3A52003DC0336%3AEN%3ANOT" TargetMode="External"/><Relationship Id="rId32" Type="http://schemas.openxmlformats.org/officeDocument/2006/relationships/hyperlink" Target="http://www.nesse.fr/nesse/activities/reports/activities/reports/education-and-migration-pdf" TargetMode="External"/><Relationship Id="rId33" Type="http://schemas.openxmlformats.org/officeDocument/2006/relationships/hyperlink" Target="https://www.rand.org/pubs/research_reports/RR1655.html" TargetMode="External"/><Relationship Id="rId34" Type="http://schemas.openxmlformats.org/officeDocument/2006/relationships/hyperlink" Target="https://doi.org/10.3102/00346543075003329" TargetMode="External"/><Relationship Id="rId35" Type="http://schemas.openxmlformats.org/officeDocument/2006/relationships/hyperlink" Target="https://doi.org/10.1787/b5fd1b8f-en.%20p%2042" TargetMode="External"/><Relationship Id="rId36" Type="http://schemas.openxmlformats.org/officeDocument/2006/relationships/image" Target="media/image7.jpeg"/><Relationship Id="rId37" Type="http://schemas.openxmlformats.org/officeDocument/2006/relationships/footer" Target="footer6.xml"/><Relationship Id="rId38" Type="http://schemas.openxmlformats.org/officeDocument/2006/relationships/footer" Target="footer7.xml"/><Relationship Id="rId39" Type="http://schemas.openxmlformats.org/officeDocument/2006/relationships/footer" Target="footer8.xml"/><Relationship Id="rId40" Type="http://schemas.openxmlformats.org/officeDocument/2006/relationships/footer" Target="footer9.xml"/><Relationship Id="rId41" Type="http://schemas.openxmlformats.org/officeDocument/2006/relationships/footer" Target="footer10.xml"/><Relationship Id="rId42" Type="http://schemas.openxmlformats.org/officeDocument/2006/relationships/footer" Target="footer11.xml"/><Relationship Id="rId43" Type="http://schemas.openxmlformats.org/officeDocument/2006/relationships/image" Target="media/image8.jpeg"/><Relationship Id="rId44" Type="http://schemas.openxmlformats.org/officeDocument/2006/relationships/image" Target="media/image9.jpeg"/><Relationship Id="rId45" Type="http://schemas.openxmlformats.org/officeDocument/2006/relationships/image" Target="media/image10.jpeg"/><Relationship Id="rId46" Type="http://schemas.openxmlformats.org/officeDocument/2006/relationships/image" Target="media/image11.png"/><Relationship Id="rId47" Type="http://schemas.openxmlformats.org/officeDocument/2006/relationships/image" Target="media/image12.png"/><Relationship Id="rId48" Type="http://schemas.openxmlformats.org/officeDocument/2006/relationships/image" Target="media/image13.jpeg"/><Relationship Id="rId49" Type="http://schemas.openxmlformats.org/officeDocument/2006/relationships/hyperlink" Target="http://psychlib.ru/resource/pdf/studwork/BakhteyevaMR_2021/BakhteyevaMR_5.pdf#page%3D1" TargetMode="External"/><Relationship Id="rId50" Type="http://schemas.openxmlformats.org/officeDocument/2006/relationships/hyperlink" Target="https://www.sciencedirect.com/science/article/abs/pii/S0165032716323898" TargetMode="External"/><Relationship Id="rId51" Type="http://schemas.openxmlformats.org/officeDocument/2006/relationships/hyperlink" Target="https://hsrc.himmelfarb.gwu.edu/sphhs_centers_chhcs/14" TargetMode="External"/><Relationship Id="rId52" Type="http://schemas.openxmlformats.org/officeDocument/2006/relationships/hyperlink" Target="https://journals.plos.org/plosone/article?id=10.1371/journal.pone.0135131" TargetMode="External"/><Relationship Id="rId53" Type="http://schemas.openxmlformats.org/officeDocument/2006/relationships/hyperlink" Target="https://doi.org/10.1586/14737167.2.6.589" TargetMode="External"/><Relationship Id="rId54" Type="http://schemas.openxmlformats.org/officeDocument/2006/relationships/hyperlink" Target="http://www.resilienceresearch.org/" TargetMode="External"/><Relationship Id="rId55" Type="http://schemas.openxmlformats.org/officeDocument/2006/relationships/hyperlink" Target="https://onlinelibrary.wiley.com/doi/abs/10.1002/jclp.20213" TargetMode="External"/><Relationship Id="rId56" Type="http://schemas.openxmlformats.org/officeDocument/2006/relationships/footer" Target="footer12.xml"/><Relationship Id="rId57" Type="http://schemas.openxmlformats.org/officeDocument/2006/relationships/image" Target="media/image14.jpeg"/><Relationship Id="rId58" Type="http://schemas.openxmlformats.org/officeDocument/2006/relationships/image" Target="media/image15.png"/><Relationship Id="rId59" Type="http://schemas.openxmlformats.org/officeDocument/2006/relationships/image" Target="media/image16.png"/><Relationship Id="rId60" Type="http://schemas.openxmlformats.org/officeDocument/2006/relationships/image" Target="media/image17.png"/><Relationship Id="rId61" Type="http://schemas.openxmlformats.org/officeDocument/2006/relationships/image" Target="media/image18.png"/><Relationship Id="rId62" Type="http://schemas.openxmlformats.org/officeDocument/2006/relationships/image" Target="media/image19.png"/><Relationship Id="rId63" Type="http://schemas.openxmlformats.org/officeDocument/2006/relationships/image" Target="media/image20.png"/><Relationship Id="rId64" Type="http://schemas.openxmlformats.org/officeDocument/2006/relationships/image" Target="media/image21.png"/><Relationship Id="rId65" Type="http://schemas.openxmlformats.org/officeDocument/2006/relationships/image" Target="media/image22.png"/><Relationship Id="rId66" Type="http://schemas.openxmlformats.org/officeDocument/2006/relationships/image" Target="media/image23.png"/><Relationship Id="rId67" Type="http://schemas.openxmlformats.org/officeDocument/2006/relationships/image" Target="media/image24.png"/><Relationship Id="rId68" Type="http://schemas.openxmlformats.org/officeDocument/2006/relationships/image" Target="media/image25.png"/><Relationship Id="rId69" Type="http://schemas.openxmlformats.org/officeDocument/2006/relationships/footer" Target="footer13.xml"/><Relationship Id="rId70" Type="http://schemas.openxmlformats.org/officeDocument/2006/relationships/image" Target="media/image26.png"/><Relationship Id="rId71" Type="http://schemas.openxmlformats.org/officeDocument/2006/relationships/footer" Target="footer14.xml"/><Relationship Id="rId72" Type="http://schemas.openxmlformats.org/officeDocument/2006/relationships/footer" Target="footer15.xml"/><Relationship Id="rId73" Type="http://schemas.openxmlformats.org/officeDocument/2006/relationships/hyperlink" Target="https://psyjournals.ru/ssc/2020/n1/Busygina_Podushkina_Stanilevsky.shtml" TargetMode="External"/><Relationship Id="rId74" Type="http://schemas.openxmlformats.org/officeDocument/2006/relationships/footer" Target="footer16.xml"/><Relationship Id="rId75" Type="http://schemas.openxmlformats.org/officeDocument/2006/relationships/footer" Target="footer17.xml"/><Relationship Id="rId76" Type="http://schemas.openxmlformats.org/officeDocument/2006/relationships/image" Target="media/image27.png"/><Relationship Id="rId77" Type="http://schemas.openxmlformats.org/officeDocument/2006/relationships/hyperlink" Target="https://psyjournals.ru/nonserialpublications/soprovozhdenie_migrantov/contents/66986?ysclid=ld4di4mx" TargetMode="External"/><Relationship Id="rId78" Type="http://schemas.openxmlformats.org/officeDocument/2006/relationships/hyperlink" Target="http://www.CSTSonline.org/" TargetMode="External"/><Relationship Id="rId79" Type="http://schemas.openxmlformats.org/officeDocument/2006/relationships/hyperlink" Target="https://www.counseling.org/resources/library/eric%20digests/99-01.pdf" TargetMode="External"/><Relationship Id="rId80" Type="http://schemas.openxmlformats.org/officeDocument/2006/relationships/hyperlink" Target="http://www.counselingoutfitters.com/Morris.htm" TargetMode="External"/><Relationship Id="rId81" Type="http://schemas.openxmlformats.org/officeDocument/2006/relationships/footer" Target="footer18.xml"/><Relationship Id="rId82" Type="http://schemas.openxmlformats.org/officeDocument/2006/relationships/footer" Target="footer19.xml"/><Relationship Id="rId83" Type="http://schemas.openxmlformats.org/officeDocument/2006/relationships/hyperlink" Target="http://fkrc.mgppu.ru/" TargetMode="External"/><Relationship Id="rId84" Type="http://schemas.openxmlformats.org/officeDocument/2006/relationships/image" Target="media/image28.png"/><Relationship Id="rId85" Type="http://schemas.openxmlformats.org/officeDocument/2006/relationships/hyperlink" Target="https://iea-ras.ru/" TargetMode="External"/><Relationship Id="rId86" Type="http://schemas.openxmlformats.org/officeDocument/2006/relationships/hyperlink" Target="https://psy-journal.hse.ru/2022-19-1/581961839.html" TargetMode="External"/><Relationship Id="rId87" Type="http://schemas.openxmlformats.org/officeDocument/2006/relationships/hyperlink" Target="https://openedu.ru/" TargetMode="External"/><Relationship Id="rId88" Type="http://schemas.openxmlformats.org/officeDocument/2006/relationships/hyperlink" Target="https://openedu.ru/course/spbu/DEL_OBS" TargetMode="External"/><Relationship Id="rId89" Type="http://schemas.openxmlformats.org/officeDocument/2006/relationships/hyperlink" Target="https://openedu.ru/course/hse/PSYCOM" TargetMode="External"/><Relationship Id="rId90" Type="http://schemas.openxmlformats.org/officeDocument/2006/relationships/hyperlink" Target="https://www.jewish-museum.ru/tolerance-center/projects/" TargetMode="External"/><Relationship Id="rId91" Type="http://schemas.openxmlformats.org/officeDocument/2006/relationships/footer" Target="footer20.xml"/><Relationship Id="rId92" Type="http://schemas.openxmlformats.org/officeDocument/2006/relationships/footer" Target="footer21.xml"/><Relationship Id="rId93" Type="http://schemas.openxmlformats.org/officeDocument/2006/relationships/image" Target="media/image29.jpeg"/><Relationship Id="rId94" Type="http://schemas.openxmlformats.org/officeDocument/2006/relationships/hyperlink" Target="http://www.bilingualeducation.org/pdfs/PROP2272.pdf" TargetMode="External"/><Relationship Id="rId95" Type="http://schemas.openxmlformats.org/officeDocument/2006/relationships/hyperlink" Target="https://eric.ed.gov/?id=EJ1175004" TargetMode="External"/><Relationship Id="rId96" Type="http://schemas.openxmlformats.org/officeDocument/2006/relationships/hyperlink" Target="https://doi.org/10.1111/cdep.12262\" TargetMode="External"/><Relationship Id="rId97" Type="http://schemas.openxmlformats.org/officeDocument/2006/relationships/footer" Target="footer22.xml"/><Relationship Id="rId98" Type="http://schemas.openxmlformats.org/officeDocument/2006/relationships/footer" Target="footer23.xml"/><Relationship Id="rId99" Type="http://schemas.openxmlformats.org/officeDocument/2006/relationships/hyperlink" Target="https://psyjournals.ru/toler_psychotech_2009/" TargetMode="External"/><Relationship Id="rId100" Type="http://schemas.openxmlformats.org/officeDocument/2006/relationships/hyperlink" Target="http://www.tolerancecenter.ru/" TargetMode="External"/><Relationship Id="rId101" Type="http://schemas.openxmlformats.org/officeDocument/2006/relationships/hyperlink" Target="https://tolerancecenter.ru/" TargetMode="External"/><Relationship Id="rId102" Type="http://schemas.openxmlformats.org/officeDocument/2006/relationships/hyperlink" Target="https://publications.hse.ru/pubs/share/folder/1dwdd218w6/76201575.pdf" TargetMode="External"/><Relationship Id="rId103" Type="http://schemas.openxmlformats.org/officeDocument/2006/relationships/hyperlink" Target="https://scr.hse.ru/" TargetMode="External"/><Relationship Id="rId104" Type="http://schemas.openxmlformats.org/officeDocument/2006/relationships/hyperlink" Target="https://disk.yandex.ru/i/uQxI5LJ-10J6fA" TargetMode="External"/><Relationship Id="rId105" Type="http://schemas.openxmlformats.org/officeDocument/2006/relationships/hyperlink" Target="https://psyjournals.ru/spacmf_2016/issue/" TargetMode="External"/><Relationship Id="rId106" Type="http://schemas.openxmlformats.org/officeDocument/2006/relationships/hyperlink" Target="https://psy.1sept.ru/article.php?ID=200501811" TargetMode="External"/><Relationship Id="rId107" Type="http://schemas.openxmlformats.org/officeDocument/2006/relationships/hyperlink" Target="https://psyjournals.ru/soprovozhdenie_migrantov/issue/66982.shtml" TargetMode="External"/><Relationship Id="rId108" Type="http://schemas.openxmlformats.org/officeDocument/2006/relationships/image" Target="media/image30.jpeg"/><Relationship Id="rId109" Type="http://schemas.openxmlformats.org/officeDocument/2006/relationships/image" Target="media/image31.jpeg"/><Relationship Id="rId110" Type="http://schemas.openxmlformats.org/officeDocument/2006/relationships/image" Target="media/image32.jpeg"/><Relationship Id="rId111" Type="http://schemas.openxmlformats.org/officeDocument/2006/relationships/hyperlink" Target="https://teacher.vbudushee.ru/" TargetMode="External"/><Relationship Id="rId112" Type="http://schemas.openxmlformats.org/officeDocument/2006/relationships/hyperlink" Target="https://edutoria.ru/" TargetMode="External"/><Relationship Id="rId113" Type="http://schemas.openxmlformats.org/officeDocument/2006/relationships/hyperlink" Target="https://deti.timchenkofoundation.org/wp-content/uploads/2019/11/Standart-dokazatelnosti-praktik.pdf" TargetMode="External"/><Relationship Id="rId114" Type="http://schemas.openxmlformats.org/officeDocument/2006/relationships/hyperlink" Target="https://www.paulekman.com/wp-content/uploads/2013/07/Basic-Emotions.pdf" TargetMode="External"/><Relationship Id="rId115" Type="http://schemas.openxmlformats.org/officeDocument/2006/relationships/hyperlink" Target="https://mentori.ru/" TargetMode="External"/><Relationship Id="rId116" Type="http://schemas.openxmlformats.org/officeDocument/2006/relationships/hyperlink" Target="http://uss.dvfu.ru/struct/publish_center/index.php?p=epublications" TargetMode="External"/><Relationship Id="rId117" Type="http://schemas.openxmlformats.org/officeDocument/2006/relationships/hyperlink" Target="https://drive.google.com/file/d/1T--DkpCTh8OzG_r-H9ItFR2T645p0A_B/view" TargetMode="External"/><Relationship Id="rId118" Type="http://schemas.openxmlformats.org/officeDocument/2006/relationships/hyperlink" Target="https://albertamentors.ca/wp-content/uploads/2017/07/3-Conversation-Club-Refugee-Immigrant-Newcomer-Toolkit.pdf" TargetMode="External"/><Relationship Id="rId119" Type="http://schemas.openxmlformats.org/officeDocument/2006/relationships/hyperlink" Target="http://www.brycs.org/documents/upload/BRYCS-BRIEF-Mentoring-Summer-2010.pdf" TargetMode="External"/><Relationship Id="rId120" Type="http://schemas.openxmlformats.org/officeDocument/2006/relationships/hyperlink" Target="https://files.eric.ed.gov/fulltext/ED467570.pdf" TargetMode="External"/><Relationship Id="rId121" Type="http://schemas.openxmlformats.org/officeDocument/2006/relationships/hyperlink" Target="https://files.eric.ed.gov/fulltext/ED522073.pdf" TargetMode="External"/><Relationship Id="rId122" Type="http://schemas.openxmlformats.org/officeDocument/2006/relationships/hyperlink" Target="https://www.sirius-migrationeducation.org/wp-content/uploads/2018/10/2012-2-2-Handbook-Mentoring-for-Migrant-youth-in-education.pdf" TargetMode="External"/><Relationship Id="rId123" Type="http://schemas.openxmlformats.org/officeDocument/2006/relationships/hyperlink" Target="https://ywcavan.org/sites/default/files/resources/downloads/Mentorship_Best_Practices_Toolkit_Oct2017_web_0.pdf" TargetMode="External"/><Relationship Id="rId124" Type="http://schemas.openxmlformats.org/officeDocument/2006/relationships/hyperlink" Target="http://nationalmentoringresourcecenter.org/images/PDF/ImmigrantRefugeeYouth_Population_Review.pdf" TargetMode="External"/><Relationship Id="rId125" Type="http://schemas.openxmlformats.org/officeDocument/2006/relationships/hyperlink" Target="https://www.compas.ox.ac.uk/wp-content/uploads/Mentoring-migrant-children-and-youth-the-Nightingale-projects.pdf" TargetMode="External"/><Relationship Id="rId126" Type="http://schemas.openxmlformats.org/officeDocument/2006/relationships/hyperlink" Target="http://mentoringapp.udg.edu/es/resultados" TargetMode="External"/><Relationship Id="rId127" Type="http://schemas.openxmlformats.org/officeDocument/2006/relationships/hyperlink" Target="https://ontariomentoringcoalition.ca/wp-content/uploads/2016/02/OMC-Toolkit.pdf" TargetMode="External"/><Relationship Id="rId128" Type="http://schemas.openxmlformats.org/officeDocument/2006/relationships/hyperlink" Target="https://albertamentors.ca/mentoring-in-schools/" TargetMode="External"/><Relationship Id="rId129" Type="http://schemas.openxmlformats.org/officeDocument/2006/relationships/hyperlink" Target="https://brycs.org/youth-development/mentoring-refugee-youth/" TargetMode="External"/><Relationship Id="rId130" Type="http://schemas.openxmlformats.org/officeDocument/2006/relationships/hyperlink" Target="https://culture.ec.europa.eu/news/react-community-theatre-setting-the-stage-for-refugee-integration" TargetMode="External"/><Relationship Id="rId131" Type="http://schemas.openxmlformats.org/officeDocument/2006/relationships/hyperlink" Target="https://ec.europa.eu/migrant-integration/integration-practice/cantieri-meticci-refugee-theatre-company_en" TargetMode="External"/><Relationship Id="rId132" Type="http://schemas.openxmlformats.org/officeDocument/2006/relationships/hyperlink" Target="https://globalcompactrefugees.org/article/acting-project-theatre-and-refugee-integration-greece" TargetMode="External"/><Relationship Id="rId133" Type="http://schemas.openxmlformats.org/officeDocument/2006/relationships/hyperlink" Target="https://www.socsci.ox.ac.uk/exploring-migration-research-and-drama-in-schools" TargetMode="External"/><Relationship Id="rId134" Type="http://schemas.openxmlformats.org/officeDocument/2006/relationships/hyperlink" Target="http://publication.pravo.gov.ru/Document/View/0001202107050027" TargetMode="External"/><Relationship Id="rId135" Type="http://schemas.openxmlformats.org/officeDocument/2006/relationships/hyperlink" Target="http://www.frontiersin.org/articles/10.3389/feduc" TargetMode="External"/><Relationship Id="rId136" Type="http://schemas.openxmlformats.org/officeDocument/2006/relationships/hyperlink" Target="https://www.youtube.com/watch?v=sDdTdyzueDU" TargetMode="External"/><Relationship Id="rId137" Type="http://schemas.openxmlformats.org/officeDocument/2006/relationships/hyperlink" Target="http://www.finnougriccomics.com/" TargetMode="External"/><Relationship Id="rId138" Type="http://schemas.openxmlformats.org/officeDocument/2006/relationships/hyperlink" Target="https://www.youtube.com/watch?v=twa96P6cnHA" TargetMode="External"/><Relationship Id="rId139" Type="http://schemas.openxmlformats.org/officeDocument/2006/relationships/hyperlink" Target="http://respect.com.mx/upload/iblock/6e0/6e0e8a4ff0fee0978de287c3e2439381.pdf" TargetMode="External"/><Relationship Id="rId140" Type="http://schemas.openxmlformats.org/officeDocument/2006/relationships/hyperlink" Target="http://finnougriccomics.com/ru/materials/template.php" TargetMode="External"/><Relationship Id="rId141" Type="http://schemas.openxmlformats.org/officeDocument/2006/relationships/hyperlink" Target="https://www.youtube.com/watch?v=MJgVLecbUGQ" TargetMode="External"/><Relationship Id="rId142" Type="http://schemas.openxmlformats.org/officeDocument/2006/relationships/hyperlink" Target="https://www.youtube.com/watch?v=fouTWw687yk" TargetMode="External"/><Relationship Id="rId143" Type="http://schemas.openxmlformats.org/officeDocument/2006/relationships/hyperlink" Target="https://www.youtube.com/watch?v=-OCb1B8iAAA" TargetMode="External"/><Relationship Id="rId144" Type="http://schemas.openxmlformats.org/officeDocument/2006/relationships/hyperlink" Target="https://www.migrationcomics.fi/index.php/sarjakuvanovella" TargetMode="External"/><Relationship Id="rId145" Type="http://schemas.openxmlformats.org/officeDocument/2006/relationships/hyperlink" Target="http://finnougriccomics.com/ru/" TargetMode="External"/><Relationship Id="rId146" Type="http://schemas.openxmlformats.org/officeDocument/2006/relationships/hyperlink" Target="https://trilcegarcia.com/comicworkshop" TargetMode="External"/><Relationship Id="rId147" Type="http://schemas.openxmlformats.org/officeDocument/2006/relationships/hyperlink" Target="https://psychlib.ru/inc/absid.php?abs" TargetMode="External"/><Relationship Id="rId148" Type="http://schemas.openxmlformats.org/officeDocument/2006/relationships/hyperlink" Target="http://www.respect.com.mx/upload/iblock/6e0/6e0e8a4ff0fee0978de287c3e2439381.pdf" TargetMode="External"/><Relationship Id="rId149" Type="http://schemas.openxmlformats.org/officeDocument/2006/relationships/hyperlink" Target="http://www/" TargetMode="External"/><Relationship Id="rId150" Type="http://schemas.openxmlformats.org/officeDocument/2006/relationships/hyperlink" Target="https://forum.gppc.ru/" TargetMode="External"/><Relationship Id="rId151" Type="http://schemas.openxmlformats.org/officeDocument/2006/relationships/hyperlink" Target="http://www.sprc.ru/" TargetMode="External"/><Relationship Id="rId152" Type="http://schemas.openxmlformats.org/officeDocument/2006/relationships/hyperlink" Target="http://www.8-926-145-87-01.ru/&#1084;&#1077;&#1090;&#1086;&#1076;/&#1090;&#1088;&#1072;&#1076;&#1080;&#1094;&#1080;&#1080;-&#1087;&#1088;&#1080;&#1084;&#1080;&#1088;&#1077;&#1085;&#1080;&#1103;" TargetMode="External"/><Relationship Id="rId153" Type="http://schemas.openxmlformats.org/officeDocument/2006/relationships/hyperlink" Target="http://sprc.ru/wp-content/uploads/2012/08/&#1053;&#1072;&#1088;&#1088;&#1072;&#1090;&#1080;&#1074;&#1085;&#1072;&#1103;-&#1084;&#1077;&#1076;&#1080;&#1072;&#1094;&#1080;&#1103;.-&#1044;&#1078;.&#1052;&#1086;&#1085;&#1082;-&#1044;.&#1059;&#1080;&#1085;&#1089;&#1083;&#1077;&#1076;1.pdf" TargetMode="External"/><Relationship Id="rId154" Type="http://schemas.openxmlformats.org/officeDocument/2006/relationships/hyperlink" Target="https://psyjournals.ru/soprovozhdenie_migrantov/issue/index.shtml" TargetMode="External"/><Relationship Id="rId155" Type="http://schemas.openxmlformats.org/officeDocument/2006/relationships/hyperlink" Target="http://www.8-926-145-87-01.ru/wp-content/uploads/2014/09/&#1052;&#1077;&#1076;&#1080;&#1072;&#1094;&#1080;&#1103;_&#1082;&#1086;&#1085;&#1092;&#1083;&#1080;&#1082;&#1090;&#1086;&#1074;_&#1089;&#1074;&#1103;&#1079;&#1072;&#1085;&#1085;&#1099;&#1093;_&#1089;_&#1087;&#1088;&#1077;&#1076;&#1088;&#1072;&#1089;&#1089;&#1091;&#1076;&#1082;&#1072;&#1084;&#1080;.pdf" TargetMode="External"/><Relationship Id="rId156" Type="http://schemas.openxmlformats.org/officeDocument/2006/relationships/hyperlink" Target="mailto:humanlibrary.rus@gmail.com" TargetMode="External"/><Relationship Id="rId157" Type="http://schemas.openxmlformats.org/officeDocument/2006/relationships/hyperlink" Target="https://cyberleninka.ru/article/n/teoriya-kontakta-obzor" TargetMode="External"/><Relationship Id="rId158" Type="http://schemas.openxmlformats.org/officeDocument/2006/relationships/hyperlink" Target="https://www.researchgate.net/publication/323800126_Puti_povysenia_effektivnosti_susestvuusih_modelej_i_praktik_integracii_migrantov" TargetMode="External"/><Relationship Id="rId159" Type="http://schemas.openxmlformats.org/officeDocument/2006/relationships/hyperlink" Target="https://static1.squarespace.com/static/5a2f3fe5bff2003632bd79e0/t/5a53c72a9140b7212c37535b/1515439920823/MAThesis_2015-2017_HandkeAL2%2B2.0.pdf" TargetMode="External"/><Relationship Id="rId160" Type="http://schemas.openxmlformats.org/officeDocument/2006/relationships/hyperlink" Target="https://www.researchgate.net/publication/343424875_HUMAN_LIBRARIES_THE_POWER_OF_USING_STORIES_IN_EDUCATION" TargetMode="External"/><Relationship Id="rId161" Type="http://schemas.openxmlformats.org/officeDocument/2006/relationships/hyperlink" Target="https://static1.squarespace.com/static/5a2f3fe5bff2003632bd79e0/t/5a52da0224a694bca85d4f1e/1515379207060/Human%2BLibrary%2BGroningen%2B2015%2BEvaluation%2BStudy.pdf" TargetMode="External"/><Relationship Id="rId162" Type="http://schemas.openxmlformats.org/officeDocument/2006/relationships/hyperlink" Target="https://www.ncbi.nlm.nih.gov/pmc/articles/PMC7246815/" TargetMode="External"/><Relationship Id="rId163" Type="http://schemas.openxmlformats.org/officeDocument/2006/relationships/hyperlink" Target="https://www.researchgate.net/publication/5282610_Intergroup_Contact_Theory" TargetMode="External"/><Relationship Id="rId164" Type="http://schemas.openxmlformats.org/officeDocument/2006/relationships/hyperlink" Target="https://pastandnow.ru/" TargetMode="External"/><Relationship Id="rId165" Type="http://schemas.openxmlformats.org/officeDocument/2006/relationships/hyperlink" Target="https://kraefest.ru/tpost/mplcsp2zn1-vizualnie-istorii" TargetMode="External"/><Relationship Id="rId166" Type="http://schemas.openxmlformats.org/officeDocument/2006/relationships/hyperlink" Target="https://kraefest.ru/tpost/6hbc85pe61-snimaem-kak-profi" TargetMode="External"/><Relationship Id="rId167" Type="http://schemas.openxmlformats.org/officeDocument/2006/relationships/hyperlink" Target="https://kraefest.ru/tpost/a8jn7meuo1-muzei-v-chemodane" TargetMode="External"/><Relationship Id="rId168" Type="http://schemas.openxmlformats.org/officeDocument/2006/relationships/hyperlink" Target="https://kraefest.ru/tpost/tsi1tis741-semantika-gorodov" TargetMode="External"/><Relationship Id="rId169" Type="http://schemas.openxmlformats.org/officeDocument/2006/relationships/hyperlink" Target="https://kraefest.ru/tpost/ai72otcrv1-inventarizatsiya-naslediya" TargetMode="External"/><Relationship Id="rId170" Type="http://schemas.openxmlformats.org/officeDocument/2006/relationships/hyperlink" Target="https://kraefest.ru/tpost/p8ytbgf4z1-ekskurspro" TargetMode="External"/><Relationship Id="rId171" Type="http://schemas.openxmlformats.org/officeDocument/2006/relationships/hyperlink" Target="https://kraefest.ru/tpost/tesh03i9r1-skazaniya-o-ede" TargetMode="External"/><Relationship Id="rId172" Type="http://schemas.openxmlformats.org/officeDocument/2006/relationships/hyperlink" Target="https://kraefest.ru/tpost/zrheva1jc1-igrovest" TargetMode="External"/><Relationship Id="rId173" Type="http://schemas.openxmlformats.org/officeDocument/2006/relationships/hyperlink" Target="http://irschool.org/" TargetMode="External"/><Relationship Id="rId174" Type="http://schemas.openxmlformats.org/officeDocument/2006/relationships/hyperlink" Target="http://katalogzadaniy.tilda.ws/park-online" TargetMode="External"/><Relationship Id="rId175" Type="http://schemas.openxmlformats.org/officeDocument/2006/relationships/hyperlink" Target="https://bigenc.ru/domestic_history/text/2105499" TargetMode="External"/><Relationship Id="rId176" Type="http://schemas.openxmlformats.org/officeDocument/2006/relationships/hyperlink" Target="http://issledovatel-researcher.ru/" TargetMode="External"/><Relationship Id="rId177" Type="http://schemas.openxmlformats.org/officeDocument/2006/relationships/hyperlink" Target="http://kraeved.press/archive" TargetMode="External"/><Relationship Id="rId178" Type="http://schemas.openxmlformats.org/officeDocument/2006/relationships/hyperlink" Target="https://kraefest.ru/" TargetMode="External"/><Relationship Id="rId179" Type="http://schemas.openxmlformats.org/officeDocument/2006/relationships/hyperlink" Target="http://mytopos.ru/" TargetMode="External"/><Relationship Id="rId180" Type="http://schemas.openxmlformats.org/officeDocument/2006/relationships/hyperlink" Target="https://derevni-sela.ru/" TargetMode="External"/><Relationship Id="rId181" Type="http://schemas.openxmlformats.org/officeDocument/2006/relationships/hyperlink" Target="https://irschool.org/" TargetMode="External"/><Relationship Id="rId182" Type="http://schemas.openxmlformats.org/officeDocument/2006/relationships/hyperlink" Target="https://cityofdiscoveries.moscow/" TargetMode="External"/><Relationship Id="rId183" Type="http://schemas.openxmlformats.org/officeDocument/2006/relationships/hyperlink" Target="https://www.spacecontest.ru/" TargetMode="External"/><Relationship Id="rId184" Type="http://schemas.openxmlformats.org/officeDocument/2006/relationships/hyperlink" Target="http://issl-konf.ru/" TargetMode="External"/><Relationship Id="rId185" Type="http://schemas.openxmlformats.org/officeDocument/2006/relationships/hyperlink" Target="http://issl-konf.ru/sborniki" TargetMode="External"/><Relationship Id="rId186" Type="http://schemas.openxmlformats.org/officeDocument/2006/relationships/hyperlink" Target="https://issledovatel.pro/" TargetMode="External"/><Relationship Id="rId187" Type="http://schemas.openxmlformats.org/officeDocument/2006/relationships/hyperlink" Target="https://vernadsky.info/" TargetMode="External"/><Relationship Id="rId188" Type="http://schemas.openxmlformats.org/officeDocument/2006/relationships/hyperlink" Target="https://olymp.hse.ru/projects/" TargetMode="External"/><Relationship Id="rId189" Type="http://schemas.openxmlformats.org/officeDocument/2006/relationships/hyperlink" Target="https://olymp.hse.ru/projects/mentor" TargetMode="External"/><Relationship Id="rId190" Type="http://schemas.openxmlformats.org/officeDocument/2006/relationships/hyperlink" Target="https://olymp.hse.ru/projects/webinars" TargetMode="External"/><Relationship Id="rId191" Type="http://schemas.openxmlformats.org/officeDocument/2006/relationships/hyperlink" Target="https://school.hse.ru/nis/" TargetMode="External"/><Relationship Id="rId192" Type="http://schemas.openxmlformats.org/officeDocument/2006/relationships/hyperlink" Target="https://reactor.su/ru/event/176" TargetMode="External"/><Relationship Id="rId193" Type="http://schemas.openxmlformats.org/officeDocument/2006/relationships/hyperlink" Target="https://youtu.be/-6nuAW8ZJLk" TargetMode="External"/><Relationship Id="rId194" Type="http://schemas.openxmlformats.org/officeDocument/2006/relationships/hyperlink" Target="https://www.youtube.com/playlist?list=PL2UJc3GeAZ8CaFO125nk8jozvgfiNPy2l" TargetMode="External"/><Relationship Id="rId195" Type="http://schemas.openxmlformats.org/officeDocument/2006/relationships/hyperlink" Target="https://doi.org/10.1016/S0022-4405(97)00007-1" TargetMode="External"/><Relationship Id="rId196" Type="http://schemas.openxmlformats.org/officeDocument/2006/relationships/footer" Target="footer24.xml"/><Relationship Id="rId197" Type="http://schemas.openxmlformats.org/officeDocument/2006/relationships/footer" Target="footer25.xml"/><Relationship Id="rId198" Type="http://schemas.openxmlformats.org/officeDocument/2006/relationships/footer" Target="footer26.xml"/><Relationship Id="rId199" Type="http://schemas.openxmlformats.org/officeDocument/2006/relationships/image" Target="media/image33.png"/><Relationship Id="rId200" Type="http://schemas.openxmlformats.org/officeDocument/2006/relationships/image" Target="media/image34.png"/><Relationship Id="rId201" Type="http://schemas.openxmlformats.org/officeDocument/2006/relationships/image" Target="media/image35.png"/><Relationship Id="rId202" Type="http://schemas.openxmlformats.org/officeDocument/2006/relationships/image" Target="media/image36.jpeg"/><Relationship Id="rId203" Type="http://schemas.openxmlformats.org/officeDocument/2006/relationships/image" Target="media/image37.png"/><Relationship Id="rId204" Type="http://schemas.openxmlformats.org/officeDocument/2006/relationships/image" Target="media/image38.png"/><Relationship Id="rId205" Type="http://schemas.openxmlformats.org/officeDocument/2006/relationships/footer" Target="footer27.xml"/><Relationship Id="rId206" Type="http://schemas.openxmlformats.org/officeDocument/2006/relationships/image" Target="media/image39.png"/><Relationship Id="rId207" Type="http://schemas.openxmlformats.org/officeDocument/2006/relationships/footer" Target="footer28.xml"/><Relationship Id="rId208" Type="http://schemas.openxmlformats.org/officeDocument/2006/relationships/footer" Target="footer29.xml"/><Relationship Id="rId209" Type="http://schemas.openxmlformats.org/officeDocument/2006/relationships/footer" Target="footer30.xml"/><Relationship Id="rId210" Type="http://schemas.openxmlformats.org/officeDocument/2006/relationships/footer" Target="footer31.xml"/><Relationship Id="rId211" Type="http://schemas.openxmlformats.org/officeDocument/2006/relationships/image" Target="media/image40.png"/><Relationship Id="rId212" Type="http://schemas.openxmlformats.org/officeDocument/2006/relationships/hyperlink" Target="http://www.facinghistory.org/resource-" TargetMode="External"/><Relationship Id="rId213" Type="http://schemas.openxmlformats.org/officeDocument/2006/relationships/image" Target="media/image41.jpeg"/><Relationship Id="rId214" Type="http://schemas.openxmlformats.org/officeDocument/2006/relationships/image" Target="media/image42.jpeg"/><Relationship Id="rId215" Type="http://schemas.openxmlformats.org/officeDocument/2006/relationships/footer" Target="footer32.xml"/><Relationship Id="rId216" Type="http://schemas.openxmlformats.org/officeDocument/2006/relationships/footer" Target="footer33.xml"/><Relationship Id="rId217" Type="http://schemas.openxmlformats.org/officeDocument/2006/relationships/hyperlink" Target="http://www.atlassian.com/ru/work-management/project-collaboration/brainstorming)" TargetMode="External"/><Relationship Id="rId218" Type="http://schemas.openxmlformats.org/officeDocument/2006/relationships/hyperlink" Target="http://www.syndikalist.narod.ru/diskus.htm" TargetMode="External"/><Relationship Id="rId219" Type="http://schemas.openxmlformats.org/officeDocument/2006/relationships/image" Target="media/image43.png"/><Relationship Id="rId220" Type="http://schemas.openxmlformats.org/officeDocument/2006/relationships/image" Target="media/image44.png"/><Relationship Id="rId221" Type="http://schemas.openxmlformats.org/officeDocument/2006/relationships/hyperlink" Target="http://www.atlassian.com/ru/work-management/project-collaboration/brainstorming" TargetMode="External"/><Relationship Id="rId222" Type="http://schemas.openxmlformats.org/officeDocument/2006/relationships/hyperlink" Target="http://www.cross-kpk.ru/" TargetMode="External"/><Relationship Id="rId223" Type="http://schemas.openxmlformats.org/officeDocument/2006/relationships/hyperlink" Target="http://psyjournals.ru/psyedu_ru/2010/n5/Huhlaev_Chibisova.shtml" TargetMode="External"/><Relationship Id="rId224" Type="http://schemas.openxmlformats.org/officeDocument/2006/relationships/image" Target="media/image45.jpeg"/><Relationship Id="rId225" Type="http://schemas.openxmlformats.org/officeDocument/2006/relationships/hyperlink" Target="https://online.eastt.ru/brainstorming/" TargetMode="External"/><Relationship Id="rId226" Type="http://schemas.openxmlformats.org/officeDocument/2006/relationships/hyperlink" Target="https://ir.lib.uwo.ca/ctlpub/16/" TargetMode="External"/><Relationship Id="rId227" Type="http://schemas.openxmlformats.org/officeDocument/2006/relationships/footer" Target="footer34.xml"/><Relationship Id="rId228" Type="http://schemas.openxmlformats.org/officeDocument/2006/relationships/footer" Target="footer35.xml"/><Relationship Id="rId229" Type="http://schemas.openxmlformats.org/officeDocument/2006/relationships/footer" Target="footer36.xml"/><Relationship Id="rId230" Type="http://schemas.openxmlformats.org/officeDocument/2006/relationships/footer" Target="footer37.xml"/><Relationship Id="rId231" Type="http://schemas.openxmlformats.org/officeDocument/2006/relationships/footer" Target="footer38.xml"/><Relationship Id="rId232" Type="http://schemas.openxmlformats.org/officeDocument/2006/relationships/footer" Target="footer39.xml"/><Relationship Id="rId233" Type="http://schemas.openxmlformats.org/officeDocument/2006/relationships/image" Target="media/image46.png"/><Relationship Id="rId234" Type="http://schemas.openxmlformats.org/officeDocument/2006/relationships/image" Target="media/image47.png"/><Relationship Id="rId235" Type="http://schemas.openxmlformats.org/officeDocument/2006/relationships/hyperlink" Target="https://ru.wikipedia.org/wiki/%D0%94%D0%B5%D0%BB%D0%BE%D1%81" TargetMode="External"/><Relationship Id="rId236" Type="http://schemas.openxmlformats.org/officeDocument/2006/relationships/hyperlink" Target="https://practice-school.eu/oer-radicalisation-prevention-programme/" TargetMode="External"/><Relationship Id="rId237" Type="http://schemas.openxmlformats.org/officeDocument/2006/relationships/image" Target="media/image48.png"/><Relationship Id="rId238" Type="http://schemas.openxmlformats.org/officeDocument/2006/relationships/image" Target="media/image49.png"/><Relationship Id="rId239" Type="http://schemas.openxmlformats.org/officeDocument/2006/relationships/image" Target="media/image50.png"/><Relationship Id="rId240" Type="http://schemas.openxmlformats.org/officeDocument/2006/relationships/image" Target="media/image51.png"/><Relationship Id="rId241" Type="http://schemas.openxmlformats.org/officeDocument/2006/relationships/image" Target="media/image52.png"/><Relationship Id="rId242" Type="http://schemas.openxmlformats.org/officeDocument/2006/relationships/image" Target="media/image53.png"/><Relationship Id="rId243" Type="http://schemas.openxmlformats.org/officeDocument/2006/relationships/hyperlink" Target="https://moluch.ru/archive/310/70085/" TargetMode="External"/><Relationship Id="rId244" Type="http://schemas.openxmlformats.org/officeDocument/2006/relationships/hyperlink" Target="http://pedagogika.snauka.ru/2013/01/824" TargetMode="External"/><Relationship Id="rId245" Type="http://schemas.openxmlformats.org/officeDocument/2006/relationships/hyperlink" Target="https://psycnet.apa.org/doi/10.1016/S0022-4405(97)00007-1" TargetMode="External"/><Relationship Id="rId246" Type="http://schemas.openxmlformats.org/officeDocument/2006/relationships/footer" Target="footer40.xml"/><Relationship Id="rId247" Type="http://schemas.openxmlformats.org/officeDocument/2006/relationships/footer" Target="footer41.xml"/><Relationship Id="rId24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2025-02-14T10:30:32Z</dcterms:created>
  <dcterms:modified xsi:type="dcterms:W3CDTF">2025-02-14T10:30:32Z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2024-02-09T00:00:00Z</vt:filetime>
  </property>
  <property fmtid="{D5CDD505-2E9C-101B-9397-08002B2CF9AE}" pid="3" name="LastSaved">
    <vt:filetime>2025-02-14T00:00:00Z</vt:filetime>
  </property>
  <property fmtid="{D5CDD505-2E9C-101B-9397-08002B2CF9AE}" pid="4" name="Producer">
    <vt:lpwstr>iText® Core 7.2.1 (AGPL version) ©2000-2021 iText Group NV</vt:lpwstr>
  </property>
</Properties>
</file>